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CBE0" w14:textId="77777777" w:rsidR="004647B9" w:rsidRDefault="00E2436F" w:rsidP="00E3438F">
      <w:pPr>
        <w:tabs>
          <w:tab w:val="left" w:pos="160"/>
        </w:tabs>
        <w:jc w:val="center"/>
        <w:rPr>
          <w:sz w:val="20"/>
          <w:szCs w:val="20"/>
        </w:rPr>
      </w:pPr>
      <w:bookmarkStart w:id="0" w:name="page1"/>
      <w:bookmarkEnd w:id="0"/>
      <w:r>
        <w:rPr>
          <w:rFonts w:eastAsia="Times New Roman"/>
          <w:sz w:val="24"/>
          <w:szCs w:val="24"/>
        </w:rPr>
        <w:t>310 CMR:</w:t>
      </w:r>
      <w:r>
        <w:rPr>
          <w:sz w:val="20"/>
          <w:szCs w:val="20"/>
        </w:rPr>
        <w:tab/>
      </w:r>
      <w:r>
        <w:rPr>
          <w:rFonts w:eastAsia="Times New Roman"/>
          <w:sz w:val="23"/>
          <w:szCs w:val="23"/>
        </w:rPr>
        <w:t>DEPARTMENT OF ENVIRONMENTAL PROTECTION</w:t>
      </w:r>
    </w:p>
    <w:p w14:paraId="2819CBE1" w14:textId="77777777" w:rsidR="004647B9" w:rsidRDefault="004647B9" w:rsidP="00E3438F">
      <w:pPr>
        <w:sectPr w:rsidR="004647B9" w:rsidSect="00EF630C">
          <w:pgSz w:w="12240" w:h="20180"/>
          <w:pgMar w:top="708" w:right="1440" w:bottom="835" w:left="600" w:header="0" w:footer="0" w:gutter="0"/>
          <w:cols w:space="720" w:equalWidth="0">
            <w:col w:w="10200"/>
          </w:cols>
        </w:sectPr>
      </w:pPr>
    </w:p>
    <w:p w14:paraId="2819CBE3" w14:textId="77777777" w:rsidR="004647B9" w:rsidRDefault="004647B9" w:rsidP="00E3438F">
      <w:pPr>
        <w:rPr>
          <w:sz w:val="24"/>
          <w:szCs w:val="24"/>
        </w:rPr>
      </w:pPr>
    </w:p>
    <w:p w14:paraId="2819CBE4" w14:textId="77777777" w:rsidR="004647B9" w:rsidRDefault="00E2436F" w:rsidP="00E3438F">
      <w:pPr>
        <w:rPr>
          <w:sz w:val="20"/>
          <w:szCs w:val="20"/>
        </w:rPr>
      </w:pPr>
      <w:r>
        <w:rPr>
          <w:rFonts w:eastAsia="Times New Roman"/>
          <w:sz w:val="23"/>
          <w:szCs w:val="23"/>
        </w:rPr>
        <w:t>310 CMR 22.00:</w:t>
      </w:r>
    </w:p>
    <w:p w14:paraId="2819CBE7" w14:textId="05E11295" w:rsidR="004647B9" w:rsidRDefault="00E2436F" w:rsidP="00E3438F">
      <w:pPr>
        <w:rPr>
          <w:sz w:val="24"/>
          <w:szCs w:val="24"/>
        </w:rPr>
      </w:pPr>
      <w:r>
        <w:rPr>
          <w:sz w:val="24"/>
          <w:szCs w:val="24"/>
        </w:rPr>
        <w:br w:type="column"/>
      </w:r>
    </w:p>
    <w:p w14:paraId="2819CBE8" w14:textId="77777777" w:rsidR="004647B9" w:rsidRDefault="00E2436F" w:rsidP="00E3438F">
      <w:pPr>
        <w:rPr>
          <w:sz w:val="20"/>
          <w:szCs w:val="20"/>
        </w:rPr>
      </w:pPr>
      <w:r>
        <w:rPr>
          <w:rFonts w:eastAsia="Times New Roman"/>
          <w:sz w:val="23"/>
          <w:szCs w:val="23"/>
        </w:rPr>
        <w:t>DRINKING WATER</w:t>
      </w:r>
    </w:p>
    <w:p w14:paraId="2819CBE9" w14:textId="77777777" w:rsidR="004647B9" w:rsidRDefault="004647B9">
      <w:pPr>
        <w:spacing w:line="200" w:lineRule="exact"/>
        <w:rPr>
          <w:sz w:val="24"/>
          <w:szCs w:val="24"/>
        </w:rPr>
      </w:pPr>
    </w:p>
    <w:p w14:paraId="2819CBEA" w14:textId="77777777" w:rsidR="004647B9" w:rsidRDefault="004647B9">
      <w:pPr>
        <w:sectPr w:rsidR="004647B9" w:rsidSect="00EF630C">
          <w:type w:val="continuous"/>
          <w:pgSz w:w="12240" w:h="20180"/>
          <w:pgMar w:top="708" w:right="1440" w:bottom="835" w:left="600" w:header="0" w:footer="0" w:gutter="0"/>
          <w:cols w:num="2" w:space="720" w:equalWidth="0">
            <w:col w:w="1620" w:space="660"/>
            <w:col w:w="7920"/>
          </w:cols>
        </w:sectPr>
      </w:pPr>
    </w:p>
    <w:p w14:paraId="2819CBEB" w14:textId="77777777" w:rsidR="004647B9" w:rsidRDefault="004647B9" w:rsidP="00DD0DBA">
      <w:pPr>
        <w:rPr>
          <w:sz w:val="24"/>
          <w:szCs w:val="24"/>
        </w:rPr>
      </w:pPr>
    </w:p>
    <w:p w14:paraId="2819CBEC" w14:textId="77777777" w:rsidR="004647B9" w:rsidRDefault="00E2436F">
      <w:pPr>
        <w:rPr>
          <w:sz w:val="20"/>
          <w:szCs w:val="20"/>
        </w:rPr>
      </w:pPr>
      <w:r>
        <w:rPr>
          <w:rFonts w:eastAsia="Times New Roman"/>
          <w:sz w:val="24"/>
          <w:szCs w:val="24"/>
        </w:rPr>
        <w:t>Section</w:t>
      </w:r>
    </w:p>
    <w:p w14:paraId="2819CBED" w14:textId="77777777" w:rsidR="004647B9" w:rsidRDefault="004647B9">
      <w:pPr>
        <w:spacing w:line="271" w:lineRule="exact"/>
        <w:rPr>
          <w:sz w:val="24"/>
          <w:szCs w:val="24"/>
        </w:rPr>
      </w:pPr>
    </w:p>
    <w:p w14:paraId="2819CBEE" w14:textId="77777777" w:rsidR="004647B9" w:rsidRDefault="00E2436F">
      <w:pPr>
        <w:tabs>
          <w:tab w:val="left" w:pos="820"/>
        </w:tabs>
        <w:rPr>
          <w:sz w:val="20"/>
          <w:szCs w:val="20"/>
        </w:rPr>
      </w:pPr>
      <w:r>
        <w:rPr>
          <w:rFonts w:eastAsia="Times New Roman"/>
          <w:sz w:val="24"/>
          <w:szCs w:val="24"/>
        </w:rPr>
        <w:t>22.01:</w:t>
      </w:r>
      <w:r>
        <w:rPr>
          <w:rFonts w:eastAsia="Times New Roman"/>
          <w:sz w:val="24"/>
          <w:szCs w:val="24"/>
        </w:rPr>
        <w:tab/>
        <w:t>Purpose</w:t>
      </w:r>
    </w:p>
    <w:p w14:paraId="2819CBF0" w14:textId="77777777" w:rsidR="004647B9" w:rsidRDefault="00E2436F">
      <w:pPr>
        <w:tabs>
          <w:tab w:val="left" w:pos="820"/>
        </w:tabs>
        <w:rPr>
          <w:sz w:val="20"/>
          <w:szCs w:val="20"/>
        </w:rPr>
      </w:pPr>
      <w:r>
        <w:rPr>
          <w:rFonts w:eastAsia="Times New Roman"/>
          <w:sz w:val="24"/>
          <w:szCs w:val="24"/>
        </w:rPr>
        <w:t>22.02:</w:t>
      </w:r>
      <w:r>
        <w:rPr>
          <w:rFonts w:eastAsia="Times New Roman"/>
          <w:sz w:val="24"/>
          <w:szCs w:val="24"/>
        </w:rPr>
        <w:tab/>
        <w:t>Definitions</w:t>
      </w:r>
    </w:p>
    <w:p w14:paraId="2819CBF1" w14:textId="77777777" w:rsidR="004647B9" w:rsidRDefault="00E2436F">
      <w:pPr>
        <w:tabs>
          <w:tab w:val="left" w:pos="820"/>
        </w:tabs>
        <w:spacing w:line="237" w:lineRule="auto"/>
        <w:rPr>
          <w:sz w:val="20"/>
          <w:szCs w:val="20"/>
        </w:rPr>
      </w:pPr>
      <w:r>
        <w:rPr>
          <w:rFonts w:eastAsia="Times New Roman"/>
          <w:sz w:val="24"/>
          <w:szCs w:val="24"/>
        </w:rPr>
        <w:t>22.03:</w:t>
      </w:r>
      <w:r>
        <w:rPr>
          <w:rFonts w:eastAsia="Times New Roman"/>
          <w:sz w:val="24"/>
          <w:szCs w:val="24"/>
        </w:rPr>
        <w:tab/>
        <w:t>Compliance</w:t>
      </w:r>
    </w:p>
    <w:p w14:paraId="2819CBF2" w14:textId="77777777" w:rsidR="004647B9" w:rsidRPr="003D13F9" w:rsidRDefault="00E2436F">
      <w:pPr>
        <w:tabs>
          <w:tab w:val="left" w:pos="820"/>
        </w:tabs>
        <w:rPr>
          <w:sz w:val="24"/>
          <w:szCs w:val="24"/>
        </w:rPr>
      </w:pPr>
      <w:r>
        <w:rPr>
          <w:rFonts w:eastAsia="Times New Roman"/>
          <w:sz w:val="24"/>
          <w:szCs w:val="24"/>
        </w:rPr>
        <w:t>22.04:</w:t>
      </w:r>
      <w:r>
        <w:rPr>
          <w:sz w:val="20"/>
          <w:szCs w:val="20"/>
        </w:rPr>
        <w:tab/>
      </w:r>
      <w:r w:rsidRPr="003D13F9">
        <w:rPr>
          <w:rFonts w:eastAsia="Times New Roman"/>
          <w:sz w:val="24"/>
          <w:szCs w:val="24"/>
        </w:rPr>
        <w:t>Construction, Operation and Maintenance of Public Water Systems</w:t>
      </w:r>
    </w:p>
    <w:p w14:paraId="2819CBF3" w14:textId="77777777" w:rsidR="004647B9" w:rsidRDefault="00E2436F">
      <w:pPr>
        <w:tabs>
          <w:tab w:val="left" w:pos="820"/>
        </w:tabs>
        <w:rPr>
          <w:sz w:val="20"/>
          <w:szCs w:val="20"/>
        </w:rPr>
      </w:pPr>
      <w:r>
        <w:rPr>
          <w:rFonts w:eastAsia="Times New Roman"/>
          <w:sz w:val="24"/>
          <w:szCs w:val="24"/>
        </w:rPr>
        <w:t>22.05:</w:t>
      </w:r>
      <w:r>
        <w:rPr>
          <w:sz w:val="20"/>
          <w:szCs w:val="20"/>
        </w:rPr>
        <w:tab/>
      </w:r>
      <w:r>
        <w:rPr>
          <w:rFonts w:eastAsia="Times New Roman"/>
          <w:sz w:val="23"/>
          <w:szCs w:val="23"/>
        </w:rPr>
        <w:t>Maximum Microbiological Contaminant Levels, Monitoring Requirements and Analytical Methods</w:t>
      </w:r>
    </w:p>
    <w:p w14:paraId="2819CBF4" w14:textId="77777777" w:rsidR="004647B9" w:rsidRDefault="00E2436F">
      <w:pPr>
        <w:tabs>
          <w:tab w:val="left" w:pos="820"/>
        </w:tabs>
        <w:rPr>
          <w:sz w:val="20"/>
          <w:szCs w:val="20"/>
        </w:rPr>
      </w:pPr>
      <w:r>
        <w:rPr>
          <w:rFonts w:eastAsia="Times New Roman"/>
          <w:sz w:val="24"/>
          <w:szCs w:val="24"/>
        </w:rPr>
        <w:t>22.06:</w:t>
      </w:r>
      <w:r>
        <w:rPr>
          <w:sz w:val="20"/>
          <w:szCs w:val="20"/>
        </w:rPr>
        <w:tab/>
      </w:r>
      <w:r w:rsidRPr="003D13F9">
        <w:rPr>
          <w:rFonts w:eastAsia="Times New Roman"/>
          <w:sz w:val="24"/>
          <w:szCs w:val="24"/>
        </w:rPr>
        <w:t>Inorganic Chemical Maximum Contaminant Levels, Monitoring Requirements and Analytical</w:t>
      </w:r>
    </w:p>
    <w:p w14:paraId="2819CBF5" w14:textId="77777777" w:rsidR="004647B9" w:rsidRDefault="00E2436F">
      <w:pPr>
        <w:spacing w:line="238" w:lineRule="auto"/>
        <w:ind w:left="840"/>
        <w:rPr>
          <w:sz w:val="20"/>
          <w:szCs w:val="20"/>
        </w:rPr>
      </w:pPr>
      <w:r>
        <w:rPr>
          <w:rFonts w:eastAsia="Times New Roman"/>
          <w:sz w:val="24"/>
          <w:szCs w:val="24"/>
        </w:rPr>
        <w:t>Methods</w:t>
      </w:r>
    </w:p>
    <w:p w14:paraId="2819CBF7" w14:textId="77777777" w:rsidR="004647B9" w:rsidRDefault="00E2436F">
      <w:pPr>
        <w:spacing w:line="238" w:lineRule="auto"/>
        <w:rPr>
          <w:sz w:val="20"/>
          <w:szCs w:val="20"/>
        </w:rPr>
      </w:pPr>
      <w:r>
        <w:rPr>
          <w:rFonts w:eastAsia="Times New Roman"/>
          <w:sz w:val="24"/>
          <w:szCs w:val="24"/>
        </w:rPr>
        <w:t>22.06A: Special Monitoring for Sodium, Reporting and Analytical Methods and Frequency</w:t>
      </w:r>
    </w:p>
    <w:p w14:paraId="2819CBF8" w14:textId="77777777" w:rsidR="004647B9" w:rsidRDefault="00E2436F">
      <w:pPr>
        <w:spacing w:line="238" w:lineRule="auto"/>
        <w:rPr>
          <w:sz w:val="20"/>
          <w:szCs w:val="20"/>
        </w:rPr>
      </w:pPr>
      <w:r>
        <w:rPr>
          <w:rFonts w:eastAsia="Times New Roman"/>
          <w:sz w:val="24"/>
          <w:szCs w:val="24"/>
        </w:rPr>
        <w:t>22.06B: Control of Lead and Copper in Drinking Water</w:t>
      </w:r>
    </w:p>
    <w:p w14:paraId="2819CBF9" w14:textId="77777777" w:rsidR="004647B9" w:rsidRDefault="00E2436F">
      <w:pPr>
        <w:spacing w:line="238" w:lineRule="auto"/>
        <w:rPr>
          <w:sz w:val="20"/>
          <w:szCs w:val="20"/>
        </w:rPr>
      </w:pPr>
      <w:r>
        <w:rPr>
          <w:rFonts w:eastAsia="Times New Roman"/>
          <w:sz w:val="24"/>
          <w:szCs w:val="24"/>
        </w:rPr>
        <w:t>22.06C: Compliance with Secondary Maximum Contaminant Level and Public Notification for Fluoride</w:t>
      </w:r>
    </w:p>
    <w:p w14:paraId="2819CBFA" w14:textId="77777777" w:rsidR="004647B9" w:rsidRDefault="00E2436F">
      <w:pPr>
        <w:spacing w:line="238" w:lineRule="auto"/>
        <w:rPr>
          <w:sz w:val="20"/>
          <w:szCs w:val="20"/>
        </w:rPr>
      </w:pPr>
      <w:r>
        <w:rPr>
          <w:rFonts w:eastAsia="Times New Roman"/>
          <w:sz w:val="24"/>
          <w:szCs w:val="24"/>
        </w:rPr>
        <w:t>22.07A: Synthetic Organic Chemicals (SOC) Sampling and Analytical Requirements</w:t>
      </w:r>
    </w:p>
    <w:p w14:paraId="2819CBFB" w14:textId="77777777" w:rsidR="004647B9" w:rsidRDefault="00E2436F">
      <w:pPr>
        <w:spacing w:line="238" w:lineRule="auto"/>
        <w:rPr>
          <w:sz w:val="20"/>
          <w:szCs w:val="20"/>
        </w:rPr>
      </w:pPr>
      <w:r>
        <w:rPr>
          <w:rFonts w:eastAsia="Times New Roman"/>
          <w:sz w:val="24"/>
          <w:szCs w:val="24"/>
        </w:rPr>
        <w:t>22.07B: Maximum Contaminant Levels (MCLs) for Volatile Organic Compounds (VOC)</w:t>
      </w:r>
    </w:p>
    <w:p w14:paraId="2819CBFC" w14:textId="77777777" w:rsidR="004647B9" w:rsidRDefault="00E2436F">
      <w:pPr>
        <w:spacing w:line="238" w:lineRule="auto"/>
        <w:rPr>
          <w:sz w:val="20"/>
          <w:szCs w:val="20"/>
        </w:rPr>
      </w:pPr>
      <w:r>
        <w:rPr>
          <w:rFonts w:eastAsia="Times New Roman"/>
          <w:sz w:val="24"/>
          <w:szCs w:val="24"/>
        </w:rPr>
        <w:t>22.07C: Unregulated Inorganic and Organic Chemicals Special Monitoring</w:t>
      </w:r>
    </w:p>
    <w:p w14:paraId="2819CBFD" w14:textId="77777777" w:rsidR="004647B9" w:rsidRDefault="00E2436F">
      <w:pPr>
        <w:spacing w:line="238" w:lineRule="auto"/>
        <w:rPr>
          <w:sz w:val="20"/>
          <w:szCs w:val="20"/>
        </w:rPr>
      </w:pPr>
      <w:r>
        <w:rPr>
          <w:rFonts w:eastAsia="Times New Roman"/>
          <w:sz w:val="24"/>
          <w:szCs w:val="24"/>
        </w:rPr>
        <w:t>22.07D: Secondary Chemicals Standards</w:t>
      </w:r>
    </w:p>
    <w:p w14:paraId="2819CBFE" w14:textId="77777777" w:rsidR="004647B9" w:rsidRDefault="00E2436F">
      <w:pPr>
        <w:spacing w:line="238" w:lineRule="auto"/>
        <w:rPr>
          <w:sz w:val="20"/>
          <w:szCs w:val="20"/>
        </w:rPr>
      </w:pPr>
      <w:r>
        <w:rPr>
          <w:rFonts w:eastAsia="Times New Roman"/>
          <w:sz w:val="24"/>
          <w:szCs w:val="24"/>
        </w:rPr>
        <w:t>22.07E: Disinfection Byproducts, Disinfection Residuals and Disinfection Byproduct Precursors</w:t>
      </w:r>
    </w:p>
    <w:p w14:paraId="2819CBFF" w14:textId="60E588F5" w:rsidR="004647B9" w:rsidRDefault="00E2436F">
      <w:pPr>
        <w:spacing w:line="238" w:lineRule="auto"/>
        <w:rPr>
          <w:rFonts w:eastAsia="Times New Roman"/>
          <w:sz w:val="24"/>
          <w:szCs w:val="24"/>
        </w:rPr>
      </w:pPr>
      <w:r>
        <w:rPr>
          <w:rFonts w:eastAsia="Times New Roman"/>
          <w:sz w:val="24"/>
          <w:szCs w:val="24"/>
        </w:rPr>
        <w:t>22.07F: Stage 2 Disinfection Byproducts Requirements (DBPR)</w:t>
      </w:r>
    </w:p>
    <w:p w14:paraId="60C40D12" w14:textId="67ED2F00" w:rsidR="006E76D7" w:rsidRDefault="006E76D7">
      <w:pPr>
        <w:spacing w:line="238" w:lineRule="auto"/>
        <w:rPr>
          <w:sz w:val="20"/>
          <w:szCs w:val="20"/>
        </w:rPr>
      </w:pPr>
      <w:r>
        <w:rPr>
          <w:rFonts w:eastAsia="Times New Roman"/>
          <w:sz w:val="24"/>
          <w:szCs w:val="24"/>
        </w:rPr>
        <w:t>22.07G: Per-</w:t>
      </w:r>
      <w:r w:rsidR="00BE44E1">
        <w:rPr>
          <w:rFonts w:eastAsia="Times New Roman"/>
          <w:sz w:val="24"/>
          <w:szCs w:val="24"/>
        </w:rPr>
        <w:t xml:space="preserve"> and Polyfluoroalkyl Substances (PFAS) Monitoring and Analytical Requirements</w:t>
      </w:r>
    </w:p>
    <w:p w14:paraId="2819CC00" w14:textId="77777777" w:rsidR="004647B9" w:rsidRDefault="00E2436F">
      <w:pPr>
        <w:spacing w:line="237" w:lineRule="auto"/>
        <w:ind w:right="100"/>
        <w:jc w:val="center"/>
        <w:rPr>
          <w:sz w:val="20"/>
          <w:szCs w:val="20"/>
        </w:rPr>
      </w:pPr>
      <w:r>
        <w:rPr>
          <w:rFonts w:eastAsia="Times New Roman"/>
          <w:sz w:val="24"/>
          <w:szCs w:val="24"/>
        </w:rPr>
        <w:t>22.08:   Maximum Turbidity Contaminant Levels, Monitoring Requirements and Analytical Methods for Unfiltered Systems and for Filtered Systems not in Compliance with 310 CMR 22.20A</w:t>
      </w:r>
    </w:p>
    <w:p w14:paraId="2819CC01" w14:textId="77777777" w:rsidR="004647B9" w:rsidRDefault="00E2436F">
      <w:pPr>
        <w:rPr>
          <w:sz w:val="20"/>
          <w:szCs w:val="20"/>
        </w:rPr>
      </w:pPr>
      <w:r>
        <w:rPr>
          <w:rFonts w:eastAsia="Times New Roman"/>
          <w:sz w:val="24"/>
          <w:szCs w:val="24"/>
        </w:rPr>
        <w:t>22.09A: Maximum Radionuclide Contaminant Levels, Monitoring Requirements and Analytical Methods</w:t>
      </w:r>
    </w:p>
    <w:p w14:paraId="2819CC02" w14:textId="77777777" w:rsidR="004647B9" w:rsidRDefault="00E2436F">
      <w:pPr>
        <w:tabs>
          <w:tab w:val="left" w:pos="820"/>
        </w:tabs>
        <w:rPr>
          <w:sz w:val="20"/>
          <w:szCs w:val="20"/>
        </w:rPr>
      </w:pPr>
      <w:r>
        <w:rPr>
          <w:rFonts w:eastAsia="Times New Roman"/>
          <w:sz w:val="24"/>
          <w:szCs w:val="24"/>
        </w:rPr>
        <w:t>22.10:</w:t>
      </w:r>
      <w:r>
        <w:rPr>
          <w:sz w:val="20"/>
          <w:szCs w:val="20"/>
        </w:rPr>
        <w:tab/>
      </w:r>
      <w:r>
        <w:rPr>
          <w:rFonts w:eastAsia="Times New Roman"/>
          <w:sz w:val="23"/>
          <w:szCs w:val="23"/>
        </w:rPr>
        <w:t>Alternative Analytical Methods</w:t>
      </w:r>
    </w:p>
    <w:p w14:paraId="2819CC03" w14:textId="77777777" w:rsidR="004647B9" w:rsidRDefault="00E2436F">
      <w:pPr>
        <w:spacing w:line="238" w:lineRule="auto"/>
        <w:rPr>
          <w:sz w:val="20"/>
          <w:szCs w:val="20"/>
        </w:rPr>
      </w:pPr>
      <w:r>
        <w:rPr>
          <w:rFonts w:eastAsia="Times New Roman"/>
          <w:sz w:val="24"/>
          <w:szCs w:val="24"/>
        </w:rPr>
        <w:t>22.11A: Laboratory Certification</w:t>
      </w:r>
    </w:p>
    <w:p w14:paraId="2819CC04" w14:textId="77777777" w:rsidR="004647B9" w:rsidRDefault="00E2436F">
      <w:pPr>
        <w:spacing w:line="238" w:lineRule="auto"/>
        <w:rPr>
          <w:sz w:val="20"/>
          <w:szCs w:val="20"/>
        </w:rPr>
      </w:pPr>
      <w:r>
        <w:rPr>
          <w:rFonts w:eastAsia="Times New Roman"/>
          <w:sz w:val="24"/>
          <w:szCs w:val="24"/>
        </w:rPr>
        <w:t>22.11B: Public Water Systems Certified Operator Staffing Requirements</w:t>
      </w:r>
    </w:p>
    <w:p w14:paraId="2819CC05" w14:textId="77777777" w:rsidR="004647B9" w:rsidRDefault="00E2436F">
      <w:pPr>
        <w:tabs>
          <w:tab w:val="left" w:pos="820"/>
        </w:tabs>
        <w:rPr>
          <w:sz w:val="20"/>
          <w:szCs w:val="20"/>
        </w:rPr>
      </w:pPr>
      <w:r>
        <w:rPr>
          <w:rFonts w:eastAsia="Times New Roman"/>
          <w:sz w:val="24"/>
          <w:szCs w:val="24"/>
        </w:rPr>
        <w:t>22.12:</w:t>
      </w:r>
      <w:r>
        <w:rPr>
          <w:sz w:val="20"/>
          <w:szCs w:val="20"/>
        </w:rPr>
        <w:tab/>
      </w:r>
      <w:r>
        <w:rPr>
          <w:rFonts w:eastAsia="Times New Roman"/>
          <w:sz w:val="23"/>
          <w:szCs w:val="23"/>
        </w:rPr>
        <w:t>Consecutive Public Water Systems</w:t>
      </w:r>
    </w:p>
    <w:p w14:paraId="2819CC06" w14:textId="77777777" w:rsidR="004647B9" w:rsidRDefault="00E2436F">
      <w:pPr>
        <w:tabs>
          <w:tab w:val="left" w:pos="820"/>
        </w:tabs>
        <w:spacing w:line="238" w:lineRule="auto"/>
        <w:rPr>
          <w:sz w:val="20"/>
          <w:szCs w:val="20"/>
        </w:rPr>
      </w:pPr>
      <w:r>
        <w:rPr>
          <w:rFonts w:eastAsia="Times New Roman"/>
          <w:sz w:val="24"/>
          <w:szCs w:val="24"/>
        </w:rPr>
        <w:t>22.13:</w:t>
      </w:r>
      <w:r>
        <w:rPr>
          <w:rFonts w:eastAsia="Times New Roman"/>
          <w:sz w:val="24"/>
          <w:szCs w:val="24"/>
        </w:rPr>
        <w:tab/>
        <w:t>Variances</w:t>
      </w:r>
    </w:p>
    <w:p w14:paraId="2819CC07" w14:textId="77777777" w:rsidR="004647B9" w:rsidRDefault="00E2436F">
      <w:pPr>
        <w:spacing w:line="238" w:lineRule="auto"/>
        <w:rPr>
          <w:sz w:val="20"/>
          <w:szCs w:val="20"/>
        </w:rPr>
      </w:pPr>
      <w:r>
        <w:rPr>
          <w:rFonts w:eastAsia="Times New Roman"/>
          <w:sz w:val="24"/>
          <w:szCs w:val="24"/>
        </w:rPr>
        <w:t>22.13A: Small System Variances</w:t>
      </w:r>
    </w:p>
    <w:p w14:paraId="2819CC08" w14:textId="77777777" w:rsidR="004647B9" w:rsidRDefault="00E2436F">
      <w:pPr>
        <w:tabs>
          <w:tab w:val="left" w:pos="820"/>
        </w:tabs>
        <w:rPr>
          <w:sz w:val="20"/>
          <w:szCs w:val="20"/>
        </w:rPr>
      </w:pPr>
      <w:r>
        <w:rPr>
          <w:rFonts w:eastAsia="Times New Roman"/>
          <w:sz w:val="24"/>
          <w:szCs w:val="24"/>
        </w:rPr>
        <w:t>22.14:</w:t>
      </w:r>
      <w:r>
        <w:rPr>
          <w:sz w:val="20"/>
          <w:szCs w:val="20"/>
        </w:rPr>
        <w:tab/>
      </w:r>
      <w:r>
        <w:rPr>
          <w:rFonts w:eastAsia="Times New Roman"/>
          <w:sz w:val="23"/>
          <w:szCs w:val="23"/>
        </w:rPr>
        <w:t>Exemptions</w:t>
      </w:r>
    </w:p>
    <w:p w14:paraId="2819CC09" w14:textId="77777777" w:rsidR="004647B9" w:rsidRDefault="00E2436F">
      <w:pPr>
        <w:tabs>
          <w:tab w:val="left" w:pos="820"/>
        </w:tabs>
        <w:rPr>
          <w:sz w:val="20"/>
          <w:szCs w:val="20"/>
        </w:rPr>
      </w:pPr>
      <w:r>
        <w:rPr>
          <w:rFonts w:eastAsia="Times New Roman"/>
          <w:sz w:val="24"/>
          <w:szCs w:val="24"/>
        </w:rPr>
        <w:t>22.15:</w:t>
      </w:r>
      <w:r>
        <w:rPr>
          <w:sz w:val="20"/>
          <w:szCs w:val="20"/>
        </w:rPr>
        <w:tab/>
      </w:r>
      <w:r>
        <w:rPr>
          <w:rFonts w:eastAsia="Times New Roman"/>
          <w:sz w:val="23"/>
          <w:szCs w:val="23"/>
        </w:rPr>
        <w:t>General Reporting Requirements</w:t>
      </w:r>
    </w:p>
    <w:p w14:paraId="2819CC0A" w14:textId="77777777" w:rsidR="004647B9" w:rsidRDefault="00E2436F">
      <w:pPr>
        <w:tabs>
          <w:tab w:val="left" w:pos="820"/>
        </w:tabs>
        <w:rPr>
          <w:sz w:val="20"/>
          <w:szCs w:val="20"/>
        </w:rPr>
      </w:pPr>
      <w:r>
        <w:rPr>
          <w:rFonts w:eastAsia="Times New Roman"/>
          <w:sz w:val="24"/>
          <w:szCs w:val="24"/>
        </w:rPr>
        <w:t>22.16:</w:t>
      </w:r>
      <w:r>
        <w:rPr>
          <w:sz w:val="20"/>
          <w:szCs w:val="20"/>
        </w:rPr>
        <w:tab/>
      </w:r>
      <w:r>
        <w:rPr>
          <w:rFonts w:eastAsia="Times New Roman"/>
          <w:sz w:val="23"/>
          <w:szCs w:val="23"/>
        </w:rPr>
        <w:t>Public Notification Requirements</w:t>
      </w:r>
    </w:p>
    <w:p w14:paraId="2819CC0B" w14:textId="77777777" w:rsidR="004647B9" w:rsidRDefault="00E2436F">
      <w:pPr>
        <w:spacing w:line="238" w:lineRule="auto"/>
        <w:rPr>
          <w:sz w:val="20"/>
          <w:szCs w:val="20"/>
        </w:rPr>
      </w:pPr>
      <w:r>
        <w:rPr>
          <w:rFonts w:eastAsia="Times New Roman"/>
          <w:sz w:val="24"/>
          <w:szCs w:val="24"/>
        </w:rPr>
        <w:t>22.16A: Consumer Confidence Reporting Requirements</w:t>
      </w:r>
    </w:p>
    <w:p w14:paraId="2819CC0C" w14:textId="77777777" w:rsidR="004647B9" w:rsidRDefault="00E2436F">
      <w:pPr>
        <w:tabs>
          <w:tab w:val="left" w:pos="820"/>
        </w:tabs>
        <w:spacing w:line="238" w:lineRule="auto"/>
        <w:rPr>
          <w:sz w:val="20"/>
          <w:szCs w:val="20"/>
        </w:rPr>
      </w:pPr>
      <w:r>
        <w:rPr>
          <w:rFonts w:eastAsia="Times New Roman"/>
          <w:sz w:val="24"/>
          <w:szCs w:val="24"/>
        </w:rPr>
        <w:t>22.17:</w:t>
      </w:r>
      <w:r>
        <w:rPr>
          <w:rFonts w:eastAsia="Times New Roman"/>
          <w:sz w:val="24"/>
          <w:szCs w:val="24"/>
        </w:rPr>
        <w:tab/>
        <w:t>Record Maintenance</w:t>
      </w:r>
    </w:p>
    <w:p w14:paraId="2819CC0D" w14:textId="77777777" w:rsidR="004647B9" w:rsidRDefault="00E2436F">
      <w:pPr>
        <w:tabs>
          <w:tab w:val="left" w:pos="820"/>
        </w:tabs>
        <w:rPr>
          <w:sz w:val="20"/>
          <w:szCs w:val="20"/>
        </w:rPr>
      </w:pPr>
      <w:r>
        <w:rPr>
          <w:rFonts w:eastAsia="Times New Roman"/>
          <w:sz w:val="24"/>
          <w:szCs w:val="24"/>
        </w:rPr>
        <w:t>22.18:</w:t>
      </w:r>
      <w:r>
        <w:rPr>
          <w:sz w:val="20"/>
          <w:szCs w:val="20"/>
        </w:rPr>
        <w:tab/>
      </w:r>
      <w:r>
        <w:rPr>
          <w:rFonts w:eastAsia="Times New Roman"/>
          <w:sz w:val="23"/>
          <w:szCs w:val="23"/>
        </w:rPr>
        <w:t>Right of Entry</w:t>
      </w:r>
    </w:p>
    <w:p w14:paraId="2819CC0E" w14:textId="77777777" w:rsidR="004647B9" w:rsidRDefault="00E2436F">
      <w:pPr>
        <w:tabs>
          <w:tab w:val="left" w:pos="820"/>
        </w:tabs>
        <w:rPr>
          <w:sz w:val="20"/>
          <w:szCs w:val="20"/>
        </w:rPr>
      </w:pPr>
      <w:r>
        <w:rPr>
          <w:rFonts w:eastAsia="Times New Roman"/>
          <w:sz w:val="24"/>
          <w:szCs w:val="24"/>
        </w:rPr>
        <w:t>22.19:</w:t>
      </w:r>
      <w:r>
        <w:rPr>
          <w:sz w:val="20"/>
          <w:szCs w:val="20"/>
        </w:rPr>
        <w:tab/>
      </w:r>
      <w:r>
        <w:rPr>
          <w:rFonts w:eastAsia="Times New Roman"/>
          <w:sz w:val="23"/>
          <w:szCs w:val="23"/>
        </w:rPr>
        <w:t>Distribution System Requirements</w:t>
      </w:r>
    </w:p>
    <w:p w14:paraId="2819CC0F" w14:textId="77777777" w:rsidR="004647B9" w:rsidRDefault="00E2436F">
      <w:pPr>
        <w:spacing w:line="238" w:lineRule="auto"/>
        <w:rPr>
          <w:sz w:val="20"/>
          <w:szCs w:val="20"/>
        </w:rPr>
      </w:pPr>
      <w:r>
        <w:rPr>
          <w:rFonts w:eastAsia="Times New Roman"/>
          <w:sz w:val="24"/>
          <w:szCs w:val="24"/>
        </w:rPr>
        <w:t>22.20A: Surface Water Treatment Rule</w:t>
      </w:r>
    </w:p>
    <w:p w14:paraId="2819CC10" w14:textId="77777777" w:rsidR="004647B9" w:rsidRDefault="00E2436F">
      <w:pPr>
        <w:spacing w:line="237" w:lineRule="auto"/>
        <w:rPr>
          <w:sz w:val="20"/>
          <w:szCs w:val="20"/>
        </w:rPr>
      </w:pPr>
      <w:r>
        <w:rPr>
          <w:rFonts w:eastAsia="Times New Roman"/>
          <w:sz w:val="24"/>
          <w:szCs w:val="24"/>
        </w:rPr>
        <w:t>22.20B: Surface Water Supply Protection</w:t>
      </w:r>
    </w:p>
    <w:p w14:paraId="2819CC11" w14:textId="77777777" w:rsidR="004647B9" w:rsidRDefault="00E2436F">
      <w:pPr>
        <w:spacing w:line="238" w:lineRule="auto"/>
        <w:rPr>
          <w:sz w:val="20"/>
          <w:szCs w:val="20"/>
        </w:rPr>
      </w:pPr>
      <w:r>
        <w:rPr>
          <w:rFonts w:eastAsia="Times New Roman"/>
          <w:sz w:val="24"/>
          <w:szCs w:val="24"/>
        </w:rPr>
        <w:t>22.20C: Surface Water Supply Protection for New and Expanding Class A Surface Water Sources</w:t>
      </w:r>
    </w:p>
    <w:p w14:paraId="2819CC12" w14:textId="77777777" w:rsidR="004647B9" w:rsidRDefault="00E2436F">
      <w:pPr>
        <w:spacing w:line="238" w:lineRule="auto"/>
        <w:rPr>
          <w:sz w:val="20"/>
          <w:szCs w:val="20"/>
        </w:rPr>
      </w:pPr>
      <w:r>
        <w:rPr>
          <w:rFonts w:eastAsia="Times New Roman"/>
          <w:sz w:val="24"/>
          <w:szCs w:val="24"/>
        </w:rPr>
        <w:t>22.20D: Interim Enhanced Surface Water Treatment Rule</w:t>
      </w:r>
    </w:p>
    <w:p w14:paraId="2819CC13" w14:textId="77777777" w:rsidR="004647B9" w:rsidRDefault="00E2436F">
      <w:pPr>
        <w:spacing w:line="238" w:lineRule="auto"/>
        <w:rPr>
          <w:sz w:val="20"/>
          <w:szCs w:val="20"/>
        </w:rPr>
      </w:pPr>
      <w:r>
        <w:rPr>
          <w:rFonts w:eastAsia="Times New Roman"/>
          <w:sz w:val="24"/>
          <w:szCs w:val="24"/>
        </w:rPr>
        <w:t>22.20E: Filter Backwash Recycling Rule</w:t>
      </w:r>
    </w:p>
    <w:p w14:paraId="2819CC14" w14:textId="77777777" w:rsidR="004647B9" w:rsidRDefault="00E2436F">
      <w:pPr>
        <w:spacing w:line="238" w:lineRule="auto"/>
        <w:rPr>
          <w:sz w:val="20"/>
          <w:szCs w:val="20"/>
        </w:rPr>
      </w:pPr>
      <w:r>
        <w:rPr>
          <w:rFonts w:eastAsia="Times New Roman"/>
          <w:sz w:val="24"/>
          <w:szCs w:val="24"/>
        </w:rPr>
        <w:t>22.20F: Long Term 1 Enhanced Surface Water Treatment Rule</w:t>
      </w:r>
    </w:p>
    <w:p w14:paraId="2819CC15" w14:textId="77777777" w:rsidR="004647B9" w:rsidRDefault="00E2436F">
      <w:pPr>
        <w:spacing w:line="238" w:lineRule="auto"/>
        <w:rPr>
          <w:sz w:val="20"/>
          <w:szCs w:val="20"/>
        </w:rPr>
      </w:pPr>
      <w:r>
        <w:rPr>
          <w:rFonts w:eastAsia="Times New Roman"/>
          <w:sz w:val="24"/>
          <w:szCs w:val="24"/>
        </w:rPr>
        <w:t>22.20G: Long Term 2 Enhanced Surface Water Treatment Rule</w:t>
      </w:r>
    </w:p>
    <w:p w14:paraId="2819CC16" w14:textId="77777777" w:rsidR="004647B9" w:rsidRDefault="00E2436F">
      <w:pPr>
        <w:tabs>
          <w:tab w:val="left" w:pos="820"/>
        </w:tabs>
        <w:rPr>
          <w:sz w:val="20"/>
          <w:szCs w:val="20"/>
        </w:rPr>
      </w:pPr>
      <w:r>
        <w:rPr>
          <w:rFonts w:eastAsia="Times New Roman"/>
          <w:sz w:val="24"/>
          <w:szCs w:val="24"/>
        </w:rPr>
        <w:t>22.21:</w:t>
      </w:r>
      <w:r>
        <w:rPr>
          <w:sz w:val="20"/>
          <w:szCs w:val="20"/>
        </w:rPr>
        <w:tab/>
      </w:r>
      <w:r>
        <w:rPr>
          <w:rFonts w:eastAsia="Times New Roman"/>
          <w:sz w:val="23"/>
          <w:szCs w:val="23"/>
        </w:rPr>
        <w:t>Groundwater Supply Protection</w:t>
      </w:r>
    </w:p>
    <w:p w14:paraId="2819CC17" w14:textId="77777777" w:rsidR="004647B9" w:rsidRDefault="00E2436F">
      <w:pPr>
        <w:tabs>
          <w:tab w:val="left" w:pos="820"/>
        </w:tabs>
        <w:rPr>
          <w:sz w:val="20"/>
          <w:szCs w:val="20"/>
        </w:rPr>
      </w:pPr>
      <w:r>
        <w:rPr>
          <w:rFonts w:eastAsia="Times New Roman"/>
          <w:sz w:val="24"/>
          <w:szCs w:val="24"/>
        </w:rPr>
        <w:t>22.22:</w:t>
      </w:r>
      <w:r>
        <w:rPr>
          <w:sz w:val="20"/>
          <w:szCs w:val="20"/>
        </w:rPr>
        <w:tab/>
      </w:r>
      <w:r>
        <w:rPr>
          <w:rFonts w:eastAsia="Times New Roman"/>
          <w:sz w:val="23"/>
          <w:szCs w:val="23"/>
        </w:rPr>
        <w:t>Cross Connections Distribution System Protection</w:t>
      </w:r>
    </w:p>
    <w:p w14:paraId="2819CC18" w14:textId="77777777" w:rsidR="004647B9" w:rsidRDefault="00E2436F">
      <w:pPr>
        <w:tabs>
          <w:tab w:val="left" w:pos="820"/>
        </w:tabs>
        <w:rPr>
          <w:sz w:val="20"/>
          <w:szCs w:val="20"/>
        </w:rPr>
      </w:pPr>
      <w:r>
        <w:rPr>
          <w:rFonts w:eastAsia="Times New Roman"/>
          <w:sz w:val="24"/>
          <w:szCs w:val="24"/>
        </w:rPr>
        <w:t>22.23:</w:t>
      </w:r>
      <w:r>
        <w:rPr>
          <w:sz w:val="20"/>
          <w:szCs w:val="20"/>
        </w:rPr>
        <w:tab/>
      </w:r>
      <w:r>
        <w:rPr>
          <w:rFonts w:eastAsia="Times New Roman"/>
          <w:sz w:val="23"/>
          <w:szCs w:val="23"/>
        </w:rPr>
        <w:t>Use of Non-centralized Treatment Devices and Bottled Water</w:t>
      </w:r>
    </w:p>
    <w:p w14:paraId="2819CC19" w14:textId="72C8044D" w:rsidR="004647B9" w:rsidRPr="00EF7BA4" w:rsidRDefault="00E2436F">
      <w:pPr>
        <w:tabs>
          <w:tab w:val="left" w:pos="820"/>
        </w:tabs>
        <w:rPr>
          <w:sz w:val="23"/>
          <w:szCs w:val="23"/>
        </w:rPr>
      </w:pPr>
      <w:r>
        <w:rPr>
          <w:rFonts w:eastAsia="Times New Roman"/>
          <w:sz w:val="24"/>
          <w:szCs w:val="24"/>
        </w:rPr>
        <w:t>22.24:</w:t>
      </w:r>
      <w:r>
        <w:rPr>
          <w:sz w:val="20"/>
          <w:szCs w:val="20"/>
        </w:rPr>
        <w:tab/>
      </w:r>
      <w:r w:rsidR="00BE77C3" w:rsidRPr="00EF7BA4">
        <w:rPr>
          <w:sz w:val="23"/>
          <w:szCs w:val="23"/>
        </w:rPr>
        <w:t>Ac</w:t>
      </w:r>
      <w:r w:rsidR="00EF7BA4" w:rsidRPr="00EF7BA4">
        <w:rPr>
          <w:sz w:val="23"/>
          <w:szCs w:val="23"/>
        </w:rPr>
        <w:t>quisition</w:t>
      </w:r>
      <w:r w:rsidR="00EF7BA4">
        <w:rPr>
          <w:sz w:val="23"/>
          <w:szCs w:val="23"/>
        </w:rPr>
        <w:t xml:space="preserve">, </w:t>
      </w:r>
      <w:r>
        <w:rPr>
          <w:rFonts w:eastAsia="Times New Roman"/>
          <w:sz w:val="23"/>
          <w:szCs w:val="23"/>
        </w:rPr>
        <w:t>Sale, Transfer of Property Interest, or Change in Use of Water Supply Land</w:t>
      </w:r>
      <w:r w:rsidR="003529FD">
        <w:rPr>
          <w:rFonts w:eastAsia="Times New Roman"/>
          <w:sz w:val="23"/>
          <w:szCs w:val="23"/>
        </w:rPr>
        <w:t xml:space="preserve"> and Other Lan</w:t>
      </w:r>
      <w:r w:rsidR="002974A4">
        <w:rPr>
          <w:rFonts w:eastAsia="Times New Roman"/>
          <w:sz w:val="23"/>
          <w:szCs w:val="23"/>
        </w:rPr>
        <w:t>d</w:t>
      </w:r>
    </w:p>
    <w:p w14:paraId="2819CC1A" w14:textId="77777777" w:rsidR="004647B9" w:rsidRDefault="00E2436F">
      <w:pPr>
        <w:tabs>
          <w:tab w:val="left" w:pos="820"/>
        </w:tabs>
        <w:rPr>
          <w:sz w:val="20"/>
          <w:szCs w:val="20"/>
        </w:rPr>
      </w:pPr>
      <w:r>
        <w:rPr>
          <w:rFonts w:eastAsia="Times New Roman"/>
          <w:sz w:val="24"/>
          <w:szCs w:val="24"/>
        </w:rPr>
        <w:t>22.25:</w:t>
      </w:r>
      <w:r>
        <w:rPr>
          <w:sz w:val="20"/>
          <w:szCs w:val="20"/>
        </w:rPr>
        <w:tab/>
      </w:r>
      <w:r>
        <w:rPr>
          <w:rFonts w:eastAsia="Times New Roman"/>
          <w:sz w:val="23"/>
          <w:szCs w:val="23"/>
        </w:rPr>
        <w:t>Abandonment of Water Supply Sources</w:t>
      </w:r>
    </w:p>
    <w:p w14:paraId="2819CC1B" w14:textId="77777777" w:rsidR="004647B9" w:rsidRDefault="00E2436F">
      <w:pPr>
        <w:tabs>
          <w:tab w:val="left" w:pos="820"/>
        </w:tabs>
        <w:spacing w:line="238" w:lineRule="auto"/>
        <w:rPr>
          <w:sz w:val="20"/>
          <w:szCs w:val="20"/>
        </w:rPr>
      </w:pPr>
      <w:r>
        <w:rPr>
          <w:rFonts w:eastAsia="Times New Roman"/>
          <w:sz w:val="24"/>
          <w:szCs w:val="24"/>
        </w:rPr>
        <w:t>22.26:</w:t>
      </w:r>
      <w:r>
        <w:rPr>
          <w:rFonts w:eastAsia="Times New Roman"/>
          <w:sz w:val="24"/>
          <w:szCs w:val="24"/>
        </w:rPr>
        <w:tab/>
        <w:t>Groundwater Rule</w:t>
      </w:r>
    </w:p>
    <w:p w14:paraId="2819CC1C" w14:textId="77777777" w:rsidR="004647B9" w:rsidRDefault="00E2436F">
      <w:pPr>
        <w:tabs>
          <w:tab w:val="left" w:pos="820"/>
        </w:tabs>
        <w:spacing w:line="238" w:lineRule="auto"/>
        <w:rPr>
          <w:sz w:val="20"/>
          <w:szCs w:val="20"/>
        </w:rPr>
      </w:pPr>
      <w:r>
        <w:rPr>
          <w:rFonts w:eastAsia="Times New Roman"/>
          <w:sz w:val="24"/>
          <w:szCs w:val="24"/>
        </w:rPr>
        <w:t>22.27:</w:t>
      </w:r>
      <w:r>
        <w:rPr>
          <w:rFonts w:eastAsia="Times New Roman"/>
          <w:sz w:val="24"/>
          <w:szCs w:val="24"/>
        </w:rPr>
        <w:tab/>
        <w:t>Severability</w:t>
      </w:r>
    </w:p>
    <w:p w14:paraId="2819CC1D" w14:textId="77777777" w:rsidR="004647B9" w:rsidRDefault="004647B9">
      <w:pPr>
        <w:spacing w:line="235" w:lineRule="exact"/>
        <w:rPr>
          <w:sz w:val="24"/>
          <w:szCs w:val="24"/>
        </w:rPr>
      </w:pPr>
    </w:p>
    <w:p w14:paraId="2819CC1E" w14:textId="77777777" w:rsidR="004647B9" w:rsidRDefault="00E2436F">
      <w:pPr>
        <w:tabs>
          <w:tab w:val="left" w:pos="760"/>
        </w:tabs>
        <w:rPr>
          <w:sz w:val="20"/>
          <w:szCs w:val="20"/>
        </w:rPr>
      </w:pPr>
      <w:r>
        <w:rPr>
          <w:rFonts w:eastAsia="Times New Roman"/>
          <w:sz w:val="24"/>
          <w:szCs w:val="24"/>
          <w:u w:val="single"/>
        </w:rPr>
        <w:t>22.01:</w:t>
      </w:r>
      <w:r>
        <w:rPr>
          <w:rFonts w:eastAsia="Times New Roman"/>
          <w:sz w:val="24"/>
          <w:szCs w:val="24"/>
          <w:u w:val="single"/>
        </w:rPr>
        <w:tab/>
        <w:t>Purpose</w:t>
      </w:r>
    </w:p>
    <w:p w14:paraId="2819CC1F" w14:textId="77777777" w:rsidR="004647B9" w:rsidRDefault="004647B9">
      <w:pPr>
        <w:spacing w:line="271" w:lineRule="exact"/>
        <w:rPr>
          <w:sz w:val="24"/>
          <w:szCs w:val="24"/>
        </w:rPr>
      </w:pPr>
    </w:p>
    <w:p w14:paraId="2819CC20" w14:textId="77777777" w:rsidR="004647B9" w:rsidRDefault="00E2436F">
      <w:pPr>
        <w:numPr>
          <w:ilvl w:val="0"/>
          <w:numId w:val="1"/>
        </w:numPr>
        <w:tabs>
          <w:tab w:val="left" w:pos="1624"/>
        </w:tabs>
        <w:spacing w:line="248" w:lineRule="auto"/>
        <w:ind w:left="1200"/>
        <w:jc w:val="both"/>
        <w:rPr>
          <w:rFonts w:eastAsia="Times New Roman"/>
          <w:sz w:val="24"/>
          <w:szCs w:val="24"/>
        </w:rPr>
      </w:pPr>
      <w:r>
        <w:rPr>
          <w:rFonts w:eastAsia="Times New Roman"/>
          <w:sz w:val="24"/>
          <w:szCs w:val="24"/>
        </w:rPr>
        <w:t>310 CMR 22.00 is intended to promote the public health and general welfare by preventing the pollution and securing the sanitary protection of all such waters used as sources of water supply and ensuring that public water systems in Massachusetts provide to the users thereof water that is safe, fit and pure to drink.</w:t>
      </w:r>
    </w:p>
    <w:p w14:paraId="2819CC21" w14:textId="77777777" w:rsidR="004647B9" w:rsidRDefault="004647B9">
      <w:pPr>
        <w:spacing w:line="227" w:lineRule="exact"/>
        <w:rPr>
          <w:rFonts w:eastAsia="Times New Roman"/>
          <w:sz w:val="24"/>
          <w:szCs w:val="24"/>
        </w:rPr>
      </w:pPr>
    </w:p>
    <w:p w14:paraId="2819CC22" w14:textId="77777777" w:rsidR="004647B9" w:rsidRDefault="00E2436F">
      <w:pPr>
        <w:numPr>
          <w:ilvl w:val="0"/>
          <w:numId w:val="1"/>
        </w:numPr>
        <w:tabs>
          <w:tab w:val="left" w:pos="1703"/>
        </w:tabs>
        <w:spacing w:line="245" w:lineRule="auto"/>
        <w:ind w:left="1200"/>
        <w:jc w:val="both"/>
        <w:rPr>
          <w:rFonts w:eastAsia="Times New Roman"/>
          <w:sz w:val="24"/>
          <w:szCs w:val="24"/>
        </w:rPr>
      </w:pPr>
      <w:r>
        <w:rPr>
          <w:rFonts w:eastAsia="Times New Roman"/>
          <w:sz w:val="24"/>
          <w:szCs w:val="24"/>
        </w:rPr>
        <w:t>310 CMR 22.00 sets forth those standards and requirements of general application and future effect which shall be used to implement, interpret and enforce M.G.L. c. 40, §§ 15B, 38, 39B, 39C, 40, 41, and 41A; M.G.L. c. 111, §§ 2C, 5E, 5F, 5G, 17, 143, 159, 160, 160A, 160B, 162 and 165; M.G.L. c. 114, §§ 35 and 36; M.G.L. c. 140, §§ 32B and 32H; and M.G.L. c. 165, §§ 4B and 6.</w:t>
      </w:r>
    </w:p>
    <w:p w14:paraId="2819CC23" w14:textId="77777777" w:rsidR="004647B9" w:rsidRDefault="004647B9">
      <w:pPr>
        <w:sectPr w:rsidR="004647B9" w:rsidSect="00EF630C">
          <w:type w:val="continuous"/>
          <w:pgSz w:w="12240" w:h="20180"/>
          <w:pgMar w:top="708" w:right="1440" w:bottom="835" w:left="600" w:header="0" w:footer="0" w:gutter="0"/>
          <w:cols w:space="720" w:equalWidth="0">
            <w:col w:w="10200"/>
          </w:cols>
        </w:sectPr>
      </w:pPr>
    </w:p>
    <w:p w14:paraId="2819CC24" w14:textId="77777777" w:rsidR="004647B9" w:rsidRDefault="00E2436F">
      <w:pPr>
        <w:tabs>
          <w:tab w:val="left" w:pos="160"/>
        </w:tabs>
        <w:jc w:val="center"/>
        <w:rPr>
          <w:sz w:val="20"/>
          <w:szCs w:val="20"/>
        </w:rPr>
      </w:pPr>
      <w:bookmarkStart w:id="1" w:name="page2"/>
      <w:bookmarkEnd w:id="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C25" w14:textId="77777777" w:rsidR="004647B9" w:rsidRDefault="004647B9">
      <w:pPr>
        <w:spacing w:line="200" w:lineRule="exact"/>
        <w:rPr>
          <w:sz w:val="20"/>
          <w:szCs w:val="20"/>
        </w:rPr>
      </w:pPr>
    </w:p>
    <w:p w14:paraId="2819CC26" w14:textId="77777777" w:rsidR="004647B9" w:rsidRDefault="004647B9">
      <w:pPr>
        <w:spacing w:line="318" w:lineRule="exact"/>
        <w:rPr>
          <w:sz w:val="20"/>
          <w:szCs w:val="20"/>
        </w:rPr>
      </w:pPr>
    </w:p>
    <w:p w14:paraId="2819CC27" w14:textId="77777777" w:rsidR="004647B9" w:rsidRDefault="00E2436F">
      <w:pPr>
        <w:tabs>
          <w:tab w:val="left" w:pos="760"/>
        </w:tabs>
        <w:rPr>
          <w:sz w:val="20"/>
          <w:szCs w:val="20"/>
        </w:rPr>
      </w:pPr>
      <w:r>
        <w:rPr>
          <w:rFonts w:eastAsia="Times New Roman"/>
          <w:sz w:val="24"/>
          <w:szCs w:val="24"/>
        </w:rPr>
        <w:t>22.01:</w:t>
      </w:r>
      <w:r>
        <w:rPr>
          <w:rFonts w:eastAsia="Times New Roman"/>
          <w:sz w:val="24"/>
          <w:szCs w:val="24"/>
        </w:rPr>
        <w:tab/>
        <w:t>continued</w:t>
      </w:r>
    </w:p>
    <w:p w14:paraId="2819CC28" w14:textId="77777777" w:rsidR="004647B9" w:rsidRDefault="004647B9">
      <w:pPr>
        <w:spacing w:line="271" w:lineRule="exact"/>
        <w:rPr>
          <w:sz w:val="20"/>
          <w:szCs w:val="20"/>
        </w:rPr>
      </w:pPr>
    </w:p>
    <w:p w14:paraId="2819CC29" w14:textId="77777777" w:rsidR="004647B9" w:rsidRDefault="00E2436F">
      <w:pPr>
        <w:spacing w:line="253" w:lineRule="auto"/>
        <w:ind w:left="1200" w:firstLine="355"/>
        <w:jc w:val="both"/>
        <w:rPr>
          <w:sz w:val="20"/>
          <w:szCs w:val="20"/>
        </w:rPr>
      </w:pPr>
      <w:r>
        <w:rPr>
          <w:rFonts w:eastAsia="Times New Roman"/>
          <w:sz w:val="24"/>
          <w:szCs w:val="24"/>
        </w:rPr>
        <w:t>The Department affirms its authority to determine compliance or initiate enforcement actions related to 310 CMR 22.00 based upon analytical results and other information compiled by its sanctioned representatives and agencies.</w:t>
      </w:r>
    </w:p>
    <w:p w14:paraId="2819CC2A" w14:textId="77777777" w:rsidR="004647B9" w:rsidRDefault="004647B9">
      <w:pPr>
        <w:spacing w:line="222" w:lineRule="exact"/>
        <w:rPr>
          <w:sz w:val="20"/>
          <w:szCs w:val="20"/>
        </w:rPr>
      </w:pPr>
    </w:p>
    <w:p w14:paraId="2819CC2B" w14:textId="77777777" w:rsidR="004647B9" w:rsidRDefault="00E2436F">
      <w:pPr>
        <w:tabs>
          <w:tab w:val="left" w:pos="760"/>
        </w:tabs>
        <w:rPr>
          <w:sz w:val="20"/>
          <w:szCs w:val="20"/>
        </w:rPr>
      </w:pPr>
      <w:r>
        <w:rPr>
          <w:rFonts w:eastAsia="Times New Roman"/>
          <w:sz w:val="24"/>
          <w:szCs w:val="24"/>
          <w:u w:val="single"/>
        </w:rPr>
        <w:t>22.02:</w:t>
      </w:r>
      <w:r>
        <w:rPr>
          <w:rFonts w:eastAsia="Times New Roman"/>
          <w:sz w:val="24"/>
          <w:szCs w:val="24"/>
          <w:u w:val="single"/>
        </w:rPr>
        <w:tab/>
        <w:t>Definitions</w:t>
      </w:r>
    </w:p>
    <w:p w14:paraId="2819CC2C" w14:textId="77777777" w:rsidR="004647B9" w:rsidRDefault="004647B9">
      <w:pPr>
        <w:spacing w:line="271" w:lineRule="exact"/>
        <w:rPr>
          <w:sz w:val="20"/>
          <w:szCs w:val="20"/>
        </w:rPr>
      </w:pPr>
    </w:p>
    <w:p w14:paraId="2819CC2D" w14:textId="77777777" w:rsidR="004647B9" w:rsidRDefault="00E2436F">
      <w:pPr>
        <w:tabs>
          <w:tab w:val="left" w:pos="1640"/>
        </w:tabs>
        <w:ind w:left="1200"/>
        <w:rPr>
          <w:sz w:val="20"/>
          <w:szCs w:val="20"/>
        </w:rPr>
      </w:pPr>
      <w:r>
        <w:rPr>
          <w:rFonts w:eastAsia="Times New Roman"/>
          <w:sz w:val="24"/>
          <w:szCs w:val="24"/>
        </w:rPr>
        <w:t>(1)</w:t>
      </w:r>
      <w:r>
        <w:rPr>
          <w:sz w:val="20"/>
          <w:szCs w:val="20"/>
        </w:rPr>
        <w:tab/>
      </w:r>
      <w:r>
        <w:rPr>
          <w:rFonts w:eastAsia="Times New Roman"/>
          <w:sz w:val="23"/>
          <w:szCs w:val="23"/>
        </w:rPr>
        <w:t>As used in 310 CMR 22.00, the following terms shall have the following meanings:</w:t>
      </w:r>
    </w:p>
    <w:p w14:paraId="2819CC2E" w14:textId="77777777" w:rsidR="004647B9" w:rsidRDefault="004647B9">
      <w:pPr>
        <w:spacing w:line="271" w:lineRule="exact"/>
        <w:rPr>
          <w:sz w:val="20"/>
          <w:szCs w:val="20"/>
        </w:rPr>
      </w:pPr>
    </w:p>
    <w:p w14:paraId="2819CC2F" w14:textId="77777777" w:rsidR="004647B9" w:rsidRDefault="00E2436F">
      <w:pPr>
        <w:spacing w:line="248" w:lineRule="auto"/>
        <w:ind w:left="1200"/>
        <w:jc w:val="both"/>
        <w:rPr>
          <w:sz w:val="20"/>
          <w:szCs w:val="20"/>
        </w:rPr>
      </w:pPr>
      <w:r>
        <w:rPr>
          <w:rFonts w:eastAsia="Times New Roman"/>
          <w:sz w:val="24"/>
          <w:szCs w:val="24"/>
          <w:u w:val="single"/>
        </w:rPr>
        <w:t>Abandoned Source</w:t>
      </w:r>
      <w:r>
        <w:rPr>
          <w:rFonts w:eastAsia="Times New Roman"/>
          <w:sz w:val="24"/>
          <w:szCs w:val="24"/>
        </w:rPr>
        <w:t xml:space="preserve"> means a source that is physically disconnected from a public water system and is no longer maintained as an active, inactive, or Emergency Source. Abandoned Source(s) cannot be used as a public water system source. A source may only be abandoned pursuant to 310 CMR 22.25.</w:t>
      </w:r>
    </w:p>
    <w:p w14:paraId="2819CC30" w14:textId="77777777" w:rsidR="004647B9" w:rsidRDefault="004647B9">
      <w:pPr>
        <w:spacing w:line="227" w:lineRule="exact"/>
        <w:rPr>
          <w:sz w:val="20"/>
          <w:szCs w:val="20"/>
        </w:rPr>
      </w:pPr>
    </w:p>
    <w:p w14:paraId="2819CC31" w14:textId="77777777" w:rsidR="004647B9" w:rsidRDefault="00E2436F">
      <w:pPr>
        <w:spacing w:line="245" w:lineRule="auto"/>
        <w:ind w:left="1200"/>
        <w:jc w:val="both"/>
        <w:rPr>
          <w:sz w:val="20"/>
          <w:szCs w:val="20"/>
        </w:rPr>
      </w:pPr>
      <w:r>
        <w:rPr>
          <w:rFonts w:eastAsia="Times New Roman"/>
          <w:sz w:val="24"/>
          <w:szCs w:val="24"/>
          <w:u w:val="single"/>
        </w:rPr>
        <w:t>Action Level</w:t>
      </w:r>
      <w:r>
        <w:rPr>
          <w:rFonts w:eastAsia="Times New Roman"/>
          <w:sz w:val="24"/>
          <w:szCs w:val="24"/>
        </w:rPr>
        <w:t xml:space="preserve"> means, for the purpose of 310 CMR 22.06(B), the concentration of lead or copper in water specified in 310 CMR 22.06B(1)(c) which determines, in some cases, the treatment requirements contained in 310 CMR 22.06B that a water system is required to complete. The definition of </w:t>
      </w:r>
      <w:r>
        <w:rPr>
          <w:rFonts w:eastAsia="Times New Roman"/>
          <w:sz w:val="24"/>
          <w:szCs w:val="24"/>
          <w:u w:val="single"/>
        </w:rPr>
        <w:t>Action Level</w:t>
      </w:r>
      <w:r>
        <w:rPr>
          <w:rFonts w:eastAsia="Times New Roman"/>
          <w:sz w:val="24"/>
          <w:szCs w:val="24"/>
        </w:rPr>
        <w:t xml:space="preserve"> for the purpose of a consumer confidence report is contained in 310 CMR 22.16A.</w:t>
      </w:r>
    </w:p>
    <w:p w14:paraId="2819CC32" w14:textId="77777777" w:rsidR="004647B9" w:rsidRDefault="004647B9">
      <w:pPr>
        <w:spacing w:line="233" w:lineRule="exact"/>
        <w:rPr>
          <w:sz w:val="20"/>
          <w:szCs w:val="20"/>
        </w:rPr>
      </w:pPr>
    </w:p>
    <w:p w14:paraId="2819CC33" w14:textId="77777777" w:rsidR="004647B9" w:rsidRDefault="00E2436F">
      <w:pPr>
        <w:spacing w:line="269" w:lineRule="auto"/>
        <w:ind w:left="1200"/>
        <w:jc w:val="both"/>
        <w:rPr>
          <w:sz w:val="20"/>
          <w:szCs w:val="20"/>
        </w:rPr>
      </w:pPr>
      <w:r>
        <w:rPr>
          <w:rFonts w:eastAsia="Times New Roman"/>
          <w:sz w:val="24"/>
          <w:szCs w:val="24"/>
          <w:u w:val="single"/>
        </w:rPr>
        <w:t>Active Source</w:t>
      </w:r>
      <w:r>
        <w:rPr>
          <w:rFonts w:eastAsia="Times New Roman"/>
          <w:sz w:val="24"/>
          <w:szCs w:val="24"/>
        </w:rPr>
        <w:t xml:space="preserve"> means an </w:t>
      </w:r>
      <w:r>
        <w:rPr>
          <w:rFonts w:eastAsia="Times New Roman"/>
          <w:sz w:val="24"/>
          <w:szCs w:val="24"/>
          <w:u w:val="single"/>
        </w:rPr>
        <w:t>Approved Source(s)</w:t>
      </w:r>
      <w:r>
        <w:rPr>
          <w:rFonts w:eastAsia="Times New Roman"/>
          <w:sz w:val="24"/>
          <w:szCs w:val="24"/>
        </w:rPr>
        <w:t>, monitored and maintained to meet 310 CMR 22.00 and used for primary or backup purposes to meet consumer demands as necessary.</w:t>
      </w:r>
    </w:p>
    <w:p w14:paraId="2819CC34" w14:textId="77777777" w:rsidR="004647B9" w:rsidRDefault="004647B9">
      <w:pPr>
        <w:spacing w:line="202" w:lineRule="exact"/>
        <w:rPr>
          <w:sz w:val="20"/>
          <w:szCs w:val="20"/>
        </w:rPr>
      </w:pPr>
    </w:p>
    <w:p w14:paraId="2819CC35" w14:textId="77777777" w:rsidR="004647B9" w:rsidRDefault="00E2436F">
      <w:pPr>
        <w:ind w:left="1200"/>
        <w:rPr>
          <w:sz w:val="20"/>
          <w:szCs w:val="20"/>
        </w:rPr>
      </w:pPr>
      <w:r>
        <w:rPr>
          <w:rFonts w:eastAsia="Times New Roman"/>
          <w:sz w:val="24"/>
          <w:szCs w:val="24"/>
          <w:u w:val="single"/>
        </w:rPr>
        <w:t>Administrator</w:t>
      </w:r>
      <w:r>
        <w:rPr>
          <w:rFonts w:eastAsia="Times New Roman"/>
          <w:sz w:val="24"/>
          <w:szCs w:val="24"/>
        </w:rPr>
        <w:t xml:space="preserve"> means the </w:t>
      </w:r>
      <w:r>
        <w:rPr>
          <w:rFonts w:eastAsia="Times New Roman"/>
          <w:sz w:val="24"/>
          <w:szCs w:val="24"/>
          <w:u w:val="single"/>
        </w:rPr>
        <w:t>Administrator</w:t>
      </w:r>
      <w:r>
        <w:rPr>
          <w:rFonts w:eastAsia="Times New Roman"/>
          <w:sz w:val="24"/>
          <w:szCs w:val="24"/>
        </w:rPr>
        <w:t xml:space="preserve"> of the Agency.</w:t>
      </w:r>
    </w:p>
    <w:p w14:paraId="2819CC36" w14:textId="77777777" w:rsidR="004647B9" w:rsidRDefault="004647B9">
      <w:pPr>
        <w:spacing w:line="271" w:lineRule="exact"/>
        <w:rPr>
          <w:sz w:val="20"/>
          <w:szCs w:val="20"/>
        </w:rPr>
      </w:pPr>
    </w:p>
    <w:p w14:paraId="2819CC37" w14:textId="77777777" w:rsidR="004647B9" w:rsidRDefault="00E2436F">
      <w:pPr>
        <w:spacing w:line="269" w:lineRule="auto"/>
        <w:ind w:left="1200"/>
        <w:jc w:val="both"/>
        <w:rPr>
          <w:sz w:val="20"/>
          <w:szCs w:val="20"/>
        </w:rPr>
      </w:pPr>
      <w:r>
        <w:rPr>
          <w:rFonts w:eastAsia="Times New Roman"/>
          <w:sz w:val="24"/>
          <w:szCs w:val="24"/>
          <w:u w:val="single"/>
        </w:rPr>
        <w:t>Adsorption</w:t>
      </w:r>
      <w:r>
        <w:rPr>
          <w:rFonts w:eastAsia="Times New Roman"/>
          <w:sz w:val="24"/>
          <w:szCs w:val="24"/>
        </w:rPr>
        <w:t xml:space="preserve"> means the gathering of a gas, liquid, or dissolved substance on the surface or interface zone of another material.</w:t>
      </w:r>
    </w:p>
    <w:p w14:paraId="2819CC38" w14:textId="77777777" w:rsidR="004647B9" w:rsidRDefault="004647B9">
      <w:pPr>
        <w:spacing w:line="202" w:lineRule="exact"/>
        <w:rPr>
          <w:sz w:val="20"/>
          <w:szCs w:val="20"/>
        </w:rPr>
      </w:pPr>
    </w:p>
    <w:p w14:paraId="2819CC39" w14:textId="77777777" w:rsidR="004647B9" w:rsidRDefault="00E2436F">
      <w:pPr>
        <w:spacing w:line="269" w:lineRule="auto"/>
        <w:ind w:left="1200"/>
        <w:jc w:val="both"/>
        <w:rPr>
          <w:sz w:val="20"/>
          <w:szCs w:val="20"/>
        </w:rPr>
      </w:pPr>
      <w:r>
        <w:rPr>
          <w:rFonts w:eastAsia="Times New Roman"/>
          <w:sz w:val="24"/>
          <w:szCs w:val="24"/>
          <w:u w:val="single"/>
        </w:rPr>
        <w:t>Aeration</w:t>
      </w:r>
      <w:r>
        <w:rPr>
          <w:rFonts w:eastAsia="Times New Roman"/>
          <w:sz w:val="24"/>
          <w:szCs w:val="24"/>
        </w:rPr>
        <w:t xml:space="preserve"> means the process of adding air to water, whether by passing air through water or by passing water through air.</w:t>
      </w:r>
    </w:p>
    <w:p w14:paraId="2819CC3A" w14:textId="77777777" w:rsidR="004647B9" w:rsidRDefault="004647B9">
      <w:pPr>
        <w:spacing w:line="202" w:lineRule="exact"/>
        <w:rPr>
          <w:sz w:val="20"/>
          <w:szCs w:val="20"/>
        </w:rPr>
      </w:pPr>
    </w:p>
    <w:p w14:paraId="2819CC3B" w14:textId="77777777" w:rsidR="004647B9" w:rsidRDefault="00E2436F">
      <w:pPr>
        <w:ind w:left="1200"/>
        <w:rPr>
          <w:sz w:val="20"/>
          <w:szCs w:val="20"/>
        </w:rPr>
      </w:pPr>
      <w:r>
        <w:rPr>
          <w:rFonts w:eastAsia="Times New Roman"/>
          <w:sz w:val="24"/>
          <w:szCs w:val="24"/>
          <w:u w:val="single"/>
        </w:rPr>
        <w:t>Agency</w:t>
      </w:r>
      <w:r>
        <w:rPr>
          <w:rFonts w:eastAsia="Times New Roman"/>
          <w:sz w:val="24"/>
          <w:szCs w:val="24"/>
        </w:rPr>
        <w:t xml:space="preserve"> means the United States Environmental Protection Agency.</w:t>
      </w:r>
    </w:p>
    <w:p w14:paraId="2819CC3C" w14:textId="77777777" w:rsidR="004647B9" w:rsidRDefault="004647B9">
      <w:pPr>
        <w:spacing w:line="271" w:lineRule="exact"/>
        <w:rPr>
          <w:sz w:val="20"/>
          <w:szCs w:val="20"/>
        </w:rPr>
      </w:pPr>
    </w:p>
    <w:p w14:paraId="2819CC3D" w14:textId="77777777" w:rsidR="004647B9" w:rsidRDefault="00E2436F">
      <w:pPr>
        <w:spacing w:line="269" w:lineRule="auto"/>
        <w:ind w:left="1200"/>
        <w:jc w:val="both"/>
        <w:rPr>
          <w:sz w:val="20"/>
          <w:szCs w:val="20"/>
        </w:rPr>
      </w:pPr>
      <w:r>
        <w:rPr>
          <w:rFonts w:eastAsia="Times New Roman"/>
          <w:sz w:val="24"/>
          <w:szCs w:val="24"/>
          <w:u w:val="single"/>
        </w:rPr>
        <w:t>Air Stripping</w:t>
      </w:r>
      <w:r>
        <w:rPr>
          <w:rFonts w:eastAsia="Times New Roman"/>
          <w:sz w:val="24"/>
          <w:szCs w:val="24"/>
        </w:rPr>
        <w:t xml:space="preserve"> means a treatment process used to remove dissolved gases and volatile substances from water by bubbling large volumes of air through the water being treated.</w:t>
      </w:r>
    </w:p>
    <w:p w14:paraId="2819CC3E" w14:textId="77777777" w:rsidR="004647B9" w:rsidRDefault="004647B9">
      <w:pPr>
        <w:spacing w:line="202" w:lineRule="exact"/>
        <w:rPr>
          <w:sz w:val="20"/>
          <w:szCs w:val="20"/>
        </w:rPr>
      </w:pPr>
    </w:p>
    <w:p w14:paraId="2819CC3F" w14:textId="77777777" w:rsidR="004647B9" w:rsidRDefault="00E2436F">
      <w:pPr>
        <w:spacing w:line="269" w:lineRule="auto"/>
        <w:ind w:left="1200"/>
        <w:jc w:val="both"/>
        <w:rPr>
          <w:sz w:val="20"/>
          <w:szCs w:val="20"/>
        </w:rPr>
      </w:pPr>
      <w:r>
        <w:rPr>
          <w:rFonts w:eastAsia="Times New Roman"/>
          <w:sz w:val="24"/>
          <w:szCs w:val="24"/>
          <w:u w:val="single"/>
        </w:rPr>
        <w:t>Approved Source</w:t>
      </w:r>
      <w:r>
        <w:rPr>
          <w:rFonts w:eastAsia="Times New Roman"/>
          <w:sz w:val="24"/>
          <w:szCs w:val="24"/>
        </w:rPr>
        <w:t xml:space="preserve"> means a water supply source approved by the Department for drinking water purposes pursuant to 310 CMR 22.03(1).</w:t>
      </w:r>
    </w:p>
    <w:p w14:paraId="2819CC40" w14:textId="77777777" w:rsidR="004647B9" w:rsidRDefault="004647B9">
      <w:pPr>
        <w:spacing w:line="202" w:lineRule="exact"/>
        <w:rPr>
          <w:sz w:val="20"/>
          <w:szCs w:val="20"/>
        </w:rPr>
      </w:pPr>
    </w:p>
    <w:p w14:paraId="2819CC41" w14:textId="77777777" w:rsidR="004647B9" w:rsidRDefault="00E2436F">
      <w:pPr>
        <w:spacing w:line="248" w:lineRule="auto"/>
        <w:ind w:left="1200"/>
        <w:jc w:val="both"/>
        <w:rPr>
          <w:sz w:val="20"/>
          <w:szCs w:val="20"/>
        </w:rPr>
      </w:pPr>
      <w:r>
        <w:rPr>
          <w:rFonts w:eastAsia="Times New Roman"/>
          <w:sz w:val="24"/>
          <w:szCs w:val="24"/>
          <w:u w:val="single"/>
        </w:rPr>
        <w:t>Bag Filter</w:t>
      </w:r>
      <w:r>
        <w:rPr>
          <w:rFonts w:eastAsia="Times New Roman"/>
          <w:sz w:val="24"/>
          <w:szCs w:val="24"/>
        </w:rPr>
        <w:t xml:space="preserve"> means pressure-driven separation devices that remove particulate matter larger than one micrometer using an engineered porous Filtration media. They are typically constructed of a non-rigid, fabric Filtration media housed in a pressure vessel in which the direction of flow is from the inside of the bag to outside.</w:t>
      </w:r>
    </w:p>
    <w:p w14:paraId="2819CC42" w14:textId="77777777" w:rsidR="004647B9" w:rsidRDefault="004647B9">
      <w:pPr>
        <w:spacing w:line="227" w:lineRule="exact"/>
        <w:rPr>
          <w:sz w:val="20"/>
          <w:szCs w:val="20"/>
        </w:rPr>
      </w:pPr>
    </w:p>
    <w:p w14:paraId="2819CC43" w14:textId="77777777" w:rsidR="004647B9" w:rsidRDefault="00E2436F">
      <w:pPr>
        <w:spacing w:line="245" w:lineRule="auto"/>
        <w:ind w:left="1200"/>
        <w:jc w:val="both"/>
        <w:rPr>
          <w:sz w:val="20"/>
          <w:szCs w:val="20"/>
        </w:rPr>
      </w:pPr>
      <w:r>
        <w:rPr>
          <w:rFonts w:eastAsia="Times New Roman"/>
          <w:sz w:val="24"/>
          <w:szCs w:val="24"/>
          <w:u w:val="single"/>
        </w:rPr>
        <w:t>Bank</w:t>
      </w:r>
      <w:r>
        <w:rPr>
          <w:rFonts w:eastAsia="Times New Roman"/>
          <w:sz w:val="24"/>
          <w:szCs w:val="24"/>
        </w:rPr>
        <w:t xml:space="preserve"> means the portion of the land surface which normally abuts and confines a water body; it lies between a water body and a bordering vegetated wetland and adjacent flood plain, or in the absence of these, it lies between a water body and an upland; the upper boundary of a Bank is the first observable break in the slope or the mean annual flood level, whichever is lower; the lower boundary of a Bank is the mean annual low flow level.</w:t>
      </w:r>
    </w:p>
    <w:p w14:paraId="2819CC44" w14:textId="77777777" w:rsidR="004647B9" w:rsidRDefault="004647B9">
      <w:pPr>
        <w:spacing w:line="233" w:lineRule="exact"/>
        <w:rPr>
          <w:sz w:val="20"/>
          <w:szCs w:val="20"/>
        </w:rPr>
      </w:pPr>
    </w:p>
    <w:p w14:paraId="2819CC45" w14:textId="77777777" w:rsidR="004647B9" w:rsidRDefault="00E2436F">
      <w:pPr>
        <w:spacing w:line="269" w:lineRule="auto"/>
        <w:ind w:left="1200"/>
        <w:jc w:val="both"/>
        <w:rPr>
          <w:sz w:val="20"/>
          <w:szCs w:val="20"/>
        </w:rPr>
      </w:pPr>
      <w:r>
        <w:rPr>
          <w:rFonts w:eastAsia="Times New Roman"/>
          <w:sz w:val="23"/>
          <w:szCs w:val="23"/>
          <w:u w:val="single"/>
        </w:rPr>
        <w:t>Bank Filtration</w:t>
      </w:r>
      <w:r>
        <w:rPr>
          <w:rFonts w:eastAsia="Times New Roman"/>
          <w:sz w:val="23"/>
          <w:szCs w:val="23"/>
        </w:rPr>
        <w:t xml:space="preserve"> means a water treatment process that uses a well to recover Surface Water that has naturally infiltrated into Groundwater through a river bed or Bank(s). Infiltration is typically enhanced by the hydraulic gradient imposed by a nearby pumping water supply or other well(s).</w:t>
      </w:r>
    </w:p>
    <w:p w14:paraId="2819CC46" w14:textId="77777777" w:rsidR="004647B9" w:rsidRDefault="004647B9">
      <w:pPr>
        <w:spacing w:line="205" w:lineRule="exact"/>
        <w:rPr>
          <w:sz w:val="20"/>
          <w:szCs w:val="20"/>
        </w:rPr>
      </w:pPr>
    </w:p>
    <w:p w14:paraId="2819CC47" w14:textId="77777777" w:rsidR="004647B9" w:rsidRDefault="00E2436F">
      <w:pPr>
        <w:spacing w:line="269" w:lineRule="auto"/>
        <w:ind w:left="1200"/>
        <w:jc w:val="both"/>
        <w:rPr>
          <w:sz w:val="20"/>
          <w:szCs w:val="20"/>
        </w:rPr>
      </w:pPr>
      <w:r>
        <w:rPr>
          <w:rFonts w:eastAsia="Times New Roman"/>
          <w:sz w:val="23"/>
          <w:szCs w:val="23"/>
          <w:u w:val="single"/>
        </w:rPr>
        <w:t>Best Available Technology or "BAT</w:t>
      </w:r>
      <w:r>
        <w:rPr>
          <w:rFonts w:eastAsia="Times New Roman"/>
          <w:sz w:val="23"/>
          <w:szCs w:val="23"/>
        </w:rPr>
        <w:t>" means the best technology Treatment Techniques, or other means which the EPA or Department finds, after examination for efficacy under field conditions and not solely under laboratory conditions, are available (taking cost into consideration).</w:t>
      </w:r>
    </w:p>
    <w:p w14:paraId="2819CC48" w14:textId="77777777" w:rsidR="004647B9" w:rsidRDefault="004647B9">
      <w:pPr>
        <w:spacing w:line="205" w:lineRule="exact"/>
        <w:rPr>
          <w:sz w:val="20"/>
          <w:szCs w:val="20"/>
        </w:rPr>
      </w:pPr>
    </w:p>
    <w:p w14:paraId="2819CC49" w14:textId="77777777" w:rsidR="004647B9" w:rsidRDefault="00E2436F">
      <w:pPr>
        <w:spacing w:line="248" w:lineRule="auto"/>
        <w:ind w:left="1200"/>
        <w:jc w:val="both"/>
        <w:rPr>
          <w:sz w:val="20"/>
          <w:szCs w:val="20"/>
        </w:rPr>
      </w:pPr>
      <w:r>
        <w:rPr>
          <w:rFonts w:eastAsia="Times New Roman"/>
          <w:sz w:val="24"/>
          <w:szCs w:val="24"/>
          <w:u w:val="single"/>
        </w:rPr>
        <w:t>Cartridge Filter</w:t>
      </w:r>
      <w:r>
        <w:rPr>
          <w:rFonts w:eastAsia="Times New Roman"/>
          <w:sz w:val="24"/>
          <w:szCs w:val="24"/>
        </w:rPr>
        <w:t xml:space="preserve"> means pressure-driven separation devices that remove particulate matter larger than one micrometer using an engineered porous Filtration media. They are typically constructed as rigid or semi-rigid, self-supporting filter elements housed in pressure vessels in which flow is from the outside of the cartridge to the inside.</w:t>
      </w:r>
    </w:p>
    <w:p w14:paraId="2819CC4A" w14:textId="77777777" w:rsidR="004647B9" w:rsidRDefault="004647B9">
      <w:pPr>
        <w:sectPr w:rsidR="004647B9" w:rsidSect="00EF630C">
          <w:pgSz w:w="12240" w:h="20180"/>
          <w:pgMar w:top="708" w:right="1440" w:bottom="830" w:left="600" w:header="0" w:footer="0" w:gutter="0"/>
          <w:cols w:space="720" w:equalWidth="0">
            <w:col w:w="10200"/>
          </w:cols>
        </w:sectPr>
      </w:pPr>
    </w:p>
    <w:p w14:paraId="2819CC4B" w14:textId="77777777" w:rsidR="004647B9" w:rsidRPr="00E65DD9" w:rsidRDefault="00E2436F" w:rsidP="00F206D1">
      <w:pPr>
        <w:tabs>
          <w:tab w:val="left" w:pos="160"/>
        </w:tabs>
        <w:jc w:val="center"/>
        <w:rPr>
          <w:sz w:val="24"/>
          <w:szCs w:val="24"/>
        </w:rPr>
      </w:pPr>
      <w:bookmarkStart w:id="2" w:name="page3"/>
      <w:bookmarkEnd w:id="2"/>
      <w:r w:rsidRPr="00E65DD9">
        <w:rPr>
          <w:rFonts w:eastAsia="Times New Roman"/>
          <w:sz w:val="24"/>
          <w:szCs w:val="24"/>
        </w:rPr>
        <w:lastRenderedPageBreak/>
        <w:t>310 CMR:</w:t>
      </w:r>
      <w:r w:rsidRPr="00E65DD9">
        <w:rPr>
          <w:sz w:val="24"/>
          <w:szCs w:val="24"/>
        </w:rPr>
        <w:tab/>
      </w:r>
      <w:r w:rsidRPr="00E65DD9">
        <w:rPr>
          <w:rFonts w:eastAsia="Times New Roman"/>
          <w:sz w:val="24"/>
          <w:szCs w:val="24"/>
        </w:rPr>
        <w:t>DEPARTMENT OF ENVIRONMENTAL PROTECTION</w:t>
      </w:r>
    </w:p>
    <w:p w14:paraId="2819CC4C" w14:textId="77777777" w:rsidR="004647B9" w:rsidRPr="00367662" w:rsidRDefault="004647B9" w:rsidP="00F206D1">
      <w:pPr>
        <w:rPr>
          <w:sz w:val="20"/>
          <w:szCs w:val="20"/>
        </w:rPr>
      </w:pPr>
    </w:p>
    <w:p w14:paraId="2819CC4D" w14:textId="77777777" w:rsidR="004647B9" w:rsidRPr="00367662" w:rsidRDefault="004647B9" w:rsidP="00F206D1">
      <w:pPr>
        <w:rPr>
          <w:sz w:val="20"/>
          <w:szCs w:val="20"/>
        </w:rPr>
      </w:pPr>
    </w:p>
    <w:p w14:paraId="2819CC4E" w14:textId="77777777" w:rsidR="004647B9" w:rsidRPr="00E65DD9" w:rsidRDefault="00E2436F" w:rsidP="00F206D1">
      <w:pPr>
        <w:tabs>
          <w:tab w:val="left" w:pos="760"/>
        </w:tabs>
        <w:rPr>
          <w:sz w:val="24"/>
          <w:szCs w:val="24"/>
        </w:rPr>
      </w:pPr>
      <w:r w:rsidRPr="00E65DD9">
        <w:rPr>
          <w:rFonts w:eastAsia="Times New Roman"/>
          <w:sz w:val="24"/>
          <w:szCs w:val="24"/>
        </w:rPr>
        <w:t>22.02:</w:t>
      </w:r>
      <w:r w:rsidRPr="00E65DD9">
        <w:rPr>
          <w:rFonts w:eastAsia="Times New Roman"/>
          <w:sz w:val="24"/>
          <w:szCs w:val="24"/>
        </w:rPr>
        <w:tab/>
        <w:t>continued</w:t>
      </w:r>
    </w:p>
    <w:p w14:paraId="2819CC4F" w14:textId="77777777" w:rsidR="004647B9" w:rsidRPr="00367662" w:rsidRDefault="004647B9" w:rsidP="00F206D1">
      <w:pPr>
        <w:rPr>
          <w:sz w:val="20"/>
          <w:szCs w:val="20"/>
        </w:rPr>
      </w:pPr>
    </w:p>
    <w:p w14:paraId="2819CC50" w14:textId="77777777" w:rsidR="004647B9" w:rsidRPr="00E65DD9" w:rsidRDefault="00E2436F" w:rsidP="00F206D1">
      <w:pPr>
        <w:ind w:left="1200"/>
        <w:jc w:val="both"/>
        <w:rPr>
          <w:sz w:val="24"/>
          <w:szCs w:val="24"/>
        </w:rPr>
      </w:pPr>
      <w:r w:rsidRPr="00E65DD9">
        <w:rPr>
          <w:rFonts w:eastAsia="Times New Roman"/>
          <w:sz w:val="24"/>
          <w:szCs w:val="24"/>
          <w:u w:val="single"/>
        </w:rPr>
        <w:t>Certified Operator</w:t>
      </w:r>
      <w:r w:rsidRPr="00E65DD9">
        <w:rPr>
          <w:rFonts w:eastAsia="Times New Roman"/>
          <w:sz w:val="24"/>
          <w:szCs w:val="24"/>
        </w:rPr>
        <w:t xml:space="preserve"> means an individual who has received a certificate of competency issued by the Board of Certification of Operators of Drinking Water Supply Facilities in accordance with 236 CMR 2.00 through 5.00 and currently maintains a valid license.</w:t>
      </w:r>
    </w:p>
    <w:p w14:paraId="2819CC51" w14:textId="77777777" w:rsidR="004647B9" w:rsidRPr="00367662" w:rsidRDefault="004647B9" w:rsidP="00F206D1">
      <w:pPr>
        <w:rPr>
          <w:sz w:val="20"/>
          <w:szCs w:val="20"/>
        </w:rPr>
      </w:pPr>
    </w:p>
    <w:p w14:paraId="2819CC52" w14:textId="77777777" w:rsidR="004647B9" w:rsidRPr="00E65DD9" w:rsidRDefault="00E2436F" w:rsidP="00F206D1">
      <w:pPr>
        <w:ind w:left="1200"/>
        <w:jc w:val="both"/>
        <w:rPr>
          <w:sz w:val="24"/>
          <w:szCs w:val="24"/>
        </w:rPr>
      </w:pPr>
      <w:r w:rsidRPr="00E65DD9">
        <w:rPr>
          <w:rFonts w:eastAsia="Times New Roman"/>
          <w:sz w:val="24"/>
          <w:szCs w:val="24"/>
          <w:u w:val="single"/>
        </w:rPr>
        <w:t>Chemical Feed System</w:t>
      </w:r>
      <w:r w:rsidRPr="00E65DD9">
        <w:rPr>
          <w:rFonts w:eastAsia="Times New Roman"/>
          <w:sz w:val="24"/>
          <w:szCs w:val="24"/>
        </w:rPr>
        <w:t xml:space="preserve"> means an automated or manually controlled mechanism for introducing chemical compounds into a water treatment system in regulated concentrations and amounts at predetermined events or times for the purpose of treating water in order to ensure a safe and pure drinking water supply.</w:t>
      </w:r>
    </w:p>
    <w:p w14:paraId="2819CC53" w14:textId="77777777" w:rsidR="004647B9" w:rsidRPr="00367662" w:rsidRDefault="004647B9" w:rsidP="00F206D1">
      <w:pPr>
        <w:rPr>
          <w:sz w:val="20"/>
          <w:szCs w:val="20"/>
        </w:rPr>
      </w:pPr>
    </w:p>
    <w:p w14:paraId="2819CC54" w14:textId="77777777" w:rsidR="004647B9" w:rsidRPr="00E65DD9" w:rsidRDefault="00E2436F" w:rsidP="00F206D1">
      <w:pPr>
        <w:ind w:left="1200"/>
        <w:jc w:val="both"/>
        <w:rPr>
          <w:sz w:val="24"/>
          <w:szCs w:val="24"/>
        </w:rPr>
      </w:pPr>
      <w:r w:rsidRPr="00E65DD9">
        <w:rPr>
          <w:rFonts w:eastAsia="Times New Roman"/>
          <w:sz w:val="24"/>
          <w:szCs w:val="24"/>
          <w:u w:val="single"/>
        </w:rPr>
        <w:t>Chloramination</w:t>
      </w:r>
      <w:r w:rsidRPr="00E65DD9">
        <w:rPr>
          <w:rFonts w:eastAsia="Times New Roman"/>
          <w:sz w:val="24"/>
          <w:szCs w:val="24"/>
        </w:rPr>
        <w:t xml:space="preserve"> means the application of chlorine and ammonia to water to form chloramines for the purpose of Disinfection.</w:t>
      </w:r>
    </w:p>
    <w:p w14:paraId="2819CC55" w14:textId="77777777" w:rsidR="004647B9" w:rsidRPr="00367662" w:rsidRDefault="004647B9" w:rsidP="00F206D1">
      <w:pPr>
        <w:rPr>
          <w:sz w:val="20"/>
          <w:szCs w:val="20"/>
        </w:rPr>
      </w:pPr>
    </w:p>
    <w:p w14:paraId="2819CC56" w14:textId="77777777" w:rsidR="004647B9" w:rsidRPr="00E65DD9" w:rsidRDefault="00E2436F" w:rsidP="00F206D1">
      <w:pPr>
        <w:ind w:left="1200"/>
        <w:jc w:val="both"/>
        <w:rPr>
          <w:sz w:val="24"/>
          <w:szCs w:val="24"/>
        </w:rPr>
      </w:pPr>
      <w:r w:rsidRPr="00E65DD9">
        <w:rPr>
          <w:rFonts w:eastAsia="Times New Roman"/>
          <w:sz w:val="24"/>
          <w:szCs w:val="24"/>
          <w:u w:val="single"/>
        </w:rPr>
        <w:t>Clean Compliance History</w:t>
      </w:r>
      <w:r w:rsidRPr="00E65DD9">
        <w:rPr>
          <w:rFonts w:eastAsia="Times New Roman"/>
          <w:sz w:val="24"/>
          <w:szCs w:val="24"/>
        </w:rPr>
        <w:t xml:space="preserve"> means, for purposes of 310 CMR 22.05, a record of no Maximum Contaminant Level (MCL) violations, no monitoring violations, no coliform Treatment Technique trigger exceedances, and no Treatment Technique violations; all under 310 CMR 22.05; and no Treatment Technique violations or Significant Deficiencies under 310 CMR 22.26.</w:t>
      </w:r>
    </w:p>
    <w:p w14:paraId="2819CC57" w14:textId="77777777" w:rsidR="004647B9" w:rsidRPr="00367662" w:rsidRDefault="004647B9" w:rsidP="00F206D1">
      <w:pPr>
        <w:rPr>
          <w:sz w:val="20"/>
          <w:szCs w:val="20"/>
        </w:rPr>
      </w:pPr>
    </w:p>
    <w:p w14:paraId="2819CC58" w14:textId="77777777" w:rsidR="004647B9" w:rsidRPr="00E65DD9" w:rsidRDefault="00E2436F" w:rsidP="00F206D1">
      <w:pPr>
        <w:ind w:left="1200"/>
        <w:jc w:val="both"/>
        <w:rPr>
          <w:sz w:val="24"/>
          <w:szCs w:val="24"/>
        </w:rPr>
      </w:pPr>
      <w:r w:rsidRPr="00E65DD9">
        <w:rPr>
          <w:rFonts w:eastAsia="Times New Roman"/>
          <w:sz w:val="24"/>
          <w:szCs w:val="24"/>
          <w:u w:val="single"/>
        </w:rPr>
        <w:t>Coagulation</w:t>
      </w:r>
      <w:r w:rsidRPr="00E65DD9">
        <w:rPr>
          <w:rFonts w:eastAsia="Times New Roman"/>
          <w:sz w:val="24"/>
          <w:szCs w:val="24"/>
        </w:rPr>
        <w:t xml:space="preserve"> means a process using coagulant chemicals and mixing by which colloidal and suspended materials are destabilized and agglomerated into flocs.</w:t>
      </w:r>
    </w:p>
    <w:p w14:paraId="2819CC59" w14:textId="77777777" w:rsidR="004647B9" w:rsidRPr="00367662" w:rsidRDefault="004647B9" w:rsidP="00F206D1">
      <w:pPr>
        <w:rPr>
          <w:sz w:val="20"/>
          <w:szCs w:val="20"/>
        </w:rPr>
      </w:pPr>
    </w:p>
    <w:p w14:paraId="2819CC5A" w14:textId="77777777" w:rsidR="004647B9" w:rsidRPr="00E65DD9" w:rsidRDefault="00E2436F" w:rsidP="00F206D1">
      <w:pPr>
        <w:ind w:left="1200"/>
        <w:jc w:val="both"/>
        <w:rPr>
          <w:sz w:val="24"/>
          <w:szCs w:val="24"/>
        </w:rPr>
      </w:pPr>
      <w:r w:rsidRPr="00E65DD9">
        <w:rPr>
          <w:rFonts w:eastAsia="Times New Roman"/>
          <w:sz w:val="24"/>
          <w:szCs w:val="24"/>
          <w:u w:val="single"/>
        </w:rPr>
        <w:t>Combined Distribution System</w:t>
      </w:r>
      <w:r w:rsidRPr="00E65DD9">
        <w:rPr>
          <w:rFonts w:eastAsia="Times New Roman"/>
          <w:sz w:val="24"/>
          <w:szCs w:val="24"/>
        </w:rPr>
        <w:t xml:space="preserve"> means the interconnected distribution system consisting of the distribution systems of wholesale systems and of the consecutive systems that receive finished water.</w:t>
      </w:r>
    </w:p>
    <w:p w14:paraId="2819CC5B" w14:textId="77777777" w:rsidR="004647B9" w:rsidRPr="00367662" w:rsidRDefault="004647B9" w:rsidP="00F206D1">
      <w:pPr>
        <w:rPr>
          <w:sz w:val="20"/>
          <w:szCs w:val="20"/>
        </w:rPr>
      </w:pPr>
    </w:p>
    <w:p w14:paraId="2819CC5C" w14:textId="77777777" w:rsidR="004647B9" w:rsidRPr="00E65DD9" w:rsidRDefault="00E2436F" w:rsidP="00F206D1">
      <w:pPr>
        <w:ind w:left="1200"/>
        <w:rPr>
          <w:sz w:val="24"/>
          <w:szCs w:val="24"/>
        </w:rPr>
      </w:pPr>
      <w:r w:rsidRPr="00E65DD9">
        <w:rPr>
          <w:rFonts w:eastAsia="Times New Roman"/>
          <w:sz w:val="24"/>
          <w:szCs w:val="24"/>
          <w:u w:val="single"/>
        </w:rPr>
        <w:t>Commissioner</w:t>
      </w:r>
      <w:r w:rsidRPr="00E65DD9">
        <w:rPr>
          <w:rFonts w:eastAsia="Times New Roman"/>
          <w:sz w:val="24"/>
          <w:szCs w:val="24"/>
        </w:rPr>
        <w:t xml:space="preserve"> means the Commissioner of the Department of Environmental Protection</w:t>
      </w:r>
    </w:p>
    <w:p w14:paraId="2819CC5D" w14:textId="77777777" w:rsidR="004647B9" w:rsidRPr="00367662" w:rsidRDefault="004647B9" w:rsidP="00F206D1">
      <w:pPr>
        <w:rPr>
          <w:sz w:val="20"/>
          <w:szCs w:val="20"/>
        </w:rPr>
      </w:pPr>
    </w:p>
    <w:p w14:paraId="2819CC5E" w14:textId="7E9F09CC" w:rsidR="004647B9" w:rsidRPr="00E65DD9" w:rsidRDefault="00E2436F" w:rsidP="00F206D1">
      <w:pPr>
        <w:ind w:left="1200"/>
        <w:jc w:val="both"/>
        <w:rPr>
          <w:sz w:val="24"/>
          <w:szCs w:val="24"/>
        </w:rPr>
      </w:pPr>
      <w:r w:rsidRPr="00E65DD9">
        <w:rPr>
          <w:rFonts w:eastAsia="Times New Roman"/>
          <w:sz w:val="24"/>
          <w:szCs w:val="24"/>
          <w:u w:val="single"/>
        </w:rPr>
        <w:t>Compliance Cycle</w:t>
      </w:r>
      <w:r w:rsidRPr="00E65DD9">
        <w:rPr>
          <w:rFonts w:eastAsia="Times New Roman"/>
          <w:sz w:val="24"/>
          <w:szCs w:val="24"/>
        </w:rPr>
        <w:t xml:space="preserve"> means the nine-year (calendar year) cycle during which public water systems must monitor. Each Compliance Cycle consists of </w:t>
      </w:r>
      <w:r w:rsidR="006A7AE4" w:rsidRPr="00E65DD9">
        <w:rPr>
          <w:rFonts w:eastAsia="Times New Roman"/>
          <w:sz w:val="24"/>
          <w:szCs w:val="24"/>
        </w:rPr>
        <w:t xml:space="preserve">three </w:t>
      </w:r>
      <w:r w:rsidRPr="00E65DD9">
        <w:rPr>
          <w:rFonts w:eastAsia="Times New Roman"/>
          <w:sz w:val="24"/>
          <w:szCs w:val="24"/>
        </w:rPr>
        <w:t>three-year Compliance Periods. The first calendar year cycle begins January 1, 1993 and ends December 31, 2001; the second begins January 1, 2002 and ends December 31, 2010; the third begins January 1, 2011 and ends December 31, 2019.</w:t>
      </w:r>
      <w:r w:rsidR="00425898" w:rsidRPr="00E65DD9">
        <w:rPr>
          <w:rFonts w:eastAsia="Times New Roman"/>
          <w:sz w:val="24"/>
          <w:szCs w:val="24"/>
        </w:rPr>
        <w:t xml:space="preserve"> </w:t>
      </w:r>
      <w:r w:rsidR="00425898" w:rsidRPr="00E65DD9">
        <w:rPr>
          <w:sz w:val="24"/>
          <w:szCs w:val="24"/>
        </w:rPr>
        <w:t>Each subsequent Compliance Cycle shall commence on the 1</w:t>
      </w:r>
      <w:r w:rsidR="00425898" w:rsidRPr="00E65DD9">
        <w:rPr>
          <w:sz w:val="24"/>
          <w:szCs w:val="24"/>
          <w:vertAlign w:val="superscript"/>
        </w:rPr>
        <w:t>st</w:t>
      </w:r>
      <w:r w:rsidR="00425898" w:rsidRPr="00E65DD9">
        <w:rPr>
          <w:sz w:val="24"/>
          <w:szCs w:val="24"/>
        </w:rPr>
        <w:t xml:space="preserve"> day of January immediately following the last day of the prior Compliance Cycle, and shall end on the 31</w:t>
      </w:r>
      <w:r w:rsidR="00425898" w:rsidRPr="00E65DD9">
        <w:rPr>
          <w:sz w:val="24"/>
          <w:szCs w:val="24"/>
          <w:vertAlign w:val="superscript"/>
        </w:rPr>
        <w:t>st</w:t>
      </w:r>
      <w:r w:rsidR="00425898" w:rsidRPr="00E65DD9">
        <w:rPr>
          <w:sz w:val="24"/>
          <w:szCs w:val="24"/>
        </w:rPr>
        <w:t xml:space="preserve"> day of December in its ninth calendar year.</w:t>
      </w:r>
    </w:p>
    <w:p w14:paraId="2819CC5F" w14:textId="77777777" w:rsidR="004647B9" w:rsidRPr="00367662" w:rsidRDefault="004647B9" w:rsidP="00F206D1">
      <w:pPr>
        <w:rPr>
          <w:sz w:val="20"/>
          <w:szCs w:val="20"/>
        </w:rPr>
      </w:pPr>
    </w:p>
    <w:p w14:paraId="2819CC60" w14:textId="0EBAEEE6" w:rsidR="004647B9" w:rsidRPr="00E65DD9" w:rsidRDefault="00E2436F" w:rsidP="00F206D1">
      <w:pPr>
        <w:ind w:left="1200"/>
        <w:jc w:val="both"/>
        <w:rPr>
          <w:sz w:val="24"/>
          <w:szCs w:val="24"/>
        </w:rPr>
      </w:pPr>
      <w:r w:rsidRPr="00E65DD9">
        <w:rPr>
          <w:rFonts w:eastAsia="Times New Roman"/>
          <w:sz w:val="24"/>
          <w:szCs w:val="24"/>
          <w:u w:val="single"/>
        </w:rPr>
        <w:t>Compliance Period</w:t>
      </w:r>
      <w:r w:rsidRPr="00E65DD9">
        <w:rPr>
          <w:rFonts w:eastAsia="Times New Roman"/>
          <w:sz w:val="24"/>
          <w:szCs w:val="24"/>
        </w:rPr>
        <w:t xml:space="preserve"> means a three-year (calendar year) period within a Compliance Cycle. Each Compliance Cycle has </w:t>
      </w:r>
      <w:r w:rsidR="00833FF2" w:rsidRPr="00E65DD9">
        <w:rPr>
          <w:rFonts w:eastAsia="Times New Roman"/>
          <w:sz w:val="24"/>
          <w:szCs w:val="24"/>
        </w:rPr>
        <w:t xml:space="preserve">three </w:t>
      </w:r>
      <w:r w:rsidRPr="00E65DD9">
        <w:rPr>
          <w:rFonts w:eastAsia="Times New Roman"/>
          <w:sz w:val="24"/>
          <w:szCs w:val="24"/>
        </w:rPr>
        <w:t>three-year Compliance Periods. Within the first Compliance Cycle, the first Compliance Period runs from January 1, 1993 to December 31, 1995; the second from January 1, 1996 to December 31, 1998; the third from January 1, 1999 to December 31, 2001.</w:t>
      </w:r>
      <w:r w:rsidR="00833FF2" w:rsidRPr="00E65DD9">
        <w:rPr>
          <w:rFonts w:eastAsia="Times New Roman"/>
          <w:sz w:val="24"/>
          <w:szCs w:val="24"/>
        </w:rPr>
        <w:t xml:space="preserve"> </w:t>
      </w:r>
      <w:r w:rsidR="00833FF2" w:rsidRPr="00E65DD9">
        <w:rPr>
          <w:sz w:val="24"/>
          <w:szCs w:val="24"/>
        </w:rPr>
        <w:t>Each subsequent Compliance Period shall commence on the 1</w:t>
      </w:r>
      <w:r w:rsidR="00833FF2" w:rsidRPr="00E65DD9">
        <w:rPr>
          <w:sz w:val="24"/>
          <w:szCs w:val="24"/>
          <w:vertAlign w:val="superscript"/>
        </w:rPr>
        <w:t>st</w:t>
      </w:r>
      <w:r w:rsidR="00833FF2" w:rsidRPr="00E65DD9">
        <w:rPr>
          <w:sz w:val="24"/>
          <w:szCs w:val="24"/>
        </w:rPr>
        <w:t xml:space="preserve"> day of January immediately following the last day of the prior Compliance Period, and shall end on the 31</w:t>
      </w:r>
      <w:r w:rsidR="00833FF2" w:rsidRPr="00E65DD9">
        <w:rPr>
          <w:sz w:val="24"/>
          <w:szCs w:val="24"/>
          <w:vertAlign w:val="superscript"/>
        </w:rPr>
        <w:t>st</w:t>
      </w:r>
      <w:r w:rsidR="00833FF2" w:rsidRPr="00E65DD9">
        <w:rPr>
          <w:sz w:val="24"/>
          <w:szCs w:val="24"/>
        </w:rPr>
        <w:t xml:space="preserve"> day of December in its third calendar year.</w:t>
      </w:r>
    </w:p>
    <w:p w14:paraId="2819CC61" w14:textId="77777777" w:rsidR="004647B9" w:rsidRPr="00367662" w:rsidRDefault="004647B9" w:rsidP="00F206D1">
      <w:pPr>
        <w:rPr>
          <w:sz w:val="20"/>
          <w:szCs w:val="20"/>
        </w:rPr>
      </w:pPr>
    </w:p>
    <w:p w14:paraId="2819CC62" w14:textId="1D26009B" w:rsidR="004647B9" w:rsidRDefault="00E2436F" w:rsidP="00F206D1">
      <w:pPr>
        <w:ind w:left="1200"/>
        <w:jc w:val="both"/>
        <w:rPr>
          <w:rFonts w:eastAsia="Times New Roman"/>
          <w:sz w:val="24"/>
          <w:szCs w:val="24"/>
        </w:rPr>
      </w:pPr>
      <w:r w:rsidRPr="00E65DD9">
        <w:rPr>
          <w:rFonts w:eastAsia="Times New Roman"/>
          <w:sz w:val="24"/>
          <w:szCs w:val="24"/>
          <w:u w:val="single"/>
        </w:rPr>
        <w:t>Comprehensive Performance Evaluation</w:t>
      </w:r>
      <w:r w:rsidRPr="00E65DD9">
        <w:rPr>
          <w:rFonts w:eastAsia="Times New Roman"/>
          <w:sz w:val="24"/>
          <w:szCs w:val="24"/>
        </w:rPr>
        <w:t xml:space="preserve"> (CPE) means a thorough review and analysis of a treatment plant's performance-based capabilities and associated administrative, operation and maintenance practices. It is conducted to identify factors that may be adversely impacting a plant's capability to achieve compliance and emphasizes approaches that can be implemented without significant capital improvements. The comprehensive performance evaluation must consist of at least the following components: assessment of plant performance; evaluation of major unit processes; identification and prioritization of performance limiting factors; assessment of the applicability of comprehensive technical assistance; and preparation of a CPE report.</w:t>
      </w:r>
    </w:p>
    <w:p w14:paraId="55F20AA1" w14:textId="418EB7E7" w:rsidR="00E65DD9" w:rsidRPr="00367662" w:rsidRDefault="00E65DD9" w:rsidP="00367662">
      <w:pPr>
        <w:rPr>
          <w:sz w:val="20"/>
          <w:szCs w:val="20"/>
        </w:rPr>
      </w:pPr>
    </w:p>
    <w:p w14:paraId="1B31E499" w14:textId="1EB7D3D5" w:rsidR="00E65DD9" w:rsidRPr="00E65DD9" w:rsidRDefault="00E65DD9" w:rsidP="00F206D1">
      <w:pPr>
        <w:ind w:left="1200"/>
        <w:jc w:val="both"/>
        <w:rPr>
          <w:rFonts w:eastAsia="Times New Roman"/>
          <w:sz w:val="24"/>
          <w:szCs w:val="24"/>
          <w:u w:val="single"/>
        </w:rPr>
      </w:pPr>
      <w:r w:rsidRPr="00E65DD9">
        <w:rPr>
          <w:rFonts w:eastAsia="Times New Roman"/>
          <w:sz w:val="24"/>
          <w:szCs w:val="24"/>
          <w:u w:val="single"/>
        </w:rPr>
        <w:t>Confirmatory Sample</w:t>
      </w:r>
      <w:r w:rsidRPr="00E65DD9">
        <w:rPr>
          <w:rFonts w:eastAsia="Times New Roman"/>
          <w:sz w:val="24"/>
          <w:szCs w:val="24"/>
        </w:rPr>
        <w:t xml:space="preserve"> or </w:t>
      </w:r>
      <w:r w:rsidRPr="00E65DD9">
        <w:rPr>
          <w:rFonts w:eastAsia="Times New Roman"/>
          <w:sz w:val="24"/>
          <w:szCs w:val="24"/>
          <w:u w:val="single"/>
        </w:rPr>
        <w:t>Confirmation Sample</w:t>
      </w:r>
      <w:r w:rsidRPr="00E65DD9">
        <w:rPr>
          <w:rFonts w:eastAsia="Times New Roman"/>
          <w:sz w:val="24"/>
          <w:szCs w:val="24"/>
        </w:rPr>
        <w:t xml:space="preserve"> shall mean a sample collected from the same</w:t>
      </w:r>
      <w:r w:rsidR="0001655A">
        <w:rPr>
          <w:rFonts w:eastAsia="Times New Roman"/>
          <w:sz w:val="24"/>
          <w:szCs w:val="24"/>
        </w:rPr>
        <w:t xml:space="preserve"> </w:t>
      </w:r>
      <w:r w:rsidRPr="00E65DD9">
        <w:rPr>
          <w:rFonts w:eastAsia="Times New Roman"/>
          <w:sz w:val="24"/>
          <w:szCs w:val="24"/>
        </w:rPr>
        <w:t>Sampling Point as an initial sample for analysis, in order to verify the analytical results of the</w:t>
      </w:r>
      <w:r w:rsidR="0001655A">
        <w:rPr>
          <w:rFonts w:eastAsia="Times New Roman"/>
          <w:sz w:val="24"/>
          <w:szCs w:val="24"/>
        </w:rPr>
        <w:t xml:space="preserve"> </w:t>
      </w:r>
      <w:r w:rsidRPr="00E65DD9">
        <w:rPr>
          <w:rFonts w:eastAsia="Times New Roman"/>
          <w:sz w:val="24"/>
          <w:szCs w:val="24"/>
        </w:rPr>
        <w:t>initial sample.</w:t>
      </w:r>
    </w:p>
    <w:p w14:paraId="2819CC63" w14:textId="77777777" w:rsidR="004647B9" w:rsidRPr="00367662" w:rsidRDefault="004647B9" w:rsidP="00F206D1">
      <w:pPr>
        <w:rPr>
          <w:sz w:val="20"/>
          <w:szCs w:val="20"/>
        </w:rPr>
      </w:pPr>
    </w:p>
    <w:p w14:paraId="2819CC64" w14:textId="77777777" w:rsidR="004647B9" w:rsidRPr="00E65DD9" w:rsidRDefault="00E2436F" w:rsidP="00F206D1">
      <w:pPr>
        <w:ind w:left="1200"/>
        <w:jc w:val="both"/>
        <w:rPr>
          <w:sz w:val="24"/>
          <w:szCs w:val="24"/>
        </w:rPr>
      </w:pPr>
      <w:r w:rsidRPr="00E65DD9">
        <w:rPr>
          <w:rFonts w:eastAsia="Times New Roman"/>
          <w:sz w:val="24"/>
          <w:szCs w:val="24"/>
          <w:u w:val="single"/>
        </w:rPr>
        <w:t>Confluent Growth</w:t>
      </w:r>
      <w:r w:rsidRPr="00E65DD9">
        <w:rPr>
          <w:rFonts w:eastAsia="Times New Roman"/>
          <w:sz w:val="24"/>
          <w:szCs w:val="24"/>
        </w:rPr>
        <w:t xml:space="preserve"> means a continuous bacterial growth covering the entire filtration area of a membrane filter, or a portion thereof, in which bacterial colonies are not discrete.</w:t>
      </w:r>
    </w:p>
    <w:p w14:paraId="2819CC65" w14:textId="77777777" w:rsidR="004647B9" w:rsidRPr="00367662" w:rsidRDefault="004647B9" w:rsidP="00F206D1">
      <w:pPr>
        <w:rPr>
          <w:sz w:val="20"/>
          <w:szCs w:val="20"/>
        </w:rPr>
      </w:pPr>
    </w:p>
    <w:p w14:paraId="74FCBB66" w14:textId="540FADFC" w:rsidR="00F206D1" w:rsidRDefault="00E2436F" w:rsidP="00A07DBF">
      <w:pPr>
        <w:ind w:left="1200"/>
        <w:jc w:val="both"/>
        <w:rPr>
          <w:sz w:val="24"/>
          <w:szCs w:val="24"/>
        </w:rPr>
        <w:sectPr w:rsidR="00F206D1" w:rsidSect="00EF630C">
          <w:pgSz w:w="12240" w:h="20180"/>
          <w:pgMar w:top="708" w:right="1440" w:bottom="1089" w:left="600" w:header="0" w:footer="0" w:gutter="0"/>
          <w:cols w:space="720"/>
        </w:sectPr>
      </w:pPr>
      <w:r w:rsidRPr="00E65DD9">
        <w:rPr>
          <w:rFonts w:eastAsia="Times New Roman"/>
          <w:sz w:val="24"/>
          <w:szCs w:val="24"/>
          <w:u w:val="single"/>
        </w:rPr>
        <w:t>Consecutive Public Water System</w:t>
      </w:r>
      <w:r w:rsidRPr="00E65DD9">
        <w:rPr>
          <w:rFonts w:eastAsia="Times New Roman"/>
          <w:sz w:val="24"/>
          <w:szCs w:val="24"/>
        </w:rPr>
        <w:t xml:space="preserve"> means a public water system that receives some or all of its finished water from one or more wholesale systems. Delivery may be through a direct connection or through the distribution system of one or more consecutive systems</w:t>
      </w:r>
    </w:p>
    <w:p w14:paraId="2819CC6B" w14:textId="77777777" w:rsidR="004647B9" w:rsidRDefault="004647B9">
      <w:pPr>
        <w:sectPr w:rsidR="004647B9" w:rsidSect="00EF630C">
          <w:type w:val="continuous"/>
          <w:pgSz w:w="12240" w:h="20180"/>
          <w:pgMar w:top="708" w:right="1440" w:bottom="1089" w:left="600" w:header="0" w:footer="0" w:gutter="0"/>
          <w:cols w:space="720" w:equalWidth="0">
            <w:col w:w="10200"/>
          </w:cols>
        </w:sectPr>
      </w:pPr>
    </w:p>
    <w:p w14:paraId="2819CC6C" w14:textId="77777777" w:rsidR="004647B9" w:rsidRDefault="00E2436F">
      <w:pPr>
        <w:tabs>
          <w:tab w:val="left" w:pos="160"/>
        </w:tabs>
        <w:jc w:val="center"/>
        <w:rPr>
          <w:sz w:val="20"/>
          <w:szCs w:val="20"/>
        </w:rPr>
      </w:pPr>
      <w:bookmarkStart w:id="3" w:name="page4"/>
      <w:bookmarkEnd w:id="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C6D" w14:textId="77777777" w:rsidR="004647B9" w:rsidRDefault="004647B9" w:rsidP="00F06B53">
      <w:pPr>
        <w:rPr>
          <w:sz w:val="20"/>
          <w:szCs w:val="20"/>
        </w:rPr>
      </w:pPr>
    </w:p>
    <w:p w14:paraId="2819CC6E" w14:textId="77777777" w:rsidR="004647B9" w:rsidRDefault="004647B9" w:rsidP="00F06B53">
      <w:pPr>
        <w:rPr>
          <w:sz w:val="20"/>
          <w:szCs w:val="20"/>
        </w:rPr>
      </w:pPr>
    </w:p>
    <w:p w14:paraId="2819CC6F" w14:textId="77777777" w:rsidR="004647B9" w:rsidRDefault="00E2436F" w:rsidP="00F06B53">
      <w:pPr>
        <w:tabs>
          <w:tab w:val="left" w:pos="760"/>
        </w:tabs>
        <w:rPr>
          <w:sz w:val="20"/>
          <w:szCs w:val="20"/>
        </w:rPr>
      </w:pPr>
      <w:r>
        <w:rPr>
          <w:rFonts w:eastAsia="Times New Roman"/>
          <w:sz w:val="24"/>
          <w:szCs w:val="24"/>
        </w:rPr>
        <w:t>22.02:</w:t>
      </w:r>
      <w:r>
        <w:rPr>
          <w:rFonts w:eastAsia="Times New Roman"/>
          <w:sz w:val="24"/>
          <w:szCs w:val="24"/>
        </w:rPr>
        <w:tab/>
        <w:t>continued</w:t>
      </w:r>
    </w:p>
    <w:p w14:paraId="2819CC70" w14:textId="6D8B8C3F" w:rsidR="004647B9" w:rsidRDefault="004647B9" w:rsidP="00F06B53">
      <w:pPr>
        <w:rPr>
          <w:sz w:val="20"/>
          <w:szCs w:val="20"/>
        </w:rPr>
      </w:pPr>
    </w:p>
    <w:p w14:paraId="41C815AD" w14:textId="77777777" w:rsidR="0060072F" w:rsidRPr="00E65DD9" w:rsidRDefault="0060072F" w:rsidP="00F06B53">
      <w:pPr>
        <w:ind w:left="1200"/>
        <w:jc w:val="both"/>
        <w:rPr>
          <w:sz w:val="24"/>
          <w:szCs w:val="24"/>
        </w:rPr>
      </w:pPr>
      <w:r w:rsidRPr="00E65DD9">
        <w:rPr>
          <w:rFonts w:eastAsia="Times New Roman"/>
          <w:sz w:val="24"/>
          <w:szCs w:val="24"/>
          <w:u w:val="single"/>
        </w:rPr>
        <w:t>Contaminant</w:t>
      </w:r>
      <w:r w:rsidRPr="00E65DD9">
        <w:rPr>
          <w:rFonts w:eastAsia="Times New Roman"/>
          <w:sz w:val="24"/>
          <w:szCs w:val="24"/>
        </w:rPr>
        <w:t xml:space="preserve"> means any physical, chemical, biological or radiological substance or matter in water.</w:t>
      </w:r>
    </w:p>
    <w:p w14:paraId="33F45794" w14:textId="77777777" w:rsidR="0060072F" w:rsidRDefault="0060072F" w:rsidP="00F06B53">
      <w:pPr>
        <w:rPr>
          <w:sz w:val="20"/>
          <w:szCs w:val="20"/>
        </w:rPr>
      </w:pPr>
    </w:p>
    <w:p w14:paraId="3FD0986A" w14:textId="77777777" w:rsidR="0060072F" w:rsidRDefault="0060072F" w:rsidP="00F06B53">
      <w:pPr>
        <w:ind w:left="1200"/>
        <w:jc w:val="both"/>
        <w:rPr>
          <w:sz w:val="20"/>
          <w:szCs w:val="20"/>
        </w:rPr>
      </w:pPr>
      <w:r>
        <w:rPr>
          <w:rFonts w:eastAsia="Times New Roman"/>
          <w:sz w:val="23"/>
          <w:szCs w:val="23"/>
          <w:u w:val="single"/>
        </w:rPr>
        <w:t>Contract Operator Compliance Notice</w:t>
      </w:r>
      <w:r>
        <w:rPr>
          <w:rFonts w:eastAsia="Times New Roman"/>
          <w:sz w:val="23"/>
          <w:szCs w:val="23"/>
        </w:rPr>
        <w:t xml:space="preserve"> means a written submittal from a Supplier of Water, who has contracted with a Certified Operator (pursuant to 310 CMR 22.11B), to the Department identifying the allocation of the following categories of duties and responsibilities between the Supplier of Water and the Certified Operator, on a form to be provided by the Department:</w:t>
      </w:r>
    </w:p>
    <w:p w14:paraId="2819CC71" w14:textId="77777777" w:rsidR="004647B9" w:rsidRDefault="00E2436F" w:rsidP="00F06B53">
      <w:pPr>
        <w:numPr>
          <w:ilvl w:val="0"/>
          <w:numId w:val="2"/>
        </w:numPr>
        <w:tabs>
          <w:tab w:val="left" w:pos="2000"/>
        </w:tabs>
        <w:ind w:left="2000" w:hanging="445"/>
        <w:rPr>
          <w:rFonts w:eastAsia="Times New Roman"/>
          <w:sz w:val="24"/>
          <w:szCs w:val="24"/>
        </w:rPr>
      </w:pPr>
      <w:r>
        <w:rPr>
          <w:rFonts w:eastAsia="Times New Roman"/>
          <w:sz w:val="24"/>
          <w:szCs w:val="24"/>
        </w:rPr>
        <w:t>operation and maintenance;</w:t>
      </w:r>
    </w:p>
    <w:p w14:paraId="2819CC73" w14:textId="77777777" w:rsidR="004647B9" w:rsidRDefault="00E2436F" w:rsidP="00F06B53">
      <w:pPr>
        <w:numPr>
          <w:ilvl w:val="0"/>
          <w:numId w:val="2"/>
        </w:numPr>
        <w:tabs>
          <w:tab w:val="left" w:pos="2020"/>
        </w:tabs>
        <w:ind w:left="2020" w:hanging="465"/>
        <w:rPr>
          <w:rFonts w:eastAsia="Times New Roman"/>
          <w:sz w:val="24"/>
          <w:szCs w:val="24"/>
        </w:rPr>
      </w:pPr>
      <w:r>
        <w:rPr>
          <w:rFonts w:eastAsia="Times New Roman"/>
          <w:sz w:val="24"/>
          <w:szCs w:val="24"/>
        </w:rPr>
        <w:t>monitoring and reporting;</w:t>
      </w:r>
    </w:p>
    <w:p w14:paraId="2819CC74" w14:textId="77777777" w:rsidR="004647B9" w:rsidRDefault="00E2436F" w:rsidP="00F06B53">
      <w:pPr>
        <w:numPr>
          <w:ilvl w:val="0"/>
          <w:numId w:val="2"/>
        </w:numPr>
        <w:tabs>
          <w:tab w:val="left" w:pos="2000"/>
        </w:tabs>
        <w:ind w:left="2000" w:hanging="445"/>
        <w:rPr>
          <w:rFonts w:eastAsia="Times New Roman"/>
          <w:sz w:val="24"/>
          <w:szCs w:val="24"/>
        </w:rPr>
      </w:pPr>
      <w:r>
        <w:rPr>
          <w:rFonts w:eastAsia="Times New Roman"/>
          <w:sz w:val="24"/>
          <w:szCs w:val="24"/>
        </w:rPr>
        <w:t>compliance;</w:t>
      </w:r>
    </w:p>
    <w:p w14:paraId="2819CC75" w14:textId="77777777" w:rsidR="004647B9" w:rsidRDefault="00E2436F" w:rsidP="00F06B53">
      <w:pPr>
        <w:numPr>
          <w:ilvl w:val="0"/>
          <w:numId w:val="2"/>
        </w:numPr>
        <w:tabs>
          <w:tab w:val="left" w:pos="2020"/>
        </w:tabs>
        <w:ind w:left="2020" w:hanging="465"/>
        <w:rPr>
          <w:rFonts w:eastAsia="Times New Roman"/>
          <w:sz w:val="24"/>
          <w:szCs w:val="24"/>
        </w:rPr>
      </w:pPr>
      <w:r>
        <w:rPr>
          <w:rFonts w:eastAsia="Times New Roman"/>
          <w:sz w:val="24"/>
          <w:szCs w:val="24"/>
        </w:rPr>
        <w:t>recordkeeping;</w:t>
      </w:r>
    </w:p>
    <w:p w14:paraId="2819CC76" w14:textId="77777777" w:rsidR="004647B9" w:rsidRDefault="00E2436F" w:rsidP="00F06B53">
      <w:pPr>
        <w:numPr>
          <w:ilvl w:val="0"/>
          <w:numId w:val="2"/>
        </w:numPr>
        <w:tabs>
          <w:tab w:val="left" w:pos="2000"/>
        </w:tabs>
        <w:ind w:left="2000" w:hanging="445"/>
        <w:rPr>
          <w:rFonts w:eastAsia="Times New Roman"/>
          <w:sz w:val="24"/>
          <w:szCs w:val="24"/>
        </w:rPr>
      </w:pPr>
      <w:r>
        <w:rPr>
          <w:rFonts w:eastAsia="Times New Roman"/>
          <w:sz w:val="24"/>
          <w:szCs w:val="24"/>
        </w:rPr>
        <w:t>administration;</w:t>
      </w:r>
    </w:p>
    <w:p w14:paraId="2819CC77" w14:textId="77777777" w:rsidR="004647B9" w:rsidRDefault="00E2436F" w:rsidP="00F06B53">
      <w:pPr>
        <w:numPr>
          <w:ilvl w:val="0"/>
          <w:numId w:val="2"/>
        </w:numPr>
        <w:tabs>
          <w:tab w:val="left" w:pos="1980"/>
        </w:tabs>
        <w:ind w:left="1980" w:hanging="425"/>
        <w:rPr>
          <w:rFonts w:eastAsia="Times New Roman"/>
          <w:sz w:val="24"/>
          <w:szCs w:val="24"/>
        </w:rPr>
      </w:pPr>
      <w:r>
        <w:rPr>
          <w:rFonts w:eastAsia="Times New Roman"/>
          <w:sz w:val="24"/>
          <w:szCs w:val="24"/>
        </w:rPr>
        <w:t>emergency response;</w:t>
      </w:r>
    </w:p>
    <w:p w14:paraId="2819CC78" w14:textId="77777777" w:rsidR="004647B9" w:rsidRDefault="00E2436F" w:rsidP="00F06B53">
      <w:pPr>
        <w:numPr>
          <w:ilvl w:val="0"/>
          <w:numId w:val="2"/>
        </w:numPr>
        <w:tabs>
          <w:tab w:val="left" w:pos="2020"/>
        </w:tabs>
        <w:ind w:left="2020" w:hanging="465"/>
        <w:rPr>
          <w:rFonts w:eastAsia="Times New Roman"/>
          <w:sz w:val="24"/>
          <w:szCs w:val="24"/>
        </w:rPr>
      </w:pPr>
      <w:r>
        <w:rPr>
          <w:rFonts w:eastAsia="Times New Roman"/>
          <w:sz w:val="24"/>
          <w:szCs w:val="24"/>
        </w:rPr>
        <w:t>budgeting;</w:t>
      </w:r>
    </w:p>
    <w:p w14:paraId="2819CC79" w14:textId="77777777" w:rsidR="004647B9" w:rsidRDefault="00E2436F" w:rsidP="00F06B53">
      <w:pPr>
        <w:numPr>
          <w:ilvl w:val="0"/>
          <w:numId w:val="2"/>
        </w:numPr>
        <w:tabs>
          <w:tab w:val="left" w:pos="2020"/>
        </w:tabs>
        <w:ind w:left="2020" w:hanging="465"/>
        <w:rPr>
          <w:rFonts w:eastAsia="Times New Roman"/>
          <w:sz w:val="24"/>
          <w:szCs w:val="24"/>
        </w:rPr>
      </w:pPr>
      <w:r>
        <w:rPr>
          <w:rFonts w:eastAsia="Times New Roman"/>
          <w:sz w:val="24"/>
          <w:szCs w:val="24"/>
        </w:rPr>
        <w:t>safety and source protection;</w:t>
      </w:r>
    </w:p>
    <w:p w14:paraId="2819CC7A" w14:textId="77777777" w:rsidR="004647B9" w:rsidRDefault="00E2436F" w:rsidP="00F06B53">
      <w:pPr>
        <w:numPr>
          <w:ilvl w:val="0"/>
          <w:numId w:val="2"/>
        </w:numPr>
        <w:tabs>
          <w:tab w:val="left" w:pos="1960"/>
        </w:tabs>
        <w:ind w:left="1960" w:hanging="405"/>
        <w:rPr>
          <w:rFonts w:eastAsia="Times New Roman"/>
          <w:sz w:val="24"/>
          <w:szCs w:val="24"/>
        </w:rPr>
      </w:pPr>
      <w:r>
        <w:rPr>
          <w:rFonts w:eastAsia="Times New Roman"/>
          <w:sz w:val="24"/>
          <w:szCs w:val="24"/>
        </w:rPr>
        <w:t>training;</w:t>
      </w:r>
    </w:p>
    <w:p w14:paraId="2819CC7B" w14:textId="77777777" w:rsidR="004647B9" w:rsidRDefault="00E2436F" w:rsidP="00F06B53">
      <w:pPr>
        <w:numPr>
          <w:ilvl w:val="0"/>
          <w:numId w:val="2"/>
        </w:numPr>
        <w:tabs>
          <w:tab w:val="left" w:pos="1960"/>
        </w:tabs>
        <w:ind w:left="1960" w:hanging="405"/>
        <w:rPr>
          <w:rFonts w:eastAsia="Times New Roman"/>
          <w:sz w:val="24"/>
          <w:szCs w:val="24"/>
        </w:rPr>
      </w:pPr>
      <w:r>
        <w:rPr>
          <w:rFonts w:eastAsia="Times New Roman"/>
          <w:sz w:val="24"/>
          <w:szCs w:val="24"/>
        </w:rPr>
        <w:t>inspections; and</w:t>
      </w:r>
    </w:p>
    <w:p w14:paraId="2819CC7C" w14:textId="77777777" w:rsidR="004647B9" w:rsidRDefault="00E2436F" w:rsidP="00F06B53">
      <w:pPr>
        <w:numPr>
          <w:ilvl w:val="0"/>
          <w:numId w:val="2"/>
        </w:numPr>
        <w:tabs>
          <w:tab w:val="left" w:pos="2020"/>
        </w:tabs>
        <w:ind w:left="2020" w:hanging="465"/>
        <w:rPr>
          <w:rFonts w:eastAsia="Times New Roman"/>
          <w:sz w:val="24"/>
          <w:szCs w:val="24"/>
        </w:rPr>
      </w:pPr>
      <w:r>
        <w:rPr>
          <w:rFonts w:eastAsia="Times New Roman"/>
          <w:sz w:val="24"/>
          <w:szCs w:val="24"/>
        </w:rPr>
        <w:t>consumer relations.</w:t>
      </w:r>
    </w:p>
    <w:p w14:paraId="2819CC7D" w14:textId="77777777" w:rsidR="004647B9" w:rsidRDefault="004647B9" w:rsidP="00F06B53">
      <w:pPr>
        <w:rPr>
          <w:sz w:val="20"/>
          <w:szCs w:val="20"/>
        </w:rPr>
      </w:pPr>
    </w:p>
    <w:p w14:paraId="2819CC7E" w14:textId="77777777" w:rsidR="004647B9" w:rsidRDefault="00E2436F" w:rsidP="00F06B53">
      <w:pPr>
        <w:ind w:left="1200"/>
        <w:jc w:val="both"/>
        <w:rPr>
          <w:sz w:val="20"/>
          <w:szCs w:val="20"/>
        </w:rPr>
      </w:pPr>
      <w:r>
        <w:rPr>
          <w:rFonts w:eastAsia="Times New Roman"/>
          <w:sz w:val="24"/>
          <w:szCs w:val="24"/>
          <w:u w:val="single"/>
        </w:rPr>
        <w:t>Conventional Filtration Treatment</w:t>
      </w:r>
      <w:r>
        <w:rPr>
          <w:rFonts w:eastAsia="Times New Roman"/>
          <w:sz w:val="24"/>
          <w:szCs w:val="24"/>
        </w:rPr>
        <w:t xml:space="preserve"> means a series of processes including coagulation, flocculation, sedimentation, and filtration resulting in substantial particulate removal.</w:t>
      </w:r>
    </w:p>
    <w:p w14:paraId="2819CC7F" w14:textId="77777777" w:rsidR="004647B9" w:rsidRDefault="004647B9" w:rsidP="00F06B53">
      <w:pPr>
        <w:rPr>
          <w:sz w:val="20"/>
          <w:szCs w:val="20"/>
        </w:rPr>
      </w:pPr>
    </w:p>
    <w:p w14:paraId="2819CC80" w14:textId="77777777" w:rsidR="004647B9" w:rsidRDefault="00E2436F" w:rsidP="00F06B53">
      <w:pPr>
        <w:ind w:left="1200"/>
        <w:jc w:val="both"/>
        <w:rPr>
          <w:sz w:val="20"/>
          <w:szCs w:val="20"/>
        </w:rPr>
      </w:pPr>
      <w:r>
        <w:rPr>
          <w:rFonts w:eastAsia="Times New Roman"/>
          <w:sz w:val="24"/>
          <w:szCs w:val="24"/>
          <w:u w:val="single"/>
        </w:rPr>
        <w:t>Corrosion Inhibitor</w:t>
      </w:r>
      <w:r>
        <w:rPr>
          <w:rFonts w:eastAsia="Times New Roman"/>
          <w:sz w:val="24"/>
          <w:szCs w:val="24"/>
        </w:rPr>
        <w:t xml:space="preserve"> means a substance capable of reducing the corrosivity of water toward metal plumbing materials, especially lead and copper, by forming a protective film on the interior surface of those materials.</w:t>
      </w:r>
    </w:p>
    <w:p w14:paraId="2819CC81" w14:textId="77777777" w:rsidR="004647B9" w:rsidRDefault="004647B9" w:rsidP="00F06B53">
      <w:pPr>
        <w:rPr>
          <w:sz w:val="20"/>
          <w:szCs w:val="20"/>
        </w:rPr>
      </w:pPr>
    </w:p>
    <w:p w14:paraId="2819CC82" w14:textId="77777777" w:rsidR="004647B9" w:rsidRDefault="00E2436F" w:rsidP="00F06B53">
      <w:pPr>
        <w:ind w:left="1200"/>
        <w:jc w:val="both"/>
        <w:rPr>
          <w:sz w:val="20"/>
          <w:szCs w:val="20"/>
        </w:rPr>
      </w:pPr>
      <w:r>
        <w:rPr>
          <w:rFonts w:eastAsia="Times New Roman"/>
          <w:sz w:val="24"/>
          <w:szCs w:val="24"/>
          <w:u w:val="single"/>
        </w:rPr>
        <w:t>CT or CTcalc</w:t>
      </w:r>
      <w:r>
        <w:rPr>
          <w:rFonts w:eastAsia="Times New Roman"/>
          <w:sz w:val="24"/>
          <w:szCs w:val="24"/>
        </w:rPr>
        <w:t xml:space="preserve"> is the product of "residual disinfectant concentration" ("C") in mg/l determined before or at the first customer, and the corresponding "disinfectant contact time" ("T") in minutes, </w:t>
      </w:r>
      <w:r>
        <w:rPr>
          <w:rFonts w:eastAsia="Times New Roman"/>
          <w:i/>
          <w:iCs/>
          <w:sz w:val="24"/>
          <w:szCs w:val="24"/>
        </w:rPr>
        <w:t>i.e</w:t>
      </w:r>
      <w:r>
        <w:rPr>
          <w:rFonts w:eastAsia="Times New Roman"/>
          <w:sz w:val="24"/>
          <w:szCs w:val="24"/>
        </w:rPr>
        <w:t>., "C" x "T". If a public water system applies disinfectants at more than one point prior to the first customer, it must determine the CT of each disinfectant sequence before or at the first customer to determine the total percent inactivation or "total inactivation ratio." In determining the total inactivation ratio, the public water system must determine the residual disinfectant concentration of each disinfection sequence and corresponding contact time before any subsequent disinfection application point(s). "CT</w:t>
      </w:r>
      <w:r>
        <w:rPr>
          <w:rFonts w:eastAsia="Times New Roman"/>
          <w:sz w:val="27"/>
          <w:szCs w:val="27"/>
          <w:vertAlign w:val="subscript"/>
        </w:rPr>
        <w:t>99.9</w:t>
      </w:r>
      <w:r>
        <w:rPr>
          <w:rFonts w:eastAsia="Times New Roman"/>
          <w:sz w:val="24"/>
          <w:szCs w:val="24"/>
        </w:rPr>
        <w:t xml:space="preserve">" is the CT value required for 99.9% (3-log) inactivation of </w:t>
      </w:r>
      <w:r>
        <w:rPr>
          <w:rFonts w:eastAsia="Times New Roman"/>
          <w:i/>
          <w:iCs/>
          <w:sz w:val="24"/>
          <w:szCs w:val="24"/>
        </w:rPr>
        <w:t>Giardia lamblia</w:t>
      </w:r>
      <w:r>
        <w:rPr>
          <w:rFonts w:eastAsia="Times New Roman"/>
          <w:sz w:val="24"/>
          <w:szCs w:val="24"/>
        </w:rPr>
        <w:t xml:space="preserve"> cysts. CT</w:t>
      </w:r>
      <w:r>
        <w:rPr>
          <w:rFonts w:eastAsia="Times New Roman"/>
          <w:sz w:val="27"/>
          <w:szCs w:val="27"/>
          <w:vertAlign w:val="subscript"/>
        </w:rPr>
        <w:t>99.9</w:t>
      </w:r>
      <w:r>
        <w:rPr>
          <w:rFonts w:eastAsia="Times New Roman"/>
          <w:sz w:val="24"/>
          <w:szCs w:val="24"/>
        </w:rPr>
        <w:t xml:space="preserve"> for a variety of disinfectants and conditions appear in Tables (1.1-22.20A through 1.6-22.20A, 2.1-22.20A and 3.1-22.20A) in 310 CMR 22.20A(5)(b)3.</w:t>
      </w:r>
    </w:p>
    <w:p w14:paraId="2819CC85" w14:textId="1AC3E27E" w:rsidR="004647B9" w:rsidRDefault="00252371" w:rsidP="00F06B53">
      <w:pPr>
        <w:rPr>
          <w:sz w:val="20"/>
          <w:szCs w:val="20"/>
        </w:rPr>
      </w:pPr>
      <w:r>
        <w:rPr>
          <w:noProof/>
          <w:sz w:val="20"/>
          <w:szCs w:val="20"/>
        </w:rPr>
        <w:drawing>
          <wp:anchor distT="0" distB="0" distL="114300" distR="114300" simplePos="0" relativeHeight="251658260" behindDoc="1" locked="0" layoutInCell="0" allowOverlap="1" wp14:anchorId="11EACBE4" wp14:editId="314CCE52">
            <wp:simplePos x="0" y="0"/>
            <wp:positionH relativeFrom="column">
              <wp:posOffset>3000375</wp:posOffset>
            </wp:positionH>
            <wp:positionV relativeFrom="paragraph">
              <wp:posOffset>85090</wp:posOffset>
            </wp:positionV>
            <wp:extent cx="453390" cy="133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53390" cy="133350"/>
                    </a:xfrm>
                    <a:prstGeom prst="rect">
                      <a:avLst/>
                    </a:prstGeom>
                    <a:noFill/>
                  </pic:spPr>
                </pic:pic>
              </a:graphicData>
            </a:graphic>
          </wp:anchor>
        </w:drawing>
      </w:r>
      <w:r w:rsidR="00E2436F">
        <w:rPr>
          <w:noProof/>
          <w:sz w:val="20"/>
          <w:szCs w:val="20"/>
        </w:rPr>
        <mc:AlternateContent>
          <mc:Choice Requires="wps">
            <w:drawing>
              <wp:anchor distT="0" distB="0" distL="114300" distR="114300" simplePos="0" relativeHeight="251658240" behindDoc="1" locked="0" layoutInCell="0" allowOverlap="1" wp14:anchorId="281A7909" wp14:editId="314CB07B">
                <wp:simplePos x="0" y="0"/>
                <wp:positionH relativeFrom="column">
                  <wp:posOffset>3004185</wp:posOffset>
                </wp:positionH>
                <wp:positionV relativeFrom="paragraph">
                  <wp:posOffset>273050</wp:posOffset>
                </wp:positionV>
                <wp:extent cx="4775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4763"/>
                        </a:xfrm>
                        <a:prstGeom prst="line">
                          <a:avLst/>
                        </a:prstGeom>
                        <a:solidFill>
                          <a:srgbClr val="FFFFFF"/>
                        </a:solidFill>
                        <a:ln w="18033">
                          <a:solidFill>
                            <a:srgbClr val="000000"/>
                          </a:solidFill>
                          <a:miter lim="800000"/>
                          <a:headEnd/>
                          <a:tailEnd/>
                        </a:ln>
                      </wps:spPr>
                      <wps:bodyPr/>
                    </wps:wsp>
                  </a:graphicData>
                </a:graphic>
              </wp:anchor>
            </w:drawing>
          </mc:Choice>
          <mc:Fallback>
            <w:pict>
              <v:line w14:anchorId="01F56C0A"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36.55pt,21.5pt" to="274.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" o:allowincell="f" filled="t" strokeweight=".50092mm">
                <v:stroke joinstyle="miter"/>
                <o:lock v:ext="edit" shapetype="f"/>
              </v:line>
            </w:pict>
          </mc:Fallback>
        </mc:AlternateContent>
      </w:r>
    </w:p>
    <w:p w14:paraId="2819CC86" w14:textId="746A8EE1" w:rsidR="004647B9" w:rsidRDefault="004647B9" w:rsidP="00F06B53">
      <w:pPr>
        <w:rPr>
          <w:sz w:val="20"/>
          <w:szCs w:val="20"/>
        </w:rPr>
      </w:pPr>
    </w:p>
    <w:p w14:paraId="2819CC87" w14:textId="67D4CE0B" w:rsidR="004647B9" w:rsidRDefault="00871676" w:rsidP="00F06B53">
      <w:pPr>
        <w:rPr>
          <w:sz w:val="20"/>
          <w:szCs w:val="20"/>
        </w:rPr>
      </w:pPr>
      <w:r>
        <w:rPr>
          <w:noProof/>
          <w:sz w:val="20"/>
          <w:szCs w:val="20"/>
        </w:rPr>
        <w:drawing>
          <wp:anchor distT="0" distB="0" distL="114300" distR="114300" simplePos="0" relativeHeight="251658261" behindDoc="1" locked="0" layoutInCell="0" allowOverlap="1" wp14:anchorId="0BE9407C" wp14:editId="3E5F1503">
            <wp:simplePos x="0" y="0"/>
            <wp:positionH relativeFrom="column">
              <wp:posOffset>3028950</wp:posOffset>
            </wp:positionH>
            <wp:positionV relativeFrom="paragraph">
              <wp:posOffset>47625</wp:posOffset>
            </wp:positionV>
            <wp:extent cx="379095" cy="178435"/>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79095" cy="178435"/>
                    </a:xfrm>
                    <a:prstGeom prst="rect">
                      <a:avLst/>
                    </a:prstGeom>
                    <a:noFill/>
                  </pic:spPr>
                </pic:pic>
              </a:graphicData>
            </a:graphic>
          </wp:anchor>
        </w:drawing>
      </w:r>
    </w:p>
    <w:p w14:paraId="2819CC88" w14:textId="77777777" w:rsidR="004647B9" w:rsidRDefault="004647B9" w:rsidP="00F06B53">
      <w:pPr>
        <w:rPr>
          <w:sz w:val="20"/>
          <w:szCs w:val="20"/>
        </w:rPr>
      </w:pPr>
    </w:p>
    <w:p w14:paraId="2819CC89" w14:textId="77777777" w:rsidR="004647B9" w:rsidRDefault="00E2436F" w:rsidP="00F06B53">
      <w:pPr>
        <w:ind w:left="1200"/>
        <w:rPr>
          <w:sz w:val="20"/>
          <w:szCs w:val="20"/>
        </w:rPr>
      </w:pPr>
      <w:r>
        <w:rPr>
          <w:rFonts w:eastAsia="Times New Roman"/>
          <w:sz w:val="23"/>
          <w:szCs w:val="23"/>
        </w:rPr>
        <w:t>is the inactivation ratio. The sum of the inactivation ratios, or total inactivation ratio shown as</w:t>
      </w:r>
    </w:p>
    <w:p w14:paraId="2819CC8B" w14:textId="58E3B6E2" w:rsidR="004647B9" w:rsidRDefault="004647B9" w:rsidP="00F06B53">
      <w:pPr>
        <w:rPr>
          <w:sz w:val="20"/>
          <w:szCs w:val="20"/>
        </w:rPr>
      </w:pPr>
    </w:p>
    <w:p w14:paraId="2819CC8C" w14:textId="32EBD365" w:rsidR="004647B9" w:rsidRDefault="00A43221" w:rsidP="00F06B53">
      <w:pPr>
        <w:rPr>
          <w:sz w:val="20"/>
          <w:szCs w:val="20"/>
        </w:rPr>
      </w:pPr>
      <w:r>
        <w:rPr>
          <w:noProof/>
          <w:sz w:val="20"/>
          <w:szCs w:val="20"/>
        </w:rPr>
        <w:drawing>
          <wp:anchor distT="0" distB="0" distL="114300" distR="114300" simplePos="0" relativeHeight="251658262" behindDoc="1" locked="0" layoutInCell="0" allowOverlap="1" wp14:anchorId="2398B184" wp14:editId="2B1D9064">
            <wp:simplePos x="0" y="0"/>
            <wp:positionH relativeFrom="column">
              <wp:posOffset>2952750</wp:posOffset>
            </wp:positionH>
            <wp:positionV relativeFrom="paragraph">
              <wp:posOffset>92075</wp:posOffset>
            </wp:positionV>
            <wp:extent cx="577850" cy="387985"/>
            <wp:effectExtent l="0" t="0" r="0" b="0"/>
            <wp:wrapNone/>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a:picLocks noChangeAspect="1" noChangeArrowheads="1"/>
                    </pic:cNvPicPr>
                  </pic:nvPicPr>
                  <pic:blipFill>
                    <a:blip r:embed="rId13"/>
                    <a:srcRect/>
                    <a:stretch>
                      <a:fillRect/>
                    </a:stretch>
                  </pic:blipFill>
                  <pic:spPr bwMode="auto">
                    <a:xfrm>
                      <a:off x="0" y="0"/>
                      <a:ext cx="577850" cy="387985"/>
                    </a:xfrm>
                    <a:prstGeom prst="rect">
                      <a:avLst/>
                    </a:prstGeom>
                    <a:noFill/>
                  </pic:spPr>
                </pic:pic>
              </a:graphicData>
            </a:graphic>
          </wp:anchor>
        </w:drawing>
      </w:r>
    </w:p>
    <w:p w14:paraId="2819CC8D" w14:textId="77777777" w:rsidR="004647B9" w:rsidRDefault="004647B9" w:rsidP="00F06B53">
      <w:pPr>
        <w:rPr>
          <w:sz w:val="20"/>
          <w:szCs w:val="20"/>
        </w:rPr>
      </w:pPr>
    </w:p>
    <w:p w14:paraId="2819CC8E" w14:textId="77777777" w:rsidR="004647B9" w:rsidRDefault="004647B9" w:rsidP="00F06B53">
      <w:pPr>
        <w:rPr>
          <w:sz w:val="20"/>
          <w:szCs w:val="20"/>
        </w:rPr>
      </w:pPr>
    </w:p>
    <w:p w14:paraId="2819CC8F" w14:textId="77777777" w:rsidR="004647B9" w:rsidRDefault="004647B9" w:rsidP="00F06B53">
      <w:pPr>
        <w:rPr>
          <w:sz w:val="20"/>
          <w:szCs w:val="20"/>
        </w:rPr>
      </w:pPr>
    </w:p>
    <w:p w14:paraId="2819CC90" w14:textId="77777777" w:rsidR="004647B9" w:rsidRDefault="004647B9" w:rsidP="00F06B53">
      <w:pPr>
        <w:rPr>
          <w:sz w:val="20"/>
          <w:szCs w:val="20"/>
        </w:rPr>
      </w:pPr>
    </w:p>
    <w:p w14:paraId="2819CC91" w14:textId="77777777" w:rsidR="004647B9" w:rsidRDefault="00E2436F" w:rsidP="00F06B53">
      <w:pPr>
        <w:ind w:left="1200"/>
        <w:jc w:val="both"/>
        <w:rPr>
          <w:sz w:val="20"/>
          <w:szCs w:val="20"/>
        </w:rPr>
      </w:pPr>
      <w:r>
        <w:rPr>
          <w:rFonts w:eastAsia="Times New Roman"/>
          <w:sz w:val="24"/>
          <w:szCs w:val="24"/>
        </w:rPr>
        <w:t xml:space="preserve">is calculated by adding together the inactivation ratio for each disinfection sequence. A total inactivation ratio equal to or greater than 1.0 is assumed to provide a 3-log inactivation of </w:t>
      </w:r>
      <w:r>
        <w:rPr>
          <w:rFonts w:eastAsia="Times New Roman"/>
          <w:i/>
          <w:iCs/>
          <w:sz w:val="24"/>
          <w:szCs w:val="24"/>
        </w:rPr>
        <w:t xml:space="preserve">Giardia lamblia </w:t>
      </w:r>
      <w:r>
        <w:rPr>
          <w:rFonts w:eastAsia="Times New Roman"/>
          <w:sz w:val="24"/>
          <w:szCs w:val="24"/>
        </w:rPr>
        <w:t>cysts.</w:t>
      </w:r>
    </w:p>
    <w:p w14:paraId="2819CC92" w14:textId="77777777" w:rsidR="004647B9" w:rsidRDefault="004647B9" w:rsidP="00F06B53">
      <w:pPr>
        <w:rPr>
          <w:sz w:val="20"/>
          <w:szCs w:val="20"/>
        </w:rPr>
      </w:pPr>
    </w:p>
    <w:p w14:paraId="2819CC93" w14:textId="77777777" w:rsidR="004647B9" w:rsidRDefault="00E2436F" w:rsidP="00F06B53">
      <w:pPr>
        <w:ind w:left="1200"/>
        <w:jc w:val="both"/>
        <w:rPr>
          <w:sz w:val="20"/>
          <w:szCs w:val="20"/>
        </w:rPr>
      </w:pPr>
      <w:r>
        <w:rPr>
          <w:rFonts w:eastAsia="Times New Roman"/>
          <w:sz w:val="24"/>
          <w:szCs w:val="24"/>
          <w:u w:val="single"/>
        </w:rPr>
        <w:t>Customers</w:t>
      </w:r>
      <w:r>
        <w:rPr>
          <w:rFonts w:eastAsia="Times New Roman"/>
          <w:sz w:val="24"/>
          <w:szCs w:val="24"/>
        </w:rPr>
        <w:t>, for the purpose of 310 CMR 22.16A, means billing units or service connections to which water is delivered by a community water system.</w:t>
      </w:r>
    </w:p>
    <w:p w14:paraId="2819CC94" w14:textId="77777777" w:rsidR="004647B9" w:rsidRDefault="004647B9" w:rsidP="00F06B53">
      <w:pPr>
        <w:rPr>
          <w:sz w:val="20"/>
          <w:szCs w:val="20"/>
        </w:rPr>
      </w:pPr>
    </w:p>
    <w:p w14:paraId="2819CC95" w14:textId="77777777" w:rsidR="004647B9" w:rsidRDefault="00E2436F" w:rsidP="00F06B53">
      <w:pPr>
        <w:ind w:left="1200"/>
        <w:rPr>
          <w:sz w:val="20"/>
          <w:szCs w:val="20"/>
        </w:rPr>
      </w:pPr>
      <w:r>
        <w:rPr>
          <w:rFonts w:eastAsia="Times New Roman"/>
          <w:sz w:val="24"/>
          <w:szCs w:val="24"/>
          <w:u w:val="single"/>
        </w:rPr>
        <w:t>Day</w:t>
      </w:r>
      <w:r>
        <w:rPr>
          <w:rFonts w:eastAsia="Times New Roman"/>
          <w:sz w:val="24"/>
          <w:szCs w:val="24"/>
        </w:rPr>
        <w:t xml:space="preserve"> means calendar day, except as otherwise expressly provided in 310 CMR 22.00.</w:t>
      </w:r>
    </w:p>
    <w:p w14:paraId="2819CC96" w14:textId="77777777" w:rsidR="004647B9" w:rsidRDefault="004647B9" w:rsidP="00F06B53">
      <w:pPr>
        <w:rPr>
          <w:sz w:val="20"/>
          <w:szCs w:val="20"/>
        </w:rPr>
      </w:pPr>
    </w:p>
    <w:p w14:paraId="2819CC98" w14:textId="5AEB0E53" w:rsidR="004647B9" w:rsidRDefault="00E2436F" w:rsidP="00F06B53">
      <w:pPr>
        <w:ind w:left="1200"/>
        <w:jc w:val="both"/>
        <w:rPr>
          <w:sz w:val="20"/>
          <w:szCs w:val="20"/>
        </w:rPr>
      </w:pPr>
      <w:r>
        <w:rPr>
          <w:rFonts w:eastAsia="Times New Roman"/>
          <w:sz w:val="24"/>
          <w:szCs w:val="24"/>
          <w:u w:val="single"/>
        </w:rPr>
        <w:t>Department</w:t>
      </w:r>
      <w:r>
        <w:rPr>
          <w:rFonts w:eastAsia="Times New Roman"/>
          <w:sz w:val="24"/>
          <w:szCs w:val="24"/>
        </w:rPr>
        <w:t xml:space="preserve"> means the Department of Environmental Protection of the Commonwealth of Massachusetts.</w:t>
      </w:r>
      <w:r w:rsidR="0001655A">
        <w:rPr>
          <w:rFonts w:eastAsia="Times New Roman"/>
          <w:sz w:val="24"/>
          <w:szCs w:val="24"/>
        </w:rPr>
        <w:br w:type="page"/>
      </w:r>
    </w:p>
    <w:p w14:paraId="2819CC9E" w14:textId="77777777" w:rsidR="004647B9" w:rsidRDefault="004647B9" w:rsidP="00F06B53">
      <w:pPr>
        <w:sectPr w:rsidR="004647B9" w:rsidSect="00EF630C">
          <w:pgSz w:w="12240" w:h="20180"/>
          <w:pgMar w:top="708" w:right="1440" w:bottom="706" w:left="600" w:header="0" w:footer="0" w:gutter="0"/>
          <w:cols w:space="720" w:equalWidth="0">
            <w:col w:w="10200"/>
          </w:cols>
        </w:sectPr>
      </w:pPr>
    </w:p>
    <w:p w14:paraId="2819CC9F" w14:textId="77777777" w:rsidR="004647B9" w:rsidRDefault="00E2436F">
      <w:pPr>
        <w:tabs>
          <w:tab w:val="left" w:pos="160"/>
        </w:tabs>
        <w:jc w:val="center"/>
        <w:rPr>
          <w:sz w:val="20"/>
          <w:szCs w:val="20"/>
        </w:rPr>
      </w:pPr>
      <w:bookmarkStart w:id="4" w:name="page5"/>
      <w:bookmarkEnd w:id="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CA0" w14:textId="77777777" w:rsidR="004647B9" w:rsidRDefault="004647B9">
      <w:pPr>
        <w:spacing w:line="200" w:lineRule="exact"/>
        <w:rPr>
          <w:sz w:val="20"/>
          <w:szCs w:val="20"/>
        </w:rPr>
      </w:pPr>
    </w:p>
    <w:p w14:paraId="2819CCA1" w14:textId="77777777" w:rsidR="004647B9" w:rsidRDefault="004647B9">
      <w:pPr>
        <w:spacing w:line="316" w:lineRule="exact"/>
        <w:rPr>
          <w:sz w:val="20"/>
          <w:szCs w:val="20"/>
        </w:rPr>
      </w:pPr>
    </w:p>
    <w:p w14:paraId="2819CCA2"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CA3" w14:textId="77777777" w:rsidR="004647B9" w:rsidRDefault="004647B9">
      <w:pPr>
        <w:spacing w:line="266" w:lineRule="exact"/>
        <w:rPr>
          <w:sz w:val="20"/>
          <w:szCs w:val="20"/>
        </w:rPr>
      </w:pPr>
    </w:p>
    <w:p w14:paraId="027C52CE" w14:textId="77777777" w:rsidR="0001655A" w:rsidRDefault="0001655A" w:rsidP="0001655A">
      <w:pPr>
        <w:spacing w:line="251" w:lineRule="auto"/>
        <w:ind w:left="1200"/>
        <w:jc w:val="both"/>
        <w:rPr>
          <w:sz w:val="20"/>
          <w:szCs w:val="20"/>
        </w:rPr>
      </w:pPr>
      <w:r>
        <w:rPr>
          <w:rFonts w:eastAsia="Times New Roman"/>
          <w:sz w:val="24"/>
          <w:szCs w:val="24"/>
          <w:u w:val="single"/>
        </w:rPr>
        <w:t>Detected Contaminant</w:t>
      </w:r>
      <w:r>
        <w:rPr>
          <w:rFonts w:eastAsia="Times New Roman"/>
          <w:sz w:val="24"/>
          <w:szCs w:val="24"/>
        </w:rPr>
        <w:t>, for the purpose of 310 CMR 22.16A, means at or above the method detection levels reported by the certified laboratory which shall be less than or equal to the method detection levels prescribed by 310 CMR 22.00.</w:t>
      </w:r>
    </w:p>
    <w:p w14:paraId="76814D53" w14:textId="77777777" w:rsidR="0001655A" w:rsidRDefault="0001655A" w:rsidP="0001655A">
      <w:pPr>
        <w:spacing w:line="219" w:lineRule="exact"/>
        <w:rPr>
          <w:sz w:val="20"/>
          <w:szCs w:val="20"/>
        </w:rPr>
      </w:pPr>
    </w:p>
    <w:p w14:paraId="5980549A" w14:textId="77777777" w:rsidR="0001655A" w:rsidRDefault="0001655A" w:rsidP="0001655A">
      <w:pPr>
        <w:spacing w:line="267" w:lineRule="auto"/>
        <w:ind w:left="1200"/>
        <w:jc w:val="both"/>
        <w:rPr>
          <w:sz w:val="20"/>
          <w:szCs w:val="20"/>
        </w:rPr>
      </w:pPr>
      <w:r>
        <w:rPr>
          <w:rFonts w:eastAsia="Times New Roman"/>
          <w:sz w:val="24"/>
          <w:szCs w:val="24"/>
          <w:u w:val="single"/>
        </w:rPr>
        <w:t>Diatomaceous Earth</w:t>
      </w:r>
      <w:r>
        <w:rPr>
          <w:rFonts w:eastAsia="Times New Roman"/>
          <w:sz w:val="24"/>
          <w:szCs w:val="24"/>
        </w:rPr>
        <w:t xml:space="preserve"> means a fine, siliceous (made of silica) material composed mainly of the skeletal remains of diatoms.</w:t>
      </w:r>
    </w:p>
    <w:p w14:paraId="2B3A74A2" w14:textId="77777777" w:rsidR="0001655A" w:rsidRPr="00220F67" w:rsidRDefault="0001655A" w:rsidP="00220F67">
      <w:pPr>
        <w:spacing w:line="267" w:lineRule="auto"/>
        <w:ind w:left="1200"/>
        <w:jc w:val="both"/>
        <w:rPr>
          <w:rFonts w:eastAsia="Times New Roman"/>
          <w:sz w:val="24"/>
          <w:szCs w:val="24"/>
          <w:u w:val="single"/>
        </w:rPr>
      </w:pPr>
    </w:p>
    <w:p w14:paraId="3488456C" w14:textId="1706D1EA" w:rsidR="00220F67" w:rsidRPr="00220F67" w:rsidRDefault="0001655A" w:rsidP="00220F67">
      <w:pPr>
        <w:spacing w:line="267" w:lineRule="auto"/>
        <w:ind w:left="1200"/>
        <w:jc w:val="both"/>
        <w:rPr>
          <w:rFonts w:eastAsia="Times New Roman"/>
          <w:sz w:val="24"/>
          <w:szCs w:val="24"/>
          <w:u w:val="single"/>
        </w:rPr>
        <w:sectPr w:rsidR="00220F67" w:rsidRPr="00220F67" w:rsidSect="00EF630C">
          <w:pgSz w:w="12240" w:h="20180"/>
          <w:pgMar w:top="708" w:right="1440" w:bottom="706" w:left="600" w:header="0" w:footer="0" w:gutter="0"/>
          <w:cols w:space="720" w:equalWidth="0">
            <w:col w:w="10200"/>
          </w:cols>
        </w:sectPr>
      </w:pPr>
      <w:r>
        <w:rPr>
          <w:rFonts w:eastAsia="Times New Roman"/>
          <w:sz w:val="24"/>
          <w:szCs w:val="24"/>
          <w:u w:val="single"/>
        </w:rPr>
        <w:t>Direct Filtration</w:t>
      </w:r>
      <w:r w:rsidRPr="00220F67">
        <w:rPr>
          <w:rFonts w:eastAsia="Times New Roman"/>
          <w:sz w:val="24"/>
          <w:szCs w:val="24"/>
        </w:rPr>
        <w:t xml:space="preserve"> means a method of treating water which consists of the addition of coagulant chemicals, flash mixing, Coagulation, minimal flocculation, and Filtration; but does not include Sedimentation.</w:t>
      </w:r>
      <w:r w:rsidR="00220F67" w:rsidRPr="00220F67">
        <w:rPr>
          <w:rFonts w:eastAsia="Times New Roman"/>
          <w:sz w:val="24"/>
          <w:szCs w:val="24"/>
          <w:u w:val="single"/>
        </w:rPr>
        <w:t xml:space="preserve"> </w:t>
      </w:r>
    </w:p>
    <w:p w14:paraId="5EA82F1E" w14:textId="77777777" w:rsidR="00220F67" w:rsidRDefault="00220F67" w:rsidP="00220F67">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7524880F" w14:textId="77777777" w:rsidR="00220F67" w:rsidRDefault="00220F67" w:rsidP="00220F67">
      <w:pPr>
        <w:spacing w:line="200" w:lineRule="exact"/>
        <w:rPr>
          <w:sz w:val="20"/>
          <w:szCs w:val="20"/>
        </w:rPr>
      </w:pPr>
    </w:p>
    <w:p w14:paraId="15849273" w14:textId="77777777" w:rsidR="00220F67" w:rsidRDefault="00220F67" w:rsidP="00220F67">
      <w:pPr>
        <w:spacing w:line="316" w:lineRule="exact"/>
        <w:rPr>
          <w:sz w:val="20"/>
          <w:szCs w:val="20"/>
        </w:rPr>
      </w:pPr>
    </w:p>
    <w:p w14:paraId="6FE14EAD" w14:textId="6A101E0D" w:rsidR="00220F67" w:rsidRDefault="00A26F5C" w:rsidP="00220F67">
      <w:pPr>
        <w:tabs>
          <w:tab w:val="left" w:pos="760"/>
        </w:tabs>
        <w:rPr>
          <w:sz w:val="20"/>
          <w:szCs w:val="20"/>
        </w:rPr>
      </w:pPr>
      <w:r>
        <w:rPr>
          <w:rFonts w:eastAsia="Times New Roman"/>
          <w:sz w:val="24"/>
          <w:szCs w:val="24"/>
        </w:rPr>
        <w:t>NON-TEXT PAGE</w:t>
      </w:r>
    </w:p>
    <w:p w14:paraId="05BFD817" w14:textId="77777777" w:rsidR="00220F67" w:rsidRPr="00220F67" w:rsidRDefault="00220F67" w:rsidP="00220F67">
      <w:pPr>
        <w:spacing w:line="267" w:lineRule="auto"/>
        <w:ind w:left="1200"/>
        <w:jc w:val="both"/>
        <w:rPr>
          <w:rFonts w:eastAsia="Times New Roman"/>
          <w:sz w:val="24"/>
          <w:szCs w:val="24"/>
          <w:u w:val="single"/>
        </w:rPr>
        <w:sectPr w:rsidR="00220F67" w:rsidRPr="00220F67" w:rsidSect="00EF630C">
          <w:pgSz w:w="12240" w:h="20180"/>
          <w:pgMar w:top="708" w:right="1440" w:bottom="706" w:left="600" w:header="0" w:footer="0" w:gutter="0"/>
          <w:cols w:space="720" w:equalWidth="0">
            <w:col w:w="10200"/>
          </w:cols>
        </w:sectPr>
      </w:pPr>
    </w:p>
    <w:p w14:paraId="58AE895E" w14:textId="77777777" w:rsidR="00A26F5C" w:rsidRDefault="00A26F5C" w:rsidP="00A26F5C">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3AD8B882" w14:textId="77777777" w:rsidR="00A26F5C" w:rsidRDefault="00A26F5C" w:rsidP="00A26F5C">
      <w:pPr>
        <w:spacing w:line="200" w:lineRule="exact"/>
        <w:rPr>
          <w:sz w:val="20"/>
          <w:szCs w:val="20"/>
        </w:rPr>
      </w:pPr>
    </w:p>
    <w:p w14:paraId="272B3981" w14:textId="77777777" w:rsidR="00A26F5C" w:rsidRDefault="00A26F5C" w:rsidP="00A26F5C">
      <w:pPr>
        <w:spacing w:line="316" w:lineRule="exact"/>
        <w:rPr>
          <w:sz w:val="20"/>
          <w:szCs w:val="20"/>
        </w:rPr>
      </w:pPr>
    </w:p>
    <w:p w14:paraId="4049E161" w14:textId="77777777" w:rsidR="00A26F5C" w:rsidRDefault="00A26F5C" w:rsidP="00A26F5C">
      <w:pPr>
        <w:tabs>
          <w:tab w:val="left" w:pos="760"/>
        </w:tabs>
        <w:rPr>
          <w:sz w:val="20"/>
          <w:szCs w:val="20"/>
        </w:rPr>
      </w:pPr>
      <w:r>
        <w:rPr>
          <w:rFonts w:eastAsia="Times New Roman"/>
          <w:sz w:val="24"/>
          <w:szCs w:val="24"/>
        </w:rPr>
        <w:t>22.02:</w:t>
      </w:r>
      <w:r>
        <w:rPr>
          <w:rFonts w:eastAsia="Times New Roman"/>
          <w:sz w:val="24"/>
          <w:szCs w:val="24"/>
        </w:rPr>
        <w:tab/>
        <w:t>continued</w:t>
      </w:r>
    </w:p>
    <w:p w14:paraId="050BF27A" w14:textId="28FED738" w:rsidR="0001655A" w:rsidRPr="00367662" w:rsidRDefault="0001655A">
      <w:pPr>
        <w:rPr>
          <w:rFonts w:eastAsia="Times New Roman"/>
          <w:sz w:val="20"/>
          <w:szCs w:val="20"/>
        </w:rPr>
      </w:pPr>
    </w:p>
    <w:p w14:paraId="2819CCA4" w14:textId="77777777" w:rsidR="004647B9" w:rsidRDefault="00E2436F">
      <w:pPr>
        <w:spacing w:line="242" w:lineRule="auto"/>
        <w:ind w:left="1200"/>
        <w:jc w:val="both"/>
        <w:rPr>
          <w:sz w:val="20"/>
          <w:szCs w:val="20"/>
        </w:rPr>
      </w:pPr>
      <w:r>
        <w:rPr>
          <w:rFonts w:eastAsia="Times New Roman"/>
          <w:sz w:val="24"/>
          <w:szCs w:val="24"/>
          <w:u w:val="single"/>
        </w:rPr>
        <w:t>Direct Responsible Charge</w:t>
      </w:r>
      <w:r>
        <w:rPr>
          <w:rFonts w:eastAsia="Times New Roman"/>
          <w:sz w:val="24"/>
          <w:szCs w:val="24"/>
        </w:rPr>
        <w:t xml:space="preserve"> means accountability for and performance of active, daily on-site operation of a Treatment Facility or Distribution System, or a major segment of a Treatment Facility or Distribution System where shift operation is not required. Where shift operation is required "Direct Responsible Charge" shall mean accountability for and performance of active, daily on-site operation of an operating shift, or a major segment of the operation of a Treatment Facility or Distribution System.</w:t>
      </w:r>
    </w:p>
    <w:p w14:paraId="2819CCA5" w14:textId="77777777" w:rsidR="004647B9" w:rsidRDefault="004647B9">
      <w:pPr>
        <w:spacing w:line="229" w:lineRule="exact"/>
        <w:rPr>
          <w:sz w:val="20"/>
          <w:szCs w:val="20"/>
        </w:rPr>
      </w:pPr>
    </w:p>
    <w:p w14:paraId="2819CCA6" w14:textId="77777777" w:rsidR="004647B9" w:rsidRDefault="00E2436F">
      <w:pPr>
        <w:spacing w:line="251" w:lineRule="auto"/>
        <w:ind w:left="1200"/>
        <w:jc w:val="both"/>
        <w:rPr>
          <w:sz w:val="20"/>
          <w:szCs w:val="20"/>
        </w:rPr>
      </w:pPr>
      <w:r>
        <w:rPr>
          <w:rFonts w:eastAsia="Times New Roman"/>
          <w:sz w:val="24"/>
          <w:szCs w:val="24"/>
          <w:u w:val="single"/>
        </w:rPr>
        <w:t>Disinfectant</w:t>
      </w:r>
      <w:r>
        <w:rPr>
          <w:rFonts w:eastAsia="Times New Roman"/>
          <w:sz w:val="24"/>
          <w:szCs w:val="24"/>
        </w:rPr>
        <w:t xml:space="preserve"> means any oxidant, including but not limited to chlorine, chlorine dioxide, chloramines, and ozone, which is added to water in any part of the treatment or distribution process, and which is intended to kill or inactivate pathogenic microorganisms.</w:t>
      </w:r>
    </w:p>
    <w:p w14:paraId="2819CCA7" w14:textId="77777777" w:rsidR="004647B9" w:rsidRDefault="004647B9">
      <w:pPr>
        <w:spacing w:line="219" w:lineRule="exact"/>
        <w:rPr>
          <w:sz w:val="20"/>
          <w:szCs w:val="20"/>
        </w:rPr>
      </w:pPr>
    </w:p>
    <w:p w14:paraId="2819CCA8" w14:textId="77777777" w:rsidR="004647B9" w:rsidRDefault="00E2436F">
      <w:pPr>
        <w:spacing w:line="249" w:lineRule="auto"/>
        <w:ind w:left="1200"/>
        <w:jc w:val="both"/>
        <w:rPr>
          <w:sz w:val="20"/>
          <w:szCs w:val="20"/>
        </w:rPr>
      </w:pPr>
      <w:r>
        <w:rPr>
          <w:rFonts w:eastAsia="Times New Roman"/>
          <w:sz w:val="23"/>
          <w:szCs w:val="23"/>
          <w:u w:val="single"/>
        </w:rPr>
        <w:t>Disinfectant Contact Time</w:t>
      </w:r>
      <w:r>
        <w:rPr>
          <w:rFonts w:eastAsia="Times New Roman"/>
          <w:sz w:val="23"/>
          <w:szCs w:val="23"/>
        </w:rPr>
        <w:t xml:space="preserve"> ("T" in CT calculations) means the time in minutes that it takes for water to move from the Point of Disinfectant Application or the previous point of Disinfectant residual measurement to a point before or at the point where Residual Disinfectant Concentration ("C") is measured. Where only one "C" is measured, "T" is the time in minutes that it takes for water to move from the Point of Disinfectant Application to a point before or at where Residual Disinfectant Concentration ("C") is measured. Where more than one "C is measured, "T is (a) for the first measurement of "C", the time in minutes that it takes for water to move from the first or only Point of Disinfectant Application to a point before or at the point where the first "C" is measured and (b) for subsequent measurements of "C", the time in minutes that it takes for water to move from the previous "C" measurement point to the "C" measurement point for which the particular "T" is being calculated. Disinfectant Contact Time in pipelines must be calculated based on "plug flow" by dividing the internal volume of the pipe by the maximum hourly flow rate through that pipe. Disinfectant Contact Time within mixing basins and storage reservoirs must be determined by tracer studies or an equivalent demonstration.</w:t>
      </w:r>
    </w:p>
    <w:p w14:paraId="2819CCA9" w14:textId="77777777" w:rsidR="004647B9" w:rsidRDefault="004647B9">
      <w:pPr>
        <w:spacing w:line="226" w:lineRule="exact"/>
        <w:rPr>
          <w:sz w:val="20"/>
          <w:szCs w:val="20"/>
        </w:rPr>
      </w:pPr>
    </w:p>
    <w:p w14:paraId="2819CCAA" w14:textId="77777777" w:rsidR="004647B9" w:rsidRDefault="00E2436F">
      <w:pPr>
        <w:spacing w:line="267" w:lineRule="auto"/>
        <w:ind w:left="1200"/>
        <w:jc w:val="both"/>
        <w:rPr>
          <w:sz w:val="20"/>
          <w:szCs w:val="20"/>
        </w:rPr>
      </w:pPr>
      <w:r>
        <w:rPr>
          <w:rFonts w:eastAsia="Times New Roman"/>
          <w:sz w:val="24"/>
          <w:szCs w:val="24"/>
          <w:u w:val="single"/>
        </w:rPr>
        <w:t>Disinfection</w:t>
      </w:r>
      <w:r>
        <w:rPr>
          <w:rFonts w:eastAsia="Times New Roman"/>
          <w:sz w:val="24"/>
          <w:szCs w:val="24"/>
        </w:rPr>
        <w:t xml:space="preserve"> means a process that inactivates pathogenic organisms in water by chemical oxidants or equivalent agents.</w:t>
      </w:r>
    </w:p>
    <w:p w14:paraId="2819CCAB" w14:textId="77777777" w:rsidR="004647B9" w:rsidRDefault="004647B9">
      <w:pPr>
        <w:spacing w:line="195" w:lineRule="exact"/>
        <w:rPr>
          <w:sz w:val="20"/>
          <w:szCs w:val="20"/>
        </w:rPr>
      </w:pPr>
    </w:p>
    <w:p w14:paraId="2819CCAC" w14:textId="77777777" w:rsidR="004647B9" w:rsidRDefault="00E2436F">
      <w:pPr>
        <w:spacing w:line="271" w:lineRule="auto"/>
        <w:ind w:left="1200"/>
        <w:jc w:val="both"/>
        <w:rPr>
          <w:sz w:val="20"/>
          <w:szCs w:val="20"/>
        </w:rPr>
      </w:pPr>
      <w:r>
        <w:rPr>
          <w:rFonts w:eastAsia="Times New Roman"/>
          <w:sz w:val="24"/>
          <w:szCs w:val="24"/>
          <w:u w:val="single"/>
        </w:rPr>
        <w:t>Disinfection Profile</w:t>
      </w:r>
      <w:r>
        <w:rPr>
          <w:rFonts w:eastAsia="Times New Roman"/>
          <w:sz w:val="24"/>
          <w:szCs w:val="24"/>
        </w:rPr>
        <w:t xml:space="preserve"> means a summary of daily </w:t>
      </w:r>
      <w:r>
        <w:rPr>
          <w:rFonts w:eastAsia="Times New Roman"/>
          <w:i/>
          <w:iCs/>
          <w:sz w:val="24"/>
          <w:szCs w:val="24"/>
        </w:rPr>
        <w:t>Giardia lamblia</w:t>
      </w:r>
      <w:r>
        <w:rPr>
          <w:rFonts w:eastAsia="Times New Roman"/>
          <w:sz w:val="24"/>
          <w:szCs w:val="24"/>
        </w:rPr>
        <w:t xml:space="preserve"> inactivation through the treatment plant.</w:t>
      </w:r>
    </w:p>
    <w:p w14:paraId="2819CCAD" w14:textId="77777777" w:rsidR="004647B9" w:rsidRDefault="004647B9">
      <w:pPr>
        <w:spacing w:line="195" w:lineRule="exact"/>
        <w:rPr>
          <w:sz w:val="20"/>
          <w:szCs w:val="20"/>
        </w:rPr>
      </w:pPr>
    </w:p>
    <w:p w14:paraId="2819CCAE" w14:textId="77777777" w:rsidR="004647B9" w:rsidRDefault="00E2436F">
      <w:pPr>
        <w:spacing w:line="246" w:lineRule="auto"/>
        <w:ind w:left="1200"/>
        <w:jc w:val="both"/>
        <w:rPr>
          <w:sz w:val="20"/>
          <w:szCs w:val="20"/>
        </w:rPr>
      </w:pPr>
      <w:r>
        <w:rPr>
          <w:rFonts w:eastAsia="Times New Roman"/>
          <w:sz w:val="24"/>
          <w:szCs w:val="24"/>
          <w:u w:val="single"/>
        </w:rPr>
        <w:t>Distribution System</w:t>
      </w:r>
      <w:r>
        <w:rPr>
          <w:rFonts w:eastAsia="Times New Roman"/>
          <w:sz w:val="24"/>
          <w:szCs w:val="24"/>
        </w:rPr>
        <w:t xml:space="preserve"> means a system of conduits (laterals, distributors, pipes, mains, and their appurtenances, and in some cases includes interior plumbing) by which potable water is distributed to consumers. The Distribution System may include the source booster pumping stations, storage tanks and reservoirs.</w:t>
      </w:r>
    </w:p>
    <w:p w14:paraId="2819CCAF" w14:textId="77777777" w:rsidR="004647B9" w:rsidRDefault="004647B9">
      <w:pPr>
        <w:spacing w:line="224" w:lineRule="exact"/>
        <w:rPr>
          <w:sz w:val="20"/>
          <w:szCs w:val="20"/>
        </w:rPr>
      </w:pPr>
    </w:p>
    <w:p w14:paraId="2819CCB0" w14:textId="77777777" w:rsidR="004647B9" w:rsidRDefault="00E2436F">
      <w:pPr>
        <w:spacing w:line="267" w:lineRule="auto"/>
        <w:ind w:left="1200"/>
        <w:jc w:val="both"/>
        <w:rPr>
          <w:sz w:val="20"/>
          <w:szCs w:val="20"/>
        </w:rPr>
      </w:pPr>
      <w:r>
        <w:rPr>
          <w:rFonts w:eastAsia="Times New Roman"/>
          <w:sz w:val="24"/>
          <w:szCs w:val="24"/>
          <w:u w:val="single"/>
        </w:rPr>
        <w:t>Division</w:t>
      </w:r>
      <w:r>
        <w:rPr>
          <w:rFonts w:eastAsia="Times New Roman"/>
          <w:sz w:val="24"/>
          <w:szCs w:val="24"/>
        </w:rPr>
        <w:t xml:space="preserve"> means the Drinking Water Program, one of the programs within the Bureau of Resource Protection comprising the Department of Environmental Protection.</w:t>
      </w:r>
    </w:p>
    <w:p w14:paraId="2819CCB1" w14:textId="77777777" w:rsidR="004647B9" w:rsidRDefault="004647B9">
      <w:pPr>
        <w:spacing w:line="200" w:lineRule="exact"/>
        <w:rPr>
          <w:sz w:val="20"/>
          <w:szCs w:val="20"/>
        </w:rPr>
      </w:pPr>
    </w:p>
    <w:p w14:paraId="2819CCB2" w14:textId="77777777" w:rsidR="004647B9" w:rsidRDefault="00E2436F">
      <w:pPr>
        <w:spacing w:line="267" w:lineRule="auto"/>
        <w:ind w:left="1200"/>
        <w:jc w:val="both"/>
        <w:rPr>
          <w:sz w:val="20"/>
          <w:szCs w:val="20"/>
        </w:rPr>
      </w:pPr>
      <w:r>
        <w:rPr>
          <w:rFonts w:eastAsia="Times New Roman"/>
          <w:sz w:val="23"/>
          <w:szCs w:val="23"/>
          <w:u w:val="single"/>
        </w:rPr>
        <w:t>Domestic or Other Non-distribution System Plumbing Problem</w:t>
      </w:r>
      <w:r>
        <w:rPr>
          <w:rFonts w:eastAsia="Times New Roman"/>
          <w:sz w:val="23"/>
          <w:szCs w:val="23"/>
        </w:rPr>
        <w:t xml:space="preserve"> means a coliform contamination problem in a public water system with more than one service connection that is limited to the specific service connection from which the coliform-positive sample was taken.</w:t>
      </w:r>
    </w:p>
    <w:p w14:paraId="2819CCB3" w14:textId="77777777" w:rsidR="004647B9" w:rsidRDefault="004647B9">
      <w:pPr>
        <w:spacing w:line="202" w:lineRule="exact"/>
        <w:rPr>
          <w:sz w:val="20"/>
          <w:szCs w:val="20"/>
        </w:rPr>
      </w:pPr>
    </w:p>
    <w:p w14:paraId="2819CCB4" w14:textId="77777777" w:rsidR="004647B9" w:rsidRDefault="00E2436F">
      <w:pPr>
        <w:spacing w:line="246" w:lineRule="auto"/>
        <w:ind w:left="1200"/>
        <w:jc w:val="both"/>
        <w:rPr>
          <w:sz w:val="20"/>
          <w:szCs w:val="20"/>
        </w:rPr>
      </w:pPr>
      <w:r>
        <w:rPr>
          <w:rFonts w:eastAsia="Times New Roman"/>
          <w:sz w:val="24"/>
          <w:szCs w:val="24"/>
          <w:u w:val="single"/>
        </w:rPr>
        <w:t>Dose Equivalent</w:t>
      </w:r>
      <w:r>
        <w:rPr>
          <w:rFonts w:eastAsia="Times New Roman"/>
          <w:sz w:val="24"/>
          <w:szCs w:val="24"/>
        </w:rPr>
        <w:t xml:space="preserve"> means the product of the absorbed dose from ionizing radiation and such factors as account for differences in biological effectiveness due to the type of radiation and its distribution in the body as specified by the International Commission on Radiological Units and Measurements (ICRU).</w:t>
      </w:r>
    </w:p>
    <w:p w14:paraId="2819CCB5" w14:textId="77777777" w:rsidR="004647B9" w:rsidRDefault="004647B9">
      <w:pPr>
        <w:spacing w:line="224" w:lineRule="exact"/>
        <w:rPr>
          <w:sz w:val="20"/>
          <w:szCs w:val="20"/>
        </w:rPr>
      </w:pPr>
    </w:p>
    <w:p w14:paraId="2819CCB6" w14:textId="77777777" w:rsidR="004647B9" w:rsidRDefault="00E2436F">
      <w:pPr>
        <w:spacing w:line="243" w:lineRule="auto"/>
        <w:ind w:left="1200"/>
        <w:jc w:val="both"/>
        <w:rPr>
          <w:sz w:val="20"/>
          <w:szCs w:val="20"/>
        </w:rPr>
      </w:pPr>
      <w:r>
        <w:rPr>
          <w:rFonts w:eastAsia="Times New Roman"/>
          <w:sz w:val="24"/>
          <w:szCs w:val="24"/>
          <w:u w:val="single"/>
        </w:rPr>
        <w:t>Dual Sample Set</w:t>
      </w:r>
      <w:r>
        <w:rPr>
          <w:rFonts w:eastAsia="Times New Roman"/>
          <w:sz w:val="24"/>
          <w:szCs w:val="24"/>
        </w:rPr>
        <w:t xml:space="preserve"> means a set of two samples collected at the same time and same location, with one sample analyzed for TTHM and the other sample analyzed for HAA5. Dual Sample Sets are collected for the purposes of conducting an IDSE under 310 CMR 22.07F(1) through 310 CMR 22.07F(6) and determining compliance with the TTHM and HAA5 MCLs under 310 CMR 22.07F.</w:t>
      </w:r>
    </w:p>
    <w:p w14:paraId="2819CCB7" w14:textId="77777777" w:rsidR="004647B9" w:rsidRDefault="004647B9">
      <w:pPr>
        <w:spacing w:line="230" w:lineRule="exact"/>
        <w:rPr>
          <w:sz w:val="20"/>
          <w:szCs w:val="20"/>
        </w:rPr>
      </w:pPr>
    </w:p>
    <w:p w14:paraId="2819CCB8" w14:textId="77777777" w:rsidR="004647B9" w:rsidRDefault="00E2436F">
      <w:pPr>
        <w:spacing w:line="267" w:lineRule="auto"/>
        <w:ind w:left="1200"/>
        <w:jc w:val="both"/>
        <w:rPr>
          <w:sz w:val="20"/>
          <w:szCs w:val="20"/>
        </w:rPr>
      </w:pPr>
      <w:r>
        <w:rPr>
          <w:rFonts w:eastAsia="Times New Roman"/>
          <w:sz w:val="24"/>
          <w:szCs w:val="24"/>
          <w:u w:val="single"/>
        </w:rPr>
        <w:t>Effective Corrosion Inhibitor Residual</w:t>
      </w:r>
      <w:r>
        <w:rPr>
          <w:rFonts w:eastAsia="Times New Roman"/>
          <w:sz w:val="24"/>
          <w:szCs w:val="24"/>
        </w:rPr>
        <w:t>, for the purpose of 310 CMR 22.06B only, means a concentration sufficient to form a passivating film on the interior walls of a pipe.</w:t>
      </w:r>
    </w:p>
    <w:p w14:paraId="2819CCB9" w14:textId="77777777" w:rsidR="004647B9" w:rsidRDefault="004647B9">
      <w:pPr>
        <w:spacing w:line="200" w:lineRule="exact"/>
        <w:rPr>
          <w:sz w:val="20"/>
          <w:szCs w:val="20"/>
        </w:rPr>
      </w:pPr>
    </w:p>
    <w:p w14:paraId="2819CCBA" w14:textId="77777777" w:rsidR="004647B9" w:rsidRDefault="00E2436F">
      <w:pPr>
        <w:spacing w:line="251" w:lineRule="auto"/>
        <w:ind w:left="1200"/>
        <w:jc w:val="both"/>
        <w:rPr>
          <w:sz w:val="20"/>
          <w:szCs w:val="20"/>
        </w:rPr>
      </w:pPr>
      <w:r>
        <w:rPr>
          <w:rFonts w:eastAsia="Times New Roman"/>
          <w:sz w:val="24"/>
          <w:szCs w:val="24"/>
          <w:u w:val="single"/>
        </w:rPr>
        <w:t>Electrodialysis</w:t>
      </w:r>
      <w:r>
        <w:rPr>
          <w:rFonts w:eastAsia="Times New Roman"/>
          <w:sz w:val="24"/>
          <w:szCs w:val="24"/>
        </w:rPr>
        <w:t xml:space="preserve"> means the selective separation of dissolved solids on the basis of electrical charge, by diffusion through a semi-permeable membrane across which an electrical potential is imposed.</w:t>
      </w:r>
    </w:p>
    <w:p w14:paraId="2819CCBB" w14:textId="77777777" w:rsidR="004647B9" w:rsidRDefault="004647B9">
      <w:pPr>
        <w:sectPr w:rsidR="004647B9" w:rsidSect="00EF630C">
          <w:pgSz w:w="12240" w:h="20180"/>
          <w:pgMar w:top="708" w:right="1440" w:bottom="977" w:left="600" w:header="0" w:footer="0" w:gutter="0"/>
          <w:cols w:space="720" w:equalWidth="0">
            <w:col w:w="10200"/>
          </w:cols>
        </w:sectPr>
      </w:pPr>
    </w:p>
    <w:p w14:paraId="2819CCBC" w14:textId="77777777" w:rsidR="004647B9" w:rsidRDefault="00E2436F">
      <w:pPr>
        <w:tabs>
          <w:tab w:val="left" w:pos="160"/>
        </w:tabs>
        <w:jc w:val="center"/>
        <w:rPr>
          <w:sz w:val="20"/>
          <w:szCs w:val="20"/>
        </w:rPr>
      </w:pPr>
      <w:bookmarkStart w:id="5" w:name="page6"/>
      <w:bookmarkEnd w:id="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CBD" w14:textId="77777777" w:rsidR="004647B9" w:rsidRDefault="004647B9">
      <w:pPr>
        <w:spacing w:line="200" w:lineRule="exact"/>
        <w:rPr>
          <w:sz w:val="20"/>
          <w:szCs w:val="20"/>
        </w:rPr>
      </w:pPr>
    </w:p>
    <w:p w14:paraId="2819CCBE" w14:textId="77777777" w:rsidR="004647B9" w:rsidRDefault="004647B9">
      <w:pPr>
        <w:spacing w:line="323" w:lineRule="exact"/>
        <w:rPr>
          <w:sz w:val="20"/>
          <w:szCs w:val="20"/>
        </w:rPr>
      </w:pPr>
    </w:p>
    <w:p w14:paraId="2819CCBF"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CC0" w14:textId="77777777" w:rsidR="004647B9" w:rsidRDefault="004647B9">
      <w:pPr>
        <w:spacing w:line="283" w:lineRule="exact"/>
        <w:rPr>
          <w:sz w:val="20"/>
          <w:szCs w:val="20"/>
        </w:rPr>
      </w:pPr>
    </w:p>
    <w:p w14:paraId="2819CCC1" w14:textId="77777777" w:rsidR="004647B9" w:rsidRDefault="00E2436F">
      <w:pPr>
        <w:spacing w:line="251" w:lineRule="auto"/>
        <w:ind w:left="1200"/>
        <w:jc w:val="both"/>
        <w:rPr>
          <w:sz w:val="20"/>
          <w:szCs w:val="20"/>
        </w:rPr>
      </w:pPr>
      <w:r>
        <w:rPr>
          <w:rFonts w:eastAsia="Times New Roman"/>
          <w:sz w:val="24"/>
          <w:szCs w:val="24"/>
          <w:u w:val="single"/>
        </w:rPr>
        <w:t>Emergency</w:t>
      </w:r>
      <w:r>
        <w:rPr>
          <w:rFonts w:eastAsia="Times New Roman"/>
          <w:sz w:val="24"/>
          <w:szCs w:val="24"/>
        </w:rPr>
        <w:t xml:space="preserve"> means any situation or event, natural or man-made, which causes or threatens to cause damage to a water supply system that could disrupt normal water supply functions. An Emergency may affect a portion of the system or the entire system. In an Emergency, a water supplier must take immediate action to assess the situation or event and may need to take immediate action to protect public health.</w:t>
      </w:r>
    </w:p>
    <w:p w14:paraId="2819CCC2" w14:textId="77777777" w:rsidR="004647B9" w:rsidRDefault="004647B9">
      <w:pPr>
        <w:spacing w:line="234" w:lineRule="exact"/>
        <w:rPr>
          <w:sz w:val="20"/>
          <w:szCs w:val="20"/>
        </w:rPr>
      </w:pPr>
    </w:p>
    <w:p w14:paraId="2819CCC3" w14:textId="77777777" w:rsidR="004647B9" w:rsidRDefault="00E2436F">
      <w:pPr>
        <w:spacing w:line="251" w:lineRule="auto"/>
        <w:ind w:left="1200"/>
        <w:jc w:val="both"/>
        <w:rPr>
          <w:sz w:val="20"/>
          <w:szCs w:val="20"/>
        </w:rPr>
      </w:pPr>
      <w:r>
        <w:rPr>
          <w:rFonts w:eastAsia="Times New Roman"/>
          <w:sz w:val="24"/>
          <w:szCs w:val="24"/>
          <w:u w:val="single"/>
        </w:rPr>
        <w:t>Emergency Source</w:t>
      </w:r>
      <w:r>
        <w:rPr>
          <w:rFonts w:eastAsia="Times New Roman"/>
          <w:sz w:val="24"/>
          <w:szCs w:val="24"/>
        </w:rPr>
        <w:t xml:space="preserve"> means any source of water used to supplement or temporarily replace a public water system's active or Inactive Source(s) when water of sufficient quality or quantity is not available. An Emergency Source may be placed On-line only after the Department's approval pursuant to a declaration of a state of water emergency under M.G.L. c. 21G, §§ 15 through 17 or as a requirement of a Department administrative order.</w:t>
      </w:r>
    </w:p>
    <w:p w14:paraId="2819CCC4" w14:textId="77777777" w:rsidR="004647B9" w:rsidRDefault="004647B9">
      <w:pPr>
        <w:spacing w:line="234" w:lineRule="exact"/>
        <w:rPr>
          <w:sz w:val="20"/>
          <w:szCs w:val="20"/>
        </w:rPr>
      </w:pPr>
    </w:p>
    <w:p w14:paraId="2819CCC5" w14:textId="77777777" w:rsidR="004647B9" w:rsidRDefault="00E2436F">
      <w:pPr>
        <w:spacing w:line="273" w:lineRule="auto"/>
        <w:ind w:left="1200"/>
        <w:jc w:val="both"/>
        <w:rPr>
          <w:sz w:val="20"/>
          <w:szCs w:val="20"/>
        </w:rPr>
      </w:pPr>
      <w:r>
        <w:rPr>
          <w:rFonts w:eastAsia="Times New Roman"/>
          <w:sz w:val="24"/>
          <w:szCs w:val="24"/>
          <w:u w:val="single"/>
        </w:rPr>
        <w:t>Enhanced Coagulation</w:t>
      </w:r>
      <w:r>
        <w:rPr>
          <w:rFonts w:eastAsia="Times New Roman"/>
          <w:sz w:val="24"/>
          <w:szCs w:val="24"/>
        </w:rPr>
        <w:t xml:space="preserve"> means the addition of sufficient coagulant for improved removal of Disinfection byproduct precursors by conventional Filtration treatment.</w:t>
      </w:r>
    </w:p>
    <w:p w14:paraId="2819CCC6" w14:textId="77777777" w:rsidR="004647B9" w:rsidRDefault="004647B9">
      <w:pPr>
        <w:spacing w:line="210" w:lineRule="exact"/>
        <w:rPr>
          <w:sz w:val="20"/>
          <w:szCs w:val="20"/>
        </w:rPr>
      </w:pPr>
    </w:p>
    <w:p w14:paraId="2819CCC7" w14:textId="77777777" w:rsidR="004647B9" w:rsidRDefault="00E2436F">
      <w:pPr>
        <w:spacing w:line="275" w:lineRule="auto"/>
        <w:ind w:left="1200"/>
        <w:jc w:val="both"/>
        <w:rPr>
          <w:sz w:val="20"/>
          <w:szCs w:val="20"/>
        </w:rPr>
      </w:pPr>
      <w:r>
        <w:rPr>
          <w:rFonts w:eastAsia="Times New Roman"/>
          <w:sz w:val="24"/>
          <w:szCs w:val="24"/>
          <w:u w:val="single"/>
        </w:rPr>
        <w:t>Enhanced Softening</w:t>
      </w:r>
      <w:r>
        <w:rPr>
          <w:rFonts w:eastAsia="Times New Roman"/>
          <w:sz w:val="24"/>
          <w:szCs w:val="24"/>
        </w:rPr>
        <w:t xml:space="preserve"> means the improved removal of Disinfection byproduct precursors by precipitative softening.</w:t>
      </w:r>
    </w:p>
    <w:p w14:paraId="2819CCC8" w14:textId="77777777" w:rsidR="004647B9" w:rsidRDefault="004647B9">
      <w:pPr>
        <w:spacing w:line="208" w:lineRule="exact"/>
        <w:rPr>
          <w:sz w:val="20"/>
          <w:szCs w:val="20"/>
        </w:rPr>
      </w:pPr>
    </w:p>
    <w:p w14:paraId="2819CCC9" w14:textId="77777777" w:rsidR="004647B9" w:rsidRDefault="00E2436F">
      <w:pPr>
        <w:ind w:left="1200"/>
        <w:rPr>
          <w:sz w:val="20"/>
          <w:szCs w:val="20"/>
        </w:rPr>
      </w:pPr>
      <w:r>
        <w:rPr>
          <w:rFonts w:eastAsia="Times New Roman"/>
          <w:sz w:val="24"/>
          <w:szCs w:val="24"/>
          <w:u w:val="single"/>
        </w:rPr>
        <w:t>EPA</w:t>
      </w:r>
      <w:r>
        <w:rPr>
          <w:rFonts w:eastAsia="Times New Roman"/>
          <w:sz w:val="24"/>
          <w:szCs w:val="24"/>
        </w:rPr>
        <w:t xml:space="preserve"> means the United States Environmental Protection Agency.</w:t>
      </w:r>
    </w:p>
    <w:p w14:paraId="2819CCCA" w14:textId="77777777" w:rsidR="004647B9" w:rsidRDefault="004647B9">
      <w:pPr>
        <w:spacing w:line="283" w:lineRule="exact"/>
        <w:rPr>
          <w:sz w:val="20"/>
          <w:szCs w:val="20"/>
        </w:rPr>
      </w:pPr>
    </w:p>
    <w:p w14:paraId="2819CCCB" w14:textId="77777777" w:rsidR="004647B9" w:rsidRDefault="00E2436F">
      <w:pPr>
        <w:ind w:left="1200"/>
        <w:rPr>
          <w:sz w:val="20"/>
          <w:szCs w:val="20"/>
        </w:rPr>
      </w:pPr>
      <w:r>
        <w:rPr>
          <w:rFonts w:eastAsia="Times New Roman"/>
          <w:sz w:val="24"/>
          <w:szCs w:val="24"/>
          <w:u w:val="single"/>
        </w:rPr>
        <w:t>Expand</w:t>
      </w:r>
      <w:r>
        <w:rPr>
          <w:rFonts w:eastAsia="Times New Roman"/>
          <w:sz w:val="24"/>
          <w:szCs w:val="24"/>
        </w:rPr>
        <w:t xml:space="preserve"> means to increase the yield of a well or Wellfield above the approved pumping rate.</w:t>
      </w:r>
    </w:p>
    <w:p w14:paraId="2819CCCC" w14:textId="77777777" w:rsidR="004647B9" w:rsidRDefault="004647B9">
      <w:pPr>
        <w:spacing w:line="283" w:lineRule="exact"/>
        <w:rPr>
          <w:sz w:val="20"/>
          <w:szCs w:val="20"/>
        </w:rPr>
      </w:pPr>
    </w:p>
    <w:p w14:paraId="2819CCCD" w14:textId="77777777" w:rsidR="004647B9" w:rsidRDefault="00E2436F">
      <w:pPr>
        <w:spacing w:line="253" w:lineRule="auto"/>
        <w:ind w:left="1200"/>
        <w:jc w:val="both"/>
        <w:rPr>
          <w:sz w:val="20"/>
          <w:szCs w:val="20"/>
        </w:rPr>
      </w:pPr>
      <w:r>
        <w:rPr>
          <w:rFonts w:eastAsia="Times New Roman"/>
          <w:sz w:val="24"/>
          <w:szCs w:val="24"/>
          <w:u w:val="single"/>
        </w:rPr>
        <w:t>Filter Profile</w:t>
      </w:r>
      <w:r>
        <w:rPr>
          <w:rFonts w:eastAsia="Times New Roman"/>
          <w:sz w:val="24"/>
          <w:szCs w:val="24"/>
        </w:rPr>
        <w:t xml:space="preserve"> means a graphical representation of individual filter performance, based on continuous Turbidity measurements or total particle counts versus time for an entire filter run, from startup to backwash inclusively, that includes an assessment of filter performance while another filter is being backwashed.</w:t>
      </w:r>
    </w:p>
    <w:p w14:paraId="2819CCCE" w14:textId="77777777" w:rsidR="004647B9" w:rsidRDefault="004647B9">
      <w:pPr>
        <w:spacing w:line="233" w:lineRule="exact"/>
        <w:rPr>
          <w:sz w:val="20"/>
          <w:szCs w:val="20"/>
        </w:rPr>
      </w:pPr>
    </w:p>
    <w:p w14:paraId="2819CCCF" w14:textId="77777777" w:rsidR="004647B9" w:rsidRDefault="00E2436F">
      <w:pPr>
        <w:spacing w:line="275" w:lineRule="auto"/>
        <w:ind w:left="1200"/>
        <w:jc w:val="both"/>
        <w:rPr>
          <w:sz w:val="20"/>
          <w:szCs w:val="20"/>
        </w:rPr>
      </w:pPr>
      <w:r>
        <w:rPr>
          <w:rFonts w:eastAsia="Times New Roman"/>
          <w:sz w:val="24"/>
          <w:szCs w:val="24"/>
          <w:u w:val="single"/>
        </w:rPr>
        <w:t>Filtration</w:t>
      </w:r>
      <w:r>
        <w:rPr>
          <w:rFonts w:eastAsia="Times New Roman"/>
          <w:sz w:val="24"/>
          <w:szCs w:val="24"/>
        </w:rPr>
        <w:t xml:space="preserve"> means a process for removing particulate matter from water by passage through porous media.</w:t>
      </w:r>
    </w:p>
    <w:p w14:paraId="2819CCD0" w14:textId="77777777" w:rsidR="004647B9" w:rsidRDefault="004647B9">
      <w:pPr>
        <w:spacing w:line="208" w:lineRule="exact"/>
        <w:rPr>
          <w:sz w:val="20"/>
          <w:szCs w:val="20"/>
        </w:rPr>
      </w:pPr>
    </w:p>
    <w:p w14:paraId="2819CCD1" w14:textId="77777777" w:rsidR="004647B9" w:rsidRDefault="00E2436F">
      <w:pPr>
        <w:spacing w:line="253" w:lineRule="auto"/>
        <w:ind w:left="1200"/>
        <w:jc w:val="both"/>
        <w:rPr>
          <w:sz w:val="20"/>
          <w:szCs w:val="20"/>
        </w:rPr>
      </w:pPr>
      <w:r>
        <w:rPr>
          <w:rFonts w:eastAsia="Times New Roman"/>
          <w:sz w:val="24"/>
          <w:szCs w:val="24"/>
          <w:u w:val="single"/>
        </w:rPr>
        <w:t>Finished Water</w:t>
      </w:r>
      <w:r>
        <w:rPr>
          <w:rFonts w:eastAsia="Times New Roman"/>
          <w:sz w:val="24"/>
          <w:szCs w:val="24"/>
        </w:rPr>
        <w:t xml:space="preserve"> means water that is introduced into the distribution system of a public water system and is intended for distribution and consumption without further treatment, except as treatment necessary to maintain water quality in the distribution system (</w:t>
      </w:r>
      <w:r>
        <w:rPr>
          <w:rFonts w:eastAsia="Times New Roman"/>
          <w:i/>
          <w:iCs/>
          <w:sz w:val="24"/>
          <w:szCs w:val="24"/>
        </w:rPr>
        <w:t>e.g</w:t>
      </w:r>
      <w:r>
        <w:rPr>
          <w:rFonts w:eastAsia="Times New Roman"/>
          <w:sz w:val="24"/>
          <w:szCs w:val="24"/>
        </w:rPr>
        <w:t>., booster Disinfection, addition of corrosion control chemicals).</w:t>
      </w:r>
    </w:p>
    <w:p w14:paraId="2819CCD2" w14:textId="77777777" w:rsidR="004647B9" w:rsidRDefault="004647B9">
      <w:pPr>
        <w:spacing w:line="233" w:lineRule="exact"/>
        <w:rPr>
          <w:sz w:val="20"/>
          <w:szCs w:val="20"/>
        </w:rPr>
      </w:pPr>
    </w:p>
    <w:p w14:paraId="2819CCD3" w14:textId="77777777" w:rsidR="004647B9" w:rsidRDefault="00E2436F">
      <w:pPr>
        <w:spacing w:line="258" w:lineRule="auto"/>
        <w:ind w:left="1200"/>
        <w:jc w:val="both"/>
        <w:rPr>
          <w:sz w:val="20"/>
          <w:szCs w:val="20"/>
        </w:rPr>
      </w:pPr>
      <w:r>
        <w:rPr>
          <w:rFonts w:eastAsia="Times New Roman"/>
          <w:sz w:val="24"/>
          <w:szCs w:val="24"/>
          <w:u w:val="single"/>
        </w:rPr>
        <w:t>First Draw Sample</w:t>
      </w:r>
      <w:r>
        <w:rPr>
          <w:rFonts w:eastAsia="Times New Roman"/>
          <w:sz w:val="24"/>
          <w:szCs w:val="24"/>
        </w:rPr>
        <w:t xml:space="preserve"> means a one-liter sample of tap water, collected in accordance with 310 CMR 22.06B(1)(a)2. that has been standing in plumbing pipes at least six hours and is collected without flushing the tap.</w:t>
      </w:r>
    </w:p>
    <w:p w14:paraId="2819CCD4" w14:textId="77777777" w:rsidR="004647B9" w:rsidRDefault="004647B9">
      <w:pPr>
        <w:spacing w:line="228" w:lineRule="exact"/>
        <w:rPr>
          <w:sz w:val="20"/>
          <w:szCs w:val="20"/>
        </w:rPr>
      </w:pPr>
    </w:p>
    <w:p w14:paraId="2819CCD5" w14:textId="77777777" w:rsidR="004647B9" w:rsidRDefault="00E2436F">
      <w:pPr>
        <w:spacing w:line="258" w:lineRule="auto"/>
        <w:ind w:left="1200"/>
        <w:jc w:val="both"/>
        <w:rPr>
          <w:sz w:val="20"/>
          <w:szCs w:val="20"/>
        </w:rPr>
      </w:pPr>
      <w:r>
        <w:rPr>
          <w:rFonts w:eastAsia="Times New Roman"/>
          <w:sz w:val="24"/>
          <w:szCs w:val="24"/>
          <w:u w:val="single"/>
        </w:rPr>
        <w:t>Flocculation</w:t>
      </w:r>
      <w:r>
        <w:rPr>
          <w:rFonts w:eastAsia="Times New Roman"/>
          <w:sz w:val="24"/>
          <w:szCs w:val="24"/>
        </w:rPr>
        <w:t xml:space="preserve"> means a process to enhance agglomeration or collection of smaller floc particles into larger, more easily settleable particles through gentle stirring by hydraulic or mechanical means.</w:t>
      </w:r>
    </w:p>
    <w:p w14:paraId="2819CCD6" w14:textId="77777777" w:rsidR="004647B9" w:rsidRDefault="004647B9">
      <w:pPr>
        <w:spacing w:line="228" w:lineRule="exact"/>
        <w:rPr>
          <w:sz w:val="20"/>
          <w:szCs w:val="20"/>
        </w:rPr>
      </w:pPr>
    </w:p>
    <w:p w14:paraId="2819CCD7" w14:textId="77777777" w:rsidR="004647B9" w:rsidRDefault="00E2436F">
      <w:pPr>
        <w:ind w:left="1200"/>
        <w:rPr>
          <w:sz w:val="20"/>
          <w:szCs w:val="20"/>
        </w:rPr>
      </w:pPr>
      <w:r>
        <w:rPr>
          <w:rFonts w:eastAsia="Times New Roman"/>
          <w:sz w:val="24"/>
          <w:szCs w:val="24"/>
          <w:u w:val="single"/>
        </w:rPr>
        <w:t>Flowing Stream</w:t>
      </w:r>
      <w:r>
        <w:rPr>
          <w:rFonts w:eastAsia="Times New Roman"/>
          <w:sz w:val="24"/>
          <w:szCs w:val="24"/>
        </w:rPr>
        <w:t xml:space="preserve"> means a course of running water flowing in a definite channel.</w:t>
      </w:r>
    </w:p>
    <w:p w14:paraId="2819CCD8" w14:textId="77777777" w:rsidR="004647B9" w:rsidRDefault="004647B9">
      <w:pPr>
        <w:spacing w:line="283" w:lineRule="exact"/>
        <w:rPr>
          <w:sz w:val="20"/>
          <w:szCs w:val="20"/>
        </w:rPr>
      </w:pPr>
    </w:p>
    <w:p w14:paraId="2819CCD9" w14:textId="77777777" w:rsidR="004647B9" w:rsidRDefault="00E2436F">
      <w:pPr>
        <w:spacing w:line="254" w:lineRule="auto"/>
        <w:ind w:left="1200"/>
        <w:jc w:val="both"/>
        <w:rPr>
          <w:sz w:val="20"/>
          <w:szCs w:val="20"/>
        </w:rPr>
      </w:pPr>
      <w:r>
        <w:rPr>
          <w:rFonts w:eastAsia="Times New Roman"/>
          <w:sz w:val="24"/>
          <w:szCs w:val="24"/>
          <w:u w:val="single"/>
        </w:rPr>
        <w:t>Foreseeable Future</w:t>
      </w:r>
      <w:r>
        <w:rPr>
          <w:rFonts w:eastAsia="Times New Roman"/>
          <w:sz w:val="24"/>
          <w:szCs w:val="24"/>
        </w:rPr>
        <w:t xml:space="preserve"> means that a Public Water System has demonstrated its capacity to operate and maintain the system in compliance with 310 CMR 22.00 and each federal national primary drinking water regulation that will be in effect five years from the date of the Department's determination of the system's capacity.</w:t>
      </w:r>
    </w:p>
    <w:p w14:paraId="2819CCDA" w14:textId="77777777" w:rsidR="004647B9" w:rsidRDefault="004647B9">
      <w:pPr>
        <w:spacing w:line="231" w:lineRule="exact"/>
        <w:rPr>
          <w:sz w:val="20"/>
          <w:szCs w:val="20"/>
        </w:rPr>
      </w:pPr>
    </w:p>
    <w:p w14:paraId="2819CCDB" w14:textId="77777777" w:rsidR="004647B9" w:rsidRDefault="00E2436F">
      <w:pPr>
        <w:spacing w:line="253" w:lineRule="auto"/>
        <w:ind w:left="1200"/>
        <w:jc w:val="both"/>
        <w:rPr>
          <w:sz w:val="20"/>
          <w:szCs w:val="20"/>
        </w:rPr>
      </w:pPr>
      <w:r>
        <w:rPr>
          <w:rFonts w:eastAsia="Times New Roman"/>
          <w:sz w:val="24"/>
          <w:szCs w:val="24"/>
          <w:u w:val="single"/>
        </w:rPr>
        <w:t>GAC10</w:t>
      </w:r>
      <w:r>
        <w:rPr>
          <w:rFonts w:eastAsia="Times New Roman"/>
          <w:sz w:val="24"/>
          <w:szCs w:val="24"/>
        </w:rPr>
        <w:t xml:space="preserve"> means granular activated carbon filter beds with an empty-bed contact time of ten minutes based on average daily flow and a carbon reactivation frequency of every 180 days except that the reactivation frequency for GAC10 used as a Best Available Technology for compliance with the MCLs under 310 CMR 22.07E(1)(c) shall be 120 days.</w:t>
      </w:r>
    </w:p>
    <w:p w14:paraId="2819CCDC" w14:textId="77777777" w:rsidR="004647B9" w:rsidRDefault="004647B9">
      <w:pPr>
        <w:spacing w:line="233" w:lineRule="exact"/>
        <w:rPr>
          <w:sz w:val="20"/>
          <w:szCs w:val="20"/>
        </w:rPr>
      </w:pPr>
    </w:p>
    <w:p w14:paraId="2819CCDD" w14:textId="77777777" w:rsidR="004647B9" w:rsidRDefault="00E2436F">
      <w:pPr>
        <w:spacing w:line="275" w:lineRule="auto"/>
        <w:ind w:left="1200"/>
        <w:jc w:val="both"/>
        <w:rPr>
          <w:sz w:val="20"/>
          <w:szCs w:val="20"/>
        </w:rPr>
      </w:pPr>
      <w:r>
        <w:rPr>
          <w:rFonts w:eastAsia="Times New Roman"/>
          <w:sz w:val="24"/>
          <w:szCs w:val="24"/>
          <w:u w:val="single"/>
        </w:rPr>
        <w:t>GAC20</w:t>
      </w:r>
      <w:r>
        <w:rPr>
          <w:rFonts w:eastAsia="Times New Roman"/>
          <w:sz w:val="24"/>
          <w:szCs w:val="24"/>
        </w:rPr>
        <w:t xml:space="preserve"> means granular activated carbon filter beds with an empty-bed contact time of 20 minutes based on average daily flow and a carbon reactivation frequency of every 240 days.</w:t>
      </w:r>
    </w:p>
    <w:p w14:paraId="2819CCDE" w14:textId="77777777" w:rsidR="004647B9" w:rsidRDefault="004647B9">
      <w:pPr>
        <w:spacing w:line="208" w:lineRule="exact"/>
        <w:rPr>
          <w:sz w:val="20"/>
          <w:szCs w:val="20"/>
        </w:rPr>
      </w:pPr>
    </w:p>
    <w:p w14:paraId="2819CCDF" w14:textId="77777777" w:rsidR="004647B9" w:rsidRDefault="00E2436F">
      <w:pPr>
        <w:spacing w:line="273" w:lineRule="auto"/>
        <w:ind w:left="1200"/>
        <w:jc w:val="both"/>
        <w:rPr>
          <w:sz w:val="20"/>
          <w:szCs w:val="20"/>
        </w:rPr>
      </w:pPr>
      <w:r>
        <w:rPr>
          <w:rFonts w:eastAsia="Times New Roman"/>
          <w:sz w:val="24"/>
          <w:szCs w:val="24"/>
          <w:u w:val="single"/>
        </w:rPr>
        <w:t>Gross Alpha Particle Activity</w:t>
      </w:r>
      <w:r>
        <w:rPr>
          <w:rFonts w:eastAsia="Times New Roman"/>
          <w:sz w:val="24"/>
          <w:szCs w:val="24"/>
        </w:rPr>
        <w:t xml:space="preserve"> means the total radioactivity due to alpha particle emission as inferred from measurements on a dry sample.</w:t>
      </w:r>
    </w:p>
    <w:p w14:paraId="2819CCE0" w14:textId="77777777" w:rsidR="004647B9" w:rsidRDefault="004647B9">
      <w:pPr>
        <w:sectPr w:rsidR="004647B9" w:rsidSect="00EF630C">
          <w:pgSz w:w="12240" w:h="20180"/>
          <w:pgMar w:top="708" w:right="1440" w:bottom="704" w:left="600" w:header="0" w:footer="0" w:gutter="0"/>
          <w:cols w:space="720" w:equalWidth="0">
            <w:col w:w="10200"/>
          </w:cols>
        </w:sectPr>
      </w:pPr>
    </w:p>
    <w:p w14:paraId="2819CCE1" w14:textId="77777777" w:rsidR="004647B9" w:rsidRDefault="00E2436F">
      <w:pPr>
        <w:tabs>
          <w:tab w:val="left" w:pos="160"/>
        </w:tabs>
        <w:jc w:val="center"/>
        <w:rPr>
          <w:sz w:val="20"/>
          <w:szCs w:val="20"/>
        </w:rPr>
      </w:pPr>
      <w:bookmarkStart w:id="6" w:name="page7"/>
      <w:bookmarkEnd w:id="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CE2" w14:textId="77777777" w:rsidR="004647B9" w:rsidRDefault="004647B9">
      <w:pPr>
        <w:spacing w:line="200" w:lineRule="exact"/>
        <w:rPr>
          <w:sz w:val="20"/>
          <w:szCs w:val="20"/>
        </w:rPr>
      </w:pPr>
    </w:p>
    <w:p w14:paraId="2819CCE3" w14:textId="77777777" w:rsidR="004647B9" w:rsidRDefault="004647B9">
      <w:pPr>
        <w:spacing w:line="323" w:lineRule="exact"/>
        <w:rPr>
          <w:sz w:val="20"/>
          <w:szCs w:val="20"/>
        </w:rPr>
      </w:pPr>
    </w:p>
    <w:p w14:paraId="2819CCE4"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CE5" w14:textId="77777777" w:rsidR="004647B9" w:rsidRDefault="004647B9">
      <w:pPr>
        <w:spacing w:line="283" w:lineRule="exact"/>
        <w:rPr>
          <w:sz w:val="20"/>
          <w:szCs w:val="20"/>
        </w:rPr>
      </w:pPr>
    </w:p>
    <w:p w14:paraId="2819CCE6" w14:textId="77777777" w:rsidR="004647B9" w:rsidRDefault="00E2436F">
      <w:pPr>
        <w:spacing w:line="273" w:lineRule="auto"/>
        <w:ind w:left="1200"/>
        <w:jc w:val="both"/>
        <w:rPr>
          <w:sz w:val="20"/>
          <w:szCs w:val="20"/>
        </w:rPr>
      </w:pPr>
      <w:r>
        <w:rPr>
          <w:rFonts w:eastAsia="Times New Roman"/>
          <w:sz w:val="24"/>
          <w:szCs w:val="24"/>
          <w:u w:val="single"/>
        </w:rPr>
        <w:t>Gross Beta Particle Activity</w:t>
      </w:r>
      <w:r>
        <w:rPr>
          <w:rFonts w:eastAsia="Times New Roman"/>
          <w:sz w:val="24"/>
          <w:szCs w:val="24"/>
        </w:rPr>
        <w:t xml:space="preserve"> means the total radioactivity due to beta particle emission as inferred from measurements on a dry sample.</w:t>
      </w:r>
    </w:p>
    <w:p w14:paraId="2819CCE7" w14:textId="77777777" w:rsidR="004647B9" w:rsidRDefault="004647B9">
      <w:pPr>
        <w:spacing w:line="210" w:lineRule="exact"/>
        <w:rPr>
          <w:sz w:val="20"/>
          <w:szCs w:val="20"/>
        </w:rPr>
      </w:pPr>
    </w:p>
    <w:p w14:paraId="2819CCE8" w14:textId="77777777" w:rsidR="004647B9" w:rsidRPr="00A43221" w:rsidRDefault="00E2436F">
      <w:pPr>
        <w:spacing w:line="275" w:lineRule="auto"/>
        <w:ind w:left="1200"/>
        <w:jc w:val="both"/>
        <w:rPr>
          <w:sz w:val="24"/>
          <w:szCs w:val="24"/>
        </w:rPr>
      </w:pPr>
      <w:r w:rsidRPr="00A43221">
        <w:rPr>
          <w:rFonts w:eastAsia="Times New Roman"/>
          <w:sz w:val="24"/>
          <w:szCs w:val="24"/>
          <w:u w:val="single"/>
        </w:rPr>
        <w:t>Groundwater</w:t>
      </w:r>
      <w:r w:rsidRPr="00A43221">
        <w:rPr>
          <w:rFonts w:eastAsia="Times New Roman"/>
          <w:sz w:val="24"/>
          <w:szCs w:val="24"/>
        </w:rPr>
        <w:t xml:space="preserve"> means all water that exists beneath the land surface in soils or geologic formations, specifically that part of the subsurface water in the Saturated Zone.</w:t>
      </w:r>
    </w:p>
    <w:p w14:paraId="2819CCE9" w14:textId="77777777" w:rsidR="004647B9" w:rsidRPr="00367662" w:rsidRDefault="004647B9">
      <w:pPr>
        <w:spacing w:line="208" w:lineRule="exact"/>
        <w:rPr>
          <w:sz w:val="20"/>
          <w:szCs w:val="20"/>
        </w:rPr>
      </w:pPr>
    </w:p>
    <w:p w14:paraId="2819CCEA" w14:textId="77777777" w:rsidR="004647B9" w:rsidRPr="00A43221" w:rsidRDefault="00E2436F">
      <w:pPr>
        <w:spacing w:line="251" w:lineRule="auto"/>
        <w:ind w:left="1200"/>
        <w:jc w:val="both"/>
        <w:rPr>
          <w:sz w:val="24"/>
          <w:szCs w:val="24"/>
        </w:rPr>
      </w:pPr>
      <w:r w:rsidRPr="00A43221">
        <w:rPr>
          <w:rFonts w:eastAsia="Times New Roman"/>
          <w:sz w:val="24"/>
          <w:szCs w:val="24"/>
          <w:u w:val="single"/>
        </w:rPr>
        <w:t>Groundwater under the Direct Influence of Surface Water</w:t>
      </w:r>
      <w:r w:rsidRPr="00A43221">
        <w:rPr>
          <w:rFonts w:eastAsia="Times New Roman"/>
          <w:sz w:val="24"/>
          <w:szCs w:val="24"/>
        </w:rPr>
        <w:t xml:space="preserve"> means any water beneath the surface of the ground with significant occurrence of insects or other macroorganisms, algae, or large-diameter pathogens such as </w:t>
      </w:r>
      <w:r w:rsidRPr="00A43221">
        <w:rPr>
          <w:rFonts w:eastAsia="Times New Roman"/>
          <w:i/>
          <w:iCs/>
          <w:sz w:val="24"/>
          <w:szCs w:val="24"/>
        </w:rPr>
        <w:t>Giardia lamblia</w:t>
      </w:r>
      <w:r w:rsidRPr="00A43221">
        <w:rPr>
          <w:rFonts w:eastAsia="Times New Roman"/>
          <w:sz w:val="24"/>
          <w:szCs w:val="24"/>
        </w:rPr>
        <w:t xml:space="preserve"> or </w:t>
      </w:r>
      <w:r w:rsidRPr="00A43221">
        <w:rPr>
          <w:rFonts w:eastAsia="Times New Roman"/>
          <w:i/>
          <w:iCs/>
          <w:sz w:val="24"/>
          <w:szCs w:val="24"/>
        </w:rPr>
        <w:t>Cryptosporidium</w:t>
      </w:r>
      <w:r w:rsidRPr="00A43221">
        <w:rPr>
          <w:rFonts w:eastAsia="Times New Roman"/>
          <w:sz w:val="24"/>
          <w:szCs w:val="24"/>
        </w:rPr>
        <w:t>, or significant and relatively rapid shifts in water characteristics such as Turbidity, temperature, conductivity, or pH which closely correlate to climatological or Surface Water conditions.</w:t>
      </w:r>
    </w:p>
    <w:p w14:paraId="2819CCEB" w14:textId="77777777" w:rsidR="004647B9" w:rsidRPr="00367662" w:rsidRDefault="004647B9">
      <w:pPr>
        <w:spacing w:line="234" w:lineRule="exact"/>
        <w:rPr>
          <w:sz w:val="20"/>
          <w:szCs w:val="20"/>
        </w:rPr>
      </w:pPr>
    </w:p>
    <w:p w14:paraId="2819CCEC" w14:textId="77777777" w:rsidR="004647B9" w:rsidRPr="00A43221" w:rsidRDefault="00E2436F">
      <w:pPr>
        <w:spacing w:line="249" w:lineRule="auto"/>
        <w:ind w:left="1200"/>
        <w:jc w:val="both"/>
        <w:rPr>
          <w:sz w:val="24"/>
          <w:szCs w:val="24"/>
        </w:rPr>
      </w:pPr>
      <w:r w:rsidRPr="00A43221">
        <w:rPr>
          <w:rFonts w:eastAsia="Times New Roman"/>
          <w:sz w:val="24"/>
          <w:szCs w:val="24"/>
          <w:u w:val="single"/>
        </w:rPr>
        <w:t>Guidelines and Policies for Public Water Systems</w:t>
      </w:r>
      <w:r w:rsidRPr="00A43221">
        <w:rPr>
          <w:rFonts w:eastAsia="Times New Roman"/>
          <w:sz w:val="24"/>
          <w:szCs w:val="24"/>
        </w:rPr>
        <w:t xml:space="preserve"> means the Department’s Drinking Water Program's document titled "Guidelines and Policies for Public Water Systems," as amended, utilized by the Drinking Water Program as a guidance document. Copies of the "Guidelines and Policies for Public Water Systems" are available for a nominal fee from the State Bookstore, State House, Room 116, Boston, Massachusetts and 436 Dwight Street, Springfield, Massachusetts.</w:t>
      </w:r>
    </w:p>
    <w:p w14:paraId="2819CCED" w14:textId="77777777" w:rsidR="004647B9" w:rsidRPr="00367662" w:rsidRDefault="004647B9">
      <w:pPr>
        <w:spacing w:line="238" w:lineRule="exact"/>
        <w:rPr>
          <w:sz w:val="20"/>
          <w:szCs w:val="20"/>
        </w:rPr>
      </w:pPr>
    </w:p>
    <w:p w14:paraId="2819CCEE" w14:textId="77777777" w:rsidR="004647B9" w:rsidRPr="00A43221" w:rsidRDefault="00E2436F">
      <w:pPr>
        <w:spacing w:line="254" w:lineRule="auto"/>
        <w:ind w:left="1200"/>
        <w:jc w:val="both"/>
        <w:rPr>
          <w:sz w:val="24"/>
          <w:szCs w:val="24"/>
        </w:rPr>
      </w:pPr>
      <w:r w:rsidRPr="00A43221">
        <w:rPr>
          <w:rFonts w:eastAsia="Times New Roman"/>
          <w:sz w:val="24"/>
          <w:szCs w:val="24"/>
          <w:u w:val="single"/>
        </w:rPr>
        <w:t>Haloacetic Acids (Five) (HAA5)</w:t>
      </w:r>
      <w:r w:rsidRPr="00A43221">
        <w:rPr>
          <w:rFonts w:eastAsia="Times New Roman"/>
          <w:sz w:val="24"/>
          <w:szCs w:val="24"/>
        </w:rPr>
        <w:t xml:space="preserve"> means the sum of the concentrations in milligrams per liter of the haloacetic acid compounds (monochloroacetic acid, dichloroacetic acid, trichloroacetic acid, monobromoacetic acid, and dibromoacetic acid), rounded to two significant figures after addition.</w:t>
      </w:r>
    </w:p>
    <w:p w14:paraId="2819CCEF" w14:textId="77777777" w:rsidR="004647B9" w:rsidRPr="00367662" w:rsidRDefault="004647B9">
      <w:pPr>
        <w:spacing w:line="231" w:lineRule="exact"/>
        <w:rPr>
          <w:sz w:val="20"/>
          <w:szCs w:val="20"/>
        </w:rPr>
      </w:pPr>
    </w:p>
    <w:p w14:paraId="2819CCF0" w14:textId="77777777" w:rsidR="004647B9" w:rsidRPr="00A43221" w:rsidRDefault="00E2436F">
      <w:pPr>
        <w:ind w:left="1200"/>
        <w:rPr>
          <w:sz w:val="24"/>
          <w:szCs w:val="24"/>
        </w:rPr>
      </w:pPr>
      <w:r w:rsidRPr="00A43221">
        <w:rPr>
          <w:rFonts w:eastAsia="Times New Roman"/>
          <w:sz w:val="24"/>
          <w:szCs w:val="24"/>
          <w:u w:val="single"/>
        </w:rPr>
        <w:t>Halogen</w:t>
      </w:r>
      <w:r w:rsidRPr="00A43221">
        <w:rPr>
          <w:rFonts w:eastAsia="Times New Roman"/>
          <w:sz w:val="24"/>
          <w:szCs w:val="24"/>
        </w:rPr>
        <w:t xml:space="preserve"> means one of the chemical elements chlorine, bromine, or iodine.</w:t>
      </w:r>
    </w:p>
    <w:p w14:paraId="2819CCF1" w14:textId="77777777" w:rsidR="004647B9" w:rsidRPr="00367662" w:rsidRDefault="004647B9">
      <w:pPr>
        <w:spacing w:line="283" w:lineRule="exact"/>
        <w:rPr>
          <w:sz w:val="20"/>
          <w:szCs w:val="20"/>
        </w:rPr>
      </w:pPr>
    </w:p>
    <w:p w14:paraId="2819CCF2" w14:textId="77777777" w:rsidR="004647B9" w:rsidRPr="00A43221" w:rsidRDefault="00E2436F">
      <w:pPr>
        <w:spacing w:line="262" w:lineRule="auto"/>
        <w:ind w:left="1200"/>
        <w:jc w:val="both"/>
        <w:rPr>
          <w:sz w:val="24"/>
          <w:szCs w:val="24"/>
        </w:rPr>
      </w:pPr>
      <w:r w:rsidRPr="00A43221">
        <w:rPr>
          <w:rFonts w:eastAsia="Times New Roman"/>
          <w:sz w:val="24"/>
          <w:szCs w:val="24"/>
          <w:u w:val="single"/>
        </w:rPr>
        <w:t>Home Water Treatment Device</w:t>
      </w:r>
      <w:r w:rsidRPr="00A43221">
        <w:rPr>
          <w:rFonts w:eastAsia="Times New Roman"/>
          <w:sz w:val="24"/>
          <w:szCs w:val="24"/>
        </w:rPr>
        <w:t xml:space="preserve"> means any apparatus, appliance, instrument, or product designed or used in conjunction with residential plumbing systems or systems providing water in any building or structure for human consumption or use; including but not limited to, apparatus, appliances, instruments, or products using Filtration, distillation, absorption, ion exchange, Reverse Osmosis, or other treatment processes or technologies which alter the properties of water. </w:t>
      </w:r>
      <w:r w:rsidRPr="00A43221">
        <w:rPr>
          <w:rFonts w:eastAsia="Times New Roman"/>
          <w:sz w:val="24"/>
          <w:szCs w:val="24"/>
          <w:u w:val="single"/>
        </w:rPr>
        <w:t>Home Water Treatment Device</w:t>
      </w:r>
      <w:r w:rsidRPr="00A43221">
        <w:rPr>
          <w:rFonts w:eastAsia="Times New Roman"/>
          <w:sz w:val="24"/>
          <w:szCs w:val="24"/>
        </w:rPr>
        <w:t xml:space="preserve"> includes point-of-entry and point-of-use devices.</w:t>
      </w:r>
    </w:p>
    <w:p w14:paraId="2819CCF3" w14:textId="77777777" w:rsidR="004647B9" w:rsidRPr="00367662" w:rsidRDefault="004647B9">
      <w:pPr>
        <w:spacing w:line="224" w:lineRule="exact"/>
        <w:rPr>
          <w:sz w:val="20"/>
          <w:szCs w:val="20"/>
        </w:rPr>
      </w:pPr>
    </w:p>
    <w:p w14:paraId="2819CCF4" w14:textId="77777777" w:rsidR="004647B9" w:rsidRPr="00A43221" w:rsidRDefault="00E2436F">
      <w:pPr>
        <w:spacing w:line="251" w:lineRule="auto"/>
        <w:ind w:left="1200"/>
        <w:jc w:val="both"/>
        <w:rPr>
          <w:sz w:val="24"/>
          <w:szCs w:val="24"/>
        </w:rPr>
      </w:pPr>
      <w:r w:rsidRPr="00A43221">
        <w:rPr>
          <w:rFonts w:eastAsia="Times New Roman"/>
          <w:sz w:val="24"/>
          <w:szCs w:val="24"/>
          <w:u w:val="single"/>
        </w:rPr>
        <w:t>Inactive Source</w:t>
      </w:r>
      <w:r w:rsidRPr="00A43221">
        <w:rPr>
          <w:rFonts w:eastAsia="Times New Roman"/>
          <w:sz w:val="24"/>
          <w:szCs w:val="24"/>
        </w:rPr>
        <w:t xml:space="preserve"> means an Approved Source(s) that is expected to be off-line for at least one year (12 months). A source may be deemed inactive only upon written approval of the Department. An Inactive Source may not return to active status without written approval from the Department. Monitoring as specified at 310 CMR 22.00, is not required during the time that the source is inactive, unless otherwise specified by the Department.</w:t>
      </w:r>
    </w:p>
    <w:p w14:paraId="2819CCF5" w14:textId="77777777" w:rsidR="004647B9" w:rsidRDefault="004647B9">
      <w:pPr>
        <w:spacing w:line="234" w:lineRule="exact"/>
        <w:rPr>
          <w:sz w:val="20"/>
          <w:szCs w:val="20"/>
        </w:rPr>
      </w:pPr>
    </w:p>
    <w:p w14:paraId="2819CCF6" w14:textId="77777777" w:rsidR="004647B9" w:rsidRDefault="00E2436F">
      <w:pPr>
        <w:spacing w:line="251" w:lineRule="auto"/>
        <w:ind w:left="1200"/>
        <w:jc w:val="both"/>
        <w:rPr>
          <w:sz w:val="20"/>
          <w:szCs w:val="20"/>
        </w:rPr>
      </w:pPr>
      <w:r>
        <w:rPr>
          <w:rFonts w:eastAsia="Times New Roman"/>
          <w:sz w:val="24"/>
          <w:szCs w:val="24"/>
          <w:u w:val="single"/>
        </w:rPr>
        <w:t>Infiltration Gallery</w:t>
      </w:r>
      <w:r>
        <w:rPr>
          <w:rFonts w:eastAsia="Times New Roman"/>
          <w:sz w:val="24"/>
          <w:szCs w:val="24"/>
        </w:rPr>
        <w:t xml:space="preserve"> means a subsurface Groundwater collection system, which generally consists of a horizontal screen(s) or other porous media that collects Groundwater and induced Surface Water and routes it to a chamber from which water is pumped to a water treatment plant or Distribution System, installed adjacent to a Surface Water body for the purpose of inducing infiltration from the Surface Water body.</w:t>
      </w:r>
    </w:p>
    <w:p w14:paraId="2819CCF7" w14:textId="77777777" w:rsidR="004647B9" w:rsidRDefault="004647B9">
      <w:pPr>
        <w:spacing w:line="234" w:lineRule="exact"/>
        <w:rPr>
          <w:sz w:val="20"/>
          <w:szCs w:val="20"/>
        </w:rPr>
      </w:pPr>
    </w:p>
    <w:p w14:paraId="2819CCF8" w14:textId="77777777" w:rsidR="004647B9" w:rsidRDefault="00E2436F">
      <w:pPr>
        <w:spacing w:line="275" w:lineRule="auto"/>
        <w:ind w:left="1200"/>
        <w:jc w:val="both"/>
        <w:rPr>
          <w:sz w:val="20"/>
          <w:szCs w:val="20"/>
        </w:rPr>
      </w:pPr>
      <w:r>
        <w:rPr>
          <w:rFonts w:eastAsia="Times New Roman"/>
          <w:sz w:val="24"/>
          <w:szCs w:val="24"/>
          <w:u w:val="single"/>
        </w:rPr>
        <w:t>Initial Compliance Period</w:t>
      </w:r>
      <w:r>
        <w:rPr>
          <w:rFonts w:eastAsia="Times New Roman"/>
          <w:sz w:val="24"/>
          <w:szCs w:val="24"/>
        </w:rPr>
        <w:t xml:space="preserve"> means the first full three-year Compliance Period which begins at least 18 months after promulgation of the federal regulations.</w:t>
      </w:r>
    </w:p>
    <w:p w14:paraId="2819CCF9" w14:textId="77777777" w:rsidR="004647B9" w:rsidRDefault="004647B9">
      <w:pPr>
        <w:spacing w:line="208" w:lineRule="exact"/>
        <w:rPr>
          <w:sz w:val="20"/>
          <w:szCs w:val="20"/>
        </w:rPr>
      </w:pPr>
    </w:p>
    <w:p w14:paraId="2819CCFA" w14:textId="77777777" w:rsidR="004647B9" w:rsidRDefault="00E2436F">
      <w:pPr>
        <w:spacing w:line="246" w:lineRule="auto"/>
        <w:ind w:left="1200"/>
        <w:jc w:val="both"/>
        <w:rPr>
          <w:sz w:val="20"/>
          <w:szCs w:val="20"/>
        </w:rPr>
      </w:pPr>
      <w:r>
        <w:rPr>
          <w:rFonts w:eastAsia="Times New Roman"/>
          <w:sz w:val="24"/>
          <w:szCs w:val="24"/>
          <w:u w:val="single"/>
        </w:rPr>
        <w:t>Interim Wellhead Protection Area (IWPA)</w:t>
      </w:r>
      <w:r>
        <w:rPr>
          <w:rFonts w:eastAsia="Times New Roman"/>
          <w:sz w:val="24"/>
          <w:szCs w:val="24"/>
        </w:rPr>
        <w:t xml:space="preserve"> means that for public water systems using wells or Wellfields that lack a Department-approved Zone II, the Department will apply an Interim Wellhead Protection Area. This Interim Wellhead Protection Area shall be a one half mile radius measured from the well or Wellfield for sources whose approved pumping rate is 100,000 gpd or greater. For wells or Wellfields that pump less than 100,000 gpd, the IWPA radius is proportional to the approved pumping rate which may be calculated according to the following equation: IWPA radius in feet = (32 x pumping rate in gallons per minute) + 400. A default IWPA radius or an IWPA radius otherwise computed and determined by the Department shall be applied to Transient Non-community Water System (TNC) and Non-transient Non-community Water System (NTNC) wells when there is no metered rate of withdrawal or no approved pumping rate.</w:t>
      </w:r>
    </w:p>
    <w:p w14:paraId="2819CCFB" w14:textId="77777777" w:rsidR="004647B9" w:rsidRDefault="004647B9">
      <w:pPr>
        <w:sectPr w:rsidR="004647B9" w:rsidSect="00EF630C">
          <w:pgSz w:w="12240" w:h="20180"/>
          <w:pgMar w:top="708" w:right="1440" w:bottom="1016" w:left="600" w:header="0" w:footer="0" w:gutter="0"/>
          <w:cols w:space="720" w:equalWidth="0">
            <w:col w:w="10200"/>
          </w:cols>
        </w:sectPr>
      </w:pPr>
    </w:p>
    <w:p w14:paraId="2819CCFC" w14:textId="77777777" w:rsidR="004647B9" w:rsidRDefault="00E2436F">
      <w:pPr>
        <w:tabs>
          <w:tab w:val="left" w:pos="160"/>
        </w:tabs>
        <w:jc w:val="center"/>
        <w:rPr>
          <w:sz w:val="20"/>
          <w:szCs w:val="20"/>
        </w:rPr>
      </w:pPr>
      <w:bookmarkStart w:id="7" w:name="page8"/>
      <w:bookmarkEnd w:id="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CFD" w14:textId="77777777" w:rsidR="004647B9" w:rsidRDefault="004647B9">
      <w:pPr>
        <w:spacing w:line="200" w:lineRule="exact"/>
        <w:rPr>
          <w:sz w:val="20"/>
          <w:szCs w:val="20"/>
        </w:rPr>
      </w:pPr>
    </w:p>
    <w:p w14:paraId="2819CCFE" w14:textId="77777777" w:rsidR="004647B9" w:rsidRDefault="004647B9">
      <w:pPr>
        <w:spacing w:line="318" w:lineRule="exact"/>
        <w:rPr>
          <w:sz w:val="20"/>
          <w:szCs w:val="20"/>
        </w:rPr>
      </w:pPr>
    </w:p>
    <w:p w14:paraId="2819CCFF"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D00" w14:textId="77777777" w:rsidR="004647B9" w:rsidRDefault="004647B9">
      <w:pPr>
        <w:spacing w:line="271" w:lineRule="exact"/>
        <w:rPr>
          <w:sz w:val="20"/>
          <w:szCs w:val="20"/>
        </w:rPr>
      </w:pPr>
    </w:p>
    <w:p w14:paraId="2819CD01" w14:textId="77777777" w:rsidR="004647B9" w:rsidRDefault="00E2436F">
      <w:pPr>
        <w:spacing w:line="269" w:lineRule="auto"/>
        <w:ind w:left="1200"/>
        <w:jc w:val="both"/>
        <w:rPr>
          <w:sz w:val="20"/>
          <w:szCs w:val="20"/>
        </w:rPr>
      </w:pPr>
      <w:r>
        <w:rPr>
          <w:rFonts w:eastAsia="Times New Roman"/>
          <w:sz w:val="24"/>
          <w:szCs w:val="24"/>
          <w:u w:val="single"/>
        </w:rPr>
        <w:t>Laboratory Analyst</w:t>
      </w:r>
      <w:r>
        <w:rPr>
          <w:rFonts w:eastAsia="Times New Roman"/>
          <w:sz w:val="24"/>
          <w:szCs w:val="24"/>
        </w:rPr>
        <w:t xml:space="preserve"> means a Person who is qualified to perform tests in specified disciplines or categories.</w:t>
      </w:r>
    </w:p>
    <w:p w14:paraId="2819CD02" w14:textId="77777777" w:rsidR="004647B9" w:rsidRDefault="004647B9">
      <w:pPr>
        <w:spacing w:line="202" w:lineRule="exact"/>
        <w:rPr>
          <w:sz w:val="20"/>
          <w:szCs w:val="20"/>
        </w:rPr>
      </w:pPr>
    </w:p>
    <w:p w14:paraId="2819CD03" w14:textId="77777777" w:rsidR="004647B9" w:rsidRDefault="00E2436F">
      <w:pPr>
        <w:spacing w:line="269" w:lineRule="auto"/>
        <w:ind w:left="1200"/>
        <w:jc w:val="both"/>
        <w:rPr>
          <w:sz w:val="20"/>
          <w:szCs w:val="20"/>
        </w:rPr>
      </w:pPr>
      <w:r>
        <w:rPr>
          <w:rFonts w:eastAsia="Times New Roman"/>
          <w:sz w:val="24"/>
          <w:szCs w:val="24"/>
          <w:u w:val="single"/>
        </w:rPr>
        <w:t>Laboratory Director</w:t>
      </w:r>
      <w:r>
        <w:rPr>
          <w:rFonts w:eastAsia="Times New Roman"/>
          <w:sz w:val="24"/>
          <w:szCs w:val="24"/>
        </w:rPr>
        <w:t xml:space="preserve"> means the Person who has administrative and legal responsibility for the operation of the laboratory.</w:t>
      </w:r>
    </w:p>
    <w:p w14:paraId="2819CD04" w14:textId="77777777" w:rsidR="004647B9" w:rsidRDefault="004647B9">
      <w:pPr>
        <w:spacing w:line="202" w:lineRule="exact"/>
        <w:rPr>
          <w:sz w:val="20"/>
          <w:szCs w:val="20"/>
        </w:rPr>
      </w:pPr>
    </w:p>
    <w:p w14:paraId="2819CD05" w14:textId="77777777" w:rsidR="004647B9" w:rsidRDefault="00E2436F">
      <w:pPr>
        <w:spacing w:line="248" w:lineRule="auto"/>
        <w:ind w:left="1200"/>
        <w:jc w:val="both"/>
        <w:rPr>
          <w:sz w:val="20"/>
          <w:szCs w:val="20"/>
        </w:rPr>
      </w:pPr>
      <w:r>
        <w:rPr>
          <w:rFonts w:eastAsia="Times New Roman"/>
          <w:sz w:val="24"/>
          <w:szCs w:val="24"/>
          <w:u w:val="single"/>
        </w:rPr>
        <w:t>Laboratory Supervisor/Consultant</w:t>
      </w:r>
      <w:r>
        <w:rPr>
          <w:rFonts w:eastAsia="Times New Roman"/>
          <w:sz w:val="24"/>
          <w:szCs w:val="24"/>
        </w:rPr>
        <w:t xml:space="preserve"> means a Person with management and technical responsibility, who exercises supervision over technical personnel, evaluates the quality of analytical methods, performs tests requiring special scientific skills and is responsible for the accuracy and reporting of results.</w:t>
      </w:r>
    </w:p>
    <w:p w14:paraId="2819CD06" w14:textId="77777777" w:rsidR="004647B9" w:rsidRDefault="004647B9">
      <w:pPr>
        <w:spacing w:line="227" w:lineRule="exact"/>
        <w:rPr>
          <w:sz w:val="20"/>
          <w:szCs w:val="20"/>
        </w:rPr>
      </w:pPr>
    </w:p>
    <w:p w14:paraId="2819CD07" w14:textId="77777777" w:rsidR="004647B9" w:rsidRDefault="00E2436F">
      <w:pPr>
        <w:spacing w:line="269" w:lineRule="auto"/>
        <w:ind w:left="1200"/>
        <w:jc w:val="both"/>
        <w:rPr>
          <w:sz w:val="20"/>
          <w:szCs w:val="20"/>
        </w:rPr>
      </w:pPr>
      <w:r>
        <w:rPr>
          <w:rFonts w:eastAsia="Times New Roman"/>
          <w:sz w:val="24"/>
          <w:szCs w:val="24"/>
          <w:u w:val="single"/>
        </w:rPr>
        <w:t>Lake/Reservoir</w:t>
      </w:r>
      <w:r>
        <w:rPr>
          <w:rFonts w:eastAsia="Times New Roman"/>
          <w:sz w:val="24"/>
          <w:szCs w:val="24"/>
        </w:rPr>
        <w:t xml:space="preserve"> means a natural or man made basin or hollow on the Earth’s surface in which water collects or is stored that may or may not have a current or single direction of flow.</w:t>
      </w:r>
    </w:p>
    <w:p w14:paraId="2819CD08" w14:textId="77777777" w:rsidR="004647B9" w:rsidRDefault="004647B9">
      <w:pPr>
        <w:spacing w:line="202" w:lineRule="exact"/>
        <w:rPr>
          <w:sz w:val="20"/>
          <w:szCs w:val="20"/>
        </w:rPr>
      </w:pPr>
    </w:p>
    <w:p w14:paraId="2819CD09" w14:textId="77777777" w:rsidR="004647B9" w:rsidRDefault="00E2436F">
      <w:pPr>
        <w:spacing w:line="269" w:lineRule="auto"/>
        <w:ind w:left="1200"/>
        <w:jc w:val="both"/>
        <w:rPr>
          <w:sz w:val="20"/>
          <w:szCs w:val="20"/>
        </w:rPr>
      </w:pPr>
      <w:r>
        <w:rPr>
          <w:rFonts w:eastAsia="Times New Roman"/>
          <w:sz w:val="24"/>
          <w:szCs w:val="24"/>
          <w:u w:val="single"/>
        </w:rPr>
        <w:t>Large Water System</w:t>
      </w:r>
      <w:r>
        <w:rPr>
          <w:rFonts w:eastAsia="Times New Roman"/>
          <w:sz w:val="24"/>
          <w:szCs w:val="24"/>
        </w:rPr>
        <w:t>, for the purpose of 310 CMR 22.06(B), means a water system that serves more than 50,000 persons.</w:t>
      </w:r>
    </w:p>
    <w:p w14:paraId="2819CD0A" w14:textId="77777777" w:rsidR="004647B9" w:rsidRDefault="004647B9">
      <w:pPr>
        <w:spacing w:line="202" w:lineRule="exact"/>
        <w:rPr>
          <w:sz w:val="20"/>
          <w:szCs w:val="20"/>
        </w:rPr>
      </w:pPr>
    </w:p>
    <w:p w14:paraId="2819CD0B" w14:textId="77777777" w:rsidR="004647B9" w:rsidRDefault="00E2436F">
      <w:pPr>
        <w:ind w:left="1200"/>
        <w:rPr>
          <w:sz w:val="20"/>
          <w:szCs w:val="20"/>
        </w:rPr>
      </w:pPr>
      <w:r>
        <w:rPr>
          <w:rFonts w:eastAsia="Times New Roman"/>
          <w:sz w:val="24"/>
          <w:szCs w:val="24"/>
          <w:u w:val="single"/>
        </w:rPr>
        <w:t>Lead-free</w:t>
      </w:r>
      <w:r>
        <w:rPr>
          <w:rFonts w:eastAsia="Times New Roman"/>
          <w:sz w:val="24"/>
          <w:szCs w:val="24"/>
        </w:rPr>
        <w:t xml:space="preserve"> means:</w:t>
      </w:r>
    </w:p>
    <w:p w14:paraId="2819CD0D" w14:textId="77777777" w:rsidR="004647B9" w:rsidRDefault="00E2436F">
      <w:pPr>
        <w:numPr>
          <w:ilvl w:val="0"/>
          <w:numId w:val="3"/>
        </w:numPr>
        <w:tabs>
          <w:tab w:val="left" w:pos="2000"/>
        </w:tabs>
        <w:ind w:left="2000" w:hanging="445"/>
        <w:rPr>
          <w:rFonts w:eastAsia="Times New Roman"/>
          <w:sz w:val="24"/>
          <w:szCs w:val="24"/>
        </w:rPr>
      </w:pPr>
      <w:r>
        <w:rPr>
          <w:rFonts w:eastAsia="Times New Roman"/>
          <w:sz w:val="24"/>
          <w:szCs w:val="24"/>
        </w:rPr>
        <w:t>not containing more than 0.2% lead when used with respect to solder and flux; and</w:t>
      </w:r>
    </w:p>
    <w:p w14:paraId="2819CD0E" w14:textId="77777777" w:rsidR="004647B9" w:rsidRDefault="00E2436F">
      <w:pPr>
        <w:numPr>
          <w:ilvl w:val="0"/>
          <w:numId w:val="3"/>
        </w:numPr>
        <w:tabs>
          <w:tab w:val="left" w:pos="2013"/>
        </w:tabs>
        <w:spacing w:line="237" w:lineRule="auto"/>
        <w:ind w:left="1560" w:hanging="5"/>
        <w:jc w:val="both"/>
        <w:rPr>
          <w:rFonts w:eastAsia="Times New Roman"/>
          <w:sz w:val="24"/>
          <w:szCs w:val="24"/>
        </w:rPr>
      </w:pPr>
      <w:r>
        <w:rPr>
          <w:rFonts w:eastAsia="Times New Roman"/>
          <w:sz w:val="24"/>
          <w:szCs w:val="24"/>
        </w:rPr>
        <w:t>not more than a weighted average of 0.25% lead when used with respect to the wetted surfaces of pipes, pipe fittings, plumbing fittings, and fixtures; provided that the weighted average lead content of a pipe, pipe fitting, plumbing fitting, or fixture shall be calculated by using the following formula:</w:t>
      </w:r>
    </w:p>
    <w:p w14:paraId="2819CD10" w14:textId="77777777" w:rsidR="004647B9" w:rsidRDefault="00E2436F">
      <w:pPr>
        <w:numPr>
          <w:ilvl w:val="1"/>
          <w:numId w:val="3"/>
        </w:numPr>
        <w:tabs>
          <w:tab w:val="left" w:pos="2395"/>
        </w:tabs>
        <w:spacing w:line="237" w:lineRule="auto"/>
        <w:ind w:left="1920" w:hanging="5"/>
        <w:jc w:val="both"/>
        <w:rPr>
          <w:rFonts w:eastAsia="Times New Roman"/>
          <w:sz w:val="24"/>
          <w:szCs w:val="24"/>
        </w:rPr>
      </w:pPr>
      <w:r>
        <w:rPr>
          <w:rFonts w:eastAsia="Times New Roman"/>
          <w:sz w:val="24"/>
          <w:szCs w:val="24"/>
        </w:rPr>
        <w:t>for each wetted component, the percentage of lead in the component shall be multiplied by the ratio of the wetted surface area of that component to the total wetted surface area of the entire product to arrive at the weighted percentage of lead of the component;</w:t>
      </w:r>
    </w:p>
    <w:p w14:paraId="2819CD12" w14:textId="77777777" w:rsidR="004647B9" w:rsidRDefault="00E2436F">
      <w:pPr>
        <w:numPr>
          <w:ilvl w:val="1"/>
          <w:numId w:val="3"/>
        </w:numPr>
        <w:tabs>
          <w:tab w:val="left" w:pos="2273"/>
        </w:tabs>
        <w:spacing w:line="237" w:lineRule="auto"/>
        <w:ind w:left="1920" w:hanging="5"/>
        <w:jc w:val="both"/>
        <w:rPr>
          <w:rFonts w:eastAsia="Times New Roman"/>
          <w:sz w:val="24"/>
          <w:szCs w:val="24"/>
        </w:rPr>
      </w:pPr>
      <w:r>
        <w:rPr>
          <w:rFonts w:eastAsia="Times New Roman"/>
          <w:sz w:val="24"/>
          <w:szCs w:val="24"/>
        </w:rPr>
        <w:t>the weighted percentage of lead of each wetted component shall be added together, and the sum of these weighted percentages shall constitute the weighted average lead content of the product;</w:t>
      </w:r>
    </w:p>
    <w:p w14:paraId="2819CD14" w14:textId="77777777" w:rsidR="004647B9" w:rsidRDefault="00E2436F">
      <w:pPr>
        <w:numPr>
          <w:ilvl w:val="1"/>
          <w:numId w:val="3"/>
        </w:numPr>
        <w:tabs>
          <w:tab w:val="left" w:pos="2266"/>
        </w:tabs>
        <w:spacing w:line="237" w:lineRule="auto"/>
        <w:ind w:left="1920" w:hanging="5"/>
        <w:rPr>
          <w:rFonts w:eastAsia="Times New Roman"/>
          <w:sz w:val="24"/>
          <w:szCs w:val="24"/>
        </w:rPr>
      </w:pPr>
      <w:r>
        <w:rPr>
          <w:rFonts w:eastAsia="Times New Roman"/>
          <w:sz w:val="24"/>
          <w:szCs w:val="24"/>
        </w:rPr>
        <w:t>the lead content of the material used to produce wetted components shall be used to determine compliance; and</w:t>
      </w:r>
    </w:p>
    <w:p w14:paraId="2819CD16" w14:textId="77777777" w:rsidR="004647B9" w:rsidRDefault="00E2436F">
      <w:pPr>
        <w:numPr>
          <w:ilvl w:val="1"/>
          <w:numId w:val="3"/>
        </w:numPr>
        <w:tabs>
          <w:tab w:val="left" w:pos="2287"/>
        </w:tabs>
        <w:spacing w:line="237" w:lineRule="auto"/>
        <w:ind w:left="1920" w:hanging="5"/>
        <w:rPr>
          <w:rFonts w:eastAsia="Times New Roman"/>
          <w:sz w:val="24"/>
          <w:szCs w:val="24"/>
        </w:rPr>
      </w:pPr>
      <w:r>
        <w:rPr>
          <w:rFonts w:eastAsia="Times New Roman"/>
          <w:sz w:val="24"/>
          <w:szCs w:val="24"/>
        </w:rPr>
        <w:t>for lead content of materials that are provided as a range, the maximum content of the range shall be used.</w:t>
      </w:r>
    </w:p>
    <w:p w14:paraId="2819CD17" w14:textId="77777777" w:rsidR="004647B9" w:rsidRDefault="004647B9">
      <w:pPr>
        <w:spacing w:line="237" w:lineRule="exact"/>
        <w:rPr>
          <w:sz w:val="20"/>
          <w:szCs w:val="20"/>
        </w:rPr>
      </w:pPr>
    </w:p>
    <w:p w14:paraId="2819CD18" w14:textId="77777777" w:rsidR="004647B9" w:rsidRPr="00EE20C3" w:rsidRDefault="00E2436F">
      <w:pPr>
        <w:spacing w:line="291" w:lineRule="auto"/>
        <w:ind w:left="1200"/>
        <w:jc w:val="both"/>
        <w:rPr>
          <w:sz w:val="24"/>
          <w:szCs w:val="24"/>
        </w:rPr>
      </w:pPr>
      <w:r w:rsidRPr="00EE20C3">
        <w:rPr>
          <w:rFonts w:eastAsia="Times New Roman"/>
          <w:sz w:val="24"/>
          <w:szCs w:val="24"/>
          <w:u w:val="single"/>
        </w:rPr>
        <w:t>Lead Service Line</w:t>
      </w:r>
      <w:r w:rsidRPr="00EE20C3">
        <w:rPr>
          <w:rFonts w:eastAsia="Times New Roman"/>
          <w:sz w:val="24"/>
          <w:szCs w:val="24"/>
        </w:rPr>
        <w:t xml:space="preserve"> means a service line made of lead which connects the water main to the building inlet and any lead pigtail, gooseneck or other fitting that is connected to such lead line.</w:t>
      </w:r>
    </w:p>
    <w:p w14:paraId="2819CD19" w14:textId="77777777" w:rsidR="004647B9" w:rsidRDefault="004647B9">
      <w:pPr>
        <w:spacing w:line="175" w:lineRule="exact"/>
        <w:rPr>
          <w:sz w:val="20"/>
          <w:szCs w:val="20"/>
        </w:rPr>
      </w:pPr>
    </w:p>
    <w:p w14:paraId="2819CD1A" w14:textId="77777777" w:rsidR="004647B9" w:rsidRDefault="00E2436F">
      <w:pPr>
        <w:spacing w:line="273" w:lineRule="auto"/>
        <w:ind w:left="1200"/>
        <w:jc w:val="both"/>
        <w:rPr>
          <w:sz w:val="20"/>
          <w:szCs w:val="20"/>
        </w:rPr>
      </w:pPr>
      <w:r>
        <w:rPr>
          <w:rFonts w:eastAsia="Times New Roman"/>
          <w:i/>
          <w:iCs/>
          <w:sz w:val="24"/>
          <w:szCs w:val="24"/>
          <w:u w:val="single"/>
        </w:rPr>
        <w:t>Legionella</w:t>
      </w:r>
      <w:r>
        <w:rPr>
          <w:rFonts w:eastAsia="Times New Roman"/>
          <w:i/>
          <w:iCs/>
          <w:sz w:val="24"/>
          <w:szCs w:val="24"/>
        </w:rPr>
        <w:t xml:space="preserve"> </w:t>
      </w:r>
      <w:r>
        <w:rPr>
          <w:rFonts w:eastAsia="Times New Roman"/>
          <w:sz w:val="24"/>
          <w:szCs w:val="24"/>
        </w:rPr>
        <w:t>means a genus of bacteria, some species of which have caused a type of pneumonia</w:t>
      </w:r>
      <w:r>
        <w:rPr>
          <w:rFonts w:eastAsia="Times New Roman"/>
          <w:i/>
          <w:iCs/>
          <w:sz w:val="24"/>
          <w:szCs w:val="24"/>
        </w:rPr>
        <w:t xml:space="preserve"> </w:t>
      </w:r>
      <w:r>
        <w:rPr>
          <w:rFonts w:eastAsia="Times New Roman"/>
          <w:sz w:val="24"/>
          <w:szCs w:val="24"/>
        </w:rPr>
        <w:t>called Legionnaires Disease.</w:t>
      </w:r>
    </w:p>
    <w:p w14:paraId="2819CD1B" w14:textId="77777777" w:rsidR="004647B9" w:rsidRDefault="004647B9">
      <w:pPr>
        <w:spacing w:line="197" w:lineRule="exact"/>
        <w:rPr>
          <w:sz w:val="20"/>
          <w:szCs w:val="20"/>
        </w:rPr>
      </w:pPr>
    </w:p>
    <w:p w14:paraId="2819CD1C" w14:textId="77777777" w:rsidR="004647B9" w:rsidRDefault="00E2436F">
      <w:pPr>
        <w:spacing w:line="246" w:lineRule="auto"/>
        <w:ind w:left="1200"/>
        <w:jc w:val="both"/>
        <w:rPr>
          <w:sz w:val="20"/>
          <w:szCs w:val="20"/>
        </w:rPr>
      </w:pPr>
      <w:r>
        <w:rPr>
          <w:rFonts w:eastAsia="Times New Roman"/>
          <w:sz w:val="24"/>
          <w:szCs w:val="24"/>
          <w:u w:val="single"/>
        </w:rPr>
        <w:t>Level 1 Assessment</w:t>
      </w:r>
      <w:r>
        <w:rPr>
          <w:rFonts w:eastAsia="Times New Roman"/>
          <w:sz w:val="24"/>
          <w:szCs w:val="24"/>
        </w:rPr>
        <w:t xml:space="preserve"> means an evaluation to identify the possible presence of Sanitary Defects, defects in Distribution System coliform monitoring practices, and (when possible) the likely reason that the system triggered the assessment, and which consists, at a minimum, of the following elements:</w:t>
      </w:r>
    </w:p>
    <w:p w14:paraId="2819CD1E" w14:textId="77777777" w:rsidR="004647B9" w:rsidRDefault="00E2436F">
      <w:pPr>
        <w:numPr>
          <w:ilvl w:val="0"/>
          <w:numId w:val="4"/>
        </w:numPr>
        <w:tabs>
          <w:tab w:val="left" w:pos="2013"/>
        </w:tabs>
        <w:spacing w:line="237" w:lineRule="auto"/>
        <w:ind w:left="1560" w:hanging="5"/>
        <w:rPr>
          <w:rFonts w:eastAsia="Times New Roman"/>
          <w:sz w:val="24"/>
          <w:szCs w:val="24"/>
        </w:rPr>
      </w:pPr>
      <w:r>
        <w:rPr>
          <w:rFonts w:eastAsia="Times New Roman"/>
          <w:sz w:val="24"/>
          <w:szCs w:val="24"/>
        </w:rPr>
        <w:t>review and identification of atypical events that could affect distributed water quality or indicate that distributed water quality was impaired;</w:t>
      </w:r>
    </w:p>
    <w:p w14:paraId="2819CD20" w14:textId="77777777" w:rsidR="004647B9" w:rsidRDefault="00E2436F">
      <w:pPr>
        <w:numPr>
          <w:ilvl w:val="0"/>
          <w:numId w:val="4"/>
        </w:numPr>
        <w:tabs>
          <w:tab w:val="left" w:pos="1984"/>
        </w:tabs>
        <w:spacing w:line="237" w:lineRule="auto"/>
        <w:ind w:left="1560" w:hanging="5"/>
        <w:rPr>
          <w:rFonts w:eastAsia="Times New Roman"/>
          <w:sz w:val="24"/>
          <w:szCs w:val="24"/>
        </w:rPr>
      </w:pPr>
      <w:r>
        <w:rPr>
          <w:rFonts w:eastAsia="Times New Roman"/>
          <w:sz w:val="24"/>
          <w:szCs w:val="24"/>
        </w:rPr>
        <w:t>changes in Distribution System maintenance and operation that could affect distributed water quality (including water storage);</w:t>
      </w:r>
    </w:p>
    <w:p w14:paraId="2819CD22" w14:textId="77777777" w:rsidR="004647B9" w:rsidRDefault="00E2436F">
      <w:pPr>
        <w:numPr>
          <w:ilvl w:val="0"/>
          <w:numId w:val="4"/>
        </w:numPr>
        <w:tabs>
          <w:tab w:val="left" w:pos="2112"/>
        </w:tabs>
        <w:spacing w:line="237" w:lineRule="auto"/>
        <w:ind w:left="1560" w:hanging="5"/>
        <w:rPr>
          <w:rFonts w:eastAsia="Times New Roman"/>
          <w:sz w:val="24"/>
          <w:szCs w:val="24"/>
        </w:rPr>
      </w:pPr>
      <w:r>
        <w:rPr>
          <w:rFonts w:eastAsia="Times New Roman"/>
          <w:sz w:val="24"/>
          <w:szCs w:val="24"/>
        </w:rPr>
        <w:t>source and treatment considerations that bear on distributed water quality, where appropriate (</w:t>
      </w:r>
      <w:r>
        <w:rPr>
          <w:rFonts w:eastAsia="Times New Roman"/>
          <w:i/>
          <w:iCs/>
          <w:sz w:val="24"/>
          <w:szCs w:val="24"/>
        </w:rPr>
        <w:t>e.g</w:t>
      </w:r>
      <w:r>
        <w:rPr>
          <w:rFonts w:eastAsia="Times New Roman"/>
          <w:sz w:val="24"/>
          <w:szCs w:val="24"/>
        </w:rPr>
        <w:t>., whether a groundwater system is disinfected);</w:t>
      </w:r>
    </w:p>
    <w:p w14:paraId="2819CD24" w14:textId="77777777" w:rsidR="004647B9" w:rsidRDefault="00E2436F">
      <w:pPr>
        <w:numPr>
          <w:ilvl w:val="0"/>
          <w:numId w:val="4"/>
        </w:numPr>
        <w:tabs>
          <w:tab w:val="left" w:pos="2020"/>
        </w:tabs>
        <w:spacing w:line="237" w:lineRule="auto"/>
        <w:ind w:left="2020" w:hanging="465"/>
        <w:rPr>
          <w:rFonts w:eastAsia="Times New Roman"/>
          <w:sz w:val="24"/>
          <w:szCs w:val="24"/>
        </w:rPr>
      </w:pPr>
      <w:r>
        <w:rPr>
          <w:rFonts w:eastAsia="Times New Roman"/>
          <w:sz w:val="24"/>
          <w:szCs w:val="24"/>
        </w:rPr>
        <w:t>existing water quality monitoring data; and</w:t>
      </w:r>
    </w:p>
    <w:p w14:paraId="2819CD26" w14:textId="77777777" w:rsidR="004647B9" w:rsidRDefault="00E2436F">
      <w:pPr>
        <w:numPr>
          <w:ilvl w:val="0"/>
          <w:numId w:val="4"/>
        </w:numPr>
        <w:tabs>
          <w:tab w:val="left" w:pos="2000"/>
        </w:tabs>
        <w:spacing w:line="237" w:lineRule="auto"/>
        <w:ind w:left="2000" w:hanging="445"/>
        <w:rPr>
          <w:rFonts w:eastAsia="Times New Roman"/>
          <w:sz w:val="24"/>
          <w:szCs w:val="24"/>
        </w:rPr>
      </w:pPr>
      <w:r>
        <w:rPr>
          <w:rFonts w:eastAsia="Times New Roman"/>
          <w:sz w:val="24"/>
          <w:szCs w:val="24"/>
        </w:rPr>
        <w:t>inadequacies in sample sites, sampling protocol, and sample processing.</w:t>
      </w:r>
    </w:p>
    <w:p w14:paraId="2819CD27" w14:textId="77777777" w:rsidR="004647B9" w:rsidRDefault="004647B9">
      <w:pPr>
        <w:spacing w:line="236" w:lineRule="exact"/>
        <w:rPr>
          <w:sz w:val="20"/>
          <w:szCs w:val="20"/>
        </w:rPr>
      </w:pPr>
    </w:p>
    <w:p w14:paraId="2819CD28" w14:textId="77777777" w:rsidR="004647B9" w:rsidRDefault="00E2436F">
      <w:pPr>
        <w:spacing w:line="243" w:lineRule="auto"/>
        <w:ind w:left="1200"/>
        <w:jc w:val="both"/>
        <w:rPr>
          <w:sz w:val="20"/>
          <w:szCs w:val="20"/>
        </w:rPr>
      </w:pPr>
      <w:r>
        <w:rPr>
          <w:rFonts w:eastAsia="Times New Roman"/>
          <w:sz w:val="24"/>
          <w:szCs w:val="24"/>
          <w:u w:val="single"/>
        </w:rPr>
        <w:t>Level 2 Assessment</w:t>
      </w:r>
      <w:r>
        <w:rPr>
          <w:rFonts w:eastAsia="Times New Roman"/>
          <w:sz w:val="24"/>
          <w:szCs w:val="24"/>
        </w:rPr>
        <w:t xml:space="preserve"> means an evaluation to identify the possible presence of Sanitary Defects, defects in Distribution System coliform monitoring practices, and (when possible) the likely reason that the system triggered the assessment, and which consists of a more detailed examination of the system (including the system's monitoring and operational practices) than a Level 1 Assessment through the use of more comprehensive investigation and review of available information, additional internal and external resources, and other relevant practices, and includes, at a minimum, the following elements:</w:t>
      </w:r>
    </w:p>
    <w:p w14:paraId="2819CD29" w14:textId="77777777" w:rsidR="004647B9" w:rsidRDefault="004647B9">
      <w:pPr>
        <w:sectPr w:rsidR="004647B9" w:rsidSect="00EF630C">
          <w:pgSz w:w="12240" w:h="20180"/>
          <w:pgMar w:top="708" w:right="1440" w:bottom="835" w:left="600" w:header="0" w:footer="0" w:gutter="0"/>
          <w:cols w:space="720" w:equalWidth="0">
            <w:col w:w="10200"/>
          </w:cols>
        </w:sectPr>
      </w:pPr>
    </w:p>
    <w:p w14:paraId="2819CD2A" w14:textId="77777777" w:rsidR="004647B9" w:rsidRDefault="00E2436F">
      <w:pPr>
        <w:tabs>
          <w:tab w:val="left" w:pos="160"/>
        </w:tabs>
        <w:jc w:val="center"/>
        <w:rPr>
          <w:sz w:val="20"/>
          <w:szCs w:val="20"/>
        </w:rPr>
      </w:pPr>
      <w:bookmarkStart w:id="8" w:name="page9"/>
      <w:bookmarkEnd w:id="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D2B" w14:textId="77777777" w:rsidR="004647B9" w:rsidRDefault="004647B9">
      <w:pPr>
        <w:spacing w:line="200" w:lineRule="exact"/>
        <w:rPr>
          <w:sz w:val="20"/>
          <w:szCs w:val="20"/>
        </w:rPr>
      </w:pPr>
    </w:p>
    <w:p w14:paraId="2819CD2C" w14:textId="77777777" w:rsidR="004647B9" w:rsidRDefault="004647B9">
      <w:pPr>
        <w:spacing w:line="318" w:lineRule="exact"/>
        <w:rPr>
          <w:sz w:val="20"/>
          <w:szCs w:val="20"/>
        </w:rPr>
      </w:pPr>
    </w:p>
    <w:p w14:paraId="2819CD2D"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D2E" w14:textId="77777777" w:rsidR="004647B9" w:rsidRDefault="004647B9">
      <w:pPr>
        <w:spacing w:line="271" w:lineRule="exact"/>
        <w:rPr>
          <w:sz w:val="20"/>
          <w:szCs w:val="20"/>
        </w:rPr>
      </w:pPr>
    </w:p>
    <w:p w14:paraId="2819CD2F" w14:textId="77777777" w:rsidR="004647B9" w:rsidRDefault="00E2436F">
      <w:pPr>
        <w:numPr>
          <w:ilvl w:val="0"/>
          <w:numId w:val="5"/>
        </w:numPr>
        <w:tabs>
          <w:tab w:val="left" w:pos="2013"/>
        </w:tabs>
        <w:spacing w:line="254" w:lineRule="auto"/>
        <w:ind w:left="1560" w:hanging="5"/>
        <w:rPr>
          <w:rFonts w:eastAsia="Times New Roman"/>
          <w:sz w:val="24"/>
          <w:szCs w:val="24"/>
        </w:rPr>
      </w:pPr>
      <w:r>
        <w:rPr>
          <w:rFonts w:eastAsia="Times New Roman"/>
          <w:sz w:val="24"/>
          <w:szCs w:val="24"/>
        </w:rPr>
        <w:t>review and identification of atypical events that could affect distributed water quality or indicate that distributed water quality was impaired;</w:t>
      </w:r>
    </w:p>
    <w:p w14:paraId="2819CD31" w14:textId="77777777" w:rsidR="004647B9" w:rsidRDefault="00E2436F">
      <w:pPr>
        <w:numPr>
          <w:ilvl w:val="0"/>
          <w:numId w:val="5"/>
        </w:numPr>
        <w:tabs>
          <w:tab w:val="left" w:pos="1984"/>
        </w:tabs>
        <w:spacing w:line="237" w:lineRule="auto"/>
        <w:ind w:left="1560" w:hanging="5"/>
        <w:rPr>
          <w:rFonts w:eastAsia="Times New Roman"/>
          <w:sz w:val="24"/>
          <w:szCs w:val="24"/>
        </w:rPr>
      </w:pPr>
      <w:r>
        <w:rPr>
          <w:rFonts w:eastAsia="Times New Roman"/>
          <w:sz w:val="24"/>
          <w:szCs w:val="24"/>
        </w:rPr>
        <w:t>changes in Distribution System maintenance and operation that could affect distributed water quality (including water storage);</w:t>
      </w:r>
    </w:p>
    <w:p w14:paraId="2819CD33" w14:textId="77777777" w:rsidR="004647B9" w:rsidRDefault="00E2436F">
      <w:pPr>
        <w:numPr>
          <w:ilvl w:val="0"/>
          <w:numId w:val="5"/>
        </w:numPr>
        <w:tabs>
          <w:tab w:val="left" w:pos="2112"/>
        </w:tabs>
        <w:spacing w:line="237" w:lineRule="auto"/>
        <w:ind w:left="1560" w:hanging="5"/>
        <w:rPr>
          <w:rFonts w:eastAsia="Times New Roman"/>
          <w:sz w:val="24"/>
          <w:szCs w:val="24"/>
        </w:rPr>
      </w:pPr>
      <w:r>
        <w:rPr>
          <w:rFonts w:eastAsia="Times New Roman"/>
          <w:sz w:val="24"/>
          <w:szCs w:val="24"/>
        </w:rPr>
        <w:t>source and treatment considerations that bear on distributed water quality, where appropriate (</w:t>
      </w:r>
      <w:r>
        <w:rPr>
          <w:rFonts w:eastAsia="Times New Roman"/>
          <w:i/>
          <w:iCs/>
          <w:sz w:val="24"/>
          <w:szCs w:val="24"/>
        </w:rPr>
        <w:t>e.g</w:t>
      </w:r>
      <w:r>
        <w:rPr>
          <w:rFonts w:eastAsia="Times New Roman"/>
          <w:sz w:val="24"/>
          <w:szCs w:val="24"/>
        </w:rPr>
        <w:t>., whether a groundwater system is disinfected);</w:t>
      </w:r>
    </w:p>
    <w:p w14:paraId="2819CD35" w14:textId="77777777" w:rsidR="004647B9" w:rsidRDefault="00E2436F">
      <w:pPr>
        <w:numPr>
          <w:ilvl w:val="0"/>
          <w:numId w:val="5"/>
        </w:numPr>
        <w:tabs>
          <w:tab w:val="left" w:pos="2020"/>
        </w:tabs>
        <w:spacing w:line="237" w:lineRule="auto"/>
        <w:ind w:left="2020" w:hanging="465"/>
        <w:rPr>
          <w:rFonts w:eastAsia="Times New Roman"/>
          <w:sz w:val="24"/>
          <w:szCs w:val="24"/>
        </w:rPr>
      </w:pPr>
      <w:r>
        <w:rPr>
          <w:rFonts w:eastAsia="Times New Roman"/>
          <w:sz w:val="24"/>
          <w:szCs w:val="24"/>
        </w:rPr>
        <w:t>existing water quality monitoring data; and</w:t>
      </w:r>
    </w:p>
    <w:p w14:paraId="2819CD37" w14:textId="77777777" w:rsidR="004647B9" w:rsidRDefault="00E2436F">
      <w:pPr>
        <w:numPr>
          <w:ilvl w:val="0"/>
          <w:numId w:val="5"/>
        </w:numPr>
        <w:tabs>
          <w:tab w:val="left" w:pos="2000"/>
        </w:tabs>
        <w:spacing w:line="237" w:lineRule="auto"/>
        <w:ind w:left="2000" w:hanging="445"/>
        <w:rPr>
          <w:rFonts w:eastAsia="Times New Roman"/>
          <w:sz w:val="24"/>
          <w:szCs w:val="24"/>
        </w:rPr>
      </w:pPr>
      <w:r>
        <w:rPr>
          <w:rFonts w:eastAsia="Times New Roman"/>
          <w:sz w:val="24"/>
          <w:szCs w:val="24"/>
        </w:rPr>
        <w:t>inadequacies in sample sites, sampling protocol, and sample processing.</w:t>
      </w:r>
    </w:p>
    <w:p w14:paraId="2819CD38" w14:textId="77777777" w:rsidR="004647B9" w:rsidRDefault="004647B9">
      <w:pPr>
        <w:spacing w:line="236" w:lineRule="exact"/>
        <w:rPr>
          <w:sz w:val="20"/>
          <w:szCs w:val="20"/>
        </w:rPr>
      </w:pPr>
    </w:p>
    <w:p w14:paraId="2819CD39" w14:textId="77777777" w:rsidR="004647B9" w:rsidRDefault="00E2436F">
      <w:pPr>
        <w:spacing w:line="291" w:lineRule="auto"/>
        <w:ind w:left="1200"/>
        <w:jc w:val="both"/>
        <w:rPr>
          <w:sz w:val="20"/>
          <w:szCs w:val="20"/>
        </w:rPr>
      </w:pPr>
      <w:r>
        <w:rPr>
          <w:rFonts w:eastAsia="Times New Roman"/>
          <w:sz w:val="23"/>
          <w:szCs w:val="23"/>
          <w:u w:val="single"/>
        </w:rPr>
        <w:t>Locational Running Annual Average (LRAA)</w:t>
      </w:r>
      <w:r>
        <w:rPr>
          <w:rFonts w:eastAsia="Times New Roman"/>
          <w:sz w:val="23"/>
          <w:szCs w:val="23"/>
        </w:rPr>
        <w:t xml:space="preserve"> means the average of sample analytical results for samples taken at a particular monitoring location during the previous four calendar quarters.</w:t>
      </w:r>
    </w:p>
    <w:p w14:paraId="2819CD3A" w14:textId="77777777" w:rsidR="004647B9" w:rsidRDefault="004647B9">
      <w:pPr>
        <w:spacing w:line="179" w:lineRule="exact"/>
        <w:rPr>
          <w:sz w:val="20"/>
          <w:szCs w:val="20"/>
        </w:rPr>
      </w:pPr>
    </w:p>
    <w:p w14:paraId="2819CD3B" w14:textId="77777777" w:rsidR="004647B9" w:rsidRDefault="00E2436F">
      <w:pPr>
        <w:spacing w:line="248" w:lineRule="auto"/>
        <w:ind w:left="1200"/>
        <w:jc w:val="both"/>
        <w:rPr>
          <w:sz w:val="20"/>
          <w:szCs w:val="20"/>
        </w:rPr>
      </w:pPr>
      <w:r>
        <w:rPr>
          <w:rFonts w:eastAsia="Times New Roman"/>
          <w:sz w:val="24"/>
          <w:szCs w:val="24"/>
          <w:u w:val="single"/>
        </w:rPr>
        <w:t>Man-made Beta Particle and Photon Emitters</w:t>
      </w:r>
      <w:r>
        <w:rPr>
          <w:rFonts w:eastAsia="Times New Roman"/>
          <w:sz w:val="24"/>
          <w:szCs w:val="24"/>
        </w:rPr>
        <w:t xml:space="preserve"> means all radionuclides emitting beta particles and/or photons listed in </w:t>
      </w:r>
      <w:r>
        <w:rPr>
          <w:rFonts w:eastAsia="Times New Roman"/>
          <w:i/>
          <w:iCs/>
          <w:sz w:val="24"/>
          <w:szCs w:val="24"/>
        </w:rPr>
        <w:t>Maximum Permissible Body Burdens and Maximum Permissible</w:t>
      </w:r>
      <w:r>
        <w:rPr>
          <w:rFonts w:eastAsia="Times New Roman"/>
          <w:sz w:val="24"/>
          <w:szCs w:val="24"/>
        </w:rPr>
        <w:t xml:space="preserve"> </w:t>
      </w:r>
      <w:r>
        <w:rPr>
          <w:rFonts w:eastAsia="Times New Roman"/>
          <w:i/>
          <w:iCs/>
          <w:sz w:val="24"/>
          <w:szCs w:val="24"/>
        </w:rPr>
        <w:t>Concentration of Radionuclides in Air or Water for Occupational Exposure, NBS Handbook 69</w:t>
      </w:r>
      <w:r>
        <w:rPr>
          <w:rFonts w:eastAsia="Times New Roman"/>
          <w:sz w:val="24"/>
          <w:szCs w:val="24"/>
        </w:rPr>
        <w:t>,</w:t>
      </w:r>
      <w:r>
        <w:rPr>
          <w:rFonts w:eastAsia="Times New Roman"/>
          <w:i/>
          <w:iCs/>
          <w:sz w:val="24"/>
          <w:szCs w:val="24"/>
        </w:rPr>
        <w:t xml:space="preserve"> </w:t>
      </w:r>
      <w:r>
        <w:rPr>
          <w:rFonts w:eastAsia="Times New Roman"/>
          <w:sz w:val="24"/>
          <w:szCs w:val="24"/>
        </w:rPr>
        <w:t>except the daughter products of thorium-232, uranium-235 and uranium-238.</w:t>
      </w:r>
    </w:p>
    <w:p w14:paraId="2819CD3C" w14:textId="77777777" w:rsidR="004647B9" w:rsidRDefault="004647B9">
      <w:pPr>
        <w:spacing w:line="227" w:lineRule="exact"/>
        <w:rPr>
          <w:sz w:val="20"/>
          <w:szCs w:val="20"/>
        </w:rPr>
      </w:pPr>
    </w:p>
    <w:p w14:paraId="2819CD3D" w14:textId="77777777" w:rsidR="004647B9" w:rsidRDefault="00E2436F">
      <w:pPr>
        <w:spacing w:line="248" w:lineRule="auto"/>
        <w:ind w:left="1200"/>
        <w:jc w:val="both"/>
        <w:rPr>
          <w:sz w:val="20"/>
          <w:szCs w:val="20"/>
        </w:rPr>
      </w:pPr>
      <w:r>
        <w:rPr>
          <w:rFonts w:eastAsia="Times New Roman"/>
          <w:sz w:val="24"/>
          <w:szCs w:val="24"/>
          <w:u w:val="single"/>
        </w:rPr>
        <w:t>Maximum Contaminant Level or MCL</w:t>
      </w:r>
      <w:r>
        <w:rPr>
          <w:rFonts w:eastAsia="Times New Roman"/>
          <w:sz w:val="24"/>
          <w:szCs w:val="24"/>
        </w:rPr>
        <w:t xml:space="preserve"> means the maximum permissible level of a contaminant in water which is delivered to any user of a public water system. The definition of Maximum Contaminant Level for the purpose of the consumer confidence report is contained in 310 CMR 22.16A(4)(c)2.</w:t>
      </w:r>
    </w:p>
    <w:p w14:paraId="2819CD3E" w14:textId="77777777" w:rsidR="004647B9" w:rsidRDefault="004647B9">
      <w:pPr>
        <w:spacing w:line="227" w:lineRule="exact"/>
        <w:rPr>
          <w:sz w:val="20"/>
          <w:szCs w:val="20"/>
        </w:rPr>
      </w:pPr>
    </w:p>
    <w:p w14:paraId="2819CD3F" w14:textId="77777777" w:rsidR="004647B9" w:rsidRDefault="00E2436F">
      <w:pPr>
        <w:spacing w:line="253" w:lineRule="auto"/>
        <w:ind w:left="1200"/>
        <w:jc w:val="both"/>
        <w:rPr>
          <w:sz w:val="20"/>
          <w:szCs w:val="20"/>
        </w:rPr>
      </w:pPr>
      <w:r>
        <w:rPr>
          <w:rFonts w:eastAsia="Times New Roman"/>
          <w:sz w:val="24"/>
          <w:szCs w:val="24"/>
          <w:u w:val="single"/>
        </w:rPr>
        <w:t>Maximum Contaminant Level Goal or MCLG</w:t>
      </w:r>
      <w:r>
        <w:rPr>
          <w:rFonts w:eastAsia="Times New Roman"/>
          <w:sz w:val="24"/>
          <w:szCs w:val="24"/>
        </w:rPr>
        <w:t xml:space="preserve"> means the level of a contaminant in drinking water at or below which there is no known or expected risk to health. MCLGs allow for a margin of safety.</w:t>
      </w:r>
    </w:p>
    <w:p w14:paraId="2819CD41" w14:textId="77777777" w:rsidR="004647B9" w:rsidRDefault="004647B9">
      <w:pPr>
        <w:spacing w:line="202" w:lineRule="exact"/>
        <w:rPr>
          <w:sz w:val="20"/>
          <w:szCs w:val="20"/>
        </w:rPr>
      </w:pPr>
    </w:p>
    <w:p w14:paraId="2819CD42" w14:textId="77777777" w:rsidR="004647B9" w:rsidRDefault="00E2436F">
      <w:pPr>
        <w:spacing w:line="248" w:lineRule="auto"/>
        <w:ind w:left="1200"/>
        <w:jc w:val="both"/>
        <w:rPr>
          <w:sz w:val="20"/>
          <w:szCs w:val="20"/>
        </w:rPr>
      </w:pPr>
      <w:r>
        <w:rPr>
          <w:rFonts w:eastAsia="Times New Roman"/>
          <w:sz w:val="24"/>
          <w:szCs w:val="24"/>
          <w:u w:val="single"/>
        </w:rPr>
        <w:t>Maximum Residual Disinfectant Level (MRDL)</w:t>
      </w:r>
      <w:r>
        <w:rPr>
          <w:rFonts w:eastAsia="Times New Roman"/>
          <w:sz w:val="24"/>
          <w:szCs w:val="24"/>
        </w:rPr>
        <w:t xml:space="preserve"> means a level of a Disinfectant added for water treatment that may not be exceeded at the consumer's tap without an unacceptable possibility of adverse health effects. MRDLs are enforceable in the same manner as Maximum Contaminant Levels under 310 CMR 22.00.</w:t>
      </w:r>
    </w:p>
    <w:p w14:paraId="2819CD43" w14:textId="77777777" w:rsidR="004647B9" w:rsidRDefault="004647B9">
      <w:pPr>
        <w:spacing w:line="227" w:lineRule="exact"/>
        <w:rPr>
          <w:sz w:val="20"/>
          <w:szCs w:val="20"/>
        </w:rPr>
      </w:pPr>
    </w:p>
    <w:p w14:paraId="2819CD44" w14:textId="77777777" w:rsidR="004647B9" w:rsidRDefault="00E2436F">
      <w:pPr>
        <w:spacing w:line="245" w:lineRule="auto"/>
        <w:ind w:left="1200"/>
        <w:jc w:val="both"/>
        <w:rPr>
          <w:sz w:val="20"/>
          <w:szCs w:val="20"/>
        </w:rPr>
      </w:pPr>
      <w:r>
        <w:rPr>
          <w:rFonts w:eastAsia="Times New Roman"/>
          <w:sz w:val="24"/>
          <w:szCs w:val="24"/>
          <w:u w:val="single"/>
        </w:rPr>
        <w:t>Maximum Residual Disinfectant Level Goal (MRDLG)</w:t>
      </w:r>
      <w:r>
        <w:rPr>
          <w:rFonts w:eastAsia="Times New Roman"/>
          <w:sz w:val="24"/>
          <w:szCs w:val="24"/>
        </w:rPr>
        <w:t xml:space="preserve"> means the maximum level of a Disinfectant added for water treatment at which no known or anticipated adverse effect on the health of Persons would occur, and which allows an adequate margin of safety. MRDLGs are non-enforceable health goals and do not reflect the benefit of the addition of the chemical for control of waterborne microbial contaminants.</w:t>
      </w:r>
    </w:p>
    <w:p w14:paraId="2819CD45" w14:textId="77777777" w:rsidR="004647B9" w:rsidRDefault="004647B9">
      <w:pPr>
        <w:spacing w:line="233" w:lineRule="exact"/>
        <w:rPr>
          <w:sz w:val="20"/>
          <w:szCs w:val="20"/>
        </w:rPr>
      </w:pPr>
    </w:p>
    <w:p w14:paraId="2819CD46" w14:textId="77777777" w:rsidR="004647B9" w:rsidRDefault="00E2436F">
      <w:pPr>
        <w:spacing w:line="253" w:lineRule="auto"/>
        <w:ind w:left="1200"/>
        <w:jc w:val="both"/>
        <w:rPr>
          <w:sz w:val="20"/>
          <w:szCs w:val="20"/>
        </w:rPr>
      </w:pPr>
      <w:r>
        <w:rPr>
          <w:rFonts w:eastAsia="Times New Roman"/>
          <w:sz w:val="24"/>
          <w:szCs w:val="24"/>
          <w:u w:val="single"/>
        </w:rPr>
        <w:t>Maximum Total Trihalomethane Potential</w:t>
      </w:r>
      <w:r>
        <w:rPr>
          <w:rFonts w:eastAsia="Times New Roman"/>
          <w:sz w:val="24"/>
          <w:szCs w:val="24"/>
        </w:rPr>
        <w:t xml:space="preserve"> means the maximum concentration of Total Trihalomethanes produced in a given water containing a Disinfectant residual after seven days at a temperature of 25°C or above.</w:t>
      </w:r>
    </w:p>
    <w:p w14:paraId="2819CD47" w14:textId="77777777" w:rsidR="004647B9" w:rsidRDefault="004647B9">
      <w:pPr>
        <w:spacing w:line="222" w:lineRule="exact"/>
        <w:rPr>
          <w:sz w:val="20"/>
          <w:szCs w:val="20"/>
        </w:rPr>
      </w:pPr>
    </w:p>
    <w:p w14:paraId="2819CD48" w14:textId="77777777" w:rsidR="004647B9" w:rsidRDefault="00E2436F">
      <w:pPr>
        <w:spacing w:line="269" w:lineRule="auto"/>
        <w:ind w:left="1200"/>
        <w:jc w:val="both"/>
        <w:rPr>
          <w:sz w:val="20"/>
          <w:szCs w:val="20"/>
        </w:rPr>
      </w:pPr>
      <w:r>
        <w:rPr>
          <w:rFonts w:eastAsia="Times New Roman"/>
          <w:sz w:val="24"/>
          <w:szCs w:val="24"/>
          <w:u w:val="single"/>
        </w:rPr>
        <w:t>Medium-size Water System</w:t>
      </w:r>
      <w:r>
        <w:rPr>
          <w:rFonts w:eastAsia="Times New Roman"/>
          <w:sz w:val="24"/>
          <w:szCs w:val="24"/>
        </w:rPr>
        <w:t>, for the purpose of 310 CMR 22.06B means a water system that serves greater than 3,300 and less than or equal to 50,000 persons.</w:t>
      </w:r>
    </w:p>
    <w:p w14:paraId="2819CD49" w14:textId="77777777" w:rsidR="004647B9" w:rsidRDefault="004647B9">
      <w:pPr>
        <w:spacing w:line="202" w:lineRule="exact"/>
        <w:rPr>
          <w:sz w:val="20"/>
          <w:szCs w:val="20"/>
        </w:rPr>
      </w:pPr>
    </w:p>
    <w:p w14:paraId="2819CD4A" w14:textId="53414056" w:rsidR="004647B9" w:rsidRDefault="00E2436F">
      <w:pPr>
        <w:spacing w:line="244" w:lineRule="auto"/>
        <w:ind w:left="1200"/>
        <w:jc w:val="both"/>
        <w:rPr>
          <w:rFonts w:eastAsia="Times New Roman"/>
          <w:sz w:val="24"/>
          <w:szCs w:val="24"/>
        </w:rPr>
      </w:pPr>
      <w:r>
        <w:rPr>
          <w:rFonts w:eastAsia="Times New Roman"/>
          <w:sz w:val="24"/>
          <w:szCs w:val="24"/>
          <w:u w:val="single"/>
        </w:rPr>
        <w:t>Membrane Filtration</w:t>
      </w:r>
      <w:r>
        <w:rPr>
          <w:rFonts w:eastAsia="Times New Roman"/>
          <w:sz w:val="24"/>
          <w:szCs w:val="24"/>
        </w:rPr>
        <w:t xml:space="preserve"> means a pressure or vacuum driven separation process in which particulate matter larger than one micrometer is rejected by an engineered barrier, primarily through a size-exclusion mechanism, and which has a measurable removal efficiency of a target organism that can be verified through the application of a direct integrity test. 310 CMR 22.02: </w:t>
      </w:r>
      <w:r>
        <w:rPr>
          <w:rFonts w:eastAsia="Times New Roman"/>
          <w:sz w:val="24"/>
          <w:szCs w:val="24"/>
          <w:u w:val="single"/>
        </w:rPr>
        <w:t>Membrane</w:t>
      </w:r>
      <w:r>
        <w:rPr>
          <w:rFonts w:eastAsia="Times New Roman"/>
          <w:sz w:val="24"/>
          <w:szCs w:val="24"/>
        </w:rPr>
        <w:t xml:space="preserve"> </w:t>
      </w:r>
      <w:r>
        <w:rPr>
          <w:rFonts w:eastAsia="Times New Roman"/>
          <w:sz w:val="24"/>
          <w:szCs w:val="24"/>
          <w:u w:val="single"/>
        </w:rPr>
        <w:t>Filtration</w:t>
      </w:r>
      <w:r>
        <w:rPr>
          <w:rFonts w:eastAsia="Times New Roman"/>
          <w:sz w:val="24"/>
          <w:szCs w:val="24"/>
        </w:rPr>
        <w:t xml:space="preserve"> includes the common membrane technologies of microfiltration, utrafiltration, nanofiltration, and Reverse Osmosis.</w:t>
      </w:r>
    </w:p>
    <w:p w14:paraId="094DF837" w14:textId="0F3808B6" w:rsidR="00805475" w:rsidRDefault="00805475">
      <w:pPr>
        <w:spacing w:line="244" w:lineRule="auto"/>
        <w:ind w:left="1200"/>
        <w:jc w:val="both"/>
        <w:rPr>
          <w:sz w:val="20"/>
          <w:szCs w:val="20"/>
        </w:rPr>
      </w:pPr>
    </w:p>
    <w:p w14:paraId="035E2E5C" w14:textId="77777777" w:rsidR="00805475" w:rsidRPr="00805475" w:rsidRDefault="00805475" w:rsidP="00805475">
      <w:pPr>
        <w:spacing w:line="244" w:lineRule="auto"/>
        <w:ind w:left="1200"/>
        <w:jc w:val="both"/>
        <w:rPr>
          <w:rFonts w:eastAsia="Times New Roman"/>
          <w:sz w:val="24"/>
          <w:szCs w:val="24"/>
        </w:rPr>
      </w:pPr>
      <w:r w:rsidRPr="00805475">
        <w:rPr>
          <w:rFonts w:eastAsia="Times New Roman"/>
          <w:sz w:val="24"/>
          <w:szCs w:val="24"/>
          <w:u w:val="single"/>
        </w:rPr>
        <w:t>Method Detection Limit</w:t>
      </w:r>
      <w:r w:rsidRPr="00805475">
        <w:rPr>
          <w:rFonts w:eastAsia="Times New Roman"/>
          <w:sz w:val="24"/>
          <w:szCs w:val="24"/>
        </w:rPr>
        <w:t xml:space="preserve"> or </w:t>
      </w:r>
      <w:r w:rsidRPr="00805475">
        <w:rPr>
          <w:rFonts w:eastAsia="Times New Roman"/>
          <w:sz w:val="24"/>
          <w:szCs w:val="24"/>
          <w:u w:val="single"/>
        </w:rPr>
        <w:t>MDL</w:t>
      </w:r>
      <w:r w:rsidRPr="00805475">
        <w:rPr>
          <w:rFonts w:eastAsia="Times New Roman"/>
          <w:sz w:val="24"/>
          <w:szCs w:val="24"/>
        </w:rPr>
        <w:t xml:space="preserve"> means the minimum concentration of substance that can be</w:t>
      </w:r>
    </w:p>
    <w:p w14:paraId="3C7A0B4A" w14:textId="4FF75F90" w:rsidR="00805475" w:rsidRPr="00805475" w:rsidRDefault="00805475" w:rsidP="00805475">
      <w:pPr>
        <w:spacing w:line="244" w:lineRule="auto"/>
        <w:ind w:left="1200"/>
        <w:jc w:val="both"/>
        <w:rPr>
          <w:rFonts w:eastAsia="Times New Roman"/>
          <w:sz w:val="24"/>
          <w:szCs w:val="24"/>
        </w:rPr>
      </w:pPr>
      <w:r w:rsidRPr="00805475">
        <w:rPr>
          <w:rFonts w:eastAsia="Times New Roman"/>
          <w:sz w:val="24"/>
          <w:szCs w:val="24"/>
        </w:rPr>
        <w:t>identified, measured, and reported with 99% confidence that the analyte concentration is greater</w:t>
      </w:r>
      <w:r>
        <w:rPr>
          <w:rFonts w:eastAsia="Times New Roman"/>
          <w:sz w:val="24"/>
          <w:szCs w:val="24"/>
        </w:rPr>
        <w:t xml:space="preserve"> </w:t>
      </w:r>
      <w:r w:rsidRPr="00805475">
        <w:rPr>
          <w:rFonts w:eastAsia="Times New Roman"/>
          <w:sz w:val="24"/>
          <w:szCs w:val="24"/>
        </w:rPr>
        <w:t>than zero and is determined from analysis of a sample in a given matrix containing the analyte.</w:t>
      </w:r>
      <w:r>
        <w:rPr>
          <w:rFonts w:eastAsia="Times New Roman"/>
          <w:sz w:val="24"/>
          <w:szCs w:val="24"/>
        </w:rPr>
        <w:t xml:space="preserve"> </w:t>
      </w:r>
      <w:r w:rsidRPr="00805475">
        <w:rPr>
          <w:rFonts w:eastAsia="Times New Roman"/>
          <w:sz w:val="24"/>
          <w:szCs w:val="24"/>
        </w:rPr>
        <w:t>The method detection limit refers to samples that have been processed through all the steps of</w:t>
      </w:r>
      <w:r>
        <w:rPr>
          <w:rFonts w:eastAsia="Times New Roman"/>
          <w:sz w:val="24"/>
          <w:szCs w:val="24"/>
        </w:rPr>
        <w:t xml:space="preserve"> </w:t>
      </w:r>
      <w:r w:rsidRPr="00805475">
        <w:rPr>
          <w:rFonts w:eastAsia="Times New Roman"/>
          <w:sz w:val="24"/>
          <w:szCs w:val="24"/>
        </w:rPr>
        <w:t>an established analytical procedure.</w:t>
      </w:r>
    </w:p>
    <w:p w14:paraId="37865517" w14:textId="77777777" w:rsidR="00805475" w:rsidRPr="00805475" w:rsidRDefault="00805475" w:rsidP="00805475">
      <w:pPr>
        <w:spacing w:line="244" w:lineRule="auto"/>
        <w:ind w:left="1200"/>
        <w:jc w:val="both"/>
        <w:rPr>
          <w:rFonts w:eastAsia="Times New Roman"/>
          <w:sz w:val="24"/>
          <w:szCs w:val="24"/>
          <w:u w:val="single"/>
        </w:rPr>
      </w:pPr>
    </w:p>
    <w:p w14:paraId="310FFC9C" w14:textId="77777777" w:rsidR="00805475" w:rsidRPr="00A13A4F" w:rsidRDefault="00805475" w:rsidP="00805475">
      <w:pPr>
        <w:spacing w:line="244" w:lineRule="auto"/>
        <w:ind w:left="1200"/>
        <w:jc w:val="both"/>
        <w:rPr>
          <w:rFonts w:eastAsia="Times New Roman"/>
          <w:sz w:val="24"/>
          <w:szCs w:val="24"/>
        </w:rPr>
      </w:pPr>
      <w:r w:rsidRPr="00805475">
        <w:rPr>
          <w:rFonts w:eastAsia="Times New Roman"/>
          <w:sz w:val="24"/>
          <w:szCs w:val="24"/>
          <w:u w:val="single"/>
        </w:rPr>
        <w:t>Minimum Reporting Level</w:t>
      </w:r>
      <w:r w:rsidRPr="00A13A4F">
        <w:rPr>
          <w:rFonts w:eastAsia="Times New Roman"/>
          <w:sz w:val="24"/>
          <w:szCs w:val="24"/>
        </w:rPr>
        <w:t xml:space="preserve"> or </w:t>
      </w:r>
      <w:r w:rsidRPr="00805475">
        <w:rPr>
          <w:rFonts w:eastAsia="Times New Roman"/>
          <w:sz w:val="24"/>
          <w:szCs w:val="24"/>
          <w:u w:val="single"/>
        </w:rPr>
        <w:t>MRL</w:t>
      </w:r>
      <w:r w:rsidRPr="00A13A4F">
        <w:rPr>
          <w:rFonts w:eastAsia="Times New Roman"/>
          <w:sz w:val="24"/>
          <w:szCs w:val="24"/>
        </w:rPr>
        <w:t xml:space="preserve"> means the minimum concentration that can be reported as</w:t>
      </w:r>
    </w:p>
    <w:p w14:paraId="57A5E071" w14:textId="47C38AB5" w:rsidR="00A13A4F" w:rsidRPr="00A13A4F" w:rsidRDefault="00805475" w:rsidP="00A13A4F">
      <w:pPr>
        <w:spacing w:line="244" w:lineRule="auto"/>
        <w:ind w:left="1200"/>
        <w:jc w:val="both"/>
        <w:rPr>
          <w:rFonts w:eastAsia="Times New Roman"/>
          <w:sz w:val="24"/>
          <w:szCs w:val="24"/>
          <w:u w:val="single"/>
        </w:rPr>
        <w:sectPr w:rsidR="00A13A4F" w:rsidRPr="00A13A4F" w:rsidSect="00EF630C">
          <w:pgSz w:w="12240" w:h="20180"/>
          <w:pgMar w:top="708" w:right="1440" w:bottom="835" w:left="600" w:header="0" w:footer="0" w:gutter="0"/>
          <w:cols w:space="720" w:equalWidth="0">
            <w:col w:w="10200"/>
          </w:cols>
        </w:sectPr>
      </w:pPr>
      <w:r w:rsidRPr="00A13A4F">
        <w:rPr>
          <w:rFonts w:eastAsia="Times New Roman"/>
          <w:sz w:val="24"/>
          <w:szCs w:val="24"/>
        </w:rPr>
        <w:t>a quantitated value for a target analyte in a sample following analysis.</w:t>
      </w:r>
      <w:r w:rsidR="00A13A4F" w:rsidRPr="00A13A4F">
        <w:rPr>
          <w:rFonts w:eastAsia="Times New Roman"/>
          <w:sz w:val="24"/>
          <w:szCs w:val="24"/>
          <w:u w:val="single"/>
        </w:rPr>
        <w:t xml:space="preserve"> </w:t>
      </w:r>
    </w:p>
    <w:p w14:paraId="60403F18" w14:textId="77777777" w:rsidR="00A13A4F" w:rsidRDefault="00A13A4F" w:rsidP="00A13A4F">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1BC177CD" w14:textId="77777777" w:rsidR="00A13A4F" w:rsidRDefault="00A13A4F" w:rsidP="00A13A4F">
      <w:pPr>
        <w:spacing w:line="200" w:lineRule="exact"/>
        <w:rPr>
          <w:sz w:val="20"/>
          <w:szCs w:val="20"/>
        </w:rPr>
      </w:pPr>
    </w:p>
    <w:p w14:paraId="681DC584" w14:textId="77777777" w:rsidR="00A13A4F" w:rsidRDefault="00A13A4F" w:rsidP="00A13A4F">
      <w:pPr>
        <w:spacing w:line="318" w:lineRule="exact"/>
        <w:rPr>
          <w:sz w:val="20"/>
          <w:szCs w:val="20"/>
        </w:rPr>
      </w:pPr>
    </w:p>
    <w:p w14:paraId="592F552F" w14:textId="77777777" w:rsidR="00A13A4F" w:rsidRDefault="00A13A4F" w:rsidP="00A13A4F">
      <w:pPr>
        <w:tabs>
          <w:tab w:val="left" w:pos="760"/>
        </w:tabs>
        <w:rPr>
          <w:sz w:val="20"/>
          <w:szCs w:val="20"/>
        </w:rPr>
      </w:pPr>
      <w:r>
        <w:rPr>
          <w:rFonts w:eastAsia="Times New Roman"/>
          <w:sz w:val="24"/>
          <w:szCs w:val="24"/>
        </w:rPr>
        <w:t>22.02:</w:t>
      </w:r>
      <w:r>
        <w:rPr>
          <w:rFonts w:eastAsia="Times New Roman"/>
          <w:sz w:val="24"/>
          <w:szCs w:val="24"/>
        </w:rPr>
        <w:tab/>
        <w:t>continued</w:t>
      </w:r>
    </w:p>
    <w:p w14:paraId="2819CD4B" w14:textId="77777777" w:rsidR="004647B9" w:rsidRDefault="004647B9" w:rsidP="0004140D">
      <w:pPr>
        <w:rPr>
          <w:sz w:val="20"/>
          <w:szCs w:val="20"/>
        </w:rPr>
      </w:pPr>
    </w:p>
    <w:p w14:paraId="2819CD4C" w14:textId="77777777" w:rsidR="004647B9" w:rsidRDefault="00E2436F" w:rsidP="0004140D">
      <w:pPr>
        <w:ind w:left="1200"/>
        <w:jc w:val="both"/>
        <w:rPr>
          <w:sz w:val="20"/>
          <w:szCs w:val="20"/>
        </w:rPr>
      </w:pPr>
      <w:r>
        <w:rPr>
          <w:rFonts w:eastAsia="Times New Roman"/>
          <w:sz w:val="24"/>
          <w:szCs w:val="24"/>
          <w:u w:val="single"/>
        </w:rPr>
        <w:t>Near the First Service Connection</w:t>
      </w:r>
      <w:r>
        <w:rPr>
          <w:rFonts w:eastAsia="Times New Roman"/>
          <w:sz w:val="24"/>
          <w:szCs w:val="24"/>
        </w:rPr>
        <w:t xml:space="preserve"> means at one of the 20% of all service connections in the entire system that are nearest the water supply treatment facility, as measured by water transport time within the distribution system.</w:t>
      </w:r>
    </w:p>
    <w:p w14:paraId="2819CD4D" w14:textId="77777777" w:rsidR="004647B9" w:rsidRDefault="004647B9" w:rsidP="0004140D">
      <w:pPr>
        <w:rPr>
          <w:sz w:val="20"/>
          <w:szCs w:val="20"/>
        </w:rPr>
      </w:pPr>
    </w:p>
    <w:p w14:paraId="2819CD4E" w14:textId="77777777" w:rsidR="004647B9" w:rsidRDefault="00E2436F" w:rsidP="0004140D">
      <w:pPr>
        <w:ind w:left="1200"/>
        <w:jc w:val="both"/>
        <w:rPr>
          <w:sz w:val="20"/>
          <w:szCs w:val="20"/>
        </w:rPr>
      </w:pPr>
      <w:r>
        <w:rPr>
          <w:rFonts w:eastAsia="Times New Roman"/>
          <w:sz w:val="24"/>
          <w:szCs w:val="24"/>
          <w:u w:val="single"/>
        </w:rPr>
        <w:t>New Source</w:t>
      </w:r>
      <w:r>
        <w:rPr>
          <w:rFonts w:eastAsia="Times New Roman"/>
          <w:sz w:val="24"/>
          <w:szCs w:val="24"/>
        </w:rPr>
        <w:t xml:space="preserve"> means any existing, proposed, or expanded use of a water source in a public water system that has not met the requirements of guidelines and regulations utilized by the Drinking Water Program.</w:t>
      </w:r>
    </w:p>
    <w:p w14:paraId="2819CD4F" w14:textId="77777777" w:rsidR="004647B9" w:rsidRDefault="004647B9" w:rsidP="0004140D">
      <w:pPr>
        <w:rPr>
          <w:sz w:val="20"/>
          <w:szCs w:val="20"/>
        </w:rPr>
      </w:pPr>
    </w:p>
    <w:p w14:paraId="2819CD55" w14:textId="1B6E1DD7" w:rsidR="004647B9" w:rsidRDefault="00E2436F" w:rsidP="0004140D">
      <w:pPr>
        <w:ind w:left="1200"/>
        <w:jc w:val="both"/>
        <w:rPr>
          <w:sz w:val="20"/>
          <w:szCs w:val="20"/>
        </w:rPr>
      </w:pPr>
      <w:r>
        <w:rPr>
          <w:rFonts w:eastAsia="Times New Roman"/>
          <w:sz w:val="24"/>
          <w:szCs w:val="24"/>
          <w:u w:val="single"/>
        </w:rPr>
        <w:t>New Source Approval Process</w:t>
      </w:r>
      <w:r>
        <w:rPr>
          <w:rFonts w:eastAsia="Times New Roman"/>
          <w:sz w:val="24"/>
          <w:szCs w:val="24"/>
        </w:rPr>
        <w:t xml:space="preserve"> means the step-by-step process utilized by the Department's Drinking Water Program culminating in the development of water for a public water system.</w:t>
      </w:r>
      <w:bookmarkStart w:id="9" w:name="page10"/>
      <w:bookmarkEnd w:id="9"/>
    </w:p>
    <w:p w14:paraId="2819CD56" w14:textId="77777777" w:rsidR="004647B9" w:rsidRDefault="004647B9" w:rsidP="0004140D">
      <w:pPr>
        <w:rPr>
          <w:sz w:val="20"/>
          <w:szCs w:val="20"/>
        </w:rPr>
      </w:pPr>
    </w:p>
    <w:p w14:paraId="2819CD57" w14:textId="77777777" w:rsidR="004647B9" w:rsidRDefault="00E2436F" w:rsidP="0004140D">
      <w:pPr>
        <w:ind w:left="1200"/>
        <w:jc w:val="both"/>
        <w:rPr>
          <w:sz w:val="20"/>
          <w:szCs w:val="20"/>
        </w:rPr>
      </w:pPr>
      <w:r>
        <w:rPr>
          <w:rFonts w:eastAsia="Times New Roman"/>
          <w:sz w:val="24"/>
          <w:szCs w:val="24"/>
          <w:u w:val="single"/>
        </w:rPr>
        <w:t>Nonzoning Controls</w:t>
      </w:r>
      <w:r>
        <w:rPr>
          <w:rFonts w:eastAsia="Times New Roman"/>
          <w:sz w:val="24"/>
          <w:szCs w:val="24"/>
        </w:rPr>
        <w:t xml:space="preserve"> means by-laws, ordinances, rules and regulations, other than Zoning Controls, adopted in accordance with the constitutional and statutory powers of cities and towns to protect the health, safety and general welfare of their present and future inhabitants.</w:t>
      </w:r>
    </w:p>
    <w:p w14:paraId="2819CD58" w14:textId="77777777" w:rsidR="004647B9" w:rsidRDefault="004647B9" w:rsidP="0004140D">
      <w:pPr>
        <w:rPr>
          <w:sz w:val="20"/>
          <w:szCs w:val="20"/>
        </w:rPr>
      </w:pPr>
    </w:p>
    <w:p w14:paraId="2819CD59" w14:textId="77777777" w:rsidR="004647B9" w:rsidRDefault="00E2436F" w:rsidP="0004140D">
      <w:pPr>
        <w:ind w:left="1200"/>
        <w:jc w:val="both"/>
        <w:rPr>
          <w:sz w:val="20"/>
          <w:szCs w:val="20"/>
        </w:rPr>
      </w:pPr>
      <w:r>
        <w:rPr>
          <w:rFonts w:eastAsia="Times New Roman"/>
          <w:sz w:val="24"/>
          <w:szCs w:val="24"/>
          <w:u w:val="single"/>
        </w:rPr>
        <w:t>On-line</w:t>
      </w:r>
      <w:r>
        <w:rPr>
          <w:rFonts w:eastAsia="Times New Roman"/>
          <w:sz w:val="24"/>
          <w:szCs w:val="24"/>
        </w:rPr>
        <w:t xml:space="preserve"> means a well, Wellfield or Surface Water Source from which water currently is being pumped or drawn for use in a public water system.</w:t>
      </w:r>
    </w:p>
    <w:p w14:paraId="2819CD5A" w14:textId="77777777" w:rsidR="004647B9" w:rsidRDefault="004647B9" w:rsidP="0004140D">
      <w:pPr>
        <w:rPr>
          <w:sz w:val="20"/>
          <w:szCs w:val="20"/>
        </w:rPr>
      </w:pPr>
    </w:p>
    <w:p w14:paraId="2819CD5B" w14:textId="77777777" w:rsidR="004647B9" w:rsidRDefault="00E2436F" w:rsidP="0004140D">
      <w:pPr>
        <w:ind w:left="1200"/>
        <w:jc w:val="both"/>
        <w:rPr>
          <w:sz w:val="20"/>
          <w:szCs w:val="20"/>
        </w:rPr>
      </w:pPr>
      <w:r>
        <w:rPr>
          <w:rFonts w:eastAsia="Times New Roman"/>
          <w:sz w:val="24"/>
          <w:szCs w:val="24"/>
          <w:u w:val="single"/>
        </w:rPr>
        <w:t>Optimal Corrosion Control Treatment</w:t>
      </w:r>
      <w:r>
        <w:rPr>
          <w:rFonts w:eastAsia="Times New Roman"/>
          <w:sz w:val="24"/>
          <w:szCs w:val="24"/>
        </w:rPr>
        <w:t xml:space="preserve"> means, for the purpose of 310 CMR 22.06B only, the corrosion control treatment that minimizes the lead and copper concentrations at users' taps while insuring that the treatment does not cause the water system to violate any national primary drinking water regulations.</w:t>
      </w:r>
    </w:p>
    <w:p w14:paraId="2819CD5C" w14:textId="77777777" w:rsidR="004647B9" w:rsidRDefault="004647B9" w:rsidP="0004140D">
      <w:pPr>
        <w:rPr>
          <w:sz w:val="20"/>
          <w:szCs w:val="20"/>
        </w:rPr>
      </w:pPr>
    </w:p>
    <w:p w14:paraId="2819CD5D" w14:textId="77777777" w:rsidR="004647B9" w:rsidRDefault="00E2436F" w:rsidP="0004140D">
      <w:pPr>
        <w:ind w:left="1200"/>
        <w:jc w:val="both"/>
        <w:rPr>
          <w:sz w:val="20"/>
          <w:szCs w:val="20"/>
        </w:rPr>
      </w:pPr>
      <w:r>
        <w:rPr>
          <w:rFonts w:eastAsia="Times New Roman"/>
          <w:sz w:val="24"/>
          <w:szCs w:val="24"/>
          <w:u w:val="single"/>
        </w:rPr>
        <w:t>Performance Evaluation Sample</w:t>
      </w:r>
      <w:r>
        <w:rPr>
          <w:rFonts w:eastAsia="Times New Roman"/>
          <w:sz w:val="24"/>
          <w:szCs w:val="24"/>
        </w:rPr>
        <w:t xml:space="preserve"> means a reference sample provided to a laboratory for the purpose of demonstrating that the laboratory can successfully analyze the sample within limits of performance set by the Department.</w:t>
      </w:r>
    </w:p>
    <w:p w14:paraId="2819CD5E" w14:textId="77777777" w:rsidR="004647B9" w:rsidRDefault="004647B9" w:rsidP="0004140D">
      <w:pPr>
        <w:rPr>
          <w:sz w:val="20"/>
          <w:szCs w:val="20"/>
        </w:rPr>
      </w:pPr>
    </w:p>
    <w:p w14:paraId="2819CD5F" w14:textId="77777777" w:rsidR="004647B9" w:rsidRDefault="00E2436F" w:rsidP="0004140D">
      <w:pPr>
        <w:ind w:left="1200"/>
        <w:jc w:val="both"/>
        <w:rPr>
          <w:sz w:val="20"/>
          <w:szCs w:val="20"/>
        </w:rPr>
      </w:pPr>
      <w:r>
        <w:rPr>
          <w:rFonts w:eastAsia="Times New Roman"/>
          <w:sz w:val="24"/>
          <w:szCs w:val="24"/>
          <w:u w:val="single"/>
        </w:rPr>
        <w:t>Person</w:t>
      </w:r>
      <w:r>
        <w:rPr>
          <w:rFonts w:eastAsia="Times New Roman"/>
          <w:sz w:val="24"/>
          <w:szCs w:val="24"/>
        </w:rPr>
        <w:t xml:space="preserve"> means an individual, corporation, company, association, trust, partnership, the Commonwealth, a municipality, district or other subdivision or body politic of the Commonwealth, any department, agency, or instrumentality of the United States, except that nothing herein shall be construed to refer to or include any American Indian tribe, or the United States Secretary of the Interior in his capacity as trustee of Indian lands.</w:t>
      </w:r>
    </w:p>
    <w:p w14:paraId="2819CD60" w14:textId="77777777" w:rsidR="004647B9" w:rsidRDefault="004647B9" w:rsidP="0004140D">
      <w:pPr>
        <w:rPr>
          <w:sz w:val="20"/>
          <w:szCs w:val="20"/>
        </w:rPr>
      </w:pPr>
    </w:p>
    <w:p w14:paraId="2819CD61" w14:textId="77777777" w:rsidR="004647B9" w:rsidRDefault="00E2436F" w:rsidP="0004140D">
      <w:pPr>
        <w:ind w:left="1200"/>
        <w:jc w:val="both"/>
        <w:rPr>
          <w:sz w:val="20"/>
          <w:szCs w:val="20"/>
        </w:rPr>
      </w:pPr>
      <w:r>
        <w:rPr>
          <w:rFonts w:eastAsia="Times New Roman"/>
          <w:sz w:val="24"/>
          <w:szCs w:val="24"/>
          <w:u w:val="single"/>
        </w:rPr>
        <w:t>Picocurie (pCi)</w:t>
      </w:r>
      <w:r>
        <w:rPr>
          <w:rFonts w:eastAsia="Times New Roman"/>
          <w:sz w:val="24"/>
          <w:szCs w:val="24"/>
        </w:rPr>
        <w:t xml:space="preserve"> means that quantity of radioactive material producing 2.22 nuclear transformations per minute.</w:t>
      </w:r>
    </w:p>
    <w:p w14:paraId="2819CD62" w14:textId="77777777" w:rsidR="004647B9" w:rsidRDefault="004647B9" w:rsidP="0004140D">
      <w:pPr>
        <w:rPr>
          <w:sz w:val="20"/>
          <w:szCs w:val="20"/>
        </w:rPr>
      </w:pPr>
    </w:p>
    <w:p w14:paraId="2819CD63" w14:textId="77777777" w:rsidR="004647B9" w:rsidRDefault="00E2436F" w:rsidP="0004140D">
      <w:pPr>
        <w:ind w:left="1200"/>
        <w:jc w:val="both"/>
        <w:rPr>
          <w:sz w:val="20"/>
          <w:szCs w:val="20"/>
        </w:rPr>
      </w:pPr>
      <w:r>
        <w:rPr>
          <w:rFonts w:eastAsia="Times New Roman"/>
          <w:sz w:val="24"/>
          <w:szCs w:val="24"/>
          <w:u w:val="single"/>
        </w:rPr>
        <w:t>Plant Intake</w:t>
      </w:r>
      <w:r>
        <w:rPr>
          <w:rFonts w:eastAsia="Times New Roman"/>
          <w:sz w:val="24"/>
          <w:szCs w:val="24"/>
        </w:rPr>
        <w:t xml:space="preserve"> means the works or structures at the head of a conduit through which water is diverted from a source (</w:t>
      </w:r>
      <w:r>
        <w:rPr>
          <w:rFonts w:eastAsia="Times New Roman"/>
          <w:i/>
          <w:iCs/>
          <w:sz w:val="24"/>
          <w:szCs w:val="24"/>
        </w:rPr>
        <w:t>e.g</w:t>
      </w:r>
      <w:r>
        <w:rPr>
          <w:rFonts w:eastAsia="Times New Roman"/>
          <w:sz w:val="24"/>
          <w:szCs w:val="24"/>
        </w:rPr>
        <w:t>., river or lake) into the treatment plant.</w:t>
      </w:r>
    </w:p>
    <w:p w14:paraId="2819CD64" w14:textId="77777777" w:rsidR="004647B9" w:rsidRDefault="004647B9" w:rsidP="0004140D">
      <w:pPr>
        <w:rPr>
          <w:sz w:val="20"/>
          <w:szCs w:val="20"/>
        </w:rPr>
      </w:pPr>
    </w:p>
    <w:p w14:paraId="2819CD65" w14:textId="77777777" w:rsidR="004647B9" w:rsidRDefault="00E2436F" w:rsidP="0004140D">
      <w:pPr>
        <w:ind w:left="1200"/>
        <w:jc w:val="both"/>
        <w:rPr>
          <w:sz w:val="20"/>
          <w:szCs w:val="20"/>
        </w:rPr>
      </w:pPr>
      <w:r>
        <w:rPr>
          <w:rFonts w:eastAsia="Times New Roman"/>
          <w:sz w:val="24"/>
          <w:szCs w:val="24"/>
          <w:u w:val="single"/>
        </w:rPr>
        <w:t>Point of Disinfectant Application</w:t>
      </w:r>
      <w:r>
        <w:rPr>
          <w:rFonts w:eastAsia="Times New Roman"/>
          <w:sz w:val="24"/>
          <w:szCs w:val="24"/>
        </w:rPr>
        <w:t xml:space="preserve"> is the point where the Disinfectant is applied and water downstream of that point is not subject to recontamination by Surface Water runoff.</w:t>
      </w:r>
    </w:p>
    <w:p w14:paraId="2819CD66" w14:textId="77777777" w:rsidR="004647B9" w:rsidRDefault="004647B9" w:rsidP="0004140D">
      <w:pPr>
        <w:rPr>
          <w:sz w:val="20"/>
          <w:szCs w:val="20"/>
        </w:rPr>
      </w:pPr>
    </w:p>
    <w:p w14:paraId="2819CD67" w14:textId="77777777" w:rsidR="004647B9" w:rsidRDefault="00E2436F" w:rsidP="0004140D">
      <w:pPr>
        <w:ind w:left="1200"/>
        <w:jc w:val="both"/>
        <w:rPr>
          <w:sz w:val="20"/>
          <w:szCs w:val="20"/>
        </w:rPr>
      </w:pPr>
      <w:r>
        <w:rPr>
          <w:rFonts w:eastAsia="Times New Roman"/>
          <w:sz w:val="24"/>
          <w:szCs w:val="24"/>
          <w:u w:val="single"/>
        </w:rPr>
        <w:t>Point-of-entry Treatment Device (POE)</w:t>
      </w:r>
      <w:r>
        <w:rPr>
          <w:rFonts w:eastAsia="Times New Roman"/>
          <w:sz w:val="24"/>
          <w:szCs w:val="24"/>
        </w:rPr>
        <w:t xml:space="preserve"> means a device installed to treat the water entering a house or building or portion of such for the purpose of reducing contaminants in the water distributed throughout the house or building or portion of such.</w:t>
      </w:r>
    </w:p>
    <w:p w14:paraId="2819CD68" w14:textId="77777777" w:rsidR="004647B9" w:rsidRDefault="004647B9" w:rsidP="0004140D">
      <w:pPr>
        <w:rPr>
          <w:sz w:val="20"/>
          <w:szCs w:val="20"/>
        </w:rPr>
      </w:pPr>
    </w:p>
    <w:p w14:paraId="2819CD69" w14:textId="77777777" w:rsidR="004647B9" w:rsidRDefault="00E2436F" w:rsidP="0004140D">
      <w:pPr>
        <w:ind w:left="1200"/>
        <w:jc w:val="both"/>
        <w:rPr>
          <w:sz w:val="20"/>
          <w:szCs w:val="20"/>
        </w:rPr>
      </w:pPr>
      <w:r>
        <w:rPr>
          <w:rFonts w:eastAsia="Times New Roman"/>
          <w:sz w:val="24"/>
          <w:szCs w:val="24"/>
          <w:u w:val="single"/>
        </w:rPr>
        <w:t>Point-of-use Treatment Device (POU)</w:t>
      </w:r>
      <w:r>
        <w:rPr>
          <w:rFonts w:eastAsia="Times New Roman"/>
          <w:sz w:val="24"/>
          <w:szCs w:val="24"/>
        </w:rPr>
        <w:t xml:space="preserve"> means a treatment device installed on a single faucet or spigot used for the purpose of reducing contaminants in drinking water at that one faucet or spigot.</w:t>
      </w:r>
    </w:p>
    <w:p w14:paraId="2819CD6A" w14:textId="77777777" w:rsidR="004647B9" w:rsidRDefault="004647B9" w:rsidP="0004140D">
      <w:pPr>
        <w:rPr>
          <w:sz w:val="20"/>
          <w:szCs w:val="20"/>
        </w:rPr>
      </w:pPr>
    </w:p>
    <w:p w14:paraId="2819CD6B" w14:textId="77777777" w:rsidR="004647B9" w:rsidRDefault="00E2436F" w:rsidP="0004140D">
      <w:pPr>
        <w:ind w:left="1200"/>
        <w:jc w:val="both"/>
        <w:rPr>
          <w:sz w:val="20"/>
          <w:szCs w:val="20"/>
        </w:rPr>
      </w:pPr>
      <w:r>
        <w:rPr>
          <w:rFonts w:eastAsia="Times New Roman"/>
          <w:sz w:val="24"/>
          <w:szCs w:val="24"/>
          <w:u w:val="single"/>
        </w:rPr>
        <w:t>Pre-sedimentation</w:t>
      </w:r>
      <w:r>
        <w:rPr>
          <w:rFonts w:eastAsia="Times New Roman"/>
          <w:sz w:val="24"/>
          <w:szCs w:val="24"/>
        </w:rPr>
        <w:t xml:space="preserve"> means a preliminary treatment process used to remove gravel, sand and other particulate material from the source water through settling before the water enters the primary clarification and Filtration processes in a treatment plant.</w:t>
      </w:r>
    </w:p>
    <w:p w14:paraId="2819CD6C" w14:textId="77777777" w:rsidR="004647B9" w:rsidRDefault="004647B9" w:rsidP="0004140D">
      <w:pPr>
        <w:rPr>
          <w:sz w:val="20"/>
          <w:szCs w:val="20"/>
        </w:rPr>
      </w:pPr>
    </w:p>
    <w:p w14:paraId="2819CD6D" w14:textId="1D84C62F" w:rsidR="004647B9" w:rsidRDefault="00E2436F" w:rsidP="0004140D">
      <w:pPr>
        <w:ind w:left="1200"/>
        <w:jc w:val="both"/>
        <w:rPr>
          <w:sz w:val="20"/>
          <w:szCs w:val="20"/>
        </w:rPr>
      </w:pPr>
      <w:r>
        <w:rPr>
          <w:rFonts w:eastAsia="Times New Roman"/>
          <w:sz w:val="24"/>
          <w:szCs w:val="24"/>
          <w:u w:val="single"/>
        </w:rPr>
        <w:t>Primary Operator</w:t>
      </w:r>
      <w:r>
        <w:rPr>
          <w:rFonts w:eastAsia="Times New Roman"/>
          <w:sz w:val="24"/>
          <w:szCs w:val="24"/>
        </w:rPr>
        <w:t xml:space="preserve"> means a person who is certified by the Board of Certification of Drinking Water Supply Facilities and has a grade certificate at least equal to the class of the corresponding facility at which he or she is employed. The Primary Operator shall be the individual who has direct supervision and responsibility for charge of the operation of a facility such as the superintendent or chief plant operator who has active field supervision of the operation of the facility or who is required in the performance of their normal duties to give responsible, technical</w:t>
      </w:r>
    </w:p>
    <w:p w14:paraId="2819CD6E" w14:textId="77777777" w:rsidR="004647B9" w:rsidRDefault="004647B9">
      <w:pPr>
        <w:sectPr w:rsidR="004647B9" w:rsidSect="00EF630C">
          <w:pgSz w:w="12240" w:h="20180"/>
          <w:pgMar w:top="708" w:right="1440" w:bottom="1440" w:left="600" w:header="0" w:footer="0" w:gutter="0"/>
          <w:cols w:space="720" w:equalWidth="0">
            <w:col w:w="10200"/>
          </w:cols>
        </w:sectPr>
      </w:pPr>
    </w:p>
    <w:p w14:paraId="2819CD6F" w14:textId="77777777" w:rsidR="004647B9" w:rsidRPr="00AF56D0" w:rsidRDefault="00E2436F">
      <w:pPr>
        <w:tabs>
          <w:tab w:val="left" w:pos="160"/>
        </w:tabs>
        <w:jc w:val="center"/>
        <w:rPr>
          <w:sz w:val="24"/>
          <w:szCs w:val="24"/>
        </w:rPr>
      </w:pPr>
      <w:bookmarkStart w:id="10" w:name="page11"/>
      <w:bookmarkEnd w:id="10"/>
      <w:r w:rsidRPr="00AF56D0">
        <w:rPr>
          <w:rFonts w:eastAsia="Times New Roman"/>
          <w:sz w:val="24"/>
          <w:szCs w:val="24"/>
        </w:rPr>
        <w:lastRenderedPageBreak/>
        <w:t>310 CMR:</w:t>
      </w:r>
      <w:r w:rsidRPr="00AF56D0">
        <w:rPr>
          <w:sz w:val="24"/>
          <w:szCs w:val="24"/>
        </w:rPr>
        <w:tab/>
      </w:r>
      <w:r w:rsidRPr="00AF56D0">
        <w:rPr>
          <w:rFonts w:eastAsia="Times New Roman"/>
          <w:sz w:val="24"/>
          <w:szCs w:val="24"/>
        </w:rPr>
        <w:t>DEPARTMENT OF ENVIRONMENTAL PROTECTION</w:t>
      </w:r>
    </w:p>
    <w:p w14:paraId="2819CD70" w14:textId="77777777" w:rsidR="004647B9" w:rsidRPr="0004140D" w:rsidRDefault="004647B9">
      <w:pPr>
        <w:spacing w:line="200" w:lineRule="exact"/>
        <w:rPr>
          <w:sz w:val="20"/>
          <w:szCs w:val="20"/>
        </w:rPr>
      </w:pPr>
    </w:p>
    <w:p w14:paraId="2819CD71" w14:textId="77777777" w:rsidR="004647B9" w:rsidRPr="0004140D" w:rsidRDefault="004647B9">
      <w:pPr>
        <w:spacing w:line="323" w:lineRule="exact"/>
        <w:rPr>
          <w:sz w:val="20"/>
          <w:szCs w:val="20"/>
        </w:rPr>
      </w:pPr>
    </w:p>
    <w:p w14:paraId="2819CD72" w14:textId="77777777" w:rsidR="004647B9" w:rsidRPr="00AF56D0" w:rsidRDefault="00E2436F">
      <w:pPr>
        <w:tabs>
          <w:tab w:val="left" w:pos="760"/>
        </w:tabs>
        <w:rPr>
          <w:sz w:val="24"/>
          <w:szCs w:val="24"/>
        </w:rPr>
      </w:pPr>
      <w:r w:rsidRPr="00AF56D0">
        <w:rPr>
          <w:rFonts w:eastAsia="Times New Roman"/>
          <w:sz w:val="24"/>
          <w:szCs w:val="24"/>
        </w:rPr>
        <w:t>22.02:</w:t>
      </w:r>
      <w:r w:rsidRPr="00AF56D0">
        <w:rPr>
          <w:rFonts w:eastAsia="Times New Roman"/>
          <w:sz w:val="24"/>
          <w:szCs w:val="24"/>
        </w:rPr>
        <w:tab/>
        <w:t>continued</w:t>
      </w:r>
    </w:p>
    <w:p w14:paraId="2819CD73" w14:textId="09B3ABCE" w:rsidR="004647B9" w:rsidRPr="0004140D" w:rsidRDefault="004647B9">
      <w:pPr>
        <w:spacing w:line="283" w:lineRule="exact"/>
        <w:rPr>
          <w:sz w:val="20"/>
          <w:szCs w:val="20"/>
        </w:rPr>
      </w:pPr>
    </w:p>
    <w:p w14:paraId="4CD2B030" w14:textId="18B9A054" w:rsidR="00A13A4F" w:rsidRDefault="00A13A4F" w:rsidP="00A13A4F">
      <w:pPr>
        <w:spacing w:line="283" w:lineRule="exact"/>
        <w:ind w:left="1195"/>
        <w:rPr>
          <w:rFonts w:eastAsia="Times New Roman"/>
          <w:sz w:val="24"/>
          <w:szCs w:val="24"/>
        </w:rPr>
      </w:pPr>
      <w:r>
        <w:rPr>
          <w:rFonts w:eastAsia="Times New Roman"/>
          <w:sz w:val="24"/>
          <w:szCs w:val="24"/>
        </w:rPr>
        <w:t xml:space="preserve">advice and supervision of the technical aspects rather than only general administrative supervision of the treatment and/or distribution of the water supply and spends their working hours at the treatment facility or performing distribution system duties and is knowledgeable of 310 CMR 22.00, guidelines and policies. The Primary Operator of the facility shall hold a "Full Operator" status and cannot hold an "Operator-in-Training" certificate as defined in 236 CMR 4.05: </w:t>
      </w:r>
      <w:r>
        <w:rPr>
          <w:rFonts w:eastAsia="Times New Roman"/>
          <w:i/>
          <w:iCs/>
          <w:sz w:val="24"/>
          <w:szCs w:val="24"/>
        </w:rPr>
        <w:t>Issuance of Certificates</w:t>
      </w:r>
      <w:r>
        <w:rPr>
          <w:rFonts w:eastAsia="Times New Roman"/>
          <w:sz w:val="24"/>
          <w:szCs w:val="24"/>
        </w:rPr>
        <w:t>.</w:t>
      </w:r>
    </w:p>
    <w:p w14:paraId="24487F20" w14:textId="77777777" w:rsidR="00A13A4F" w:rsidRPr="00047E9A" w:rsidRDefault="00A13A4F">
      <w:pPr>
        <w:spacing w:line="283" w:lineRule="exact"/>
        <w:rPr>
          <w:sz w:val="20"/>
          <w:szCs w:val="20"/>
        </w:rPr>
      </w:pPr>
    </w:p>
    <w:p w14:paraId="2819CD74" w14:textId="77777777" w:rsidR="004647B9" w:rsidRPr="00AF56D0" w:rsidRDefault="00E2436F">
      <w:pPr>
        <w:spacing w:line="255" w:lineRule="auto"/>
        <w:ind w:left="1200"/>
        <w:jc w:val="both"/>
        <w:rPr>
          <w:sz w:val="24"/>
          <w:szCs w:val="24"/>
        </w:rPr>
      </w:pPr>
      <w:r w:rsidRPr="00AF56D0">
        <w:rPr>
          <w:rFonts w:eastAsia="Times New Roman"/>
          <w:sz w:val="24"/>
          <w:szCs w:val="24"/>
          <w:u w:val="single"/>
        </w:rPr>
        <w:t>Public Water System</w:t>
      </w:r>
      <w:r w:rsidRPr="00AF56D0">
        <w:rPr>
          <w:rFonts w:eastAsia="Times New Roman"/>
          <w:sz w:val="24"/>
          <w:szCs w:val="24"/>
        </w:rPr>
        <w:t xml:space="preserve"> means a system for the provision to the public of water for human consumption, through pipes or other constructed conveyances, if such system has at least 15 service connections or regularly serves an average of at least 25 individuals daily at least 60 days of the year. </w:t>
      </w:r>
      <w:r w:rsidRPr="00AF56D0">
        <w:rPr>
          <w:rFonts w:eastAsia="Times New Roman"/>
          <w:sz w:val="24"/>
          <w:szCs w:val="24"/>
          <w:u w:val="single"/>
        </w:rPr>
        <w:t>Public Water System</w:t>
      </w:r>
      <w:r w:rsidRPr="00AF56D0">
        <w:rPr>
          <w:rFonts w:eastAsia="Times New Roman"/>
          <w:sz w:val="24"/>
          <w:szCs w:val="24"/>
        </w:rPr>
        <w:t xml:space="preserve"> includes any collection, treatment, storage, and distribution facilities under control of the operator of such a system and used primarily in connection with such system, and any collection or pretreatment storage facilities not under such control which are used primarily in connection with such system. The Department may presume that a system is a Public Water System as defined in 310 CMR 22.00 based on the average number of persons using a facility served by the system or on the number of bedrooms in a residential home or facility. The Department reserves the right to evaluate and determine whether two or more wells located on commonly owned property, that individually may serve less than 25 people, but collectively serve more than 25 people for more than 60 days of the year should not be regulated as a Public Water System, taking into account the risk to public health. A Public Water System includes a "Community Water System" or a "Non community Water System".</w:t>
      </w:r>
    </w:p>
    <w:p w14:paraId="2819CD76" w14:textId="77777777" w:rsidR="004647B9" w:rsidRPr="00AF56D0" w:rsidRDefault="00E2436F">
      <w:pPr>
        <w:numPr>
          <w:ilvl w:val="0"/>
          <w:numId w:val="6"/>
        </w:numPr>
        <w:tabs>
          <w:tab w:val="left" w:pos="2083"/>
        </w:tabs>
        <w:spacing w:line="243" w:lineRule="auto"/>
        <w:ind w:left="1560" w:hanging="5"/>
        <w:jc w:val="both"/>
        <w:rPr>
          <w:rFonts w:eastAsia="Times New Roman"/>
          <w:sz w:val="24"/>
          <w:szCs w:val="24"/>
        </w:rPr>
      </w:pPr>
      <w:r w:rsidRPr="00AF56D0">
        <w:rPr>
          <w:rFonts w:eastAsia="Times New Roman"/>
          <w:sz w:val="24"/>
          <w:szCs w:val="24"/>
          <w:u w:val="single"/>
        </w:rPr>
        <w:t>Community Water System</w:t>
      </w:r>
      <w:r w:rsidRPr="00AF56D0">
        <w:rPr>
          <w:rFonts w:eastAsia="Times New Roman"/>
          <w:sz w:val="24"/>
          <w:szCs w:val="24"/>
        </w:rPr>
        <w:t xml:space="preserve"> means a Public Water System which serves at least 15 service connections used by year round residents or regularly serves at least 25 year round residents.</w:t>
      </w:r>
    </w:p>
    <w:p w14:paraId="2819CD78" w14:textId="77777777" w:rsidR="004647B9" w:rsidRPr="00AF56D0" w:rsidRDefault="00E2436F">
      <w:pPr>
        <w:numPr>
          <w:ilvl w:val="0"/>
          <w:numId w:val="6"/>
        </w:numPr>
        <w:tabs>
          <w:tab w:val="left" w:pos="2006"/>
        </w:tabs>
        <w:spacing w:line="243" w:lineRule="auto"/>
        <w:ind w:left="1560" w:hanging="5"/>
        <w:rPr>
          <w:rFonts w:eastAsia="Times New Roman"/>
          <w:sz w:val="24"/>
          <w:szCs w:val="24"/>
        </w:rPr>
      </w:pPr>
      <w:r w:rsidRPr="00AF56D0">
        <w:rPr>
          <w:rFonts w:eastAsia="Times New Roman"/>
          <w:sz w:val="24"/>
          <w:szCs w:val="24"/>
          <w:u w:val="single"/>
        </w:rPr>
        <w:t>Non community Water System</w:t>
      </w:r>
      <w:r w:rsidRPr="00AF56D0">
        <w:rPr>
          <w:rFonts w:eastAsia="Times New Roman"/>
          <w:sz w:val="24"/>
          <w:szCs w:val="24"/>
        </w:rPr>
        <w:t xml:space="preserve"> means a Public Water System that is not a Community Water System.</w:t>
      </w:r>
    </w:p>
    <w:p w14:paraId="2819CD79" w14:textId="4F212AFB" w:rsidR="004647B9" w:rsidRPr="00AF56D0" w:rsidRDefault="00E2436F">
      <w:pPr>
        <w:numPr>
          <w:ilvl w:val="1"/>
          <w:numId w:val="6"/>
        </w:numPr>
        <w:tabs>
          <w:tab w:val="left" w:pos="2388"/>
        </w:tabs>
        <w:spacing w:line="242" w:lineRule="auto"/>
        <w:ind w:left="1920" w:hanging="5"/>
        <w:jc w:val="both"/>
        <w:rPr>
          <w:rFonts w:eastAsia="Times New Roman"/>
          <w:sz w:val="24"/>
          <w:szCs w:val="24"/>
        </w:rPr>
      </w:pPr>
      <w:r w:rsidRPr="00AF56D0">
        <w:rPr>
          <w:rFonts w:eastAsia="Times New Roman"/>
          <w:sz w:val="24"/>
          <w:szCs w:val="24"/>
          <w:u w:val="single"/>
        </w:rPr>
        <w:t>Non-transient Non-community Water System</w:t>
      </w:r>
      <w:r w:rsidRPr="00AF56D0">
        <w:rPr>
          <w:rFonts w:eastAsia="Times New Roman"/>
          <w:sz w:val="24"/>
          <w:szCs w:val="24"/>
        </w:rPr>
        <w:t xml:space="preserve"> or </w:t>
      </w:r>
      <w:r w:rsidRPr="00AF56D0">
        <w:rPr>
          <w:rFonts w:eastAsia="Times New Roman"/>
          <w:sz w:val="24"/>
          <w:szCs w:val="24"/>
          <w:u w:val="single"/>
        </w:rPr>
        <w:t>NTNC</w:t>
      </w:r>
      <w:r w:rsidRPr="00AF56D0">
        <w:rPr>
          <w:rFonts w:eastAsia="Times New Roman"/>
          <w:sz w:val="24"/>
          <w:szCs w:val="24"/>
        </w:rPr>
        <w:t xml:space="preserve"> means a Public Water System that is not a Community Water System and that has at least 15 service connections or regularly serves at least 25 of the same individuals or more approximately four or more hours per day, four or more days per week, more than six months or 180 days per year, such as a workplace providing water to its employees.</w:t>
      </w:r>
    </w:p>
    <w:p w14:paraId="2819CD7B" w14:textId="77777777" w:rsidR="004647B9" w:rsidRPr="00AF56D0" w:rsidRDefault="00E2436F">
      <w:pPr>
        <w:numPr>
          <w:ilvl w:val="1"/>
          <w:numId w:val="6"/>
        </w:numPr>
        <w:tabs>
          <w:tab w:val="left" w:pos="2244"/>
        </w:tabs>
        <w:spacing w:line="243" w:lineRule="auto"/>
        <w:ind w:left="1920" w:hanging="5"/>
        <w:jc w:val="both"/>
        <w:rPr>
          <w:rFonts w:eastAsia="Times New Roman"/>
          <w:sz w:val="24"/>
          <w:szCs w:val="24"/>
        </w:rPr>
      </w:pPr>
      <w:r w:rsidRPr="00AF56D0">
        <w:rPr>
          <w:rFonts w:eastAsia="Times New Roman"/>
          <w:sz w:val="24"/>
          <w:szCs w:val="24"/>
          <w:u w:val="single"/>
        </w:rPr>
        <w:t>Transient Non-community Water System</w:t>
      </w:r>
      <w:r w:rsidRPr="00AF56D0">
        <w:rPr>
          <w:rFonts w:eastAsia="Times New Roman"/>
          <w:sz w:val="24"/>
          <w:szCs w:val="24"/>
        </w:rPr>
        <w:t xml:space="preserve"> or </w:t>
      </w:r>
      <w:r w:rsidRPr="00AF56D0">
        <w:rPr>
          <w:rFonts w:eastAsia="Times New Roman"/>
          <w:sz w:val="24"/>
          <w:szCs w:val="24"/>
          <w:u w:val="single"/>
        </w:rPr>
        <w:t>TNC</w:t>
      </w:r>
      <w:r w:rsidRPr="00AF56D0">
        <w:rPr>
          <w:rFonts w:eastAsia="Times New Roman"/>
          <w:sz w:val="24"/>
          <w:szCs w:val="24"/>
        </w:rPr>
        <w:t xml:space="preserve"> means a Public Water System that is not a Community Water System or a Non-transient Non-community Water System but is a Public Water System which has at least 15 service connections or serves water to 25 different persons at least 60 days of the year. Some examples of these types of systems are: restaurants, motels, camp grounds, parks, golf courses, ski areas and community centers.</w:t>
      </w:r>
    </w:p>
    <w:p w14:paraId="2819CD7C" w14:textId="77777777" w:rsidR="004647B9" w:rsidRPr="00286283" w:rsidRDefault="004647B9">
      <w:pPr>
        <w:spacing w:line="248" w:lineRule="exact"/>
        <w:rPr>
          <w:sz w:val="20"/>
          <w:szCs w:val="20"/>
        </w:rPr>
      </w:pPr>
    </w:p>
    <w:p w14:paraId="2819CD7D" w14:textId="77777777" w:rsidR="004647B9" w:rsidRPr="00AF56D0" w:rsidRDefault="00E2436F">
      <w:pPr>
        <w:spacing w:line="254" w:lineRule="auto"/>
        <w:ind w:left="1200"/>
        <w:jc w:val="both"/>
        <w:rPr>
          <w:sz w:val="24"/>
          <w:szCs w:val="24"/>
        </w:rPr>
      </w:pPr>
      <w:r w:rsidRPr="00AF56D0">
        <w:rPr>
          <w:rFonts w:eastAsia="Times New Roman"/>
          <w:sz w:val="24"/>
          <w:szCs w:val="24"/>
          <w:u w:val="single"/>
        </w:rPr>
        <w:t>Public Water System Capacity</w:t>
      </w:r>
      <w:r w:rsidRPr="00AF56D0">
        <w:rPr>
          <w:rFonts w:eastAsia="Times New Roman"/>
          <w:sz w:val="24"/>
          <w:szCs w:val="24"/>
        </w:rPr>
        <w:t xml:space="preserve"> means a Public Water System has the technical, financial, and managerial ability to operate in compliance with 310 CMR 22.00, the Department’s </w:t>
      </w:r>
      <w:r w:rsidRPr="00AF56D0">
        <w:rPr>
          <w:rFonts w:eastAsia="Times New Roman"/>
          <w:i/>
          <w:iCs/>
          <w:sz w:val="24"/>
          <w:szCs w:val="24"/>
        </w:rPr>
        <w:t>Guidelines</w:t>
      </w:r>
      <w:r w:rsidRPr="00AF56D0">
        <w:rPr>
          <w:rFonts w:eastAsia="Times New Roman"/>
          <w:sz w:val="24"/>
          <w:szCs w:val="24"/>
        </w:rPr>
        <w:t xml:space="preserve"> </w:t>
      </w:r>
      <w:r w:rsidRPr="00AF56D0">
        <w:rPr>
          <w:rFonts w:eastAsia="Times New Roman"/>
          <w:i/>
          <w:iCs/>
          <w:sz w:val="24"/>
          <w:szCs w:val="24"/>
        </w:rPr>
        <w:t xml:space="preserve">and Policies for Public Water System </w:t>
      </w:r>
      <w:r w:rsidRPr="00AF56D0">
        <w:rPr>
          <w:rFonts w:eastAsia="Times New Roman"/>
          <w:sz w:val="24"/>
          <w:szCs w:val="24"/>
        </w:rPr>
        <w:t>and each National Primary Drinking Water Regulation in</w:t>
      </w:r>
      <w:r w:rsidRPr="00AF56D0">
        <w:rPr>
          <w:rFonts w:eastAsia="Times New Roman"/>
          <w:i/>
          <w:iCs/>
          <w:sz w:val="24"/>
          <w:szCs w:val="24"/>
        </w:rPr>
        <w:t xml:space="preserve"> </w:t>
      </w:r>
      <w:r w:rsidRPr="00AF56D0">
        <w:rPr>
          <w:rFonts w:eastAsia="Times New Roman"/>
          <w:sz w:val="24"/>
          <w:szCs w:val="24"/>
        </w:rPr>
        <w:t>effect at the time of such approval and in the foreseeable future</w:t>
      </w:r>
    </w:p>
    <w:p w14:paraId="2819CD7E" w14:textId="77777777" w:rsidR="004647B9" w:rsidRPr="00D44953" w:rsidRDefault="004647B9">
      <w:pPr>
        <w:spacing w:line="231" w:lineRule="exact"/>
        <w:rPr>
          <w:sz w:val="20"/>
          <w:szCs w:val="20"/>
        </w:rPr>
      </w:pPr>
    </w:p>
    <w:p w14:paraId="2819CD7F" w14:textId="77777777" w:rsidR="004647B9" w:rsidRPr="00AF56D0" w:rsidRDefault="00E2436F">
      <w:pPr>
        <w:spacing w:line="273" w:lineRule="auto"/>
        <w:ind w:left="1200"/>
        <w:jc w:val="both"/>
        <w:rPr>
          <w:sz w:val="24"/>
          <w:szCs w:val="24"/>
        </w:rPr>
      </w:pPr>
      <w:r w:rsidRPr="00AF56D0">
        <w:rPr>
          <w:rFonts w:eastAsia="Times New Roman"/>
          <w:sz w:val="24"/>
          <w:szCs w:val="24"/>
          <w:u w:val="single"/>
        </w:rPr>
        <w:t>Raw Water</w:t>
      </w:r>
      <w:r w:rsidRPr="00AF56D0">
        <w:rPr>
          <w:rFonts w:eastAsia="Times New Roman"/>
          <w:sz w:val="24"/>
          <w:szCs w:val="24"/>
        </w:rPr>
        <w:t xml:space="preserve"> means water in its natural state, prior to treatment, which typically is the water entering the first treatment process of a water treatment plant.</w:t>
      </w:r>
    </w:p>
    <w:p w14:paraId="2819CD80" w14:textId="77777777" w:rsidR="004647B9" w:rsidRPr="00D44953" w:rsidRDefault="004647B9">
      <w:pPr>
        <w:spacing w:line="210" w:lineRule="exact"/>
        <w:rPr>
          <w:sz w:val="20"/>
          <w:szCs w:val="20"/>
        </w:rPr>
      </w:pPr>
    </w:p>
    <w:p w14:paraId="2819CD81" w14:textId="1F255C67" w:rsidR="004647B9" w:rsidRPr="00AF56D0" w:rsidRDefault="00E2436F">
      <w:pPr>
        <w:spacing w:line="251" w:lineRule="auto"/>
        <w:ind w:left="1200"/>
        <w:jc w:val="both"/>
        <w:rPr>
          <w:sz w:val="24"/>
          <w:szCs w:val="24"/>
        </w:rPr>
      </w:pPr>
      <w:r w:rsidRPr="00AF56D0">
        <w:rPr>
          <w:rFonts w:eastAsia="Times New Roman"/>
          <w:sz w:val="24"/>
          <w:szCs w:val="24"/>
          <w:u w:val="single"/>
        </w:rPr>
        <w:t xml:space="preserve">Reliably and Consistently </w:t>
      </w:r>
      <w:r w:rsidR="000665C2" w:rsidRPr="00AF56D0">
        <w:rPr>
          <w:rFonts w:eastAsia="Times New Roman"/>
          <w:sz w:val="24"/>
          <w:szCs w:val="24"/>
          <w:u w:val="single"/>
        </w:rPr>
        <w:t>B</w:t>
      </w:r>
      <w:r w:rsidRPr="00AF56D0">
        <w:rPr>
          <w:rFonts w:eastAsia="Times New Roman"/>
          <w:sz w:val="24"/>
          <w:szCs w:val="24"/>
          <w:u w:val="single"/>
        </w:rPr>
        <w:t>elow the MCL</w:t>
      </w:r>
      <w:r w:rsidRPr="00AF56D0">
        <w:rPr>
          <w:rFonts w:eastAsia="Times New Roman"/>
          <w:sz w:val="24"/>
          <w:szCs w:val="24"/>
        </w:rPr>
        <w:t xml:space="preserve"> means that though a system detects contaminants in its water supply, it has sufficient knowledge of the source or extent of the contamination to predict that the MCL would not be exceeded in the future. </w:t>
      </w:r>
      <w:r w:rsidR="00EA484A" w:rsidRPr="00AF56D0">
        <w:rPr>
          <w:rFonts w:eastAsia="Times New Roman"/>
          <w:sz w:val="24"/>
          <w:szCs w:val="24"/>
        </w:rPr>
        <w:t>W</w:t>
      </w:r>
      <w:r w:rsidRPr="00AF56D0">
        <w:rPr>
          <w:rFonts w:eastAsia="Times New Roman"/>
          <w:sz w:val="24"/>
          <w:szCs w:val="24"/>
        </w:rPr>
        <w:t xml:space="preserve">ide variations in analytical results or an analytical result which is close to the MCL are examples of situations where systems would not meet </w:t>
      </w:r>
      <w:r w:rsidR="00B60E2F" w:rsidRPr="00AF56D0">
        <w:rPr>
          <w:rFonts w:eastAsia="Times New Roman"/>
          <w:sz w:val="24"/>
          <w:szCs w:val="24"/>
        </w:rPr>
        <w:t>be R</w:t>
      </w:r>
      <w:r w:rsidRPr="00AF56D0">
        <w:rPr>
          <w:rFonts w:eastAsia="Times New Roman"/>
          <w:sz w:val="24"/>
          <w:szCs w:val="24"/>
        </w:rPr>
        <w:t xml:space="preserve">eliably and </w:t>
      </w:r>
      <w:r w:rsidR="00B60E2F" w:rsidRPr="00AF56D0">
        <w:rPr>
          <w:rFonts w:eastAsia="Times New Roman"/>
          <w:sz w:val="24"/>
          <w:szCs w:val="24"/>
        </w:rPr>
        <w:t>C</w:t>
      </w:r>
      <w:r w:rsidRPr="00AF56D0">
        <w:rPr>
          <w:rFonts w:eastAsia="Times New Roman"/>
          <w:sz w:val="24"/>
          <w:szCs w:val="24"/>
        </w:rPr>
        <w:t>onsistently</w:t>
      </w:r>
      <w:r w:rsidR="00B60E2F" w:rsidRPr="00AF56D0">
        <w:rPr>
          <w:rFonts w:eastAsia="Times New Roman"/>
          <w:sz w:val="24"/>
          <w:szCs w:val="24"/>
        </w:rPr>
        <w:t xml:space="preserve"> Below the MCL</w:t>
      </w:r>
      <w:r w:rsidR="00EA484A" w:rsidRPr="00AF56D0">
        <w:rPr>
          <w:rFonts w:eastAsia="Times New Roman"/>
          <w:sz w:val="24"/>
          <w:szCs w:val="24"/>
        </w:rPr>
        <w:t>.</w:t>
      </w:r>
    </w:p>
    <w:p w14:paraId="2819CD82" w14:textId="77777777" w:rsidR="004647B9" w:rsidRPr="00D44953" w:rsidRDefault="004647B9">
      <w:pPr>
        <w:spacing w:line="234" w:lineRule="exact"/>
        <w:rPr>
          <w:sz w:val="20"/>
          <w:szCs w:val="20"/>
        </w:rPr>
      </w:pPr>
    </w:p>
    <w:p w14:paraId="2819CD83" w14:textId="77777777" w:rsidR="004647B9" w:rsidRPr="00AF56D0" w:rsidRDefault="00E2436F">
      <w:pPr>
        <w:spacing w:line="275" w:lineRule="auto"/>
        <w:ind w:left="1200"/>
        <w:jc w:val="both"/>
        <w:rPr>
          <w:sz w:val="24"/>
          <w:szCs w:val="24"/>
        </w:rPr>
      </w:pPr>
      <w:r w:rsidRPr="00AF56D0">
        <w:rPr>
          <w:rFonts w:eastAsia="Times New Roman"/>
          <w:sz w:val="24"/>
          <w:szCs w:val="24"/>
          <w:u w:val="single"/>
        </w:rPr>
        <w:t>Rem</w:t>
      </w:r>
      <w:r w:rsidRPr="00AF56D0">
        <w:rPr>
          <w:rFonts w:eastAsia="Times New Roman"/>
          <w:sz w:val="24"/>
          <w:szCs w:val="24"/>
        </w:rPr>
        <w:t xml:space="preserve"> means the unit of Dose Equivalent from ionizing radiation to the total body or any internal organ or organ system. A "millirem (mrem)" is 1/1000 of a rem.</w:t>
      </w:r>
    </w:p>
    <w:p w14:paraId="2819CD84" w14:textId="77777777" w:rsidR="004647B9" w:rsidRPr="00D44953" w:rsidRDefault="004647B9">
      <w:pPr>
        <w:spacing w:line="208" w:lineRule="exact"/>
        <w:rPr>
          <w:sz w:val="20"/>
          <w:szCs w:val="20"/>
        </w:rPr>
      </w:pPr>
    </w:p>
    <w:p w14:paraId="5EBCBEFE" w14:textId="0A753B2C" w:rsidR="00596EDC" w:rsidRPr="00596EDC" w:rsidRDefault="00E2436F" w:rsidP="00596EDC">
      <w:pPr>
        <w:spacing w:line="234" w:lineRule="exact"/>
        <w:ind w:left="1195"/>
        <w:rPr>
          <w:sz w:val="24"/>
          <w:szCs w:val="24"/>
        </w:rPr>
        <w:sectPr w:rsidR="00596EDC" w:rsidRPr="00596EDC" w:rsidSect="00EF630C">
          <w:pgSz w:w="12240" w:h="20180"/>
          <w:pgMar w:top="708" w:right="1440" w:bottom="1440" w:left="600" w:header="0" w:footer="0" w:gutter="0"/>
          <w:cols w:space="720" w:equalWidth="0">
            <w:col w:w="10200"/>
          </w:cols>
        </w:sectPr>
      </w:pPr>
      <w:r w:rsidRPr="00596EDC">
        <w:rPr>
          <w:sz w:val="24"/>
          <w:szCs w:val="24"/>
          <w:u w:val="single"/>
        </w:rPr>
        <w:t>Repeat Compliance Period</w:t>
      </w:r>
      <w:r w:rsidRPr="00596EDC">
        <w:rPr>
          <w:sz w:val="24"/>
          <w:szCs w:val="24"/>
        </w:rPr>
        <w:t xml:space="preserve"> means any subsequent Compliance Period after the Initial Compliance Period.</w:t>
      </w:r>
      <w:r w:rsidR="00596EDC" w:rsidRPr="00596EDC">
        <w:rPr>
          <w:sz w:val="24"/>
          <w:szCs w:val="24"/>
        </w:rPr>
        <w:t xml:space="preserve"> </w:t>
      </w:r>
    </w:p>
    <w:p w14:paraId="2819CD89" w14:textId="77777777" w:rsidR="004647B9" w:rsidRPr="00AF56D0" w:rsidRDefault="00E2436F">
      <w:pPr>
        <w:tabs>
          <w:tab w:val="left" w:pos="160"/>
        </w:tabs>
        <w:jc w:val="center"/>
        <w:rPr>
          <w:sz w:val="24"/>
          <w:szCs w:val="24"/>
        </w:rPr>
      </w:pPr>
      <w:bookmarkStart w:id="11" w:name="page12"/>
      <w:bookmarkEnd w:id="11"/>
      <w:r w:rsidRPr="00AF56D0">
        <w:rPr>
          <w:rFonts w:eastAsia="Times New Roman"/>
          <w:sz w:val="24"/>
          <w:szCs w:val="24"/>
        </w:rPr>
        <w:lastRenderedPageBreak/>
        <w:t>310 CMR:</w:t>
      </w:r>
      <w:r w:rsidRPr="00AF56D0">
        <w:rPr>
          <w:sz w:val="24"/>
          <w:szCs w:val="24"/>
        </w:rPr>
        <w:tab/>
      </w:r>
      <w:r w:rsidRPr="00AF56D0">
        <w:rPr>
          <w:rFonts w:eastAsia="Times New Roman"/>
          <w:sz w:val="24"/>
          <w:szCs w:val="24"/>
        </w:rPr>
        <w:t>DEPARTMENT OF ENVIRONMENTAL PROTECTION</w:t>
      </w:r>
    </w:p>
    <w:p w14:paraId="2819CD8A" w14:textId="77777777" w:rsidR="004647B9" w:rsidRPr="009D2B8C" w:rsidRDefault="004647B9" w:rsidP="00F06B53">
      <w:pPr>
        <w:rPr>
          <w:sz w:val="20"/>
          <w:szCs w:val="20"/>
        </w:rPr>
      </w:pPr>
    </w:p>
    <w:p w14:paraId="2819CD8B" w14:textId="77777777" w:rsidR="004647B9" w:rsidRPr="009D2B8C" w:rsidRDefault="004647B9" w:rsidP="00F06B53">
      <w:pPr>
        <w:rPr>
          <w:sz w:val="20"/>
          <w:szCs w:val="20"/>
        </w:rPr>
      </w:pPr>
    </w:p>
    <w:p w14:paraId="2819CD8C" w14:textId="77777777" w:rsidR="004647B9" w:rsidRPr="00AF56D0" w:rsidRDefault="00E2436F" w:rsidP="00F06B53">
      <w:pPr>
        <w:tabs>
          <w:tab w:val="left" w:pos="760"/>
        </w:tabs>
        <w:rPr>
          <w:sz w:val="24"/>
          <w:szCs w:val="24"/>
        </w:rPr>
      </w:pPr>
      <w:r w:rsidRPr="00AF56D0">
        <w:rPr>
          <w:rFonts w:eastAsia="Times New Roman"/>
          <w:sz w:val="24"/>
          <w:szCs w:val="24"/>
        </w:rPr>
        <w:t>22.02:</w:t>
      </w:r>
      <w:r w:rsidRPr="00AF56D0">
        <w:rPr>
          <w:rFonts w:eastAsia="Times New Roman"/>
          <w:sz w:val="24"/>
          <w:szCs w:val="24"/>
        </w:rPr>
        <w:tab/>
        <w:t>continued</w:t>
      </w:r>
    </w:p>
    <w:p w14:paraId="2819CD8D" w14:textId="77777777" w:rsidR="004647B9" w:rsidRPr="009D2B8C" w:rsidRDefault="004647B9" w:rsidP="00F06B53">
      <w:pPr>
        <w:rPr>
          <w:sz w:val="20"/>
          <w:szCs w:val="20"/>
        </w:rPr>
      </w:pPr>
    </w:p>
    <w:p w14:paraId="2819CD8E" w14:textId="26887C39" w:rsidR="004647B9" w:rsidRPr="00AF56D0" w:rsidRDefault="00596EDC" w:rsidP="00F06B53">
      <w:pPr>
        <w:ind w:left="1200"/>
        <w:jc w:val="both"/>
        <w:rPr>
          <w:sz w:val="24"/>
          <w:szCs w:val="24"/>
        </w:rPr>
      </w:pPr>
      <w:r w:rsidRPr="00AF56D0">
        <w:rPr>
          <w:rFonts w:eastAsia="Times New Roman"/>
          <w:sz w:val="24"/>
          <w:szCs w:val="24"/>
          <w:u w:val="single"/>
        </w:rPr>
        <w:t>Replacement Well</w:t>
      </w:r>
      <w:r w:rsidRPr="00AF56D0">
        <w:rPr>
          <w:rFonts w:eastAsia="Times New Roman"/>
          <w:sz w:val="24"/>
          <w:szCs w:val="24"/>
        </w:rPr>
        <w:t xml:space="preserve"> means a new well(s)/Wellfield installed to replace or supplement an approved well(s)/Wellfield where the proposed new well(s)/Wellfield will be situated within 250 feet of the original well(s)/Wellfield and have a pumping rate equal to or less than that of the original well(s)/Wellfield. Replacement Wells must be installed in the same unconsolidated geologic formation as the original approved well(s)/Wellfield. Criteria used to determine location of Replacement Wells shall include but not be limited to the following: extent to which negative environmental impacts caused by the existing well can be minimized; degree to which Replacement Wells alter the existing groundwater hydraulics or Zone II boundaries; and the</w:t>
      </w:r>
      <w:r>
        <w:rPr>
          <w:rFonts w:eastAsia="Times New Roman"/>
          <w:sz w:val="24"/>
          <w:szCs w:val="24"/>
        </w:rPr>
        <w:t xml:space="preserve"> </w:t>
      </w:r>
      <w:r w:rsidR="00E2436F" w:rsidRPr="00AF56D0">
        <w:rPr>
          <w:rFonts w:eastAsia="Times New Roman"/>
          <w:sz w:val="24"/>
          <w:szCs w:val="24"/>
        </w:rPr>
        <w:t>degree to which significant potential contamination threats can be lessened. Replacement Wells shall not significantly alter the existing groundwater hydraulics or Zone II boundaries. Replacement Wells are subject to the New Source requirements as deemed applicable by the Department.</w:t>
      </w:r>
    </w:p>
    <w:p w14:paraId="2819CD8F" w14:textId="77777777" w:rsidR="004647B9" w:rsidRPr="009D2B8C" w:rsidRDefault="004647B9" w:rsidP="00F06B53">
      <w:pPr>
        <w:rPr>
          <w:sz w:val="20"/>
          <w:szCs w:val="20"/>
        </w:rPr>
      </w:pPr>
    </w:p>
    <w:p w14:paraId="2819CD90" w14:textId="77777777" w:rsidR="004647B9" w:rsidRPr="00AF56D0" w:rsidRDefault="00E2436F" w:rsidP="00F06B53">
      <w:pPr>
        <w:ind w:left="1200"/>
        <w:jc w:val="both"/>
        <w:rPr>
          <w:sz w:val="24"/>
          <w:szCs w:val="24"/>
        </w:rPr>
      </w:pPr>
      <w:r w:rsidRPr="00AF56D0">
        <w:rPr>
          <w:rFonts w:eastAsia="Times New Roman"/>
          <w:sz w:val="24"/>
          <w:szCs w:val="24"/>
          <w:u w:val="single"/>
        </w:rPr>
        <w:t>Residual Disinfectant Concentration</w:t>
      </w:r>
      <w:r w:rsidRPr="00AF56D0">
        <w:rPr>
          <w:rFonts w:eastAsia="Times New Roman"/>
          <w:sz w:val="24"/>
          <w:szCs w:val="24"/>
        </w:rPr>
        <w:t xml:space="preserve"> ("C" in CT calculations) means the concentration of Disinfectant measured in mg/l in a representative sample of water.</w:t>
      </w:r>
    </w:p>
    <w:p w14:paraId="2819CD91" w14:textId="77777777" w:rsidR="004647B9" w:rsidRPr="009D2B8C" w:rsidRDefault="004647B9" w:rsidP="00F06B53">
      <w:pPr>
        <w:rPr>
          <w:sz w:val="20"/>
          <w:szCs w:val="20"/>
        </w:rPr>
      </w:pPr>
    </w:p>
    <w:p w14:paraId="2819CD92" w14:textId="77777777" w:rsidR="004647B9" w:rsidRPr="00AF56D0" w:rsidRDefault="00E2436F" w:rsidP="00F06B53">
      <w:pPr>
        <w:ind w:left="1200"/>
        <w:jc w:val="both"/>
        <w:rPr>
          <w:sz w:val="24"/>
          <w:szCs w:val="24"/>
        </w:rPr>
      </w:pPr>
      <w:r w:rsidRPr="00AF56D0">
        <w:rPr>
          <w:rFonts w:eastAsia="Times New Roman"/>
          <w:sz w:val="24"/>
          <w:szCs w:val="24"/>
          <w:u w:val="single"/>
        </w:rPr>
        <w:t>Reverse Osmosis</w:t>
      </w:r>
      <w:r w:rsidRPr="00AF56D0">
        <w:rPr>
          <w:rFonts w:eastAsia="Times New Roman"/>
          <w:sz w:val="24"/>
          <w:szCs w:val="24"/>
        </w:rPr>
        <w:t xml:space="preserve"> means the application of pressure to a concentrated solution which causes the passage of a liquid from the concentrated solution to a weaker solution across a semi-permeable membrane. The membrane allows the passage of the water (solvent) but not the dissolved solids (solutes).</w:t>
      </w:r>
    </w:p>
    <w:p w14:paraId="2819CD93" w14:textId="77777777" w:rsidR="004647B9" w:rsidRPr="009D2B8C" w:rsidRDefault="004647B9" w:rsidP="00F06B53">
      <w:pPr>
        <w:rPr>
          <w:sz w:val="20"/>
          <w:szCs w:val="20"/>
        </w:rPr>
      </w:pPr>
    </w:p>
    <w:p w14:paraId="2819CD94" w14:textId="77777777" w:rsidR="004647B9" w:rsidRPr="00AF56D0" w:rsidRDefault="00E2436F" w:rsidP="00F06B53">
      <w:pPr>
        <w:ind w:left="1200"/>
        <w:jc w:val="both"/>
        <w:rPr>
          <w:sz w:val="24"/>
          <w:szCs w:val="24"/>
        </w:rPr>
      </w:pPr>
      <w:r w:rsidRPr="00AF56D0">
        <w:rPr>
          <w:rFonts w:eastAsia="Times New Roman"/>
          <w:sz w:val="24"/>
          <w:szCs w:val="24"/>
          <w:u w:val="single"/>
        </w:rPr>
        <w:t>River Source</w:t>
      </w:r>
      <w:r w:rsidRPr="00AF56D0">
        <w:rPr>
          <w:rFonts w:eastAsia="Times New Roman"/>
          <w:sz w:val="24"/>
          <w:szCs w:val="24"/>
        </w:rPr>
        <w:t xml:space="preserve"> means a drinking water source with a direct intake located at any river or stream that is designated as a drinking water source in 314 CMR 4.00: </w:t>
      </w:r>
      <w:r w:rsidRPr="00AF56D0">
        <w:rPr>
          <w:rFonts w:eastAsia="Times New Roman"/>
          <w:i/>
          <w:iCs/>
          <w:sz w:val="24"/>
          <w:szCs w:val="24"/>
        </w:rPr>
        <w:t>Massachusetts Surface Water</w:t>
      </w:r>
      <w:r w:rsidRPr="00AF56D0">
        <w:rPr>
          <w:rFonts w:eastAsia="Times New Roman"/>
          <w:sz w:val="24"/>
          <w:szCs w:val="24"/>
        </w:rPr>
        <w:t xml:space="preserve"> </w:t>
      </w:r>
      <w:r w:rsidRPr="00AF56D0">
        <w:rPr>
          <w:rFonts w:eastAsia="Times New Roman"/>
          <w:i/>
          <w:iCs/>
          <w:sz w:val="24"/>
          <w:szCs w:val="24"/>
        </w:rPr>
        <w:t>Quality Standards</w:t>
      </w:r>
      <w:r w:rsidRPr="00AF56D0">
        <w:rPr>
          <w:rFonts w:eastAsia="Times New Roman"/>
          <w:sz w:val="24"/>
          <w:szCs w:val="24"/>
        </w:rPr>
        <w:t>. Protected Zones A, B, and C, as defined in 310 CMR 22.00, do not apply</w:t>
      </w:r>
      <w:r w:rsidRPr="00AF56D0">
        <w:rPr>
          <w:rFonts w:eastAsia="Times New Roman"/>
          <w:i/>
          <w:iCs/>
          <w:sz w:val="24"/>
          <w:szCs w:val="24"/>
        </w:rPr>
        <w:t xml:space="preserve"> </w:t>
      </w:r>
      <w:r w:rsidRPr="00AF56D0">
        <w:rPr>
          <w:rFonts w:eastAsia="Times New Roman"/>
          <w:sz w:val="24"/>
          <w:szCs w:val="24"/>
        </w:rPr>
        <w:t xml:space="preserve">to River Sources designated as Class B under 314 CMR 4.00: </w:t>
      </w:r>
      <w:r w:rsidRPr="00AF56D0">
        <w:rPr>
          <w:rFonts w:eastAsia="Times New Roman"/>
          <w:i/>
          <w:iCs/>
          <w:sz w:val="24"/>
          <w:szCs w:val="24"/>
        </w:rPr>
        <w:t>Massachusetts Surface Water</w:t>
      </w:r>
      <w:r w:rsidRPr="00AF56D0">
        <w:rPr>
          <w:rFonts w:eastAsia="Times New Roman"/>
          <w:sz w:val="24"/>
          <w:szCs w:val="24"/>
        </w:rPr>
        <w:t xml:space="preserve"> </w:t>
      </w:r>
      <w:r w:rsidRPr="00AF56D0">
        <w:rPr>
          <w:rFonts w:eastAsia="Times New Roman"/>
          <w:i/>
          <w:iCs/>
          <w:sz w:val="24"/>
          <w:szCs w:val="24"/>
        </w:rPr>
        <w:t>Quality Standards</w:t>
      </w:r>
      <w:r w:rsidRPr="00AF56D0">
        <w:rPr>
          <w:rFonts w:eastAsia="Times New Roman"/>
          <w:sz w:val="24"/>
          <w:szCs w:val="24"/>
        </w:rPr>
        <w:t>.</w:t>
      </w:r>
    </w:p>
    <w:p w14:paraId="2819CD95" w14:textId="77777777" w:rsidR="004647B9" w:rsidRPr="009D2B8C" w:rsidRDefault="004647B9" w:rsidP="00F06B53">
      <w:pPr>
        <w:rPr>
          <w:sz w:val="20"/>
          <w:szCs w:val="20"/>
        </w:rPr>
      </w:pPr>
    </w:p>
    <w:p w14:paraId="2819CD96" w14:textId="77777777" w:rsidR="004647B9" w:rsidRPr="00AF56D0" w:rsidRDefault="00E2436F" w:rsidP="00F06B53">
      <w:pPr>
        <w:ind w:left="1200"/>
        <w:jc w:val="both"/>
        <w:rPr>
          <w:sz w:val="24"/>
          <w:szCs w:val="24"/>
        </w:rPr>
      </w:pPr>
      <w:r w:rsidRPr="00AF56D0">
        <w:rPr>
          <w:rFonts w:eastAsia="Times New Roman"/>
          <w:sz w:val="24"/>
          <w:szCs w:val="24"/>
          <w:u w:val="single"/>
        </w:rPr>
        <w:t>Running Annual Average</w:t>
      </w:r>
      <w:r w:rsidRPr="00AF56D0">
        <w:rPr>
          <w:rFonts w:eastAsia="Times New Roman"/>
          <w:sz w:val="24"/>
          <w:szCs w:val="24"/>
        </w:rPr>
        <w:t>. The Running Annual Average for MCL/MRDL compliance calculation purposes is defined as the average of quarterly or monthly averages of the compliance monitoring result(s) from the prior four calendar quarters. If multiple compliance monitoring samples are collected in any given quarter or month, then the results of these samples are averaged in order to establish a single representative contaminant concentration for each quarter or month. These quarterly (four values) or monthly (12 values) concentrations are then averaged for the prior four calendar quarters. If all of the required compliance monitoring sample(s) for a quarter or month were not collected, then the Running Annual Average calculation shall exclude a concentration value for that quarter or month (</w:t>
      </w:r>
      <w:r w:rsidRPr="00AF56D0">
        <w:rPr>
          <w:rFonts w:eastAsia="Times New Roman"/>
          <w:i/>
          <w:iCs/>
          <w:sz w:val="24"/>
          <w:szCs w:val="24"/>
        </w:rPr>
        <w:t>e.g</w:t>
      </w:r>
      <w:r w:rsidRPr="00AF56D0">
        <w:rPr>
          <w:rFonts w:eastAsia="Times New Roman"/>
          <w:sz w:val="24"/>
          <w:szCs w:val="24"/>
        </w:rPr>
        <w:t>. if one quarter's sampling is missing, then the Running Annual Average is based upon the sum of the quarterly averages from the other three quarters divided by three). Results from additional samples that were collected and analyzed in the same manner as compliance monitoring samples and that are representative of drinking water being provided to the public may also be used in this calculation.</w:t>
      </w:r>
    </w:p>
    <w:p w14:paraId="2819CD97" w14:textId="77777777" w:rsidR="004647B9" w:rsidRPr="009D2B8C" w:rsidRDefault="004647B9" w:rsidP="00F06B53">
      <w:pPr>
        <w:rPr>
          <w:sz w:val="20"/>
          <w:szCs w:val="20"/>
        </w:rPr>
      </w:pPr>
    </w:p>
    <w:p w14:paraId="2819CD98" w14:textId="77777777" w:rsidR="004647B9" w:rsidRPr="00AF56D0" w:rsidRDefault="00E2436F" w:rsidP="00F06B53">
      <w:pPr>
        <w:ind w:left="1200"/>
        <w:jc w:val="both"/>
        <w:rPr>
          <w:sz w:val="24"/>
          <w:szCs w:val="24"/>
        </w:rPr>
      </w:pPr>
      <w:r w:rsidRPr="00AF56D0">
        <w:rPr>
          <w:rFonts w:eastAsia="Times New Roman"/>
          <w:sz w:val="24"/>
          <w:szCs w:val="24"/>
          <w:u w:val="single"/>
        </w:rPr>
        <w:t>Sampling Point</w:t>
      </w:r>
      <w:r w:rsidRPr="00AF56D0">
        <w:rPr>
          <w:rFonts w:eastAsia="Times New Roman"/>
          <w:sz w:val="24"/>
          <w:szCs w:val="24"/>
        </w:rPr>
        <w:t xml:space="preserve"> means the entry point to the distribution system that represents each source after treatment.</w:t>
      </w:r>
    </w:p>
    <w:p w14:paraId="2819CD99" w14:textId="77777777" w:rsidR="004647B9" w:rsidRPr="009D2B8C" w:rsidRDefault="004647B9" w:rsidP="00F06B53">
      <w:pPr>
        <w:rPr>
          <w:sz w:val="20"/>
          <w:szCs w:val="20"/>
        </w:rPr>
      </w:pPr>
    </w:p>
    <w:p w14:paraId="2819CD9A" w14:textId="77777777" w:rsidR="004647B9" w:rsidRPr="00AF56D0" w:rsidRDefault="00E2436F" w:rsidP="00F06B53">
      <w:pPr>
        <w:ind w:left="1200"/>
        <w:jc w:val="both"/>
        <w:rPr>
          <w:sz w:val="24"/>
          <w:szCs w:val="24"/>
        </w:rPr>
      </w:pPr>
      <w:r w:rsidRPr="00AF56D0">
        <w:rPr>
          <w:rFonts w:eastAsia="Times New Roman"/>
          <w:sz w:val="24"/>
          <w:szCs w:val="24"/>
          <w:u w:val="single"/>
        </w:rPr>
        <w:t>Sanitary Defect</w:t>
      </w:r>
      <w:r w:rsidRPr="00AF56D0">
        <w:rPr>
          <w:rFonts w:eastAsia="Times New Roman"/>
          <w:sz w:val="24"/>
          <w:szCs w:val="24"/>
        </w:rPr>
        <w:t xml:space="preserve"> means a defect that could provide a pathway of entry for microbial contamination into the Distribution System or that is indicative of a failure or imminent failure in a barrier that is already in place. (</w:t>
      </w:r>
      <w:r w:rsidRPr="00AF56D0">
        <w:rPr>
          <w:rFonts w:eastAsia="Times New Roman"/>
          <w:sz w:val="24"/>
          <w:szCs w:val="24"/>
          <w:u w:val="single"/>
        </w:rPr>
        <w:t>Sanitary Defect</w:t>
      </w:r>
      <w:r w:rsidRPr="00AF56D0">
        <w:rPr>
          <w:rFonts w:eastAsia="Times New Roman"/>
          <w:sz w:val="24"/>
          <w:szCs w:val="24"/>
        </w:rPr>
        <w:t xml:space="preserve"> may also be identified as a Significant Deficiency under the Ground Water Rule 310 CMR 22.26.)</w:t>
      </w:r>
    </w:p>
    <w:p w14:paraId="2819CD9B" w14:textId="77777777" w:rsidR="004647B9" w:rsidRPr="009D2B8C" w:rsidRDefault="004647B9" w:rsidP="00F06B53">
      <w:pPr>
        <w:rPr>
          <w:sz w:val="20"/>
          <w:szCs w:val="20"/>
        </w:rPr>
      </w:pPr>
    </w:p>
    <w:p w14:paraId="2819CD9C" w14:textId="77777777" w:rsidR="004647B9" w:rsidRPr="00AF56D0" w:rsidRDefault="00E2436F" w:rsidP="00F06B53">
      <w:pPr>
        <w:ind w:left="1200"/>
        <w:jc w:val="both"/>
        <w:rPr>
          <w:sz w:val="24"/>
          <w:szCs w:val="24"/>
        </w:rPr>
      </w:pPr>
      <w:r w:rsidRPr="00AF56D0">
        <w:rPr>
          <w:rFonts w:eastAsia="Times New Roman"/>
          <w:sz w:val="24"/>
          <w:szCs w:val="24"/>
          <w:u w:val="single"/>
        </w:rPr>
        <w:t>Sanitary Survey</w:t>
      </w:r>
      <w:r w:rsidRPr="00AF56D0">
        <w:rPr>
          <w:rFonts w:eastAsia="Times New Roman"/>
          <w:sz w:val="24"/>
          <w:szCs w:val="24"/>
        </w:rPr>
        <w:t xml:space="preserve"> means an on site review of the water sources, facilities, equipment, operation and maintenance of a Public Water System for the purpose of evaluating the adequacy of such source, facilities, equipment, operation and maintenance for producing and distributing safe drinking water.</w:t>
      </w:r>
    </w:p>
    <w:p w14:paraId="2819CD9D" w14:textId="77777777" w:rsidR="004647B9" w:rsidRPr="009D2B8C" w:rsidRDefault="004647B9" w:rsidP="00F06B53">
      <w:pPr>
        <w:rPr>
          <w:sz w:val="20"/>
          <w:szCs w:val="20"/>
        </w:rPr>
      </w:pPr>
    </w:p>
    <w:p w14:paraId="2819CD9E" w14:textId="77777777" w:rsidR="004647B9" w:rsidRPr="00AF56D0" w:rsidRDefault="00E2436F" w:rsidP="00F06B53">
      <w:pPr>
        <w:ind w:left="1200"/>
        <w:jc w:val="both"/>
        <w:rPr>
          <w:sz w:val="24"/>
          <w:szCs w:val="24"/>
        </w:rPr>
      </w:pPr>
      <w:r w:rsidRPr="00AF56D0">
        <w:rPr>
          <w:rFonts w:eastAsia="Times New Roman"/>
          <w:sz w:val="24"/>
          <w:szCs w:val="24"/>
          <w:u w:val="single"/>
        </w:rPr>
        <w:t>Satellite Facility</w:t>
      </w:r>
      <w:r w:rsidRPr="00AF56D0">
        <w:rPr>
          <w:rFonts w:eastAsia="Times New Roman"/>
          <w:sz w:val="24"/>
          <w:szCs w:val="24"/>
        </w:rPr>
        <w:t xml:space="preserve"> means a Treatment Facility which is operated, controlled, and monitored by an appropriately Certified Operator working within the same Public Water System.</w:t>
      </w:r>
    </w:p>
    <w:p w14:paraId="2819CD9F" w14:textId="77777777" w:rsidR="004647B9" w:rsidRPr="009D2B8C" w:rsidRDefault="004647B9" w:rsidP="00F06B53">
      <w:pPr>
        <w:rPr>
          <w:sz w:val="20"/>
          <w:szCs w:val="20"/>
        </w:rPr>
      </w:pPr>
    </w:p>
    <w:p w14:paraId="2819CDA0" w14:textId="77777777" w:rsidR="004647B9" w:rsidRPr="00AF56D0" w:rsidRDefault="00E2436F" w:rsidP="00F06B53">
      <w:pPr>
        <w:ind w:left="1200"/>
        <w:jc w:val="both"/>
        <w:rPr>
          <w:sz w:val="24"/>
          <w:szCs w:val="24"/>
        </w:rPr>
      </w:pPr>
      <w:r w:rsidRPr="00AF56D0">
        <w:rPr>
          <w:rFonts w:eastAsia="Times New Roman"/>
          <w:sz w:val="24"/>
          <w:szCs w:val="24"/>
          <w:u w:val="single"/>
        </w:rPr>
        <w:t>Saturated Zone</w:t>
      </w:r>
      <w:r w:rsidRPr="00AF56D0">
        <w:rPr>
          <w:rFonts w:eastAsia="Times New Roman"/>
          <w:sz w:val="24"/>
          <w:szCs w:val="24"/>
        </w:rPr>
        <w:t xml:space="preserve"> means a zone in which all voids, large and small, are filled with water under pressure, equal to or greater than atmospheric pressure.</w:t>
      </w:r>
    </w:p>
    <w:p w14:paraId="2819CDA1" w14:textId="77777777" w:rsidR="004647B9" w:rsidRPr="009D2B8C" w:rsidRDefault="004647B9" w:rsidP="00F06B53">
      <w:pPr>
        <w:rPr>
          <w:sz w:val="20"/>
          <w:szCs w:val="20"/>
        </w:rPr>
      </w:pPr>
    </w:p>
    <w:p w14:paraId="4F459DA9" w14:textId="666A6208" w:rsidR="00596EDC" w:rsidRPr="00596EDC" w:rsidRDefault="00E2436F" w:rsidP="00F06B53">
      <w:pPr>
        <w:ind w:left="1195"/>
        <w:rPr>
          <w:sz w:val="24"/>
          <w:szCs w:val="24"/>
        </w:rPr>
        <w:sectPr w:rsidR="00596EDC" w:rsidRPr="00596EDC" w:rsidSect="00EF630C">
          <w:pgSz w:w="12240" w:h="20180"/>
          <w:pgMar w:top="708" w:right="1440" w:bottom="1440" w:left="600" w:header="0" w:footer="0" w:gutter="0"/>
          <w:cols w:space="720" w:equalWidth="0">
            <w:col w:w="10200"/>
          </w:cols>
        </w:sectPr>
      </w:pPr>
      <w:r w:rsidRPr="00AF56D0">
        <w:rPr>
          <w:rFonts w:eastAsia="Times New Roman"/>
          <w:sz w:val="24"/>
          <w:szCs w:val="24"/>
          <w:u w:val="single"/>
        </w:rPr>
        <w:t>SCADA</w:t>
      </w:r>
      <w:r w:rsidRPr="00AF56D0">
        <w:rPr>
          <w:rFonts w:eastAsia="Times New Roman"/>
          <w:sz w:val="24"/>
          <w:szCs w:val="24"/>
        </w:rPr>
        <w:t xml:space="preserve"> </w:t>
      </w:r>
      <w:r w:rsidRPr="00AF56D0">
        <w:rPr>
          <w:rFonts w:eastAsia="Times New Roman"/>
          <w:i/>
          <w:iCs/>
          <w:sz w:val="24"/>
          <w:szCs w:val="24"/>
        </w:rPr>
        <w:t>see</w:t>
      </w:r>
      <w:r w:rsidRPr="00AF56D0">
        <w:rPr>
          <w:rFonts w:eastAsia="Times New Roman"/>
          <w:sz w:val="24"/>
          <w:szCs w:val="24"/>
        </w:rPr>
        <w:t xml:space="preserve"> definition for </w:t>
      </w:r>
      <w:r w:rsidRPr="00AF56D0">
        <w:rPr>
          <w:rFonts w:eastAsia="Times New Roman"/>
          <w:sz w:val="24"/>
          <w:szCs w:val="24"/>
          <w:u w:val="single"/>
        </w:rPr>
        <w:t>Supervisory Control and Data Acquisition System</w:t>
      </w:r>
      <w:r w:rsidRPr="00AF56D0">
        <w:rPr>
          <w:rFonts w:eastAsia="Times New Roman"/>
          <w:sz w:val="24"/>
          <w:szCs w:val="24"/>
        </w:rPr>
        <w:t>.</w:t>
      </w:r>
      <w:r w:rsidR="00596EDC" w:rsidRPr="00596EDC">
        <w:rPr>
          <w:sz w:val="24"/>
          <w:szCs w:val="24"/>
        </w:rPr>
        <w:t xml:space="preserve"> </w:t>
      </w:r>
    </w:p>
    <w:p w14:paraId="31BFBB8C" w14:textId="77777777" w:rsidR="00596EDC" w:rsidRPr="00AF56D0" w:rsidRDefault="00596EDC" w:rsidP="00F06B53">
      <w:pPr>
        <w:tabs>
          <w:tab w:val="left" w:pos="160"/>
        </w:tabs>
        <w:jc w:val="center"/>
        <w:rPr>
          <w:sz w:val="24"/>
          <w:szCs w:val="24"/>
        </w:rPr>
      </w:pPr>
      <w:r w:rsidRPr="00AF56D0">
        <w:rPr>
          <w:rFonts w:eastAsia="Times New Roman"/>
          <w:sz w:val="24"/>
          <w:szCs w:val="24"/>
        </w:rPr>
        <w:lastRenderedPageBreak/>
        <w:t>310 CMR:</w:t>
      </w:r>
      <w:r w:rsidRPr="00AF56D0">
        <w:rPr>
          <w:sz w:val="24"/>
          <w:szCs w:val="24"/>
        </w:rPr>
        <w:tab/>
      </w:r>
      <w:r w:rsidRPr="00AF56D0">
        <w:rPr>
          <w:rFonts w:eastAsia="Times New Roman"/>
          <w:sz w:val="24"/>
          <w:szCs w:val="24"/>
        </w:rPr>
        <w:t>DEPARTMENT OF ENVIRONMENTAL PROTECTION</w:t>
      </w:r>
    </w:p>
    <w:p w14:paraId="238ABD8E" w14:textId="77777777" w:rsidR="00596EDC" w:rsidRPr="009D2B8C" w:rsidRDefault="00596EDC" w:rsidP="00F06B53">
      <w:pPr>
        <w:rPr>
          <w:sz w:val="20"/>
          <w:szCs w:val="20"/>
        </w:rPr>
      </w:pPr>
    </w:p>
    <w:p w14:paraId="1C96C64E" w14:textId="77777777" w:rsidR="00596EDC" w:rsidRPr="009D2B8C" w:rsidRDefault="00596EDC" w:rsidP="00F06B53">
      <w:pPr>
        <w:rPr>
          <w:sz w:val="20"/>
          <w:szCs w:val="20"/>
        </w:rPr>
      </w:pPr>
    </w:p>
    <w:p w14:paraId="5F427061" w14:textId="77777777" w:rsidR="00596EDC" w:rsidRPr="00AF56D0" w:rsidRDefault="00596EDC" w:rsidP="00F06B53">
      <w:pPr>
        <w:tabs>
          <w:tab w:val="left" w:pos="760"/>
        </w:tabs>
        <w:rPr>
          <w:sz w:val="24"/>
          <w:szCs w:val="24"/>
        </w:rPr>
      </w:pPr>
      <w:r w:rsidRPr="00AF56D0">
        <w:rPr>
          <w:rFonts w:eastAsia="Times New Roman"/>
          <w:sz w:val="24"/>
          <w:szCs w:val="24"/>
        </w:rPr>
        <w:t>22.02:</w:t>
      </w:r>
      <w:r w:rsidRPr="00AF56D0">
        <w:rPr>
          <w:rFonts w:eastAsia="Times New Roman"/>
          <w:sz w:val="24"/>
          <w:szCs w:val="24"/>
        </w:rPr>
        <w:tab/>
        <w:t>continued</w:t>
      </w:r>
    </w:p>
    <w:p w14:paraId="2819CDA3" w14:textId="77777777" w:rsidR="004647B9" w:rsidRPr="009D2B8C" w:rsidRDefault="004647B9" w:rsidP="00F06B53">
      <w:pPr>
        <w:rPr>
          <w:sz w:val="20"/>
          <w:szCs w:val="20"/>
        </w:rPr>
      </w:pPr>
    </w:p>
    <w:p w14:paraId="2819CDA4" w14:textId="77777777" w:rsidR="004647B9" w:rsidRPr="00AF56D0" w:rsidRDefault="00E2436F" w:rsidP="00F06B53">
      <w:pPr>
        <w:ind w:left="1200"/>
        <w:jc w:val="both"/>
        <w:rPr>
          <w:sz w:val="24"/>
          <w:szCs w:val="24"/>
        </w:rPr>
      </w:pPr>
      <w:r w:rsidRPr="00AF56D0">
        <w:rPr>
          <w:rFonts w:eastAsia="Times New Roman"/>
          <w:sz w:val="24"/>
          <w:szCs w:val="24"/>
          <w:u w:val="single"/>
        </w:rPr>
        <w:t>Seasonal System</w:t>
      </w:r>
      <w:r w:rsidRPr="00AF56D0">
        <w:rPr>
          <w:rFonts w:eastAsia="Times New Roman"/>
          <w:sz w:val="24"/>
          <w:szCs w:val="24"/>
        </w:rPr>
        <w:t xml:space="preserve"> means a Non-community Water System that is not operated as a Public Water System on a year-round basis and starts up and shuts down at the beginning and end of each operating season.</w:t>
      </w:r>
    </w:p>
    <w:p w14:paraId="2819CDA5" w14:textId="77777777" w:rsidR="004647B9" w:rsidRDefault="004647B9" w:rsidP="00F06B53">
      <w:pPr>
        <w:sectPr w:rsidR="004647B9" w:rsidSect="00EF630C">
          <w:pgSz w:w="12240" w:h="20180"/>
          <w:pgMar w:top="708" w:right="1440" w:bottom="1440" w:left="600" w:header="0" w:footer="0" w:gutter="0"/>
          <w:cols w:space="720" w:equalWidth="0">
            <w:col w:w="10200"/>
          </w:cols>
        </w:sectPr>
      </w:pPr>
    </w:p>
    <w:p w14:paraId="10E2FFEC" w14:textId="77777777" w:rsidR="00596EDC" w:rsidRPr="00AF56D0" w:rsidRDefault="00596EDC" w:rsidP="00596EDC">
      <w:pPr>
        <w:tabs>
          <w:tab w:val="left" w:pos="160"/>
        </w:tabs>
        <w:jc w:val="center"/>
        <w:rPr>
          <w:sz w:val="24"/>
          <w:szCs w:val="24"/>
        </w:rPr>
      </w:pPr>
      <w:bookmarkStart w:id="12" w:name="page13"/>
      <w:bookmarkEnd w:id="12"/>
      <w:r w:rsidRPr="00AF56D0">
        <w:rPr>
          <w:rFonts w:eastAsia="Times New Roman"/>
          <w:sz w:val="24"/>
          <w:szCs w:val="24"/>
        </w:rPr>
        <w:lastRenderedPageBreak/>
        <w:t>310 CMR:</w:t>
      </w:r>
      <w:r w:rsidRPr="00AF56D0">
        <w:rPr>
          <w:sz w:val="24"/>
          <w:szCs w:val="24"/>
        </w:rPr>
        <w:tab/>
      </w:r>
      <w:r w:rsidRPr="00AF56D0">
        <w:rPr>
          <w:rFonts w:eastAsia="Times New Roman"/>
          <w:sz w:val="24"/>
          <w:szCs w:val="24"/>
        </w:rPr>
        <w:t>DEPARTMENT OF ENVIRONMENTAL PROTECTION</w:t>
      </w:r>
    </w:p>
    <w:p w14:paraId="683B668F" w14:textId="6F80C07F" w:rsidR="00596EDC" w:rsidRDefault="00596EDC" w:rsidP="00596EDC"/>
    <w:p w14:paraId="3965B815" w14:textId="0E53BF7F" w:rsidR="00596EDC" w:rsidRDefault="00596EDC" w:rsidP="00596EDC"/>
    <w:p w14:paraId="5C0DCA88" w14:textId="78C63B6C" w:rsidR="00596EDC" w:rsidRDefault="00596EDC" w:rsidP="00596EDC">
      <w:r>
        <w:t>NON-TEXT PAGE</w:t>
      </w:r>
    </w:p>
    <w:p w14:paraId="447245F4" w14:textId="49DA702A" w:rsidR="00596EDC" w:rsidRDefault="00596EDC" w:rsidP="00596EDC">
      <w:pPr>
        <w:sectPr w:rsidR="00596EDC" w:rsidSect="00EF630C">
          <w:pgSz w:w="12240" w:h="20180"/>
          <w:pgMar w:top="708" w:right="1440" w:bottom="1440" w:left="600" w:header="0" w:footer="0" w:gutter="0"/>
          <w:cols w:space="720" w:equalWidth="0">
            <w:col w:w="10200"/>
          </w:cols>
        </w:sectPr>
      </w:pPr>
    </w:p>
    <w:p w14:paraId="2819CDA6" w14:textId="77777777" w:rsidR="004647B9" w:rsidRDefault="00E2436F">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DA7" w14:textId="77777777" w:rsidR="004647B9" w:rsidRDefault="004647B9">
      <w:pPr>
        <w:spacing w:line="200" w:lineRule="exact"/>
        <w:rPr>
          <w:sz w:val="20"/>
          <w:szCs w:val="20"/>
        </w:rPr>
      </w:pPr>
    </w:p>
    <w:p w14:paraId="2819CDA8" w14:textId="77777777" w:rsidR="004647B9" w:rsidRDefault="004647B9">
      <w:pPr>
        <w:spacing w:line="323" w:lineRule="exact"/>
        <w:rPr>
          <w:sz w:val="20"/>
          <w:szCs w:val="20"/>
        </w:rPr>
      </w:pPr>
    </w:p>
    <w:p w14:paraId="2819CDA9"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DAA" w14:textId="77777777" w:rsidR="004647B9" w:rsidRDefault="004647B9">
      <w:pPr>
        <w:spacing w:line="283" w:lineRule="exact"/>
        <w:rPr>
          <w:sz w:val="20"/>
          <w:szCs w:val="20"/>
        </w:rPr>
      </w:pPr>
    </w:p>
    <w:p w14:paraId="2819CDAB" w14:textId="77777777" w:rsidR="004647B9" w:rsidRDefault="00E2436F">
      <w:pPr>
        <w:spacing w:line="248" w:lineRule="auto"/>
        <w:ind w:left="1200"/>
        <w:jc w:val="both"/>
        <w:rPr>
          <w:sz w:val="20"/>
          <w:szCs w:val="20"/>
        </w:rPr>
      </w:pPr>
      <w:r>
        <w:rPr>
          <w:rFonts w:eastAsia="Times New Roman"/>
          <w:sz w:val="24"/>
          <w:szCs w:val="24"/>
          <w:u w:val="single"/>
        </w:rPr>
        <w:t>Secondary Maximum Contaminant Level (SMCL)</w:t>
      </w:r>
      <w:r>
        <w:rPr>
          <w:rFonts w:eastAsia="Times New Roman"/>
          <w:sz w:val="24"/>
          <w:szCs w:val="24"/>
        </w:rPr>
        <w:t xml:space="preserve"> means standards which apply to Public Water Systems and which in the judgment of the Administrator or the Department, are requisite to protect the public welfare. The SMCL is the maximum permissible level of a contaminant in water, which is delivered to the free flowing outlet of the ultimate user of a Public Water System. Contaminants added to the water under circumstances controlled by such user, except those resulting from corrosion of piping and plumbing caused by water quality, are excluded from </w:t>
      </w:r>
      <w:r>
        <w:rPr>
          <w:rFonts w:eastAsia="Times New Roman"/>
          <w:sz w:val="24"/>
          <w:szCs w:val="24"/>
          <w:u w:val="single"/>
        </w:rPr>
        <w:t>Secondary Maximum Contaminant Level (SMCL)</w:t>
      </w:r>
    </w:p>
    <w:p w14:paraId="2819CDAC" w14:textId="77777777" w:rsidR="004647B9" w:rsidRDefault="004647B9">
      <w:pPr>
        <w:spacing w:line="241" w:lineRule="exact"/>
        <w:rPr>
          <w:sz w:val="20"/>
          <w:szCs w:val="20"/>
        </w:rPr>
      </w:pPr>
    </w:p>
    <w:p w14:paraId="2819CDAD" w14:textId="77777777" w:rsidR="004647B9" w:rsidRDefault="00E2436F">
      <w:pPr>
        <w:spacing w:line="245" w:lineRule="auto"/>
        <w:ind w:left="1200"/>
        <w:jc w:val="both"/>
        <w:rPr>
          <w:sz w:val="20"/>
          <w:szCs w:val="20"/>
        </w:rPr>
      </w:pPr>
      <w:r>
        <w:rPr>
          <w:rFonts w:eastAsia="Times New Roman"/>
          <w:sz w:val="24"/>
          <w:szCs w:val="24"/>
          <w:u w:val="single"/>
        </w:rPr>
        <w:t>Secondary Operator</w:t>
      </w:r>
      <w:r>
        <w:rPr>
          <w:rFonts w:eastAsia="Times New Roman"/>
          <w:sz w:val="24"/>
          <w:szCs w:val="24"/>
        </w:rPr>
        <w:t xml:space="preserve"> means a person who is certified by the Board of Certification of Operators of Drinking Water Supply Facilities and has an operator's license not less than one grade lower than the classification of the facility at which they are employed. For Class III treatment facilities or higher, the Secondary Operator must also have at least six months working experience in a Class II treatment facility or higher. A Secondary Operator shall be an individual who spends their working hours at the treatment facility as the shift supervisor or performs distribution system duties as a foreman or assistant superintendent and is knowledgeable of 310 CMR 22.00: </w:t>
      </w:r>
      <w:r>
        <w:rPr>
          <w:rFonts w:eastAsia="Times New Roman"/>
          <w:i/>
          <w:iCs/>
          <w:sz w:val="24"/>
          <w:szCs w:val="24"/>
        </w:rPr>
        <w:t>Drinking Water</w:t>
      </w:r>
      <w:r>
        <w:rPr>
          <w:rFonts w:eastAsia="Times New Roman"/>
          <w:sz w:val="24"/>
          <w:szCs w:val="24"/>
        </w:rPr>
        <w:t xml:space="preserve">, guidelines and policies. A Secondary Operator shall be in Direct Responsible Charge during periods of time when the Primary Operator is temporarily absent or is not scheduled for duty. The Secondary Operator may hold an Operator-in-Training certificate as defined in 236 CMR: </w:t>
      </w:r>
      <w:r>
        <w:rPr>
          <w:rFonts w:eastAsia="Times New Roman"/>
          <w:i/>
          <w:iCs/>
          <w:sz w:val="24"/>
          <w:szCs w:val="24"/>
        </w:rPr>
        <w:t>Board of Certification of Operators of Drinking Water</w:t>
      </w:r>
      <w:r>
        <w:rPr>
          <w:rFonts w:eastAsia="Times New Roman"/>
          <w:sz w:val="24"/>
          <w:szCs w:val="24"/>
        </w:rPr>
        <w:t xml:space="preserve"> </w:t>
      </w:r>
      <w:r>
        <w:rPr>
          <w:rFonts w:eastAsia="Times New Roman"/>
          <w:i/>
          <w:iCs/>
          <w:sz w:val="24"/>
          <w:szCs w:val="24"/>
        </w:rPr>
        <w:t>Supply Facilities</w:t>
      </w:r>
      <w:r>
        <w:rPr>
          <w:rFonts w:eastAsia="Times New Roman"/>
          <w:sz w:val="24"/>
          <w:szCs w:val="24"/>
        </w:rPr>
        <w:t>.</w:t>
      </w:r>
    </w:p>
    <w:p w14:paraId="2819CDAE" w14:textId="77777777" w:rsidR="004647B9" w:rsidRDefault="004647B9">
      <w:pPr>
        <w:spacing w:line="253" w:lineRule="exact"/>
        <w:rPr>
          <w:sz w:val="20"/>
          <w:szCs w:val="20"/>
        </w:rPr>
      </w:pPr>
    </w:p>
    <w:p w14:paraId="2819CDAF" w14:textId="77777777" w:rsidR="004647B9" w:rsidRDefault="00E2436F">
      <w:pPr>
        <w:ind w:left="1200"/>
        <w:rPr>
          <w:sz w:val="20"/>
          <w:szCs w:val="20"/>
        </w:rPr>
      </w:pPr>
      <w:r>
        <w:rPr>
          <w:rFonts w:eastAsia="Times New Roman"/>
          <w:sz w:val="23"/>
          <w:szCs w:val="23"/>
          <w:u w:val="single"/>
        </w:rPr>
        <w:t>Sedimentation</w:t>
      </w:r>
      <w:r>
        <w:rPr>
          <w:rFonts w:eastAsia="Times New Roman"/>
          <w:sz w:val="23"/>
          <w:szCs w:val="23"/>
        </w:rPr>
        <w:t xml:space="preserve"> means a process for removal of solids before Filtration by gravity or separation.</w:t>
      </w:r>
    </w:p>
    <w:p w14:paraId="2819CDB0" w14:textId="77777777" w:rsidR="004647B9" w:rsidRDefault="004647B9">
      <w:pPr>
        <w:spacing w:line="295" w:lineRule="exact"/>
        <w:rPr>
          <w:sz w:val="20"/>
          <w:szCs w:val="20"/>
        </w:rPr>
      </w:pPr>
    </w:p>
    <w:p w14:paraId="2819CDB1" w14:textId="77777777" w:rsidR="004647B9" w:rsidRDefault="00E2436F">
      <w:pPr>
        <w:spacing w:line="275" w:lineRule="auto"/>
        <w:ind w:left="1200"/>
        <w:jc w:val="both"/>
        <w:rPr>
          <w:sz w:val="20"/>
          <w:szCs w:val="20"/>
        </w:rPr>
      </w:pPr>
      <w:r>
        <w:rPr>
          <w:rFonts w:eastAsia="Times New Roman"/>
          <w:sz w:val="24"/>
          <w:szCs w:val="24"/>
          <w:u w:val="single"/>
        </w:rPr>
        <w:t>Service Line Sample</w:t>
      </w:r>
      <w:r>
        <w:rPr>
          <w:rFonts w:eastAsia="Times New Roman"/>
          <w:sz w:val="24"/>
          <w:szCs w:val="24"/>
        </w:rPr>
        <w:t xml:space="preserve"> means a one-liter sample of water, collected in accordance with 310 CMR 22.06B(7) has been standing for at least six hours in a service line.</w:t>
      </w:r>
    </w:p>
    <w:p w14:paraId="2819CDB2" w14:textId="77777777" w:rsidR="004647B9" w:rsidRDefault="004647B9">
      <w:pPr>
        <w:spacing w:line="208" w:lineRule="exact"/>
        <w:rPr>
          <w:sz w:val="20"/>
          <w:szCs w:val="20"/>
        </w:rPr>
      </w:pPr>
    </w:p>
    <w:p w14:paraId="2819CDB3" w14:textId="77777777" w:rsidR="004647B9" w:rsidRDefault="00E2436F">
      <w:pPr>
        <w:spacing w:line="252" w:lineRule="auto"/>
        <w:ind w:left="1200"/>
        <w:jc w:val="both"/>
        <w:rPr>
          <w:sz w:val="20"/>
          <w:szCs w:val="20"/>
        </w:rPr>
      </w:pPr>
      <w:r>
        <w:rPr>
          <w:rFonts w:eastAsia="Times New Roman"/>
          <w:sz w:val="24"/>
          <w:szCs w:val="24"/>
          <w:u w:val="single"/>
        </w:rPr>
        <w:t>Significant Deficiency</w:t>
      </w:r>
      <w:r>
        <w:rPr>
          <w:rFonts w:eastAsia="Times New Roman"/>
          <w:sz w:val="24"/>
          <w:szCs w:val="24"/>
        </w:rPr>
        <w:t xml:space="preserve"> means one or more conditions that cause, or have the potential to cause, the introduction of contamination into water delivered to customers, including without limitation:</w:t>
      </w:r>
    </w:p>
    <w:p w14:paraId="2819CDB4" w14:textId="77777777" w:rsidR="004647B9" w:rsidRDefault="004647B9">
      <w:pPr>
        <w:spacing w:line="2" w:lineRule="exact"/>
        <w:rPr>
          <w:sz w:val="20"/>
          <w:szCs w:val="20"/>
        </w:rPr>
      </w:pPr>
    </w:p>
    <w:p w14:paraId="2819CDB5" w14:textId="77777777" w:rsidR="004647B9" w:rsidRDefault="00E2436F">
      <w:pPr>
        <w:numPr>
          <w:ilvl w:val="0"/>
          <w:numId w:val="7"/>
        </w:numPr>
        <w:tabs>
          <w:tab w:val="left" w:pos="2105"/>
        </w:tabs>
        <w:spacing w:line="243" w:lineRule="auto"/>
        <w:ind w:left="1560" w:hanging="5"/>
        <w:rPr>
          <w:rFonts w:eastAsia="Times New Roman"/>
          <w:sz w:val="24"/>
          <w:szCs w:val="24"/>
        </w:rPr>
      </w:pPr>
      <w:r>
        <w:rPr>
          <w:rFonts w:eastAsia="Times New Roman"/>
          <w:sz w:val="24"/>
          <w:szCs w:val="24"/>
        </w:rPr>
        <w:t>defects in design, operation, or maintenance of any source, Treatment Facility or Distribution System; and</w:t>
      </w:r>
    </w:p>
    <w:p w14:paraId="2819CDB6" w14:textId="77777777" w:rsidR="004647B9" w:rsidRDefault="00E2436F">
      <w:pPr>
        <w:numPr>
          <w:ilvl w:val="0"/>
          <w:numId w:val="7"/>
        </w:numPr>
        <w:tabs>
          <w:tab w:val="left" w:pos="2006"/>
        </w:tabs>
        <w:spacing w:line="267" w:lineRule="auto"/>
        <w:ind w:left="1560" w:hanging="5"/>
        <w:jc w:val="both"/>
        <w:rPr>
          <w:rFonts w:eastAsia="Times New Roman"/>
          <w:sz w:val="23"/>
          <w:szCs w:val="23"/>
        </w:rPr>
      </w:pPr>
      <w:r>
        <w:rPr>
          <w:rFonts w:eastAsia="Times New Roman"/>
          <w:sz w:val="23"/>
          <w:szCs w:val="23"/>
        </w:rPr>
        <w:t>the failure or malfunction of any of source, Treatment Facility or Distribution System. (Significant Deficiency may also be identified as a Sanitary Defect under 310 CMR 22.05.)</w:t>
      </w:r>
    </w:p>
    <w:p w14:paraId="2819CDB7" w14:textId="77777777" w:rsidR="004647B9" w:rsidRDefault="004647B9">
      <w:pPr>
        <w:spacing w:line="218" w:lineRule="exact"/>
        <w:rPr>
          <w:sz w:val="20"/>
          <w:szCs w:val="20"/>
        </w:rPr>
      </w:pPr>
    </w:p>
    <w:p w14:paraId="2819CDB8" w14:textId="77777777" w:rsidR="004647B9" w:rsidRDefault="00E2436F">
      <w:pPr>
        <w:spacing w:line="296" w:lineRule="auto"/>
        <w:ind w:left="1200"/>
        <w:jc w:val="both"/>
        <w:rPr>
          <w:sz w:val="20"/>
          <w:szCs w:val="20"/>
        </w:rPr>
      </w:pPr>
      <w:r>
        <w:rPr>
          <w:rFonts w:eastAsia="Times New Roman"/>
          <w:sz w:val="23"/>
          <w:szCs w:val="23"/>
          <w:u w:val="single"/>
        </w:rPr>
        <w:t>Single Family Structure</w:t>
      </w:r>
      <w:r>
        <w:rPr>
          <w:rFonts w:eastAsia="Times New Roman"/>
          <w:sz w:val="23"/>
          <w:szCs w:val="23"/>
        </w:rPr>
        <w:t>, for the purpose of 310 CMR 22.06B only, means a building constructed as a single-family residence that is currently used as either a residence or a place of business.</w:t>
      </w:r>
    </w:p>
    <w:p w14:paraId="2819CDB9" w14:textId="77777777" w:rsidR="004647B9" w:rsidRDefault="004647B9">
      <w:pPr>
        <w:spacing w:line="185" w:lineRule="exact"/>
        <w:rPr>
          <w:sz w:val="20"/>
          <w:szCs w:val="20"/>
        </w:rPr>
      </w:pPr>
    </w:p>
    <w:p w14:paraId="2819CDBA" w14:textId="77777777" w:rsidR="004647B9" w:rsidRDefault="00E2436F">
      <w:pPr>
        <w:spacing w:line="258" w:lineRule="auto"/>
        <w:ind w:left="1200"/>
        <w:jc w:val="both"/>
        <w:rPr>
          <w:sz w:val="20"/>
          <w:szCs w:val="20"/>
        </w:rPr>
      </w:pPr>
      <w:r>
        <w:rPr>
          <w:rFonts w:eastAsia="Times New Roman"/>
          <w:sz w:val="24"/>
          <w:szCs w:val="24"/>
          <w:u w:val="single"/>
        </w:rPr>
        <w:t>Slow Sand Filtration</w:t>
      </w:r>
      <w:r>
        <w:rPr>
          <w:rFonts w:eastAsia="Times New Roman"/>
          <w:sz w:val="24"/>
          <w:szCs w:val="24"/>
        </w:rPr>
        <w:t xml:space="preserve"> means a process involving passage of raw water through a bed of sand at low velocity (generally less than 0.4 m/h) resulting in substantial particulate removal by physical and biological mechanisms.</w:t>
      </w:r>
    </w:p>
    <w:p w14:paraId="2819CDBB" w14:textId="77777777" w:rsidR="004647B9" w:rsidRDefault="004647B9">
      <w:pPr>
        <w:spacing w:line="228" w:lineRule="exact"/>
        <w:rPr>
          <w:sz w:val="20"/>
          <w:szCs w:val="20"/>
        </w:rPr>
      </w:pPr>
    </w:p>
    <w:p w14:paraId="2819CDBC" w14:textId="77777777" w:rsidR="004647B9" w:rsidRDefault="00E2436F">
      <w:pPr>
        <w:spacing w:line="275" w:lineRule="auto"/>
        <w:ind w:left="1200"/>
        <w:jc w:val="both"/>
        <w:rPr>
          <w:sz w:val="20"/>
          <w:szCs w:val="20"/>
        </w:rPr>
      </w:pPr>
      <w:r>
        <w:rPr>
          <w:rFonts w:eastAsia="Times New Roman"/>
          <w:sz w:val="24"/>
          <w:szCs w:val="24"/>
          <w:u w:val="single"/>
        </w:rPr>
        <w:t>Small Water System</w:t>
      </w:r>
      <w:r>
        <w:rPr>
          <w:rFonts w:eastAsia="Times New Roman"/>
          <w:sz w:val="24"/>
          <w:szCs w:val="24"/>
        </w:rPr>
        <w:t>, for the purpose of 310 CMR 22.06B, means a water system that serves no more than 3,300 persons.</w:t>
      </w:r>
    </w:p>
    <w:p w14:paraId="2819CDBD" w14:textId="77777777" w:rsidR="004647B9" w:rsidRDefault="004647B9">
      <w:pPr>
        <w:spacing w:line="208" w:lineRule="exact"/>
        <w:rPr>
          <w:sz w:val="20"/>
          <w:szCs w:val="20"/>
        </w:rPr>
      </w:pPr>
    </w:p>
    <w:p w14:paraId="2819CDBE" w14:textId="77777777" w:rsidR="004647B9" w:rsidRDefault="00E2436F">
      <w:pPr>
        <w:spacing w:line="253" w:lineRule="auto"/>
        <w:ind w:left="1200"/>
        <w:jc w:val="both"/>
        <w:rPr>
          <w:sz w:val="20"/>
          <w:szCs w:val="20"/>
        </w:rPr>
      </w:pPr>
      <w:r>
        <w:rPr>
          <w:rFonts w:eastAsia="Times New Roman"/>
          <w:sz w:val="24"/>
          <w:szCs w:val="24"/>
          <w:u w:val="single"/>
        </w:rPr>
        <w:t>Spring</w:t>
      </w:r>
      <w:r>
        <w:rPr>
          <w:rFonts w:eastAsia="Times New Roman"/>
          <w:sz w:val="24"/>
          <w:szCs w:val="24"/>
        </w:rPr>
        <w:t xml:space="preserve"> means a natural discharge point where groundwater issues from soil or rocks in concentrated flow. Public water supply Springs will be perennial or intermittent springs of nonthermal origin. A source is not considered a Spring if mechanical methods are used to enhance the flow of water.</w:t>
      </w:r>
    </w:p>
    <w:p w14:paraId="2819CDBF" w14:textId="77777777" w:rsidR="004647B9" w:rsidRDefault="004647B9">
      <w:pPr>
        <w:spacing w:line="233" w:lineRule="exact"/>
        <w:rPr>
          <w:sz w:val="20"/>
          <w:szCs w:val="20"/>
        </w:rPr>
      </w:pPr>
    </w:p>
    <w:p w14:paraId="2819CDC0" w14:textId="77777777" w:rsidR="004647B9" w:rsidRDefault="00E2436F">
      <w:pPr>
        <w:spacing w:line="275" w:lineRule="auto"/>
        <w:ind w:left="1200"/>
        <w:jc w:val="both"/>
        <w:rPr>
          <w:sz w:val="20"/>
          <w:szCs w:val="20"/>
        </w:rPr>
      </w:pPr>
      <w:r>
        <w:rPr>
          <w:rFonts w:eastAsia="Times New Roman"/>
          <w:sz w:val="23"/>
          <w:szCs w:val="23"/>
          <w:u w:val="single"/>
        </w:rPr>
        <w:t>Stabilization</w:t>
      </w:r>
      <w:r>
        <w:rPr>
          <w:rFonts w:eastAsia="Times New Roman"/>
          <w:sz w:val="23"/>
          <w:szCs w:val="23"/>
        </w:rPr>
        <w:t xml:space="preserve"> means the processes that convert organic materials to a form that resists change. Organic material is stabilized by bacteria which convert the material to gases and other relatively inert substances. Stabilized organic material generally will not give off obnoxious odors.</w:t>
      </w:r>
    </w:p>
    <w:p w14:paraId="2819CDC1" w14:textId="77777777" w:rsidR="004647B9" w:rsidRDefault="004647B9">
      <w:pPr>
        <w:spacing w:line="209" w:lineRule="exact"/>
        <w:rPr>
          <w:sz w:val="20"/>
          <w:szCs w:val="20"/>
        </w:rPr>
      </w:pPr>
    </w:p>
    <w:p w14:paraId="2819CDC2" w14:textId="77777777" w:rsidR="004647B9" w:rsidRDefault="00E2436F">
      <w:pPr>
        <w:spacing w:line="275" w:lineRule="auto"/>
        <w:ind w:left="1200"/>
        <w:jc w:val="both"/>
        <w:rPr>
          <w:sz w:val="20"/>
          <w:szCs w:val="20"/>
        </w:rPr>
      </w:pPr>
      <w:r>
        <w:rPr>
          <w:rFonts w:eastAsia="Times New Roman"/>
          <w:sz w:val="24"/>
          <w:szCs w:val="24"/>
          <w:u w:val="single"/>
        </w:rPr>
        <w:t>Standard Sample</w:t>
      </w:r>
      <w:r>
        <w:rPr>
          <w:rFonts w:eastAsia="Times New Roman"/>
          <w:sz w:val="24"/>
          <w:szCs w:val="24"/>
        </w:rPr>
        <w:t xml:space="preserve"> means the aliquot of finished drinking water that is examined for the presence of coliform bacteria.</w:t>
      </w:r>
    </w:p>
    <w:p w14:paraId="2819CDC3" w14:textId="77777777" w:rsidR="004647B9" w:rsidRDefault="004647B9">
      <w:pPr>
        <w:spacing w:line="208" w:lineRule="exact"/>
        <w:rPr>
          <w:sz w:val="20"/>
          <w:szCs w:val="20"/>
        </w:rPr>
      </w:pPr>
    </w:p>
    <w:p w14:paraId="2819CDC4" w14:textId="77777777" w:rsidR="004647B9" w:rsidRDefault="00E2436F">
      <w:pPr>
        <w:spacing w:line="267" w:lineRule="auto"/>
        <w:ind w:left="1200"/>
        <w:jc w:val="both"/>
        <w:rPr>
          <w:sz w:val="20"/>
          <w:szCs w:val="20"/>
        </w:rPr>
      </w:pPr>
      <w:r>
        <w:rPr>
          <w:rFonts w:eastAsia="Times New Roman"/>
          <w:sz w:val="23"/>
          <w:szCs w:val="23"/>
          <w:u w:val="single"/>
        </w:rPr>
        <w:t>Substantial Modification</w:t>
      </w:r>
      <w:r>
        <w:rPr>
          <w:rFonts w:eastAsia="Times New Roman"/>
          <w:sz w:val="23"/>
          <w:szCs w:val="23"/>
        </w:rPr>
        <w:t xml:space="preserve"> means any deviation from approved plans or specifications affecting capacity, hydraulic conditions, operating units, the functioning of water treatment processes or systems, or the quality of water delivered to consumers. </w:t>
      </w:r>
      <w:r>
        <w:rPr>
          <w:rFonts w:eastAsia="Times New Roman"/>
          <w:sz w:val="23"/>
          <w:szCs w:val="23"/>
          <w:u w:val="single"/>
        </w:rPr>
        <w:t>Substantial Modification</w:t>
      </w:r>
      <w:r>
        <w:rPr>
          <w:rFonts w:eastAsia="Times New Roman"/>
          <w:sz w:val="23"/>
          <w:szCs w:val="23"/>
        </w:rPr>
        <w:t xml:space="preserve"> does not apply to Substantial Modifications as that term is used in 310 CMR 22.22.</w:t>
      </w:r>
    </w:p>
    <w:p w14:paraId="2819CDC5" w14:textId="77777777" w:rsidR="004647B9" w:rsidRDefault="004647B9">
      <w:pPr>
        <w:sectPr w:rsidR="004647B9" w:rsidSect="00EF630C">
          <w:pgSz w:w="12240" w:h="20180"/>
          <w:pgMar w:top="708" w:right="1440" w:bottom="714" w:left="600" w:header="0" w:footer="0" w:gutter="0"/>
          <w:cols w:space="720" w:equalWidth="0">
            <w:col w:w="10200"/>
          </w:cols>
        </w:sectPr>
      </w:pPr>
    </w:p>
    <w:p w14:paraId="2819CDC6" w14:textId="77777777" w:rsidR="004647B9" w:rsidRDefault="00E2436F">
      <w:pPr>
        <w:tabs>
          <w:tab w:val="left" w:pos="160"/>
        </w:tabs>
        <w:jc w:val="center"/>
        <w:rPr>
          <w:sz w:val="20"/>
          <w:szCs w:val="20"/>
        </w:rPr>
      </w:pPr>
      <w:bookmarkStart w:id="13" w:name="page14"/>
      <w:bookmarkEnd w:id="1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DC7" w14:textId="77777777" w:rsidR="004647B9" w:rsidRDefault="004647B9">
      <w:pPr>
        <w:spacing w:line="200" w:lineRule="exact"/>
        <w:rPr>
          <w:sz w:val="20"/>
          <w:szCs w:val="20"/>
        </w:rPr>
      </w:pPr>
    </w:p>
    <w:p w14:paraId="2819CDC8" w14:textId="77777777" w:rsidR="004647B9" w:rsidRDefault="004647B9">
      <w:pPr>
        <w:spacing w:line="318" w:lineRule="exact"/>
        <w:rPr>
          <w:sz w:val="20"/>
          <w:szCs w:val="20"/>
        </w:rPr>
      </w:pPr>
    </w:p>
    <w:p w14:paraId="2819CDC9"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DCA" w14:textId="77777777" w:rsidR="004647B9" w:rsidRDefault="004647B9">
      <w:pPr>
        <w:spacing w:line="271" w:lineRule="exact"/>
        <w:rPr>
          <w:sz w:val="20"/>
          <w:szCs w:val="20"/>
        </w:rPr>
      </w:pPr>
    </w:p>
    <w:p w14:paraId="2819CDCB" w14:textId="77777777" w:rsidR="004647B9" w:rsidRDefault="00E2436F">
      <w:pPr>
        <w:spacing w:line="253" w:lineRule="auto"/>
        <w:ind w:left="1200"/>
        <w:jc w:val="both"/>
        <w:rPr>
          <w:sz w:val="20"/>
          <w:szCs w:val="20"/>
        </w:rPr>
      </w:pPr>
      <w:r>
        <w:rPr>
          <w:rFonts w:eastAsia="Times New Roman"/>
          <w:sz w:val="24"/>
          <w:szCs w:val="24"/>
          <w:u w:val="single"/>
        </w:rPr>
        <w:t>Supervisory Control and Data Acquisition System</w:t>
      </w:r>
      <w:r>
        <w:rPr>
          <w:rFonts w:eastAsia="Times New Roman"/>
          <w:sz w:val="24"/>
          <w:szCs w:val="24"/>
        </w:rPr>
        <w:t xml:space="preserve"> or </w:t>
      </w:r>
      <w:r>
        <w:rPr>
          <w:rFonts w:eastAsia="Times New Roman"/>
          <w:sz w:val="24"/>
          <w:szCs w:val="24"/>
          <w:u w:val="single"/>
        </w:rPr>
        <w:t>SCADA System</w:t>
      </w:r>
      <w:r>
        <w:rPr>
          <w:rFonts w:eastAsia="Times New Roman"/>
          <w:sz w:val="24"/>
          <w:szCs w:val="24"/>
        </w:rPr>
        <w:t xml:space="preserve"> means a computer-monitored alarm, response, control and data acquisition system used by drinking water facilities to monitor their operations.</w:t>
      </w:r>
    </w:p>
    <w:p w14:paraId="2819CDCC" w14:textId="77777777" w:rsidR="004647B9" w:rsidRDefault="004647B9">
      <w:pPr>
        <w:spacing w:line="222" w:lineRule="exact"/>
        <w:rPr>
          <w:sz w:val="20"/>
          <w:szCs w:val="20"/>
        </w:rPr>
      </w:pPr>
    </w:p>
    <w:p w14:paraId="2819CDCD" w14:textId="576DBBC0" w:rsidR="004647B9" w:rsidRDefault="00E2436F">
      <w:pPr>
        <w:ind w:left="1200"/>
        <w:rPr>
          <w:sz w:val="20"/>
          <w:szCs w:val="20"/>
        </w:rPr>
      </w:pPr>
      <w:r>
        <w:rPr>
          <w:rFonts w:eastAsia="Times New Roman"/>
          <w:sz w:val="24"/>
          <w:szCs w:val="24"/>
          <w:u w:val="single"/>
        </w:rPr>
        <w:t>Supplier of Water</w:t>
      </w:r>
      <w:r>
        <w:rPr>
          <w:rFonts w:eastAsia="Times New Roman"/>
          <w:sz w:val="24"/>
          <w:szCs w:val="24"/>
        </w:rPr>
        <w:t xml:space="preserve"> means any Person who owns or operates a Public Water System.</w:t>
      </w:r>
    </w:p>
    <w:p w14:paraId="2819CDCE" w14:textId="77777777" w:rsidR="004647B9" w:rsidRDefault="004647B9">
      <w:pPr>
        <w:spacing w:line="271" w:lineRule="exact"/>
        <w:rPr>
          <w:sz w:val="20"/>
          <w:szCs w:val="20"/>
        </w:rPr>
      </w:pPr>
    </w:p>
    <w:p w14:paraId="2819CDCF" w14:textId="0B617D64" w:rsidR="004647B9" w:rsidRDefault="00E2436F">
      <w:pPr>
        <w:ind w:left="1200"/>
        <w:rPr>
          <w:sz w:val="20"/>
          <w:szCs w:val="20"/>
        </w:rPr>
      </w:pPr>
      <w:r>
        <w:rPr>
          <w:rFonts w:eastAsia="Times New Roman"/>
          <w:sz w:val="24"/>
          <w:szCs w:val="24"/>
          <w:u w:val="single"/>
        </w:rPr>
        <w:t>Surface Water</w:t>
      </w:r>
      <w:r>
        <w:rPr>
          <w:rFonts w:eastAsia="Times New Roman"/>
          <w:sz w:val="24"/>
          <w:szCs w:val="24"/>
        </w:rPr>
        <w:t xml:space="preserve"> means all water that is open to the atmosphere and subject to surface runoff.</w:t>
      </w:r>
    </w:p>
    <w:p w14:paraId="2819CDD0" w14:textId="77777777" w:rsidR="004647B9" w:rsidRDefault="004647B9">
      <w:pPr>
        <w:spacing w:line="271" w:lineRule="exact"/>
        <w:rPr>
          <w:sz w:val="20"/>
          <w:szCs w:val="20"/>
        </w:rPr>
      </w:pPr>
    </w:p>
    <w:p w14:paraId="2819CDD1" w14:textId="36140F37" w:rsidR="004647B9" w:rsidRPr="004B7322" w:rsidRDefault="00E2436F">
      <w:pPr>
        <w:spacing w:line="291" w:lineRule="auto"/>
        <w:ind w:left="1200"/>
        <w:jc w:val="both"/>
        <w:rPr>
          <w:sz w:val="24"/>
          <w:szCs w:val="24"/>
        </w:rPr>
      </w:pPr>
      <w:r w:rsidRPr="004B7322">
        <w:rPr>
          <w:rFonts w:eastAsia="Times New Roman"/>
          <w:sz w:val="24"/>
          <w:szCs w:val="24"/>
          <w:u w:val="single"/>
        </w:rPr>
        <w:t>Surface Water Source</w:t>
      </w:r>
      <w:r w:rsidRPr="004B7322">
        <w:rPr>
          <w:rFonts w:eastAsia="Times New Roman"/>
          <w:sz w:val="24"/>
          <w:szCs w:val="24"/>
        </w:rPr>
        <w:t xml:space="preserve"> means any lake, pond, reservoir, river, stream or impoundment designated as a public water supply in 314 CMR 4.00: Massachusetts Surface Water Quality Standards.</w:t>
      </w:r>
    </w:p>
    <w:p w14:paraId="2819CDD2" w14:textId="77777777" w:rsidR="004647B9" w:rsidRDefault="004647B9">
      <w:pPr>
        <w:spacing w:line="179" w:lineRule="exact"/>
        <w:rPr>
          <w:sz w:val="20"/>
          <w:szCs w:val="20"/>
        </w:rPr>
      </w:pPr>
    </w:p>
    <w:p w14:paraId="2819CDD3" w14:textId="77777777" w:rsidR="004647B9" w:rsidRDefault="00E2436F">
      <w:pPr>
        <w:spacing w:line="238" w:lineRule="auto"/>
        <w:ind w:left="1200"/>
        <w:jc w:val="both"/>
        <w:rPr>
          <w:sz w:val="20"/>
          <w:szCs w:val="20"/>
        </w:rPr>
      </w:pPr>
      <w:r>
        <w:rPr>
          <w:rFonts w:eastAsia="Times New Roman"/>
          <w:sz w:val="24"/>
          <w:szCs w:val="24"/>
          <w:u w:val="single"/>
        </w:rPr>
        <w:t>SUVA</w:t>
      </w:r>
      <w:r>
        <w:rPr>
          <w:rFonts w:eastAsia="Times New Roman"/>
          <w:sz w:val="24"/>
          <w:szCs w:val="24"/>
        </w:rPr>
        <w:t xml:space="preserve"> means Specific Ultraviolet Absorption at 254 nanometers (nm), an indicator of the humic content of water. It is a calculated parameter obtained by dividing a sample's ultraviolet absorption at a wavelength of 254 nm (UV</w:t>
      </w:r>
      <w:r>
        <w:rPr>
          <w:rFonts w:eastAsia="Times New Roman"/>
          <w:sz w:val="27"/>
          <w:szCs w:val="27"/>
          <w:vertAlign w:val="subscript"/>
        </w:rPr>
        <w:t>254</w:t>
      </w:r>
      <w:r>
        <w:rPr>
          <w:rFonts w:eastAsia="Times New Roman"/>
          <w:sz w:val="24"/>
          <w:szCs w:val="24"/>
        </w:rPr>
        <w:t>) (in m</w:t>
      </w:r>
      <w:r>
        <w:rPr>
          <w:rFonts w:eastAsia="Times New Roman"/>
          <w:sz w:val="27"/>
          <w:szCs w:val="27"/>
          <w:vertAlign w:val="superscript"/>
        </w:rPr>
        <w:t>-1</w:t>
      </w:r>
      <w:r>
        <w:rPr>
          <w:rFonts w:eastAsia="Times New Roman"/>
          <w:sz w:val="24"/>
          <w:szCs w:val="24"/>
        </w:rPr>
        <w:t>) by its concentration of dissolved organic carbon (DOC) (in mg/l).</w:t>
      </w:r>
    </w:p>
    <w:p w14:paraId="2819CDD4" w14:textId="77777777" w:rsidR="004647B9" w:rsidRDefault="004647B9">
      <w:pPr>
        <w:spacing w:line="239" w:lineRule="exact"/>
        <w:rPr>
          <w:sz w:val="20"/>
          <w:szCs w:val="20"/>
        </w:rPr>
      </w:pPr>
    </w:p>
    <w:p w14:paraId="2819CDD5" w14:textId="77777777" w:rsidR="004647B9" w:rsidRDefault="00E2436F">
      <w:pPr>
        <w:spacing w:line="269" w:lineRule="auto"/>
        <w:ind w:left="1200"/>
        <w:jc w:val="both"/>
        <w:rPr>
          <w:sz w:val="20"/>
          <w:szCs w:val="20"/>
        </w:rPr>
      </w:pPr>
      <w:r>
        <w:rPr>
          <w:rFonts w:eastAsia="Times New Roman"/>
          <w:sz w:val="24"/>
          <w:szCs w:val="24"/>
          <w:u w:val="single"/>
        </w:rPr>
        <w:t>System with a Single Service Connection</w:t>
      </w:r>
      <w:r>
        <w:rPr>
          <w:rFonts w:eastAsia="Times New Roman"/>
          <w:sz w:val="24"/>
          <w:szCs w:val="24"/>
        </w:rPr>
        <w:t xml:space="preserve"> means a system that supplies drinking water to consumers via a single service line.</w:t>
      </w:r>
    </w:p>
    <w:p w14:paraId="2819CDD6" w14:textId="77777777" w:rsidR="004647B9" w:rsidRDefault="004647B9">
      <w:pPr>
        <w:spacing w:line="202" w:lineRule="exact"/>
        <w:rPr>
          <w:sz w:val="20"/>
          <w:szCs w:val="20"/>
        </w:rPr>
      </w:pPr>
    </w:p>
    <w:p w14:paraId="2819CDD7" w14:textId="77777777" w:rsidR="004647B9" w:rsidRDefault="00E2436F">
      <w:pPr>
        <w:spacing w:line="253" w:lineRule="auto"/>
        <w:ind w:left="1200"/>
        <w:jc w:val="both"/>
        <w:rPr>
          <w:sz w:val="20"/>
          <w:szCs w:val="20"/>
        </w:rPr>
      </w:pPr>
      <w:r>
        <w:rPr>
          <w:rFonts w:eastAsia="Times New Roman"/>
          <w:sz w:val="24"/>
          <w:szCs w:val="24"/>
          <w:u w:val="single"/>
        </w:rPr>
        <w:t>Tier 1 Public Notice</w:t>
      </w:r>
      <w:r>
        <w:rPr>
          <w:rFonts w:eastAsia="Times New Roman"/>
          <w:sz w:val="24"/>
          <w:szCs w:val="24"/>
        </w:rPr>
        <w:t xml:space="preserve"> means a public notice required for 310 CMR 22.00 violations and situations with significant potential to have serious adverse effects on human health as a result of short-term exposure.</w:t>
      </w:r>
    </w:p>
    <w:p w14:paraId="2819CDD8" w14:textId="77777777" w:rsidR="004647B9" w:rsidRDefault="004647B9">
      <w:pPr>
        <w:spacing w:line="222" w:lineRule="exact"/>
        <w:rPr>
          <w:sz w:val="20"/>
          <w:szCs w:val="20"/>
        </w:rPr>
      </w:pPr>
    </w:p>
    <w:p w14:paraId="2819CDD9" w14:textId="77777777" w:rsidR="004647B9" w:rsidRDefault="00E2436F">
      <w:pPr>
        <w:spacing w:line="269" w:lineRule="auto"/>
        <w:ind w:left="1200"/>
        <w:jc w:val="both"/>
        <w:rPr>
          <w:sz w:val="20"/>
          <w:szCs w:val="20"/>
        </w:rPr>
      </w:pPr>
      <w:r>
        <w:rPr>
          <w:rFonts w:eastAsia="Times New Roman"/>
          <w:sz w:val="24"/>
          <w:szCs w:val="24"/>
          <w:u w:val="single"/>
        </w:rPr>
        <w:t>Tier 2 Public Notice</w:t>
      </w:r>
      <w:r>
        <w:rPr>
          <w:rFonts w:eastAsia="Times New Roman"/>
          <w:sz w:val="24"/>
          <w:szCs w:val="24"/>
        </w:rPr>
        <w:t xml:space="preserve"> means a public notice required for 310 CMR 22.00 violations and situations with potential to have serious adverse effects on human health.</w:t>
      </w:r>
    </w:p>
    <w:p w14:paraId="2819CDDA" w14:textId="77777777" w:rsidR="004647B9" w:rsidRDefault="004647B9">
      <w:pPr>
        <w:spacing w:line="202" w:lineRule="exact"/>
        <w:rPr>
          <w:sz w:val="20"/>
          <w:szCs w:val="20"/>
        </w:rPr>
      </w:pPr>
    </w:p>
    <w:p w14:paraId="2819CDDB" w14:textId="77777777" w:rsidR="004647B9" w:rsidRDefault="00E2436F">
      <w:pPr>
        <w:spacing w:line="269" w:lineRule="auto"/>
        <w:ind w:left="1200"/>
        <w:jc w:val="both"/>
        <w:rPr>
          <w:sz w:val="20"/>
          <w:szCs w:val="20"/>
        </w:rPr>
      </w:pPr>
      <w:r>
        <w:rPr>
          <w:rFonts w:eastAsia="Times New Roman"/>
          <w:sz w:val="24"/>
          <w:szCs w:val="24"/>
          <w:u w:val="single"/>
        </w:rPr>
        <w:t>Tier 3 Public Notice</w:t>
      </w:r>
      <w:r>
        <w:rPr>
          <w:rFonts w:eastAsia="Times New Roman"/>
          <w:sz w:val="24"/>
          <w:szCs w:val="24"/>
        </w:rPr>
        <w:t xml:space="preserve"> means a public notice for all other 310 CMR 22.00 violations and situations not included in Tier 1 and Tier 2.</w:t>
      </w:r>
    </w:p>
    <w:p w14:paraId="2819CDDC" w14:textId="77777777" w:rsidR="004647B9" w:rsidRDefault="004647B9">
      <w:pPr>
        <w:spacing w:line="202" w:lineRule="exact"/>
        <w:rPr>
          <w:sz w:val="20"/>
          <w:szCs w:val="20"/>
        </w:rPr>
      </w:pPr>
    </w:p>
    <w:p w14:paraId="2819CDDD" w14:textId="77777777" w:rsidR="004647B9" w:rsidRDefault="00E2436F">
      <w:pPr>
        <w:spacing w:line="269" w:lineRule="auto"/>
        <w:ind w:left="1200"/>
        <w:jc w:val="both"/>
        <w:rPr>
          <w:sz w:val="20"/>
          <w:szCs w:val="20"/>
        </w:rPr>
      </w:pPr>
      <w:r>
        <w:rPr>
          <w:rFonts w:eastAsia="Times New Roman"/>
          <w:sz w:val="24"/>
          <w:szCs w:val="24"/>
          <w:u w:val="single"/>
        </w:rPr>
        <w:t>Too Numerous to Count (TNTC)</w:t>
      </w:r>
      <w:r>
        <w:rPr>
          <w:rFonts w:eastAsia="Times New Roman"/>
          <w:sz w:val="24"/>
          <w:szCs w:val="24"/>
        </w:rPr>
        <w:t xml:space="preserve"> means that the total number of bacterial colonies exceeds 200 on a 47-mm diameter membrane filter used for coliform detection.</w:t>
      </w:r>
    </w:p>
    <w:p w14:paraId="2819CDDE" w14:textId="77777777" w:rsidR="004647B9" w:rsidRDefault="004647B9">
      <w:pPr>
        <w:spacing w:line="202" w:lineRule="exact"/>
        <w:rPr>
          <w:sz w:val="20"/>
          <w:szCs w:val="20"/>
        </w:rPr>
      </w:pPr>
    </w:p>
    <w:p w14:paraId="2819CDDF" w14:textId="77777777" w:rsidR="004647B9" w:rsidRDefault="00E2436F">
      <w:pPr>
        <w:spacing w:line="253" w:lineRule="auto"/>
        <w:ind w:left="1200"/>
        <w:jc w:val="both"/>
        <w:rPr>
          <w:sz w:val="20"/>
          <w:szCs w:val="20"/>
        </w:rPr>
      </w:pPr>
      <w:r>
        <w:rPr>
          <w:rFonts w:eastAsia="Times New Roman"/>
          <w:sz w:val="24"/>
          <w:szCs w:val="24"/>
          <w:u w:val="single"/>
        </w:rPr>
        <w:t>Total Organic Carbon (TOC)</w:t>
      </w:r>
      <w:r>
        <w:rPr>
          <w:rFonts w:eastAsia="Times New Roman"/>
          <w:sz w:val="24"/>
          <w:szCs w:val="24"/>
        </w:rPr>
        <w:t xml:space="preserve"> means Total Organic Carbon in mg/l measured using heat, oxygen, ultraviolet irradiation, chemical oxidants, or combinations of these oxidants that convert organic carbon to carbon dioxide, rounded to two significant figures.</w:t>
      </w:r>
    </w:p>
    <w:p w14:paraId="2819CDE0" w14:textId="77777777" w:rsidR="004647B9" w:rsidRDefault="004647B9">
      <w:pPr>
        <w:spacing w:line="222" w:lineRule="exact"/>
        <w:rPr>
          <w:sz w:val="20"/>
          <w:szCs w:val="20"/>
        </w:rPr>
      </w:pPr>
    </w:p>
    <w:p w14:paraId="2819CDE1" w14:textId="77777777" w:rsidR="004647B9" w:rsidRDefault="00E2436F">
      <w:pPr>
        <w:spacing w:line="248" w:lineRule="auto"/>
        <w:ind w:left="1200"/>
        <w:jc w:val="both"/>
        <w:rPr>
          <w:sz w:val="20"/>
          <w:szCs w:val="20"/>
        </w:rPr>
      </w:pPr>
      <w:r>
        <w:rPr>
          <w:rFonts w:eastAsia="Times New Roman"/>
          <w:sz w:val="24"/>
          <w:szCs w:val="24"/>
          <w:u w:val="single"/>
        </w:rPr>
        <w:t>Total Trihalomethanes (TTHM)</w:t>
      </w:r>
      <w:r>
        <w:rPr>
          <w:rFonts w:eastAsia="Times New Roman"/>
          <w:sz w:val="24"/>
          <w:szCs w:val="24"/>
        </w:rPr>
        <w:t xml:space="preserve"> means the sum, rounded to two significant figures, of the concentrations in milligrams per liter of the trihalomethane compounds, trichloromethane (chloroform), bromodichloromethane, dibromochloromethane, and tribromomethane (bromoform).</w:t>
      </w:r>
    </w:p>
    <w:p w14:paraId="2819CDE2" w14:textId="77777777" w:rsidR="004647B9" w:rsidRDefault="004647B9">
      <w:pPr>
        <w:spacing w:line="227" w:lineRule="exact"/>
        <w:rPr>
          <w:sz w:val="20"/>
          <w:szCs w:val="20"/>
        </w:rPr>
      </w:pPr>
    </w:p>
    <w:p w14:paraId="2819CDE3" w14:textId="77777777" w:rsidR="004647B9" w:rsidRDefault="00E2436F">
      <w:pPr>
        <w:spacing w:line="253" w:lineRule="auto"/>
        <w:ind w:left="1200"/>
        <w:jc w:val="both"/>
        <w:rPr>
          <w:sz w:val="20"/>
          <w:szCs w:val="20"/>
        </w:rPr>
      </w:pPr>
      <w:r>
        <w:rPr>
          <w:rFonts w:eastAsia="Times New Roman"/>
          <w:sz w:val="24"/>
          <w:szCs w:val="24"/>
          <w:u w:val="single"/>
        </w:rPr>
        <w:t>Treatment Facility</w:t>
      </w:r>
      <w:r>
        <w:rPr>
          <w:rFonts w:eastAsia="Times New Roman"/>
          <w:sz w:val="24"/>
          <w:szCs w:val="24"/>
        </w:rPr>
        <w:t xml:space="preserve"> means those components of a Public Water System involved in the production of drinking water for public consumption by the addition of any chemical or use of any treatment process to alter the physical, biological or chemical quality of the water.</w:t>
      </w:r>
    </w:p>
    <w:p w14:paraId="2819CDE4" w14:textId="77777777" w:rsidR="004647B9" w:rsidRDefault="004647B9">
      <w:pPr>
        <w:spacing w:line="222" w:lineRule="exact"/>
        <w:rPr>
          <w:sz w:val="20"/>
          <w:szCs w:val="20"/>
        </w:rPr>
      </w:pPr>
    </w:p>
    <w:p w14:paraId="2819CDE5" w14:textId="77777777" w:rsidR="004647B9" w:rsidRPr="00054F1D" w:rsidRDefault="00E2436F" w:rsidP="00054F1D">
      <w:pPr>
        <w:ind w:left="1200"/>
        <w:jc w:val="both"/>
        <w:rPr>
          <w:sz w:val="24"/>
          <w:szCs w:val="24"/>
        </w:rPr>
      </w:pPr>
      <w:r>
        <w:rPr>
          <w:rFonts w:eastAsia="Times New Roman"/>
          <w:sz w:val="24"/>
          <w:szCs w:val="24"/>
          <w:u w:val="single"/>
        </w:rPr>
        <w:t>Treatment Technique (TT)</w:t>
      </w:r>
      <w:r>
        <w:rPr>
          <w:rFonts w:eastAsia="Times New Roman"/>
          <w:sz w:val="24"/>
          <w:szCs w:val="24"/>
        </w:rPr>
        <w:t xml:space="preserve"> means a process, practice, or device required by 310 CMR 22.00, the National Primary Drinking Water Standards, or by the terms and conditions of a permit, approval or order issued by the Department intended to reduce the level of a contaminant or </w:t>
      </w:r>
      <w:r w:rsidRPr="00054F1D">
        <w:rPr>
          <w:rFonts w:eastAsia="Times New Roman"/>
          <w:sz w:val="24"/>
          <w:szCs w:val="24"/>
        </w:rPr>
        <w:t>other constituent in drinking water.</w:t>
      </w:r>
    </w:p>
    <w:p w14:paraId="2819CDE6" w14:textId="77777777" w:rsidR="004647B9" w:rsidRPr="004B7322" w:rsidRDefault="004647B9" w:rsidP="00054F1D">
      <w:pPr>
        <w:rPr>
          <w:sz w:val="20"/>
          <w:szCs w:val="20"/>
        </w:rPr>
      </w:pPr>
    </w:p>
    <w:p w14:paraId="2819CDE7" w14:textId="6E0A61FC" w:rsidR="004647B9" w:rsidRPr="00054F1D" w:rsidRDefault="00E2436F" w:rsidP="00054F1D">
      <w:pPr>
        <w:ind w:left="1200"/>
        <w:jc w:val="both"/>
        <w:rPr>
          <w:sz w:val="24"/>
          <w:szCs w:val="24"/>
        </w:rPr>
      </w:pPr>
      <w:r w:rsidRPr="00054F1D">
        <w:rPr>
          <w:rFonts w:eastAsia="Times New Roman"/>
          <w:sz w:val="24"/>
          <w:szCs w:val="24"/>
          <w:u w:val="single"/>
        </w:rPr>
        <w:t>Tributary</w:t>
      </w:r>
      <w:r w:rsidRPr="00054F1D">
        <w:rPr>
          <w:rFonts w:eastAsia="Times New Roman"/>
          <w:sz w:val="24"/>
          <w:szCs w:val="24"/>
        </w:rPr>
        <w:t xml:space="preserve"> means any body of running, or intermittently running, water which moves in a definite channel, naturally or artificially created, in the ground due to a hydraulic gradient, and which ultimately flows into a Class A Surface Water Source, as </w:t>
      </w:r>
      <w:r w:rsidR="003317C7">
        <w:rPr>
          <w:rFonts w:eastAsia="Times New Roman"/>
          <w:sz w:val="24"/>
          <w:szCs w:val="24"/>
        </w:rPr>
        <w:t>“</w:t>
      </w:r>
      <w:r w:rsidR="00BC045A">
        <w:rPr>
          <w:rFonts w:eastAsia="Times New Roman"/>
          <w:sz w:val="24"/>
          <w:szCs w:val="24"/>
        </w:rPr>
        <w:t>Class A</w:t>
      </w:r>
      <w:r w:rsidR="003317C7">
        <w:rPr>
          <w:rFonts w:eastAsia="Times New Roman"/>
          <w:sz w:val="24"/>
          <w:szCs w:val="24"/>
        </w:rPr>
        <w:t>”</w:t>
      </w:r>
      <w:r w:rsidR="00BC045A">
        <w:rPr>
          <w:rFonts w:eastAsia="Times New Roman"/>
          <w:sz w:val="24"/>
          <w:szCs w:val="24"/>
        </w:rPr>
        <w:t xml:space="preserve"> is </w:t>
      </w:r>
      <w:r w:rsidRPr="00054F1D">
        <w:rPr>
          <w:rFonts w:eastAsia="Times New Roman"/>
          <w:sz w:val="24"/>
          <w:szCs w:val="24"/>
        </w:rPr>
        <w:t>defined in 314 CMR 4.0</w:t>
      </w:r>
      <w:r w:rsidR="00BD14D5">
        <w:rPr>
          <w:rFonts w:eastAsia="Times New Roman"/>
          <w:sz w:val="24"/>
          <w:szCs w:val="24"/>
        </w:rPr>
        <w:t>2</w:t>
      </w:r>
      <w:r w:rsidRPr="00054F1D">
        <w:rPr>
          <w:rFonts w:eastAsia="Times New Roman"/>
          <w:sz w:val="24"/>
          <w:szCs w:val="24"/>
        </w:rPr>
        <w:t>.</w:t>
      </w:r>
    </w:p>
    <w:p w14:paraId="2819CDE8" w14:textId="77777777" w:rsidR="004647B9" w:rsidRPr="004B7322" w:rsidRDefault="004647B9" w:rsidP="00054F1D">
      <w:pPr>
        <w:rPr>
          <w:sz w:val="20"/>
          <w:szCs w:val="20"/>
        </w:rPr>
      </w:pPr>
    </w:p>
    <w:p w14:paraId="2819CDE9" w14:textId="77777777" w:rsidR="004647B9" w:rsidRPr="00054F1D" w:rsidRDefault="00E2436F" w:rsidP="00054F1D">
      <w:pPr>
        <w:ind w:left="1200"/>
        <w:jc w:val="both"/>
        <w:rPr>
          <w:sz w:val="24"/>
          <w:szCs w:val="24"/>
        </w:rPr>
      </w:pPr>
      <w:r w:rsidRPr="00054F1D">
        <w:rPr>
          <w:rFonts w:eastAsia="Times New Roman"/>
          <w:sz w:val="24"/>
          <w:szCs w:val="24"/>
          <w:u w:val="single"/>
        </w:rPr>
        <w:t>Trihalomethane</w:t>
      </w:r>
      <w:r w:rsidRPr="00054F1D">
        <w:rPr>
          <w:rFonts w:eastAsia="Times New Roman"/>
          <w:sz w:val="24"/>
          <w:szCs w:val="24"/>
        </w:rPr>
        <w:t xml:space="preserve"> means one of the family of organic compounds, named as derivatives of methane, wherein three of the four hydrogen atoms in methane are each substituted by a Halogen atom in the molecular structure.</w:t>
      </w:r>
    </w:p>
    <w:p w14:paraId="2819CDEA" w14:textId="77777777" w:rsidR="004647B9" w:rsidRPr="004B7322" w:rsidRDefault="004647B9" w:rsidP="00054F1D">
      <w:pPr>
        <w:rPr>
          <w:sz w:val="20"/>
          <w:szCs w:val="20"/>
        </w:rPr>
      </w:pPr>
    </w:p>
    <w:p w14:paraId="2819CDEB" w14:textId="77777777" w:rsidR="004647B9" w:rsidRPr="00054F1D" w:rsidRDefault="00E2436F" w:rsidP="00054F1D">
      <w:pPr>
        <w:ind w:left="1200"/>
        <w:jc w:val="both"/>
        <w:rPr>
          <w:sz w:val="24"/>
          <w:szCs w:val="24"/>
        </w:rPr>
      </w:pPr>
      <w:r w:rsidRPr="00054F1D">
        <w:rPr>
          <w:rFonts w:eastAsia="Times New Roman"/>
          <w:sz w:val="24"/>
          <w:szCs w:val="24"/>
          <w:u w:val="single"/>
        </w:rPr>
        <w:t>Two-stage Lime Softening</w:t>
      </w:r>
      <w:r w:rsidRPr="00054F1D">
        <w:rPr>
          <w:rFonts w:eastAsia="Times New Roman"/>
          <w:sz w:val="24"/>
          <w:szCs w:val="24"/>
        </w:rPr>
        <w:t xml:space="preserve"> means a process in which chemical addition and hardness precipitation occur in each of two distinct unit clarification processes in series prior to Filtration.</w:t>
      </w:r>
    </w:p>
    <w:p w14:paraId="2819CDEC" w14:textId="77777777" w:rsidR="004647B9" w:rsidRDefault="004647B9">
      <w:pPr>
        <w:sectPr w:rsidR="004647B9" w:rsidSect="00EF630C">
          <w:pgSz w:w="12240" w:h="20180"/>
          <w:pgMar w:top="708" w:right="1440" w:bottom="782" w:left="600" w:header="0" w:footer="0" w:gutter="0"/>
          <w:cols w:space="720" w:equalWidth="0">
            <w:col w:w="10200"/>
          </w:cols>
        </w:sectPr>
      </w:pPr>
    </w:p>
    <w:p w14:paraId="2819CDED" w14:textId="77777777" w:rsidR="004647B9" w:rsidRPr="00054F1D" w:rsidRDefault="00E2436F" w:rsidP="00596EDC">
      <w:pPr>
        <w:tabs>
          <w:tab w:val="left" w:pos="160"/>
        </w:tabs>
        <w:jc w:val="center"/>
        <w:rPr>
          <w:sz w:val="24"/>
          <w:szCs w:val="24"/>
        </w:rPr>
      </w:pPr>
      <w:bookmarkStart w:id="14" w:name="page15"/>
      <w:bookmarkEnd w:id="14"/>
      <w:r w:rsidRPr="00054F1D">
        <w:rPr>
          <w:rFonts w:eastAsia="Times New Roman"/>
          <w:sz w:val="24"/>
          <w:szCs w:val="24"/>
        </w:rPr>
        <w:lastRenderedPageBreak/>
        <w:t>310 CMR:</w:t>
      </w:r>
      <w:r w:rsidRPr="00054F1D">
        <w:rPr>
          <w:sz w:val="24"/>
          <w:szCs w:val="24"/>
        </w:rPr>
        <w:tab/>
      </w:r>
      <w:r w:rsidRPr="00054F1D">
        <w:rPr>
          <w:rFonts w:eastAsia="Times New Roman"/>
          <w:sz w:val="24"/>
          <w:szCs w:val="24"/>
        </w:rPr>
        <w:t>DEPARTMENT OF ENVIRONMENTAL PROTECTION</w:t>
      </w:r>
    </w:p>
    <w:p w14:paraId="2819CDEE" w14:textId="77777777" w:rsidR="004647B9" w:rsidRPr="004B7322" w:rsidRDefault="004647B9" w:rsidP="00596EDC">
      <w:pPr>
        <w:rPr>
          <w:sz w:val="20"/>
          <w:szCs w:val="20"/>
        </w:rPr>
      </w:pPr>
    </w:p>
    <w:p w14:paraId="2819CDEF" w14:textId="77777777" w:rsidR="004647B9" w:rsidRPr="004B7322" w:rsidRDefault="004647B9" w:rsidP="00596EDC">
      <w:pPr>
        <w:rPr>
          <w:sz w:val="20"/>
          <w:szCs w:val="20"/>
        </w:rPr>
      </w:pPr>
    </w:p>
    <w:p w14:paraId="2819CDF0" w14:textId="77777777" w:rsidR="004647B9" w:rsidRPr="00054F1D" w:rsidRDefault="00E2436F" w:rsidP="00596EDC">
      <w:pPr>
        <w:tabs>
          <w:tab w:val="left" w:pos="760"/>
        </w:tabs>
        <w:rPr>
          <w:sz w:val="24"/>
          <w:szCs w:val="24"/>
        </w:rPr>
      </w:pPr>
      <w:r w:rsidRPr="00054F1D">
        <w:rPr>
          <w:rFonts w:eastAsia="Times New Roman"/>
          <w:sz w:val="24"/>
          <w:szCs w:val="24"/>
        </w:rPr>
        <w:t>22.02:</w:t>
      </w:r>
      <w:r w:rsidRPr="00054F1D">
        <w:rPr>
          <w:rFonts w:eastAsia="Times New Roman"/>
          <w:sz w:val="24"/>
          <w:szCs w:val="24"/>
        </w:rPr>
        <w:tab/>
        <w:t>continued</w:t>
      </w:r>
    </w:p>
    <w:p w14:paraId="2819CDF1" w14:textId="77777777" w:rsidR="004647B9" w:rsidRPr="004B7322" w:rsidRDefault="004647B9" w:rsidP="00596EDC">
      <w:pPr>
        <w:rPr>
          <w:sz w:val="20"/>
          <w:szCs w:val="20"/>
        </w:rPr>
      </w:pPr>
    </w:p>
    <w:p w14:paraId="2819CDF2" w14:textId="77777777" w:rsidR="004647B9" w:rsidRPr="00054F1D" w:rsidRDefault="00E2436F" w:rsidP="00596EDC">
      <w:pPr>
        <w:ind w:left="1200"/>
        <w:jc w:val="both"/>
        <w:rPr>
          <w:sz w:val="24"/>
          <w:szCs w:val="24"/>
        </w:rPr>
      </w:pPr>
      <w:r w:rsidRPr="00054F1D">
        <w:rPr>
          <w:rFonts w:eastAsia="Times New Roman"/>
          <w:sz w:val="24"/>
          <w:szCs w:val="24"/>
          <w:u w:val="single"/>
        </w:rPr>
        <w:t>Turbidity</w:t>
      </w:r>
      <w:r w:rsidRPr="00054F1D">
        <w:rPr>
          <w:rFonts w:eastAsia="Times New Roman"/>
          <w:sz w:val="24"/>
          <w:szCs w:val="24"/>
        </w:rPr>
        <w:t xml:space="preserve"> means a measure of water clarity. Turbidity is measured in terms of Nephelometric Turbidity Units (NTU), representing the intensity of light scattered by a sample under defined conditions.</w:t>
      </w:r>
    </w:p>
    <w:p w14:paraId="2819CDF3" w14:textId="77777777" w:rsidR="004647B9" w:rsidRPr="006852EA" w:rsidRDefault="004647B9" w:rsidP="00596EDC">
      <w:pPr>
        <w:rPr>
          <w:sz w:val="20"/>
          <w:szCs w:val="20"/>
        </w:rPr>
      </w:pPr>
    </w:p>
    <w:p w14:paraId="2819CDF4" w14:textId="77777777" w:rsidR="004647B9" w:rsidRPr="00054F1D" w:rsidRDefault="00E2436F" w:rsidP="00596EDC">
      <w:pPr>
        <w:ind w:left="1200"/>
        <w:jc w:val="both"/>
        <w:rPr>
          <w:sz w:val="24"/>
          <w:szCs w:val="24"/>
        </w:rPr>
      </w:pPr>
      <w:r w:rsidRPr="00054F1D">
        <w:rPr>
          <w:rFonts w:eastAsia="Times New Roman"/>
          <w:sz w:val="24"/>
          <w:szCs w:val="24"/>
          <w:u w:val="single"/>
        </w:rPr>
        <w:t>Uncovered Finished Water Storage Facility</w:t>
      </w:r>
      <w:r w:rsidRPr="00054F1D">
        <w:rPr>
          <w:rFonts w:eastAsia="Times New Roman"/>
          <w:sz w:val="24"/>
          <w:szCs w:val="24"/>
        </w:rPr>
        <w:t xml:space="preserve"> means is a tank, reservoir, or other facility used to store water that will undergo no further treatment to reduce microbial pathogens except residual Disinfection and is directly open to the atmosphere.</w:t>
      </w:r>
    </w:p>
    <w:p w14:paraId="2819CDF5" w14:textId="77777777" w:rsidR="004647B9" w:rsidRPr="006852EA" w:rsidRDefault="004647B9" w:rsidP="00596EDC">
      <w:pPr>
        <w:rPr>
          <w:sz w:val="20"/>
          <w:szCs w:val="20"/>
        </w:rPr>
      </w:pPr>
    </w:p>
    <w:p w14:paraId="2819CDF6" w14:textId="77777777" w:rsidR="004647B9" w:rsidRPr="00054F1D" w:rsidRDefault="00E2436F" w:rsidP="00596EDC">
      <w:pPr>
        <w:ind w:left="1200"/>
        <w:jc w:val="both"/>
        <w:rPr>
          <w:sz w:val="24"/>
          <w:szCs w:val="24"/>
        </w:rPr>
      </w:pPr>
      <w:r w:rsidRPr="00054F1D">
        <w:rPr>
          <w:rFonts w:eastAsia="Times New Roman"/>
          <w:sz w:val="24"/>
          <w:szCs w:val="24"/>
          <w:u w:val="single"/>
        </w:rPr>
        <w:t>Variances and Exemptions</w:t>
      </w:r>
      <w:r w:rsidRPr="00054F1D">
        <w:rPr>
          <w:rFonts w:eastAsia="Times New Roman"/>
          <w:sz w:val="24"/>
          <w:szCs w:val="24"/>
        </w:rPr>
        <w:t xml:space="preserve"> means, as defined in 310 CMR 22.16A(4)(d)1., permission by the Department or EPA not to meet an MCL or a Treatment Technique under certain conditions</w:t>
      </w:r>
      <w:r w:rsidR="0085268F" w:rsidRPr="00054F1D">
        <w:rPr>
          <w:rFonts w:eastAsia="Times New Roman"/>
          <w:sz w:val="24"/>
          <w:szCs w:val="24"/>
        </w:rPr>
        <w:t>.</w:t>
      </w:r>
    </w:p>
    <w:p w14:paraId="2819CDF7" w14:textId="77777777" w:rsidR="004647B9" w:rsidRPr="006852EA" w:rsidRDefault="004647B9" w:rsidP="00596EDC">
      <w:pPr>
        <w:rPr>
          <w:sz w:val="20"/>
          <w:szCs w:val="20"/>
        </w:rPr>
      </w:pPr>
    </w:p>
    <w:p w14:paraId="2819CDF8" w14:textId="77777777" w:rsidR="004647B9" w:rsidRPr="00054F1D" w:rsidRDefault="00E2436F" w:rsidP="00596EDC">
      <w:pPr>
        <w:ind w:left="1200"/>
        <w:rPr>
          <w:sz w:val="24"/>
          <w:szCs w:val="24"/>
        </w:rPr>
      </w:pPr>
      <w:r w:rsidRPr="00054F1D">
        <w:rPr>
          <w:rFonts w:eastAsia="Times New Roman"/>
          <w:sz w:val="24"/>
          <w:szCs w:val="24"/>
          <w:u w:val="single"/>
        </w:rPr>
        <w:t>Virus</w:t>
      </w:r>
      <w:r w:rsidRPr="00054F1D">
        <w:rPr>
          <w:rFonts w:eastAsia="Times New Roman"/>
          <w:sz w:val="24"/>
          <w:szCs w:val="24"/>
        </w:rPr>
        <w:t xml:space="preserve"> means a Virus of fecal origin which is infectious to humans by waterborne transmission.</w:t>
      </w:r>
    </w:p>
    <w:p w14:paraId="7F8D5EE8" w14:textId="77777777" w:rsidR="00A85993" w:rsidRPr="00760406" w:rsidRDefault="00A85993" w:rsidP="00760406">
      <w:pPr>
        <w:rPr>
          <w:sz w:val="20"/>
          <w:szCs w:val="20"/>
        </w:rPr>
      </w:pPr>
    </w:p>
    <w:p w14:paraId="6D072321" w14:textId="0F944504" w:rsidR="3634C1DD" w:rsidRPr="00104939" w:rsidRDefault="0053371E" w:rsidP="00104939">
      <w:pPr>
        <w:spacing w:line="259" w:lineRule="auto"/>
        <w:ind w:left="1200"/>
        <w:rPr>
          <w:rFonts w:eastAsia="Calibri"/>
          <w:sz w:val="24"/>
          <w:szCs w:val="24"/>
        </w:rPr>
      </w:pPr>
      <w:r w:rsidRPr="00A9628A">
        <w:rPr>
          <w:sz w:val="24"/>
          <w:szCs w:val="24"/>
          <w:u w:val="single"/>
        </w:rPr>
        <w:t>Water Supply Land</w:t>
      </w:r>
      <w:r w:rsidRPr="00A9628A">
        <w:rPr>
          <w:sz w:val="24"/>
          <w:szCs w:val="24"/>
        </w:rPr>
        <w:t xml:space="preserve"> means </w:t>
      </w:r>
      <w:r w:rsidR="00A84802">
        <w:rPr>
          <w:sz w:val="24"/>
          <w:szCs w:val="24"/>
        </w:rPr>
        <w:t xml:space="preserve">(i) </w:t>
      </w:r>
      <w:r w:rsidRPr="00A9628A">
        <w:rPr>
          <w:rFonts w:eastAsia="Calibri"/>
          <w:sz w:val="24"/>
          <w:szCs w:val="24"/>
        </w:rPr>
        <w:t xml:space="preserve">land containing a source of water supply (including without limitation </w:t>
      </w:r>
      <w:r w:rsidRPr="00A9628A">
        <w:rPr>
          <w:sz w:val="24"/>
          <w:szCs w:val="24"/>
        </w:rPr>
        <w:t>rivers, streams, lakes, ponds, springs</w:t>
      </w:r>
      <w:r w:rsidR="00C61AD5" w:rsidRPr="00A9628A">
        <w:rPr>
          <w:sz w:val="24"/>
          <w:szCs w:val="24"/>
        </w:rPr>
        <w:t xml:space="preserve">, </w:t>
      </w:r>
      <w:r w:rsidR="00C8691E" w:rsidRPr="00A9628A">
        <w:rPr>
          <w:sz w:val="24"/>
          <w:szCs w:val="24"/>
        </w:rPr>
        <w:t xml:space="preserve">reservoirs, </w:t>
      </w:r>
      <w:r w:rsidR="00C61AD5" w:rsidRPr="00A9628A">
        <w:rPr>
          <w:sz w:val="24"/>
          <w:szCs w:val="24"/>
        </w:rPr>
        <w:t>well</w:t>
      </w:r>
      <w:r w:rsidR="008769C6" w:rsidRPr="00A9628A">
        <w:rPr>
          <w:sz w:val="24"/>
          <w:szCs w:val="24"/>
        </w:rPr>
        <w:t>s</w:t>
      </w:r>
      <w:r w:rsidRPr="00A9628A">
        <w:rPr>
          <w:sz w:val="24"/>
          <w:szCs w:val="24"/>
        </w:rPr>
        <w:t xml:space="preserve"> and groundwaters)</w:t>
      </w:r>
      <w:r w:rsidR="00414044" w:rsidRPr="00B40F1C">
        <w:rPr>
          <w:rFonts w:eastAsia="Calibri"/>
          <w:sz w:val="24"/>
          <w:szCs w:val="24"/>
        </w:rPr>
        <w:t xml:space="preserve"> and</w:t>
      </w:r>
      <w:r w:rsidR="00E267DB">
        <w:rPr>
          <w:rFonts w:eastAsia="Calibri"/>
          <w:sz w:val="24"/>
          <w:szCs w:val="24"/>
        </w:rPr>
        <w:t xml:space="preserve"> </w:t>
      </w:r>
      <w:r w:rsidR="00A84802">
        <w:rPr>
          <w:rFonts w:eastAsia="Calibri"/>
          <w:sz w:val="24"/>
          <w:szCs w:val="24"/>
        </w:rPr>
        <w:t xml:space="preserve">(ii) </w:t>
      </w:r>
      <w:r w:rsidRPr="00A9628A">
        <w:rPr>
          <w:rFonts w:eastAsia="Calibri"/>
          <w:sz w:val="24"/>
          <w:szCs w:val="24"/>
        </w:rPr>
        <w:t>land necessary for protecting and preserving the purity of a source of water suppl</w:t>
      </w:r>
      <w:r w:rsidR="0088567A">
        <w:rPr>
          <w:rFonts w:eastAsia="Calibri"/>
          <w:sz w:val="24"/>
          <w:szCs w:val="24"/>
        </w:rPr>
        <w:t>y</w:t>
      </w:r>
      <w:r w:rsidR="001F7021">
        <w:rPr>
          <w:rFonts w:eastAsia="Calibri"/>
          <w:sz w:val="24"/>
          <w:szCs w:val="24"/>
        </w:rPr>
        <w:t>; provided</w:t>
      </w:r>
      <w:r w:rsidR="00A84802">
        <w:rPr>
          <w:rFonts w:eastAsia="Calibri"/>
          <w:sz w:val="24"/>
          <w:szCs w:val="24"/>
        </w:rPr>
        <w:t xml:space="preserve"> such land </w:t>
      </w:r>
      <w:r w:rsidR="005F5013" w:rsidRPr="00A9628A">
        <w:rPr>
          <w:rFonts w:eastAsia="Calibri"/>
          <w:sz w:val="24"/>
          <w:szCs w:val="24"/>
        </w:rPr>
        <w:t>was</w:t>
      </w:r>
      <w:r w:rsidR="00104939">
        <w:rPr>
          <w:rFonts w:eastAsia="Calibri"/>
          <w:sz w:val="24"/>
          <w:szCs w:val="24"/>
        </w:rPr>
        <w:t xml:space="preserve"> </w:t>
      </w:r>
      <w:r w:rsidRPr="00104939">
        <w:rPr>
          <w:rFonts w:eastAsia="Calibri"/>
          <w:sz w:val="24"/>
          <w:szCs w:val="24"/>
        </w:rPr>
        <w:t>duly taken by eminent domai</w:t>
      </w:r>
      <w:r w:rsidR="003626EF" w:rsidRPr="00104939">
        <w:rPr>
          <w:rFonts w:eastAsia="Calibri"/>
          <w:sz w:val="24"/>
          <w:szCs w:val="24"/>
        </w:rPr>
        <w:t>n or</w:t>
      </w:r>
      <w:r w:rsidRPr="00104939">
        <w:rPr>
          <w:rFonts w:eastAsia="Calibri"/>
          <w:sz w:val="24"/>
          <w:szCs w:val="24"/>
        </w:rPr>
        <w:t xml:space="preserve"> acquired by purchase or otherwise</w:t>
      </w:r>
      <w:r w:rsidR="007B4367" w:rsidRPr="00104939">
        <w:rPr>
          <w:rFonts w:eastAsia="Calibri"/>
          <w:sz w:val="24"/>
          <w:szCs w:val="24"/>
        </w:rPr>
        <w:t>,</w:t>
      </w:r>
      <w:r w:rsidR="00104939" w:rsidRPr="00104939">
        <w:rPr>
          <w:rFonts w:eastAsia="Calibri"/>
          <w:sz w:val="24"/>
          <w:szCs w:val="24"/>
        </w:rPr>
        <w:t xml:space="preserve"> </w:t>
      </w:r>
      <w:r w:rsidRPr="00104939">
        <w:rPr>
          <w:rFonts w:eastAsia="Calibri"/>
          <w:sz w:val="24"/>
          <w:szCs w:val="24"/>
        </w:rPr>
        <w:t>by an entity authorized by state law to do so and to</w:t>
      </w:r>
      <w:r w:rsidR="002E547E" w:rsidRPr="00104939">
        <w:rPr>
          <w:rFonts w:eastAsia="Calibri"/>
          <w:sz w:val="24"/>
          <w:szCs w:val="24"/>
        </w:rPr>
        <w:t xml:space="preserve"> hold and/or</w:t>
      </w:r>
      <w:r w:rsidRPr="00104939">
        <w:rPr>
          <w:rFonts w:eastAsia="Calibri"/>
          <w:sz w:val="24"/>
          <w:szCs w:val="24"/>
        </w:rPr>
        <w:t xml:space="preserve"> use the land</w:t>
      </w:r>
      <w:r w:rsidR="00104939" w:rsidRPr="00104939">
        <w:rPr>
          <w:rFonts w:eastAsia="Calibri"/>
          <w:sz w:val="24"/>
          <w:szCs w:val="24"/>
        </w:rPr>
        <w:t xml:space="preserve">, </w:t>
      </w:r>
      <w:r w:rsidRPr="00104939">
        <w:rPr>
          <w:rFonts w:eastAsia="Calibri"/>
          <w:sz w:val="24"/>
          <w:szCs w:val="24"/>
        </w:rPr>
        <w:t>with the</w:t>
      </w:r>
      <w:r w:rsidR="00CA6DAD">
        <w:rPr>
          <w:rFonts w:eastAsia="Calibri"/>
          <w:sz w:val="24"/>
          <w:szCs w:val="24"/>
        </w:rPr>
        <w:t xml:space="preserve"> Department’s</w:t>
      </w:r>
      <w:r w:rsidRPr="00104939">
        <w:rPr>
          <w:rFonts w:eastAsia="Calibri"/>
          <w:sz w:val="24"/>
          <w:szCs w:val="24"/>
        </w:rPr>
        <w:t xml:space="preserve"> prior advice and approval</w:t>
      </w:r>
      <w:r w:rsidR="00CA6DAD">
        <w:rPr>
          <w:rFonts w:eastAsia="Calibri"/>
          <w:sz w:val="24"/>
          <w:szCs w:val="24"/>
        </w:rPr>
        <w:t xml:space="preserve"> </w:t>
      </w:r>
      <w:r w:rsidRPr="00104939">
        <w:rPr>
          <w:rFonts w:eastAsia="Calibri"/>
          <w:sz w:val="24"/>
          <w:szCs w:val="24"/>
        </w:rPr>
        <w:t>or</w:t>
      </w:r>
      <w:r w:rsidR="00CA6DAD">
        <w:rPr>
          <w:rFonts w:eastAsia="Calibri"/>
          <w:sz w:val="24"/>
          <w:szCs w:val="24"/>
        </w:rPr>
        <w:t xml:space="preserve"> prior</w:t>
      </w:r>
      <w:r w:rsidRPr="00104939">
        <w:rPr>
          <w:rFonts w:eastAsia="Calibri"/>
          <w:sz w:val="24"/>
          <w:szCs w:val="24"/>
        </w:rPr>
        <w:t xml:space="preserve"> consent and approval</w:t>
      </w:r>
      <w:r w:rsidR="00CA6DAD">
        <w:rPr>
          <w:rFonts w:eastAsia="Calibri"/>
          <w:sz w:val="24"/>
          <w:szCs w:val="24"/>
        </w:rPr>
        <w:t>.</w:t>
      </w:r>
    </w:p>
    <w:p w14:paraId="2819CDF9" w14:textId="77777777" w:rsidR="004647B9" w:rsidRPr="00760406" w:rsidRDefault="004647B9" w:rsidP="00596EDC">
      <w:pPr>
        <w:rPr>
          <w:sz w:val="20"/>
          <w:szCs w:val="20"/>
        </w:rPr>
      </w:pPr>
    </w:p>
    <w:p w14:paraId="2819CDFA" w14:textId="5B70864A" w:rsidR="004647B9" w:rsidRPr="00054F1D" w:rsidRDefault="00E2436F" w:rsidP="00596EDC">
      <w:pPr>
        <w:ind w:left="1200"/>
        <w:jc w:val="both"/>
        <w:rPr>
          <w:sz w:val="24"/>
          <w:szCs w:val="24"/>
        </w:rPr>
      </w:pPr>
      <w:r w:rsidRPr="00054F1D">
        <w:rPr>
          <w:rFonts w:eastAsia="Times New Roman"/>
          <w:sz w:val="24"/>
          <w:szCs w:val="24"/>
          <w:u w:val="single"/>
        </w:rPr>
        <w:t>Water Used for Human Consumption</w:t>
      </w:r>
      <w:r w:rsidRPr="00054F1D">
        <w:rPr>
          <w:rFonts w:eastAsia="Times New Roman"/>
          <w:sz w:val="24"/>
          <w:szCs w:val="24"/>
        </w:rPr>
        <w:t xml:space="preserve"> means water that is used by humans in residential, commercial, industrial, institutional or other setting for drinking, bathing, showering, cooking, dishwashing, or maintaining oral hygiene.</w:t>
      </w:r>
    </w:p>
    <w:p w14:paraId="2819CDFB" w14:textId="77777777" w:rsidR="004647B9" w:rsidRPr="00760406" w:rsidRDefault="004647B9" w:rsidP="00596EDC">
      <w:pPr>
        <w:rPr>
          <w:sz w:val="20"/>
          <w:szCs w:val="20"/>
        </w:rPr>
      </w:pPr>
    </w:p>
    <w:p w14:paraId="2819CDFC" w14:textId="77777777" w:rsidR="004647B9" w:rsidRPr="00054F1D" w:rsidRDefault="00E2436F" w:rsidP="00596EDC">
      <w:pPr>
        <w:ind w:left="1200"/>
        <w:jc w:val="both"/>
        <w:rPr>
          <w:sz w:val="24"/>
          <w:szCs w:val="24"/>
        </w:rPr>
      </w:pPr>
      <w:r w:rsidRPr="00054F1D">
        <w:rPr>
          <w:rFonts w:eastAsia="Times New Roman"/>
          <w:sz w:val="24"/>
          <w:szCs w:val="24"/>
          <w:u w:val="single"/>
        </w:rPr>
        <w:t>Waterborne Disease Outbreak</w:t>
      </w:r>
      <w:r w:rsidRPr="00054F1D">
        <w:rPr>
          <w:rFonts w:eastAsia="Times New Roman"/>
          <w:sz w:val="24"/>
          <w:szCs w:val="24"/>
        </w:rPr>
        <w:t xml:space="preserve"> means the significant occurrence of acute infectious illness, epidemiologically associated with the ingestion of water from a Public Water System which is deficient in treatment, as determined by the Department in conjunction with the Massachusetts Department of Public Health.</w:t>
      </w:r>
    </w:p>
    <w:p w14:paraId="2819CDFD" w14:textId="77777777" w:rsidR="004647B9" w:rsidRPr="00760406" w:rsidRDefault="004647B9" w:rsidP="00596EDC">
      <w:pPr>
        <w:rPr>
          <w:sz w:val="20"/>
          <w:szCs w:val="20"/>
        </w:rPr>
      </w:pPr>
    </w:p>
    <w:p w14:paraId="2819CDFE" w14:textId="77777777" w:rsidR="004647B9" w:rsidRPr="00054F1D" w:rsidRDefault="00E2436F" w:rsidP="00596EDC">
      <w:pPr>
        <w:ind w:left="1200"/>
        <w:jc w:val="both"/>
        <w:rPr>
          <w:sz w:val="24"/>
          <w:szCs w:val="24"/>
        </w:rPr>
      </w:pPr>
      <w:r w:rsidRPr="00054F1D">
        <w:rPr>
          <w:rFonts w:eastAsia="Times New Roman"/>
          <w:sz w:val="24"/>
          <w:szCs w:val="24"/>
          <w:u w:val="single"/>
        </w:rPr>
        <w:t>Watershed</w:t>
      </w:r>
      <w:r w:rsidRPr="00054F1D">
        <w:rPr>
          <w:rFonts w:eastAsia="Times New Roman"/>
          <w:sz w:val="24"/>
          <w:szCs w:val="24"/>
        </w:rPr>
        <w:t xml:space="preserve"> means the area contained within geomorphic or topographic boundaries of higher elevations which cause Surface Water and/or Groundwater to drain or flow to lower elevations into water used as a Public Water System source.</w:t>
      </w:r>
    </w:p>
    <w:p w14:paraId="2819CDFF" w14:textId="77777777" w:rsidR="004647B9" w:rsidRPr="00760406" w:rsidRDefault="004647B9" w:rsidP="00596EDC">
      <w:pPr>
        <w:rPr>
          <w:sz w:val="20"/>
          <w:szCs w:val="20"/>
        </w:rPr>
      </w:pPr>
    </w:p>
    <w:p w14:paraId="2819CE00" w14:textId="77777777" w:rsidR="004647B9" w:rsidRPr="00054F1D" w:rsidRDefault="00E2436F" w:rsidP="00596EDC">
      <w:pPr>
        <w:ind w:left="1200"/>
        <w:jc w:val="both"/>
        <w:rPr>
          <w:sz w:val="24"/>
          <w:szCs w:val="24"/>
        </w:rPr>
      </w:pPr>
      <w:r w:rsidRPr="00054F1D">
        <w:rPr>
          <w:rFonts w:eastAsia="Times New Roman"/>
          <w:sz w:val="24"/>
          <w:szCs w:val="24"/>
          <w:u w:val="single"/>
        </w:rPr>
        <w:t>Wellfield</w:t>
      </w:r>
      <w:r w:rsidRPr="00054F1D">
        <w:rPr>
          <w:rFonts w:eastAsia="Times New Roman"/>
          <w:sz w:val="24"/>
          <w:szCs w:val="24"/>
        </w:rPr>
        <w:t xml:space="preserve"> means a series of three or more wells that are manifolded together provided that the wells:</w:t>
      </w:r>
    </w:p>
    <w:p w14:paraId="2819CE01" w14:textId="77777777" w:rsidR="004647B9" w:rsidRPr="00054F1D" w:rsidRDefault="00E2436F" w:rsidP="00596EDC">
      <w:pPr>
        <w:numPr>
          <w:ilvl w:val="0"/>
          <w:numId w:val="8"/>
        </w:numPr>
        <w:tabs>
          <w:tab w:val="left" w:pos="2000"/>
        </w:tabs>
        <w:ind w:left="2000" w:hanging="445"/>
        <w:rPr>
          <w:rFonts w:eastAsia="Times New Roman"/>
          <w:sz w:val="24"/>
          <w:szCs w:val="24"/>
        </w:rPr>
      </w:pPr>
      <w:r w:rsidRPr="00054F1D">
        <w:rPr>
          <w:rFonts w:eastAsia="Times New Roman"/>
          <w:sz w:val="24"/>
          <w:szCs w:val="24"/>
        </w:rPr>
        <w:t>shall be either suction lifted or individually pumped all at the same time;</w:t>
      </w:r>
    </w:p>
    <w:p w14:paraId="2819CE02" w14:textId="77777777" w:rsidR="004647B9" w:rsidRPr="00054F1D" w:rsidRDefault="00E2436F" w:rsidP="00596EDC">
      <w:pPr>
        <w:numPr>
          <w:ilvl w:val="0"/>
          <w:numId w:val="8"/>
        </w:numPr>
        <w:tabs>
          <w:tab w:val="left" w:pos="2020"/>
        </w:tabs>
        <w:ind w:left="2020" w:hanging="465"/>
        <w:rPr>
          <w:rFonts w:eastAsia="Times New Roman"/>
          <w:sz w:val="24"/>
          <w:szCs w:val="24"/>
        </w:rPr>
      </w:pPr>
      <w:r w:rsidRPr="00054F1D">
        <w:rPr>
          <w:rFonts w:eastAsia="Times New Roman"/>
          <w:sz w:val="24"/>
          <w:szCs w:val="24"/>
        </w:rPr>
        <w:t>shall have pump intake depths no greater than 28 feet below ground level; and</w:t>
      </w:r>
    </w:p>
    <w:p w14:paraId="2819CE03" w14:textId="77777777" w:rsidR="004647B9" w:rsidRPr="00054F1D" w:rsidRDefault="00E2436F" w:rsidP="00596EDC">
      <w:pPr>
        <w:numPr>
          <w:ilvl w:val="0"/>
          <w:numId w:val="8"/>
        </w:numPr>
        <w:tabs>
          <w:tab w:val="left" w:pos="2000"/>
        </w:tabs>
        <w:ind w:left="2000" w:hanging="445"/>
        <w:rPr>
          <w:rFonts w:eastAsia="Times New Roman"/>
          <w:sz w:val="24"/>
          <w:szCs w:val="24"/>
        </w:rPr>
      </w:pPr>
      <w:r w:rsidRPr="00054F1D">
        <w:rPr>
          <w:rFonts w:eastAsia="Times New Roman"/>
          <w:sz w:val="24"/>
          <w:szCs w:val="24"/>
        </w:rPr>
        <w:t>shall be a maximum distance of 50 feet apart.</w:t>
      </w:r>
    </w:p>
    <w:p w14:paraId="2819CE04" w14:textId="77777777" w:rsidR="004647B9" w:rsidRPr="00760406" w:rsidRDefault="004647B9" w:rsidP="00596EDC">
      <w:pPr>
        <w:rPr>
          <w:sz w:val="20"/>
          <w:szCs w:val="20"/>
        </w:rPr>
      </w:pPr>
    </w:p>
    <w:p w14:paraId="2819CE05" w14:textId="77777777" w:rsidR="004647B9" w:rsidRPr="00054F1D" w:rsidRDefault="00E2436F" w:rsidP="00596EDC">
      <w:pPr>
        <w:ind w:left="1200"/>
        <w:jc w:val="both"/>
        <w:rPr>
          <w:sz w:val="24"/>
          <w:szCs w:val="24"/>
        </w:rPr>
      </w:pPr>
      <w:r w:rsidRPr="00054F1D">
        <w:rPr>
          <w:rFonts w:eastAsia="Times New Roman"/>
          <w:sz w:val="24"/>
          <w:szCs w:val="24"/>
          <w:u w:val="single"/>
        </w:rPr>
        <w:t>Wholesale System</w:t>
      </w:r>
      <w:r w:rsidRPr="00054F1D">
        <w:rPr>
          <w:rFonts w:eastAsia="Times New Roman"/>
          <w:sz w:val="24"/>
          <w:szCs w:val="24"/>
        </w:rPr>
        <w:t xml:space="preserve"> means a Public Water System that treats source water as necessary to produce finished water and then delivers some or all of that finished water to another Public Water System. Delivery may be through a direct connection or through the distribution system of one or more consecutive systems.</w:t>
      </w:r>
    </w:p>
    <w:p w14:paraId="2819CE06" w14:textId="77777777" w:rsidR="004647B9" w:rsidRPr="00760406" w:rsidRDefault="004647B9" w:rsidP="00596EDC">
      <w:pPr>
        <w:rPr>
          <w:sz w:val="20"/>
          <w:szCs w:val="20"/>
        </w:rPr>
      </w:pPr>
    </w:p>
    <w:p w14:paraId="2819CE07" w14:textId="7E2E555C" w:rsidR="004647B9" w:rsidRPr="00054F1D" w:rsidRDefault="00E2436F" w:rsidP="00596EDC">
      <w:pPr>
        <w:ind w:left="1200"/>
        <w:rPr>
          <w:sz w:val="24"/>
          <w:szCs w:val="24"/>
        </w:rPr>
      </w:pPr>
      <w:r w:rsidRPr="00054F1D">
        <w:rPr>
          <w:rFonts w:eastAsia="Times New Roman"/>
          <w:sz w:val="24"/>
          <w:szCs w:val="24"/>
          <w:u w:val="single"/>
        </w:rPr>
        <w:t>Zone A</w:t>
      </w:r>
      <w:r w:rsidRPr="00054F1D">
        <w:rPr>
          <w:rFonts w:eastAsia="Times New Roman"/>
          <w:sz w:val="24"/>
          <w:szCs w:val="24"/>
        </w:rPr>
        <w:t xml:space="preserve"> means:</w:t>
      </w:r>
    </w:p>
    <w:p w14:paraId="2819CE09" w14:textId="77777777" w:rsidR="004647B9" w:rsidRPr="00054F1D" w:rsidRDefault="00E2436F" w:rsidP="00596EDC">
      <w:pPr>
        <w:numPr>
          <w:ilvl w:val="0"/>
          <w:numId w:val="9"/>
        </w:numPr>
        <w:tabs>
          <w:tab w:val="left" w:pos="2000"/>
        </w:tabs>
        <w:ind w:left="2000" w:hanging="445"/>
        <w:rPr>
          <w:rFonts w:eastAsia="Times New Roman"/>
          <w:sz w:val="24"/>
          <w:szCs w:val="24"/>
        </w:rPr>
      </w:pPr>
      <w:r w:rsidRPr="00054F1D">
        <w:rPr>
          <w:rFonts w:eastAsia="Times New Roman"/>
          <w:sz w:val="24"/>
          <w:szCs w:val="24"/>
        </w:rPr>
        <w:t>the land area between the Surface Water Source and the upper boundary of the Bank;</w:t>
      </w:r>
    </w:p>
    <w:p w14:paraId="2819CE0A" w14:textId="043C241C" w:rsidR="004647B9" w:rsidRPr="00054F1D" w:rsidRDefault="00E2436F" w:rsidP="00596EDC">
      <w:pPr>
        <w:numPr>
          <w:ilvl w:val="0"/>
          <w:numId w:val="9"/>
        </w:numPr>
        <w:tabs>
          <w:tab w:val="left" w:pos="2005"/>
        </w:tabs>
        <w:ind w:left="1560" w:hanging="5"/>
        <w:rPr>
          <w:rFonts w:eastAsia="Times New Roman"/>
          <w:sz w:val="24"/>
          <w:szCs w:val="24"/>
        </w:rPr>
      </w:pPr>
      <w:r w:rsidRPr="00054F1D">
        <w:rPr>
          <w:rFonts w:eastAsia="Times New Roman"/>
          <w:sz w:val="24"/>
          <w:szCs w:val="24"/>
        </w:rPr>
        <w:t xml:space="preserve">the land area within a 400 foot lateral distance from the upper boundary of the Bank of a Class A Surface Water Source, as </w:t>
      </w:r>
      <w:r w:rsidR="00B10AF6">
        <w:rPr>
          <w:rFonts w:eastAsia="Times New Roman"/>
          <w:sz w:val="24"/>
          <w:szCs w:val="24"/>
        </w:rPr>
        <w:t xml:space="preserve">“Class A” is </w:t>
      </w:r>
      <w:r w:rsidRPr="00054F1D">
        <w:rPr>
          <w:rFonts w:eastAsia="Times New Roman"/>
          <w:sz w:val="24"/>
          <w:szCs w:val="24"/>
        </w:rPr>
        <w:t>defined in 314 CMR 4.</w:t>
      </w:r>
      <w:r w:rsidRPr="00054F1D" w:rsidDel="006B0230">
        <w:rPr>
          <w:rFonts w:eastAsia="Times New Roman"/>
          <w:sz w:val="24"/>
          <w:szCs w:val="24"/>
        </w:rPr>
        <w:t>0</w:t>
      </w:r>
      <w:r w:rsidR="006B0230">
        <w:rPr>
          <w:rFonts w:eastAsia="Times New Roman"/>
          <w:sz w:val="24"/>
          <w:szCs w:val="24"/>
        </w:rPr>
        <w:t>2</w:t>
      </w:r>
      <w:r w:rsidRPr="00054F1D">
        <w:rPr>
          <w:rFonts w:eastAsia="Times New Roman"/>
          <w:sz w:val="24"/>
          <w:szCs w:val="24"/>
        </w:rPr>
        <w:t>; and</w:t>
      </w:r>
    </w:p>
    <w:p w14:paraId="2819CE0C" w14:textId="77777777" w:rsidR="004647B9" w:rsidRPr="00054F1D" w:rsidRDefault="00E2436F" w:rsidP="00596EDC">
      <w:pPr>
        <w:numPr>
          <w:ilvl w:val="0"/>
          <w:numId w:val="9"/>
        </w:numPr>
        <w:tabs>
          <w:tab w:val="left" w:pos="1982"/>
        </w:tabs>
        <w:ind w:left="1560" w:hanging="5"/>
        <w:rPr>
          <w:rFonts w:eastAsia="Times New Roman"/>
          <w:sz w:val="24"/>
          <w:szCs w:val="24"/>
        </w:rPr>
      </w:pPr>
      <w:r w:rsidRPr="00054F1D">
        <w:rPr>
          <w:rFonts w:eastAsia="Times New Roman"/>
          <w:sz w:val="24"/>
          <w:szCs w:val="24"/>
        </w:rPr>
        <w:t>the land area within a 200 foot lateral distance from the upper boundary of the Bank of a Tributary or associated Surface Water body.</w:t>
      </w:r>
    </w:p>
    <w:p w14:paraId="2819CE0D" w14:textId="77777777" w:rsidR="004647B9" w:rsidRPr="000772F7" w:rsidRDefault="004647B9" w:rsidP="00596EDC">
      <w:pPr>
        <w:rPr>
          <w:sz w:val="20"/>
          <w:szCs w:val="20"/>
        </w:rPr>
      </w:pPr>
    </w:p>
    <w:p w14:paraId="2819CE0E" w14:textId="1A96B0F6" w:rsidR="004647B9" w:rsidRPr="00054F1D" w:rsidRDefault="00E2436F" w:rsidP="00596EDC">
      <w:pPr>
        <w:ind w:left="1200"/>
        <w:jc w:val="both"/>
        <w:rPr>
          <w:sz w:val="24"/>
          <w:szCs w:val="24"/>
        </w:rPr>
      </w:pPr>
      <w:r w:rsidRPr="00054F1D">
        <w:rPr>
          <w:rFonts w:eastAsia="Times New Roman"/>
          <w:sz w:val="24"/>
          <w:szCs w:val="24"/>
          <w:u w:val="single"/>
        </w:rPr>
        <w:t>Zone B</w:t>
      </w:r>
      <w:r w:rsidRPr="00054F1D">
        <w:rPr>
          <w:rFonts w:eastAsia="Times New Roman"/>
          <w:sz w:val="24"/>
          <w:szCs w:val="24"/>
        </w:rPr>
        <w:t xml:space="preserve"> means the land area within ½ mile of the upper boundary of the Bank of a Class A Surface Water Source, as </w:t>
      </w:r>
      <w:r w:rsidR="006B0230">
        <w:rPr>
          <w:rFonts w:eastAsia="Times New Roman"/>
          <w:sz w:val="24"/>
          <w:szCs w:val="24"/>
        </w:rPr>
        <w:t xml:space="preserve">“Class A” is </w:t>
      </w:r>
      <w:r w:rsidRPr="00054F1D">
        <w:rPr>
          <w:rFonts w:eastAsia="Times New Roman"/>
          <w:sz w:val="24"/>
          <w:szCs w:val="24"/>
        </w:rPr>
        <w:t>defined in 314 CMR 4.</w:t>
      </w:r>
      <w:r w:rsidRPr="00054F1D" w:rsidDel="00DC5CA0">
        <w:rPr>
          <w:rFonts w:eastAsia="Times New Roman"/>
          <w:sz w:val="24"/>
          <w:szCs w:val="24"/>
        </w:rPr>
        <w:t>0</w:t>
      </w:r>
      <w:r w:rsidR="00DC5CA0">
        <w:rPr>
          <w:rFonts w:eastAsia="Times New Roman"/>
          <w:sz w:val="24"/>
          <w:szCs w:val="24"/>
        </w:rPr>
        <w:t>2</w:t>
      </w:r>
      <w:r w:rsidRPr="00054F1D">
        <w:rPr>
          <w:rFonts w:eastAsia="Times New Roman"/>
          <w:sz w:val="24"/>
          <w:szCs w:val="24"/>
        </w:rPr>
        <w:t>, or edge of Watershed, whichever is less. However, Zone B shall always include the land area within a 400-foot lateral distance from the upper boundary of the Bank of the Class A Surface Water Source.</w:t>
      </w:r>
    </w:p>
    <w:p w14:paraId="2819CE0F" w14:textId="77777777" w:rsidR="004647B9" w:rsidRPr="000772F7" w:rsidRDefault="004647B9" w:rsidP="00596EDC">
      <w:pPr>
        <w:rPr>
          <w:sz w:val="20"/>
          <w:szCs w:val="20"/>
        </w:rPr>
      </w:pPr>
    </w:p>
    <w:p w14:paraId="2819CE10" w14:textId="36B9EAD7" w:rsidR="004647B9" w:rsidRPr="00054F1D" w:rsidRDefault="00E2436F" w:rsidP="00596EDC">
      <w:pPr>
        <w:ind w:left="1200"/>
        <w:jc w:val="both"/>
        <w:rPr>
          <w:sz w:val="24"/>
          <w:szCs w:val="24"/>
        </w:rPr>
      </w:pPr>
      <w:r w:rsidRPr="00054F1D">
        <w:rPr>
          <w:rFonts w:eastAsia="Times New Roman"/>
          <w:sz w:val="24"/>
          <w:szCs w:val="24"/>
          <w:u w:val="single"/>
        </w:rPr>
        <w:t>Zone C</w:t>
      </w:r>
      <w:r w:rsidRPr="00054F1D">
        <w:rPr>
          <w:rFonts w:eastAsia="Times New Roman"/>
          <w:sz w:val="24"/>
          <w:szCs w:val="24"/>
        </w:rPr>
        <w:t xml:space="preserve"> means the land area not designated as Zone A or B within the Watershed of a Class A Surface Water Source as </w:t>
      </w:r>
      <w:r w:rsidR="00DC5CA0">
        <w:rPr>
          <w:rFonts w:eastAsia="Times New Roman"/>
          <w:sz w:val="24"/>
          <w:szCs w:val="24"/>
        </w:rPr>
        <w:t xml:space="preserve">“Class A” is </w:t>
      </w:r>
      <w:r w:rsidRPr="00054F1D">
        <w:rPr>
          <w:rFonts w:eastAsia="Times New Roman"/>
          <w:sz w:val="24"/>
          <w:szCs w:val="24"/>
        </w:rPr>
        <w:t xml:space="preserve">defined </w:t>
      </w:r>
      <w:r w:rsidR="00DC5CA0">
        <w:rPr>
          <w:rFonts w:eastAsia="Times New Roman"/>
          <w:sz w:val="24"/>
          <w:szCs w:val="24"/>
        </w:rPr>
        <w:t>in</w:t>
      </w:r>
      <w:r w:rsidR="00DC5CA0" w:rsidRPr="00054F1D">
        <w:rPr>
          <w:rFonts w:eastAsia="Times New Roman"/>
          <w:sz w:val="24"/>
          <w:szCs w:val="24"/>
        </w:rPr>
        <w:t xml:space="preserve"> </w:t>
      </w:r>
      <w:r w:rsidRPr="00054F1D">
        <w:rPr>
          <w:rFonts w:eastAsia="Times New Roman"/>
          <w:sz w:val="24"/>
          <w:szCs w:val="24"/>
        </w:rPr>
        <w:t>314 CMR 4.</w:t>
      </w:r>
      <w:r w:rsidRPr="00054F1D" w:rsidDel="00DC5CA0">
        <w:rPr>
          <w:rFonts w:eastAsia="Times New Roman"/>
          <w:sz w:val="24"/>
          <w:szCs w:val="24"/>
        </w:rPr>
        <w:t>0</w:t>
      </w:r>
      <w:r w:rsidR="00DC5CA0">
        <w:rPr>
          <w:rFonts w:eastAsia="Times New Roman"/>
          <w:sz w:val="24"/>
          <w:szCs w:val="24"/>
        </w:rPr>
        <w:t>2</w:t>
      </w:r>
      <w:r w:rsidRPr="00054F1D">
        <w:rPr>
          <w:rFonts w:eastAsia="Times New Roman"/>
          <w:sz w:val="24"/>
          <w:szCs w:val="24"/>
        </w:rPr>
        <w:t>.</w:t>
      </w:r>
    </w:p>
    <w:p w14:paraId="2819CE11" w14:textId="635E7862" w:rsidR="004647B9" w:rsidRPr="00C514C8" w:rsidRDefault="004647B9" w:rsidP="00596EDC">
      <w:pPr>
        <w:rPr>
          <w:sz w:val="20"/>
          <w:szCs w:val="20"/>
        </w:rPr>
      </w:pPr>
    </w:p>
    <w:p w14:paraId="2819CE12" w14:textId="77777777" w:rsidR="004647B9" w:rsidRPr="00054F1D" w:rsidRDefault="00E2436F" w:rsidP="00596EDC">
      <w:pPr>
        <w:ind w:left="1200"/>
        <w:jc w:val="both"/>
        <w:rPr>
          <w:sz w:val="24"/>
          <w:szCs w:val="24"/>
        </w:rPr>
      </w:pPr>
      <w:r w:rsidRPr="00054F1D">
        <w:rPr>
          <w:rFonts w:eastAsia="Times New Roman"/>
          <w:sz w:val="24"/>
          <w:szCs w:val="24"/>
          <w:u w:val="single"/>
        </w:rPr>
        <w:t>Zone I</w:t>
      </w:r>
      <w:r w:rsidRPr="00054F1D">
        <w:rPr>
          <w:rFonts w:eastAsia="Times New Roman"/>
          <w:sz w:val="24"/>
          <w:szCs w:val="24"/>
        </w:rPr>
        <w:t xml:space="preserve"> means the protective radius required around a public water supply well or Wellfield. For Public Water System wells with approved yields of 100,000 gpd or greater, the protective radius is 400 feet. Wellfields and infiltration galleries with approved yields of 10,000 gpd or greater require a 250-foot protective radius. Protective radii for all other Public Water System </w:t>
      </w:r>
      <w:r w:rsidRPr="00054F1D">
        <w:rPr>
          <w:rFonts w:eastAsia="Times New Roman"/>
          <w:sz w:val="24"/>
          <w:szCs w:val="24"/>
        </w:rPr>
        <w:lastRenderedPageBreak/>
        <w:t xml:space="preserve">wells, Wellfields, and infiltration galleries are determined by the following equation: Zone I radius in feet = (150 x log of pumping rate in gpd) - 350. This equation is equivalent to the chart in the </w:t>
      </w:r>
      <w:r w:rsidRPr="00054F1D">
        <w:rPr>
          <w:rFonts w:eastAsia="Times New Roman"/>
          <w:i/>
          <w:iCs/>
          <w:sz w:val="24"/>
          <w:szCs w:val="24"/>
        </w:rPr>
        <w:t>Guidelines and Policies for Public Water Systems</w:t>
      </w:r>
      <w:r w:rsidRPr="00054F1D">
        <w:rPr>
          <w:rFonts w:eastAsia="Times New Roman"/>
          <w:sz w:val="24"/>
          <w:szCs w:val="24"/>
        </w:rPr>
        <w:t>. A default Zone I radius or a Zone I radius</w:t>
      </w:r>
      <w:r w:rsidRPr="00054F1D">
        <w:rPr>
          <w:rFonts w:eastAsia="Times New Roman"/>
          <w:i/>
          <w:iCs/>
          <w:sz w:val="24"/>
          <w:szCs w:val="24"/>
        </w:rPr>
        <w:t xml:space="preserve"> </w:t>
      </w:r>
      <w:r w:rsidRPr="00054F1D">
        <w:rPr>
          <w:rFonts w:eastAsia="Times New Roman"/>
          <w:sz w:val="24"/>
          <w:szCs w:val="24"/>
        </w:rPr>
        <w:t>otherwise computed and determined by the Department shall be applied to Transient Non-community Water System (TNC) and Non-transient Non-community Water System (NTNC) wells when there is no metered rate of withdrawal or no approved pumping rate. In no case shall the Zone I radius be less than 100 feet.</w:t>
      </w:r>
    </w:p>
    <w:p w14:paraId="2819CE13" w14:textId="77777777" w:rsidR="004647B9" w:rsidRDefault="004647B9">
      <w:pPr>
        <w:sectPr w:rsidR="004647B9" w:rsidSect="00EF630C">
          <w:pgSz w:w="12240" w:h="20180"/>
          <w:pgMar w:top="708" w:right="1440" w:bottom="839" w:left="600" w:header="0" w:footer="0" w:gutter="0"/>
          <w:cols w:space="720" w:equalWidth="0">
            <w:col w:w="10200"/>
          </w:cols>
        </w:sectPr>
      </w:pPr>
    </w:p>
    <w:p w14:paraId="2819CE14" w14:textId="77777777" w:rsidR="004647B9" w:rsidRDefault="00E2436F">
      <w:pPr>
        <w:tabs>
          <w:tab w:val="left" w:pos="160"/>
        </w:tabs>
        <w:jc w:val="center"/>
        <w:rPr>
          <w:sz w:val="20"/>
          <w:szCs w:val="20"/>
        </w:rPr>
      </w:pPr>
      <w:bookmarkStart w:id="15" w:name="page16"/>
      <w:bookmarkEnd w:id="1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E15" w14:textId="77777777" w:rsidR="004647B9" w:rsidRDefault="004647B9">
      <w:pPr>
        <w:spacing w:line="200" w:lineRule="exact"/>
        <w:rPr>
          <w:sz w:val="20"/>
          <w:szCs w:val="20"/>
        </w:rPr>
      </w:pPr>
    </w:p>
    <w:p w14:paraId="2819CE16" w14:textId="77777777" w:rsidR="004647B9" w:rsidRDefault="004647B9">
      <w:pPr>
        <w:spacing w:line="323" w:lineRule="exact"/>
        <w:rPr>
          <w:sz w:val="20"/>
          <w:szCs w:val="20"/>
        </w:rPr>
      </w:pPr>
    </w:p>
    <w:p w14:paraId="2819CE17"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E18" w14:textId="77777777" w:rsidR="004647B9" w:rsidRDefault="004647B9">
      <w:pPr>
        <w:spacing w:line="283" w:lineRule="exact"/>
        <w:rPr>
          <w:sz w:val="20"/>
          <w:szCs w:val="20"/>
        </w:rPr>
      </w:pPr>
    </w:p>
    <w:p w14:paraId="2819CE19" w14:textId="77777777" w:rsidR="004647B9" w:rsidRPr="00015E25" w:rsidRDefault="00E2436F">
      <w:pPr>
        <w:spacing w:line="259" w:lineRule="auto"/>
        <w:ind w:left="1200"/>
        <w:jc w:val="both"/>
        <w:rPr>
          <w:sz w:val="24"/>
          <w:szCs w:val="24"/>
        </w:rPr>
      </w:pPr>
      <w:r w:rsidRPr="00015E25">
        <w:rPr>
          <w:rFonts w:eastAsia="Times New Roman"/>
          <w:sz w:val="24"/>
          <w:szCs w:val="24"/>
          <w:u w:val="single"/>
        </w:rPr>
        <w:t>Zone II</w:t>
      </w:r>
      <w:r w:rsidRPr="00015E25">
        <w:rPr>
          <w:rFonts w:eastAsia="Times New Roman"/>
          <w:sz w:val="24"/>
          <w:szCs w:val="24"/>
        </w:rPr>
        <w:t xml:space="preserve"> means that area of an aquifer that contributes water to a well under the most severe pumping and recharge conditions that can be realistically anticipated (180 days of pumping at approved yield, with no recharge from precipitation). It is bounded by the groundwater divides that result from pumping the well and by the contact of the aquifer with less permeable materials such as till or bedrock. In some cases, streams or lakes may act as recharge boundaries. In all cases, Zone II shall extend upgradient to its point of intersection with prevailing hydrogeologic boundaries (a groundwater flow divide, a contact with till or bedrock, or a recharge boundary). The Zone II must include the entire Zone I area. For Springs, the Zone II is that area of an aquifer, which contributes water to the Spring under naturally flowing conditions.</w:t>
      </w:r>
    </w:p>
    <w:p w14:paraId="2819CE1A" w14:textId="77777777" w:rsidR="004647B9" w:rsidRDefault="004647B9">
      <w:pPr>
        <w:spacing w:line="227" w:lineRule="exact"/>
        <w:rPr>
          <w:sz w:val="20"/>
          <w:szCs w:val="20"/>
        </w:rPr>
      </w:pPr>
    </w:p>
    <w:p w14:paraId="2819CE1B" w14:textId="77777777" w:rsidR="004647B9" w:rsidRDefault="00E2436F">
      <w:pPr>
        <w:spacing w:line="251" w:lineRule="auto"/>
        <w:ind w:left="1200"/>
        <w:jc w:val="both"/>
        <w:rPr>
          <w:sz w:val="20"/>
          <w:szCs w:val="20"/>
        </w:rPr>
      </w:pPr>
      <w:r>
        <w:rPr>
          <w:rFonts w:eastAsia="Times New Roman"/>
          <w:sz w:val="24"/>
          <w:szCs w:val="24"/>
          <w:u w:val="single"/>
        </w:rPr>
        <w:t>Zone III</w:t>
      </w:r>
      <w:r>
        <w:rPr>
          <w:rFonts w:eastAsia="Times New Roman"/>
          <w:sz w:val="24"/>
          <w:szCs w:val="24"/>
        </w:rPr>
        <w:t xml:space="preserve"> means that land area beyond the area of Zone II from which Surface Water and groundwater drain into Zone II. The surface drainage area as determined by topography is commonly coincident with the groundwater drainage area and will be used to delineate Zone III. In some locations, where surface and groundwater drainage is not coincident, Zone III shall consist of both the surface drainage and the groundwater drainage areas.</w:t>
      </w:r>
    </w:p>
    <w:p w14:paraId="2819CE1C" w14:textId="77777777" w:rsidR="004647B9" w:rsidRDefault="004647B9">
      <w:pPr>
        <w:spacing w:line="234" w:lineRule="exact"/>
        <w:rPr>
          <w:sz w:val="20"/>
          <w:szCs w:val="20"/>
        </w:rPr>
      </w:pPr>
    </w:p>
    <w:p w14:paraId="2819CE1D" w14:textId="77777777" w:rsidR="004647B9" w:rsidRDefault="00E2436F">
      <w:pPr>
        <w:spacing w:line="273" w:lineRule="auto"/>
        <w:ind w:left="1200"/>
        <w:jc w:val="both"/>
        <w:rPr>
          <w:sz w:val="20"/>
          <w:szCs w:val="20"/>
        </w:rPr>
      </w:pPr>
      <w:r>
        <w:rPr>
          <w:rFonts w:eastAsia="Times New Roman"/>
          <w:sz w:val="24"/>
          <w:szCs w:val="24"/>
          <w:u w:val="single"/>
        </w:rPr>
        <w:t>Zoning Controls</w:t>
      </w:r>
      <w:r>
        <w:rPr>
          <w:rFonts w:eastAsia="Times New Roman"/>
          <w:sz w:val="24"/>
          <w:szCs w:val="24"/>
        </w:rPr>
        <w:t xml:space="preserve"> means by-laws and ordinances adopted by cities and towns in accordance with M.G.L. c. 40A.</w:t>
      </w:r>
    </w:p>
    <w:p w14:paraId="2819CE1E" w14:textId="77777777" w:rsidR="004647B9" w:rsidRDefault="004647B9">
      <w:pPr>
        <w:spacing w:line="210" w:lineRule="exact"/>
        <w:rPr>
          <w:sz w:val="20"/>
          <w:szCs w:val="20"/>
        </w:rPr>
      </w:pPr>
    </w:p>
    <w:p w14:paraId="2819CE1F" w14:textId="77777777" w:rsidR="004647B9" w:rsidRDefault="00E2436F">
      <w:pPr>
        <w:numPr>
          <w:ilvl w:val="0"/>
          <w:numId w:val="10"/>
        </w:numPr>
        <w:tabs>
          <w:tab w:val="left" w:pos="1732"/>
        </w:tabs>
        <w:spacing w:line="275" w:lineRule="auto"/>
        <w:ind w:left="1200"/>
        <w:rPr>
          <w:rFonts w:eastAsia="Times New Roman"/>
          <w:sz w:val="24"/>
          <w:szCs w:val="24"/>
        </w:rPr>
      </w:pPr>
      <w:r>
        <w:rPr>
          <w:rFonts w:eastAsia="Times New Roman"/>
          <w:sz w:val="24"/>
          <w:szCs w:val="24"/>
          <w:u w:val="single"/>
        </w:rPr>
        <w:t>Definitions as Related to Cross Connections</w:t>
      </w:r>
      <w:r>
        <w:rPr>
          <w:rFonts w:eastAsia="Times New Roman"/>
          <w:sz w:val="24"/>
          <w:szCs w:val="24"/>
        </w:rPr>
        <w:t>. As used in 310 CMR 22.22, unless the context indicates otherwise, the following words shall have the following meanings:</w:t>
      </w:r>
    </w:p>
    <w:p w14:paraId="2819CE20" w14:textId="77777777" w:rsidR="004647B9" w:rsidRDefault="004647B9">
      <w:pPr>
        <w:spacing w:line="208" w:lineRule="exact"/>
        <w:rPr>
          <w:sz w:val="20"/>
          <w:szCs w:val="20"/>
        </w:rPr>
      </w:pPr>
    </w:p>
    <w:p w14:paraId="2819CE21" w14:textId="77777777" w:rsidR="004647B9" w:rsidRDefault="00E2436F">
      <w:pPr>
        <w:spacing w:line="251" w:lineRule="auto"/>
        <w:ind w:left="1200"/>
        <w:jc w:val="both"/>
        <w:rPr>
          <w:sz w:val="20"/>
          <w:szCs w:val="20"/>
        </w:rPr>
      </w:pPr>
      <w:r>
        <w:rPr>
          <w:rFonts w:eastAsia="Times New Roman"/>
          <w:sz w:val="24"/>
          <w:szCs w:val="24"/>
          <w:u w:val="single"/>
        </w:rPr>
        <w:t>Air Gap Separation</w:t>
      </w:r>
      <w:r>
        <w:rPr>
          <w:rFonts w:eastAsia="Times New Roman"/>
          <w:sz w:val="24"/>
          <w:szCs w:val="24"/>
        </w:rPr>
        <w:t xml:space="preserve"> means the method of preventing backflow through the use of an unobstructed vertical distance through the free atmosphere between the lowest opening from any pipe or faucet supplying water to a tank, plumbing fixture, or other device and the flood level rim of the receptacle. The air gap separation shall be at least twice the internal diameter of the supply pipe discharge line but in no case less than one inch.</w:t>
      </w:r>
    </w:p>
    <w:p w14:paraId="2819CE22" w14:textId="77777777" w:rsidR="004647B9" w:rsidRDefault="004647B9">
      <w:pPr>
        <w:spacing w:line="234" w:lineRule="exact"/>
        <w:rPr>
          <w:sz w:val="20"/>
          <w:szCs w:val="20"/>
        </w:rPr>
      </w:pPr>
    </w:p>
    <w:p w14:paraId="2819CE23" w14:textId="77777777" w:rsidR="004647B9" w:rsidRDefault="00E2436F">
      <w:pPr>
        <w:spacing w:line="273" w:lineRule="auto"/>
        <w:ind w:left="1200"/>
        <w:jc w:val="both"/>
        <w:rPr>
          <w:sz w:val="20"/>
          <w:szCs w:val="20"/>
        </w:rPr>
      </w:pPr>
      <w:r>
        <w:rPr>
          <w:rFonts w:eastAsia="Times New Roman"/>
          <w:sz w:val="24"/>
          <w:szCs w:val="24"/>
          <w:u w:val="single"/>
        </w:rPr>
        <w:t>Approved Backflow Prevention Device</w:t>
      </w:r>
      <w:r>
        <w:rPr>
          <w:rFonts w:eastAsia="Times New Roman"/>
          <w:sz w:val="24"/>
          <w:szCs w:val="24"/>
        </w:rPr>
        <w:t xml:space="preserve"> or </w:t>
      </w:r>
      <w:r>
        <w:rPr>
          <w:rFonts w:eastAsia="Times New Roman"/>
          <w:sz w:val="24"/>
          <w:szCs w:val="24"/>
          <w:u w:val="single"/>
        </w:rPr>
        <w:t>Device</w:t>
      </w:r>
      <w:r>
        <w:rPr>
          <w:rFonts w:eastAsia="Times New Roman"/>
          <w:sz w:val="24"/>
          <w:szCs w:val="24"/>
        </w:rPr>
        <w:t xml:space="preserve"> means a testable or non-testable cross connection control device that is approved by the Department for use in Massachusetts.</w:t>
      </w:r>
    </w:p>
    <w:p w14:paraId="2819CE24" w14:textId="77777777" w:rsidR="004647B9" w:rsidRDefault="004647B9">
      <w:pPr>
        <w:spacing w:line="210" w:lineRule="exact"/>
        <w:rPr>
          <w:sz w:val="20"/>
          <w:szCs w:val="20"/>
        </w:rPr>
      </w:pPr>
    </w:p>
    <w:p w14:paraId="2819CE25" w14:textId="77777777" w:rsidR="004647B9" w:rsidRDefault="00E2436F">
      <w:pPr>
        <w:spacing w:line="298" w:lineRule="auto"/>
        <w:ind w:left="1200"/>
        <w:jc w:val="both"/>
        <w:rPr>
          <w:sz w:val="20"/>
          <w:szCs w:val="20"/>
        </w:rPr>
      </w:pPr>
      <w:r>
        <w:rPr>
          <w:rFonts w:eastAsia="Times New Roman"/>
          <w:sz w:val="23"/>
          <w:szCs w:val="23"/>
          <w:u w:val="single"/>
        </w:rPr>
        <w:t>Approved Examiner</w:t>
      </w:r>
      <w:r>
        <w:rPr>
          <w:rFonts w:eastAsia="Times New Roman"/>
          <w:sz w:val="23"/>
          <w:szCs w:val="23"/>
        </w:rPr>
        <w:t xml:space="preserve"> means an individual authorized in writing by the Department to administer written and practical certification examinations at a recognized training institution.</w:t>
      </w:r>
    </w:p>
    <w:p w14:paraId="2819CE26" w14:textId="77777777" w:rsidR="004647B9" w:rsidRDefault="004647B9">
      <w:pPr>
        <w:spacing w:line="183" w:lineRule="exact"/>
        <w:rPr>
          <w:sz w:val="20"/>
          <w:szCs w:val="20"/>
        </w:rPr>
      </w:pPr>
    </w:p>
    <w:p w14:paraId="2819CE27" w14:textId="77777777" w:rsidR="004647B9" w:rsidRDefault="00E2436F">
      <w:pPr>
        <w:spacing w:line="273" w:lineRule="auto"/>
        <w:ind w:left="1200"/>
        <w:jc w:val="both"/>
        <w:rPr>
          <w:sz w:val="20"/>
          <w:szCs w:val="20"/>
        </w:rPr>
      </w:pPr>
      <w:r>
        <w:rPr>
          <w:rFonts w:eastAsia="Times New Roman"/>
          <w:sz w:val="24"/>
          <w:szCs w:val="24"/>
          <w:u w:val="single"/>
        </w:rPr>
        <w:t>Atmospheric Vacuum Breaker</w:t>
      </w:r>
      <w:r>
        <w:rPr>
          <w:rFonts w:eastAsia="Times New Roman"/>
          <w:sz w:val="24"/>
          <w:szCs w:val="24"/>
        </w:rPr>
        <w:t xml:space="preserve"> means an approved backflow device used to prevent back siphonage which is not designed for use under static line pressure.</w:t>
      </w:r>
    </w:p>
    <w:p w14:paraId="2819CE28" w14:textId="77777777" w:rsidR="004647B9" w:rsidRDefault="004647B9">
      <w:pPr>
        <w:spacing w:line="210" w:lineRule="exact"/>
        <w:rPr>
          <w:sz w:val="20"/>
          <w:szCs w:val="20"/>
        </w:rPr>
      </w:pPr>
    </w:p>
    <w:p w14:paraId="2819CE29" w14:textId="77777777" w:rsidR="004647B9" w:rsidRDefault="00E2436F">
      <w:pPr>
        <w:spacing w:line="275" w:lineRule="auto"/>
        <w:ind w:left="1200"/>
        <w:jc w:val="both"/>
        <w:rPr>
          <w:sz w:val="20"/>
          <w:szCs w:val="20"/>
        </w:rPr>
      </w:pPr>
      <w:r>
        <w:rPr>
          <w:rFonts w:eastAsia="Times New Roman"/>
          <w:sz w:val="24"/>
          <w:szCs w:val="24"/>
          <w:u w:val="single"/>
        </w:rPr>
        <w:t>Audit</w:t>
      </w:r>
      <w:r>
        <w:rPr>
          <w:rFonts w:eastAsia="Times New Roman"/>
          <w:sz w:val="24"/>
          <w:szCs w:val="24"/>
        </w:rPr>
        <w:t xml:space="preserve"> means a review of a Public Water System's implementation of its cross connection program to evaluate its effectiveness in distributing safe drinking water.</w:t>
      </w:r>
    </w:p>
    <w:p w14:paraId="2819CE2A" w14:textId="77777777" w:rsidR="004647B9" w:rsidRDefault="004647B9">
      <w:pPr>
        <w:spacing w:line="208" w:lineRule="exact"/>
        <w:rPr>
          <w:sz w:val="20"/>
          <w:szCs w:val="20"/>
        </w:rPr>
      </w:pPr>
    </w:p>
    <w:p w14:paraId="2819CE2B" w14:textId="77777777" w:rsidR="004647B9" w:rsidRDefault="00E2436F">
      <w:pPr>
        <w:spacing w:line="296" w:lineRule="auto"/>
        <w:ind w:left="1200"/>
        <w:jc w:val="both"/>
        <w:rPr>
          <w:sz w:val="20"/>
          <w:szCs w:val="20"/>
        </w:rPr>
      </w:pPr>
      <w:r>
        <w:rPr>
          <w:rFonts w:eastAsia="Times New Roman"/>
          <w:sz w:val="23"/>
          <w:szCs w:val="23"/>
          <w:u w:val="single"/>
        </w:rPr>
        <w:t>Back Pressure</w:t>
      </w:r>
      <w:r>
        <w:rPr>
          <w:rFonts w:eastAsia="Times New Roman"/>
          <w:sz w:val="23"/>
          <w:szCs w:val="23"/>
        </w:rPr>
        <w:t xml:space="preserve"> means pressure created by mechanical means or other means which causes water or other liquids or substances to flow or move in a direction opposite to that which is intended.</w:t>
      </w:r>
    </w:p>
    <w:p w14:paraId="2819CE2C" w14:textId="77777777" w:rsidR="004647B9" w:rsidRDefault="004647B9">
      <w:pPr>
        <w:spacing w:line="185" w:lineRule="exact"/>
        <w:rPr>
          <w:sz w:val="20"/>
          <w:szCs w:val="20"/>
        </w:rPr>
      </w:pPr>
    </w:p>
    <w:p w14:paraId="2819CE2D" w14:textId="77777777" w:rsidR="004647B9" w:rsidRDefault="00E2436F">
      <w:pPr>
        <w:spacing w:line="275" w:lineRule="auto"/>
        <w:ind w:left="1200"/>
        <w:jc w:val="both"/>
        <w:rPr>
          <w:sz w:val="20"/>
          <w:szCs w:val="20"/>
        </w:rPr>
      </w:pPr>
      <w:r>
        <w:rPr>
          <w:rFonts w:eastAsia="Times New Roman"/>
          <w:sz w:val="24"/>
          <w:szCs w:val="24"/>
          <w:u w:val="single"/>
        </w:rPr>
        <w:t>Back Siphonage</w:t>
      </w:r>
      <w:r>
        <w:rPr>
          <w:rFonts w:eastAsia="Times New Roman"/>
          <w:sz w:val="24"/>
          <w:szCs w:val="24"/>
        </w:rPr>
        <w:t xml:space="preserve"> means a form of backflow due to reduced or sub-atmospheric pressure within a water system.</w:t>
      </w:r>
    </w:p>
    <w:p w14:paraId="2819CE2E" w14:textId="77777777" w:rsidR="004647B9" w:rsidRDefault="004647B9">
      <w:pPr>
        <w:spacing w:line="208" w:lineRule="exact"/>
        <w:rPr>
          <w:sz w:val="20"/>
          <w:szCs w:val="20"/>
        </w:rPr>
      </w:pPr>
    </w:p>
    <w:p w14:paraId="2819CE2F" w14:textId="77777777" w:rsidR="004647B9" w:rsidRDefault="00E2436F">
      <w:pPr>
        <w:spacing w:line="273" w:lineRule="auto"/>
        <w:ind w:left="1200"/>
        <w:jc w:val="both"/>
        <w:rPr>
          <w:sz w:val="20"/>
          <w:szCs w:val="20"/>
        </w:rPr>
      </w:pPr>
      <w:r>
        <w:rPr>
          <w:rFonts w:eastAsia="Times New Roman"/>
          <w:sz w:val="24"/>
          <w:szCs w:val="24"/>
          <w:u w:val="single"/>
        </w:rPr>
        <w:t>Backflow</w:t>
      </w:r>
      <w:r>
        <w:rPr>
          <w:rFonts w:eastAsia="Times New Roman"/>
          <w:sz w:val="24"/>
          <w:szCs w:val="24"/>
        </w:rPr>
        <w:t xml:space="preserve"> means the flow of water or other liquids, mixtures or substances into the distribution pipes of a potable water supply from any source other than the intended source.</w:t>
      </w:r>
    </w:p>
    <w:p w14:paraId="2819CE30" w14:textId="77777777" w:rsidR="004647B9" w:rsidRDefault="004647B9">
      <w:pPr>
        <w:spacing w:line="210" w:lineRule="exact"/>
        <w:rPr>
          <w:sz w:val="20"/>
          <w:szCs w:val="20"/>
        </w:rPr>
      </w:pPr>
    </w:p>
    <w:p w14:paraId="2819CE31" w14:textId="77777777" w:rsidR="004647B9" w:rsidRDefault="00E2436F">
      <w:pPr>
        <w:spacing w:line="268" w:lineRule="auto"/>
        <w:ind w:left="1200"/>
        <w:jc w:val="both"/>
        <w:rPr>
          <w:sz w:val="20"/>
          <w:szCs w:val="20"/>
        </w:rPr>
      </w:pPr>
      <w:r>
        <w:rPr>
          <w:rFonts w:eastAsia="Times New Roman"/>
          <w:sz w:val="23"/>
          <w:szCs w:val="23"/>
          <w:u w:val="single"/>
        </w:rPr>
        <w:t>Backflow Preventer with Intermediate Atmospheric Vent</w:t>
      </w:r>
      <w:r>
        <w:rPr>
          <w:rFonts w:eastAsia="Times New Roman"/>
          <w:sz w:val="23"/>
          <w:szCs w:val="23"/>
        </w:rPr>
        <w:t xml:space="preserve"> means a non testable device having two independently operating check valves separated by an intermediate chamber with a means for automatically venting it to the atmosphere, in which the check valves are force loaded to a normally closed position and the venting means is forced loaded to a normally open position.</w:t>
      </w:r>
    </w:p>
    <w:p w14:paraId="2819CE32" w14:textId="77777777" w:rsidR="004647B9" w:rsidRDefault="004647B9">
      <w:pPr>
        <w:spacing w:line="218" w:lineRule="exact"/>
        <w:rPr>
          <w:sz w:val="20"/>
          <w:szCs w:val="20"/>
        </w:rPr>
      </w:pPr>
    </w:p>
    <w:p w14:paraId="2819CE33" w14:textId="77777777" w:rsidR="004647B9" w:rsidRDefault="00E2436F">
      <w:pPr>
        <w:spacing w:line="273" w:lineRule="auto"/>
        <w:ind w:left="1200"/>
        <w:jc w:val="both"/>
        <w:rPr>
          <w:sz w:val="20"/>
          <w:szCs w:val="20"/>
        </w:rPr>
      </w:pPr>
      <w:r>
        <w:rPr>
          <w:rFonts w:eastAsia="Times New Roman"/>
          <w:sz w:val="24"/>
          <w:szCs w:val="24"/>
          <w:u w:val="single"/>
        </w:rPr>
        <w:t>Backflow Prevention Device Tester</w:t>
      </w:r>
      <w:r>
        <w:rPr>
          <w:rFonts w:eastAsia="Times New Roman"/>
          <w:sz w:val="24"/>
          <w:szCs w:val="24"/>
        </w:rPr>
        <w:t xml:space="preserve"> means an individual who is certified by the Department as a Massachusetts Backflow Prevention Device Tester.</w:t>
      </w:r>
    </w:p>
    <w:p w14:paraId="2819CE34" w14:textId="77777777" w:rsidR="004647B9" w:rsidRDefault="004647B9">
      <w:pPr>
        <w:spacing w:line="210" w:lineRule="exact"/>
        <w:rPr>
          <w:sz w:val="20"/>
          <w:szCs w:val="20"/>
        </w:rPr>
      </w:pPr>
    </w:p>
    <w:p w14:paraId="2819CE35" w14:textId="77777777" w:rsidR="004647B9" w:rsidRDefault="00E2436F">
      <w:pPr>
        <w:spacing w:line="275" w:lineRule="auto"/>
        <w:ind w:left="1200"/>
        <w:jc w:val="both"/>
        <w:rPr>
          <w:sz w:val="20"/>
          <w:szCs w:val="20"/>
        </w:rPr>
      </w:pPr>
      <w:r>
        <w:rPr>
          <w:rFonts w:eastAsia="Times New Roman"/>
          <w:sz w:val="24"/>
          <w:szCs w:val="24"/>
          <w:u w:val="single"/>
        </w:rPr>
        <w:t>Barometric Loop</w:t>
      </w:r>
      <w:r>
        <w:rPr>
          <w:rFonts w:eastAsia="Times New Roman"/>
          <w:sz w:val="24"/>
          <w:szCs w:val="24"/>
        </w:rPr>
        <w:t xml:space="preserve"> means a loop of pipe rising at least 35 feet, at its topmost point, above the highest fixture it supplies for the protection of back siphonage.</w:t>
      </w:r>
    </w:p>
    <w:p w14:paraId="2819CE36" w14:textId="77777777" w:rsidR="004647B9" w:rsidRDefault="004647B9">
      <w:pPr>
        <w:sectPr w:rsidR="004647B9" w:rsidSect="00EF630C">
          <w:pgSz w:w="12240" w:h="20180"/>
          <w:pgMar w:top="708" w:right="1440" w:bottom="980" w:left="600" w:header="0" w:footer="0" w:gutter="0"/>
          <w:cols w:space="720" w:equalWidth="0">
            <w:col w:w="10200"/>
          </w:cols>
        </w:sectPr>
      </w:pPr>
    </w:p>
    <w:p w14:paraId="2819CE37" w14:textId="77777777" w:rsidR="004647B9" w:rsidRDefault="00E2436F">
      <w:pPr>
        <w:tabs>
          <w:tab w:val="left" w:pos="160"/>
        </w:tabs>
        <w:jc w:val="center"/>
        <w:rPr>
          <w:sz w:val="20"/>
          <w:szCs w:val="20"/>
        </w:rPr>
      </w:pPr>
      <w:bookmarkStart w:id="16" w:name="page17"/>
      <w:bookmarkEnd w:id="1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E38" w14:textId="77777777" w:rsidR="004647B9" w:rsidRDefault="004647B9">
      <w:pPr>
        <w:spacing w:line="200" w:lineRule="exact"/>
        <w:rPr>
          <w:sz w:val="20"/>
          <w:szCs w:val="20"/>
        </w:rPr>
      </w:pPr>
    </w:p>
    <w:p w14:paraId="2819CE39" w14:textId="77777777" w:rsidR="004647B9" w:rsidRDefault="004647B9">
      <w:pPr>
        <w:spacing w:line="323" w:lineRule="exact"/>
        <w:rPr>
          <w:sz w:val="20"/>
          <w:szCs w:val="20"/>
        </w:rPr>
      </w:pPr>
    </w:p>
    <w:p w14:paraId="2819CE3A"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E3B" w14:textId="77777777" w:rsidR="004647B9" w:rsidRDefault="004647B9">
      <w:pPr>
        <w:spacing w:line="283" w:lineRule="exact"/>
        <w:rPr>
          <w:sz w:val="20"/>
          <w:szCs w:val="20"/>
        </w:rPr>
      </w:pPr>
    </w:p>
    <w:p w14:paraId="2819CE3C" w14:textId="77777777" w:rsidR="004647B9" w:rsidRDefault="00E2436F">
      <w:pPr>
        <w:spacing w:line="258" w:lineRule="auto"/>
        <w:ind w:left="1200"/>
        <w:jc w:val="both"/>
        <w:rPr>
          <w:sz w:val="20"/>
          <w:szCs w:val="20"/>
        </w:rPr>
      </w:pPr>
      <w:r>
        <w:rPr>
          <w:rFonts w:eastAsia="Times New Roman"/>
          <w:sz w:val="24"/>
          <w:szCs w:val="24"/>
          <w:u w:val="single"/>
        </w:rPr>
        <w:t>Certification Examination</w:t>
      </w:r>
      <w:r>
        <w:rPr>
          <w:rFonts w:eastAsia="Times New Roman"/>
          <w:sz w:val="24"/>
          <w:szCs w:val="24"/>
        </w:rPr>
        <w:t xml:space="preserve"> means an examination approved by the Department for the purpose of testing competency in all areas of cross connection control and backflow prevention device testing.</w:t>
      </w:r>
    </w:p>
    <w:p w14:paraId="2819CE3D" w14:textId="77777777" w:rsidR="004647B9" w:rsidRDefault="004647B9">
      <w:pPr>
        <w:spacing w:line="228" w:lineRule="exact"/>
        <w:rPr>
          <w:sz w:val="20"/>
          <w:szCs w:val="20"/>
        </w:rPr>
      </w:pPr>
    </w:p>
    <w:p w14:paraId="2819CE3E" w14:textId="77777777" w:rsidR="004647B9" w:rsidRDefault="00E2436F">
      <w:pPr>
        <w:spacing w:line="273" w:lineRule="auto"/>
        <w:ind w:left="1200"/>
        <w:jc w:val="both"/>
        <w:rPr>
          <w:sz w:val="20"/>
          <w:szCs w:val="20"/>
        </w:rPr>
      </w:pPr>
      <w:r>
        <w:rPr>
          <w:rFonts w:eastAsia="Times New Roman"/>
          <w:sz w:val="24"/>
          <w:szCs w:val="24"/>
          <w:u w:val="single"/>
        </w:rPr>
        <w:t>Certified Backflow Prevention Device Tester</w:t>
      </w:r>
      <w:r>
        <w:rPr>
          <w:rFonts w:eastAsia="Times New Roman"/>
          <w:sz w:val="24"/>
          <w:szCs w:val="24"/>
        </w:rPr>
        <w:t xml:space="preserve"> means an individual who holds a valid Massachusetts Backflow Prevention Device Tester's Certificate issued by the Department.</w:t>
      </w:r>
    </w:p>
    <w:p w14:paraId="2819CE3F" w14:textId="77777777" w:rsidR="004647B9" w:rsidRDefault="004647B9">
      <w:pPr>
        <w:spacing w:line="210" w:lineRule="exact"/>
        <w:rPr>
          <w:sz w:val="20"/>
          <w:szCs w:val="20"/>
        </w:rPr>
      </w:pPr>
    </w:p>
    <w:p w14:paraId="2819CE40" w14:textId="77777777" w:rsidR="004647B9" w:rsidRDefault="00E2436F">
      <w:pPr>
        <w:spacing w:line="275" w:lineRule="auto"/>
        <w:ind w:left="1200"/>
        <w:jc w:val="both"/>
        <w:rPr>
          <w:sz w:val="20"/>
          <w:szCs w:val="20"/>
        </w:rPr>
      </w:pPr>
      <w:r>
        <w:rPr>
          <w:rFonts w:eastAsia="Times New Roman"/>
          <w:sz w:val="24"/>
          <w:szCs w:val="24"/>
          <w:u w:val="single"/>
        </w:rPr>
        <w:t>Contaminant</w:t>
      </w:r>
      <w:r>
        <w:rPr>
          <w:rFonts w:eastAsia="Times New Roman"/>
          <w:sz w:val="24"/>
          <w:szCs w:val="24"/>
        </w:rPr>
        <w:t xml:space="preserve"> means any physical, chemical, biological or radiological substance or matter in water.</w:t>
      </w:r>
    </w:p>
    <w:p w14:paraId="2819CE41" w14:textId="77777777" w:rsidR="004647B9" w:rsidRDefault="004647B9">
      <w:pPr>
        <w:spacing w:line="208" w:lineRule="exact"/>
        <w:rPr>
          <w:sz w:val="20"/>
          <w:szCs w:val="20"/>
        </w:rPr>
      </w:pPr>
    </w:p>
    <w:p w14:paraId="2819CE42" w14:textId="77777777" w:rsidR="004647B9" w:rsidRDefault="00E2436F">
      <w:pPr>
        <w:spacing w:line="253" w:lineRule="auto"/>
        <w:ind w:left="1200"/>
        <w:jc w:val="both"/>
        <w:rPr>
          <w:sz w:val="20"/>
          <w:szCs w:val="20"/>
        </w:rPr>
      </w:pPr>
      <w:r>
        <w:rPr>
          <w:rFonts w:eastAsia="Times New Roman"/>
          <w:sz w:val="24"/>
          <w:szCs w:val="24"/>
          <w:u w:val="single"/>
        </w:rPr>
        <w:t>Cross Connection</w:t>
      </w:r>
      <w:r>
        <w:rPr>
          <w:rFonts w:eastAsia="Times New Roman"/>
          <w:sz w:val="24"/>
          <w:szCs w:val="24"/>
        </w:rPr>
        <w:t xml:space="preserve"> means any actual or potential physical connection or arrangement between a pipe conveying potable water from a Public Water System and any non-potable water supply, piping arrangement or equipment including, but not limited to, waste pipe, soil pipe, sewer, drain, other unapproved sources.</w:t>
      </w:r>
    </w:p>
    <w:p w14:paraId="2819CE43" w14:textId="77777777" w:rsidR="004647B9" w:rsidRDefault="004647B9">
      <w:pPr>
        <w:spacing w:line="233" w:lineRule="exact"/>
        <w:rPr>
          <w:sz w:val="20"/>
          <w:szCs w:val="20"/>
        </w:rPr>
      </w:pPr>
    </w:p>
    <w:p w14:paraId="2819CE44" w14:textId="77777777" w:rsidR="004647B9" w:rsidRDefault="00E2436F">
      <w:pPr>
        <w:spacing w:line="258" w:lineRule="auto"/>
        <w:ind w:left="1200"/>
        <w:jc w:val="both"/>
        <w:rPr>
          <w:sz w:val="20"/>
          <w:szCs w:val="20"/>
        </w:rPr>
      </w:pPr>
      <w:r>
        <w:rPr>
          <w:rFonts w:eastAsia="Times New Roman"/>
          <w:sz w:val="24"/>
          <w:szCs w:val="24"/>
          <w:u w:val="single"/>
        </w:rPr>
        <w:t>Cross Connection Program Plan</w:t>
      </w:r>
      <w:r>
        <w:rPr>
          <w:rFonts w:eastAsia="Times New Roman"/>
          <w:sz w:val="24"/>
          <w:szCs w:val="24"/>
        </w:rPr>
        <w:t xml:space="preserve"> means a plan submitted to the Department by the water supplier describing the current and proposed cross connection program and including information on staffing, training, testing, surveying, fee structure, </w:t>
      </w:r>
      <w:r>
        <w:rPr>
          <w:rFonts w:eastAsia="Times New Roman"/>
          <w:i/>
          <w:iCs/>
          <w:sz w:val="24"/>
          <w:szCs w:val="24"/>
        </w:rPr>
        <w:t>etc</w:t>
      </w:r>
      <w:r>
        <w:rPr>
          <w:rFonts w:eastAsia="Times New Roman"/>
          <w:sz w:val="24"/>
          <w:szCs w:val="24"/>
        </w:rPr>
        <w:t>.</w:t>
      </w:r>
    </w:p>
    <w:p w14:paraId="2819CE45" w14:textId="77777777" w:rsidR="004647B9" w:rsidRDefault="004647B9">
      <w:pPr>
        <w:spacing w:line="228" w:lineRule="exact"/>
        <w:rPr>
          <w:sz w:val="20"/>
          <w:szCs w:val="20"/>
        </w:rPr>
      </w:pPr>
    </w:p>
    <w:p w14:paraId="2819CE46" w14:textId="77777777" w:rsidR="004647B9" w:rsidRDefault="00E2436F">
      <w:pPr>
        <w:spacing w:line="275" w:lineRule="auto"/>
        <w:ind w:left="1200"/>
        <w:jc w:val="both"/>
        <w:rPr>
          <w:sz w:val="20"/>
          <w:szCs w:val="20"/>
        </w:rPr>
      </w:pPr>
      <w:r>
        <w:rPr>
          <w:rFonts w:eastAsia="Times New Roman"/>
          <w:sz w:val="24"/>
          <w:szCs w:val="24"/>
          <w:u w:val="single"/>
        </w:rPr>
        <w:t>Cross Connection Surveyor</w:t>
      </w:r>
      <w:r>
        <w:rPr>
          <w:rFonts w:eastAsia="Times New Roman"/>
          <w:sz w:val="24"/>
          <w:szCs w:val="24"/>
        </w:rPr>
        <w:t xml:space="preserve"> means a Person who is certified by the Department as a Massachusetts Cross Connection Surveyor.</w:t>
      </w:r>
    </w:p>
    <w:p w14:paraId="2819CE47" w14:textId="77777777" w:rsidR="004647B9" w:rsidRDefault="004647B9">
      <w:pPr>
        <w:spacing w:line="208" w:lineRule="exact"/>
        <w:rPr>
          <w:sz w:val="20"/>
          <w:szCs w:val="20"/>
        </w:rPr>
      </w:pPr>
    </w:p>
    <w:p w14:paraId="2819CE48" w14:textId="77777777" w:rsidR="004647B9" w:rsidRDefault="00E2436F">
      <w:pPr>
        <w:spacing w:line="258" w:lineRule="auto"/>
        <w:ind w:left="1200"/>
        <w:jc w:val="both"/>
        <w:rPr>
          <w:sz w:val="20"/>
          <w:szCs w:val="20"/>
        </w:rPr>
      </w:pPr>
      <w:r>
        <w:rPr>
          <w:rFonts w:eastAsia="Times New Roman"/>
          <w:sz w:val="24"/>
          <w:szCs w:val="24"/>
          <w:u w:val="single"/>
        </w:rPr>
        <w:t>Cross Connection Violation Form</w:t>
      </w:r>
      <w:r>
        <w:rPr>
          <w:rFonts w:eastAsia="Times New Roman"/>
          <w:sz w:val="24"/>
          <w:szCs w:val="24"/>
        </w:rPr>
        <w:t xml:space="preserve"> means a violation form which is sent to the owner by the water supplier with copies to the plumbing inspectors and Board of Health delineating cross connection violations found on the owner's premises and a procedure for corrective action.</w:t>
      </w:r>
    </w:p>
    <w:p w14:paraId="2819CE49" w14:textId="77777777" w:rsidR="004647B9" w:rsidRDefault="004647B9">
      <w:pPr>
        <w:spacing w:line="228" w:lineRule="exact"/>
        <w:rPr>
          <w:sz w:val="20"/>
          <w:szCs w:val="20"/>
        </w:rPr>
      </w:pPr>
    </w:p>
    <w:p w14:paraId="2819CE4A" w14:textId="77777777" w:rsidR="004647B9" w:rsidRDefault="00E2436F">
      <w:pPr>
        <w:spacing w:line="258" w:lineRule="auto"/>
        <w:ind w:left="1200"/>
        <w:jc w:val="both"/>
        <w:rPr>
          <w:sz w:val="20"/>
          <w:szCs w:val="20"/>
        </w:rPr>
      </w:pPr>
      <w:r>
        <w:rPr>
          <w:rFonts w:eastAsia="Times New Roman"/>
          <w:sz w:val="24"/>
          <w:szCs w:val="24"/>
          <w:u w:val="single"/>
        </w:rPr>
        <w:t>Department's Designee</w:t>
      </w:r>
      <w:r>
        <w:rPr>
          <w:rFonts w:eastAsia="Times New Roman"/>
          <w:sz w:val="24"/>
          <w:szCs w:val="24"/>
        </w:rPr>
        <w:t xml:space="preserve"> or </w:t>
      </w:r>
      <w:r>
        <w:rPr>
          <w:rFonts w:eastAsia="Times New Roman"/>
          <w:sz w:val="24"/>
          <w:szCs w:val="24"/>
          <w:u w:val="single"/>
        </w:rPr>
        <w:t>Designee</w:t>
      </w:r>
      <w:r>
        <w:rPr>
          <w:rFonts w:eastAsia="Times New Roman"/>
          <w:sz w:val="24"/>
          <w:szCs w:val="24"/>
        </w:rPr>
        <w:t xml:space="preserve"> means any water supplier to whom, upon written request of said water supplier, the Department delegates any portion of its authority to act under 310 CMR 22.22.</w:t>
      </w:r>
    </w:p>
    <w:p w14:paraId="2819CE4B" w14:textId="77777777" w:rsidR="004647B9" w:rsidRDefault="004647B9">
      <w:pPr>
        <w:spacing w:line="228" w:lineRule="exact"/>
        <w:rPr>
          <w:sz w:val="20"/>
          <w:szCs w:val="20"/>
        </w:rPr>
      </w:pPr>
    </w:p>
    <w:p w14:paraId="2819CE4C" w14:textId="77777777" w:rsidR="004647B9" w:rsidRDefault="00E2436F">
      <w:pPr>
        <w:spacing w:line="253" w:lineRule="auto"/>
        <w:ind w:left="1200"/>
        <w:jc w:val="both"/>
        <w:rPr>
          <w:sz w:val="20"/>
          <w:szCs w:val="20"/>
        </w:rPr>
      </w:pPr>
      <w:r>
        <w:rPr>
          <w:rFonts w:eastAsia="Times New Roman"/>
          <w:sz w:val="24"/>
          <w:szCs w:val="24"/>
          <w:u w:val="single"/>
        </w:rPr>
        <w:t>Design Data Sheet</w:t>
      </w:r>
      <w:r>
        <w:rPr>
          <w:rFonts w:eastAsia="Times New Roman"/>
          <w:sz w:val="24"/>
          <w:szCs w:val="24"/>
        </w:rPr>
        <w:t xml:space="preserve"> means a report form submitted to the Department or its Designee along with plans for each installation of a reduced pressure backflow preventer or double check valve assembly, or for each change to any such device already installed, describing and showing the details of the specific installation.</w:t>
      </w:r>
    </w:p>
    <w:p w14:paraId="2819CE4D" w14:textId="77777777" w:rsidR="004647B9" w:rsidRDefault="004647B9">
      <w:pPr>
        <w:spacing w:line="233" w:lineRule="exact"/>
        <w:rPr>
          <w:sz w:val="20"/>
          <w:szCs w:val="20"/>
        </w:rPr>
      </w:pPr>
    </w:p>
    <w:p w14:paraId="2819CE4E" w14:textId="77777777" w:rsidR="004647B9" w:rsidRDefault="00E2436F">
      <w:pPr>
        <w:spacing w:line="258" w:lineRule="auto"/>
        <w:ind w:left="1200"/>
        <w:jc w:val="both"/>
        <w:rPr>
          <w:sz w:val="20"/>
          <w:szCs w:val="20"/>
        </w:rPr>
      </w:pPr>
      <w:r>
        <w:rPr>
          <w:rFonts w:eastAsia="Times New Roman"/>
          <w:sz w:val="24"/>
          <w:szCs w:val="24"/>
          <w:u w:val="single"/>
        </w:rPr>
        <w:t>Double Check Valve Assembly</w:t>
      </w:r>
      <w:r>
        <w:rPr>
          <w:rFonts w:eastAsia="Times New Roman"/>
          <w:sz w:val="24"/>
          <w:szCs w:val="24"/>
        </w:rPr>
        <w:t xml:space="preserve"> means a Department approved testable backflow prevention device that incorporates an assembly of check valves, with shut-off valves at each end and appurtenances for testing.</w:t>
      </w:r>
    </w:p>
    <w:p w14:paraId="2819CE4F" w14:textId="77777777" w:rsidR="004647B9" w:rsidRDefault="004647B9">
      <w:pPr>
        <w:spacing w:line="228" w:lineRule="exact"/>
        <w:rPr>
          <w:sz w:val="20"/>
          <w:szCs w:val="20"/>
        </w:rPr>
      </w:pPr>
    </w:p>
    <w:p w14:paraId="2819CE50" w14:textId="77777777" w:rsidR="004647B9" w:rsidRDefault="00E2436F">
      <w:pPr>
        <w:spacing w:line="258" w:lineRule="auto"/>
        <w:ind w:left="1200"/>
        <w:jc w:val="both"/>
        <w:rPr>
          <w:sz w:val="20"/>
          <w:szCs w:val="20"/>
        </w:rPr>
      </w:pPr>
      <w:r>
        <w:rPr>
          <w:rFonts w:eastAsia="Times New Roman"/>
          <w:sz w:val="24"/>
          <w:szCs w:val="24"/>
          <w:u w:val="single"/>
        </w:rPr>
        <w:t>Health Hazard</w:t>
      </w:r>
      <w:r>
        <w:rPr>
          <w:rFonts w:eastAsia="Times New Roman"/>
          <w:sz w:val="24"/>
          <w:szCs w:val="24"/>
        </w:rPr>
        <w:t xml:space="preserve"> means an actual or potential threat of contamination to the potable water in a Public Water System, which, in the opinion of the Department or its Designee would endanger health.</w:t>
      </w:r>
    </w:p>
    <w:p w14:paraId="2819CE51" w14:textId="77777777" w:rsidR="004647B9" w:rsidRDefault="004647B9">
      <w:pPr>
        <w:spacing w:line="228" w:lineRule="exact"/>
        <w:rPr>
          <w:sz w:val="20"/>
          <w:szCs w:val="20"/>
        </w:rPr>
      </w:pPr>
    </w:p>
    <w:p w14:paraId="2819CE52" w14:textId="77777777" w:rsidR="004647B9" w:rsidRDefault="00E2436F">
      <w:pPr>
        <w:spacing w:line="275" w:lineRule="auto"/>
        <w:ind w:left="1200"/>
        <w:jc w:val="both"/>
        <w:rPr>
          <w:sz w:val="20"/>
          <w:szCs w:val="20"/>
        </w:rPr>
      </w:pPr>
      <w:r>
        <w:rPr>
          <w:rFonts w:eastAsia="Times New Roman"/>
          <w:sz w:val="24"/>
          <w:szCs w:val="24"/>
          <w:u w:val="single"/>
        </w:rPr>
        <w:t>Hose Bibb Vacuum Breaker</w:t>
      </w:r>
      <w:r>
        <w:rPr>
          <w:rFonts w:eastAsia="Times New Roman"/>
          <w:sz w:val="24"/>
          <w:szCs w:val="24"/>
        </w:rPr>
        <w:t xml:space="preserve"> means an atmospheric vacuum breaker designed to be used on outlets with hose connection thread.</w:t>
      </w:r>
    </w:p>
    <w:p w14:paraId="2819CE53" w14:textId="77777777" w:rsidR="004647B9" w:rsidRDefault="004647B9">
      <w:pPr>
        <w:spacing w:line="208" w:lineRule="exact"/>
        <w:rPr>
          <w:sz w:val="20"/>
          <w:szCs w:val="20"/>
        </w:rPr>
      </w:pPr>
    </w:p>
    <w:p w14:paraId="2819CE54" w14:textId="77777777" w:rsidR="004647B9" w:rsidRDefault="00E2436F">
      <w:pPr>
        <w:spacing w:line="258" w:lineRule="auto"/>
        <w:ind w:left="1200"/>
        <w:jc w:val="both"/>
        <w:rPr>
          <w:sz w:val="20"/>
          <w:szCs w:val="20"/>
        </w:rPr>
      </w:pPr>
      <w:r>
        <w:rPr>
          <w:rFonts w:eastAsia="Times New Roman"/>
          <w:sz w:val="24"/>
          <w:szCs w:val="24"/>
          <w:u w:val="single"/>
        </w:rPr>
        <w:t>In-plant Protection</w:t>
      </w:r>
      <w:r>
        <w:rPr>
          <w:rFonts w:eastAsia="Times New Roman"/>
          <w:sz w:val="24"/>
          <w:szCs w:val="24"/>
        </w:rPr>
        <w:t xml:space="preserve"> means the location of approved backflow prevention devices in a manner, which provides protection of the consumers of water and the potable water system within the premises.</w:t>
      </w:r>
    </w:p>
    <w:p w14:paraId="2819CE55" w14:textId="77777777" w:rsidR="004647B9" w:rsidRDefault="004647B9">
      <w:pPr>
        <w:spacing w:line="228" w:lineRule="exact"/>
        <w:rPr>
          <w:sz w:val="20"/>
          <w:szCs w:val="20"/>
        </w:rPr>
      </w:pPr>
    </w:p>
    <w:p w14:paraId="2819CE56" w14:textId="77777777" w:rsidR="004647B9" w:rsidRDefault="00E2436F">
      <w:pPr>
        <w:spacing w:line="253" w:lineRule="auto"/>
        <w:ind w:left="1200"/>
        <w:jc w:val="both"/>
        <w:rPr>
          <w:sz w:val="20"/>
          <w:szCs w:val="20"/>
        </w:rPr>
      </w:pPr>
      <w:r>
        <w:rPr>
          <w:rFonts w:eastAsia="Times New Roman"/>
          <w:sz w:val="24"/>
          <w:szCs w:val="24"/>
          <w:u w:val="single"/>
        </w:rPr>
        <w:t>Inspection</w:t>
      </w:r>
      <w:r>
        <w:rPr>
          <w:rFonts w:eastAsia="Times New Roman"/>
          <w:sz w:val="24"/>
          <w:szCs w:val="24"/>
        </w:rPr>
        <w:t xml:space="preserve"> means an on-site inspection and survey by a qualified individual to determine the existence and location of cross connections and/or the physical examination and testing of an installed backflow prevention device to verify that the backflow prevention device is functioning properly.</w:t>
      </w:r>
    </w:p>
    <w:p w14:paraId="2819CE57" w14:textId="77777777" w:rsidR="004647B9" w:rsidRDefault="004647B9">
      <w:pPr>
        <w:spacing w:line="233" w:lineRule="exact"/>
        <w:rPr>
          <w:sz w:val="20"/>
          <w:szCs w:val="20"/>
        </w:rPr>
      </w:pPr>
    </w:p>
    <w:p w14:paraId="2819CE58" w14:textId="77777777" w:rsidR="004647B9" w:rsidRPr="00E24D10" w:rsidRDefault="00E2436F">
      <w:pPr>
        <w:spacing w:line="298" w:lineRule="auto"/>
        <w:ind w:left="1200"/>
        <w:jc w:val="both"/>
        <w:rPr>
          <w:sz w:val="24"/>
          <w:szCs w:val="24"/>
        </w:rPr>
      </w:pPr>
      <w:r w:rsidRPr="00E24D10">
        <w:rPr>
          <w:rFonts w:eastAsia="Times New Roman"/>
          <w:sz w:val="24"/>
          <w:szCs w:val="24"/>
          <w:u w:val="single"/>
        </w:rPr>
        <w:t>Inspection and Maintenance Report Form</w:t>
      </w:r>
      <w:r w:rsidRPr="00E24D10">
        <w:rPr>
          <w:rFonts w:eastAsia="Times New Roman"/>
          <w:sz w:val="24"/>
          <w:szCs w:val="24"/>
        </w:rPr>
        <w:t xml:space="preserve"> means a report form, designated by the Department, which is to be used by certified testers to record all pertinent testing information.</w:t>
      </w:r>
    </w:p>
    <w:p w14:paraId="2819CE59" w14:textId="77777777" w:rsidR="004647B9" w:rsidRDefault="004647B9">
      <w:pPr>
        <w:spacing w:line="183" w:lineRule="exact"/>
        <w:rPr>
          <w:sz w:val="20"/>
          <w:szCs w:val="20"/>
        </w:rPr>
      </w:pPr>
    </w:p>
    <w:p w14:paraId="2819CE5A" w14:textId="77777777" w:rsidR="004647B9" w:rsidRDefault="00E2436F">
      <w:pPr>
        <w:spacing w:line="273" w:lineRule="auto"/>
        <w:ind w:left="1200"/>
        <w:jc w:val="both"/>
        <w:rPr>
          <w:sz w:val="20"/>
          <w:szCs w:val="20"/>
        </w:rPr>
      </w:pPr>
      <w:r>
        <w:rPr>
          <w:rFonts w:eastAsia="Times New Roman"/>
          <w:sz w:val="24"/>
          <w:szCs w:val="24"/>
          <w:u w:val="single"/>
        </w:rPr>
        <w:t>Owner</w:t>
      </w:r>
      <w:r>
        <w:rPr>
          <w:rFonts w:eastAsia="Times New Roman"/>
          <w:sz w:val="24"/>
          <w:szCs w:val="24"/>
        </w:rPr>
        <w:t xml:space="preserve"> means any Person maintaining a cross connection installation or owning or occupying premises on which cross connections can or do exist.</w:t>
      </w:r>
    </w:p>
    <w:p w14:paraId="2819CE5B" w14:textId="77777777" w:rsidR="004647B9" w:rsidRDefault="004647B9">
      <w:pPr>
        <w:sectPr w:rsidR="004647B9" w:rsidSect="00EF630C">
          <w:pgSz w:w="12240" w:h="20180"/>
          <w:pgMar w:top="708" w:right="1440" w:bottom="704" w:left="600" w:header="0" w:footer="0" w:gutter="0"/>
          <w:cols w:space="720" w:equalWidth="0">
            <w:col w:w="10200"/>
          </w:cols>
        </w:sectPr>
      </w:pPr>
    </w:p>
    <w:p w14:paraId="2819CE5C" w14:textId="77777777" w:rsidR="004647B9" w:rsidRDefault="00E2436F">
      <w:pPr>
        <w:tabs>
          <w:tab w:val="left" w:pos="160"/>
        </w:tabs>
        <w:jc w:val="center"/>
        <w:rPr>
          <w:sz w:val="20"/>
          <w:szCs w:val="20"/>
        </w:rPr>
      </w:pPr>
      <w:bookmarkStart w:id="17" w:name="page18"/>
      <w:bookmarkEnd w:id="1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E5D" w14:textId="77777777" w:rsidR="004647B9" w:rsidRDefault="004647B9">
      <w:pPr>
        <w:spacing w:line="200" w:lineRule="exact"/>
        <w:rPr>
          <w:sz w:val="20"/>
          <w:szCs w:val="20"/>
        </w:rPr>
      </w:pPr>
    </w:p>
    <w:p w14:paraId="2819CE5E" w14:textId="77777777" w:rsidR="004647B9" w:rsidRDefault="004647B9">
      <w:pPr>
        <w:spacing w:line="323" w:lineRule="exact"/>
        <w:rPr>
          <w:sz w:val="20"/>
          <w:szCs w:val="20"/>
        </w:rPr>
      </w:pPr>
    </w:p>
    <w:p w14:paraId="2819CE5F" w14:textId="77777777" w:rsidR="004647B9" w:rsidRDefault="00E2436F">
      <w:pPr>
        <w:tabs>
          <w:tab w:val="left" w:pos="760"/>
        </w:tabs>
        <w:rPr>
          <w:sz w:val="20"/>
          <w:szCs w:val="20"/>
        </w:rPr>
      </w:pPr>
      <w:r>
        <w:rPr>
          <w:rFonts w:eastAsia="Times New Roman"/>
          <w:sz w:val="24"/>
          <w:szCs w:val="24"/>
        </w:rPr>
        <w:t>22.02:</w:t>
      </w:r>
      <w:r>
        <w:rPr>
          <w:rFonts w:eastAsia="Times New Roman"/>
          <w:sz w:val="24"/>
          <w:szCs w:val="24"/>
        </w:rPr>
        <w:tab/>
        <w:t>continued</w:t>
      </w:r>
    </w:p>
    <w:p w14:paraId="2819CE60" w14:textId="77777777" w:rsidR="004647B9" w:rsidRDefault="004647B9">
      <w:pPr>
        <w:spacing w:line="283" w:lineRule="exact"/>
        <w:rPr>
          <w:sz w:val="20"/>
          <w:szCs w:val="20"/>
        </w:rPr>
      </w:pPr>
    </w:p>
    <w:p w14:paraId="2819CE61" w14:textId="77777777" w:rsidR="004647B9" w:rsidRDefault="00E2436F">
      <w:pPr>
        <w:spacing w:line="273" w:lineRule="auto"/>
        <w:ind w:left="1200"/>
        <w:rPr>
          <w:sz w:val="20"/>
          <w:szCs w:val="20"/>
        </w:rPr>
      </w:pPr>
      <w:r>
        <w:rPr>
          <w:rFonts w:eastAsia="Times New Roman"/>
          <w:sz w:val="24"/>
          <w:szCs w:val="24"/>
          <w:u w:val="single"/>
        </w:rPr>
        <w:t>Owner's Agent</w:t>
      </w:r>
      <w:r>
        <w:rPr>
          <w:rFonts w:eastAsia="Times New Roman"/>
          <w:sz w:val="24"/>
          <w:szCs w:val="24"/>
        </w:rPr>
        <w:t xml:space="preserve"> means any Person or body designated by the owner to act as his or her representative.</w:t>
      </w:r>
    </w:p>
    <w:p w14:paraId="2819CE62" w14:textId="77777777" w:rsidR="004647B9" w:rsidRDefault="004647B9">
      <w:pPr>
        <w:spacing w:line="210" w:lineRule="exact"/>
        <w:rPr>
          <w:sz w:val="20"/>
          <w:szCs w:val="20"/>
        </w:rPr>
      </w:pPr>
    </w:p>
    <w:p w14:paraId="2819CE63" w14:textId="77777777" w:rsidR="004647B9" w:rsidRDefault="00E2436F">
      <w:pPr>
        <w:spacing w:line="275" w:lineRule="auto"/>
        <w:ind w:left="1200"/>
        <w:rPr>
          <w:sz w:val="20"/>
          <w:szCs w:val="20"/>
        </w:rPr>
      </w:pPr>
      <w:r>
        <w:rPr>
          <w:rFonts w:eastAsia="Times New Roman"/>
          <w:sz w:val="24"/>
          <w:szCs w:val="24"/>
          <w:u w:val="single"/>
        </w:rPr>
        <w:t>Potable Water</w:t>
      </w:r>
      <w:r>
        <w:rPr>
          <w:rFonts w:eastAsia="Times New Roman"/>
          <w:sz w:val="24"/>
          <w:szCs w:val="24"/>
        </w:rPr>
        <w:t xml:space="preserve"> means water from any source that has been approved by the Department for human consumption.</w:t>
      </w:r>
    </w:p>
    <w:p w14:paraId="2819CE64" w14:textId="77777777" w:rsidR="004647B9" w:rsidRDefault="004647B9">
      <w:pPr>
        <w:spacing w:line="208" w:lineRule="exact"/>
        <w:rPr>
          <w:sz w:val="20"/>
          <w:szCs w:val="20"/>
        </w:rPr>
      </w:pPr>
    </w:p>
    <w:p w14:paraId="2819CE65" w14:textId="77777777" w:rsidR="004647B9" w:rsidRDefault="00E2436F">
      <w:pPr>
        <w:spacing w:line="273" w:lineRule="auto"/>
        <w:ind w:left="1200"/>
        <w:rPr>
          <w:sz w:val="20"/>
          <w:szCs w:val="20"/>
        </w:rPr>
      </w:pPr>
      <w:r>
        <w:rPr>
          <w:rFonts w:eastAsia="Times New Roman"/>
          <w:sz w:val="24"/>
          <w:szCs w:val="24"/>
          <w:u w:val="single"/>
        </w:rPr>
        <w:t>Pressure Vacuum Breaker</w:t>
      </w:r>
      <w:r>
        <w:rPr>
          <w:rFonts w:eastAsia="Times New Roman"/>
          <w:sz w:val="24"/>
          <w:szCs w:val="24"/>
        </w:rPr>
        <w:t xml:space="preserve"> means an approved backflow prevention device designed to prevent only back siphonage and which is designed for use under static line pressure.</w:t>
      </w:r>
    </w:p>
    <w:p w14:paraId="2819CE66" w14:textId="77777777" w:rsidR="004647B9" w:rsidRDefault="004647B9">
      <w:pPr>
        <w:spacing w:line="210" w:lineRule="exact"/>
        <w:rPr>
          <w:sz w:val="20"/>
          <w:szCs w:val="20"/>
        </w:rPr>
      </w:pPr>
    </w:p>
    <w:p w14:paraId="2819CE67" w14:textId="77777777" w:rsidR="004647B9" w:rsidRDefault="00E2436F">
      <w:pPr>
        <w:spacing w:line="257" w:lineRule="auto"/>
        <w:ind w:left="1200"/>
        <w:rPr>
          <w:sz w:val="20"/>
          <w:szCs w:val="20"/>
        </w:rPr>
      </w:pPr>
      <w:r>
        <w:rPr>
          <w:rFonts w:eastAsia="Times New Roman"/>
          <w:sz w:val="24"/>
          <w:szCs w:val="24"/>
          <w:u w:val="single"/>
        </w:rPr>
        <w:t>Reduced Pressure Backflow Preventer</w:t>
      </w:r>
      <w:r>
        <w:rPr>
          <w:rFonts w:eastAsia="Times New Roman"/>
          <w:sz w:val="24"/>
          <w:szCs w:val="24"/>
        </w:rPr>
        <w:t xml:space="preserve"> means an approved testable backflow prevention device incorporating:</w:t>
      </w:r>
    </w:p>
    <w:p w14:paraId="2819CE69" w14:textId="77777777" w:rsidR="004647B9" w:rsidRDefault="00E2436F">
      <w:pPr>
        <w:numPr>
          <w:ilvl w:val="0"/>
          <w:numId w:val="11"/>
        </w:numPr>
        <w:tabs>
          <w:tab w:val="left" w:pos="2000"/>
        </w:tabs>
        <w:ind w:left="2000" w:hanging="445"/>
        <w:rPr>
          <w:rFonts w:eastAsia="Times New Roman"/>
          <w:sz w:val="24"/>
          <w:szCs w:val="24"/>
        </w:rPr>
      </w:pPr>
      <w:r>
        <w:rPr>
          <w:rFonts w:eastAsia="Times New Roman"/>
          <w:sz w:val="24"/>
          <w:szCs w:val="24"/>
        </w:rPr>
        <w:t>two or more check valves;</w:t>
      </w:r>
    </w:p>
    <w:p w14:paraId="2819CE6B" w14:textId="77777777" w:rsidR="004647B9" w:rsidRDefault="00E2436F">
      <w:pPr>
        <w:numPr>
          <w:ilvl w:val="0"/>
          <w:numId w:val="11"/>
        </w:numPr>
        <w:tabs>
          <w:tab w:val="left" w:pos="2020"/>
        </w:tabs>
        <w:ind w:left="2020" w:hanging="465"/>
        <w:rPr>
          <w:rFonts w:eastAsia="Times New Roman"/>
          <w:sz w:val="24"/>
          <w:szCs w:val="24"/>
        </w:rPr>
      </w:pPr>
      <w:r>
        <w:rPr>
          <w:rFonts w:eastAsia="Times New Roman"/>
          <w:sz w:val="24"/>
          <w:szCs w:val="24"/>
        </w:rPr>
        <w:t>an automatically operating differential relief valve located between the two checks;</w:t>
      </w:r>
    </w:p>
    <w:p w14:paraId="2819CE6D" w14:textId="77777777" w:rsidR="004647B9" w:rsidRDefault="00E2436F">
      <w:pPr>
        <w:numPr>
          <w:ilvl w:val="0"/>
          <w:numId w:val="11"/>
        </w:numPr>
        <w:tabs>
          <w:tab w:val="left" w:pos="2000"/>
        </w:tabs>
        <w:ind w:left="2000" w:hanging="445"/>
        <w:rPr>
          <w:rFonts w:eastAsia="Times New Roman"/>
          <w:sz w:val="24"/>
          <w:szCs w:val="24"/>
        </w:rPr>
      </w:pPr>
      <w:r>
        <w:rPr>
          <w:rFonts w:eastAsia="Times New Roman"/>
          <w:sz w:val="24"/>
          <w:szCs w:val="24"/>
        </w:rPr>
        <w:t>two shut-off valves; and</w:t>
      </w:r>
    </w:p>
    <w:p w14:paraId="2819CE6F" w14:textId="77777777" w:rsidR="004647B9" w:rsidRDefault="00E2436F">
      <w:pPr>
        <w:numPr>
          <w:ilvl w:val="0"/>
          <w:numId w:val="11"/>
        </w:numPr>
        <w:tabs>
          <w:tab w:val="left" w:pos="2020"/>
        </w:tabs>
        <w:ind w:left="2020" w:hanging="465"/>
        <w:rPr>
          <w:rFonts w:eastAsia="Times New Roman"/>
          <w:sz w:val="24"/>
          <w:szCs w:val="24"/>
        </w:rPr>
      </w:pPr>
      <w:r>
        <w:rPr>
          <w:rFonts w:eastAsia="Times New Roman"/>
          <w:sz w:val="24"/>
          <w:szCs w:val="24"/>
        </w:rPr>
        <w:t>necessary appurtenances for testing; and which is designed to operate so that:</w:t>
      </w:r>
    </w:p>
    <w:p w14:paraId="2819CE71" w14:textId="77777777" w:rsidR="004647B9" w:rsidRDefault="00E2436F">
      <w:pPr>
        <w:numPr>
          <w:ilvl w:val="1"/>
          <w:numId w:val="11"/>
        </w:numPr>
        <w:tabs>
          <w:tab w:val="left" w:pos="2280"/>
        </w:tabs>
        <w:spacing w:line="243" w:lineRule="auto"/>
        <w:ind w:left="1920" w:hanging="5"/>
        <w:rPr>
          <w:rFonts w:eastAsia="Times New Roman"/>
          <w:sz w:val="24"/>
          <w:szCs w:val="24"/>
        </w:rPr>
      </w:pPr>
      <w:r>
        <w:rPr>
          <w:rFonts w:eastAsia="Times New Roman"/>
          <w:sz w:val="24"/>
          <w:szCs w:val="24"/>
        </w:rPr>
        <w:t>the pressure in the zone between the two check valves is maintained at a value less than the pressure on the Public Water System side of the device;</w:t>
      </w:r>
    </w:p>
    <w:p w14:paraId="2819CE72" w14:textId="77777777" w:rsidR="004647B9" w:rsidRDefault="00E2436F">
      <w:pPr>
        <w:numPr>
          <w:ilvl w:val="1"/>
          <w:numId w:val="11"/>
        </w:numPr>
        <w:tabs>
          <w:tab w:val="left" w:pos="2280"/>
        </w:tabs>
        <w:spacing w:line="242" w:lineRule="auto"/>
        <w:ind w:left="1920" w:hanging="5"/>
        <w:jc w:val="both"/>
        <w:rPr>
          <w:rFonts w:eastAsia="Times New Roman"/>
          <w:sz w:val="24"/>
          <w:szCs w:val="24"/>
        </w:rPr>
      </w:pPr>
      <w:r>
        <w:rPr>
          <w:rFonts w:eastAsia="Times New Roman"/>
          <w:sz w:val="24"/>
          <w:szCs w:val="24"/>
        </w:rPr>
        <w:t>at cessation of normal flow, the pressure in the zone between the two check valves is maintained at a value less than the pressure on the Public Water System side of the device; and</w:t>
      </w:r>
    </w:p>
    <w:p w14:paraId="2819CE74" w14:textId="77777777" w:rsidR="004647B9" w:rsidRDefault="00E2436F">
      <w:pPr>
        <w:numPr>
          <w:ilvl w:val="1"/>
          <w:numId w:val="11"/>
        </w:numPr>
        <w:tabs>
          <w:tab w:val="left" w:pos="2251"/>
        </w:tabs>
        <w:spacing w:line="246" w:lineRule="auto"/>
        <w:ind w:left="1920" w:hanging="5"/>
        <w:rPr>
          <w:rFonts w:eastAsia="Times New Roman"/>
          <w:sz w:val="24"/>
          <w:szCs w:val="24"/>
        </w:rPr>
      </w:pPr>
      <w:r>
        <w:rPr>
          <w:rFonts w:eastAsia="Times New Roman"/>
          <w:sz w:val="24"/>
          <w:szCs w:val="24"/>
        </w:rPr>
        <w:t>in the case of leakage of either check valve, the differential relief valve shall operate to maintain reduced pressure in the zone by discharging to the atmosphere.</w:t>
      </w:r>
    </w:p>
    <w:p w14:paraId="2819CE75" w14:textId="77777777" w:rsidR="004647B9" w:rsidRDefault="004647B9">
      <w:pPr>
        <w:spacing w:line="240" w:lineRule="exact"/>
        <w:rPr>
          <w:sz w:val="20"/>
          <w:szCs w:val="20"/>
        </w:rPr>
      </w:pPr>
    </w:p>
    <w:p w14:paraId="2819CE76" w14:textId="77777777" w:rsidR="004647B9" w:rsidRDefault="00E2436F">
      <w:pPr>
        <w:spacing w:line="254" w:lineRule="auto"/>
        <w:ind w:left="1200"/>
        <w:jc w:val="both"/>
        <w:rPr>
          <w:sz w:val="20"/>
          <w:szCs w:val="20"/>
        </w:rPr>
      </w:pPr>
      <w:r>
        <w:rPr>
          <w:rFonts w:eastAsia="Times New Roman"/>
          <w:sz w:val="24"/>
          <w:szCs w:val="24"/>
          <w:u w:val="single"/>
        </w:rPr>
        <w:t>Reviewing Authority</w:t>
      </w:r>
      <w:r>
        <w:rPr>
          <w:rFonts w:eastAsia="Times New Roman"/>
          <w:sz w:val="24"/>
          <w:szCs w:val="24"/>
        </w:rPr>
        <w:t xml:space="preserve"> means the Department, its Designee, or the local plumbing inspector, authorized by M.G.L. c. 142 and licensed by the Board of State Examiners of Plumbers and Gas Fitters, whichever is responsible for the review and approval of the installation of an approved backflow prevention device.</w:t>
      </w:r>
    </w:p>
    <w:p w14:paraId="2819CE77" w14:textId="77777777" w:rsidR="004647B9" w:rsidRDefault="004647B9">
      <w:pPr>
        <w:spacing w:line="231" w:lineRule="exact"/>
        <w:rPr>
          <w:sz w:val="20"/>
          <w:szCs w:val="20"/>
        </w:rPr>
      </w:pPr>
    </w:p>
    <w:p w14:paraId="2819CE78" w14:textId="77777777" w:rsidR="004647B9" w:rsidRDefault="00E2436F">
      <w:pPr>
        <w:spacing w:line="253" w:lineRule="auto"/>
        <w:ind w:left="1200"/>
        <w:jc w:val="both"/>
        <w:rPr>
          <w:sz w:val="20"/>
          <w:szCs w:val="20"/>
        </w:rPr>
      </w:pPr>
      <w:r>
        <w:rPr>
          <w:rFonts w:eastAsia="Times New Roman"/>
          <w:sz w:val="24"/>
          <w:szCs w:val="24"/>
          <w:u w:val="single"/>
        </w:rPr>
        <w:t>Unapproved Source</w:t>
      </w:r>
      <w:r>
        <w:rPr>
          <w:rFonts w:eastAsia="Times New Roman"/>
          <w:sz w:val="24"/>
          <w:szCs w:val="24"/>
        </w:rPr>
        <w:t xml:space="preserve"> means the source or distribution system for any water or other liquid or substance which has not been approved by the Department as being of safe and sanitary quality for human consumption, including but not limited to any waste pipe, soil pipe, sewer, drain, or non-acceptable potable water system material.</w:t>
      </w:r>
    </w:p>
    <w:p w14:paraId="2819CE79" w14:textId="77777777" w:rsidR="004647B9" w:rsidRPr="00B20A84" w:rsidRDefault="004647B9">
      <w:pPr>
        <w:spacing w:line="233" w:lineRule="exact"/>
        <w:rPr>
          <w:sz w:val="20"/>
          <w:szCs w:val="20"/>
        </w:rPr>
      </w:pPr>
    </w:p>
    <w:p w14:paraId="544BD5A2" w14:textId="21D8EDB8" w:rsidR="00FC08AE" w:rsidRPr="00B20A84" w:rsidRDefault="00FC08AE" w:rsidP="00AE62F9">
      <w:pPr>
        <w:numPr>
          <w:ilvl w:val="0"/>
          <w:numId w:val="10"/>
        </w:numPr>
        <w:tabs>
          <w:tab w:val="left" w:pos="1732"/>
        </w:tabs>
        <w:ind w:left="1195"/>
        <w:rPr>
          <w:rFonts w:eastAsia="Times New Roman"/>
          <w:sz w:val="24"/>
          <w:szCs w:val="24"/>
        </w:rPr>
      </w:pPr>
      <w:r w:rsidRPr="00AE62F9">
        <w:rPr>
          <w:rFonts w:eastAsia="Times New Roman"/>
          <w:sz w:val="24"/>
          <w:szCs w:val="24"/>
          <w:u w:val="single"/>
        </w:rPr>
        <w:t>Online Reference Sources</w:t>
      </w:r>
      <w:r w:rsidRPr="00B20A84">
        <w:rPr>
          <w:rFonts w:eastAsia="Times New Roman"/>
          <w:sz w:val="24"/>
          <w:szCs w:val="24"/>
        </w:rPr>
        <w:t>.  References within 310 CMR 22.00 to the following online references</w:t>
      </w:r>
      <w:r w:rsidR="00025925">
        <w:rPr>
          <w:rFonts w:eastAsia="Times New Roman"/>
          <w:sz w:val="24"/>
          <w:szCs w:val="24"/>
        </w:rPr>
        <w:t xml:space="preserve">, </w:t>
      </w:r>
      <w:r w:rsidR="009022E3">
        <w:rPr>
          <w:rFonts w:eastAsia="Times New Roman"/>
          <w:sz w:val="24"/>
          <w:szCs w:val="24"/>
        </w:rPr>
        <w:t>unless</w:t>
      </w:r>
      <w:r w:rsidR="00025925">
        <w:rPr>
          <w:rFonts w:eastAsia="Times New Roman"/>
          <w:sz w:val="24"/>
          <w:szCs w:val="24"/>
        </w:rPr>
        <w:t xml:space="preserve"> otherwise provided,</w:t>
      </w:r>
      <w:r w:rsidRPr="00B20A84">
        <w:rPr>
          <w:rFonts w:eastAsia="Times New Roman"/>
          <w:sz w:val="24"/>
          <w:szCs w:val="24"/>
        </w:rPr>
        <w:t xml:space="preserve"> shall have the following meanings:</w:t>
      </w:r>
    </w:p>
    <w:p w14:paraId="7C4F79E5" w14:textId="77777777" w:rsidR="00FC08AE" w:rsidRPr="003069E7" w:rsidRDefault="00FC08AE" w:rsidP="00FC08AE">
      <w:pPr>
        <w:tabs>
          <w:tab w:val="left" w:pos="760"/>
        </w:tabs>
        <w:rPr>
          <w:rFonts w:eastAsia="Times New Roman"/>
          <w:sz w:val="20"/>
          <w:szCs w:val="20"/>
        </w:rPr>
      </w:pPr>
    </w:p>
    <w:p w14:paraId="1909D242" w14:textId="13D10A11" w:rsidR="004C15B8" w:rsidRDefault="004C15B8" w:rsidP="00E60BBD">
      <w:pPr>
        <w:pStyle w:val="ListParagraph"/>
        <w:tabs>
          <w:tab w:val="left" w:pos="760"/>
        </w:tabs>
        <w:ind w:left="1118"/>
        <w:rPr>
          <w:rFonts w:eastAsia="Times New Roman"/>
          <w:sz w:val="24"/>
          <w:szCs w:val="24"/>
          <w:u w:val="single"/>
        </w:rPr>
      </w:pPr>
      <w:r>
        <w:rPr>
          <w:rFonts w:eastAsia="Times New Roman"/>
          <w:sz w:val="24"/>
          <w:szCs w:val="24"/>
          <w:u w:val="single"/>
        </w:rPr>
        <w:t>ASTM International</w:t>
      </w:r>
      <w:r w:rsidR="00A4005B" w:rsidRPr="00025925" w:rsidDel="005674FE">
        <w:rPr>
          <w:rFonts w:eastAsia="Times New Roman"/>
          <w:sz w:val="24"/>
          <w:szCs w:val="24"/>
        </w:rPr>
        <w:t xml:space="preserve"> </w:t>
      </w:r>
      <w:r w:rsidR="00A4005B" w:rsidRPr="00E37A47">
        <w:rPr>
          <w:rFonts w:eastAsia="Times New Roman"/>
          <w:sz w:val="24"/>
          <w:szCs w:val="24"/>
        </w:rPr>
        <w:t>mean</w:t>
      </w:r>
      <w:r w:rsidR="00513704">
        <w:rPr>
          <w:rFonts w:eastAsia="Times New Roman"/>
          <w:sz w:val="24"/>
          <w:szCs w:val="24"/>
        </w:rPr>
        <w:t>s</w:t>
      </w:r>
      <w:r w:rsidR="00A4005B" w:rsidRPr="00E37A47">
        <w:rPr>
          <w:rFonts w:eastAsia="Times New Roman"/>
          <w:sz w:val="24"/>
          <w:szCs w:val="24"/>
        </w:rPr>
        <w:t xml:space="preserve"> the online </w:t>
      </w:r>
      <w:r w:rsidR="00CD3F97" w:rsidRPr="00E37A47">
        <w:rPr>
          <w:rFonts w:eastAsia="Times New Roman"/>
          <w:sz w:val="24"/>
          <w:szCs w:val="24"/>
        </w:rPr>
        <w:t xml:space="preserve">searchable </w:t>
      </w:r>
      <w:r w:rsidR="00637420" w:rsidRPr="00E37A47">
        <w:rPr>
          <w:rFonts w:eastAsia="Times New Roman"/>
          <w:sz w:val="24"/>
          <w:szCs w:val="24"/>
        </w:rPr>
        <w:t xml:space="preserve">database of </w:t>
      </w:r>
      <w:r w:rsidR="00CD3F97" w:rsidRPr="00E37A47">
        <w:rPr>
          <w:rFonts w:eastAsia="Times New Roman"/>
          <w:sz w:val="24"/>
          <w:szCs w:val="24"/>
        </w:rPr>
        <w:t xml:space="preserve">standards and publications of </w:t>
      </w:r>
      <w:r w:rsidR="004B274B">
        <w:rPr>
          <w:rFonts w:eastAsia="Times New Roman"/>
          <w:sz w:val="24"/>
          <w:szCs w:val="24"/>
        </w:rPr>
        <w:t>the society</w:t>
      </w:r>
      <w:r w:rsidR="00637420" w:rsidRPr="00E37A47">
        <w:rPr>
          <w:rFonts w:eastAsia="Times New Roman"/>
          <w:sz w:val="24"/>
          <w:szCs w:val="24"/>
        </w:rPr>
        <w:t xml:space="preserve"> </w:t>
      </w:r>
      <w:r w:rsidR="004A6C86">
        <w:rPr>
          <w:rFonts w:eastAsia="Times New Roman"/>
          <w:sz w:val="24"/>
          <w:szCs w:val="24"/>
        </w:rPr>
        <w:t>known as ASTM International,</w:t>
      </w:r>
      <w:r w:rsidR="004A6C86" w:rsidRPr="004A6C86" w:rsidDel="004B274B">
        <w:rPr>
          <w:rFonts w:eastAsia="Times New Roman"/>
          <w:sz w:val="24"/>
          <w:szCs w:val="24"/>
        </w:rPr>
        <w:t xml:space="preserve"> </w:t>
      </w:r>
      <w:r w:rsidR="00637420" w:rsidRPr="00E37A47">
        <w:rPr>
          <w:rFonts w:eastAsia="Times New Roman"/>
          <w:sz w:val="24"/>
          <w:szCs w:val="24"/>
        </w:rPr>
        <w:t>formerly known as the American Society for Testing and Materials.</w:t>
      </w:r>
    </w:p>
    <w:p w14:paraId="7920EBAB" w14:textId="77777777" w:rsidR="004C15B8" w:rsidRPr="003069E7" w:rsidRDefault="004C15B8" w:rsidP="003069E7">
      <w:pPr>
        <w:pStyle w:val="ListParagraph"/>
        <w:ind w:left="0"/>
        <w:rPr>
          <w:rFonts w:eastAsia="Times New Roman"/>
          <w:sz w:val="20"/>
          <w:szCs w:val="20"/>
          <w:u w:val="single"/>
        </w:rPr>
      </w:pPr>
    </w:p>
    <w:p w14:paraId="711B7EDE" w14:textId="4F157E79" w:rsidR="00C471AD" w:rsidRDefault="008122F6" w:rsidP="00E60BBD">
      <w:pPr>
        <w:pStyle w:val="ListParagraph"/>
        <w:tabs>
          <w:tab w:val="left" w:pos="760"/>
        </w:tabs>
        <w:ind w:left="1118"/>
        <w:rPr>
          <w:rFonts w:eastAsia="Times New Roman"/>
          <w:sz w:val="24"/>
          <w:szCs w:val="24"/>
        </w:rPr>
      </w:pPr>
      <w:r w:rsidRPr="00E60BBD">
        <w:rPr>
          <w:rFonts w:eastAsia="Times New Roman"/>
          <w:sz w:val="24"/>
          <w:szCs w:val="24"/>
          <w:u w:val="single"/>
        </w:rPr>
        <w:t>National Environmental Methods Index</w:t>
      </w:r>
      <w:r w:rsidR="001C7DDB" w:rsidRPr="0048088A">
        <w:rPr>
          <w:rFonts w:eastAsia="Times New Roman"/>
          <w:sz w:val="24"/>
          <w:szCs w:val="24"/>
        </w:rPr>
        <w:t xml:space="preserve"> or </w:t>
      </w:r>
      <w:r w:rsidRPr="00E60BBD">
        <w:rPr>
          <w:rFonts w:eastAsia="Times New Roman"/>
          <w:sz w:val="24"/>
          <w:szCs w:val="24"/>
          <w:u w:val="single"/>
        </w:rPr>
        <w:t>NEMI</w:t>
      </w:r>
      <w:r w:rsidRPr="00C471AD">
        <w:rPr>
          <w:rFonts w:eastAsia="Times New Roman"/>
          <w:sz w:val="24"/>
          <w:szCs w:val="24"/>
        </w:rPr>
        <w:t xml:space="preserve"> mean</w:t>
      </w:r>
      <w:r w:rsidR="005674FE">
        <w:rPr>
          <w:rFonts w:eastAsia="Times New Roman"/>
          <w:sz w:val="24"/>
          <w:szCs w:val="24"/>
        </w:rPr>
        <w:t>s</w:t>
      </w:r>
      <w:r w:rsidRPr="00C471AD">
        <w:rPr>
          <w:rFonts w:eastAsia="Times New Roman"/>
          <w:sz w:val="24"/>
          <w:szCs w:val="24"/>
        </w:rPr>
        <w:t xml:space="preserve"> </w:t>
      </w:r>
      <w:r w:rsidR="00C471AD">
        <w:rPr>
          <w:rFonts w:eastAsia="Times New Roman"/>
          <w:sz w:val="24"/>
          <w:szCs w:val="24"/>
        </w:rPr>
        <w:t xml:space="preserve">the online </w:t>
      </w:r>
      <w:r w:rsidR="00C471AD" w:rsidRPr="00E60BBD">
        <w:rPr>
          <w:rFonts w:eastAsia="Times New Roman"/>
          <w:sz w:val="24"/>
          <w:szCs w:val="24"/>
        </w:rPr>
        <w:t>searchable database of environmental methods, protocols, statistical and analytical methods, and procedures</w:t>
      </w:r>
      <w:r w:rsidR="003C33DE">
        <w:rPr>
          <w:rFonts w:eastAsia="Times New Roman"/>
          <w:sz w:val="24"/>
          <w:szCs w:val="24"/>
        </w:rPr>
        <w:t xml:space="preserve">, </w:t>
      </w:r>
      <w:r w:rsidR="004223DB" w:rsidRPr="00E60BBD">
        <w:rPr>
          <w:rFonts w:eastAsia="Times New Roman"/>
          <w:sz w:val="24"/>
          <w:szCs w:val="24"/>
        </w:rPr>
        <w:t>created under the auspices of the National Water Quality Monitoring Council</w:t>
      </w:r>
      <w:r w:rsidR="00B82C06" w:rsidRPr="00E60BBD">
        <w:rPr>
          <w:rFonts w:eastAsia="Times New Roman"/>
          <w:sz w:val="24"/>
          <w:szCs w:val="24"/>
        </w:rPr>
        <w:t>.</w:t>
      </w:r>
    </w:p>
    <w:p w14:paraId="2738DED4" w14:textId="77777777" w:rsidR="00455D9E" w:rsidRPr="003069E7" w:rsidRDefault="00455D9E" w:rsidP="003069E7">
      <w:pPr>
        <w:pStyle w:val="ListParagraph"/>
        <w:ind w:left="0"/>
        <w:rPr>
          <w:rFonts w:eastAsia="Times New Roman"/>
          <w:sz w:val="20"/>
          <w:szCs w:val="20"/>
        </w:rPr>
      </w:pPr>
    </w:p>
    <w:p w14:paraId="0CC675B8" w14:textId="070C4578" w:rsidR="00455D9E" w:rsidRPr="00E60BBD" w:rsidRDefault="00455D9E" w:rsidP="00E60BBD">
      <w:pPr>
        <w:pStyle w:val="ListParagraph"/>
        <w:tabs>
          <w:tab w:val="left" w:pos="760"/>
        </w:tabs>
        <w:ind w:left="1118"/>
        <w:rPr>
          <w:rFonts w:eastAsia="Times New Roman"/>
          <w:sz w:val="24"/>
          <w:szCs w:val="24"/>
        </w:rPr>
      </w:pPr>
      <w:r w:rsidRPr="004C15B8">
        <w:rPr>
          <w:rFonts w:eastAsia="Times New Roman"/>
          <w:sz w:val="24"/>
          <w:szCs w:val="24"/>
          <w:u w:val="single"/>
        </w:rPr>
        <w:t>National Service Center for Environmental Publications</w:t>
      </w:r>
      <w:r w:rsidRPr="0048088A">
        <w:rPr>
          <w:rFonts w:eastAsia="Times New Roman"/>
          <w:sz w:val="24"/>
          <w:szCs w:val="24"/>
        </w:rPr>
        <w:t xml:space="preserve"> or </w:t>
      </w:r>
      <w:r w:rsidRPr="004C15B8">
        <w:rPr>
          <w:rFonts w:eastAsia="Times New Roman"/>
          <w:sz w:val="24"/>
          <w:szCs w:val="24"/>
          <w:u w:val="single"/>
        </w:rPr>
        <w:t>NSCEP</w:t>
      </w:r>
      <w:r>
        <w:rPr>
          <w:rFonts w:eastAsia="Times New Roman"/>
          <w:sz w:val="24"/>
          <w:szCs w:val="24"/>
        </w:rPr>
        <w:t xml:space="preserve"> mean</w:t>
      </w:r>
      <w:r w:rsidR="005674FE">
        <w:rPr>
          <w:rFonts w:eastAsia="Times New Roman"/>
          <w:sz w:val="24"/>
          <w:szCs w:val="24"/>
        </w:rPr>
        <w:t>s</w:t>
      </w:r>
      <w:r>
        <w:rPr>
          <w:rFonts w:eastAsia="Times New Roman"/>
          <w:sz w:val="24"/>
          <w:szCs w:val="24"/>
        </w:rPr>
        <w:t xml:space="preserve"> </w:t>
      </w:r>
      <w:r w:rsidR="00873991">
        <w:rPr>
          <w:rFonts w:eastAsia="Times New Roman"/>
          <w:sz w:val="24"/>
          <w:szCs w:val="24"/>
        </w:rPr>
        <w:t>EPA</w:t>
      </w:r>
      <w:r w:rsidR="009651B1">
        <w:rPr>
          <w:rFonts w:eastAsia="Times New Roman"/>
          <w:sz w:val="24"/>
          <w:szCs w:val="24"/>
        </w:rPr>
        <w:t>’</w:t>
      </w:r>
      <w:r w:rsidR="00CE4948">
        <w:rPr>
          <w:rFonts w:eastAsia="Times New Roman"/>
          <w:sz w:val="24"/>
          <w:szCs w:val="24"/>
        </w:rPr>
        <w:t>s</w:t>
      </w:r>
      <w:r>
        <w:rPr>
          <w:rFonts w:eastAsia="Times New Roman"/>
          <w:sz w:val="24"/>
          <w:szCs w:val="24"/>
        </w:rPr>
        <w:t xml:space="preserve"> </w:t>
      </w:r>
      <w:r w:rsidR="00873991">
        <w:rPr>
          <w:rFonts w:eastAsia="Times New Roman"/>
          <w:sz w:val="24"/>
          <w:szCs w:val="24"/>
        </w:rPr>
        <w:t xml:space="preserve">searchable </w:t>
      </w:r>
      <w:r>
        <w:rPr>
          <w:rFonts w:eastAsia="Times New Roman"/>
          <w:sz w:val="24"/>
          <w:szCs w:val="24"/>
        </w:rPr>
        <w:t xml:space="preserve">online database of </w:t>
      </w:r>
      <w:r w:rsidR="00551CD7">
        <w:rPr>
          <w:rFonts w:eastAsia="Times New Roman"/>
          <w:sz w:val="24"/>
          <w:szCs w:val="24"/>
        </w:rPr>
        <w:t>technical, scientific, and educational materials.</w:t>
      </w:r>
    </w:p>
    <w:p w14:paraId="2F2EAD97" w14:textId="77777777" w:rsidR="00BB3CC1" w:rsidRPr="003069E7" w:rsidRDefault="00BB3CC1" w:rsidP="002B5CF0">
      <w:pPr>
        <w:tabs>
          <w:tab w:val="left" w:pos="760"/>
        </w:tabs>
        <w:rPr>
          <w:rFonts w:eastAsia="Times New Roman"/>
          <w:sz w:val="20"/>
          <w:szCs w:val="20"/>
        </w:rPr>
      </w:pPr>
    </w:p>
    <w:p w14:paraId="7FD9FF82" w14:textId="647C6C58" w:rsidR="008122F6" w:rsidRPr="003069E7" w:rsidRDefault="00BB3CC1" w:rsidP="00327F57">
      <w:pPr>
        <w:pStyle w:val="ListParagraph"/>
        <w:ind w:left="1118"/>
        <w:rPr>
          <w:sz w:val="20"/>
          <w:szCs w:val="20"/>
        </w:rPr>
      </w:pPr>
      <w:r w:rsidRPr="00B20A84">
        <w:rPr>
          <w:rFonts w:eastAsia="Times New Roman"/>
          <w:sz w:val="24"/>
          <w:szCs w:val="24"/>
          <w:u w:val="single"/>
        </w:rPr>
        <w:t>Standard Methods</w:t>
      </w:r>
      <w:r>
        <w:rPr>
          <w:rFonts w:eastAsia="Times New Roman"/>
          <w:sz w:val="24"/>
          <w:szCs w:val="24"/>
          <w:u w:val="single"/>
        </w:rPr>
        <w:t xml:space="preserve"> </w:t>
      </w:r>
      <w:r w:rsidRPr="008122F6">
        <w:rPr>
          <w:rFonts w:eastAsia="Times New Roman"/>
          <w:sz w:val="24"/>
          <w:szCs w:val="24"/>
          <w:u w:val="single"/>
        </w:rPr>
        <w:t>Online</w:t>
      </w:r>
      <w:r w:rsidRPr="00B20A84" w:rsidDel="005674FE">
        <w:rPr>
          <w:rFonts w:eastAsia="Times New Roman"/>
          <w:sz w:val="24"/>
          <w:szCs w:val="24"/>
        </w:rPr>
        <w:t xml:space="preserve"> </w:t>
      </w:r>
      <w:r w:rsidRPr="008122F6">
        <w:rPr>
          <w:rFonts w:eastAsia="Times New Roman"/>
          <w:sz w:val="24"/>
          <w:szCs w:val="24"/>
        </w:rPr>
        <w:t>mean</w:t>
      </w:r>
      <w:r w:rsidR="005674FE">
        <w:rPr>
          <w:rFonts w:eastAsia="Times New Roman"/>
          <w:sz w:val="24"/>
          <w:szCs w:val="24"/>
        </w:rPr>
        <w:t>s</w:t>
      </w:r>
      <w:r w:rsidRPr="008122F6">
        <w:rPr>
          <w:rFonts w:eastAsia="Times New Roman"/>
          <w:sz w:val="24"/>
          <w:szCs w:val="24"/>
        </w:rPr>
        <w:t xml:space="preserve"> the </w:t>
      </w:r>
      <w:r w:rsidRPr="00B20A84">
        <w:rPr>
          <w:rFonts w:eastAsia="Times New Roman"/>
          <w:sz w:val="24"/>
          <w:szCs w:val="24"/>
        </w:rPr>
        <w:t xml:space="preserve">online database </w:t>
      </w:r>
      <w:r>
        <w:rPr>
          <w:rFonts w:eastAsia="Times New Roman"/>
          <w:sz w:val="24"/>
          <w:szCs w:val="24"/>
        </w:rPr>
        <w:t xml:space="preserve">of analytical techniques for the determination of water quality known as </w:t>
      </w:r>
      <w:r w:rsidRPr="00AE62F9">
        <w:rPr>
          <w:rFonts w:eastAsia="Times New Roman"/>
          <w:sz w:val="24"/>
          <w:szCs w:val="24"/>
        </w:rPr>
        <w:t>the</w:t>
      </w:r>
      <w:r w:rsidRPr="00E60BBD">
        <w:rPr>
          <w:rFonts w:eastAsia="Times New Roman"/>
          <w:i/>
          <w:iCs/>
          <w:sz w:val="24"/>
          <w:szCs w:val="24"/>
        </w:rPr>
        <w:t xml:space="preserve"> </w:t>
      </w:r>
      <w:r w:rsidRPr="00E60BBD">
        <w:rPr>
          <w:rStyle w:val="cf01"/>
          <w:rFonts w:ascii="Times New Roman" w:hAnsi="Times New Roman" w:cs="Times New Roman"/>
          <w:i/>
          <w:iCs/>
          <w:sz w:val="24"/>
          <w:szCs w:val="24"/>
          <w:u w:val="none"/>
        </w:rPr>
        <w:t xml:space="preserve">Standard </w:t>
      </w:r>
      <w:r w:rsidRPr="00E60BBD">
        <w:rPr>
          <w:rFonts w:eastAsia="Times New Roman"/>
          <w:i/>
          <w:iCs/>
          <w:sz w:val="24"/>
          <w:szCs w:val="24"/>
        </w:rPr>
        <w:t>Methods for the Examination of Water and Wastewater</w:t>
      </w:r>
      <w:r w:rsidRPr="00B20A84">
        <w:rPr>
          <w:rFonts w:eastAsia="Times New Roman"/>
          <w:sz w:val="24"/>
          <w:szCs w:val="24"/>
        </w:rPr>
        <w:t xml:space="preserve"> </w:t>
      </w:r>
      <w:r>
        <w:rPr>
          <w:rFonts w:eastAsia="Times New Roman"/>
          <w:sz w:val="24"/>
          <w:szCs w:val="24"/>
        </w:rPr>
        <w:t xml:space="preserve">or </w:t>
      </w:r>
      <w:r w:rsidRPr="00E60BBD">
        <w:rPr>
          <w:rFonts w:eastAsia="Times New Roman"/>
          <w:i/>
          <w:iCs/>
          <w:sz w:val="24"/>
          <w:szCs w:val="24"/>
        </w:rPr>
        <w:t>Standard Methods</w:t>
      </w:r>
      <w:r w:rsidRPr="00B20A84">
        <w:rPr>
          <w:rFonts w:eastAsia="Times New Roman"/>
          <w:sz w:val="24"/>
          <w:szCs w:val="24"/>
        </w:rPr>
        <w:t xml:space="preserve">, the result of a joint effort by the American Public Health Association, </w:t>
      </w:r>
      <w:r w:rsidR="00C57A49" w:rsidRPr="00C57A49">
        <w:rPr>
          <w:rFonts w:eastAsia="Times New Roman"/>
          <w:sz w:val="24"/>
          <w:szCs w:val="24"/>
        </w:rPr>
        <w:t>800 I Street NW., Washington, DC 20001;</w:t>
      </w:r>
      <w:r w:rsidRPr="00B20A84">
        <w:rPr>
          <w:rFonts w:eastAsia="Times New Roman"/>
          <w:sz w:val="24"/>
          <w:szCs w:val="24"/>
        </w:rPr>
        <w:t xml:space="preserve"> the American Water Works Association</w:t>
      </w:r>
      <w:r w:rsidR="00C57A49">
        <w:rPr>
          <w:rFonts w:eastAsia="Times New Roman"/>
          <w:sz w:val="24"/>
          <w:szCs w:val="24"/>
        </w:rPr>
        <w:t>;</w:t>
      </w:r>
      <w:r w:rsidRPr="00B20A84">
        <w:rPr>
          <w:rFonts w:eastAsia="Times New Roman"/>
          <w:sz w:val="24"/>
          <w:szCs w:val="24"/>
        </w:rPr>
        <w:t xml:space="preserve"> and the Water Environment Federation.</w:t>
      </w:r>
    </w:p>
    <w:p w14:paraId="0BFA610D" w14:textId="77777777" w:rsidR="00AD662F" w:rsidRDefault="00AD662F">
      <w:pPr>
        <w:spacing w:line="233" w:lineRule="exact"/>
        <w:rPr>
          <w:sz w:val="20"/>
          <w:szCs w:val="20"/>
        </w:rPr>
      </w:pPr>
    </w:p>
    <w:p w14:paraId="2819CE7A" w14:textId="77777777" w:rsidR="004647B9" w:rsidRDefault="00E2436F">
      <w:pPr>
        <w:tabs>
          <w:tab w:val="left" w:pos="760"/>
        </w:tabs>
        <w:rPr>
          <w:sz w:val="20"/>
          <w:szCs w:val="20"/>
        </w:rPr>
      </w:pPr>
      <w:r>
        <w:rPr>
          <w:rFonts w:eastAsia="Times New Roman"/>
          <w:sz w:val="24"/>
          <w:szCs w:val="24"/>
          <w:u w:val="single"/>
        </w:rPr>
        <w:t>22.03:</w:t>
      </w:r>
      <w:r>
        <w:rPr>
          <w:rFonts w:eastAsia="Times New Roman"/>
          <w:sz w:val="24"/>
          <w:szCs w:val="24"/>
          <w:u w:val="single"/>
        </w:rPr>
        <w:tab/>
        <w:t>Compliance</w:t>
      </w:r>
    </w:p>
    <w:p w14:paraId="2819CE7B" w14:textId="77777777" w:rsidR="004647B9" w:rsidRDefault="004647B9">
      <w:pPr>
        <w:spacing w:line="283" w:lineRule="exact"/>
        <w:rPr>
          <w:sz w:val="20"/>
          <w:szCs w:val="20"/>
        </w:rPr>
      </w:pPr>
    </w:p>
    <w:p w14:paraId="2819CE7C" w14:textId="77777777" w:rsidR="004647B9" w:rsidRDefault="00E2436F">
      <w:pPr>
        <w:numPr>
          <w:ilvl w:val="0"/>
          <w:numId w:val="12"/>
        </w:numPr>
        <w:tabs>
          <w:tab w:val="left" w:pos="1673"/>
        </w:tabs>
        <w:spacing w:line="246" w:lineRule="auto"/>
        <w:ind w:left="1200"/>
        <w:jc w:val="both"/>
        <w:rPr>
          <w:rFonts w:eastAsia="Times New Roman"/>
          <w:sz w:val="24"/>
          <w:szCs w:val="24"/>
        </w:rPr>
      </w:pPr>
      <w:r>
        <w:rPr>
          <w:rFonts w:eastAsia="Times New Roman"/>
          <w:sz w:val="24"/>
          <w:szCs w:val="24"/>
        </w:rPr>
        <w:t xml:space="preserve">No source of water used by a Public Water System, no system of water supply used by a Public Water System, and no treatment facilities or treatment works used by a Public Water System shall be deemed by the Department to be safe, fit, or pure, or in any other way approved; and no Supplier of Water, or other Person subject to a requirement of 310 CMR 22.00 shall supply drinking water to the users of a Public Water System, including without limitation for emergency use; unless that Public Water System complies with 310 CMR 22.00. In the event of a violation of 310 CMR 22.00, the Department may establish a schedule for </w:t>
      </w:r>
      <w:r>
        <w:rPr>
          <w:rFonts w:eastAsia="Times New Roman"/>
          <w:sz w:val="24"/>
          <w:szCs w:val="24"/>
        </w:rPr>
        <w:lastRenderedPageBreak/>
        <w:t>compliance within an administrative consent order or other enforceable document that may include interim measures that the Supplier of Water must take. It shall be a violation of 310 CMR 22.00 to fail to comply with:</w:t>
      </w:r>
    </w:p>
    <w:p w14:paraId="2819CE7E" w14:textId="77777777" w:rsidR="004647B9" w:rsidRDefault="00E2436F">
      <w:pPr>
        <w:numPr>
          <w:ilvl w:val="1"/>
          <w:numId w:val="12"/>
        </w:numPr>
        <w:tabs>
          <w:tab w:val="left" w:pos="2000"/>
        </w:tabs>
        <w:ind w:left="2000" w:hanging="445"/>
        <w:rPr>
          <w:rFonts w:eastAsia="Times New Roman"/>
          <w:sz w:val="24"/>
          <w:szCs w:val="24"/>
        </w:rPr>
      </w:pPr>
      <w:r>
        <w:rPr>
          <w:rFonts w:eastAsia="Times New Roman"/>
          <w:sz w:val="24"/>
          <w:szCs w:val="24"/>
        </w:rPr>
        <w:t>any provision or requirement of 310 CMR 22.00;</w:t>
      </w:r>
    </w:p>
    <w:p w14:paraId="2819CE80" w14:textId="77777777" w:rsidR="004647B9" w:rsidRDefault="00E2436F">
      <w:pPr>
        <w:numPr>
          <w:ilvl w:val="1"/>
          <w:numId w:val="12"/>
        </w:numPr>
        <w:tabs>
          <w:tab w:val="left" w:pos="1991"/>
        </w:tabs>
        <w:spacing w:line="243" w:lineRule="auto"/>
        <w:ind w:left="1560" w:hanging="5"/>
        <w:rPr>
          <w:rFonts w:eastAsia="Times New Roman"/>
          <w:sz w:val="24"/>
          <w:szCs w:val="24"/>
        </w:rPr>
      </w:pPr>
      <w:r>
        <w:rPr>
          <w:rFonts w:eastAsia="Times New Roman"/>
          <w:sz w:val="24"/>
          <w:szCs w:val="24"/>
        </w:rPr>
        <w:t>a schedule for compliance, including any interim measures required by the Department in an administrative consent order or other enforceable document; or</w:t>
      </w:r>
    </w:p>
    <w:p w14:paraId="2819CE81" w14:textId="77777777" w:rsidR="004647B9" w:rsidRDefault="00E2436F">
      <w:pPr>
        <w:numPr>
          <w:ilvl w:val="1"/>
          <w:numId w:val="12"/>
        </w:numPr>
        <w:tabs>
          <w:tab w:val="left" w:pos="2011"/>
        </w:tabs>
        <w:spacing w:line="246" w:lineRule="auto"/>
        <w:ind w:left="1560" w:hanging="5"/>
        <w:rPr>
          <w:rFonts w:eastAsia="Times New Roman"/>
          <w:sz w:val="24"/>
          <w:szCs w:val="24"/>
        </w:rPr>
      </w:pPr>
      <w:r>
        <w:rPr>
          <w:rFonts w:eastAsia="Times New Roman"/>
          <w:sz w:val="24"/>
          <w:szCs w:val="24"/>
        </w:rPr>
        <w:t>any term or condition of a permit, written approval, registration, certification or order issued by the Department pursuant to M.G.L. c. 111, § 160 or 310 CMR 22.00.</w:t>
      </w:r>
    </w:p>
    <w:p w14:paraId="2819CE82" w14:textId="77777777" w:rsidR="004647B9" w:rsidRDefault="004647B9">
      <w:pPr>
        <w:spacing w:line="240" w:lineRule="exact"/>
        <w:rPr>
          <w:rFonts w:eastAsia="Times New Roman"/>
          <w:sz w:val="24"/>
          <w:szCs w:val="24"/>
        </w:rPr>
      </w:pPr>
    </w:p>
    <w:p w14:paraId="2819CE83" w14:textId="28257055" w:rsidR="004647B9" w:rsidRDefault="00E2436F">
      <w:pPr>
        <w:numPr>
          <w:ilvl w:val="0"/>
          <w:numId w:val="12"/>
        </w:numPr>
        <w:tabs>
          <w:tab w:val="left" w:pos="1660"/>
        </w:tabs>
        <w:spacing w:line="247" w:lineRule="auto"/>
        <w:ind w:left="1200"/>
        <w:jc w:val="both"/>
        <w:rPr>
          <w:rFonts w:eastAsia="Times New Roman"/>
          <w:sz w:val="24"/>
          <w:szCs w:val="24"/>
        </w:rPr>
      </w:pPr>
      <w:r>
        <w:rPr>
          <w:rFonts w:eastAsia="Times New Roman"/>
          <w:sz w:val="24"/>
          <w:szCs w:val="24"/>
        </w:rPr>
        <w:t>A Supplier of Water, upon request by the Department, shall sample and analyze its water for any parameter, at any location and frequency, deemed necessary to prevent the pollution of and secure the sanitary protection of waters used as sources of water supply and to ensure the delivery of a fit and pure water supply to all consumers</w:t>
      </w:r>
      <w:r w:rsidR="00773B2B">
        <w:rPr>
          <w:rFonts w:eastAsia="Times New Roman"/>
          <w:sz w:val="24"/>
          <w:szCs w:val="24"/>
        </w:rPr>
        <w:t xml:space="preserve">. All sampling and analysis </w:t>
      </w:r>
      <w:r w:rsidR="00D12312">
        <w:rPr>
          <w:rFonts w:eastAsia="Times New Roman"/>
          <w:sz w:val="24"/>
          <w:szCs w:val="24"/>
        </w:rPr>
        <w:t xml:space="preserve">deemed necessary hereunder </w:t>
      </w:r>
      <w:r w:rsidR="00773B2B">
        <w:rPr>
          <w:rFonts w:eastAsia="Times New Roman"/>
          <w:sz w:val="24"/>
          <w:szCs w:val="24"/>
        </w:rPr>
        <w:t>shall be performed</w:t>
      </w:r>
      <w:r>
        <w:rPr>
          <w:rFonts w:eastAsia="Times New Roman"/>
          <w:sz w:val="24"/>
          <w:szCs w:val="24"/>
        </w:rPr>
        <w:t xml:space="preserve"> </w:t>
      </w:r>
      <w:r w:rsidR="003C6221">
        <w:rPr>
          <w:rFonts w:eastAsia="Times New Roman"/>
          <w:sz w:val="24"/>
          <w:szCs w:val="24"/>
        </w:rPr>
        <w:t xml:space="preserve">as </w:t>
      </w:r>
      <w:r w:rsidR="009B41B0">
        <w:rPr>
          <w:rFonts w:eastAsia="Times New Roman"/>
          <w:sz w:val="24"/>
          <w:szCs w:val="24"/>
        </w:rPr>
        <w:t>directed by the Department</w:t>
      </w:r>
      <w:r w:rsidR="003C6221">
        <w:rPr>
          <w:rFonts w:eastAsia="Times New Roman"/>
          <w:sz w:val="24"/>
          <w:szCs w:val="24"/>
        </w:rPr>
        <w:t>,</w:t>
      </w:r>
      <w:r w:rsidR="009B41B0">
        <w:rPr>
          <w:rFonts w:eastAsia="Times New Roman"/>
          <w:sz w:val="24"/>
          <w:szCs w:val="24"/>
        </w:rPr>
        <w:t xml:space="preserve"> based</w:t>
      </w:r>
      <w:r w:rsidR="00242401">
        <w:rPr>
          <w:rFonts w:eastAsia="Times New Roman"/>
          <w:sz w:val="24"/>
          <w:szCs w:val="24"/>
        </w:rPr>
        <w:t xml:space="preserve"> upon</w:t>
      </w:r>
      <w:r w:rsidR="00183AC8">
        <w:rPr>
          <w:rFonts w:eastAsia="Times New Roman"/>
          <w:sz w:val="24"/>
          <w:szCs w:val="24"/>
        </w:rPr>
        <w:t xml:space="preserve"> </w:t>
      </w:r>
      <w:r w:rsidR="00183AC8" w:rsidRPr="00431480">
        <w:rPr>
          <w:rFonts w:eastAsia="Times New Roman"/>
          <w:sz w:val="24"/>
          <w:szCs w:val="24"/>
        </w:rPr>
        <w:t xml:space="preserve">any </w:t>
      </w:r>
      <w:r w:rsidR="003C6221" w:rsidRPr="00431480">
        <w:rPr>
          <w:rFonts w:eastAsia="Times New Roman"/>
          <w:sz w:val="24"/>
          <w:szCs w:val="24"/>
        </w:rPr>
        <w:t>applicable or relevant procedures specified in 310 CMR 22.00,</w:t>
      </w:r>
      <w:r w:rsidR="009B41B0" w:rsidRPr="00431480">
        <w:rPr>
          <w:rFonts w:eastAsia="Times New Roman"/>
          <w:sz w:val="24"/>
          <w:szCs w:val="24"/>
        </w:rPr>
        <w:t xml:space="preserve"> </w:t>
      </w:r>
      <w:r w:rsidR="008979B4" w:rsidRPr="00431480">
        <w:rPr>
          <w:rFonts w:eastAsia="Times New Roman"/>
          <w:sz w:val="24"/>
          <w:szCs w:val="24"/>
        </w:rPr>
        <w:t xml:space="preserve">the nature of the </w:t>
      </w:r>
      <w:r w:rsidR="00C27031" w:rsidRPr="00431480">
        <w:rPr>
          <w:rFonts w:eastAsia="Times New Roman"/>
          <w:sz w:val="24"/>
          <w:szCs w:val="24"/>
        </w:rPr>
        <w:t>requested parameter</w:t>
      </w:r>
      <w:r w:rsidR="00315579" w:rsidRPr="00431480">
        <w:rPr>
          <w:rFonts w:eastAsia="Times New Roman"/>
          <w:sz w:val="24"/>
          <w:szCs w:val="24"/>
        </w:rPr>
        <w:t>, available methodologies</w:t>
      </w:r>
      <w:r w:rsidR="00C27031" w:rsidRPr="00431480">
        <w:rPr>
          <w:rFonts w:eastAsia="Times New Roman"/>
          <w:sz w:val="24"/>
          <w:szCs w:val="24"/>
        </w:rPr>
        <w:t xml:space="preserve"> for sampling and analysis,</w:t>
      </w:r>
      <w:r w:rsidR="00315579" w:rsidRPr="00431480">
        <w:rPr>
          <w:rFonts w:eastAsia="Times New Roman"/>
          <w:sz w:val="24"/>
          <w:szCs w:val="24"/>
        </w:rPr>
        <w:t xml:space="preserve"> and site-specific conditions</w:t>
      </w:r>
      <w:r w:rsidR="008979B4" w:rsidRPr="00431480">
        <w:rPr>
          <w:rFonts w:eastAsia="Times New Roman"/>
          <w:sz w:val="24"/>
          <w:szCs w:val="24"/>
        </w:rPr>
        <w:t>.</w:t>
      </w:r>
      <w:r>
        <w:rPr>
          <w:rFonts w:eastAsia="Times New Roman"/>
          <w:sz w:val="24"/>
          <w:szCs w:val="24"/>
        </w:rPr>
        <w:t xml:space="preserve"> All results of such sampling and analysis shall be reported to the Department as directed and in accordance with 310 CMR 22.00. A Supplier of Water that fails to report such results to the Department as directed, and in accordance with 310 CMR 22.00, shall be presumed to have failed to conduct such monitoring.</w:t>
      </w:r>
    </w:p>
    <w:p w14:paraId="2819CE84" w14:textId="77777777" w:rsidR="004647B9" w:rsidRDefault="004647B9">
      <w:pPr>
        <w:sectPr w:rsidR="004647B9" w:rsidSect="00EF630C">
          <w:pgSz w:w="12240" w:h="20180"/>
          <w:pgMar w:top="708" w:right="1440" w:bottom="1018" w:left="600" w:header="0" w:footer="0" w:gutter="0"/>
          <w:cols w:space="720" w:equalWidth="0">
            <w:col w:w="10200"/>
          </w:cols>
        </w:sectPr>
      </w:pPr>
    </w:p>
    <w:p w14:paraId="2819CE85" w14:textId="77777777" w:rsidR="004647B9" w:rsidRDefault="00E2436F">
      <w:pPr>
        <w:tabs>
          <w:tab w:val="left" w:pos="160"/>
        </w:tabs>
        <w:jc w:val="center"/>
        <w:rPr>
          <w:sz w:val="20"/>
          <w:szCs w:val="20"/>
        </w:rPr>
      </w:pPr>
      <w:bookmarkStart w:id="18" w:name="page19"/>
      <w:bookmarkEnd w:id="1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E86" w14:textId="77777777" w:rsidR="004647B9" w:rsidRDefault="004647B9">
      <w:pPr>
        <w:spacing w:line="200" w:lineRule="exact"/>
        <w:rPr>
          <w:sz w:val="20"/>
          <w:szCs w:val="20"/>
        </w:rPr>
      </w:pPr>
    </w:p>
    <w:p w14:paraId="2819CE87" w14:textId="77777777" w:rsidR="004647B9" w:rsidRDefault="004647B9">
      <w:pPr>
        <w:spacing w:line="323" w:lineRule="exact"/>
        <w:rPr>
          <w:sz w:val="20"/>
          <w:szCs w:val="20"/>
        </w:rPr>
      </w:pPr>
    </w:p>
    <w:p w14:paraId="2819CE88" w14:textId="77777777" w:rsidR="004647B9" w:rsidRDefault="00E2436F">
      <w:pPr>
        <w:tabs>
          <w:tab w:val="left" w:pos="760"/>
        </w:tabs>
        <w:rPr>
          <w:sz w:val="20"/>
          <w:szCs w:val="20"/>
        </w:rPr>
      </w:pPr>
      <w:r>
        <w:rPr>
          <w:rFonts w:eastAsia="Times New Roman"/>
          <w:sz w:val="24"/>
          <w:szCs w:val="24"/>
        </w:rPr>
        <w:t>22.03:</w:t>
      </w:r>
      <w:r>
        <w:rPr>
          <w:rFonts w:eastAsia="Times New Roman"/>
          <w:sz w:val="24"/>
          <w:szCs w:val="24"/>
        </w:rPr>
        <w:tab/>
        <w:t>continued</w:t>
      </w:r>
    </w:p>
    <w:p w14:paraId="2819CE89" w14:textId="77777777" w:rsidR="004647B9" w:rsidRDefault="004647B9">
      <w:pPr>
        <w:spacing w:line="283" w:lineRule="exact"/>
        <w:rPr>
          <w:sz w:val="20"/>
          <w:szCs w:val="20"/>
        </w:rPr>
      </w:pPr>
    </w:p>
    <w:p w14:paraId="2819CE8A" w14:textId="77777777" w:rsidR="004647B9" w:rsidRDefault="00E2436F">
      <w:pPr>
        <w:numPr>
          <w:ilvl w:val="0"/>
          <w:numId w:val="13"/>
        </w:numPr>
        <w:tabs>
          <w:tab w:val="left" w:pos="1663"/>
        </w:tabs>
        <w:spacing w:line="252" w:lineRule="auto"/>
        <w:ind w:left="1200"/>
        <w:jc w:val="both"/>
        <w:rPr>
          <w:rFonts w:eastAsia="Times New Roman"/>
          <w:sz w:val="24"/>
          <w:szCs w:val="24"/>
        </w:rPr>
      </w:pPr>
      <w:r>
        <w:rPr>
          <w:rFonts w:eastAsia="Times New Roman"/>
          <w:sz w:val="24"/>
          <w:szCs w:val="24"/>
        </w:rPr>
        <w:t>310 CMR 22.00 shall apply to every Public Water System in the Commonwealth, except a consecutive Public Water System which demonstrates to the Department's satisfaction that it meets all the following Criteria:</w:t>
      </w:r>
    </w:p>
    <w:p w14:paraId="2819CE8C" w14:textId="77777777" w:rsidR="004647B9" w:rsidRDefault="00E2436F">
      <w:pPr>
        <w:numPr>
          <w:ilvl w:val="1"/>
          <w:numId w:val="13"/>
        </w:numPr>
        <w:tabs>
          <w:tab w:val="left" w:pos="1966"/>
        </w:tabs>
        <w:spacing w:line="243" w:lineRule="auto"/>
        <w:ind w:left="1560" w:hanging="5"/>
        <w:rPr>
          <w:rFonts w:eastAsia="Times New Roman"/>
          <w:sz w:val="24"/>
          <w:szCs w:val="24"/>
        </w:rPr>
      </w:pPr>
      <w:r>
        <w:rPr>
          <w:rFonts w:eastAsia="Times New Roman"/>
          <w:sz w:val="24"/>
          <w:szCs w:val="24"/>
        </w:rPr>
        <w:t>The consecutive system consists only of distribution and storage facilities (and does not have any collection and treatment facilities);</w:t>
      </w:r>
    </w:p>
    <w:p w14:paraId="2819CE8D" w14:textId="77777777" w:rsidR="004647B9" w:rsidRDefault="00E2436F">
      <w:pPr>
        <w:numPr>
          <w:ilvl w:val="1"/>
          <w:numId w:val="13"/>
        </w:numPr>
        <w:tabs>
          <w:tab w:val="left" w:pos="1975"/>
        </w:tabs>
        <w:spacing w:line="243" w:lineRule="auto"/>
        <w:ind w:left="1560" w:hanging="5"/>
        <w:rPr>
          <w:rFonts w:eastAsia="Times New Roman"/>
          <w:sz w:val="24"/>
          <w:szCs w:val="24"/>
        </w:rPr>
      </w:pPr>
      <w:r>
        <w:rPr>
          <w:rFonts w:eastAsia="Times New Roman"/>
          <w:sz w:val="24"/>
          <w:szCs w:val="24"/>
        </w:rPr>
        <w:t>The consecutive system obtains all of its water from but is not owned by or operated by, a Public Water System which is subject to 310 CMR 22.00;</w:t>
      </w:r>
    </w:p>
    <w:p w14:paraId="2819CE8E" w14:textId="77777777" w:rsidR="004647B9" w:rsidRDefault="00E2436F">
      <w:pPr>
        <w:numPr>
          <w:ilvl w:val="1"/>
          <w:numId w:val="13"/>
        </w:numPr>
        <w:tabs>
          <w:tab w:val="left" w:pos="2000"/>
        </w:tabs>
        <w:ind w:left="2000" w:hanging="445"/>
        <w:rPr>
          <w:rFonts w:eastAsia="Times New Roman"/>
          <w:sz w:val="24"/>
          <w:szCs w:val="24"/>
        </w:rPr>
      </w:pPr>
      <w:r>
        <w:rPr>
          <w:rFonts w:eastAsia="Times New Roman"/>
          <w:sz w:val="24"/>
          <w:szCs w:val="24"/>
        </w:rPr>
        <w:t>The consecutive system does not sell water to any Person;</w:t>
      </w:r>
    </w:p>
    <w:p w14:paraId="2819CE90" w14:textId="77777777" w:rsidR="004647B9" w:rsidRDefault="00E2436F">
      <w:pPr>
        <w:numPr>
          <w:ilvl w:val="1"/>
          <w:numId w:val="13"/>
        </w:numPr>
        <w:tabs>
          <w:tab w:val="left" w:pos="2020"/>
        </w:tabs>
        <w:ind w:left="2020" w:hanging="465"/>
        <w:rPr>
          <w:rFonts w:eastAsia="Times New Roman"/>
          <w:sz w:val="24"/>
          <w:szCs w:val="24"/>
        </w:rPr>
      </w:pPr>
      <w:r>
        <w:rPr>
          <w:rFonts w:eastAsia="Times New Roman"/>
          <w:sz w:val="24"/>
          <w:szCs w:val="24"/>
        </w:rPr>
        <w:t>The consecutive system is not a carrier which conveys passengers in commerce; and</w:t>
      </w:r>
    </w:p>
    <w:p w14:paraId="2819CE92" w14:textId="77777777" w:rsidR="004647B9" w:rsidRPr="00825DA2" w:rsidRDefault="00E2436F">
      <w:pPr>
        <w:numPr>
          <w:ilvl w:val="1"/>
          <w:numId w:val="13"/>
        </w:numPr>
        <w:tabs>
          <w:tab w:val="left" w:pos="1956"/>
        </w:tabs>
        <w:spacing w:line="258" w:lineRule="auto"/>
        <w:ind w:left="1560" w:hanging="5"/>
        <w:jc w:val="both"/>
        <w:rPr>
          <w:rFonts w:eastAsia="Times New Roman"/>
          <w:sz w:val="24"/>
          <w:szCs w:val="24"/>
        </w:rPr>
      </w:pPr>
      <w:r w:rsidRPr="00825DA2">
        <w:rPr>
          <w:rFonts w:eastAsia="Times New Roman"/>
          <w:sz w:val="24"/>
          <w:szCs w:val="24"/>
        </w:rPr>
        <w:t>The consecutive system and the supplying system have entered into a written agreement that addresses the status and responsibilities of the parties for the ownership, operation and maintenance of the combined system, including but not limited to, drinking water sources, treatment facilities, Distribution System, storage and water quality sampling.</w:t>
      </w:r>
    </w:p>
    <w:p w14:paraId="2819CE93" w14:textId="77777777" w:rsidR="004647B9" w:rsidRPr="00825DA2" w:rsidRDefault="004647B9">
      <w:pPr>
        <w:spacing w:line="228" w:lineRule="exact"/>
        <w:rPr>
          <w:rFonts w:eastAsia="Times New Roman"/>
          <w:sz w:val="24"/>
          <w:szCs w:val="24"/>
        </w:rPr>
      </w:pPr>
    </w:p>
    <w:p w14:paraId="2819CE94" w14:textId="77777777" w:rsidR="004647B9" w:rsidRDefault="00E2436F">
      <w:pPr>
        <w:numPr>
          <w:ilvl w:val="0"/>
          <w:numId w:val="13"/>
        </w:numPr>
        <w:tabs>
          <w:tab w:val="left" w:pos="1732"/>
        </w:tabs>
        <w:spacing w:line="249" w:lineRule="auto"/>
        <w:ind w:left="1200"/>
        <w:jc w:val="both"/>
        <w:rPr>
          <w:rFonts w:eastAsia="Times New Roman"/>
          <w:sz w:val="24"/>
          <w:szCs w:val="24"/>
        </w:rPr>
      </w:pPr>
      <w:r>
        <w:rPr>
          <w:rFonts w:eastAsia="Times New Roman"/>
          <w:sz w:val="24"/>
          <w:szCs w:val="24"/>
        </w:rPr>
        <w:t>If the Department determines that a consecutive Public Water System is exempt from 310 CMR 22.00 based on the consecutive system meeting the criteria in 310 CMR 22.03(3)(a) through (e), the supplying system shall thereafter be responsible for the compliance of the combined system with 310 CMR 22.00, including the requirement to obtain the Department's approval for a Substantial Modification to an existing Public Water System pursuant to 310 CMR 22.04.</w:t>
      </w:r>
    </w:p>
    <w:p w14:paraId="2819CE95" w14:textId="77777777" w:rsidR="004647B9" w:rsidRDefault="004647B9">
      <w:pPr>
        <w:spacing w:line="238" w:lineRule="exact"/>
        <w:rPr>
          <w:rFonts w:eastAsia="Times New Roman"/>
          <w:sz w:val="24"/>
          <w:szCs w:val="24"/>
        </w:rPr>
      </w:pPr>
    </w:p>
    <w:p w14:paraId="2819CE96" w14:textId="3D3C49CC" w:rsidR="004647B9" w:rsidRPr="00825DA2" w:rsidRDefault="00E2436F">
      <w:pPr>
        <w:numPr>
          <w:ilvl w:val="0"/>
          <w:numId w:val="13"/>
        </w:numPr>
        <w:tabs>
          <w:tab w:val="left" w:pos="1660"/>
        </w:tabs>
        <w:ind w:left="1660" w:hanging="460"/>
        <w:rPr>
          <w:rFonts w:eastAsia="Times New Roman"/>
          <w:sz w:val="24"/>
          <w:szCs w:val="24"/>
        </w:rPr>
      </w:pPr>
      <w:r w:rsidRPr="00825DA2">
        <w:rPr>
          <w:rFonts w:eastAsia="Times New Roman"/>
          <w:sz w:val="24"/>
          <w:szCs w:val="24"/>
        </w:rPr>
        <w:t>Where the Department, in consultation with the Department of Public Health, determines</w:t>
      </w:r>
      <w:r w:rsidR="00DF7B78">
        <w:rPr>
          <w:rFonts w:eastAsia="Times New Roman"/>
          <w:sz w:val="24"/>
          <w:szCs w:val="24"/>
        </w:rPr>
        <w:t xml:space="preserve"> that:</w:t>
      </w:r>
    </w:p>
    <w:p w14:paraId="2819CE9A" w14:textId="77777777" w:rsidR="004647B9" w:rsidRPr="00825DA2" w:rsidRDefault="00E2436F">
      <w:pPr>
        <w:numPr>
          <w:ilvl w:val="1"/>
          <w:numId w:val="13"/>
        </w:numPr>
        <w:tabs>
          <w:tab w:val="left" w:pos="2000"/>
        </w:tabs>
        <w:ind w:left="2000" w:hanging="445"/>
        <w:rPr>
          <w:rFonts w:eastAsia="Times New Roman"/>
          <w:sz w:val="24"/>
          <w:szCs w:val="24"/>
        </w:rPr>
      </w:pPr>
      <w:r w:rsidRPr="00825DA2">
        <w:rPr>
          <w:rFonts w:eastAsia="Times New Roman"/>
          <w:sz w:val="24"/>
          <w:szCs w:val="24"/>
        </w:rPr>
        <w:t>a Supplier of Water is supplying drinking water in violation of 310 CMR 22.00; and</w:t>
      </w:r>
    </w:p>
    <w:p w14:paraId="2819CE9C" w14:textId="77777777" w:rsidR="004647B9" w:rsidRPr="00825DA2" w:rsidRDefault="00E2436F">
      <w:pPr>
        <w:numPr>
          <w:ilvl w:val="1"/>
          <w:numId w:val="13"/>
        </w:numPr>
        <w:tabs>
          <w:tab w:val="left" w:pos="2005"/>
        </w:tabs>
        <w:spacing w:line="256" w:lineRule="auto"/>
        <w:ind w:left="1560" w:hanging="5"/>
        <w:jc w:val="both"/>
        <w:rPr>
          <w:rFonts w:eastAsia="Times New Roman"/>
          <w:sz w:val="24"/>
          <w:szCs w:val="24"/>
        </w:rPr>
      </w:pPr>
      <w:r w:rsidRPr="00825DA2">
        <w:rPr>
          <w:rFonts w:eastAsia="Times New Roman"/>
          <w:sz w:val="24"/>
          <w:szCs w:val="24"/>
        </w:rPr>
        <w:t>an order to cease supplying such water would pose a significantly greater hazard to the public health than the continued supplying of such water in violation of 310 CMR 22.00, the Department may authorize the supplying of such water subject to such conditions as may be imposed by the Commissioner, but only for a temporary, non-renewable period not to exceed the amount of time the Supplier of Water reasonably needs to either eliminate the violation or promptly apply for and obtain a variance or exemption.</w:t>
      </w:r>
    </w:p>
    <w:p w14:paraId="2819CE9D" w14:textId="77777777" w:rsidR="004647B9" w:rsidRPr="00077B05" w:rsidRDefault="004647B9">
      <w:pPr>
        <w:spacing w:line="231" w:lineRule="exact"/>
        <w:rPr>
          <w:rFonts w:eastAsia="Times New Roman"/>
          <w:sz w:val="24"/>
          <w:szCs w:val="24"/>
        </w:rPr>
      </w:pPr>
    </w:p>
    <w:p w14:paraId="2819CE9E" w14:textId="77777777" w:rsidR="004647B9" w:rsidRDefault="00E2436F">
      <w:pPr>
        <w:numPr>
          <w:ilvl w:val="0"/>
          <w:numId w:val="13"/>
        </w:numPr>
        <w:tabs>
          <w:tab w:val="left" w:pos="1788"/>
        </w:tabs>
        <w:spacing w:line="254" w:lineRule="auto"/>
        <w:ind w:left="1200"/>
        <w:jc w:val="both"/>
        <w:rPr>
          <w:rFonts w:eastAsia="Times New Roman"/>
          <w:sz w:val="24"/>
          <w:szCs w:val="24"/>
        </w:rPr>
      </w:pPr>
      <w:r>
        <w:rPr>
          <w:rFonts w:eastAsia="Times New Roman"/>
          <w:sz w:val="24"/>
          <w:szCs w:val="24"/>
        </w:rPr>
        <w:t>The Department shall report all violations of 310 CMR 22.00 to the Massachusetts Department of Public Health promptly upon obtaining knowledge of such violations, and shall consult with the Massachusetts Department of Public Health with regard to enforcement actions taken to obtain compliance with 310 CMR 22.00.</w:t>
      </w:r>
    </w:p>
    <w:p w14:paraId="2819CE9F" w14:textId="77777777" w:rsidR="004647B9" w:rsidRDefault="004647B9">
      <w:pPr>
        <w:spacing w:line="230" w:lineRule="exact"/>
        <w:rPr>
          <w:rFonts w:eastAsia="Times New Roman"/>
          <w:sz w:val="24"/>
          <w:szCs w:val="24"/>
        </w:rPr>
      </w:pPr>
    </w:p>
    <w:p w14:paraId="2819CEA0" w14:textId="77777777" w:rsidR="004647B9" w:rsidRDefault="00E2436F">
      <w:pPr>
        <w:numPr>
          <w:ilvl w:val="0"/>
          <w:numId w:val="13"/>
        </w:numPr>
        <w:tabs>
          <w:tab w:val="left" w:pos="1620"/>
        </w:tabs>
        <w:spacing w:line="253" w:lineRule="auto"/>
        <w:ind w:left="1200"/>
        <w:jc w:val="both"/>
        <w:rPr>
          <w:rFonts w:eastAsia="Times New Roman"/>
          <w:sz w:val="24"/>
          <w:szCs w:val="24"/>
        </w:rPr>
      </w:pPr>
      <w:r>
        <w:rPr>
          <w:rFonts w:eastAsia="Times New Roman"/>
          <w:sz w:val="24"/>
          <w:szCs w:val="24"/>
        </w:rPr>
        <w:t>No Person shall violate, or cause to be violated, any municipal zoning or nonzoning control that is required as part of a Department-issued approval of a Groundwater source or Surface Water Source for public water supply approval pursuant to 310 CMR 22.20C or 22.21(2), or a requirement of an approved watershed protection/control program.</w:t>
      </w:r>
    </w:p>
    <w:p w14:paraId="2819CEA1" w14:textId="77777777" w:rsidR="004647B9" w:rsidRDefault="004647B9">
      <w:pPr>
        <w:spacing w:line="233" w:lineRule="exact"/>
        <w:rPr>
          <w:rFonts w:eastAsia="Times New Roman"/>
          <w:sz w:val="24"/>
          <w:szCs w:val="24"/>
        </w:rPr>
      </w:pPr>
    </w:p>
    <w:p w14:paraId="2819CEA2" w14:textId="3F5335B6" w:rsidR="004647B9" w:rsidRDefault="00E2436F">
      <w:pPr>
        <w:numPr>
          <w:ilvl w:val="0"/>
          <w:numId w:val="13"/>
        </w:numPr>
        <w:tabs>
          <w:tab w:val="left" w:pos="1775"/>
        </w:tabs>
        <w:spacing w:line="246" w:lineRule="auto"/>
        <w:ind w:left="1200"/>
        <w:jc w:val="both"/>
        <w:rPr>
          <w:rFonts w:eastAsia="Times New Roman"/>
          <w:sz w:val="24"/>
          <w:szCs w:val="24"/>
        </w:rPr>
      </w:pPr>
      <w:r w:rsidRPr="4FEF7CFA">
        <w:rPr>
          <w:rFonts w:eastAsia="Times New Roman"/>
          <w:sz w:val="24"/>
          <w:szCs w:val="24"/>
        </w:rPr>
        <w:t xml:space="preserve">In the event the Department finds on the basis of a health assessment made by the Department's Office of Research and Standards that the level of any contaminant found in water collected within a Distribution System and/or at a Sampling Point at the entry to a Distribution System, poses an unacceptable health risk to consumers, acting alone or in combination with other contaminants, the Supplier of Water shall take appropriate actions to reduce the level of contaminant concentrations to levels the Department deems safe or remove the source of supply from service by the deadline specified by the Department. The Supplier of Water shall monitor the source as directed by the Department, provide public notification </w:t>
      </w:r>
      <w:r w:rsidR="002F21A4">
        <w:rPr>
          <w:rFonts w:eastAsia="Times New Roman"/>
          <w:sz w:val="24"/>
          <w:szCs w:val="24"/>
        </w:rPr>
        <w:t xml:space="preserve">as </w:t>
      </w:r>
      <w:r w:rsidR="00493636">
        <w:rPr>
          <w:rFonts w:eastAsia="Times New Roman"/>
          <w:sz w:val="24"/>
          <w:szCs w:val="24"/>
        </w:rPr>
        <w:t>directed by the Department</w:t>
      </w:r>
      <w:r w:rsidR="00C60D2A">
        <w:rPr>
          <w:rFonts w:eastAsia="Times New Roman"/>
          <w:sz w:val="24"/>
          <w:szCs w:val="24"/>
        </w:rPr>
        <w:t xml:space="preserve"> </w:t>
      </w:r>
      <w:r w:rsidRPr="4FEF7CFA">
        <w:rPr>
          <w:rFonts w:eastAsia="Times New Roman"/>
          <w:sz w:val="24"/>
          <w:szCs w:val="24"/>
        </w:rPr>
        <w:t xml:space="preserve">and </w:t>
      </w:r>
      <w:r w:rsidR="004641C2">
        <w:rPr>
          <w:rFonts w:eastAsia="Times New Roman"/>
          <w:sz w:val="24"/>
          <w:szCs w:val="24"/>
        </w:rPr>
        <w:t>promptly</w:t>
      </w:r>
      <w:r w:rsidRPr="4FEF7CFA">
        <w:rPr>
          <w:rFonts w:eastAsia="Times New Roman"/>
          <w:sz w:val="24"/>
          <w:szCs w:val="24"/>
        </w:rPr>
        <w:t xml:space="preserve"> notify the Department of the actions it intends to take in response to a finding that a source of supply poses an unacceptable risk to health.</w:t>
      </w:r>
    </w:p>
    <w:p w14:paraId="2819CEA3" w14:textId="7F4BD6BF" w:rsidR="004647B9" w:rsidRDefault="004647B9">
      <w:pPr>
        <w:sectPr w:rsidR="004647B9" w:rsidSect="00EF630C">
          <w:pgSz w:w="12240" w:h="20180"/>
          <w:pgMar w:top="708" w:right="1440" w:bottom="1440" w:left="600" w:header="0" w:footer="0" w:gutter="0"/>
          <w:cols w:space="720" w:equalWidth="0">
            <w:col w:w="10200"/>
          </w:cols>
        </w:sectPr>
      </w:pPr>
    </w:p>
    <w:p w14:paraId="2819CEA4" w14:textId="77777777" w:rsidR="004647B9" w:rsidRDefault="00E2436F">
      <w:pPr>
        <w:tabs>
          <w:tab w:val="left" w:pos="160"/>
        </w:tabs>
        <w:jc w:val="center"/>
        <w:rPr>
          <w:sz w:val="20"/>
          <w:szCs w:val="20"/>
        </w:rPr>
      </w:pPr>
      <w:bookmarkStart w:id="19" w:name="page20"/>
      <w:bookmarkEnd w:id="1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EA5" w14:textId="77777777" w:rsidR="004647B9" w:rsidRDefault="004647B9">
      <w:pPr>
        <w:spacing w:line="200" w:lineRule="exact"/>
        <w:rPr>
          <w:sz w:val="20"/>
          <w:szCs w:val="20"/>
        </w:rPr>
      </w:pPr>
    </w:p>
    <w:p w14:paraId="2819CEA6" w14:textId="77777777" w:rsidR="004647B9" w:rsidRDefault="004647B9">
      <w:pPr>
        <w:spacing w:line="323" w:lineRule="exact"/>
        <w:rPr>
          <w:sz w:val="20"/>
          <w:szCs w:val="20"/>
        </w:rPr>
      </w:pPr>
    </w:p>
    <w:p w14:paraId="2819CEA7" w14:textId="77777777" w:rsidR="004647B9" w:rsidRDefault="00E2436F">
      <w:pPr>
        <w:tabs>
          <w:tab w:val="left" w:pos="760"/>
        </w:tabs>
        <w:rPr>
          <w:sz w:val="20"/>
          <w:szCs w:val="20"/>
        </w:rPr>
      </w:pPr>
      <w:r>
        <w:rPr>
          <w:rFonts w:eastAsia="Times New Roman"/>
          <w:sz w:val="24"/>
          <w:szCs w:val="24"/>
        </w:rPr>
        <w:t>22.03:</w:t>
      </w:r>
      <w:r>
        <w:rPr>
          <w:rFonts w:eastAsia="Times New Roman"/>
          <w:sz w:val="24"/>
          <w:szCs w:val="24"/>
        </w:rPr>
        <w:tab/>
        <w:t>continued</w:t>
      </w:r>
    </w:p>
    <w:p w14:paraId="2819CEA8" w14:textId="77777777" w:rsidR="004647B9" w:rsidRDefault="004647B9">
      <w:pPr>
        <w:spacing w:line="283" w:lineRule="exact"/>
        <w:rPr>
          <w:sz w:val="20"/>
          <w:szCs w:val="20"/>
        </w:rPr>
      </w:pPr>
    </w:p>
    <w:p w14:paraId="2819CEA9" w14:textId="77777777" w:rsidR="004647B9" w:rsidRDefault="00E2436F">
      <w:pPr>
        <w:numPr>
          <w:ilvl w:val="0"/>
          <w:numId w:val="14"/>
        </w:numPr>
        <w:tabs>
          <w:tab w:val="left" w:pos="1660"/>
        </w:tabs>
        <w:ind w:left="1660" w:hanging="460"/>
        <w:rPr>
          <w:rFonts w:eastAsia="Times New Roman"/>
          <w:sz w:val="24"/>
          <w:szCs w:val="24"/>
        </w:rPr>
      </w:pPr>
      <w:r>
        <w:rPr>
          <w:rFonts w:eastAsia="Times New Roman"/>
          <w:sz w:val="24"/>
          <w:szCs w:val="24"/>
          <w:u w:val="single"/>
        </w:rPr>
        <w:t>Schedule for Compliance</w:t>
      </w:r>
      <w:r>
        <w:rPr>
          <w:rFonts w:eastAsia="Times New Roman"/>
          <w:sz w:val="24"/>
          <w:szCs w:val="24"/>
        </w:rPr>
        <w:t>.</w:t>
      </w:r>
    </w:p>
    <w:p w14:paraId="2819CEAB" w14:textId="77777777" w:rsidR="004647B9" w:rsidRPr="003F1D5E" w:rsidRDefault="00E2436F">
      <w:pPr>
        <w:numPr>
          <w:ilvl w:val="1"/>
          <w:numId w:val="14"/>
        </w:numPr>
        <w:tabs>
          <w:tab w:val="left" w:pos="2011"/>
        </w:tabs>
        <w:spacing w:line="253" w:lineRule="auto"/>
        <w:ind w:left="1560" w:hanging="5"/>
        <w:jc w:val="both"/>
        <w:rPr>
          <w:rFonts w:eastAsia="Times New Roman"/>
          <w:sz w:val="24"/>
          <w:szCs w:val="24"/>
        </w:rPr>
      </w:pPr>
      <w:r w:rsidRPr="003F1D5E">
        <w:rPr>
          <w:rFonts w:eastAsia="Times New Roman"/>
          <w:sz w:val="24"/>
          <w:szCs w:val="24"/>
        </w:rPr>
        <w:t>No Supplier of Water shall violate, or cause to be violated, any Treatment Technique requirement established by 310 CMR 22.20A. A Supplier of Water subject to one or more Treatment Technique requirements shall take appropriate action to timely come into compliance with each such requirement. The Department may require a Supplier of Water to notify the Department of the actions it intends to take to come into compliance with each Treatment Technique requirement. Each such notice must include, at a minimum, a schedule that includes the dates by which the Supplier of Water will hire a professional engineer to prepare plans and specifications, submit draft and final design plans and specifications to the Department for approval, request bids for construction, award a contract for construction, and commence and complete construction of the work necessary.</w:t>
      </w:r>
    </w:p>
    <w:p w14:paraId="2819CEAD" w14:textId="77777777" w:rsidR="004647B9" w:rsidRDefault="00E2436F">
      <w:pPr>
        <w:numPr>
          <w:ilvl w:val="1"/>
          <w:numId w:val="14"/>
        </w:numPr>
        <w:tabs>
          <w:tab w:val="left" w:pos="2070"/>
        </w:tabs>
        <w:spacing w:line="243" w:lineRule="auto"/>
        <w:ind w:left="1560" w:hanging="5"/>
        <w:jc w:val="both"/>
        <w:rPr>
          <w:rFonts w:eastAsia="Times New Roman"/>
          <w:sz w:val="24"/>
          <w:szCs w:val="24"/>
        </w:rPr>
      </w:pPr>
      <w:r>
        <w:rPr>
          <w:rFonts w:eastAsia="Times New Roman"/>
          <w:sz w:val="24"/>
          <w:szCs w:val="24"/>
        </w:rPr>
        <w:t>If an extension is required to meet an Action Level, Treatment Technique, or other requirement established by 310 CMR 22.00, the Department will set a schedule for compliance with an administrative consent order or other enforceable document and may specify any interim measures that the Supplier of Water must take. Failure to meet the schedule or interim measures constitutes a violation of 310 CMR 22.00.</w:t>
      </w:r>
    </w:p>
    <w:p w14:paraId="2819CEAE" w14:textId="77777777" w:rsidR="004647B9" w:rsidRDefault="004647B9">
      <w:pPr>
        <w:spacing w:line="246" w:lineRule="exact"/>
        <w:rPr>
          <w:rFonts w:eastAsia="Times New Roman"/>
          <w:sz w:val="24"/>
          <w:szCs w:val="24"/>
        </w:rPr>
      </w:pPr>
    </w:p>
    <w:p w14:paraId="2819CEAF" w14:textId="77777777" w:rsidR="004647B9" w:rsidRDefault="00E2436F">
      <w:pPr>
        <w:numPr>
          <w:ilvl w:val="0"/>
          <w:numId w:val="14"/>
        </w:numPr>
        <w:tabs>
          <w:tab w:val="left" w:pos="1843"/>
        </w:tabs>
        <w:spacing w:line="248" w:lineRule="auto"/>
        <w:ind w:left="1200"/>
        <w:jc w:val="both"/>
        <w:rPr>
          <w:rFonts w:eastAsia="Times New Roman"/>
          <w:sz w:val="24"/>
          <w:szCs w:val="24"/>
        </w:rPr>
      </w:pPr>
      <w:r>
        <w:rPr>
          <w:rFonts w:eastAsia="Times New Roman"/>
          <w:sz w:val="24"/>
          <w:szCs w:val="24"/>
        </w:rPr>
        <w:t xml:space="preserve">All water quality data submitted to the Department shall be analyzed by a laboratory certified pursuant to 310 CMR 42.00: </w:t>
      </w:r>
      <w:r>
        <w:rPr>
          <w:rFonts w:eastAsia="Times New Roman"/>
          <w:i/>
          <w:iCs/>
          <w:sz w:val="24"/>
          <w:szCs w:val="24"/>
        </w:rPr>
        <w:t>Certification and Operation of Environmental Analysis</w:t>
      </w:r>
      <w:r>
        <w:rPr>
          <w:rFonts w:eastAsia="Times New Roman"/>
          <w:sz w:val="24"/>
          <w:szCs w:val="24"/>
        </w:rPr>
        <w:t xml:space="preserve"> </w:t>
      </w:r>
      <w:r>
        <w:rPr>
          <w:rFonts w:eastAsia="Times New Roman"/>
          <w:i/>
          <w:iCs/>
          <w:sz w:val="24"/>
          <w:szCs w:val="24"/>
        </w:rPr>
        <w:t xml:space="preserve">Laboratories </w:t>
      </w:r>
      <w:r>
        <w:rPr>
          <w:rFonts w:eastAsia="Times New Roman"/>
          <w:sz w:val="24"/>
          <w:szCs w:val="24"/>
        </w:rPr>
        <w:t>unless otherwise specified by the Department. All water quality data for</w:t>
      </w:r>
      <w:r>
        <w:rPr>
          <w:rFonts w:eastAsia="Times New Roman"/>
          <w:i/>
          <w:iCs/>
          <w:sz w:val="24"/>
          <w:szCs w:val="24"/>
        </w:rPr>
        <w:t xml:space="preserve"> </w:t>
      </w:r>
      <w:r>
        <w:rPr>
          <w:rFonts w:eastAsia="Times New Roman"/>
          <w:sz w:val="24"/>
          <w:szCs w:val="24"/>
        </w:rPr>
        <w:t>contaminants listed in 310 CMR 22.00, including additional and voluntary samples, shall be submitted to the Department, unless otherwise specified by the Department. All sample collection, handling and preservation shall be subject to the following procedures:</w:t>
      </w:r>
    </w:p>
    <w:p w14:paraId="2819CEB0" w14:textId="77777777" w:rsidR="004647B9" w:rsidRDefault="00E2436F">
      <w:pPr>
        <w:numPr>
          <w:ilvl w:val="1"/>
          <w:numId w:val="14"/>
        </w:numPr>
        <w:tabs>
          <w:tab w:val="left" w:pos="1999"/>
        </w:tabs>
        <w:spacing w:line="242" w:lineRule="auto"/>
        <w:ind w:left="1560" w:hanging="5"/>
        <w:jc w:val="both"/>
        <w:rPr>
          <w:rFonts w:eastAsia="Times New Roman"/>
          <w:sz w:val="24"/>
          <w:szCs w:val="24"/>
        </w:rPr>
      </w:pPr>
      <w:r>
        <w:rPr>
          <w:rFonts w:eastAsia="Times New Roman"/>
          <w:sz w:val="24"/>
          <w:szCs w:val="24"/>
        </w:rPr>
        <w:t>those procedures referenced or defined in 310 CMR 22.00. Samples shall be stored in such a way that cross-contamination from other samples, standards or reagents is avoided; and</w:t>
      </w:r>
    </w:p>
    <w:p w14:paraId="2819CEB2" w14:textId="77777777" w:rsidR="004647B9" w:rsidRDefault="00E2436F">
      <w:pPr>
        <w:numPr>
          <w:ilvl w:val="1"/>
          <w:numId w:val="14"/>
        </w:numPr>
        <w:tabs>
          <w:tab w:val="left" w:pos="2078"/>
        </w:tabs>
        <w:spacing w:line="243" w:lineRule="auto"/>
        <w:ind w:left="1560" w:hanging="5"/>
        <w:jc w:val="both"/>
        <w:rPr>
          <w:rFonts w:eastAsia="Times New Roman"/>
          <w:sz w:val="24"/>
          <w:szCs w:val="24"/>
        </w:rPr>
      </w:pPr>
      <w:r>
        <w:rPr>
          <w:rFonts w:eastAsia="Times New Roman"/>
          <w:sz w:val="24"/>
          <w:szCs w:val="24"/>
        </w:rPr>
        <w:t>a Supplier of Water shall maintain a copy of the chain-of-custody for each sample collected, shall retain said copy for the same time period applicable to the corresponding sample reports as specified in 310 CMR 22.17, and shall provide a copy to the Department upon request. Chain of custody information shall be recorded for all samples, including those shipped by mail or courier, using either a chain-of-custody form that accompanies the samples or an electronic tracking system meeting at a minimum, generally accepted industry standards for establishing a chain of custody by such means. Chain-of-custody information shall include:</w:t>
      </w:r>
    </w:p>
    <w:p w14:paraId="2819CEB4" w14:textId="77777777" w:rsidR="004647B9" w:rsidRDefault="00E2436F">
      <w:pPr>
        <w:numPr>
          <w:ilvl w:val="2"/>
          <w:numId w:val="14"/>
        </w:numPr>
        <w:tabs>
          <w:tab w:val="left" w:pos="2280"/>
        </w:tabs>
        <w:ind w:left="2280" w:hanging="365"/>
        <w:rPr>
          <w:rFonts w:eastAsia="Times New Roman"/>
          <w:sz w:val="24"/>
          <w:szCs w:val="24"/>
        </w:rPr>
      </w:pPr>
      <w:r>
        <w:rPr>
          <w:rFonts w:eastAsia="Times New Roman"/>
          <w:sz w:val="24"/>
          <w:szCs w:val="24"/>
        </w:rPr>
        <w:t>sample number;</w:t>
      </w:r>
    </w:p>
    <w:p w14:paraId="2819CEB6" w14:textId="77777777" w:rsidR="004647B9" w:rsidRDefault="00E2436F">
      <w:pPr>
        <w:numPr>
          <w:ilvl w:val="2"/>
          <w:numId w:val="14"/>
        </w:numPr>
        <w:tabs>
          <w:tab w:val="left" w:pos="2280"/>
        </w:tabs>
        <w:ind w:left="2280" w:hanging="365"/>
        <w:rPr>
          <w:rFonts w:eastAsia="Times New Roman"/>
          <w:sz w:val="24"/>
          <w:szCs w:val="24"/>
        </w:rPr>
      </w:pPr>
      <w:r>
        <w:rPr>
          <w:rFonts w:eastAsia="Times New Roman"/>
          <w:sz w:val="24"/>
          <w:szCs w:val="24"/>
        </w:rPr>
        <w:t>sample description including any preservation (</w:t>
      </w:r>
      <w:r>
        <w:rPr>
          <w:rFonts w:eastAsia="Times New Roman"/>
          <w:i/>
          <w:iCs/>
          <w:sz w:val="24"/>
          <w:szCs w:val="24"/>
        </w:rPr>
        <w:t>e.g</w:t>
      </w:r>
      <w:r>
        <w:rPr>
          <w:rFonts w:eastAsia="Times New Roman"/>
          <w:sz w:val="24"/>
          <w:szCs w:val="24"/>
        </w:rPr>
        <w:t xml:space="preserve">., chemical, thermal, </w:t>
      </w:r>
      <w:r>
        <w:rPr>
          <w:rFonts w:eastAsia="Times New Roman"/>
          <w:i/>
          <w:iCs/>
          <w:sz w:val="24"/>
          <w:szCs w:val="24"/>
        </w:rPr>
        <w:t>etc</w:t>
      </w:r>
      <w:r>
        <w:rPr>
          <w:rFonts w:eastAsia="Times New Roman"/>
          <w:sz w:val="24"/>
          <w:szCs w:val="24"/>
        </w:rPr>
        <w:t>.) used;</w:t>
      </w:r>
    </w:p>
    <w:p w14:paraId="2819CEB8" w14:textId="77777777" w:rsidR="004647B9" w:rsidRDefault="00E2436F">
      <w:pPr>
        <w:numPr>
          <w:ilvl w:val="2"/>
          <w:numId w:val="14"/>
        </w:numPr>
        <w:tabs>
          <w:tab w:val="left" w:pos="2280"/>
        </w:tabs>
        <w:ind w:left="2280" w:hanging="365"/>
        <w:rPr>
          <w:rFonts w:eastAsia="Times New Roman"/>
          <w:sz w:val="24"/>
          <w:szCs w:val="24"/>
        </w:rPr>
      </w:pPr>
      <w:r>
        <w:rPr>
          <w:rFonts w:eastAsia="Times New Roman"/>
          <w:sz w:val="24"/>
          <w:szCs w:val="24"/>
        </w:rPr>
        <w:t>date and time of sample collection;</w:t>
      </w:r>
    </w:p>
    <w:p w14:paraId="2819CEBA" w14:textId="77777777" w:rsidR="004647B9" w:rsidRDefault="00E2436F">
      <w:pPr>
        <w:numPr>
          <w:ilvl w:val="2"/>
          <w:numId w:val="14"/>
        </w:numPr>
        <w:tabs>
          <w:tab w:val="left" w:pos="2280"/>
        </w:tabs>
        <w:ind w:left="2280" w:hanging="365"/>
        <w:rPr>
          <w:rFonts w:eastAsia="Times New Roman"/>
          <w:sz w:val="24"/>
          <w:szCs w:val="24"/>
        </w:rPr>
      </w:pPr>
      <w:r>
        <w:rPr>
          <w:rFonts w:eastAsia="Times New Roman"/>
          <w:sz w:val="24"/>
          <w:szCs w:val="24"/>
        </w:rPr>
        <w:t>specific location of sample collection (including applicable Location ID#);</w:t>
      </w:r>
    </w:p>
    <w:p w14:paraId="2819CEBC" w14:textId="77777777" w:rsidR="004647B9" w:rsidRDefault="00E2436F">
      <w:pPr>
        <w:numPr>
          <w:ilvl w:val="2"/>
          <w:numId w:val="14"/>
        </w:numPr>
        <w:tabs>
          <w:tab w:val="left" w:pos="2280"/>
        </w:tabs>
        <w:ind w:left="2280" w:hanging="365"/>
        <w:rPr>
          <w:rFonts w:eastAsia="Times New Roman"/>
          <w:sz w:val="24"/>
          <w:szCs w:val="24"/>
        </w:rPr>
      </w:pPr>
      <w:r>
        <w:rPr>
          <w:rFonts w:eastAsia="Times New Roman"/>
          <w:sz w:val="24"/>
          <w:szCs w:val="24"/>
        </w:rPr>
        <w:t>analysis requested;</w:t>
      </w:r>
    </w:p>
    <w:p w14:paraId="2819CEBE" w14:textId="77777777" w:rsidR="004647B9" w:rsidRDefault="00E2436F">
      <w:pPr>
        <w:numPr>
          <w:ilvl w:val="2"/>
          <w:numId w:val="14"/>
        </w:numPr>
        <w:tabs>
          <w:tab w:val="left" w:pos="2280"/>
        </w:tabs>
        <w:ind w:left="2280" w:hanging="365"/>
        <w:rPr>
          <w:rFonts w:eastAsia="Times New Roman"/>
          <w:sz w:val="24"/>
          <w:szCs w:val="24"/>
        </w:rPr>
      </w:pPr>
      <w:r>
        <w:rPr>
          <w:rFonts w:eastAsia="Times New Roman"/>
          <w:sz w:val="24"/>
          <w:szCs w:val="24"/>
        </w:rPr>
        <w:t>name of sample collector and intermediate custodians, if any;</w:t>
      </w:r>
    </w:p>
    <w:p w14:paraId="2819CEC0" w14:textId="77777777" w:rsidR="004647B9" w:rsidRDefault="00E2436F">
      <w:pPr>
        <w:numPr>
          <w:ilvl w:val="2"/>
          <w:numId w:val="14"/>
        </w:numPr>
        <w:tabs>
          <w:tab w:val="left" w:pos="2280"/>
        </w:tabs>
        <w:ind w:left="2280" w:hanging="365"/>
        <w:rPr>
          <w:rFonts w:eastAsia="Times New Roman"/>
          <w:sz w:val="24"/>
          <w:szCs w:val="24"/>
        </w:rPr>
      </w:pPr>
      <w:r>
        <w:rPr>
          <w:rFonts w:eastAsia="Times New Roman"/>
          <w:sz w:val="24"/>
          <w:szCs w:val="24"/>
        </w:rPr>
        <w:t>date(s) and time(s) of custody transfer to the laboratory; and</w:t>
      </w:r>
    </w:p>
    <w:p w14:paraId="2819CEC2" w14:textId="77777777" w:rsidR="004647B9" w:rsidRDefault="00E2436F">
      <w:pPr>
        <w:numPr>
          <w:ilvl w:val="2"/>
          <w:numId w:val="14"/>
        </w:numPr>
        <w:tabs>
          <w:tab w:val="left" w:pos="2280"/>
        </w:tabs>
        <w:ind w:left="2280" w:hanging="365"/>
        <w:rPr>
          <w:rFonts w:eastAsia="Times New Roman"/>
          <w:sz w:val="24"/>
          <w:szCs w:val="24"/>
        </w:rPr>
      </w:pPr>
      <w:r>
        <w:rPr>
          <w:rFonts w:eastAsia="Times New Roman"/>
          <w:sz w:val="24"/>
          <w:szCs w:val="24"/>
        </w:rPr>
        <w:t>name(s) and signature(s) of the individual(s) receiving the sample.</w:t>
      </w:r>
    </w:p>
    <w:p w14:paraId="2819CEC3" w14:textId="77777777" w:rsidR="004647B9" w:rsidRDefault="004647B9">
      <w:pPr>
        <w:spacing w:line="249" w:lineRule="exact"/>
        <w:rPr>
          <w:rFonts w:eastAsia="Times New Roman"/>
          <w:sz w:val="24"/>
          <w:szCs w:val="24"/>
        </w:rPr>
      </w:pPr>
    </w:p>
    <w:p w14:paraId="2819CEC4" w14:textId="77777777" w:rsidR="004647B9" w:rsidRDefault="00E2436F">
      <w:pPr>
        <w:numPr>
          <w:ilvl w:val="0"/>
          <w:numId w:val="14"/>
        </w:numPr>
        <w:tabs>
          <w:tab w:val="left" w:pos="1726"/>
        </w:tabs>
        <w:spacing w:line="254" w:lineRule="auto"/>
        <w:ind w:left="1200"/>
        <w:jc w:val="both"/>
        <w:rPr>
          <w:rFonts w:eastAsia="Times New Roman"/>
          <w:sz w:val="24"/>
          <w:szCs w:val="24"/>
        </w:rPr>
      </w:pPr>
      <w:r>
        <w:rPr>
          <w:rFonts w:eastAsia="Times New Roman"/>
          <w:sz w:val="24"/>
          <w:szCs w:val="24"/>
        </w:rPr>
        <w:t xml:space="preserve">The Department may require that special purpose samples collected by a Supplier of Water and analyzed by a certified laboratory using approved methods as specified at 310 CMR 42.00: </w:t>
      </w:r>
      <w:r>
        <w:rPr>
          <w:rFonts w:eastAsia="Times New Roman"/>
          <w:i/>
          <w:iCs/>
          <w:sz w:val="24"/>
          <w:szCs w:val="24"/>
        </w:rPr>
        <w:t>Certification and Operation of Environmental Analysis Laboratories</w:t>
      </w:r>
      <w:r>
        <w:rPr>
          <w:rFonts w:eastAsia="Times New Roman"/>
          <w:sz w:val="24"/>
          <w:szCs w:val="24"/>
        </w:rPr>
        <w:t xml:space="preserve"> be used to determine compliance with the applicable MCL.</w:t>
      </w:r>
    </w:p>
    <w:p w14:paraId="2819CEC5" w14:textId="77777777" w:rsidR="004647B9" w:rsidRDefault="004647B9">
      <w:pPr>
        <w:spacing w:line="230" w:lineRule="exact"/>
        <w:rPr>
          <w:rFonts w:eastAsia="Times New Roman"/>
          <w:sz w:val="24"/>
          <w:szCs w:val="24"/>
        </w:rPr>
      </w:pPr>
    </w:p>
    <w:p w14:paraId="2819CEC6" w14:textId="77777777" w:rsidR="004647B9" w:rsidRDefault="00E2436F">
      <w:pPr>
        <w:numPr>
          <w:ilvl w:val="0"/>
          <w:numId w:val="14"/>
        </w:numPr>
        <w:tabs>
          <w:tab w:val="left" w:pos="1737"/>
        </w:tabs>
        <w:spacing w:line="258" w:lineRule="auto"/>
        <w:ind w:left="1200"/>
        <w:jc w:val="both"/>
        <w:rPr>
          <w:rFonts w:eastAsia="Times New Roman"/>
          <w:sz w:val="24"/>
          <w:szCs w:val="24"/>
        </w:rPr>
      </w:pPr>
      <w:r>
        <w:rPr>
          <w:rFonts w:eastAsia="Times New Roman"/>
          <w:sz w:val="24"/>
          <w:szCs w:val="24"/>
        </w:rPr>
        <w:t>A Public Water System is in operation during the period the system is providing (pumping or gravity feeding) water to the water Distribution System and/or the Public Water System is providing water to at least one of its service connections or customers.</w:t>
      </w:r>
    </w:p>
    <w:p w14:paraId="2819CEC7" w14:textId="77777777" w:rsidR="004647B9" w:rsidRPr="00123FA3" w:rsidRDefault="004647B9">
      <w:pPr>
        <w:spacing w:line="228" w:lineRule="exact"/>
        <w:rPr>
          <w:rFonts w:eastAsia="Times New Roman"/>
          <w:sz w:val="24"/>
          <w:szCs w:val="24"/>
        </w:rPr>
      </w:pPr>
    </w:p>
    <w:p w14:paraId="3960D7DC" w14:textId="77777777" w:rsidR="008B795D" w:rsidRPr="008B795D" w:rsidRDefault="00E2436F" w:rsidP="008B795D">
      <w:pPr>
        <w:numPr>
          <w:ilvl w:val="0"/>
          <w:numId w:val="14"/>
        </w:numPr>
        <w:tabs>
          <w:tab w:val="left" w:pos="1737"/>
        </w:tabs>
        <w:spacing w:line="258" w:lineRule="auto"/>
        <w:ind w:left="1200"/>
        <w:jc w:val="both"/>
        <w:rPr>
          <w:rFonts w:eastAsia="Times New Roman"/>
          <w:sz w:val="24"/>
          <w:szCs w:val="24"/>
        </w:rPr>
        <w:sectPr w:rsidR="008B795D" w:rsidRPr="008B795D" w:rsidSect="00EF630C">
          <w:pgSz w:w="12240" w:h="20180"/>
          <w:pgMar w:top="708" w:right="1440" w:bottom="1024" w:left="600" w:header="0" w:footer="0" w:gutter="0"/>
          <w:cols w:space="720" w:equalWidth="0">
            <w:col w:w="10200"/>
          </w:cols>
        </w:sectPr>
      </w:pPr>
      <w:r w:rsidRPr="00123FA3">
        <w:rPr>
          <w:rFonts w:eastAsia="Times New Roman"/>
          <w:sz w:val="24"/>
          <w:szCs w:val="24"/>
        </w:rPr>
        <w:t>A Supplier of Water shall submit or report to the Department all data or information required to be submitted or reported pursuant to 310 CMR 22.00, including without limitation 310 CMR 22.15, in the format and manner as specified and approved by the Department.</w:t>
      </w:r>
      <w:r w:rsidR="00531150" w:rsidRPr="00123FA3">
        <w:rPr>
          <w:rFonts w:eastAsia="Times New Roman"/>
          <w:sz w:val="24"/>
          <w:szCs w:val="24"/>
        </w:rPr>
        <w:t xml:space="preserve"> Where</w:t>
      </w:r>
      <w:r w:rsidR="00FA4F9A" w:rsidRPr="00123FA3">
        <w:rPr>
          <w:rFonts w:eastAsia="Times New Roman"/>
          <w:sz w:val="24"/>
          <w:szCs w:val="24"/>
        </w:rPr>
        <w:t xml:space="preserve"> </w:t>
      </w:r>
      <w:r w:rsidR="00531150" w:rsidRPr="00123FA3">
        <w:rPr>
          <w:rFonts w:eastAsia="Times New Roman"/>
          <w:sz w:val="24"/>
          <w:szCs w:val="24"/>
        </w:rPr>
        <w:t>required, including without limitation as specified in 310 CMR 22.07G(17), written submissions</w:t>
      </w:r>
      <w:r w:rsidR="00FA4F9A" w:rsidRPr="00123FA3">
        <w:rPr>
          <w:rFonts w:eastAsia="Times New Roman"/>
          <w:sz w:val="24"/>
          <w:szCs w:val="24"/>
        </w:rPr>
        <w:t xml:space="preserve"> </w:t>
      </w:r>
      <w:r w:rsidR="00531150" w:rsidRPr="00123FA3">
        <w:rPr>
          <w:rFonts w:eastAsia="Times New Roman"/>
          <w:sz w:val="24"/>
          <w:szCs w:val="24"/>
        </w:rPr>
        <w:t>shall be made using the electronic filing system designated by the Department. A Supplier of</w:t>
      </w:r>
      <w:r w:rsidR="00FA4F9A" w:rsidRPr="00123FA3">
        <w:rPr>
          <w:rFonts w:eastAsia="Times New Roman"/>
          <w:sz w:val="24"/>
          <w:szCs w:val="24"/>
        </w:rPr>
        <w:t xml:space="preserve"> </w:t>
      </w:r>
      <w:r w:rsidR="00531150" w:rsidRPr="00123FA3">
        <w:rPr>
          <w:rFonts w:eastAsia="Times New Roman"/>
          <w:sz w:val="24"/>
          <w:szCs w:val="24"/>
        </w:rPr>
        <w:t xml:space="preserve">Water may request in writing a waiver from any applicable electronic filing requirement, for </w:t>
      </w:r>
      <w:r w:rsidR="00123FA3" w:rsidRPr="00123FA3">
        <w:rPr>
          <w:rFonts w:eastAsia="Times New Roman"/>
          <w:sz w:val="24"/>
          <w:szCs w:val="24"/>
        </w:rPr>
        <w:t xml:space="preserve">a </w:t>
      </w:r>
      <w:r w:rsidR="00123FA3" w:rsidRPr="008B795D">
        <w:rPr>
          <w:rFonts w:eastAsia="Times New Roman"/>
          <w:sz w:val="24"/>
          <w:szCs w:val="24"/>
        </w:rPr>
        <w:t>limited period of time. All such requests shall be based on a showing that internet access</w:t>
      </w:r>
    </w:p>
    <w:p w14:paraId="58792DDF" w14:textId="77777777" w:rsidR="008B795D" w:rsidRPr="00C2687D" w:rsidRDefault="008B795D" w:rsidP="00C2687D">
      <w:pPr>
        <w:tabs>
          <w:tab w:val="left" w:pos="160"/>
        </w:tabs>
        <w:jc w:val="center"/>
        <w:rPr>
          <w:sz w:val="20"/>
          <w:szCs w:val="20"/>
        </w:rPr>
      </w:pPr>
      <w:r w:rsidRPr="00C2687D">
        <w:rPr>
          <w:rFonts w:eastAsia="Times New Roman"/>
          <w:sz w:val="24"/>
          <w:szCs w:val="24"/>
        </w:rPr>
        <w:lastRenderedPageBreak/>
        <w:t>310 CMR:</w:t>
      </w:r>
      <w:r w:rsidRPr="00C2687D">
        <w:rPr>
          <w:sz w:val="20"/>
          <w:szCs w:val="20"/>
        </w:rPr>
        <w:tab/>
      </w:r>
      <w:r w:rsidRPr="00C2687D">
        <w:rPr>
          <w:rFonts w:eastAsia="Times New Roman"/>
          <w:sz w:val="23"/>
          <w:szCs w:val="23"/>
        </w:rPr>
        <w:t>DEPARTMENT OF ENVIRONMENTAL PROTECTION</w:t>
      </w:r>
    </w:p>
    <w:p w14:paraId="3BE1A738" w14:textId="77777777" w:rsidR="008B795D" w:rsidRPr="00C2687D" w:rsidRDefault="008B795D" w:rsidP="00C2687D">
      <w:pPr>
        <w:spacing w:line="200" w:lineRule="exact"/>
        <w:rPr>
          <w:sz w:val="20"/>
          <w:szCs w:val="20"/>
        </w:rPr>
      </w:pPr>
    </w:p>
    <w:p w14:paraId="5AD8D5B3" w14:textId="77777777" w:rsidR="008B795D" w:rsidRPr="00C2687D" w:rsidRDefault="008B795D" w:rsidP="00C2687D">
      <w:pPr>
        <w:spacing w:line="323" w:lineRule="exact"/>
        <w:rPr>
          <w:sz w:val="20"/>
          <w:szCs w:val="20"/>
        </w:rPr>
      </w:pPr>
    </w:p>
    <w:p w14:paraId="4B8B235F" w14:textId="1867FB33" w:rsidR="008B795D" w:rsidRDefault="008B795D" w:rsidP="00C2687D">
      <w:pPr>
        <w:tabs>
          <w:tab w:val="left" w:pos="760"/>
        </w:tabs>
        <w:rPr>
          <w:rFonts w:eastAsia="Times New Roman"/>
          <w:sz w:val="24"/>
          <w:szCs w:val="24"/>
        </w:rPr>
      </w:pPr>
      <w:r w:rsidRPr="00C2687D">
        <w:rPr>
          <w:rFonts w:eastAsia="Times New Roman"/>
          <w:sz w:val="24"/>
          <w:szCs w:val="24"/>
        </w:rPr>
        <w:t>22.03:</w:t>
      </w:r>
      <w:r w:rsidRPr="00C2687D">
        <w:rPr>
          <w:rFonts w:eastAsia="Times New Roman"/>
          <w:sz w:val="24"/>
          <w:szCs w:val="24"/>
        </w:rPr>
        <w:tab/>
        <w:t>continued</w:t>
      </w:r>
    </w:p>
    <w:p w14:paraId="681C9E9A" w14:textId="77777777" w:rsidR="00C2687D" w:rsidRPr="00C2687D" w:rsidRDefault="00C2687D" w:rsidP="00C2687D">
      <w:pPr>
        <w:tabs>
          <w:tab w:val="left" w:pos="760"/>
        </w:tabs>
        <w:rPr>
          <w:sz w:val="20"/>
          <w:szCs w:val="20"/>
        </w:rPr>
      </w:pPr>
    </w:p>
    <w:p w14:paraId="504814F8" w14:textId="3B3176AE" w:rsidR="00FA4F9A" w:rsidRPr="00123FA3" w:rsidRDefault="00FA4F9A" w:rsidP="008B795D">
      <w:pPr>
        <w:tabs>
          <w:tab w:val="left" w:pos="1836"/>
        </w:tabs>
        <w:spacing w:line="258" w:lineRule="auto"/>
        <w:ind w:left="1200"/>
        <w:jc w:val="both"/>
        <w:rPr>
          <w:rFonts w:eastAsia="Times New Roman"/>
          <w:sz w:val="24"/>
          <w:szCs w:val="24"/>
        </w:rPr>
      </w:pPr>
      <w:r w:rsidRPr="00123FA3">
        <w:rPr>
          <w:rFonts w:eastAsia="Times New Roman"/>
          <w:sz w:val="24"/>
          <w:szCs w:val="24"/>
        </w:rPr>
        <w:t xml:space="preserve">necessary to make the required electronic filings is not available, despite the reasonable efforts of the Supplier of Water or party acting on its behalf (e.g., a laboratory) to acquire the needed internet access. All electronic filing waiver requests shall be made on a form provided by the Department and shall be subject to the Department's written approval. Any Supplier of Water whose waiver request is approved shall make paper filings in </w:t>
      </w:r>
      <w:r w:rsidRPr="00A24405">
        <w:rPr>
          <w:rFonts w:eastAsia="Times New Roman"/>
          <w:i/>
          <w:iCs/>
          <w:sz w:val="24"/>
          <w:szCs w:val="24"/>
        </w:rPr>
        <w:t>lieu</w:t>
      </w:r>
      <w:r w:rsidRPr="00123FA3">
        <w:rPr>
          <w:rFonts w:eastAsia="Times New Roman"/>
          <w:sz w:val="24"/>
          <w:szCs w:val="24"/>
        </w:rPr>
        <w:t xml:space="preserve"> of the applicable electronic filings during the period of the waiver using printed copies of the applicable filing forms.</w:t>
      </w:r>
    </w:p>
    <w:p w14:paraId="2819CEC9" w14:textId="77777777" w:rsidR="004647B9" w:rsidRDefault="004647B9">
      <w:pPr>
        <w:spacing w:line="209" w:lineRule="exact"/>
        <w:rPr>
          <w:rFonts w:eastAsia="Times New Roman"/>
          <w:sz w:val="23"/>
          <w:szCs w:val="23"/>
        </w:rPr>
      </w:pPr>
    </w:p>
    <w:p w14:paraId="2819CECB" w14:textId="08F50684" w:rsidR="004647B9" w:rsidRPr="00A24405" w:rsidRDefault="00E2436F" w:rsidP="00A24405">
      <w:pPr>
        <w:numPr>
          <w:ilvl w:val="0"/>
          <w:numId w:val="14"/>
        </w:numPr>
        <w:tabs>
          <w:tab w:val="left" w:pos="1737"/>
        </w:tabs>
        <w:spacing w:line="268" w:lineRule="auto"/>
        <w:ind w:left="1200"/>
        <w:jc w:val="both"/>
        <w:rPr>
          <w:rFonts w:eastAsia="Times New Roman"/>
          <w:sz w:val="24"/>
          <w:szCs w:val="24"/>
        </w:rPr>
      </w:pPr>
      <w:r w:rsidRPr="00A24405">
        <w:rPr>
          <w:rFonts w:eastAsia="Times New Roman"/>
          <w:sz w:val="24"/>
          <w:szCs w:val="24"/>
        </w:rPr>
        <w:t>In the event of a violation of a regulated contaminant limit established by 310 CMR 22.00, or notification by the Department either pursuant to sampling and analysis required by 310 CMR</w:t>
      </w:r>
      <w:r w:rsidR="00A24405">
        <w:rPr>
          <w:rFonts w:eastAsia="Times New Roman"/>
          <w:sz w:val="24"/>
          <w:szCs w:val="24"/>
        </w:rPr>
        <w:t xml:space="preserve"> </w:t>
      </w:r>
      <w:r w:rsidRPr="00A24405">
        <w:rPr>
          <w:rFonts w:eastAsia="Times New Roman"/>
          <w:sz w:val="24"/>
          <w:szCs w:val="24"/>
        </w:rPr>
        <w:t>22.03(2), or pursuant to 310 CMR 22.03(8), a Supplier of Water shall:</w:t>
      </w:r>
    </w:p>
    <w:p w14:paraId="2819CECC" w14:textId="77777777" w:rsidR="004647B9" w:rsidRDefault="004647B9">
      <w:pPr>
        <w:sectPr w:rsidR="004647B9" w:rsidSect="00EF630C">
          <w:pgSz w:w="12240" w:h="20180"/>
          <w:pgMar w:top="708" w:right="1440" w:bottom="1024" w:left="600" w:header="0" w:footer="0" w:gutter="0"/>
          <w:cols w:space="720" w:equalWidth="0">
            <w:col w:w="10200"/>
          </w:cols>
        </w:sectPr>
      </w:pPr>
    </w:p>
    <w:p w14:paraId="2819CECD" w14:textId="37BA5644" w:rsidR="004647B9" w:rsidRDefault="00E2436F">
      <w:pPr>
        <w:tabs>
          <w:tab w:val="left" w:pos="160"/>
        </w:tabs>
        <w:jc w:val="center"/>
        <w:rPr>
          <w:rFonts w:eastAsia="Times New Roman"/>
          <w:sz w:val="23"/>
          <w:szCs w:val="23"/>
        </w:rPr>
      </w:pPr>
      <w:bookmarkStart w:id="20" w:name="page21"/>
      <w:bookmarkEnd w:id="2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028C4660" w14:textId="7D822408" w:rsidR="00C2687D" w:rsidRPr="00F17E68" w:rsidRDefault="00C2687D" w:rsidP="00C2687D">
      <w:pPr>
        <w:tabs>
          <w:tab w:val="left" w:pos="160"/>
        </w:tabs>
        <w:rPr>
          <w:rFonts w:eastAsia="Times New Roman"/>
          <w:sz w:val="20"/>
          <w:szCs w:val="20"/>
        </w:rPr>
      </w:pPr>
    </w:p>
    <w:p w14:paraId="04AD3056" w14:textId="77777777" w:rsidR="00C2687D" w:rsidRPr="00F17E68" w:rsidRDefault="00C2687D" w:rsidP="00C2687D">
      <w:pPr>
        <w:tabs>
          <w:tab w:val="left" w:pos="160"/>
        </w:tabs>
        <w:rPr>
          <w:rFonts w:eastAsia="Times New Roman"/>
          <w:sz w:val="20"/>
          <w:szCs w:val="20"/>
        </w:rPr>
      </w:pPr>
    </w:p>
    <w:p w14:paraId="2819CECE" w14:textId="7B22B4E1" w:rsidR="004647B9" w:rsidRDefault="00C2687D" w:rsidP="00C2687D">
      <w:pPr>
        <w:tabs>
          <w:tab w:val="left" w:pos="160"/>
        </w:tabs>
        <w:rPr>
          <w:sz w:val="20"/>
          <w:szCs w:val="20"/>
        </w:rPr>
      </w:pPr>
      <w:r>
        <w:rPr>
          <w:rFonts w:eastAsia="Times New Roman"/>
          <w:sz w:val="23"/>
          <w:szCs w:val="23"/>
        </w:rPr>
        <w:t>NON-TEXT PAGE</w:t>
      </w:r>
    </w:p>
    <w:p w14:paraId="13499539" w14:textId="77777777" w:rsidR="00C2687D" w:rsidRDefault="00C2687D" w:rsidP="00C2687D">
      <w:pPr>
        <w:sectPr w:rsidR="00C2687D" w:rsidSect="00EF630C">
          <w:pgSz w:w="12240" w:h="20180"/>
          <w:pgMar w:top="708" w:right="1440" w:bottom="1024" w:left="600" w:header="0" w:footer="0" w:gutter="0"/>
          <w:cols w:space="720" w:equalWidth="0">
            <w:col w:w="10200"/>
          </w:cols>
        </w:sectPr>
      </w:pPr>
    </w:p>
    <w:p w14:paraId="15AA2EF8" w14:textId="77777777" w:rsidR="00C2687D" w:rsidRPr="00C2687D" w:rsidRDefault="00C2687D" w:rsidP="00C2687D">
      <w:pPr>
        <w:tabs>
          <w:tab w:val="left" w:pos="160"/>
        </w:tabs>
        <w:jc w:val="center"/>
        <w:rPr>
          <w:rFonts w:eastAsia="Times New Roman"/>
          <w:sz w:val="24"/>
          <w:szCs w:val="24"/>
        </w:rPr>
      </w:pPr>
      <w:r w:rsidRPr="00C2687D">
        <w:rPr>
          <w:rFonts w:eastAsia="Times New Roman"/>
          <w:sz w:val="24"/>
          <w:szCs w:val="24"/>
        </w:rPr>
        <w:lastRenderedPageBreak/>
        <w:t>310 CMR:</w:t>
      </w:r>
      <w:r w:rsidRPr="00C2687D">
        <w:rPr>
          <w:sz w:val="24"/>
          <w:szCs w:val="24"/>
        </w:rPr>
        <w:tab/>
      </w:r>
      <w:r w:rsidRPr="00C2687D">
        <w:rPr>
          <w:rFonts w:eastAsia="Times New Roman"/>
          <w:sz w:val="24"/>
          <w:szCs w:val="24"/>
        </w:rPr>
        <w:t>DEPARTMENT OF ENVIRONMENTAL PROTECTION</w:t>
      </w:r>
    </w:p>
    <w:p w14:paraId="2819CECF" w14:textId="77777777" w:rsidR="004647B9" w:rsidRPr="00F17E68" w:rsidRDefault="004647B9">
      <w:pPr>
        <w:spacing w:line="323" w:lineRule="exact"/>
        <w:rPr>
          <w:sz w:val="20"/>
          <w:szCs w:val="20"/>
        </w:rPr>
      </w:pPr>
    </w:p>
    <w:p w14:paraId="5F344796" w14:textId="77777777" w:rsidR="00C2687D" w:rsidRPr="00F17E68" w:rsidRDefault="00C2687D">
      <w:pPr>
        <w:tabs>
          <w:tab w:val="left" w:pos="760"/>
        </w:tabs>
        <w:rPr>
          <w:rFonts w:eastAsia="Times New Roman"/>
          <w:sz w:val="20"/>
          <w:szCs w:val="20"/>
        </w:rPr>
      </w:pPr>
    </w:p>
    <w:p w14:paraId="2819CED0" w14:textId="3CD8AB66" w:rsidR="004647B9" w:rsidRPr="00C2687D" w:rsidRDefault="00E2436F">
      <w:pPr>
        <w:tabs>
          <w:tab w:val="left" w:pos="760"/>
        </w:tabs>
        <w:rPr>
          <w:sz w:val="24"/>
          <w:szCs w:val="24"/>
        </w:rPr>
      </w:pPr>
      <w:r w:rsidRPr="00C2687D">
        <w:rPr>
          <w:rFonts w:eastAsia="Times New Roman"/>
          <w:sz w:val="24"/>
          <w:szCs w:val="24"/>
        </w:rPr>
        <w:t>22.03:</w:t>
      </w:r>
      <w:r w:rsidRPr="00C2687D">
        <w:rPr>
          <w:rFonts w:eastAsia="Times New Roman"/>
          <w:sz w:val="24"/>
          <w:szCs w:val="24"/>
        </w:rPr>
        <w:tab/>
        <w:t>continued</w:t>
      </w:r>
    </w:p>
    <w:p w14:paraId="2819CED1" w14:textId="77777777" w:rsidR="004647B9" w:rsidRDefault="004647B9">
      <w:pPr>
        <w:spacing w:line="283" w:lineRule="exact"/>
        <w:rPr>
          <w:sz w:val="20"/>
          <w:szCs w:val="20"/>
        </w:rPr>
      </w:pPr>
    </w:p>
    <w:p w14:paraId="2819CED2" w14:textId="77777777" w:rsidR="004647B9" w:rsidRDefault="00E2436F">
      <w:pPr>
        <w:numPr>
          <w:ilvl w:val="1"/>
          <w:numId w:val="15"/>
        </w:numPr>
        <w:tabs>
          <w:tab w:val="left" w:pos="1990"/>
        </w:tabs>
        <w:spacing w:line="250" w:lineRule="auto"/>
        <w:ind w:left="1560" w:hanging="5"/>
        <w:jc w:val="both"/>
        <w:rPr>
          <w:rFonts w:eastAsia="Times New Roman"/>
          <w:sz w:val="24"/>
          <w:szCs w:val="24"/>
        </w:rPr>
      </w:pPr>
      <w:r>
        <w:rPr>
          <w:rFonts w:eastAsia="Times New Roman"/>
          <w:sz w:val="24"/>
          <w:szCs w:val="24"/>
        </w:rPr>
        <w:t>take appropriate actions to reduce the level of contaminant concentrations to levels the Department deems safe by the deadline specified by the Department. The Supplier of Water shall conduct monitoring as directed by the Department and provide public notification in accordance with 310 CMR 22.16; and</w:t>
      </w:r>
    </w:p>
    <w:p w14:paraId="2819CED3" w14:textId="77777777" w:rsidR="004647B9" w:rsidRDefault="00E2436F">
      <w:pPr>
        <w:numPr>
          <w:ilvl w:val="1"/>
          <w:numId w:val="15"/>
        </w:numPr>
        <w:tabs>
          <w:tab w:val="left" w:pos="2020"/>
        </w:tabs>
        <w:spacing w:line="243" w:lineRule="auto"/>
        <w:ind w:left="1560" w:hanging="5"/>
        <w:jc w:val="both"/>
        <w:rPr>
          <w:rFonts w:eastAsia="Times New Roman"/>
          <w:sz w:val="24"/>
          <w:szCs w:val="24"/>
        </w:rPr>
      </w:pPr>
      <w:r>
        <w:rPr>
          <w:rFonts w:eastAsia="Times New Roman"/>
          <w:sz w:val="24"/>
          <w:szCs w:val="24"/>
        </w:rPr>
        <w:t>unless the Department directs the Supplier of Water to take specific corrective action, the Supplier of Water shall submit a corrective action plan to the Department within 30 days of the Supplier of Water learning of the violation or receipt of the Department's notification of the exceedance. The corrective action plan shall detail the specific interim and long-term action measures the Supplier of Water intends to take to ensure water supplied to consumers meets applicable standards.</w:t>
      </w:r>
    </w:p>
    <w:p w14:paraId="2819CED4" w14:textId="77777777" w:rsidR="004647B9" w:rsidRDefault="004647B9">
      <w:pPr>
        <w:spacing w:line="247" w:lineRule="exact"/>
        <w:rPr>
          <w:rFonts w:eastAsia="Times New Roman"/>
          <w:sz w:val="24"/>
          <w:szCs w:val="24"/>
        </w:rPr>
      </w:pPr>
    </w:p>
    <w:p w14:paraId="2819CED5" w14:textId="77777777" w:rsidR="004647B9" w:rsidRDefault="00E2436F">
      <w:pPr>
        <w:numPr>
          <w:ilvl w:val="0"/>
          <w:numId w:val="16"/>
        </w:numPr>
        <w:tabs>
          <w:tab w:val="left" w:pos="1780"/>
        </w:tabs>
        <w:ind w:left="1780" w:hanging="580"/>
        <w:rPr>
          <w:rFonts w:eastAsia="Times New Roman"/>
          <w:sz w:val="24"/>
          <w:szCs w:val="24"/>
        </w:rPr>
      </w:pPr>
      <w:r>
        <w:rPr>
          <w:rFonts w:eastAsia="Times New Roman"/>
          <w:sz w:val="24"/>
          <w:szCs w:val="24"/>
          <w:u w:val="single"/>
        </w:rPr>
        <w:t>Requests for Information</w:t>
      </w:r>
      <w:r>
        <w:rPr>
          <w:rFonts w:eastAsia="Times New Roman"/>
          <w:sz w:val="24"/>
          <w:szCs w:val="24"/>
        </w:rPr>
        <w:t>.</w:t>
      </w:r>
    </w:p>
    <w:p w14:paraId="2819CED7" w14:textId="77777777" w:rsidR="004647B9" w:rsidRPr="00F20555" w:rsidRDefault="00E2436F">
      <w:pPr>
        <w:numPr>
          <w:ilvl w:val="1"/>
          <w:numId w:val="16"/>
        </w:numPr>
        <w:tabs>
          <w:tab w:val="left" w:pos="2047"/>
        </w:tabs>
        <w:spacing w:line="253" w:lineRule="auto"/>
        <w:ind w:left="1560" w:hanging="5"/>
        <w:jc w:val="both"/>
        <w:rPr>
          <w:rFonts w:eastAsia="Times New Roman"/>
          <w:sz w:val="24"/>
          <w:szCs w:val="24"/>
        </w:rPr>
      </w:pPr>
      <w:r w:rsidRPr="00F20555">
        <w:rPr>
          <w:rFonts w:eastAsia="Times New Roman"/>
          <w:sz w:val="24"/>
          <w:szCs w:val="24"/>
        </w:rPr>
        <w:t>To properly carry out its responsibilities under M.G.L. c. 111, § 160 and 310 CMR 22.00 to protect the health, environment, and well-being of the citizens of the Commonwealth, the Department and its authorized agents and representatives may request information from any Person as it deems necessary to ascertain the purity and fitness of water supply for domestic use, or the possibility of the water supply Distribution System imperiling the public health, or to evaluate whether that Person is subject to, in compliance with, or in violation of, M.G.L. c. 111, § 160, or 310 CMR 22.00.</w:t>
      </w:r>
    </w:p>
    <w:p w14:paraId="2819CED9" w14:textId="77777777" w:rsidR="004647B9" w:rsidRDefault="00E2436F">
      <w:pPr>
        <w:numPr>
          <w:ilvl w:val="1"/>
          <w:numId w:val="16"/>
        </w:numPr>
        <w:tabs>
          <w:tab w:val="left" w:pos="2013"/>
        </w:tabs>
        <w:spacing w:line="246" w:lineRule="auto"/>
        <w:ind w:left="1560" w:hanging="5"/>
        <w:rPr>
          <w:rFonts w:eastAsia="Times New Roman"/>
          <w:sz w:val="24"/>
          <w:szCs w:val="24"/>
        </w:rPr>
      </w:pPr>
      <w:r>
        <w:rPr>
          <w:rFonts w:eastAsia="Times New Roman"/>
          <w:sz w:val="24"/>
          <w:szCs w:val="24"/>
        </w:rPr>
        <w:t>No Person shall fail to provide any information requested within the time specified by the Department pursuant to 310 CMR 22.03(15)(a).</w:t>
      </w:r>
    </w:p>
    <w:p w14:paraId="2819CEDA" w14:textId="77777777" w:rsidR="004647B9" w:rsidRDefault="004647B9">
      <w:pPr>
        <w:spacing w:line="240" w:lineRule="exact"/>
        <w:rPr>
          <w:rFonts w:eastAsia="Times New Roman"/>
          <w:sz w:val="24"/>
          <w:szCs w:val="24"/>
        </w:rPr>
      </w:pPr>
    </w:p>
    <w:p w14:paraId="2819CEDB" w14:textId="77777777" w:rsidR="004647B9" w:rsidRDefault="00E2436F">
      <w:pPr>
        <w:numPr>
          <w:ilvl w:val="0"/>
          <w:numId w:val="16"/>
        </w:numPr>
        <w:tabs>
          <w:tab w:val="left" w:pos="1780"/>
        </w:tabs>
        <w:ind w:left="1780" w:hanging="580"/>
        <w:rPr>
          <w:rFonts w:eastAsia="Times New Roman"/>
          <w:sz w:val="24"/>
          <w:szCs w:val="24"/>
        </w:rPr>
      </w:pPr>
      <w:r>
        <w:rPr>
          <w:rFonts w:eastAsia="Times New Roman"/>
          <w:sz w:val="24"/>
          <w:szCs w:val="24"/>
          <w:u w:val="single"/>
        </w:rPr>
        <w:t>Altering, Falsifying or Tampering with Collection, Analysis, or Reporting of Samples</w:t>
      </w:r>
      <w:r>
        <w:rPr>
          <w:rFonts w:eastAsia="Times New Roman"/>
          <w:sz w:val="24"/>
          <w:szCs w:val="24"/>
        </w:rPr>
        <w:t>.</w:t>
      </w:r>
    </w:p>
    <w:p w14:paraId="2819CEDD" w14:textId="77777777" w:rsidR="004647B9" w:rsidRDefault="00E2436F">
      <w:pPr>
        <w:numPr>
          <w:ilvl w:val="1"/>
          <w:numId w:val="16"/>
        </w:numPr>
        <w:tabs>
          <w:tab w:val="left" w:pos="2033"/>
        </w:tabs>
        <w:spacing w:line="243" w:lineRule="auto"/>
        <w:ind w:left="1560" w:hanging="5"/>
        <w:jc w:val="both"/>
        <w:rPr>
          <w:rFonts w:eastAsia="Times New Roman"/>
          <w:sz w:val="24"/>
          <w:szCs w:val="24"/>
        </w:rPr>
      </w:pPr>
      <w:r>
        <w:rPr>
          <w:rFonts w:eastAsia="Times New Roman"/>
          <w:sz w:val="24"/>
          <w:szCs w:val="24"/>
        </w:rPr>
        <w:t>No Person shall alter, falsify, tamper with, or attempt to tamper with, the collection, analysis or reporting of samples required by 310 CMR 22.00; nor allow or cause any other Person to alter, falsify, tamper with, or attempt to tamper with, the collection, analysis or reporting of samples required by 310 CMR 22.00.</w:t>
      </w:r>
    </w:p>
    <w:p w14:paraId="2819CEDE" w14:textId="77777777" w:rsidR="004647B9" w:rsidRDefault="00E2436F">
      <w:pPr>
        <w:numPr>
          <w:ilvl w:val="1"/>
          <w:numId w:val="16"/>
        </w:numPr>
        <w:tabs>
          <w:tab w:val="left" w:pos="2004"/>
        </w:tabs>
        <w:spacing w:line="242" w:lineRule="auto"/>
        <w:ind w:left="1560" w:hanging="5"/>
        <w:jc w:val="both"/>
        <w:rPr>
          <w:rFonts w:eastAsia="Times New Roman"/>
          <w:sz w:val="24"/>
          <w:szCs w:val="24"/>
        </w:rPr>
      </w:pPr>
      <w:r>
        <w:rPr>
          <w:rFonts w:eastAsia="Times New Roman"/>
          <w:sz w:val="24"/>
          <w:szCs w:val="24"/>
        </w:rPr>
        <w:t>No Person shall render inaccurate any monitoring device required by 310 CMR 22.00, nor allow or cause any other Person to render inaccurate any monitoring device required by 310 CMR 22.00.</w:t>
      </w:r>
    </w:p>
    <w:p w14:paraId="2819CEE0" w14:textId="77777777" w:rsidR="004647B9" w:rsidRDefault="00E2436F">
      <w:pPr>
        <w:numPr>
          <w:ilvl w:val="1"/>
          <w:numId w:val="16"/>
        </w:numPr>
        <w:tabs>
          <w:tab w:val="left" w:pos="2013"/>
        </w:tabs>
        <w:spacing w:line="245" w:lineRule="auto"/>
        <w:ind w:left="1560" w:hanging="5"/>
        <w:jc w:val="both"/>
        <w:rPr>
          <w:rFonts w:eastAsia="Times New Roman"/>
          <w:sz w:val="24"/>
          <w:szCs w:val="24"/>
        </w:rPr>
      </w:pPr>
      <w:r>
        <w:rPr>
          <w:rFonts w:eastAsia="Times New Roman"/>
          <w:sz w:val="24"/>
          <w:szCs w:val="24"/>
        </w:rPr>
        <w:t>No Person shall render inaccurate any method required to be performed by 310 CMR 22.00, nor allow or cause any other Person to render inaccurate any method required to be performed by 310 CMR 22.00.</w:t>
      </w:r>
    </w:p>
    <w:p w14:paraId="2819CEE1" w14:textId="77777777" w:rsidR="004647B9" w:rsidRPr="00F61578" w:rsidRDefault="004647B9">
      <w:pPr>
        <w:spacing w:line="241" w:lineRule="exact"/>
        <w:rPr>
          <w:rFonts w:eastAsia="Times New Roman"/>
          <w:sz w:val="24"/>
          <w:szCs w:val="24"/>
        </w:rPr>
      </w:pPr>
    </w:p>
    <w:p w14:paraId="2819CEE2" w14:textId="77777777" w:rsidR="004647B9" w:rsidRPr="00F61578" w:rsidRDefault="00E2436F">
      <w:pPr>
        <w:numPr>
          <w:ilvl w:val="0"/>
          <w:numId w:val="16"/>
        </w:numPr>
        <w:tabs>
          <w:tab w:val="left" w:pos="1837"/>
        </w:tabs>
        <w:spacing w:line="264" w:lineRule="auto"/>
        <w:ind w:left="1200"/>
        <w:jc w:val="both"/>
        <w:rPr>
          <w:rFonts w:eastAsia="Times New Roman"/>
          <w:sz w:val="24"/>
          <w:szCs w:val="24"/>
        </w:rPr>
      </w:pPr>
      <w:r w:rsidRPr="00F61578">
        <w:rPr>
          <w:rFonts w:eastAsia="Times New Roman"/>
          <w:sz w:val="24"/>
          <w:szCs w:val="24"/>
          <w:u w:val="single"/>
        </w:rPr>
        <w:t>Intentional or Negligent Damage</w:t>
      </w:r>
      <w:r w:rsidRPr="00F61578">
        <w:rPr>
          <w:rFonts w:eastAsia="Times New Roman"/>
          <w:sz w:val="24"/>
          <w:szCs w:val="24"/>
        </w:rPr>
        <w:t>. No Person shall intentionally or negligently break, damage, destroy, uncover, deface, or tamper with any source, structure, appurtenance, equipment, or any other component of a Public Water System; nor cause or allow any other Person to intentionally or negligently break, damage, destroy, uncover, deface, or tamper with any source, structure, appurtenance, equipment, or any other component of a Public Water System.</w:t>
      </w:r>
    </w:p>
    <w:p w14:paraId="2819CEE3" w14:textId="77777777" w:rsidR="004647B9" w:rsidRPr="004D53FC" w:rsidRDefault="004647B9">
      <w:pPr>
        <w:spacing w:line="222" w:lineRule="exact"/>
        <w:rPr>
          <w:rFonts w:eastAsia="Times New Roman"/>
          <w:sz w:val="24"/>
          <w:szCs w:val="24"/>
        </w:rPr>
      </w:pPr>
    </w:p>
    <w:p w14:paraId="2819CEE4" w14:textId="77777777" w:rsidR="004647B9" w:rsidRPr="004D53FC" w:rsidRDefault="00E2436F">
      <w:pPr>
        <w:numPr>
          <w:ilvl w:val="0"/>
          <w:numId w:val="16"/>
        </w:numPr>
        <w:tabs>
          <w:tab w:val="left" w:pos="1780"/>
        </w:tabs>
        <w:ind w:left="1780" w:hanging="580"/>
        <w:rPr>
          <w:rFonts w:eastAsia="Times New Roman"/>
          <w:sz w:val="24"/>
          <w:szCs w:val="24"/>
        </w:rPr>
      </w:pPr>
      <w:r w:rsidRPr="004D53FC">
        <w:rPr>
          <w:rFonts w:eastAsia="Times New Roman"/>
          <w:sz w:val="24"/>
          <w:szCs w:val="24"/>
          <w:u w:val="single"/>
        </w:rPr>
        <w:t>False, Inaccurate, Incomplete or Misleading Statements</w:t>
      </w:r>
      <w:r w:rsidRPr="004D53FC">
        <w:rPr>
          <w:rFonts w:eastAsia="Times New Roman"/>
          <w:sz w:val="24"/>
          <w:szCs w:val="24"/>
        </w:rPr>
        <w:t>.</w:t>
      </w:r>
    </w:p>
    <w:p w14:paraId="2819CEE6" w14:textId="77777777" w:rsidR="004647B9" w:rsidRPr="004D53FC" w:rsidRDefault="00E2436F">
      <w:pPr>
        <w:numPr>
          <w:ilvl w:val="1"/>
          <w:numId w:val="16"/>
        </w:numPr>
        <w:tabs>
          <w:tab w:val="left" w:pos="2134"/>
        </w:tabs>
        <w:spacing w:line="253" w:lineRule="auto"/>
        <w:ind w:left="1560" w:hanging="5"/>
        <w:jc w:val="both"/>
        <w:rPr>
          <w:rFonts w:eastAsia="Times New Roman"/>
          <w:sz w:val="24"/>
          <w:szCs w:val="24"/>
        </w:rPr>
      </w:pPr>
      <w:r w:rsidRPr="004D53FC">
        <w:rPr>
          <w:rFonts w:eastAsia="Times New Roman"/>
          <w:sz w:val="24"/>
          <w:szCs w:val="24"/>
        </w:rPr>
        <w:t>No Person shall make, nor allow or cause any other Person to make, any false, inaccurate, incomplete or misleading statement in any submission required by 310 CMR 22.00, or by any permit, approval, certification or registration issued pursuant to 310 CMR</w:t>
      </w:r>
    </w:p>
    <w:p w14:paraId="2819CEE8" w14:textId="77777777" w:rsidR="004647B9" w:rsidRPr="004D53FC" w:rsidRDefault="00E2436F">
      <w:pPr>
        <w:ind w:left="1560"/>
        <w:rPr>
          <w:rFonts w:eastAsia="Times New Roman"/>
          <w:sz w:val="24"/>
          <w:szCs w:val="24"/>
        </w:rPr>
      </w:pPr>
      <w:r w:rsidRPr="004D53FC">
        <w:rPr>
          <w:rFonts w:eastAsia="Times New Roman"/>
          <w:sz w:val="24"/>
          <w:szCs w:val="24"/>
        </w:rPr>
        <w:t>22.00.</w:t>
      </w:r>
    </w:p>
    <w:p w14:paraId="2819CEEA" w14:textId="77777777" w:rsidR="004647B9" w:rsidRPr="004D53FC" w:rsidRDefault="00E2436F">
      <w:pPr>
        <w:numPr>
          <w:ilvl w:val="1"/>
          <w:numId w:val="16"/>
        </w:numPr>
        <w:tabs>
          <w:tab w:val="left" w:pos="2135"/>
        </w:tabs>
        <w:spacing w:line="258" w:lineRule="auto"/>
        <w:ind w:left="1560" w:hanging="5"/>
        <w:jc w:val="both"/>
        <w:rPr>
          <w:rFonts w:eastAsia="Times New Roman"/>
          <w:sz w:val="24"/>
          <w:szCs w:val="24"/>
        </w:rPr>
      </w:pPr>
      <w:r w:rsidRPr="004D53FC">
        <w:rPr>
          <w:rFonts w:eastAsia="Times New Roman"/>
          <w:sz w:val="24"/>
          <w:szCs w:val="24"/>
        </w:rPr>
        <w:t>No Person shall make, nor allow or cause any other Person to make, any false, inaccurate, incomplete or misleading statement in any record, report, plan, file, log, register or other document which such Person is required to keep by the terms of a permit, approval, certification or registration issued pursuant to M.G.L. c. 111, § 160, or 310 CMR 22.00.</w:t>
      </w:r>
    </w:p>
    <w:p w14:paraId="2819CEEB" w14:textId="77777777" w:rsidR="004647B9" w:rsidRDefault="004647B9">
      <w:pPr>
        <w:spacing w:line="228" w:lineRule="exact"/>
        <w:rPr>
          <w:rFonts w:eastAsia="Times New Roman"/>
          <w:sz w:val="23"/>
          <w:szCs w:val="23"/>
        </w:rPr>
      </w:pPr>
    </w:p>
    <w:p w14:paraId="2819CEEC" w14:textId="77777777" w:rsidR="004647B9" w:rsidRDefault="00E2436F">
      <w:pPr>
        <w:numPr>
          <w:ilvl w:val="0"/>
          <w:numId w:val="16"/>
        </w:numPr>
        <w:tabs>
          <w:tab w:val="left" w:pos="1780"/>
        </w:tabs>
        <w:spacing w:line="249" w:lineRule="auto"/>
        <w:ind w:left="1200"/>
        <w:jc w:val="both"/>
        <w:rPr>
          <w:rFonts w:eastAsia="Times New Roman"/>
          <w:sz w:val="24"/>
          <w:szCs w:val="24"/>
        </w:rPr>
      </w:pPr>
      <w:r>
        <w:rPr>
          <w:rFonts w:eastAsia="Times New Roman"/>
          <w:sz w:val="24"/>
          <w:szCs w:val="24"/>
          <w:u w:val="single"/>
        </w:rPr>
        <w:t>Orders</w:t>
      </w:r>
      <w:r>
        <w:rPr>
          <w:rFonts w:eastAsia="Times New Roman"/>
          <w:sz w:val="24"/>
          <w:szCs w:val="24"/>
        </w:rPr>
        <w:t>. Without limitation, the Department may issue such orders as in its opinion may be necessary to prevent the pollution and to secure the sanitary protection of all waters used as sources of water supply and to ensure the delivery of a fit and pure water supply to all consumers. Such orders may include, but shall not be limited to, orders requiring Persons to cease any activity which is in violation of M.G.L. c. 111, § 160, or 310 CMR 22.00 or to carry out activities necessary to bring such Person into compliance.</w:t>
      </w:r>
    </w:p>
    <w:p w14:paraId="2819CEED" w14:textId="77777777" w:rsidR="004647B9" w:rsidRDefault="004647B9">
      <w:pPr>
        <w:sectPr w:rsidR="004647B9" w:rsidSect="00EF630C">
          <w:pgSz w:w="12240" w:h="20180"/>
          <w:pgMar w:top="708" w:right="1440" w:bottom="1440" w:left="600" w:header="0" w:footer="0" w:gutter="0"/>
          <w:cols w:space="720" w:equalWidth="0">
            <w:col w:w="10200"/>
          </w:cols>
        </w:sectPr>
      </w:pPr>
    </w:p>
    <w:p w14:paraId="2819CEEE" w14:textId="77777777" w:rsidR="004647B9" w:rsidRDefault="00E2436F">
      <w:pPr>
        <w:tabs>
          <w:tab w:val="left" w:pos="160"/>
        </w:tabs>
        <w:jc w:val="center"/>
        <w:rPr>
          <w:sz w:val="20"/>
          <w:szCs w:val="20"/>
        </w:rPr>
      </w:pPr>
      <w:bookmarkStart w:id="21" w:name="page22"/>
      <w:bookmarkEnd w:id="2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EEF" w14:textId="77777777" w:rsidR="004647B9" w:rsidRDefault="004647B9">
      <w:pPr>
        <w:spacing w:line="200" w:lineRule="exact"/>
        <w:rPr>
          <w:sz w:val="20"/>
          <w:szCs w:val="20"/>
        </w:rPr>
      </w:pPr>
    </w:p>
    <w:p w14:paraId="2819CEF0" w14:textId="77777777" w:rsidR="004647B9" w:rsidRDefault="004647B9">
      <w:pPr>
        <w:spacing w:line="323" w:lineRule="exact"/>
        <w:rPr>
          <w:sz w:val="20"/>
          <w:szCs w:val="20"/>
        </w:rPr>
      </w:pPr>
    </w:p>
    <w:p w14:paraId="2819CEF1" w14:textId="77777777" w:rsidR="004647B9" w:rsidRDefault="00E2436F">
      <w:pPr>
        <w:tabs>
          <w:tab w:val="left" w:pos="760"/>
        </w:tabs>
        <w:rPr>
          <w:sz w:val="20"/>
          <w:szCs w:val="20"/>
        </w:rPr>
      </w:pPr>
      <w:r>
        <w:rPr>
          <w:rFonts w:eastAsia="Times New Roman"/>
          <w:sz w:val="24"/>
          <w:szCs w:val="24"/>
        </w:rPr>
        <w:t>22.03:</w:t>
      </w:r>
      <w:r>
        <w:rPr>
          <w:rFonts w:eastAsia="Times New Roman"/>
          <w:sz w:val="24"/>
          <w:szCs w:val="24"/>
        </w:rPr>
        <w:tab/>
        <w:t>continued</w:t>
      </w:r>
    </w:p>
    <w:p w14:paraId="2819CEF2" w14:textId="77777777" w:rsidR="004647B9" w:rsidRDefault="004647B9">
      <w:pPr>
        <w:spacing w:line="283" w:lineRule="exact"/>
        <w:rPr>
          <w:sz w:val="20"/>
          <w:szCs w:val="20"/>
        </w:rPr>
      </w:pPr>
    </w:p>
    <w:p w14:paraId="2819CEF3" w14:textId="77777777" w:rsidR="004647B9" w:rsidRPr="008C7E2D" w:rsidRDefault="00E2436F">
      <w:pPr>
        <w:numPr>
          <w:ilvl w:val="0"/>
          <w:numId w:val="17"/>
        </w:numPr>
        <w:tabs>
          <w:tab w:val="left" w:pos="1751"/>
        </w:tabs>
        <w:spacing w:line="267" w:lineRule="auto"/>
        <w:ind w:left="1200"/>
        <w:jc w:val="both"/>
        <w:rPr>
          <w:rFonts w:eastAsia="Times New Roman"/>
          <w:sz w:val="24"/>
          <w:szCs w:val="24"/>
        </w:rPr>
      </w:pPr>
      <w:r w:rsidRPr="008C7E2D">
        <w:rPr>
          <w:rFonts w:eastAsia="Times New Roman"/>
          <w:sz w:val="24"/>
          <w:szCs w:val="24"/>
          <w:u w:val="single"/>
        </w:rPr>
        <w:t>Penalties</w:t>
      </w:r>
      <w:r w:rsidRPr="008C7E2D">
        <w:rPr>
          <w:rFonts w:eastAsia="Times New Roman"/>
          <w:sz w:val="24"/>
          <w:szCs w:val="24"/>
        </w:rPr>
        <w:t xml:space="preserve">. Any Person violating M.G.L. c. 111, § 160, or 310 CMR 22.00 shall be subject to the full range of legal actions authorized by M.G.L. c. 21A, § 16, c. 111, § 160, 310 CMR 5.00: </w:t>
      </w:r>
      <w:r w:rsidRPr="008C7E2D">
        <w:rPr>
          <w:rFonts w:eastAsia="Times New Roman"/>
          <w:i/>
          <w:iCs/>
          <w:sz w:val="24"/>
          <w:szCs w:val="24"/>
        </w:rPr>
        <w:t>Administrative Penalty</w:t>
      </w:r>
      <w:r w:rsidRPr="008C7E2D">
        <w:rPr>
          <w:rFonts w:eastAsia="Times New Roman"/>
          <w:sz w:val="24"/>
          <w:szCs w:val="24"/>
        </w:rPr>
        <w:t>, and any other applicable law or regulation including, without limitation, criminal fines, imprisonment, and civil and administrative orders and penalties.</w:t>
      </w:r>
    </w:p>
    <w:p w14:paraId="2819CEF4" w14:textId="77777777" w:rsidR="004647B9" w:rsidRPr="008C7E2D" w:rsidRDefault="004647B9" w:rsidP="008C7E2D">
      <w:pPr>
        <w:rPr>
          <w:sz w:val="24"/>
          <w:szCs w:val="24"/>
        </w:rPr>
      </w:pPr>
    </w:p>
    <w:p w14:paraId="2819CEF5" w14:textId="77777777" w:rsidR="004647B9" w:rsidRDefault="00E2436F">
      <w:pPr>
        <w:tabs>
          <w:tab w:val="left" w:pos="760"/>
        </w:tabs>
        <w:rPr>
          <w:sz w:val="20"/>
          <w:szCs w:val="20"/>
        </w:rPr>
      </w:pPr>
      <w:r>
        <w:rPr>
          <w:rFonts w:eastAsia="Times New Roman"/>
          <w:sz w:val="24"/>
          <w:szCs w:val="24"/>
          <w:u w:val="single"/>
        </w:rPr>
        <w:t>22.04:</w:t>
      </w:r>
      <w:r>
        <w:rPr>
          <w:sz w:val="20"/>
          <w:szCs w:val="20"/>
        </w:rPr>
        <w:tab/>
      </w:r>
      <w:r>
        <w:rPr>
          <w:rFonts w:eastAsia="Times New Roman"/>
          <w:sz w:val="23"/>
          <w:szCs w:val="23"/>
          <w:u w:val="single"/>
        </w:rPr>
        <w:t>Construction, Operation and Maintenance of Public Water Systems</w:t>
      </w:r>
    </w:p>
    <w:p w14:paraId="2819CEF6" w14:textId="77777777" w:rsidR="004647B9" w:rsidRPr="008C7E2D" w:rsidRDefault="004647B9" w:rsidP="008C7E2D">
      <w:pPr>
        <w:rPr>
          <w:sz w:val="24"/>
          <w:szCs w:val="24"/>
        </w:rPr>
      </w:pPr>
    </w:p>
    <w:p w14:paraId="2819CEF7" w14:textId="77777777" w:rsidR="004647B9" w:rsidRDefault="00E2436F">
      <w:pPr>
        <w:numPr>
          <w:ilvl w:val="0"/>
          <w:numId w:val="18"/>
        </w:numPr>
        <w:tabs>
          <w:tab w:val="left" w:pos="1638"/>
        </w:tabs>
        <w:spacing w:line="250" w:lineRule="auto"/>
        <w:ind w:left="1200"/>
        <w:jc w:val="both"/>
        <w:rPr>
          <w:rFonts w:eastAsia="Times New Roman"/>
          <w:sz w:val="24"/>
          <w:szCs w:val="24"/>
        </w:rPr>
      </w:pPr>
      <w:r>
        <w:rPr>
          <w:rFonts w:eastAsia="Times New Roman"/>
          <w:sz w:val="24"/>
          <w:szCs w:val="24"/>
          <w:u w:val="single"/>
        </w:rPr>
        <w:t>New or Substantially Modified Public Water Systems</w:t>
      </w:r>
      <w:r>
        <w:rPr>
          <w:rFonts w:eastAsia="Times New Roman"/>
          <w:sz w:val="24"/>
          <w:szCs w:val="24"/>
        </w:rPr>
        <w:t>. Any Person proposing to construct a new Public Water System, operate a Public Water System or to substantially modify an existing Public Water System shall obtain the prior written approval of the Department, by at a minimum demonstrating to the Department's satisfaction that:</w:t>
      </w:r>
    </w:p>
    <w:p w14:paraId="2819CEF9" w14:textId="77777777" w:rsidR="004647B9" w:rsidRDefault="00E2436F">
      <w:pPr>
        <w:numPr>
          <w:ilvl w:val="1"/>
          <w:numId w:val="18"/>
        </w:numPr>
        <w:tabs>
          <w:tab w:val="left" w:pos="1960"/>
        </w:tabs>
        <w:spacing w:line="242" w:lineRule="auto"/>
        <w:ind w:left="1560" w:hanging="5"/>
        <w:jc w:val="both"/>
        <w:rPr>
          <w:rFonts w:eastAsia="Times New Roman"/>
          <w:sz w:val="24"/>
          <w:szCs w:val="24"/>
        </w:rPr>
      </w:pPr>
      <w:r>
        <w:rPr>
          <w:rFonts w:eastAsia="Times New Roman"/>
          <w:sz w:val="24"/>
          <w:szCs w:val="24"/>
        </w:rPr>
        <w:t>the drinking water source for the system meets the criteria in 310 CMR 22.20A, 22.20B, 22.20C, and 22.21, as applicable, and complies with the Department's Guidelines and Policies for Public Water System;</w:t>
      </w:r>
    </w:p>
    <w:p w14:paraId="2819CEFB" w14:textId="77777777" w:rsidR="004647B9" w:rsidRDefault="00E2436F">
      <w:pPr>
        <w:numPr>
          <w:ilvl w:val="1"/>
          <w:numId w:val="18"/>
        </w:numPr>
        <w:tabs>
          <w:tab w:val="left" w:pos="1948"/>
        </w:tabs>
        <w:spacing w:line="243" w:lineRule="auto"/>
        <w:ind w:left="1560" w:hanging="5"/>
        <w:jc w:val="both"/>
        <w:rPr>
          <w:rFonts w:eastAsia="Times New Roman"/>
          <w:sz w:val="24"/>
          <w:szCs w:val="24"/>
        </w:rPr>
      </w:pPr>
      <w:r>
        <w:rPr>
          <w:rFonts w:eastAsia="Times New Roman"/>
          <w:sz w:val="24"/>
          <w:szCs w:val="24"/>
        </w:rPr>
        <w:t xml:space="preserve">the storage, treatment and Distribution System and facilities including transmission lines for the system have been sited, designed, and constructed in compliance with 310 CMR 22.19, 22.20A, 22.22 and the Department's </w:t>
      </w:r>
      <w:r>
        <w:rPr>
          <w:rFonts w:eastAsia="Times New Roman"/>
          <w:i/>
          <w:iCs/>
          <w:sz w:val="24"/>
          <w:szCs w:val="24"/>
        </w:rPr>
        <w:t>Guidelines and Policies for Public Water</w:t>
      </w:r>
      <w:r>
        <w:rPr>
          <w:rFonts w:eastAsia="Times New Roman"/>
          <w:sz w:val="24"/>
          <w:szCs w:val="24"/>
        </w:rPr>
        <w:t xml:space="preserve"> </w:t>
      </w:r>
      <w:r>
        <w:rPr>
          <w:rFonts w:eastAsia="Times New Roman"/>
          <w:i/>
          <w:iCs/>
          <w:sz w:val="24"/>
          <w:szCs w:val="24"/>
        </w:rPr>
        <w:t>Systems</w:t>
      </w:r>
      <w:r>
        <w:rPr>
          <w:rFonts w:eastAsia="Times New Roman"/>
          <w:sz w:val="24"/>
          <w:szCs w:val="24"/>
        </w:rPr>
        <w:t>;</w:t>
      </w:r>
    </w:p>
    <w:p w14:paraId="2819CEFC" w14:textId="77777777" w:rsidR="004647B9" w:rsidRDefault="00E2436F">
      <w:pPr>
        <w:numPr>
          <w:ilvl w:val="1"/>
          <w:numId w:val="18"/>
        </w:numPr>
        <w:tabs>
          <w:tab w:val="left" w:pos="1954"/>
        </w:tabs>
        <w:spacing w:line="243" w:lineRule="auto"/>
        <w:ind w:left="1560" w:hanging="5"/>
        <w:jc w:val="both"/>
        <w:rPr>
          <w:rFonts w:eastAsia="Times New Roman"/>
          <w:sz w:val="24"/>
          <w:szCs w:val="24"/>
        </w:rPr>
      </w:pPr>
      <w:r>
        <w:rPr>
          <w:rFonts w:eastAsia="Times New Roman"/>
          <w:sz w:val="24"/>
          <w:szCs w:val="24"/>
        </w:rPr>
        <w:t>the Supplier of Water has the technical, managerial and financial capacity to operate and maintain the Public Water System in compliance with 310 CMR 22.00, and each National Primary Drinking Water Regulation in effect at the time of the Department's determination of the system's capacity and in effect in the foreseeable future;</w:t>
      </w:r>
    </w:p>
    <w:p w14:paraId="2819CEFD" w14:textId="77777777" w:rsidR="004647B9" w:rsidRDefault="00E2436F">
      <w:pPr>
        <w:numPr>
          <w:ilvl w:val="1"/>
          <w:numId w:val="18"/>
        </w:numPr>
        <w:tabs>
          <w:tab w:val="left" w:pos="1949"/>
        </w:tabs>
        <w:spacing w:line="243" w:lineRule="auto"/>
        <w:ind w:left="1560" w:hanging="5"/>
        <w:jc w:val="both"/>
        <w:rPr>
          <w:rFonts w:eastAsia="Times New Roman"/>
          <w:sz w:val="24"/>
          <w:szCs w:val="24"/>
        </w:rPr>
      </w:pPr>
      <w:r>
        <w:rPr>
          <w:rFonts w:eastAsia="Times New Roman"/>
          <w:sz w:val="24"/>
          <w:szCs w:val="24"/>
        </w:rPr>
        <w:t xml:space="preserve">the Public Water System is in compliance with the Department's </w:t>
      </w:r>
      <w:r>
        <w:rPr>
          <w:rFonts w:eastAsia="Times New Roman"/>
          <w:i/>
          <w:iCs/>
          <w:sz w:val="24"/>
          <w:szCs w:val="24"/>
        </w:rPr>
        <w:t>Guidelines and Policies</w:t>
      </w:r>
      <w:r>
        <w:rPr>
          <w:rFonts w:eastAsia="Times New Roman"/>
          <w:sz w:val="24"/>
          <w:szCs w:val="24"/>
        </w:rPr>
        <w:t xml:space="preserve"> </w:t>
      </w:r>
      <w:r>
        <w:rPr>
          <w:rFonts w:eastAsia="Times New Roman"/>
          <w:i/>
          <w:iCs/>
          <w:sz w:val="24"/>
          <w:szCs w:val="24"/>
        </w:rPr>
        <w:t>for Public Water Systems</w:t>
      </w:r>
      <w:r>
        <w:rPr>
          <w:rFonts w:eastAsia="Times New Roman"/>
          <w:sz w:val="24"/>
          <w:szCs w:val="24"/>
        </w:rPr>
        <w:t>, in effect at the time of the Department's determination of the</w:t>
      </w:r>
      <w:r>
        <w:rPr>
          <w:rFonts w:eastAsia="Times New Roman"/>
          <w:i/>
          <w:iCs/>
          <w:sz w:val="24"/>
          <w:szCs w:val="24"/>
        </w:rPr>
        <w:t xml:space="preserve"> </w:t>
      </w:r>
      <w:r>
        <w:rPr>
          <w:rFonts w:eastAsia="Times New Roman"/>
          <w:sz w:val="24"/>
          <w:szCs w:val="24"/>
        </w:rPr>
        <w:t>system's capacity;</w:t>
      </w:r>
    </w:p>
    <w:p w14:paraId="2819CEFF" w14:textId="77777777" w:rsidR="004647B9" w:rsidRDefault="00E2436F">
      <w:pPr>
        <w:numPr>
          <w:ilvl w:val="1"/>
          <w:numId w:val="18"/>
        </w:numPr>
        <w:tabs>
          <w:tab w:val="left" w:pos="2011"/>
        </w:tabs>
        <w:spacing w:line="253" w:lineRule="auto"/>
        <w:ind w:left="1560" w:hanging="5"/>
        <w:jc w:val="both"/>
        <w:rPr>
          <w:rFonts w:eastAsia="Times New Roman"/>
          <w:sz w:val="23"/>
          <w:szCs w:val="23"/>
        </w:rPr>
      </w:pPr>
      <w:r>
        <w:rPr>
          <w:rFonts w:eastAsia="Times New Roman"/>
          <w:sz w:val="23"/>
          <w:szCs w:val="23"/>
        </w:rPr>
        <w:t>the Public Water System manager has attended a capacity training program approved by the Department or shall attend such a program if deemed necessary by the Department;</w:t>
      </w:r>
    </w:p>
    <w:p w14:paraId="2819CF01" w14:textId="76404FDF" w:rsidR="004647B9" w:rsidRDefault="00E2436F">
      <w:pPr>
        <w:numPr>
          <w:ilvl w:val="1"/>
          <w:numId w:val="18"/>
        </w:numPr>
        <w:tabs>
          <w:tab w:val="left" w:pos="2042"/>
        </w:tabs>
        <w:spacing w:line="242" w:lineRule="auto"/>
        <w:ind w:left="1560" w:hanging="5"/>
        <w:jc w:val="both"/>
        <w:rPr>
          <w:rFonts w:eastAsia="Times New Roman"/>
          <w:sz w:val="24"/>
          <w:szCs w:val="24"/>
        </w:rPr>
      </w:pPr>
      <w:r>
        <w:rPr>
          <w:rFonts w:eastAsia="Times New Roman"/>
          <w:sz w:val="24"/>
          <w:szCs w:val="24"/>
        </w:rPr>
        <w:t>in the case of Transient Non-community Water Systems or</w:t>
      </w:r>
      <w:r w:rsidR="00885687">
        <w:rPr>
          <w:rFonts w:eastAsia="Times New Roman"/>
          <w:sz w:val="24"/>
          <w:szCs w:val="24"/>
        </w:rPr>
        <w:t xml:space="preserve">, if deemed necessary by the Department, </w:t>
      </w:r>
      <w:r>
        <w:rPr>
          <w:rFonts w:eastAsia="Times New Roman"/>
          <w:sz w:val="24"/>
          <w:szCs w:val="24"/>
        </w:rPr>
        <w:t>any other Public Water System a notice has been or shall be recorded on the deed of the property where a drinking water source serving such Public Water System is located, stating that such property contains a drinking water source subject to 310 CMR 22.00; and</w:t>
      </w:r>
    </w:p>
    <w:p w14:paraId="2819CF03" w14:textId="77777777" w:rsidR="004647B9" w:rsidRDefault="00E2436F">
      <w:pPr>
        <w:numPr>
          <w:ilvl w:val="1"/>
          <w:numId w:val="18"/>
        </w:numPr>
        <w:tabs>
          <w:tab w:val="left" w:pos="1963"/>
        </w:tabs>
        <w:spacing w:line="245" w:lineRule="auto"/>
        <w:ind w:left="1560" w:hanging="5"/>
        <w:jc w:val="both"/>
        <w:rPr>
          <w:rFonts w:eastAsia="Times New Roman"/>
          <w:sz w:val="24"/>
          <w:szCs w:val="24"/>
        </w:rPr>
      </w:pPr>
      <w:r>
        <w:rPr>
          <w:rFonts w:eastAsia="Times New Roman"/>
          <w:sz w:val="24"/>
          <w:szCs w:val="24"/>
        </w:rPr>
        <w:t>the staffing of the Public Water System complies with 310 CMR 22.11B and any related policies established by the Department or the Board of Certification of Operators of Drinking Water Supply Facilities.</w:t>
      </w:r>
    </w:p>
    <w:p w14:paraId="2819CF04" w14:textId="77777777" w:rsidR="004647B9" w:rsidRDefault="004647B9">
      <w:pPr>
        <w:spacing w:line="241" w:lineRule="exact"/>
        <w:rPr>
          <w:rFonts w:eastAsia="Times New Roman"/>
          <w:sz w:val="24"/>
          <w:szCs w:val="24"/>
        </w:rPr>
      </w:pPr>
    </w:p>
    <w:p w14:paraId="2819CF05" w14:textId="77777777" w:rsidR="004647B9" w:rsidRDefault="00E2436F">
      <w:pPr>
        <w:numPr>
          <w:ilvl w:val="0"/>
          <w:numId w:val="18"/>
        </w:numPr>
        <w:tabs>
          <w:tab w:val="left" w:pos="1738"/>
        </w:tabs>
        <w:spacing w:line="256" w:lineRule="auto"/>
        <w:ind w:left="1200"/>
        <w:rPr>
          <w:rFonts w:eastAsia="Times New Roman"/>
          <w:sz w:val="24"/>
          <w:szCs w:val="24"/>
        </w:rPr>
      </w:pPr>
      <w:r>
        <w:rPr>
          <w:rFonts w:eastAsia="Times New Roman"/>
          <w:sz w:val="24"/>
          <w:szCs w:val="24"/>
        </w:rPr>
        <w:t>To the extent practicable, said Person shall avoid locating all or any part of a new or substantially modified facility at a site which:</w:t>
      </w:r>
    </w:p>
    <w:p w14:paraId="2819CF07" w14:textId="77777777" w:rsidR="004647B9" w:rsidRDefault="00E2436F">
      <w:pPr>
        <w:numPr>
          <w:ilvl w:val="1"/>
          <w:numId w:val="18"/>
        </w:numPr>
        <w:tabs>
          <w:tab w:val="left" w:pos="2004"/>
        </w:tabs>
        <w:spacing w:line="243" w:lineRule="auto"/>
        <w:ind w:left="1560" w:hanging="5"/>
        <w:rPr>
          <w:rFonts w:eastAsia="Times New Roman"/>
          <w:sz w:val="24"/>
          <w:szCs w:val="24"/>
        </w:rPr>
      </w:pPr>
      <w:r>
        <w:rPr>
          <w:rFonts w:eastAsia="Times New Roman"/>
          <w:sz w:val="24"/>
          <w:szCs w:val="24"/>
        </w:rPr>
        <w:t>is subject to a significant risk from earthquakes, floods, fires, or other disasters which could cause a breakdown of the Public Water System or a portion thereof;</w:t>
      </w:r>
    </w:p>
    <w:p w14:paraId="2819CF08" w14:textId="77777777" w:rsidR="004647B9" w:rsidRDefault="00E2436F">
      <w:pPr>
        <w:numPr>
          <w:ilvl w:val="1"/>
          <w:numId w:val="18"/>
        </w:numPr>
        <w:tabs>
          <w:tab w:val="left" w:pos="1984"/>
        </w:tabs>
        <w:spacing w:line="244" w:lineRule="auto"/>
        <w:ind w:left="1560" w:hanging="5"/>
        <w:jc w:val="both"/>
        <w:rPr>
          <w:rFonts w:eastAsia="Times New Roman"/>
          <w:sz w:val="24"/>
          <w:szCs w:val="24"/>
        </w:rPr>
      </w:pPr>
      <w:r>
        <w:rPr>
          <w:rFonts w:eastAsia="Times New Roman"/>
          <w:sz w:val="24"/>
          <w:szCs w:val="24"/>
        </w:rPr>
        <w:t>except for intake structures, is within the floodplain of a 100-year flood or is lower than any recorded high tide where appropriate records exist; and can reasonably obtain service from an existing system (the Department shall consider proximity to existing systems and the economic feasibility of extending service).</w:t>
      </w:r>
    </w:p>
    <w:p w14:paraId="2819CF09" w14:textId="77777777" w:rsidR="004647B9" w:rsidRDefault="004647B9">
      <w:pPr>
        <w:spacing w:line="242" w:lineRule="exact"/>
        <w:rPr>
          <w:rFonts w:eastAsia="Times New Roman"/>
          <w:sz w:val="24"/>
          <w:szCs w:val="24"/>
        </w:rPr>
      </w:pPr>
    </w:p>
    <w:p w14:paraId="2819CF0A" w14:textId="77777777" w:rsidR="004647B9" w:rsidRDefault="00E2436F">
      <w:pPr>
        <w:numPr>
          <w:ilvl w:val="0"/>
          <w:numId w:val="18"/>
        </w:numPr>
        <w:tabs>
          <w:tab w:val="left" w:pos="1588"/>
        </w:tabs>
        <w:spacing w:line="257" w:lineRule="auto"/>
        <w:ind w:left="1200"/>
        <w:rPr>
          <w:rFonts w:eastAsia="Times New Roman"/>
          <w:sz w:val="24"/>
          <w:szCs w:val="24"/>
        </w:rPr>
      </w:pPr>
      <w:r>
        <w:rPr>
          <w:rFonts w:eastAsia="Times New Roman"/>
          <w:sz w:val="24"/>
          <w:szCs w:val="24"/>
          <w:u w:val="single"/>
        </w:rPr>
        <w:t>Information Required for Department Approval</w:t>
      </w:r>
      <w:r>
        <w:rPr>
          <w:rFonts w:eastAsia="Times New Roman"/>
          <w:sz w:val="24"/>
          <w:szCs w:val="24"/>
        </w:rPr>
        <w:t>. Persons seeking the Department's approval under 310 CMR 22.04(1), shall submit the following information:</w:t>
      </w:r>
    </w:p>
    <w:p w14:paraId="2819CF0C" w14:textId="77777777" w:rsidR="004647B9" w:rsidRDefault="00E2436F">
      <w:pPr>
        <w:numPr>
          <w:ilvl w:val="1"/>
          <w:numId w:val="18"/>
        </w:numPr>
        <w:tabs>
          <w:tab w:val="left" w:pos="2047"/>
        </w:tabs>
        <w:spacing w:line="242" w:lineRule="auto"/>
        <w:ind w:left="1560" w:hanging="5"/>
        <w:jc w:val="both"/>
        <w:rPr>
          <w:rFonts w:eastAsia="Times New Roman"/>
          <w:sz w:val="24"/>
          <w:szCs w:val="24"/>
        </w:rPr>
      </w:pPr>
      <w:r>
        <w:rPr>
          <w:rFonts w:eastAsia="Times New Roman"/>
          <w:sz w:val="24"/>
          <w:szCs w:val="24"/>
        </w:rPr>
        <w:t>all necessary plans, specifications, standard operating, maintenance procedures, and proposed staffing for the system, prepared by a Massachusetts registered professional engineer unless otherwise determined by the Department;</w:t>
      </w:r>
    </w:p>
    <w:p w14:paraId="2819CF0E" w14:textId="77777777" w:rsidR="004647B9" w:rsidRDefault="00E2436F">
      <w:pPr>
        <w:numPr>
          <w:ilvl w:val="1"/>
          <w:numId w:val="18"/>
        </w:numPr>
        <w:tabs>
          <w:tab w:val="left" w:pos="2106"/>
        </w:tabs>
        <w:spacing w:line="243" w:lineRule="auto"/>
        <w:ind w:left="1560" w:hanging="5"/>
        <w:jc w:val="both"/>
        <w:rPr>
          <w:rFonts w:eastAsia="Times New Roman"/>
          <w:sz w:val="24"/>
          <w:szCs w:val="24"/>
        </w:rPr>
      </w:pPr>
      <w:r>
        <w:rPr>
          <w:rFonts w:eastAsia="Times New Roman"/>
          <w:sz w:val="24"/>
          <w:szCs w:val="24"/>
        </w:rPr>
        <w:t>documentation, including but not limited to, a water system business plan, which demonstrates that the Public Water System complies with the capacity requirements in 310 CMR 22.04(1)(c); and</w:t>
      </w:r>
    </w:p>
    <w:p w14:paraId="2819CF10" w14:textId="77777777" w:rsidR="004647B9" w:rsidRDefault="00E2436F">
      <w:pPr>
        <w:numPr>
          <w:ilvl w:val="1"/>
          <w:numId w:val="18"/>
        </w:numPr>
        <w:tabs>
          <w:tab w:val="left" w:pos="2112"/>
        </w:tabs>
        <w:spacing w:line="246" w:lineRule="auto"/>
        <w:ind w:left="1560" w:hanging="5"/>
        <w:rPr>
          <w:rFonts w:eastAsia="Times New Roman"/>
          <w:sz w:val="24"/>
          <w:szCs w:val="24"/>
        </w:rPr>
      </w:pPr>
      <w:r>
        <w:rPr>
          <w:rFonts w:eastAsia="Times New Roman"/>
          <w:sz w:val="24"/>
          <w:szCs w:val="24"/>
        </w:rPr>
        <w:t>any additional information that the Department deems relevant to its review and approval.</w:t>
      </w:r>
    </w:p>
    <w:p w14:paraId="2819CF11" w14:textId="77777777" w:rsidR="004647B9" w:rsidRDefault="004647B9">
      <w:pPr>
        <w:sectPr w:rsidR="004647B9" w:rsidSect="00EF630C">
          <w:pgSz w:w="12240" w:h="20180"/>
          <w:pgMar w:top="708" w:right="1440" w:bottom="1440" w:left="600" w:header="0" w:footer="0" w:gutter="0"/>
          <w:cols w:space="720" w:equalWidth="0">
            <w:col w:w="10200"/>
          </w:cols>
        </w:sectPr>
      </w:pPr>
    </w:p>
    <w:p w14:paraId="2819CF12" w14:textId="77777777" w:rsidR="004647B9" w:rsidRDefault="00E2436F">
      <w:pPr>
        <w:tabs>
          <w:tab w:val="left" w:pos="160"/>
        </w:tabs>
        <w:jc w:val="center"/>
        <w:rPr>
          <w:sz w:val="20"/>
          <w:szCs w:val="20"/>
        </w:rPr>
      </w:pPr>
      <w:bookmarkStart w:id="22" w:name="page23"/>
      <w:bookmarkEnd w:id="2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F13" w14:textId="77777777" w:rsidR="004647B9" w:rsidRDefault="004647B9">
      <w:pPr>
        <w:spacing w:line="200" w:lineRule="exact"/>
        <w:rPr>
          <w:sz w:val="20"/>
          <w:szCs w:val="20"/>
        </w:rPr>
      </w:pPr>
    </w:p>
    <w:p w14:paraId="2819CF14" w14:textId="77777777" w:rsidR="004647B9" w:rsidRDefault="004647B9">
      <w:pPr>
        <w:spacing w:line="323" w:lineRule="exact"/>
        <w:rPr>
          <w:sz w:val="20"/>
          <w:szCs w:val="20"/>
        </w:rPr>
      </w:pPr>
    </w:p>
    <w:p w14:paraId="2819CF15" w14:textId="77777777" w:rsidR="004647B9" w:rsidRDefault="00E2436F">
      <w:pPr>
        <w:tabs>
          <w:tab w:val="left" w:pos="760"/>
        </w:tabs>
        <w:rPr>
          <w:sz w:val="20"/>
          <w:szCs w:val="20"/>
        </w:rPr>
      </w:pPr>
      <w:r>
        <w:rPr>
          <w:rFonts w:eastAsia="Times New Roman"/>
          <w:sz w:val="24"/>
          <w:szCs w:val="24"/>
        </w:rPr>
        <w:t>22.04:</w:t>
      </w:r>
      <w:r>
        <w:rPr>
          <w:rFonts w:eastAsia="Times New Roman"/>
          <w:sz w:val="24"/>
          <w:szCs w:val="24"/>
        </w:rPr>
        <w:tab/>
        <w:t>continued</w:t>
      </w:r>
    </w:p>
    <w:p w14:paraId="2819CF16" w14:textId="77777777" w:rsidR="004647B9" w:rsidRDefault="004647B9">
      <w:pPr>
        <w:spacing w:line="283" w:lineRule="exact"/>
        <w:rPr>
          <w:sz w:val="20"/>
          <w:szCs w:val="20"/>
        </w:rPr>
      </w:pPr>
    </w:p>
    <w:p w14:paraId="2819CF17" w14:textId="77777777" w:rsidR="004647B9" w:rsidRDefault="00E2436F">
      <w:pPr>
        <w:numPr>
          <w:ilvl w:val="0"/>
          <w:numId w:val="19"/>
        </w:numPr>
        <w:tabs>
          <w:tab w:val="left" w:pos="1617"/>
        </w:tabs>
        <w:spacing w:line="256" w:lineRule="auto"/>
        <w:ind w:left="1200"/>
        <w:rPr>
          <w:rFonts w:eastAsia="Times New Roman"/>
          <w:sz w:val="24"/>
          <w:szCs w:val="24"/>
        </w:rPr>
      </w:pPr>
      <w:r>
        <w:rPr>
          <w:rFonts w:eastAsia="Times New Roman"/>
          <w:sz w:val="24"/>
          <w:szCs w:val="24"/>
          <w:u w:val="single"/>
        </w:rPr>
        <w:t>Prohibition on Construction or Substantial Modification of a Public Water System Without Prior Department Approval</w:t>
      </w:r>
      <w:r>
        <w:rPr>
          <w:rFonts w:eastAsia="Times New Roman"/>
          <w:sz w:val="24"/>
          <w:szCs w:val="24"/>
        </w:rPr>
        <w:t>.</w:t>
      </w:r>
    </w:p>
    <w:p w14:paraId="2819CF19" w14:textId="77777777" w:rsidR="004647B9" w:rsidRDefault="00E2436F">
      <w:pPr>
        <w:numPr>
          <w:ilvl w:val="1"/>
          <w:numId w:val="19"/>
        </w:numPr>
        <w:tabs>
          <w:tab w:val="left" w:pos="1975"/>
        </w:tabs>
        <w:spacing w:line="243" w:lineRule="auto"/>
        <w:ind w:left="1560" w:hanging="5"/>
        <w:jc w:val="both"/>
        <w:rPr>
          <w:rFonts w:eastAsia="Times New Roman"/>
          <w:sz w:val="24"/>
          <w:szCs w:val="24"/>
        </w:rPr>
      </w:pPr>
      <w:r>
        <w:rPr>
          <w:rFonts w:eastAsia="Times New Roman"/>
          <w:sz w:val="24"/>
          <w:szCs w:val="24"/>
        </w:rPr>
        <w:t>No Person shall commence construction or otherwise implement or operate a proposed new Public Water System or make Substantial Modifications to an existing Public Water System unless the Department has issued its prior written approval and any other applicable Department permits.</w:t>
      </w:r>
    </w:p>
    <w:p w14:paraId="2819CF1A" w14:textId="77777777" w:rsidR="004647B9" w:rsidRDefault="00E2436F">
      <w:pPr>
        <w:numPr>
          <w:ilvl w:val="1"/>
          <w:numId w:val="19"/>
        </w:numPr>
        <w:tabs>
          <w:tab w:val="left" w:pos="2005"/>
        </w:tabs>
        <w:spacing w:line="243" w:lineRule="auto"/>
        <w:ind w:left="1560" w:hanging="5"/>
        <w:jc w:val="both"/>
        <w:rPr>
          <w:rFonts w:eastAsia="Times New Roman"/>
          <w:sz w:val="24"/>
          <w:szCs w:val="24"/>
        </w:rPr>
      </w:pPr>
      <w:r>
        <w:rPr>
          <w:rFonts w:eastAsia="Times New Roman"/>
          <w:sz w:val="24"/>
          <w:szCs w:val="24"/>
        </w:rPr>
        <w:t>No Person shall operate a Public Water System unless such operation is in accordance with the terms and conditions of all Department permits and approvals. No Person shall make changes to a permitted or approved Treatment Technique or remove a permitted or approved treatment device from service without prior notification to and approval by the Department unless the change or removal is in response to an Emergency. If the change or removal is in response to an Emergency, then the Public Water System must notify the Department within 24 hours of the change or removal.</w:t>
      </w:r>
    </w:p>
    <w:p w14:paraId="2819CF1C" w14:textId="77777777" w:rsidR="004647B9" w:rsidRDefault="00E2436F">
      <w:pPr>
        <w:numPr>
          <w:ilvl w:val="1"/>
          <w:numId w:val="19"/>
        </w:numPr>
        <w:tabs>
          <w:tab w:val="left" w:pos="2040"/>
        </w:tabs>
        <w:spacing w:line="244" w:lineRule="auto"/>
        <w:ind w:left="1560" w:hanging="5"/>
        <w:jc w:val="both"/>
        <w:rPr>
          <w:rFonts w:eastAsia="Times New Roman"/>
          <w:sz w:val="24"/>
          <w:szCs w:val="24"/>
        </w:rPr>
      </w:pPr>
      <w:r>
        <w:rPr>
          <w:rFonts w:eastAsia="Times New Roman"/>
          <w:sz w:val="24"/>
          <w:szCs w:val="24"/>
        </w:rPr>
        <w:t>After a Treatment Technique has been approved by the Department, the Supplier of Water shall install and maintain such Treatment Technique and implement any such approved procedures and practices in accordance with 310 CMR 22.00 and the terms and conditions of all applicable permits, approvals, and orders issued by the Department.</w:t>
      </w:r>
    </w:p>
    <w:p w14:paraId="2819CF1D" w14:textId="77777777" w:rsidR="004647B9" w:rsidRDefault="004647B9">
      <w:pPr>
        <w:spacing w:line="242" w:lineRule="exact"/>
        <w:rPr>
          <w:rFonts w:eastAsia="Times New Roman"/>
          <w:sz w:val="24"/>
          <w:szCs w:val="24"/>
        </w:rPr>
      </w:pPr>
    </w:p>
    <w:p w14:paraId="2819CF1E" w14:textId="77777777" w:rsidR="004647B9" w:rsidRDefault="00E2436F">
      <w:pPr>
        <w:numPr>
          <w:ilvl w:val="0"/>
          <w:numId w:val="19"/>
        </w:numPr>
        <w:tabs>
          <w:tab w:val="left" w:pos="1674"/>
        </w:tabs>
        <w:spacing w:line="251" w:lineRule="auto"/>
        <w:ind w:left="1200"/>
        <w:jc w:val="both"/>
        <w:rPr>
          <w:rFonts w:eastAsia="Times New Roman"/>
          <w:sz w:val="24"/>
          <w:szCs w:val="24"/>
        </w:rPr>
      </w:pPr>
      <w:r>
        <w:rPr>
          <w:rFonts w:eastAsia="Times New Roman"/>
          <w:sz w:val="24"/>
          <w:szCs w:val="24"/>
          <w:u w:val="single"/>
        </w:rPr>
        <w:t>Existing Public Water Systems</w:t>
      </w:r>
      <w:r>
        <w:rPr>
          <w:rFonts w:eastAsia="Times New Roman"/>
          <w:sz w:val="24"/>
          <w:szCs w:val="24"/>
        </w:rPr>
        <w:t xml:space="preserve">. The Department may require any existing Public Water System to demonstrate its compliance with 310 CMR 22.00, including but not limited to 310 CMR 22.04(1) and the Department's </w:t>
      </w:r>
      <w:r>
        <w:rPr>
          <w:rFonts w:eastAsia="Times New Roman"/>
          <w:i/>
          <w:iCs/>
          <w:sz w:val="24"/>
          <w:szCs w:val="24"/>
        </w:rPr>
        <w:t>Guidelines and Policies for Public Water Systems</w:t>
      </w:r>
      <w:r>
        <w:rPr>
          <w:rFonts w:eastAsia="Times New Roman"/>
          <w:sz w:val="24"/>
          <w:szCs w:val="24"/>
        </w:rPr>
        <w:t>, at the time of a Sanitary Survey conducted pursuant to 310 CMR 22.04(12) or as otherwise directed by the Department.</w:t>
      </w:r>
    </w:p>
    <w:p w14:paraId="2819CF1F" w14:textId="77777777" w:rsidR="004647B9" w:rsidRDefault="004647B9">
      <w:pPr>
        <w:spacing w:line="234" w:lineRule="exact"/>
        <w:rPr>
          <w:rFonts w:eastAsia="Times New Roman"/>
          <w:sz w:val="24"/>
          <w:szCs w:val="24"/>
        </w:rPr>
      </w:pPr>
    </w:p>
    <w:p w14:paraId="2819CF20" w14:textId="77777777" w:rsidR="004647B9" w:rsidRDefault="00E2436F">
      <w:pPr>
        <w:numPr>
          <w:ilvl w:val="0"/>
          <w:numId w:val="19"/>
        </w:numPr>
        <w:tabs>
          <w:tab w:val="left" w:pos="1710"/>
        </w:tabs>
        <w:spacing w:line="258" w:lineRule="auto"/>
        <w:ind w:left="1200"/>
        <w:jc w:val="both"/>
        <w:rPr>
          <w:rFonts w:eastAsia="Times New Roman"/>
          <w:sz w:val="24"/>
          <w:szCs w:val="24"/>
        </w:rPr>
      </w:pPr>
      <w:r>
        <w:rPr>
          <w:rFonts w:eastAsia="Times New Roman"/>
          <w:sz w:val="24"/>
          <w:szCs w:val="24"/>
        </w:rPr>
        <w:t>By no later than December 31, 2001, all Public Water Systems shall install meter(s) at location(s) sufficient to record each system's total production of water from all sources, including water purchased from and/or water sold to other Public Water Systems.</w:t>
      </w:r>
    </w:p>
    <w:p w14:paraId="2819CF21" w14:textId="77777777" w:rsidR="004647B9" w:rsidRDefault="004647B9">
      <w:pPr>
        <w:spacing w:line="228" w:lineRule="exact"/>
        <w:rPr>
          <w:rFonts w:eastAsia="Times New Roman"/>
          <w:sz w:val="24"/>
          <w:szCs w:val="24"/>
        </w:rPr>
      </w:pPr>
    </w:p>
    <w:p w14:paraId="2819CF22" w14:textId="77777777" w:rsidR="004647B9" w:rsidRDefault="00E2436F">
      <w:pPr>
        <w:numPr>
          <w:ilvl w:val="0"/>
          <w:numId w:val="19"/>
        </w:numPr>
        <w:tabs>
          <w:tab w:val="left" w:pos="1649"/>
        </w:tabs>
        <w:spacing w:line="251" w:lineRule="auto"/>
        <w:ind w:left="1200"/>
        <w:jc w:val="both"/>
        <w:rPr>
          <w:rFonts w:eastAsia="Times New Roman"/>
          <w:sz w:val="24"/>
          <w:szCs w:val="24"/>
        </w:rPr>
      </w:pPr>
      <w:r>
        <w:rPr>
          <w:rFonts w:eastAsia="Times New Roman"/>
          <w:sz w:val="24"/>
          <w:szCs w:val="24"/>
        </w:rPr>
        <w:t xml:space="preserve">Each Supplier of Water shall operate and maintain its system in a manner that ensures the delivery of safe drinking water to consumers. In determining whether a Supplier of Water is properly operating and maintaining a Public Water System, the Department will apply the standards for Public Water Systems set forth in the Drinking Water Program's </w:t>
      </w:r>
      <w:r>
        <w:rPr>
          <w:rFonts w:eastAsia="Times New Roman"/>
          <w:i/>
          <w:iCs/>
          <w:sz w:val="24"/>
          <w:szCs w:val="24"/>
        </w:rPr>
        <w:t>Guidelines and</w:t>
      </w:r>
      <w:r>
        <w:rPr>
          <w:rFonts w:eastAsia="Times New Roman"/>
          <w:sz w:val="24"/>
          <w:szCs w:val="24"/>
        </w:rPr>
        <w:t xml:space="preserve"> </w:t>
      </w:r>
      <w:r>
        <w:rPr>
          <w:rFonts w:eastAsia="Times New Roman"/>
          <w:i/>
          <w:iCs/>
          <w:sz w:val="24"/>
          <w:szCs w:val="24"/>
        </w:rPr>
        <w:t>Policies for Public Water Systems</w:t>
      </w:r>
      <w:r>
        <w:rPr>
          <w:rFonts w:eastAsia="Times New Roman"/>
          <w:sz w:val="24"/>
          <w:szCs w:val="24"/>
        </w:rPr>
        <w:t>.</w:t>
      </w:r>
    </w:p>
    <w:p w14:paraId="2819CF23" w14:textId="77777777" w:rsidR="004647B9" w:rsidRDefault="004647B9">
      <w:pPr>
        <w:spacing w:line="234" w:lineRule="exact"/>
        <w:rPr>
          <w:rFonts w:eastAsia="Times New Roman"/>
          <w:sz w:val="24"/>
          <w:szCs w:val="24"/>
        </w:rPr>
      </w:pPr>
    </w:p>
    <w:p w14:paraId="2819CF24" w14:textId="77777777" w:rsidR="004647B9" w:rsidRDefault="00E2436F">
      <w:pPr>
        <w:numPr>
          <w:ilvl w:val="0"/>
          <w:numId w:val="19"/>
        </w:numPr>
        <w:tabs>
          <w:tab w:val="left" w:pos="1660"/>
        </w:tabs>
        <w:ind w:left="1660" w:hanging="460"/>
        <w:rPr>
          <w:rFonts w:eastAsia="Times New Roman"/>
          <w:sz w:val="24"/>
          <w:szCs w:val="24"/>
        </w:rPr>
      </w:pPr>
      <w:r>
        <w:rPr>
          <w:rFonts w:eastAsia="Times New Roman"/>
          <w:sz w:val="24"/>
          <w:szCs w:val="24"/>
          <w:u w:val="single"/>
        </w:rPr>
        <w:t>New Product or Technology</w:t>
      </w:r>
      <w:r>
        <w:rPr>
          <w:rFonts w:eastAsia="Times New Roman"/>
          <w:sz w:val="24"/>
          <w:szCs w:val="24"/>
        </w:rPr>
        <w:t>.</w:t>
      </w:r>
    </w:p>
    <w:p w14:paraId="2819CF26" w14:textId="77777777" w:rsidR="004647B9" w:rsidRDefault="00E2436F">
      <w:pPr>
        <w:numPr>
          <w:ilvl w:val="1"/>
          <w:numId w:val="19"/>
        </w:numPr>
        <w:tabs>
          <w:tab w:val="left" w:pos="1990"/>
        </w:tabs>
        <w:spacing w:line="253" w:lineRule="auto"/>
        <w:ind w:left="1560" w:hanging="5"/>
        <w:jc w:val="both"/>
        <w:rPr>
          <w:rFonts w:eastAsia="Times New Roman"/>
          <w:sz w:val="23"/>
          <w:szCs w:val="23"/>
        </w:rPr>
      </w:pPr>
      <w:r>
        <w:rPr>
          <w:rFonts w:eastAsia="Times New Roman"/>
          <w:sz w:val="23"/>
          <w:szCs w:val="23"/>
        </w:rPr>
        <w:t>No Supplier of Water shall add, install or use any chemicals, drinking water additives, or treatment devices or equipment that come into direct contact with drinking water, unless such devices or equipment have received the prior written approval of the Department.</w:t>
      </w:r>
    </w:p>
    <w:p w14:paraId="2819CF28" w14:textId="77777777" w:rsidR="004647B9" w:rsidRDefault="00E2436F">
      <w:pPr>
        <w:numPr>
          <w:ilvl w:val="1"/>
          <w:numId w:val="19"/>
        </w:numPr>
        <w:tabs>
          <w:tab w:val="left" w:pos="2078"/>
        </w:tabs>
        <w:spacing w:line="243" w:lineRule="auto"/>
        <w:ind w:left="1560" w:hanging="5"/>
        <w:rPr>
          <w:rFonts w:eastAsia="Times New Roman"/>
          <w:sz w:val="24"/>
          <w:szCs w:val="24"/>
        </w:rPr>
      </w:pPr>
      <w:r>
        <w:rPr>
          <w:rFonts w:eastAsia="Times New Roman"/>
          <w:sz w:val="24"/>
          <w:szCs w:val="24"/>
        </w:rPr>
        <w:t>To obtain the Department's approval of a new product (</w:t>
      </w:r>
      <w:r>
        <w:rPr>
          <w:rFonts w:eastAsia="Times New Roman"/>
          <w:i/>
          <w:iCs/>
          <w:sz w:val="24"/>
          <w:szCs w:val="24"/>
        </w:rPr>
        <w:t>e.g.</w:t>
      </w:r>
      <w:r>
        <w:rPr>
          <w:rFonts w:eastAsia="Times New Roman"/>
          <w:sz w:val="24"/>
          <w:szCs w:val="24"/>
        </w:rPr>
        <w:t>, additives, coatings), a manufacturer shall demonstrate that the product:</w:t>
      </w:r>
    </w:p>
    <w:p w14:paraId="2819CF29" w14:textId="77777777" w:rsidR="004647B9" w:rsidRDefault="00E2436F">
      <w:pPr>
        <w:numPr>
          <w:ilvl w:val="2"/>
          <w:numId w:val="19"/>
        </w:numPr>
        <w:tabs>
          <w:tab w:val="left" w:pos="2302"/>
        </w:tabs>
        <w:spacing w:line="243" w:lineRule="auto"/>
        <w:ind w:left="1920" w:hanging="5"/>
        <w:jc w:val="both"/>
        <w:rPr>
          <w:rFonts w:eastAsia="Times New Roman"/>
          <w:sz w:val="24"/>
          <w:szCs w:val="24"/>
        </w:rPr>
      </w:pPr>
      <w:r>
        <w:rPr>
          <w:rFonts w:eastAsia="Times New Roman"/>
          <w:sz w:val="24"/>
          <w:szCs w:val="24"/>
        </w:rPr>
        <w:t>conforms to the applicable American National Standards Institute (ANSI) and the National Sanitation Foundation (NSF) Standard 60 or 61; or Underwriter Laboratory (UL) standards or the performance of the technology has been verified by the Environmental Protection Agency's (EPA's) Environmental Technology Verification Program (ETV);</w:t>
      </w:r>
    </w:p>
    <w:p w14:paraId="2819CF2B" w14:textId="77777777" w:rsidR="004647B9" w:rsidRDefault="00E2436F">
      <w:pPr>
        <w:numPr>
          <w:ilvl w:val="2"/>
          <w:numId w:val="19"/>
        </w:numPr>
        <w:tabs>
          <w:tab w:val="left" w:pos="2285"/>
        </w:tabs>
        <w:spacing w:line="243" w:lineRule="auto"/>
        <w:ind w:left="1920" w:hanging="5"/>
        <w:rPr>
          <w:rFonts w:eastAsia="Times New Roman"/>
          <w:sz w:val="24"/>
          <w:szCs w:val="24"/>
        </w:rPr>
      </w:pPr>
      <w:r>
        <w:rPr>
          <w:rFonts w:eastAsia="Times New Roman"/>
          <w:sz w:val="24"/>
          <w:szCs w:val="24"/>
        </w:rPr>
        <w:t>was approved by the EPA prior to April 1990 and conforms to the standards of the American Water Works Association (AWWA); and</w:t>
      </w:r>
    </w:p>
    <w:p w14:paraId="2819CF2C" w14:textId="77777777" w:rsidR="004647B9" w:rsidRDefault="00E2436F">
      <w:pPr>
        <w:numPr>
          <w:ilvl w:val="2"/>
          <w:numId w:val="19"/>
        </w:numPr>
        <w:tabs>
          <w:tab w:val="left" w:pos="2323"/>
        </w:tabs>
        <w:spacing w:line="242" w:lineRule="auto"/>
        <w:ind w:left="1920" w:hanging="5"/>
        <w:jc w:val="both"/>
        <w:rPr>
          <w:rFonts w:eastAsia="Times New Roman"/>
          <w:sz w:val="24"/>
          <w:szCs w:val="24"/>
        </w:rPr>
      </w:pPr>
      <w:r>
        <w:rPr>
          <w:rFonts w:eastAsia="Times New Roman"/>
          <w:sz w:val="24"/>
          <w:szCs w:val="24"/>
        </w:rPr>
        <w:t>is capable of producing finished water that meets all federal and state Maximum Contaminant Levels and drinking water standards for the intended and approved technology use.</w:t>
      </w:r>
    </w:p>
    <w:p w14:paraId="2819CF2E" w14:textId="77777777" w:rsidR="004647B9" w:rsidRDefault="00E2436F">
      <w:pPr>
        <w:numPr>
          <w:ilvl w:val="1"/>
          <w:numId w:val="19"/>
        </w:numPr>
        <w:tabs>
          <w:tab w:val="left" w:pos="1966"/>
        </w:tabs>
        <w:spacing w:line="243" w:lineRule="auto"/>
        <w:ind w:left="1560" w:hanging="5"/>
        <w:rPr>
          <w:rFonts w:eastAsia="Times New Roman"/>
          <w:sz w:val="24"/>
          <w:szCs w:val="24"/>
        </w:rPr>
      </w:pPr>
      <w:r>
        <w:rPr>
          <w:rFonts w:eastAsia="Times New Roman"/>
          <w:sz w:val="24"/>
          <w:szCs w:val="24"/>
        </w:rPr>
        <w:t>To obtain the Department's approval of a major new technology system, a manufacturer shall demonstrate that:</w:t>
      </w:r>
    </w:p>
    <w:p w14:paraId="2819CF2F" w14:textId="77777777" w:rsidR="004647B9" w:rsidRDefault="00E2436F">
      <w:pPr>
        <w:numPr>
          <w:ilvl w:val="2"/>
          <w:numId w:val="19"/>
        </w:numPr>
        <w:tabs>
          <w:tab w:val="left" w:pos="2261"/>
        </w:tabs>
        <w:spacing w:line="243" w:lineRule="auto"/>
        <w:ind w:left="1920" w:hanging="5"/>
        <w:jc w:val="both"/>
        <w:rPr>
          <w:rFonts w:eastAsia="Times New Roman"/>
          <w:sz w:val="24"/>
          <w:szCs w:val="24"/>
        </w:rPr>
      </w:pPr>
      <w:r>
        <w:rPr>
          <w:rFonts w:eastAsia="Times New Roman"/>
          <w:sz w:val="24"/>
          <w:szCs w:val="24"/>
        </w:rPr>
        <w:t>The major technology has been approved and used successfully in the United States for at least five years. In addition, such major new technology must have been approved and used successfully in three states for at least two years. One of the three states must either be a New England state or New York state or another state determined by the Department to have similar environmental conditions, and the other two states must be primacy states.</w:t>
      </w:r>
    </w:p>
    <w:p w14:paraId="2819CF30" w14:textId="77777777" w:rsidR="004647B9" w:rsidRDefault="004647B9">
      <w:pPr>
        <w:sectPr w:rsidR="004647B9" w:rsidSect="00EF630C">
          <w:pgSz w:w="12240" w:h="20180"/>
          <w:pgMar w:top="708" w:right="1440" w:bottom="1440" w:left="600" w:header="0" w:footer="0" w:gutter="0"/>
          <w:cols w:space="720" w:equalWidth="0">
            <w:col w:w="10200"/>
          </w:cols>
        </w:sectPr>
      </w:pPr>
    </w:p>
    <w:p w14:paraId="2819CF31" w14:textId="77777777" w:rsidR="004647B9" w:rsidRDefault="00E2436F">
      <w:pPr>
        <w:tabs>
          <w:tab w:val="left" w:pos="160"/>
        </w:tabs>
        <w:jc w:val="center"/>
        <w:rPr>
          <w:sz w:val="20"/>
          <w:szCs w:val="20"/>
        </w:rPr>
      </w:pPr>
      <w:bookmarkStart w:id="23" w:name="page24"/>
      <w:bookmarkEnd w:id="2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F32" w14:textId="77777777" w:rsidR="004647B9" w:rsidRDefault="004647B9">
      <w:pPr>
        <w:spacing w:line="200" w:lineRule="exact"/>
        <w:rPr>
          <w:sz w:val="20"/>
          <w:szCs w:val="20"/>
        </w:rPr>
      </w:pPr>
    </w:p>
    <w:p w14:paraId="2819CF33" w14:textId="77777777" w:rsidR="004647B9" w:rsidRDefault="004647B9">
      <w:pPr>
        <w:spacing w:line="323" w:lineRule="exact"/>
        <w:rPr>
          <w:sz w:val="20"/>
          <w:szCs w:val="20"/>
        </w:rPr>
      </w:pPr>
    </w:p>
    <w:p w14:paraId="2819CF34" w14:textId="77777777" w:rsidR="004647B9" w:rsidRDefault="00E2436F">
      <w:pPr>
        <w:tabs>
          <w:tab w:val="left" w:pos="760"/>
        </w:tabs>
        <w:rPr>
          <w:sz w:val="20"/>
          <w:szCs w:val="20"/>
        </w:rPr>
      </w:pPr>
      <w:r>
        <w:rPr>
          <w:rFonts w:eastAsia="Times New Roman"/>
          <w:sz w:val="24"/>
          <w:szCs w:val="24"/>
        </w:rPr>
        <w:t>22.04:</w:t>
      </w:r>
      <w:r>
        <w:rPr>
          <w:rFonts w:eastAsia="Times New Roman"/>
          <w:sz w:val="24"/>
          <w:szCs w:val="24"/>
        </w:rPr>
        <w:tab/>
        <w:t>continued</w:t>
      </w:r>
    </w:p>
    <w:p w14:paraId="2819CF35" w14:textId="77777777" w:rsidR="004647B9" w:rsidRDefault="004647B9">
      <w:pPr>
        <w:spacing w:line="283" w:lineRule="exact"/>
        <w:rPr>
          <w:sz w:val="20"/>
          <w:szCs w:val="20"/>
        </w:rPr>
      </w:pPr>
    </w:p>
    <w:p w14:paraId="2819CF36" w14:textId="77777777" w:rsidR="004647B9" w:rsidRDefault="00E2436F">
      <w:pPr>
        <w:numPr>
          <w:ilvl w:val="2"/>
          <w:numId w:val="20"/>
        </w:numPr>
        <w:tabs>
          <w:tab w:val="left" w:pos="2273"/>
        </w:tabs>
        <w:spacing w:line="256" w:lineRule="auto"/>
        <w:ind w:left="1920" w:hanging="5"/>
        <w:rPr>
          <w:rFonts w:eastAsia="Times New Roman"/>
          <w:sz w:val="24"/>
          <w:szCs w:val="24"/>
        </w:rPr>
      </w:pPr>
      <w:r>
        <w:rPr>
          <w:rFonts w:eastAsia="Times New Roman"/>
          <w:sz w:val="24"/>
          <w:szCs w:val="24"/>
        </w:rPr>
        <w:t>If a technology does not meet the requirements of 310 CMR 22.04(8)(c)1., then the technology must be piloted in Massachusetts in accordance to 310 CMR 22.04(9).</w:t>
      </w:r>
    </w:p>
    <w:p w14:paraId="2819CF38" w14:textId="77777777" w:rsidR="004647B9" w:rsidRDefault="00E2436F">
      <w:pPr>
        <w:numPr>
          <w:ilvl w:val="2"/>
          <w:numId w:val="20"/>
        </w:numPr>
        <w:tabs>
          <w:tab w:val="left" w:pos="2330"/>
        </w:tabs>
        <w:spacing w:line="243" w:lineRule="auto"/>
        <w:ind w:left="1920" w:hanging="5"/>
        <w:jc w:val="both"/>
        <w:rPr>
          <w:rFonts w:eastAsia="Times New Roman"/>
          <w:sz w:val="24"/>
          <w:szCs w:val="24"/>
        </w:rPr>
      </w:pPr>
      <w:r>
        <w:rPr>
          <w:rFonts w:eastAsia="Times New Roman"/>
          <w:sz w:val="24"/>
          <w:szCs w:val="24"/>
        </w:rPr>
        <w:t>The Department will consider for approval technologies that have received prior approval from third party organizations such as UL, ANSI/NSF, or AWWA. Additionally, the Department will consider for approval technologies with published ETV performance verification reports.</w:t>
      </w:r>
    </w:p>
    <w:p w14:paraId="2819CF39" w14:textId="77777777" w:rsidR="004647B9" w:rsidRDefault="00E2436F">
      <w:pPr>
        <w:numPr>
          <w:ilvl w:val="1"/>
          <w:numId w:val="21"/>
        </w:numPr>
        <w:tabs>
          <w:tab w:val="left" w:pos="2128"/>
        </w:tabs>
        <w:spacing w:line="243" w:lineRule="auto"/>
        <w:ind w:left="1560" w:hanging="5"/>
        <w:rPr>
          <w:rFonts w:eastAsia="Times New Roman"/>
          <w:sz w:val="24"/>
          <w:szCs w:val="24"/>
        </w:rPr>
      </w:pPr>
      <w:r>
        <w:rPr>
          <w:rFonts w:eastAsia="Times New Roman"/>
          <w:sz w:val="24"/>
          <w:szCs w:val="24"/>
        </w:rPr>
        <w:t>If the technology is a vending machine, then National Automatic Merchandizing Association (NAMA) certification shall be required to obtain the Department's approval.</w:t>
      </w:r>
    </w:p>
    <w:p w14:paraId="2819CF3A" w14:textId="77777777" w:rsidR="004647B9" w:rsidRDefault="00E2436F">
      <w:pPr>
        <w:numPr>
          <w:ilvl w:val="1"/>
          <w:numId w:val="21"/>
        </w:numPr>
        <w:tabs>
          <w:tab w:val="left" w:pos="1956"/>
        </w:tabs>
        <w:spacing w:line="243" w:lineRule="auto"/>
        <w:ind w:left="1560" w:hanging="5"/>
        <w:rPr>
          <w:rFonts w:eastAsia="Times New Roman"/>
          <w:sz w:val="24"/>
          <w:szCs w:val="24"/>
        </w:rPr>
      </w:pPr>
      <w:r>
        <w:rPr>
          <w:rFonts w:eastAsia="Times New Roman"/>
          <w:sz w:val="24"/>
          <w:szCs w:val="24"/>
        </w:rPr>
        <w:t>If the technology is a POU/POE device it shall conform to the requirements of 310 CMR 22.23.</w:t>
      </w:r>
    </w:p>
    <w:p w14:paraId="2819CF3B" w14:textId="77777777" w:rsidR="004647B9" w:rsidRDefault="00E2436F">
      <w:pPr>
        <w:numPr>
          <w:ilvl w:val="1"/>
          <w:numId w:val="21"/>
        </w:numPr>
        <w:tabs>
          <w:tab w:val="left" w:pos="2078"/>
        </w:tabs>
        <w:spacing w:line="243" w:lineRule="auto"/>
        <w:ind w:left="1560" w:hanging="5"/>
        <w:jc w:val="both"/>
        <w:rPr>
          <w:rFonts w:eastAsia="Times New Roman"/>
          <w:sz w:val="24"/>
          <w:szCs w:val="24"/>
        </w:rPr>
      </w:pPr>
      <w:r>
        <w:rPr>
          <w:rFonts w:eastAsia="Times New Roman"/>
          <w:sz w:val="24"/>
          <w:szCs w:val="24"/>
        </w:rPr>
        <w:t xml:space="preserve">Persons seeking to have a product or technology listed are directed to follow the procedures set forth in the Drinking Water Program's policy entitled: </w:t>
      </w:r>
      <w:r>
        <w:rPr>
          <w:rFonts w:eastAsia="Times New Roman"/>
          <w:i/>
          <w:iCs/>
          <w:sz w:val="24"/>
          <w:szCs w:val="24"/>
        </w:rPr>
        <w:t>New Product or</w:t>
      </w:r>
      <w:r>
        <w:rPr>
          <w:rFonts w:eastAsia="Times New Roman"/>
          <w:sz w:val="24"/>
          <w:szCs w:val="24"/>
        </w:rPr>
        <w:t xml:space="preserve"> </w:t>
      </w:r>
      <w:r>
        <w:rPr>
          <w:rFonts w:eastAsia="Times New Roman"/>
          <w:i/>
          <w:iCs/>
          <w:sz w:val="24"/>
          <w:szCs w:val="24"/>
        </w:rPr>
        <w:t xml:space="preserve">Technology Review Policy </w:t>
      </w:r>
      <w:r>
        <w:rPr>
          <w:rFonts w:eastAsia="Times New Roman"/>
          <w:sz w:val="24"/>
          <w:szCs w:val="24"/>
        </w:rPr>
        <w:t>DWP Policy No. 89-01, a copy of which is available from the</w:t>
      </w:r>
      <w:r>
        <w:rPr>
          <w:rFonts w:eastAsia="Times New Roman"/>
          <w:i/>
          <w:iCs/>
          <w:sz w:val="24"/>
          <w:szCs w:val="24"/>
        </w:rPr>
        <w:t xml:space="preserve"> </w:t>
      </w:r>
      <w:r>
        <w:rPr>
          <w:rFonts w:eastAsia="Times New Roman"/>
          <w:sz w:val="24"/>
          <w:szCs w:val="24"/>
        </w:rPr>
        <w:t>Drinking Water Program. The Department may revoke its approval of a product or technology if it determines that the product or technology is defective or performs inadequately in the field.</w:t>
      </w:r>
    </w:p>
    <w:p w14:paraId="2819CF3D" w14:textId="77777777" w:rsidR="004647B9" w:rsidRDefault="00E2436F">
      <w:pPr>
        <w:numPr>
          <w:ilvl w:val="1"/>
          <w:numId w:val="21"/>
        </w:numPr>
        <w:tabs>
          <w:tab w:val="left" w:pos="1982"/>
        </w:tabs>
        <w:spacing w:line="243" w:lineRule="auto"/>
        <w:ind w:left="1560" w:hanging="5"/>
        <w:jc w:val="both"/>
        <w:rPr>
          <w:rFonts w:eastAsia="Times New Roman"/>
          <w:sz w:val="24"/>
          <w:szCs w:val="24"/>
        </w:rPr>
      </w:pPr>
      <w:r>
        <w:rPr>
          <w:rFonts w:eastAsia="Times New Roman"/>
          <w:sz w:val="24"/>
          <w:szCs w:val="24"/>
        </w:rPr>
        <w:t>For products, if the drinking water chemicals or coatings have NSF certification, a NSF certification shall also be required of the original producer of the product. Repackers of chemicals are not required to be formally certified, but shall self-certify to the Department that the cleanliness of their procedures and purity of the resultant product is equivalent to the standards applicable to the original manufacturer. Any local reformulation of chemical requires certification in accordance with NSF 60.</w:t>
      </w:r>
    </w:p>
    <w:p w14:paraId="2819CF3F" w14:textId="77777777" w:rsidR="004647B9" w:rsidRDefault="00E2436F">
      <w:pPr>
        <w:numPr>
          <w:ilvl w:val="1"/>
          <w:numId w:val="21"/>
        </w:numPr>
        <w:tabs>
          <w:tab w:val="left" w:pos="2157"/>
        </w:tabs>
        <w:spacing w:line="245" w:lineRule="auto"/>
        <w:ind w:left="1560" w:hanging="5"/>
        <w:jc w:val="both"/>
        <w:rPr>
          <w:rFonts w:eastAsia="Times New Roman"/>
          <w:sz w:val="24"/>
          <w:szCs w:val="24"/>
        </w:rPr>
      </w:pPr>
      <w:r>
        <w:rPr>
          <w:rFonts w:eastAsia="Times New Roman"/>
          <w:sz w:val="24"/>
          <w:szCs w:val="24"/>
        </w:rPr>
        <w:t>Any public or private entity providing the testing and certification described in 310 CMR 22.04(6)(b) for other parties shall be certified by the American National Standards Institute (ANSI).</w:t>
      </w:r>
    </w:p>
    <w:p w14:paraId="2819CF40" w14:textId="77777777" w:rsidR="004647B9" w:rsidRDefault="004647B9">
      <w:pPr>
        <w:spacing w:line="241" w:lineRule="exact"/>
        <w:rPr>
          <w:rFonts w:eastAsia="Times New Roman"/>
          <w:sz w:val="24"/>
          <w:szCs w:val="24"/>
        </w:rPr>
      </w:pPr>
    </w:p>
    <w:p w14:paraId="2819CF41" w14:textId="77777777" w:rsidR="004647B9" w:rsidRDefault="00E2436F">
      <w:pPr>
        <w:numPr>
          <w:ilvl w:val="0"/>
          <w:numId w:val="22"/>
        </w:numPr>
        <w:tabs>
          <w:tab w:val="left" w:pos="1846"/>
        </w:tabs>
        <w:spacing w:line="248" w:lineRule="auto"/>
        <w:ind w:left="1200"/>
        <w:jc w:val="both"/>
        <w:rPr>
          <w:rFonts w:eastAsia="Times New Roman"/>
          <w:sz w:val="24"/>
          <w:szCs w:val="24"/>
        </w:rPr>
      </w:pPr>
      <w:r>
        <w:rPr>
          <w:rFonts w:eastAsia="Times New Roman"/>
          <w:sz w:val="24"/>
          <w:szCs w:val="24"/>
          <w:u w:val="single"/>
        </w:rPr>
        <w:t>Pilot Requirements</w:t>
      </w:r>
      <w:r>
        <w:rPr>
          <w:rFonts w:eastAsia="Times New Roman"/>
          <w:sz w:val="24"/>
          <w:szCs w:val="24"/>
        </w:rPr>
        <w:t xml:space="preserve">. The Department may require Persons seeking approval of a Disinfection or Filtration treatment system or process for use in a Public Water System to perform a pilot study to determine whether the proposed system or process will perform adequately in the field. Persons required to perform such a study should follow the procedures set forth in the Division's policy entitled </w:t>
      </w:r>
      <w:r>
        <w:rPr>
          <w:rFonts w:eastAsia="Times New Roman"/>
          <w:i/>
          <w:iCs/>
          <w:sz w:val="24"/>
          <w:szCs w:val="24"/>
        </w:rPr>
        <w:t>Pilot Study Requirements for Proposed Surface Water</w:t>
      </w:r>
      <w:r>
        <w:rPr>
          <w:rFonts w:eastAsia="Times New Roman"/>
          <w:sz w:val="24"/>
          <w:szCs w:val="24"/>
        </w:rPr>
        <w:t xml:space="preserve"> </w:t>
      </w:r>
      <w:r>
        <w:rPr>
          <w:rFonts w:eastAsia="Times New Roman"/>
          <w:i/>
          <w:iCs/>
          <w:sz w:val="24"/>
          <w:szCs w:val="24"/>
        </w:rPr>
        <w:t>Treatment/Filtration Plants</w:t>
      </w:r>
      <w:r>
        <w:rPr>
          <w:rFonts w:eastAsia="Times New Roman"/>
          <w:sz w:val="24"/>
          <w:szCs w:val="24"/>
        </w:rPr>
        <w:t>, DWS Policy No. 90-04, a copy of which is available from the</w:t>
      </w:r>
      <w:r>
        <w:rPr>
          <w:rFonts w:eastAsia="Times New Roman"/>
          <w:i/>
          <w:iCs/>
          <w:sz w:val="24"/>
          <w:szCs w:val="24"/>
        </w:rPr>
        <w:t xml:space="preserve"> </w:t>
      </w:r>
      <w:r>
        <w:rPr>
          <w:rFonts w:eastAsia="Times New Roman"/>
          <w:sz w:val="24"/>
          <w:szCs w:val="24"/>
        </w:rPr>
        <w:t>Drinking Water Program.</w:t>
      </w:r>
    </w:p>
    <w:p w14:paraId="2819CF42" w14:textId="77777777" w:rsidR="004647B9" w:rsidRDefault="004647B9">
      <w:pPr>
        <w:spacing w:line="240" w:lineRule="exact"/>
        <w:rPr>
          <w:rFonts w:eastAsia="Times New Roman"/>
          <w:sz w:val="24"/>
          <w:szCs w:val="24"/>
        </w:rPr>
      </w:pPr>
    </w:p>
    <w:p w14:paraId="2819CF43" w14:textId="77777777" w:rsidR="004647B9" w:rsidRPr="004D53FC" w:rsidRDefault="00E2436F">
      <w:pPr>
        <w:numPr>
          <w:ilvl w:val="0"/>
          <w:numId w:val="22"/>
        </w:numPr>
        <w:tabs>
          <w:tab w:val="left" w:pos="1715"/>
        </w:tabs>
        <w:spacing w:line="260" w:lineRule="auto"/>
        <w:ind w:left="1200"/>
        <w:jc w:val="both"/>
        <w:rPr>
          <w:rFonts w:eastAsia="Times New Roman"/>
          <w:sz w:val="24"/>
          <w:szCs w:val="24"/>
        </w:rPr>
      </w:pPr>
      <w:r w:rsidRPr="004D53FC">
        <w:rPr>
          <w:rFonts w:eastAsia="Times New Roman"/>
          <w:sz w:val="24"/>
          <w:szCs w:val="24"/>
          <w:u w:val="single"/>
        </w:rPr>
        <w:t>Treatment Techniques for Acrylamide and Epichlorohydrin</w:t>
      </w:r>
      <w:r w:rsidRPr="004D53FC">
        <w:rPr>
          <w:rFonts w:eastAsia="Times New Roman"/>
          <w:sz w:val="24"/>
          <w:szCs w:val="24"/>
        </w:rPr>
        <w:t>. Each Supplier of Water using acrylamide or epichlorohydrin in a Public Water System shall certify annually in writing to the Department (using third party or manufacturer's certification) that the combination (or product) of dose and monomer level does not exceed the levels specified as follows:</w:t>
      </w:r>
    </w:p>
    <w:p w14:paraId="3B0D8810" w14:textId="77777777" w:rsidR="00247072" w:rsidRDefault="00E2436F" w:rsidP="00247072">
      <w:pPr>
        <w:spacing w:line="253" w:lineRule="auto"/>
        <w:ind w:left="1560" w:right="30"/>
        <w:rPr>
          <w:rFonts w:eastAsia="Times New Roman"/>
          <w:sz w:val="24"/>
          <w:szCs w:val="24"/>
        </w:rPr>
      </w:pPr>
      <w:r w:rsidRPr="004D53FC">
        <w:rPr>
          <w:rFonts w:eastAsia="Times New Roman"/>
          <w:sz w:val="24"/>
          <w:szCs w:val="24"/>
        </w:rPr>
        <w:t>Acrylamide = 0.05% dosed at 1 ppm (or equivalent)</w:t>
      </w:r>
    </w:p>
    <w:p w14:paraId="2819CF45" w14:textId="07873288" w:rsidR="004647B9" w:rsidRPr="004D53FC" w:rsidRDefault="00E2436F" w:rsidP="00247072">
      <w:pPr>
        <w:spacing w:line="253" w:lineRule="auto"/>
        <w:ind w:left="1560" w:right="30"/>
        <w:rPr>
          <w:rFonts w:eastAsia="Times New Roman"/>
          <w:sz w:val="24"/>
          <w:szCs w:val="24"/>
        </w:rPr>
      </w:pPr>
      <w:r w:rsidRPr="004D53FC">
        <w:rPr>
          <w:rFonts w:eastAsia="Times New Roman"/>
          <w:sz w:val="24"/>
          <w:szCs w:val="24"/>
        </w:rPr>
        <w:t>Epichlorohydrin = 0.01% dosed at 20 ppm (or equivalent)</w:t>
      </w:r>
    </w:p>
    <w:p w14:paraId="2819CF47" w14:textId="77777777" w:rsidR="004647B9" w:rsidRPr="004D53FC" w:rsidRDefault="00E2436F">
      <w:pPr>
        <w:spacing w:line="246" w:lineRule="auto"/>
        <w:ind w:left="1200" w:firstLine="355"/>
        <w:rPr>
          <w:rFonts w:eastAsia="Times New Roman"/>
          <w:sz w:val="24"/>
          <w:szCs w:val="24"/>
        </w:rPr>
      </w:pPr>
      <w:r w:rsidRPr="004D53FC">
        <w:rPr>
          <w:rFonts w:eastAsia="Times New Roman"/>
          <w:sz w:val="24"/>
          <w:szCs w:val="24"/>
        </w:rPr>
        <w:t>Such certifications shall be made by the manufacturers or third parties, as approved by the Department.</w:t>
      </w:r>
    </w:p>
    <w:p w14:paraId="2819CF48" w14:textId="77777777" w:rsidR="004647B9" w:rsidRPr="00BA4BF8" w:rsidRDefault="004647B9">
      <w:pPr>
        <w:spacing w:line="240" w:lineRule="exact"/>
        <w:rPr>
          <w:rFonts w:eastAsia="Times New Roman"/>
          <w:sz w:val="24"/>
          <w:szCs w:val="24"/>
        </w:rPr>
      </w:pPr>
    </w:p>
    <w:p w14:paraId="2819CF49" w14:textId="77777777" w:rsidR="004647B9" w:rsidRDefault="00E2436F">
      <w:pPr>
        <w:numPr>
          <w:ilvl w:val="0"/>
          <w:numId w:val="22"/>
        </w:numPr>
        <w:tabs>
          <w:tab w:val="left" w:pos="1773"/>
        </w:tabs>
        <w:spacing w:line="275" w:lineRule="auto"/>
        <w:ind w:left="1200"/>
        <w:rPr>
          <w:rFonts w:eastAsia="Times New Roman"/>
          <w:sz w:val="24"/>
          <w:szCs w:val="24"/>
        </w:rPr>
      </w:pPr>
      <w:r>
        <w:rPr>
          <w:rFonts w:eastAsia="Times New Roman"/>
          <w:sz w:val="24"/>
          <w:szCs w:val="24"/>
        </w:rPr>
        <w:t>Any application of a herbicide to any surface water body that serves as a source of water for a Public Water System shall comply with 310 CMR 22.20B(8).</w:t>
      </w:r>
    </w:p>
    <w:p w14:paraId="2819CF4A" w14:textId="77777777" w:rsidR="004647B9" w:rsidRDefault="004647B9">
      <w:pPr>
        <w:spacing w:line="207" w:lineRule="exact"/>
        <w:rPr>
          <w:rFonts w:eastAsia="Times New Roman"/>
          <w:sz w:val="24"/>
          <w:szCs w:val="24"/>
        </w:rPr>
      </w:pPr>
    </w:p>
    <w:p w14:paraId="2819CF4B" w14:textId="77777777" w:rsidR="004647B9" w:rsidRDefault="00E2436F">
      <w:pPr>
        <w:numPr>
          <w:ilvl w:val="0"/>
          <w:numId w:val="22"/>
        </w:numPr>
        <w:tabs>
          <w:tab w:val="left" w:pos="1786"/>
        </w:tabs>
        <w:spacing w:line="250" w:lineRule="auto"/>
        <w:ind w:left="1200"/>
        <w:jc w:val="both"/>
        <w:rPr>
          <w:rFonts w:eastAsia="Times New Roman"/>
          <w:sz w:val="24"/>
          <w:szCs w:val="24"/>
        </w:rPr>
      </w:pPr>
      <w:r>
        <w:rPr>
          <w:rFonts w:eastAsia="Times New Roman"/>
          <w:sz w:val="24"/>
          <w:szCs w:val="24"/>
          <w:u w:val="single"/>
        </w:rPr>
        <w:t>Sanitary Surveys</w:t>
      </w:r>
      <w:r>
        <w:rPr>
          <w:rFonts w:eastAsia="Times New Roman"/>
          <w:sz w:val="24"/>
          <w:szCs w:val="24"/>
        </w:rPr>
        <w:t>. The Department or its agent may conduct Sanitary Surveys of Public Water Systems to evaluate each system's source, facilities, equipment, operation, monitoring schedule, technical, managerial and financial capacity, and maintenance procedures at a frequency determined by the Department.</w:t>
      </w:r>
    </w:p>
    <w:p w14:paraId="2819CF4C" w14:textId="77777777" w:rsidR="004647B9" w:rsidRDefault="00E2436F">
      <w:pPr>
        <w:numPr>
          <w:ilvl w:val="1"/>
          <w:numId w:val="22"/>
        </w:numPr>
        <w:tabs>
          <w:tab w:val="left" w:pos="2033"/>
        </w:tabs>
        <w:spacing w:line="243" w:lineRule="auto"/>
        <w:ind w:left="1560" w:hanging="5"/>
        <w:jc w:val="both"/>
        <w:rPr>
          <w:rFonts w:eastAsia="Times New Roman"/>
          <w:sz w:val="24"/>
          <w:szCs w:val="24"/>
        </w:rPr>
      </w:pPr>
      <w:r>
        <w:rPr>
          <w:rFonts w:eastAsia="Times New Roman"/>
          <w:sz w:val="24"/>
          <w:szCs w:val="24"/>
        </w:rPr>
        <w:t>If any violation or deficiency of 310 CMR 22.00, M.G.L. c. 111, § 160 or any other statute or regulation administered by the Department is identified during a Sanitary Survey, including without limitation any violations or deficiencies related to system capacity, the Public Water System shall be notified of the violation, the action necessary to comply with the statute or regulations, and the time period within which compliance must be attained. The Public Water System shall respond to any violations or deficiencies identified in the Sanitary Survey report within 30 days of receipt of such, unless the Department otherwise requires certain corrective action. The Department shall also include capacity recommendations for whole system improvements in its report.</w:t>
      </w:r>
    </w:p>
    <w:p w14:paraId="2819CF4D" w14:textId="77777777" w:rsidR="004647B9" w:rsidRDefault="004647B9">
      <w:pPr>
        <w:sectPr w:rsidR="004647B9" w:rsidSect="00EF630C">
          <w:pgSz w:w="12240" w:h="20180"/>
          <w:pgMar w:top="708" w:right="1440" w:bottom="1022" w:left="600" w:header="0" w:footer="0" w:gutter="0"/>
          <w:cols w:space="720" w:equalWidth="0">
            <w:col w:w="10200"/>
          </w:cols>
        </w:sectPr>
      </w:pPr>
    </w:p>
    <w:p w14:paraId="2819CF4E" w14:textId="77777777" w:rsidR="004647B9" w:rsidRDefault="00E2436F">
      <w:pPr>
        <w:tabs>
          <w:tab w:val="left" w:pos="160"/>
        </w:tabs>
        <w:jc w:val="center"/>
        <w:rPr>
          <w:sz w:val="20"/>
          <w:szCs w:val="20"/>
        </w:rPr>
      </w:pPr>
      <w:bookmarkStart w:id="24" w:name="page25"/>
      <w:bookmarkEnd w:id="2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F4F" w14:textId="77777777" w:rsidR="004647B9" w:rsidRDefault="004647B9">
      <w:pPr>
        <w:spacing w:line="200" w:lineRule="exact"/>
        <w:rPr>
          <w:sz w:val="20"/>
          <w:szCs w:val="20"/>
        </w:rPr>
      </w:pPr>
    </w:p>
    <w:p w14:paraId="2819CF50" w14:textId="77777777" w:rsidR="004647B9" w:rsidRDefault="004647B9">
      <w:pPr>
        <w:spacing w:line="323" w:lineRule="exact"/>
        <w:rPr>
          <w:sz w:val="20"/>
          <w:szCs w:val="20"/>
        </w:rPr>
      </w:pPr>
    </w:p>
    <w:p w14:paraId="2819CF51" w14:textId="77777777" w:rsidR="004647B9" w:rsidRDefault="00E2436F">
      <w:pPr>
        <w:tabs>
          <w:tab w:val="left" w:pos="760"/>
        </w:tabs>
        <w:rPr>
          <w:sz w:val="20"/>
          <w:szCs w:val="20"/>
        </w:rPr>
      </w:pPr>
      <w:r>
        <w:rPr>
          <w:rFonts w:eastAsia="Times New Roman"/>
          <w:sz w:val="24"/>
          <w:szCs w:val="24"/>
        </w:rPr>
        <w:t>22.04:</w:t>
      </w:r>
      <w:r>
        <w:rPr>
          <w:rFonts w:eastAsia="Times New Roman"/>
          <w:sz w:val="24"/>
          <w:szCs w:val="24"/>
        </w:rPr>
        <w:tab/>
        <w:t>continued</w:t>
      </w:r>
    </w:p>
    <w:p w14:paraId="2819CF52" w14:textId="77777777" w:rsidR="004647B9" w:rsidRDefault="004647B9">
      <w:pPr>
        <w:spacing w:line="283" w:lineRule="exact"/>
        <w:rPr>
          <w:sz w:val="20"/>
          <w:szCs w:val="20"/>
        </w:rPr>
      </w:pPr>
    </w:p>
    <w:p w14:paraId="2819CF53" w14:textId="77777777" w:rsidR="004647B9" w:rsidRPr="00C2687D" w:rsidRDefault="00E2436F">
      <w:pPr>
        <w:numPr>
          <w:ilvl w:val="1"/>
          <w:numId w:val="23"/>
        </w:numPr>
        <w:tabs>
          <w:tab w:val="left" w:pos="2013"/>
        </w:tabs>
        <w:spacing w:line="256" w:lineRule="auto"/>
        <w:ind w:left="1560" w:hanging="5"/>
        <w:jc w:val="both"/>
        <w:rPr>
          <w:rFonts w:eastAsia="Times New Roman"/>
          <w:sz w:val="24"/>
          <w:szCs w:val="24"/>
        </w:rPr>
      </w:pPr>
      <w:r w:rsidRPr="00C2687D">
        <w:rPr>
          <w:rFonts w:eastAsia="Times New Roman"/>
          <w:sz w:val="24"/>
          <w:szCs w:val="24"/>
        </w:rPr>
        <w:t>The owner of a Transient Non-community Water Systems (TNC) shall be responsible for conducting or having a Sanitary Survey conducted by June 29, 1999 to evaluate the system's source, facilities, equipment, operation, monitoring schedule and maintenance plan. Thereafter, TNC systems shall undergo another Sanitary Survey every five years unless otherwise required by the Department. The survey information shall be submitted to the Department on a form or in a format provided by the Department for such use no later than 90 days after the completion of the survey or as specified by the Department. The Department will review the results of each Sanitary Survey to determine whether the existing monitoring frequency is adequate and whether additional measures are necessary, to improve drinking water quality. In conducting the survey the Public Water System shall be subject to 310 CMR 22.04(1)(a), except that the Department may conduct a survey of the TNC system at any time to determine compliance with 310 CMR 22.00.</w:t>
      </w:r>
    </w:p>
    <w:p w14:paraId="2819CF55" w14:textId="5366DC40" w:rsidR="004647B9" w:rsidRPr="00C2687D" w:rsidRDefault="00E2436F">
      <w:pPr>
        <w:numPr>
          <w:ilvl w:val="1"/>
          <w:numId w:val="23"/>
        </w:numPr>
        <w:tabs>
          <w:tab w:val="left" w:pos="1968"/>
        </w:tabs>
        <w:spacing w:line="243" w:lineRule="auto"/>
        <w:ind w:left="1560" w:hanging="5"/>
        <w:jc w:val="both"/>
        <w:rPr>
          <w:rFonts w:eastAsia="Times New Roman"/>
          <w:sz w:val="24"/>
          <w:szCs w:val="24"/>
        </w:rPr>
      </w:pPr>
      <w:r w:rsidRPr="00C2687D">
        <w:rPr>
          <w:rFonts w:eastAsia="Times New Roman"/>
          <w:sz w:val="24"/>
          <w:szCs w:val="24"/>
        </w:rPr>
        <w:t>If a Significant Deficiency is identified by the Department or its agent during a Sanitary Survey at a groundwater Public Water System conducted to comply with 310 CMR 22.26(2),</w:t>
      </w:r>
      <w:r w:rsidR="00BA4BF8">
        <w:rPr>
          <w:rFonts w:eastAsia="Times New Roman"/>
          <w:sz w:val="24"/>
          <w:szCs w:val="24"/>
        </w:rPr>
        <w:t xml:space="preserve"> </w:t>
      </w:r>
      <w:r w:rsidRPr="00C2687D">
        <w:rPr>
          <w:rFonts w:eastAsia="Times New Roman"/>
          <w:sz w:val="24"/>
          <w:szCs w:val="24"/>
        </w:rPr>
        <w:t>the system must comply with the requirements of 310 CMR 22.26(4)(a). Unless the Department requires the groundwater system to implement corrective action, the groundwater system shall consult with the Department in accordance with the schedule listed under 310 CMR 22.26(4)(a)4. and 5.</w:t>
      </w:r>
    </w:p>
    <w:p w14:paraId="2819CF56" w14:textId="77777777" w:rsidR="004647B9" w:rsidRDefault="004647B9">
      <w:pPr>
        <w:spacing w:line="247" w:lineRule="exact"/>
        <w:rPr>
          <w:rFonts w:eastAsia="Times New Roman"/>
          <w:sz w:val="24"/>
          <w:szCs w:val="24"/>
        </w:rPr>
      </w:pPr>
    </w:p>
    <w:p w14:paraId="2819CF57" w14:textId="77777777" w:rsidR="004647B9" w:rsidRDefault="00E2436F">
      <w:pPr>
        <w:numPr>
          <w:ilvl w:val="0"/>
          <w:numId w:val="24"/>
        </w:numPr>
        <w:tabs>
          <w:tab w:val="left" w:pos="1780"/>
        </w:tabs>
        <w:ind w:left="1780" w:hanging="580"/>
        <w:rPr>
          <w:rFonts w:eastAsia="Times New Roman"/>
          <w:sz w:val="24"/>
          <w:szCs w:val="24"/>
        </w:rPr>
      </w:pPr>
      <w:r>
        <w:rPr>
          <w:rFonts w:eastAsia="Times New Roman"/>
          <w:sz w:val="24"/>
          <w:szCs w:val="24"/>
          <w:u w:val="single"/>
        </w:rPr>
        <w:t>Emergencies</w:t>
      </w:r>
      <w:r>
        <w:rPr>
          <w:rFonts w:eastAsia="Times New Roman"/>
          <w:sz w:val="24"/>
          <w:szCs w:val="24"/>
        </w:rPr>
        <w:t>.</w:t>
      </w:r>
    </w:p>
    <w:p w14:paraId="2819CF5C" w14:textId="539C3044" w:rsidR="004647B9" w:rsidRPr="0074721C" w:rsidRDefault="00E2436F">
      <w:pPr>
        <w:numPr>
          <w:ilvl w:val="1"/>
          <w:numId w:val="24"/>
        </w:numPr>
        <w:tabs>
          <w:tab w:val="left" w:pos="2069"/>
        </w:tabs>
        <w:spacing w:line="243" w:lineRule="auto"/>
        <w:ind w:left="1555" w:hanging="5"/>
        <w:jc w:val="both"/>
        <w:rPr>
          <w:rFonts w:eastAsia="Times New Roman"/>
          <w:i/>
          <w:iCs/>
          <w:sz w:val="24"/>
          <w:szCs w:val="24"/>
        </w:rPr>
      </w:pPr>
      <w:r w:rsidRPr="0074721C">
        <w:rPr>
          <w:rFonts w:eastAsia="Times New Roman"/>
          <w:sz w:val="24"/>
          <w:szCs w:val="24"/>
        </w:rPr>
        <w:t>Each Supplier of Water must prepare and keep in an easily accessible location an Emergency Response Plan prepared in accordance with 310 CMR 22.04(13) and</w:t>
      </w:r>
      <w:r w:rsidR="00BA4BF8" w:rsidRPr="0074721C">
        <w:rPr>
          <w:rFonts w:eastAsia="Times New Roman"/>
          <w:sz w:val="24"/>
          <w:szCs w:val="24"/>
        </w:rPr>
        <w:t xml:space="preserve"> </w:t>
      </w:r>
      <w:r w:rsidRPr="0074721C">
        <w:rPr>
          <w:rFonts w:eastAsia="Times New Roman"/>
          <w:i/>
          <w:iCs/>
          <w:sz w:val="23"/>
          <w:szCs w:val="23"/>
        </w:rPr>
        <w:t xml:space="preserve">Massachusetts Drinking Water Guidelines and Policies for Public Water Supplies, Chapter 12 - Emergency Response Planning Requirements Guidance </w:t>
      </w:r>
      <w:r w:rsidRPr="0074721C">
        <w:rPr>
          <w:rFonts w:eastAsia="Times New Roman"/>
          <w:sz w:val="23"/>
          <w:szCs w:val="23"/>
        </w:rPr>
        <w:t>including</w:t>
      </w:r>
      <w:r w:rsidRPr="0074721C">
        <w:rPr>
          <w:rFonts w:eastAsia="Times New Roman"/>
          <w:i/>
          <w:iCs/>
          <w:sz w:val="23"/>
          <w:szCs w:val="23"/>
        </w:rPr>
        <w:t xml:space="preserve"> Appendix O</w:t>
      </w:r>
      <w:r w:rsidR="0074721C" w:rsidRPr="0074721C">
        <w:rPr>
          <w:rFonts w:eastAsia="Times New Roman"/>
          <w:i/>
          <w:iCs/>
          <w:sz w:val="23"/>
          <w:szCs w:val="23"/>
        </w:rPr>
        <w:t xml:space="preserve"> </w:t>
      </w:r>
      <w:r w:rsidR="0074721C" w:rsidRPr="0074721C">
        <w:rPr>
          <w:rFonts w:eastAsia="Times New Roman"/>
          <w:i/>
          <w:iCs/>
          <w:sz w:val="24"/>
          <w:szCs w:val="24"/>
        </w:rPr>
        <w:t xml:space="preserve">- </w:t>
      </w:r>
      <w:r w:rsidRPr="0074721C">
        <w:rPr>
          <w:rFonts w:eastAsia="Times New Roman"/>
          <w:i/>
          <w:iCs/>
          <w:sz w:val="24"/>
          <w:szCs w:val="24"/>
        </w:rPr>
        <w:t>Handbook for Water Supply Emergencies</w:t>
      </w:r>
      <w:r w:rsidRPr="0074721C">
        <w:rPr>
          <w:rFonts w:eastAsia="Times New Roman"/>
          <w:sz w:val="24"/>
          <w:szCs w:val="24"/>
        </w:rPr>
        <w:t>. The Emergency Response Plan shall be</w:t>
      </w:r>
      <w:r w:rsidRPr="0074721C">
        <w:rPr>
          <w:rFonts w:eastAsia="Times New Roman"/>
          <w:i/>
          <w:iCs/>
          <w:sz w:val="24"/>
          <w:szCs w:val="24"/>
        </w:rPr>
        <w:t xml:space="preserve"> </w:t>
      </w:r>
      <w:r w:rsidRPr="0074721C">
        <w:rPr>
          <w:rFonts w:eastAsia="Times New Roman"/>
          <w:sz w:val="24"/>
          <w:szCs w:val="24"/>
        </w:rPr>
        <w:t>designed to ensure that the water supplier is able to respond effectively to potential and actual Emergencies. The Emergency Response Plan shall include detailed steps that the water supplier shall implement to ensure the continuation of service in the event of a potential or actual Emergency, including but not limited to:</w:t>
      </w:r>
    </w:p>
    <w:p w14:paraId="2819CF5E" w14:textId="77777777" w:rsidR="004647B9" w:rsidRDefault="00E2436F">
      <w:pPr>
        <w:numPr>
          <w:ilvl w:val="1"/>
          <w:numId w:val="25"/>
        </w:numPr>
        <w:tabs>
          <w:tab w:val="left" w:pos="2280"/>
        </w:tabs>
        <w:ind w:left="2280" w:hanging="365"/>
        <w:rPr>
          <w:rFonts w:eastAsia="Times New Roman"/>
          <w:sz w:val="24"/>
          <w:szCs w:val="24"/>
        </w:rPr>
      </w:pPr>
      <w:r>
        <w:rPr>
          <w:rFonts w:eastAsia="Times New Roman"/>
          <w:sz w:val="24"/>
          <w:szCs w:val="24"/>
        </w:rPr>
        <w:t>Loss of water supply from a source;</w:t>
      </w:r>
    </w:p>
    <w:p w14:paraId="2819CF60" w14:textId="77777777" w:rsidR="004647B9" w:rsidRDefault="00E2436F">
      <w:pPr>
        <w:numPr>
          <w:ilvl w:val="1"/>
          <w:numId w:val="25"/>
        </w:numPr>
        <w:tabs>
          <w:tab w:val="left" w:pos="2280"/>
        </w:tabs>
        <w:ind w:left="2280" w:hanging="365"/>
        <w:rPr>
          <w:rFonts w:eastAsia="Times New Roman"/>
          <w:sz w:val="24"/>
          <w:szCs w:val="24"/>
        </w:rPr>
      </w:pPr>
      <w:r>
        <w:rPr>
          <w:rFonts w:eastAsia="Times New Roman"/>
          <w:sz w:val="24"/>
          <w:szCs w:val="24"/>
        </w:rPr>
        <w:t>Loss of water supply due to major component failure;</w:t>
      </w:r>
    </w:p>
    <w:p w14:paraId="2819CF62" w14:textId="77777777" w:rsidR="004647B9" w:rsidRDefault="00E2436F">
      <w:pPr>
        <w:numPr>
          <w:ilvl w:val="1"/>
          <w:numId w:val="25"/>
        </w:numPr>
        <w:tabs>
          <w:tab w:val="left" w:pos="2280"/>
        </w:tabs>
        <w:ind w:left="2280" w:hanging="365"/>
        <w:rPr>
          <w:rFonts w:eastAsia="Times New Roman"/>
          <w:sz w:val="24"/>
          <w:szCs w:val="24"/>
        </w:rPr>
      </w:pPr>
      <w:r>
        <w:rPr>
          <w:rFonts w:eastAsia="Times New Roman"/>
          <w:sz w:val="24"/>
          <w:szCs w:val="24"/>
        </w:rPr>
        <w:t>Damage to power supply equipment or loss of power;</w:t>
      </w:r>
    </w:p>
    <w:p w14:paraId="2819CF64" w14:textId="77777777" w:rsidR="004647B9" w:rsidRDefault="00E2436F">
      <w:pPr>
        <w:numPr>
          <w:ilvl w:val="1"/>
          <w:numId w:val="25"/>
        </w:numPr>
        <w:tabs>
          <w:tab w:val="left" w:pos="2280"/>
        </w:tabs>
        <w:ind w:left="2280" w:hanging="365"/>
        <w:rPr>
          <w:rFonts w:eastAsia="Times New Roman"/>
          <w:sz w:val="24"/>
          <w:szCs w:val="24"/>
        </w:rPr>
      </w:pPr>
      <w:r>
        <w:rPr>
          <w:rFonts w:eastAsia="Times New Roman"/>
          <w:sz w:val="24"/>
          <w:szCs w:val="24"/>
        </w:rPr>
        <w:t>Contamination of water in the Distribution System from backflow or other causes;</w:t>
      </w:r>
    </w:p>
    <w:p w14:paraId="2819CF66" w14:textId="77777777" w:rsidR="004647B9" w:rsidRDefault="00E2436F">
      <w:pPr>
        <w:numPr>
          <w:ilvl w:val="1"/>
          <w:numId w:val="25"/>
        </w:numPr>
        <w:tabs>
          <w:tab w:val="left" w:pos="2280"/>
        </w:tabs>
        <w:ind w:left="2280" w:hanging="365"/>
        <w:rPr>
          <w:rFonts w:eastAsia="Times New Roman"/>
          <w:sz w:val="24"/>
          <w:szCs w:val="24"/>
        </w:rPr>
      </w:pPr>
      <w:r>
        <w:rPr>
          <w:rFonts w:eastAsia="Times New Roman"/>
          <w:sz w:val="24"/>
          <w:szCs w:val="24"/>
        </w:rPr>
        <w:t>Collapse of a reservoir, reservoir roof, or pump house structure;</w:t>
      </w:r>
    </w:p>
    <w:p w14:paraId="2819CF68" w14:textId="77777777" w:rsidR="004647B9" w:rsidRDefault="00E2436F">
      <w:pPr>
        <w:numPr>
          <w:ilvl w:val="1"/>
          <w:numId w:val="25"/>
        </w:numPr>
        <w:tabs>
          <w:tab w:val="left" w:pos="2294"/>
        </w:tabs>
        <w:spacing w:line="243" w:lineRule="auto"/>
        <w:ind w:left="1920" w:hanging="5"/>
        <w:rPr>
          <w:rFonts w:eastAsia="Times New Roman"/>
          <w:sz w:val="24"/>
          <w:szCs w:val="24"/>
        </w:rPr>
      </w:pPr>
      <w:r>
        <w:rPr>
          <w:rFonts w:eastAsia="Times New Roman"/>
          <w:sz w:val="24"/>
          <w:szCs w:val="24"/>
        </w:rPr>
        <w:t>Break in a transmission or distribution line that could result in a loss of service to customers for more than four hours;</w:t>
      </w:r>
    </w:p>
    <w:p w14:paraId="2819CF69" w14:textId="77777777" w:rsidR="004647B9" w:rsidRDefault="00E2436F">
      <w:pPr>
        <w:numPr>
          <w:ilvl w:val="1"/>
          <w:numId w:val="25"/>
        </w:numPr>
        <w:tabs>
          <w:tab w:val="left" w:pos="2316"/>
        </w:tabs>
        <w:spacing w:line="243" w:lineRule="auto"/>
        <w:ind w:left="1920" w:hanging="5"/>
        <w:jc w:val="both"/>
        <w:rPr>
          <w:rFonts w:eastAsia="Times New Roman"/>
          <w:sz w:val="24"/>
          <w:szCs w:val="24"/>
        </w:rPr>
      </w:pPr>
      <w:r>
        <w:rPr>
          <w:rFonts w:eastAsia="Times New Roman"/>
          <w:sz w:val="24"/>
          <w:szCs w:val="24"/>
        </w:rPr>
        <w:t>Potential or imminent threat of chemical or microbiological contamination of the water supply over limits specified by 310 CMR 22.00, including without limitation, any standards specific to an individual Public Water System established pursuant to a health assessment as provided in 310 CMR 22.03(8);</w:t>
      </w:r>
    </w:p>
    <w:p w14:paraId="2819CF6A" w14:textId="77777777" w:rsidR="004647B9" w:rsidRDefault="00E2436F">
      <w:pPr>
        <w:numPr>
          <w:ilvl w:val="1"/>
          <w:numId w:val="25"/>
        </w:numPr>
        <w:tabs>
          <w:tab w:val="left" w:pos="2251"/>
        </w:tabs>
        <w:spacing w:line="243" w:lineRule="auto"/>
        <w:ind w:left="1920" w:hanging="5"/>
        <w:rPr>
          <w:rFonts w:eastAsia="Times New Roman"/>
          <w:sz w:val="24"/>
          <w:szCs w:val="24"/>
        </w:rPr>
      </w:pPr>
      <w:r>
        <w:rPr>
          <w:rFonts w:eastAsia="Times New Roman"/>
          <w:sz w:val="24"/>
          <w:szCs w:val="24"/>
        </w:rPr>
        <w:t>Potential or imminent threat of an overfeed of an approved drinking water treatment chemical into the system;</w:t>
      </w:r>
    </w:p>
    <w:p w14:paraId="2819CF6B" w14:textId="4F350D08" w:rsidR="004647B9" w:rsidRDefault="00E2436F">
      <w:pPr>
        <w:numPr>
          <w:ilvl w:val="1"/>
          <w:numId w:val="25"/>
        </w:numPr>
        <w:tabs>
          <w:tab w:val="left" w:pos="2309"/>
        </w:tabs>
        <w:spacing w:line="243" w:lineRule="auto"/>
        <w:ind w:left="1920" w:hanging="5"/>
        <w:rPr>
          <w:rFonts w:eastAsia="Times New Roman"/>
          <w:sz w:val="24"/>
          <w:szCs w:val="24"/>
        </w:rPr>
      </w:pPr>
      <w:r>
        <w:rPr>
          <w:rFonts w:eastAsia="Times New Roman"/>
          <w:sz w:val="24"/>
          <w:szCs w:val="24"/>
        </w:rPr>
        <w:t xml:space="preserve">An act of vandalism or sabotage </w:t>
      </w:r>
      <w:r w:rsidR="004B082F">
        <w:rPr>
          <w:rFonts w:eastAsia="Times New Roman"/>
          <w:sz w:val="24"/>
          <w:szCs w:val="24"/>
        </w:rPr>
        <w:t>(</w:t>
      </w:r>
      <w:r w:rsidR="00934200">
        <w:rPr>
          <w:rFonts w:eastAsia="Times New Roman"/>
          <w:sz w:val="24"/>
          <w:szCs w:val="24"/>
        </w:rPr>
        <w:t>including</w:t>
      </w:r>
      <w:r w:rsidR="00691154">
        <w:rPr>
          <w:rFonts w:eastAsia="Times New Roman"/>
          <w:sz w:val="24"/>
          <w:szCs w:val="24"/>
        </w:rPr>
        <w:t xml:space="preserve"> without limitation</w:t>
      </w:r>
      <w:r w:rsidR="00934200">
        <w:rPr>
          <w:rFonts w:eastAsia="Times New Roman"/>
          <w:sz w:val="24"/>
          <w:szCs w:val="24"/>
        </w:rPr>
        <w:t xml:space="preserve"> </w:t>
      </w:r>
      <w:r w:rsidR="004B082F">
        <w:rPr>
          <w:rFonts w:eastAsia="Times New Roman"/>
          <w:sz w:val="24"/>
          <w:szCs w:val="24"/>
        </w:rPr>
        <w:t xml:space="preserve">cyberattack) </w:t>
      </w:r>
      <w:r>
        <w:rPr>
          <w:rFonts w:eastAsia="Times New Roman"/>
          <w:sz w:val="24"/>
          <w:szCs w:val="24"/>
        </w:rPr>
        <w:t>that has the potential to impact or impacts water quality or the quantity of water available to the system.</w:t>
      </w:r>
    </w:p>
    <w:p w14:paraId="2819CF6C" w14:textId="26D7BF45" w:rsidR="004647B9" w:rsidRPr="00F4517A" w:rsidRDefault="00E2436F">
      <w:pPr>
        <w:numPr>
          <w:ilvl w:val="1"/>
          <w:numId w:val="25"/>
        </w:numPr>
        <w:tabs>
          <w:tab w:val="left" w:pos="2420"/>
        </w:tabs>
        <w:ind w:left="2420" w:hanging="505"/>
        <w:rPr>
          <w:rFonts w:eastAsia="Times New Roman"/>
          <w:sz w:val="24"/>
          <w:szCs w:val="24"/>
        </w:rPr>
      </w:pPr>
      <w:r w:rsidRPr="00F4517A">
        <w:rPr>
          <w:rFonts w:eastAsia="Times New Roman"/>
          <w:sz w:val="24"/>
          <w:szCs w:val="24"/>
        </w:rPr>
        <w:t>A shortage or lack of resources that could affect the operations of the system, such</w:t>
      </w:r>
      <w:r w:rsidR="00E01C97">
        <w:rPr>
          <w:rFonts w:eastAsia="Times New Roman"/>
          <w:sz w:val="24"/>
          <w:szCs w:val="24"/>
        </w:rPr>
        <w:t xml:space="preserve"> as:</w:t>
      </w:r>
    </w:p>
    <w:p w14:paraId="2819CF70" w14:textId="77777777" w:rsidR="004647B9" w:rsidRDefault="00E2436F">
      <w:pPr>
        <w:numPr>
          <w:ilvl w:val="2"/>
          <w:numId w:val="25"/>
        </w:numPr>
        <w:tabs>
          <w:tab w:val="left" w:pos="2620"/>
        </w:tabs>
        <w:ind w:left="2620" w:hanging="345"/>
        <w:rPr>
          <w:rFonts w:eastAsia="Times New Roman"/>
          <w:sz w:val="24"/>
          <w:szCs w:val="24"/>
        </w:rPr>
      </w:pPr>
      <w:r>
        <w:rPr>
          <w:rFonts w:eastAsia="Times New Roman"/>
          <w:sz w:val="24"/>
          <w:szCs w:val="24"/>
        </w:rPr>
        <w:t>Staffing shortages:</w:t>
      </w:r>
    </w:p>
    <w:p w14:paraId="2819CF72" w14:textId="77777777" w:rsidR="004647B9" w:rsidRDefault="00E2436F">
      <w:pPr>
        <w:numPr>
          <w:ilvl w:val="2"/>
          <w:numId w:val="25"/>
        </w:numPr>
        <w:tabs>
          <w:tab w:val="left" w:pos="2640"/>
        </w:tabs>
        <w:ind w:left="2640" w:hanging="365"/>
        <w:rPr>
          <w:rFonts w:eastAsia="Times New Roman"/>
          <w:sz w:val="24"/>
          <w:szCs w:val="24"/>
        </w:rPr>
      </w:pPr>
      <w:r>
        <w:rPr>
          <w:rFonts w:eastAsia="Times New Roman"/>
          <w:sz w:val="24"/>
          <w:szCs w:val="24"/>
        </w:rPr>
        <w:t>Receipt of notice from a power utility of lengthy power outages; or</w:t>
      </w:r>
    </w:p>
    <w:p w14:paraId="2819CF74" w14:textId="77777777" w:rsidR="004647B9" w:rsidRDefault="00E2436F">
      <w:pPr>
        <w:numPr>
          <w:ilvl w:val="2"/>
          <w:numId w:val="25"/>
        </w:numPr>
        <w:tabs>
          <w:tab w:val="left" w:pos="2620"/>
        </w:tabs>
        <w:ind w:left="2620" w:hanging="345"/>
        <w:rPr>
          <w:rFonts w:eastAsia="Times New Roman"/>
          <w:sz w:val="24"/>
          <w:szCs w:val="24"/>
        </w:rPr>
      </w:pPr>
      <w:r>
        <w:rPr>
          <w:rFonts w:eastAsia="Times New Roman"/>
          <w:sz w:val="24"/>
          <w:szCs w:val="24"/>
        </w:rPr>
        <w:t>Imminent depletion of treatment chemical inventory; and</w:t>
      </w:r>
    </w:p>
    <w:p w14:paraId="2819CF76" w14:textId="2B127CF3" w:rsidR="004647B9" w:rsidRPr="00EA7CC1" w:rsidRDefault="00E2436F">
      <w:pPr>
        <w:numPr>
          <w:ilvl w:val="1"/>
          <w:numId w:val="25"/>
        </w:numPr>
        <w:tabs>
          <w:tab w:val="left" w:pos="2360"/>
        </w:tabs>
        <w:ind w:left="2360" w:hanging="445"/>
        <w:rPr>
          <w:rFonts w:eastAsia="Times New Roman"/>
          <w:sz w:val="24"/>
          <w:szCs w:val="24"/>
        </w:rPr>
      </w:pPr>
      <w:r w:rsidRPr="00EA7CC1">
        <w:rPr>
          <w:rFonts w:eastAsia="Times New Roman"/>
          <w:sz w:val="24"/>
          <w:szCs w:val="24"/>
        </w:rPr>
        <w:t>Any other failure of part or all of the water supply system due to equipment failure,</w:t>
      </w:r>
      <w:r w:rsidR="00EA7CC1">
        <w:rPr>
          <w:rFonts w:eastAsia="Times New Roman"/>
          <w:sz w:val="24"/>
          <w:szCs w:val="24"/>
        </w:rPr>
        <w:t xml:space="preserve"> human acts (deliberate or accidental) or natural or human made disasters.</w:t>
      </w:r>
    </w:p>
    <w:p w14:paraId="2819CF7A" w14:textId="77777777" w:rsidR="004647B9" w:rsidRDefault="00E2436F">
      <w:pPr>
        <w:numPr>
          <w:ilvl w:val="0"/>
          <w:numId w:val="26"/>
        </w:numPr>
        <w:tabs>
          <w:tab w:val="left" w:pos="2078"/>
        </w:tabs>
        <w:spacing w:line="242" w:lineRule="auto"/>
        <w:ind w:left="1560" w:hanging="5"/>
        <w:jc w:val="both"/>
        <w:rPr>
          <w:rFonts w:eastAsia="Times New Roman"/>
          <w:sz w:val="24"/>
          <w:szCs w:val="24"/>
        </w:rPr>
      </w:pPr>
      <w:r>
        <w:rPr>
          <w:rFonts w:eastAsia="Times New Roman"/>
          <w:sz w:val="24"/>
          <w:szCs w:val="24"/>
        </w:rPr>
        <w:t>The Emergency Response Plan required by 310 CMR 22.04(13) shall include, at a minimum, a description of the procedures, structures and equipment used to respond to potential or actual Emergencies, including but not limited to:</w:t>
      </w:r>
    </w:p>
    <w:p w14:paraId="2819CF7C" w14:textId="77777777" w:rsidR="004647B9" w:rsidRDefault="00E2436F">
      <w:pPr>
        <w:numPr>
          <w:ilvl w:val="1"/>
          <w:numId w:val="26"/>
        </w:numPr>
        <w:tabs>
          <w:tab w:val="left" w:pos="2266"/>
        </w:tabs>
        <w:spacing w:line="243" w:lineRule="auto"/>
        <w:ind w:left="1920" w:hanging="5"/>
        <w:rPr>
          <w:rFonts w:eastAsia="Times New Roman"/>
          <w:sz w:val="24"/>
          <w:szCs w:val="24"/>
        </w:rPr>
      </w:pPr>
      <w:r>
        <w:rPr>
          <w:rFonts w:eastAsia="Times New Roman"/>
          <w:sz w:val="24"/>
          <w:szCs w:val="24"/>
        </w:rPr>
        <w:t>Identification of alternate sources of water supply for use during an Emergency and procedures for bringing such sources On-line;</w:t>
      </w:r>
    </w:p>
    <w:p w14:paraId="2819CF7D" w14:textId="77777777" w:rsidR="004647B9" w:rsidRDefault="00E2436F">
      <w:pPr>
        <w:numPr>
          <w:ilvl w:val="1"/>
          <w:numId w:val="26"/>
        </w:numPr>
        <w:tabs>
          <w:tab w:val="left" w:pos="2335"/>
        </w:tabs>
        <w:spacing w:line="244" w:lineRule="auto"/>
        <w:ind w:left="1920" w:hanging="5"/>
        <w:jc w:val="both"/>
        <w:rPr>
          <w:rFonts w:eastAsia="Times New Roman"/>
          <w:sz w:val="24"/>
          <w:szCs w:val="24"/>
        </w:rPr>
      </w:pPr>
      <w:r>
        <w:rPr>
          <w:rFonts w:eastAsia="Times New Roman"/>
          <w:sz w:val="24"/>
          <w:szCs w:val="24"/>
        </w:rPr>
        <w:t>Procedures for notifying the Department and other regulatory agencies, the news media, and consumers of the Emergency and the actions, if any, consumers should take during the Emergency, including the use of personal protective equipment, if necessary, and water-use guidelines or restrictions;</w:t>
      </w:r>
    </w:p>
    <w:p w14:paraId="2819CF7E" w14:textId="77777777" w:rsidR="004647B9" w:rsidRDefault="004647B9">
      <w:pPr>
        <w:sectPr w:rsidR="004647B9" w:rsidSect="00EF630C">
          <w:pgSz w:w="12240" w:h="20180"/>
          <w:pgMar w:top="708" w:right="1440" w:bottom="737" w:left="600" w:header="0" w:footer="0" w:gutter="0"/>
          <w:cols w:space="720" w:equalWidth="0">
            <w:col w:w="10200"/>
          </w:cols>
        </w:sectPr>
      </w:pPr>
    </w:p>
    <w:p w14:paraId="2819CF7F" w14:textId="77777777" w:rsidR="004647B9" w:rsidRDefault="00E2436F">
      <w:pPr>
        <w:tabs>
          <w:tab w:val="left" w:pos="160"/>
        </w:tabs>
        <w:jc w:val="center"/>
        <w:rPr>
          <w:sz w:val="20"/>
          <w:szCs w:val="20"/>
        </w:rPr>
      </w:pPr>
      <w:bookmarkStart w:id="25" w:name="page26"/>
      <w:bookmarkEnd w:id="2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F80" w14:textId="77777777" w:rsidR="004647B9" w:rsidRDefault="004647B9">
      <w:pPr>
        <w:spacing w:line="200" w:lineRule="exact"/>
        <w:rPr>
          <w:sz w:val="20"/>
          <w:szCs w:val="20"/>
        </w:rPr>
      </w:pPr>
    </w:p>
    <w:p w14:paraId="2819CF81" w14:textId="77777777" w:rsidR="004647B9" w:rsidRDefault="004647B9">
      <w:pPr>
        <w:spacing w:line="323" w:lineRule="exact"/>
        <w:rPr>
          <w:sz w:val="20"/>
          <w:szCs w:val="20"/>
        </w:rPr>
      </w:pPr>
    </w:p>
    <w:p w14:paraId="2819CF82" w14:textId="77777777" w:rsidR="004647B9" w:rsidRDefault="00E2436F">
      <w:pPr>
        <w:tabs>
          <w:tab w:val="left" w:pos="760"/>
        </w:tabs>
        <w:rPr>
          <w:sz w:val="20"/>
          <w:szCs w:val="20"/>
        </w:rPr>
      </w:pPr>
      <w:r>
        <w:rPr>
          <w:rFonts w:eastAsia="Times New Roman"/>
          <w:sz w:val="24"/>
          <w:szCs w:val="24"/>
        </w:rPr>
        <w:t>22.04:</w:t>
      </w:r>
      <w:r>
        <w:rPr>
          <w:rFonts w:eastAsia="Times New Roman"/>
          <w:sz w:val="24"/>
          <w:szCs w:val="24"/>
        </w:rPr>
        <w:tab/>
        <w:t>continued</w:t>
      </w:r>
    </w:p>
    <w:p w14:paraId="2819CF83" w14:textId="77777777" w:rsidR="004647B9" w:rsidRDefault="004647B9">
      <w:pPr>
        <w:spacing w:line="283" w:lineRule="exact"/>
        <w:rPr>
          <w:sz w:val="20"/>
          <w:szCs w:val="20"/>
        </w:rPr>
      </w:pPr>
    </w:p>
    <w:p w14:paraId="2819CF84" w14:textId="77777777" w:rsidR="004647B9" w:rsidRPr="00C2687D" w:rsidRDefault="00E2436F">
      <w:pPr>
        <w:numPr>
          <w:ilvl w:val="2"/>
          <w:numId w:val="27"/>
        </w:numPr>
        <w:tabs>
          <w:tab w:val="left" w:pos="2244"/>
        </w:tabs>
        <w:spacing w:line="252" w:lineRule="auto"/>
        <w:ind w:left="1920" w:hanging="5"/>
        <w:jc w:val="both"/>
        <w:rPr>
          <w:rFonts w:eastAsia="Times New Roman"/>
          <w:sz w:val="24"/>
          <w:szCs w:val="24"/>
        </w:rPr>
      </w:pPr>
      <w:r w:rsidRPr="00C2687D">
        <w:rPr>
          <w:rFonts w:eastAsia="Times New Roman"/>
          <w:sz w:val="24"/>
          <w:szCs w:val="24"/>
        </w:rPr>
        <w:t>Procedures for communication, including a clear outline of the lines communication among system personnel and between the water supplier and local, state and federal officials and the public;</w:t>
      </w:r>
    </w:p>
    <w:p w14:paraId="2819CF86" w14:textId="77777777" w:rsidR="004647B9" w:rsidRPr="00C2687D" w:rsidRDefault="00E2436F">
      <w:pPr>
        <w:numPr>
          <w:ilvl w:val="2"/>
          <w:numId w:val="27"/>
        </w:numPr>
        <w:tabs>
          <w:tab w:val="left" w:pos="2215"/>
        </w:tabs>
        <w:spacing w:line="243" w:lineRule="auto"/>
        <w:ind w:left="1920" w:hanging="5"/>
        <w:rPr>
          <w:rFonts w:eastAsia="Times New Roman"/>
          <w:sz w:val="24"/>
          <w:szCs w:val="24"/>
        </w:rPr>
      </w:pPr>
      <w:r w:rsidRPr="00C2687D">
        <w:rPr>
          <w:rFonts w:eastAsia="Times New Roman"/>
          <w:sz w:val="24"/>
          <w:szCs w:val="24"/>
        </w:rPr>
        <w:t>Procedures for testing and maintaining all facility communications and alarm systems as necessary to ensure their proper operation;</w:t>
      </w:r>
    </w:p>
    <w:p w14:paraId="2819CF87" w14:textId="77777777" w:rsidR="004647B9" w:rsidRPr="00C2687D" w:rsidRDefault="00E2436F">
      <w:pPr>
        <w:numPr>
          <w:ilvl w:val="2"/>
          <w:numId w:val="27"/>
        </w:numPr>
        <w:tabs>
          <w:tab w:val="left" w:pos="2273"/>
        </w:tabs>
        <w:spacing w:line="243" w:lineRule="auto"/>
        <w:ind w:left="1920" w:hanging="5"/>
        <w:rPr>
          <w:rFonts w:eastAsia="Times New Roman"/>
          <w:sz w:val="24"/>
          <w:szCs w:val="24"/>
        </w:rPr>
      </w:pPr>
      <w:r w:rsidRPr="00C2687D">
        <w:rPr>
          <w:rFonts w:eastAsia="Times New Roman"/>
          <w:sz w:val="24"/>
          <w:szCs w:val="24"/>
        </w:rPr>
        <w:t>Procedures for disinfecting and testing the Distribution System after an Emergency in order to return it to service;</w:t>
      </w:r>
    </w:p>
    <w:p w14:paraId="2819CF88" w14:textId="77777777" w:rsidR="004647B9" w:rsidRPr="00C2687D" w:rsidRDefault="00E2436F">
      <w:pPr>
        <w:numPr>
          <w:ilvl w:val="2"/>
          <w:numId w:val="27"/>
        </w:numPr>
        <w:tabs>
          <w:tab w:val="left" w:pos="2388"/>
        </w:tabs>
        <w:spacing w:line="243" w:lineRule="auto"/>
        <w:ind w:left="1920" w:hanging="5"/>
        <w:rPr>
          <w:rFonts w:eastAsia="Times New Roman"/>
          <w:sz w:val="24"/>
          <w:szCs w:val="24"/>
        </w:rPr>
      </w:pPr>
      <w:r w:rsidRPr="00C2687D">
        <w:rPr>
          <w:rFonts w:eastAsia="Times New Roman"/>
          <w:sz w:val="24"/>
          <w:szCs w:val="24"/>
        </w:rPr>
        <w:t>Identification of critical system components that must remain in service or be returned to service quickly;</w:t>
      </w:r>
    </w:p>
    <w:p w14:paraId="2819CF89" w14:textId="77777777" w:rsidR="004647B9" w:rsidRPr="00C2687D" w:rsidRDefault="00E2436F">
      <w:pPr>
        <w:numPr>
          <w:ilvl w:val="2"/>
          <w:numId w:val="27"/>
        </w:numPr>
        <w:tabs>
          <w:tab w:val="left" w:pos="2258"/>
        </w:tabs>
        <w:spacing w:line="243" w:lineRule="auto"/>
        <w:ind w:left="1920" w:hanging="5"/>
        <w:jc w:val="both"/>
        <w:rPr>
          <w:rFonts w:eastAsia="Times New Roman"/>
          <w:sz w:val="24"/>
          <w:szCs w:val="24"/>
        </w:rPr>
      </w:pPr>
      <w:r w:rsidRPr="00C2687D">
        <w:rPr>
          <w:rFonts w:eastAsia="Times New Roman"/>
          <w:sz w:val="24"/>
          <w:szCs w:val="24"/>
        </w:rPr>
        <w:t>An inventory of equipment needs and availability, including the location of existing Emergency equipment, generators and spill response materials, identification of additional Emergency equipment needs, and procedures for obtaining additional services and equipment, including critical spare parts;</w:t>
      </w:r>
    </w:p>
    <w:p w14:paraId="2819CF8A" w14:textId="77777777" w:rsidR="004647B9" w:rsidRPr="00C2687D" w:rsidRDefault="00E2436F">
      <w:pPr>
        <w:numPr>
          <w:ilvl w:val="2"/>
          <w:numId w:val="27"/>
        </w:numPr>
        <w:tabs>
          <w:tab w:val="left" w:pos="2251"/>
        </w:tabs>
        <w:spacing w:line="242" w:lineRule="auto"/>
        <w:ind w:left="1920" w:hanging="5"/>
        <w:jc w:val="both"/>
        <w:rPr>
          <w:rFonts w:eastAsia="Times New Roman"/>
          <w:sz w:val="24"/>
          <w:szCs w:val="24"/>
        </w:rPr>
      </w:pPr>
      <w:r w:rsidRPr="00C2687D">
        <w:rPr>
          <w:rFonts w:eastAsia="Times New Roman"/>
          <w:sz w:val="24"/>
          <w:szCs w:val="24"/>
        </w:rPr>
        <w:t>Procedures for implementing any interconnections with other Public Water Systems and any other arrangements in effect with neighboring communities or other public water suppliers;</w:t>
      </w:r>
    </w:p>
    <w:p w14:paraId="2819CF8C" w14:textId="77777777" w:rsidR="004647B9" w:rsidRPr="00C2687D" w:rsidRDefault="00E2436F">
      <w:pPr>
        <w:numPr>
          <w:ilvl w:val="2"/>
          <w:numId w:val="27"/>
        </w:numPr>
        <w:tabs>
          <w:tab w:val="left" w:pos="2230"/>
        </w:tabs>
        <w:spacing w:line="253" w:lineRule="auto"/>
        <w:ind w:left="1920" w:hanging="5"/>
        <w:rPr>
          <w:rFonts w:eastAsia="Times New Roman"/>
          <w:sz w:val="24"/>
          <w:szCs w:val="24"/>
        </w:rPr>
      </w:pPr>
      <w:r w:rsidRPr="00C2687D">
        <w:rPr>
          <w:rFonts w:eastAsia="Times New Roman"/>
          <w:sz w:val="24"/>
          <w:szCs w:val="24"/>
        </w:rPr>
        <w:t>A description of the duties and responsibilities of key personnel who will be involved in Emergency response actions, and a procedure for contacting and scheduling staff;</w:t>
      </w:r>
    </w:p>
    <w:p w14:paraId="2819CF8E" w14:textId="1C45062A" w:rsidR="004647B9" w:rsidRPr="00C2687D" w:rsidRDefault="00E2436F">
      <w:pPr>
        <w:numPr>
          <w:ilvl w:val="2"/>
          <w:numId w:val="27"/>
        </w:numPr>
        <w:tabs>
          <w:tab w:val="left" w:pos="2531"/>
        </w:tabs>
        <w:spacing w:line="243" w:lineRule="auto"/>
        <w:ind w:left="1920" w:hanging="5"/>
        <w:jc w:val="both"/>
        <w:rPr>
          <w:rFonts w:eastAsia="Times New Roman"/>
          <w:sz w:val="24"/>
          <w:szCs w:val="24"/>
        </w:rPr>
      </w:pPr>
      <w:r w:rsidRPr="00C2687D">
        <w:rPr>
          <w:rFonts w:eastAsia="Times New Roman"/>
          <w:sz w:val="24"/>
          <w:szCs w:val="24"/>
        </w:rPr>
        <w:t>A plan for annually training staff and local partners in Emergency response procedures to ensure that they are familiar with all Emergency procedures, equipment and systems; and</w:t>
      </w:r>
    </w:p>
    <w:p w14:paraId="2819CF90" w14:textId="77777777" w:rsidR="004647B9" w:rsidRPr="00C2687D" w:rsidRDefault="00E2436F">
      <w:pPr>
        <w:numPr>
          <w:ilvl w:val="2"/>
          <w:numId w:val="27"/>
        </w:numPr>
        <w:tabs>
          <w:tab w:val="left" w:pos="2429"/>
        </w:tabs>
        <w:spacing w:line="243" w:lineRule="auto"/>
        <w:ind w:left="1920" w:hanging="5"/>
        <w:jc w:val="both"/>
        <w:rPr>
          <w:rFonts w:eastAsia="Times New Roman"/>
          <w:sz w:val="24"/>
          <w:szCs w:val="24"/>
        </w:rPr>
      </w:pPr>
      <w:r w:rsidRPr="00C2687D">
        <w:rPr>
          <w:rFonts w:eastAsia="Times New Roman"/>
          <w:sz w:val="24"/>
          <w:szCs w:val="24"/>
        </w:rPr>
        <w:t xml:space="preserve">Any other matter identified by the Department in </w:t>
      </w:r>
      <w:r w:rsidRPr="00C2687D">
        <w:rPr>
          <w:rFonts w:eastAsia="Times New Roman"/>
          <w:i/>
          <w:iCs/>
          <w:sz w:val="24"/>
          <w:szCs w:val="24"/>
        </w:rPr>
        <w:t>Massachusetts Drinking Water</w:t>
      </w:r>
      <w:r w:rsidRPr="00C2687D">
        <w:rPr>
          <w:rFonts w:eastAsia="Times New Roman"/>
          <w:sz w:val="24"/>
          <w:szCs w:val="24"/>
        </w:rPr>
        <w:t xml:space="preserve"> </w:t>
      </w:r>
      <w:r w:rsidRPr="00C2687D">
        <w:rPr>
          <w:rFonts w:eastAsia="Times New Roman"/>
          <w:i/>
          <w:iCs/>
          <w:sz w:val="24"/>
          <w:szCs w:val="24"/>
        </w:rPr>
        <w:t xml:space="preserve">Guidelines and Policies for Public Water Supplies, Chapter 12 - Emergency Response Planning Requirements </w:t>
      </w:r>
      <w:r w:rsidRPr="00C2687D">
        <w:rPr>
          <w:rFonts w:eastAsia="Times New Roman"/>
          <w:sz w:val="24"/>
          <w:szCs w:val="24"/>
        </w:rPr>
        <w:t>including</w:t>
      </w:r>
      <w:r w:rsidRPr="00C2687D">
        <w:rPr>
          <w:rFonts w:eastAsia="Times New Roman"/>
          <w:i/>
          <w:iCs/>
          <w:sz w:val="24"/>
          <w:szCs w:val="24"/>
        </w:rPr>
        <w:t xml:space="preserve"> Appendix O - Handbook for Water Supply Emergencies</w:t>
      </w:r>
      <w:r w:rsidRPr="00C2687D">
        <w:rPr>
          <w:rFonts w:eastAsia="Times New Roman"/>
          <w:sz w:val="24"/>
          <w:szCs w:val="24"/>
        </w:rPr>
        <w:t>.</w:t>
      </w:r>
    </w:p>
    <w:p w14:paraId="2819CF91" w14:textId="77777777" w:rsidR="004647B9" w:rsidRPr="00C2687D" w:rsidRDefault="00E2436F">
      <w:pPr>
        <w:numPr>
          <w:ilvl w:val="1"/>
          <w:numId w:val="28"/>
        </w:numPr>
        <w:tabs>
          <w:tab w:val="left" w:pos="2085"/>
        </w:tabs>
        <w:spacing w:line="244" w:lineRule="auto"/>
        <w:ind w:left="1560" w:hanging="5"/>
        <w:jc w:val="both"/>
        <w:rPr>
          <w:rFonts w:eastAsia="Times New Roman"/>
          <w:sz w:val="24"/>
          <w:szCs w:val="24"/>
        </w:rPr>
      </w:pPr>
      <w:r w:rsidRPr="00C2687D">
        <w:rPr>
          <w:rFonts w:eastAsia="Times New Roman"/>
          <w:sz w:val="24"/>
          <w:szCs w:val="24"/>
        </w:rPr>
        <w:t>Each water supplier must implement the Emergency Response Plan established in accordance with 310 CMR 22.04(13)(a) and (b), including without limitation the provisions for annual training of staff and local partners in the implementation of such plan in the event of a potential or actual Emergency.</w:t>
      </w:r>
    </w:p>
    <w:p w14:paraId="2819CF92" w14:textId="77777777" w:rsidR="004647B9" w:rsidRDefault="004647B9">
      <w:pPr>
        <w:spacing w:line="242" w:lineRule="exact"/>
        <w:rPr>
          <w:rFonts w:eastAsia="Times New Roman"/>
          <w:sz w:val="24"/>
          <w:szCs w:val="24"/>
        </w:rPr>
      </w:pPr>
    </w:p>
    <w:p w14:paraId="2819CF93" w14:textId="77777777" w:rsidR="004647B9" w:rsidRDefault="00E2436F">
      <w:pPr>
        <w:numPr>
          <w:ilvl w:val="0"/>
          <w:numId w:val="29"/>
        </w:numPr>
        <w:tabs>
          <w:tab w:val="left" w:pos="1780"/>
        </w:tabs>
        <w:ind w:left="1780" w:hanging="580"/>
        <w:rPr>
          <w:rFonts w:eastAsia="Times New Roman"/>
          <w:sz w:val="24"/>
          <w:szCs w:val="24"/>
        </w:rPr>
      </w:pPr>
      <w:r>
        <w:rPr>
          <w:rFonts w:eastAsia="Times New Roman"/>
          <w:sz w:val="24"/>
          <w:szCs w:val="24"/>
          <w:u w:val="single"/>
        </w:rPr>
        <w:t>Chemical Safety Control for Critical Chemical Feed Systems</w:t>
      </w:r>
      <w:r>
        <w:rPr>
          <w:rFonts w:eastAsia="Times New Roman"/>
          <w:sz w:val="24"/>
          <w:szCs w:val="24"/>
        </w:rPr>
        <w:t>.</w:t>
      </w:r>
    </w:p>
    <w:p w14:paraId="2819CF95" w14:textId="77777777" w:rsidR="004647B9" w:rsidRDefault="00E2436F">
      <w:pPr>
        <w:numPr>
          <w:ilvl w:val="1"/>
          <w:numId w:val="29"/>
        </w:numPr>
        <w:tabs>
          <w:tab w:val="left" w:pos="2107"/>
        </w:tabs>
        <w:spacing w:line="242" w:lineRule="auto"/>
        <w:ind w:left="1560" w:hanging="5"/>
        <w:jc w:val="both"/>
        <w:rPr>
          <w:rFonts w:eastAsia="Times New Roman"/>
          <w:sz w:val="24"/>
          <w:szCs w:val="24"/>
        </w:rPr>
      </w:pPr>
      <w:r>
        <w:rPr>
          <w:rFonts w:eastAsia="Times New Roman"/>
          <w:sz w:val="24"/>
          <w:szCs w:val="24"/>
        </w:rPr>
        <w:t>Any Chemical Feed System which uses any of the chemicals listed in 310 CMR 22.04(14)(a)1. through 5. shall be subject to critical Chemical Feed System requirements as set forth in 310 CMR 22.04(14)(b).</w:t>
      </w:r>
    </w:p>
    <w:p w14:paraId="2819CF97" w14:textId="77777777" w:rsidR="004647B9" w:rsidRDefault="00E2436F">
      <w:pPr>
        <w:numPr>
          <w:ilvl w:val="2"/>
          <w:numId w:val="29"/>
        </w:numPr>
        <w:tabs>
          <w:tab w:val="left" w:pos="2280"/>
        </w:tabs>
        <w:ind w:left="2280" w:hanging="365"/>
        <w:rPr>
          <w:rFonts w:eastAsia="Times New Roman"/>
          <w:sz w:val="24"/>
          <w:szCs w:val="24"/>
        </w:rPr>
      </w:pPr>
      <w:r>
        <w:rPr>
          <w:rFonts w:eastAsia="Times New Roman"/>
          <w:sz w:val="24"/>
          <w:szCs w:val="24"/>
        </w:rPr>
        <w:t>Gaseous or liquid chlorine;</w:t>
      </w:r>
    </w:p>
    <w:p w14:paraId="2819CF99" w14:textId="77777777" w:rsidR="004647B9" w:rsidRDefault="00E2436F">
      <w:pPr>
        <w:numPr>
          <w:ilvl w:val="2"/>
          <w:numId w:val="29"/>
        </w:numPr>
        <w:tabs>
          <w:tab w:val="left" w:pos="2280"/>
        </w:tabs>
        <w:ind w:left="2280" w:hanging="365"/>
        <w:rPr>
          <w:rFonts w:eastAsia="Times New Roman"/>
          <w:sz w:val="24"/>
          <w:szCs w:val="24"/>
        </w:rPr>
      </w:pPr>
      <w:r>
        <w:rPr>
          <w:rFonts w:eastAsia="Times New Roman"/>
          <w:sz w:val="24"/>
          <w:szCs w:val="24"/>
        </w:rPr>
        <w:t>Chloramines;</w:t>
      </w:r>
    </w:p>
    <w:p w14:paraId="2819CF9B" w14:textId="77777777" w:rsidR="004647B9" w:rsidRDefault="00E2436F">
      <w:pPr>
        <w:numPr>
          <w:ilvl w:val="2"/>
          <w:numId w:val="29"/>
        </w:numPr>
        <w:tabs>
          <w:tab w:val="left" w:pos="2280"/>
        </w:tabs>
        <w:ind w:left="2280" w:hanging="365"/>
        <w:rPr>
          <w:rFonts w:eastAsia="Times New Roman"/>
          <w:sz w:val="24"/>
          <w:szCs w:val="24"/>
        </w:rPr>
      </w:pPr>
      <w:r>
        <w:rPr>
          <w:rFonts w:eastAsia="Times New Roman"/>
          <w:sz w:val="24"/>
          <w:szCs w:val="24"/>
        </w:rPr>
        <w:t>Hydrofluorosilicic acid;</w:t>
      </w:r>
    </w:p>
    <w:p w14:paraId="2819CF9D" w14:textId="77777777" w:rsidR="004647B9" w:rsidRDefault="00E2436F">
      <w:pPr>
        <w:numPr>
          <w:ilvl w:val="2"/>
          <w:numId w:val="29"/>
        </w:numPr>
        <w:tabs>
          <w:tab w:val="left" w:pos="2280"/>
        </w:tabs>
        <w:ind w:left="2280" w:hanging="365"/>
        <w:rPr>
          <w:rFonts w:eastAsia="Times New Roman"/>
          <w:sz w:val="24"/>
          <w:szCs w:val="24"/>
        </w:rPr>
      </w:pPr>
      <w:r>
        <w:rPr>
          <w:rFonts w:eastAsia="Times New Roman"/>
          <w:sz w:val="24"/>
          <w:szCs w:val="24"/>
        </w:rPr>
        <w:t>Sodium hydroxide; or</w:t>
      </w:r>
    </w:p>
    <w:p w14:paraId="2819CF9F" w14:textId="77777777" w:rsidR="004647B9" w:rsidRDefault="00E2436F">
      <w:pPr>
        <w:numPr>
          <w:ilvl w:val="2"/>
          <w:numId w:val="29"/>
        </w:numPr>
        <w:tabs>
          <w:tab w:val="left" w:pos="2280"/>
        </w:tabs>
        <w:ind w:left="2280" w:hanging="365"/>
        <w:rPr>
          <w:rFonts w:eastAsia="Times New Roman"/>
          <w:sz w:val="24"/>
          <w:szCs w:val="24"/>
        </w:rPr>
      </w:pPr>
      <w:r>
        <w:rPr>
          <w:rFonts w:eastAsia="Times New Roman"/>
          <w:sz w:val="24"/>
          <w:szCs w:val="24"/>
        </w:rPr>
        <w:t>Potassium hydroxide.</w:t>
      </w:r>
    </w:p>
    <w:p w14:paraId="2819CFA1" w14:textId="77777777" w:rsidR="004647B9" w:rsidRDefault="00E2436F">
      <w:pPr>
        <w:numPr>
          <w:ilvl w:val="1"/>
          <w:numId w:val="29"/>
        </w:numPr>
        <w:tabs>
          <w:tab w:val="left" w:pos="2018"/>
        </w:tabs>
        <w:spacing w:line="242" w:lineRule="auto"/>
        <w:ind w:left="1560" w:hanging="5"/>
        <w:jc w:val="both"/>
        <w:rPr>
          <w:rFonts w:eastAsia="Times New Roman"/>
          <w:sz w:val="24"/>
          <w:szCs w:val="24"/>
        </w:rPr>
      </w:pPr>
      <w:r>
        <w:rPr>
          <w:rFonts w:eastAsia="Times New Roman"/>
          <w:sz w:val="24"/>
          <w:szCs w:val="24"/>
          <w:u w:val="single"/>
        </w:rPr>
        <w:t>Critical Chemical Feed System Requirements</w:t>
      </w:r>
      <w:r>
        <w:rPr>
          <w:rFonts w:eastAsia="Times New Roman"/>
          <w:sz w:val="24"/>
          <w:szCs w:val="24"/>
        </w:rPr>
        <w:t>. All Chemical Feed Systems subject to 310 CMR 22.04(14)(b) shall be equipped with control systems and alarm systems, consisting at a minimum and meeting at a minimum the following:</w:t>
      </w:r>
    </w:p>
    <w:p w14:paraId="2819CFA3" w14:textId="77777777" w:rsidR="004647B9" w:rsidRDefault="00E2436F">
      <w:pPr>
        <w:numPr>
          <w:ilvl w:val="2"/>
          <w:numId w:val="29"/>
        </w:numPr>
        <w:tabs>
          <w:tab w:val="left" w:pos="2280"/>
        </w:tabs>
        <w:ind w:left="2280" w:hanging="365"/>
        <w:rPr>
          <w:rFonts w:eastAsia="Times New Roman"/>
          <w:sz w:val="24"/>
          <w:szCs w:val="24"/>
        </w:rPr>
      </w:pPr>
      <w:r>
        <w:rPr>
          <w:rFonts w:eastAsia="Times New Roman"/>
          <w:sz w:val="24"/>
          <w:szCs w:val="24"/>
          <w:u w:val="single"/>
        </w:rPr>
        <w:t>Analyzer Requirements</w:t>
      </w:r>
      <w:r>
        <w:rPr>
          <w:rFonts w:eastAsia="Times New Roman"/>
          <w:sz w:val="24"/>
          <w:szCs w:val="24"/>
        </w:rPr>
        <w:t>.</w:t>
      </w:r>
    </w:p>
    <w:p w14:paraId="2819CFA5" w14:textId="77777777" w:rsidR="004647B9" w:rsidRDefault="00E2436F">
      <w:pPr>
        <w:numPr>
          <w:ilvl w:val="3"/>
          <w:numId w:val="29"/>
        </w:numPr>
        <w:tabs>
          <w:tab w:val="left" w:pos="2580"/>
        </w:tabs>
        <w:spacing w:line="242" w:lineRule="auto"/>
        <w:ind w:left="2280" w:hanging="5"/>
        <w:jc w:val="both"/>
        <w:rPr>
          <w:rFonts w:eastAsia="Times New Roman"/>
          <w:sz w:val="24"/>
          <w:szCs w:val="24"/>
        </w:rPr>
      </w:pPr>
      <w:r>
        <w:rPr>
          <w:rFonts w:eastAsia="Times New Roman"/>
          <w:sz w:val="24"/>
          <w:szCs w:val="24"/>
        </w:rPr>
        <w:t>Each water pump or group of pumps discharging treated water into a Distribution System shall be monitored with a chemical analyzer for each critical chemical injected into the water system by a chemical metering pump.</w:t>
      </w:r>
    </w:p>
    <w:p w14:paraId="2819CFA7" w14:textId="77777777" w:rsidR="004647B9" w:rsidRDefault="00E2436F">
      <w:pPr>
        <w:numPr>
          <w:ilvl w:val="3"/>
          <w:numId w:val="29"/>
        </w:numPr>
        <w:tabs>
          <w:tab w:val="left" w:pos="2654"/>
        </w:tabs>
        <w:spacing w:line="243" w:lineRule="auto"/>
        <w:ind w:left="2280" w:hanging="5"/>
        <w:jc w:val="both"/>
        <w:rPr>
          <w:rFonts w:eastAsia="Times New Roman"/>
          <w:sz w:val="24"/>
          <w:szCs w:val="24"/>
        </w:rPr>
      </w:pPr>
      <w:r>
        <w:rPr>
          <w:rFonts w:eastAsia="Times New Roman"/>
          <w:sz w:val="24"/>
          <w:szCs w:val="24"/>
        </w:rPr>
        <w:t>A Supplier of Water that demonstrates to the Department's satisfaction that an overfeed or underfeed would not lead to an unsafe or impure drinking water supply shall be exempt from the requirement of 310 CMR 22.04(14)(b)1.a.</w:t>
      </w:r>
    </w:p>
    <w:p w14:paraId="2819CFA9" w14:textId="77777777" w:rsidR="004647B9" w:rsidRDefault="00E2436F">
      <w:pPr>
        <w:numPr>
          <w:ilvl w:val="2"/>
          <w:numId w:val="29"/>
        </w:numPr>
        <w:tabs>
          <w:tab w:val="left" w:pos="2280"/>
        </w:tabs>
        <w:ind w:left="2280" w:hanging="365"/>
        <w:rPr>
          <w:rFonts w:eastAsia="Times New Roman"/>
          <w:sz w:val="24"/>
          <w:szCs w:val="24"/>
        </w:rPr>
      </w:pPr>
      <w:r>
        <w:rPr>
          <w:rFonts w:eastAsia="Times New Roman"/>
          <w:sz w:val="24"/>
          <w:szCs w:val="24"/>
          <w:u w:val="single"/>
        </w:rPr>
        <w:t>Interlock Requirements</w:t>
      </w:r>
      <w:r>
        <w:rPr>
          <w:rFonts w:eastAsia="Times New Roman"/>
          <w:sz w:val="24"/>
          <w:szCs w:val="24"/>
        </w:rPr>
        <w:t>.</w:t>
      </w:r>
    </w:p>
    <w:p w14:paraId="2819CFAB" w14:textId="77777777" w:rsidR="004647B9" w:rsidRDefault="00E2436F">
      <w:pPr>
        <w:numPr>
          <w:ilvl w:val="3"/>
          <w:numId w:val="29"/>
        </w:numPr>
        <w:tabs>
          <w:tab w:val="left" w:pos="2676"/>
        </w:tabs>
        <w:spacing w:line="243" w:lineRule="auto"/>
        <w:ind w:left="2280" w:hanging="5"/>
        <w:jc w:val="both"/>
        <w:rPr>
          <w:rFonts w:eastAsia="Times New Roman"/>
          <w:sz w:val="24"/>
          <w:szCs w:val="24"/>
        </w:rPr>
      </w:pPr>
      <w:r>
        <w:rPr>
          <w:rFonts w:eastAsia="Times New Roman"/>
          <w:sz w:val="24"/>
          <w:szCs w:val="24"/>
        </w:rPr>
        <w:t>The pump motor controller(s) of the pump that paces the chemical injection, chemical metering pump(s), and chemical analyzer(s) shall be interlocked so that no chemical is injected if the pump is not running;</w:t>
      </w:r>
    </w:p>
    <w:p w14:paraId="2819CFAD" w14:textId="77777777" w:rsidR="004647B9" w:rsidRDefault="00E2436F">
      <w:pPr>
        <w:numPr>
          <w:ilvl w:val="3"/>
          <w:numId w:val="29"/>
        </w:numPr>
        <w:tabs>
          <w:tab w:val="left" w:pos="2614"/>
        </w:tabs>
        <w:spacing w:line="243" w:lineRule="auto"/>
        <w:ind w:left="2280" w:hanging="5"/>
        <w:rPr>
          <w:rFonts w:eastAsia="Times New Roman"/>
          <w:sz w:val="24"/>
          <w:szCs w:val="24"/>
        </w:rPr>
      </w:pPr>
      <w:r>
        <w:rPr>
          <w:rFonts w:eastAsia="Times New Roman"/>
          <w:sz w:val="24"/>
          <w:szCs w:val="24"/>
        </w:rPr>
        <w:t>A flow meter or thermal type flow switch shall be installed and interlocked such that when no flow is detected, the chemical feed pumps shall not operate;</w:t>
      </w:r>
    </w:p>
    <w:p w14:paraId="2819CFAE" w14:textId="77777777" w:rsidR="004647B9" w:rsidRDefault="00E2436F">
      <w:pPr>
        <w:numPr>
          <w:ilvl w:val="3"/>
          <w:numId w:val="29"/>
        </w:numPr>
        <w:tabs>
          <w:tab w:val="left" w:pos="2561"/>
        </w:tabs>
        <w:spacing w:line="244" w:lineRule="auto"/>
        <w:ind w:left="2280" w:hanging="5"/>
        <w:jc w:val="both"/>
        <w:rPr>
          <w:rFonts w:eastAsia="Times New Roman"/>
          <w:sz w:val="24"/>
          <w:szCs w:val="24"/>
        </w:rPr>
      </w:pPr>
      <w:r>
        <w:rPr>
          <w:rFonts w:eastAsia="Times New Roman"/>
          <w:sz w:val="24"/>
          <w:szCs w:val="24"/>
        </w:rPr>
        <w:t>Each water pump and associated metering pump(s) shall automatically shut down, and the alarm system shall immediately send an alarm to a properly Certified Operator, if the analyzer for the critical chemical injected into the water system detects a parameter that is out of the range set in the analyzer; and</w:t>
      </w:r>
    </w:p>
    <w:p w14:paraId="2819CFAF" w14:textId="77777777" w:rsidR="004647B9" w:rsidRDefault="004647B9">
      <w:pPr>
        <w:sectPr w:rsidR="004647B9" w:rsidSect="00EF630C">
          <w:pgSz w:w="12240" w:h="20180"/>
          <w:pgMar w:top="708" w:right="1440" w:bottom="1016" w:left="600" w:header="0" w:footer="0" w:gutter="0"/>
          <w:cols w:space="720" w:equalWidth="0">
            <w:col w:w="10200"/>
          </w:cols>
        </w:sectPr>
      </w:pPr>
    </w:p>
    <w:p w14:paraId="2819CFB0" w14:textId="77777777" w:rsidR="004647B9" w:rsidRDefault="00E2436F">
      <w:pPr>
        <w:tabs>
          <w:tab w:val="left" w:pos="160"/>
        </w:tabs>
        <w:jc w:val="center"/>
        <w:rPr>
          <w:sz w:val="20"/>
          <w:szCs w:val="20"/>
        </w:rPr>
      </w:pPr>
      <w:bookmarkStart w:id="26" w:name="page27"/>
      <w:bookmarkEnd w:id="2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FB1" w14:textId="77777777" w:rsidR="004647B9" w:rsidRDefault="004647B9">
      <w:pPr>
        <w:spacing w:line="200" w:lineRule="exact"/>
        <w:rPr>
          <w:sz w:val="20"/>
          <w:szCs w:val="20"/>
        </w:rPr>
      </w:pPr>
    </w:p>
    <w:p w14:paraId="2819CFB2" w14:textId="77777777" w:rsidR="004647B9" w:rsidRDefault="004647B9">
      <w:pPr>
        <w:spacing w:line="323" w:lineRule="exact"/>
        <w:rPr>
          <w:sz w:val="20"/>
          <w:szCs w:val="20"/>
        </w:rPr>
      </w:pPr>
    </w:p>
    <w:p w14:paraId="2819CFB3" w14:textId="77777777" w:rsidR="004647B9" w:rsidRDefault="00E2436F">
      <w:pPr>
        <w:tabs>
          <w:tab w:val="left" w:pos="760"/>
        </w:tabs>
        <w:rPr>
          <w:sz w:val="20"/>
          <w:szCs w:val="20"/>
        </w:rPr>
      </w:pPr>
      <w:r>
        <w:rPr>
          <w:rFonts w:eastAsia="Times New Roman"/>
          <w:sz w:val="24"/>
          <w:szCs w:val="24"/>
        </w:rPr>
        <w:t>22.04:</w:t>
      </w:r>
      <w:r>
        <w:rPr>
          <w:rFonts w:eastAsia="Times New Roman"/>
          <w:sz w:val="24"/>
          <w:szCs w:val="24"/>
        </w:rPr>
        <w:tab/>
        <w:t>continued</w:t>
      </w:r>
    </w:p>
    <w:p w14:paraId="2819CFB4" w14:textId="77777777" w:rsidR="004647B9" w:rsidRDefault="004647B9">
      <w:pPr>
        <w:spacing w:line="283" w:lineRule="exact"/>
        <w:rPr>
          <w:sz w:val="20"/>
          <w:szCs w:val="20"/>
        </w:rPr>
      </w:pPr>
    </w:p>
    <w:p w14:paraId="2819CFB5" w14:textId="77777777" w:rsidR="004647B9" w:rsidRPr="00C2687D" w:rsidRDefault="00E2436F">
      <w:pPr>
        <w:numPr>
          <w:ilvl w:val="3"/>
          <w:numId w:val="30"/>
        </w:numPr>
        <w:tabs>
          <w:tab w:val="left" w:pos="2618"/>
        </w:tabs>
        <w:spacing w:line="250" w:lineRule="auto"/>
        <w:ind w:left="2280" w:hanging="5"/>
        <w:jc w:val="both"/>
        <w:rPr>
          <w:rFonts w:eastAsia="Times New Roman"/>
          <w:sz w:val="24"/>
          <w:szCs w:val="24"/>
        </w:rPr>
      </w:pPr>
      <w:r w:rsidRPr="00C2687D">
        <w:rPr>
          <w:rFonts w:eastAsia="Times New Roman"/>
          <w:sz w:val="24"/>
          <w:szCs w:val="24"/>
        </w:rPr>
        <w:t>A facility that is staffed 24 hours a day, seven days a week, 365 days a year shall not be required to have an automatic shut down, nor shall any of its Satellite Facilities, but a properly Certified Operator shall be available to take proper action in the event of an overfeed or underfeed.</w:t>
      </w:r>
    </w:p>
    <w:p w14:paraId="2819CFB6" w14:textId="77777777" w:rsidR="004647B9" w:rsidRPr="00C2687D" w:rsidRDefault="00E2436F">
      <w:pPr>
        <w:numPr>
          <w:ilvl w:val="2"/>
          <w:numId w:val="31"/>
        </w:numPr>
        <w:tabs>
          <w:tab w:val="left" w:pos="2330"/>
        </w:tabs>
        <w:spacing w:line="243" w:lineRule="auto"/>
        <w:ind w:left="1920" w:hanging="5"/>
        <w:rPr>
          <w:rFonts w:eastAsia="Times New Roman"/>
          <w:sz w:val="24"/>
          <w:szCs w:val="24"/>
        </w:rPr>
      </w:pPr>
      <w:r w:rsidRPr="00C2687D">
        <w:rPr>
          <w:rFonts w:eastAsia="Times New Roman"/>
          <w:sz w:val="24"/>
          <w:szCs w:val="24"/>
        </w:rPr>
        <w:t>Powering of all metering pumps shall be configured to prevent overriding of the safety shut down systems.</w:t>
      </w:r>
    </w:p>
    <w:p w14:paraId="2819CFB7" w14:textId="77777777" w:rsidR="004647B9" w:rsidRPr="00C2687D" w:rsidRDefault="00E2436F">
      <w:pPr>
        <w:numPr>
          <w:ilvl w:val="2"/>
          <w:numId w:val="31"/>
        </w:numPr>
        <w:tabs>
          <w:tab w:val="left" w:pos="2280"/>
        </w:tabs>
        <w:spacing w:line="243" w:lineRule="auto"/>
        <w:ind w:left="1920" w:hanging="5"/>
        <w:jc w:val="both"/>
        <w:rPr>
          <w:rFonts w:eastAsia="Times New Roman"/>
          <w:sz w:val="24"/>
          <w:szCs w:val="24"/>
        </w:rPr>
      </w:pPr>
      <w:r w:rsidRPr="00C2687D">
        <w:rPr>
          <w:rFonts w:eastAsia="Times New Roman"/>
          <w:sz w:val="24"/>
          <w:szCs w:val="24"/>
        </w:rPr>
        <w:t>Controls, instrumentation, alarms, and data logging system requirements. In every Public Water System, controls, instrumentation, alarms, and data logging systems shall be:</w:t>
      </w:r>
    </w:p>
    <w:p w14:paraId="2819CFB9" w14:textId="77777777" w:rsidR="004647B9" w:rsidRPr="00C2687D" w:rsidRDefault="00E2436F">
      <w:pPr>
        <w:numPr>
          <w:ilvl w:val="3"/>
          <w:numId w:val="31"/>
        </w:numPr>
        <w:tabs>
          <w:tab w:val="left" w:pos="2620"/>
        </w:tabs>
        <w:ind w:left="2620" w:hanging="345"/>
        <w:rPr>
          <w:rFonts w:eastAsia="Times New Roman"/>
          <w:sz w:val="24"/>
          <w:szCs w:val="24"/>
        </w:rPr>
      </w:pPr>
      <w:r w:rsidRPr="00C2687D">
        <w:rPr>
          <w:rFonts w:eastAsia="Times New Roman"/>
          <w:sz w:val="24"/>
          <w:szCs w:val="24"/>
        </w:rPr>
        <w:t>installed in order to insure a reliable and safe system;</w:t>
      </w:r>
    </w:p>
    <w:p w14:paraId="2819CFBB" w14:textId="77777777" w:rsidR="004647B9" w:rsidRPr="00C2687D" w:rsidRDefault="00E2436F">
      <w:pPr>
        <w:numPr>
          <w:ilvl w:val="3"/>
          <w:numId w:val="31"/>
        </w:numPr>
        <w:tabs>
          <w:tab w:val="left" w:pos="2640"/>
        </w:tabs>
        <w:ind w:left="2640" w:hanging="365"/>
        <w:rPr>
          <w:rFonts w:eastAsia="Times New Roman"/>
          <w:sz w:val="24"/>
          <w:szCs w:val="24"/>
        </w:rPr>
      </w:pPr>
      <w:r w:rsidRPr="00C2687D">
        <w:rPr>
          <w:rFonts w:eastAsia="Times New Roman"/>
          <w:sz w:val="24"/>
          <w:szCs w:val="24"/>
        </w:rPr>
        <w:t>calibrated in accordance with the manufacturer's recommendations; and</w:t>
      </w:r>
    </w:p>
    <w:p w14:paraId="2819CFBD" w14:textId="77777777" w:rsidR="004647B9" w:rsidRPr="00C2687D" w:rsidRDefault="00E2436F">
      <w:pPr>
        <w:numPr>
          <w:ilvl w:val="3"/>
          <w:numId w:val="31"/>
        </w:numPr>
        <w:tabs>
          <w:tab w:val="left" w:pos="2620"/>
        </w:tabs>
        <w:ind w:left="2620" w:hanging="345"/>
        <w:rPr>
          <w:rFonts w:eastAsia="Times New Roman"/>
          <w:sz w:val="24"/>
          <w:szCs w:val="24"/>
        </w:rPr>
      </w:pPr>
      <w:r w:rsidRPr="00C2687D">
        <w:rPr>
          <w:rFonts w:eastAsia="Times New Roman"/>
          <w:sz w:val="24"/>
          <w:szCs w:val="24"/>
        </w:rPr>
        <w:t>tested quarterly.</w:t>
      </w:r>
    </w:p>
    <w:p w14:paraId="2819CFBF" w14:textId="77777777" w:rsidR="004647B9" w:rsidRPr="00C2687D" w:rsidRDefault="00E2436F">
      <w:pPr>
        <w:numPr>
          <w:ilvl w:val="2"/>
          <w:numId w:val="31"/>
        </w:numPr>
        <w:tabs>
          <w:tab w:val="left" w:pos="2345"/>
        </w:tabs>
        <w:spacing w:line="254" w:lineRule="auto"/>
        <w:ind w:left="1920" w:hanging="5"/>
        <w:jc w:val="both"/>
        <w:rPr>
          <w:rFonts w:eastAsia="Times New Roman"/>
          <w:sz w:val="24"/>
          <w:szCs w:val="24"/>
        </w:rPr>
      </w:pPr>
      <w:r w:rsidRPr="00C2687D">
        <w:rPr>
          <w:rFonts w:eastAsia="Times New Roman"/>
          <w:sz w:val="24"/>
          <w:szCs w:val="24"/>
        </w:rPr>
        <w:t>The Supplier of Water shall maintain logs recording all test results for a rolling period of five years from the date of each set of tests. The Supplier of Water shall make the logs available for review by the Department during inspections or upon request.</w:t>
      </w:r>
    </w:p>
    <w:p w14:paraId="2819CFC0" w14:textId="77777777" w:rsidR="004647B9" w:rsidRPr="00C2687D" w:rsidRDefault="00E2436F">
      <w:pPr>
        <w:numPr>
          <w:ilvl w:val="2"/>
          <w:numId w:val="31"/>
        </w:numPr>
        <w:tabs>
          <w:tab w:val="left" w:pos="2309"/>
        </w:tabs>
        <w:spacing w:line="246" w:lineRule="auto"/>
        <w:ind w:left="1920" w:hanging="5"/>
        <w:rPr>
          <w:rFonts w:eastAsia="Times New Roman"/>
          <w:sz w:val="24"/>
          <w:szCs w:val="24"/>
        </w:rPr>
      </w:pPr>
      <w:r w:rsidRPr="00C2687D">
        <w:rPr>
          <w:rFonts w:eastAsia="Times New Roman"/>
          <w:sz w:val="24"/>
          <w:szCs w:val="24"/>
        </w:rPr>
        <w:t>The Supplier of Water shall establish written protocols for testing critical alarms, which protocols shall be periodically reviewed and updated as appropriate.</w:t>
      </w:r>
    </w:p>
    <w:p w14:paraId="2819CFC1" w14:textId="77777777" w:rsidR="004647B9" w:rsidRDefault="004647B9">
      <w:pPr>
        <w:spacing w:line="240" w:lineRule="exact"/>
        <w:rPr>
          <w:rFonts w:eastAsia="Times New Roman"/>
          <w:sz w:val="24"/>
          <w:szCs w:val="24"/>
        </w:rPr>
      </w:pPr>
    </w:p>
    <w:p w14:paraId="2819CFC2" w14:textId="77777777" w:rsidR="004647B9" w:rsidRDefault="00E2436F">
      <w:pPr>
        <w:numPr>
          <w:ilvl w:val="0"/>
          <w:numId w:val="32"/>
        </w:numPr>
        <w:tabs>
          <w:tab w:val="left" w:pos="1780"/>
        </w:tabs>
        <w:ind w:left="1780" w:hanging="580"/>
        <w:rPr>
          <w:rFonts w:eastAsia="Times New Roman"/>
          <w:sz w:val="24"/>
          <w:szCs w:val="24"/>
        </w:rPr>
      </w:pPr>
      <w:r>
        <w:rPr>
          <w:rFonts w:eastAsia="Times New Roman"/>
          <w:sz w:val="24"/>
          <w:szCs w:val="24"/>
          <w:u w:val="single"/>
        </w:rPr>
        <w:t>Lead Reduction Act</w:t>
      </w:r>
      <w:r>
        <w:rPr>
          <w:rFonts w:eastAsia="Times New Roman"/>
          <w:sz w:val="24"/>
          <w:szCs w:val="24"/>
        </w:rPr>
        <w:t>.</w:t>
      </w:r>
    </w:p>
    <w:p w14:paraId="2819CFC4" w14:textId="77777777" w:rsidR="004647B9" w:rsidRDefault="00E2436F">
      <w:pPr>
        <w:numPr>
          <w:ilvl w:val="1"/>
          <w:numId w:val="32"/>
        </w:numPr>
        <w:tabs>
          <w:tab w:val="left" w:pos="1956"/>
        </w:tabs>
        <w:spacing w:line="243" w:lineRule="auto"/>
        <w:ind w:left="1560" w:hanging="5"/>
        <w:jc w:val="both"/>
        <w:rPr>
          <w:rFonts w:eastAsia="Times New Roman"/>
          <w:sz w:val="24"/>
          <w:szCs w:val="24"/>
        </w:rPr>
      </w:pPr>
      <w:r>
        <w:rPr>
          <w:rFonts w:eastAsia="Times New Roman"/>
          <w:sz w:val="24"/>
          <w:szCs w:val="24"/>
        </w:rPr>
        <w:t>Except as provided in 310 CMR 22.04(15)(b), no Person shall use any pipe, pipe fitting, plumbing fitting or fixture, any solder, or any flux; that is not Lead-free; in the installation or repair of any Public Water System or any plumbing in a residential or nonresidential facility providing water for human consumption.</w:t>
      </w:r>
    </w:p>
    <w:p w14:paraId="2819CFC5" w14:textId="77777777" w:rsidR="004647B9" w:rsidRDefault="00E2436F">
      <w:pPr>
        <w:numPr>
          <w:ilvl w:val="1"/>
          <w:numId w:val="32"/>
        </w:numPr>
        <w:tabs>
          <w:tab w:val="left" w:pos="2020"/>
        </w:tabs>
        <w:ind w:left="2020" w:hanging="465"/>
        <w:rPr>
          <w:rFonts w:eastAsia="Times New Roman"/>
          <w:sz w:val="24"/>
          <w:szCs w:val="24"/>
        </w:rPr>
      </w:pPr>
      <w:r>
        <w:rPr>
          <w:rFonts w:eastAsia="Times New Roman"/>
          <w:sz w:val="24"/>
          <w:szCs w:val="24"/>
        </w:rPr>
        <w:t>The prohibition set forth in 310 CMR 22.04(15)(a) shall not apply to the following:</w:t>
      </w:r>
    </w:p>
    <w:p w14:paraId="2819CFC7" w14:textId="77777777" w:rsidR="004647B9" w:rsidRDefault="00E2436F">
      <w:pPr>
        <w:numPr>
          <w:ilvl w:val="2"/>
          <w:numId w:val="32"/>
        </w:numPr>
        <w:tabs>
          <w:tab w:val="left" w:pos="2230"/>
        </w:tabs>
        <w:spacing w:line="243" w:lineRule="auto"/>
        <w:ind w:left="1920" w:hanging="5"/>
        <w:jc w:val="both"/>
        <w:rPr>
          <w:rFonts w:eastAsia="Times New Roman"/>
          <w:sz w:val="24"/>
          <w:szCs w:val="24"/>
        </w:rPr>
      </w:pPr>
      <w:r>
        <w:rPr>
          <w:rFonts w:eastAsia="Times New Roman"/>
          <w:sz w:val="24"/>
          <w:szCs w:val="24"/>
        </w:rPr>
        <w:t>pipes, pipe fittings, plumbing fittings or fixtures; including backflow preventers; that are used exclusively for nonpotable services such as manufacturing, industrial processing, irrigation, outdoor watering, or any other uses where the water is not anticipated to be used for human consumption; or</w:t>
      </w:r>
    </w:p>
    <w:p w14:paraId="2819CFC8" w14:textId="77777777" w:rsidR="004647B9" w:rsidRDefault="00E2436F">
      <w:pPr>
        <w:numPr>
          <w:ilvl w:val="2"/>
          <w:numId w:val="32"/>
        </w:numPr>
        <w:tabs>
          <w:tab w:val="left" w:pos="2227"/>
        </w:tabs>
        <w:spacing w:line="243" w:lineRule="auto"/>
        <w:ind w:left="1920" w:hanging="5"/>
        <w:rPr>
          <w:rFonts w:eastAsia="Times New Roman"/>
          <w:sz w:val="24"/>
          <w:szCs w:val="24"/>
        </w:rPr>
      </w:pPr>
      <w:r>
        <w:rPr>
          <w:rFonts w:eastAsia="Times New Roman"/>
          <w:sz w:val="24"/>
          <w:szCs w:val="24"/>
        </w:rPr>
        <w:t>service saddles, or water distribution main gate valves that are two inches in diameter or larger; or</w:t>
      </w:r>
    </w:p>
    <w:p w14:paraId="2819CFC9" w14:textId="77777777" w:rsidR="004647B9" w:rsidRDefault="00E2436F">
      <w:pPr>
        <w:numPr>
          <w:ilvl w:val="2"/>
          <w:numId w:val="32"/>
        </w:numPr>
        <w:tabs>
          <w:tab w:val="left" w:pos="2280"/>
        </w:tabs>
        <w:ind w:left="2280" w:hanging="365"/>
        <w:rPr>
          <w:rFonts w:eastAsia="Times New Roman"/>
          <w:sz w:val="24"/>
          <w:szCs w:val="24"/>
        </w:rPr>
      </w:pPr>
      <w:r>
        <w:rPr>
          <w:rFonts w:eastAsia="Times New Roman"/>
          <w:sz w:val="24"/>
          <w:szCs w:val="24"/>
        </w:rPr>
        <w:t>fire hydrants.</w:t>
      </w:r>
    </w:p>
    <w:p w14:paraId="2819CFCB" w14:textId="77777777" w:rsidR="004647B9" w:rsidRDefault="00E2436F">
      <w:pPr>
        <w:numPr>
          <w:ilvl w:val="1"/>
          <w:numId w:val="32"/>
        </w:numPr>
        <w:tabs>
          <w:tab w:val="left" w:pos="2064"/>
        </w:tabs>
        <w:spacing w:line="244" w:lineRule="auto"/>
        <w:ind w:left="1560" w:hanging="5"/>
        <w:jc w:val="both"/>
        <w:rPr>
          <w:rFonts w:eastAsia="Times New Roman"/>
          <w:sz w:val="24"/>
          <w:szCs w:val="24"/>
        </w:rPr>
      </w:pPr>
      <w:r>
        <w:rPr>
          <w:rFonts w:eastAsia="Times New Roman"/>
          <w:sz w:val="24"/>
          <w:szCs w:val="24"/>
        </w:rPr>
        <w:t>All products required to be lead free shall be certified as being in compliance with NSF/ANSI 372 or Annex G of NSF/ANSI 61. Certification shall be made by an independent agency in accordance with the preceding standards. Self-certification by the manufacturer will not be accepted.</w:t>
      </w:r>
    </w:p>
    <w:p w14:paraId="2819CFCC" w14:textId="77777777" w:rsidR="004647B9" w:rsidRPr="007B07B6" w:rsidRDefault="004647B9">
      <w:pPr>
        <w:spacing w:line="243" w:lineRule="exact"/>
        <w:rPr>
          <w:sz w:val="24"/>
          <w:szCs w:val="24"/>
        </w:rPr>
      </w:pPr>
    </w:p>
    <w:p w14:paraId="2819CFCD" w14:textId="337512A6" w:rsidR="004647B9" w:rsidRPr="007B07B6" w:rsidRDefault="00E2436F" w:rsidP="00EE20C3">
      <w:pPr>
        <w:ind w:left="778" w:hanging="778"/>
        <w:rPr>
          <w:sz w:val="24"/>
          <w:szCs w:val="24"/>
        </w:rPr>
      </w:pPr>
      <w:r w:rsidRPr="007B07B6">
        <w:rPr>
          <w:rFonts w:eastAsia="Times New Roman"/>
          <w:sz w:val="24"/>
          <w:szCs w:val="24"/>
          <w:u w:val="single"/>
        </w:rPr>
        <w:t>22.05:</w:t>
      </w:r>
      <w:r w:rsidR="00EE20C3">
        <w:rPr>
          <w:rFonts w:eastAsia="Times New Roman"/>
          <w:sz w:val="24"/>
          <w:szCs w:val="24"/>
          <w:u w:val="single"/>
        </w:rPr>
        <w:tab/>
      </w:r>
      <w:r w:rsidRPr="007B07B6">
        <w:rPr>
          <w:rFonts w:eastAsia="Times New Roman"/>
          <w:sz w:val="24"/>
          <w:szCs w:val="24"/>
          <w:u w:val="single"/>
        </w:rPr>
        <w:t>Maximum Microbiological Contaminant Levels, Monitoring Requirements and Analytical Methods</w:t>
      </w:r>
    </w:p>
    <w:p w14:paraId="2819CFCE" w14:textId="77777777" w:rsidR="004647B9" w:rsidRPr="00C40D85" w:rsidRDefault="004647B9">
      <w:pPr>
        <w:spacing w:line="295" w:lineRule="exact"/>
        <w:rPr>
          <w:sz w:val="24"/>
          <w:szCs w:val="24"/>
        </w:rPr>
      </w:pPr>
    </w:p>
    <w:p w14:paraId="2819CFCF" w14:textId="77777777" w:rsidR="004647B9" w:rsidRPr="00292E2D" w:rsidRDefault="00E2436F">
      <w:pPr>
        <w:numPr>
          <w:ilvl w:val="0"/>
          <w:numId w:val="33"/>
        </w:numPr>
        <w:tabs>
          <w:tab w:val="left" w:pos="1660"/>
        </w:tabs>
        <w:ind w:left="1660" w:hanging="460"/>
        <w:rPr>
          <w:rFonts w:eastAsia="Times New Roman"/>
          <w:sz w:val="24"/>
          <w:szCs w:val="24"/>
        </w:rPr>
      </w:pPr>
      <w:r w:rsidRPr="00292E2D">
        <w:rPr>
          <w:rFonts w:eastAsia="Times New Roman"/>
          <w:sz w:val="24"/>
          <w:szCs w:val="24"/>
          <w:u w:val="single"/>
        </w:rPr>
        <w:t>Routine Coliform Monitoring</w:t>
      </w:r>
      <w:r w:rsidRPr="00292E2D">
        <w:rPr>
          <w:rFonts w:eastAsia="Times New Roman"/>
          <w:sz w:val="24"/>
          <w:szCs w:val="24"/>
        </w:rPr>
        <w:t>.</w:t>
      </w:r>
    </w:p>
    <w:p w14:paraId="2819CFD1" w14:textId="77777777" w:rsidR="004647B9" w:rsidRPr="00292E2D" w:rsidRDefault="00E2436F">
      <w:pPr>
        <w:numPr>
          <w:ilvl w:val="1"/>
          <w:numId w:val="33"/>
        </w:numPr>
        <w:tabs>
          <w:tab w:val="left" w:pos="1999"/>
        </w:tabs>
        <w:spacing w:line="253" w:lineRule="auto"/>
        <w:ind w:left="1560" w:hanging="5"/>
        <w:jc w:val="both"/>
        <w:rPr>
          <w:rFonts w:eastAsia="Times New Roman"/>
          <w:sz w:val="24"/>
          <w:szCs w:val="24"/>
        </w:rPr>
      </w:pPr>
      <w:r w:rsidRPr="00292E2D">
        <w:rPr>
          <w:rFonts w:eastAsia="Times New Roman"/>
          <w:sz w:val="24"/>
          <w:szCs w:val="24"/>
          <w:u w:val="single"/>
        </w:rPr>
        <w:t>General Requirements</w:t>
      </w:r>
      <w:r w:rsidRPr="00292E2D">
        <w:rPr>
          <w:rFonts w:eastAsia="Times New Roman"/>
          <w:sz w:val="24"/>
          <w:szCs w:val="24"/>
        </w:rPr>
        <w:t xml:space="preserve">. Each Supplier of Water shall collect total coliform samples at sites which are representative of water throughout the Distribution System, at the entry point to the Distribution System, and at storage facilities. All such samples shall be collected at the frequency applicable to total coliform sampling set forth in the coliform sampling plan for that Supplier of Water's Public Water System. Samples required to be collected at the entry point to the Distribution System, in accordance with an approved coliform sampling plan required by 310 CMR 22.05(1)(a)3., shall be collected in addition to the minimum number of samples required pursuant to 310 CMR 22.05(1)(b), as set forth in 310 CMR 22.05: </w:t>
      </w:r>
      <w:r w:rsidRPr="00292E2D">
        <w:rPr>
          <w:rFonts w:eastAsia="Times New Roman"/>
          <w:i/>
          <w:iCs/>
          <w:sz w:val="24"/>
          <w:szCs w:val="24"/>
        </w:rPr>
        <w:t>Table 1</w:t>
      </w:r>
      <w:r w:rsidRPr="00292E2D">
        <w:rPr>
          <w:rFonts w:eastAsia="Times New Roman"/>
          <w:sz w:val="24"/>
          <w:szCs w:val="24"/>
        </w:rPr>
        <w:t xml:space="preserve">. Samples required to be collected at storage facilities, in accordance with an approved coliform sampling plan required by 310 CMR 22.05(1)(a)3., shall be collected in addition to the minimum number of samples required pursuant to 310 CMR 22.05(1)(b), as set forth in 310 CMR 22.05: </w:t>
      </w:r>
      <w:r w:rsidRPr="00292E2D">
        <w:rPr>
          <w:rFonts w:eastAsia="Times New Roman"/>
          <w:i/>
          <w:iCs/>
          <w:sz w:val="24"/>
          <w:szCs w:val="24"/>
        </w:rPr>
        <w:t>Table 1</w:t>
      </w:r>
      <w:r w:rsidRPr="00292E2D">
        <w:rPr>
          <w:rFonts w:eastAsia="Times New Roman"/>
          <w:sz w:val="24"/>
          <w:szCs w:val="24"/>
        </w:rPr>
        <w:t>, unless otherwise provided in the coliform sampling plan. The Department may require additional routine monitoring samples to ensure adequate Distribution System representation.</w:t>
      </w:r>
    </w:p>
    <w:p w14:paraId="2819CFD3" w14:textId="77777777" w:rsidR="004647B9" w:rsidRPr="00292E2D" w:rsidRDefault="00E2436F" w:rsidP="006804E8">
      <w:pPr>
        <w:numPr>
          <w:ilvl w:val="2"/>
          <w:numId w:val="33"/>
        </w:numPr>
        <w:tabs>
          <w:tab w:val="left" w:pos="2273"/>
        </w:tabs>
        <w:spacing w:line="242" w:lineRule="auto"/>
        <w:ind w:left="1915"/>
        <w:jc w:val="both"/>
        <w:rPr>
          <w:rFonts w:eastAsia="Times New Roman"/>
          <w:sz w:val="24"/>
          <w:szCs w:val="24"/>
        </w:rPr>
      </w:pPr>
      <w:r w:rsidRPr="00292E2D">
        <w:rPr>
          <w:rFonts w:eastAsia="Times New Roman"/>
          <w:sz w:val="24"/>
          <w:szCs w:val="24"/>
        </w:rPr>
        <w:t>Each Supplier of Water is required to maintain a Raw Water source sample tap at a location prior to any alteration or treatment of the source water unless otherwise specified by the Department in an approved coliform sampling plan.</w:t>
      </w:r>
    </w:p>
    <w:p w14:paraId="2819CFD5" w14:textId="77777777" w:rsidR="004647B9" w:rsidRPr="00292E2D" w:rsidRDefault="00E2436F">
      <w:pPr>
        <w:spacing w:line="244" w:lineRule="auto"/>
        <w:ind w:left="2280"/>
        <w:jc w:val="both"/>
        <w:rPr>
          <w:rFonts w:eastAsia="Times New Roman"/>
          <w:sz w:val="24"/>
          <w:szCs w:val="24"/>
        </w:rPr>
      </w:pPr>
      <w:r w:rsidRPr="00292E2D">
        <w:rPr>
          <w:rFonts w:eastAsia="Times New Roman"/>
          <w:sz w:val="24"/>
          <w:szCs w:val="24"/>
        </w:rPr>
        <w:t>a. A Supplier of Water shall collect a Raw Water source sample if the water at the entry point to the Distribution System is not representative of the source, or as otherwise specified in an approved coliform sampling plan required by 310 CMR 22.05(1)(a)3.</w:t>
      </w:r>
    </w:p>
    <w:p w14:paraId="2819CFD6" w14:textId="77777777" w:rsidR="004647B9" w:rsidRDefault="004647B9">
      <w:pPr>
        <w:sectPr w:rsidR="004647B9" w:rsidSect="00EF630C">
          <w:pgSz w:w="12240" w:h="20180"/>
          <w:pgMar w:top="708" w:right="1440" w:bottom="737" w:left="600" w:header="0" w:footer="0" w:gutter="0"/>
          <w:cols w:space="720" w:equalWidth="0">
            <w:col w:w="10200"/>
          </w:cols>
        </w:sectPr>
      </w:pPr>
    </w:p>
    <w:p w14:paraId="2819CFD7" w14:textId="77777777" w:rsidR="004647B9" w:rsidRPr="00E43F4C" w:rsidRDefault="00E2436F" w:rsidP="00E43F4C">
      <w:pPr>
        <w:tabs>
          <w:tab w:val="left" w:pos="160"/>
        </w:tabs>
        <w:jc w:val="center"/>
        <w:rPr>
          <w:sz w:val="24"/>
          <w:szCs w:val="24"/>
        </w:rPr>
      </w:pPr>
      <w:bookmarkStart w:id="27" w:name="page28"/>
      <w:bookmarkEnd w:id="27"/>
      <w:r w:rsidRPr="00E43F4C">
        <w:rPr>
          <w:rFonts w:eastAsia="Times New Roman"/>
          <w:sz w:val="24"/>
          <w:szCs w:val="24"/>
        </w:rPr>
        <w:lastRenderedPageBreak/>
        <w:t>310 CMR:</w:t>
      </w:r>
      <w:r w:rsidRPr="00E43F4C">
        <w:rPr>
          <w:sz w:val="24"/>
          <w:szCs w:val="24"/>
        </w:rPr>
        <w:tab/>
      </w:r>
      <w:r w:rsidRPr="00E43F4C">
        <w:rPr>
          <w:rFonts w:eastAsia="Times New Roman"/>
          <w:sz w:val="24"/>
          <w:szCs w:val="24"/>
        </w:rPr>
        <w:t>DEPARTMENT OF ENVIRONMENTAL PROTECTION</w:t>
      </w:r>
    </w:p>
    <w:p w14:paraId="2819CFD8" w14:textId="77777777" w:rsidR="004647B9" w:rsidRPr="00C40D85" w:rsidRDefault="004647B9" w:rsidP="00E43F4C">
      <w:pPr>
        <w:rPr>
          <w:sz w:val="20"/>
          <w:szCs w:val="20"/>
        </w:rPr>
      </w:pPr>
    </w:p>
    <w:p w14:paraId="2819CFD9" w14:textId="77777777" w:rsidR="004647B9" w:rsidRPr="00C40D85" w:rsidRDefault="004647B9" w:rsidP="00E43F4C">
      <w:pPr>
        <w:rPr>
          <w:sz w:val="20"/>
          <w:szCs w:val="20"/>
        </w:rPr>
      </w:pPr>
    </w:p>
    <w:p w14:paraId="2819CFDA" w14:textId="77777777" w:rsidR="004647B9" w:rsidRPr="00E43F4C" w:rsidRDefault="00E2436F" w:rsidP="00E43F4C">
      <w:pPr>
        <w:tabs>
          <w:tab w:val="left" w:pos="760"/>
        </w:tabs>
        <w:rPr>
          <w:sz w:val="24"/>
          <w:szCs w:val="24"/>
        </w:rPr>
      </w:pPr>
      <w:r w:rsidRPr="00E43F4C">
        <w:rPr>
          <w:rFonts w:eastAsia="Times New Roman"/>
          <w:sz w:val="24"/>
          <w:szCs w:val="24"/>
        </w:rPr>
        <w:t>22.05:</w:t>
      </w:r>
      <w:r w:rsidRPr="00E43F4C">
        <w:rPr>
          <w:rFonts w:eastAsia="Times New Roman"/>
          <w:sz w:val="24"/>
          <w:szCs w:val="24"/>
        </w:rPr>
        <w:tab/>
        <w:t>continued</w:t>
      </w:r>
    </w:p>
    <w:p w14:paraId="2819CFDB" w14:textId="77777777" w:rsidR="004647B9" w:rsidRPr="00C40D85" w:rsidRDefault="004647B9" w:rsidP="00E43F4C">
      <w:pPr>
        <w:rPr>
          <w:sz w:val="20"/>
          <w:szCs w:val="20"/>
        </w:rPr>
      </w:pPr>
    </w:p>
    <w:p w14:paraId="2819CFDE" w14:textId="6CC4DA38" w:rsidR="004647B9" w:rsidRPr="00E43F4C" w:rsidRDefault="00E2436F" w:rsidP="00E43F4C">
      <w:pPr>
        <w:numPr>
          <w:ilvl w:val="1"/>
          <w:numId w:val="34"/>
        </w:numPr>
        <w:tabs>
          <w:tab w:val="left" w:pos="2610"/>
        </w:tabs>
        <w:ind w:left="2340" w:hanging="65"/>
        <w:rPr>
          <w:rFonts w:eastAsia="Times New Roman"/>
          <w:sz w:val="24"/>
          <w:szCs w:val="24"/>
        </w:rPr>
      </w:pPr>
      <w:r w:rsidRPr="00E43F4C">
        <w:rPr>
          <w:rFonts w:eastAsia="Times New Roman"/>
          <w:sz w:val="24"/>
          <w:szCs w:val="24"/>
        </w:rPr>
        <w:t>If a Supplier of Water is required to collect a Raw Water sample under 310 CMR</w:t>
      </w:r>
      <w:r w:rsidR="00E43F4C">
        <w:rPr>
          <w:rFonts w:eastAsia="Times New Roman"/>
          <w:sz w:val="24"/>
          <w:szCs w:val="24"/>
        </w:rPr>
        <w:t xml:space="preserve"> </w:t>
      </w:r>
      <w:r w:rsidRPr="00E43F4C">
        <w:rPr>
          <w:rFonts w:eastAsia="Times New Roman"/>
          <w:sz w:val="24"/>
          <w:szCs w:val="24"/>
        </w:rPr>
        <w:t>22.05(1)(a)1.a., then it shall collect the sample monthly on the same day as any one of its required Distribution Samples.</w:t>
      </w:r>
    </w:p>
    <w:p w14:paraId="2819CFDF" w14:textId="77777777" w:rsidR="004647B9" w:rsidRPr="00E43F4C" w:rsidRDefault="00E2436F" w:rsidP="00E43F4C">
      <w:pPr>
        <w:numPr>
          <w:ilvl w:val="1"/>
          <w:numId w:val="34"/>
        </w:numPr>
        <w:tabs>
          <w:tab w:val="left" w:pos="2583"/>
        </w:tabs>
        <w:ind w:left="2280" w:hanging="5"/>
        <w:rPr>
          <w:rFonts w:eastAsia="Times New Roman"/>
          <w:sz w:val="24"/>
          <w:szCs w:val="24"/>
        </w:rPr>
      </w:pPr>
      <w:r w:rsidRPr="00E43F4C">
        <w:rPr>
          <w:rFonts w:eastAsia="Times New Roman"/>
          <w:sz w:val="24"/>
          <w:szCs w:val="24"/>
        </w:rPr>
        <w:t>A total coliform-positive Raw Water sample shall not trigger the requirements of 310 CMR 22.05(2).</w:t>
      </w:r>
    </w:p>
    <w:p w14:paraId="2819CFE0" w14:textId="77777777" w:rsidR="004647B9" w:rsidRPr="00E43F4C" w:rsidRDefault="00E2436F" w:rsidP="00E43F4C">
      <w:pPr>
        <w:numPr>
          <w:ilvl w:val="1"/>
          <w:numId w:val="34"/>
        </w:numPr>
        <w:tabs>
          <w:tab w:val="left" w:pos="2590"/>
        </w:tabs>
        <w:ind w:left="2280" w:hanging="5"/>
        <w:jc w:val="both"/>
        <w:rPr>
          <w:rFonts w:eastAsia="Times New Roman"/>
          <w:sz w:val="24"/>
          <w:szCs w:val="24"/>
        </w:rPr>
      </w:pPr>
      <w:r w:rsidRPr="00E43F4C">
        <w:rPr>
          <w:rFonts w:eastAsia="Times New Roman"/>
          <w:sz w:val="24"/>
          <w:szCs w:val="24"/>
        </w:rPr>
        <w:t>In the event of a total coliform-positive Raw Water sample, the Supplier of Water shall comply with the applicable provisions of 310 CMR 22.26(3)(b) and other provisions of 310 CMR 22.26.</w:t>
      </w:r>
    </w:p>
    <w:p w14:paraId="2819CFE2" w14:textId="77777777" w:rsidR="004647B9" w:rsidRPr="00E43F4C" w:rsidRDefault="00E2436F" w:rsidP="006804E8">
      <w:pPr>
        <w:numPr>
          <w:ilvl w:val="0"/>
          <w:numId w:val="35"/>
        </w:numPr>
        <w:tabs>
          <w:tab w:val="left" w:pos="2275"/>
        </w:tabs>
        <w:ind w:left="1915"/>
        <w:jc w:val="both"/>
        <w:rPr>
          <w:rFonts w:eastAsia="Times New Roman"/>
          <w:sz w:val="24"/>
          <w:szCs w:val="24"/>
        </w:rPr>
      </w:pPr>
      <w:r w:rsidRPr="00E43F4C">
        <w:rPr>
          <w:rFonts w:eastAsia="Times New Roman"/>
          <w:sz w:val="24"/>
          <w:szCs w:val="24"/>
        </w:rPr>
        <w:t>Community Water Systems and Non-community Non-transient Water Systems are required to install a chemical injection port for Emergency Disinfection. The injection port shall be located prior to the first customer and at a location which maximizes Disinfection contact time.</w:t>
      </w:r>
    </w:p>
    <w:p w14:paraId="2819CFE5" w14:textId="2D44F54C" w:rsidR="004647B9" w:rsidRPr="00E43F4C" w:rsidRDefault="00E2436F" w:rsidP="006804E8">
      <w:pPr>
        <w:numPr>
          <w:ilvl w:val="0"/>
          <w:numId w:val="35"/>
        </w:numPr>
        <w:tabs>
          <w:tab w:val="left" w:pos="2275"/>
        </w:tabs>
        <w:ind w:left="1915"/>
        <w:jc w:val="both"/>
        <w:rPr>
          <w:rFonts w:eastAsia="Times New Roman"/>
          <w:sz w:val="24"/>
          <w:szCs w:val="24"/>
        </w:rPr>
      </w:pPr>
      <w:r w:rsidRPr="00E43F4C">
        <w:rPr>
          <w:rFonts w:eastAsia="Times New Roman"/>
          <w:sz w:val="24"/>
          <w:szCs w:val="24"/>
          <w:u w:val="single"/>
        </w:rPr>
        <w:t>Coliform Sampling Plan</w:t>
      </w:r>
      <w:r w:rsidRPr="00E43F4C">
        <w:rPr>
          <w:rFonts w:eastAsia="Times New Roman"/>
          <w:sz w:val="24"/>
          <w:szCs w:val="24"/>
        </w:rPr>
        <w:t>. A Supplier of Water shall develop and implement a written coliform sampling plan that identifies sampling sites and a sample collection schedule that are representative of water throughout the Distribution System. These plans, including any revisions to these plans, are subject to Department review, revision and approval. The Supplier of Water shall ensure that an approved sampling plan continues to be representative of water throughout the Distribution System, including seeking Department approval for a sampling plan revision as necessary. Monitoring required by</w:t>
      </w:r>
      <w:r w:rsidR="00292E2D" w:rsidRPr="00E43F4C">
        <w:rPr>
          <w:rFonts w:eastAsia="Times New Roman"/>
          <w:sz w:val="24"/>
          <w:szCs w:val="24"/>
        </w:rPr>
        <w:t xml:space="preserve"> 310 </w:t>
      </w:r>
      <w:r w:rsidRPr="00E43F4C">
        <w:rPr>
          <w:rFonts w:eastAsia="Times New Roman"/>
          <w:sz w:val="24"/>
          <w:szCs w:val="24"/>
        </w:rPr>
        <w:t>CMR 22.05(1) and (2) may take place at a customer's premises, a Department approved dedicated sampling station, or other designated compliance sampling location. Routine and repeat sample sites and any Sampling Points necessary to meet the requirements of 310 CMR 22.05(1) and (2), and 22.26 must be reflected in the sampling plan.</w:t>
      </w:r>
    </w:p>
    <w:p w14:paraId="2819CFE8" w14:textId="34CC98BB" w:rsidR="004647B9" w:rsidRPr="00E43F4C" w:rsidRDefault="00E2436F" w:rsidP="00E43F4C">
      <w:pPr>
        <w:numPr>
          <w:ilvl w:val="1"/>
          <w:numId w:val="36"/>
        </w:numPr>
        <w:tabs>
          <w:tab w:val="left" w:pos="2583"/>
        </w:tabs>
        <w:ind w:left="2280" w:hanging="5"/>
        <w:jc w:val="both"/>
        <w:rPr>
          <w:rFonts w:eastAsia="Times New Roman"/>
          <w:sz w:val="24"/>
          <w:szCs w:val="24"/>
        </w:rPr>
      </w:pPr>
      <w:r w:rsidRPr="00E43F4C">
        <w:rPr>
          <w:rFonts w:eastAsia="Times New Roman"/>
          <w:sz w:val="24"/>
          <w:szCs w:val="24"/>
        </w:rPr>
        <w:t>A Supplier of Water shall collect samples at regular time intervals throughout the month, except that a Supplier of Water, whose Public Water System uses only groundwater and serves 4,900 persons or fewer, may collect all required samples on</w:t>
      </w:r>
      <w:r w:rsidR="00607542" w:rsidRPr="00E43F4C">
        <w:rPr>
          <w:rFonts w:eastAsia="Times New Roman"/>
          <w:sz w:val="24"/>
          <w:szCs w:val="24"/>
        </w:rPr>
        <w:t xml:space="preserve"> a </w:t>
      </w:r>
      <w:r w:rsidRPr="00E43F4C">
        <w:rPr>
          <w:rFonts w:eastAsia="Times New Roman"/>
          <w:sz w:val="24"/>
          <w:szCs w:val="24"/>
        </w:rPr>
        <w:t>single day if they are taken from different sampling locations.</w:t>
      </w:r>
    </w:p>
    <w:p w14:paraId="2819CFEA" w14:textId="77777777" w:rsidR="004647B9" w:rsidRPr="00E43F4C" w:rsidRDefault="00E2436F" w:rsidP="00E43F4C">
      <w:pPr>
        <w:numPr>
          <w:ilvl w:val="1"/>
          <w:numId w:val="37"/>
        </w:numPr>
        <w:tabs>
          <w:tab w:val="left" w:pos="2606"/>
        </w:tabs>
        <w:ind w:left="2280" w:hanging="5"/>
        <w:jc w:val="both"/>
        <w:rPr>
          <w:rFonts w:eastAsia="Times New Roman"/>
          <w:sz w:val="24"/>
          <w:szCs w:val="24"/>
        </w:rPr>
      </w:pPr>
      <w:r w:rsidRPr="00E43F4C">
        <w:rPr>
          <w:rFonts w:eastAsia="Times New Roman"/>
          <w:sz w:val="24"/>
          <w:szCs w:val="24"/>
        </w:rPr>
        <w:t xml:space="preserve">A Supplier of Water shall take at least the minimum number of required samples even if the Public Water System has had an </w:t>
      </w:r>
      <w:r w:rsidRPr="00E43F4C">
        <w:rPr>
          <w:rFonts w:eastAsia="Times New Roman"/>
          <w:i/>
          <w:iCs/>
          <w:sz w:val="24"/>
          <w:szCs w:val="24"/>
        </w:rPr>
        <w:t>E. coli</w:t>
      </w:r>
      <w:r w:rsidRPr="00E43F4C">
        <w:rPr>
          <w:rFonts w:eastAsia="Times New Roman"/>
          <w:sz w:val="24"/>
          <w:szCs w:val="24"/>
        </w:rPr>
        <w:t xml:space="preserve"> MCL violation or has exceeded the coliform Treatment Technique triggers in 310 CMR 22.05(4)(a).</w:t>
      </w:r>
    </w:p>
    <w:p w14:paraId="2819CFEC" w14:textId="1F0A3F51" w:rsidR="004647B9" w:rsidRPr="00E43F4C" w:rsidRDefault="00E2436F" w:rsidP="00E43F4C">
      <w:pPr>
        <w:numPr>
          <w:ilvl w:val="1"/>
          <w:numId w:val="37"/>
        </w:numPr>
        <w:tabs>
          <w:tab w:val="left" w:pos="2763"/>
        </w:tabs>
        <w:ind w:left="2280" w:hanging="5"/>
        <w:jc w:val="both"/>
        <w:rPr>
          <w:rFonts w:eastAsia="Times New Roman"/>
          <w:sz w:val="24"/>
          <w:szCs w:val="24"/>
        </w:rPr>
      </w:pPr>
      <w:r w:rsidRPr="00E43F4C">
        <w:rPr>
          <w:rFonts w:eastAsia="Times New Roman"/>
          <w:sz w:val="24"/>
          <w:szCs w:val="24"/>
        </w:rPr>
        <w:t>A Supplier of Water, subject to Department approval, may conduct more compliance monitoring than is required by 310 CMR 22.05 to investigate potential problems in the Distribution System and use monitoring as a tool to assist in uncovering problems. If a Supplier of Water takes more than the minimum number of required routine samples at the locations specified in the existing coliform sampling plan, then the Supplier of Water shall include those sampling results in calculating whether the coliform Treatment Technique trigger in 310 CMR 22.05(4)(a)1.a. or b. has been exceeded. If a Supplier of Water takes samples at locations not previously specified in the existing coliform sampling plan, and the Department determines that these locations are representative of water throughout the Distribution System, the Supplier of Water shall include those sampling results in calculating whether the coliform Treatment Technique trigger in 310 CMR 22.05(4)(a)1.a. or b. has been exceeded.</w:t>
      </w:r>
    </w:p>
    <w:p w14:paraId="2819CFEE" w14:textId="672BD9E5" w:rsidR="004647B9" w:rsidRPr="00E43F4C" w:rsidRDefault="00E2436F" w:rsidP="00E43F4C">
      <w:pPr>
        <w:numPr>
          <w:ilvl w:val="1"/>
          <w:numId w:val="37"/>
        </w:numPr>
        <w:tabs>
          <w:tab w:val="left" w:pos="2662"/>
        </w:tabs>
        <w:ind w:left="2280" w:hanging="5"/>
        <w:jc w:val="both"/>
        <w:rPr>
          <w:rFonts w:eastAsia="Times New Roman"/>
          <w:sz w:val="24"/>
          <w:szCs w:val="24"/>
        </w:rPr>
      </w:pPr>
      <w:r w:rsidRPr="00E43F4C">
        <w:rPr>
          <w:rFonts w:eastAsia="Times New Roman"/>
          <w:sz w:val="24"/>
          <w:szCs w:val="24"/>
        </w:rPr>
        <w:t>A Supplier of Water shall identify repeat monitoring locations in the coliform sampling plan. Unless a Supplier of Water has obtained the Department's approval pursuant to 310 CMR 22.05(1)(a)3.d.i. or ii., that Supplier of Water must collect at least one repeat sample from the sampling tap where the original total coliform-positive sample was taken, and at least one repeat sample at a tap within five service connections upstream and at least one repeat sample at a tap within five service connections downstream of the original sampling site. If a total coliform-positive sample is at the end of the Distribution System, or one service connection away from the end of the Distribution System, the Supplier of Water must still take all required repeat samples. The Supplier of Water, subject to Department approval, may propose an alternative sampling location in lieu of the requirement to collect at least one repeat sample upstream or downstream of the original sampling site in accordance with 310 CMR 22.05(1)(a)3.d.i. or ii. Except as provided for in 310 CMR 22.05(1)(a)3.d.ii., a Supplier of Water required to conduct triggered source water monitoring under 310 CMR 22.26 shall take groundwater source sample(s) in addition to repeat samples required under 310 CMR 22.05.</w:t>
      </w:r>
    </w:p>
    <w:p w14:paraId="2819CFEF" w14:textId="77777777" w:rsidR="004647B9" w:rsidRDefault="004647B9">
      <w:pPr>
        <w:sectPr w:rsidR="004647B9" w:rsidSect="00EF630C">
          <w:pgSz w:w="12240" w:h="20180"/>
          <w:pgMar w:top="708" w:right="1440" w:bottom="736" w:left="600" w:header="0" w:footer="0" w:gutter="0"/>
          <w:cols w:space="720" w:equalWidth="0">
            <w:col w:w="10200"/>
          </w:cols>
        </w:sectPr>
      </w:pPr>
    </w:p>
    <w:p w14:paraId="2819CFF0" w14:textId="77777777" w:rsidR="004647B9" w:rsidRDefault="00E2436F">
      <w:pPr>
        <w:tabs>
          <w:tab w:val="left" w:pos="160"/>
        </w:tabs>
        <w:jc w:val="center"/>
        <w:rPr>
          <w:sz w:val="20"/>
          <w:szCs w:val="20"/>
        </w:rPr>
      </w:pPr>
      <w:bookmarkStart w:id="28" w:name="page29"/>
      <w:bookmarkEnd w:id="2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CFF1" w14:textId="77777777" w:rsidR="004647B9" w:rsidRDefault="004647B9">
      <w:pPr>
        <w:spacing w:line="200" w:lineRule="exact"/>
        <w:rPr>
          <w:sz w:val="20"/>
          <w:szCs w:val="20"/>
        </w:rPr>
      </w:pPr>
    </w:p>
    <w:p w14:paraId="2819CFF2" w14:textId="77777777" w:rsidR="004647B9" w:rsidRDefault="004647B9" w:rsidP="00FB138C">
      <w:pPr>
        <w:rPr>
          <w:sz w:val="20"/>
          <w:szCs w:val="20"/>
        </w:rPr>
      </w:pPr>
    </w:p>
    <w:p w14:paraId="2819CFF3"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CFF4" w14:textId="77777777" w:rsidR="004647B9" w:rsidRDefault="004647B9">
      <w:pPr>
        <w:spacing w:line="283" w:lineRule="exact"/>
        <w:rPr>
          <w:sz w:val="20"/>
          <w:szCs w:val="20"/>
        </w:rPr>
      </w:pPr>
    </w:p>
    <w:p w14:paraId="2819CFF5" w14:textId="77777777" w:rsidR="004647B9" w:rsidRPr="00607542" w:rsidRDefault="00E2436F" w:rsidP="00771B48">
      <w:pPr>
        <w:numPr>
          <w:ilvl w:val="2"/>
          <w:numId w:val="38"/>
        </w:numPr>
        <w:tabs>
          <w:tab w:val="left" w:pos="3115"/>
        </w:tabs>
        <w:spacing w:line="256" w:lineRule="auto"/>
        <w:ind w:left="2640" w:hanging="5"/>
        <w:jc w:val="both"/>
        <w:rPr>
          <w:rFonts w:eastAsia="Times New Roman"/>
          <w:sz w:val="24"/>
          <w:szCs w:val="24"/>
        </w:rPr>
      </w:pPr>
      <w:r w:rsidRPr="00607542">
        <w:rPr>
          <w:rFonts w:eastAsia="Times New Roman"/>
          <w:sz w:val="24"/>
          <w:szCs w:val="24"/>
        </w:rPr>
        <w:t>A Supplier of Water may propose repeat monitoring locations to the Department that the Supplier of Water believes to be representative of a pathway for contamination of the Distribution System. A Supplier of Water may elect to specify either alternative fixed locations or criteria for selecting repeat sampling sites on a situational basis in a standard operating procedure (SOP) in its coliform sampling plan. The Supplier of Water must design its SOP to focus the repeat samples at locations that best verify and determine the extent of potential contamination of the Distribution System area based on specific situations. The Department may modify the SOP or require alternative monitoring locations as needed in order to meet the requirements of 310 CMR 22.05(1)(a)3.</w:t>
      </w:r>
    </w:p>
    <w:p w14:paraId="2819CFF7" w14:textId="77777777" w:rsidR="004647B9" w:rsidRPr="00607542" w:rsidRDefault="00E2436F" w:rsidP="00771B48">
      <w:pPr>
        <w:numPr>
          <w:ilvl w:val="2"/>
          <w:numId w:val="38"/>
        </w:numPr>
        <w:tabs>
          <w:tab w:val="left" w:pos="3103"/>
        </w:tabs>
        <w:spacing w:line="243" w:lineRule="auto"/>
        <w:ind w:left="2640" w:hanging="5"/>
        <w:jc w:val="both"/>
        <w:rPr>
          <w:rFonts w:eastAsia="Times New Roman"/>
          <w:sz w:val="24"/>
          <w:szCs w:val="24"/>
        </w:rPr>
      </w:pPr>
      <w:r w:rsidRPr="00607542">
        <w:rPr>
          <w:rFonts w:eastAsia="Times New Roman"/>
          <w:sz w:val="24"/>
          <w:szCs w:val="24"/>
        </w:rPr>
        <w:t>Groundwater Public Water Systems serving 1,000 or fewer people may propose repeat sampling locations to the Department that differentiate potential source water and Distribution System contamination (</w:t>
      </w:r>
      <w:r w:rsidRPr="00607542">
        <w:rPr>
          <w:rFonts w:eastAsia="Times New Roman"/>
          <w:i/>
          <w:iCs/>
          <w:sz w:val="24"/>
          <w:szCs w:val="24"/>
        </w:rPr>
        <w:t>e.g.</w:t>
      </w:r>
      <w:r w:rsidRPr="00607542">
        <w:rPr>
          <w:rFonts w:eastAsia="Times New Roman"/>
          <w:sz w:val="24"/>
          <w:szCs w:val="24"/>
        </w:rPr>
        <w:t>, by sampling at entry points to the Distribution System). A groundwater Public Water System with a single well required to conduct triggered source water monitoring may, with written Department approval, take one of its repeat samples at the monitoring location required for triggered source water monitoring under 310 CMR 22.26(3)(a) if the Supplier of Water demonstrates to the Department's satisfaction that the coliform sampling plan remains representative of water quality in the Distribution System. If approved by the Department, the Supplier of Water may use that sample result to meet the monitoring requirements in both 310 CMR 22.05(1)(a)3. and 22.26(3)(a).</w:t>
      </w:r>
    </w:p>
    <w:p w14:paraId="2819CFF9" w14:textId="77777777" w:rsidR="004647B9" w:rsidRPr="00607542" w:rsidRDefault="00E2436F" w:rsidP="00771B48">
      <w:pPr>
        <w:numPr>
          <w:ilvl w:val="3"/>
          <w:numId w:val="38"/>
        </w:numPr>
        <w:tabs>
          <w:tab w:val="left" w:pos="3376"/>
        </w:tabs>
        <w:spacing w:line="253" w:lineRule="auto"/>
        <w:ind w:left="3000" w:hanging="5"/>
        <w:jc w:val="both"/>
        <w:rPr>
          <w:rFonts w:eastAsia="Times New Roman"/>
          <w:sz w:val="24"/>
          <w:szCs w:val="24"/>
        </w:rPr>
      </w:pPr>
      <w:r w:rsidRPr="00607542">
        <w:rPr>
          <w:rFonts w:eastAsia="Times New Roman"/>
          <w:sz w:val="24"/>
          <w:szCs w:val="24"/>
        </w:rPr>
        <w:t xml:space="preserve">If a repeat sample taken at the monitoring location required for triggered source water monitoring is </w:t>
      </w:r>
      <w:r w:rsidRPr="00607542">
        <w:rPr>
          <w:rFonts w:eastAsia="Times New Roman"/>
          <w:i/>
          <w:iCs/>
          <w:sz w:val="24"/>
          <w:szCs w:val="24"/>
        </w:rPr>
        <w:t>E. coli</w:t>
      </w:r>
      <w:r w:rsidRPr="00607542">
        <w:rPr>
          <w:rFonts w:eastAsia="Times New Roman"/>
          <w:sz w:val="24"/>
          <w:szCs w:val="24"/>
        </w:rPr>
        <w:t xml:space="preserve">-positive, the Supplier of Water has violated the </w:t>
      </w:r>
      <w:r w:rsidRPr="00607542">
        <w:rPr>
          <w:rFonts w:eastAsia="Times New Roman"/>
          <w:i/>
          <w:iCs/>
          <w:sz w:val="24"/>
          <w:szCs w:val="24"/>
        </w:rPr>
        <w:t>E. coli</w:t>
      </w:r>
      <w:r w:rsidRPr="00607542">
        <w:rPr>
          <w:rFonts w:eastAsia="Times New Roman"/>
          <w:sz w:val="24"/>
          <w:szCs w:val="24"/>
        </w:rPr>
        <w:t xml:space="preserve"> MCL and must also comply with 310 CMR 22.26(3)(a)4. If a Supplier of Water takes more than one repeat sample at the monitoring location required for triggered source water monitoring under 310 CMR 22.26, the Supplier of Water may reduce the number of additional source water samples required under 310 CMR 22.26(3)(a) by the number of repeat samples taken at that location that were not </w:t>
      </w:r>
      <w:r w:rsidRPr="00607542">
        <w:rPr>
          <w:rFonts w:eastAsia="Times New Roman"/>
          <w:i/>
          <w:iCs/>
          <w:sz w:val="24"/>
          <w:szCs w:val="24"/>
        </w:rPr>
        <w:t>E. coli</w:t>
      </w:r>
      <w:r w:rsidRPr="00607542">
        <w:rPr>
          <w:rFonts w:eastAsia="Times New Roman"/>
          <w:sz w:val="24"/>
          <w:szCs w:val="24"/>
        </w:rPr>
        <w:t>-positive.</w:t>
      </w:r>
    </w:p>
    <w:p w14:paraId="2819CFFB" w14:textId="77777777" w:rsidR="004647B9" w:rsidRDefault="00E2436F" w:rsidP="00771B48">
      <w:pPr>
        <w:numPr>
          <w:ilvl w:val="3"/>
          <w:numId w:val="38"/>
        </w:numPr>
        <w:tabs>
          <w:tab w:val="left" w:pos="3551"/>
        </w:tabs>
        <w:spacing w:line="243" w:lineRule="auto"/>
        <w:ind w:left="3000" w:hanging="5"/>
        <w:jc w:val="both"/>
        <w:rPr>
          <w:rFonts w:eastAsia="Times New Roman"/>
          <w:sz w:val="24"/>
          <w:szCs w:val="24"/>
        </w:rPr>
      </w:pPr>
      <w:r>
        <w:rPr>
          <w:rFonts w:eastAsia="Times New Roman"/>
          <w:sz w:val="24"/>
          <w:szCs w:val="24"/>
        </w:rPr>
        <w:t xml:space="preserve">If a Supplier of Water takes more than one repeat sample at the monitoring location required for triggered source water monitoring under 310 CMR 22.26(3)(a), and more than one repeat sample is </w:t>
      </w:r>
      <w:r>
        <w:rPr>
          <w:rFonts w:eastAsia="Times New Roman"/>
          <w:i/>
          <w:iCs/>
          <w:sz w:val="24"/>
          <w:szCs w:val="24"/>
        </w:rPr>
        <w:t>E. coli</w:t>
      </w:r>
      <w:r>
        <w:rPr>
          <w:rFonts w:eastAsia="Times New Roman"/>
          <w:sz w:val="24"/>
          <w:szCs w:val="24"/>
        </w:rPr>
        <w:t xml:space="preserve">-positive, the system has violated the </w:t>
      </w:r>
      <w:r>
        <w:rPr>
          <w:rFonts w:eastAsia="Times New Roman"/>
          <w:i/>
          <w:iCs/>
          <w:sz w:val="24"/>
          <w:szCs w:val="24"/>
        </w:rPr>
        <w:t>E. coli</w:t>
      </w:r>
      <w:r>
        <w:rPr>
          <w:rFonts w:eastAsia="Times New Roman"/>
          <w:sz w:val="24"/>
          <w:szCs w:val="24"/>
        </w:rPr>
        <w:t xml:space="preserve"> MCL and must also comply with 310 CMR 22.26(4)(a)1.</w:t>
      </w:r>
    </w:p>
    <w:p w14:paraId="2819CFFD" w14:textId="77777777" w:rsidR="004647B9" w:rsidRDefault="00E2436F" w:rsidP="00771B48">
      <w:pPr>
        <w:numPr>
          <w:ilvl w:val="3"/>
          <w:numId w:val="38"/>
        </w:numPr>
        <w:tabs>
          <w:tab w:val="left" w:pos="3522"/>
        </w:tabs>
        <w:spacing w:line="242" w:lineRule="auto"/>
        <w:ind w:left="3000" w:hanging="5"/>
        <w:jc w:val="both"/>
        <w:rPr>
          <w:rFonts w:eastAsia="Times New Roman"/>
          <w:sz w:val="24"/>
          <w:szCs w:val="24"/>
        </w:rPr>
      </w:pPr>
      <w:r>
        <w:rPr>
          <w:rFonts w:eastAsia="Times New Roman"/>
          <w:sz w:val="24"/>
          <w:szCs w:val="24"/>
        </w:rPr>
        <w:t xml:space="preserve">If all repeat samples taken at the monitoring location required for triggered source water monitoring are </w:t>
      </w:r>
      <w:r>
        <w:rPr>
          <w:rFonts w:eastAsia="Times New Roman"/>
          <w:i/>
          <w:iCs/>
          <w:sz w:val="24"/>
          <w:szCs w:val="24"/>
        </w:rPr>
        <w:t>E. coli</w:t>
      </w:r>
      <w:r>
        <w:rPr>
          <w:rFonts w:eastAsia="Times New Roman"/>
          <w:sz w:val="24"/>
          <w:szCs w:val="24"/>
        </w:rPr>
        <w:t xml:space="preserve">-negative and a repeat sample taken at a monitoring location other than the one required for triggered source water monitoring is </w:t>
      </w:r>
      <w:r>
        <w:rPr>
          <w:rFonts w:eastAsia="Times New Roman"/>
          <w:i/>
          <w:iCs/>
          <w:sz w:val="24"/>
          <w:szCs w:val="24"/>
        </w:rPr>
        <w:t>E. coli</w:t>
      </w:r>
      <w:r>
        <w:rPr>
          <w:rFonts w:eastAsia="Times New Roman"/>
          <w:sz w:val="24"/>
          <w:szCs w:val="24"/>
        </w:rPr>
        <w:t xml:space="preserve">-positive, the system has violated the </w:t>
      </w:r>
      <w:r>
        <w:rPr>
          <w:rFonts w:eastAsia="Times New Roman"/>
          <w:i/>
          <w:iCs/>
          <w:sz w:val="24"/>
          <w:szCs w:val="24"/>
        </w:rPr>
        <w:t>E. coli</w:t>
      </w:r>
      <w:r>
        <w:rPr>
          <w:rFonts w:eastAsia="Times New Roman"/>
          <w:sz w:val="24"/>
          <w:szCs w:val="24"/>
        </w:rPr>
        <w:t xml:space="preserve"> MCL, but is not required to comply with 310 CMR 22.26(3)(a)4.</w:t>
      </w:r>
    </w:p>
    <w:p w14:paraId="2819CFFF" w14:textId="77777777" w:rsidR="004647B9" w:rsidRDefault="00E2436F" w:rsidP="00771B48">
      <w:pPr>
        <w:numPr>
          <w:ilvl w:val="1"/>
          <w:numId w:val="39"/>
        </w:numPr>
        <w:tabs>
          <w:tab w:val="left" w:pos="2561"/>
        </w:tabs>
        <w:spacing w:line="243" w:lineRule="auto"/>
        <w:ind w:left="2280" w:hanging="5"/>
        <w:jc w:val="both"/>
        <w:rPr>
          <w:rFonts w:eastAsia="Times New Roman"/>
          <w:sz w:val="24"/>
          <w:szCs w:val="24"/>
        </w:rPr>
      </w:pPr>
      <w:r>
        <w:rPr>
          <w:rFonts w:eastAsia="Times New Roman"/>
          <w:sz w:val="24"/>
          <w:szCs w:val="24"/>
        </w:rPr>
        <w:t>The Department may review, revise, and approve, as appropriate, repeat sampling proposed by a Supplier of Water under 310 CMR 22.05(1)(a)3.d.i. or ii. The Supplier of Water shall demonstrate that the coliform sampling plan remains representative of the water quality in the Distribution System. The Department may determine that monitoring at the entry point to the Distribution System (especially for undisinfected groundwater Public Water Systems) is effective to differentiate between potential source water and Distribution System problems.</w:t>
      </w:r>
    </w:p>
    <w:p w14:paraId="2819D001" w14:textId="77777777" w:rsidR="004647B9" w:rsidRDefault="00E2436F" w:rsidP="00771B48">
      <w:pPr>
        <w:numPr>
          <w:ilvl w:val="1"/>
          <w:numId w:val="39"/>
        </w:numPr>
        <w:tabs>
          <w:tab w:val="left" w:pos="2586"/>
        </w:tabs>
        <w:spacing w:line="243" w:lineRule="auto"/>
        <w:ind w:left="2280" w:hanging="5"/>
        <w:jc w:val="both"/>
        <w:rPr>
          <w:rFonts w:eastAsia="Times New Roman"/>
          <w:sz w:val="24"/>
          <w:szCs w:val="24"/>
        </w:rPr>
      </w:pPr>
      <w:r>
        <w:rPr>
          <w:rFonts w:eastAsia="Times New Roman"/>
          <w:sz w:val="24"/>
          <w:szCs w:val="24"/>
        </w:rPr>
        <w:t>Special purpose samples, such as those taken to determine whether Disinfection practices are sufficient following pipe placement, replacement, or repair, shall not be used to determine whether the coliform Treatment Technique trigger has been exceeded. Repeat samples taken pursuant to 310 CMR 22.05(2) are not considered special purpose samples, and must be used to determine whether the coliform Treatment Technique trigger has been exceeded.</w:t>
      </w:r>
    </w:p>
    <w:p w14:paraId="2819D003" w14:textId="77777777" w:rsidR="004647B9" w:rsidRDefault="00E2436F" w:rsidP="00771B48">
      <w:pPr>
        <w:numPr>
          <w:ilvl w:val="0"/>
          <w:numId w:val="40"/>
        </w:numPr>
        <w:tabs>
          <w:tab w:val="left" w:pos="1998"/>
        </w:tabs>
        <w:spacing w:line="244" w:lineRule="auto"/>
        <w:ind w:left="1560" w:hanging="5"/>
        <w:jc w:val="both"/>
        <w:rPr>
          <w:rFonts w:eastAsia="Times New Roman"/>
          <w:sz w:val="24"/>
          <w:szCs w:val="24"/>
        </w:rPr>
      </w:pPr>
      <w:r>
        <w:rPr>
          <w:rFonts w:eastAsia="Times New Roman"/>
          <w:sz w:val="24"/>
          <w:szCs w:val="24"/>
          <w:u w:val="single"/>
        </w:rPr>
        <w:t>Coliform Monitoring Frequency</w:t>
      </w:r>
      <w:r>
        <w:rPr>
          <w:rFonts w:eastAsia="Times New Roman"/>
          <w:sz w:val="24"/>
          <w:szCs w:val="24"/>
        </w:rPr>
        <w:t xml:space="preserve">. The minimum number of total coliform samples for Public Water Systems is based on the population served by the Public Water System according to 310 CMR 22.05: </w:t>
      </w:r>
      <w:r>
        <w:rPr>
          <w:rFonts w:eastAsia="Times New Roman"/>
          <w:i/>
          <w:iCs/>
          <w:sz w:val="24"/>
          <w:szCs w:val="24"/>
        </w:rPr>
        <w:t>Table 1</w:t>
      </w:r>
      <w:r>
        <w:rPr>
          <w:rFonts w:eastAsia="Times New Roman"/>
          <w:sz w:val="24"/>
          <w:szCs w:val="24"/>
        </w:rPr>
        <w:t>.</w:t>
      </w:r>
    </w:p>
    <w:p w14:paraId="2819D004" w14:textId="77777777" w:rsidR="004647B9" w:rsidRDefault="004647B9">
      <w:pPr>
        <w:sectPr w:rsidR="004647B9" w:rsidSect="00EF630C">
          <w:pgSz w:w="12240" w:h="20180"/>
          <w:pgMar w:top="708" w:right="1440" w:bottom="1440" w:left="600" w:header="0" w:footer="0" w:gutter="0"/>
          <w:cols w:space="720" w:equalWidth="0">
            <w:col w:w="10200"/>
          </w:cols>
        </w:sectPr>
      </w:pPr>
    </w:p>
    <w:p w14:paraId="2819D005" w14:textId="77777777" w:rsidR="004647B9" w:rsidRDefault="00E2436F">
      <w:pPr>
        <w:tabs>
          <w:tab w:val="left" w:pos="160"/>
        </w:tabs>
        <w:jc w:val="center"/>
        <w:rPr>
          <w:sz w:val="20"/>
          <w:szCs w:val="20"/>
        </w:rPr>
      </w:pPr>
      <w:bookmarkStart w:id="29" w:name="page30"/>
      <w:bookmarkEnd w:id="2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006" w14:textId="77777777" w:rsidR="004647B9" w:rsidRDefault="004647B9">
      <w:pPr>
        <w:spacing w:line="200" w:lineRule="exact"/>
        <w:rPr>
          <w:sz w:val="20"/>
          <w:szCs w:val="20"/>
        </w:rPr>
      </w:pPr>
    </w:p>
    <w:p w14:paraId="2819D007" w14:textId="77777777" w:rsidR="004647B9" w:rsidRDefault="004647B9" w:rsidP="00FB138C">
      <w:pPr>
        <w:rPr>
          <w:sz w:val="20"/>
          <w:szCs w:val="20"/>
        </w:rPr>
      </w:pPr>
    </w:p>
    <w:p w14:paraId="2819D008"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009" w14:textId="77777777" w:rsidR="004647B9" w:rsidRDefault="004647B9">
      <w:pPr>
        <w:spacing w:line="167" w:lineRule="exact"/>
        <w:rPr>
          <w:sz w:val="20"/>
          <w:szCs w:val="20"/>
        </w:rPr>
      </w:pPr>
    </w:p>
    <w:p w14:paraId="2819D00A" w14:textId="77777777" w:rsidR="004647B9" w:rsidRDefault="00E2436F">
      <w:pPr>
        <w:ind w:right="520"/>
        <w:jc w:val="center"/>
        <w:rPr>
          <w:sz w:val="20"/>
          <w:szCs w:val="20"/>
        </w:rPr>
      </w:pPr>
      <w:r>
        <w:rPr>
          <w:rFonts w:eastAsia="Times New Roman"/>
          <w:sz w:val="18"/>
          <w:szCs w:val="18"/>
        </w:rPr>
        <w:t xml:space="preserve">310 CMR 22.05:  </w:t>
      </w:r>
      <w:r>
        <w:rPr>
          <w:rFonts w:eastAsia="Times New Roman"/>
          <w:i/>
          <w:iCs/>
          <w:sz w:val="18"/>
          <w:szCs w:val="18"/>
        </w:rPr>
        <w:t>Table 1</w:t>
      </w:r>
    </w:p>
    <w:p w14:paraId="2819D00C" w14:textId="77777777" w:rsidR="004647B9" w:rsidRDefault="00E2436F">
      <w:pPr>
        <w:ind w:right="520"/>
        <w:jc w:val="center"/>
        <w:rPr>
          <w:sz w:val="20"/>
          <w:szCs w:val="20"/>
        </w:rPr>
      </w:pPr>
      <w:r>
        <w:rPr>
          <w:rFonts w:eastAsia="Times New Roman"/>
          <w:sz w:val="18"/>
          <w:szCs w:val="18"/>
        </w:rPr>
        <w:t>TOTAL COLIFORM MONITORING FREQUENCY</w:t>
      </w:r>
    </w:p>
    <w:p w14:paraId="2819D00E" w14:textId="77777777" w:rsidR="004647B9" w:rsidRDefault="00E2436F">
      <w:pPr>
        <w:ind w:left="3420"/>
        <w:rPr>
          <w:sz w:val="20"/>
          <w:szCs w:val="20"/>
        </w:rPr>
      </w:pPr>
      <w:r>
        <w:rPr>
          <w:rFonts w:eastAsia="Times New Roman"/>
          <w:sz w:val="18"/>
          <w:szCs w:val="18"/>
        </w:rPr>
        <w:t>FOR PUBLIC WATER SYSTEMS</w:t>
      </w:r>
    </w:p>
    <w:p w14:paraId="2819D00F" w14:textId="77777777" w:rsidR="004647B9" w:rsidRDefault="004647B9">
      <w:pPr>
        <w:spacing w:line="235" w:lineRule="exact"/>
        <w:rPr>
          <w:sz w:val="20"/>
          <w:szCs w:val="20"/>
        </w:rPr>
      </w:pPr>
    </w:p>
    <w:p w14:paraId="2819D010" w14:textId="77777777" w:rsidR="004647B9" w:rsidRDefault="00E2436F">
      <w:pPr>
        <w:tabs>
          <w:tab w:val="left" w:pos="6920"/>
        </w:tabs>
        <w:ind w:left="1040"/>
        <w:rPr>
          <w:sz w:val="20"/>
          <w:szCs w:val="20"/>
        </w:rPr>
      </w:pPr>
      <w:r>
        <w:rPr>
          <w:rFonts w:eastAsia="Times New Roman"/>
          <w:sz w:val="18"/>
          <w:szCs w:val="18"/>
        </w:rPr>
        <w:t>Population Served</w:t>
      </w:r>
      <w:r>
        <w:rPr>
          <w:sz w:val="20"/>
          <w:szCs w:val="20"/>
        </w:rPr>
        <w:tab/>
      </w:r>
      <w:r>
        <w:rPr>
          <w:rFonts w:eastAsia="Times New Roman"/>
          <w:sz w:val="18"/>
          <w:szCs w:val="18"/>
        </w:rPr>
        <w:t>Minimum Number of</w:t>
      </w:r>
    </w:p>
    <w:p w14:paraId="2819D012" w14:textId="68522B18" w:rsidR="004647B9" w:rsidRDefault="00E2436F">
      <w:pPr>
        <w:ind w:left="7060"/>
        <w:rPr>
          <w:sz w:val="20"/>
          <w:szCs w:val="20"/>
        </w:rPr>
      </w:pPr>
      <w:r>
        <w:rPr>
          <w:rFonts w:eastAsia="Times New Roman"/>
          <w:sz w:val="18"/>
          <w:szCs w:val="18"/>
        </w:rPr>
        <w:t>Samples Per Month</w:t>
      </w:r>
    </w:p>
    <w:p w14:paraId="2819D013" w14:textId="77777777" w:rsidR="004647B9" w:rsidRDefault="004647B9">
      <w:pPr>
        <w:spacing w:line="193" w:lineRule="exact"/>
        <w:rPr>
          <w:sz w:val="20"/>
          <w:szCs w:val="20"/>
        </w:rPr>
      </w:pPr>
    </w:p>
    <w:p w14:paraId="2819D014" w14:textId="76EB9459" w:rsidR="004647B9" w:rsidRDefault="00E2436F">
      <w:pPr>
        <w:ind w:left="1040"/>
        <w:rPr>
          <w:sz w:val="20"/>
          <w:szCs w:val="20"/>
        </w:rPr>
      </w:pPr>
      <w:r>
        <w:rPr>
          <w:rFonts w:eastAsia="Times New Roman"/>
          <w:sz w:val="18"/>
          <w:szCs w:val="18"/>
        </w:rPr>
        <w:t>Up to 1,000</w:t>
      </w:r>
      <w:r>
        <w:rPr>
          <w:rFonts w:eastAsia="Times New Roman"/>
          <w:sz w:val="24"/>
          <w:szCs w:val="24"/>
          <w:vertAlign w:val="superscript"/>
        </w:rPr>
        <w:t>1</w:t>
      </w:r>
      <w:r w:rsidR="004F025C">
        <w:rPr>
          <w:rFonts w:eastAsia="Times New Roman"/>
          <w:sz w:val="18"/>
          <w:szCs w:val="18"/>
        </w:rPr>
        <w:tab/>
      </w:r>
      <w:r w:rsidR="004F025C">
        <w:rPr>
          <w:rFonts w:eastAsia="Times New Roman"/>
          <w:sz w:val="18"/>
          <w:szCs w:val="18"/>
        </w:rPr>
        <w:tab/>
      </w:r>
      <w:r>
        <w:rPr>
          <w:rFonts w:eastAsia="Times New Roman"/>
          <w:sz w:val="18"/>
          <w:szCs w:val="18"/>
        </w:rPr>
        <w:t>. . . . . . . . . . . . . . . . . . . . . . . . . . . . . . . . . . . . . . . . . . . . . . . . . . . . . . . . . . . . . 1</w:t>
      </w:r>
    </w:p>
    <w:p w14:paraId="2819D015" w14:textId="77777777" w:rsidR="004647B9" w:rsidRDefault="004647B9">
      <w:pPr>
        <w:spacing w:line="210" w:lineRule="exact"/>
        <w:rPr>
          <w:sz w:val="20"/>
          <w:szCs w:val="20"/>
        </w:rPr>
      </w:pPr>
    </w:p>
    <w:p w14:paraId="2819D016" w14:textId="7F92DA0A" w:rsidR="004647B9" w:rsidRDefault="00E2436F">
      <w:pPr>
        <w:tabs>
          <w:tab w:val="left" w:pos="2340"/>
        </w:tabs>
        <w:ind w:left="1040"/>
        <w:rPr>
          <w:sz w:val="20"/>
          <w:szCs w:val="20"/>
        </w:rPr>
      </w:pPr>
      <w:r>
        <w:rPr>
          <w:rFonts w:eastAsia="Times New Roman"/>
          <w:sz w:val="18"/>
          <w:szCs w:val="18"/>
        </w:rPr>
        <w:t>1,001 to 2,500</w:t>
      </w:r>
      <w:r>
        <w:rPr>
          <w:rFonts w:eastAsia="Times New Roman"/>
          <w:sz w:val="18"/>
          <w:szCs w:val="18"/>
        </w:rPr>
        <w:tab/>
      </w:r>
      <w:r w:rsidR="005F711D">
        <w:rPr>
          <w:rFonts w:eastAsia="Times New Roman"/>
          <w:sz w:val="18"/>
          <w:szCs w:val="18"/>
        </w:rPr>
        <w:tab/>
      </w:r>
      <w:r>
        <w:rPr>
          <w:rFonts w:eastAsia="Times New Roman"/>
          <w:sz w:val="18"/>
          <w:szCs w:val="18"/>
        </w:rPr>
        <w:t>. . . .</w:t>
      </w:r>
      <w:r w:rsidR="001E3BB3" w:rsidRPr="001E3BB3">
        <w:rPr>
          <w:rFonts w:eastAsia="Times New Roman"/>
          <w:sz w:val="18"/>
          <w:szCs w:val="18"/>
        </w:rPr>
        <w:t xml:space="preserve"> </w:t>
      </w:r>
      <w:r w:rsidR="001E3BB3">
        <w:rPr>
          <w:rFonts w:eastAsia="Times New Roman"/>
          <w:sz w:val="18"/>
          <w:szCs w:val="18"/>
        </w:rPr>
        <w:t xml:space="preserve">. . . . . . . . . . </w:t>
      </w:r>
      <w:r>
        <w:rPr>
          <w:rFonts w:eastAsia="Times New Roman"/>
          <w:sz w:val="18"/>
          <w:szCs w:val="18"/>
        </w:rPr>
        <w:t>. . . . . . . . . . . . . . . . . . . . . . . . . . . . . . . . . . . . . . . . . . . . . . . 2</w:t>
      </w:r>
    </w:p>
    <w:p w14:paraId="2819D017" w14:textId="77777777" w:rsidR="004647B9" w:rsidRDefault="004647B9">
      <w:pPr>
        <w:spacing w:line="235" w:lineRule="exact"/>
        <w:rPr>
          <w:sz w:val="20"/>
          <w:szCs w:val="20"/>
        </w:rPr>
      </w:pPr>
    </w:p>
    <w:p w14:paraId="2819D018" w14:textId="6DF78B8E" w:rsidR="004647B9" w:rsidRDefault="00E2436F">
      <w:pPr>
        <w:tabs>
          <w:tab w:val="left" w:pos="2340"/>
        </w:tabs>
        <w:ind w:left="1040"/>
        <w:rPr>
          <w:sz w:val="20"/>
          <w:szCs w:val="20"/>
        </w:rPr>
      </w:pPr>
      <w:r>
        <w:rPr>
          <w:rFonts w:eastAsia="Times New Roman"/>
          <w:sz w:val="18"/>
          <w:szCs w:val="18"/>
        </w:rPr>
        <w:t>2,501 to 3,300</w:t>
      </w:r>
      <w:r>
        <w:rPr>
          <w:rFonts w:eastAsia="Times New Roman"/>
          <w:sz w:val="18"/>
          <w:szCs w:val="18"/>
        </w:rPr>
        <w:tab/>
      </w:r>
      <w:r w:rsidR="005F711D">
        <w:rPr>
          <w:rFonts w:eastAsia="Times New Roman"/>
          <w:sz w:val="18"/>
          <w:szCs w:val="18"/>
        </w:rPr>
        <w:tab/>
      </w:r>
      <w:r>
        <w:rPr>
          <w:rFonts w:eastAsia="Times New Roman"/>
          <w:sz w:val="18"/>
          <w:szCs w:val="18"/>
        </w:rPr>
        <w:t>. . . . . . . . . . . . . . . . . . . . . . . . . . . . . . . . . . . . . . . . . . . . . . . . . . . . . . . . . . . . . 3</w:t>
      </w:r>
    </w:p>
    <w:p w14:paraId="2819D019" w14:textId="77777777" w:rsidR="004647B9" w:rsidRDefault="004647B9">
      <w:pPr>
        <w:spacing w:line="237" w:lineRule="exact"/>
        <w:rPr>
          <w:sz w:val="20"/>
          <w:szCs w:val="20"/>
        </w:rPr>
      </w:pPr>
    </w:p>
    <w:p w14:paraId="2819D01A" w14:textId="4CB1CB6F" w:rsidR="004647B9" w:rsidRDefault="00E2436F">
      <w:pPr>
        <w:tabs>
          <w:tab w:val="left" w:pos="2340"/>
        </w:tabs>
        <w:ind w:left="1040"/>
        <w:rPr>
          <w:sz w:val="20"/>
          <w:szCs w:val="20"/>
        </w:rPr>
      </w:pPr>
      <w:r>
        <w:rPr>
          <w:rFonts w:eastAsia="Times New Roman"/>
          <w:sz w:val="18"/>
          <w:szCs w:val="18"/>
        </w:rPr>
        <w:t>3,301 to 4,100</w:t>
      </w:r>
      <w:r>
        <w:rPr>
          <w:rFonts w:eastAsia="Times New Roman"/>
          <w:sz w:val="18"/>
          <w:szCs w:val="18"/>
        </w:rPr>
        <w:tab/>
      </w:r>
      <w:r w:rsidR="005F711D">
        <w:rPr>
          <w:rFonts w:eastAsia="Times New Roman"/>
          <w:sz w:val="18"/>
          <w:szCs w:val="18"/>
        </w:rPr>
        <w:tab/>
      </w:r>
      <w:r>
        <w:rPr>
          <w:rFonts w:eastAsia="Times New Roman"/>
          <w:sz w:val="18"/>
          <w:szCs w:val="18"/>
        </w:rPr>
        <w:t>. . . . . . . . . . . . . . . . . . . . . . . . . . . . . . . . . . . . . . . . . . . . . . . . . . . . . . . . . . . . . 4</w:t>
      </w:r>
    </w:p>
    <w:p w14:paraId="2819D01B" w14:textId="77777777" w:rsidR="004647B9" w:rsidRDefault="004647B9">
      <w:pPr>
        <w:spacing w:line="235" w:lineRule="exact"/>
        <w:rPr>
          <w:sz w:val="20"/>
          <w:szCs w:val="20"/>
        </w:rPr>
      </w:pPr>
    </w:p>
    <w:p w14:paraId="2819D01C" w14:textId="5BD63D1C" w:rsidR="004647B9" w:rsidRDefault="00E2436F">
      <w:pPr>
        <w:tabs>
          <w:tab w:val="left" w:pos="2340"/>
        </w:tabs>
        <w:ind w:left="1040"/>
        <w:rPr>
          <w:sz w:val="20"/>
          <w:szCs w:val="20"/>
        </w:rPr>
      </w:pPr>
      <w:r>
        <w:rPr>
          <w:rFonts w:eastAsia="Times New Roman"/>
          <w:sz w:val="18"/>
          <w:szCs w:val="18"/>
        </w:rPr>
        <w:t>4,101 to 4,900</w:t>
      </w:r>
      <w:r>
        <w:rPr>
          <w:rFonts w:eastAsia="Times New Roman"/>
          <w:sz w:val="18"/>
          <w:szCs w:val="18"/>
        </w:rPr>
        <w:tab/>
      </w:r>
      <w:r w:rsidR="005F711D">
        <w:rPr>
          <w:rFonts w:eastAsia="Times New Roman"/>
          <w:sz w:val="18"/>
          <w:szCs w:val="18"/>
        </w:rPr>
        <w:tab/>
      </w:r>
      <w:r>
        <w:rPr>
          <w:rFonts w:eastAsia="Times New Roman"/>
          <w:sz w:val="18"/>
          <w:szCs w:val="18"/>
        </w:rPr>
        <w:t>. . . . . . . . . . . . . . . . . . . . . . . . . . . . . . . . . . . . . . . . . . . . . . . . . . . . . . . . . . . . . 5</w:t>
      </w:r>
    </w:p>
    <w:p w14:paraId="2819D01D" w14:textId="77777777" w:rsidR="004647B9" w:rsidRDefault="004647B9">
      <w:pPr>
        <w:spacing w:line="237" w:lineRule="exact"/>
        <w:rPr>
          <w:sz w:val="20"/>
          <w:szCs w:val="20"/>
        </w:rPr>
      </w:pPr>
    </w:p>
    <w:p w14:paraId="2819D01E" w14:textId="44F34891" w:rsidR="004647B9" w:rsidRDefault="00E2436F">
      <w:pPr>
        <w:tabs>
          <w:tab w:val="left" w:pos="2340"/>
        </w:tabs>
        <w:ind w:left="1040"/>
        <w:rPr>
          <w:sz w:val="20"/>
          <w:szCs w:val="20"/>
        </w:rPr>
      </w:pPr>
      <w:r>
        <w:rPr>
          <w:rFonts w:eastAsia="Times New Roman"/>
          <w:sz w:val="18"/>
          <w:szCs w:val="18"/>
        </w:rPr>
        <w:t>4,901 to 5,800</w:t>
      </w:r>
      <w:r>
        <w:rPr>
          <w:rFonts w:eastAsia="Times New Roman"/>
          <w:sz w:val="18"/>
          <w:szCs w:val="18"/>
        </w:rPr>
        <w:tab/>
      </w:r>
      <w:r w:rsidR="005F711D">
        <w:rPr>
          <w:rFonts w:eastAsia="Times New Roman"/>
          <w:sz w:val="18"/>
          <w:szCs w:val="18"/>
        </w:rPr>
        <w:tab/>
      </w:r>
      <w:r>
        <w:rPr>
          <w:rFonts w:eastAsia="Times New Roman"/>
          <w:sz w:val="18"/>
          <w:szCs w:val="18"/>
        </w:rPr>
        <w:t>. . . . . . . . . . . . . . . . . . . . . . . . . . . . . . . . . . . . . . . . . . . . . . . . . . . . . . . . . . . . . 6</w:t>
      </w:r>
    </w:p>
    <w:p w14:paraId="2819D01F" w14:textId="77777777" w:rsidR="004647B9" w:rsidRDefault="004647B9">
      <w:pPr>
        <w:spacing w:line="235" w:lineRule="exact"/>
        <w:rPr>
          <w:sz w:val="20"/>
          <w:szCs w:val="20"/>
        </w:rPr>
      </w:pPr>
    </w:p>
    <w:p w14:paraId="2819D020" w14:textId="4433C402" w:rsidR="004647B9" w:rsidRDefault="00E2436F">
      <w:pPr>
        <w:tabs>
          <w:tab w:val="left" w:pos="2340"/>
        </w:tabs>
        <w:ind w:left="1040"/>
        <w:rPr>
          <w:sz w:val="20"/>
          <w:szCs w:val="20"/>
        </w:rPr>
      </w:pPr>
      <w:r>
        <w:rPr>
          <w:rFonts w:eastAsia="Times New Roman"/>
          <w:sz w:val="18"/>
          <w:szCs w:val="18"/>
        </w:rPr>
        <w:t>5,801 to 6,700</w:t>
      </w:r>
      <w:r>
        <w:rPr>
          <w:rFonts w:eastAsia="Times New Roman"/>
          <w:sz w:val="18"/>
          <w:szCs w:val="18"/>
        </w:rPr>
        <w:tab/>
      </w:r>
      <w:r w:rsidR="005F711D">
        <w:rPr>
          <w:rFonts w:eastAsia="Times New Roman"/>
          <w:sz w:val="18"/>
          <w:szCs w:val="18"/>
        </w:rPr>
        <w:tab/>
      </w:r>
      <w:r>
        <w:rPr>
          <w:rFonts w:eastAsia="Times New Roman"/>
          <w:sz w:val="18"/>
          <w:szCs w:val="18"/>
        </w:rPr>
        <w:t>. . . . . . . . . . . . . . . . . . . . . . . . . . . . . . . . . . . . . . . . . . . . . . . . . . . . . . . . . . . . . 7</w:t>
      </w:r>
    </w:p>
    <w:p w14:paraId="2819D021" w14:textId="77777777" w:rsidR="004647B9" w:rsidRDefault="004647B9">
      <w:pPr>
        <w:spacing w:line="237" w:lineRule="exact"/>
        <w:rPr>
          <w:sz w:val="20"/>
          <w:szCs w:val="20"/>
        </w:rPr>
      </w:pPr>
    </w:p>
    <w:p w14:paraId="2819D022" w14:textId="10F358B2" w:rsidR="004647B9" w:rsidRDefault="00E2436F">
      <w:pPr>
        <w:tabs>
          <w:tab w:val="left" w:pos="2340"/>
        </w:tabs>
        <w:ind w:left="1040"/>
        <w:rPr>
          <w:sz w:val="20"/>
          <w:szCs w:val="20"/>
        </w:rPr>
      </w:pPr>
      <w:r>
        <w:rPr>
          <w:rFonts w:eastAsia="Times New Roman"/>
          <w:sz w:val="18"/>
          <w:szCs w:val="18"/>
        </w:rPr>
        <w:t>6,701 to 7,600</w:t>
      </w:r>
      <w:r>
        <w:rPr>
          <w:rFonts w:eastAsia="Times New Roman"/>
          <w:sz w:val="18"/>
          <w:szCs w:val="18"/>
        </w:rPr>
        <w:tab/>
      </w:r>
      <w:r w:rsidR="005F711D">
        <w:rPr>
          <w:rFonts w:eastAsia="Times New Roman"/>
          <w:sz w:val="18"/>
          <w:szCs w:val="18"/>
        </w:rPr>
        <w:tab/>
      </w:r>
      <w:r>
        <w:rPr>
          <w:rFonts w:eastAsia="Times New Roman"/>
          <w:sz w:val="18"/>
          <w:szCs w:val="18"/>
        </w:rPr>
        <w:t>. . . . . . . . . . . . . . . . . . . . . . . . . . . . . . . . . . . . . . . . . . . . . . . . . . . . . . . . . . . . . 8</w:t>
      </w:r>
    </w:p>
    <w:p w14:paraId="2819D023" w14:textId="77777777" w:rsidR="004647B9" w:rsidRDefault="004647B9">
      <w:pPr>
        <w:spacing w:line="235" w:lineRule="exact"/>
        <w:rPr>
          <w:sz w:val="20"/>
          <w:szCs w:val="20"/>
        </w:rPr>
      </w:pPr>
    </w:p>
    <w:p w14:paraId="2819D024" w14:textId="6A521AEB" w:rsidR="004647B9" w:rsidRDefault="00E2436F">
      <w:pPr>
        <w:tabs>
          <w:tab w:val="left" w:pos="2340"/>
        </w:tabs>
        <w:ind w:left="1040"/>
        <w:rPr>
          <w:sz w:val="20"/>
          <w:szCs w:val="20"/>
        </w:rPr>
      </w:pPr>
      <w:r>
        <w:rPr>
          <w:rFonts w:eastAsia="Times New Roman"/>
          <w:sz w:val="18"/>
          <w:szCs w:val="18"/>
        </w:rPr>
        <w:t>7,601 to 8,500</w:t>
      </w:r>
      <w:r>
        <w:rPr>
          <w:rFonts w:eastAsia="Times New Roman"/>
          <w:sz w:val="18"/>
          <w:szCs w:val="18"/>
        </w:rPr>
        <w:tab/>
      </w:r>
      <w:r w:rsidR="005F711D">
        <w:rPr>
          <w:rFonts w:eastAsia="Times New Roman"/>
          <w:sz w:val="18"/>
          <w:szCs w:val="18"/>
        </w:rPr>
        <w:tab/>
      </w:r>
      <w:r w:rsidR="005B3491">
        <w:rPr>
          <w:rFonts w:eastAsia="Times New Roman"/>
          <w:sz w:val="18"/>
          <w:szCs w:val="18"/>
        </w:rPr>
        <w:t>. .</w:t>
      </w:r>
      <w:r w:rsidR="005B3491" w:rsidRPr="00C84A81">
        <w:rPr>
          <w:rFonts w:eastAsia="Times New Roman"/>
          <w:sz w:val="18"/>
          <w:szCs w:val="18"/>
        </w:rPr>
        <w:t xml:space="preserve"> </w:t>
      </w:r>
      <w:r w:rsidR="005B3491">
        <w:rPr>
          <w:rFonts w:eastAsia="Times New Roman"/>
          <w:sz w:val="18"/>
          <w:szCs w:val="18"/>
        </w:rPr>
        <w:t>. . . . . . . . . . . . . . . . . . . . . . . . . . . . . . . . . . . . . . . . . . . . . . . . . . . . . . . . . .</w:t>
      </w:r>
      <w:r>
        <w:rPr>
          <w:rFonts w:eastAsia="Times New Roman"/>
          <w:sz w:val="18"/>
          <w:szCs w:val="18"/>
        </w:rPr>
        <w:t xml:space="preserve"> . 9</w:t>
      </w:r>
    </w:p>
    <w:p w14:paraId="2819D025" w14:textId="77777777" w:rsidR="004647B9" w:rsidRDefault="004647B9">
      <w:pPr>
        <w:spacing w:line="237" w:lineRule="exact"/>
        <w:rPr>
          <w:sz w:val="20"/>
          <w:szCs w:val="20"/>
        </w:rPr>
      </w:pPr>
    </w:p>
    <w:p w14:paraId="2819D026" w14:textId="3A04DCF3" w:rsidR="004647B9" w:rsidRDefault="00E2436F">
      <w:pPr>
        <w:tabs>
          <w:tab w:val="left" w:pos="2440"/>
        </w:tabs>
        <w:ind w:left="1040"/>
        <w:rPr>
          <w:sz w:val="20"/>
          <w:szCs w:val="20"/>
        </w:rPr>
      </w:pPr>
      <w:r>
        <w:rPr>
          <w:rFonts w:eastAsia="Times New Roman"/>
          <w:sz w:val="18"/>
          <w:szCs w:val="18"/>
        </w:rPr>
        <w:t>8,501 to 12,900</w:t>
      </w:r>
      <w:r>
        <w:rPr>
          <w:rFonts w:eastAsia="Times New Roman"/>
          <w:sz w:val="18"/>
          <w:szCs w:val="18"/>
        </w:rPr>
        <w:tab/>
      </w:r>
      <w:r w:rsidR="00237904">
        <w:rPr>
          <w:rFonts w:eastAsia="Times New Roman"/>
          <w:sz w:val="18"/>
          <w:szCs w:val="18"/>
        </w:rPr>
        <w:tab/>
      </w:r>
      <w:r>
        <w:rPr>
          <w:rFonts w:eastAsia="Times New Roman"/>
          <w:sz w:val="18"/>
          <w:szCs w:val="18"/>
        </w:rPr>
        <w:t xml:space="preserve">. . . . . . . . . . . . . . . . . . . . . . . . . </w:t>
      </w:r>
      <w:r w:rsidR="001E3BB3">
        <w:rPr>
          <w:rFonts w:eastAsia="Times New Roman"/>
          <w:sz w:val="18"/>
          <w:szCs w:val="18"/>
        </w:rPr>
        <w:t xml:space="preserve">. . . . . . . . . </w:t>
      </w:r>
      <w:r>
        <w:rPr>
          <w:rFonts w:eastAsia="Times New Roman"/>
          <w:sz w:val="18"/>
          <w:szCs w:val="18"/>
        </w:rPr>
        <w:t>. . . . . . . . . . . . . . . . . . . . . . . . . . 10</w:t>
      </w:r>
    </w:p>
    <w:p w14:paraId="2819D027" w14:textId="77777777" w:rsidR="004647B9" w:rsidRDefault="004647B9">
      <w:pPr>
        <w:spacing w:line="235" w:lineRule="exact"/>
        <w:rPr>
          <w:sz w:val="20"/>
          <w:szCs w:val="20"/>
        </w:rPr>
      </w:pPr>
    </w:p>
    <w:p w14:paraId="2819D028" w14:textId="249B5A80" w:rsidR="004647B9" w:rsidRDefault="00E2436F">
      <w:pPr>
        <w:tabs>
          <w:tab w:val="left" w:pos="2540"/>
        </w:tabs>
        <w:ind w:left="1040"/>
        <w:rPr>
          <w:sz w:val="20"/>
          <w:szCs w:val="20"/>
        </w:rPr>
      </w:pPr>
      <w:r>
        <w:rPr>
          <w:rFonts w:eastAsia="Times New Roman"/>
          <w:sz w:val="18"/>
          <w:szCs w:val="18"/>
        </w:rPr>
        <w:t>12,901 to 17,200</w:t>
      </w:r>
      <w:r>
        <w:rPr>
          <w:rFonts w:eastAsia="Times New Roman"/>
          <w:sz w:val="18"/>
          <w:szCs w:val="18"/>
        </w:rPr>
        <w:tab/>
      </w:r>
      <w:r w:rsidR="00627A30">
        <w:rPr>
          <w:rFonts w:eastAsia="Times New Roman"/>
          <w:sz w:val="18"/>
          <w:szCs w:val="18"/>
        </w:rPr>
        <w:tab/>
        <w:t xml:space="preserve">. . </w:t>
      </w:r>
      <w:r>
        <w:rPr>
          <w:rFonts w:eastAsia="Times New Roman"/>
          <w:sz w:val="18"/>
          <w:szCs w:val="18"/>
        </w:rPr>
        <w:t>. . . . . . . . . . . . . . . . . . . . . . . . . . . . . . . . . . . . . . . . . . . . . . . . . . . . . . . . . . 15</w:t>
      </w:r>
    </w:p>
    <w:p w14:paraId="2819D029" w14:textId="77777777" w:rsidR="004647B9" w:rsidRDefault="004647B9">
      <w:pPr>
        <w:spacing w:line="237" w:lineRule="exact"/>
        <w:rPr>
          <w:sz w:val="20"/>
          <w:szCs w:val="20"/>
        </w:rPr>
      </w:pPr>
    </w:p>
    <w:p w14:paraId="2819D02A" w14:textId="1620A0A6" w:rsidR="004647B9" w:rsidRDefault="00E2436F">
      <w:pPr>
        <w:tabs>
          <w:tab w:val="left" w:pos="2540"/>
        </w:tabs>
        <w:ind w:left="1040"/>
        <w:rPr>
          <w:sz w:val="20"/>
          <w:szCs w:val="20"/>
        </w:rPr>
      </w:pPr>
      <w:r>
        <w:rPr>
          <w:rFonts w:eastAsia="Times New Roman"/>
          <w:sz w:val="18"/>
          <w:szCs w:val="18"/>
        </w:rPr>
        <w:t>17,201 to 21,500</w:t>
      </w:r>
      <w:r>
        <w:rPr>
          <w:rFonts w:eastAsia="Times New Roman"/>
          <w:sz w:val="18"/>
          <w:szCs w:val="18"/>
        </w:rPr>
        <w:tab/>
      </w:r>
      <w:r w:rsidR="00627A30">
        <w:rPr>
          <w:rFonts w:eastAsia="Times New Roman"/>
          <w:sz w:val="18"/>
          <w:szCs w:val="18"/>
        </w:rPr>
        <w:tab/>
        <w:t xml:space="preserve">. . </w:t>
      </w:r>
      <w:r>
        <w:rPr>
          <w:rFonts w:eastAsia="Times New Roman"/>
          <w:sz w:val="18"/>
          <w:szCs w:val="18"/>
        </w:rPr>
        <w:t>. . . . . . . . . . . . . . . . . . . . . . . . . . . . . . . . . . . . . . . . . . . . . . . . . . . . . . . . . . 20</w:t>
      </w:r>
    </w:p>
    <w:p w14:paraId="2819D02B" w14:textId="77777777" w:rsidR="004647B9" w:rsidRDefault="004647B9">
      <w:pPr>
        <w:spacing w:line="235" w:lineRule="exact"/>
        <w:rPr>
          <w:sz w:val="20"/>
          <w:szCs w:val="20"/>
        </w:rPr>
      </w:pPr>
    </w:p>
    <w:p w14:paraId="2819D02C" w14:textId="19A3482D" w:rsidR="004647B9" w:rsidRDefault="00E2436F">
      <w:pPr>
        <w:tabs>
          <w:tab w:val="left" w:pos="2540"/>
        </w:tabs>
        <w:ind w:left="1040"/>
        <w:rPr>
          <w:sz w:val="20"/>
          <w:szCs w:val="20"/>
        </w:rPr>
      </w:pPr>
      <w:r>
        <w:rPr>
          <w:rFonts w:eastAsia="Times New Roman"/>
          <w:sz w:val="18"/>
          <w:szCs w:val="18"/>
        </w:rPr>
        <w:t>21,501 to 25,000</w:t>
      </w:r>
      <w:r>
        <w:rPr>
          <w:rFonts w:eastAsia="Times New Roman"/>
          <w:sz w:val="18"/>
          <w:szCs w:val="18"/>
        </w:rPr>
        <w:tab/>
      </w:r>
      <w:r w:rsidR="00627A30">
        <w:rPr>
          <w:rFonts w:eastAsia="Times New Roman"/>
          <w:sz w:val="18"/>
          <w:szCs w:val="18"/>
        </w:rPr>
        <w:tab/>
        <w:t xml:space="preserve">. . </w:t>
      </w:r>
      <w:r>
        <w:rPr>
          <w:rFonts w:eastAsia="Times New Roman"/>
          <w:sz w:val="18"/>
          <w:szCs w:val="18"/>
        </w:rPr>
        <w:t>. . . . . . . . . . . . . . . . . . . . . . . . . . . . . . . . . . . . . . . . . . . . . . . . . . . . . . . . . . 25</w:t>
      </w:r>
    </w:p>
    <w:p w14:paraId="2819D02D" w14:textId="77777777" w:rsidR="004647B9" w:rsidRDefault="004647B9">
      <w:pPr>
        <w:spacing w:line="237" w:lineRule="exact"/>
        <w:rPr>
          <w:sz w:val="20"/>
          <w:szCs w:val="20"/>
        </w:rPr>
      </w:pPr>
    </w:p>
    <w:p w14:paraId="2819D02E" w14:textId="4EB05200" w:rsidR="004647B9" w:rsidRDefault="00E2436F">
      <w:pPr>
        <w:tabs>
          <w:tab w:val="left" w:pos="2540"/>
        </w:tabs>
        <w:ind w:left="1040"/>
        <w:rPr>
          <w:sz w:val="20"/>
          <w:szCs w:val="20"/>
        </w:rPr>
      </w:pPr>
      <w:r>
        <w:rPr>
          <w:rFonts w:eastAsia="Times New Roman"/>
          <w:sz w:val="18"/>
          <w:szCs w:val="18"/>
        </w:rPr>
        <w:t>25,001 to 33,000</w:t>
      </w:r>
      <w:r>
        <w:rPr>
          <w:rFonts w:eastAsia="Times New Roman"/>
          <w:sz w:val="18"/>
          <w:szCs w:val="18"/>
        </w:rPr>
        <w:tab/>
      </w:r>
      <w:r w:rsidR="00C84A81">
        <w:rPr>
          <w:rFonts w:eastAsia="Times New Roman"/>
          <w:sz w:val="18"/>
          <w:szCs w:val="18"/>
        </w:rPr>
        <w:tab/>
        <w:t>. .</w:t>
      </w:r>
      <w:r w:rsidR="00C84A81" w:rsidRPr="00C84A81">
        <w:rPr>
          <w:rFonts w:eastAsia="Times New Roman"/>
          <w:sz w:val="18"/>
          <w:szCs w:val="18"/>
        </w:rPr>
        <w:t xml:space="preserve"> </w:t>
      </w:r>
      <w:r>
        <w:rPr>
          <w:rFonts w:eastAsia="Times New Roman"/>
          <w:sz w:val="18"/>
          <w:szCs w:val="18"/>
        </w:rPr>
        <w:t>. . . . . . . . . . . . . . . . . . . . . . . . . . . . . . . . . . . . . . . . . . . . . . . . . . . . . . . . . . 30</w:t>
      </w:r>
    </w:p>
    <w:p w14:paraId="2819D02F" w14:textId="77777777" w:rsidR="004647B9" w:rsidRDefault="004647B9">
      <w:pPr>
        <w:spacing w:line="235" w:lineRule="exact"/>
        <w:rPr>
          <w:sz w:val="20"/>
          <w:szCs w:val="20"/>
        </w:rPr>
      </w:pPr>
    </w:p>
    <w:p w14:paraId="2819D030" w14:textId="621F4BCF" w:rsidR="004647B9" w:rsidRDefault="00E2436F">
      <w:pPr>
        <w:tabs>
          <w:tab w:val="left" w:pos="2540"/>
        </w:tabs>
        <w:ind w:left="1040"/>
        <w:rPr>
          <w:sz w:val="20"/>
          <w:szCs w:val="20"/>
        </w:rPr>
      </w:pPr>
      <w:r>
        <w:rPr>
          <w:rFonts w:eastAsia="Times New Roman"/>
          <w:sz w:val="18"/>
          <w:szCs w:val="18"/>
        </w:rPr>
        <w:t>33,001 to 41,000</w:t>
      </w:r>
      <w:r>
        <w:rPr>
          <w:rFonts w:eastAsia="Times New Roman"/>
          <w:sz w:val="18"/>
          <w:szCs w:val="18"/>
        </w:rPr>
        <w:tab/>
      </w:r>
      <w:r w:rsidR="00C84A81">
        <w:rPr>
          <w:rFonts w:eastAsia="Times New Roman"/>
          <w:sz w:val="18"/>
          <w:szCs w:val="18"/>
        </w:rPr>
        <w:tab/>
        <w:t>. .</w:t>
      </w:r>
      <w:r w:rsidR="00C84A81" w:rsidRPr="00C84A81">
        <w:rPr>
          <w:rFonts w:eastAsia="Times New Roman"/>
          <w:sz w:val="18"/>
          <w:szCs w:val="18"/>
        </w:rPr>
        <w:t xml:space="preserve"> </w:t>
      </w:r>
      <w:r>
        <w:rPr>
          <w:rFonts w:eastAsia="Times New Roman"/>
          <w:sz w:val="18"/>
          <w:szCs w:val="18"/>
        </w:rPr>
        <w:t>. . . . . . . . . . . . . . . . . . . . . . . . . . . . . . . . . . . . . . . . . . . . . . . . . . . . . . . . . . 40</w:t>
      </w:r>
    </w:p>
    <w:p w14:paraId="2819D031" w14:textId="77777777" w:rsidR="004647B9" w:rsidRDefault="004647B9">
      <w:pPr>
        <w:spacing w:line="237" w:lineRule="exact"/>
        <w:rPr>
          <w:sz w:val="20"/>
          <w:szCs w:val="20"/>
        </w:rPr>
      </w:pPr>
    </w:p>
    <w:p w14:paraId="2819D032" w14:textId="4C394875" w:rsidR="004647B9" w:rsidRDefault="00E2436F">
      <w:pPr>
        <w:tabs>
          <w:tab w:val="left" w:pos="2540"/>
        </w:tabs>
        <w:ind w:left="1040"/>
        <w:rPr>
          <w:sz w:val="20"/>
          <w:szCs w:val="20"/>
        </w:rPr>
      </w:pPr>
      <w:r>
        <w:rPr>
          <w:rFonts w:eastAsia="Times New Roman"/>
          <w:sz w:val="18"/>
          <w:szCs w:val="18"/>
        </w:rPr>
        <w:t>41,001 to 50,000</w:t>
      </w:r>
      <w:r>
        <w:rPr>
          <w:rFonts w:eastAsia="Times New Roman"/>
          <w:sz w:val="18"/>
          <w:szCs w:val="18"/>
        </w:rPr>
        <w:tab/>
      </w:r>
      <w:r w:rsidR="00C84A81">
        <w:rPr>
          <w:rFonts w:eastAsia="Times New Roman"/>
          <w:sz w:val="18"/>
          <w:szCs w:val="18"/>
        </w:rPr>
        <w:tab/>
      </w:r>
      <w:r w:rsidR="005B3491">
        <w:rPr>
          <w:rFonts w:eastAsia="Times New Roman"/>
          <w:sz w:val="18"/>
          <w:szCs w:val="18"/>
        </w:rPr>
        <w:t>. .</w:t>
      </w:r>
      <w:r w:rsidR="005B3491" w:rsidRPr="00C84A81">
        <w:rPr>
          <w:rFonts w:eastAsia="Times New Roman"/>
          <w:sz w:val="18"/>
          <w:szCs w:val="18"/>
        </w:rPr>
        <w:t xml:space="preserve"> </w:t>
      </w:r>
      <w:r w:rsidR="005B3491">
        <w:rPr>
          <w:rFonts w:eastAsia="Times New Roman"/>
          <w:sz w:val="18"/>
          <w:szCs w:val="18"/>
        </w:rPr>
        <w:t xml:space="preserve">. . . . . . . . . . . . . . . . . . . . . . . . . . . . . . . . . . . . . . . . . . . . . . . . . . . . . . . . . . </w:t>
      </w:r>
      <w:r>
        <w:rPr>
          <w:rFonts w:eastAsia="Times New Roman"/>
          <w:sz w:val="18"/>
          <w:szCs w:val="18"/>
        </w:rPr>
        <w:t>50</w:t>
      </w:r>
    </w:p>
    <w:p w14:paraId="2819D033" w14:textId="77777777" w:rsidR="004647B9" w:rsidRDefault="004647B9">
      <w:pPr>
        <w:spacing w:line="235" w:lineRule="exact"/>
        <w:rPr>
          <w:sz w:val="20"/>
          <w:szCs w:val="20"/>
        </w:rPr>
      </w:pPr>
    </w:p>
    <w:p w14:paraId="2819D034" w14:textId="7847FB73" w:rsidR="004647B9" w:rsidRDefault="00E2436F">
      <w:pPr>
        <w:tabs>
          <w:tab w:val="left" w:pos="2540"/>
        </w:tabs>
        <w:ind w:left="1040"/>
        <w:rPr>
          <w:sz w:val="20"/>
          <w:szCs w:val="20"/>
        </w:rPr>
      </w:pPr>
      <w:r>
        <w:rPr>
          <w:rFonts w:eastAsia="Times New Roman"/>
          <w:sz w:val="18"/>
          <w:szCs w:val="18"/>
        </w:rPr>
        <w:t>50,001 to 59,000</w:t>
      </w:r>
      <w:r>
        <w:rPr>
          <w:rFonts w:eastAsia="Times New Roman"/>
          <w:sz w:val="18"/>
          <w:szCs w:val="18"/>
        </w:rPr>
        <w:tab/>
      </w:r>
      <w:r w:rsidR="005B3491">
        <w:rPr>
          <w:rFonts w:eastAsia="Times New Roman"/>
          <w:sz w:val="18"/>
          <w:szCs w:val="18"/>
        </w:rPr>
        <w:tab/>
        <w:t>. .</w:t>
      </w:r>
      <w:r w:rsidR="005B3491" w:rsidRPr="00C84A81">
        <w:rPr>
          <w:rFonts w:eastAsia="Times New Roman"/>
          <w:sz w:val="18"/>
          <w:szCs w:val="18"/>
        </w:rPr>
        <w:t xml:space="preserve"> </w:t>
      </w:r>
      <w:r w:rsidR="005B3491">
        <w:rPr>
          <w:rFonts w:eastAsia="Times New Roman"/>
          <w:sz w:val="18"/>
          <w:szCs w:val="18"/>
        </w:rPr>
        <w:t>. . . . . . . . . . . . . . . . . . . . . . . . . . . . . . . . . . . . . . . . . . . . . . . . . . . . . . . . . .</w:t>
      </w:r>
      <w:r>
        <w:rPr>
          <w:rFonts w:eastAsia="Times New Roman"/>
          <w:sz w:val="18"/>
          <w:szCs w:val="18"/>
        </w:rPr>
        <w:t xml:space="preserve"> 60</w:t>
      </w:r>
    </w:p>
    <w:p w14:paraId="2819D035" w14:textId="77777777" w:rsidR="004647B9" w:rsidRDefault="004647B9">
      <w:pPr>
        <w:spacing w:line="237" w:lineRule="exact"/>
        <w:rPr>
          <w:sz w:val="20"/>
          <w:szCs w:val="20"/>
        </w:rPr>
      </w:pPr>
    </w:p>
    <w:p w14:paraId="2819D036" w14:textId="640281E6" w:rsidR="004647B9" w:rsidRDefault="00E2436F">
      <w:pPr>
        <w:tabs>
          <w:tab w:val="left" w:pos="2540"/>
        </w:tabs>
        <w:ind w:left="1040"/>
        <w:rPr>
          <w:sz w:val="20"/>
          <w:szCs w:val="20"/>
        </w:rPr>
      </w:pPr>
      <w:r>
        <w:rPr>
          <w:rFonts w:eastAsia="Times New Roman"/>
          <w:sz w:val="18"/>
          <w:szCs w:val="18"/>
        </w:rPr>
        <w:t>59,001 to 70,000</w:t>
      </w:r>
      <w:r>
        <w:rPr>
          <w:rFonts w:eastAsia="Times New Roman"/>
          <w:sz w:val="18"/>
          <w:szCs w:val="18"/>
        </w:rPr>
        <w:tab/>
      </w:r>
      <w:r w:rsidR="005B3491">
        <w:rPr>
          <w:rFonts w:eastAsia="Times New Roman"/>
          <w:sz w:val="18"/>
          <w:szCs w:val="18"/>
        </w:rPr>
        <w:tab/>
        <w:t>. .</w:t>
      </w:r>
      <w:r w:rsidR="005B3491" w:rsidRPr="00C84A81">
        <w:rPr>
          <w:rFonts w:eastAsia="Times New Roman"/>
          <w:sz w:val="18"/>
          <w:szCs w:val="18"/>
        </w:rPr>
        <w:t xml:space="preserve"> </w:t>
      </w:r>
      <w:r w:rsidR="005B3491">
        <w:rPr>
          <w:rFonts w:eastAsia="Times New Roman"/>
          <w:sz w:val="18"/>
          <w:szCs w:val="18"/>
        </w:rPr>
        <w:t>. . . . . . . . . . . . . . . . . . . . . . . . . . . . . . . . . . . . . . . . . . . . . . . . . . . . . . . . . .</w:t>
      </w:r>
      <w:r>
        <w:rPr>
          <w:rFonts w:eastAsia="Times New Roman"/>
          <w:sz w:val="18"/>
          <w:szCs w:val="18"/>
        </w:rPr>
        <w:t xml:space="preserve"> 70</w:t>
      </w:r>
    </w:p>
    <w:p w14:paraId="2819D037" w14:textId="77777777" w:rsidR="004647B9" w:rsidRDefault="004647B9">
      <w:pPr>
        <w:spacing w:line="235" w:lineRule="exact"/>
        <w:rPr>
          <w:sz w:val="20"/>
          <w:szCs w:val="20"/>
        </w:rPr>
      </w:pPr>
    </w:p>
    <w:p w14:paraId="2819D038" w14:textId="6937F045" w:rsidR="004647B9" w:rsidRDefault="00E2436F">
      <w:pPr>
        <w:tabs>
          <w:tab w:val="left" w:pos="2540"/>
        </w:tabs>
        <w:ind w:left="1040"/>
        <w:rPr>
          <w:sz w:val="20"/>
          <w:szCs w:val="20"/>
        </w:rPr>
      </w:pPr>
      <w:r>
        <w:rPr>
          <w:rFonts w:eastAsia="Times New Roman"/>
          <w:sz w:val="18"/>
          <w:szCs w:val="18"/>
        </w:rPr>
        <w:t>70,001 to 83,000</w:t>
      </w:r>
      <w:r>
        <w:rPr>
          <w:rFonts w:eastAsia="Times New Roman"/>
          <w:sz w:val="18"/>
          <w:szCs w:val="18"/>
        </w:rPr>
        <w:tab/>
      </w:r>
      <w:r w:rsidR="005B3491">
        <w:rPr>
          <w:rFonts w:eastAsia="Times New Roman"/>
          <w:sz w:val="18"/>
          <w:szCs w:val="18"/>
        </w:rPr>
        <w:tab/>
        <w:t>. .</w:t>
      </w:r>
      <w:r w:rsidR="005B3491" w:rsidRPr="00C84A81">
        <w:rPr>
          <w:rFonts w:eastAsia="Times New Roman"/>
          <w:sz w:val="18"/>
          <w:szCs w:val="18"/>
        </w:rPr>
        <w:t xml:space="preserve"> </w:t>
      </w:r>
      <w:r w:rsidR="005B3491">
        <w:rPr>
          <w:rFonts w:eastAsia="Times New Roman"/>
          <w:sz w:val="18"/>
          <w:szCs w:val="18"/>
        </w:rPr>
        <w:t>. . . . . . . . . . . . . . . . . . . . . . . . . . . . . . . . . . . . . . . . . . . . . . . . . . . . . . . . . .</w:t>
      </w:r>
      <w:r>
        <w:rPr>
          <w:rFonts w:eastAsia="Times New Roman"/>
          <w:sz w:val="18"/>
          <w:szCs w:val="18"/>
        </w:rPr>
        <w:t xml:space="preserve"> 80</w:t>
      </w:r>
    </w:p>
    <w:p w14:paraId="2819D039" w14:textId="77777777" w:rsidR="004647B9" w:rsidRDefault="004647B9">
      <w:pPr>
        <w:spacing w:line="237" w:lineRule="exact"/>
        <w:rPr>
          <w:sz w:val="20"/>
          <w:szCs w:val="20"/>
        </w:rPr>
      </w:pPr>
    </w:p>
    <w:p w14:paraId="2819D03A" w14:textId="1F14B500" w:rsidR="004647B9" w:rsidRDefault="00E2436F">
      <w:pPr>
        <w:tabs>
          <w:tab w:val="left" w:pos="2540"/>
        </w:tabs>
        <w:ind w:left="1040"/>
        <w:rPr>
          <w:sz w:val="20"/>
          <w:szCs w:val="20"/>
        </w:rPr>
      </w:pPr>
      <w:r>
        <w:rPr>
          <w:rFonts w:eastAsia="Times New Roman"/>
          <w:sz w:val="18"/>
          <w:szCs w:val="18"/>
        </w:rPr>
        <w:t>83,001 to 96,000</w:t>
      </w:r>
      <w:r>
        <w:rPr>
          <w:rFonts w:eastAsia="Times New Roman"/>
          <w:sz w:val="18"/>
          <w:szCs w:val="18"/>
        </w:rPr>
        <w:tab/>
      </w:r>
      <w:r w:rsidR="005B3491">
        <w:rPr>
          <w:rFonts w:eastAsia="Times New Roman"/>
          <w:sz w:val="18"/>
          <w:szCs w:val="18"/>
        </w:rPr>
        <w:tab/>
        <w:t>. .</w:t>
      </w:r>
      <w:r w:rsidR="005B3491" w:rsidRPr="00C84A81">
        <w:rPr>
          <w:rFonts w:eastAsia="Times New Roman"/>
          <w:sz w:val="18"/>
          <w:szCs w:val="18"/>
        </w:rPr>
        <w:t xml:space="preserve"> </w:t>
      </w:r>
      <w:r w:rsidR="005B3491">
        <w:rPr>
          <w:rFonts w:eastAsia="Times New Roman"/>
          <w:sz w:val="18"/>
          <w:szCs w:val="18"/>
        </w:rPr>
        <w:t>. . . . . . . . . . . . . . . . . . . . . . . . . . . . . . . . . . . . . . . . . . . . . . . . . . . . . . . . . .</w:t>
      </w:r>
      <w:r>
        <w:rPr>
          <w:rFonts w:eastAsia="Times New Roman"/>
          <w:sz w:val="18"/>
          <w:szCs w:val="18"/>
        </w:rPr>
        <w:t xml:space="preserve"> 90</w:t>
      </w:r>
    </w:p>
    <w:p w14:paraId="2819D03B" w14:textId="77777777" w:rsidR="004647B9" w:rsidRDefault="004647B9">
      <w:pPr>
        <w:spacing w:line="235" w:lineRule="exact"/>
        <w:rPr>
          <w:sz w:val="20"/>
          <w:szCs w:val="20"/>
        </w:rPr>
      </w:pPr>
    </w:p>
    <w:p w14:paraId="2819D03C" w14:textId="3E689052" w:rsidR="004647B9" w:rsidRDefault="00E2436F">
      <w:pPr>
        <w:tabs>
          <w:tab w:val="left" w:pos="2640"/>
        </w:tabs>
        <w:ind w:left="1040"/>
        <w:rPr>
          <w:sz w:val="20"/>
          <w:szCs w:val="20"/>
        </w:rPr>
      </w:pPr>
      <w:r>
        <w:rPr>
          <w:rFonts w:eastAsia="Times New Roman"/>
          <w:sz w:val="18"/>
          <w:szCs w:val="18"/>
        </w:rPr>
        <w:t>96,001 to 130,000</w:t>
      </w:r>
      <w:r>
        <w:rPr>
          <w:rFonts w:eastAsia="Times New Roman"/>
          <w:sz w:val="18"/>
          <w:szCs w:val="18"/>
        </w:rPr>
        <w:tab/>
      </w:r>
      <w:r w:rsidR="005B3491">
        <w:rPr>
          <w:rFonts w:eastAsia="Times New Roman"/>
          <w:sz w:val="18"/>
          <w:szCs w:val="18"/>
        </w:rPr>
        <w:tab/>
        <w:t>. .</w:t>
      </w:r>
      <w:r w:rsidR="005B3491" w:rsidRPr="00C84A81">
        <w:rPr>
          <w:rFonts w:eastAsia="Times New Roman"/>
          <w:sz w:val="18"/>
          <w:szCs w:val="18"/>
        </w:rPr>
        <w:t xml:space="preserve"> </w:t>
      </w:r>
      <w:r w:rsidR="005B3491">
        <w:rPr>
          <w:rFonts w:eastAsia="Times New Roman"/>
          <w:sz w:val="18"/>
          <w:szCs w:val="18"/>
        </w:rPr>
        <w:t xml:space="preserve">. . . . . . . . . . . . . . . . . . . . . . . . . . . . . . . . . . . . . . . . . . . . . . . . . . . . . . . . . </w:t>
      </w:r>
      <w:r>
        <w:rPr>
          <w:rFonts w:eastAsia="Times New Roman"/>
          <w:sz w:val="18"/>
          <w:szCs w:val="18"/>
        </w:rPr>
        <w:t>100</w:t>
      </w:r>
    </w:p>
    <w:p w14:paraId="2819D03D" w14:textId="77777777" w:rsidR="004647B9" w:rsidRDefault="004647B9">
      <w:pPr>
        <w:spacing w:line="237" w:lineRule="exact"/>
        <w:rPr>
          <w:sz w:val="20"/>
          <w:szCs w:val="20"/>
        </w:rPr>
      </w:pPr>
    </w:p>
    <w:p w14:paraId="2819D03E" w14:textId="6E60035D" w:rsidR="004647B9" w:rsidRDefault="00E2436F">
      <w:pPr>
        <w:tabs>
          <w:tab w:val="left" w:pos="2740"/>
        </w:tabs>
        <w:ind w:left="1040"/>
        <w:rPr>
          <w:sz w:val="20"/>
          <w:szCs w:val="20"/>
        </w:rPr>
      </w:pPr>
      <w:r>
        <w:rPr>
          <w:rFonts w:eastAsia="Times New Roman"/>
          <w:sz w:val="18"/>
          <w:szCs w:val="18"/>
        </w:rPr>
        <w:t>130,001 to 220,000</w:t>
      </w:r>
      <w:r>
        <w:rPr>
          <w:rFonts w:eastAsia="Times New Roman"/>
          <w:sz w:val="18"/>
          <w:szCs w:val="18"/>
        </w:rPr>
        <w:tab/>
      </w:r>
      <w:r w:rsidR="005374F5">
        <w:rPr>
          <w:rFonts w:eastAsia="Times New Roman"/>
          <w:sz w:val="18"/>
          <w:szCs w:val="18"/>
        </w:rPr>
        <w:tab/>
        <w:t>. .</w:t>
      </w:r>
      <w:r w:rsidR="005374F5" w:rsidRPr="00C84A81">
        <w:rPr>
          <w:rFonts w:eastAsia="Times New Roman"/>
          <w:sz w:val="18"/>
          <w:szCs w:val="18"/>
        </w:rPr>
        <w:t xml:space="preserve"> </w:t>
      </w:r>
      <w:r w:rsidR="005374F5">
        <w:rPr>
          <w:rFonts w:eastAsia="Times New Roman"/>
          <w:sz w:val="18"/>
          <w:szCs w:val="18"/>
        </w:rPr>
        <w:t xml:space="preserve">. . . . . . . . . . . . . . . . . . . . . . . . . . . . . . . . . . . . . . . . . . . . . . . . . . . . . . . . . </w:t>
      </w:r>
      <w:r>
        <w:rPr>
          <w:rFonts w:eastAsia="Times New Roman"/>
          <w:sz w:val="18"/>
          <w:szCs w:val="18"/>
        </w:rPr>
        <w:t>120</w:t>
      </w:r>
    </w:p>
    <w:p w14:paraId="2819D03F" w14:textId="77777777" w:rsidR="004647B9" w:rsidRDefault="004647B9">
      <w:pPr>
        <w:spacing w:line="235" w:lineRule="exact"/>
        <w:rPr>
          <w:sz w:val="20"/>
          <w:szCs w:val="20"/>
        </w:rPr>
      </w:pPr>
    </w:p>
    <w:p w14:paraId="2819D040" w14:textId="425DA675" w:rsidR="004647B9" w:rsidRDefault="00E2436F">
      <w:pPr>
        <w:tabs>
          <w:tab w:val="left" w:pos="2740"/>
        </w:tabs>
        <w:ind w:left="1040"/>
        <w:rPr>
          <w:sz w:val="20"/>
          <w:szCs w:val="20"/>
        </w:rPr>
      </w:pPr>
      <w:r>
        <w:rPr>
          <w:rFonts w:eastAsia="Times New Roman"/>
          <w:sz w:val="18"/>
          <w:szCs w:val="18"/>
        </w:rPr>
        <w:t>220,001 to 320,000</w:t>
      </w:r>
      <w:r>
        <w:rPr>
          <w:rFonts w:eastAsia="Times New Roman"/>
          <w:sz w:val="18"/>
          <w:szCs w:val="18"/>
        </w:rPr>
        <w:tab/>
      </w:r>
      <w:r w:rsidR="005374F5">
        <w:rPr>
          <w:rFonts w:eastAsia="Times New Roman"/>
          <w:sz w:val="18"/>
          <w:szCs w:val="18"/>
        </w:rPr>
        <w:tab/>
        <w:t>. .</w:t>
      </w:r>
      <w:r w:rsidR="005374F5" w:rsidRPr="00C84A81">
        <w:rPr>
          <w:rFonts w:eastAsia="Times New Roman"/>
          <w:sz w:val="18"/>
          <w:szCs w:val="18"/>
        </w:rPr>
        <w:t xml:space="preserve"> </w:t>
      </w:r>
      <w:r w:rsidR="005374F5">
        <w:rPr>
          <w:rFonts w:eastAsia="Times New Roman"/>
          <w:sz w:val="18"/>
          <w:szCs w:val="18"/>
        </w:rPr>
        <w:t xml:space="preserve">. . . . . . . . . . . . . . . . . . . . . . . . . . . . . . . . . . . . . . . . . . . . . . . . . . . . . . . . . </w:t>
      </w:r>
      <w:r>
        <w:rPr>
          <w:rFonts w:eastAsia="Times New Roman"/>
          <w:sz w:val="18"/>
          <w:szCs w:val="18"/>
        </w:rPr>
        <w:t>150</w:t>
      </w:r>
    </w:p>
    <w:p w14:paraId="2819D041" w14:textId="77777777" w:rsidR="004647B9" w:rsidRDefault="004647B9">
      <w:pPr>
        <w:spacing w:line="237" w:lineRule="exact"/>
        <w:rPr>
          <w:sz w:val="20"/>
          <w:szCs w:val="20"/>
        </w:rPr>
      </w:pPr>
    </w:p>
    <w:p w14:paraId="2819D042" w14:textId="445FC718" w:rsidR="004647B9" w:rsidRDefault="00E2436F">
      <w:pPr>
        <w:tabs>
          <w:tab w:val="left" w:pos="2740"/>
        </w:tabs>
        <w:ind w:left="1040"/>
        <w:rPr>
          <w:sz w:val="20"/>
          <w:szCs w:val="20"/>
        </w:rPr>
      </w:pPr>
      <w:r>
        <w:rPr>
          <w:rFonts w:eastAsia="Times New Roman"/>
          <w:sz w:val="18"/>
          <w:szCs w:val="18"/>
        </w:rPr>
        <w:t>320,001 to 450,000</w:t>
      </w:r>
      <w:r>
        <w:rPr>
          <w:rFonts w:eastAsia="Times New Roman"/>
          <w:sz w:val="18"/>
          <w:szCs w:val="18"/>
        </w:rPr>
        <w:tab/>
      </w:r>
      <w:r w:rsidR="005374F5">
        <w:rPr>
          <w:rFonts w:eastAsia="Times New Roman"/>
          <w:sz w:val="18"/>
          <w:szCs w:val="18"/>
        </w:rPr>
        <w:tab/>
        <w:t>. .</w:t>
      </w:r>
      <w:r w:rsidR="005374F5" w:rsidRPr="00C84A81">
        <w:rPr>
          <w:rFonts w:eastAsia="Times New Roman"/>
          <w:sz w:val="18"/>
          <w:szCs w:val="18"/>
        </w:rPr>
        <w:t xml:space="preserve"> </w:t>
      </w:r>
      <w:r w:rsidR="005374F5">
        <w:rPr>
          <w:rFonts w:eastAsia="Times New Roman"/>
          <w:sz w:val="18"/>
          <w:szCs w:val="18"/>
        </w:rPr>
        <w:t xml:space="preserve">. . . . . . . . . . . . . . . . . . . . . . . . . . . . . . . . . . . . . . . . . . . . . . . . . . . . . . . . . </w:t>
      </w:r>
      <w:r>
        <w:rPr>
          <w:rFonts w:eastAsia="Times New Roman"/>
          <w:sz w:val="18"/>
          <w:szCs w:val="18"/>
        </w:rPr>
        <w:t>180</w:t>
      </w:r>
    </w:p>
    <w:p w14:paraId="2819D043" w14:textId="77777777" w:rsidR="004647B9" w:rsidRDefault="004647B9">
      <w:pPr>
        <w:spacing w:line="235" w:lineRule="exact"/>
        <w:rPr>
          <w:sz w:val="20"/>
          <w:szCs w:val="20"/>
        </w:rPr>
      </w:pPr>
    </w:p>
    <w:p w14:paraId="2819D044" w14:textId="2BA0B92F" w:rsidR="004647B9" w:rsidRDefault="00E2436F">
      <w:pPr>
        <w:tabs>
          <w:tab w:val="left" w:pos="2740"/>
        </w:tabs>
        <w:ind w:left="1040"/>
        <w:rPr>
          <w:sz w:val="20"/>
          <w:szCs w:val="20"/>
        </w:rPr>
      </w:pPr>
      <w:r>
        <w:rPr>
          <w:rFonts w:eastAsia="Times New Roman"/>
          <w:sz w:val="18"/>
          <w:szCs w:val="18"/>
        </w:rPr>
        <w:t>450,001 to 600,000</w:t>
      </w:r>
      <w:r>
        <w:rPr>
          <w:rFonts w:eastAsia="Times New Roman"/>
          <w:sz w:val="18"/>
          <w:szCs w:val="18"/>
        </w:rPr>
        <w:tab/>
      </w:r>
      <w:r w:rsidR="005374F5">
        <w:rPr>
          <w:rFonts w:eastAsia="Times New Roman"/>
          <w:sz w:val="18"/>
          <w:szCs w:val="18"/>
        </w:rPr>
        <w:tab/>
        <w:t>. .</w:t>
      </w:r>
      <w:r w:rsidR="005374F5" w:rsidRPr="00C84A81">
        <w:rPr>
          <w:rFonts w:eastAsia="Times New Roman"/>
          <w:sz w:val="18"/>
          <w:szCs w:val="18"/>
        </w:rPr>
        <w:t xml:space="preserve"> </w:t>
      </w:r>
      <w:r w:rsidR="005374F5">
        <w:rPr>
          <w:rFonts w:eastAsia="Times New Roman"/>
          <w:sz w:val="18"/>
          <w:szCs w:val="18"/>
        </w:rPr>
        <w:t xml:space="preserve">. . . . . . . . . . . . . . . . . . . . . . . . . . . . . . . . . . . . . . . . . . . . . . . . . . . . . . . . . </w:t>
      </w:r>
      <w:r>
        <w:rPr>
          <w:rFonts w:eastAsia="Times New Roman"/>
          <w:sz w:val="18"/>
          <w:szCs w:val="18"/>
        </w:rPr>
        <w:t>210</w:t>
      </w:r>
    </w:p>
    <w:p w14:paraId="2819D045" w14:textId="77777777" w:rsidR="004647B9" w:rsidRDefault="004647B9">
      <w:pPr>
        <w:spacing w:line="237" w:lineRule="exact"/>
        <w:rPr>
          <w:sz w:val="20"/>
          <w:szCs w:val="20"/>
        </w:rPr>
      </w:pPr>
    </w:p>
    <w:p w14:paraId="2819D046" w14:textId="06F81FCF" w:rsidR="004647B9" w:rsidRDefault="00E2436F">
      <w:pPr>
        <w:tabs>
          <w:tab w:val="left" w:pos="2740"/>
        </w:tabs>
        <w:ind w:left="1040"/>
        <w:rPr>
          <w:sz w:val="20"/>
          <w:szCs w:val="20"/>
        </w:rPr>
      </w:pPr>
      <w:r>
        <w:rPr>
          <w:rFonts w:eastAsia="Times New Roman"/>
          <w:sz w:val="18"/>
          <w:szCs w:val="18"/>
        </w:rPr>
        <w:t>600,001 to 780,000</w:t>
      </w:r>
      <w:r>
        <w:rPr>
          <w:rFonts w:eastAsia="Times New Roman"/>
          <w:sz w:val="18"/>
          <w:szCs w:val="18"/>
        </w:rPr>
        <w:tab/>
      </w:r>
      <w:r w:rsidR="005374F5">
        <w:rPr>
          <w:rFonts w:eastAsia="Times New Roman"/>
          <w:sz w:val="18"/>
          <w:szCs w:val="18"/>
        </w:rPr>
        <w:tab/>
        <w:t>. .</w:t>
      </w:r>
      <w:r w:rsidR="005374F5" w:rsidRPr="00C84A81">
        <w:rPr>
          <w:rFonts w:eastAsia="Times New Roman"/>
          <w:sz w:val="18"/>
          <w:szCs w:val="18"/>
        </w:rPr>
        <w:t xml:space="preserve"> </w:t>
      </w:r>
      <w:r w:rsidR="005374F5">
        <w:rPr>
          <w:rFonts w:eastAsia="Times New Roman"/>
          <w:sz w:val="18"/>
          <w:szCs w:val="18"/>
        </w:rPr>
        <w:t xml:space="preserve">. . . . . . . . . . . . . . . . . . . . . . . . . . . . . . . . . . . . . . . . . . . . . . . . . . . . . . . . . </w:t>
      </w:r>
      <w:r>
        <w:rPr>
          <w:rFonts w:eastAsia="Times New Roman"/>
          <w:sz w:val="18"/>
          <w:szCs w:val="18"/>
        </w:rPr>
        <w:t>240</w:t>
      </w:r>
    </w:p>
    <w:p w14:paraId="2819D047" w14:textId="77777777" w:rsidR="004647B9" w:rsidRDefault="004647B9">
      <w:pPr>
        <w:spacing w:line="235" w:lineRule="exact"/>
        <w:rPr>
          <w:sz w:val="20"/>
          <w:szCs w:val="20"/>
        </w:rPr>
      </w:pPr>
    </w:p>
    <w:p w14:paraId="2819D048" w14:textId="7B1F09D0" w:rsidR="004647B9" w:rsidRDefault="00E2436F">
      <w:pPr>
        <w:tabs>
          <w:tab w:val="left" w:pos="2740"/>
        </w:tabs>
        <w:ind w:left="1040"/>
        <w:rPr>
          <w:sz w:val="20"/>
          <w:szCs w:val="20"/>
        </w:rPr>
      </w:pPr>
      <w:r>
        <w:rPr>
          <w:rFonts w:eastAsia="Times New Roman"/>
          <w:sz w:val="18"/>
          <w:szCs w:val="18"/>
        </w:rPr>
        <w:t>780,001 to 970,000</w:t>
      </w:r>
      <w:r>
        <w:rPr>
          <w:rFonts w:eastAsia="Times New Roman"/>
          <w:sz w:val="18"/>
          <w:szCs w:val="18"/>
        </w:rPr>
        <w:tab/>
      </w:r>
      <w:r w:rsidR="005374F5">
        <w:rPr>
          <w:rFonts w:eastAsia="Times New Roman"/>
          <w:sz w:val="18"/>
          <w:szCs w:val="18"/>
        </w:rPr>
        <w:tab/>
        <w:t>. .</w:t>
      </w:r>
      <w:r w:rsidR="005374F5" w:rsidRPr="00C84A81">
        <w:rPr>
          <w:rFonts w:eastAsia="Times New Roman"/>
          <w:sz w:val="18"/>
          <w:szCs w:val="18"/>
        </w:rPr>
        <w:t xml:space="preserve"> </w:t>
      </w:r>
      <w:r w:rsidR="005374F5">
        <w:rPr>
          <w:rFonts w:eastAsia="Times New Roman"/>
          <w:sz w:val="18"/>
          <w:szCs w:val="18"/>
        </w:rPr>
        <w:t xml:space="preserve">. . . . . . . . . . . . . . . . . . . . . . . . . . . . . . . . . . . . . . . . . . . . . . . . . . . . . . . . . </w:t>
      </w:r>
      <w:r>
        <w:rPr>
          <w:rFonts w:eastAsia="Times New Roman"/>
          <w:sz w:val="18"/>
          <w:szCs w:val="18"/>
        </w:rPr>
        <w:t>270</w:t>
      </w:r>
    </w:p>
    <w:p w14:paraId="2819D049" w14:textId="77777777" w:rsidR="004647B9" w:rsidRDefault="004647B9">
      <w:pPr>
        <w:spacing w:line="237" w:lineRule="exact"/>
        <w:rPr>
          <w:sz w:val="20"/>
          <w:szCs w:val="20"/>
        </w:rPr>
      </w:pPr>
    </w:p>
    <w:p w14:paraId="2819D04A" w14:textId="60C55770" w:rsidR="004647B9" w:rsidRDefault="00E2436F">
      <w:pPr>
        <w:ind w:left="1040"/>
        <w:rPr>
          <w:sz w:val="20"/>
          <w:szCs w:val="20"/>
        </w:rPr>
      </w:pPr>
      <w:r>
        <w:rPr>
          <w:rFonts w:eastAsia="Times New Roman"/>
          <w:sz w:val="18"/>
          <w:szCs w:val="18"/>
        </w:rPr>
        <w:t>970,001 to 1,230,000</w:t>
      </w:r>
      <w:r w:rsidR="00FF49E6">
        <w:rPr>
          <w:rFonts w:eastAsia="Times New Roman"/>
          <w:sz w:val="18"/>
          <w:szCs w:val="18"/>
        </w:rPr>
        <w:tab/>
        <w:t>. .</w:t>
      </w:r>
      <w:r w:rsidR="00FF49E6" w:rsidRPr="00C84A81">
        <w:rPr>
          <w:rFonts w:eastAsia="Times New Roman"/>
          <w:sz w:val="18"/>
          <w:szCs w:val="18"/>
        </w:rPr>
        <w:t xml:space="preserve"> </w:t>
      </w:r>
      <w:r w:rsidR="00FF49E6">
        <w:rPr>
          <w:rFonts w:eastAsia="Times New Roman"/>
          <w:sz w:val="18"/>
          <w:szCs w:val="18"/>
        </w:rPr>
        <w:t xml:space="preserve">. . . . . . . . . . . . . . . . . . . . . . . . . . . . . . . . . . . . . . . . . . . . . . . . . . . . . . . . . </w:t>
      </w:r>
      <w:r>
        <w:rPr>
          <w:rFonts w:eastAsia="Times New Roman"/>
          <w:sz w:val="18"/>
          <w:szCs w:val="18"/>
        </w:rPr>
        <w:t>300</w:t>
      </w:r>
    </w:p>
    <w:p w14:paraId="2819D04B" w14:textId="77777777" w:rsidR="004647B9" w:rsidRDefault="004647B9">
      <w:pPr>
        <w:spacing w:line="235" w:lineRule="exact"/>
        <w:rPr>
          <w:sz w:val="20"/>
          <w:szCs w:val="20"/>
        </w:rPr>
      </w:pPr>
    </w:p>
    <w:p w14:paraId="2819D04C" w14:textId="7A4351A6" w:rsidR="004647B9" w:rsidRDefault="00E2436F">
      <w:pPr>
        <w:tabs>
          <w:tab w:val="left" w:pos="3040"/>
        </w:tabs>
        <w:ind w:left="1040"/>
        <w:rPr>
          <w:sz w:val="20"/>
          <w:szCs w:val="20"/>
        </w:rPr>
      </w:pPr>
      <w:r>
        <w:rPr>
          <w:rFonts w:eastAsia="Times New Roman"/>
          <w:sz w:val="18"/>
          <w:szCs w:val="18"/>
        </w:rPr>
        <w:t>1,230,001 to 1,520,000</w:t>
      </w:r>
      <w:r>
        <w:rPr>
          <w:rFonts w:eastAsia="Times New Roman"/>
          <w:sz w:val="18"/>
          <w:szCs w:val="18"/>
        </w:rPr>
        <w:tab/>
      </w:r>
      <w:r w:rsidR="00FF49E6">
        <w:rPr>
          <w:rFonts w:eastAsia="Times New Roman"/>
          <w:sz w:val="18"/>
          <w:szCs w:val="18"/>
        </w:rPr>
        <w:t>. .</w:t>
      </w:r>
      <w:r w:rsidR="00FF49E6" w:rsidRPr="00C84A81">
        <w:rPr>
          <w:rFonts w:eastAsia="Times New Roman"/>
          <w:sz w:val="18"/>
          <w:szCs w:val="18"/>
        </w:rPr>
        <w:t xml:space="preserve"> </w:t>
      </w:r>
      <w:r w:rsidR="00FF49E6">
        <w:rPr>
          <w:rFonts w:eastAsia="Times New Roman"/>
          <w:sz w:val="18"/>
          <w:szCs w:val="18"/>
        </w:rPr>
        <w:t>. . . . . . . . . . . . . . . . . . . . . . . . . . . . . . . . . . . . . . . . . . . . . . . . . . . . . . . .</w:t>
      </w:r>
      <w:r>
        <w:rPr>
          <w:rFonts w:eastAsia="Times New Roman"/>
          <w:sz w:val="18"/>
          <w:szCs w:val="18"/>
        </w:rPr>
        <w:t>330</w:t>
      </w:r>
    </w:p>
    <w:p w14:paraId="2819D04D" w14:textId="77777777" w:rsidR="004647B9" w:rsidRDefault="004647B9">
      <w:pPr>
        <w:spacing w:line="237" w:lineRule="exact"/>
        <w:rPr>
          <w:sz w:val="20"/>
          <w:szCs w:val="20"/>
        </w:rPr>
      </w:pPr>
    </w:p>
    <w:p w14:paraId="2819D04E" w14:textId="254F08A4" w:rsidR="004647B9" w:rsidRDefault="00E2436F">
      <w:pPr>
        <w:tabs>
          <w:tab w:val="left" w:pos="3040"/>
        </w:tabs>
        <w:ind w:left="1040"/>
        <w:rPr>
          <w:sz w:val="20"/>
          <w:szCs w:val="20"/>
        </w:rPr>
      </w:pPr>
      <w:r>
        <w:rPr>
          <w:rFonts w:eastAsia="Times New Roman"/>
          <w:sz w:val="18"/>
          <w:szCs w:val="18"/>
        </w:rPr>
        <w:t>1,520,001 to 1,850,000</w:t>
      </w:r>
      <w:r>
        <w:rPr>
          <w:rFonts w:eastAsia="Times New Roman"/>
          <w:sz w:val="18"/>
          <w:szCs w:val="18"/>
        </w:rPr>
        <w:tab/>
      </w:r>
      <w:r w:rsidR="00FF49E6">
        <w:rPr>
          <w:rFonts w:eastAsia="Times New Roman"/>
          <w:sz w:val="18"/>
          <w:szCs w:val="18"/>
        </w:rPr>
        <w:t>. .</w:t>
      </w:r>
      <w:r w:rsidR="00FF49E6" w:rsidRPr="00C84A81">
        <w:rPr>
          <w:rFonts w:eastAsia="Times New Roman"/>
          <w:sz w:val="18"/>
          <w:szCs w:val="18"/>
        </w:rPr>
        <w:t xml:space="preserve"> </w:t>
      </w:r>
      <w:r w:rsidR="00FF49E6">
        <w:rPr>
          <w:rFonts w:eastAsia="Times New Roman"/>
          <w:sz w:val="18"/>
          <w:szCs w:val="18"/>
        </w:rPr>
        <w:t>. . . . . . . . . . . . . . . . . . . . . . . . . . . . . . . . . . . . . . . . . . . . . . . . . . . . . . . .</w:t>
      </w:r>
      <w:r>
        <w:rPr>
          <w:rFonts w:eastAsia="Times New Roman"/>
          <w:sz w:val="18"/>
          <w:szCs w:val="18"/>
        </w:rPr>
        <w:t>360</w:t>
      </w:r>
    </w:p>
    <w:p w14:paraId="2819D04F" w14:textId="77777777" w:rsidR="004647B9" w:rsidRDefault="004647B9">
      <w:pPr>
        <w:spacing w:line="235" w:lineRule="exact"/>
        <w:rPr>
          <w:sz w:val="20"/>
          <w:szCs w:val="20"/>
        </w:rPr>
      </w:pPr>
    </w:p>
    <w:p w14:paraId="2819D050" w14:textId="1DCFF6F5" w:rsidR="004647B9" w:rsidRDefault="00E2436F">
      <w:pPr>
        <w:tabs>
          <w:tab w:val="left" w:pos="3040"/>
        </w:tabs>
        <w:ind w:left="1040"/>
        <w:rPr>
          <w:sz w:val="20"/>
          <w:szCs w:val="20"/>
        </w:rPr>
      </w:pPr>
      <w:r>
        <w:rPr>
          <w:rFonts w:eastAsia="Times New Roman"/>
          <w:sz w:val="18"/>
          <w:szCs w:val="18"/>
        </w:rPr>
        <w:t>1,850,001 to 2,270,000</w:t>
      </w:r>
      <w:r>
        <w:rPr>
          <w:rFonts w:eastAsia="Times New Roman"/>
          <w:sz w:val="18"/>
          <w:szCs w:val="18"/>
        </w:rPr>
        <w:tab/>
      </w:r>
      <w:r w:rsidR="00FF49E6">
        <w:rPr>
          <w:rFonts w:eastAsia="Times New Roman"/>
          <w:sz w:val="18"/>
          <w:szCs w:val="18"/>
        </w:rPr>
        <w:t>. .</w:t>
      </w:r>
      <w:r w:rsidR="00FF49E6" w:rsidRPr="00C84A81">
        <w:rPr>
          <w:rFonts w:eastAsia="Times New Roman"/>
          <w:sz w:val="18"/>
          <w:szCs w:val="18"/>
        </w:rPr>
        <w:t xml:space="preserve"> </w:t>
      </w:r>
      <w:r w:rsidR="00FF49E6">
        <w:rPr>
          <w:rFonts w:eastAsia="Times New Roman"/>
          <w:sz w:val="18"/>
          <w:szCs w:val="18"/>
        </w:rPr>
        <w:t>. . . . . . . . . . . . . . . . . . . . . . . . . . . . . . . . . . . . . . . . . . . . . . . . . . . . . . . .</w:t>
      </w:r>
      <w:r>
        <w:rPr>
          <w:rFonts w:eastAsia="Times New Roman"/>
          <w:sz w:val="18"/>
          <w:szCs w:val="18"/>
        </w:rPr>
        <w:t>390</w:t>
      </w:r>
    </w:p>
    <w:p w14:paraId="2819D051" w14:textId="77777777" w:rsidR="004647B9" w:rsidRDefault="004647B9">
      <w:pPr>
        <w:spacing w:line="237" w:lineRule="exact"/>
        <w:rPr>
          <w:sz w:val="20"/>
          <w:szCs w:val="20"/>
        </w:rPr>
      </w:pPr>
    </w:p>
    <w:p w14:paraId="2819D052" w14:textId="3442729F" w:rsidR="004647B9" w:rsidRDefault="00E2436F">
      <w:pPr>
        <w:tabs>
          <w:tab w:val="left" w:pos="3040"/>
        </w:tabs>
        <w:ind w:left="1040"/>
        <w:rPr>
          <w:sz w:val="20"/>
          <w:szCs w:val="20"/>
        </w:rPr>
      </w:pPr>
      <w:r>
        <w:rPr>
          <w:rFonts w:eastAsia="Times New Roman"/>
          <w:sz w:val="18"/>
          <w:szCs w:val="18"/>
        </w:rPr>
        <w:t>2,270,001 to 3,020,000</w:t>
      </w:r>
      <w:r>
        <w:rPr>
          <w:rFonts w:eastAsia="Times New Roman"/>
          <w:sz w:val="18"/>
          <w:szCs w:val="18"/>
        </w:rPr>
        <w:tab/>
      </w:r>
      <w:r w:rsidR="00FF49E6">
        <w:rPr>
          <w:rFonts w:eastAsia="Times New Roman"/>
          <w:sz w:val="18"/>
          <w:szCs w:val="18"/>
        </w:rPr>
        <w:t>. .</w:t>
      </w:r>
      <w:r w:rsidR="00FF49E6" w:rsidRPr="00C84A81">
        <w:rPr>
          <w:rFonts w:eastAsia="Times New Roman"/>
          <w:sz w:val="18"/>
          <w:szCs w:val="18"/>
        </w:rPr>
        <w:t xml:space="preserve"> </w:t>
      </w:r>
      <w:r w:rsidR="00FF49E6">
        <w:rPr>
          <w:rFonts w:eastAsia="Times New Roman"/>
          <w:sz w:val="18"/>
          <w:szCs w:val="18"/>
        </w:rPr>
        <w:t>. . . . . . . . . . . . . . . . . . . . . . . . . . . . . . . . . . . . . . . . . . . . . . . . . . . . . . . .</w:t>
      </w:r>
      <w:r>
        <w:rPr>
          <w:rFonts w:eastAsia="Times New Roman"/>
          <w:sz w:val="18"/>
          <w:szCs w:val="18"/>
        </w:rPr>
        <w:t>420</w:t>
      </w:r>
    </w:p>
    <w:p w14:paraId="2819D053" w14:textId="77777777" w:rsidR="004647B9" w:rsidRDefault="004647B9">
      <w:pPr>
        <w:spacing w:line="235" w:lineRule="exact"/>
        <w:rPr>
          <w:sz w:val="20"/>
          <w:szCs w:val="20"/>
        </w:rPr>
      </w:pPr>
    </w:p>
    <w:p w14:paraId="2819D054" w14:textId="487CC77E" w:rsidR="004647B9" w:rsidRDefault="00E2436F">
      <w:pPr>
        <w:tabs>
          <w:tab w:val="left" w:pos="3040"/>
        </w:tabs>
        <w:ind w:left="1040"/>
        <w:rPr>
          <w:sz w:val="20"/>
          <w:szCs w:val="20"/>
        </w:rPr>
      </w:pPr>
      <w:r>
        <w:rPr>
          <w:rFonts w:eastAsia="Times New Roman"/>
          <w:sz w:val="18"/>
          <w:szCs w:val="18"/>
        </w:rPr>
        <w:t>3,020,001 to 3,960,000</w:t>
      </w:r>
      <w:r>
        <w:rPr>
          <w:rFonts w:eastAsia="Times New Roman"/>
          <w:sz w:val="18"/>
          <w:szCs w:val="18"/>
        </w:rPr>
        <w:tab/>
      </w:r>
      <w:r w:rsidR="00FF49E6">
        <w:rPr>
          <w:rFonts w:eastAsia="Times New Roman"/>
          <w:sz w:val="18"/>
          <w:szCs w:val="18"/>
        </w:rPr>
        <w:t>. .</w:t>
      </w:r>
      <w:r w:rsidR="00FF49E6" w:rsidRPr="00C84A81">
        <w:rPr>
          <w:rFonts w:eastAsia="Times New Roman"/>
          <w:sz w:val="18"/>
          <w:szCs w:val="18"/>
        </w:rPr>
        <w:t xml:space="preserve"> </w:t>
      </w:r>
      <w:r w:rsidR="00FF49E6">
        <w:rPr>
          <w:rFonts w:eastAsia="Times New Roman"/>
          <w:sz w:val="18"/>
          <w:szCs w:val="18"/>
        </w:rPr>
        <w:t>. . . . . . . . . . . . . . . . . . . . . . . . . . . . . . . . . . . . . . . . . . . . . . . . . . . . . . . .</w:t>
      </w:r>
      <w:r>
        <w:rPr>
          <w:rFonts w:eastAsia="Times New Roman"/>
          <w:sz w:val="18"/>
          <w:szCs w:val="18"/>
        </w:rPr>
        <w:t>450</w:t>
      </w:r>
    </w:p>
    <w:p w14:paraId="2819D055" w14:textId="77777777" w:rsidR="004647B9" w:rsidRDefault="004647B9">
      <w:pPr>
        <w:spacing w:line="237" w:lineRule="exact"/>
        <w:rPr>
          <w:sz w:val="20"/>
          <w:szCs w:val="20"/>
        </w:rPr>
      </w:pPr>
    </w:p>
    <w:p w14:paraId="2819D056" w14:textId="6ED1D72E" w:rsidR="004647B9" w:rsidRDefault="00E2436F">
      <w:pPr>
        <w:tabs>
          <w:tab w:val="left" w:pos="2640"/>
        </w:tabs>
        <w:ind w:left="1040"/>
        <w:rPr>
          <w:rFonts w:eastAsia="Times New Roman"/>
          <w:sz w:val="18"/>
          <w:szCs w:val="18"/>
        </w:rPr>
      </w:pPr>
      <w:r>
        <w:rPr>
          <w:rFonts w:eastAsia="Times New Roman"/>
          <w:sz w:val="18"/>
          <w:szCs w:val="18"/>
        </w:rPr>
        <w:t>3,960,001 or more</w:t>
      </w:r>
      <w:r>
        <w:rPr>
          <w:rFonts w:eastAsia="Times New Roman"/>
          <w:sz w:val="18"/>
          <w:szCs w:val="18"/>
        </w:rPr>
        <w:tab/>
      </w:r>
      <w:r w:rsidR="00FF49E6">
        <w:rPr>
          <w:rFonts w:eastAsia="Times New Roman"/>
          <w:sz w:val="18"/>
          <w:szCs w:val="18"/>
        </w:rPr>
        <w:tab/>
      </w:r>
      <w:r w:rsidR="000E5685">
        <w:rPr>
          <w:rFonts w:eastAsia="Times New Roman"/>
          <w:sz w:val="18"/>
          <w:szCs w:val="18"/>
        </w:rPr>
        <w:t>. .</w:t>
      </w:r>
      <w:r w:rsidR="000E5685" w:rsidRPr="00C84A81">
        <w:rPr>
          <w:rFonts w:eastAsia="Times New Roman"/>
          <w:sz w:val="18"/>
          <w:szCs w:val="18"/>
        </w:rPr>
        <w:t xml:space="preserve"> </w:t>
      </w:r>
      <w:r w:rsidR="000E5685">
        <w:rPr>
          <w:rFonts w:eastAsia="Times New Roman"/>
          <w:sz w:val="18"/>
          <w:szCs w:val="18"/>
        </w:rPr>
        <w:t>. . . . . . . . . . . . . . . . . . . . . . . . . . . . . . . . . . . . . . . . . . . . . . . . . . . . . . . . . .</w:t>
      </w:r>
      <w:r>
        <w:rPr>
          <w:rFonts w:eastAsia="Times New Roman"/>
          <w:sz w:val="18"/>
          <w:szCs w:val="18"/>
        </w:rPr>
        <w:t>480</w:t>
      </w:r>
    </w:p>
    <w:p w14:paraId="0338E3BF" w14:textId="77777777" w:rsidR="004D3FD4" w:rsidRDefault="004D3FD4">
      <w:pPr>
        <w:tabs>
          <w:tab w:val="left" w:pos="2640"/>
        </w:tabs>
        <w:ind w:left="1040"/>
        <w:rPr>
          <w:sz w:val="20"/>
          <w:szCs w:val="20"/>
        </w:rPr>
      </w:pPr>
    </w:p>
    <w:p w14:paraId="2819D058" w14:textId="3885B662" w:rsidR="004647B9" w:rsidRDefault="00E2436F" w:rsidP="00771B48">
      <w:pPr>
        <w:numPr>
          <w:ilvl w:val="0"/>
          <w:numId w:val="41"/>
        </w:numPr>
        <w:tabs>
          <w:tab w:val="left" w:pos="900"/>
        </w:tabs>
        <w:ind w:left="900" w:hanging="113"/>
        <w:rPr>
          <w:rFonts w:eastAsia="Times New Roman"/>
          <w:sz w:val="24"/>
          <w:szCs w:val="24"/>
          <w:vertAlign w:val="superscript"/>
        </w:rPr>
      </w:pPr>
      <w:r>
        <w:rPr>
          <w:rFonts w:eastAsia="Times New Roman"/>
          <w:sz w:val="18"/>
          <w:szCs w:val="18"/>
        </w:rPr>
        <w:t>Includes Public Water Systems which have at least 15 service connections, but serve fewer than 25 people.</w:t>
      </w:r>
    </w:p>
    <w:p w14:paraId="2819D059" w14:textId="77777777" w:rsidR="004647B9" w:rsidRDefault="004647B9">
      <w:pPr>
        <w:sectPr w:rsidR="004647B9" w:rsidSect="00EF630C">
          <w:pgSz w:w="12240" w:h="20180"/>
          <w:pgMar w:top="708" w:right="1440" w:bottom="824" w:left="600" w:header="0" w:footer="0" w:gutter="0"/>
          <w:cols w:space="720" w:equalWidth="0">
            <w:col w:w="10200"/>
          </w:cols>
        </w:sectPr>
      </w:pPr>
    </w:p>
    <w:p w14:paraId="2819D05A" w14:textId="77777777" w:rsidR="004647B9" w:rsidRDefault="00E2436F">
      <w:pPr>
        <w:tabs>
          <w:tab w:val="left" w:pos="160"/>
        </w:tabs>
        <w:jc w:val="center"/>
        <w:rPr>
          <w:sz w:val="20"/>
          <w:szCs w:val="20"/>
        </w:rPr>
      </w:pPr>
      <w:bookmarkStart w:id="30" w:name="page31"/>
      <w:bookmarkEnd w:id="3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05B" w14:textId="77777777" w:rsidR="004647B9" w:rsidRDefault="004647B9">
      <w:pPr>
        <w:spacing w:line="200" w:lineRule="exact"/>
        <w:rPr>
          <w:sz w:val="20"/>
          <w:szCs w:val="20"/>
        </w:rPr>
      </w:pPr>
    </w:p>
    <w:p w14:paraId="2819D05C" w14:textId="77777777" w:rsidR="004647B9" w:rsidRDefault="004647B9" w:rsidP="00FB138C">
      <w:pPr>
        <w:rPr>
          <w:sz w:val="20"/>
          <w:szCs w:val="20"/>
        </w:rPr>
      </w:pPr>
    </w:p>
    <w:p w14:paraId="2819D05D"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05E" w14:textId="77777777" w:rsidR="004647B9" w:rsidRDefault="004647B9">
      <w:pPr>
        <w:spacing w:line="283" w:lineRule="exact"/>
        <w:rPr>
          <w:sz w:val="20"/>
          <w:szCs w:val="20"/>
        </w:rPr>
      </w:pPr>
    </w:p>
    <w:p w14:paraId="2819D05F" w14:textId="4A4C0F51" w:rsidR="004647B9" w:rsidRPr="004D3FD4" w:rsidRDefault="00E2436F" w:rsidP="00771B48">
      <w:pPr>
        <w:numPr>
          <w:ilvl w:val="0"/>
          <w:numId w:val="42"/>
        </w:numPr>
        <w:tabs>
          <w:tab w:val="left" w:pos="1946"/>
        </w:tabs>
        <w:spacing w:line="256" w:lineRule="auto"/>
        <w:ind w:left="1560" w:hanging="5"/>
        <w:rPr>
          <w:rFonts w:eastAsia="Times New Roman"/>
          <w:sz w:val="24"/>
          <w:szCs w:val="24"/>
        </w:rPr>
      </w:pPr>
      <w:r w:rsidRPr="004D3FD4">
        <w:rPr>
          <w:rFonts w:eastAsia="Times New Roman"/>
          <w:sz w:val="24"/>
          <w:szCs w:val="24"/>
        </w:rPr>
        <w:t>Routine monitoring requirements for Community Water Systems serving 1,000 or fewer people using only groundwater.</w:t>
      </w:r>
      <w:r w:rsidR="00AB74D4">
        <w:rPr>
          <w:rFonts w:eastAsia="Times New Roman"/>
          <w:sz w:val="24"/>
          <w:szCs w:val="24"/>
        </w:rPr>
        <w:t xml:space="preserve"> 310 CMR 22.05(1)(c) shall apply to Community Water Systems using only groundwater (except Groundwater under the Direct Influence of Surface Water, as defined in 310 CMR 22.02(1)) and serving 1,000 or fewer people.</w:t>
      </w:r>
    </w:p>
    <w:p w14:paraId="2819D063" w14:textId="77391A69" w:rsidR="004647B9" w:rsidRPr="000847D6" w:rsidRDefault="00E2436F" w:rsidP="006804E8">
      <w:pPr>
        <w:numPr>
          <w:ilvl w:val="1"/>
          <w:numId w:val="42"/>
        </w:numPr>
        <w:tabs>
          <w:tab w:val="left" w:pos="2275"/>
        </w:tabs>
        <w:spacing w:line="252" w:lineRule="auto"/>
        <w:ind w:left="1915"/>
        <w:jc w:val="both"/>
        <w:rPr>
          <w:sz w:val="24"/>
          <w:szCs w:val="24"/>
        </w:rPr>
      </w:pPr>
      <w:r w:rsidRPr="000847D6">
        <w:rPr>
          <w:rFonts w:eastAsia="Times New Roman"/>
          <w:sz w:val="24"/>
          <w:szCs w:val="24"/>
        </w:rPr>
        <w:t xml:space="preserve">Following any total coliform-positive sample taken under </w:t>
      </w:r>
      <w:r w:rsidRPr="00C0284D">
        <w:rPr>
          <w:rFonts w:eastAsia="Times New Roman"/>
          <w:sz w:val="24"/>
          <w:szCs w:val="24"/>
        </w:rPr>
        <w:t>310 CMR 22.05(1)</w:t>
      </w:r>
      <w:r w:rsidR="009A1D27" w:rsidRPr="00C0284D">
        <w:rPr>
          <w:rFonts w:eastAsia="Times New Roman"/>
          <w:sz w:val="24"/>
          <w:szCs w:val="24"/>
        </w:rPr>
        <w:t>(c)</w:t>
      </w:r>
      <w:r w:rsidRPr="00C0284D">
        <w:rPr>
          <w:rFonts w:eastAsia="Times New Roman"/>
          <w:sz w:val="24"/>
          <w:szCs w:val="24"/>
        </w:rPr>
        <w:t>,</w:t>
      </w:r>
      <w:r w:rsidRPr="000847D6">
        <w:rPr>
          <w:rFonts w:eastAsia="Times New Roman"/>
          <w:sz w:val="24"/>
          <w:szCs w:val="24"/>
        </w:rPr>
        <w:t xml:space="preserve"> Public Water Systems must comply with the repeat monitoring requirements and </w:t>
      </w:r>
      <w:r w:rsidRPr="000847D6">
        <w:rPr>
          <w:rFonts w:eastAsia="Times New Roman"/>
          <w:i/>
          <w:iCs/>
          <w:sz w:val="24"/>
          <w:szCs w:val="24"/>
        </w:rPr>
        <w:t>E. coli</w:t>
      </w:r>
      <w:r w:rsidR="000847D6" w:rsidRPr="000847D6">
        <w:rPr>
          <w:rFonts w:eastAsia="Times New Roman"/>
          <w:i/>
          <w:iCs/>
          <w:sz w:val="24"/>
          <w:szCs w:val="24"/>
        </w:rPr>
        <w:t xml:space="preserve"> </w:t>
      </w:r>
      <w:r w:rsidRPr="000847D6">
        <w:rPr>
          <w:rFonts w:eastAsia="Times New Roman"/>
          <w:sz w:val="24"/>
          <w:szCs w:val="24"/>
        </w:rPr>
        <w:t>analytical requirements in 310 CMR 22.05(2).</w:t>
      </w:r>
    </w:p>
    <w:p w14:paraId="2819D067" w14:textId="18530D5F" w:rsidR="004647B9" w:rsidRPr="000847D6" w:rsidRDefault="00E2436F" w:rsidP="006804E8">
      <w:pPr>
        <w:numPr>
          <w:ilvl w:val="1"/>
          <w:numId w:val="43"/>
        </w:numPr>
        <w:tabs>
          <w:tab w:val="left" w:pos="2275"/>
        </w:tabs>
        <w:spacing w:line="252" w:lineRule="auto"/>
        <w:ind w:left="1915"/>
        <w:jc w:val="both"/>
        <w:rPr>
          <w:rFonts w:eastAsia="Times New Roman"/>
          <w:sz w:val="24"/>
          <w:szCs w:val="24"/>
        </w:rPr>
      </w:pPr>
      <w:r w:rsidRPr="004D3FD4">
        <w:rPr>
          <w:rFonts w:eastAsia="Times New Roman"/>
          <w:sz w:val="24"/>
          <w:szCs w:val="24"/>
        </w:rPr>
        <w:t>Once all monitoring required by 310 CMR 22.05(1)(c) and (2) for a calendar month has been completed, Suppliers of Water must determine whether any coliform Treatment Technique triggers specified in 310 CMR 22.05(4)(a) have been exceeded. If any trigger has been exceeded, Suppliers of Water must complete assessments as required by</w:t>
      </w:r>
      <w:r w:rsidR="000847D6">
        <w:rPr>
          <w:rFonts w:eastAsia="Times New Roman"/>
          <w:sz w:val="24"/>
          <w:szCs w:val="24"/>
        </w:rPr>
        <w:t xml:space="preserve"> 310 </w:t>
      </w:r>
      <w:r w:rsidRPr="000847D6">
        <w:rPr>
          <w:rFonts w:eastAsia="Times New Roman"/>
          <w:sz w:val="24"/>
          <w:szCs w:val="24"/>
        </w:rPr>
        <w:t>CMR 22.05(4).</w:t>
      </w:r>
    </w:p>
    <w:p w14:paraId="2819D06B" w14:textId="7113B2C9" w:rsidR="004647B9" w:rsidRPr="000847D6" w:rsidRDefault="00E2436F" w:rsidP="006804E8">
      <w:pPr>
        <w:numPr>
          <w:ilvl w:val="1"/>
          <w:numId w:val="45"/>
        </w:numPr>
        <w:tabs>
          <w:tab w:val="left" w:pos="2275"/>
        </w:tabs>
        <w:ind w:left="1915"/>
        <w:rPr>
          <w:rFonts w:eastAsia="Times New Roman"/>
          <w:sz w:val="24"/>
          <w:szCs w:val="24"/>
        </w:rPr>
      </w:pPr>
      <w:r w:rsidRPr="004D3FD4">
        <w:rPr>
          <w:rFonts w:eastAsia="Times New Roman"/>
          <w:sz w:val="24"/>
          <w:szCs w:val="24"/>
          <w:u w:val="single"/>
        </w:rPr>
        <w:t>Monitoring Frequency for Total Coliforms</w:t>
      </w:r>
      <w:r w:rsidRPr="004D3FD4">
        <w:rPr>
          <w:rFonts w:eastAsia="Times New Roman"/>
          <w:sz w:val="24"/>
          <w:szCs w:val="24"/>
        </w:rPr>
        <w:t>.  All Suppliers of Water described in</w:t>
      </w:r>
      <w:r w:rsidR="000847D6">
        <w:rPr>
          <w:rFonts w:eastAsia="Times New Roman"/>
          <w:sz w:val="24"/>
          <w:szCs w:val="24"/>
        </w:rPr>
        <w:t xml:space="preserve"> 310 </w:t>
      </w:r>
      <w:r w:rsidRPr="000847D6">
        <w:rPr>
          <w:rFonts w:eastAsia="Times New Roman"/>
          <w:sz w:val="24"/>
          <w:szCs w:val="24"/>
        </w:rPr>
        <w:t>CMR 22.05(1)(c). shall monitor for total coliforms monthly. No such Supplier of Water shall be eligible for quarterly monitoring.</w:t>
      </w:r>
    </w:p>
    <w:p w14:paraId="2819D06C" w14:textId="77777777" w:rsidR="004647B9" w:rsidRPr="004D3FD4" w:rsidRDefault="00E2436F" w:rsidP="006804E8">
      <w:pPr>
        <w:numPr>
          <w:ilvl w:val="1"/>
          <w:numId w:val="47"/>
        </w:numPr>
        <w:tabs>
          <w:tab w:val="left" w:pos="2275"/>
        </w:tabs>
        <w:spacing w:line="242" w:lineRule="auto"/>
        <w:ind w:left="1915"/>
        <w:jc w:val="both"/>
        <w:rPr>
          <w:rFonts w:eastAsia="Times New Roman"/>
          <w:sz w:val="24"/>
          <w:szCs w:val="24"/>
        </w:rPr>
      </w:pPr>
      <w:r w:rsidRPr="004D3FD4">
        <w:rPr>
          <w:rFonts w:eastAsia="Times New Roman"/>
          <w:sz w:val="24"/>
          <w:szCs w:val="24"/>
        </w:rPr>
        <w:t>Each Public Water System shall be subject to a special monitoring evaluation by the Department during each Sanitary Survey to review the status of the Public Water System, including the Distribution System, and to determine whether the Public Water System is on an appropriate monitoring schedule. After the Department has performed the special monitoring evaluation during each Sanitary Survey, the Supplier of Water may be required by the Department to modify the Public Water System's monitoring schedule, as necessary, or it may allow the Public Water System to stay on its existing monitoring schedule, consistent with 310 CMR 22.05(1)(c).</w:t>
      </w:r>
    </w:p>
    <w:p w14:paraId="2819D06E" w14:textId="77777777" w:rsidR="004647B9" w:rsidRPr="004D3FD4" w:rsidRDefault="00E2436F" w:rsidP="00771B48">
      <w:pPr>
        <w:numPr>
          <w:ilvl w:val="0"/>
          <w:numId w:val="48"/>
        </w:numPr>
        <w:tabs>
          <w:tab w:val="left" w:pos="1992"/>
        </w:tabs>
        <w:spacing w:line="243" w:lineRule="auto"/>
        <w:ind w:left="1560" w:hanging="5"/>
        <w:rPr>
          <w:rFonts w:eastAsia="Times New Roman"/>
          <w:sz w:val="24"/>
          <w:szCs w:val="24"/>
        </w:rPr>
      </w:pPr>
      <w:r w:rsidRPr="004D3FD4">
        <w:rPr>
          <w:rFonts w:eastAsia="Times New Roman"/>
          <w:sz w:val="24"/>
          <w:szCs w:val="24"/>
        </w:rPr>
        <w:t>Routine monitoring requirements for Non-community Water Systems serving 1,000 or fewer people using only groundwater.</w:t>
      </w:r>
    </w:p>
    <w:p w14:paraId="2819D06F" w14:textId="77777777" w:rsidR="004647B9" w:rsidRPr="004D3FD4" w:rsidRDefault="00E2436F" w:rsidP="006804E8">
      <w:pPr>
        <w:numPr>
          <w:ilvl w:val="1"/>
          <w:numId w:val="48"/>
        </w:numPr>
        <w:tabs>
          <w:tab w:val="left" w:pos="2280"/>
        </w:tabs>
        <w:ind w:left="2275" w:hanging="360"/>
        <w:rPr>
          <w:rFonts w:eastAsia="Times New Roman"/>
          <w:sz w:val="24"/>
          <w:szCs w:val="24"/>
        </w:rPr>
      </w:pPr>
      <w:r w:rsidRPr="004D3FD4">
        <w:rPr>
          <w:rFonts w:eastAsia="Times New Roman"/>
          <w:sz w:val="24"/>
          <w:szCs w:val="24"/>
          <w:u w:val="single"/>
        </w:rPr>
        <w:t>General</w:t>
      </w:r>
      <w:r w:rsidRPr="004D3FD4">
        <w:rPr>
          <w:rFonts w:eastAsia="Times New Roman"/>
          <w:sz w:val="24"/>
          <w:szCs w:val="24"/>
        </w:rPr>
        <w:t>.</w:t>
      </w:r>
    </w:p>
    <w:p w14:paraId="2819D071" w14:textId="77777777" w:rsidR="004647B9" w:rsidRPr="004D3FD4" w:rsidRDefault="00E2436F" w:rsidP="00967ED0">
      <w:pPr>
        <w:numPr>
          <w:ilvl w:val="2"/>
          <w:numId w:val="48"/>
        </w:numPr>
        <w:tabs>
          <w:tab w:val="left" w:pos="2609"/>
        </w:tabs>
        <w:spacing w:line="242" w:lineRule="auto"/>
        <w:ind w:left="2275"/>
        <w:jc w:val="both"/>
        <w:rPr>
          <w:rFonts w:eastAsia="Times New Roman"/>
          <w:sz w:val="24"/>
          <w:szCs w:val="24"/>
        </w:rPr>
      </w:pPr>
      <w:r w:rsidRPr="004D3FD4">
        <w:rPr>
          <w:rFonts w:eastAsia="Times New Roman"/>
          <w:sz w:val="24"/>
          <w:szCs w:val="24"/>
        </w:rPr>
        <w:t>310 CMR 22.05(1)(d) shall apply to Non-community Water Systems using only groundwater (except Groundwater Under the Direct Influence of Surface Water, as defined in 310 CMR 22.02(1)) and serving 1,000 people or fewer.</w:t>
      </w:r>
    </w:p>
    <w:p w14:paraId="2819D075" w14:textId="68A656A6" w:rsidR="004647B9" w:rsidRPr="00967ED0" w:rsidRDefault="00E2436F" w:rsidP="00967ED0">
      <w:pPr>
        <w:numPr>
          <w:ilvl w:val="2"/>
          <w:numId w:val="48"/>
        </w:numPr>
        <w:tabs>
          <w:tab w:val="left" w:pos="2580"/>
        </w:tabs>
        <w:spacing w:line="242" w:lineRule="auto"/>
        <w:ind w:left="2275"/>
        <w:rPr>
          <w:sz w:val="24"/>
          <w:szCs w:val="24"/>
        </w:rPr>
      </w:pPr>
      <w:r w:rsidRPr="00967ED0">
        <w:rPr>
          <w:rFonts w:eastAsia="Times New Roman"/>
          <w:sz w:val="24"/>
          <w:szCs w:val="24"/>
        </w:rPr>
        <w:t>Any Supplier of Water who takes a sample pursuant to 310 CMR 22.05(1)(d) that</w:t>
      </w:r>
      <w:r w:rsidR="00967ED0" w:rsidRPr="00967ED0">
        <w:rPr>
          <w:rFonts w:eastAsia="Times New Roman"/>
          <w:sz w:val="24"/>
          <w:szCs w:val="24"/>
        </w:rPr>
        <w:t xml:space="preserve"> </w:t>
      </w:r>
      <w:r w:rsidRPr="00967ED0">
        <w:rPr>
          <w:rFonts w:eastAsia="Times New Roman"/>
          <w:sz w:val="24"/>
          <w:szCs w:val="24"/>
        </w:rPr>
        <w:t xml:space="preserve">is total coliform-positive shall comply with the repeat monitoring requirements and </w:t>
      </w:r>
      <w:r w:rsidRPr="00967ED0">
        <w:rPr>
          <w:rFonts w:eastAsia="Times New Roman"/>
          <w:i/>
          <w:iCs/>
          <w:sz w:val="24"/>
          <w:szCs w:val="24"/>
        </w:rPr>
        <w:t xml:space="preserve">E. coli </w:t>
      </w:r>
      <w:r w:rsidRPr="00967ED0">
        <w:rPr>
          <w:rFonts w:eastAsia="Times New Roman"/>
          <w:sz w:val="24"/>
          <w:szCs w:val="24"/>
        </w:rPr>
        <w:t>analytical requirements set forth in 310 CMR 22.05(2).</w:t>
      </w:r>
    </w:p>
    <w:p w14:paraId="2819D076" w14:textId="77777777" w:rsidR="004647B9" w:rsidRPr="004D3FD4" w:rsidRDefault="00E2436F" w:rsidP="00771B48">
      <w:pPr>
        <w:numPr>
          <w:ilvl w:val="1"/>
          <w:numId w:val="49"/>
        </w:numPr>
        <w:tabs>
          <w:tab w:val="left" w:pos="2735"/>
        </w:tabs>
        <w:spacing w:line="243" w:lineRule="auto"/>
        <w:ind w:left="2280" w:hanging="5"/>
        <w:jc w:val="both"/>
        <w:rPr>
          <w:rFonts w:eastAsia="Times New Roman"/>
          <w:sz w:val="24"/>
          <w:szCs w:val="24"/>
        </w:rPr>
      </w:pPr>
      <w:r w:rsidRPr="004D3FD4">
        <w:rPr>
          <w:rFonts w:eastAsia="Times New Roman"/>
          <w:sz w:val="24"/>
          <w:szCs w:val="24"/>
        </w:rPr>
        <w:t>Once a Supplier of Water completes all monitoring required by 310 CMR 22.05(1)(d) and (2) for a calendar month, the Supplier of Water shall determine whether any coliform Treatment Technique triggers specified in 310 CMR 22.05(4) have been exceeded. If any such trigger has been exceeded, the Supplier of Water shall complete assessments as required by 310 CMR 22.05(4).</w:t>
      </w:r>
    </w:p>
    <w:p w14:paraId="2819D078" w14:textId="77777777" w:rsidR="004647B9" w:rsidRPr="004D3FD4" w:rsidRDefault="00E2436F" w:rsidP="00771B48">
      <w:pPr>
        <w:numPr>
          <w:ilvl w:val="1"/>
          <w:numId w:val="49"/>
        </w:numPr>
        <w:tabs>
          <w:tab w:val="left" w:pos="2633"/>
        </w:tabs>
        <w:spacing w:line="253" w:lineRule="auto"/>
        <w:ind w:left="2280" w:hanging="5"/>
        <w:jc w:val="both"/>
        <w:rPr>
          <w:rFonts w:eastAsia="Times New Roman"/>
          <w:sz w:val="24"/>
          <w:szCs w:val="24"/>
        </w:rPr>
      </w:pPr>
      <w:r w:rsidRPr="004D3FD4">
        <w:rPr>
          <w:rFonts w:eastAsia="Times New Roman"/>
          <w:sz w:val="24"/>
          <w:szCs w:val="24"/>
        </w:rPr>
        <w:t>A Supplier of Water for the purpose of determining eligibility for remaining on or qualifying for quarterly monitoring under 310 CMR 22.05(1)(d)4.a. and 5.d., respectively, for Transient Non-community Water Systems, may request, subject to approval from the Department, not to count monitoring violations under 310 CMR 22.05(11)(c)1. if the missed sample is collected no later than the end of the monitoring period following the monitoring period in which the sample was missed. The Supplier of Water shall collect the make-up sample in a different week than the routine sample for that monitoring period and as soon as possible during the monitoring period. Provided, however, that no such Department approval not to count a monitoring violation shall affect a determination made under 310 CMR 22.05(11)(c)1. nor an obligation to report under 310 CMR 22.05(12)(a)4.</w:t>
      </w:r>
    </w:p>
    <w:p w14:paraId="2819D07C" w14:textId="46785442" w:rsidR="004647B9" w:rsidRPr="004D3FD4" w:rsidRDefault="00E2436F" w:rsidP="006804E8">
      <w:pPr>
        <w:numPr>
          <w:ilvl w:val="0"/>
          <w:numId w:val="50"/>
        </w:numPr>
        <w:tabs>
          <w:tab w:val="left" w:pos="2275"/>
        </w:tabs>
        <w:ind w:left="1915"/>
        <w:rPr>
          <w:rFonts w:eastAsia="Times New Roman"/>
          <w:sz w:val="24"/>
          <w:szCs w:val="24"/>
        </w:rPr>
      </w:pPr>
      <w:r w:rsidRPr="004D3FD4">
        <w:rPr>
          <w:rFonts w:eastAsia="Times New Roman"/>
          <w:sz w:val="24"/>
          <w:szCs w:val="24"/>
          <w:u w:val="single"/>
        </w:rPr>
        <w:t>Monitoring Frequency for Total Coliforms</w:t>
      </w:r>
      <w:r w:rsidRPr="004D3FD4">
        <w:rPr>
          <w:rFonts w:eastAsia="Times New Roman"/>
          <w:sz w:val="24"/>
          <w:szCs w:val="24"/>
        </w:rPr>
        <w:t>.  All Suppliers of Water described in</w:t>
      </w:r>
      <w:r w:rsidR="004D3FD4">
        <w:rPr>
          <w:rFonts w:eastAsia="Times New Roman"/>
          <w:sz w:val="24"/>
          <w:szCs w:val="24"/>
        </w:rPr>
        <w:t xml:space="preserve"> 310 </w:t>
      </w:r>
      <w:r w:rsidRPr="004D3FD4">
        <w:rPr>
          <w:rFonts w:eastAsia="Times New Roman"/>
          <w:sz w:val="24"/>
          <w:szCs w:val="24"/>
        </w:rPr>
        <w:t>CMR 22.05(1)(d)1.a. shall monitor for total coliforms each calendar month that its Public Water System provides water to the public or as provided under 310 CMR 22.05(1)(d)3. through 5., or 7. Provided, however, a Seasonal System shall meet the monitoring requirements set forth in 310 CMR 22.05(1)(d)6.</w:t>
      </w:r>
    </w:p>
    <w:p w14:paraId="2819D07D" w14:textId="77777777" w:rsidR="004647B9" w:rsidRDefault="004647B9">
      <w:pPr>
        <w:sectPr w:rsidR="004647B9" w:rsidSect="00EF630C">
          <w:pgSz w:w="12240" w:h="20180"/>
          <w:pgMar w:top="708" w:right="1440" w:bottom="1440" w:left="600" w:header="0" w:footer="0" w:gutter="0"/>
          <w:cols w:space="720" w:equalWidth="0">
            <w:col w:w="10200"/>
          </w:cols>
        </w:sectPr>
      </w:pPr>
    </w:p>
    <w:p w14:paraId="2819D07E" w14:textId="77777777" w:rsidR="004647B9" w:rsidRDefault="00E2436F">
      <w:pPr>
        <w:tabs>
          <w:tab w:val="left" w:pos="160"/>
        </w:tabs>
        <w:jc w:val="center"/>
        <w:rPr>
          <w:sz w:val="20"/>
          <w:szCs w:val="20"/>
        </w:rPr>
      </w:pPr>
      <w:bookmarkStart w:id="31" w:name="page32"/>
      <w:bookmarkEnd w:id="3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07F" w14:textId="77777777" w:rsidR="004647B9" w:rsidRDefault="004647B9">
      <w:pPr>
        <w:spacing w:line="200" w:lineRule="exact"/>
        <w:rPr>
          <w:sz w:val="20"/>
          <w:szCs w:val="20"/>
        </w:rPr>
      </w:pPr>
    </w:p>
    <w:p w14:paraId="2819D080" w14:textId="77777777" w:rsidR="004647B9" w:rsidRDefault="004647B9" w:rsidP="00FB138C">
      <w:pPr>
        <w:rPr>
          <w:sz w:val="20"/>
          <w:szCs w:val="20"/>
        </w:rPr>
      </w:pPr>
    </w:p>
    <w:p w14:paraId="2819D081"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082" w14:textId="77777777" w:rsidR="004647B9" w:rsidRDefault="004647B9">
      <w:pPr>
        <w:spacing w:line="283" w:lineRule="exact"/>
        <w:rPr>
          <w:sz w:val="20"/>
          <w:szCs w:val="20"/>
        </w:rPr>
      </w:pPr>
    </w:p>
    <w:p w14:paraId="2819D085" w14:textId="566C8714" w:rsidR="004647B9" w:rsidRPr="004D3FD4" w:rsidRDefault="00E2436F" w:rsidP="006804E8">
      <w:pPr>
        <w:numPr>
          <w:ilvl w:val="0"/>
          <w:numId w:val="51"/>
        </w:numPr>
        <w:tabs>
          <w:tab w:val="left" w:pos="2275"/>
        </w:tabs>
        <w:spacing w:line="252" w:lineRule="auto"/>
        <w:ind w:left="1915"/>
        <w:jc w:val="both"/>
        <w:rPr>
          <w:rFonts w:eastAsia="Times New Roman"/>
          <w:sz w:val="24"/>
          <w:szCs w:val="24"/>
        </w:rPr>
      </w:pPr>
      <w:r w:rsidRPr="004D3FD4">
        <w:rPr>
          <w:rFonts w:eastAsia="Times New Roman"/>
          <w:sz w:val="24"/>
          <w:szCs w:val="24"/>
          <w:u w:val="single"/>
        </w:rPr>
        <w:t>Special Monitoring Evaluation for Public Water Systems During Sanitary Survey</w:t>
      </w:r>
      <w:r w:rsidRPr="004D3FD4">
        <w:rPr>
          <w:rFonts w:eastAsia="Times New Roman"/>
          <w:sz w:val="24"/>
          <w:szCs w:val="24"/>
        </w:rPr>
        <w:t>. Each Public Water System shall be subject to a special monitoring evaluation by the Department during each Sanitary Survey to review the status of its compliance with</w:t>
      </w:r>
      <w:r w:rsidR="004D3FD4">
        <w:rPr>
          <w:rFonts w:eastAsia="Times New Roman"/>
          <w:sz w:val="24"/>
          <w:szCs w:val="24"/>
        </w:rPr>
        <w:t xml:space="preserve"> 310 </w:t>
      </w:r>
      <w:r w:rsidRPr="004D3FD4">
        <w:rPr>
          <w:rFonts w:eastAsia="Times New Roman"/>
          <w:sz w:val="24"/>
          <w:szCs w:val="24"/>
        </w:rPr>
        <w:t>CMR 22.05(1)(a) and (b) and to determine whether it is on an appropriate monitoring schedule. After the Department has performed the special monitoring evaluation during each Sanitary Survey, the Supplier of Water may be required by the Department to modify its monitoring schedule, as necessary, or may be allowed to stay on its existing monitoring schedule, consistent with the requirements of 310 CMR 22.05. Provided, however, that no Supplier of Water shall be allowed to begin less frequent monitoring under the special monitoring evaluation unless its Public Water System has already met the applicable criteria for less frequent monitoring in 310 CMR 22.05(1)(d)4. For Seasonal Systems on quarterly monitoring, the special monitoring evaluation shall include review of the approved coliform sampling plan, which must designate the time period(s) for monitoring based on site-specific considerations (</w:t>
      </w:r>
      <w:r w:rsidRPr="004D3FD4">
        <w:rPr>
          <w:rFonts w:eastAsia="Times New Roman"/>
          <w:i/>
          <w:iCs/>
          <w:sz w:val="24"/>
          <w:szCs w:val="24"/>
        </w:rPr>
        <w:t>e.g</w:t>
      </w:r>
      <w:r w:rsidRPr="004D3FD4">
        <w:rPr>
          <w:rFonts w:eastAsia="Times New Roman"/>
          <w:sz w:val="24"/>
          <w:szCs w:val="24"/>
        </w:rPr>
        <w:t>., during periods of highest demand or highest vulnerability to contamination). Seasonal Systems shall collect compliance samples during these time periods.</w:t>
      </w:r>
    </w:p>
    <w:p w14:paraId="2819D087" w14:textId="77777777" w:rsidR="004647B9" w:rsidRPr="004D3FD4" w:rsidRDefault="00E2436F" w:rsidP="006804E8">
      <w:pPr>
        <w:numPr>
          <w:ilvl w:val="0"/>
          <w:numId w:val="52"/>
        </w:numPr>
        <w:tabs>
          <w:tab w:val="left" w:pos="2275"/>
        </w:tabs>
        <w:spacing w:line="242" w:lineRule="auto"/>
        <w:ind w:left="1915"/>
        <w:jc w:val="both"/>
        <w:rPr>
          <w:rFonts w:eastAsia="Times New Roman"/>
          <w:sz w:val="24"/>
          <w:szCs w:val="24"/>
        </w:rPr>
      </w:pPr>
      <w:r w:rsidRPr="004D3FD4">
        <w:rPr>
          <w:rFonts w:eastAsia="Times New Roman"/>
          <w:sz w:val="24"/>
          <w:szCs w:val="24"/>
          <w:u w:val="single"/>
        </w:rPr>
        <w:t>Criteria for Quarterly Monitoring</w:t>
      </w:r>
      <w:r w:rsidRPr="004D3FD4">
        <w:rPr>
          <w:rFonts w:eastAsia="Times New Roman"/>
          <w:sz w:val="24"/>
          <w:szCs w:val="24"/>
        </w:rPr>
        <w:t>. Notwithstanding 310 CMR 22.05(1)(d)2., any Supplier of Water approved in writing by the Department for quarterly monitoring prior to April 1, 2016 may remain on quarterly monitoring unless the Department determines otherwise pursuant to 310 CMR 22.05(1)(d)3. and except as provided in 310 CMR 22.05(1)(d)5. A Supplier of Water may submit a written request to reduce the monitoring frequency for its Public Water System from monthly monitoring to quarterly monitoring, subject to the following requirements. The Supplier of Water must demonstrate, subject to the Department's written approval, that its Public Water System meets the criteria set forth in 310 CMR 22.05(1)(d)4.a. through f.</w:t>
      </w:r>
    </w:p>
    <w:p w14:paraId="2819D089" w14:textId="77777777" w:rsidR="004647B9" w:rsidRPr="004D3FD4" w:rsidRDefault="00E2436F" w:rsidP="00771B48">
      <w:pPr>
        <w:numPr>
          <w:ilvl w:val="1"/>
          <w:numId w:val="52"/>
        </w:numPr>
        <w:tabs>
          <w:tab w:val="left" w:pos="2756"/>
        </w:tabs>
        <w:spacing w:line="243" w:lineRule="auto"/>
        <w:ind w:left="2280" w:hanging="5"/>
        <w:rPr>
          <w:rFonts w:eastAsia="Times New Roman"/>
          <w:sz w:val="24"/>
          <w:szCs w:val="24"/>
        </w:rPr>
      </w:pPr>
      <w:r w:rsidRPr="004D3FD4">
        <w:rPr>
          <w:rFonts w:eastAsia="Times New Roman"/>
          <w:sz w:val="24"/>
          <w:szCs w:val="24"/>
        </w:rPr>
        <w:t>The Public Water System must have a Clean Compliance History for the preceding 12 months;</w:t>
      </w:r>
    </w:p>
    <w:p w14:paraId="2819D08A" w14:textId="5B70926F" w:rsidR="004647B9" w:rsidRPr="004D3FD4" w:rsidRDefault="00E2436F" w:rsidP="00771B48">
      <w:pPr>
        <w:numPr>
          <w:ilvl w:val="1"/>
          <w:numId w:val="52"/>
        </w:numPr>
        <w:tabs>
          <w:tab w:val="left" w:pos="2681"/>
        </w:tabs>
        <w:spacing w:line="253" w:lineRule="auto"/>
        <w:ind w:left="2280" w:hanging="5"/>
        <w:jc w:val="both"/>
        <w:rPr>
          <w:rFonts w:eastAsia="Times New Roman"/>
          <w:sz w:val="24"/>
          <w:szCs w:val="24"/>
        </w:rPr>
      </w:pPr>
      <w:r w:rsidRPr="004D3FD4">
        <w:rPr>
          <w:rFonts w:eastAsia="Times New Roman"/>
          <w:sz w:val="24"/>
          <w:szCs w:val="24"/>
        </w:rPr>
        <w:t>The Public Water System must be found to be free of Sanitary Defects based upon one or more of the following, which must have occurred during the preceding</w:t>
      </w:r>
      <w:r w:rsidR="009639FD">
        <w:rPr>
          <w:rFonts w:eastAsia="Times New Roman"/>
          <w:sz w:val="24"/>
          <w:szCs w:val="24"/>
        </w:rPr>
        <w:t xml:space="preserve"> 12 months:</w:t>
      </w:r>
    </w:p>
    <w:p w14:paraId="2819D08E" w14:textId="77777777" w:rsidR="004647B9" w:rsidRPr="004D3FD4" w:rsidRDefault="00E2436F" w:rsidP="00771B48">
      <w:pPr>
        <w:numPr>
          <w:ilvl w:val="2"/>
          <w:numId w:val="52"/>
        </w:numPr>
        <w:tabs>
          <w:tab w:val="left" w:pos="2940"/>
        </w:tabs>
        <w:ind w:left="2940" w:hanging="305"/>
        <w:rPr>
          <w:rFonts w:eastAsia="Times New Roman"/>
          <w:sz w:val="24"/>
          <w:szCs w:val="24"/>
        </w:rPr>
      </w:pPr>
      <w:r w:rsidRPr="004D3FD4">
        <w:rPr>
          <w:rFonts w:eastAsia="Times New Roman"/>
          <w:sz w:val="24"/>
          <w:szCs w:val="24"/>
        </w:rPr>
        <w:t>a Sanitary Survey;</w:t>
      </w:r>
    </w:p>
    <w:p w14:paraId="2819D090" w14:textId="77777777" w:rsidR="004647B9" w:rsidRPr="004D3FD4" w:rsidRDefault="00E2436F" w:rsidP="00771B48">
      <w:pPr>
        <w:numPr>
          <w:ilvl w:val="2"/>
          <w:numId w:val="52"/>
        </w:numPr>
        <w:tabs>
          <w:tab w:val="left" w:pos="3000"/>
        </w:tabs>
        <w:ind w:left="3000" w:hanging="365"/>
        <w:rPr>
          <w:rFonts w:eastAsia="Times New Roman"/>
          <w:sz w:val="24"/>
          <w:szCs w:val="24"/>
        </w:rPr>
      </w:pPr>
      <w:r w:rsidRPr="004D3FD4">
        <w:rPr>
          <w:rFonts w:eastAsia="Times New Roman"/>
          <w:sz w:val="24"/>
          <w:szCs w:val="24"/>
        </w:rPr>
        <w:t>a site visit completed by the Department;</w:t>
      </w:r>
    </w:p>
    <w:p w14:paraId="2819D092" w14:textId="77777777" w:rsidR="004647B9" w:rsidRPr="004D3FD4" w:rsidRDefault="00E2436F" w:rsidP="00771B48">
      <w:pPr>
        <w:numPr>
          <w:ilvl w:val="2"/>
          <w:numId w:val="52"/>
        </w:numPr>
        <w:tabs>
          <w:tab w:val="left" w:pos="3080"/>
        </w:tabs>
        <w:ind w:left="3080" w:hanging="445"/>
        <w:rPr>
          <w:rFonts w:eastAsia="Times New Roman"/>
          <w:sz w:val="24"/>
          <w:szCs w:val="24"/>
        </w:rPr>
      </w:pPr>
      <w:r w:rsidRPr="004D3FD4">
        <w:rPr>
          <w:rFonts w:eastAsia="Times New Roman"/>
          <w:sz w:val="24"/>
          <w:szCs w:val="24"/>
        </w:rPr>
        <w:t>a voluntary Level 2 Assessment by a Person approved by the Department.</w:t>
      </w:r>
    </w:p>
    <w:p w14:paraId="2819D094" w14:textId="77777777" w:rsidR="004647B9" w:rsidRDefault="00E2436F" w:rsidP="00771B48">
      <w:pPr>
        <w:numPr>
          <w:ilvl w:val="1"/>
          <w:numId w:val="52"/>
        </w:numPr>
        <w:tabs>
          <w:tab w:val="left" w:pos="2597"/>
        </w:tabs>
        <w:spacing w:line="243" w:lineRule="auto"/>
        <w:ind w:left="2280" w:hanging="5"/>
        <w:rPr>
          <w:rFonts w:eastAsia="Times New Roman"/>
          <w:sz w:val="24"/>
          <w:szCs w:val="24"/>
        </w:rPr>
      </w:pPr>
      <w:r>
        <w:rPr>
          <w:rFonts w:eastAsia="Times New Roman"/>
          <w:sz w:val="24"/>
          <w:szCs w:val="24"/>
        </w:rPr>
        <w:t>The Public Water System is in compliance with 310 CMR 22.21(1)(b)3. through 5., (3)(b) and (4);</w:t>
      </w:r>
    </w:p>
    <w:p w14:paraId="2819D095" w14:textId="77777777" w:rsidR="004647B9" w:rsidRDefault="00E2436F" w:rsidP="00771B48">
      <w:pPr>
        <w:numPr>
          <w:ilvl w:val="1"/>
          <w:numId w:val="52"/>
        </w:numPr>
        <w:tabs>
          <w:tab w:val="left" w:pos="2705"/>
        </w:tabs>
        <w:spacing w:line="243" w:lineRule="auto"/>
        <w:ind w:left="2280" w:hanging="5"/>
        <w:rPr>
          <w:rFonts w:eastAsia="Times New Roman"/>
          <w:sz w:val="24"/>
          <w:szCs w:val="24"/>
        </w:rPr>
      </w:pPr>
      <w:r>
        <w:rPr>
          <w:rFonts w:eastAsia="Times New Roman"/>
          <w:sz w:val="24"/>
          <w:szCs w:val="24"/>
        </w:rPr>
        <w:t>The Public Water System must be in compliance with the certified operator provisions under 310 CMR 22.11B;</w:t>
      </w:r>
    </w:p>
    <w:p w14:paraId="2819D096" w14:textId="77777777" w:rsidR="004647B9" w:rsidRDefault="00E2436F" w:rsidP="00771B48">
      <w:pPr>
        <w:numPr>
          <w:ilvl w:val="1"/>
          <w:numId w:val="52"/>
        </w:numPr>
        <w:tabs>
          <w:tab w:val="left" w:pos="2771"/>
        </w:tabs>
        <w:spacing w:line="243" w:lineRule="auto"/>
        <w:ind w:left="2280" w:hanging="5"/>
        <w:rPr>
          <w:rFonts w:eastAsia="Times New Roman"/>
          <w:sz w:val="24"/>
          <w:szCs w:val="24"/>
        </w:rPr>
      </w:pPr>
      <w:r>
        <w:rPr>
          <w:rFonts w:eastAsia="Times New Roman"/>
          <w:sz w:val="24"/>
          <w:szCs w:val="24"/>
        </w:rPr>
        <w:t>The Public Water System is not required to disinfect for microbiological contaminants by the Department pursuant to 310 CMR 22.05; and</w:t>
      </w:r>
    </w:p>
    <w:p w14:paraId="2819D097" w14:textId="77777777" w:rsidR="004647B9" w:rsidRDefault="00E2436F" w:rsidP="00771B48">
      <w:pPr>
        <w:numPr>
          <w:ilvl w:val="1"/>
          <w:numId w:val="52"/>
        </w:numPr>
        <w:tabs>
          <w:tab w:val="left" w:pos="2650"/>
        </w:tabs>
        <w:spacing w:line="243" w:lineRule="auto"/>
        <w:ind w:left="2280" w:hanging="5"/>
        <w:rPr>
          <w:rFonts w:eastAsia="Times New Roman"/>
          <w:sz w:val="24"/>
          <w:szCs w:val="24"/>
        </w:rPr>
      </w:pPr>
      <w:r>
        <w:rPr>
          <w:rFonts w:eastAsia="Times New Roman"/>
          <w:sz w:val="24"/>
          <w:szCs w:val="24"/>
        </w:rPr>
        <w:t>The Public Water System must be constructed in compliance with 310 CMR 22.04.</w:t>
      </w:r>
    </w:p>
    <w:p w14:paraId="2819D098" w14:textId="77777777" w:rsidR="004647B9" w:rsidRDefault="00E2436F" w:rsidP="006804E8">
      <w:pPr>
        <w:numPr>
          <w:ilvl w:val="0"/>
          <w:numId w:val="52"/>
        </w:numPr>
        <w:tabs>
          <w:tab w:val="left" w:pos="2275"/>
        </w:tabs>
        <w:spacing w:line="242" w:lineRule="auto"/>
        <w:ind w:left="1915"/>
        <w:jc w:val="both"/>
        <w:rPr>
          <w:rFonts w:eastAsia="Times New Roman"/>
          <w:sz w:val="24"/>
          <w:szCs w:val="24"/>
        </w:rPr>
      </w:pPr>
      <w:r>
        <w:rPr>
          <w:rFonts w:eastAsia="Times New Roman"/>
          <w:sz w:val="24"/>
          <w:szCs w:val="24"/>
        </w:rPr>
        <w:t>Increased monitoring requirements for Public Water Systems on quarterly monitoring. A Supplier of Water who operates a Public Water System on quarterly monitoring that experiences any of the events identified in 310 CMR 22.05(1)(d)5.a., through d. shall begin monthly monitoring the month following the event. The Supplier of Water shall continue monthly monitoring until approved to return to quarterly monitoring in accordance with 310 CMR 22.05(1)(d)4. A Public Water System on monthly monitoring for reasons other than those identified in 310 CMR 22.05(1)(d)5.a. through d. is not considered to be on increased monitoring for the purposes of 310 CMR 22.05(1)(d)4.</w:t>
      </w:r>
    </w:p>
    <w:p w14:paraId="2819D099" w14:textId="77777777" w:rsidR="004647B9" w:rsidRDefault="00E2436F" w:rsidP="00771B48">
      <w:pPr>
        <w:numPr>
          <w:ilvl w:val="1"/>
          <w:numId w:val="52"/>
        </w:numPr>
        <w:tabs>
          <w:tab w:val="left" w:pos="2785"/>
        </w:tabs>
        <w:spacing w:line="243" w:lineRule="auto"/>
        <w:ind w:left="2280" w:hanging="5"/>
        <w:rPr>
          <w:rFonts w:eastAsia="Times New Roman"/>
          <w:sz w:val="24"/>
          <w:szCs w:val="24"/>
        </w:rPr>
      </w:pPr>
      <w:r>
        <w:rPr>
          <w:rFonts w:eastAsia="Times New Roman"/>
          <w:sz w:val="24"/>
          <w:szCs w:val="24"/>
        </w:rPr>
        <w:t>The Public Water System triggers a Level 2 assessment or two Level 1 assessments under 310 CMR 22.05(4) in a rolling 12-month period.</w:t>
      </w:r>
    </w:p>
    <w:p w14:paraId="2819D09A" w14:textId="77777777" w:rsidR="004647B9" w:rsidRDefault="00E2436F" w:rsidP="00771B48">
      <w:pPr>
        <w:numPr>
          <w:ilvl w:val="1"/>
          <w:numId w:val="52"/>
        </w:numPr>
        <w:tabs>
          <w:tab w:val="left" w:pos="2640"/>
        </w:tabs>
        <w:ind w:left="2640" w:hanging="365"/>
        <w:rPr>
          <w:rFonts w:eastAsia="Times New Roman"/>
          <w:sz w:val="24"/>
          <w:szCs w:val="24"/>
        </w:rPr>
      </w:pPr>
      <w:r>
        <w:rPr>
          <w:rFonts w:eastAsia="Times New Roman"/>
          <w:sz w:val="24"/>
          <w:szCs w:val="24"/>
        </w:rPr>
        <w:t xml:space="preserve">The Public Water System has an </w:t>
      </w:r>
      <w:r>
        <w:rPr>
          <w:rFonts w:eastAsia="Times New Roman"/>
          <w:i/>
          <w:iCs/>
          <w:sz w:val="24"/>
          <w:szCs w:val="24"/>
        </w:rPr>
        <w:t>E. coli</w:t>
      </w:r>
      <w:r>
        <w:rPr>
          <w:rFonts w:eastAsia="Times New Roman"/>
          <w:sz w:val="24"/>
          <w:szCs w:val="24"/>
        </w:rPr>
        <w:t xml:space="preserve"> MCL violation.</w:t>
      </w:r>
    </w:p>
    <w:p w14:paraId="2819D09C" w14:textId="77777777" w:rsidR="004647B9" w:rsidRDefault="00E2436F" w:rsidP="00771B48">
      <w:pPr>
        <w:numPr>
          <w:ilvl w:val="1"/>
          <w:numId w:val="52"/>
        </w:numPr>
        <w:tabs>
          <w:tab w:val="left" w:pos="2620"/>
        </w:tabs>
        <w:ind w:left="2620" w:hanging="345"/>
        <w:rPr>
          <w:rFonts w:eastAsia="Times New Roman"/>
          <w:sz w:val="24"/>
          <w:szCs w:val="24"/>
        </w:rPr>
      </w:pPr>
      <w:r>
        <w:rPr>
          <w:rFonts w:eastAsia="Times New Roman"/>
          <w:sz w:val="24"/>
          <w:szCs w:val="24"/>
        </w:rPr>
        <w:t>The Public Water System has a coliform treatment technique violation.</w:t>
      </w:r>
    </w:p>
    <w:p w14:paraId="2819D09E" w14:textId="77777777" w:rsidR="004647B9" w:rsidRDefault="00E2436F" w:rsidP="00771B48">
      <w:pPr>
        <w:numPr>
          <w:ilvl w:val="1"/>
          <w:numId w:val="52"/>
        </w:numPr>
        <w:tabs>
          <w:tab w:val="left" w:pos="2762"/>
        </w:tabs>
        <w:spacing w:line="245" w:lineRule="auto"/>
        <w:ind w:left="2280" w:hanging="5"/>
        <w:jc w:val="both"/>
        <w:rPr>
          <w:rFonts w:eastAsia="Times New Roman"/>
          <w:sz w:val="24"/>
          <w:szCs w:val="24"/>
        </w:rPr>
      </w:pPr>
      <w:r>
        <w:rPr>
          <w:rFonts w:eastAsia="Times New Roman"/>
          <w:sz w:val="24"/>
          <w:szCs w:val="24"/>
        </w:rPr>
        <w:t>The Public Water System has two monitoring violations under 310 CMR 22.05(11)(c) or one monitoring violation under 310 CMR 22.05(11)(c) and one Level 1 assessment under 310 CMR 22.05(4) in a rolling 12-month period.</w:t>
      </w:r>
    </w:p>
    <w:p w14:paraId="2819D09F" w14:textId="77777777" w:rsidR="004647B9" w:rsidRDefault="004647B9">
      <w:pPr>
        <w:sectPr w:rsidR="004647B9" w:rsidSect="00EF630C">
          <w:pgSz w:w="12240" w:h="20180"/>
          <w:pgMar w:top="708" w:right="1440" w:bottom="1440" w:left="600" w:header="0" w:footer="0" w:gutter="0"/>
          <w:cols w:space="720" w:equalWidth="0">
            <w:col w:w="10200"/>
          </w:cols>
        </w:sectPr>
      </w:pPr>
    </w:p>
    <w:p w14:paraId="2819D0A0" w14:textId="77777777" w:rsidR="004647B9" w:rsidRDefault="00E2436F">
      <w:pPr>
        <w:tabs>
          <w:tab w:val="left" w:pos="160"/>
        </w:tabs>
        <w:jc w:val="center"/>
        <w:rPr>
          <w:sz w:val="20"/>
          <w:szCs w:val="20"/>
        </w:rPr>
      </w:pPr>
      <w:bookmarkStart w:id="32" w:name="page33"/>
      <w:bookmarkEnd w:id="3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0A1" w14:textId="77777777" w:rsidR="004647B9" w:rsidRDefault="004647B9">
      <w:pPr>
        <w:spacing w:line="200" w:lineRule="exact"/>
        <w:rPr>
          <w:sz w:val="20"/>
          <w:szCs w:val="20"/>
        </w:rPr>
      </w:pPr>
    </w:p>
    <w:p w14:paraId="2819D0A2" w14:textId="77777777" w:rsidR="004647B9" w:rsidRDefault="004647B9" w:rsidP="00FB138C">
      <w:pPr>
        <w:rPr>
          <w:sz w:val="20"/>
          <w:szCs w:val="20"/>
        </w:rPr>
      </w:pPr>
    </w:p>
    <w:p w14:paraId="2819D0A3"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0A4" w14:textId="77777777" w:rsidR="004647B9" w:rsidRDefault="004647B9" w:rsidP="00FB138C">
      <w:pPr>
        <w:rPr>
          <w:sz w:val="20"/>
          <w:szCs w:val="20"/>
        </w:rPr>
      </w:pPr>
    </w:p>
    <w:p w14:paraId="2819D0A5" w14:textId="77777777" w:rsidR="004647B9" w:rsidRPr="00EE7146" w:rsidRDefault="00E2436F" w:rsidP="006804E8">
      <w:pPr>
        <w:numPr>
          <w:ilvl w:val="0"/>
          <w:numId w:val="53"/>
        </w:numPr>
        <w:tabs>
          <w:tab w:val="left" w:pos="2280"/>
        </w:tabs>
        <w:ind w:left="2275" w:hanging="360"/>
        <w:rPr>
          <w:rFonts w:eastAsia="Times New Roman"/>
          <w:sz w:val="24"/>
          <w:szCs w:val="24"/>
        </w:rPr>
      </w:pPr>
      <w:r w:rsidRPr="00EE7146">
        <w:rPr>
          <w:rFonts w:eastAsia="Times New Roman"/>
          <w:sz w:val="24"/>
          <w:szCs w:val="24"/>
          <w:u w:val="single"/>
        </w:rPr>
        <w:t>Seasonal Systems</w:t>
      </w:r>
      <w:r w:rsidRPr="00EE7146">
        <w:rPr>
          <w:rFonts w:eastAsia="Times New Roman"/>
          <w:sz w:val="24"/>
          <w:szCs w:val="24"/>
        </w:rPr>
        <w:t>.</w:t>
      </w:r>
    </w:p>
    <w:p w14:paraId="2819D0A7" w14:textId="0C0A500F" w:rsidR="004647B9" w:rsidRPr="00EE7146" w:rsidRDefault="00E2436F" w:rsidP="00EF241A">
      <w:pPr>
        <w:numPr>
          <w:ilvl w:val="0"/>
          <w:numId w:val="1014"/>
        </w:numPr>
        <w:tabs>
          <w:tab w:val="left" w:pos="2785"/>
        </w:tabs>
        <w:spacing w:line="243" w:lineRule="auto"/>
        <w:ind w:left="2275"/>
        <w:rPr>
          <w:rFonts w:eastAsia="Times New Roman"/>
          <w:sz w:val="24"/>
          <w:szCs w:val="24"/>
        </w:rPr>
      </w:pPr>
      <w:r w:rsidRPr="00EE7146">
        <w:rPr>
          <w:rFonts w:eastAsia="Times New Roman"/>
          <w:sz w:val="24"/>
          <w:szCs w:val="24"/>
        </w:rPr>
        <w:t>A Supplier of Water who owns or operates a Seasonal System shall demonstrate completion of a Department approved start-up procedure prior to serving water to the public each season, including start-up sampling, in accordance with the following requirements. A written start-up procedure signed by the Supplier of Water shall be submitted no less than seven days prior to serving water to the public each season, and shall be deemed approved unless the Department otherwise notifies the Supplier of Water prior to the date the Supplier of Water will begin serving water to the public, provided that the written start-up procedure includes all of the following elements:</w:t>
      </w:r>
    </w:p>
    <w:p w14:paraId="2819D0A8" w14:textId="77777777" w:rsidR="004647B9" w:rsidRPr="00EE7146" w:rsidRDefault="00E2436F" w:rsidP="00771B48">
      <w:pPr>
        <w:numPr>
          <w:ilvl w:val="2"/>
          <w:numId w:val="53"/>
        </w:numPr>
        <w:tabs>
          <w:tab w:val="left" w:pos="3040"/>
        </w:tabs>
        <w:spacing w:line="243" w:lineRule="auto"/>
        <w:ind w:left="2640" w:hanging="5"/>
        <w:rPr>
          <w:rFonts w:eastAsia="Times New Roman"/>
          <w:sz w:val="24"/>
          <w:szCs w:val="24"/>
        </w:rPr>
      </w:pPr>
      <w:r w:rsidRPr="00EE7146">
        <w:rPr>
          <w:rFonts w:eastAsia="Times New Roman"/>
          <w:sz w:val="24"/>
          <w:szCs w:val="24"/>
        </w:rPr>
        <w:t>notification to the Department and the Primary Operator of the date the Supplier of Water will begin serving water to the public;</w:t>
      </w:r>
    </w:p>
    <w:p w14:paraId="2819D0A9" w14:textId="77777777" w:rsidR="004647B9" w:rsidRPr="00EE7146" w:rsidRDefault="00E2436F" w:rsidP="00771B48">
      <w:pPr>
        <w:numPr>
          <w:ilvl w:val="2"/>
          <w:numId w:val="53"/>
        </w:numPr>
        <w:tabs>
          <w:tab w:val="left" w:pos="2971"/>
        </w:tabs>
        <w:spacing w:line="243" w:lineRule="auto"/>
        <w:ind w:left="2640" w:hanging="5"/>
        <w:rPr>
          <w:rFonts w:eastAsia="Times New Roman"/>
          <w:sz w:val="24"/>
          <w:szCs w:val="24"/>
        </w:rPr>
      </w:pPr>
      <w:r w:rsidRPr="00EE7146">
        <w:rPr>
          <w:rFonts w:eastAsia="Times New Roman"/>
          <w:sz w:val="24"/>
          <w:szCs w:val="24"/>
        </w:rPr>
        <w:t>inspection of all Seasonal System components including source(s), treatment components, distribution lines and storage tanks;</w:t>
      </w:r>
    </w:p>
    <w:p w14:paraId="2819D0AA" w14:textId="77777777" w:rsidR="004647B9" w:rsidRPr="00EE7146" w:rsidRDefault="00E2436F" w:rsidP="00771B48">
      <w:pPr>
        <w:numPr>
          <w:ilvl w:val="2"/>
          <w:numId w:val="53"/>
        </w:numPr>
        <w:tabs>
          <w:tab w:val="left" w:pos="3080"/>
        </w:tabs>
        <w:ind w:left="3080" w:hanging="445"/>
        <w:rPr>
          <w:rFonts w:eastAsia="Times New Roman"/>
          <w:sz w:val="24"/>
          <w:szCs w:val="24"/>
        </w:rPr>
      </w:pPr>
      <w:r w:rsidRPr="00EE7146">
        <w:rPr>
          <w:rFonts w:eastAsia="Times New Roman"/>
          <w:sz w:val="24"/>
          <w:szCs w:val="24"/>
        </w:rPr>
        <w:t>activation of source(s);</w:t>
      </w:r>
    </w:p>
    <w:p w14:paraId="2819D0AC" w14:textId="77777777" w:rsidR="004647B9" w:rsidRPr="00EE7146" w:rsidRDefault="00E2436F" w:rsidP="00771B48">
      <w:pPr>
        <w:numPr>
          <w:ilvl w:val="2"/>
          <w:numId w:val="53"/>
        </w:numPr>
        <w:tabs>
          <w:tab w:val="left" w:pos="3060"/>
        </w:tabs>
        <w:ind w:left="3060" w:hanging="425"/>
        <w:rPr>
          <w:rFonts w:eastAsia="Times New Roman"/>
          <w:sz w:val="24"/>
          <w:szCs w:val="24"/>
        </w:rPr>
      </w:pPr>
      <w:r w:rsidRPr="00EE7146">
        <w:rPr>
          <w:rFonts w:eastAsia="Times New Roman"/>
          <w:sz w:val="24"/>
          <w:szCs w:val="24"/>
        </w:rPr>
        <w:t>flushing of the entire Distribution System;</w:t>
      </w:r>
    </w:p>
    <w:p w14:paraId="2819D0AE" w14:textId="77777777" w:rsidR="004647B9" w:rsidRPr="00EE7146" w:rsidRDefault="00E2436F" w:rsidP="00771B48">
      <w:pPr>
        <w:numPr>
          <w:ilvl w:val="2"/>
          <w:numId w:val="53"/>
        </w:numPr>
        <w:tabs>
          <w:tab w:val="left" w:pos="2971"/>
        </w:tabs>
        <w:spacing w:line="243" w:lineRule="auto"/>
        <w:ind w:left="2640" w:hanging="5"/>
        <w:jc w:val="both"/>
        <w:rPr>
          <w:rFonts w:eastAsia="Times New Roman"/>
          <w:sz w:val="24"/>
          <w:szCs w:val="24"/>
        </w:rPr>
      </w:pPr>
      <w:r w:rsidRPr="00EE7146">
        <w:rPr>
          <w:rFonts w:eastAsia="Times New Roman"/>
          <w:sz w:val="24"/>
          <w:szCs w:val="24"/>
        </w:rPr>
        <w:t>collection of coliform samples in accordance with the Department-approved coliform sampling plan, including any additional samples representing the re-activated portions of the system;</w:t>
      </w:r>
    </w:p>
    <w:p w14:paraId="2819D0B0" w14:textId="77777777" w:rsidR="004647B9" w:rsidRPr="00EE7146" w:rsidRDefault="00E2436F" w:rsidP="00771B48">
      <w:pPr>
        <w:numPr>
          <w:ilvl w:val="2"/>
          <w:numId w:val="53"/>
        </w:numPr>
        <w:tabs>
          <w:tab w:val="left" w:pos="3038"/>
        </w:tabs>
        <w:spacing w:line="243" w:lineRule="auto"/>
        <w:ind w:left="2640" w:hanging="5"/>
        <w:jc w:val="both"/>
        <w:rPr>
          <w:rFonts w:eastAsia="Times New Roman"/>
          <w:sz w:val="24"/>
          <w:szCs w:val="24"/>
        </w:rPr>
      </w:pPr>
      <w:r w:rsidRPr="00EE7146">
        <w:rPr>
          <w:rFonts w:eastAsia="Times New Roman"/>
          <w:sz w:val="24"/>
          <w:szCs w:val="24"/>
        </w:rPr>
        <w:t>if the Seasonal System uses chlorination, a requirement that all chlorination equipment be installed and operational and chlorinated water be left in the Distribution System for at least 24 hours and then flushed prior to any coliform sample collection;</w:t>
      </w:r>
    </w:p>
    <w:p w14:paraId="2819D0B1" w14:textId="77777777" w:rsidR="004647B9" w:rsidRPr="00EE7146" w:rsidRDefault="00E2436F" w:rsidP="00771B48">
      <w:pPr>
        <w:numPr>
          <w:ilvl w:val="2"/>
          <w:numId w:val="53"/>
        </w:numPr>
        <w:tabs>
          <w:tab w:val="left" w:pos="3193"/>
        </w:tabs>
        <w:spacing w:line="243" w:lineRule="auto"/>
        <w:ind w:left="2640" w:hanging="5"/>
        <w:rPr>
          <w:rFonts w:eastAsia="Times New Roman"/>
          <w:sz w:val="24"/>
          <w:szCs w:val="24"/>
        </w:rPr>
      </w:pPr>
      <w:r w:rsidRPr="00EE7146">
        <w:rPr>
          <w:rFonts w:eastAsia="Times New Roman"/>
          <w:sz w:val="24"/>
          <w:szCs w:val="24"/>
        </w:rPr>
        <w:t>a requirement that the Seasonal System disinfect and flush atmospheric storage tank(s) if applicable; and</w:t>
      </w:r>
    </w:p>
    <w:p w14:paraId="2819D0B2" w14:textId="3DA04F83" w:rsidR="004647B9" w:rsidRPr="00EE7146" w:rsidRDefault="00E2436F" w:rsidP="00A02842">
      <w:pPr>
        <w:numPr>
          <w:ilvl w:val="2"/>
          <w:numId w:val="53"/>
        </w:numPr>
        <w:tabs>
          <w:tab w:val="left" w:pos="3220"/>
        </w:tabs>
        <w:ind w:left="2635"/>
        <w:rPr>
          <w:rFonts w:eastAsia="Times New Roman"/>
          <w:sz w:val="24"/>
          <w:szCs w:val="24"/>
        </w:rPr>
      </w:pPr>
      <w:r w:rsidRPr="00EE7146">
        <w:rPr>
          <w:rFonts w:eastAsia="Times New Roman"/>
          <w:sz w:val="24"/>
          <w:szCs w:val="24"/>
        </w:rPr>
        <w:t>a requirement to re-install water meters, and re-install and test backflow</w:t>
      </w:r>
      <w:r w:rsidR="00A02842">
        <w:rPr>
          <w:rFonts w:eastAsia="Times New Roman"/>
          <w:sz w:val="24"/>
          <w:szCs w:val="24"/>
        </w:rPr>
        <w:t xml:space="preserve"> preventers throughout the Distribution System, if applicable.</w:t>
      </w:r>
    </w:p>
    <w:p w14:paraId="2819D0B6" w14:textId="77777777" w:rsidR="004647B9" w:rsidRPr="00EE7146" w:rsidRDefault="00E2436F">
      <w:pPr>
        <w:spacing w:line="242" w:lineRule="auto"/>
        <w:ind w:left="2280" w:firstLine="360"/>
        <w:jc w:val="both"/>
        <w:rPr>
          <w:sz w:val="24"/>
          <w:szCs w:val="24"/>
        </w:rPr>
      </w:pPr>
      <w:r w:rsidRPr="00EE7146">
        <w:rPr>
          <w:rFonts w:eastAsia="Times New Roman"/>
          <w:sz w:val="24"/>
          <w:szCs w:val="24"/>
        </w:rPr>
        <w:t>Completion of a start-up procedure shall be demonstrated by submitting a description of all start-up activities completed on a Department-approved form, signed by the Supplier of Water, to the Department no less than seven days prior to serving water to the public each season, which shall constitute the Supplier of Water's certification of the completion of the start-up procedure.</w:t>
      </w:r>
    </w:p>
    <w:p w14:paraId="2819D0BA" w14:textId="10F31BB2" w:rsidR="004647B9" w:rsidRPr="00EE7146" w:rsidRDefault="00E2436F" w:rsidP="00771B48">
      <w:pPr>
        <w:numPr>
          <w:ilvl w:val="0"/>
          <w:numId w:val="54"/>
        </w:numPr>
        <w:tabs>
          <w:tab w:val="left" w:pos="2620"/>
        </w:tabs>
        <w:ind w:left="2280" w:hanging="5"/>
        <w:rPr>
          <w:rFonts w:eastAsia="Times New Roman"/>
          <w:sz w:val="24"/>
          <w:szCs w:val="24"/>
        </w:rPr>
      </w:pPr>
      <w:r w:rsidRPr="00EE7146">
        <w:rPr>
          <w:rFonts w:eastAsia="Times New Roman"/>
          <w:sz w:val="24"/>
          <w:szCs w:val="24"/>
          <w:u w:val="single"/>
        </w:rPr>
        <w:t>Monitoring Frequency for Total Coliforms</w:t>
      </w:r>
      <w:r w:rsidRPr="00EE7146">
        <w:rPr>
          <w:rFonts w:eastAsia="Times New Roman"/>
          <w:sz w:val="24"/>
          <w:szCs w:val="24"/>
        </w:rPr>
        <w:t>. All Suppliers of Water who operate</w:t>
      </w:r>
      <w:r w:rsidR="00EE7146">
        <w:rPr>
          <w:rFonts w:eastAsia="Times New Roman"/>
          <w:sz w:val="24"/>
          <w:szCs w:val="24"/>
        </w:rPr>
        <w:t xml:space="preserve"> a </w:t>
      </w:r>
      <w:r w:rsidRPr="00EE7146">
        <w:rPr>
          <w:rFonts w:eastAsia="Times New Roman"/>
          <w:sz w:val="24"/>
          <w:szCs w:val="24"/>
        </w:rPr>
        <w:t xml:space="preserve">Seasonal System described in 310 CMR 22.05(1)(d)1.a. shall monitor for total coliforms each calendar month that it is in operation unless it meets the criteria in 310 CMR 22.05(1)(d)6.b.i. </w:t>
      </w:r>
      <w:r w:rsidR="00785369">
        <w:rPr>
          <w:rFonts w:eastAsia="Times New Roman"/>
          <w:sz w:val="24"/>
          <w:szCs w:val="24"/>
        </w:rPr>
        <w:t>and</w:t>
      </w:r>
      <w:r w:rsidR="00785369" w:rsidRPr="00EE7146">
        <w:rPr>
          <w:rFonts w:eastAsia="Times New Roman"/>
          <w:sz w:val="24"/>
          <w:szCs w:val="24"/>
        </w:rPr>
        <w:t xml:space="preserve"> </w:t>
      </w:r>
      <w:r w:rsidRPr="00EE7146">
        <w:rPr>
          <w:rFonts w:eastAsia="Times New Roman"/>
          <w:sz w:val="24"/>
          <w:szCs w:val="24"/>
        </w:rPr>
        <w:t>i</w:t>
      </w:r>
      <w:r w:rsidR="003C40D0">
        <w:rPr>
          <w:rFonts w:eastAsia="Times New Roman"/>
          <w:sz w:val="24"/>
          <w:szCs w:val="24"/>
        </w:rPr>
        <w:t>i</w:t>
      </w:r>
      <w:r w:rsidRPr="00EE7146">
        <w:rPr>
          <w:rFonts w:eastAsia="Times New Roman"/>
          <w:sz w:val="24"/>
          <w:szCs w:val="24"/>
        </w:rPr>
        <w:t>. to be eligible for monitoring less frequently than monthly, except as provided in 310 CMR 22.05(1)(d)3.</w:t>
      </w:r>
    </w:p>
    <w:p w14:paraId="2819D0BB" w14:textId="77777777" w:rsidR="004647B9" w:rsidRDefault="00E2436F" w:rsidP="00771B48">
      <w:pPr>
        <w:numPr>
          <w:ilvl w:val="1"/>
          <w:numId w:val="55"/>
        </w:numPr>
        <w:tabs>
          <w:tab w:val="left" w:pos="3026"/>
        </w:tabs>
        <w:spacing w:line="242" w:lineRule="auto"/>
        <w:ind w:left="2640" w:hanging="5"/>
        <w:jc w:val="both"/>
        <w:rPr>
          <w:rFonts w:eastAsia="Times New Roman"/>
          <w:sz w:val="24"/>
          <w:szCs w:val="24"/>
        </w:rPr>
      </w:pPr>
      <w:r>
        <w:rPr>
          <w:rFonts w:eastAsia="Times New Roman"/>
          <w:sz w:val="24"/>
          <w:szCs w:val="24"/>
        </w:rPr>
        <w:t>Seasonal Systems monitoring less frequently than monthly shall have an approved coliform sampling plan that designates the time period for monitoring based on site-specific considerations (</w:t>
      </w:r>
      <w:r>
        <w:rPr>
          <w:rFonts w:eastAsia="Times New Roman"/>
          <w:i/>
          <w:iCs/>
          <w:sz w:val="24"/>
          <w:szCs w:val="24"/>
        </w:rPr>
        <w:t>e.g</w:t>
      </w:r>
      <w:r>
        <w:rPr>
          <w:rFonts w:eastAsia="Times New Roman"/>
          <w:sz w:val="24"/>
          <w:szCs w:val="24"/>
        </w:rPr>
        <w:t>., during periods of highest demand or highest vulnerability to contamination). Seasonal Systems shall collect compliance samples during this time period.</w:t>
      </w:r>
    </w:p>
    <w:p w14:paraId="2819D0BD" w14:textId="77777777" w:rsidR="004647B9" w:rsidRDefault="00E2436F" w:rsidP="00771B48">
      <w:pPr>
        <w:numPr>
          <w:ilvl w:val="1"/>
          <w:numId w:val="55"/>
        </w:numPr>
        <w:tabs>
          <w:tab w:val="left" w:pos="3013"/>
        </w:tabs>
        <w:spacing w:line="243" w:lineRule="auto"/>
        <w:ind w:left="2640" w:hanging="5"/>
        <w:rPr>
          <w:rFonts w:eastAsia="Times New Roman"/>
          <w:sz w:val="24"/>
          <w:szCs w:val="24"/>
        </w:rPr>
      </w:pPr>
      <w:r>
        <w:rPr>
          <w:rFonts w:eastAsia="Times New Roman"/>
          <w:sz w:val="24"/>
          <w:szCs w:val="24"/>
        </w:rPr>
        <w:t>To be eligible for quarterly monitoring, the Seasonal System shall meet the criteria in 310 CMR 22.05(1)(d)4.</w:t>
      </w:r>
    </w:p>
    <w:p w14:paraId="2819D0BE" w14:textId="77777777" w:rsidR="004647B9" w:rsidRDefault="00E2436F" w:rsidP="00771B48">
      <w:pPr>
        <w:numPr>
          <w:ilvl w:val="0"/>
          <w:numId w:val="56"/>
        </w:numPr>
        <w:tabs>
          <w:tab w:val="left" w:pos="2597"/>
        </w:tabs>
        <w:spacing w:line="243" w:lineRule="auto"/>
        <w:ind w:left="2280" w:hanging="5"/>
        <w:jc w:val="both"/>
        <w:rPr>
          <w:rFonts w:eastAsia="Times New Roman"/>
          <w:sz w:val="24"/>
          <w:szCs w:val="24"/>
        </w:rPr>
      </w:pPr>
      <w:r>
        <w:rPr>
          <w:rFonts w:eastAsia="Times New Roman"/>
          <w:sz w:val="24"/>
          <w:szCs w:val="24"/>
        </w:rPr>
        <w:t>The Supplier of Water may request, subject to approval from the Department, an exemption from some or all of the requirements for Seasonal Systems if the entire Distribution System remains pressurized during the entire period that the Seasonal System is not operating, except that a Seasonal System that monitors less frequently than monthly shall still monitor during the vulnerable period designated by the Department pursuant to the site-specific considerations identified in 310 CMR 22.05(1)(d)6.b.i.</w:t>
      </w:r>
    </w:p>
    <w:p w14:paraId="2819D0BF" w14:textId="77777777" w:rsidR="004647B9" w:rsidRDefault="004647B9">
      <w:pPr>
        <w:sectPr w:rsidR="004647B9" w:rsidSect="00EF630C">
          <w:pgSz w:w="12240" w:h="20180"/>
          <w:pgMar w:top="708" w:right="1440" w:bottom="1440" w:left="600" w:header="0" w:footer="0" w:gutter="0"/>
          <w:cols w:space="720" w:equalWidth="0">
            <w:col w:w="10200"/>
          </w:cols>
        </w:sectPr>
      </w:pPr>
    </w:p>
    <w:p w14:paraId="2819D0C0" w14:textId="77777777" w:rsidR="004647B9" w:rsidRDefault="00E2436F">
      <w:pPr>
        <w:tabs>
          <w:tab w:val="left" w:pos="160"/>
        </w:tabs>
        <w:jc w:val="center"/>
        <w:rPr>
          <w:sz w:val="20"/>
          <w:szCs w:val="20"/>
        </w:rPr>
      </w:pPr>
      <w:bookmarkStart w:id="33" w:name="page34"/>
      <w:bookmarkEnd w:id="3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0C1" w14:textId="77777777" w:rsidR="004647B9" w:rsidRDefault="004647B9" w:rsidP="00F06B53">
      <w:pPr>
        <w:rPr>
          <w:sz w:val="20"/>
          <w:szCs w:val="20"/>
        </w:rPr>
      </w:pPr>
    </w:p>
    <w:p w14:paraId="2819D0C2" w14:textId="77777777" w:rsidR="004647B9" w:rsidRDefault="004647B9" w:rsidP="00F06B53">
      <w:pPr>
        <w:rPr>
          <w:sz w:val="20"/>
          <w:szCs w:val="20"/>
        </w:rPr>
      </w:pPr>
    </w:p>
    <w:p w14:paraId="2819D0C3" w14:textId="77777777" w:rsidR="004647B9" w:rsidRDefault="00E2436F" w:rsidP="00F06B53">
      <w:pPr>
        <w:tabs>
          <w:tab w:val="left" w:pos="760"/>
        </w:tabs>
        <w:rPr>
          <w:sz w:val="20"/>
          <w:szCs w:val="20"/>
        </w:rPr>
      </w:pPr>
      <w:r>
        <w:rPr>
          <w:rFonts w:eastAsia="Times New Roman"/>
          <w:sz w:val="24"/>
          <w:szCs w:val="24"/>
        </w:rPr>
        <w:t>22.05:</w:t>
      </w:r>
      <w:r>
        <w:rPr>
          <w:rFonts w:eastAsia="Times New Roman"/>
          <w:sz w:val="24"/>
          <w:szCs w:val="24"/>
        </w:rPr>
        <w:tab/>
        <w:t>continued</w:t>
      </w:r>
    </w:p>
    <w:p w14:paraId="2819D0C4" w14:textId="77777777" w:rsidR="004647B9" w:rsidRDefault="004647B9" w:rsidP="00F06B53">
      <w:pPr>
        <w:rPr>
          <w:sz w:val="20"/>
          <w:szCs w:val="20"/>
        </w:rPr>
      </w:pPr>
    </w:p>
    <w:p w14:paraId="2819D0C7" w14:textId="6B823B00" w:rsidR="004647B9" w:rsidRPr="00EE7146" w:rsidRDefault="00E2436F" w:rsidP="00F06B53">
      <w:pPr>
        <w:numPr>
          <w:ilvl w:val="0"/>
          <w:numId w:val="57"/>
        </w:numPr>
        <w:tabs>
          <w:tab w:val="left" w:pos="2275"/>
        </w:tabs>
        <w:ind w:left="1915"/>
        <w:jc w:val="both"/>
        <w:rPr>
          <w:rFonts w:eastAsia="Times New Roman"/>
          <w:sz w:val="24"/>
          <w:szCs w:val="24"/>
        </w:rPr>
      </w:pPr>
      <w:r w:rsidRPr="00EE7146">
        <w:rPr>
          <w:rFonts w:eastAsia="Times New Roman"/>
          <w:sz w:val="24"/>
          <w:szCs w:val="24"/>
          <w:u w:val="single"/>
        </w:rPr>
        <w:t>Additional Routine Monitoring the Month Following a Total Coliform-positive Sample</w:t>
      </w:r>
      <w:r w:rsidRPr="00EE7146">
        <w:rPr>
          <w:rFonts w:eastAsia="Times New Roman"/>
          <w:sz w:val="24"/>
          <w:szCs w:val="24"/>
        </w:rPr>
        <w:t>. A Public Water System collecting samples on a quarterly frequency shall conduct additional routine monitoring the month following one or more total coliform-positive samples (with or without a Level 1 treatment technique trigger). A Public Water System shall collect at least three routine samples during the next month, except that the Supplier of Water may request, subject to approval from the Department a waiver of this requirement if the conditions of 310 CMR 22.05(1)(d)7.a., b., or c. are met. A Public Water System shall either collect samples at regular time intervals throughout the month or shall collect all required routine samples on a single day if samples are taken from different sites. A Public Water System shall use the results of additional routine samples in coliform Treatment Technique trigger calculations under</w:t>
      </w:r>
      <w:r w:rsidR="00EE7146" w:rsidRPr="00EE7146">
        <w:rPr>
          <w:rFonts w:eastAsia="Times New Roman"/>
          <w:sz w:val="24"/>
          <w:szCs w:val="24"/>
        </w:rPr>
        <w:t xml:space="preserve"> 310 </w:t>
      </w:r>
      <w:r w:rsidRPr="00EE7146">
        <w:rPr>
          <w:rFonts w:eastAsia="Times New Roman"/>
          <w:sz w:val="24"/>
          <w:szCs w:val="24"/>
        </w:rPr>
        <w:t>CMR 22.05(4)(a).</w:t>
      </w:r>
    </w:p>
    <w:p w14:paraId="2819D0C9" w14:textId="77777777" w:rsidR="004647B9" w:rsidRPr="00EE7146" w:rsidRDefault="00E2436F" w:rsidP="00F06B53">
      <w:pPr>
        <w:numPr>
          <w:ilvl w:val="1"/>
          <w:numId w:val="58"/>
        </w:numPr>
        <w:tabs>
          <w:tab w:val="left" w:pos="2655"/>
        </w:tabs>
        <w:ind w:left="2280" w:hanging="5"/>
        <w:jc w:val="both"/>
        <w:rPr>
          <w:rFonts w:eastAsia="Times New Roman"/>
          <w:sz w:val="24"/>
          <w:szCs w:val="24"/>
        </w:rPr>
      </w:pPr>
      <w:r w:rsidRPr="00EE7146">
        <w:rPr>
          <w:rFonts w:eastAsia="Times New Roman"/>
          <w:sz w:val="24"/>
          <w:szCs w:val="24"/>
        </w:rPr>
        <w:t>A Supplier of Water may request, subject to approval from the Department, a waiver of the requirement to collect three routine samples the next month in which the Public Water System provides water to the public if the Department, or an agent approved by the Department, performs a site visit before the end of the next month in which the Public Water System provides water to the public. Although a Sanitary Survey need not be performed, the site visit must be sufficiently detailed to allow the Department to determine whether additional routine monitoring and/or any corrective action is needed. An employee of the Public Water System cannot perform this site visit, even if the employee is an agent approved by the Department to perform Sanitary Surveys.</w:t>
      </w:r>
    </w:p>
    <w:p w14:paraId="2819D0CB" w14:textId="77777777" w:rsidR="004647B9" w:rsidRPr="00EE7146" w:rsidRDefault="00E2436F" w:rsidP="00F06B53">
      <w:pPr>
        <w:numPr>
          <w:ilvl w:val="1"/>
          <w:numId w:val="58"/>
        </w:numPr>
        <w:tabs>
          <w:tab w:val="left" w:pos="2669"/>
        </w:tabs>
        <w:ind w:left="2280" w:hanging="5"/>
        <w:jc w:val="both"/>
        <w:rPr>
          <w:rFonts w:eastAsia="Times New Roman"/>
          <w:sz w:val="24"/>
          <w:szCs w:val="24"/>
        </w:rPr>
      </w:pPr>
      <w:r w:rsidRPr="00EE7146">
        <w:rPr>
          <w:rFonts w:eastAsia="Times New Roman"/>
          <w:sz w:val="24"/>
          <w:szCs w:val="24"/>
        </w:rPr>
        <w:t>A Supplier of Water may request, subject to approval from the Department, a waiver of the requirement to collect three routine samples the next month in which its Public Water System provides water to the public, if, based upon appropriate submittals:</w:t>
      </w:r>
    </w:p>
    <w:p w14:paraId="2819D0CC" w14:textId="77777777" w:rsidR="004647B9" w:rsidRPr="00EE7146" w:rsidRDefault="00E2436F" w:rsidP="00F06B53">
      <w:pPr>
        <w:numPr>
          <w:ilvl w:val="2"/>
          <w:numId w:val="58"/>
        </w:numPr>
        <w:tabs>
          <w:tab w:val="left" w:pos="2945"/>
        </w:tabs>
        <w:ind w:left="2640" w:hanging="5"/>
        <w:rPr>
          <w:rFonts w:eastAsia="Times New Roman"/>
          <w:sz w:val="24"/>
          <w:szCs w:val="24"/>
        </w:rPr>
      </w:pPr>
      <w:r w:rsidRPr="00EE7146">
        <w:rPr>
          <w:rFonts w:eastAsia="Times New Roman"/>
          <w:sz w:val="24"/>
          <w:szCs w:val="24"/>
        </w:rPr>
        <w:t>the Department has determined why the sample was total coliform-positive; and</w:t>
      </w:r>
    </w:p>
    <w:p w14:paraId="2819D0CD" w14:textId="5CF03BBE" w:rsidR="004647B9" w:rsidRPr="00EE7146" w:rsidRDefault="00E2436F" w:rsidP="00F06B53">
      <w:pPr>
        <w:numPr>
          <w:ilvl w:val="2"/>
          <w:numId w:val="58"/>
        </w:numPr>
        <w:tabs>
          <w:tab w:val="left" w:pos="3021"/>
        </w:tabs>
        <w:ind w:left="2640" w:hanging="5"/>
        <w:jc w:val="both"/>
        <w:rPr>
          <w:rFonts w:eastAsia="Times New Roman"/>
          <w:sz w:val="24"/>
          <w:szCs w:val="24"/>
        </w:rPr>
      </w:pPr>
      <w:r w:rsidRPr="00EE7146">
        <w:rPr>
          <w:rFonts w:eastAsia="Times New Roman"/>
          <w:sz w:val="24"/>
          <w:szCs w:val="24"/>
        </w:rPr>
        <w:t>the Department has established that the Public Water System has corrected the problem or will correct the problem before the end of the next month in</w:t>
      </w:r>
      <w:r w:rsidR="00A02842">
        <w:rPr>
          <w:rFonts w:eastAsia="Times New Roman"/>
          <w:sz w:val="24"/>
          <w:szCs w:val="24"/>
        </w:rPr>
        <w:t xml:space="preserve"> which the Public Water System serves water to the public.</w:t>
      </w:r>
    </w:p>
    <w:p w14:paraId="2819D0D1" w14:textId="13DC0506" w:rsidR="004647B9" w:rsidRPr="00EE7146" w:rsidRDefault="00F93CA0" w:rsidP="00F06B53">
      <w:pPr>
        <w:ind w:left="2280" w:firstLine="360"/>
        <w:jc w:val="both"/>
        <w:rPr>
          <w:sz w:val="24"/>
          <w:szCs w:val="24"/>
        </w:rPr>
      </w:pPr>
      <w:r>
        <w:rPr>
          <w:rFonts w:eastAsia="Times New Roman"/>
          <w:sz w:val="24"/>
          <w:szCs w:val="24"/>
        </w:rPr>
        <w:t xml:space="preserve">For purposes </w:t>
      </w:r>
      <w:r w:rsidR="00B12E7C">
        <w:rPr>
          <w:rFonts w:eastAsia="Times New Roman"/>
          <w:sz w:val="24"/>
          <w:szCs w:val="24"/>
        </w:rPr>
        <w:t xml:space="preserve">of </w:t>
      </w:r>
      <w:r w:rsidR="00FE24E2">
        <w:rPr>
          <w:rFonts w:eastAsia="Times New Roman"/>
          <w:sz w:val="24"/>
          <w:szCs w:val="24"/>
        </w:rPr>
        <w:t>310 CMR 22.0</w:t>
      </w:r>
      <w:r w:rsidR="0071387D">
        <w:rPr>
          <w:rFonts w:eastAsia="Times New Roman"/>
          <w:sz w:val="24"/>
          <w:szCs w:val="24"/>
        </w:rPr>
        <w:t>5</w:t>
      </w:r>
      <w:r w:rsidR="00B0763A">
        <w:rPr>
          <w:rFonts w:eastAsia="Times New Roman"/>
          <w:sz w:val="24"/>
          <w:szCs w:val="24"/>
        </w:rPr>
        <w:t>(1)</w:t>
      </w:r>
      <w:r w:rsidR="00FE24E2">
        <w:rPr>
          <w:rFonts w:eastAsia="Times New Roman"/>
          <w:sz w:val="24"/>
          <w:szCs w:val="24"/>
        </w:rPr>
        <w:t>(d)7.b.</w:t>
      </w:r>
      <w:r>
        <w:rPr>
          <w:rFonts w:eastAsia="Times New Roman"/>
          <w:sz w:val="24"/>
          <w:szCs w:val="24"/>
        </w:rPr>
        <w:t xml:space="preserve">, </w:t>
      </w:r>
      <w:r w:rsidR="00CB4478">
        <w:rPr>
          <w:rFonts w:eastAsia="Times New Roman"/>
          <w:sz w:val="24"/>
          <w:szCs w:val="24"/>
        </w:rPr>
        <w:t xml:space="preserve">approval </w:t>
      </w:r>
      <w:r w:rsidR="005A48DE">
        <w:rPr>
          <w:rFonts w:eastAsia="Times New Roman"/>
          <w:sz w:val="24"/>
          <w:szCs w:val="24"/>
        </w:rPr>
        <w:t xml:space="preserve">from the Department </w:t>
      </w:r>
      <w:r w:rsidR="00CB4478">
        <w:rPr>
          <w:rFonts w:eastAsia="Times New Roman"/>
          <w:sz w:val="24"/>
          <w:szCs w:val="24"/>
        </w:rPr>
        <w:t xml:space="preserve">shall mean </w:t>
      </w:r>
      <w:r w:rsidR="00AC3EF4">
        <w:rPr>
          <w:rFonts w:eastAsia="Times New Roman"/>
          <w:sz w:val="24"/>
          <w:szCs w:val="24"/>
        </w:rPr>
        <w:t>a</w:t>
      </w:r>
      <w:r w:rsidR="00277FC5">
        <w:rPr>
          <w:rFonts w:eastAsia="Times New Roman"/>
          <w:sz w:val="24"/>
          <w:szCs w:val="24"/>
        </w:rPr>
        <w:t xml:space="preserve"> </w:t>
      </w:r>
      <w:r w:rsidR="004A1F8A">
        <w:rPr>
          <w:rFonts w:eastAsia="Times New Roman"/>
          <w:sz w:val="24"/>
          <w:szCs w:val="24"/>
        </w:rPr>
        <w:t xml:space="preserve">written </w:t>
      </w:r>
      <w:r w:rsidR="004A27ED">
        <w:rPr>
          <w:rFonts w:eastAsia="Times New Roman"/>
          <w:sz w:val="24"/>
          <w:szCs w:val="24"/>
        </w:rPr>
        <w:t xml:space="preserve">waiver </w:t>
      </w:r>
      <w:r w:rsidR="00AC3EF4">
        <w:rPr>
          <w:rFonts w:eastAsia="Times New Roman"/>
          <w:sz w:val="24"/>
          <w:szCs w:val="24"/>
        </w:rPr>
        <w:t xml:space="preserve">recommendation </w:t>
      </w:r>
      <w:r w:rsidR="008C6C47">
        <w:rPr>
          <w:rFonts w:eastAsia="Times New Roman"/>
          <w:sz w:val="24"/>
          <w:szCs w:val="24"/>
        </w:rPr>
        <w:t xml:space="preserve">by </w:t>
      </w:r>
      <w:r w:rsidR="00A47DF9">
        <w:rPr>
          <w:rFonts w:eastAsia="Times New Roman"/>
          <w:sz w:val="24"/>
          <w:szCs w:val="24"/>
        </w:rPr>
        <w:t>a</w:t>
      </w:r>
      <w:r w:rsidR="005A48DE">
        <w:rPr>
          <w:rFonts w:eastAsia="Times New Roman"/>
          <w:sz w:val="24"/>
          <w:szCs w:val="24"/>
        </w:rPr>
        <w:t xml:space="preserve"> </w:t>
      </w:r>
      <w:r w:rsidR="00DA3517">
        <w:rPr>
          <w:rFonts w:eastAsia="Times New Roman"/>
          <w:sz w:val="24"/>
          <w:szCs w:val="24"/>
        </w:rPr>
        <w:t>Department</w:t>
      </w:r>
      <w:r w:rsidR="007A63AC">
        <w:rPr>
          <w:rFonts w:eastAsia="Times New Roman"/>
          <w:sz w:val="24"/>
          <w:szCs w:val="24"/>
        </w:rPr>
        <w:t xml:space="preserve"> official</w:t>
      </w:r>
      <w:r w:rsidR="00ED26F4" w:rsidRPr="00ED26F4">
        <w:rPr>
          <w:rFonts w:eastAsia="Times New Roman"/>
          <w:sz w:val="24"/>
          <w:szCs w:val="24"/>
        </w:rPr>
        <w:t xml:space="preserve"> </w:t>
      </w:r>
      <w:r w:rsidR="00A66D63">
        <w:rPr>
          <w:rFonts w:eastAsia="Times New Roman"/>
          <w:sz w:val="24"/>
          <w:szCs w:val="24"/>
        </w:rPr>
        <w:t>describing how</w:t>
      </w:r>
      <w:r w:rsidR="00A30BBD">
        <w:rPr>
          <w:rFonts w:eastAsia="Times New Roman"/>
          <w:sz w:val="24"/>
          <w:szCs w:val="24"/>
        </w:rPr>
        <w:t xml:space="preserve"> the requirements in 310 CMR 22.05</w:t>
      </w:r>
      <w:r w:rsidR="00BA1B8C">
        <w:rPr>
          <w:rFonts w:eastAsia="Times New Roman"/>
          <w:sz w:val="24"/>
          <w:szCs w:val="24"/>
        </w:rPr>
        <w:t>(1)</w:t>
      </w:r>
      <w:r w:rsidR="00A30BBD">
        <w:rPr>
          <w:rFonts w:eastAsia="Times New Roman"/>
          <w:sz w:val="24"/>
          <w:szCs w:val="24"/>
        </w:rPr>
        <w:t>(d)7.b.i. and ii.</w:t>
      </w:r>
      <w:r w:rsidR="009A1906">
        <w:rPr>
          <w:rFonts w:eastAsia="Times New Roman"/>
          <w:sz w:val="24"/>
          <w:szCs w:val="24"/>
        </w:rPr>
        <w:t xml:space="preserve"> have been met</w:t>
      </w:r>
      <w:r w:rsidR="00C96FBD">
        <w:rPr>
          <w:rFonts w:eastAsia="Times New Roman"/>
          <w:sz w:val="24"/>
          <w:szCs w:val="24"/>
        </w:rPr>
        <w:t xml:space="preserve"> </w:t>
      </w:r>
      <w:r w:rsidR="00DA6B87">
        <w:rPr>
          <w:rFonts w:eastAsia="Times New Roman"/>
          <w:sz w:val="24"/>
          <w:szCs w:val="24"/>
        </w:rPr>
        <w:t>that</w:t>
      </w:r>
      <w:r w:rsidR="00A13894">
        <w:rPr>
          <w:rFonts w:eastAsia="Times New Roman"/>
          <w:sz w:val="24"/>
          <w:szCs w:val="24"/>
        </w:rPr>
        <w:t xml:space="preserve"> has been </w:t>
      </w:r>
      <w:r w:rsidR="00A47DF9">
        <w:rPr>
          <w:rFonts w:eastAsia="Times New Roman"/>
          <w:sz w:val="24"/>
          <w:szCs w:val="24"/>
        </w:rPr>
        <w:t>approved and</w:t>
      </w:r>
      <w:r w:rsidR="007A63AC">
        <w:rPr>
          <w:rFonts w:eastAsia="Times New Roman"/>
          <w:sz w:val="24"/>
          <w:szCs w:val="24"/>
        </w:rPr>
        <w:t xml:space="preserve"> </w:t>
      </w:r>
      <w:r w:rsidR="009D1AAF">
        <w:rPr>
          <w:rFonts w:eastAsia="Times New Roman"/>
          <w:sz w:val="24"/>
          <w:szCs w:val="24"/>
        </w:rPr>
        <w:t>signed by that official’s supervisor</w:t>
      </w:r>
      <w:r w:rsidR="00464462">
        <w:rPr>
          <w:rFonts w:eastAsia="Times New Roman"/>
          <w:sz w:val="24"/>
          <w:szCs w:val="24"/>
        </w:rPr>
        <w:t>.</w:t>
      </w:r>
      <w:r w:rsidR="00DA3517">
        <w:rPr>
          <w:rFonts w:eastAsia="Times New Roman"/>
          <w:sz w:val="24"/>
          <w:szCs w:val="24"/>
        </w:rPr>
        <w:t xml:space="preserve"> </w:t>
      </w:r>
      <w:r w:rsidR="00DC45DC">
        <w:rPr>
          <w:rFonts w:eastAsia="Times New Roman"/>
          <w:sz w:val="24"/>
          <w:szCs w:val="24"/>
        </w:rPr>
        <w:t>A</w:t>
      </w:r>
      <w:r w:rsidR="00DC45DC" w:rsidRPr="00EE7146">
        <w:rPr>
          <w:rFonts w:eastAsia="Times New Roman"/>
          <w:sz w:val="24"/>
          <w:szCs w:val="24"/>
        </w:rPr>
        <w:t xml:space="preserve"> copy of </w:t>
      </w:r>
      <w:r w:rsidR="00DC45DC">
        <w:rPr>
          <w:rFonts w:eastAsia="Times New Roman"/>
          <w:sz w:val="24"/>
          <w:szCs w:val="24"/>
        </w:rPr>
        <w:t>such approval</w:t>
      </w:r>
      <w:r w:rsidR="00DC45DC" w:rsidRPr="00EE7146">
        <w:rPr>
          <w:rFonts w:eastAsia="Times New Roman"/>
          <w:sz w:val="24"/>
          <w:szCs w:val="24"/>
        </w:rPr>
        <w:t xml:space="preserve"> shall be made available to EPA and the public</w:t>
      </w:r>
      <w:r w:rsidR="00270209">
        <w:rPr>
          <w:rFonts w:eastAsia="Times New Roman"/>
          <w:sz w:val="24"/>
          <w:szCs w:val="24"/>
        </w:rPr>
        <w:t xml:space="preserve"> and shall be effective upon</w:t>
      </w:r>
      <w:r w:rsidR="000E36EB">
        <w:rPr>
          <w:rFonts w:eastAsia="Times New Roman"/>
          <w:sz w:val="24"/>
          <w:szCs w:val="24"/>
        </w:rPr>
        <w:t xml:space="preserve"> rece</w:t>
      </w:r>
      <w:r w:rsidR="002118DA">
        <w:rPr>
          <w:rFonts w:eastAsia="Times New Roman"/>
          <w:sz w:val="24"/>
          <w:szCs w:val="24"/>
        </w:rPr>
        <w:t>ipt by the Supplier of Water</w:t>
      </w:r>
      <w:r w:rsidR="0034166B">
        <w:rPr>
          <w:rFonts w:eastAsia="Times New Roman"/>
          <w:sz w:val="24"/>
          <w:szCs w:val="24"/>
        </w:rPr>
        <w:t>.</w:t>
      </w:r>
    </w:p>
    <w:p w14:paraId="2819D0D3" w14:textId="77777777" w:rsidR="004647B9" w:rsidRPr="00EE7146" w:rsidRDefault="00E2436F" w:rsidP="00F06B53">
      <w:pPr>
        <w:numPr>
          <w:ilvl w:val="2"/>
          <w:numId w:val="59"/>
        </w:numPr>
        <w:tabs>
          <w:tab w:val="left" w:pos="2591"/>
        </w:tabs>
        <w:ind w:left="2275"/>
        <w:jc w:val="both"/>
        <w:rPr>
          <w:rFonts w:eastAsia="Times New Roman"/>
          <w:sz w:val="24"/>
          <w:szCs w:val="24"/>
        </w:rPr>
      </w:pPr>
      <w:r w:rsidRPr="00EE7146">
        <w:rPr>
          <w:rFonts w:eastAsia="Times New Roman"/>
          <w:sz w:val="24"/>
          <w:szCs w:val="24"/>
        </w:rPr>
        <w:t>A Supplier of Water shall not receive a waiver of the requirement to collect three additional routine samples the next month in which the system provides water to the public solely on the grounds that all repeat samples are total coliform-negative. A Suppler of Water may request, subject to approval from the Department, a waiver of the requirement for additional routine monitoring the next month if it demonstrates that the contamination problem was corrected before the Supplier of Water is scheduled to take the set of repeat samples required in 310 CMR 22.05(2), and all repeat samples were total coliform-negative.</w:t>
      </w:r>
    </w:p>
    <w:p w14:paraId="2819D0D5" w14:textId="77777777" w:rsidR="004647B9" w:rsidRPr="00EE7146" w:rsidRDefault="00E2436F" w:rsidP="00F06B53">
      <w:pPr>
        <w:numPr>
          <w:ilvl w:val="0"/>
          <w:numId w:val="60"/>
        </w:numPr>
        <w:tabs>
          <w:tab w:val="left" w:pos="1985"/>
        </w:tabs>
        <w:ind w:left="1555"/>
        <w:rPr>
          <w:rFonts w:eastAsia="Times New Roman"/>
          <w:sz w:val="24"/>
          <w:szCs w:val="24"/>
        </w:rPr>
      </w:pPr>
      <w:r w:rsidRPr="00EE7146">
        <w:rPr>
          <w:rFonts w:eastAsia="Times New Roman"/>
          <w:sz w:val="24"/>
          <w:szCs w:val="24"/>
          <w:u w:val="single"/>
        </w:rPr>
        <w:t>Routine Monitoring Requirements for Public Water Systems Serving More than 1,000 People</w:t>
      </w:r>
      <w:r w:rsidRPr="00EE7146">
        <w:rPr>
          <w:rFonts w:eastAsia="Times New Roman"/>
          <w:sz w:val="24"/>
          <w:szCs w:val="24"/>
        </w:rPr>
        <w:t>.</w:t>
      </w:r>
    </w:p>
    <w:p w14:paraId="2819D0D6" w14:textId="77777777" w:rsidR="004647B9" w:rsidRPr="00EE7146" w:rsidRDefault="00E2436F" w:rsidP="00F06B53">
      <w:pPr>
        <w:numPr>
          <w:ilvl w:val="1"/>
          <w:numId w:val="60"/>
        </w:numPr>
        <w:tabs>
          <w:tab w:val="left" w:pos="2275"/>
        </w:tabs>
        <w:ind w:left="1915"/>
        <w:rPr>
          <w:rFonts w:eastAsia="Times New Roman"/>
          <w:sz w:val="24"/>
          <w:szCs w:val="24"/>
        </w:rPr>
      </w:pPr>
      <w:r w:rsidRPr="00EE7146">
        <w:rPr>
          <w:rFonts w:eastAsia="Times New Roman"/>
          <w:sz w:val="24"/>
          <w:szCs w:val="24"/>
        </w:rPr>
        <w:t>310 CMR 22.05(1)(e) shall apply to all Public Water Systems serving more than 1,000 people.</w:t>
      </w:r>
    </w:p>
    <w:p w14:paraId="2819D0D9" w14:textId="6BAF8857" w:rsidR="004647B9" w:rsidRPr="00B14B24" w:rsidRDefault="00E2436F" w:rsidP="00F06B53">
      <w:pPr>
        <w:numPr>
          <w:ilvl w:val="1"/>
          <w:numId w:val="60"/>
        </w:numPr>
        <w:tabs>
          <w:tab w:val="left" w:pos="2275"/>
        </w:tabs>
        <w:ind w:left="1915"/>
        <w:rPr>
          <w:rFonts w:eastAsia="Times New Roman"/>
          <w:sz w:val="24"/>
          <w:szCs w:val="24"/>
        </w:rPr>
      </w:pPr>
      <w:r w:rsidRPr="00EE7146">
        <w:rPr>
          <w:rFonts w:eastAsia="Times New Roman"/>
          <w:sz w:val="24"/>
          <w:szCs w:val="24"/>
        </w:rPr>
        <w:t>Following any total coliform-positive sample taken under the provisions of 310 CMR</w:t>
      </w:r>
      <w:r w:rsidR="00B14B24">
        <w:rPr>
          <w:rFonts w:eastAsia="Times New Roman"/>
          <w:sz w:val="24"/>
          <w:szCs w:val="24"/>
        </w:rPr>
        <w:t xml:space="preserve"> 22.</w:t>
      </w:r>
      <w:r w:rsidRPr="00B14B24">
        <w:rPr>
          <w:rFonts w:eastAsia="Times New Roman"/>
          <w:sz w:val="24"/>
          <w:szCs w:val="24"/>
        </w:rPr>
        <w:t xml:space="preserve">05(1)(e), the Supplier of Water must comply with the repeat monitoring requirements and </w:t>
      </w:r>
      <w:r w:rsidRPr="00B14B24">
        <w:rPr>
          <w:rFonts w:eastAsia="Times New Roman"/>
          <w:i/>
          <w:iCs/>
          <w:sz w:val="24"/>
          <w:szCs w:val="24"/>
        </w:rPr>
        <w:t>E. coli</w:t>
      </w:r>
      <w:r w:rsidRPr="00B14B24">
        <w:rPr>
          <w:rFonts w:eastAsia="Times New Roman"/>
          <w:sz w:val="24"/>
          <w:szCs w:val="24"/>
        </w:rPr>
        <w:t xml:space="preserve"> analytical requirements in 310 CMR 22.05(2).</w:t>
      </w:r>
    </w:p>
    <w:p w14:paraId="2819D0DA" w14:textId="77777777" w:rsidR="004647B9" w:rsidRPr="00EE7146" w:rsidRDefault="00E2436F" w:rsidP="00F06B53">
      <w:pPr>
        <w:numPr>
          <w:ilvl w:val="1"/>
          <w:numId w:val="61"/>
        </w:numPr>
        <w:tabs>
          <w:tab w:val="left" w:pos="2275"/>
        </w:tabs>
        <w:ind w:left="1915"/>
        <w:jc w:val="both"/>
        <w:rPr>
          <w:rFonts w:eastAsia="Times New Roman"/>
          <w:sz w:val="24"/>
          <w:szCs w:val="24"/>
        </w:rPr>
      </w:pPr>
      <w:r w:rsidRPr="00EE7146">
        <w:rPr>
          <w:rFonts w:eastAsia="Times New Roman"/>
          <w:sz w:val="24"/>
          <w:szCs w:val="24"/>
        </w:rPr>
        <w:t>Once all monitoring required by 310 CMR 22.05(1)(e) and (2) for a calendar month has been completed, the Supplier of Water must determine whether any coliform Treatment Technique triggers specified in 310 CMR 22.05(4) have been exceeded. If any trigger has been exceeded, the Supplier of Water must complete assessments as required by 310 CMR 22.05(4).</w:t>
      </w:r>
    </w:p>
    <w:p w14:paraId="2819D0E0" w14:textId="0DA3A1AD" w:rsidR="004647B9" w:rsidRPr="00B14B24" w:rsidRDefault="00E2436F" w:rsidP="00F06B53">
      <w:pPr>
        <w:numPr>
          <w:ilvl w:val="1"/>
          <w:numId w:val="61"/>
        </w:numPr>
        <w:tabs>
          <w:tab w:val="left" w:pos="2275"/>
        </w:tabs>
        <w:ind w:left="1915"/>
        <w:rPr>
          <w:rFonts w:eastAsia="Times New Roman"/>
          <w:sz w:val="24"/>
          <w:szCs w:val="24"/>
        </w:rPr>
      </w:pPr>
      <w:r w:rsidRPr="00EE7146">
        <w:rPr>
          <w:rFonts w:eastAsia="Times New Roman"/>
          <w:sz w:val="24"/>
          <w:szCs w:val="24"/>
          <w:u w:val="single"/>
        </w:rPr>
        <w:t>Monitoring Frequency for Total Coliforms</w:t>
      </w:r>
      <w:r w:rsidRPr="00EE7146">
        <w:rPr>
          <w:rFonts w:eastAsia="Times New Roman"/>
          <w:sz w:val="24"/>
          <w:szCs w:val="24"/>
        </w:rPr>
        <w:t>.  All Suppliers of Water described in</w:t>
      </w:r>
      <w:r w:rsidR="00B14B24">
        <w:rPr>
          <w:rFonts w:eastAsia="Times New Roman"/>
          <w:sz w:val="24"/>
          <w:szCs w:val="24"/>
        </w:rPr>
        <w:t xml:space="preserve"> 310 </w:t>
      </w:r>
      <w:r w:rsidRPr="00B14B24">
        <w:rPr>
          <w:rFonts w:eastAsia="Times New Roman"/>
          <w:sz w:val="24"/>
          <w:szCs w:val="24"/>
        </w:rPr>
        <w:t>CMR 22.05(1)(e)1. shall monitor for total coliforms monthly, except as provided in</w:t>
      </w:r>
      <w:r w:rsidR="00B14B24">
        <w:rPr>
          <w:rFonts w:eastAsia="Times New Roman"/>
          <w:sz w:val="24"/>
          <w:szCs w:val="24"/>
        </w:rPr>
        <w:t xml:space="preserve"> 310 </w:t>
      </w:r>
      <w:r w:rsidRPr="00B14B24">
        <w:rPr>
          <w:rFonts w:eastAsia="Times New Roman"/>
          <w:sz w:val="24"/>
          <w:szCs w:val="24"/>
        </w:rPr>
        <w:t>CMR 22.05(1)(e)7.</w:t>
      </w:r>
    </w:p>
    <w:p w14:paraId="2819D0E1" w14:textId="77777777" w:rsidR="004647B9" w:rsidRDefault="004647B9" w:rsidP="00F06B53">
      <w:pPr>
        <w:sectPr w:rsidR="004647B9" w:rsidSect="00EF630C">
          <w:pgSz w:w="12240" w:h="20180"/>
          <w:pgMar w:top="708" w:right="1440" w:bottom="1024" w:left="600" w:header="0" w:footer="0" w:gutter="0"/>
          <w:cols w:space="720" w:equalWidth="0">
            <w:col w:w="10200"/>
          </w:cols>
        </w:sectPr>
      </w:pPr>
    </w:p>
    <w:p w14:paraId="2819D0E2" w14:textId="77777777" w:rsidR="004647B9" w:rsidRDefault="00E2436F">
      <w:pPr>
        <w:tabs>
          <w:tab w:val="left" w:pos="160"/>
        </w:tabs>
        <w:jc w:val="center"/>
        <w:rPr>
          <w:sz w:val="20"/>
          <w:szCs w:val="20"/>
        </w:rPr>
      </w:pPr>
      <w:bookmarkStart w:id="34" w:name="page35"/>
      <w:bookmarkEnd w:id="3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0E3" w14:textId="77777777" w:rsidR="004647B9" w:rsidRDefault="004647B9" w:rsidP="0037652B">
      <w:pPr>
        <w:rPr>
          <w:sz w:val="20"/>
          <w:szCs w:val="20"/>
        </w:rPr>
      </w:pPr>
    </w:p>
    <w:p w14:paraId="2819D0E4" w14:textId="77777777" w:rsidR="004647B9" w:rsidRDefault="004647B9" w:rsidP="0037652B">
      <w:pPr>
        <w:rPr>
          <w:sz w:val="20"/>
          <w:szCs w:val="20"/>
        </w:rPr>
      </w:pPr>
    </w:p>
    <w:p w14:paraId="2819D0E5"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0E6" w14:textId="77777777" w:rsidR="004647B9" w:rsidRDefault="004647B9" w:rsidP="0037652B">
      <w:pPr>
        <w:rPr>
          <w:sz w:val="20"/>
          <w:szCs w:val="20"/>
        </w:rPr>
      </w:pPr>
    </w:p>
    <w:p w14:paraId="2819D0E7" w14:textId="77777777" w:rsidR="004647B9" w:rsidRDefault="00E2436F" w:rsidP="006804E8">
      <w:pPr>
        <w:numPr>
          <w:ilvl w:val="0"/>
          <w:numId w:val="62"/>
        </w:numPr>
        <w:tabs>
          <w:tab w:val="left" w:pos="2280"/>
        </w:tabs>
        <w:ind w:left="2275" w:hanging="360"/>
        <w:rPr>
          <w:rFonts w:eastAsia="Times New Roman"/>
          <w:sz w:val="24"/>
          <w:szCs w:val="24"/>
        </w:rPr>
      </w:pPr>
      <w:r>
        <w:rPr>
          <w:rFonts w:eastAsia="Times New Roman"/>
          <w:sz w:val="24"/>
          <w:szCs w:val="24"/>
          <w:u w:val="single"/>
        </w:rPr>
        <w:t>Seasonal Systems</w:t>
      </w:r>
      <w:r>
        <w:rPr>
          <w:rFonts w:eastAsia="Times New Roman"/>
          <w:sz w:val="24"/>
          <w:szCs w:val="24"/>
        </w:rPr>
        <w:t>.</w:t>
      </w:r>
    </w:p>
    <w:p w14:paraId="2819D0E9" w14:textId="0242B43C" w:rsidR="004647B9" w:rsidRPr="008E614B" w:rsidRDefault="00E2436F" w:rsidP="008E614B">
      <w:pPr>
        <w:pStyle w:val="ListParagraph"/>
        <w:numPr>
          <w:ilvl w:val="0"/>
          <w:numId w:val="1015"/>
        </w:numPr>
        <w:tabs>
          <w:tab w:val="left" w:pos="2592"/>
        </w:tabs>
        <w:spacing w:line="238" w:lineRule="auto"/>
        <w:ind w:left="2275" w:firstLine="0"/>
        <w:jc w:val="both"/>
        <w:rPr>
          <w:rFonts w:eastAsia="Times New Roman"/>
          <w:sz w:val="24"/>
          <w:szCs w:val="24"/>
        </w:rPr>
      </w:pPr>
      <w:r w:rsidRPr="008E614B">
        <w:rPr>
          <w:rFonts w:eastAsia="Times New Roman"/>
          <w:sz w:val="24"/>
          <w:szCs w:val="24"/>
        </w:rPr>
        <w:t>A Supplier of Water who owns or operates a Seasonal System shall demonstrate completion of a Department approved start-up procedure prior to serving water to the public each season, including start-up sampling, in accordance with the following requirements. A written start-up procedure signed by the Supplier of Water shall be submitted no less than seven days prior to serving water to the public each season, and shall be deemed approved unless the Department otherwise notifies the Supplier of Water prior to the date the Supplier of Water will begin serving water to the public, provided that the written start-up procedure includes all of the following elements:</w:t>
      </w:r>
    </w:p>
    <w:p w14:paraId="2819D0EB" w14:textId="77777777" w:rsidR="004647B9" w:rsidRDefault="00E2436F" w:rsidP="00771B48">
      <w:pPr>
        <w:numPr>
          <w:ilvl w:val="2"/>
          <w:numId w:val="62"/>
        </w:numPr>
        <w:tabs>
          <w:tab w:val="left" w:pos="3040"/>
        </w:tabs>
        <w:spacing w:line="237" w:lineRule="auto"/>
        <w:ind w:left="2640" w:hanging="5"/>
        <w:rPr>
          <w:rFonts w:eastAsia="Times New Roman"/>
          <w:sz w:val="24"/>
          <w:szCs w:val="24"/>
        </w:rPr>
      </w:pPr>
      <w:r>
        <w:rPr>
          <w:rFonts w:eastAsia="Times New Roman"/>
          <w:sz w:val="24"/>
          <w:szCs w:val="24"/>
        </w:rPr>
        <w:t>notification to the Department and the Primary Operator of the date the Supplier of Water will begin serving water to the public;</w:t>
      </w:r>
    </w:p>
    <w:p w14:paraId="2819D0ED" w14:textId="77777777" w:rsidR="004647B9" w:rsidRDefault="00E2436F" w:rsidP="00771B48">
      <w:pPr>
        <w:numPr>
          <w:ilvl w:val="2"/>
          <w:numId w:val="62"/>
        </w:numPr>
        <w:tabs>
          <w:tab w:val="left" w:pos="2966"/>
        </w:tabs>
        <w:spacing w:line="237" w:lineRule="auto"/>
        <w:ind w:left="2640" w:hanging="5"/>
        <w:rPr>
          <w:rFonts w:eastAsia="Times New Roman"/>
          <w:sz w:val="24"/>
          <w:szCs w:val="24"/>
        </w:rPr>
      </w:pPr>
      <w:r>
        <w:rPr>
          <w:rFonts w:eastAsia="Times New Roman"/>
          <w:sz w:val="24"/>
          <w:szCs w:val="24"/>
        </w:rPr>
        <w:t>inspection of all Seasonal System components including source(s), treatment components, distribution lines and storage tanks;</w:t>
      </w:r>
    </w:p>
    <w:p w14:paraId="2819D0EF" w14:textId="77777777" w:rsidR="004647B9" w:rsidRDefault="00E2436F" w:rsidP="00771B48">
      <w:pPr>
        <w:numPr>
          <w:ilvl w:val="2"/>
          <w:numId w:val="62"/>
        </w:numPr>
        <w:tabs>
          <w:tab w:val="left" w:pos="3080"/>
        </w:tabs>
        <w:spacing w:line="237" w:lineRule="auto"/>
        <w:ind w:left="3080" w:hanging="445"/>
        <w:rPr>
          <w:rFonts w:eastAsia="Times New Roman"/>
          <w:sz w:val="24"/>
          <w:szCs w:val="24"/>
        </w:rPr>
      </w:pPr>
      <w:r>
        <w:rPr>
          <w:rFonts w:eastAsia="Times New Roman"/>
          <w:sz w:val="24"/>
          <w:szCs w:val="24"/>
        </w:rPr>
        <w:t>activation of source(s);</w:t>
      </w:r>
    </w:p>
    <w:p w14:paraId="2819D0F1" w14:textId="77777777" w:rsidR="004647B9" w:rsidRDefault="00E2436F" w:rsidP="00771B48">
      <w:pPr>
        <w:numPr>
          <w:ilvl w:val="2"/>
          <w:numId w:val="62"/>
        </w:numPr>
        <w:tabs>
          <w:tab w:val="left" w:pos="3060"/>
        </w:tabs>
        <w:spacing w:line="237" w:lineRule="auto"/>
        <w:ind w:left="3060" w:hanging="425"/>
        <w:rPr>
          <w:rFonts w:eastAsia="Times New Roman"/>
          <w:sz w:val="24"/>
          <w:szCs w:val="24"/>
        </w:rPr>
      </w:pPr>
      <w:r>
        <w:rPr>
          <w:rFonts w:eastAsia="Times New Roman"/>
          <w:sz w:val="24"/>
          <w:szCs w:val="24"/>
        </w:rPr>
        <w:t>flushing of the entire Distribution System;</w:t>
      </w:r>
    </w:p>
    <w:p w14:paraId="2819D0F3" w14:textId="77777777" w:rsidR="004647B9" w:rsidRDefault="00E2436F" w:rsidP="00771B48">
      <w:pPr>
        <w:numPr>
          <w:ilvl w:val="2"/>
          <w:numId w:val="62"/>
        </w:numPr>
        <w:tabs>
          <w:tab w:val="left" w:pos="2971"/>
        </w:tabs>
        <w:spacing w:line="237" w:lineRule="auto"/>
        <w:ind w:left="2640" w:hanging="5"/>
        <w:jc w:val="both"/>
        <w:rPr>
          <w:rFonts w:eastAsia="Times New Roman"/>
          <w:sz w:val="24"/>
          <w:szCs w:val="24"/>
        </w:rPr>
      </w:pPr>
      <w:r>
        <w:rPr>
          <w:rFonts w:eastAsia="Times New Roman"/>
          <w:sz w:val="24"/>
          <w:szCs w:val="24"/>
        </w:rPr>
        <w:t>collection of coliform samples in accordance with the Department-approved coliform sampling plan, including any additional samples representing the re-activated portions of the system;</w:t>
      </w:r>
    </w:p>
    <w:p w14:paraId="2819D0F5" w14:textId="77777777" w:rsidR="004647B9" w:rsidRDefault="00E2436F" w:rsidP="00771B48">
      <w:pPr>
        <w:numPr>
          <w:ilvl w:val="2"/>
          <w:numId w:val="62"/>
        </w:numPr>
        <w:tabs>
          <w:tab w:val="left" w:pos="3043"/>
        </w:tabs>
        <w:spacing w:line="237" w:lineRule="auto"/>
        <w:ind w:left="2640" w:hanging="5"/>
        <w:jc w:val="both"/>
        <w:rPr>
          <w:rFonts w:eastAsia="Times New Roman"/>
          <w:sz w:val="24"/>
          <w:szCs w:val="24"/>
        </w:rPr>
      </w:pPr>
      <w:r>
        <w:rPr>
          <w:rFonts w:eastAsia="Times New Roman"/>
          <w:sz w:val="24"/>
          <w:szCs w:val="24"/>
        </w:rPr>
        <w:t>if the Seasonal System uses chlorination, a requirement that all chlorination equipment be installed and operational and chlorinated water be left in the Distribution System for at least 24 hours and then flushed prior to any coliform sample collection;</w:t>
      </w:r>
    </w:p>
    <w:p w14:paraId="2819D0F7" w14:textId="77777777" w:rsidR="004647B9" w:rsidRDefault="00E2436F" w:rsidP="00771B48">
      <w:pPr>
        <w:numPr>
          <w:ilvl w:val="2"/>
          <w:numId w:val="62"/>
        </w:numPr>
        <w:tabs>
          <w:tab w:val="left" w:pos="3193"/>
        </w:tabs>
        <w:spacing w:line="237" w:lineRule="auto"/>
        <w:ind w:left="2640" w:hanging="5"/>
        <w:rPr>
          <w:rFonts w:eastAsia="Times New Roman"/>
          <w:sz w:val="24"/>
          <w:szCs w:val="24"/>
        </w:rPr>
      </w:pPr>
      <w:r>
        <w:rPr>
          <w:rFonts w:eastAsia="Times New Roman"/>
          <w:sz w:val="24"/>
          <w:szCs w:val="24"/>
        </w:rPr>
        <w:t>a requirement that the Seasonal System disinfect and flush atmospheric storage tank(s) if applicable; and</w:t>
      </w:r>
    </w:p>
    <w:p w14:paraId="2819D0F9" w14:textId="77777777" w:rsidR="004647B9" w:rsidRDefault="00E2436F" w:rsidP="00771B48">
      <w:pPr>
        <w:numPr>
          <w:ilvl w:val="2"/>
          <w:numId w:val="62"/>
        </w:numPr>
        <w:tabs>
          <w:tab w:val="left" w:pos="3222"/>
        </w:tabs>
        <w:spacing w:line="237" w:lineRule="auto"/>
        <w:ind w:left="2640" w:hanging="5"/>
        <w:rPr>
          <w:rFonts w:eastAsia="Times New Roman"/>
          <w:sz w:val="24"/>
          <w:szCs w:val="24"/>
        </w:rPr>
      </w:pPr>
      <w:r>
        <w:rPr>
          <w:rFonts w:eastAsia="Times New Roman"/>
          <w:sz w:val="24"/>
          <w:szCs w:val="24"/>
        </w:rPr>
        <w:t>a requirement to re-install water meters, and re-install and test backflow preventers throughout the Distribution System, if applicable.</w:t>
      </w:r>
    </w:p>
    <w:p w14:paraId="2819D0FD" w14:textId="69C34C42" w:rsidR="004647B9" w:rsidRPr="00B14B24" w:rsidRDefault="00E2436F" w:rsidP="00CA7ADC">
      <w:pPr>
        <w:spacing w:line="237" w:lineRule="auto"/>
        <w:ind w:left="2250" w:firstLine="385"/>
        <w:rPr>
          <w:sz w:val="24"/>
          <w:szCs w:val="24"/>
        </w:rPr>
      </w:pPr>
      <w:r>
        <w:rPr>
          <w:rFonts w:eastAsia="Times New Roman"/>
          <w:sz w:val="24"/>
          <w:szCs w:val="24"/>
        </w:rPr>
        <w:t>Completion of a start-up procedure shall be demonstrated by submitting a</w:t>
      </w:r>
      <w:r w:rsidR="005B4079">
        <w:rPr>
          <w:rFonts w:eastAsia="Times New Roman"/>
          <w:sz w:val="24"/>
          <w:szCs w:val="24"/>
        </w:rPr>
        <w:t xml:space="preserve"> </w:t>
      </w:r>
      <w:r>
        <w:rPr>
          <w:rFonts w:eastAsia="Times New Roman"/>
          <w:sz w:val="24"/>
          <w:szCs w:val="24"/>
        </w:rPr>
        <w:t xml:space="preserve">description of all start-up activities completed on a Department-approved form, signed by the Supplier of Water, to the Department no less than seven days prior to serving water to the public each season, which shall constitute the Supplier of </w:t>
      </w:r>
      <w:r w:rsidRPr="00B14B24">
        <w:rPr>
          <w:rFonts w:eastAsia="Times New Roman"/>
          <w:sz w:val="24"/>
          <w:szCs w:val="24"/>
        </w:rPr>
        <w:t>Water's certification of the completion of the start-up procedure.</w:t>
      </w:r>
    </w:p>
    <w:p w14:paraId="2819D0FF" w14:textId="77777777" w:rsidR="004647B9" w:rsidRPr="00B14B24" w:rsidRDefault="00E2436F" w:rsidP="00771B48">
      <w:pPr>
        <w:numPr>
          <w:ilvl w:val="1"/>
          <w:numId w:val="63"/>
        </w:numPr>
        <w:tabs>
          <w:tab w:val="left" w:pos="2705"/>
        </w:tabs>
        <w:spacing w:line="237" w:lineRule="auto"/>
        <w:ind w:left="2280" w:hanging="5"/>
        <w:jc w:val="both"/>
        <w:rPr>
          <w:rFonts w:eastAsia="Times New Roman"/>
          <w:sz w:val="24"/>
          <w:szCs w:val="24"/>
        </w:rPr>
      </w:pPr>
      <w:r w:rsidRPr="00B14B24">
        <w:rPr>
          <w:rFonts w:eastAsia="Times New Roman"/>
          <w:sz w:val="24"/>
          <w:szCs w:val="24"/>
        </w:rPr>
        <w:t>A Supplier of Water who owns or operates a Seasonal System may request, subject to Department approval, an exemption from some or all of the requirements for Seasonal Systems if the entire Distribution System remains pressurized during the entire period that the system is not operating.</w:t>
      </w:r>
    </w:p>
    <w:p w14:paraId="2819D101" w14:textId="77777777" w:rsidR="004647B9" w:rsidRPr="00B14B24" w:rsidRDefault="00E2436F" w:rsidP="006804E8">
      <w:pPr>
        <w:numPr>
          <w:ilvl w:val="0"/>
          <w:numId w:val="64"/>
        </w:numPr>
        <w:tabs>
          <w:tab w:val="left" w:pos="2275"/>
        </w:tabs>
        <w:spacing w:line="238" w:lineRule="auto"/>
        <w:ind w:left="1915"/>
        <w:jc w:val="both"/>
        <w:rPr>
          <w:rFonts w:eastAsia="Times New Roman"/>
          <w:sz w:val="24"/>
          <w:szCs w:val="24"/>
        </w:rPr>
      </w:pPr>
      <w:r w:rsidRPr="00B14B24">
        <w:rPr>
          <w:rFonts w:eastAsia="Times New Roman"/>
          <w:sz w:val="24"/>
          <w:szCs w:val="24"/>
          <w:u w:val="single"/>
        </w:rPr>
        <w:t>Unfiltered Surface Water or Groundwater under the Direct Influence of Surface Water</w:t>
      </w:r>
      <w:r w:rsidRPr="00B14B24">
        <w:rPr>
          <w:rFonts w:eastAsia="Times New Roman"/>
          <w:sz w:val="24"/>
          <w:szCs w:val="24"/>
        </w:rPr>
        <w:t>. A Public Water System serving more than 1,000 people using Surface Water or Groundwater Under the Direct Influence of Surface Water which does not practice Filtration (in compliance with 310 CMR 22.20A, 22.20D, 22.20F, and 22.20G) must collect at least one total coliform sample Near the First Service Connection each day the Turbidity level of the source water, measured as specified in 310 CMR 22.20A(5)(b)2., exceeds one NTU. When one or more Turbidity measurements in any day exceed one NTU, the Supplier of Water shall collect a coliform sample within 24 hours of the first exceedance, unless the Supplier of Water demonstrates to the Department's satisfaction that, for logistical reasons outside the Supplier of Water's control, it cannot have the sample analyzed within 30 hours of collection and that it has developed an alternative sample collection schedule. Sample results from this coliform monitoring must be included in determining whether the coliform Treatment Technique trigger in 310 CMR 22.05(4)(a) has been exceeded.</w:t>
      </w:r>
    </w:p>
    <w:p w14:paraId="2819D103" w14:textId="3DD226EA" w:rsidR="004647B9" w:rsidRDefault="00E2436F" w:rsidP="006804E8">
      <w:pPr>
        <w:numPr>
          <w:ilvl w:val="0"/>
          <w:numId w:val="64"/>
        </w:numPr>
        <w:tabs>
          <w:tab w:val="left" w:pos="2275"/>
        </w:tabs>
        <w:spacing w:line="250" w:lineRule="auto"/>
        <w:ind w:left="1915"/>
        <w:jc w:val="both"/>
        <w:rPr>
          <w:rFonts w:eastAsia="Times New Roman"/>
          <w:sz w:val="23"/>
          <w:szCs w:val="23"/>
        </w:rPr>
      </w:pPr>
      <w:r w:rsidRPr="00B14B24">
        <w:rPr>
          <w:rFonts w:eastAsia="Times New Roman"/>
          <w:sz w:val="24"/>
          <w:szCs w:val="24"/>
          <w:u w:val="single"/>
        </w:rPr>
        <w:t>Reduced Monitoring</w:t>
      </w:r>
      <w:r w:rsidRPr="00B14B24">
        <w:rPr>
          <w:rFonts w:eastAsia="Times New Roman"/>
          <w:sz w:val="24"/>
          <w:szCs w:val="24"/>
        </w:rPr>
        <w:t>. No Public Water Systems described in 310 CMR 22.05(1)(e) shall reduce monthly monitoring, except for Non-community Water System</w:t>
      </w:r>
      <w:r w:rsidR="000D3C44">
        <w:rPr>
          <w:rFonts w:eastAsia="Times New Roman"/>
          <w:sz w:val="24"/>
          <w:szCs w:val="24"/>
        </w:rPr>
        <w:t>s</w:t>
      </w:r>
      <w:r w:rsidRPr="00B14B24">
        <w:rPr>
          <w:rFonts w:eastAsia="Times New Roman"/>
          <w:sz w:val="24"/>
          <w:szCs w:val="24"/>
        </w:rPr>
        <w:t xml:space="preserve"> using only groundwater (and not Groundwater Under the Direct Influence of Surface Water) serving 1,000 or fewer people in some months and more than 1,000 people in other months. In months when more than 1,000 people are served, the Supplier of Water shall monitor at the frequency specified in 310 CMR 22.05(1)(e). In months when 1,000 or fewer people are served, the Supplier of Water may request</w:t>
      </w:r>
      <w:r w:rsidR="00053316">
        <w:rPr>
          <w:rFonts w:eastAsia="Times New Roman"/>
          <w:sz w:val="24"/>
          <w:szCs w:val="24"/>
        </w:rPr>
        <w:t xml:space="preserve"> in writing</w:t>
      </w:r>
      <w:r w:rsidRPr="00B14B24">
        <w:rPr>
          <w:rFonts w:eastAsia="Times New Roman"/>
          <w:sz w:val="24"/>
          <w:szCs w:val="24"/>
        </w:rPr>
        <w:t xml:space="preserve">, subject to </w:t>
      </w:r>
      <w:r w:rsidR="00053316">
        <w:rPr>
          <w:rFonts w:eastAsia="Times New Roman"/>
          <w:sz w:val="24"/>
          <w:szCs w:val="24"/>
        </w:rPr>
        <w:t xml:space="preserve">written </w:t>
      </w:r>
      <w:r w:rsidRPr="00B14B24">
        <w:rPr>
          <w:rFonts w:eastAsia="Times New Roman"/>
          <w:sz w:val="24"/>
          <w:szCs w:val="24"/>
        </w:rPr>
        <w:t>approval from the Department, reducing the monitoring frequency to a frequency allowed under 310 CMR 22.05(1)(d) for a similarly situated Public Water System that always serves 1,000 or fewer people, taking into account the provisions in 310 CMR 22.05(1)(d)4. and 5</w:t>
      </w:r>
      <w:r>
        <w:rPr>
          <w:rFonts w:eastAsia="Times New Roman"/>
          <w:sz w:val="23"/>
          <w:szCs w:val="23"/>
        </w:rPr>
        <w:t>.</w:t>
      </w:r>
    </w:p>
    <w:p w14:paraId="2819D104" w14:textId="77777777" w:rsidR="004647B9" w:rsidRDefault="004647B9">
      <w:pPr>
        <w:sectPr w:rsidR="004647B9" w:rsidSect="00EF630C">
          <w:pgSz w:w="12240" w:h="20180"/>
          <w:pgMar w:top="708" w:right="1440" w:bottom="1103" w:left="600" w:header="0" w:footer="0" w:gutter="0"/>
          <w:cols w:space="720" w:equalWidth="0">
            <w:col w:w="10200"/>
          </w:cols>
        </w:sectPr>
      </w:pPr>
    </w:p>
    <w:p w14:paraId="2819D105" w14:textId="77777777" w:rsidR="004647B9" w:rsidRPr="00E43F4C" w:rsidRDefault="00E2436F" w:rsidP="002965E0">
      <w:pPr>
        <w:tabs>
          <w:tab w:val="left" w:pos="160"/>
        </w:tabs>
        <w:jc w:val="center"/>
        <w:rPr>
          <w:sz w:val="24"/>
          <w:szCs w:val="24"/>
        </w:rPr>
      </w:pPr>
      <w:bookmarkStart w:id="35" w:name="page36"/>
      <w:bookmarkEnd w:id="35"/>
      <w:r w:rsidRPr="00E43F4C">
        <w:rPr>
          <w:rFonts w:eastAsia="Times New Roman"/>
          <w:sz w:val="24"/>
          <w:szCs w:val="24"/>
        </w:rPr>
        <w:lastRenderedPageBreak/>
        <w:t>310 CMR:</w:t>
      </w:r>
      <w:r w:rsidRPr="00E43F4C">
        <w:rPr>
          <w:sz w:val="24"/>
          <w:szCs w:val="24"/>
        </w:rPr>
        <w:tab/>
      </w:r>
      <w:r w:rsidRPr="00E43F4C">
        <w:rPr>
          <w:rFonts w:eastAsia="Times New Roman"/>
          <w:sz w:val="24"/>
          <w:szCs w:val="24"/>
        </w:rPr>
        <w:t>DEPARTMENT OF ENVIRONMENTAL PROTECTION</w:t>
      </w:r>
    </w:p>
    <w:p w14:paraId="2819D106" w14:textId="77777777" w:rsidR="004647B9" w:rsidRPr="00564094" w:rsidRDefault="004647B9" w:rsidP="002965E0">
      <w:pPr>
        <w:rPr>
          <w:sz w:val="20"/>
          <w:szCs w:val="20"/>
        </w:rPr>
      </w:pPr>
    </w:p>
    <w:p w14:paraId="2819D107" w14:textId="77777777" w:rsidR="004647B9" w:rsidRPr="00564094" w:rsidRDefault="004647B9" w:rsidP="002965E0">
      <w:pPr>
        <w:rPr>
          <w:sz w:val="20"/>
          <w:szCs w:val="20"/>
        </w:rPr>
      </w:pPr>
    </w:p>
    <w:p w14:paraId="2819D108" w14:textId="77777777" w:rsidR="004647B9" w:rsidRPr="00E43F4C" w:rsidRDefault="00E2436F" w:rsidP="002965E0">
      <w:pPr>
        <w:tabs>
          <w:tab w:val="left" w:pos="760"/>
        </w:tabs>
        <w:rPr>
          <w:sz w:val="24"/>
          <w:szCs w:val="24"/>
        </w:rPr>
      </w:pPr>
      <w:r w:rsidRPr="00E43F4C">
        <w:rPr>
          <w:rFonts w:eastAsia="Times New Roman"/>
          <w:sz w:val="24"/>
          <w:szCs w:val="24"/>
        </w:rPr>
        <w:t>22.05:</w:t>
      </w:r>
      <w:r w:rsidRPr="00E43F4C">
        <w:rPr>
          <w:rFonts w:eastAsia="Times New Roman"/>
          <w:sz w:val="24"/>
          <w:szCs w:val="24"/>
        </w:rPr>
        <w:tab/>
        <w:t>continued</w:t>
      </w:r>
    </w:p>
    <w:p w14:paraId="2819D109" w14:textId="77777777" w:rsidR="004647B9" w:rsidRPr="00564094" w:rsidRDefault="004647B9" w:rsidP="002965E0">
      <w:pPr>
        <w:rPr>
          <w:sz w:val="20"/>
          <w:szCs w:val="20"/>
        </w:rPr>
      </w:pPr>
    </w:p>
    <w:p w14:paraId="2819D10A" w14:textId="77777777" w:rsidR="004647B9" w:rsidRPr="00E43F4C" w:rsidRDefault="00E2436F" w:rsidP="00574FE7">
      <w:pPr>
        <w:numPr>
          <w:ilvl w:val="0"/>
          <w:numId w:val="65"/>
        </w:numPr>
        <w:tabs>
          <w:tab w:val="left" w:pos="1985"/>
        </w:tabs>
        <w:ind w:left="1555"/>
        <w:rPr>
          <w:rFonts w:eastAsia="Times New Roman"/>
          <w:sz w:val="24"/>
          <w:szCs w:val="24"/>
        </w:rPr>
      </w:pPr>
      <w:r w:rsidRPr="00E43F4C">
        <w:rPr>
          <w:rFonts w:eastAsia="Times New Roman"/>
          <w:sz w:val="24"/>
          <w:szCs w:val="24"/>
        </w:rPr>
        <w:t>Routine monitoring requirements for Surface Water or Groundwater under the Direct Influence of Surface Water Public Water Systems serving 1,000 or fewer people.</w:t>
      </w:r>
    </w:p>
    <w:p w14:paraId="2819D10C" w14:textId="77777777" w:rsidR="004647B9" w:rsidRPr="00E43F4C" w:rsidRDefault="00E2436F" w:rsidP="006804E8">
      <w:pPr>
        <w:numPr>
          <w:ilvl w:val="1"/>
          <w:numId w:val="65"/>
        </w:numPr>
        <w:tabs>
          <w:tab w:val="left" w:pos="2275"/>
        </w:tabs>
        <w:ind w:left="1915"/>
        <w:rPr>
          <w:rFonts w:eastAsia="Times New Roman"/>
          <w:sz w:val="24"/>
          <w:szCs w:val="24"/>
        </w:rPr>
      </w:pPr>
      <w:r w:rsidRPr="00E43F4C">
        <w:rPr>
          <w:rFonts w:eastAsia="Times New Roman"/>
          <w:sz w:val="24"/>
          <w:szCs w:val="24"/>
        </w:rPr>
        <w:t>310 CMR 22.05(1)(f) applies to Surface Water or Groundwater under the Direct Influence of Surface Water Public Water Systems serving 1,000 or fewer people.</w:t>
      </w:r>
    </w:p>
    <w:p w14:paraId="2819D10F" w14:textId="7AB97CDC" w:rsidR="004647B9" w:rsidRPr="002965E0" w:rsidRDefault="00E2436F" w:rsidP="006804E8">
      <w:pPr>
        <w:numPr>
          <w:ilvl w:val="1"/>
          <w:numId w:val="65"/>
        </w:numPr>
        <w:tabs>
          <w:tab w:val="left" w:pos="2275"/>
        </w:tabs>
        <w:ind w:left="1915"/>
        <w:jc w:val="both"/>
        <w:rPr>
          <w:sz w:val="24"/>
          <w:szCs w:val="24"/>
        </w:rPr>
      </w:pPr>
      <w:r w:rsidRPr="002965E0">
        <w:rPr>
          <w:rFonts w:eastAsia="Times New Roman"/>
          <w:sz w:val="24"/>
          <w:szCs w:val="24"/>
        </w:rPr>
        <w:t xml:space="preserve">Following any total coliform-positive sample taken under 310 CMR 22.05(1)(f)., a Supplier of Water shall comply with the repeat monitoring requirements and </w:t>
      </w:r>
      <w:r w:rsidRPr="002965E0">
        <w:rPr>
          <w:rFonts w:eastAsia="Times New Roman"/>
          <w:i/>
          <w:iCs/>
          <w:sz w:val="24"/>
          <w:szCs w:val="24"/>
        </w:rPr>
        <w:t>E. coli</w:t>
      </w:r>
      <w:r w:rsidR="002965E0" w:rsidRPr="002965E0">
        <w:rPr>
          <w:rFonts w:eastAsia="Times New Roman"/>
          <w:i/>
          <w:iCs/>
          <w:sz w:val="24"/>
          <w:szCs w:val="24"/>
        </w:rPr>
        <w:t xml:space="preserve"> </w:t>
      </w:r>
      <w:r w:rsidRPr="002965E0">
        <w:rPr>
          <w:rFonts w:eastAsia="Times New Roman"/>
          <w:sz w:val="24"/>
          <w:szCs w:val="24"/>
        </w:rPr>
        <w:t>analytical requirements in 310 CMR 22.05(2).</w:t>
      </w:r>
    </w:p>
    <w:p w14:paraId="2819D112" w14:textId="6A9F9FE5" w:rsidR="004647B9" w:rsidRPr="00E43F4C" w:rsidRDefault="00E2436F" w:rsidP="006804E8">
      <w:pPr>
        <w:numPr>
          <w:ilvl w:val="1"/>
          <w:numId w:val="65"/>
        </w:numPr>
        <w:tabs>
          <w:tab w:val="left" w:pos="2275"/>
        </w:tabs>
        <w:ind w:left="1915"/>
        <w:jc w:val="both"/>
        <w:rPr>
          <w:rFonts w:eastAsia="Times New Roman"/>
          <w:sz w:val="24"/>
          <w:szCs w:val="24"/>
        </w:rPr>
      </w:pPr>
      <w:r w:rsidRPr="00E43F4C">
        <w:rPr>
          <w:rFonts w:eastAsia="Times New Roman"/>
          <w:sz w:val="24"/>
          <w:szCs w:val="24"/>
        </w:rPr>
        <w:t>Once all monitoring required by 310 CMR 22.05(1)(f) and (2) for a calendar month has been completed, a Supplier of Water shall determine whether any coliform Treatment Technique triggers specified in 310 CMR 22.05(4) have been exceeded. If any trigger has been exceeded, a Supplier of Water shall complete assessments as required by</w:t>
      </w:r>
      <w:r w:rsidR="00B14B24" w:rsidRPr="00E43F4C">
        <w:rPr>
          <w:rFonts w:eastAsia="Times New Roman"/>
          <w:sz w:val="24"/>
          <w:szCs w:val="24"/>
        </w:rPr>
        <w:t xml:space="preserve"> 310 </w:t>
      </w:r>
      <w:r w:rsidRPr="00E43F4C">
        <w:rPr>
          <w:rFonts w:eastAsia="Times New Roman"/>
          <w:sz w:val="24"/>
          <w:szCs w:val="24"/>
        </w:rPr>
        <w:t>CMR 22.05(4).</w:t>
      </w:r>
    </w:p>
    <w:p w14:paraId="2819D114" w14:textId="77777777" w:rsidR="004647B9" w:rsidRPr="00E43F4C" w:rsidRDefault="00E2436F" w:rsidP="006804E8">
      <w:pPr>
        <w:numPr>
          <w:ilvl w:val="2"/>
          <w:numId w:val="66"/>
        </w:numPr>
        <w:tabs>
          <w:tab w:val="left" w:pos="2280"/>
        </w:tabs>
        <w:ind w:left="2275" w:hanging="360"/>
        <w:rPr>
          <w:rFonts w:eastAsia="Times New Roman"/>
          <w:sz w:val="24"/>
          <w:szCs w:val="24"/>
        </w:rPr>
      </w:pPr>
      <w:r w:rsidRPr="00E43F4C">
        <w:rPr>
          <w:rFonts w:eastAsia="Times New Roman"/>
          <w:sz w:val="24"/>
          <w:szCs w:val="24"/>
          <w:u w:val="single"/>
        </w:rPr>
        <w:t>Seasonal Systems</w:t>
      </w:r>
      <w:r w:rsidRPr="00E43F4C">
        <w:rPr>
          <w:rFonts w:eastAsia="Times New Roman"/>
          <w:sz w:val="24"/>
          <w:szCs w:val="24"/>
        </w:rPr>
        <w:t>.</w:t>
      </w:r>
    </w:p>
    <w:p w14:paraId="2819D116" w14:textId="1D55D64A" w:rsidR="004647B9" w:rsidRPr="00E43F4C" w:rsidRDefault="00E2436F" w:rsidP="002965E0">
      <w:pPr>
        <w:numPr>
          <w:ilvl w:val="3"/>
          <w:numId w:val="66"/>
        </w:numPr>
        <w:tabs>
          <w:tab w:val="left" w:pos="2634"/>
        </w:tabs>
        <w:ind w:left="2280" w:hanging="5"/>
        <w:jc w:val="both"/>
        <w:rPr>
          <w:rFonts w:eastAsia="Times New Roman"/>
          <w:sz w:val="24"/>
          <w:szCs w:val="24"/>
        </w:rPr>
      </w:pPr>
      <w:r w:rsidRPr="00E43F4C">
        <w:rPr>
          <w:rFonts w:eastAsia="Times New Roman"/>
          <w:sz w:val="24"/>
          <w:szCs w:val="24"/>
        </w:rPr>
        <w:t>All Seasonal Systems must demonstrate completion of a Department-approved start-up procedure, in accordance with 310 CMR 22.05(1)(d)6.a.</w:t>
      </w:r>
      <w:r w:rsidR="007A1CA7">
        <w:rPr>
          <w:rFonts w:eastAsia="Times New Roman"/>
          <w:sz w:val="24"/>
          <w:szCs w:val="24"/>
        </w:rPr>
        <w:t xml:space="preserve"> </w:t>
      </w:r>
      <w:r w:rsidRPr="00E43F4C">
        <w:rPr>
          <w:rFonts w:eastAsia="Times New Roman"/>
          <w:sz w:val="24"/>
          <w:szCs w:val="24"/>
        </w:rPr>
        <w:t>which includes a requirement for start-up sampling prior to serving water to the public.</w:t>
      </w:r>
    </w:p>
    <w:p w14:paraId="2819D117" w14:textId="77777777" w:rsidR="004647B9" w:rsidRPr="00E43F4C" w:rsidRDefault="00E2436F" w:rsidP="002965E0">
      <w:pPr>
        <w:numPr>
          <w:ilvl w:val="3"/>
          <w:numId w:val="66"/>
        </w:numPr>
        <w:tabs>
          <w:tab w:val="left" w:pos="2726"/>
        </w:tabs>
        <w:ind w:left="2280" w:hanging="5"/>
        <w:jc w:val="both"/>
        <w:rPr>
          <w:rFonts w:eastAsia="Times New Roman"/>
          <w:sz w:val="24"/>
          <w:szCs w:val="24"/>
        </w:rPr>
      </w:pPr>
      <w:r w:rsidRPr="00E43F4C">
        <w:rPr>
          <w:rFonts w:eastAsia="Times New Roman"/>
          <w:sz w:val="24"/>
          <w:szCs w:val="24"/>
        </w:rPr>
        <w:t>The Department may exempt any Seasonal System from some or all of the requirements for Seasonal Systems if the entire Distribution System remains pressurized during the entire period that the system is not operating.</w:t>
      </w:r>
    </w:p>
    <w:p w14:paraId="2819D11B" w14:textId="000D0864" w:rsidR="004647B9" w:rsidRPr="00E43F4C" w:rsidRDefault="00E2436F" w:rsidP="009B3E7E">
      <w:pPr>
        <w:numPr>
          <w:ilvl w:val="2"/>
          <w:numId w:val="66"/>
        </w:numPr>
        <w:tabs>
          <w:tab w:val="left" w:pos="2275"/>
        </w:tabs>
        <w:ind w:left="1915"/>
        <w:jc w:val="both"/>
        <w:rPr>
          <w:rFonts w:eastAsia="Times New Roman"/>
          <w:sz w:val="24"/>
          <w:szCs w:val="24"/>
        </w:rPr>
      </w:pPr>
      <w:r w:rsidRPr="00E43F4C">
        <w:rPr>
          <w:rFonts w:eastAsia="Times New Roman"/>
          <w:sz w:val="24"/>
          <w:szCs w:val="24"/>
          <w:u w:val="single"/>
        </w:rPr>
        <w:t>Monitoring Frequency for Total Coliforms</w:t>
      </w:r>
      <w:r w:rsidRPr="00E43F4C">
        <w:rPr>
          <w:rFonts w:eastAsia="Times New Roman"/>
          <w:sz w:val="24"/>
          <w:szCs w:val="24"/>
        </w:rPr>
        <w:t>. All Suppliers of Water described in</w:t>
      </w:r>
      <w:r w:rsidR="00B14B24" w:rsidRPr="00E43F4C">
        <w:rPr>
          <w:rFonts w:eastAsia="Times New Roman"/>
          <w:sz w:val="24"/>
          <w:szCs w:val="24"/>
        </w:rPr>
        <w:t xml:space="preserve"> 310 </w:t>
      </w:r>
      <w:r w:rsidRPr="00E43F4C">
        <w:rPr>
          <w:rFonts w:eastAsia="Times New Roman"/>
          <w:sz w:val="24"/>
          <w:szCs w:val="24"/>
        </w:rPr>
        <w:t>CMR 22.05(1)(f)1. (including consecutive systems) shall monitor for total coliforms monthly. No such Supplier of Water shall be eligible for quarterly monitoring.</w:t>
      </w:r>
    </w:p>
    <w:p w14:paraId="2819D11C" w14:textId="77777777" w:rsidR="004647B9" w:rsidRPr="00E43F4C" w:rsidRDefault="00E2436F" w:rsidP="006804E8">
      <w:pPr>
        <w:numPr>
          <w:ilvl w:val="2"/>
          <w:numId w:val="67"/>
        </w:numPr>
        <w:tabs>
          <w:tab w:val="left" w:pos="2275"/>
        </w:tabs>
        <w:ind w:left="1915"/>
        <w:jc w:val="both"/>
        <w:rPr>
          <w:rFonts w:eastAsia="Times New Roman"/>
          <w:sz w:val="24"/>
          <w:szCs w:val="24"/>
        </w:rPr>
      </w:pPr>
      <w:r w:rsidRPr="00E43F4C">
        <w:rPr>
          <w:rFonts w:eastAsia="Times New Roman"/>
          <w:sz w:val="24"/>
          <w:szCs w:val="24"/>
        </w:rPr>
        <w:t>A Public Water System that uses Surface Water or Groundwater Under the Direct Influence of Surface Water, as defined in 310 CMR 22.02, that does not practice Filtration (in compliance with 310 CMR 22.20A, 22.20D, 22.20F, and 22.20G) must collect at least one total coliform sample Near the First Service Connection each day the Turbidity level of the source water, measured as specified in 310 CMR 22.20A(5)(b)2., exceeds one NTU. This sample must be analyzed for the presence of total coliform. When one or more Turbidity measurements in any day exceeds one NTU, the Supplier of Water must collect this coliform sample within 24 hours of the first exceedance, unless the Department determines that the Supplier of Water, for logistical reasons outside the Supplier of Water 's control, cannot have the sample analyzed within 30 hours of collection and identifies an alternative sample collection schedule. Sample results from this coliform monitoring must be included in determining whether the coliform Treatment Technique trigger in 310 CMR 22.05(4)(a) has been exceeded.</w:t>
      </w:r>
    </w:p>
    <w:p w14:paraId="2819D11D" w14:textId="77777777" w:rsidR="004647B9" w:rsidRPr="00E43F4C" w:rsidRDefault="004647B9" w:rsidP="002965E0">
      <w:pPr>
        <w:rPr>
          <w:rFonts w:eastAsia="Times New Roman"/>
          <w:sz w:val="24"/>
          <w:szCs w:val="24"/>
        </w:rPr>
      </w:pPr>
    </w:p>
    <w:p w14:paraId="2819D11E" w14:textId="77777777" w:rsidR="004647B9" w:rsidRPr="00E43F4C" w:rsidRDefault="00E2436F" w:rsidP="002965E0">
      <w:pPr>
        <w:numPr>
          <w:ilvl w:val="0"/>
          <w:numId w:val="68"/>
        </w:numPr>
        <w:tabs>
          <w:tab w:val="left" w:pos="1660"/>
        </w:tabs>
        <w:ind w:left="1660" w:hanging="460"/>
        <w:rPr>
          <w:rFonts w:eastAsia="Times New Roman"/>
          <w:sz w:val="24"/>
          <w:szCs w:val="24"/>
        </w:rPr>
      </w:pPr>
      <w:r w:rsidRPr="00E43F4C">
        <w:rPr>
          <w:rFonts w:eastAsia="Times New Roman"/>
          <w:sz w:val="24"/>
          <w:szCs w:val="24"/>
          <w:u w:val="single"/>
        </w:rPr>
        <w:t>Repeat Monitoring and</w:t>
      </w:r>
      <w:r w:rsidRPr="00E43F4C">
        <w:rPr>
          <w:rFonts w:eastAsia="Times New Roman"/>
          <w:sz w:val="24"/>
          <w:szCs w:val="24"/>
        </w:rPr>
        <w:t xml:space="preserve"> </w:t>
      </w:r>
      <w:r w:rsidRPr="00E43F4C">
        <w:rPr>
          <w:rFonts w:eastAsia="Times New Roman"/>
          <w:i/>
          <w:iCs/>
          <w:sz w:val="24"/>
          <w:szCs w:val="24"/>
          <w:u w:val="single"/>
        </w:rPr>
        <w:t>E. coli</w:t>
      </w:r>
      <w:r w:rsidRPr="00E43F4C">
        <w:rPr>
          <w:rFonts w:eastAsia="Times New Roman"/>
          <w:sz w:val="24"/>
          <w:szCs w:val="24"/>
        </w:rPr>
        <w:t xml:space="preserve"> </w:t>
      </w:r>
      <w:r w:rsidRPr="00E43F4C">
        <w:rPr>
          <w:rFonts w:eastAsia="Times New Roman"/>
          <w:sz w:val="24"/>
          <w:szCs w:val="24"/>
          <w:u w:val="single"/>
        </w:rPr>
        <w:t>Requirements</w:t>
      </w:r>
      <w:r w:rsidRPr="00E43F4C">
        <w:rPr>
          <w:rFonts w:eastAsia="Times New Roman"/>
          <w:sz w:val="24"/>
          <w:szCs w:val="24"/>
        </w:rPr>
        <w:t>.</w:t>
      </w:r>
    </w:p>
    <w:p w14:paraId="2819D120" w14:textId="77777777" w:rsidR="004647B9" w:rsidRPr="00E43F4C" w:rsidRDefault="00E2436F" w:rsidP="00574FE7">
      <w:pPr>
        <w:numPr>
          <w:ilvl w:val="1"/>
          <w:numId w:val="68"/>
        </w:numPr>
        <w:tabs>
          <w:tab w:val="left" w:pos="1987"/>
        </w:tabs>
        <w:ind w:left="1555"/>
        <w:jc w:val="both"/>
        <w:rPr>
          <w:rFonts w:eastAsia="Times New Roman"/>
          <w:sz w:val="24"/>
          <w:szCs w:val="24"/>
        </w:rPr>
      </w:pPr>
      <w:r w:rsidRPr="00E43F4C">
        <w:rPr>
          <w:rFonts w:eastAsia="Times New Roman"/>
          <w:sz w:val="24"/>
          <w:szCs w:val="24"/>
          <w:u w:val="single"/>
        </w:rPr>
        <w:t>Repeat Monitoring</w:t>
      </w:r>
      <w:r w:rsidRPr="00E43F4C">
        <w:rPr>
          <w:rFonts w:eastAsia="Times New Roman"/>
          <w:sz w:val="24"/>
          <w:szCs w:val="24"/>
        </w:rPr>
        <w:t>. If a sample taken under 310 CMR 22.05(1) is total coliform-positive, the Supplier of Water must collect a set of repeat samples within 24 hours of being notified of the positive result. A Supplier of Water must collect no fewer than three repeat samples for each total coliform-positive sample found. The Supplier of Water may request an extension of the 24-hour limit on a case-by-case basis, subject to Department approval. In order to obtain such approval, the Supplier of Water shall demonstrate a logistical problem in collecting the repeat samples within 24 hours that is beyond its control. In the case of an extension, the Supplier of Water must collect the repeat samples within the amount of time specified by the Department. There shall be no waiver granted from the requirement for a Supplier of Water to collect repeat samples in 310 CMR 22.05(2)(a), (c) and (d).</w:t>
      </w:r>
    </w:p>
    <w:p w14:paraId="2819D122" w14:textId="77777777" w:rsidR="004647B9" w:rsidRPr="00E43F4C" w:rsidRDefault="00E2436F" w:rsidP="00574FE7">
      <w:pPr>
        <w:numPr>
          <w:ilvl w:val="1"/>
          <w:numId w:val="68"/>
        </w:numPr>
        <w:tabs>
          <w:tab w:val="left" w:pos="1987"/>
        </w:tabs>
        <w:ind w:left="1555"/>
        <w:jc w:val="both"/>
        <w:rPr>
          <w:rFonts w:eastAsia="Times New Roman"/>
          <w:sz w:val="24"/>
          <w:szCs w:val="24"/>
        </w:rPr>
      </w:pPr>
      <w:r w:rsidRPr="00E43F4C">
        <w:rPr>
          <w:rFonts w:eastAsia="Times New Roman"/>
          <w:sz w:val="24"/>
          <w:szCs w:val="24"/>
        </w:rPr>
        <w:t xml:space="preserve">Unless the provisions of 310 CMR 22.05(1)(a)3.d.i. or ii. are met, the Supplier of Water must collect at least one repeat sample from the sampling tap where the original total coliform-positive sample was taken, and at least one repeat sample at a tap within five service connections upstream and at least one repeat sample at a tap within five service connections downstream of the original sampling site. If a total coliform-positive sample is at the end of the Distribution System, or one service connection away from the end of the Distribution System, the Supplier of Water must still take all required repeat samples, using an alternative sampling location approved by the Department in </w:t>
      </w:r>
      <w:r w:rsidRPr="00E43F4C">
        <w:rPr>
          <w:rFonts w:eastAsia="Times New Roman"/>
          <w:i/>
          <w:iCs/>
          <w:sz w:val="24"/>
          <w:szCs w:val="24"/>
        </w:rPr>
        <w:t>lieu</w:t>
      </w:r>
      <w:r w:rsidRPr="00E43F4C">
        <w:rPr>
          <w:rFonts w:eastAsia="Times New Roman"/>
          <w:sz w:val="24"/>
          <w:szCs w:val="24"/>
        </w:rPr>
        <w:t xml:space="preserve"> of the requirement to collect at least one repeat sample upstream or downstream of the original sampling site. Except as provided for in 310 CMR 22.05(1)(a)3.d.ii., a Supplier of Water required to conduct triggered source water monitoring under 310 CMR 22.26(3)(a) must take groundwater source sample(s) in addition to repeat samples required under 310 CMR 22.05(2).</w:t>
      </w:r>
    </w:p>
    <w:p w14:paraId="2819D123" w14:textId="77777777" w:rsidR="004647B9" w:rsidRDefault="004647B9">
      <w:pPr>
        <w:sectPr w:rsidR="004647B9" w:rsidSect="00EF630C">
          <w:pgSz w:w="12240" w:h="20180"/>
          <w:pgMar w:top="708" w:right="1440" w:bottom="851" w:left="600" w:header="0" w:footer="0" w:gutter="0"/>
          <w:cols w:space="720" w:equalWidth="0">
            <w:col w:w="10200"/>
          </w:cols>
        </w:sectPr>
      </w:pPr>
    </w:p>
    <w:p w14:paraId="2819D124" w14:textId="77777777" w:rsidR="004647B9" w:rsidRDefault="00E2436F">
      <w:pPr>
        <w:tabs>
          <w:tab w:val="left" w:pos="160"/>
        </w:tabs>
        <w:jc w:val="center"/>
        <w:rPr>
          <w:sz w:val="20"/>
          <w:szCs w:val="20"/>
        </w:rPr>
      </w:pPr>
      <w:bookmarkStart w:id="36" w:name="page37"/>
      <w:bookmarkEnd w:id="3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125" w14:textId="77777777" w:rsidR="004647B9" w:rsidRDefault="004647B9" w:rsidP="00B352C5">
      <w:pPr>
        <w:rPr>
          <w:sz w:val="20"/>
          <w:szCs w:val="20"/>
        </w:rPr>
      </w:pPr>
    </w:p>
    <w:p w14:paraId="2819D126" w14:textId="77777777" w:rsidR="004647B9" w:rsidRDefault="004647B9" w:rsidP="00B352C5">
      <w:pPr>
        <w:rPr>
          <w:sz w:val="20"/>
          <w:szCs w:val="20"/>
        </w:rPr>
      </w:pPr>
    </w:p>
    <w:p w14:paraId="2819D127"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128" w14:textId="77777777" w:rsidR="004647B9" w:rsidRDefault="004647B9" w:rsidP="00B352C5">
      <w:pPr>
        <w:rPr>
          <w:sz w:val="20"/>
          <w:szCs w:val="20"/>
        </w:rPr>
      </w:pPr>
    </w:p>
    <w:p w14:paraId="2819D129" w14:textId="77777777" w:rsidR="004647B9" w:rsidRPr="00B14B24" w:rsidRDefault="00E2436F" w:rsidP="00574FE7">
      <w:pPr>
        <w:numPr>
          <w:ilvl w:val="1"/>
          <w:numId w:val="69"/>
        </w:numPr>
        <w:tabs>
          <w:tab w:val="left" w:pos="1987"/>
        </w:tabs>
        <w:spacing w:line="252" w:lineRule="auto"/>
        <w:ind w:left="1555"/>
        <w:jc w:val="both"/>
        <w:rPr>
          <w:rFonts w:eastAsia="Times New Roman"/>
          <w:sz w:val="24"/>
          <w:szCs w:val="24"/>
        </w:rPr>
      </w:pPr>
      <w:r w:rsidRPr="00B14B24">
        <w:rPr>
          <w:rFonts w:eastAsia="Times New Roman"/>
          <w:sz w:val="24"/>
          <w:szCs w:val="24"/>
        </w:rPr>
        <w:t>A Supplier of Water must collect all repeat samples on the same day, except that a Public Water System with a Single Service Connection, in accordance with a coliform sampling plan approved pursuant to 310 CMR 22.05(1)(a)3., may collect:</w:t>
      </w:r>
    </w:p>
    <w:p w14:paraId="2819D12B" w14:textId="77777777" w:rsidR="004647B9" w:rsidRPr="00B14B24" w:rsidRDefault="00E2436F" w:rsidP="006804E8">
      <w:pPr>
        <w:numPr>
          <w:ilvl w:val="2"/>
          <w:numId w:val="69"/>
        </w:numPr>
        <w:tabs>
          <w:tab w:val="left" w:pos="2280"/>
        </w:tabs>
        <w:ind w:left="2275" w:hanging="360"/>
        <w:rPr>
          <w:rFonts w:eastAsia="Times New Roman"/>
          <w:sz w:val="24"/>
          <w:szCs w:val="24"/>
        </w:rPr>
      </w:pPr>
      <w:r w:rsidRPr="00B14B24">
        <w:rPr>
          <w:rFonts w:eastAsia="Times New Roman"/>
          <w:sz w:val="24"/>
          <w:szCs w:val="24"/>
        </w:rPr>
        <w:t>the required set of repeat samples over a three-day period; or</w:t>
      </w:r>
    </w:p>
    <w:p w14:paraId="2819D12D" w14:textId="77777777" w:rsidR="004647B9" w:rsidRPr="00B14B24" w:rsidRDefault="00E2436F" w:rsidP="006804E8">
      <w:pPr>
        <w:numPr>
          <w:ilvl w:val="2"/>
          <w:numId w:val="69"/>
        </w:numPr>
        <w:tabs>
          <w:tab w:val="left" w:pos="2275"/>
        </w:tabs>
        <w:spacing w:line="242" w:lineRule="auto"/>
        <w:ind w:left="1915"/>
        <w:rPr>
          <w:rFonts w:eastAsia="Times New Roman"/>
          <w:sz w:val="24"/>
          <w:szCs w:val="24"/>
        </w:rPr>
      </w:pPr>
      <w:r w:rsidRPr="00B14B24">
        <w:rPr>
          <w:rFonts w:eastAsia="Times New Roman"/>
          <w:sz w:val="24"/>
          <w:szCs w:val="24"/>
        </w:rPr>
        <w:t>a larger volume repeat sample(s) in one or more sample containers of any size, as long as the total volume collected is at least 300 ml.</w:t>
      </w:r>
    </w:p>
    <w:p w14:paraId="2819D12E" w14:textId="77777777" w:rsidR="004647B9" w:rsidRPr="00B14B24" w:rsidRDefault="00E2436F" w:rsidP="00574FE7">
      <w:pPr>
        <w:numPr>
          <w:ilvl w:val="1"/>
          <w:numId w:val="69"/>
        </w:numPr>
        <w:tabs>
          <w:tab w:val="left" w:pos="1987"/>
        </w:tabs>
        <w:spacing w:line="252" w:lineRule="auto"/>
        <w:ind w:left="1555"/>
        <w:jc w:val="both"/>
        <w:rPr>
          <w:rFonts w:eastAsia="Times New Roman"/>
          <w:sz w:val="24"/>
          <w:szCs w:val="24"/>
        </w:rPr>
      </w:pPr>
      <w:r w:rsidRPr="00B14B24">
        <w:rPr>
          <w:rFonts w:eastAsia="Times New Roman"/>
          <w:sz w:val="24"/>
          <w:szCs w:val="24"/>
        </w:rPr>
        <w:t>If one or more repeat samples in the current set of repeat samples is total coliform-positive, the Supplier of Water must collect an additional set of repeat samples in the manner specified in 310 CMR 22.05(2)(a), (c) and (d). The additional samples must be collected within 24 hours of being notified of the positive result, unless the Department extends the limit as provided in 310 CMR 22.05(2)(a). A Supplier of Water must continue to collect additional sets of repeat samples until either total coliforms are not detected in one complete set of repeat samples or the Supplier of Water determines that a coliform Treatment Technique trigger in 310 CMR 22.05(4)(a) has been exceeded as a result of a repeat sample being total coliform-positive and notifies the Department in accordance with 310 CMR 22.05(4)(a). If a trigger identified in 310 CMR 22.05(4)(a) is exceeded as a result of a routine samples being total coliform-positive, a Supplier of Water is required to conduct only one round of repeat monitoring for each total coliform-positive routine sample.</w:t>
      </w:r>
    </w:p>
    <w:p w14:paraId="2819D130" w14:textId="77777777" w:rsidR="004647B9" w:rsidRPr="00B14B24" w:rsidRDefault="00E2436F" w:rsidP="00574FE7">
      <w:pPr>
        <w:numPr>
          <w:ilvl w:val="1"/>
          <w:numId w:val="69"/>
        </w:numPr>
        <w:tabs>
          <w:tab w:val="left" w:pos="1987"/>
        </w:tabs>
        <w:spacing w:line="242" w:lineRule="auto"/>
        <w:ind w:left="1555"/>
        <w:jc w:val="both"/>
        <w:rPr>
          <w:rFonts w:eastAsia="Times New Roman"/>
          <w:sz w:val="24"/>
          <w:szCs w:val="24"/>
        </w:rPr>
      </w:pPr>
      <w:r w:rsidRPr="00B14B24">
        <w:rPr>
          <w:rFonts w:eastAsia="Times New Roman"/>
          <w:sz w:val="24"/>
          <w:szCs w:val="24"/>
        </w:rPr>
        <w:t>After a Supplier of Water collects a routine sample and before it learns the results of the analysis of that sample, if it collects another routine sample(s) from within five adjacent service connections of the initial sample, and the initial sample, after analysis, is found to contain total coliforms, then the Supplier of Water may count the subsequent sample(s) as a repeat sample instead of as a routine sample.</w:t>
      </w:r>
    </w:p>
    <w:p w14:paraId="2819D132" w14:textId="77777777" w:rsidR="004647B9" w:rsidRPr="00B14B24" w:rsidRDefault="00E2436F" w:rsidP="00574FE7">
      <w:pPr>
        <w:numPr>
          <w:ilvl w:val="1"/>
          <w:numId w:val="69"/>
        </w:numPr>
        <w:tabs>
          <w:tab w:val="left" w:pos="1987"/>
        </w:tabs>
        <w:spacing w:line="252" w:lineRule="auto"/>
        <w:ind w:left="1555"/>
        <w:jc w:val="both"/>
        <w:rPr>
          <w:rFonts w:eastAsia="Times New Roman"/>
          <w:sz w:val="24"/>
          <w:szCs w:val="24"/>
        </w:rPr>
      </w:pPr>
      <w:r w:rsidRPr="00B14B24">
        <w:rPr>
          <w:rFonts w:eastAsia="Times New Roman"/>
          <w:sz w:val="24"/>
          <w:szCs w:val="24"/>
        </w:rPr>
        <w:t>Results of all routine and repeat samples taken under 310 CMR 22.05(1) and 310 CMR 22.05(2) not invalidated by the Department must be used to determine whether a coliform Treatment Technique trigger specified in 310 CMR 22.05(4)(a) has been exceeded.</w:t>
      </w:r>
    </w:p>
    <w:p w14:paraId="2819D134" w14:textId="77777777" w:rsidR="004647B9" w:rsidRPr="00B14B24" w:rsidRDefault="00E2436F" w:rsidP="00574FE7">
      <w:pPr>
        <w:numPr>
          <w:ilvl w:val="1"/>
          <w:numId w:val="69"/>
        </w:numPr>
        <w:tabs>
          <w:tab w:val="left" w:pos="1987"/>
        </w:tabs>
        <w:ind w:left="2016" w:hanging="461"/>
        <w:rPr>
          <w:rFonts w:eastAsia="Times New Roman"/>
          <w:sz w:val="24"/>
          <w:szCs w:val="24"/>
        </w:rPr>
      </w:pPr>
      <w:r w:rsidRPr="00B14B24">
        <w:rPr>
          <w:rFonts w:eastAsia="Times New Roman"/>
          <w:i/>
          <w:iCs/>
          <w:sz w:val="24"/>
          <w:szCs w:val="24"/>
          <w:u w:val="single"/>
        </w:rPr>
        <w:t>Escherichia coli (E. coli)</w:t>
      </w:r>
      <w:r w:rsidRPr="00B14B24">
        <w:rPr>
          <w:rFonts w:eastAsia="Times New Roman"/>
          <w:i/>
          <w:iCs/>
          <w:sz w:val="24"/>
          <w:szCs w:val="24"/>
        </w:rPr>
        <w:t xml:space="preserve"> </w:t>
      </w:r>
      <w:r w:rsidRPr="00B14B24">
        <w:rPr>
          <w:rFonts w:eastAsia="Times New Roman"/>
          <w:sz w:val="24"/>
          <w:szCs w:val="24"/>
          <w:u w:val="single"/>
        </w:rPr>
        <w:t>Testing</w:t>
      </w:r>
      <w:r w:rsidRPr="00B14B24">
        <w:rPr>
          <w:rFonts w:eastAsia="Times New Roman"/>
          <w:sz w:val="24"/>
          <w:szCs w:val="24"/>
        </w:rPr>
        <w:t>.</w:t>
      </w:r>
    </w:p>
    <w:p w14:paraId="2819D136" w14:textId="07E4E502" w:rsidR="004647B9" w:rsidRPr="00B14B24" w:rsidRDefault="00E2436F" w:rsidP="000E59F8">
      <w:pPr>
        <w:numPr>
          <w:ilvl w:val="2"/>
          <w:numId w:val="69"/>
        </w:numPr>
        <w:tabs>
          <w:tab w:val="left" w:pos="2251"/>
        </w:tabs>
        <w:spacing w:line="242" w:lineRule="auto"/>
        <w:ind w:left="1915"/>
        <w:jc w:val="both"/>
        <w:rPr>
          <w:rFonts w:eastAsia="Times New Roman"/>
          <w:sz w:val="24"/>
          <w:szCs w:val="24"/>
        </w:rPr>
      </w:pPr>
      <w:r w:rsidRPr="00B14B24">
        <w:rPr>
          <w:rFonts w:eastAsia="Times New Roman"/>
          <w:sz w:val="24"/>
          <w:szCs w:val="24"/>
        </w:rPr>
        <w:t xml:space="preserve">If any routine or repeat sample is total coliform-positive, the Supplier of Water shall analyze that total coliform-positive culture medium to determine if </w:t>
      </w:r>
      <w:r w:rsidRPr="00B14B24">
        <w:rPr>
          <w:rFonts w:eastAsia="Times New Roman"/>
          <w:i/>
          <w:iCs/>
          <w:sz w:val="24"/>
          <w:szCs w:val="24"/>
        </w:rPr>
        <w:t>E. coli</w:t>
      </w:r>
      <w:r w:rsidRPr="00B14B24">
        <w:rPr>
          <w:rFonts w:eastAsia="Times New Roman"/>
          <w:sz w:val="24"/>
          <w:szCs w:val="24"/>
        </w:rPr>
        <w:t xml:space="preserve"> are present. If </w:t>
      </w:r>
      <w:r w:rsidRPr="00B14B24">
        <w:rPr>
          <w:rFonts w:eastAsia="Times New Roman"/>
          <w:i/>
          <w:iCs/>
          <w:sz w:val="24"/>
          <w:szCs w:val="24"/>
        </w:rPr>
        <w:t>E. coli</w:t>
      </w:r>
      <w:r w:rsidRPr="00B14B24">
        <w:rPr>
          <w:rFonts w:eastAsia="Times New Roman"/>
          <w:sz w:val="24"/>
          <w:szCs w:val="24"/>
        </w:rPr>
        <w:t xml:space="preserve"> are present the Supplier of Water must notify and consult with the Department as soon as possible but no later than the end of the day when the Supplier of Water </w:t>
      </w:r>
      <w:r w:rsidR="00100D5A">
        <w:rPr>
          <w:rFonts w:eastAsia="Times New Roman"/>
          <w:sz w:val="24"/>
          <w:szCs w:val="24"/>
        </w:rPr>
        <w:t>is notified of the test result</w:t>
      </w:r>
      <w:r w:rsidRPr="00B14B24">
        <w:rPr>
          <w:rFonts w:eastAsia="Times New Roman"/>
          <w:sz w:val="24"/>
          <w:szCs w:val="24"/>
        </w:rPr>
        <w:t>. If the Public Water System receives such notification outside of the Department's regular business hours, then it shall provide notification to the Department by calling the Department's Emergency notification telephone number and using any other electronic reporting tool designated by the Department, or other Department designated numbers.</w:t>
      </w:r>
    </w:p>
    <w:p w14:paraId="2819D137" w14:textId="77777777" w:rsidR="004647B9" w:rsidRPr="00B14B24" w:rsidRDefault="00E2436F" w:rsidP="000E59F8">
      <w:pPr>
        <w:numPr>
          <w:ilvl w:val="2"/>
          <w:numId w:val="69"/>
        </w:numPr>
        <w:tabs>
          <w:tab w:val="left" w:pos="2302"/>
        </w:tabs>
        <w:spacing w:line="242" w:lineRule="auto"/>
        <w:ind w:left="1915"/>
        <w:jc w:val="both"/>
        <w:rPr>
          <w:rFonts w:eastAsia="Times New Roman"/>
          <w:sz w:val="24"/>
          <w:szCs w:val="24"/>
        </w:rPr>
      </w:pPr>
      <w:r w:rsidRPr="00B14B24">
        <w:rPr>
          <w:rFonts w:eastAsia="Times New Roman"/>
          <w:sz w:val="24"/>
          <w:szCs w:val="24"/>
        </w:rPr>
        <w:t xml:space="preserve">A Supplier of Water may forgo </w:t>
      </w:r>
      <w:r w:rsidRPr="00B14B24">
        <w:rPr>
          <w:rFonts w:eastAsia="Times New Roman"/>
          <w:i/>
          <w:iCs/>
          <w:sz w:val="24"/>
          <w:szCs w:val="24"/>
        </w:rPr>
        <w:t>E. coli</w:t>
      </w:r>
      <w:r w:rsidRPr="00B14B24">
        <w:rPr>
          <w:rFonts w:eastAsia="Times New Roman"/>
          <w:sz w:val="24"/>
          <w:szCs w:val="24"/>
        </w:rPr>
        <w:t xml:space="preserve"> testing on a total coliform-positive sample provided that the Supplier of Water assumes the total coliform-positive sample is </w:t>
      </w:r>
      <w:r w:rsidRPr="00B14B24">
        <w:rPr>
          <w:rFonts w:eastAsia="Times New Roman"/>
          <w:i/>
          <w:iCs/>
          <w:sz w:val="24"/>
          <w:szCs w:val="24"/>
        </w:rPr>
        <w:t>E.</w:t>
      </w:r>
      <w:r w:rsidRPr="00B14B24">
        <w:rPr>
          <w:rFonts w:eastAsia="Times New Roman"/>
          <w:sz w:val="24"/>
          <w:szCs w:val="24"/>
        </w:rPr>
        <w:t xml:space="preserve"> </w:t>
      </w:r>
      <w:r w:rsidRPr="00B14B24">
        <w:rPr>
          <w:rFonts w:eastAsia="Times New Roman"/>
          <w:i/>
          <w:iCs/>
          <w:sz w:val="24"/>
          <w:szCs w:val="24"/>
        </w:rPr>
        <w:t>coli</w:t>
      </w:r>
      <w:r w:rsidRPr="00B14B24">
        <w:rPr>
          <w:rFonts w:eastAsia="Times New Roman"/>
          <w:sz w:val="24"/>
          <w:szCs w:val="24"/>
        </w:rPr>
        <w:t>-positive, in which case the provisions of 310 CMR 22.05(8)(a) shall apply for</w:t>
      </w:r>
      <w:r w:rsidRPr="00B14B24">
        <w:rPr>
          <w:rFonts w:eastAsia="Times New Roman"/>
          <w:i/>
          <w:iCs/>
          <w:sz w:val="24"/>
          <w:szCs w:val="24"/>
        </w:rPr>
        <w:t xml:space="preserve"> </w:t>
      </w:r>
      <w:r w:rsidRPr="00B14B24">
        <w:rPr>
          <w:rFonts w:eastAsia="Times New Roman"/>
          <w:sz w:val="24"/>
          <w:szCs w:val="24"/>
        </w:rPr>
        <w:t xml:space="preserve">purposes of determining whether the Public Water System is in compliance with the MCL for </w:t>
      </w:r>
      <w:r w:rsidRPr="00B14B24">
        <w:rPr>
          <w:rFonts w:eastAsia="Times New Roman"/>
          <w:i/>
          <w:iCs/>
          <w:sz w:val="24"/>
          <w:szCs w:val="24"/>
        </w:rPr>
        <w:t>E. coli</w:t>
      </w:r>
      <w:r w:rsidRPr="00B14B24">
        <w:rPr>
          <w:rFonts w:eastAsia="Times New Roman"/>
          <w:sz w:val="24"/>
          <w:szCs w:val="24"/>
        </w:rPr>
        <w:t>. The Supplier of Water making such assumption shall notify the Department as specified in 310 CMR 22.05(2)(g)1.</w:t>
      </w:r>
    </w:p>
    <w:p w14:paraId="2819D138" w14:textId="77777777" w:rsidR="004647B9" w:rsidRPr="00B14B24" w:rsidRDefault="004647B9">
      <w:pPr>
        <w:spacing w:line="247" w:lineRule="exact"/>
        <w:rPr>
          <w:rFonts w:eastAsia="Times New Roman"/>
          <w:sz w:val="24"/>
          <w:szCs w:val="24"/>
        </w:rPr>
      </w:pPr>
    </w:p>
    <w:p w14:paraId="2819D13B" w14:textId="2AB10136" w:rsidR="004647B9" w:rsidRPr="00B14B24" w:rsidRDefault="00E2436F" w:rsidP="006B6C9A">
      <w:pPr>
        <w:numPr>
          <w:ilvl w:val="0"/>
          <w:numId w:val="70"/>
        </w:numPr>
        <w:tabs>
          <w:tab w:val="left" w:pos="1600"/>
        </w:tabs>
        <w:ind w:left="1200"/>
        <w:jc w:val="both"/>
        <w:rPr>
          <w:rFonts w:eastAsia="Times New Roman"/>
          <w:sz w:val="24"/>
          <w:szCs w:val="24"/>
        </w:rPr>
      </w:pPr>
      <w:r w:rsidRPr="00B14B24">
        <w:rPr>
          <w:rFonts w:eastAsia="Times New Roman"/>
          <w:sz w:val="24"/>
          <w:szCs w:val="24"/>
          <w:u w:val="single"/>
        </w:rPr>
        <w:t>Invalidation of Total Coliform Samples</w:t>
      </w:r>
      <w:r w:rsidRPr="00B14B24">
        <w:rPr>
          <w:rFonts w:eastAsia="Times New Roman"/>
          <w:sz w:val="24"/>
          <w:szCs w:val="24"/>
        </w:rPr>
        <w:t>. A total coliform-positive sample invalidated under</w:t>
      </w:r>
      <w:r w:rsidR="00B14B24">
        <w:rPr>
          <w:rFonts w:eastAsia="Times New Roman"/>
          <w:sz w:val="24"/>
          <w:szCs w:val="24"/>
        </w:rPr>
        <w:t xml:space="preserve"> </w:t>
      </w:r>
      <w:r w:rsidRPr="00B14B24">
        <w:rPr>
          <w:rFonts w:eastAsia="Times New Roman"/>
          <w:sz w:val="24"/>
          <w:szCs w:val="24"/>
        </w:rPr>
        <w:t>310 CMR 22.05(3) does not count towards meeting the minimum monitoring requirements of 310 CMR 22.05(1).</w:t>
      </w:r>
    </w:p>
    <w:p w14:paraId="2819D13C" w14:textId="73323B0D" w:rsidR="004647B9" w:rsidRPr="00B14B24" w:rsidRDefault="00E2436F" w:rsidP="00563A54">
      <w:pPr>
        <w:numPr>
          <w:ilvl w:val="1"/>
          <w:numId w:val="70"/>
        </w:numPr>
        <w:tabs>
          <w:tab w:val="left" w:pos="2009"/>
        </w:tabs>
        <w:spacing w:line="243" w:lineRule="auto"/>
        <w:ind w:left="1560" w:hanging="5"/>
        <w:jc w:val="both"/>
        <w:rPr>
          <w:rFonts w:eastAsia="Times New Roman"/>
          <w:sz w:val="24"/>
          <w:szCs w:val="24"/>
        </w:rPr>
      </w:pPr>
      <w:r w:rsidRPr="00B14B24">
        <w:rPr>
          <w:rFonts w:eastAsia="Times New Roman"/>
          <w:sz w:val="24"/>
          <w:szCs w:val="24"/>
        </w:rPr>
        <w:t>A Supplier of Water may request that a total coliform-positive sample be invalidated, subject to Department approval. Any such request shall satisfy the conditions of 310 CMR 22.05(3)(a)1.</w:t>
      </w:r>
      <w:r w:rsidR="004921B3">
        <w:rPr>
          <w:rFonts w:eastAsia="Times New Roman"/>
          <w:sz w:val="24"/>
          <w:szCs w:val="24"/>
        </w:rPr>
        <w:t>, 2</w:t>
      </w:r>
      <w:r w:rsidR="00756C95">
        <w:rPr>
          <w:rFonts w:eastAsia="Times New Roman"/>
          <w:sz w:val="24"/>
          <w:szCs w:val="24"/>
        </w:rPr>
        <w:t>.</w:t>
      </w:r>
      <w:r w:rsidR="004921B3">
        <w:rPr>
          <w:rFonts w:eastAsia="Times New Roman"/>
          <w:sz w:val="24"/>
          <w:szCs w:val="24"/>
        </w:rPr>
        <w:t xml:space="preserve"> or</w:t>
      </w:r>
      <w:r w:rsidR="00863C00">
        <w:rPr>
          <w:rFonts w:eastAsia="Times New Roman"/>
          <w:sz w:val="24"/>
          <w:szCs w:val="24"/>
        </w:rPr>
        <w:t xml:space="preserve"> </w:t>
      </w:r>
      <w:r w:rsidRPr="00B14B24">
        <w:rPr>
          <w:rFonts w:eastAsia="Times New Roman"/>
          <w:sz w:val="24"/>
          <w:szCs w:val="24"/>
        </w:rPr>
        <w:t>3.</w:t>
      </w:r>
    </w:p>
    <w:p w14:paraId="2819D13E" w14:textId="77777777" w:rsidR="004647B9" w:rsidRPr="00B14B24" w:rsidRDefault="00E2436F" w:rsidP="006B6C9A">
      <w:pPr>
        <w:numPr>
          <w:ilvl w:val="2"/>
          <w:numId w:val="70"/>
        </w:numPr>
        <w:tabs>
          <w:tab w:val="left" w:pos="2275"/>
        </w:tabs>
        <w:spacing w:line="242" w:lineRule="auto"/>
        <w:ind w:left="1915"/>
        <w:jc w:val="both"/>
        <w:rPr>
          <w:rFonts w:eastAsia="Times New Roman"/>
          <w:sz w:val="24"/>
          <w:szCs w:val="24"/>
        </w:rPr>
      </w:pPr>
      <w:r w:rsidRPr="00B14B24">
        <w:rPr>
          <w:rFonts w:eastAsia="Times New Roman"/>
          <w:sz w:val="24"/>
          <w:szCs w:val="24"/>
        </w:rPr>
        <w:t>The laboratory establishes that improper sample analysis caused the total coliform-positive result.</w:t>
      </w:r>
    </w:p>
    <w:p w14:paraId="2819D13F" w14:textId="6910688E" w:rsidR="004647B9" w:rsidRPr="00B14B24" w:rsidRDefault="00E2436F" w:rsidP="006804E8">
      <w:pPr>
        <w:numPr>
          <w:ilvl w:val="2"/>
          <w:numId w:val="70"/>
        </w:numPr>
        <w:tabs>
          <w:tab w:val="left" w:pos="2275"/>
        </w:tabs>
        <w:spacing w:line="254" w:lineRule="auto"/>
        <w:ind w:left="1915"/>
        <w:jc w:val="both"/>
        <w:rPr>
          <w:rFonts w:eastAsia="Times New Roman"/>
          <w:sz w:val="24"/>
          <w:szCs w:val="24"/>
        </w:rPr>
      </w:pPr>
      <w:r w:rsidRPr="00B14B24">
        <w:rPr>
          <w:rFonts w:eastAsia="Times New Roman"/>
          <w:sz w:val="24"/>
          <w:szCs w:val="24"/>
        </w:rPr>
        <w:t>The Supplier of Water demonstrates, on the basis of the results of repeat samples collected as required by 310 CMR 22.05(2)(a) through (</w:t>
      </w:r>
      <w:r w:rsidR="007C410B">
        <w:rPr>
          <w:rFonts w:eastAsia="Times New Roman"/>
          <w:sz w:val="24"/>
          <w:szCs w:val="24"/>
        </w:rPr>
        <w:t>f</w:t>
      </w:r>
      <w:r w:rsidRPr="00B14B24">
        <w:rPr>
          <w:rFonts w:eastAsia="Times New Roman"/>
          <w:sz w:val="24"/>
          <w:szCs w:val="24"/>
        </w:rPr>
        <w:t>), that the total coliform-positive sample resulted from a domestic or other non-Distribution System plumbing problem. No sample shall be invalidated on the basis of repeat sample results unless all repeat sample(s) collected at the same tap as the original total coliform-positive sample are also total coliform-positive, and all repeat samples collected at a location other than the original tap are total coliform-negative (</w:t>
      </w:r>
      <w:r w:rsidRPr="00B14B24">
        <w:rPr>
          <w:rFonts w:eastAsia="Times New Roman"/>
          <w:i/>
          <w:iCs/>
          <w:sz w:val="24"/>
          <w:szCs w:val="24"/>
        </w:rPr>
        <w:t>e.g</w:t>
      </w:r>
      <w:r w:rsidRPr="00B14B24">
        <w:rPr>
          <w:rFonts w:eastAsia="Times New Roman"/>
          <w:sz w:val="24"/>
          <w:szCs w:val="24"/>
        </w:rPr>
        <w:t>., no total coliform-positive sample shall be invalidated on the basis of repeat samples if all the repeat samples are total coliform-negative, or if the Public Water System has only one service connection).</w:t>
      </w:r>
    </w:p>
    <w:p w14:paraId="2819D140" w14:textId="77777777" w:rsidR="004647B9" w:rsidRDefault="004647B9">
      <w:pPr>
        <w:sectPr w:rsidR="004647B9" w:rsidSect="00EF630C">
          <w:pgSz w:w="12240" w:h="20180"/>
          <w:pgMar w:top="708" w:right="1440" w:bottom="727" w:left="600" w:header="0" w:footer="0" w:gutter="0"/>
          <w:cols w:space="720" w:equalWidth="0">
            <w:col w:w="10200"/>
          </w:cols>
        </w:sectPr>
      </w:pPr>
    </w:p>
    <w:p w14:paraId="2819D141" w14:textId="77777777" w:rsidR="004647B9" w:rsidRPr="00F24514" w:rsidRDefault="00E2436F" w:rsidP="00F24514">
      <w:pPr>
        <w:tabs>
          <w:tab w:val="left" w:pos="160"/>
        </w:tabs>
        <w:jc w:val="center"/>
        <w:rPr>
          <w:sz w:val="24"/>
          <w:szCs w:val="24"/>
        </w:rPr>
      </w:pPr>
      <w:bookmarkStart w:id="37" w:name="page38"/>
      <w:bookmarkEnd w:id="37"/>
      <w:r w:rsidRPr="00F24514">
        <w:rPr>
          <w:rFonts w:eastAsia="Times New Roman"/>
          <w:sz w:val="24"/>
          <w:szCs w:val="24"/>
        </w:rPr>
        <w:lastRenderedPageBreak/>
        <w:t>310 CMR:</w:t>
      </w:r>
      <w:r w:rsidRPr="00F24514">
        <w:rPr>
          <w:sz w:val="24"/>
          <w:szCs w:val="24"/>
        </w:rPr>
        <w:tab/>
      </w:r>
      <w:r w:rsidRPr="00F24514">
        <w:rPr>
          <w:rFonts w:eastAsia="Times New Roman"/>
          <w:sz w:val="24"/>
          <w:szCs w:val="24"/>
        </w:rPr>
        <w:t>DEPARTMENT OF ENVIRONMENTAL PROTECTION</w:t>
      </w:r>
    </w:p>
    <w:p w14:paraId="2819D142" w14:textId="77777777" w:rsidR="004647B9" w:rsidRPr="006B6C9A" w:rsidRDefault="004647B9" w:rsidP="00F24514">
      <w:pPr>
        <w:rPr>
          <w:sz w:val="20"/>
          <w:szCs w:val="20"/>
        </w:rPr>
      </w:pPr>
    </w:p>
    <w:p w14:paraId="2819D143" w14:textId="77777777" w:rsidR="004647B9" w:rsidRPr="006B6C9A" w:rsidRDefault="004647B9" w:rsidP="00F24514">
      <w:pPr>
        <w:rPr>
          <w:sz w:val="20"/>
          <w:szCs w:val="20"/>
        </w:rPr>
      </w:pPr>
    </w:p>
    <w:p w14:paraId="2819D144" w14:textId="77777777" w:rsidR="004647B9" w:rsidRPr="00F24514" w:rsidRDefault="00E2436F" w:rsidP="00F24514">
      <w:pPr>
        <w:tabs>
          <w:tab w:val="left" w:pos="760"/>
        </w:tabs>
        <w:rPr>
          <w:sz w:val="24"/>
          <w:szCs w:val="24"/>
        </w:rPr>
      </w:pPr>
      <w:r w:rsidRPr="00F24514">
        <w:rPr>
          <w:rFonts w:eastAsia="Times New Roman"/>
          <w:sz w:val="24"/>
          <w:szCs w:val="24"/>
        </w:rPr>
        <w:t>22.05:</w:t>
      </w:r>
      <w:r w:rsidRPr="00F24514">
        <w:rPr>
          <w:rFonts w:eastAsia="Times New Roman"/>
          <w:sz w:val="24"/>
          <w:szCs w:val="24"/>
        </w:rPr>
        <w:tab/>
        <w:t>continued</w:t>
      </w:r>
    </w:p>
    <w:p w14:paraId="2819D145" w14:textId="3B1FBA93" w:rsidR="004647B9" w:rsidRPr="006B6C9A" w:rsidRDefault="004647B9" w:rsidP="00F24514">
      <w:pPr>
        <w:rPr>
          <w:sz w:val="20"/>
          <w:szCs w:val="20"/>
        </w:rPr>
      </w:pPr>
    </w:p>
    <w:p w14:paraId="2819D146" w14:textId="3587F75D" w:rsidR="004647B9" w:rsidRPr="00F24514" w:rsidRDefault="00E2436F" w:rsidP="006804E8">
      <w:pPr>
        <w:numPr>
          <w:ilvl w:val="2"/>
          <w:numId w:val="71"/>
        </w:numPr>
        <w:tabs>
          <w:tab w:val="left" w:pos="2275"/>
        </w:tabs>
        <w:ind w:left="1915"/>
        <w:jc w:val="both"/>
        <w:rPr>
          <w:rFonts w:eastAsia="Times New Roman"/>
          <w:sz w:val="24"/>
          <w:szCs w:val="24"/>
        </w:rPr>
      </w:pPr>
      <w:r w:rsidRPr="00F24514">
        <w:rPr>
          <w:rFonts w:eastAsia="Times New Roman"/>
          <w:sz w:val="24"/>
          <w:szCs w:val="24"/>
        </w:rPr>
        <w:t>The Department has substantial grounds to believe that a total coliform-positive result is due to a circumstance or condition which does not reflect water quality in the Distribution System. In this case, the Supplier of Water must still collect all repeat samples required under 310 CMR 22.05(2)(a) through (</w:t>
      </w:r>
      <w:r w:rsidR="00452475">
        <w:rPr>
          <w:rFonts w:eastAsia="Times New Roman"/>
          <w:sz w:val="24"/>
          <w:szCs w:val="24"/>
        </w:rPr>
        <w:t>f</w:t>
      </w:r>
      <w:r w:rsidRPr="00F24514">
        <w:rPr>
          <w:rFonts w:eastAsia="Times New Roman"/>
          <w:sz w:val="24"/>
          <w:szCs w:val="24"/>
        </w:rPr>
        <w:t>), and use them to determine if a coliform Treatment Technique trigger in 310 CMR 22.05(4) has been exceeded. To invalidate a total coliform-positive sample under 310 CMR 22.05(3)(a)3., the decision and supporting rationale must be documented in writing, and approved and signed by the supervisor of the Department official who recommended the decision. The Department must make this document available to EPA and the public. The written documentation must state the specific cause of the total coliform-positive sample, and what action the Supplier of Water has taken, or will take to correct this problem. The Department may not invalidate a total coliform-positive sample solely on the grounds that all repeat samples are total coliform-negative.</w:t>
      </w:r>
    </w:p>
    <w:p w14:paraId="2819D148" w14:textId="11F86873" w:rsidR="004647B9" w:rsidRPr="00F24514" w:rsidRDefault="00E2436F" w:rsidP="00563A54">
      <w:pPr>
        <w:numPr>
          <w:ilvl w:val="1"/>
          <w:numId w:val="72"/>
        </w:numPr>
        <w:tabs>
          <w:tab w:val="left" w:pos="1973"/>
        </w:tabs>
        <w:ind w:left="1560" w:hanging="5"/>
        <w:jc w:val="both"/>
        <w:rPr>
          <w:rFonts w:eastAsia="Times New Roman"/>
          <w:sz w:val="24"/>
          <w:szCs w:val="24"/>
        </w:rPr>
      </w:pPr>
      <w:r w:rsidRPr="00F24514">
        <w:rPr>
          <w:rFonts w:eastAsia="Times New Roman"/>
          <w:sz w:val="24"/>
          <w:szCs w:val="24"/>
        </w:rPr>
        <w:t>A laboratory must invalidate a total coliform sample (unless total coliform</w:t>
      </w:r>
      <w:r w:rsidR="00C86268">
        <w:rPr>
          <w:rFonts w:eastAsia="Times New Roman"/>
          <w:sz w:val="24"/>
          <w:szCs w:val="24"/>
        </w:rPr>
        <w:t>s</w:t>
      </w:r>
      <w:r w:rsidRPr="00F24514">
        <w:rPr>
          <w:rFonts w:eastAsia="Times New Roman"/>
          <w:sz w:val="24"/>
          <w:szCs w:val="24"/>
        </w:rPr>
        <w:t xml:space="preserve"> are detected) if the sample produces a turbid culture in the absence of gas production using an analytical method where gas formation is examined (</w:t>
      </w:r>
      <w:r w:rsidRPr="00F24514">
        <w:rPr>
          <w:rFonts w:eastAsia="Times New Roman"/>
          <w:i/>
          <w:iCs/>
          <w:sz w:val="24"/>
          <w:szCs w:val="24"/>
        </w:rPr>
        <w:t>e.g</w:t>
      </w:r>
      <w:r w:rsidRPr="00F24514">
        <w:rPr>
          <w:rFonts w:eastAsia="Times New Roman"/>
          <w:sz w:val="24"/>
          <w:szCs w:val="24"/>
        </w:rPr>
        <w:t>., the Multiple-tube Fermentation Technique), produces a turbid culture in the absence of an acid reaction in the Presence-Absence (P-A) Coliform Test, or exhibits confluent growth or produces colonies Too Numerous to Count with an analytical method using a membrane filter (</w:t>
      </w:r>
      <w:r w:rsidRPr="00F24514">
        <w:rPr>
          <w:rFonts w:eastAsia="Times New Roman"/>
          <w:i/>
          <w:iCs/>
          <w:sz w:val="24"/>
          <w:szCs w:val="24"/>
        </w:rPr>
        <w:t>e.g.</w:t>
      </w:r>
      <w:r w:rsidRPr="00F24514">
        <w:rPr>
          <w:rFonts w:eastAsia="Times New Roman"/>
          <w:sz w:val="24"/>
          <w:szCs w:val="24"/>
        </w:rPr>
        <w:t>, Membrane Filter Technique). If a laboratory invalidates a sample because of such interference, the Supplier of Water must collect another sample from the same location as the original sample within 24 hours of being notified of the interference problem, and have it analyzed for the presence of total coliforms. The Supplier of Water must continue to re-sample within 24 hours and have the samples analyzed until it obtains a valid result. The Department may waive the 24-hour time limit on a case-by-case basis.</w:t>
      </w:r>
    </w:p>
    <w:p w14:paraId="2819D149" w14:textId="77777777" w:rsidR="004647B9" w:rsidRPr="00F24514" w:rsidRDefault="004647B9" w:rsidP="00F24514">
      <w:pPr>
        <w:rPr>
          <w:rFonts w:eastAsia="Times New Roman"/>
          <w:sz w:val="24"/>
          <w:szCs w:val="24"/>
        </w:rPr>
      </w:pPr>
    </w:p>
    <w:p w14:paraId="2819D14A" w14:textId="77777777" w:rsidR="004647B9" w:rsidRPr="00F24514" w:rsidRDefault="00E2436F" w:rsidP="00563A54">
      <w:pPr>
        <w:numPr>
          <w:ilvl w:val="0"/>
          <w:numId w:val="73"/>
        </w:numPr>
        <w:tabs>
          <w:tab w:val="left" w:pos="1739"/>
        </w:tabs>
        <w:ind w:left="1200"/>
        <w:rPr>
          <w:rFonts w:eastAsia="Times New Roman"/>
          <w:sz w:val="24"/>
          <w:szCs w:val="24"/>
        </w:rPr>
      </w:pPr>
      <w:r w:rsidRPr="00F24514">
        <w:rPr>
          <w:rFonts w:eastAsia="Times New Roman"/>
          <w:sz w:val="24"/>
          <w:szCs w:val="24"/>
          <w:u w:val="single"/>
        </w:rPr>
        <w:t>Coliform Treatment Technique Triggers and Assessment Requirements for Protection against Potential Fecal Contamination</w:t>
      </w:r>
      <w:r w:rsidRPr="00F24514">
        <w:rPr>
          <w:rFonts w:eastAsia="Times New Roman"/>
          <w:sz w:val="24"/>
          <w:szCs w:val="24"/>
        </w:rPr>
        <w:t>.</w:t>
      </w:r>
    </w:p>
    <w:p w14:paraId="2819D14C" w14:textId="77777777" w:rsidR="004647B9" w:rsidRPr="00F24514" w:rsidRDefault="00E2436F" w:rsidP="00563A54">
      <w:pPr>
        <w:numPr>
          <w:ilvl w:val="1"/>
          <w:numId w:val="73"/>
        </w:numPr>
        <w:tabs>
          <w:tab w:val="left" w:pos="2064"/>
        </w:tabs>
        <w:ind w:left="1560" w:hanging="5"/>
        <w:jc w:val="both"/>
        <w:rPr>
          <w:rFonts w:eastAsia="Times New Roman"/>
          <w:sz w:val="24"/>
          <w:szCs w:val="24"/>
        </w:rPr>
      </w:pPr>
      <w:r w:rsidRPr="00F24514">
        <w:rPr>
          <w:rFonts w:eastAsia="Times New Roman"/>
          <w:sz w:val="24"/>
          <w:szCs w:val="24"/>
          <w:u w:val="single"/>
        </w:rPr>
        <w:t>Treatment Technique Triggers</w:t>
      </w:r>
      <w:r w:rsidRPr="00F24514">
        <w:rPr>
          <w:rFonts w:eastAsia="Times New Roman"/>
          <w:sz w:val="24"/>
          <w:szCs w:val="24"/>
        </w:rPr>
        <w:t>. A Supplier of Water shall conduct assessments in accordance with 310 CMR 22.05(4)(b) after exceeding any Treatment Technique trigger in 310 CMR 22.05(4)(a)1. or 2.; and shall notify the Department as soon as possible but no later than five calendar days after the collection date of the sample that triggered the assessment.</w:t>
      </w:r>
    </w:p>
    <w:p w14:paraId="2819D150" w14:textId="1979FA0F" w:rsidR="004647B9" w:rsidRPr="00404E86" w:rsidRDefault="00E2436F" w:rsidP="00404E86">
      <w:pPr>
        <w:pStyle w:val="ListParagraph"/>
        <w:numPr>
          <w:ilvl w:val="0"/>
          <w:numId w:val="1017"/>
        </w:numPr>
        <w:tabs>
          <w:tab w:val="left" w:pos="2275"/>
        </w:tabs>
        <w:ind w:left="1915" w:firstLine="0"/>
        <w:rPr>
          <w:rFonts w:eastAsia="Times New Roman"/>
          <w:sz w:val="24"/>
          <w:szCs w:val="24"/>
        </w:rPr>
      </w:pPr>
      <w:r w:rsidRPr="00404E86">
        <w:rPr>
          <w:rFonts w:eastAsia="Times New Roman"/>
          <w:sz w:val="24"/>
          <w:szCs w:val="24"/>
          <w:u w:val="single"/>
        </w:rPr>
        <w:t>Level 1 Treatment Technique Triggers</w:t>
      </w:r>
      <w:r w:rsidRPr="00404E86">
        <w:rPr>
          <w:rFonts w:eastAsia="Times New Roman"/>
          <w:sz w:val="24"/>
          <w:szCs w:val="24"/>
        </w:rPr>
        <w:t>. Any of the following occurrences is a Level</w:t>
      </w:r>
      <w:r w:rsidR="00F24514" w:rsidRPr="00404E86">
        <w:rPr>
          <w:rFonts w:eastAsia="Times New Roman"/>
          <w:sz w:val="24"/>
          <w:szCs w:val="24"/>
        </w:rPr>
        <w:t xml:space="preserve"> 1 </w:t>
      </w:r>
      <w:r w:rsidRPr="00404E86">
        <w:rPr>
          <w:rFonts w:eastAsia="Times New Roman"/>
          <w:sz w:val="24"/>
          <w:szCs w:val="24"/>
        </w:rPr>
        <w:t>Treatment Technique trigger:</w:t>
      </w:r>
    </w:p>
    <w:p w14:paraId="2819D152" w14:textId="77777777" w:rsidR="004647B9" w:rsidRPr="00F24514" w:rsidRDefault="00E2436F" w:rsidP="00563A54">
      <w:pPr>
        <w:numPr>
          <w:ilvl w:val="3"/>
          <w:numId w:val="74"/>
        </w:numPr>
        <w:tabs>
          <w:tab w:val="left" w:pos="2619"/>
        </w:tabs>
        <w:ind w:left="2280" w:hanging="5"/>
        <w:rPr>
          <w:rFonts w:eastAsia="Times New Roman"/>
          <w:sz w:val="24"/>
          <w:szCs w:val="24"/>
        </w:rPr>
      </w:pPr>
      <w:r w:rsidRPr="00F24514">
        <w:rPr>
          <w:rFonts w:eastAsia="Times New Roman"/>
          <w:sz w:val="24"/>
          <w:szCs w:val="24"/>
        </w:rPr>
        <w:t>for a Supplier of Water taking 40 or more samples per month, the Public Water System exceeds 5.0% total coliform-positive samples for the month;</w:t>
      </w:r>
    </w:p>
    <w:p w14:paraId="2819D153" w14:textId="77777777" w:rsidR="004647B9" w:rsidRPr="00F24514" w:rsidRDefault="00E2436F" w:rsidP="00563A54">
      <w:pPr>
        <w:numPr>
          <w:ilvl w:val="3"/>
          <w:numId w:val="74"/>
        </w:numPr>
        <w:tabs>
          <w:tab w:val="left" w:pos="2590"/>
        </w:tabs>
        <w:ind w:left="2280" w:hanging="5"/>
        <w:rPr>
          <w:rFonts w:eastAsia="Times New Roman"/>
          <w:sz w:val="24"/>
          <w:szCs w:val="24"/>
        </w:rPr>
      </w:pPr>
      <w:r w:rsidRPr="00F24514">
        <w:rPr>
          <w:rFonts w:eastAsia="Times New Roman"/>
          <w:sz w:val="24"/>
          <w:szCs w:val="24"/>
        </w:rPr>
        <w:t>for a Supplier of Water taking fewer than 40 samples per month, the Public Water System has two or more total coliform-positive samples in the same month; or</w:t>
      </w:r>
    </w:p>
    <w:p w14:paraId="2819D155" w14:textId="77777777" w:rsidR="004647B9" w:rsidRPr="00F24514" w:rsidRDefault="00E2436F" w:rsidP="00563A54">
      <w:pPr>
        <w:numPr>
          <w:ilvl w:val="3"/>
          <w:numId w:val="74"/>
        </w:numPr>
        <w:tabs>
          <w:tab w:val="left" w:pos="2639"/>
        </w:tabs>
        <w:ind w:left="2280" w:hanging="5"/>
        <w:rPr>
          <w:rFonts w:eastAsia="Times New Roman"/>
          <w:sz w:val="24"/>
          <w:szCs w:val="24"/>
        </w:rPr>
      </w:pPr>
      <w:r w:rsidRPr="00F24514">
        <w:rPr>
          <w:rFonts w:eastAsia="Times New Roman"/>
          <w:sz w:val="24"/>
          <w:szCs w:val="24"/>
        </w:rPr>
        <w:t>for each Supplier of Water, failure to take every required repeat sample after any single total coliform-positive sample.</w:t>
      </w:r>
    </w:p>
    <w:p w14:paraId="2819D158" w14:textId="2BDD16D0" w:rsidR="004647B9" w:rsidRPr="00F24514" w:rsidRDefault="00E2436F" w:rsidP="00404E86">
      <w:pPr>
        <w:numPr>
          <w:ilvl w:val="0"/>
          <w:numId w:val="1016"/>
        </w:numPr>
        <w:tabs>
          <w:tab w:val="left" w:pos="2275"/>
        </w:tabs>
        <w:ind w:left="1915"/>
        <w:rPr>
          <w:rFonts w:eastAsia="Times New Roman"/>
          <w:sz w:val="24"/>
          <w:szCs w:val="24"/>
        </w:rPr>
      </w:pPr>
      <w:r w:rsidRPr="00F24514">
        <w:rPr>
          <w:rFonts w:eastAsia="Times New Roman"/>
          <w:sz w:val="24"/>
          <w:szCs w:val="24"/>
          <w:u w:val="single"/>
        </w:rPr>
        <w:t>Level 2 Treatment Technique Triggers</w:t>
      </w:r>
      <w:r w:rsidRPr="00F24514">
        <w:rPr>
          <w:rFonts w:eastAsia="Times New Roman"/>
          <w:sz w:val="24"/>
          <w:szCs w:val="24"/>
        </w:rPr>
        <w:t>. Any of the following occurrences is a Level</w:t>
      </w:r>
      <w:r w:rsidR="00293126" w:rsidRPr="00F24514">
        <w:rPr>
          <w:rFonts w:eastAsia="Times New Roman"/>
          <w:sz w:val="24"/>
          <w:szCs w:val="24"/>
        </w:rPr>
        <w:t xml:space="preserve"> 2</w:t>
      </w:r>
      <w:r w:rsidRPr="00F24514">
        <w:rPr>
          <w:rFonts w:eastAsia="Times New Roman"/>
          <w:sz w:val="24"/>
          <w:szCs w:val="24"/>
        </w:rPr>
        <w:t>Treatment Technique trigger:</w:t>
      </w:r>
    </w:p>
    <w:p w14:paraId="2819D15A" w14:textId="77777777" w:rsidR="004647B9" w:rsidRPr="00F24514" w:rsidRDefault="00E2436F" w:rsidP="00563A54">
      <w:pPr>
        <w:numPr>
          <w:ilvl w:val="3"/>
          <w:numId w:val="76"/>
        </w:numPr>
        <w:tabs>
          <w:tab w:val="left" w:pos="2620"/>
        </w:tabs>
        <w:ind w:left="2620" w:hanging="345"/>
        <w:rPr>
          <w:rFonts w:eastAsia="Times New Roman"/>
          <w:sz w:val="24"/>
          <w:szCs w:val="24"/>
        </w:rPr>
      </w:pPr>
      <w:r w:rsidRPr="00F24514">
        <w:rPr>
          <w:rFonts w:eastAsia="Times New Roman"/>
          <w:sz w:val="24"/>
          <w:szCs w:val="24"/>
        </w:rPr>
        <w:t xml:space="preserve">An </w:t>
      </w:r>
      <w:r w:rsidRPr="00F24514">
        <w:rPr>
          <w:rFonts w:eastAsia="Times New Roman"/>
          <w:i/>
          <w:iCs/>
          <w:sz w:val="24"/>
          <w:szCs w:val="24"/>
        </w:rPr>
        <w:t>E. coli</w:t>
      </w:r>
      <w:r w:rsidRPr="00F24514">
        <w:rPr>
          <w:rFonts w:eastAsia="Times New Roman"/>
          <w:sz w:val="24"/>
          <w:szCs w:val="24"/>
        </w:rPr>
        <w:t xml:space="preserve"> MCL violation, as specified in 310 CMR 22.05(11); or</w:t>
      </w:r>
    </w:p>
    <w:p w14:paraId="2819D15C" w14:textId="77777777" w:rsidR="004647B9" w:rsidRPr="00F24514" w:rsidRDefault="00E2436F" w:rsidP="00563A54">
      <w:pPr>
        <w:numPr>
          <w:ilvl w:val="3"/>
          <w:numId w:val="76"/>
        </w:numPr>
        <w:tabs>
          <w:tab w:val="left" w:pos="2626"/>
        </w:tabs>
        <w:ind w:left="2280" w:hanging="5"/>
        <w:jc w:val="both"/>
        <w:rPr>
          <w:rFonts w:eastAsia="Times New Roman"/>
          <w:sz w:val="24"/>
          <w:szCs w:val="24"/>
        </w:rPr>
      </w:pPr>
      <w:r w:rsidRPr="00F24514">
        <w:rPr>
          <w:rFonts w:eastAsia="Times New Roman"/>
          <w:sz w:val="24"/>
          <w:szCs w:val="24"/>
        </w:rPr>
        <w:t>A second occurrence of a Level 1 trigger, as defined in 310 CMR 22.05(4)(a)1., within a rolling 12-month period, unless the Department has determined a likely reason that the samples that caused the first Level 1 Treatment Technique trigger were total coliform-positive and has established that the Supplier of Water has corrected the problem.</w:t>
      </w:r>
    </w:p>
    <w:p w14:paraId="2819D15E" w14:textId="77777777" w:rsidR="004647B9" w:rsidRPr="00F24514" w:rsidRDefault="00E2436F" w:rsidP="00563A54">
      <w:pPr>
        <w:numPr>
          <w:ilvl w:val="1"/>
          <w:numId w:val="77"/>
        </w:numPr>
        <w:tabs>
          <w:tab w:val="left" w:pos="2020"/>
        </w:tabs>
        <w:ind w:left="2020" w:hanging="465"/>
        <w:rPr>
          <w:rFonts w:eastAsia="Times New Roman"/>
          <w:sz w:val="24"/>
          <w:szCs w:val="24"/>
        </w:rPr>
      </w:pPr>
      <w:r w:rsidRPr="00F24514">
        <w:rPr>
          <w:rFonts w:eastAsia="Times New Roman"/>
          <w:sz w:val="24"/>
          <w:szCs w:val="24"/>
          <w:u w:val="single"/>
        </w:rPr>
        <w:t>Requirements for Assessments</w:t>
      </w:r>
      <w:r w:rsidRPr="00F24514">
        <w:rPr>
          <w:rFonts w:eastAsia="Times New Roman"/>
          <w:sz w:val="24"/>
          <w:szCs w:val="24"/>
        </w:rPr>
        <w:t>.</w:t>
      </w:r>
    </w:p>
    <w:p w14:paraId="2819D160" w14:textId="77777777" w:rsidR="004647B9" w:rsidRPr="00F24514" w:rsidRDefault="00E2436F" w:rsidP="004C49EB">
      <w:pPr>
        <w:numPr>
          <w:ilvl w:val="2"/>
          <w:numId w:val="77"/>
        </w:numPr>
        <w:tabs>
          <w:tab w:val="left" w:pos="2280"/>
        </w:tabs>
        <w:ind w:left="2275" w:hanging="360"/>
        <w:rPr>
          <w:rFonts w:eastAsia="Times New Roman"/>
          <w:sz w:val="24"/>
          <w:szCs w:val="24"/>
        </w:rPr>
      </w:pPr>
      <w:r w:rsidRPr="00F24514">
        <w:rPr>
          <w:rFonts w:eastAsia="Times New Roman"/>
          <w:sz w:val="24"/>
          <w:szCs w:val="24"/>
        </w:rPr>
        <w:t>Parties responsible for performing assessments.</w:t>
      </w:r>
    </w:p>
    <w:p w14:paraId="2819D162" w14:textId="77777777" w:rsidR="004647B9" w:rsidRPr="00F24514" w:rsidRDefault="00E2436F" w:rsidP="00563A54">
      <w:pPr>
        <w:numPr>
          <w:ilvl w:val="3"/>
          <w:numId w:val="77"/>
        </w:numPr>
        <w:tabs>
          <w:tab w:val="left" w:pos="2584"/>
        </w:tabs>
        <w:ind w:left="2280" w:hanging="5"/>
        <w:jc w:val="both"/>
        <w:rPr>
          <w:rFonts w:eastAsia="Times New Roman"/>
          <w:sz w:val="24"/>
          <w:szCs w:val="24"/>
        </w:rPr>
      </w:pPr>
      <w:r w:rsidRPr="00F24514">
        <w:rPr>
          <w:rFonts w:eastAsia="Times New Roman"/>
          <w:sz w:val="24"/>
          <w:szCs w:val="24"/>
          <w:u w:val="single"/>
        </w:rPr>
        <w:t>Level 1 Assessments</w:t>
      </w:r>
      <w:r w:rsidRPr="00F24514">
        <w:rPr>
          <w:rFonts w:eastAsia="Times New Roman"/>
          <w:sz w:val="24"/>
          <w:szCs w:val="24"/>
        </w:rPr>
        <w:t>. A Supplier of Water shall ensure that Level 1 Assessments are conducted in order to identify the possible presence of Sanitary Defects and defects in Distribution System coliform monitoring practices. Level 1 Assessments shall be conducted by the Supplier of Water unless notified in writing by the Department, within ten days of the Supplier of Water's Treatment Technique trigger notification to the Department pursuant to 310 CMR 22.05(4)(a) that the Department will conduct the assessment.</w:t>
      </w:r>
    </w:p>
    <w:p w14:paraId="2819D163" w14:textId="77777777" w:rsidR="004647B9" w:rsidRDefault="004647B9">
      <w:pPr>
        <w:sectPr w:rsidR="004647B9" w:rsidSect="00EF630C">
          <w:pgSz w:w="12240" w:h="20180"/>
          <w:pgMar w:top="708" w:right="1440" w:bottom="1440" w:left="600" w:header="0" w:footer="0" w:gutter="0"/>
          <w:cols w:space="720" w:equalWidth="0">
            <w:col w:w="10200"/>
          </w:cols>
        </w:sectPr>
      </w:pPr>
    </w:p>
    <w:p w14:paraId="2819D164" w14:textId="77777777" w:rsidR="004647B9" w:rsidRDefault="00E2436F">
      <w:pPr>
        <w:tabs>
          <w:tab w:val="left" w:pos="160"/>
        </w:tabs>
        <w:jc w:val="center"/>
        <w:rPr>
          <w:sz w:val="20"/>
          <w:szCs w:val="20"/>
        </w:rPr>
      </w:pPr>
      <w:bookmarkStart w:id="38" w:name="page39"/>
      <w:bookmarkEnd w:id="3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165" w14:textId="77777777" w:rsidR="004647B9" w:rsidRDefault="004647B9" w:rsidP="00F30DBA">
      <w:pPr>
        <w:rPr>
          <w:sz w:val="20"/>
          <w:szCs w:val="20"/>
        </w:rPr>
      </w:pPr>
    </w:p>
    <w:p w14:paraId="2819D166" w14:textId="77777777" w:rsidR="004647B9" w:rsidRDefault="004647B9" w:rsidP="00F30DBA">
      <w:pPr>
        <w:rPr>
          <w:sz w:val="20"/>
          <w:szCs w:val="20"/>
        </w:rPr>
      </w:pPr>
    </w:p>
    <w:p w14:paraId="2819D167"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168" w14:textId="77777777" w:rsidR="004647B9" w:rsidRDefault="004647B9" w:rsidP="00F30DBA">
      <w:pPr>
        <w:rPr>
          <w:sz w:val="20"/>
          <w:szCs w:val="20"/>
        </w:rPr>
      </w:pPr>
    </w:p>
    <w:p w14:paraId="2819D169" w14:textId="77777777" w:rsidR="004647B9" w:rsidRPr="00293126" w:rsidRDefault="00E2436F" w:rsidP="00563A54">
      <w:pPr>
        <w:numPr>
          <w:ilvl w:val="1"/>
          <w:numId w:val="78"/>
        </w:numPr>
        <w:tabs>
          <w:tab w:val="left" w:pos="2597"/>
        </w:tabs>
        <w:spacing w:line="258" w:lineRule="auto"/>
        <w:ind w:left="2280" w:hanging="5"/>
        <w:jc w:val="both"/>
        <w:rPr>
          <w:rFonts w:eastAsia="Times New Roman"/>
          <w:sz w:val="24"/>
          <w:szCs w:val="24"/>
        </w:rPr>
      </w:pPr>
      <w:r w:rsidRPr="00293126">
        <w:rPr>
          <w:rFonts w:eastAsia="Times New Roman"/>
          <w:sz w:val="24"/>
          <w:szCs w:val="24"/>
          <w:u w:val="single"/>
        </w:rPr>
        <w:t>Level 2 Assessments</w:t>
      </w:r>
      <w:r w:rsidRPr="00293126">
        <w:rPr>
          <w:rFonts w:eastAsia="Times New Roman"/>
          <w:sz w:val="24"/>
          <w:szCs w:val="24"/>
        </w:rPr>
        <w:t>. A Supplier of Water shall ensure that Level 2 Assessments are conducted, by Department-approved parties, in order to identify the possible presence of Sanitary Defects and defects in Distribution System coliform monitoring practices; unless notified in writing, within ten days of the Supplier of Water's Treatment Technique trigger notification to the Department pursuant to 310 CMR 22.05(4)(a), that the Level 2 Assessment will be conducted by the Department.</w:t>
      </w:r>
    </w:p>
    <w:p w14:paraId="2819D16B" w14:textId="77777777" w:rsidR="004647B9" w:rsidRPr="00293126" w:rsidRDefault="00E2436F" w:rsidP="00563A54">
      <w:pPr>
        <w:numPr>
          <w:ilvl w:val="1"/>
          <w:numId w:val="78"/>
        </w:numPr>
        <w:tabs>
          <w:tab w:val="left" w:pos="2620"/>
        </w:tabs>
        <w:ind w:left="2620" w:hanging="345"/>
        <w:rPr>
          <w:rFonts w:eastAsia="Times New Roman"/>
          <w:sz w:val="24"/>
          <w:szCs w:val="24"/>
        </w:rPr>
      </w:pPr>
      <w:r w:rsidRPr="00293126">
        <w:rPr>
          <w:rFonts w:eastAsia="Times New Roman"/>
          <w:sz w:val="24"/>
          <w:szCs w:val="24"/>
        </w:rPr>
        <w:t>All assessments shall be submitted in a Department-approved format.</w:t>
      </w:r>
    </w:p>
    <w:p w14:paraId="2819D16D" w14:textId="77777777" w:rsidR="004647B9" w:rsidRPr="00293126" w:rsidRDefault="00E2436F" w:rsidP="004C49EB">
      <w:pPr>
        <w:numPr>
          <w:ilvl w:val="0"/>
          <w:numId w:val="79"/>
        </w:numPr>
        <w:tabs>
          <w:tab w:val="left" w:pos="2275"/>
        </w:tabs>
        <w:spacing w:line="252" w:lineRule="auto"/>
        <w:ind w:left="1915"/>
        <w:jc w:val="both"/>
        <w:rPr>
          <w:rFonts w:eastAsia="Times New Roman"/>
          <w:sz w:val="24"/>
          <w:szCs w:val="24"/>
        </w:rPr>
      </w:pPr>
      <w:r w:rsidRPr="00293126">
        <w:rPr>
          <w:rFonts w:eastAsia="Times New Roman"/>
          <w:sz w:val="24"/>
          <w:szCs w:val="24"/>
        </w:rPr>
        <w:t>When conducting assessments, Suppliers of Water must ensure that the assessor's evaluation includes review and identification of the following elements, at a minimum:</w:t>
      </w:r>
    </w:p>
    <w:p w14:paraId="2819D16F" w14:textId="77777777" w:rsidR="004647B9" w:rsidRPr="00293126" w:rsidRDefault="00E2436F" w:rsidP="00563A54">
      <w:pPr>
        <w:numPr>
          <w:ilvl w:val="1"/>
          <w:numId w:val="79"/>
        </w:numPr>
        <w:tabs>
          <w:tab w:val="left" w:pos="2620"/>
        </w:tabs>
        <w:ind w:left="2620" w:hanging="345"/>
        <w:rPr>
          <w:rFonts w:eastAsia="Times New Roman"/>
          <w:sz w:val="24"/>
          <w:szCs w:val="24"/>
        </w:rPr>
      </w:pPr>
      <w:r w:rsidRPr="00293126">
        <w:rPr>
          <w:rFonts w:eastAsia="Times New Roman"/>
          <w:sz w:val="24"/>
          <w:szCs w:val="24"/>
        </w:rPr>
        <w:t>inadequacies in sample sites;</w:t>
      </w:r>
    </w:p>
    <w:p w14:paraId="2819D171" w14:textId="77777777" w:rsidR="004647B9" w:rsidRPr="00293126" w:rsidRDefault="00E2436F" w:rsidP="00563A54">
      <w:pPr>
        <w:numPr>
          <w:ilvl w:val="1"/>
          <w:numId w:val="79"/>
        </w:numPr>
        <w:tabs>
          <w:tab w:val="left" w:pos="2640"/>
        </w:tabs>
        <w:ind w:left="2640" w:hanging="365"/>
        <w:rPr>
          <w:rFonts w:eastAsia="Times New Roman"/>
          <w:sz w:val="24"/>
          <w:szCs w:val="24"/>
        </w:rPr>
      </w:pPr>
      <w:r w:rsidRPr="00293126">
        <w:rPr>
          <w:rFonts w:eastAsia="Times New Roman"/>
          <w:sz w:val="24"/>
          <w:szCs w:val="24"/>
        </w:rPr>
        <w:t>sampling protocol;</w:t>
      </w:r>
    </w:p>
    <w:p w14:paraId="2819D173" w14:textId="77777777" w:rsidR="004647B9" w:rsidRPr="00293126" w:rsidRDefault="00E2436F" w:rsidP="00563A54">
      <w:pPr>
        <w:numPr>
          <w:ilvl w:val="1"/>
          <w:numId w:val="79"/>
        </w:numPr>
        <w:tabs>
          <w:tab w:val="left" w:pos="2620"/>
        </w:tabs>
        <w:ind w:left="2620" w:hanging="345"/>
        <w:rPr>
          <w:rFonts w:eastAsia="Times New Roman"/>
          <w:sz w:val="24"/>
          <w:szCs w:val="24"/>
        </w:rPr>
      </w:pPr>
      <w:r w:rsidRPr="00293126">
        <w:rPr>
          <w:rFonts w:eastAsia="Times New Roman"/>
          <w:sz w:val="24"/>
          <w:szCs w:val="24"/>
        </w:rPr>
        <w:t>sample processing;</w:t>
      </w:r>
    </w:p>
    <w:p w14:paraId="2819D175" w14:textId="77777777" w:rsidR="004647B9" w:rsidRPr="00293126" w:rsidRDefault="00E2436F" w:rsidP="00563A54">
      <w:pPr>
        <w:numPr>
          <w:ilvl w:val="1"/>
          <w:numId w:val="79"/>
        </w:numPr>
        <w:tabs>
          <w:tab w:val="left" w:pos="2784"/>
        </w:tabs>
        <w:spacing w:line="243" w:lineRule="auto"/>
        <w:ind w:left="2280" w:hanging="5"/>
        <w:rPr>
          <w:rFonts w:eastAsia="Times New Roman"/>
          <w:sz w:val="24"/>
          <w:szCs w:val="24"/>
        </w:rPr>
      </w:pPr>
      <w:r w:rsidRPr="00293126">
        <w:rPr>
          <w:rFonts w:eastAsia="Times New Roman"/>
          <w:sz w:val="24"/>
          <w:szCs w:val="24"/>
        </w:rPr>
        <w:t>atypical events that could affect distributed water quality or indicate that distributed water quality was impaired;</w:t>
      </w:r>
    </w:p>
    <w:p w14:paraId="2819D176" w14:textId="77777777" w:rsidR="004647B9" w:rsidRPr="00293126" w:rsidRDefault="00E2436F" w:rsidP="00563A54">
      <w:pPr>
        <w:numPr>
          <w:ilvl w:val="1"/>
          <w:numId w:val="79"/>
        </w:numPr>
        <w:tabs>
          <w:tab w:val="left" w:pos="2705"/>
        </w:tabs>
        <w:spacing w:line="243" w:lineRule="auto"/>
        <w:ind w:left="2280" w:hanging="5"/>
        <w:rPr>
          <w:rFonts w:eastAsia="Times New Roman"/>
          <w:sz w:val="24"/>
          <w:szCs w:val="24"/>
        </w:rPr>
      </w:pPr>
      <w:r w:rsidRPr="00293126">
        <w:rPr>
          <w:rFonts w:eastAsia="Times New Roman"/>
          <w:sz w:val="24"/>
          <w:szCs w:val="24"/>
        </w:rPr>
        <w:t>changes in Distribution System maintenance and operation that could affect distributed water quality (including water storage);</w:t>
      </w:r>
    </w:p>
    <w:p w14:paraId="2819D177" w14:textId="77777777" w:rsidR="004647B9" w:rsidRPr="00293126" w:rsidRDefault="00E2436F" w:rsidP="00563A54">
      <w:pPr>
        <w:numPr>
          <w:ilvl w:val="1"/>
          <w:numId w:val="79"/>
        </w:numPr>
        <w:tabs>
          <w:tab w:val="left" w:pos="2571"/>
        </w:tabs>
        <w:spacing w:line="243" w:lineRule="auto"/>
        <w:ind w:left="2280" w:hanging="5"/>
        <w:rPr>
          <w:rFonts w:eastAsia="Times New Roman"/>
          <w:sz w:val="24"/>
          <w:szCs w:val="24"/>
        </w:rPr>
      </w:pPr>
      <w:r w:rsidRPr="00293126">
        <w:rPr>
          <w:rFonts w:eastAsia="Times New Roman"/>
          <w:sz w:val="24"/>
          <w:szCs w:val="24"/>
        </w:rPr>
        <w:t>source and treatment considerations that bear on distributed water quality, where appropriate (</w:t>
      </w:r>
      <w:r w:rsidRPr="00293126">
        <w:rPr>
          <w:rFonts w:eastAsia="Times New Roman"/>
          <w:i/>
          <w:iCs/>
          <w:sz w:val="24"/>
          <w:szCs w:val="24"/>
        </w:rPr>
        <w:t>e.g</w:t>
      </w:r>
      <w:r w:rsidRPr="00293126">
        <w:rPr>
          <w:rFonts w:eastAsia="Times New Roman"/>
          <w:sz w:val="24"/>
          <w:szCs w:val="24"/>
        </w:rPr>
        <w:t>., small groundwater Public Water Systems); and</w:t>
      </w:r>
    </w:p>
    <w:p w14:paraId="2819D178" w14:textId="77777777" w:rsidR="004647B9" w:rsidRPr="00293126" w:rsidRDefault="00E2436F" w:rsidP="00563A54">
      <w:pPr>
        <w:numPr>
          <w:ilvl w:val="1"/>
          <w:numId w:val="79"/>
        </w:numPr>
        <w:tabs>
          <w:tab w:val="left" w:pos="2640"/>
        </w:tabs>
        <w:ind w:left="2640" w:hanging="365"/>
        <w:rPr>
          <w:rFonts w:eastAsia="Times New Roman"/>
          <w:sz w:val="24"/>
          <w:szCs w:val="24"/>
        </w:rPr>
      </w:pPr>
      <w:r w:rsidRPr="00293126">
        <w:rPr>
          <w:rFonts w:eastAsia="Times New Roman"/>
          <w:sz w:val="24"/>
          <w:szCs w:val="24"/>
        </w:rPr>
        <w:t>existing water quality monitoring data.</w:t>
      </w:r>
    </w:p>
    <w:p w14:paraId="2819D17A" w14:textId="77777777" w:rsidR="004647B9" w:rsidRPr="00293126" w:rsidRDefault="00E2436F">
      <w:pPr>
        <w:spacing w:line="243" w:lineRule="auto"/>
        <w:ind w:left="1920" w:firstLine="360"/>
        <w:jc w:val="both"/>
        <w:rPr>
          <w:sz w:val="24"/>
          <w:szCs w:val="24"/>
        </w:rPr>
      </w:pPr>
      <w:r w:rsidRPr="00293126">
        <w:rPr>
          <w:rFonts w:eastAsia="Times New Roman"/>
          <w:sz w:val="24"/>
          <w:szCs w:val="24"/>
        </w:rPr>
        <w:t>When conducting an assessment under 310 CMR 22.05(4) a Public Water System may integrate any other required assessment (</w:t>
      </w:r>
      <w:r w:rsidRPr="00293126">
        <w:rPr>
          <w:rFonts w:eastAsia="Times New Roman"/>
          <w:i/>
          <w:iCs/>
          <w:sz w:val="24"/>
          <w:szCs w:val="24"/>
        </w:rPr>
        <w:t>e.g</w:t>
      </w:r>
      <w:r w:rsidRPr="00293126">
        <w:rPr>
          <w:rFonts w:eastAsia="Times New Roman"/>
          <w:sz w:val="24"/>
          <w:szCs w:val="24"/>
        </w:rPr>
        <w:t>. an assessment under the Groundwater Rule) provided that the integrated assessment shall meet all applicable requirements of all such rules.</w:t>
      </w:r>
    </w:p>
    <w:p w14:paraId="2819D17C" w14:textId="77777777" w:rsidR="004647B9" w:rsidRPr="00293126" w:rsidRDefault="00E2436F" w:rsidP="004C49EB">
      <w:pPr>
        <w:numPr>
          <w:ilvl w:val="0"/>
          <w:numId w:val="80"/>
        </w:numPr>
        <w:tabs>
          <w:tab w:val="left" w:pos="2275"/>
        </w:tabs>
        <w:spacing w:line="242" w:lineRule="auto"/>
        <w:ind w:left="1915"/>
        <w:jc w:val="both"/>
        <w:rPr>
          <w:rFonts w:eastAsia="Times New Roman"/>
          <w:sz w:val="24"/>
          <w:szCs w:val="24"/>
        </w:rPr>
      </w:pPr>
      <w:r w:rsidRPr="00293126">
        <w:rPr>
          <w:rFonts w:eastAsia="Times New Roman"/>
          <w:sz w:val="24"/>
          <w:szCs w:val="24"/>
          <w:u w:val="single"/>
        </w:rPr>
        <w:t>Level 1 Assessments</w:t>
      </w:r>
      <w:r w:rsidRPr="00293126">
        <w:rPr>
          <w:rFonts w:eastAsia="Times New Roman"/>
          <w:sz w:val="24"/>
          <w:szCs w:val="24"/>
        </w:rPr>
        <w:t>. A Supplier of Water must conduct a Level 1 Assessment consistent with Department requirements if the Public Water System exceeds one of the Treatment Technique triggers in 310 CMR 22.05(4)(a)1.</w:t>
      </w:r>
    </w:p>
    <w:p w14:paraId="2819D17E" w14:textId="77777777" w:rsidR="004647B9" w:rsidRPr="00293126" w:rsidRDefault="00E2436F" w:rsidP="00563A54">
      <w:pPr>
        <w:numPr>
          <w:ilvl w:val="1"/>
          <w:numId w:val="80"/>
        </w:numPr>
        <w:tabs>
          <w:tab w:val="left" w:pos="2641"/>
        </w:tabs>
        <w:spacing w:line="243" w:lineRule="auto"/>
        <w:ind w:left="2280" w:hanging="5"/>
        <w:jc w:val="both"/>
        <w:rPr>
          <w:rFonts w:eastAsia="Times New Roman"/>
          <w:sz w:val="24"/>
          <w:szCs w:val="24"/>
        </w:rPr>
      </w:pPr>
      <w:r w:rsidRPr="00293126">
        <w:rPr>
          <w:rFonts w:eastAsia="Times New Roman"/>
          <w:sz w:val="24"/>
          <w:szCs w:val="24"/>
        </w:rPr>
        <w:t>The Supplier of Water must complete and submit to the Department a Level 1 Assessment as soon as practical after collecting the sample that triggered the assessment in 310 CMR 22.05(4)(a)1., but no later than 30 days after the collection date. In the completed assessment form, (which may include any relevant portions of a corrective action plan submitted under 310 CMR 22.26(4)), the Supplier of Water shall either:</w:t>
      </w:r>
    </w:p>
    <w:p w14:paraId="2819D180" w14:textId="77777777" w:rsidR="004647B9" w:rsidRPr="00293126" w:rsidRDefault="00E2436F" w:rsidP="00563A54">
      <w:pPr>
        <w:numPr>
          <w:ilvl w:val="2"/>
          <w:numId w:val="80"/>
        </w:numPr>
        <w:tabs>
          <w:tab w:val="left" w:pos="2940"/>
        </w:tabs>
        <w:ind w:left="2940" w:hanging="305"/>
        <w:rPr>
          <w:rFonts w:eastAsia="Times New Roman"/>
          <w:sz w:val="24"/>
          <w:szCs w:val="24"/>
        </w:rPr>
      </w:pPr>
      <w:r w:rsidRPr="00293126">
        <w:rPr>
          <w:rFonts w:eastAsia="Times New Roman"/>
          <w:sz w:val="24"/>
          <w:szCs w:val="24"/>
        </w:rPr>
        <w:t>describe any Sanitary Defects detected;</w:t>
      </w:r>
    </w:p>
    <w:p w14:paraId="2819D182" w14:textId="77777777" w:rsidR="004647B9" w:rsidRPr="00293126" w:rsidRDefault="00E2436F" w:rsidP="00563A54">
      <w:pPr>
        <w:numPr>
          <w:ilvl w:val="2"/>
          <w:numId w:val="80"/>
        </w:numPr>
        <w:tabs>
          <w:tab w:val="left" w:pos="3000"/>
        </w:tabs>
        <w:ind w:left="3000" w:hanging="365"/>
        <w:rPr>
          <w:rFonts w:eastAsia="Times New Roman"/>
          <w:sz w:val="24"/>
          <w:szCs w:val="24"/>
        </w:rPr>
      </w:pPr>
      <w:r w:rsidRPr="00293126">
        <w:rPr>
          <w:rFonts w:eastAsia="Times New Roman"/>
          <w:sz w:val="24"/>
          <w:szCs w:val="24"/>
        </w:rPr>
        <w:t>describe all corrective actions completed;</w:t>
      </w:r>
    </w:p>
    <w:p w14:paraId="2819D184" w14:textId="77777777" w:rsidR="004647B9" w:rsidRPr="00293126" w:rsidRDefault="00E2436F" w:rsidP="00563A54">
      <w:pPr>
        <w:numPr>
          <w:ilvl w:val="2"/>
          <w:numId w:val="80"/>
        </w:numPr>
        <w:tabs>
          <w:tab w:val="left" w:pos="3080"/>
        </w:tabs>
        <w:ind w:left="3080" w:hanging="445"/>
        <w:rPr>
          <w:rFonts w:eastAsia="Times New Roman"/>
          <w:sz w:val="24"/>
          <w:szCs w:val="24"/>
        </w:rPr>
      </w:pPr>
      <w:r w:rsidRPr="00293126">
        <w:rPr>
          <w:rFonts w:eastAsia="Times New Roman"/>
          <w:sz w:val="24"/>
          <w:szCs w:val="24"/>
        </w:rPr>
        <w:t>propose a timetable for any corrective actions not yet completed;</w:t>
      </w:r>
    </w:p>
    <w:p w14:paraId="2819D186" w14:textId="77777777" w:rsidR="004647B9" w:rsidRDefault="00E2436F" w:rsidP="00563A54">
      <w:pPr>
        <w:numPr>
          <w:ilvl w:val="2"/>
          <w:numId w:val="80"/>
        </w:numPr>
        <w:tabs>
          <w:tab w:val="left" w:pos="3096"/>
        </w:tabs>
        <w:spacing w:line="242" w:lineRule="auto"/>
        <w:ind w:left="2640" w:hanging="5"/>
        <w:jc w:val="both"/>
        <w:rPr>
          <w:rFonts w:eastAsia="Times New Roman"/>
          <w:sz w:val="24"/>
          <w:szCs w:val="24"/>
        </w:rPr>
      </w:pPr>
      <w:r>
        <w:rPr>
          <w:rFonts w:eastAsia="Times New Roman"/>
          <w:sz w:val="24"/>
          <w:szCs w:val="24"/>
        </w:rPr>
        <w:t>describe any interim measures it plans to implement for the protection of human health prior to the completion of any corrective actions, including a timetable for doing so; or</w:t>
      </w:r>
    </w:p>
    <w:p w14:paraId="2819D188" w14:textId="77777777" w:rsidR="004647B9" w:rsidRDefault="00E2436F" w:rsidP="00563A54">
      <w:pPr>
        <w:numPr>
          <w:ilvl w:val="2"/>
          <w:numId w:val="80"/>
        </w:numPr>
        <w:tabs>
          <w:tab w:val="left" w:pos="3000"/>
        </w:tabs>
        <w:ind w:left="3000" w:hanging="365"/>
        <w:rPr>
          <w:rFonts w:eastAsia="Times New Roman"/>
          <w:sz w:val="24"/>
          <w:szCs w:val="24"/>
        </w:rPr>
      </w:pPr>
      <w:r>
        <w:rPr>
          <w:rFonts w:eastAsia="Times New Roman"/>
          <w:sz w:val="24"/>
          <w:szCs w:val="24"/>
        </w:rPr>
        <w:t>state that no Sanitary Defects were identified.</w:t>
      </w:r>
    </w:p>
    <w:p w14:paraId="2819D18A" w14:textId="77777777" w:rsidR="004647B9" w:rsidRDefault="00E2436F" w:rsidP="00563A54">
      <w:pPr>
        <w:numPr>
          <w:ilvl w:val="1"/>
          <w:numId w:val="80"/>
        </w:numPr>
        <w:tabs>
          <w:tab w:val="left" w:pos="2645"/>
        </w:tabs>
        <w:spacing w:line="243" w:lineRule="auto"/>
        <w:ind w:left="2280" w:hanging="5"/>
        <w:jc w:val="both"/>
        <w:rPr>
          <w:rFonts w:eastAsia="Times New Roman"/>
          <w:sz w:val="24"/>
          <w:szCs w:val="24"/>
        </w:rPr>
      </w:pPr>
      <w:r>
        <w:rPr>
          <w:rFonts w:eastAsia="Times New Roman"/>
          <w:sz w:val="24"/>
          <w:szCs w:val="24"/>
        </w:rPr>
        <w:t>The Supplier of Water, upon notification from the Department that the Level 1 Assessment is not sufficient (including any proposed timetable for any corrective actions not yet completed) shall consult with the Department regarding the assessment. Following such consultation, the Supplier of Water shall submit a revised assessment on a schedule approved by the Department not to exceed 30 days from the date of the consultation.</w:t>
      </w:r>
    </w:p>
    <w:p w14:paraId="2819D18C" w14:textId="767B3871" w:rsidR="004647B9" w:rsidRDefault="00E2436F" w:rsidP="00563A54">
      <w:pPr>
        <w:numPr>
          <w:ilvl w:val="1"/>
          <w:numId w:val="80"/>
        </w:numPr>
        <w:tabs>
          <w:tab w:val="left" w:pos="2591"/>
        </w:tabs>
        <w:spacing w:line="243" w:lineRule="auto"/>
        <w:ind w:left="2280" w:hanging="5"/>
        <w:jc w:val="both"/>
        <w:rPr>
          <w:rFonts w:eastAsia="Times New Roman"/>
          <w:sz w:val="24"/>
          <w:szCs w:val="24"/>
        </w:rPr>
      </w:pPr>
      <w:r>
        <w:rPr>
          <w:rFonts w:eastAsia="Times New Roman"/>
          <w:sz w:val="24"/>
          <w:szCs w:val="24"/>
        </w:rPr>
        <w:t xml:space="preserve">All Level 1 Assessments, including any revised Level 1 Assessments pursuant to 310 CMR 22.05(4)(b)3.b. shall be subject to the Department's review to determine whether the Supplier of Water has identified a likely cause for the Level 1 trigger and whether the Supplier of Water has corrected the problem, or has included a schedule acceptable to the Department </w:t>
      </w:r>
      <w:r w:rsidR="004D6431">
        <w:rPr>
          <w:rFonts w:eastAsia="Times New Roman"/>
          <w:sz w:val="24"/>
          <w:szCs w:val="24"/>
        </w:rPr>
        <w:t xml:space="preserve">for correcting the problem and has implemented </w:t>
      </w:r>
      <w:r w:rsidR="009608A8">
        <w:rPr>
          <w:rFonts w:eastAsia="Times New Roman"/>
          <w:sz w:val="24"/>
          <w:szCs w:val="24"/>
        </w:rPr>
        <w:t>any Department-specified</w:t>
      </w:r>
      <w:r w:rsidR="006A61DE">
        <w:rPr>
          <w:rFonts w:eastAsia="Times New Roman"/>
          <w:sz w:val="24"/>
          <w:szCs w:val="24"/>
        </w:rPr>
        <w:t xml:space="preserve"> interim measures</w:t>
      </w:r>
      <w:r>
        <w:rPr>
          <w:rFonts w:eastAsia="Times New Roman"/>
          <w:sz w:val="24"/>
          <w:szCs w:val="24"/>
        </w:rPr>
        <w:t>.</w:t>
      </w:r>
    </w:p>
    <w:p w14:paraId="2819D18E" w14:textId="77777777" w:rsidR="004647B9" w:rsidRDefault="00E2436F" w:rsidP="00563A54">
      <w:pPr>
        <w:numPr>
          <w:ilvl w:val="2"/>
          <w:numId w:val="80"/>
        </w:numPr>
        <w:tabs>
          <w:tab w:val="left" w:pos="2911"/>
        </w:tabs>
        <w:spacing w:line="243" w:lineRule="auto"/>
        <w:ind w:left="2640" w:hanging="5"/>
        <w:jc w:val="both"/>
        <w:rPr>
          <w:rFonts w:eastAsia="Times New Roman"/>
          <w:sz w:val="24"/>
          <w:szCs w:val="24"/>
        </w:rPr>
      </w:pPr>
      <w:r>
        <w:rPr>
          <w:rFonts w:eastAsia="Times New Roman"/>
          <w:sz w:val="24"/>
          <w:szCs w:val="24"/>
        </w:rPr>
        <w:t>The Supplier of Water shall comply with any interim measures, including any specified schedule, specified by the Department for the protection of public health, pending Department approval of the corrective action plan, or the Supplier of Water's completion of the corrective action plan, or both.</w:t>
      </w:r>
    </w:p>
    <w:p w14:paraId="2819D18F" w14:textId="77777777" w:rsidR="004647B9" w:rsidRDefault="00E2436F" w:rsidP="00563A54">
      <w:pPr>
        <w:numPr>
          <w:ilvl w:val="2"/>
          <w:numId w:val="80"/>
        </w:numPr>
        <w:tabs>
          <w:tab w:val="left" w:pos="2956"/>
        </w:tabs>
        <w:spacing w:line="246" w:lineRule="auto"/>
        <w:ind w:left="2640" w:hanging="5"/>
        <w:rPr>
          <w:rFonts w:eastAsia="Times New Roman"/>
          <w:sz w:val="24"/>
          <w:szCs w:val="24"/>
        </w:rPr>
      </w:pPr>
      <w:r>
        <w:rPr>
          <w:rFonts w:eastAsia="Times New Roman"/>
          <w:sz w:val="24"/>
          <w:szCs w:val="24"/>
        </w:rPr>
        <w:t>No Department-approved corrective action plan may be modified unless such modification is approved by the Department.</w:t>
      </w:r>
    </w:p>
    <w:p w14:paraId="2819D190" w14:textId="77777777" w:rsidR="004647B9" w:rsidRDefault="004647B9">
      <w:pPr>
        <w:sectPr w:rsidR="004647B9" w:rsidSect="00EF630C">
          <w:pgSz w:w="12240" w:h="20180"/>
          <w:pgMar w:top="708" w:right="1440" w:bottom="1440" w:left="600" w:header="0" w:footer="0" w:gutter="0"/>
          <w:cols w:space="720" w:equalWidth="0">
            <w:col w:w="10200"/>
          </w:cols>
        </w:sectPr>
      </w:pPr>
    </w:p>
    <w:p w14:paraId="2819D191" w14:textId="77777777" w:rsidR="004647B9" w:rsidRDefault="00E2436F">
      <w:pPr>
        <w:tabs>
          <w:tab w:val="left" w:pos="160"/>
        </w:tabs>
        <w:jc w:val="center"/>
        <w:rPr>
          <w:sz w:val="20"/>
          <w:szCs w:val="20"/>
        </w:rPr>
      </w:pPr>
      <w:bookmarkStart w:id="39" w:name="page40"/>
      <w:bookmarkEnd w:id="3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192" w14:textId="77777777" w:rsidR="004647B9" w:rsidRDefault="004647B9" w:rsidP="00A408EA">
      <w:pPr>
        <w:rPr>
          <w:sz w:val="20"/>
          <w:szCs w:val="20"/>
        </w:rPr>
      </w:pPr>
    </w:p>
    <w:p w14:paraId="2819D193" w14:textId="77777777" w:rsidR="004647B9" w:rsidRDefault="004647B9" w:rsidP="00A408EA">
      <w:pPr>
        <w:rPr>
          <w:sz w:val="20"/>
          <w:szCs w:val="20"/>
        </w:rPr>
      </w:pPr>
    </w:p>
    <w:p w14:paraId="2819D194"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195" w14:textId="77777777" w:rsidR="004647B9" w:rsidRDefault="004647B9" w:rsidP="00A408EA">
      <w:pPr>
        <w:rPr>
          <w:sz w:val="20"/>
          <w:szCs w:val="20"/>
        </w:rPr>
      </w:pPr>
    </w:p>
    <w:p w14:paraId="2819D196" w14:textId="77777777" w:rsidR="004647B9" w:rsidRDefault="00E2436F" w:rsidP="00563A54">
      <w:pPr>
        <w:numPr>
          <w:ilvl w:val="2"/>
          <w:numId w:val="81"/>
        </w:numPr>
        <w:tabs>
          <w:tab w:val="left" w:pos="2287"/>
        </w:tabs>
        <w:spacing w:line="248" w:lineRule="auto"/>
        <w:ind w:left="1920" w:hanging="5"/>
        <w:jc w:val="both"/>
        <w:rPr>
          <w:rFonts w:eastAsia="Times New Roman"/>
          <w:sz w:val="24"/>
          <w:szCs w:val="24"/>
        </w:rPr>
      </w:pPr>
      <w:r>
        <w:rPr>
          <w:rFonts w:eastAsia="Times New Roman"/>
          <w:sz w:val="24"/>
          <w:szCs w:val="24"/>
          <w:u w:val="single"/>
        </w:rPr>
        <w:t>Level 2 Assessments</w:t>
      </w:r>
      <w:r>
        <w:rPr>
          <w:rFonts w:eastAsia="Times New Roman"/>
          <w:sz w:val="24"/>
          <w:szCs w:val="24"/>
        </w:rPr>
        <w:t xml:space="preserve">. A Supplier of Water must ensure that a Level 2 Assessment consistent with Department requirements is conducted if the Public Water System exceeds one of the Treatment Technique triggers in 310 CMR 22.05(4)(a)2. The Supplier of Water shall comply with any expedited actions or additional actions required by the Department in the case of an </w:t>
      </w:r>
      <w:r>
        <w:rPr>
          <w:rFonts w:eastAsia="Times New Roman"/>
          <w:i/>
          <w:iCs/>
          <w:sz w:val="24"/>
          <w:szCs w:val="24"/>
        </w:rPr>
        <w:t>E. coli</w:t>
      </w:r>
      <w:r>
        <w:rPr>
          <w:rFonts w:eastAsia="Times New Roman"/>
          <w:sz w:val="24"/>
          <w:szCs w:val="24"/>
        </w:rPr>
        <w:t xml:space="preserve"> MCL violation.</w:t>
      </w:r>
    </w:p>
    <w:p w14:paraId="2819D198" w14:textId="77777777" w:rsidR="004647B9" w:rsidRPr="00B37BC3" w:rsidRDefault="00E2436F" w:rsidP="00563A54">
      <w:pPr>
        <w:numPr>
          <w:ilvl w:val="3"/>
          <w:numId w:val="81"/>
        </w:numPr>
        <w:tabs>
          <w:tab w:val="left" w:pos="2561"/>
        </w:tabs>
        <w:spacing w:line="253" w:lineRule="auto"/>
        <w:ind w:left="2280" w:hanging="5"/>
        <w:jc w:val="both"/>
        <w:rPr>
          <w:rFonts w:eastAsia="Times New Roman"/>
          <w:sz w:val="24"/>
          <w:szCs w:val="24"/>
        </w:rPr>
      </w:pPr>
      <w:r w:rsidRPr="00B37BC3">
        <w:rPr>
          <w:rFonts w:eastAsia="Times New Roman"/>
          <w:sz w:val="24"/>
          <w:szCs w:val="24"/>
        </w:rPr>
        <w:t>Unless the Department notifies the Supplier of Water that the Department intends to conduct the Level 2 Assessment, the Supplier of Water must ensure that a Level 2 Assessment is completed by a party approved by the Department as soon as practical after any trigger in 310 CMR 22.05(4)(a)2. The Supplier of Water must submit a completed Level 2 Assessment form to the Department no later than 30 days after the collection date of the sample that triggered the assessment. The completed assessment form (which may include any relevant portions of a corrective action plan submitted under 310 CMR 22.26(4)) must either:</w:t>
      </w:r>
    </w:p>
    <w:p w14:paraId="2819D19A" w14:textId="77777777" w:rsidR="004647B9" w:rsidRDefault="00E2436F" w:rsidP="00563A54">
      <w:pPr>
        <w:numPr>
          <w:ilvl w:val="4"/>
          <w:numId w:val="81"/>
        </w:numPr>
        <w:tabs>
          <w:tab w:val="left" w:pos="2940"/>
        </w:tabs>
        <w:ind w:left="2940" w:hanging="305"/>
        <w:rPr>
          <w:rFonts w:eastAsia="Times New Roman"/>
          <w:sz w:val="24"/>
          <w:szCs w:val="24"/>
        </w:rPr>
      </w:pPr>
      <w:r>
        <w:rPr>
          <w:rFonts w:eastAsia="Times New Roman"/>
          <w:sz w:val="24"/>
          <w:szCs w:val="24"/>
        </w:rPr>
        <w:t>describe any Sanitary Defects detected;</w:t>
      </w:r>
    </w:p>
    <w:p w14:paraId="2819D19C" w14:textId="77777777" w:rsidR="004647B9" w:rsidRDefault="00E2436F" w:rsidP="00563A54">
      <w:pPr>
        <w:numPr>
          <w:ilvl w:val="4"/>
          <w:numId w:val="81"/>
        </w:numPr>
        <w:tabs>
          <w:tab w:val="left" w:pos="3000"/>
        </w:tabs>
        <w:ind w:left="3000" w:hanging="365"/>
        <w:rPr>
          <w:rFonts w:eastAsia="Times New Roman"/>
          <w:sz w:val="24"/>
          <w:szCs w:val="24"/>
        </w:rPr>
      </w:pPr>
      <w:r>
        <w:rPr>
          <w:rFonts w:eastAsia="Times New Roman"/>
          <w:sz w:val="24"/>
          <w:szCs w:val="24"/>
        </w:rPr>
        <w:t>describe all corrective actions completed;</w:t>
      </w:r>
    </w:p>
    <w:p w14:paraId="2819D19E" w14:textId="77777777" w:rsidR="004647B9" w:rsidRDefault="00E2436F" w:rsidP="00563A54">
      <w:pPr>
        <w:numPr>
          <w:ilvl w:val="4"/>
          <w:numId w:val="81"/>
        </w:numPr>
        <w:tabs>
          <w:tab w:val="left" w:pos="3080"/>
        </w:tabs>
        <w:ind w:left="3080" w:hanging="445"/>
        <w:rPr>
          <w:rFonts w:eastAsia="Times New Roman"/>
          <w:sz w:val="24"/>
          <w:szCs w:val="24"/>
        </w:rPr>
      </w:pPr>
      <w:r>
        <w:rPr>
          <w:rFonts w:eastAsia="Times New Roman"/>
          <w:sz w:val="24"/>
          <w:szCs w:val="24"/>
        </w:rPr>
        <w:t>propose a timetable for any corrective actions not yet completed;</w:t>
      </w:r>
    </w:p>
    <w:p w14:paraId="2819D1A0" w14:textId="77777777" w:rsidR="004647B9" w:rsidRDefault="00E2436F" w:rsidP="00563A54">
      <w:pPr>
        <w:numPr>
          <w:ilvl w:val="4"/>
          <w:numId w:val="81"/>
        </w:numPr>
        <w:tabs>
          <w:tab w:val="left" w:pos="3082"/>
        </w:tabs>
        <w:spacing w:line="243" w:lineRule="auto"/>
        <w:ind w:left="2640" w:hanging="5"/>
        <w:jc w:val="both"/>
        <w:rPr>
          <w:rFonts w:eastAsia="Times New Roman"/>
          <w:sz w:val="24"/>
          <w:szCs w:val="24"/>
        </w:rPr>
      </w:pPr>
      <w:r>
        <w:rPr>
          <w:rFonts w:eastAsia="Times New Roman"/>
          <w:sz w:val="24"/>
          <w:szCs w:val="24"/>
        </w:rPr>
        <w:t>describe any interim measures planned for the protection of human health prior to the completion of any corrective actions, including a timetable for performing those interim measures; or</w:t>
      </w:r>
    </w:p>
    <w:p w14:paraId="2819D1A2" w14:textId="77777777" w:rsidR="004647B9" w:rsidRDefault="00E2436F" w:rsidP="00563A54">
      <w:pPr>
        <w:numPr>
          <w:ilvl w:val="4"/>
          <w:numId w:val="81"/>
        </w:numPr>
        <w:tabs>
          <w:tab w:val="left" w:pos="3000"/>
        </w:tabs>
        <w:ind w:left="3000" w:hanging="365"/>
        <w:rPr>
          <w:rFonts w:eastAsia="Times New Roman"/>
          <w:sz w:val="24"/>
          <w:szCs w:val="24"/>
        </w:rPr>
      </w:pPr>
      <w:r>
        <w:rPr>
          <w:rFonts w:eastAsia="Times New Roman"/>
          <w:sz w:val="24"/>
          <w:szCs w:val="24"/>
        </w:rPr>
        <w:t>state that no Sanitary Defects were identified.</w:t>
      </w:r>
    </w:p>
    <w:p w14:paraId="2819D1A4" w14:textId="77777777" w:rsidR="004647B9" w:rsidRDefault="00E2436F" w:rsidP="00563A54">
      <w:pPr>
        <w:numPr>
          <w:ilvl w:val="3"/>
          <w:numId w:val="81"/>
        </w:numPr>
        <w:tabs>
          <w:tab w:val="left" w:pos="2676"/>
        </w:tabs>
        <w:spacing w:line="243" w:lineRule="auto"/>
        <w:ind w:left="2280" w:hanging="5"/>
        <w:jc w:val="both"/>
        <w:rPr>
          <w:rFonts w:eastAsia="Times New Roman"/>
          <w:sz w:val="24"/>
          <w:szCs w:val="24"/>
        </w:rPr>
      </w:pPr>
      <w:r>
        <w:rPr>
          <w:rFonts w:eastAsia="Times New Roman"/>
          <w:sz w:val="24"/>
          <w:szCs w:val="24"/>
        </w:rPr>
        <w:t>The Supplier of Water may conduct Level 2 Assessments if the Public Water System has staff or management with the certification or qualifications specified by the Department unless otherwise directed by the Department.</w:t>
      </w:r>
    </w:p>
    <w:p w14:paraId="2819D1A6" w14:textId="77777777" w:rsidR="004647B9" w:rsidRDefault="00E2436F" w:rsidP="00563A54">
      <w:pPr>
        <w:numPr>
          <w:ilvl w:val="3"/>
          <w:numId w:val="81"/>
        </w:numPr>
        <w:tabs>
          <w:tab w:val="left" w:pos="2670"/>
        </w:tabs>
        <w:spacing w:line="243" w:lineRule="auto"/>
        <w:ind w:left="2280" w:hanging="5"/>
        <w:jc w:val="both"/>
        <w:rPr>
          <w:rFonts w:eastAsia="Times New Roman"/>
          <w:sz w:val="24"/>
          <w:szCs w:val="24"/>
        </w:rPr>
      </w:pPr>
      <w:r>
        <w:rPr>
          <w:rFonts w:eastAsia="Times New Roman"/>
          <w:sz w:val="24"/>
          <w:szCs w:val="24"/>
        </w:rPr>
        <w:t>The Supplier of Water, upon notification from the Department that a Level 2 Assessment, the performance of which is ensured by the Supplier of Water, is not sufficient (including any proposed timetable for any corrective actions not yet completed) shall consult with the Department regarding the assessment. Following such consultation, the Supplier of Water shall submit a revised assessment on a schedule approved by the Department not to exceed 30 days from the date of the consultation.</w:t>
      </w:r>
    </w:p>
    <w:p w14:paraId="2819D1A7" w14:textId="30198E71" w:rsidR="004647B9" w:rsidRDefault="00E2436F" w:rsidP="00563A54">
      <w:pPr>
        <w:numPr>
          <w:ilvl w:val="3"/>
          <w:numId w:val="81"/>
        </w:numPr>
        <w:tabs>
          <w:tab w:val="left" w:pos="2611"/>
        </w:tabs>
        <w:spacing w:line="243" w:lineRule="auto"/>
        <w:ind w:left="2280" w:hanging="5"/>
        <w:jc w:val="both"/>
        <w:rPr>
          <w:rFonts w:eastAsia="Times New Roman"/>
          <w:sz w:val="24"/>
          <w:szCs w:val="24"/>
        </w:rPr>
      </w:pPr>
      <w:r>
        <w:rPr>
          <w:rFonts w:eastAsia="Times New Roman"/>
          <w:sz w:val="24"/>
          <w:szCs w:val="24"/>
        </w:rPr>
        <w:t>Upon the Supplier of Water completing and submitting the assessment form, the Department will determine if the Supplier of Water has identified a likely cause for the Level 2 trigger and if so the Department will determine whether the Supplier of Water has corrected the problem, or has included a schedule acceptable to the Department for correcting the problem</w:t>
      </w:r>
      <w:r w:rsidR="00C52FE9">
        <w:rPr>
          <w:rFonts w:eastAsia="Times New Roman"/>
          <w:sz w:val="24"/>
          <w:szCs w:val="24"/>
        </w:rPr>
        <w:t>, and has implemented any Department-specified interim measures</w:t>
      </w:r>
      <w:r>
        <w:rPr>
          <w:rFonts w:eastAsia="Times New Roman"/>
          <w:sz w:val="24"/>
          <w:szCs w:val="24"/>
        </w:rPr>
        <w:t>.</w:t>
      </w:r>
    </w:p>
    <w:p w14:paraId="2819D1A9" w14:textId="77777777" w:rsidR="004647B9" w:rsidRDefault="00E2436F" w:rsidP="00563A54">
      <w:pPr>
        <w:numPr>
          <w:ilvl w:val="4"/>
          <w:numId w:val="81"/>
        </w:numPr>
        <w:tabs>
          <w:tab w:val="left" w:pos="2930"/>
        </w:tabs>
        <w:spacing w:line="242" w:lineRule="auto"/>
        <w:ind w:left="2640" w:hanging="5"/>
        <w:jc w:val="both"/>
        <w:rPr>
          <w:rFonts w:eastAsia="Times New Roman"/>
          <w:sz w:val="24"/>
          <w:szCs w:val="24"/>
        </w:rPr>
      </w:pPr>
      <w:r>
        <w:rPr>
          <w:rFonts w:eastAsia="Times New Roman"/>
          <w:sz w:val="24"/>
          <w:szCs w:val="24"/>
        </w:rPr>
        <w:t>If the Department has specified interim measures for protection of the public health pending Department approval of the corrective action plan and schedule or pending completion of the corrective action plan, or both, the Supplier of Water shall comply with these interim measures, including any specified schedule.</w:t>
      </w:r>
    </w:p>
    <w:p w14:paraId="2819D1AB" w14:textId="77777777" w:rsidR="004647B9" w:rsidRDefault="00E2436F" w:rsidP="00563A54">
      <w:pPr>
        <w:numPr>
          <w:ilvl w:val="4"/>
          <w:numId w:val="81"/>
        </w:numPr>
        <w:tabs>
          <w:tab w:val="left" w:pos="3021"/>
        </w:tabs>
        <w:spacing w:line="243" w:lineRule="auto"/>
        <w:ind w:left="2640" w:hanging="5"/>
        <w:rPr>
          <w:rFonts w:eastAsia="Times New Roman"/>
          <w:sz w:val="24"/>
          <w:szCs w:val="24"/>
        </w:rPr>
      </w:pPr>
      <w:r>
        <w:rPr>
          <w:rFonts w:eastAsia="Times New Roman"/>
          <w:sz w:val="24"/>
          <w:szCs w:val="24"/>
        </w:rPr>
        <w:t>Any subsequent modifications to a Department-approved corrective action plan must also be approved by the Department.</w:t>
      </w:r>
    </w:p>
    <w:p w14:paraId="2819D1AC" w14:textId="77777777" w:rsidR="004647B9" w:rsidRPr="00F63AFF" w:rsidRDefault="00E2436F" w:rsidP="00563A54">
      <w:pPr>
        <w:numPr>
          <w:ilvl w:val="1"/>
          <w:numId w:val="82"/>
        </w:numPr>
        <w:tabs>
          <w:tab w:val="left" w:pos="1939"/>
        </w:tabs>
        <w:spacing w:line="253" w:lineRule="auto"/>
        <w:ind w:left="1560" w:hanging="5"/>
        <w:jc w:val="both"/>
        <w:rPr>
          <w:rFonts w:eastAsia="Times New Roman"/>
          <w:sz w:val="24"/>
          <w:szCs w:val="24"/>
        </w:rPr>
      </w:pPr>
      <w:r w:rsidRPr="00F63AFF">
        <w:rPr>
          <w:rFonts w:eastAsia="Times New Roman"/>
          <w:sz w:val="24"/>
          <w:szCs w:val="24"/>
          <w:u w:val="single"/>
        </w:rPr>
        <w:t>Corrective Action</w:t>
      </w:r>
      <w:r w:rsidRPr="00F63AFF">
        <w:rPr>
          <w:rFonts w:eastAsia="Times New Roman"/>
          <w:sz w:val="24"/>
          <w:szCs w:val="24"/>
        </w:rPr>
        <w:t>. Supplier of Water shall correct Sanitary Defects found through either Level 1 or Level 2 Assessments conducted under 310 CMR 22.05(4)(b). For corrections not completed by the time of submission of the assessment form, the Supplier of Water shall complete the corrective action(s) in compliance with a timetable approved by the Department in consultation with the Supplier of Water. The Supplier of Water shall notify the Department in writing when each scheduled corrective action is completed.</w:t>
      </w:r>
    </w:p>
    <w:p w14:paraId="2819D1AE" w14:textId="77777777" w:rsidR="004647B9" w:rsidRDefault="00E2436F" w:rsidP="00563A54">
      <w:pPr>
        <w:numPr>
          <w:ilvl w:val="1"/>
          <w:numId w:val="82"/>
        </w:numPr>
        <w:tabs>
          <w:tab w:val="left" w:pos="1958"/>
        </w:tabs>
        <w:spacing w:line="243" w:lineRule="auto"/>
        <w:ind w:left="1560" w:hanging="5"/>
        <w:jc w:val="both"/>
        <w:rPr>
          <w:rFonts w:eastAsia="Times New Roman"/>
          <w:sz w:val="24"/>
          <w:szCs w:val="24"/>
        </w:rPr>
      </w:pPr>
      <w:r>
        <w:rPr>
          <w:rFonts w:eastAsia="Times New Roman"/>
          <w:sz w:val="24"/>
          <w:szCs w:val="24"/>
          <w:u w:val="single"/>
        </w:rPr>
        <w:t>Consultation</w:t>
      </w:r>
      <w:r>
        <w:rPr>
          <w:rFonts w:eastAsia="Times New Roman"/>
          <w:sz w:val="24"/>
          <w:szCs w:val="24"/>
        </w:rPr>
        <w:t>. At any time during the assessment or corrective action phase, the Supplier of Water may request a consultation with the Department to determine the appropriate actions to be taken. In addition, the Supplier of Water shall consult with the Department upon written notification from the Department to do so. The Supplier of Water may consult with the Department on all relevant information that may impact its ability to comply with a requirements of 310 CMR 22.05(4), including the method of accomplishment, an appropriate timeframe, and other relevant information.</w:t>
      </w:r>
    </w:p>
    <w:p w14:paraId="2819D1AF" w14:textId="77777777" w:rsidR="004647B9" w:rsidRDefault="004647B9">
      <w:pPr>
        <w:spacing w:line="249" w:lineRule="exact"/>
        <w:rPr>
          <w:rFonts w:eastAsia="Times New Roman"/>
          <w:sz w:val="24"/>
          <w:szCs w:val="24"/>
        </w:rPr>
      </w:pPr>
    </w:p>
    <w:p w14:paraId="1FA6096A" w14:textId="7BFA4F83" w:rsidR="00E77497" w:rsidRPr="00F24514" w:rsidRDefault="00E2436F" w:rsidP="00097E48">
      <w:pPr>
        <w:numPr>
          <w:ilvl w:val="0"/>
          <w:numId w:val="83"/>
        </w:numPr>
        <w:tabs>
          <w:tab w:val="left" w:pos="1660"/>
        </w:tabs>
        <w:spacing w:line="274" w:lineRule="auto"/>
        <w:ind w:left="1195"/>
        <w:rPr>
          <w:rFonts w:eastAsia="Times New Roman"/>
          <w:sz w:val="24"/>
          <w:szCs w:val="24"/>
        </w:rPr>
      </w:pPr>
      <w:r w:rsidRPr="00F24514">
        <w:rPr>
          <w:rFonts w:eastAsia="Times New Roman"/>
          <w:sz w:val="24"/>
          <w:szCs w:val="24"/>
          <w:u w:val="single"/>
        </w:rPr>
        <w:t>Maximum Microbiological Contaminant Levels, Monitoring Requirements and Analytical Methods</w:t>
      </w:r>
      <w:r w:rsidRPr="00F24514">
        <w:rPr>
          <w:rFonts w:eastAsia="Times New Roman"/>
          <w:sz w:val="24"/>
          <w:szCs w:val="24"/>
        </w:rPr>
        <w:t>. (Reserved)</w:t>
      </w:r>
      <w:r w:rsidR="00E77497" w:rsidRPr="00F24514">
        <w:rPr>
          <w:rFonts w:eastAsia="Times New Roman"/>
          <w:sz w:val="24"/>
          <w:szCs w:val="24"/>
        </w:rPr>
        <w:br w:type="page"/>
      </w:r>
    </w:p>
    <w:p w14:paraId="2819D1B2" w14:textId="77777777" w:rsidR="004647B9" w:rsidRDefault="00E2436F">
      <w:pPr>
        <w:tabs>
          <w:tab w:val="left" w:pos="160"/>
        </w:tabs>
        <w:jc w:val="center"/>
        <w:rPr>
          <w:sz w:val="20"/>
          <w:szCs w:val="20"/>
        </w:rPr>
      </w:pPr>
      <w:bookmarkStart w:id="40" w:name="page41"/>
      <w:bookmarkEnd w:id="4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1B3" w14:textId="77777777" w:rsidR="004647B9" w:rsidRDefault="004647B9" w:rsidP="00A408EA">
      <w:pPr>
        <w:rPr>
          <w:sz w:val="20"/>
          <w:szCs w:val="20"/>
        </w:rPr>
      </w:pPr>
    </w:p>
    <w:p w14:paraId="2819D1B4" w14:textId="77777777" w:rsidR="004647B9" w:rsidRDefault="004647B9" w:rsidP="00A408EA">
      <w:pPr>
        <w:rPr>
          <w:sz w:val="20"/>
          <w:szCs w:val="20"/>
        </w:rPr>
      </w:pPr>
    </w:p>
    <w:p w14:paraId="2819D1B5"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1B6" w14:textId="77777777" w:rsidR="004647B9" w:rsidRDefault="004647B9" w:rsidP="00A408EA">
      <w:pPr>
        <w:rPr>
          <w:sz w:val="20"/>
          <w:szCs w:val="20"/>
        </w:rPr>
      </w:pPr>
    </w:p>
    <w:p w14:paraId="2819D1B7" w14:textId="77777777" w:rsidR="004647B9" w:rsidRPr="00F63AFF" w:rsidRDefault="00E2436F" w:rsidP="00097E48">
      <w:pPr>
        <w:numPr>
          <w:ilvl w:val="0"/>
          <w:numId w:val="84"/>
        </w:numPr>
        <w:tabs>
          <w:tab w:val="left" w:pos="1660"/>
        </w:tabs>
        <w:ind w:left="1656" w:hanging="461"/>
        <w:rPr>
          <w:rFonts w:eastAsia="Times New Roman"/>
          <w:sz w:val="24"/>
          <w:szCs w:val="24"/>
        </w:rPr>
      </w:pPr>
      <w:r w:rsidRPr="00F63AFF">
        <w:rPr>
          <w:rFonts w:eastAsia="Times New Roman"/>
          <w:sz w:val="24"/>
          <w:szCs w:val="24"/>
          <w:u w:val="single"/>
        </w:rPr>
        <w:t>Analytical Methodology</w:t>
      </w:r>
      <w:r w:rsidRPr="00F63AFF">
        <w:rPr>
          <w:rFonts w:eastAsia="Times New Roman"/>
          <w:sz w:val="24"/>
          <w:szCs w:val="24"/>
        </w:rPr>
        <w:t>.</w:t>
      </w:r>
    </w:p>
    <w:p w14:paraId="2819D1B9" w14:textId="77777777" w:rsidR="00F63AFF" w:rsidRPr="00F63AFF" w:rsidRDefault="00E2436F" w:rsidP="00563A54">
      <w:pPr>
        <w:numPr>
          <w:ilvl w:val="1"/>
          <w:numId w:val="84"/>
        </w:numPr>
        <w:tabs>
          <w:tab w:val="left" w:pos="1980"/>
        </w:tabs>
        <w:spacing w:line="261" w:lineRule="exact"/>
        <w:ind w:left="1530" w:firstLine="25"/>
        <w:rPr>
          <w:sz w:val="24"/>
          <w:szCs w:val="24"/>
        </w:rPr>
      </w:pPr>
      <w:r w:rsidRPr="00F63AFF">
        <w:rPr>
          <w:rFonts w:eastAsia="Times New Roman"/>
          <w:sz w:val="24"/>
          <w:szCs w:val="24"/>
        </w:rPr>
        <w:t>The Standard Sample volume required for analysis, regardless of analytical method used, is 100 ml.</w:t>
      </w:r>
    </w:p>
    <w:p w14:paraId="2819D1BA" w14:textId="77777777" w:rsidR="004647B9" w:rsidRPr="00F63AFF" w:rsidRDefault="00E2436F" w:rsidP="00563A54">
      <w:pPr>
        <w:numPr>
          <w:ilvl w:val="1"/>
          <w:numId w:val="84"/>
        </w:numPr>
        <w:tabs>
          <w:tab w:val="left" w:pos="1980"/>
        </w:tabs>
        <w:spacing w:line="261" w:lineRule="exact"/>
        <w:ind w:left="1620" w:hanging="65"/>
        <w:rPr>
          <w:rFonts w:eastAsia="Times New Roman"/>
          <w:sz w:val="24"/>
          <w:szCs w:val="24"/>
        </w:rPr>
      </w:pPr>
      <w:r w:rsidRPr="00F63AFF">
        <w:rPr>
          <w:rFonts w:eastAsia="Times New Roman"/>
          <w:sz w:val="24"/>
          <w:szCs w:val="24"/>
        </w:rPr>
        <w:t>Public Water Systems need only determine the presence or absence of total coliform and</w:t>
      </w:r>
      <w:r w:rsidR="00F63AFF" w:rsidRPr="00F63AFF">
        <w:rPr>
          <w:rFonts w:eastAsia="Times New Roman"/>
          <w:sz w:val="24"/>
          <w:szCs w:val="24"/>
        </w:rPr>
        <w:t xml:space="preserve"> </w:t>
      </w:r>
      <w:r w:rsidR="00F63AFF" w:rsidRPr="00F63AFF">
        <w:rPr>
          <w:rFonts w:eastAsia="Times New Roman"/>
          <w:i/>
          <w:sz w:val="24"/>
          <w:szCs w:val="24"/>
        </w:rPr>
        <w:t>E. coli</w:t>
      </w:r>
      <w:r w:rsidR="00F63AFF" w:rsidRPr="00F63AFF">
        <w:rPr>
          <w:rFonts w:eastAsia="Times New Roman"/>
          <w:sz w:val="24"/>
          <w:szCs w:val="24"/>
        </w:rPr>
        <w:t>; a determination of density is not required.</w:t>
      </w:r>
    </w:p>
    <w:p w14:paraId="2819D1BB" w14:textId="1D486BFE" w:rsidR="004647B9" w:rsidRPr="00F63AFF" w:rsidRDefault="00E2436F" w:rsidP="00563A54">
      <w:pPr>
        <w:numPr>
          <w:ilvl w:val="0"/>
          <w:numId w:val="85"/>
        </w:numPr>
        <w:tabs>
          <w:tab w:val="left" w:pos="1954"/>
        </w:tabs>
        <w:spacing w:line="252" w:lineRule="auto"/>
        <w:ind w:left="1560" w:hanging="5"/>
        <w:jc w:val="both"/>
        <w:rPr>
          <w:rFonts w:eastAsia="Times New Roman"/>
          <w:sz w:val="24"/>
          <w:szCs w:val="24"/>
        </w:rPr>
      </w:pPr>
      <w:r w:rsidRPr="00F63AFF">
        <w:rPr>
          <w:rFonts w:eastAsia="Times New Roman"/>
          <w:sz w:val="24"/>
          <w:szCs w:val="24"/>
        </w:rPr>
        <w:t>The time from sample collection to initiation of test medium incubation shall not exceed 30 hours. Suppliers of Water are encouraged but not required to hold samples below 10</w:t>
      </w:r>
      <w:r w:rsidR="00E25CD4">
        <w:rPr>
          <w:rFonts w:eastAsia="Times New Roman"/>
          <w:sz w:val="24"/>
          <w:szCs w:val="24"/>
        </w:rPr>
        <w:t xml:space="preserve">° </w:t>
      </w:r>
      <w:r w:rsidRPr="00F63AFF">
        <w:rPr>
          <w:rFonts w:eastAsia="Times New Roman"/>
          <w:sz w:val="24"/>
          <w:szCs w:val="24"/>
        </w:rPr>
        <w:t>C during transit.</w:t>
      </w:r>
    </w:p>
    <w:p w14:paraId="2819D1BD" w14:textId="77777777" w:rsidR="004647B9" w:rsidRPr="00F63AFF" w:rsidRDefault="00E2436F" w:rsidP="00563A54">
      <w:pPr>
        <w:numPr>
          <w:ilvl w:val="0"/>
          <w:numId w:val="85"/>
        </w:numPr>
        <w:tabs>
          <w:tab w:val="left" w:pos="1977"/>
        </w:tabs>
        <w:spacing w:line="233" w:lineRule="auto"/>
        <w:ind w:left="1560" w:hanging="5"/>
        <w:jc w:val="both"/>
        <w:rPr>
          <w:rFonts w:eastAsia="Times New Roman"/>
          <w:sz w:val="24"/>
          <w:szCs w:val="24"/>
        </w:rPr>
      </w:pPr>
      <w:r w:rsidRPr="00F63AFF">
        <w:rPr>
          <w:rFonts w:eastAsia="Times New Roman"/>
          <w:sz w:val="24"/>
          <w:szCs w:val="24"/>
        </w:rPr>
        <w:t>If water having residual chlorine (measured as free, combined, or total chlorine) is to be analyzed, sufficient sodium thiosulfate (Na</w:t>
      </w:r>
      <w:r w:rsidRPr="00F63AFF">
        <w:rPr>
          <w:rFonts w:eastAsia="Times New Roman"/>
          <w:sz w:val="24"/>
          <w:szCs w:val="24"/>
          <w:vertAlign w:val="subscript"/>
        </w:rPr>
        <w:t>2</w:t>
      </w:r>
      <w:r w:rsidRPr="00F63AFF">
        <w:rPr>
          <w:rFonts w:eastAsia="Times New Roman"/>
          <w:sz w:val="24"/>
          <w:szCs w:val="24"/>
        </w:rPr>
        <w:t xml:space="preserve"> S</w:t>
      </w:r>
      <w:r w:rsidRPr="00F63AFF">
        <w:rPr>
          <w:rFonts w:eastAsia="Times New Roman"/>
          <w:sz w:val="24"/>
          <w:szCs w:val="24"/>
          <w:vertAlign w:val="subscript"/>
        </w:rPr>
        <w:t>2</w:t>
      </w:r>
      <w:r w:rsidRPr="00F63AFF">
        <w:rPr>
          <w:rFonts w:eastAsia="Times New Roman"/>
          <w:sz w:val="24"/>
          <w:szCs w:val="24"/>
        </w:rPr>
        <w:t>O</w:t>
      </w:r>
      <w:r w:rsidRPr="00F63AFF">
        <w:rPr>
          <w:rFonts w:eastAsia="Times New Roman"/>
          <w:sz w:val="24"/>
          <w:szCs w:val="24"/>
          <w:vertAlign w:val="subscript"/>
        </w:rPr>
        <w:t>3</w:t>
      </w:r>
      <w:r w:rsidRPr="00F63AFF">
        <w:rPr>
          <w:rFonts w:eastAsia="Times New Roman"/>
          <w:sz w:val="24"/>
          <w:szCs w:val="24"/>
        </w:rPr>
        <w:t xml:space="preserve">) must be added to the sample bottle before sterilization to neutralize any residual chlorine in the water sample. Dechlorination procedures are addressed in Section 9060A.2 of </w:t>
      </w:r>
      <w:r w:rsidRPr="00F63AFF">
        <w:rPr>
          <w:rFonts w:eastAsia="Times New Roman"/>
          <w:i/>
          <w:iCs/>
          <w:sz w:val="24"/>
          <w:szCs w:val="24"/>
        </w:rPr>
        <w:t>Standard Methods for the Examination of</w:t>
      </w:r>
      <w:r w:rsidRPr="00F63AFF">
        <w:rPr>
          <w:rFonts w:eastAsia="Times New Roman"/>
          <w:sz w:val="24"/>
          <w:szCs w:val="24"/>
        </w:rPr>
        <w:t xml:space="preserve"> </w:t>
      </w:r>
      <w:r w:rsidRPr="00F63AFF">
        <w:rPr>
          <w:rFonts w:eastAsia="Times New Roman"/>
          <w:i/>
          <w:iCs/>
          <w:sz w:val="24"/>
          <w:szCs w:val="24"/>
        </w:rPr>
        <w:t>Water and Wastewater</w:t>
      </w:r>
      <w:r w:rsidRPr="00F63AFF">
        <w:rPr>
          <w:rFonts w:eastAsia="Times New Roman"/>
          <w:sz w:val="24"/>
          <w:szCs w:val="24"/>
        </w:rPr>
        <w:t>, 20</w:t>
      </w:r>
      <w:r w:rsidRPr="00F63AFF">
        <w:rPr>
          <w:rFonts w:eastAsia="Times New Roman"/>
          <w:sz w:val="24"/>
          <w:szCs w:val="24"/>
          <w:vertAlign w:val="superscript"/>
        </w:rPr>
        <w:t>th</w:t>
      </w:r>
      <w:r w:rsidRPr="00F63AFF">
        <w:rPr>
          <w:rFonts w:eastAsia="Times New Roman"/>
          <w:i/>
          <w:iCs/>
          <w:sz w:val="24"/>
          <w:szCs w:val="24"/>
        </w:rPr>
        <w:t xml:space="preserve"> </w:t>
      </w:r>
      <w:r w:rsidRPr="00F63AFF">
        <w:rPr>
          <w:rFonts w:eastAsia="Times New Roman"/>
          <w:sz w:val="24"/>
          <w:szCs w:val="24"/>
        </w:rPr>
        <w:t>edition (1998) and 21</w:t>
      </w:r>
      <w:r w:rsidRPr="00F63AFF">
        <w:rPr>
          <w:rFonts w:eastAsia="Times New Roman"/>
          <w:sz w:val="24"/>
          <w:szCs w:val="24"/>
          <w:vertAlign w:val="superscript"/>
        </w:rPr>
        <w:t>st</w:t>
      </w:r>
      <w:r w:rsidRPr="00F63AFF">
        <w:rPr>
          <w:rFonts w:eastAsia="Times New Roman"/>
          <w:i/>
          <w:iCs/>
          <w:sz w:val="24"/>
          <w:szCs w:val="24"/>
        </w:rPr>
        <w:t xml:space="preserve"> </w:t>
      </w:r>
      <w:r w:rsidRPr="00F63AFF">
        <w:rPr>
          <w:rFonts w:eastAsia="Times New Roman"/>
          <w:sz w:val="24"/>
          <w:szCs w:val="24"/>
        </w:rPr>
        <w:t>edition (2005), American Public Health</w:t>
      </w:r>
      <w:r w:rsidRPr="00F63AFF">
        <w:rPr>
          <w:rFonts w:eastAsia="Times New Roman"/>
          <w:i/>
          <w:iCs/>
          <w:sz w:val="24"/>
          <w:szCs w:val="24"/>
        </w:rPr>
        <w:t xml:space="preserve"> </w:t>
      </w:r>
      <w:r w:rsidRPr="00F63AFF">
        <w:rPr>
          <w:rFonts w:eastAsia="Times New Roman"/>
          <w:sz w:val="24"/>
          <w:szCs w:val="24"/>
        </w:rPr>
        <w:t>Association, 800 I Street, NW., Washington, DC 20001.</w:t>
      </w:r>
    </w:p>
    <w:p w14:paraId="2819D1BF" w14:textId="77777777" w:rsidR="004647B9" w:rsidRPr="00F63AFF" w:rsidRDefault="00E2436F" w:rsidP="00563A54">
      <w:pPr>
        <w:numPr>
          <w:ilvl w:val="0"/>
          <w:numId w:val="85"/>
        </w:numPr>
        <w:tabs>
          <w:tab w:val="left" w:pos="2011"/>
        </w:tabs>
        <w:spacing w:line="245" w:lineRule="auto"/>
        <w:ind w:left="1560" w:hanging="5"/>
        <w:jc w:val="both"/>
        <w:rPr>
          <w:rFonts w:eastAsia="Times New Roman"/>
          <w:sz w:val="24"/>
          <w:szCs w:val="24"/>
        </w:rPr>
      </w:pPr>
      <w:r w:rsidRPr="00F63AFF">
        <w:rPr>
          <w:rFonts w:eastAsia="Times New Roman"/>
          <w:sz w:val="24"/>
          <w:szCs w:val="24"/>
        </w:rPr>
        <w:t xml:space="preserve">Public Water Systems must conduct total coliform and </w:t>
      </w:r>
      <w:r w:rsidRPr="00F63AFF">
        <w:rPr>
          <w:rFonts w:eastAsia="Times New Roman"/>
          <w:i/>
          <w:iCs/>
          <w:sz w:val="24"/>
          <w:szCs w:val="24"/>
        </w:rPr>
        <w:t>E. coli</w:t>
      </w:r>
      <w:r w:rsidRPr="00F63AFF">
        <w:rPr>
          <w:rFonts w:eastAsia="Times New Roman"/>
          <w:sz w:val="24"/>
          <w:szCs w:val="24"/>
        </w:rPr>
        <w:t xml:space="preserve"> analyses in accordance with one of the analytical methods in the following table or one of the alternative methods described in 310 CMR 22.10.</w:t>
      </w:r>
    </w:p>
    <w:p w14:paraId="2819D1C0" w14:textId="77777777" w:rsidR="004647B9" w:rsidRDefault="004647B9">
      <w:pPr>
        <w:sectPr w:rsidR="004647B9" w:rsidSect="00EF630C">
          <w:pgSz w:w="12240" w:h="20180"/>
          <w:pgMar w:top="708" w:right="1440" w:bottom="1440" w:left="600" w:header="0" w:footer="0" w:gutter="0"/>
          <w:cols w:space="720" w:equalWidth="0">
            <w:col w:w="10200"/>
          </w:cols>
        </w:sectPr>
      </w:pPr>
    </w:p>
    <w:p w14:paraId="2819D1C1" w14:textId="77777777" w:rsidR="004647B9" w:rsidRDefault="00E2436F">
      <w:pPr>
        <w:tabs>
          <w:tab w:val="left" w:pos="160"/>
        </w:tabs>
        <w:jc w:val="center"/>
        <w:rPr>
          <w:sz w:val="20"/>
          <w:szCs w:val="20"/>
        </w:rPr>
      </w:pPr>
      <w:bookmarkStart w:id="41" w:name="page42"/>
      <w:bookmarkEnd w:id="4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1C2" w14:textId="77777777" w:rsidR="004647B9" w:rsidRDefault="004647B9" w:rsidP="00A408EA">
      <w:pPr>
        <w:rPr>
          <w:sz w:val="20"/>
          <w:szCs w:val="20"/>
        </w:rPr>
      </w:pPr>
    </w:p>
    <w:p w14:paraId="2819D1C3" w14:textId="77777777" w:rsidR="004647B9" w:rsidRDefault="004647B9" w:rsidP="00A408EA">
      <w:pPr>
        <w:rPr>
          <w:sz w:val="20"/>
          <w:szCs w:val="20"/>
        </w:rPr>
      </w:pPr>
    </w:p>
    <w:p w14:paraId="2819D1C4" w14:textId="77777777" w:rsidR="004647B9" w:rsidRDefault="00E2436F">
      <w:pPr>
        <w:tabs>
          <w:tab w:val="left" w:pos="761"/>
        </w:tabs>
        <w:ind w:left="1"/>
        <w:rPr>
          <w:sz w:val="20"/>
          <w:szCs w:val="20"/>
        </w:rPr>
      </w:pPr>
      <w:r>
        <w:rPr>
          <w:rFonts w:eastAsia="Times New Roman"/>
          <w:sz w:val="24"/>
          <w:szCs w:val="24"/>
        </w:rPr>
        <w:t>22.05:</w:t>
      </w:r>
      <w:r>
        <w:rPr>
          <w:rFonts w:eastAsia="Times New Roman"/>
          <w:sz w:val="24"/>
          <w:szCs w:val="24"/>
        </w:rPr>
        <w:tab/>
        <w:t>continued</w:t>
      </w:r>
    </w:p>
    <w:p w14:paraId="2819D1C5" w14:textId="77777777" w:rsidR="004647B9" w:rsidRDefault="004647B9" w:rsidP="00A408EA">
      <w:pPr>
        <w:rPr>
          <w:sz w:val="20"/>
          <w:szCs w:val="20"/>
        </w:rPr>
      </w:pPr>
    </w:p>
    <w:tbl>
      <w:tblPr>
        <w:tblW w:w="10200" w:type="dxa"/>
        <w:tblInd w:w="11" w:type="dxa"/>
        <w:tblLayout w:type="fixed"/>
        <w:tblCellMar>
          <w:left w:w="0" w:type="dxa"/>
          <w:right w:w="0" w:type="dxa"/>
        </w:tblCellMar>
        <w:tblLook w:val="04A0" w:firstRow="1" w:lastRow="0" w:firstColumn="1" w:lastColumn="0" w:noHBand="0" w:noVBand="1"/>
      </w:tblPr>
      <w:tblGrid>
        <w:gridCol w:w="1680"/>
        <w:gridCol w:w="3220"/>
        <w:gridCol w:w="2700"/>
        <w:gridCol w:w="2600"/>
      </w:tblGrid>
      <w:tr w:rsidR="00F0198F" w14:paraId="2819D1CB" w14:textId="77777777" w:rsidTr="00490103">
        <w:trPr>
          <w:trHeight w:val="477"/>
        </w:trPr>
        <w:tc>
          <w:tcPr>
            <w:tcW w:w="1680" w:type="dxa"/>
            <w:tcBorders>
              <w:top w:val="single" w:sz="8" w:space="0" w:color="auto"/>
              <w:left w:val="single" w:sz="8" w:space="0" w:color="auto"/>
              <w:bottom w:val="single" w:sz="4" w:space="0" w:color="auto"/>
              <w:right w:val="single" w:sz="8" w:space="0" w:color="auto"/>
            </w:tcBorders>
            <w:vAlign w:val="center"/>
          </w:tcPr>
          <w:p w14:paraId="2819D1C7" w14:textId="247CB5CA" w:rsidR="00F0198F" w:rsidRDefault="00F0198F" w:rsidP="00F0198F">
            <w:pPr>
              <w:jc w:val="center"/>
              <w:rPr>
                <w:sz w:val="24"/>
                <w:szCs w:val="24"/>
              </w:rPr>
            </w:pPr>
            <w:r>
              <w:rPr>
                <w:rFonts w:eastAsia="Times New Roman"/>
                <w:sz w:val="18"/>
                <w:szCs w:val="18"/>
              </w:rPr>
              <w:t>Organism</w:t>
            </w:r>
          </w:p>
        </w:tc>
        <w:tc>
          <w:tcPr>
            <w:tcW w:w="3220" w:type="dxa"/>
            <w:tcBorders>
              <w:top w:val="single" w:sz="8" w:space="0" w:color="auto"/>
              <w:left w:val="single" w:sz="8" w:space="0" w:color="auto"/>
              <w:bottom w:val="single" w:sz="4" w:space="0" w:color="auto"/>
              <w:right w:val="single" w:sz="8" w:space="0" w:color="auto"/>
            </w:tcBorders>
            <w:vAlign w:val="center"/>
          </w:tcPr>
          <w:p w14:paraId="2819D1C8" w14:textId="77777777" w:rsidR="00F0198F" w:rsidRDefault="00F0198F" w:rsidP="00F0198F">
            <w:pPr>
              <w:jc w:val="center"/>
              <w:rPr>
                <w:sz w:val="20"/>
                <w:szCs w:val="20"/>
              </w:rPr>
            </w:pPr>
            <w:r>
              <w:rPr>
                <w:rFonts w:eastAsia="Times New Roman"/>
                <w:sz w:val="18"/>
                <w:szCs w:val="18"/>
              </w:rPr>
              <w:t>Methodology Category</w:t>
            </w:r>
          </w:p>
        </w:tc>
        <w:tc>
          <w:tcPr>
            <w:tcW w:w="2700" w:type="dxa"/>
            <w:tcBorders>
              <w:top w:val="single" w:sz="8" w:space="0" w:color="auto"/>
              <w:bottom w:val="single" w:sz="4" w:space="0" w:color="auto"/>
              <w:right w:val="single" w:sz="8" w:space="0" w:color="auto"/>
            </w:tcBorders>
            <w:vAlign w:val="center"/>
          </w:tcPr>
          <w:p w14:paraId="2819D1C9" w14:textId="77777777" w:rsidR="00F0198F" w:rsidRDefault="00F0198F" w:rsidP="00F0198F">
            <w:pPr>
              <w:jc w:val="center"/>
              <w:rPr>
                <w:sz w:val="20"/>
                <w:szCs w:val="20"/>
              </w:rPr>
            </w:pPr>
            <w:r>
              <w:rPr>
                <w:rFonts w:eastAsia="Times New Roman"/>
                <w:sz w:val="18"/>
                <w:szCs w:val="18"/>
              </w:rPr>
              <w:t>Method</w:t>
            </w:r>
            <w:r>
              <w:rPr>
                <w:rFonts w:eastAsia="Times New Roman"/>
                <w:sz w:val="24"/>
                <w:szCs w:val="24"/>
                <w:vertAlign w:val="superscript"/>
              </w:rPr>
              <w:t>1</w:t>
            </w:r>
          </w:p>
        </w:tc>
        <w:tc>
          <w:tcPr>
            <w:tcW w:w="2600" w:type="dxa"/>
            <w:tcBorders>
              <w:top w:val="single" w:sz="8" w:space="0" w:color="auto"/>
              <w:bottom w:val="single" w:sz="4" w:space="0" w:color="auto"/>
              <w:right w:val="single" w:sz="8" w:space="0" w:color="auto"/>
            </w:tcBorders>
            <w:vAlign w:val="center"/>
          </w:tcPr>
          <w:p w14:paraId="2819D1CA" w14:textId="77777777" w:rsidR="00F0198F" w:rsidRDefault="00F0198F" w:rsidP="00F0198F">
            <w:pPr>
              <w:jc w:val="center"/>
              <w:rPr>
                <w:sz w:val="20"/>
                <w:szCs w:val="20"/>
              </w:rPr>
            </w:pPr>
            <w:r>
              <w:rPr>
                <w:rFonts w:eastAsia="Times New Roman"/>
                <w:sz w:val="18"/>
                <w:szCs w:val="18"/>
              </w:rPr>
              <w:t>Citation</w:t>
            </w:r>
            <w:r>
              <w:rPr>
                <w:rFonts w:eastAsia="Times New Roman"/>
                <w:sz w:val="24"/>
                <w:szCs w:val="24"/>
                <w:vertAlign w:val="superscript"/>
              </w:rPr>
              <w:t>1</w:t>
            </w:r>
          </w:p>
        </w:tc>
      </w:tr>
      <w:tr w:rsidR="00AF30A5" w14:paraId="2819D1D6" w14:textId="77777777" w:rsidTr="00DF6443">
        <w:trPr>
          <w:trHeight w:val="653"/>
        </w:trPr>
        <w:tc>
          <w:tcPr>
            <w:tcW w:w="1680" w:type="dxa"/>
            <w:vMerge w:val="restart"/>
            <w:tcBorders>
              <w:top w:val="single" w:sz="4" w:space="0" w:color="auto"/>
              <w:left w:val="single" w:sz="8" w:space="0" w:color="auto"/>
              <w:right w:val="single" w:sz="4" w:space="0" w:color="auto"/>
            </w:tcBorders>
          </w:tcPr>
          <w:p w14:paraId="2819D1D2" w14:textId="77777777" w:rsidR="00AF30A5" w:rsidRDefault="00AF30A5" w:rsidP="00490103">
            <w:pPr>
              <w:spacing w:before="40"/>
              <w:ind w:left="120"/>
              <w:rPr>
                <w:sz w:val="20"/>
                <w:szCs w:val="20"/>
              </w:rPr>
            </w:pPr>
            <w:r>
              <w:rPr>
                <w:rFonts w:eastAsia="Times New Roman"/>
                <w:sz w:val="18"/>
                <w:szCs w:val="18"/>
              </w:rPr>
              <w:t>Total Coliforms</w:t>
            </w:r>
          </w:p>
        </w:tc>
        <w:tc>
          <w:tcPr>
            <w:tcW w:w="3220" w:type="dxa"/>
            <w:vMerge w:val="restart"/>
            <w:tcBorders>
              <w:top w:val="single" w:sz="4" w:space="0" w:color="auto"/>
              <w:left w:val="single" w:sz="4" w:space="0" w:color="auto"/>
              <w:bottom w:val="single" w:sz="4" w:space="0" w:color="auto"/>
              <w:right w:val="single" w:sz="8" w:space="0" w:color="auto"/>
            </w:tcBorders>
          </w:tcPr>
          <w:p w14:paraId="2819D1D3" w14:textId="58B2F1B4" w:rsidR="00AF30A5" w:rsidRDefault="00AF30A5" w:rsidP="00490103">
            <w:pPr>
              <w:spacing w:before="40"/>
              <w:rPr>
                <w:sz w:val="20"/>
                <w:szCs w:val="20"/>
              </w:rPr>
            </w:pPr>
            <w:r>
              <w:rPr>
                <w:rFonts w:eastAsia="Times New Roman"/>
                <w:sz w:val="18"/>
                <w:szCs w:val="18"/>
              </w:rPr>
              <w:t>Membrane Filtration Methods</w:t>
            </w:r>
          </w:p>
        </w:tc>
        <w:tc>
          <w:tcPr>
            <w:tcW w:w="2700" w:type="dxa"/>
            <w:vMerge w:val="restart"/>
            <w:tcBorders>
              <w:top w:val="single" w:sz="4" w:space="0" w:color="auto"/>
              <w:bottom w:val="single" w:sz="4" w:space="0" w:color="auto"/>
              <w:right w:val="single" w:sz="4" w:space="0" w:color="auto"/>
            </w:tcBorders>
          </w:tcPr>
          <w:p w14:paraId="2819D1D4" w14:textId="45219F69" w:rsidR="00AF30A5" w:rsidRDefault="00AF30A5" w:rsidP="00490103">
            <w:pPr>
              <w:spacing w:before="40"/>
              <w:ind w:left="100"/>
              <w:rPr>
                <w:sz w:val="20"/>
                <w:szCs w:val="20"/>
              </w:rPr>
            </w:pPr>
            <w:r>
              <w:rPr>
                <w:rFonts w:eastAsia="Times New Roman"/>
                <w:sz w:val="18"/>
                <w:szCs w:val="18"/>
              </w:rPr>
              <w:t>Standard Total Coliform Membrane Filter Procedure</w:t>
            </w:r>
          </w:p>
        </w:tc>
        <w:tc>
          <w:tcPr>
            <w:tcW w:w="2600" w:type="dxa"/>
            <w:tcBorders>
              <w:top w:val="single" w:sz="4" w:space="0" w:color="auto"/>
              <w:left w:val="single" w:sz="4" w:space="0" w:color="auto"/>
              <w:bottom w:val="single" w:sz="4" w:space="0" w:color="auto"/>
              <w:right w:val="single" w:sz="8" w:space="0" w:color="auto"/>
            </w:tcBorders>
          </w:tcPr>
          <w:p w14:paraId="2819D1D5" w14:textId="23FD1C6A" w:rsidR="00AF30A5" w:rsidRDefault="00AF30A5" w:rsidP="00490103">
            <w:pPr>
              <w:spacing w:before="40"/>
              <w:ind w:left="100"/>
              <w:rPr>
                <w:sz w:val="20"/>
                <w:szCs w:val="20"/>
              </w:rPr>
            </w:pPr>
            <w:r>
              <w:rPr>
                <w:rFonts w:eastAsia="Times New Roman"/>
                <w:sz w:val="18"/>
                <w:szCs w:val="18"/>
              </w:rPr>
              <w:t>Standard Methods 9222 B, C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2,4</w:t>
            </w:r>
          </w:p>
        </w:tc>
      </w:tr>
      <w:tr w:rsidR="00AF30A5" w14:paraId="2819D1E2" w14:textId="77777777" w:rsidTr="00DF6443">
        <w:trPr>
          <w:trHeight w:val="559"/>
        </w:trPr>
        <w:tc>
          <w:tcPr>
            <w:tcW w:w="1680" w:type="dxa"/>
            <w:vMerge/>
            <w:tcBorders>
              <w:left w:val="single" w:sz="8" w:space="0" w:color="auto"/>
              <w:right w:val="single" w:sz="4" w:space="0" w:color="auto"/>
            </w:tcBorders>
          </w:tcPr>
          <w:p w14:paraId="2819D1DE" w14:textId="77777777" w:rsidR="00AF30A5" w:rsidRDefault="00AF30A5" w:rsidP="00490103">
            <w:pPr>
              <w:spacing w:before="40"/>
              <w:rPr>
                <w:sz w:val="24"/>
                <w:szCs w:val="24"/>
              </w:rPr>
            </w:pPr>
          </w:p>
        </w:tc>
        <w:tc>
          <w:tcPr>
            <w:tcW w:w="3220" w:type="dxa"/>
            <w:vMerge/>
            <w:tcBorders>
              <w:top w:val="single" w:sz="4" w:space="0" w:color="auto"/>
              <w:left w:val="single" w:sz="4" w:space="0" w:color="auto"/>
              <w:bottom w:val="single" w:sz="4" w:space="0" w:color="auto"/>
              <w:right w:val="single" w:sz="8" w:space="0" w:color="auto"/>
            </w:tcBorders>
          </w:tcPr>
          <w:p w14:paraId="2819D1DF" w14:textId="77777777" w:rsidR="00AF30A5" w:rsidRDefault="00AF30A5" w:rsidP="00490103">
            <w:pPr>
              <w:spacing w:before="40"/>
              <w:rPr>
                <w:sz w:val="24"/>
                <w:szCs w:val="24"/>
              </w:rPr>
            </w:pPr>
          </w:p>
        </w:tc>
        <w:tc>
          <w:tcPr>
            <w:tcW w:w="2700" w:type="dxa"/>
            <w:vMerge/>
            <w:tcBorders>
              <w:top w:val="single" w:sz="4" w:space="0" w:color="auto"/>
              <w:bottom w:val="single" w:sz="4" w:space="0" w:color="auto"/>
              <w:right w:val="single" w:sz="4" w:space="0" w:color="auto"/>
            </w:tcBorders>
          </w:tcPr>
          <w:p w14:paraId="2819D1E0" w14:textId="5A7DE53F" w:rsidR="00AF30A5" w:rsidRDefault="00AF30A5" w:rsidP="00490103">
            <w:pPr>
              <w:spacing w:before="40"/>
              <w:ind w:left="100"/>
              <w:rPr>
                <w:sz w:val="20"/>
                <w:szCs w:val="20"/>
              </w:rPr>
            </w:pPr>
          </w:p>
        </w:tc>
        <w:tc>
          <w:tcPr>
            <w:tcW w:w="2600" w:type="dxa"/>
            <w:tcBorders>
              <w:top w:val="single" w:sz="4" w:space="0" w:color="auto"/>
              <w:left w:val="single" w:sz="4" w:space="0" w:color="auto"/>
              <w:bottom w:val="single" w:sz="4" w:space="0" w:color="auto"/>
              <w:right w:val="single" w:sz="8" w:space="0" w:color="auto"/>
            </w:tcBorders>
          </w:tcPr>
          <w:p w14:paraId="2819D1E1" w14:textId="64CD78D8" w:rsidR="00AF30A5" w:rsidRDefault="00AF30A5" w:rsidP="00490103">
            <w:pPr>
              <w:spacing w:before="40"/>
              <w:ind w:left="100"/>
              <w:rPr>
                <w:sz w:val="20"/>
                <w:szCs w:val="20"/>
              </w:rPr>
            </w:pPr>
            <w:r>
              <w:rPr>
                <w:rFonts w:eastAsia="Times New Roman"/>
                <w:sz w:val="18"/>
                <w:szCs w:val="18"/>
              </w:rPr>
              <w:t>Standard Methods Online 9222 B-97</w:t>
            </w:r>
            <w:r>
              <w:rPr>
                <w:rFonts w:eastAsia="Times New Roman"/>
                <w:sz w:val="24"/>
                <w:szCs w:val="24"/>
                <w:vertAlign w:val="superscript"/>
              </w:rPr>
              <w:t>2, 4</w:t>
            </w:r>
            <w:r>
              <w:rPr>
                <w:rFonts w:eastAsia="Times New Roman"/>
                <w:sz w:val="18"/>
                <w:szCs w:val="18"/>
              </w:rPr>
              <w:t>, 9222 C-97</w:t>
            </w:r>
            <w:r>
              <w:rPr>
                <w:rFonts w:eastAsia="Times New Roman"/>
                <w:sz w:val="24"/>
                <w:szCs w:val="24"/>
                <w:vertAlign w:val="superscript"/>
              </w:rPr>
              <w:t>2,4</w:t>
            </w:r>
          </w:p>
        </w:tc>
      </w:tr>
      <w:tr w:rsidR="00AF30A5" w14:paraId="2819D1EE" w14:textId="77777777" w:rsidTr="00DF6443">
        <w:trPr>
          <w:trHeight w:val="559"/>
        </w:trPr>
        <w:tc>
          <w:tcPr>
            <w:tcW w:w="1680" w:type="dxa"/>
            <w:vMerge/>
            <w:tcBorders>
              <w:left w:val="single" w:sz="8" w:space="0" w:color="auto"/>
              <w:right w:val="single" w:sz="4" w:space="0" w:color="auto"/>
            </w:tcBorders>
          </w:tcPr>
          <w:p w14:paraId="2819D1EA" w14:textId="77777777" w:rsidR="00AF30A5" w:rsidRDefault="00AF30A5" w:rsidP="00490103">
            <w:pPr>
              <w:spacing w:before="40"/>
              <w:rPr>
                <w:sz w:val="24"/>
                <w:szCs w:val="24"/>
              </w:rPr>
            </w:pPr>
          </w:p>
        </w:tc>
        <w:tc>
          <w:tcPr>
            <w:tcW w:w="3220" w:type="dxa"/>
            <w:vMerge/>
            <w:tcBorders>
              <w:top w:val="single" w:sz="4" w:space="0" w:color="auto"/>
              <w:left w:val="single" w:sz="4" w:space="0" w:color="auto"/>
              <w:bottom w:val="single" w:sz="4" w:space="0" w:color="auto"/>
              <w:right w:val="single" w:sz="8" w:space="0" w:color="auto"/>
            </w:tcBorders>
          </w:tcPr>
          <w:p w14:paraId="2819D1EB" w14:textId="77777777" w:rsidR="00AF30A5" w:rsidRDefault="00AF30A5"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1EC" w14:textId="376AA497" w:rsidR="00AF30A5" w:rsidRDefault="00AF30A5" w:rsidP="00490103">
            <w:pPr>
              <w:spacing w:before="40"/>
              <w:ind w:left="100"/>
              <w:rPr>
                <w:sz w:val="20"/>
                <w:szCs w:val="20"/>
              </w:rPr>
            </w:pPr>
            <w:r>
              <w:rPr>
                <w:rFonts w:eastAsia="Times New Roman"/>
                <w:sz w:val="18"/>
                <w:szCs w:val="18"/>
              </w:rPr>
              <w:t>Membrane Filtration using MI Medium</w:t>
            </w:r>
          </w:p>
        </w:tc>
        <w:tc>
          <w:tcPr>
            <w:tcW w:w="2600" w:type="dxa"/>
            <w:tcBorders>
              <w:top w:val="single" w:sz="4" w:space="0" w:color="auto"/>
              <w:left w:val="single" w:sz="4" w:space="0" w:color="auto"/>
              <w:bottom w:val="single" w:sz="4" w:space="0" w:color="auto"/>
              <w:right w:val="single" w:sz="8" w:space="0" w:color="auto"/>
            </w:tcBorders>
          </w:tcPr>
          <w:p w14:paraId="2819D1ED" w14:textId="091FFBA3" w:rsidR="00AF30A5" w:rsidRDefault="00AF30A5" w:rsidP="00490103">
            <w:pPr>
              <w:spacing w:before="40"/>
              <w:ind w:left="100"/>
              <w:rPr>
                <w:sz w:val="24"/>
                <w:szCs w:val="24"/>
              </w:rPr>
            </w:pPr>
            <w:r>
              <w:rPr>
                <w:rFonts w:eastAsia="Times New Roman"/>
                <w:sz w:val="18"/>
                <w:szCs w:val="18"/>
              </w:rPr>
              <w:t>EPA Method 1604</w:t>
            </w:r>
            <w:r>
              <w:rPr>
                <w:rFonts w:eastAsia="Times New Roman"/>
                <w:sz w:val="24"/>
                <w:szCs w:val="24"/>
                <w:vertAlign w:val="superscript"/>
              </w:rPr>
              <w:t>2</w:t>
            </w:r>
          </w:p>
        </w:tc>
      </w:tr>
      <w:tr w:rsidR="00AF30A5" w14:paraId="2819D1FA" w14:textId="77777777" w:rsidTr="009C7205">
        <w:trPr>
          <w:trHeight w:val="432"/>
        </w:trPr>
        <w:tc>
          <w:tcPr>
            <w:tcW w:w="1680" w:type="dxa"/>
            <w:vMerge/>
            <w:tcBorders>
              <w:left w:val="single" w:sz="8" w:space="0" w:color="auto"/>
              <w:right w:val="single" w:sz="4" w:space="0" w:color="auto"/>
            </w:tcBorders>
          </w:tcPr>
          <w:p w14:paraId="2819D1F6" w14:textId="77777777" w:rsidR="00AF30A5" w:rsidRDefault="00AF30A5" w:rsidP="00490103">
            <w:pPr>
              <w:spacing w:before="40"/>
              <w:rPr>
                <w:sz w:val="24"/>
                <w:szCs w:val="24"/>
              </w:rPr>
            </w:pPr>
          </w:p>
        </w:tc>
        <w:tc>
          <w:tcPr>
            <w:tcW w:w="3220" w:type="dxa"/>
            <w:vMerge/>
            <w:tcBorders>
              <w:top w:val="single" w:sz="4" w:space="0" w:color="auto"/>
              <w:left w:val="single" w:sz="4" w:space="0" w:color="auto"/>
              <w:bottom w:val="single" w:sz="4" w:space="0" w:color="auto"/>
              <w:right w:val="single" w:sz="8" w:space="0" w:color="auto"/>
            </w:tcBorders>
          </w:tcPr>
          <w:p w14:paraId="2819D1F7" w14:textId="77777777" w:rsidR="00AF30A5" w:rsidRDefault="00AF30A5"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1F8" w14:textId="5F732738" w:rsidR="00AF30A5" w:rsidRDefault="00AF30A5" w:rsidP="00490103">
            <w:pPr>
              <w:spacing w:before="40"/>
              <w:ind w:left="100"/>
              <w:rPr>
                <w:sz w:val="20"/>
                <w:szCs w:val="20"/>
              </w:rPr>
            </w:pPr>
            <w:r>
              <w:rPr>
                <w:rFonts w:eastAsia="Times New Roman"/>
                <w:sz w:val="18"/>
                <w:szCs w:val="18"/>
              </w:rPr>
              <w:t>m-ColiBlue24® Test</w:t>
            </w:r>
            <w:r>
              <w:rPr>
                <w:rFonts w:eastAsia="Times New Roman"/>
                <w:sz w:val="24"/>
                <w:szCs w:val="24"/>
                <w:vertAlign w:val="superscript"/>
              </w:rPr>
              <w:t>2,4</w:t>
            </w:r>
          </w:p>
        </w:tc>
        <w:tc>
          <w:tcPr>
            <w:tcW w:w="2600" w:type="dxa"/>
            <w:tcBorders>
              <w:top w:val="single" w:sz="4" w:space="0" w:color="auto"/>
              <w:left w:val="single" w:sz="4" w:space="0" w:color="auto"/>
              <w:bottom w:val="single" w:sz="4" w:space="0" w:color="auto"/>
              <w:right w:val="single" w:sz="8" w:space="0" w:color="auto"/>
            </w:tcBorders>
          </w:tcPr>
          <w:p w14:paraId="2819D1F9" w14:textId="77777777" w:rsidR="00AF30A5" w:rsidRDefault="00AF30A5" w:rsidP="00490103">
            <w:pPr>
              <w:spacing w:before="40"/>
              <w:rPr>
                <w:sz w:val="24"/>
                <w:szCs w:val="24"/>
              </w:rPr>
            </w:pPr>
          </w:p>
        </w:tc>
      </w:tr>
      <w:tr w:rsidR="00AF30A5" w14:paraId="2819D200" w14:textId="77777777" w:rsidTr="009C7205">
        <w:trPr>
          <w:trHeight w:val="434"/>
        </w:trPr>
        <w:tc>
          <w:tcPr>
            <w:tcW w:w="1680" w:type="dxa"/>
            <w:vMerge/>
            <w:tcBorders>
              <w:left w:val="single" w:sz="8" w:space="0" w:color="auto"/>
              <w:right w:val="single" w:sz="4" w:space="0" w:color="auto"/>
            </w:tcBorders>
          </w:tcPr>
          <w:p w14:paraId="2819D1FC" w14:textId="77777777" w:rsidR="00AF30A5" w:rsidRDefault="00AF30A5" w:rsidP="00490103">
            <w:pPr>
              <w:spacing w:before="40"/>
              <w:rPr>
                <w:sz w:val="24"/>
                <w:szCs w:val="24"/>
              </w:rPr>
            </w:pPr>
          </w:p>
        </w:tc>
        <w:tc>
          <w:tcPr>
            <w:tcW w:w="3220" w:type="dxa"/>
            <w:vMerge/>
            <w:tcBorders>
              <w:top w:val="single" w:sz="4" w:space="0" w:color="auto"/>
              <w:left w:val="single" w:sz="4" w:space="0" w:color="auto"/>
              <w:bottom w:val="single" w:sz="4" w:space="0" w:color="auto"/>
              <w:right w:val="single" w:sz="8" w:space="0" w:color="auto"/>
            </w:tcBorders>
          </w:tcPr>
          <w:p w14:paraId="2819D1FD" w14:textId="77777777" w:rsidR="00AF30A5" w:rsidRDefault="00AF30A5"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1FE" w14:textId="5C5DD9C3" w:rsidR="00AF30A5" w:rsidRDefault="00AF30A5" w:rsidP="00490103">
            <w:pPr>
              <w:spacing w:before="40"/>
              <w:ind w:left="100"/>
              <w:rPr>
                <w:sz w:val="20"/>
                <w:szCs w:val="20"/>
              </w:rPr>
            </w:pPr>
            <w:r>
              <w:rPr>
                <w:rFonts w:eastAsia="Times New Roman"/>
                <w:sz w:val="18"/>
                <w:szCs w:val="18"/>
              </w:rPr>
              <w:t>Chromocult</w:t>
            </w:r>
            <w:r>
              <w:rPr>
                <w:rFonts w:eastAsia="Times New Roman"/>
                <w:sz w:val="24"/>
                <w:szCs w:val="24"/>
                <w:vertAlign w:val="superscript"/>
              </w:rPr>
              <w:t>2,4</w:t>
            </w:r>
          </w:p>
        </w:tc>
        <w:tc>
          <w:tcPr>
            <w:tcW w:w="2600" w:type="dxa"/>
            <w:tcBorders>
              <w:top w:val="single" w:sz="4" w:space="0" w:color="auto"/>
              <w:left w:val="single" w:sz="4" w:space="0" w:color="auto"/>
              <w:bottom w:val="single" w:sz="4" w:space="0" w:color="auto"/>
              <w:right w:val="single" w:sz="8" w:space="0" w:color="auto"/>
            </w:tcBorders>
          </w:tcPr>
          <w:p w14:paraId="2819D1FF" w14:textId="77777777" w:rsidR="00AF30A5" w:rsidRDefault="00AF30A5" w:rsidP="00490103">
            <w:pPr>
              <w:spacing w:before="40"/>
              <w:rPr>
                <w:sz w:val="24"/>
                <w:szCs w:val="24"/>
              </w:rPr>
            </w:pPr>
          </w:p>
        </w:tc>
      </w:tr>
      <w:tr w:rsidR="0087484A" w14:paraId="2819D20C" w14:textId="77777777" w:rsidTr="00490103">
        <w:trPr>
          <w:trHeight w:val="653"/>
        </w:trPr>
        <w:tc>
          <w:tcPr>
            <w:tcW w:w="1680" w:type="dxa"/>
            <w:vMerge/>
            <w:tcBorders>
              <w:left w:val="single" w:sz="8" w:space="0" w:color="auto"/>
              <w:right w:val="single" w:sz="4" w:space="0" w:color="auto"/>
            </w:tcBorders>
            <w:vAlign w:val="bottom"/>
          </w:tcPr>
          <w:p w14:paraId="2819D208" w14:textId="77777777" w:rsidR="0087484A" w:rsidRDefault="0087484A" w:rsidP="00490103">
            <w:pPr>
              <w:spacing w:before="40"/>
              <w:rPr>
                <w:sz w:val="24"/>
                <w:szCs w:val="24"/>
              </w:rPr>
            </w:pPr>
          </w:p>
        </w:tc>
        <w:tc>
          <w:tcPr>
            <w:tcW w:w="3220" w:type="dxa"/>
            <w:vMerge w:val="restart"/>
            <w:tcBorders>
              <w:top w:val="single" w:sz="4" w:space="0" w:color="auto"/>
              <w:left w:val="single" w:sz="4" w:space="0" w:color="auto"/>
              <w:right w:val="single" w:sz="8" w:space="0" w:color="auto"/>
            </w:tcBorders>
          </w:tcPr>
          <w:p w14:paraId="2819D209" w14:textId="378AC650" w:rsidR="0087484A" w:rsidRDefault="0087484A" w:rsidP="00490103">
            <w:pPr>
              <w:spacing w:before="40"/>
              <w:rPr>
                <w:sz w:val="20"/>
                <w:szCs w:val="20"/>
              </w:rPr>
            </w:pPr>
            <w:r>
              <w:rPr>
                <w:rFonts w:eastAsia="Times New Roman"/>
                <w:sz w:val="18"/>
                <w:szCs w:val="18"/>
              </w:rPr>
              <w:t>Enzyme Substrate Methods</w:t>
            </w:r>
          </w:p>
        </w:tc>
        <w:tc>
          <w:tcPr>
            <w:tcW w:w="2700" w:type="dxa"/>
            <w:vMerge w:val="restart"/>
            <w:tcBorders>
              <w:top w:val="single" w:sz="4" w:space="0" w:color="auto"/>
              <w:bottom w:val="single" w:sz="4" w:space="0" w:color="auto"/>
              <w:right w:val="single" w:sz="4" w:space="0" w:color="auto"/>
            </w:tcBorders>
          </w:tcPr>
          <w:p w14:paraId="2819D20A" w14:textId="7313CDDB" w:rsidR="0087484A" w:rsidRDefault="0087484A" w:rsidP="00490103">
            <w:pPr>
              <w:spacing w:before="40"/>
              <w:ind w:left="100"/>
              <w:rPr>
                <w:sz w:val="20"/>
                <w:szCs w:val="20"/>
              </w:rPr>
            </w:pPr>
            <w:r>
              <w:rPr>
                <w:rFonts w:eastAsia="Times New Roman"/>
                <w:sz w:val="18"/>
                <w:szCs w:val="18"/>
              </w:rPr>
              <w:t>Colilert®</w:t>
            </w:r>
          </w:p>
        </w:tc>
        <w:tc>
          <w:tcPr>
            <w:tcW w:w="2600" w:type="dxa"/>
            <w:tcBorders>
              <w:top w:val="single" w:sz="4" w:space="0" w:color="auto"/>
              <w:left w:val="single" w:sz="4" w:space="0" w:color="auto"/>
              <w:bottom w:val="single" w:sz="4" w:space="0" w:color="auto"/>
              <w:right w:val="single" w:sz="8" w:space="0" w:color="auto"/>
            </w:tcBorders>
          </w:tcPr>
          <w:p w14:paraId="2819D20B" w14:textId="7BE8AC52" w:rsidR="0087484A" w:rsidRDefault="0087484A" w:rsidP="00490103">
            <w:pPr>
              <w:spacing w:before="40"/>
              <w:ind w:left="100"/>
              <w:rPr>
                <w:sz w:val="20"/>
                <w:szCs w:val="20"/>
              </w:rPr>
            </w:pPr>
            <w:r>
              <w:rPr>
                <w:rFonts w:eastAsia="Times New Roman"/>
                <w:sz w:val="18"/>
                <w:szCs w:val="18"/>
              </w:rPr>
              <w:t>Standard Methods 9223 B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2, 5</w:t>
            </w:r>
          </w:p>
        </w:tc>
      </w:tr>
      <w:tr w:rsidR="0087484A" w14:paraId="3E577064" w14:textId="77777777" w:rsidTr="00490103">
        <w:trPr>
          <w:trHeight w:val="559"/>
        </w:trPr>
        <w:tc>
          <w:tcPr>
            <w:tcW w:w="1680" w:type="dxa"/>
            <w:vMerge/>
            <w:tcBorders>
              <w:left w:val="single" w:sz="8" w:space="0" w:color="auto"/>
              <w:right w:val="single" w:sz="4" w:space="0" w:color="auto"/>
            </w:tcBorders>
            <w:vAlign w:val="bottom"/>
          </w:tcPr>
          <w:p w14:paraId="23B84CF6" w14:textId="77777777" w:rsidR="0087484A" w:rsidRDefault="0087484A" w:rsidP="00490103">
            <w:pPr>
              <w:spacing w:before="40"/>
              <w:rPr>
                <w:sz w:val="24"/>
                <w:szCs w:val="24"/>
              </w:rPr>
            </w:pPr>
          </w:p>
        </w:tc>
        <w:tc>
          <w:tcPr>
            <w:tcW w:w="3220" w:type="dxa"/>
            <w:vMerge/>
            <w:tcBorders>
              <w:left w:val="single" w:sz="4" w:space="0" w:color="auto"/>
              <w:right w:val="single" w:sz="8" w:space="0" w:color="auto"/>
            </w:tcBorders>
          </w:tcPr>
          <w:p w14:paraId="706D3A67" w14:textId="77777777" w:rsidR="0087484A" w:rsidRDefault="0087484A" w:rsidP="00490103">
            <w:pPr>
              <w:spacing w:before="40"/>
              <w:rPr>
                <w:sz w:val="24"/>
                <w:szCs w:val="24"/>
              </w:rPr>
            </w:pPr>
          </w:p>
        </w:tc>
        <w:tc>
          <w:tcPr>
            <w:tcW w:w="2700" w:type="dxa"/>
            <w:vMerge/>
            <w:tcBorders>
              <w:top w:val="single" w:sz="4" w:space="0" w:color="auto"/>
              <w:bottom w:val="single" w:sz="4" w:space="0" w:color="auto"/>
              <w:right w:val="single" w:sz="4" w:space="0" w:color="auto"/>
            </w:tcBorders>
          </w:tcPr>
          <w:p w14:paraId="296674BC" w14:textId="77777777" w:rsidR="0087484A" w:rsidRDefault="0087484A" w:rsidP="00490103">
            <w:pPr>
              <w:spacing w:before="40"/>
              <w:ind w:left="100"/>
              <w:rPr>
                <w:rFonts w:eastAsia="Times New Roman"/>
                <w:sz w:val="18"/>
                <w:szCs w:val="18"/>
              </w:rPr>
            </w:pPr>
          </w:p>
        </w:tc>
        <w:tc>
          <w:tcPr>
            <w:tcW w:w="2600" w:type="dxa"/>
            <w:tcBorders>
              <w:top w:val="single" w:sz="4" w:space="0" w:color="auto"/>
              <w:left w:val="single" w:sz="4" w:space="0" w:color="auto"/>
              <w:bottom w:val="single" w:sz="4" w:space="0" w:color="auto"/>
              <w:right w:val="single" w:sz="8" w:space="0" w:color="auto"/>
            </w:tcBorders>
          </w:tcPr>
          <w:p w14:paraId="5A9918C0" w14:textId="5A658FA1" w:rsidR="0087484A" w:rsidRDefault="00EB5605" w:rsidP="00490103">
            <w:pPr>
              <w:spacing w:before="40"/>
              <w:ind w:left="100"/>
              <w:rPr>
                <w:rFonts w:eastAsia="Times New Roman"/>
                <w:sz w:val="18"/>
                <w:szCs w:val="18"/>
              </w:rPr>
            </w:pPr>
            <w:r>
              <w:rPr>
                <w:rFonts w:eastAsia="Times New Roman"/>
                <w:sz w:val="18"/>
                <w:szCs w:val="18"/>
              </w:rPr>
              <w:t>Standard Methods Online 9223 B-97</w:t>
            </w:r>
            <w:r>
              <w:rPr>
                <w:rFonts w:eastAsia="Times New Roman"/>
                <w:sz w:val="24"/>
                <w:szCs w:val="24"/>
                <w:vertAlign w:val="superscript"/>
              </w:rPr>
              <w:t>2, 5</w:t>
            </w:r>
          </w:p>
        </w:tc>
      </w:tr>
      <w:tr w:rsidR="00490103" w14:paraId="2819D218" w14:textId="77777777" w:rsidTr="00490103">
        <w:trPr>
          <w:trHeight w:val="559"/>
        </w:trPr>
        <w:tc>
          <w:tcPr>
            <w:tcW w:w="1680" w:type="dxa"/>
            <w:vMerge/>
            <w:tcBorders>
              <w:left w:val="single" w:sz="8" w:space="0" w:color="auto"/>
              <w:right w:val="single" w:sz="4" w:space="0" w:color="auto"/>
            </w:tcBorders>
            <w:vAlign w:val="bottom"/>
          </w:tcPr>
          <w:p w14:paraId="2819D214" w14:textId="77777777" w:rsidR="00490103" w:rsidRDefault="00490103" w:rsidP="00490103">
            <w:pPr>
              <w:spacing w:before="40"/>
              <w:rPr>
                <w:sz w:val="24"/>
                <w:szCs w:val="24"/>
              </w:rPr>
            </w:pPr>
          </w:p>
        </w:tc>
        <w:tc>
          <w:tcPr>
            <w:tcW w:w="3220" w:type="dxa"/>
            <w:vMerge/>
            <w:tcBorders>
              <w:left w:val="single" w:sz="4" w:space="0" w:color="auto"/>
              <w:right w:val="single" w:sz="8" w:space="0" w:color="auto"/>
            </w:tcBorders>
          </w:tcPr>
          <w:p w14:paraId="2819D215" w14:textId="77777777" w:rsidR="00490103" w:rsidRDefault="00490103" w:rsidP="00490103">
            <w:pPr>
              <w:spacing w:before="40"/>
              <w:rPr>
                <w:sz w:val="24"/>
                <w:szCs w:val="24"/>
              </w:rPr>
            </w:pPr>
          </w:p>
        </w:tc>
        <w:tc>
          <w:tcPr>
            <w:tcW w:w="2700" w:type="dxa"/>
            <w:vMerge w:val="restart"/>
            <w:tcBorders>
              <w:top w:val="single" w:sz="4" w:space="0" w:color="auto"/>
              <w:bottom w:val="single" w:sz="4" w:space="0" w:color="auto"/>
              <w:right w:val="single" w:sz="4" w:space="0" w:color="auto"/>
            </w:tcBorders>
          </w:tcPr>
          <w:p w14:paraId="2819D216" w14:textId="59CD3A80" w:rsidR="00490103" w:rsidRDefault="00490103" w:rsidP="00490103">
            <w:pPr>
              <w:spacing w:before="40"/>
              <w:ind w:left="100"/>
              <w:rPr>
                <w:sz w:val="20"/>
                <w:szCs w:val="20"/>
              </w:rPr>
            </w:pPr>
            <w:r>
              <w:rPr>
                <w:rFonts w:eastAsia="Times New Roman"/>
                <w:sz w:val="18"/>
                <w:szCs w:val="18"/>
              </w:rPr>
              <w:t>Colisure®</w:t>
            </w:r>
          </w:p>
        </w:tc>
        <w:tc>
          <w:tcPr>
            <w:tcW w:w="2600" w:type="dxa"/>
            <w:tcBorders>
              <w:top w:val="single" w:sz="4" w:space="0" w:color="auto"/>
              <w:left w:val="single" w:sz="4" w:space="0" w:color="auto"/>
              <w:bottom w:val="single" w:sz="4" w:space="0" w:color="auto"/>
              <w:right w:val="single" w:sz="8" w:space="0" w:color="auto"/>
            </w:tcBorders>
          </w:tcPr>
          <w:p w14:paraId="2819D217" w14:textId="272E4B0D" w:rsidR="00490103" w:rsidRDefault="00490103" w:rsidP="00490103">
            <w:pPr>
              <w:spacing w:before="40"/>
              <w:ind w:left="100"/>
              <w:rPr>
                <w:sz w:val="20"/>
                <w:szCs w:val="20"/>
              </w:rPr>
            </w:pPr>
            <w:r>
              <w:rPr>
                <w:rFonts w:eastAsia="Times New Roman"/>
                <w:sz w:val="18"/>
                <w:szCs w:val="18"/>
              </w:rPr>
              <w:t>Standard Methods 9223 B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2, 5, 6</w:t>
            </w:r>
          </w:p>
        </w:tc>
      </w:tr>
      <w:tr w:rsidR="00490103" w14:paraId="6CB047A1" w14:textId="77777777" w:rsidTr="00490103">
        <w:trPr>
          <w:trHeight w:val="559"/>
        </w:trPr>
        <w:tc>
          <w:tcPr>
            <w:tcW w:w="1680" w:type="dxa"/>
            <w:vMerge/>
            <w:tcBorders>
              <w:left w:val="single" w:sz="8" w:space="0" w:color="auto"/>
              <w:right w:val="single" w:sz="4" w:space="0" w:color="auto"/>
            </w:tcBorders>
            <w:vAlign w:val="bottom"/>
          </w:tcPr>
          <w:p w14:paraId="188B7FE1" w14:textId="77777777" w:rsidR="00490103" w:rsidRDefault="00490103" w:rsidP="00490103">
            <w:pPr>
              <w:spacing w:before="40"/>
              <w:rPr>
                <w:sz w:val="24"/>
                <w:szCs w:val="24"/>
              </w:rPr>
            </w:pPr>
          </w:p>
        </w:tc>
        <w:tc>
          <w:tcPr>
            <w:tcW w:w="3220" w:type="dxa"/>
            <w:vMerge/>
            <w:tcBorders>
              <w:left w:val="single" w:sz="4" w:space="0" w:color="auto"/>
              <w:right w:val="single" w:sz="8" w:space="0" w:color="auto"/>
            </w:tcBorders>
          </w:tcPr>
          <w:p w14:paraId="3AB58D17" w14:textId="77777777" w:rsidR="00490103" w:rsidRDefault="00490103" w:rsidP="00490103">
            <w:pPr>
              <w:spacing w:before="40"/>
              <w:rPr>
                <w:sz w:val="24"/>
                <w:szCs w:val="24"/>
              </w:rPr>
            </w:pPr>
          </w:p>
        </w:tc>
        <w:tc>
          <w:tcPr>
            <w:tcW w:w="2700" w:type="dxa"/>
            <w:vMerge/>
            <w:tcBorders>
              <w:top w:val="single" w:sz="4" w:space="0" w:color="auto"/>
              <w:bottom w:val="single" w:sz="4" w:space="0" w:color="auto"/>
              <w:right w:val="single" w:sz="4" w:space="0" w:color="auto"/>
            </w:tcBorders>
          </w:tcPr>
          <w:p w14:paraId="61F28797" w14:textId="77777777" w:rsidR="00490103" w:rsidRDefault="00490103" w:rsidP="00490103">
            <w:pPr>
              <w:spacing w:before="40"/>
              <w:ind w:left="100"/>
              <w:rPr>
                <w:rFonts w:eastAsia="Times New Roman"/>
                <w:sz w:val="18"/>
                <w:szCs w:val="18"/>
              </w:rPr>
            </w:pPr>
          </w:p>
        </w:tc>
        <w:tc>
          <w:tcPr>
            <w:tcW w:w="2600" w:type="dxa"/>
            <w:tcBorders>
              <w:top w:val="single" w:sz="4" w:space="0" w:color="auto"/>
              <w:left w:val="single" w:sz="4" w:space="0" w:color="auto"/>
              <w:bottom w:val="single" w:sz="4" w:space="0" w:color="auto"/>
              <w:right w:val="single" w:sz="8" w:space="0" w:color="auto"/>
            </w:tcBorders>
          </w:tcPr>
          <w:p w14:paraId="30489CB3" w14:textId="0785B47B" w:rsidR="00490103" w:rsidRDefault="00464EA9" w:rsidP="00490103">
            <w:pPr>
              <w:spacing w:before="40"/>
              <w:ind w:left="100"/>
              <w:rPr>
                <w:rFonts w:eastAsia="Times New Roman"/>
                <w:sz w:val="18"/>
                <w:szCs w:val="18"/>
              </w:rPr>
            </w:pPr>
            <w:r>
              <w:rPr>
                <w:rFonts w:eastAsia="Times New Roman"/>
                <w:sz w:val="18"/>
                <w:szCs w:val="18"/>
              </w:rPr>
              <w:t>Standard Methods Online 9223 B-97</w:t>
            </w:r>
            <w:r>
              <w:rPr>
                <w:rFonts w:eastAsia="Times New Roman"/>
                <w:sz w:val="24"/>
                <w:szCs w:val="24"/>
                <w:vertAlign w:val="superscript"/>
              </w:rPr>
              <w:t>2, 5, 6</w:t>
            </w:r>
          </w:p>
        </w:tc>
      </w:tr>
      <w:tr w:rsidR="0087484A" w14:paraId="2819D224" w14:textId="77777777" w:rsidTr="009C7205">
        <w:trPr>
          <w:trHeight w:val="432"/>
        </w:trPr>
        <w:tc>
          <w:tcPr>
            <w:tcW w:w="1680" w:type="dxa"/>
            <w:vMerge/>
            <w:tcBorders>
              <w:left w:val="single" w:sz="8" w:space="0" w:color="auto"/>
              <w:right w:val="single" w:sz="4" w:space="0" w:color="auto"/>
            </w:tcBorders>
            <w:vAlign w:val="bottom"/>
          </w:tcPr>
          <w:p w14:paraId="2819D220" w14:textId="77777777" w:rsidR="0087484A" w:rsidRDefault="0087484A" w:rsidP="00490103">
            <w:pPr>
              <w:spacing w:before="40"/>
              <w:rPr>
                <w:sz w:val="24"/>
                <w:szCs w:val="24"/>
              </w:rPr>
            </w:pPr>
          </w:p>
        </w:tc>
        <w:tc>
          <w:tcPr>
            <w:tcW w:w="3220" w:type="dxa"/>
            <w:vMerge/>
            <w:tcBorders>
              <w:left w:val="single" w:sz="4" w:space="0" w:color="auto"/>
              <w:right w:val="single" w:sz="8" w:space="0" w:color="auto"/>
            </w:tcBorders>
          </w:tcPr>
          <w:p w14:paraId="2819D221" w14:textId="77777777" w:rsidR="0087484A" w:rsidRDefault="0087484A"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222" w14:textId="314A341E" w:rsidR="0087484A" w:rsidRDefault="0087484A" w:rsidP="00490103">
            <w:pPr>
              <w:spacing w:before="40"/>
              <w:ind w:left="100"/>
              <w:rPr>
                <w:sz w:val="20"/>
                <w:szCs w:val="20"/>
              </w:rPr>
            </w:pPr>
            <w:r>
              <w:rPr>
                <w:rFonts w:eastAsia="Times New Roman"/>
                <w:sz w:val="18"/>
                <w:szCs w:val="18"/>
              </w:rPr>
              <w:t>E*Colite® Test</w:t>
            </w:r>
            <w:r>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8" w:space="0" w:color="auto"/>
            </w:tcBorders>
          </w:tcPr>
          <w:p w14:paraId="2819D223" w14:textId="2AFDB797" w:rsidR="0087484A" w:rsidRDefault="0087484A" w:rsidP="00490103">
            <w:pPr>
              <w:spacing w:before="40"/>
              <w:ind w:left="100"/>
              <w:rPr>
                <w:sz w:val="20"/>
                <w:szCs w:val="20"/>
              </w:rPr>
            </w:pPr>
          </w:p>
        </w:tc>
      </w:tr>
      <w:tr w:rsidR="0087484A" w14:paraId="2819D230" w14:textId="77777777" w:rsidTr="009C7205">
        <w:trPr>
          <w:trHeight w:val="432"/>
        </w:trPr>
        <w:tc>
          <w:tcPr>
            <w:tcW w:w="1680" w:type="dxa"/>
            <w:vMerge/>
            <w:tcBorders>
              <w:left w:val="single" w:sz="8" w:space="0" w:color="auto"/>
              <w:right w:val="single" w:sz="4" w:space="0" w:color="auto"/>
            </w:tcBorders>
            <w:vAlign w:val="bottom"/>
          </w:tcPr>
          <w:p w14:paraId="2819D22C" w14:textId="77777777" w:rsidR="0087484A" w:rsidRDefault="0087484A" w:rsidP="00490103">
            <w:pPr>
              <w:spacing w:before="40"/>
              <w:rPr>
                <w:sz w:val="24"/>
                <w:szCs w:val="24"/>
              </w:rPr>
            </w:pPr>
          </w:p>
        </w:tc>
        <w:tc>
          <w:tcPr>
            <w:tcW w:w="3220" w:type="dxa"/>
            <w:vMerge/>
            <w:tcBorders>
              <w:left w:val="single" w:sz="4" w:space="0" w:color="auto"/>
              <w:right w:val="single" w:sz="8" w:space="0" w:color="auto"/>
            </w:tcBorders>
          </w:tcPr>
          <w:p w14:paraId="2819D22D" w14:textId="77777777" w:rsidR="0087484A" w:rsidRDefault="0087484A"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22E" w14:textId="524BE3CE" w:rsidR="0087484A" w:rsidRDefault="0087484A" w:rsidP="00490103">
            <w:pPr>
              <w:spacing w:before="40"/>
              <w:ind w:left="100"/>
              <w:rPr>
                <w:sz w:val="20"/>
                <w:szCs w:val="20"/>
              </w:rPr>
            </w:pPr>
            <w:r>
              <w:rPr>
                <w:rFonts w:eastAsia="Times New Roman"/>
                <w:sz w:val="18"/>
                <w:szCs w:val="18"/>
              </w:rPr>
              <w:t>Readycult® Test</w:t>
            </w:r>
            <w:r>
              <w:rPr>
                <w:rFonts w:eastAsia="Times New Roman"/>
                <w:sz w:val="24"/>
                <w:szCs w:val="24"/>
                <w:vertAlign w:val="superscript"/>
              </w:rPr>
              <w:t>2, 9</w:t>
            </w:r>
          </w:p>
        </w:tc>
        <w:tc>
          <w:tcPr>
            <w:tcW w:w="2600" w:type="dxa"/>
            <w:tcBorders>
              <w:top w:val="single" w:sz="4" w:space="0" w:color="auto"/>
              <w:left w:val="single" w:sz="4" w:space="0" w:color="auto"/>
              <w:bottom w:val="single" w:sz="4" w:space="0" w:color="auto"/>
              <w:right w:val="single" w:sz="8" w:space="0" w:color="auto"/>
            </w:tcBorders>
          </w:tcPr>
          <w:p w14:paraId="2819D22F" w14:textId="77777777" w:rsidR="0087484A" w:rsidRDefault="0087484A" w:rsidP="00490103">
            <w:pPr>
              <w:spacing w:before="40"/>
              <w:rPr>
                <w:sz w:val="24"/>
                <w:szCs w:val="24"/>
              </w:rPr>
            </w:pPr>
          </w:p>
        </w:tc>
      </w:tr>
      <w:tr w:rsidR="0087484A" w14:paraId="2819D236" w14:textId="77777777" w:rsidTr="009C7205">
        <w:trPr>
          <w:trHeight w:val="432"/>
        </w:trPr>
        <w:tc>
          <w:tcPr>
            <w:tcW w:w="1680" w:type="dxa"/>
            <w:vMerge/>
            <w:tcBorders>
              <w:left w:val="single" w:sz="8" w:space="0" w:color="auto"/>
              <w:bottom w:val="single" w:sz="4" w:space="0" w:color="auto"/>
              <w:right w:val="single" w:sz="4" w:space="0" w:color="auto"/>
            </w:tcBorders>
            <w:vAlign w:val="bottom"/>
          </w:tcPr>
          <w:p w14:paraId="2819D232" w14:textId="77777777" w:rsidR="0087484A" w:rsidRDefault="0087484A" w:rsidP="00490103">
            <w:pPr>
              <w:spacing w:before="40"/>
              <w:rPr>
                <w:sz w:val="24"/>
                <w:szCs w:val="24"/>
              </w:rPr>
            </w:pPr>
          </w:p>
        </w:tc>
        <w:tc>
          <w:tcPr>
            <w:tcW w:w="3220" w:type="dxa"/>
            <w:vMerge/>
            <w:tcBorders>
              <w:left w:val="single" w:sz="4" w:space="0" w:color="auto"/>
              <w:bottom w:val="single" w:sz="4" w:space="0" w:color="auto"/>
              <w:right w:val="single" w:sz="8" w:space="0" w:color="auto"/>
            </w:tcBorders>
          </w:tcPr>
          <w:p w14:paraId="2819D233" w14:textId="77777777" w:rsidR="0087484A" w:rsidRDefault="0087484A"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234" w14:textId="7B01E253" w:rsidR="0087484A" w:rsidRDefault="002B2AC7" w:rsidP="00490103">
            <w:pPr>
              <w:spacing w:before="40"/>
              <w:ind w:left="100"/>
              <w:rPr>
                <w:sz w:val="20"/>
                <w:szCs w:val="20"/>
              </w:rPr>
            </w:pPr>
            <w:r>
              <w:rPr>
                <w:rFonts w:eastAsia="Times New Roman"/>
                <w:sz w:val="18"/>
                <w:szCs w:val="18"/>
              </w:rPr>
              <w:t xml:space="preserve">modified </w:t>
            </w:r>
            <w:r w:rsidR="0087484A">
              <w:rPr>
                <w:rFonts w:eastAsia="Times New Roman"/>
                <w:sz w:val="18"/>
                <w:szCs w:val="18"/>
              </w:rPr>
              <w:t>Colitag® Test</w:t>
            </w:r>
            <w:r w:rsidR="0087484A">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8" w:space="0" w:color="auto"/>
            </w:tcBorders>
          </w:tcPr>
          <w:p w14:paraId="2819D235" w14:textId="77777777" w:rsidR="0087484A" w:rsidRDefault="0087484A" w:rsidP="00490103">
            <w:pPr>
              <w:spacing w:before="40"/>
              <w:rPr>
                <w:sz w:val="24"/>
                <w:szCs w:val="24"/>
              </w:rPr>
            </w:pPr>
          </w:p>
        </w:tc>
      </w:tr>
      <w:tr w:rsidR="001170E9" w14:paraId="2819D241" w14:textId="77777777" w:rsidTr="009C7205">
        <w:trPr>
          <w:trHeight w:val="933"/>
        </w:trPr>
        <w:tc>
          <w:tcPr>
            <w:tcW w:w="1680" w:type="dxa"/>
            <w:vMerge w:val="restart"/>
            <w:tcBorders>
              <w:top w:val="single" w:sz="4" w:space="0" w:color="auto"/>
              <w:left w:val="single" w:sz="4" w:space="0" w:color="auto"/>
              <w:bottom w:val="single" w:sz="4" w:space="0" w:color="auto"/>
              <w:right w:val="single" w:sz="4" w:space="0" w:color="auto"/>
            </w:tcBorders>
          </w:tcPr>
          <w:p w14:paraId="2819D23D" w14:textId="77777777" w:rsidR="001170E9" w:rsidRDefault="001170E9" w:rsidP="009C7205">
            <w:pPr>
              <w:spacing w:before="40"/>
              <w:ind w:left="120"/>
              <w:rPr>
                <w:sz w:val="20"/>
                <w:szCs w:val="20"/>
              </w:rPr>
            </w:pPr>
            <w:r>
              <w:rPr>
                <w:rFonts w:eastAsia="Times New Roman"/>
                <w:i/>
                <w:iCs/>
                <w:sz w:val="18"/>
                <w:szCs w:val="18"/>
              </w:rPr>
              <w:t>Escherichia coli</w:t>
            </w:r>
          </w:p>
        </w:tc>
        <w:tc>
          <w:tcPr>
            <w:tcW w:w="3220" w:type="dxa"/>
            <w:vMerge w:val="restart"/>
            <w:tcBorders>
              <w:top w:val="single" w:sz="4" w:space="0" w:color="auto"/>
              <w:left w:val="single" w:sz="4" w:space="0" w:color="auto"/>
              <w:bottom w:val="single" w:sz="4" w:space="0" w:color="auto"/>
              <w:right w:val="single" w:sz="4" w:space="0" w:color="auto"/>
            </w:tcBorders>
          </w:tcPr>
          <w:p w14:paraId="2819D23E" w14:textId="78C47985" w:rsidR="001170E9" w:rsidRDefault="001170E9" w:rsidP="009C7205">
            <w:pPr>
              <w:spacing w:before="40"/>
              <w:rPr>
                <w:sz w:val="20"/>
                <w:szCs w:val="20"/>
              </w:rPr>
            </w:pPr>
            <w:r>
              <w:rPr>
                <w:rFonts w:eastAsia="Times New Roman"/>
                <w:i/>
                <w:iCs/>
                <w:sz w:val="18"/>
                <w:szCs w:val="18"/>
              </w:rPr>
              <w:t xml:space="preserve">Escherichia coli </w:t>
            </w:r>
            <w:r>
              <w:rPr>
                <w:rFonts w:eastAsia="Times New Roman"/>
                <w:sz w:val="18"/>
                <w:szCs w:val="18"/>
              </w:rPr>
              <w:t>Partition Method</w:t>
            </w:r>
          </w:p>
        </w:tc>
        <w:tc>
          <w:tcPr>
            <w:tcW w:w="2700" w:type="dxa"/>
            <w:tcBorders>
              <w:top w:val="single" w:sz="4" w:space="0" w:color="auto"/>
              <w:left w:val="single" w:sz="4" w:space="0" w:color="auto"/>
              <w:bottom w:val="single" w:sz="4" w:space="0" w:color="auto"/>
              <w:right w:val="single" w:sz="4" w:space="0" w:color="auto"/>
            </w:tcBorders>
          </w:tcPr>
          <w:p w14:paraId="2819D23F" w14:textId="119C5354" w:rsidR="001170E9" w:rsidRDefault="001170E9" w:rsidP="009C7205">
            <w:pPr>
              <w:spacing w:before="40"/>
              <w:ind w:left="100"/>
              <w:rPr>
                <w:sz w:val="20"/>
                <w:szCs w:val="20"/>
              </w:rPr>
            </w:pPr>
            <w:r>
              <w:rPr>
                <w:rFonts w:eastAsia="Times New Roman"/>
                <w:sz w:val="18"/>
                <w:szCs w:val="18"/>
              </w:rPr>
              <w:t>EC broth with MUG (EC-MUG)</w:t>
            </w:r>
          </w:p>
        </w:tc>
        <w:tc>
          <w:tcPr>
            <w:tcW w:w="2600" w:type="dxa"/>
            <w:tcBorders>
              <w:top w:val="single" w:sz="4" w:space="0" w:color="auto"/>
              <w:left w:val="single" w:sz="4" w:space="0" w:color="auto"/>
              <w:bottom w:val="single" w:sz="4" w:space="0" w:color="auto"/>
              <w:right w:val="single" w:sz="4" w:space="0" w:color="auto"/>
            </w:tcBorders>
          </w:tcPr>
          <w:p w14:paraId="2819D240" w14:textId="66B85A99" w:rsidR="001170E9" w:rsidRDefault="001170E9" w:rsidP="009C7205">
            <w:pPr>
              <w:spacing w:before="40"/>
              <w:ind w:left="100"/>
              <w:rPr>
                <w:sz w:val="20"/>
                <w:szCs w:val="20"/>
              </w:rPr>
            </w:pPr>
            <w:r>
              <w:rPr>
                <w:rFonts w:eastAsia="Times New Roman"/>
                <w:sz w:val="18"/>
                <w:szCs w:val="18"/>
              </w:rPr>
              <w:t>Standard Methods 9222 G.1 c(2)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2, 8</w:t>
            </w:r>
          </w:p>
        </w:tc>
      </w:tr>
      <w:tr w:rsidR="00D82E8F" w14:paraId="2819D253" w14:textId="77777777" w:rsidTr="00DE2C37">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4F" w14:textId="77777777" w:rsidR="00D82E8F" w:rsidRDefault="00D82E8F" w:rsidP="009C7205">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50" w14:textId="77777777" w:rsidR="00D82E8F" w:rsidRDefault="00D82E8F" w:rsidP="009C7205">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51" w14:textId="05AE248B" w:rsidR="00D82E8F" w:rsidRDefault="00D82E8F" w:rsidP="009C7205">
            <w:pPr>
              <w:spacing w:before="40"/>
              <w:ind w:left="100"/>
              <w:rPr>
                <w:sz w:val="20"/>
                <w:szCs w:val="20"/>
              </w:rPr>
            </w:pPr>
            <w:r>
              <w:rPr>
                <w:rFonts w:eastAsia="Times New Roman"/>
                <w:sz w:val="18"/>
                <w:szCs w:val="18"/>
              </w:rPr>
              <w:t>NA-MUG medium</w:t>
            </w:r>
          </w:p>
        </w:tc>
        <w:tc>
          <w:tcPr>
            <w:tcW w:w="2600" w:type="dxa"/>
            <w:tcBorders>
              <w:top w:val="single" w:sz="4" w:space="0" w:color="auto"/>
              <w:left w:val="single" w:sz="4" w:space="0" w:color="auto"/>
              <w:bottom w:val="single" w:sz="4" w:space="0" w:color="auto"/>
              <w:right w:val="single" w:sz="4" w:space="0" w:color="auto"/>
            </w:tcBorders>
            <w:vAlign w:val="bottom"/>
          </w:tcPr>
          <w:p w14:paraId="2819D252" w14:textId="04EBC9CB" w:rsidR="00D82E8F" w:rsidRDefault="00D82E8F" w:rsidP="009C7205">
            <w:pPr>
              <w:spacing w:before="40"/>
              <w:ind w:left="100"/>
              <w:rPr>
                <w:sz w:val="20"/>
                <w:szCs w:val="20"/>
              </w:rPr>
            </w:pPr>
            <w:r>
              <w:rPr>
                <w:rFonts w:eastAsia="Times New Roman"/>
                <w:sz w:val="18"/>
                <w:szCs w:val="18"/>
              </w:rPr>
              <w:t>Standard Methods 9222 G.1c(1)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w:t>
            </w:r>
          </w:p>
        </w:tc>
      </w:tr>
      <w:tr w:rsidR="005C13C3" w14:paraId="2819D25F" w14:textId="77777777" w:rsidTr="00905F85">
        <w:trPr>
          <w:trHeight w:val="559"/>
        </w:trPr>
        <w:tc>
          <w:tcPr>
            <w:tcW w:w="1680" w:type="dxa"/>
            <w:vMerge/>
            <w:tcBorders>
              <w:top w:val="single" w:sz="4" w:space="0" w:color="auto"/>
              <w:left w:val="single" w:sz="4" w:space="0" w:color="auto"/>
              <w:bottom w:val="single" w:sz="4" w:space="0" w:color="auto"/>
              <w:right w:val="single" w:sz="4" w:space="0" w:color="auto"/>
            </w:tcBorders>
            <w:vAlign w:val="bottom"/>
          </w:tcPr>
          <w:p w14:paraId="2819D25B" w14:textId="77777777" w:rsidR="005C13C3" w:rsidRDefault="005C13C3" w:rsidP="005C13C3">
            <w:pPr>
              <w:spacing w:before="40"/>
              <w:rPr>
                <w:sz w:val="24"/>
                <w:szCs w:val="24"/>
              </w:rPr>
            </w:pPr>
          </w:p>
        </w:tc>
        <w:tc>
          <w:tcPr>
            <w:tcW w:w="3220" w:type="dxa"/>
            <w:vMerge w:val="restart"/>
            <w:tcBorders>
              <w:top w:val="single" w:sz="4" w:space="0" w:color="auto"/>
              <w:left w:val="single" w:sz="4" w:space="0" w:color="auto"/>
              <w:bottom w:val="single" w:sz="4" w:space="0" w:color="auto"/>
              <w:right w:val="single" w:sz="4" w:space="0" w:color="auto"/>
            </w:tcBorders>
          </w:tcPr>
          <w:p w14:paraId="2819D25C" w14:textId="64A9269E" w:rsidR="005C13C3" w:rsidRDefault="005C13C3" w:rsidP="005C13C3">
            <w:pPr>
              <w:spacing w:before="40"/>
              <w:rPr>
                <w:sz w:val="24"/>
                <w:szCs w:val="24"/>
              </w:rPr>
            </w:pPr>
            <w:r>
              <w:rPr>
                <w:rFonts w:eastAsia="Times New Roman"/>
                <w:sz w:val="18"/>
                <w:szCs w:val="18"/>
              </w:rPr>
              <w:t>Membrane Filtration Methods</w:t>
            </w:r>
          </w:p>
        </w:tc>
        <w:tc>
          <w:tcPr>
            <w:tcW w:w="2700" w:type="dxa"/>
            <w:tcBorders>
              <w:top w:val="single" w:sz="4" w:space="0" w:color="auto"/>
              <w:left w:val="single" w:sz="4" w:space="0" w:color="auto"/>
              <w:bottom w:val="single" w:sz="4" w:space="0" w:color="auto"/>
              <w:right w:val="single" w:sz="4" w:space="0" w:color="auto"/>
            </w:tcBorders>
          </w:tcPr>
          <w:p w14:paraId="2819D25D" w14:textId="25AC3544" w:rsidR="005C13C3" w:rsidRDefault="005C13C3" w:rsidP="005C13C3">
            <w:pPr>
              <w:spacing w:before="40"/>
              <w:ind w:left="100"/>
              <w:rPr>
                <w:sz w:val="20"/>
                <w:szCs w:val="20"/>
              </w:rPr>
            </w:pPr>
            <w:r>
              <w:rPr>
                <w:rFonts w:eastAsia="Times New Roman"/>
                <w:sz w:val="18"/>
                <w:szCs w:val="18"/>
              </w:rPr>
              <w:t>Membrane Filtration using MI medium</w:t>
            </w:r>
          </w:p>
        </w:tc>
        <w:tc>
          <w:tcPr>
            <w:tcW w:w="2600" w:type="dxa"/>
            <w:tcBorders>
              <w:top w:val="single" w:sz="4" w:space="0" w:color="auto"/>
              <w:left w:val="single" w:sz="4" w:space="0" w:color="auto"/>
              <w:bottom w:val="single" w:sz="4" w:space="0" w:color="auto"/>
              <w:right w:val="single" w:sz="4" w:space="0" w:color="auto"/>
            </w:tcBorders>
            <w:vAlign w:val="center"/>
          </w:tcPr>
          <w:p w14:paraId="2819D25E" w14:textId="29C33D4F" w:rsidR="005C13C3" w:rsidRDefault="005C13C3" w:rsidP="005C13C3">
            <w:pPr>
              <w:spacing w:before="40"/>
              <w:rPr>
                <w:sz w:val="24"/>
                <w:szCs w:val="24"/>
              </w:rPr>
            </w:pPr>
            <w:r>
              <w:rPr>
                <w:rFonts w:eastAsia="Times New Roman"/>
                <w:sz w:val="18"/>
                <w:szCs w:val="18"/>
              </w:rPr>
              <w:t>EPA Method 1604</w:t>
            </w:r>
            <w:r>
              <w:rPr>
                <w:rFonts w:eastAsia="Times New Roman"/>
                <w:sz w:val="24"/>
                <w:szCs w:val="24"/>
                <w:vertAlign w:val="superscript"/>
              </w:rPr>
              <w:t>2</w:t>
            </w:r>
          </w:p>
        </w:tc>
      </w:tr>
      <w:tr w:rsidR="005C13C3" w14:paraId="2819D271" w14:textId="77777777" w:rsidTr="005C13C3">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6D"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6E"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6F" w14:textId="5A84392F" w:rsidR="005C13C3" w:rsidRDefault="005C13C3" w:rsidP="005C13C3">
            <w:pPr>
              <w:spacing w:before="40"/>
              <w:ind w:left="100"/>
              <w:rPr>
                <w:rFonts w:eastAsia="Times New Roman"/>
                <w:sz w:val="18"/>
                <w:szCs w:val="18"/>
              </w:rPr>
            </w:pPr>
            <w:r>
              <w:rPr>
                <w:rFonts w:eastAsia="Times New Roman"/>
                <w:sz w:val="18"/>
                <w:szCs w:val="18"/>
              </w:rPr>
              <w:t>m-ColiBlue24® Test</w:t>
            </w:r>
            <w:r>
              <w:rPr>
                <w:rFonts w:eastAsia="Times New Roman"/>
                <w:sz w:val="24"/>
                <w:szCs w:val="24"/>
                <w:vertAlign w:val="superscript"/>
              </w:rPr>
              <w:t>2, 4</w:t>
            </w:r>
          </w:p>
        </w:tc>
        <w:tc>
          <w:tcPr>
            <w:tcW w:w="2600" w:type="dxa"/>
            <w:tcBorders>
              <w:top w:val="single" w:sz="4" w:space="0" w:color="auto"/>
              <w:left w:val="single" w:sz="4" w:space="0" w:color="auto"/>
              <w:bottom w:val="single" w:sz="4" w:space="0" w:color="auto"/>
              <w:right w:val="single" w:sz="4" w:space="0" w:color="auto"/>
            </w:tcBorders>
            <w:vAlign w:val="center"/>
          </w:tcPr>
          <w:p w14:paraId="2819D270" w14:textId="7A22BEE5" w:rsidR="005C13C3" w:rsidRDefault="005C13C3" w:rsidP="005C13C3">
            <w:pPr>
              <w:spacing w:before="40"/>
              <w:rPr>
                <w:sz w:val="24"/>
                <w:szCs w:val="24"/>
              </w:rPr>
            </w:pPr>
          </w:p>
        </w:tc>
      </w:tr>
      <w:tr w:rsidR="005C13C3" w14:paraId="2819D277" w14:textId="77777777" w:rsidTr="009C7205">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73"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74"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75" w14:textId="1D92A4DB" w:rsidR="005C13C3" w:rsidRDefault="005C13C3" w:rsidP="005C13C3">
            <w:pPr>
              <w:spacing w:before="40"/>
              <w:ind w:left="100"/>
              <w:rPr>
                <w:sz w:val="20"/>
                <w:szCs w:val="20"/>
              </w:rPr>
            </w:pPr>
            <w:r>
              <w:rPr>
                <w:rFonts w:eastAsia="Times New Roman"/>
                <w:sz w:val="18"/>
                <w:szCs w:val="18"/>
              </w:rPr>
              <w:t>Chromocult</w:t>
            </w:r>
            <w:r>
              <w:rPr>
                <w:rFonts w:eastAsia="Times New Roman"/>
                <w:sz w:val="24"/>
                <w:szCs w:val="24"/>
                <w:vertAlign w:val="superscript"/>
              </w:rPr>
              <w:t>2, 4</w:t>
            </w:r>
          </w:p>
        </w:tc>
        <w:tc>
          <w:tcPr>
            <w:tcW w:w="2600" w:type="dxa"/>
            <w:tcBorders>
              <w:top w:val="single" w:sz="4" w:space="0" w:color="auto"/>
              <w:left w:val="single" w:sz="4" w:space="0" w:color="auto"/>
              <w:bottom w:val="single" w:sz="4" w:space="0" w:color="auto"/>
              <w:right w:val="single" w:sz="4" w:space="0" w:color="auto"/>
            </w:tcBorders>
            <w:vAlign w:val="bottom"/>
          </w:tcPr>
          <w:p w14:paraId="2819D276" w14:textId="77777777" w:rsidR="005C13C3" w:rsidRDefault="005C13C3" w:rsidP="005C13C3">
            <w:pPr>
              <w:spacing w:before="40"/>
              <w:rPr>
                <w:sz w:val="24"/>
                <w:szCs w:val="24"/>
              </w:rPr>
            </w:pPr>
          </w:p>
        </w:tc>
      </w:tr>
      <w:tr w:rsidR="005C13C3" w14:paraId="2819D27D" w14:textId="77777777" w:rsidTr="009C7205">
        <w:trPr>
          <w:trHeight w:val="840"/>
        </w:trPr>
        <w:tc>
          <w:tcPr>
            <w:tcW w:w="1680" w:type="dxa"/>
            <w:vMerge/>
            <w:tcBorders>
              <w:top w:val="single" w:sz="4" w:space="0" w:color="auto"/>
              <w:left w:val="single" w:sz="4" w:space="0" w:color="auto"/>
              <w:bottom w:val="single" w:sz="4" w:space="0" w:color="auto"/>
              <w:right w:val="single" w:sz="4" w:space="0" w:color="auto"/>
            </w:tcBorders>
            <w:vAlign w:val="bottom"/>
          </w:tcPr>
          <w:p w14:paraId="2819D279" w14:textId="77777777" w:rsidR="005C13C3" w:rsidRDefault="005C13C3" w:rsidP="005C13C3">
            <w:pPr>
              <w:spacing w:before="40"/>
              <w:rPr>
                <w:sz w:val="24"/>
                <w:szCs w:val="24"/>
              </w:rPr>
            </w:pPr>
          </w:p>
        </w:tc>
        <w:tc>
          <w:tcPr>
            <w:tcW w:w="3220" w:type="dxa"/>
            <w:vMerge w:val="restart"/>
            <w:tcBorders>
              <w:top w:val="single" w:sz="4" w:space="0" w:color="auto"/>
              <w:left w:val="single" w:sz="4" w:space="0" w:color="auto"/>
              <w:bottom w:val="single" w:sz="4" w:space="0" w:color="auto"/>
              <w:right w:val="single" w:sz="4" w:space="0" w:color="auto"/>
            </w:tcBorders>
          </w:tcPr>
          <w:p w14:paraId="2819D27A" w14:textId="6C2D09E8" w:rsidR="005C13C3" w:rsidRDefault="005C13C3" w:rsidP="005C13C3">
            <w:pPr>
              <w:spacing w:before="40"/>
              <w:rPr>
                <w:sz w:val="24"/>
                <w:szCs w:val="24"/>
              </w:rPr>
            </w:pPr>
            <w:r>
              <w:rPr>
                <w:rFonts w:eastAsia="Times New Roman"/>
                <w:sz w:val="18"/>
                <w:szCs w:val="18"/>
              </w:rPr>
              <w:t>Enzyme Substrate Methods</w:t>
            </w:r>
          </w:p>
        </w:tc>
        <w:tc>
          <w:tcPr>
            <w:tcW w:w="2700" w:type="dxa"/>
            <w:vMerge w:val="restart"/>
            <w:tcBorders>
              <w:top w:val="single" w:sz="4" w:space="0" w:color="auto"/>
              <w:left w:val="single" w:sz="4" w:space="0" w:color="auto"/>
              <w:bottom w:val="single" w:sz="4" w:space="0" w:color="auto"/>
              <w:right w:val="single" w:sz="4" w:space="0" w:color="auto"/>
            </w:tcBorders>
          </w:tcPr>
          <w:p w14:paraId="2819D27B" w14:textId="35359983" w:rsidR="005C13C3" w:rsidRDefault="005C13C3" w:rsidP="005C13C3">
            <w:pPr>
              <w:spacing w:before="40"/>
              <w:ind w:left="100"/>
              <w:rPr>
                <w:sz w:val="20"/>
                <w:szCs w:val="20"/>
              </w:rPr>
            </w:pPr>
            <w:r>
              <w:rPr>
                <w:rFonts w:eastAsia="Times New Roman"/>
                <w:sz w:val="18"/>
                <w:szCs w:val="18"/>
              </w:rPr>
              <w:t>Colilert®</w:t>
            </w:r>
          </w:p>
        </w:tc>
        <w:tc>
          <w:tcPr>
            <w:tcW w:w="2600" w:type="dxa"/>
            <w:tcBorders>
              <w:top w:val="single" w:sz="4" w:space="0" w:color="auto"/>
              <w:left w:val="single" w:sz="4" w:space="0" w:color="auto"/>
              <w:bottom w:val="single" w:sz="4" w:space="0" w:color="auto"/>
              <w:right w:val="single" w:sz="4" w:space="0" w:color="auto"/>
            </w:tcBorders>
          </w:tcPr>
          <w:p w14:paraId="2819D27C" w14:textId="0A8ADCFE" w:rsidR="005C13C3" w:rsidRDefault="005C13C3" w:rsidP="005C13C3">
            <w:pPr>
              <w:spacing w:before="40"/>
              <w:ind w:left="100"/>
              <w:rPr>
                <w:sz w:val="20"/>
                <w:szCs w:val="20"/>
              </w:rPr>
            </w:pPr>
            <w:r>
              <w:rPr>
                <w:rFonts w:eastAsia="Times New Roman"/>
                <w:sz w:val="18"/>
                <w:szCs w:val="18"/>
              </w:rPr>
              <w:t>Standard Methods 9223 B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2, 5</w:t>
            </w:r>
          </w:p>
        </w:tc>
      </w:tr>
      <w:tr w:rsidR="005C13C3" w14:paraId="2819D289" w14:textId="77777777" w:rsidTr="009C7205">
        <w:trPr>
          <w:trHeight w:val="559"/>
        </w:trPr>
        <w:tc>
          <w:tcPr>
            <w:tcW w:w="1680" w:type="dxa"/>
            <w:vMerge/>
            <w:tcBorders>
              <w:top w:val="single" w:sz="4" w:space="0" w:color="auto"/>
              <w:left w:val="single" w:sz="4" w:space="0" w:color="auto"/>
              <w:bottom w:val="single" w:sz="4" w:space="0" w:color="auto"/>
              <w:right w:val="single" w:sz="4" w:space="0" w:color="auto"/>
            </w:tcBorders>
            <w:vAlign w:val="bottom"/>
          </w:tcPr>
          <w:p w14:paraId="2819D285"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86" w14:textId="77777777" w:rsidR="005C13C3" w:rsidRDefault="005C13C3" w:rsidP="005C13C3">
            <w:pPr>
              <w:spacing w:before="40"/>
              <w:rPr>
                <w:sz w:val="24"/>
                <w:szCs w:val="24"/>
              </w:rPr>
            </w:pPr>
          </w:p>
        </w:tc>
        <w:tc>
          <w:tcPr>
            <w:tcW w:w="2700" w:type="dxa"/>
            <w:vMerge/>
            <w:tcBorders>
              <w:top w:val="single" w:sz="4" w:space="0" w:color="auto"/>
              <w:left w:val="single" w:sz="4" w:space="0" w:color="auto"/>
              <w:bottom w:val="single" w:sz="4" w:space="0" w:color="auto"/>
              <w:right w:val="single" w:sz="4" w:space="0" w:color="auto"/>
            </w:tcBorders>
            <w:vAlign w:val="bottom"/>
          </w:tcPr>
          <w:p w14:paraId="2819D287" w14:textId="56D17B15" w:rsidR="005C13C3" w:rsidRDefault="005C13C3" w:rsidP="005C13C3">
            <w:pPr>
              <w:spacing w:before="40"/>
              <w:ind w:left="100"/>
              <w:rPr>
                <w:sz w:val="20"/>
                <w:szCs w:val="20"/>
              </w:rPr>
            </w:pPr>
          </w:p>
        </w:tc>
        <w:tc>
          <w:tcPr>
            <w:tcW w:w="2600" w:type="dxa"/>
            <w:tcBorders>
              <w:top w:val="single" w:sz="4" w:space="0" w:color="auto"/>
              <w:left w:val="single" w:sz="4" w:space="0" w:color="auto"/>
              <w:bottom w:val="single" w:sz="4" w:space="0" w:color="auto"/>
              <w:right w:val="single" w:sz="4" w:space="0" w:color="auto"/>
            </w:tcBorders>
            <w:vAlign w:val="bottom"/>
          </w:tcPr>
          <w:p w14:paraId="2819D288" w14:textId="1C162724" w:rsidR="005C13C3" w:rsidRDefault="006C73EA" w:rsidP="005C13C3">
            <w:pPr>
              <w:spacing w:before="40"/>
              <w:ind w:left="100"/>
              <w:rPr>
                <w:sz w:val="20"/>
                <w:szCs w:val="20"/>
              </w:rPr>
            </w:pPr>
            <w:r>
              <w:rPr>
                <w:rFonts w:eastAsia="Times New Roman"/>
                <w:sz w:val="18"/>
                <w:szCs w:val="18"/>
              </w:rPr>
              <w:t>Standard Methods Online 9223 B-97</w:t>
            </w:r>
            <w:r>
              <w:rPr>
                <w:rFonts w:eastAsia="Times New Roman"/>
                <w:sz w:val="24"/>
                <w:szCs w:val="24"/>
                <w:vertAlign w:val="superscript"/>
              </w:rPr>
              <w:t>2, 5, 6</w:t>
            </w:r>
          </w:p>
        </w:tc>
      </w:tr>
      <w:tr w:rsidR="005C13C3" w14:paraId="2819D295" w14:textId="77777777" w:rsidTr="009C7205">
        <w:trPr>
          <w:trHeight w:val="559"/>
        </w:trPr>
        <w:tc>
          <w:tcPr>
            <w:tcW w:w="1680" w:type="dxa"/>
            <w:vMerge/>
            <w:tcBorders>
              <w:top w:val="single" w:sz="4" w:space="0" w:color="auto"/>
              <w:left w:val="single" w:sz="4" w:space="0" w:color="auto"/>
              <w:bottom w:val="single" w:sz="4" w:space="0" w:color="auto"/>
              <w:right w:val="single" w:sz="4" w:space="0" w:color="auto"/>
            </w:tcBorders>
            <w:vAlign w:val="bottom"/>
          </w:tcPr>
          <w:p w14:paraId="2819D291"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92" w14:textId="77777777" w:rsidR="005C13C3" w:rsidRDefault="005C13C3" w:rsidP="005C13C3">
            <w:pPr>
              <w:spacing w:before="40"/>
              <w:rPr>
                <w:sz w:val="24"/>
                <w:szCs w:val="24"/>
              </w:rPr>
            </w:pPr>
          </w:p>
        </w:tc>
        <w:tc>
          <w:tcPr>
            <w:tcW w:w="2700" w:type="dxa"/>
            <w:vMerge w:val="restart"/>
            <w:tcBorders>
              <w:top w:val="single" w:sz="4" w:space="0" w:color="auto"/>
              <w:left w:val="single" w:sz="4" w:space="0" w:color="auto"/>
              <w:bottom w:val="single" w:sz="4" w:space="0" w:color="auto"/>
              <w:right w:val="single" w:sz="4" w:space="0" w:color="auto"/>
            </w:tcBorders>
          </w:tcPr>
          <w:p w14:paraId="2819D293" w14:textId="4725A474" w:rsidR="005C13C3" w:rsidRDefault="005C13C3" w:rsidP="005C13C3">
            <w:pPr>
              <w:spacing w:before="40"/>
              <w:ind w:left="100"/>
              <w:rPr>
                <w:sz w:val="20"/>
                <w:szCs w:val="20"/>
              </w:rPr>
            </w:pPr>
            <w:r>
              <w:rPr>
                <w:rFonts w:eastAsia="Times New Roman"/>
                <w:sz w:val="18"/>
                <w:szCs w:val="18"/>
              </w:rPr>
              <w:t>Colisure®</w:t>
            </w:r>
          </w:p>
        </w:tc>
        <w:tc>
          <w:tcPr>
            <w:tcW w:w="2600" w:type="dxa"/>
            <w:tcBorders>
              <w:top w:val="single" w:sz="4" w:space="0" w:color="auto"/>
              <w:left w:val="single" w:sz="4" w:space="0" w:color="auto"/>
              <w:bottom w:val="single" w:sz="4" w:space="0" w:color="auto"/>
              <w:right w:val="single" w:sz="4" w:space="0" w:color="auto"/>
            </w:tcBorders>
          </w:tcPr>
          <w:p w14:paraId="2819D294" w14:textId="4C1C6F40" w:rsidR="005C13C3" w:rsidRDefault="003D1D34" w:rsidP="005C13C3">
            <w:pPr>
              <w:spacing w:before="40"/>
              <w:ind w:left="100"/>
              <w:rPr>
                <w:sz w:val="20"/>
                <w:szCs w:val="20"/>
              </w:rPr>
            </w:pPr>
            <w:r>
              <w:rPr>
                <w:rFonts w:eastAsia="Times New Roman"/>
                <w:sz w:val="18"/>
                <w:szCs w:val="18"/>
              </w:rPr>
              <w:t>Standard Methods 9223 B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2, 5, 6</w:t>
            </w:r>
          </w:p>
        </w:tc>
      </w:tr>
      <w:tr w:rsidR="005C13C3" w14:paraId="2819D2A1" w14:textId="77777777" w:rsidTr="009C7205">
        <w:trPr>
          <w:trHeight w:val="559"/>
        </w:trPr>
        <w:tc>
          <w:tcPr>
            <w:tcW w:w="1680" w:type="dxa"/>
            <w:vMerge/>
            <w:tcBorders>
              <w:top w:val="single" w:sz="4" w:space="0" w:color="auto"/>
              <w:left w:val="single" w:sz="4" w:space="0" w:color="auto"/>
              <w:bottom w:val="single" w:sz="4" w:space="0" w:color="auto"/>
              <w:right w:val="single" w:sz="4" w:space="0" w:color="auto"/>
            </w:tcBorders>
            <w:vAlign w:val="bottom"/>
          </w:tcPr>
          <w:p w14:paraId="2819D29D"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9E" w14:textId="77777777" w:rsidR="005C13C3" w:rsidRDefault="005C13C3" w:rsidP="005C13C3">
            <w:pPr>
              <w:spacing w:before="40"/>
              <w:rPr>
                <w:sz w:val="24"/>
                <w:szCs w:val="24"/>
              </w:rPr>
            </w:pPr>
          </w:p>
        </w:tc>
        <w:tc>
          <w:tcPr>
            <w:tcW w:w="2700" w:type="dxa"/>
            <w:vMerge/>
            <w:tcBorders>
              <w:top w:val="single" w:sz="4" w:space="0" w:color="auto"/>
              <w:left w:val="single" w:sz="4" w:space="0" w:color="auto"/>
              <w:bottom w:val="single" w:sz="4" w:space="0" w:color="auto"/>
              <w:right w:val="single" w:sz="4" w:space="0" w:color="auto"/>
            </w:tcBorders>
            <w:vAlign w:val="bottom"/>
          </w:tcPr>
          <w:p w14:paraId="2819D29F" w14:textId="66E558A0" w:rsidR="005C13C3" w:rsidRDefault="005C13C3" w:rsidP="005C13C3">
            <w:pPr>
              <w:spacing w:before="40"/>
              <w:ind w:left="100"/>
              <w:rPr>
                <w:sz w:val="20"/>
                <w:szCs w:val="20"/>
              </w:rPr>
            </w:pPr>
          </w:p>
        </w:tc>
        <w:tc>
          <w:tcPr>
            <w:tcW w:w="2600" w:type="dxa"/>
            <w:tcBorders>
              <w:top w:val="single" w:sz="4" w:space="0" w:color="auto"/>
              <w:left w:val="single" w:sz="4" w:space="0" w:color="auto"/>
              <w:bottom w:val="single" w:sz="4" w:space="0" w:color="auto"/>
              <w:right w:val="single" w:sz="4" w:space="0" w:color="auto"/>
            </w:tcBorders>
          </w:tcPr>
          <w:p w14:paraId="2819D2A0" w14:textId="42CECE36" w:rsidR="005C13C3" w:rsidRDefault="003D1D34" w:rsidP="005C13C3">
            <w:pPr>
              <w:spacing w:before="40"/>
              <w:ind w:left="100"/>
              <w:rPr>
                <w:sz w:val="20"/>
                <w:szCs w:val="20"/>
              </w:rPr>
            </w:pPr>
            <w:r>
              <w:rPr>
                <w:rFonts w:eastAsia="Times New Roman"/>
                <w:sz w:val="18"/>
                <w:szCs w:val="18"/>
              </w:rPr>
              <w:t>Standard Methods Online 9223 B-97</w:t>
            </w:r>
            <w:r>
              <w:rPr>
                <w:rFonts w:eastAsia="Times New Roman"/>
                <w:sz w:val="24"/>
                <w:szCs w:val="24"/>
                <w:vertAlign w:val="superscript"/>
              </w:rPr>
              <w:t>2, 5, 6</w:t>
            </w:r>
          </w:p>
        </w:tc>
      </w:tr>
      <w:tr w:rsidR="005C13C3" w14:paraId="2819D2AD" w14:textId="77777777" w:rsidTr="009C7205">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A9"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AA"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AB" w14:textId="77777777" w:rsidR="005C13C3" w:rsidRDefault="005C13C3" w:rsidP="005C13C3">
            <w:pPr>
              <w:spacing w:before="40"/>
              <w:ind w:left="100"/>
              <w:rPr>
                <w:rFonts w:eastAsia="Times New Roman"/>
                <w:sz w:val="18"/>
                <w:szCs w:val="18"/>
              </w:rPr>
            </w:pPr>
            <w:r>
              <w:rPr>
                <w:rFonts w:eastAsia="Times New Roman"/>
                <w:sz w:val="18"/>
                <w:szCs w:val="18"/>
              </w:rPr>
              <w:t>E*Colite® Test</w:t>
            </w:r>
            <w:r>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4" w:space="0" w:color="auto"/>
            </w:tcBorders>
            <w:vAlign w:val="bottom"/>
          </w:tcPr>
          <w:p w14:paraId="2819D2AC" w14:textId="19EA68F8" w:rsidR="005C13C3" w:rsidRDefault="005C13C3" w:rsidP="005C13C3">
            <w:pPr>
              <w:spacing w:before="40"/>
              <w:rPr>
                <w:sz w:val="24"/>
                <w:szCs w:val="24"/>
              </w:rPr>
            </w:pPr>
          </w:p>
        </w:tc>
      </w:tr>
      <w:tr w:rsidR="005C13C3" w14:paraId="2819D2B9" w14:textId="77777777" w:rsidTr="009C7205">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B5"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B6"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B7" w14:textId="77777777" w:rsidR="005C13C3" w:rsidRDefault="005C13C3" w:rsidP="005C13C3">
            <w:pPr>
              <w:spacing w:before="40"/>
              <w:ind w:left="100"/>
              <w:rPr>
                <w:rFonts w:eastAsia="Times New Roman"/>
                <w:sz w:val="18"/>
                <w:szCs w:val="18"/>
              </w:rPr>
            </w:pPr>
            <w:r>
              <w:rPr>
                <w:rFonts w:eastAsia="Times New Roman"/>
                <w:sz w:val="18"/>
                <w:szCs w:val="18"/>
              </w:rPr>
              <w:t>Readycult® Test</w:t>
            </w:r>
            <w:r>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4" w:space="0" w:color="auto"/>
            </w:tcBorders>
            <w:vAlign w:val="bottom"/>
          </w:tcPr>
          <w:p w14:paraId="2819D2B8" w14:textId="62CAA4BE" w:rsidR="005C13C3" w:rsidRDefault="005C13C3" w:rsidP="005C13C3">
            <w:pPr>
              <w:spacing w:before="40"/>
              <w:rPr>
                <w:sz w:val="24"/>
                <w:szCs w:val="24"/>
              </w:rPr>
            </w:pPr>
          </w:p>
        </w:tc>
      </w:tr>
      <w:tr w:rsidR="005C13C3" w14:paraId="2819D2C5" w14:textId="77777777" w:rsidTr="009C7205">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C1"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C2"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C3" w14:textId="77777777" w:rsidR="005C13C3" w:rsidRDefault="005C13C3" w:rsidP="005C13C3">
            <w:pPr>
              <w:spacing w:before="40"/>
              <w:ind w:left="100"/>
              <w:rPr>
                <w:sz w:val="20"/>
                <w:szCs w:val="20"/>
              </w:rPr>
            </w:pPr>
            <w:r>
              <w:rPr>
                <w:rFonts w:eastAsia="Times New Roman"/>
                <w:sz w:val="18"/>
                <w:szCs w:val="18"/>
              </w:rPr>
              <w:t>modified Colitag® Test</w:t>
            </w:r>
            <w:r>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4" w:space="0" w:color="auto"/>
            </w:tcBorders>
            <w:vAlign w:val="bottom"/>
          </w:tcPr>
          <w:p w14:paraId="2819D2C4" w14:textId="77777777" w:rsidR="005C13C3" w:rsidRDefault="005C13C3" w:rsidP="005C13C3">
            <w:pPr>
              <w:spacing w:before="40"/>
              <w:rPr>
                <w:sz w:val="24"/>
                <w:szCs w:val="24"/>
              </w:rPr>
            </w:pPr>
          </w:p>
        </w:tc>
      </w:tr>
    </w:tbl>
    <w:p w14:paraId="2819D2CC" w14:textId="77777777" w:rsidR="004647B9" w:rsidRDefault="004647B9">
      <w:pPr>
        <w:spacing w:line="310" w:lineRule="exact"/>
        <w:rPr>
          <w:sz w:val="20"/>
          <w:szCs w:val="20"/>
        </w:rPr>
      </w:pPr>
    </w:p>
    <w:p w14:paraId="2819D2CD" w14:textId="74AE3918" w:rsidR="004647B9" w:rsidRDefault="00E2436F" w:rsidP="00563A54">
      <w:pPr>
        <w:numPr>
          <w:ilvl w:val="0"/>
          <w:numId w:val="86"/>
        </w:numPr>
        <w:tabs>
          <w:tab w:val="left" w:pos="112"/>
        </w:tabs>
        <w:spacing w:line="292" w:lineRule="auto"/>
        <w:ind w:left="1" w:hanging="1"/>
        <w:jc w:val="both"/>
        <w:rPr>
          <w:rFonts w:eastAsia="Times New Roman"/>
          <w:sz w:val="24"/>
          <w:szCs w:val="24"/>
          <w:vertAlign w:val="superscript"/>
        </w:rPr>
      </w:pPr>
      <w:r>
        <w:rPr>
          <w:rFonts w:eastAsia="Times New Roman"/>
          <w:sz w:val="18"/>
          <w:szCs w:val="18"/>
        </w:rPr>
        <w:t>The procedures must be done in accordance with the documents listed in 310 CM R 22.05(6)(g). For Standard Methods, either editions, 20</w:t>
      </w:r>
      <w:r>
        <w:rPr>
          <w:rFonts w:eastAsia="Times New Roman"/>
          <w:sz w:val="24"/>
          <w:szCs w:val="24"/>
          <w:vertAlign w:val="superscript"/>
        </w:rPr>
        <w:t>th</w:t>
      </w:r>
      <w:r>
        <w:rPr>
          <w:rFonts w:eastAsia="Times New Roman"/>
          <w:sz w:val="18"/>
          <w:szCs w:val="18"/>
        </w:rPr>
        <w:t xml:space="preserve"> (1998) or 21</w:t>
      </w:r>
      <w:r>
        <w:rPr>
          <w:rFonts w:eastAsia="Times New Roman"/>
          <w:sz w:val="24"/>
          <w:szCs w:val="24"/>
          <w:vertAlign w:val="superscript"/>
        </w:rPr>
        <w:t>st</w:t>
      </w:r>
      <w:r>
        <w:rPr>
          <w:rFonts w:eastAsia="Times New Roman"/>
          <w:sz w:val="18"/>
          <w:szCs w:val="18"/>
        </w:rPr>
        <w:t xml:space="preserve"> (2005), may be used. For the Standard Methods Online, the year in which each method was approved by the Standard Methods Committee is designated by the last two digits following the hyphen in the method number. The methods listed are the only online versions that may be used. For vendor methods, the date of the method listed in 310 CMR 22.05(6)(g) is the date/version of the approved method. The methods listed are the only versions that may be used for compliance with this rule. Laboratories should be careful to use only the approved versions of the methods, as product package inserts may not be the same as the approved versions of the methods.</w:t>
      </w:r>
    </w:p>
    <w:p w14:paraId="2819D2CF" w14:textId="77777777" w:rsidR="004647B9" w:rsidRDefault="00E2436F" w:rsidP="00563A54">
      <w:pPr>
        <w:numPr>
          <w:ilvl w:val="0"/>
          <w:numId w:val="86"/>
        </w:numPr>
        <w:tabs>
          <w:tab w:val="left" w:pos="121"/>
        </w:tabs>
        <w:ind w:left="121" w:hanging="120"/>
        <w:rPr>
          <w:rFonts w:eastAsia="Times New Roman"/>
          <w:sz w:val="24"/>
          <w:szCs w:val="24"/>
          <w:vertAlign w:val="superscript"/>
        </w:rPr>
      </w:pPr>
      <w:r>
        <w:rPr>
          <w:rFonts w:eastAsia="Times New Roman"/>
          <w:sz w:val="18"/>
          <w:szCs w:val="18"/>
        </w:rPr>
        <w:t xml:space="preserve">Incorporated by reference.  </w:t>
      </w:r>
      <w:r>
        <w:rPr>
          <w:rFonts w:eastAsia="Times New Roman"/>
          <w:i/>
          <w:iCs/>
          <w:sz w:val="18"/>
          <w:szCs w:val="18"/>
        </w:rPr>
        <w:t>See</w:t>
      </w:r>
      <w:r>
        <w:rPr>
          <w:rFonts w:eastAsia="Times New Roman"/>
          <w:sz w:val="18"/>
          <w:szCs w:val="18"/>
        </w:rPr>
        <w:t xml:space="preserve"> 310 CMR 22.05(6)(g).</w:t>
      </w:r>
    </w:p>
    <w:p w14:paraId="2819D2D0" w14:textId="77777777" w:rsidR="004647B9" w:rsidRDefault="004647B9">
      <w:pPr>
        <w:sectPr w:rsidR="004647B9" w:rsidSect="00EF630C">
          <w:pgSz w:w="12240" w:h="20180"/>
          <w:pgMar w:top="708" w:right="1440" w:bottom="1440" w:left="599" w:header="0" w:footer="0" w:gutter="0"/>
          <w:cols w:space="720" w:equalWidth="0">
            <w:col w:w="10201"/>
          </w:cols>
        </w:sectPr>
      </w:pPr>
    </w:p>
    <w:p w14:paraId="2819D2D1" w14:textId="77777777" w:rsidR="004647B9" w:rsidRDefault="00E2436F">
      <w:pPr>
        <w:tabs>
          <w:tab w:val="left" w:pos="160"/>
        </w:tabs>
        <w:ind w:right="-1"/>
        <w:jc w:val="center"/>
        <w:rPr>
          <w:sz w:val="20"/>
          <w:szCs w:val="20"/>
        </w:rPr>
      </w:pPr>
      <w:bookmarkStart w:id="42" w:name="page43"/>
      <w:bookmarkEnd w:id="4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2D2" w14:textId="77777777" w:rsidR="004647B9" w:rsidRDefault="004647B9" w:rsidP="00032BA2">
      <w:pPr>
        <w:rPr>
          <w:sz w:val="20"/>
          <w:szCs w:val="20"/>
        </w:rPr>
      </w:pPr>
    </w:p>
    <w:p w14:paraId="2819D2D3" w14:textId="77777777" w:rsidR="004647B9" w:rsidRDefault="004647B9" w:rsidP="00032BA2">
      <w:pPr>
        <w:rPr>
          <w:sz w:val="20"/>
          <w:szCs w:val="20"/>
        </w:rPr>
      </w:pPr>
    </w:p>
    <w:p w14:paraId="2819D2D4" w14:textId="77777777" w:rsidR="004647B9" w:rsidRDefault="00E2436F">
      <w:pPr>
        <w:tabs>
          <w:tab w:val="left" w:pos="762"/>
        </w:tabs>
        <w:ind w:left="2"/>
        <w:rPr>
          <w:sz w:val="20"/>
          <w:szCs w:val="20"/>
        </w:rPr>
      </w:pPr>
      <w:r>
        <w:rPr>
          <w:rFonts w:eastAsia="Times New Roman"/>
          <w:sz w:val="24"/>
          <w:szCs w:val="24"/>
        </w:rPr>
        <w:t>22.05:</w:t>
      </w:r>
      <w:r>
        <w:rPr>
          <w:rFonts w:eastAsia="Times New Roman"/>
          <w:sz w:val="24"/>
          <w:szCs w:val="24"/>
        </w:rPr>
        <w:tab/>
        <w:t>continued</w:t>
      </w:r>
    </w:p>
    <w:p w14:paraId="2819D2D5" w14:textId="77777777" w:rsidR="004647B9" w:rsidRDefault="004647B9" w:rsidP="00032BA2">
      <w:pPr>
        <w:rPr>
          <w:sz w:val="20"/>
          <w:szCs w:val="20"/>
        </w:rPr>
      </w:pPr>
    </w:p>
    <w:p w14:paraId="2819D2D8" w14:textId="0059188B" w:rsidR="004647B9" w:rsidRPr="00294AA7" w:rsidRDefault="00E2436F" w:rsidP="00294AA7">
      <w:pPr>
        <w:numPr>
          <w:ilvl w:val="0"/>
          <w:numId w:val="87"/>
        </w:numPr>
        <w:tabs>
          <w:tab w:val="left" w:pos="102"/>
        </w:tabs>
        <w:ind w:left="102" w:hanging="101"/>
        <w:rPr>
          <w:rFonts w:eastAsia="Times New Roman"/>
          <w:sz w:val="24"/>
          <w:szCs w:val="24"/>
          <w:vertAlign w:val="superscript"/>
        </w:rPr>
      </w:pPr>
      <w:r>
        <w:rPr>
          <w:rFonts w:eastAsia="Times New Roman"/>
          <w:sz w:val="18"/>
          <w:szCs w:val="18"/>
        </w:rPr>
        <w:t xml:space="preserve">Lactose broth, as commercially available, may be used in </w:t>
      </w:r>
      <w:r>
        <w:rPr>
          <w:rFonts w:eastAsia="Times New Roman"/>
          <w:i/>
          <w:iCs/>
          <w:sz w:val="18"/>
          <w:szCs w:val="18"/>
        </w:rPr>
        <w:t>lieu</w:t>
      </w:r>
      <w:r>
        <w:rPr>
          <w:rFonts w:eastAsia="Times New Roman"/>
          <w:sz w:val="18"/>
          <w:szCs w:val="18"/>
        </w:rPr>
        <w:t xml:space="preserve"> of lauryl tryptose broth, if the Public Water System conducts at least</w:t>
      </w:r>
      <w:r w:rsidR="00294AA7">
        <w:rPr>
          <w:rFonts w:eastAsia="Times New Roman"/>
          <w:sz w:val="24"/>
          <w:szCs w:val="24"/>
          <w:vertAlign w:val="superscript"/>
        </w:rPr>
        <w:t xml:space="preserve"> </w:t>
      </w:r>
      <w:r w:rsidR="00294AA7">
        <w:rPr>
          <w:rFonts w:eastAsia="Times New Roman"/>
          <w:sz w:val="18"/>
          <w:szCs w:val="18"/>
        </w:rPr>
        <w:t xml:space="preserve">25 </w:t>
      </w:r>
      <w:r w:rsidRPr="00294AA7">
        <w:rPr>
          <w:rFonts w:eastAsia="Times New Roman"/>
          <w:sz w:val="18"/>
          <w:szCs w:val="18"/>
        </w:rPr>
        <w:t>parallel tests between lactose broth and lauryl tryptose broth using the water normally tested, and if the findings from this comparison demonstrate that the false-positive rate and false-negative rate for total coliforms, using lactose broth, is less than 10% .</w:t>
      </w:r>
    </w:p>
    <w:p w14:paraId="2819D2DA" w14:textId="77777777" w:rsidR="004647B9" w:rsidRDefault="00E2436F" w:rsidP="00563A54">
      <w:pPr>
        <w:numPr>
          <w:ilvl w:val="0"/>
          <w:numId w:val="89"/>
        </w:numPr>
        <w:tabs>
          <w:tab w:val="left" w:pos="97"/>
        </w:tabs>
        <w:spacing w:line="294" w:lineRule="auto"/>
        <w:ind w:left="2" w:hanging="2"/>
        <w:jc w:val="both"/>
        <w:rPr>
          <w:rFonts w:eastAsia="Times New Roman"/>
          <w:sz w:val="24"/>
          <w:szCs w:val="24"/>
          <w:vertAlign w:val="superscript"/>
        </w:rPr>
      </w:pPr>
      <w:r>
        <w:rPr>
          <w:rFonts w:eastAsia="Times New Roman"/>
          <w:sz w:val="18"/>
          <w:szCs w:val="18"/>
        </w:rPr>
        <w:t>All Filtration series must begin with Membrane Filtration equipment that has been sterilized by autoclaving. Exposure of Filtration equipment to UV light is not adequate to ensure sterilization. Subsequent to the initial autoclaving, exposure of the Filtration equipment to UV light may be used to sanitize the funnels between filtrations within a Filtration series. Alternatively, Membrane Filtration equipment that is pre-sterilized by the manufacturer (</w:t>
      </w:r>
      <w:r>
        <w:rPr>
          <w:rFonts w:eastAsia="Times New Roman"/>
          <w:i/>
          <w:iCs/>
          <w:sz w:val="18"/>
          <w:szCs w:val="18"/>
        </w:rPr>
        <w:t>i.e</w:t>
      </w:r>
      <w:r>
        <w:rPr>
          <w:rFonts w:eastAsia="Times New Roman"/>
          <w:sz w:val="18"/>
          <w:szCs w:val="18"/>
        </w:rPr>
        <w:t>., disposable funnel units) may be used.</w:t>
      </w:r>
    </w:p>
    <w:p w14:paraId="2819D2DD" w14:textId="76C54511" w:rsidR="004647B9" w:rsidRPr="00E25CD4" w:rsidRDefault="00E2436F" w:rsidP="00563A54">
      <w:pPr>
        <w:numPr>
          <w:ilvl w:val="0"/>
          <w:numId w:val="89"/>
        </w:numPr>
        <w:tabs>
          <w:tab w:val="left" w:pos="102"/>
        </w:tabs>
        <w:ind w:left="362" w:hanging="360"/>
        <w:rPr>
          <w:rFonts w:eastAsia="Times New Roman"/>
          <w:sz w:val="24"/>
          <w:szCs w:val="24"/>
          <w:vertAlign w:val="superscript"/>
        </w:rPr>
      </w:pPr>
      <w:r>
        <w:rPr>
          <w:rFonts w:eastAsia="Times New Roman"/>
          <w:sz w:val="18"/>
          <w:szCs w:val="18"/>
        </w:rPr>
        <w:t>Multiple-tube and multi-well enumerative formats for this method are approved for use in presence-absence determination under</w:t>
      </w:r>
      <w:r w:rsidR="00E25CD4">
        <w:rPr>
          <w:rFonts w:eastAsia="Times New Roman"/>
          <w:sz w:val="24"/>
          <w:szCs w:val="24"/>
          <w:vertAlign w:val="superscript"/>
        </w:rPr>
        <w:t xml:space="preserve"> </w:t>
      </w:r>
      <w:r w:rsidR="00E25CD4">
        <w:rPr>
          <w:rFonts w:eastAsia="Times New Roman"/>
          <w:sz w:val="18"/>
          <w:szCs w:val="18"/>
        </w:rPr>
        <w:t xml:space="preserve">310 </w:t>
      </w:r>
      <w:r w:rsidRPr="00E25CD4">
        <w:rPr>
          <w:rFonts w:eastAsia="Times New Roman"/>
          <w:sz w:val="18"/>
          <w:szCs w:val="18"/>
        </w:rPr>
        <w:t>CMR 22.00.</w:t>
      </w:r>
    </w:p>
    <w:p w14:paraId="2819D2DF" w14:textId="77777777" w:rsidR="004647B9" w:rsidRDefault="00E2436F" w:rsidP="00563A54">
      <w:pPr>
        <w:numPr>
          <w:ilvl w:val="0"/>
          <w:numId w:val="90"/>
        </w:numPr>
        <w:tabs>
          <w:tab w:val="left" w:pos="122"/>
        </w:tabs>
        <w:ind w:left="122" w:hanging="120"/>
        <w:rPr>
          <w:rFonts w:eastAsia="Times New Roman"/>
          <w:sz w:val="24"/>
          <w:szCs w:val="24"/>
          <w:vertAlign w:val="superscript"/>
        </w:rPr>
      </w:pPr>
      <w:r>
        <w:rPr>
          <w:rFonts w:eastAsia="Times New Roman"/>
          <w:sz w:val="18"/>
          <w:szCs w:val="18"/>
        </w:rPr>
        <w:t>Colisure® results may be read after an incubation time of 24 hours.</w:t>
      </w:r>
    </w:p>
    <w:p w14:paraId="2819D2E1" w14:textId="5102C1B5" w:rsidR="004647B9" w:rsidRDefault="00E2436F" w:rsidP="00563A54">
      <w:pPr>
        <w:numPr>
          <w:ilvl w:val="0"/>
          <w:numId w:val="90"/>
        </w:numPr>
        <w:tabs>
          <w:tab w:val="left" w:pos="116"/>
        </w:tabs>
        <w:spacing w:line="268" w:lineRule="auto"/>
        <w:ind w:left="2" w:firstLine="1"/>
        <w:rPr>
          <w:rFonts w:eastAsia="Times New Roman"/>
          <w:sz w:val="24"/>
          <w:szCs w:val="24"/>
          <w:vertAlign w:val="superscript"/>
        </w:rPr>
      </w:pPr>
      <w:r>
        <w:rPr>
          <w:rFonts w:eastAsia="Times New Roman"/>
          <w:sz w:val="18"/>
          <w:szCs w:val="18"/>
        </w:rPr>
        <w:t>A multiple tube enumerative format, as described in Standard Methods for the Examination of Water and Wastewater 9221, is approved for this method for use in presence-absence determination under this regulation.</w:t>
      </w:r>
    </w:p>
    <w:p w14:paraId="2819D2E2" w14:textId="77777777" w:rsidR="004647B9" w:rsidRDefault="004647B9">
      <w:pPr>
        <w:spacing w:line="19" w:lineRule="exact"/>
        <w:rPr>
          <w:rFonts w:eastAsia="Times New Roman"/>
          <w:sz w:val="24"/>
          <w:szCs w:val="24"/>
          <w:vertAlign w:val="superscript"/>
        </w:rPr>
      </w:pPr>
    </w:p>
    <w:p w14:paraId="2819D2E3" w14:textId="286B05D5" w:rsidR="004647B9" w:rsidRDefault="00E2436F" w:rsidP="00563A54">
      <w:pPr>
        <w:numPr>
          <w:ilvl w:val="0"/>
          <w:numId w:val="90"/>
        </w:numPr>
        <w:tabs>
          <w:tab w:val="left" w:pos="123"/>
        </w:tabs>
        <w:spacing w:line="273" w:lineRule="auto"/>
        <w:ind w:left="2"/>
        <w:rPr>
          <w:rFonts w:eastAsia="Times New Roman"/>
          <w:sz w:val="24"/>
          <w:szCs w:val="24"/>
          <w:vertAlign w:val="superscript"/>
        </w:rPr>
      </w:pPr>
      <w:r>
        <w:rPr>
          <w:rFonts w:eastAsia="Times New Roman"/>
          <w:sz w:val="18"/>
          <w:szCs w:val="18"/>
        </w:rPr>
        <w:t>The following changes must be made to the EC broth with MUG (EC-MUG) formulation: Potassium dihydrogen phosphate, KH</w:t>
      </w:r>
      <w:r w:rsidR="00E17090" w:rsidRPr="00E17090">
        <w:rPr>
          <w:rFonts w:eastAsia="Times New Roman"/>
          <w:sz w:val="18"/>
          <w:szCs w:val="18"/>
          <w:vertAlign w:val="subscript"/>
        </w:rPr>
        <w:t>2</w:t>
      </w:r>
      <w:r>
        <w:rPr>
          <w:rFonts w:eastAsia="Times New Roman"/>
          <w:sz w:val="18"/>
          <w:szCs w:val="18"/>
        </w:rPr>
        <w:t>PO</w:t>
      </w:r>
      <w:r w:rsidR="00E17090" w:rsidRPr="00E17090">
        <w:rPr>
          <w:rFonts w:eastAsia="Times New Roman"/>
          <w:sz w:val="18"/>
          <w:szCs w:val="18"/>
          <w:vertAlign w:val="subscript"/>
        </w:rPr>
        <w:t>4</w:t>
      </w:r>
      <w:r>
        <w:rPr>
          <w:rFonts w:eastAsia="Times New Roman"/>
          <w:sz w:val="18"/>
          <w:szCs w:val="18"/>
        </w:rPr>
        <w:t>, must be 1.5g, and 4-methylumbelliferyl-Beta-D-glucuronide must be 0.05 g.</w:t>
      </w:r>
    </w:p>
    <w:p w14:paraId="2819D2E4" w14:textId="77777777" w:rsidR="004647B9" w:rsidRDefault="004647B9">
      <w:pPr>
        <w:spacing w:line="227" w:lineRule="exact"/>
        <w:rPr>
          <w:rFonts w:eastAsia="Times New Roman"/>
          <w:sz w:val="24"/>
          <w:szCs w:val="24"/>
          <w:vertAlign w:val="superscript"/>
        </w:rPr>
      </w:pPr>
    </w:p>
    <w:p w14:paraId="2819D2E5" w14:textId="77777777" w:rsidR="004647B9" w:rsidRPr="00E25CD4" w:rsidRDefault="00E2436F" w:rsidP="00563A54">
      <w:pPr>
        <w:numPr>
          <w:ilvl w:val="1"/>
          <w:numId w:val="90"/>
        </w:numPr>
        <w:tabs>
          <w:tab w:val="left" w:pos="2038"/>
        </w:tabs>
        <w:spacing w:line="259" w:lineRule="auto"/>
        <w:ind w:left="1562" w:hanging="5"/>
        <w:jc w:val="both"/>
        <w:rPr>
          <w:rFonts w:eastAsia="Times New Roman"/>
          <w:sz w:val="24"/>
          <w:szCs w:val="24"/>
        </w:rPr>
      </w:pPr>
      <w:r w:rsidRPr="00E25CD4">
        <w:rPr>
          <w:rFonts w:eastAsia="Times New Roman"/>
          <w:sz w:val="24"/>
          <w:szCs w:val="24"/>
          <w:u w:val="single"/>
        </w:rPr>
        <w:t>Laboratory Certification</w:t>
      </w:r>
      <w:r w:rsidRPr="00E25CD4">
        <w:rPr>
          <w:rFonts w:eastAsia="Times New Roman"/>
          <w:sz w:val="24"/>
          <w:szCs w:val="24"/>
        </w:rPr>
        <w:t>. Public Water Systems must have all compliance samples required under 310 CMR 22.05(1) and 310 CMR 22.05(2) analyzed by a laboratory certified by the Department or EPA to analyze drinking water samples. The laboratory used by the Public Water System must be certified for each method (and associated contaminant(s)) used for compliance monitoring analyses under 310 CMR 22.05(1) and 310 CMR 22.05(2).</w:t>
      </w:r>
    </w:p>
    <w:p w14:paraId="2819D2E9" w14:textId="00ADD9FE" w:rsidR="004647B9" w:rsidRPr="00E25CD4" w:rsidRDefault="00E2436F" w:rsidP="00563A54">
      <w:pPr>
        <w:numPr>
          <w:ilvl w:val="1"/>
          <w:numId w:val="90"/>
        </w:numPr>
        <w:tabs>
          <w:tab w:val="left" w:pos="1962"/>
        </w:tabs>
        <w:ind w:left="1562"/>
        <w:rPr>
          <w:rFonts w:eastAsia="Times New Roman"/>
          <w:sz w:val="24"/>
          <w:szCs w:val="24"/>
        </w:rPr>
      </w:pPr>
      <w:r w:rsidRPr="00E25CD4">
        <w:rPr>
          <w:rFonts w:eastAsia="Times New Roman"/>
          <w:sz w:val="24"/>
          <w:szCs w:val="24"/>
          <w:u w:val="single"/>
        </w:rPr>
        <w:t>Incorporation by Reference</w:t>
      </w:r>
      <w:r w:rsidRPr="00E25CD4">
        <w:rPr>
          <w:rFonts w:eastAsia="Times New Roman"/>
          <w:sz w:val="24"/>
          <w:szCs w:val="24"/>
        </w:rPr>
        <w:t>. The following standards are incorporated by reference into</w:t>
      </w:r>
      <w:r w:rsidR="00E25CD4">
        <w:rPr>
          <w:rFonts w:eastAsia="Times New Roman"/>
          <w:sz w:val="24"/>
          <w:szCs w:val="24"/>
        </w:rPr>
        <w:t xml:space="preserve"> </w:t>
      </w:r>
      <w:r w:rsidRPr="00E25CD4">
        <w:rPr>
          <w:rFonts w:eastAsia="Times New Roman"/>
          <w:sz w:val="24"/>
          <w:szCs w:val="24"/>
        </w:rPr>
        <w:t>310 CMR 22.05.</w:t>
      </w:r>
    </w:p>
    <w:p w14:paraId="2819D2EB" w14:textId="77777777" w:rsidR="004647B9" w:rsidRPr="00E25CD4" w:rsidRDefault="00E2436F" w:rsidP="00563A54">
      <w:pPr>
        <w:numPr>
          <w:ilvl w:val="2"/>
          <w:numId w:val="90"/>
        </w:numPr>
        <w:tabs>
          <w:tab w:val="left" w:pos="2282"/>
        </w:tabs>
        <w:ind w:left="2282" w:hanging="365"/>
        <w:rPr>
          <w:rFonts w:eastAsia="Times New Roman"/>
          <w:sz w:val="24"/>
          <w:szCs w:val="24"/>
        </w:rPr>
      </w:pPr>
      <w:r w:rsidRPr="00E25CD4">
        <w:rPr>
          <w:rFonts w:eastAsia="Times New Roman"/>
          <w:sz w:val="24"/>
          <w:szCs w:val="24"/>
        </w:rPr>
        <w:t>American Public Health Association, 800 I Street, NW., Washington, DC 20001.</w:t>
      </w:r>
    </w:p>
    <w:p w14:paraId="2819D2ED" w14:textId="3EA4320D" w:rsidR="004647B9" w:rsidRPr="00E25CD4" w:rsidRDefault="00E2436F" w:rsidP="00A47821">
      <w:pPr>
        <w:numPr>
          <w:ilvl w:val="3"/>
          <w:numId w:val="90"/>
        </w:numPr>
        <w:tabs>
          <w:tab w:val="left" w:pos="2610"/>
        </w:tabs>
        <w:spacing w:line="216" w:lineRule="auto"/>
        <w:ind w:left="2246"/>
        <w:rPr>
          <w:rFonts w:eastAsia="Times New Roman"/>
          <w:sz w:val="24"/>
          <w:szCs w:val="24"/>
        </w:rPr>
      </w:pPr>
      <w:r w:rsidRPr="00E25CD4">
        <w:rPr>
          <w:rFonts w:eastAsia="Times New Roman"/>
          <w:i/>
          <w:iCs/>
          <w:sz w:val="24"/>
          <w:szCs w:val="24"/>
        </w:rPr>
        <w:t>Standard Methods for the Examination of Water and Wastewater</w:t>
      </w:r>
      <w:r w:rsidRPr="00E25CD4">
        <w:rPr>
          <w:rFonts w:eastAsia="Times New Roman"/>
          <w:sz w:val="24"/>
          <w:szCs w:val="24"/>
        </w:rPr>
        <w:t>, 20</w:t>
      </w:r>
      <w:r w:rsidRPr="00E25CD4">
        <w:rPr>
          <w:rFonts w:eastAsia="Times New Roman"/>
          <w:sz w:val="24"/>
          <w:szCs w:val="24"/>
          <w:vertAlign w:val="superscript"/>
        </w:rPr>
        <w:t>th</w:t>
      </w:r>
      <w:r w:rsidRPr="00E25CD4">
        <w:rPr>
          <w:rFonts w:eastAsia="Times New Roman"/>
          <w:i/>
          <w:iCs/>
          <w:sz w:val="24"/>
          <w:szCs w:val="24"/>
        </w:rPr>
        <w:t xml:space="preserve"> </w:t>
      </w:r>
      <w:r w:rsidRPr="00E25CD4">
        <w:rPr>
          <w:rFonts w:eastAsia="Times New Roman"/>
          <w:sz w:val="24"/>
          <w:szCs w:val="24"/>
        </w:rPr>
        <w:t>edition</w:t>
      </w:r>
      <w:r w:rsidR="00A47821">
        <w:rPr>
          <w:rFonts w:eastAsia="Times New Roman"/>
          <w:sz w:val="24"/>
          <w:szCs w:val="24"/>
        </w:rPr>
        <w:t xml:space="preserve"> (1998):</w:t>
      </w:r>
    </w:p>
    <w:p w14:paraId="2819D2F0" w14:textId="77777777" w:rsidR="004647B9" w:rsidRPr="00E25CD4" w:rsidRDefault="00E2436F" w:rsidP="00563A54">
      <w:pPr>
        <w:numPr>
          <w:ilvl w:val="4"/>
          <w:numId w:val="90"/>
        </w:numPr>
        <w:tabs>
          <w:tab w:val="left" w:pos="3007"/>
        </w:tabs>
        <w:spacing w:line="243" w:lineRule="auto"/>
        <w:ind w:left="2642" w:hanging="5"/>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B,</w:t>
      </w:r>
      <w:r w:rsidRPr="00E25CD4">
        <w:rPr>
          <w:rFonts w:eastAsia="Times New Roman"/>
          <w:i/>
          <w:iCs/>
          <w:sz w:val="24"/>
          <w:szCs w:val="24"/>
        </w:rPr>
        <w:t xml:space="preserve"> Standard Total Coliform Membrane Filter Procedure</w:t>
      </w:r>
      <w:r w:rsidRPr="00E25CD4">
        <w:rPr>
          <w:rFonts w:eastAsia="Times New Roman"/>
          <w:sz w:val="24"/>
          <w:szCs w:val="24"/>
        </w:rPr>
        <w:t>.</w:t>
      </w:r>
    </w:p>
    <w:p w14:paraId="2819D2F1" w14:textId="77777777" w:rsidR="004647B9" w:rsidRPr="00E25CD4" w:rsidRDefault="00E2436F" w:rsidP="00563A54">
      <w:pPr>
        <w:numPr>
          <w:ilvl w:val="4"/>
          <w:numId w:val="90"/>
        </w:numPr>
        <w:tabs>
          <w:tab w:val="left" w:pos="3059"/>
        </w:tabs>
        <w:spacing w:line="243" w:lineRule="auto"/>
        <w:ind w:left="2642" w:hanging="5"/>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C,</w:t>
      </w:r>
      <w:r w:rsidRPr="00E25CD4">
        <w:rPr>
          <w:rFonts w:eastAsia="Times New Roman"/>
          <w:i/>
          <w:iCs/>
          <w:sz w:val="24"/>
          <w:szCs w:val="24"/>
        </w:rPr>
        <w:t xml:space="preserve"> Delayed-Incubation Total Coliform Procedure</w:t>
      </w:r>
      <w:r w:rsidRPr="00E25CD4">
        <w:rPr>
          <w:rFonts w:eastAsia="Times New Roman"/>
          <w:sz w:val="24"/>
          <w:szCs w:val="24"/>
        </w:rPr>
        <w:t>.</w:t>
      </w:r>
    </w:p>
    <w:p w14:paraId="2819D2F2" w14:textId="6F01425F" w:rsidR="004647B9" w:rsidRPr="00E25CD4" w:rsidRDefault="00E2436F" w:rsidP="00563A54">
      <w:pPr>
        <w:numPr>
          <w:ilvl w:val="4"/>
          <w:numId w:val="90"/>
        </w:numPr>
        <w:tabs>
          <w:tab w:val="left" w:pos="3205"/>
        </w:tabs>
        <w:spacing w:line="243" w:lineRule="auto"/>
        <w:ind w:left="2642" w:hanging="5"/>
        <w:rPr>
          <w:rFonts w:eastAsia="Times New Roman"/>
          <w:sz w:val="24"/>
          <w:szCs w:val="24"/>
        </w:rPr>
      </w:pPr>
      <w:r w:rsidRPr="00E25CD4">
        <w:rPr>
          <w:rFonts w:eastAsia="Times New Roman"/>
          <w:sz w:val="24"/>
          <w:szCs w:val="24"/>
        </w:rPr>
        <w:t xml:space="preserve">Standard Methods 9223, </w:t>
      </w:r>
      <w:r w:rsidRPr="00E25CD4">
        <w:rPr>
          <w:rFonts w:eastAsia="Times New Roman"/>
          <w:i/>
          <w:iCs/>
          <w:sz w:val="24"/>
          <w:szCs w:val="24"/>
        </w:rPr>
        <w:t>Enzyme Substrate Coliform Test</w:t>
      </w:r>
      <w:r w:rsidRPr="00E25CD4">
        <w:rPr>
          <w:rFonts w:eastAsia="Times New Roman"/>
          <w:sz w:val="24"/>
          <w:szCs w:val="24"/>
        </w:rPr>
        <w:t xml:space="preserve">, B, </w:t>
      </w:r>
      <w:r w:rsidRPr="00E25CD4">
        <w:rPr>
          <w:rFonts w:eastAsia="Times New Roman"/>
          <w:i/>
          <w:iCs/>
          <w:sz w:val="24"/>
          <w:szCs w:val="24"/>
        </w:rPr>
        <w:t>Enzyme</w:t>
      </w:r>
      <w:r w:rsidRPr="00E25CD4">
        <w:rPr>
          <w:rFonts w:eastAsia="Times New Roman"/>
          <w:sz w:val="24"/>
          <w:szCs w:val="24"/>
        </w:rPr>
        <w:t xml:space="preserve"> </w:t>
      </w:r>
      <w:r w:rsidRPr="00E25CD4">
        <w:rPr>
          <w:rFonts w:eastAsia="Times New Roman"/>
          <w:i/>
          <w:iCs/>
          <w:sz w:val="24"/>
          <w:szCs w:val="24"/>
        </w:rPr>
        <w:t>Substrate Test</w:t>
      </w:r>
      <w:r w:rsidRPr="00E25CD4">
        <w:rPr>
          <w:rFonts w:eastAsia="Times New Roman"/>
          <w:sz w:val="24"/>
          <w:szCs w:val="24"/>
        </w:rPr>
        <w:t>, Colilert</w:t>
      </w:r>
      <w:r w:rsidR="00577CB7" w:rsidRPr="00C51699">
        <w:rPr>
          <w:rFonts w:eastAsia="Times New Roman"/>
          <w:sz w:val="24"/>
          <w:szCs w:val="24"/>
          <w:vertAlign w:val="superscript"/>
        </w:rPr>
        <w:t>®</w:t>
      </w:r>
      <w:r w:rsidRPr="00E25CD4">
        <w:rPr>
          <w:rFonts w:eastAsia="Times New Roman"/>
          <w:sz w:val="24"/>
          <w:szCs w:val="24"/>
        </w:rPr>
        <w:t xml:space="preserve"> and Colisure</w:t>
      </w:r>
      <w:r w:rsidR="00577CB7" w:rsidRPr="00C51699">
        <w:rPr>
          <w:rFonts w:eastAsia="Times New Roman"/>
          <w:sz w:val="24"/>
          <w:szCs w:val="24"/>
          <w:vertAlign w:val="superscript"/>
        </w:rPr>
        <w:t>®</w:t>
      </w:r>
      <w:r w:rsidRPr="00E25CD4">
        <w:rPr>
          <w:rFonts w:eastAsia="Times New Roman"/>
          <w:sz w:val="24"/>
          <w:szCs w:val="24"/>
        </w:rPr>
        <w:t>.</w:t>
      </w:r>
    </w:p>
    <w:p w14:paraId="2819D2F3" w14:textId="77777777" w:rsidR="004647B9" w:rsidRPr="00E25CD4" w:rsidRDefault="00E2436F" w:rsidP="00563A54">
      <w:pPr>
        <w:numPr>
          <w:ilvl w:val="4"/>
          <w:numId w:val="90"/>
        </w:numPr>
        <w:tabs>
          <w:tab w:val="left" w:pos="3108"/>
        </w:tabs>
        <w:spacing w:line="242" w:lineRule="auto"/>
        <w:ind w:left="2642" w:hanging="5"/>
        <w:jc w:val="both"/>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G.1.c(2),</w:t>
      </w:r>
      <w:r w:rsidRPr="00E25CD4">
        <w:rPr>
          <w:rFonts w:eastAsia="Times New Roman"/>
          <w:i/>
          <w:iCs/>
          <w:sz w:val="24"/>
          <w:szCs w:val="24"/>
        </w:rPr>
        <w:t xml:space="preserve"> Escherichia coli Partition Method: EC broth with MUG (EC- MUG)</w:t>
      </w:r>
      <w:r w:rsidRPr="00E25CD4">
        <w:rPr>
          <w:rFonts w:eastAsia="Times New Roman"/>
          <w:sz w:val="24"/>
          <w:szCs w:val="24"/>
        </w:rPr>
        <w:t>.</w:t>
      </w:r>
    </w:p>
    <w:p w14:paraId="2819D2F5" w14:textId="77777777" w:rsidR="004647B9" w:rsidRPr="00E25CD4" w:rsidRDefault="00E2436F" w:rsidP="00563A54">
      <w:pPr>
        <w:numPr>
          <w:ilvl w:val="4"/>
          <w:numId w:val="90"/>
        </w:numPr>
        <w:tabs>
          <w:tab w:val="left" w:pos="3046"/>
        </w:tabs>
        <w:spacing w:line="253" w:lineRule="auto"/>
        <w:ind w:left="2642" w:hanging="5"/>
        <w:jc w:val="both"/>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G.1.c(1),</w:t>
      </w:r>
      <w:r w:rsidRPr="00E25CD4">
        <w:rPr>
          <w:rFonts w:eastAsia="Times New Roman"/>
          <w:i/>
          <w:iCs/>
          <w:sz w:val="24"/>
          <w:szCs w:val="24"/>
        </w:rPr>
        <w:t xml:space="preserve"> Escherichia coli Partition Method: NA-MUG medium</w:t>
      </w:r>
      <w:r w:rsidRPr="00E25CD4">
        <w:rPr>
          <w:rFonts w:eastAsia="Times New Roman"/>
          <w:sz w:val="24"/>
          <w:szCs w:val="24"/>
        </w:rPr>
        <w:t>.</w:t>
      </w:r>
    </w:p>
    <w:p w14:paraId="2819D2F7" w14:textId="7AA19BEF" w:rsidR="004647B9" w:rsidRPr="00E25CD4" w:rsidRDefault="00E2436F" w:rsidP="00563A54">
      <w:pPr>
        <w:numPr>
          <w:ilvl w:val="3"/>
          <w:numId w:val="90"/>
        </w:numPr>
        <w:tabs>
          <w:tab w:val="left" w:pos="2662"/>
        </w:tabs>
        <w:spacing w:line="217" w:lineRule="auto"/>
        <w:ind w:left="2662" w:hanging="385"/>
        <w:rPr>
          <w:rFonts w:eastAsia="Times New Roman"/>
          <w:sz w:val="24"/>
          <w:szCs w:val="24"/>
        </w:rPr>
      </w:pPr>
      <w:r w:rsidRPr="00E25CD4">
        <w:rPr>
          <w:rFonts w:eastAsia="Times New Roman"/>
          <w:i/>
          <w:iCs/>
          <w:sz w:val="24"/>
          <w:szCs w:val="24"/>
        </w:rPr>
        <w:t>Standard Methods for the Examination of Water and Wastewater</w:t>
      </w:r>
      <w:r w:rsidRPr="00E25CD4">
        <w:rPr>
          <w:rFonts w:eastAsia="Times New Roman"/>
          <w:sz w:val="24"/>
          <w:szCs w:val="24"/>
        </w:rPr>
        <w:t>, 21</w:t>
      </w:r>
      <w:r w:rsidRPr="00E25CD4">
        <w:rPr>
          <w:rFonts w:eastAsia="Times New Roman"/>
          <w:sz w:val="24"/>
          <w:szCs w:val="24"/>
          <w:vertAlign w:val="superscript"/>
        </w:rPr>
        <w:t>st</w:t>
      </w:r>
      <w:r w:rsidRPr="00E25CD4">
        <w:rPr>
          <w:rFonts w:eastAsia="Times New Roman"/>
          <w:i/>
          <w:iCs/>
          <w:sz w:val="24"/>
          <w:szCs w:val="24"/>
        </w:rPr>
        <w:t xml:space="preserve"> </w:t>
      </w:r>
      <w:r w:rsidRPr="00E25CD4">
        <w:rPr>
          <w:rFonts w:eastAsia="Times New Roman"/>
          <w:sz w:val="24"/>
          <w:szCs w:val="24"/>
        </w:rPr>
        <w:t>edition</w:t>
      </w:r>
      <w:r w:rsidR="00D038C9">
        <w:rPr>
          <w:rFonts w:eastAsia="Times New Roman"/>
          <w:sz w:val="24"/>
          <w:szCs w:val="24"/>
        </w:rPr>
        <w:t xml:space="preserve"> (2005):</w:t>
      </w:r>
    </w:p>
    <w:p w14:paraId="2819D2FA" w14:textId="77777777" w:rsidR="004647B9" w:rsidRPr="00E25CD4" w:rsidRDefault="00E2436F" w:rsidP="00563A54">
      <w:pPr>
        <w:numPr>
          <w:ilvl w:val="4"/>
          <w:numId w:val="90"/>
        </w:numPr>
        <w:tabs>
          <w:tab w:val="left" w:pos="3007"/>
        </w:tabs>
        <w:spacing w:line="243" w:lineRule="auto"/>
        <w:ind w:left="2642" w:hanging="5"/>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B,</w:t>
      </w:r>
      <w:r w:rsidRPr="00E25CD4">
        <w:rPr>
          <w:rFonts w:eastAsia="Times New Roman"/>
          <w:i/>
          <w:iCs/>
          <w:sz w:val="24"/>
          <w:szCs w:val="24"/>
        </w:rPr>
        <w:t xml:space="preserve"> Standard Total Coliform Membrane Filter Procedure</w:t>
      </w:r>
      <w:r w:rsidRPr="00E25CD4">
        <w:rPr>
          <w:rFonts w:eastAsia="Times New Roman"/>
          <w:sz w:val="24"/>
          <w:szCs w:val="24"/>
        </w:rPr>
        <w:t>.</w:t>
      </w:r>
    </w:p>
    <w:p w14:paraId="2819D2FB" w14:textId="77777777" w:rsidR="004647B9" w:rsidRPr="00E25CD4" w:rsidRDefault="00E2436F" w:rsidP="00563A54">
      <w:pPr>
        <w:numPr>
          <w:ilvl w:val="4"/>
          <w:numId w:val="90"/>
        </w:numPr>
        <w:tabs>
          <w:tab w:val="left" w:pos="3060"/>
        </w:tabs>
        <w:spacing w:line="243" w:lineRule="auto"/>
        <w:ind w:left="2642" w:hanging="5"/>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C,</w:t>
      </w:r>
      <w:r w:rsidRPr="00E25CD4">
        <w:rPr>
          <w:rFonts w:eastAsia="Times New Roman"/>
          <w:i/>
          <w:iCs/>
          <w:sz w:val="24"/>
          <w:szCs w:val="24"/>
        </w:rPr>
        <w:t xml:space="preserve"> Delayed-Incubation Total Coliform Procedure</w:t>
      </w:r>
      <w:r w:rsidRPr="00E25CD4">
        <w:rPr>
          <w:rFonts w:eastAsia="Times New Roman"/>
          <w:sz w:val="24"/>
          <w:szCs w:val="24"/>
        </w:rPr>
        <w:t>.</w:t>
      </w:r>
    </w:p>
    <w:p w14:paraId="2819D2FC" w14:textId="1C192840" w:rsidR="004647B9" w:rsidRPr="00E25CD4" w:rsidRDefault="00E2436F" w:rsidP="00563A54">
      <w:pPr>
        <w:numPr>
          <w:ilvl w:val="4"/>
          <w:numId w:val="91"/>
        </w:numPr>
        <w:tabs>
          <w:tab w:val="left" w:pos="3236"/>
        </w:tabs>
        <w:spacing w:line="243" w:lineRule="auto"/>
        <w:ind w:left="2642" w:hanging="5"/>
        <w:rPr>
          <w:rFonts w:eastAsia="Times New Roman"/>
          <w:sz w:val="24"/>
          <w:szCs w:val="24"/>
        </w:rPr>
      </w:pPr>
      <w:r w:rsidRPr="00E25CD4">
        <w:rPr>
          <w:rFonts w:eastAsia="Times New Roman"/>
          <w:sz w:val="24"/>
          <w:szCs w:val="24"/>
        </w:rPr>
        <w:t xml:space="preserve">Standard Methods 9223, </w:t>
      </w:r>
      <w:r w:rsidRPr="00E25CD4">
        <w:rPr>
          <w:rFonts w:eastAsia="Times New Roman"/>
          <w:i/>
          <w:iCs/>
          <w:sz w:val="24"/>
          <w:szCs w:val="24"/>
        </w:rPr>
        <w:t>Enzyme Substrate Coliform Test</w:t>
      </w:r>
      <w:r w:rsidRPr="00E25CD4">
        <w:rPr>
          <w:rFonts w:eastAsia="Times New Roman"/>
          <w:sz w:val="24"/>
          <w:szCs w:val="24"/>
        </w:rPr>
        <w:t xml:space="preserve">, B, </w:t>
      </w:r>
      <w:r w:rsidRPr="00E25CD4">
        <w:rPr>
          <w:rFonts w:eastAsia="Times New Roman"/>
          <w:i/>
          <w:iCs/>
          <w:sz w:val="24"/>
          <w:szCs w:val="24"/>
        </w:rPr>
        <w:t>Enzyme</w:t>
      </w:r>
      <w:r w:rsidRPr="00E25CD4">
        <w:rPr>
          <w:rFonts w:eastAsia="Times New Roman"/>
          <w:sz w:val="24"/>
          <w:szCs w:val="24"/>
        </w:rPr>
        <w:t xml:space="preserve"> </w:t>
      </w:r>
      <w:r w:rsidRPr="00E25CD4">
        <w:rPr>
          <w:rFonts w:eastAsia="Times New Roman"/>
          <w:i/>
          <w:iCs/>
          <w:sz w:val="24"/>
          <w:szCs w:val="24"/>
        </w:rPr>
        <w:t>Substrate Test</w:t>
      </w:r>
      <w:r w:rsidRPr="00E25CD4">
        <w:rPr>
          <w:rFonts w:eastAsia="Times New Roman"/>
          <w:sz w:val="24"/>
          <w:szCs w:val="24"/>
        </w:rPr>
        <w:t>, Colilert</w:t>
      </w:r>
      <w:r w:rsidR="00C51699" w:rsidRPr="00F214C3">
        <w:rPr>
          <w:rFonts w:eastAsia="Times New Roman"/>
          <w:sz w:val="24"/>
          <w:szCs w:val="24"/>
          <w:vertAlign w:val="superscript"/>
        </w:rPr>
        <w:t>®</w:t>
      </w:r>
      <w:r w:rsidRPr="00E25CD4">
        <w:rPr>
          <w:rFonts w:eastAsia="Times New Roman"/>
          <w:sz w:val="24"/>
          <w:szCs w:val="24"/>
        </w:rPr>
        <w:t xml:space="preserve"> and Colisure</w:t>
      </w:r>
      <w:r w:rsidR="00C51699" w:rsidRPr="00F214C3">
        <w:rPr>
          <w:rFonts w:eastAsia="Times New Roman"/>
          <w:sz w:val="24"/>
          <w:szCs w:val="24"/>
          <w:vertAlign w:val="superscript"/>
        </w:rPr>
        <w:t>®</w:t>
      </w:r>
      <w:r w:rsidRPr="00E25CD4">
        <w:rPr>
          <w:rFonts w:eastAsia="Times New Roman"/>
          <w:sz w:val="24"/>
          <w:szCs w:val="24"/>
        </w:rPr>
        <w:t>.</w:t>
      </w:r>
    </w:p>
    <w:p w14:paraId="2819D2FD" w14:textId="77777777" w:rsidR="004647B9" w:rsidRPr="00E25CD4" w:rsidRDefault="00E2436F" w:rsidP="00563A54">
      <w:pPr>
        <w:numPr>
          <w:ilvl w:val="1"/>
          <w:numId w:val="92"/>
        </w:numPr>
        <w:tabs>
          <w:tab w:val="left" w:pos="3098"/>
        </w:tabs>
        <w:spacing w:line="243" w:lineRule="auto"/>
        <w:ind w:left="2642" w:hanging="5"/>
        <w:jc w:val="both"/>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G.1.c(2),</w:t>
      </w:r>
      <w:r w:rsidRPr="00E25CD4">
        <w:rPr>
          <w:rFonts w:eastAsia="Times New Roman"/>
          <w:i/>
          <w:iCs/>
          <w:sz w:val="24"/>
          <w:szCs w:val="24"/>
        </w:rPr>
        <w:t xml:space="preserve"> Escherichia coli Partition Method: EC broth with MUG (EC- MUG)</w:t>
      </w:r>
      <w:r w:rsidRPr="00E25CD4">
        <w:rPr>
          <w:rFonts w:eastAsia="Times New Roman"/>
          <w:sz w:val="24"/>
          <w:szCs w:val="24"/>
        </w:rPr>
        <w:t>.</w:t>
      </w:r>
    </w:p>
    <w:p w14:paraId="2819D2FF" w14:textId="77777777" w:rsidR="004647B9" w:rsidRPr="00E25CD4" w:rsidRDefault="00E2436F" w:rsidP="00563A54">
      <w:pPr>
        <w:numPr>
          <w:ilvl w:val="1"/>
          <w:numId w:val="92"/>
        </w:numPr>
        <w:tabs>
          <w:tab w:val="left" w:pos="3046"/>
        </w:tabs>
        <w:spacing w:line="253" w:lineRule="auto"/>
        <w:ind w:left="2642" w:hanging="5"/>
        <w:jc w:val="both"/>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G.1.c(1),</w:t>
      </w:r>
      <w:r w:rsidRPr="00E25CD4">
        <w:rPr>
          <w:rFonts w:eastAsia="Times New Roman"/>
          <w:i/>
          <w:iCs/>
          <w:sz w:val="24"/>
          <w:szCs w:val="24"/>
        </w:rPr>
        <w:t xml:space="preserve"> Escherichia coli Partition Method: NA-MUG medium</w:t>
      </w:r>
      <w:r w:rsidRPr="00E25CD4">
        <w:rPr>
          <w:rFonts w:eastAsia="Times New Roman"/>
          <w:sz w:val="24"/>
          <w:szCs w:val="24"/>
        </w:rPr>
        <w:t>.</w:t>
      </w:r>
    </w:p>
    <w:p w14:paraId="2819D301" w14:textId="6A3ED244" w:rsidR="004647B9" w:rsidRPr="00E25CD4" w:rsidRDefault="00E2436F" w:rsidP="00563A54">
      <w:pPr>
        <w:numPr>
          <w:ilvl w:val="0"/>
          <w:numId w:val="93"/>
        </w:numPr>
        <w:tabs>
          <w:tab w:val="left" w:pos="2622"/>
        </w:tabs>
        <w:ind w:left="2622" w:hanging="345"/>
        <w:rPr>
          <w:rFonts w:eastAsia="Times New Roman"/>
          <w:sz w:val="24"/>
          <w:szCs w:val="24"/>
        </w:rPr>
      </w:pPr>
      <w:r w:rsidRPr="00E25CD4">
        <w:rPr>
          <w:rFonts w:eastAsia="Times New Roman"/>
          <w:sz w:val="24"/>
          <w:szCs w:val="24"/>
        </w:rPr>
        <w:t>Standard Methods Online.</w:t>
      </w:r>
    </w:p>
    <w:p w14:paraId="2819D303" w14:textId="77777777" w:rsidR="004647B9" w:rsidRDefault="00E2436F" w:rsidP="00563A54">
      <w:pPr>
        <w:numPr>
          <w:ilvl w:val="1"/>
          <w:numId w:val="93"/>
        </w:numPr>
        <w:tabs>
          <w:tab w:val="left" w:pos="2921"/>
        </w:tabs>
        <w:spacing w:line="243" w:lineRule="auto"/>
        <w:ind w:left="2642" w:hanging="5"/>
        <w:jc w:val="both"/>
        <w:rPr>
          <w:rFonts w:eastAsia="Times New Roman"/>
          <w:sz w:val="24"/>
          <w:szCs w:val="24"/>
        </w:rPr>
      </w:pPr>
      <w:r w:rsidRPr="00E25CD4">
        <w:rPr>
          <w:rFonts w:eastAsia="Times New Roman"/>
          <w:sz w:val="24"/>
          <w:szCs w:val="24"/>
        </w:rPr>
        <w:t xml:space="preserve">Standard Methods Online 9222, </w:t>
      </w:r>
      <w:r w:rsidRPr="00E25CD4">
        <w:rPr>
          <w:rFonts w:eastAsia="Times New Roman"/>
          <w:i/>
          <w:iCs/>
          <w:sz w:val="24"/>
          <w:szCs w:val="24"/>
        </w:rPr>
        <w:t>Membrane Filter Technique for Members of</w:t>
      </w:r>
      <w:r w:rsidRPr="00E25CD4">
        <w:rPr>
          <w:rFonts w:eastAsia="Times New Roman"/>
          <w:sz w:val="24"/>
          <w:szCs w:val="24"/>
        </w:rPr>
        <w:t xml:space="preserve"> </w:t>
      </w:r>
      <w:r w:rsidRPr="00E25CD4">
        <w:rPr>
          <w:rFonts w:eastAsia="Times New Roman"/>
          <w:i/>
          <w:iCs/>
          <w:sz w:val="24"/>
          <w:szCs w:val="24"/>
        </w:rPr>
        <w:t xml:space="preserve">the Coliform Group </w:t>
      </w:r>
      <w:r w:rsidRPr="00E25CD4">
        <w:rPr>
          <w:rFonts w:eastAsia="Times New Roman"/>
          <w:sz w:val="24"/>
          <w:szCs w:val="24"/>
        </w:rPr>
        <w:t>(1997), B-97,</w:t>
      </w:r>
      <w:r w:rsidRPr="00E25CD4">
        <w:rPr>
          <w:rFonts w:eastAsia="Times New Roman"/>
          <w:i/>
          <w:iCs/>
          <w:sz w:val="24"/>
          <w:szCs w:val="24"/>
        </w:rPr>
        <w:t xml:space="preserve"> Standard Total Coliform Membrane Filter</w:t>
      </w:r>
      <w:r>
        <w:rPr>
          <w:rFonts w:eastAsia="Times New Roman"/>
          <w:i/>
          <w:iCs/>
          <w:sz w:val="24"/>
          <w:szCs w:val="24"/>
        </w:rPr>
        <w:t xml:space="preserve"> Procedure</w:t>
      </w:r>
      <w:r>
        <w:rPr>
          <w:rFonts w:eastAsia="Times New Roman"/>
          <w:sz w:val="24"/>
          <w:szCs w:val="24"/>
        </w:rPr>
        <w:t>.</w:t>
      </w:r>
    </w:p>
    <w:p w14:paraId="2819D305" w14:textId="77777777" w:rsidR="004647B9" w:rsidRDefault="00E2436F" w:rsidP="00563A54">
      <w:pPr>
        <w:numPr>
          <w:ilvl w:val="1"/>
          <w:numId w:val="93"/>
        </w:numPr>
        <w:tabs>
          <w:tab w:val="left" w:pos="2973"/>
        </w:tabs>
        <w:spacing w:line="253" w:lineRule="auto"/>
        <w:ind w:left="2642" w:hanging="5"/>
        <w:jc w:val="both"/>
        <w:rPr>
          <w:rFonts w:eastAsia="Times New Roman"/>
          <w:sz w:val="23"/>
          <w:szCs w:val="23"/>
        </w:rPr>
      </w:pPr>
      <w:r>
        <w:rPr>
          <w:rFonts w:eastAsia="Times New Roman"/>
          <w:sz w:val="23"/>
          <w:szCs w:val="23"/>
        </w:rPr>
        <w:t xml:space="preserve">Standard Methods Online 9222, </w:t>
      </w:r>
      <w:r>
        <w:rPr>
          <w:rFonts w:eastAsia="Times New Roman"/>
          <w:i/>
          <w:iCs/>
          <w:sz w:val="23"/>
          <w:szCs w:val="23"/>
        </w:rPr>
        <w:t>Membrane Filter Technique for Members of</w:t>
      </w:r>
      <w:r>
        <w:rPr>
          <w:rFonts w:eastAsia="Times New Roman"/>
          <w:sz w:val="23"/>
          <w:szCs w:val="23"/>
        </w:rPr>
        <w:t xml:space="preserve"> </w:t>
      </w:r>
      <w:r>
        <w:rPr>
          <w:rFonts w:eastAsia="Times New Roman"/>
          <w:i/>
          <w:iCs/>
          <w:sz w:val="23"/>
          <w:szCs w:val="23"/>
        </w:rPr>
        <w:t xml:space="preserve">the Coliform Group </w:t>
      </w:r>
      <w:r>
        <w:rPr>
          <w:rFonts w:eastAsia="Times New Roman"/>
          <w:sz w:val="23"/>
          <w:szCs w:val="23"/>
        </w:rPr>
        <w:t>(1997), C-97,</w:t>
      </w:r>
      <w:r>
        <w:rPr>
          <w:rFonts w:eastAsia="Times New Roman"/>
          <w:i/>
          <w:iCs/>
          <w:sz w:val="23"/>
          <w:szCs w:val="23"/>
        </w:rPr>
        <w:t xml:space="preserve"> Delayed-incubation Total Coliform Procedure</w:t>
      </w:r>
      <w:r>
        <w:rPr>
          <w:rFonts w:eastAsia="Times New Roman"/>
          <w:sz w:val="23"/>
          <w:szCs w:val="23"/>
        </w:rPr>
        <w:t>.</w:t>
      </w:r>
    </w:p>
    <w:p w14:paraId="2819D307" w14:textId="6F8CBBD7" w:rsidR="004647B9" w:rsidRDefault="00E2436F" w:rsidP="00563A54">
      <w:pPr>
        <w:numPr>
          <w:ilvl w:val="1"/>
          <w:numId w:val="93"/>
        </w:numPr>
        <w:tabs>
          <w:tab w:val="left" w:pos="3120"/>
        </w:tabs>
        <w:spacing w:line="246" w:lineRule="auto"/>
        <w:ind w:left="2642" w:hanging="5"/>
        <w:rPr>
          <w:rFonts w:eastAsia="Times New Roman"/>
          <w:sz w:val="24"/>
          <w:szCs w:val="24"/>
        </w:rPr>
      </w:pPr>
      <w:r>
        <w:rPr>
          <w:rFonts w:eastAsia="Times New Roman"/>
          <w:sz w:val="24"/>
          <w:szCs w:val="24"/>
        </w:rPr>
        <w:t xml:space="preserve">Standard Methods Online 9223, </w:t>
      </w:r>
      <w:r>
        <w:rPr>
          <w:rFonts w:eastAsia="Times New Roman"/>
          <w:i/>
          <w:iCs/>
          <w:sz w:val="24"/>
          <w:szCs w:val="24"/>
        </w:rPr>
        <w:t>Enzyme Substrate Coliform Test</w:t>
      </w:r>
      <w:r>
        <w:rPr>
          <w:rFonts w:eastAsia="Times New Roman"/>
          <w:sz w:val="24"/>
          <w:szCs w:val="24"/>
        </w:rPr>
        <w:t xml:space="preserve"> (1997), B-97, </w:t>
      </w:r>
      <w:r>
        <w:rPr>
          <w:rFonts w:eastAsia="Times New Roman"/>
          <w:i/>
          <w:iCs/>
          <w:sz w:val="24"/>
          <w:szCs w:val="24"/>
        </w:rPr>
        <w:t>Enzyme Substrate Test</w:t>
      </w:r>
      <w:r>
        <w:rPr>
          <w:rFonts w:eastAsia="Times New Roman"/>
          <w:sz w:val="24"/>
          <w:szCs w:val="24"/>
        </w:rPr>
        <w:t>, Colilert</w:t>
      </w:r>
      <w:r w:rsidR="009E01DC" w:rsidRPr="00F214C3">
        <w:rPr>
          <w:rFonts w:eastAsia="Times New Roman"/>
          <w:sz w:val="24"/>
          <w:szCs w:val="24"/>
          <w:vertAlign w:val="superscript"/>
        </w:rPr>
        <w:t>®</w:t>
      </w:r>
      <w:r>
        <w:rPr>
          <w:rFonts w:eastAsia="Times New Roman"/>
          <w:sz w:val="24"/>
          <w:szCs w:val="24"/>
        </w:rPr>
        <w:t xml:space="preserve"> and Colisure</w:t>
      </w:r>
      <w:r w:rsidR="009E01DC" w:rsidRPr="00F214C3">
        <w:rPr>
          <w:rFonts w:eastAsia="Times New Roman"/>
          <w:sz w:val="24"/>
          <w:szCs w:val="24"/>
          <w:vertAlign w:val="superscript"/>
        </w:rPr>
        <w:t>®</w:t>
      </w:r>
      <w:r>
        <w:rPr>
          <w:rFonts w:eastAsia="Times New Roman"/>
          <w:sz w:val="24"/>
          <w:szCs w:val="24"/>
        </w:rPr>
        <w:t>.</w:t>
      </w:r>
    </w:p>
    <w:p w14:paraId="2819D308" w14:textId="0D6F611A" w:rsidR="004647B9" w:rsidRDefault="004647B9" w:rsidP="00D038C9">
      <w:pPr>
        <w:rPr>
          <w:sz w:val="20"/>
          <w:szCs w:val="20"/>
        </w:rPr>
      </w:pPr>
    </w:p>
    <w:p w14:paraId="2819D309" w14:textId="77777777" w:rsidR="004647B9" w:rsidRPr="00E25CD4" w:rsidRDefault="004647B9" w:rsidP="00D038C9">
      <w:pPr>
        <w:rPr>
          <w:sz w:val="24"/>
          <w:szCs w:val="24"/>
        </w:rPr>
        <w:sectPr w:rsidR="004647B9" w:rsidRPr="00E25CD4" w:rsidSect="00EF630C">
          <w:pgSz w:w="12240" w:h="20180"/>
          <w:pgMar w:top="708" w:right="1440" w:bottom="1440" w:left="598" w:header="0" w:footer="0" w:gutter="0"/>
          <w:cols w:space="720" w:equalWidth="0">
            <w:col w:w="10202"/>
          </w:cols>
        </w:sectPr>
      </w:pPr>
      <w:bookmarkStart w:id="43" w:name="page44"/>
      <w:bookmarkEnd w:id="43"/>
    </w:p>
    <w:p w14:paraId="2819D30A" w14:textId="77777777" w:rsidR="004647B9" w:rsidRDefault="00E2436F">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30B" w14:textId="77777777" w:rsidR="004647B9" w:rsidRDefault="004647B9" w:rsidP="00D038C9">
      <w:pPr>
        <w:rPr>
          <w:sz w:val="20"/>
          <w:szCs w:val="20"/>
        </w:rPr>
      </w:pPr>
    </w:p>
    <w:p w14:paraId="2819D30C" w14:textId="77777777" w:rsidR="004647B9" w:rsidRDefault="004647B9" w:rsidP="00D038C9">
      <w:pPr>
        <w:rPr>
          <w:sz w:val="20"/>
          <w:szCs w:val="20"/>
        </w:rPr>
      </w:pPr>
    </w:p>
    <w:p w14:paraId="2819D30D"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30E" w14:textId="77777777" w:rsidR="004647B9" w:rsidRDefault="004647B9" w:rsidP="00D038C9">
      <w:pPr>
        <w:rPr>
          <w:sz w:val="20"/>
          <w:szCs w:val="20"/>
        </w:rPr>
      </w:pPr>
    </w:p>
    <w:p w14:paraId="2819D30F" w14:textId="07156900" w:rsidR="004647B9" w:rsidRPr="00E25CD4" w:rsidRDefault="00E2436F" w:rsidP="00563A54">
      <w:pPr>
        <w:numPr>
          <w:ilvl w:val="2"/>
          <w:numId w:val="94"/>
        </w:numPr>
        <w:tabs>
          <w:tab w:val="left" w:pos="2294"/>
        </w:tabs>
        <w:spacing w:line="250" w:lineRule="auto"/>
        <w:ind w:left="1920" w:hanging="5"/>
        <w:jc w:val="both"/>
        <w:rPr>
          <w:rFonts w:eastAsia="Times New Roman"/>
          <w:sz w:val="24"/>
          <w:szCs w:val="24"/>
        </w:rPr>
      </w:pPr>
      <w:r w:rsidRPr="00E25CD4">
        <w:rPr>
          <w:rFonts w:eastAsia="Times New Roman"/>
          <w:sz w:val="24"/>
          <w:szCs w:val="24"/>
        </w:rPr>
        <w:t>Charm Sciences, Inc., 659 Andover Street, Lawrence, MA 01843-1032, telephone 1-800-343-2170: E*Colite</w:t>
      </w:r>
      <w:r w:rsidR="009E01DC" w:rsidRPr="00F214C3">
        <w:rPr>
          <w:rFonts w:eastAsia="Times New Roman"/>
          <w:sz w:val="24"/>
          <w:szCs w:val="24"/>
          <w:vertAlign w:val="superscript"/>
        </w:rPr>
        <w:t>®</w:t>
      </w:r>
      <w:r w:rsidRPr="00E25CD4">
        <w:rPr>
          <w:rFonts w:eastAsia="Times New Roman"/>
          <w:sz w:val="24"/>
          <w:szCs w:val="24"/>
        </w:rPr>
        <w:t xml:space="preserve"> - </w:t>
      </w:r>
      <w:r w:rsidRPr="00E25CD4">
        <w:rPr>
          <w:rFonts w:eastAsia="Times New Roman"/>
          <w:i/>
          <w:iCs/>
          <w:sz w:val="24"/>
          <w:szCs w:val="24"/>
        </w:rPr>
        <w:t>Charm E*Colite</w:t>
      </w:r>
      <w:r w:rsidR="002F7A93" w:rsidRPr="002F7A93">
        <w:rPr>
          <w:rFonts w:eastAsia="Times New Roman"/>
          <w:i/>
          <w:iCs/>
          <w:sz w:val="24"/>
          <w:szCs w:val="24"/>
          <w:vertAlign w:val="superscript"/>
        </w:rPr>
        <w:t>TM</w:t>
      </w:r>
      <w:r w:rsidRPr="00E25CD4">
        <w:rPr>
          <w:rFonts w:eastAsia="Times New Roman"/>
          <w:i/>
          <w:iCs/>
          <w:sz w:val="24"/>
          <w:szCs w:val="24"/>
        </w:rPr>
        <w:t xml:space="preserve"> Presence/Absence Test for Detection</w:t>
      </w:r>
      <w:r w:rsidRPr="00E25CD4">
        <w:rPr>
          <w:rFonts w:eastAsia="Times New Roman"/>
          <w:sz w:val="24"/>
          <w:szCs w:val="24"/>
        </w:rPr>
        <w:t xml:space="preserve"> </w:t>
      </w:r>
      <w:r w:rsidRPr="00E25CD4">
        <w:rPr>
          <w:rFonts w:eastAsia="Times New Roman"/>
          <w:i/>
          <w:iCs/>
          <w:sz w:val="24"/>
          <w:szCs w:val="24"/>
        </w:rPr>
        <w:t>and Identification of Coliform Bacteria and Escherichia coli in Drinking Water</w:t>
      </w:r>
      <w:r w:rsidRPr="00E25CD4">
        <w:rPr>
          <w:rFonts w:eastAsia="Times New Roman"/>
          <w:sz w:val="24"/>
          <w:szCs w:val="24"/>
        </w:rPr>
        <w:t>,</w:t>
      </w:r>
      <w:r w:rsidRPr="00E25CD4">
        <w:rPr>
          <w:rFonts w:eastAsia="Times New Roman"/>
          <w:i/>
          <w:iCs/>
          <w:sz w:val="24"/>
          <w:szCs w:val="24"/>
        </w:rPr>
        <w:t xml:space="preserve"> </w:t>
      </w:r>
      <w:r w:rsidRPr="00E25CD4">
        <w:rPr>
          <w:rFonts w:eastAsia="Times New Roman"/>
          <w:sz w:val="24"/>
          <w:szCs w:val="24"/>
        </w:rPr>
        <w:t>January 9, 1998.</w:t>
      </w:r>
    </w:p>
    <w:p w14:paraId="2819D310" w14:textId="5B69E6DC" w:rsidR="004647B9" w:rsidRPr="00E25CD4" w:rsidRDefault="00E2436F" w:rsidP="00563A54">
      <w:pPr>
        <w:numPr>
          <w:ilvl w:val="2"/>
          <w:numId w:val="94"/>
        </w:numPr>
        <w:tabs>
          <w:tab w:val="left" w:pos="2359"/>
        </w:tabs>
        <w:spacing w:line="243" w:lineRule="auto"/>
        <w:ind w:left="1920" w:hanging="5"/>
        <w:jc w:val="both"/>
        <w:rPr>
          <w:rFonts w:eastAsia="Times New Roman"/>
          <w:sz w:val="24"/>
          <w:szCs w:val="24"/>
        </w:rPr>
      </w:pPr>
      <w:r w:rsidRPr="00E25CD4">
        <w:rPr>
          <w:rFonts w:eastAsia="Times New Roman"/>
          <w:sz w:val="24"/>
          <w:szCs w:val="24"/>
        </w:rPr>
        <w:t>CPI International, Inc., 5580 Skylane Blvd., Santa Rosa, CA, 95403, telephone 1-800-878-7654: modified Colitag</w:t>
      </w:r>
      <w:r w:rsidR="00A24AD7" w:rsidRPr="00F214C3">
        <w:rPr>
          <w:rFonts w:eastAsia="Times New Roman"/>
          <w:sz w:val="24"/>
          <w:szCs w:val="24"/>
          <w:vertAlign w:val="superscript"/>
        </w:rPr>
        <w:t>®</w:t>
      </w:r>
      <w:r w:rsidRPr="00E25CD4">
        <w:rPr>
          <w:rFonts w:eastAsia="Times New Roman"/>
          <w:sz w:val="24"/>
          <w:szCs w:val="24"/>
        </w:rPr>
        <w:t>, ATP D05-0035-</w:t>
      </w:r>
      <w:r w:rsidRPr="00E25CD4">
        <w:rPr>
          <w:rFonts w:eastAsia="Times New Roman"/>
          <w:i/>
          <w:iCs/>
          <w:sz w:val="24"/>
          <w:szCs w:val="24"/>
        </w:rPr>
        <w:t>Modified Colitag</w:t>
      </w:r>
      <w:r w:rsidR="00A24AD7" w:rsidRPr="00A24AD7">
        <w:rPr>
          <w:rFonts w:eastAsia="Times New Roman"/>
          <w:i/>
          <w:iCs/>
          <w:sz w:val="24"/>
          <w:szCs w:val="24"/>
          <w:vertAlign w:val="superscript"/>
        </w:rPr>
        <w:t>TM</w:t>
      </w:r>
      <w:r w:rsidRPr="00E25CD4">
        <w:rPr>
          <w:rFonts w:eastAsia="Times New Roman"/>
          <w:i/>
          <w:iCs/>
          <w:sz w:val="24"/>
          <w:szCs w:val="24"/>
        </w:rPr>
        <w:t xml:space="preserve"> Test Method</w:t>
      </w:r>
      <w:r w:rsidRPr="00E25CD4">
        <w:rPr>
          <w:rFonts w:eastAsia="Times New Roman"/>
          <w:sz w:val="24"/>
          <w:szCs w:val="24"/>
        </w:rPr>
        <w:t xml:space="preserve"> </w:t>
      </w:r>
      <w:r w:rsidRPr="00E25CD4">
        <w:rPr>
          <w:rFonts w:eastAsia="Times New Roman"/>
          <w:i/>
          <w:iCs/>
          <w:sz w:val="24"/>
          <w:szCs w:val="24"/>
        </w:rPr>
        <w:t>for the Simultaneous Detection of E. coli and other Total Coliforms in Water</w:t>
      </w:r>
      <w:r w:rsidRPr="00E25CD4">
        <w:rPr>
          <w:rFonts w:eastAsia="Times New Roman"/>
          <w:sz w:val="24"/>
          <w:szCs w:val="24"/>
        </w:rPr>
        <w:t>,</w:t>
      </w:r>
      <w:r w:rsidRPr="00E25CD4">
        <w:rPr>
          <w:rFonts w:eastAsia="Times New Roman"/>
          <w:i/>
          <w:iCs/>
          <w:sz w:val="24"/>
          <w:szCs w:val="24"/>
        </w:rPr>
        <w:t xml:space="preserve"> </w:t>
      </w:r>
      <w:r w:rsidRPr="00E25CD4">
        <w:rPr>
          <w:rFonts w:eastAsia="Times New Roman"/>
          <w:sz w:val="24"/>
          <w:szCs w:val="24"/>
        </w:rPr>
        <w:t>August 28, 2009.</w:t>
      </w:r>
    </w:p>
    <w:p w14:paraId="2819D311" w14:textId="77777777" w:rsidR="004647B9" w:rsidRPr="00E25CD4" w:rsidRDefault="00E2436F" w:rsidP="00563A54">
      <w:pPr>
        <w:numPr>
          <w:ilvl w:val="2"/>
          <w:numId w:val="94"/>
        </w:numPr>
        <w:tabs>
          <w:tab w:val="left" w:pos="2323"/>
        </w:tabs>
        <w:spacing w:line="243" w:lineRule="auto"/>
        <w:ind w:left="1920" w:hanging="5"/>
        <w:rPr>
          <w:rFonts w:eastAsia="Times New Roman"/>
          <w:sz w:val="24"/>
          <w:szCs w:val="24"/>
        </w:rPr>
      </w:pPr>
      <w:r w:rsidRPr="00E25CD4">
        <w:rPr>
          <w:rFonts w:eastAsia="Times New Roman"/>
          <w:sz w:val="24"/>
          <w:szCs w:val="24"/>
        </w:rPr>
        <w:t>EMD Millipore (a division of Merck KGaA, Darmstadt Germany), 290 Concord Road, Billerica, MA 01821, telephone 1-800-645-5476:</w:t>
      </w:r>
    </w:p>
    <w:p w14:paraId="2819D312" w14:textId="3148A8A6" w:rsidR="004647B9" w:rsidRPr="00E25CD4" w:rsidRDefault="00E2436F" w:rsidP="00563A54">
      <w:pPr>
        <w:numPr>
          <w:ilvl w:val="3"/>
          <w:numId w:val="94"/>
        </w:numPr>
        <w:tabs>
          <w:tab w:val="left" w:pos="2655"/>
        </w:tabs>
        <w:spacing w:line="243" w:lineRule="auto"/>
        <w:ind w:left="2280" w:hanging="5"/>
        <w:jc w:val="both"/>
        <w:rPr>
          <w:rFonts w:eastAsia="Times New Roman"/>
          <w:sz w:val="24"/>
          <w:szCs w:val="24"/>
        </w:rPr>
      </w:pPr>
      <w:r w:rsidRPr="00E25CD4">
        <w:rPr>
          <w:rFonts w:eastAsia="Times New Roman"/>
          <w:sz w:val="24"/>
          <w:szCs w:val="24"/>
        </w:rPr>
        <w:t>Chromocult</w:t>
      </w:r>
      <w:r w:rsidR="009D6D6B" w:rsidRPr="00F214C3">
        <w:rPr>
          <w:rFonts w:eastAsia="Times New Roman"/>
          <w:sz w:val="24"/>
          <w:szCs w:val="24"/>
          <w:vertAlign w:val="superscript"/>
        </w:rPr>
        <w:t>®</w:t>
      </w:r>
      <w:r w:rsidRPr="00E25CD4">
        <w:rPr>
          <w:rFonts w:eastAsia="Times New Roman"/>
          <w:sz w:val="24"/>
          <w:szCs w:val="24"/>
        </w:rPr>
        <w:t xml:space="preserve"> - </w:t>
      </w:r>
      <w:r w:rsidRPr="00E25CD4">
        <w:rPr>
          <w:rFonts w:eastAsia="Times New Roman"/>
          <w:i/>
          <w:iCs/>
          <w:sz w:val="24"/>
          <w:szCs w:val="24"/>
        </w:rPr>
        <w:t>Chromocult</w:t>
      </w:r>
      <w:r w:rsidR="00D82E84" w:rsidRPr="00F214C3">
        <w:rPr>
          <w:rFonts w:eastAsia="Times New Roman"/>
          <w:sz w:val="24"/>
          <w:szCs w:val="24"/>
          <w:vertAlign w:val="superscript"/>
        </w:rPr>
        <w:t>®</w:t>
      </w:r>
      <w:r w:rsidRPr="00E25CD4">
        <w:rPr>
          <w:rFonts w:eastAsia="Times New Roman"/>
          <w:i/>
          <w:iCs/>
          <w:sz w:val="24"/>
          <w:szCs w:val="24"/>
        </w:rPr>
        <w:t xml:space="preserve"> Coliform Agar Presence/Absence Membrane Filter</w:t>
      </w:r>
      <w:r w:rsidRPr="00E25CD4">
        <w:rPr>
          <w:rFonts w:eastAsia="Times New Roman"/>
          <w:sz w:val="24"/>
          <w:szCs w:val="24"/>
        </w:rPr>
        <w:t xml:space="preserve"> </w:t>
      </w:r>
      <w:r w:rsidRPr="00E25CD4">
        <w:rPr>
          <w:rFonts w:eastAsia="Times New Roman"/>
          <w:i/>
          <w:iCs/>
          <w:sz w:val="24"/>
          <w:szCs w:val="24"/>
        </w:rPr>
        <w:t>Test Method for Detection and Identification of Coliform Bacteria and Escherichia coli for Finished Waters</w:t>
      </w:r>
      <w:r w:rsidRPr="00E25CD4">
        <w:rPr>
          <w:rFonts w:eastAsia="Times New Roman"/>
          <w:sz w:val="24"/>
          <w:szCs w:val="24"/>
        </w:rPr>
        <w:t>, November 2000, Version 1.0.</w:t>
      </w:r>
    </w:p>
    <w:p w14:paraId="2819D314" w14:textId="372102F9" w:rsidR="004647B9" w:rsidRPr="00E25CD4" w:rsidRDefault="00E2436F" w:rsidP="00563A54">
      <w:pPr>
        <w:numPr>
          <w:ilvl w:val="3"/>
          <w:numId w:val="94"/>
        </w:numPr>
        <w:tabs>
          <w:tab w:val="left" w:pos="2640"/>
        </w:tabs>
        <w:spacing w:line="242" w:lineRule="auto"/>
        <w:ind w:left="2280" w:hanging="5"/>
        <w:jc w:val="both"/>
        <w:rPr>
          <w:rFonts w:eastAsia="Times New Roman"/>
          <w:sz w:val="24"/>
          <w:szCs w:val="24"/>
        </w:rPr>
      </w:pPr>
      <w:r w:rsidRPr="00E25CD4">
        <w:rPr>
          <w:rFonts w:eastAsia="Times New Roman"/>
          <w:sz w:val="24"/>
          <w:szCs w:val="24"/>
        </w:rPr>
        <w:t>Readycult</w:t>
      </w:r>
      <w:r w:rsidR="00D82E84" w:rsidRPr="00F214C3">
        <w:rPr>
          <w:rFonts w:eastAsia="Times New Roman"/>
          <w:sz w:val="24"/>
          <w:szCs w:val="24"/>
          <w:vertAlign w:val="superscript"/>
        </w:rPr>
        <w:t>®</w:t>
      </w:r>
      <w:r w:rsidRPr="00E25CD4">
        <w:rPr>
          <w:rFonts w:eastAsia="Times New Roman"/>
          <w:sz w:val="24"/>
          <w:szCs w:val="24"/>
        </w:rPr>
        <w:t xml:space="preserve"> - </w:t>
      </w:r>
      <w:r w:rsidRPr="00E25CD4">
        <w:rPr>
          <w:rFonts w:eastAsia="Times New Roman"/>
          <w:i/>
          <w:iCs/>
          <w:sz w:val="24"/>
          <w:szCs w:val="24"/>
        </w:rPr>
        <w:t>Readycult</w:t>
      </w:r>
      <w:r w:rsidR="00D82E84" w:rsidRPr="00F214C3">
        <w:rPr>
          <w:rFonts w:eastAsia="Times New Roman"/>
          <w:sz w:val="24"/>
          <w:szCs w:val="24"/>
          <w:vertAlign w:val="superscript"/>
        </w:rPr>
        <w:t>®</w:t>
      </w:r>
      <w:r w:rsidRPr="00E25CD4">
        <w:rPr>
          <w:rFonts w:eastAsia="Times New Roman"/>
          <w:i/>
          <w:iCs/>
          <w:sz w:val="24"/>
          <w:szCs w:val="24"/>
        </w:rPr>
        <w:t xml:space="preserve"> Coliforms 100 Presence/Absence Test for Detection and</w:t>
      </w:r>
      <w:r w:rsidRPr="00E25CD4">
        <w:rPr>
          <w:rFonts w:eastAsia="Times New Roman"/>
          <w:sz w:val="24"/>
          <w:szCs w:val="24"/>
        </w:rPr>
        <w:t xml:space="preserve"> </w:t>
      </w:r>
      <w:r w:rsidRPr="00E25CD4">
        <w:rPr>
          <w:rFonts w:eastAsia="Times New Roman"/>
          <w:i/>
          <w:iCs/>
          <w:sz w:val="24"/>
          <w:szCs w:val="24"/>
        </w:rPr>
        <w:t>Identification of Coliform Bacteria and Escherichia coli in Finished Waters</w:t>
      </w:r>
      <w:r w:rsidRPr="00E25CD4">
        <w:rPr>
          <w:rFonts w:eastAsia="Times New Roman"/>
          <w:sz w:val="24"/>
          <w:szCs w:val="24"/>
        </w:rPr>
        <w:t>,</w:t>
      </w:r>
      <w:r w:rsidRPr="00E25CD4">
        <w:rPr>
          <w:rFonts w:eastAsia="Times New Roman"/>
          <w:i/>
          <w:iCs/>
          <w:sz w:val="24"/>
          <w:szCs w:val="24"/>
        </w:rPr>
        <w:t xml:space="preserve"> </w:t>
      </w:r>
      <w:r w:rsidRPr="00E25CD4">
        <w:rPr>
          <w:rFonts w:eastAsia="Times New Roman"/>
          <w:sz w:val="24"/>
          <w:szCs w:val="24"/>
        </w:rPr>
        <w:t>January 2007, Version 1.1.</w:t>
      </w:r>
    </w:p>
    <w:p w14:paraId="2819D316" w14:textId="08CA792A" w:rsidR="004647B9" w:rsidRPr="00E25CD4" w:rsidRDefault="00E2436F" w:rsidP="00563A54">
      <w:pPr>
        <w:numPr>
          <w:ilvl w:val="2"/>
          <w:numId w:val="94"/>
        </w:numPr>
        <w:tabs>
          <w:tab w:val="left" w:pos="2395"/>
        </w:tabs>
        <w:spacing w:line="253" w:lineRule="auto"/>
        <w:ind w:left="1920" w:hanging="5"/>
        <w:jc w:val="both"/>
        <w:rPr>
          <w:rFonts w:eastAsia="Times New Roman"/>
          <w:sz w:val="24"/>
          <w:szCs w:val="24"/>
        </w:rPr>
      </w:pPr>
      <w:r w:rsidRPr="00E25CD4">
        <w:rPr>
          <w:rFonts w:eastAsia="Times New Roman"/>
          <w:sz w:val="24"/>
          <w:szCs w:val="24"/>
        </w:rPr>
        <w:t xml:space="preserve">EPA's Water Resource Center (MC-4100T), 1200 Pennsylvania Avenue NW., Washington, DC 20460, telephone 1-202-566-1729: EPA Method 1604, EPA 821-R-02-024- </w:t>
      </w:r>
      <w:r w:rsidRPr="00E25CD4">
        <w:rPr>
          <w:rFonts w:eastAsia="Times New Roman"/>
          <w:i/>
          <w:iCs/>
          <w:sz w:val="24"/>
          <w:szCs w:val="24"/>
        </w:rPr>
        <w:t>EPA Method 1604: Total Coliforms and Escherichia coli in Water by Membrane</w:t>
      </w:r>
      <w:r w:rsidRPr="00E25CD4">
        <w:rPr>
          <w:rFonts w:eastAsia="Times New Roman"/>
          <w:sz w:val="24"/>
          <w:szCs w:val="24"/>
        </w:rPr>
        <w:t xml:space="preserve"> </w:t>
      </w:r>
      <w:r w:rsidRPr="00E25CD4">
        <w:rPr>
          <w:rFonts w:eastAsia="Times New Roman"/>
          <w:i/>
          <w:iCs/>
          <w:sz w:val="24"/>
          <w:szCs w:val="24"/>
        </w:rPr>
        <w:t>Filtration Using a Simultaneous Detection Technique (MI Medium)</w:t>
      </w:r>
      <w:r w:rsidRPr="00E25CD4">
        <w:rPr>
          <w:rFonts w:eastAsia="Times New Roman"/>
          <w:sz w:val="24"/>
          <w:szCs w:val="24"/>
        </w:rPr>
        <w:t>, September 2002.</w:t>
      </w:r>
      <w:r w:rsidR="00027D07">
        <w:rPr>
          <w:rFonts w:eastAsia="Times New Roman"/>
          <w:sz w:val="24"/>
          <w:szCs w:val="24"/>
        </w:rPr>
        <w:t xml:space="preserve"> Available online in EPA’s Docket EPA-HQ-OW-2008-0878.</w:t>
      </w:r>
    </w:p>
    <w:p w14:paraId="2819D318" w14:textId="145D44E2" w:rsidR="004647B9" w:rsidRPr="00E25CD4" w:rsidRDefault="00E2436F" w:rsidP="00563A54">
      <w:pPr>
        <w:numPr>
          <w:ilvl w:val="2"/>
          <w:numId w:val="94"/>
        </w:numPr>
        <w:tabs>
          <w:tab w:val="left" w:pos="2294"/>
        </w:tabs>
        <w:spacing w:line="245" w:lineRule="auto"/>
        <w:ind w:left="1920" w:hanging="5"/>
        <w:jc w:val="both"/>
        <w:rPr>
          <w:rFonts w:eastAsia="Times New Roman"/>
          <w:sz w:val="24"/>
          <w:szCs w:val="24"/>
        </w:rPr>
      </w:pPr>
      <w:r w:rsidRPr="00E25CD4">
        <w:rPr>
          <w:rFonts w:eastAsia="Times New Roman"/>
          <w:sz w:val="24"/>
          <w:szCs w:val="24"/>
        </w:rPr>
        <w:t>Hach Company, P.O. Box 389, Loveland, CO 80539, telephone 1-800- 604-3493: m-ColiBlue24</w:t>
      </w:r>
      <w:r w:rsidR="002D1FF2" w:rsidRPr="00F214C3">
        <w:rPr>
          <w:rFonts w:eastAsia="Times New Roman"/>
          <w:sz w:val="24"/>
          <w:szCs w:val="24"/>
          <w:vertAlign w:val="superscript"/>
        </w:rPr>
        <w:t>®</w:t>
      </w:r>
      <w:r w:rsidRPr="00E25CD4">
        <w:rPr>
          <w:rFonts w:eastAsia="Times New Roman"/>
          <w:sz w:val="24"/>
          <w:szCs w:val="24"/>
        </w:rPr>
        <w:t xml:space="preserve"> - </w:t>
      </w:r>
      <w:r w:rsidRPr="00E25CD4">
        <w:rPr>
          <w:rFonts w:eastAsia="Times New Roman"/>
          <w:i/>
          <w:iCs/>
          <w:sz w:val="24"/>
          <w:szCs w:val="24"/>
        </w:rPr>
        <w:t>Membrane Filtration Method m-ColiBlue24</w:t>
      </w:r>
      <w:r w:rsidR="00756078" w:rsidRPr="00F214C3">
        <w:rPr>
          <w:rFonts w:eastAsia="Times New Roman"/>
          <w:sz w:val="24"/>
          <w:szCs w:val="24"/>
          <w:vertAlign w:val="superscript"/>
        </w:rPr>
        <w:t>®</w:t>
      </w:r>
      <w:r w:rsidRPr="00E25CD4">
        <w:rPr>
          <w:rFonts w:eastAsia="Times New Roman"/>
          <w:i/>
          <w:iCs/>
          <w:sz w:val="24"/>
          <w:szCs w:val="24"/>
        </w:rPr>
        <w:t xml:space="preserve"> Broth</w:t>
      </w:r>
      <w:r w:rsidRPr="00E25CD4">
        <w:rPr>
          <w:rFonts w:eastAsia="Times New Roman"/>
          <w:sz w:val="24"/>
          <w:szCs w:val="24"/>
        </w:rPr>
        <w:t>, Revision 2, August 17, 1999.</w:t>
      </w:r>
    </w:p>
    <w:p w14:paraId="2819D319" w14:textId="77777777" w:rsidR="004647B9" w:rsidRPr="00E25CD4" w:rsidRDefault="004647B9">
      <w:pPr>
        <w:spacing w:line="241" w:lineRule="exact"/>
        <w:rPr>
          <w:rFonts w:eastAsia="Times New Roman"/>
          <w:sz w:val="24"/>
          <w:szCs w:val="24"/>
        </w:rPr>
      </w:pPr>
    </w:p>
    <w:p w14:paraId="2819D31A" w14:textId="77777777" w:rsidR="004647B9" w:rsidRPr="00E25CD4" w:rsidRDefault="00E2436F" w:rsidP="00563A54">
      <w:pPr>
        <w:numPr>
          <w:ilvl w:val="0"/>
          <w:numId w:val="95"/>
        </w:numPr>
        <w:tabs>
          <w:tab w:val="left" w:pos="1624"/>
        </w:tabs>
        <w:spacing w:line="273" w:lineRule="auto"/>
        <w:ind w:left="1200"/>
        <w:rPr>
          <w:rFonts w:eastAsia="Times New Roman"/>
          <w:sz w:val="24"/>
          <w:szCs w:val="24"/>
        </w:rPr>
      </w:pPr>
      <w:r w:rsidRPr="00E25CD4">
        <w:rPr>
          <w:rFonts w:eastAsia="Times New Roman"/>
          <w:sz w:val="24"/>
          <w:szCs w:val="24"/>
          <w:u w:val="single"/>
        </w:rPr>
        <w:t>Maximum Microbiological Contaminant Levels, Monitoring Requirements and Analytical Methods</w:t>
      </w:r>
      <w:r w:rsidRPr="00E25CD4">
        <w:rPr>
          <w:rFonts w:eastAsia="Times New Roman"/>
          <w:sz w:val="24"/>
          <w:szCs w:val="24"/>
        </w:rPr>
        <w:t>. (Reserved)</w:t>
      </w:r>
    </w:p>
    <w:p w14:paraId="2819D31B" w14:textId="77777777" w:rsidR="004647B9" w:rsidRPr="00E25CD4" w:rsidRDefault="004647B9">
      <w:pPr>
        <w:spacing w:line="209" w:lineRule="exact"/>
        <w:rPr>
          <w:rFonts w:eastAsia="Times New Roman"/>
          <w:sz w:val="24"/>
          <w:szCs w:val="24"/>
        </w:rPr>
      </w:pPr>
    </w:p>
    <w:p w14:paraId="2819D31C" w14:textId="77777777" w:rsidR="004647B9" w:rsidRPr="00E25CD4" w:rsidRDefault="00E2436F" w:rsidP="00563A54">
      <w:pPr>
        <w:numPr>
          <w:ilvl w:val="0"/>
          <w:numId w:val="95"/>
        </w:numPr>
        <w:tabs>
          <w:tab w:val="left" w:pos="1660"/>
        </w:tabs>
        <w:ind w:left="1660" w:hanging="460"/>
        <w:rPr>
          <w:rFonts w:eastAsia="Times New Roman"/>
          <w:sz w:val="24"/>
          <w:szCs w:val="24"/>
        </w:rPr>
      </w:pPr>
      <w:r w:rsidRPr="00E25CD4">
        <w:rPr>
          <w:rFonts w:eastAsia="Times New Roman"/>
          <w:sz w:val="24"/>
          <w:szCs w:val="24"/>
          <w:u w:val="single"/>
        </w:rPr>
        <w:t>Maximum Contaminant Levels (MCLs) for Microbiological Contaminants</w:t>
      </w:r>
      <w:r w:rsidRPr="00E25CD4">
        <w:rPr>
          <w:rFonts w:eastAsia="Times New Roman"/>
          <w:sz w:val="24"/>
          <w:szCs w:val="24"/>
        </w:rPr>
        <w:t>.</w:t>
      </w:r>
    </w:p>
    <w:p w14:paraId="2819D320" w14:textId="4576BCDA" w:rsidR="004647B9" w:rsidRPr="00E25CD4" w:rsidRDefault="00E2436F" w:rsidP="00563A54">
      <w:pPr>
        <w:numPr>
          <w:ilvl w:val="1"/>
          <w:numId w:val="95"/>
        </w:numPr>
        <w:tabs>
          <w:tab w:val="left" w:pos="1940"/>
        </w:tabs>
        <w:ind w:left="1560"/>
        <w:rPr>
          <w:rFonts w:eastAsia="Times New Roman"/>
          <w:sz w:val="24"/>
          <w:szCs w:val="24"/>
        </w:rPr>
      </w:pPr>
      <w:r w:rsidRPr="00E25CD4">
        <w:rPr>
          <w:rFonts w:eastAsia="Times New Roman"/>
          <w:sz w:val="24"/>
          <w:szCs w:val="24"/>
        </w:rPr>
        <w:t xml:space="preserve">A Public Water System shall be considered to be in compliance with the MCL for </w:t>
      </w:r>
      <w:r w:rsidRPr="00E25CD4">
        <w:rPr>
          <w:rFonts w:eastAsia="Times New Roman"/>
          <w:i/>
          <w:iCs/>
          <w:sz w:val="24"/>
          <w:szCs w:val="24"/>
        </w:rPr>
        <w:t>E. coli</w:t>
      </w:r>
      <w:r w:rsidR="00E25CD4">
        <w:rPr>
          <w:rFonts w:eastAsia="Times New Roman"/>
          <w:sz w:val="24"/>
          <w:szCs w:val="24"/>
        </w:rPr>
        <w:t xml:space="preserve"> </w:t>
      </w:r>
      <w:r w:rsidRPr="00E25CD4">
        <w:rPr>
          <w:rFonts w:eastAsia="Times New Roman"/>
          <w:sz w:val="24"/>
          <w:szCs w:val="24"/>
        </w:rPr>
        <w:t>for samples taken under 310 CMR 22.05, unless any of the conditions identified in 310 CMR 22.05(8)(a)1. through 4. occurs. For purposes of the public notification requirements in 310 CMR 22.16, the occurrence of any of the following conditions is a violation that may pose an acute risk to health:</w:t>
      </w:r>
    </w:p>
    <w:p w14:paraId="2819D322" w14:textId="77777777" w:rsidR="004647B9" w:rsidRDefault="00E2436F" w:rsidP="00756078">
      <w:pPr>
        <w:numPr>
          <w:ilvl w:val="0"/>
          <w:numId w:val="96"/>
        </w:numPr>
        <w:tabs>
          <w:tab w:val="left" w:pos="2275"/>
        </w:tabs>
        <w:spacing w:line="242" w:lineRule="auto"/>
        <w:ind w:left="1915"/>
        <w:rPr>
          <w:rFonts w:eastAsia="Times New Roman"/>
          <w:sz w:val="24"/>
          <w:szCs w:val="24"/>
        </w:rPr>
      </w:pPr>
      <w:r w:rsidRPr="00E25CD4">
        <w:rPr>
          <w:rFonts w:eastAsia="Times New Roman"/>
          <w:sz w:val="24"/>
          <w:szCs w:val="24"/>
        </w:rPr>
        <w:t xml:space="preserve">the Public Water System has an </w:t>
      </w:r>
      <w:r w:rsidRPr="00E25CD4">
        <w:rPr>
          <w:rFonts w:eastAsia="Times New Roman"/>
          <w:i/>
          <w:iCs/>
          <w:sz w:val="24"/>
          <w:szCs w:val="24"/>
        </w:rPr>
        <w:t>E. coli</w:t>
      </w:r>
      <w:r w:rsidRPr="00E25CD4">
        <w:rPr>
          <w:rFonts w:eastAsia="Times New Roman"/>
          <w:sz w:val="24"/>
          <w:szCs w:val="24"/>
        </w:rPr>
        <w:t>-positive repeat sample following an</w:t>
      </w:r>
      <w:r>
        <w:rPr>
          <w:rFonts w:eastAsia="Times New Roman"/>
          <w:sz w:val="24"/>
          <w:szCs w:val="24"/>
        </w:rPr>
        <w:t xml:space="preserve"> associated total coliform-positive routine sample;</w:t>
      </w:r>
    </w:p>
    <w:p w14:paraId="2819D323" w14:textId="08E052D1" w:rsidR="004647B9" w:rsidRDefault="00E2436F" w:rsidP="00756078">
      <w:pPr>
        <w:numPr>
          <w:ilvl w:val="0"/>
          <w:numId w:val="96"/>
        </w:numPr>
        <w:tabs>
          <w:tab w:val="left" w:pos="2275"/>
        </w:tabs>
        <w:ind w:left="1915"/>
        <w:rPr>
          <w:rFonts w:eastAsia="Times New Roman"/>
          <w:sz w:val="24"/>
          <w:szCs w:val="24"/>
        </w:rPr>
      </w:pPr>
      <w:r>
        <w:rPr>
          <w:rFonts w:eastAsia="Times New Roman"/>
          <w:sz w:val="24"/>
          <w:szCs w:val="24"/>
        </w:rPr>
        <w:t>the Public Water System has a total coliform-positive repeat sample following an</w:t>
      </w:r>
      <w:r w:rsidR="003C76D0">
        <w:rPr>
          <w:rFonts w:eastAsia="Times New Roman"/>
          <w:sz w:val="24"/>
          <w:szCs w:val="24"/>
        </w:rPr>
        <w:t xml:space="preserve"> </w:t>
      </w:r>
      <w:r w:rsidR="003C76D0" w:rsidRPr="00E43C20">
        <w:rPr>
          <w:rFonts w:eastAsia="Times New Roman"/>
          <w:i/>
          <w:iCs/>
          <w:sz w:val="24"/>
          <w:szCs w:val="24"/>
        </w:rPr>
        <w:t>E. coli</w:t>
      </w:r>
      <w:r w:rsidR="00E43C20">
        <w:rPr>
          <w:rFonts w:eastAsia="Times New Roman"/>
          <w:sz w:val="24"/>
          <w:szCs w:val="24"/>
        </w:rPr>
        <w:t>-positive routine sample;</w:t>
      </w:r>
    </w:p>
    <w:p w14:paraId="2819D325" w14:textId="28C85CEA" w:rsidR="004647B9" w:rsidRDefault="00E2436F" w:rsidP="00756078">
      <w:pPr>
        <w:numPr>
          <w:ilvl w:val="0"/>
          <w:numId w:val="97"/>
        </w:numPr>
        <w:tabs>
          <w:tab w:val="left" w:pos="2275"/>
        </w:tabs>
        <w:ind w:left="1915"/>
        <w:rPr>
          <w:rFonts w:eastAsia="Times New Roman"/>
          <w:sz w:val="24"/>
          <w:szCs w:val="24"/>
        </w:rPr>
      </w:pPr>
      <w:r>
        <w:rPr>
          <w:rFonts w:eastAsia="Times New Roman"/>
          <w:sz w:val="24"/>
          <w:szCs w:val="24"/>
        </w:rPr>
        <w:t>the Supplier of Water fails to take all required repeat samples following an</w:t>
      </w:r>
      <w:r w:rsidR="00E43C20">
        <w:rPr>
          <w:rFonts w:eastAsia="Times New Roman"/>
          <w:sz w:val="24"/>
          <w:szCs w:val="24"/>
        </w:rPr>
        <w:t xml:space="preserve"> </w:t>
      </w:r>
      <w:r w:rsidR="00E43C20" w:rsidRPr="0079262A">
        <w:rPr>
          <w:rFonts w:eastAsia="Times New Roman"/>
          <w:i/>
          <w:iCs/>
          <w:sz w:val="24"/>
          <w:szCs w:val="24"/>
        </w:rPr>
        <w:t>E.</w:t>
      </w:r>
      <w:r w:rsidR="0079262A">
        <w:rPr>
          <w:rFonts w:eastAsia="Times New Roman"/>
          <w:i/>
          <w:iCs/>
          <w:sz w:val="24"/>
          <w:szCs w:val="24"/>
        </w:rPr>
        <w:t xml:space="preserve"> </w:t>
      </w:r>
      <w:r w:rsidR="00E43C20" w:rsidRPr="0079262A">
        <w:rPr>
          <w:rFonts w:eastAsia="Times New Roman"/>
          <w:i/>
          <w:iCs/>
          <w:sz w:val="24"/>
          <w:szCs w:val="24"/>
        </w:rPr>
        <w:t>coli</w:t>
      </w:r>
      <w:r w:rsidR="00E43C20">
        <w:rPr>
          <w:rFonts w:eastAsia="Times New Roman"/>
          <w:sz w:val="24"/>
          <w:szCs w:val="24"/>
        </w:rPr>
        <w:t>-positive routine sample; or</w:t>
      </w:r>
    </w:p>
    <w:p w14:paraId="2819D327" w14:textId="77777777" w:rsidR="004647B9" w:rsidRDefault="00E2436F" w:rsidP="00756078">
      <w:pPr>
        <w:numPr>
          <w:ilvl w:val="2"/>
          <w:numId w:val="98"/>
        </w:numPr>
        <w:tabs>
          <w:tab w:val="left" w:pos="2275"/>
        </w:tabs>
        <w:spacing w:line="259" w:lineRule="auto"/>
        <w:ind w:left="1915"/>
        <w:rPr>
          <w:rFonts w:eastAsia="Times New Roman"/>
          <w:sz w:val="24"/>
          <w:szCs w:val="24"/>
        </w:rPr>
      </w:pPr>
      <w:r>
        <w:rPr>
          <w:rFonts w:eastAsia="Times New Roman"/>
          <w:sz w:val="24"/>
          <w:szCs w:val="24"/>
        </w:rPr>
        <w:t xml:space="preserve">the Supplier of Water fails to test for </w:t>
      </w:r>
      <w:r>
        <w:rPr>
          <w:rFonts w:eastAsia="Times New Roman"/>
          <w:i/>
          <w:iCs/>
          <w:sz w:val="24"/>
          <w:szCs w:val="24"/>
        </w:rPr>
        <w:t>E. coli</w:t>
      </w:r>
      <w:r>
        <w:rPr>
          <w:rFonts w:eastAsia="Times New Roman"/>
          <w:sz w:val="24"/>
          <w:szCs w:val="24"/>
        </w:rPr>
        <w:t xml:space="preserve"> when any repeat sample tests positive for total coliform.</w:t>
      </w:r>
    </w:p>
    <w:p w14:paraId="2819D329" w14:textId="77777777" w:rsidR="004647B9" w:rsidRDefault="00E2436F" w:rsidP="00563A54">
      <w:pPr>
        <w:numPr>
          <w:ilvl w:val="1"/>
          <w:numId w:val="99"/>
        </w:numPr>
        <w:tabs>
          <w:tab w:val="left" w:pos="1997"/>
        </w:tabs>
        <w:spacing w:line="243" w:lineRule="auto"/>
        <w:ind w:left="1560" w:hanging="5"/>
        <w:rPr>
          <w:rFonts w:eastAsia="Times New Roman"/>
          <w:sz w:val="24"/>
          <w:szCs w:val="24"/>
        </w:rPr>
      </w:pPr>
      <w:r>
        <w:rPr>
          <w:rFonts w:eastAsia="Times New Roman"/>
          <w:sz w:val="24"/>
          <w:szCs w:val="24"/>
        </w:rPr>
        <w:t xml:space="preserve">A Supplier of Water shall determine compliance with the MCL for </w:t>
      </w:r>
      <w:r>
        <w:rPr>
          <w:rFonts w:eastAsia="Times New Roman"/>
          <w:i/>
          <w:iCs/>
          <w:sz w:val="24"/>
          <w:szCs w:val="24"/>
        </w:rPr>
        <w:t>E. coli</w:t>
      </w:r>
      <w:r>
        <w:rPr>
          <w:rFonts w:eastAsia="Times New Roman"/>
          <w:sz w:val="24"/>
          <w:szCs w:val="24"/>
        </w:rPr>
        <w:t xml:space="preserve"> in 310 CMR 22.05(8)(a) for each month in which it is required to monitor for total coliforms.</w:t>
      </w:r>
    </w:p>
    <w:p w14:paraId="2819D32A" w14:textId="77777777" w:rsidR="004647B9" w:rsidRDefault="00E2436F" w:rsidP="00563A54">
      <w:pPr>
        <w:numPr>
          <w:ilvl w:val="1"/>
          <w:numId w:val="99"/>
        </w:numPr>
        <w:tabs>
          <w:tab w:val="left" w:pos="2093"/>
        </w:tabs>
        <w:spacing w:line="244" w:lineRule="auto"/>
        <w:ind w:left="1560" w:hanging="5"/>
        <w:jc w:val="both"/>
        <w:rPr>
          <w:rFonts w:eastAsia="Times New Roman"/>
          <w:sz w:val="24"/>
          <w:szCs w:val="24"/>
        </w:rPr>
      </w:pPr>
      <w:r>
        <w:rPr>
          <w:rFonts w:eastAsia="Times New Roman"/>
          <w:sz w:val="24"/>
          <w:szCs w:val="24"/>
        </w:rPr>
        <w:t xml:space="preserve">As provided in 310 CMR 22.26(3)(a), a Supplier of Water who is in violation of 310 CMR 22.05(8)(a)1. due to an </w:t>
      </w:r>
      <w:r>
        <w:rPr>
          <w:rFonts w:eastAsia="Times New Roman"/>
          <w:i/>
          <w:iCs/>
          <w:sz w:val="24"/>
          <w:szCs w:val="24"/>
        </w:rPr>
        <w:t>E. coli</w:t>
      </w:r>
      <w:r>
        <w:rPr>
          <w:rFonts w:eastAsia="Times New Roman"/>
          <w:sz w:val="24"/>
          <w:szCs w:val="24"/>
        </w:rPr>
        <w:t>-positive repeat sample taken at the monitoring location required for triggered source water monitoring under 310 CMR 22.26(3)(a), is also subject to 310 CMR 22.26(3)(a)4.</w:t>
      </w:r>
    </w:p>
    <w:p w14:paraId="2819D32B" w14:textId="77777777" w:rsidR="004647B9" w:rsidRDefault="004647B9">
      <w:pPr>
        <w:spacing w:line="242" w:lineRule="exact"/>
        <w:rPr>
          <w:rFonts w:eastAsia="Times New Roman"/>
          <w:sz w:val="24"/>
          <w:szCs w:val="24"/>
        </w:rPr>
      </w:pPr>
    </w:p>
    <w:p w14:paraId="2819D32C" w14:textId="77777777" w:rsidR="004647B9" w:rsidRDefault="00E2436F" w:rsidP="00563A54">
      <w:pPr>
        <w:numPr>
          <w:ilvl w:val="0"/>
          <w:numId w:val="100"/>
        </w:numPr>
        <w:tabs>
          <w:tab w:val="left" w:pos="1660"/>
        </w:tabs>
        <w:ind w:left="1660" w:hanging="460"/>
        <w:rPr>
          <w:rFonts w:eastAsia="Times New Roman"/>
          <w:sz w:val="24"/>
          <w:szCs w:val="24"/>
        </w:rPr>
      </w:pPr>
      <w:r>
        <w:rPr>
          <w:rFonts w:eastAsia="Times New Roman"/>
          <w:sz w:val="24"/>
          <w:szCs w:val="24"/>
          <w:u w:val="single"/>
        </w:rPr>
        <w:t>Best Available Technology, Treatment Techniques</w:t>
      </w:r>
      <w:r>
        <w:rPr>
          <w:rFonts w:eastAsia="Times New Roman"/>
          <w:sz w:val="24"/>
          <w:szCs w:val="24"/>
        </w:rPr>
        <w:t>.</w:t>
      </w:r>
    </w:p>
    <w:p w14:paraId="2819D32E" w14:textId="77777777" w:rsidR="004647B9" w:rsidRDefault="00E2436F" w:rsidP="00563A54">
      <w:pPr>
        <w:numPr>
          <w:ilvl w:val="1"/>
          <w:numId w:val="100"/>
        </w:numPr>
        <w:tabs>
          <w:tab w:val="left" w:pos="2033"/>
        </w:tabs>
        <w:spacing w:line="242" w:lineRule="auto"/>
        <w:ind w:left="1560" w:hanging="5"/>
        <w:jc w:val="both"/>
        <w:rPr>
          <w:rFonts w:eastAsia="Times New Roman"/>
          <w:sz w:val="24"/>
          <w:szCs w:val="24"/>
        </w:rPr>
      </w:pPr>
      <w:r>
        <w:rPr>
          <w:rFonts w:eastAsia="Times New Roman"/>
          <w:sz w:val="24"/>
          <w:szCs w:val="24"/>
        </w:rPr>
        <w:t xml:space="preserve">The following have been determined to provide best available technology, treatment techniques or other means available for achieving compliance with the Maximum Contaminant Level for </w:t>
      </w:r>
      <w:r>
        <w:rPr>
          <w:rFonts w:eastAsia="Times New Roman"/>
          <w:i/>
          <w:iCs/>
          <w:sz w:val="24"/>
          <w:szCs w:val="24"/>
        </w:rPr>
        <w:t>E. coli</w:t>
      </w:r>
      <w:r>
        <w:rPr>
          <w:rFonts w:eastAsia="Times New Roman"/>
          <w:sz w:val="24"/>
          <w:szCs w:val="24"/>
        </w:rPr>
        <w:t xml:space="preserve"> in 310 CMR 22.05(8)(a):</w:t>
      </w:r>
    </w:p>
    <w:p w14:paraId="2819D330" w14:textId="77777777" w:rsidR="004647B9" w:rsidRDefault="00E2436F" w:rsidP="00756078">
      <w:pPr>
        <w:numPr>
          <w:ilvl w:val="2"/>
          <w:numId w:val="100"/>
        </w:numPr>
        <w:tabs>
          <w:tab w:val="left" w:pos="2275"/>
        </w:tabs>
        <w:spacing w:line="242" w:lineRule="auto"/>
        <w:ind w:left="1915"/>
        <w:rPr>
          <w:rFonts w:eastAsia="Times New Roman"/>
          <w:sz w:val="24"/>
          <w:szCs w:val="24"/>
        </w:rPr>
      </w:pPr>
      <w:r>
        <w:rPr>
          <w:rFonts w:eastAsia="Times New Roman"/>
          <w:sz w:val="24"/>
          <w:szCs w:val="24"/>
        </w:rPr>
        <w:t>Protection of wells from fecal contamination by appropriate placement and construction;</w:t>
      </w:r>
    </w:p>
    <w:p w14:paraId="2819D331" w14:textId="77777777" w:rsidR="004647B9" w:rsidRDefault="00E2436F" w:rsidP="00756078">
      <w:pPr>
        <w:numPr>
          <w:ilvl w:val="2"/>
          <w:numId w:val="100"/>
        </w:numPr>
        <w:tabs>
          <w:tab w:val="left" w:pos="2280"/>
        </w:tabs>
        <w:ind w:left="1915"/>
        <w:rPr>
          <w:rFonts w:eastAsia="Times New Roman"/>
          <w:sz w:val="24"/>
          <w:szCs w:val="24"/>
        </w:rPr>
      </w:pPr>
      <w:r>
        <w:rPr>
          <w:rFonts w:eastAsia="Times New Roman"/>
          <w:sz w:val="24"/>
          <w:szCs w:val="24"/>
        </w:rPr>
        <w:t>Maintenance of a disinfectant residual throughout the distribution system;</w:t>
      </w:r>
    </w:p>
    <w:p w14:paraId="2819D333" w14:textId="77777777" w:rsidR="004647B9" w:rsidRDefault="00E2436F" w:rsidP="00756078">
      <w:pPr>
        <w:numPr>
          <w:ilvl w:val="2"/>
          <w:numId w:val="100"/>
        </w:numPr>
        <w:tabs>
          <w:tab w:val="left" w:pos="2275"/>
        </w:tabs>
        <w:spacing w:line="245" w:lineRule="auto"/>
        <w:ind w:left="1915"/>
        <w:jc w:val="both"/>
        <w:rPr>
          <w:rFonts w:eastAsia="Times New Roman"/>
          <w:sz w:val="24"/>
          <w:szCs w:val="24"/>
        </w:rPr>
      </w:pPr>
      <w:r>
        <w:rPr>
          <w:rFonts w:eastAsia="Times New Roman"/>
          <w:sz w:val="24"/>
          <w:szCs w:val="24"/>
        </w:rPr>
        <w:t>Proper maintenance of the distribution system including appropriate pipe replacement and repair procedures, main flushing programs, proper operation and maintenance of storage tanks and reservoirs, cross connection control and continual maintenance of positive water pressure in all parts of the distribution system;</w:t>
      </w:r>
    </w:p>
    <w:p w14:paraId="2819D334" w14:textId="77777777" w:rsidR="004647B9" w:rsidRDefault="004647B9">
      <w:pPr>
        <w:sectPr w:rsidR="004647B9" w:rsidSect="00EF630C">
          <w:pgSz w:w="12240" w:h="20180"/>
          <w:pgMar w:top="708" w:right="1440" w:bottom="1016" w:left="600" w:header="0" w:footer="0" w:gutter="0"/>
          <w:cols w:space="720" w:equalWidth="0">
            <w:col w:w="10200"/>
          </w:cols>
        </w:sectPr>
      </w:pPr>
    </w:p>
    <w:p w14:paraId="2819D335" w14:textId="77777777" w:rsidR="004647B9" w:rsidRDefault="00E2436F">
      <w:pPr>
        <w:tabs>
          <w:tab w:val="left" w:pos="160"/>
        </w:tabs>
        <w:jc w:val="center"/>
        <w:rPr>
          <w:sz w:val="20"/>
          <w:szCs w:val="20"/>
        </w:rPr>
      </w:pPr>
      <w:bookmarkStart w:id="44" w:name="page45"/>
      <w:bookmarkEnd w:id="4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336" w14:textId="77777777" w:rsidR="004647B9" w:rsidRDefault="004647B9" w:rsidP="0087395E">
      <w:pPr>
        <w:rPr>
          <w:sz w:val="20"/>
          <w:szCs w:val="20"/>
        </w:rPr>
      </w:pPr>
    </w:p>
    <w:p w14:paraId="2819D337" w14:textId="77777777" w:rsidR="004647B9" w:rsidRDefault="004647B9" w:rsidP="0087395E">
      <w:pPr>
        <w:rPr>
          <w:sz w:val="20"/>
          <w:szCs w:val="20"/>
        </w:rPr>
      </w:pPr>
    </w:p>
    <w:p w14:paraId="2819D338"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339" w14:textId="77777777" w:rsidR="004647B9" w:rsidRDefault="004647B9" w:rsidP="0087395E">
      <w:pPr>
        <w:rPr>
          <w:sz w:val="20"/>
          <w:szCs w:val="20"/>
        </w:rPr>
      </w:pPr>
    </w:p>
    <w:p w14:paraId="2819D33C" w14:textId="2B046E13" w:rsidR="004647B9" w:rsidRPr="00545144" w:rsidRDefault="00E2436F" w:rsidP="00EE2949">
      <w:pPr>
        <w:numPr>
          <w:ilvl w:val="2"/>
          <w:numId w:val="101"/>
        </w:numPr>
        <w:tabs>
          <w:tab w:val="left" w:pos="2275"/>
        </w:tabs>
        <w:ind w:left="1915"/>
        <w:rPr>
          <w:rFonts w:eastAsia="Times New Roman"/>
          <w:sz w:val="24"/>
          <w:szCs w:val="24"/>
        </w:rPr>
      </w:pPr>
      <w:r w:rsidRPr="0079262A">
        <w:rPr>
          <w:rFonts w:eastAsia="Times New Roman"/>
          <w:sz w:val="24"/>
          <w:szCs w:val="24"/>
        </w:rPr>
        <w:t>Filtration and/or disinfection of surface water, as described in 310 CMR 22.20A,</w:t>
      </w:r>
      <w:r w:rsidR="0079262A">
        <w:rPr>
          <w:rFonts w:eastAsia="Times New Roman"/>
          <w:sz w:val="24"/>
          <w:szCs w:val="24"/>
        </w:rPr>
        <w:t xml:space="preserve"> 310 </w:t>
      </w:r>
      <w:r w:rsidRPr="0079262A">
        <w:rPr>
          <w:rFonts w:eastAsia="Times New Roman"/>
          <w:sz w:val="24"/>
          <w:szCs w:val="24"/>
        </w:rPr>
        <w:t>CMR 22.20D, 22.20F, and 22.20G or disinfection of ground water</w:t>
      </w:r>
      <w:r w:rsidR="0098245B">
        <w:rPr>
          <w:rFonts w:eastAsia="Times New Roman"/>
          <w:sz w:val="24"/>
          <w:szCs w:val="24"/>
        </w:rPr>
        <w:t>, as described in 310 CMR 22.26</w:t>
      </w:r>
      <w:r w:rsidR="00AD39BF">
        <w:rPr>
          <w:rFonts w:eastAsia="Times New Roman"/>
          <w:sz w:val="24"/>
          <w:szCs w:val="24"/>
        </w:rPr>
        <w:t xml:space="preserve"> (referred to</w:t>
      </w:r>
      <w:r w:rsidR="000C01F3">
        <w:rPr>
          <w:rFonts w:eastAsia="Times New Roman"/>
          <w:sz w:val="24"/>
          <w:szCs w:val="24"/>
        </w:rPr>
        <w:t xml:space="preserve"> therein</w:t>
      </w:r>
      <w:r w:rsidR="00AD39BF">
        <w:rPr>
          <w:rFonts w:eastAsia="Times New Roman"/>
          <w:sz w:val="24"/>
          <w:szCs w:val="24"/>
        </w:rPr>
        <w:t xml:space="preserve"> as “inactivation”)</w:t>
      </w:r>
      <w:r w:rsidR="0098245B">
        <w:rPr>
          <w:rFonts w:eastAsia="Times New Roman"/>
          <w:sz w:val="24"/>
          <w:szCs w:val="24"/>
        </w:rPr>
        <w:t>,</w:t>
      </w:r>
      <w:r w:rsidRPr="0079262A">
        <w:rPr>
          <w:rFonts w:eastAsia="Times New Roman"/>
          <w:sz w:val="24"/>
          <w:szCs w:val="24"/>
        </w:rPr>
        <w:t xml:space="preserve"> using strong oxidants such as chlorine, chlorine dioxide, or </w:t>
      </w:r>
      <w:r w:rsidRPr="00545144">
        <w:rPr>
          <w:rFonts w:eastAsia="Times New Roman"/>
          <w:sz w:val="24"/>
          <w:szCs w:val="24"/>
        </w:rPr>
        <w:t>ozone; and</w:t>
      </w:r>
    </w:p>
    <w:p w14:paraId="2819D33D" w14:textId="5A9701AB" w:rsidR="004647B9" w:rsidRPr="00545144" w:rsidRDefault="00E2436F" w:rsidP="00EE2949">
      <w:pPr>
        <w:numPr>
          <w:ilvl w:val="2"/>
          <w:numId w:val="102"/>
        </w:numPr>
        <w:tabs>
          <w:tab w:val="left" w:pos="2275"/>
        </w:tabs>
        <w:ind w:left="1915"/>
        <w:rPr>
          <w:rFonts w:eastAsia="Times New Roman"/>
          <w:sz w:val="24"/>
          <w:szCs w:val="24"/>
        </w:rPr>
      </w:pPr>
      <w:r w:rsidRPr="00545144">
        <w:rPr>
          <w:rFonts w:eastAsia="Times New Roman"/>
          <w:sz w:val="24"/>
          <w:szCs w:val="24"/>
        </w:rPr>
        <w:t>For Public Water Systems using groundwater, compliance with the Department's wellhead protection requirements under 310 CMR 22.21.</w:t>
      </w:r>
    </w:p>
    <w:p w14:paraId="2819D33E" w14:textId="77777777" w:rsidR="004647B9" w:rsidRPr="0079262A" w:rsidRDefault="00E2436F" w:rsidP="00EE2949">
      <w:pPr>
        <w:numPr>
          <w:ilvl w:val="1"/>
          <w:numId w:val="103"/>
        </w:numPr>
        <w:tabs>
          <w:tab w:val="left" w:pos="1948"/>
        </w:tabs>
        <w:ind w:left="1560" w:hanging="5"/>
        <w:jc w:val="both"/>
        <w:rPr>
          <w:rFonts w:eastAsia="Times New Roman"/>
          <w:sz w:val="24"/>
          <w:szCs w:val="24"/>
        </w:rPr>
      </w:pPr>
      <w:r w:rsidRPr="0079262A">
        <w:rPr>
          <w:rFonts w:eastAsia="Times New Roman"/>
          <w:sz w:val="24"/>
          <w:szCs w:val="24"/>
        </w:rPr>
        <w:t xml:space="preserve">The Department hereby identifies the technology, Treatment Techniques, or other means available identified in 310 CMR 22.05(9)(a)1. through 5. as affordable technology, Treatment Techniques, or other means available to Public Water Systems serving 10,000 or fewer people for achieving compliance with the Maximum Contaminant Level for </w:t>
      </w:r>
      <w:r w:rsidRPr="0079262A">
        <w:rPr>
          <w:rFonts w:eastAsia="Times New Roman"/>
          <w:i/>
          <w:iCs/>
          <w:sz w:val="24"/>
          <w:szCs w:val="24"/>
        </w:rPr>
        <w:t>E. coli</w:t>
      </w:r>
      <w:r w:rsidRPr="0079262A">
        <w:rPr>
          <w:rFonts w:eastAsia="Times New Roman"/>
          <w:sz w:val="24"/>
          <w:szCs w:val="24"/>
        </w:rPr>
        <w:t xml:space="preserve"> in 310 CMR 22.05(8)(a).</w:t>
      </w:r>
    </w:p>
    <w:p w14:paraId="2819D33F" w14:textId="77777777" w:rsidR="004647B9" w:rsidRPr="0079262A" w:rsidRDefault="004647B9" w:rsidP="00EE2949">
      <w:pPr>
        <w:rPr>
          <w:rFonts w:eastAsia="Times New Roman"/>
          <w:sz w:val="24"/>
          <w:szCs w:val="24"/>
        </w:rPr>
      </w:pPr>
    </w:p>
    <w:p w14:paraId="2819D340" w14:textId="77777777" w:rsidR="004647B9" w:rsidRPr="0079262A" w:rsidRDefault="00E2436F" w:rsidP="00EE2949">
      <w:pPr>
        <w:numPr>
          <w:ilvl w:val="0"/>
          <w:numId w:val="104"/>
        </w:numPr>
        <w:tabs>
          <w:tab w:val="left" w:pos="1780"/>
        </w:tabs>
        <w:ind w:left="1800" w:right="820" w:hanging="600"/>
        <w:rPr>
          <w:rFonts w:eastAsia="Times New Roman"/>
          <w:sz w:val="24"/>
          <w:szCs w:val="24"/>
        </w:rPr>
      </w:pPr>
      <w:r w:rsidRPr="0079262A">
        <w:rPr>
          <w:rFonts w:eastAsia="Times New Roman"/>
          <w:sz w:val="24"/>
          <w:szCs w:val="24"/>
          <w:u w:val="single"/>
        </w:rPr>
        <w:t>Maximum Microbiological Contaminant Levels, Monitoring Requirements and Analytical Methods</w:t>
      </w:r>
      <w:r w:rsidRPr="0079262A">
        <w:rPr>
          <w:rFonts w:eastAsia="Times New Roman"/>
          <w:sz w:val="24"/>
          <w:szCs w:val="24"/>
        </w:rPr>
        <w:t>. (Reserved)</w:t>
      </w:r>
    </w:p>
    <w:p w14:paraId="2819D341" w14:textId="77777777" w:rsidR="004647B9" w:rsidRPr="0079262A" w:rsidRDefault="004647B9" w:rsidP="00EE2949">
      <w:pPr>
        <w:rPr>
          <w:rFonts w:eastAsia="Times New Roman"/>
          <w:sz w:val="24"/>
          <w:szCs w:val="24"/>
        </w:rPr>
      </w:pPr>
    </w:p>
    <w:p w14:paraId="2819D342" w14:textId="77777777" w:rsidR="004647B9" w:rsidRPr="0079262A" w:rsidRDefault="00E2436F" w:rsidP="00EE2949">
      <w:pPr>
        <w:numPr>
          <w:ilvl w:val="0"/>
          <w:numId w:val="104"/>
        </w:numPr>
        <w:tabs>
          <w:tab w:val="left" w:pos="1780"/>
        </w:tabs>
        <w:ind w:left="1780" w:hanging="580"/>
        <w:rPr>
          <w:rFonts w:eastAsia="Times New Roman"/>
          <w:sz w:val="24"/>
          <w:szCs w:val="24"/>
        </w:rPr>
      </w:pPr>
      <w:r w:rsidRPr="0079262A">
        <w:rPr>
          <w:rFonts w:eastAsia="Times New Roman"/>
          <w:sz w:val="24"/>
          <w:szCs w:val="24"/>
          <w:u w:val="single"/>
        </w:rPr>
        <w:t>Violations</w:t>
      </w:r>
      <w:r w:rsidRPr="0079262A">
        <w:rPr>
          <w:rFonts w:eastAsia="Times New Roman"/>
          <w:sz w:val="24"/>
          <w:szCs w:val="24"/>
        </w:rPr>
        <w:t>.</w:t>
      </w:r>
    </w:p>
    <w:p w14:paraId="2819D344" w14:textId="77777777" w:rsidR="004647B9" w:rsidRPr="0079262A" w:rsidRDefault="00E2436F" w:rsidP="00EE2949">
      <w:pPr>
        <w:numPr>
          <w:ilvl w:val="1"/>
          <w:numId w:val="104"/>
        </w:numPr>
        <w:tabs>
          <w:tab w:val="left" w:pos="1990"/>
        </w:tabs>
        <w:ind w:left="1560" w:hanging="5"/>
        <w:jc w:val="both"/>
        <w:rPr>
          <w:rFonts w:eastAsia="Times New Roman"/>
          <w:sz w:val="24"/>
          <w:szCs w:val="24"/>
        </w:rPr>
      </w:pPr>
      <w:r w:rsidRPr="0079262A">
        <w:rPr>
          <w:rFonts w:eastAsia="Times New Roman"/>
          <w:i/>
          <w:iCs/>
          <w:sz w:val="24"/>
          <w:szCs w:val="24"/>
          <w:u w:val="single"/>
        </w:rPr>
        <w:t>E. coli</w:t>
      </w:r>
      <w:r w:rsidRPr="0079262A">
        <w:rPr>
          <w:rFonts w:eastAsia="Times New Roman"/>
          <w:i/>
          <w:iCs/>
          <w:sz w:val="24"/>
          <w:szCs w:val="24"/>
        </w:rPr>
        <w:t xml:space="preserve"> </w:t>
      </w:r>
      <w:r w:rsidRPr="0079262A">
        <w:rPr>
          <w:rFonts w:eastAsia="Times New Roman"/>
          <w:sz w:val="24"/>
          <w:szCs w:val="24"/>
          <w:u w:val="single"/>
        </w:rPr>
        <w:t>MCL Violation</w:t>
      </w:r>
      <w:r w:rsidRPr="0079262A">
        <w:rPr>
          <w:rFonts w:eastAsia="Times New Roman"/>
          <w:sz w:val="24"/>
          <w:szCs w:val="24"/>
        </w:rPr>
        <w:t>. A Supplier of Water at whose Public Water System any of the</w:t>
      </w:r>
      <w:r w:rsidRPr="0079262A">
        <w:rPr>
          <w:rFonts w:eastAsia="Times New Roman"/>
          <w:i/>
          <w:iCs/>
          <w:sz w:val="24"/>
          <w:szCs w:val="24"/>
        </w:rPr>
        <w:t xml:space="preserve"> </w:t>
      </w:r>
      <w:r w:rsidRPr="0079262A">
        <w:rPr>
          <w:rFonts w:eastAsia="Times New Roman"/>
          <w:sz w:val="24"/>
          <w:szCs w:val="24"/>
        </w:rPr>
        <w:t xml:space="preserve">conditions identified in 310 CMR 22.05(8)(a)1. through 4. occurs is in violation of the MCL for </w:t>
      </w:r>
      <w:r w:rsidRPr="0079262A">
        <w:rPr>
          <w:rFonts w:eastAsia="Times New Roman"/>
          <w:i/>
          <w:iCs/>
          <w:sz w:val="24"/>
          <w:szCs w:val="24"/>
        </w:rPr>
        <w:t>E. coli</w:t>
      </w:r>
      <w:r w:rsidRPr="0079262A">
        <w:rPr>
          <w:rFonts w:eastAsia="Times New Roman"/>
          <w:sz w:val="24"/>
          <w:szCs w:val="24"/>
        </w:rPr>
        <w:t>.</w:t>
      </w:r>
    </w:p>
    <w:p w14:paraId="2819D346" w14:textId="77777777" w:rsidR="004647B9" w:rsidRPr="0079262A" w:rsidRDefault="00E2436F" w:rsidP="00EE2949">
      <w:pPr>
        <w:numPr>
          <w:ilvl w:val="1"/>
          <w:numId w:val="104"/>
        </w:numPr>
        <w:tabs>
          <w:tab w:val="left" w:pos="2077"/>
        </w:tabs>
        <w:ind w:left="1555"/>
        <w:rPr>
          <w:rFonts w:eastAsia="Times New Roman"/>
          <w:sz w:val="24"/>
          <w:szCs w:val="24"/>
        </w:rPr>
      </w:pPr>
      <w:r w:rsidRPr="0079262A">
        <w:rPr>
          <w:rFonts w:eastAsia="Times New Roman"/>
          <w:sz w:val="24"/>
          <w:szCs w:val="24"/>
          <w:u w:val="single"/>
        </w:rPr>
        <w:t>Treatment Technique Violation</w:t>
      </w:r>
      <w:r w:rsidRPr="0079262A">
        <w:rPr>
          <w:rFonts w:eastAsia="Times New Roman"/>
          <w:sz w:val="24"/>
          <w:szCs w:val="24"/>
        </w:rPr>
        <w:t>. Each of the following occurrences is a Treatment Technique violation:</w:t>
      </w:r>
    </w:p>
    <w:p w14:paraId="2819D349" w14:textId="07B0B442" w:rsidR="004647B9" w:rsidRPr="00FB77A1" w:rsidRDefault="00E2436F" w:rsidP="00EE2949">
      <w:pPr>
        <w:numPr>
          <w:ilvl w:val="2"/>
          <w:numId w:val="104"/>
        </w:numPr>
        <w:tabs>
          <w:tab w:val="left" w:pos="2275"/>
        </w:tabs>
        <w:ind w:left="1915"/>
        <w:rPr>
          <w:rFonts w:eastAsia="Times New Roman"/>
          <w:sz w:val="24"/>
          <w:szCs w:val="24"/>
        </w:rPr>
      </w:pPr>
      <w:r w:rsidRPr="0079262A">
        <w:rPr>
          <w:rFonts w:eastAsia="Times New Roman"/>
          <w:sz w:val="24"/>
          <w:szCs w:val="24"/>
        </w:rPr>
        <w:t>when a Public Water System exceeds a Treatment Technique trigger specified in</w:t>
      </w:r>
      <w:r w:rsidR="00FB77A1">
        <w:rPr>
          <w:rFonts w:eastAsia="Times New Roman"/>
          <w:sz w:val="24"/>
          <w:szCs w:val="24"/>
        </w:rPr>
        <w:t xml:space="preserve"> 310 </w:t>
      </w:r>
      <w:r w:rsidRPr="00FB77A1">
        <w:rPr>
          <w:rFonts w:eastAsia="Times New Roman"/>
          <w:sz w:val="24"/>
          <w:szCs w:val="24"/>
        </w:rPr>
        <w:t>CMR 22.05(4)(a)1.a. through c. or in 2.a. through b. and the Supplier of Water then fails to conduct the required assessment or corrective actions within the timeframe specified in 310 CMR 22.05(4)(b) and (c). A Supplier of Water that has failed to submit the required assessment form within the timeline specified in 310 CMR 22.05(4)(b)3.a. or 4.a. shall be deemed to have failed to conduct the assessment; or</w:t>
      </w:r>
    </w:p>
    <w:p w14:paraId="2819D34B" w14:textId="77777777" w:rsidR="004647B9" w:rsidRPr="00F13A1B" w:rsidRDefault="00E2436F" w:rsidP="00EE2949">
      <w:pPr>
        <w:numPr>
          <w:ilvl w:val="2"/>
          <w:numId w:val="106"/>
        </w:numPr>
        <w:tabs>
          <w:tab w:val="left" w:pos="2275"/>
        </w:tabs>
        <w:ind w:left="1915"/>
        <w:jc w:val="both"/>
        <w:rPr>
          <w:rFonts w:eastAsia="Times New Roman"/>
          <w:sz w:val="24"/>
          <w:szCs w:val="24"/>
        </w:rPr>
      </w:pPr>
      <w:r w:rsidRPr="0079262A">
        <w:rPr>
          <w:rFonts w:eastAsia="Times New Roman"/>
          <w:sz w:val="24"/>
          <w:szCs w:val="24"/>
        </w:rPr>
        <w:t xml:space="preserve">when a Seasonal System fails to complete a Department-approved start-up </w:t>
      </w:r>
      <w:r w:rsidRPr="00F13A1B">
        <w:rPr>
          <w:rFonts w:eastAsia="Times New Roman"/>
          <w:sz w:val="24"/>
          <w:szCs w:val="24"/>
        </w:rPr>
        <w:t>procedure prior to serving water to the public. A Public Water System that has failed to submit a required start-up certification within the timeframe specified in 310 CMR 22.05(12)(a)5. shall be deemed to have failed to complete the start-up procedure.</w:t>
      </w:r>
    </w:p>
    <w:p w14:paraId="2819D34C" w14:textId="556AAC84" w:rsidR="004647B9" w:rsidRPr="00F13A1B" w:rsidRDefault="00E2436F" w:rsidP="00EE2949">
      <w:pPr>
        <w:numPr>
          <w:ilvl w:val="1"/>
          <w:numId w:val="107"/>
        </w:numPr>
        <w:tabs>
          <w:tab w:val="left" w:pos="2000"/>
        </w:tabs>
        <w:ind w:left="2000" w:hanging="445"/>
        <w:rPr>
          <w:rFonts w:eastAsia="Times New Roman"/>
          <w:sz w:val="24"/>
          <w:szCs w:val="24"/>
        </w:rPr>
      </w:pPr>
      <w:r w:rsidRPr="00F13A1B">
        <w:rPr>
          <w:rFonts w:eastAsia="Times New Roman"/>
          <w:sz w:val="24"/>
          <w:szCs w:val="24"/>
          <w:u w:val="single"/>
        </w:rPr>
        <w:t>Monitoring Violations</w:t>
      </w:r>
      <w:r w:rsidRPr="00F13A1B">
        <w:rPr>
          <w:rFonts w:eastAsia="Times New Roman"/>
          <w:sz w:val="24"/>
          <w:szCs w:val="24"/>
        </w:rPr>
        <w:t xml:space="preserve">. Each of the following occurrences is </w:t>
      </w:r>
      <w:r w:rsidR="00761588">
        <w:rPr>
          <w:rFonts w:eastAsia="Times New Roman"/>
          <w:sz w:val="24"/>
          <w:szCs w:val="24"/>
        </w:rPr>
        <w:t xml:space="preserve">a </w:t>
      </w:r>
      <w:r w:rsidRPr="00F13A1B">
        <w:rPr>
          <w:rFonts w:eastAsia="Times New Roman"/>
          <w:sz w:val="24"/>
          <w:szCs w:val="24"/>
        </w:rPr>
        <w:t>monitoring violation:</w:t>
      </w:r>
    </w:p>
    <w:p w14:paraId="2819D34E" w14:textId="77777777" w:rsidR="004647B9" w:rsidRPr="00F13A1B" w:rsidRDefault="00E2436F" w:rsidP="00EE2949">
      <w:pPr>
        <w:numPr>
          <w:ilvl w:val="2"/>
          <w:numId w:val="107"/>
        </w:numPr>
        <w:tabs>
          <w:tab w:val="left" w:pos="2275"/>
        </w:tabs>
        <w:ind w:left="1915"/>
        <w:rPr>
          <w:rFonts w:eastAsia="Times New Roman"/>
          <w:sz w:val="24"/>
          <w:szCs w:val="24"/>
        </w:rPr>
      </w:pPr>
      <w:r w:rsidRPr="00F13A1B">
        <w:rPr>
          <w:rFonts w:eastAsia="Times New Roman"/>
          <w:sz w:val="24"/>
          <w:szCs w:val="24"/>
        </w:rPr>
        <w:t>failure to take every required routine or additional routine sample in a Compliance Period; or</w:t>
      </w:r>
    </w:p>
    <w:p w14:paraId="2819D34F" w14:textId="6E27ECE9" w:rsidR="004647B9" w:rsidRPr="00F13A1B" w:rsidRDefault="00E2436F" w:rsidP="00EE2949">
      <w:pPr>
        <w:numPr>
          <w:ilvl w:val="2"/>
          <w:numId w:val="107"/>
        </w:numPr>
        <w:tabs>
          <w:tab w:val="left" w:pos="2280"/>
        </w:tabs>
        <w:ind w:left="1915"/>
        <w:rPr>
          <w:rFonts w:eastAsia="Times New Roman"/>
          <w:sz w:val="24"/>
          <w:szCs w:val="24"/>
        </w:rPr>
      </w:pPr>
      <w:r w:rsidRPr="00F13A1B">
        <w:rPr>
          <w:rFonts w:eastAsia="Times New Roman"/>
          <w:sz w:val="24"/>
          <w:szCs w:val="24"/>
        </w:rPr>
        <w:t xml:space="preserve">failure to analyze for </w:t>
      </w:r>
      <w:r w:rsidRPr="00F13A1B">
        <w:rPr>
          <w:rFonts w:eastAsia="Times New Roman"/>
          <w:i/>
          <w:iCs/>
          <w:sz w:val="24"/>
          <w:szCs w:val="24"/>
        </w:rPr>
        <w:t>E. coli</w:t>
      </w:r>
      <w:r w:rsidRPr="00F13A1B">
        <w:rPr>
          <w:rFonts w:eastAsia="Times New Roman"/>
          <w:sz w:val="24"/>
          <w:szCs w:val="24"/>
        </w:rPr>
        <w:t xml:space="preserve"> following a total coliform-positive routine sample.</w:t>
      </w:r>
    </w:p>
    <w:p w14:paraId="2819D350" w14:textId="77777777" w:rsidR="004647B9" w:rsidRPr="00F13A1B" w:rsidRDefault="00E2436F" w:rsidP="00EE2949">
      <w:pPr>
        <w:numPr>
          <w:ilvl w:val="1"/>
          <w:numId w:val="107"/>
        </w:numPr>
        <w:tabs>
          <w:tab w:val="left" w:pos="2020"/>
        </w:tabs>
        <w:ind w:left="2020" w:hanging="465"/>
        <w:rPr>
          <w:rFonts w:eastAsia="Times New Roman"/>
          <w:sz w:val="24"/>
          <w:szCs w:val="24"/>
        </w:rPr>
      </w:pPr>
      <w:r w:rsidRPr="00F13A1B">
        <w:rPr>
          <w:rFonts w:eastAsia="Times New Roman"/>
          <w:sz w:val="24"/>
          <w:szCs w:val="24"/>
          <w:u w:val="single"/>
        </w:rPr>
        <w:t>Reporting Violations</w:t>
      </w:r>
      <w:r w:rsidRPr="00F13A1B">
        <w:rPr>
          <w:rFonts w:eastAsia="Times New Roman"/>
          <w:sz w:val="24"/>
          <w:szCs w:val="24"/>
        </w:rPr>
        <w:t>. Each of the following occurrences is a reporting violation:</w:t>
      </w:r>
    </w:p>
    <w:p w14:paraId="2819D352" w14:textId="77777777" w:rsidR="004647B9" w:rsidRPr="00F13A1B" w:rsidRDefault="00E2436F" w:rsidP="00EE2949">
      <w:pPr>
        <w:numPr>
          <w:ilvl w:val="2"/>
          <w:numId w:val="107"/>
        </w:numPr>
        <w:tabs>
          <w:tab w:val="left" w:pos="2275"/>
        </w:tabs>
        <w:ind w:left="1915"/>
        <w:jc w:val="both"/>
        <w:rPr>
          <w:rFonts w:eastAsia="Times New Roman"/>
          <w:sz w:val="24"/>
          <w:szCs w:val="24"/>
        </w:rPr>
      </w:pPr>
      <w:r w:rsidRPr="00F13A1B">
        <w:rPr>
          <w:rFonts w:eastAsia="Times New Roman"/>
          <w:sz w:val="24"/>
          <w:szCs w:val="24"/>
        </w:rPr>
        <w:t>failure to submit a monitoring report or completed assessment form after a Public Water System properly conducts monitoring or assessment by the deadlines established in 310 CMR 22.15(2)(a) and (b), and 22.05(4)(b)3.a. and 4.a. respectively;</w:t>
      </w:r>
    </w:p>
    <w:p w14:paraId="2819D353" w14:textId="22F12410" w:rsidR="004647B9" w:rsidRPr="00F13A1B" w:rsidRDefault="00E2436F" w:rsidP="00EE2949">
      <w:pPr>
        <w:numPr>
          <w:ilvl w:val="2"/>
          <w:numId w:val="107"/>
        </w:numPr>
        <w:tabs>
          <w:tab w:val="left" w:pos="2275"/>
        </w:tabs>
        <w:ind w:left="1915"/>
        <w:rPr>
          <w:rFonts w:eastAsia="Times New Roman"/>
          <w:sz w:val="24"/>
          <w:szCs w:val="24"/>
        </w:rPr>
      </w:pPr>
      <w:r w:rsidRPr="00F13A1B">
        <w:rPr>
          <w:rFonts w:eastAsia="Times New Roman"/>
          <w:sz w:val="24"/>
          <w:szCs w:val="24"/>
        </w:rPr>
        <w:t xml:space="preserve">failure to notify the Department following an </w:t>
      </w:r>
      <w:r w:rsidRPr="00F13A1B">
        <w:rPr>
          <w:rFonts w:eastAsia="Times New Roman"/>
          <w:i/>
          <w:sz w:val="24"/>
          <w:szCs w:val="24"/>
        </w:rPr>
        <w:t>E. coli</w:t>
      </w:r>
      <w:r w:rsidRPr="00F13A1B">
        <w:rPr>
          <w:rFonts w:eastAsia="Times New Roman"/>
          <w:sz w:val="24"/>
          <w:szCs w:val="24"/>
        </w:rPr>
        <w:t>-positive sample as required by</w:t>
      </w:r>
      <w:r w:rsidR="00F77B24" w:rsidRPr="00F13A1B">
        <w:rPr>
          <w:rFonts w:eastAsia="Times New Roman"/>
          <w:sz w:val="24"/>
          <w:szCs w:val="24"/>
        </w:rPr>
        <w:t xml:space="preserve"> </w:t>
      </w:r>
      <w:r w:rsidRPr="00F13A1B">
        <w:rPr>
          <w:rFonts w:eastAsia="Times New Roman"/>
          <w:sz w:val="24"/>
          <w:szCs w:val="24"/>
        </w:rPr>
        <w:t>310 CMR 22.05(2)(g)</w:t>
      </w:r>
      <w:r w:rsidR="0065453E">
        <w:rPr>
          <w:rFonts w:eastAsia="Times New Roman"/>
          <w:sz w:val="24"/>
          <w:szCs w:val="24"/>
        </w:rPr>
        <w:t>1</w:t>
      </w:r>
      <w:r w:rsidR="00BE77C7">
        <w:rPr>
          <w:rFonts w:eastAsia="Times New Roman"/>
          <w:sz w:val="24"/>
          <w:szCs w:val="24"/>
        </w:rPr>
        <w:t>.</w:t>
      </w:r>
      <w:r w:rsidRPr="00F13A1B">
        <w:rPr>
          <w:rFonts w:eastAsia="Times New Roman"/>
          <w:sz w:val="24"/>
          <w:szCs w:val="24"/>
        </w:rPr>
        <w:t>;</w:t>
      </w:r>
    </w:p>
    <w:p w14:paraId="2819D355" w14:textId="77777777" w:rsidR="004647B9" w:rsidRPr="00F13A1B" w:rsidRDefault="00E2436F" w:rsidP="00EE2949">
      <w:pPr>
        <w:numPr>
          <w:ilvl w:val="2"/>
          <w:numId w:val="108"/>
        </w:numPr>
        <w:tabs>
          <w:tab w:val="left" w:pos="2275"/>
        </w:tabs>
        <w:ind w:left="1915"/>
        <w:jc w:val="both"/>
        <w:rPr>
          <w:rFonts w:eastAsia="Times New Roman"/>
          <w:sz w:val="24"/>
          <w:szCs w:val="24"/>
        </w:rPr>
      </w:pPr>
      <w:r w:rsidRPr="00F13A1B">
        <w:rPr>
          <w:rFonts w:eastAsia="Times New Roman"/>
          <w:sz w:val="24"/>
          <w:szCs w:val="24"/>
        </w:rPr>
        <w:t>failure to submit certification of completion of Department-approved start-up procedure by a Seasonal System by the deadline established in 310 CMR 22.05(1)(d)6.a. or (e)5.a.;</w:t>
      </w:r>
    </w:p>
    <w:p w14:paraId="2819D357" w14:textId="77777777" w:rsidR="004647B9" w:rsidRPr="00F13A1B" w:rsidRDefault="00E2436F" w:rsidP="00EE2949">
      <w:pPr>
        <w:numPr>
          <w:ilvl w:val="2"/>
          <w:numId w:val="108"/>
        </w:numPr>
        <w:tabs>
          <w:tab w:val="left" w:pos="2275"/>
        </w:tabs>
        <w:ind w:left="1915"/>
        <w:rPr>
          <w:rFonts w:eastAsia="Times New Roman"/>
          <w:sz w:val="24"/>
          <w:szCs w:val="24"/>
        </w:rPr>
      </w:pPr>
      <w:r w:rsidRPr="00F13A1B">
        <w:rPr>
          <w:rFonts w:eastAsia="Times New Roman"/>
          <w:sz w:val="24"/>
          <w:szCs w:val="24"/>
        </w:rPr>
        <w:t>failure to notify the Department of a Treatment Technique trigger by the deadline established in 310 CMR 22.05(4)(a); or</w:t>
      </w:r>
    </w:p>
    <w:p w14:paraId="2819D35A" w14:textId="2FFB3C24" w:rsidR="004647B9" w:rsidRPr="00F13A1B" w:rsidRDefault="00E2436F" w:rsidP="00EE2949">
      <w:pPr>
        <w:numPr>
          <w:ilvl w:val="2"/>
          <w:numId w:val="108"/>
        </w:numPr>
        <w:tabs>
          <w:tab w:val="left" w:pos="2275"/>
        </w:tabs>
        <w:ind w:left="1915"/>
        <w:rPr>
          <w:rFonts w:eastAsia="Times New Roman"/>
          <w:sz w:val="24"/>
          <w:szCs w:val="24"/>
        </w:rPr>
      </w:pPr>
      <w:r w:rsidRPr="00F13A1B">
        <w:rPr>
          <w:rFonts w:eastAsia="Times New Roman"/>
          <w:sz w:val="24"/>
          <w:szCs w:val="24"/>
        </w:rPr>
        <w:t xml:space="preserve">failure to notify the Department of an </w:t>
      </w:r>
      <w:r w:rsidRPr="00F13A1B">
        <w:rPr>
          <w:rFonts w:eastAsia="Times New Roman"/>
          <w:i/>
          <w:iCs/>
          <w:sz w:val="24"/>
          <w:szCs w:val="24"/>
        </w:rPr>
        <w:t>E. coli</w:t>
      </w:r>
      <w:r w:rsidRPr="00F13A1B">
        <w:rPr>
          <w:rFonts w:eastAsia="Times New Roman"/>
          <w:sz w:val="24"/>
          <w:szCs w:val="24"/>
        </w:rPr>
        <w:t xml:space="preserve"> MCL violation in accordance with</w:t>
      </w:r>
      <w:r w:rsidR="00F13A1B">
        <w:rPr>
          <w:rFonts w:eastAsia="Times New Roman"/>
          <w:sz w:val="24"/>
          <w:szCs w:val="24"/>
        </w:rPr>
        <w:t xml:space="preserve"> 310 </w:t>
      </w:r>
      <w:r w:rsidRPr="00F13A1B">
        <w:rPr>
          <w:rFonts w:eastAsia="Times New Roman"/>
          <w:sz w:val="24"/>
          <w:szCs w:val="24"/>
        </w:rPr>
        <w:t>CMR 22.05(12)(a)1.a.</w:t>
      </w:r>
    </w:p>
    <w:p w14:paraId="2819D35B" w14:textId="1928998F" w:rsidR="004647B9" w:rsidRPr="0064629A" w:rsidRDefault="003844B9" w:rsidP="00EE2949">
      <w:pPr>
        <w:pStyle w:val="ListParagraph"/>
        <w:numPr>
          <w:ilvl w:val="0"/>
          <w:numId w:val="1019"/>
        </w:numPr>
        <w:tabs>
          <w:tab w:val="left" w:pos="2074"/>
        </w:tabs>
        <w:ind w:left="1555" w:firstLine="0"/>
        <w:rPr>
          <w:rFonts w:eastAsia="Times New Roman"/>
          <w:sz w:val="24"/>
          <w:szCs w:val="24"/>
        </w:rPr>
      </w:pPr>
      <w:r w:rsidRPr="0064629A">
        <w:rPr>
          <w:rFonts w:eastAsia="Times New Roman"/>
          <w:sz w:val="24"/>
          <w:szCs w:val="24"/>
        </w:rPr>
        <w:t xml:space="preserve">Violation of </w:t>
      </w:r>
      <w:r w:rsidR="00663620">
        <w:rPr>
          <w:rFonts w:eastAsia="Times New Roman"/>
          <w:sz w:val="24"/>
          <w:szCs w:val="24"/>
        </w:rPr>
        <w:t xml:space="preserve">the </w:t>
      </w:r>
      <w:r w:rsidRPr="0064629A">
        <w:rPr>
          <w:rFonts w:eastAsia="Times New Roman"/>
          <w:sz w:val="24"/>
          <w:szCs w:val="24"/>
        </w:rPr>
        <w:t>National Primary Drinking Water Regulation</w:t>
      </w:r>
      <w:r w:rsidR="009A6FDB">
        <w:rPr>
          <w:rFonts w:eastAsia="Times New Roman"/>
          <w:sz w:val="24"/>
          <w:szCs w:val="24"/>
        </w:rPr>
        <w:t>s</w:t>
      </w:r>
      <w:r w:rsidR="002B400C" w:rsidRPr="0064629A">
        <w:rPr>
          <w:rFonts w:eastAsia="Times New Roman"/>
          <w:sz w:val="24"/>
          <w:szCs w:val="24"/>
        </w:rPr>
        <w:t xml:space="preserve">. </w:t>
      </w:r>
      <w:r w:rsidR="00FB68C0">
        <w:rPr>
          <w:rFonts w:eastAsia="Times New Roman"/>
          <w:sz w:val="24"/>
          <w:szCs w:val="24"/>
        </w:rPr>
        <w:t>T</w:t>
      </w:r>
      <w:r w:rsidR="00FB68C0" w:rsidRPr="0064629A">
        <w:rPr>
          <w:rFonts w:eastAsia="Times New Roman"/>
          <w:sz w:val="24"/>
          <w:szCs w:val="24"/>
        </w:rPr>
        <w:t xml:space="preserve">he </w:t>
      </w:r>
      <w:r w:rsidR="002A357C">
        <w:rPr>
          <w:rFonts w:eastAsia="Times New Roman"/>
          <w:sz w:val="24"/>
          <w:szCs w:val="24"/>
        </w:rPr>
        <w:t>n</w:t>
      </w:r>
      <w:r w:rsidR="00FB68C0" w:rsidRPr="0064629A">
        <w:rPr>
          <w:rFonts w:eastAsia="Times New Roman"/>
          <w:sz w:val="24"/>
          <w:szCs w:val="24"/>
        </w:rPr>
        <w:t xml:space="preserve">ational </w:t>
      </w:r>
      <w:r w:rsidR="002A357C">
        <w:rPr>
          <w:rFonts w:eastAsia="Times New Roman"/>
          <w:sz w:val="24"/>
          <w:szCs w:val="24"/>
        </w:rPr>
        <w:t>p</w:t>
      </w:r>
      <w:r w:rsidR="00FB68C0" w:rsidRPr="0064629A">
        <w:rPr>
          <w:rFonts w:eastAsia="Times New Roman"/>
          <w:sz w:val="24"/>
          <w:szCs w:val="24"/>
        </w:rPr>
        <w:t xml:space="preserve">rimary </w:t>
      </w:r>
      <w:r w:rsidR="002A357C">
        <w:rPr>
          <w:rFonts w:eastAsia="Times New Roman"/>
          <w:sz w:val="24"/>
          <w:szCs w:val="24"/>
        </w:rPr>
        <w:t>d</w:t>
      </w:r>
      <w:r w:rsidR="00FB68C0" w:rsidRPr="0064629A">
        <w:rPr>
          <w:rFonts w:eastAsia="Times New Roman"/>
          <w:sz w:val="24"/>
          <w:szCs w:val="24"/>
        </w:rPr>
        <w:t xml:space="preserve">rinking </w:t>
      </w:r>
      <w:r w:rsidR="002A357C">
        <w:rPr>
          <w:rFonts w:eastAsia="Times New Roman"/>
          <w:sz w:val="24"/>
          <w:szCs w:val="24"/>
        </w:rPr>
        <w:t>w</w:t>
      </w:r>
      <w:r w:rsidR="00FB68C0" w:rsidRPr="0064629A">
        <w:rPr>
          <w:rFonts w:eastAsia="Times New Roman"/>
          <w:sz w:val="24"/>
          <w:szCs w:val="24"/>
        </w:rPr>
        <w:t xml:space="preserve">ater </w:t>
      </w:r>
      <w:r w:rsidR="002A357C">
        <w:rPr>
          <w:rFonts w:eastAsia="Times New Roman"/>
          <w:sz w:val="24"/>
          <w:szCs w:val="24"/>
        </w:rPr>
        <w:t>r</w:t>
      </w:r>
      <w:r w:rsidR="00FB68C0" w:rsidRPr="0064629A">
        <w:rPr>
          <w:rFonts w:eastAsia="Times New Roman"/>
          <w:sz w:val="24"/>
          <w:szCs w:val="24"/>
        </w:rPr>
        <w:t>egulation</w:t>
      </w:r>
      <w:r w:rsidR="00B07086">
        <w:rPr>
          <w:rFonts w:eastAsia="Times New Roman"/>
          <w:sz w:val="24"/>
          <w:szCs w:val="24"/>
        </w:rPr>
        <w:t>s</w:t>
      </w:r>
      <w:r w:rsidR="00FB68C0" w:rsidRPr="0064629A">
        <w:rPr>
          <w:rFonts w:eastAsia="Times New Roman"/>
          <w:sz w:val="24"/>
          <w:szCs w:val="24"/>
        </w:rPr>
        <w:t xml:space="preserve"> </w:t>
      </w:r>
      <w:r w:rsidR="00FB68C0">
        <w:rPr>
          <w:rFonts w:eastAsia="Times New Roman"/>
          <w:sz w:val="24"/>
          <w:szCs w:val="24"/>
        </w:rPr>
        <w:t>provide that f</w:t>
      </w:r>
      <w:r w:rsidR="002B400C" w:rsidRPr="0064629A">
        <w:rPr>
          <w:rFonts w:eastAsia="Times New Roman"/>
          <w:sz w:val="24"/>
          <w:szCs w:val="24"/>
        </w:rPr>
        <w:t xml:space="preserve">ailure to comply with the applicable requirements of 310 CMR 22.05 shall constitute a violation </w:t>
      </w:r>
      <w:r w:rsidR="00FB68C0">
        <w:rPr>
          <w:rFonts w:eastAsia="Times New Roman"/>
          <w:sz w:val="24"/>
          <w:szCs w:val="24"/>
        </w:rPr>
        <w:t xml:space="preserve">under </w:t>
      </w:r>
      <w:r w:rsidR="00FB68C0" w:rsidRPr="0064629A">
        <w:rPr>
          <w:rFonts w:eastAsia="Times New Roman"/>
          <w:sz w:val="24"/>
          <w:szCs w:val="24"/>
        </w:rPr>
        <w:t>subpart Y of 40 CFR 141</w:t>
      </w:r>
      <w:r w:rsidR="0055722B" w:rsidRPr="0064629A">
        <w:rPr>
          <w:rFonts w:eastAsia="Times New Roman"/>
          <w:sz w:val="24"/>
          <w:szCs w:val="24"/>
        </w:rPr>
        <w:t>.</w:t>
      </w:r>
    </w:p>
    <w:p w14:paraId="134FD881" w14:textId="77777777" w:rsidR="0055722B" w:rsidRPr="00F13A1B" w:rsidRDefault="0055722B" w:rsidP="00EE2949">
      <w:pPr>
        <w:rPr>
          <w:rFonts w:eastAsia="Times New Roman"/>
          <w:sz w:val="24"/>
          <w:szCs w:val="24"/>
        </w:rPr>
      </w:pPr>
    </w:p>
    <w:p w14:paraId="2819D35C" w14:textId="77777777" w:rsidR="004647B9" w:rsidRPr="00F13A1B" w:rsidRDefault="00E2436F" w:rsidP="00EE2949">
      <w:pPr>
        <w:numPr>
          <w:ilvl w:val="0"/>
          <w:numId w:val="109"/>
        </w:numPr>
        <w:tabs>
          <w:tab w:val="left" w:pos="1780"/>
        </w:tabs>
        <w:ind w:left="1780" w:hanging="580"/>
        <w:rPr>
          <w:rFonts w:eastAsia="Times New Roman"/>
          <w:sz w:val="24"/>
          <w:szCs w:val="24"/>
        </w:rPr>
      </w:pPr>
      <w:r w:rsidRPr="00F13A1B">
        <w:rPr>
          <w:rFonts w:eastAsia="Times New Roman"/>
          <w:sz w:val="24"/>
          <w:szCs w:val="24"/>
          <w:u w:val="single"/>
        </w:rPr>
        <w:t>Reporting and Recordkeeping</w:t>
      </w:r>
      <w:r w:rsidRPr="00F13A1B">
        <w:rPr>
          <w:rFonts w:eastAsia="Times New Roman"/>
          <w:sz w:val="24"/>
          <w:szCs w:val="24"/>
        </w:rPr>
        <w:t>.</w:t>
      </w:r>
    </w:p>
    <w:p w14:paraId="2819D35E" w14:textId="77777777" w:rsidR="004647B9" w:rsidRPr="00F13A1B" w:rsidRDefault="00E2436F" w:rsidP="00EE2949">
      <w:pPr>
        <w:numPr>
          <w:ilvl w:val="1"/>
          <w:numId w:val="109"/>
        </w:numPr>
        <w:tabs>
          <w:tab w:val="left" w:pos="2000"/>
        </w:tabs>
        <w:ind w:left="2000" w:hanging="445"/>
        <w:rPr>
          <w:rFonts w:eastAsia="Times New Roman"/>
          <w:sz w:val="24"/>
          <w:szCs w:val="24"/>
        </w:rPr>
      </w:pPr>
      <w:r w:rsidRPr="00F13A1B">
        <w:rPr>
          <w:rFonts w:eastAsia="Times New Roman"/>
          <w:sz w:val="24"/>
          <w:szCs w:val="24"/>
          <w:u w:val="single"/>
        </w:rPr>
        <w:t>Reporting</w:t>
      </w:r>
      <w:r w:rsidRPr="00F13A1B">
        <w:rPr>
          <w:rFonts w:eastAsia="Times New Roman"/>
          <w:sz w:val="24"/>
          <w:szCs w:val="24"/>
        </w:rPr>
        <w:t>.</w:t>
      </w:r>
    </w:p>
    <w:p w14:paraId="2819D360" w14:textId="77777777" w:rsidR="004647B9" w:rsidRPr="00F13A1B" w:rsidRDefault="00E2436F" w:rsidP="00EE2949">
      <w:pPr>
        <w:numPr>
          <w:ilvl w:val="2"/>
          <w:numId w:val="109"/>
        </w:numPr>
        <w:tabs>
          <w:tab w:val="left" w:pos="2280"/>
        </w:tabs>
        <w:ind w:left="1915"/>
        <w:rPr>
          <w:rFonts w:eastAsia="Times New Roman"/>
          <w:sz w:val="24"/>
          <w:szCs w:val="24"/>
        </w:rPr>
      </w:pPr>
      <w:r w:rsidRPr="00F13A1B">
        <w:rPr>
          <w:rFonts w:eastAsia="Times New Roman"/>
          <w:i/>
          <w:iCs/>
          <w:sz w:val="24"/>
          <w:szCs w:val="24"/>
          <w:u w:val="single"/>
        </w:rPr>
        <w:t>E. coli</w:t>
      </w:r>
      <w:r w:rsidRPr="00F13A1B">
        <w:rPr>
          <w:rFonts w:eastAsia="Times New Roman"/>
          <w:sz w:val="24"/>
          <w:szCs w:val="24"/>
        </w:rPr>
        <w:t>.</w:t>
      </w:r>
    </w:p>
    <w:p w14:paraId="2819D364" w14:textId="18BAC161" w:rsidR="004647B9" w:rsidRPr="00F13A1B" w:rsidRDefault="00E2436F" w:rsidP="00EE2949">
      <w:pPr>
        <w:numPr>
          <w:ilvl w:val="0"/>
          <w:numId w:val="110"/>
        </w:numPr>
        <w:tabs>
          <w:tab w:val="left" w:pos="2670"/>
        </w:tabs>
        <w:ind w:left="2280"/>
        <w:jc w:val="both"/>
        <w:rPr>
          <w:rFonts w:eastAsia="Times New Roman"/>
          <w:sz w:val="24"/>
          <w:szCs w:val="24"/>
        </w:rPr>
      </w:pPr>
      <w:r w:rsidRPr="00F13A1B">
        <w:rPr>
          <w:rFonts w:eastAsia="Times New Roman"/>
          <w:sz w:val="24"/>
          <w:szCs w:val="24"/>
        </w:rPr>
        <w:t>A Supplier of Water shall notify and consult with the Department as soon as possible but no later than the end of the day when the Supplier of Water learns of an</w:t>
      </w:r>
      <w:r w:rsidR="00F13A1B">
        <w:rPr>
          <w:rFonts w:eastAsia="Times New Roman"/>
          <w:sz w:val="24"/>
          <w:szCs w:val="24"/>
        </w:rPr>
        <w:t xml:space="preserve"> </w:t>
      </w:r>
      <w:r w:rsidRPr="00F13A1B">
        <w:rPr>
          <w:rFonts w:eastAsia="Times New Roman"/>
          <w:i/>
          <w:iCs/>
          <w:sz w:val="24"/>
          <w:szCs w:val="24"/>
        </w:rPr>
        <w:t xml:space="preserve">E. coli </w:t>
      </w:r>
      <w:r w:rsidRPr="00F13A1B">
        <w:rPr>
          <w:rFonts w:eastAsia="Times New Roman"/>
          <w:sz w:val="24"/>
          <w:szCs w:val="24"/>
        </w:rPr>
        <w:t>MCL violation and shall notify the public in accordance with 310 CMR 22.16.</w:t>
      </w:r>
      <w:r w:rsidRPr="00F13A1B">
        <w:rPr>
          <w:rFonts w:eastAsia="Times New Roman"/>
          <w:i/>
          <w:iCs/>
          <w:sz w:val="24"/>
          <w:szCs w:val="24"/>
        </w:rPr>
        <w:t xml:space="preserve"> </w:t>
      </w:r>
      <w:r w:rsidRPr="00F13A1B">
        <w:rPr>
          <w:rFonts w:eastAsia="Times New Roman"/>
          <w:sz w:val="24"/>
          <w:szCs w:val="24"/>
        </w:rPr>
        <w:t xml:space="preserve">If the Supplier of Water receives such notification outside of the Department's regular business hours, then it shall provide notification to the Department by calling the Department's Emergency notification telephone number </w:t>
      </w:r>
      <w:r w:rsidRPr="00F13A1B">
        <w:rPr>
          <w:rFonts w:eastAsia="Times New Roman"/>
          <w:sz w:val="24"/>
          <w:szCs w:val="24"/>
        </w:rPr>
        <w:lastRenderedPageBreak/>
        <w:t>and using any other electronic reporting tool designated by the Department, or other Department designated numbers.</w:t>
      </w:r>
    </w:p>
    <w:p w14:paraId="2819D365" w14:textId="77777777" w:rsidR="004647B9" w:rsidRDefault="004647B9">
      <w:pPr>
        <w:sectPr w:rsidR="004647B9" w:rsidSect="00EF630C">
          <w:pgSz w:w="12240" w:h="20180"/>
          <w:pgMar w:top="708" w:right="1440" w:bottom="742" w:left="600" w:header="0" w:footer="0" w:gutter="0"/>
          <w:cols w:space="720" w:equalWidth="0">
            <w:col w:w="10200"/>
          </w:cols>
        </w:sectPr>
      </w:pPr>
    </w:p>
    <w:p w14:paraId="2819D366" w14:textId="77777777" w:rsidR="004647B9" w:rsidRDefault="00E2436F">
      <w:pPr>
        <w:tabs>
          <w:tab w:val="left" w:pos="160"/>
        </w:tabs>
        <w:jc w:val="center"/>
        <w:rPr>
          <w:sz w:val="20"/>
          <w:szCs w:val="20"/>
        </w:rPr>
      </w:pPr>
      <w:bookmarkStart w:id="45" w:name="page46"/>
      <w:bookmarkEnd w:id="4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367" w14:textId="77777777" w:rsidR="004647B9" w:rsidRDefault="004647B9" w:rsidP="00EE2949">
      <w:pPr>
        <w:rPr>
          <w:sz w:val="20"/>
          <w:szCs w:val="20"/>
        </w:rPr>
      </w:pPr>
    </w:p>
    <w:p w14:paraId="2819D368" w14:textId="77777777" w:rsidR="004647B9" w:rsidRDefault="004647B9" w:rsidP="00EE2949">
      <w:pPr>
        <w:rPr>
          <w:sz w:val="20"/>
          <w:szCs w:val="20"/>
        </w:rPr>
      </w:pPr>
    </w:p>
    <w:p w14:paraId="2819D369" w14:textId="77777777" w:rsidR="004647B9" w:rsidRDefault="00E2436F">
      <w:pPr>
        <w:tabs>
          <w:tab w:val="left" w:pos="760"/>
        </w:tabs>
        <w:rPr>
          <w:sz w:val="20"/>
          <w:szCs w:val="20"/>
        </w:rPr>
      </w:pPr>
      <w:r>
        <w:rPr>
          <w:rFonts w:eastAsia="Times New Roman"/>
          <w:sz w:val="24"/>
          <w:szCs w:val="24"/>
        </w:rPr>
        <w:t>22.05:</w:t>
      </w:r>
      <w:r>
        <w:rPr>
          <w:rFonts w:eastAsia="Times New Roman"/>
          <w:sz w:val="24"/>
          <w:szCs w:val="24"/>
        </w:rPr>
        <w:tab/>
        <w:t>continued</w:t>
      </w:r>
    </w:p>
    <w:p w14:paraId="2819D36A" w14:textId="77777777" w:rsidR="004647B9" w:rsidRDefault="004647B9" w:rsidP="00EE2949">
      <w:pPr>
        <w:rPr>
          <w:sz w:val="20"/>
          <w:szCs w:val="20"/>
        </w:rPr>
      </w:pPr>
    </w:p>
    <w:p w14:paraId="2819D36B" w14:textId="77777777" w:rsidR="004647B9" w:rsidRPr="00F13A1B" w:rsidRDefault="00E2436F" w:rsidP="00563A54">
      <w:pPr>
        <w:numPr>
          <w:ilvl w:val="2"/>
          <w:numId w:val="111"/>
        </w:numPr>
        <w:tabs>
          <w:tab w:val="left" w:pos="2640"/>
        </w:tabs>
        <w:spacing w:line="247" w:lineRule="auto"/>
        <w:ind w:left="2280" w:hanging="5"/>
        <w:jc w:val="both"/>
        <w:rPr>
          <w:rFonts w:eastAsia="Times New Roman"/>
          <w:sz w:val="24"/>
          <w:szCs w:val="24"/>
        </w:rPr>
      </w:pPr>
      <w:r w:rsidRPr="00F13A1B">
        <w:rPr>
          <w:rFonts w:eastAsia="Times New Roman"/>
          <w:sz w:val="24"/>
          <w:szCs w:val="24"/>
        </w:rPr>
        <w:t xml:space="preserve">If </w:t>
      </w:r>
      <w:r w:rsidRPr="00F13A1B">
        <w:rPr>
          <w:rFonts w:eastAsia="Times New Roman"/>
          <w:i/>
          <w:iCs/>
          <w:sz w:val="24"/>
          <w:szCs w:val="24"/>
        </w:rPr>
        <w:t>E. coli</w:t>
      </w:r>
      <w:r w:rsidRPr="00F13A1B">
        <w:rPr>
          <w:rFonts w:eastAsia="Times New Roman"/>
          <w:sz w:val="24"/>
          <w:szCs w:val="24"/>
        </w:rPr>
        <w:t xml:space="preserve"> are present in a routine sample, the Supplier of Water shall notify and consult with the Department on the same day as the Supplier of Water receives notification from the laboratory. If the Supplier of Water receives such notification outside of the Department's regular business hours, then the Supplier of Water shall on the same day call the Department's Emergency notification telephone number and use any other electronic reporting tool designated by the Department, or other Department designated numbers.</w:t>
      </w:r>
    </w:p>
    <w:p w14:paraId="2819D36D" w14:textId="180149B0" w:rsidR="004647B9" w:rsidRPr="00F13A1B" w:rsidRDefault="00E2436F" w:rsidP="00E31DD9">
      <w:pPr>
        <w:numPr>
          <w:ilvl w:val="1"/>
          <w:numId w:val="112"/>
        </w:numPr>
        <w:tabs>
          <w:tab w:val="left" w:pos="2275"/>
        </w:tabs>
        <w:spacing w:line="242" w:lineRule="auto"/>
        <w:ind w:left="1915"/>
        <w:jc w:val="both"/>
        <w:rPr>
          <w:rFonts w:eastAsia="Times New Roman"/>
          <w:sz w:val="24"/>
          <w:szCs w:val="24"/>
        </w:rPr>
      </w:pPr>
      <w:r w:rsidRPr="00F13A1B">
        <w:rPr>
          <w:rFonts w:eastAsia="Times New Roman"/>
          <w:sz w:val="24"/>
          <w:szCs w:val="24"/>
        </w:rPr>
        <w:t>A Supplier of Water whose Public Water System has violated the Treatment Technique for coliforms in 310 CMR 22.05(4) shall report the violation to the Department no later than the end of the next business day after it learns of the violation, and notify the public in accordance with 310 CMR 22.16.</w:t>
      </w:r>
    </w:p>
    <w:p w14:paraId="2819D36E" w14:textId="77777777" w:rsidR="004647B9" w:rsidRPr="00F13A1B" w:rsidRDefault="00E2436F" w:rsidP="00E31DD9">
      <w:pPr>
        <w:numPr>
          <w:ilvl w:val="1"/>
          <w:numId w:val="112"/>
        </w:numPr>
        <w:tabs>
          <w:tab w:val="left" w:pos="2275"/>
        </w:tabs>
        <w:spacing w:line="242" w:lineRule="auto"/>
        <w:ind w:left="1915"/>
        <w:jc w:val="both"/>
        <w:rPr>
          <w:rFonts w:eastAsia="Times New Roman"/>
          <w:sz w:val="24"/>
          <w:szCs w:val="24"/>
        </w:rPr>
      </w:pPr>
      <w:r w:rsidRPr="00F13A1B">
        <w:rPr>
          <w:rFonts w:eastAsia="Times New Roman"/>
          <w:sz w:val="24"/>
          <w:szCs w:val="24"/>
        </w:rPr>
        <w:t>A Supplier of Water required to conduct an assessment under 310 CMR 22.05(4) shall submit the assessment report as soon as possible but not later than 30 days after the collection date of the sample that triggered the assessment, pursuant to 310 CMR 22.05(4)(b)3.a or 4.a.</w:t>
      </w:r>
    </w:p>
    <w:p w14:paraId="2819D36F" w14:textId="77777777" w:rsidR="004647B9" w:rsidRPr="00F13A1B" w:rsidRDefault="00E2436F">
      <w:pPr>
        <w:spacing w:line="242" w:lineRule="auto"/>
        <w:ind w:left="1920" w:firstLine="360"/>
        <w:jc w:val="both"/>
        <w:rPr>
          <w:rFonts w:eastAsia="Times New Roman"/>
          <w:sz w:val="24"/>
          <w:szCs w:val="24"/>
        </w:rPr>
      </w:pPr>
      <w:r w:rsidRPr="00F13A1B">
        <w:rPr>
          <w:rFonts w:eastAsia="Times New Roman"/>
          <w:sz w:val="24"/>
          <w:szCs w:val="24"/>
        </w:rPr>
        <w:t>The Supplier of Water shall notify the Department in accordance with 310 CMR 22.05(4)(c) when each scheduled corrective action is completed for corrections not completed by the time of submission of the assessment form.</w:t>
      </w:r>
    </w:p>
    <w:p w14:paraId="2819D372" w14:textId="1873EC6A" w:rsidR="004647B9" w:rsidRPr="00F13A1B" w:rsidRDefault="00E2436F" w:rsidP="00E31DD9">
      <w:pPr>
        <w:numPr>
          <w:ilvl w:val="1"/>
          <w:numId w:val="112"/>
        </w:numPr>
        <w:tabs>
          <w:tab w:val="left" w:pos="2275"/>
        </w:tabs>
        <w:spacing w:line="254" w:lineRule="auto"/>
        <w:ind w:left="1915"/>
        <w:jc w:val="both"/>
        <w:rPr>
          <w:rFonts w:eastAsia="Times New Roman"/>
          <w:sz w:val="24"/>
          <w:szCs w:val="24"/>
        </w:rPr>
      </w:pPr>
      <w:r w:rsidRPr="00F13A1B">
        <w:rPr>
          <w:rFonts w:eastAsia="Times New Roman"/>
          <w:sz w:val="24"/>
          <w:szCs w:val="24"/>
        </w:rPr>
        <w:t>A Supplier of Water who has failed to comply with a coliform monitoring requirement shall report the monitoring violation to the Department within ten days after the Supplier of Water discovers the violation and notify the public in accordance with</w:t>
      </w:r>
      <w:r w:rsidR="00F13A1B">
        <w:rPr>
          <w:rFonts w:eastAsia="Times New Roman"/>
          <w:sz w:val="24"/>
          <w:szCs w:val="24"/>
        </w:rPr>
        <w:t xml:space="preserve"> 310 </w:t>
      </w:r>
      <w:r w:rsidRPr="00F13A1B">
        <w:rPr>
          <w:rFonts w:eastAsia="Times New Roman"/>
          <w:sz w:val="24"/>
          <w:szCs w:val="24"/>
        </w:rPr>
        <w:t>CMR 22.16.</w:t>
      </w:r>
    </w:p>
    <w:p w14:paraId="2819D374" w14:textId="0474B08B" w:rsidR="004647B9" w:rsidRPr="00F13A1B" w:rsidRDefault="00E2436F" w:rsidP="007E65BD">
      <w:pPr>
        <w:numPr>
          <w:ilvl w:val="1"/>
          <w:numId w:val="113"/>
        </w:numPr>
        <w:tabs>
          <w:tab w:val="left" w:pos="2275"/>
        </w:tabs>
        <w:spacing w:line="242" w:lineRule="auto"/>
        <w:ind w:left="1915"/>
        <w:jc w:val="both"/>
        <w:rPr>
          <w:rFonts w:eastAsia="Times New Roman"/>
          <w:sz w:val="24"/>
          <w:szCs w:val="24"/>
        </w:rPr>
      </w:pPr>
      <w:r w:rsidRPr="00F13A1B">
        <w:rPr>
          <w:rFonts w:eastAsia="Times New Roman"/>
          <w:sz w:val="24"/>
          <w:szCs w:val="24"/>
        </w:rPr>
        <w:t>At the beginning of each operating period, a Supplier of Water of a Seasonal System shall certify, prior to serving water to the public, that it has complied with the Department-approved start-up procedure in accordance with 310 CMR 22.05(1)(d)6.a. or (e)</w:t>
      </w:r>
      <w:r w:rsidR="00D85829">
        <w:rPr>
          <w:rFonts w:eastAsia="Times New Roman"/>
          <w:sz w:val="24"/>
          <w:szCs w:val="24"/>
        </w:rPr>
        <w:t>5</w:t>
      </w:r>
      <w:r w:rsidRPr="00F13A1B">
        <w:rPr>
          <w:rFonts w:eastAsia="Times New Roman"/>
          <w:sz w:val="24"/>
          <w:szCs w:val="24"/>
        </w:rPr>
        <w:t>.a.</w:t>
      </w:r>
    </w:p>
    <w:p w14:paraId="2819D375" w14:textId="77777777" w:rsidR="004647B9" w:rsidRPr="00F13A1B" w:rsidRDefault="00E2436F" w:rsidP="007E65BD">
      <w:pPr>
        <w:numPr>
          <w:ilvl w:val="1"/>
          <w:numId w:val="113"/>
        </w:numPr>
        <w:tabs>
          <w:tab w:val="left" w:pos="2275"/>
        </w:tabs>
        <w:spacing w:line="252" w:lineRule="auto"/>
        <w:ind w:left="1915"/>
        <w:jc w:val="both"/>
        <w:rPr>
          <w:rFonts w:eastAsia="Times New Roman"/>
          <w:sz w:val="24"/>
          <w:szCs w:val="24"/>
        </w:rPr>
      </w:pPr>
      <w:r w:rsidRPr="00F13A1B">
        <w:rPr>
          <w:rFonts w:eastAsia="Times New Roman"/>
          <w:sz w:val="24"/>
          <w:szCs w:val="24"/>
        </w:rPr>
        <w:t>A Supplier of Water shall notify the Department as soon as possible but no later than five days after the collection date of the sample that, in accordance with 310 CMR</w:t>
      </w:r>
    </w:p>
    <w:p w14:paraId="2819D377" w14:textId="77777777" w:rsidR="004647B9" w:rsidRPr="00F13A1B" w:rsidRDefault="00E2436F" w:rsidP="00563A54">
      <w:pPr>
        <w:numPr>
          <w:ilvl w:val="1"/>
          <w:numId w:val="114"/>
        </w:numPr>
        <w:tabs>
          <w:tab w:val="left" w:pos="2220"/>
        </w:tabs>
        <w:ind w:left="2220" w:hanging="305"/>
        <w:rPr>
          <w:rFonts w:eastAsia="Times New Roman"/>
          <w:sz w:val="24"/>
          <w:szCs w:val="24"/>
        </w:rPr>
      </w:pPr>
      <w:r w:rsidRPr="00F13A1B">
        <w:rPr>
          <w:rFonts w:eastAsia="Times New Roman"/>
          <w:sz w:val="24"/>
          <w:szCs w:val="24"/>
        </w:rPr>
        <w:t>05(4)(a)1. or 2., triggered an assessment.</w:t>
      </w:r>
    </w:p>
    <w:p w14:paraId="2819D379" w14:textId="77777777" w:rsidR="004647B9" w:rsidRPr="00F13A1B" w:rsidRDefault="00E2436F" w:rsidP="00563A54">
      <w:pPr>
        <w:numPr>
          <w:ilvl w:val="0"/>
          <w:numId w:val="115"/>
        </w:numPr>
        <w:tabs>
          <w:tab w:val="left" w:pos="2020"/>
        </w:tabs>
        <w:ind w:left="2020" w:hanging="465"/>
        <w:rPr>
          <w:rFonts w:eastAsia="Times New Roman"/>
          <w:sz w:val="24"/>
          <w:szCs w:val="24"/>
        </w:rPr>
      </w:pPr>
      <w:r w:rsidRPr="00F13A1B">
        <w:rPr>
          <w:rFonts w:eastAsia="Times New Roman"/>
          <w:sz w:val="24"/>
          <w:szCs w:val="24"/>
          <w:u w:val="single"/>
        </w:rPr>
        <w:t>Recordkeeping</w:t>
      </w:r>
      <w:r w:rsidRPr="00F13A1B">
        <w:rPr>
          <w:rFonts w:eastAsia="Times New Roman"/>
          <w:sz w:val="24"/>
          <w:szCs w:val="24"/>
        </w:rPr>
        <w:t>.</w:t>
      </w:r>
    </w:p>
    <w:p w14:paraId="2819D37B" w14:textId="77777777" w:rsidR="004647B9" w:rsidRPr="00F13A1B" w:rsidRDefault="00E2436F" w:rsidP="00D85829">
      <w:pPr>
        <w:numPr>
          <w:ilvl w:val="1"/>
          <w:numId w:val="115"/>
        </w:numPr>
        <w:tabs>
          <w:tab w:val="left" w:pos="2275"/>
        </w:tabs>
        <w:spacing w:line="242" w:lineRule="auto"/>
        <w:ind w:left="1915"/>
        <w:jc w:val="both"/>
        <w:rPr>
          <w:rFonts w:eastAsia="Times New Roman"/>
          <w:sz w:val="24"/>
          <w:szCs w:val="24"/>
        </w:rPr>
      </w:pPr>
      <w:r w:rsidRPr="00F13A1B">
        <w:rPr>
          <w:rFonts w:eastAsia="Times New Roman"/>
          <w:sz w:val="24"/>
          <w:szCs w:val="24"/>
        </w:rPr>
        <w:t>The Supplier of Water shall maintain any assessment form, regardless of who conducts the assessment, and documentation of corrective actions completed as a result of those assessments, or other available summary documentation of the Sanitary Defects and corrective actions taken under 310 CMR 22.05(4), for Department review. This record shall be maintained by the Supplier of Water for a period not less than five years after completion of the assessment or corrective action.</w:t>
      </w:r>
    </w:p>
    <w:p w14:paraId="2819D37D" w14:textId="77777777" w:rsidR="004647B9" w:rsidRPr="00F13A1B" w:rsidRDefault="00E2436F" w:rsidP="00D85829">
      <w:pPr>
        <w:numPr>
          <w:ilvl w:val="1"/>
          <w:numId w:val="115"/>
        </w:numPr>
        <w:tabs>
          <w:tab w:val="left" w:pos="2275"/>
        </w:tabs>
        <w:spacing w:line="245" w:lineRule="auto"/>
        <w:ind w:left="1915"/>
        <w:jc w:val="both"/>
        <w:rPr>
          <w:rFonts w:eastAsia="Times New Roman"/>
          <w:sz w:val="24"/>
          <w:szCs w:val="24"/>
        </w:rPr>
      </w:pPr>
      <w:r w:rsidRPr="00F13A1B">
        <w:rPr>
          <w:rFonts w:eastAsia="Times New Roman"/>
          <w:sz w:val="24"/>
          <w:szCs w:val="24"/>
        </w:rPr>
        <w:t>The Supplier of Water shall maintain a record of any repeat sample taken that meets Department criteria for an extension of the 24-hour period for collecting repeat samples as provided for under 310 CMR 22.05(2)(a).</w:t>
      </w:r>
    </w:p>
    <w:p w14:paraId="2819D37E" w14:textId="77777777" w:rsidR="004647B9" w:rsidRPr="00F13A1B" w:rsidRDefault="004647B9">
      <w:pPr>
        <w:spacing w:line="242" w:lineRule="exact"/>
        <w:rPr>
          <w:sz w:val="24"/>
          <w:szCs w:val="24"/>
        </w:rPr>
      </w:pPr>
    </w:p>
    <w:p w14:paraId="2819D37F" w14:textId="77777777" w:rsidR="004647B9" w:rsidRPr="00F13A1B" w:rsidRDefault="00E2436F">
      <w:pPr>
        <w:tabs>
          <w:tab w:val="left" w:pos="760"/>
        </w:tabs>
        <w:spacing w:line="273" w:lineRule="auto"/>
        <w:ind w:left="780" w:right="400" w:hanging="779"/>
        <w:rPr>
          <w:sz w:val="24"/>
          <w:szCs w:val="24"/>
        </w:rPr>
      </w:pPr>
      <w:r w:rsidRPr="00D71FB6">
        <w:rPr>
          <w:rFonts w:eastAsia="Times New Roman"/>
          <w:sz w:val="24"/>
          <w:szCs w:val="24"/>
          <w:u w:val="single"/>
        </w:rPr>
        <w:t>22.06</w:t>
      </w:r>
      <w:r w:rsidRPr="00F13A1B">
        <w:rPr>
          <w:rFonts w:eastAsia="Times New Roman"/>
          <w:sz w:val="24"/>
          <w:szCs w:val="24"/>
          <w:u w:val="single"/>
        </w:rPr>
        <w:t>:</w:t>
      </w:r>
      <w:r w:rsidRPr="00F13A1B">
        <w:rPr>
          <w:rFonts w:eastAsia="Times New Roman"/>
          <w:sz w:val="24"/>
          <w:szCs w:val="24"/>
          <w:u w:val="single"/>
        </w:rPr>
        <w:tab/>
        <w:t>Inorganic Chemical Maximum Contaminant Levels, Monitoring Requirements and Analytical Methods</w:t>
      </w:r>
    </w:p>
    <w:p w14:paraId="2819D380" w14:textId="77777777" w:rsidR="004647B9" w:rsidRPr="00F13A1B" w:rsidRDefault="004647B9" w:rsidP="00EE20C3">
      <w:pPr>
        <w:rPr>
          <w:sz w:val="24"/>
          <w:szCs w:val="24"/>
        </w:rPr>
      </w:pPr>
    </w:p>
    <w:p w14:paraId="2819D381" w14:textId="77777777" w:rsidR="004647B9" w:rsidRPr="00F13A1B" w:rsidRDefault="00E2436F" w:rsidP="00563A54">
      <w:pPr>
        <w:numPr>
          <w:ilvl w:val="0"/>
          <w:numId w:val="116"/>
        </w:numPr>
        <w:tabs>
          <w:tab w:val="left" w:pos="1656"/>
        </w:tabs>
        <w:spacing w:line="250" w:lineRule="auto"/>
        <w:ind w:left="1200"/>
        <w:jc w:val="both"/>
        <w:rPr>
          <w:rFonts w:eastAsia="Times New Roman"/>
          <w:sz w:val="24"/>
          <w:szCs w:val="24"/>
        </w:rPr>
      </w:pPr>
      <w:r w:rsidRPr="00F13A1B">
        <w:rPr>
          <w:rFonts w:eastAsia="Times New Roman"/>
          <w:sz w:val="24"/>
          <w:szCs w:val="24"/>
          <w:u w:val="single"/>
        </w:rPr>
        <w:t>Monitoring</w:t>
      </w:r>
      <w:r w:rsidRPr="00F13A1B">
        <w:rPr>
          <w:rFonts w:eastAsia="Times New Roman"/>
          <w:sz w:val="24"/>
          <w:szCs w:val="24"/>
        </w:rPr>
        <w:t>. A Supplier of Water shall collect samples of water as specified in 310 CMR 22.06(4) and provide for analysis of such samples for inorganic chemical contaminants listed in 310 CMR 22.06(2) consistent with the requirements set forth in 310 CMR 22.06(5) through (9) and methods set forth in 310 CMR 22.06(16).</w:t>
      </w:r>
    </w:p>
    <w:p w14:paraId="2819D383" w14:textId="77777777" w:rsidR="004647B9" w:rsidRPr="00F13A1B" w:rsidRDefault="00E2436F">
      <w:pPr>
        <w:spacing w:line="246" w:lineRule="auto"/>
        <w:ind w:left="1200" w:firstLine="355"/>
        <w:rPr>
          <w:rFonts w:eastAsia="Times New Roman"/>
          <w:sz w:val="24"/>
          <w:szCs w:val="24"/>
        </w:rPr>
      </w:pPr>
      <w:r w:rsidRPr="00F13A1B">
        <w:rPr>
          <w:rFonts w:eastAsia="Times New Roman"/>
          <w:sz w:val="24"/>
          <w:szCs w:val="24"/>
        </w:rPr>
        <w:t>All analytical results shall be rounded to the same number of significant figures as the applicable MCL or SMCL.</w:t>
      </w:r>
    </w:p>
    <w:p w14:paraId="2819D384" w14:textId="77777777" w:rsidR="004647B9" w:rsidRPr="00F13A1B" w:rsidRDefault="004647B9" w:rsidP="00EE20C3">
      <w:pPr>
        <w:rPr>
          <w:rFonts w:eastAsia="Times New Roman"/>
          <w:sz w:val="24"/>
          <w:szCs w:val="24"/>
        </w:rPr>
      </w:pPr>
    </w:p>
    <w:p w14:paraId="2819D387" w14:textId="5FAAECF9" w:rsidR="004647B9" w:rsidRPr="00677463" w:rsidRDefault="00E2436F" w:rsidP="00563A54">
      <w:pPr>
        <w:numPr>
          <w:ilvl w:val="0"/>
          <w:numId w:val="116"/>
        </w:numPr>
        <w:tabs>
          <w:tab w:val="left" w:pos="1613"/>
        </w:tabs>
        <w:spacing w:line="244" w:lineRule="auto"/>
        <w:ind w:left="1200"/>
        <w:jc w:val="both"/>
        <w:rPr>
          <w:rFonts w:eastAsia="Times New Roman"/>
          <w:sz w:val="24"/>
          <w:szCs w:val="24"/>
        </w:rPr>
      </w:pPr>
      <w:r w:rsidRPr="00677463">
        <w:rPr>
          <w:rFonts w:eastAsia="Times New Roman"/>
          <w:sz w:val="24"/>
          <w:szCs w:val="24"/>
          <w:u w:val="single"/>
        </w:rPr>
        <w:t>Inorganic Maximum Contaminant Levels (MCLs)</w:t>
      </w:r>
      <w:r w:rsidRPr="00677463">
        <w:rPr>
          <w:rFonts w:eastAsia="Times New Roman"/>
          <w:sz w:val="24"/>
          <w:szCs w:val="24"/>
        </w:rPr>
        <w:t>. The Maximum Contaminant Levels for inorganic contaminants specified in 310 CMR 22.06(2)(b) through (g) and (k) through (q) apply to Community Water Systems and Non-transient Non-community Water Systems. The Maximum Contaminant Level specified in 310 CMR 22.06(2)(a) only applies to Community Water Systems. The Maximum Contaminant Levels specified in 310 CMR 22.06(2)(h) through</w:t>
      </w:r>
      <w:r w:rsidR="00677463">
        <w:rPr>
          <w:rFonts w:eastAsia="Times New Roman"/>
          <w:sz w:val="24"/>
          <w:szCs w:val="24"/>
        </w:rPr>
        <w:t xml:space="preserve"> </w:t>
      </w:r>
      <w:r w:rsidRPr="00677463">
        <w:rPr>
          <w:rFonts w:eastAsia="Times New Roman"/>
          <w:sz w:val="24"/>
          <w:szCs w:val="24"/>
        </w:rPr>
        <w:t>(j) apply to Community, Non-transient Non-community, and Transient Non-community Water Systems. The Maximum Contaminant Level for arsenic is 0.05 milligrams per liter for Community Water Systems and Non-transient Non-community Water Systems until January 23, 2006.</w:t>
      </w:r>
    </w:p>
    <w:p w14:paraId="2819D388" w14:textId="77777777" w:rsidR="004647B9" w:rsidRDefault="004647B9">
      <w:pPr>
        <w:sectPr w:rsidR="004647B9" w:rsidSect="00EF630C">
          <w:pgSz w:w="12240" w:h="20180"/>
          <w:pgMar w:top="708" w:right="1440" w:bottom="1016" w:left="600" w:header="0" w:footer="0" w:gutter="0"/>
          <w:cols w:space="720" w:equalWidth="0">
            <w:col w:w="10200"/>
          </w:cols>
        </w:sectPr>
      </w:pPr>
    </w:p>
    <w:p w14:paraId="2819D389" w14:textId="77777777" w:rsidR="004647B9" w:rsidRDefault="00E2436F">
      <w:pPr>
        <w:tabs>
          <w:tab w:val="left" w:pos="160"/>
        </w:tabs>
        <w:jc w:val="center"/>
        <w:rPr>
          <w:sz w:val="20"/>
          <w:szCs w:val="20"/>
        </w:rPr>
      </w:pPr>
      <w:bookmarkStart w:id="46" w:name="page47"/>
      <w:bookmarkEnd w:id="4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38A" w14:textId="77777777" w:rsidR="004647B9" w:rsidRDefault="004647B9" w:rsidP="00EE20C3">
      <w:pPr>
        <w:rPr>
          <w:sz w:val="20"/>
          <w:szCs w:val="20"/>
        </w:rPr>
      </w:pPr>
    </w:p>
    <w:p w14:paraId="2819D38B" w14:textId="77777777" w:rsidR="004647B9" w:rsidRDefault="004647B9" w:rsidP="00EE20C3">
      <w:pPr>
        <w:rPr>
          <w:sz w:val="20"/>
          <w:szCs w:val="20"/>
        </w:rPr>
      </w:pPr>
    </w:p>
    <w:p w14:paraId="2819D38C"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38D" w14:textId="77777777" w:rsidR="004647B9" w:rsidRDefault="004647B9" w:rsidP="00EE20C3">
      <w:pPr>
        <w:rPr>
          <w:sz w:val="20"/>
          <w:szCs w:val="20"/>
        </w:rPr>
      </w:pPr>
    </w:p>
    <w:p w14:paraId="2819D38E" w14:textId="4E43A46C" w:rsidR="004647B9" w:rsidRDefault="00E2436F">
      <w:pPr>
        <w:jc w:val="center"/>
        <w:rPr>
          <w:rFonts w:eastAsia="Times New Roman"/>
          <w:sz w:val="24"/>
          <w:szCs w:val="24"/>
        </w:rPr>
      </w:pPr>
      <w:r>
        <w:rPr>
          <w:rFonts w:eastAsia="Times New Roman"/>
          <w:sz w:val="24"/>
          <w:szCs w:val="24"/>
        </w:rPr>
        <w:t>MAXIMUM CONTAMINANT LEVELS FOR INORGANIC CHEMICALS</w:t>
      </w:r>
    </w:p>
    <w:p w14:paraId="1407A671" w14:textId="77777777" w:rsidR="00677463" w:rsidRDefault="00677463">
      <w:pPr>
        <w:jc w:val="center"/>
        <w:rPr>
          <w:sz w:val="20"/>
          <w:szCs w:val="20"/>
        </w:rPr>
      </w:pPr>
    </w:p>
    <w:tbl>
      <w:tblPr>
        <w:tblW w:w="0" w:type="auto"/>
        <w:tblInd w:w="1880" w:type="dxa"/>
        <w:tblLayout w:type="fixed"/>
        <w:tblCellMar>
          <w:left w:w="0" w:type="dxa"/>
          <w:right w:w="0" w:type="dxa"/>
        </w:tblCellMar>
        <w:tblLook w:val="04A0" w:firstRow="1" w:lastRow="0" w:firstColumn="1" w:lastColumn="0" w:noHBand="0" w:noVBand="1"/>
      </w:tblPr>
      <w:tblGrid>
        <w:gridCol w:w="40"/>
        <w:gridCol w:w="260"/>
        <w:gridCol w:w="760"/>
        <w:gridCol w:w="2760"/>
        <w:gridCol w:w="480"/>
        <w:gridCol w:w="980"/>
        <w:gridCol w:w="2340"/>
      </w:tblGrid>
      <w:tr w:rsidR="004647B9" w14:paraId="2819D396" w14:textId="77777777">
        <w:trPr>
          <w:trHeight w:val="212"/>
        </w:trPr>
        <w:tc>
          <w:tcPr>
            <w:tcW w:w="40" w:type="dxa"/>
            <w:vAlign w:val="bottom"/>
          </w:tcPr>
          <w:p w14:paraId="2819D390" w14:textId="77777777" w:rsidR="004647B9" w:rsidRDefault="004647B9">
            <w:pPr>
              <w:rPr>
                <w:sz w:val="18"/>
                <w:szCs w:val="18"/>
              </w:rPr>
            </w:pPr>
          </w:p>
        </w:tc>
        <w:tc>
          <w:tcPr>
            <w:tcW w:w="1020" w:type="dxa"/>
            <w:gridSpan w:val="2"/>
            <w:tcBorders>
              <w:bottom w:val="single" w:sz="8" w:space="0" w:color="auto"/>
            </w:tcBorders>
            <w:vAlign w:val="bottom"/>
          </w:tcPr>
          <w:p w14:paraId="2819D391" w14:textId="77777777" w:rsidR="004647B9" w:rsidRDefault="00E2436F">
            <w:pPr>
              <w:rPr>
                <w:sz w:val="20"/>
                <w:szCs w:val="20"/>
              </w:rPr>
            </w:pPr>
            <w:r>
              <w:rPr>
                <w:rFonts w:eastAsia="Times New Roman"/>
                <w:sz w:val="18"/>
                <w:szCs w:val="18"/>
              </w:rPr>
              <w:t>Contaminant</w:t>
            </w:r>
          </w:p>
        </w:tc>
        <w:tc>
          <w:tcPr>
            <w:tcW w:w="2760" w:type="dxa"/>
            <w:vAlign w:val="bottom"/>
          </w:tcPr>
          <w:p w14:paraId="2819D392" w14:textId="77777777" w:rsidR="004647B9" w:rsidRDefault="004647B9">
            <w:pPr>
              <w:rPr>
                <w:sz w:val="18"/>
                <w:szCs w:val="18"/>
              </w:rPr>
            </w:pPr>
          </w:p>
        </w:tc>
        <w:tc>
          <w:tcPr>
            <w:tcW w:w="480" w:type="dxa"/>
            <w:vAlign w:val="bottom"/>
          </w:tcPr>
          <w:p w14:paraId="2819D393" w14:textId="77777777" w:rsidR="004647B9" w:rsidRDefault="004647B9">
            <w:pPr>
              <w:rPr>
                <w:sz w:val="18"/>
                <w:szCs w:val="18"/>
              </w:rPr>
            </w:pPr>
          </w:p>
        </w:tc>
        <w:tc>
          <w:tcPr>
            <w:tcW w:w="980" w:type="dxa"/>
            <w:tcBorders>
              <w:bottom w:val="single" w:sz="8" w:space="0" w:color="auto"/>
            </w:tcBorders>
            <w:vAlign w:val="bottom"/>
          </w:tcPr>
          <w:p w14:paraId="2819D394" w14:textId="77777777" w:rsidR="004647B9" w:rsidRDefault="00E2436F">
            <w:pPr>
              <w:rPr>
                <w:sz w:val="20"/>
                <w:szCs w:val="20"/>
              </w:rPr>
            </w:pPr>
            <w:r>
              <w:rPr>
                <w:rFonts w:eastAsia="Times New Roman"/>
                <w:sz w:val="18"/>
                <w:szCs w:val="18"/>
              </w:rPr>
              <w:t>MCL (mg/l)</w:t>
            </w:r>
          </w:p>
        </w:tc>
        <w:tc>
          <w:tcPr>
            <w:tcW w:w="2340" w:type="dxa"/>
            <w:vAlign w:val="bottom"/>
          </w:tcPr>
          <w:p w14:paraId="2819D395" w14:textId="77777777" w:rsidR="004647B9" w:rsidRDefault="004647B9">
            <w:pPr>
              <w:rPr>
                <w:sz w:val="18"/>
                <w:szCs w:val="18"/>
              </w:rPr>
            </w:pPr>
          </w:p>
        </w:tc>
      </w:tr>
      <w:tr w:rsidR="004647B9" w14:paraId="2819D39A" w14:textId="77777777">
        <w:trPr>
          <w:trHeight w:val="275"/>
        </w:trPr>
        <w:tc>
          <w:tcPr>
            <w:tcW w:w="3820" w:type="dxa"/>
            <w:gridSpan w:val="4"/>
            <w:vAlign w:val="bottom"/>
          </w:tcPr>
          <w:p w14:paraId="2819D397" w14:textId="77777777" w:rsidR="004647B9" w:rsidRDefault="00E2436F">
            <w:pPr>
              <w:rPr>
                <w:sz w:val="20"/>
                <w:szCs w:val="20"/>
              </w:rPr>
            </w:pPr>
            <w:r>
              <w:rPr>
                <w:rFonts w:eastAsia="Times New Roman"/>
                <w:sz w:val="18"/>
                <w:szCs w:val="18"/>
              </w:rPr>
              <w:t>(a) Fluoride (C)</w:t>
            </w:r>
          </w:p>
        </w:tc>
        <w:tc>
          <w:tcPr>
            <w:tcW w:w="1460" w:type="dxa"/>
            <w:gridSpan w:val="2"/>
            <w:vAlign w:val="bottom"/>
          </w:tcPr>
          <w:p w14:paraId="2819D398" w14:textId="77777777" w:rsidR="004647B9" w:rsidRDefault="00E2436F">
            <w:pPr>
              <w:ind w:left="480"/>
              <w:rPr>
                <w:sz w:val="20"/>
                <w:szCs w:val="20"/>
              </w:rPr>
            </w:pPr>
            <w:r>
              <w:rPr>
                <w:rFonts w:eastAsia="Times New Roman"/>
                <w:sz w:val="18"/>
                <w:szCs w:val="18"/>
              </w:rPr>
              <w:t>4.0</w:t>
            </w:r>
          </w:p>
        </w:tc>
        <w:tc>
          <w:tcPr>
            <w:tcW w:w="2340" w:type="dxa"/>
            <w:vAlign w:val="bottom"/>
          </w:tcPr>
          <w:p w14:paraId="2819D399" w14:textId="77777777" w:rsidR="004647B9" w:rsidRDefault="004647B9">
            <w:pPr>
              <w:rPr>
                <w:sz w:val="23"/>
                <w:szCs w:val="23"/>
              </w:rPr>
            </w:pPr>
          </w:p>
        </w:tc>
      </w:tr>
      <w:tr w:rsidR="004647B9" w14:paraId="2819D39D" w14:textId="77777777">
        <w:trPr>
          <w:trHeight w:val="274"/>
        </w:trPr>
        <w:tc>
          <w:tcPr>
            <w:tcW w:w="3820" w:type="dxa"/>
            <w:gridSpan w:val="4"/>
            <w:vAlign w:val="bottom"/>
          </w:tcPr>
          <w:p w14:paraId="2819D39B" w14:textId="77777777" w:rsidR="004647B9" w:rsidRDefault="00E2436F">
            <w:pPr>
              <w:rPr>
                <w:sz w:val="20"/>
                <w:szCs w:val="20"/>
              </w:rPr>
            </w:pPr>
            <w:r>
              <w:rPr>
                <w:rFonts w:eastAsia="Times New Roman"/>
                <w:sz w:val="18"/>
                <w:szCs w:val="18"/>
              </w:rPr>
              <w:t>(b) Asbestos (C, NTNC)</w:t>
            </w:r>
          </w:p>
        </w:tc>
        <w:tc>
          <w:tcPr>
            <w:tcW w:w="3800" w:type="dxa"/>
            <w:gridSpan w:val="3"/>
            <w:vAlign w:val="bottom"/>
          </w:tcPr>
          <w:p w14:paraId="2819D39C" w14:textId="77777777" w:rsidR="004647B9" w:rsidRDefault="00E2436F">
            <w:pPr>
              <w:ind w:left="480"/>
              <w:rPr>
                <w:sz w:val="20"/>
                <w:szCs w:val="20"/>
              </w:rPr>
            </w:pPr>
            <w:r>
              <w:rPr>
                <w:rFonts w:eastAsia="Times New Roman"/>
                <w:sz w:val="18"/>
                <w:szCs w:val="18"/>
              </w:rPr>
              <w:t>7 Million Fibers/liter (longer than 10 µm)</w:t>
            </w:r>
          </w:p>
        </w:tc>
      </w:tr>
      <w:tr w:rsidR="004647B9" w14:paraId="2819D3A1" w14:textId="77777777">
        <w:trPr>
          <w:trHeight w:val="274"/>
        </w:trPr>
        <w:tc>
          <w:tcPr>
            <w:tcW w:w="3820" w:type="dxa"/>
            <w:gridSpan w:val="4"/>
            <w:vAlign w:val="bottom"/>
          </w:tcPr>
          <w:p w14:paraId="2819D39E" w14:textId="77777777" w:rsidR="004647B9" w:rsidRDefault="00E2436F">
            <w:pPr>
              <w:rPr>
                <w:sz w:val="20"/>
                <w:szCs w:val="20"/>
              </w:rPr>
            </w:pPr>
            <w:r>
              <w:rPr>
                <w:rFonts w:eastAsia="Times New Roman"/>
                <w:sz w:val="18"/>
                <w:szCs w:val="18"/>
              </w:rPr>
              <w:t>(c) Arsenic (C,NTNC)</w:t>
            </w:r>
          </w:p>
        </w:tc>
        <w:tc>
          <w:tcPr>
            <w:tcW w:w="1460" w:type="dxa"/>
            <w:gridSpan w:val="2"/>
            <w:vAlign w:val="bottom"/>
          </w:tcPr>
          <w:p w14:paraId="2819D39F" w14:textId="77777777" w:rsidR="004647B9" w:rsidRDefault="00E2436F">
            <w:pPr>
              <w:ind w:left="480"/>
              <w:rPr>
                <w:sz w:val="20"/>
                <w:szCs w:val="20"/>
              </w:rPr>
            </w:pPr>
            <w:r>
              <w:rPr>
                <w:rFonts w:eastAsia="Times New Roman"/>
                <w:sz w:val="18"/>
                <w:szCs w:val="18"/>
              </w:rPr>
              <w:t>0.010</w:t>
            </w:r>
          </w:p>
        </w:tc>
        <w:tc>
          <w:tcPr>
            <w:tcW w:w="2340" w:type="dxa"/>
            <w:vAlign w:val="bottom"/>
          </w:tcPr>
          <w:p w14:paraId="2819D3A0" w14:textId="77777777" w:rsidR="004647B9" w:rsidRDefault="004647B9">
            <w:pPr>
              <w:rPr>
                <w:sz w:val="23"/>
                <w:szCs w:val="23"/>
              </w:rPr>
            </w:pPr>
          </w:p>
        </w:tc>
      </w:tr>
      <w:tr w:rsidR="004647B9" w14:paraId="2819D3A5" w14:textId="77777777">
        <w:trPr>
          <w:trHeight w:val="274"/>
        </w:trPr>
        <w:tc>
          <w:tcPr>
            <w:tcW w:w="3820" w:type="dxa"/>
            <w:gridSpan w:val="4"/>
            <w:vAlign w:val="bottom"/>
          </w:tcPr>
          <w:p w14:paraId="2819D3A2" w14:textId="77777777" w:rsidR="004647B9" w:rsidRDefault="00E2436F">
            <w:pPr>
              <w:rPr>
                <w:sz w:val="20"/>
                <w:szCs w:val="20"/>
              </w:rPr>
            </w:pPr>
            <w:r>
              <w:rPr>
                <w:rFonts w:eastAsia="Times New Roman"/>
                <w:sz w:val="18"/>
                <w:szCs w:val="18"/>
              </w:rPr>
              <w:t>(d) Barium (C,NTNC)</w:t>
            </w:r>
          </w:p>
        </w:tc>
        <w:tc>
          <w:tcPr>
            <w:tcW w:w="1460" w:type="dxa"/>
            <w:gridSpan w:val="2"/>
            <w:vAlign w:val="bottom"/>
          </w:tcPr>
          <w:p w14:paraId="2819D3A3" w14:textId="77777777" w:rsidR="004647B9" w:rsidRDefault="00E2436F">
            <w:pPr>
              <w:ind w:left="480"/>
              <w:rPr>
                <w:sz w:val="20"/>
                <w:szCs w:val="20"/>
              </w:rPr>
            </w:pPr>
            <w:r>
              <w:rPr>
                <w:rFonts w:eastAsia="Times New Roman"/>
                <w:sz w:val="18"/>
                <w:szCs w:val="18"/>
              </w:rPr>
              <w:t>2</w:t>
            </w:r>
          </w:p>
        </w:tc>
        <w:tc>
          <w:tcPr>
            <w:tcW w:w="2340" w:type="dxa"/>
            <w:vAlign w:val="bottom"/>
          </w:tcPr>
          <w:p w14:paraId="2819D3A4" w14:textId="77777777" w:rsidR="004647B9" w:rsidRDefault="004647B9">
            <w:pPr>
              <w:rPr>
                <w:sz w:val="23"/>
                <w:szCs w:val="23"/>
              </w:rPr>
            </w:pPr>
          </w:p>
        </w:tc>
      </w:tr>
      <w:tr w:rsidR="004647B9" w14:paraId="2819D3A9" w14:textId="77777777">
        <w:trPr>
          <w:trHeight w:val="274"/>
        </w:trPr>
        <w:tc>
          <w:tcPr>
            <w:tcW w:w="3820" w:type="dxa"/>
            <w:gridSpan w:val="4"/>
            <w:vAlign w:val="bottom"/>
          </w:tcPr>
          <w:p w14:paraId="2819D3A6" w14:textId="77777777" w:rsidR="004647B9" w:rsidRDefault="00E2436F">
            <w:pPr>
              <w:rPr>
                <w:sz w:val="20"/>
                <w:szCs w:val="20"/>
              </w:rPr>
            </w:pPr>
            <w:r>
              <w:rPr>
                <w:rFonts w:eastAsia="Times New Roman"/>
                <w:sz w:val="18"/>
                <w:szCs w:val="18"/>
              </w:rPr>
              <w:t>(e) Cadmium (C,NTNC)</w:t>
            </w:r>
          </w:p>
        </w:tc>
        <w:tc>
          <w:tcPr>
            <w:tcW w:w="1460" w:type="dxa"/>
            <w:gridSpan w:val="2"/>
            <w:vAlign w:val="bottom"/>
          </w:tcPr>
          <w:p w14:paraId="2819D3A7" w14:textId="77777777" w:rsidR="004647B9" w:rsidRDefault="00E2436F">
            <w:pPr>
              <w:ind w:left="480"/>
              <w:rPr>
                <w:sz w:val="20"/>
                <w:szCs w:val="20"/>
              </w:rPr>
            </w:pPr>
            <w:r>
              <w:rPr>
                <w:rFonts w:eastAsia="Times New Roman"/>
                <w:sz w:val="18"/>
                <w:szCs w:val="18"/>
              </w:rPr>
              <w:t>0.005</w:t>
            </w:r>
          </w:p>
        </w:tc>
        <w:tc>
          <w:tcPr>
            <w:tcW w:w="2340" w:type="dxa"/>
            <w:vAlign w:val="bottom"/>
          </w:tcPr>
          <w:p w14:paraId="2819D3A8" w14:textId="77777777" w:rsidR="004647B9" w:rsidRDefault="004647B9">
            <w:pPr>
              <w:rPr>
                <w:sz w:val="23"/>
                <w:szCs w:val="23"/>
              </w:rPr>
            </w:pPr>
          </w:p>
        </w:tc>
      </w:tr>
      <w:tr w:rsidR="004647B9" w14:paraId="2819D3AD" w14:textId="77777777">
        <w:trPr>
          <w:trHeight w:val="274"/>
        </w:trPr>
        <w:tc>
          <w:tcPr>
            <w:tcW w:w="3820" w:type="dxa"/>
            <w:gridSpan w:val="4"/>
            <w:vAlign w:val="bottom"/>
          </w:tcPr>
          <w:p w14:paraId="2819D3AA" w14:textId="77777777" w:rsidR="004647B9" w:rsidRDefault="00E2436F">
            <w:pPr>
              <w:rPr>
                <w:sz w:val="20"/>
                <w:szCs w:val="20"/>
              </w:rPr>
            </w:pPr>
            <w:r>
              <w:rPr>
                <w:rFonts w:eastAsia="Times New Roman"/>
                <w:sz w:val="18"/>
                <w:szCs w:val="18"/>
              </w:rPr>
              <w:t>(f) Chromium (C,NTNC)</w:t>
            </w:r>
          </w:p>
        </w:tc>
        <w:tc>
          <w:tcPr>
            <w:tcW w:w="1460" w:type="dxa"/>
            <w:gridSpan w:val="2"/>
            <w:vAlign w:val="bottom"/>
          </w:tcPr>
          <w:p w14:paraId="2819D3AB" w14:textId="77777777" w:rsidR="004647B9" w:rsidRDefault="00E2436F">
            <w:pPr>
              <w:ind w:left="480"/>
              <w:rPr>
                <w:sz w:val="20"/>
                <w:szCs w:val="20"/>
              </w:rPr>
            </w:pPr>
            <w:r>
              <w:rPr>
                <w:rFonts w:eastAsia="Times New Roman"/>
                <w:sz w:val="18"/>
                <w:szCs w:val="18"/>
              </w:rPr>
              <w:t>0.1</w:t>
            </w:r>
          </w:p>
        </w:tc>
        <w:tc>
          <w:tcPr>
            <w:tcW w:w="2340" w:type="dxa"/>
            <w:vAlign w:val="bottom"/>
          </w:tcPr>
          <w:p w14:paraId="2819D3AC" w14:textId="77777777" w:rsidR="004647B9" w:rsidRDefault="004647B9">
            <w:pPr>
              <w:rPr>
                <w:sz w:val="23"/>
                <w:szCs w:val="23"/>
              </w:rPr>
            </w:pPr>
          </w:p>
        </w:tc>
      </w:tr>
      <w:tr w:rsidR="004647B9" w14:paraId="2819D3B1" w14:textId="77777777">
        <w:trPr>
          <w:trHeight w:val="274"/>
        </w:trPr>
        <w:tc>
          <w:tcPr>
            <w:tcW w:w="3820" w:type="dxa"/>
            <w:gridSpan w:val="4"/>
            <w:vAlign w:val="bottom"/>
          </w:tcPr>
          <w:p w14:paraId="2819D3AE" w14:textId="77777777" w:rsidR="004647B9" w:rsidRDefault="00E2436F">
            <w:pPr>
              <w:rPr>
                <w:sz w:val="20"/>
                <w:szCs w:val="20"/>
              </w:rPr>
            </w:pPr>
            <w:r>
              <w:rPr>
                <w:rFonts w:eastAsia="Times New Roman"/>
                <w:sz w:val="18"/>
                <w:szCs w:val="18"/>
              </w:rPr>
              <w:t>(g) Mercury (C,NTNC)</w:t>
            </w:r>
          </w:p>
        </w:tc>
        <w:tc>
          <w:tcPr>
            <w:tcW w:w="1460" w:type="dxa"/>
            <w:gridSpan w:val="2"/>
            <w:vAlign w:val="bottom"/>
          </w:tcPr>
          <w:p w14:paraId="2819D3AF" w14:textId="77777777" w:rsidR="004647B9" w:rsidRDefault="00E2436F">
            <w:pPr>
              <w:ind w:left="480"/>
              <w:rPr>
                <w:sz w:val="20"/>
                <w:szCs w:val="20"/>
              </w:rPr>
            </w:pPr>
            <w:r>
              <w:rPr>
                <w:rFonts w:eastAsia="Times New Roman"/>
                <w:sz w:val="18"/>
                <w:szCs w:val="18"/>
              </w:rPr>
              <w:t>0.002</w:t>
            </w:r>
          </w:p>
        </w:tc>
        <w:tc>
          <w:tcPr>
            <w:tcW w:w="2340" w:type="dxa"/>
            <w:vAlign w:val="bottom"/>
          </w:tcPr>
          <w:p w14:paraId="2819D3B0" w14:textId="77777777" w:rsidR="004647B9" w:rsidRDefault="004647B9">
            <w:pPr>
              <w:rPr>
                <w:sz w:val="23"/>
                <w:szCs w:val="23"/>
              </w:rPr>
            </w:pPr>
          </w:p>
        </w:tc>
      </w:tr>
      <w:tr w:rsidR="004647B9" w14:paraId="2819D3B5" w14:textId="77777777">
        <w:trPr>
          <w:trHeight w:val="274"/>
        </w:trPr>
        <w:tc>
          <w:tcPr>
            <w:tcW w:w="3820" w:type="dxa"/>
            <w:gridSpan w:val="4"/>
            <w:vAlign w:val="bottom"/>
          </w:tcPr>
          <w:p w14:paraId="2819D3B2" w14:textId="77777777" w:rsidR="004647B9" w:rsidRDefault="00E2436F">
            <w:pPr>
              <w:rPr>
                <w:sz w:val="20"/>
                <w:szCs w:val="20"/>
              </w:rPr>
            </w:pPr>
            <w:r>
              <w:rPr>
                <w:rFonts w:eastAsia="Times New Roman"/>
                <w:sz w:val="18"/>
                <w:szCs w:val="18"/>
              </w:rPr>
              <w:t>(h) Nitrate (C,NTNC,TNC)</w:t>
            </w:r>
          </w:p>
        </w:tc>
        <w:tc>
          <w:tcPr>
            <w:tcW w:w="480" w:type="dxa"/>
            <w:vAlign w:val="bottom"/>
          </w:tcPr>
          <w:p w14:paraId="2819D3B3" w14:textId="77777777" w:rsidR="004647B9" w:rsidRDefault="004647B9">
            <w:pPr>
              <w:rPr>
                <w:sz w:val="23"/>
                <w:szCs w:val="23"/>
              </w:rPr>
            </w:pPr>
          </w:p>
        </w:tc>
        <w:tc>
          <w:tcPr>
            <w:tcW w:w="3320" w:type="dxa"/>
            <w:gridSpan w:val="2"/>
            <w:vAlign w:val="bottom"/>
          </w:tcPr>
          <w:p w14:paraId="2819D3B4" w14:textId="77777777" w:rsidR="004647B9" w:rsidRDefault="00E2436F">
            <w:pPr>
              <w:rPr>
                <w:sz w:val="20"/>
                <w:szCs w:val="20"/>
              </w:rPr>
            </w:pPr>
            <w:r>
              <w:rPr>
                <w:rFonts w:eastAsia="Times New Roman"/>
                <w:sz w:val="18"/>
                <w:szCs w:val="18"/>
              </w:rPr>
              <w:t>10 (as Nitrogen)</w:t>
            </w:r>
          </w:p>
        </w:tc>
      </w:tr>
      <w:tr w:rsidR="004647B9" w14:paraId="2819D3B9" w14:textId="77777777">
        <w:trPr>
          <w:trHeight w:val="274"/>
        </w:trPr>
        <w:tc>
          <w:tcPr>
            <w:tcW w:w="3820" w:type="dxa"/>
            <w:gridSpan w:val="4"/>
            <w:vAlign w:val="bottom"/>
          </w:tcPr>
          <w:p w14:paraId="2819D3B6" w14:textId="77777777" w:rsidR="004647B9" w:rsidRDefault="00E2436F">
            <w:pPr>
              <w:rPr>
                <w:sz w:val="20"/>
                <w:szCs w:val="20"/>
              </w:rPr>
            </w:pPr>
            <w:r>
              <w:rPr>
                <w:rFonts w:eastAsia="Times New Roman"/>
                <w:sz w:val="18"/>
                <w:szCs w:val="18"/>
              </w:rPr>
              <w:t>(i) Nitrite (C,NTNC,TNC)</w:t>
            </w:r>
          </w:p>
        </w:tc>
        <w:tc>
          <w:tcPr>
            <w:tcW w:w="480" w:type="dxa"/>
            <w:vAlign w:val="bottom"/>
          </w:tcPr>
          <w:p w14:paraId="2819D3B7" w14:textId="77777777" w:rsidR="004647B9" w:rsidRDefault="004647B9">
            <w:pPr>
              <w:rPr>
                <w:sz w:val="23"/>
                <w:szCs w:val="23"/>
              </w:rPr>
            </w:pPr>
          </w:p>
        </w:tc>
        <w:tc>
          <w:tcPr>
            <w:tcW w:w="3320" w:type="dxa"/>
            <w:gridSpan w:val="2"/>
            <w:vAlign w:val="bottom"/>
          </w:tcPr>
          <w:p w14:paraId="2819D3B8" w14:textId="77777777" w:rsidR="004647B9" w:rsidRDefault="00E2436F">
            <w:pPr>
              <w:rPr>
                <w:sz w:val="20"/>
                <w:szCs w:val="20"/>
              </w:rPr>
            </w:pPr>
            <w:r>
              <w:rPr>
                <w:rFonts w:eastAsia="Times New Roman"/>
                <w:sz w:val="18"/>
                <w:szCs w:val="18"/>
              </w:rPr>
              <w:t>1 (as Nitrogen)</w:t>
            </w:r>
          </w:p>
        </w:tc>
      </w:tr>
      <w:tr w:rsidR="004647B9" w14:paraId="2819D3BE" w14:textId="77777777">
        <w:trPr>
          <w:trHeight w:val="274"/>
        </w:trPr>
        <w:tc>
          <w:tcPr>
            <w:tcW w:w="3820" w:type="dxa"/>
            <w:gridSpan w:val="4"/>
            <w:vAlign w:val="bottom"/>
          </w:tcPr>
          <w:p w14:paraId="2819D3BA" w14:textId="77777777" w:rsidR="004647B9" w:rsidRDefault="00E2436F">
            <w:pPr>
              <w:rPr>
                <w:sz w:val="20"/>
                <w:szCs w:val="20"/>
              </w:rPr>
            </w:pPr>
            <w:r>
              <w:rPr>
                <w:rFonts w:eastAsia="Times New Roman"/>
                <w:sz w:val="18"/>
                <w:szCs w:val="18"/>
              </w:rPr>
              <w:t>(j) Total Nitrate</w:t>
            </w:r>
          </w:p>
        </w:tc>
        <w:tc>
          <w:tcPr>
            <w:tcW w:w="480" w:type="dxa"/>
            <w:vAlign w:val="bottom"/>
          </w:tcPr>
          <w:p w14:paraId="2819D3BB" w14:textId="77777777" w:rsidR="004647B9" w:rsidRDefault="004647B9">
            <w:pPr>
              <w:rPr>
                <w:sz w:val="23"/>
                <w:szCs w:val="23"/>
              </w:rPr>
            </w:pPr>
          </w:p>
        </w:tc>
        <w:tc>
          <w:tcPr>
            <w:tcW w:w="980" w:type="dxa"/>
            <w:vAlign w:val="bottom"/>
          </w:tcPr>
          <w:p w14:paraId="2819D3BC" w14:textId="77777777" w:rsidR="004647B9" w:rsidRDefault="004647B9">
            <w:pPr>
              <w:rPr>
                <w:sz w:val="23"/>
                <w:szCs w:val="23"/>
              </w:rPr>
            </w:pPr>
          </w:p>
        </w:tc>
        <w:tc>
          <w:tcPr>
            <w:tcW w:w="2340" w:type="dxa"/>
            <w:vAlign w:val="bottom"/>
          </w:tcPr>
          <w:p w14:paraId="2819D3BD" w14:textId="77777777" w:rsidR="004647B9" w:rsidRDefault="004647B9">
            <w:pPr>
              <w:rPr>
                <w:sz w:val="23"/>
                <w:szCs w:val="23"/>
              </w:rPr>
            </w:pPr>
          </w:p>
        </w:tc>
      </w:tr>
      <w:tr w:rsidR="004647B9" w14:paraId="2819D3C3" w14:textId="77777777">
        <w:trPr>
          <w:trHeight w:val="274"/>
        </w:trPr>
        <w:tc>
          <w:tcPr>
            <w:tcW w:w="40" w:type="dxa"/>
            <w:vAlign w:val="bottom"/>
          </w:tcPr>
          <w:p w14:paraId="2819D3BF" w14:textId="77777777" w:rsidR="004647B9" w:rsidRDefault="004647B9">
            <w:pPr>
              <w:rPr>
                <w:sz w:val="23"/>
                <w:szCs w:val="23"/>
              </w:rPr>
            </w:pPr>
          </w:p>
        </w:tc>
        <w:tc>
          <w:tcPr>
            <w:tcW w:w="3780" w:type="dxa"/>
            <w:gridSpan w:val="3"/>
            <w:vAlign w:val="bottom"/>
          </w:tcPr>
          <w:p w14:paraId="2819D3C0" w14:textId="77777777" w:rsidR="004647B9" w:rsidRDefault="00E2436F">
            <w:pPr>
              <w:ind w:left="200"/>
              <w:rPr>
                <w:sz w:val="20"/>
                <w:szCs w:val="20"/>
              </w:rPr>
            </w:pPr>
            <w:r>
              <w:rPr>
                <w:rFonts w:eastAsia="Times New Roman"/>
                <w:sz w:val="18"/>
                <w:szCs w:val="18"/>
              </w:rPr>
              <w:t>&amp; Nitrite (C,NTNC,TNC)</w:t>
            </w:r>
          </w:p>
        </w:tc>
        <w:tc>
          <w:tcPr>
            <w:tcW w:w="480" w:type="dxa"/>
            <w:vAlign w:val="bottom"/>
          </w:tcPr>
          <w:p w14:paraId="2819D3C1" w14:textId="77777777" w:rsidR="004647B9" w:rsidRDefault="004647B9">
            <w:pPr>
              <w:rPr>
                <w:sz w:val="23"/>
                <w:szCs w:val="23"/>
              </w:rPr>
            </w:pPr>
          </w:p>
        </w:tc>
        <w:tc>
          <w:tcPr>
            <w:tcW w:w="3320" w:type="dxa"/>
            <w:gridSpan w:val="2"/>
            <w:vAlign w:val="bottom"/>
          </w:tcPr>
          <w:p w14:paraId="2819D3C2" w14:textId="77777777" w:rsidR="004647B9" w:rsidRDefault="00E2436F">
            <w:pPr>
              <w:rPr>
                <w:sz w:val="20"/>
                <w:szCs w:val="20"/>
              </w:rPr>
            </w:pPr>
            <w:r>
              <w:rPr>
                <w:rFonts w:eastAsia="Times New Roman"/>
                <w:sz w:val="18"/>
                <w:szCs w:val="18"/>
              </w:rPr>
              <w:t>10 (as Nitrogen)</w:t>
            </w:r>
          </w:p>
        </w:tc>
      </w:tr>
      <w:tr w:rsidR="004647B9" w14:paraId="2819D3C8" w14:textId="77777777">
        <w:trPr>
          <w:trHeight w:val="274"/>
        </w:trPr>
        <w:tc>
          <w:tcPr>
            <w:tcW w:w="300" w:type="dxa"/>
            <w:gridSpan w:val="2"/>
            <w:vAlign w:val="bottom"/>
          </w:tcPr>
          <w:p w14:paraId="2819D3C4" w14:textId="77777777" w:rsidR="004647B9" w:rsidRDefault="00E2436F">
            <w:pPr>
              <w:rPr>
                <w:sz w:val="20"/>
                <w:szCs w:val="20"/>
              </w:rPr>
            </w:pPr>
            <w:r>
              <w:rPr>
                <w:rFonts w:eastAsia="Times New Roman"/>
                <w:sz w:val="18"/>
                <w:szCs w:val="18"/>
              </w:rPr>
              <w:t>(k)</w:t>
            </w:r>
          </w:p>
        </w:tc>
        <w:tc>
          <w:tcPr>
            <w:tcW w:w="3520" w:type="dxa"/>
            <w:gridSpan w:val="2"/>
            <w:vAlign w:val="bottom"/>
          </w:tcPr>
          <w:p w14:paraId="2819D3C5" w14:textId="77777777" w:rsidR="004647B9" w:rsidRDefault="00E2436F">
            <w:pPr>
              <w:ind w:left="80"/>
              <w:rPr>
                <w:sz w:val="20"/>
                <w:szCs w:val="20"/>
              </w:rPr>
            </w:pPr>
            <w:r>
              <w:rPr>
                <w:rFonts w:eastAsia="Times New Roman"/>
                <w:sz w:val="18"/>
                <w:szCs w:val="18"/>
              </w:rPr>
              <w:t>Selenium (C,NTNC)</w:t>
            </w:r>
          </w:p>
        </w:tc>
        <w:tc>
          <w:tcPr>
            <w:tcW w:w="1460" w:type="dxa"/>
            <w:gridSpan w:val="2"/>
            <w:vAlign w:val="bottom"/>
          </w:tcPr>
          <w:p w14:paraId="2819D3C6" w14:textId="77777777" w:rsidR="004647B9" w:rsidRDefault="00E2436F">
            <w:pPr>
              <w:ind w:left="480"/>
              <w:rPr>
                <w:sz w:val="20"/>
                <w:szCs w:val="20"/>
              </w:rPr>
            </w:pPr>
            <w:r>
              <w:rPr>
                <w:rFonts w:eastAsia="Times New Roman"/>
                <w:sz w:val="18"/>
                <w:szCs w:val="18"/>
              </w:rPr>
              <w:t>0.05</w:t>
            </w:r>
          </w:p>
        </w:tc>
        <w:tc>
          <w:tcPr>
            <w:tcW w:w="2340" w:type="dxa"/>
            <w:vAlign w:val="bottom"/>
          </w:tcPr>
          <w:p w14:paraId="2819D3C7" w14:textId="77777777" w:rsidR="004647B9" w:rsidRDefault="004647B9">
            <w:pPr>
              <w:rPr>
                <w:sz w:val="23"/>
                <w:szCs w:val="23"/>
              </w:rPr>
            </w:pPr>
          </w:p>
        </w:tc>
      </w:tr>
      <w:tr w:rsidR="004647B9" w14:paraId="2819D3CD" w14:textId="77777777">
        <w:trPr>
          <w:trHeight w:val="274"/>
        </w:trPr>
        <w:tc>
          <w:tcPr>
            <w:tcW w:w="300" w:type="dxa"/>
            <w:gridSpan w:val="2"/>
            <w:vAlign w:val="bottom"/>
          </w:tcPr>
          <w:p w14:paraId="2819D3C9" w14:textId="77777777" w:rsidR="004647B9" w:rsidRDefault="00E2436F">
            <w:pPr>
              <w:rPr>
                <w:sz w:val="20"/>
                <w:szCs w:val="20"/>
              </w:rPr>
            </w:pPr>
            <w:r>
              <w:rPr>
                <w:rFonts w:eastAsia="Times New Roman"/>
                <w:sz w:val="18"/>
                <w:szCs w:val="18"/>
              </w:rPr>
              <w:t>(l)</w:t>
            </w:r>
          </w:p>
        </w:tc>
        <w:tc>
          <w:tcPr>
            <w:tcW w:w="3520" w:type="dxa"/>
            <w:gridSpan w:val="2"/>
            <w:vAlign w:val="bottom"/>
          </w:tcPr>
          <w:p w14:paraId="2819D3CA" w14:textId="77777777" w:rsidR="004647B9" w:rsidRDefault="00E2436F">
            <w:pPr>
              <w:ind w:left="40"/>
              <w:rPr>
                <w:sz w:val="20"/>
                <w:szCs w:val="20"/>
              </w:rPr>
            </w:pPr>
            <w:r>
              <w:rPr>
                <w:rFonts w:eastAsia="Times New Roman"/>
                <w:sz w:val="18"/>
                <w:szCs w:val="18"/>
              </w:rPr>
              <w:t>Antimony (C,NTNC)</w:t>
            </w:r>
          </w:p>
        </w:tc>
        <w:tc>
          <w:tcPr>
            <w:tcW w:w="1460" w:type="dxa"/>
            <w:gridSpan w:val="2"/>
            <w:vAlign w:val="bottom"/>
          </w:tcPr>
          <w:p w14:paraId="2819D3CB" w14:textId="77777777" w:rsidR="004647B9" w:rsidRDefault="00E2436F">
            <w:pPr>
              <w:ind w:left="480"/>
              <w:rPr>
                <w:sz w:val="20"/>
                <w:szCs w:val="20"/>
              </w:rPr>
            </w:pPr>
            <w:r>
              <w:rPr>
                <w:rFonts w:eastAsia="Times New Roman"/>
                <w:sz w:val="18"/>
                <w:szCs w:val="18"/>
              </w:rPr>
              <w:t>0.006</w:t>
            </w:r>
          </w:p>
        </w:tc>
        <w:tc>
          <w:tcPr>
            <w:tcW w:w="2340" w:type="dxa"/>
            <w:vAlign w:val="bottom"/>
          </w:tcPr>
          <w:p w14:paraId="2819D3CC" w14:textId="77777777" w:rsidR="004647B9" w:rsidRDefault="004647B9">
            <w:pPr>
              <w:rPr>
                <w:sz w:val="23"/>
                <w:szCs w:val="23"/>
              </w:rPr>
            </w:pPr>
          </w:p>
        </w:tc>
      </w:tr>
      <w:tr w:rsidR="004647B9" w14:paraId="2819D3D2" w14:textId="77777777">
        <w:trPr>
          <w:trHeight w:val="274"/>
        </w:trPr>
        <w:tc>
          <w:tcPr>
            <w:tcW w:w="300" w:type="dxa"/>
            <w:gridSpan w:val="2"/>
            <w:vAlign w:val="bottom"/>
          </w:tcPr>
          <w:p w14:paraId="2819D3CE" w14:textId="77777777" w:rsidR="004647B9" w:rsidRDefault="00E2436F">
            <w:pPr>
              <w:rPr>
                <w:sz w:val="20"/>
                <w:szCs w:val="20"/>
              </w:rPr>
            </w:pPr>
            <w:r>
              <w:rPr>
                <w:rFonts w:eastAsia="Times New Roman"/>
                <w:sz w:val="18"/>
                <w:szCs w:val="18"/>
              </w:rPr>
              <w:t>(m)</w:t>
            </w:r>
          </w:p>
        </w:tc>
        <w:tc>
          <w:tcPr>
            <w:tcW w:w="3520" w:type="dxa"/>
            <w:gridSpan w:val="2"/>
            <w:vAlign w:val="bottom"/>
          </w:tcPr>
          <w:p w14:paraId="2819D3CF" w14:textId="77777777" w:rsidR="004647B9" w:rsidRDefault="00E2436F">
            <w:pPr>
              <w:ind w:left="140"/>
              <w:rPr>
                <w:sz w:val="20"/>
                <w:szCs w:val="20"/>
              </w:rPr>
            </w:pPr>
            <w:r>
              <w:rPr>
                <w:rFonts w:eastAsia="Times New Roman"/>
                <w:sz w:val="18"/>
                <w:szCs w:val="18"/>
              </w:rPr>
              <w:t>Beryllium (C,NTNC)</w:t>
            </w:r>
          </w:p>
        </w:tc>
        <w:tc>
          <w:tcPr>
            <w:tcW w:w="1460" w:type="dxa"/>
            <w:gridSpan w:val="2"/>
            <w:vAlign w:val="bottom"/>
          </w:tcPr>
          <w:p w14:paraId="2819D3D0" w14:textId="77777777" w:rsidR="004647B9" w:rsidRDefault="00E2436F">
            <w:pPr>
              <w:ind w:left="480"/>
              <w:rPr>
                <w:sz w:val="20"/>
                <w:szCs w:val="20"/>
              </w:rPr>
            </w:pPr>
            <w:r>
              <w:rPr>
                <w:rFonts w:eastAsia="Times New Roman"/>
                <w:sz w:val="18"/>
                <w:szCs w:val="18"/>
              </w:rPr>
              <w:t>0.004</w:t>
            </w:r>
          </w:p>
        </w:tc>
        <w:tc>
          <w:tcPr>
            <w:tcW w:w="2340" w:type="dxa"/>
            <w:vAlign w:val="bottom"/>
          </w:tcPr>
          <w:p w14:paraId="2819D3D1" w14:textId="77777777" w:rsidR="004647B9" w:rsidRDefault="004647B9">
            <w:pPr>
              <w:rPr>
                <w:sz w:val="23"/>
                <w:szCs w:val="23"/>
              </w:rPr>
            </w:pPr>
          </w:p>
        </w:tc>
      </w:tr>
      <w:tr w:rsidR="004647B9" w14:paraId="2819D3D6" w14:textId="77777777">
        <w:trPr>
          <w:trHeight w:val="274"/>
        </w:trPr>
        <w:tc>
          <w:tcPr>
            <w:tcW w:w="3820" w:type="dxa"/>
            <w:gridSpan w:val="4"/>
            <w:vAlign w:val="bottom"/>
          </w:tcPr>
          <w:p w14:paraId="2819D3D3" w14:textId="77777777" w:rsidR="004647B9" w:rsidRDefault="00E2436F">
            <w:pPr>
              <w:rPr>
                <w:sz w:val="20"/>
                <w:szCs w:val="20"/>
              </w:rPr>
            </w:pPr>
            <w:r>
              <w:rPr>
                <w:rFonts w:eastAsia="Times New Roman"/>
                <w:sz w:val="18"/>
                <w:szCs w:val="18"/>
              </w:rPr>
              <w:t>(n)  Cyanide (as free Cyanide) (C,NTNC)</w:t>
            </w:r>
          </w:p>
        </w:tc>
        <w:tc>
          <w:tcPr>
            <w:tcW w:w="1460" w:type="dxa"/>
            <w:gridSpan w:val="2"/>
            <w:vAlign w:val="bottom"/>
          </w:tcPr>
          <w:p w14:paraId="2819D3D4" w14:textId="77777777" w:rsidR="004647B9" w:rsidRDefault="00E2436F">
            <w:pPr>
              <w:ind w:left="480"/>
              <w:rPr>
                <w:sz w:val="20"/>
                <w:szCs w:val="20"/>
              </w:rPr>
            </w:pPr>
            <w:r>
              <w:rPr>
                <w:rFonts w:eastAsia="Times New Roman"/>
                <w:sz w:val="18"/>
                <w:szCs w:val="18"/>
              </w:rPr>
              <w:t>0.2</w:t>
            </w:r>
          </w:p>
        </w:tc>
        <w:tc>
          <w:tcPr>
            <w:tcW w:w="2340" w:type="dxa"/>
            <w:vAlign w:val="bottom"/>
          </w:tcPr>
          <w:p w14:paraId="2819D3D5" w14:textId="77777777" w:rsidR="004647B9" w:rsidRDefault="004647B9">
            <w:pPr>
              <w:rPr>
                <w:sz w:val="23"/>
                <w:szCs w:val="23"/>
              </w:rPr>
            </w:pPr>
          </w:p>
        </w:tc>
      </w:tr>
      <w:tr w:rsidR="004647B9" w14:paraId="2819D3DB" w14:textId="77777777">
        <w:trPr>
          <w:trHeight w:val="274"/>
        </w:trPr>
        <w:tc>
          <w:tcPr>
            <w:tcW w:w="300" w:type="dxa"/>
            <w:gridSpan w:val="2"/>
            <w:vAlign w:val="bottom"/>
          </w:tcPr>
          <w:p w14:paraId="2819D3D7" w14:textId="77777777" w:rsidR="004647B9" w:rsidRDefault="00E2436F">
            <w:pPr>
              <w:rPr>
                <w:sz w:val="20"/>
                <w:szCs w:val="20"/>
              </w:rPr>
            </w:pPr>
            <w:r>
              <w:rPr>
                <w:rFonts w:eastAsia="Times New Roman"/>
                <w:sz w:val="18"/>
                <w:szCs w:val="18"/>
              </w:rPr>
              <w:t>(o)</w:t>
            </w:r>
          </w:p>
        </w:tc>
        <w:tc>
          <w:tcPr>
            <w:tcW w:w="3520" w:type="dxa"/>
            <w:gridSpan w:val="2"/>
            <w:vAlign w:val="bottom"/>
          </w:tcPr>
          <w:p w14:paraId="2819D3D8" w14:textId="77777777" w:rsidR="004647B9" w:rsidRDefault="00E2436F">
            <w:pPr>
              <w:ind w:left="80"/>
              <w:rPr>
                <w:sz w:val="20"/>
                <w:szCs w:val="20"/>
              </w:rPr>
            </w:pPr>
            <w:r>
              <w:rPr>
                <w:rFonts w:eastAsia="Times New Roman"/>
                <w:sz w:val="18"/>
                <w:szCs w:val="18"/>
              </w:rPr>
              <w:t>Nickel (C,NTNC)</w:t>
            </w:r>
          </w:p>
        </w:tc>
        <w:tc>
          <w:tcPr>
            <w:tcW w:w="480" w:type="dxa"/>
            <w:vAlign w:val="bottom"/>
          </w:tcPr>
          <w:p w14:paraId="2819D3D9" w14:textId="77777777" w:rsidR="004647B9" w:rsidRDefault="004647B9">
            <w:pPr>
              <w:rPr>
                <w:sz w:val="23"/>
                <w:szCs w:val="23"/>
              </w:rPr>
            </w:pPr>
          </w:p>
        </w:tc>
        <w:tc>
          <w:tcPr>
            <w:tcW w:w="3320" w:type="dxa"/>
            <w:gridSpan w:val="2"/>
            <w:vAlign w:val="bottom"/>
          </w:tcPr>
          <w:p w14:paraId="2819D3DA" w14:textId="77777777" w:rsidR="004647B9" w:rsidRDefault="00E2436F">
            <w:pPr>
              <w:rPr>
                <w:sz w:val="20"/>
                <w:szCs w:val="20"/>
              </w:rPr>
            </w:pPr>
            <w:r>
              <w:rPr>
                <w:rFonts w:eastAsia="Times New Roman"/>
                <w:sz w:val="18"/>
                <w:szCs w:val="18"/>
              </w:rPr>
              <w:t>[Reserved] (Under review)</w:t>
            </w:r>
          </w:p>
        </w:tc>
      </w:tr>
      <w:tr w:rsidR="004647B9" w14:paraId="2819D3E0" w14:textId="77777777">
        <w:trPr>
          <w:trHeight w:val="274"/>
        </w:trPr>
        <w:tc>
          <w:tcPr>
            <w:tcW w:w="300" w:type="dxa"/>
            <w:gridSpan w:val="2"/>
            <w:vAlign w:val="bottom"/>
          </w:tcPr>
          <w:p w14:paraId="2819D3DC" w14:textId="77777777" w:rsidR="004647B9" w:rsidRDefault="00E2436F">
            <w:pPr>
              <w:rPr>
                <w:sz w:val="20"/>
                <w:szCs w:val="20"/>
              </w:rPr>
            </w:pPr>
            <w:r>
              <w:rPr>
                <w:rFonts w:eastAsia="Times New Roman"/>
                <w:sz w:val="18"/>
                <w:szCs w:val="18"/>
              </w:rPr>
              <w:t>(p)</w:t>
            </w:r>
          </w:p>
        </w:tc>
        <w:tc>
          <w:tcPr>
            <w:tcW w:w="3520" w:type="dxa"/>
            <w:gridSpan w:val="2"/>
            <w:vAlign w:val="bottom"/>
          </w:tcPr>
          <w:p w14:paraId="2819D3DD" w14:textId="77777777" w:rsidR="004647B9" w:rsidRDefault="00E2436F">
            <w:pPr>
              <w:ind w:left="80"/>
              <w:rPr>
                <w:sz w:val="20"/>
                <w:szCs w:val="20"/>
              </w:rPr>
            </w:pPr>
            <w:r>
              <w:rPr>
                <w:rFonts w:eastAsia="Times New Roman"/>
                <w:sz w:val="18"/>
                <w:szCs w:val="18"/>
              </w:rPr>
              <w:t>Thallium (C,NTNC)</w:t>
            </w:r>
          </w:p>
        </w:tc>
        <w:tc>
          <w:tcPr>
            <w:tcW w:w="1460" w:type="dxa"/>
            <w:gridSpan w:val="2"/>
            <w:vAlign w:val="bottom"/>
          </w:tcPr>
          <w:p w14:paraId="2819D3DE" w14:textId="77777777" w:rsidR="004647B9" w:rsidRDefault="00E2436F">
            <w:pPr>
              <w:ind w:left="480"/>
              <w:rPr>
                <w:sz w:val="20"/>
                <w:szCs w:val="20"/>
              </w:rPr>
            </w:pPr>
            <w:r>
              <w:rPr>
                <w:rFonts w:eastAsia="Times New Roman"/>
                <w:sz w:val="18"/>
                <w:szCs w:val="18"/>
              </w:rPr>
              <w:t>0.002</w:t>
            </w:r>
          </w:p>
        </w:tc>
        <w:tc>
          <w:tcPr>
            <w:tcW w:w="2340" w:type="dxa"/>
            <w:vAlign w:val="bottom"/>
          </w:tcPr>
          <w:p w14:paraId="2819D3DF" w14:textId="77777777" w:rsidR="004647B9" w:rsidRDefault="004647B9">
            <w:pPr>
              <w:rPr>
                <w:sz w:val="23"/>
                <w:szCs w:val="23"/>
              </w:rPr>
            </w:pPr>
          </w:p>
        </w:tc>
      </w:tr>
      <w:tr w:rsidR="004647B9" w14:paraId="2819D3E5" w14:textId="77777777">
        <w:trPr>
          <w:trHeight w:val="274"/>
        </w:trPr>
        <w:tc>
          <w:tcPr>
            <w:tcW w:w="300" w:type="dxa"/>
            <w:gridSpan w:val="2"/>
            <w:vAlign w:val="bottom"/>
          </w:tcPr>
          <w:p w14:paraId="2819D3E1" w14:textId="77777777" w:rsidR="004647B9" w:rsidRDefault="00E2436F">
            <w:pPr>
              <w:rPr>
                <w:sz w:val="20"/>
                <w:szCs w:val="20"/>
              </w:rPr>
            </w:pPr>
            <w:r>
              <w:rPr>
                <w:rFonts w:eastAsia="Times New Roman"/>
                <w:sz w:val="18"/>
                <w:szCs w:val="18"/>
              </w:rPr>
              <w:t>(q)</w:t>
            </w:r>
          </w:p>
        </w:tc>
        <w:tc>
          <w:tcPr>
            <w:tcW w:w="3520" w:type="dxa"/>
            <w:gridSpan w:val="2"/>
            <w:vAlign w:val="bottom"/>
          </w:tcPr>
          <w:p w14:paraId="2819D3E2" w14:textId="77777777" w:rsidR="004647B9" w:rsidRDefault="00E2436F">
            <w:pPr>
              <w:ind w:left="80"/>
              <w:rPr>
                <w:sz w:val="20"/>
                <w:szCs w:val="20"/>
              </w:rPr>
            </w:pPr>
            <w:r>
              <w:rPr>
                <w:rFonts w:eastAsia="Times New Roman"/>
                <w:sz w:val="18"/>
                <w:szCs w:val="18"/>
              </w:rPr>
              <w:t>Perchlorate (C,NTNC)</w:t>
            </w:r>
          </w:p>
        </w:tc>
        <w:tc>
          <w:tcPr>
            <w:tcW w:w="1460" w:type="dxa"/>
            <w:gridSpan w:val="2"/>
            <w:vAlign w:val="bottom"/>
          </w:tcPr>
          <w:p w14:paraId="2819D3E3" w14:textId="77777777" w:rsidR="004647B9" w:rsidRDefault="00E2436F">
            <w:pPr>
              <w:spacing w:line="274" w:lineRule="exact"/>
              <w:ind w:left="480"/>
              <w:rPr>
                <w:sz w:val="20"/>
                <w:szCs w:val="20"/>
              </w:rPr>
            </w:pPr>
            <w:r>
              <w:rPr>
                <w:rFonts w:eastAsia="Times New Roman"/>
                <w:sz w:val="18"/>
                <w:szCs w:val="18"/>
              </w:rPr>
              <w:t>0.0020</w:t>
            </w:r>
            <w:r>
              <w:rPr>
                <w:rFonts w:eastAsia="Times New Roman"/>
                <w:sz w:val="24"/>
                <w:szCs w:val="24"/>
                <w:vertAlign w:val="superscript"/>
              </w:rPr>
              <w:t>1</w:t>
            </w:r>
          </w:p>
        </w:tc>
        <w:tc>
          <w:tcPr>
            <w:tcW w:w="2340" w:type="dxa"/>
            <w:vAlign w:val="bottom"/>
          </w:tcPr>
          <w:p w14:paraId="2819D3E4" w14:textId="77777777" w:rsidR="004647B9" w:rsidRDefault="004647B9">
            <w:pPr>
              <w:rPr>
                <w:sz w:val="23"/>
                <w:szCs w:val="23"/>
              </w:rPr>
            </w:pPr>
          </w:p>
        </w:tc>
      </w:tr>
    </w:tbl>
    <w:p w14:paraId="2819D3E6" w14:textId="77777777" w:rsidR="004647B9" w:rsidRDefault="004647B9">
      <w:pPr>
        <w:spacing w:line="313" w:lineRule="exact"/>
        <w:rPr>
          <w:sz w:val="20"/>
          <w:szCs w:val="20"/>
        </w:rPr>
      </w:pPr>
    </w:p>
    <w:p w14:paraId="2819D3E7" w14:textId="77777777" w:rsidR="004647B9" w:rsidRDefault="00E2436F">
      <w:pPr>
        <w:tabs>
          <w:tab w:val="left" w:pos="1980"/>
        </w:tabs>
        <w:ind w:left="1200"/>
        <w:rPr>
          <w:sz w:val="20"/>
          <w:szCs w:val="20"/>
        </w:rPr>
      </w:pPr>
      <w:r>
        <w:rPr>
          <w:rFonts w:eastAsia="Times New Roman"/>
          <w:sz w:val="18"/>
          <w:szCs w:val="18"/>
        </w:rPr>
        <w:t>C =</w:t>
      </w:r>
      <w:r>
        <w:rPr>
          <w:sz w:val="20"/>
          <w:szCs w:val="20"/>
        </w:rPr>
        <w:tab/>
      </w:r>
      <w:r>
        <w:rPr>
          <w:rFonts w:eastAsia="Times New Roman"/>
          <w:sz w:val="18"/>
          <w:szCs w:val="18"/>
        </w:rPr>
        <w:t>Community Water Systems;  NTNC = Non-transient Non-community Water Systems;</w:t>
      </w:r>
    </w:p>
    <w:p w14:paraId="2819D3E9" w14:textId="23F64E52" w:rsidR="004647B9" w:rsidRDefault="00E2436F">
      <w:pPr>
        <w:tabs>
          <w:tab w:val="left" w:pos="1980"/>
        </w:tabs>
        <w:ind w:left="1200"/>
        <w:rPr>
          <w:sz w:val="20"/>
          <w:szCs w:val="20"/>
        </w:rPr>
      </w:pPr>
      <w:r>
        <w:rPr>
          <w:rFonts w:eastAsia="Times New Roman"/>
          <w:sz w:val="18"/>
          <w:szCs w:val="18"/>
        </w:rPr>
        <w:t>TNC =</w:t>
      </w:r>
      <w:r>
        <w:rPr>
          <w:sz w:val="20"/>
          <w:szCs w:val="20"/>
        </w:rPr>
        <w:tab/>
      </w:r>
      <w:r>
        <w:rPr>
          <w:rFonts w:eastAsia="Times New Roman"/>
          <w:sz w:val="18"/>
          <w:szCs w:val="18"/>
        </w:rPr>
        <w:t>Transient Non-community Water Systems</w:t>
      </w:r>
    </w:p>
    <w:p w14:paraId="2819D3EA" w14:textId="77777777" w:rsidR="004647B9" w:rsidRDefault="004647B9">
      <w:pPr>
        <w:spacing w:line="298" w:lineRule="exact"/>
        <w:rPr>
          <w:sz w:val="20"/>
          <w:szCs w:val="20"/>
        </w:rPr>
      </w:pPr>
    </w:p>
    <w:p w14:paraId="2819D3EE" w14:textId="6933EF09" w:rsidR="004647B9" w:rsidRPr="00E10D73" w:rsidRDefault="00E2436F" w:rsidP="00563A54">
      <w:pPr>
        <w:numPr>
          <w:ilvl w:val="0"/>
          <w:numId w:val="117"/>
        </w:numPr>
        <w:tabs>
          <w:tab w:val="left" w:pos="1360"/>
        </w:tabs>
        <w:spacing w:line="205" w:lineRule="exact"/>
        <w:ind w:left="1195" w:hanging="158"/>
        <w:rPr>
          <w:sz w:val="20"/>
          <w:szCs w:val="20"/>
        </w:rPr>
      </w:pPr>
      <w:r w:rsidRPr="00E10D73">
        <w:rPr>
          <w:rFonts w:eastAsia="Times New Roman"/>
          <w:sz w:val="18"/>
          <w:szCs w:val="18"/>
        </w:rPr>
        <w:t>The Department will review and revise as necessary the perchlorate MCL within six years of its promulgation,</w:t>
      </w:r>
      <w:r w:rsidR="00311330" w:rsidRPr="00E10D73">
        <w:rPr>
          <w:rFonts w:eastAsia="Times New Roman"/>
          <w:sz w:val="18"/>
          <w:szCs w:val="18"/>
        </w:rPr>
        <w:t xml:space="preserve"> </w:t>
      </w:r>
      <w:r w:rsidRPr="00E10D73">
        <w:rPr>
          <w:rFonts w:eastAsia="Times New Roman"/>
          <w:sz w:val="18"/>
          <w:szCs w:val="18"/>
        </w:rPr>
        <w:t>taking into account new data on health effects, sources and occurrence, Treatment Techniques and associated issues, analytical feasibility and any other relevant information</w:t>
      </w:r>
      <w:r w:rsidRPr="00E10D73">
        <w:rPr>
          <w:rFonts w:eastAsia="Times New Roman"/>
          <w:sz w:val="24"/>
          <w:szCs w:val="24"/>
        </w:rPr>
        <w:t>.</w:t>
      </w:r>
    </w:p>
    <w:p w14:paraId="08662642" w14:textId="77777777" w:rsidR="00E10D73" w:rsidRPr="00EE20C3" w:rsidRDefault="00E10D73" w:rsidP="00E10D73">
      <w:pPr>
        <w:tabs>
          <w:tab w:val="left" w:pos="1360"/>
        </w:tabs>
        <w:spacing w:line="205" w:lineRule="exact"/>
        <w:rPr>
          <w:sz w:val="24"/>
          <w:szCs w:val="24"/>
        </w:rPr>
      </w:pPr>
    </w:p>
    <w:p w14:paraId="2819D3EF" w14:textId="77777777" w:rsidR="004647B9" w:rsidRPr="00E10D73" w:rsidRDefault="00E2436F" w:rsidP="00563A54">
      <w:pPr>
        <w:numPr>
          <w:ilvl w:val="0"/>
          <w:numId w:val="118"/>
        </w:numPr>
        <w:tabs>
          <w:tab w:val="left" w:pos="1674"/>
        </w:tabs>
        <w:spacing w:line="256" w:lineRule="auto"/>
        <w:ind w:left="1200"/>
        <w:jc w:val="both"/>
        <w:rPr>
          <w:rFonts w:eastAsia="Times New Roman"/>
          <w:sz w:val="24"/>
          <w:szCs w:val="24"/>
        </w:rPr>
      </w:pPr>
      <w:r w:rsidRPr="00E10D73">
        <w:rPr>
          <w:rFonts w:eastAsia="Times New Roman"/>
          <w:sz w:val="24"/>
          <w:szCs w:val="24"/>
          <w:u w:val="single"/>
        </w:rPr>
        <w:t>Inorganic Chemicals (IOC)</w:t>
      </w:r>
      <w:r w:rsidRPr="00E10D73">
        <w:rPr>
          <w:rFonts w:eastAsia="Times New Roman"/>
          <w:sz w:val="24"/>
          <w:szCs w:val="24"/>
        </w:rPr>
        <w:t>. Sampling and Analytical Requirements: Community Water Systems and Non-transient Non-community Water Systems shall conduct monitoring to determine compliance with the Maximum Contaminant Levels specified in 310 CMR 22.06(2) in accordance with 310 CMR 22.06. Transient, Non-community Water Systems shall conduct monitoring to determine compliance with the MCLs for nitrate, nitrite and total nitrate in 310 CMR 22.06(2)(h) through (j) (as appropriate) in accordance with 310 CMR 22.06.</w:t>
      </w:r>
    </w:p>
    <w:p w14:paraId="2819D3F0" w14:textId="77777777" w:rsidR="004647B9" w:rsidRPr="00E10D73" w:rsidRDefault="004647B9">
      <w:pPr>
        <w:spacing w:line="222" w:lineRule="exact"/>
        <w:rPr>
          <w:rFonts w:eastAsia="Times New Roman"/>
          <w:sz w:val="24"/>
          <w:szCs w:val="24"/>
        </w:rPr>
      </w:pPr>
    </w:p>
    <w:p w14:paraId="2819D3F1" w14:textId="77777777" w:rsidR="004647B9" w:rsidRPr="00E10D73" w:rsidRDefault="00E2436F" w:rsidP="00563A54">
      <w:pPr>
        <w:numPr>
          <w:ilvl w:val="0"/>
          <w:numId w:val="118"/>
        </w:numPr>
        <w:tabs>
          <w:tab w:val="left" w:pos="1660"/>
        </w:tabs>
        <w:ind w:left="1660" w:hanging="460"/>
        <w:rPr>
          <w:rFonts w:eastAsia="Times New Roman"/>
          <w:sz w:val="24"/>
          <w:szCs w:val="24"/>
        </w:rPr>
      </w:pPr>
      <w:r w:rsidRPr="00E10D73">
        <w:rPr>
          <w:rFonts w:eastAsia="Times New Roman"/>
          <w:sz w:val="24"/>
          <w:szCs w:val="24"/>
          <w:u w:val="single"/>
        </w:rPr>
        <w:t>Sampling Protocol</w:t>
      </w:r>
      <w:r w:rsidRPr="00E10D73">
        <w:rPr>
          <w:rFonts w:eastAsia="Times New Roman"/>
          <w:sz w:val="24"/>
          <w:szCs w:val="24"/>
        </w:rPr>
        <w:t>. Monitoring shall be as follows:</w:t>
      </w:r>
    </w:p>
    <w:p w14:paraId="2819D3F3" w14:textId="77777777" w:rsidR="004647B9" w:rsidRPr="00E10D73" w:rsidRDefault="00E2436F" w:rsidP="00563A54">
      <w:pPr>
        <w:numPr>
          <w:ilvl w:val="1"/>
          <w:numId w:val="118"/>
        </w:numPr>
        <w:tabs>
          <w:tab w:val="left" w:pos="2004"/>
        </w:tabs>
        <w:spacing w:line="237" w:lineRule="auto"/>
        <w:ind w:left="1560" w:hanging="5"/>
        <w:jc w:val="both"/>
        <w:rPr>
          <w:rFonts w:eastAsia="Times New Roman"/>
          <w:sz w:val="24"/>
          <w:szCs w:val="24"/>
        </w:rPr>
      </w:pPr>
      <w:r w:rsidRPr="00E10D73">
        <w:rPr>
          <w:rFonts w:eastAsia="Times New Roman"/>
          <w:sz w:val="24"/>
          <w:szCs w:val="24"/>
          <w:u w:val="single"/>
        </w:rPr>
        <w:t>Ground Water Sampling Points</w:t>
      </w:r>
      <w:r w:rsidRPr="00E10D73">
        <w:rPr>
          <w:rFonts w:eastAsia="Times New Roman"/>
          <w:sz w:val="24"/>
          <w:szCs w:val="24"/>
        </w:rPr>
        <w:t>. Groundwater systems shall take one sample at every entry point to the Distribution System which is representative of each well after treatment (Sampling Point) beginning in the Compliance Period starting January 1, 1993. The system shall take each sample at the same Sampling Point unless conditions make another Sampling Point more representative of each source or treatment plant.</w:t>
      </w:r>
    </w:p>
    <w:p w14:paraId="2819D3F5" w14:textId="6F108E81" w:rsidR="004647B9" w:rsidRPr="00E10D73" w:rsidRDefault="00E2436F" w:rsidP="00563A54">
      <w:pPr>
        <w:numPr>
          <w:ilvl w:val="1"/>
          <w:numId w:val="118"/>
        </w:numPr>
        <w:tabs>
          <w:tab w:val="left" w:pos="1963"/>
        </w:tabs>
        <w:spacing w:line="237" w:lineRule="auto"/>
        <w:ind w:left="1560" w:hanging="5"/>
        <w:jc w:val="both"/>
        <w:rPr>
          <w:rFonts w:eastAsia="Times New Roman"/>
          <w:sz w:val="24"/>
          <w:szCs w:val="24"/>
        </w:rPr>
      </w:pPr>
      <w:r w:rsidRPr="00E10D73">
        <w:rPr>
          <w:rFonts w:eastAsia="Times New Roman"/>
          <w:sz w:val="24"/>
          <w:szCs w:val="24"/>
          <w:u w:val="single"/>
        </w:rPr>
        <w:t>Surface Water Sampling Points</w:t>
      </w:r>
      <w:r w:rsidRPr="00E10D73">
        <w:rPr>
          <w:rFonts w:eastAsia="Times New Roman"/>
          <w:sz w:val="24"/>
          <w:szCs w:val="24"/>
        </w:rPr>
        <w:t>. Surface water systems (</w:t>
      </w:r>
      <w:r w:rsidRPr="00E10D73">
        <w:rPr>
          <w:rFonts w:eastAsia="Times New Roman"/>
          <w:sz w:val="24"/>
          <w:szCs w:val="24"/>
          <w:u w:val="single"/>
        </w:rPr>
        <w:t>Note</w:t>
      </w:r>
      <w:r w:rsidRPr="00E10D73">
        <w:rPr>
          <w:rFonts w:eastAsia="Times New Roman"/>
          <w:sz w:val="24"/>
          <w:szCs w:val="24"/>
        </w:rPr>
        <w:t>: or purposes of 310 CMR 22.06(4)(b), Surface Water systems include systems with a combination of surface and ground sources) shall take a minimum of one sample at every entry point to the Distribution System after any application of treatment or in the Distribution System at a point which is representative of each source after treatment (Sampling Point) beginning in the Compliance Period beginning January 1, 1993. The system shall take each sample at the same Sampling Point unless conditions make another Sampling Point more representative of each source or treatment plant.</w:t>
      </w:r>
    </w:p>
    <w:p w14:paraId="2819D3F7" w14:textId="77777777" w:rsidR="004647B9" w:rsidRPr="00E10D73" w:rsidRDefault="00E2436F" w:rsidP="00563A54">
      <w:pPr>
        <w:numPr>
          <w:ilvl w:val="1"/>
          <w:numId w:val="118"/>
        </w:numPr>
        <w:tabs>
          <w:tab w:val="left" w:pos="1990"/>
        </w:tabs>
        <w:spacing w:line="237" w:lineRule="auto"/>
        <w:ind w:left="1560" w:hanging="5"/>
        <w:jc w:val="both"/>
        <w:rPr>
          <w:rFonts w:eastAsia="Times New Roman"/>
          <w:sz w:val="24"/>
          <w:szCs w:val="24"/>
        </w:rPr>
      </w:pPr>
      <w:r w:rsidRPr="00E10D73">
        <w:rPr>
          <w:rFonts w:eastAsia="Times New Roman"/>
          <w:sz w:val="24"/>
          <w:szCs w:val="24"/>
          <w:u w:val="single"/>
        </w:rPr>
        <w:t>Multiple Sources</w:t>
      </w:r>
      <w:r w:rsidRPr="00E10D73">
        <w:rPr>
          <w:rFonts w:eastAsia="Times New Roman"/>
          <w:sz w:val="24"/>
          <w:szCs w:val="24"/>
        </w:rPr>
        <w:t>. If a system draws water from more than one source and the sources are combined before distribution, the system must sample at an entry point to the Distribution System during periods of normal operating conditions (</w:t>
      </w:r>
      <w:r w:rsidRPr="00E10D73">
        <w:rPr>
          <w:rFonts w:eastAsia="Times New Roman"/>
          <w:i/>
          <w:iCs/>
          <w:sz w:val="24"/>
          <w:szCs w:val="24"/>
        </w:rPr>
        <w:t>i.e.</w:t>
      </w:r>
      <w:r w:rsidRPr="00E10D73">
        <w:rPr>
          <w:rFonts w:eastAsia="Times New Roman"/>
          <w:sz w:val="24"/>
          <w:szCs w:val="24"/>
        </w:rPr>
        <w:t>, when water is representative of all sources being used).</w:t>
      </w:r>
    </w:p>
    <w:p w14:paraId="2819D3F9" w14:textId="77777777" w:rsidR="004647B9" w:rsidRPr="00E10D73" w:rsidRDefault="00E2436F" w:rsidP="00563A54">
      <w:pPr>
        <w:numPr>
          <w:ilvl w:val="1"/>
          <w:numId w:val="118"/>
        </w:numPr>
        <w:tabs>
          <w:tab w:val="left" w:pos="2041"/>
        </w:tabs>
        <w:spacing w:line="237" w:lineRule="auto"/>
        <w:ind w:left="1560" w:hanging="5"/>
        <w:jc w:val="both"/>
        <w:rPr>
          <w:rFonts w:eastAsia="Times New Roman"/>
          <w:sz w:val="24"/>
          <w:szCs w:val="24"/>
        </w:rPr>
      </w:pPr>
      <w:r w:rsidRPr="00E10D73">
        <w:rPr>
          <w:rFonts w:eastAsia="Times New Roman"/>
          <w:sz w:val="24"/>
          <w:szCs w:val="24"/>
          <w:u w:val="single"/>
        </w:rPr>
        <w:t>Composite Sampling</w:t>
      </w:r>
      <w:r w:rsidRPr="00E10D73">
        <w:rPr>
          <w:rFonts w:eastAsia="Times New Roman"/>
          <w:sz w:val="24"/>
          <w:szCs w:val="24"/>
        </w:rPr>
        <w:t>. The total number of samples which must be analyzed may be reduced by compositing samples. Composite samples from a maximum of five Sampling Points are allowed provided that the detection limit of the method used for analysis is less than 1/5 of the MCL and none of the samples to be composited are representative of multiple sources. Compositing of samples must be approved by the Department and must be done in the laboratory. Compositing of source with previous detects is not allowed, unless otherwise authorized by the Department.</w:t>
      </w:r>
    </w:p>
    <w:p w14:paraId="2819D3FA" w14:textId="77777777" w:rsidR="004647B9" w:rsidRDefault="004647B9">
      <w:pPr>
        <w:sectPr w:rsidR="004647B9" w:rsidSect="00EF630C">
          <w:pgSz w:w="12240" w:h="20180"/>
          <w:pgMar w:top="708" w:right="1440" w:bottom="1118" w:left="600" w:header="0" w:footer="0" w:gutter="0"/>
          <w:cols w:space="720" w:equalWidth="0">
            <w:col w:w="10200"/>
          </w:cols>
        </w:sectPr>
      </w:pPr>
    </w:p>
    <w:p w14:paraId="2819D3FB" w14:textId="77777777" w:rsidR="004647B9" w:rsidRDefault="00E2436F">
      <w:pPr>
        <w:tabs>
          <w:tab w:val="left" w:pos="160"/>
        </w:tabs>
        <w:jc w:val="center"/>
        <w:rPr>
          <w:sz w:val="20"/>
          <w:szCs w:val="20"/>
        </w:rPr>
      </w:pPr>
      <w:bookmarkStart w:id="47" w:name="page48"/>
      <w:bookmarkEnd w:id="4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3FC" w14:textId="77777777" w:rsidR="004647B9" w:rsidRDefault="004647B9" w:rsidP="00EE20C3">
      <w:pPr>
        <w:rPr>
          <w:sz w:val="20"/>
          <w:szCs w:val="20"/>
        </w:rPr>
      </w:pPr>
    </w:p>
    <w:p w14:paraId="2819D3FD" w14:textId="77777777" w:rsidR="004647B9" w:rsidRDefault="004647B9" w:rsidP="00EE20C3">
      <w:pPr>
        <w:rPr>
          <w:sz w:val="20"/>
          <w:szCs w:val="20"/>
        </w:rPr>
      </w:pPr>
    </w:p>
    <w:p w14:paraId="2819D3FE"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3FF" w14:textId="77777777" w:rsidR="004647B9" w:rsidRDefault="004647B9" w:rsidP="00EE20C3">
      <w:pPr>
        <w:rPr>
          <w:sz w:val="20"/>
          <w:szCs w:val="20"/>
        </w:rPr>
      </w:pPr>
    </w:p>
    <w:p w14:paraId="2819D400" w14:textId="77777777" w:rsidR="004647B9" w:rsidRDefault="00E2436F" w:rsidP="00B87EDF">
      <w:pPr>
        <w:numPr>
          <w:ilvl w:val="0"/>
          <w:numId w:val="119"/>
        </w:numPr>
        <w:tabs>
          <w:tab w:val="left" w:pos="2309"/>
        </w:tabs>
        <w:ind w:left="1915"/>
        <w:jc w:val="both"/>
        <w:rPr>
          <w:rFonts w:eastAsia="Times New Roman"/>
          <w:sz w:val="24"/>
          <w:szCs w:val="24"/>
        </w:rPr>
      </w:pPr>
      <w:r>
        <w:rPr>
          <w:rFonts w:eastAsia="Times New Roman"/>
          <w:sz w:val="24"/>
          <w:szCs w:val="24"/>
        </w:rPr>
        <w:t>If the concentration in the composite sample is greater than or equal to 1/5 of the MCL of any inorganic chemical, then a follow-up sample must be analyzed within 14 days from each Sampling Point included in the composite. These samples must be analyzed for the contaminants that exceeded 1/5 of the MCL in the composite sample. Detection limits for each analytical method and MCL are the following:</w:t>
      </w:r>
    </w:p>
    <w:p w14:paraId="2819D401" w14:textId="77777777" w:rsidR="004647B9" w:rsidRPr="00EE20C3" w:rsidRDefault="004647B9">
      <w:pPr>
        <w:spacing w:line="208"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1020"/>
        <w:gridCol w:w="860"/>
        <w:gridCol w:w="920"/>
        <w:gridCol w:w="800"/>
        <w:gridCol w:w="4420"/>
        <w:gridCol w:w="2180"/>
      </w:tblGrid>
      <w:tr w:rsidR="004647B9" w14:paraId="2819D406" w14:textId="77777777">
        <w:trPr>
          <w:trHeight w:val="234"/>
        </w:trPr>
        <w:tc>
          <w:tcPr>
            <w:tcW w:w="1020" w:type="dxa"/>
            <w:vAlign w:val="bottom"/>
          </w:tcPr>
          <w:p w14:paraId="2819D402" w14:textId="77777777" w:rsidR="004647B9" w:rsidRDefault="004647B9">
            <w:pPr>
              <w:rPr>
                <w:sz w:val="20"/>
                <w:szCs w:val="20"/>
              </w:rPr>
            </w:pPr>
          </w:p>
        </w:tc>
        <w:tc>
          <w:tcPr>
            <w:tcW w:w="860" w:type="dxa"/>
            <w:vAlign w:val="bottom"/>
          </w:tcPr>
          <w:p w14:paraId="2819D403" w14:textId="77777777" w:rsidR="004647B9" w:rsidRDefault="004647B9">
            <w:pPr>
              <w:rPr>
                <w:sz w:val="20"/>
                <w:szCs w:val="20"/>
              </w:rPr>
            </w:pPr>
          </w:p>
        </w:tc>
        <w:tc>
          <w:tcPr>
            <w:tcW w:w="6140" w:type="dxa"/>
            <w:gridSpan w:val="3"/>
            <w:vAlign w:val="bottom"/>
          </w:tcPr>
          <w:p w14:paraId="2819D404" w14:textId="532C801D" w:rsidR="004647B9" w:rsidRDefault="00E2436F">
            <w:pPr>
              <w:ind w:left="680"/>
              <w:rPr>
                <w:sz w:val="20"/>
                <w:szCs w:val="20"/>
              </w:rPr>
            </w:pPr>
            <w:r>
              <w:rPr>
                <w:rFonts w:eastAsia="Times New Roman"/>
                <w:sz w:val="18"/>
                <w:szCs w:val="18"/>
              </w:rPr>
              <w:t>DETECTION LIMITS FOR INORGANIC CONTAMINANTS</w:t>
            </w:r>
          </w:p>
        </w:tc>
        <w:tc>
          <w:tcPr>
            <w:tcW w:w="2180" w:type="dxa"/>
            <w:vAlign w:val="bottom"/>
          </w:tcPr>
          <w:p w14:paraId="2819D405" w14:textId="77777777" w:rsidR="004647B9" w:rsidRDefault="004647B9">
            <w:pPr>
              <w:rPr>
                <w:sz w:val="20"/>
                <w:szCs w:val="20"/>
              </w:rPr>
            </w:pPr>
          </w:p>
        </w:tc>
      </w:tr>
      <w:tr w:rsidR="004647B9" w14:paraId="2819D40D" w14:textId="77777777">
        <w:trPr>
          <w:trHeight w:val="240"/>
        </w:trPr>
        <w:tc>
          <w:tcPr>
            <w:tcW w:w="1020" w:type="dxa"/>
            <w:tcBorders>
              <w:bottom w:val="single" w:sz="8" w:space="0" w:color="auto"/>
            </w:tcBorders>
            <w:vAlign w:val="bottom"/>
          </w:tcPr>
          <w:p w14:paraId="2819D407" w14:textId="77777777" w:rsidR="004647B9" w:rsidRDefault="00E2436F">
            <w:pPr>
              <w:rPr>
                <w:sz w:val="20"/>
                <w:szCs w:val="20"/>
              </w:rPr>
            </w:pPr>
            <w:r>
              <w:rPr>
                <w:rFonts w:eastAsia="Times New Roman"/>
                <w:sz w:val="18"/>
                <w:szCs w:val="18"/>
              </w:rPr>
              <w:t>Contaminant</w:t>
            </w:r>
          </w:p>
        </w:tc>
        <w:tc>
          <w:tcPr>
            <w:tcW w:w="860" w:type="dxa"/>
            <w:vAlign w:val="bottom"/>
          </w:tcPr>
          <w:p w14:paraId="2819D408" w14:textId="77777777" w:rsidR="004647B9" w:rsidRDefault="004647B9">
            <w:pPr>
              <w:rPr>
                <w:sz w:val="20"/>
                <w:szCs w:val="20"/>
              </w:rPr>
            </w:pPr>
          </w:p>
        </w:tc>
        <w:tc>
          <w:tcPr>
            <w:tcW w:w="920" w:type="dxa"/>
            <w:tcBorders>
              <w:bottom w:val="single" w:sz="8" w:space="0" w:color="auto"/>
            </w:tcBorders>
            <w:vAlign w:val="bottom"/>
          </w:tcPr>
          <w:p w14:paraId="2819D409" w14:textId="77777777" w:rsidR="004647B9" w:rsidRDefault="00E2436F">
            <w:pPr>
              <w:rPr>
                <w:sz w:val="20"/>
                <w:szCs w:val="20"/>
              </w:rPr>
            </w:pPr>
            <w:r>
              <w:rPr>
                <w:rFonts w:eastAsia="Times New Roman"/>
                <w:sz w:val="18"/>
                <w:szCs w:val="18"/>
              </w:rPr>
              <w:t>MCL(mg/l)</w:t>
            </w:r>
          </w:p>
        </w:tc>
        <w:tc>
          <w:tcPr>
            <w:tcW w:w="800" w:type="dxa"/>
            <w:vAlign w:val="bottom"/>
          </w:tcPr>
          <w:p w14:paraId="2819D40A" w14:textId="77777777" w:rsidR="004647B9" w:rsidRDefault="004647B9">
            <w:pPr>
              <w:rPr>
                <w:sz w:val="20"/>
                <w:szCs w:val="20"/>
              </w:rPr>
            </w:pPr>
          </w:p>
        </w:tc>
        <w:tc>
          <w:tcPr>
            <w:tcW w:w="4420" w:type="dxa"/>
            <w:tcBorders>
              <w:bottom w:val="single" w:sz="8" w:space="0" w:color="auto"/>
            </w:tcBorders>
            <w:vAlign w:val="bottom"/>
          </w:tcPr>
          <w:p w14:paraId="2819D40B" w14:textId="77777777" w:rsidR="004647B9" w:rsidRDefault="00E2436F">
            <w:pPr>
              <w:rPr>
                <w:sz w:val="20"/>
                <w:szCs w:val="20"/>
              </w:rPr>
            </w:pPr>
            <w:r>
              <w:rPr>
                <w:rFonts w:eastAsia="Times New Roman"/>
                <w:sz w:val="18"/>
                <w:szCs w:val="18"/>
              </w:rPr>
              <w:t>Methodology</w:t>
            </w:r>
          </w:p>
        </w:tc>
        <w:tc>
          <w:tcPr>
            <w:tcW w:w="2180" w:type="dxa"/>
            <w:tcBorders>
              <w:bottom w:val="single" w:sz="8" w:space="0" w:color="auto"/>
            </w:tcBorders>
            <w:vAlign w:val="bottom"/>
          </w:tcPr>
          <w:p w14:paraId="2819D40C" w14:textId="77777777" w:rsidR="004647B9" w:rsidRDefault="00E2436F">
            <w:pPr>
              <w:ind w:left="380"/>
              <w:rPr>
                <w:sz w:val="20"/>
                <w:szCs w:val="20"/>
              </w:rPr>
            </w:pPr>
            <w:r>
              <w:rPr>
                <w:rFonts w:eastAsia="Times New Roman"/>
                <w:sz w:val="18"/>
                <w:szCs w:val="18"/>
              </w:rPr>
              <w:t>Detection Limit (mg/l)</w:t>
            </w:r>
          </w:p>
        </w:tc>
      </w:tr>
      <w:tr w:rsidR="004647B9" w14:paraId="2819D413" w14:textId="77777777">
        <w:trPr>
          <w:trHeight w:val="263"/>
        </w:trPr>
        <w:tc>
          <w:tcPr>
            <w:tcW w:w="1020" w:type="dxa"/>
            <w:vAlign w:val="bottom"/>
          </w:tcPr>
          <w:p w14:paraId="2819D40E" w14:textId="77777777" w:rsidR="004647B9" w:rsidRDefault="00E2436F">
            <w:pPr>
              <w:rPr>
                <w:sz w:val="20"/>
                <w:szCs w:val="20"/>
              </w:rPr>
            </w:pPr>
            <w:r>
              <w:rPr>
                <w:rFonts w:eastAsia="Times New Roman"/>
                <w:sz w:val="18"/>
                <w:szCs w:val="18"/>
              </w:rPr>
              <w:t>Antimony</w:t>
            </w:r>
          </w:p>
        </w:tc>
        <w:tc>
          <w:tcPr>
            <w:tcW w:w="1780" w:type="dxa"/>
            <w:gridSpan w:val="2"/>
            <w:vAlign w:val="bottom"/>
          </w:tcPr>
          <w:p w14:paraId="2819D40F" w14:textId="77777777" w:rsidR="004647B9" w:rsidRDefault="00E2436F">
            <w:pPr>
              <w:ind w:left="860"/>
              <w:rPr>
                <w:sz w:val="20"/>
                <w:szCs w:val="20"/>
              </w:rPr>
            </w:pPr>
            <w:r>
              <w:rPr>
                <w:rFonts w:eastAsia="Times New Roman"/>
                <w:sz w:val="18"/>
                <w:szCs w:val="18"/>
              </w:rPr>
              <w:t>0.006</w:t>
            </w:r>
          </w:p>
        </w:tc>
        <w:tc>
          <w:tcPr>
            <w:tcW w:w="800" w:type="dxa"/>
            <w:vAlign w:val="bottom"/>
          </w:tcPr>
          <w:p w14:paraId="2819D410" w14:textId="77777777" w:rsidR="004647B9" w:rsidRDefault="004647B9"/>
        </w:tc>
        <w:tc>
          <w:tcPr>
            <w:tcW w:w="4420" w:type="dxa"/>
            <w:vAlign w:val="bottom"/>
          </w:tcPr>
          <w:p w14:paraId="2819D411" w14:textId="77777777" w:rsidR="004647B9" w:rsidRDefault="00E2436F">
            <w:pPr>
              <w:rPr>
                <w:sz w:val="20"/>
                <w:szCs w:val="20"/>
              </w:rPr>
            </w:pPr>
            <w:r>
              <w:rPr>
                <w:rFonts w:eastAsia="Times New Roman"/>
                <w:sz w:val="18"/>
                <w:szCs w:val="18"/>
              </w:rPr>
              <w:t>Atomic Absorption; furnace</w:t>
            </w:r>
          </w:p>
        </w:tc>
        <w:tc>
          <w:tcPr>
            <w:tcW w:w="2180" w:type="dxa"/>
            <w:vAlign w:val="bottom"/>
          </w:tcPr>
          <w:p w14:paraId="2819D412" w14:textId="77777777" w:rsidR="004647B9" w:rsidRDefault="00E2436F">
            <w:pPr>
              <w:ind w:left="820"/>
              <w:rPr>
                <w:sz w:val="20"/>
                <w:szCs w:val="20"/>
              </w:rPr>
            </w:pPr>
            <w:r>
              <w:rPr>
                <w:rFonts w:eastAsia="Times New Roman"/>
                <w:sz w:val="18"/>
                <w:szCs w:val="18"/>
              </w:rPr>
              <w:t>0.003</w:t>
            </w:r>
          </w:p>
        </w:tc>
      </w:tr>
      <w:tr w:rsidR="004647B9" w14:paraId="2819D41A" w14:textId="77777777">
        <w:trPr>
          <w:trHeight w:val="262"/>
        </w:trPr>
        <w:tc>
          <w:tcPr>
            <w:tcW w:w="1020" w:type="dxa"/>
            <w:vAlign w:val="bottom"/>
          </w:tcPr>
          <w:p w14:paraId="2819D414" w14:textId="77777777" w:rsidR="004647B9" w:rsidRDefault="004647B9"/>
        </w:tc>
        <w:tc>
          <w:tcPr>
            <w:tcW w:w="860" w:type="dxa"/>
            <w:vAlign w:val="bottom"/>
          </w:tcPr>
          <w:p w14:paraId="2819D415" w14:textId="77777777" w:rsidR="004647B9" w:rsidRDefault="004647B9"/>
        </w:tc>
        <w:tc>
          <w:tcPr>
            <w:tcW w:w="920" w:type="dxa"/>
            <w:vAlign w:val="bottom"/>
          </w:tcPr>
          <w:p w14:paraId="2819D416" w14:textId="77777777" w:rsidR="004647B9" w:rsidRDefault="004647B9"/>
        </w:tc>
        <w:tc>
          <w:tcPr>
            <w:tcW w:w="800" w:type="dxa"/>
            <w:vAlign w:val="bottom"/>
          </w:tcPr>
          <w:p w14:paraId="2819D417" w14:textId="77777777" w:rsidR="004647B9" w:rsidRDefault="004647B9"/>
        </w:tc>
        <w:tc>
          <w:tcPr>
            <w:tcW w:w="4420" w:type="dxa"/>
            <w:vAlign w:val="bottom"/>
          </w:tcPr>
          <w:p w14:paraId="2819D418" w14:textId="77777777" w:rsidR="004647B9" w:rsidRDefault="004647B9"/>
        </w:tc>
        <w:tc>
          <w:tcPr>
            <w:tcW w:w="2180" w:type="dxa"/>
            <w:vAlign w:val="bottom"/>
          </w:tcPr>
          <w:p w14:paraId="2819D419" w14:textId="77777777" w:rsidR="004647B9" w:rsidRDefault="00E2436F">
            <w:pPr>
              <w:ind w:left="840"/>
              <w:rPr>
                <w:sz w:val="20"/>
                <w:szCs w:val="20"/>
              </w:rPr>
            </w:pPr>
            <w:r>
              <w:rPr>
                <w:rFonts w:eastAsia="Times New Roman"/>
                <w:sz w:val="18"/>
                <w:szCs w:val="18"/>
              </w:rPr>
              <w:t>0.0008</w:t>
            </w:r>
            <w:r>
              <w:rPr>
                <w:rFonts w:eastAsia="Times New Roman"/>
                <w:sz w:val="19"/>
                <w:szCs w:val="19"/>
                <w:vertAlign w:val="superscript"/>
              </w:rPr>
              <w:t>5</w:t>
            </w:r>
          </w:p>
        </w:tc>
      </w:tr>
      <w:tr w:rsidR="004647B9" w14:paraId="2819D421" w14:textId="77777777">
        <w:trPr>
          <w:trHeight w:val="262"/>
        </w:trPr>
        <w:tc>
          <w:tcPr>
            <w:tcW w:w="1020" w:type="dxa"/>
            <w:vAlign w:val="bottom"/>
          </w:tcPr>
          <w:p w14:paraId="2819D41B" w14:textId="77777777" w:rsidR="004647B9" w:rsidRDefault="004647B9"/>
        </w:tc>
        <w:tc>
          <w:tcPr>
            <w:tcW w:w="860" w:type="dxa"/>
            <w:vAlign w:val="bottom"/>
          </w:tcPr>
          <w:p w14:paraId="2819D41C" w14:textId="77777777" w:rsidR="004647B9" w:rsidRDefault="004647B9"/>
        </w:tc>
        <w:tc>
          <w:tcPr>
            <w:tcW w:w="920" w:type="dxa"/>
            <w:vAlign w:val="bottom"/>
          </w:tcPr>
          <w:p w14:paraId="2819D41D" w14:textId="77777777" w:rsidR="004647B9" w:rsidRDefault="004647B9"/>
        </w:tc>
        <w:tc>
          <w:tcPr>
            <w:tcW w:w="800" w:type="dxa"/>
            <w:vAlign w:val="bottom"/>
          </w:tcPr>
          <w:p w14:paraId="2819D41E" w14:textId="77777777" w:rsidR="004647B9" w:rsidRDefault="004647B9"/>
        </w:tc>
        <w:tc>
          <w:tcPr>
            <w:tcW w:w="4420" w:type="dxa"/>
            <w:vAlign w:val="bottom"/>
          </w:tcPr>
          <w:p w14:paraId="2819D41F" w14:textId="77777777" w:rsidR="004647B9" w:rsidRDefault="00E2436F">
            <w:pPr>
              <w:rPr>
                <w:sz w:val="20"/>
                <w:szCs w:val="20"/>
              </w:rPr>
            </w:pPr>
            <w:r>
              <w:rPr>
                <w:rFonts w:eastAsia="Times New Roman"/>
                <w:sz w:val="18"/>
                <w:szCs w:val="18"/>
              </w:rPr>
              <w:t>ICP-Mass Spectrometry</w:t>
            </w:r>
          </w:p>
        </w:tc>
        <w:tc>
          <w:tcPr>
            <w:tcW w:w="2180" w:type="dxa"/>
            <w:vAlign w:val="bottom"/>
          </w:tcPr>
          <w:p w14:paraId="2819D420" w14:textId="77777777" w:rsidR="004647B9" w:rsidRDefault="00E2436F">
            <w:pPr>
              <w:ind w:left="920"/>
              <w:rPr>
                <w:sz w:val="20"/>
                <w:szCs w:val="20"/>
              </w:rPr>
            </w:pPr>
            <w:r>
              <w:rPr>
                <w:rFonts w:eastAsia="Times New Roman"/>
                <w:sz w:val="18"/>
                <w:szCs w:val="18"/>
              </w:rPr>
              <w:t>0.0004</w:t>
            </w:r>
          </w:p>
        </w:tc>
      </w:tr>
      <w:tr w:rsidR="004647B9" w14:paraId="2819D428" w14:textId="77777777">
        <w:trPr>
          <w:trHeight w:val="262"/>
        </w:trPr>
        <w:tc>
          <w:tcPr>
            <w:tcW w:w="1020" w:type="dxa"/>
            <w:vAlign w:val="bottom"/>
          </w:tcPr>
          <w:p w14:paraId="2819D422" w14:textId="77777777" w:rsidR="004647B9" w:rsidRDefault="004647B9"/>
        </w:tc>
        <w:tc>
          <w:tcPr>
            <w:tcW w:w="860" w:type="dxa"/>
            <w:vAlign w:val="bottom"/>
          </w:tcPr>
          <w:p w14:paraId="2819D423" w14:textId="77777777" w:rsidR="004647B9" w:rsidRDefault="004647B9"/>
        </w:tc>
        <w:tc>
          <w:tcPr>
            <w:tcW w:w="920" w:type="dxa"/>
            <w:vAlign w:val="bottom"/>
          </w:tcPr>
          <w:p w14:paraId="2819D424" w14:textId="77777777" w:rsidR="004647B9" w:rsidRDefault="004647B9"/>
        </w:tc>
        <w:tc>
          <w:tcPr>
            <w:tcW w:w="800" w:type="dxa"/>
            <w:vAlign w:val="bottom"/>
          </w:tcPr>
          <w:p w14:paraId="2819D425" w14:textId="77777777" w:rsidR="004647B9" w:rsidRDefault="004647B9"/>
        </w:tc>
        <w:tc>
          <w:tcPr>
            <w:tcW w:w="4420" w:type="dxa"/>
            <w:vAlign w:val="bottom"/>
          </w:tcPr>
          <w:p w14:paraId="2819D426" w14:textId="77777777" w:rsidR="004647B9" w:rsidRDefault="00E2436F">
            <w:pPr>
              <w:rPr>
                <w:sz w:val="20"/>
                <w:szCs w:val="20"/>
              </w:rPr>
            </w:pPr>
            <w:r>
              <w:rPr>
                <w:rFonts w:eastAsia="Times New Roman"/>
                <w:sz w:val="18"/>
                <w:szCs w:val="18"/>
              </w:rPr>
              <w:t>Hydride-Atomic absorption</w:t>
            </w:r>
          </w:p>
        </w:tc>
        <w:tc>
          <w:tcPr>
            <w:tcW w:w="2180" w:type="dxa"/>
            <w:vAlign w:val="bottom"/>
          </w:tcPr>
          <w:p w14:paraId="2819D427" w14:textId="77777777" w:rsidR="004647B9" w:rsidRDefault="00E2436F">
            <w:pPr>
              <w:ind w:left="840"/>
              <w:rPr>
                <w:sz w:val="20"/>
                <w:szCs w:val="20"/>
              </w:rPr>
            </w:pPr>
            <w:r>
              <w:rPr>
                <w:rFonts w:eastAsia="Times New Roman"/>
                <w:sz w:val="18"/>
                <w:szCs w:val="18"/>
              </w:rPr>
              <w:t>0.001</w:t>
            </w:r>
          </w:p>
        </w:tc>
      </w:tr>
      <w:tr w:rsidR="004647B9" w14:paraId="2819D42E" w14:textId="77777777">
        <w:trPr>
          <w:trHeight w:val="262"/>
        </w:trPr>
        <w:tc>
          <w:tcPr>
            <w:tcW w:w="1020" w:type="dxa"/>
            <w:vAlign w:val="bottom"/>
          </w:tcPr>
          <w:p w14:paraId="2819D429" w14:textId="77777777" w:rsidR="004647B9" w:rsidRDefault="00E2436F">
            <w:pPr>
              <w:rPr>
                <w:sz w:val="20"/>
                <w:szCs w:val="20"/>
              </w:rPr>
            </w:pPr>
            <w:r>
              <w:rPr>
                <w:rFonts w:eastAsia="Times New Roman"/>
                <w:sz w:val="18"/>
                <w:szCs w:val="18"/>
              </w:rPr>
              <w:t>Arsenic</w:t>
            </w:r>
          </w:p>
        </w:tc>
        <w:tc>
          <w:tcPr>
            <w:tcW w:w="1780" w:type="dxa"/>
            <w:gridSpan w:val="2"/>
            <w:vAlign w:val="bottom"/>
          </w:tcPr>
          <w:p w14:paraId="2819D42A" w14:textId="77777777" w:rsidR="004647B9" w:rsidRDefault="00E2436F">
            <w:pPr>
              <w:ind w:left="860"/>
              <w:rPr>
                <w:sz w:val="20"/>
                <w:szCs w:val="20"/>
              </w:rPr>
            </w:pPr>
            <w:r>
              <w:rPr>
                <w:rFonts w:eastAsia="Times New Roman"/>
                <w:sz w:val="18"/>
                <w:szCs w:val="18"/>
              </w:rPr>
              <w:t>0.010</w:t>
            </w:r>
            <w:r>
              <w:rPr>
                <w:rFonts w:eastAsia="Times New Roman"/>
                <w:sz w:val="19"/>
                <w:szCs w:val="19"/>
                <w:vertAlign w:val="superscript"/>
              </w:rPr>
              <w:t>6</w:t>
            </w:r>
          </w:p>
        </w:tc>
        <w:tc>
          <w:tcPr>
            <w:tcW w:w="800" w:type="dxa"/>
            <w:vAlign w:val="bottom"/>
          </w:tcPr>
          <w:p w14:paraId="2819D42B" w14:textId="77777777" w:rsidR="004647B9" w:rsidRDefault="004647B9"/>
        </w:tc>
        <w:tc>
          <w:tcPr>
            <w:tcW w:w="4420" w:type="dxa"/>
            <w:vAlign w:val="bottom"/>
          </w:tcPr>
          <w:p w14:paraId="2819D42C" w14:textId="77777777" w:rsidR="004647B9" w:rsidRDefault="00E2436F">
            <w:pPr>
              <w:rPr>
                <w:sz w:val="20"/>
                <w:szCs w:val="20"/>
              </w:rPr>
            </w:pPr>
            <w:r>
              <w:rPr>
                <w:rFonts w:eastAsia="Times New Roman"/>
                <w:sz w:val="18"/>
                <w:szCs w:val="18"/>
              </w:rPr>
              <w:t>Atomic Absorption; Furnace</w:t>
            </w:r>
          </w:p>
        </w:tc>
        <w:tc>
          <w:tcPr>
            <w:tcW w:w="2180" w:type="dxa"/>
            <w:vAlign w:val="bottom"/>
          </w:tcPr>
          <w:p w14:paraId="2819D42D" w14:textId="77777777" w:rsidR="004647B9" w:rsidRDefault="00E2436F">
            <w:pPr>
              <w:ind w:left="840"/>
              <w:rPr>
                <w:sz w:val="20"/>
                <w:szCs w:val="20"/>
              </w:rPr>
            </w:pPr>
            <w:r>
              <w:rPr>
                <w:rFonts w:eastAsia="Times New Roman"/>
                <w:sz w:val="18"/>
                <w:szCs w:val="18"/>
              </w:rPr>
              <w:t>0.001</w:t>
            </w:r>
          </w:p>
        </w:tc>
      </w:tr>
      <w:tr w:rsidR="004647B9" w14:paraId="2819D435" w14:textId="77777777">
        <w:trPr>
          <w:trHeight w:val="262"/>
        </w:trPr>
        <w:tc>
          <w:tcPr>
            <w:tcW w:w="1020" w:type="dxa"/>
            <w:vAlign w:val="bottom"/>
          </w:tcPr>
          <w:p w14:paraId="2819D42F" w14:textId="77777777" w:rsidR="004647B9" w:rsidRDefault="004647B9"/>
        </w:tc>
        <w:tc>
          <w:tcPr>
            <w:tcW w:w="860" w:type="dxa"/>
            <w:vAlign w:val="bottom"/>
          </w:tcPr>
          <w:p w14:paraId="2819D430" w14:textId="77777777" w:rsidR="004647B9" w:rsidRDefault="004647B9"/>
        </w:tc>
        <w:tc>
          <w:tcPr>
            <w:tcW w:w="920" w:type="dxa"/>
            <w:vAlign w:val="bottom"/>
          </w:tcPr>
          <w:p w14:paraId="2819D431" w14:textId="77777777" w:rsidR="004647B9" w:rsidRDefault="004647B9"/>
        </w:tc>
        <w:tc>
          <w:tcPr>
            <w:tcW w:w="800" w:type="dxa"/>
            <w:vAlign w:val="bottom"/>
          </w:tcPr>
          <w:p w14:paraId="2819D432" w14:textId="77777777" w:rsidR="004647B9" w:rsidRDefault="004647B9"/>
        </w:tc>
        <w:tc>
          <w:tcPr>
            <w:tcW w:w="4420" w:type="dxa"/>
            <w:vAlign w:val="bottom"/>
          </w:tcPr>
          <w:p w14:paraId="2819D433" w14:textId="77777777" w:rsidR="004647B9" w:rsidRDefault="00E2436F">
            <w:pPr>
              <w:rPr>
                <w:sz w:val="20"/>
                <w:szCs w:val="20"/>
              </w:rPr>
            </w:pPr>
            <w:r>
              <w:rPr>
                <w:rFonts w:eastAsia="Times New Roman"/>
                <w:sz w:val="18"/>
                <w:szCs w:val="18"/>
              </w:rPr>
              <w:t>Atomic Absorption; Platform-Stabilized Temperature</w:t>
            </w:r>
          </w:p>
        </w:tc>
        <w:tc>
          <w:tcPr>
            <w:tcW w:w="2180" w:type="dxa"/>
            <w:vAlign w:val="bottom"/>
          </w:tcPr>
          <w:p w14:paraId="2819D434" w14:textId="77777777" w:rsidR="004647B9" w:rsidRDefault="00E2436F">
            <w:pPr>
              <w:ind w:left="840"/>
              <w:rPr>
                <w:sz w:val="20"/>
                <w:szCs w:val="20"/>
              </w:rPr>
            </w:pPr>
            <w:r>
              <w:rPr>
                <w:rFonts w:eastAsia="Times New Roman"/>
                <w:sz w:val="18"/>
                <w:szCs w:val="18"/>
              </w:rPr>
              <w:t>0.0005</w:t>
            </w:r>
            <w:r>
              <w:rPr>
                <w:rFonts w:eastAsia="Times New Roman"/>
                <w:sz w:val="19"/>
                <w:szCs w:val="19"/>
                <w:vertAlign w:val="superscript"/>
              </w:rPr>
              <w:t>7</w:t>
            </w:r>
          </w:p>
        </w:tc>
      </w:tr>
      <w:tr w:rsidR="004647B9" w14:paraId="2819D43C" w14:textId="77777777">
        <w:trPr>
          <w:trHeight w:val="262"/>
        </w:trPr>
        <w:tc>
          <w:tcPr>
            <w:tcW w:w="1020" w:type="dxa"/>
            <w:vAlign w:val="bottom"/>
          </w:tcPr>
          <w:p w14:paraId="2819D436" w14:textId="77777777" w:rsidR="004647B9" w:rsidRDefault="004647B9"/>
        </w:tc>
        <w:tc>
          <w:tcPr>
            <w:tcW w:w="860" w:type="dxa"/>
            <w:vAlign w:val="bottom"/>
          </w:tcPr>
          <w:p w14:paraId="2819D437" w14:textId="77777777" w:rsidR="004647B9" w:rsidRDefault="004647B9"/>
        </w:tc>
        <w:tc>
          <w:tcPr>
            <w:tcW w:w="920" w:type="dxa"/>
            <w:vAlign w:val="bottom"/>
          </w:tcPr>
          <w:p w14:paraId="2819D438" w14:textId="77777777" w:rsidR="004647B9" w:rsidRDefault="004647B9"/>
        </w:tc>
        <w:tc>
          <w:tcPr>
            <w:tcW w:w="800" w:type="dxa"/>
            <w:vAlign w:val="bottom"/>
          </w:tcPr>
          <w:p w14:paraId="2819D439" w14:textId="77777777" w:rsidR="004647B9" w:rsidRDefault="004647B9"/>
        </w:tc>
        <w:tc>
          <w:tcPr>
            <w:tcW w:w="4420" w:type="dxa"/>
            <w:vAlign w:val="bottom"/>
          </w:tcPr>
          <w:p w14:paraId="2819D43A" w14:textId="77777777" w:rsidR="004647B9" w:rsidRDefault="00E2436F">
            <w:pPr>
              <w:rPr>
                <w:sz w:val="20"/>
                <w:szCs w:val="20"/>
              </w:rPr>
            </w:pPr>
            <w:r>
              <w:rPr>
                <w:rFonts w:eastAsia="Times New Roman"/>
                <w:sz w:val="18"/>
                <w:szCs w:val="18"/>
              </w:rPr>
              <w:t>Atomic Absorption; Gaseous Hydride</w:t>
            </w:r>
          </w:p>
        </w:tc>
        <w:tc>
          <w:tcPr>
            <w:tcW w:w="2180" w:type="dxa"/>
            <w:vAlign w:val="bottom"/>
          </w:tcPr>
          <w:p w14:paraId="2819D43B" w14:textId="77777777" w:rsidR="004647B9" w:rsidRDefault="00E2436F">
            <w:pPr>
              <w:ind w:left="840"/>
              <w:rPr>
                <w:sz w:val="20"/>
                <w:szCs w:val="20"/>
              </w:rPr>
            </w:pPr>
            <w:r>
              <w:rPr>
                <w:rFonts w:eastAsia="Times New Roman"/>
                <w:sz w:val="18"/>
                <w:szCs w:val="18"/>
              </w:rPr>
              <w:t>0.001</w:t>
            </w:r>
          </w:p>
        </w:tc>
      </w:tr>
      <w:tr w:rsidR="004647B9" w14:paraId="2819D443" w14:textId="77777777">
        <w:trPr>
          <w:trHeight w:val="262"/>
        </w:trPr>
        <w:tc>
          <w:tcPr>
            <w:tcW w:w="1020" w:type="dxa"/>
            <w:vAlign w:val="bottom"/>
          </w:tcPr>
          <w:p w14:paraId="2819D43D" w14:textId="77777777" w:rsidR="004647B9" w:rsidRDefault="004647B9"/>
        </w:tc>
        <w:tc>
          <w:tcPr>
            <w:tcW w:w="860" w:type="dxa"/>
            <w:vAlign w:val="bottom"/>
          </w:tcPr>
          <w:p w14:paraId="2819D43E" w14:textId="77777777" w:rsidR="004647B9" w:rsidRDefault="004647B9"/>
        </w:tc>
        <w:tc>
          <w:tcPr>
            <w:tcW w:w="920" w:type="dxa"/>
            <w:vAlign w:val="bottom"/>
          </w:tcPr>
          <w:p w14:paraId="2819D43F" w14:textId="77777777" w:rsidR="004647B9" w:rsidRDefault="004647B9"/>
        </w:tc>
        <w:tc>
          <w:tcPr>
            <w:tcW w:w="800" w:type="dxa"/>
            <w:vAlign w:val="bottom"/>
          </w:tcPr>
          <w:p w14:paraId="2819D440" w14:textId="77777777" w:rsidR="004647B9" w:rsidRDefault="004647B9"/>
        </w:tc>
        <w:tc>
          <w:tcPr>
            <w:tcW w:w="4420" w:type="dxa"/>
            <w:vAlign w:val="bottom"/>
          </w:tcPr>
          <w:p w14:paraId="2819D441" w14:textId="77777777" w:rsidR="004647B9" w:rsidRDefault="00E2436F">
            <w:pPr>
              <w:rPr>
                <w:sz w:val="20"/>
                <w:szCs w:val="20"/>
              </w:rPr>
            </w:pPr>
            <w:r>
              <w:rPr>
                <w:rFonts w:eastAsia="Times New Roman"/>
                <w:sz w:val="18"/>
                <w:szCs w:val="18"/>
              </w:rPr>
              <w:t>ICP- Mass Spectrometry</w:t>
            </w:r>
          </w:p>
        </w:tc>
        <w:tc>
          <w:tcPr>
            <w:tcW w:w="2180" w:type="dxa"/>
            <w:vAlign w:val="bottom"/>
          </w:tcPr>
          <w:p w14:paraId="2819D442" w14:textId="77777777" w:rsidR="004647B9" w:rsidRDefault="00E2436F">
            <w:pPr>
              <w:ind w:left="840"/>
              <w:rPr>
                <w:sz w:val="20"/>
                <w:szCs w:val="20"/>
              </w:rPr>
            </w:pPr>
            <w:r>
              <w:rPr>
                <w:rFonts w:eastAsia="Times New Roman"/>
                <w:sz w:val="18"/>
                <w:szCs w:val="18"/>
              </w:rPr>
              <w:t>0.0014</w:t>
            </w:r>
            <w:r>
              <w:rPr>
                <w:rFonts w:eastAsia="Times New Roman"/>
                <w:sz w:val="19"/>
                <w:szCs w:val="19"/>
                <w:vertAlign w:val="superscript"/>
              </w:rPr>
              <w:t>8</w:t>
            </w:r>
          </w:p>
        </w:tc>
      </w:tr>
      <w:tr w:rsidR="004647B9" w14:paraId="2819D44A" w14:textId="77777777">
        <w:trPr>
          <w:trHeight w:val="262"/>
        </w:trPr>
        <w:tc>
          <w:tcPr>
            <w:tcW w:w="1020" w:type="dxa"/>
            <w:vAlign w:val="bottom"/>
          </w:tcPr>
          <w:p w14:paraId="2819D444" w14:textId="77777777" w:rsidR="004647B9" w:rsidRDefault="00E2436F">
            <w:pPr>
              <w:rPr>
                <w:sz w:val="20"/>
                <w:szCs w:val="20"/>
              </w:rPr>
            </w:pPr>
            <w:r>
              <w:rPr>
                <w:rFonts w:eastAsia="Times New Roman"/>
                <w:sz w:val="18"/>
                <w:szCs w:val="18"/>
              </w:rPr>
              <w:t>Asbestos</w:t>
            </w:r>
          </w:p>
        </w:tc>
        <w:tc>
          <w:tcPr>
            <w:tcW w:w="860" w:type="dxa"/>
            <w:vAlign w:val="bottom"/>
          </w:tcPr>
          <w:p w14:paraId="2819D445" w14:textId="77777777" w:rsidR="004647B9" w:rsidRDefault="004647B9"/>
        </w:tc>
        <w:tc>
          <w:tcPr>
            <w:tcW w:w="920" w:type="dxa"/>
            <w:vAlign w:val="bottom"/>
          </w:tcPr>
          <w:p w14:paraId="2819D446" w14:textId="77777777" w:rsidR="004647B9" w:rsidRDefault="00E2436F">
            <w:pPr>
              <w:rPr>
                <w:sz w:val="20"/>
                <w:szCs w:val="20"/>
              </w:rPr>
            </w:pPr>
            <w:r>
              <w:rPr>
                <w:rFonts w:eastAsia="Times New Roman"/>
                <w:sz w:val="18"/>
                <w:szCs w:val="18"/>
              </w:rPr>
              <w:t>7 MFL</w:t>
            </w:r>
            <w:r>
              <w:rPr>
                <w:rFonts w:eastAsia="Times New Roman"/>
                <w:sz w:val="19"/>
                <w:szCs w:val="19"/>
                <w:vertAlign w:val="superscript"/>
              </w:rPr>
              <w:t>1</w:t>
            </w:r>
          </w:p>
        </w:tc>
        <w:tc>
          <w:tcPr>
            <w:tcW w:w="800" w:type="dxa"/>
            <w:vAlign w:val="bottom"/>
          </w:tcPr>
          <w:p w14:paraId="2819D447" w14:textId="77777777" w:rsidR="004647B9" w:rsidRDefault="004647B9"/>
        </w:tc>
        <w:tc>
          <w:tcPr>
            <w:tcW w:w="4420" w:type="dxa"/>
            <w:vAlign w:val="bottom"/>
          </w:tcPr>
          <w:p w14:paraId="2819D448" w14:textId="77777777" w:rsidR="004647B9" w:rsidRDefault="00E2436F">
            <w:pPr>
              <w:rPr>
                <w:sz w:val="20"/>
                <w:szCs w:val="20"/>
              </w:rPr>
            </w:pPr>
            <w:r>
              <w:rPr>
                <w:rFonts w:eastAsia="Times New Roman"/>
                <w:sz w:val="18"/>
                <w:szCs w:val="18"/>
              </w:rPr>
              <w:t>Transmission Electron Microscopy</w:t>
            </w:r>
          </w:p>
        </w:tc>
        <w:tc>
          <w:tcPr>
            <w:tcW w:w="2180" w:type="dxa"/>
            <w:vAlign w:val="bottom"/>
          </w:tcPr>
          <w:p w14:paraId="2819D449" w14:textId="77777777" w:rsidR="004647B9" w:rsidRDefault="00E2436F">
            <w:pPr>
              <w:ind w:left="840"/>
              <w:rPr>
                <w:sz w:val="20"/>
                <w:szCs w:val="20"/>
              </w:rPr>
            </w:pPr>
            <w:r>
              <w:rPr>
                <w:rFonts w:eastAsia="Times New Roman"/>
                <w:sz w:val="18"/>
                <w:szCs w:val="18"/>
              </w:rPr>
              <w:t>0.2 MFL</w:t>
            </w:r>
          </w:p>
        </w:tc>
      </w:tr>
      <w:tr w:rsidR="004647B9" w14:paraId="2819D450" w14:textId="77777777">
        <w:trPr>
          <w:trHeight w:val="523"/>
        </w:trPr>
        <w:tc>
          <w:tcPr>
            <w:tcW w:w="1020" w:type="dxa"/>
            <w:vAlign w:val="bottom"/>
          </w:tcPr>
          <w:p w14:paraId="2819D44B" w14:textId="77777777" w:rsidR="004647B9" w:rsidRDefault="00E2436F">
            <w:pPr>
              <w:rPr>
                <w:sz w:val="20"/>
                <w:szCs w:val="20"/>
              </w:rPr>
            </w:pPr>
            <w:r>
              <w:rPr>
                <w:rFonts w:eastAsia="Times New Roman"/>
                <w:sz w:val="18"/>
                <w:szCs w:val="18"/>
              </w:rPr>
              <w:t>Barium</w:t>
            </w:r>
          </w:p>
        </w:tc>
        <w:tc>
          <w:tcPr>
            <w:tcW w:w="1780" w:type="dxa"/>
            <w:gridSpan w:val="2"/>
            <w:vAlign w:val="bottom"/>
          </w:tcPr>
          <w:p w14:paraId="2819D44C" w14:textId="77777777" w:rsidR="004647B9" w:rsidRDefault="00E2436F">
            <w:pPr>
              <w:ind w:left="860"/>
              <w:rPr>
                <w:sz w:val="20"/>
                <w:szCs w:val="20"/>
              </w:rPr>
            </w:pPr>
            <w:r>
              <w:rPr>
                <w:rFonts w:eastAsia="Times New Roman"/>
                <w:sz w:val="18"/>
                <w:szCs w:val="18"/>
              </w:rPr>
              <w:t>2</w:t>
            </w:r>
          </w:p>
        </w:tc>
        <w:tc>
          <w:tcPr>
            <w:tcW w:w="800" w:type="dxa"/>
            <w:vAlign w:val="bottom"/>
          </w:tcPr>
          <w:p w14:paraId="2819D44D" w14:textId="77777777" w:rsidR="004647B9" w:rsidRDefault="004647B9">
            <w:pPr>
              <w:rPr>
                <w:sz w:val="24"/>
                <w:szCs w:val="24"/>
              </w:rPr>
            </w:pPr>
          </w:p>
        </w:tc>
        <w:tc>
          <w:tcPr>
            <w:tcW w:w="4420" w:type="dxa"/>
            <w:vAlign w:val="bottom"/>
          </w:tcPr>
          <w:p w14:paraId="2819D44E" w14:textId="77777777" w:rsidR="004647B9" w:rsidRDefault="00E2436F">
            <w:pPr>
              <w:rPr>
                <w:sz w:val="20"/>
                <w:szCs w:val="20"/>
              </w:rPr>
            </w:pPr>
            <w:r>
              <w:rPr>
                <w:rFonts w:eastAsia="Times New Roman"/>
                <w:sz w:val="18"/>
                <w:szCs w:val="18"/>
              </w:rPr>
              <w:t>Atomic Absorption; furnace technique</w:t>
            </w:r>
          </w:p>
        </w:tc>
        <w:tc>
          <w:tcPr>
            <w:tcW w:w="2180" w:type="dxa"/>
            <w:vAlign w:val="bottom"/>
          </w:tcPr>
          <w:p w14:paraId="2819D44F" w14:textId="77777777" w:rsidR="004647B9" w:rsidRDefault="00E2436F">
            <w:pPr>
              <w:ind w:left="840"/>
              <w:rPr>
                <w:sz w:val="20"/>
                <w:szCs w:val="20"/>
              </w:rPr>
            </w:pPr>
            <w:r>
              <w:rPr>
                <w:rFonts w:eastAsia="Times New Roman"/>
                <w:sz w:val="18"/>
                <w:szCs w:val="18"/>
              </w:rPr>
              <w:t>0.002</w:t>
            </w:r>
          </w:p>
        </w:tc>
      </w:tr>
      <w:tr w:rsidR="004647B9" w14:paraId="2819D457" w14:textId="77777777">
        <w:trPr>
          <w:trHeight w:val="262"/>
        </w:trPr>
        <w:tc>
          <w:tcPr>
            <w:tcW w:w="1020" w:type="dxa"/>
            <w:vAlign w:val="bottom"/>
          </w:tcPr>
          <w:p w14:paraId="2819D451" w14:textId="77777777" w:rsidR="004647B9" w:rsidRDefault="004647B9"/>
        </w:tc>
        <w:tc>
          <w:tcPr>
            <w:tcW w:w="860" w:type="dxa"/>
            <w:vAlign w:val="bottom"/>
          </w:tcPr>
          <w:p w14:paraId="2819D452" w14:textId="77777777" w:rsidR="004647B9" w:rsidRDefault="004647B9"/>
        </w:tc>
        <w:tc>
          <w:tcPr>
            <w:tcW w:w="920" w:type="dxa"/>
            <w:vAlign w:val="bottom"/>
          </w:tcPr>
          <w:p w14:paraId="2819D453" w14:textId="77777777" w:rsidR="004647B9" w:rsidRDefault="004647B9"/>
        </w:tc>
        <w:tc>
          <w:tcPr>
            <w:tcW w:w="800" w:type="dxa"/>
            <w:vAlign w:val="bottom"/>
          </w:tcPr>
          <w:p w14:paraId="2819D454" w14:textId="77777777" w:rsidR="004647B9" w:rsidRDefault="004647B9"/>
        </w:tc>
        <w:tc>
          <w:tcPr>
            <w:tcW w:w="4420" w:type="dxa"/>
            <w:vAlign w:val="bottom"/>
          </w:tcPr>
          <w:p w14:paraId="2819D455" w14:textId="77777777" w:rsidR="004647B9" w:rsidRDefault="00E2436F">
            <w:pPr>
              <w:rPr>
                <w:sz w:val="20"/>
                <w:szCs w:val="20"/>
              </w:rPr>
            </w:pPr>
            <w:r>
              <w:rPr>
                <w:rFonts w:eastAsia="Times New Roman"/>
                <w:sz w:val="18"/>
                <w:szCs w:val="18"/>
              </w:rPr>
              <w:t>Atomic Absorption; direct aspiration</w:t>
            </w:r>
          </w:p>
        </w:tc>
        <w:tc>
          <w:tcPr>
            <w:tcW w:w="2180" w:type="dxa"/>
            <w:vAlign w:val="bottom"/>
          </w:tcPr>
          <w:p w14:paraId="2819D456" w14:textId="77777777" w:rsidR="004647B9" w:rsidRDefault="00E2436F">
            <w:pPr>
              <w:ind w:left="840"/>
              <w:rPr>
                <w:sz w:val="20"/>
                <w:szCs w:val="20"/>
              </w:rPr>
            </w:pPr>
            <w:r>
              <w:rPr>
                <w:rFonts w:eastAsia="Times New Roman"/>
                <w:sz w:val="18"/>
                <w:szCs w:val="18"/>
              </w:rPr>
              <w:t>0.1</w:t>
            </w:r>
          </w:p>
        </w:tc>
      </w:tr>
      <w:tr w:rsidR="004647B9" w14:paraId="2819D45E" w14:textId="77777777">
        <w:trPr>
          <w:trHeight w:val="262"/>
        </w:trPr>
        <w:tc>
          <w:tcPr>
            <w:tcW w:w="1020" w:type="dxa"/>
            <w:vAlign w:val="bottom"/>
          </w:tcPr>
          <w:p w14:paraId="2819D458" w14:textId="77777777" w:rsidR="004647B9" w:rsidRDefault="004647B9"/>
        </w:tc>
        <w:tc>
          <w:tcPr>
            <w:tcW w:w="860" w:type="dxa"/>
            <w:vAlign w:val="bottom"/>
          </w:tcPr>
          <w:p w14:paraId="2819D459" w14:textId="77777777" w:rsidR="004647B9" w:rsidRDefault="004647B9"/>
        </w:tc>
        <w:tc>
          <w:tcPr>
            <w:tcW w:w="920" w:type="dxa"/>
            <w:vAlign w:val="bottom"/>
          </w:tcPr>
          <w:p w14:paraId="2819D45A" w14:textId="77777777" w:rsidR="004647B9" w:rsidRDefault="004647B9"/>
        </w:tc>
        <w:tc>
          <w:tcPr>
            <w:tcW w:w="800" w:type="dxa"/>
            <w:vAlign w:val="bottom"/>
          </w:tcPr>
          <w:p w14:paraId="2819D45B" w14:textId="77777777" w:rsidR="004647B9" w:rsidRDefault="004647B9"/>
        </w:tc>
        <w:tc>
          <w:tcPr>
            <w:tcW w:w="4420" w:type="dxa"/>
            <w:vAlign w:val="bottom"/>
          </w:tcPr>
          <w:p w14:paraId="2819D45C" w14:textId="77777777" w:rsidR="004647B9" w:rsidRDefault="00E2436F">
            <w:pPr>
              <w:rPr>
                <w:sz w:val="20"/>
                <w:szCs w:val="20"/>
              </w:rPr>
            </w:pPr>
            <w:r>
              <w:rPr>
                <w:rFonts w:eastAsia="Times New Roman"/>
                <w:sz w:val="18"/>
                <w:szCs w:val="18"/>
              </w:rPr>
              <w:t>Inductively Coupled Plasma</w:t>
            </w:r>
          </w:p>
        </w:tc>
        <w:tc>
          <w:tcPr>
            <w:tcW w:w="2180" w:type="dxa"/>
            <w:vAlign w:val="bottom"/>
          </w:tcPr>
          <w:p w14:paraId="2819D45D" w14:textId="77777777" w:rsidR="004647B9" w:rsidRDefault="00E2436F">
            <w:pPr>
              <w:ind w:left="840"/>
              <w:rPr>
                <w:sz w:val="20"/>
                <w:szCs w:val="20"/>
              </w:rPr>
            </w:pPr>
            <w:r>
              <w:rPr>
                <w:rFonts w:eastAsia="Times New Roman"/>
                <w:sz w:val="18"/>
                <w:szCs w:val="18"/>
              </w:rPr>
              <w:t>0.002</w:t>
            </w:r>
          </w:p>
        </w:tc>
      </w:tr>
      <w:tr w:rsidR="004647B9" w14:paraId="2819D465" w14:textId="77777777">
        <w:trPr>
          <w:trHeight w:val="262"/>
        </w:trPr>
        <w:tc>
          <w:tcPr>
            <w:tcW w:w="1020" w:type="dxa"/>
            <w:vAlign w:val="bottom"/>
          </w:tcPr>
          <w:p w14:paraId="2819D45F" w14:textId="77777777" w:rsidR="004647B9" w:rsidRDefault="004647B9"/>
        </w:tc>
        <w:tc>
          <w:tcPr>
            <w:tcW w:w="860" w:type="dxa"/>
            <w:vAlign w:val="bottom"/>
          </w:tcPr>
          <w:p w14:paraId="2819D460" w14:textId="77777777" w:rsidR="004647B9" w:rsidRDefault="004647B9"/>
        </w:tc>
        <w:tc>
          <w:tcPr>
            <w:tcW w:w="920" w:type="dxa"/>
            <w:vAlign w:val="bottom"/>
          </w:tcPr>
          <w:p w14:paraId="2819D461" w14:textId="77777777" w:rsidR="004647B9" w:rsidRDefault="004647B9"/>
        </w:tc>
        <w:tc>
          <w:tcPr>
            <w:tcW w:w="800" w:type="dxa"/>
            <w:vAlign w:val="bottom"/>
          </w:tcPr>
          <w:p w14:paraId="2819D462" w14:textId="77777777" w:rsidR="004647B9" w:rsidRDefault="004647B9"/>
        </w:tc>
        <w:tc>
          <w:tcPr>
            <w:tcW w:w="4420" w:type="dxa"/>
            <w:vAlign w:val="bottom"/>
          </w:tcPr>
          <w:p w14:paraId="2819D463" w14:textId="77777777" w:rsidR="004647B9" w:rsidRDefault="004647B9"/>
        </w:tc>
        <w:tc>
          <w:tcPr>
            <w:tcW w:w="2180" w:type="dxa"/>
            <w:vAlign w:val="bottom"/>
          </w:tcPr>
          <w:p w14:paraId="2819D464" w14:textId="77777777" w:rsidR="004647B9" w:rsidRDefault="00E2436F">
            <w:pPr>
              <w:ind w:left="780"/>
              <w:rPr>
                <w:sz w:val="20"/>
                <w:szCs w:val="20"/>
              </w:rPr>
            </w:pPr>
            <w:r>
              <w:rPr>
                <w:rFonts w:eastAsia="Times New Roman"/>
                <w:sz w:val="18"/>
                <w:szCs w:val="18"/>
              </w:rPr>
              <w:t>(0.001)</w:t>
            </w:r>
          </w:p>
        </w:tc>
      </w:tr>
      <w:tr w:rsidR="004647B9" w14:paraId="2819D46B" w14:textId="77777777">
        <w:trPr>
          <w:trHeight w:val="262"/>
        </w:trPr>
        <w:tc>
          <w:tcPr>
            <w:tcW w:w="1020" w:type="dxa"/>
            <w:vAlign w:val="bottom"/>
          </w:tcPr>
          <w:p w14:paraId="2819D466" w14:textId="77777777" w:rsidR="004647B9" w:rsidRDefault="00E2436F">
            <w:pPr>
              <w:rPr>
                <w:sz w:val="20"/>
                <w:szCs w:val="20"/>
              </w:rPr>
            </w:pPr>
            <w:r>
              <w:rPr>
                <w:rFonts w:eastAsia="Times New Roman"/>
                <w:sz w:val="18"/>
                <w:szCs w:val="18"/>
              </w:rPr>
              <w:t>Beryllium</w:t>
            </w:r>
          </w:p>
        </w:tc>
        <w:tc>
          <w:tcPr>
            <w:tcW w:w="1780" w:type="dxa"/>
            <w:gridSpan w:val="2"/>
            <w:vAlign w:val="bottom"/>
          </w:tcPr>
          <w:p w14:paraId="2819D467" w14:textId="77777777" w:rsidR="004647B9" w:rsidRDefault="00E2436F">
            <w:pPr>
              <w:ind w:left="860"/>
              <w:rPr>
                <w:sz w:val="20"/>
                <w:szCs w:val="20"/>
              </w:rPr>
            </w:pPr>
            <w:r>
              <w:rPr>
                <w:rFonts w:eastAsia="Times New Roman"/>
                <w:sz w:val="18"/>
                <w:szCs w:val="18"/>
              </w:rPr>
              <w:t>0.004</w:t>
            </w:r>
          </w:p>
        </w:tc>
        <w:tc>
          <w:tcPr>
            <w:tcW w:w="800" w:type="dxa"/>
            <w:vAlign w:val="bottom"/>
          </w:tcPr>
          <w:p w14:paraId="2819D468" w14:textId="77777777" w:rsidR="004647B9" w:rsidRDefault="004647B9"/>
        </w:tc>
        <w:tc>
          <w:tcPr>
            <w:tcW w:w="4420" w:type="dxa"/>
            <w:vAlign w:val="bottom"/>
          </w:tcPr>
          <w:p w14:paraId="2819D469" w14:textId="77777777" w:rsidR="004647B9" w:rsidRDefault="00E2436F">
            <w:pPr>
              <w:rPr>
                <w:sz w:val="20"/>
                <w:szCs w:val="20"/>
              </w:rPr>
            </w:pPr>
            <w:r>
              <w:rPr>
                <w:rFonts w:eastAsia="Times New Roman"/>
                <w:sz w:val="18"/>
                <w:szCs w:val="18"/>
              </w:rPr>
              <w:t>Atomic Absorption; furnace</w:t>
            </w:r>
          </w:p>
        </w:tc>
        <w:tc>
          <w:tcPr>
            <w:tcW w:w="2180" w:type="dxa"/>
            <w:vAlign w:val="bottom"/>
          </w:tcPr>
          <w:p w14:paraId="2819D46A" w14:textId="77777777" w:rsidR="004647B9" w:rsidRDefault="00E2436F">
            <w:pPr>
              <w:ind w:left="840"/>
              <w:rPr>
                <w:sz w:val="20"/>
                <w:szCs w:val="20"/>
              </w:rPr>
            </w:pPr>
            <w:r>
              <w:rPr>
                <w:rFonts w:eastAsia="Times New Roman"/>
                <w:sz w:val="18"/>
                <w:szCs w:val="18"/>
              </w:rPr>
              <w:t>0.0002</w:t>
            </w:r>
          </w:p>
        </w:tc>
      </w:tr>
      <w:tr w:rsidR="004647B9" w14:paraId="2819D472" w14:textId="77777777">
        <w:trPr>
          <w:trHeight w:val="262"/>
        </w:trPr>
        <w:tc>
          <w:tcPr>
            <w:tcW w:w="1020" w:type="dxa"/>
            <w:vAlign w:val="bottom"/>
          </w:tcPr>
          <w:p w14:paraId="2819D46C" w14:textId="77777777" w:rsidR="004647B9" w:rsidRDefault="004647B9"/>
        </w:tc>
        <w:tc>
          <w:tcPr>
            <w:tcW w:w="860" w:type="dxa"/>
            <w:vAlign w:val="bottom"/>
          </w:tcPr>
          <w:p w14:paraId="2819D46D" w14:textId="77777777" w:rsidR="004647B9" w:rsidRDefault="004647B9"/>
        </w:tc>
        <w:tc>
          <w:tcPr>
            <w:tcW w:w="920" w:type="dxa"/>
            <w:vAlign w:val="bottom"/>
          </w:tcPr>
          <w:p w14:paraId="2819D46E" w14:textId="77777777" w:rsidR="004647B9" w:rsidRDefault="004647B9"/>
        </w:tc>
        <w:tc>
          <w:tcPr>
            <w:tcW w:w="800" w:type="dxa"/>
            <w:vAlign w:val="bottom"/>
          </w:tcPr>
          <w:p w14:paraId="2819D46F" w14:textId="77777777" w:rsidR="004647B9" w:rsidRDefault="004647B9"/>
        </w:tc>
        <w:tc>
          <w:tcPr>
            <w:tcW w:w="4420" w:type="dxa"/>
            <w:vAlign w:val="bottom"/>
          </w:tcPr>
          <w:p w14:paraId="2819D470" w14:textId="77777777" w:rsidR="004647B9" w:rsidRDefault="00E2436F">
            <w:pPr>
              <w:rPr>
                <w:sz w:val="20"/>
                <w:szCs w:val="20"/>
              </w:rPr>
            </w:pPr>
            <w:r>
              <w:rPr>
                <w:rFonts w:eastAsia="Times New Roman"/>
                <w:sz w:val="18"/>
                <w:szCs w:val="18"/>
              </w:rPr>
              <w:t>Atomic Absorption; platform</w:t>
            </w:r>
          </w:p>
        </w:tc>
        <w:tc>
          <w:tcPr>
            <w:tcW w:w="2180" w:type="dxa"/>
            <w:vAlign w:val="bottom"/>
          </w:tcPr>
          <w:p w14:paraId="2819D471" w14:textId="77777777" w:rsidR="004647B9" w:rsidRDefault="00E2436F">
            <w:pPr>
              <w:ind w:left="840"/>
              <w:rPr>
                <w:sz w:val="20"/>
                <w:szCs w:val="20"/>
              </w:rPr>
            </w:pPr>
            <w:r>
              <w:rPr>
                <w:rFonts w:eastAsia="Times New Roman"/>
                <w:sz w:val="18"/>
                <w:szCs w:val="18"/>
              </w:rPr>
              <w:t>0.00002</w:t>
            </w:r>
            <w:r>
              <w:rPr>
                <w:rFonts w:eastAsia="Times New Roman"/>
                <w:sz w:val="19"/>
                <w:szCs w:val="19"/>
                <w:vertAlign w:val="superscript"/>
              </w:rPr>
              <w:t>5</w:t>
            </w:r>
          </w:p>
        </w:tc>
      </w:tr>
      <w:tr w:rsidR="004647B9" w14:paraId="2819D479" w14:textId="77777777">
        <w:trPr>
          <w:trHeight w:val="262"/>
        </w:trPr>
        <w:tc>
          <w:tcPr>
            <w:tcW w:w="1020" w:type="dxa"/>
            <w:vAlign w:val="bottom"/>
          </w:tcPr>
          <w:p w14:paraId="2819D473" w14:textId="77777777" w:rsidR="004647B9" w:rsidRDefault="004647B9"/>
        </w:tc>
        <w:tc>
          <w:tcPr>
            <w:tcW w:w="860" w:type="dxa"/>
            <w:vAlign w:val="bottom"/>
          </w:tcPr>
          <w:p w14:paraId="2819D474" w14:textId="77777777" w:rsidR="004647B9" w:rsidRDefault="004647B9"/>
        </w:tc>
        <w:tc>
          <w:tcPr>
            <w:tcW w:w="920" w:type="dxa"/>
            <w:vAlign w:val="bottom"/>
          </w:tcPr>
          <w:p w14:paraId="2819D475" w14:textId="77777777" w:rsidR="004647B9" w:rsidRDefault="004647B9"/>
        </w:tc>
        <w:tc>
          <w:tcPr>
            <w:tcW w:w="800" w:type="dxa"/>
            <w:vAlign w:val="bottom"/>
          </w:tcPr>
          <w:p w14:paraId="2819D476" w14:textId="77777777" w:rsidR="004647B9" w:rsidRDefault="004647B9"/>
        </w:tc>
        <w:tc>
          <w:tcPr>
            <w:tcW w:w="4420" w:type="dxa"/>
            <w:vAlign w:val="bottom"/>
          </w:tcPr>
          <w:p w14:paraId="2819D477" w14:textId="77777777" w:rsidR="004647B9" w:rsidRDefault="00E2436F">
            <w:pPr>
              <w:rPr>
                <w:sz w:val="20"/>
                <w:szCs w:val="20"/>
              </w:rPr>
            </w:pPr>
            <w:r>
              <w:rPr>
                <w:rFonts w:eastAsia="Times New Roman"/>
                <w:sz w:val="18"/>
                <w:szCs w:val="18"/>
              </w:rPr>
              <w:t>Inductively Coupled Plasma</w:t>
            </w:r>
            <w:r>
              <w:rPr>
                <w:rFonts w:eastAsia="Times New Roman"/>
                <w:sz w:val="19"/>
                <w:szCs w:val="19"/>
                <w:vertAlign w:val="superscript"/>
              </w:rPr>
              <w:t>2</w:t>
            </w:r>
          </w:p>
        </w:tc>
        <w:tc>
          <w:tcPr>
            <w:tcW w:w="2180" w:type="dxa"/>
            <w:vAlign w:val="bottom"/>
          </w:tcPr>
          <w:p w14:paraId="2819D478" w14:textId="77777777" w:rsidR="004647B9" w:rsidRDefault="00E2436F">
            <w:pPr>
              <w:ind w:left="840"/>
              <w:rPr>
                <w:sz w:val="20"/>
                <w:szCs w:val="20"/>
              </w:rPr>
            </w:pPr>
            <w:r>
              <w:rPr>
                <w:rFonts w:eastAsia="Times New Roman"/>
                <w:sz w:val="18"/>
                <w:szCs w:val="18"/>
              </w:rPr>
              <w:t>0.0003</w:t>
            </w:r>
          </w:p>
        </w:tc>
      </w:tr>
      <w:tr w:rsidR="004647B9" w14:paraId="2819D480" w14:textId="77777777">
        <w:trPr>
          <w:trHeight w:val="262"/>
        </w:trPr>
        <w:tc>
          <w:tcPr>
            <w:tcW w:w="1020" w:type="dxa"/>
            <w:vAlign w:val="bottom"/>
          </w:tcPr>
          <w:p w14:paraId="2819D47A" w14:textId="77777777" w:rsidR="004647B9" w:rsidRDefault="004647B9"/>
        </w:tc>
        <w:tc>
          <w:tcPr>
            <w:tcW w:w="860" w:type="dxa"/>
            <w:vAlign w:val="bottom"/>
          </w:tcPr>
          <w:p w14:paraId="2819D47B" w14:textId="77777777" w:rsidR="004647B9" w:rsidRDefault="004647B9"/>
        </w:tc>
        <w:tc>
          <w:tcPr>
            <w:tcW w:w="920" w:type="dxa"/>
            <w:vAlign w:val="bottom"/>
          </w:tcPr>
          <w:p w14:paraId="2819D47C" w14:textId="77777777" w:rsidR="004647B9" w:rsidRDefault="004647B9"/>
        </w:tc>
        <w:tc>
          <w:tcPr>
            <w:tcW w:w="800" w:type="dxa"/>
            <w:vAlign w:val="bottom"/>
          </w:tcPr>
          <w:p w14:paraId="2819D47D" w14:textId="77777777" w:rsidR="004647B9" w:rsidRDefault="004647B9"/>
        </w:tc>
        <w:tc>
          <w:tcPr>
            <w:tcW w:w="4420" w:type="dxa"/>
            <w:vAlign w:val="bottom"/>
          </w:tcPr>
          <w:p w14:paraId="2819D47E" w14:textId="77777777" w:rsidR="004647B9" w:rsidRDefault="00E2436F">
            <w:pPr>
              <w:rPr>
                <w:sz w:val="20"/>
                <w:szCs w:val="20"/>
              </w:rPr>
            </w:pPr>
            <w:r>
              <w:rPr>
                <w:rFonts w:eastAsia="Times New Roman"/>
                <w:sz w:val="18"/>
                <w:szCs w:val="18"/>
              </w:rPr>
              <w:t>ICP-Mass Spectrometry</w:t>
            </w:r>
          </w:p>
        </w:tc>
        <w:tc>
          <w:tcPr>
            <w:tcW w:w="2180" w:type="dxa"/>
            <w:vAlign w:val="bottom"/>
          </w:tcPr>
          <w:p w14:paraId="2819D47F" w14:textId="77777777" w:rsidR="004647B9" w:rsidRDefault="004647B9"/>
        </w:tc>
      </w:tr>
      <w:tr w:rsidR="004647B9" w14:paraId="2819D486" w14:textId="77777777">
        <w:trPr>
          <w:trHeight w:val="262"/>
        </w:trPr>
        <w:tc>
          <w:tcPr>
            <w:tcW w:w="1020" w:type="dxa"/>
            <w:vAlign w:val="bottom"/>
          </w:tcPr>
          <w:p w14:paraId="2819D481" w14:textId="77777777" w:rsidR="004647B9" w:rsidRDefault="004647B9"/>
        </w:tc>
        <w:tc>
          <w:tcPr>
            <w:tcW w:w="1780" w:type="dxa"/>
            <w:gridSpan w:val="2"/>
            <w:vAlign w:val="bottom"/>
          </w:tcPr>
          <w:p w14:paraId="2819D482" w14:textId="77777777" w:rsidR="004647B9" w:rsidRDefault="00E2436F">
            <w:pPr>
              <w:ind w:left="860"/>
              <w:rPr>
                <w:sz w:val="20"/>
                <w:szCs w:val="20"/>
              </w:rPr>
            </w:pPr>
            <w:r>
              <w:rPr>
                <w:rFonts w:eastAsia="Times New Roman"/>
                <w:sz w:val="18"/>
                <w:szCs w:val="18"/>
              </w:rPr>
              <w:t>0.0003</w:t>
            </w:r>
          </w:p>
        </w:tc>
        <w:tc>
          <w:tcPr>
            <w:tcW w:w="800" w:type="dxa"/>
            <w:vAlign w:val="bottom"/>
          </w:tcPr>
          <w:p w14:paraId="2819D483" w14:textId="77777777" w:rsidR="004647B9" w:rsidRDefault="004647B9"/>
        </w:tc>
        <w:tc>
          <w:tcPr>
            <w:tcW w:w="4420" w:type="dxa"/>
            <w:vAlign w:val="bottom"/>
          </w:tcPr>
          <w:p w14:paraId="2819D484" w14:textId="77777777" w:rsidR="004647B9" w:rsidRDefault="004647B9"/>
        </w:tc>
        <w:tc>
          <w:tcPr>
            <w:tcW w:w="2180" w:type="dxa"/>
            <w:vAlign w:val="bottom"/>
          </w:tcPr>
          <w:p w14:paraId="2819D485" w14:textId="77777777" w:rsidR="004647B9" w:rsidRDefault="004647B9"/>
        </w:tc>
      </w:tr>
      <w:tr w:rsidR="004647B9" w14:paraId="2819D48C" w14:textId="77777777">
        <w:trPr>
          <w:trHeight w:val="262"/>
        </w:trPr>
        <w:tc>
          <w:tcPr>
            <w:tcW w:w="1020" w:type="dxa"/>
            <w:vAlign w:val="bottom"/>
          </w:tcPr>
          <w:p w14:paraId="2819D487" w14:textId="77777777" w:rsidR="004647B9" w:rsidRDefault="00E2436F">
            <w:pPr>
              <w:rPr>
                <w:sz w:val="20"/>
                <w:szCs w:val="20"/>
              </w:rPr>
            </w:pPr>
            <w:r>
              <w:rPr>
                <w:rFonts w:eastAsia="Times New Roman"/>
                <w:sz w:val="18"/>
                <w:szCs w:val="18"/>
              </w:rPr>
              <w:t>Cadmium</w:t>
            </w:r>
          </w:p>
        </w:tc>
        <w:tc>
          <w:tcPr>
            <w:tcW w:w="1780" w:type="dxa"/>
            <w:gridSpan w:val="2"/>
            <w:vAlign w:val="bottom"/>
          </w:tcPr>
          <w:p w14:paraId="2819D488" w14:textId="77777777" w:rsidR="004647B9" w:rsidRDefault="00E2436F">
            <w:pPr>
              <w:ind w:left="860"/>
              <w:rPr>
                <w:sz w:val="20"/>
                <w:szCs w:val="20"/>
              </w:rPr>
            </w:pPr>
            <w:r>
              <w:rPr>
                <w:rFonts w:eastAsia="Times New Roman"/>
                <w:sz w:val="18"/>
                <w:szCs w:val="18"/>
              </w:rPr>
              <w:t>0.005</w:t>
            </w:r>
          </w:p>
        </w:tc>
        <w:tc>
          <w:tcPr>
            <w:tcW w:w="800" w:type="dxa"/>
            <w:vAlign w:val="bottom"/>
          </w:tcPr>
          <w:p w14:paraId="2819D489" w14:textId="77777777" w:rsidR="004647B9" w:rsidRDefault="004647B9"/>
        </w:tc>
        <w:tc>
          <w:tcPr>
            <w:tcW w:w="4420" w:type="dxa"/>
            <w:vAlign w:val="bottom"/>
          </w:tcPr>
          <w:p w14:paraId="2819D48A" w14:textId="77777777" w:rsidR="004647B9" w:rsidRDefault="00E2436F">
            <w:pPr>
              <w:rPr>
                <w:sz w:val="20"/>
                <w:szCs w:val="20"/>
              </w:rPr>
            </w:pPr>
            <w:r>
              <w:rPr>
                <w:rFonts w:eastAsia="Times New Roman"/>
                <w:sz w:val="18"/>
                <w:szCs w:val="18"/>
              </w:rPr>
              <w:t>Atomic Absorption; furnace technique</w:t>
            </w:r>
          </w:p>
        </w:tc>
        <w:tc>
          <w:tcPr>
            <w:tcW w:w="2180" w:type="dxa"/>
            <w:vAlign w:val="bottom"/>
          </w:tcPr>
          <w:p w14:paraId="2819D48B" w14:textId="77777777" w:rsidR="004647B9" w:rsidRDefault="00E2436F">
            <w:pPr>
              <w:ind w:left="840"/>
              <w:rPr>
                <w:sz w:val="20"/>
                <w:szCs w:val="20"/>
              </w:rPr>
            </w:pPr>
            <w:r>
              <w:rPr>
                <w:rFonts w:eastAsia="Times New Roman"/>
                <w:sz w:val="18"/>
                <w:szCs w:val="18"/>
              </w:rPr>
              <w:t>0.0001</w:t>
            </w:r>
          </w:p>
        </w:tc>
      </w:tr>
      <w:tr w:rsidR="004647B9" w14:paraId="2819D493" w14:textId="77777777">
        <w:trPr>
          <w:trHeight w:val="262"/>
        </w:trPr>
        <w:tc>
          <w:tcPr>
            <w:tcW w:w="1020" w:type="dxa"/>
            <w:vAlign w:val="bottom"/>
          </w:tcPr>
          <w:p w14:paraId="2819D48D" w14:textId="77777777" w:rsidR="004647B9" w:rsidRDefault="004647B9"/>
        </w:tc>
        <w:tc>
          <w:tcPr>
            <w:tcW w:w="860" w:type="dxa"/>
            <w:vAlign w:val="bottom"/>
          </w:tcPr>
          <w:p w14:paraId="2819D48E" w14:textId="77777777" w:rsidR="004647B9" w:rsidRDefault="004647B9"/>
        </w:tc>
        <w:tc>
          <w:tcPr>
            <w:tcW w:w="920" w:type="dxa"/>
            <w:vAlign w:val="bottom"/>
          </w:tcPr>
          <w:p w14:paraId="2819D48F" w14:textId="77777777" w:rsidR="004647B9" w:rsidRDefault="004647B9"/>
        </w:tc>
        <w:tc>
          <w:tcPr>
            <w:tcW w:w="800" w:type="dxa"/>
            <w:vAlign w:val="bottom"/>
          </w:tcPr>
          <w:p w14:paraId="2819D490" w14:textId="77777777" w:rsidR="004647B9" w:rsidRDefault="004647B9"/>
        </w:tc>
        <w:tc>
          <w:tcPr>
            <w:tcW w:w="4420" w:type="dxa"/>
            <w:vAlign w:val="bottom"/>
          </w:tcPr>
          <w:p w14:paraId="2819D491" w14:textId="77777777" w:rsidR="004647B9" w:rsidRDefault="00E2436F">
            <w:pPr>
              <w:rPr>
                <w:sz w:val="20"/>
                <w:szCs w:val="20"/>
              </w:rPr>
            </w:pPr>
            <w:r>
              <w:rPr>
                <w:rFonts w:eastAsia="Times New Roman"/>
                <w:sz w:val="18"/>
                <w:szCs w:val="18"/>
              </w:rPr>
              <w:t>Inductively Coupled Plasma</w:t>
            </w:r>
          </w:p>
        </w:tc>
        <w:tc>
          <w:tcPr>
            <w:tcW w:w="2180" w:type="dxa"/>
            <w:vAlign w:val="bottom"/>
          </w:tcPr>
          <w:p w14:paraId="2819D492" w14:textId="77777777" w:rsidR="004647B9" w:rsidRDefault="00E2436F">
            <w:pPr>
              <w:ind w:left="840"/>
              <w:rPr>
                <w:sz w:val="20"/>
                <w:szCs w:val="20"/>
              </w:rPr>
            </w:pPr>
            <w:r>
              <w:rPr>
                <w:rFonts w:eastAsia="Times New Roman"/>
                <w:sz w:val="18"/>
                <w:szCs w:val="18"/>
              </w:rPr>
              <w:t>0.001</w:t>
            </w:r>
          </w:p>
        </w:tc>
      </w:tr>
      <w:tr w:rsidR="004647B9" w14:paraId="2819D499" w14:textId="77777777">
        <w:trPr>
          <w:trHeight w:val="262"/>
        </w:trPr>
        <w:tc>
          <w:tcPr>
            <w:tcW w:w="1020" w:type="dxa"/>
            <w:vAlign w:val="bottom"/>
          </w:tcPr>
          <w:p w14:paraId="2819D494" w14:textId="77777777" w:rsidR="004647B9" w:rsidRDefault="00E2436F">
            <w:pPr>
              <w:rPr>
                <w:sz w:val="20"/>
                <w:szCs w:val="20"/>
              </w:rPr>
            </w:pPr>
            <w:r>
              <w:rPr>
                <w:rFonts w:eastAsia="Times New Roman"/>
                <w:sz w:val="18"/>
                <w:szCs w:val="18"/>
              </w:rPr>
              <w:t>Chromium</w:t>
            </w:r>
          </w:p>
        </w:tc>
        <w:tc>
          <w:tcPr>
            <w:tcW w:w="1780" w:type="dxa"/>
            <w:gridSpan w:val="2"/>
            <w:vAlign w:val="bottom"/>
          </w:tcPr>
          <w:p w14:paraId="2819D495" w14:textId="77777777" w:rsidR="004647B9" w:rsidRDefault="00E2436F">
            <w:pPr>
              <w:ind w:left="860"/>
              <w:rPr>
                <w:sz w:val="20"/>
                <w:szCs w:val="20"/>
              </w:rPr>
            </w:pPr>
            <w:r>
              <w:rPr>
                <w:rFonts w:eastAsia="Times New Roman"/>
                <w:sz w:val="18"/>
                <w:szCs w:val="18"/>
              </w:rPr>
              <w:t>0.1</w:t>
            </w:r>
          </w:p>
        </w:tc>
        <w:tc>
          <w:tcPr>
            <w:tcW w:w="800" w:type="dxa"/>
            <w:vAlign w:val="bottom"/>
          </w:tcPr>
          <w:p w14:paraId="2819D496" w14:textId="77777777" w:rsidR="004647B9" w:rsidRDefault="004647B9"/>
        </w:tc>
        <w:tc>
          <w:tcPr>
            <w:tcW w:w="4420" w:type="dxa"/>
            <w:vAlign w:val="bottom"/>
          </w:tcPr>
          <w:p w14:paraId="2819D497" w14:textId="77777777" w:rsidR="004647B9" w:rsidRDefault="00E2436F">
            <w:pPr>
              <w:rPr>
                <w:sz w:val="20"/>
                <w:szCs w:val="20"/>
              </w:rPr>
            </w:pPr>
            <w:r>
              <w:rPr>
                <w:rFonts w:eastAsia="Times New Roman"/>
                <w:sz w:val="18"/>
                <w:szCs w:val="18"/>
              </w:rPr>
              <w:t>Atomic Absorption; furnace technique</w:t>
            </w:r>
          </w:p>
        </w:tc>
        <w:tc>
          <w:tcPr>
            <w:tcW w:w="2180" w:type="dxa"/>
            <w:vAlign w:val="bottom"/>
          </w:tcPr>
          <w:p w14:paraId="2819D498" w14:textId="77777777" w:rsidR="004647B9" w:rsidRDefault="00E2436F">
            <w:pPr>
              <w:ind w:left="840"/>
              <w:rPr>
                <w:sz w:val="20"/>
                <w:szCs w:val="20"/>
              </w:rPr>
            </w:pPr>
            <w:r>
              <w:rPr>
                <w:rFonts w:eastAsia="Times New Roman"/>
                <w:sz w:val="18"/>
                <w:szCs w:val="18"/>
              </w:rPr>
              <w:t>0.001</w:t>
            </w:r>
          </w:p>
        </w:tc>
      </w:tr>
      <w:tr w:rsidR="004647B9" w14:paraId="2819D4A0" w14:textId="77777777">
        <w:trPr>
          <w:trHeight w:val="262"/>
        </w:trPr>
        <w:tc>
          <w:tcPr>
            <w:tcW w:w="1020" w:type="dxa"/>
            <w:vAlign w:val="bottom"/>
          </w:tcPr>
          <w:p w14:paraId="2819D49A" w14:textId="77777777" w:rsidR="004647B9" w:rsidRDefault="004647B9"/>
        </w:tc>
        <w:tc>
          <w:tcPr>
            <w:tcW w:w="860" w:type="dxa"/>
            <w:vAlign w:val="bottom"/>
          </w:tcPr>
          <w:p w14:paraId="2819D49B" w14:textId="77777777" w:rsidR="004647B9" w:rsidRDefault="004647B9"/>
        </w:tc>
        <w:tc>
          <w:tcPr>
            <w:tcW w:w="920" w:type="dxa"/>
            <w:vAlign w:val="bottom"/>
          </w:tcPr>
          <w:p w14:paraId="2819D49C" w14:textId="77777777" w:rsidR="004647B9" w:rsidRDefault="004647B9"/>
        </w:tc>
        <w:tc>
          <w:tcPr>
            <w:tcW w:w="800" w:type="dxa"/>
            <w:vAlign w:val="bottom"/>
          </w:tcPr>
          <w:p w14:paraId="2819D49D" w14:textId="77777777" w:rsidR="004647B9" w:rsidRDefault="004647B9"/>
        </w:tc>
        <w:tc>
          <w:tcPr>
            <w:tcW w:w="4420" w:type="dxa"/>
            <w:vAlign w:val="bottom"/>
          </w:tcPr>
          <w:p w14:paraId="2819D49E" w14:textId="77777777" w:rsidR="004647B9" w:rsidRDefault="00E2436F">
            <w:pPr>
              <w:rPr>
                <w:sz w:val="20"/>
                <w:szCs w:val="20"/>
              </w:rPr>
            </w:pPr>
            <w:r>
              <w:rPr>
                <w:rFonts w:eastAsia="Times New Roman"/>
                <w:sz w:val="18"/>
                <w:szCs w:val="18"/>
              </w:rPr>
              <w:t>Inductively Coupled Plasma</w:t>
            </w:r>
          </w:p>
        </w:tc>
        <w:tc>
          <w:tcPr>
            <w:tcW w:w="2180" w:type="dxa"/>
            <w:vAlign w:val="bottom"/>
          </w:tcPr>
          <w:p w14:paraId="2819D49F" w14:textId="77777777" w:rsidR="004647B9" w:rsidRDefault="00E2436F">
            <w:pPr>
              <w:ind w:left="840"/>
              <w:rPr>
                <w:sz w:val="20"/>
                <w:szCs w:val="20"/>
              </w:rPr>
            </w:pPr>
            <w:r>
              <w:rPr>
                <w:rFonts w:eastAsia="Times New Roman"/>
                <w:sz w:val="18"/>
                <w:szCs w:val="18"/>
              </w:rPr>
              <w:t>0.007</w:t>
            </w:r>
          </w:p>
        </w:tc>
      </w:tr>
      <w:tr w:rsidR="004647B9" w14:paraId="2819D4A7" w14:textId="77777777">
        <w:trPr>
          <w:trHeight w:val="262"/>
        </w:trPr>
        <w:tc>
          <w:tcPr>
            <w:tcW w:w="1020" w:type="dxa"/>
            <w:vAlign w:val="bottom"/>
          </w:tcPr>
          <w:p w14:paraId="2819D4A1" w14:textId="77777777" w:rsidR="004647B9" w:rsidRDefault="004647B9"/>
        </w:tc>
        <w:tc>
          <w:tcPr>
            <w:tcW w:w="860" w:type="dxa"/>
            <w:vAlign w:val="bottom"/>
          </w:tcPr>
          <w:p w14:paraId="2819D4A2" w14:textId="77777777" w:rsidR="004647B9" w:rsidRDefault="004647B9"/>
        </w:tc>
        <w:tc>
          <w:tcPr>
            <w:tcW w:w="920" w:type="dxa"/>
            <w:vAlign w:val="bottom"/>
          </w:tcPr>
          <w:p w14:paraId="2819D4A3" w14:textId="77777777" w:rsidR="004647B9" w:rsidRDefault="004647B9"/>
        </w:tc>
        <w:tc>
          <w:tcPr>
            <w:tcW w:w="800" w:type="dxa"/>
            <w:vAlign w:val="bottom"/>
          </w:tcPr>
          <w:p w14:paraId="2819D4A4" w14:textId="77777777" w:rsidR="004647B9" w:rsidRDefault="004647B9"/>
        </w:tc>
        <w:tc>
          <w:tcPr>
            <w:tcW w:w="4420" w:type="dxa"/>
            <w:vAlign w:val="bottom"/>
          </w:tcPr>
          <w:p w14:paraId="2819D4A5" w14:textId="77777777" w:rsidR="004647B9" w:rsidRDefault="004647B9"/>
        </w:tc>
        <w:tc>
          <w:tcPr>
            <w:tcW w:w="2180" w:type="dxa"/>
            <w:vAlign w:val="bottom"/>
          </w:tcPr>
          <w:p w14:paraId="2819D4A6" w14:textId="77777777" w:rsidR="004647B9" w:rsidRDefault="00E2436F">
            <w:pPr>
              <w:ind w:left="780"/>
              <w:rPr>
                <w:sz w:val="20"/>
                <w:szCs w:val="20"/>
              </w:rPr>
            </w:pPr>
            <w:r>
              <w:rPr>
                <w:rFonts w:eastAsia="Times New Roman"/>
                <w:sz w:val="18"/>
                <w:szCs w:val="18"/>
              </w:rPr>
              <w:t>(0.001)</w:t>
            </w:r>
          </w:p>
        </w:tc>
      </w:tr>
      <w:tr w:rsidR="004647B9" w14:paraId="2819D4AD" w14:textId="77777777">
        <w:trPr>
          <w:trHeight w:val="262"/>
        </w:trPr>
        <w:tc>
          <w:tcPr>
            <w:tcW w:w="1020" w:type="dxa"/>
            <w:vAlign w:val="bottom"/>
          </w:tcPr>
          <w:p w14:paraId="2819D4A8" w14:textId="77777777" w:rsidR="004647B9" w:rsidRDefault="00E2436F">
            <w:pPr>
              <w:rPr>
                <w:sz w:val="20"/>
                <w:szCs w:val="20"/>
              </w:rPr>
            </w:pPr>
            <w:r>
              <w:rPr>
                <w:rFonts w:eastAsia="Times New Roman"/>
                <w:sz w:val="18"/>
                <w:szCs w:val="18"/>
              </w:rPr>
              <w:t>Cyanide</w:t>
            </w:r>
          </w:p>
        </w:tc>
        <w:tc>
          <w:tcPr>
            <w:tcW w:w="1780" w:type="dxa"/>
            <w:gridSpan w:val="2"/>
            <w:vAlign w:val="bottom"/>
          </w:tcPr>
          <w:p w14:paraId="2819D4A9" w14:textId="77777777" w:rsidR="004647B9" w:rsidRDefault="00E2436F">
            <w:pPr>
              <w:ind w:left="860"/>
              <w:rPr>
                <w:sz w:val="20"/>
                <w:szCs w:val="20"/>
              </w:rPr>
            </w:pPr>
            <w:r>
              <w:rPr>
                <w:rFonts w:eastAsia="Times New Roman"/>
                <w:sz w:val="18"/>
                <w:szCs w:val="18"/>
              </w:rPr>
              <w:t>0.2</w:t>
            </w:r>
          </w:p>
        </w:tc>
        <w:tc>
          <w:tcPr>
            <w:tcW w:w="800" w:type="dxa"/>
            <w:vAlign w:val="bottom"/>
          </w:tcPr>
          <w:p w14:paraId="2819D4AA" w14:textId="77777777" w:rsidR="004647B9" w:rsidRDefault="004647B9"/>
        </w:tc>
        <w:tc>
          <w:tcPr>
            <w:tcW w:w="4420" w:type="dxa"/>
            <w:vAlign w:val="bottom"/>
          </w:tcPr>
          <w:p w14:paraId="2819D4AB" w14:textId="77777777" w:rsidR="004647B9" w:rsidRDefault="00E2436F">
            <w:pPr>
              <w:rPr>
                <w:sz w:val="20"/>
                <w:szCs w:val="20"/>
              </w:rPr>
            </w:pPr>
            <w:r>
              <w:rPr>
                <w:rFonts w:eastAsia="Times New Roman"/>
                <w:sz w:val="18"/>
                <w:szCs w:val="18"/>
              </w:rPr>
              <w:t>Distillation, Spectrophotometric</w:t>
            </w:r>
            <w:r>
              <w:rPr>
                <w:rFonts w:eastAsia="Times New Roman"/>
                <w:sz w:val="19"/>
                <w:szCs w:val="19"/>
                <w:vertAlign w:val="superscript"/>
              </w:rPr>
              <w:t>3</w:t>
            </w:r>
          </w:p>
        </w:tc>
        <w:tc>
          <w:tcPr>
            <w:tcW w:w="2180" w:type="dxa"/>
            <w:vAlign w:val="bottom"/>
          </w:tcPr>
          <w:p w14:paraId="2819D4AC" w14:textId="77777777" w:rsidR="004647B9" w:rsidRDefault="00E2436F">
            <w:pPr>
              <w:ind w:left="840"/>
              <w:rPr>
                <w:sz w:val="20"/>
                <w:szCs w:val="20"/>
              </w:rPr>
            </w:pPr>
            <w:r>
              <w:rPr>
                <w:rFonts w:eastAsia="Times New Roman"/>
                <w:sz w:val="18"/>
                <w:szCs w:val="18"/>
              </w:rPr>
              <w:t>0.02</w:t>
            </w:r>
          </w:p>
        </w:tc>
      </w:tr>
      <w:tr w:rsidR="004647B9" w14:paraId="2819D4B4" w14:textId="77777777">
        <w:trPr>
          <w:trHeight w:val="262"/>
        </w:trPr>
        <w:tc>
          <w:tcPr>
            <w:tcW w:w="1020" w:type="dxa"/>
            <w:vAlign w:val="bottom"/>
          </w:tcPr>
          <w:p w14:paraId="2819D4AE" w14:textId="77777777" w:rsidR="004647B9" w:rsidRDefault="004647B9"/>
        </w:tc>
        <w:tc>
          <w:tcPr>
            <w:tcW w:w="860" w:type="dxa"/>
            <w:vAlign w:val="bottom"/>
          </w:tcPr>
          <w:p w14:paraId="2819D4AF" w14:textId="77777777" w:rsidR="004647B9" w:rsidRDefault="004647B9"/>
        </w:tc>
        <w:tc>
          <w:tcPr>
            <w:tcW w:w="920" w:type="dxa"/>
            <w:vAlign w:val="bottom"/>
          </w:tcPr>
          <w:p w14:paraId="2819D4B0" w14:textId="77777777" w:rsidR="004647B9" w:rsidRDefault="004647B9"/>
        </w:tc>
        <w:tc>
          <w:tcPr>
            <w:tcW w:w="800" w:type="dxa"/>
            <w:vAlign w:val="bottom"/>
          </w:tcPr>
          <w:p w14:paraId="2819D4B1" w14:textId="77777777" w:rsidR="004647B9" w:rsidRDefault="004647B9"/>
        </w:tc>
        <w:tc>
          <w:tcPr>
            <w:tcW w:w="4420" w:type="dxa"/>
            <w:vAlign w:val="bottom"/>
          </w:tcPr>
          <w:p w14:paraId="2819D4B2" w14:textId="77777777" w:rsidR="004647B9" w:rsidRDefault="00E2436F">
            <w:pPr>
              <w:rPr>
                <w:sz w:val="20"/>
                <w:szCs w:val="20"/>
              </w:rPr>
            </w:pPr>
            <w:r>
              <w:rPr>
                <w:rFonts w:eastAsia="Times New Roman"/>
                <w:sz w:val="18"/>
                <w:szCs w:val="18"/>
              </w:rPr>
              <w:t>Distillation, Automated, Spectrophotometric</w:t>
            </w:r>
            <w:r>
              <w:rPr>
                <w:rFonts w:eastAsia="Times New Roman"/>
                <w:sz w:val="19"/>
                <w:szCs w:val="19"/>
                <w:vertAlign w:val="superscript"/>
              </w:rPr>
              <w:t>3</w:t>
            </w:r>
          </w:p>
        </w:tc>
        <w:tc>
          <w:tcPr>
            <w:tcW w:w="2180" w:type="dxa"/>
            <w:vAlign w:val="bottom"/>
          </w:tcPr>
          <w:p w14:paraId="2819D4B3" w14:textId="77777777" w:rsidR="004647B9" w:rsidRDefault="00E2436F">
            <w:pPr>
              <w:ind w:left="840"/>
              <w:rPr>
                <w:sz w:val="20"/>
                <w:szCs w:val="20"/>
              </w:rPr>
            </w:pPr>
            <w:r>
              <w:rPr>
                <w:rFonts w:eastAsia="Times New Roman"/>
                <w:sz w:val="18"/>
                <w:szCs w:val="18"/>
              </w:rPr>
              <w:t>0.005</w:t>
            </w:r>
          </w:p>
        </w:tc>
      </w:tr>
      <w:tr w:rsidR="004647B9" w14:paraId="2819D4BB" w14:textId="77777777">
        <w:trPr>
          <w:trHeight w:val="262"/>
        </w:trPr>
        <w:tc>
          <w:tcPr>
            <w:tcW w:w="1020" w:type="dxa"/>
            <w:vAlign w:val="bottom"/>
          </w:tcPr>
          <w:p w14:paraId="2819D4B5" w14:textId="77777777" w:rsidR="004647B9" w:rsidRDefault="004647B9"/>
        </w:tc>
        <w:tc>
          <w:tcPr>
            <w:tcW w:w="860" w:type="dxa"/>
            <w:vAlign w:val="bottom"/>
          </w:tcPr>
          <w:p w14:paraId="2819D4B6" w14:textId="77777777" w:rsidR="004647B9" w:rsidRDefault="004647B9"/>
        </w:tc>
        <w:tc>
          <w:tcPr>
            <w:tcW w:w="920" w:type="dxa"/>
            <w:vAlign w:val="bottom"/>
          </w:tcPr>
          <w:p w14:paraId="2819D4B7" w14:textId="77777777" w:rsidR="004647B9" w:rsidRDefault="004647B9"/>
        </w:tc>
        <w:tc>
          <w:tcPr>
            <w:tcW w:w="800" w:type="dxa"/>
            <w:vAlign w:val="bottom"/>
          </w:tcPr>
          <w:p w14:paraId="2819D4B8" w14:textId="77777777" w:rsidR="004647B9" w:rsidRDefault="004647B9"/>
        </w:tc>
        <w:tc>
          <w:tcPr>
            <w:tcW w:w="4420" w:type="dxa"/>
            <w:vAlign w:val="bottom"/>
          </w:tcPr>
          <w:p w14:paraId="2819D4B9" w14:textId="77777777" w:rsidR="004647B9" w:rsidRDefault="00E2436F">
            <w:pPr>
              <w:rPr>
                <w:sz w:val="20"/>
                <w:szCs w:val="20"/>
              </w:rPr>
            </w:pPr>
            <w:r>
              <w:rPr>
                <w:rFonts w:eastAsia="Times New Roman"/>
                <w:sz w:val="18"/>
                <w:szCs w:val="18"/>
              </w:rPr>
              <w:t xml:space="preserve">Distillation, Selective Electrode </w:t>
            </w:r>
            <w:r>
              <w:rPr>
                <w:rFonts w:eastAsia="Times New Roman"/>
                <w:sz w:val="19"/>
                <w:szCs w:val="19"/>
                <w:vertAlign w:val="superscript"/>
              </w:rPr>
              <w:t>3, 4</w:t>
            </w:r>
          </w:p>
        </w:tc>
        <w:tc>
          <w:tcPr>
            <w:tcW w:w="2180" w:type="dxa"/>
            <w:vAlign w:val="bottom"/>
          </w:tcPr>
          <w:p w14:paraId="2819D4BA" w14:textId="77777777" w:rsidR="004647B9" w:rsidRDefault="00E2436F">
            <w:pPr>
              <w:ind w:left="840"/>
              <w:rPr>
                <w:sz w:val="20"/>
                <w:szCs w:val="20"/>
              </w:rPr>
            </w:pPr>
            <w:r>
              <w:rPr>
                <w:rFonts w:eastAsia="Times New Roman"/>
                <w:sz w:val="18"/>
                <w:szCs w:val="18"/>
              </w:rPr>
              <w:t>0.05</w:t>
            </w:r>
          </w:p>
        </w:tc>
      </w:tr>
      <w:tr w:rsidR="004647B9" w14:paraId="2819D4C2" w14:textId="77777777">
        <w:trPr>
          <w:trHeight w:val="262"/>
        </w:trPr>
        <w:tc>
          <w:tcPr>
            <w:tcW w:w="1020" w:type="dxa"/>
            <w:vAlign w:val="bottom"/>
          </w:tcPr>
          <w:p w14:paraId="2819D4BC" w14:textId="77777777" w:rsidR="004647B9" w:rsidRDefault="004647B9"/>
        </w:tc>
        <w:tc>
          <w:tcPr>
            <w:tcW w:w="860" w:type="dxa"/>
            <w:vAlign w:val="bottom"/>
          </w:tcPr>
          <w:p w14:paraId="2819D4BD" w14:textId="77777777" w:rsidR="004647B9" w:rsidRDefault="004647B9"/>
        </w:tc>
        <w:tc>
          <w:tcPr>
            <w:tcW w:w="920" w:type="dxa"/>
            <w:vAlign w:val="bottom"/>
          </w:tcPr>
          <w:p w14:paraId="2819D4BE" w14:textId="77777777" w:rsidR="004647B9" w:rsidRDefault="004647B9"/>
        </w:tc>
        <w:tc>
          <w:tcPr>
            <w:tcW w:w="800" w:type="dxa"/>
            <w:vAlign w:val="bottom"/>
          </w:tcPr>
          <w:p w14:paraId="2819D4BF" w14:textId="77777777" w:rsidR="004647B9" w:rsidRDefault="004647B9"/>
        </w:tc>
        <w:tc>
          <w:tcPr>
            <w:tcW w:w="4420" w:type="dxa"/>
            <w:vAlign w:val="bottom"/>
          </w:tcPr>
          <w:p w14:paraId="2819D4C0" w14:textId="77777777" w:rsidR="004647B9" w:rsidRDefault="00E2436F">
            <w:pPr>
              <w:rPr>
                <w:sz w:val="20"/>
                <w:szCs w:val="20"/>
              </w:rPr>
            </w:pPr>
            <w:r>
              <w:rPr>
                <w:rFonts w:eastAsia="Times New Roman"/>
                <w:sz w:val="18"/>
                <w:szCs w:val="18"/>
              </w:rPr>
              <w:t xml:space="preserve">Distillation, Amenable, Spectrophotometric </w:t>
            </w:r>
            <w:r>
              <w:rPr>
                <w:rFonts w:eastAsia="Times New Roman"/>
                <w:sz w:val="19"/>
                <w:szCs w:val="19"/>
                <w:vertAlign w:val="superscript"/>
              </w:rPr>
              <w:t>4</w:t>
            </w:r>
          </w:p>
        </w:tc>
        <w:tc>
          <w:tcPr>
            <w:tcW w:w="2180" w:type="dxa"/>
            <w:vAlign w:val="bottom"/>
          </w:tcPr>
          <w:p w14:paraId="2819D4C1" w14:textId="77777777" w:rsidR="004647B9" w:rsidRDefault="00E2436F">
            <w:pPr>
              <w:ind w:left="840"/>
              <w:rPr>
                <w:sz w:val="20"/>
                <w:szCs w:val="20"/>
              </w:rPr>
            </w:pPr>
            <w:r>
              <w:rPr>
                <w:rFonts w:eastAsia="Times New Roman"/>
                <w:sz w:val="18"/>
                <w:szCs w:val="18"/>
              </w:rPr>
              <w:t>0.02</w:t>
            </w:r>
          </w:p>
        </w:tc>
      </w:tr>
      <w:tr w:rsidR="004647B9" w14:paraId="2819D4C9" w14:textId="77777777">
        <w:trPr>
          <w:trHeight w:val="262"/>
        </w:trPr>
        <w:tc>
          <w:tcPr>
            <w:tcW w:w="1020" w:type="dxa"/>
            <w:vAlign w:val="bottom"/>
          </w:tcPr>
          <w:p w14:paraId="2819D4C3" w14:textId="77777777" w:rsidR="004647B9" w:rsidRDefault="004647B9"/>
        </w:tc>
        <w:tc>
          <w:tcPr>
            <w:tcW w:w="860" w:type="dxa"/>
            <w:vAlign w:val="bottom"/>
          </w:tcPr>
          <w:p w14:paraId="2819D4C4" w14:textId="77777777" w:rsidR="004647B9" w:rsidRDefault="004647B9"/>
        </w:tc>
        <w:tc>
          <w:tcPr>
            <w:tcW w:w="920" w:type="dxa"/>
            <w:vAlign w:val="bottom"/>
          </w:tcPr>
          <w:p w14:paraId="2819D4C5" w14:textId="77777777" w:rsidR="004647B9" w:rsidRDefault="004647B9"/>
        </w:tc>
        <w:tc>
          <w:tcPr>
            <w:tcW w:w="800" w:type="dxa"/>
            <w:vAlign w:val="bottom"/>
          </w:tcPr>
          <w:p w14:paraId="2819D4C6" w14:textId="77777777" w:rsidR="004647B9" w:rsidRDefault="004647B9"/>
        </w:tc>
        <w:tc>
          <w:tcPr>
            <w:tcW w:w="4420" w:type="dxa"/>
            <w:vAlign w:val="bottom"/>
          </w:tcPr>
          <w:p w14:paraId="2819D4C7" w14:textId="77777777" w:rsidR="004647B9" w:rsidRDefault="00E2436F">
            <w:pPr>
              <w:rPr>
                <w:sz w:val="20"/>
                <w:szCs w:val="20"/>
              </w:rPr>
            </w:pPr>
            <w:r>
              <w:rPr>
                <w:rFonts w:eastAsia="Times New Roman"/>
                <w:sz w:val="18"/>
                <w:szCs w:val="18"/>
              </w:rPr>
              <w:t>UV, Distillation, Spectrophotometric</w:t>
            </w:r>
            <w:r>
              <w:rPr>
                <w:rFonts w:eastAsia="Times New Roman"/>
                <w:sz w:val="19"/>
                <w:szCs w:val="19"/>
                <w:vertAlign w:val="superscript"/>
              </w:rPr>
              <w:t>11</w:t>
            </w:r>
          </w:p>
        </w:tc>
        <w:tc>
          <w:tcPr>
            <w:tcW w:w="2180" w:type="dxa"/>
            <w:vAlign w:val="bottom"/>
          </w:tcPr>
          <w:p w14:paraId="2819D4C8" w14:textId="77777777" w:rsidR="004647B9" w:rsidRDefault="00E2436F">
            <w:pPr>
              <w:ind w:left="840"/>
              <w:rPr>
                <w:sz w:val="20"/>
                <w:szCs w:val="20"/>
              </w:rPr>
            </w:pPr>
            <w:r>
              <w:rPr>
                <w:rFonts w:eastAsia="Times New Roman"/>
                <w:sz w:val="18"/>
                <w:szCs w:val="18"/>
              </w:rPr>
              <w:t>0.0005</w:t>
            </w:r>
          </w:p>
        </w:tc>
      </w:tr>
      <w:tr w:rsidR="004647B9" w14:paraId="2819D4D0" w14:textId="77777777">
        <w:trPr>
          <w:trHeight w:val="262"/>
        </w:trPr>
        <w:tc>
          <w:tcPr>
            <w:tcW w:w="1020" w:type="dxa"/>
            <w:vAlign w:val="bottom"/>
          </w:tcPr>
          <w:p w14:paraId="2819D4CA" w14:textId="77777777" w:rsidR="004647B9" w:rsidRDefault="004647B9"/>
        </w:tc>
        <w:tc>
          <w:tcPr>
            <w:tcW w:w="860" w:type="dxa"/>
            <w:vAlign w:val="bottom"/>
          </w:tcPr>
          <w:p w14:paraId="2819D4CB" w14:textId="77777777" w:rsidR="004647B9" w:rsidRDefault="004647B9"/>
        </w:tc>
        <w:tc>
          <w:tcPr>
            <w:tcW w:w="920" w:type="dxa"/>
            <w:vAlign w:val="bottom"/>
          </w:tcPr>
          <w:p w14:paraId="2819D4CC" w14:textId="77777777" w:rsidR="004647B9" w:rsidRDefault="004647B9"/>
        </w:tc>
        <w:tc>
          <w:tcPr>
            <w:tcW w:w="800" w:type="dxa"/>
            <w:vAlign w:val="bottom"/>
          </w:tcPr>
          <w:p w14:paraId="2819D4CD" w14:textId="77777777" w:rsidR="004647B9" w:rsidRDefault="004647B9"/>
        </w:tc>
        <w:tc>
          <w:tcPr>
            <w:tcW w:w="4420" w:type="dxa"/>
            <w:vAlign w:val="bottom"/>
          </w:tcPr>
          <w:p w14:paraId="2819D4CE" w14:textId="77777777" w:rsidR="004647B9" w:rsidRDefault="00E2436F">
            <w:pPr>
              <w:rPr>
                <w:sz w:val="20"/>
                <w:szCs w:val="20"/>
              </w:rPr>
            </w:pPr>
            <w:r>
              <w:rPr>
                <w:rFonts w:eastAsia="Times New Roman"/>
                <w:sz w:val="18"/>
                <w:szCs w:val="18"/>
              </w:rPr>
              <w:t>Micro Distillation, Flow Injection,</w:t>
            </w:r>
          </w:p>
        </w:tc>
        <w:tc>
          <w:tcPr>
            <w:tcW w:w="2180" w:type="dxa"/>
            <w:vAlign w:val="bottom"/>
          </w:tcPr>
          <w:p w14:paraId="2819D4CF" w14:textId="77777777" w:rsidR="004647B9" w:rsidRDefault="004647B9"/>
        </w:tc>
      </w:tr>
      <w:tr w:rsidR="004647B9" w14:paraId="2819D4D7" w14:textId="77777777">
        <w:trPr>
          <w:trHeight w:val="262"/>
        </w:trPr>
        <w:tc>
          <w:tcPr>
            <w:tcW w:w="1020" w:type="dxa"/>
            <w:vAlign w:val="bottom"/>
          </w:tcPr>
          <w:p w14:paraId="2819D4D1" w14:textId="77777777" w:rsidR="004647B9" w:rsidRDefault="004647B9"/>
        </w:tc>
        <w:tc>
          <w:tcPr>
            <w:tcW w:w="860" w:type="dxa"/>
            <w:vAlign w:val="bottom"/>
          </w:tcPr>
          <w:p w14:paraId="2819D4D2" w14:textId="77777777" w:rsidR="004647B9" w:rsidRDefault="004647B9"/>
        </w:tc>
        <w:tc>
          <w:tcPr>
            <w:tcW w:w="920" w:type="dxa"/>
            <w:vAlign w:val="bottom"/>
          </w:tcPr>
          <w:p w14:paraId="2819D4D3" w14:textId="77777777" w:rsidR="004647B9" w:rsidRDefault="004647B9"/>
        </w:tc>
        <w:tc>
          <w:tcPr>
            <w:tcW w:w="800" w:type="dxa"/>
            <w:vAlign w:val="bottom"/>
          </w:tcPr>
          <w:p w14:paraId="2819D4D4" w14:textId="77777777" w:rsidR="004647B9" w:rsidRDefault="004647B9"/>
        </w:tc>
        <w:tc>
          <w:tcPr>
            <w:tcW w:w="4420" w:type="dxa"/>
            <w:vAlign w:val="bottom"/>
          </w:tcPr>
          <w:p w14:paraId="2819D4D5" w14:textId="77777777" w:rsidR="004647B9" w:rsidRDefault="00E2436F">
            <w:pPr>
              <w:rPr>
                <w:sz w:val="20"/>
                <w:szCs w:val="20"/>
              </w:rPr>
            </w:pPr>
            <w:r>
              <w:rPr>
                <w:rFonts w:eastAsia="Times New Roman"/>
                <w:sz w:val="18"/>
                <w:szCs w:val="18"/>
              </w:rPr>
              <w:t>Spectrophotometric</w:t>
            </w:r>
            <w:r>
              <w:rPr>
                <w:rFonts w:eastAsia="Times New Roman"/>
                <w:sz w:val="19"/>
                <w:szCs w:val="19"/>
                <w:vertAlign w:val="superscript"/>
              </w:rPr>
              <w:t>3</w:t>
            </w:r>
          </w:p>
        </w:tc>
        <w:tc>
          <w:tcPr>
            <w:tcW w:w="2180" w:type="dxa"/>
            <w:vAlign w:val="bottom"/>
          </w:tcPr>
          <w:p w14:paraId="2819D4D6" w14:textId="77777777" w:rsidR="004647B9" w:rsidRDefault="00E2436F">
            <w:pPr>
              <w:ind w:left="840"/>
              <w:rPr>
                <w:sz w:val="20"/>
                <w:szCs w:val="20"/>
              </w:rPr>
            </w:pPr>
            <w:r>
              <w:rPr>
                <w:rFonts w:eastAsia="Times New Roman"/>
                <w:sz w:val="18"/>
                <w:szCs w:val="18"/>
              </w:rPr>
              <w:t>0.0006</w:t>
            </w:r>
          </w:p>
        </w:tc>
      </w:tr>
      <w:tr w:rsidR="004647B9" w14:paraId="2819D4DE" w14:textId="77777777">
        <w:trPr>
          <w:trHeight w:val="262"/>
        </w:trPr>
        <w:tc>
          <w:tcPr>
            <w:tcW w:w="1020" w:type="dxa"/>
            <w:vAlign w:val="bottom"/>
          </w:tcPr>
          <w:p w14:paraId="2819D4D8" w14:textId="77777777" w:rsidR="004647B9" w:rsidRDefault="004647B9"/>
        </w:tc>
        <w:tc>
          <w:tcPr>
            <w:tcW w:w="860" w:type="dxa"/>
            <w:vAlign w:val="bottom"/>
          </w:tcPr>
          <w:p w14:paraId="2819D4D9" w14:textId="77777777" w:rsidR="004647B9" w:rsidRDefault="004647B9"/>
        </w:tc>
        <w:tc>
          <w:tcPr>
            <w:tcW w:w="920" w:type="dxa"/>
            <w:vAlign w:val="bottom"/>
          </w:tcPr>
          <w:p w14:paraId="2819D4DA" w14:textId="77777777" w:rsidR="004647B9" w:rsidRDefault="004647B9"/>
        </w:tc>
        <w:tc>
          <w:tcPr>
            <w:tcW w:w="800" w:type="dxa"/>
            <w:vAlign w:val="bottom"/>
          </w:tcPr>
          <w:p w14:paraId="2819D4DB" w14:textId="77777777" w:rsidR="004647B9" w:rsidRDefault="004647B9"/>
        </w:tc>
        <w:tc>
          <w:tcPr>
            <w:tcW w:w="4420" w:type="dxa"/>
            <w:vAlign w:val="bottom"/>
          </w:tcPr>
          <w:p w14:paraId="2819D4DC" w14:textId="77777777" w:rsidR="004647B9" w:rsidRDefault="00E2436F">
            <w:pPr>
              <w:rPr>
                <w:sz w:val="20"/>
                <w:szCs w:val="20"/>
              </w:rPr>
            </w:pPr>
            <w:r>
              <w:rPr>
                <w:rFonts w:eastAsia="Times New Roman"/>
                <w:sz w:val="18"/>
                <w:szCs w:val="18"/>
              </w:rPr>
              <w:t>Ligand Exchange with Amperometry</w:t>
            </w:r>
            <w:r>
              <w:rPr>
                <w:rFonts w:eastAsia="Times New Roman"/>
                <w:sz w:val="19"/>
                <w:szCs w:val="19"/>
                <w:vertAlign w:val="superscript"/>
              </w:rPr>
              <w:t>4</w:t>
            </w:r>
          </w:p>
        </w:tc>
        <w:tc>
          <w:tcPr>
            <w:tcW w:w="2180" w:type="dxa"/>
            <w:vAlign w:val="bottom"/>
          </w:tcPr>
          <w:p w14:paraId="2819D4DD" w14:textId="77777777" w:rsidR="004647B9" w:rsidRDefault="00E2436F">
            <w:pPr>
              <w:ind w:left="840"/>
              <w:rPr>
                <w:sz w:val="20"/>
                <w:szCs w:val="20"/>
              </w:rPr>
            </w:pPr>
            <w:r>
              <w:rPr>
                <w:rFonts w:eastAsia="Times New Roman"/>
                <w:sz w:val="18"/>
                <w:szCs w:val="18"/>
              </w:rPr>
              <w:t>0.0005</w:t>
            </w:r>
          </w:p>
        </w:tc>
      </w:tr>
      <w:tr w:rsidR="004647B9" w14:paraId="2819D4E4" w14:textId="77777777">
        <w:trPr>
          <w:trHeight w:val="262"/>
        </w:trPr>
        <w:tc>
          <w:tcPr>
            <w:tcW w:w="1020" w:type="dxa"/>
            <w:vAlign w:val="bottom"/>
          </w:tcPr>
          <w:p w14:paraId="2819D4DF" w14:textId="77777777" w:rsidR="004647B9" w:rsidRDefault="00E2436F">
            <w:pPr>
              <w:rPr>
                <w:sz w:val="20"/>
                <w:szCs w:val="20"/>
              </w:rPr>
            </w:pPr>
            <w:r>
              <w:rPr>
                <w:rFonts w:eastAsia="Times New Roman"/>
                <w:sz w:val="18"/>
                <w:szCs w:val="18"/>
              </w:rPr>
              <w:t>Mercury</w:t>
            </w:r>
          </w:p>
        </w:tc>
        <w:tc>
          <w:tcPr>
            <w:tcW w:w="1780" w:type="dxa"/>
            <w:gridSpan w:val="2"/>
            <w:vAlign w:val="bottom"/>
          </w:tcPr>
          <w:p w14:paraId="2819D4E0" w14:textId="77777777" w:rsidR="004647B9" w:rsidRDefault="00E2436F">
            <w:pPr>
              <w:ind w:left="860"/>
              <w:rPr>
                <w:sz w:val="20"/>
                <w:szCs w:val="20"/>
              </w:rPr>
            </w:pPr>
            <w:r>
              <w:rPr>
                <w:rFonts w:eastAsia="Times New Roman"/>
                <w:sz w:val="18"/>
                <w:szCs w:val="18"/>
              </w:rPr>
              <w:t>0.002</w:t>
            </w:r>
          </w:p>
        </w:tc>
        <w:tc>
          <w:tcPr>
            <w:tcW w:w="800" w:type="dxa"/>
            <w:vAlign w:val="bottom"/>
          </w:tcPr>
          <w:p w14:paraId="2819D4E1" w14:textId="77777777" w:rsidR="004647B9" w:rsidRDefault="004647B9"/>
        </w:tc>
        <w:tc>
          <w:tcPr>
            <w:tcW w:w="4420" w:type="dxa"/>
            <w:vAlign w:val="bottom"/>
          </w:tcPr>
          <w:p w14:paraId="2819D4E2" w14:textId="77777777" w:rsidR="004647B9" w:rsidRDefault="00E2436F">
            <w:pPr>
              <w:rPr>
                <w:sz w:val="20"/>
                <w:szCs w:val="20"/>
              </w:rPr>
            </w:pPr>
            <w:r>
              <w:rPr>
                <w:rFonts w:eastAsia="Times New Roman"/>
                <w:sz w:val="18"/>
                <w:szCs w:val="18"/>
              </w:rPr>
              <w:t>Manual Cold Vapor Technique</w:t>
            </w:r>
          </w:p>
        </w:tc>
        <w:tc>
          <w:tcPr>
            <w:tcW w:w="2180" w:type="dxa"/>
            <w:vAlign w:val="bottom"/>
          </w:tcPr>
          <w:p w14:paraId="2819D4E3" w14:textId="77777777" w:rsidR="004647B9" w:rsidRDefault="00E2436F">
            <w:pPr>
              <w:ind w:left="840"/>
              <w:rPr>
                <w:sz w:val="20"/>
                <w:szCs w:val="20"/>
              </w:rPr>
            </w:pPr>
            <w:r>
              <w:rPr>
                <w:rFonts w:eastAsia="Times New Roman"/>
                <w:sz w:val="18"/>
                <w:szCs w:val="18"/>
              </w:rPr>
              <w:t>0.0002</w:t>
            </w:r>
          </w:p>
        </w:tc>
      </w:tr>
      <w:tr w:rsidR="004647B9" w14:paraId="2819D4EB" w14:textId="77777777">
        <w:trPr>
          <w:trHeight w:val="262"/>
        </w:trPr>
        <w:tc>
          <w:tcPr>
            <w:tcW w:w="1020" w:type="dxa"/>
            <w:vAlign w:val="bottom"/>
          </w:tcPr>
          <w:p w14:paraId="2819D4E5" w14:textId="77777777" w:rsidR="004647B9" w:rsidRDefault="004647B9"/>
        </w:tc>
        <w:tc>
          <w:tcPr>
            <w:tcW w:w="860" w:type="dxa"/>
            <w:vAlign w:val="bottom"/>
          </w:tcPr>
          <w:p w14:paraId="2819D4E6" w14:textId="77777777" w:rsidR="004647B9" w:rsidRDefault="004647B9"/>
        </w:tc>
        <w:tc>
          <w:tcPr>
            <w:tcW w:w="920" w:type="dxa"/>
            <w:vAlign w:val="bottom"/>
          </w:tcPr>
          <w:p w14:paraId="2819D4E7" w14:textId="77777777" w:rsidR="004647B9" w:rsidRDefault="004647B9"/>
        </w:tc>
        <w:tc>
          <w:tcPr>
            <w:tcW w:w="800" w:type="dxa"/>
            <w:vAlign w:val="bottom"/>
          </w:tcPr>
          <w:p w14:paraId="2819D4E8" w14:textId="77777777" w:rsidR="004647B9" w:rsidRDefault="004647B9"/>
        </w:tc>
        <w:tc>
          <w:tcPr>
            <w:tcW w:w="4420" w:type="dxa"/>
            <w:vAlign w:val="bottom"/>
          </w:tcPr>
          <w:p w14:paraId="2819D4E9" w14:textId="77777777" w:rsidR="004647B9" w:rsidRDefault="00E2436F">
            <w:pPr>
              <w:rPr>
                <w:sz w:val="20"/>
                <w:szCs w:val="20"/>
              </w:rPr>
            </w:pPr>
            <w:r>
              <w:rPr>
                <w:rFonts w:eastAsia="Times New Roman"/>
                <w:sz w:val="18"/>
                <w:szCs w:val="18"/>
              </w:rPr>
              <w:t>Automated Cold Vapor Technique</w:t>
            </w:r>
          </w:p>
        </w:tc>
        <w:tc>
          <w:tcPr>
            <w:tcW w:w="2180" w:type="dxa"/>
            <w:vAlign w:val="bottom"/>
          </w:tcPr>
          <w:p w14:paraId="2819D4EA" w14:textId="77777777" w:rsidR="004647B9" w:rsidRDefault="00E2436F">
            <w:pPr>
              <w:ind w:left="840"/>
              <w:rPr>
                <w:sz w:val="20"/>
                <w:szCs w:val="20"/>
              </w:rPr>
            </w:pPr>
            <w:r>
              <w:rPr>
                <w:rFonts w:eastAsia="Times New Roman"/>
                <w:sz w:val="18"/>
                <w:szCs w:val="18"/>
              </w:rPr>
              <w:t>0.0002</w:t>
            </w:r>
          </w:p>
        </w:tc>
      </w:tr>
      <w:tr w:rsidR="004647B9" w14:paraId="2819D4F2" w14:textId="77777777">
        <w:trPr>
          <w:trHeight w:val="262"/>
        </w:trPr>
        <w:tc>
          <w:tcPr>
            <w:tcW w:w="1020" w:type="dxa"/>
            <w:vAlign w:val="bottom"/>
          </w:tcPr>
          <w:p w14:paraId="2819D4EC" w14:textId="77777777" w:rsidR="004647B9" w:rsidRDefault="00E2436F">
            <w:pPr>
              <w:rPr>
                <w:sz w:val="20"/>
                <w:szCs w:val="20"/>
              </w:rPr>
            </w:pPr>
            <w:r>
              <w:rPr>
                <w:rFonts w:eastAsia="Times New Roman"/>
                <w:sz w:val="18"/>
                <w:szCs w:val="18"/>
              </w:rPr>
              <w:t>Nickel</w:t>
            </w:r>
          </w:p>
        </w:tc>
        <w:tc>
          <w:tcPr>
            <w:tcW w:w="860" w:type="dxa"/>
            <w:vAlign w:val="bottom"/>
          </w:tcPr>
          <w:p w14:paraId="2819D4ED" w14:textId="77777777" w:rsidR="004647B9" w:rsidRDefault="004647B9"/>
        </w:tc>
        <w:tc>
          <w:tcPr>
            <w:tcW w:w="920" w:type="dxa"/>
            <w:vAlign w:val="bottom"/>
          </w:tcPr>
          <w:p w14:paraId="2819D4EE" w14:textId="77777777" w:rsidR="004647B9" w:rsidRDefault="00E2436F">
            <w:pPr>
              <w:rPr>
                <w:sz w:val="20"/>
                <w:szCs w:val="20"/>
              </w:rPr>
            </w:pPr>
            <w:r>
              <w:rPr>
                <w:rFonts w:eastAsia="Times New Roman"/>
                <w:sz w:val="18"/>
                <w:szCs w:val="18"/>
              </w:rPr>
              <w:t>Reserved</w:t>
            </w:r>
          </w:p>
        </w:tc>
        <w:tc>
          <w:tcPr>
            <w:tcW w:w="800" w:type="dxa"/>
            <w:vAlign w:val="bottom"/>
          </w:tcPr>
          <w:p w14:paraId="2819D4EF" w14:textId="77777777" w:rsidR="004647B9" w:rsidRDefault="004647B9"/>
        </w:tc>
        <w:tc>
          <w:tcPr>
            <w:tcW w:w="4420" w:type="dxa"/>
            <w:vAlign w:val="bottom"/>
          </w:tcPr>
          <w:p w14:paraId="2819D4F0" w14:textId="77777777" w:rsidR="004647B9" w:rsidRDefault="004647B9"/>
        </w:tc>
        <w:tc>
          <w:tcPr>
            <w:tcW w:w="2180" w:type="dxa"/>
            <w:vAlign w:val="bottom"/>
          </w:tcPr>
          <w:p w14:paraId="2819D4F1" w14:textId="77777777" w:rsidR="004647B9" w:rsidRDefault="004647B9"/>
        </w:tc>
      </w:tr>
      <w:tr w:rsidR="004647B9" w14:paraId="2819D4F9" w14:textId="77777777">
        <w:trPr>
          <w:trHeight w:val="262"/>
        </w:trPr>
        <w:tc>
          <w:tcPr>
            <w:tcW w:w="1020" w:type="dxa"/>
            <w:vAlign w:val="bottom"/>
          </w:tcPr>
          <w:p w14:paraId="2819D4F3" w14:textId="77777777" w:rsidR="004647B9" w:rsidRDefault="00E2436F">
            <w:pPr>
              <w:rPr>
                <w:sz w:val="20"/>
                <w:szCs w:val="20"/>
              </w:rPr>
            </w:pPr>
            <w:r>
              <w:rPr>
                <w:rFonts w:eastAsia="Times New Roman"/>
                <w:sz w:val="18"/>
                <w:szCs w:val="18"/>
              </w:rPr>
              <w:t>Nitrate</w:t>
            </w:r>
          </w:p>
        </w:tc>
        <w:tc>
          <w:tcPr>
            <w:tcW w:w="860" w:type="dxa"/>
            <w:vAlign w:val="bottom"/>
          </w:tcPr>
          <w:p w14:paraId="2819D4F4" w14:textId="77777777" w:rsidR="004647B9" w:rsidRDefault="004647B9"/>
        </w:tc>
        <w:tc>
          <w:tcPr>
            <w:tcW w:w="920" w:type="dxa"/>
            <w:vAlign w:val="bottom"/>
          </w:tcPr>
          <w:p w14:paraId="2819D4F5" w14:textId="77777777" w:rsidR="004647B9" w:rsidRDefault="00E2436F">
            <w:pPr>
              <w:rPr>
                <w:sz w:val="20"/>
                <w:szCs w:val="20"/>
              </w:rPr>
            </w:pPr>
            <w:r>
              <w:rPr>
                <w:rFonts w:eastAsia="Times New Roman"/>
                <w:sz w:val="18"/>
                <w:szCs w:val="18"/>
              </w:rPr>
              <w:t>10 (as N)</w:t>
            </w:r>
          </w:p>
        </w:tc>
        <w:tc>
          <w:tcPr>
            <w:tcW w:w="800" w:type="dxa"/>
            <w:vAlign w:val="bottom"/>
          </w:tcPr>
          <w:p w14:paraId="2819D4F6" w14:textId="77777777" w:rsidR="004647B9" w:rsidRDefault="004647B9"/>
        </w:tc>
        <w:tc>
          <w:tcPr>
            <w:tcW w:w="4420" w:type="dxa"/>
            <w:vAlign w:val="bottom"/>
          </w:tcPr>
          <w:p w14:paraId="2819D4F7" w14:textId="77777777" w:rsidR="004647B9" w:rsidRDefault="00E2436F">
            <w:pPr>
              <w:rPr>
                <w:sz w:val="20"/>
                <w:szCs w:val="20"/>
              </w:rPr>
            </w:pPr>
            <w:r>
              <w:rPr>
                <w:rFonts w:eastAsia="Times New Roman"/>
                <w:sz w:val="18"/>
                <w:szCs w:val="18"/>
              </w:rPr>
              <w:t>Manual Cadmium Reduction</w:t>
            </w:r>
          </w:p>
        </w:tc>
        <w:tc>
          <w:tcPr>
            <w:tcW w:w="2180" w:type="dxa"/>
            <w:vAlign w:val="bottom"/>
          </w:tcPr>
          <w:p w14:paraId="2819D4F8" w14:textId="77777777" w:rsidR="004647B9" w:rsidRDefault="00E2436F">
            <w:pPr>
              <w:ind w:left="840"/>
              <w:rPr>
                <w:sz w:val="20"/>
                <w:szCs w:val="20"/>
              </w:rPr>
            </w:pPr>
            <w:r>
              <w:rPr>
                <w:rFonts w:eastAsia="Times New Roman"/>
                <w:sz w:val="18"/>
                <w:szCs w:val="18"/>
              </w:rPr>
              <w:t>0.01</w:t>
            </w:r>
          </w:p>
        </w:tc>
      </w:tr>
      <w:tr w:rsidR="004647B9" w14:paraId="2819D500" w14:textId="77777777">
        <w:trPr>
          <w:trHeight w:val="262"/>
        </w:trPr>
        <w:tc>
          <w:tcPr>
            <w:tcW w:w="1020" w:type="dxa"/>
            <w:vAlign w:val="bottom"/>
          </w:tcPr>
          <w:p w14:paraId="2819D4FA" w14:textId="77777777" w:rsidR="004647B9" w:rsidRDefault="004647B9"/>
        </w:tc>
        <w:tc>
          <w:tcPr>
            <w:tcW w:w="860" w:type="dxa"/>
            <w:vAlign w:val="bottom"/>
          </w:tcPr>
          <w:p w14:paraId="2819D4FB" w14:textId="77777777" w:rsidR="004647B9" w:rsidRDefault="004647B9"/>
        </w:tc>
        <w:tc>
          <w:tcPr>
            <w:tcW w:w="920" w:type="dxa"/>
            <w:vAlign w:val="bottom"/>
          </w:tcPr>
          <w:p w14:paraId="2819D4FC" w14:textId="77777777" w:rsidR="004647B9" w:rsidRDefault="004647B9"/>
        </w:tc>
        <w:tc>
          <w:tcPr>
            <w:tcW w:w="800" w:type="dxa"/>
            <w:vAlign w:val="bottom"/>
          </w:tcPr>
          <w:p w14:paraId="2819D4FD" w14:textId="77777777" w:rsidR="004647B9" w:rsidRDefault="004647B9"/>
        </w:tc>
        <w:tc>
          <w:tcPr>
            <w:tcW w:w="4420" w:type="dxa"/>
            <w:vAlign w:val="bottom"/>
          </w:tcPr>
          <w:p w14:paraId="2819D4FE" w14:textId="77777777" w:rsidR="004647B9" w:rsidRDefault="00E2436F">
            <w:pPr>
              <w:rPr>
                <w:sz w:val="20"/>
                <w:szCs w:val="20"/>
              </w:rPr>
            </w:pPr>
            <w:r>
              <w:rPr>
                <w:rFonts w:eastAsia="Times New Roman"/>
                <w:sz w:val="18"/>
                <w:szCs w:val="18"/>
              </w:rPr>
              <w:t>Automated Hydrazine Reduction</w:t>
            </w:r>
          </w:p>
        </w:tc>
        <w:tc>
          <w:tcPr>
            <w:tcW w:w="2180" w:type="dxa"/>
            <w:vAlign w:val="bottom"/>
          </w:tcPr>
          <w:p w14:paraId="2819D4FF" w14:textId="77777777" w:rsidR="004647B9" w:rsidRDefault="00E2436F">
            <w:pPr>
              <w:ind w:left="840"/>
              <w:rPr>
                <w:sz w:val="20"/>
                <w:szCs w:val="20"/>
              </w:rPr>
            </w:pPr>
            <w:r>
              <w:rPr>
                <w:rFonts w:eastAsia="Times New Roman"/>
                <w:sz w:val="18"/>
                <w:szCs w:val="18"/>
              </w:rPr>
              <w:t>0.01</w:t>
            </w:r>
          </w:p>
        </w:tc>
      </w:tr>
      <w:tr w:rsidR="004647B9" w14:paraId="2819D507" w14:textId="77777777">
        <w:trPr>
          <w:trHeight w:val="262"/>
        </w:trPr>
        <w:tc>
          <w:tcPr>
            <w:tcW w:w="1020" w:type="dxa"/>
            <w:vAlign w:val="bottom"/>
          </w:tcPr>
          <w:p w14:paraId="2819D501" w14:textId="77777777" w:rsidR="004647B9" w:rsidRDefault="004647B9"/>
        </w:tc>
        <w:tc>
          <w:tcPr>
            <w:tcW w:w="860" w:type="dxa"/>
            <w:vAlign w:val="bottom"/>
          </w:tcPr>
          <w:p w14:paraId="2819D502" w14:textId="77777777" w:rsidR="004647B9" w:rsidRDefault="004647B9"/>
        </w:tc>
        <w:tc>
          <w:tcPr>
            <w:tcW w:w="920" w:type="dxa"/>
            <w:vAlign w:val="bottom"/>
          </w:tcPr>
          <w:p w14:paraId="2819D503" w14:textId="77777777" w:rsidR="004647B9" w:rsidRDefault="004647B9"/>
        </w:tc>
        <w:tc>
          <w:tcPr>
            <w:tcW w:w="800" w:type="dxa"/>
            <w:vAlign w:val="bottom"/>
          </w:tcPr>
          <w:p w14:paraId="2819D504" w14:textId="77777777" w:rsidR="004647B9" w:rsidRDefault="004647B9"/>
        </w:tc>
        <w:tc>
          <w:tcPr>
            <w:tcW w:w="4420" w:type="dxa"/>
            <w:vAlign w:val="bottom"/>
          </w:tcPr>
          <w:p w14:paraId="2819D505" w14:textId="77777777" w:rsidR="004647B9" w:rsidRDefault="00E2436F">
            <w:pPr>
              <w:rPr>
                <w:sz w:val="20"/>
                <w:szCs w:val="20"/>
              </w:rPr>
            </w:pPr>
            <w:r>
              <w:rPr>
                <w:rFonts w:eastAsia="Times New Roman"/>
                <w:sz w:val="18"/>
                <w:szCs w:val="18"/>
              </w:rPr>
              <w:t>Automated Cadmium Reduction</w:t>
            </w:r>
          </w:p>
        </w:tc>
        <w:tc>
          <w:tcPr>
            <w:tcW w:w="2180" w:type="dxa"/>
            <w:vAlign w:val="bottom"/>
          </w:tcPr>
          <w:p w14:paraId="2819D506" w14:textId="77777777" w:rsidR="004647B9" w:rsidRDefault="00E2436F">
            <w:pPr>
              <w:ind w:left="840"/>
              <w:rPr>
                <w:sz w:val="20"/>
                <w:szCs w:val="20"/>
              </w:rPr>
            </w:pPr>
            <w:r>
              <w:rPr>
                <w:rFonts w:eastAsia="Times New Roman"/>
                <w:sz w:val="18"/>
                <w:szCs w:val="18"/>
              </w:rPr>
              <w:t>0.05</w:t>
            </w:r>
          </w:p>
        </w:tc>
      </w:tr>
      <w:tr w:rsidR="004647B9" w14:paraId="2819D50E" w14:textId="77777777">
        <w:trPr>
          <w:trHeight w:val="262"/>
        </w:trPr>
        <w:tc>
          <w:tcPr>
            <w:tcW w:w="1020" w:type="dxa"/>
            <w:vAlign w:val="bottom"/>
          </w:tcPr>
          <w:p w14:paraId="2819D508" w14:textId="77777777" w:rsidR="004647B9" w:rsidRDefault="004647B9"/>
        </w:tc>
        <w:tc>
          <w:tcPr>
            <w:tcW w:w="860" w:type="dxa"/>
            <w:vAlign w:val="bottom"/>
          </w:tcPr>
          <w:p w14:paraId="2819D509" w14:textId="77777777" w:rsidR="004647B9" w:rsidRDefault="004647B9"/>
        </w:tc>
        <w:tc>
          <w:tcPr>
            <w:tcW w:w="920" w:type="dxa"/>
            <w:vAlign w:val="bottom"/>
          </w:tcPr>
          <w:p w14:paraId="2819D50A" w14:textId="77777777" w:rsidR="004647B9" w:rsidRDefault="004647B9"/>
        </w:tc>
        <w:tc>
          <w:tcPr>
            <w:tcW w:w="800" w:type="dxa"/>
            <w:vAlign w:val="bottom"/>
          </w:tcPr>
          <w:p w14:paraId="2819D50B" w14:textId="77777777" w:rsidR="004647B9" w:rsidRDefault="004647B9"/>
        </w:tc>
        <w:tc>
          <w:tcPr>
            <w:tcW w:w="4420" w:type="dxa"/>
            <w:vAlign w:val="bottom"/>
          </w:tcPr>
          <w:p w14:paraId="2819D50C" w14:textId="77777777" w:rsidR="004647B9" w:rsidRDefault="00E2436F">
            <w:pPr>
              <w:rPr>
                <w:sz w:val="20"/>
                <w:szCs w:val="20"/>
              </w:rPr>
            </w:pPr>
            <w:r>
              <w:rPr>
                <w:rFonts w:eastAsia="Times New Roman"/>
                <w:sz w:val="18"/>
                <w:szCs w:val="18"/>
              </w:rPr>
              <w:t>Ion Selective Electrode</w:t>
            </w:r>
          </w:p>
        </w:tc>
        <w:tc>
          <w:tcPr>
            <w:tcW w:w="2180" w:type="dxa"/>
            <w:vAlign w:val="bottom"/>
          </w:tcPr>
          <w:p w14:paraId="2819D50D" w14:textId="77777777" w:rsidR="004647B9" w:rsidRDefault="00E2436F">
            <w:pPr>
              <w:ind w:left="960"/>
              <w:rPr>
                <w:sz w:val="20"/>
                <w:szCs w:val="20"/>
              </w:rPr>
            </w:pPr>
            <w:r>
              <w:rPr>
                <w:rFonts w:eastAsia="Times New Roman"/>
                <w:sz w:val="18"/>
                <w:szCs w:val="18"/>
              </w:rPr>
              <w:t>1</w:t>
            </w:r>
          </w:p>
        </w:tc>
      </w:tr>
      <w:tr w:rsidR="004647B9" w14:paraId="2819D515" w14:textId="77777777">
        <w:trPr>
          <w:trHeight w:val="262"/>
        </w:trPr>
        <w:tc>
          <w:tcPr>
            <w:tcW w:w="1020" w:type="dxa"/>
            <w:vAlign w:val="bottom"/>
          </w:tcPr>
          <w:p w14:paraId="2819D50F" w14:textId="77777777" w:rsidR="004647B9" w:rsidRDefault="004647B9"/>
        </w:tc>
        <w:tc>
          <w:tcPr>
            <w:tcW w:w="860" w:type="dxa"/>
            <w:vAlign w:val="bottom"/>
          </w:tcPr>
          <w:p w14:paraId="2819D510" w14:textId="77777777" w:rsidR="004647B9" w:rsidRDefault="004647B9"/>
        </w:tc>
        <w:tc>
          <w:tcPr>
            <w:tcW w:w="920" w:type="dxa"/>
            <w:vAlign w:val="bottom"/>
          </w:tcPr>
          <w:p w14:paraId="2819D511" w14:textId="77777777" w:rsidR="004647B9" w:rsidRDefault="004647B9"/>
        </w:tc>
        <w:tc>
          <w:tcPr>
            <w:tcW w:w="800" w:type="dxa"/>
            <w:vAlign w:val="bottom"/>
          </w:tcPr>
          <w:p w14:paraId="2819D512" w14:textId="77777777" w:rsidR="004647B9" w:rsidRDefault="004647B9"/>
        </w:tc>
        <w:tc>
          <w:tcPr>
            <w:tcW w:w="4420" w:type="dxa"/>
            <w:vAlign w:val="bottom"/>
          </w:tcPr>
          <w:p w14:paraId="2819D513" w14:textId="77777777" w:rsidR="004647B9" w:rsidRDefault="00E2436F">
            <w:pPr>
              <w:rPr>
                <w:sz w:val="20"/>
                <w:szCs w:val="20"/>
              </w:rPr>
            </w:pPr>
            <w:r>
              <w:rPr>
                <w:rFonts w:eastAsia="Times New Roman"/>
                <w:sz w:val="18"/>
                <w:szCs w:val="18"/>
              </w:rPr>
              <w:t>Ion Chromatography</w:t>
            </w:r>
          </w:p>
        </w:tc>
        <w:tc>
          <w:tcPr>
            <w:tcW w:w="2180" w:type="dxa"/>
            <w:vAlign w:val="bottom"/>
          </w:tcPr>
          <w:p w14:paraId="2819D514" w14:textId="77777777" w:rsidR="004647B9" w:rsidRDefault="00E2436F">
            <w:pPr>
              <w:ind w:left="840"/>
              <w:rPr>
                <w:sz w:val="20"/>
                <w:szCs w:val="20"/>
              </w:rPr>
            </w:pPr>
            <w:r>
              <w:rPr>
                <w:rFonts w:eastAsia="Times New Roman"/>
                <w:sz w:val="18"/>
                <w:szCs w:val="18"/>
              </w:rPr>
              <w:t>0.01</w:t>
            </w:r>
          </w:p>
        </w:tc>
      </w:tr>
      <w:tr w:rsidR="004647B9" w14:paraId="2819D51C" w14:textId="77777777">
        <w:trPr>
          <w:trHeight w:val="262"/>
        </w:trPr>
        <w:tc>
          <w:tcPr>
            <w:tcW w:w="1020" w:type="dxa"/>
            <w:vAlign w:val="bottom"/>
          </w:tcPr>
          <w:p w14:paraId="2819D516" w14:textId="77777777" w:rsidR="004647B9" w:rsidRDefault="004647B9"/>
        </w:tc>
        <w:tc>
          <w:tcPr>
            <w:tcW w:w="860" w:type="dxa"/>
            <w:vAlign w:val="bottom"/>
          </w:tcPr>
          <w:p w14:paraId="2819D517" w14:textId="77777777" w:rsidR="004647B9" w:rsidRDefault="004647B9"/>
        </w:tc>
        <w:tc>
          <w:tcPr>
            <w:tcW w:w="920" w:type="dxa"/>
            <w:vAlign w:val="bottom"/>
          </w:tcPr>
          <w:p w14:paraId="2819D518" w14:textId="77777777" w:rsidR="004647B9" w:rsidRDefault="004647B9"/>
        </w:tc>
        <w:tc>
          <w:tcPr>
            <w:tcW w:w="800" w:type="dxa"/>
            <w:vAlign w:val="bottom"/>
          </w:tcPr>
          <w:p w14:paraId="2819D519" w14:textId="77777777" w:rsidR="004647B9" w:rsidRDefault="004647B9"/>
        </w:tc>
        <w:tc>
          <w:tcPr>
            <w:tcW w:w="4420" w:type="dxa"/>
            <w:vAlign w:val="bottom"/>
          </w:tcPr>
          <w:p w14:paraId="2819D51A" w14:textId="77777777" w:rsidR="004647B9" w:rsidRDefault="00E2436F">
            <w:pPr>
              <w:rPr>
                <w:sz w:val="20"/>
                <w:szCs w:val="20"/>
              </w:rPr>
            </w:pPr>
            <w:r>
              <w:rPr>
                <w:rFonts w:eastAsia="Times New Roman"/>
                <w:sz w:val="18"/>
                <w:szCs w:val="18"/>
              </w:rPr>
              <w:t>Capillary Ion Electrophoresis</w:t>
            </w:r>
          </w:p>
        </w:tc>
        <w:tc>
          <w:tcPr>
            <w:tcW w:w="2180" w:type="dxa"/>
            <w:vAlign w:val="bottom"/>
          </w:tcPr>
          <w:p w14:paraId="2819D51B" w14:textId="77777777" w:rsidR="004647B9" w:rsidRDefault="00E2436F">
            <w:pPr>
              <w:ind w:left="840"/>
              <w:rPr>
                <w:sz w:val="20"/>
                <w:szCs w:val="20"/>
              </w:rPr>
            </w:pPr>
            <w:r>
              <w:rPr>
                <w:rFonts w:eastAsia="Times New Roman"/>
                <w:sz w:val="18"/>
                <w:szCs w:val="18"/>
              </w:rPr>
              <w:t>0.076</w:t>
            </w:r>
          </w:p>
        </w:tc>
      </w:tr>
      <w:tr w:rsidR="004647B9" w14:paraId="2819D523" w14:textId="77777777">
        <w:trPr>
          <w:trHeight w:val="262"/>
        </w:trPr>
        <w:tc>
          <w:tcPr>
            <w:tcW w:w="1020" w:type="dxa"/>
            <w:vAlign w:val="bottom"/>
          </w:tcPr>
          <w:p w14:paraId="2819D51D" w14:textId="77777777" w:rsidR="004647B9" w:rsidRDefault="00E2436F">
            <w:pPr>
              <w:rPr>
                <w:sz w:val="20"/>
                <w:szCs w:val="20"/>
              </w:rPr>
            </w:pPr>
            <w:r>
              <w:rPr>
                <w:rFonts w:eastAsia="Times New Roman"/>
                <w:sz w:val="18"/>
                <w:szCs w:val="18"/>
              </w:rPr>
              <w:t>Nitrite</w:t>
            </w:r>
          </w:p>
        </w:tc>
        <w:tc>
          <w:tcPr>
            <w:tcW w:w="860" w:type="dxa"/>
            <w:vAlign w:val="bottom"/>
          </w:tcPr>
          <w:p w14:paraId="2819D51E" w14:textId="77777777" w:rsidR="004647B9" w:rsidRDefault="004647B9"/>
        </w:tc>
        <w:tc>
          <w:tcPr>
            <w:tcW w:w="920" w:type="dxa"/>
            <w:vAlign w:val="bottom"/>
          </w:tcPr>
          <w:p w14:paraId="2819D51F" w14:textId="77777777" w:rsidR="004647B9" w:rsidRDefault="00E2436F">
            <w:pPr>
              <w:rPr>
                <w:sz w:val="20"/>
                <w:szCs w:val="20"/>
              </w:rPr>
            </w:pPr>
            <w:r>
              <w:rPr>
                <w:rFonts w:eastAsia="Times New Roman"/>
                <w:sz w:val="18"/>
                <w:szCs w:val="18"/>
              </w:rPr>
              <w:t>1 (as N)</w:t>
            </w:r>
          </w:p>
        </w:tc>
        <w:tc>
          <w:tcPr>
            <w:tcW w:w="800" w:type="dxa"/>
            <w:vAlign w:val="bottom"/>
          </w:tcPr>
          <w:p w14:paraId="2819D520" w14:textId="77777777" w:rsidR="004647B9" w:rsidRDefault="004647B9"/>
        </w:tc>
        <w:tc>
          <w:tcPr>
            <w:tcW w:w="4420" w:type="dxa"/>
            <w:vAlign w:val="bottom"/>
          </w:tcPr>
          <w:p w14:paraId="2819D521" w14:textId="77777777" w:rsidR="004647B9" w:rsidRDefault="00E2436F">
            <w:pPr>
              <w:rPr>
                <w:sz w:val="20"/>
                <w:szCs w:val="20"/>
              </w:rPr>
            </w:pPr>
            <w:r>
              <w:rPr>
                <w:rFonts w:eastAsia="Times New Roman"/>
                <w:sz w:val="18"/>
                <w:szCs w:val="18"/>
              </w:rPr>
              <w:t>Spectrophotometric</w:t>
            </w:r>
          </w:p>
        </w:tc>
        <w:tc>
          <w:tcPr>
            <w:tcW w:w="2180" w:type="dxa"/>
            <w:vAlign w:val="bottom"/>
          </w:tcPr>
          <w:p w14:paraId="2819D522" w14:textId="77777777" w:rsidR="004647B9" w:rsidRDefault="00E2436F">
            <w:pPr>
              <w:ind w:left="840"/>
              <w:rPr>
                <w:sz w:val="20"/>
                <w:szCs w:val="20"/>
              </w:rPr>
            </w:pPr>
            <w:r>
              <w:rPr>
                <w:rFonts w:eastAsia="Times New Roman"/>
                <w:sz w:val="18"/>
                <w:szCs w:val="18"/>
              </w:rPr>
              <w:t>0.01</w:t>
            </w:r>
          </w:p>
        </w:tc>
      </w:tr>
      <w:tr w:rsidR="004647B9" w14:paraId="2819D52A" w14:textId="77777777">
        <w:trPr>
          <w:trHeight w:val="262"/>
        </w:trPr>
        <w:tc>
          <w:tcPr>
            <w:tcW w:w="1020" w:type="dxa"/>
            <w:vAlign w:val="bottom"/>
          </w:tcPr>
          <w:p w14:paraId="2819D524" w14:textId="77777777" w:rsidR="004647B9" w:rsidRDefault="004647B9"/>
        </w:tc>
        <w:tc>
          <w:tcPr>
            <w:tcW w:w="860" w:type="dxa"/>
            <w:vAlign w:val="bottom"/>
          </w:tcPr>
          <w:p w14:paraId="2819D525" w14:textId="77777777" w:rsidR="004647B9" w:rsidRDefault="004647B9"/>
        </w:tc>
        <w:tc>
          <w:tcPr>
            <w:tcW w:w="920" w:type="dxa"/>
            <w:vAlign w:val="bottom"/>
          </w:tcPr>
          <w:p w14:paraId="2819D526" w14:textId="77777777" w:rsidR="004647B9" w:rsidRDefault="004647B9"/>
        </w:tc>
        <w:tc>
          <w:tcPr>
            <w:tcW w:w="800" w:type="dxa"/>
            <w:vAlign w:val="bottom"/>
          </w:tcPr>
          <w:p w14:paraId="2819D527" w14:textId="77777777" w:rsidR="004647B9" w:rsidRDefault="004647B9"/>
        </w:tc>
        <w:tc>
          <w:tcPr>
            <w:tcW w:w="4420" w:type="dxa"/>
            <w:vAlign w:val="bottom"/>
          </w:tcPr>
          <w:p w14:paraId="2819D528" w14:textId="77777777" w:rsidR="004647B9" w:rsidRDefault="00E2436F">
            <w:pPr>
              <w:rPr>
                <w:sz w:val="20"/>
                <w:szCs w:val="20"/>
              </w:rPr>
            </w:pPr>
            <w:r>
              <w:rPr>
                <w:rFonts w:eastAsia="Times New Roman"/>
                <w:sz w:val="18"/>
                <w:szCs w:val="18"/>
              </w:rPr>
              <w:t>Automated Cadmium Reduction</w:t>
            </w:r>
          </w:p>
        </w:tc>
        <w:tc>
          <w:tcPr>
            <w:tcW w:w="2180" w:type="dxa"/>
            <w:vAlign w:val="bottom"/>
          </w:tcPr>
          <w:p w14:paraId="2819D529" w14:textId="77777777" w:rsidR="004647B9" w:rsidRDefault="00E2436F">
            <w:pPr>
              <w:ind w:left="840"/>
              <w:rPr>
                <w:sz w:val="20"/>
                <w:szCs w:val="20"/>
              </w:rPr>
            </w:pPr>
            <w:r>
              <w:rPr>
                <w:rFonts w:eastAsia="Times New Roman"/>
                <w:sz w:val="18"/>
                <w:szCs w:val="18"/>
              </w:rPr>
              <w:t>0.05</w:t>
            </w:r>
          </w:p>
        </w:tc>
      </w:tr>
      <w:tr w:rsidR="004647B9" w14:paraId="2819D531" w14:textId="77777777">
        <w:trPr>
          <w:trHeight w:val="262"/>
        </w:trPr>
        <w:tc>
          <w:tcPr>
            <w:tcW w:w="1020" w:type="dxa"/>
            <w:vAlign w:val="bottom"/>
          </w:tcPr>
          <w:p w14:paraId="2819D52B" w14:textId="77777777" w:rsidR="004647B9" w:rsidRDefault="004647B9"/>
        </w:tc>
        <w:tc>
          <w:tcPr>
            <w:tcW w:w="860" w:type="dxa"/>
            <w:vAlign w:val="bottom"/>
          </w:tcPr>
          <w:p w14:paraId="2819D52C" w14:textId="77777777" w:rsidR="004647B9" w:rsidRDefault="004647B9"/>
        </w:tc>
        <w:tc>
          <w:tcPr>
            <w:tcW w:w="920" w:type="dxa"/>
            <w:vAlign w:val="bottom"/>
          </w:tcPr>
          <w:p w14:paraId="2819D52D" w14:textId="77777777" w:rsidR="004647B9" w:rsidRDefault="004647B9"/>
        </w:tc>
        <w:tc>
          <w:tcPr>
            <w:tcW w:w="800" w:type="dxa"/>
            <w:vAlign w:val="bottom"/>
          </w:tcPr>
          <w:p w14:paraId="2819D52E" w14:textId="77777777" w:rsidR="004647B9" w:rsidRDefault="004647B9"/>
        </w:tc>
        <w:tc>
          <w:tcPr>
            <w:tcW w:w="4420" w:type="dxa"/>
            <w:vAlign w:val="bottom"/>
          </w:tcPr>
          <w:p w14:paraId="2819D52F" w14:textId="77777777" w:rsidR="004647B9" w:rsidRDefault="00E2436F">
            <w:pPr>
              <w:rPr>
                <w:sz w:val="20"/>
                <w:szCs w:val="20"/>
              </w:rPr>
            </w:pPr>
            <w:r>
              <w:rPr>
                <w:rFonts w:eastAsia="Times New Roman"/>
                <w:sz w:val="18"/>
                <w:szCs w:val="18"/>
              </w:rPr>
              <w:t>Manual Cadmium Reduction</w:t>
            </w:r>
          </w:p>
        </w:tc>
        <w:tc>
          <w:tcPr>
            <w:tcW w:w="2180" w:type="dxa"/>
            <w:vAlign w:val="bottom"/>
          </w:tcPr>
          <w:p w14:paraId="2819D530" w14:textId="77777777" w:rsidR="004647B9" w:rsidRDefault="00E2436F">
            <w:pPr>
              <w:ind w:left="840"/>
              <w:rPr>
                <w:sz w:val="20"/>
                <w:szCs w:val="20"/>
              </w:rPr>
            </w:pPr>
            <w:r>
              <w:rPr>
                <w:rFonts w:eastAsia="Times New Roman"/>
                <w:sz w:val="18"/>
                <w:szCs w:val="18"/>
              </w:rPr>
              <w:t>0.01</w:t>
            </w:r>
          </w:p>
        </w:tc>
      </w:tr>
      <w:tr w:rsidR="004647B9" w14:paraId="2819D538" w14:textId="77777777">
        <w:trPr>
          <w:trHeight w:val="262"/>
        </w:trPr>
        <w:tc>
          <w:tcPr>
            <w:tcW w:w="1020" w:type="dxa"/>
            <w:vAlign w:val="bottom"/>
          </w:tcPr>
          <w:p w14:paraId="2819D532" w14:textId="77777777" w:rsidR="004647B9" w:rsidRDefault="004647B9"/>
        </w:tc>
        <w:tc>
          <w:tcPr>
            <w:tcW w:w="860" w:type="dxa"/>
            <w:vAlign w:val="bottom"/>
          </w:tcPr>
          <w:p w14:paraId="2819D533" w14:textId="77777777" w:rsidR="004647B9" w:rsidRDefault="004647B9"/>
        </w:tc>
        <w:tc>
          <w:tcPr>
            <w:tcW w:w="920" w:type="dxa"/>
            <w:vAlign w:val="bottom"/>
          </w:tcPr>
          <w:p w14:paraId="2819D534" w14:textId="77777777" w:rsidR="004647B9" w:rsidRDefault="004647B9"/>
        </w:tc>
        <w:tc>
          <w:tcPr>
            <w:tcW w:w="800" w:type="dxa"/>
            <w:vAlign w:val="bottom"/>
          </w:tcPr>
          <w:p w14:paraId="2819D535" w14:textId="77777777" w:rsidR="004647B9" w:rsidRDefault="004647B9"/>
        </w:tc>
        <w:tc>
          <w:tcPr>
            <w:tcW w:w="4420" w:type="dxa"/>
            <w:vAlign w:val="bottom"/>
          </w:tcPr>
          <w:p w14:paraId="2819D536" w14:textId="77777777" w:rsidR="004647B9" w:rsidRDefault="00E2436F">
            <w:pPr>
              <w:rPr>
                <w:sz w:val="20"/>
                <w:szCs w:val="20"/>
              </w:rPr>
            </w:pPr>
            <w:r>
              <w:rPr>
                <w:rFonts w:eastAsia="Times New Roman"/>
                <w:sz w:val="18"/>
                <w:szCs w:val="18"/>
              </w:rPr>
              <w:t>Ion Chromatography</w:t>
            </w:r>
          </w:p>
        </w:tc>
        <w:tc>
          <w:tcPr>
            <w:tcW w:w="2180" w:type="dxa"/>
            <w:vAlign w:val="bottom"/>
          </w:tcPr>
          <w:p w14:paraId="2819D537" w14:textId="77777777" w:rsidR="004647B9" w:rsidRDefault="00E2436F">
            <w:pPr>
              <w:ind w:left="840"/>
              <w:rPr>
                <w:sz w:val="20"/>
                <w:szCs w:val="20"/>
              </w:rPr>
            </w:pPr>
            <w:r>
              <w:rPr>
                <w:rFonts w:eastAsia="Times New Roman"/>
                <w:sz w:val="18"/>
                <w:szCs w:val="18"/>
              </w:rPr>
              <w:t>0.004</w:t>
            </w:r>
          </w:p>
        </w:tc>
      </w:tr>
      <w:tr w:rsidR="004647B9" w14:paraId="2819D53F" w14:textId="77777777">
        <w:trPr>
          <w:trHeight w:val="262"/>
        </w:trPr>
        <w:tc>
          <w:tcPr>
            <w:tcW w:w="1020" w:type="dxa"/>
            <w:vAlign w:val="bottom"/>
          </w:tcPr>
          <w:p w14:paraId="2819D539" w14:textId="77777777" w:rsidR="004647B9" w:rsidRDefault="004647B9"/>
        </w:tc>
        <w:tc>
          <w:tcPr>
            <w:tcW w:w="860" w:type="dxa"/>
            <w:vAlign w:val="bottom"/>
          </w:tcPr>
          <w:p w14:paraId="2819D53A" w14:textId="77777777" w:rsidR="004647B9" w:rsidRDefault="004647B9"/>
        </w:tc>
        <w:tc>
          <w:tcPr>
            <w:tcW w:w="920" w:type="dxa"/>
            <w:vAlign w:val="bottom"/>
          </w:tcPr>
          <w:p w14:paraId="2819D53B" w14:textId="77777777" w:rsidR="004647B9" w:rsidRDefault="004647B9"/>
        </w:tc>
        <w:tc>
          <w:tcPr>
            <w:tcW w:w="800" w:type="dxa"/>
            <w:vAlign w:val="bottom"/>
          </w:tcPr>
          <w:p w14:paraId="2819D53C" w14:textId="77777777" w:rsidR="004647B9" w:rsidRDefault="004647B9"/>
        </w:tc>
        <w:tc>
          <w:tcPr>
            <w:tcW w:w="4420" w:type="dxa"/>
            <w:vAlign w:val="bottom"/>
          </w:tcPr>
          <w:p w14:paraId="2819D53D" w14:textId="77777777" w:rsidR="004647B9" w:rsidRDefault="00E2436F">
            <w:pPr>
              <w:rPr>
                <w:sz w:val="20"/>
                <w:szCs w:val="20"/>
              </w:rPr>
            </w:pPr>
            <w:r>
              <w:rPr>
                <w:rFonts w:eastAsia="Times New Roman"/>
                <w:sz w:val="18"/>
                <w:szCs w:val="18"/>
              </w:rPr>
              <w:t>Capillary Ion Electrophoresis</w:t>
            </w:r>
          </w:p>
        </w:tc>
        <w:tc>
          <w:tcPr>
            <w:tcW w:w="2180" w:type="dxa"/>
            <w:vAlign w:val="bottom"/>
          </w:tcPr>
          <w:p w14:paraId="2819D53E" w14:textId="77777777" w:rsidR="004647B9" w:rsidRDefault="00E2436F">
            <w:pPr>
              <w:ind w:left="840"/>
              <w:rPr>
                <w:sz w:val="20"/>
                <w:szCs w:val="20"/>
              </w:rPr>
            </w:pPr>
            <w:r>
              <w:rPr>
                <w:rFonts w:eastAsia="Times New Roman"/>
                <w:sz w:val="18"/>
                <w:szCs w:val="18"/>
              </w:rPr>
              <w:t>0.103</w:t>
            </w:r>
          </w:p>
        </w:tc>
      </w:tr>
      <w:tr w:rsidR="004647B9" w14:paraId="2819D545" w14:textId="77777777">
        <w:trPr>
          <w:trHeight w:val="262"/>
        </w:trPr>
        <w:tc>
          <w:tcPr>
            <w:tcW w:w="1020" w:type="dxa"/>
            <w:vAlign w:val="bottom"/>
          </w:tcPr>
          <w:p w14:paraId="2819D540" w14:textId="77777777" w:rsidR="004647B9" w:rsidRDefault="00E2436F">
            <w:pPr>
              <w:rPr>
                <w:sz w:val="20"/>
                <w:szCs w:val="20"/>
              </w:rPr>
            </w:pPr>
            <w:r>
              <w:rPr>
                <w:rFonts w:eastAsia="Times New Roman"/>
                <w:sz w:val="18"/>
                <w:szCs w:val="18"/>
              </w:rPr>
              <w:t>Perchlorate</w:t>
            </w:r>
          </w:p>
        </w:tc>
        <w:tc>
          <w:tcPr>
            <w:tcW w:w="1780" w:type="dxa"/>
            <w:gridSpan w:val="2"/>
            <w:vAlign w:val="bottom"/>
          </w:tcPr>
          <w:p w14:paraId="2819D541" w14:textId="77777777" w:rsidR="004647B9" w:rsidRDefault="00E2436F">
            <w:pPr>
              <w:ind w:left="860"/>
              <w:rPr>
                <w:sz w:val="20"/>
                <w:szCs w:val="20"/>
              </w:rPr>
            </w:pPr>
            <w:r>
              <w:rPr>
                <w:rFonts w:eastAsia="Times New Roman"/>
                <w:sz w:val="18"/>
                <w:szCs w:val="18"/>
              </w:rPr>
              <w:t>0.0020</w:t>
            </w:r>
          </w:p>
        </w:tc>
        <w:tc>
          <w:tcPr>
            <w:tcW w:w="800" w:type="dxa"/>
            <w:vAlign w:val="bottom"/>
          </w:tcPr>
          <w:p w14:paraId="2819D542" w14:textId="77777777" w:rsidR="004647B9" w:rsidRDefault="004647B9"/>
        </w:tc>
        <w:tc>
          <w:tcPr>
            <w:tcW w:w="4420" w:type="dxa"/>
            <w:vAlign w:val="bottom"/>
          </w:tcPr>
          <w:p w14:paraId="2819D543" w14:textId="77777777" w:rsidR="004647B9" w:rsidRDefault="00E2436F">
            <w:pPr>
              <w:rPr>
                <w:sz w:val="20"/>
                <w:szCs w:val="20"/>
              </w:rPr>
            </w:pPr>
            <w:r>
              <w:rPr>
                <w:rFonts w:eastAsia="Times New Roman"/>
                <w:sz w:val="18"/>
                <w:szCs w:val="18"/>
              </w:rPr>
              <w:t>Ion Chromatography</w:t>
            </w:r>
            <w:r>
              <w:rPr>
                <w:rFonts w:eastAsia="Times New Roman"/>
                <w:sz w:val="19"/>
                <w:szCs w:val="19"/>
                <w:vertAlign w:val="superscript"/>
              </w:rPr>
              <w:t>9</w:t>
            </w:r>
          </w:p>
        </w:tc>
        <w:tc>
          <w:tcPr>
            <w:tcW w:w="2180" w:type="dxa"/>
            <w:vAlign w:val="bottom"/>
          </w:tcPr>
          <w:p w14:paraId="2819D544" w14:textId="77777777" w:rsidR="004647B9" w:rsidRDefault="00E2436F">
            <w:pPr>
              <w:ind w:left="840"/>
              <w:rPr>
                <w:sz w:val="20"/>
                <w:szCs w:val="20"/>
              </w:rPr>
            </w:pPr>
            <w:r>
              <w:rPr>
                <w:rFonts w:eastAsia="Times New Roman"/>
                <w:sz w:val="18"/>
                <w:szCs w:val="18"/>
              </w:rPr>
              <w:t>0.0010</w:t>
            </w:r>
            <w:r>
              <w:rPr>
                <w:rFonts w:eastAsia="Times New Roman"/>
                <w:sz w:val="19"/>
                <w:szCs w:val="19"/>
                <w:vertAlign w:val="superscript"/>
              </w:rPr>
              <w:t>10</w:t>
            </w:r>
          </w:p>
        </w:tc>
      </w:tr>
      <w:tr w:rsidR="004647B9" w14:paraId="2819D54C" w14:textId="77777777">
        <w:trPr>
          <w:trHeight w:val="262"/>
        </w:trPr>
        <w:tc>
          <w:tcPr>
            <w:tcW w:w="1020" w:type="dxa"/>
            <w:vAlign w:val="bottom"/>
          </w:tcPr>
          <w:p w14:paraId="2819D546" w14:textId="77777777" w:rsidR="004647B9" w:rsidRDefault="004647B9"/>
        </w:tc>
        <w:tc>
          <w:tcPr>
            <w:tcW w:w="860" w:type="dxa"/>
            <w:vAlign w:val="bottom"/>
          </w:tcPr>
          <w:p w14:paraId="2819D547" w14:textId="77777777" w:rsidR="004647B9" w:rsidRDefault="004647B9"/>
        </w:tc>
        <w:tc>
          <w:tcPr>
            <w:tcW w:w="920" w:type="dxa"/>
            <w:vAlign w:val="bottom"/>
          </w:tcPr>
          <w:p w14:paraId="2819D548" w14:textId="77777777" w:rsidR="004647B9" w:rsidRDefault="004647B9"/>
        </w:tc>
        <w:tc>
          <w:tcPr>
            <w:tcW w:w="800" w:type="dxa"/>
            <w:vAlign w:val="bottom"/>
          </w:tcPr>
          <w:p w14:paraId="2819D549" w14:textId="77777777" w:rsidR="004647B9" w:rsidRDefault="004647B9"/>
        </w:tc>
        <w:tc>
          <w:tcPr>
            <w:tcW w:w="4420" w:type="dxa"/>
            <w:vAlign w:val="bottom"/>
          </w:tcPr>
          <w:p w14:paraId="2819D54A" w14:textId="77777777" w:rsidR="004647B9" w:rsidRDefault="00E2436F">
            <w:pPr>
              <w:rPr>
                <w:sz w:val="20"/>
                <w:szCs w:val="20"/>
              </w:rPr>
            </w:pPr>
            <w:r>
              <w:rPr>
                <w:rFonts w:eastAsia="Times New Roman"/>
                <w:sz w:val="18"/>
                <w:szCs w:val="18"/>
              </w:rPr>
              <w:t>LC/MS or LC/MS/MS</w:t>
            </w:r>
          </w:p>
        </w:tc>
        <w:tc>
          <w:tcPr>
            <w:tcW w:w="2180" w:type="dxa"/>
            <w:vAlign w:val="bottom"/>
          </w:tcPr>
          <w:p w14:paraId="2819D54B" w14:textId="77777777" w:rsidR="004647B9" w:rsidRDefault="004647B9"/>
        </w:tc>
      </w:tr>
      <w:tr w:rsidR="004647B9" w14:paraId="2819D552" w14:textId="77777777">
        <w:trPr>
          <w:trHeight w:val="262"/>
        </w:trPr>
        <w:tc>
          <w:tcPr>
            <w:tcW w:w="1020" w:type="dxa"/>
            <w:vAlign w:val="bottom"/>
          </w:tcPr>
          <w:p w14:paraId="2819D54D" w14:textId="77777777" w:rsidR="004647B9" w:rsidRDefault="004647B9"/>
        </w:tc>
        <w:tc>
          <w:tcPr>
            <w:tcW w:w="1780" w:type="dxa"/>
            <w:gridSpan w:val="2"/>
            <w:vAlign w:val="bottom"/>
          </w:tcPr>
          <w:p w14:paraId="2819D54E" w14:textId="77777777" w:rsidR="004647B9" w:rsidRDefault="00E2436F">
            <w:pPr>
              <w:ind w:left="860"/>
              <w:rPr>
                <w:sz w:val="20"/>
                <w:szCs w:val="20"/>
              </w:rPr>
            </w:pPr>
            <w:r>
              <w:rPr>
                <w:rFonts w:eastAsia="Times New Roman"/>
                <w:sz w:val="18"/>
                <w:szCs w:val="18"/>
              </w:rPr>
              <w:t>0.0010</w:t>
            </w:r>
          </w:p>
        </w:tc>
        <w:tc>
          <w:tcPr>
            <w:tcW w:w="800" w:type="dxa"/>
            <w:vAlign w:val="bottom"/>
          </w:tcPr>
          <w:p w14:paraId="2819D54F" w14:textId="77777777" w:rsidR="004647B9" w:rsidRDefault="004647B9"/>
        </w:tc>
        <w:tc>
          <w:tcPr>
            <w:tcW w:w="4420" w:type="dxa"/>
            <w:vAlign w:val="bottom"/>
          </w:tcPr>
          <w:p w14:paraId="2819D550" w14:textId="77777777" w:rsidR="004647B9" w:rsidRDefault="004647B9"/>
        </w:tc>
        <w:tc>
          <w:tcPr>
            <w:tcW w:w="2180" w:type="dxa"/>
            <w:vAlign w:val="bottom"/>
          </w:tcPr>
          <w:p w14:paraId="2819D551" w14:textId="77777777" w:rsidR="004647B9" w:rsidRDefault="004647B9"/>
        </w:tc>
      </w:tr>
      <w:tr w:rsidR="004647B9" w14:paraId="2819D559" w14:textId="77777777">
        <w:trPr>
          <w:trHeight w:val="262"/>
        </w:trPr>
        <w:tc>
          <w:tcPr>
            <w:tcW w:w="1020" w:type="dxa"/>
            <w:vAlign w:val="bottom"/>
          </w:tcPr>
          <w:p w14:paraId="2819D553" w14:textId="77777777" w:rsidR="004647B9" w:rsidRDefault="004647B9"/>
        </w:tc>
        <w:tc>
          <w:tcPr>
            <w:tcW w:w="860" w:type="dxa"/>
            <w:vAlign w:val="bottom"/>
          </w:tcPr>
          <w:p w14:paraId="2819D554" w14:textId="77777777" w:rsidR="004647B9" w:rsidRDefault="004647B9"/>
        </w:tc>
        <w:tc>
          <w:tcPr>
            <w:tcW w:w="920" w:type="dxa"/>
            <w:vAlign w:val="bottom"/>
          </w:tcPr>
          <w:p w14:paraId="2819D555" w14:textId="77777777" w:rsidR="004647B9" w:rsidRDefault="004647B9"/>
        </w:tc>
        <w:tc>
          <w:tcPr>
            <w:tcW w:w="800" w:type="dxa"/>
            <w:vAlign w:val="bottom"/>
          </w:tcPr>
          <w:p w14:paraId="2819D556" w14:textId="77777777" w:rsidR="004647B9" w:rsidRDefault="004647B9"/>
        </w:tc>
        <w:tc>
          <w:tcPr>
            <w:tcW w:w="4420" w:type="dxa"/>
            <w:vAlign w:val="bottom"/>
          </w:tcPr>
          <w:p w14:paraId="2819D557" w14:textId="77777777" w:rsidR="004647B9" w:rsidRDefault="00E2436F">
            <w:pPr>
              <w:rPr>
                <w:sz w:val="20"/>
                <w:szCs w:val="20"/>
              </w:rPr>
            </w:pPr>
            <w:r>
              <w:rPr>
                <w:rFonts w:eastAsia="Times New Roman"/>
                <w:sz w:val="18"/>
                <w:szCs w:val="18"/>
              </w:rPr>
              <w:t>IC/MS or IC/MS/MS</w:t>
            </w:r>
          </w:p>
        </w:tc>
        <w:tc>
          <w:tcPr>
            <w:tcW w:w="2180" w:type="dxa"/>
            <w:vAlign w:val="bottom"/>
          </w:tcPr>
          <w:p w14:paraId="2819D558" w14:textId="77777777" w:rsidR="004647B9" w:rsidRDefault="00E2436F">
            <w:pPr>
              <w:ind w:left="840"/>
              <w:rPr>
                <w:sz w:val="20"/>
                <w:szCs w:val="20"/>
              </w:rPr>
            </w:pPr>
            <w:r>
              <w:rPr>
                <w:rFonts w:eastAsia="Times New Roman"/>
                <w:sz w:val="18"/>
                <w:szCs w:val="18"/>
              </w:rPr>
              <w:t>0.0010</w:t>
            </w:r>
          </w:p>
        </w:tc>
      </w:tr>
      <w:tr w:rsidR="004647B9" w14:paraId="2819D55F" w14:textId="77777777">
        <w:trPr>
          <w:trHeight w:val="262"/>
        </w:trPr>
        <w:tc>
          <w:tcPr>
            <w:tcW w:w="1020" w:type="dxa"/>
            <w:vAlign w:val="bottom"/>
          </w:tcPr>
          <w:p w14:paraId="2819D55A" w14:textId="77777777" w:rsidR="004647B9" w:rsidRDefault="00E2436F">
            <w:pPr>
              <w:rPr>
                <w:sz w:val="20"/>
                <w:szCs w:val="20"/>
              </w:rPr>
            </w:pPr>
            <w:r>
              <w:rPr>
                <w:rFonts w:eastAsia="Times New Roman"/>
                <w:sz w:val="18"/>
                <w:szCs w:val="18"/>
              </w:rPr>
              <w:t>Selenium</w:t>
            </w:r>
          </w:p>
        </w:tc>
        <w:tc>
          <w:tcPr>
            <w:tcW w:w="1780" w:type="dxa"/>
            <w:gridSpan w:val="2"/>
            <w:vAlign w:val="bottom"/>
          </w:tcPr>
          <w:p w14:paraId="2819D55B" w14:textId="77777777" w:rsidR="004647B9" w:rsidRDefault="00E2436F">
            <w:pPr>
              <w:ind w:left="860"/>
              <w:rPr>
                <w:sz w:val="20"/>
                <w:szCs w:val="20"/>
              </w:rPr>
            </w:pPr>
            <w:r>
              <w:rPr>
                <w:rFonts w:eastAsia="Times New Roman"/>
                <w:sz w:val="18"/>
                <w:szCs w:val="18"/>
              </w:rPr>
              <w:t>0.05</w:t>
            </w:r>
          </w:p>
        </w:tc>
        <w:tc>
          <w:tcPr>
            <w:tcW w:w="800" w:type="dxa"/>
            <w:vAlign w:val="bottom"/>
          </w:tcPr>
          <w:p w14:paraId="2819D55C" w14:textId="77777777" w:rsidR="004647B9" w:rsidRDefault="004647B9"/>
        </w:tc>
        <w:tc>
          <w:tcPr>
            <w:tcW w:w="4420" w:type="dxa"/>
            <w:vAlign w:val="bottom"/>
          </w:tcPr>
          <w:p w14:paraId="2819D55D" w14:textId="77777777" w:rsidR="004647B9" w:rsidRDefault="00E2436F">
            <w:pPr>
              <w:rPr>
                <w:sz w:val="20"/>
                <w:szCs w:val="20"/>
              </w:rPr>
            </w:pPr>
            <w:r>
              <w:rPr>
                <w:rFonts w:eastAsia="Times New Roman"/>
                <w:sz w:val="18"/>
                <w:szCs w:val="18"/>
              </w:rPr>
              <w:t>Atomic Absorption; furnace</w:t>
            </w:r>
          </w:p>
        </w:tc>
        <w:tc>
          <w:tcPr>
            <w:tcW w:w="2180" w:type="dxa"/>
            <w:vAlign w:val="bottom"/>
          </w:tcPr>
          <w:p w14:paraId="2819D55E" w14:textId="77777777" w:rsidR="004647B9" w:rsidRDefault="00E2436F">
            <w:pPr>
              <w:ind w:left="840"/>
              <w:rPr>
                <w:sz w:val="20"/>
                <w:szCs w:val="20"/>
              </w:rPr>
            </w:pPr>
            <w:r>
              <w:rPr>
                <w:rFonts w:eastAsia="Times New Roman"/>
                <w:sz w:val="18"/>
                <w:szCs w:val="18"/>
              </w:rPr>
              <w:t>0.002</w:t>
            </w:r>
          </w:p>
        </w:tc>
      </w:tr>
      <w:tr w:rsidR="004647B9" w14:paraId="2819D566" w14:textId="77777777">
        <w:trPr>
          <w:trHeight w:val="262"/>
        </w:trPr>
        <w:tc>
          <w:tcPr>
            <w:tcW w:w="1020" w:type="dxa"/>
            <w:vAlign w:val="bottom"/>
          </w:tcPr>
          <w:p w14:paraId="2819D560" w14:textId="77777777" w:rsidR="004647B9" w:rsidRDefault="004647B9"/>
        </w:tc>
        <w:tc>
          <w:tcPr>
            <w:tcW w:w="860" w:type="dxa"/>
            <w:vAlign w:val="bottom"/>
          </w:tcPr>
          <w:p w14:paraId="2819D561" w14:textId="77777777" w:rsidR="004647B9" w:rsidRDefault="004647B9"/>
        </w:tc>
        <w:tc>
          <w:tcPr>
            <w:tcW w:w="920" w:type="dxa"/>
            <w:vAlign w:val="bottom"/>
          </w:tcPr>
          <w:p w14:paraId="2819D562" w14:textId="77777777" w:rsidR="004647B9" w:rsidRDefault="004647B9"/>
        </w:tc>
        <w:tc>
          <w:tcPr>
            <w:tcW w:w="800" w:type="dxa"/>
            <w:vAlign w:val="bottom"/>
          </w:tcPr>
          <w:p w14:paraId="2819D563" w14:textId="77777777" w:rsidR="004647B9" w:rsidRDefault="004647B9"/>
        </w:tc>
        <w:tc>
          <w:tcPr>
            <w:tcW w:w="4420" w:type="dxa"/>
            <w:vAlign w:val="bottom"/>
          </w:tcPr>
          <w:p w14:paraId="2819D564" w14:textId="77777777" w:rsidR="004647B9" w:rsidRDefault="00E2436F">
            <w:pPr>
              <w:rPr>
                <w:sz w:val="20"/>
                <w:szCs w:val="20"/>
              </w:rPr>
            </w:pPr>
            <w:r>
              <w:rPr>
                <w:rFonts w:eastAsia="Times New Roman"/>
                <w:sz w:val="18"/>
                <w:szCs w:val="18"/>
              </w:rPr>
              <w:t>Atomic Absorption: gaseous hydride</w:t>
            </w:r>
          </w:p>
        </w:tc>
        <w:tc>
          <w:tcPr>
            <w:tcW w:w="2180" w:type="dxa"/>
            <w:vAlign w:val="bottom"/>
          </w:tcPr>
          <w:p w14:paraId="2819D565" w14:textId="77777777" w:rsidR="004647B9" w:rsidRDefault="00E2436F">
            <w:pPr>
              <w:ind w:left="840"/>
              <w:rPr>
                <w:sz w:val="20"/>
                <w:szCs w:val="20"/>
              </w:rPr>
            </w:pPr>
            <w:r>
              <w:rPr>
                <w:rFonts w:eastAsia="Times New Roman"/>
                <w:sz w:val="18"/>
                <w:szCs w:val="18"/>
              </w:rPr>
              <w:t>0.002</w:t>
            </w:r>
          </w:p>
        </w:tc>
      </w:tr>
      <w:tr w:rsidR="004647B9" w14:paraId="2819D56D" w14:textId="77777777">
        <w:trPr>
          <w:trHeight w:val="262"/>
        </w:trPr>
        <w:tc>
          <w:tcPr>
            <w:tcW w:w="1020" w:type="dxa"/>
            <w:vAlign w:val="bottom"/>
          </w:tcPr>
          <w:p w14:paraId="2819D567" w14:textId="77777777" w:rsidR="004647B9" w:rsidRDefault="00E2436F">
            <w:pPr>
              <w:rPr>
                <w:sz w:val="20"/>
                <w:szCs w:val="20"/>
              </w:rPr>
            </w:pPr>
            <w:r>
              <w:rPr>
                <w:rFonts w:eastAsia="Times New Roman"/>
                <w:sz w:val="18"/>
                <w:szCs w:val="18"/>
              </w:rPr>
              <w:t>Sodium</w:t>
            </w:r>
          </w:p>
        </w:tc>
        <w:tc>
          <w:tcPr>
            <w:tcW w:w="860" w:type="dxa"/>
            <w:vAlign w:val="bottom"/>
          </w:tcPr>
          <w:p w14:paraId="2819D568" w14:textId="77777777" w:rsidR="004647B9" w:rsidRDefault="004647B9"/>
        </w:tc>
        <w:tc>
          <w:tcPr>
            <w:tcW w:w="920" w:type="dxa"/>
            <w:vAlign w:val="bottom"/>
          </w:tcPr>
          <w:p w14:paraId="2819D569" w14:textId="77777777" w:rsidR="004647B9" w:rsidRDefault="004647B9"/>
        </w:tc>
        <w:tc>
          <w:tcPr>
            <w:tcW w:w="800" w:type="dxa"/>
            <w:vAlign w:val="bottom"/>
          </w:tcPr>
          <w:p w14:paraId="2819D56A" w14:textId="77777777" w:rsidR="004647B9" w:rsidRDefault="004647B9"/>
        </w:tc>
        <w:tc>
          <w:tcPr>
            <w:tcW w:w="4420" w:type="dxa"/>
            <w:vAlign w:val="bottom"/>
          </w:tcPr>
          <w:p w14:paraId="2819D56B" w14:textId="77777777" w:rsidR="004647B9" w:rsidRDefault="00E2436F">
            <w:pPr>
              <w:rPr>
                <w:sz w:val="20"/>
                <w:szCs w:val="20"/>
              </w:rPr>
            </w:pPr>
            <w:r>
              <w:rPr>
                <w:rFonts w:eastAsia="Times New Roman"/>
                <w:i/>
                <w:iCs/>
                <w:sz w:val="18"/>
                <w:szCs w:val="18"/>
              </w:rPr>
              <w:t xml:space="preserve">See </w:t>
            </w:r>
            <w:r>
              <w:rPr>
                <w:rFonts w:eastAsia="Times New Roman"/>
                <w:sz w:val="18"/>
                <w:szCs w:val="18"/>
              </w:rPr>
              <w:t>310 CMR 22.06A</w:t>
            </w:r>
          </w:p>
        </w:tc>
        <w:tc>
          <w:tcPr>
            <w:tcW w:w="2180" w:type="dxa"/>
            <w:vAlign w:val="bottom"/>
          </w:tcPr>
          <w:p w14:paraId="2819D56C" w14:textId="77777777" w:rsidR="004647B9" w:rsidRDefault="004647B9"/>
        </w:tc>
      </w:tr>
      <w:tr w:rsidR="004647B9" w14:paraId="2819D573" w14:textId="77777777">
        <w:trPr>
          <w:trHeight w:val="262"/>
        </w:trPr>
        <w:tc>
          <w:tcPr>
            <w:tcW w:w="1020" w:type="dxa"/>
            <w:vAlign w:val="bottom"/>
          </w:tcPr>
          <w:p w14:paraId="2819D56E" w14:textId="77777777" w:rsidR="004647B9" w:rsidRDefault="00E2436F">
            <w:pPr>
              <w:rPr>
                <w:sz w:val="20"/>
                <w:szCs w:val="20"/>
              </w:rPr>
            </w:pPr>
            <w:r>
              <w:rPr>
                <w:rFonts w:eastAsia="Times New Roman"/>
                <w:sz w:val="18"/>
                <w:szCs w:val="18"/>
              </w:rPr>
              <w:t>Thallium</w:t>
            </w:r>
          </w:p>
        </w:tc>
        <w:tc>
          <w:tcPr>
            <w:tcW w:w="1780" w:type="dxa"/>
            <w:gridSpan w:val="2"/>
            <w:vAlign w:val="bottom"/>
          </w:tcPr>
          <w:p w14:paraId="2819D56F" w14:textId="77777777" w:rsidR="004647B9" w:rsidRDefault="00E2436F">
            <w:pPr>
              <w:ind w:left="860"/>
              <w:rPr>
                <w:sz w:val="20"/>
                <w:szCs w:val="20"/>
              </w:rPr>
            </w:pPr>
            <w:r>
              <w:rPr>
                <w:rFonts w:eastAsia="Times New Roman"/>
                <w:sz w:val="18"/>
                <w:szCs w:val="18"/>
              </w:rPr>
              <w:t>0.002</w:t>
            </w:r>
          </w:p>
        </w:tc>
        <w:tc>
          <w:tcPr>
            <w:tcW w:w="800" w:type="dxa"/>
            <w:vAlign w:val="bottom"/>
          </w:tcPr>
          <w:p w14:paraId="2819D570" w14:textId="77777777" w:rsidR="004647B9" w:rsidRDefault="004647B9"/>
        </w:tc>
        <w:tc>
          <w:tcPr>
            <w:tcW w:w="4420" w:type="dxa"/>
            <w:vAlign w:val="bottom"/>
          </w:tcPr>
          <w:p w14:paraId="2819D571" w14:textId="77777777" w:rsidR="004647B9" w:rsidRDefault="00E2436F">
            <w:pPr>
              <w:rPr>
                <w:sz w:val="20"/>
                <w:szCs w:val="20"/>
              </w:rPr>
            </w:pPr>
            <w:r>
              <w:rPr>
                <w:rFonts w:eastAsia="Times New Roman"/>
                <w:sz w:val="18"/>
                <w:szCs w:val="18"/>
              </w:rPr>
              <w:t>Atomic Absorption; furnace</w:t>
            </w:r>
          </w:p>
        </w:tc>
        <w:tc>
          <w:tcPr>
            <w:tcW w:w="2180" w:type="dxa"/>
            <w:vAlign w:val="bottom"/>
          </w:tcPr>
          <w:p w14:paraId="2819D572" w14:textId="77777777" w:rsidR="004647B9" w:rsidRDefault="00E2436F">
            <w:pPr>
              <w:ind w:left="840"/>
              <w:rPr>
                <w:sz w:val="20"/>
                <w:szCs w:val="20"/>
              </w:rPr>
            </w:pPr>
            <w:r>
              <w:rPr>
                <w:rFonts w:eastAsia="Times New Roman"/>
                <w:sz w:val="18"/>
                <w:szCs w:val="18"/>
              </w:rPr>
              <w:t>0.001</w:t>
            </w:r>
          </w:p>
        </w:tc>
      </w:tr>
      <w:tr w:rsidR="004647B9" w14:paraId="2819D57A" w14:textId="77777777">
        <w:trPr>
          <w:trHeight w:val="262"/>
        </w:trPr>
        <w:tc>
          <w:tcPr>
            <w:tcW w:w="1020" w:type="dxa"/>
            <w:vAlign w:val="bottom"/>
          </w:tcPr>
          <w:p w14:paraId="2819D574" w14:textId="77777777" w:rsidR="004647B9" w:rsidRDefault="004647B9"/>
        </w:tc>
        <w:tc>
          <w:tcPr>
            <w:tcW w:w="860" w:type="dxa"/>
            <w:vAlign w:val="bottom"/>
          </w:tcPr>
          <w:p w14:paraId="2819D575" w14:textId="77777777" w:rsidR="004647B9" w:rsidRDefault="004647B9"/>
        </w:tc>
        <w:tc>
          <w:tcPr>
            <w:tcW w:w="920" w:type="dxa"/>
            <w:vAlign w:val="bottom"/>
          </w:tcPr>
          <w:p w14:paraId="2819D576" w14:textId="77777777" w:rsidR="004647B9" w:rsidRDefault="004647B9"/>
        </w:tc>
        <w:tc>
          <w:tcPr>
            <w:tcW w:w="800" w:type="dxa"/>
            <w:vAlign w:val="bottom"/>
          </w:tcPr>
          <w:p w14:paraId="2819D577" w14:textId="77777777" w:rsidR="004647B9" w:rsidRDefault="004647B9"/>
        </w:tc>
        <w:tc>
          <w:tcPr>
            <w:tcW w:w="4420" w:type="dxa"/>
            <w:vAlign w:val="bottom"/>
          </w:tcPr>
          <w:p w14:paraId="2819D578" w14:textId="77777777" w:rsidR="004647B9" w:rsidRDefault="00E2436F">
            <w:pPr>
              <w:rPr>
                <w:sz w:val="20"/>
                <w:szCs w:val="20"/>
              </w:rPr>
            </w:pPr>
            <w:r>
              <w:rPr>
                <w:rFonts w:eastAsia="Times New Roman"/>
                <w:sz w:val="18"/>
                <w:szCs w:val="18"/>
              </w:rPr>
              <w:t>Atomic Absorption; platform</w:t>
            </w:r>
          </w:p>
        </w:tc>
        <w:tc>
          <w:tcPr>
            <w:tcW w:w="2180" w:type="dxa"/>
            <w:vAlign w:val="bottom"/>
          </w:tcPr>
          <w:p w14:paraId="2819D579" w14:textId="77777777" w:rsidR="004647B9" w:rsidRDefault="00E2436F">
            <w:pPr>
              <w:ind w:left="840"/>
              <w:rPr>
                <w:sz w:val="20"/>
                <w:szCs w:val="20"/>
              </w:rPr>
            </w:pPr>
            <w:r>
              <w:rPr>
                <w:rFonts w:eastAsia="Times New Roman"/>
                <w:sz w:val="18"/>
                <w:szCs w:val="18"/>
              </w:rPr>
              <w:t>0.0007</w:t>
            </w:r>
            <w:r>
              <w:rPr>
                <w:rFonts w:eastAsia="Times New Roman"/>
                <w:sz w:val="19"/>
                <w:szCs w:val="19"/>
                <w:vertAlign w:val="superscript"/>
              </w:rPr>
              <w:t>5</w:t>
            </w:r>
          </w:p>
        </w:tc>
      </w:tr>
      <w:tr w:rsidR="004647B9" w14:paraId="2819D581" w14:textId="77777777">
        <w:trPr>
          <w:trHeight w:val="262"/>
        </w:trPr>
        <w:tc>
          <w:tcPr>
            <w:tcW w:w="1020" w:type="dxa"/>
            <w:vAlign w:val="bottom"/>
          </w:tcPr>
          <w:p w14:paraId="2819D57B" w14:textId="77777777" w:rsidR="004647B9" w:rsidRDefault="004647B9"/>
        </w:tc>
        <w:tc>
          <w:tcPr>
            <w:tcW w:w="860" w:type="dxa"/>
            <w:vAlign w:val="bottom"/>
          </w:tcPr>
          <w:p w14:paraId="2819D57C" w14:textId="77777777" w:rsidR="004647B9" w:rsidRDefault="004647B9"/>
        </w:tc>
        <w:tc>
          <w:tcPr>
            <w:tcW w:w="920" w:type="dxa"/>
            <w:vAlign w:val="bottom"/>
          </w:tcPr>
          <w:p w14:paraId="2819D57D" w14:textId="77777777" w:rsidR="004647B9" w:rsidRDefault="004647B9"/>
        </w:tc>
        <w:tc>
          <w:tcPr>
            <w:tcW w:w="800" w:type="dxa"/>
            <w:vAlign w:val="bottom"/>
          </w:tcPr>
          <w:p w14:paraId="2819D57E" w14:textId="77777777" w:rsidR="004647B9" w:rsidRDefault="004647B9"/>
        </w:tc>
        <w:tc>
          <w:tcPr>
            <w:tcW w:w="4420" w:type="dxa"/>
            <w:vAlign w:val="bottom"/>
          </w:tcPr>
          <w:p w14:paraId="2819D57F" w14:textId="77777777" w:rsidR="004647B9" w:rsidRDefault="00E2436F">
            <w:pPr>
              <w:rPr>
                <w:sz w:val="20"/>
                <w:szCs w:val="20"/>
              </w:rPr>
            </w:pPr>
            <w:r>
              <w:rPr>
                <w:rFonts w:eastAsia="Times New Roman"/>
                <w:sz w:val="18"/>
                <w:szCs w:val="18"/>
              </w:rPr>
              <w:t>ICP-Mass Spectrometry</w:t>
            </w:r>
          </w:p>
        </w:tc>
        <w:tc>
          <w:tcPr>
            <w:tcW w:w="2180" w:type="dxa"/>
            <w:vAlign w:val="bottom"/>
          </w:tcPr>
          <w:p w14:paraId="2819D580" w14:textId="77777777" w:rsidR="004647B9" w:rsidRDefault="00E2436F">
            <w:pPr>
              <w:ind w:left="840"/>
              <w:rPr>
                <w:sz w:val="20"/>
                <w:szCs w:val="20"/>
              </w:rPr>
            </w:pPr>
            <w:r>
              <w:rPr>
                <w:rFonts w:eastAsia="Times New Roman"/>
                <w:sz w:val="18"/>
                <w:szCs w:val="18"/>
              </w:rPr>
              <w:t>0.0003</w:t>
            </w:r>
          </w:p>
        </w:tc>
      </w:tr>
    </w:tbl>
    <w:p w14:paraId="2819D582" w14:textId="77777777" w:rsidR="004647B9" w:rsidRDefault="004647B9">
      <w:pPr>
        <w:sectPr w:rsidR="004647B9" w:rsidSect="00EF630C">
          <w:pgSz w:w="12240" w:h="20180"/>
          <w:pgMar w:top="708" w:right="1440" w:bottom="877" w:left="600" w:header="0" w:footer="0" w:gutter="0"/>
          <w:cols w:space="720" w:equalWidth="0">
            <w:col w:w="10200"/>
          </w:cols>
        </w:sectPr>
      </w:pPr>
    </w:p>
    <w:p w14:paraId="2819D583" w14:textId="77777777" w:rsidR="004647B9" w:rsidRDefault="00E2436F">
      <w:pPr>
        <w:tabs>
          <w:tab w:val="left" w:pos="160"/>
        </w:tabs>
        <w:ind w:right="19"/>
        <w:jc w:val="center"/>
        <w:rPr>
          <w:sz w:val="20"/>
          <w:szCs w:val="20"/>
        </w:rPr>
      </w:pPr>
      <w:bookmarkStart w:id="48" w:name="page49"/>
      <w:bookmarkEnd w:id="4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584" w14:textId="77777777" w:rsidR="004647B9" w:rsidRDefault="004647B9" w:rsidP="00B87EDF">
      <w:pPr>
        <w:rPr>
          <w:sz w:val="20"/>
          <w:szCs w:val="20"/>
        </w:rPr>
      </w:pPr>
    </w:p>
    <w:p w14:paraId="2819D585" w14:textId="77777777" w:rsidR="004647B9" w:rsidRDefault="004647B9" w:rsidP="00B87EDF">
      <w:pPr>
        <w:rPr>
          <w:sz w:val="20"/>
          <w:szCs w:val="20"/>
        </w:rPr>
      </w:pPr>
    </w:p>
    <w:p w14:paraId="2819D586" w14:textId="77777777" w:rsidR="004647B9" w:rsidRDefault="00E2436F">
      <w:pPr>
        <w:tabs>
          <w:tab w:val="left" w:pos="761"/>
        </w:tabs>
        <w:ind w:left="1"/>
        <w:rPr>
          <w:sz w:val="20"/>
          <w:szCs w:val="20"/>
        </w:rPr>
      </w:pPr>
      <w:r>
        <w:rPr>
          <w:rFonts w:eastAsia="Times New Roman"/>
          <w:sz w:val="24"/>
          <w:szCs w:val="24"/>
        </w:rPr>
        <w:t>22.06:</w:t>
      </w:r>
      <w:r>
        <w:rPr>
          <w:rFonts w:eastAsia="Times New Roman"/>
          <w:sz w:val="24"/>
          <w:szCs w:val="24"/>
        </w:rPr>
        <w:tab/>
        <w:t>continued</w:t>
      </w:r>
    </w:p>
    <w:p w14:paraId="2819D587" w14:textId="77777777" w:rsidR="004647B9" w:rsidRDefault="004647B9" w:rsidP="00B87EDF">
      <w:pPr>
        <w:rPr>
          <w:sz w:val="20"/>
          <w:szCs w:val="20"/>
        </w:rPr>
      </w:pPr>
    </w:p>
    <w:p w14:paraId="28B05C62" w14:textId="442B1A12" w:rsidR="00FD235B" w:rsidRPr="005C2F7D" w:rsidRDefault="00FD235B" w:rsidP="00563A54">
      <w:pPr>
        <w:pStyle w:val="ListParagraph"/>
        <w:numPr>
          <w:ilvl w:val="0"/>
          <w:numId w:val="913"/>
        </w:numPr>
        <w:tabs>
          <w:tab w:val="left" w:pos="481"/>
        </w:tabs>
        <w:spacing w:line="181" w:lineRule="auto"/>
        <w:rPr>
          <w:rFonts w:eastAsia="Times New Roman"/>
          <w:sz w:val="28"/>
          <w:szCs w:val="28"/>
          <w:vertAlign w:val="superscript"/>
        </w:rPr>
      </w:pPr>
      <w:r w:rsidRPr="005C2F7D">
        <w:rPr>
          <w:rFonts w:eastAsia="Times New Roman"/>
          <w:sz w:val="24"/>
          <w:szCs w:val="24"/>
        </w:rPr>
        <w:t>MFL = million fibers per liter &gt;10 µm.</w:t>
      </w:r>
    </w:p>
    <w:p w14:paraId="2A8A9CB2" w14:textId="5C52D699" w:rsidR="00B52EAF" w:rsidRPr="005C2F7D" w:rsidRDefault="00FD235B" w:rsidP="00563A54">
      <w:pPr>
        <w:numPr>
          <w:ilvl w:val="0"/>
          <w:numId w:val="913"/>
        </w:numPr>
        <w:tabs>
          <w:tab w:val="left" w:pos="481"/>
        </w:tabs>
        <w:spacing w:line="233" w:lineRule="auto"/>
        <w:ind w:left="481" w:right="20" w:hanging="481"/>
        <w:jc w:val="both"/>
        <w:rPr>
          <w:rFonts w:eastAsia="Times New Roman"/>
          <w:sz w:val="24"/>
          <w:szCs w:val="24"/>
        </w:rPr>
      </w:pPr>
      <w:r w:rsidRPr="005C2F7D">
        <w:rPr>
          <w:rFonts w:eastAsia="Times New Roman"/>
          <w:sz w:val="24"/>
          <w:szCs w:val="24"/>
        </w:rPr>
        <w:t>Using a 2X preconcentration step as noted in Method 200.7. Lower MDLs may be achieved when using</w:t>
      </w:r>
      <w:r w:rsidR="005C2F7D">
        <w:rPr>
          <w:rFonts w:eastAsia="Times New Roman"/>
          <w:sz w:val="24"/>
          <w:szCs w:val="24"/>
        </w:rPr>
        <w:t xml:space="preserve"> </w:t>
      </w:r>
      <w:r>
        <w:rPr>
          <w:rFonts w:eastAsia="Times New Roman"/>
          <w:sz w:val="24"/>
          <w:szCs w:val="24"/>
        </w:rPr>
        <w:t>a 4X preconcentration.</w:t>
      </w:r>
    </w:p>
    <w:p w14:paraId="2819D59C" w14:textId="225B7B01" w:rsidR="004647B9" w:rsidRDefault="00E2436F" w:rsidP="00563A54">
      <w:pPr>
        <w:numPr>
          <w:ilvl w:val="0"/>
          <w:numId w:val="913"/>
        </w:numPr>
        <w:tabs>
          <w:tab w:val="left" w:pos="481"/>
        </w:tabs>
        <w:spacing w:line="181" w:lineRule="auto"/>
        <w:rPr>
          <w:rFonts w:eastAsia="Times New Roman"/>
          <w:sz w:val="28"/>
          <w:szCs w:val="28"/>
          <w:vertAlign w:val="superscript"/>
        </w:rPr>
      </w:pPr>
      <w:r>
        <w:rPr>
          <w:rFonts w:eastAsia="Times New Roman"/>
          <w:sz w:val="24"/>
          <w:szCs w:val="24"/>
        </w:rPr>
        <w:t>Screening methods for total cyanides.</w:t>
      </w:r>
    </w:p>
    <w:p w14:paraId="2819D59D" w14:textId="77777777" w:rsidR="004647B9" w:rsidRDefault="00E2436F" w:rsidP="00563A54">
      <w:pPr>
        <w:numPr>
          <w:ilvl w:val="0"/>
          <w:numId w:val="913"/>
        </w:numPr>
        <w:tabs>
          <w:tab w:val="left" w:pos="481"/>
        </w:tabs>
        <w:spacing w:line="209" w:lineRule="auto"/>
        <w:rPr>
          <w:rFonts w:eastAsia="Times New Roman"/>
          <w:sz w:val="28"/>
          <w:szCs w:val="28"/>
          <w:vertAlign w:val="superscript"/>
        </w:rPr>
      </w:pPr>
      <w:r>
        <w:rPr>
          <w:rFonts w:eastAsia="Times New Roman"/>
          <w:sz w:val="24"/>
          <w:szCs w:val="24"/>
        </w:rPr>
        <w:t>Measures "free" cyanides when distillation, digestion, or ligand exchange is omitted.</w:t>
      </w:r>
    </w:p>
    <w:p w14:paraId="2819D59E" w14:textId="77777777" w:rsidR="004647B9" w:rsidRDefault="00E2436F" w:rsidP="00563A54">
      <w:pPr>
        <w:numPr>
          <w:ilvl w:val="0"/>
          <w:numId w:val="913"/>
        </w:numPr>
        <w:tabs>
          <w:tab w:val="left" w:pos="481"/>
        </w:tabs>
        <w:spacing w:line="207" w:lineRule="auto"/>
        <w:rPr>
          <w:rFonts w:eastAsia="Times New Roman"/>
          <w:sz w:val="28"/>
          <w:szCs w:val="28"/>
          <w:vertAlign w:val="superscript"/>
        </w:rPr>
      </w:pPr>
      <w:r>
        <w:rPr>
          <w:rFonts w:eastAsia="Times New Roman"/>
          <w:sz w:val="24"/>
          <w:szCs w:val="24"/>
        </w:rPr>
        <w:t>Lower MDLs are reported using stabilized temperature graphite furnace atomic absorption.</w:t>
      </w:r>
    </w:p>
    <w:p w14:paraId="2819D59F" w14:textId="77777777" w:rsidR="004647B9" w:rsidRDefault="00E2436F" w:rsidP="00563A54">
      <w:pPr>
        <w:numPr>
          <w:ilvl w:val="0"/>
          <w:numId w:val="913"/>
        </w:numPr>
        <w:tabs>
          <w:tab w:val="left" w:pos="481"/>
        </w:tabs>
        <w:spacing w:line="209" w:lineRule="auto"/>
        <w:rPr>
          <w:rFonts w:eastAsia="Times New Roman"/>
          <w:sz w:val="28"/>
          <w:szCs w:val="28"/>
          <w:vertAlign w:val="superscript"/>
        </w:rPr>
      </w:pPr>
      <w:r>
        <w:rPr>
          <w:rFonts w:eastAsia="Times New Roman"/>
          <w:sz w:val="24"/>
          <w:szCs w:val="24"/>
        </w:rPr>
        <w:t>The MCL for arsenic is effective January 23, 2006. Until then, the MCL is 0.05 mg/l.</w:t>
      </w:r>
    </w:p>
    <w:p w14:paraId="2819D5A0" w14:textId="77777777" w:rsidR="004647B9" w:rsidRDefault="00E2436F" w:rsidP="00563A54">
      <w:pPr>
        <w:numPr>
          <w:ilvl w:val="0"/>
          <w:numId w:val="913"/>
        </w:numPr>
        <w:tabs>
          <w:tab w:val="left" w:pos="481"/>
        </w:tabs>
        <w:spacing w:line="233" w:lineRule="auto"/>
        <w:ind w:left="481" w:right="20" w:hanging="481"/>
        <w:jc w:val="both"/>
        <w:rPr>
          <w:rFonts w:eastAsia="Times New Roman"/>
          <w:sz w:val="28"/>
          <w:szCs w:val="28"/>
          <w:vertAlign w:val="superscript"/>
        </w:rPr>
      </w:pPr>
      <w:r>
        <w:rPr>
          <w:rFonts w:eastAsia="Times New Roman"/>
          <w:sz w:val="24"/>
          <w:szCs w:val="24"/>
        </w:rPr>
        <w:t>The MDL reported for EPA method 200.9 (Atomic Absorption; Platform---Stabilized Temperature) was determined using a 2x concentration step during sample digestion. The MDL determined for samples analyzed using direct analyses (</w:t>
      </w:r>
      <w:r>
        <w:rPr>
          <w:rFonts w:eastAsia="Times New Roman"/>
          <w:i/>
          <w:iCs/>
          <w:sz w:val="24"/>
          <w:szCs w:val="24"/>
        </w:rPr>
        <w:t>i.e</w:t>
      </w:r>
      <w:r>
        <w:rPr>
          <w:rFonts w:eastAsia="Times New Roman"/>
          <w:sz w:val="24"/>
          <w:szCs w:val="24"/>
        </w:rPr>
        <w:t>., no sample digestion) will be higher. Using multiple deposition, EPA 200.9 is capable of obtaining MDL of 0.0001 mg/l.</w:t>
      </w:r>
    </w:p>
    <w:p w14:paraId="2819D5A1" w14:textId="77777777" w:rsidR="004647B9" w:rsidRDefault="004647B9">
      <w:pPr>
        <w:spacing w:line="2" w:lineRule="exact"/>
        <w:rPr>
          <w:rFonts w:eastAsia="Times New Roman"/>
          <w:sz w:val="28"/>
          <w:szCs w:val="28"/>
          <w:vertAlign w:val="superscript"/>
        </w:rPr>
      </w:pPr>
    </w:p>
    <w:p w14:paraId="2819D5A2" w14:textId="77777777" w:rsidR="004647B9" w:rsidRDefault="00E2436F" w:rsidP="00563A54">
      <w:pPr>
        <w:numPr>
          <w:ilvl w:val="0"/>
          <w:numId w:val="913"/>
        </w:numPr>
        <w:tabs>
          <w:tab w:val="left" w:pos="481"/>
        </w:tabs>
        <w:spacing w:line="224" w:lineRule="auto"/>
        <w:ind w:left="481" w:hanging="481"/>
        <w:rPr>
          <w:rFonts w:eastAsia="Times New Roman"/>
          <w:sz w:val="28"/>
          <w:szCs w:val="28"/>
          <w:vertAlign w:val="superscript"/>
        </w:rPr>
      </w:pPr>
      <w:r>
        <w:rPr>
          <w:rFonts w:eastAsia="Times New Roman"/>
          <w:sz w:val="24"/>
          <w:szCs w:val="24"/>
        </w:rPr>
        <w:t>Using selective ion monitoring, EPA Method 200.8 (ICP-MS) is capable of obtaining a MDL of 0.0001 mg/l.</w:t>
      </w:r>
    </w:p>
    <w:p w14:paraId="2819D5A3" w14:textId="77777777" w:rsidR="004647B9" w:rsidRDefault="004647B9">
      <w:pPr>
        <w:spacing w:line="1" w:lineRule="exact"/>
        <w:rPr>
          <w:rFonts w:eastAsia="Times New Roman"/>
          <w:sz w:val="28"/>
          <w:szCs w:val="28"/>
          <w:vertAlign w:val="superscript"/>
        </w:rPr>
      </w:pPr>
    </w:p>
    <w:p w14:paraId="2819D5A4" w14:textId="77777777" w:rsidR="004647B9" w:rsidRDefault="00E2436F" w:rsidP="00563A54">
      <w:pPr>
        <w:numPr>
          <w:ilvl w:val="0"/>
          <w:numId w:val="913"/>
        </w:numPr>
        <w:tabs>
          <w:tab w:val="left" w:pos="481"/>
        </w:tabs>
        <w:spacing w:line="224" w:lineRule="auto"/>
        <w:ind w:left="481" w:right="20" w:hanging="481"/>
        <w:rPr>
          <w:rFonts w:eastAsia="Times New Roman"/>
          <w:sz w:val="28"/>
          <w:szCs w:val="28"/>
          <w:vertAlign w:val="superscript"/>
        </w:rPr>
      </w:pPr>
      <w:r>
        <w:rPr>
          <w:rFonts w:eastAsia="Times New Roman"/>
          <w:sz w:val="24"/>
          <w:szCs w:val="24"/>
        </w:rPr>
        <w:t>Analysis must be conducted using EPA Method 314.0, revision 1.0, November 1999 as modified to achieve the stated detection limit or EPA Method 314.1.</w:t>
      </w:r>
    </w:p>
    <w:p w14:paraId="2819D5A5" w14:textId="77777777" w:rsidR="004647B9" w:rsidRDefault="004647B9">
      <w:pPr>
        <w:spacing w:line="1" w:lineRule="exact"/>
        <w:rPr>
          <w:rFonts w:eastAsia="Times New Roman"/>
          <w:sz w:val="28"/>
          <w:szCs w:val="28"/>
          <w:vertAlign w:val="superscript"/>
        </w:rPr>
      </w:pPr>
    </w:p>
    <w:p w14:paraId="2819D5A6" w14:textId="77777777" w:rsidR="004647B9" w:rsidRDefault="00E2436F" w:rsidP="00563A54">
      <w:pPr>
        <w:numPr>
          <w:ilvl w:val="0"/>
          <w:numId w:val="913"/>
        </w:numPr>
        <w:tabs>
          <w:tab w:val="left" w:pos="481"/>
        </w:tabs>
        <w:spacing w:line="207" w:lineRule="auto"/>
        <w:rPr>
          <w:rFonts w:eastAsia="Times New Roman"/>
          <w:sz w:val="28"/>
          <w:szCs w:val="28"/>
          <w:vertAlign w:val="superscript"/>
        </w:rPr>
      </w:pPr>
      <w:r>
        <w:rPr>
          <w:rFonts w:eastAsia="Times New Roman"/>
          <w:sz w:val="24"/>
          <w:szCs w:val="24"/>
        </w:rPr>
        <w:t>Minimum Reporting Level (MRL).  EPA Method 314.0 is capable of obtaining a MDL of less than</w:t>
      </w:r>
    </w:p>
    <w:p w14:paraId="543A0353" w14:textId="77777777" w:rsidR="00183214" w:rsidRDefault="00E2436F" w:rsidP="00183214">
      <w:pPr>
        <w:ind w:left="481"/>
        <w:rPr>
          <w:sz w:val="20"/>
          <w:szCs w:val="20"/>
        </w:rPr>
      </w:pPr>
      <w:r>
        <w:rPr>
          <w:rFonts w:eastAsia="Times New Roman"/>
          <w:sz w:val="24"/>
          <w:szCs w:val="24"/>
        </w:rPr>
        <w:t>0.0010 mg/l.</w:t>
      </w:r>
    </w:p>
    <w:p w14:paraId="2819D5AA" w14:textId="7D918F79" w:rsidR="004647B9" w:rsidRDefault="00E2436F" w:rsidP="00563A54">
      <w:pPr>
        <w:numPr>
          <w:ilvl w:val="0"/>
          <w:numId w:val="913"/>
        </w:numPr>
        <w:tabs>
          <w:tab w:val="left" w:pos="481"/>
        </w:tabs>
        <w:spacing w:line="207" w:lineRule="auto"/>
        <w:ind w:left="481" w:hanging="481"/>
        <w:rPr>
          <w:sz w:val="20"/>
          <w:szCs w:val="20"/>
        </w:rPr>
      </w:pPr>
      <w:r w:rsidRPr="00AC1A3E">
        <w:rPr>
          <w:rFonts w:eastAsia="Times New Roman"/>
          <w:sz w:val="24"/>
          <w:szCs w:val="24"/>
        </w:rPr>
        <w:t>Measures total cyanides when UV-digestor is used, and “free” cyanides when UV-digestor is bypassed.</w:t>
      </w:r>
    </w:p>
    <w:p w14:paraId="2819D5AB" w14:textId="77777777" w:rsidR="004647B9" w:rsidRPr="00827853" w:rsidRDefault="004647B9" w:rsidP="00B87EDF">
      <w:pPr>
        <w:rPr>
          <w:sz w:val="24"/>
          <w:szCs w:val="24"/>
        </w:rPr>
      </w:pPr>
    </w:p>
    <w:p w14:paraId="2819D5AC" w14:textId="77777777" w:rsidR="004647B9" w:rsidRPr="00827853" w:rsidRDefault="00E2436F" w:rsidP="00563A54">
      <w:pPr>
        <w:numPr>
          <w:ilvl w:val="2"/>
          <w:numId w:val="120"/>
        </w:numPr>
        <w:tabs>
          <w:tab w:val="left" w:pos="2245"/>
        </w:tabs>
        <w:spacing w:line="250" w:lineRule="auto"/>
        <w:ind w:left="1921" w:right="20" w:hanging="5"/>
        <w:jc w:val="both"/>
        <w:rPr>
          <w:rFonts w:eastAsia="Times New Roman"/>
          <w:sz w:val="24"/>
          <w:szCs w:val="24"/>
        </w:rPr>
      </w:pPr>
      <w:r w:rsidRPr="00827853">
        <w:rPr>
          <w:rFonts w:eastAsia="Times New Roman"/>
          <w:sz w:val="24"/>
          <w:szCs w:val="24"/>
        </w:rPr>
        <w:t>If the population served by the system is &gt;3,300 persons, then compositing may only be permitted at Sampling Points within a single system. In systems serving &lt;3,300 persons, compositing among different systems may be allowed with the approval of the Department, provided the five-sample limit is maintained.</w:t>
      </w:r>
    </w:p>
    <w:p w14:paraId="2819D5AE" w14:textId="77777777" w:rsidR="004647B9" w:rsidRPr="00827853" w:rsidRDefault="00E2436F" w:rsidP="00563A54">
      <w:pPr>
        <w:numPr>
          <w:ilvl w:val="2"/>
          <w:numId w:val="120"/>
        </w:numPr>
        <w:tabs>
          <w:tab w:val="left" w:pos="2339"/>
        </w:tabs>
        <w:spacing w:line="242" w:lineRule="auto"/>
        <w:ind w:left="1921" w:right="20" w:hanging="5"/>
        <w:jc w:val="both"/>
        <w:rPr>
          <w:rFonts w:eastAsia="Times New Roman"/>
          <w:sz w:val="24"/>
          <w:szCs w:val="24"/>
        </w:rPr>
      </w:pPr>
      <w:r w:rsidRPr="00827853">
        <w:rPr>
          <w:rFonts w:eastAsia="Times New Roman"/>
          <w:sz w:val="24"/>
          <w:szCs w:val="24"/>
        </w:rPr>
        <w:t>If duplicates of the original sample taken from each Sampling Point used in the composite are available, the system may use these instead of resampling. The duplicates must be analyzed and the results reported to the Department within 14 days after completion of the composite analyses or before the holding time for the control sample is exceeded, whichever is sooner.</w:t>
      </w:r>
    </w:p>
    <w:p w14:paraId="2819D5B0" w14:textId="77777777" w:rsidR="004647B9" w:rsidRPr="00827853" w:rsidRDefault="00E2436F" w:rsidP="00563A54">
      <w:pPr>
        <w:numPr>
          <w:ilvl w:val="1"/>
          <w:numId w:val="121"/>
        </w:numPr>
        <w:tabs>
          <w:tab w:val="left" w:pos="1940"/>
        </w:tabs>
        <w:spacing w:line="253" w:lineRule="auto"/>
        <w:ind w:left="1561" w:right="20" w:hanging="5"/>
        <w:jc w:val="both"/>
        <w:rPr>
          <w:rFonts w:eastAsia="Times New Roman"/>
          <w:sz w:val="24"/>
          <w:szCs w:val="24"/>
        </w:rPr>
      </w:pPr>
      <w:r w:rsidRPr="00827853">
        <w:rPr>
          <w:rFonts w:eastAsia="Times New Roman"/>
          <w:sz w:val="24"/>
          <w:szCs w:val="24"/>
          <w:u w:val="single"/>
        </w:rPr>
        <w:t>Frequency Requirements for IOC Monitoring</w:t>
      </w:r>
      <w:r w:rsidRPr="00827853">
        <w:rPr>
          <w:rFonts w:eastAsia="Times New Roman"/>
          <w:sz w:val="24"/>
          <w:szCs w:val="24"/>
        </w:rPr>
        <w:t>. The frequency of monitoring for asbestos shall be in accordance with 310 CMR 22.06(5); the frequency of monitoring for antimony, arsenic, barium, beryllium, cadmium, chromium, cyanide, fluoride, mercury, nickel, selenium and thallium shall be in accordance with 310 CMR 22.06(6); the frequency of monitoring for nitrate shall be in accordance with 310 CMR 22.06(7); the frequency of monitoring for nitrite shall be in accordance with 310 CMR 22.06(8); and the frequency of monitoring for perchlorate shall be in accordance with 310 CMR 22.06(9).</w:t>
      </w:r>
    </w:p>
    <w:p w14:paraId="2819D5B2" w14:textId="77777777" w:rsidR="004647B9" w:rsidRPr="00827853" w:rsidRDefault="00E2436F" w:rsidP="00563A54">
      <w:pPr>
        <w:numPr>
          <w:ilvl w:val="1"/>
          <w:numId w:val="121"/>
        </w:numPr>
        <w:tabs>
          <w:tab w:val="left" w:pos="1948"/>
        </w:tabs>
        <w:spacing w:line="243" w:lineRule="auto"/>
        <w:ind w:left="1561" w:right="20" w:hanging="5"/>
        <w:jc w:val="both"/>
        <w:rPr>
          <w:rFonts w:eastAsia="Times New Roman"/>
          <w:sz w:val="24"/>
          <w:szCs w:val="24"/>
        </w:rPr>
      </w:pPr>
      <w:r w:rsidRPr="00827853">
        <w:rPr>
          <w:rFonts w:eastAsia="Times New Roman"/>
          <w:sz w:val="24"/>
          <w:szCs w:val="24"/>
          <w:u w:val="single"/>
        </w:rPr>
        <w:t>Consecutive System Monitoring</w:t>
      </w:r>
      <w:r w:rsidRPr="00827853">
        <w:rPr>
          <w:rFonts w:eastAsia="Times New Roman"/>
          <w:sz w:val="24"/>
          <w:szCs w:val="24"/>
        </w:rPr>
        <w:t>. Public Water Systems that obtain water from another Public Water System are exempt from conducting compliance monitoring for the purchased portion of the system for the inorganic chemicals under 310 CMR 22.06, provided that the system from which the water is obtained has conducted the analyses required under 310 CMR 22.06, unless otherwise specified by the Department. These systems are not exempt from 310 CMR 22.06(5) asbestos sampling.</w:t>
      </w:r>
    </w:p>
    <w:p w14:paraId="2819D5B3" w14:textId="77777777" w:rsidR="004647B9" w:rsidRDefault="004647B9">
      <w:pPr>
        <w:spacing w:line="247" w:lineRule="exact"/>
        <w:rPr>
          <w:rFonts w:eastAsia="Times New Roman"/>
          <w:sz w:val="24"/>
          <w:szCs w:val="24"/>
        </w:rPr>
      </w:pPr>
    </w:p>
    <w:p w14:paraId="2819D5B4" w14:textId="77777777" w:rsidR="004647B9" w:rsidRDefault="00E2436F" w:rsidP="00563A54">
      <w:pPr>
        <w:numPr>
          <w:ilvl w:val="0"/>
          <w:numId w:val="122"/>
        </w:numPr>
        <w:tabs>
          <w:tab w:val="left" w:pos="1746"/>
        </w:tabs>
        <w:spacing w:line="252" w:lineRule="auto"/>
        <w:ind w:left="1201" w:right="20"/>
        <w:jc w:val="both"/>
        <w:rPr>
          <w:rFonts w:eastAsia="Times New Roman"/>
          <w:sz w:val="24"/>
          <w:szCs w:val="24"/>
        </w:rPr>
      </w:pPr>
      <w:r>
        <w:rPr>
          <w:rFonts w:eastAsia="Times New Roman"/>
          <w:sz w:val="24"/>
          <w:szCs w:val="24"/>
          <w:u w:val="single"/>
        </w:rPr>
        <w:t>Asbestos Sampling Frequency</w:t>
      </w:r>
      <w:r>
        <w:rPr>
          <w:rFonts w:eastAsia="Times New Roman"/>
          <w:sz w:val="24"/>
          <w:szCs w:val="24"/>
        </w:rPr>
        <w:t>. The frequency of monitoring conducted to determine compliance with the Maximum Contaminant Level for asbestos specified in 310 CMR 22.06(2) shall be conducted as follows:</w:t>
      </w:r>
    </w:p>
    <w:p w14:paraId="2819D5B6" w14:textId="77777777" w:rsidR="004647B9" w:rsidRDefault="00E2436F" w:rsidP="00563A54">
      <w:pPr>
        <w:numPr>
          <w:ilvl w:val="1"/>
          <w:numId w:val="122"/>
        </w:numPr>
        <w:tabs>
          <w:tab w:val="left" w:pos="2072"/>
        </w:tabs>
        <w:spacing w:line="243" w:lineRule="auto"/>
        <w:ind w:left="1561" w:right="20" w:hanging="5"/>
        <w:jc w:val="both"/>
        <w:rPr>
          <w:rFonts w:eastAsia="Times New Roman"/>
          <w:sz w:val="24"/>
          <w:szCs w:val="24"/>
        </w:rPr>
      </w:pPr>
      <w:r>
        <w:rPr>
          <w:rFonts w:eastAsia="Times New Roman"/>
          <w:sz w:val="24"/>
          <w:szCs w:val="24"/>
          <w:u w:val="single"/>
        </w:rPr>
        <w:t>Initial Sampling Frequency</w:t>
      </w:r>
      <w:r>
        <w:rPr>
          <w:rFonts w:eastAsia="Times New Roman"/>
          <w:sz w:val="24"/>
          <w:szCs w:val="24"/>
        </w:rPr>
        <w:t>. Each Community and Non-transient, Non-community Water System is required to monitor for asbestos during the first three-year Compliance Period of each nine-year Compliance Cycle beginning in the Compliance Period starting January 1, 1993 as specified in 310 CMR 22.06(5)(e) through (g).</w:t>
      </w:r>
    </w:p>
    <w:p w14:paraId="2819D5B7" w14:textId="77777777" w:rsidR="004647B9" w:rsidRDefault="00E2436F" w:rsidP="00563A54">
      <w:pPr>
        <w:numPr>
          <w:ilvl w:val="1"/>
          <w:numId w:val="122"/>
        </w:numPr>
        <w:tabs>
          <w:tab w:val="left" w:pos="2014"/>
        </w:tabs>
        <w:spacing w:line="242" w:lineRule="auto"/>
        <w:ind w:left="1561" w:right="20" w:hanging="5"/>
        <w:jc w:val="both"/>
        <w:rPr>
          <w:rFonts w:eastAsia="Times New Roman"/>
          <w:sz w:val="24"/>
          <w:szCs w:val="24"/>
        </w:rPr>
      </w:pPr>
      <w:r>
        <w:rPr>
          <w:rFonts w:eastAsia="Times New Roman"/>
          <w:sz w:val="24"/>
          <w:szCs w:val="24"/>
          <w:u w:val="single"/>
        </w:rPr>
        <w:t>Sampling During Waiver</w:t>
      </w:r>
      <w:r>
        <w:rPr>
          <w:rFonts w:eastAsia="Times New Roman"/>
          <w:sz w:val="24"/>
          <w:szCs w:val="24"/>
        </w:rPr>
        <w:t>. If the system believes it is not vulnerable to either asbestos contamination in its source water or due to corrosion of asbestos-cement pipe, or both, it may apply to the Department for a waiver of the monitoring requirement in 310 CMR 22.06(5)(a). If the Department grants the waiver, the system will be required to monitor pursuant to 310 CMR 22.06(5)(d).</w:t>
      </w:r>
    </w:p>
    <w:p w14:paraId="2819D5B9" w14:textId="77777777" w:rsidR="004647B9" w:rsidRDefault="00E2436F" w:rsidP="00563A54">
      <w:pPr>
        <w:numPr>
          <w:ilvl w:val="1"/>
          <w:numId w:val="122"/>
        </w:numPr>
        <w:tabs>
          <w:tab w:val="left" w:pos="1969"/>
        </w:tabs>
        <w:spacing w:line="243" w:lineRule="auto"/>
        <w:ind w:left="1561" w:right="20" w:hanging="5"/>
        <w:rPr>
          <w:rFonts w:eastAsia="Times New Roman"/>
          <w:sz w:val="24"/>
          <w:szCs w:val="24"/>
        </w:rPr>
      </w:pPr>
      <w:r>
        <w:rPr>
          <w:rFonts w:eastAsia="Times New Roman"/>
          <w:sz w:val="24"/>
          <w:szCs w:val="24"/>
          <w:u w:val="single"/>
        </w:rPr>
        <w:t>Basis of an Asbestos Waiver</w:t>
      </w:r>
      <w:r>
        <w:rPr>
          <w:rFonts w:eastAsia="Times New Roman"/>
          <w:sz w:val="24"/>
          <w:szCs w:val="24"/>
        </w:rPr>
        <w:t>. The granting of a waiver will be based on a consideration of the following factors:</w:t>
      </w:r>
    </w:p>
    <w:p w14:paraId="2819D5BA" w14:textId="77777777" w:rsidR="004647B9" w:rsidRDefault="00E2436F" w:rsidP="00563A54">
      <w:pPr>
        <w:numPr>
          <w:ilvl w:val="2"/>
          <w:numId w:val="122"/>
        </w:numPr>
        <w:tabs>
          <w:tab w:val="left" w:pos="2281"/>
        </w:tabs>
        <w:ind w:left="2281" w:hanging="365"/>
        <w:rPr>
          <w:rFonts w:eastAsia="Times New Roman"/>
          <w:sz w:val="24"/>
          <w:szCs w:val="24"/>
        </w:rPr>
      </w:pPr>
      <w:r>
        <w:rPr>
          <w:rFonts w:eastAsia="Times New Roman"/>
          <w:sz w:val="24"/>
          <w:szCs w:val="24"/>
        </w:rPr>
        <w:t>Potential asbestos contamination of the water source; and</w:t>
      </w:r>
    </w:p>
    <w:p w14:paraId="2819D5BC" w14:textId="77777777" w:rsidR="004647B9" w:rsidRDefault="00E2436F" w:rsidP="00563A54">
      <w:pPr>
        <w:numPr>
          <w:ilvl w:val="2"/>
          <w:numId w:val="122"/>
        </w:numPr>
        <w:tabs>
          <w:tab w:val="left" w:pos="2317"/>
        </w:tabs>
        <w:spacing w:line="246" w:lineRule="auto"/>
        <w:ind w:left="1921" w:right="20" w:hanging="5"/>
        <w:rPr>
          <w:rFonts w:eastAsia="Times New Roman"/>
          <w:sz w:val="24"/>
          <w:szCs w:val="24"/>
        </w:rPr>
      </w:pPr>
      <w:r>
        <w:rPr>
          <w:rFonts w:eastAsia="Times New Roman"/>
          <w:sz w:val="24"/>
          <w:szCs w:val="24"/>
        </w:rPr>
        <w:t>The use of asbestos-cement pipe for finished water distribution and the corrosive nature of the water.</w:t>
      </w:r>
    </w:p>
    <w:p w14:paraId="2819D5BD" w14:textId="77777777" w:rsidR="004647B9" w:rsidRDefault="004647B9">
      <w:pPr>
        <w:sectPr w:rsidR="004647B9" w:rsidSect="00EF630C">
          <w:pgSz w:w="12240" w:h="20180"/>
          <w:pgMar w:top="708" w:right="1420" w:bottom="1013" w:left="599" w:header="0" w:footer="0" w:gutter="0"/>
          <w:cols w:space="720" w:equalWidth="0">
            <w:col w:w="10221"/>
          </w:cols>
        </w:sectPr>
      </w:pPr>
    </w:p>
    <w:p w14:paraId="2819D5BE" w14:textId="77777777" w:rsidR="004647B9" w:rsidRDefault="00E2436F">
      <w:pPr>
        <w:tabs>
          <w:tab w:val="left" w:pos="160"/>
        </w:tabs>
        <w:jc w:val="center"/>
        <w:rPr>
          <w:sz w:val="20"/>
          <w:szCs w:val="20"/>
        </w:rPr>
      </w:pPr>
      <w:bookmarkStart w:id="49" w:name="page50"/>
      <w:bookmarkEnd w:id="4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5BF" w14:textId="77777777" w:rsidR="004647B9" w:rsidRDefault="004647B9" w:rsidP="00B87EDF">
      <w:pPr>
        <w:rPr>
          <w:sz w:val="20"/>
          <w:szCs w:val="20"/>
        </w:rPr>
      </w:pPr>
    </w:p>
    <w:p w14:paraId="2819D5C0" w14:textId="77777777" w:rsidR="004647B9" w:rsidRDefault="004647B9" w:rsidP="00B87EDF">
      <w:pPr>
        <w:rPr>
          <w:sz w:val="20"/>
          <w:szCs w:val="20"/>
        </w:rPr>
      </w:pPr>
    </w:p>
    <w:p w14:paraId="2819D5C1"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5C2" w14:textId="77777777" w:rsidR="004647B9" w:rsidRDefault="004647B9" w:rsidP="00B87EDF">
      <w:pPr>
        <w:rPr>
          <w:sz w:val="20"/>
          <w:szCs w:val="20"/>
        </w:rPr>
      </w:pPr>
    </w:p>
    <w:p w14:paraId="2819D5C3" w14:textId="77777777" w:rsidR="004647B9" w:rsidRPr="00827853" w:rsidRDefault="00E2436F" w:rsidP="00563A54">
      <w:pPr>
        <w:numPr>
          <w:ilvl w:val="1"/>
          <w:numId w:val="123"/>
        </w:numPr>
        <w:tabs>
          <w:tab w:val="left" w:pos="2027"/>
        </w:tabs>
        <w:spacing w:line="252" w:lineRule="auto"/>
        <w:ind w:left="1560" w:hanging="5"/>
        <w:jc w:val="both"/>
        <w:rPr>
          <w:rFonts w:eastAsia="Times New Roman"/>
          <w:sz w:val="24"/>
          <w:szCs w:val="24"/>
        </w:rPr>
      </w:pPr>
      <w:r w:rsidRPr="00827853">
        <w:rPr>
          <w:rFonts w:eastAsia="Times New Roman"/>
          <w:sz w:val="24"/>
          <w:szCs w:val="24"/>
          <w:u w:val="single"/>
        </w:rPr>
        <w:t>Effect of an Asbestos Waiver</w:t>
      </w:r>
      <w:r w:rsidRPr="00827853">
        <w:rPr>
          <w:rFonts w:eastAsia="Times New Roman"/>
          <w:sz w:val="24"/>
          <w:szCs w:val="24"/>
        </w:rPr>
        <w:t>. A waiver remains in effect until the completion of the three-year Compliance Period. Systems not receiving a waiver must monitor in accordance with the provisions of 310 CMR 22.06(5)(a).</w:t>
      </w:r>
    </w:p>
    <w:p w14:paraId="2819D5C5" w14:textId="77777777" w:rsidR="004647B9" w:rsidRPr="00827853" w:rsidRDefault="00E2436F" w:rsidP="00563A54">
      <w:pPr>
        <w:numPr>
          <w:ilvl w:val="1"/>
          <w:numId w:val="123"/>
        </w:numPr>
        <w:tabs>
          <w:tab w:val="left" w:pos="2002"/>
        </w:tabs>
        <w:spacing w:line="243" w:lineRule="auto"/>
        <w:ind w:left="1560" w:hanging="5"/>
        <w:jc w:val="both"/>
        <w:rPr>
          <w:rFonts w:eastAsia="Times New Roman"/>
          <w:sz w:val="24"/>
          <w:szCs w:val="24"/>
        </w:rPr>
      </w:pPr>
      <w:r w:rsidRPr="00827853">
        <w:rPr>
          <w:rFonts w:eastAsia="Times New Roman"/>
          <w:sz w:val="24"/>
          <w:szCs w:val="24"/>
          <w:u w:val="single"/>
        </w:rPr>
        <w:t>Distribution System Sampling Criteria for Asbestos</w:t>
      </w:r>
      <w:r w:rsidRPr="00827853">
        <w:rPr>
          <w:rFonts w:eastAsia="Times New Roman"/>
          <w:sz w:val="24"/>
          <w:szCs w:val="24"/>
        </w:rPr>
        <w:t>. A system vulnerable to asbestos contamination due solely to corrosion of asbestos-cement pipe shall take at a minimum one sample at a tap approved by the Department. This tap location must be served by asbestos-cement pipe and under conditions where asbestos contamination is most likely to occur. Additional sample locations (taps) may be required if in the Department's opinion the use of asbestos-cement is extensive and contamination is likely to occur in several areas of the system.</w:t>
      </w:r>
    </w:p>
    <w:p w14:paraId="2819D5C6" w14:textId="77777777" w:rsidR="004647B9" w:rsidRPr="00827853" w:rsidRDefault="00E2436F" w:rsidP="00563A54">
      <w:pPr>
        <w:numPr>
          <w:ilvl w:val="1"/>
          <w:numId w:val="123"/>
        </w:numPr>
        <w:tabs>
          <w:tab w:val="left" w:pos="2107"/>
        </w:tabs>
        <w:spacing w:line="243" w:lineRule="auto"/>
        <w:ind w:left="1560" w:hanging="5"/>
        <w:jc w:val="both"/>
        <w:rPr>
          <w:rFonts w:eastAsia="Times New Roman"/>
          <w:sz w:val="24"/>
          <w:szCs w:val="24"/>
        </w:rPr>
      </w:pPr>
      <w:r w:rsidRPr="00827853">
        <w:rPr>
          <w:rFonts w:eastAsia="Times New Roman"/>
          <w:sz w:val="24"/>
          <w:szCs w:val="24"/>
          <w:u w:val="single"/>
        </w:rPr>
        <w:t>Source Water Sampling Criteria for Asbestos</w:t>
      </w:r>
      <w:r w:rsidRPr="00827853">
        <w:rPr>
          <w:rFonts w:eastAsia="Times New Roman"/>
          <w:sz w:val="24"/>
          <w:szCs w:val="24"/>
        </w:rPr>
        <w:t>. A system vulnerable to asbestos contamination due solely to source water shall monitor in accordance with the provisions of 310 CMR 22.06(2) and (4).</w:t>
      </w:r>
    </w:p>
    <w:p w14:paraId="2819D5C8" w14:textId="77777777" w:rsidR="004647B9" w:rsidRPr="00827853" w:rsidRDefault="00E2436F" w:rsidP="00563A54">
      <w:pPr>
        <w:numPr>
          <w:ilvl w:val="1"/>
          <w:numId w:val="123"/>
        </w:numPr>
        <w:tabs>
          <w:tab w:val="left" w:pos="1978"/>
        </w:tabs>
        <w:spacing w:line="242" w:lineRule="auto"/>
        <w:ind w:left="1560" w:hanging="5"/>
        <w:jc w:val="both"/>
        <w:rPr>
          <w:rFonts w:eastAsia="Times New Roman"/>
          <w:sz w:val="24"/>
          <w:szCs w:val="24"/>
        </w:rPr>
      </w:pPr>
      <w:r w:rsidRPr="00827853">
        <w:rPr>
          <w:rFonts w:eastAsia="Times New Roman"/>
          <w:sz w:val="24"/>
          <w:szCs w:val="24"/>
          <w:u w:val="single"/>
        </w:rPr>
        <w:t>Combined Asbestos Vulnerability</w:t>
      </w:r>
      <w:r w:rsidRPr="00827853">
        <w:rPr>
          <w:rFonts w:eastAsia="Times New Roman"/>
          <w:sz w:val="24"/>
          <w:szCs w:val="24"/>
        </w:rPr>
        <w:t>. A system vulnerable to asbestos contamination due both to its source water supply and corrosion of asbestos-cement pipe shall monitor in accordance with 310 CMR 22.06(5)(e) and (f).</w:t>
      </w:r>
    </w:p>
    <w:p w14:paraId="2819D5CA" w14:textId="77777777" w:rsidR="004647B9" w:rsidRPr="00827853" w:rsidRDefault="00E2436F" w:rsidP="00563A54">
      <w:pPr>
        <w:numPr>
          <w:ilvl w:val="1"/>
          <w:numId w:val="123"/>
        </w:numPr>
        <w:tabs>
          <w:tab w:val="left" w:pos="2034"/>
        </w:tabs>
        <w:spacing w:line="243" w:lineRule="auto"/>
        <w:ind w:left="1560" w:hanging="5"/>
        <w:jc w:val="both"/>
        <w:rPr>
          <w:rFonts w:eastAsia="Times New Roman"/>
          <w:sz w:val="24"/>
          <w:szCs w:val="24"/>
        </w:rPr>
      </w:pPr>
      <w:r w:rsidRPr="00827853">
        <w:rPr>
          <w:rFonts w:eastAsia="Times New Roman"/>
          <w:sz w:val="24"/>
          <w:szCs w:val="24"/>
          <w:u w:val="single"/>
        </w:rPr>
        <w:t>Exceeding the Asbestos MCL</w:t>
      </w:r>
      <w:r w:rsidRPr="00827853">
        <w:rPr>
          <w:rFonts w:eastAsia="Times New Roman"/>
          <w:sz w:val="24"/>
          <w:szCs w:val="24"/>
        </w:rPr>
        <w:t>. A system which exceeds the Maximum Contaminant Levels as defined by 310 CMR 22.06(2) shall report to the Department within seven days and shall monitor quarterly beginning in the following quarter.</w:t>
      </w:r>
    </w:p>
    <w:p w14:paraId="2819D5CC" w14:textId="77777777" w:rsidR="004647B9" w:rsidRPr="00827853" w:rsidRDefault="00E2436F" w:rsidP="00563A54">
      <w:pPr>
        <w:numPr>
          <w:ilvl w:val="1"/>
          <w:numId w:val="123"/>
        </w:numPr>
        <w:tabs>
          <w:tab w:val="left" w:pos="2083"/>
        </w:tabs>
        <w:spacing w:line="253" w:lineRule="auto"/>
        <w:ind w:left="1560" w:hanging="5"/>
        <w:jc w:val="both"/>
        <w:rPr>
          <w:rFonts w:eastAsia="Times New Roman"/>
          <w:sz w:val="24"/>
          <w:szCs w:val="24"/>
        </w:rPr>
      </w:pPr>
      <w:r w:rsidRPr="00827853">
        <w:rPr>
          <w:rFonts w:eastAsia="Times New Roman"/>
          <w:sz w:val="24"/>
          <w:szCs w:val="24"/>
          <w:u w:val="single"/>
        </w:rPr>
        <w:t>Average Exceeding MCL</w:t>
      </w:r>
      <w:r w:rsidRPr="00827853">
        <w:rPr>
          <w:rFonts w:eastAsia="Times New Roman"/>
          <w:sz w:val="24"/>
          <w:szCs w:val="24"/>
        </w:rPr>
        <w:t>. When the average of four analyses made pursuant to 310 CMR 22.06(5)(h), rounded to the same number of significant figures as the Maximum Contaminant Level for the substance in question, exceeds the Maximum Contaminant Level, the Supplier of Water shall report to the Department pursuant to 310 CMR 22.15 and give public notice to the public pursuant to 310 CMR 22.16. Monitoring after public notification shall be at a frequency designated by the Department and shall continue until the Maximum Contaminant Level has not been exceeded in two successive samples or until a monitoring schedule as condition to variance, exemption or enforcement action shall become effective.</w:t>
      </w:r>
    </w:p>
    <w:p w14:paraId="2819D5CE" w14:textId="77777777" w:rsidR="004647B9" w:rsidRPr="00827853" w:rsidRDefault="00E2436F" w:rsidP="00563A54">
      <w:pPr>
        <w:numPr>
          <w:ilvl w:val="1"/>
          <w:numId w:val="123"/>
        </w:numPr>
        <w:tabs>
          <w:tab w:val="left" w:pos="2160"/>
        </w:tabs>
        <w:spacing w:line="243" w:lineRule="auto"/>
        <w:ind w:left="1560" w:hanging="5"/>
        <w:jc w:val="both"/>
        <w:rPr>
          <w:rFonts w:eastAsia="Times New Roman"/>
          <w:sz w:val="24"/>
          <w:szCs w:val="24"/>
        </w:rPr>
      </w:pPr>
      <w:r w:rsidRPr="00827853">
        <w:rPr>
          <w:rFonts w:eastAsia="Times New Roman"/>
          <w:sz w:val="24"/>
          <w:szCs w:val="24"/>
          <w:u w:val="single"/>
        </w:rPr>
        <w:t>Asbestos Reliably &amp; Consistently below the MCL</w:t>
      </w:r>
      <w:r w:rsidRPr="00827853">
        <w:rPr>
          <w:rFonts w:eastAsia="Times New Roman"/>
          <w:sz w:val="24"/>
          <w:szCs w:val="24"/>
        </w:rPr>
        <w:t>. The quarterly monitoring requirement may be decreased to the frequency specified in 310 CMR 22.06(5)(a) provided the Department has determined that the system is reliably and consistently below the Maximum Contaminant Level and a groundwater system has taken a minimum of two quarterly samples and a surface (or combined surface/ground) water system has taken a minimum of four quarterly samples.</w:t>
      </w:r>
    </w:p>
    <w:p w14:paraId="2819D5D0" w14:textId="678DAAE4" w:rsidR="004647B9" w:rsidRPr="00827853" w:rsidRDefault="001C6B80" w:rsidP="00563A54">
      <w:pPr>
        <w:numPr>
          <w:ilvl w:val="1"/>
          <w:numId w:val="123"/>
        </w:numPr>
        <w:tabs>
          <w:tab w:val="left" w:pos="2034"/>
        </w:tabs>
        <w:spacing w:line="244" w:lineRule="auto"/>
        <w:ind w:left="1560" w:hanging="5"/>
        <w:jc w:val="both"/>
        <w:rPr>
          <w:rFonts w:eastAsia="Times New Roman"/>
          <w:sz w:val="24"/>
          <w:szCs w:val="24"/>
        </w:rPr>
      </w:pPr>
      <w:r>
        <w:rPr>
          <w:rFonts w:eastAsia="Times New Roman"/>
          <w:sz w:val="24"/>
          <w:szCs w:val="24"/>
          <w:u w:val="single"/>
        </w:rPr>
        <w:t>Previously Collected</w:t>
      </w:r>
      <w:r w:rsidR="00E2436F" w:rsidRPr="00827853">
        <w:rPr>
          <w:rFonts w:eastAsia="Times New Roman"/>
          <w:sz w:val="24"/>
          <w:szCs w:val="24"/>
          <w:u w:val="single"/>
        </w:rPr>
        <w:t xml:space="preserve"> Asbestos Data</w:t>
      </w:r>
      <w:r w:rsidR="00E2436F" w:rsidRPr="00827853">
        <w:rPr>
          <w:rFonts w:eastAsia="Times New Roman"/>
          <w:sz w:val="24"/>
          <w:szCs w:val="24"/>
        </w:rPr>
        <w:t>. If monitoring data collected after January 1, 1990 are generally consistent with the requirements of 310 CMR 22.06(5), the data may be used with the Department</w:t>
      </w:r>
      <w:r w:rsidR="000010AB">
        <w:rPr>
          <w:rFonts w:eastAsia="Times New Roman"/>
          <w:sz w:val="24"/>
          <w:szCs w:val="24"/>
        </w:rPr>
        <w:t>’</w:t>
      </w:r>
      <w:r w:rsidR="00E2436F" w:rsidRPr="00827853">
        <w:rPr>
          <w:rFonts w:eastAsia="Times New Roman"/>
          <w:sz w:val="24"/>
          <w:szCs w:val="24"/>
        </w:rPr>
        <w:t>s approval, to satisfy the monitoring requirement for the Initial Compliance Period beginning January 1, 1993.</w:t>
      </w:r>
    </w:p>
    <w:p w14:paraId="2819D5D1" w14:textId="77777777" w:rsidR="004647B9" w:rsidRPr="00827853" w:rsidRDefault="004647B9">
      <w:pPr>
        <w:spacing w:line="242" w:lineRule="exact"/>
        <w:rPr>
          <w:rFonts w:eastAsia="Times New Roman"/>
          <w:sz w:val="24"/>
          <w:szCs w:val="24"/>
        </w:rPr>
      </w:pPr>
    </w:p>
    <w:p w14:paraId="2819D5D2" w14:textId="77777777" w:rsidR="004647B9" w:rsidRPr="00827853" w:rsidRDefault="00E2436F" w:rsidP="00563A54">
      <w:pPr>
        <w:numPr>
          <w:ilvl w:val="0"/>
          <w:numId w:val="124"/>
        </w:numPr>
        <w:tabs>
          <w:tab w:val="left" w:pos="1746"/>
        </w:tabs>
        <w:spacing w:line="250" w:lineRule="auto"/>
        <w:ind w:left="1200"/>
        <w:jc w:val="both"/>
        <w:rPr>
          <w:rFonts w:eastAsia="Times New Roman"/>
          <w:sz w:val="24"/>
          <w:szCs w:val="24"/>
        </w:rPr>
      </w:pPr>
      <w:r w:rsidRPr="00827853">
        <w:rPr>
          <w:rFonts w:eastAsia="Times New Roman"/>
          <w:sz w:val="24"/>
          <w:szCs w:val="24"/>
          <w:u w:val="single"/>
        </w:rPr>
        <w:t>Sampling Frequency for IOCs</w:t>
      </w:r>
      <w:r w:rsidRPr="00827853">
        <w:rPr>
          <w:rFonts w:eastAsia="Times New Roman"/>
          <w:sz w:val="24"/>
          <w:szCs w:val="24"/>
        </w:rPr>
        <w:t>. The frequency of monitoring conducted to determine compliance with the Maximum Contaminant Levels in 310 CMR 22.06(2) for antimony, arsenic, beryllium, barium, cadmium, chromium, cyanide, fluoride, mercury, nickel, selenium and thallium shall be as follows:</w:t>
      </w:r>
    </w:p>
    <w:p w14:paraId="2819D5D3" w14:textId="4B40E557" w:rsidR="004647B9" w:rsidRPr="00827853" w:rsidRDefault="00E2436F" w:rsidP="00563A54">
      <w:pPr>
        <w:numPr>
          <w:ilvl w:val="1"/>
          <w:numId w:val="124"/>
        </w:numPr>
        <w:tabs>
          <w:tab w:val="left" w:pos="2119"/>
        </w:tabs>
        <w:spacing w:line="243" w:lineRule="auto"/>
        <w:ind w:left="1560" w:hanging="5"/>
        <w:jc w:val="both"/>
        <w:rPr>
          <w:rFonts w:eastAsia="Times New Roman"/>
          <w:sz w:val="24"/>
          <w:szCs w:val="24"/>
        </w:rPr>
      </w:pPr>
      <w:r w:rsidRPr="00827853">
        <w:rPr>
          <w:rFonts w:eastAsia="Times New Roman"/>
          <w:sz w:val="24"/>
          <w:szCs w:val="24"/>
          <w:u w:val="single"/>
        </w:rPr>
        <w:t>IOCs Sampling Frequency</w:t>
      </w:r>
      <w:r w:rsidRPr="00827853">
        <w:rPr>
          <w:rFonts w:eastAsia="Times New Roman"/>
          <w:sz w:val="24"/>
          <w:szCs w:val="24"/>
        </w:rPr>
        <w:t xml:space="preserve">. Groundwater systems shall take one sample at each Sampling Point once every </w:t>
      </w:r>
      <w:r w:rsidR="0001334A">
        <w:rPr>
          <w:rFonts w:eastAsia="Times New Roman"/>
          <w:sz w:val="24"/>
          <w:szCs w:val="24"/>
        </w:rPr>
        <w:t>Compliance Period</w:t>
      </w:r>
      <w:r w:rsidRPr="00827853">
        <w:rPr>
          <w:rFonts w:eastAsia="Times New Roman"/>
          <w:sz w:val="24"/>
          <w:szCs w:val="24"/>
        </w:rPr>
        <w:t>. Surface Water systems (or combined surface/ground) shall take one sample annually at each Sampling Point.</w:t>
      </w:r>
    </w:p>
    <w:p w14:paraId="2819D5D5" w14:textId="77777777" w:rsidR="004647B9" w:rsidRPr="00827853" w:rsidRDefault="00E2436F" w:rsidP="00563A54">
      <w:pPr>
        <w:numPr>
          <w:ilvl w:val="1"/>
          <w:numId w:val="124"/>
        </w:numPr>
        <w:tabs>
          <w:tab w:val="left" w:pos="1970"/>
        </w:tabs>
        <w:spacing w:line="243" w:lineRule="auto"/>
        <w:ind w:left="1560" w:hanging="5"/>
        <w:rPr>
          <w:rFonts w:eastAsia="Times New Roman"/>
          <w:sz w:val="24"/>
          <w:szCs w:val="24"/>
        </w:rPr>
      </w:pPr>
      <w:r w:rsidRPr="00827853">
        <w:rPr>
          <w:rFonts w:eastAsia="Times New Roman"/>
          <w:sz w:val="24"/>
          <w:szCs w:val="24"/>
          <w:u w:val="single"/>
        </w:rPr>
        <w:t>IOCs Sampling Waiver</w:t>
      </w:r>
      <w:r w:rsidRPr="00827853">
        <w:rPr>
          <w:rFonts w:eastAsia="Times New Roman"/>
          <w:sz w:val="24"/>
          <w:szCs w:val="24"/>
        </w:rPr>
        <w:t>. The system may apply to the Department for a waiver from the monitoring frequencies specified in 310 CMR 22.06(6)(a).</w:t>
      </w:r>
    </w:p>
    <w:p w14:paraId="2819D5D6" w14:textId="77777777" w:rsidR="004647B9" w:rsidRPr="00827853" w:rsidRDefault="00E2436F" w:rsidP="00563A54">
      <w:pPr>
        <w:numPr>
          <w:ilvl w:val="1"/>
          <w:numId w:val="124"/>
        </w:numPr>
        <w:tabs>
          <w:tab w:val="left" w:pos="1990"/>
        </w:tabs>
        <w:spacing w:line="253" w:lineRule="auto"/>
        <w:ind w:left="1560" w:hanging="5"/>
        <w:jc w:val="both"/>
        <w:rPr>
          <w:rFonts w:eastAsia="Times New Roman"/>
          <w:sz w:val="24"/>
          <w:szCs w:val="24"/>
        </w:rPr>
      </w:pPr>
      <w:r w:rsidRPr="00827853">
        <w:rPr>
          <w:rFonts w:eastAsia="Times New Roman"/>
          <w:sz w:val="24"/>
          <w:szCs w:val="24"/>
          <w:u w:val="single"/>
        </w:rPr>
        <w:t>IOC Sampling During a Waiver</w:t>
      </w:r>
      <w:r w:rsidRPr="00827853">
        <w:rPr>
          <w:rFonts w:eastAsia="Times New Roman"/>
          <w:sz w:val="24"/>
          <w:szCs w:val="24"/>
        </w:rPr>
        <w:t>. A condition of the waiver shall require that a system shall take a minimum of one sample while the waiver is effective. The term during which the waiver is effective shall not exceed one Compliance Cycle (</w:t>
      </w:r>
      <w:r w:rsidRPr="00827853">
        <w:rPr>
          <w:rFonts w:eastAsia="Times New Roman"/>
          <w:i/>
          <w:iCs/>
          <w:sz w:val="24"/>
          <w:szCs w:val="24"/>
        </w:rPr>
        <w:t>i.e</w:t>
      </w:r>
      <w:r w:rsidRPr="00827853">
        <w:rPr>
          <w:rFonts w:eastAsia="Times New Roman"/>
          <w:sz w:val="24"/>
          <w:szCs w:val="24"/>
        </w:rPr>
        <w:t>., nine years).</w:t>
      </w:r>
    </w:p>
    <w:p w14:paraId="2819D5D8" w14:textId="7AD2B15C" w:rsidR="004647B9" w:rsidRPr="00827853" w:rsidRDefault="00E2436F" w:rsidP="00563A54">
      <w:pPr>
        <w:numPr>
          <w:ilvl w:val="1"/>
          <w:numId w:val="124"/>
        </w:numPr>
        <w:tabs>
          <w:tab w:val="left" w:pos="2092"/>
        </w:tabs>
        <w:spacing w:line="243" w:lineRule="auto"/>
        <w:ind w:left="1560" w:hanging="5"/>
        <w:jc w:val="both"/>
        <w:rPr>
          <w:rFonts w:eastAsia="Times New Roman"/>
          <w:sz w:val="24"/>
          <w:szCs w:val="24"/>
        </w:rPr>
      </w:pPr>
      <w:r w:rsidRPr="00827853">
        <w:rPr>
          <w:rFonts w:eastAsia="Times New Roman"/>
          <w:sz w:val="24"/>
          <w:szCs w:val="24"/>
          <w:u w:val="single"/>
        </w:rPr>
        <w:t>Basis of an IOC Waiver</w:t>
      </w:r>
      <w:r w:rsidRPr="00827853">
        <w:rPr>
          <w:rFonts w:eastAsia="Times New Roman"/>
          <w:sz w:val="24"/>
          <w:szCs w:val="24"/>
        </w:rPr>
        <w:t>. A waiver may be granted by the Department provided the Surface Water systems have monitored annually for at least three years and groundwater systems have conducted a minimum of three rounds of monitoring. (Analytical monitoring results must have been representative of all sources at the time of sampling.) Both surface and groundwater systems shall demonstrate that all previous analytical results were less than the Maximum Contaminant Level. Systems that use a new water source are not eligible for a waiver until three rounds of monitoring from the New Source have been completed.</w:t>
      </w:r>
    </w:p>
    <w:p w14:paraId="2819D5D9" w14:textId="77777777" w:rsidR="004647B9" w:rsidRDefault="004647B9">
      <w:pPr>
        <w:sectPr w:rsidR="004647B9" w:rsidSect="00EF630C">
          <w:pgSz w:w="12240" w:h="20180"/>
          <w:pgMar w:top="708" w:right="1440" w:bottom="1440" w:left="600" w:header="0" w:footer="0" w:gutter="0"/>
          <w:cols w:space="720" w:equalWidth="0">
            <w:col w:w="10200"/>
          </w:cols>
        </w:sectPr>
      </w:pPr>
    </w:p>
    <w:p w14:paraId="2819D5DA" w14:textId="77777777" w:rsidR="004647B9" w:rsidRPr="00F24514" w:rsidRDefault="00E2436F" w:rsidP="00F24514">
      <w:pPr>
        <w:tabs>
          <w:tab w:val="left" w:pos="160"/>
        </w:tabs>
        <w:jc w:val="center"/>
        <w:rPr>
          <w:sz w:val="24"/>
          <w:szCs w:val="24"/>
        </w:rPr>
      </w:pPr>
      <w:bookmarkStart w:id="50" w:name="page51"/>
      <w:bookmarkEnd w:id="50"/>
      <w:r w:rsidRPr="00F24514">
        <w:rPr>
          <w:rFonts w:eastAsia="Times New Roman"/>
          <w:sz w:val="24"/>
          <w:szCs w:val="24"/>
        </w:rPr>
        <w:lastRenderedPageBreak/>
        <w:t>310 CMR:</w:t>
      </w:r>
      <w:r w:rsidRPr="00F24514">
        <w:rPr>
          <w:sz w:val="24"/>
          <w:szCs w:val="24"/>
        </w:rPr>
        <w:tab/>
      </w:r>
      <w:r w:rsidRPr="00F24514">
        <w:rPr>
          <w:rFonts w:eastAsia="Times New Roman"/>
          <w:sz w:val="24"/>
          <w:szCs w:val="24"/>
        </w:rPr>
        <w:t>DEPARTMENT OF ENVIRONMENTAL PROTECTION</w:t>
      </w:r>
    </w:p>
    <w:p w14:paraId="2819D5DB" w14:textId="77777777" w:rsidR="004647B9" w:rsidRPr="00675B3D" w:rsidRDefault="004647B9" w:rsidP="00F24514">
      <w:pPr>
        <w:rPr>
          <w:sz w:val="20"/>
          <w:szCs w:val="20"/>
        </w:rPr>
      </w:pPr>
    </w:p>
    <w:p w14:paraId="2819D5DC" w14:textId="77777777" w:rsidR="004647B9" w:rsidRPr="00675B3D" w:rsidRDefault="004647B9" w:rsidP="00F24514">
      <w:pPr>
        <w:rPr>
          <w:sz w:val="20"/>
          <w:szCs w:val="20"/>
        </w:rPr>
      </w:pPr>
    </w:p>
    <w:p w14:paraId="2819D5DD" w14:textId="77777777" w:rsidR="004647B9" w:rsidRPr="00F24514" w:rsidRDefault="00E2436F" w:rsidP="00F24514">
      <w:pPr>
        <w:tabs>
          <w:tab w:val="left" w:pos="760"/>
        </w:tabs>
        <w:rPr>
          <w:sz w:val="24"/>
          <w:szCs w:val="24"/>
        </w:rPr>
      </w:pPr>
      <w:r w:rsidRPr="00F24514">
        <w:rPr>
          <w:rFonts w:eastAsia="Times New Roman"/>
          <w:sz w:val="24"/>
          <w:szCs w:val="24"/>
        </w:rPr>
        <w:t>22.06:</w:t>
      </w:r>
      <w:r w:rsidRPr="00F24514">
        <w:rPr>
          <w:rFonts w:eastAsia="Times New Roman"/>
          <w:sz w:val="24"/>
          <w:szCs w:val="24"/>
        </w:rPr>
        <w:tab/>
        <w:t>continued</w:t>
      </w:r>
    </w:p>
    <w:p w14:paraId="2819D5DE" w14:textId="77777777" w:rsidR="004647B9" w:rsidRPr="00675B3D" w:rsidRDefault="004647B9" w:rsidP="00F24514">
      <w:pPr>
        <w:rPr>
          <w:sz w:val="20"/>
          <w:szCs w:val="20"/>
        </w:rPr>
      </w:pPr>
    </w:p>
    <w:p w14:paraId="2819D5DF" w14:textId="77777777" w:rsidR="004647B9" w:rsidRPr="00F24514" w:rsidRDefault="00E2436F" w:rsidP="00563A54">
      <w:pPr>
        <w:numPr>
          <w:ilvl w:val="1"/>
          <w:numId w:val="125"/>
        </w:numPr>
        <w:tabs>
          <w:tab w:val="left" w:pos="1961"/>
        </w:tabs>
        <w:ind w:left="1560" w:hanging="5"/>
        <w:rPr>
          <w:rFonts w:eastAsia="Times New Roman"/>
          <w:sz w:val="24"/>
          <w:szCs w:val="24"/>
        </w:rPr>
      </w:pPr>
      <w:r w:rsidRPr="00F24514">
        <w:rPr>
          <w:rFonts w:eastAsia="Times New Roman"/>
          <w:sz w:val="24"/>
          <w:szCs w:val="24"/>
          <w:u w:val="single"/>
        </w:rPr>
        <w:t>Basis of the IOC Sampling Frequency During a Waiver</w:t>
      </w:r>
      <w:r w:rsidRPr="00F24514">
        <w:rPr>
          <w:rFonts w:eastAsia="Times New Roman"/>
          <w:sz w:val="24"/>
          <w:szCs w:val="24"/>
        </w:rPr>
        <w:t>. The granting of a waiver by the Department will be based on the following:</w:t>
      </w:r>
    </w:p>
    <w:p w14:paraId="2819D5E1" w14:textId="77777777" w:rsidR="004647B9" w:rsidRPr="00F24514" w:rsidRDefault="00E2436F" w:rsidP="00563A54">
      <w:pPr>
        <w:numPr>
          <w:ilvl w:val="2"/>
          <w:numId w:val="125"/>
        </w:numPr>
        <w:tabs>
          <w:tab w:val="left" w:pos="2280"/>
        </w:tabs>
        <w:ind w:left="2280" w:hanging="365"/>
        <w:rPr>
          <w:rFonts w:eastAsia="Times New Roman"/>
          <w:sz w:val="24"/>
          <w:szCs w:val="24"/>
        </w:rPr>
      </w:pPr>
      <w:r w:rsidRPr="00F24514">
        <w:rPr>
          <w:rFonts w:eastAsia="Times New Roman"/>
          <w:sz w:val="24"/>
          <w:szCs w:val="24"/>
        </w:rPr>
        <w:t>Reported concentrations from all previous monitoring;</w:t>
      </w:r>
    </w:p>
    <w:p w14:paraId="2819D5E3" w14:textId="77777777" w:rsidR="004647B9" w:rsidRPr="00F24514" w:rsidRDefault="00E2436F" w:rsidP="00563A54">
      <w:pPr>
        <w:numPr>
          <w:ilvl w:val="2"/>
          <w:numId w:val="125"/>
        </w:numPr>
        <w:tabs>
          <w:tab w:val="left" w:pos="2280"/>
        </w:tabs>
        <w:ind w:left="2280" w:hanging="365"/>
        <w:rPr>
          <w:rFonts w:eastAsia="Times New Roman"/>
          <w:sz w:val="24"/>
          <w:szCs w:val="24"/>
        </w:rPr>
      </w:pPr>
      <w:r w:rsidRPr="00F24514">
        <w:rPr>
          <w:rFonts w:eastAsia="Times New Roman"/>
          <w:sz w:val="24"/>
          <w:szCs w:val="24"/>
        </w:rPr>
        <w:t>The degree of variation in reported concentrations; and</w:t>
      </w:r>
    </w:p>
    <w:p w14:paraId="2819D5E5" w14:textId="7668A58B" w:rsidR="004647B9" w:rsidRPr="00F24514" w:rsidRDefault="00E2436F" w:rsidP="00563A54">
      <w:pPr>
        <w:numPr>
          <w:ilvl w:val="2"/>
          <w:numId w:val="125"/>
        </w:numPr>
        <w:tabs>
          <w:tab w:val="left" w:pos="2374"/>
        </w:tabs>
        <w:ind w:left="1920" w:hanging="5"/>
        <w:jc w:val="both"/>
        <w:rPr>
          <w:rFonts w:eastAsia="Times New Roman"/>
          <w:sz w:val="24"/>
          <w:szCs w:val="24"/>
        </w:rPr>
      </w:pPr>
      <w:r w:rsidRPr="00F24514">
        <w:rPr>
          <w:rFonts w:eastAsia="Times New Roman"/>
          <w:sz w:val="24"/>
          <w:szCs w:val="24"/>
        </w:rPr>
        <w:t>Other factors which may affect contaminant concentrations such as changes in groundwater pumping rates, changes in the system</w:t>
      </w:r>
      <w:r w:rsidR="000010AB">
        <w:rPr>
          <w:rFonts w:eastAsia="Times New Roman"/>
          <w:sz w:val="24"/>
          <w:szCs w:val="24"/>
        </w:rPr>
        <w:t>’</w:t>
      </w:r>
      <w:r w:rsidRPr="00F24514">
        <w:rPr>
          <w:rFonts w:eastAsia="Times New Roman"/>
          <w:sz w:val="24"/>
          <w:szCs w:val="24"/>
        </w:rPr>
        <w:t>s configuration, changes in the system</w:t>
      </w:r>
      <w:r w:rsidR="000010AB">
        <w:rPr>
          <w:rFonts w:eastAsia="Times New Roman"/>
          <w:sz w:val="24"/>
          <w:szCs w:val="24"/>
        </w:rPr>
        <w:t>’</w:t>
      </w:r>
      <w:r w:rsidRPr="00F24514">
        <w:rPr>
          <w:rFonts w:eastAsia="Times New Roman"/>
          <w:sz w:val="24"/>
          <w:szCs w:val="24"/>
        </w:rPr>
        <w:t>s operating procedures, or changes in stream flows or characteristics.</w:t>
      </w:r>
    </w:p>
    <w:p w14:paraId="2819D5E7" w14:textId="27A3CBD8" w:rsidR="004647B9" w:rsidRPr="00F24514" w:rsidRDefault="00E2436F" w:rsidP="00563A54">
      <w:pPr>
        <w:numPr>
          <w:ilvl w:val="1"/>
          <w:numId w:val="125"/>
        </w:numPr>
        <w:tabs>
          <w:tab w:val="left" w:pos="1980"/>
        </w:tabs>
        <w:ind w:left="1560" w:hanging="5"/>
        <w:jc w:val="both"/>
        <w:rPr>
          <w:rFonts w:eastAsia="Times New Roman"/>
          <w:sz w:val="24"/>
          <w:szCs w:val="24"/>
        </w:rPr>
      </w:pPr>
      <w:r w:rsidRPr="00F24514">
        <w:rPr>
          <w:rFonts w:eastAsia="Times New Roman"/>
          <w:sz w:val="24"/>
          <w:szCs w:val="24"/>
          <w:u w:val="single"/>
        </w:rPr>
        <w:t>Effect of an IOC Waiver</w:t>
      </w:r>
      <w:r w:rsidRPr="00F24514">
        <w:rPr>
          <w:rFonts w:eastAsia="Times New Roman"/>
          <w:sz w:val="24"/>
          <w:szCs w:val="24"/>
        </w:rPr>
        <w:t>. A Supplier of Water must have received a written approval from the Department which shall set forth the basis for the determination. The determination may be initiated by the Department or upon an application by the Public Water System. The Public Water System shall specify the basis for its request. The Department may revise its determination of the appropriate monitoring frequency, if the system submits new monitoring data or when other data relevant to the system</w:t>
      </w:r>
      <w:r w:rsidR="000010AB">
        <w:rPr>
          <w:rFonts w:eastAsia="Times New Roman"/>
          <w:sz w:val="24"/>
          <w:szCs w:val="24"/>
        </w:rPr>
        <w:t>’</w:t>
      </w:r>
      <w:r w:rsidRPr="00F24514">
        <w:rPr>
          <w:rFonts w:eastAsia="Times New Roman"/>
          <w:sz w:val="24"/>
          <w:szCs w:val="24"/>
        </w:rPr>
        <w:t>s appropriate monitoring frequency become available.</w:t>
      </w:r>
    </w:p>
    <w:p w14:paraId="2819D5E8" w14:textId="77777777" w:rsidR="004647B9" w:rsidRPr="00F24514" w:rsidRDefault="00E2436F" w:rsidP="00563A54">
      <w:pPr>
        <w:numPr>
          <w:ilvl w:val="1"/>
          <w:numId w:val="125"/>
        </w:numPr>
        <w:tabs>
          <w:tab w:val="left" w:pos="2024"/>
        </w:tabs>
        <w:ind w:left="1560" w:hanging="5"/>
        <w:jc w:val="both"/>
        <w:rPr>
          <w:rFonts w:eastAsia="Times New Roman"/>
          <w:sz w:val="24"/>
          <w:szCs w:val="24"/>
        </w:rPr>
      </w:pPr>
      <w:r w:rsidRPr="00F24514">
        <w:rPr>
          <w:rFonts w:eastAsia="Times New Roman"/>
          <w:sz w:val="24"/>
          <w:szCs w:val="24"/>
          <w:u w:val="single"/>
        </w:rPr>
        <w:t>Exceeding an IOC MCL</w:t>
      </w:r>
      <w:r w:rsidRPr="00F24514">
        <w:rPr>
          <w:rFonts w:eastAsia="Times New Roman"/>
          <w:sz w:val="24"/>
          <w:szCs w:val="24"/>
        </w:rPr>
        <w:t>. Systems which exceed a Maximum Contaminant Levels as defined by 310 CMR 22.06(2) shall report to the Department within seven days and shall monitor quarterly beginning in the following quarter.</w:t>
      </w:r>
    </w:p>
    <w:p w14:paraId="2819D5EA" w14:textId="77777777" w:rsidR="004647B9" w:rsidRPr="00F24514" w:rsidRDefault="00E2436F" w:rsidP="00563A54">
      <w:pPr>
        <w:numPr>
          <w:ilvl w:val="1"/>
          <w:numId w:val="125"/>
        </w:numPr>
        <w:tabs>
          <w:tab w:val="left" w:pos="2121"/>
        </w:tabs>
        <w:ind w:left="1560" w:hanging="5"/>
        <w:jc w:val="both"/>
        <w:rPr>
          <w:rFonts w:eastAsia="Times New Roman"/>
          <w:sz w:val="24"/>
          <w:szCs w:val="24"/>
        </w:rPr>
      </w:pPr>
      <w:r w:rsidRPr="00F24514">
        <w:rPr>
          <w:rFonts w:eastAsia="Times New Roman"/>
          <w:sz w:val="24"/>
          <w:szCs w:val="24"/>
          <w:u w:val="single"/>
        </w:rPr>
        <w:t>Average Exceeding MCL</w:t>
      </w:r>
      <w:r w:rsidRPr="00F24514">
        <w:rPr>
          <w:rFonts w:eastAsia="Times New Roman"/>
          <w:sz w:val="24"/>
          <w:szCs w:val="24"/>
        </w:rPr>
        <w:t>. When the average of four analyses made pursuant to 310 CMR 22.06(6)(g), rounded to the same number of significant figures as the Maximum Contaminant Level for the substance in question, exceeds the Maximum Contaminant Level, the Supplier of Water shall report to the Department pursuant to 310 CMR 22.15 and give public notice to the public pursuant to 310 CMR 22.16. Monitoring after public notification shall be at a frequency designated by the Department and shall continue until the Maximum Contaminant Level has not been exceeded in two successive samples or until a monitoring schedule as condition to variance, exemption or enforcement action shall become effective.</w:t>
      </w:r>
    </w:p>
    <w:p w14:paraId="2819D5EC" w14:textId="51CFEB2B" w:rsidR="004647B9" w:rsidRPr="00F24514" w:rsidRDefault="00E2436F" w:rsidP="00563A54">
      <w:pPr>
        <w:numPr>
          <w:ilvl w:val="1"/>
          <w:numId w:val="125"/>
        </w:numPr>
        <w:tabs>
          <w:tab w:val="left" w:pos="1925"/>
        </w:tabs>
        <w:ind w:left="1560" w:hanging="5"/>
        <w:jc w:val="both"/>
        <w:rPr>
          <w:rFonts w:eastAsia="Times New Roman"/>
          <w:sz w:val="24"/>
          <w:szCs w:val="24"/>
        </w:rPr>
      </w:pPr>
      <w:r w:rsidRPr="00F24514">
        <w:rPr>
          <w:rFonts w:eastAsia="Times New Roman"/>
          <w:sz w:val="24"/>
          <w:szCs w:val="24"/>
          <w:u w:val="single"/>
        </w:rPr>
        <w:t>IOCs Reliably &amp; Consistently below the MCL</w:t>
      </w:r>
      <w:r w:rsidRPr="00F24514">
        <w:rPr>
          <w:rFonts w:eastAsia="Times New Roman"/>
          <w:sz w:val="24"/>
          <w:szCs w:val="24"/>
        </w:rPr>
        <w:t>. If the system is reliably and consistently below the Maximum Contaminant Level, the quarterly monitoring requirement may be decreased with the Department</w:t>
      </w:r>
      <w:r w:rsidR="000010AB">
        <w:rPr>
          <w:rFonts w:eastAsia="Times New Roman"/>
          <w:sz w:val="24"/>
          <w:szCs w:val="24"/>
        </w:rPr>
        <w:t>’</w:t>
      </w:r>
      <w:r w:rsidRPr="00F24514">
        <w:rPr>
          <w:rFonts w:eastAsia="Times New Roman"/>
          <w:sz w:val="24"/>
          <w:szCs w:val="24"/>
        </w:rPr>
        <w:t>s approval to the frequencies specified in 310 CMR 22.06(6)(a). Systems requesting this decrease must have taken at a minimum two quarterly samples for a groundwater system and four quarterly samples for a Surface Water system.</w:t>
      </w:r>
    </w:p>
    <w:p w14:paraId="2819D5EE" w14:textId="77777777" w:rsidR="004647B9" w:rsidRPr="00F24514" w:rsidRDefault="00E2436F" w:rsidP="00563A54">
      <w:pPr>
        <w:numPr>
          <w:ilvl w:val="1"/>
          <w:numId w:val="125"/>
        </w:numPr>
        <w:tabs>
          <w:tab w:val="left" w:pos="2002"/>
        </w:tabs>
        <w:ind w:left="1560" w:hanging="5"/>
        <w:jc w:val="both"/>
        <w:rPr>
          <w:rFonts w:eastAsia="Times New Roman"/>
          <w:sz w:val="24"/>
          <w:szCs w:val="24"/>
        </w:rPr>
      </w:pPr>
      <w:r w:rsidRPr="00F24514">
        <w:rPr>
          <w:rFonts w:eastAsia="Times New Roman"/>
          <w:sz w:val="24"/>
          <w:szCs w:val="24"/>
        </w:rPr>
        <w:t>All new Public Water Systems or systems that use a New Source of water that begin operation after January 22, 2004 must demonstrate compliance with the MCL within a period of time as specified by the Department. The system must also comply with the initial sampling frequencies specified by the Department to ensure a system can demonstrate compliance with the MCL. Routine and increased monitoring frequencies shall be conducted in accordance with the requirements in 310 CMR 22.06(6).</w:t>
      </w:r>
    </w:p>
    <w:p w14:paraId="2819D5EF" w14:textId="77777777" w:rsidR="004647B9" w:rsidRPr="00F24514" w:rsidRDefault="004647B9" w:rsidP="00F24514">
      <w:pPr>
        <w:rPr>
          <w:rFonts w:eastAsia="Times New Roman"/>
          <w:sz w:val="24"/>
          <w:szCs w:val="24"/>
        </w:rPr>
      </w:pPr>
    </w:p>
    <w:p w14:paraId="2819D5F0" w14:textId="77777777" w:rsidR="004647B9" w:rsidRPr="00F24514" w:rsidRDefault="00E2436F" w:rsidP="00563A54">
      <w:pPr>
        <w:numPr>
          <w:ilvl w:val="0"/>
          <w:numId w:val="126"/>
        </w:numPr>
        <w:tabs>
          <w:tab w:val="left" w:pos="1694"/>
        </w:tabs>
        <w:ind w:left="1200"/>
        <w:jc w:val="both"/>
        <w:rPr>
          <w:rFonts w:eastAsia="Times New Roman"/>
          <w:sz w:val="24"/>
          <w:szCs w:val="24"/>
        </w:rPr>
      </w:pPr>
      <w:r w:rsidRPr="00F24514">
        <w:rPr>
          <w:rFonts w:eastAsia="Times New Roman"/>
          <w:sz w:val="24"/>
          <w:szCs w:val="24"/>
          <w:u w:val="single"/>
        </w:rPr>
        <w:t>Sampling Frequency for Nitrate</w:t>
      </w:r>
      <w:r w:rsidRPr="00F24514">
        <w:rPr>
          <w:rFonts w:eastAsia="Times New Roman"/>
          <w:sz w:val="24"/>
          <w:szCs w:val="24"/>
        </w:rPr>
        <w:t>. All Public Water Systems (Community, Non-transient Non-community, and Transient Non-community Water Systems) shall monitor to determine compliance with the Maximum Contaminant Level for nitrate specified in 310 CMR 22.06(2).</w:t>
      </w:r>
    </w:p>
    <w:p w14:paraId="2819D5F2" w14:textId="77777777" w:rsidR="004647B9" w:rsidRPr="00F24514" w:rsidRDefault="00E2436F" w:rsidP="00563A54">
      <w:pPr>
        <w:numPr>
          <w:ilvl w:val="1"/>
          <w:numId w:val="126"/>
        </w:numPr>
        <w:tabs>
          <w:tab w:val="left" w:pos="1934"/>
        </w:tabs>
        <w:ind w:left="1560" w:hanging="5"/>
        <w:jc w:val="both"/>
        <w:rPr>
          <w:rFonts w:eastAsia="Times New Roman"/>
          <w:sz w:val="24"/>
          <w:szCs w:val="24"/>
        </w:rPr>
      </w:pPr>
      <w:r w:rsidRPr="00F24514">
        <w:rPr>
          <w:rFonts w:eastAsia="Times New Roman"/>
          <w:sz w:val="24"/>
          <w:szCs w:val="24"/>
          <w:u w:val="single"/>
        </w:rPr>
        <w:t>Initial Nitrate Sampling</w:t>
      </w:r>
      <w:r w:rsidRPr="00F24514">
        <w:rPr>
          <w:rFonts w:eastAsia="Times New Roman"/>
          <w:sz w:val="24"/>
          <w:szCs w:val="24"/>
        </w:rPr>
        <w:t>. Community and Non-transient Non-community Water Systems served by groundwater source shall monitor annually beginning January 1, 1993; systems served by Surface Water shall monitor quarterly beginning January 1, 1993.</w:t>
      </w:r>
    </w:p>
    <w:p w14:paraId="2819D5F4" w14:textId="77777777" w:rsidR="004647B9" w:rsidRPr="00F24514" w:rsidRDefault="00E2436F" w:rsidP="00563A54">
      <w:pPr>
        <w:numPr>
          <w:ilvl w:val="1"/>
          <w:numId w:val="126"/>
        </w:numPr>
        <w:tabs>
          <w:tab w:val="left" w:pos="2207"/>
        </w:tabs>
        <w:ind w:left="1560" w:hanging="5"/>
        <w:rPr>
          <w:rFonts w:eastAsia="Times New Roman"/>
          <w:sz w:val="24"/>
          <w:szCs w:val="24"/>
        </w:rPr>
      </w:pPr>
      <w:r w:rsidRPr="00F24514">
        <w:rPr>
          <w:rFonts w:eastAsia="Times New Roman"/>
          <w:sz w:val="24"/>
          <w:szCs w:val="24"/>
          <w:u w:val="single"/>
        </w:rPr>
        <w:t>Transient Non-community Nitrate Sampling Frequency</w:t>
      </w:r>
      <w:r w:rsidRPr="00F24514">
        <w:rPr>
          <w:rFonts w:eastAsia="Times New Roman"/>
          <w:sz w:val="24"/>
          <w:szCs w:val="24"/>
        </w:rPr>
        <w:t>. Each Transient Non-community Water System shall monitor annually beginning January 1, 1993.</w:t>
      </w:r>
    </w:p>
    <w:p w14:paraId="2819D5F5" w14:textId="307DB853" w:rsidR="004647B9" w:rsidRPr="00F24514" w:rsidRDefault="00E2436F" w:rsidP="00563A54">
      <w:pPr>
        <w:numPr>
          <w:ilvl w:val="1"/>
          <w:numId w:val="126"/>
        </w:numPr>
        <w:tabs>
          <w:tab w:val="left" w:pos="1975"/>
        </w:tabs>
        <w:ind w:left="1560" w:hanging="5"/>
        <w:jc w:val="both"/>
        <w:rPr>
          <w:rFonts w:eastAsia="Times New Roman"/>
          <w:sz w:val="24"/>
          <w:szCs w:val="24"/>
        </w:rPr>
      </w:pPr>
      <w:r w:rsidRPr="00F24514">
        <w:rPr>
          <w:rFonts w:eastAsia="Times New Roman"/>
          <w:sz w:val="24"/>
          <w:szCs w:val="24"/>
          <w:u w:val="single"/>
        </w:rPr>
        <w:t>Ground Water Repeat Nitrate Sampling Frequency</w:t>
      </w:r>
      <w:r w:rsidRPr="00F24514">
        <w:rPr>
          <w:rFonts w:eastAsia="Times New Roman"/>
          <w:sz w:val="24"/>
          <w:szCs w:val="24"/>
        </w:rPr>
        <w:t>. For all Public Water Systems: the repeat monitoring frequency for groundwater systems shall be quarterly for at least one year following any one sample in which the concentration is &gt;50% the MCL. A groundwater system may reduce the sampling frequency to annually with the Department</w:t>
      </w:r>
      <w:r w:rsidR="000010AB">
        <w:rPr>
          <w:rFonts w:eastAsia="Times New Roman"/>
          <w:sz w:val="24"/>
          <w:szCs w:val="24"/>
        </w:rPr>
        <w:t>’</w:t>
      </w:r>
      <w:r w:rsidRPr="00F24514">
        <w:rPr>
          <w:rFonts w:eastAsia="Times New Roman"/>
          <w:sz w:val="24"/>
          <w:szCs w:val="24"/>
        </w:rPr>
        <w:t>s approval, after four consecutive quarterly samples are reliably and consistently less than the MCL.</w:t>
      </w:r>
    </w:p>
    <w:p w14:paraId="2819D5F7" w14:textId="62150A9D" w:rsidR="004647B9" w:rsidRPr="00F24514" w:rsidRDefault="00E2436F" w:rsidP="00563A54">
      <w:pPr>
        <w:numPr>
          <w:ilvl w:val="1"/>
          <w:numId w:val="126"/>
        </w:numPr>
        <w:tabs>
          <w:tab w:val="left" w:pos="2056"/>
        </w:tabs>
        <w:ind w:left="1560" w:hanging="5"/>
        <w:jc w:val="both"/>
        <w:rPr>
          <w:rFonts w:eastAsia="Times New Roman"/>
          <w:sz w:val="24"/>
          <w:szCs w:val="24"/>
        </w:rPr>
      </w:pPr>
      <w:r w:rsidRPr="00F24514">
        <w:rPr>
          <w:rFonts w:eastAsia="Times New Roman"/>
          <w:sz w:val="24"/>
          <w:szCs w:val="24"/>
          <w:u w:val="single"/>
        </w:rPr>
        <w:t>Surface Water Repeat Nitrate Sampling Frequency</w:t>
      </w:r>
      <w:r w:rsidRPr="00F24514">
        <w:rPr>
          <w:rFonts w:eastAsia="Times New Roman"/>
          <w:sz w:val="24"/>
          <w:szCs w:val="24"/>
        </w:rPr>
        <w:t>. All Public Water Systems with Surface Water Sources may reduce the sampling frequency to annually with the Department</w:t>
      </w:r>
      <w:r w:rsidR="000010AB">
        <w:rPr>
          <w:rFonts w:eastAsia="Times New Roman"/>
          <w:sz w:val="24"/>
          <w:szCs w:val="24"/>
        </w:rPr>
        <w:t>’</w:t>
      </w:r>
      <w:r w:rsidRPr="00F24514">
        <w:rPr>
          <w:rFonts w:eastAsia="Times New Roman"/>
          <w:sz w:val="24"/>
          <w:szCs w:val="24"/>
        </w:rPr>
        <w:t xml:space="preserve">s approval, if all analytical results from four consecutive quarters are &lt;50% of the MCL. A Surface Water system shall return to quarterly monitoring if any one sample is </w:t>
      </w:r>
      <w:r w:rsidR="003227BA" w:rsidRPr="00F24514">
        <w:rPr>
          <w:rFonts w:eastAsia="Arial"/>
          <w:sz w:val="24"/>
          <w:szCs w:val="24"/>
        </w:rPr>
        <w:t>≥</w:t>
      </w:r>
      <w:r w:rsidRPr="00F24514">
        <w:rPr>
          <w:rFonts w:eastAsia="Times New Roman"/>
          <w:sz w:val="24"/>
          <w:szCs w:val="24"/>
        </w:rPr>
        <w:t>50% of the MCL.</w:t>
      </w:r>
    </w:p>
    <w:p w14:paraId="2819D5F9" w14:textId="77777777" w:rsidR="004647B9" w:rsidRPr="00F24514" w:rsidRDefault="00E2436F" w:rsidP="00563A54">
      <w:pPr>
        <w:numPr>
          <w:ilvl w:val="1"/>
          <w:numId w:val="126"/>
        </w:numPr>
        <w:tabs>
          <w:tab w:val="left" w:pos="2128"/>
        </w:tabs>
        <w:ind w:left="1560" w:hanging="5"/>
        <w:jc w:val="both"/>
        <w:rPr>
          <w:rFonts w:eastAsia="Times New Roman"/>
          <w:sz w:val="24"/>
          <w:szCs w:val="24"/>
        </w:rPr>
      </w:pPr>
      <w:r w:rsidRPr="00F24514">
        <w:rPr>
          <w:rFonts w:eastAsia="Times New Roman"/>
          <w:sz w:val="24"/>
          <w:szCs w:val="24"/>
          <w:u w:val="single"/>
        </w:rPr>
        <w:t>Scheduling Annual Nitrate Repeat Samples</w:t>
      </w:r>
      <w:r w:rsidRPr="00F24514">
        <w:rPr>
          <w:rFonts w:eastAsia="Times New Roman"/>
          <w:sz w:val="24"/>
          <w:szCs w:val="24"/>
        </w:rPr>
        <w:t>. After the initial round of quarterly sampling is completed, all Public Water Systems which are monitoring quarterly because the concentration of any one sample was &gt;50% of the MCL shall take subsequent annual samples during the quarter(s) which previously resulted in the highest analytical result.</w:t>
      </w:r>
    </w:p>
    <w:p w14:paraId="2819D5FA" w14:textId="77777777" w:rsidR="004647B9" w:rsidRDefault="004647B9">
      <w:pPr>
        <w:sectPr w:rsidR="004647B9" w:rsidSect="00EF630C">
          <w:pgSz w:w="12240" w:h="20180"/>
          <w:pgMar w:top="708" w:right="1440" w:bottom="1016" w:left="600" w:header="0" w:footer="0" w:gutter="0"/>
          <w:cols w:space="720" w:equalWidth="0">
            <w:col w:w="10200"/>
          </w:cols>
        </w:sectPr>
      </w:pPr>
    </w:p>
    <w:p w14:paraId="2819D5FB" w14:textId="77777777" w:rsidR="004647B9" w:rsidRDefault="00E2436F">
      <w:pPr>
        <w:tabs>
          <w:tab w:val="left" w:pos="160"/>
        </w:tabs>
        <w:jc w:val="center"/>
        <w:rPr>
          <w:sz w:val="20"/>
          <w:szCs w:val="20"/>
        </w:rPr>
      </w:pPr>
      <w:bookmarkStart w:id="51" w:name="page52"/>
      <w:bookmarkEnd w:id="5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5FC" w14:textId="77777777" w:rsidR="004647B9" w:rsidRDefault="004647B9" w:rsidP="0049330A">
      <w:pPr>
        <w:rPr>
          <w:sz w:val="20"/>
          <w:szCs w:val="20"/>
        </w:rPr>
      </w:pPr>
    </w:p>
    <w:p w14:paraId="2819D5FD" w14:textId="77777777" w:rsidR="004647B9" w:rsidRDefault="004647B9" w:rsidP="0049330A">
      <w:pPr>
        <w:rPr>
          <w:sz w:val="20"/>
          <w:szCs w:val="20"/>
        </w:rPr>
      </w:pPr>
    </w:p>
    <w:p w14:paraId="2819D5FE"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5FF" w14:textId="77777777" w:rsidR="004647B9" w:rsidRDefault="004647B9" w:rsidP="0049330A">
      <w:pPr>
        <w:rPr>
          <w:sz w:val="20"/>
          <w:szCs w:val="20"/>
        </w:rPr>
      </w:pPr>
    </w:p>
    <w:p w14:paraId="2819D600" w14:textId="057D0A97" w:rsidR="004647B9" w:rsidRDefault="00E2436F" w:rsidP="00563A54">
      <w:pPr>
        <w:numPr>
          <w:ilvl w:val="0"/>
          <w:numId w:val="127"/>
        </w:numPr>
        <w:tabs>
          <w:tab w:val="left" w:pos="1696"/>
        </w:tabs>
        <w:spacing w:line="256" w:lineRule="auto"/>
        <w:ind w:left="1200"/>
        <w:jc w:val="both"/>
        <w:rPr>
          <w:rFonts w:eastAsia="Times New Roman"/>
          <w:sz w:val="24"/>
          <w:szCs w:val="24"/>
        </w:rPr>
      </w:pPr>
      <w:r>
        <w:rPr>
          <w:rFonts w:eastAsia="Times New Roman"/>
          <w:sz w:val="24"/>
          <w:szCs w:val="24"/>
          <w:u w:val="single"/>
        </w:rPr>
        <w:t>Sampling Frequency for Nitrite</w:t>
      </w:r>
      <w:r>
        <w:rPr>
          <w:rFonts w:eastAsia="Times New Roman"/>
          <w:sz w:val="24"/>
          <w:szCs w:val="24"/>
        </w:rPr>
        <w:t>. All Public Water Systems (Community, Non-transient Non-community, and Transient Non-community Water Systems) shall monitor to determine</w:t>
      </w:r>
      <w:r w:rsidR="0049330A">
        <w:rPr>
          <w:rFonts w:eastAsia="Times New Roman"/>
          <w:sz w:val="24"/>
          <w:szCs w:val="24"/>
        </w:rPr>
        <w:t xml:space="preserve"> compliance with the Maximum Contaminant Level for nitrite in 310 CMR 22.06(2)</w:t>
      </w:r>
      <w:r w:rsidR="00AD2671">
        <w:rPr>
          <w:rFonts w:eastAsia="Times New Roman"/>
          <w:sz w:val="24"/>
          <w:szCs w:val="24"/>
        </w:rPr>
        <w:t>.</w:t>
      </w:r>
    </w:p>
    <w:p w14:paraId="2819D604" w14:textId="77777777" w:rsidR="004647B9" w:rsidRDefault="00E2436F" w:rsidP="00563A54">
      <w:pPr>
        <w:numPr>
          <w:ilvl w:val="1"/>
          <w:numId w:val="127"/>
        </w:numPr>
        <w:tabs>
          <w:tab w:val="left" w:pos="2088"/>
        </w:tabs>
        <w:spacing w:line="242" w:lineRule="auto"/>
        <w:ind w:left="1560" w:hanging="5"/>
        <w:jc w:val="both"/>
        <w:rPr>
          <w:rFonts w:eastAsia="Times New Roman"/>
          <w:sz w:val="24"/>
          <w:szCs w:val="24"/>
        </w:rPr>
      </w:pPr>
      <w:r>
        <w:rPr>
          <w:rFonts w:eastAsia="Times New Roman"/>
          <w:sz w:val="24"/>
          <w:szCs w:val="24"/>
          <w:u w:val="single"/>
        </w:rPr>
        <w:t>Initial Nitrite Sampling</w:t>
      </w:r>
      <w:r>
        <w:rPr>
          <w:rFonts w:eastAsia="Times New Roman"/>
          <w:sz w:val="24"/>
          <w:szCs w:val="24"/>
        </w:rPr>
        <w:t>. All Public Water Systems shall take one sample at each Sampling Point in the Compliance Period beginning January 1, 1993 and ending December 31, 1995.</w:t>
      </w:r>
    </w:p>
    <w:p w14:paraId="2819D606" w14:textId="77777777" w:rsidR="004647B9" w:rsidRDefault="00E2436F" w:rsidP="00563A54">
      <w:pPr>
        <w:numPr>
          <w:ilvl w:val="1"/>
          <w:numId w:val="127"/>
        </w:numPr>
        <w:tabs>
          <w:tab w:val="left" w:pos="2016"/>
        </w:tabs>
        <w:spacing w:line="243" w:lineRule="auto"/>
        <w:ind w:left="1560" w:hanging="5"/>
        <w:jc w:val="both"/>
        <w:rPr>
          <w:rFonts w:eastAsia="Times New Roman"/>
          <w:sz w:val="24"/>
          <w:szCs w:val="24"/>
        </w:rPr>
      </w:pPr>
      <w:r>
        <w:rPr>
          <w:rFonts w:eastAsia="Times New Roman"/>
          <w:sz w:val="24"/>
          <w:szCs w:val="24"/>
          <w:u w:val="single"/>
        </w:rPr>
        <w:t>Under the Nitrite Trigger Level</w:t>
      </w:r>
      <w:r>
        <w:rPr>
          <w:rFonts w:eastAsia="Times New Roman"/>
          <w:sz w:val="24"/>
          <w:szCs w:val="24"/>
        </w:rPr>
        <w:t>. After the initial sample, systems where an analytical result for nitrite is &lt;50% of the MCL shall monitor at the frequency specified by the Department.</w:t>
      </w:r>
    </w:p>
    <w:p w14:paraId="2819D608" w14:textId="5C45074B" w:rsidR="004647B9" w:rsidRDefault="00E2436F" w:rsidP="00563A54">
      <w:pPr>
        <w:numPr>
          <w:ilvl w:val="1"/>
          <w:numId w:val="127"/>
        </w:numPr>
        <w:tabs>
          <w:tab w:val="left" w:pos="1980"/>
        </w:tabs>
        <w:spacing w:line="243" w:lineRule="auto"/>
        <w:ind w:left="1560" w:hanging="5"/>
        <w:jc w:val="both"/>
        <w:rPr>
          <w:rFonts w:eastAsia="Times New Roman"/>
          <w:sz w:val="24"/>
          <w:szCs w:val="24"/>
        </w:rPr>
      </w:pPr>
      <w:r>
        <w:rPr>
          <w:rFonts w:eastAsia="Times New Roman"/>
          <w:sz w:val="24"/>
          <w:szCs w:val="24"/>
          <w:u w:val="single"/>
        </w:rPr>
        <w:t>Above the Nitrite Trigger Level</w:t>
      </w:r>
      <w:r>
        <w:rPr>
          <w:rFonts w:eastAsia="Times New Roman"/>
          <w:sz w:val="24"/>
          <w:szCs w:val="24"/>
        </w:rPr>
        <w:t>. For Community, Non-transient Non-community, and Transient Non-community Water Systems, the repeat monitoring frequency for any water system shall be quarterly for at least one year following any one sample in which the concentration is &gt;50% of the MCL. With the Department</w:t>
      </w:r>
      <w:r w:rsidR="000010AB">
        <w:rPr>
          <w:rFonts w:eastAsia="Times New Roman"/>
          <w:sz w:val="24"/>
          <w:szCs w:val="24"/>
        </w:rPr>
        <w:t>’</w:t>
      </w:r>
      <w:r>
        <w:rPr>
          <w:rFonts w:eastAsia="Times New Roman"/>
          <w:sz w:val="24"/>
          <w:szCs w:val="24"/>
        </w:rPr>
        <w:t>s approval, a system may reduce the sampling frequency to annually if the system is reliably and consistently less than the MCL.</w:t>
      </w:r>
    </w:p>
    <w:p w14:paraId="2819D60A" w14:textId="77777777" w:rsidR="004647B9" w:rsidRDefault="00E2436F" w:rsidP="00563A54">
      <w:pPr>
        <w:numPr>
          <w:ilvl w:val="1"/>
          <w:numId w:val="127"/>
        </w:numPr>
        <w:tabs>
          <w:tab w:val="left" w:pos="1984"/>
        </w:tabs>
        <w:spacing w:line="244" w:lineRule="auto"/>
        <w:ind w:left="1560" w:hanging="5"/>
        <w:jc w:val="both"/>
        <w:rPr>
          <w:rFonts w:eastAsia="Times New Roman"/>
          <w:sz w:val="24"/>
          <w:szCs w:val="24"/>
        </w:rPr>
      </w:pPr>
      <w:r>
        <w:rPr>
          <w:rFonts w:eastAsia="Times New Roman"/>
          <w:sz w:val="24"/>
          <w:szCs w:val="24"/>
          <w:u w:val="single"/>
        </w:rPr>
        <w:t>Scheduling of Annual Nitrite Repeat Samples</w:t>
      </w:r>
      <w:r>
        <w:rPr>
          <w:rFonts w:eastAsia="Times New Roman"/>
          <w:sz w:val="24"/>
          <w:szCs w:val="24"/>
        </w:rPr>
        <w:t>. Systems which are monitoring annually shall take each subsequent sample during the quarter(s) which previously resulted in the highest analytical result.</w:t>
      </w:r>
    </w:p>
    <w:p w14:paraId="2819D60B" w14:textId="77777777" w:rsidR="004647B9" w:rsidRDefault="004647B9">
      <w:pPr>
        <w:spacing w:line="242" w:lineRule="exact"/>
        <w:rPr>
          <w:rFonts w:eastAsia="Times New Roman"/>
          <w:sz w:val="24"/>
          <w:szCs w:val="24"/>
        </w:rPr>
      </w:pPr>
    </w:p>
    <w:p w14:paraId="2819D60C" w14:textId="77777777" w:rsidR="004647B9" w:rsidRDefault="00E2436F" w:rsidP="00563A54">
      <w:pPr>
        <w:numPr>
          <w:ilvl w:val="0"/>
          <w:numId w:val="127"/>
        </w:numPr>
        <w:tabs>
          <w:tab w:val="left" w:pos="1660"/>
        </w:tabs>
        <w:ind w:left="1660" w:hanging="460"/>
        <w:rPr>
          <w:rFonts w:eastAsia="Times New Roman"/>
          <w:sz w:val="24"/>
          <w:szCs w:val="24"/>
        </w:rPr>
      </w:pPr>
      <w:r>
        <w:rPr>
          <w:rFonts w:eastAsia="Times New Roman"/>
          <w:sz w:val="24"/>
          <w:szCs w:val="24"/>
          <w:u w:val="single"/>
        </w:rPr>
        <w:t>Sampling Frequency for Perchlorate</w:t>
      </w:r>
      <w:r>
        <w:rPr>
          <w:rFonts w:eastAsia="Times New Roman"/>
          <w:sz w:val="24"/>
          <w:szCs w:val="24"/>
        </w:rPr>
        <w:t>.</w:t>
      </w:r>
    </w:p>
    <w:p w14:paraId="2819D60E" w14:textId="77777777" w:rsidR="004647B9" w:rsidRDefault="00E2436F" w:rsidP="00563A54">
      <w:pPr>
        <w:numPr>
          <w:ilvl w:val="1"/>
          <w:numId w:val="127"/>
        </w:numPr>
        <w:tabs>
          <w:tab w:val="left" w:pos="2114"/>
        </w:tabs>
        <w:spacing w:line="243" w:lineRule="auto"/>
        <w:ind w:left="1560" w:hanging="5"/>
        <w:rPr>
          <w:rFonts w:eastAsia="Times New Roman"/>
          <w:sz w:val="24"/>
          <w:szCs w:val="24"/>
        </w:rPr>
      </w:pPr>
      <w:r>
        <w:rPr>
          <w:rFonts w:eastAsia="Times New Roman"/>
          <w:sz w:val="24"/>
          <w:szCs w:val="24"/>
          <w:u w:val="single"/>
        </w:rPr>
        <w:t>Initial Monitoring</w:t>
      </w:r>
      <w:r>
        <w:rPr>
          <w:rFonts w:eastAsia="Times New Roman"/>
          <w:sz w:val="24"/>
          <w:szCs w:val="24"/>
        </w:rPr>
        <w:t>. Community and Non-transient Non-community systems shall complete initial monitoring for perchlorate as specified in 310 CMR 22.06(9)(a).</w:t>
      </w:r>
    </w:p>
    <w:p w14:paraId="2819D60F" w14:textId="77777777" w:rsidR="004647B9" w:rsidRPr="003227BA" w:rsidRDefault="00E2436F" w:rsidP="00563A54">
      <w:pPr>
        <w:numPr>
          <w:ilvl w:val="2"/>
          <w:numId w:val="127"/>
        </w:numPr>
        <w:tabs>
          <w:tab w:val="left" w:pos="2287"/>
        </w:tabs>
        <w:spacing w:line="243" w:lineRule="auto"/>
        <w:ind w:left="1920" w:hanging="5"/>
        <w:jc w:val="both"/>
        <w:rPr>
          <w:rFonts w:eastAsia="Times New Roman"/>
          <w:sz w:val="24"/>
          <w:szCs w:val="24"/>
        </w:rPr>
      </w:pPr>
      <w:r w:rsidRPr="003227BA">
        <w:rPr>
          <w:rFonts w:eastAsia="Times New Roman"/>
          <w:sz w:val="24"/>
          <w:szCs w:val="24"/>
        </w:rPr>
        <w:t>Effective January 1, 2007, for systems served by groundwater, perchlorate shall be monitored twice, once during the month of April and once during the month of September.</w:t>
      </w:r>
    </w:p>
    <w:p w14:paraId="2819D611" w14:textId="77777777" w:rsidR="004647B9" w:rsidRPr="003227BA" w:rsidRDefault="00E2436F" w:rsidP="00563A54">
      <w:pPr>
        <w:numPr>
          <w:ilvl w:val="2"/>
          <w:numId w:val="127"/>
        </w:numPr>
        <w:tabs>
          <w:tab w:val="left" w:pos="2273"/>
        </w:tabs>
        <w:spacing w:line="243" w:lineRule="auto"/>
        <w:ind w:left="1920" w:hanging="5"/>
        <w:rPr>
          <w:rFonts w:eastAsia="Times New Roman"/>
          <w:sz w:val="24"/>
          <w:szCs w:val="24"/>
        </w:rPr>
      </w:pPr>
      <w:r w:rsidRPr="003227BA">
        <w:rPr>
          <w:rFonts w:eastAsia="Times New Roman"/>
          <w:sz w:val="24"/>
          <w:szCs w:val="24"/>
        </w:rPr>
        <w:t>Effective January 1, 2007, for systems served by surface water, perchlorate shall be monitored for four consecutive quarters.</w:t>
      </w:r>
    </w:p>
    <w:p w14:paraId="2819D612" w14:textId="5F35B56A" w:rsidR="004647B9" w:rsidRPr="003227BA" w:rsidRDefault="000010AB" w:rsidP="00563A54">
      <w:pPr>
        <w:numPr>
          <w:ilvl w:val="1"/>
          <w:numId w:val="127"/>
        </w:numPr>
        <w:tabs>
          <w:tab w:val="left" w:pos="1956"/>
        </w:tabs>
        <w:spacing w:line="243" w:lineRule="auto"/>
        <w:ind w:left="1560" w:hanging="5"/>
        <w:jc w:val="both"/>
        <w:rPr>
          <w:rFonts w:eastAsia="Times New Roman"/>
          <w:sz w:val="24"/>
          <w:szCs w:val="24"/>
        </w:rPr>
      </w:pPr>
      <w:r>
        <w:rPr>
          <w:rFonts w:eastAsia="Times New Roman"/>
          <w:sz w:val="24"/>
          <w:szCs w:val="24"/>
          <w:u w:val="single"/>
        </w:rPr>
        <w:t>Previously Collected</w:t>
      </w:r>
      <w:r w:rsidR="00E2436F" w:rsidRPr="003227BA">
        <w:rPr>
          <w:rFonts w:eastAsia="Times New Roman"/>
          <w:sz w:val="24"/>
          <w:szCs w:val="24"/>
          <w:u w:val="single"/>
        </w:rPr>
        <w:t xml:space="preserve"> Perchlorate Data</w:t>
      </w:r>
      <w:r w:rsidR="00E2436F" w:rsidRPr="003227BA">
        <w:rPr>
          <w:rFonts w:eastAsia="Times New Roman"/>
          <w:sz w:val="24"/>
          <w:szCs w:val="24"/>
        </w:rPr>
        <w:t>. If the perchlorate monitoring data collected by a Public Water System after January 1, 2004 is consistent with the requirements of 310 CMR 22.06(9), such data may be used with the Department's approval to satisfy the initial monitoring requirements specified in 310 CMR 22.06(9)(a).</w:t>
      </w:r>
    </w:p>
    <w:p w14:paraId="2819D613" w14:textId="77777777" w:rsidR="004647B9" w:rsidRPr="003227BA" w:rsidRDefault="00E2436F" w:rsidP="00563A54">
      <w:pPr>
        <w:numPr>
          <w:ilvl w:val="1"/>
          <w:numId w:val="127"/>
        </w:numPr>
        <w:tabs>
          <w:tab w:val="left" w:pos="2011"/>
        </w:tabs>
        <w:spacing w:line="242" w:lineRule="auto"/>
        <w:ind w:left="1560" w:hanging="5"/>
        <w:jc w:val="both"/>
        <w:rPr>
          <w:rFonts w:eastAsia="Times New Roman"/>
          <w:sz w:val="24"/>
          <w:szCs w:val="24"/>
        </w:rPr>
      </w:pPr>
      <w:r w:rsidRPr="003227BA">
        <w:rPr>
          <w:rFonts w:eastAsia="Times New Roman"/>
          <w:sz w:val="24"/>
          <w:szCs w:val="24"/>
          <w:u w:val="single"/>
        </w:rPr>
        <w:t>Exceeding the Perchlorate MCL</w:t>
      </w:r>
      <w:r w:rsidRPr="003227BA">
        <w:rPr>
          <w:rFonts w:eastAsia="Times New Roman"/>
          <w:sz w:val="24"/>
          <w:szCs w:val="24"/>
        </w:rPr>
        <w:t>. A Public Water System that exceeds the Maximum Contaminant Level (MCL) for perchlorate in 310 CMR 22.06(2) shall follow the reporting and confirmation procedures in 310 CMR 22.06(10)(c).</w:t>
      </w:r>
    </w:p>
    <w:p w14:paraId="2819D615" w14:textId="77777777" w:rsidR="004647B9" w:rsidRPr="003227BA" w:rsidRDefault="00E2436F" w:rsidP="00563A54">
      <w:pPr>
        <w:numPr>
          <w:ilvl w:val="1"/>
          <w:numId w:val="127"/>
        </w:numPr>
        <w:tabs>
          <w:tab w:val="left" w:pos="2071"/>
        </w:tabs>
        <w:spacing w:line="243" w:lineRule="auto"/>
        <w:ind w:left="1560" w:hanging="5"/>
        <w:jc w:val="both"/>
        <w:rPr>
          <w:rFonts w:eastAsia="Times New Roman"/>
          <w:sz w:val="24"/>
          <w:szCs w:val="24"/>
        </w:rPr>
      </w:pPr>
      <w:r w:rsidRPr="003227BA">
        <w:rPr>
          <w:rFonts w:eastAsia="Times New Roman"/>
          <w:sz w:val="24"/>
          <w:szCs w:val="24"/>
          <w:u w:val="single"/>
        </w:rPr>
        <w:t>Repeat Perchlorate Sampling Frequency</w:t>
      </w:r>
      <w:r w:rsidRPr="003227BA">
        <w:rPr>
          <w:rFonts w:eastAsia="Times New Roman"/>
          <w:sz w:val="24"/>
          <w:szCs w:val="24"/>
        </w:rPr>
        <w:t>. If, after completing the initial monitoring required in 310 CMR 22.06(9)(a), no perchlorate is detected, a Public Water System may thereafter reduce the sampling frequency to once per year.</w:t>
      </w:r>
    </w:p>
    <w:p w14:paraId="2819D617" w14:textId="77777777" w:rsidR="004647B9" w:rsidRPr="003227BA" w:rsidRDefault="00E2436F" w:rsidP="00563A54">
      <w:pPr>
        <w:numPr>
          <w:ilvl w:val="1"/>
          <w:numId w:val="127"/>
        </w:numPr>
        <w:tabs>
          <w:tab w:val="left" w:pos="2054"/>
        </w:tabs>
        <w:spacing w:line="253" w:lineRule="auto"/>
        <w:ind w:left="1560" w:hanging="5"/>
        <w:jc w:val="both"/>
        <w:rPr>
          <w:rFonts w:eastAsia="Times New Roman"/>
          <w:sz w:val="24"/>
          <w:szCs w:val="24"/>
        </w:rPr>
      </w:pPr>
      <w:r w:rsidRPr="003227BA">
        <w:rPr>
          <w:rFonts w:eastAsia="Times New Roman"/>
          <w:sz w:val="24"/>
          <w:szCs w:val="24"/>
          <w:u w:val="single"/>
        </w:rPr>
        <w:t>Exceeding the Perchlorate Trigger Level</w:t>
      </w:r>
      <w:r w:rsidRPr="003227BA">
        <w:rPr>
          <w:rFonts w:eastAsia="Times New Roman"/>
          <w:sz w:val="24"/>
          <w:szCs w:val="24"/>
        </w:rPr>
        <w:t>. The repeat monitoring frequency for any Public Water System shall be on a quarterly basis for at least one year following any one sample in which the concentration is &gt; 0.0010 mg/L (unqualified). With the Department's approval, a system may reduce the sampling frequency to once per year, provided the monitoring for perchlorate done by the system is Reliably and Consistently below the MCL.</w:t>
      </w:r>
    </w:p>
    <w:p w14:paraId="2819D619" w14:textId="77777777" w:rsidR="004647B9" w:rsidRPr="003227BA" w:rsidRDefault="00E2436F" w:rsidP="00563A54">
      <w:pPr>
        <w:numPr>
          <w:ilvl w:val="1"/>
          <w:numId w:val="127"/>
        </w:numPr>
        <w:tabs>
          <w:tab w:val="left" w:pos="2045"/>
        </w:tabs>
        <w:spacing w:line="243" w:lineRule="auto"/>
        <w:ind w:left="1560" w:hanging="5"/>
        <w:jc w:val="both"/>
        <w:rPr>
          <w:rFonts w:eastAsia="Times New Roman"/>
          <w:sz w:val="24"/>
          <w:szCs w:val="24"/>
        </w:rPr>
      </w:pPr>
      <w:r w:rsidRPr="003227BA">
        <w:rPr>
          <w:rFonts w:eastAsia="Times New Roman"/>
          <w:sz w:val="24"/>
          <w:szCs w:val="24"/>
          <w:u w:val="single"/>
        </w:rPr>
        <w:t>Eligibility for a Waiver</w:t>
      </w:r>
      <w:r w:rsidRPr="003227BA">
        <w:rPr>
          <w:rFonts w:eastAsia="Times New Roman"/>
          <w:sz w:val="24"/>
          <w:szCs w:val="24"/>
        </w:rPr>
        <w:t>. A Public Water System may apply for a waiver from the monitoring requirements for perchlorate specified in 310 CMR 22.06(9) in accordance with the IOC waiver provisions in 310 CMR 22.06(6)(b) through (f).</w:t>
      </w:r>
    </w:p>
    <w:p w14:paraId="2819D61B" w14:textId="46E0462F" w:rsidR="004647B9" w:rsidRPr="003227BA" w:rsidRDefault="00E2436F" w:rsidP="00563A54">
      <w:pPr>
        <w:numPr>
          <w:ilvl w:val="1"/>
          <w:numId w:val="127"/>
        </w:numPr>
        <w:tabs>
          <w:tab w:val="left" w:pos="1959"/>
        </w:tabs>
        <w:spacing w:line="253" w:lineRule="auto"/>
        <w:ind w:left="1560" w:hanging="5"/>
        <w:jc w:val="both"/>
        <w:rPr>
          <w:rFonts w:eastAsia="Times New Roman"/>
          <w:sz w:val="24"/>
          <w:szCs w:val="24"/>
        </w:rPr>
      </w:pPr>
      <w:r w:rsidRPr="003227BA">
        <w:rPr>
          <w:rFonts w:eastAsia="Times New Roman"/>
          <w:sz w:val="24"/>
          <w:szCs w:val="24"/>
        </w:rPr>
        <w:t>The Department may, on a case-by-case basis, require a Public Water System to monitor for perchlorate more frequently than otherwise provided in 310 CMR 22.06(9)(b) through</w:t>
      </w:r>
      <w:r w:rsidR="00AC1A3E" w:rsidRPr="003227BA">
        <w:rPr>
          <w:rFonts w:eastAsia="Times New Roman"/>
          <w:sz w:val="24"/>
          <w:szCs w:val="24"/>
        </w:rPr>
        <w:t xml:space="preserve"> (f)</w:t>
      </w:r>
      <w:r w:rsidR="00920A8C" w:rsidRPr="003227BA">
        <w:rPr>
          <w:rFonts w:eastAsia="Times New Roman"/>
          <w:sz w:val="24"/>
          <w:szCs w:val="24"/>
        </w:rPr>
        <w:t>.</w:t>
      </w:r>
    </w:p>
    <w:p w14:paraId="24F15FF4" w14:textId="77777777" w:rsidR="00920A8C" w:rsidRPr="003227BA" w:rsidRDefault="00920A8C" w:rsidP="00244A42">
      <w:pPr>
        <w:tabs>
          <w:tab w:val="left" w:pos="1959"/>
        </w:tabs>
        <w:spacing w:line="253" w:lineRule="auto"/>
        <w:jc w:val="both"/>
        <w:rPr>
          <w:rFonts w:eastAsia="Times New Roman"/>
          <w:sz w:val="24"/>
          <w:szCs w:val="24"/>
        </w:rPr>
      </w:pPr>
    </w:p>
    <w:p w14:paraId="2819D61F" w14:textId="77777777" w:rsidR="004647B9" w:rsidRPr="003227BA" w:rsidRDefault="00E2436F" w:rsidP="00563A54">
      <w:pPr>
        <w:numPr>
          <w:ilvl w:val="0"/>
          <w:numId w:val="128"/>
        </w:numPr>
        <w:tabs>
          <w:tab w:val="left" w:pos="1780"/>
        </w:tabs>
        <w:ind w:left="1780" w:hanging="580"/>
        <w:rPr>
          <w:rFonts w:eastAsia="Times New Roman"/>
          <w:sz w:val="24"/>
          <w:szCs w:val="24"/>
        </w:rPr>
      </w:pPr>
      <w:r w:rsidRPr="003227BA">
        <w:rPr>
          <w:rFonts w:eastAsia="Times New Roman"/>
          <w:sz w:val="24"/>
          <w:szCs w:val="24"/>
          <w:u w:val="single"/>
        </w:rPr>
        <w:t>Confirmation Sampling</w:t>
      </w:r>
      <w:r w:rsidRPr="003227BA">
        <w:rPr>
          <w:rFonts w:eastAsia="Times New Roman"/>
          <w:sz w:val="24"/>
          <w:szCs w:val="24"/>
        </w:rPr>
        <w:t>.</w:t>
      </w:r>
    </w:p>
    <w:p w14:paraId="2819D621" w14:textId="77777777" w:rsidR="004647B9" w:rsidRPr="003227BA" w:rsidRDefault="00E2436F" w:rsidP="00563A54">
      <w:pPr>
        <w:numPr>
          <w:ilvl w:val="1"/>
          <w:numId w:val="128"/>
        </w:numPr>
        <w:tabs>
          <w:tab w:val="left" w:pos="1961"/>
        </w:tabs>
        <w:spacing w:line="244" w:lineRule="auto"/>
        <w:ind w:left="1560" w:hanging="5"/>
        <w:jc w:val="both"/>
        <w:rPr>
          <w:rFonts w:eastAsia="Times New Roman"/>
          <w:sz w:val="24"/>
          <w:szCs w:val="24"/>
        </w:rPr>
      </w:pPr>
      <w:r w:rsidRPr="003227BA">
        <w:rPr>
          <w:rFonts w:eastAsia="Times New Roman"/>
          <w:sz w:val="24"/>
          <w:szCs w:val="24"/>
          <w:u w:val="single"/>
        </w:rPr>
        <w:t>Deadline for IOCs Confirmation Samples</w:t>
      </w:r>
      <w:r w:rsidRPr="003227BA">
        <w:rPr>
          <w:rFonts w:eastAsia="Times New Roman"/>
          <w:sz w:val="24"/>
          <w:szCs w:val="24"/>
        </w:rPr>
        <w:t>. Where the results of sampling for antimony, arsenic, asbestos, barium, beryllium, cadmium, chromium, cyanide, fluoride, mercury, nickel, selenium, or thallium indicate an exceedance of the Maximum Contaminant Level, one additional sample shall be collected as soon as possible after the initial sample was taken (but not to exceed two weeks) at the same Sampling Point.</w:t>
      </w:r>
    </w:p>
    <w:p w14:paraId="2819D622" w14:textId="77777777" w:rsidR="004647B9" w:rsidRDefault="004647B9">
      <w:pPr>
        <w:sectPr w:rsidR="004647B9" w:rsidSect="00EF630C">
          <w:pgSz w:w="12240" w:h="20180"/>
          <w:pgMar w:top="708" w:right="1440" w:bottom="1440" w:left="600" w:header="0" w:footer="0" w:gutter="0"/>
          <w:cols w:space="720" w:equalWidth="0">
            <w:col w:w="10200"/>
          </w:cols>
        </w:sectPr>
      </w:pPr>
    </w:p>
    <w:p w14:paraId="2819D623" w14:textId="77777777" w:rsidR="004647B9" w:rsidRPr="00A97B59" w:rsidRDefault="00E2436F" w:rsidP="00A97B59">
      <w:pPr>
        <w:tabs>
          <w:tab w:val="left" w:pos="160"/>
        </w:tabs>
        <w:jc w:val="center"/>
        <w:rPr>
          <w:sz w:val="24"/>
          <w:szCs w:val="24"/>
        </w:rPr>
      </w:pPr>
      <w:bookmarkStart w:id="52" w:name="page53"/>
      <w:bookmarkEnd w:id="52"/>
      <w:r w:rsidRPr="00A97B59">
        <w:rPr>
          <w:rFonts w:eastAsia="Times New Roman"/>
          <w:sz w:val="24"/>
          <w:szCs w:val="24"/>
        </w:rPr>
        <w:lastRenderedPageBreak/>
        <w:t>310 CMR:</w:t>
      </w:r>
      <w:r w:rsidRPr="00A97B59">
        <w:rPr>
          <w:sz w:val="24"/>
          <w:szCs w:val="24"/>
        </w:rPr>
        <w:tab/>
      </w:r>
      <w:r w:rsidRPr="00A97B59">
        <w:rPr>
          <w:rFonts w:eastAsia="Times New Roman"/>
          <w:sz w:val="24"/>
          <w:szCs w:val="24"/>
        </w:rPr>
        <w:t>DEPARTMENT OF ENVIRONMENTAL PROTECTION</w:t>
      </w:r>
    </w:p>
    <w:p w14:paraId="2819D624" w14:textId="77777777" w:rsidR="004647B9" w:rsidRPr="00244A42" w:rsidRDefault="004647B9" w:rsidP="00A97B59">
      <w:pPr>
        <w:rPr>
          <w:sz w:val="20"/>
          <w:szCs w:val="20"/>
        </w:rPr>
      </w:pPr>
    </w:p>
    <w:p w14:paraId="2819D625" w14:textId="77777777" w:rsidR="004647B9" w:rsidRPr="00244A42" w:rsidRDefault="004647B9" w:rsidP="00A97B59">
      <w:pPr>
        <w:rPr>
          <w:sz w:val="20"/>
          <w:szCs w:val="20"/>
        </w:rPr>
      </w:pPr>
    </w:p>
    <w:p w14:paraId="2819D626" w14:textId="77777777" w:rsidR="004647B9" w:rsidRPr="00A97B59" w:rsidRDefault="00E2436F" w:rsidP="00A97B59">
      <w:pPr>
        <w:tabs>
          <w:tab w:val="left" w:pos="760"/>
        </w:tabs>
        <w:rPr>
          <w:sz w:val="24"/>
          <w:szCs w:val="24"/>
        </w:rPr>
      </w:pPr>
      <w:r w:rsidRPr="00A97B59">
        <w:rPr>
          <w:rFonts w:eastAsia="Times New Roman"/>
          <w:sz w:val="24"/>
          <w:szCs w:val="24"/>
        </w:rPr>
        <w:t>22.06:</w:t>
      </w:r>
      <w:r w:rsidRPr="00A97B59">
        <w:rPr>
          <w:rFonts w:eastAsia="Times New Roman"/>
          <w:sz w:val="24"/>
          <w:szCs w:val="24"/>
        </w:rPr>
        <w:tab/>
        <w:t>continued</w:t>
      </w:r>
    </w:p>
    <w:p w14:paraId="2819D627" w14:textId="77777777" w:rsidR="004647B9" w:rsidRPr="00244A42" w:rsidRDefault="004647B9" w:rsidP="00A97B59">
      <w:pPr>
        <w:rPr>
          <w:sz w:val="20"/>
          <w:szCs w:val="20"/>
        </w:rPr>
      </w:pPr>
    </w:p>
    <w:p w14:paraId="2819D628" w14:textId="77777777" w:rsidR="004647B9" w:rsidRPr="00A97B59" w:rsidRDefault="00E2436F" w:rsidP="00563A54">
      <w:pPr>
        <w:numPr>
          <w:ilvl w:val="1"/>
          <w:numId w:val="129"/>
        </w:numPr>
        <w:tabs>
          <w:tab w:val="left" w:pos="1977"/>
        </w:tabs>
        <w:ind w:left="1560" w:hanging="5"/>
        <w:jc w:val="both"/>
        <w:rPr>
          <w:rFonts w:eastAsia="Times New Roman"/>
          <w:sz w:val="24"/>
          <w:szCs w:val="24"/>
        </w:rPr>
      </w:pPr>
      <w:r w:rsidRPr="00A97B59">
        <w:rPr>
          <w:rFonts w:eastAsia="Times New Roman"/>
          <w:sz w:val="24"/>
          <w:szCs w:val="24"/>
          <w:u w:val="single"/>
        </w:rPr>
        <w:t>Deadline for Nitrate &amp; Nitrite Confirmation Samples</w:t>
      </w:r>
      <w:r w:rsidRPr="00A97B59">
        <w:rPr>
          <w:rFonts w:eastAsia="Times New Roman"/>
          <w:sz w:val="24"/>
          <w:szCs w:val="24"/>
        </w:rPr>
        <w:t>. Where nitrate or nitrite sampling results indicate an exceedance of the Maximum Contaminant Level, the system shall take a confirmation sample within 24 hours of the system's receipt of notification of the analytical results of the first sample and shall report to the Department within seven days. Systems unable to comply with the 24-hour sampling requirement must immediately notify the consumers served by the area served by the Public Water System in accordance with 310 CMR 22.16. Systems exercising this option must take and analyze a confirmation sample within two weeks of notification of the analytical results of the first sample.</w:t>
      </w:r>
    </w:p>
    <w:p w14:paraId="2819D62A" w14:textId="77777777" w:rsidR="004647B9" w:rsidRPr="00A97B59" w:rsidRDefault="00E2436F" w:rsidP="00563A54">
      <w:pPr>
        <w:numPr>
          <w:ilvl w:val="1"/>
          <w:numId w:val="129"/>
        </w:numPr>
        <w:tabs>
          <w:tab w:val="left" w:pos="2011"/>
        </w:tabs>
        <w:ind w:left="1560" w:hanging="5"/>
        <w:jc w:val="both"/>
        <w:rPr>
          <w:rFonts w:eastAsia="Times New Roman"/>
          <w:sz w:val="24"/>
          <w:szCs w:val="24"/>
        </w:rPr>
      </w:pPr>
      <w:r w:rsidRPr="00A97B59">
        <w:rPr>
          <w:rFonts w:eastAsia="Times New Roman"/>
          <w:sz w:val="24"/>
          <w:szCs w:val="24"/>
          <w:u w:val="single"/>
        </w:rPr>
        <w:t>Deadline for Perchlorate Confirmation Samples</w:t>
      </w:r>
      <w:r w:rsidRPr="00A97B59">
        <w:rPr>
          <w:rFonts w:eastAsia="Times New Roman"/>
          <w:sz w:val="24"/>
          <w:szCs w:val="24"/>
        </w:rPr>
        <w:t>. Whenever the perchlorate sampling results indicate an exceedance of the Maximum Contaminant Level, the system shall take a confirmation sample using EPA Method 331.0 or EPA Method 332.0 in accordance with 310 CMR 22.06(10)(c)1. and 2. within 24 hours of the system's receipt of written notification of the analytical results. For the purposes of 310 CMR 22.06(10)(c), written notification of the analytical results means notification by email, fax, or letter. The system shall report the initial sample result that exceeded the MCL to the Department within seven days. Systems that are unable to take a confirmation sample within 24 hours of the system's receipt of written notification of the analytical results, shall immediately contact the Department for further direction. When taking a confirmation sample as required by 310 CMR 22.06(10)(c):</w:t>
      </w:r>
    </w:p>
    <w:p w14:paraId="2819D62C" w14:textId="77777777" w:rsidR="004647B9" w:rsidRPr="00A97B59" w:rsidRDefault="00E2436F" w:rsidP="00563A54">
      <w:pPr>
        <w:numPr>
          <w:ilvl w:val="2"/>
          <w:numId w:val="129"/>
        </w:numPr>
        <w:tabs>
          <w:tab w:val="left" w:pos="2266"/>
        </w:tabs>
        <w:ind w:left="1920" w:hanging="5"/>
        <w:rPr>
          <w:rFonts w:eastAsia="Times New Roman"/>
          <w:sz w:val="24"/>
          <w:szCs w:val="24"/>
        </w:rPr>
      </w:pPr>
      <w:r w:rsidRPr="00A97B59">
        <w:rPr>
          <w:rFonts w:eastAsia="Times New Roman"/>
          <w:sz w:val="24"/>
          <w:szCs w:val="24"/>
        </w:rPr>
        <w:t>The system shall obtain an analysis and written notification turnaround time for the confirmation sample of no more than three days.</w:t>
      </w:r>
    </w:p>
    <w:p w14:paraId="2819D62D" w14:textId="77777777" w:rsidR="004647B9" w:rsidRPr="00A97B59" w:rsidRDefault="00E2436F" w:rsidP="00563A54">
      <w:pPr>
        <w:numPr>
          <w:ilvl w:val="2"/>
          <w:numId w:val="129"/>
        </w:numPr>
        <w:tabs>
          <w:tab w:val="left" w:pos="2309"/>
        </w:tabs>
        <w:ind w:left="1920" w:hanging="5"/>
        <w:rPr>
          <w:rFonts w:eastAsia="Times New Roman"/>
          <w:sz w:val="24"/>
          <w:szCs w:val="24"/>
        </w:rPr>
      </w:pPr>
      <w:r w:rsidRPr="00A97B59">
        <w:rPr>
          <w:rFonts w:eastAsia="Times New Roman"/>
          <w:sz w:val="24"/>
          <w:szCs w:val="24"/>
        </w:rPr>
        <w:t>The system shall report the confirmation sample results to the Department within three days of the system's receipt of the written notification of the analytical results.</w:t>
      </w:r>
    </w:p>
    <w:p w14:paraId="2819D62E" w14:textId="77777777" w:rsidR="004647B9" w:rsidRPr="00A97B59" w:rsidRDefault="00E2436F" w:rsidP="00563A54">
      <w:pPr>
        <w:numPr>
          <w:ilvl w:val="1"/>
          <w:numId w:val="129"/>
        </w:numPr>
        <w:tabs>
          <w:tab w:val="left" w:pos="2106"/>
        </w:tabs>
        <w:ind w:left="1560" w:hanging="5"/>
        <w:jc w:val="both"/>
        <w:rPr>
          <w:rFonts w:eastAsia="Times New Roman"/>
          <w:sz w:val="24"/>
          <w:szCs w:val="24"/>
        </w:rPr>
      </w:pPr>
      <w:r w:rsidRPr="00A97B59">
        <w:rPr>
          <w:rFonts w:eastAsia="Times New Roman"/>
          <w:sz w:val="24"/>
          <w:szCs w:val="24"/>
          <w:u w:val="single"/>
        </w:rPr>
        <w:t>Compliance Calculations &amp; Confirmation Samples</w:t>
      </w:r>
      <w:r w:rsidRPr="00A97B59">
        <w:rPr>
          <w:rFonts w:eastAsia="Times New Roman"/>
          <w:sz w:val="24"/>
          <w:szCs w:val="24"/>
        </w:rPr>
        <w:t>. The results of the initial and confirmation sample shall be averaged. The resulting average shall be used to determine the system's compliance in accordance with 310 CMR 22.06(13). Obvious sampling errors may be deleted with the approval of the Department.</w:t>
      </w:r>
    </w:p>
    <w:p w14:paraId="2819D62F" w14:textId="77777777" w:rsidR="004647B9" w:rsidRPr="00A97B59" w:rsidRDefault="004647B9" w:rsidP="00A97B59">
      <w:pPr>
        <w:rPr>
          <w:rFonts w:eastAsia="Times New Roman"/>
          <w:sz w:val="24"/>
          <w:szCs w:val="24"/>
        </w:rPr>
      </w:pPr>
    </w:p>
    <w:p w14:paraId="2819D630" w14:textId="77777777" w:rsidR="004647B9" w:rsidRPr="00A97B59" w:rsidRDefault="00E2436F" w:rsidP="00563A54">
      <w:pPr>
        <w:numPr>
          <w:ilvl w:val="0"/>
          <w:numId w:val="130"/>
        </w:numPr>
        <w:tabs>
          <w:tab w:val="left" w:pos="1780"/>
        </w:tabs>
        <w:ind w:left="1200"/>
        <w:jc w:val="both"/>
        <w:rPr>
          <w:rFonts w:eastAsia="Times New Roman"/>
          <w:sz w:val="24"/>
          <w:szCs w:val="24"/>
        </w:rPr>
      </w:pPr>
      <w:r w:rsidRPr="00A97B59">
        <w:rPr>
          <w:rFonts w:eastAsia="Times New Roman"/>
          <w:sz w:val="24"/>
          <w:szCs w:val="24"/>
          <w:u w:val="single"/>
        </w:rPr>
        <w:t>Increased Sampling Frequency</w:t>
      </w:r>
      <w:r w:rsidRPr="00A97B59">
        <w:rPr>
          <w:rFonts w:eastAsia="Times New Roman"/>
          <w:sz w:val="24"/>
          <w:szCs w:val="24"/>
        </w:rPr>
        <w:t>. The Department may require more frequent monitoring than specified in 310 CMR 22.06(5) through (9) or may require confirmation samples for positive and negative results at its discretion.</w:t>
      </w:r>
    </w:p>
    <w:p w14:paraId="2819D631" w14:textId="77777777" w:rsidR="004647B9" w:rsidRPr="00A97B59" w:rsidRDefault="004647B9" w:rsidP="00A97B59">
      <w:pPr>
        <w:rPr>
          <w:rFonts w:eastAsia="Times New Roman"/>
          <w:sz w:val="24"/>
          <w:szCs w:val="24"/>
        </w:rPr>
      </w:pPr>
    </w:p>
    <w:p w14:paraId="2819D632" w14:textId="77777777" w:rsidR="004647B9" w:rsidRPr="00A97B59" w:rsidRDefault="00E2436F" w:rsidP="00563A54">
      <w:pPr>
        <w:numPr>
          <w:ilvl w:val="0"/>
          <w:numId w:val="130"/>
        </w:numPr>
        <w:tabs>
          <w:tab w:val="left" w:pos="1765"/>
        </w:tabs>
        <w:ind w:left="1200"/>
        <w:jc w:val="both"/>
        <w:rPr>
          <w:rFonts w:eastAsia="Times New Roman"/>
          <w:sz w:val="24"/>
          <w:szCs w:val="24"/>
        </w:rPr>
      </w:pPr>
      <w:r w:rsidRPr="00A97B59">
        <w:rPr>
          <w:rFonts w:eastAsia="Times New Roman"/>
          <w:sz w:val="24"/>
          <w:szCs w:val="24"/>
          <w:u w:val="single"/>
        </w:rPr>
        <w:t>PWS Request for Increased Sampling Frequency</w:t>
      </w:r>
      <w:r w:rsidRPr="00A97B59">
        <w:rPr>
          <w:rFonts w:eastAsia="Times New Roman"/>
          <w:sz w:val="24"/>
          <w:szCs w:val="24"/>
        </w:rPr>
        <w:t>. Systems may apply to the Department to conduct more frequent monitoring than the minimum monitoring frequencies specified in 310 CMR 22.06.</w:t>
      </w:r>
    </w:p>
    <w:p w14:paraId="2819D633" w14:textId="77777777" w:rsidR="004647B9" w:rsidRPr="00A97B59" w:rsidRDefault="004647B9" w:rsidP="00A97B59">
      <w:pPr>
        <w:rPr>
          <w:rFonts w:eastAsia="Times New Roman"/>
          <w:sz w:val="24"/>
          <w:szCs w:val="24"/>
        </w:rPr>
      </w:pPr>
    </w:p>
    <w:p w14:paraId="2819D634" w14:textId="77777777" w:rsidR="004647B9" w:rsidRPr="00A97B59" w:rsidRDefault="00E2436F" w:rsidP="00563A54">
      <w:pPr>
        <w:numPr>
          <w:ilvl w:val="0"/>
          <w:numId w:val="130"/>
        </w:numPr>
        <w:tabs>
          <w:tab w:val="left" w:pos="1740"/>
        </w:tabs>
        <w:ind w:left="1200"/>
        <w:jc w:val="both"/>
        <w:rPr>
          <w:rFonts w:eastAsia="Times New Roman"/>
          <w:sz w:val="24"/>
          <w:szCs w:val="24"/>
        </w:rPr>
      </w:pPr>
      <w:r w:rsidRPr="00A97B59">
        <w:rPr>
          <w:rFonts w:eastAsia="Times New Roman"/>
          <w:sz w:val="24"/>
          <w:szCs w:val="24"/>
          <w:u w:val="single"/>
        </w:rPr>
        <w:t>Compliance Calculations</w:t>
      </w:r>
      <w:r w:rsidRPr="00A97B59">
        <w:rPr>
          <w:rFonts w:eastAsia="Times New Roman"/>
          <w:sz w:val="24"/>
          <w:szCs w:val="24"/>
        </w:rPr>
        <w:t>. Compliance with the Maximum Contaminant Levels set out in 310 CMR 22.06(2) shall be determined based on the analytical results obtained at each Sampling Point. If one Sampling Point is in violation of an MCL, the system is in violation of the MCL.</w:t>
      </w:r>
    </w:p>
    <w:p w14:paraId="2819D636" w14:textId="77777777" w:rsidR="004647B9" w:rsidRPr="00A97B59" w:rsidRDefault="00E2436F" w:rsidP="00563A54">
      <w:pPr>
        <w:numPr>
          <w:ilvl w:val="1"/>
          <w:numId w:val="130"/>
        </w:numPr>
        <w:tabs>
          <w:tab w:val="left" w:pos="1946"/>
        </w:tabs>
        <w:ind w:left="1560" w:hanging="5"/>
        <w:jc w:val="both"/>
        <w:rPr>
          <w:rFonts w:eastAsia="Times New Roman"/>
          <w:sz w:val="24"/>
          <w:szCs w:val="24"/>
        </w:rPr>
      </w:pPr>
      <w:r w:rsidRPr="00A97B59">
        <w:rPr>
          <w:rFonts w:eastAsia="Times New Roman"/>
          <w:sz w:val="24"/>
          <w:szCs w:val="24"/>
          <w:u w:val="single"/>
        </w:rPr>
        <w:t>Sampling Frequencies Greater than Annual</w:t>
      </w:r>
      <w:r w:rsidRPr="00A97B59">
        <w:rPr>
          <w:rFonts w:eastAsia="Times New Roman"/>
          <w:sz w:val="24"/>
          <w:szCs w:val="24"/>
        </w:rPr>
        <w:t>. For systems monitoring more than once per year, compliance with the MCL, with the exception of nitrate, nitrite and perchlorate, is determined by a Running Annual Average at each Sampling Point.</w:t>
      </w:r>
    </w:p>
    <w:p w14:paraId="2819D638" w14:textId="77777777" w:rsidR="004647B9" w:rsidRPr="00A97B59" w:rsidRDefault="00E2436F" w:rsidP="00563A54">
      <w:pPr>
        <w:numPr>
          <w:ilvl w:val="1"/>
          <w:numId w:val="130"/>
        </w:numPr>
        <w:tabs>
          <w:tab w:val="left" w:pos="1984"/>
        </w:tabs>
        <w:ind w:left="1560" w:hanging="5"/>
        <w:jc w:val="both"/>
        <w:rPr>
          <w:rFonts w:eastAsia="Times New Roman"/>
          <w:sz w:val="24"/>
          <w:szCs w:val="24"/>
        </w:rPr>
      </w:pPr>
      <w:r w:rsidRPr="00A97B59">
        <w:rPr>
          <w:rFonts w:eastAsia="Times New Roman"/>
          <w:sz w:val="24"/>
          <w:szCs w:val="24"/>
          <w:u w:val="single"/>
        </w:rPr>
        <w:t>Sampling Frequencies of Annual or Less</w:t>
      </w:r>
      <w:r w:rsidRPr="00A97B59">
        <w:rPr>
          <w:rFonts w:eastAsia="Times New Roman"/>
          <w:sz w:val="24"/>
          <w:szCs w:val="24"/>
        </w:rPr>
        <w:t>. Each Supplier of Water monitoring annually or less frequently whose sample result exceeds an MCL, with the exception of nitrate, nitrite and perchlorate, must begin quarterly sampling. The system will not be considered in violation of the MCL until it has completed one year of quarterly sampling.</w:t>
      </w:r>
    </w:p>
    <w:p w14:paraId="2819D639" w14:textId="77777777" w:rsidR="004647B9" w:rsidRPr="00A97B59" w:rsidRDefault="00E2436F" w:rsidP="00563A54">
      <w:pPr>
        <w:numPr>
          <w:ilvl w:val="1"/>
          <w:numId w:val="130"/>
        </w:numPr>
        <w:tabs>
          <w:tab w:val="left" w:pos="1985"/>
        </w:tabs>
        <w:ind w:left="1560" w:hanging="5"/>
        <w:rPr>
          <w:rFonts w:eastAsia="Times New Roman"/>
          <w:sz w:val="24"/>
          <w:szCs w:val="24"/>
        </w:rPr>
      </w:pPr>
      <w:r w:rsidRPr="00A97B59">
        <w:rPr>
          <w:rFonts w:eastAsia="Times New Roman"/>
          <w:sz w:val="24"/>
          <w:szCs w:val="24"/>
        </w:rPr>
        <w:t>If any sample result will cause the Running Annual Average to exceed the MCL at any Sampling Point, the system is out of compliance with the MCL immediately.</w:t>
      </w:r>
    </w:p>
    <w:p w14:paraId="2819D63A" w14:textId="77777777" w:rsidR="004647B9" w:rsidRPr="00A97B59" w:rsidRDefault="00E2436F" w:rsidP="00563A54">
      <w:pPr>
        <w:numPr>
          <w:ilvl w:val="1"/>
          <w:numId w:val="130"/>
        </w:numPr>
        <w:tabs>
          <w:tab w:val="left" w:pos="2085"/>
        </w:tabs>
        <w:ind w:left="1560" w:hanging="5"/>
        <w:rPr>
          <w:rFonts w:eastAsia="Times New Roman"/>
          <w:sz w:val="24"/>
          <w:szCs w:val="24"/>
        </w:rPr>
      </w:pPr>
      <w:r w:rsidRPr="00A97B59">
        <w:rPr>
          <w:rFonts w:eastAsia="Times New Roman"/>
          <w:sz w:val="24"/>
          <w:szCs w:val="24"/>
        </w:rPr>
        <w:t>If a Supplier of Water fails to collect the required number of samples, compliance (average concentration) will be based on the total number of samples collected.</w:t>
      </w:r>
    </w:p>
    <w:p w14:paraId="2819D63B" w14:textId="77777777" w:rsidR="004647B9" w:rsidRPr="00A97B59" w:rsidRDefault="00E2436F" w:rsidP="00563A54">
      <w:pPr>
        <w:numPr>
          <w:ilvl w:val="1"/>
          <w:numId w:val="130"/>
        </w:numPr>
        <w:tabs>
          <w:tab w:val="left" w:pos="1954"/>
        </w:tabs>
        <w:ind w:left="1560" w:hanging="5"/>
        <w:rPr>
          <w:rFonts w:eastAsia="Times New Roman"/>
          <w:sz w:val="24"/>
          <w:szCs w:val="24"/>
        </w:rPr>
      </w:pPr>
      <w:r w:rsidRPr="00A97B59">
        <w:rPr>
          <w:rFonts w:eastAsia="Times New Roman"/>
          <w:sz w:val="24"/>
          <w:szCs w:val="24"/>
        </w:rPr>
        <w:t>If a sample result is less than the detection limit, zero will be used to calculate the annual average.</w:t>
      </w:r>
    </w:p>
    <w:p w14:paraId="2819D63C" w14:textId="77777777" w:rsidR="004647B9" w:rsidRPr="00A97B59" w:rsidRDefault="00E2436F" w:rsidP="00563A54">
      <w:pPr>
        <w:numPr>
          <w:ilvl w:val="1"/>
          <w:numId w:val="130"/>
        </w:numPr>
        <w:tabs>
          <w:tab w:val="left" w:pos="2107"/>
        </w:tabs>
        <w:ind w:left="1560" w:hanging="5"/>
        <w:jc w:val="both"/>
        <w:rPr>
          <w:rFonts w:eastAsia="Times New Roman"/>
          <w:sz w:val="24"/>
          <w:szCs w:val="24"/>
        </w:rPr>
      </w:pPr>
      <w:r w:rsidRPr="00A97B59">
        <w:rPr>
          <w:rFonts w:eastAsia="Times New Roman"/>
          <w:sz w:val="24"/>
          <w:szCs w:val="24"/>
          <w:u w:val="single"/>
        </w:rPr>
        <w:t>Compliance Calculations for Nitrate &amp; Nitrite</w:t>
      </w:r>
      <w:r w:rsidRPr="00A97B59">
        <w:rPr>
          <w:rFonts w:eastAsia="Times New Roman"/>
          <w:sz w:val="24"/>
          <w:szCs w:val="24"/>
        </w:rPr>
        <w:t>. Compliance with the Maximum Contaminant Levels for nitrate and nitrite is determined based on one sample if the levels of these contaminants are below the MCLs. If the level of nitrate or nitrite exceeds the MCL in the initial sample, a confirmation sample is required in accordance with 310 CMR 22.06(10)(b) and (d), and compliance shall be determined based on the average of the initial and confirmation samples.</w:t>
      </w:r>
    </w:p>
    <w:p w14:paraId="2819D63D" w14:textId="77777777" w:rsidR="004647B9" w:rsidRDefault="004647B9">
      <w:pPr>
        <w:sectPr w:rsidR="004647B9" w:rsidSect="00EF630C">
          <w:pgSz w:w="12240" w:h="20180"/>
          <w:pgMar w:top="708" w:right="1440" w:bottom="1440" w:left="600" w:header="0" w:footer="0" w:gutter="0"/>
          <w:cols w:space="720" w:equalWidth="0">
            <w:col w:w="10200"/>
          </w:cols>
        </w:sectPr>
      </w:pPr>
    </w:p>
    <w:p w14:paraId="2819D63E" w14:textId="77777777" w:rsidR="004647B9" w:rsidRDefault="00E2436F">
      <w:pPr>
        <w:tabs>
          <w:tab w:val="left" w:pos="2860"/>
        </w:tabs>
        <w:ind w:left="1680"/>
        <w:rPr>
          <w:sz w:val="20"/>
          <w:szCs w:val="20"/>
        </w:rPr>
      </w:pPr>
      <w:bookmarkStart w:id="53" w:name="page54"/>
      <w:bookmarkEnd w:id="5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63F" w14:textId="77777777" w:rsidR="004647B9" w:rsidRDefault="004647B9" w:rsidP="00244A42">
      <w:pPr>
        <w:rPr>
          <w:sz w:val="20"/>
          <w:szCs w:val="20"/>
        </w:rPr>
      </w:pPr>
    </w:p>
    <w:p w14:paraId="2819D640" w14:textId="77777777" w:rsidR="004647B9" w:rsidRDefault="004647B9" w:rsidP="00244A42">
      <w:pPr>
        <w:rPr>
          <w:sz w:val="20"/>
          <w:szCs w:val="20"/>
        </w:rPr>
      </w:pPr>
    </w:p>
    <w:p w14:paraId="2819D641"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642" w14:textId="77777777" w:rsidR="004647B9" w:rsidRPr="00244A42" w:rsidRDefault="004647B9" w:rsidP="00244A42">
      <w:pPr>
        <w:rPr>
          <w:sz w:val="20"/>
          <w:szCs w:val="20"/>
        </w:rPr>
      </w:pPr>
    </w:p>
    <w:p w14:paraId="2819D643" w14:textId="77777777" w:rsidR="004647B9" w:rsidRPr="003227BA" w:rsidRDefault="00E2436F" w:rsidP="0047417B">
      <w:pPr>
        <w:numPr>
          <w:ilvl w:val="1"/>
          <w:numId w:val="131"/>
        </w:numPr>
        <w:tabs>
          <w:tab w:val="left" w:pos="1952"/>
        </w:tabs>
        <w:ind w:left="1560" w:right="300" w:hanging="5"/>
        <w:jc w:val="both"/>
        <w:rPr>
          <w:rFonts w:eastAsia="Times New Roman"/>
          <w:sz w:val="24"/>
          <w:szCs w:val="24"/>
        </w:rPr>
      </w:pPr>
      <w:r w:rsidRPr="003227BA">
        <w:rPr>
          <w:rFonts w:eastAsia="Times New Roman"/>
          <w:sz w:val="24"/>
          <w:szCs w:val="24"/>
          <w:u w:val="single"/>
        </w:rPr>
        <w:t>Compliance Calculations for Perchlorate</w:t>
      </w:r>
      <w:r w:rsidRPr="003227BA">
        <w:rPr>
          <w:rFonts w:eastAsia="Times New Roman"/>
          <w:sz w:val="24"/>
          <w:szCs w:val="24"/>
        </w:rPr>
        <w:t>. Compliance with the Maximum Contaminant Level for perchlorate is determined based on one sample if the level is below the MCL. If the level of perchlorate exceeds the MCL in the initial sample a confirmation sample is required in accordance with 310 CMR 22.06(10)(c) and (d), and compliance shall be determined based on the average of the initial and the confirmation sample. The Department may allow or require additional sampling.</w:t>
      </w:r>
    </w:p>
    <w:p w14:paraId="2819D645" w14:textId="77777777" w:rsidR="004647B9" w:rsidRPr="003227BA" w:rsidRDefault="00E2436F" w:rsidP="0047417B">
      <w:pPr>
        <w:numPr>
          <w:ilvl w:val="1"/>
          <w:numId w:val="131"/>
        </w:numPr>
        <w:tabs>
          <w:tab w:val="left" w:pos="2135"/>
        </w:tabs>
        <w:ind w:left="1560" w:right="300" w:hanging="5"/>
        <w:jc w:val="both"/>
        <w:rPr>
          <w:rFonts w:eastAsia="Times New Roman"/>
          <w:sz w:val="24"/>
          <w:szCs w:val="24"/>
        </w:rPr>
      </w:pPr>
      <w:r w:rsidRPr="003227BA">
        <w:rPr>
          <w:rFonts w:eastAsia="Times New Roman"/>
          <w:sz w:val="24"/>
          <w:szCs w:val="24"/>
          <w:u w:val="single"/>
        </w:rPr>
        <w:t>Average Exceeding Nitrate, Nitrite and Perchlorate MCL</w:t>
      </w:r>
      <w:r w:rsidRPr="003227BA">
        <w:rPr>
          <w:rFonts w:eastAsia="Times New Roman"/>
          <w:sz w:val="24"/>
          <w:szCs w:val="24"/>
        </w:rPr>
        <w:t>. When the average of analyses made pursuant to 310 CMR 22.06(7) through (9), (10)(b) and (c), rounded to the same number of significant figures as the Maximum Contaminant Level for the substance in question, exceeds the Maximum Contaminant Level, the Supplier of Water shall report to the Department pursuant to 310 CMR 22.15 and give public notice pursuant to 310 CMR 22.16. Monitoring after public notification shall be at a frequency designated by the Department.</w:t>
      </w:r>
    </w:p>
    <w:p w14:paraId="2819D647" w14:textId="77777777" w:rsidR="004647B9" w:rsidRPr="003227BA" w:rsidRDefault="00E2436F" w:rsidP="0047417B">
      <w:pPr>
        <w:numPr>
          <w:ilvl w:val="1"/>
          <w:numId w:val="131"/>
        </w:numPr>
        <w:tabs>
          <w:tab w:val="left" w:pos="1960"/>
        </w:tabs>
        <w:ind w:left="1960" w:hanging="405"/>
        <w:rPr>
          <w:rFonts w:eastAsia="Times New Roman"/>
          <w:sz w:val="24"/>
          <w:szCs w:val="24"/>
        </w:rPr>
      </w:pPr>
      <w:r w:rsidRPr="003227BA">
        <w:rPr>
          <w:rFonts w:eastAsia="Times New Roman"/>
          <w:sz w:val="24"/>
          <w:szCs w:val="24"/>
        </w:rPr>
        <w:t>Arsenic sampling results shall be reported to the nearest 0.001 mg/l.</w:t>
      </w:r>
    </w:p>
    <w:p w14:paraId="2819D648" w14:textId="77777777" w:rsidR="004647B9" w:rsidRPr="003227BA" w:rsidRDefault="004647B9" w:rsidP="0047417B">
      <w:pPr>
        <w:rPr>
          <w:rFonts w:eastAsia="Times New Roman"/>
          <w:sz w:val="24"/>
          <w:szCs w:val="24"/>
        </w:rPr>
      </w:pPr>
    </w:p>
    <w:p w14:paraId="2819D649" w14:textId="77777777" w:rsidR="004647B9" w:rsidRPr="003227BA" w:rsidRDefault="00E2436F" w:rsidP="0047417B">
      <w:pPr>
        <w:numPr>
          <w:ilvl w:val="0"/>
          <w:numId w:val="132"/>
        </w:numPr>
        <w:tabs>
          <w:tab w:val="left" w:pos="1773"/>
        </w:tabs>
        <w:ind w:left="1200" w:right="300"/>
        <w:rPr>
          <w:rFonts w:eastAsia="Times New Roman"/>
          <w:sz w:val="24"/>
          <w:szCs w:val="24"/>
        </w:rPr>
      </w:pPr>
      <w:r w:rsidRPr="003227BA">
        <w:rPr>
          <w:rFonts w:eastAsia="Times New Roman"/>
          <w:sz w:val="24"/>
          <w:szCs w:val="24"/>
          <w:u w:val="single"/>
        </w:rPr>
        <w:t>Sampling Schedules</w:t>
      </w:r>
      <w:r w:rsidRPr="003227BA">
        <w:rPr>
          <w:rFonts w:eastAsia="Times New Roman"/>
          <w:sz w:val="24"/>
          <w:szCs w:val="24"/>
        </w:rPr>
        <w:t>: Each Public Water System shall monitor at the time designated by the Department during each Compliance Period.</w:t>
      </w:r>
    </w:p>
    <w:p w14:paraId="2819D64A" w14:textId="77777777" w:rsidR="004647B9" w:rsidRPr="003227BA" w:rsidRDefault="004647B9" w:rsidP="0047417B">
      <w:pPr>
        <w:rPr>
          <w:rFonts w:eastAsia="Times New Roman"/>
          <w:sz w:val="24"/>
          <w:szCs w:val="24"/>
        </w:rPr>
      </w:pPr>
    </w:p>
    <w:p w14:paraId="2819D64B" w14:textId="77777777" w:rsidR="004647B9" w:rsidRPr="003227BA" w:rsidRDefault="00E2436F" w:rsidP="0047417B">
      <w:pPr>
        <w:numPr>
          <w:ilvl w:val="0"/>
          <w:numId w:val="132"/>
        </w:numPr>
        <w:tabs>
          <w:tab w:val="left" w:pos="1744"/>
        </w:tabs>
        <w:ind w:left="1200" w:right="300"/>
        <w:rPr>
          <w:rFonts w:eastAsia="Times New Roman"/>
          <w:sz w:val="24"/>
          <w:szCs w:val="24"/>
        </w:rPr>
      </w:pPr>
      <w:r w:rsidRPr="003227BA">
        <w:rPr>
          <w:rFonts w:eastAsia="Times New Roman"/>
          <w:sz w:val="24"/>
          <w:szCs w:val="24"/>
          <w:u w:val="single"/>
        </w:rPr>
        <w:t>Reporting MCL Violation</w:t>
      </w:r>
      <w:r w:rsidRPr="003227BA">
        <w:rPr>
          <w:rFonts w:eastAsia="Times New Roman"/>
          <w:sz w:val="24"/>
          <w:szCs w:val="24"/>
        </w:rPr>
        <w:t>: A system which exceeds the MCL listed in 310 CMR 22.06(2) and is out of compliance shall report the exceedance to the Department within seven days.</w:t>
      </w:r>
    </w:p>
    <w:p w14:paraId="2819D64C" w14:textId="77777777" w:rsidR="004647B9" w:rsidRPr="003227BA" w:rsidRDefault="004647B9" w:rsidP="0047417B">
      <w:pPr>
        <w:rPr>
          <w:rFonts w:eastAsia="Times New Roman"/>
          <w:sz w:val="24"/>
          <w:szCs w:val="24"/>
        </w:rPr>
      </w:pPr>
    </w:p>
    <w:p w14:paraId="2819D64D" w14:textId="77777777" w:rsidR="004647B9" w:rsidRPr="003227BA" w:rsidRDefault="00E2436F" w:rsidP="0047417B">
      <w:pPr>
        <w:numPr>
          <w:ilvl w:val="0"/>
          <w:numId w:val="132"/>
        </w:numPr>
        <w:tabs>
          <w:tab w:val="left" w:pos="1780"/>
        </w:tabs>
        <w:ind w:left="1780" w:hanging="580"/>
        <w:rPr>
          <w:rFonts w:eastAsia="Times New Roman"/>
          <w:sz w:val="24"/>
          <w:szCs w:val="24"/>
        </w:rPr>
      </w:pPr>
      <w:r w:rsidRPr="003227BA">
        <w:rPr>
          <w:rFonts w:eastAsia="Times New Roman"/>
          <w:sz w:val="24"/>
          <w:szCs w:val="24"/>
          <w:u w:val="single"/>
        </w:rPr>
        <w:t>Analytical and Sampling Methods for Inorganics</w:t>
      </w:r>
      <w:r w:rsidRPr="003227BA">
        <w:rPr>
          <w:rFonts w:eastAsia="Times New Roman"/>
          <w:sz w:val="24"/>
          <w:szCs w:val="24"/>
        </w:rPr>
        <w:t>:</w:t>
      </w:r>
    </w:p>
    <w:p w14:paraId="2819D64F" w14:textId="77777777" w:rsidR="004647B9" w:rsidRPr="003227BA" w:rsidRDefault="00E2436F" w:rsidP="0047417B">
      <w:pPr>
        <w:numPr>
          <w:ilvl w:val="1"/>
          <w:numId w:val="132"/>
        </w:numPr>
        <w:tabs>
          <w:tab w:val="left" w:pos="2009"/>
        </w:tabs>
        <w:ind w:left="1560" w:right="300" w:hanging="5"/>
        <w:rPr>
          <w:rFonts w:eastAsia="Times New Roman"/>
          <w:sz w:val="24"/>
          <w:szCs w:val="24"/>
        </w:rPr>
      </w:pPr>
      <w:r w:rsidRPr="003227BA">
        <w:rPr>
          <w:rFonts w:eastAsia="Times New Roman"/>
          <w:sz w:val="24"/>
          <w:szCs w:val="24"/>
          <w:u w:val="single"/>
        </w:rPr>
        <w:t>Analytical Methods for IOCs</w:t>
      </w:r>
      <w:r w:rsidRPr="003227BA">
        <w:rPr>
          <w:rFonts w:eastAsia="Times New Roman"/>
          <w:sz w:val="24"/>
          <w:szCs w:val="24"/>
        </w:rPr>
        <w:t>: Analysis for the listed inorganic contaminants shall be conducted using the following methods:</w:t>
      </w:r>
    </w:p>
    <w:p w14:paraId="2819D650" w14:textId="77777777" w:rsidR="004647B9" w:rsidRPr="00AE2733" w:rsidRDefault="004647B9" w:rsidP="00AE2733">
      <w:pPr>
        <w:rPr>
          <w:sz w:val="24"/>
          <w:szCs w:val="24"/>
        </w:rPr>
      </w:pPr>
    </w:p>
    <w:p w14:paraId="2819D651" w14:textId="77777777" w:rsidR="004647B9" w:rsidRDefault="00E2436F">
      <w:pPr>
        <w:ind w:right="300"/>
        <w:jc w:val="center"/>
        <w:rPr>
          <w:sz w:val="20"/>
          <w:szCs w:val="20"/>
        </w:rPr>
      </w:pPr>
      <w:r>
        <w:rPr>
          <w:rFonts w:eastAsia="Times New Roman"/>
          <w:sz w:val="24"/>
          <w:szCs w:val="24"/>
        </w:rPr>
        <w:t>INORGANIC CONTAMINANTS ANALYTICAL METHODS</w:t>
      </w:r>
    </w:p>
    <w:p w14:paraId="2819D653" w14:textId="77777777" w:rsidR="004647B9" w:rsidRDefault="00E2436F">
      <w:pPr>
        <w:ind w:right="300"/>
        <w:jc w:val="center"/>
        <w:rPr>
          <w:sz w:val="20"/>
          <w:szCs w:val="20"/>
        </w:rPr>
      </w:pPr>
      <w:r>
        <w:rPr>
          <w:rFonts w:eastAsia="Times New Roman"/>
          <w:sz w:val="24"/>
          <w:szCs w:val="24"/>
          <w:u w:val="single"/>
        </w:rPr>
        <w:t>Reference (Method Number)</w:t>
      </w:r>
    </w:p>
    <w:p w14:paraId="2819D654" w14:textId="77777777" w:rsidR="004647B9" w:rsidRDefault="004647B9">
      <w:pPr>
        <w:spacing w:line="24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020"/>
        <w:gridCol w:w="180"/>
        <w:gridCol w:w="1080"/>
        <w:gridCol w:w="1520"/>
        <w:gridCol w:w="380"/>
        <w:gridCol w:w="520"/>
        <w:gridCol w:w="560"/>
        <w:gridCol w:w="1160"/>
        <w:gridCol w:w="280"/>
        <w:gridCol w:w="1060"/>
        <w:gridCol w:w="880"/>
        <w:gridCol w:w="660"/>
        <w:gridCol w:w="460"/>
        <w:gridCol w:w="740"/>
        <w:gridCol w:w="20"/>
      </w:tblGrid>
      <w:tr w:rsidR="004647B9" w14:paraId="2819D65E" w14:textId="77777777">
        <w:trPr>
          <w:trHeight w:val="276"/>
        </w:trPr>
        <w:tc>
          <w:tcPr>
            <w:tcW w:w="1020" w:type="dxa"/>
            <w:vAlign w:val="bottom"/>
          </w:tcPr>
          <w:p w14:paraId="2819D655" w14:textId="77777777" w:rsidR="004647B9" w:rsidRDefault="00E2436F">
            <w:pPr>
              <w:rPr>
                <w:sz w:val="20"/>
                <w:szCs w:val="20"/>
              </w:rPr>
            </w:pPr>
            <w:r>
              <w:rPr>
                <w:rFonts w:eastAsia="Times New Roman"/>
                <w:sz w:val="18"/>
                <w:szCs w:val="18"/>
              </w:rPr>
              <w:t>Contaminant</w:t>
            </w:r>
          </w:p>
        </w:tc>
        <w:tc>
          <w:tcPr>
            <w:tcW w:w="180" w:type="dxa"/>
            <w:vAlign w:val="bottom"/>
          </w:tcPr>
          <w:p w14:paraId="2819D656" w14:textId="77777777" w:rsidR="004647B9" w:rsidRDefault="004647B9">
            <w:pPr>
              <w:rPr>
                <w:sz w:val="23"/>
                <w:szCs w:val="23"/>
              </w:rPr>
            </w:pPr>
          </w:p>
        </w:tc>
        <w:tc>
          <w:tcPr>
            <w:tcW w:w="2600" w:type="dxa"/>
            <w:gridSpan w:val="2"/>
            <w:vAlign w:val="bottom"/>
          </w:tcPr>
          <w:p w14:paraId="2819D657" w14:textId="77777777" w:rsidR="004647B9" w:rsidRDefault="00E2436F">
            <w:pPr>
              <w:rPr>
                <w:sz w:val="20"/>
                <w:szCs w:val="20"/>
              </w:rPr>
            </w:pPr>
            <w:r>
              <w:rPr>
                <w:rFonts w:eastAsia="Times New Roman"/>
                <w:sz w:val="18"/>
                <w:szCs w:val="18"/>
              </w:rPr>
              <w:t>Methodology</w:t>
            </w:r>
            <w:r>
              <w:rPr>
                <w:rFonts w:eastAsia="Times New Roman"/>
                <w:sz w:val="24"/>
                <w:szCs w:val="24"/>
                <w:vertAlign w:val="superscript"/>
              </w:rPr>
              <w:t>11</w:t>
            </w:r>
          </w:p>
        </w:tc>
        <w:tc>
          <w:tcPr>
            <w:tcW w:w="900" w:type="dxa"/>
            <w:gridSpan w:val="2"/>
            <w:vAlign w:val="bottom"/>
          </w:tcPr>
          <w:p w14:paraId="2819D658" w14:textId="77777777" w:rsidR="004647B9" w:rsidRDefault="00E2436F">
            <w:pPr>
              <w:rPr>
                <w:sz w:val="20"/>
                <w:szCs w:val="20"/>
              </w:rPr>
            </w:pPr>
            <w:r>
              <w:rPr>
                <w:rFonts w:eastAsia="Times New Roman"/>
                <w:sz w:val="18"/>
                <w:szCs w:val="18"/>
              </w:rPr>
              <w:t>EPA</w:t>
            </w:r>
          </w:p>
        </w:tc>
        <w:tc>
          <w:tcPr>
            <w:tcW w:w="1720" w:type="dxa"/>
            <w:gridSpan w:val="2"/>
            <w:vAlign w:val="bottom"/>
          </w:tcPr>
          <w:p w14:paraId="2819D659" w14:textId="77777777" w:rsidR="004647B9" w:rsidRDefault="00E2436F">
            <w:pPr>
              <w:rPr>
                <w:sz w:val="20"/>
                <w:szCs w:val="20"/>
              </w:rPr>
            </w:pPr>
            <w:r>
              <w:rPr>
                <w:rFonts w:eastAsia="Times New Roman"/>
                <w:sz w:val="18"/>
                <w:szCs w:val="18"/>
              </w:rPr>
              <w:t xml:space="preserve">ASTM </w:t>
            </w:r>
            <w:r>
              <w:rPr>
                <w:rFonts w:eastAsia="Times New Roman"/>
                <w:sz w:val="24"/>
                <w:szCs w:val="24"/>
                <w:vertAlign w:val="superscript"/>
              </w:rPr>
              <w:t>3</w:t>
            </w:r>
          </w:p>
        </w:tc>
        <w:tc>
          <w:tcPr>
            <w:tcW w:w="1340" w:type="dxa"/>
            <w:gridSpan w:val="2"/>
            <w:vAlign w:val="bottom"/>
          </w:tcPr>
          <w:p w14:paraId="2819D65A" w14:textId="77777777" w:rsidR="004647B9" w:rsidRDefault="00E2436F">
            <w:pPr>
              <w:rPr>
                <w:sz w:val="20"/>
                <w:szCs w:val="20"/>
              </w:rPr>
            </w:pPr>
            <w:r>
              <w:rPr>
                <w:rFonts w:eastAsia="Times New Roman"/>
                <w:sz w:val="18"/>
                <w:szCs w:val="18"/>
              </w:rPr>
              <w:t xml:space="preserve">SM </w:t>
            </w:r>
            <w:r>
              <w:rPr>
                <w:rFonts w:eastAsia="Times New Roman"/>
                <w:sz w:val="24"/>
                <w:szCs w:val="24"/>
                <w:vertAlign w:val="superscript"/>
              </w:rPr>
              <w:t>4</w:t>
            </w:r>
          </w:p>
        </w:tc>
        <w:tc>
          <w:tcPr>
            <w:tcW w:w="1540" w:type="dxa"/>
            <w:gridSpan w:val="2"/>
            <w:vAlign w:val="bottom"/>
          </w:tcPr>
          <w:p w14:paraId="2819D65B" w14:textId="77777777" w:rsidR="004647B9" w:rsidRDefault="00E2436F">
            <w:pPr>
              <w:rPr>
                <w:sz w:val="20"/>
                <w:szCs w:val="20"/>
              </w:rPr>
            </w:pPr>
            <w:r>
              <w:rPr>
                <w:rFonts w:eastAsia="Times New Roman"/>
                <w:sz w:val="18"/>
                <w:szCs w:val="18"/>
              </w:rPr>
              <w:t>SM Online</w:t>
            </w:r>
            <w:r>
              <w:rPr>
                <w:rFonts w:eastAsia="Times New Roman"/>
                <w:sz w:val="24"/>
                <w:szCs w:val="24"/>
                <w:vertAlign w:val="superscript"/>
              </w:rPr>
              <w:t>23</w:t>
            </w:r>
          </w:p>
        </w:tc>
        <w:tc>
          <w:tcPr>
            <w:tcW w:w="1200" w:type="dxa"/>
            <w:gridSpan w:val="2"/>
            <w:vAlign w:val="bottom"/>
          </w:tcPr>
          <w:p w14:paraId="2819D65C" w14:textId="77777777" w:rsidR="004647B9" w:rsidRDefault="00E2436F">
            <w:pPr>
              <w:rPr>
                <w:sz w:val="20"/>
                <w:szCs w:val="20"/>
              </w:rPr>
            </w:pPr>
            <w:r>
              <w:rPr>
                <w:rFonts w:eastAsia="Times New Roman"/>
                <w:sz w:val="18"/>
                <w:szCs w:val="18"/>
              </w:rPr>
              <w:t>Other</w:t>
            </w:r>
          </w:p>
        </w:tc>
        <w:tc>
          <w:tcPr>
            <w:tcW w:w="0" w:type="dxa"/>
            <w:vAlign w:val="bottom"/>
          </w:tcPr>
          <w:p w14:paraId="2819D65D" w14:textId="77777777" w:rsidR="004647B9" w:rsidRDefault="004647B9">
            <w:pPr>
              <w:rPr>
                <w:sz w:val="1"/>
                <w:szCs w:val="1"/>
              </w:rPr>
            </w:pPr>
          </w:p>
        </w:tc>
      </w:tr>
      <w:tr w:rsidR="004647B9" w14:paraId="2819D66E" w14:textId="77777777">
        <w:trPr>
          <w:trHeight w:val="20"/>
        </w:trPr>
        <w:tc>
          <w:tcPr>
            <w:tcW w:w="1020" w:type="dxa"/>
            <w:shd w:val="clear" w:color="auto" w:fill="000000"/>
            <w:vAlign w:val="bottom"/>
          </w:tcPr>
          <w:p w14:paraId="2819D65F" w14:textId="77777777" w:rsidR="004647B9" w:rsidRDefault="004647B9">
            <w:pPr>
              <w:spacing w:line="20" w:lineRule="exact"/>
              <w:rPr>
                <w:sz w:val="1"/>
                <w:szCs w:val="1"/>
              </w:rPr>
            </w:pPr>
          </w:p>
        </w:tc>
        <w:tc>
          <w:tcPr>
            <w:tcW w:w="180" w:type="dxa"/>
            <w:vAlign w:val="bottom"/>
          </w:tcPr>
          <w:p w14:paraId="2819D660" w14:textId="77777777" w:rsidR="004647B9" w:rsidRDefault="004647B9">
            <w:pPr>
              <w:spacing w:line="20" w:lineRule="exact"/>
              <w:rPr>
                <w:sz w:val="1"/>
                <w:szCs w:val="1"/>
              </w:rPr>
            </w:pPr>
          </w:p>
        </w:tc>
        <w:tc>
          <w:tcPr>
            <w:tcW w:w="1080" w:type="dxa"/>
            <w:shd w:val="clear" w:color="auto" w:fill="000000"/>
            <w:vAlign w:val="bottom"/>
          </w:tcPr>
          <w:p w14:paraId="2819D661" w14:textId="77777777" w:rsidR="004647B9" w:rsidRDefault="004647B9">
            <w:pPr>
              <w:spacing w:line="20" w:lineRule="exact"/>
              <w:rPr>
                <w:sz w:val="1"/>
                <w:szCs w:val="1"/>
              </w:rPr>
            </w:pPr>
          </w:p>
        </w:tc>
        <w:tc>
          <w:tcPr>
            <w:tcW w:w="1520" w:type="dxa"/>
            <w:vAlign w:val="bottom"/>
          </w:tcPr>
          <w:p w14:paraId="2819D662" w14:textId="77777777" w:rsidR="004647B9" w:rsidRDefault="004647B9">
            <w:pPr>
              <w:spacing w:line="20" w:lineRule="exact"/>
              <w:rPr>
                <w:sz w:val="1"/>
                <w:szCs w:val="1"/>
              </w:rPr>
            </w:pPr>
          </w:p>
        </w:tc>
        <w:tc>
          <w:tcPr>
            <w:tcW w:w="380" w:type="dxa"/>
            <w:shd w:val="clear" w:color="auto" w:fill="000000"/>
            <w:vAlign w:val="bottom"/>
          </w:tcPr>
          <w:p w14:paraId="2819D663" w14:textId="77777777" w:rsidR="004647B9" w:rsidRDefault="004647B9">
            <w:pPr>
              <w:spacing w:line="20" w:lineRule="exact"/>
              <w:rPr>
                <w:sz w:val="1"/>
                <w:szCs w:val="1"/>
              </w:rPr>
            </w:pPr>
          </w:p>
        </w:tc>
        <w:tc>
          <w:tcPr>
            <w:tcW w:w="520" w:type="dxa"/>
            <w:vAlign w:val="bottom"/>
          </w:tcPr>
          <w:p w14:paraId="2819D664" w14:textId="77777777" w:rsidR="004647B9" w:rsidRDefault="004647B9">
            <w:pPr>
              <w:spacing w:line="20" w:lineRule="exact"/>
              <w:rPr>
                <w:sz w:val="1"/>
                <w:szCs w:val="1"/>
              </w:rPr>
            </w:pPr>
          </w:p>
        </w:tc>
        <w:tc>
          <w:tcPr>
            <w:tcW w:w="560" w:type="dxa"/>
            <w:shd w:val="clear" w:color="auto" w:fill="000000"/>
            <w:vAlign w:val="bottom"/>
          </w:tcPr>
          <w:p w14:paraId="2819D665" w14:textId="77777777" w:rsidR="004647B9" w:rsidRDefault="004647B9">
            <w:pPr>
              <w:spacing w:line="20" w:lineRule="exact"/>
              <w:rPr>
                <w:sz w:val="1"/>
                <w:szCs w:val="1"/>
              </w:rPr>
            </w:pPr>
          </w:p>
        </w:tc>
        <w:tc>
          <w:tcPr>
            <w:tcW w:w="1160" w:type="dxa"/>
            <w:vAlign w:val="bottom"/>
          </w:tcPr>
          <w:p w14:paraId="2819D666" w14:textId="77777777" w:rsidR="004647B9" w:rsidRDefault="004647B9">
            <w:pPr>
              <w:spacing w:line="20" w:lineRule="exact"/>
              <w:rPr>
                <w:sz w:val="1"/>
                <w:szCs w:val="1"/>
              </w:rPr>
            </w:pPr>
          </w:p>
        </w:tc>
        <w:tc>
          <w:tcPr>
            <w:tcW w:w="280" w:type="dxa"/>
            <w:shd w:val="clear" w:color="auto" w:fill="000000"/>
            <w:vAlign w:val="bottom"/>
          </w:tcPr>
          <w:p w14:paraId="2819D667" w14:textId="77777777" w:rsidR="004647B9" w:rsidRDefault="004647B9">
            <w:pPr>
              <w:spacing w:line="20" w:lineRule="exact"/>
              <w:rPr>
                <w:sz w:val="1"/>
                <w:szCs w:val="1"/>
              </w:rPr>
            </w:pPr>
          </w:p>
        </w:tc>
        <w:tc>
          <w:tcPr>
            <w:tcW w:w="1060" w:type="dxa"/>
            <w:vAlign w:val="bottom"/>
          </w:tcPr>
          <w:p w14:paraId="2819D668" w14:textId="77777777" w:rsidR="004647B9" w:rsidRDefault="004647B9">
            <w:pPr>
              <w:spacing w:line="20" w:lineRule="exact"/>
              <w:rPr>
                <w:sz w:val="1"/>
                <w:szCs w:val="1"/>
              </w:rPr>
            </w:pPr>
          </w:p>
        </w:tc>
        <w:tc>
          <w:tcPr>
            <w:tcW w:w="880" w:type="dxa"/>
            <w:shd w:val="clear" w:color="auto" w:fill="000000"/>
            <w:vAlign w:val="bottom"/>
          </w:tcPr>
          <w:p w14:paraId="2819D669" w14:textId="77777777" w:rsidR="004647B9" w:rsidRDefault="004647B9">
            <w:pPr>
              <w:spacing w:line="20" w:lineRule="exact"/>
              <w:rPr>
                <w:sz w:val="1"/>
                <w:szCs w:val="1"/>
              </w:rPr>
            </w:pPr>
          </w:p>
        </w:tc>
        <w:tc>
          <w:tcPr>
            <w:tcW w:w="660" w:type="dxa"/>
            <w:vAlign w:val="bottom"/>
          </w:tcPr>
          <w:p w14:paraId="2819D66A" w14:textId="77777777" w:rsidR="004647B9" w:rsidRDefault="004647B9">
            <w:pPr>
              <w:spacing w:line="20" w:lineRule="exact"/>
              <w:rPr>
                <w:sz w:val="1"/>
                <w:szCs w:val="1"/>
              </w:rPr>
            </w:pPr>
          </w:p>
        </w:tc>
        <w:tc>
          <w:tcPr>
            <w:tcW w:w="460" w:type="dxa"/>
            <w:shd w:val="clear" w:color="auto" w:fill="000000"/>
            <w:vAlign w:val="bottom"/>
          </w:tcPr>
          <w:p w14:paraId="2819D66B" w14:textId="77777777" w:rsidR="004647B9" w:rsidRDefault="004647B9">
            <w:pPr>
              <w:spacing w:line="20" w:lineRule="exact"/>
              <w:rPr>
                <w:sz w:val="1"/>
                <w:szCs w:val="1"/>
              </w:rPr>
            </w:pPr>
          </w:p>
        </w:tc>
        <w:tc>
          <w:tcPr>
            <w:tcW w:w="740" w:type="dxa"/>
            <w:vAlign w:val="bottom"/>
          </w:tcPr>
          <w:p w14:paraId="2819D66C" w14:textId="77777777" w:rsidR="004647B9" w:rsidRDefault="004647B9">
            <w:pPr>
              <w:spacing w:line="20" w:lineRule="exact"/>
              <w:rPr>
                <w:sz w:val="1"/>
                <w:szCs w:val="1"/>
              </w:rPr>
            </w:pPr>
          </w:p>
        </w:tc>
        <w:tc>
          <w:tcPr>
            <w:tcW w:w="0" w:type="dxa"/>
            <w:vAlign w:val="bottom"/>
          </w:tcPr>
          <w:p w14:paraId="2819D66D" w14:textId="77777777" w:rsidR="004647B9" w:rsidRDefault="004647B9">
            <w:pPr>
              <w:spacing w:line="20" w:lineRule="exact"/>
              <w:rPr>
                <w:sz w:val="1"/>
                <w:szCs w:val="1"/>
              </w:rPr>
            </w:pPr>
          </w:p>
        </w:tc>
      </w:tr>
      <w:tr w:rsidR="004647B9" w14:paraId="2819D67B" w14:textId="77777777">
        <w:trPr>
          <w:trHeight w:val="286"/>
        </w:trPr>
        <w:tc>
          <w:tcPr>
            <w:tcW w:w="1020" w:type="dxa"/>
            <w:vAlign w:val="bottom"/>
          </w:tcPr>
          <w:p w14:paraId="2819D66F" w14:textId="77777777" w:rsidR="004647B9" w:rsidRDefault="00E2436F">
            <w:pPr>
              <w:rPr>
                <w:sz w:val="20"/>
                <w:szCs w:val="20"/>
              </w:rPr>
            </w:pPr>
            <w:r>
              <w:rPr>
                <w:rFonts w:eastAsia="Times New Roman"/>
                <w:sz w:val="18"/>
                <w:szCs w:val="18"/>
              </w:rPr>
              <w:t>Antimony</w:t>
            </w:r>
          </w:p>
        </w:tc>
        <w:tc>
          <w:tcPr>
            <w:tcW w:w="180" w:type="dxa"/>
            <w:vAlign w:val="bottom"/>
          </w:tcPr>
          <w:p w14:paraId="2819D670" w14:textId="77777777" w:rsidR="004647B9" w:rsidRDefault="004647B9">
            <w:pPr>
              <w:rPr>
                <w:sz w:val="24"/>
                <w:szCs w:val="24"/>
              </w:rPr>
            </w:pPr>
          </w:p>
        </w:tc>
        <w:tc>
          <w:tcPr>
            <w:tcW w:w="2600" w:type="dxa"/>
            <w:gridSpan w:val="2"/>
            <w:vAlign w:val="bottom"/>
          </w:tcPr>
          <w:p w14:paraId="2819D671" w14:textId="77777777" w:rsidR="004647B9" w:rsidRDefault="00E2436F">
            <w:pPr>
              <w:rPr>
                <w:sz w:val="20"/>
                <w:szCs w:val="20"/>
              </w:rPr>
            </w:pPr>
            <w:r>
              <w:rPr>
                <w:rFonts w:eastAsia="Times New Roman"/>
                <w:sz w:val="18"/>
                <w:szCs w:val="18"/>
              </w:rPr>
              <w:t>Atomic Absorption:</w:t>
            </w:r>
          </w:p>
        </w:tc>
        <w:tc>
          <w:tcPr>
            <w:tcW w:w="380" w:type="dxa"/>
            <w:vAlign w:val="bottom"/>
          </w:tcPr>
          <w:p w14:paraId="2819D672" w14:textId="77777777" w:rsidR="004647B9" w:rsidRDefault="004647B9">
            <w:pPr>
              <w:rPr>
                <w:sz w:val="24"/>
                <w:szCs w:val="24"/>
              </w:rPr>
            </w:pPr>
          </w:p>
        </w:tc>
        <w:tc>
          <w:tcPr>
            <w:tcW w:w="520" w:type="dxa"/>
            <w:vAlign w:val="bottom"/>
          </w:tcPr>
          <w:p w14:paraId="2819D673" w14:textId="77777777" w:rsidR="004647B9" w:rsidRDefault="004647B9">
            <w:pPr>
              <w:rPr>
                <w:sz w:val="24"/>
                <w:szCs w:val="24"/>
              </w:rPr>
            </w:pPr>
          </w:p>
        </w:tc>
        <w:tc>
          <w:tcPr>
            <w:tcW w:w="560" w:type="dxa"/>
            <w:vAlign w:val="bottom"/>
          </w:tcPr>
          <w:p w14:paraId="2819D674" w14:textId="77777777" w:rsidR="004647B9" w:rsidRDefault="004647B9">
            <w:pPr>
              <w:rPr>
                <w:sz w:val="24"/>
                <w:szCs w:val="24"/>
              </w:rPr>
            </w:pPr>
          </w:p>
        </w:tc>
        <w:tc>
          <w:tcPr>
            <w:tcW w:w="1160" w:type="dxa"/>
            <w:vAlign w:val="bottom"/>
          </w:tcPr>
          <w:p w14:paraId="2819D675" w14:textId="77777777" w:rsidR="004647B9" w:rsidRDefault="004647B9">
            <w:pPr>
              <w:rPr>
                <w:sz w:val="24"/>
                <w:szCs w:val="24"/>
              </w:rPr>
            </w:pPr>
          </w:p>
        </w:tc>
        <w:tc>
          <w:tcPr>
            <w:tcW w:w="1340" w:type="dxa"/>
            <w:gridSpan w:val="2"/>
            <w:vAlign w:val="bottom"/>
          </w:tcPr>
          <w:p w14:paraId="2819D676" w14:textId="77777777" w:rsidR="004647B9" w:rsidRDefault="00E2436F">
            <w:pPr>
              <w:rPr>
                <w:sz w:val="20"/>
                <w:szCs w:val="20"/>
              </w:rPr>
            </w:pPr>
            <w:r>
              <w:rPr>
                <w:rFonts w:eastAsia="Times New Roman"/>
                <w:sz w:val="18"/>
                <w:szCs w:val="18"/>
              </w:rPr>
              <w:t>3113B</w:t>
            </w:r>
          </w:p>
        </w:tc>
        <w:tc>
          <w:tcPr>
            <w:tcW w:w="1540" w:type="dxa"/>
            <w:gridSpan w:val="2"/>
            <w:vAlign w:val="bottom"/>
          </w:tcPr>
          <w:p w14:paraId="2819D677" w14:textId="77777777" w:rsidR="004647B9" w:rsidRDefault="00E2436F">
            <w:pPr>
              <w:rPr>
                <w:sz w:val="20"/>
                <w:szCs w:val="20"/>
              </w:rPr>
            </w:pPr>
            <w:r>
              <w:rPr>
                <w:rFonts w:eastAsia="Times New Roman"/>
                <w:sz w:val="18"/>
                <w:szCs w:val="18"/>
              </w:rPr>
              <w:t>3113 B-99</w:t>
            </w:r>
          </w:p>
        </w:tc>
        <w:tc>
          <w:tcPr>
            <w:tcW w:w="460" w:type="dxa"/>
            <w:vAlign w:val="bottom"/>
          </w:tcPr>
          <w:p w14:paraId="2819D678" w14:textId="77777777" w:rsidR="004647B9" w:rsidRDefault="004647B9">
            <w:pPr>
              <w:rPr>
                <w:sz w:val="24"/>
                <w:szCs w:val="24"/>
              </w:rPr>
            </w:pPr>
          </w:p>
        </w:tc>
        <w:tc>
          <w:tcPr>
            <w:tcW w:w="740" w:type="dxa"/>
            <w:vAlign w:val="bottom"/>
          </w:tcPr>
          <w:p w14:paraId="2819D679" w14:textId="77777777" w:rsidR="004647B9" w:rsidRDefault="004647B9">
            <w:pPr>
              <w:rPr>
                <w:sz w:val="24"/>
                <w:szCs w:val="24"/>
              </w:rPr>
            </w:pPr>
          </w:p>
        </w:tc>
        <w:tc>
          <w:tcPr>
            <w:tcW w:w="0" w:type="dxa"/>
            <w:vAlign w:val="bottom"/>
          </w:tcPr>
          <w:p w14:paraId="2819D67A" w14:textId="77777777" w:rsidR="004647B9" w:rsidRDefault="004647B9">
            <w:pPr>
              <w:rPr>
                <w:sz w:val="1"/>
                <w:szCs w:val="1"/>
              </w:rPr>
            </w:pPr>
          </w:p>
        </w:tc>
      </w:tr>
      <w:tr w:rsidR="004647B9" w14:paraId="2819D68A" w14:textId="77777777">
        <w:trPr>
          <w:trHeight w:val="281"/>
        </w:trPr>
        <w:tc>
          <w:tcPr>
            <w:tcW w:w="1020" w:type="dxa"/>
            <w:vAlign w:val="bottom"/>
          </w:tcPr>
          <w:p w14:paraId="2819D67C" w14:textId="77777777" w:rsidR="004647B9" w:rsidRDefault="004647B9">
            <w:pPr>
              <w:rPr>
                <w:sz w:val="24"/>
                <w:szCs w:val="24"/>
              </w:rPr>
            </w:pPr>
          </w:p>
        </w:tc>
        <w:tc>
          <w:tcPr>
            <w:tcW w:w="180" w:type="dxa"/>
            <w:vAlign w:val="bottom"/>
          </w:tcPr>
          <w:p w14:paraId="2819D67D" w14:textId="77777777" w:rsidR="004647B9" w:rsidRDefault="004647B9">
            <w:pPr>
              <w:rPr>
                <w:sz w:val="24"/>
                <w:szCs w:val="24"/>
              </w:rPr>
            </w:pPr>
          </w:p>
        </w:tc>
        <w:tc>
          <w:tcPr>
            <w:tcW w:w="2600" w:type="dxa"/>
            <w:gridSpan w:val="2"/>
            <w:vAlign w:val="bottom"/>
          </w:tcPr>
          <w:p w14:paraId="2819D67E" w14:textId="77777777" w:rsidR="004647B9" w:rsidRDefault="00E2436F">
            <w:pPr>
              <w:rPr>
                <w:sz w:val="20"/>
                <w:szCs w:val="20"/>
              </w:rPr>
            </w:pPr>
            <w:r>
              <w:rPr>
                <w:rFonts w:eastAsia="Times New Roman"/>
                <w:sz w:val="18"/>
                <w:szCs w:val="18"/>
              </w:rPr>
              <w:t>Furnace</w:t>
            </w:r>
          </w:p>
        </w:tc>
        <w:tc>
          <w:tcPr>
            <w:tcW w:w="380" w:type="dxa"/>
            <w:vAlign w:val="bottom"/>
          </w:tcPr>
          <w:p w14:paraId="2819D67F" w14:textId="77777777" w:rsidR="004647B9" w:rsidRDefault="004647B9">
            <w:pPr>
              <w:rPr>
                <w:sz w:val="24"/>
                <w:szCs w:val="24"/>
              </w:rPr>
            </w:pPr>
          </w:p>
        </w:tc>
        <w:tc>
          <w:tcPr>
            <w:tcW w:w="520" w:type="dxa"/>
            <w:vAlign w:val="bottom"/>
          </w:tcPr>
          <w:p w14:paraId="2819D680" w14:textId="77777777" w:rsidR="004647B9" w:rsidRDefault="004647B9">
            <w:pPr>
              <w:rPr>
                <w:sz w:val="24"/>
                <w:szCs w:val="24"/>
              </w:rPr>
            </w:pPr>
          </w:p>
        </w:tc>
        <w:tc>
          <w:tcPr>
            <w:tcW w:w="560" w:type="dxa"/>
            <w:vAlign w:val="bottom"/>
          </w:tcPr>
          <w:p w14:paraId="2819D681" w14:textId="77777777" w:rsidR="004647B9" w:rsidRDefault="004647B9">
            <w:pPr>
              <w:rPr>
                <w:sz w:val="24"/>
                <w:szCs w:val="24"/>
              </w:rPr>
            </w:pPr>
          </w:p>
        </w:tc>
        <w:tc>
          <w:tcPr>
            <w:tcW w:w="1160" w:type="dxa"/>
            <w:vAlign w:val="bottom"/>
          </w:tcPr>
          <w:p w14:paraId="2819D682" w14:textId="77777777" w:rsidR="004647B9" w:rsidRDefault="004647B9">
            <w:pPr>
              <w:rPr>
                <w:sz w:val="24"/>
                <w:szCs w:val="24"/>
              </w:rPr>
            </w:pPr>
          </w:p>
        </w:tc>
        <w:tc>
          <w:tcPr>
            <w:tcW w:w="280" w:type="dxa"/>
            <w:vAlign w:val="bottom"/>
          </w:tcPr>
          <w:p w14:paraId="2819D683" w14:textId="77777777" w:rsidR="004647B9" w:rsidRDefault="004647B9">
            <w:pPr>
              <w:rPr>
                <w:sz w:val="24"/>
                <w:szCs w:val="24"/>
              </w:rPr>
            </w:pPr>
          </w:p>
        </w:tc>
        <w:tc>
          <w:tcPr>
            <w:tcW w:w="1060" w:type="dxa"/>
            <w:vAlign w:val="bottom"/>
          </w:tcPr>
          <w:p w14:paraId="2819D684" w14:textId="77777777" w:rsidR="004647B9" w:rsidRDefault="004647B9">
            <w:pPr>
              <w:rPr>
                <w:sz w:val="24"/>
                <w:szCs w:val="24"/>
              </w:rPr>
            </w:pPr>
          </w:p>
        </w:tc>
        <w:tc>
          <w:tcPr>
            <w:tcW w:w="880" w:type="dxa"/>
            <w:vAlign w:val="bottom"/>
          </w:tcPr>
          <w:p w14:paraId="2819D685" w14:textId="77777777" w:rsidR="004647B9" w:rsidRDefault="004647B9">
            <w:pPr>
              <w:rPr>
                <w:sz w:val="24"/>
                <w:szCs w:val="24"/>
              </w:rPr>
            </w:pPr>
          </w:p>
        </w:tc>
        <w:tc>
          <w:tcPr>
            <w:tcW w:w="660" w:type="dxa"/>
            <w:vAlign w:val="bottom"/>
          </w:tcPr>
          <w:p w14:paraId="2819D686" w14:textId="77777777" w:rsidR="004647B9" w:rsidRDefault="004647B9">
            <w:pPr>
              <w:rPr>
                <w:sz w:val="24"/>
                <w:szCs w:val="24"/>
              </w:rPr>
            </w:pPr>
          </w:p>
        </w:tc>
        <w:tc>
          <w:tcPr>
            <w:tcW w:w="460" w:type="dxa"/>
            <w:vAlign w:val="bottom"/>
          </w:tcPr>
          <w:p w14:paraId="2819D687" w14:textId="77777777" w:rsidR="004647B9" w:rsidRDefault="004647B9">
            <w:pPr>
              <w:rPr>
                <w:sz w:val="24"/>
                <w:szCs w:val="24"/>
              </w:rPr>
            </w:pPr>
          </w:p>
        </w:tc>
        <w:tc>
          <w:tcPr>
            <w:tcW w:w="740" w:type="dxa"/>
            <w:vAlign w:val="bottom"/>
          </w:tcPr>
          <w:p w14:paraId="2819D688" w14:textId="77777777" w:rsidR="004647B9" w:rsidRDefault="004647B9">
            <w:pPr>
              <w:rPr>
                <w:sz w:val="24"/>
                <w:szCs w:val="24"/>
              </w:rPr>
            </w:pPr>
          </w:p>
        </w:tc>
        <w:tc>
          <w:tcPr>
            <w:tcW w:w="0" w:type="dxa"/>
            <w:vAlign w:val="bottom"/>
          </w:tcPr>
          <w:p w14:paraId="2819D689" w14:textId="77777777" w:rsidR="004647B9" w:rsidRDefault="004647B9">
            <w:pPr>
              <w:rPr>
                <w:sz w:val="1"/>
                <w:szCs w:val="1"/>
              </w:rPr>
            </w:pPr>
          </w:p>
        </w:tc>
      </w:tr>
      <w:tr w:rsidR="004647B9" w14:paraId="2819D698" w14:textId="77777777">
        <w:trPr>
          <w:trHeight w:val="279"/>
        </w:trPr>
        <w:tc>
          <w:tcPr>
            <w:tcW w:w="1020" w:type="dxa"/>
            <w:vAlign w:val="bottom"/>
          </w:tcPr>
          <w:p w14:paraId="2819D68B" w14:textId="77777777" w:rsidR="004647B9" w:rsidRDefault="004647B9">
            <w:pPr>
              <w:rPr>
                <w:sz w:val="24"/>
                <w:szCs w:val="24"/>
              </w:rPr>
            </w:pPr>
          </w:p>
        </w:tc>
        <w:tc>
          <w:tcPr>
            <w:tcW w:w="180" w:type="dxa"/>
            <w:vAlign w:val="bottom"/>
          </w:tcPr>
          <w:p w14:paraId="2819D68C" w14:textId="77777777" w:rsidR="004647B9" w:rsidRDefault="004647B9">
            <w:pPr>
              <w:rPr>
                <w:sz w:val="24"/>
                <w:szCs w:val="24"/>
              </w:rPr>
            </w:pPr>
          </w:p>
        </w:tc>
        <w:tc>
          <w:tcPr>
            <w:tcW w:w="2600" w:type="dxa"/>
            <w:gridSpan w:val="2"/>
            <w:vAlign w:val="bottom"/>
          </w:tcPr>
          <w:p w14:paraId="2819D68D" w14:textId="77777777" w:rsidR="004647B9" w:rsidRDefault="00E2436F">
            <w:pPr>
              <w:rPr>
                <w:sz w:val="20"/>
                <w:szCs w:val="20"/>
              </w:rPr>
            </w:pPr>
            <w:r>
              <w:rPr>
                <w:rFonts w:eastAsia="Times New Roman"/>
                <w:sz w:val="18"/>
                <w:szCs w:val="18"/>
              </w:rPr>
              <w:t>Atomic Absorption:</w:t>
            </w:r>
          </w:p>
        </w:tc>
        <w:tc>
          <w:tcPr>
            <w:tcW w:w="900" w:type="dxa"/>
            <w:gridSpan w:val="2"/>
            <w:vAlign w:val="bottom"/>
          </w:tcPr>
          <w:p w14:paraId="2819D68E"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560" w:type="dxa"/>
            <w:vAlign w:val="bottom"/>
          </w:tcPr>
          <w:p w14:paraId="2819D68F" w14:textId="77777777" w:rsidR="004647B9" w:rsidRDefault="004647B9">
            <w:pPr>
              <w:rPr>
                <w:sz w:val="24"/>
                <w:szCs w:val="24"/>
              </w:rPr>
            </w:pPr>
          </w:p>
        </w:tc>
        <w:tc>
          <w:tcPr>
            <w:tcW w:w="1160" w:type="dxa"/>
            <w:vAlign w:val="bottom"/>
          </w:tcPr>
          <w:p w14:paraId="2819D690" w14:textId="77777777" w:rsidR="004647B9" w:rsidRDefault="004647B9">
            <w:pPr>
              <w:rPr>
                <w:sz w:val="24"/>
                <w:szCs w:val="24"/>
              </w:rPr>
            </w:pPr>
          </w:p>
        </w:tc>
        <w:tc>
          <w:tcPr>
            <w:tcW w:w="280" w:type="dxa"/>
            <w:vAlign w:val="bottom"/>
          </w:tcPr>
          <w:p w14:paraId="2819D691" w14:textId="77777777" w:rsidR="004647B9" w:rsidRDefault="004647B9">
            <w:pPr>
              <w:rPr>
                <w:sz w:val="24"/>
                <w:szCs w:val="24"/>
              </w:rPr>
            </w:pPr>
          </w:p>
        </w:tc>
        <w:tc>
          <w:tcPr>
            <w:tcW w:w="1060" w:type="dxa"/>
            <w:vAlign w:val="bottom"/>
          </w:tcPr>
          <w:p w14:paraId="2819D692" w14:textId="77777777" w:rsidR="004647B9" w:rsidRDefault="004647B9">
            <w:pPr>
              <w:rPr>
                <w:sz w:val="24"/>
                <w:szCs w:val="24"/>
              </w:rPr>
            </w:pPr>
          </w:p>
        </w:tc>
        <w:tc>
          <w:tcPr>
            <w:tcW w:w="880" w:type="dxa"/>
            <w:vAlign w:val="bottom"/>
          </w:tcPr>
          <w:p w14:paraId="2819D693" w14:textId="77777777" w:rsidR="004647B9" w:rsidRDefault="004647B9">
            <w:pPr>
              <w:rPr>
                <w:sz w:val="24"/>
                <w:szCs w:val="24"/>
              </w:rPr>
            </w:pPr>
          </w:p>
        </w:tc>
        <w:tc>
          <w:tcPr>
            <w:tcW w:w="660" w:type="dxa"/>
            <w:vAlign w:val="bottom"/>
          </w:tcPr>
          <w:p w14:paraId="2819D694" w14:textId="77777777" w:rsidR="004647B9" w:rsidRDefault="004647B9">
            <w:pPr>
              <w:rPr>
                <w:sz w:val="24"/>
                <w:szCs w:val="24"/>
              </w:rPr>
            </w:pPr>
          </w:p>
        </w:tc>
        <w:tc>
          <w:tcPr>
            <w:tcW w:w="460" w:type="dxa"/>
            <w:vAlign w:val="bottom"/>
          </w:tcPr>
          <w:p w14:paraId="2819D695" w14:textId="77777777" w:rsidR="004647B9" w:rsidRDefault="004647B9">
            <w:pPr>
              <w:rPr>
                <w:sz w:val="24"/>
                <w:szCs w:val="24"/>
              </w:rPr>
            </w:pPr>
          </w:p>
        </w:tc>
        <w:tc>
          <w:tcPr>
            <w:tcW w:w="740" w:type="dxa"/>
            <w:vAlign w:val="bottom"/>
          </w:tcPr>
          <w:p w14:paraId="2819D696" w14:textId="77777777" w:rsidR="004647B9" w:rsidRDefault="004647B9">
            <w:pPr>
              <w:rPr>
                <w:sz w:val="24"/>
                <w:szCs w:val="24"/>
              </w:rPr>
            </w:pPr>
          </w:p>
        </w:tc>
        <w:tc>
          <w:tcPr>
            <w:tcW w:w="0" w:type="dxa"/>
            <w:vAlign w:val="bottom"/>
          </w:tcPr>
          <w:p w14:paraId="2819D697" w14:textId="77777777" w:rsidR="004647B9" w:rsidRDefault="004647B9">
            <w:pPr>
              <w:rPr>
                <w:sz w:val="1"/>
                <w:szCs w:val="1"/>
              </w:rPr>
            </w:pPr>
          </w:p>
        </w:tc>
      </w:tr>
      <w:tr w:rsidR="004647B9" w14:paraId="2819D6A7" w14:textId="77777777">
        <w:trPr>
          <w:trHeight w:val="280"/>
        </w:trPr>
        <w:tc>
          <w:tcPr>
            <w:tcW w:w="1020" w:type="dxa"/>
            <w:vAlign w:val="bottom"/>
          </w:tcPr>
          <w:p w14:paraId="2819D699" w14:textId="77777777" w:rsidR="004647B9" w:rsidRDefault="004647B9">
            <w:pPr>
              <w:rPr>
                <w:sz w:val="24"/>
                <w:szCs w:val="24"/>
              </w:rPr>
            </w:pPr>
          </w:p>
        </w:tc>
        <w:tc>
          <w:tcPr>
            <w:tcW w:w="180" w:type="dxa"/>
            <w:vAlign w:val="bottom"/>
          </w:tcPr>
          <w:p w14:paraId="2819D69A" w14:textId="77777777" w:rsidR="004647B9" w:rsidRDefault="004647B9">
            <w:pPr>
              <w:rPr>
                <w:sz w:val="24"/>
                <w:szCs w:val="24"/>
              </w:rPr>
            </w:pPr>
          </w:p>
        </w:tc>
        <w:tc>
          <w:tcPr>
            <w:tcW w:w="2600" w:type="dxa"/>
            <w:gridSpan w:val="2"/>
            <w:vAlign w:val="bottom"/>
          </w:tcPr>
          <w:p w14:paraId="2819D69B" w14:textId="77777777" w:rsidR="004647B9" w:rsidRDefault="00E2436F">
            <w:pPr>
              <w:rPr>
                <w:sz w:val="20"/>
                <w:szCs w:val="20"/>
              </w:rPr>
            </w:pPr>
            <w:r>
              <w:rPr>
                <w:rFonts w:eastAsia="Times New Roman"/>
                <w:sz w:val="18"/>
                <w:szCs w:val="18"/>
              </w:rPr>
              <w:t>platform</w:t>
            </w:r>
          </w:p>
        </w:tc>
        <w:tc>
          <w:tcPr>
            <w:tcW w:w="380" w:type="dxa"/>
            <w:vAlign w:val="bottom"/>
          </w:tcPr>
          <w:p w14:paraId="2819D69C" w14:textId="77777777" w:rsidR="004647B9" w:rsidRDefault="004647B9">
            <w:pPr>
              <w:rPr>
                <w:sz w:val="24"/>
                <w:szCs w:val="24"/>
              </w:rPr>
            </w:pPr>
          </w:p>
        </w:tc>
        <w:tc>
          <w:tcPr>
            <w:tcW w:w="520" w:type="dxa"/>
            <w:vAlign w:val="bottom"/>
          </w:tcPr>
          <w:p w14:paraId="2819D69D" w14:textId="77777777" w:rsidR="004647B9" w:rsidRDefault="004647B9">
            <w:pPr>
              <w:rPr>
                <w:sz w:val="24"/>
                <w:szCs w:val="24"/>
              </w:rPr>
            </w:pPr>
          </w:p>
        </w:tc>
        <w:tc>
          <w:tcPr>
            <w:tcW w:w="560" w:type="dxa"/>
            <w:vAlign w:val="bottom"/>
          </w:tcPr>
          <w:p w14:paraId="2819D69E" w14:textId="77777777" w:rsidR="004647B9" w:rsidRDefault="004647B9">
            <w:pPr>
              <w:rPr>
                <w:sz w:val="24"/>
                <w:szCs w:val="24"/>
              </w:rPr>
            </w:pPr>
          </w:p>
        </w:tc>
        <w:tc>
          <w:tcPr>
            <w:tcW w:w="1160" w:type="dxa"/>
            <w:vAlign w:val="bottom"/>
          </w:tcPr>
          <w:p w14:paraId="2819D69F" w14:textId="77777777" w:rsidR="004647B9" w:rsidRDefault="004647B9">
            <w:pPr>
              <w:rPr>
                <w:sz w:val="24"/>
                <w:szCs w:val="24"/>
              </w:rPr>
            </w:pPr>
          </w:p>
        </w:tc>
        <w:tc>
          <w:tcPr>
            <w:tcW w:w="280" w:type="dxa"/>
            <w:vAlign w:val="bottom"/>
          </w:tcPr>
          <w:p w14:paraId="2819D6A0" w14:textId="77777777" w:rsidR="004647B9" w:rsidRDefault="004647B9">
            <w:pPr>
              <w:rPr>
                <w:sz w:val="24"/>
                <w:szCs w:val="24"/>
              </w:rPr>
            </w:pPr>
          </w:p>
        </w:tc>
        <w:tc>
          <w:tcPr>
            <w:tcW w:w="1060" w:type="dxa"/>
            <w:vAlign w:val="bottom"/>
          </w:tcPr>
          <w:p w14:paraId="2819D6A1" w14:textId="77777777" w:rsidR="004647B9" w:rsidRDefault="004647B9">
            <w:pPr>
              <w:rPr>
                <w:sz w:val="24"/>
                <w:szCs w:val="24"/>
              </w:rPr>
            </w:pPr>
          </w:p>
        </w:tc>
        <w:tc>
          <w:tcPr>
            <w:tcW w:w="880" w:type="dxa"/>
            <w:vAlign w:val="bottom"/>
          </w:tcPr>
          <w:p w14:paraId="2819D6A2" w14:textId="77777777" w:rsidR="004647B9" w:rsidRDefault="004647B9">
            <w:pPr>
              <w:rPr>
                <w:sz w:val="24"/>
                <w:szCs w:val="24"/>
              </w:rPr>
            </w:pPr>
          </w:p>
        </w:tc>
        <w:tc>
          <w:tcPr>
            <w:tcW w:w="660" w:type="dxa"/>
            <w:vAlign w:val="bottom"/>
          </w:tcPr>
          <w:p w14:paraId="2819D6A3" w14:textId="77777777" w:rsidR="004647B9" w:rsidRDefault="004647B9">
            <w:pPr>
              <w:rPr>
                <w:sz w:val="24"/>
                <w:szCs w:val="24"/>
              </w:rPr>
            </w:pPr>
          </w:p>
        </w:tc>
        <w:tc>
          <w:tcPr>
            <w:tcW w:w="460" w:type="dxa"/>
            <w:vAlign w:val="bottom"/>
          </w:tcPr>
          <w:p w14:paraId="2819D6A4" w14:textId="77777777" w:rsidR="004647B9" w:rsidRDefault="004647B9">
            <w:pPr>
              <w:rPr>
                <w:sz w:val="24"/>
                <w:szCs w:val="24"/>
              </w:rPr>
            </w:pPr>
          </w:p>
        </w:tc>
        <w:tc>
          <w:tcPr>
            <w:tcW w:w="740" w:type="dxa"/>
            <w:vAlign w:val="bottom"/>
          </w:tcPr>
          <w:p w14:paraId="2819D6A5" w14:textId="77777777" w:rsidR="004647B9" w:rsidRDefault="004647B9">
            <w:pPr>
              <w:rPr>
                <w:sz w:val="24"/>
                <w:szCs w:val="24"/>
              </w:rPr>
            </w:pPr>
          </w:p>
        </w:tc>
        <w:tc>
          <w:tcPr>
            <w:tcW w:w="0" w:type="dxa"/>
            <w:vAlign w:val="bottom"/>
          </w:tcPr>
          <w:p w14:paraId="2819D6A6" w14:textId="77777777" w:rsidR="004647B9" w:rsidRDefault="004647B9">
            <w:pPr>
              <w:rPr>
                <w:sz w:val="1"/>
                <w:szCs w:val="1"/>
              </w:rPr>
            </w:pPr>
          </w:p>
        </w:tc>
      </w:tr>
      <w:tr w:rsidR="004647B9" w14:paraId="2819D6B5" w14:textId="77777777">
        <w:trPr>
          <w:trHeight w:val="279"/>
        </w:trPr>
        <w:tc>
          <w:tcPr>
            <w:tcW w:w="1020" w:type="dxa"/>
            <w:vAlign w:val="bottom"/>
          </w:tcPr>
          <w:p w14:paraId="2819D6A8" w14:textId="77777777" w:rsidR="004647B9" w:rsidRDefault="004647B9">
            <w:pPr>
              <w:rPr>
                <w:sz w:val="24"/>
                <w:szCs w:val="24"/>
              </w:rPr>
            </w:pPr>
          </w:p>
        </w:tc>
        <w:tc>
          <w:tcPr>
            <w:tcW w:w="180" w:type="dxa"/>
            <w:vAlign w:val="bottom"/>
          </w:tcPr>
          <w:p w14:paraId="2819D6A9" w14:textId="77777777" w:rsidR="004647B9" w:rsidRDefault="004647B9">
            <w:pPr>
              <w:rPr>
                <w:sz w:val="24"/>
                <w:szCs w:val="24"/>
              </w:rPr>
            </w:pPr>
          </w:p>
        </w:tc>
        <w:tc>
          <w:tcPr>
            <w:tcW w:w="2600" w:type="dxa"/>
            <w:gridSpan w:val="2"/>
            <w:vAlign w:val="bottom"/>
          </w:tcPr>
          <w:p w14:paraId="2819D6AA" w14:textId="77777777" w:rsidR="004647B9" w:rsidRDefault="00E2436F">
            <w:pPr>
              <w:rPr>
                <w:sz w:val="20"/>
                <w:szCs w:val="20"/>
              </w:rPr>
            </w:pPr>
            <w:r>
              <w:rPr>
                <w:rFonts w:eastAsia="Times New Roman"/>
                <w:sz w:val="18"/>
                <w:szCs w:val="18"/>
              </w:rPr>
              <w:t>ICP-Mass Spectrometry</w:t>
            </w:r>
          </w:p>
        </w:tc>
        <w:tc>
          <w:tcPr>
            <w:tcW w:w="900" w:type="dxa"/>
            <w:gridSpan w:val="2"/>
            <w:vAlign w:val="bottom"/>
          </w:tcPr>
          <w:p w14:paraId="2819D6AB"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560" w:type="dxa"/>
            <w:vAlign w:val="bottom"/>
          </w:tcPr>
          <w:p w14:paraId="2819D6AC" w14:textId="77777777" w:rsidR="004647B9" w:rsidRDefault="004647B9">
            <w:pPr>
              <w:rPr>
                <w:sz w:val="24"/>
                <w:szCs w:val="24"/>
              </w:rPr>
            </w:pPr>
          </w:p>
        </w:tc>
        <w:tc>
          <w:tcPr>
            <w:tcW w:w="1160" w:type="dxa"/>
            <w:vAlign w:val="bottom"/>
          </w:tcPr>
          <w:p w14:paraId="2819D6AD" w14:textId="77777777" w:rsidR="004647B9" w:rsidRDefault="004647B9">
            <w:pPr>
              <w:rPr>
                <w:sz w:val="24"/>
                <w:szCs w:val="24"/>
              </w:rPr>
            </w:pPr>
          </w:p>
        </w:tc>
        <w:tc>
          <w:tcPr>
            <w:tcW w:w="280" w:type="dxa"/>
            <w:vAlign w:val="bottom"/>
          </w:tcPr>
          <w:p w14:paraId="2819D6AE" w14:textId="77777777" w:rsidR="004647B9" w:rsidRDefault="004647B9">
            <w:pPr>
              <w:rPr>
                <w:sz w:val="24"/>
                <w:szCs w:val="24"/>
              </w:rPr>
            </w:pPr>
          </w:p>
        </w:tc>
        <w:tc>
          <w:tcPr>
            <w:tcW w:w="1060" w:type="dxa"/>
            <w:vAlign w:val="bottom"/>
          </w:tcPr>
          <w:p w14:paraId="2819D6AF" w14:textId="77777777" w:rsidR="004647B9" w:rsidRDefault="004647B9">
            <w:pPr>
              <w:rPr>
                <w:sz w:val="24"/>
                <w:szCs w:val="24"/>
              </w:rPr>
            </w:pPr>
          </w:p>
        </w:tc>
        <w:tc>
          <w:tcPr>
            <w:tcW w:w="880" w:type="dxa"/>
            <w:vAlign w:val="bottom"/>
          </w:tcPr>
          <w:p w14:paraId="2819D6B0" w14:textId="77777777" w:rsidR="004647B9" w:rsidRDefault="004647B9">
            <w:pPr>
              <w:rPr>
                <w:sz w:val="24"/>
                <w:szCs w:val="24"/>
              </w:rPr>
            </w:pPr>
          </w:p>
        </w:tc>
        <w:tc>
          <w:tcPr>
            <w:tcW w:w="660" w:type="dxa"/>
            <w:vAlign w:val="bottom"/>
          </w:tcPr>
          <w:p w14:paraId="2819D6B1" w14:textId="77777777" w:rsidR="004647B9" w:rsidRDefault="004647B9">
            <w:pPr>
              <w:rPr>
                <w:sz w:val="24"/>
                <w:szCs w:val="24"/>
              </w:rPr>
            </w:pPr>
          </w:p>
        </w:tc>
        <w:tc>
          <w:tcPr>
            <w:tcW w:w="460" w:type="dxa"/>
            <w:vAlign w:val="bottom"/>
          </w:tcPr>
          <w:p w14:paraId="2819D6B2" w14:textId="77777777" w:rsidR="004647B9" w:rsidRDefault="004647B9">
            <w:pPr>
              <w:rPr>
                <w:sz w:val="24"/>
                <w:szCs w:val="24"/>
              </w:rPr>
            </w:pPr>
          </w:p>
        </w:tc>
        <w:tc>
          <w:tcPr>
            <w:tcW w:w="740" w:type="dxa"/>
            <w:vAlign w:val="bottom"/>
          </w:tcPr>
          <w:p w14:paraId="2819D6B3" w14:textId="77777777" w:rsidR="004647B9" w:rsidRDefault="004647B9">
            <w:pPr>
              <w:rPr>
                <w:sz w:val="24"/>
                <w:szCs w:val="24"/>
              </w:rPr>
            </w:pPr>
          </w:p>
        </w:tc>
        <w:tc>
          <w:tcPr>
            <w:tcW w:w="0" w:type="dxa"/>
            <w:vAlign w:val="bottom"/>
          </w:tcPr>
          <w:p w14:paraId="2819D6B4" w14:textId="77777777" w:rsidR="004647B9" w:rsidRDefault="004647B9">
            <w:pPr>
              <w:rPr>
                <w:sz w:val="1"/>
                <w:szCs w:val="1"/>
              </w:rPr>
            </w:pPr>
          </w:p>
        </w:tc>
      </w:tr>
      <w:tr w:rsidR="004647B9" w14:paraId="2819D6C3" w14:textId="77777777">
        <w:trPr>
          <w:trHeight w:val="280"/>
        </w:trPr>
        <w:tc>
          <w:tcPr>
            <w:tcW w:w="1020" w:type="dxa"/>
            <w:vAlign w:val="bottom"/>
          </w:tcPr>
          <w:p w14:paraId="2819D6B6" w14:textId="77777777" w:rsidR="004647B9" w:rsidRDefault="004647B9">
            <w:pPr>
              <w:rPr>
                <w:sz w:val="24"/>
                <w:szCs w:val="24"/>
              </w:rPr>
            </w:pPr>
          </w:p>
        </w:tc>
        <w:tc>
          <w:tcPr>
            <w:tcW w:w="180" w:type="dxa"/>
            <w:vAlign w:val="bottom"/>
          </w:tcPr>
          <w:p w14:paraId="2819D6B7" w14:textId="77777777" w:rsidR="004647B9" w:rsidRDefault="004647B9">
            <w:pPr>
              <w:rPr>
                <w:sz w:val="24"/>
                <w:szCs w:val="24"/>
              </w:rPr>
            </w:pPr>
          </w:p>
        </w:tc>
        <w:tc>
          <w:tcPr>
            <w:tcW w:w="2600" w:type="dxa"/>
            <w:gridSpan w:val="2"/>
            <w:vAlign w:val="bottom"/>
          </w:tcPr>
          <w:p w14:paraId="2819D6B8" w14:textId="77777777" w:rsidR="004647B9" w:rsidRDefault="00E2436F">
            <w:pPr>
              <w:rPr>
                <w:sz w:val="20"/>
                <w:szCs w:val="20"/>
              </w:rPr>
            </w:pPr>
            <w:r>
              <w:rPr>
                <w:rFonts w:eastAsia="Times New Roman"/>
                <w:sz w:val="18"/>
                <w:szCs w:val="18"/>
              </w:rPr>
              <w:t>Hydride-Atomic Absorption</w:t>
            </w:r>
          </w:p>
        </w:tc>
        <w:tc>
          <w:tcPr>
            <w:tcW w:w="380" w:type="dxa"/>
            <w:vAlign w:val="bottom"/>
          </w:tcPr>
          <w:p w14:paraId="2819D6B9" w14:textId="77777777" w:rsidR="004647B9" w:rsidRDefault="004647B9">
            <w:pPr>
              <w:rPr>
                <w:sz w:val="24"/>
                <w:szCs w:val="24"/>
              </w:rPr>
            </w:pPr>
          </w:p>
        </w:tc>
        <w:tc>
          <w:tcPr>
            <w:tcW w:w="520" w:type="dxa"/>
            <w:vAlign w:val="bottom"/>
          </w:tcPr>
          <w:p w14:paraId="2819D6BA" w14:textId="77777777" w:rsidR="004647B9" w:rsidRDefault="004647B9">
            <w:pPr>
              <w:rPr>
                <w:sz w:val="24"/>
                <w:szCs w:val="24"/>
              </w:rPr>
            </w:pPr>
          </w:p>
        </w:tc>
        <w:tc>
          <w:tcPr>
            <w:tcW w:w="1720" w:type="dxa"/>
            <w:gridSpan w:val="2"/>
            <w:vMerge w:val="restart"/>
            <w:vAlign w:val="bottom"/>
          </w:tcPr>
          <w:p w14:paraId="2819D6BB" w14:textId="77777777" w:rsidR="004647B9" w:rsidRDefault="00E2436F">
            <w:pPr>
              <w:rPr>
                <w:sz w:val="20"/>
                <w:szCs w:val="20"/>
              </w:rPr>
            </w:pPr>
            <w:r>
              <w:rPr>
                <w:rFonts w:eastAsia="Times New Roman"/>
                <w:sz w:val="18"/>
                <w:szCs w:val="18"/>
              </w:rPr>
              <w:t>D-3697-92, 02</w:t>
            </w:r>
          </w:p>
        </w:tc>
        <w:tc>
          <w:tcPr>
            <w:tcW w:w="280" w:type="dxa"/>
            <w:vAlign w:val="bottom"/>
          </w:tcPr>
          <w:p w14:paraId="2819D6BC" w14:textId="77777777" w:rsidR="004647B9" w:rsidRDefault="004647B9">
            <w:pPr>
              <w:rPr>
                <w:sz w:val="24"/>
                <w:szCs w:val="24"/>
              </w:rPr>
            </w:pPr>
          </w:p>
        </w:tc>
        <w:tc>
          <w:tcPr>
            <w:tcW w:w="1060" w:type="dxa"/>
            <w:vAlign w:val="bottom"/>
          </w:tcPr>
          <w:p w14:paraId="2819D6BD" w14:textId="77777777" w:rsidR="004647B9" w:rsidRDefault="004647B9">
            <w:pPr>
              <w:rPr>
                <w:sz w:val="24"/>
                <w:szCs w:val="24"/>
              </w:rPr>
            </w:pPr>
          </w:p>
        </w:tc>
        <w:tc>
          <w:tcPr>
            <w:tcW w:w="880" w:type="dxa"/>
            <w:vAlign w:val="bottom"/>
          </w:tcPr>
          <w:p w14:paraId="2819D6BE" w14:textId="77777777" w:rsidR="004647B9" w:rsidRDefault="004647B9">
            <w:pPr>
              <w:rPr>
                <w:sz w:val="24"/>
                <w:szCs w:val="24"/>
              </w:rPr>
            </w:pPr>
          </w:p>
        </w:tc>
        <w:tc>
          <w:tcPr>
            <w:tcW w:w="660" w:type="dxa"/>
            <w:vAlign w:val="bottom"/>
          </w:tcPr>
          <w:p w14:paraId="2819D6BF" w14:textId="77777777" w:rsidR="004647B9" w:rsidRDefault="004647B9">
            <w:pPr>
              <w:rPr>
                <w:sz w:val="24"/>
                <w:szCs w:val="24"/>
              </w:rPr>
            </w:pPr>
          </w:p>
        </w:tc>
        <w:tc>
          <w:tcPr>
            <w:tcW w:w="460" w:type="dxa"/>
            <w:vAlign w:val="bottom"/>
          </w:tcPr>
          <w:p w14:paraId="2819D6C0" w14:textId="77777777" w:rsidR="004647B9" w:rsidRDefault="004647B9">
            <w:pPr>
              <w:rPr>
                <w:sz w:val="24"/>
                <w:szCs w:val="24"/>
              </w:rPr>
            </w:pPr>
          </w:p>
        </w:tc>
        <w:tc>
          <w:tcPr>
            <w:tcW w:w="740" w:type="dxa"/>
            <w:vAlign w:val="bottom"/>
          </w:tcPr>
          <w:p w14:paraId="2819D6C1" w14:textId="77777777" w:rsidR="004647B9" w:rsidRDefault="004647B9">
            <w:pPr>
              <w:rPr>
                <w:sz w:val="24"/>
                <w:szCs w:val="24"/>
              </w:rPr>
            </w:pPr>
          </w:p>
        </w:tc>
        <w:tc>
          <w:tcPr>
            <w:tcW w:w="0" w:type="dxa"/>
            <w:vAlign w:val="bottom"/>
          </w:tcPr>
          <w:p w14:paraId="2819D6C2" w14:textId="77777777" w:rsidR="004647B9" w:rsidRDefault="004647B9">
            <w:pPr>
              <w:rPr>
                <w:sz w:val="1"/>
                <w:szCs w:val="1"/>
              </w:rPr>
            </w:pPr>
          </w:p>
        </w:tc>
      </w:tr>
      <w:tr w:rsidR="004647B9" w14:paraId="2819D6CF" w14:textId="77777777">
        <w:trPr>
          <w:trHeight w:val="79"/>
        </w:trPr>
        <w:tc>
          <w:tcPr>
            <w:tcW w:w="1020" w:type="dxa"/>
            <w:vMerge w:val="restart"/>
            <w:vAlign w:val="bottom"/>
          </w:tcPr>
          <w:p w14:paraId="2819D6C4" w14:textId="77777777" w:rsidR="004647B9" w:rsidRDefault="00E2436F">
            <w:pPr>
              <w:rPr>
                <w:sz w:val="20"/>
                <w:szCs w:val="20"/>
              </w:rPr>
            </w:pPr>
            <w:r>
              <w:rPr>
                <w:rFonts w:eastAsia="Times New Roman"/>
                <w:sz w:val="18"/>
                <w:szCs w:val="18"/>
              </w:rPr>
              <w:t>Arsenic</w:t>
            </w:r>
            <w:r>
              <w:rPr>
                <w:rFonts w:eastAsia="Times New Roman"/>
                <w:sz w:val="24"/>
                <w:szCs w:val="24"/>
                <w:vertAlign w:val="superscript"/>
              </w:rPr>
              <w:t>12</w:t>
            </w:r>
          </w:p>
        </w:tc>
        <w:tc>
          <w:tcPr>
            <w:tcW w:w="180" w:type="dxa"/>
            <w:vAlign w:val="bottom"/>
          </w:tcPr>
          <w:p w14:paraId="2819D6C5" w14:textId="77777777" w:rsidR="004647B9" w:rsidRDefault="004647B9">
            <w:pPr>
              <w:rPr>
                <w:sz w:val="6"/>
                <w:szCs w:val="6"/>
              </w:rPr>
            </w:pPr>
          </w:p>
        </w:tc>
        <w:tc>
          <w:tcPr>
            <w:tcW w:w="2600" w:type="dxa"/>
            <w:gridSpan w:val="2"/>
            <w:vMerge w:val="restart"/>
            <w:vAlign w:val="bottom"/>
          </w:tcPr>
          <w:p w14:paraId="2819D6C6"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6C7" w14:textId="77777777" w:rsidR="004647B9" w:rsidRDefault="004647B9">
            <w:pPr>
              <w:rPr>
                <w:sz w:val="6"/>
                <w:szCs w:val="6"/>
              </w:rPr>
            </w:pPr>
          </w:p>
        </w:tc>
        <w:tc>
          <w:tcPr>
            <w:tcW w:w="520" w:type="dxa"/>
            <w:vAlign w:val="bottom"/>
          </w:tcPr>
          <w:p w14:paraId="2819D6C8" w14:textId="77777777" w:rsidR="004647B9" w:rsidRDefault="004647B9">
            <w:pPr>
              <w:rPr>
                <w:sz w:val="6"/>
                <w:szCs w:val="6"/>
              </w:rPr>
            </w:pPr>
          </w:p>
        </w:tc>
        <w:tc>
          <w:tcPr>
            <w:tcW w:w="1720" w:type="dxa"/>
            <w:gridSpan w:val="2"/>
            <w:vMerge/>
            <w:vAlign w:val="bottom"/>
          </w:tcPr>
          <w:p w14:paraId="2819D6C9" w14:textId="77777777" w:rsidR="004647B9" w:rsidRDefault="004647B9">
            <w:pPr>
              <w:rPr>
                <w:sz w:val="6"/>
                <w:szCs w:val="6"/>
              </w:rPr>
            </w:pPr>
          </w:p>
        </w:tc>
        <w:tc>
          <w:tcPr>
            <w:tcW w:w="1340" w:type="dxa"/>
            <w:gridSpan w:val="2"/>
            <w:vMerge w:val="restart"/>
            <w:vAlign w:val="bottom"/>
          </w:tcPr>
          <w:p w14:paraId="2819D6CA" w14:textId="77777777" w:rsidR="004647B9" w:rsidRDefault="00E2436F">
            <w:pPr>
              <w:rPr>
                <w:sz w:val="20"/>
                <w:szCs w:val="20"/>
              </w:rPr>
            </w:pPr>
            <w:r>
              <w:rPr>
                <w:rFonts w:eastAsia="Times New Roman"/>
                <w:sz w:val="18"/>
                <w:szCs w:val="18"/>
              </w:rPr>
              <w:t>3113B</w:t>
            </w:r>
          </w:p>
        </w:tc>
        <w:tc>
          <w:tcPr>
            <w:tcW w:w="1540" w:type="dxa"/>
            <w:gridSpan w:val="2"/>
            <w:vMerge w:val="restart"/>
            <w:vAlign w:val="bottom"/>
          </w:tcPr>
          <w:p w14:paraId="2819D6CB" w14:textId="77777777" w:rsidR="004647B9" w:rsidRDefault="00E2436F">
            <w:pPr>
              <w:rPr>
                <w:sz w:val="20"/>
                <w:szCs w:val="20"/>
              </w:rPr>
            </w:pPr>
            <w:r>
              <w:rPr>
                <w:rFonts w:eastAsia="Times New Roman"/>
                <w:sz w:val="18"/>
                <w:szCs w:val="18"/>
              </w:rPr>
              <w:t>3113 B-99</w:t>
            </w:r>
          </w:p>
        </w:tc>
        <w:tc>
          <w:tcPr>
            <w:tcW w:w="460" w:type="dxa"/>
            <w:vAlign w:val="bottom"/>
          </w:tcPr>
          <w:p w14:paraId="2819D6CC" w14:textId="77777777" w:rsidR="004647B9" w:rsidRDefault="004647B9">
            <w:pPr>
              <w:rPr>
                <w:sz w:val="6"/>
                <w:szCs w:val="6"/>
              </w:rPr>
            </w:pPr>
          </w:p>
        </w:tc>
        <w:tc>
          <w:tcPr>
            <w:tcW w:w="740" w:type="dxa"/>
            <w:vAlign w:val="bottom"/>
          </w:tcPr>
          <w:p w14:paraId="2819D6CD" w14:textId="77777777" w:rsidR="004647B9" w:rsidRDefault="004647B9">
            <w:pPr>
              <w:rPr>
                <w:sz w:val="6"/>
                <w:szCs w:val="6"/>
              </w:rPr>
            </w:pPr>
          </w:p>
        </w:tc>
        <w:tc>
          <w:tcPr>
            <w:tcW w:w="0" w:type="dxa"/>
            <w:vAlign w:val="bottom"/>
          </w:tcPr>
          <w:p w14:paraId="2819D6CE" w14:textId="77777777" w:rsidR="004647B9" w:rsidRDefault="004647B9">
            <w:pPr>
              <w:rPr>
                <w:sz w:val="1"/>
                <w:szCs w:val="1"/>
              </w:rPr>
            </w:pPr>
          </w:p>
        </w:tc>
      </w:tr>
      <w:tr w:rsidR="004647B9" w14:paraId="2819D6DB" w14:textId="77777777">
        <w:trPr>
          <w:trHeight w:val="200"/>
        </w:trPr>
        <w:tc>
          <w:tcPr>
            <w:tcW w:w="1020" w:type="dxa"/>
            <w:vMerge/>
            <w:vAlign w:val="bottom"/>
          </w:tcPr>
          <w:p w14:paraId="2819D6D0" w14:textId="77777777" w:rsidR="004647B9" w:rsidRDefault="004647B9">
            <w:pPr>
              <w:rPr>
                <w:sz w:val="17"/>
                <w:szCs w:val="17"/>
              </w:rPr>
            </w:pPr>
          </w:p>
        </w:tc>
        <w:tc>
          <w:tcPr>
            <w:tcW w:w="180" w:type="dxa"/>
            <w:vAlign w:val="bottom"/>
          </w:tcPr>
          <w:p w14:paraId="2819D6D1" w14:textId="77777777" w:rsidR="004647B9" w:rsidRDefault="004647B9">
            <w:pPr>
              <w:rPr>
                <w:sz w:val="17"/>
                <w:szCs w:val="17"/>
              </w:rPr>
            </w:pPr>
          </w:p>
        </w:tc>
        <w:tc>
          <w:tcPr>
            <w:tcW w:w="2600" w:type="dxa"/>
            <w:gridSpan w:val="2"/>
            <w:vMerge/>
            <w:vAlign w:val="bottom"/>
          </w:tcPr>
          <w:p w14:paraId="2819D6D2" w14:textId="77777777" w:rsidR="004647B9" w:rsidRDefault="004647B9">
            <w:pPr>
              <w:rPr>
                <w:sz w:val="17"/>
                <w:szCs w:val="17"/>
              </w:rPr>
            </w:pPr>
          </w:p>
        </w:tc>
        <w:tc>
          <w:tcPr>
            <w:tcW w:w="380" w:type="dxa"/>
            <w:vAlign w:val="bottom"/>
          </w:tcPr>
          <w:p w14:paraId="2819D6D3" w14:textId="77777777" w:rsidR="004647B9" w:rsidRDefault="004647B9">
            <w:pPr>
              <w:rPr>
                <w:sz w:val="17"/>
                <w:szCs w:val="17"/>
              </w:rPr>
            </w:pPr>
          </w:p>
        </w:tc>
        <w:tc>
          <w:tcPr>
            <w:tcW w:w="520" w:type="dxa"/>
            <w:vAlign w:val="bottom"/>
          </w:tcPr>
          <w:p w14:paraId="2819D6D4" w14:textId="77777777" w:rsidR="004647B9" w:rsidRDefault="004647B9">
            <w:pPr>
              <w:rPr>
                <w:sz w:val="17"/>
                <w:szCs w:val="17"/>
              </w:rPr>
            </w:pPr>
          </w:p>
        </w:tc>
        <w:tc>
          <w:tcPr>
            <w:tcW w:w="1720" w:type="dxa"/>
            <w:gridSpan w:val="2"/>
            <w:vMerge w:val="restart"/>
            <w:vAlign w:val="bottom"/>
          </w:tcPr>
          <w:p w14:paraId="2819D6D5" w14:textId="77777777" w:rsidR="004647B9" w:rsidRDefault="00E2436F">
            <w:pPr>
              <w:rPr>
                <w:sz w:val="20"/>
                <w:szCs w:val="20"/>
              </w:rPr>
            </w:pPr>
            <w:r>
              <w:rPr>
                <w:rFonts w:eastAsia="Times New Roman"/>
                <w:sz w:val="18"/>
                <w:szCs w:val="18"/>
              </w:rPr>
              <w:t>D2972-97C, 03C</w:t>
            </w:r>
          </w:p>
        </w:tc>
        <w:tc>
          <w:tcPr>
            <w:tcW w:w="1340" w:type="dxa"/>
            <w:gridSpan w:val="2"/>
            <w:vMerge/>
            <w:vAlign w:val="bottom"/>
          </w:tcPr>
          <w:p w14:paraId="2819D6D6" w14:textId="77777777" w:rsidR="004647B9" w:rsidRDefault="004647B9">
            <w:pPr>
              <w:rPr>
                <w:sz w:val="17"/>
                <w:szCs w:val="17"/>
              </w:rPr>
            </w:pPr>
          </w:p>
        </w:tc>
        <w:tc>
          <w:tcPr>
            <w:tcW w:w="1540" w:type="dxa"/>
            <w:gridSpan w:val="2"/>
            <w:vMerge/>
            <w:vAlign w:val="bottom"/>
          </w:tcPr>
          <w:p w14:paraId="2819D6D7" w14:textId="77777777" w:rsidR="004647B9" w:rsidRDefault="004647B9">
            <w:pPr>
              <w:rPr>
                <w:sz w:val="17"/>
                <w:szCs w:val="17"/>
              </w:rPr>
            </w:pPr>
          </w:p>
        </w:tc>
        <w:tc>
          <w:tcPr>
            <w:tcW w:w="460" w:type="dxa"/>
            <w:vAlign w:val="bottom"/>
          </w:tcPr>
          <w:p w14:paraId="2819D6D8" w14:textId="77777777" w:rsidR="004647B9" w:rsidRDefault="004647B9">
            <w:pPr>
              <w:rPr>
                <w:sz w:val="17"/>
                <w:szCs w:val="17"/>
              </w:rPr>
            </w:pPr>
          </w:p>
        </w:tc>
        <w:tc>
          <w:tcPr>
            <w:tcW w:w="740" w:type="dxa"/>
            <w:vAlign w:val="bottom"/>
          </w:tcPr>
          <w:p w14:paraId="2819D6D9" w14:textId="77777777" w:rsidR="004647B9" w:rsidRDefault="004647B9">
            <w:pPr>
              <w:rPr>
                <w:sz w:val="17"/>
                <w:szCs w:val="17"/>
              </w:rPr>
            </w:pPr>
          </w:p>
        </w:tc>
        <w:tc>
          <w:tcPr>
            <w:tcW w:w="0" w:type="dxa"/>
            <w:vAlign w:val="bottom"/>
          </w:tcPr>
          <w:p w14:paraId="2819D6DA" w14:textId="77777777" w:rsidR="004647B9" w:rsidRDefault="004647B9">
            <w:pPr>
              <w:rPr>
                <w:sz w:val="1"/>
                <w:szCs w:val="1"/>
              </w:rPr>
            </w:pPr>
          </w:p>
        </w:tc>
      </w:tr>
      <w:tr w:rsidR="004647B9" w14:paraId="2819D6E7" w14:textId="77777777">
        <w:trPr>
          <w:trHeight w:val="79"/>
        </w:trPr>
        <w:tc>
          <w:tcPr>
            <w:tcW w:w="1020" w:type="dxa"/>
            <w:vAlign w:val="bottom"/>
          </w:tcPr>
          <w:p w14:paraId="2819D6DC" w14:textId="77777777" w:rsidR="004647B9" w:rsidRDefault="004647B9">
            <w:pPr>
              <w:rPr>
                <w:sz w:val="6"/>
                <w:szCs w:val="6"/>
              </w:rPr>
            </w:pPr>
          </w:p>
        </w:tc>
        <w:tc>
          <w:tcPr>
            <w:tcW w:w="180" w:type="dxa"/>
            <w:vAlign w:val="bottom"/>
          </w:tcPr>
          <w:p w14:paraId="2819D6DD" w14:textId="77777777" w:rsidR="004647B9" w:rsidRDefault="004647B9">
            <w:pPr>
              <w:rPr>
                <w:sz w:val="6"/>
                <w:szCs w:val="6"/>
              </w:rPr>
            </w:pPr>
          </w:p>
        </w:tc>
        <w:tc>
          <w:tcPr>
            <w:tcW w:w="2600" w:type="dxa"/>
            <w:gridSpan w:val="2"/>
            <w:vMerge w:val="restart"/>
            <w:vAlign w:val="bottom"/>
          </w:tcPr>
          <w:p w14:paraId="2819D6DE" w14:textId="77777777" w:rsidR="004647B9" w:rsidRDefault="00E2436F">
            <w:pPr>
              <w:rPr>
                <w:sz w:val="20"/>
                <w:szCs w:val="20"/>
              </w:rPr>
            </w:pPr>
            <w:r>
              <w:rPr>
                <w:rFonts w:eastAsia="Times New Roman"/>
                <w:sz w:val="18"/>
                <w:szCs w:val="18"/>
              </w:rPr>
              <w:t>Atomic Absorption; Hydride</w:t>
            </w:r>
          </w:p>
        </w:tc>
        <w:tc>
          <w:tcPr>
            <w:tcW w:w="380" w:type="dxa"/>
            <w:vAlign w:val="bottom"/>
          </w:tcPr>
          <w:p w14:paraId="2819D6DF" w14:textId="77777777" w:rsidR="004647B9" w:rsidRDefault="004647B9">
            <w:pPr>
              <w:rPr>
                <w:sz w:val="6"/>
                <w:szCs w:val="6"/>
              </w:rPr>
            </w:pPr>
          </w:p>
        </w:tc>
        <w:tc>
          <w:tcPr>
            <w:tcW w:w="520" w:type="dxa"/>
            <w:vAlign w:val="bottom"/>
          </w:tcPr>
          <w:p w14:paraId="2819D6E0" w14:textId="77777777" w:rsidR="004647B9" w:rsidRDefault="004647B9">
            <w:pPr>
              <w:rPr>
                <w:sz w:val="6"/>
                <w:szCs w:val="6"/>
              </w:rPr>
            </w:pPr>
          </w:p>
        </w:tc>
        <w:tc>
          <w:tcPr>
            <w:tcW w:w="1720" w:type="dxa"/>
            <w:gridSpan w:val="2"/>
            <w:vMerge/>
            <w:vAlign w:val="bottom"/>
          </w:tcPr>
          <w:p w14:paraId="2819D6E1" w14:textId="77777777" w:rsidR="004647B9" w:rsidRDefault="004647B9">
            <w:pPr>
              <w:rPr>
                <w:sz w:val="6"/>
                <w:szCs w:val="6"/>
              </w:rPr>
            </w:pPr>
          </w:p>
        </w:tc>
        <w:tc>
          <w:tcPr>
            <w:tcW w:w="1340" w:type="dxa"/>
            <w:gridSpan w:val="2"/>
            <w:vMerge w:val="restart"/>
            <w:vAlign w:val="bottom"/>
          </w:tcPr>
          <w:p w14:paraId="2819D6E2" w14:textId="77777777" w:rsidR="004647B9" w:rsidRDefault="00E2436F">
            <w:pPr>
              <w:rPr>
                <w:sz w:val="20"/>
                <w:szCs w:val="20"/>
              </w:rPr>
            </w:pPr>
            <w:r>
              <w:rPr>
                <w:rFonts w:eastAsia="Times New Roman"/>
                <w:sz w:val="18"/>
                <w:szCs w:val="18"/>
              </w:rPr>
              <w:t>3114B</w:t>
            </w:r>
          </w:p>
        </w:tc>
        <w:tc>
          <w:tcPr>
            <w:tcW w:w="1540" w:type="dxa"/>
            <w:gridSpan w:val="2"/>
            <w:vMerge w:val="restart"/>
            <w:vAlign w:val="bottom"/>
          </w:tcPr>
          <w:p w14:paraId="2819D6E3" w14:textId="77777777" w:rsidR="004647B9" w:rsidRDefault="00E2436F">
            <w:pPr>
              <w:ind w:left="20"/>
              <w:rPr>
                <w:sz w:val="20"/>
                <w:szCs w:val="20"/>
              </w:rPr>
            </w:pPr>
            <w:r>
              <w:rPr>
                <w:rFonts w:eastAsia="Times New Roman"/>
                <w:sz w:val="18"/>
                <w:szCs w:val="18"/>
              </w:rPr>
              <w:t>3114 B-97</w:t>
            </w:r>
          </w:p>
        </w:tc>
        <w:tc>
          <w:tcPr>
            <w:tcW w:w="460" w:type="dxa"/>
            <w:vAlign w:val="bottom"/>
          </w:tcPr>
          <w:p w14:paraId="2819D6E4" w14:textId="77777777" w:rsidR="004647B9" w:rsidRDefault="004647B9">
            <w:pPr>
              <w:rPr>
                <w:sz w:val="6"/>
                <w:szCs w:val="6"/>
              </w:rPr>
            </w:pPr>
          </w:p>
        </w:tc>
        <w:tc>
          <w:tcPr>
            <w:tcW w:w="740" w:type="dxa"/>
            <w:vAlign w:val="bottom"/>
          </w:tcPr>
          <w:p w14:paraId="2819D6E5" w14:textId="77777777" w:rsidR="004647B9" w:rsidRDefault="004647B9">
            <w:pPr>
              <w:rPr>
                <w:sz w:val="6"/>
                <w:szCs w:val="6"/>
              </w:rPr>
            </w:pPr>
          </w:p>
        </w:tc>
        <w:tc>
          <w:tcPr>
            <w:tcW w:w="0" w:type="dxa"/>
            <w:vAlign w:val="bottom"/>
          </w:tcPr>
          <w:p w14:paraId="2819D6E6" w14:textId="77777777" w:rsidR="004647B9" w:rsidRDefault="004647B9">
            <w:pPr>
              <w:rPr>
                <w:sz w:val="1"/>
                <w:szCs w:val="1"/>
              </w:rPr>
            </w:pPr>
          </w:p>
        </w:tc>
      </w:tr>
      <w:tr w:rsidR="004647B9" w14:paraId="2819D6F3" w14:textId="77777777">
        <w:trPr>
          <w:trHeight w:val="202"/>
        </w:trPr>
        <w:tc>
          <w:tcPr>
            <w:tcW w:w="1020" w:type="dxa"/>
            <w:vAlign w:val="bottom"/>
          </w:tcPr>
          <w:p w14:paraId="2819D6E8" w14:textId="77777777" w:rsidR="004647B9" w:rsidRDefault="004647B9">
            <w:pPr>
              <w:rPr>
                <w:sz w:val="17"/>
                <w:szCs w:val="17"/>
              </w:rPr>
            </w:pPr>
          </w:p>
        </w:tc>
        <w:tc>
          <w:tcPr>
            <w:tcW w:w="180" w:type="dxa"/>
            <w:vAlign w:val="bottom"/>
          </w:tcPr>
          <w:p w14:paraId="2819D6E9" w14:textId="77777777" w:rsidR="004647B9" w:rsidRDefault="004647B9">
            <w:pPr>
              <w:rPr>
                <w:sz w:val="17"/>
                <w:szCs w:val="17"/>
              </w:rPr>
            </w:pPr>
          </w:p>
        </w:tc>
        <w:tc>
          <w:tcPr>
            <w:tcW w:w="2600" w:type="dxa"/>
            <w:gridSpan w:val="2"/>
            <w:vMerge/>
            <w:vAlign w:val="bottom"/>
          </w:tcPr>
          <w:p w14:paraId="2819D6EA" w14:textId="77777777" w:rsidR="004647B9" w:rsidRDefault="004647B9">
            <w:pPr>
              <w:rPr>
                <w:sz w:val="17"/>
                <w:szCs w:val="17"/>
              </w:rPr>
            </w:pPr>
          </w:p>
        </w:tc>
        <w:tc>
          <w:tcPr>
            <w:tcW w:w="380" w:type="dxa"/>
            <w:vAlign w:val="bottom"/>
          </w:tcPr>
          <w:p w14:paraId="2819D6EB" w14:textId="77777777" w:rsidR="004647B9" w:rsidRDefault="004647B9">
            <w:pPr>
              <w:rPr>
                <w:sz w:val="17"/>
                <w:szCs w:val="17"/>
              </w:rPr>
            </w:pPr>
          </w:p>
        </w:tc>
        <w:tc>
          <w:tcPr>
            <w:tcW w:w="520" w:type="dxa"/>
            <w:vAlign w:val="bottom"/>
          </w:tcPr>
          <w:p w14:paraId="2819D6EC" w14:textId="77777777" w:rsidR="004647B9" w:rsidRDefault="004647B9">
            <w:pPr>
              <w:rPr>
                <w:sz w:val="17"/>
                <w:szCs w:val="17"/>
              </w:rPr>
            </w:pPr>
          </w:p>
        </w:tc>
        <w:tc>
          <w:tcPr>
            <w:tcW w:w="1720" w:type="dxa"/>
            <w:gridSpan w:val="2"/>
            <w:vMerge w:val="restart"/>
            <w:vAlign w:val="bottom"/>
          </w:tcPr>
          <w:p w14:paraId="2819D6ED" w14:textId="77777777" w:rsidR="004647B9" w:rsidRDefault="00E2436F">
            <w:pPr>
              <w:rPr>
                <w:sz w:val="20"/>
                <w:szCs w:val="20"/>
              </w:rPr>
            </w:pPr>
            <w:r>
              <w:rPr>
                <w:rFonts w:eastAsia="Times New Roman"/>
                <w:sz w:val="18"/>
                <w:szCs w:val="18"/>
              </w:rPr>
              <w:t>D-2972-97, 03B</w:t>
            </w:r>
          </w:p>
        </w:tc>
        <w:tc>
          <w:tcPr>
            <w:tcW w:w="1340" w:type="dxa"/>
            <w:gridSpan w:val="2"/>
            <w:vMerge/>
            <w:vAlign w:val="bottom"/>
          </w:tcPr>
          <w:p w14:paraId="2819D6EE" w14:textId="77777777" w:rsidR="004647B9" w:rsidRDefault="004647B9">
            <w:pPr>
              <w:rPr>
                <w:sz w:val="17"/>
                <w:szCs w:val="17"/>
              </w:rPr>
            </w:pPr>
          </w:p>
        </w:tc>
        <w:tc>
          <w:tcPr>
            <w:tcW w:w="1540" w:type="dxa"/>
            <w:gridSpan w:val="2"/>
            <w:vMerge/>
            <w:vAlign w:val="bottom"/>
          </w:tcPr>
          <w:p w14:paraId="2819D6EF" w14:textId="77777777" w:rsidR="004647B9" w:rsidRDefault="004647B9">
            <w:pPr>
              <w:rPr>
                <w:sz w:val="17"/>
                <w:szCs w:val="17"/>
              </w:rPr>
            </w:pPr>
          </w:p>
        </w:tc>
        <w:tc>
          <w:tcPr>
            <w:tcW w:w="460" w:type="dxa"/>
            <w:vAlign w:val="bottom"/>
          </w:tcPr>
          <w:p w14:paraId="2819D6F0" w14:textId="77777777" w:rsidR="004647B9" w:rsidRDefault="004647B9">
            <w:pPr>
              <w:rPr>
                <w:sz w:val="17"/>
                <w:szCs w:val="17"/>
              </w:rPr>
            </w:pPr>
          </w:p>
        </w:tc>
        <w:tc>
          <w:tcPr>
            <w:tcW w:w="740" w:type="dxa"/>
            <w:vAlign w:val="bottom"/>
          </w:tcPr>
          <w:p w14:paraId="2819D6F1" w14:textId="77777777" w:rsidR="004647B9" w:rsidRDefault="004647B9">
            <w:pPr>
              <w:rPr>
                <w:sz w:val="17"/>
                <w:szCs w:val="17"/>
              </w:rPr>
            </w:pPr>
          </w:p>
        </w:tc>
        <w:tc>
          <w:tcPr>
            <w:tcW w:w="0" w:type="dxa"/>
            <w:vAlign w:val="bottom"/>
          </w:tcPr>
          <w:p w14:paraId="2819D6F2" w14:textId="77777777" w:rsidR="004647B9" w:rsidRDefault="004647B9">
            <w:pPr>
              <w:rPr>
                <w:sz w:val="1"/>
                <w:szCs w:val="1"/>
              </w:rPr>
            </w:pPr>
          </w:p>
        </w:tc>
      </w:tr>
      <w:tr w:rsidR="004647B9" w14:paraId="2819D6FE" w14:textId="77777777">
        <w:trPr>
          <w:trHeight w:val="79"/>
        </w:trPr>
        <w:tc>
          <w:tcPr>
            <w:tcW w:w="1020" w:type="dxa"/>
            <w:vAlign w:val="bottom"/>
          </w:tcPr>
          <w:p w14:paraId="2819D6F4" w14:textId="77777777" w:rsidR="004647B9" w:rsidRDefault="004647B9">
            <w:pPr>
              <w:rPr>
                <w:sz w:val="6"/>
                <w:szCs w:val="6"/>
              </w:rPr>
            </w:pPr>
          </w:p>
        </w:tc>
        <w:tc>
          <w:tcPr>
            <w:tcW w:w="180" w:type="dxa"/>
            <w:vAlign w:val="bottom"/>
          </w:tcPr>
          <w:p w14:paraId="2819D6F5" w14:textId="77777777" w:rsidR="004647B9" w:rsidRDefault="004647B9">
            <w:pPr>
              <w:rPr>
                <w:sz w:val="6"/>
                <w:szCs w:val="6"/>
              </w:rPr>
            </w:pPr>
          </w:p>
        </w:tc>
        <w:tc>
          <w:tcPr>
            <w:tcW w:w="2600" w:type="dxa"/>
            <w:gridSpan w:val="2"/>
            <w:vMerge w:val="restart"/>
            <w:vAlign w:val="bottom"/>
          </w:tcPr>
          <w:p w14:paraId="2819D6F6" w14:textId="77777777" w:rsidR="004647B9" w:rsidRDefault="00E2436F">
            <w:pPr>
              <w:rPr>
                <w:sz w:val="20"/>
                <w:szCs w:val="20"/>
              </w:rPr>
            </w:pPr>
            <w:r>
              <w:rPr>
                <w:rFonts w:eastAsia="Times New Roman"/>
                <w:sz w:val="18"/>
                <w:szCs w:val="18"/>
              </w:rPr>
              <w:t>Inductively Coupled Plasma</w:t>
            </w:r>
            <w:r>
              <w:rPr>
                <w:rFonts w:eastAsia="Times New Roman"/>
                <w:sz w:val="24"/>
                <w:szCs w:val="24"/>
                <w:vertAlign w:val="superscript"/>
              </w:rPr>
              <w:t>13</w:t>
            </w:r>
          </w:p>
        </w:tc>
        <w:tc>
          <w:tcPr>
            <w:tcW w:w="900" w:type="dxa"/>
            <w:gridSpan w:val="2"/>
            <w:vMerge w:val="restart"/>
            <w:vAlign w:val="bottom"/>
          </w:tcPr>
          <w:p w14:paraId="2819D6F7" w14:textId="77777777" w:rsidR="004647B9" w:rsidRDefault="00E2436F">
            <w:pPr>
              <w:rPr>
                <w:sz w:val="20"/>
                <w:szCs w:val="20"/>
              </w:rPr>
            </w:pPr>
            <w:r>
              <w:rPr>
                <w:rFonts w:eastAsia="Times New Roman"/>
                <w:sz w:val="24"/>
                <w:szCs w:val="24"/>
                <w:vertAlign w:val="superscript"/>
              </w:rPr>
              <w:t>2</w:t>
            </w:r>
            <w:r>
              <w:rPr>
                <w:rFonts w:eastAsia="Times New Roman"/>
                <w:sz w:val="18"/>
                <w:szCs w:val="18"/>
              </w:rPr>
              <w:t>200.7</w:t>
            </w:r>
          </w:p>
        </w:tc>
        <w:tc>
          <w:tcPr>
            <w:tcW w:w="1720" w:type="dxa"/>
            <w:gridSpan w:val="2"/>
            <w:vMerge/>
            <w:vAlign w:val="bottom"/>
          </w:tcPr>
          <w:p w14:paraId="2819D6F8" w14:textId="77777777" w:rsidR="004647B9" w:rsidRDefault="004647B9">
            <w:pPr>
              <w:rPr>
                <w:sz w:val="6"/>
                <w:szCs w:val="6"/>
              </w:rPr>
            </w:pPr>
          </w:p>
        </w:tc>
        <w:tc>
          <w:tcPr>
            <w:tcW w:w="1340" w:type="dxa"/>
            <w:gridSpan w:val="2"/>
            <w:vMerge w:val="restart"/>
            <w:vAlign w:val="bottom"/>
          </w:tcPr>
          <w:p w14:paraId="2819D6F9" w14:textId="77777777" w:rsidR="004647B9" w:rsidRDefault="00E2436F">
            <w:pPr>
              <w:rPr>
                <w:sz w:val="20"/>
                <w:szCs w:val="20"/>
              </w:rPr>
            </w:pPr>
            <w:r>
              <w:rPr>
                <w:rFonts w:eastAsia="Times New Roman"/>
                <w:sz w:val="18"/>
                <w:szCs w:val="18"/>
              </w:rPr>
              <w:t>3120B</w:t>
            </w:r>
            <w:r>
              <w:rPr>
                <w:rFonts w:eastAsia="Times New Roman"/>
                <w:sz w:val="24"/>
                <w:szCs w:val="24"/>
                <w:vertAlign w:val="superscript"/>
              </w:rPr>
              <w:t>5</w:t>
            </w:r>
          </w:p>
        </w:tc>
        <w:tc>
          <w:tcPr>
            <w:tcW w:w="1540" w:type="dxa"/>
            <w:gridSpan w:val="2"/>
            <w:vMerge w:val="restart"/>
            <w:vAlign w:val="bottom"/>
          </w:tcPr>
          <w:p w14:paraId="2819D6FA" w14:textId="77777777" w:rsidR="004647B9" w:rsidRDefault="00E2436F">
            <w:pPr>
              <w:rPr>
                <w:sz w:val="20"/>
                <w:szCs w:val="20"/>
              </w:rPr>
            </w:pPr>
            <w:r>
              <w:rPr>
                <w:rFonts w:eastAsia="Times New Roman"/>
                <w:sz w:val="18"/>
                <w:szCs w:val="18"/>
              </w:rPr>
              <w:t>3120 B-99</w:t>
            </w:r>
          </w:p>
        </w:tc>
        <w:tc>
          <w:tcPr>
            <w:tcW w:w="460" w:type="dxa"/>
            <w:vAlign w:val="bottom"/>
          </w:tcPr>
          <w:p w14:paraId="2819D6FB" w14:textId="77777777" w:rsidR="004647B9" w:rsidRDefault="004647B9">
            <w:pPr>
              <w:rPr>
                <w:sz w:val="6"/>
                <w:szCs w:val="6"/>
              </w:rPr>
            </w:pPr>
          </w:p>
        </w:tc>
        <w:tc>
          <w:tcPr>
            <w:tcW w:w="740" w:type="dxa"/>
            <w:vAlign w:val="bottom"/>
          </w:tcPr>
          <w:p w14:paraId="2819D6FC" w14:textId="77777777" w:rsidR="004647B9" w:rsidRDefault="004647B9">
            <w:pPr>
              <w:rPr>
                <w:sz w:val="6"/>
                <w:szCs w:val="6"/>
              </w:rPr>
            </w:pPr>
          </w:p>
        </w:tc>
        <w:tc>
          <w:tcPr>
            <w:tcW w:w="0" w:type="dxa"/>
            <w:vAlign w:val="bottom"/>
          </w:tcPr>
          <w:p w14:paraId="2819D6FD" w14:textId="77777777" w:rsidR="004647B9" w:rsidRDefault="004647B9">
            <w:pPr>
              <w:rPr>
                <w:sz w:val="1"/>
                <w:szCs w:val="1"/>
              </w:rPr>
            </w:pPr>
          </w:p>
        </w:tc>
      </w:tr>
      <w:tr w:rsidR="004647B9" w14:paraId="2819D70A" w14:textId="77777777">
        <w:trPr>
          <w:trHeight w:val="200"/>
        </w:trPr>
        <w:tc>
          <w:tcPr>
            <w:tcW w:w="1020" w:type="dxa"/>
            <w:vAlign w:val="bottom"/>
          </w:tcPr>
          <w:p w14:paraId="2819D6FF" w14:textId="77777777" w:rsidR="004647B9" w:rsidRDefault="004647B9">
            <w:pPr>
              <w:rPr>
                <w:sz w:val="17"/>
                <w:szCs w:val="17"/>
              </w:rPr>
            </w:pPr>
          </w:p>
        </w:tc>
        <w:tc>
          <w:tcPr>
            <w:tcW w:w="180" w:type="dxa"/>
            <w:vAlign w:val="bottom"/>
          </w:tcPr>
          <w:p w14:paraId="2819D700" w14:textId="77777777" w:rsidR="004647B9" w:rsidRDefault="004647B9">
            <w:pPr>
              <w:rPr>
                <w:sz w:val="17"/>
                <w:szCs w:val="17"/>
              </w:rPr>
            </w:pPr>
          </w:p>
        </w:tc>
        <w:tc>
          <w:tcPr>
            <w:tcW w:w="2600" w:type="dxa"/>
            <w:gridSpan w:val="2"/>
            <w:vMerge/>
            <w:vAlign w:val="bottom"/>
          </w:tcPr>
          <w:p w14:paraId="2819D701" w14:textId="77777777" w:rsidR="004647B9" w:rsidRDefault="004647B9">
            <w:pPr>
              <w:rPr>
                <w:sz w:val="17"/>
                <w:szCs w:val="17"/>
              </w:rPr>
            </w:pPr>
          </w:p>
        </w:tc>
        <w:tc>
          <w:tcPr>
            <w:tcW w:w="900" w:type="dxa"/>
            <w:gridSpan w:val="2"/>
            <w:vMerge/>
            <w:vAlign w:val="bottom"/>
          </w:tcPr>
          <w:p w14:paraId="2819D702" w14:textId="77777777" w:rsidR="004647B9" w:rsidRDefault="004647B9">
            <w:pPr>
              <w:rPr>
                <w:sz w:val="17"/>
                <w:szCs w:val="17"/>
              </w:rPr>
            </w:pPr>
          </w:p>
        </w:tc>
        <w:tc>
          <w:tcPr>
            <w:tcW w:w="560" w:type="dxa"/>
            <w:vAlign w:val="bottom"/>
          </w:tcPr>
          <w:p w14:paraId="2819D703" w14:textId="77777777" w:rsidR="004647B9" w:rsidRDefault="004647B9">
            <w:pPr>
              <w:rPr>
                <w:sz w:val="17"/>
                <w:szCs w:val="17"/>
              </w:rPr>
            </w:pPr>
          </w:p>
        </w:tc>
        <w:tc>
          <w:tcPr>
            <w:tcW w:w="1160" w:type="dxa"/>
            <w:vAlign w:val="bottom"/>
          </w:tcPr>
          <w:p w14:paraId="2819D704" w14:textId="77777777" w:rsidR="004647B9" w:rsidRDefault="004647B9">
            <w:pPr>
              <w:rPr>
                <w:sz w:val="17"/>
                <w:szCs w:val="17"/>
              </w:rPr>
            </w:pPr>
          </w:p>
        </w:tc>
        <w:tc>
          <w:tcPr>
            <w:tcW w:w="1340" w:type="dxa"/>
            <w:gridSpan w:val="2"/>
            <w:vMerge/>
            <w:vAlign w:val="bottom"/>
          </w:tcPr>
          <w:p w14:paraId="2819D705" w14:textId="77777777" w:rsidR="004647B9" w:rsidRDefault="004647B9">
            <w:pPr>
              <w:rPr>
                <w:sz w:val="17"/>
                <w:szCs w:val="17"/>
              </w:rPr>
            </w:pPr>
          </w:p>
        </w:tc>
        <w:tc>
          <w:tcPr>
            <w:tcW w:w="1540" w:type="dxa"/>
            <w:gridSpan w:val="2"/>
            <w:vMerge/>
            <w:vAlign w:val="bottom"/>
          </w:tcPr>
          <w:p w14:paraId="2819D706" w14:textId="77777777" w:rsidR="004647B9" w:rsidRDefault="004647B9">
            <w:pPr>
              <w:rPr>
                <w:sz w:val="17"/>
                <w:szCs w:val="17"/>
              </w:rPr>
            </w:pPr>
          </w:p>
        </w:tc>
        <w:tc>
          <w:tcPr>
            <w:tcW w:w="460" w:type="dxa"/>
            <w:vAlign w:val="bottom"/>
          </w:tcPr>
          <w:p w14:paraId="2819D707" w14:textId="77777777" w:rsidR="004647B9" w:rsidRDefault="004647B9">
            <w:pPr>
              <w:rPr>
                <w:sz w:val="17"/>
                <w:szCs w:val="17"/>
              </w:rPr>
            </w:pPr>
          </w:p>
        </w:tc>
        <w:tc>
          <w:tcPr>
            <w:tcW w:w="740" w:type="dxa"/>
            <w:vAlign w:val="bottom"/>
          </w:tcPr>
          <w:p w14:paraId="2819D708" w14:textId="77777777" w:rsidR="004647B9" w:rsidRDefault="004647B9">
            <w:pPr>
              <w:rPr>
                <w:sz w:val="17"/>
                <w:szCs w:val="17"/>
              </w:rPr>
            </w:pPr>
          </w:p>
        </w:tc>
        <w:tc>
          <w:tcPr>
            <w:tcW w:w="0" w:type="dxa"/>
            <w:vAlign w:val="bottom"/>
          </w:tcPr>
          <w:p w14:paraId="2819D709" w14:textId="77777777" w:rsidR="004647B9" w:rsidRDefault="004647B9">
            <w:pPr>
              <w:rPr>
                <w:sz w:val="1"/>
                <w:szCs w:val="1"/>
              </w:rPr>
            </w:pPr>
          </w:p>
        </w:tc>
      </w:tr>
      <w:tr w:rsidR="004647B9" w14:paraId="2819D718" w14:textId="77777777">
        <w:trPr>
          <w:trHeight w:val="281"/>
        </w:trPr>
        <w:tc>
          <w:tcPr>
            <w:tcW w:w="1020" w:type="dxa"/>
            <w:vAlign w:val="bottom"/>
          </w:tcPr>
          <w:p w14:paraId="2819D70B" w14:textId="77777777" w:rsidR="004647B9" w:rsidRDefault="004647B9">
            <w:pPr>
              <w:rPr>
                <w:sz w:val="24"/>
                <w:szCs w:val="24"/>
              </w:rPr>
            </w:pPr>
          </w:p>
        </w:tc>
        <w:tc>
          <w:tcPr>
            <w:tcW w:w="180" w:type="dxa"/>
            <w:vAlign w:val="bottom"/>
          </w:tcPr>
          <w:p w14:paraId="2819D70C" w14:textId="77777777" w:rsidR="004647B9" w:rsidRDefault="004647B9">
            <w:pPr>
              <w:rPr>
                <w:sz w:val="24"/>
                <w:szCs w:val="24"/>
              </w:rPr>
            </w:pPr>
          </w:p>
        </w:tc>
        <w:tc>
          <w:tcPr>
            <w:tcW w:w="2600" w:type="dxa"/>
            <w:gridSpan w:val="2"/>
            <w:vAlign w:val="bottom"/>
          </w:tcPr>
          <w:p w14:paraId="2819D70D" w14:textId="77777777" w:rsidR="004647B9" w:rsidRDefault="00E2436F">
            <w:pPr>
              <w:rPr>
                <w:sz w:val="20"/>
                <w:szCs w:val="20"/>
              </w:rPr>
            </w:pPr>
            <w:r>
              <w:rPr>
                <w:rFonts w:eastAsia="Times New Roman"/>
                <w:sz w:val="18"/>
                <w:szCs w:val="18"/>
              </w:rPr>
              <w:t>ICP-Mass Spectrometry</w:t>
            </w:r>
          </w:p>
        </w:tc>
        <w:tc>
          <w:tcPr>
            <w:tcW w:w="900" w:type="dxa"/>
            <w:gridSpan w:val="2"/>
            <w:vAlign w:val="bottom"/>
          </w:tcPr>
          <w:p w14:paraId="2819D70E"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560" w:type="dxa"/>
            <w:vAlign w:val="bottom"/>
          </w:tcPr>
          <w:p w14:paraId="2819D70F" w14:textId="77777777" w:rsidR="004647B9" w:rsidRDefault="004647B9">
            <w:pPr>
              <w:rPr>
                <w:sz w:val="24"/>
                <w:szCs w:val="24"/>
              </w:rPr>
            </w:pPr>
          </w:p>
        </w:tc>
        <w:tc>
          <w:tcPr>
            <w:tcW w:w="1160" w:type="dxa"/>
            <w:vAlign w:val="bottom"/>
          </w:tcPr>
          <w:p w14:paraId="2819D710" w14:textId="77777777" w:rsidR="004647B9" w:rsidRDefault="004647B9">
            <w:pPr>
              <w:rPr>
                <w:sz w:val="24"/>
                <w:szCs w:val="24"/>
              </w:rPr>
            </w:pPr>
          </w:p>
        </w:tc>
        <w:tc>
          <w:tcPr>
            <w:tcW w:w="280" w:type="dxa"/>
            <w:vAlign w:val="bottom"/>
          </w:tcPr>
          <w:p w14:paraId="2819D711" w14:textId="77777777" w:rsidR="004647B9" w:rsidRDefault="004647B9">
            <w:pPr>
              <w:rPr>
                <w:sz w:val="24"/>
                <w:szCs w:val="24"/>
              </w:rPr>
            </w:pPr>
          </w:p>
        </w:tc>
        <w:tc>
          <w:tcPr>
            <w:tcW w:w="1060" w:type="dxa"/>
            <w:vAlign w:val="bottom"/>
          </w:tcPr>
          <w:p w14:paraId="2819D712" w14:textId="77777777" w:rsidR="004647B9" w:rsidRDefault="004647B9">
            <w:pPr>
              <w:rPr>
                <w:sz w:val="24"/>
                <w:szCs w:val="24"/>
              </w:rPr>
            </w:pPr>
          </w:p>
        </w:tc>
        <w:tc>
          <w:tcPr>
            <w:tcW w:w="880" w:type="dxa"/>
            <w:vAlign w:val="bottom"/>
          </w:tcPr>
          <w:p w14:paraId="2819D713" w14:textId="77777777" w:rsidR="004647B9" w:rsidRDefault="004647B9">
            <w:pPr>
              <w:rPr>
                <w:sz w:val="24"/>
                <w:szCs w:val="24"/>
              </w:rPr>
            </w:pPr>
          </w:p>
        </w:tc>
        <w:tc>
          <w:tcPr>
            <w:tcW w:w="660" w:type="dxa"/>
            <w:vAlign w:val="bottom"/>
          </w:tcPr>
          <w:p w14:paraId="2819D714" w14:textId="77777777" w:rsidR="004647B9" w:rsidRDefault="004647B9">
            <w:pPr>
              <w:rPr>
                <w:sz w:val="24"/>
                <w:szCs w:val="24"/>
              </w:rPr>
            </w:pPr>
          </w:p>
        </w:tc>
        <w:tc>
          <w:tcPr>
            <w:tcW w:w="460" w:type="dxa"/>
            <w:vAlign w:val="bottom"/>
          </w:tcPr>
          <w:p w14:paraId="2819D715" w14:textId="77777777" w:rsidR="004647B9" w:rsidRDefault="004647B9">
            <w:pPr>
              <w:rPr>
                <w:sz w:val="24"/>
                <w:szCs w:val="24"/>
              </w:rPr>
            </w:pPr>
          </w:p>
        </w:tc>
        <w:tc>
          <w:tcPr>
            <w:tcW w:w="740" w:type="dxa"/>
            <w:vAlign w:val="bottom"/>
          </w:tcPr>
          <w:p w14:paraId="2819D716" w14:textId="77777777" w:rsidR="004647B9" w:rsidRDefault="004647B9">
            <w:pPr>
              <w:rPr>
                <w:sz w:val="24"/>
                <w:szCs w:val="24"/>
              </w:rPr>
            </w:pPr>
          </w:p>
        </w:tc>
        <w:tc>
          <w:tcPr>
            <w:tcW w:w="0" w:type="dxa"/>
            <w:vAlign w:val="bottom"/>
          </w:tcPr>
          <w:p w14:paraId="2819D717" w14:textId="77777777" w:rsidR="004647B9" w:rsidRDefault="004647B9">
            <w:pPr>
              <w:rPr>
                <w:sz w:val="1"/>
                <w:szCs w:val="1"/>
              </w:rPr>
            </w:pPr>
          </w:p>
        </w:tc>
      </w:tr>
      <w:tr w:rsidR="004647B9" w14:paraId="2819D726" w14:textId="77777777">
        <w:trPr>
          <w:trHeight w:val="278"/>
        </w:trPr>
        <w:tc>
          <w:tcPr>
            <w:tcW w:w="1020" w:type="dxa"/>
            <w:vAlign w:val="bottom"/>
          </w:tcPr>
          <w:p w14:paraId="2819D719" w14:textId="77777777" w:rsidR="004647B9" w:rsidRDefault="004647B9">
            <w:pPr>
              <w:rPr>
                <w:sz w:val="24"/>
                <w:szCs w:val="24"/>
              </w:rPr>
            </w:pPr>
          </w:p>
        </w:tc>
        <w:tc>
          <w:tcPr>
            <w:tcW w:w="180" w:type="dxa"/>
            <w:vAlign w:val="bottom"/>
          </w:tcPr>
          <w:p w14:paraId="2819D71A" w14:textId="77777777" w:rsidR="004647B9" w:rsidRDefault="004647B9">
            <w:pPr>
              <w:rPr>
                <w:sz w:val="24"/>
                <w:szCs w:val="24"/>
              </w:rPr>
            </w:pPr>
          </w:p>
        </w:tc>
        <w:tc>
          <w:tcPr>
            <w:tcW w:w="2600" w:type="dxa"/>
            <w:gridSpan w:val="2"/>
            <w:vAlign w:val="bottom"/>
          </w:tcPr>
          <w:p w14:paraId="2819D71B" w14:textId="77777777" w:rsidR="004647B9" w:rsidRDefault="00E2436F">
            <w:pPr>
              <w:rPr>
                <w:sz w:val="20"/>
                <w:szCs w:val="20"/>
              </w:rPr>
            </w:pPr>
            <w:r>
              <w:rPr>
                <w:rFonts w:eastAsia="Times New Roman"/>
                <w:sz w:val="18"/>
                <w:szCs w:val="18"/>
              </w:rPr>
              <w:t>Atomic Absorption;  Platform</w:t>
            </w:r>
          </w:p>
        </w:tc>
        <w:tc>
          <w:tcPr>
            <w:tcW w:w="900" w:type="dxa"/>
            <w:gridSpan w:val="2"/>
            <w:vAlign w:val="bottom"/>
          </w:tcPr>
          <w:p w14:paraId="2819D71C"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560" w:type="dxa"/>
            <w:vAlign w:val="bottom"/>
          </w:tcPr>
          <w:p w14:paraId="2819D71D" w14:textId="77777777" w:rsidR="004647B9" w:rsidRDefault="004647B9">
            <w:pPr>
              <w:rPr>
                <w:sz w:val="24"/>
                <w:szCs w:val="24"/>
              </w:rPr>
            </w:pPr>
          </w:p>
        </w:tc>
        <w:tc>
          <w:tcPr>
            <w:tcW w:w="1160" w:type="dxa"/>
            <w:vAlign w:val="bottom"/>
          </w:tcPr>
          <w:p w14:paraId="2819D71E" w14:textId="77777777" w:rsidR="004647B9" w:rsidRDefault="004647B9">
            <w:pPr>
              <w:rPr>
                <w:sz w:val="24"/>
                <w:szCs w:val="24"/>
              </w:rPr>
            </w:pPr>
          </w:p>
        </w:tc>
        <w:tc>
          <w:tcPr>
            <w:tcW w:w="280" w:type="dxa"/>
            <w:vAlign w:val="bottom"/>
          </w:tcPr>
          <w:p w14:paraId="2819D71F" w14:textId="77777777" w:rsidR="004647B9" w:rsidRDefault="004647B9">
            <w:pPr>
              <w:rPr>
                <w:sz w:val="24"/>
                <w:szCs w:val="24"/>
              </w:rPr>
            </w:pPr>
          </w:p>
        </w:tc>
        <w:tc>
          <w:tcPr>
            <w:tcW w:w="1060" w:type="dxa"/>
            <w:vAlign w:val="bottom"/>
          </w:tcPr>
          <w:p w14:paraId="2819D720" w14:textId="77777777" w:rsidR="004647B9" w:rsidRDefault="004647B9">
            <w:pPr>
              <w:rPr>
                <w:sz w:val="24"/>
                <w:szCs w:val="24"/>
              </w:rPr>
            </w:pPr>
          </w:p>
        </w:tc>
        <w:tc>
          <w:tcPr>
            <w:tcW w:w="880" w:type="dxa"/>
            <w:vAlign w:val="bottom"/>
          </w:tcPr>
          <w:p w14:paraId="2819D721" w14:textId="77777777" w:rsidR="004647B9" w:rsidRDefault="004647B9">
            <w:pPr>
              <w:rPr>
                <w:sz w:val="24"/>
                <w:szCs w:val="24"/>
              </w:rPr>
            </w:pPr>
          </w:p>
        </w:tc>
        <w:tc>
          <w:tcPr>
            <w:tcW w:w="660" w:type="dxa"/>
            <w:vAlign w:val="bottom"/>
          </w:tcPr>
          <w:p w14:paraId="2819D722" w14:textId="77777777" w:rsidR="004647B9" w:rsidRDefault="004647B9">
            <w:pPr>
              <w:rPr>
                <w:sz w:val="24"/>
                <w:szCs w:val="24"/>
              </w:rPr>
            </w:pPr>
          </w:p>
        </w:tc>
        <w:tc>
          <w:tcPr>
            <w:tcW w:w="460" w:type="dxa"/>
            <w:vAlign w:val="bottom"/>
          </w:tcPr>
          <w:p w14:paraId="2819D723" w14:textId="77777777" w:rsidR="004647B9" w:rsidRDefault="004647B9">
            <w:pPr>
              <w:rPr>
                <w:sz w:val="24"/>
                <w:szCs w:val="24"/>
              </w:rPr>
            </w:pPr>
          </w:p>
        </w:tc>
        <w:tc>
          <w:tcPr>
            <w:tcW w:w="740" w:type="dxa"/>
            <w:vAlign w:val="bottom"/>
          </w:tcPr>
          <w:p w14:paraId="2819D724" w14:textId="77777777" w:rsidR="004647B9" w:rsidRDefault="004647B9">
            <w:pPr>
              <w:rPr>
                <w:sz w:val="24"/>
                <w:szCs w:val="24"/>
              </w:rPr>
            </w:pPr>
          </w:p>
        </w:tc>
        <w:tc>
          <w:tcPr>
            <w:tcW w:w="0" w:type="dxa"/>
            <w:vAlign w:val="bottom"/>
          </w:tcPr>
          <w:p w14:paraId="2819D725" w14:textId="77777777" w:rsidR="004647B9" w:rsidRDefault="004647B9">
            <w:pPr>
              <w:rPr>
                <w:sz w:val="1"/>
                <w:szCs w:val="1"/>
              </w:rPr>
            </w:pPr>
          </w:p>
        </w:tc>
      </w:tr>
      <w:tr w:rsidR="004647B9" w14:paraId="2819D735" w14:textId="77777777">
        <w:trPr>
          <w:trHeight w:val="280"/>
        </w:trPr>
        <w:tc>
          <w:tcPr>
            <w:tcW w:w="1020" w:type="dxa"/>
            <w:vAlign w:val="bottom"/>
          </w:tcPr>
          <w:p w14:paraId="2819D727" w14:textId="77777777" w:rsidR="004647B9" w:rsidRDefault="004647B9">
            <w:pPr>
              <w:rPr>
                <w:sz w:val="24"/>
                <w:szCs w:val="24"/>
              </w:rPr>
            </w:pPr>
          </w:p>
        </w:tc>
        <w:tc>
          <w:tcPr>
            <w:tcW w:w="180" w:type="dxa"/>
            <w:vAlign w:val="bottom"/>
          </w:tcPr>
          <w:p w14:paraId="2819D728" w14:textId="77777777" w:rsidR="004647B9" w:rsidRDefault="004647B9">
            <w:pPr>
              <w:rPr>
                <w:sz w:val="24"/>
                <w:szCs w:val="24"/>
              </w:rPr>
            </w:pPr>
          </w:p>
        </w:tc>
        <w:tc>
          <w:tcPr>
            <w:tcW w:w="2600" w:type="dxa"/>
            <w:gridSpan w:val="2"/>
            <w:vAlign w:val="bottom"/>
          </w:tcPr>
          <w:p w14:paraId="2819D729" w14:textId="77777777" w:rsidR="004647B9" w:rsidRDefault="00E2436F">
            <w:pPr>
              <w:rPr>
                <w:sz w:val="20"/>
                <w:szCs w:val="20"/>
              </w:rPr>
            </w:pPr>
            <w:r>
              <w:rPr>
                <w:rFonts w:eastAsia="Times New Roman"/>
                <w:sz w:val="18"/>
                <w:szCs w:val="18"/>
              </w:rPr>
              <w:t>Differential Pulse Anodic</w:t>
            </w:r>
          </w:p>
        </w:tc>
        <w:tc>
          <w:tcPr>
            <w:tcW w:w="380" w:type="dxa"/>
            <w:vAlign w:val="bottom"/>
          </w:tcPr>
          <w:p w14:paraId="2819D72A" w14:textId="77777777" w:rsidR="004647B9" w:rsidRDefault="004647B9">
            <w:pPr>
              <w:rPr>
                <w:sz w:val="24"/>
                <w:szCs w:val="24"/>
              </w:rPr>
            </w:pPr>
          </w:p>
        </w:tc>
        <w:tc>
          <w:tcPr>
            <w:tcW w:w="520" w:type="dxa"/>
            <w:vAlign w:val="bottom"/>
          </w:tcPr>
          <w:p w14:paraId="2819D72B" w14:textId="77777777" w:rsidR="004647B9" w:rsidRDefault="004647B9">
            <w:pPr>
              <w:rPr>
                <w:sz w:val="24"/>
                <w:szCs w:val="24"/>
              </w:rPr>
            </w:pPr>
          </w:p>
        </w:tc>
        <w:tc>
          <w:tcPr>
            <w:tcW w:w="560" w:type="dxa"/>
            <w:vAlign w:val="bottom"/>
          </w:tcPr>
          <w:p w14:paraId="2819D72C" w14:textId="77777777" w:rsidR="004647B9" w:rsidRDefault="004647B9">
            <w:pPr>
              <w:rPr>
                <w:sz w:val="24"/>
                <w:szCs w:val="24"/>
              </w:rPr>
            </w:pPr>
          </w:p>
        </w:tc>
        <w:tc>
          <w:tcPr>
            <w:tcW w:w="1160" w:type="dxa"/>
            <w:vAlign w:val="bottom"/>
          </w:tcPr>
          <w:p w14:paraId="2819D72D" w14:textId="77777777" w:rsidR="004647B9" w:rsidRDefault="004647B9">
            <w:pPr>
              <w:rPr>
                <w:sz w:val="24"/>
                <w:szCs w:val="24"/>
              </w:rPr>
            </w:pPr>
          </w:p>
        </w:tc>
        <w:tc>
          <w:tcPr>
            <w:tcW w:w="280" w:type="dxa"/>
            <w:vAlign w:val="bottom"/>
          </w:tcPr>
          <w:p w14:paraId="2819D72E" w14:textId="77777777" w:rsidR="004647B9" w:rsidRDefault="004647B9">
            <w:pPr>
              <w:rPr>
                <w:sz w:val="24"/>
                <w:szCs w:val="24"/>
              </w:rPr>
            </w:pPr>
          </w:p>
        </w:tc>
        <w:tc>
          <w:tcPr>
            <w:tcW w:w="1060" w:type="dxa"/>
            <w:vAlign w:val="bottom"/>
          </w:tcPr>
          <w:p w14:paraId="2819D72F" w14:textId="77777777" w:rsidR="004647B9" w:rsidRDefault="004647B9">
            <w:pPr>
              <w:rPr>
                <w:sz w:val="24"/>
                <w:szCs w:val="24"/>
              </w:rPr>
            </w:pPr>
          </w:p>
        </w:tc>
        <w:tc>
          <w:tcPr>
            <w:tcW w:w="880" w:type="dxa"/>
            <w:vAlign w:val="bottom"/>
          </w:tcPr>
          <w:p w14:paraId="2819D730" w14:textId="77777777" w:rsidR="004647B9" w:rsidRDefault="004647B9">
            <w:pPr>
              <w:rPr>
                <w:sz w:val="24"/>
                <w:szCs w:val="24"/>
              </w:rPr>
            </w:pPr>
          </w:p>
        </w:tc>
        <w:tc>
          <w:tcPr>
            <w:tcW w:w="660" w:type="dxa"/>
            <w:vAlign w:val="bottom"/>
          </w:tcPr>
          <w:p w14:paraId="2819D731" w14:textId="77777777" w:rsidR="004647B9" w:rsidRDefault="004647B9">
            <w:pPr>
              <w:rPr>
                <w:sz w:val="24"/>
                <w:szCs w:val="24"/>
              </w:rPr>
            </w:pPr>
          </w:p>
        </w:tc>
        <w:tc>
          <w:tcPr>
            <w:tcW w:w="460" w:type="dxa"/>
            <w:vAlign w:val="bottom"/>
          </w:tcPr>
          <w:p w14:paraId="2819D732" w14:textId="77777777" w:rsidR="004647B9" w:rsidRDefault="004647B9">
            <w:pPr>
              <w:rPr>
                <w:sz w:val="24"/>
                <w:szCs w:val="24"/>
              </w:rPr>
            </w:pPr>
          </w:p>
        </w:tc>
        <w:tc>
          <w:tcPr>
            <w:tcW w:w="740" w:type="dxa"/>
            <w:vAlign w:val="bottom"/>
          </w:tcPr>
          <w:p w14:paraId="2819D733" w14:textId="77777777" w:rsidR="004647B9" w:rsidRDefault="004647B9">
            <w:pPr>
              <w:rPr>
                <w:sz w:val="24"/>
                <w:szCs w:val="24"/>
              </w:rPr>
            </w:pPr>
          </w:p>
        </w:tc>
        <w:tc>
          <w:tcPr>
            <w:tcW w:w="0" w:type="dxa"/>
            <w:vAlign w:val="bottom"/>
          </w:tcPr>
          <w:p w14:paraId="2819D734" w14:textId="77777777" w:rsidR="004647B9" w:rsidRDefault="004647B9">
            <w:pPr>
              <w:rPr>
                <w:sz w:val="1"/>
                <w:szCs w:val="1"/>
              </w:rPr>
            </w:pPr>
          </w:p>
        </w:tc>
      </w:tr>
      <w:tr w:rsidR="004647B9" w14:paraId="2819D743" w14:textId="77777777">
        <w:trPr>
          <w:trHeight w:val="279"/>
        </w:trPr>
        <w:tc>
          <w:tcPr>
            <w:tcW w:w="1020" w:type="dxa"/>
            <w:vAlign w:val="bottom"/>
          </w:tcPr>
          <w:p w14:paraId="2819D736" w14:textId="77777777" w:rsidR="004647B9" w:rsidRDefault="004647B9">
            <w:pPr>
              <w:rPr>
                <w:sz w:val="24"/>
                <w:szCs w:val="24"/>
              </w:rPr>
            </w:pPr>
          </w:p>
        </w:tc>
        <w:tc>
          <w:tcPr>
            <w:tcW w:w="180" w:type="dxa"/>
            <w:vAlign w:val="bottom"/>
          </w:tcPr>
          <w:p w14:paraId="2819D737" w14:textId="77777777" w:rsidR="004647B9" w:rsidRDefault="004647B9">
            <w:pPr>
              <w:rPr>
                <w:sz w:val="24"/>
                <w:szCs w:val="24"/>
              </w:rPr>
            </w:pPr>
          </w:p>
        </w:tc>
        <w:tc>
          <w:tcPr>
            <w:tcW w:w="2600" w:type="dxa"/>
            <w:gridSpan w:val="2"/>
            <w:vAlign w:val="bottom"/>
          </w:tcPr>
          <w:p w14:paraId="2819D738" w14:textId="77777777" w:rsidR="004647B9" w:rsidRDefault="00E2436F">
            <w:pPr>
              <w:rPr>
                <w:sz w:val="20"/>
                <w:szCs w:val="20"/>
              </w:rPr>
            </w:pPr>
            <w:r>
              <w:rPr>
                <w:rFonts w:eastAsia="Times New Roman"/>
                <w:sz w:val="18"/>
                <w:szCs w:val="18"/>
              </w:rPr>
              <w:t>Stripping Voltametry</w:t>
            </w:r>
          </w:p>
        </w:tc>
        <w:tc>
          <w:tcPr>
            <w:tcW w:w="380" w:type="dxa"/>
            <w:vAlign w:val="bottom"/>
          </w:tcPr>
          <w:p w14:paraId="2819D739" w14:textId="77777777" w:rsidR="004647B9" w:rsidRDefault="004647B9">
            <w:pPr>
              <w:rPr>
                <w:sz w:val="24"/>
                <w:szCs w:val="24"/>
              </w:rPr>
            </w:pPr>
          </w:p>
        </w:tc>
        <w:tc>
          <w:tcPr>
            <w:tcW w:w="520" w:type="dxa"/>
            <w:vAlign w:val="bottom"/>
          </w:tcPr>
          <w:p w14:paraId="2819D73A" w14:textId="77777777" w:rsidR="004647B9" w:rsidRDefault="004647B9">
            <w:pPr>
              <w:rPr>
                <w:sz w:val="24"/>
                <w:szCs w:val="24"/>
              </w:rPr>
            </w:pPr>
          </w:p>
        </w:tc>
        <w:tc>
          <w:tcPr>
            <w:tcW w:w="560" w:type="dxa"/>
            <w:vAlign w:val="bottom"/>
          </w:tcPr>
          <w:p w14:paraId="2819D73B" w14:textId="77777777" w:rsidR="004647B9" w:rsidRDefault="004647B9">
            <w:pPr>
              <w:rPr>
                <w:sz w:val="24"/>
                <w:szCs w:val="24"/>
              </w:rPr>
            </w:pPr>
          </w:p>
        </w:tc>
        <w:tc>
          <w:tcPr>
            <w:tcW w:w="1160" w:type="dxa"/>
            <w:vAlign w:val="bottom"/>
          </w:tcPr>
          <w:p w14:paraId="2819D73C" w14:textId="77777777" w:rsidR="004647B9" w:rsidRDefault="004647B9">
            <w:pPr>
              <w:rPr>
                <w:sz w:val="24"/>
                <w:szCs w:val="24"/>
              </w:rPr>
            </w:pPr>
          </w:p>
        </w:tc>
        <w:tc>
          <w:tcPr>
            <w:tcW w:w="280" w:type="dxa"/>
            <w:vAlign w:val="bottom"/>
          </w:tcPr>
          <w:p w14:paraId="2819D73D" w14:textId="77777777" w:rsidR="004647B9" w:rsidRDefault="004647B9">
            <w:pPr>
              <w:rPr>
                <w:sz w:val="24"/>
                <w:szCs w:val="24"/>
              </w:rPr>
            </w:pPr>
          </w:p>
        </w:tc>
        <w:tc>
          <w:tcPr>
            <w:tcW w:w="1060" w:type="dxa"/>
            <w:vAlign w:val="bottom"/>
          </w:tcPr>
          <w:p w14:paraId="2819D73E" w14:textId="77777777" w:rsidR="004647B9" w:rsidRDefault="004647B9">
            <w:pPr>
              <w:rPr>
                <w:sz w:val="24"/>
                <w:szCs w:val="24"/>
              </w:rPr>
            </w:pPr>
          </w:p>
        </w:tc>
        <w:tc>
          <w:tcPr>
            <w:tcW w:w="880" w:type="dxa"/>
            <w:vAlign w:val="bottom"/>
          </w:tcPr>
          <w:p w14:paraId="2819D73F" w14:textId="77777777" w:rsidR="004647B9" w:rsidRDefault="004647B9">
            <w:pPr>
              <w:rPr>
                <w:sz w:val="24"/>
                <w:szCs w:val="24"/>
              </w:rPr>
            </w:pPr>
          </w:p>
        </w:tc>
        <w:tc>
          <w:tcPr>
            <w:tcW w:w="660" w:type="dxa"/>
            <w:vAlign w:val="bottom"/>
          </w:tcPr>
          <w:p w14:paraId="2819D740" w14:textId="77777777" w:rsidR="004647B9" w:rsidRDefault="004647B9">
            <w:pPr>
              <w:rPr>
                <w:sz w:val="24"/>
                <w:szCs w:val="24"/>
              </w:rPr>
            </w:pPr>
          </w:p>
        </w:tc>
        <w:tc>
          <w:tcPr>
            <w:tcW w:w="1200" w:type="dxa"/>
            <w:gridSpan w:val="2"/>
            <w:vAlign w:val="bottom"/>
          </w:tcPr>
          <w:p w14:paraId="2819D741" w14:textId="77777777" w:rsidR="004647B9" w:rsidRDefault="00E2436F">
            <w:pPr>
              <w:rPr>
                <w:sz w:val="20"/>
                <w:szCs w:val="20"/>
              </w:rPr>
            </w:pPr>
            <w:r>
              <w:rPr>
                <w:rFonts w:eastAsia="Times New Roman"/>
                <w:sz w:val="18"/>
                <w:szCs w:val="18"/>
              </w:rPr>
              <w:t>Method 1001</w:t>
            </w:r>
            <w:r>
              <w:rPr>
                <w:rFonts w:eastAsia="Times New Roman"/>
                <w:sz w:val="24"/>
                <w:szCs w:val="24"/>
                <w:vertAlign w:val="superscript"/>
              </w:rPr>
              <w:t>16</w:t>
            </w:r>
          </w:p>
        </w:tc>
        <w:tc>
          <w:tcPr>
            <w:tcW w:w="0" w:type="dxa"/>
            <w:vAlign w:val="bottom"/>
          </w:tcPr>
          <w:p w14:paraId="2819D742" w14:textId="77777777" w:rsidR="004647B9" w:rsidRDefault="004647B9">
            <w:pPr>
              <w:rPr>
                <w:sz w:val="1"/>
                <w:szCs w:val="1"/>
              </w:rPr>
            </w:pPr>
          </w:p>
        </w:tc>
      </w:tr>
      <w:tr w:rsidR="004647B9" w14:paraId="2819D752" w14:textId="77777777">
        <w:trPr>
          <w:trHeight w:val="280"/>
        </w:trPr>
        <w:tc>
          <w:tcPr>
            <w:tcW w:w="1020" w:type="dxa"/>
            <w:vAlign w:val="bottom"/>
          </w:tcPr>
          <w:p w14:paraId="2819D744" w14:textId="77777777" w:rsidR="004647B9" w:rsidRDefault="00E2436F">
            <w:pPr>
              <w:rPr>
                <w:sz w:val="20"/>
                <w:szCs w:val="20"/>
              </w:rPr>
            </w:pPr>
            <w:r>
              <w:rPr>
                <w:rFonts w:eastAsia="Times New Roman"/>
                <w:sz w:val="18"/>
                <w:szCs w:val="18"/>
              </w:rPr>
              <w:t>Asbestos</w:t>
            </w:r>
          </w:p>
        </w:tc>
        <w:tc>
          <w:tcPr>
            <w:tcW w:w="180" w:type="dxa"/>
            <w:vAlign w:val="bottom"/>
          </w:tcPr>
          <w:p w14:paraId="2819D745" w14:textId="77777777" w:rsidR="004647B9" w:rsidRDefault="004647B9">
            <w:pPr>
              <w:rPr>
                <w:sz w:val="24"/>
                <w:szCs w:val="24"/>
              </w:rPr>
            </w:pPr>
          </w:p>
        </w:tc>
        <w:tc>
          <w:tcPr>
            <w:tcW w:w="2600" w:type="dxa"/>
            <w:gridSpan w:val="2"/>
            <w:vAlign w:val="bottom"/>
          </w:tcPr>
          <w:p w14:paraId="2819D746" w14:textId="77777777" w:rsidR="004647B9" w:rsidRDefault="00E2436F">
            <w:pPr>
              <w:rPr>
                <w:sz w:val="20"/>
                <w:szCs w:val="20"/>
              </w:rPr>
            </w:pPr>
            <w:r>
              <w:rPr>
                <w:rFonts w:eastAsia="Times New Roman"/>
                <w:sz w:val="18"/>
                <w:szCs w:val="18"/>
              </w:rPr>
              <w:t>Transmission Electron</w:t>
            </w:r>
          </w:p>
        </w:tc>
        <w:tc>
          <w:tcPr>
            <w:tcW w:w="380" w:type="dxa"/>
            <w:vAlign w:val="bottom"/>
          </w:tcPr>
          <w:p w14:paraId="2819D747" w14:textId="77777777" w:rsidR="004647B9" w:rsidRDefault="004647B9">
            <w:pPr>
              <w:rPr>
                <w:sz w:val="24"/>
                <w:szCs w:val="24"/>
              </w:rPr>
            </w:pPr>
          </w:p>
        </w:tc>
        <w:tc>
          <w:tcPr>
            <w:tcW w:w="520" w:type="dxa"/>
            <w:vAlign w:val="bottom"/>
          </w:tcPr>
          <w:p w14:paraId="2819D748" w14:textId="77777777" w:rsidR="004647B9" w:rsidRDefault="004647B9">
            <w:pPr>
              <w:rPr>
                <w:sz w:val="24"/>
                <w:szCs w:val="24"/>
              </w:rPr>
            </w:pPr>
          </w:p>
        </w:tc>
        <w:tc>
          <w:tcPr>
            <w:tcW w:w="560" w:type="dxa"/>
            <w:vAlign w:val="bottom"/>
          </w:tcPr>
          <w:p w14:paraId="2819D749" w14:textId="77777777" w:rsidR="004647B9" w:rsidRDefault="004647B9">
            <w:pPr>
              <w:rPr>
                <w:sz w:val="24"/>
                <w:szCs w:val="24"/>
              </w:rPr>
            </w:pPr>
          </w:p>
        </w:tc>
        <w:tc>
          <w:tcPr>
            <w:tcW w:w="1160" w:type="dxa"/>
            <w:vAlign w:val="bottom"/>
          </w:tcPr>
          <w:p w14:paraId="2819D74A" w14:textId="77777777" w:rsidR="004647B9" w:rsidRDefault="004647B9">
            <w:pPr>
              <w:rPr>
                <w:sz w:val="24"/>
                <w:szCs w:val="24"/>
              </w:rPr>
            </w:pPr>
          </w:p>
        </w:tc>
        <w:tc>
          <w:tcPr>
            <w:tcW w:w="280" w:type="dxa"/>
            <w:vAlign w:val="bottom"/>
          </w:tcPr>
          <w:p w14:paraId="2819D74B" w14:textId="77777777" w:rsidR="004647B9" w:rsidRDefault="004647B9">
            <w:pPr>
              <w:rPr>
                <w:sz w:val="24"/>
                <w:szCs w:val="24"/>
              </w:rPr>
            </w:pPr>
          </w:p>
        </w:tc>
        <w:tc>
          <w:tcPr>
            <w:tcW w:w="1060" w:type="dxa"/>
            <w:vAlign w:val="bottom"/>
          </w:tcPr>
          <w:p w14:paraId="2819D74C" w14:textId="77777777" w:rsidR="004647B9" w:rsidRDefault="004647B9">
            <w:pPr>
              <w:rPr>
                <w:sz w:val="24"/>
                <w:szCs w:val="24"/>
              </w:rPr>
            </w:pPr>
          </w:p>
        </w:tc>
        <w:tc>
          <w:tcPr>
            <w:tcW w:w="880" w:type="dxa"/>
            <w:vAlign w:val="bottom"/>
          </w:tcPr>
          <w:p w14:paraId="2819D74D" w14:textId="77777777" w:rsidR="004647B9" w:rsidRDefault="004647B9">
            <w:pPr>
              <w:rPr>
                <w:sz w:val="24"/>
                <w:szCs w:val="24"/>
              </w:rPr>
            </w:pPr>
          </w:p>
        </w:tc>
        <w:tc>
          <w:tcPr>
            <w:tcW w:w="660" w:type="dxa"/>
            <w:vAlign w:val="bottom"/>
          </w:tcPr>
          <w:p w14:paraId="2819D74E" w14:textId="77777777" w:rsidR="004647B9" w:rsidRDefault="004647B9">
            <w:pPr>
              <w:rPr>
                <w:sz w:val="24"/>
                <w:szCs w:val="24"/>
              </w:rPr>
            </w:pPr>
          </w:p>
        </w:tc>
        <w:tc>
          <w:tcPr>
            <w:tcW w:w="460" w:type="dxa"/>
            <w:vAlign w:val="bottom"/>
          </w:tcPr>
          <w:p w14:paraId="2819D74F" w14:textId="77777777" w:rsidR="004647B9" w:rsidRDefault="004647B9">
            <w:pPr>
              <w:rPr>
                <w:sz w:val="24"/>
                <w:szCs w:val="24"/>
              </w:rPr>
            </w:pPr>
          </w:p>
        </w:tc>
        <w:tc>
          <w:tcPr>
            <w:tcW w:w="740" w:type="dxa"/>
            <w:vAlign w:val="bottom"/>
          </w:tcPr>
          <w:p w14:paraId="2819D750" w14:textId="77777777" w:rsidR="004647B9" w:rsidRDefault="004647B9">
            <w:pPr>
              <w:rPr>
                <w:sz w:val="24"/>
                <w:szCs w:val="24"/>
              </w:rPr>
            </w:pPr>
          </w:p>
        </w:tc>
        <w:tc>
          <w:tcPr>
            <w:tcW w:w="0" w:type="dxa"/>
            <w:vAlign w:val="bottom"/>
          </w:tcPr>
          <w:p w14:paraId="2819D751" w14:textId="77777777" w:rsidR="004647B9" w:rsidRDefault="004647B9">
            <w:pPr>
              <w:rPr>
                <w:sz w:val="1"/>
                <w:szCs w:val="1"/>
              </w:rPr>
            </w:pPr>
          </w:p>
        </w:tc>
      </w:tr>
      <w:tr w:rsidR="004647B9" w14:paraId="2819D760" w14:textId="77777777">
        <w:trPr>
          <w:trHeight w:val="279"/>
        </w:trPr>
        <w:tc>
          <w:tcPr>
            <w:tcW w:w="1020" w:type="dxa"/>
            <w:vAlign w:val="bottom"/>
          </w:tcPr>
          <w:p w14:paraId="2819D753" w14:textId="77777777" w:rsidR="004647B9" w:rsidRDefault="004647B9">
            <w:pPr>
              <w:rPr>
                <w:sz w:val="24"/>
                <w:szCs w:val="24"/>
              </w:rPr>
            </w:pPr>
          </w:p>
        </w:tc>
        <w:tc>
          <w:tcPr>
            <w:tcW w:w="180" w:type="dxa"/>
            <w:vAlign w:val="bottom"/>
          </w:tcPr>
          <w:p w14:paraId="2819D754" w14:textId="77777777" w:rsidR="004647B9" w:rsidRDefault="004647B9">
            <w:pPr>
              <w:rPr>
                <w:sz w:val="24"/>
                <w:szCs w:val="24"/>
              </w:rPr>
            </w:pPr>
          </w:p>
        </w:tc>
        <w:tc>
          <w:tcPr>
            <w:tcW w:w="2600" w:type="dxa"/>
            <w:gridSpan w:val="2"/>
            <w:vAlign w:val="bottom"/>
          </w:tcPr>
          <w:p w14:paraId="2819D755" w14:textId="77777777" w:rsidR="004647B9" w:rsidRDefault="00E2436F">
            <w:pPr>
              <w:rPr>
                <w:sz w:val="20"/>
                <w:szCs w:val="20"/>
              </w:rPr>
            </w:pPr>
            <w:r>
              <w:rPr>
                <w:rFonts w:eastAsia="Times New Roman"/>
                <w:sz w:val="18"/>
                <w:szCs w:val="18"/>
              </w:rPr>
              <w:t>Microscopy</w:t>
            </w:r>
          </w:p>
        </w:tc>
        <w:tc>
          <w:tcPr>
            <w:tcW w:w="900" w:type="dxa"/>
            <w:gridSpan w:val="2"/>
            <w:vAlign w:val="bottom"/>
          </w:tcPr>
          <w:p w14:paraId="2819D756" w14:textId="77777777" w:rsidR="004647B9" w:rsidRDefault="00E2436F">
            <w:pPr>
              <w:ind w:left="20"/>
              <w:rPr>
                <w:sz w:val="20"/>
                <w:szCs w:val="20"/>
              </w:rPr>
            </w:pPr>
            <w:r>
              <w:rPr>
                <w:rFonts w:eastAsia="Times New Roman"/>
                <w:sz w:val="24"/>
                <w:szCs w:val="24"/>
                <w:vertAlign w:val="superscript"/>
              </w:rPr>
              <w:t>9</w:t>
            </w:r>
            <w:r>
              <w:rPr>
                <w:rFonts w:eastAsia="Times New Roman"/>
                <w:sz w:val="18"/>
                <w:szCs w:val="18"/>
              </w:rPr>
              <w:t>100.1</w:t>
            </w:r>
          </w:p>
        </w:tc>
        <w:tc>
          <w:tcPr>
            <w:tcW w:w="560" w:type="dxa"/>
            <w:vAlign w:val="bottom"/>
          </w:tcPr>
          <w:p w14:paraId="2819D757" w14:textId="77777777" w:rsidR="004647B9" w:rsidRDefault="004647B9">
            <w:pPr>
              <w:rPr>
                <w:sz w:val="24"/>
                <w:szCs w:val="24"/>
              </w:rPr>
            </w:pPr>
          </w:p>
        </w:tc>
        <w:tc>
          <w:tcPr>
            <w:tcW w:w="1160" w:type="dxa"/>
            <w:vAlign w:val="bottom"/>
          </w:tcPr>
          <w:p w14:paraId="2819D758" w14:textId="77777777" w:rsidR="004647B9" w:rsidRDefault="004647B9">
            <w:pPr>
              <w:rPr>
                <w:sz w:val="24"/>
                <w:szCs w:val="24"/>
              </w:rPr>
            </w:pPr>
          </w:p>
        </w:tc>
        <w:tc>
          <w:tcPr>
            <w:tcW w:w="280" w:type="dxa"/>
            <w:vAlign w:val="bottom"/>
          </w:tcPr>
          <w:p w14:paraId="2819D759" w14:textId="77777777" w:rsidR="004647B9" w:rsidRDefault="004647B9">
            <w:pPr>
              <w:rPr>
                <w:sz w:val="24"/>
                <w:szCs w:val="24"/>
              </w:rPr>
            </w:pPr>
          </w:p>
        </w:tc>
        <w:tc>
          <w:tcPr>
            <w:tcW w:w="1060" w:type="dxa"/>
            <w:vAlign w:val="bottom"/>
          </w:tcPr>
          <w:p w14:paraId="2819D75A" w14:textId="77777777" w:rsidR="004647B9" w:rsidRDefault="004647B9">
            <w:pPr>
              <w:rPr>
                <w:sz w:val="24"/>
                <w:szCs w:val="24"/>
              </w:rPr>
            </w:pPr>
          </w:p>
        </w:tc>
        <w:tc>
          <w:tcPr>
            <w:tcW w:w="880" w:type="dxa"/>
            <w:vAlign w:val="bottom"/>
          </w:tcPr>
          <w:p w14:paraId="2819D75B" w14:textId="77777777" w:rsidR="004647B9" w:rsidRDefault="004647B9">
            <w:pPr>
              <w:rPr>
                <w:sz w:val="24"/>
                <w:szCs w:val="24"/>
              </w:rPr>
            </w:pPr>
          </w:p>
        </w:tc>
        <w:tc>
          <w:tcPr>
            <w:tcW w:w="660" w:type="dxa"/>
            <w:vAlign w:val="bottom"/>
          </w:tcPr>
          <w:p w14:paraId="2819D75C" w14:textId="77777777" w:rsidR="004647B9" w:rsidRDefault="004647B9">
            <w:pPr>
              <w:rPr>
                <w:sz w:val="24"/>
                <w:szCs w:val="24"/>
              </w:rPr>
            </w:pPr>
          </w:p>
        </w:tc>
        <w:tc>
          <w:tcPr>
            <w:tcW w:w="460" w:type="dxa"/>
            <w:vAlign w:val="bottom"/>
          </w:tcPr>
          <w:p w14:paraId="2819D75D" w14:textId="77777777" w:rsidR="004647B9" w:rsidRDefault="004647B9">
            <w:pPr>
              <w:rPr>
                <w:sz w:val="24"/>
                <w:szCs w:val="24"/>
              </w:rPr>
            </w:pPr>
          </w:p>
        </w:tc>
        <w:tc>
          <w:tcPr>
            <w:tcW w:w="740" w:type="dxa"/>
            <w:vAlign w:val="bottom"/>
          </w:tcPr>
          <w:p w14:paraId="2819D75E" w14:textId="77777777" w:rsidR="004647B9" w:rsidRDefault="004647B9">
            <w:pPr>
              <w:rPr>
                <w:sz w:val="24"/>
                <w:szCs w:val="24"/>
              </w:rPr>
            </w:pPr>
          </w:p>
        </w:tc>
        <w:tc>
          <w:tcPr>
            <w:tcW w:w="0" w:type="dxa"/>
            <w:vAlign w:val="bottom"/>
          </w:tcPr>
          <w:p w14:paraId="2819D75F" w14:textId="77777777" w:rsidR="004647B9" w:rsidRDefault="004647B9">
            <w:pPr>
              <w:rPr>
                <w:sz w:val="1"/>
                <w:szCs w:val="1"/>
              </w:rPr>
            </w:pPr>
          </w:p>
        </w:tc>
      </w:tr>
      <w:tr w:rsidR="004647B9" w14:paraId="2819D76E" w14:textId="77777777">
        <w:trPr>
          <w:trHeight w:val="281"/>
        </w:trPr>
        <w:tc>
          <w:tcPr>
            <w:tcW w:w="1020" w:type="dxa"/>
            <w:vAlign w:val="bottom"/>
          </w:tcPr>
          <w:p w14:paraId="2819D761" w14:textId="77777777" w:rsidR="004647B9" w:rsidRDefault="004647B9">
            <w:pPr>
              <w:rPr>
                <w:sz w:val="24"/>
                <w:szCs w:val="24"/>
              </w:rPr>
            </w:pPr>
          </w:p>
        </w:tc>
        <w:tc>
          <w:tcPr>
            <w:tcW w:w="180" w:type="dxa"/>
            <w:vAlign w:val="bottom"/>
          </w:tcPr>
          <w:p w14:paraId="2819D762" w14:textId="77777777" w:rsidR="004647B9" w:rsidRDefault="004647B9">
            <w:pPr>
              <w:rPr>
                <w:sz w:val="24"/>
                <w:szCs w:val="24"/>
              </w:rPr>
            </w:pPr>
          </w:p>
        </w:tc>
        <w:tc>
          <w:tcPr>
            <w:tcW w:w="2600" w:type="dxa"/>
            <w:gridSpan w:val="2"/>
            <w:vAlign w:val="bottom"/>
          </w:tcPr>
          <w:p w14:paraId="2819D763" w14:textId="77777777" w:rsidR="004647B9" w:rsidRDefault="00E2436F">
            <w:pPr>
              <w:rPr>
                <w:sz w:val="20"/>
                <w:szCs w:val="20"/>
              </w:rPr>
            </w:pPr>
            <w:r>
              <w:rPr>
                <w:rFonts w:eastAsia="Times New Roman"/>
                <w:sz w:val="18"/>
                <w:szCs w:val="18"/>
              </w:rPr>
              <w:t>Transmission Electron</w:t>
            </w:r>
          </w:p>
        </w:tc>
        <w:tc>
          <w:tcPr>
            <w:tcW w:w="900" w:type="dxa"/>
            <w:gridSpan w:val="2"/>
            <w:vAlign w:val="bottom"/>
          </w:tcPr>
          <w:p w14:paraId="2819D764" w14:textId="77777777" w:rsidR="004647B9" w:rsidRDefault="00E2436F">
            <w:pPr>
              <w:rPr>
                <w:sz w:val="20"/>
                <w:szCs w:val="20"/>
              </w:rPr>
            </w:pPr>
            <w:r>
              <w:rPr>
                <w:rFonts w:eastAsia="Times New Roman"/>
                <w:sz w:val="24"/>
                <w:szCs w:val="24"/>
                <w:vertAlign w:val="superscript"/>
              </w:rPr>
              <w:t>10</w:t>
            </w:r>
            <w:r>
              <w:rPr>
                <w:rFonts w:eastAsia="Times New Roman"/>
                <w:sz w:val="18"/>
                <w:szCs w:val="18"/>
              </w:rPr>
              <w:t>100.2</w:t>
            </w:r>
          </w:p>
        </w:tc>
        <w:tc>
          <w:tcPr>
            <w:tcW w:w="560" w:type="dxa"/>
            <w:vAlign w:val="bottom"/>
          </w:tcPr>
          <w:p w14:paraId="2819D765" w14:textId="77777777" w:rsidR="004647B9" w:rsidRDefault="004647B9">
            <w:pPr>
              <w:rPr>
                <w:sz w:val="24"/>
                <w:szCs w:val="24"/>
              </w:rPr>
            </w:pPr>
          </w:p>
        </w:tc>
        <w:tc>
          <w:tcPr>
            <w:tcW w:w="1160" w:type="dxa"/>
            <w:vAlign w:val="bottom"/>
          </w:tcPr>
          <w:p w14:paraId="2819D766" w14:textId="77777777" w:rsidR="004647B9" w:rsidRDefault="004647B9">
            <w:pPr>
              <w:rPr>
                <w:sz w:val="24"/>
                <w:szCs w:val="24"/>
              </w:rPr>
            </w:pPr>
          </w:p>
        </w:tc>
        <w:tc>
          <w:tcPr>
            <w:tcW w:w="280" w:type="dxa"/>
            <w:vAlign w:val="bottom"/>
          </w:tcPr>
          <w:p w14:paraId="2819D767" w14:textId="77777777" w:rsidR="004647B9" w:rsidRDefault="004647B9">
            <w:pPr>
              <w:rPr>
                <w:sz w:val="24"/>
                <w:szCs w:val="24"/>
              </w:rPr>
            </w:pPr>
          </w:p>
        </w:tc>
        <w:tc>
          <w:tcPr>
            <w:tcW w:w="1060" w:type="dxa"/>
            <w:vAlign w:val="bottom"/>
          </w:tcPr>
          <w:p w14:paraId="2819D768" w14:textId="77777777" w:rsidR="004647B9" w:rsidRDefault="004647B9">
            <w:pPr>
              <w:rPr>
                <w:sz w:val="24"/>
                <w:szCs w:val="24"/>
              </w:rPr>
            </w:pPr>
          </w:p>
        </w:tc>
        <w:tc>
          <w:tcPr>
            <w:tcW w:w="880" w:type="dxa"/>
            <w:vAlign w:val="bottom"/>
          </w:tcPr>
          <w:p w14:paraId="2819D769" w14:textId="77777777" w:rsidR="004647B9" w:rsidRDefault="004647B9">
            <w:pPr>
              <w:rPr>
                <w:sz w:val="24"/>
                <w:szCs w:val="24"/>
              </w:rPr>
            </w:pPr>
          </w:p>
        </w:tc>
        <w:tc>
          <w:tcPr>
            <w:tcW w:w="660" w:type="dxa"/>
            <w:vAlign w:val="bottom"/>
          </w:tcPr>
          <w:p w14:paraId="2819D76A" w14:textId="77777777" w:rsidR="004647B9" w:rsidRDefault="004647B9">
            <w:pPr>
              <w:rPr>
                <w:sz w:val="24"/>
                <w:szCs w:val="24"/>
              </w:rPr>
            </w:pPr>
          </w:p>
        </w:tc>
        <w:tc>
          <w:tcPr>
            <w:tcW w:w="460" w:type="dxa"/>
            <w:vAlign w:val="bottom"/>
          </w:tcPr>
          <w:p w14:paraId="2819D76B" w14:textId="77777777" w:rsidR="004647B9" w:rsidRDefault="004647B9">
            <w:pPr>
              <w:rPr>
                <w:sz w:val="24"/>
                <w:szCs w:val="24"/>
              </w:rPr>
            </w:pPr>
          </w:p>
        </w:tc>
        <w:tc>
          <w:tcPr>
            <w:tcW w:w="740" w:type="dxa"/>
            <w:vAlign w:val="bottom"/>
          </w:tcPr>
          <w:p w14:paraId="2819D76C" w14:textId="77777777" w:rsidR="004647B9" w:rsidRDefault="004647B9">
            <w:pPr>
              <w:rPr>
                <w:sz w:val="24"/>
                <w:szCs w:val="24"/>
              </w:rPr>
            </w:pPr>
          </w:p>
        </w:tc>
        <w:tc>
          <w:tcPr>
            <w:tcW w:w="0" w:type="dxa"/>
            <w:vAlign w:val="bottom"/>
          </w:tcPr>
          <w:p w14:paraId="2819D76D" w14:textId="77777777" w:rsidR="004647B9" w:rsidRDefault="004647B9">
            <w:pPr>
              <w:rPr>
                <w:sz w:val="1"/>
                <w:szCs w:val="1"/>
              </w:rPr>
            </w:pPr>
          </w:p>
        </w:tc>
      </w:tr>
      <w:tr w:rsidR="004647B9" w14:paraId="2819D77D" w14:textId="77777777">
        <w:trPr>
          <w:trHeight w:val="278"/>
        </w:trPr>
        <w:tc>
          <w:tcPr>
            <w:tcW w:w="1020" w:type="dxa"/>
            <w:vAlign w:val="bottom"/>
          </w:tcPr>
          <w:p w14:paraId="2819D76F" w14:textId="77777777" w:rsidR="004647B9" w:rsidRDefault="004647B9">
            <w:pPr>
              <w:rPr>
                <w:sz w:val="24"/>
                <w:szCs w:val="24"/>
              </w:rPr>
            </w:pPr>
          </w:p>
        </w:tc>
        <w:tc>
          <w:tcPr>
            <w:tcW w:w="180" w:type="dxa"/>
            <w:vAlign w:val="bottom"/>
          </w:tcPr>
          <w:p w14:paraId="2819D770" w14:textId="77777777" w:rsidR="004647B9" w:rsidRDefault="004647B9">
            <w:pPr>
              <w:rPr>
                <w:sz w:val="24"/>
                <w:szCs w:val="24"/>
              </w:rPr>
            </w:pPr>
          </w:p>
        </w:tc>
        <w:tc>
          <w:tcPr>
            <w:tcW w:w="2600" w:type="dxa"/>
            <w:gridSpan w:val="2"/>
            <w:vAlign w:val="bottom"/>
          </w:tcPr>
          <w:p w14:paraId="2819D771" w14:textId="77777777" w:rsidR="004647B9" w:rsidRDefault="00E2436F">
            <w:pPr>
              <w:rPr>
                <w:sz w:val="20"/>
                <w:szCs w:val="20"/>
              </w:rPr>
            </w:pPr>
            <w:r>
              <w:rPr>
                <w:rFonts w:eastAsia="Times New Roman"/>
                <w:sz w:val="18"/>
                <w:szCs w:val="18"/>
              </w:rPr>
              <w:t>Microscopy</w:t>
            </w:r>
          </w:p>
        </w:tc>
        <w:tc>
          <w:tcPr>
            <w:tcW w:w="380" w:type="dxa"/>
            <w:vAlign w:val="bottom"/>
          </w:tcPr>
          <w:p w14:paraId="2819D772" w14:textId="77777777" w:rsidR="004647B9" w:rsidRDefault="004647B9">
            <w:pPr>
              <w:rPr>
                <w:sz w:val="24"/>
                <w:szCs w:val="24"/>
              </w:rPr>
            </w:pPr>
          </w:p>
        </w:tc>
        <w:tc>
          <w:tcPr>
            <w:tcW w:w="520" w:type="dxa"/>
            <w:vAlign w:val="bottom"/>
          </w:tcPr>
          <w:p w14:paraId="2819D773" w14:textId="77777777" w:rsidR="004647B9" w:rsidRDefault="004647B9">
            <w:pPr>
              <w:rPr>
                <w:sz w:val="24"/>
                <w:szCs w:val="24"/>
              </w:rPr>
            </w:pPr>
          </w:p>
        </w:tc>
        <w:tc>
          <w:tcPr>
            <w:tcW w:w="560" w:type="dxa"/>
            <w:vAlign w:val="bottom"/>
          </w:tcPr>
          <w:p w14:paraId="2819D774" w14:textId="77777777" w:rsidR="004647B9" w:rsidRDefault="004647B9">
            <w:pPr>
              <w:rPr>
                <w:sz w:val="24"/>
                <w:szCs w:val="24"/>
              </w:rPr>
            </w:pPr>
          </w:p>
        </w:tc>
        <w:tc>
          <w:tcPr>
            <w:tcW w:w="1160" w:type="dxa"/>
            <w:vAlign w:val="bottom"/>
          </w:tcPr>
          <w:p w14:paraId="2819D775" w14:textId="77777777" w:rsidR="004647B9" w:rsidRDefault="004647B9">
            <w:pPr>
              <w:rPr>
                <w:sz w:val="24"/>
                <w:szCs w:val="24"/>
              </w:rPr>
            </w:pPr>
          </w:p>
        </w:tc>
        <w:tc>
          <w:tcPr>
            <w:tcW w:w="280" w:type="dxa"/>
            <w:vAlign w:val="bottom"/>
          </w:tcPr>
          <w:p w14:paraId="2819D776" w14:textId="77777777" w:rsidR="004647B9" w:rsidRDefault="004647B9">
            <w:pPr>
              <w:rPr>
                <w:sz w:val="24"/>
                <w:szCs w:val="24"/>
              </w:rPr>
            </w:pPr>
          </w:p>
        </w:tc>
        <w:tc>
          <w:tcPr>
            <w:tcW w:w="1060" w:type="dxa"/>
            <w:vAlign w:val="bottom"/>
          </w:tcPr>
          <w:p w14:paraId="2819D777" w14:textId="77777777" w:rsidR="004647B9" w:rsidRDefault="004647B9">
            <w:pPr>
              <w:rPr>
                <w:sz w:val="24"/>
                <w:szCs w:val="24"/>
              </w:rPr>
            </w:pPr>
          </w:p>
        </w:tc>
        <w:tc>
          <w:tcPr>
            <w:tcW w:w="880" w:type="dxa"/>
            <w:vAlign w:val="bottom"/>
          </w:tcPr>
          <w:p w14:paraId="2819D778" w14:textId="77777777" w:rsidR="004647B9" w:rsidRDefault="004647B9">
            <w:pPr>
              <w:rPr>
                <w:sz w:val="24"/>
                <w:szCs w:val="24"/>
              </w:rPr>
            </w:pPr>
          </w:p>
        </w:tc>
        <w:tc>
          <w:tcPr>
            <w:tcW w:w="660" w:type="dxa"/>
            <w:vAlign w:val="bottom"/>
          </w:tcPr>
          <w:p w14:paraId="2819D779" w14:textId="77777777" w:rsidR="004647B9" w:rsidRDefault="004647B9">
            <w:pPr>
              <w:rPr>
                <w:sz w:val="24"/>
                <w:szCs w:val="24"/>
              </w:rPr>
            </w:pPr>
          </w:p>
        </w:tc>
        <w:tc>
          <w:tcPr>
            <w:tcW w:w="460" w:type="dxa"/>
            <w:vAlign w:val="bottom"/>
          </w:tcPr>
          <w:p w14:paraId="2819D77A" w14:textId="77777777" w:rsidR="004647B9" w:rsidRDefault="004647B9">
            <w:pPr>
              <w:rPr>
                <w:sz w:val="24"/>
                <w:szCs w:val="24"/>
              </w:rPr>
            </w:pPr>
          </w:p>
        </w:tc>
        <w:tc>
          <w:tcPr>
            <w:tcW w:w="740" w:type="dxa"/>
            <w:vAlign w:val="bottom"/>
          </w:tcPr>
          <w:p w14:paraId="2819D77B" w14:textId="77777777" w:rsidR="004647B9" w:rsidRDefault="004647B9">
            <w:pPr>
              <w:rPr>
                <w:sz w:val="24"/>
                <w:szCs w:val="24"/>
              </w:rPr>
            </w:pPr>
          </w:p>
        </w:tc>
        <w:tc>
          <w:tcPr>
            <w:tcW w:w="0" w:type="dxa"/>
            <w:vAlign w:val="bottom"/>
          </w:tcPr>
          <w:p w14:paraId="2819D77C" w14:textId="77777777" w:rsidR="004647B9" w:rsidRDefault="004647B9">
            <w:pPr>
              <w:rPr>
                <w:sz w:val="1"/>
                <w:szCs w:val="1"/>
              </w:rPr>
            </w:pPr>
          </w:p>
        </w:tc>
      </w:tr>
      <w:tr w:rsidR="004647B9" w14:paraId="2819D78A" w14:textId="77777777">
        <w:trPr>
          <w:trHeight w:val="281"/>
        </w:trPr>
        <w:tc>
          <w:tcPr>
            <w:tcW w:w="1020" w:type="dxa"/>
            <w:vAlign w:val="bottom"/>
          </w:tcPr>
          <w:p w14:paraId="2819D77E" w14:textId="77777777" w:rsidR="004647B9" w:rsidRDefault="00E2436F">
            <w:pPr>
              <w:rPr>
                <w:sz w:val="20"/>
                <w:szCs w:val="20"/>
              </w:rPr>
            </w:pPr>
            <w:r>
              <w:rPr>
                <w:rFonts w:eastAsia="Times New Roman"/>
                <w:sz w:val="18"/>
                <w:szCs w:val="18"/>
              </w:rPr>
              <w:t>Barium</w:t>
            </w:r>
          </w:p>
        </w:tc>
        <w:tc>
          <w:tcPr>
            <w:tcW w:w="180" w:type="dxa"/>
            <w:vAlign w:val="bottom"/>
          </w:tcPr>
          <w:p w14:paraId="2819D77F" w14:textId="77777777" w:rsidR="004647B9" w:rsidRDefault="004647B9">
            <w:pPr>
              <w:rPr>
                <w:sz w:val="24"/>
                <w:szCs w:val="24"/>
              </w:rPr>
            </w:pPr>
          </w:p>
        </w:tc>
        <w:tc>
          <w:tcPr>
            <w:tcW w:w="2600" w:type="dxa"/>
            <w:gridSpan w:val="2"/>
            <w:vAlign w:val="bottom"/>
          </w:tcPr>
          <w:p w14:paraId="2819D780"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781" w14:textId="77777777" w:rsidR="004647B9" w:rsidRDefault="004647B9">
            <w:pPr>
              <w:rPr>
                <w:sz w:val="24"/>
                <w:szCs w:val="24"/>
              </w:rPr>
            </w:pPr>
          </w:p>
        </w:tc>
        <w:tc>
          <w:tcPr>
            <w:tcW w:w="520" w:type="dxa"/>
            <w:vAlign w:val="bottom"/>
          </w:tcPr>
          <w:p w14:paraId="2819D782" w14:textId="77777777" w:rsidR="004647B9" w:rsidRDefault="004647B9">
            <w:pPr>
              <w:rPr>
                <w:sz w:val="24"/>
                <w:szCs w:val="24"/>
              </w:rPr>
            </w:pPr>
          </w:p>
        </w:tc>
        <w:tc>
          <w:tcPr>
            <w:tcW w:w="560" w:type="dxa"/>
            <w:vAlign w:val="bottom"/>
          </w:tcPr>
          <w:p w14:paraId="2819D783" w14:textId="77777777" w:rsidR="004647B9" w:rsidRDefault="004647B9">
            <w:pPr>
              <w:rPr>
                <w:sz w:val="24"/>
                <w:szCs w:val="24"/>
              </w:rPr>
            </w:pPr>
          </w:p>
        </w:tc>
        <w:tc>
          <w:tcPr>
            <w:tcW w:w="1160" w:type="dxa"/>
            <w:vAlign w:val="bottom"/>
          </w:tcPr>
          <w:p w14:paraId="2819D784" w14:textId="77777777" w:rsidR="004647B9" w:rsidRDefault="004647B9">
            <w:pPr>
              <w:rPr>
                <w:sz w:val="24"/>
                <w:szCs w:val="24"/>
              </w:rPr>
            </w:pPr>
          </w:p>
        </w:tc>
        <w:tc>
          <w:tcPr>
            <w:tcW w:w="1340" w:type="dxa"/>
            <w:gridSpan w:val="2"/>
            <w:vAlign w:val="bottom"/>
          </w:tcPr>
          <w:p w14:paraId="2819D785" w14:textId="77777777" w:rsidR="004647B9" w:rsidRDefault="00E2436F">
            <w:pPr>
              <w:rPr>
                <w:sz w:val="20"/>
                <w:szCs w:val="20"/>
              </w:rPr>
            </w:pPr>
            <w:r>
              <w:rPr>
                <w:rFonts w:eastAsia="Times New Roman"/>
                <w:sz w:val="18"/>
                <w:szCs w:val="18"/>
              </w:rPr>
              <w:t>3113B</w:t>
            </w:r>
          </w:p>
        </w:tc>
        <w:tc>
          <w:tcPr>
            <w:tcW w:w="1540" w:type="dxa"/>
            <w:gridSpan w:val="2"/>
            <w:vAlign w:val="bottom"/>
          </w:tcPr>
          <w:p w14:paraId="2819D786" w14:textId="77777777" w:rsidR="004647B9" w:rsidRDefault="00E2436F">
            <w:pPr>
              <w:rPr>
                <w:sz w:val="20"/>
                <w:szCs w:val="20"/>
              </w:rPr>
            </w:pPr>
            <w:r>
              <w:rPr>
                <w:rFonts w:eastAsia="Times New Roman"/>
                <w:sz w:val="18"/>
                <w:szCs w:val="18"/>
              </w:rPr>
              <w:t>3113B-99</w:t>
            </w:r>
          </w:p>
        </w:tc>
        <w:tc>
          <w:tcPr>
            <w:tcW w:w="460" w:type="dxa"/>
            <w:vAlign w:val="bottom"/>
          </w:tcPr>
          <w:p w14:paraId="2819D787" w14:textId="77777777" w:rsidR="004647B9" w:rsidRDefault="004647B9">
            <w:pPr>
              <w:rPr>
                <w:sz w:val="24"/>
                <w:szCs w:val="24"/>
              </w:rPr>
            </w:pPr>
          </w:p>
        </w:tc>
        <w:tc>
          <w:tcPr>
            <w:tcW w:w="740" w:type="dxa"/>
            <w:vAlign w:val="bottom"/>
          </w:tcPr>
          <w:p w14:paraId="2819D788" w14:textId="77777777" w:rsidR="004647B9" w:rsidRDefault="004647B9">
            <w:pPr>
              <w:rPr>
                <w:sz w:val="24"/>
                <w:szCs w:val="24"/>
              </w:rPr>
            </w:pPr>
          </w:p>
        </w:tc>
        <w:tc>
          <w:tcPr>
            <w:tcW w:w="0" w:type="dxa"/>
            <w:vAlign w:val="bottom"/>
          </w:tcPr>
          <w:p w14:paraId="2819D789" w14:textId="77777777" w:rsidR="004647B9" w:rsidRDefault="004647B9">
            <w:pPr>
              <w:rPr>
                <w:sz w:val="1"/>
                <w:szCs w:val="1"/>
              </w:rPr>
            </w:pPr>
          </w:p>
        </w:tc>
      </w:tr>
      <w:tr w:rsidR="004647B9" w14:paraId="2819D797" w14:textId="77777777">
        <w:trPr>
          <w:trHeight w:val="278"/>
        </w:trPr>
        <w:tc>
          <w:tcPr>
            <w:tcW w:w="1020" w:type="dxa"/>
            <w:vAlign w:val="bottom"/>
          </w:tcPr>
          <w:p w14:paraId="2819D78B" w14:textId="77777777" w:rsidR="004647B9" w:rsidRDefault="004647B9">
            <w:pPr>
              <w:rPr>
                <w:sz w:val="24"/>
                <w:szCs w:val="24"/>
              </w:rPr>
            </w:pPr>
          </w:p>
        </w:tc>
        <w:tc>
          <w:tcPr>
            <w:tcW w:w="180" w:type="dxa"/>
            <w:vAlign w:val="bottom"/>
          </w:tcPr>
          <w:p w14:paraId="2819D78C" w14:textId="77777777" w:rsidR="004647B9" w:rsidRDefault="004647B9">
            <w:pPr>
              <w:rPr>
                <w:sz w:val="24"/>
                <w:szCs w:val="24"/>
              </w:rPr>
            </w:pPr>
          </w:p>
        </w:tc>
        <w:tc>
          <w:tcPr>
            <w:tcW w:w="2600" w:type="dxa"/>
            <w:gridSpan w:val="2"/>
            <w:vAlign w:val="bottom"/>
          </w:tcPr>
          <w:p w14:paraId="2819D78D" w14:textId="77777777" w:rsidR="004647B9" w:rsidRDefault="00E2436F">
            <w:pPr>
              <w:rPr>
                <w:sz w:val="20"/>
                <w:szCs w:val="20"/>
              </w:rPr>
            </w:pPr>
            <w:r>
              <w:rPr>
                <w:rFonts w:eastAsia="Times New Roman"/>
                <w:sz w:val="18"/>
                <w:szCs w:val="18"/>
              </w:rPr>
              <w:t>Atomic Absorption; Direct</w:t>
            </w:r>
          </w:p>
        </w:tc>
        <w:tc>
          <w:tcPr>
            <w:tcW w:w="380" w:type="dxa"/>
            <w:vAlign w:val="bottom"/>
          </w:tcPr>
          <w:p w14:paraId="2819D78E" w14:textId="77777777" w:rsidR="004647B9" w:rsidRDefault="004647B9">
            <w:pPr>
              <w:rPr>
                <w:sz w:val="24"/>
                <w:szCs w:val="24"/>
              </w:rPr>
            </w:pPr>
          </w:p>
        </w:tc>
        <w:tc>
          <w:tcPr>
            <w:tcW w:w="520" w:type="dxa"/>
            <w:vAlign w:val="bottom"/>
          </w:tcPr>
          <w:p w14:paraId="2819D78F" w14:textId="77777777" w:rsidR="004647B9" w:rsidRDefault="004647B9">
            <w:pPr>
              <w:rPr>
                <w:sz w:val="24"/>
                <w:szCs w:val="24"/>
              </w:rPr>
            </w:pPr>
          </w:p>
        </w:tc>
        <w:tc>
          <w:tcPr>
            <w:tcW w:w="560" w:type="dxa"/>
            <w:vAlign w:val="bottom"/>
          </w:tcPr>
          <w:p w14:paraId="2819D790" w14:textId="77777777" w:rsidR="004647B9" w:rsidRDefault="004647B9">
            <w:pPr>
              <w:rPr>
                <w:sz w:val="24"/>
                <w:szCs w:val="24"/>
              </w:rPr>
            </w:pPr>
          </w:p>
        </w:tc>
        <w:tc>
          <w:tcPr>
            <w:tcW w:w="1160" w:type="dxa"/>
            <w:vAlign w:val="bottom"/>
          </w:tcPr>
          <w:p w14:paraId="2819D791" w14:textId="77777777" w:rsidR="004647B9" w:rsidRDefault="004647B9">
            <w:pPr>
              <w:rPr>
                <w:sz w:val="24"/>
                <w:szCs w:val="24"/>
              </w:rPr>
            </w:pPr>
          </w:p>
        </w:tc>
        <w:tc>
          <w:tcPr>
            <w:tcW w:w="1340" w:type="dxa"/>
            <w:gridSpan w:val="2"/>
            <w:vAlign w:val="bottom"/>
          </w:tcPr>
          <w:p w14:paraId="2819D792" w14:textId="77777777" w:rsidR="004647B9" w:rsidRDefault="00E2436F">
            <w:pPr>
              <w:rPr>
                <w:sz w:val="20"/>
                <w:szCs w:val="20"/>
              </w:rPr>
            </w:pPr>
            <w:r>
              <w:rPr>
                <w:rFonts w:eastAsia="Times New Roman"/>
                <w:sz w:val="18"/>
                <w:szCs w:val="18"/>
              </w:rPr>
              <w:t>3111D</w:t>
            </w:r>
          </w:p>
        </w:tc>
        <w:tc>
          <w:tcPr>
            <w:tcW w:w="1540" w:type="dxa"/>
            <w:gridSpan w:val="2"/>
            <w:vAlign w:val="bottom"/>
          </w:tcPr>
          <w:p w14:paraId="2819D793" w14:textId="77777777" w:rsidR="004647B9" w:rsidRDefault="00E2436F">
            <w:pPr>
              <w:rPr>
                <w:sz w:val="20"/>
                <w:szCs w:val="20"/>
              </w:rPr>
            </w:pPr>
            <w:r>
              <w:rPr>
                <w:rFonts w:eastAsia="Times New Roman"/>
                <w:sz w:val="18"/>
                <w:szCs w:val="18"/>
              </w:rPr>
              <w:t>3111D-99</w:t>
            </w:r>
          </w:p>
        </w:tc>
        <w:tc>
          <w:tcPr>
            <w:tcW w:w="460" w:type="dxa"/>
            <w:vAlign w:val="bottom"/>
          </w:tcPr>
          <w:p w14:paraId="2819D794" w14:textId="77777777" w:rsidR="004647B9" w:rsidRDefault="004647B9">
            <w:pPr>
              <w:rPr>
                <w:sz w:val="24"/>
                <w:szCs w:val="24"/>
              </w:rPr>
            </w:pPr>
          </w:p>
        </w:tc>
        <w:tc>
          <w:tcPr>
            <w:tcW w:w="740" w:type="dxa"/>
            <w:vAlign w:val="bottom"/>
          </w:tcPr>
          <w:p w14:paraId="2819D795" w14:textId="77777777" w:rsidR="004647B9" w:rsidRDefault="004647B9">
            <w:pPr>
              <w:rPr>
                <w:sz w:val="24"/>
                <w:szCs w:val="24"/>
              </w:rPr>
            </w:pPr>
          </w:p>
        </w:tc>
        <w:tc>
          <w:tcPr>
            <w:tcW w:w="0" w:type="dxa"/>
            <w:vAlign w:val="bottom"/>
          </w:tcPr>
          <w:p w14:paraId="2819D796" w14:textId="77777777" w:rsidR="004647B9" w:rsidRDefault="004647B9">
            <w:pPr>
              <w:rPr>
                <w:sz w:val="1"/>
                <w:szCs w:val="1"/>
              </w:rPr>
            </w:pPr>
          </w:p>
        </w:tc>
      </w:tr>
      <w:tr w:rsidR="004647B9" w14:paraId="2819D7A3" w14:textId="77777777">
        <w:trPr>
          <w:trHeight w:val="281"/>
        </w:trPr>
        <w:tc>
          <w:tcPr>
            <w:tcW w:w="1020" w:type="dxa"/>
            <w:vAlign w:val="bottom"/>
          </w:tcPr>
          <w:p w14:paraId="2819D798" w14:textId="77777777" w:rsidR="004647B9" w:rsidRDefault="004647B9">
            <w:pPr>
              <w:rPr>
                <w:sz w:val="24"/>
                <w:szCs w:val="24"/>
              </w:rPr>
            </w:pPr>
          </w:p>
        </w:tc>
        <w:tc>
          <w:tcPr>
            <w:tcW w:w="180" w:type="dxa"/>
            <w:vAlign w:val="bottom"/>
          </w:tcPr>
          <w:p w14:paraId="2819D799" w14:textId="77777777" w:rsidR="004647B9" w:rsidRDefault="004647B9">
            <w:pPr>
              <w:rPr>
                <w:sz w:val="24"/>
                <w:szCs w:val="24"/>
              </w:rPr>
            </w:pPr>
          </w:p>
        </w:tc>
        <w:tc>
          <w:tcPr>
            <w:tcW w:w="2600" w:type="dxa"/>
            <w:gridSpan w:val="2"/>
            <w:vAlign w:val="bottom"/>
          </w:tcPr>
          <w:p w14:paraId="2819D79A" w14:textId="77777777" w:rsidR="004647B9" w:rsidRDefault="00E2436F">
            <w:pPr>
              <w:rPr>
                <w:sz w:val="20"/>
                <w:szCs w:val="20"/>
              </w:rPr>
            </w:pPr>
            <w:r>
              <w:rPr>
                <w:rFonts w:eastAsia="Times New Roman"/>
                <w:sz w:val="18"/>
                <w:szCs w:val="18"/>
              </w:rPr>
              <w:t>Inductively Coupled Plasma</w:t>
            </w:r>
          </w:p>
        </w:tc>
        <w:tc>
          <w:tcPr>
            <w:tcW w:w="900" w:type="dxa"/>
            <w:gridSpan w:val="2"/>
            <w:vAlign w:val="bottom"/>
          </w:tcPr>
          <w:p w14:paraId="2819D79B"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200.7</w:t>
            </w:r>
          </w:p>
        </w:tc>
        <w:tc>
          <w:tcPr>
            <w:tcW w:w="560" w:type="dxa"/>
            <w:vAlign w:val="bottom"/>
          </w:tcPr>
          <w:p w14:paraId="2819D79C" w14:textId="77777777" w:rsidR="004647B9" w:rsidRDefault="004647B9">
            <w:pPr>
              <w:rPr>
                <w:sz w:val="24"/>
                <w:szCs w:val="24"/>
              </w:rPr>
            </w:pPr>
          </w:p>
        </w:tc>
        <w:tc>
          <w:tcPr>
            <w:tcW w:w="1160" w:type="dxa"/>
            <w:vAlign w:val="bottom"/>
          </w:tcPr>
          <w:p w14:paraId="2819D79D" w14:textId="77777777" w:rsidR="004647B9" w:rsidRDefault="004647B9">
            <w:pPr>
              <w:rPr>
                <w:sz w:val="24"/>
                <w:szCs w:val="24"/>
              </w:rPr>
            </w:pPr>
          </w:p>
        </w:tc>
        <w:tc>
          <w:tcPr>
            <w:tcW w:w="1340" w:type="dxa"/>
            <w:gridSpan w:val="2"/>
            <w:vAlign w:val="bottom"/>
          </w:tcPr>
          <w:p w14:paraId="2819D79E" w14:textId="77777777" w:rsidR="004647B9" w:rsidRDefault="00E2436F">
            <w:pPr>
              <w:rPr>
                <w:sz w:val="20"/>
                <w:szCs w:val="20"/>
              </w:rPr>
            </w:pPr>
            <w:r>
              <w:rPr>
                <w:rFonts w:eastAsia="Times New Roman"/>
                <w:sz w:val="18"/>
                <w:szCs w:val="18"/>
              </w:rPr>
              <w:t>3120B</w:t>
            </w:r>
          </w:p>
        </w:tc>
        <w:tc>
          <w:tcPr>
            <w:tcW w:w="1540" w:type="dxa"/>
            <w:gridSpan w:val="2"/>
            <w:vAlign w:val="bottom"/>
          </w:tcPr>
          <w:p w14:paraId="2819D79F" w14:textId="77777777" w:rsidR="004647B9" w:rsidRDefault="00E2436F">
            <w:pPr>
              <w:rPr>
                <w:sz w:val="20"/>
                <w:szCs w:val="20"/>
              </w:rPr>
            </w:pPr>
            <w:r>
              <w:rPr>
                <w:rFonts w:eastAsia="Times New Roman"/>
                <w:sz w:val="18"/>
                <w:szCs w:val="18"/>
              </w:rPr>
              <w:t>3120B-99</w:t>
            </w:r>
          </w:p>
        </w:tc>
        <w:tc>
          <w:tcPr>
            <w:tcW w:w="460" w:type="dxa"/>
            <w:vAlign w:val="bottom"/>
          </w:tcPr>
          <w:p w14:paraId="2819D7A0" w14:textId="77777777" w:rsidR="004647B9" w:rsidRDefault="004647B9">
            <w:pPr>
              <w:rPr>
                <w:sz w:val="24"/>
                <w:szCs w:val="24"/>
              </w:rPr>
            </w:pPr>
          </w:p>
        </w:tc>
        <w:tc>
          <w:tcPr>
            <w:tcW w:w="740" w:type="dxa"/>
            <w:vAlign w:val="bottom"/>
          </w:tcPr>
          <w:p w14:paraId="2819D7A1" w14:textId="77777777" w:rsidR="004647B9" w:rsidRDefault="004647B9">
            <w:pPr>
              <w:rPr>
                <w:sz w:val="24"/>
                <w:szCs w:val="24"/>
              </w:rPr>
            </w:pPr>
          </w:p>
        </w:tc>
        <w:tc>
          <w:tcPr>
            <w:tcW w:w="0" w:type="dxa"/>
            <w:vAlign w:val="bottom"/>
          </w:tcPr>
          <w:p w14:paraId="2819D7A2" w14:textId="77777777" w:rsidR="004647B9" w:rsidRDefault="004647B9">
            <w:pPr>
              <w:rPr>
                <w:sz w:val="1"/>
                <w:szCs w:val="1"/>
              </w:rPr>
            </w:pPr>
          </w:p>
        </w:tc>
      </w:tr>
      <w:tr w:rsidR="004647B9" w14:paraId="2819D7B1" w14:textId="77777777">
        <w:trPr>
          <w:trHeight w:val="278"/>
        </w:trPr>
        <w:tc>
          <w:tcPr>
            <w:tcW w:w="1020" w:type="dxa"/>
            <w:vAlign w:val="bottom"/>
          </w:tcPr>
          <w:p w14:paraId="2819D7A4" w14:textId="77777777" w:rsidR="004647B9" w:rsidRDefault="004647B9">
            <w:pPr>
              <w:rPr>
                <w:sz w:val="24"/>
                <w:szCs w:val="24"/>
              </w:rPr>
            </w:pPr>
          </w:p>
        </w:tc>
        <w:tc>
          <w:tcPr>
            <w:tcW w:w="180" w:type="dxa"/>
            <w:vAlign w:val="bottom"/>
          </w:tcPr>
          <w:p w14:paraId="2819D7A5" w14:textId="77777777" w:rsidR="004647B9" w:rsidRDefault="004647B9">
            <w:pPr>
              <w:rPr>
                <w:sz w:val="24"/>
                <w:szCs w:val="24"/>
              </w:rPr>
            </w:pPr>
          </w:p>
        </w:tc>
        <w:tc>
          <w:tcPr>
            <w:tcW w:w="2600" w:type="dxa"/>
            <w:gridSpan w:val="2"/>
            <w:vAlign w:val="bottom"/>
          </w:tcPr>
          <w:p w14:paraId="2819D7A6" w14:textId="77777777" w:rsidR="004647B9" w:rsidRDefault="00E2436F">
            <w:pPr>
              <w:rPr>
                <w:sz w:val="20"/>
                <w:szCs w:val="20"/>
              </w:rPr>
            </w:pPr>
            <w:r>
              <w:rPr>
                <w:rFonts w:eastAsia="Times New Roman"/>
                <w:sz w:val="18"/>
                <w:szCs w:val="18"/>
              </w:rPr>
              <w:t>ICP-Mass Spectrometry</w:t>
            </w:r>
          </w:p>
        </w:tc>
        <w:tc>
          <w:tcPr>
            <w:tcW w:w="900" w:type="dxa"/>
            <w:gridSpan w:val="2"/>
            <w:vAlign w:val="bottom"/>
          </w:tcPr>
          <w:p w14:paraId="2819D7A7"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560" w:type="dxa"/>
            <w:vAlign w:val="bottom"/>
          </w:tcPr>
          <w:p w14:paraId="2819D7A8" w14:textId="77777777" w:rsidR="004647B9" w:rsidRDefault="004647B9">
            <w:pPr>
              <w:rPr>
                <w:sz w:val="24"/>
                <w:szCs w:val="24"/>
              </w:rPr>
            </w:pPr>
          </w:p>
        </w:tc>
        <w:tc>
          <w:tcPr>
            <w:tcW w:w="1160" w:type="dxa"/>
            <w:vAlign w:val="bottom"/>
          </w:tcPr>
          <w:p w14:paraId="2819D7A9" w14:textId="77777777" w:rsidR="004647B9" w:rsidRDefault="004647B9">
            <w:pPr>
              <w:rPr>
                <w:sz w:val="24"/>
                <w:szCs w:val="24"/>
              </w:rPr>
            </w:pPr>
          </w:p>
        </w:tc>
        <w:tc>
          <w:tcPr>
            <w:tcW w:w="280" w:type="dxa"/>
            <w:vAlign w:val="bottom"/>
          </w:tcPr>
          <w:p w14:paraId="2819D7AA" w14:textId="77777777" w:rsidR="004647B9" w:rsidRDefault="004647B9">
            <w:pPr>
              <w:rPr>
                <w:sz w:val="24"/>
                <w:szCs w:val="24"/>
              </w:rPr>
            </w:pPr>
          </w:p>
        </w:tc>
        <w:tc>
          <w:tcPr>
            <w:tcW w:w="1060" w:type="dxa"/>
            <w:vAlign w:val="bottom"/>
          </w:tcPr>
          <w:p w14:paraId="2819D7AB" w14:textId="77777777" w:rsidR="004647B9" w:rsidRDefault="004647B9">
            <w:pPr>
              <w:rPr>
                <w:sz w:val="24"/>
                <w:szCs w:val="24"/>
              </w:rPr>
            </w:pPr>
          </w:p>
        </w:tc>
        <w:tc>
          <w:tcPr>
            <w:tcW w:w="880" w:type="dxa"/>
            <w:vAlign w:val="bottom"/>
          </w:tcPr>
          <w:p w14:paraId="2819D7AC" w14:textId="77777777" w:rsidR="004647B9" w:rsidRDefault="004647B9">
            <w:pPr>
              <w:rPr>
                <w:sz w:val="24"/>
                <w:szCs w:val="24"/>
              </w:rPr>
            </w:pPr>
          </w:p>
        </w:tc>
        <w:tc>
          <w:tcPr>
            <w:tcW w:w="660" w:type="dxa"/>
            <w:vAlign w:val="bottom"/>
          </w:tcPr>
          <w:p w14:paraId="2819D7AD" w14:textId="77777777" w:rsidR="004647B9" w:rsidRDefault="004647B9">
            <w:pPr>
              <w:rPr>
                <w:sz w:val="24"/>
                <w:szCs w:val="24"/>
              </w:rPr>
            </w:pPr>
          </w:p>
        </w:tc>
        <w:tc>
          <w:tcPr>
            <w:tcW w:w="460" w:type="dxa"/>
            <w:vAlign w:val="bottom"/>
          </w:tcPr>
          <w:p w14:paraId="2819D7AE" w14:textId="77777777" w:rsidR="004647B9" w:rsidRDefault="004647B9">
            <w:pPr>
              <w:rPr>
                <w:sz w:val="24"/>
                <w:szCs w:val="24"/>
              </w:rPr>
            </w:pPr>
          </w:p>
        </w:tc>
        <w:tc>
          <w:tcPr>
            <w:tcW w:w="740" w:type="dxa"/>
            <w:vAlign w:val="bottom"/>
          </w:tcPr>
          <w:p w14:paraId="2819D7AF" w14:textId="77777777" w:rsidR="004647B9" w:rsidRDefault="004647B9">
            <w:pPr>
              <w:rPr>
                <w:sz w:val="24"/>
                <w:szCs w:val="24"/>
              </w:rPr>
            </w:pPr>
          </w:p>
        </w:tc>
        <w:tc>
          <w:tcPr>
            <w:tcW w:w="0" w:type="dxa"/>
            <w:vAlign w:val="bottom"/>
          </w:tcPr>
          <w:p w14:paraId="2819D7B0" w14:textId="77777777" w:rsidR="004647B9" w:rsidRDefault="004647B9">
            <w:pPr>
              <w:rPr>
                <w:sz w:val="1"/>
                <w:szCs w:val="1"/>
              </w:rPr>
            </w:pPr>
          </w:p>
        </w:tc>
      </w:tr>
      <w:tr w:rsidR="004647B9" w14:paraId="2819D7BD" w14:textId="77777777">
        <w:trPr>
          <w:trHeight w:val="280"/>
        </w:trPr>
        <w:tc>
          <w:tcPr>
            <w:tcW w:w="1020" w:type="dxa"/>
            <w:vAlign w:val="bottom"/>
          </w:tcPr>
          <w:p w14:paraId="2819D7B2" w14:textId="77777777" w:rsidR="004647B9" w:rsidRDefault="00E2436F">
            <w:pPr>
              <w:rPr>
                <w:sz w:val="20"/>
                <w:szCs w:val="20"/>
              </w:rPr>
            </w:pPr>
            <w:r>
              <w:rPr>
                <w:rFonts w:eastAsia="Times New Roman"/>
                <w:sz w:val="18"/>
                <w:szCs w:val="18"/>
              </w:rPr>
              <w:t>Beryllium</w:t>
            </w:r>
          </w:p>
        </w:tc>
        <w:tc>
          <w:tcPr>
            <w:tcW w:w="180" w:type="dxa"/>
            <w:vAlign w:val="bottom"/>
          </w:tcPr>
          <w:p w14:paraId="2819D7B3" w14:textId="77777777" w:rsidR="004647B9" w:rsidRDefault="004647B9">
            <w:pPr>
              <w:rPr>
                <w:sz w:val="24"/>
                <w:szCs w:val="24"/>
              </w:rPr>
            </w:pPr>
          </w:p>
        </w:tc>
        <w:tc>
          <w:tcPr>
            <w:tcW w:w="2600" w:type="dxa"/>
            <w:gridSpan w:val="2"/>
            <w:vAlign w:val="bottom"/>
          </w:tcPr>
          <w:p w14:paraId="2819D7B4"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7B5" w14:textId="77777777" w:rsidR="004647B9" w:rsidRDefault="004647B9">
            <w:pPr>
              <w:rPr>
                <w:sz w:val="24"/>
                <w:szCs w:val="24"/>
              </w:rPr>
            </w:pPr>
          </w:p>
        </w:tc>
        <w:tc>
          <w:tcPr>
            <w:tcW w:w="520" w:type="dxa"/>
            <w:vAlign w:val="bottom"/>
          </w:tcPr>
          <w:p w14:paraId="2819D7B6" w14:textId="77777777" w:rsidR="004647B9" w:rsidRDefault="004647B9">
            <w:pPr>
              <w:rPr>
                <w:sz w:val="24"/>
                <w:szCs w:val="24"/>
              </w:rPr>
            </w:pPr>
          </w:p>
        </w:tc>
        <w:tc>
          <w:tcPr>
            <w:tcW w:w="1720" w:type="dxa"/>
            <w:gridSpan w:val="2"/>
            <w:vMerge w:val="restart"/>
            <w:vAlign w:val="bottom"/>
          </w:tcPr>
          <w:p w14:paraId="2819D7B7" w14:textId="77777777" w:rsidR="004647B9" w:rsidRDefault="00E2436F">
            <w:pPr>
              <w:rPr>
                <w:sz w:val="20"/>
                <w:szCs w:val="20"/>
              </w:rPr>
            </w:pPr>
            <w:r>
              <w:rPr>
                <w:rFonts w:eastAsia="Times New Roman"/>
                <w:sz w:val="18"/>
                <w:szCs w:val="18"/>
              </w:rPr>
              <w:t>D3645-97, 03B</w:t>
            </w:r>
          </w:p>
        </w:tc>
        <w:tc>
          <w:tcPr>
            <w:tcW w:w="1340" w:type="dxa"/>
            <w:gridSpan w:val="2"/>
            <w:vAlign w:val="bottom"/>
          </w:tcPr>
          <w:p w14:paraId="2819D7B8" w14:textId="77777777" w:rsidR="004647B9" w:rsidRDefault="00E2436F">
            <w:pPr>
              <w:rPr>
                <w:sz w:val="20"/>
                <w:szCs w:val="20"/>
              </w:rPr>
            </w:pPr>
            <w:r>
              <w:rPr>
                <w:rFonts w:eastAsia="Times New Roman"/>
                <w:sz w:val="18"/>
                <w:szCs w:val="18"/>
              </w:rPr>
              <w:t>3113B</w:t>
            </w:r>
          </w:p>
        </w:tc>
        <w:tc>
          <w:tcPr>
            <w:tcW w:w="1540" w:type="dxa"/>
            <w:gridSpan w:val="2"/>
            <w:vAlign w:val="bottom"/>
          </w:tcPr>
          <w:p w14:paraId="2819D7B9" w14:textId="77777777" w:rsidR="004647B9" w:rsidRDefault="00E2436F">
            <w:pPr>
              <w:ind w:left="20"/>
              <w:rPr>
                <w:sz w:val="20"/>
                <w:szCs w:val="20"/>
              </w:rPr>
            </w:pPr>
            <w:r>
              <w:rPr>
                <w:rFonts w:eastAsia="Times New Roman"/>
                <w:sz w:val="18"/>
                <w:szCs w:val="18"/>
              </w:rPr>
              <w:t>3113B-99</w:t>
            </w:r>
          </w:p>
        </w:tc>
        <w:tc>
          <w:tcPr>
            <w:tcW w:w="460" w:type="dxa"/>
            <w:vAlign w:val="bottom"/>
          </w:tcPr>
          <w:p w14:paraId="2819D7BA" w14:textId="77777777" w:rsidR="004647B9" w:rsidRDefault="004647B9">
            <w:pPr>
              <w:rPr>
                <w:sz w:val="24"/>
                <w:szCs w:val="24"/>
              </w:rPr>
            </w:pPr>
          </w:p>
        </w:tc>
        <w:tc>
          <w:tcPr>
            <w:tcW w:w="740" w:type="dxa"/>
            <w:vAlign w:val="bottom"/>
          </w:tcPr>
          <w:p w14:paraId="2819D7BB" w14:textId="77777777" w:rsidR="004647B9" w:rsidRDefault="004647B9">
            <w:pPr>
              <w:rPr>
                <w:sz w:val="24"/>
                <w:szCs w:val="24"/>
              </w:rPr>
            </w:pPr>
          </w:p>
        </w:tc>
        <w:tc>
          <w:tcPr>
            <w:tcW w:w="0" w:type="dxa"/>
            <w:vAlign w:val="bottom"/>
          </w:tcPr>
          <w:p w14:paraId="2819D7BC" w14:textId="77777777" w:rsidR="004647B9" w:rsidRDefault="004647B9">
            <w:pPr>
              <w:rPr>
                <w:sz w:val="1"/>
                <w:szCs w:val="1"/>
              </w:rPr>
            </w:pPr>
          </w:p>
        </w:tc>
      </w:tr>
      <w:tr w:rsidR="004647B9" w14:paraId="2819D7CA" w14:textId="77777777">
        <w:trPr>
          <w:trHeight w:val="79"/>
        </w:trPr>
        <w:tc>
          <w:tcPr>
            <w:tcW w:w="1020" w:type="dxa"/>
            <w:vAlign w:val="bottom"/>
          </w:tcPr>
          <w:p w14:paraId="2819D7BE" w14:textId="77777777" w:rsidR="004647B9" w:rsidRDefault="004647B9">
            <w:pPr>
              <w:rPr>
                <w:sz w:val="6"/>
                <w:szCs w:val="6"/>
              </w:rPr>
            </w:pPr>
          </w:p>
        </w:tc>
        <w:tc>
          <w:tcPr>
            <w:tcW w:w="180" w:type="dxa"/>
            <w:vAlign w:val="bottom"/>
          </w:tcPr>
          <w:p w14:paraId="2819D7BF" w14:textId="77777777" w:rsidR="004647B9" w:rsidRDefault="004647B9">
            <w:pPr>
              <w:rPr>
                <w:sz w:val="6"/>
                <w:szCs w:val="6"/>
              </w:rPr>
            </w:pPr>
          </w:p>
        </w:tc>
        <w:tc>
          <w:tcPr>
            <w:tcW w:w="2600" w:type="dxa"/>
            <w:gridSpan w:val="2"/>
            <w:vMerge w:val="restart"/>
            <w:vAlign w:val="bottom"/>
          </w:tcPr>
          <w:p w14:paraId="2819D7C0" w14:textId="77777777" w:rsidR="004647B9" w:rsidRDefault="00E2436F">
            <w:pPr>
              <w:rPr>
                <w:sz w:val="20"/>
                <w:szCs w:val="20"/>
              </w:rPr>
            </w:pPr>
            <w:r>
              <w:rPr>
                <w:rFonts w:eastAsia="Times New Roman"/>
                <w:sz w:val="18"/>
                <w:szCs w:val="18"/>
              </w:rPr>
              <w:t>Atomic Absorption; Platform</w:t>
            </w:r>
          </w:p>
        </w:tc>
        <w:tc>
          <w:tcPr>
            <w:tcW w:w="900" w:type="dxa"/>
            <w:gridSpan w:val="2"/>
            <w:vMerge w:val="restart"/>
            <w:vAlign w:val="bottom"/>
          </w:tcPr>
          <w:p w14:paraId="2819D7C1"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1720" w:type="dxa"/>
            <w:gridSpan w:val="2"/>
            <w:vMerge/>
            <w:vAlign w:val="bottom"/>
          </w:tcPr>
          <w:p w14:paraId="2819D7C2" w14:textId="77777777" w:rsidR="004647B9" w:rsidRDefault="004647B9">
            <w:pPr>
              <w:rPr>
                <w:sz w:val="6"/>
                <w:szCs w:val="6"/>
              </w:rPr>
            </w:pPr>
          </w:p>
        </w:tc>
        <w:tc>
          <w:tcPr>
            <w:tcW w:w="280" w:type="dxa"/>
            <w:vAlign w:val="bottom"/>
          </w:tcPr>
          <w:p w14:paraId="2819D7C3" w14:textId="77777777" w:rsidR="004647B9" w:rsidRDefault="004647B9">
            <w:pPr>
              <w:rPr>
                <w:sz w:val="6"/>
                <w:szCs w:val="6"/>
              </w:rPr>
            </w:pPr>
          </w:p>
        </w:tc>
        <w:tc>
          <w:tcPr>
            <w:tcW w:w="1060" w:type="dxa"/>
            <w:vAlign w:val="bottom"/>
          </w:tcPr>
          <w:p w14:paraId="2819D7C4" w14:textId="77777777" w:rsidR="004647B9" w:rsidRDefault="004647B9">
            <w:pPr>
              <w:rPr>
                <w:sz w:val="6"/>
                <w:szCs w:val="6"/>
              </w:rPr>
            </w:pPr>
          </w:p>
        </w:tc>
        <w:tc>
          <w:tcPr>
            <w:tcW w:w="880" w:type="dxa"/>
            <w:vAlign w:val="bottom"/>
          </w:tcPr>
          <w:p w14:paraId="2819D7C5" w14:textId="77777777" w:rsidR="004647B9" w:rsidRDefault="004647B9">
            <w:pPr>
              <w:rPr>
                <w:sz w:val="6"/>
                <w:szCs w:val="6"/>
              </w:rPr>
            </w:pPr>
          </w:p>
        </w:tc>
        <w:tc>
          <w:tcPr>
            <w:tcW w:w="660" w:type="dxa"/>
            <w:vAlign w:val="bottom"/>
          </w:tcPr>
          <w:p w14:paraId="2819D7C6" w14:textId="77777777" w:rsidR="004647B9" w:rsidRDefault="004647B9">
            <w:pPr>
              <w:rPr>
                <w:sz w:val="6"/>
                <w:szCs w:val="6"/>
              </w:rPr>
            </w:pPr>
          </w:p>
        </w:tc>
        <w:tc>
          <w:tcPr>
            <w:tcW w:w="460" w:type="dxa"/>
            <w:vAlign w:val="bottom"/>
          </w:tcPr>
          <w:p w14:paraId="2819D7C7" w14:textId="77777777" w:rsidR="004647B9" w:rsidRDefault="004647B9">
            <w:pPr>
              <w:rPr>
                <w:sz w:val="6"/>
                <w:szCs w:val="6"/>
              </w:rPr>
            </w:pPr>
          </w:p>
        </w:tc>
        <w:tc>
          <w:tcPr>
            <w:tcW w:w="740" w:type="dxa"/>
            <w:vAlign w:val="bottom"/>
          </w:tcPr>
          <w:p w14:paraId="2819D7C8" w14:textId="77777777" w:rsidR="004647B9" w:rsidRDefault="004647B9">
            <w:pPr>
              <w:rPr>
                <w:sz w:val="6"/>
                <w:szCs w:val="6"/>
              </w:rPr>
            </w:pPr>
          </w:p>
        </w:tc>
        <w:tc>
          <w:tcPr>
            <w:tcW w:w="0" w:type="dxa"/>
            <w:vAlign w:val="bottom"/>
          </w:tcPr>
          <w:p w14:paraId="2819D7C9" w14:textId="77777777" w:rsidR="004647B9" w:rsidRDefault="004647B9">
            <w:pPr>
              <w:rPr>
                <w:sz w:val="1"/>
                <w:szCs w:val="1"/>
              </w:rPr>
            </w:pPr>
          </w:p>
        </w:tc>
      </w:tr>
      <w:tr w:rsidR="004647B9" w14:paraId="2819D7D8" w14:textId="77777777">
        <w:trPr>
          <w:trHeight w:val="200"/>
        </w:trPr>
        <w:tc>
          <w:tcPr>
            <w:tcW w:w="1020" w:type="dxa"/>
            <w:vAlign w:val="bottom"/>
          </w:tcPr>
          <w:p w14:paraId="2819D7CB" w14:textId="77777777" w:rsidR="004647B9" w:rsidRDefault="004647B9">
            <w:pPr>
              <w:rPr>
                <w:sz w:val="17"/>
                <w:szCs w:val="17"/>
              </w:rPr>
            </w:pPr>
          </w:p>
        </w:tc>
        <w:tc>
          <w:tcPr>
            <w:tcW w:w="180" w:type="dxa"/>
            <w:vAlign w:val="bottom"/>
          </w:tcPr>
          <w:p w14:paraId="2819D7CC" w14:textId="77777777" w:rsidR="004647B9" w:rsidRDefault="004647B9">
            <w:pPr>
              <w:rPr>
                <w:sz w:val="17"/>
                <w:szCs w:val="17"/>
              </w:rPr>
            </w:pPr>
          </w:p>
        </w:tc>
        <w:tc>
          <w:tcPr>
            <w:tcW w:w="2600" w:type="dxa"/>
            <w:gridSpan w:val="2"/>
            <w:vMerge/>
            <w:vAlign w:val="bottom"/>
          </w:tcPr>
          <w:p w14:paraId="2819D7CD" w14:textId="77777777" w:rsidR="004647B9" w:rsidRDefault="004647B9">
            <w:pPr>
              <w:rPr>
                <w:sz w:val="17"/>
                <w:szCs w:val="17"/>
              </w:rPr>
            </w:pPr>
          </w:p>
        </w:tc>
        <w:tc>
          <w:tcPr>
            <w:tcW w:w="900" w:type="dxa"/>
            <w:gridSpan w:val="2"/>
            <w:vMerge/>
            <w:vAlign w:val="bottom"/>
          </w:tcPr>
          <w:p w14:paraId="2819D7CE" w14:textId="77777777" w:rsidR="004647B9" w:rsidRDefault="004647B9">
            <w:pPr>
              <w:rPr>
                <w:sz w:val="17"/>
                <w:szCs w:val="17"/>
              </w:rPr>
            </w:pPr>
          </w:p>
        </w:tc>
        <w:tc>
          <w:tcPr>
            <w:tcW w:w="560" w:type="dxa"/>
            <w:vAlign w:val="bottom"/>
          </w:tcPr>
          <w:p w14:paraId="2819D7CF" w14:textId="77777777" w:rsidR="004647B9" w:rsidRDefault="004647B9">
            <w:pPr>
              <w:rPr>
                <w:sz w:val="17"/>
                <w:szCs w:val="17"/>
              </w:rPr>
            </w:pPr>
          </w:p>
        </w:tc>
        <w:tc>
          <w:tcPr>
            <w:tcW w:w="1160" w:type="dxa"/>
            <w:vAlign w:val="bottom"/>
          </w:tcPr>
          <w:p w14:paraId="2819D7D0" w14:textId="77777777" w:rsidR="004647B9" w:rsidRDefault="004647B9">
            <w:pPr>
              <w:rPr>
                <w:sz w:val="17"/>
                <w:szCs w:val="17"/>
              </w:rPr>
            </w:pPr>
          </w:p>
        </w:tc>
        <w:tc>
          <w:tcPr>
            <w:tcW w:w="280" w:type="dxa"/>
            <w:vAlign w:val="bottom"/>
          </w:tcPr>
          <w:p w14:paraId="2819D7D1" w14:textId="77777777" w:rsidR="004647B9" w:rsidRDefault="004647B9">
            <w:pPr>
              <w:rPr>
                <w:sz w:val="17"/>
                <w:szCs w:val="17"/>
              </w:rPr>
            </w:pPr>
          </w:p>
        </w:tc>
        <w:tc>
          <w:tcPr>
            <w:tcW w:w="1060" w:type="dxa"/>
            <w:vAlign w:val="bottom"/>
          </w:tcPr>
          <w:p w14:paraId="2819D7D2" w14:textId="77777777" w:rsidR="004647B9" w:rsidRDefault="004647B9">
            <w:pPr>
              <w:rPr>
                <w:sz w:val="17"/>
                <w:szCs w:val="17"/>
              </w:rPr>
            </w:pPr>
          </w:p>
        </w:tc>
        <w:tc>
          <w:tcPr>
            <w:tcW w:w="880" w:type="dxa"/>
            <w:vAlign w:val="bottom"/>
          </w:tcPr>
          <w:p w14:paraId="2819D7D3" w14:textId="77777777" w:rsidR="004647B9" w:rsidRDefault="004647B9">
            <w:pPr>
              <w:rPr>
                <w:sz w:val="17"/>
                <w:szCs w:val="17"/>
              </w:rPr>
            </w:pPr>
          </w:p>
        </w:tc>
        <w:tc>
          <w:tcPr>
            <w:tcW w:w="660" w:type="dxa"/>
            <w:vAlign w:val="bottom"/>
          </w:tcPr>
          <w:p w14:paraId="2819D7D4" w14:textId="77777777" w:rsidR="004647B9" w:rsidRDefault="004647B9">
            <w:pPr>
              <w:rPr>
                <w:sz w:val="17"/>
                <w:szCs w:val="17"/>
              </w:rPr>
            </w:pPr>
          </w:p>
        </w:tc>
        <w:tc>
          <w:tcPr>
            <w:tcW w:w="460" w:type="dxa"/>
            <w:vAlign w:val="bottom"/>
          </w:tcPr>
          <w:p w14:paraId="2819D7D5" w14:textId="77777777" w:rsidR="004647B9" w:rsidRDefault="004647B9">
            <w:pPr>
              <w:rPr>
                <w:sz w:val="17"/>
                <w:szCs w:val="17"/>
              </w:rPr>
            </w:pPr>
          </w:p>
        </w:tc>
        <w:tc>
          <w:tcPr>
            <w:tcW w:w="740" w:type="dxa"/>
            <w:vAlign w:val="bottom"/>
          </w:tcPr>
          <w:p w14:paraId="2819D7D6" w14:textId="77777777" w:rsidR="004647B9" w:rsidRDefault="004647B9">
            <w:pPr>
              <w:rPr>
                <w:sz w:val="17"/>
                <w:szCs w:val="17"/>
              </w:rPr>
            </w:pPr>
          </w:p>
        </w:tc>
        <w:tc>
          <w:tcPr>
            <w:tcW w:w="0" w:type="dxa"/>
            <w:vAlign w:val="bottom"/>
          </w:tcPr>
          <w:p w14:paraId="2819D7D7" w14:textId="77777777" w:rsidR="004647B9" w:rsidRDefault="004647B9">
            <w:pPr>
              <w:rPr>
                <w:sz w:val="1"/>
                <w:szCs w:val="1"/>
              </w:rPr>
            </w:pPr>
          </w:p>
        </w:tc>
      </w:tr>
      <w:tr w:rsidR="004647B9" w14:paraId="2819D7E4" w14:textId="77777777">
        <w:trPr>
          <w:trHeight w:val="281"/>
        </w:trPr>
        <w:tc>
          <w:tcPr>
            <w:tcW w:w="1020" w:type="dxa"/>
            <w:vAlign w:val="bottom"/>
          </w:tcPr>
          <w:p w14:paraId="2819D7D9" w14:textId="77777777" w:rsidR="004647B9" w:rsidRDefault="004647B9">
            <w:pPr>
              <w:rPr>
                <w:sz w:val="24"/>
                <w:szCs w:val="24"/>
              </w:rPr>
            </w:pPr>
          </w:p>
        </w:tc>
        <w:tc>
          <w:tcPr>
            <w:tcW w:w="180" w:type="dxa"/>
            <w:vAlign w:val="bottom"/>
          </w:tcPr>
          <w:p w14:paraId="2819D7DA" w14:textId="77777777" w:rsidR="004647B9" w:rsidRDefault="004647B9">
            <w:pPr>
              <w:rPr>
                <w:sz w:val="24"/>
                <w:szCs w:val="24"/>
              </w:rPr>
            </w:pPr>
          </w:p>
        </w:tc>
        <w:tc>
          <w:tcPr>
            <w:tcW w:w="2600" w:type="dxa"/>
            <w:gridSpan w:val="2"/>
            <w:vAlign w:val="bottom"/>
          </w:tcPr>
          <w:p w14:paraId="2819D7DB" w14:textId="77777777" w:rsidR="004647B9" w:rsidRDefault="00E2436F">
            <w:pPr>
              <w:rPr>
                <w:sz w:val="20"/>
                <w:szCs w:val="20"/>
              </w:rPr>
            </w:pPr>
            <w:r>
              <w:rPr>
                <w:rFonts w:eastAsia="Times New Roman"/>
                <w:sz w:val="18"/>
                <w:szCs w:val="18"/>
              </w:rPr>
              <w:t>Inductively Coupled Plasma</w:t>
            </w:r>
          </w:p>
        </w:tc>
        <w:tc>
          <w:tcPr>
            <w:tcW w:w="900" w:type="dxa"/>
            <w:gridSpan w:val="2"/>
            <w:vAlign w:val="bottom"/>
          </w:tcPr>
          <w:p w14:paraId="2819D7DC"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200.7</w:t>
            </w:r>
          </w:p>
        </w:tc>
        <w:tc>
          <w:tcPr>
            <w:tcW w:w="560" w:type="dxa"/>
            <w:vAlign w:val="bottom"/>
          </w:tcPr>
          <w:p w14:paraId="2819D7DD" w14:textId="77777777" w:rsidR="004647B9" w:rsidRDefault="004647B9">
            <w:pPr>
              <w:rPr>
                <w:sz w:val="24"/>
                <w:szCs w:val="24"/>
              </w:rPr>
            </w:pPr>
          </w:p>
        </w:tc>
        <w:tc>
          <w:tcPr>
            <w:tcW w:w="1160" w:type="dxa"/>
            <w:vAlign w:val="bottom"/>
          </w:tcPr>
          <w:p w14:paraId="2819D7DE" w14:textId="77777777" w:rsidR="004647B9" w:rsidRDefault="004647B9">
            <w:pPr>
              <w:rPr>
                <w:sz w:val="24"/>
                <w:szCs w:val="24"/>
              </w:rPr>
            </w:pPr>
          </w:p>
        </w:tc>
        <w:tc>
          <w:tcPr>
            <w:tcW w:w="1340" w:type="dxa"/>
            <w:gridSpan w:val="2"/>
            <w:vAlign w:val="bottom"/>
          </w:tcPr>
          <w:p w14:paraId="2819D7DF" w14:textId="77777777" w:rsidR="004647B9" w:rsidRDefault="00E2436F">
            <w:pPr>
              <w:rPr>
                <w:sz w:val="20"/>
                <w:szCs w:val="20"/>
              </w:rPr>
            </w:pPr>
            <w:r>
              <w:rPr>
                <w:rFonts w:eastAsia="Times New Roman"/>
                <w:sz w:val="18"/>
                <w:szCs w:val="18"/>
              </w:rPr>
              <w:t>3120B</w:t>
            </w:r>
          </w:p>
        </w:tc>
        <w:tc>
          <w:tcPr>
            <w:tcW w:w="1540" w:type="dxa"/>
            <w:gridSpan w:val="2"/>
            <w:vAlign w:val="bottom"/>
          </w:tcPr>
          <w:p w14:paraId="2819D7E0" w14:textId="77777777" w:rsidR="004647B9" w:rsidRDefault="00E2436F">
            <w:pPr>
              <w:rPr>
                <w:sz w:val="20"/>
                <w:szCs w:val="20"/>
              </w:rPr>
            </w:pPr>
            <w:r>
              <w:rPr>
                <w:rFonts w:eastAsia="Times New Roman"/>
                <w:sz w:val="18"/>
                <w:szCs w:val="18"/>
              </w:rPr>
              <w:t>3120B-99</w:t>
            </w:r>
          </w:p>
        </w:tc>
        <w:tc>
          <w:tcPr>
            <w:tcW w:w="460" w:type="dxa"/>
            <w:vAlign w:val="bottom"/>
          </w:tcPr>
          <w:p w14:paraId="2819D7E1" w14:textId="77777777" w:rsidR="004647B9" w:rsidRDefault="004647B9">
            <w:pPr>
              <w:rPr>
                <w:sz w:val="24"/>
                <w:szCs w:val="24"/>
              </w:rPr>
            </w:pPr>
          </w:p>
        </w:tc>
        <w:tc>
          <w:tcPr>
            <w:tcW w:w="740" w:type="dxa"/>
            <w:vAlign w:val="bottom"/>
          </w:tcPr>
          <w:p w14:paraId="2819D7E2" w14:textId="77777777" w:rsidR="004647B9" w:rsidRDefault="004647B9">
            <w:pPr>
              <w:rPr>
                <w:sz w:val="24"/>
                <w:szCs w:val="24"/>
              </w:rPr>
            </w:pPr>
          </w:p>
        </w:tc>
        <w:tc>
          <w:tcPr>
            <w:tcW w:w="0" w:type="dxa"/>
            <w:vAlign w:val="bottom"/>
          </w:tcPr>
          <w:p w14:paraId="2819D7E3" w14:textId="77777777" w:rsidR="004647B9" w:rsidRDefault="004647B9">
            <w:pPr>
              <w:rPr>
                <w:sz w:val="1"/>
                <w:szCs w:val="1"/>
              </w:rPr>
            </w:pPr>
          </w:p>
        </w:tc>
      </w:tr>
      <w:tr w:rsidR="004647B9" w14:paraId="2819D7F2" w14:textId="77777777">
        <w:trPr>
          <w:trHeight w:val="278"/>
        </w:trPr>
        <w:tc>
          <w:tcPr>
            <w:tcW w:w="1020" w:type="dxa"/>
            <w:vAlign w:val="bottom"/>
          </w:tcPr>
          <w:p w14:paraId="2819D7E5" w14:textId="77777777" w:rsidR="004647B9" w:rsidRDefault="004647B9">
            <w:pPr>
              <w:rPr>
                <w:sz w:val="24"/>
                <w:szCs w:val="24"/>
              </w:rPr>
            </w:pPr>
          </w:p>
        </w:tc>
        <w:tc>
          <w:tcPr>
            <w:tcW w:w="180" w:type="dxa"/>
            <w:vAlign w:val="bottom"/>
          </w:tcPr>
          <w:p w14:paraId="2819D7E6" w14:textId="77777777" w:rsidR="004647B9" w:rsidRDefault="004647B9">
            <w:pPr>
              <w:rPr>
                <w:sz w:val="24"/>
                <w:szCs w:val="24"/>
              </w:rPr>
            </w:pPr>
          </w:p>
        </w:tc>
        <w:tc>
          <w:tcPr>
            <w:tcW w:w="2600" w:type="dxa"/>
            <w:gridSpan w:val="2"/>
            <w:vAlign w:val="bottom"/>
          </w:tcPr>
          <w:p w14:paraId="2819D7E7" w14:textId="77777777" w:rsidR="004647B9" w:rsidRDefault="00E2436F">
            <w:pPr>
              <w:rPr>
                <w:sz w:val="20"/>
                <w:szCs w:val="20"/>
              </w:rPr>
            </w:pPr>
            <w:r>
              <w:rPr>
                <w:rFonts w:eastAsia="Times New Roman"/>
                <w:sz w:val="18"/>
                <w:szCs w:val="18"/>
              </w:rPr>
              <w:t>ICP-Mass Spectrometry</w:t>
            </w:r>
          </w:p>
        </w:tc>
        <w:tc>
          <w:tcPr>
            <w:tcW w:w="900" w:type="dxa"/>
            <w:gridSpan w:val="2"/>
            <w:vAlign w:val="bottom"/>
          </w:tcPr>
          <w:p w14:paraId="2819D7E8"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560" w:type="dxa"/>
            <w:vAlign w:val="bottom"/>
          </w:tcPr>
          <w:p w14:paraId="2819D7E9" w14:textId="77777777" w:rsidR="004647B9" w:rsidRDefault="004647B9">
            <w:pPr>
              <w:rPr>
                <w:sz w:val="24"/>
                <w:szCs w:val="24"/>
              </w:rPr>
            </w:pPr>
          </w:p>
        </w:tc>
        <w:tc>
          <w:tcPr>
            <w:tcW w:w="1160" w:type="dxa"/>
            <w:vAlign w:val="bottom"/>
          </w:tcPr>
          <w:p w14:paraId="2819D7EA" w14:textId="77777777" w:rsidR="004647B9" w:rsidRDefault="004647B9">
            <w:pPr>
              <w:rPr>
                <w:sz w:val="24"/>
                <w:szCs w:val="24"/>
              </w:rPr>
            </w:pPr>
          </w:p>
        </w:tc>
        <w:tc>
          <w:tcPr>
            <w:tcW w:w="280" w:type="dxa"/>
            <w:vAlign w:val="bottom"/>
          </w:tcPr>
          <w:p w14:paraId="2819D7EB" w14:textId="77777777" w:rsidR="004647B9" w:rsidRDefault="004647B9">
            <w:pPr>
              <w:rPr>
                <w:sz w:val="24"/>
                <w:szCs w:val="24"/>
              </w:rPr>
            </w:pPr>
          </w:p>
        </w:tc>
        <w:tc>
          <w:tcPr>
            <w:tcW w:w="1060" w:type="dxa"/>
            <w:vAlign w:val="bottom"/>
          </w:tcPr>
          <w:p w14:paraId="2819D7EC" w14:textId="77777777" w:rsidR="004647B9" w:rsidRDefault="004647B9">
            <w:pPr>
              <w:rPr>
                <w:sz w:val="24"/>
                <w:szCs w:val="24"/>
              </w:rPr>
            </w:pPr>
          </w:p>
        </w:tc>
        <w:tc>
          <w:tcPr>
            <w:tcW w:w="880" w:type="dxa"/>
            <w:vAlign w:val="bottom"/>
          </w:tcPr>
          <w:p w14:paraId="2819D7ED" w14:textId="77777777" w:rsidR="004647B9" w:rsidRDefault="004647B9">
            <w:pPr>
              <w:rPr>
                <w:sz w:val="24"/>
                <w:szCs w:val="24"/>
              </w:rPr>
            </w:pPr>
          </w:p>
        </w:tc>
        <w:tc>
          <w:tcPr>
            <w:tcW w:w="660" w:type="dxa"/>
            <w:vAlign w:val="bottom"/>
          </w:tcPr>
          <w:p w14:paraId="2819D7EE" w14:textId="77777777" w:rsidR="004647B9" w:rsidRDefault="004647B9">
            <w:pPr>
              <w:rPr>
                <w:sz w:val="24"/>
                <w:szCs w:val="24"/>
              </w:rPr>
            </w:pPr>
          </w:p>
        </w:tc>
        <w:tc>
          <w:tcPr>
            <w:tcW w:w="460" w:type="dxa"/>
            <w:vAlign w:val="bottom"/>
          </w:tcPr>
          <w:p w14:paraId="2819D7EF" w14:textId="77777777" w:rsidR="004647B9" w:rsidRDefault="004647B9">
            <w:pPr>
              <w:rPr>
                <w:sz w:val="24"/>
                <w:szCs w:val="24"/>
              </w:rPr>
            </w:pPr>
          </w:p>
        </w:tc>
        <w:tc>
          <w:tcPr>
            <w:tcW w:w="740" w:type="dxa"/>
            <w:vAlign w:val="bottom"/>
          </w:tcPr>
          <w:p w14:paraId="2819D7F0" w14:textId="77777777" w:rsidR="004647B9" w:rsidRDefault="004647B9">
            <w:pPr>
              <w:rPr>
                <w:sz w:val="24"/>
                <w:szCs w:val="24"/>
              </w:rPr>
            </w:pPr>
          </w:p>
        </w:tc>
        <w:tc>
          <w:tcPr>
            <w:tcW w:w="0" w:type="dxa"/>
            <w:vAlign w:val="bottom"/>
          </w:tcPr>
          <w:p w14:paraId="2819D7F1" w14:textId="77777777" w:rsidR="004647B9" w:rsidRDefault="004647B9">
            <w:pPr>
              <w:rPr>
                <w:sz w:val="1"/>
                <w:szCs w:val="1"/>
              </w:rPr>
            </w:pPr>
          </w:p>
        </w:tc>
      </w:tr>
    </w:tbl>
    <w:p w14:paraId="2819D7F3" w14:textId="77777777" w:rsidR="004647B9" w:rsidRDefault="004647B9">
      <w:pPr>
        <w:sectPr w:rsidR="004647B9" w:rsidSect="00EF630C">
          <w:pgSz w:w="12240" w:h="20180"/>
          <w:pgMar w:top="708" w:right="1140" w:bottom="1440" w:left="600" w:header="0" w:footer="0" w:gutter="0"/>
          <w:cols w:space="720" w:equalWidth="0">
            <w:col w:w="10500"/>
          </w:cols>
        </w:sectPr>
      </w:pPr>
    </w:p>
    <w:p w14:paraId="2819D7F4" w14:textId="77777777" w:rsidR="004647B9" w:rsidRDefault="00E2436F">
      <w:pPr>
        <w:tabs>
          <w:tab w:val="left" w:pos="2860"/>
        </w:tabs>
        <w:ind w:left="1680"/>
        <w:rPr>
          <w:sz w:val="20"/>
          <w:szCs w:val="20"/>
        </w:rPr>
      </w:pPr>
      <w:bookmarkStart w:id="54" w:name="page55"/>
      <w:bookmarkEnd w:id="5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7F5" w14:textId="77777777" w:rsidR="004647B9" w:rsidRDefault="004647B9" w:rsidP="00AE2733">
      <w:pPr>
        <w:rPr>
          <w:sz w:val="20"/>
          <w:szCs w:val="20"/>
        </w:rPr>
      </w:pPr>
    </w:p>
    <w:p w14:paraId="2819D7F6" w14:textId="77777777" w:rsidR="004647B9" w:rsidRDefault="004647B9" w:rsidP="00AE2733">
      <w:pPr>
        <w:rPr>
          <w:sz w:val="20"/>
          <w:szCs w:val="20"/>
        </w:rPr>
      </w:pPr>
    </w:p>
    <w:p w14:paraId="2819D7F7"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7F8" w14:textId="77777777" w:rsidR="004647B9" w:rsidRDefault="004647B9" w:rsidP="00AE2733">
      <w:pPr>
        <w:rPr>
          <w:sz w:val="20"/>
          <w:szCs w:val="20"/>
        </w:rPr>
      </w:pPr>
    </w:p>
    <w:tbl>
      <w:tblPr>
        <w:tblW w:w="0" w:type="auto"/>
        <w:tblLayout w:type="fixed"/>
        <w:tblCellMar>
          <w:left w:w="0" w:type="dxa"/>
          <w:right w:w="0" w:type="dxa"/>
        </w:tblCellMar>
        <w:tblLook w:val="04A0" w:firstRow="1" w:lastRow="0" w:firstColumn="1" w:lastColumn="0" w:noHBand="0" w:noVBand="1"/>
      </w:tblPr>
      <w:tblGrid>
        <w:gridCol w:w="1020"/>
        <w:gridCol w:w="180"/>
        <w:gridCol w:w="1080"/>
        <w:gridCol w:w="1520"/>
        <w:gridCol w:w="380"/>
        <w:gridCol w:w="480"/>
        <w:gridCol w:w="40"/>
        <w:gridCol w:w="560"/>
        <w:gridCol w:w="900"/>
        <w:gridCol w:w="260"/>
        <w:gridCol w:w="280"/>
        <w:gridCol w:w="540"/>
        <w:gridCol w:w="340"/>
        <w:gridCol w:w="180"/>
        <w:gridCol w:w="880"/>
        <w:gridCol w:w="660"/>
        <w:gridCol w:w="460"/>
        <w:gridCol w:w="1160"/>
        <w:gridCol w:w="20"/>
      </w:tblGrid>
      <w:tr w:rsidR="004647B9" w14:paraId="2819D806" w14:textId="77777777">
        <w:trPr>
          <w:trHeight w:val="276"/>
        </w:trPr>
        <w:tc>
          <w:tcPr>
            <w:tcW w:w="1020" w:type="dxa"/>
            <w:vAlign w:val="bottom"/>
          </w:tcPr>
          <w:p w14:paraId="2819D7F9" w14:textId="77777777" w:rsidR="004647B9" w:rsidRDefault="00E2436F">
            <w:pPr>
              <w:rPr>
                <w:sz w:val="20"/>
                <w:szCs w:val="20"/>
              </w:rPr>
            </w:pPr>
            <w:r>
              <w:rPr>
                <w:rFonts w:eastAsia="Times New Roman"/>
                <w:sz w:val="18"/>
                <w:szCs w:val="18"/>
              </w:rPr>
              <w:t>Contaminant</w:t>
            </w:r>
          </w:p>
        </w:tc>
        <w:tc>
          <w:tcPr>
            <w:tcW w:w="180" w:type="dxa"/>
            <w:vAlign w:val="bottom"/>
          </w:tcPr>
          <w:p w14:paraId="2819D7FA" w14:textId="77777777" w:rsidR="004647B9" w:rsidRDefault="004647B9">
            <w:pPr>
              <w:rPr>
                <w:sz w:val="23"/>
                <w:szCs w:val="23"/>
              </w:rPr>
            </w:pPr>
          </w:p>
        </w:tc>
        <w:tc>
          <w:tcPr>
            <w:tcW w:w="2600" w:type="dxa"/>
            <w:gridSpan w:val="2"/>
            <w:vAlign w:val="bottom"/>
          </w:tcPr>
          <w:p w14:paraId="2819D7FB" w14:textId="77777777" w:rsidR="004647B9" w:rsidRDefault="00E2436F">
            <w:pPr>
              <w:rPr>
                <w:sz w:val="20"/>
                <w:szCs w:val="20"/>
              </w:rPr>
            </w:pPr>
            <w:r>
              <w:rPr>
                <w:rFonts w:eastAsia="Times New Roman"/>
                <w:sz w:val="18"/>
                <w:szCs w:val="18"/>
              </w:rPr>
              <w:t>Methodology</w:t>
            </w:r>
            <w:r>
              <w:rPr>
                <w:rFonts w:eastAsia="Times New Roman"/>
                <w:sz w:val="24"/>
                <w:szCs w:val="24"/>
                <w:vertAlign w:val="superscript"/>
              </w:rPr>
              <w:t>11</w:t>
            </w:r>
          </w:p>
        </w:tc>
        <w:tc>
          <w:tcPr>
            <w:tcW w:w="860" w:type="dxa"/>
            <w:gridSpan w:val="2"/>
            <w:vAlign w:val="bottom"/>
          </w:tcPr>
          <w:p w14:paraId="2819D7FC" w14:textId="77777777" w:rsidR="004647B9" w:rsidRDefault="00E2436F">
            <w:pPr>
              <w:rPr>
                <w:sz w:val="20"/>
                <w:szCs w:val="20"/>
              </w:rPr>
            </w:pPr>
            <w:r>
              <w:rPr>
                <w:rFonts w:eastAsia="Times New Roman"/>
                <w:sz w:val="18"/>
                <w:szCs w:val="18"/>
              </w:rPr>
              <w:t>EPA</w:t>
            </w:r>
          </w:p>
        </w:tc>
        <w:tc>
          <w:tcPr>
            <w:tcW w:w="40" w:type="dxa"/>
            <w:vAlign w:val="bottom"/>
          </w:tcPr>
          <w:p w14:paraId="2819D7FD" w14:textId="77777777" w:rsidR="004647B9" w:rsidRDefault="004647B9">
            <w:pPr>
              <w:rPr>
                <w:sz w:val="23"/>
                <w:szCs w:val="23"/>
              </w:rPr>
            </w:pPr>
          </w:p>
        </w:tc>
        <w:tc>
          <w:tcPr>
            <w:tcW w:w="1460" w:type="dxa"/>
            <w:gridSpan w:val="2"/>
            <w:vAlign w:val="bottom"/>
          </w:tcPr>
          <w:p w14:paraId="2819D7FE" w14:textId="77777777" w:rsidR="004647B9" w:rsidRDefault="00E2436F">
            <w:pPr>
              <w:rPr>
                <w:sz w:val="20"/>
                <w:szCs w:val="20"/>
              </w:rPr>
            </w:pPr>
            <w:r>
              <w:rPr>
                <w:rFonts w:eastAsia="Times New Roman"/>
                <w:sz w:val="18"/>
                <w:szCs w:val="18"/>
              </w:rPr>
              <w:t xml:space="preserve">ASTM </w:t>
            </w:r>
            <w:r>
              <w:rPr>
                <w:rFonts w:eastAsia="Times New Roman"/>
                <w:sz w:val="24"/>
                <w:szCs w:val="24"/>
                <w:vertAlign w:val="superscript"/>
              </w:rPr>
              <w:t>3</w:t>
            </w:r>
          </w:p>
        </w:tc>
        <w:tc>
          <w:tcPr>
            <w:tcW w:w="260" w:type="dxa"/>
            <w:vAlign w:val="bottom"/>
          </w:tcPr>
          <w:p w14:paraId="2819D7FF" w14:textId="77777777" w:rsidR="004647B9" w:rsidRDefault="004647B9">
            <w:pPr>
              <w:rPr>
                <w:sz w:val="23"/>
                <w:szCs w:val="23"/>
              </w:rPr>
            </w:pPr>
          </w:p>
        </w:tc>
        <w:tc>
          <w:tcPr>
            <w:tcW w:w="820" w:type="dxa"/>
            <w:gridSpan w:val="2"/>
            <w:vAlign w:val="bottom"/>
          </w:tcPr>
          <w:p w14:paraId="2819D800" w14:textId="77777777" w:rsidR="004647B9" w:rsidRDefault="00E2436F">
            <w:pPr>
              <w:rPr>
                <w:sz w:val="20"/>
                <w:szCs w:val="20"/>
              </w:rPr>
            </w:pPr>
            <w:r>
              <w:rPr>
                <w:rFonts w:eastAsia="Times New Roman"/>
                <w:sz w:val="18"/>
                <w:szCs w:val="18"/>
              </w:rPr>
              <w:t xml:space="preserve">SM </w:t>
            </w:r>
            <w:r>
              <w:rPr>
                <w:rFonts w:eastAsia="Times New Roman"/>
                <w:sz w:val="24"/>
                <w:szCs w:val="24"/>
                <w:vertAlign w:val="superscript"/>
              </w:rPr>
              <w:t>4</w:t>
            </w:r>
          </w:p>
        </w:tc>
        <w:tc>
          <w:tcPr>
            <w:tcW w:w="340" w:type="dxa"/>
            <w:vAlign w:val="bottom"/>
          </w:tcPr>
          <w:p w14:paraId="2819D801" w14:textId="77777777" w:rsidR="004647B9" w:rsidRDefault="004647B9">
            <w:pPr>
              <w:rPr>
                <w:sz w:val="23"/>
                <w:szCs w:val="23"/>
              </w:rPr>
            </w:pPr>
          </w:p>
        </w:tc>
        <w:tc>
          <w:tcPr>
            <w:tcW w:w="180" w:type="dxa"/>
            <w:vAlign w:val="bottom"/>
          </w:tcPr>
          <w:p w14:paraId="2819D802" w14:textId="77777777" w:rsidR="004647B9" w:rsidRDefault="004647B9">
            <w:pPr>
              <w:rPr>
                <w:sz w:val="23"/>
                <w:szCs w:val="23"/>
              </w:rPr>
            </w:pPr>
          </w:p>
        </w:tc>
        <w:tc>
          <w:tcPr>
            <w:tcW w:w="1540" w:type="dxa"/>
            <w:gridSpan w:val="2"/>
            <w:vAlign w:val="bottom"/>
          </w:tcPr>
          <w:p w14:paraId="2819D803" w14:textId="77777777" w:rsidR="004647B9" w:rsidRDefault="00E2436F">
            <w:pPr>
              <w:rPr>
                <w:sz w:val="20"/>
                <w:szCs w:val="20"/>
              </w:rPr>
            </w:pPr>
            <w:r>
              <w:rPr>
                <w:rFonts w:eastAsia="Times New Roman"/>
                <w:sz w:val="18"/>
                <w:szCs w:val="18"/>
              </w:rPr>
              <w:t>SM Online</w:t>
            </w:r>
            <w:r>
              <w:rPr>
                <w:rFonts w:eastAsia="Times New Roman"/>
                <w:sz w:val="24"/>
                <w:szCs w:val="24"/>
                <w:vertAlign w:val="superscript"/>
              </w:rPr>
              <w:t>23</w:t>
            </w:r>
          </w:p>
        </w:tc>
        <w:tc>
          <w:tcPr>
            <w:tcW w:w="1620" w:type="dxa"/>
            <w:gridSpan w:val="2"/>
            <w:vAlign w:val="bottom"/>
          </w:tcPr>
          <w:p w14:paraId="2819D804" w14:textId="77777777" w:rsidR="004647B9" w:rsidRDefault="00E2436F">
            <w:pPr>
              <w:rPr>
                <w:sz w:val="20"/>
                <w:szCs w:val="20"/>
              </w:rPr>
            </w:pPr>
            <w:r>
              <w:rPr>
                <w:rFonts w:eastAsia="Times New Roman"/>
                <w:sz w:val="18"/>
                <w:szCs w:val="18"/>
              </w:rPr>
              <w:t>Other</w:t>
            </w:r>
          </w:p>
        </w:tc>
        <w:tc>
          <w:tcPr>
            <w:tcW w:w="0" w:type="dxa"/>
            <w:vAlign w:val="bottom"/>
          </w:tcPr>
          <w:p w14:paraId="2819D805" w14:textId="77777777" w:rsidR="004647B9" w:rsidRDefault="004647B9">
            <w:pPr>
              <w:rPr>
                <w:sz w:val="1"/>
                <w:szCs w:val="1"/>
              </w:rPr>
            </w:pPr>
          </w:p>
        </w:tc>
      </w:tr>
      <w:tr w:rsidR="004647B9" w14:paraId="2819D81A" w14:textId="77777777">
        <w:trPr>
          <w:trHeight w:val="20"/>
        </w:trPr>
        <w:tc>
          <w:tcPr>
            <w:tcW w:w="1020" w:type="dxa"/>
            <w:shd w:val="clear" w:color="auto" w:fill="000000"/>
            <w:vAlign w:val="bottom"/>
          </w:tcPr>
          <w:p w14:paraId="2819D807" w14:textId="77777777" w:rsidR="004647B9" w:rsidRDefault="004647B9">
            <w:pPr>
              <w:spacing w:line="20" w:lineRule="exact"/>
              <w:rPr>
                <w:sz w:val="1"/>
                <w:szCs w:val="1"/>
              </w:rPr>
            </w:pPr>
          </w:p>
        </w:tc>
        <w:tc>
          <w:tcPr>
            <w:tcW w:w="180" w:type="dxa"/>
            <w:vAlign w:val="bottom"/>
          </w:tcPr>
          <w:p w14:paraId="2819D808" w14:textId="77777777" w:rsidR="004647B9" w:rsidRDefault="004647B9">
            <w:pPr>
              <w:spacing w:line="20" w:lineRule="exact"/>
              <w:rPr>
                <w:sz w:val="1"/>
                <w:szCs w:val="1"/>
              </w:rPr>
            </w:pPr>
          </w:p>
        </w:tc>
        <w:tc>
          <w:tcPr>
            <w:tcW w:w="1080" w:type="dxa"/>
            <w:shd w:val="clear" w:color="auto" w:fill="000000"/>
            <w:vAlign w:val="bottom"/>
          </w:tcPr>
          <w:p w14:paraId="2819D809" w14:textId="77777777" w:rsidR="004647B9" w:rsidRDefault="004647B9">
            <w:pPr>
              <w:spacing w:line="20" w:lineRule="exact"/>
              <w:rPr>
                <w:sz w:val="1"/>
                <w:szCs w:val="1"/>
              </w:rPr>
            </w:pPr>
          </w:p>
        </w:tc>
        <w:tc>
          <w:tcPr>
            <w:tcW w:w="1520" w:type="dxa"/>
            <w:vAlign w:val="bottom"/>
          </w:tcPr>
          <w:p w14:paraId="2819D80A" w14:textId="77777777" w:rsidR="004647B9" w:rsidRDefault="004647B9">
            <w:pPr>
              <w:spacing w:line="20" w:lineRule="exact"/>
              <w:rPr>
                <w:sz w:val="1"/>
                <w:szCs w:val="1"/>
              </w:rPr>
            </w:pPr>
          </w:p>
        </w:tc>
        <w:tc>
          <w:tcPr>
            <w:tcW w:w="380" w:type="dxa"/>
            <w:shd w:val="clear" w:color="auto" w:fill="000000"/>
            <w:vAlign w:val="bottom"/>
          </w:tcPr>
          <w:p w14:paraId="2819D80B" w14:textId="77777777" w:rsidR="004647B9" w:rsidRDefault="004647B9">
            <w:pPr>
              <w:spacing w:line="20" w:lineRule="exact"/>
              <w:rPr>
                <w:sz w:val="1"/>
                <w:szCs w:val="1"/>
              </w:rPr>
            </w:pPr>
          </w:p>
        </w:tc>
        <w:tc>
          <w:tcPr>
            <w:tcW w:w="480" w:type="dxa"/>
            <w:vAlign w:val="bottom"/>
          </w:tcPr>
          <w:p w14:paraId="2819D80C" w14:textId="77777777" w:rsidR="004647B9" w:rsidRDefault="004647B9">
            <w:pPr>
              <w:spacing w:line="20" w:lineRule="exact"/>
              <w:rPr>
                <w:sz w:val="1"/>
                <w:szCs w:val="1"/>
              </w:rPr>
            </w:pPr>
          </w:p>
        </w:tc>
        <w:tc>
          <w:tcPr>
            <w:tcW w:w="40" w:type="dxa"/>
            <w:vAlign w:val="bottom"/>
          </w:tcPr>
          <w:p w14:paraId="2819D80D" w14:textId="77777777" w:rsidR="004647B9" w:rsidRDefault="004647B9">
            <w:pPr>
              <w:spacing w:line="20" w:lineRule="exact"/>
              <w:rPr>
                <w:sz w:val="1"/>
                <w:szCs w:val="1"/>
              </w:rPr>
            </w:pPr>
          </w:p>
        </w:tc>
        <w:tc>
          <w:tcPr>
            <w:tcW w:w="560" w:type="dxa"/>
            <w:shd w:val="clear" w:color="auto" w:fill="000000"/>
            <w:vAlign w:val="bottom"/>
          </w:tcPr>
          <w:p w14:paraId="2819D80E" w14:textId="77777777" w:rsidR="004647B9" w:rsidRDefault="004647B9">
            <w:pPr>
              <w:spacing w:line="20" w:lineRule="exact"/>
              <w:rPr>
                <w:sz w:val="1"/>
                <w:szCs w:val="1"/>
              </w:rPr>
            </w:pPr>
          </w:p>
        </w:tc>
        <w:tc>
          <w:tcPr>
            <w:tcW w:w="900" w:type="dxa"/>
            <w:vAlign w:val="bottom"/>
          </w:tcPr>
          <w:p w14:paraId="2819D80F" w14:textId="77777777" w:rsidR="004647B9" w:rsidRDefault="004647B9">
            <w:pPr>
              <w:spacing w:line="20" w:lineRule="exact"/>
              <w:rPr>
                <w:sz w:val="1"/>
                <w:szCs w:val="1"/>
              </w:rPr>
            </w:pPr>
          </w:p>
        </w:tc>
        <w:tc>
          <w:tcPr>
            <w:tcW w:w="260" w:type="dxa"/>
            <w:vAlign w:val="bottom"/>
          </w:tcPr>
          <w:p w14:paraId="2819D810" w14:textId="77777777" w:rsidR="004647B9" w:rsidRDefault="004647B9">
            <w:pPr>
              <w:spacing w:line="20" w:lineRule="exact"/>
              <w:rPr>
                <w:sz w:val="1"/>
                <w:szCs w:val="1"/>
              </w:rPr>
            </w:pPr>
          </w:p>
        </w:tc>
        <w:tc>
          <w:tcPr>
            <w:tcW w:w="280" w:type="dxa"/>
            <w:shd w:val="clear" w:color="auto" w:fill="000000"/>
            <w:vAlign w:val="bottom"/>
          </w:tcPr>
          <w:p w14:paraId="2819D811" w14:textId="77777777" w:rsidR="004647B9" w:rsidRDefault="004647B9">
            <w:pPr>
              <w:spacing w:line="20" w:lineRule="exact"/>
              <w:rPr>
                <w:sz w:val="1"/>
                <w:szCs w:val="1"/>
              </w:rPr>
            </w:pPr>
          </w:p>
        </w:tc>
        <w:tc>
          <w:tcPr>
            <w:tcW w:w="540" w:type="dxa"/>
            <w:vAlign w:val="bottom"/>
          </w:tcPr>
          <w:p w14:paraId="2819D812" w14:textId="77777777" w:rsidR="004647B9" w:rsidRDefault="004647B9">
            <w:pPr>
              <w:spacing w:line="20" w:lineRule="exact"/>
              <w:rPr>
                <w:sz w:val="1"/>
                <w:szCs w:val="1"/>
              </w:rPr>
            </w:pPr>
          </w:p>
        </w:tc>
        <w:tc>
          <w:tcPr>
            <w:tcW w:w="340" w:type="dxa"/>
            <w:vAlign w:val="bottom"/>
          </w:tcPr>
          <w:p w14:paraId="2819D813" w14:textId="77777777" w:rsidR="004647B9" w:rsidRDefault="004647B9">
            <w:pPr>
              <w:spacing w:line="20" w:lineRule="exact"/>
              <w:rPr>
                <w:sz w:val="1"/>
                <w:szCs w:val="1"/>
              </w:rPr>
            </w:pPr>
          </w:p>
        </w:tc>
        <w:tc>
          <w:tcPr>
            <w:tcW w:w="180" w:type="dxa"/>
            <w:vAlign w:val="bottom"/>
          </w:tcPr>
          <w:p w14:paraId="2819D814" w14:textId="77777777" w:rsidR="004647B9" w:rsidRDefault="004647B9">
            <w:pPr>
              <w:spacing w:line="20" w:lineRule="exact"/>
              <w:rPr>
                <w:sz w:val="1"/>
                <w:szCs w:val="1"/>
              </w:rPr>
            </w:pPr>
          </w:p>
        </w:tc>
        <w:tc>
          <w:tcPr>
            <w:tcW w:w="880" w:type="dxa"/>
            <w:tcBorders>
              <w:right w:val="single" w:sz="8" w:space="0" w:color="auto"/>
            </w:tcBorders>
            <w:shd w:val="clear" w:color="auto" w:fill="000000"/>
            <w:vAlign w:val="bottom"/>
          </w:tcPr>
          <w:p w14:paraId="2819D815" w14:textId="77777777" w:rsidR="004647B9" w:rsidRDefault="004647B9">
            <w:pPr>
              <w:spacing w:line="20" w:lineRule="exact"/>
              <w:rPr>
                <w:sz w:val="1"/>
                <w:szCs w:val="1"/>
              </w:rPr>
            </w:pPr>
          </w:p>
        </w:tc>
        <w:tc>
          <w:tcPr>
            <w:tcW w:w="660" w:type="dxa"/>
            <w:vAlign w:val="bottom"/>
          </w:tcPr>
          <w:p w14:paraId="2819D816" w14:textId="77777777" w:rsidR="004647B9" w:rsidRDefault="004647B9">
            <w:pPr>
              <w:spacing w:line="20" w:lineRule="exact"/>
              <w:rPr>
                <w:sz w:val="1"/>
                <w:szCs w:val="1"/>
              </w:rPr>
            </w:pPr>
          </w:p>
        </w:tc>
        <w:tc>
          <w:tcPr>
            <w:tcW w:w="460" w:type="dxa"/>
            <w:shd w:val="clear" w:color="auto" w:fill="000000"/>
            <w:vAlign w:val="bottom"/>
          </w:tcPr>
          <w:p w14:paraId="2819D817" w14:textId="77777777" w:rsidR="004647B9" w:rsidRDefault="004647B9">
            <w:pPr>
              <w:spacing w:line="20" w:lineRule="exact"/>
              <w:rPr>
                <w:sz w:val="1"/>
                <w:szCs w:val="1"/>
              </w:rPr>
            </w:pPr>
          </w:p>
        </w:tc>
        <w:tc>
          <w:tcPr>
            <w:tcW w:w="1160" w:type="dxa"/>
            <w:vAlign w:val="bottom"/>
          </w:tcPr>
          <w:p w14:paraId="2819D818" w14:textId="77777777" w:rsidR="004647B9" w:rsidRDefault="004647B9">
            <w:pPr>
              <w:spacing w:line="20" w:lineRule="exact"/>
              <w:rPr>
                <w:sz w:val="1"/>
                <w:szCs w:val="1"/>
              </w:rPr>
            </w:pPr>
          </w:p>
        </w:tc>
        <w:tc>
          <w:tcPr>
            <w:tcW w:w="0" w:type="dxa"/>
            <w:vAlign w:val="bottom"/>
          </w:tcPr>
          <w:p w14:paraId="2819D819" w14:textId="77777777" w:rsidR="004647B9" w:rsidRDefault="004647B9">
            <w:pPr>
              <w:spacing w:line="20" w:lineRule="exact"/>
              <w:rPr>
                <w:sz w:val="1"/>
                <w:szCs w:val="1"/>
              </w:rPr>
            </w:pPr>
          </w:p>
        </w:tc>
      </w:tr>
      <w:tr w:rsidR="004647B9" w14:paraId="2819D82C" w14:textId="77777777">
        <w:trPr>
          <w:trHeight w:val="286"/>
        </w:trPr>
        <w:tc>
          <w:tcPr>
            <w:tcW w:w="1020" w:type="dxa"/>
            <w:vAlign w:val="bottom"/>
          </w:tcPr>
          <w:p w14:paraId="2819D81B" w14:textId="77777777" w:rsidR="004647B9" w:rsidRDefault="00E2436F">
            <w:pPr>
              <w:rPr>
                <w:sz w:val="20"/>
                <w:szCs w:val="20"/>
              </w:rPr>
            </w:pPr>
            <w:r>
              <w:rPr>
                <w:rFonts w:eastAsia="Times New Roman"/>
                <w:sz w:val="18"/>
                <w:szCs w:val="18"/>
              </w:rPr>
              <w:t>Cadmium</w:t>
            </w:r>
          </w:p>
        </w:tc>
        <w:tc>
          <w:tcPr>
            <w:tcW w:w="180" w:type="dxa"/>
            <w:vAlign w:val="bottom"/>
          </w:tcPr>
          <w:p w14:paraId="2819D81C" w14:textId="77777777" w:rsidR="004647B9" w:rsidRDefault="004647B9">
            <w:pPr>
              <w:rPr>
                <w:sz w:val="24"/>
                <w:szCs w:val="24"/>
              </w:rPr>
            </w:pPr>
          </w:p>
        </w:tc>
        <w:tc>
          <w:tcPr>
            <w:tcW w:w="2600" w:type="dxa"/>
            <w:gridSpan w:val="2"/>
            <w:vAlign w:val="bottom"/>
          </w:tcPr>
          <w:p w14:paraId="2819D81D"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81E" w14:textId="77777777" w:rsidR="004647B9" w:rsidRDefault="004647B9">
            <w:pPr>
              <w:rPr>
                <w:sz w:val="24"/>
                <w:szCs w:val="24"/>
              </w:rPr>
            </w:pPr>
          </w:p>
        </w:tc>
        <w:tc>
          <w:tcPr>
            <w:tcW w:w="480" w:type="dxa"/>
            <w:vAlign w:val="bottom"/>
          </w:tcPr>
          <w:p w14:paraId="2819D81F" w14:textId="77777777" w:rsidR="004647B9" w:rsidRDefault="004647B9">
            <w:pPr>
              <w:rPr>
                <w:sz w:val="24"/>
                <w:szCs w:val="24"/>
              </w:rPr>
            </w:pPr>
          </w:p>
        </w:tc>
        <w:tc>
          <w:tcPr>
            <w:tcW w:w="40" w:type="dxa"/>
            <w:vAlign w:val="bottom"/>
          </w:tcPr>
          <w:p w14:paraId="2819D820" w14:textId="77777777" w:rsidR="004647B9" w:rsidRDefault="004647B9">
            <w:pPr>
              <w:rPr>
                <w:sz w:val="24"/>
                <w:szCs w:val="24"/>
              </w:rPr>
            </w:pPr>
          </w:p>
        </w:tc>
        <w:tc>
          <w:tcPr>
            <w:tcW w:w="560" w:type="dxa"/>
            <w:vAlign w:val="bottom"/>
          </w:tcPr>
          <w:p w14:paraId="2819D821" w14:textId="77777777" w:rsidR="004647B9" w:rsidRDefault="004647B9">
            <w:pPr>
              <w:rPr>
                <w:sz w:val="24"/>
                <w:szCs w:val="24"/>
              </w:rPr>
            </w:pPr>
          </w:p>
        </w:tc>
        <w:tc>
          <w:tcPr>
            <w:tcW w:w="900" w:type="dxa"/>
            <w:vAlign w:val="bottom"/>
          </w:tcPr>
          <w:p w14:paraId="2819D822" w14:textId="77777777" w:rsidR="004647B9" w:rsidRDefault="004647B9">
            <w:pPr>
              <w:rPr>
                <w:sz w:val="24"/>
                <w:szCs w:val="24"/>
              </w:rPr>
            </w:pPr>
          </w:p>
        </w:tc>
        <w:tc>
          <w:tcPr>
            <w:tcW w:w="260" w:type="dxa"/>
            <w:vAlign w:val="bottom"/>
          </w:tcPr>
          <w:p w14:paraId="2819D823" w14:textId="77777777" w:rsidR="004647B9" w:rsidRDefault="004647B9">
            <w:pPr>
              <w:rPr>
                <w:sz w:val="24"/>
                <w:szCs w:val="24"/>
              </w:rPr>
            </w:pPr>
          </w:p>
        </w:tc>
        <w:tc>
          <w:tcPr>
            <w:tcW w:w="820" w:type="dxa"/>
            <w:gridSpan w:val="2"/>
            <w:vAlign w:val="bottom"/>
          </w:tcPr>
          <w:p w14:paraId="2819D824" w14:textId="77777777" w:rsidR="004647B9" w:rsidRDefault="00E2436F">
            <w:pPr>
              <w:rPr>
                <w:sz w:val="20"/>
                <w:szCs w:val="20"/>
              </w:rPr>
            </w:pPr>
            <w:r>
              <w:rPr>
                <w:rFonts w:eastAsia="Times New Roman"/>
                <w:sz w:val="18"/>
                <w:szCs w:val="18"/>
              </w:rPr>
              <w:t>3113B</w:t>
            </w:r>
          </w:p>
        </w:tc>
        <w:tc>
          <w:tcPr>
            <w:tcW w:w="340" w:type="dxa"/>
            <w:vAlign w:val="bottom"/>
          </w:tcPr>
          <w:p w14:paraId="2819D825" w14:textId="77777777" w:rsidR="004647B9" w:rsidRDefault="004647B9">
            <w:pPr>
              <w:rPr>
                <w:sz w:val="24"/>
                <w:szCs w:val="24"/>
              </w:rPr>
            </w:pPr>
          </w:p>
        </w:tc>
        <w:tc>
          <w:tcPr>
            <w:tcW w:w="180" w:type="dxa"/>
            <w:vAlign w:val="bottom"/>
          </w:tcPr>
          <w:p w14:paraId="2819D826" w14:textId="77777777" w:rsidR="004647B9" w:rsidRDefault="004647B9">
            <w:pPr>
              <w:rPr>
                <w:sz w:val="24"/>
                <w:szCs w:val="24"/>
              </w:rPr>
            </w:pPr>
          </w:p>
        </w:tc>
        <w:tc>
          <w:tcPr>
            <w:tcW w:w="880" w:type="dxa"/>
            <w:vAlign w:val="bottom"/>
          </w:tcPr>
          <w:p w14:paraId="2819D827" w14:textId="77777777" w:rsidR="004647B9" w:rsidRDefault="00E2436F">
            <w:pPr>
              <w:rPr>
                <w:sz w:val="20"/>
                <w:szCs w:val="20"/>
              </w:rPr>
            </w:pPr>
            <w:r>
              <w:rPr>
                <w:rFonts w:eastAsia="Times New Roman"/>
                <w:sz w:val="18"/>
                <w:szCs w:val="18"/>
              </w:rPr>
              <w:t>3113B-99</w:t>
            </w:r>
          </w:p>
        </w:tc>
        <w:tc>
          <w:tcPr>
            <w:tcW w:w="660" w:type="dxa"/>
            <w:vAlign w:val="bottom"/>
          </w:tcPr>
          <w:p w14:paraId="2819D828" w14:textId="77777777" w:rsidR="004647B9" w:rsidRDefault="004647B9">
            <w:pPr>
              <w:rPr>
                <w:sz w:val="24"/>
                <w:szCs w:val="24"/>
              </w:rPr>
            </w:pPr>
          </w:p>
        </w:tc>
        <w:tc>
          <w:tcPr>
            <w:tcW w:w="460" w:type="dxa"/>
            <w:vAlign w:val="bottom"/>
          </w:tcPr>
          <w:p w14:paraId="2819D829" w14:textId="77777777" w:rsidR="004647B9" w:rsidRDefault="004647B9">
            <w:pPr>
              <w:rPr>
                <w:sz w:val="24"/>
                <w:szCs w:val="24"/>
              </w:rPr>
            </w:pPr>
          </w:p>
        </w:tc>
        <w:tc>
          <w:tcPr>
            <w:tcW w:w="1160" w:type="dxa"/>
            <w:vAlign w:val="bottom"/>
          </w:tcPr>
          <w:p w14:paraId="2819D82A" w14:textId="77777777" w:rsidR="004647B9" w:rsidRDefault="004647B9">
            <w:pPr>
              <w:rPr>
                <w:sz w:val="24"/>
                <w:szCs w:val="24"/>
              </w:rPr>
            </w:pPr>
          </w:p>
        </w:tc>
        <w:tc>
          <w:tcPr>
            <w:tcW w:w="0" w:type="dxa"/>
            <w:vAlign w:val="bottom"/>
          </w:tcPr>
          <w:p w14:paraId="2819D82B" w14:textId="77777777" w:rsidR="004647B9" w:rsidRDefault="004647B9">
            <w:pPr>
              <w:rPr>
                <w:sz w:val="1"/>
                <w:szCs w:val="1"/>
              </w:rPr>
            </w:pPr>
          </w:p>
        </w:tc>
      </w:tr>
      <w:tr w:rsidR="004647B9" w14:paraId="2819D83E" w14:textId="77777777">
        <w:trPr>
          <w:trHeight w:val="281"/>
        </w:trPr>
        <w:tc>
          <w:tcPr>
            <w:tcW w:w="1020" w:type="dxa"/>
            <w:vAlign w:val="bottom"/>
          </w:tcPr>
          <w:p w14:paraId="2819D82D" w14:textId="77777777" w:rsidR="004647B9" w:rsidRDefault="004647B9">
            <w:pPr>
              <w:rPr>
                <w:sz w:val="24"/>
                <w:szCs w:val="24"/>
              </w:rPr>
            </w:pPr>
          </w:p>
        </w:tc>
        <w:tc>
          <w:tcPr>
            <w:tcW w:w="180" w:type="dxa"/>
            <w:vAlign w:val="bottom"/>
          </w:tcPr>
          <w:p w14:paraId="2819D82E" w14:textId="77777777" w:rsidR="004647B9" w:rsidRDefault="004647B9">
            <w:pPr>
              <w:rPr>
                <w:sz w:val="24"/>
                <w:szCs w:val="24"/>
              </w:rPr>
            </w:pPr>
          </w:p>
        </w:tc>
        <w:tc>
          <w:tcPr>
            <w:tcW w:w="2600" w:type="dxa"/>
            <w:gridSpan w:val="2"/>
            <w:vAlign w:val="bottom"/>
          </w:tcPr>
          <w:p w14:paraId="2819D82F" w14:textId="77777777" w:rsidR="004647B9" w:rsidRDefault="00E2436F">
            <w:pPr>
              <w:rPr>
                <w:sz w:val="20"/>
                <w:szCs w:val="20"/>
              </w:rPr>
            </w:pPr>
            <w:r>
              <w:rPr>
                <w:rFonts w:eastAsia="Times New Roman"/>
                <w:sz w:val="18"/>
                <w:szCs w:val="18"/>
              </w:rPr>
              <w:t>Inductively-coupled Plasma</w:t>
            </w:r>
          </w:p>
        </w:tc>
        <w:tc>
          <w:tcPr>
            <w:tcW w:w="860" w:type="dxa"/>
            <w:gridSpan w:val="2"/>
            <w:vAlign w:val="bottom"/>
          </w:tcPr>
          <w:p w14:paraId="2819D830" w14:textId="77777777" w:rsidR="004647B9" w:rsidRDefault="00E2436F">
            <w:pPr>
              <w:rPr>
                <w:sz w:val="20"/>
                <w:szCs w:val="20"/>
              </w:rPr>
            </w:pPr>
            <w:r>
              <w:rPr>
                <w:rFonts w:eastAsia="Times New Roman"/>
                <w:sz w:val="24"/>
                <w:szCs w:val="24"/>
                <w:vertAlign w:val="superscript"/>
              </w:rPr>
              <w:t>2</w:t>
            </w:r>
            <w:r>
              <w:rPr>
                <w:rFonts w:eastAsia="Times New Roman"/>
                <w:sz w:val="18"/>
                <w:szCs w:val="18"/>
              </w:rPr>
              <w:t>200.7</w:t>
            </w:r>
          </w:p>
        </w:tc>
        <w:tc>
          <w:tcPr>
            <w:tcW w:w="40" w:type="dxa"/>
            <w:vAlign w:val="bottom"/>
          </w:tcPr>
          <w:p w14:paraId="2819D831" w14:textId="77777777" w:rsidR="004647B9" w:rsidRDefault="004647B9">
            <w:pPr>
              <w:rPr>
                <w:sz w:val="24"/>
                <w:szCs w:val="24"/>
              </w:rPr>
            </w:pPr>
          </w:p>
        </w:tc>
        <w:tc>
          <w:tcPr>
            <w:tcW w:w="560" w:type="dxa"/>
            <w:vAlign w:val="bottom"/>
          </w:tcPr>
          <w:p w14:paraId="2819D832" w14:textId="77777777" w:rsidR="004647B9" w:rsidRDefault="004647B9">
            <w:pPr>
              <w:rPr>
                <w:sz w:val="24"/>
                <w:szCs w:val="24"/>
              </w:rPr>
            </w:pPr>
          </w:p>
        </w:tc>
        <w:tc>
          <w:tcPr>
            <w:tcW w:w="900" w:type="dxa"/>
            <w:vAlign w:val="bottom"/>
          </w:tcPr>
          <w:p w14:paraId="2819D833" w14:textId="77777777" w:rsidR="004647B9" w:rsidRDefault="004647B9">
            <w:pPr>
              <w:rPr>
                <w:sz w:val="24"/>
                <w:szCs w:val="24"/>
              </w:rPr>
            </w:pPr>
          </w:p>
        </w:tc>
        <w:tc>
          <w:tcPr>
            <w:tcW w:w="260" w:type="dxa"/>
            <w:vAlign w:val="bottom"/>
          </w:tcPr>
          <w:p w14:paraId="2819D834" w14:textId="77777777" w:rsidR="004647B9" w:rsidRDefault="004647B9">
            <w:pPr>
              <w:rPr>
                <w:sz w:val="24"/>
                <w:szCs w:val="24"/>
              </w:rPr>
            </w:pPr>
          </w:p>
        </w:tc>
        <w:tc>
          <w:tcPr>
            <w:tcW w:w="280" w:type="dxa"/>
            <w:vAlign w:val="bottom"/>
          </w:tcPr>
          <w:p w14:paraId="2819D835" w14:textId="77777777" w:rsidR="004647B9" w:rsidRDefault="004647B9">
            <w:pPr>
              <w:rPr>
                <w:sz w:val="24"/>
                <w:szCs w:val="24"/>
              </w:rPr>
            </w:pPr>
          </w:p>
        </w:tc>
        <w:tc>
          <w:tcPr>
            <w:tcW w:w="540" w:type="dxa"/>
            <w:vAlign w:val="bottom"/>
          </w:tcPr>
          <w:p w14:paraId="2819D836" w14:textId="77777777" w:rsidR="004647B9" w:rsidRDefault="004647B9">
            <w:pPr>
              <w:rPr>
                <w:sz w:val="24"/>
                <w:szCs w:val="24"/>
              </w:rPr>
            </w:pPr>
          </w:p>
        </w:tc>
        <w:tc>
          <w:tcPr>
            <w:tcW w:w="340" w:type="dxa"/>
            <w:vAlign w:val="bottom"/>
          </w:tcPr>
          <w:p w14:paraId="2819D837" w14:textId="77777777" w:rsidR="004647B9" w:rsidRDefault="004647B9">
            <w:pPr>
              <w:rPr>
                <w:sz w:val="24"/>
                <w:szCs w:val="24"/>
              </w:rPr>
            </w:pPr>
          </w:p>
        </w:tc>
        <w:tc>
          <w:tcPr>
            <w:tcW w:w="180" w:type="dxa"/>
            <w:vAlign w:val="bottom"/>
          </w:tcPr>
          <w:p w14:paraId="2819D838" w14:textId="77777777" w:rsidR="004647B9" w:rsidRDefault="004647B9">
            <w:pPr>
              <w:rPr>
                <w:sz w:val="24"/>
                <w:szCs w:val="24"/>
              </w:rPr>
            </w:pPr>
          </w:p>
        </w:tc>
        <w:tc>
          <w:tcPr>
            <w:tcW w:w="880" w:type="dxa"/>
            <w:vAlign w:val="bottom"/>
          </w:tcPr>
          <w:p w14:paraId="2819D839" w14:textId="77777777" w:rsidR="004647B9" w:rsidRDefault="004647B9">
            <w:pPr>
              <w:rPr>
                <w:sz w:val="24"/>
                <w:szCs w:val="24"/>
              </w:rPr>
            </w:pPr>
          </w:p>
        </w:tc>
        <w:tc>
          <w:tcPr>
            <w:tcW w:w="660" w:type="dxa"/>
            <w:vAlign w:val="bottom"/>
          </w:tcPr>
          <w:p w14:paraId="2819D83A" w14:textId="77777777" w:rsidR="004647B9" w:rsidRDefault="004647B9">
            <w:pPr>
              <w:rPr>
                <w:sz w:val="24"/>
                <w:szCs w:val="24"/>
              </w:rPr>
            </w:pPr>
          </w:p>
        </w:tc>
        <w:tc>
          <w:tcPr>
            <w:tcW w:w="460" w:type="dxa"/>
            <w:vAlign w:val="bottom"/>
          </w:tcPr>
          <w:p w14:paraId="2819D83B" w14:textId="77777777" w:rsidR="004647B9" w:rsidRDefault="004647B9">
            <w:pPr>
              <w:rPr>
                <w:sz w:val="24"/>
                <w:szCs w:val="24"/>
              </w:rPr>
            </w:pPr>
          </w:p>
        </w:tc>
        <w:tc>
          <w:tcPr>
            <w:tcW w:w="1160" w:type="dxa"/>
            <w:vAlign w:val="bottom"/>
          </w:tcPr>
          <w:p w14:paraId="2819D83C" w14:textId="77777777" w:rsidR="004647B9" w:rsidRDefault="004647B9">
            <w:pPr>
              <w:rPr>
                <w:sz w:val="24"/>
                <w:szCs w:val="24"/>
              </w:rPr>
            </w:pPr>
          </w:p>
        </w:tc>
        <w:tc>
          <w:tcPr>
            <w:tcW w:w="0" w:type="dxa"/>
            <w:vAlign w:val="bottom"/>
          </w:tcPr>
          <w:p w14:paraId="2819D83D" w14:textId="77777777" w:rsidR="004647B9" w:rsidRDefault="004647B9">
            <w:pPr>
              <w:rPr>
                <w:sz w:val="1"/>
                <w:szCs w:val="1"/>
              </w:rPr>
            </w:pPr>
          </w:p>
        </w:tc>
      </w:tr>
      <w:tr w:rsidR="004647B9" w14:paraId="2819D850" w14:textId="77777777">
        <w:trPr>
          <w:trHeight w:val="278"/>
        </w:trPr>
        <w:tc>
          <w:tcPr>
            <w:tcW w:w="1020" w:type="dxa"/>
            <w:vAlign w:val="bottom"/>
          </w:tcPr>
          <w:p w14:paraId="2819D83F" w14:textId="77777777" w:rsidR="004647B9" w:rsidRDefault="004647B9">
            <w:pPr>
              <w:rPr>
                <w:sz w:val="24"/>
                <w:szCs w:val="24"/>
              </w:rPr>
            </w:pPr>
          </w:p>
        </w:tc>
        <w:tc>
          <w:tcPr>
            <w:tcW w:w="180" w:type="dxa"/>
            <w:vAlign w:val="bottom"/>
          </w:tcPr>
          <w:p w14:paraId="2819D840" w14:textId="77777777" w:rsidR="004647B9" w:rsidRDefault="004647B9">
            <w:pPr>
              <w:rPr>
                <w:sz w:val="24"/>
                <w:szCs w:val="24"/>
              </w:rPr>
            </w:pPr>
          </w:p>
        </w:tc>
        <w:tc>
          <w:tcPr>
            <w:tcW w:w="2600" w:type="dxa"/>
            <w:gridSpan w:val="2"/>
            <w:vAlign w:val="bottom"/>
          </w:tcPr>
          <w:p w14:paraId="2819D841" w14:textId="77777777" w:rsidR="004647B9" w:rsidRDefault="00E2436F">
            <w:pPr>
              <w:rPr>
                <w:sz w:val="20"/>
                <w:szCs w:val="20"/>
              </w:rPr>
            </w:pPr>
            <w:r>
              <w:rPr>
                <w:rFonts w:eastAsia="Times New Roman"/>
                <w:sz w:val="18"/>
                <w:szCs w:val="18"/>
              </w:rPr>
              <w:t>ICP-Mass Spectrometry</w:t>
            </w:r>
          </w:p>
        </w:tc>
        <w:tc>
          <w:tcPr>
            <w:tcW w:w="860" w:type="dxa"/>
            <w:gridSpan w:val="2"/>
            <w:vAlign w:val="bottom"/>
          </w:tcPr>
          <w:p w14:paraId="2819D842"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843" w14:textId="77777777" w:rsidR="004647B9" w:rsidRDefault="004647B9">
            <w:pPr>
              <w:rPr>
                <w:sz w:val="24"/>
                <w:szCs w:val="24"/>
              </w:rPr>
            </w:pPr>
          </w:p>
        </w:tc>
        <w:tc>
          <w:tcPr>
            <w:tcW w:w="560" w:type="dxa"/>
            <w:vAlign w:val="bottom"/>
          </w:tcPr>
          <w:p w14:paraId="2819D844" w14:textId="77777777" w:rsidR="004647B9" w:rsidRDefault="004647B9">
            <w:pPr>
              <w:rPr>
                <w:sz w:val="24"/>
                <w:szCs w:val="24"/>
              </w:rPr>
            </w:pPr>
          </w:p>
        </w:tc>
        <w:tc>
          <w:tcPr>
            <w:tcW w:w="900" w:type="dxa"/>
            <w:vAlign w:val="bottom"/>
          </w:tcPr>
          <w:p w14:paraId="2819D845" w14:textId="77777777" w:rsidR="004647B9" w:rsidRDefault="004647B9">
            <w:pPr>
              <w:rPr>
                <w:sz w:val="24"/>
                <w:szCs w:val="24"/>
              </w:rPr>
            </w:pPr>
          </w:p>
        </w:tc>
        <w:tc>
          <w:tcPr>
            <w:tcW w:w="260" w:type="dxa"/>
            <w:vAlign w:val="bottom"/>
          </w:tcPr>
          <w:p w14:paraId="2819D846" w14:textId="77777777" w:rsidR="004647B9" w:rsidRDefault="004647B9">
            <w:pPr>
              <w:rPr>
                <w:sz w:val="24"/>
                <w:szCs w:val="24"/>
              </w:rPr>
            </w:pPr>
          </w:p>
        </w:tc>
        <w:tc>
          <w:tcPr>
            <w:tcW w:w="280" w:type="dxa"/>
            <w:vAlign w:val="bottom"/>
          </w:tcPr>
          <w:p w14:paraId="2819D847" w14:textId="77777777" w:rsidR="004647B9" w:rsidRDefault="004647B9">
            <w:pPr>
              <w:rPr>
                <w:sz w:val="24"/>
                <w:szCs w:val="24"/>
              </w:rPr>
            </w:pPr>
          </w:p>
        </w:tc>
        <w:tc>
          <w:tcPr>
            <w:tcW w:w="540" w:type="dxa"/>
            <w:vAlign w:val="bottom"/>
          </w:tcPr>
          <w:p w14:paraId="2819D848" w14:textId="77777777" w:rsidR="004647B9" w:rsidRDefault="004647B9">
            <w:pPr>
              <w:rPr>
                <w:sz w:val="24"/>
                <w:szCs w:val="24"/>
              </w:rPr>
            </w:pPr>
          </w:p>
        </w:tc>
        <w:tc>
          <w:tcPr>
            <w:tcW w:w="340" w:type="dxa"/>
            <w:vAlign w:val="bottom"/>
          </w:tcPr>
          <w:p w14:paraId="2819D849" w14:textId="77777777" w:rsidR="004647B9" w:rsidRDefault="004647B9">
            <w:pPr>
              <w:rPr>
                <w:sz w:val="24"/>
                <w:szCs w:val="24"/>
              </w:rPr>
            </w:pPr>
          </w:p>
        </w:tc>
        <w:tc>
          <w:tcPr>
            <w:tcW w:w="180" w:type="dxa"/>
            <w:vAlign w:val="bottom"/>
          </w:tcPr>
          <w:p w14:paraId="2819D84A" w14:textId="77777777" w:rsidR="004647B9" w:rsidRDefault="004647B9">
            <w:pPr>
              <w:rPr>
                <w:sz w:val="24"/>
                <w:szCs w:val="24"/>
              </w:rPr>
            </w:pPr>
          </w:p>
        </w:tc>
        <w:tc>
          <w:tcPr>
            <w:tcW w:w="880" w:type="dxa"/>
            <w:vAlign w:val="bottom"/>
          </w:tcPr>
          <w:p w14:paraId="2819D84B" w14:textId="77777777" w:rsidR="004647B9" w:rsidRDefault="004647B9">
            <w:pPr>
              <w:rPr>
                <w:sz w:val="24"/>
                <w:szCs w:val="24"/>
              </w:rPr>
            </w:pPr>
          </w:p>
        </w:tc>
        <w:tc>
          <w:tcPr>
            <w:tcW w:w="660" w:type="dxa"/>
            <w:vAlign w:val="bottom"/>
          </w:tcPr>
          <w:p w14:paraId="2819D84C" w14:textId="77777777" w:rsidR="004647B9" w:rsidRDefault="004647B9">
            <w:pPr>
              <w:rPr>
                <w:sz w:val="24"/>
                <w:szCs w:val="24"/>
              </w:rPr>
            </w:pPr>
          </w:p>
        </w:tc>
        <w:tc>
          <w:tcPr>
            <w:tcW w:w="460" w:type="dxa"/>
            <w:vAlign w:val="bottom"/>
          </w:tcPr>
          <w:p w14:paraId="2819D84D" w14:textId="77777777" w:rsidR="004647B9" w:rsidRDefault="004647B9">
            <w:pPr>
              <w:rPr>
                <w:sz w:val="24"/>
                <w:szCs w:val="24"/>
              </w:rPr>
            </w:pPr>
          </w:p>
        </w:tc>
        <w:tc>
          <w:tcPr>
            <w:tcW w:w="1160" w:type="dxa"/>
            <w:vAlign w:val="bottom"/>
          </w:tcPr>
          <w:p w14:paraId="2819D84E" w14:textId="77777777" w:rsidR="004647B9" w:rsidRDefault="004647B9">
            <w:pPr>
              <w:rPr>
                <w:sz w:val="24"/>
                <w:szCs w:val="24"/>
              </w:rPr>
            </w:pPr>
          </w:p>
        </w:tc>
        <w:tc>
          <w:tcPr>
            <w:tcW w:w="0" w:type="dxa"/>
            <w:vAlign w:val="bottom"/>
          </w:tcPr>
          <w:p w14:paraId="2819D84F" w14:textId="77777777" w:rsidR="004647B9" w:rsidRDefault="004647B9">
            <w:pPr>
              <w:rPr>
                <w:sz w:val="1"/>
                <w:szCs w:val="1"/>
              </w:rPr>
            </w:pPr>
          </w:p>
        </w:tc>
      </w:tr>
      <w:tr w:rsidR="004647B9" w14:paraId="2819D862" w14:textId="77777777">
        <w:trPr>
          <w:trHeight w:val="281"/>
        </w:trPr>
        <w:tc>
          <w:tcPr>
            <w:tcW w:w="1020" w:type="dxa"/>
            <w:vAlign w:val="bottom"/>
          </w:tcPr>
          <w:p w14:paraId="2819D851" w14:textId="77777777" w:rsidR="004647B9" w:rsidRDefault="004647B9">
            <w:pPr>
              <w:rPr>
                <w:sz w:val="24"/>
                <w:szCs w:val="24"/>
              </w:rPr>
            </w:pPr>
          </w:p>
        </w:tc>
        <w:tc>
          <w:tcPr>
            <w:tcW w:w="180" w:type="dxa"/>
            <w:vAlign w:val="bottom"/>
          </w:tcPr>
          <w:p w14:paraId="2819D852" w14:textId="77777777" w:rsidR="004647B9" w:rsidRDefault="004647B9">
            <w:pPr>
              <w:rPr>
                <w:sz w:val="24"/>
                <w:szCs w:val="24"/>
              </w:rPr>
            </w:pPr>
          </w:p>
        </w:tc>
        <w:tc>
          <w:tcPr>
            <w:tcW w:w="2600" w:type="dxa"/>
            <w:gridSpan w:val="2"/>
            <w:vAlign w:val="bottom"/>
          </w:tcPr>
          <w:p w14:paraId="2819D853"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854"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855" w14:textId="77777777" w:rsidR="004647B9" w:rsidRDefault="004647B9">
            <w:pPr>
              <w:rPr>
                <w:sz w:val="24"/>
                <w:szCs w:val="24"/>
              </w:rPr>
            </w:pPr>
          </w:p>
        </w:tc>
        <w:tc>
          <w:tcPr>
            <w:tcW w:w="560" w:type="dxa"/>
            <w:vAlign w:val="bottom"/>
          </w:tcPr>
          <w:p w14:paraId="2819D856" w14:textId="77777777" w:rsidR="004647B9" w:rsidRDefault="004647B9">
            <w:pPr>
              <w:rPr>
                <w:sz w:val="24"/>
                <w:szCs w:val="24"/>
              </w:rPr>
            </w:pPr>
          </w:p>
        </w:tc>
        <w:tc>
          <w:tcPr>
            <w:tcW w:w="900" w:type="dxa"/>
            <w:vAlign w:val="bottom"/>
          </w:tcPr>
          <w:p w14:paraId="2819D857" w14:textId="77777777" w:rsidR="004647B9" w:rsidRDefault="004647B9">
            <w:pPr>
              <w:rPr>
                <w:sz w:val="24"/>
                <w:szCs w:val="24"/>
              </w:rPr>
            </w:pPr>
          </w:p>
        </w:tc>
        <w:tc>
          <w:tcPr>
            <w:tcW w:w="260" w:type="dxa"/>
            <w:vAlign w:val="bottom"/>
          </w:tcPr>
          <w:p w14:paraId="2819D858" w14:textId="77777777" w:rsidR="004647B9" w:rsidRDefault="004647B9">
            <w:pPr>
              <w:rPr>
                <w:sz w:val="24"/>
                <w:szCs w:val="24"/>
              </w:rPr>
            </w:pPr>
          </w:p>
        </w:tc>
        <w:tc>
          <w:tcPr>
            <w:tcW w:w="280" w:type="dxa"/>
            <w:vAlign w:val="bottom"/>
          </w:tcPr>
          <w:p w14:paraId="2819D859" w14:textId="77777777" w:rsidR="004647B9" w:rsidRDefault="004647B9">
            <w:pPr>
              <w:rPr>
                <w:sz w:val="24"/>
                <w:szCs w:val="24"/>
              </w:rPr>
            </w:pPr>
          </w:p>
        </w:tc>
        <w:tc>
          <w:tcPr>
            <w:tcW w:w="540" w:type="dxa"/>
            <w:vAlign w:val="bottom"/>
          </w:tcPr>
          <w:p w14:paraId="2819D85A" w14:textId="77777777" w:rsidR="004647B9" w:rsidRDefault="004647B9">
            <w:pPr>
              <w:rPr>
                <w:sz w:val="24"/>
                <w:szCs w:val="24"/>
              </w:rPr>
            </w:pPr>
          </w:p>
        </w:tc>
        <w:tc>
          <w:tcPr>
            <w:tcW w:w="340" w:type="dxa"/>
            <w:vAlign w:val="bottom"/>
          </w:tcPr>
          <w:p w14:paraId="2819D85B" w14:textId="77777777" w:rsidR="004647B9" w:rsidRDefault="004647B9">
            <w:pPr>
              <w:rPr>
                <w:sz w:val="24"/>
                <w:szCs w:val="24"/>
              </w:rPr>
            </w:pPr>
          </w:p>
        </w:tc>
        <w:tc>
          <w:tcPr>
            <w:tcW w:w="180" w:type="dxa"/>
            <w:vAlign w:val="bottom"/>
          </w:tcPr>
          <w:p w14:paraId="2819D85C" w14:textId="77777777" w:rsidR="004647B9" w:rsidRDefault="004647B9">
            <w:pPr>
              <w:rPr>
                <w:sz w:val="24"/>
                <w:szCs w:val="24"/>
              </w:rPr>
            </w:pPr>
          </w:p>
        </w:tc>
        <w:tc>
          <w:tcPr>
            <w:tcW w:w="880" w:type="dxa"/>
            <w:vAlign w:val="bottom"/>
          </w:tcPr>
          <w:p w14:paraId="2819D85D" w14:textId="77777777" w:rsidR="004647B9" w:rsidRDefault="004647B9">
            <w:pPr>
              <w:rPr>
                <w:sz w:val="24"/>
                <w:szCs w:val="24"/>
              </w:rPr>
            </w:pPr>
          </w:p>
        </w:tc>
        <w:tc>
          <w:tcPr>
            <w:tcW w:w="660" w:type="dxa"/>
            <w:vAlign w:val="bottom"/>
          </w:tcPr>
          <w:p w14:paraId="2819D85E" w14:textId="77777777" w:rsidR="004647B9" w:rsidRDefault="004647B9">
            <w:pPr>
              <w:rPr>
                <w:sz w:val="24"/>
                <w:szCs w:val="24"/>
              </w:rPr>
            </w:pPr>
          </w:p>
        </w:tc>
        <w:tc>
          <w:tcPr>
            <w:tcW w:w="460" w:type="dxa"/>
            <w:vAlign w:val="bottom"/>
          </w:tcPr>
          <w:p w14:paraId="2819D85F" w14:textId="77777777" w:rsidR="004647B9" w:rsidRDefault="004647B9">
            <w:pPr>
              <w:rPr>
                <w:sz w:val="24"/>
                <w:szCs w:val="24"/>
              </w:rPr>
            </w:pPr>
          </w:p>
        </w:tc>
        <w:tc>
          <w:tcPr>
            <w:tcW w:w="1160" w:type="dxa"/>
            <w:vAlign w:val="bottom"/>
          </w:tcPr>
          <w:p w14:paraId="2819D860" w14:textId="77777777" w:rsidR="004647B9" w:rsidRDefault="004647B9">
            <w:pPr>
              <w:rPr>
                <w:sz w:val="24"/>
                <w:szCs w:val="24"/>
              </w:rPr>
            </w:pPr>
          </w:p>
        </w:tc>
        <w:tc>
          <w:tcPr>
            <w:tcW w:w="0" w:type="dxa"/>
            <w:vAlign w:val="bottom"/>
          </w:tcPr>
          <w:p w14:paraId="2819D861" w14:textId="77777777" w:rsidR="004647B9" w:rsidRDefault="004647B9">
            <w:pPr>
              <w:rPr>
                <w:sz w:val="1"/>
                <w:szCs w:val="1"/>
              </w:rPr>
            </w:pPr>
          </w:p>
        </w:tc>
      </w:tr>
      <w:tr w:rsidR="004647B9" w14:paraId="2819D874" w14:textId="77777777">
        <w:trPr>
          <w:trHeight w:val="278"/>
        </w:trPr>
        <w:tc>
          <w:tcPr>
            <w:tcW w:w="1020" w:type="dxa"/>
            <w:vAlign w:val="bottom"/>
          </w:tcPr>
          <w:p w14:paraId="2819D863" w14:textId="77777777" w:rsidR="004647B9" w:rsidRDefault="00E2436F">
            <w:pPr>
              <w:rPr>
                <w:sz w:val="20"/>
                <w:szCs w:val="20"/>
              </w:rPr>
            </w:pPr>
            <w:r>
              <w:rPr>
                <w:rFonts w:eastAsia="Times New Roman"/>
                <w:sz w:val="18"/>
                <w:szCs w:val="18"/>
              </w:rPr>
              <w:t>Chromium</w:t>
            </w:r>
          </w:p>
        </w:tc>
        <w:tc>
          <w:tcPr>
            <w:tcW w:w="180" w:type="dxa"/>
            <w:vAlign w:val="bottom"/>
          </w:tcPr>
          <w:p w14:paraId="2819D864" w14:textId="77777777" w:rsidR="004647B9" w:rsidRDefault="004647B9">
            <w:pPr>
              <w:rPr>
                <w:sz w:val="24"/>
                <w:szCs w:val="24"/>
              </w:rPr>
            </w:pPr>
          </w:p>
        </w:tc>
        <w:tc>
          <w:tcPr>
            <w:tcW w:w="2600" w:type="dxa"/>
            <w:gridSpan w:val="2"/>
            <w:vAlign w:val="bottom"/>
          </w:tcPr>
          <w:p w14:paraId="2819D865"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866" w14:textId="77777777" w:rsidR="004647B9" w:rsidRDefault="004647B9">
            <w:pPr>
              <w:rPr>
                <w:sz w:val="24"/>
                <w:szCs w:val="24"/>
              </w:rPr>
            </w:pPr>
          </w:p>
        </w:tc>
        <w:tc>
          <w:tcPr>
            <w:tcW w:w="480" w:type="dxa"/>
            <w:vAlign w:val="bottom"/>
          </w:tcPr>
          <w:p w14:paraId="2819D867" w14:textId="77777777" w:rsidR="004647B9" w:rsidRDefault="004647B9">
            <w:pPr>
              <w:rPr>
                <w:sz w:val="24"/>
                <w:szCs w:val="24"/>
              </w:rPr>
            </w:pPr>
          </w:p>
        </w:tc>
        <w:tc>
          <w:tcPr>
            <w:tcW w:w="40" w:type="dxa"/>
            <w:vAlign w:val="bottom"/>
          </w:tcPr>
          <w:p w14:paraId="2819D868" w14:textId="77777777" w:rsidR="004647B9" w:rsidRDefault="004647B9">
            <w:pPr>
              <w:rPr>
                <w:sz w:val="24"/>
                <w:szCs w:val="24"/>
              </w:rPr>
            </w:pPr>
          </w:p>
        </w:tc>
        <w:tc>
          <w:tcPr>
            <w:tcW w:w="560" w:type="dxa"/>
            <w:vAlign w:val="bottom"/>
          </w:tcPr>
          <w:p w14:paraId="2819D869" w14:textId="77777777" w:rsidR="004647B9" w:rsidRDefault="004647B9">
            <w:pPr>
              <w:rPr>
                <w:sz w:val="24"/>
                <w:szCs w:val="24"/>
              </w:rPr>
            </w:pPr>
          </w:p>
        </w:tc>
        <w:tc>
          <w:tcPr>
            <w:tcW w:w="900" w:type="dxa"/>
            <w:vAlign w:val="bottom"/>
          </w:tcPr>
          <w:p w14:paraId="2819D86A" w14:textId="77777777" w:rsidR="004647B9" w:rsidRDefault="004647B9">
            <w:pPr>
              <w:rPr>
                <w:sz w:val="24"/>
                <w:szCs w:val="24"/>
              </w:rPr>
            </w:pPr>
          </w:p>
        </w:tc>
        <w:tc>
          <w:tcPr>
            <w:tcW w:w="260" w:type="dxa"/>
            <w:vAlign w:val="bottom"/>
          </w:tcPr>
          <w:p w14:paraId="2819D86B" w14:textId="77777777" w:rsidR="004647B9" w:rsidRDefault="004647B9">
            <w:pPr>
              <w:rPr>
                <w:sz w:val="24"/>
                <w:szCs w:val="24"/>
              </w:rPr>
            </w:pPr>
          </w:p>
        </w:tc>
        <w:tc>
          <w:tcPr>
            <w:tcW w:w="820" w:type="dxa"/>
            <w:gridSpan w:val="2"/>
            <w:vAlign w:val="bottom"/>
          </w:tcPr>
          <w:p w14:paraId="2819D86C" w14:textId="77777777" w:rsidR="004647B9" w:rsidRDefault="00E2436F">
            <w:pPr>
              <w:rPr>
                <w:sz w:val="20"/>
                <w:szCs w:val="20"/>
              </w:rPr>
            </w:pPr>
            <w:r>
              <w:rPr>
                <w:rFonts w:eastAsia="Times New Roman"/>
                <w:sz w:val="18"/>
                <w:szCs w:val="18"/>
              </w:rPr>
              <w:t>3113B</w:t>
            </w:r>
          </w:p>
        </w:tc>
        <w:tc>
          <w:tcPr>
            <w:tcW w:w="340" w:type="dxa"/>
            <w:vAlign w:val="bottom"/>
          </w:tcPr>
          <w:p w14:paraId="2819D86D" w14:textId="77777777" w:rsidR="004647B9" w:rsidRDefault="004647B9">
            <w:pPr>
              <w:rPr>
                <w:sz w:val="24"/>
                <w:szCs w:val="24"/>
              </w:rPr>
            </w:pPr>
          </w:p>
        </w:tc>
        <w:tc>
          <w:tcPr>
            <w:tcW w:w="180" w:type="dxa"/>
            <w:vAlign w:val="bottom"/>
          </w:tcPr>
          <w:p w14:paraId="2819D86E" w14:textId="77777777" w:rsidR="004647B9" w:rsidRDefault="004647B9">
            <w:pPr>
              <w:rPr>
                <w:sz w:val="24"/>
                <w:szCs w:val="24"/>
              </w:rPr>
            </w:pPr>
          </w:p>
        </w:tc>
        <w:tc>
          <w:tcPr>
            <w:tcW w:w="880" w:type="dxa"/>
            <w:vAlign w:val="bottom"/>
          </w:tcPr>
          <w:p w14:paraId="2819D86F" w14:textId="77777777" w:rsidR="004647B9" w:rsidRDefault="00E2436F">
            <w:pPr>
              <w:rPr>
                <w:sz w:val="20"/>
                <w:szCs w:val="20"/>
              </w:rPr>
            </w:pPr>
            <w:r>
              <w:rPr>
                <w:rFonts w:eastAsia="Times New Roman"/>
                <w:sz w:val="18"/>
                <w:szCs w:val="18"/>
              </w:rPr>
              <w:t>3113B-99</w:t>
            </w:r>
          </w:p>
        </w:tc>
        <w:tc>
          <w:tcPr>
            <w:tcW w:w="660" w:type="dxa"/>
            <w:vAlign w:val="bottom"/>
          </w:tcPr>
          <w:p w14:paraId="2819D870" w14:textId="77777777" w:rsidR="004647B9" w:rsidRDefault="004647B9">
            <w:pPr>
              <w:rPr>
                <w:sz w:val="24"/>
                <w:szCs w:val="24"/>
              </w:rPr>
            </w:pPr>
          </w:p>
        </w:tc>
        <w:tc>
          <w:tcPr>
            <w:tcW w:w="460" w:type="dxa"/>
            <w:vAlign w:val="bottom"/>
          </w:tcPr>
          <w:p w14:paraId="2819D871" w14:textId="77777777" w:rsidR="004647B9" w:rsidRDefault="004647B9">
            <w:pPr>
              <w:rPr>
                <w:sz w:val="24"/>
                <w:szCs w:val="24"/>
              </w:rPr>
            </w:pPr>
          </w:p>
        </w:tc>
        <w:tc>
          <w:tcPr>
            <w:tcW w:w="1160" w:type="dxa"/>
            <w:vAlign w:val="bottom"/>
          </w:tcPr>
          <w:p w14:paraId="2819D872" w14:textId="77777777" w:rsidR="004647B9" w:rsidRDefault="004647B9">
            <w:pPr>
              <w:rPr>
                <w:sz w:val="24"/>
                <w:szCs w:val="24"/>
              </w:rPr>
            </w:pPr>
          </w:p>
        </w:tc>
        <w:tc>
          <w:tcPr>
            <w:tcW w:w="0" w:type="dxa"/>
            <w:vAlign w:val="bottom"/>
          </w:tcPr>
          <w:p w14:paraId="2819D873" w14:textId="77777777" w:rsidR="004647B9" w:rsidRDefault="004647B9">
            <w:pPr>
              <w:rPr>
                <w:sz w:val="1"/>
                <w:szCs w:val="1"/>
              </w:rPr>
            </w:pPr>
          </w:p>
        </w:tc>
      </w:tr>
      <w:tr w:rsidR="004647B9" w14:paraId="2819D885" w14:textId="77777777">
        <w:trPr>
          <w:trHeight w:val="281"/>
        </w:trPr>
        <w:tc>
          <w:tcPr>
            <w:tcW w:w="1020" w:type="dxa"/>
            <w:vAlign w:val="bottom"/>
          </w:tcPr>
          <w:p w14:paraId="2819D875" w14:textId="77777777" w:rsidR="004647B9" w:rsidRDefault="004647B9">
            <w:pPr>
              <w:rPr>
                <w:sz w:val="24"/>
                <w:szCs w:val="24"/>
              </w:rPr>
            </w:pPr>
          </w:p>
        </w:tc>
        <w:tc>
          <w:tcPr>
            <w:tcW w:w="180" w:type="dxa"/>
            <w:vAlign w:val="bottom"/>
          </w:tcPr>
          <w:p w14:paraId="2819D876" w14:textId="77777777" w:rsidR="004647B9" w:rsidRDefault="004647B9">
            <w:pPr>
              <w:rPr>
                <w:sz w:val="24"/>
                <w:szCs w:val="24"/>
              </w:rPr>
            </w:pPr>
          </w:p>
        </w:tc>
        <w:tc>
          <w:tcPr>
            <w:tcW w:w="2600" w:type="dxa"/>
            <w:gridSpan w:val="2"/>
            <w:vAlign w:val="bottom"/>
          </w:tcPr>
          <w:p w14:paraId="2819D877" w14:textId="77777777" w:rsidR="004647B9" w:rsidRDefault="00E2436F">
            <w:pPr>
              <w:rPr>
                <w:sz w:val="20"/>
                <w:szCs w:val="20"/>
              </w:rPr>
            </w:pPr>
            <w:r>
              <w:rPr>
                <w:rFonts w:eastAsia="Times New Roman"/>
                <w:sz w:val="18"/>
                <w:szCs w:val="18"/>
              </w:rPr>
              <w:t>Inductively Coupled Plasma</w:t>
            </w:r>
          </w:p>
        </w:tc>
        <w:tc>
          <w:tcPr>
            <w:tcW w:w="860" w:type="dxa"/>
            <w:gridSpan w:val="2"/>
            <w:vAlign w:val="bottom"/>
          </w:tcPr>
          <w:p w14:paraId="2819D878"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200.7</w:t>
            </w:r>
          </w:p>
        </w:tc>
        <w:tc>
          <w:tcPr>
            <w:tcW w:w="40" w:type="dxa"/>
            <w:vAlign w:val="bottom"/>
          </w:tcPr>
          <w:p w14:paraId="2819D879" w14:textId="77777777" w:rsidR="004647B9" w:rsidRDefault="004647B9">
            <w:pPr>
              <w:rPr>
                <w:sz w:val="24"/>
                <w:szCs w:val="24"/>
              </w:rPr>
            </w:pPr>
          </w:p>
        </w:tc>
        <w:tc>
          <w:tcPr>
            <w:tcW w:w="560" w:type="dxa"/>
            <w:vAlign w:val="bottom"/>
          </w:tcPr>
          <w:p w14:paraId="2819D87A" w14:textId="77777777" w:rsidR="004647B9" w:rsidRDefault="004647B9">
            <w:pPr>
              <w:rPr>
                <w:sz w:val="24"/>
                <w:szCs w:val="24"/>
              </w:rPr>
            </w:pPr>
          </w:p>
        </w:tc>
        <w:tc>
          <w:tcPr>
            <w:tcW w:w="900" w:type="dxa"/>
            <w:vAlign w:val="bottom"/>
          </w:tcPr>
          <w:p w14:paraId="2819D87B" w14:textId="77777777" w:rsidR="004647B9" w:rsidRDefault="004647B9">
            <w:pPr>
              <w:rPr>
                <w:sz w:val="24"/>
                <w:szCs w:val="24"/>
              </w:rPr>
            </w:pPr>
          </w:p>
        </w:tc>
        <w:tc>
          <w:tcPr>
            <w:tcW w:w="260" w:type="dxa"/>
            <w:vAlign w:val="bottom"/>
          </w:tcPr>
          <w:p w14:paraId="2819D87C" w14:textId="77777777" w:rsidR="004647B9" w:rsidRDefault="004647B9">
            <w:pPr>
              <w:rPr>
                <w:sz w:val="24"/>
                <w:szCs w:val="24"/>
              </w:rPr>
            </w:pPr>
          </w:p>
        </w:tc>
        <w:tc>
          <w:tcPr>
            <w:tcW w:w="820" w:type="dxa"/>
            <w:gridSpan w:val="2"/>
            <w:vAlign w:val="bottom"/>
          </w:tcPr>
          <w:p w14:paraId="2819D87D" w14:textId="77777777" w:rsidR="004647B9" w:rsidRDefault="00E2436F">
            <w:pPr>
              <w:rPr>
                <w:sz w:val="20"/>
                <w:szCs w:val="20"/>
              </w:rPr>
            </w:pPr>
            <w:r>
              <w:rPr>
                <w:rFonts w:eastAsia="Times New Roman"/>
                <w:sz w:val="18"/>
                <w:szCs w:val="18"/>
              </w:rPr>
              <w:t>3120B</w:t>
            </w:r>
          </w:p>
        </w:tc>
        <w:tc>
          <w:tcPr>
            <w:tcW w:w="340" w:type="dxa"/>
            <w:vAlign w:val="bottom"/>
          </w:tcPr>
          <w:p w14:paraId="2819D87E" w14:textId="77777777" w:rsidR="004647B9" w:rsidRDefault="004647B9">
            <w:pPr>
              <w:rPr>
                <w:sz w:val="24"/>
                <w:szCs w:val="24"/>
              </w:rPr>
            </w:pPr>
          </w:p>
        </w:tc>
        <w:tc>
          <w:tcPr>
            <w:tcW w:w="180" w:type="dxa"/>
            <w:vAlign w:val="bottom"/>
          </w:tcPr>
          <w:p w14:paraId="2819D87F" w14:textId="77777777" w:rsidR="004647B9" w:rsidRDefault="004647B9">
            <w:pPr>
              <w:rPr>
                <w:sz w:val="24"/>
                <w:szCs w:val="24"/>
              </w:rPr>
            </w:pPr>
          </w:p>
        </w:tc>
        <w:tc>
          <w:tcPr>
            <w:tcW w:w="880" w:type="dxa"/>
            <w:vAlign w:val="bottom"/>
          </w:tcPr>
          <w:p w14:paraId="2819D880" w14:textId="77777777" w:rsidR="004647B9" w:rsidRDefault="00E2436F">
            <w:pPr>
              <w:rPr>
                <w:sz w:val="20"/>
                <w:szCs w:val="20"/>
              </w:rPr>
            </w:pPr>
            <w:r>
              <w:rPr>
                <w:rFonts w:eastAsia="Times New Roman"/>
                <w:sz w:val="18"/>
                <w:szCs w:val="18"/>
              </w:rPr>
              <w:t>3120B-99</w:t>
            </w:r>
          </w:p>
        </w:tc>
        <w:tc>
          <w:tcPr>
            <w:tcW w:w="660" w:type="dxa"/>
            <w:vAlign w:val="bottom"/>
          </w:tcPr>
          <w:p w14:paraId="2819D881" w14:textId="77777777" w:rsidR="004647B9" w:rsidRDefault="004647B9">
            <w:pPr>
              <w:rPr>
                <w:sz w:val="24"/>
                <w:szCs w:val="24"/>
              </w:rPr>
            </w:pPr>
          </w:p>
        </w:tc>
        <w:tc>
          <w:tcPr>
            <w:tcW w:w="460" w:type="dxa"/>
            <w:vAlign w:val="bottom"/>
          </w:tcPr>
          <w:p w14:paraId="2819D882" w14:textId="77777777" w:rsidR="004647B9" w:rsidRDefault="004647B9">
            <w:pPr>
              <w:rPr>
                <w:sz w:val="24"/>
                <w:szCs w:val="24"/>
              </w:rPr>
            </w:pPr>
          </w:p>
        </w:tc>
        <w:tc>
          <w:tcPr>
            <w:tcW w:w="1160" w:type="dxa"/>
            <w:vAlign w:val="bottom"/>
          </w:tcPr>
          <w:p w14:paraId="2819D883" w14:textId="77777777" w:rsidR="004647B9" w:rsidRDefault="004647B9">
            <w:pPr>
              <w:rPr>
                <w:sz w:val="24"/>
                <w:szCs w:val="24"/>
              </w:rPr>
            </w:pPr>
          </w:p>
        </w:tc>
        <w:tc>
          <w:tcPr>
            <w:tcW w:w="0" w:type="dxa"/>
            <w:vAlign w:val="bottom"/>
          </w:tcPr>
          <w:p w14:paraId="2819D884" w14:textId="77777777" w:rsidR="004647B9" w:rsidRDefault="004647B9">
            <w:pPr>
              <w:rPr>
                <w:sz w:val="1"/>
                <w:szCs w:val="1"/>
              </w:rPr>
            </w:pPr>
          </w:p>
        </w:tc>
      </w:tr>
      <w:tr w:rsidR="004647B9" w14:paraId="2819D897" w14:textId="77777777">
        <w:trPr>
          <w:trHeight w:val="278"/>
        </w:trPr>
        <w:tc>
          <w:tcPr>
            <w:tcW w:w="1020" w:type="dxa"/>
            <w:vAlign w:val="bottom"/>
          </w:tcPr>
          <w:p w14:paraId="2819D886" w14:textId="77777777" w:rsidR="004647B9" w:rsidRDefault="004647B9">
            <w:pPr>
              <w:rPr>
                <w:sz w:val="24"/>
                <w:szCs w:val="24"/>
              </w:rPr>
            </w:pPr>
          </w:p>
        </w:tc>
        <w:tc>
          <w:tcPr>
            <w:tcW w:w="180" w:type="dxa"/>
            <w:vAlign w:val="bottom"/>
          </w:tcPr>
          <w:p w14:paraId="2819D887" w14:textId="77777777" w:rsidR="004647B9" w:rsidRDefault="004647B9">
            <w:pPr>
              <w:rPr>
                <w:sz w:val="24"/>
                <w:szCs w:val="24"/>
              </w:rPr>
            </w:pPr>
          </w:p>
        </w:tc>
        <w:tc>
          <w:tcPr>
            <w:tcW w:w="2600" w:type="dxa"/>
            <w:gridSpan w:val="2"/>
            <w:vAlign w:val="bottom"/>
          </w:tcPr>
          <w:p w14:paraId="2819D888" w14:textId="77777777" w:rsidR="004647B9" w:rsidRDefault="00E2436F">
            <w:pPr>
              <w:rPr>
                <w:sz w:val="20"/>
                <w:szCs w:val="20"/>
              </w:rPr>
            </w:pPr>
            <w:r>
              <w:rPr>
                <w:rFonts w:eastAsia="Times New Roman"/>
                <w:sz w:val="18"/>
                <w:szCs w:val="18"/>
              </w:rPr>
              <w:t>ICP-Mass Spectrometry</w:t>
            </w:r>
          </w:p>
        </w:tc>
        <w:tc>
          <w:tcPr>
            <w:tcW w:w="860" w:type="dxa"/>
            <w:gridSpan w:val="2"/>
            <w:vAlign w:val="bottom"/>
          </w:tcPr>
          <w:p w14:paraId="2819D889"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88A" w14:textId="77777777" w:rsidR="004647B9" w:rsidRDefault="004647B9">
            <w:pPr>
              <w:rPr>
                <w:sz w:val="24"/>
                <w:szCs w:val="24"/>
              </w:rPr>
            </w:pPr>
          </w:p>
        </w:tc>
        <w:tc>
          <w:tcPr>
            <w:tcW w:w="560" w:type="dxa"/>
            <w:vAlign w:val="bottom"/>
          </w:tcPr>
          <w:p w14:paraId="2819D88B" w14:textId="77777777" w:rsidR="004647B9" w:rsidRDefault="004647B9">
            <w:pPr>
              <w:rPr>
                <w:sz w:val="24"/>
                <w:szCs w:val="24"/>
              </w:rPr>
            </w:pPr>
          </w:p>
        </w:tc>
        <w:tc>
          <w:tcPr>
            <w:tcW w:w="900" w:type="dxa"/>
            <w:vAlign w:val="bottom"/>
          </w:tcPr>
          <w:p w14:paraId="2819D88C" w14:textId="77777777" w:rsidR="004647B9" w:rsidRDefault="004647B9">
            <w:pPr>
              <w:rPr>
                <w:sz w:val="24"/>
                <w:szCs w:val="24"/>
              </w:rPr>
            </w:pPr>
          </w:p>
        </w:tc>
        <w:tc>
          <w:tcPr>
            <w:tcW w:w="260" w:type="dxa"/>
            <w:vAlign w:val="bottom"/>
          </w:tcPr>
          <w:p w14:paraId="2819D88D" w14:textId="77777777" w:rsidR="004647B9" w:rsidRDefault="004647B9">
            <w:pPr>
              <w:rPr>
                <w:sz w:val="24"/>
                <w:szCs w:val="24"/>
              </w:rPr>
            </w:pPr>
          </w:p>
        </w:tc>
        <w:tc>
          <w:tcPr>
            <w:tcW w:w="280" w:type="dxa"/>
            <w:vAlign w:val="bottom"/>
          </w:tcPr>
          <w:p w14:paraId="2819D88E" w14:textId="77777777" w:rsidR="004647B9" w:rsidRDefault="004647B9">
            <w:pPr>
              <w:rPr>
                <w:sz w:val="24"/>
                <w:szCs w:val="24"/>
              </w:rPr>
            </w:pPr>
          </w:p>
        </w:tc>
        <w:tc>
          <w:tcPr>
            <w:tcW w:w="540" w:type="dxa"/>
            <w:vAlign w:val="bottom"/>
          </w:tcPr>
          <w:p w14:paraId="2819D88F" w14:textId="77777777" w:rsidR="004647B9" w:rsidRDefault="004647B9">
            <w:pPr>
              <w:rPr>
                <w:sz w:val="24"/>
                <w:szCs w:val="24"/>
              </w:rPr>
            </w:pPr>
          </w:p>
        </w:tc>
        <w:tc>
          <w:tcPr>
            <w:tcW w:w="340" w:type="dxa"/>
            <w:vAlign w:val="bottom"/>
          </w:tcPr>
          <w:p w14:paraId="2819D890" w14:textId="77777777" w:rsidR="004647B9" w:rsidRDefault="004647B9">
            <w:pPr>
              <w:rPr>
                <w:sz w:val="24"/>
                <w:szCs w:val="24"/>
              </w:rPr>
            </w:pPr>
          </w:p>
        </w:tc>
        <w:tc>
          <w:tcPr>
            <w:tcW w:w="180" w:type="dxa"/>
            <w:vAlign w:val="bottom"/>
          </w:tcPr>
          <w:p w14:paraId="2819D891" w14:textId="77777777" w:rsidR="004647B9" w:rsidRDefault="004647B9">
            <w:pPr>
              <w:rPr>
                <w:sz w:val="24"/>
                <w:szCs w:val="24"/>
              </w:rPr>
            </w:pPr>
          </w:p>
        </w:tc>
        <w:tc>
          <w:tcPr>
            <w:tcW w:w="880" w:type="dxa"/>
            <w:vAlign w:val="bottom"/>
          </w:tcPr>
          <w:p w14:paraId="2819D892" w14:textId="77777777" w:rsidR="004647B9" w:rsidRDefault="004647B9">
            <w:pPr>
              <w:rPr>
                <w:sz w:val="24"/>
                <w:szCs w:val="24"/>
              </w:rPr>
            </w:pPr>
          </w:p>
        </w:tc>
        <w:tc>
          <w:tcPr>
            <w:tcW w:w="660" w:type="dxa"/>
            <w:vAlign w:val="bottom"/>
          </w:tcPr>
          <w:p w14:paraId="2819D893" w14:textId="77777777" w:rsidR="004647B9" w:rsidRDefault="004647B9">
            <w:pPr>
              <w:rPr>
                <w:sz w:val="24"/>
                <w:szCs w:val="24"/>
              </w:rPr>
            </w:pPr>
          </w:p>
        </w:tc>
        <w:tc>
          <w:tcPr>
            <w:tcW w:w="460" w:type="dxa"/>
            <w:vAlign w:val="bottom"/>
          </w:tcPr>
          <w:p w14:paraId="2819D894" w14:textId="77777777" w:rsidR="004647B9" w:rsidRDefault="004647B9">
            <w:pPr>
              <w:rPr>
                <w:sz w:val="24"/>
                <w:szCs w:val="24"/>
              </w:rPr>
            </w:pPr>
          </w:p>
        </w:tc>
        <w:tc>
          <w:tcPr>
            <w:tcW w:w="1160" w:type="dxa"/>
            <w:vAlign w:val="bottom"/>
          </w:tcPr>
          <w:p w14:paraId="2819D895" w14:textId="77777777" w:rsidR="004647B9" w:rsidRDefault="004647B9">
            <w:pPr>
              <w:rPr>
                <w:sz w:val="24"/>
                <w:szCs w:val="24"/>
              </w:rPr>
            </w:pPr>
          </w:p>
        </w:tc>
        <w:tc>
          <w:tcPr>
            <w:tcW w:w="0" w:type="dxa"/>
            <w:vAlign w:val="bottom"/>
          </w:tcPr>
          <w:p w14:paraId="2819D896" w14:textId="77777777" w:rsidR="004647B9" w:rsidRDefault="004647B9">
            <w:pPr>
              <w:rPr>
                <w:sz w:val="1"/>
                <w:szCs w:val="1"/>
              </w:rPr>
            </w:pPr>
          </w:p>
        </w:tc>
      </w:tr>
      <w:tr w:rsidR="004647B9" w14:paraId="2819D8A9" w14:textId="77777777">
        <w:trPr>
          <w:trHeight w:val="281"/>
        </w:trPr>
        <w:tc>
          <w:tcPr>
            <w:tcW w:w="1020" w:type="dxa"/>
            <w:vAlign w:val="bottom"/>
          </w:tcPr>
          <w:p w14:paraId="2819D898" w14:textId="77777777" w:rsidR="004647B9" w:rsidRDefault="004647B9">
            <w:pPr>
              <w:rPr>
                <w:sz w:val="24"/>
                <w:szCs w:val="24"/>
              </w:rPr>
            </w:pPr>
          </w:p>
        </w:tc>
        <w:tc>
          <w:tcPr>
            <w:tcW w:w="180" w:type="dxa"/>
            <w:vAlign w:val="bottom"/>
          </w:tcPr>
          <w:p w14:paraId="2819D899" w14:textId="77777777" w:rsidR="004647B9" w:rsidRDefault="004647B9">
            <w:pPr>
              <w:rPr>
                <w:sz w:val="24"/>
                <w:szCs w:val="24"/>
              </w:rPr>
            </w:pPr>
          </w:p>
        </w:tc>
        <w:tc>
          <w:tcPr>
            <w:tcW w:w="2600" w:type="dxa"/>
            <w:gridSpan w:val="2"/>
            <w:vAlign w:val="bottom"/>
          </w:tcPr>
          <w:p w14:paraId="2819D89A"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89B"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89C" w14:textId="77777777" w:rsidR="004647B9" w:rsidRDefault="004647B9">
            <w:pPr>
              <w:rPr>
                <w:sz w:val="24"/>
                <w:szCs w:val="24"/>
              </w:rPr>
            </w:pPr>
          </w:p>
        </w:tc>
        <w:tc>
          <w:tcPr>
            <w:tcW w:w="560" w:type="dxa"/>
            <w:vAlign w:val="bottom"/>
          </w:tcPr>
          <w:p w14:paraId="2819D89D" w14:textId="77777777" w:rsidR="004647B9" w:rsidRDefault="004647B9">
            <w:pPr>
              <w:rPr>
                <w:sz w:val="24"/>
                <w:szCs w:val="24"/>
              </w:rPr>
            </w:pPr>
          </w:p>
        </w:tc>
        <w:tc>
          <w:tcPr>
            <w:tcW w:w="900" w:type="dxa"/>
            <w:vAlign w:val="bottom"/>
          </w:tcPr>
          <w:p w14:paraId="2819D89E" w14:textId="77777777" w:rsidR="004647B9" w:rsidRDefault="004647B9">
            <w:pPr>
              <w:rPr>
                <w:sz w:val="24"/>
                <w:szCs w:val="24"/>
              </w:rPr>
            </w:pPr>
          </w:p>
        </w:tc>
        <w:tc>
          <w:tcPr>
            <w:tcW w:w="260" w:type="dxa"/>
            <w:vAlign w:val="bottom"/>
          </w:tcPr>
          <w:p w14:paraId="2819D89F" w14:textId="77777777" w:rsidR="004647B9" w:rsidRDefault="004647B9">
            <w:pPr>
              <w:rPr>
                <w:sz w:val="24"/>
                <w:szCs w:val="24"/>
              </w:rPr>
            </w:pPr>
          </w:p>
        </w:tc>
        <w:tc>
          <w:tcPr>
            <w:tcW w:w="280" w:type="dxa"/>
            <w:vAlign w:val="bottom"/>
          </w:tcPr>
          <w:p w14:paraId="2819D8A0" w14:textId="77777777" w:rsidR="004647B9" w:rsidRDefault="004647B9">
            <w:pPr>
              <w:rPr>
                <w:sz w:val="24"/>
                <w:szCs w:val="24"/>
              </w:rPr>
            </w:pPr>
          </w:p>
        </w:tc>
        <w:tc>
          <w:tcPr>
            <w:tcW w:w="540" w:type="dxa"/>
            <w:vAlign w:val="bottom"/>
          </w:tcPr>
          <w:p w14:paraId="2819D8A1" w14:textId="77777777" w:rsidR="004647B9" w:rsidRDefault="004647B9">
            <w:pPr>
              <w:rPr>
                <w:sz w:val="24"/>
                <w:szCs w:val="24"/>
              </w:rPr>
            </w:pPr>
          </w:p>
        </w:tc>
        <w:tc>
          <w:tcPr>
            <w:tcW w:w="340" w:type="dxa"/>
            <w:vAlign w:val="bottom"/>
          </w:tcPr>
          <w:p w14:paraId="2819D8A2" w14:textId="77777777" w:rsidR="004647B9" w:rsidRDefault="004647B9">
            <w:pPr>
              <w:rPr>
                <w:sz w:val="24"/>
                <w:szCs w:val="24"/>
              </w:rPr>
            </w:pPr>
          </w:p>
        </w:tc>
        <w:tc>
          <w:tcPr>
            <w:tcW w:w="180" w:type="dxa"/>
            <w:vAlign w:val="bottom"/>
          </w:tcPr>
          <w:p w14:paraId="2819D8A3" w14:textId="77777777" w:rsidR="004647B9" w:rsidRDefault="004647B9">
            <w:pPr>
              <w:rPr>
                <w:sz w:val="24"/>
                <w:szCs w:val="24"/>
              </w:rPr>
            </w:pPr>
          </w:p>
        </w:tc>
        <w:tc>
          <w:tcPr>
            <w:tcW w:w="880" w:type="dxa"/>
            <w:vAlign w:val="bottom"/>
          </w:tcPr>
          <w:p w14:paraId="2819D8A4" w14:textId="77777777" w:rsidR="004647B9" w:rsidRDefault="004647B9">
            <w:pPr>
              <w:rPr>
                <w:sz w:val="24"/>
                <w:szCs w:val="24"/>
              </w:rPr>
            </w:pPr>
          </w:p>
        </w:tc>
        <w:tc>
          <w:tcPr>
            <w:tcW w:w="660" w:type="dxa"/>
            <w:vAlign w:val="bottom"/>
          </w:tcPr>
          <w:p w14:paraId="2819D8A5" w14:textId="77777777" w:rsidR="004647B9" w:rsidRDefault="004647B9">
            <w:pPr>
              <w:rPr>
                <w:sz w:val="24"/>
                <w:szCs w:val="24"/>
              </w:rPr>
            </w:pPr>
          </w:p>
        </w:tc>
        <w:tc>
          <w:tcPr>
            <w:tcW w:w="460" w:type="dxa"/>
            <w:vAlign w:val="bottom"/>
          </w:tcPr>
          <w:p w14:paraId="2819D8A6" w14:textId="77777777" w:rsidR="004647B9" w:rsidRDefault="004647B9">
            <w:pPr>
              <w:rPr>
                <w:sz w:val="24"/>
                <w:szCs w:val="24"/>
              </w:rPr>
            </w:pPr>
          </w:p>
        </w:tc>
        <w:tc>
          <w:tcPr>
            <w:tcW w:w="1160" w:type="dxa"/>
            <w:vAlign w:val="bottom"/>
          </w:tcPr>
          <w:p w14:paraId="2819D8A7" w14:textId="77777777" w:rsidR="004647B9" w:rsidRDefault="004647B9">
            <w:pPr>
              <w:rPr>
                <w:sz w:val="24"/>
                <w:szCs w:val="24"/>
              </w:rPr>
            </w:pPr>
          </w:p>
        </w:tc>
        <w:tc>
          <w:tcPr>
            <w:tcW w:w="0" w:type="dxa"/>
            <w:vAlign w:val="bottom"/>
          </w:tcPr>
          <w:p w14:paraId="2819D8A8" w14:textId="77777777" w:rsidR="004647B9" w:rsidRDefault="004647B9">
            <w:pPr>
              <w:rPr>
                <w:sz w:val="1"/>
                <w:szCs w:val="1"/>
              </w:rPr>
            </w:pPr>
          </w:p>
        </w:tc>
      </w:tr>
      <w:tr w:rsidR="004647B9" w14:paraId="2819D8B9" w14:textId="77777777">
        <w:trPr>
          <w:trHeight w:val="278"/>
        </w:trPr>
        <w:tc>
          <w:tcPr>
            <w:tcW w:w="1020" w:type="dxa"/>
            <w:vAlign w:val="bottom"/>
          </w:tcPr>
          <w:p w14:paraId="2819D8AA" w14:textId="77777777" w:rsidR="004647B9" w:rsidRDefault="00E2436F">
            <w:pPr>
              <w:rPr>
                <w:sz w:val="20"/>
                <w:szCs w:val="20"/>
              </w:rPr>
            </w:pPr>
            <w:r>
              <w:rPr>
                <w:rFonts w:eastAsia="Times New Roman"/>
                <w:sz w:val="18"/>
                <w:szCs w:val="18"/>
              </w:rPr>
              <w:t>Cyanide</w:t>
            </w:r>
          </w:p>
        </w:tc>
        <w:tc>
          <w:tcPr>
            <w:tcW w:w="180" w:type="dxa"/>
            <w:vAlign w:val="bottom"/>
          </w:tcPr>
          <w:p w14:paraId="2819D8AB" w14:textId="77777777" w:rsidR="004647B9" w:rsidRDefault="004647B9">
            <w:pPr>
              <w:rPr>
                <w:sz w:val="24"/>
                <w:szCs w:val="24"/>
              </w:rPr>
            </w:pPr>
          </w:p>
        </w:tc>
        <w:tc>
          <w:tcPr>
            <w:tcW w:w="2600" w:type="dxa"/>
            <w:gridSpan w:val="2"/>
            <w:vAlign w:val="bottom"/>
          </w:tcPr>
          <w:p w14:paraId="2819D8AC" w14:textId="77777777" w:rsidR="004647B9" w:rsidRDefault="00E2436F">
            <w:pPr>
              <w:rPr>
                <w:sz w:val="20"/>
                <w:szCs w:val="20"/>
              </w:rPr>
            </w:pPr>
            <w:r>
              <w:rPr>
                <w:rFonts w:eastAsia="Times New Roman"/>
                <w:sz w:val="18"/>
                <w:szCs w:val="18"/>
              </w:rPr>
              <w:t>Manual Distillation</w:t>
            </w:r>
          </w:p>
        </w:tc>
        <w:tc>
          <w:tcPr>
            <w:tcW w:w="380" w:type="dxa"/>
            <w:vAlign w:val="bottom"/>
          </w:tcPr>
          <w:p w14:paraId="2819D8AD" w14:textId="77777777" w:rsidR="004647B9" w:rsidRDefault="004647B9">
            <w:pPr>
              <w:rPr>
                <w:sz w:val="24"/>
                <w:szCs w:val="24"/>
              </w:rPr>
            </w:pPr>
          </w:p>
        </w:tc>
        <w:tc>
          <w:tcPr>
            <w:tcW w:w="480" w:type="dxa"/>
            <w:vAlign w:val="bottom"/>
          </w:tcPr>
          <w:p w14:paraId="2819D8AE" w14:textId="77777777" w:rsidR="004647B9" w:rsidRDefault="004647B9">
            <w:pPr>
              <w:rPr>
                <w:sz w:val="24"/>
                <w:szCs w:val="24"/>
              </w:rPr>
            </w:pPr>
          </w:p>
        </w:tc>
        <w:tc>
          <w:tcPr>
            <w:tcW w:w="40" w:type="dxa"/>
            <w:vAlign w:val="bottom"/>
          </w:tcPr>
          <w:p w14:paraId="2819D8AF" w14:textId="77777777" w:rsidR="004647B9" w:rsidRDefault="004647B9">
            <w:pPr>
              <w:rPr>
                <w:sz w:val="24"/>
                <w:szCs w:val="24"/>
              </w:rPr>
            </w:pPr>
          </w:p>
        </w:tc>
        <w:tc>
          <w:tcPr>
            <w:tcW w:w="1460" w:type="dxa"/>
            <w:gridSpan w:val="2"/>
            <w:vMerge w:val="restart"/>
            <w:vAlign w:val="bottom"/>
          </w:tcPr>
          <w:p w14:paraId="2819D8B0" w14:textId="77777777" w:rsidR="004647B9" w:rsidRDefault="00E2436F">
            <w:pPr>
              <w:rPr>
                <w:sz w:val="20"/>
                <w:szCs w:val="20"/>
              </w:rPr>
            </w:pPr>
            <w:r>
              <w:rPr>
                <w:rFonts w:eastAsia="Times New Roman"/>
                <w:sz w:val="18"/>
                <w:szCs w:val="18"/>
              </w:rPr>
              <w:t>D2036-98A</w:t>
            </w:r>
          </w:p>
        </w:tc>
        <w:tc>
          <w:tcPr>
            <w:tcW w:w="260" w:type="dxa"/>
            <w:vAlign w:val="bottom"/>
          </w:tcPr>
          <w:p w14:paraId="2819D8B1" w14:textId="77777777" w:rsidR="004647B9" w:rsidRDefault="004647B9">
            <w:pPr>
              <w:rPr>
                <w:sz w:val="24"/>
                <w:szCs w:val="24"/>
              </w:rPr>
            </w:pPr>
          </w:p>
        </w:tc>
        <w:tc>
          <w:tcPr>
            <w:tcW w:w="1160" w:type="dxa"/>
            <w:gridSpan w:val="3"/>
            <w:vAlign w:val="bottom"/>
          </w:tcPr>
          <w:p w14:paraId="2819D8B2" w14:textId="77777777" w:rsidR="004647B9" w:rsidRDefault="00E2436F">
            <w:pPr>
              <w:rPr>
                <w:sz w:val="20"/>
                <w:szCs w:val="20"/>
              </w:rPr>
            </w:pPr>
            <w:r>
              <w:rPr>
                <w:rFonts w:eastAsia="Times New Roman"/>
                <w:sz w:val="18"/>
                <w:szCs w:val="18"/>
              </w:rPr>
              <w:t>4500-CN</w:t>
            </w:r>
            <w:r>
              <w:rPr>
                <w:rFonts w:eastAsia="Times New Roman"/>
                <w:sz w:val="24"/>
                <w:szCs w:val="24"/>
                <w:vertAlign w:val="superscript"/>
              </w:rPr>
              <w:t>-</w:t>
            </w:r>
            <w:r>
              <w:rPr>
                <w:rFonts w:eastAsia="Times New Roman"/>
                <w:sz w:val="18"/>
                <w:szCs w:val="18"/>
              </w:rPr>
              <w:t>C</w:t>
            </w:r>
          </w:p>
        </w:tc>
        <w:tc>
          <w:tcPr>
            <w:tcW w:w="180" w:type="dxa"/>
            <w:vAlign w:val="bottom"/>
          </w:tcPr>
          <w:p w14:paraId="2819D8B3" w14:textId="77777777" w:rsidR="004647B9" w:rsidRDefault="004647B9">
            <w:pPr>
              <w:rPr>
                <w:sz w:val="24"/>
                <w:szCs w:val="24"/>
              </w:rPr>
            </w:pPr>
          </w:p>
        </w:tc>
        <w:tc>
          <w:tcPr>
            <w:tcW w:w="880" w:type="dxa"/>
            <w:vAlign w:val="bottom"/>
          </w:tcPr>
          <w:p w14:paraId="2819D8B4" w14:textId="77777777" w:rsidR="004647B9" w:rsidRDefault="004647B9">
            <w:pPr>
              <w:rPr>
                <w:sz w:val="24"/>
                <w:szCs w:val="24"/>
              </w:rPr>
            </w:pPr>
          </w:p>
        </w:tc>
        <w:tc>
          <w:tcPr>
            <w:tcW w:w="660" w:type="dxa"/>
            <w:vAlign w:val="bottom"/>
          </w:tcPr>
          <w:p w14:paraId="2819D8B5" w14:textId="77777777" w:rsidR="004647B9" w:rsidRDefault="004647B9">
            <w:pPr>
              <w:rPr>
                <w:sz w:val="24"/>
                <w:szCs w:val="24"/>
              </w:rPr>
            </w:pPr>
          </w:p>
        </w:tc>
        <w:tc>
          <w:tcPr>
            <w:tcW w:w="460" w:type="dxa"/>
            <w:vAlign w:val="bottom"/>
          </w:tcPr>
          <w:p w14:paraId="2819D8B6" w14:textId="77777777" w:rsidR="004647B9" w:rsidRDefault="004647B9">
            <w:pPr>
              <w:rPr>
                <w:sz w:val="24"/>
                <w:szCs w:val="24"/>
              </w:rPr>
            </w:pPr>
          </w:p>
        </w:tc>
        <w:tc>
          <w:tcPr>
            <w:tcW w:w="1160" w:type="dxa"/>
            <w:vAlign w:val="bottom"/>
          </w:tcPr>
          <w:p w14:paraId="2819D8B7" w14:textId="77777777" w:rsidR="004647B9" w:rsidRDefault="004647B9">
            <w:pPr>
              <w:rPr>
                <w:sz w:val="24"/>
                <w:szCs w:val="24"/>
              </w:rPr>
            </w:pPr>
          </w:p>
        </w:tc>
        <w:tc>
          <w:tcPr>
            <w:tcW w:w="0" w:type="dxa"/>
            <w:vAlign w:val="bottom"/>
          </w:tcPr>
          <w:p w14:paraId="2819D8B8" w14:textId="77777777" w:rsidR="004647B9" w:rsidRDefault="004647B9">
            <w:pPr>
              <w:rPr>
                <w:sz w:val="1"/>
                <w:szCs w:val="1"/>
              </w:rPr>
            </w:pPr>
          </w:p>
        </w:tc>
      </w:tr>
      <w:tr w:rsidR="004647B9" w14:paraId="2819D8CB" w14:textId="77777777">
        <w:trPr>
          <w:trHeight w:val="79"/>
        </w:trPr>
        <w:tc>
          <w:tcPr>
            <w:tcW w:w="1020" w:type="dxa"/>
            <w:vAlign w:val="bottom"/>
          </w:tcPr>
          <w:p w14:paraId="2819D8BA" w14:textId="77777777" w:rsidR="004647B9" w:rsidRDefault="004647B9">
            <w:pPr>
              <w:rPr>
                <w:sz w:val="6"/>
                <w:szCs w:val="6"/>
              </w:rPr>
            </w:pPr>
          </w:p>
        </w:tc>
        <w:tc>
          <w:tcPr>
            <w:tcW w:w="180" w:type="dxa"/>
            <w:vAlign w:val="bottom"/>
          </w:tcPr>
          <w:p w14:paraId="2819D8BB" w14:textId="77777777" w:rsidR="004647B9" w:rsidRDefault="004647B9">
            <w:pPr>
              <w:rPr>
                <w:sz w:val="6"/>
                <w:szCs w:val="6"/>
              </w:rPr>
            </w:pPr>
          </w:p>
        </w:tc>
        <w:tc>
          <w:tcPr>
            <w:tcW w:w="2600" w:type="dxa"/>
            <w:gridSpan w:val="2"/>
            <w:vMerge w:val="restart"/>
            <w:vAlign w:val="bottom"/>
          </w:tcPr>
          <w:p w14:paraId="2819D8BC" w14:textId="77777777" w:rsidR="004647B9" w:rsidRDefault="00E2436F">
            <w:pPr>
              <w:rPr>
                <w:sz w:val="20"/>
                <w:szCs w:val="20"/>
              </w:rPr>
            </w:pPr>
            <w:r>
              <w:rPr>
                <w:rFonts w:eastAsia="Times New Roman"/>
                <w:sz w:val="18"/>
                <w:szCs w:val="18"/>
              </w:rPr>
              <w:t>Manual Distillation followed</w:t>
            </w:r>
          </w:p>
        </w:tc>
        <w:tc>
          <w:tcPr>
            <w:tcW w:w="380" w:type="dxa"/>
            <w:vAlign w:val="bottom"/>
          </w:tcPr>
          <w:p w14:paraId="2819D8BD" w14:textId="77777777" w:rsidR="004647B9" w:rsidRDefault="004647B9">
            <w:pPr>
              <w:rPr>
                <w:sz w:val="6"/>
                <w:szCs w:val="6"/>
              </w:rPr>
            </w:pPr>
          </w:p>
        </w:tc>
        <w:tc>
          <w:tcPr>
            <w:tcW w:w="480" w:type="dxa"/>
            <w:vAlign w:val="bottom"/>
          </w:tcPr>
          <w:p w14:paraId="2819D8BE" w14:textId="77777777" w:rsidR="004647B9" w:rsidRDefault="004647B9">
            <w:pPr>
              <w:rPr>
                <w:sz w:val="6"/>
                <w:szCs w:val="6"/>
              </w:rPr>
            </w:pPr>
          </w:p>
        </w:tc>
        <w:tc>
          <w:tcPr>
            <w:tcW w:w="40" w:type="dxa"/>
            <w:vAlign w:val="bottom"/>
          </w:tcPr>
          <w:p w14:paraId="2819D8BF" w14:textId="77777777" w:rsidR="004647B9" w:rsidRDefault="004647B9">
            <w:pPr>
              <w:rPr>
                <w:sz w:val="6"/>
                <w:szCs w:val="6"/>
              </w:rPr>
            </w:pPr>
          </w:p>
        </w:tc>
        <w:tc>
          <w:tcPr>
            <w:tcW w:w="1460" w:type="dxa"/>
            <w:gridSpan w:val="2"/>
            <w:vMerge/>
            <w:vAlign w:val="bottom"/>
          </w:tcPr>
          <w:p w14:paraId="2819D8C0" w14:textId="77777777" w:rsidR="004647B9" w:rsidRDefault="004647B9">
            <w:pPr>
              <w:rPr>
                <w:sz w:val="6"/>
                <w:szCs w:val="6"/>
              </w:rPr>
            </w:pPr>
          </w:p>
        </w:tc>
        <w:tc>
          <w:tcPr>
            <w:tcW w:w="260" w:type="dxa"/>
            <w:vAlign w:val="bottom"/>
          </w:tcPr>
          <w:p w14:paraId="2819D8C1" w14:textId="77777777" w:rsidR="004647B9" w:rsidRDefault="004647B9">
            <w:pPr>
              <w:rPr>
                <w:sz w:val="6"/>
                <w:szCs w:val="6"/>
              </w:rPr>
            </w:pPr>
          </w:p>
        </w:tc>
        <w:tc>
          <w:tcPr>
            <w:tcW w:w="280" w:type="dxa"/>
            <w:vAlign w:val="bottom"/>
          </w:tcPr>
          <w:p w14:paraId="2819D8C2" w14:textId="77777777" w:rsidR="004647B9" w:rsidRDefault="004647B9">
            <w:pPr>
              <w:rPr>
                <w:sz w:val="6"/>
                <w:szCs w:val="6"/>
              </w:rPr>
            </w:pPr>
          </w:p>
        </w:tc>
        <w:tc>
          <w:tcPr>
            <w:tcW w:w="540" w:type="dxa"/>
            <w:vAlign w:val="bottom"/>
          </w:tcPr>
          <w:p w14:paraId="2819D8C3" w14:textId="77777777" w:rsidR="004647B9" w:rsidRDefault="004647B9">
            <w:pPr>
              <w:rPr>
                <w:sz w:val="6"/>
                <w:szCs w:val="6"/>
              </w:rPr>
            </w:pPr>
          </w:p>
        </w:tc>
        <w:tc>
          <w:tcPr>
            <w:tcW w:w="340" w:type="dxa"/>
            <w:vAlign w:val="bottom"/>
          </w:tcPr>
          <w:p w14:paraId="2819D8C4" w14:textId="77777777" w:rsidR="004647B9" w:rsidRDefault="004647B9">
            <w:pPr>
              <w:rPr>
                <w:sz w:val="6"/>
                <w:szCs w:val="6"/>
              </w:rPr>
            </w:pPr>
          </w:p>
        </w:tc>
        <w:tc>
          <w:tcPr>
            <w:tcW w:w="180" w:type="dxa"/>
            <w:vAlign w:val="bottom"/>
          </w:tcPr>
          <w:p w14:paraId="2819D8C5" w14:textId="77777777" w:rsidR="004647B9" w:rsidRDefault="004647B9">
            <w:pPr>
              <w:rPr>
                <w:sz w:val="6"/>
                <w:szCs w:val="6"/>
              </w:rPr>
            </w:pPr>
          </w:p>
        </w:tc>
        <w:tc>
          <w:tcPr>
            <w:tcW w:w="880" w:type="dxa"/>
            <w:vAlign w:val="bottom"/>
          </w:tcPr>
          <w:p w14:paraId="2819D8C6" w14:textId="77777777" w:rsidR="004647B9" w:rsidRDefault="004647B9">
            <w:pPr>
              <w:rPr>
                <w:sz w:val="6"/>
                <w:szCs w:val="6"/>
              </w:rPr>
            </w:pPr>
          </w:p>
        </w:tc>
        <w:tc>
          <w:tcPr>
            <w:tcW w:w="660" w:type="dxa"/>
            <w:vAlign w:val="bottom"/>
          </w:tcPr>
          <w:p w14:paraId="2819D8C7" w14:textId="77777777" w:rsidR="004647B9" w:rsidRDefault="004647B9">
            <w:pPr>
              <w:rPr>
                <w:sz w:val="6"/>
                <w:szCs w:val="6"/>
              </w:rPr>
            </w:pPr>
          </w:p>
        </w:tc>
        <w:tc>
          <w:tcPr>
            <w:tcW w:w="460" w:type="dxa"/>
            <w:vAlign w:val="bottom"/>
          </w:tcPr>
          <w:p w14:paraId="2819D8C8" w14:textId="77777777" w:rsidR="004647B9" w:rsidRDefault="004647B9">
            <w:pPr>
              <w:rPr>
                <w:sz w:val="6"/>
                <w:szCs w:val="6"/>
              </w:rPr>
            </w:pPr>
          </w:p>
        </w:tc>
        <w:tc>
          <w:tcPr>
            <w:tcW w:w="1160" w:type="dxa"/>
            <w:vAlign w:val="bottom"/>
          </w:tcPr>
          <w:p w14:paraId="2819D8C9" w14:textId="77777777" w:rsidR="004647B9" w:rsidRDefault="004647B9">
            <w:pPr>
              <w:rPr>
                <w:sz w:val="6"/>
                <w:szCs w:val="6"/>
              </w:rPr>
            </w:pPr>
          </w:p>
        </w:tc>
        <w:tc>
          <w:tcPr>
            <w:tcW w:w="0" w:type="dxa"/>
            <w:vAlign w:val="bottom"/>
          </w:tcPr>
          <w:p w14:paraId="2819D8CA" w14:textId="77777777" w:rsidR="004647B9" w:rsidRDefault="004647B9">
            <w:pPr>
              <w:rPr>
                <w:sz w:val="1"/>
                <w:szCs w:val="1"/>
              </w:rPr>
            </w:pPr>
          </w:p>
        </w:tc>
      </w:tr>
      <w:tr w:rsidR="004647B9" w14:paraId="2819D8DE" w14:textId="77777777">
        <w:trPr>
          <w:trHeight w:val="202"/>
        </w:trPr>
        <w:tc>
          <w:tcPr>
            <w:tcW w:w="1020" w:type="dxa"/>
            <w:vAlign w:val="bottom"/>
          </w:tcPr>
          <w:p w14:paraId="2819D8CC" w14:textId="77777777" w:rsidR="004647B9" w:rsidRDefault="004647B9">
            <w:pPr>
              <w:rPr>
                <w:sz w:val="17"/>
                <w:szCs w:val="17"/>
              </w:rPr>
            </w:pPr>
          </w:p>
        </w:tc>
        <w:tc>
          <w:tcPr>
            <w:tcW w:w="180" w:type="dxa"/>
            <w:vAlign w:val="bottom"/>
          </w:tcPr>
          <w:p w14:paraId="2819D8CD" w14:textId="77777777" w:rsidR="004647B9" w:rsidRDefault="004647B9">
            <w:pPr>
              <w:rPr>
                <w:sz w:val="17"/>
                <w:szCs w:val="17"/>
              </w:rPr>
            </w:pPr>
          </w:p>
        </w:tc>
        <w:tc>
          <w:tcPr>
            <w:tcW w:w="2600" w:type="dxa"/>
            <w:gridSpan w:val="2"/>
            <w:vMerge/>
            <w:vAlign w:val="bottom"/>
          </w:tcPr>
          <w:p w14:paraId="2819D8CE" w14:textId="77777777" w:rsidR="004647B9" w:rsidRDefault="004647B9">
            <w:pPr>
              <w:rPr>
                <w:sz w:val="17"/>
                <w:szCs w:val="17"/>
              </w:rPr>
            </w:pPr>
          </w:p>
        </w:tc>
        <w:tc>
          <w:tcPr>
            <w:tcW w:w="380" w:type="dxa"/>
            <w:vAlign w:val="bottom"/>
          </w:tcPr>
          <w:p w14:paraId="2819D8CF" w14:textId="77777777" w:rsidR="004647B9" w:rsidRDefault="004647B9">
            <w:pPr>
              <w:rPr>
                <w:sz w:val="17"/>
                <w:szCs w:val="17"/>
              </w:rPr>
            </w:pPr>
          </w:p>
        </w:tc>
        <w:tc>
          <w:tcPr>
            <w:tcW w:w="480" w:type="dxa"/>
            <w:vAlign w:val="bottom"/>
          </w:tcPr>
          <w:p w14:paraId="2819D8D0" w14:textId="77777777" w:rsidR="004647B9" w:rsidRDefault="004647B9">
            <w:pPr>
              <w:rPr>
                <w:sz w:val="17"/>
                <w:szCs w:val="17"/>
              </w:rPr>
            </w:pPr>
          </w:p>
        </w:tc>
        <w:tc>
          <w:tcPr>
            <w:tcW w:w="40" w:type="dxa"/>
            <w:vAlign w:val="bottom"/>
          </w:tcPr>
          <w:p w14:paraId="2819D8D1" w14:textId="77777777" w:rsidR="004647B9" w:rsidRDefault="004647B9">
            <w:pPr>
              <w:rPr>
                <w:sz w:val="17"/>
                <w:szCs w:val="17"/>
              </w:rPr>
            </w:pPr>
          </w:p>
        </w:tc>
        <w:tc>
          <w:tcPr>
            <w:tcW w:w="560" w:type="dxa"/>
            <w:vAlign w:val="bottom"/>
          </w:tcPr>
          <w:p w14:paraId="2819D8D2" w14:textId="77777777" w:rsidR="004647B9" w:rsidRDefault="004647B9">
            <w:pPr>
              <w:rPr>
                <w:sz w:val="17"/>
                <w:szCs w:val="17"/>
              </w:rPr>
            </w:pPr>
          </w:p>
        </w:tc>
        <w:tc>
          <w:tcPr>
            <w:tcW w:w="900" w:type="dxa"/>
            <w:vAlign w:val="bottom"/>
          </w:tcPr>
          <w:p w14:paraId="2819D8D3" w14:textId="77777777" w:rsidR="004647B9" w:rsidRDefault="004647B9">
            <w:pPr>
              <w:rPr>
                <w:sz w:val="17"/>
                <w:szCs w:val="17"/>
              </w:rPr>
            </w:pPr>
          </w:p>
        </w:tc>
        <w:tc>
          <w:tcPr>
            <w:tcW w:w="260" w:type="dxa"/>
            <w:vAlign w:val="bottom"/>
          </w:tcPr>
          <w:p w14:paraId="2819D8D4" w14:textId="77777777" w:rsidR="004647B9" w:rsidRDefault="004647B9">
            <w:pPr>
              <w:rPr>
                <w:sz w:val="17"/>
                <w:szCs w:val="17"/>
              </w:rPr>
            </w:pPr>
          </w:p>
        </w:tc>
        <w:tc>
          <w:tcPr>
            <w:tcW w:w="280" w:type="dxa"/>
            <w:vAlign w:val="bottom"/>
          </w:tcPr>
          <w:p w14:paraId="2819D8D5" w14:textId="77777777" w:rsidR="004647B9" w:rsidRDefault="004647B9">
            <w:pPr>
              <w:rPr>
                <w:sz w:val="17"/>
                <w:szCs w:val="17"/>
              </w:rPr>
            </w:pPr>
          </w:p>
        </w:tc>
        <w:tc>
          <w:tcPr>
            <w:tcW w:w="540" w:type="dxa"/>
            <w:vAlign w:val="bottom"/>
          </w:tcPr>
          <w:p w14:paraId="2819D8D6" w14:textId="77777777" w:rsidR="004647B9" w:rsidRDefault="004647B9">
            <w:pPr>
              <w:rPr>
                <w:sz w:val="17"/>
                <w:szCs w:val="17"/>
              </w:rPr>
            </w:pPr>
          </w:p>
        </w:tc>
        <w:tc>
          <w:tcPr>
            <w:tcW w:w="340" w:type="dxa"/>
            <w:vAlign w:val="bottom"/>
          </w:tcPr>
          <w:p w14:paraId="2819D8D7" w14:textId="77777777" w:rsidR="004647B9" w:rsidRDefault="004647B9">
            <w:pPr>
              <w:rPr>
                <w:sz w:val="17"/>
                <w:szCs w:val="17"/>
              </w:rPr>
            </w:pPr>
          </w:p>
        </w:tc>
        <w:tc>
          <w:tcPr>
            <w:tcW w:w="180" w:type="dxa"/>
            <w:vAlign w:val="bottom"/>
          </w:tcPr>
          <w:p w14:paraId="2819D8D8" w14:textId="77777777" w:rsidR="004647B9" w:rsidRDefault="004647B9">
            <w:pPr>
              <w:rPr>
                <w:sz w:val="17"/>
                <w:szCs w:val="17"/>
              </w:rPr>
            </w:pPr>
          </w:p>
        </w:tc>
        <w:tc>
          <w:tcPr>
            <w:tcW w:w="880" w:type="dxa"/>
            <w:vAlign w:val="bottom"/>
          </w:tcPr>
          <w:p w14:paraId="2819D8D9" w14:textId="77777777" w:rsidR="004647B9" w:rsidRDefault="004647B9">
            <w:pPr>
              <w:rPr>
                <w:sz w:val="17"/>
                <w:szCs w:val="17"/>
              </w:rPr>
            </w:pPr>
          </w:p>
        </w:tc>
        <w:tc>
          <w:tcPr>
            <w:tcW w:w="660" w:type="dxa"/>
            <w:vAlign w:val="bottom"/>
          </w:tcPr>
          <w:p w14:paraId="2819D8DA" w14:textId="77777777" w:rsidR="004647B9" w:rsidRDefault="004647B9">
            <w:pPr>
              <w:rPr>
                <w:sz w:val="17"/>
                <w:szCs w:val="17"/>
              </w:rPr>
            </w:pPr>
          </w:p>
        </w:tc>
        <w:tc>
          <w:tcPr>
            <w:tcW w:w="460" w:type="dxa"/>
            <w:vAlign w:val="bottom"/>
          </w:tcPr>
          <w:p w14:paraId="2819D8DB" w14:textId="77777777" w:rsidR="004647B9" w:rsidRDefault="004647B9">
            <w:pPr>
              <w:rPr>
                <w:sz w:val="17"/>
                <w:szCs w:val="17"/>
              </w:rPr>
            </w:pPr>
          </w:p>
        </w:tc>
        <w:tc>
          <w:tcPr>
            <w:tcW w:w="1160" w:type="dxa"/>
            <w:vAlign w:val="bottom"/>
          </w:tcPr>
          <w:p w14:paraId="2819D8DC" w14:textId="77777777" w:rsidR="004647B9" w:rsidRDefault="004647B9">
            <w:pPr>
              <w:rPr>
                <w:sz w:val="17"/>
                <w:szCs w:val="17"/>
              </w:rPr>
            </w:pPr>
          </w:p>
        </w:tc>
        <w:tc>
          <w:tcPr>
            <w:tcW w:w="0" w:type="dxa"/>
            <w:vAlign w:val="bottom"/>
          </w:tcPr>
          <w:p w14:paraId="2819D8DD" w14:textId="77777777" w:rsidR="004647B9" w:rsidRDefault="004647B9">
            <w:pPr>
              <w:rPr>
                <w:sz w:val="1"/>
                <w:szCs w:val="1"/>
              </w:rPr>
            </w:pPr>
          </w:p>
        </w:tc>
      </w:tr>
      <w:tr w:rsidR="004647B9" w14:paraId="2819D8F1" w14:textId="77777777">
        <w:trPr>
          <w:trHeight w:val="278"/>
        </w:trPr>
        <w:tc>
          <w:tcPr>
            <w:tcW w:w="1020" w:type="dxa"/>
            <w:vAlign w:val="bottom"/>
          </w:tcPr>
          <w:p w14:paraId="2819D8DF" w14:textId="77777777" w:rsidR="004647B9" w:rsidRDefault="004647B9">
            <w:pPr>
              <w:rPr>
                <w:sz w:val="24"/>
                <w:szCs w:val="24"/>
              </w:rPr>
            </w:pPr>
          </w:p>
        </w:tc>
        <w:tc>
          <w:tcPr>
            <w:tcW w:w="180" w:type="dxa"/>
            <w:vAlign w:val="bottom"/>
          </w:tcPr>
          <w:p w14:paraId="2819D8E0" w14:textId="77777777" w:rsidR="004647B9" w:rsidRDefault="004647B9">
            <w:pPr>
              <w:rPr>
                <w:sz w:val="24"/>
                <w:szCs w:val="24"/>
              </w:rPr>
            </w:pPr>
          </w:p>
        </w:tc>
        <w:tc>
          <w:tcPr>
            <w:tcW w:w="2600" w:type="dxa"/>
            <w:gridSpan w:val="2"/>
            <w:vAlign w:val="bottom"/>
          </w:tcPr>
          <w:p w14:paraId="2819D8E1" w14:textId="77777777" w:rsidR="004647B9" w:rsidRDefault="00E2436F">
            <w:pPr>
              <w:rPr>
                <w:sz w:val="20"/>
                <w:szCs w:val="20"/>
              </w:rPr>
            </w:pPr>
            <w:r>
              <w:rPr>
                <w:rFonts w:eastAsia="Times New Roman"/>
                <w:sz w:val="18"/>
                <w:szCs w:val="18"/>
              </w:rPr>
              <w:t>by: Spectrophotometric,</w:t>
            </w:r>
          </w:p>
        </w:tc>
        <w:tc>
          <w:tcPr>
            <w:tcW w:w="380" w:type="dxa"/>
            <w:vAlign w:val="bottom"/>
          </w:tcPr>
          <w:p w14:paraId="2819D8E2" w14:textId="77777777" w:rsidR="004647B9" w:rsidRDefault="004647B9">
            <w:pPr>
              <w:rPr>
                <w:sz w:val="24"/>
                <w:szCs w:val="24"/>
              </w:rPr>
            </w:pPr>
          </w:p>
        </w:tc>
        <w:tc>
          <w:tcPr>
            <w:tcW w:w="480" w:type="dxa"/>
            <w:vAlign w:val="bottom"/>
          </w:tcPr>
          <w:p w14:paraId="2819D8E3" w14:textId="77777777" w:rsidR="004647B9" w:rsidRDefault="004647B9">
            <w:pPr>
              <w:rPr>
                <w:sz w:val="24"/>
                <w:szCs w:val="24"/>
              </w:rPr>
            </w:pPr>
          </w:p>
        </w:tc>
        <w:tc>
          <w:tcPr>
            <w:tcW w:w="40" w:type="dxa"/>
            <w:vAlign w:val="bottom"/>
          </w:tcPr>
          <w:p w14:paraId="2819D8E4" w14:textId="77777777" w:rsidR="004647B9" w:rsidRDefault="004647B9">
            <w:pPr>
              <w:rPr>
                <w:sz w:val="24"/>
                <w:szCs w:val="24"/>
              </w:rPr>
            </w:pPr>
          </w:p>
        </w:tc>
        <w:tc>
          <w:tcPr>
            <w:tcW w:w="560" w:type="dxa"/>
            <w:vAlign w:val="bottom"/>
          </w:tcPr>
          <w:p w14:paraId="2819D8E5" w14:textId="77777777" w:rsidR="004647B9" w:rsidRDefault="004647B9">
            <w:pPr>
              <w:rPr>
                <w:sz w:val="24"/>
                <w:szCs w:val="24"/>
              </w:rPr>
            </w:pPr>
          </w:p>
        </w:tc>
        <w:tc>
          <w:tcPr>
            <w:tcW w:w="900" w:type="dxa"/>
            <w:vAlign w:val="bottom"/>
          </w:tcPr>
          <w:p w14:paraId="2819D8E6" w14:textId="77777777" w:rsidR="004647B9" w:rsidRDefault="004647B9">
            <w:pPr>
              <w:rPr>
                <w:sz w:val="24"/>
                <w:szCs w:val="24"/>
              </w:rPr>
            </w:pPr>
          </w:p>
        </w:tc>
        <w:tc>
          <w:tcPr>
            <w:tcW w:w="260" w:type="dxa"/>
            <w:vAlign w:val="bottom"/>
          </w:tcPr>
          <w:p w14:paraId="2819D8E7" w14:textId="77777777" w:rsidR="004647B9" w:rsidRDefault="004647B9">
            <w:pPr>
              <w:rPr>
                <w:sz w:val="24"/>
                <w:szCs w:val="24"/>
              </w:rPr>
            </w:pPr>
          </w:p>
        </w:tc>
        <w:tc>
          <w:tcPr>
            <w:tcW w:w="280" w:type="dxa"/>
            <w:vAlign w:val="bottom"/>
          </w:tcPr>
          <w:p w14:paraId="2819D8E8" w14:textId="77777777" w:rsidR="004647B9" w:rsidRDefault="004647B9">
            <w:pPr>
              <w:rPr>
                <w:sz w:val="24"/>
                <w:szCs w:val="24"/>
              </w:rPr>
            </w:pPr>
          </w:p>
        </w:tc>
        <w:tc>
          <w:tcPr>
            <w:tcW w:w="540" w:type="dxa"/>
            <w:vAlign w:val="bottom"/>
          </w:tcPr>
          <w:p w14:paraId="2819D8E9" w14:textId="77777777" w:rsidR="004647B9" w:rsidRDefault="004647B9">
            <w:pPr>
              <w:rPr>
                <w:sz w:val="24"/>
                <w:szCs w:val="24"/>
              </w:rPr>
            </w:pPr>
          </w:p>
        </w:tc>
        <w:tc>
          <w:tcPr>
            <w:tcW w:w="340" w:type="dxa"/>
            <w:vAlign w:val="bottom"/>
          </w:tcPr>
          <w:p w14:paraId="2819D8EA" w14:textId="77777777" w:rsidR="004647B9" w:rsidRDefault="004647B9">
            <w:pPr>
              <w:rPr>
                <w:sz w:val="24"/>
                <w:szCs w:val="24"/>
              </w:rPr>
            </w:pPr>
          </w:p>
        </w:tc>
        <w:tc>
          <w:tcPr>
            <w:tcW w:w="180" w:type="dxa"/>
            <w:vAlign w:val="bottom"/>
          </w:tcPr>
          <w:p w14:paraId="2819D8EB" w14:textId="77777777" w:rsidR="004647B9" w:rsidRDefault="004647B9">
            <w:pPr>
              <w:rPr>
                <w:sz w:val="24"/>
                <w:szCs w:val="24"/>
              </w:rPr>
            </w:pPr>
          </w:p>
        </w:tc>
        <w:tc>
          <w:tcPr>
            <w:tcW w:w="880" w:type="dxa"/>
            <w:vAlign w:val="bottom"/>
          </w:tcPr>
          <w:p w14:paraId="2819D8EC" w14:textId="77777777" w:rsidR="004647B9" w:rsidRDefault="004647B9">
            <w:pPr>
              <w:rPr>
                <w:sz w:val="24"/>
                <w:szCs w:val="24"/>
              </w:rPr>
            </w:pPr>
          </w:p>
        </w:tc>
        <w:tc>
          <w:tcPr>
            <w:tcW w:w="660" w:type="dxa"/>
            <w:vAlign w:val="bottom"/>
          </w:tcPr>
          <w:p w14:paraId="2819D8ED" w14:textId="77777777" w:rsidR="004647B9" w:rsidRDefault="004647B9">
            <w:pPr>
              <w:rPr>
                <w:sz w:val="24"/>
                <w:szCs w:val="24"/>
              </w:rPr>
            </w:pPr>
          </w:p>
        </w:tc>
        <w:tc>
          <w:tcPr>
            <w:tcW w:w="460" w:type="dxa"/>
            <w:vAlign w:val="bottom"/>
          </w:tcPr>
          <w:p w14:paraId="2819D8EE" w14:textId="77777777" w:rsidR="004647B9" w:rsidRDefault="004647B9">
            <w:pPr>
              <w:rPr>
                <w:sz w:val="24"/>
                <w:szCs w:val="24"/>
              </w:rPr>
            </w:pPr>
          </w:p>
        </w:tc>
        <w:tc>
          <w:tcPr>
            <w:tcW w:w="1160" w:type="dxa"/>
            <w:vAlign w:val="bottom"/>
          </w:tcPr>
          <w:p w14:paraId="2819D8EF" w14:textId="77777777" w:rsidR="004647B9" w:rsidRDefault="004647B9">
            <w:pPr>
              <w:rPr>
                <w:sz w:val="24"/>
                <w:szCs w:val="24"/>
              </w:rPr>
            </w:pPr>
          </w:p>
        </w:tc>
        <w:tc>
          <w:tcPr>
            <w:tcW w:w="0" w:type="dxa"/>
            <w:vAlign w:val="bottom"/>
          </w:tcPr>
          <w:p w14:paraId="2819D8F0" w14:textId="77777777" w:rsidR="004647B9" w:rsidRDefault="004647B9">
            <w:pPr>
              <w:rPr>
                <w:sz w:val="1"/>
                <w:szCs w:val="1"/>
              </w:rPr>
            </w:pPr>
          </w:p>
        </w:tc>
      </w:tr>
      <w:tr w:rsidR="004647B9" w14:paraId="2819D900" w14:textId="77777777">
        <w:trPr>
          <w:trHeight w:val="281"/>
        </w:trPr>
        <w:tc>
          <w:tcPr>
            <w:tcW w:w="1020" w:type="dxa"/>
            <w:vAlign w:val="bottom"/>
          </w:tcPr>
          <w:p w14:paraId="2819D8F2" w14:textId="77777777" w:rsidR="004647B9" w:rsidRDefault="004647B9">
            <w:pPr>
              <w:rPr>
                <w:sz w:val="24"/>
                <w:szCs w:val="24"/>
              </w:rPr>
            </w:pPr>
          </w:p>
        </w:tc>
        <w:tc>
          <w:tcPr>
            <w:tcW w:w="180" w:type="dxa"/>
            <w:vAlign w:val="bottom"/>
          </w:tcPr>
          <w:p w14:paraId="2819D8F3" w14:textId="77777777" w:rsidR="004647B9" w:rsidRDefault="004647B9">
            <w:pPr>
              <w:rPr>
                <w:sz w:val="24"/>
                <w:szCs w:val="24"/>
              </w:rPr>
            </w:pPr>
          </w:p>
        </w:tc>
        <w:tc>
          <w:tcPr>
            <w:tcW w:w="2600" w:type="dxa"/>
            <w:gridSpan w:val="2"/>
            <w:vAlign w:val="bottom"/>
          </w:tcPr>
          <w:p w14:paraId="2819D8F4" w14:textId="77777777" w:rsidR="004647B9" w:rsidRDefault="00E2436F">
            <w:pPr>
              <w:rPr>
                <w:sz w:val="20"/>
                <w:szCs w:val="20"/>
              </w:rPr>
            </w:pPr>
            <w:r>
              <w:rPr>
                <w:rFonts w:eastAsia="Times New Roman"/>
                <w:sz w:val="18"/>
                <w:szCs w:val="18"/>
              </w:rPr>
              <w:t>Amenable</w:t>
            </w:r>
          </w:p>
        </w:tc>
        <w:tc>
          <w:tcPr>
            <w:tcW w:w="380" w:type="dxa"/>
            <w:vAlign w:val="bottom"/>
          </w:tcPr>
          <w:p w14:paraId="2819D8F5" w14:textId="77777777" w:rsidR="004647B9" w:rsidRDefault="004647B9">
            <w:pPr>
              <w:rPr>
                <w:sz w:val="24"/>
                <w:szCs w:val="24"/>
              </w:rPr>
            </w:pPr>
          </w:p>
        </w:tc>
        <w:tc>
          <w:tcPr>
            <w:tcW w:w="480" w:type="dxa"/>
            <w:vAlign w:val="bottom"/>
          </w:tcPr>
          <w:p w14:paraId="2819D8F6" w14:textId="77777777" w:rsidR="004647B9" w:rsidRDefault="004647B9">
            <w:pPr>
              <w:rPr>
                <w:sz w:val="24"/>
                <w:szCs w:val="24"/>
              </w:rPr>
            </w:pPr>
          </w:p>
        </w:tc>
        <w:tc>
          <w:tcPr>
            <w:tcW w:w="40" w:type="dxa"/>
            <w:vAlign w:val="bottom"/>
          </w:tcPr>
          <w:p w14:paraId="2819D8F7" w14:textId="77777777" w:rsidR="004647B9" w:rsidRDefault="004647B9">
            <w:pPr>
              <w:rPr>
                <w:sz w:val="24"/>
                <w:szCs w:val="24"/>
              </w:rPr>
            </w:pPr>
          </w:p>
        </w:tc>
        <w:tc>
          <w:tcPr>
            <w:tcW w:w="1460" w:type="dxa"/>
            <w:gridSpan w:val="2"/>
            <w:vAlign w:val="bottom"/>
          </w:tcPr>
          <w:p w14:paraId="2819D8F8" w14:textId="77777777" w:rsidR="004647B9" w:rsidRDefault="00E2436F">
            <w:pPr>
              <w:rPr>
                <w:sz w:val="20"/>
                <w:szCs w:val="20"/>
              </w:rPr>
            </w:pPr>
            <w:r>
              <w:rPr>
                <w:rFonts w:eastAsia="Times New Roman"/>
                <w:sz w:val="18"/>
                <w:szCs w:val="18"/>
              </w:rPr>
              <w:t>D2036-98B</w:t>
            </w:r>
          </w:p>
        </w:tc>
        <w:tc>
          <w:tcPr>
            <w:tcW w:w="260" w:type="dxa"/>
            <w:vAlign w:val="bottom"/>
          </w:tcPr>
          <w:p w14:paraId="2819D8F9" w14:textId="77777777" w:rsidR="004647B9" w:rsidRDefault="004647B9">
            <w:pPr>
              <w:rPr>
                <w:sz w:val="24"/>
                <w:szCs w:val="24"/>
              </w:rPr>
            </w:pPr>
          </w:p>
        </w:tc>
        <w:tc>
          <w:tcPr>
            <w:tcW w:w="1160" w:type="dxa"/>
            <w:gridSpan w:val="3"/>
            <w:vAlign w:val="bottom"/>
          </w:tcPr>
          <w:p w14:paraId="2819D8FA" w14:textId="77777777" w:rsidR="004647B9" w:rsidRDefault="00E2436F">
            <w:pPr>
              <w:rPr>
                <w:sz w:val="20"/>
                <w:szCs w:val="20"/>
              </w:rPr>
            </w:pPr>
            <w:r>
              <w:rPr>
                <w:rFonts w:eastAsia="Times New Roman"/>
                <w:sz w:val="18"/>
                <w:szCs w:val="18"/>
              </w:rPr>
              <w:t>4500-C</w:t>
            </w:r>
            <w:r>
              <w:rPr>
                <w:rFonts w:eastAsia="Times New Roman"/>
                <w:sz w:val="24"/>
                <w:szCs w:val="24"/>
                <w:vertAlign w:val="superscript"/>
              </w:rPr>
              <w:t>-</w:t>
            </w:r>
            <w:r>
              <w:rPr>
                <w:rFonts w:eastAsia="Times New Roman"/>
                <w:sz w:val="18"/>
                <w:szCs w:val="18"/>
              </w:rPr>
              <w:t>NG</w:t>
            </w:r>
          </w:p>
        </w:tc>
        <w:tc>
          <w:tcPr>
            <w:tcW w:w="180" w:type="dxa"/>
            <w:vAlign w:val="bottom"/>
          </w:tcPr>
          <w:p w14:paraId="2819D8FB" w14:textId="77777777" w:rsidR="004647B9" w:rsidRDefault="004647B9">
            <w:pPr>
              <w:rPr>
                <w:sz w:val="24"/>
                <w:szCs w:val="24"/>
              </w:rPr>
            </w:pPr>
          </w:p>
        </w:tc>
        <w:tc>
          <w:tcPr>
            <w:tcW w:w="1540" w:type="dxa"/>
            <w:gridSpan w:val="2"/>
            <w:vAlign w:val="bottom"/>
          </w:tcPr>
          <w:p w14:paraId="2819D8FC"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G-99</w:t>
            </w:r>
          </w:p>
        </w:tc>
        <w:tc>
          <w:tcPr>
            <w:tcW w:w="460" w:type="dxa"/>
            <w:vAlign w:val="bottom"/>
          </w:tcPr>
          <w:p w14:paraId="2819D8FD" w14:textId="77777777" w:rsidR="004647B9" w:rsidRDefault="004647B9">
            <w:pPr>
              <w:rPr>
                <w:sz w:val="24"/>
                <w:szCs w:val="24"/>
              </w:rPr>
            </w:pPr>
          </w:p>
        </w:tc>
        <w:tc>
          <w:tcPr>
            <w:tcW w:w="1160" w:type="dxa"/>
            <w:vAlign w:val="bottom"/>
          </w:tcPr>
          <w:p w14:paraId="2819D8FE" w14:textId="77777777" w:rsidR="004647B9" w:rsidRDefault="004647B9">
            <w:pPr>
              <w:rPr>
                <w:sz w:val="24"/>
                <w:szCs w:val="24"/>
              </w:rPr>
            </w:pPr>
          </w:p>
        </w:tc>
        <w:tc>
          <w:tcPr>
            <w:tcW w:w="0" w:type="dxa"/>
            <w:vAlign w:val="bottom"/>
          </w:tcPr>
          <w:p w14:paraId="2819D8FF" w14:textId="77777777" w:rsidR="004647B9" w:rsidRDefault="004647B9">
            <w:pPr>
              <w:rPr>
                <w:sz w:val="1"/>
                <w:szCs w:val="1"/>
              </w:rPr>
            </w:pPr>
          </w:p>
        </w:tc>
      </w:tr>
      <w:tr w:rsidR="004647B9" w14:paraId="2819D913" w14:textId="77777777">
        <w:trPr>
          <w:trHeight w:val="278"/>
        </w:trPr>
        <w:tc>
          <w:tcPr>
            <w:tcW w:w="1020" w:type="dxa"/>
            <w:vAlign w:val="bottom"/>
          </w:tcPr>
          <w:p w14:paraId="2819D901" w14:textId="77777777" w:rsidR="004647B9" w:rsidRDefault="004647B9">
            <w:pPr>
              <w:rPr>
                <w:sz w:val="24"/>
                <w:szCs w:val="24"/>
              </w:rPr>
            </w:pPr>
          </w:p>
        </w:tc>
        <w:tc>
          <w:tcPr>
            <w:tcW w:w="180" w:type="dxa"/>
            <w:vAlign w:val="bottom"/>
          </w:tcPr>
          <w:p w14:paraId="2819D902" w14:textId="77777777" w:rsidR="004647B9" w:rsidRDefault="004647B9">
            <w:pPr>
              <w:rPr>
                <w:sz w:val="24"/>
                <w:szCs w:val="24"/>
              </w:rPr>
            </w:pPr>
          </w:p>
        </w:tc>
        <w:tc>
          <w:tcPr>
            <w:tcW w:w="2600" w:type="dxa"/>
            <w:gridSpan w:val="2"/>
            <w:vAlign w:val="bottom"/>
          </w:tcPr>
          <w:p w14:paraId="2819D903" w14:textId="77777777" w:rsidR="004647B9" w:rsidRDefault="00E2436F">
            <w:pPr>
              <w:rPr>
                <w:sz w:val="20"/>
                <w:szCs w:val="20"/>
              </w:rPr>
            </w:pPr>
            <w:r>
              <w:rPr>
                <w:rFonts w:eastAsia="Times New Roman"/>
                <w:sz w:val="18"/>
                <w:szCs w:val="18"/>
              </w:rPr>
              <w:t>Manual Distillation followed</w:t>
            </w:r>
          </w:p>
        </w:tc>
        <w:tc>
          <w:tcPr>
            <w:tcW w:w="380" w:type="dxa"/>
            <w:vAlign w:val="bottom"/>
          </w:tcPr>
          <w:p w14:paraId="2819D904" w14:textId="77777777" w:rsidR="004647B9" w:rsidRDefault="004647B9">
            <w:pPr>
              <w:rPr>
                <w:sz w:val="24"/>
                <w:szCs w:val="24"/>
              </w:rPr>
            </w:pPr>
          </w:p>
        </w:tc>
        <w:tc>
          <w:tcPr>
            <w:tcW w:w="480" w:type="dxa"/>
            <w:vAlign w:val="bottom"/>
          </w:tcPr>
          <w:p w14:paraId="2819D905" w14:textId="77777777" w:rsidR="004647B9" w:rsidRDefault="004647B9">
            <w:pPr>
              <w:rPr>
                <w:sz w:val="24"/>
                <w:szCs w:val="24"/>
              </w:rPr>
            </w:pPr>
          </w:p>
        </w:tc>
        <w:tc>
          <w:tcPr>
            <w:tcW w:w="40" w:type="dxa"/>
            <w:vAlign w:val="bottom"/>
          </w:tcPr>
          <w:p w14:paraId="2819D906" w14:textId="77777777" w:rsidR="004647B9" w:rsidRDefault="004647B9">
            <w:pPr>
              <w:rPr>
                <w:sz w:val="24"/>
                <w:szCs w:val="24"/>
              </w:rPr>
            </w:pPr>
          </w:p>
        </w:tc>
        <w:tc>
          <w:tcPr>
            <w:tcW w:w="560" w:type="dxa"/>
            <w:vAlign w:val="bottom"/>
          </w:tcPr>
          <w:p w14:paraId="2819D907" w14:textId="77777777" w:rsidR="004647B9" w:rsidRDefault="004647B9">
            <w:pPr>
              <w:rPr>
                <w:sz w:val="24"/>
                <w:szCs w:val="24"/>
              </w:rPr>
            </w:pPr>
          </w:p>
        </w:tc>
        <w:tc>
          <w:tcPr>
            <w:tcW w:w="900" w:type="dxa"/>
            <w:vAlign w:val="bottom"/>
          </w:tcPr>
          <w:p w14:paraId="2819D908" w14:textId="77777777" w:rsidR="004647B9" w:rsidRDefault="004647B9">
            <w:pPr>
              <w:rPr>
                <w:sz w:val="24"/>
                <w:szCs w:val="24"/>
              </w:rPr>
            </w:pPr>
          </w:p>
        </w:tc>
        <w:tc>
          <w:tcPr>
            <w:tcW w:w="260" w:type="dxa"/>
            <w:vAlign w:val="bottom"/>
          </w:tcPr>
          <w:p w14:paraId="2819D909" w14:textId="77777777" w:rsidR="004647B9" w:rsidRDefault="004647B9">
            <w:pPr>
              <w:rPr>
                <w:sz w:val="24"/>
                <w:szCs w:val="24"/>
              </w:rPr>
            </w:pPr>
          </w:p>
        </w:tc>
        <w:tc>
          <w:tcPr>
            <w:tcW w:w="280" w:type="dxa"/>
            <w:vAlign w:val="bottom"/>
          </w:tcPr>
          <w:p w14:paraId="2819D90A" w14:textId="77777777" w:rsidR="004647B9" w:rsidRDefault="004647B9">
            <w:pPr>
              <w:rPr>
                <w:sz w:val="24"/>
                <w:szCs w:val="24"/>
              </w:rPr>
            </w:pPr>
          </w:p>
        </w:tc>
        <w:tc>
          <w:tcPr>
            <w:tcW w:w="540" w:type="dxa"/>
            <w:vAlign w:val="bottom"/>
          </w:tcPr>
          <w:p w14:paraId="2819D90B" w14:textId="77777777" w:rsidR="004647B9" w:rsidRDefault="004647B9">
            <w:pPr>
              <w:rPr>
                <w:sz w:val="24"/>
                <w:szCs w:val="24"/>
              </w:rPr>
            </w:pPr>
          </w:p>
        </w:tc>
        <w:tc>
          <w:tcPr>
            <w:tcW w:w="340" w:type="dxa"/>
            <w:vAlign w:val="bottom"/>
          </w:tcPr>
          <w:p w14:paraId="2819D90C" w14:textId="77777777" w:rsidR="004647B9" w:rsidRDefault="004647B9">
            <w:pPr>
              <w:rPr>
                <w:sz w:val="24"/>
                <w:szCs w:val="24"/>
              </w:rPr>
            </w:pPr>
          </w:p>
        </w:tc>
        <w:tc>
          <w:tcPr>
            <w:tcW w:w="180" w:type="dxa"/>
            <w:vAlign w:val="bottom"/>
          </w:tcPr>
          <w:p w14:paraId="2819D90D" w14:textId="77777777" w:rsidR="004647B9" w:rsidRDefault="004647B9">
            <w:pPr>
              <w:rPr>
                <w:sz w:val="24"/>
                <w:szCs w:val="24"/>
              </w:rPr>
            </w:pPr>
          </w:p>
        </w:tc>
        <w:tc>
          <w:tcPr>
            <w:tcW w:w="880" w:type="dxa"/>
            <w:vAlign w:val="bottom"/>
          </w:tcPr>
          <w:p w14:paraId="2819D90E" w14:textId="77777777" w:rsidR="004647B9" w:rsidRDefault="004647B9">
            <w:pPr>
              <w:rPr>
                <w:sz w:val="24"/>
                <w:szCs w:val="24"/>
              </w:rPr>
            </w:pPr>
          </w:p>
        </w:tc>
        <w:tc>
          <w:tcPr>
            <w:tcW w:w="660" w:type="dxa"/>
            <w:vAlign w:val="bottom"/>
          </w:tcPr>
          <w:p w14:paraId="2819D90F" w14:textId="77777777" w:rsidR="004647B9" w:rsidRDefault="004647B9">
            <w:pPr>
              <w:rPr>
                <w:sz w:val="24"/>
                <w:szCs w:val="24"/>
              </w:rPr>
            </w:pPr>
          </w:p>
        </w:tc>
        <w:tc>
          <w:tcPr>
            <w:tcW w:w="460" w:type="dxa"/>
            <w:vAlign w:val="bottom"/>
          </w:tcPr>
          <w:p w14:paraId="2819D910" w14:textId="77777777" w:rsidR="004647B9" w:rsidRDefault="004647B9">
            <w:pPr>
              <w:rPr>
                <w:sz w:val="24"/>
                <w:szCs w:val="24"/>
              </w:rPr>
            </w:pPr>
          </w:p>
        </w:tc>
        <w:tc>
          <w:tcPr>
            <w:tcW w:w="1160" w:type="dxa"/>
            <w:vAlign w:val="bottom"/>
          </w:tcPr>
          <w:p w14:paraId="2819D911" w14:textId="77777777" w:rsidR="004647B9" w:rsidRDefault="004647B9">
            <w:pPr>
              <w:rPr>
                <w:sz w:val="24"/>
                <w:szCs w:val="24"/>
              </w:rPr>
            </w:pPr>
          </w:p>
        </w:tc>
        <w:tc>
          <w:tcPr>
            <w:tcW w:w="0" w:type="dxa"/>
            <w:vAlign w:val="bottom"/>
          </w:tcPr>
          <w:p w14:paraId="2819D912" w14:textId="77777777" w:rsidR="004647B9" w:rsidRDefault="004647B9">
            <w:pPr>
              <w:rPr>
                <w:sz w:val="1"/>
                <w:szCs w:val="1"/>
              </w:rPr>
            </w:pPr>
          </w:p>
        </w:tc>
      </w:tr>
      <w:tr w:rsidR="004647B9" w14:paraId="2819D926" w14:textId="77777777">
        <w:trPr>
          <w:trHeight w:val="281"/>
        </w:trPr>
        <w:tc>
          <w:tcPr>
            <w:tcW w:w="1020" w:type="dxa"/>
            <w:vAlign w:val="bottom"/>
          </w:tcPr>
          <w:p w14:paraId="2819D914" w14:textId="77777777" w:rsidR="004647B9" w:rsidRDefault="004647B9">
            <w:pPr>
              <w:rPr>
                <w:sz w:val="24"/>
                <w:szCs w:val="24"/>
              </w:rPr>
            </w:pPr>
          </w:p>
        </w:tc>
        <w:tc>
          <w:tcPr>
            <w:tcW w:w="180" w:type="dxa"/>
            <w:vAlign w:val="bottom"/>
          </w:tcPr>
          <w:p w14:paraId="2819D915" w14:textId="77777777" w:rsidR="004647B9" w:rsidRDefault="004647B9">
            <w:pPr>
              <w:rPr>
                <w:sz w:val="24"/>
                <w:szCs w:val="24"/>
              </w:rPr>
            </w:pPr>
          </w:p>
        </w:tc>
        <w:tc>
          <w:tcPr>
            <w:tcW w:w="2600" w:type="dxa"/>
            <w:gridSpan w:val="2"/>
            <w:vAlign w:val="bottom"/>
          </w:tcPr>
          <w:p w14:paraId="2819D916" w14:textId="77777777" w:rsidR="004647B9" w:rsidRDefault="00E2436F">
            <w:pPr>
              <w:rPr>
                <w:sz w:val="20"/>
                <w:szCs w:val="20"/>
              </w:rPr>
            </w:pPr>
            <w:r>
              <w:rPr>
                <w:rFonts w:eastAsia="Times New Roman"/>
                <w:sz w:val="18"/>
                <w:szCs w:val="18"/>
              </w:rPr>
              <w:t>by Spectrophotometric,</w:t>
            </w:r>
          </w:p>
        </w:tc>
        <w:tc>
          <w:tcPr>
            <w:tcW w:w="380" w:type="dxa"/>
            <w:vAlign w:val="bottom"/>
          </w:tcPr>
          <w:p w14:paraId="2819D917" w14:textId="77777777" w:rsidR="004647B9" w:rsidRDefault="004647B9">
            <w:pPr>
              <w:rPr>
                <w:sz w:val="24"/>
                <w:szCs w:val="24"/>
              </w:rPr>
            </w:pPr>
          </w:p>
        </w:tc>
        <w:tc>
          <w:tcPr>
            <w:tcW w:w="480" w:type="dxa"/>
            <w:vAlign w:val="bottom"/>
          </w:tcPr>
          <w:p w14:paraId="2819D918" w14:textId="77777777" w:rsidR="004647B9" w:rsidRDefault="004647B9">
            <w:pPr>
              <w:rPr>
                <w:sz w:val="24"/>
                <w:szCs w:val="24"/>
              </w:rPr>
            </w:pPr>
          </w:p>
        </w:tc>
        <w:tc>
          <w:tcPr>
            <w:tcW w:w="40" w:type="dxa"/>
            <w:vAlign w:val="bottom"/>
          </w:tcPr>
          <w:p w14:paraId="2819D919" w14:textId="77777777" w:rsidR="004647B9" w:rsidRDefault="004647B9">
            <w:pPr>
              <w:rPr>
                <w:sz w:val="24"/>
                <w:szCs w:val="24"/>
              </w:rPr>
            </w:pPr>
          </w:p>
        </w:tc>
        <w:tc>
          <w:tcPr>
            <w:tcW w:w="560" w:type="dxa"/>
            <w:vAlign w:val="bottom"/>
          </w:tcPr>
          <w:p w14:paraId="2819D91A" w14:textId="77777777" w:rsidR="004647B9" w:rsidRDefault="004647B9">
            <w:pPr>
              <w:rPr>
                <w:sz w:val="24"/>
                <w:szCs w:val="24"/>
              </w:rPr>
            </w:pPr>
          </w:p>
        </w:tc>
        <w:tc>
          <w:tcPr>
            <w:tcW w:w="900" w:type="dxa"/>
            <w:vAlign w:val="bottom"/>
          </w:tcPr>
          <w:p w14:paraId="2819D91B" w14:textId="77777777" w:rsidR="004647B9" w:rsidRDefault="004647B9">
            <w:pPr>
              <w:rPr>
                <w:sz w:val="24"/>
                <w:szCs w:val="24"/>
              </w:rPr>
            </w:pPr>
          </w:p>
        </w:tc>
        <w:tc>
          <w:tcPr>
            <w:tcW w:w="260" w:type="dxa"/>
            <w:vAlign w:val="bottom"/>
          </w:tcPr>
          <w:p w14:paraId="2819D91C" w14:textId="77777777" w:rsidR="004647B9" w:rsidRDefault="004647B9">
            <w:pPr>
              <w:rPr>
                <w:sz w:val="24"/>
                <w:szCs w:val="24"/>
              </w:rPr>
            </w:pPr>
          </w:p>
        </w:tc>
        <w:tc>
          <w:tcPr>
            <w:tcW w:w="280" w:type="dxa"/>
            <w:vAlign w:val="bottom"/>
          </w:tcPr>
          <w:p w14:paraId="2819D91D" w14:textId="77777777" w:rsidR="004647B9" w:rsidRDefault="004647B9">
            <w:pPr>
              <w:rPr>
                <w:sz w:val="24"/>
                <w:szCs w:val="24"/>
              </w:rPr>
            </w:pPr>
          </w:p>
        </w:tc>
        <w:tc>
          <w:tcPr>
            <w:tcW w:w="540" w:type="dxa"/>
            <w:vAlign w:val="bottom"/>
          </w:tcPr>
          <w:p w14:paraId="2819D91E" w14:textId="77777777" w:rsidR="004647B9" w:rsidRDefault="004647B9">
            <w:pPr>
              <w:rPr>
                <w:sz w:val="24"/>
                <w:szCs w:val="24"/>
              </w:rPr>
            </w:pPr>
          </w:p>
        </w:tc>
        <w:tc>
          <w:tcPr>
            <w:tcW w:w="340" w:type="dxa"/>
            <w:vAlign w:val="bottom"/>
          </w:tcPr>
          <w:p w14:paraId="2819D91F" w14:textId="77777777" w:rsidR="004647B9" w:rsidRDefault="004647B9">
            <w:pPr>
              <w:rPr>
                <w:sz w:val="24"/>
                <w:szCs w:val="24"/>
              </w:rPr>
            </w:pPr>
          </w:p>
        </w:tc>
        <w:tc>
          <w:tcPr>
            <w:tcW w:w="180" w:type="dxa"/>
            <w:vAlign w:val="bottom"/>
          </w:tcPr>
          <w:p w14:paraId="2819D920" w14:textId="77777777" w:rsidR="004647B9" w:rsidRDefault="004647B9">
            <w:pPr>
              <w:rPr>
                <w:sz w:val="24"/>
                <w:szCs w:val="24"/>
              </w:rPr>
            </w:pPr>
          </w:p>
        </w:tc>
        <w:tc>
          <w:tcPr>
            <w:tcW w:w="880" w:type="dxa"/>
            <w:vAlign w:val="bottom"/>
          </w:tcPr>
          <w:p w14:paraId="2819D921" w14:textId="77777777" w:rsidR="004647B9" w:rsidRDefault="004647B9">
            <w:pPr>
              <w:rPr>
                <w:sz w:val="24"/>
                <w:szCs w:val="24"/>
              </w:rPr>
            </w:pPr>
          </w:p>
        </w:tc>
        <w:tc>
          <w:tcPr>
            <w:tcW w:w="660" w:type="dxa"/>
            <w:vAlign w:val="bottom"/>
          </w:tcPr>
          <w:p w14:paraId="2819D922" w14:textId="77777777" w:rsidR="004647B9" w:rsidRDefault="004647B9">
            <w:pPr>
              <w:rPr>
                <w:sz w:val="24"/>
                <w:szCs w:val="24"/>
              </w:rPr>
            </w:pPr>
          </w:p>
        </w:tc>
        <w:tc>
          <w:tcPr>
            <w:tcW w:w="460" w:type="dxa"/>
            <w:vAlign w:val="bottom"/>
          </w:tcPr>
          <w:p w14:paraId="2819D923" w14:textId="77777777" w:rsidR="004647B9" w:rsidRDefault="004647B9">
            <w:pPr>
              <w:rPr>
                <w:sz w:val="24"/>
                <w:szCs w:val="24"/>
              </w:rPr>
            </w:pPr>
          </w:p>
        </w:tc>
        <w:tc>
          <w:tcPr>
            <w:tcW w:w="1160" w:type="dxa"/>
            <w:vAlign w:val="bottom"/>
          </w:tcPr>
          <w:p w14:paraId="2819D924" w14:textId="77777777" w:rsidR="004647B9" w:rsidRDefault="004647B9">
            <w:pPr>
              <w:rPr>
                <w:sz w:val="24"/>
                <w:szCs w:val="24"/>
              </w:rPr>
            </w:pPr>
          </w:p>
        </w:tc>
        <w:tc>
          <w:tcPr>
            <w:tcW w:w="0" w:type="dxa"/>
            <w:vAlign w:val="bottom"/>
          </w:tcPr>
          <w:p w14:paraId="2819D925" w14:textId="77777777" w:rsidR="004647B9" w:rsidRDefault="004647B9">
            <w:pPr>
              <w:rPr>
                <w:sz w:val="1"/>
                <w:szCs w:val="1"/>
              </w:rPr>
            </w:pPr>
          </w:p>
        </w:tc>
      </w:tr>
      <w:tr w:rsidR="004647B9" w14:paraId="2819D934" w14:textId="77777777">
        <w:trPr>
          <w:trHeight w:val="279"/>
        </w:trPr>
        <w:tc>
          <w:tcPr>
            <w:tcW w:w="1020" w:type="dxa"/>
            <w:vAlign w:val="bottom"/>
          </w:tcPr>
          <w:p w14:paraId="2819D927" w14:textId="77777777" w:rsidR="004647B9" w:rsidRDefault="004647B9">
            <w:pPr>
              <w:rPr>
                <w:sz w:val="24"/>
                <w:szCs w:val="24"/>
              </w:rPr>
            </w:pPr>
          </w:p>
        </w:tc>
        <w:tc>
          <w:tcPr>
            <w:tcW w:w="180" w:type="dxa"/>
            <w:vAlign w:val="bottom"/>
          </w:tcPr>
          <w:p w14:paraId="2819D928" w14:textId="77777777" w:rsidR="004647B9" w:rsidRDefault="004647B9">
            <w:pPr>
              <w:rPr>
                <w:sz w:val="24"/>
                <w:szCs w:val="24"/>
              </w:rPr>
            </w:pPr>
          </w:p>
        </w:tc>
        <w:tc>
          <w:tcPr>
            <w:tcW w:w="2600" w:type="dxa"/>
            <w:gridSpan w:val="2"/>
            <w:vAlign w:val="bottom"/>
          </w:tcPr>
          <w:p w14:paraId="2819D929" w14:textId="77777777" w:rsidR="004647B9" w:rsidRDefault="00E2436F">
            <w:pPr>
              <w:rPr>
                <w:sz w:val="20"/>
                <w:szCs w:val="20"/>
              </w:rPr>
            </w:pPr>
            <w:r>
              <w:rPr>
                <w:rFonts w:eastAsia="Times New Roman"/>
                <w:sz w:val="18"/>
                <w:szCs w:val="18"/>
              </w:rPr>
              <w:t>Manual</w:t>
            </w:r>
          </w:p>
        </w:tc>
        <w:tc>
          <w:tcPr>
            <w:tcW w:w="380" w:type="dxa"/>
            <w:vAlign w:val="bottom"/>
          </w:tcPr>
          <w:p w14:paraId="2819D92A" w14:textId="77777777" w:rsidR="004647B9" w:rsidRDefault="004647B9">
            <w:pPr>
              <w:rPr>
                <w:sz w:val="24"/>
                <w:szCs w:val="24"/>
              </w:rPr>
            </w:pPr>
          </w:p>
        </w:tc>
        <w:tc>
          <w:tcPr>
            <w:tcW w:w="480" w:type="dxa"/>
            <w:vAlign w:val="bottom"/>
          </w:tcPr>
          <w:p w14:paraId="2819D92B" w14:textId="77777777" w:rsidR="004647B9" w:rsidRDefault="004647B9">
            <w:pPr>
              <w:rPr>
                <w:sz w:val="24"/>
                <w:szCs w:val="24"/>
              </w:rPr>
            </w:pPr>
          </w:p>
        </w:tc>
        <w:tc>
          <w:tcPr>
            <w:tcW w:w="40" w:type="dxa"/>
            <w:vAlign w:val="bottom"/>
          </w:tcPr>
          <w:p w14:paraId="2819D92C" w14:textId="77777777" w:rsidR="004647B9" w:rsidRDefault="004647B9">
            <w:pPr>
              <w:rPr>
                <w:sz w:val="24"/>
                <w:szCs w:val="24"/>
              </w:rPr>
            </w:pPr>
          </w:p>
        </w:tc>
        <w:tc>
          <w:tcPr>
            <w:tcW w:w="1460" w:type="dxa"/>
            <w:gridSpan w:val="2"/>
            <w:vAlign w:val="bottom"/>
          </w:tcPr>
          <w:p w14:paraId="2819D92D" w14:textId="77777777" w:rsidR="004647B9" w:rsidRDefault="00E2436F">
            <w:pPr>
              <w:rPr>
                <w:sz w:val="20"/>
                <w:szCs w:val="20"/>
              </w:rPr>
            </w:pPr>
            <w:r>
              <w:rPr>
                <w:rFonts w:eastAsia="Times New Roman"/>
                <w:sz w:val="18"/>
                <w:szCs w:val="18"/>
              </w:rPr>
              <w:t>D2036-98A</w:t>
            </w:r>
          </w:p>
        </w:tc>
        <w:tc>
          <w:tcPr>
            <w:tcW w:w="260" w:type="dxa"/>
            <w:vAlign w:val="bottom"/>
          </w:tcPr>
          <w:p w14:paraId="2819D92E" w14:textId="77777777" w:rsidR="004647B9" w:rsidRDefault="004647B9">
            <w:pPr>
              <w:rPr>
                <w:sz w:val="24"/>
                <w:szCs w:val="24"/>
              </w:rPr>
            </w:pPr>
          </w:p>
        </w:tc>
        <w:tc>
          <w:tcPr>
            <w:tcW w:w="1160" w:type="dxa"/>
            <w:gridSpan w:val="3"/>
            <w:vAlign w:val="bottom"/>
          </w:tcPr>
          <w:p w14:paraId="2819D92F"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E</w:t>
            </w:r>
          </w:p>
        </w:tc>
        <w:tc>
          <w:tcPr>
            <w:tcW w:w="180" w:type="dxa"/>
            <w:vAlign w:val="bottom"/>
          </w:tcPr>
          <w:p w14:paraId="2819D930" w14:textId="77777777" w:rsidR="004647B9" w:rsidRDefault="004647B9">
            <w:pPr>
              <w:rPr>
                <w:sz w:val="24"/>
                <w:szCs w:val="24"/>
              </w:rPr>
            </w:pPr>
          </w:p>
        </w:tc>
        <w:tc>
          <w:tcPr>
            <w:tcW w:w="1540" w:type="dxa"/>
            <w:gridSpan w:val="2"/>
            <w:vAlign w:val="bottom"/>
          </w:tcPr>
          <w:p w14:paraId="2819D931"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E-99</w:t>
            </w:r>
          </w:p>
        </w:tc>
        <w:tc>
          <w:tcPr>
            <w:tcW w:w="1620" w:type="dxa"/>
            <w:gridSpan w:val="2"/>
            <w:vAlign w:val="bottom"/>
          </w:tcPr>
          <w:p w14:paraId="2819D932" w14:textId="77777777" w:rsidR="004647B9" w:rsidRDefault="00E2436F">
            <w:pPr>
              <w:rPr>
                <w:sz w:val="20"/>
                <w:szCs w:val="20"/>
              </w:rPr>
            </w:pPr>
            <w:r>
              <w:rPr>
                <w:rFonts w:eastAsia="Times New Roman"/>
                <w:sz w:val="18"/>
                <w:szCs w:val="18"/>
              </w:rPr>
              <w:t>I-3300-85</w:t>
            </w:r>
            <w:r>
              <w:rPr>
                <w:rFonts w:eastAsia="Times New Roman"/>
                <w:sz w:val="24"/>
                <w:szCs w:val="24"/>
                <w:vertAlign w:val="superscript"/>
              </w:rPr>
              <w:t>5</w:t>
            </w:r>
          </w:p>
        </w:tc>
        <w:tc>
          <w:tcPr>
            <w:tcW w:w="0" w:type="dxa"/>
            <w:vAlign w:val="bottom"/>
          </w:tcPr>
          <w:p w14:paraId="2819D933" w14:textId="77777777" w:rsidR="004647B9" w:rsidRDefault="004647B9">
            <w:pPr>
              <w:rPr>
                <w:sz w:val="1"/>
                <w:szCs w:val="1"/>
              </w:rPr>
            </w:pPr>
          </w:p>
        </w:tc>
      </w:tr>
      <w:tr w:rsidR="004647B9" w14:paraId="2819D947" w14:textId="77777777">
        <w:trPr>
          <w:trHeight w:val="280"/>
        </w:trPr>
        <w:tc>
          <w:tcPr>
            <w:tcW w:w="1020" w:type="dxa"/>
            <w:vAlign w:val="bottom"/>
          </w:tcPr>
          <w:p w14:paraId="2819D935" w14:textId="77777777" w:rsidR="004647B9" w:rsidRDefault="004647B9">
            <w:pPr>
              <w:rPr>
                <w:sz w:val="24"/>
                <w:szCs w:val="24"/>
              </w:rPr>
            </w:pPr>
          </w:p>
        </w:tc>
        <w:tc>
          <w:tcPr>
            <w:tcW w:w="180" w:type="dxa"/>
            <w:vAlign w:val="bottom"/>
          </w:tcPr>
          <w:p w14:paraId="2819D936" w14:textId="77777777" w:rsidR="004647B9" w:rsidRDefault="004647B9">
            <w:pPr>
              <w:rPr>
                <w:sz w:val="24"/>
                <w:szCs w:val="24"/>
              </w:rPr>
            </w:pPr>
          </w:p>
        </w:tc>
        <w:tc>
          <w:tcPr>
            <w:tcW w:w="2600" w:type="dxa"/>
            <w:gridSpan w:val="2"/>
            <w:vAlign w:val="bottom"/>
          </w:tcPr>
          <w:p w14:paraId="2819D937" w14:textId="77777777" w:rsidR="004647B9" w:rsidRDefault="00E2436F">
            <w:pPr>
              <w:rPr>
                <w:sz w:val="20"/>
                <w:szCs w:val="20"/>
              </w:rPr>
            </w:pPr>
            <w:r>
              <w:rPr>
                <w:rFonts w:eastAsia="Times New Roman"/>
                <w:sz w:val="18"/>
                <w:szCs w:val="18"/>
              </w:rPr>
              <w:t>Spectrophotometric, Semi-</w:t>
            </w:r>
          </w:p>
        </w:tc>
        <w:tc>
          <w:tcPr>
            <w:tcW w:w="380" w:type="dxa"/>
            <w:vAlign w:val="bottom"/>
          </w:tcPr>
          <w:p w14:paraId="2819D938" w14:textId="77777777" w:rsidR="004647B9" w:rsidRDefault="004647B9">
            <w:pPr>
              <w:rPr>
                <w:sz w:val="24"/>
                <w:szCs w:val="24"/>
              </w:rPr>
            </w:pPr>
          </w:p>
        </w:tc>
        <w:tc>
          <w:tcPr>
            <w:tcW w:w="480" w:type="dxa"/>
            <w:vAlign w:val="bottom"/>
          </w:tcPr>
          <w:p w14:paraId="2819D939" w14:textId="77777777" w:rsidR="004647B9" w:rsidRDefault="004647B9">
            <w:pPr>
              <w:rPr>
                <w:sz w:val="24"/>
                <w:szCs w:val="24"/>
              </w:rPr>
            </w:pPr>
          </w:p>
        </w:tc>
        <w:tc>
          <w:tcPr>
            <w:tcW w:w="40" w:type="dxa"/>
            <w:vAlign w:val="bottom"/>
          </w:tcPr>
          <w:p w14:paraId="2819D93A" w14:textId="77777777" w:rsidR="004647B9" w:rsidRDefault="004647B9">
            <w:pPr>
              <w:rPr>
                <w:sz w:val="24"/>
                <w:szCs w:val="24"/>
              </w:rPr>
            </w:pPr>
          </w:p>
        </w:tc>
        <w:tc>
          <w:tcPr>
            <w:tcW w:w="560" w:type="dxa"/>
            <w:vAlign w:val="bottom"/>
          </w:tcPr>
          <w:p w14:paraId="2819D93B" w14:textId="77777777" w:rsidR="004647B9" w:rsidRDefault="004647B9">
            <w:pPr>
              <w:rPr>
                <w:sz w:val="24"/>
                <w:szCs w:val="24"/>
              </w:rPr>
            </w:pPr>
          </w:p>
        </w:tc>
        <w:tc>
          <w:tcPr>
            <w:tcW w:w="900" w:type="dxa"/>
            <w:vAlign w:val="bottom"/>
          </w:tcPr>
          <w:p w14:paraId="2819D93C" w14:textId="77777777" w:rsidR="004647B9" w:rsidRDefault="004647B9">
            <w:pPr>
              <w:rPr>
                <w:sz w:val="24"/>
                <w:szCs w:val="24"/>
              </w:rPr>
            </w:pPr>
          </w:p>
        </w:tc>
        <w:tc>
          <w:tcPr>
            <w:tcW w:w="260" w:type="dxa"/>
            <w:vAlign w:val="bottom"/>
          </w:tcPr>
          <w:p w14:paraId="2819D93D" w14:textId="77777777" w:rsidR="004647B9" w:rsidRDefault="004647B9">
            <w:pPr>
              <w:rPr>
                <w:sz w:val="24"/>
                <w:szCs w:val="24"/>
              </w:rPr>
            </w:pPr>
          </w:p>
        </w:tc>
        <w:tc>
          <w:tcPr>
            <w:tcW w:w="280" w:type="dxa"/>
            <w:vAlign w:val="bottom"/>
          </w:tcPr>
          <w:p w14:paraId="2819D93E" w14:textId="77777777" w:rsidR="004647B9" w:rsidRDefault="004647B9">
            <w:pPr>
              <w:rPr>
                <w:sz w:val="24"/>
                <w:szCs w:val="24"/>
              </w:rPr>
            </w:pPr>
          </w:p>
        </w:tc>
        <w:tc>
          <w:tcPr>
            <w:tcW w:w="540" w:type="dxa"/>
            <w:vAlign w:val="bottom"/>
          </w:tcPr>
          <w:p w14:paraId="2819D93F" w14:textId="77777777" w:rsidR="004647B9" w:rsidRDefault="004647B9">
            <w:pPr>
              <w:rPr>
                <w:sz w:val="24"/>
                <w:szCs w:val="24"/>
              </w:rPr>
            </w:pPr>
          </w:p>
        </w:tc>
        <w:tc>
          <w:tcPr>
            <w:tcW w:w="340" w:type="dxa"/>
            <w:vAlign w:val="bottom"/>
          </w:tcPr>
          <w:p w14:paraId="2819D940" w14:textId="77777777" w:rsidR="004647B9" w:rsidRDefault="004647B9">
            <w:pPr>
              <w:rPr>
                <w:sz w:val="24"/>
                <w:szCs w:val="24"/>
              </w:rPr>
            </w:pPr>
          </w:p>
        </w:tc>
        <w:tc>
          <w:tcPr>
            <w:tcW w:w="180" w:type="dxa"/>
            <w:vAlign w:val="bottom"/>
          </w:tcPr>
          <w:p w14:paraId="2819D941" w14:textId="77777777" w:rsidR="004647B9" w:rsidRDefault="004647B9">
            <w:pPr>
              <w:rPr>
                <w:sz w:val="24"/>
                <w:szCs w:val="24"/>
              </w:rPr>
            </w:pPr>
          </w:p>
        </w:tc>
        <w:tc>
          <w:tcPr>
            <w:tcW w:w="880" w:type="dxa"/>
            <w:vAlign w:val="bottom"/>
          </w:tcPr>
          <w:p w14:paraId="2819D942" w14:textId="77777777" w:rsidR="004647B9" w:rsidRDefault="004647B9">
            <w:pPr>
              <w:rPr>
                <w:sz w:val="24"/>
                <w:szCs w:val="24"/>
              </w:rPr>
            </w:pPr>
          </w:p>
        </w:tc>
        <w:tc>
          <w:tcPr>
            <w:tcW w:w="660" w:type="dxa"/>
            <w:vAlign w:val="bottom"/>
          </w:tcPr>
          <w:p w14:paraId="2819D943" w14:textId="77777777" w:rsidR="004647B9" w:rsidRDefault="004647B9">
            <w:pPr>
              <w:rPr>
                <w:sz w:val="24"/>
                <w:szCs w:val="24"/>
              </w:rPr>
            </w:pPr>
          </w:p>
        </w:tc>
        <w:tc>
          <w:tcPr>
            <w:tcW w:w="460" w:type="dxa"/>
            <w:vAlign w:val="bottom"/>
          </w:tcPr>
          <w:p w14:paraId="2819D944" w14:textId="77777777" w:rsidR="004647B9" w:rsidRDefault="004647B9">
            <w:pPr>
              <w:rPr>
                <w:sz w:val="24"/>
                <w:szCs w:val="24"/>
              </w:rPr>
            </w:pPr>
          </w:p>
        </w:tc>
        <w:tc>
          <w:tcPr>
            <w:tcW w:w="1160" w:type="dxa"/>
            <w:vAlign w:val="bottom"/>
          </w:tcPr>
          <w:p w14:paraId="2819D945" w14:textId="77777777" w:rsidR="004647B9" w:rsidRDefault="004647B9">
            <w:pPr>
              <w:rPr>
                <w:sz w:val="24"/>
                <w:szCs w:val="24"/>
              </w:rPr>
            </w:pPr>
          </w:p>
        </w:tc>
        <w:tc>
          <w:tcPr>
            <w:tcW w:w="0" w:type="dxa"/>
            <w:vAlign w:val="bottom"/>
          </w:tcPr>
          <w:p w14:paraId="2819D946" w14:textId="77777777" w:rsidR="004647B9" w:rsidRDefault="004647B9">
            <w:pPr>
              <w:rPr>
                <w:sz w:val="1"/>
                <w:szCs w:val="1"/>
              </w:rPr>
            </w:pPr>
          </w:p>
        </w:tc>
      </w:tr>
      <w:tr w:rsidR="004647B9" w14:paraId="2819D959" w14:textId="77777777">
        <w:trPr>
          <w:trHeight w:val="279"/>
        </w:trPr>
        <w:tc>
          <w:tcPr>
            <w:tcW w:w="1020" w:type="dxa"/>
            <w:vAlign w:val="bottom"/>
          </w:tcPr>
          <w:p w14:paraId="2819D948" w14:textId="77777777" w:rsidR="004647B9" w:rsidRDefault="004647B9">
            <w:pPr>
              <w:rPr>
                <w:sz w:val="24"/>
                <w:szCs w:val="24"/>
              </w:rPr>
            </w:pPr>
          </w:p>
        </w:tc>
        <w:tc>
          <w:tcPr>
            <w:tcW w:w="180" w:type="dxa"/>
            <w:vAlign w:val="bottom"/>
          </w:tcPr>
          <w:p w14:paraId="2819D949" w14:textId="77777777" w:rsidR="004647B9" w:rsidRDefault="004647B9">
            <w:pPr>
              <w:rPr>
                <w:sz w:val="24"/>
                <w:szCs w:val="24"/>
              </w:rPr>
            </w:pPr>
          </w:p>
        </w:tc>
        <w:tc>
          <w:tcPr>
            <w:tcW w:w="2600" w:type="dxa"/>
            <w:gridSpan w:val="2"/>
            <w:vAlign w:val="bottom"/>
          </w:tcPr>
          <w:p w14:paraId="2819D94A" w14:textId="77777777" w:rsidR="004647B9" w:rsidRDefault="00E2436F">
            <w:pPr>
              <w:rPr>
                <w:sz w:val="20"/>
                <w:szCs w:val="20"/>
              </w:rPr>
            </w:pPr>
            <w:r>
              <w:rPr>
                <w:rFonts w:eastAsia="Times New Roman"/>
                <w:sz w:val="18"/>
                <w:szCs w:val="18"/>
              </w:rPr>
              <w:t>automated</w:t>
            </w:r>
          </w:p>
        </w:tc>
        <w:tc>
          <w:tcPr>
            <w:tcW w:w="860" w:type="dxa"/>
            <w:gridSpan w:val="2"/>
            <w:vAlign w:val="bottom"/>
          </w:tcPr>
          <w:p w14:paraId="2819D94B" w14:textId="77777777" w:rsidR="004647B9" w:rsidRDefault="00E2436F">
            <w:pPr>
              <w:ind w:left="20"/>
              <w:rPr>
                <w:sz w:val="20"/>
                <w:szCs w:val="20"/>
              </w:rPr>
            </w:pPr>
            <w:r>
              <w:rPr>
                <w:rFonts w:eastAsia="Times New Roman"/>
                <w:sz w:val="24"/>
                <w:szCs w:val="24"/>
                <w:vertAlign w:val="superscript"/>
              </w:rPr>
              <w:t>6</w:t>
            </w:r>
            <w:r>
              <w:rPr>
                <w:rFonts w:eastAsia="Times New Roman"/>
                <w:sz w:val="18"/>
                <w:szCs w:val="18"/>
              </w:rPr>
              <w:t>335.4</w:t>
            </w:r>
          </w:p>
        </w:tc>
        <w:tc>
          <w:tcPr>
            <w:tcW w:w="40" w:type="dxa"/>
            <w:vAlign w:val="bottom"/>
          </w:tcPr>
          <w:p w14:paraId="2819D94C" w14:textId="77777777" w:rsidR="004647B9" w:rsidRDefault="004647B9">
            <w:pPr>
              <w:rPr>
                <w:sz w:val="24"/>
                <w:szCs w:val="24"/>
              </w:rPr>
            </w:pPr>
          </w:p>
        </w:tc>
        <w:tc>
          <w:tcPr>
            <w:tcW w:w="560" w:type="dxa"/>
            <w:vAlign w:val="bottom"/>
          </w:tcPr>
          <w:p w14:paraId="2819D94D" w14:textId="77777777" w:rsidR="004647B9" w:rsidRDefault="004647B9">
            <w:pPr>
              <w:rPr>
                <w:sz w:val="24"/>
                <w:szCs w:val="24"/>
              </w:rPr>
            </w:pPr>
          </w:p>
        </w:tc>
        <w:tc>
          <w:tcPr>
            <w:tcW w:w="900" w:type="dxa"/>
            <w:vAlign w:val="bottom"/>
          </w:tcPr>
          <w:p w14:paraId="2819D94E" w14:textId="77777777" w:rsidR="004647B9" w:rsidRDefault="004647B9">
            <w:pPr>
              <w:rPr>
                <w:sz w:val="24"/>
                <w:szCs w:val="24"/>
              </w:rPr>
            </w:pPr>
          </w:p>
        </w:tc>
        <w:tc>
          <w:tcPr>
            <w:tcW w:w="260" w:type="dxa"/>
            <w:vAlign w:val="bottom"/>
          </w:tcPr>
          <w:p w14:paraId="2819D94F" w14:textId="77777777" w:rsidR="004647B9" w:rsidRDefault="004647B9">
            <w:pPr>
              <w:rPr>
                <w:sz w:val="24"/>
                <w:szCs w:val="24"/>
              </w:rPr>
            </w:pPr>
          </w:p>
        </w:tc>
        <w:tc>
          <w:tcPr>
            <w:tcW w:w="280" w:type="dxa"/>
            <w:vAlign w:val="bottom"/>
          </w:tcPr>
          <w:p w14:paraId="2819D950" w14:textId="77777777" w:rsidR="004647B9" w:rsidRDefault="004647B9">
            <w:pPr>
              <w:rPr>
                <w:sz w:val="24"/>
                <w:szCs w:val="24"/>
              </w:rPr>
            </w:pPr>
          </w:p>
        </w:tc>
        <w:tc>
          <w:tcPr>
            <w:tcW w:w="540" w:type="dxa"/>
            <w:vAlign w:val="bottom"/>
          </w:tcPr>
          <w:p w14:paraId="2819D951" w14:textId="77777777" w:rsidR="004647B9" w:rsidRDefault="004647B9">
            <w:pPr>
              <w:rPr>
                <w:sz w:val="24"/>
                <w:szCs w:val="24"/>
              </w:rPr>
            </w:pPr>
          </w:p>
        </w:tc>
        <w:tc>
          <w:tcPr>
            <w:tcW w:w="340" w:type="dxa"/>
            <w:vAlign w:val="bottom"/>
          </w:tcPr>
          <w:p w14:paraId="2819D952" w14:textId="77777777" w:rsidR="004647B9" w:rsidRDefault="004647B9">
            <w:pPr>
              <w:rPr>
                <w:sz w:val="24"/>
                <w:szCs w:val="24"/>
              </w:rPr>
            </w:pPr>
          </w:p>
        </w:tc>
        <w:tc>
          <w:tcPr>
            <w:tcW w:w="180" w:type="dxa"/>
            <w:vAlign w:val="bottom"/>
          </w:tcPr>
          <w:p w14:paraId="2819D953" w14:textId="77777777" w:rsidR="004647B9" w:rsidRDefault="004647B9">
            <w:pPr>
              <w:rPr>
                <w:sz w:val="24"/>
                <w:szCs w:val="24"/>
              </w:rPr>
            </w:pPr>
          </w:p>
        </w:tc>
        <w:tc>
          <w:tcPr>
            <w:tcW w:w="880" w:type="dxa"/>
            <w:vAlign w:val="bottom"/>
          </w:tcPr>
          <w:p w14:paraId="2819D954" w14:textId="77777777" w:rsidR="004647B9" w:rsidRDefault="004647B9">
            <w:pPr>
              <w:rPr>
                <w:sz w:val="24"/>
                <w:szCs w:val="24"/>
              </w:rPr>
            </w:pPr>
          </w:p>
        </w:tc>
        <w:tc>
          <w:tcPr>
            <w:tcW w:w="660" w:type="dxa"/>
            <w:vAlign w:val="bottom"/>
          </w:tcPr>
          <w:p w14:paraId="2819D955" w14:textId="77777777" w:rsidR="004647B9" w:rsidRDefault="004647B9">
            <w:pPr>
              <w:rPr>
                <w:sz w:val="24"/>
                <w:szCs w:val="24"/>
              </w:rPr>
            </w:pPr>
          </w:p>
        </w:tc>
        <w:tc>
          <w:tcPr>
            <w:tcW w:w="460" w:type="dxa"/>
            <w:vAlign w:val="bottom"/>
          </w:tcPr>
          <w:p w14:paraId="2819D956" w14:textId="77777777" w:rsidR="004647B9" w:rsidRDefault="004647B9">
            <w:pPr>
              <w:rPr>
                <w:sz w:val="24"/>
                <w:szCs w:val="24"/>
              </w:rPr>
            </w:pPr>
          </w:p>
        </w:tc>
        <w:tc>
          <w:tcPr>
            <w:tcW w:w="1160" w:type="dxa"/>
            <w:vAlign w:val="bottom"/>
          </w:tcPr>
          <w:p w14:paraId="2819D957" w14:textId="77777777" w:rsidR="004647B9" w:rsidRDefault="004647B9">
            <w:pPr>
              <w:rPr>
                <w:sz w:val="24"/>
                <w:szCs w:val="24"/>
              </w:rPr>
            </w:pPr>
          </w:p>
        </w:tc>
        <w:tc>
          <w:tcPr>
            <w:tcW w:w="0" w:type="dxa"/>
            <w:vAlign w:val="bottom"/>
          </w:tcPr>
          <w:p w14:paraId="2819D958" w14:textId="77777777" w:rsidR="004647B9" w:rsidRDefault="004647B9">
            <w:pPr>
              <w:rPr>
                <w:sz w:val="1"/>
                <w:szCs w:val="1"/>
              </w:rPr>
            </w:pPr>
          </w:p>
        </w:tc>
      </w:tr>
      <w:tr w:rsidR="004647B9" w14:paraId="2819D969" w14:textId="77777777">
        <w:trPr>
          <w:trHeight w:val="281"/>
        </w:trPr>
        <w:tc>
          <w:tcPr>
            <w:tcW w:w="1020" w:type="dxa"/>
            <w:vAlign w:val="bottom"/>
          </w:tcPr>
          <w:p w14:paraId="2819D95A" w14:textId="77777777" w:rsidR="004647B9" w:rsidRDefault="004647B9">
            <w:pPr>
              <w:rPr>
                <w:sz w:val="24"/>
                <w:szCs w:val="24"/>
              </w:rPr>
            </w:pPr>
          </w:p>
        </w:tc>
        <w:tc>
          <w:tcPr>
            <w:tcW w:w="180" w:type="dxa"/>
            <w:vAlign w:val="bottom"/>
          </w:tcPr>
          <w:p w14:paraId="2819D95B" w14:textId="77777777" w:rsidR="004647B9" w:rsidRDefault="004647B9">
            <w:pPr>
              <w:rPr>
                <w:sz w:val="24"/>
                <w:szCs w:val="24"/>
              </w:rPr>
            </w:pPr>
          </w:p>
        </w:tc>
        <w:tc>
          <w:tcPr>
            <w:tcW w:w="2600" w:type="dxa"/>
            <w:gridSpan w:val="2"/>
            <w:vAlign w:val="bottom"/>
          </w:tcPr>
          <w:p w14:paraId="2819D95C" w14:textId="77777777" w:rsidR="004647B9" w:rsidRDefault="00E2436F">
            <w:pPr>
              <w:rPr>
                <w:sz w:val="20"/>
                <w:szCs w:val="20"/>
              </w:rPr>
            </w:pPr>
            <w:r>
              <w:rPr>
                <w:rFonts w:eastAsia="Times New Roman"/>
                <w:sz w:val="18"/>
                <w:szCs w:val="18"/>
              </w:rPr>
              <w:t>Selective Electrode</w:t>
            </w:r>
          </w:p>
        </w:tc>
        <w:tc>
          <w:tcPr>
            <w:tcW w:w="380" w:type="dxa"/>
            <w:vAlign w:val="bottom"/>
          </w:tcPr>
          <w:p w14:paraId="2819D95D" w14:textId="77777777" w:rsidR="004647B9" w:rsidRDefault="004647B9">
            <w:pPr>
              <w:rPr>
                <w:sz w:val="24"/>
                <w:szCs w:val="24"/>
              </w:rPr>
            </w:pPr>
          </w:p>
        </w:tc>
        <w:tc>
          <w:tcPr>
            <w:tcW w:w="480" w:type="dxa"/>
            <w:vAlign w:val="bottom"/>
          </w:tcPr>
          <w:p w14:paraId="2819D95E" w14:textId="77777777" w:rsidR="004647B9" w:rsidRDefault="004647B9">
            <w:pPr>
              <w:rPr>
                <w:sz w:val="24"/>
                <w:szCs w:val="24"/>
              </w:rPr>
            </w:pPr>
          </w:p>
        </w:tc>
        <w:tc>
          <w:tcPr>
            <w:tcW w:w="40" w:type="dxa"/>
            <w:vAlign w:val="bottom"/>
          </w:tcPr>
          <w:p w14:paraId="2819D95F" w14:textId="77777777" w:rsidR="004647B9" w:rsidRDefault="004647B9">
            <w:pPr>
              <w:rPr>
                <w:sz w:val="24"/>
                <w:szCs w:val="24"/>
              </w:rPr>
            </w:pPr>
          </w:p>
        </w:tc>
        <w:tc>
          <w:tcPr>
            <w:tcW w:w="560" w:type="dxa"/>
            <w:vAlign w:val="bottom"/>
          </w:tcPr>
          <w:p w14:paraId="2819D960" w14:textId="77777777" w:rsidR="004647B9" w:rsidRDefault="004647B9">
            <w:pPr>
              <w:rPr>
                <w:sz w:val="24"/>
                <w:szCs w:val="24"/>
              </w:rPr>
            </w:pPr>
          </w:p>
        </w:tc>
        <w:tc>
          <w:tcPr>
            <w:tcW w:w="900" w:type="dxa"/>
            <w:vAlign w:val="bottom"/>
          </w:tcPr>
          <w:p w14:paraId="2819D961" w14:textId="77777777" w:rsidR="004647B9" w:rsidRDefault="004647B9">
            <w:pPr>
              <w:rPr>
                <w:sz w:val="24"/>
                <w:szCs w:val="24"/>
              </w:rPr>
            </w:pPr>
          </w:p>
        </w:tc>
        <w:tc>
          <w:tcPr>
            <w:tcW w:w="260" w:type="dxa"/>
            <w:vAlign w:val="bottom"/>
          </w:tcPr>
          <w:p w14:paraId="2819D962" w14:textId="77777777" w:rsidR="004647B9" w:rsidRDefault="004647B9">
            <w:pPr>
              <w:rPr>
                <w:sz w:val="24"/>
                <w:szCs w:val="24"/>
              </w:rPr>
            </w:pPr>
          </w:p>
        </w:tc>
        <w:tc>
          <w:tcPr>
            <w:tcW w:w="1160" w:type="dxa"/>
            <w:gridSpan w:val="3"/>
            <w:vAlign w:val="bottom"/>
          </w:tcPr>
          <w:p w14:paraId="2819D963"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F</w:t>
            </w:r>
          </w:p>
        </w:tc>
        <w:tc>
          <w:tcPr>
            <w:tcW w:w="180" w:type="dxa"/>
            <w:vAlign w:val="bottom"/>
          </w:tcPr>
          <w:p w14:paraId="2819D964" w14:textId="77777777" w:rsidR="004647B9" w:rsidRDefault="004647B9">
            <w:pPr>
              <w:rPr>
                <w:sz w:val="24"/>
                <w:szCs w:val="24"/>
              </w:rPr>
            </w:pPr>
          </w:p>
        </w:tc>
        <w:tc>
          <w:tcPr>
            <w:tcW w:w="1540" w:type="dxa"/>
            <w:gridSpan w:val="2"/>
            <w:vAlign w:val="bottom"/>
          </w:tcPr>
          <w:p w14:paraId="2819D965"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F-99</w:t>
            </w:r>
          </w:p>
        </w:tc>
        <w:tc>
          <w:tcPr>
            <w:tcW w:w="460" w:type="dxa"/>
            <w:vAlign w:val="bottom"/>
          </w:tcPr>
          <w:p w14:paraId="2819D966" w14:textId="77777777" w:rsidR="004647B9" w:rsidRDefault="004647B9">
            <w:pPr>
              <w:rPr>
                <w:sz w:val="24"/>
                <w:szCs w:val="24"/>
              </w:rPr>
            </w:pPr>
          </w:p>
        </w:tc>
        <w:tc>
          <w:tcPr>
            <w:tcW w:w="1160" w:type="dxa"/>
            <w:vAlign w:val="bottom"/>
          </w:tcPr>
          <w:p w14:paraId="2819D967" w14:textId="77777777" w:rsidR="004647B9" w:rsidRDefault="004647B9">
            <w:pPr>
              <w:rPr>
                <w:sz w:val="24"/>
                <w:szCs w:val="24"/>
              </w:rPr>
            </w:pPr>
          </w:p>
        </w:tc>
        <w:tc>
          <w:tcPr>
            <w:tcW w:w="0" w:type="dxa"/>
            <w:vAlign w:val="bottom"/>
          </w:tcPr>
          <w:p w14:paraId="2819D968" w14:textId="77777777" w:rsidR="004647B9" w:rsidRDefault="004647B9">
            <w:pPr>
              <w:rPr>
                <w:sz w:val="1"/>
                <w:szCs w:val="1"/>
              </w:rPr>
            </w:pPr>
          </w:p>
        </w:tc>
      </w:tr>
      <w:tr w:rsidR="004647B9" w14:paraId="2819D97C" w14:textId="77777777">
        <w:trPr>
          <w:trHeight w:val="278"/>
        </w:trPr>
        <w:tc>
          <w:tcPr>
            <w:tcW w:w="1020" w:type="dxa"/>
            <w:vAlign w:val="bottom"/>
          </w:tcPr>
          <w:p w14:paraId="2819D96A" w14:textId="77777777" w:rsidR="004647B9" w:rsidRDefault="004647B9">
            <w:pPr>
              <w:rPr>
                <w:sz w:val="24"/>
                <w:szCs w:val="24"/>
              </w:rPr>
            </w:pPr>
          </w:p>
        </w:tc>
        <w:tc>
          <w:tcPr>
            <w:tcW w:w="180" w:type="dxa"/>
            <w:vAlign w:val="bottom"/>
          </w:tcPr>
          <w:p w14:paraId="2819D96B" w14:textId="77777777" w:rsidR="004647B9" w:rsidRDefault="004647B9">
            <w:pPr>
              <w:rPr>
                <w:sz w:val="24"/>
                <w:szCs w:val="24"/>
              </w:rPr>
            </w:pPr>
          </w:p>
        </w:tc>
        <w:tc>
          <w:tcPr>
            <w:tcW w:w="2600" w:type="dxa"/>
            <w:gridSpan w:val="2"/>
            <w:vAlign w:val="bottom"/>
          </w:tcPr>
          <w:p w14:paraId="2819D96C" w14:textId="77777777" w:rsidR="004647B9" w:rsidRDefault="00E2436F">
            <w:pPr>
              <w:rPr>
                <w:sz w:val="20"/>
                <w:szCs w:val="20"/>
              </w:rPr>
            </w:pPr>
            <w:r>
              <w:rPr>
                <w:rFonts w:eastAsia="Times New Roman"/>
                <w:sz w:val="18"/>
                <w:szCs w:val="18"/>
              </w:rPr>
              <w:t>UV, Distillation,</w:t>
            </w:r>
          </w:p>
        </w:tc>
        <w:tc>
          <w:tcPr>
            <w:tcW w:w="380" w:type="dxa"/>
            <w:vAlign w:val="bottom"/>
          </w:tcPr>
          <w:p w14:paraId="2819D96D" w14:textId="77777777" w:rsidR="004647B9" w:rsidRDefault="004647B9">
            <w:pPr>
              <w:rPr>
                <w:sz w:val="24"/>
                <w:szCs w:val="24"/>
              </w:rPr>
            </w:pPr>
          </w:p>
        </w:tc>
        <w:tc>
          <w:tcPr>
            <w:tcW w:w="480" w:type="dxa"/>
            <w:vAlign w:val="bottom"/>
          </w:tcPr>
          <w:p w14:paraId="2819D96E" w14:textId="77777777" w:rsidR="004647B9" w:rsidRDefault="004647B9">
            <w:pPr>
              <w:rPr>
                <w:sz w:val="24"/>
                <w:szCs w:val="24"/>
              </w:rPr>
            </w:pPr>
          </w:p>
        </w:tc>
        <w:tc>
          <w:tcPr>
            <w:tcW w:w="40" w:type="dxa"/>
            <w:vAlign w:val="bottom"/>
          </w:tcPr>
          <w:p w14:paraId="2819D96F" w14:textId="77777777" w:rsidR="004647B9" w:rsidRDefault="004647B9">
            <w:pPr>
              <w:rPr>
                <w:sz w:val="24"/>
                <w:szCs w:val="24"/>
              </w:rPr>
            </w:pPr>
          </w:p>
        </w:tc>
        <w:tc>
          <w:tcPr>
            <w:tcW w:w="560" w:type="dxa"/>
            <w:vAlign w:val="bottom"/>
          </w:tcPr>
          <w:p w14:paraId="2819D970" w14:textId="77777777" w:rsidR="004647B9" w:rsidRDefault="004647B9">
            <w:pPr>
              <w:rPr>
                <w:sz w:val="24"/>
                <w:szCs w:val="24"/>
              </w:rPr>
            </w:pPr>
          </w:p>
        </w:tc>
        <w:tc>
          <w:tcPr>
            <w:tcW w:w="900" w:type="dxa"/>
            <w:vAlign w:val="bottom"/>
          </w:tcPr>
          <w:p w14:paraId="2819D971" w14:textId="77777777" w:rsidR="004647B9" w:rsidRDefault="004647B9">
            <w:pPr>
              <w:rPr>
                <w:sz w:val="24"/>
                <w:szCs w:val="24"/>
              </w:rPr>
            </w:pPr>
          </w:p>
        </w:tc>
        <w:tc>
          <w:tcPr>
            <w:tcW w:w="260" w:type="dxa"/>
            <w:vAlign w:val="bottom"/>
          </w:tcPr>
          <w:p w14:paraId="2819D972" w14:textId="77777777" w:rsidR="004647B9" w:rsidRDefault="004647B9">
            <w:pPr>
              <w:rPr>
                <w:sz w:val="24"/>
                <w:szCs w:val="24"/>
              </w:rPr>
            </w:pPr>
          </w:p>
        </w:tc>
        <w:tc>
          <w:tcPr>
            <w:tcW w:w="280" w:type="dxa"/>
            <w:vAlign w:val="bottom"/>
          </w:tcPr>
          <w:p w14:paraId="2819D973" w14:textId="77777777" w:rsidR="004647B9" w:rsidRDefault="004647B9">
            <w:pPr>
              <w:rPr>
                <w:sz w:val="24"/>
                <w:szCs w:val="24"/>
              </w:rPr>
            </w:pPr>
          </w:p>
        </w:tc>
        <w:tc>
          <w:tcPr>
            <w:tcW w:w="540" w:type="dxa"/>
            <w:vAlign w:val="bottom"/>
          </w:tcPr>
          <w:p w14:paraId="2819D974" w14:textId="77777777" w:rsidR="004647B9" w:rsidRDefault="004647B9">
            <w:pPr>
              <w:rPr>
                <w:sz w:val="24"/>
                <w:szCs w:val="24"/>
              </w:rPr>
            </w:pPr>
          </w:p>
        </w:tc>
        <w:tc>
          <w:tcPr>
            <w:tcW w:w="340" w:type="dxa"/>
            <w:vAlign w:val="bottom"/>
          </w:tcPr>
          <w:p w14:paraId="2819D975" w14:textId="77777777" w:rsidR="004647B9" w:rsidRDefault="004647B9">
            <w:pPr>
              <w:rPr>
                <w:sz w:val="24"/>
                <w:szCs w:val="24"/>
              </w:rPr>
            </w:pPr>
          </w:p>
        </w:tc>
        <w:tc>
          <w:tcPr>
            <w:tcW w:w="180" w:type="dxa"/>
            <w:vAlign w:val="bottom"/>
          </w:tcPr>
          <w:p w14:paraId="2819D976" w14:textId="77777777" w:rsidR="004647B9" w:rsidRDefault="004647B9">
            <w:pPr>
              <w:rPr>
                <w:sz w:val="24"/>
                <w:szCs w:val="24"/>
              </w:rPr>
            </w:pPr>
          </w:p>
        </w:tc>
        <w:tc>
          <w:tcPr>
            <w:tcW w:w="880" w:type="dxa"/>
            <w:vAlign w:val="bottom"/>
          </w:tcPr>
          <w:p w14:paraId="2819D977" w14:textId="77777777" w:rsidR="004647B9" w:rsidRDefault="004647B9">
            <w:pPr>
              <w:rPr>
                <w:sz w:val="24"/>
                <w:szCs w:val="24"/>
              </w:rPr>
            </w:pPr>
          </w:p>
        </w:tc>
        <w:tc>
          <w:tcPr>
            <w:tcW w:w="660" w:type="dxa"/>
            <w:vAlign w:val="bottom"/>
          </w:tcPr>
          <w:p w14:paraId="2819D978" w14:textId="77777777" w:rsidR="004647B9" w:rsidRDefault="004647B9">
            <w:pPr>
              <w:rPr>
                <w:sz w:val="24"/>
                <w:szCs w:val="24"/>
              </w:rPr>
            </w:pPr>
          </w:p>
        </w:tc>
        <w:tc>
          <w:tcPr>
            <w:tcW w:w="460" w:type="dxa"/>
            <w:vAlign w:val="bottom"/>
          </w:tcPr>
          <w:p w14:paraId="2819D979" w14:textId="77777777" w:rsidR="004647B9" w:rsidRDefault="004647B9">
            <w:pPr>
              <w:rPr>
                <w:sz w:val="24"/>
                <w:szCs w:val="24"/>
              </w:rPr>
            </w:pPr>
          </w:p>
        </w:tc>
        <w:tc>
          <w:tcPr>
            <w:tcW w:w="1160" w:type="dxa"/>
            <w:vAlign w:val="bottom"/>
          </w:tcPr>
          <w:p w14:paraId="2819D97A" w14:textId="77777777" w:rsidR="004647B9" w:rsidRDefault="004647B9">
            <w:pPr>
              <w:rPr>
                <w:sz w:val="24"/>
                <w:szCs w:val="24"/>
              </w:rPr>
            </w:pPr>
          </w:p>
        </w:tc>
        <w:tc>
          <w:tcPr>
            <w:tcW w:w="0" w:type="dxa"/>
            <w:vAlign w:val="bottom"/>
          </w:tcPr>
          <w:p w14:paraId="2819D97B" w14:textId="77777777" w:rsidR="004647B9" w:rsidRDefault="004647B9">
            <w:pPr>
              <w:rPr>
                <w:sz w:val="1"/>
                <w:szCs w:val="1"/>
              </w:rPr>
            </w:pPr>
          </w:p>
        </w:tc>
      </w:tr>
      <w:tr w:rsidR="004647B9" w14:paraId="2819D98F" w14:textId="77777777">
        <w:trPr>
          <w:trHeight w:val="281"/>
        </w:trPr>
        <w:tc>
          <w:tcPr>
            <w:tcW w:w="1020" w:type="dxa"/>
            <w:vAlign w:val="bottom"/>
          </w:tcPr>
          <w:p w14:paraId="2819D97D" w14:textId="77777777" w:rsidR="004647B9" w:rsidRDefault="004647B9">
            <w:pPr>
              <w:rPr>
                <w:sz w:val="24"/>
                <w:szCs w:val="24"/>
              </w:rPr>
            </w:pPr>
          </w:p>
        </w:tc>
        <w:tc>
          <w:tcPr>
            <w:tcW w:w="180" w:type="dxa"/>
            <w:vAlign w:val="bottom"/>
          </w:tcPr>
          <w:p w14:paraId="2819D97E" w14:textId="77777777" w:rsidR="004647B9" w:rsidRDefault="004647B9">
            <w:pPr>
              <w:rPr>
                <w:sz w:val="24"/>
                <w:szCs w:val="24"/>
              </w:rPr>
            </w:pPr>
          </w:p>
        </w:tc>
        <w:tc>
          <w:tcPr>
            <w:tcW w:w="2600" w:type="dxa"/>
            <w:gridSpan w:val="2"/>
            <w:vAlign w:val="bottom"/>
          </w:tcPr>
          <w:p w14:paraId="2819D97F" w14:textId="77777777" w:rsidR="004647B9" w:rsidRDefault="00E2436F">
            <w:pPr>
              <w:rPr>
                <w:sz w:val="20"/>
                <w:szCs w:val="20"/>
              </w:rPr>
            </w:pPr>
            <w:r>
              <w:rPr>
                <w:rFonts w:eastAsia="Times New Roman"/>
                <w:sz w:val="18"/>
                <w:szCs w:val="18"/>
              </w:rPr>
              <w:t>Spectrophotmetric Micro</w:t>
            </w:r>
          </w:p>
        </w:tc>
        <w:tc>
          <w:tcPr>
            <w:tcW w:w="380" w:type="dxa"/>
            <w:vAlign w:val="bottom"/>
          </w:tcPr>
          <w:p w14:paraId="2819D980" w14:textId="77777777" w:rsidR="004647B9" w:rsidRDefault="004647B9">
            <w:pPr>
              <w:rPr>
                <w:sz w:val="24"/>
                <w:szCs w:val="24"/>
              </w:rPr>
            </w:pPr>
          </w:p>
        </w:tc>
        <w:tc>
          <w:tcPr>
            <w:tcW w:w="480" w:type="dxa"/>
            <w:vAlign w:val="bottom"/>
          </w:tcPr>
          <w:p w14:paraId="2819D981" w14:textId="77777777" w:rsidR="004647B9" w:rsidRDefault="004647B9">
            <w:pPr>
              <w:rPr>
                <w:sz w:val="24"/>
                <w:szCs w:val="24"/>
              </w:rPr>
            </w:pPr>
          </w:p>
        </w:tc>
        <w:tc>
          <w:tcPr>
            <w:tcW w:w="40" w:type="dxa"/>
            <w:vAlign w:val="bottom"/>
          </w:tcPr>
          <w:p w14:paraId="2819D982" w14:textId="77777777" w:rsidR="004647B9" w:rsidRDefault="004647B9">
            <w:pPr>
              <w:rPr>
                <w:sz w:val="24"/>
                <w:szCs w:val="24"/>
              </w:rPr>
            </w:pPr>
          </w:p>
        </w:tc>
        <w:tc>
          <w:tcPr>
            <w:tcW w:w="560" w:type="dxa"/>
            <w:vAlign w:val="bottom"/>
          </w:tcPr>
          <w:p w14:paraId="2819D983" w14:textId="77777777" w:rsidR="004647B9" w:rsidRDefault="004647B9">
            <w:pPr>
              <w:rPr>
                <w:sz w:val="24"/>
                <w:szCs w:val="24"/>
              </w:rPr>
            </w:pPr>
          </w:p>
        </w:tc>
        <w:tc>
          <w:tcPr>
            <w:tcW w:w="900" w:type="dxa"/>
            <w:vAlign w:val="bottom"/>
          </w:tcPr>
          <w:p w14:paraId="2819D984" w14:textId="77777777" w:rsidR="004647B9" w:rsidRDefault="004647B9">
            <w:pPr>
              <w:rPr>
                <w:sz w:val="24"/>
                <w:szCs w:val="24"/>
              </w:rPr>
            </w:pPr>
          </w:p>
        </w:tc>
        <w:tc>
          <w:tcPr>
            <w:tcW w:w="260" w:type="dxa"/>
            <w:vAlign w:val="bottom"/>
          </w:tcPr>
          <w:p w14:paraId="2819D985" w14:textId="77777777" w:rsidR="004647B9" w:rsidRDefault="004647B9">
            <w:pPr>
              <w:rPr>
                <w:sz w:val="24"/>
                <w:szCs w:val="24"/>
              </w:rPr>
            </w:pPr>
          </w:p>
        </w:tc>
        <w:tc>
          <w:tcPr>
            <w:tcW w:w="280" w:type="dxa"/>
            <w:vAlign w:val="bottom"/>
          </w:tcPr>
          <w:p w14:paraId="2819D986" w14:textId="77777777" w:rsidR="004647B9" w:rsidRDefault="004647B9">
            <w:pPr>
              <w:rPr>
                <w:sz w:val="24"/>
                <w:szCs w:val="24"/>
              </w:rPr>
            </w:pPr>
          </w:p>
        </w:tc>
        <w:tc>
          <w:tcPr>
            <w:tcW w:w="540" w:type="dxa"/>
            <w:vAlign w:val="bottom"/>
          </w:tcPr>
          <w:p w14:paraId="2819D987" w14:textId="77777777" w:rsidR="004647B9" w:rsidRDefault="004647B9">
            <w:pPr>
              <w:rPr>
                <w:sz w:val="24"/>
                <w:szCs w:val="24"/>
              </w:rPr>
            </w:pPr>
          </w:p>
        </w:tc>
        <w:tc>
          <w:tcPr>
            <w:tcW w:w="340" w:type="dxa"/>
            <w:vAlign w:val="bottom"/>
          </w:tcPr>
          <w:p w14:paraId="2819D988" w14:textId="77777777" w:rsidR="004647B9" w:rsidRDefault="004647B9">
            <w:pPr>
              <w:rPr>
                <w:sz w:val="24"/>
                <w:szCs w:val="24"/>
              </w:rPr>
            </w:pPr>
          </w:p>
        </w:tc>
        <w:tc>
          <w:tcPr>
            <w:tcW w:w="180" w:type="dxa"/>
            <w:vAlign w:val="bottom"/>
          </w:tcPr>
          <w:p w14:paraId="2819D989" w14:textId="77777777" w:rsidR="004647B9" w:rsidRDefault="004647B9">
            <w:pPr>
              <w:rPr>
                <w:sz w:val="24"/>
                <w:szCs w:val="24"/>
              </w:rPr>
            </w:pPr>
          </w:p>
        </w:tc>
        <w:tc>
          <w:tcPr>
            <w:tcW w:w="880" w:type="dxa"/>
            <w:vAlign w:val="bottom"/>
          </w:tcPr>
          <w:p w14:paraId="2819D98A" w14:textId="77777777" w:rsidR="004647B9" w:rsidRDefault="004647B9">
            <w:pPr>
              <w:rPr>
                <w:sz w:val="24"/>
                <w:szCs w:val="24"/>
              </w:rPr>
            </w:pPr>
          </w:p>
        </w:tc>
        <w:tc>
          <w:tcPr>
            <w:tcW w:w="660" w:type="dxa"/>
            <w:vAlign w:val="bottom"/>
          </w:tcPr>
          <w:p w14:paraId="2819D98B" w14:textId="77777777" w:rsidR="004647B9" w:rsidRDefault="004647B9">
            <w:pPr>
              <w:rPr>
                <w:sz w:val="24"/>
                <w:szCs w:val="24"/>
              </w:rPr>
            </w:pPr>
          </w:p>
        </w:tc>
        <w:tc>
          <w:tcPr>
            <w:tcW w:w="460" w:type="dxa"/>
            <w:vAlign w:val="bottom"/>
          </w:tcPr>
          <w:p w14:paraId="2819D98C" w14:textId="77777777" w:rsidR="004647B9" w:rsidRDefault="004647B9">
            <w:pPr>
              <w:rPr>
                <w:sz w:val="24"/>
                <w:szCs w:val="24"/>
              </w:rPr>
            </w:pPr>
          </w:p>
        </w:tc>
        <w:tc>
          <w:tcPr>
            <w:tcW w:w="1160" w:type="dxa"/>
            <w:vAlign w:val="bottom"/>
          </w:tcPr>
          <w:p w14:paraId="2819D98D" w14:textId="77777777" w:rsidR="004647B9" w:rsidRDefault="004647B9">
            <w:pPr>
              <w:rPr>
                <w:sz w:val="24"/>
                <w:szCs w:val="24"/>
              </w:rPr>
            </w:pPr>
          </w:p>
        </w:tc>
        <w:tc>
          <w:tcPr>
            <w:tcW w:w="0" w:type="dxa"/>
            <w:vAlign w:val="bottom"/>
          </w:tcPr>
          <w:p w14:paraId="2819D98E" w14:textId="77777777" w:rsidR="004647B9" w:rsidRDefault="004647B9">
            <w:pPr>
              <w:rPr>
                <w:sz w:val="1"/>
                <w:szCs w:val="1"/>
              </w:rPr>
            </w:pPr>
          </w:p>
        </w:tc>
      </w:tr>
      <w:tr w:rsidR="004647B9" w14:paraId="2819D9A1" w14:textId="77777777">
        <w:trPr>
          <w:trHeight w:val="279"/>
        </w:trPr>
        <w:tc>
          <w:tcPr>
            <w:tcW w:w="1020" w:type="dxa"/>
            <w:vAlign w:val="bottom"/>
          </w:tcPr>
          <w:p w14:paraId="2819D990" w14:textId="77777777" w:rsidR="004647B9" w:rsidRDefault="004647B9">
            <w:pPr>
              <w:rPr>
                <w:sz w:val="24"/>
                <w:szCs w:val="24"/>
              </w:rPr>
            </w:pPr>
          </w:p>
        </w:tc>
        <w:tc>
          <w:tcPr>
            <w:tcW w:w="180" w:type="dxa"/>
            <w:vAlign w:val="bottom"/>
          </w:tcPr>
          <w:p w14:paraId="2819D991" w14:textId="77777777" w:rsidR="004647B9" w:rsidRDefault="004647B9">
            <w:pPr>
              <w:rPr>
                <w:sz w:val="24"/>
                <w:szCs w:val="24"/>
              </w:rPr>
            </w:pPr>
          </w:p>
        </w:tc>
        <w:tc>
          <w:tcPr>
            <w:tcW w:w="2600" w:type="dxa"/>
            <w:gridSpan w:val="2"/>
            <w:vAlign w:val="bottom"/>
          </w:tcPr>
          <w:p w14:paraId="2819D992" w14:textId="77777777" w:rsidR="004647B9" w:rsidRDefault="00E2436F">
            <w:pPr>
              <w:rPr>
                <w:sz w:val="20"/>
                <w:szCs w:val="20"/>
              </w:rPr>
            </w:pPr>
            <w:r>
              <w:rPr>
                <w:rFonts w:eastAsia="Times New Roman"/>
                <w:sz w:val="18"/>
                <w:szCs w:val="18"/>
              </w:rPr>
              <w:t>Distillation, Flow Injection</w:t>
            </w:r>
          </w:p>
        </w:tc>
        <w:tc>
          <w:tcPr>
            <w:tcW w:w="380" w:type="dxa"/>
            <w:vAlign w:val="bottom"/>
          </w:tcPr>
          <w:p w14:paraId="2819D993" w14:textId="77777777" w:rsidR="004647B9" w:rsidRDefault="004647B9">
            <w:pPr>
              <w:rPr>
                <w:sz w:val="24"/>
                <w:szCs w:val="24"/>
              </w:rPr>
            </w:pPr>
          </w:p>
        </w:tc>
        <w:tc>
          <w:tcPr>
            <w:tcW w:w="480" w:type="dxa"/>
            <w:vAlign w:val="bottom"/>
          </w:tcPr>
          <w:p w14:paraId="2819D994" w14:textId="77777777" w:rsidR="004647B9" w:rsidRDefault="004647B9">
            <w:pPr>
              <w:rPr>
                <w:sz w:val="24"/>
                <w:szCs w:val="24"/>
              </w:rPr>
            </w:pPr>
          </w:p>
        </w:tc>
        <w:tc>
          <w:tcPr>
            <w:tcW w:w="40" w:type="dxa"/>
            <w:vAlign w:val="bottom"/>
          </w:tcPr>
          <w:p w14:paraId="2819D995" w14:textId="77777777" w:rsidR="004647B9" w:rsidRDefault="004647B9">
            <w:pPr>
              <w:rPr>
                <w:sz w:val="24"/>
                <w:szCs w:val="24"/>
              </w:rPr>
            </w:pPr>
          </w:p>
        </w:tc>
        <w:tc>
          <w:tcPr>
            <w:tcW w:w="560" w:type="dxa"/>
            <w:vAlign w:val="bottom"/>
          </w:tcPr>
          <w:p w14:paraId="2819D996" w14:textId="77777777" w:rsidR="004647B9" w:rsidRDefault="004647B9">
            <w:pPr>
              <w:rPr>
                <w:sz w:val="24"/>
                <w:szCs w:val="24"/>
              </w:rPr>
            </w:pPr>
          </w:p>
        </w:tc>
        <w:tc>
          <w:tcPr>
            <w:tcW w:w="900" w:type="dxa"/>
            <w:vAlign w:val="bottom"/>
          </w:tcPr>
          <w:p w14:paraId="2819D997" w14:textId="77777777" w:rsidR="004647B9" w:rsidRDefault="004647B9">
            <w:pPr>
              <w:rPr>
                <w:sz w:val="24"/>
                <w:szCs w:val="24"/>
              </w:rPr>
            </w:pPr>
          </w:p>
        </w:tc>
        <w:tc>
          <w:tcPr>
            <w:tcW w:w="260" w:type="dxa"/>
            <w:vAlign w:val="bottom"/>
          </w:tcPr>
          <w:p w14:paraId="2819D998" w14:textId="77777777" w:rsidR="004647B9" w:rsidRDefault="004647B9">
            <w:pPr>
              <w:rPr>
                <w:sz w:val="24"/>
                <w:szCs w:val="24"/>
              </w:rPr>
            </w:pPr>
          </w:p>
        </w:tc>
        <w:tc>
          <w:tcPr>
            <w:tcW w:w="280" w:type="dxa"/>
            <w:vAlign w:val="bottom"/>
          </w:tcPr>
          <w:p w14:paraId="2819D999" w14:textId="77777777" w:rsidR="004647B9" w:rsidRDefault="004647B9">
            <w:pPr>
              <w:rPr>
                <w:sz w:val="24"/>
                <w:szCs w:val="24"/>
              </w:rPr>
            </w:pPr>
          </w:p>
        </w:tc>
        <w:tc>
          <w:tcPr>
            <w:tcW w:w="540" w:type="dxa"/>
            <w:vAlign w:val="bottom"/>
          </w:tcPr>
          <w:p w14:paraId="2819D99A" w14:textId="77777777" w:rsidR="004647B9" w:rsidRDefault="004647B9">
            <w:pPr>
              <w:rPr>
                <w:sz w:val="24"/>
                <w:szCs w:val="24"/>
              </w:rPr>
            </w:pPr>
          </w:p>
        </w:tc>
        <w:tc>
          <w:tcPr>
            <w:tcW w:w="340" w:type="dxa"/>
            <w:vAlign w:val="bottom"/>
          </w:tcPr>
          <w:p w14:paraId="2819D99B" w14:textId="77777777" w:rsidR="004647B9" w:rsidRDefault="004647B9">
            <w:pPr>
              <w:rPr>
                <w:sz w:val="24"/>
                <w:szCs w:val="24"/>
              </w:rPr>
            </w:pPr>
          </w:p>
        </w:tc>
        <w:tc>
          <w:tcPr>
            <w:tcW w:w="180" w:type="dxa"/>
            <w:vAlign w:val="bottom"/>
          </w:tcPr>
          <w:p w14:paraId="2819D99C" w14:textId="77777777" w:rsidR="004647B9" w:rsidRDefault="004647B9">
            <w:pPr>
              <w:rPr>
                <w:sz w:val="24"/>
                <w:szCs w:val="24"/>
              </w:rPr>
            </w:pPr>
          </w:p>
        </w:tc>
        <w:tc>
          <w:tcPr>
            <w:tcW w:w="880" w:type="dxa"/>
            <w:vAlign w:val="bottom"/>
          </w:tcPr>
          <w:p w14:paraId="2819D99D" w14:textId="77777777" w:rsidR="004647B9" w:rsidRDefault="004647B9">
            <w:pPr>
              <w:rPr>
                <w:sz w:val="24"/>
                <w:szCs w:val="24"/>
              </w:rPr>
            </w:pPr>
          </w:p>
        </w:tc>
        <w:tc>
          <w:tcPr>
            <w:tcW w:w="660" w:type="dxa"/>
            <w:vAlign w:val="bottom"/>
          </w:tcPr>
          <w:p w14:paraId="2819D99E" w14:textId="77777777" w:rsidR="004647B9" w:rsidRDefault="004647B9">
            <w:pPr>
              <w:rPr>
                <w:sz w:val="24"/>
                <w:szCs w:val="24"/>
              </w:rPr>
            </w:pPr>
          </w:p>
        </w:tc>
        <w:tc>
          <w:tcPr>
            <w:tcW w:w="1620" w:type="dxa"/>
            <w:gridSpan w:val="2"/>
            <w:vAlign w:val="bottom"/>
          </w:tcPr>
          <w:p w14:paraId="2819D99F" w14:textId="77777777" w:rsidR="004647B9" w:rsidRDefault="00E2436F">
            <w:pPr>
              <w:rPr>
                <w:sz w:val="20"/>
                <w:szCs w:val="20"/>
              </w:rPr>
            </w:pPr>
            <w:r>
              <w:rPr>
                <w:rFonts w:eastAsia="Times New Roman"/>
                <w:sz w:val="18"/>
                <w:szCs w:val="18"/>
              </w:rPr>
              <w:t>Kelada-01</w:t>
            </w:r>
            <w:r>
              <w:rPr>
                <w:rFonts w:eastAsia="Times New Roman"/>
                <w:sz w:val="24"/>
                <w:szCs w:val="24"/>
                <w:vertAlign w:val="superscript"/>
              </w:rPr>
              <w:t>18</w:t>
            </w:r>
          </w:p>
        </w:tc>
        <w:tc>
          <w:tcPr>
            <w:tcW w:w="0" w:type="dxa"/>
            <w:vAlign w:val="bottom"/>
          </w:tcPr>
          <w:p w14:paraId="2819D9A0" w14:textId="77777777" w:rsidR="004647B9" w:rsidRDefault="004647B9">
            <w:pPr>
              <w:rPr>
                <w:sz w:val="1"/>
                <w:szCs w:val="1"/>
              </w:rPr>
            </w:pPr>
          </w:p>
        </w:tc>
      </w:tr>
      <w:tr w:rsidR="004647B9" w14:paraId="2819D9B3" w14:textId="77777777">
        <w:trPr>
          <w:trHeight w:val="280"/>
        </w:trPr>
        <w:tc>
          <w:tcPr>
            <w:tcW w:w="1020" w:type="dxa"/>
            <w:vAlign w:val="bottom"/>
          </w:tcPr>
          <w:p w14:paraId="2819D9A2" w14:textId="77777777" w:rsidR="004647B9" w:rsidRDefault="004647B9">
            <w:pPr>
              <w:rPr>
                <w:sz w:val="24"/>
                <w:szCs w:val="24"/>
              </w:rPr>
            </w:pPr>
          </w:p>
        </w:tc>
        <w:tc>
          <w:tcPr>
            <w:tcW w:w="180" w:type="dxa"/>
            <w:vAlign w:val="bottom"/>
          </w:tcPr>
          <w:p w14:paraId="2819D9A3" w14:textId="77777777" w:rsidR="004647B9" w:rsidRDefault="004647B9">
            <w:pPr>
              <w:rPr>
                <w:sz w:val="24"/>
                <w:szCs w:val="24"/>
              </w:rPr>
            </w:pPr>
          </w:p>
        </w:tc>
        <w:tc>
          <w:tcPr>
            <w:tcW w:w="2600" w:type="dxa"/>
            <w:gridSpan w:val="2"/>
            <w:vAlign w:val="bottom"/>
          </w:tcPr>
          <w:p w14:paraId="2819D9A4" w14:textId="77777777" w:rsidR="004647B9" w:rsidRDefault="00E2436F">
            <w:pPr>
              <w:rPr>
                <w:sz w:val="20"/>
                <w:szCs w:val="20"/>
              </w:rPr>
            </w:pPr>
            <w:r>
              <w:rPr>
                <w:rFonts w:eastAsia="Times New Roman"/>
                <w:sz w:val="18"/>
                <w:szCs w:val="18"/>
              </w:rPr>
              <w:t>Spectrophotometric</w:t>
            </w:r>
          </w:p>
        </w:tc>
        <w:tc>
          <w:tcPr>
            <w:tcW w:w="380" w:type="dxa"/>
            <w:vAlign w:val="bottom"/>
          </w:tcPr>
          <w:p w14:paraId="2819D9A5" w14:textId="77777777" w:rsidR="004647B9" w:rsidRDefault="004647B9">
            <w:pPr>
              <w:rPr>
                <w:sz w:val="24"/>
                <w:szCs w:val="24"/>
              </w:rPr>
            </w:pPr>
          </w:p>
        </w:tc>
        <w:tc>
          <w:tcPr>
            <w:tcW w:w="480" w:type="dxa"/>
            <w:vAlign w:val="bottom"/>
          </w:tcPr>
          <w:p w14:paraId="2819D9A6" w14:textId="77777777" w:rsidR="004647B9" w:rsidRDefault="004647B9">
            <w:pPr>
              <w:rPr>
                <w:sz w:val="24"/>
                <w:szCs w:val="24"/>
              </w:rPr>
            </w:pPr>
          </w:p>
        </w:tc>
        <w:tc>
          <w:tcPr>
            <w:tcW w:w="40" w:type="dxa"/>
            <w:vAlign w:val="bottom"/>
          </w:tcPr>
          <w:p w14:paraId="2819D9A7" w14:textId="77777777" w:rsidR="004647B9" w:rsidRDefault="004647B9">
            <w:pPr>
              <w:rPr>
                <w:sz w:val="24"/>
                <w:szCs w:val="24"/>
              </w:rPr>
            </w:pPr>
          </w:p>
        </w:tc>
        <w:tc>
          <w:tcPr>
            <w:tcW w:w="560" w:type="dxa"/>
            <w:vAlign w:val="bottom"/>
          </w:tcPr>
          <w:p w14:paraId="2819D9A8" w14:textId="77777777" w:rsidR="004647B9" w:rsidRDefault="004647B9">
            <w:pPr>
              <w:rPr>
                <w:sz w:val="24"/>
                <w:szCs w:val="24"/>
              </w:rPr>
            </w:pPr>
          </w:p>
        </w:tc>
        <w:tc>
          <w:tcPr>
            <w:tcW w:w="900" w:type="dxa"/>
            <w:vAlign w:val="bottom"/>
          </w:tcPr>
          <w:p w14:paraId="2819D9A9" w14:textId="77777777" w:rsidR="004647B9" w:rsidRDefault="004647B9">
            <w:pPr>
              <w:rPr>
                <w:sz w:val="24"/>
                <w:szCs w:val="24"/>
              </w:rPr>
            </w:pPr>
          </w:p>
        </w:tc>
        <w:tc>
          <w:tcPr>
            <w:tcW w:w="260" w:type="dxa"/>
            <w:vAlign w:val="bottom"/>
          </w:tcPr>
          <w:p w14:paraId="2819D9AA" w14:textId="77777777" w:rsidR="004647B9" w:rsidRDefault="004647B9">
            <w:pPr>
              <w:rPr>
                <w:sz w:val="24"/>
                <w:szCs w:val="24"/>
              </w:rPr>
            </w:pPr>
          </w:p>
        </w:tc>
        <w:tc>
          <w:tcPr>
            <w:tcW w:w="280" w:type="dxa"/>
            <w:vAlign w:val="bottom"/>
          </w:tcPr>
          <w:p w14:paraId="2819D9AB" w14:textId="77777777" w:rsidR="004647B9" w:rsidRDefault="004647B9">
            <w:pPr>
              <w:rPr>
                <w:sz w:val="24"/>
                <w:szCs w:val="24"/>
              </w:rPr>
            </w:pPr>
          </w:p>
        </w:tc>
        <w:tc>
          <w:tcPr>
            <w:tcW w:w="540" w:type="dxa"/>
            <w:vAlign w:val="bottom"/>
          </w:tcPr>
          <w:p w14:paraId="2819D9AC" w14:textId="77777777" w:rsidR="004647B9" w:rsidRDefault="004647B9">
            <w:pPr>
              <w:rPr>
                <w:sz w:val="24"/>
                <w:szCs w:val="24"/>
              </w:rPr>
            </w:pPr>
          </w:p>
        </w:tc>
        <w:tc>
          <w:tcPr>
            <w:tcW w:w="340" w:type="dxa"/>
            <w:vAlign w:val="bottom"/>
          </w:tcPr>
          <w:p w14:paraId="2819D9AD" w14:textId="77777777" w:rsidR="004647B9" w:rsidRDefault="004647B9">
            <w:pPr>
              <w:rPr>
                <w:sz w:val="24"/>
                <w:szCs w:val="24"/>
              </w:rPr>
            </w:pPr>
          </w:p>
        </w:tc>
        <w:tc>
          <w:tcPr>
            <w:tcW w:w="180" w:type="dxa"/>
            <w:vAlign w:val="bottom"/>
          </w:tcPr>
          <w:p w14:paraId="2819D9AE" w14:textId="77777777" w:rsidR="004647B9" w:rsidRDefault="004647B9">
            <w:pPr>
              <w:rPr>
                <w:sz w:val="24"/>
                <w:szCs w:val="24"/>
              </w:rPr>
            </w:pPr>
          </w:p>
        </w:tc>
        <w:tc>
          <w:tcPr>
            <w:tcW w:w="880" w:type="dxa"/>
            <w:vAlign w:val="bottom"/>
          </w:tcPr>
          <w:p w14:paraId="2819D9AF" w14:textId="77777777" w:rsidR="004647B9" w:rsidRDefault="004647B9">
            <w:pPr>
              <w:rPr>
                <w:sz w:val="24"/>
                <w:szCs w:val="24"/>
              </w:rPr>
            </w:pPr>
          </w:p>
        </w:tc>
        <w:tc>
          <w:tcPr>
            <w:tcW w:w="660" w:type="dxa"/>
            <w:vAlign w:val="bottom"/>
          </w:tcPr>
          <w:p w14:paraId="2819D9B0" w14:textId="77777777" w:rsidR="004647B9" w:rsidRDefault="004647B9">
            <w:pPr>
              <w:rPr>
                <w:sz w:val="24"/>
                <w:szCs w:val="24"/>
              </w:rPr>
            </w:pPr>
          </w:p>
        </w:tc>
        <w:tc>
          <w:tcPr>
            <w:tcW w:w="1620" w:type="dxa"/>
            <w:gridSpan w:val="2"/>
            <w:vAlign w:val="bottom"/>
          </w:tcPr>
          <w:p w14:paraId="2819D9B1" w14:textId="77777777" w:rsidR="004647B9" w:rsidRDefault="00E2436F">
            <w:pPr>
              <w:rPr>
                <w:sz w:val="20"/>
                <w:szCs w:val="20"/>
              </w:rPr>
            </w:pPr>
            <w:r>
              <w:rPr>
                <w:rFonts w:eastAsia="Times New Roman"/>
                <w:w w:val="99"/>
                <w:sz w:val="18"/>
                <w:szCs w:val="18"/>
              </w:rPr>
              <w:t>QuikChem10-204-00-</w:t>
            </w:r>
          </w:p>
        </w:tc>
        <w:tc>
          <w:tcPr>
            <w:tcW w:w="0" w:type="dxa"/>
            <w:vAlign w:val="bottom"/>
          </w:tcPr>
          <w:p w14:paraId="2819D9B2" w14:textId="77777777" w:rsidR="004647B9" w:rsidRDefault="004647B9">
            <w:pPr>
              <w:rPr>
                <w:sz w:val="1"/>
                <w:szCs w:val="1"/>
              </w:rPr>
            </w:pPr>
          </w:p>
        </w:tc>
      </w:tr>
      <w:tr w:rsidR="004647B9" w14:paraId="2819D9C6" w14:textId="77777777">
        <w:trPr>
          <w:trHeight w:val="279"/>
        </w:trPr>
        <w:tc>
          <w:tcPr>
            <w:tcW w:w="1020" w:type="dxa"/>
            <w:vAlign w:val="bottom"/>
          </w:tcPr>
          <w:p w14:paraId="2819D9B4" w14:textId="77777777" w:rsidR="004647B9" w:rsidRDefault="004647B9">
            <w:pPr>
              <w:rPr>
                <w:sz w:val="24"/>
                <w:szCs w:val="24"/>
              </w:rPr>
            </w:pPr>
          </w:p>
        </w:tc>
        <w:tc>
          <w:tcPr>
            <w:tcW w:w="180" w:type="dxa"/>
            <w:vAlign w:val="bottom"/>
          </w:tcPr>
          <w:p w14:paraId="2819D9B5" w14:textId="77777777" w:rsidR="004647B9" w:rsidRDefault="004647B9">
            <w:pPr>
              <w:rPr>
                <w:sz w:val="24"/>
                <w:szCs w:val="24"/>
              </w:rPr>
            </w:pPr>
          </w:p>
        </w:tc>
        <w:tc>
          <w:tcPr>
            <w:tcW w:w="1080" w:type="dxa"/>
            <w:vAlign w:val="bottom"/>
          </w:tcPr>
          <w:p w14:paraId="2819D9B6" w14:textId="77777777" w:rsidR="004647B9" w:rsidRDefault="004647B9">
            <w:pPr>
              <w:rPr>
                <w:sz w:val="24"/>
                <w:szCs w:val="24"/>
              </w:rPr>
            </w:pPr>
          </w:p>
        </w:tc>
        <w:tc>
          <w:tcPr>
            <w:tcW w:w="1520" w:type="dxa"/>
            <w:vAlign w:val="bottom"/>
          </w:tcPr>
          <w:p w14:paraId="2819D9B7" w14:textId="77777777" w:rsidR="004647B9" w:rsidRDefault="004647B9">
            <w:pPr>
              <w:rPr>
                <w:sz w:val="24"/>
                <w:szCs w:val="24"/>
              </w:rPr>
            </w:pPr>
          </w:p>
        </w:tc>
        <w:tc>
          <w:tcPr>
            <w:tcW w:w="380" w:type="dxa"/>
            <w:vAlign w:val="bottom"/>
          </w:tcPr>
          <w:p w14:paraId="2819D9B8" w14:textId="77777777" w:rsidR="004647B9" w:rsidRDefault="004647B9">
            <w:pPr>
              <w:rPr>
                <w:sz w:val="24"/>
                <w:szCs w:val="24"/>
              </w:rPr>
            </w:pPr>
          </w:p>
        </w:tc>
        <w:tc>
          <w:tcPr>
            <w:tcW w:w="480" w:type="dxa"/>
            <w:vAlign w:val="bottom"/>
          </w:tcPr>
          <w:p w14:paraId="2819D9B9" w14:textId="77777777" w:rsidR="004647B9" w:rsidRDefault="004647B9">
            <w:pPr>
              <w:rPr>
                <w:sz w:val="24"/>
                <w:szCs w:val="24"/>
              </w:rPr>
            </w:pPr>
          </w:p>
        </w:tc>
        <w:tc>
          <w:tcPr>
            <w:tcW w:w="40" w:type="dxa"/>
            <w:vAlign w:val="bottom"/>
          </w:tcPr>
          <w:p w14:paraId="2819D9BA" w14:textId="77777777" w:rsidR="004647B9" w:rsidRDefault="004647B9">
            <w:pPr>
              <w:rPr>
                <w:sz w:val="24"/>
                <w:szCs w:val="24"/>
              </w:rPr>
            </w:pPr>
          </w:p>
        </w:tc>
        <w:tc>
          <w:tcPr>
            <w:tcW w:w="560" w:type="dxa"/>
            <w:vAlign w:val="bottom"/>
          </w:tcPr>
          <w:p w14:paraId="2819D9BB" w14:textId="77777777" w:rsidR="004647B9" w:rsidRDefault="004647B9">
            <w:pPr>
              <w:rPr>
                <w:sz w:val="24"/>
                <w:szCs w:val="24"/>
              </w:rPr>
            </w:pPr>
          </w:p>
        </w:tc>
        <w:tc>
          <w:tcPr>
            <w:tcW w:w="900" w:type="dxa"/>
            <w:vAlign w:val="bottom"/>
          </w:tcPr>
          <w:p w14:paraId="2819D9BC" w14:textId="77777777" w:rsidR="004647B9" w:rsidRDefault="004647B9">
            <w:pPr>
              <w:rPr>
                <w:sz w:val="24"/>
                <w:szCs w:val="24"/>
              </w:rPr>
            </w:pPr>
          </w:p>
        </w:tc>
        <w:tc>
          <w:tcPr>
            <w:tcW w:w="260" w:type="dxa"/>
            <w:vAlign w:val="bottom"/>
          </w:tcPr>
          <w:p w14:paraId="2819D9BD" w14:textId="77777777" w:rsidR="004647B9" w:rsidRDefault="004647B9">
            <w:pPr>
              <w:rPr>
                <w:sz w:val="24"/>
                <w:szCs w:val="24"/>
              </w:rPr>
            </w:pPr>
          </w:p>
        </w:tc>
        <w:tc>
          <w:tcPr>
            <w:tcW w:w="280" w:type="dxa"/>
            <w:vAlign w:val="bottom"/>
          </w:tcPr>
          <w:p w14:paraId="2819D9BE" w14:textId="77777777" w:rsidR="004647B9" w:rsidRDefault="004647B9">
            <w:pPr>
              <w:rPr>
                <w:sz w:val="24"/>
                <w:szCs w:val="24"/>
              </w:rPr>
            </w:pPr>
          </w:p>
        </w:tc>
        <w:tc>
          <w:tcPr>
            <w:tcW w:w="540" w:type="dxa"/>
            <w:vAlign w:val="bottom"/>
          </w:tcPr>
          <w:p w14:paraId="2819D9BF" w14:textId="77777777" w:rsidR="004647B9" w:rsidRDefault="004647B9">
            <w:pPr>
              <w:rPr>
                <w:sz w:val="24"/>
                <w:szCs w:val="24"/>
              </w:rPr>
            </w:pPr>
          </w:p>
        </w:tc>
        <w:tc>
          <w:tcPr>
            <w:tcW w:w="340" w:type="dxa"/>
            <w:vAlign w:val="bottom"/>
          </w:tcPr>
          <w:p w14:paraId="2819D9C0" w14:textId="77777777" w:rsidR="004647B9" w:rsidRDefault="004647B9">
            <w:pPr>
              <w:rPr>
                <w:sz w:val="24"/>
                <w:szCs w:val="24"/>
              </w:rPr>
            </w:pPr>
          </w:p>
        </w:tc>
        <w:tc>
          <w:tcPr>
            <w:tcW w:w="180" w:type="dxa"/>
            <w:vAlign w:val="bottom"/>
          </w:tcPr>
          <w:p w14:paraId="2819D9C1" w14:textId="77777777" w:rsidR="004647B9" w:rsidRDefault="004647B9">
            <w:pPr>
              <w:rPr>
                <w:sz w:val="24"/>
                <w:szCs w:val="24"/>
              </w:rPr>
            </w:pPr>
          </w:p>
        </w:tc>
        <w:tc>
          <w:tcPr>
            <w:tcW w:w="880" w:type="dxa"/>
            <w:vAlign w:val="bottom"/>
          </w:tcPr>
          <w:p w14:paraId="2819D9C2" w14:textId="77777777" w:rsidR="004647B9" w:rsidRDefault="004647B9">
            <w:pPr>
              <w:rPr>
                <w:sz w:val="24"/>
                <w:szCs w:val="24"/>
              </w:rPr>
            </w:pPr>
          </w:p>
        </w:tc>
        <w:tc>
          <w:tcPr>
            <w:tcW w:w="660" w:type="dxa"/>
            <w:vAlign w:val="bottom"/>
          </w:tcPr>
          <w:p w14:paraId="2819D9C3" w14:textId="77777777" w:rsidR="004647B9" w:rsidRDefault="004647B9">
            <w:pPr>
              <w:rPr>
                <w:sz w:val="24"/>
                <w:szCs w:val="24"/>
              </w:rPr>
            </w:pPr>
          </w:p>
        </w:tc>
        <w:tc>
          <w:tcPr>
            <w:tcW w:w="1620" w:type="dxa"/>
            <w:gridSpan w:val="2"/>
            <w:vAlign w:val="bottom"/>
          </w:tcPr>
          <w:p w14:paraId="2819D9C4" w14:textId="77777777" w:rsidR="004647B9" w:rsidRDefault="00E2436F">
            <w:pPr>
              <w:rPr>
                <w:sz w:val="20"/>
                <w:szCs w:val="20"/>
              </w:rPr>
            </w:pPr>
            <w:r>
              <w:rPr>
                <w:rFonts w:eastAsia="Times New Roman"/>
                <w:sz w:val="18"/>
                <w:szCs w:val="18"/>
              </w:rPr>
              <w:t>1-X</w:t>
            </w:r>
            <w:r>
              <w:rPr>
                <w:rFonts w:eastAsia="Times New Roman"/>
                <w:sz w:val="24"/>
                <w:szCs w:val="24"/>
                <w:vertAlign w:val="superscript"/>
              </w:rPr>
              <w:t>19</w:t>
            </w:r>
          </w:p>
        </w:tc>
        <w:tc>
          <w:tcPr>
            <w:tcW w:w="0" w:type="dxa"/>
            <w:vAlign w:val="bottom"/>
          </w:tcPr>
          <w:p w14:paraId="2819D9C5" w14:textId="77777777" w:rsidR="004647B9" w:rsidRDefault="004647B9">
            <w:pPr>
              <w:rPr>
                <w:sz w:val="1"/>
                <w:szCs w:val="1"/>
              </w:rPr>
            </w:pPr>
          </w:p>
        </w:tc>
      </w:tr>
      <w:tr w:rsidR="004647B9" w14:paraId="2819D9D9" w14:textId="77777777">
        <w:trPr>
          <w:trHeight w:val="280"/>
        </w:trPr>
        <w:tc>
          <w:tcPr>
            <w:tcW w:w="1020" w:type="dxa"/>
            <w:vAlign w:val="bottom"/>
          </w:tcPr>
          <w:p w14:paraId="2819D9C7" w14:textId="77777777" w:rsidR="004647B9" w:rsidRDefault="004647B9">
            <w:pPr>
              <w:rPr>
                <w:sz w:val="24"/>
                <w:szCs w:val="24"/>
              </w:rPr>
            </w:pPr>
          </w:p>
        </w:tc>
        <w:tc>
          <w:tcPr>
            <w:tcW w:w="180" w:type="dxa"/>
            <w:vAlign w:val="bottom"/>
          </w:tcPr>
          <w:p w14:paraId="2819D9C8" w14:textId="77777777" w:rsidR="004647B9" w:rsidRDefault="004647B9">
            <w:pPr>
              <w:rPr>
                <w:sz w:val="24"/>
                <w:szCs w:val="24"/>
              </w:rPr>
            </w:pPr>
          </w:p>
        </w:tc>
        <w:tc>
          <w:tcPr>
            <w:tcW w:w="2600" w:type="dxa"/>
            <w:gridSpan w:val="2"/>
            <w:vAlign w:val="bottom"/>
          </w:tcPr>
          <w:p w14:paraId="2819D9C9" w14:textId="77777777" w:rsidR="004647B9" w:rsidRDefault="00E2436F">
            <w:pPr>
              <w:rPr>
                <w:sz w:val="20"/>
                <w:szCs w:val="20"/>
              </w:rPr>
            </w:pPr>
            <w:r>
              <w:rPr>
                <w:rFonts w:eastAsia="Times New Roman"/>
                <w:sz w:val="18"/>
                <w:szCs w:val="18"/>
              </w:rPr>
              <w:t>Ligand Exchange and</w:t>
            </w:r>
          </w:p>
        </w:tc>
        <w:tc>
          <w:tcPr>
            <w:tcW w:w="380" w:type="dxa"/>
            <w:vAlign w:val="bottom"/>
          </w:tcPr>
          <w:p w14:paraId="2819D9CA" w14:textId="77777777" w:rsidR="004647B9" w:rsidRDefault="004647B9">
            <w:pPr>
              <w:rPr>
                <w:sz w:val="24"/>
                <w:szCs w:val="24"/>
              </w:rPr>
            </w:pPr>
          </w:p>
        </w:tc>
        <w:tc>
          <w:tcPr>
            <w:tcW w:w="480" w:type="dxa"/>
            <w:vAlign w:val="bottom"/>
          </w:tcPr>
          <w:p w14:paraId="2819D9CB" w14:textId="77777777" w:rsidR="004647B9" w:rsidRDefault="004647B9">
            <w:pPr>
              <w:rPr>
                <w:sz w:val="24"/>
                <w:szCs w:val="24"/>
              </w:rPr>
            </w:pPr>
          </w:p>
        </w:tc>
        <w:tc>
          <w:tcPr>
            <w:tcW w:w="40" w:type="dxa"/>
            <w:vAlign w:val="bottom"/>
          </w:tcPr>
          <w:p w14:paraId="2819D9CC" w14:textId="77777777" w:rsidR="004647B9" w:rsidRDefault="004647B9">
            <w:pPr>
              <w:rPr>
                <w:sz w:val="24"/>
                <w:szCs w:val="24"/>
              </w:rPr>
            </w:pPr>
          </w:p>
        </w:tc>
        <w:tc>
          <w:tcPr>
            <w:tcW w:w="560" w:type="dxa"/>
            <w:vAlign w:val="bottom"/>
          </w:tcPr>
          <w:p w14:paraId="2819D9CD" w14:textId="77777777" w:rsidR="004647B9" w:rsidRDefault="004647B9">
            <w:pPr>
              <w:rPr>
                <w:sz w:val="24"/>
                <w:szCs w:val="24"/>
              </w:rPr>
            </w:pPr>
          </w:p>
        </w:tc>
        <w:tc>
          <w:tcPr>
            <w:tcW w:w="900" w:type="dxa"/>
            <w:vAlign w:val="bottom"/>
          </w:tcPr>
          <w:p w14:paraId="2819D9CE" w14:textId="77777777" w:rsidR="004647B9" w:rsidRDefault="004647B9">
            <w:pPr>
              <w:rPr>
                <w:sz w:val="24"/>
                <w:szCs w:val="24"/>
              </w:rPr>
            </w:pPr>
          </w:p>
        </w:tc>
        <w:tc>
          <w:tcPr>
            <w:tcW w:w="260" w:type="dxa"/>
            <w:vAlign w:val="bottom"/>
          </w:tcPr>
          <w:p w14:paraId="2819D9CF" w14:textId="77777777" w:rsidR="004647B9" w:rsidRDefault="004647B9">
            <w:pPr>
              <w:rPr>
                <w:sz w:val="24"/>
                <w:szCs w:val="24"/>
              </w:rPr>
            </w:pPr>
          </w:p>
        </w:tc>
        <w:tc>
          <w:tcPr>
            <w:tcW w:w="280" w:type="dxa"/>
            <w:vAlign w:val="bottom"/>
          </w:tcPr>
          <w:p w14:paraId="2819D9D0" w14:textId="77777777" w:rsidR="004647B9" w:rsidRDefault="004647B9">
            <w:pPr>
              <w:rPr>
                <w:sz w:val="24"/>
                <w:szCs w:val="24"/>
              </w:rPr>
            </w:pPr>
          </w:p>
        </w:tc>
        <w:tc>
          <w:tcPr>
            <w:tcW w:w="540" w:type="dxa"/>
            <w:vAlign w:val="bottom"/>
          </w:tcPr>
          <w:p w14:paraId="2819D9D1" w14:textId="77777777" w:rsidR="004647B9" w:rsidRDefault="004647B9">
            <w:pPr>
              <w:rPr>
                <w:sz w:val="24"/>
                <w:szCs w:val="24"/>
              </w:rPr>
            </w:pPr>
          </w:p>
        </w:tc>
        <w:tc>
          <w:tcPr>
            <w:tcW w:w="340" w:type="dxa"/>
            <w:vAlign w:val="bottom"/>
          </w:tcPr>
          <w:p w14:paraId="2819D9D2" w14:textId="77777777" w:rsidR="004647B9" w:rsidRDefault="004647B9">
            <w:pPr>
              <w:rPr>
                <w:sz w:val="24"/>
                <w:szCs w:val="24"/>
              </w:rPr>
            </w:pPr>
          </w:p>
        </w:tc>
        <w:tc>
          <w:tcPr>
            <w:tcW w:w="180" w:type="dxa"/>
            <w:vAlign w:val="bottom"/>
          </w:tcPr>
          <w:p w14:paraId="2819D9D3" w14:textId="77777777" w:rsidR="004647B9" w:rsidRDefault="004647B9">
            <w:pPr>
              <w:rPr>
                <w:sz w:val="24"/>
                <w:szCs w:val="24"/>
              </w:rPr>
            </w:pPr>
          </w:p>
        </w:tc>
        <w:tc>
          <w:tcPr>
            <w:tcW w:w="880" w:type="dxa"/>
            <w:vAlign w:val="bottom"/>
          </w:tcPr>
          <w:p w14:paraId="2819D9D4" w14:textId="77777777" w:rsidR="004647B9" w:rsidRDefault="004647B9">
            <w:pPr>
              <w:rPr>
                <w:sz w:val="24"/>
                <w:szCs w:val="24"/>
              </w:rPr>
            </w:pPr>
          </w:p>
        </w:tc>
        <w:tc>
          <w:tcPr>
            <w:tcW w:w="660" w:type="dxa"/>
            <w:vAlign w:val="bottom"/>
          </w:tcPr>
          <w:p w14:paraId="2819D9D5" w14:textId="77777777" w:rsidR="004647B9" w:rsidRDefault="004647B9">
            <w:pPr>
              <w:rPr>
                <w:sz w:val="24"/>
                <w:szCs w:val="24"/>
              </w:rPr>
            </w:pPr>
          </w:p>
        </w:tc>
        <w:tc>
          <w:tcPr>
            <w:tcW w:w="460" w:type="dxa"/>
            <w:vAlign w:val="bottom"/>
          </w:tcPr>
          <w:p w14:paraId="2819D9D6" w14:textId="77777777" w:rsidR="004647B9" w:rsidRDefault="004647B9">
            <w:pPr>
              <w:rPr>
                <w:sz w:val="24"/>
                <w:szCs w:val="24"/>
              </w:rPr>
            </w:pPr>
          </w:p>
        </w:tc>
        <w:tc>
          <w:tcPr>
            <w:tcW w:w="1160" w:type="dxa"/>
            <w:vAlign w:val="bottom"/>
          </w:tcPr>
          <w:p w14:paraId="2819D9D7" w14:textId="77777777" w:rsidR="004647B9" w:rsidRDefault="004647B9">
            <w:pPr>
              <w:rPr>
                <w:sz w:val="24"/>
                <w:szCs w:val="24"/>
              </w:rPr>
            </w:pPr>
          </w:p>
        </w:tc>
        <w:tc>
          <w:tcPr>
            <w:tcW w:w="0" w:type="dxa"/>
            <w:vAlign w:val="bottom"/>
          </w:tcPr>
          <w:p w14:paraId="2819D9D8" w14:textId="77777777" w:rsidR="004647B9" w:rsidRDefault="004647B9">
            <w:pPr>
              <w:rPr>
                <w:sz w:val="1"/>
                <w:szCs w:val="1"/>
              </w:rPr>
            </w:pPr>
          </w:p>
        </w:tc>
      </w:tr>
      <w:tr w:rsidR="004647B9" w14:paraId="2819D9EA" w14:textId="77777777">
        <w:trPr>
          <w:trHeight w:val="279"/>
        </w:trPr>
        <w:tc>
          <w:tcPr>
            <w:tcW w:w="1020" w:type="dxa"/>
            <w:vAlign w:val="bottom"/>
          </w:tcPr>
          <w:p w14:paraId="2819D9DA" w14:textId="77777777" w:rsidR="004647B9" w:rsidRDefault="004647B9">
            <w:pPr>
              <w:rPr>
                <w:sz w:val="24"/>
                <w:szCs w:val="24"/>
              </w:rPr>
            </w:pPr>
          </w:p>
        </w:tc>
        <w:tc>
          <w:tcPr>
            <w:tcW w:w="180" w:type="dxa"/>
            <w:vAlign w:val="bottom"/>
          </w:tcPr>
          <w:p w14:paraId="2819D9DB" w14:textId="77777777" w:rsidR="004647B9" w:rsidRDefault="004647B9">
            <w:pPr>
              <w:rPr>
                <w:sz w:val="24"/>
                <w:szCs w:val="24"/>
              </w:rPr>
            </w:pPr>
          </w:p>
        </w:tc>
        <w:tc>
          <w:tcPr>
            <w:tcW w:w="2600" w:type="dxa"/>
            <w:gridSpan w:val="2"/>
            <w:vAlign w:val="bottom"/>
          </w:tcPr>
          <w:p w14:paraId="2819D9DC" w14:textId="77777777" w:rsidR="004647B9" w:rsidRDefault="00E2436F">
            <w:pPr>
              <w:rPr>
                <w:sz w:val="20"/>
                <w:szCs w:val="20"/>
              </w:rPr>
            </w:pPr>
            <w:r>
              <w:rPr>
                <w:rFonts w:eastAsia="Times New Roman"/>
                <w:sz w:val="18"/>
                <w:szCs w:val="18"/>
              </w:rPr>
              <w:t>Amperometry</w:t>
            </w:r>
            <w:r>
              <w:rPr>
                <w:rFonts w:eastAsia="Times New Roman"/>
                <w:sz w:val="24"/>
                <w:szCs w:val="24"/>
                <w:vertAlign w:val="superscript"/>
              </w:rPr>
              <w:t>22</w:t>
            </w:r>
          </w:p>
        </w:tc>
        <w:tc>
          <w:tcPr>
            <w:tcW w:w="860" w:type="dxa"/>
            <w:gridSpan w:val="2"/>
            <w:vAlign w:val="bottom"/>
          </w:tcPr>
          <w:p w14:paraId="2819D9DD" w14:textId="77777777" w:rsidR="004647B9" w:rsidRDefault="00E2436F">
            <w:pPr>
              <w:rPr>
                <w:sz w:val="20"/>
                <w:szCs w:val="20"/>
              </w:rPr>
            </w:pPr>
            <w:r>
              <w:rPr>
                <w:rFonts w:eastAsia="Times New Roman"/>
                <w:sz w:val="18"/>
                <w:szCs w:val="18"/>
              </w:rPr>
              <w:t>D6888-04</w:t>
            </w:r>
          </w:p>
        </w:tc>
        <w:tc>
          <w:tcPr>
            <w:tcW w:w="40" w:type="dxa"/>
            <w:vAlign w:val="bottom"/>
          </w:tcPr>
          <w:p w14:paraId="2819D9DE" w14:textId="77777777" w:rsidR="004647B9" w:rsidRDefault="004647B9">
            <w:pPr>
              <w:rPr>
                <w:sz w:val="24"/>
                <w:szCs w:val="24"/>
              </w:rPr>
            </w:pPr>
          </w:p>
        </w:tc>
        <w:tc>
          <w:tcPr>
            <w:tcW w:w="560" w:type="dxa"/>
            <w:vAlign w:val="bottom"/>
          </w:tcPr>
          <w:p w14:paraId="2819D9DF" w14:textId="77777777" w:rsidR="004647B9" w:rsidRDefault="004647B9">
            <w:pPr>
              <w:rPr>
                <w:sz w:val="24"/>
                <w:szCs w:val="24"/>
              </w:rPr>
            </w:pPr>
          </w:p>
        </w:tc>
        <w:tc>
          <w:tcPr>
            <w:tcW w:w="900" w:type="dxa"/>
            <w:vAlign w:val="bottom"/>
          </w:tcPr>
          <w:p w14:paraId="2819D9E0" w14:textId="77777777" w:rsidR="004647B9" w:rsidRDefault="004647B9">
            <w:pPr>
              <w:rPr>
                <w:sz w:val="24"/>
                <w:szCs w:val="24"/>
              </w:rPr>
            </w:pPr>
          </w:p>
        </w:tc>
        <w:tc>
          <w:tcPr>
            <w:tcW w:w="260" w:type="dxa"/>
            <w:vAlign w:val="bottom"/>
          </w:tcPr>
          <w:p w14:paraId="2819D9E1" w14:textId="77777777" w:rsidR="004647B9" w:rsidRDefault="004647B9">
            <w:pPr>
              <w:rPr>
                <w:sz w:val="24"/>
                <w:szCs w:val="24"/>
              </w:rPr>
            </w:pPr>
          </w:p>
        </w:tc>
        <w:tc>
          <w:tcPr>
            <w:tcW w:w="280" w:type="dxa"/>
            <w:vAlign w:val="bottom"/>
          </w:tcPr>
          <w:p w14:paraId="2819D9E2" w14:textId="77777777" w:rsidR="004647B9" w:rsidRDefault="004647B9">
            <w:pPr>
              <w:rPr>
                <w:sz w:val="24"/>
                <w:szCs w:val="24"/>
              </w:rPr>
            </w:pPr>
          </w:p>
        </w:tc>
        <w:tc>
          <w:tcPr>
            <w:tcW w:w="540" w:type="dxa"/>
            <w:vAlign w:val="bottom"/>
          </w:tcPr>
          <w:p w14:paraId="2819D9E3" w14:textId="77777777" w:rsidR="004647B9" w:rsidRDefault="004647B9">
            <w:pPr>
              <w:rPr>
                <w:sz w:val="24"/>
                <w:szCs w:val="24"/>
              </w:rPr>
            </w:pPr>
          </w:p>
        </w:tc>
        <w:tc>
          <w:tcPr>
            <w:tcW w:w="340" w:type="dxa"/>
            <w:vAlign w:val="bottom"/>
          </w:tcPr>
          <w:p w14:paraId="2819D9E4" w14:textId="77777777" w:rsidR="004647B9" w:rsidRDefault="004647B9">
            <w:pPr>
              <w:rPr>
                <w:sz w:val="24"/>
                <w:szCs w:val="24"/>
              </w:rPr>
            </w:pPr>
          </w:p>
        </w:tc>
        <w:tc>
          <w:tcPr>
            <w:tcW w:w="180" w:type="dxa"/>
            <w:vAlign w:val="bottom"/>
          </w:tcPr>
          <w:p w14:paraId="2819D9E5" w14:textId="77777777" w:rsidR="004647B9" w:rsidRDefault="004647B9">
            <w:pPr>
              <w:rPr>
                <w:sz w:val="24"/>
                <w:szCs w:val="24"/>
              </w:rPr>
            </w:pPr>
          </w:p>
        </w:tc>
        <w:tc>
          <w:tcPr>
            <w:tcW w:w="1540" w:type="dxa"/>
            <w:gridSpan w:val="2"/>
            <w:vAlign w:val="bottom"/>
          </w:tcPr>
          <w:p w14:paraId="2819D9E6" w14:textId="77777777" w:rsidR="004647B9" w:rsidRDefault="00E2436F">
            <w:pPr>
              <w:rPr>
                <w:sz w:val="20"/>
                <w:szCs w:val="20"/>
              </w:rPr>
            </w:pPr>
            <w:r>
              <w:rPr>
                <w:rFonts w:eastAsia="Times New Roman"/>
                <w:sz w:val="18"/>
                <w:szCs w:val="18"/>
              </w:rPr>
              <w:t xml:space="preserve">OIA-1677-DW </w:t>
            </w:r>
            <w:r>
              <w:rPr>
                <w:rFonts w:eastAsia="Times New Roman"/>
                <w:sz w:val="24"/>
                <w:szCs w:val="24"/>
                <w:vertAlign w:val="superscript"/>
              </w:rPr>
              <w:t>21</w:t>
            </w:r>
          </w:p>
        </w:tc>
        <w:tc>
          <w:tcPr>
            <w:tcW w:w="460" w:type="dxa"/>
            <w:vAlign w:val="bottom"/>
          </w:tcPr>
          <w:p w14:paraId="2819D9E7" w14:textId="77777777" w:rsidR="004647B9" w:rsidRDefault="004647B9">
            <w:pPr>
              <w:rPr>
                <w:sz w:val="24"/>
                <w:szCs w:val="24"/>
              </w:rPr>
            </w:pPr>
          </w:p>
        </w:tc>
        <w:tc>
          <w:tcPr>
            <w:tcW w:w="1160" w:type="dxa"/>
            <w:vAlign w:val="bottom"/>
          </w:tcPr>
          <w:p w14:paraId="2819D9E8" w14:textId="77777777" w:rsidR="004647B9" w:rsidRDefault="004647B9">
            <w:pPr>
              <w:rPr>
                <w:sz w:val="24"/>
                <w:szCs w:val="24"/>
              </w:rPr>
            </w:pPr>
          </w:p>
        </w:tc>
        <w:tc>
          <w:tcPr>
            <w:tcW w:w="0" w:type="dxa"/>
            <w:vAlign w:val="bottom"/>
          </w:tcPr>
          <w:p w14:paraId="2819D9E9" w14:textId="77777777" w:rsidR="004647B9" w:rsidRDefault="004647B9">
            <w:pPr>
              <w:rPr>
                <w:sz w:val="1"/>
                <w:szCs w:val="1"/>
              </w:rPr>
            </w:pPr>
          </w:p>
        </w:tc>
      </w:tr>
      <w:tr w:rsidR="004647B9" w14:paraId="2819D9FA" w14:textId="77777777">
        <w:trPr>
          <w:trHeight w:val="281"/>
        </w:trPr>
        <w:tc>
          <w:tcPr>
            <w:tcW w:w="1020" w:type="dxa"/>
            <w:vAlign w:val="bottom"/>
          </w:tcPr>
          <w:p w14:paraId="2819D9EB" w14:textId="77777777" w:rsidR="004647B9" w:rsidRDefault="00E2436F">
            <w:pPr>
              <w:rPr>
                <w:sz w:val="20"/>
                <w:szCs w:val="20"/>
              </w:rPr>
            </w:pPr>
            <w:r>
              <w:rPr>
                <w:rFonts w:eastAsia="Times New Roman"/>
                <w:sz w:val="18"/>
                <w:szCs w:val="18"/>
              </w:rPr>
              <w:t>Mercury</w:t>
            </w:r>
          </w:p>
        </w:tc>
        <w:tc>
          <w:tcPr>
            <w:tcW w:w="180" w:type="dxa"/>
            <w:vAlign w:val="bottom"/>
          </w:tcPr>
          <w:p w14:paraId="2819D9EC" w14:textId="77777777" w:rsidR="004647B9" w:rsidRDefault="004647B9">
            <w:pPr>
              <w:rPr>
                <w:sz w:val="24"/>
                <w:szCs w:val="24"/>
              </w:rPr>
            </w:pPr>
          </w:p>
        </w:tc>
        <w:tc>
          <w:tcPr>
            <w:tcW w:w="2600" w:type="dxa"/>
            <w:gridSpan w:val="2"/>
            <w:vAlign w:val="bottom"/>
          </w:tcPr>
          <w:p w14:paraId="2819D9ED" w14:textId="77777777" w:rsidR="004647B9" w:rsidRDefault="00E2436F">
            <w:pPr>
              <w:rPr>
                <w:sz w:val="20"/>
                <w:szCs w:val="20"/>
              </w:rPr>
            </w:pPr>
            <w:r>
              <w:rPr>
                <w:rFonts w:eastAsia="Times New Roman"/>
                <w:sz w:val="18"/>
                <w:szCs w:val="18"/>
              </w:rPr>
              <w:t>Manual cold vapor</w:t>
            </w:r>
          </w:p>
        </w:tc>
        <w:tc>
          <w:tcPr>
            <w:tcW w:w="860" w:type="dxa"/>
            <w:gridSpan w:val="2"/>
            <w:vAlign w:val="bottom"/>
          </w:tcPr>
          <w:p w14:paraId="2819D9EE"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245.1</w:t>
            </w:r>
          </w:p>
        </w:tc>
        <w:tc>
          <w:tcPr>
            <w:tcW w:w="40" w:type="dxa"/>
            <w:vAlign w:val="bottom"/>
          </w:tcPr>
          <w:p w14:paraId="2819D9EF" w14:textId="77777777" w:rsidR="004647B9" w:rsidRDefault="004647B9">
            <w:pPr>
              <w:rPr>
                <w:sz w:val="24"/>
                <w:szCs w:val="24"/>
              </w:rPr>
            </w:pPr>
          </w:p>
        </w:tc>
        <w:tc>
          <w:tcPr>
            <w:tcW w:w="1460" w:type="dxa"/>
            <w:gridSpan w:val="2"/>
            <w:vAlign w:val="bottom"/>
          </w:tcPr>
          <w:p w14:paraId="2819D9F0" w14:textId="77777777" w:rsidR="004647B9" w:rsidRDefault="00E2436F">
            <w:pPr>
              <w:rPr>
                <w:sz w:val="20"/>
                <w:szCs w:val="20"/>
              </w:rPr>
            </w:pPr>
            <w:r>
              <w:rPr>
                <w:rFonts w:eastAsia="Times New Roman"/>
                <w:sz w:val="18"/>
                <w:szCs w:val="18"/>
              </w:rPr>
              <w:t>D3223-97,02</w:t>
            </w:r>
          </w:p>
        </w:tc>
        <w:tc>
          <w:tcPr>
            <w:tcW w:w="260" w:type="dxa"/>
            <w:vAlign w:val="bottom"/>
          </w:tcPr>
          <w:p w14:paraId="2819D9F1" w14:textId="77777777" w:rsidR="004647B9" w:rsidRDefault="004647B9">
            <w:pPr>
              <w:rPr>
                <w:sz w:val="24"/>
                <w:szCs w:val="24"/>
              </w:rPr>
            </w:pPr>
          </w:p>
        </w:tc>
        <w:tc>
          <w:tcPr>
            <w:tcW w:w="820" w:type="dxa"/>
            <w:gridSpan w:val="2"/>
            <w:vAlign w:val="bottom"/>
          </w:tcPr>
          <w:p w14:paraId="2819D9F2" w14:textId="77777777" w:rsidR="004647B9" w:rsidRDefault="00E2436F">
            <w:pPr>
              <w:rPr>
                <w:sz w:val="20"/>
                <w:szCs w:val="20"/>
              </w:rPr>
            </w:pPr>
            <w:r>
              <w:rPr>
                <w:rFonts w:eastAsia="Times New Roman"/>
                <w:sz w:val="18"/>
                <w:szCs w:val="18"/>
              </w:rPr>
              <w:t>3112B</w:t>
            </w:r>
          </w:p>
        </w:tc>
        <w:tc>
          <w:tcPr>
            <w:tcW w:w="340" w:type="dxa"/>
            <w:vAlign w:val="bottom"/>
          </w:tcPr>
          <w:p w14:paraId="2819D9F3" w14:textId="77777777" w:rsidR="004647B9" w:rsidRDefault="004647B9">
            <w:pPr>
              <w:rPr>
                <w:sz w:val="24"/>
                <w:szCs w:val="24"/>
              </w:rPr>
            </w:pPr>
          </w:p>
        </w:tc>
        <w:tc>
          <w:tcPr>
            <w:tcW w:w="180" w:type="dxa"/>
            <w:vAlign w:val="bottom"/>
          </w:tcPr>
          <w:p w14:paraId="2819D9F4" w14:textId="77777777" w:rsidR="004647B9" w:rsidRDefault="004647B9">
            <w:pPr>
              <w:rPr>
                <w:sz w:val="24"/>
                <w:szCs w:val="24"/>
              </w:rPr>
            </w:pPr>
          </w:p>
        </w:tc>
        <w:tc>
          <w:tcPr>
            <w:tcW w:w="880" w:type="dxa"/>
            <w:vAlign w:val="bottom"/>
          </w:tcPr>
          <w:p w14:paraId="2819D9F5" w14:textId="77777777" w:rsidR="004647B9" w:rsidRDefault="00E2436F">
            <w:pPr>
              <w:rPr>
                <w:sz w:val="20"/>
                <w:szCs w:val="20"/>
              </w:rPr>
            </w:pPr>
            <w:r>
              <w:rPr>
                <w:rFonts w:eastAsia="Times New Roman"/>
                <w:sz w:val="18"/>
                <w:szCs w:val="18"/>
              </w:rPr>
              <w:t>3112B-99</w:t>
            </w:r>
          </w:p>
        </w:tc>
        <w:tc>
          <w:tcPr>
            <w:tcW w:w="660" w:type="dxa"/>
            <w:vAlign w:val="bottom"/>
          </w:tcPr>
          <w:p w14:paraId="2819D9F6" w14:textId="77777777" w:rsidR="004647B9" w:rsidRDefault="004647B9">
            <w:pPr>
              <w:rPr>
                <w:sz w:val="24"/>
                <w:szCs w:val="24"/>
              </w:rPr>
            </w:pPr>
          </w:p>
        </w:tc>
        <w:tc>
          <w:tcPr>
            <w:tcW w:w="460" w:type="dxa"/>
            <w:vAlign w:val="bottom"/>
          </w:tcPr>
          <w:p w14:paraId="2819D9F7" w14:textId="77777777" w:rsidR="004647B9" w:rsidRDefault="004647B9">
            <w:pPr>
              <w:rPr>
                <w:sz w:val="24"/>
                <w:szCs w:val="24"/>
              </w:rPr>
            </w:pPr>
          </w:p>
        </w:tc>
        <w:tc>
          <w:tcPr>
            <w:tcW w:w="1160" w:type="dxa"/>
            <w:vAlign w:val="bottom"/>
          </w:tcPr>
          <w:p w14:paraId="2819D9F8" w14:textId="77777777" w:rsidR="004647B9" w:rsidRDefault="004647B9">
            <w:pPr>
              <w:rPr>
                <w:sz w:val="24"/>
                <w:szCs w:val="24"/>
              </w:rPr>
            </w:pPr>
          </w:p>
        </w:tc>
        <w:tc>
          <w:tcPr>
            <w:tcW w:w="0" w:type="dxa"/>
            <w:vAlign w:val="bottom"/>
          </w:tcPr>
          <w:p w14:paraId="2819D9F9" w14:textId="77777777" w:rsidR="004647B9" w:rsidRDefault="004647B9">
            <w:pPr>
              <w:rPr>
                <w:sz w:val="1"/>
                <w:szCs w:val="1"/>
              </w:rPr>
            </w:pPr>
          </w:p>
        </w:tc>
      </w:tr>
      <w:tr w:rsidR="004647B9" w14:paraId="2819DA0C" w14:textId="77777777">
        <w:trPr>
          <w:trHeight w:val="278"/>
        </w:trPr>
        <w:tc>
          <w:tcPr>
            <w:tcW w:w="1020" w:type="dxa"/>
            <w:vAlign w:val="bottom"/>
          </w:tcPr>
          <w:p w14:paraId="2819D9FB" w14:textId="77777777" w:rsidR="004647B9" w:rsidRDefault="004647B9">
            <w:pPr>
              <w:rPr>
                <w:sz w:val="24"/>
                <w:szCs w:val="24"/>
              </w:rPr>
            </w:pPr>
          </w:p>
        </w:tc>
        <w:tc>
          <w:tcPr>
            <w:tcW w:w="180" w:type="dxa"/>
            <w:vAlign w:val="bottom"/>
          </w:tcPr>
          <w:p w14:paraId="2819D9FC" w14:textId="77777777" w:rsidR="004647B9" w:rsidRDefault="004647B9">
            <w:pPr>
              <w:rPr>
                <w:sz w:val="24"/>
                <w:szCs w:val="24"/>
              </w:rPr>
            </w:pPr>
          </w:p>
        </w:tc>
        <w:tc>
          <w:tcPr>
            <w:tcW w:w="2600" w:type="dxa"/>
            <w:gridSpan w:val="2"/>
            <w:vAlign w:val="bottom"/>
          </w:tcPr>
          <w:p w14:paraId="2819D9FD" w14:textId="77777777" w:rsidR="004647B9" w:rsidRDefault="00E2436F">
            <w:pPr>
              <w:rPr>
                <w:sz w:val="20"/>
                <w:szCs w:val="20"/>
              </w:rPr>
            </w:pPr>
            <w:r>
              <w:rPr>
                <w:rFonts w:eastAsia="Times New Roman"/>
                <w:sz w:val="18"/>
                <w:szCs w:val="18"/>
              </w:rPr>
              <w:t>Automated cold vapor</w:t>
            </w:r>
          </w:p>
        </w:tc>
        <w:tc>
          <w:tcPr>
            <w:tcW w:w="860" w:type="dxa"/>
            <w:gridSpan w:val="2"/>
            <w:vAlign w:val="bottom"/>
          </w:tcPr>
          <w:p w14:paraId="2819D9FE" w14:textId="77777777" w:rsidR="004647B9" w:rsidRDefault="00E2436F">
            <w:pPr>
              <w:rPr>
                <w:sz w:val="20"/>
                <w:szCs w:val="20"/>
              </w:rPr>
            </w:pPr>
            <w:r>
              <w:rPr>
                <w:rFonts w:eastAsia="Times New Roman"/>
                <w:sz w:val="24"/>
                <w:szCs w:val="24"/>
                <w:vertAlign w:val="superscript"/>
              </w:rPr>
              <w:t>1</w:t>
            </w:r>
            <w:r>
              <w:rPr>
                <w:rFonts w:eastAsia="Times New Roman"/>
                <w:sz w:val="18"/>
                <w:szCs w:val="18"/>
              </w:rPr>
              <w:t>245.2</w:t>
            </w:r>
          </w:p>
        </w:tc>
        <w:tc>
          <w:tcPr>
            <w:tcW w:w="40" w:type="dxa"/>
            <w:vAlign w:val="bottom"/>
          </w:tcPr>
          <w:p w14:paraId="2819D9FF" w14:textId="77777777" w:rsidR="004647B9" w:rsidRDefault="004647B9">
            <w:pPr>
              <w:rPr>
                <w:sz w:val="24"/>
                <w:szCs w:val="24"/>
              </w:rPr>
            </w:pPr>
          </w:p>
        </w:tc>
        <w:tc>
          <w:tcPr>
            <w:tcW w:w="560" w:type="dxa"/>
            <w:vAlign w:val="bottom"/>
          </w:tcPr>
          <w:p w14:paraId="2819DA00" w14:textId="77777777" w:rsidR="004647B9" w:rsidRDefault="004647B9">
            <w:pPr>
              <w:rPr>
                <w:sz w:val="24"/>
                <w:szCs w:val="24"/>
              </w:rPr>
            </w:pPr>
          </w:p>
        </w:tc>
        <w:tc>
          <w:tcPr>
            <w:tcW w:w="900" w:type="dxa"/>
            <w:vAlign w:val="bottom"/>
          </w:tcPr>
          <w:p w14:paraId="2819DA01" w14:textId="77777777" w:rsidR="004647B9" w:rsidRDefault="004647B9">
            <w:pPr>
              <w:rPr>
                <w:sz w:val="24"/>
                <w:szCs w:val="24"/>
              </w:rPr>
            </w:pPr>
          </w:p>
        </w:tc>
        <w:tc>
          <w:tcPr>
            <w:tcW w:w="260" w:type="dxa"/>
            <w:vAlign w:val="bottom"/>
          </w:tcPr>
          <w:p w14:paraId="2819DA02" w14:textId="77777777" w:rsidR="004647B9" w:rsidRDefault="004647B9">
            <w:pPr>
              <w:rPr>
                <w:sz w:val="24"/>
                <w:szCs w:val="24"/>
              </w:rPr>
            </w:pPr>
          </w:p>
        </w:tc>
        <w:tc>
          <w:tcPr>
            <w:tcW w:w="280" w:type="dxa"/>
            <w:vAlign w:val="bottom"/>
          </w:tcPr>
          <w:p w14:paraId="2819DA03" w14:textId="77777777" w:rsidR="004647B9" w:rsidRDefault="004647B9">
            <w:pPr>
              <w:rPr>
                <w:sz w:val="24"/>
                <w:szCs w:val="24"/>
              </w:rPr>
            </w:pPr>
          </w:p>
        </w:tc>
        <w:tc>
          <w:tcPr>
            <w:tcW w:w="540" w:type="dxa"/>
            <w:vAlign w:val="bottom"/>
          </w:tcPr>
          <w:p w14:paraId="2819DA04" w14:textId="77777777" w:rsidR="004647B9" w:rsidRDefault="004647B9">
            <w:pPr>
              <w:rPr>
                <w:sz w:val="24"/>
                <w:szCs w:val="24"/>
              </w:rPr>
            </w:pPr>
          </w:p>
        </w:tc>
        <w:tc>
          <w:tcPr>
            <w:tcW w:w="340" w:type="dxa"/>
            <w:vAlign w:val="bottom"/>
          </w:tcPr>
          <w:p w14:paraId="2819DA05" w14:textId="77777777" w:rsidR="004647B9" w:rsidRDefault="004647B9">
            <w:pPr>
              <w:rPr>
                <w:sz w:val="24"/>
                <w:szCs w:val="24"/>
              </w:rPr>
            </w:pPr>
          </w:p>
        </w:tc>
        <w:tc>
          <w:tcPr>
            <w:tcW w:w="180" w:type="dxa"/>
            <w:vAlign w:val="bottom"/>
          </w:tcPr>
          <w:p w14:paraId="2819DA06" w14:textId="77777777" w:rsidR="004647B9" w:rsidRDefault="004647B9">
            <w:pPr>
              <w:rPr>
                <w:sz w:val="24"/>
                <w:szCs w:val="24"/>
              </w:rPr>
            </w:pPr>
          </w:p>
        </w:tc>
        <w:tc>
          <w:tcPr>
            <w:tcW w:w="880" w:type="dxa"/>
            <w:vAlign w:val="bottom"/>
          </w:tcPr>
          <w:p w14:paraId="2819DA07" w14:textId="77777777" w:rsidR="004647B9" w:rsidRDefault="004647B9">
            <w:pPr>
              <w:rPr>
                <w:sz w:val="24"/>
                <w:szCs w:val="24"/>
              </w:rPr>
            </w:pPr>
          </w:p>
        </w:tc>
        <w:tc>
          <w:tcPr>
            <w:tcW w:w="660" w:type="dxa"/>
            <w:vAlign w:val="bottom"/>
          </w:tcPr>
          <w:p w14:paraId="2819DA08" w14:textId="77777777" w:rsidR="004647B9" w:rsidRDefault="004647B9">
            <w:pPr>
              <w:rPr>
                <w:sz w:val="24"/>
                <w:szCs w:val="24"/>
              </w:rPr>
            </w:pPr>
          </w:p>
        </w:tc>
        <w:tc>
          <w:tcPr>
            <w:tcW w:w="460" w:type="dxa"/>
            <w:vAlign w:val="bottom"/>
          </w:tcPr>
          <w:p w14:paraId="2819DA09" w14:textId="77777777" w:rsidR="004647B9" w:rsidRDefault="004647B9">
            <w:pPr>
              <w:rPr>
                <w:sz w:val="24"/>
                <w:szCs w:val="24"/>
              </w:rPr>
            </w:pPr>
          </w:p>
        </w:tc>
        <w:tc>
          <w:tcPr>
            <w:tcW w:w="1160" w:type="dxa"/>
            <w:vAlign w:val="bottom"/>
          </w:tcPr>
          <w:p w14:paraId="2819DA0A" w14:textId="77777777" w:rsidR="004647B9" w:rsidRDefault="004647B9">
            <w:pPr>
              <w:rPr>
                <w:sz w:val="24"/>
                <w:szCs w:val="24"/>
              </w:rPr>
            </w:pPr>
          </w:p>
        </w:tc>
        <w:tc>
          <w:tcPr>
            <w:tcW w:w="0" w:type="dxa"/>
            <w:vAlign w:val="bottom"/>
          </w:tcPr>
          <w:p w14:paraId="2819DA0B" w14:textId="77777777" w:rsidR="004647B9" w:rsidRDefault="004647B9">
            <w:pPr>
              <w:rPr>
                <w:sz w:val="1"/>
                <w:szCs w:val="1"/>
              </w:rPr>
            </w:pPr>
          </w:p>
        </w:tc>
      </w:tr>
      <w:tr w:rsidR="004647B9" w14:paraId="2819DA1E" w14:textId="77777777">
        <w:trPr>
          <w:trHeight w:val="281"/>
        </w:trPr>
        <w:tc>
          <w:tcPr>
            <w:tcW w:w="1020" w:type="dxa"/>
            <w:vAlign w:val="bottom"/>
          </w:tcPr>
          <w:p w14:paraId="2819DA0D" w14:textId="77777777" w:rsidR="004647B9" w:rsidRDefault="004647B9">
            <w:pPr>
              <w:rPr>
                <w:sz w:val="24"/>
                <w:szCs w:val="24"/>
              </w:rPr>
            </w:pPr>
          </w:p>
        </w:tc>
        <w:tc>
          <w:tcPr>
            <w:tcW w:w="180" w:type="dxa"/>
            <w:vAlign w:val="bottom"/>
          </w:tcPr>
          <w:p w14:paraId="2819DA0E" w14:textId="77777777" w:rsidR="004647B9" w:rsidRDefault="004647B9">
            <w:pPr>
              <w:rPr>
                <w:sz w:val="24"/>
                <w:szCs w:val="24"/>
              </w:rPr>
            </w:pPr>
          </w:p>
        </w:tc>
        <w:tc>
          <w:tcPr>
            <w:tcW w:w="2600" w:type="dxa"/>
            <w:gridSpan w:val="2"/>
            <w:vAlign w:val="bottom"/>
          </w:tcPr>
          <w:p w14:paraId="2819DA0F" w14:textId="51794D75" w:rsidR="004647B9" w:rsidRDefault="00E2436F">
            <w:pPr>
              <w:rPr>
                <w:sz w:val="20"/>
                <w:szCs w:val="20"/>
              </w:rPr>
            </w:pPr>
            <w:r>
              <w:rPr>
                <w:rFonts w:eastAsia="Times New Roman"/>
                <w:sz w:val="18"/>
                <w:szCs w:val="18"/>
              </w:rPr>
              <w:t>ICP-Mass Spectrometry</w:t>
            </w:r>
          </w:p>
        </w:tc>
        <w:tc>
          <w:tcPr>
            <w:tcW w:w="860" w:type="dxa"/>
            <w:gridSpan w:val="2"/>
            <w:vAlign w:val="bottom"/>
          </w:tcPr>
          <w:p w14:paraId="2819DA10"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A11" w14:textId="77777777" w:rsidR="004647B9" w:rsidRDefault="004647B9">
            <w:pPr>
              <w:rPr>
                <w:sz w:val="24"/>
                <w:szCs w:val="24"/>
              </w:rPr>
            </w:pPr>
          </w:p>
        </w:tc>
        <w:tc>
          <w:tcPr>
            <w:tcW w:w="560" w:type="dxa"/>
            <w:vAlign w:val="bottom"/>
          </w:tcPr>
          <w:p w14:paraId="2819DA12" w14:textId="77777777" w:rsidR="004647B9" w:rsidRDefault="004647B9">
            <w:pPr>
              <w:rPr>
                <w:sz w:val="24"/>
                <w:szCs w:val="24"/>
              </w:rPr>
            </w:pPr>
          </w:p>
        </w:tc>
        <w:tc>
          <w:tcPr>
            <w:tcW w:w="900" w:type="dxa"/>
            <w:vAlign w:val="bottom"/>
          </w:tcPr>
          <w:p w14:paraId="2819DA13" w14:textId="77777777" w:rsidR="004647B9" w:rsidRDefault="004647B9">
            <w:pPr>
              <w:rPr>
                <w:sz w:val="24"/>
                <w:szCs w:val="24"/>
              </w:rPr>
            </w:pPr>
          </w:p>
        </w:tc>
        <w:tc>
          <w:tcPr>
            <w:tcW w:w="260" w:type="dxa"/>
            <w:vAlign w:val="bottom"/>
          </w:tcPr>
          <w:p w14:paraId="2819DA14" w14:textId="77777777" w:rsidR="004647B9" w:rsidRDefault="004647B9">
            <w:pPr>
              <w:rPr>
                <w:sz w:val="24"/>
                <w:szCs w:val="24"/>
              </w:rPr>
            </w:pPr>
          </w:p>
        </w:tc>
        <w:tc>
          <w:tcPr>
            <w:tcW w:w="280" w:type="dxa"/>
            <w:vAlign w:val="bottom"/>
          </w:tcPr>
          <w:p w14:paraId="2819DA15" w14:textId="77777777" w:rsidR="004647B9" w:rsidRDefault="004647B9">
            <w:pPr>
              <w:rPr>
                <w:sz w:val="24"/>
                <w:szCs w:val="24"/>
              </w:rPr>
            </w:pPr>
          </w:p>
        </w:tc>
        <w:tc>
          <w:tcPr>
            <w:tcW w:w="540" w:type="dxa"/>
            <w:vAlign w:val="bottom"/>
          </w:tcPr>
          <w:p w14:paraId="2819DA16" w14:textId="77777777" w:rsidR="004647B9" w:rsidRDefault="004647B9">
            <w:pPr>
              <w:rPr>
                <w:sz w:val="24"/>
                <w:szCs w:val="24"/>
              </w:rPr>
            </w:pPr>
          </w:p>
        </w:tc>
        <w:tc>
          <w:tcPr>
            <w:tcW w:w="340" w:type="dxa"/>
            <w:vAlign w:val="bottom"/>
          </w:tcPr>
          <w:p w14:paraId="2819DA17" w14:textId="77777777" w:rsidR="004647B9" w:rsidRDefault="004647B9">
            <w:pPr>
              <w:rPr>
                <w:sz w:val="24"/>
                <w:szCs w:val="24"/>
              </w:rPr>
            </w:pPr>
          </w:p>
        </w:tc>
        <w:tc>
          <w:tcPr>
            <w:tcW w:w="180" w:type="dxa"/>
            <w:vAlign w:val="bottom"/>
          </w:tcPr>
          <w:p w14:paraId="2819DA18" w14:textId="77777777" w:rsidR="004647B9" w:rsidRDefault="004647B9">
            <w:pPr>
              <w:rPr>
                <w:sz w:val="24"/>
                <w:szCs w:val="24"/>
              </w:rPr>
            </w:pPr>
          </w:p>
        </w:tc>
        <w:tc>
          <w:tcPr>
            <w:tcW w:w="880" w:type="dxa"/>
            <w:vAlign w:val="bottom"/>
          </w:tcPr>
          <w:p w14:paraId="2819DA19" w14:textId="77777777" w:rsidR="004647B9" w:rsidRDefault="004647B9">
            <w:pPr>
              <w:rPr>
                <w:sz w:val="24"/>
                <w:szCs w:val="24"/>
              </w:rPr>
            </w:pPr>
          </w:p>
        </w:tc>
        <w:tc>
          <w:tcPr>
            <w:tcW w:w="660" w:type="dxa"/>
            <w:vAlign w:val="bottom"/>
          </w:tcPr>
          <w:p w14:paraId="2819DA1A" w14:textId="77777777" w:rsidR="004647B9" w:rsidRDefault="004647B9">
            <w:pPr>
              <w:rPr>
                <w:sz w:val="24"/>
                <w:szCs w:val="24"/>
              </w:rPr>
            </w:pPr>
          </w:p>
        </w:tc>
        <w:tc>
          <w:tcPr>
            <w:tcW w:w="460" w:type="dxa"/>
            <w:vAlign w:val="bottom"/>
          </w:tcPr>
          <w:p w14:paraId="2819DA1B" w14:textId="77777777" w:rsidR="004647B9" w:rsidRDefault="004647B9">
            <w:pPr>
              <w:rPr>
                <w:sz w:val="24"/>
                <w:szCs w:val="24"/>
              </w:rPr>
            </w:pPr>
          </w:p>
        </w:tc>
        <w:tc>
          <w:tcPr>
            <w:tcW w:w="1160" w:type="dxa"/>
            <w:vAlign w:val="bottom"/>
          </w:tcPr>
          <w:p w14:paraId="2819DA1C" w14:textId="77777777" w:rsidR="004647B9" w:rsidRDefault="004647B9">
            <w:pPr>
              <w:rPr>
                <w:sz w:val="24"/>
                <w:szCs w:val="24"/>
              </w:rPr>
            </w:pPr>
          </w:p>
        </w:tc>
        <w:tc>
          <w:tcPr>
            <w:tcW w:w="0" w:type="dxa"/>
            <w:vAlign w:val="bottom"/>
          </w:tcPr>
          <w:p w14:paraId="2819DA1D" w14:textId="77777777" w:rsidR="004647B9" w:rsidRDefault="004647B9">
            <w:pPr>
              <w:rPr>
                <w:sz w:val="1"/>
                <w:szCs w:val="1"/>
              </w:rPr>
            </w:pPr>
          </w:p>
        </w:tc>
      </w:tr>
      <w:tr w:rsidR="004647B9" w14:paraId="2819DA2D" w14:textId="77777777">
        <w:trPr>
          <w:trHeight w:val="278"/>
        </w:trPr>
        <w:tc>
          <w:tcPr>
            <w:tcW w:w="1020" w:type="dxa"/>
            <w:vAlign w:val="bottom"/>
          </w:tcPr>
          <w:p w14:paraId="2819DA1F" w14:textId="77777777" w:rsidR="004647B9" w:rsidRDefault="00E2436F">
            <w:pPr>
              <w:rPr>
                <w:sz w:val="20"/>
                <w:szCs w:val="20"/>
              </w:rPr>
            </w:pPr>
            <w:r>
              <w:rPr>
                <w:rFonts w:eastAsia="Times New Roman"/>
                <w:sz w:val="18"/>
                <w:szCs w:val="18"/>
              </w:rPr>
              <w:t>Nickel</w:t>
            </w:r>
          </w:p>
        </w:tc>
        <w:tc>
          <w:tcPr>
            <w:tcW w:w="2780" w:type="dxa"/>
            <w:gridSpan w:val="3"/>
            <w:vAlign w:val="bottom"/>
          </w:tcPr>
          <w:p w14:paraId="2819DA20" w14:textId="77777777" w:rsidR="004647B9" w:rsidRDefault="00E2436F">
            <w:pPr>
              <w:ind w:left="180"/>
              <w:rPr>
                <w:sz w:val="20"/>
                <w:szCs w:val="20"/>
              </w:rPr>
            </w:pPr>
            <w:r>
              <w:rPr>
                <w:rFonts w:eastAsia="Times New Roman"/>
                <w:sz w:val="18"/>
                <w:szCs w:val="18"/>
              </w:rPr>
              <w:t>Atomic Absorption:  Furnace</w:t>
            </w:r>
          </w:p>
        </w:tc>
        <w:tc>
          <w:tcPr>
            <w:tcW w:w="380" w:type="dxa"/>
            <w:vAlign w:val="bottom"/>
          </w:tcPr>
          <w:p w14:paraId="2819DA21" w14:textId="77777777" w:rsidR="004647B9" w:rsidRDefault="004647B9">
            <w:pPr>
              <w:rPr>
                <w:sz w:val="24"/>
                <w:szCs w:val="24"/>
              </w:rPr>
            </w:pPr>
          </w:p>
        </w:tc>
        <w:tc>
          <w:tcPr>
            <w:tcW w:w="480" w:type="dxa"/>
            <w:vAlign w:val="bottom"/>
          </w:tcPr>
          <w:p w14:paraId="2819DA22" w14:textId="77777777" w:rsidR="004647B9" w:rsidRDefault="004647B9">
            <w:pPr>
              <w:rPr>
                <w:sz w:val="24"/>
                <w:szCs w:val="24"/>
              </w:rPr>
            </w:pPr>
          </w:p>
        </w:tc>
        <w:tc>
          <w:tcPr>
            <w:tcW w:w="40" w:type="dxa"/>
            <w:vAlign w:val="bottom"/>
          </w:tcPr>
          <w:p w14:paraId="2819DA23" w14:textId="77777777" w:rsidR="004647B9" w:rsidRDefault="004647B9">
            <w:pPr>
              <w:rPr>
                <w:sz w:val="24"/>
                <w:szCs w:val="24"/>
              </w:rPr>
            </w:pPr>
          </w:p>
        </w:tc>
        <w:tc>
          <w:tcPr>
            <w:tcW w:w="560" w:type="dxa"/>
            <w:vAlign w:val="bottom"/>
          </w:tcPr>
          <w:p w14:paraId="2819DA24" w14:textId="77777777" w:rsidR="004647B9" w:rsidRDefault="004647B9">
            <w:pPr>
              <w:rPr>
                <w:sz w:val="24"/>
                <w:szCs w:val="24"/>
              </w:rPr>
            </w:pPr>
          </w:p>
        </w:tc>
        <w:tc>
          <w:tcPr>
            <w:tcW w:w="900" w:type="dxa"/>
            <w:vAlign w:val="bottom"/>
          </w:tcPr>
          <w:p w14:paraId="2819DA25" w14:textId="77777777" w:rsidR="004647B9" w:rsidRDefault="004647B9">
            <w:pPr>
              <w:rPr>
                <w:sz w:val="24"/>
                <w:szCs w:val="24"/>
              </w:rPr>
            </w:pPr>
          </w:p>
        </w:tc>
        <w:tc>
          <w:tcPr>
            <w:tcW w:w="1080" w:type="dxa"/>
            <w:gridSpan w:val="3"/>
            <w:vAlign w:val="bottom"/>
          </w:tcPr>
          <w:p w14:paraId="2819DA26" w14:textId="77777777" w:rsidR="004647B9" w:rsidRDefault="00E2436F">
            <w:pPr>
              <w:ind w:left="260"/>
              <w:rPr>
                <w:sz w:val="20"/>
                <w:szCs w:val="20"/>
              </w:rPr>
            </w:pPr>
            <w:r>
              <w:rPr>
                <w:rFonts w:eastAsia="Times New Roman"/>
                <w:sz w:val="18"/>
                <w:szCs w:val="18"/>
              </w:rPr>
              <w:t>3113B</w:t>
            </w:r>
          </w:p>
        </w:tc>
        <w:tc>
          <w:tcPr>
            <w:tcW w:w="340" w:type="dxa"/>
            <w:vAlign w:val="bottom"/>
          </w:tcPr>
          <w:p w14:paraId="2819DA27" w14:textId="77777777" w:rsidR="004647B9" w:rsidRDefault="004647B9">
            <w:pPr>
              <w:rPr>
                <w:sz w:val="24"/>
                <w:szCs w:val="24"/>
              </w:rPr>
            </w:pPr>
          </w:p>
        </w:tc>
        <w:tc>
          <w:tcPr>
            <w:tcW w:w="1060" w:type="dxa"/>
            <w:gridSpan w:val="2"/>
            <w:vAlign w:val="bottom"/>
          </w:tcPr>
          <w:p w14:paraId="2819DA28" w14:textId="77777777" w:rsidR="004647B9" w:rsidRDefault="00E2436F">
            <w:pPr>
              <w:ind w:left="180"/>
              <w:rPr>
                <w:sz w:val="20"/>
                <w:szCs w:val="20"/>
              </w:rPr>
            </w:pPr>
            <w:r>
              <w:rPr>
                <w:rFonts w:eastAsia="Times New Roman"/>
                <w:sz w:val="18"/>
                <w:szCs w:val="18"/>
              </w:rPr>
              <w:t>3113B-99</w:t>
            </w:r>
          </w:p>
        </w:tc>
        <w:tc>
          <w:tcPr>
            <w:tcW w:w="660" w:type="dxa"/>
            <w:vAlign w:val="bottom"/>
          </w:tcPr>
          <w:p w14:paraId="2819DA29" w14:textId="77777777" w:rsidR="004647B9" w:rsidRDefault="004647B9">
            <w:pPr>
              <w:rPr>
                <w:sz w:val="24"/>
                <w:szCs w:val="24"/>
              </w:rPr>
            </w:pPr>
          </w:p>
        </w:tc>
        <w:tc>
          <w:tcPr>
            <w:tcW w:w="460" w:type="dxa"/>
            <w:vAlign w:val="bottom"/>
          </w:tcPr>
          <w:p w14:paraId="2819DA2A" w14:textId="77777777" w:rsidR="004647B9" w:rsidRDefault="004647B9">
            <w:pPr>
              <w:rPr>
                <w:sz w:val="24"/>
                <w:szCs w:val="24"/>
              </w:rPr>
            </w:pPr>
          </w:p>
        </w:tc>
        <w:tc>
          <w:tcPr>
            <w:tcW w:w="1160" w:type="dxa"/>
            <w:vAlign w:val="bottom"/>
          </w:tcPr>
          <w:p w14:paraId="2819DA2B" w14:textId="77777777" w:rsidR="004647B9" w:rsidRDefault="004647B9">
            <w:pPr>
              <w:rPr>
                <w:sz w:val="24"/>
                <w:szCs w:val="24"/>
              </w:rPr>
            </w:pPr>
          </w:p>
        </w:tc>
        <w:tc>
          <w:tcPr>
            <w:tcW w:w="0" w:type="dxa"/>
            <w:vAlign w:val="bottom"/>
          </w:tcPr>
          <w:p w14:paraId="2819DA2C" w14:textId="77777777" w:rsidR="004647B9" w:rsidRDefault="004647B9">
            <w:pPr>
              <w:rPr>
                <w:sz w:val="1"/>
                <w:szCs w:val="1"/>
              </w:rPr>
            </w:pPr>
          </w:p>
        </w:tc>
      </w:tr>
      <w:tr w:rsidR="004647B9" w14:paraId="2819DA3F" w14:textId="77777777">
        <w:trPr>
          <w:trHeight w:val="281"/>
        </w:trPr>
        <w:tc>
          <w:tcPr>
            <w:tcW w:w="1020" w:type="dxa"/>
            <w:vAlign w:val="bottom"/>
          </w:tcPr>
          <w:p w14:paraId="2819DA2E" w14:textId="77777777" w:rsidR="004647B9" w:rsidRDefault="004647B9">
            <w:pPr>
              <w:rPr>
                <w:sz w:val="24"/>
                <w:szCs w:val="24"/>
              </w:rPr>
            </w:pPr>
          </w:p>
        </w:tc>
        <w:tc>
          <w:tcPr>
            <w:tcW w:w="180" w:type="dxa"/>
            <w:vAlign w:val="bottom"/>
          </w:tcPr>
          <w:p w14:paraId="2819DA2F" w14:textId="77777777" w:rsidR="004647B9" w:rsidRDefault="004647B9">
            <w:pPr>
              <w:rPr>
                <w:sz w:val="24"/>
                <w:szCs w:val="24"/>
              </w:rPr>
            </w:pPr>
          </w:p>
        </w:tc>
        <w:tc>
          <w:tcPr>
            <w:tcW w:w="2600" w:type="dxa"/>
            <w:gridSpan w:val="2"/>
            <w:vAlign w:val="bottom"/>
          </w:tcPr>
          <w:p w14:paraId="2819DA30"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A31"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A32" w14:textId="77777777" w:rsidR="004647B9" w:rsidRDefault="004647B9">
            <w:pPr>
              <w:rPr>
                <w:sz w:val="24"/>
                <w:szCs w:val="24"/>
              </w:rPr>
            </w:pPr>
          </w:p>
        </w:tc>
        <w:tc>
          <w:tcPr>
            <w:tcW w:w="560" w:type="dxa"/>
            <w:vAlign w:val="bottom"/>
          </w:tcPr>
          <w:p w14:paraId="2819DA33" w14:textId="77777777" w:rsidR="004647B9" w:rsidRDefault="004647B9">
            <w:pPr>
              <w:rPr>
                <w:sz w:val="24"/>
                <w:szCs w:val="24"/>
              </w:rPr>
            </w:pPr>
          </w:p>
        </w:tc>
        <w:tc>
          <w:tcPr>
            <w:tcW w:w="900" w:type="dxa"/>
            <w:vAlign w:val="bottom"/>
          </w:tcPr>
          <w:p w14:paraId="2819DA34" w14:textId="77777777" w:rsidR="004647B9" w:rsidRDefault="004647B9">
            <w:pPr>
              <w:rPr>
                <w:sz w:val="24"/>
                <w:szCs w:val="24"/>
              </w:rPr>
            </w:pPr>
          </w:p>
        </w:tc>
        <w:tc>
          <w:tcPr>
            <w:tcW w:w="260" w:type="dxa"/>
            <w:vAlign w:val="bottom"/>
          </w:tcPr>
          <w:p w14:paraId="2819DA35" w14:textId="77777777" w:rsidR="004647B9" w:rsidRDefault="004647B9">
            <w:pPr>
              <w:rPr>
                <w:sz w:val="24"/>
                <w:szCs w:val="24"/>
              </w:rPr>
            </w:pPr>
          </w:p>
        </w:tc>
        <w:tc>
          <w:tcPr>
            <w:tcW w:w="280" w:type="dxa"/>
            <w:vAlign w:val="bottom"/>
          </w:tcPr>
          <w:p w14:paraId="2819DA36" w14:textId="77777777" w:rsidR="004647B9" w:rsidRDefault="004647B9">
            <w:pPr>
              <w:rPr>
                <w:sz w:val="24"/>
                <w:szCs w:val="24"/>
              </w:rPr>
            </w:pPr>
          </w:p>
        </w:tc>
        <w:tc>
          <w:tcPr>
            <w:tcW w:w="540" w:type="dxa"/>
            <w:vAlign w:val="bottom"/>
          </w:tcPr>
          <w:p w14:paraId="2819DA37" w14:textId="77777777" w:rsidR="004647B9" w:rsidRDefault="004647B9">
            <w:pPr>
              <w:rPr>
                <w:sz w:val="24"/>
                <w:szCs w:val="24"/>
              </w:rPr>
            </w:pPr>
          </w:p>
        </w:tc>
        <w:tc>
          <w:tcPr>
            <w:tcW w:w="340" w:type="dxa"/>
            <w:vAlign w:val="bottom"/>
          </w:tcPr>
          <w:p w14:paraId="2819DA38" w14:textId="77777777" w:rsidR="004647B9" w:rsidRDefault="004647B9">
            <w:pPr>
              <w:rPr>
                <w:sz w:val="24"/>
                <w:szCs w:val="24"/>
              </w:rPr>
            </w:pPr>
          </w:p>
        </w:tc>
        <w:tc>
          <w:tcPr>
            <w:tcW w:w="180" w:type="dxa"/>
            <w:vAlign w:val="bottom"/>
          </w:tcPr>
          <w:p w14:paraId="2819DA39" w14:textId="77777777" w:rsidR="004647B9" w:rsidRDefault="004647B9">
            <w:pPr>
              <w:rPr>
                <w:sz w:val="24"/>
                <w:szCs w:val="24"/>
              </w:rPr>
            </w:pPr>
          </w:p>
        </w:tc>
        <w:tc>
          <w:tcPr>
            <w:tcW w:w="880" w:type="dxa"/>
            <w:vAlign w:val="bottom"/>
          </w:tcPr>
          <w:p w14:paraId="2819DA3A" w14:textId="77777777" w:rsidR="004647B9" w:rsidRDefault="004647B9">
            <w:pPr>
              <w:rPr>
                <w:sz w:val="24"/>
                <w:szCs w:val="24"/>
              </w:rPr>
            </w:pPr>
          </w:p>
        </w:tc>
        <w:tc>
          <w:tcPr>
            <w:tcW w:w="660" w:type="dxa"/>
            <w:vAlign w:val="bottom"/>
          </w:tcPr>
          <w:p w14:paraId="2819DA3B" w14:textId="77777777" w:rsidR="004647B9" w:rsidRDefault="004647B9">
            <w:pPr>
              <w:rPr>
                <w:sz w:val="24"/>
                <w:szCs w:val="24"/>
              </w:rPr>
            </w:pPr>
          </w:p>
        </w:tc>
        <w:tc>
          <w:tcPr>
            <w:tcW w:w="460" w:type="dxa"/>
            <w:vAlign w:val="bottom"/>
          </w:tcPr>
          <w:p w14:paraId="2819DA3C" w14:textId="77777777" w:rsidR="004647B9" w:rsidRDefault="004647B9">
            <w:pPr>
              <w:rPr>
                <w:sz w:val="24"/>
                <w:szCs w:val="24"/>
              </w:rPr>
            </w:pPr>
          </w:p>
        </w:tc>
        <w:tc>
          <w:tcPr>
            <w:tcW w:w="1160" w:type="dxa"/>
            <w:vAlign w:val="bottom"/>
          </w:tcPr>
          <w:p w14:paraId="2819DA3D" w14:textId="77777777" w:rsidR="004647B9" w:rsidRDefault="004647B9">
            <w:pPr>
              <w:rPr>
                <w:sz w:val="24"/>
                <w:szCs w:val="24"/>
              </w:rPr>
            </w:pPr>
          </w:p>
        </w:tc>
        <w:tc>
          <w:tcPr>
            <w:tcW w:w="0" w:type="dxa"/>
            <w:vAlign w:val="bottom"/>
          </w:tcPr>
          <w:p w14:paraId="2819DA3E" w14:textId="77777777" w:rsidR="004647B9" w:rsidRDefault="004647B9">
            <w:pPr>
              <w:rPr>
                <w:sz w:val="1"/>
                <w:szCs w:val="1"/>
              </w:rPr>
            </w:pPr>
          </w:p>
        </w:tc>
      </w:tr>
      <w:tr w:rsidR="004647B9" w14:paraId="2819DA51" w14:textId="77777777">
        <w:trPr>
          <w:trHeight w:val="278"/>
        </w:trPr>
        <w:tc>
          <w:tcPr>
            <w:tcW w:w="1020" w:type="dxa"/>
            <w:vAlign w:val="bottom"/>
          </w:tcPr>
          <w:p w14:paraId="2819DA40" w14:textId="77777777" w:rsidR="004647B9" w:rsidRDefault="004647B9">
            <w:pPr>
              <w:rPr>
                <w:sz w:val="24"/>
                <w:szCs w:val="24"/>
              </w:rPr>
            </w:pPr>
          </w:p>
        </w:tc>
        <w:tc>
          <w:tcPr>
            <w:tcW w:w="180" w:type="dxa"/>
            <w:vAlign w:val="bottom"/>
          </w:tcPr>
          <w:p w14:paraId="2819DA41" w14:textId="77777777" w:rsidR="004647B9" w:rsidRDefault="004647B9">
            <w:pPr>
              <w:rPr>
                <w:sz w:val="24"/>
                <w:szCs w:val="24"/>
              </w:rPr>
            </w:pPr>
          </w:p>
        </w:tc>
        <w:tc>
          <w:tcPr>
            <w:tcW w:w="2600" w:type="dxa"/>
            <w:gridSpan w:val="2"/>
            <w:vAlign w:val="bottom"/>
          </w:tcPr>
          <w:p w14:paraId="2819DA42" w14:textId="77777777" w:rsidR="004647B9" w:rsidRDefault="00E2436F">
            <w:pPr>
              <w:rPr>
                <w:sz w:val="20"/>
                <w:szCs w:val="20"/>
              </w:rPr>
            </w:pPr>
            <w:r>
              <w:rPr>
                <w:rFonts w:eastAsia="Times New Roman"/>
                <w:sz w:val="18"/>
                <w:szCs w:val="18"/>
              </w:rPr>
              <w:t>Atomic Absorption Direct</w:t>
            </w:r>
          </w:p>
        </w:tc>
        <w:tc>
          <w:tcPr>
            <w:tcW w:w="380" w:type="dxa"/>
            <w:vAlign w:val="bottom"/>
          </w:tcPr>
          <w:p w14:paraId="2819DA43" w14:textId="77777777" w:rsidR="004647B9" w:rsidRDefault="004647B9">
            <w:pPr>
              <w:rPr>
                <w:sz w:val="24"/>
                <w:szCs w:val="24"/>
              </w:rPr>
            </w:pPr>
          </w:p>
        </w:tc>
        <w:tc>
          <w:tcPr>
            <w:tcW w:w="480" w:type="dxa"/>
            <w:vAlign w:val="bottom"/>
          </w:tcPr>
          <w:p w14:paraId="2819DA44" w14:textId="77777777" w:rsidR="004647B9" w:rsidRDefault="004647B9">
            <w:pPr>
              <w:rPr>
                <w:sz w:val="24"/>
                <w:szCs w:val="24"/>
              </w:rPr>
            </w:pPr>
          </w:p>
        </w:tc>
        <w:tc>
          <w:tcPr>
            <w:tcW w:w="40" w:type="dxa"/>
            <w:vAlign w:val="bottom"/>
          </w:tcPr>
          <w:p w14:paraId="2819DA45" w14:textId="77777777" w:rsidR="004647B9" w:rsidRDefault="004647B9">
            <w:pPr>
              <w:rPr>
                <w:sz w:val="24"/>
                <w:szCs w:val="24"/>
              </w:rPr>
            </w:pPr>
          </w:p>
        </w:tc>
        <w:tc>
          <w:tcPr>
            <w:tcW w:w="560" w:type="dxa"/>
            <w:vAlign w:val="bottom"/>
          </w:tcPr>
          <w:p w14:paraId="2819DA46" w14:textId="77777777" w:rsidR="004647B9" w:rsidRDefault="004647B9">
            <w:pPr>
              <w:rPr>
                <w:sz w:val="24"/>
                <w:szCs w:val="24"/>
              </w:rPr>
            </w:pPr>
          </w:p>
        </w:tc>
        <w:tc>
          <w:tcPr>
            <w:tcW w:w="900" w:type="dxa"/>
            <w:vAlign w:val="bottom"/>
          </w:tcPr>
          <w:p w14:paraId="2819DA47" w14:textId="77777777" w:rsidR="004647B9" w:rsidRDefault="004647B9">
            <w:pPr>
              <w:rPr>
                <w:sz w:val="24"/>
                <w:szCs w:val="24"/>
              </w:rPr>
            </w:pPr>
          </w:p>
        </w:tc>
        <w:tc>
          <w:tcPr>
            <w:tcW w:w="260" w:type="dxa"/>
            <w:vAlign w:val="bottom"/>
          </w:tcPr>
          <w:p w14:paraId="2819DA48" w14:textId="77777777" w:rsidR="004647B9" w:rsidRDefault="004647B9">
            <w:pPr>
              <w:rPr>
                <w:sz w:val="24"/>
                <w:szCs w:val="24"/>
              </w:rPr>
            </w:pPr>
          </w:p>
        </w:tc>
        <w:tc>
          <w:tcPr>
            <w:tcW w:w="820" w:type="dxa"/>
            <w:gridSpan w:val="2"/>
            <w:vAlign w:val="bottom"/>
          </w:tcPr>
          <w:p w14:paraId="2819DA49" w14:textId="77777777" w:rsidR="004647B9" w:rsidRDefault="00E2436F">
            <w:pPr>
              <w:rPr>
                <w:sz w:val="20"/>
                <w:szCs w:val="20"/>
              </w:rPr>
            </w:pPr>
            <w:r>
              <w:rPr>
                <w:rFonts w:eastAsia="Times New Roman"/>
                <w:sz w:val="18"/>
                <w:szCs w:val="18"/>
              </w:rPr>
              <w:t>3111B</w:t>
            </w:r>
          </w:p>
        </w:tc>
        <w:tc>
          <w:tcPr>
            <w:tcW w:w="340" w:type="dxa"/>
            <w:vAlign w:val="bottom"/>
          </w:tcPr>
          <w:p w14:paraId="2819DA4A" w14:textId="77777777" w:rsidR="004647B9" w:rsidRDefault="004647B9">
            <w:pPr>
              <w:rPr>
                <w:sz w:val="24"/>
                <w:szCs w:val="24"/>
              </w:rPr>
            </w:pPr>
          </w:p>
        </w:tc>
        <w:tc>
          <w:tcPr>
            <w:tcW w:w="180" w:type="dxa"/>
            <w:vAlign w:val="bottom"/>
          </w:tcPr>
          <w:p w14:paraId="2819DA4B" w14:textId="77777777" w:rsidR="004647B9" w:rsidRDefault="004647B9">
            <w:pPr>
              <w:rPr>
                <w:sz w:val="24"/>
                <w:szCs w:val="24"/>
              </w:rPr>
            </w:pPr>
          </w:p>
        </w:tc>
        <w:tc>
          <w:tcPr>
            <w:tcW w:w="880" w:type="dxa"/>
            <w:vAlign w:val="bottom"/>
          </w:tcPr>
          <w:p w14:paraId="2819DA4C" w14:textId="77777777" w:rsidR="004647B9" w:rsidRDefault="00E2436F">
            <w:pPr>
              <w:rPr>
                <w:sz w:val="20"/>
                <w:szCs w:val="20"/>
              </w:rPr>
            </w:pPr>
            <w:r>
              <w:rPr>
                <w:rFonts w:eastAsia="Times New Roman"/>
                <w:sz w:val="18"/>
                <w:szCs w:val="18"/>
              </w:rPr>
              <w:t>3113B-99</w:t>
            </w:r>
          </w:p>
        </w:tc>
        <w:tc>
          <w:tcPr>
            <w:tcW w:w="660" w:type="dxa"/>
            <w:vAlign w:val="bottom"/>
          </w:tcPr>
          <w:p w14:paraId="2819DA4D" w14:textId="77777777" w:rsidR="004647B9" w:rsidRDefault="004647B9">
            <w:pPr>
              <w:rPr>
                <w:sz w:val="24"/>
                <w:szCs w:val="24"/>
              </w:rPr>
            </w:pPr>
          </w:p>
        </w:tc>
        <w:tc>
          <w:tcPr>
            <w:tcW w:w="460" w:type="dxa"/>
            <w:vAlign w:val="bottom"/>
          </w:tcPr>
          <w:p w14:paraId="2819DA4E" w14:textId="77777777" w:rsidR="004647B9" w:rsidRDefault="004647B9">
            <w:pPr>
              <w:rPr>
                <w:sz w:val="24"/>
                <w:szCs w:val="24"/>
              </w:rPr>
            </w:pPr>
          </w:p>
        </w:tc>
        <w:tc>
          <w:tcPr>
            <w:tcW w:w="1160" w:type="dxa"/>
            <w:vAlign w:val="bottom"/>
          </w:tcPr>
          <w:p w14:paraId="2819DA4F" w14:textId="77777777" w:rsidR="004647B9" w:rsidRDefault="004647B9">
            <w:pPr>
              <w:rPr>
                <w:sz w:val="24"/>
                <w:szCs w:val="24"/>
              </w:rPr>
            </w:pPr>
          </w:p>
        </w:tc>
        <w:tc>
          <w:tcPr>
            <w:tcW w:w="0" w:type="dxa"/>
            <w:vAlign w:val="bottom"/>
          </w:tcPr>
          <w:p w14:paraId="2819DA50" w14:textId="77777777" w:rsidR="004647B9" w:rsidRDefault="004647B9">
            <w:pPr>
              <w:rPr>
                <w:sz w:val="1"/>
                <w:szCs w:val="1"/>
              </w:rPr>
            </w:pPr>
          </w:p>
        </w:tc>
      </w:tr>
      <w:tr w:rsidR="004647B9" w14:paraId="2819DA61" w14:textId="77777777">
        <w:trPr>
          <w:trHeight w:val="281"/>
        </w:trPr>
        <w:tc>
          <w:tcPr>
            <w:tcW w:w="1020" w:type="dxa"/>
            <w:vAlign w:val="bottom"/>
          </w:tcPr>
          <w:p w14:paraId="2819DA52" w14:textId="77777777" w:rsidR="004647B9" w:rsidRDefault="004647B9">
            <w:pPr>
              <w:rPr>
                <w:sz w:val="24"/>
                <w:szCs w:val="24"/>
              </w:rPr>
            </w:pPr>
          </w:p>
        </w:tc>
        <w:tc>
          <w:tcPr>
            <w:tcW w:w="180" w:type="dxa"/>
            <w:vAlign w:val="bottom"/>
          </w:tcPr>
          <w:p w14:paraId="2819DA53" w14:textId="77777777" w:rsidR="004647B9" w:rsidRDefault="004647B9">
            <w:pPr>
              <w:rPr>
                <w:sz w:val="24"/>
                <w:szCs w:val="24"/>
              </w:rPr>
            </w:pPr>
          </w:p>
        </w:tc>
        <w:tc>
          <w:tcPr>
            <w:tcW w:w="2600" w:type="dxa"/>
            <w:gridSpan w:val="2"/>
            <w:vAlign w:val="bottom"/>
          </w:tcPr>
          <w:p w14:paraId="2819DA54" w14:textId="77777777" w:rsidR="004647B9" w:rsidRDefault="00E2436F">
            <w:pPr>
              <w:rPr>
                <w:sz w:val="20"/>
                <w:szCs w:val="20"/>
              </w:rPr>
            </w:pPr>
            <w:r>
              <w:rPr>
                <w:rFonts w:eastAsia="Times New Roman"/>
                <w:sz w:val="18"/>
                <w:szCs w:val="18"/>
              </w:rPr>
              <w:t>Inductively Coupled Plasma</w:t>
            </w:r>
          </w:p>
        </w:tc>
        <w:tc>
          <w:tcPr>
            <w:tcW w:w="860" w:type="dxa"/>
            <w:gridSpan w:val="2"/>
            <w:vAlign w:val="bottom"/>
          </w:tcPr>
          <w:p w14:paraId="2819DA55"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200.7</w:t>
            </w:r>
          </w:p>
        </w:tc>
        <w:tc>
          <w:tcPr>
            <w:tcW w:w="40" w:type="dxa"/>
            <w:vAlign w:val="bottom"/>
          </w:tcPr>
          <w:p w14:paraId="2819DA56" w14:textId="77777777" w:rsidR="004647B9" w:rsidRDefault="004647B9">
            <w:pPr>
              <w:rPr>
                <w:sz w:val="24"/>
                <w:szCs w:val="24"/>
              </w:rPr>
            </w:pPr>
          </w:p>
        </w:tc>
        <w:tc>
          <w:tcPr>
            <w:tcW w:w="560" w:type="dxa"/>
            <w:vAlign w:val="bottom"/>
          </w:tcPr>
          <w:p w14:paraId="2819DA57" w14:textId="77777777" w:rsidR="004647B9" w:rsidRDefault="004647B9">
            <w:pPr>
              <w:rPr>
                <w:sz w:val="24"/>
                <w:szCs w:val="24"/>
              </w:rPr>
            </w:pPr>
          </w:p>
        </w:tc>
        <w:tc>
          <w:tcPr>
            <w:tcW w:w="900" w:type="dxa"/>
            <w:vAlign w:val="bottom"/>
          </w:tcPr>
          <w:p w14:paraId="2819DA58" w14:textId="77777777" w:rsidR="004647B9" w:rsidRDefault="004647B9">
            <w:pPr>
              <w:rPr>
                <w:sz w:val="24"/>
                <w:szCs w:val="24"/>
              </w:rPr>
            </w:pPr>
          </w:p>
        </w:tc>
        <w:tc>
          <w:tcPr>
            <w:tcW w:w="260" w:type="dxa"/>
            <w:vAlign w:val="bottom"/>
          </w:tcPr>
          <w:p w14:paraId="2819DA59" w14:textId="77777777" w:rsidR="004647B9" w:rsidRDefault="004647B9">
            <w:pPr>
              <w:rPr>
                <w:sz w:val="24"/>
                <w:szCs w:val="24"/>
              </w:rPr>
            </w:pPr>
          </w:p>
        </w:tc>
        <w:tc>
          <w:tcPr>
            <w:tcW w:w="820" w:type="dxa"/>
            <w:gridSpan w:val="2"/>
            <w:vAlign w:val="bottom"/>
          </w:tcPr>
          <w:p w14:paraId="2819DA5A" w14:textId="77777777" w:rsidR="004647B9" w:rsidRDefault="00E2436F">
            <w:pPr>
              <w:rPr>
                <w:sz w:val="20"/>
                <w:szCs w:val="20"/>
              </w:rPr>
            </w:pPr>
            <w:r>
              <w:rPr>
                <w:rFonts w:eastAsia="Times New Roman"/>
                <w:sz w:val="18"/>
                <w:szCs w:val="18"/>
              </w:rPr>
              <w:t>3120B</w:t>
            </w:r>
          </w:p>
        </w:tc>
        <w:tc>
          <w:tcPr>
            <w:tcW w:w="340" w:type="dxa"/>
            <w:vAlign w:val="bottom"/>
          </w:tcPr>
          <w:p w14:paraId="2819DA5B" w14:textId="77777777" w:rsidR="004647B9" w:rsidRDefault="004647B9">
            <w:pPr>
              <w:rPr>
                <w:sz w:val="24"/>
                <w:szCs w:val="24"/>
              </w:rPr>
            </w:pPr>
          </w:p>
        </w:tc>
        <w:tc>
          <w:tcPr>
            <w:tcW w:w="1060" w:type="dxa"/>
            <w:gridSpan w:val="2"/>
            <w:vAlign w:val="bottom"/>
          </w:tcPr>
          <w:p w14:paraId="2819DA5C" w14:textId="77777777" w:rsidR="004647B9" w:rsidRDefault="00E2436F">
            <w:pPr>
              <w:ind w:left="180"/>
              <w:rPr>
                <w:sz w:val="20"/>
                <w:szCs w:val="20"/>
              </w:rPr>
            </w:pPr>
            <w:r>
              <w:rPr>
                <w:rFonts w:eastAsia="Times New Roman"/>
                <w:sz w:val="18"/>
                <w:szCs w:val="18"/>
              </w:rPr>
              <w:t>3120-99</w:t>
            </w:r>
          </w:p>
        </w:tc>
        <w:tc>
          <w:tcPr>
            <w:tcW w:w="660" w:type="dxa"/>
            <w:vAlign w:val="bottom"/>
          </w:tcPr>
          <w:p w14:paraId="2819DA5D" w14:textId="77777777" w:rsidR="004647B9" w:rsidRDefault="004647B9">
            <w:pPr>
              <w:rPr>
                <w:sz w:val="24"/>
                <w:szCs w:val="24"/>
              </w:rPr>
            </w:pPr>
          </w:p>
        </w:tc>
        <w:tc>
          <w:tcPr>
            <w:tcW w:w="460" w:type="dxa"/>
            <w:vAlign w:val="bottom"/>
          </w:tcPr>
          <w:p w14:paraId="2819DA5E" w14:textId="77777777" w:rsidR="004647B9" w:rsidRDefault="004647B9">
            <w:pPr>
              <w:rPr>
                <w:sz w:val="24"/>
                <w:szCs w:val="24"/>
              </w:rPr>
            </w:pPr>
          </w:p>
        </w:tc>
        <w:tc>
          <w:tcPr>
            <w:tcW w:w="1160" w:type="dxa"/>
            <w:vAlign w:val="bottom"/>
          </w:tcPr>
          <w:p w14:paraId="2819DA5F" w14:textId="77777777" w:rsidR="004647B9" w:rsidRDefault="004647B9">
            <w:pPr>
              <w:rPr>
                <w:sz w:val="24"/>
                <w:szCs w:val="24"/>
              </w:rPr>
            </w:pPr>
          </w:p>
        </w:tc>
        <w:tc>
          <w:tcPr>
            <w:tcW w:w="0" w:type="dxa"/>
            <w:vAlign w:val="bottom"/>
          </w:tcPr>
          <w:p w14:paraId="2819DA60" w14:textId="77777777" w:rsidR="004647B9" w:rsidRDefault="004647B9">
            <w:pPr>
              <w:rPr>
                <w:sz w:val="1"/>
                <w:szCs w:val="1"/>
              </w:rPr>
            </w:pPr>
          </w:p>
        </w:tc>
      </w:tr>
      <w:tr w:rsidR="004647B9" w14:paraId="2819DA73" w14:textId="77777777">
        <w:trPr>
          <w:trHeight w:val="278"/>
        </w:trPr>
        <w:tc>
          <w:tcPr>
            <w:tcW w:w="1020" w:type="dxa"/>
            <w:vAlign w:val="bottom"/>
          </w:tcPr>
          <w:p w14:paraId="2819DA62" w14:textId="77777777" w:rsidR="004647B9" w:rsidRDefault="004647B9">
            <w:pPr>
              <w:rPr>
                <w:sz w:val="24"/>
                <w:szCs w:val="24"/>
              </w:rPr>
            </w:pPr>
          </w:p>
        </w:tc>
        <w:tc>
          <w:tcPr>
            <w:tcW w:w="180" w:type="dxa"/>
            <w:vAlign w:val="bottom"/>
          </w:tcPr>
          <w:p w14:paraId="2819DA63" w14:textId="77777777" w:rsidR="004647B9" w:rsidRDefault="004647B9">
            <w:pPr>
              <w:rPr>
                <w:sz w:val="24"/>
                <w:szCs w:val="24"/>
              </w:rPr>
            </w:pPr>
          </w:p>
        </w:tc>
        <w:tc>
          <w:tcPr>
            <w:tcW w:w="2600" w:type="dxa"/>
            <w:gridSpan w:val="2"/>
            <w:vAlign w:val="bottom"/>
          </w:tcPr>
          <w:p w14:paraId="2819DA64" w14:textId="77777777" w:rsidR="004647B9" w:rsidRDefault="00E2436F">
            <w:pPr>
              <w:rPr>
                <w:sz w:val="20"/>
                <w:szCs w:val="20"/>
              </w:rPr>
            </w:pPr>
            <w:r>
              <w:rPr>
                <w:rFonts w:eastAsia="Times New Roman"/>
                <w:sz w:val="18"/>
                <w:szCs w:val="18"/>
              </w:rPr>
              <w:t>ICP-Mass Spectrometry</w:t>
            </w:r>
          </w:p>
        </w:tc>
        <w:tc>
          <w:tcPr>
            <w:tcW w:w="860" w:type="dxa"/>
            <w:gridSpan w:val="2"/>
            <w:vAlign w:val="bottom"/>
          </w:tcPr>
          <w:p w14:paraId="2819DA65"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A66" w14:textId="77777777" w:rsidR="004647B9" w:rsidRDefault="004647B9">
            <w:pPr>
              <w:rPr>
                <w:sz w:val="24"/>
                <w:szCs w:val="24"/>
              </w:rPr>
            </w:pPr>
          </w:p>
        </w:tc>
        <w:tc>
          <w:tcPr>
            <w:tcW w:w="560" w:type="dxa"/>
            <w:vAlign w:val="bottom"/>
          </w:tcPr>
          <w:p w14:paraId="2819DA67" w14:textId="77777777" w:rsidR="004647B9" w:rsidRDefault="004647B9">
            <w:pPr>
              <w:rPr>
                <w:sz w:val="24"/>
                <w:szCs w:val="24"/>
              </w:rPr>
            </w:pPr>
          </w:p>
        </w:tc>
        <w:tc>
          <w:tcPr>
            <w:tcW w:w="900" w:type="dxa"/>
            <w:vAlign w:val="bottom"/>
          </w:tcPr>
          <w:p w14:paraId="2819DA68" w14:textId="77777777" w:rsidR="004647B9" w:rsidRDefault="004647B9">
            <w:pPr>
              <w:rPr>
                <w:sz w:val="24"/>
                <w:szCs w:val="24"/>
              </w:rPr>
            </w:pPr>
          </w:p>
        </w:tc>
        <w:tc>
          <w:tcPr>
            <w:tcW w:w="260" w:type="dxa"/>
            <w:vAlign w:val="bottom"/>
          </w:tcPr>
          <w:p w14:paraId="2819DA69" w14:textId="77777777" w:rsidR="004647B9" w:rsidRDefault="004647B9">
            <w:pPr>
              <w:rPr>
                <w:sz w:val="24"/>
                <w:szCs w:val="24"/>
              </w:rPr>
            </w:pPr>
          </w:p>
        </w:tc>
        <w:tc>
          <w:tcPr>
            <w:tcW w:w="280" w:type="dxa"/>
            <w:vAlign w:val="bottom"/>
          </w:tcPr>
          <w:p w14:paraId="2819DA6A" w14:textId="77777777" w:rsidR="004647B9" w:rsidRDefault="004647B9">
            <w:pPr>
              <w:rPr>
                <w:sz w:val="24"/>
                <w:szCs w:val="24"/>
              </w:rPr>
            </w:pPr>
          </w:p>
        </w:tc>
        <w:tc>
          <w:tcPr>
            <w:tcW w:w="540" w:type="dxa"/>
            <w:vAlign w:val="bottom"/>
          </w:tcPr>
          <w:p w14:paraId="2819DA6B" w14:textId="77777777" w:rsidR="004647B9" w:rsidRDefault="004647B9">
            <w:pPr>
              <w:rPr>
                <w:sz w:val="24"/>
                <w:szCs w:val="24"/>
              </w:rPr>
            </w:pPr>
          </w:p>
        </w:tc>
        <w:tc>
          <w:tcPr>
            <w:tcW w:w="340" w:type="dxa"/>
            <w:vAlign w:val="bottom"/>
          </w:tcPr>
          <w:p w14:paraId="2819DA6C" w14:textId="77777777" w:rsidR="004647B9" w:rsidRDefault="004647B9">
            <w:pPr>
              <w:rPr>
                <w:sz w:val="24"/>
                <w:szCs w:val="24"/>
              </w:rPr>
            </w:pPr>
          </w:p>
        </w:tc>
        <w:tc>
          <w:tcPr>
            <w:tcW w:w="180" w:type="dxa"/>
            <w:vAlign w:val="bottom"/>
          </w:tcPr>
          <w:p w14:paraId="2819DA6D" w14:textId="77777777" w:rsidR="004647B9" w:rsidRDefault="004647B9">
            <w:pPr>
              <w:rPr>
                <w:sz w:val="24"/>
                <w:szCs w:val="24"/>
              </w:rPr>
            </w:pPr>
          </w:p>
        </w:tc>
        <w:tc>
          <w:tcPr>
            <w:tcW w:w="880" w:type="dxa"/>
            <w:vAlign w:val="bottom"/>
          </w:tcPr>
          <w:p w14:paraId="2819DA6E" w14:textId="77777777" w:rsidR="004647B9" w:rsidRDefault="004647B9">
            <w:pPr>
              <w:rPr>
                <w:sz w:val="24"/>
                <w:szCs w:val="24"/>
              </w:rPr>
            </w:pPr>
          </w:p>
        </w:tc>
        <w:tc>
          <w:tcPr>
            <w:tcW w:w="660" w:type="dxa"/>
            <w:vAlign w:val="bottom"/>
          </w:tcPr>
          <w:p w14:paraId="2819DA6F" w14:textId="77777777" w:rsidR="004647B9" w:rsidRDefault="004647B9">
            <w:pPr>
              <w:rPr>
                <w:sz w:val="24"/>
                <w:szCs w:val="24"/>
              </w:rPr>
            </w:pPr>
          </w:p>
        </w:tc>
        <w:tc>
          <w:tcPr>
            <w:tcW w:w="460" w:type="dxa"/>
            <w:vAlign w:val="bottom"/>
          </w:tcPr>
          <w:p w14:paraId="2819DA70" w14:textId="77777777" w:rsidR="004647B9" w:rsidRDefault="004647B9">
            <w:pPr>
              <w:rPr>
                <w:sz w:val="24"/>
                <w:szCs w:val="24"/>
              </w:rPr>
            </w:pPr>
          </w:p>
        </w:tc>
        <w:tc>
          <w:tcPr>
            <w:tcW w:w="1160" w:type="dxa"/>
            <w:vAlign w:val="bottom"/>
          </w:tcPr>
          <w:p w14:paraId="2819DA71" w14:textId="77777777" w:rsidR="004647B9" w:rsidRDefault="004647B9">
            <w:pPr>
              <w:rPr>
                <w:sz w:val="24"/>
                <w:szCs w:val="24"/>
              </w:rPr>
            </w:pPr>
          </w:p>
        </w:tc>
        <w:tc>
          <w:tcPr>
            <w:tcW w:w="0" w:type="dxa"/>
            <w:vAlign w:val="bottom"/>
          </w:tcPr>
          <w:p w14:paraId="2819DA72" w14:textId="77777777" w:rsidR="004647B9" w:rsidRDefault="004647B9">
            <w:pPr>
              <w:rPr>
                <w:sz w:val="1"/>
                <w:szCs w:val="1"/>
              </w:rPr>
            </w:pPr>
          </w:p>
        </w:tc>
      </w:tr>
      <w:tr w:rsidR="004647B9" w14:paraId="2819DA84" w14:textId="77777777">
        <w:trPr>
          <w:trHeight w:val="305"/>
        </w:trPr>
        <w:tc>
          <w:tcPr>
            <w:tcW w:w="1020" w:type="dxa"/>
            <w:vAlign w:val="bottom"/>
          </w:tcPr>
          <w:p w14:paraId="2819DA74" w14:textId="77777777" w:rsidR="004647B9" w:rsidRDefault="00E2436F">
            <w:pPr>
              <w:rPr>
                <w:sz w:val="20"/>
                <w:szCs w:val="20"/>
              </w:rPr>
            </w:pPr>
            <w:r>
              <w:rPr>
                <w:rFonts w:eastAsia="Times New Roman"/>
                <w:sz w:val="18"/>
                <w:szCs w:val="18"/>
              </w:rPr>
              <w:t>Nitrate</w:t>
            </w:r>
          </w:p>
        </w:tc>
        <w:tc>
          <w:tcPr>
            <w:tcW w:w="180" w:type="dxa"/>
            <w:vAlign w:val="bottom"/>
          </w:tcPr>
          <w:p w14:paraId="2819DA75" w14:textId="77777777" w:rsidR="004647B9" w:rsidRDefault="004647B9">
            <w:pPr>
              <w:rPr>
                <w:sz w:val="24"/>
                <w:szCs w:val="24"/>
              </w:rPr>
            </w:pPr>
          </w:p>
        </w:tc>
        <w:tc>
          <w:tcPr>
            <w:tcW w:w="2600" w:type="dxa"/>
            <w:gridSpan w:val="2"/>
            <w:vAlign w:val="bottom"/>
          </w:tcPr>
          <w:p w14:paraId="2819DA76" w14:textId="77777777" w:rsidR="004647B9" w:rsidRDefault="00E2436F">
            <w:pPr>
              <w:rPr>
                <w:sz w:val="20"/>
                <w:szCs w:val="20"/>
              </w:rPr>
            </w:pPr>
            <w:r>
              <w:rPr>
                <w:rFonts w:eastAsia="Times New Roman"/>
                <w:sz w:val="18"/>
                <w:szCs w:val="18"/>
              </w:rPr>
              <w:t>Manual cadmium reduction</w:t>
            </w:r>
          </w:p>
        </w:tc>
        <w:tc>
          <w:tcPr>
            <w:tcW w:w="380" w:type="dxa"/>
            <w:vAlign w:val="bottom"/>
          </w:tcPr>
          <w:p w14:paraId="2819DA77" w14:textId="77777777" w:rsidR="004647B9" w:rsidRDefault="004647B9">
            <w:pPr>
              <w:rPr>
                <w:sz w:val="24"/>
                <w:szCs w:val="24"/>
              </w:rPr>
            </w:pPr>
          </w:p>
        </w:tc>
        <w:tc>
          <w:tcPr>
            <w:tcW w:w="480" w:type="dxa"/>
            <w:vAlign w:val="bottom"/>
          </w:tcPr>
          <w:p w14:paraId="2819DA78" w14:textId="77777777" w:rsidR="004647B9" w:rsidRDefault="004647B9">
            <w:pPr>
              <w:rPr>
                <w:sz w:val="24"/>
                <w:szCs w:val="24"/>
              </w:rPr>
            </w:pPr>
          </w:p>
        </w:tc>
        <w:tc>
          <w:tcPr>
            <w:tcW w:w="40" w:type="dxa"/>
            <w:vAlign w:val="bottom"/>
          </w:tcPr>
          <w:p w14:paraId="2819DA79" w14:textId="77777777" w:rsidR="004647B9" w:rsidRDefault="004647B9">
            <w:pPr>
              <w:rPr>
                <w:sz w:val="24"/>
                <w:szCs w:val="24"/>
              </w:rPr>
            </w:pPr>
          </w:p>
        </w:tc>
        <w:tc>
          <w:tcPr>
            <w:tcW w:w="1460" w:type="dxa"/>
            <w:gridSpan w:val="2"/>
            <w:vAlign w:val="bottom"/>
          </w:tcPr>
          <w:p w14:paraId="2819DA7A" w14:textId="77777777" w:rsidR="004647B9" w:rsidRDefault="00E2436F">
            <w:pPr>
              <w:rPr>
                <w:sz w:val="20"/>
                <w:szCs w:val="20"/>
              </w:rPr>
            </w:pPr>
            <w:r>
              <w:rPr>
                <w:rFonts w:eastAsia="Times New Roman"/>
                <w:sz w:val="18"/>
                <w:szCs w:val="18"/>
              </w:rPr>
              <w:t>D3867-90B</w:t>
            </w:r>
          </w:p>
        </w:tc>
        <w:tc>
          <w:tcPr>
            <w:tcW w:w="260" w:type="dxa"/>
            <w:vAlign w:val="bottom"/>
          </w:tcPr>
          <w:p w14:paraId="2819DA7B" w14:textId="77777777" w:rsidR="004647B9" w:rsidRDefault="004647B9">
            <w:pPr>
              <w:rPr>
                <w:sz w:val="24"/>
                <w:szCs w:val="24"/>
              </w:rPr>
            </w:pPr>
          </w:p>
        </w:tc>
        <w:tc>
          <w:tcPr>
            <w:tcW w:w="820" w:type="dxa"/>
            <w:gridSpan w:val="2"/>
            <w:vAlign w:val="bottom"/>
          </w:tcPr>
          <w:p w14:paraId="2819DA7C"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A7D" w14:textId="77777777" w:rsidR="004647B9" w:rsidRDefault="00E2436F">
            <w:pPr>
              <w:rPr>
                <w:sz w:val="20"/>
                <w:szCs w:val="20"/>
              </w:rPr>
            </w:pPr>
            <w:r>
              <w:rPr>
                <w:rFonts w:eastAsia="Times New Roman"/>
                <w:sz w:val="24"/>
                <w:szCs w:val="24"/>
                <w:vertAlign w:val="superscript"/>
              </w:rPr>
              <w:t>-</w:t>
            </w:r>
            <w:r>
              <w:rPr>
                <w:rFonts w:eastAsia="Times New Roman"/>
                <w:sz w:val="18"/>
                <w:szCs w:val="18"/>
              </w:rPr>
              <w:t>E</w:t>
            </w:r>
          </w:p>
        </w:tc>
        <w:tc>
          <w:tcPr>
            <w:tcW w:w="180" w:type="dxa"/>
            <w:vAlign w:val="bottom"/>
          </w:tcPr>
          <w:p w14:paraId="2819DA7E" w14:textId="77777777" w:rsidR="004647B9" w:rsidRDefault="004647B9">
            <w:pPr>
              <w:rPr>
                <w:sz w:val="24"/>
                <w:szCs w:val="24"/>
              </w:rPr>
            </w:pPr>
          </w:p>
        </w:tc>
        <w:tc>
          <w:tcPr>
            <w:tcW w:w="880" w:type="dxa"/>
            <w:vAlign w:val="bottom"/>
          </w:tcPr>
          <w:p w14:paraId="2819DA7F"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A80" w14:textId="77777777" w:rsidR="004647B9" w:rsidRDefault="00E2436F">
            <w:pPr>
              <w:rPr>
                <w:sz w:val="20"/>
                <w:szCs w:val="20"/>
              </w:rPr>
            </w:pPr>
            <w:r>
              <w:rPr>
                <w:rFonts w:eastAsia="Times New Roman"/>
                <w:sz w:val="24"/>
                <w:szCs w:val="24"/>
                <w:vertAlign w:val="superscript"/>
              </w:rPr>
              <w:t>-</w:t>
            </w:r>
            <w:r>
              <w:rPr>
                <w:rFonts w:eastAsia="Times New Roman"/>
                <w:sz w:val="18"/>
                <w:szCs w:val="18"/>
              </w:rPr>
              <w:t>E-00</w:t>
            </w:r>
          </w:p>
        </w:tc>
        <w:tc>
          <w:tcPr>
            <w:tcW w:w="460" w:type="dxa"/>
            <w:vAlign w:val="bottom"/>
          </w:tcPr>
          <w:p w14:paraId="2819DA81" w14:textId="77777777" w:rsidR="004647B9" w:rsidRDefault="004647B9">
            <w:pPr>
              <w:rPr>
                <w:sz w:val="24"/>
                <w:szCs w:val="24"/>
              </w:rPr>
            </w:pPr>
          </w:p>
        </w:tc>
        <w:tc>
          <w:tcPr>
            <w:tcW w:w="1160" w:type="dxa"/>
            <w:vAlign w:val="bottom"/>
          </w:tcPr>
          <w:p w14:paraId="2819DA82" w14:textId="77777777" w:rsidR="004647B9" w:rsidRDefault="004647B9">
            <w:pPr>
              <w:rPr>
                <w:sz w:val="24"/>
                <w:szCs w:val="24"/>
              </w:rPr>
            </w:pPr>
          </w:p>
        </w:tc>
        <w:tc>
          <w:tcPr>
            <w:tcW w:w="0" w:type="dxa"/>
            <w:vAlign w:val="bottom"/>
          </w:tcPr>
          <w:p w14:paraId="2819DA83" w14:textId="77777777" w:rsidR="004647B9" w:rsidRDefault="004647B9">
            <w:pPr>
              <w:rPr>
                <w:sz w:val="1"/>
                <w:szCs w:val="1"/>
              </w:rPr>
            </w:pPr>
          </w:p>
        </w:tc>
      </w:tr>
      <w:tr w:rsidR="004647B9" w14:paraId="2819DA94" w14:textId="77777777">
        <w:trPr>
          <w:trHeight w:val="282"/>
        </w:trPr>
        <w:tc>
          <w:tcPr>
            <w:tcW w:w="1020" w:type="dxa"/>
            <w:vAlign w:val="bottom"/>
          </w:tcPr>
          <w:p w14:paraId="2819DA85" w14:textId="77777777" w:rsidR="004647B9" w:rsidRDefault="004647B9">
            <w:pPr>
              <w:rPr>
                <w:sz w:val="24"/>
                <w:szCs w:val="24"/>
              </w:rPr>
            </w:pPr>
          </w:p>
        </w:tc>
        <w:tc>
          <w:tcPr>
            <w:tcW w:w="180" w:type="dxa"/>
            <w:vAlign w:val="bottom"/>
          </w:tcPr>
          <w:p w14:paraId="2819DA86" w14:textId="77777777" w:rsidR="004647B9" w:rsidRDefault="004647B9">
            <w:pPr>
              <w:rPr>
                <w:sz w:val="24"/>
                <w:szCs w:val="24"/>
              </w:rPr>
            </w:pPr>
          </w:p>
        </w:tc>
        <w:tc>
          <w:tcPr>
            <w:tcW w:w="2600" w:type="dxa"/>
            <w:gridSpan w:val="2"/>
            <w:vAlign w:val="bottom"/>
          </w:tcPr>
          <w:p w14:paraId="2819DA87" w14:textId="77777777" w:rsidR="004647B9" w:rsidRDefault="00E2436F">
            <w:pPr>
              <w:rPr>
                <w:sz w:val="20"/>
                <w:szCs w:val="20"/>
              </w:rPr>
            </w:pPr>
            <w:r>
              <w:rPr>
                <w:rFonts w:eastAsia="Times New Roman"/>
                <w:sz w:val="18"/>
                <w:szCs w:val="18"/>
              </w:rPr>
              <w:t>Automated cadmium reduction</w:t>
            </w:r>
          </w:p>
        </w:tc>
        <w:tc>
          <w:tcPr>
            <w:tcW w:w="860" w:type="dxa"/>
            <w:gridSpan w:val="2"/>
            <w:vAlign w:val="bottom"/>
          </w:tcPr>
          <w:p w14:paraId="2819DA88" w14:textId="77777777" w:rsidR="004647B9" w:rsidRDefault="00E2436F">
            <w:pPr>
              <w:spacing w:line="253" w:lineRule="exact"/>
              <w:ind w:left="20"/>
              <w:rPr>
                <w:sz w:val="20"/>
                <w:szCs w:val="20"/>
              </w:rPr>
            </w:pPr>
            <w:r>
              <w:rPr>
                <w:rFonts w:eastAsia="Times New Roman"/>
                <w:sz w:val="24"/>
                <w:szCs w:val="24"/>
                <w:vertAlign w:val="superscript"/>
              </w:rPr>
              <w:t>6</w:t>
            </w:r>
            <w:r>
              <w:rPr>
                <w:rFonts w:eastAsia="Times New Roman"/>
                <w:sz w:val="18"/>
                <w:szCs w:val="18"/>
              </w:rPr>
              <w:t>353.2</w:t>
            </w:r>
          </w:p>
        </w:tc>
        <w:tc>
          <w:tcPr>
            <w:tcW w:w="40" w:type="dxa"/>
            <w:vAlign w:val="bottom"/>
          </w:tcPr>
          <w:p w14:paraId="2819DA89" w14:textId="77777777" w:rsidR="004647B9" w:rsidRDefault="004647B9">
            <w:pPr>
              <w:rPr>
                <w:sz w:val="24"/>
                <w:szCs w:val="24"/>
              </w:rPr>
            </w:pPr>
          </w:p>
        </w:tc>
        <w:tc>
          <w:tcPr>
            <w:tcW w:w="1460" w:type="dxa"/>
            <w:gridSpan w:val="2"/>
            <w:vAlign w:val="bottom"/>
          </w:tcPr>
          <w:p w14:paraId="2819DA8A" w14:textId="77777777" w:rsidR="004647B9" w:rsidRDefault="00E2436F">
            <w:pPr>
              <w:ind w:left="20"/>
              <w:rPr>
                <w:sz w:val="20"/>
                <w:szCs w:val="20"/>
              </w:rPr>
            </w:pPr>
            <w:r>
              <w:rPr>
                <w:rFonts w:eastAsia="Times New Roman"/>
                <w:sz w:val="18"/>
                <w:szCs w:val="18"/>
              </w:rPr>
              <w:t>D3867-90A</w:t>
            </w:r>
          </w:p>
        </w:tc>
        <w:tc>
          <w:tcPr>
            <w:tcW w:w="260" w:type="dxa"/>
            <w:vAlign w:val="bottom"/>
          </w:tcPr>
          <w:p w14:paraId="2819DA8B" w14:textId="77777777" w:rsidR="004647B9" w:rsidRDefault="004647B9">
            <w:pPr>
              <w:rPr>
                <w:sz w:val="24"/>
                <w:szCs w:val="24"/>
              </w:rPr>
            </w:pPr>
          </w:p>
        </w:tc>
        <w:tc>
          <w:tcPr>
            <w:tcW w:w="820" w:type="dxa"/>
            <w:gridSpan w:val="2"/>
            <w:vAlign w:val="bottom"/>
          </w:tcPr>
          <w:p w14:paraId="2819DA8C"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A8D" w14:textId="77777777" w:rsidR="004647B9" w:rsidRDefault="00E2436F">
            <w:pPr>
              <w:spacing w:line="281" w:lineRule="exact"/>
              <w:rPr>
                <w:sz w:val="20"/>
                <w:szCs w:val="20"/>
              </w:rPr>
            </w:pPr>
            <w:r>
              <w:rPr>
                <w:rFonts w:eastAsia="Times New Roman"/>
                <w:sz w:val="11"/>
                <w:szCs w:val="11"/>
              </w:rPr>
              <w:t>-</w:t>
            </w:r>
            <w:r>
              <w:rPr>
                <w:rFonts w:eastAsia="Times New Roman"/>
                <w:sz w:val="32"/>
                <w:szCs w:val="32"/>
                <w:vertAlign w:val="subscript"/>
              </w:rPr>
              <w:t>F</w:t>
            </w:r>
          </w:p>
        </w:tc>
        <w:tc>
          <w:tcPr>
            <w:tcW w:w="180" w:type="dxa"/>
            <w:vAlign w:val="bottom"/>
          </w:tcPr>
          <w:p w14:paraId="2819DA8E" w14:textId="77777777" w:rsidR="004647B9" w:rsidRDefault="004647B9">
            <w:pPr>
              <w:rPr>
                <w:sz w:val="24"/>
                <w:szCs w:val="24"/>
              </w:rPr>
            </w:pPr>
          </w:p>
        </w:tc>
        <w:tc>
          <w:tcPr>
            <w:tcW w:w="880" w:type="dxa"/>
            <w:vAlign w:val="bottom"/>
          </w:tcPr>
          <w:p w14:paraId="2819DA8F" w14:textId="77777777" w:rsidR="004647B9" w:rsidRDefault="00E2436F">
            <w:pPr>
              <w:ind w:left="20"/>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A90" w14:textId="77777777" w:rsidR="004647B9" w:rsidRDefault="00E2436F">
            <w:pPr>
              <w:spacing w:line="253" w:lineRule="exact"/>
              <w:rPr>
                <w:sz w:val="20"/>
                <w:szCs w:val="20"/>
              </w:rPr>
            </w:pPr>
            <w:r>
              <w:rPr>
                <w:rFonts w:eastAsia="Times New Roman"/>
                <w:sz w:val="24"/>
                <w:szCs w:val="24"/>
                <w:vertAlign w:val="superscript"/>
              </w:rPr>
              <w:t>-</w:t>
            </w:r>
            <w:r>
              <w:rPr>
                <w:rFonts w:eastAsia="Times New Roman"/>
                <w:sz w:val="18"/>
                <w:szCs w:val="18"/>
              </w:rPr>
              <w:t>F-00</w:t>
            </w:r>
          </w:p>
        </w:tc>
        <w:tc>
          <w:tcPr>
            <w:tcW w:w="460" w:type="dxa"/>
            <w:vAlign w:val="bottom"/>
          </w:tcPr>
          <w:p w14:paraId="2819DA91" w14:textId="77777777" w:rsidR="004647B9" w:rsidRDefault="004647B9">
            <w:pPr>
              <w:rPr>
                <w:sz w:val="24"/>
                <w:szCs w:val="24"/>
              </w:rPr>
            </w:pPr>
          </w:p>
        </w:tc>
        <w:tc>
          <w:tcPr>
            <w:tcW w:w="1160" w:type="dxa"/>
            <w:vAlign w:val="bottom"/>
          </w:tcPr>
          <w:p w14:paraId="2819DA92" w14:textId="77777777" w:rsidR="004647B9" w:rsidRDefault="004647B9">
            <w:pPr>
              <w:rPr>
                <w:sz w:val="24"/>
                <w:szCs w:val="24"/>
              </w:rPr>
            </w:pPr>
          </w:p>
        </w:tc>
        <w:tc>
          <w:tcPr>
            <w:tcW w:w="0" w:type="dxa"/>
            <w:vAlign w:val="bottom"/>
          </w:tcPr>
          <w:p w14:paraId="2819DA93" w14:textId="77777777" w:rsidR="004647B9" w:rsidRDefault="004647B9">
            <w:pPr>
              <w:rPr>
                <w:sz w:val="1"/>
                <w:szCs w:val="1"/>
              </w:rPr>
            </w:pPr>
          </w:p>
        </w:tc>
      </w:tr>
      <w:tr w:rsidR="004647B9" w14:paraId="2819DAA6" w14:textId="77777777">
        <w:trPr>
          <w:trHeight w:val="278"/>
        </w:trPr>
        <w:tc>
          <w:tcPr>
            <w:tcW w:w="1020" w:type="dxa"/>
            <w:vAlign w:val="bottom"/>
          </w:tcPr>
          <w:p w14:paraId="2819DA95" w14:textId="77777777" w:rsidR="004647B9" w:rsidRDefault="004647B9">
            <w:pPr>
              <w:rPr>
                <w:sz w:val="24"/>
                <w:szCs w:val="24"/>
              </w:rPr>
            </w:pPr>
          </w:p>
        </w:tc>
        <w:tc>
          <w:tcPr>
            <w:tcW w:w="180" w:type="dxa"/>
            <w:vAlign w:val="bottom"/>
          </w:tcPr>
          <w:p w14:paraId="2819DA96" w14:textId="77777777" w:rsidR="004647B9" w:rsidRDefault="004647B9">
            <w:pPr>
              <w:rPr>
                <w:sz w:val="24"/>
                <w:szCs w:val="24"/>
              </w:rPr>
            </w:pPr>
          </w:p>
        </w:tc>
        <w:tc>
          <w:tcPr>
            <w:tcW w:w="2600" w:type="dxa"/>
            <w:gridSpan w:val="2"/>
            <w:vAlign w:val="bottom"/>
          </w:tcPr>
          <w:p w14:paraId="2819DA97" w14:textId="77777777" w:rsidR="004647B9" w:rsidRDefault="00E2436F">
            <w:pPr>
              <w:rPr>
                <w:sz w:val="20"/>
                <w:szCs w:val="20"/>
              </w:rPr>
            </w:pPr>
            <w:r>
              <w:rPr>
                <w:rFonts w:eastAsia="Times New Roman"/>
                <w:sz w:val="18"/>
                <w:szCs w:val="18"/>
              </w:rPr>
              <w:t>Ion selective electrode</w:t>
            </w:r>
          </w:p>
        </w:tc>
        <w:tc>
          <w:tcPr>
            <w:tcW w:w="380" w:type="dxa"/>
            <w:vAlign w:val="bottom"/>
          </w:tcPr>
          <w:p w14:paraId="2819DA98" w14:textId="77777777" w:rsidR="004647B9" w:rsidRDefault="004647B9">
            <w:pPr>
              <w:rPr>
                <w:sz w:val="24"/>
                <w:szCs w:val="24"/>
              </w:rPr>
            </w:pPr>
          </w:p>
        </w:tc>
        <w:tc>
          <w:tcPr>
            <w:tcW w:w="480" w:type="dxa"/>
            <w:vAlign w:val="bottom"/>
          </w:tcPr>
          <w:p w14:paraId="2819DA99" w14:textId="77777777" w:rsidR="004647B9" w:rsidRDefault="004647B9">
            <w:pPr>
              <w:rPr>
                <w:sz w:val="24"/>
                <w:szCs w:val="24"/>
              </w:rPr>
            </w:pPr>
          </w:p>
        </w:tc>
        <w:tc>
          <w:tcPr>
            <w:tcW w:w="40" w:type="dxa"/>
            <w:vAlign w:val="bottom"/>
          </w:tcPr>
          <w:p w14:paraId="2819DA9A" w14:textId="77777777" w:rsidR="004647B9" w:rsidRDefault="004647B9">
            <w:pPr>
              <w:rPr>
                <w:sz w:val="24"/>
                <w:szCs w:val="24"/>
              </w:rPr>
            </w:pPr>
          </w:p>
        </w:tc>
        <w:tc>
          <w:tcPr>
            <w:tcW w:w="560" w:type="dxa"/>
            <w:vAlign w:val="bottom"/>
          </w:tcPr>
          <w:p w14:paraId="2819DA9B" w14:textId="77777777" w:rsidR="004647B9" w:rsidRDefault="004647B9">
            <w:pPr>
              <w:rPr>
                <w:sz w:val="24"/>
                <w:szCs w:val="24"/>
              </w:rPr>
            </w:pPr>
          </w:p>
        </w:tc>
        <w:tc>
          <w:tcPr>
            <w:tcW w:w="900" w:type="dxa"/>
            <w:vAlign w:val="bottom"/>
          </w:tcPr>
          <w:p w14:paraId="2819DA9C" w14:textId="77777777" w:rsidR="004647B9" w:rsidRDefault="004647B9">
            <w:pPr>
              <w:rPr>
                <w:sz w:val="24"/>
                <w:szCs w:val="24"/>
              </w:rPr>
            </w:pPr>
          </w:p>
        </w:tc>
        <w:tc>
          <w:tcPr>
            <w:tcW w:w="260" w:type="dxa"/>
            <w:vAlign w:val="bottom"/>
          </w:tcPr>
          <w:p w14:paraId="2819DA9D" w14:textId="77777777" w:rsidR="004647B9" w:rsidRDefault="004647B9">
            <w:pPr>
              <w:rPr>
                <w:sz w:val="24"/>
                <w:szCs w:val="24"/>
              </w:rPr>
            </w:pPr>
          </w:p>
        </w:tc>
        <w:tc>
          <w:tcPr>
            <w:tcW w:w="820" w:type="dxa"/>
            <w:gridSpan w:val="2"/>
            <w:vAlign w:val="bottom"/>
          </w:tcPr>
          <w:p w14:paraId="2819DA9E"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A9F" w14:textId="77777777" w:rsidR="004647B9" w:rsidRDefault="00E2436F">
            <w:pPr>
              <w:spacing w:line="278" w:lineRule="exact"/>
              <w:rPr>
                <w:sz w:val="20"/>
                <w:szCs w:val="20"/>
              </w:rPr>
            </w:pPr>
            <w:r>
              <w:rPr>
                <w:rFonts w:eastAsia="Times New Roman"/>
                <w:sz w:val="11"/>
                <w:szCs w:val="11"/>
              </w:rPr>
              <w:t>-</w:t>
            </w:r>
            <w:r>
              <w:rPr>
                <w:rFonts w:eastAsia="Times New Roman"/>
                <w:sz w:val="32"/>
                <w:szCs w:val="32"/>
                <w:vertAlign w:val="subscript"/>
              </w:rPr>
              <w:t>D</w:t>
            </w:r>
          </w:p>
        </w:tc>
        <w:tc>
          <w:tcPr>
            <w:tcW w:w="180" w:type="dxa"/>
            <w:vAlign w:val="bottom"/>
          </w:tcPr>
          <w:p w14:paraId="2819DAA0" w14:textId="77777777" w:rsidR="004647B9" w:rsidRDefault="004647B9">
            <w:pPr>
              <w:rPr>
                <w:sz w:val="24"/>
                <w:szCs w:val="24"/>
              </w:rPr>
            </w:pPr>
          </w:p>
        </w:tc>
        <w:tc>
          <w:tcPr>
            <w:tcW w:w="880" w:type="dxa"/>
            <w:vAlign w:val="bottom"/>
          </w:tcPr>
          <w:p w14:paraId="2819DAA1"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AA2" w14:textId="77777777" w:rsidR="004647B9" w:rsidRDefault="00E2436F">
            <w:pPr>
              <w:spacing w:line="252" w:lineRule="exact"/>
              <w:rPr>
                <w:sz w:val="20"/>
                <w:szCs w:val="20"/>
              </w:rPr>
            </w:pPr>
            <w:r>
              <w:rPr>
                <w:rFonts w:eastAsia="Times New Roman"/>
                <w:sz w:val="24"/>
                <w:szCs w:val="24"/>
                <w:vertAlign w:val="superscript"/>
              </w:rPr>
              <w:t>-</w:t>
            </w:r>
            <w:r>
              <w:rPr>
                <w:rFonts w:eastAsia="Times New Roman"/>
                <w:sz w:val="18"/>
                <w:szCs w:val="18"/>
              </w:rPr>
              <w:t>D-0</w:t>
            </w:r>
          </w:p>
        </w:tc>
        <w:tc>
          <w:tcPr>
            <w:tcW w:w="460" w:type="dxa"/>
            <w:vAlign w:val="bottom"/>
          </w:tcPr>
          <w:p w14:paraId="2819DAA3" w14:textId="77777777" w:rsidR="004647B9" w:rsidRDefault="00E2436F">
            <w:pPr>
              <w:spacing w:line="252" w:lineRule="exact"/>
              <w:rPr>
                <w:sz w:val="20"/>
                <w:szCs w:val="20"/>
              </w:rPr>
            </w:pPr>
            <w:r>
              <w:rPr>
                <w:rFonts w:eastAsia="Times New Roman"/>
                <w:sz w:val="18"/>
                <w:szCs w:val="18"/>
              </w:rPr>
              <w:t>601</w:t>
            </w:r>
            <w:r>
              <w:rPr>
                <w:rFonts w:eastAsia="Times New Roman"/>
                <w:sz w:val="24"/>
                <w:szCs w:val="24"/>
                <w:vertAlign w:val="superscript"/>
              </w:rPr>
              <w:t>7</w:t>
            </w:r>
          </w:p>
        </w:tc>
        <w:tc>
          <w:tcPr>
            <w:tcW w:w="1160" w:type="dxa"/>
            <w:vAlign w:val="bottom"/>
          </w:tcPr>
          <w:p w14:paraId="2819DAA4" w14:textId="77777777" w:rsidR="004647B9" w:rsidRDefault="004647B9">
            <w:pPr>
              <w:rPr>
                <w:sz w:val="24"/>
                <w:szCs w:val="24"/>
              </w:rPr>
            </w:pPr>
          </w:p>
        </w:tc>
        <w:tc>
          <w:tcPr>
            <w:tcW w:w="0" w:type="dxa"/>
            <w:vAlign w:val="bottom"/>
          </w:tcPr>
          <w:p w14:paraId="2819DAA5" w14:textId="77777777" w:rsidR="004647B9" w:rsidRDefault="004647B9">
            <w:pPr>
              <w:rPr>
                <w:sz w:val="1"/>
                <w:szCs w:val="1"/>
              </w:rPr>
            </w:pPr>
          </w:p>
        </w:tc>
      </w:tr>
      <w:tr w:rsidR="004647B9" w14:paraId="2819DAB5" w14:textId="77777777">
        <w:trPr>
          <w:trHeight w:val="253"/>
        </w:trPr>
        <w:tc>
          <w:tcPr>
            <w:tcW w:w="1020" w:type="dxa"/>
            <w:vAlign w:val="bottom"/>
          </w:tcPr>
          <w:p w14:paraId="2819DAA7" w14:textId="77777777" w:rsidR="004647B9" w:rsidRDefault="004647B9">
            <w:pPr>
              <w:rPr>
                <w:sz w:val="21"/>
                <w:szCs w:val="21"/>
              </w:rPr>
            </w:pPr>
          </w:p>
        </w:tc>
        <w:tc>
          <w:tcPr>
            <w:tcW w:w="180" w:type="dxa"/>
            <w:vAlign w:val="bottom"/>
          </w:tcPr>
          <w:p w14:paraId="2819DAA8" w14:textId="77777777" w:rsidR="004647B9" w:rsidRDefault="004647B9">
            <w:pPr>
              <w:rPr>
                <w:sz w:val="21"/>
                <w:szCs w:val="21"/>
              </w:rPr>
            </w:pPr>
          </w:p>
        </w:tc>
        <w:tc>
          <w:tcPr>
            <w:tcW w:w="2600" w:type="dxa"/>
            <w:gridSpan w:val="2"/>
            <w:vAlign w:val="bottom"/>
          </w:tcPr>
          <w:p w14:paraId="2819DAA9" w14:textId="77777777" w:rsidR="004647B9" w:rsidRDefault="00E2436F">
            <w:pPr>
              <w:rPr>
                <w:sz w:val="20"/>
                <w:szCs w:val="20"/>
              </w:rPr>
            </w:pPr>
            <w:r>
              <w:rPr>
                <w:rFonts w:eastAsia="Times New Roman"/>
                <w:sz w:val="18"/>
                <w:szCs w:val="18"/>
              </w:rPr>
              <w:t>Ion chromatography</w:t>
            </w:r>
          </w:p>
        </w:tc>
        <w:tc>
          <w:tcPr>
            <w:tcW w:w="860" w:type="dxa"/>
            <w:gridSpan w:val="2"/>
            <w:vAlign w:val="bottom"/>
          </w:tcPr>
          <w:p w14:paraId="2819DAAA" w14:textId="77777777" w:rsidR="004647B9" w:rsidRDefault="00E2436F">
            <w:pPr>
              <w:spacing w:line="252" w:lineRule="exact"/>
              <w:rPr>
                <w:sz w:val="20"/>
                <w:szCs w:val="20"/>
              </w:rPr>
            </w:pPr>
            <w:r>
              <w:rPr>
                <w:rFonts w:eastAsia="Times New Roman"/>
                <w:sz w:val="24"/>
                <w:szCs w:val="24"/>
                <w:vertAlign w:val="superscript"/>
              </w:rPr>
              <w:t>6</w:t>
            </w:r>
            <w:r>
              <w:rPr>
                <w:rFonts w:eastAsia="Times New Roman"/>
                <w:sz w:val="18"/>
                <w:szCs w:val="18"/>
              </w:rPr>
              <w:t>300.0</w:t>
            </w:r>
          </w:p>
        </w:tc>
        <w:tc>
          <w:tcPr>
            <w:tcW w:w="40" w:type="dxa"/>
            <w:vAlign w:val="bottom"/>
          </w:tcPr>
          <w:p w14:paraId="2819DAAB" w14:textId="77777777" w:rsidR="004647B9" w:rsidRDefault="004647B9">
            <w:pPr>
              <w:rPr>
                <w:sz w:val="21"/>
                <w:szCs w:val="21"/>
              </w:rPr>
            </w:pPr>
          </w:p>
        </w:tc>
        <w:tc>
          <w:tcPr>
            <w:tcW w:w="1460" w:type="dxa"/>
            <w:gridSpan w:val="2"/>
            <w:vAlign w:val="bottom"/>
          </w:tcPr>
          <w:p w14:paraId="2819DAAC" w14:textId="77777777" w:rsidR="004647B9" w:rsidRDefault="00E2436F">
            <w:pPr>
              <w:rPr>
                <w:sz w:val="20"/>
                <w:szCs w:val="20"/>
              </w:rPr>
            </w:pPr>
            <w:r>
              <w:rPr>
                <w:rFonts w:eastAsia="Times New Roman"/>
                <w:sz w:val="18"/>
                <w:szCs w:val="18"/>
              </w:rPr>
              <w:t>D4327-97,03</w:t>
            </w:r>
          </w:p>
        </w:tc>
        <w:tc>
          <w:tcPr>
            <w:tcW w:w="260" w:type="dxa"/>
            <w:vAlign w:val="bottom"/>
          </w:tcPr>
          <w:p w14:paraId="2819DAAD" w14:textId="77777777" w:rsidR="004647B9" w:rsidRDefault="004647B9">
            <w:pPr>
              <w:rPr>
                <w:sz w:val="21"/>
                <w:szCs w:val="21"/>
              </w:rPr>
            </w:pPr>
          </w:p>
        </w:tc>
        <w:tc>
          <w:tcPr>
            <w:tcW w:w="820" w:type="dxa"/>
            <w:gridSpan w:val="2"/>
            <w:vAlign w:val="bottom"/>
          </w:tcPr>
          <w:p w14:paraId="2819DAAE" w14:textId="77777777" w:rsidR="004647B9" w:rsidRDefault="00E2436F">
            <w:pPr>
              <w:rPr>
                <w:sz w:val="20"/>
                <w:szCs w:val="20"/>
              </w:rPr>
            </w:pPr>
            <w:r>
              <w:rPr>
                <w:rFonts w:eastAsia="Times New Roman"/>
                <w:sz w:val="18"/>
                <w:szCs w:val="18"/>
              </w:rPr>
              <w:t>4110B</w:t>
            </w:r>
          </w:p>
        </w:tc>
        <w:tc>
          <w:tcPr>
            <w:tcW w:w="340" w:type="dxa"/>
            <w:vAlign w:val="bottom"/>
          </w:tcPr>
          <w:p w14:paraId="2819DAAF" w14:textId="77777777" w:rsidR="004647B9" w:rsidRDefault="004647B9">
            <w:pPr>
              <w:rPr>
                <w:sz w:val="21"/>
                <w:szCs w:val="21"/>
              </w:rPr>
            </w:pPr>
          </w:p>
        </w:tc>
        <w:tc>
          <w:tcPr>
            <w:tcW w:w="180" w:type="dxa"/>
            <w:vAlign w:val="bottom"/>
          </w:tcPr>
          <w:p w14:paraId="2819DAB0" w14:textId="77777777" w:rsidR="004647B9" w:rsidRDefault="004647B9">
            <w:pPr>
              <w:rPr>
                <w:sz w:val="21"/>
                <w:szCs w:val="21"/>
              </w:rPr>
            </w:pPr>
          </w:p>
        </w:tc>
        <w:tc>
          <w:tcPr>
            <w:tcW w:w="880" w:type="dxa"/>
            <w:vAlign w:val="bottom"/>
          </w:tcPr>
          <w:p w14:paraId="2819DAB1" w14:textId="77777777" w:rsidR="004647B9" w:rsidRDefault="00E2436F">
            <w:pPr>
              <w:rPr>
                <w:sz w:val="20"/>
                <w:szCs w:val="20"/>
              </w:rPr>
            </w:pPr>
            <w:r>
              <w:rPr>
                <w:rFonts w:eastAsia="Times New Roman"/>
                <w:sz w:val="18"/>
                <w:szCs w:val="18"/>
              </w:rPr>
              <w:t>4110B-00</w:t>
            </w:r>
          </w:p>
        </w:tc>
        <w:tc>
          <w:tcPr>
            <w:tcW w:w="660" w:type="dxa"/>
            <w:vAlign w:val="bottom"/>
          </w:tcPr>
          <w:p w14:paraId="2819DAB2" w14:textId="77777777" w:rsidR="004647B9" w:rsidRDefault="004647B9">
            <w:pPr>
              <w:rPr>
                <w:sz w:val="21"/>
                <w:szCs w:val="21"/>
              </w:rPr>
            </w:pPr>
          </w:p>
        </w:tc>
        <w:tc>
          <w:tcPr>
            <w:tcW w:w="1620" w:type="dxa"/>
            <w:gridSpan w:val="2"/>
            <w:vAlign w:val="bottom"/>
          </w:tcPr>
          <w:p w14:paraId="2819DAB3" w14:textId="77777777" w:rsidR="004647B9" w:rsidRDefault="00E2436F">
            <w:pPr>
              <w:spacing w:line="252" w:lineRule="exact"/>
              <w:rPr>
                <w:sz w:val="20"/>
                <w:szCs w:val="20"/>
              </w:rPr>
            </w:pPr>
            <w:r>
              <w:rPr>
                <w:rFonts w:eastAsia="Times New Roman"/>
                <w:sz w:val="18"/>
                <w:szCs w:val="18"/>
              </w:rPr>
              <w:t>B-1011</w:t>
            </w:r>
            <w:r>
              <w:rPr>
                <w:rFonts w:eastAsia="Times New Roman"/>
                <w:sz w:val="24"/>
                <w:szCs w:val="24"/>
                <w:vertAlign w:val="superscript"/>
              </w:rPr>
              <w:t>8</w:t>
            </w:r>
          </w:p>
        </w:tc>
        <w:tc>
          <w:tcPr>
            <w:tcW w:w="0" w:type="dxa"/>
            <w:vAlign w:val="bottom"/>
          </w:tcPr>
          <w:p w14:paraId="2819DAB4" w14:textId="77777777" w:rsidR="004647B9" w:rsidRDefault="004647B9">
            <w:pPr>
              <w:rPr>
                <w:sz w:val="1"/>
                <w:szCs w:val="1"/>
              </w:rPr>
            </w:pPr>
          </w:p>
        </w:tc>
      </w:tr>
      <w:tr w:rsidR="004647B9" w14:paraId="2819DAC8" w14:textId="77777777">
        <w:trPr>
          <w:trHeight w:val="281"/>
        </w:trPr>
        <w:tc>
          <w:tcPr>
            <w:tcW w:w="1020" w:type="dxa"/>
            <w:vAlign w:val="bottom"/>
          </w:tcPr>
          <w:p w14:paraId="2819DAB6" w14:textId="77777777" w:rsidR="004647B9" w:rsidRDefault="004647B9">
            <w:pPr>
              <w:rPr>
                <w:sz w:val="24"/>
                <w:szCs w:val="24"/>
              </w:rPr>
            </w:pPr>
          </w:p>
        </w:tc>
        <w:tc>
          <w:tcPr>
            <w:tcW w:w="180" w:type="dxa"/>
            <w:vAlign w:val="bottom"/>
          </w:tcPr>
          <w:p w14:paraId="2819DAB7" w14:textId="77777777" w:rsidR="004647B9" w:rsidRDefault="004647B9">
            <w:pPr>
              <w:rPr>
                <w:sz w:val="24"/>
                <w:szCs w:val="24"/>
              </w:rPr>
            </w:pPr>
          </w:p>
        </w:tc>
        <w:tc>
          <w:tcPr>
            <w:tcW w:w="1080" w:type="dxa"/>
            <w:vAlign w:val="bottom"/>
          </w:tcPr>
          <w:p w14:paraId="2819DAB8" w14:textId="77777777" w:rsidR="004647B9" w:rsidRDefault="004647B9">
            <w:pPr>
              <w:rPr>
                <w:sz w:val="24"/>
                <w:szCs w:val="24"/>
              </w:rPr>
            </w:pPr>
          </w:p>
        </w:tc>
        <w:tc>
          <w:tcPr>
            <w:tcW w:w="1520" w:type="dxa"/>
            <w:vAlign w:val="bottom"/>
          </w:tcPr>
          <w:p w14:paraId="2819DAB9" w14:textId="77777777" w:rsidR="004647B9" w:rsidRDefault="004647B9">
            <w:pPr>
              <w:rPr>
                <w:sz w:val="24"/>
                <w:szCs w:val="24"/>
              </w:rPr>
            </w:pPr>
          </w:p>
        </w:tc>
        <w:tc>
          <w:tcPr>
            <w:tcW w:w="860" w:type="dxa"/>
            <w:gridSpan w:val="2"/>
            <w:vAlign w:val="bottom"/>
          </w:tcPr>
          <w:p w14:paraId="2819DABA" w14:textId="77777777" w:rsidR="004647B9" w:rsidRDefault="00E2436F">
            <w:pPr>
              <w:rPr>
                <w:sz w:val="20"/>
                <w:szCs w:val="20"/>
              </w:rPr>
            </w:pPr>
            <w:r>
              <w:rPr>
                <w:rFonts w:eastAsia="Times New Roman"/>
                <w:sz w:val="24"/>
                <w:szCs w:val="24"/>
                <w:vertAlign w:val="superscript"/>
              </w:rPr>
              <w:t>20</w:t>
            </w:r>
            <w:r>
              <w:rPr>
                <w:rFonts w:eastAsia="Times New Roman"/>
                <w:sz w:val="18"/>
                <w:szCs w:val="18"/>
              </w:rPr>
              <w:t>300.1</w:t>
            </w:r>
          </w:p>
        </w:tc>
        <w:tc>
          <w:tcPr>
            <w:tcW w:w="40" w:type="dxa"/>
            <w:vAlign w:val="bottom"/>
          </w:tcPr>
          <w:p w14:paraId="2819DABB" w14:textId="77777777" w:rsidR="004647B9" w:rsidRDefault="004647B9">
            <w:pPr>
              <w:rPr>
                <w:sz w:val="24"/>
                <w:szCs w:val="24"/>
              </w:rPr>
            </w:pPr>
          </w:p>
        </w:tc>
        <w:tc>
          <w:tcPr>
            <w:tcW w:w="560" w:type="dxa"/>
            <w:vAlign w:val="bottom"/>
          </w:tcPr>
          <w:p w14:paraId="2819DABC" w14:textId="77777777" w:rsidR="004647B9" w:rsidRDefault="004647B9">
            <w:pPr>
              <w:rPr>
                <w:sz w:val="24"/>
                <w:szCs w:val="24"/>
              </w:rPr>
            </w:pPr>
          </w:p>
        </w:tc>
        <w:tc>
          <w:tcPr>
            <w:tcW w:w="900" w:type="dxa"/>
            <w:vAlign w:val="bottom"/>
          </w:tcPr>
          <w:p w14:paraId="2819DABD" w14:textId="77777777" w:rsidR="004647B9" w:rsidRDefault="004647B9">
            <w:pPr>
              <w:rPr>
                <w:sz w:val="24"/>
                <w:szCs w:val="24"/>
              </w:rPr>
            </w:pPr>
          </w:p>
        </w:tc>
        <w:tc>
          <w:tcPr>
            <w:tcW w:w="260" w:type="dxa"/>
            <w:vAlign w:val="bottom"/>
          </w:tcPr>
          <w:p w14:paraId="2819DABE" w14:textId="77777777" w:rsidR="004647B9" w:rsidRDefault="004647B9">
            <w:pPr>
              <w:rPr>
                <w:sz w:val="24"/>
                <w:szCs w:val="24"/>
              </w:rPr>
            </w:pPr>
          </w:p>
        </w:tc>
        <w:tc>
          <w:tcPr>
            <w:tcW w:w="280" w:type="dxa"/>
            <w:vAlign w:val="bottom"/>
          </w:tcPr>
          <w:p w14:paraId="2819DABF" w14:textId="77777777" w:rsidR="004647B9" w:rsidRDefault="004647B9">
            <w:pPr>
              <w:rPr>
                <w:sz w:val="24"/>
                <w:szCs w:val="24"/>
              </w:rPr>
            </w:pPr>
          </w:p>
        </w:tc>
        <w:tc>
          <w:tcPr>
            <w:tcW w:w="540" w:type="dxa"/>
            <w:vAlign w:val="bottom"/>
          </w:tcPr>
          <w:p w14:paraId="2819DAC0" w14:textId="77777777" w:rsidR="004647B9" w:rsidRDefault="004647B9">
            <w:pPr>
              <w:rPr>
                <w:sz w:val="24"/>
                <w:szCs w:val="24"/>
              </w:rPr>
            </w:pPr>
          </w:p>
        </w:tc>
        <w:tc>
          <w:tcPr>
            <w:tcW w:w="340" w:type="dxa"/>
            <w:vAlign w:val="bottom"/>
          </w:tcPr>
          <w:p w14:paraId="2819DAC1" w14:textId="77777777" w:rsidR="004647B9" w:rsidRDefault="004647B9">
            <w:pPr>
              <w:rPr>
                <w:sz w:val="24"/>
                <w:szCs w:val="24"/>
              </w:rPr>
            </w:pPr>
          </w:p>
        </w:tc>
        <w:tc>
          <w:tcPr>
            <w:tcW w:w="180" w:type="dxa"/>
            <w:vAlign w:val="bottom"/>
          </w:tcPr>
          <w:p w14:paraId="2819DAC2" w14:textId="77777777" w:rsidR="004647B9" w:rsidRDefault="004647B9">
            <w:pPr>
              <w:rPr>
                <w:sz w:val="24"/>
                <w:szCs w:val="24"/>
              </w:rPr>
            </w:pPr>
          </w:p>
        </w:tc>
        <w:tc>
          <w:tcPr>
            <w:tcW w:w="880" w:type="dxa"/>
            <w:vAlign w:val="bottom"/>
          </w:tcPr>
          <w:p w14:paraId="2819DAC3" w14:textId="77777777" w:rsidR="004647B9" w:rsidRDefault="004647B9">
            <w:pPr>
              <w:rPr>
                <w:sz w:val="24"/>
                <w:szCs w:val="24"/>
              </w:rPr>
            </w:pPr>
          </w:p>
        </w:tc>
        <w:tc>
          <w:tcPr>
            <w:tcW w:w="660" w:type="dxa"/>
            <w:vAlign w:val="bottom"/>
          </w:tcPr>
          <w:p w14:paraId="2819DAC4" w14:textId="77777777" w:rsidR="004647B9" w:rsidRDefault="004647B9">
            <w:pPr>
              <w:rPr>
                <w:sz w:val="24"/>
                <w:szCs w:val="24"/>
              </w:rPr>
            </w:pPr>
          </w:p>
        </w:tc>
        <w:tc>
          <w:tcPr>
            <w:tcW w:w="460" w:type="dxa"/>
            <w:vAlign w:val="bottom"/>
          </w:tcPr>
          <w:p w14:paraId="2819DAC5" w14:textId="77777777" w:rsidR="004647B9" w:rsidRDefault="004647B9">
            <w:pPr>
              <w:rPr>
                <w:sz w:val="24"/>
                <w:szCs w:val="24"/>
              </w:rPr>
            </w:pPr>
          </w:p>
        </w:tc>
        <w:tc>
          <w:tcPr>
            <w:tcW w:w="1160" w:type="dxa"/>
            <w:vAlign w:val="bottom"/>
          </w:tcPr>
          <w:p w14:paraId="2819DAC6" w14:textId="77777777" w:rsidR="004647B9" w:rsidRDefault="004647B9">
            <w:pPr>
              <w:rPr>
                <w:sz w:val="24"/>
                <w:szCs w:val="24"/>
              </w:rPr>
            </w:pPr>
          </w:p>
        </w:tc>
        <w:tc>
          <w:tcPr>
            <w:tcW w:w="0" w:type="dxa"/>
            <w:vAlign w:val="bottom"/>
          </w:tcPr>
          <w:p w14:paraId="2819DAC7" w14:textId="77777777" w:rsidR="004647B9" w:rsidRDefault="004647B9">
            <w:pPr>
              <w:rPr>
                <w:sz w:val="1"/>
                <w:szCs w:val="1"/>
              </w:rPr>
            </w:pPr>
          </w:p>
        </w:tc>
      </w:tr>
      <w:tr w:rsidR="004647B9" w14:paraId="2819DADA" w14:textId="77777777">
        <w:trPr>
          <w:trHeight w:val="278"/>
        </w:trPr>
        <w:tc>
          <w:tcPr>
            <w:tcW w:w="1020" w:type="dxa"/>
            <w:vAlign w:val="bottom"/>
          </w:tcPr>
          <w:p w14:paraId="2819DAC9" w14:textId="77777777" w:rsidR="004647B9" w:rsidRDefault="004647B9">
            <w:pPr>
              <w:rPr>
                <w:sz w:val="24"/>
                <w:szCs w:val="24"/>
              </w:rPr>
            </w:pPr>
          </w:p>
        </w:tc>
        <w:tc>
          <w:tcPr>
            <w:tcW w:w="180" w:type="dxa"/>
            <w:vAlign w:val="bottom"/>
          </w:tcPr>
          <w:p w14:paraId="2819DACA" w14:textId="77777777" w:rsidR="004647B9" w:rsidRDefault="004647B9">
            <w:pPr>
              <w:rPr>
                <w:sz w:val="24"/>
                <w:szCs w:val="24"/>
              </w:rPr>
            </w:pPr>
          </w:p>
        </w:tc>
        <w:tc>
          <w:tcPr>
            <w:tcW w:w="2600" w:type="dxa"/>
            <w:gridSpan w:val="2"/>
            <w:vAlign w:val="bottom"/>
          </w:tcPr>
          <w:p w14:paraId="2819DACB" w14:textId="77777777" w:rsidR="004647B9" w:rsidRDefault="00E2436F">
            <w:pPr>
              <w:rPr>
                <w:sz w:val="20"/>
                <w:szCs w:val="20"/>
              </w:rPr>
            </w:pPr>
            <w:r>
              <w:rPr>
                <w:rFonts w:eastAsia="Times New Roman"/>
                <w:sz w:val="18"/>
                <w:szCs w:val="18"/>
              </w:rPr>
              <w:t>Capillary Ion Electrophoresis</w:t>
            </w:r>
          </w:p>
        </w:tc>
        <w:tc>
          <w:tcPr>
            <w:tcW w:w="380" w:type="dxa"/>
            <w:vAlign w:val="bottom"/>
          </w:tcPr>
          <w:p w14:paraId="2819DACC" w14:textId="77777777" w:rsidR="004647B9" w:rsidRDefault="004647B9">
            <w:pPr>
              <w:rPr>
                <w:sz w:val="24"/>
                <w:szCs w:val="24"/>
              </w:rPr>
            </w:pPr>
          </w:p>
        </w:tc>
        <w:tc>
          <w:tcPr>
            <w:tcW w:w="480" w:type="dxa"/>
            <w:vAlign w:val="bottom"/>
          </w:tcPr>
          <w:p w14:paraId="2819DACD" w14:textId="77777777" w:rsidR="004647B9" w:rsidRDefault="004647B9">
            <w:pPr>
              <w:rPr>
                <w:sz w:val="24"/>
                <w:szCs w:val="24"/>
              </w:rPr>
            </w:pPr>
          </w:p>
        </w:tc>
        <w:tc>
          <w:tcPr>
            <w:tcW w:w="40" w:type="dxa"/>
            <w:vAlign w:val="bottom"/>
          </w:tcPr>
          <w:p w14:paraId="2819DACE" w14:textId="77777777" w:rsidR="004647B9" w:rsidRDefault="004647B9">
            <w:pPr>
              <w:rPr>
                <w:sz w:val="24"/>
                <w:szCs w:val="24"/>
              </w:rPr>
            </w:pPr>
          </w:p>
        </w:tc>
        <w:tc>
          <w:tcPr>
            <w:tcW w:w="560" w:type="dxa"/>
            <w:vAlign w:val="bottom"/>
          </w:tcPr>
          <w:p w14:paraId="2819DACF" w14:textId="77777777" w:rsidR="004647B9" w:rsidRDefault="004647B9">
            <w:pPr>
              <w:rPr>
                <w:sz w:val="24"/>
                <w:szCs w:val="24"/>
              </w:rPr>
            </w:pPr>
          </w:p>
        </w:tc>
        <w:tc>
          <w:tcPr>
            <w:tcW w:w="900" w:type="dxa"/>
            <w:vAlign w:val="bottom"/>
          </w:tcPr>
          <w:p w14:paraId="2819DAD0" w14:textId="77777777" w:rsidR="004647B9" w:rsidRDefault="004647B9">
            <w:pPr>
              <w:rPr>
                <w:sz w:val="24"/>
                <w:szCs w:val="24"/>
              </w:rPr>
            </w:pPr>
          </w:p>
        </w:tc>
        <w:tc>
          <w:tcPr>
            <w:tcW w:w="260" w:type="dxa"/>
            <w:vAlign w:val="bottom"/>
          </w:tcPr>
          <w:p w14:paraId="2819DAD1" w14:textId="77777777" w:rsidR="004647B9" w:rsidRDefault="004647B9">
            <w:pPr>
              <w:rPr>
                <w:sz w:val="24"/>
                <w:szCs w:val="24"/>
              </w:rPr>
            </w:pPr>
          </w:p>
        </w:tc>
        <w:tc>
          <w:tcPr>
            <w:tcW w:w="280" w:type="dxa"/>
            <w:vAlign w:val="bottom"/>
          </w:tcPr>
          <w:p w14:paraId="2819DAD2" w14:textId="77777777" w:rsidR="004647B9" w:rsidRDefault="004647B9">
            <w:pPr>
              <w:rPr>
                <w:sz w:val="24"/>
                <w:szCs w:val="24"/>
              </w:rPr>
            </w:pPr>
          </w:p>
        </w:tc>
        <w:tc>
          <w:tcPr>
            <w:tcW w:w="540" w:type="dxa"/>
            <w:vAlign w:val="bottom"/>
          </w:tcPr>
          <w:p w14:paraId="2819DAD3" w14:textId="77777777" w:rsidR="004647B9" w:rsidRDefault="004647B9">
            <w:pPr>
              <w:rPr>
                <w:sz w:val="24"/>
                <w:szCs w:val="24"/>
              </w:rPr>
            </w:pPr>
          </w:p>
        </w:tc>
        <w:tc>
          <w:tcPr>
            <w:tcW w:w="340" w:type="dxa"/>
            <w:vAlign w:val="bottom"/>
          </w:tcPr>
          <w:p w14:paraId="2819DAD4" w14:textId="77777777" w:rsidR="004647B9" w:rsidRDefault="004647B9">
            <w:pPr>
              <w:rPr>
                <w:sz w:val="24"/>
                <w:szCs w:val="24"/>
              </w:rPr>
            </w:pPr>
          </w:p>
        </w:tc>
        <w:tc>
          <w:tcPr>
            <w:tcW w:w="180" w:type="dxa"/>
            <w:vAlign w:val="bottom"/>
          </w:tcPr>
          <w:p w14:paraId="2819DAD5" w14:textId="77777777" w:rsidR="004647B9" w:rsidRDefault="004647B9">
            <w:pPr>
              <w:rPr>
                <w:sz w:val="24"/>
                <w:szCs w:val="24"/>
              </w:rPr>
            </w:pPr>
          </w:p>
        </w:tc>
        <w:tc>
          <w:tcPr>
            <w:tcW w:w="880" w:type="dxa"/>
            <w:vAlign w:val="bottom"/>
          </w:tcPr>
          <w:p w14:paraId="2819DAD6" w14:textId="77777777" w:rsidR="004647B9" w:rsidRDefault="004647B9">
            <w:pPr>
              <w:rPr>
                <w:sz w:val="24"/>
                <w:szCs w:val="24"/>
              </w:rPr>
            </w:pPr>
          </w:p>
        </w:tc>
        <w:tc>
          <w:tcPr>
            <w:tcW w:w="660" w:type="dxa"/>
            <w:vAlign w:val="bottom"/>
          </w:tcPr>
          <w:p w14:paraId="2819DAD7" w14:textId="77777777" w:rsidR="004647B9" w:rsidRDefault="004647B9">
            <w:pPr>
              <w:rPr>
                <w:sz w:val="24"/>
                <w:szCs w:val="24"/>
              </w:rPr>
            </w:pPr>
          </w:p>
        </w:tc>
        <w:tc>
          <w:tcPr>
            <w:tcW w:w="1620" w:type="dxa"/>
            <w:gridSpan w:val="2"/>
            <w:vAlign w:val="bottom"/>
          </w:tcPr>
          <w:p w14:paraId="2819DAD8" w14:textId="77777777" w:rsidR="004647B9" w:rsidRDefault="00E2436F">
            <w:pPr>
              <w:rPr>
                <w:sz w:val="20"/>
                <w:szCs w:val="20"/>
              </w:rPr>
            </w:pPr>
            <w:r>
              <w:rPr>
                <w:rFonts w:eastAsia="Times New Roman"/>
                <w:sz w:val="18"/>
                <w:szCs w:val="18"/>
              </w:rPr>
              <w:t>D6508-00, Rev.2</w:t>
            </w:r>
            <w:r>
              <w:rPr>
                <w:rFonts w:eastAsia="Times New Roman"/>
                <w:sz w:val="24"/>
                <w:szCs w:val="24"/>
                <w:vertAlign w:val="superscript"/>
              </w:rPr>
              <w:t>24</w:t>
            </w:r>
          </w:p>
        </w:tc>
        <w:tc>
          <w:tcPr>
            <w:tcW w:w="0" w:type="dxa"/>
            <w:vAlign w:val="bottom"/>
          </w:tcPr>
          <w:p w14:paraId="2819DAD9" w14:textId="77777777" w:rsidR="004647B9" w:rsidRDefault="004647B9">
            <w:pPr>
              <w:rPr>
                <w:sz w:val="1"/>
                <w:szCs w:val="1"/>
              </w:rPr>
            </w:pPr>
          </w:p>
        </w:tc>
      </w:tr>
      <w:tr w:rsidR="004647B9" w14:paraId="2819DAEB" w14:textId="77777777">
        <w:trPr>
          <w:trHeight w:val="305"/>
        </w:trPr>
        <w:tc>
          <w:tcPr>
            <w:tcW w:w="1020" w:type="dxa"/>
            <w:vAlign w:val="bottom"/>
          </w:tcPr>
          <w:p w14:paraId="2819DADB" w14:textId="77777777" w:rsidR="004647B9" w:rsidRDefault="00E2436F">
            <w:pPr>
              <w:rPr>
                <w:sz w:val="20"/>
                <w:szCs w:val="20"/>
              </w:rPr>
            </w:pPr>
            <w:r>
              <w:rPr>
                <w:rFonts w:eastAsia="Times New Roman"/>
                <w:sz w:val="18"/>
                <w:szCs w:val="18"/>
              </w:rPr>
              <w:t>Nitrite</w:t>
            </w:r>
          </w:p>
        </w:tc>
        <w:tc>
          <w:tcPr>
            <w:tcW w:w="180" w:type="dxa"/>
            <w:vAlign w:val="bottom"/>
          </w:tcPr>
          <w:p w14:paraId="2819DADC" w14:textId="77777777" w:rsidR="004647B9" w:rsidRDefault="004647B9">
            <w:pPr>
              <w:rPr>
                <w:sz w:val="24"/>
                <w:szCs w:val="24"/>
              </w:rPr>
            </w:pPr>
          </w:p>
        </w:tc>
        <w:tc>
          <w:tcPr>
            <w:tcW w:w="2600" w:type="dxa"/>
            <w:gridSpan w:val="2"/>
            <w:vAlign w:val="bottom"/>
          </w:tcPr>
          <w:p w14:paraId="2819DADD" w14:textId="77777777" w:rsidR="004647B9" w:rsidRDefault="00E2436F">
            <w:pPr>
              <w:rPr>
                <w:sz w:val="20"/>
                <w:szCs w:val="20"/>
              </w:rPr>
            </w:pPr>
            <w:r>
              <w:rPr>
                <w:rFonts w:eastAsia="Times New Roman"/>
                <w:sz w:val="18"/>
                <w:szCs w:val="18"/>
              </w:rPr>
              <w:t>Spectrophotometric</w:t>
            </w:r>
          </w:p>
        </w:tc>
        <w:tc>
          <w:tcPr>
            <w:tcW w:w="380" w:type="dxa"/>
            <w:vAlign w:val="bottom"/>
          </w:tcPr>
          <w:p w14:paraId="2819DADE" w14:textId="77777777" w:rsidR="004647B9" w:rsidRDefault="004647B9">
            <w:pPr>
              <w:rPr>
                <w:sz w:val="24"/>
                <w:szCs w:val="24"/>
              </w:rPr>
            </w:pPr>
          </w:p>
        </w:tc>
        <w:tc>
          <w:tcPr>
            <w:tcW w:w="480" w:type="dxa"/>
            <w:vAlign w:val="bottom"/>
          </w:tcPr>
          <w:p w14:paraId="2819DADF" w14:textId="77777777" w:rsidR="004647B9" w:rsidRDefault="004647B9">
            <w:pPr>
              <w:rPr>
                <w:sz w:val="24"/>
                <w:szCs w:val="24"/>
              </w:rPr>
            </w:pPr>
          </w:p>
        </w:tc>
        <w:tc>
          <w:tcPr>
            <w:tcW w:w="40" w:type="dxa"/>
            <w:vAlign w:val="bottom"/>
          </w:tcPr>
          <w:p w14:paraId="2819DAE0" w14:textId="77777777" w:rsidR="004647B9" w:rsidRDefault="004647B9">
            <w:pPr>
              <w:rPr>
                <w:sz w:val="24"/>
                <w:szCs w:val="24"/>
              </w:rPr>
            </w:pPr>
          </w:p>
        </w:tc>
        <w:tc>
          <w:tcPr>
            <w:tcW w:w="560" w:type="dxa"/>
            <w:vAlign w:val="bottom"/>
          </w:tcPr>
          <w:p w14:paraId="2819DAE1" w14:textId="77777777" w:rsidR="004647B9" w:rsidRDefault="004647B9">
            <w:pPr>
              <w:rPr>
                <w:sz w:val="24"/>
                <w:szCs w:val="24"/>
              </w:rPr>
            </w:pPr>
          </w:p>
        </w:tc>
        <w:tc>
          <w:tcPr>
            <w:tcW w:w="900" w:type="dxa"/>
            <w:vAlign w:val="bottom"/>
          </w:tcPr>
          <w:p w14:paraId="2819DAE2" w14:textId="77777777" w:rsidR="004647B9" w:rsidRDefault="004647B9">
            <w:pPr>
              <w:rPr>
                <w:sz w:val="24"/>
                <w:szCs w:val="24"/>
              </w:rPr>
            </w:pPr>
          </w:p>
        </w:tc>
        <w:tc>
          <w:tcPr>
            <w:tcW w:w="260" w:type="dxa"/>
            <w:vAlign w:val="bottom"/>
          </w:tcPr>
          <w:p w14:paraId="2819DAE3" w14:textId="77777777" w:rsidR="004647B9" w:rsidRDefault="004647B9">
            <w:pPr>
              <w:rPr>
                <w:sz w:val="24"/>
                <w:szCs w:val="24"/>
              </w:rPr>
            </w:pPr>
          </w:p>
        </w:tc>
        <w:tc>
          <w:tcPr>
            <w:tcW w:w="820" w:type="dxa"/>
            <w:gridSpan w:val="2"/>
            <w:vAlign w:val="bottom"/>
          </w:tcPr>
          <w:p w14:paraId="2819DAE4"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2</w:t>
            </w:r>
          </w:p>
        </w:tc>
        <w:tc>
          <w:tcPr>
            <w:tcW w:w="340" w:type="dxa"/>
            <w:vAlign w:val="bottom"/>
          </w:tcPr>
          <w:p w14:paraId="2819DAE5" w14:textId="77777777" w:rsidR="004647B9" w:rsidRDefault="00E2436F">
            <w:pPr>
              <w:rPr>
                <w:sz w:val="20"/>
                <w:szCs w:val="20"/>
              </w:rPr>
            </w:pPr>
            <w:r>
              <w:rPr>
                <w:rFonts w:eastAsia="Times New Roman"/>
                <w:sz w:val="24"/>
                <w:szCs w:val="24"/>
                <w:vertAlign w:val="superscript"/>
              </w:rPr>
              <w:t>-</w:t>
            </w:r>
            <w:r>
              <w:rPr>
                <w:rFonts w:eastAsia="Times New Roman"/>
                <w:sz w:val="18"/>
                <w:szCs w:val="18"/>
              </w:rPr>
              <w:t>B</w:t>
            </w:r>
          </w:p>
        </w:tc>
        <w:tc>
          <w:tcPr>
            <w:tcW w:w="180" w:type="dxa"/>
            <w:vAlign w:val="bottom"/>
          </w:tcPr>
          <w:p w14:paraId="2819DAE6" w14:textId="77777777" w:rsidR="004647B9" w:rsidRDefault="004647B9">
            <w:pPr>
              <w:rPr>
                <w:sz w:val="24"/>
                <w:szCs w:val="24"/>
              </w:rPr>
            </w:pPr>
          </w:p>
        </w:tc>
        <w:tc>
          <w:tcPr>
            <w:tcW w:w="1540" w:type="dxa"/>
            <w:gridSpan w:val="2"/>
            <w:vAlign w:val="bottom"/>
          </w:tcPr>
          <w:p w14:paraId="2819DAE7" w14:textId="77777777" w:rsidR="004647B9" w:rsidRDefault="00E2436F">
            <w:pPr>
              <w:rPr>
                <w:sz w:val="20"/>
                <w:szCs w:val="20"/>
              </w:rPr>
            </w:pPr>
            <w:r>
              <w:rPr>
                <w:rFonts w:eastAsia="Times New Roman"/>
                <w:sz w:val="18"/>
                <w:szCs w:val="18"/>
              </w:rPr>
              <w:t>4500- NO</w:t>
            </w:r>
            <w:r>
              <w:rPr>
                <w:rFonts w:eastAsia="Times New Roman"/>
                <w:sz w:val="24"/>
                <w:szCs w:val="24"/>
                <w:vertAlign w:val="subscript"/>
              </w:rPr>
              <w:t>2</w:t>
            </w:r>
            <w:r>
              <w:rPr>
                <w:rFonts w:eastAsia="Times New Roman"/>
                <w:sz w:val="24"/>
                <w:szCs w:val="24"/>
                <w:vertAlign w:val="superscript"/>
              </w:rPr>
              <w:t>-</w:t>
            </w:r>
            <w:r>
              <w:rPr>
                <w:rFonts w:eastAsia="Times New Roman"/>
                <w:sz w:val="18"/>
                <w:szCs w:val="18"/>
              </w:rPr>
              <w:t>B-00</w:t>
            </w:r>
          </w:p>
        </w:tc>
        <w:tc>
          <w:tcPr>
            <w:tcW w:w="460" w:type="dxa"/>
            <w:vAlign w:val="bottom"/>
          </w:tcPr>
          <w:p w14:paraId="2819DAE8" w14:textId="77777777" w:rsidR="004647B9" w:rsidRDefault="004647B9">
            <w:pPr>
              <w:rPr>
                <w:sz w:val="24"/>
                <w:szCs w:val="24"/>
              </w:rPr>
            </w:pPr>
          </w:p>
        </w:tc>
        <w:tc>
          <w:tcPr>
            <w:tcW w:w="1160" w:type="dxa"/>
            <w:vAlign w:val="bottom"/>
          </w:tcPr>
          <w:p w14:paraId="2819DAE9" w14:textId="77777777" w:rsidR="004647B9" w:rsidRDefault="004647B9">
            <w:pPr>
              <w:rPr>
                <w:sz w:val="24"/>
                <w:szCs w:val="24"/>
              </w:rPr>
            </w:pPr>
          </w:p>
        </w:tc>
        <w:tc>
          <w:tcPr>
            <w:tcW w:w="0" w:type="dxa"/>
            <w:vAlign w:val="bottom"/>
          </w:tcPr>
          <w:p w14:paraId="2819DAEA" w14:textId="77777777" w:rsidR="004647B9" w:rsidRDefault="004647B9">
            <w:pPr>
              <w:rPr>
                <w:sz w:val="1"/>
                <w:szCs w:val="1"/>
              </w:rPr>
            </w:pPr>
          </w:p>
        </w:tc>
      </w:tr>
      <w:tr w:rsidR="004647B9" w14:paraId="2819DAFB" w14:textId="77777777">
        <w:trPr>
          <w:trHeight w:val="272"/>
        </w:trPr>
        <w:tc>
          <w:tcPr>
            <w:tcW w:w="1020" w:type="dxa"/>
            <w:vAlign w:val="bottom"/>
          </w:tcPr>
          <w:p w14:paraId="2819DAEC" w14:textId="77777777" w:rsidR="004647B9" w:rsidRDefault="004647B9">
            <w:pPr>
              <w:rPr>
                <w:sz w:val="23"/>
                <w:szCs w:val="23"/>
              </w:rPr>
            </w:pPr>
          </w:p>
        </w:tc>
        <w:tc>
          <w:tcPr>
            <w:tcW w:w="180" w:type="dxa"/>
            <w:vAlign w:val="bottom"/>
          </w:tcPr>
          <w:p w14:paraId="2819DAED" w14:textId="77777777" w:rsidR="004647B9" w:rsidRDefault="004647B9">
            <w:pPr>
              <w:rPr>
                <w:sz w:val="23"/>
                <w:szCs w:val="23"/>
              </w:rPr>
            </w:pPr>
          </w:p>
        </w:tc>
        <w:tc>
          <w:tcPr>
            <w:tcW w:w="2600" w:type="dxa"/>
            <w:gridSpan w:val="2"/>
            <w:vAlign w:val="bottom"/>
          </w:tcPr>
          <w:p w14:paraId="2819DAEE" w14:textId="77777777" w:rsidR="004647B9" w:rsidRDefault="00E2436F">
            <w:pPr>
              <w:rPr>
                <w:sz w:val="20"/>
                <w:szCs w:val="20"/>
              </w:rPr>
            </w:pPr>
            <w:r>
              <w:rPr>
                <w:rFonts w:eastAsia="Times New Roman"/>
                <w:sz w:val="18"/>
                <w:szCs w:val="18"/>
              </w:rPr>
              <w:t>Automated cadmium reduction</w:t>
            </w:r>
          </w:p>
        </w:tc>
        <w:tc>
          <w:tcPr>
            <w:tcW w:w="860" w:type="dxa"/>
            <w:gridSpan w:val="2"/>
            <w:vAlign w:val="bottom"/>
          </w:tcPr>
          <w:p w14:paraId="2819DAEF" w14:textId="77777777" w:rsidR="004647B9" w:rsidRDefault="00E2436F">
            <w:pPr>
              <w:spacing w:line="252" w:lineRule="exact"/>
              <w:ind w:left="20"/>
              <w:rPr>
                <w:sz w:val="20"/>
                <w:szCs w:val="20"/>
              </w:rPr>
            </w:pPr>
            <w:r>
              <w:rPr>
                <w:rFonts w:eastAsia="Times New Roman"/>
                <w:sz w:val="24"/>
                <w:szCs w:val="24"/>
                <w:vertAlign w:val="superscript"/>
              </w:rPr>
              <w:t>6</w:t>
            </w:r>
            <w:r>
              <w:rPr>
                <w:rFonts w:eastAsia="Times New Roman"/>
                <w:sz w:val="18"/>
                <w:szCs w:val="18"/>
              </w:rPr>
              <w:t>353.2</w:t>
            </w:r>
          </w:p>
        </w:tc>
        <w:tc>
          <w:tcPr>
            <w:tcW w:w="40" w:type="dxa"/>
            <w:vAlign w:val="bottom"/>
          </w:tcPr>
          <w:p w14:paraId="2819DAF0" w14:textId="77777777" w:rsidR="004647B9" w:rsidRDefault="004647B9">
            <w:pPr>
              <w:rPr>
                <w:sz w:val="23"/>
                <w:szCs w:val="23"/>
              </w:rPr>
            </w:pPr>
          </w:p>
        </w:tc>
        <w:tc>
          <w:tcPr>
            <w:tcW w:w="1460" w:type="dxa"/>
            <w:gridSpan w:val="2"/>
            <w:vAlign w:val="bottom"/>
          </w:tcPr>
          <w:p w14:paraId="2819DAF1" w14:textId="77777777" w:rsidR="004647B9" w:rsidRDefault="00E2436F">
            <w:pPr>
              <w:ind w:left="20"/>
              <w:rPr>
                <w:sz w:val="20"/>
                <w:szCs w:val="20"/>
              </w:rPr>
            </w:pPr>
            <w:r>
              <w:rPr>
                <w:rFonts w:eastAsia="Times New Roman"/>
                <w:sz w:val="18"/>
                <w:szCs w:val="18"/>
              </w:rPr>
              <w:t>D3867-90A</w:t>
            </w:r>
          </w:p>
        </w:tc>
        <w:tc>
          <w:tcPr>
            <w:tcW w:w="260" w:type="dxa"/>
            <w:vAlign w:val="bottom"/>
          </w:tcPr>
          <w:p w14:paraId="2819DAF2" w14:textId="77777777" w:rsidR="004647B9" w:rsidRDefault="004647B9">
            <w:pPr>
              <w:rPr>
                <w:sz w:val="23"/>
                <w:szCs w:val="23"/>
              </w:rPr>
            </w:pPr>
          </w:p>
        </w:tc>
        <w:tc>
          <w:tcPr>
            <w:tcW w:w="820" w:type="dxa"/>
            <w:gridSpan w:val="2"/>
            <w:vAlign w:val="bottom"/>
          </w:tcPr>
          <w:p w14:paraId="2819DAF3" w14:textId="77777777" w:rsidR="004647B9" w:rsidRDefault="00E2436F">
            <w:pPr>
              <w:spacing w:line="272" w:lineRule="exact"/>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AF4" w14:textId="77777777" w:rsidR="004647B9" w:rsidRDefault="00E2436F">
            <w:pPr>
              <w:spacing w:line="272" w:lineRule="exact"/>
              <w:rPr>
                <w:sz w:val="20"/>
                <w:szCs w:val="20"/>
              </w:rPr>
            </w:pPr>
            <w:r>
              <w:rPr>
                <w:rFonts w:eastAsia="Times New Roman"/>
                <w:sz w:val="11"/>
                <w:szCs w:val="11"/>
              </w:rPr>
              <w:t>-</w:t>
            </w:r>
            <w:r>
              <w:rPr>
                <w:rFonts w:eastAsia="Times New Roman"/>
                <w:sz w:val="31"/>
                <w:szCs w:val="31"/>
                <w:vertAlign w:val="subscript"/>
              </w:rPr>
              <w:t>F</w:t>
            </w:r>
          </w:p>
        </w:tc>
        <w:tc>
          <w:tcPr>
            <w:tcW w:w="180" w:type="dxa"/>
            <w:vAlign w:val="bottom"/>
          </w:tcPr>
          <w:p w14:paraId="2819DAF5" w14:textId="77777777" w:rsidR="004647B9" w:rsidRDefault="004647B9">
            <w:pPr>
              <w:rPr>
                <w:sz w:val="23"/>
                <w:szCs w:val="23"/>
              </w:rPr>
            </w:pPr>
          </w:p>
        </w:tc>
        <w:tc>
          <w:tcPr>
            <w:tcW w:w="880" w:type="dxa"/>
            <w:vAlign w:val="bottom"/>
          </w:tcPr>
          <w:p w14:paraId="2819DAF6" w14:textId="77777777" w:rsidR="004647B9" w:rsidRDefault="00E2436F">
            <w:pPr>
              <w:spacing w:line="272" w:lineRule="exact"/>
              <w:ind w:left="20"/>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AF7" w14:textId="77777777" w:rsidR="004647B9" w:rsidRDefault="00E2436F">
            <w:pPr>
              <w:spacing w:line="252" w:lineRule="exact"/>
              <w:rPr>
                <w:sz w:val="20"/>
                <w:szCs w:val="20"/>
              </w:rPr>
            </w:pPr>
            <w:r>
              <w:rPr>
                <w:rFonts w:eastAsia="Times New Roman"/>
                <w:sz w:val="24"/>
                <w:szCs w:val="24"/>
                <w:vertAlign w:val="superscript"/>
              </w:rPr>
              <w:t>-</w:t>
            </w:r>
            <w:r>
              <w:rPr>
                <w:rFonts w:eastAsia="Times New Roman"/>
                <w:sz w:val="18"/>
                <w:szCs w:val="18"/>
              </w:rPr>
              <w:t>F-00</w:t>
            </w:r>
          </w:p>
        </w:tc>
        <w:tc>
          <w:tcPr>
            <w:tcW w:w="460" w:type="dxa"/>
            <w:vAlign w:val="bottom"/>
          </w:tcPr>
          <w:p w14:paraId="2819DAF8" w14:textId="77777777" w:rsidR="004647B9" w:rsidRDefault="004647B9">
            <w:pPr>
              <w:rPr>
                <w:sz w:val="23"/>
                <w:szCs w:val="23"/>
              </w:rPr>
            </w:pPr>
          </w:p>
        </w:tc>
        <w:tc>
          <w:tcPr>
            <w:tcW w:w="1160" w:type="dxa"/>
            <w:vAlign w:val="bottom"/>
          </w:tcPr>
          <w:p w14:paraId="2819DAF9" w14:textId="77777777" w:rsidR="004647B9" w:rsidRDefault="004647B9">
            <w:pPr>
              <w:rPr>
                <w:sz w:val="23"/>
                <w:szCs w:val="23"/>
              </w:rPr>
            </w:pPr>
          </w:p>
        </w:tc>
        <w:tc>
          <w:tcPr>
            <w:tcW w:w="0" w:type="dxa"/>
            <w:vAlign w:val="bottom"/>
          </w:tcPr>
          <w:p w14:paraId="2819DAFA" w14:textId="77777777" w:rsidR="004647B9" w:rsidRDefault="004647B9">
            <w:pPr>
              <w:rPr>
                <w:sz w:val="1"/>
                <w:szCs w:val="1"/>
              </w:rPr>
            </w:pPr>
          </w:p>
        </w:tc>
      </w:tr>
      <w:tr w:rsidR="004647B9" w14:paraId="2819DB0A" w14:textId="77777777">
        <w:trPr>
          <w:trHeight w:val="292"/>
        </w:trPr>
        <w:tc>
          <w:tcPr>
            <w:tcW w:w="1020" w:type="dxa"/>
            <w:vAlign w:val="bottom"/>
          </w:tcPr>
          <w:p w14:paraId="2819DAFC" w14:textId="77777777" w:rsidR="004647B9" w:rsidRDefault="004647B9">
            <w:pPr>
              <w:rPr>
                <w:sz w:val="24"/>
                <w:szCs w:val="24"/>
              </w:rPr>
            </w:pPr>
          </w:p>
        </w:tc>
        <w:tc>
          <w:tcPr>
            <w:tcW w:w="180" w:type="dxa"/>
            <w:vAlign w:val="bottom"/>
          </w:tcPr>
          <w:p w14:paraId="2819DAFD" w14:textId="77777777" w:rsidR="004647B9" w:rsidRDefault="004647B9">
            <w:pPr>
              <w:rPr>
                <w:sz w:val="24"/>
                <w:szCs w:val="24"/>
              </w:rPr>
            </w:pPr>
          </w:p>
        </w:tc>
        <w:tc>
          <w:tcPr>
            <w:tcW w:w="2600" w:type="dxa"/>
            <w:gridSpan w:val="2"/>
            <w:vAlign w:val="bottom"/>
          </w:tcPr>
          <w:p w14:paraId="2819DAFE" w14:textId="77777777" w:rsidR="004647B9" w:rsidRDefault="00E2436F">
            <w:pPr>
              <w:rPr>
                <w:sz w:val="20"/>
                <w:szCs w:val="20"/>
              </w:rPr>
            </w:pPr>
            <w:r>
              <w:rPr>
                <w:rFonts w:eastAsia="Times New Roman"/>
                <w:sz w:val="18"/>
                <w:szCs w:val="18"/>
              </w:rPr>
              <w:t>Manual cadmium reduction</w:t>
            </w:r>
          </w:p>
        </w:tc>
        <w:tc>
          <w:tcPr>
            <w:tcW w:w="860" w:type="dxa"/>
            <w:gridSpan w:val="2"/>
            <w:vMerge w:val="restart"/>
            <w:vAlign w:val="bottom"/>
          </w:tcPr>
          <w:p w14:paraId="2819DAFF" w14:textId="77777777" w:rsidR="004647B9" w:rsidRDefault="00E2436F">
            <w:pPr>
              <w:rPr>
                <w:sz w:val="20"/>
                <w:szCs w:val="20"/>
              </w:rPr>
            </w:pPr>
            <w:r>
              <w:rPr>
                <w:rFonts w:eastAsia="Times New Roman"/>
                <w:sz w:val="24"/>
                <w:szCs w:val="24"/>
                <w:vertAlign w:val="superscript"/>
              </w:rPr>
              <w:t>6</w:t>
            </w:r>
            <w:r>
              <w:rPr>
                <w:rFonts w:eastAsia="Times New Roman"/>
                <w:sz w:val="18"/>
                <w:szCs w:val="18"/>
              </w:rPr>
              <w:t>300.0</w:t>
            </w:r>
          </w:p>
        </w:tc>
        <w:tc>
          <w:tcPr>
            <w:tcW w:w="40" w:type="dxa"/>
            <w:vAlign w:val="bottom"/>
          </w:tcPr>
          <w:p w14:paraId="2819DB00" w14:textId="77777777" w:rsidR="004647B9" w:rsidRDefault="004647B9">
            <w:pPr>
              <w:rPr>
                <w:sz w:val="24"/>
                <w:szCs w:val="24"/>
              </w:rPr>
            </w:pPr>
          </w:p>
        </w:tc>
        <w:tc>
          <w:tcPr>
            <w:tcW w:w="1460" w:type="dxa"/>
            <w:gridSpan w:val="2"/>
            <w:vAlign w:val="bottom"/>
          </w:tcPr>
          <w:p w14:paraId="2819DB01" w14:textId="77777777" w:rsidR="004647B9" w:rsidRDefault="00E2436F">
            <w:pPr>
              <w:rPr>
                <w:sz w:val="20"/>
                <w:szCs w:val="20"/>
              </w:rPr>
            </w:pPr>
            <w:r>
              <w:rPr>
                <w:rFonts w:eastAsia="Times New Roman"/>
                <w:sz w:val="18"/>
                <w:szCs w:val="18"/>
              </w:rPr>
              <w:t>D3867-90B</w:t>
            </w:r>
          </w:p>
        </w:tc>
        <w:tc>
          <w:tcPr>
            <w:tcW w:w="260" w:type="dxa"/>
            <w:vAlign w:val="bottom"/>
          </w:tcPr>
          <w:p w14:paraId="2819DB02" w14:textId="77777777" w:rsidR="004647B9" w:rsidRDefault="004647B9">
            <w:pPr>
              <w:rPr>
                <w:sz w:val="24"/>
                <w:szCs w:val="24"/>
              </w:rPr>
            </w:pPr>
          </w:p>
        </w:tc>
        <w:tc>
          <w:tcPr>
            <w:tcW w:w="820" w:type="dxa"/>
            <w:gridSpan w:val="2"/>
            <w:vAlign w:val="bottom"/>
          </w:tcPr>
          <w:p w14:paraId="2819DB03"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B04" w14:textId="77777777" w:rsidR="004647B9" w:rsidRDefault="00E2436F">
            <w:pPr>
              <w:spacing w:line="291" w:lineRule="exact"/>
              <w:rPr>
                <w:sz w:val="20"/>
                <w:szCs w:val="20"/>
              </w:rPr>
            </w:pPr>
            <w:r>
              <w:rPr>
                <w:rFonts w:eastAsia="Times New Roman"/>
                <w:sz w:val="12"/>
                <w:szCs w:val="12"/>
              </w:rPr>
              <w:t>-</w:t>
            </w:r>
            <w:r>
              <w:rPr>
                <w:rFonts w:eastAsia="Times New Roman"/>
                <w:sz w:val="33"/>
                <w:szCs w:val="33"/>
                <w:vertAlign w:val="subscript"/>
              </w:rPr>
              <w:t>E</w:t>
            </w:r>
          </w:p>
        </w:tc>
        <w:tc>
          <w:tcPr>
            <w:tcW w:w="180" w:type="dxa"/>
            <w:vAlign w:val="bottom"/>
          </w:tcPr>
          <w:p w14:paraId="2819DB05" w14:textId="77777777" w:rsidR="004647B9" w:rsidRDefault="004647B9">
            <w:pPr>
              <w:rPr>
                <w:sz w:val="24"/>
                <w:szCs w:val="24"/>
              </w:rPr>
            </w:pPr>
          </w:p>
        </w:tc>
        <w:tc>
          <w:tcPr>
            <w:tcW w:w="880" w:type="dxa"/>
            <w:vAlign w:val="bottom"/>
          </w:tcPr>
          <w:p w14:paraId="2819DB06" w14:textId="77777777" w:rsidR="004647B9" w:rsidRDefault="00E2436F">
            <w:pPr>
              <w:ind w:left="20"/>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B07" w14:textId="77777777" w:rsidR="004647B9" w:rsidRDefault="00E2436F">
            <w:pPr>
              <w:spacing w:line="252" w:lineRule="exact"/>
              <w:rPr>
                <w:sz w:val="20"/>
                <w:szCs w:val="20"/>
              </w:rPr>
            </w:pPr>
            <w:r>
              <w:rPr>
                <w:rFonts w:eastAsia="Times New Roman"/>
                <w:sz w:val="24"/>
                <w:szCs w:val="24"/>
                <w:vertAlign w:val="superscript"/>
              </w:rPr>
              <w:t>-</w:t>
            </w:r>
            <w:r>
              <w:rPr>
                <w:rFonts w:eastAsia="Times New Roman"/>
                <w:sz w:val="18"/>
                <w:szCs w:val="18"/>
              </w:rPr>
              <w:t>E-00</w:t>
            </w:r>
          </w:p>
        </w:tc>
        <w:tc>
          <w:tcPr>
            <w:tcW w:w="1620" w:type="dxa"/>
            <w:gridSpan w:val="2"/>
            <w:vMerge w:val="restart"/>
            <w:vAlign w:val="bottom"/>
          </w:tcPr>
          <w:p w14:paraId="2819DB08" w14:textId="77777777" w:rsidR="004647B9" w:rsidRDefault="00E2436F">
            <w:pPr>
              <w:rPr>
                <w:sz w:val="20"/>
                <w:szCs w:val="20"/>
              </w:rPr>
            </w:pPr>
            <w:r>
              <w:rPr>
                <w:rFonts w:eastAsia="Times New Roman"/>
                <w:sz w:val="18"/>
                <w:szCs w:val="18"/>
              </w:rPr>
              <w:t>B-1011</w:t>
            </w:r>
            <w:r>
              <w:rPr>
                <w:rFonts w:eastAsia="Times New Roman"/>
                <w:sz w:val="24"/>
                <w:szCs w:val="24"/>
                <w:vertAlign w:val="superscript"/>
              </w:rPr>
              <w:t>8</w:t>
            </w:r>
          </w:p>
        </w:tc>
        <w:tc>
          <w:tcPr>
            <w:tcW w:w="0" w:type="dxa"/>
            <w:vAlign w:val="bottom"/>
          </w:tcPr>
          <w:p w14:paraId="2819DB09" w14:textId="77777777" w:rsidR="004647B9" w:rsidRDefault="004647B9">
            <w:pPr>
              <w:rPr>
                <w:sz w:val="1"/>
                <w:szCs w:val="1"/>
              </w:rPr>
            </w:pPr>
          </w:p>
        </w:tc>
      </w:tr>
      <w:tr w:rsidR="004647B9" w14:paraId="2819DB19" w14:textId="77777777">
        <w:trPr>
          <w:trHeight w:val="234"/>
        </w:trPr>
        <w:tc>
          <w:tcPr>
            <w:tcW w:w="1020" w:type="dxa"/>
            <w:vAlign w:val="bottom"/>
          </w:tcPr>
          <w:p w14:paraId="2819DB0B" w14:textId="77777777" w:rsidR="004647B9" w:rsidRDefault="004647B9">
            <w:pPr>
              <w:rPr>
                <w:sz w:val="20"/>
                <w:szCs w:val="20"/>
              </w:rPr>
            </w:pPr>
          </w:p>
        </w:tc>
        <w:tc>
          <w:tcPr>
            <w:tcW w:w="180" w:type="dxa"/>
            <w:vAlign w:val="bottom"/>
          </w:tcPr>
          <w:p w14:paraId="2819DB0C" w14:textId="77777777" w:rsidR="004647B9" w:rsidRDefault="004647B9">
            <w:pPr>
              <w:rPr>
                <w:sz w:val="20"/>
                <w:szCs w:val="20"/>
              </w:rPr>
            </w:pPr>
          </w:p>
        </w:tc>
        <w:tc>
          <w:tcPr>
            <w:tcW w:w="2600" w:type="dxa"/>
            <w:gridSpan w:val="2"/>
            <w:vAlign w:val="bottom"/>
          </w:tcPr>
          <w:p w14:paraId="2819DB0D" w14:textId="77777777" w:rsidR="004647B9" w:rsidRDefault="00E2436F">
            <w:pPr>
              <w:rPr>
                <w:sz w:val="20"/>
                <w:szCs w:val="20"/>
              </w:rPr>
            </w:pPr>
            <w:r>
              <w:rPr>
                <w:rFonts w:eastAsia="Times New Roman"/>
                <w:sz w:val="18"/>
                <w:szCs w:val="18"/>
              </w:rPr>
              <w:t>Ion chromatography</w:t>
            </w:r>
          </w:p>
        </w:tc>
        <w:tc>
          <w:tcPr>
            <w:tcW w:w="860" w:type="dxa"/>
            <w:gridSpan w:val="2"/>
            <w:vMerge/>
            <w:vAlign w:val="bottom"/>
          </w:tcPr>
          <w:p w14:paraId="2819DB0E" w14:textId="77777777" w:rsidR="004647B9" w:rsidRDefault="004647B9">
            <w:pPr>
              <w:rPr>
                <w:sz w:val="20"/>
                <w:szCs w:val="20"/>
              </w:rPr>
            </w:pPr>
          </w:p>
        </w:tc>
        <w:tc>
          <w:tcPr>
            <w:tcW w:w="40" w:type="dxa"/>
            <w:vAlign w:val="bottom"/>
          </w:tcPr>
          <w:p w14:paraId="2819DB0F" w14:textId="77777777" w:rsidR="004647B9" w:rsidRDefault="004647B9">
            <w:pPr>
              <w:rPr>
                <w:sz w:val="20"/>
                <w:szCs w:val="20"/>
              </w:rPr>
            </w:pPr>
          </w:p>
        </w:tc>
        <w:tc>
          <w:tcPr>
            <w:tcW w:w="1460" w:type="dxa"/>
            <w:gridSpan w:val="2"/>
            <w:vAlign w:val="bottom"/>
          </w:tcPr>
          <w:p w14:paraId="2819DB10" w14:textId="77777777" w:rsidR="004647B9" w:rsidRDefault="00E2436F">
            <w:pPr>
              <w:rPr>
                <w:sz w:val="20"/>
                <w:szCs w:val="20"/>
              </w:rPr>
            </w:pPr>
            <w:r>
              <w:rPr>
                <w:rFonts w:eastAsia="Times New Roman"/>
                <w:sz w:val="18"/>
                <w:szCs w:val="18"/>
              </w:rPr>
              <w:t>D4327-97,03</w:t>
            </w:r>
          </w:p>
        </w:tc>
        <w:tc>
          <w:tcPr>
            <w:tcW w:w="260" w:type="dxa"/>
            <w:vAlign w:val="bottom"/>
          </w:tcPr>
          <w:p w14:paraId="2819DB11" w14:textId="77777777" w:rsidR="004647B9" w:rsidRDefault="004647B9">
            <w:pPr>
              <w:rPr>
                <w:sz w:val="20"/>
                <w:szCs w:val="20"/>
              </w:rPr>
            </w:pPr>
          </w:p>
        </w:tc>
        <w:tc>
          <w:tcPr>
            <w:tcW w:w="820" w:type="dxa"/>
            <w:gridSpan w:val="2"/>
            <w:vAlign w:val="bottom"/>
          </w:tcPr>
          <w:p w14:paraId="2819DB12" w14:textId="77777777" w:rsidR="004647B9" w:rsidRDefault="00E2436F">
            <w:pPr>
              <w:rPr>
                <w:sz w:val="20"/>
                <w:szCs w:val="20"/>
              </w:rPr>
            </w:pPr>
            <w:r>
              <w:rPr>
                <w:rFonts w:eastAsia="Times New Roman"/>
                <w:sz w:val="18"/>
                <w:szCs w:val="18"/>
              </w:rPr>
              <w:t>4110B</w:t>
            </w:r>
          </w:p>
        </w:tc>
        <w:tc>
          <w:tcPr>
            <w:tcW w:w="340" w:type="dxa"/>
            <w:vAlign w:val="bottom"/>
          </w:tcPr>
          <w:p w14:paraId="2819DB13" w14:textId="77777777" w:rsidR="004647B9" w:rsidRDefault="004647B9">
            <w:pPr>
              <w:rPr>
                <w:sz w:val="20"/>
                <w:szCs w:val="20"/>
              </w:rPr>
            </w:pPr>
          </w:p>
        </w:tc>
        <w:tc>
          <w:tcPr>
            <w:tcW w:w="180" w:type="dxa"/>
            <w:vAlign w:val="bottom"/>
          </w:tcPr>
          <w:p w14:paraId="2819DB14" w14:textId="77777777" w:rsidR="004647B9" w:rsidRDefault="004647B9">
            <w:pPr>
              <w:rPr>
                <w:sz w:val="20"/>
                <w:szCs w:val="20"/>
              </w:rPr>
            </w:pPr>
          </w:p>
        </w:tc>
        <w:tc>
          <w:tcPr>
            <w:tcW w:w="880" w:type="dxa"/>
            <w:vAlign w:val="bottom"/>
          </w:tcPr>
          <w:p w14:paraId="2819DB15" w14:textId="77777777" w:rsidR="004647B9" w:rsidRDefault="00E2436F">
            <w:pPr>
              <w:rPr>
                <w:sz w:val="20"/>
                <w:szCs w:val="20"/>
              </w:rPr>
            </w:pPr>
            <w:r>
              <w:rPr>
                <w:rFonts w:eastAsia="Times New Roman"/>
                <w:sz w:val="18"/>
                <w:szCs w:val="18"/>
              </w:rPr>
              <w:t>4110B-00</w:t>
            </w:r>
          </w:p>
        </w:tc>
        <w:tc>
          <w:tcPr>
            <w:tcW w:w="660" w:type="dxa"/>
            <w:vAlign w:val="bottom"/>
          </w:tcPr>
          <w:p w14:paraId="2819DB16" w14:textId="77777777" w:rsidR="004647B9" w:rsidRDefault="004647B9">
            <w:pPr>
              <w:rPr>
                <w:sz w:val="20"/>
                <w:szCs w:val="20"/>
              </w:rPr>
            </w:pPr>
          </w:p>
        </w:tc>
        <w:tc>
          <w:tcPr>
            <w:tcW w:w="1620" w:type="dxa"/>
            <w:gridSpan w:val="2"/>
            <w:vMerge/>
            <w:vAlign w:val="bottom"/>
          </w:tcPr>
          <w:p w14:paraId="2819DB17" w14:textId="77777777" w:rsidR="004647B9" w:rsidRDefault="004647B9">
            <w:pPr>
              <w:rPr>
                <w:sz w:val="20"/>
                <w:szCs w:val="20"/>
              </w:rPr>
            </w:pPr>
          </w:p>
        </w:tc>
        <w:tc>
          <w:tcPr>
            <w:tcW w:w="0" w:type="dxa"/>
            <w:vAlign w:val="bottom"/>
          </w:tcPr>
          <w:p w14:paraId="2819DB18" w14:textId="77777777" w:rsidR="004647B9" w:rsidRDefault="004647B9">
            <w:pPr>
              <w:rPr>
                <w:sz w:val="1"/>
                <w:szCs w:val="1"/>
              </w:rPr>
            </w:pPr>
          </w:p>
        </w:tc>
      </w:tr>
      <w:tr w:rsidR="004647B9" w14:paraId="2819DB2A" w14:textId="77777777">
        <w:trPr>
          <w:trHeight w:val="353"/>
        </w:trPr>
        <w:tc>
          <w:tcPr>
            <w:tcW w:w="1020" w:type="dxa"/>
            <w:vAlign w:val="bottom"/>
          </w:tcPr>
          <w:p w14:paraId="2819DB1A" w14:textId="77777777" w:rsidR="004647B9" w:rsidRDefault="004647B9">
            <w:pPr>
              <w:rPr>
                <w:sz w:val="24"/>
                <w:szCs w:val="24"/>
              </w:rPr>
            </w:pPr>
          </w:p>
        </w:tc>
        <w:tc>
          <w:tcPr>
            <w:tcW w:w="180" w:type="dxa"/>
            <w:vAlign w:val="bottom"/>
          </w:tcPr>
          <w:p w14:paraId="2819DB1B" w14:textId="77777777" w:rsidR="004647B9" w:rsidRDefault="004647B9">
            <w:pPr>
              <w:rPr>
                <w:sz w:val="24"/>
                <w:szCs w:val="24"/>
              </w:rPr>
            </w:pPr>
          </w:p>
        </w:tc>
        <w:tc>
          <w:tcPr>
            <w:tcW w:w="2600" w:type="dxa"/>
            <w:gridSpan w:val="2"/>
            <w:vMerge w:val="restart"/>
            <w:vAlign w:val="bottom"/>
          </w:tcPr>
          <w:p w14:paraId="2819DB1C" w14:textId="77777777" w:rsidR="004647B9" w:rsidRDefault="00E2436F">
            <w:pPr>
              <w:rPr>
                <w:sz w:val="20"/>
                <w:szCs w:val="20"/>
              </w:rPr>
            </w:pPr>
            <w:r>
              <w:rPr>
                <w:rFonts w:eastAsia="Times New Roman"/>
                <w:sz w:val="18"/>
                <w:szCs w:val="18"/>
              </w:rPr>
              <w:t>Capillary Ion Electrophoresis</w:t>
            </w:r>
          </w:p>
        </w:tc>
        <w:tc>
          <w:tcPr>
            <w:tcW w:w="860" w:type="dxa"/>
            <w:gridSpan w:val="2"/>
            <w:vAlign w:val="bottom"/>
          </w:tcPr>
          <w:p w14:paraId="2819DB1D" w14:textId="77777777" w:rsidR="004647B9" w:rsidRDefault="00E2436F">
            <w:pPr>
              <w:rPr>
                <w:sz w:val="20"/>
                <w:szCs w:val="20"/>
              </w:rPr>
            </w:pPr>
            <w:r>
              <w:rPr>
                <w:rFonts w:eastAsia="Times New Roman"/>
                <w:sz w:val="24"/>
                <w:szCs w:val="24"/>
                <w:vertAlign w:val="superscript"/>
              </w:rPr>
              <w:t>20</w:t>
            </w:r>
            <w:r>
              <w:rPr>
                <w:rFonts w:eastAsia="Times New Roman"/>
                <w:sz w:val="18"/>
                <w:szCs w:val="18"/>
              </w:rPr>
              <w:t>300.1</w:t>
            </w:r>
          </w:p>
        </w:tc>
        <w:tc>
          <w:tcPr>
            <w:tcW w:w="40" w:type="dxa"/>
            <w:vAlign w:val="bottom"/>
          </w:tcPr>
          <w:p w14:paraId="2819DB1E" w14:textId="77777777" w:rsidR="004647B9" w:rsidRDefault="004647B9">
            <w:pPr>
              <w:rPr>
                <w:sz w:val="24"/>
                <w:szCs w:val="24"/>
              </w:rPr>
            </w:pPr>
          </w:p>
        </w:tc>
        <w:tc>
          <w:tcPr>
            <w:tcW w:w="560" w:type="dxa"/>
            <w:vAlign w:val="bottom"/>
          </w:tcPr>
          <w:p w14:paraId="2819DB1F" w14:textId="77777777" w:rsidR="004647B9" w:rsidRDefault="004647B9">
            <w:pPr>
              <w:rPr>
                <w:sz w:val="24"/>
                <w:szCs w:val="24"/>
              </w:rPr>
            </w:pPr>
          </w:p>
        </w:tc>
        <w:tc>
          <w:tcPr>
            <w:tcW w:w="900" w:type="dxa"/>
            <w:vAlign w:val="bottom"/>
          </w:tcPr>
          <w:p w14:paraId="2819DB20" w14:textId="77777777" w:rsidR="004647B9" w:rsidRDefault="004647B9">
            <w:pPr>
              <w:rPr>
                <w:sz w:val="24"/>
                <w:szCs w:val="24"/>
              </w:rPr>
            </w:pPr>
          </w:p>
        </w:tc>
        <w:tc>
          <w:tcPr>
            <w:tcW w:w="260" w:type="dxa"/>
            <w:vAlign w:val="bottom"/>
          </w:tcPr>
          <w:p w14:paraId="2819DB21" w14:textId="77777777" w:rsidR="004647B9" w:rsidRDefault="004647B9">
            <w:pPr>
              <w:rPr>
                <w:sz w:val="24"/>
                <w:szCs w:val="24"/>
              </w:rPr>
            </w:pPr>
          </w:p>
        </w:tc>
        <w:tc>
          <w:tcPr>
            <w:tcW w:w="280" w:type="dxa"/>
            <w:vAlign w:val="bottom"/>
          </w:tcPr>
          <w:p w14:paraId="2819DB22" w14:textId="77777777" w:rsidR="004647B9" w:rsidRDefault="004647B9">
            <w:pPr>
              <w:rPr>
                <w:sz w:val="24"/>
                <w:szCs w:val="24"/>
              </w:rPr>
            </w:pPr>
          </w:p>
        </w:tc>
        <w:tc>
          <w:tcPr>
            <w:tcW w:w="540" w:type="dxa"/>
            <w:vAlign w:val="bottom"/>
          </w:tcPr>
          <w:p w14:paraId="2819DB23" w14:textId="77777777" w:rsidR="004647B9" w:rsidRDefault="004647B9">
            <w:pPr>
              <w:rPr>
                <w:sz w:val="24"/>
                <w:szCs w:val="24"/>
              </w:rPr>
            </w:pPr>
          </w:p>
        </w:tc>
        <w:tc>
          <w:tcPr>
            <w:tcW w:w="340" w:type="dxa"/>
            <w:vAlign w:val="bottom"/>
          </w:tcPr>
          <w:p w14:paraId="2819DB24" w14:textId="77777777" w:rsidR="004647B9" w:rsidRDefault="004647B9">
            <w:pPr>
              <w:rPr>
                <w:sz w:val="24"/>
                <w:szCs w:val="24"/>
              </w:rPr>
            </w:pPr>
          </w:p>
        </w:tc>
        <w:tc>
          <w:tcPr>
            <w:tcW w:w="180" w:type="dxa"/>
            <w:vAlign w:val="bottom"/>
          </w:tcPr>
          <w:p w14:paraId="2819DB25" w14:textId="77777777" w:rsidR="004647B9" w:rsidRDefault="004647B9">
            <w:pPr>
              <w:rPr>
                <w:sz w:val="24"/>
                <w:szCs w:val="24"/>
              </w:rPr>
            </w:pPr>
          </w:p>
        </w:tc>
        <w:tc>
          <w:tcPr>
            <w:tcW w:w="880" w:type="dxa"/>
            <w:vAlign w:val="bottom"/>
          </w:tcPr>
          <w:p w14:paraId="2819DB26" w14:textId="77777777" w:rsidR="004647B9" w:rsidRDefault="004647B9">
            <w:pPr>
              <w:rPr>
                <w:sz w:val="24"/>
                <w:szCs w:val="24"/>
              </w:rPr>
            </w:pPr>
          </w:p>
        </w:tc>
        <w:tc>
          <w:tcPr>
            <w:tcW w:w="660" w:type="dxa"/>
            <w:vAlign w:val="bottom"/>
          </w:tcPr>
          <w:p w14:paraId="2819DB27" w14:textId="77777777" w:rsidR="004647B9" w:rsidRDefault="004647B9">
            <w:pPr>
              <w:rPr>
                <w:sz w:val="24"/>
                <w:szCs w:val="24"/>
              </w:rPr>
            </w:pPr>
          </w:p>
        </w:tc>
        <w:tc>
          <w:tcPr>
            <w:tcW w:w="1620" w:type="dxa"/>
            <w:gridSpan w:val="2"/>
            <w:vMerge w:val="restart"/>
            <w:vAlign w:val="bottom"/>
          </w:tcPr>
          <w:p w14:paraId="2819DB28" w14:textId="77777777" w:rsidR="004647B9" w:rsidRDefault="00E2436F">
            <w:pPr>
              <w:rPr>
                <w:sz w:val="20"/>
                <w:szCs w:val="20"/>
              </w:rPr>
            </w:pPr>
            <w:r>
              <w:rPr>
                <w:rFonts w:eastAsia="Times New Roman"/>
                <w:sz w:val="18"/>
                <w:szCs w:val="18"/>
              </w:rPr>
              <w:t>D6508-00, Rev.2</w:t>
            </w:r>
            <w:r>
              <w:rPr>
                <w:rFonts w:eastAsia="Times New Roman"/>
                <w:sz w:val="24"/>
                <w:szCs w:val="24"/>
                <w:vertAlign w:val="superscript"/>
              </w:rPr>
              <w:t>24</w:t>
            </w:r>
          </w:p>
        </w:tc>
        <w:tc>
          <w:tcPr>
            <w:tcW w:w="0" w:type="dxa"/>
            <w:vAlign w:val="bottom"/>
          </w:tcPr>
          <w:p w14:paraId="2819DB29" w14:textId="77777777" w:rsidR="004647B9" w:rsidRDefault="004647B9">
            <w:pPr>
              <w:rPr>
                <w:sz w:val="1"/>
                <w:szCs w:val="1"/>
              </w:rPr>
            </w:pPr>
          </w:p>
        </w:tc>
      </w:tr>
      <w:tr w:rsidR="004647B9" w14:paraId="2819DB3C" w14:textId="77777777">
        <w:trPr>
          <w:trHeight w:val="194"/>
        </w:trPr>
        <w:tc>
          <w:tcPr>
            <w:tcW w:w="1020" w:type="dxa"/>
            <w:vAlign w:val="bottom"/>
          </w:tcPr>
          <w:p w14:paraId="2819DB2B" w14:textId="77777777" w:rsidR="004647B9" w:rsidRDefault="004647B9">
            <w:pPr>
              <w:rPr>
                <w:sz w:val="16"/>
                <w:szCs w:val="16"/>
              </w:rPr>
            </w:pPr>
          </w:p>
        </w:tc>
        <w:tc>
          <w:tcPr>
            <w:tcW w:w="180" w:type="dxa"/>
            <w:vAlign w:val="bottom"/>
          </w:tcPr>
          <w:p w14:paraId="2819DB2C" w14:textId="77777777" w:rsidR="004647B9" w:rsidRDefault="004647B9">
            <w:pPr>
              <w:rPr>
                <w:sz w:val="16"/>
                <w:szCs w:val="16"/>
              </w:rPr>
            </w:pPr>
          </w:p>
        </w:tc>
        <w:tc>
          <w:tcPr>
            <w:tcW w:w="2600" w:type="dxa"/>
            <w:gridSpan w:val="2"/>
            <w:vMerge/>
            <w:vAlign w:val="bottom"/>
          </w:tcPr>
          <w:p w14:paraId="2819DB2D" w14:textId="77777777" w:rsidR="004647B9" w:rsidRDefault="004647B9">
            <w:pPr>
              <w:rPr>
                <w:sz w:val="16"/>
                <w:szCs w:val="16"/>
              </w:rPr>
            </w:pPr>
          </w:p>
        </w:tc>
        <w:tc>
          <w:tcPr>
            <w:tcW w:w="380" w:type="dxa"/>
            <w:vAlign w:val="bottom"/>
          </w:tcPr>
          <w:p w14:paraId="2819DB2E" w14:textId="77777777" w:rsidR="004647B9" w:rsidRDefault="004647B9">
            <w:pPr>
              <w:rPr>
                <w:sz w:val="16"/>
                <w:szCs w:val="16"/>
              </w:rPr>
            </w:pPr>
          </w:p>
        </w:tc>
        <w:tc>
          <w:tcPr>
            <w:tcW w:w="480" w:type="dxa"/>
            <w:vAlign w:val="bottom"/>
          </w:tcPr>
          <w:p w14:paraId="2819DB2F" w14:textId="77777777" w:rsidR="004647B9" w:rsidRDefault="004647B9">
            <w:pPr>
              <w:rPr>
                <w:sz w:val="16"/>
                <w:szCs w:val="16"/>
              </w:rPr>
            </w:pPr>
          </w:p>
        </w:tc>
        <w:tc>
          <w:tcPr>
            <w:tcW w:w="40" w:type="dxa"/>
            <w:vAlign w:val="bottom"/>
          </w:tcPr>
          <w:p w14:paraId="2819DB30" w14:textId="77777777" w:rsidR="004647B9" w:rsidRDefault="004647B9">
            <w:pPr>
              <w:rPr>
                <w:sz w:val="16"/>
                <w:szCs w:val="16"/>
              </w:rPr>
            </w:pPr>
          </w:p>
        </w:tc>
        <w:tc>
          <w:tcPr>
            <w:tcW w:w="560" w:type="dxa"/>
            <w:vAlign w:val="bottom"/>
          </w:tcPr>
          <w:p w14:paraId="2819DB31" w14:textId="77777777" w:rsidR="004647B9" w:rsidRDefault="004647B9">
            <w:pPr>
              <w:rPr>
                <w:sz w:val="16"/>
                <w:szCs w:val="16"/>
              </w:rPr>
            </w:pPr>
          </w:p>
        </w:tc>
        <w:tc>
          <w:tcPr>
            <w:tcW w:w="900" w:type="dxa"/>
            <w:vAlign w:val="bottom"/>
          </w:tcPr>
          <w:p w14:paraId="2819DB32" w14:textId="77777777" w:rsidR="004647B9" w:rsidRDefault="004647B9">
            <w:pPr>
              <w:rPr>
                <w:sz w:val="16"/>
                <w:szCs w:val="16"/>
              </w:rPr>
            </w:pPr>
          </w:p>
        </w:tc>
        <w:tc>
          <w:tcPr>
            <w:tcW w:w="260" w:type="dxa"/>
            <w:vAlign w:val="bottom"/>
          </w:tcPr>
          <w:p w14:paraId="2819DB33" w14:textId="77777777" w:rsidR="004647B9" w:rsidRDefault="004647B9">
            <w:pPr>
              <w:rPr>
                <w:sz w:val="16"/>
                <w:szCs w:val="16"/>
              </w:rPr>
            </w:pPr>
          </w:p>
        </w:tc>
        <w:tc>
          <w:tcPr>
            <w:tcW w:w="280" w:type="dxa"/>
            <w:vAlign w:val="bottom"/>
          </w:tcPr>
          <w:p w14:paraId="2819DB34" w14:textId="77777777" w:rsidR="004647B9" w:rsidRDefault="004647B9">
            <w:pPr>
              <w:rPr>
                <w:sz w:val="16"/>
                <w:szCs w:val="16"/>
              </w:rPr>
            </w:pPr>
          </w:p>
        </w:tc>
        <w:tc>
          <w:tcPr>
            <w:tcW w:w="540" w:type="dxa"/>
            <w:vAlign w:val="bottom"/>
          </w:tcPr>
          <w:p w14:paraId="2819DB35" w14:textId="77777777" w:rsidR="004647B9" w:rsidRDefault="004647B9">
            <w:pPr>
              <w:rPr>
                <w:sz w:val="16"/>
                <w:szCs w:val="16"/>
              </w:rPr>
            </w:pPr>
          </w:p>
        </w:tc>
        <w:tc>
          <w:tcPr>
            <w:tcW w:w="340" w:type="dxa"/>
            <w:vAlign w:val="bottom"/>
          </w:tcPr>
          <w:p w14:paraId="2819DB36" w14:textId="77777777" w:rsidR="004647B9" w:rsidRDefault="004647B9">
            <w:pPr>
              <w:rPr>
                <w:sz w:val="16"/>
                <w:szCs w:val="16"/>
              </w:rPr>
            </w:pPr>
          </w:p>
        </w:tc>
        <w:tc>
          <w:tcPr>
            <w:tcW w:w="180" w:type="dxa"/>
            <w:vAlign w:val="bottom"/>
          </w:tcPr>
          <w:p w14:paraId="2819DB37" w14:textId="77777777" w:rsidR="004647B9" w:rsidRDefault="004647B9">
            <w:pPr>
              <w:rPr>
                <w:sz w:val="16"/>
                <w:szCs w:val="16"/>
              </w:rPr>
            </w:pPr>
          </w:p>
        </w:tc>
        <w:tc>
          <w:tcPr>
            <w:tcW w:w="880" w:type="dxa"/>
            <w:vAlign w:val="bottom"/>
          </w:tcPr>
          <w:p w14:paraId="2819DB38" w14:textId="77777777" w:rsidR="004647B9" w:rsidRDefault="004647B9">
            <w:pPr>
              <w:rPr>
                <w:sz w:val="16"/>
                <w:szCs w:val="16"/>
              </w:rPr>
            </w:pPr>
          </w:p>
        </w:tc>
        <w:tc>
          <w:tcPr>
            <w:tcW w:w="660" w:type="dxa"/>
            <w:vAlign w:val="bottom"/>
          </w:tcPr>
          <w:p w14:paraId="2819DB39" w14:textId="77777777" w:rsidR="004647B9" w:rsidRDefault="004647B9">
            <w:pPr>
              <w:rPr>
                <w:sz w:val="16"/>
                <w:szCs w:val="16"/>
              </w:rPr>
            </w:pPr>
          </w:p>
        </w:tc>
        <w:tc>
          <w:tcPr>
            <w:tcW w:w="1620" w:type="dxa"/>
            <w:gridSpan w:val="2"/>
            <w:vMerge/>
            <w:vAlign w:val="bottom"/>
          </w:tcPr>
          <w:p w14:paraId="2819DB3A" w14:textId="77777777" w:rsidR="004647B9" w:rsidRDefault="004647B9">
            <w:pPr>
              <w:rPr>
                <w:sz w:val="16"/>
                <w:szCs w:val="16"/>
              </w:rPr>
            </w:pPr>
          </w:p>
        </w:tc>
        <w:tc>
          <w:tcPr>
            <w:tcW w:w="0" w:type="dxa"/>
            <w:vAlign w:val="bottom"/>
          </w:tcPr>
          <w:p w14:paraId="2819DB3B" w14:textId="77777777" w:rsidR="004647B9" w:rsidRDefault="004647B9">
            <w:pPr>
              <w:rPr>
                <w:sz w:val="1"/>
                <w:szCs w:val="1"/>
              </w:rPr>
            </w:pPr>
          </w:p>
        </w:tc>
      </w:tr>
      <w:tr w:rsidR="004647B9" w14:paraId="2819DB4E" w14:textId="77777777">
        <w:trPr>
          <w:trHeight w:val="274"/>
        </w:trPr>
        <w:tc>
          <w:tcPr>
            <w:tcW w:w="1020" w:type="dxa"/>
            <w:vAlign w:val="bottom"/>
          </w:tcPr>
          <w:p w14:paraId="2819DB3D" w14:textId="77777777" w:rsidR="004647B9" w:rsidRDefault="00E2436F">
            <w:pPr>
              <w:rPr>
                <w:sz w:val="20"/>
                <w:szCs w:val="20"/>
              </w:rPr>
            </w:pPr>
            <w:r>
              <w:rPr>
                <w:rFonts w:eastAsia="Times New Roman"/>
                <w:sz w:val="18"/>
                <w:szCs w:val="18"/>
              </w:rPr>
              <w:t>Perchlorate</w:t>
            </w:r>
          </w:p>
        </w:tc>
        <w:tc>
          <w:tcPr>
            <w:tcW w:w="180" w:type="dxa"/>
            <w:vAlign w:val="bottom"/>
          </w:tcPr>
          <w:p w14:paraId="2819DB3E" w14:textId="77777777" w:rsidR="004647B9" w:rsidRDefault="004647B9">
            <w:pPr>
              <w:rPr>
                <w:sz w:val="23"/>
                <w:szCs w:val="23"/>
              </w:rPr>
            </w:pPr>
          </w:p>
        </w:tc>
        <w:tc>
          <w:tcPr>
            <w:tcW w:w="2600" w:type="dxa"/>
            <w:gridSpan w:val="2"/>
            <w:vAlign w:val="bottom"/>
          </w:tcPr>
          <w:p w14:paraId="2819DB3F" w14:textId="77777777" w:rsidR="004647B9" w:rsidRDefault="00E2436F">
            <w:pPr>
              <w:rPr>
                <w:sz w:val="20"/>
                <w:szCs w:val="20"/>
              </w:rPr>
            </w:pPr>
            <w:r>
              <w:rPr>
                <w:rFonts w:eastAsia="Times New Roman"/>
                <w:sz w:val="18"/>
                <w:szCs w:val="18"/>
              </w:rPr>
              <w:t>Ion chromatography</w:t>
            </w:r>
          </w:p>
        </w:tc>
        <w:tc>
          <w:tcPr>
            <w:tcW w:w="860" w:type="dxa"/>
            <w:gridSpan w:val="2"/>
            <w:vAlign w:val="bottom"/>
          </w:tcPr>
          <w:p w14:paraId="2819DB40" w14:textId="77777777" w:rsidR="004647B9" w:rsidRDefault="00E2436F">
            <w:pPr>
              <w:spacing w:line="273" w:lineRule="exact"/>
              <w:rPr>
                <w:sz w:val="20"/>
                <w:szCs w:val="20"/>
              </w:rPr>
            </w:pPr>
            <w:r>
              <w:rPr>
                <w:rFonts w:eastAsia="Times New Roman"/>
                <w:sz w:val="24"/>
                <w:szCs w:val="24"/>
                <w:vertAlign w:val="superscript"/>
              </w:rPr>
              <w:t>14</w:t>
            </w:r>
            <w:r>
              <w:rPr>
                <w:rFonts w:eastAsia="Times New Roman"/>
                <w:sz w:val="18"/>
                <w:szCs w:val="18"/>
              </w:rPr>
              <w:t>314.0</w:t>
            </w:r>
          </w:p>
        </w:tc>
        <w:tc>
          <w:tcPr>
            <w:tcW w:w="40" w:type="dxa"/>
            <w:vAlign w:val="bottom"/>
          </w:tcPr>
          <w:p w14:paraId="2819DB41" w14:textId="77777777" w:rsidR="004647B9" w:rsidRDefault="004647B9">
            <w:pPr>
              <w:rPr>
                <w:sz w:val="23"/>
                <w:szCs w:val="23"/>
              </w:rPr>
            </w:pPr>
          </w:p>
        </w:tc>
        <w:tc>
          <w:tcPr>
            <w:tcW w:w="560" w:type="dxa"/>
            <w:vAlign w:val="bottom"/>
          </w:tcPr>
          <w:p w14:paraId="2819DB42" w14:textId="77777777" w:rsidR="004647B9" w:rsidRDefault="004647B9">
            <w:pPr>
              <w:rPr>
                <w:sz w:val="23"/>
                <w:szCs w:val="23"/>
              </w:rPr>
            </w:pPr>
          </w:p>
        </w:tc>
        <w:tc>
          <w:tcPr>
            <w:tcW w:w="900" w:type="dxa"/>
            <w:vAlign w:val="bottom"/>
          </w:tcPr>
          <w:p w14:paraId="2819DB43" w14:textId="77777777" w:rsidR="004647B9" w:rsidRDefault="004647B9">
            <w:pPr>
              <w:rPr>
                <w:sz w:val="23"/>
                <w:szCs w:val="23"/>
              </w:rPr>
            </w:pPr>
          </w:p>
        </w:tc>
        <w:tc>
          <w:tcPr>
            <w:tcW w:w="260" w:type="dxa"/>
            <w:vAlign w:val="bottom"/>
          </w:tcPr>
          <w:p w14:paraId="2819DB44" w14:textId="77777777" w:rsidR="004647B9" w:rsidRDefault="004647B9">
            <w:pPr>
              <w:rPr>
                <w:sz w:val="23"/>
                <w:szCs w:val="23"/>
              </w:rPr>
            </w:pPr>
          </w:p>
        </w:tc>
        <w:tc>
          <w:tcPr>
            <w:tcW w:w="280" w:type="dxa"/>
            <w:vAlign w:val="bottom"/>
          </w:tcPr>
          <w:p w14:paraId="2819DB45" w14:textId="77777777" w:rsidR="004647B9" w:rsidRDefault="004647B9">
            <w:pPr>
              <w:rPr>
                <w:sz w:val="23"/>
                <w:szCs w:val="23"/>
              </w:rPr>
            </w:pPr>
          </w:p>
        </w:tc>
        <w:tc>
          <w:tcPr>
            <w:tcW w:w="540" w:type="dxa"/>
            <w:vAlign w:val="bottom"/>
          </w:tcPr>
          <w:p w14:paraId="2819DB46" w14:textId="77777777" w:rsidR="004647B9" w:rsidRDefault="004647B9">
            <w:pPr>
              <w:rPr>
                <w:sz w:val="23"/>
                <w:szCs w:val="23"/>
              </w:rPr>
            </w:pPr>
          </w:p>
        </w:tc>
        <w:tc>
          <w:tcPr>
            <w:tcW w:w="340" w:type="dxa"/>
            <w:vAlign w:val="bottom"/>
          </w:tcPr>
          <w:p w14:paraId="2819DB47" w14:textId="77777777" w:rsidR="004647B9" w:rsidRDefault="004647B9">
            <w:pPr>
              <w:rPr>
                <w:sz w:val="23"/>
                <w:szCs w:val="23"/>
              </w:rPr>
            </w:pPr>
          </w:p>
        </w:tc>
        <w:tc>
          <w:tcPr>
            <w:tcW w:w="180" w:type="dxa"/>
            <w:vAlign w:val="bottom"/>
          </w:tcPr>
          <w:p w14:paraId="2819DB48" w14:textId="77777777" w:rsidR="004647B9" w:rsidRDefault="004647B9">
            <w:pPr>
              <w:rPr>
                <w:sz w:val="23"/>
                <w:szCs w:val="23"/>
              </w:rPr>
            </w:pPr>
          </w:p>
        </w:tc>
        <w:tc>
          <w:tcPr>
            <w:tcW w:w="880" w:type="dxa"/>
            <w:vAlign w:val="bottom"/>
          </w:tcPr>
          <w:p w14:paraId="2819DB49" w14:textId="77777777" w:rsidR="004647B9" w:rsidRDefault="004647B9">
            <w:pPr>
              <w:rPr>
                <w:sz w:val="23"/>
                <w:szCs w:val="23"/>
              </w:rPr>
            </w:pPr>
          </w:p>
        </w:tc>
        <w:tc>
          <w:tcPr>
            <w:tcW w:w="660" w:type="dxa"/>
            <w:vAlign w:val="bottom"/>
          </w:tcPr>
          <w:p w14:paraId="2819DB4A" w14:textId="77777777" w:rsidR="004647B9" w:rsidRDefault="004647B9">
            <w:pPr>
              <w:rPr>
                <w:sz w:val="23"/>
                <w:szCs w:val="23"/>
              </w:rPr>
            </w:pPr>
          </w:p>
        </w:tc>
        <w:tc>
          <w:tcPr>
            <w:tcW w:w="460" w:type="dxa"/>
            <w:vAlign w:val="bottom"/>
          </w:tcPr>
          <w:p w14:paraId="2819DB4B" w14:textId="77777777" w:rsidR="004647B9" w:rsidRDefault="004647B9">
            <w:pPr>
              <w:rPr>
                <w:sz w:val="23"/>
                <w:szCs w:val="23"/>
              </w:rPr>
            </w:pPr>
          </w:p>
        </w:tc>
        <w:tc>
          <w:tcPr>
            <w:tcW w:w="1160" w:type="dxa"/>
            <w:vAlign w:val="bottom"/>
          </w:tcPr>
          <w:p w14:paraId="2819DB4C" w14:textId="77777777" w:rsidR="004647B9" w:rsidRDefault="004647B9">
            <w:pPr>
              <w:rPr>
                <w:sz w:val="23"/>
                <w:szCs w:val="23"/>
              </w:rPr>
            </w:pPr>
          </w:p>
        </w:tc>
        <w:tc>
          <w:tcPr>
            <w:tcW w:w="0" w:type="dxa"/>
            <w:vAlign w:val="bottom"/>
          </w:tcPr>
          <w:p w14:paraId="2819DB4D" w14:textId="77777777" w:rsidR="004647B9" w:rsidRDefault="004647B9">
            <w:pPr>
              <w:rPr>
                <w:sz w:val="1"/>
                <w:szCs w:val="1"/>
              </w:rPr>
            </w:pPr>
          </w:p>
        </w:tc>
      </w:tr>
      <w:tr w:rsidR="004647B9" w14:paraId="2819DB61" w14:textId="77777777">
        <w:trPr>
          <w:trHeight w:val="274"/>
        </w:trPr>
        <w:tc>
          <w:tcPr>
            <w:tcW w:w="1020" w:type="dxa"/>
            <w:vAlign w:val="bottom"/>
          </w:tcPr>
          <w:p w14:paraId="2819DB4F" w14:textId="77777777" w:rsidR="004647B9" w:rsidRDefault="004647B9">
            <w:pPr>
              <w:rPr>
                <w:sz w:val="23"/>
                <w:szCs w:val="23"/>
              </w:rPr>
            </w:pPr>
          </w:p>
        </w:tc>
        <w:tc>
          <w:tcPr>
            <w:tcW w:w="180" w:type="dxa"/>
            <w:vAlign w:val="bottom"/>
          </w:tcPr>
          <w:p w14:paraId="2819DB50" w14:textId="77777777" w:rsidR="004647B9" w:rsidRDefault="004647B9">
            <w:pPr>
              <w:rPr>
                <w:sz w:val="23"/>
                <w:szCs w:val="23"/>
              </w:rPr>
            </w:pPr>
          </w:p>
        </w:tc>
        <w:tc>
          <w:tcPr>
            <w:tcW w:w="1080" w:type="dxa"/>
            <w:vAlign w:val="bottom"/>
          </w:tcPr>
          <w:p w14:paraId="2819DB51" w14:textId="77777777" w:rsidR="004647B9" w:rsidRDefault="004647B9">
            <w:pPr>
              <w:rPr>
                <w:sz w:val="23"/>
                <w:szCs w:val="23"/>
              </w:rPr>
            </w:pPr>
          </w:p>
        </w:tc>
        <w:tc>
          <w:tcPr>
            <w:tcW w:w="1520" w:type="dxa"/>
            <w:vAlign w:val="bottom"/>
          </w:tcPr>
          <w:p w14:paraId="2819DB52" w14:textId="77777777" w:rsidR="004647B9" w:rsidRDefault="004647B9">
            <w:pPr>
              <w:rPr>
                <w:sz w:val="23"/>
                <w:szCs w:val="23"/>
              </w:rPr>
            </w:pPr>
          </w:p>
        </w:tc>
        <w:tc>
          <w:tcPr>
            <w:tcW w:w="860" w:type="dxa"/>
            <w:gridSpan w:val="2"/>
            <w:vAlign w:val="bottom"/>
          </w:tcPr>
          <w:p w14:paraId="2819DB53" w14:textId="77777777" w:rsidR="004647B9" w:rsidRDefault="00E2436F">
            <w:pPr>
              <w:spacing w:line="273" w:lineRule="exact"/>
              <w:rPr>
                <w:sz w:val="20"/>
                <w:szCs w:val="20"/>
              </w:rPr>
            </w:pPr>
            <w:r>
              <w:rPr>
                <w:rFonts w:eastAsia="Times New Roman"/>
                <w:sz w:val="24"/>
                <w:szCs w:val="24"/>
                <w:vertAlign w:val="superscript"/>
              </w:rPr>
              <w:t>15</w:t>
            </w:r>
            <w:r>
              <w:rPr>
                <w:rFonts w:eastAsia="Times New Roman"/>
                <w:sz w:val="18"/>
                <w:szCs w:val="18"/>
              </w:rPr>
              <w:t>314.1</w:t>
            </w:r>
          </w:p>
        </w:tc>
        <w:tc>
          <w:tcPr>
            <w:tcW w:w="40" w:type="dxa"/>
            <w:vAlign w:val="bottom"/>
          </w:tcPr>
          <w:p w14:paraId="2819DB54" w14:textId="77777777" w:rsidR="004647B9" w:rsidRDefault="004647B9">
            <w:pPr>
              <w:rPr>
                <w:sz w:val="23"/>
                <w:szCs w:val="23"/>
              </w:rPr>
            </w:pPr>
          </w:p>
        </w:tc>
        <w:tc>
          <w:tcPr>
            <w:tcW w:w="560" w:type="dxa"/>
            <w:vAlign w:val="bottom"/>
          </w:tcPr>
          <w:p w14:paraId="2819DB55" w14:textId="77777777" w:rsidR="004647B9" w:rsidRDefault="004647B9">
            <w:pPr>
              <w:rPr>
                <w:sz w:val="23"/>
                <w:szCs w:val="23"/>
              </w:rPr>
            </w:pPr>
          </w:p>
        </w:tc>
        <w:tc>
          <w:tcPr>
            <w:tcW w:w="900" w:type="dxa"/>
            <w:vAlign w:val="bottom"/>
          </w:tcPr>
          <w:p w14:paraId="2819DB56" w14:textId="77777777" w:rsidR="004647B9" w:rsidRDefault="004647B9">
            <w:pPr>
              <w:rPr>
                <w:sz w:val="23"/>
                <w:szCs w:val="23"/>
              </w:rPr>
            </w:pPr>
          </w:p>
        </w:tc>
        <w:tc>
          <w:tcPr>
            <w:tcW w:w="260" w:type="dxa"/>
            <w:vAlign w:val="bottom"/>
          </w:tcPr>
          <w:p w14:paraId="2819DB57" w14:textId="77777777" w:rsidR="004647B9" w:rsidRDefault="004647B9">
            <w:pPr>
              <w:rPr>
                <w:sz w:val="23"/>
                <w:szCs w:val="23"/>
              </w:rPr>
            </w:pPr>
          </w:p>
        </w:tc>
        <w:tc>
          <w:tcPr>
            <w:tcW w:w="280" w:type="dxa"/>
            <w:vAlign w:val="bottom"/>
          </w:tcPr>
          <w:p w14:paraId="2819DB58" w14:textId="77777777" w:rsidR="004647B9" w:rsidRDefault="004647B9">
            <w:pPr>
              <w:rPr>
                <w:sz w:val="23"/>
                <w:szCs w:val="23"/>
              </w:rPr>
            </w:pPr>
          </w:p>
        </w:tc>
        <w:tc>
          <w:tcPr>
            <w:tcW w:w="540" w:type="dxa"/>
            <w:vAlign w:val="bottom"/>
          </w:tcPr>
          <w:p w14:paraId="2819DB59" w14:textId="77777777" w:rsidR="004647B9" w:rsidRDefault="004647B9">
            <w:pPr>
              <w:rPr>
                <w:sz w:val="23"/>
                <w:szCs w:val="23"/>
              </w:rPr>
            </w:pPr>
          </w:p>
        </w:tc>
        <w:tc>
          <w:tcPr>
            <w:tcW w:w="340" w:type="dxa"/>
            <w:vAlign w:val="bottom"/>
          </w:tcPr>
          <w:p w14:paraId="2819DB5A" w14:textId="77777777" w:rsidR="004647B9" w:rsidRDefault="004647B9">
            <w:pPr>
              <w:rPr>
                <w:sz w:val="23"/>
                <w:szCs w:val="23"/>
              </w:rPr>
            </w:pPr>
          </w:p>
        </w:tc>
        <w:tc>
          <w:tcPr>
            <w:tcW w:w="180" w:type="dxa"/>
            <w:vAlign w:val="bottom"/>
          </w:tcPr>
          <w:p w14:paraId="2819DB5B" w14:textId="77777777" w:rsidR="004647B9" w:rsidRDefault="004647B9">
            <w:pPr>
              <w:rPr>
                <w:sz w:val="23"/>
                <w:szCs w:val="23"/>
              </w:rPr>
            </w:pPr>
          </w:p>
        </w:tc>
        <w:tc>
          <w:tcPr>
            <w:tcW w:w="880" w:type="dxa"/>
            <w:vAlign w:val="bottom"/>
          </w:tcPr>
          <w:p w14:paraId="2819DB5C" w14:textId="77777777" w:rsidR="004647B9" w:rsidRDefault="004647B9">
            <w:pPr>
              <w:rPr>
                <w:sz w:val="23"/>
                <w:szCs w:val="23"/>
              </w:rPr>
            </w:pPr>
          </w:p>
        </w:tc>
        <w:tc>
          <w:tcPr>
            <w:tcW w:w="660" w:type="dxa"/>
            <w:vAlign w:val="bottom"/>
          </w:tcPr>
          <w:p w14:paraId="2819DB5D" w14:textId="77777777" w:rsidR="004647B9" w:rsidRDefault="004647B9">
            <w:pPr>
              <w:rPr>
                <w:sz w:val="23"/>
                <w:szCs w:val="23"/>
              </w:rPr>
            </w:pPr>
          </w:p>
        </w:tc>
        <w:tc>
          <w:tcPr>
            <w:tcW w:w="460" w:type="dxa"/>
            <w:vAlign w:val="bottom"/>
          </w:tcPr>
          <w:p w14:paraId="2819DB5E" w14:textId="77777777" w:rsidR="004647B9" w:rsidRDefault="004647B9">
            <w:pPr>
              <w:rPr>
                <w:sz w:val="23"/>
                <w:szCs w:val="23"/>
              </w:rPr>
            </w:pPr>
          </w:p>
        </w:tc>
        <w:tc>
          <w:tcPr>
            <w:tcW w:w="1160" w:type="dxa"/>
            <w:vAlign w:val="bottom"/>
          </w:tcPr>
          <w:p w14:paraId="2819DB5F" w14:textId="77777777" w:rsidR="004647B9" w:rsidRDefault="004647B9">
            <w:pPr>
              <w:rPr>
                <w:sz w:val="23"/>
                <w:szCs w:val="23"/>
              </w:rPr>
            </w:pPr>
          </w:p>
        </w:tc>
        <w:tc>
          <w:tcPr>
            <w:tcW w:w="0" w:type="dxa"/>
            <w:vAlign w:val="bottom"/>
          </w:tcPr>
          <w:p w14:paraId="2819DB60" w14:textId="77777777" w:rsidR="004647B9" w:rsidRDefault="004647B9">
            <w:pPr>
              <w:rPr>
                <w:sz w:val="1"/>
                <w:szCs w:val="1"/>
              </w:rPr>
            </w:pPr>
          </w:p>
        </w:tc>
      </w:tr>
      <w:tr w:rsidR="004647B9" w14:paraId="2819DB73" w14:textId="77777777">
        <w:trPr>
          <w:trHeight w:val="274"/>
        </w:trPr>
        <w:tc>
          <w:tcPr>
            <w:tcW w:w="1020" w:type="dxa"/>
            <w:vAlign w:val="bottom"/>
          </w:tcPr>
          <w:p w14:paraId="2819DB62" w14:textId="77777777" w:rsidR="004647B9" w:rsidRDefault="004647B9">
            <w:pPr>
              <w:rPr>
                <w:sz w:val="23"/>
                <w:szCs w:val="23"/>
              </w:rPr>
            </w:pPr>
          </w:p>
        </w:tc>
        <w:tc>
          <w:tcPr>
            <w:tcW w:w="180" w:type="dxa"/>
            <w:vAlign w:val="bottom"/>
          </w:tcPr>
          <w:p w14:paraId="2819DB63" w14:textId="77777777" w:rsidR="004647B9" w:rsidRDefault="004647B9">
            <w:pPr>
              <w:rPr>
                <w:sz w:val="23"/>
                <w:szCs w:val="23"/>
              </w:rPr>
            </w:pPr>
          </w:p>
        </w:tc>
        <w:tc>
          <w:tcPr>
            <w:tcW w:w="2600" w:type="dxa"/>
            <w:gridSpan w:val="2"/>
            <w:vAlign w:val="bottom"/>
          </w:tcPr>
          <w:p w14:paraId="2819DB64" w14:textId="77777777" w:rsidR="004647B9" w:rsidRDefault="00E2436F">
            <w:pPr>
              <w:rPr>
                <w:sz w:val="20"/>
                <w:szCs w:val="20"/>
              </w:rPr>
            </w:pPr>
            <w:r>
              <w:rPr>
                <w:rFonts w:eastAsia="Times New Roman"/>
                <w:sz w:val="18"/>
                <w:szCs w:val="18"/>
              </w:rPr>
              <w:t>LC/MS or LC/MS/MS</w:t>
            </w:r>
          </w:p>
        </w:tc>
        <w:tc>
          <w:tcPr>
            <w:tcW w:w="860" w:type="dxa"/>
            <w:gridSpan w:val="2"/>
            <w:vAlign w:val="bottom"/>
          </w:tcPr>
          <w:p w14:paraId="2819DB65" w14:textId="77777777" w:rsidR="004647B9" w:rsidRDefault="00E2436F">
            <w:pPr>
              <w:spacing w:line="273" w:lineRule="exact"/>
              <w:ind w:left="20"/>
              <w:rPr>
                <w:sz w:val="20"/>
                <w:szCs w:val="20"/>
              </w:rPr>
            </w:pPr>
            <w:r>
              <w:rPr>
                <w:rFonts w:eastAsia="Times New Roman"/>
                <w:sz w:val="24"/>
                <w:szCs w:val="24"/>
                <w:vertAlign w:val="superscript"/>
              </w:rPr>
              <w:t>16</w:t>
            </w:r>
            <w:r>
              <w:rPr>
                <w:rFonts w:eastAsia="Times New Roman"/>
                <w:sz w:val="18"/>
                <w:szCs w:val="18"/>
              </w:rPr>
              <w:t>331</w:t>
            </w:r>
          </w:p>
        </w:tc>
        <w:tc>
          <w:tcPr>
            <w:tcW w:w="40" w:type="dxa"/>
            <w:vAlign w:val="bottom"/>
          </w:tcPr>
          <w:p w14:paraId="2819DB66" w14:textId="77777777" w:rsidR="004647B9" w:rsidRDefault="004647B9">
            <w:pPr>
              <w:rPr>
                <w:sz w:val="23"/>
                <w:szCs w:val="23"/>
              </w:rPr>
            </w:pPr>
          </w:p>
        </w:tc>
        <w:tc>
          <w:tcPr>
            <w:tcW w:w="560" w:type="dxa"/>
            <w:vAlign w:val="bottom"/>
          </w:tcPr>
          <w:p w14:paraId="2819DB67" w14:textId="77777777" w:rsidR="004647B9" w:rsidRDefault="004647B9">
            <w:pPr>
              <w:rPr>
                <w:sz w:val="23"/>
                <w:szCs w:val="23"/>
              </w:rPr>
            </w:pPr>
          </w:p>
        </w:tc>
        <w:tc>
          <w:tcPr>
            <w:tcW w:w="900" w:type="dxa"/>
            <w:vAlign w:val="bottom"/>
          </w:tcPr>
          <w:p w14:paraId="2819DB68" w14:textId="77777777" w:rsidR="004647B9" w:rsidRDefault="004647B9">
            <w:pPr>
              <w:rPr>
                <w:sz w:val="23"/>
                <w:szCs w:val="23"/>
              </w:rPr>
            </w:pPr>
          </w:p>
        </w:tc>
        <w:tc>
          <w:tcPr>
            <w:tcW w:w="260" w:type="dxa"/>
            <w:vAlign w:val="bottom"/>
          </w:tcPr>
          <w:p w14:paraId="2819DB69" w14:textId="77777777" w:rsidR="004647B9" w:rsidRDefault="004647B9">
            <w:pPr>
              <w:rPr>
                <w:sz w:val="23"/>
                <w:szCs w:val="23"/>
              </w:rPr>
            </w:pPr>
          </w:p>
        </w:tc>
        <w:tc>
          <w:tcPr>
            <w:tcW w:w="280" w:type="dxa"/>
            <w:vAlign w:val="bottom"/>
          </w:tcPr>
          <w:p w14:paraId="2819DB6A" w14:textId="77777777" w:rsidR="004647B9" w:rsidRDefault="004647B9">
            <w:pPr>
              <w:rPr>
                <w:sz w:val="23"/>
                <w:szCs w:val="23"/>
              </w:rPr>
            </w:pPr>
          </w:p>
        </w:tc>
        <w:tc>
          <w:tcPr>
            <w:tcW w:w="540" w:type="dxa"/>
            <w:vAlign w:val="bottom"/>
          </w:tcPr>
          <w:p w14:paraId="2819DB6B" w14:textId="77777777" w:rsidR="004647B9" w:rsidRDefault="004647B9">
            <w:pPr>
              <w:rPr>
                <w:sz w:val="23"/>
                <w:szCs w:val="23"/>
              </w:rPr>
            </w:pPr>
          </w:p>
        </w:tc>
        <w:tc>
          <w:tcPr>
            <w:tcW w:w="340" w:type="dxa"/>
            <w:vAlign w:val="bottom"/>
          </w:tcPr>
          <w:p w14:paraId="2819DB6C" w14:textId="77777777" w:rsidR="004647B9" w:rsidRDefault="004647B9">
            <w:pPr>
              <w:rPr>
                <w:sz w:val="23"/>
                <w:szCs w:val="23"/>
              </w:rPr>
            </w:pPr>
          </w:p>
        </w:tc>
        <w:tc>
          <w:tcPr>
            <w:tcW w:w="180" w:type="dxa"/>
            <w:vAlign w:val="bottom"/>
          </w:tcPr>
          <w:p w14:paraId="2819DB6D" w14:textId="77777777" w:rsidR="004647B9" w:rsidRDefault="004647B9">
            <w:pPr>
              <w:rPr>
                <w:sz w:val="23"/>
                <w:szCs w:val="23"/>
              </w:rPr>
            </w:pPr>
          </w:p>
        </w:tc>
        <w:tc>
          <w:tcPr>
            <w:tcW w:w="880" w:type="dxa"/>
            <w:vAlign w:val="bottom"/>
          </w:tcPr>
          <w:p w14:paraId="2819DB6E" w14:textId="77777777" w:rsidR="004647B9" w:rsidRDefault="004647B9">
            <w:pPr>
              <w:rPr>
                <w:sz w:val="23"/>
                <w:szCs w:val="23"/>
              </w:rPr>
            </w:pPr>
          </w:p>
        </w:tc>
        <w:tc>
          <w:tcPr>
            <w:tcW w:w="660" w:type="dxa"/>
            <w:vAlign w:val="bottom"/>
          </w:tcPr>
          <w:p w14:paraId="2819DB6F" w14:textId="77777777" w:rsidR="004647B9" w:rsidRDefault="004647B9">
            <w:pPr>
              <w:rPr>
                <w:sz w:val="23"/>
                <w:szCs w:val="23"/>
              </w:rPr>
            </w:pPr>
          </w:p>
        </w:tc>
        <w:tc>
          <w:tcPr>
            <w:tcW w:w="460" w:type="dxa"/>
            <w:vAlign w:val="bottom"/>
          </w:tcPr>
          <w:p w14:paraId="2819DB70" w14:textId="77777777" w:rsidR="004647B9" w:rsidRDefault="004647B9">
            <w:pPr>
              <w:rPr>
                <w:sz w:val="23"/>
                <w:szCs w:val="23"/>
              </w:rPr>
            </w:pPr>
          </w:p>
        </w:tc>
        <w:tc>
          <w:tcPr>
            <w:tcW w:w="1160" w:type="dxa"/>
            <w:vAlign w:val="bottom"/>
          </w:tcPr>
          <w:p w14:paraId="2819DB71" w14:textId="77777777" w:rsidR="004647B9" w:rsidRDefault="004647B9">
            <w:pPr>
              <w:rPr>
                <w:sz w:val="23"/>
                <w:szCs w:val="23"/>
              </w:rPr>
            </w:pPr>
          </w:p>
        </w:tc>
        <w:tc>
          <w:tcPr>
            <w:tcW w:w="0" w:type="dxa"/>
            <w:vAlign w:val="bottom"/>
          </w:tcPr>
          <w:p w14:paraId="2819DB72" w14:textId="77777777" w:rsidR="004647B9" w:rsidRDefault="004647B9">
            <w:pPr>
              <w:rPr>
                <w:sz w:val="1"/>
                <w:szCs w:val="1"/>
              </w:rPr>
            </w:pPr>
          </w:p>
        </w:tc>
      </w:tr>
      <w:tr w:rsidR="004647B9" w14:paraId="2819DB85" w14:textId="77777777">
        <w:trPr>
          <w:trHeight w:val="274"/>
        </w:trPr>
        <w:tc>
          <w:tcPr>
            <w:tcW w:w="1020" w:type="dxa"/>
            <w:vAlign w:val="bottom"/>
          </w:tcPr>
          <w:p w14:paraId="2819DB74" w14:textId="77777777" w:rsidR="004647B9" w:rsidRDefault="004647B9">
            <w:pPr>
              <w:rPr>
                <w:sz w:val="23"/>
                <w:szCs w:val="23"/>
              </w:rPr>
            </w:pPr>
          </w:p>
        </w:tc>
        <w:tc>
          <w:tcPr>
            <w:tcW w:w="180" w:type="dxa"/>
            <w:vAlign w:val="bottom"/>
          </w:tcPr>
          <w:p w14:paraId="2819DB75" w14:textId="77777777" w:rsidR="004647B9" w:rsidRDefault="004647B9">
            <w:pPr>
              <w:rPr>
                <w:sz w:val="23"/>
                <w:szCs w:val="23"/>
              </w:rPr>
            </w:pPr>
          </w:p>
        </w:tc>
        <w:tc>
          <w:tcPr>
            <w:tcW w:w="2600" w:type="dxa"/>
            <w:gridSpan w:val="2"/>
            <w:vAlign w:val="bottom"/>
          </w:tcPr>
          <w:p w14:paraId="2819DB76" w14:textId="77777777" w:rsidR="004647B9" w:rsidRDefault="00E2436F">
            <w:pPr>
              <w:rPr>
                <w:sz w:val="20"/>
                <w:szCs w:val="20"/>
              </w:rPr>
            </w:pPr>
            <w:r>
              <w:rPr>
                <w:rFonts w:eastAsia="Times New Roman"/>
                <w:sz w:val="18"/>
                <w:szCs w:val="18"/>
              </w:rPr>
              <w:t>IC/MS or IC/MS/MS</w:t>
            </w:r>
          </w:p>
        </w:tc>
        <w:tc>
          <w:tcPr>
            <w:tcW w:w="860" w:type="dxa"/>
            <w:gridSpan w:val="2"/>
            <w:vAlign w:val="bottom"/>
          </w:tcPr>
          <w:p w14:paraId="2819DB77" w14:textId="77777777" w:rsidR="004647B9" w:rsidRDefault="00E2436F">
            <w:pPr>
              <w:spacing w:line="273" w:lineRule="exact"/>
              <w:ind w:left="20"/>
              <w:rPr>
                <w:sz w:val="20"/>
                <w:szCs w:val="20"/>
              </w:rPr>
            </w:pPr>
            <w:r>
              <w:rPr>
                <w:rFonts w:eastAsia="Times New Roman"/>
                <w:sz w:val="24"/>
                <w:szCs w:val="24"/>
                <w:vertAlign w:val="superscript"/>
              </w:rPr>
              <w:t>17</w:t>
            </w:r>
            <w:r>
              <w:rPr>
                <w:rFonts w:eastAsia="Times New Roman"/>
                <w:sz w:val="18"/>
                <w:szCs w:val="18"/>
              </w:rPr>
              <w:t>332</w:t>
            </w:r>
          </w:p>
        </w:tc>
        <w:tc>
          <w:tcPr>
            <w:tcW w:w="40" w:type="dxa"/>
            <w:vAlign w:val="bottom"/>
          </w:tcPr>
          <w:p w14:paraId="2819DB78" w14:textId="77777777" w:rsidR="004647B9" w:rsidRDefault="004647B9">
            <w:pPr>
              <w:rPr>
                <w:sz w:val="23"/>
                <w:szCs w:val="23"/>
              </w:rPr>
            </w:pPr>
          </w:p>
        </w:tc>
        <w:tc>
          <w:tcPr>
            <w:tcW w:w="560" w:type="dxa"/>
            <w:vAlign w:val="bottom"/>
          </w:tcPr>
          <w:p w14:paraId="2819DB79" w14:textId="77777777" w:rsidR="004647B9" w:rsidRDefault="004647B9">
            <w:pPr>
              <w:rPr>
                <w:sz w:val="23"/>
                <w:szCs w:val="23"/>
              </w:rPr>
            </w:pPr>
          </w:p>
        </w:tc>
        <w:tc>
          <w:tcPr>
            <w:tcW w:w="900" w:type="dxa"/>
            <w:vAlign w:val="bottom"/>
          </w:tcPr>
          <w:p w14:paraId="2819DB7A" w14:textId="77777777" w:rsidR="004647B9" w:rsidRDefault="004647B9">
            <w:pPr>
              <w:rPr>
                <w:sz w:val="23"/>
                <w:szCs w:val="23"/>
              </w:rPr>
            </w:pPr>
          </w:p>
        </w:tc>
        <w:tc>
          <w:tcPr>
            <w:tcW w:w="260" w:type="dxa"/>
            <w:vAlign w:val="bottom"/>
          </w:tcPr>
          <w:p w14:paraId="2819DB7B" w14:textId="77777777" w:rsidR="004647B9" w:rsidRDefault="004647B9">
            <w:pPr>
              <w:rPr>
                <w:sz w:val="23"/>
                <w:szCs w:val="23"/>
              </w:rPr>
            </w:pPr>
          </w:p>
        </w:tc>
        <w:tc>
          <w:tcPr>
            <w:tcW w:w="280" w:type="dxa"/>
            <w:vAlign w:val="bottom"/>
          </w:tcPr>
          <w:p w14:paraId="2819DB7C" w14:textId="77777777" w:rsidR="004647B9" w:rsidRDefault="004647B9">
            <w:pPr>
              <w:rPr>
                <w:sz w:val="23"/>
                <w:szCs w:val="23"/>
              </w:rPr>
            </w:pPr>
          </w:p>
        </w:tc>
        <w:tc>
          <w:tcPr>
            <w:tcW w:w="540" w:type="dxa"/>
            <w:vAlign w:val="bottom"/>
          </w:tcPr>
          <w:p w14:paraId="2819DB7D" w14:textId="77777777" w:rsidR="004647B9" w:rsidRDefault="004647B9">
            <w:pPr>
              <w:rPr>
                <w:sz w:val="23"/>
                <w:szCs w:val="23"/>
              </w:rPr>
            </w:pPr>
          </w:p>
        </w:tc>
        <w:tc>
          <w:tcPr>
            <w:tcW w:w="340" w:type="dxa"/>
            <w:vAlign w:val="bottom"/>
          </w:tcPr>
          <w:p w14:paraId="2819DB7E" w14:textId="77777777" w:rsidR="004647B9" w:rsidRDefault="004647B9">
            <w:pPr>
              <w:rPr>
                <w:sz w:val="23"/>
                <w:szCs w:val="23"/>
              </w:rPr>
            </w:pPr>
          </w:p>
        </w:tc>
        <w:tc>
          <w:tcPr>
            <w:tcW w:w="180" w:type="dxa"/>
            <w:vAlign w:val="bottom"/>
          </w:tcPr>
          <w:p w14:paraId="2819DB7F" w14:textId="77777777" w:rsidR="004647B9" w:rsidRDefault="004647B9">
            <w:pPr>
              <w:rPr>
                <w:sz w:val="23"/>
                <w:szCs w:val="23"/>
              </w:rPr>
            </w:pPr>
          </w:p>
        </w:tc>
        <w:tc>
          <w:tcPr>
            <w:tcW w:w="880" w:type="dxa"/>
            <w:vAlign w:val="bottom"/>
          </w:tcPr>
          <w:p w14:paraId="2819DB80" w14:textId="77777777" w:rsidR="004647B9" w:rsidRDefault="004647B9">
            <w:pPr>
              <w:rPr>
                <w:sz w:val="23"/>
                <w:szCs w:val="23"/>
              </w:rPr>
            </w:pPr>
          </w:p>
        </w:tc>
        <w:tc>
          <w:tcPr>
            <w:tcW w:w="660" w:type="dxa"/>
            <w:vAlign w:val="bottom"/>
          </w:tcPr>
          <w:p w14:paraId="2819DB81" w14:textId="77777777" w:rsidR="004647B9" w:rsidRDefault="004647B9">
            <w:pPr>
              <w:rPr>
                <w:sz w:val="23"/>
                <w:szCs w:val="23"/>
              </w:rPr>
            </w:pPr>
          </w:p>
        </w:tc>
        <w:tc>
          <w:tcPr>
            <w:tcW w:w="460" w:type="dxa"/>
            <w:vAlign w:val="bottom"/>
          </w:tcPr>
          <w:p w14:paraId="2819DB82" w14:textId="77777777" w:rsidR="004647B9" w:rsidRDefault="004647B9">
            <w:pPr>
              <w:rPr>
                <w:sz w:val="23"/>
                <w:szCs w:val="23"/>
              </w:rPr>
            </w:pPr>
          </w:p>
        </w:tc>
        <w:tc>
          <w:tcPr>
            <w:tcW w:w="1160" w:type="dxa"/>
            <w:vAlign w:val="bottom"/>
          </w:tcPr>
          <w:p w14:paraId="2819DB83" w14:textId="77777777" w:rsidR="004647B9" w:rsidRDefault="004647B9">
            <w:pPr>
              <w:rPr>
                <w:sz w:val="23"/>
                <w:szCs w:val="23"/>
              </w:rPr>
            </w:pPr>
          </w:p>
        </w:tc>
        <w:tc>
          <w:tcPr>
            <w:tcW w:w="0" w:type="dxa"/>
            <w:vAlign w:val="bottom"/>
          </w:tcPr>
          <w:p w14:paraId="2819DB84" w14:textId="77777777" w:rsidR="004647B9" w:rsidRDefault="004647B9">
            <w:pPr>
              <w:rPr>
                <w:sz w:val="1"/>
                <w:szCs w:val="1"/>
              </w:rPr>
            </w:pPr>
          </w:p>
        </w:tc>
      </w:tr>
      <w:tr w:rsidR="004647B9" w14:paraId="2819DB93" w14:textId="77777777">
        <w:trPr>
          <w:trHeight w:val="273"/>
        </w:trPr>
        <w:tc>
          <w:tcPr>
            <w:tcW w:w="1020" w:type="dxa"/>
            <w:vAlign w:val="bottom"/>
          </w:tcPr>
          <w:p w14:paraId="2819DB86" w14:textId="77777777" w:rsidR="004647B9" w:rsidRDefault="00E2436F">
            <w:pPr>
              <w:rPr>
                <w:sz w:val="20"/>
                <w:szCs w:val="20"/>
              </w:rPr>
            </w:pPr>
            <w:r>
              <w:rPr>
                <w:rFonts w:eastAsia="Times New Roman"/>
                <w:sz w:val="18"/>
                <w:szCs w:val="18"/>
              </w:rPr>
              <w:t>Selenium</w:t>
            </w:r>
          </w:p>
        </w:tc>
        <w:tc>
          <w:tcPr>
            <w:tcW w:w="180" w:type="dxa"/>
            <w:vAlign w:val="bottom"/>
          </w:tcPr>
          <w:p w14:paraId="2819DB87" w14:textId="77777777" w:rsidR="004647B9" w:rsidRDefault="004647B9">
            <w:pPr>
              <w:rPr>
                <w:sz w:val="23"/>
                <w:szCs w:val="23"/>
              </w:rPr>
            </w:pPr>
          </w:p>
        </w:tc>
        <w:tc>
          <w:tcPr>
            <w:tcW w:w="2600" w:type="dxa"/>
            <w:gridSpan w:val="2"/>
            <w:vAlign w:val="bottom"/>
          </w:tcPr>
          <w:p w14:paraId="2819DB88" w14:textId="77777777" w:rsidR="004647B9" w:rsidRDefault="00E2436F">
            <w:pPr>
              <w:rPr>
                <w:sz w:val="20"/>
                <w:szCs w:val="20"/>
              </w:rPr>
            </w:pPr>
            <w:r>
              <w:rPr>
                <w:rFonts w:eastAsia="Times New Roman"/>
                <w:sz w:val="18"/>
                <w:szCs w:val="18"/>
              </w:rPr>
              <w:t>Hydride-Atomic absorption;</w:t>
            </w:r>
          </w:p>
        </w:tc>
        <w:tc>
          <w:tcPr>
            <w:tcW w:w="380" w:type="dxa"/>
            <w:vAlign w:val="bottom"/>
          </w:tcPr>
          <w:p w14:paraId="2819DB89" w14:textId="77777777" w:rsidR="004647B9" w:rsidRDefault="004647B9">
            <w:pPr>
              <w:rPr>
                <w:sz w:val="23"/>
                <w:szCs w:val="23"/>
              </w:rPr>
            </w:pPr>
          </w:p>
        </w:tc>
        <w:tc>
          <w:tcPr>
            <w:tcW w:w="480" w:type="dxa"/>
            <w:vAlign w:val="bottom"/>
          </w:tcPr>
          <w:p w14:paraId="2819DB8A" w14:textId="77777777" w:rsidR="004647B9" w:rsidRDefault="004647B9">
            <w:pPr>
              <w:rPr>
                <w:sz w:val="23"/>
                <w:szCs w:val="23"/>
              </w:rPr>
            </w:pPr>
          </w:p>
        </w:tc>
        <w:tc>
          <w:tcPr>
            <w:tcW w:w="1500" w:type="dxa"/>
            <w:gridSpan w:val="3"/>
            <w:vAlign w:val="bottom"/>
          </w:tcPr>
          <w:p w14:paraId="2819DB8B" w14:textId="77777777" w:rsidR="004647B9" w:rsidRDefault="00E2436F">
            <w:pPr>
              <w:ind w:left="40"/>
              <w:rPr>
                <w:sz w:val="20"/>
                <w:szCs w:val="20"/>
              </w:rPr>
            </w:pPr>
            <w:r>
              <w:rPr>
                <w:rFonts w:eastAsia="Times New Roman"/>
                <w:sz w:val="18"/>
                <w:szCs w:val="18"/>
              </w:rPr>
              <w:t>D3859-98,03A</w:t>
            </w:r>
          </w:p>
        </w:tc>
        <w:tc>
          <w:tcPr>
            <w:tcW w:w="1080" w:type="dxa"/>
            <w:gridSpan w:val="3"/>
            <w:vAlign w:val="bottom"/>
          </w:tcPr>
          <w:p w14:paraId="2819DB8C" w14:textId="77777777" w:rsidR="004647B9" w:rsidRDefault="00E2436F">
            <w:pPr>
              <w:ind w:left="260"/>
              <w:rPr>
                <w:sz w:val="20"/>
                <w:szCs w:val="20"/>
              </w:rPr>
            </w:pPr>
            <w:r>
              <w:rPr>
                <w:rFonts w:eastAsia="Times New Roman"/>
                <w:sz w:val="18"/>
                <w:szCs w:val="18"/>
              </w:rPr>
              <w:t>3114B</w:t>
            </w:r>
          </w:p>
        </w:tc>
        <w:tc>
          <w:tcPr>
            <w:tcW w:w="340" w:type="dxa"/>
            <w:vAlign w:val="bottom"/>
          </w:tcPr>
          <w:p w14:paraId="2819DB8D" w14:textId="77777777" w:rsidR="004647B9" w:rsidRDefault="004647B9">
            <w:pPr>
              <w:rPr>
                <w:sz w:val="23"/>
                <w:szCs w:val="23"/>
              </w:rPr>
            </w:pPr>
          </w:p>
        </w:tc>
        <w:tc>
          <w:tcPr>
            <w:tcW w:w="1060" w:type="dxa"/>
            <w:gridSpan w:val="2"/>
            <w:vAlign w:val="bottom"/>
          </w:tcPr>
          <w:p w14:paraId="2819DB8E" w14:textId="77777777" w:rsidR="004647B9" w:rsidRDefault="00E2436F">
            <w:pPr>
              <w:ind w:left="180"/>
              <w:rPr>
                <w:sz w:val="20"/>
                <w:szCs w:val="20"/>
              </w:rPr>
            </w:pPr>
            <w:r>
              <w:rPr>
                <w:rFonts w:eastAsia="Times New Roman"/>
                <w:sz w:val="18"/>
                <w:szCs w:val="18"/>
              </w:rPr>
              <w:t>3114B-97</w:t>
            </w:r>
          </w:p>
        </w:tc>
        <w:tc>
          <w:tcPr>
            <w:tcW w:w="660" w:type="dxa"/>
            <w:vAlign w:val="bottom"/>
          </w:tcPr>
          <w:p w14:paraId="2819DB8F" w14:textId="77777777" w:rsidR="004647B9" w:rsidRDefault="004647B9">
            <w:pPr>
              <w:rPr>
                <w:sz w:val="23"/>
                <w:szCs w:val="23"/>
              </w:rPr>
            </w:pPr>
          </w:p>
        </w:tc>
        <w:tc>
          <w:tcPr>
            <w:tcW w:w="460" w:type="dxa"/>
            <w:vAlign w:val="bottom"/>
          </w:tcPr>
          <w:p w14:paraId="2819DB90" w14:textId="77777777" w:rsidR="004647B9" w:rsidRDefault="004647B9">
            <w:pPr>
              <w:rPr>
                <w:sz w:val="23"/>
                <w:szCs w:val="23"/>
              </w:rPr>
            </w:pPr>
          </w:p>
        </w:tc>
        <w:tc>
          <w:tcPr>
            <w:tcW w:w="1160" w:type="dxa"/>
            <w:vAlign w:val="bottom"/>
          </w:tcPr>
          <w:p w14:paraId="2819DB91" w14:textId="77777777" w:rsidR="004647B9" w:rsidRDefault="004647B9">
            <w:pPr>
              <w:rPr>
                <w:sz w:val="23"/>
                <w:szCs w:val="23"/>
              </w:rPr>
            </w:pPr>
          </w:p>
        </w:tc>
        <w:tc>
          <w:tcPr>
            <w:tcW w:w="0" w:type="dxa"/>
            <w:vAlign w:val="bottom"/>
          </w:tcPr>
          <w:p w14:paraId="2819DB92" w14:textId="77777777" w:rsidR="004647B9" w:rsidRDefault="004647B9">
            <w:pPr>
              <w:rPr>
                <w:sz w:val="1"/>
                <w:szCs w:val="1"/>
              </w:rPr>
            </w:pPr>
          </w:p>
        </w:tc>
      </w:tr>
      <w:tr w:rsidR="004647B9" w14:paraId="2819DBA4" w14:textId="77777777">
        <w:trPr>
          <w:trHeight w:val="274"/>
        </w:trPr>
        <w:tc>
          <w:tcPr>
            <w:tcW w:w="1020" w:type="dxa"/>
            <w:vAlign w:val="bottom"/>
          </w:tcPr>
          <w:p w14:paraId="2819DB94" w14:textId="77777777" w:rsidR="004647B9" w:rsidRDefault="004647B9">
            <w:pPr>
              <w:rPr>
                <w:sz w:val="23"/>
                <w:szCs w:val="23"/>
              </w:rPr>
            </w:pPr>
          </w:p>
        </w:tc>
        <w:tc>
          <w:tcPr>
            <w:tcW w:w="180" w:type="dxa"/>
            <w:vAlign w:val="bottom"/>
          </w:tcPr>
          <w:p w14:paraId="2819DB95" w14:textId="77777777" w:rsidR="004647B9" w:rsidRDefault="004647B9">
            <w:pPr>
              <w:rPr>
                <w:sz w:val="23"/>
                <w:szCs w:val="23"/>
              </w:rPr>
            </w:pPr>
          </w:p>
        </w:tc>
        <w:tc>
          <w:tcPr>
            <w:tcW w:w="2600" w:type="dxa"/>
            <w:gridSpan w:val="2"/>
            <w:vAlign w:val="bottom"/>
          </w:tcPr>
          <w:p w14:paraId="2819DB96"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B97" w14:textId="77777777" w:rsidR="004647B9" w:rsidRDefault="004647B9">
            <w:pPr>
              <w:rPr>
                <w:sz w:val="23"/>
                <w:szCs w:val="23"/>
              </w:rPr>
            </w:pPr>
          </w:p>
        </w:tc>
        <w:tc>
          <w:tcPr>
            <w:tcW w:w="480" w:type="dxa"/>
            <w:vAlign w:val="bottom"/>
          </w:tcPr>
          <w:p w14:paraId="2819DB98" w14:textId="77777777" w:rsidR="004647B9" w:rsidRDefault="004647B9">
            <w:pPr>
              <w:rPr>
                <w:sz w:val="23"/>
                <w:szCs w:val="23"/>
              </w:rPr>
            </w:pPr>
          </w:p>
        </w:tc>
        <w:tc>
          <w:tcPr>
            <w:tcW w:w="40" w:type="dxa"/>
            <w:vAlign w:val="bottom"/>
          </w:tcPr>
          <w:p w14:paraId="2819DB99" w14:textId="77777777" w:rsidR="004647B9" w:rsidRDefault="004647B9">
            <w:pPr>
              <w:rPr>
                <w:sz w:val="23"/>
                <w:szCs w:val="23"/>
              </w:rPr>
            </w:pPr>
          </w:p>
        </w:tc>
        <w:tc>
          <w:tcPr>
            <w:tcW w:w="1460" w:type="dxa"/>
            <w:gridSpan w:val="2"/>
            <w:vMerge w:val="restart"/>
            <w:vAlign w:val="bottom"/>
          </w:tcPr>
          <w:p w14:paraId="2819DB9A" w14:textId="77777777" w:rsidR="004647B9" w:rsidRDefault="00E2436F">
            <w:pPr>
              <w:rPr>
                <w:sz w:val="20"/>
                <w:szCs w:val="20"/>
              </w:rPr>
            </w:pPr>
            <w:r>
              <w:rPr>
                <w:rFonts w:eastAsia="Times New Roman"/>
                <w:sz w:val="18"/>
                <w:szCs w:val="18"/>
              </w:rPr>
              <w:t>D3859-98,03B</w:t>
            </w:r>
          </w:p>
        </w:tc>
        <w:tc>
          <w:tcPr>
            <w:tcW w:w="260" w:type="dxa"/>
            <w:vAlign w:val="bottom"/>
          </w:tcPr>
          <w:p w14:paraId="2819DB9B" w14:textId="77777777" w:rsidR="004647B9" w:rsidRDefault="004647B9">
            <w:pPr>
              <w:rPr>
                <w:sz w:val="23"/>
                <w:szCs w:val="23"/>
              </w:rPr>
            </w:pPr>
          </w:p>
        </w:tc>
        <w:tc>
          <w:tcPr>
            <w:tcW w:w="820" w:type="dxa"/>
            <w:gridSpan w:val="2"/>
            <w:vAlign w:val="bottom"/>
          </w:tcPr>
          <w:p w14:paraId="2819DB9C" w14:textId="77777777" w:rsidR="004647B9" w:rsidRDefault="00E2436F">
            <w:pPr>
              <w:rPr>
                <w:sz w:val="20"/>
                <w:szCs w:val="20"/>
              </w:rPr>
            </w:pPr>
            <w:r>
              <w:rPr>
                <w:rFonts w:eastAsia="Times New Roman"/>
                <w:sz w:val="18"/>
                <w:szCs w:val="18"/>
              </w:rPr>
              <w:t>3113B</w:t>
            </w:r>
          </w:p>
        </w:tc>
        <w:tc>
          <w:tcPr>
            <w:tcW w:w="340" w:type="dxa"/>
            <w:vAlign w:val="bottom"/>
          </w:tcPr>
          <w:p w14:paraId="2819DB9D" w14:textId="77777777" w:rsidR="004647B9" w:rsidRDefault="004647B9">
            <w:pPr>
              <w:rPr>
                <w:sz w:val="23"/>
                <w:szCs w:val="23"/>
              </w:rPr>
            </w:pPr>
          </w:p>
        </w:tc>
        <w:tc>
          <w:tcPr>
            <w:tcW w:w="180" w:type="dxa"/>
            <w:vAlign w:val="bottom"/>
          </w:tcPr>
          <w:p w14:paraId="2819DB9E" w14:textId="77777777" w:rsidR="004647B9" w:rsidRDefault="004647B9">
            <w:pPr>
              <w:rPr>
                <w:sz w:val="23"/>
                <w:szCs w:val="23"/>
              </w:rPr>
            </w:pPr>
          </w:p>
        </w:tc>
        <w:tc>
          <w:tcPr>
            <w:tcW w:w="880" w:type="dxa"/>
            <w:vAlign w:val="bottom"/>
          </w:tcPr>
          <w:p w14:paraId="2819DB9F" w14:textId="77777777" w:rsidR="004647B9" w:rsidRDefault="00E2436F">
            <w:pPr>
              <w:ind w:left="20"/>
              <w:rPr>
                <w:sz w:val="20"/>
                <w:szCs w:val="20"/>
              </w:rPr>
            </w:pPr>
            <w:r>
              <w:rPr>
                <w:rFonts w:eastAsia="Times New Roman"/>
                <w:sz w:val="18"/>
                <w:szCs w:val="18"/>
              </w:rPr>
              <w:t>3113B-99</w:t>
            </w:r>
          </w:p>
        </w:tc>
        <w:tc>
          <w:tcPr>
            <w:tcW w:w="660" w:type="dxa"/>
            <w:vAlign w:val="bottom"/>
          </w:tcPr>
          <w:p w14:paraId="2819DBA0" w14:textId="77777777" w:rsidR="004647B9" w:rsidRDefault="004647B9">
            <w:pPr>
              <w:rPr>
                <w:sz w:val="23"/>
                <w:szCs w:val="23"/>
              </w:rPr>
            </w:pPr>
          </w:p>
        </w:tc>
        <w:tc>
          <w:tcPr>
            <w:tcW w:w="460" w:type="dxa"/>
            <w:vAlign w:val="bottom"/>
          </w:tcPr>
          <w:p w14:paraId="2819DBA1" w14:textId="77777777" w:rsidR="004647B9" w:rsidRDefault="004647B9">
            <w:pPr>
              <w:rPr>
                <w:sz w:val="23"/>
                <w:szCs w:val="23"/>
              </w:rPr>
            </w:pPr>
          </w:p>
        </w:tc>
        <w:tc>
          <w:tcPr>
            <w:tcW w:w="1160" w:type="dxa"/>
            <w:vAlign w:val="bottom"/>
          </w:tcPr>
          <w:p w14:paraId="2819DBA2" w14:textId="77777777" w:rsidR="004647B9" w:rsidRDefault="004647B9">
            <w:pPr>
              <w:rPr>
                <w:sz w:val="23"/>
                <w:szCs w:val="23"/>
              </w:rPr>
            </w:pPr>
          </w:p>
        </w:tc>
        <w:tc>
          <w:tcPr>
            <w:tcW w:w="0" w:type="dxa"/>
            <w:vAlign w:val="bottom"/>
          </w:tcPr>
          <w:p w14:paraId="2819DBA3" w14:textId="77777777" w:rsidR="004647B9" w:rsidRDefault="004647B9">
            <w:pPr>
              <w:rPr>
                <w:sz w:val="1"/>
                <w:szCs w:val="1"/>
              </w:rPr>
            </w:pPr>
          </w:p>
        </w:tc>
      </w:tr>
      <w:tr w:rsidR="004647B9" w14:paraId="2819DBB5" w14:textId="77777777">
        <w:trPr>
          <w:trHeight w:val="79"/>
        </w:trPr>
        <w:tc>
          <w:tcPr>
            <w:tcW w:w="1020" w:type="dxa"/>
            <w:vAlign w:val="bottom"/>
          </w:tcPr>
          <w:p w14:paraId="2819DBA5" w14:textId="77777777" w:rsidR="004647B9" w:rsidRDefault="004647B9">
            <w:pPr>
              <w:rPr>
                <w:sz w:val="6"/>
                <w:szCs w:val="6"/>
              </w:rPr>
            </w:pPr>
          </w:p>
        </w:tc>
        <w:tc>
          <w:tcPr>
            <w:tcW w:w="180" w:type="dxa"/>
            <w:vAlign w:val="bottom"/>
          </w:tcPr>
          <w:p w14:paraId="2819DBA6" w14:textId="77777777" w:rsidR="004647B9" w:rsidRDefault="004647B9">
            <w:pPr>
              <w:rPr>
                <w:sz w:val="6"/>
                <w:szCs w:val="6"/>
              </w:rPr>
            </w:pPr>
          </w:p>
        </w:tc>
        <w:tc>
          <w:tcPr>
            <w:tcW w:w="2600" w:type="dxa"/>
            <w:gridSpan w:val="2"/>
            <w:vMerge w:val="restart"/>
            <w:vAlign w:val="bottom"/>
          </w:tcPr>
          <w:p w14:paraId="2819DBA7" w14:textId="77777777" w:rsidR="004647B9" w:rsidRDefault="00E2436F">
            <w:pPr>
              <w:rPr>
                <w:sz w:val="20"/>
                <w:szCs w:val="20"/>
              </w:rPr>
            </w:pPr>
            <w:r>
              <w:rPr>
                <w:rFonts w:eastAsia="Times New Roman"/>
                <w:sz w:val="18"/>
                <w:szCs w:val="18"/>
              </w:rPr>
              <w:t>ICP-Mass Spectrometry</w:t>
            </w:r>
          </w:p>
        </w:tc>
        <w:tc>
          <w:tcPr>
            <w:tcW w:w="860" w:type="dxa"/>
            <w:gridSpan w:val="2"/>
            <w:vMerge w:val="restart"/>
            <w:vAlign w:val="bottom"/>
          </w:tcPr>
          <w:p w14:paraId="2819DBA8" w14:textId="77777777" w:rsidR="004647B9" w:rsidRDefault="00E2436F">
            <w:pPr>
              <w:spacing w:line="274" w:lineRule="exact"/>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BA9" w14:textId="77777777" w:rsidR="004647B9" w:rsidRDefault="004647B9">
            <w:pPr>
              <w:rPr>
                <w:sz w:val="6"/>
                <w:szCs w:val="6"/>
              </w:rPr>
            </w:pPr>
          </w:p>
        </w:tc>
        <w:tc>
          <w:tcPr>
            <w:tcW w:w="1460" w:type="dxa"/>
            <w:gridSpan w:val="2"/>
            <w:vMerge/>
            <w:vAlign w:val="bottom"/>
          </w:tcPr>
          <w:p w14:paraId="2819DBAA" w14:textId="77777777" w:rsidR="004647B9" w:rsidRDefault="004647B9">
            <w:pPr>
              <w:rPr>
                <w:sz w:val="6"/>
                <w:szCs w:val="6"/>
              </w:rPr>
            </w:pPr>
          </w:p>
        </w:tc>
        <w:tc>
          <w:tcPr>
            <w:tcW w:w="260" w:type="dxa"/>
            <w:vAlign w:val="bottom"/>
          </w:tcPr>
          <w:p w14:paraId="2819DBAB" w14:textId="77777777" w:rsidR="004647B9" w:rsidRDefault="004647B9">
            <w:pPr>
              <w:rPr>
                <w:sz w:val="6"/>
                <w:szCs w:val="6"/>
              </w:rPr>
            </w:pPr>
          </w:p>
        </w:tc>
        <w:tc>
          <w:tcPr>
            <w:tcW w:w="280" w:type="dxa"/>
            <w:vAlign w:val="bottom"/>
          </w:tcPr>
          <w:p w14:paraId="2819DBAC" w14:textId="77777777" w:rsidR="004647B9" w:rsidRDefault="004647B9">
            <w:pPr>
              <w:rPr>
                <w:sz w:val="6"/>
                <w:szCs w:val="6"/>
              </w:rPr>
            </w:pPr>
          </w:p>
        </w:tc>
        <w:tc>
          <w:tcPr>
            <w:tcW w:w="540" w:type="dxa"/>
            <w:vAlign w:val="bottom"/>
          </w:tcPr>
          <w:p w14:paraId="2819DBAD" w14:textId="77777777" w:rsidR="004647B9" w:rsidRDefault="004647B9">
            <w:pPr>
              <w:rPr>
                <w:sz w:val="6"/>
                <w:szCs w:val="6"/>
              </w:rPr>
            </w:pPr>
          </w:p>
        </w:tc>
        <w:tc>
          <w:tcPr>
            <w:tcW w:w="340" w:type="dxa"/>
            <w:vAlign w:val="bottom"/>
          </w:tcPr>
          <w:p w14:paraId="2819DBAE" w14:textId="77777777" w:rsidR="004647B9" w:rsidRDefault="004647B9">
            <w:pPr>
              <w:rPr>
                <w:sz w:val="6"/>
                <w:szCs w:val="6"/>
              </w:rPr>
            </w:pPr>
          </w:p>
        </w:tc>
        <w:tc>
          <w:tcPr>
            <w:tcW w:w="180" w:type="dxa"/>
            <w:vAlign w:val="bottom"/>
          </w:tcPr>
          <w:p w14:paraId="2819DBAF" w14:textId="77777777" w:rsidR="004647B9" w:rsidRDefault="004647B9">
            <w:pPr>
              <w:rPr>
                <w:sz w:val="6"/>
                <w:szCs w:val="6"/>
              </w:rPr>
            </w:pPr>
          </w:p>
        </w:tc>
        <w:tc>
          <w:tcPr>
            <w:tcW w:w="880" w:type="dxa"/>
            <w:vAlign w:val="bottom"/>
          </w:tcPr>
          <w:p w14:paraId="2819DBB0" w14:textId="77777777" w:rsidR="004647B9" w:rsidRDefault="004647B9">
            <w:pPr>
              <w:rPr>
                <w:sz w:val="6"/>
                <w:szCs w:val="6"/>
              </w:rPr>
            </w:pPr>
          </w:p>
        </w:tc>
        <w:tc>
          <w:tcPr>
            <w:tcW w:w="660" w:type="dxa"/>
            <w:vAlign w:val="bottom"/>
          </w:tcPr>
          <w:p w14:paraId="2819DBB1" w14:textId="77777777" w:rsidR="004647B9" w:rsidRDefault="004647B9">
            <w:pPr>
              <w:rPr>
                <w:sz w:val="6"/>
                <w:szCs w:val="6"/>
              </w:rPr>
            </w:pPr>
          </w:p>
        </w:tc>
        <w:tc>
          <w:tcPr>
            <w:tcW w:w="460" w:type="dxa"/>
            <w:vAlign w:val="bottom"/>
          </w:tcPr>
          <w:p w14:paraId="2819DBB2" w14:textId="77777777" w:rsidR="004647B9" w:rsidRDefault="004647B9">
            <w:pPr>
              <w:rPr>
                <w:sz w:val="6"/>
                <w:szCs w:val="6"/>
              </w:rPr>
            </w:pPr>
          </w:p>
        </w:tc>
        <w:tc>
          <w:tcPr>
            <w:tcW w:w="1160" w:type="dxa"/>
            <w:vAlign w:val="bottom"/>
          </w:tcPr>
          <w:p w14:paraId="2819DBB3" w14:textId="77777777" w:rsidR="004647B9" w:rsidRDefault="004647B9">
            <w:pPr>
              <w:rPr>
                <w:sz w:val="6"/>
                <w:szCs w:val="6"/>
              </w:rPr>
            </w:pPr>
          </w:p>
        </w:tc>
        <w:tc>
          <w:tcPr>
            <w:tcW w:w="0" w:type="dxa"/>
            <w:vAlign w:val="bottom"/>
          </w:tcPr>
          <w:p w14:paraId="2819DBB4" w14:textId="77777777" w:rsidR="004647B9" w:rsidRDefault="004647B9">
            <w:pPr>
              <w:rPr>
                <w:sz w:val="1"/>
                <w:szCs w:val="1"/>
              </w:rPr>
            </w:pPr>
          </w:p>
        </w:tc>
      </w:tr>
      <w:tr w:rsidR="004647B9" w14:paraId="2819DBC7" w14:textId="77777777">
        <w:trPr>
          <w:trHeight w:val="195"/>
        </w:trPr>
        <w:tc>
          <w:tcPr>
            <w:tcW w:w="1020" w:type="dxa"/>
            <w:vAlign w:val="bottom"/>
          </w:tcPr>
          <w:p w14:paraId="2819DBB6" w14:textId="77777777" w:rsidR="004647B9" w:rsidRDefault="004647B9">
            <w:pPr>
              <w:rPr>
                <w:sz w:val="16"/>
                <w:szCs w:val="16"/>
              </w:rPr>
            </w:pPr>
          </w:p>
        </w:tc>
        <w:tc>
          <w:tcPr>
            <w:tcW w:w="180" w:type="dxa"/>
            <w:vAlign w:val="bottom"/>
          </w:tcPr>
          <w:p w14:paraId="2819DBB7" w14:textId="77777777" w:rsidR="004647B9" w:rsidRDefault="004647B9">
            <w:pPr>
              <w:rPr>
                <w:sz w:val="16"/>
                <w:szCs w:val="16"/>
              </w:rPr>
            </w:pPr>
          </w:p>
        </w:tc>
        <w:tc>
          <w:tcPr>
            <w:tcW w:w="2600" w:type="dxa"/>
            <w:gridSpan w:val="2"/>
            <w:vMerge/>
            <w:vAlign w:val="bottom"/>
          </w:tcPr>
          <w:p w14:paraId="2819DBB8" w14:textId="77777777" w:rsidR="004647B9" w:rsidRDefault="004647B9">
            <w:pPr>
              <w:rPr>
                <w:sz w:val="16"/>
                <w:szCs w:val="16"/>
              </w:rPr>
            </w:pPr>
          </w:p>
        </w:tc>
        <w:tc>
          <w:tcPr>
            <w:tcW w:w="860" w:type="dxa"/>
            <w:gridSpan w:val="2"/>
            <w:vMerge/>
            <w:vAlign w:val="bottom"/>
          </w:tcPr>
          <w:p w14:paraId="2819DBB9" w14:textId="77777777" w:rsidR="004647B9" w:rsidRDefault="004647B9">
            <w:pPr>
              <w:rPr>
                <w:sz w:val="16"/>
                <w:szCs w:val="16"/>
              </w:rPr>
            </w:pPr>
          </w:p>
        </w:tc>
        <w:tc>
          <w:tcPr>
            <w:tcW w:w="40" w:type="dxa"/>
            <w:vAlign w:val="bottom"/>
          </w:tcPr>
          <w:p w14:paraId="2819DBBA" w14:textId="77777777" w:rsidR="004647B9" w:rsidRDefault="004647B9">
            <w:pPr>
              <w:rPr>
                <w:sz w:val="16"/>
                <w:szCs w:val="16"/>
              </w:rPr>
            </w:pPr>
          </w:p>
        </w:tc>
        <w:tc>
          <w:tcPr>
            <w:tcW w:w="560" w:type="dxa"/>
            <w:vAlign w:val="bottom"/>
          </w:tcPr>
          <w:p w14:paraId="2819DBBB" w14:textId="77777777" w:rsidR="004647B9" w:rsidRDefault="004647B9">
            <w:pPr>
              <w:rPr>
                <w:sz w:val="16"/>
                <w:szCs w:val="16"/>
              </w:rPr>
            </w:pPr>
          </w:p>
        </w:tc>
        <w:tc>
          <w:tcPr>
            <w:tcW w:w="900" w:type="dxa"/>
            <w:vAlign w:val="bottom"/>
          </w:tcPr>
          <w:p w14:paraId="2819DBBC" w14:textId="77777777" w:rsidR="004647B9" w:rsidRDefault="004647B9">
            <w:pPr>
              <w:rPr>
                <w:sz w:val="16"/>
                <w:szCs w:val="16"/>
              </w:rPr>
            </w:pPr>
          </w:p>
        </w:tc>
        <w:tc>
          <w:tcPr>
            <w:tcW w:w="260" w:type="dxa"/>
            <w:vAlign w:val="bottom"/>
          </w:tcPr>
          <w:p w14:paraId="2819DBBD" w14:textId="77777777" w:rsidR="004647B9" w:rsidRDefault="004647B9">
            <w:pPr>
              <w:rPr>
                <w:sz w:val="16"/>
                <w:szCs w:val="16"/>
              </w:rPr>
            </w:pPr>
          </w:p>
        </w:tc>
        <w:tc>
          <w:tcPr>
            <w:tcW w:w="280" w:type="dxa"/>
            <w:vAlign w:val="bottom"/>
          </w:tcPr>
          <w:p w14:paraId="2819DBBE" w14:textId="77777777" w:rsidR="004647B9" w:rsidRDefault="004647B9">
            <w:pPr>
              <w:rPr>
                <w:sz w:val="16"/>
                <w:szCs w:val="16"/>
              </w:rPr>
            </w:pPr>
          </w:p>
        </w:tc>
        <w:tc>
          <w:tcPr>
            <w:tcW w:w="540" w:type="dxa"/>
            <w:vAlign w:val="bottom"/>
          </w:tcPr>
          <w:p w14:paraId="2819DBBF" w14:textId="77777777" w:rsidR="004647B9" w:rsidRDefault="004647B9">
            <w:pPr>
              <w:rPr>
                <w:sz w:val="16"/>
                <w:szCs w:val="16"/>
              </w:rPr>
            </w:pPr>
          </w:p>
        </w:tc>
        <w:tc>
          <w:tcPr>
            <w:tcW w:w="340" w:type="dxa"/>
            <w:vAlign w:val="bottom"/>
          </w:tcPr>
          <w:p w14:paraId="2819DBC0" w14:textId="77777777" w:rsidR="004647B9" w:rsidRDefault="004647B9">
            <w:pPr>
              <w:rPr>
                <w:sz w:val="16"/>
                <w:szCs w:val="16"/>
              </w:rPr>
            </w:pPr>
          </w:p>
        </w:tc>
        <w:tc>
          <w:tcPr>
            <w:tcW w:w="180" w:type="dxa"/>
            <w:vAlign w:val="bottom"/>
          </w:tcPr>
          <w:p w14:paraId="2819DBC1" w14:textId="77777777" w:rsidR="004647B9" w:rsidRDefault="004647B9">
            <w:pPr>
              <w:rPr>
                <w:sz w:val="16"/>
                <w:szCs w:val="16"/>
              </w:rPr>
            </w:pPr>
          </w:p>
        </w:tc>
        <w:tc>
          <w:tcPr>
            <w:tcW w:w="880" w:type="dxa"/>
            <w:vAlign w:val="bottom"/>
          </w:tcPr>
          <w:p w14:paraId="2819DBC2" w14:textId="77777777" w:rsidR="004647B9" w:rsidRDefault="004647B9">
            <w:pPr>
              <w:rPr>
                <w:sz w:val="16"/>
                <w:szCs w:val="16"/>
              </w:rPr>
            </w:pPr>
          </w:p>
        </w:tc>
        <w:tc>
          <w:tcPr>
            <w:tcW w:w="660" w:type="dxa"/>
            <w:vAlign w:val="bottom"/>
          </w:tcPr>
          <w:p w14:paraId="2819DBC3" w14:textId="77777777" w:rsidR="004647B9" w:rsidRDefault="004647B9">
            <w:pPr>
              <w:rPr>
                <w:sz w:val="16"/>
                <w:szCs w:val="16"/>
              </w:rPr>
            </w:pPr>
          </w:p>
        </w:tc>
        <w:tc>
          <w:tcPr>
            <w:tcW w:w="460" w:type="dxa"/>
            <w:vAlign w:val="bottom"/>
          </w:tcPr>
          <w:p w14:paraId="2819DBC4" w14:textId="77777777" w:rsidR="004647B9" w:rsidRDefault="004647B9">
            <w:pPr>
              <w:rPr>
                <w:sz w:val="16"/>
                <w:szCs w:val="16"/>
              </w:rPr>
            </w:pPr>
          </w:p>
        </w:tc>
        <w:tc>
          <w:tcPr>
            <w:tcW w:w="1160" w:type="dxa"/>
            <w:vAlign w:val="bottom"/>
          </w:tcPr>
          <w:p w14:paraId="2819DBC5" w14:textId="77777777" w:rsidR="004647B9" w:rsidRDefault="004647B9">
            <w:pPr>
              <w:rPr>
                <w:sz w:val="16"/>
                <w:szCs w:val="16"/>
              </w:rPr>
            </w:pPr>
          </w:p>
        </w:tc>
        <w:tc>
          <w:tcPr>
            <w:tcW w:w="0" w:type="dxa"/>
            <w:vAlign w:val="bottom"/>
          </w:tcPr>
          <w:p w14:paraId="2819DBC6" w14:textId="77777777" w:rsidR="004647B9" w:rsidRDefault="004647B9">
            <w:pPr>
              <w:rPr>
                <w:sz w:val="1"/>
                <w:szCs w:val="1"/>
              </w:rPr>
            </w:pPr>
          </w:p>
        </w:tc>
      </w:tr>
      <w:tr w:rsidR="004647B9" w14:paraId="2819DBD9" w14:textId="77777777">
        <w:trPr>
          <w:trHeight w:val="274"/>
        </w:trPr>
        <w:tc>
          <w:tcPr>
            <w:tcW w:w="1020" w:type="dxa"/>
            <w:vAlign w:val="bottom"/>
          </w:tcPr>
          <w:p w14:paraId="2819DBC8" w14:textId="77777777" w:rsidR="004647B9" w:rsidRDefault="004647B9">
            <w:pPr>
              <w:rPr>
                <w:sz w:val="23"/>
                <w:szCs w:val="23"/>
              </w:rPr>
            </w:pPr>
          </w:p>
        </w:tc>
        <w:tc>
          <w:tcPr>
            <w:tcW w:w="180" w:type="dxa"/>
            <w:vAlign w:val="bottom"/>
          </w:tcPr>
          <w:p w14:paraId="2819DBC9" w14:textId="77777777" w:rsidR="004647B9" w:rsidRDefault="004647B9">
            <w:pPr>
              <w:rPr>
                <w:sz w:val="23"/>
                <w:szCs w:val="23"/>
              </w:rPr>
            </w:pPr>
          </w:p>
        </w:tc>
        <w:tc>
          <w:tcPr>
            <w:tcW w:w="2600" w:type="dxa"/>
            <w:gridSpan w:val="2"/>
            <w:vAlign w:val="bottom"/>
          </w:tcPr>
          <w:p w14:paraId="2819DBCA"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BCB" w14:textId="77777777" w:rsidR="004647B9" w:rsidRDefault="00E2436F">
            <w:pPr>
              <w:spacing w:line="273" w:lineRule="exact"/>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BCC" w14:textId="77777777" w:rsidR="004647B9" w:rsidRDefault="004647B9">
            <w:pPr>
              <w:rPr>
                <w:sz w:val="23"/>
                <w:szCs w:val="23"/>
              </w:rPr>
            </w:pPr>
          </w:p>
        </w:tc>
        <w:tc>
          <w:tcPr>
            <w:tcW w:w="560" w:type="dxa"/>
            <w:vAlign w:val="bottom"/>
          </w:tcPr>
          <w:p w14:paraId="2819DBCD" w14:textId="77777777" w:rsidR="004647B9" w:rsidRDefault="004647B9">
            <w:pPr>
              <w:rPr>
                <w:sz w:val="23"/>
                <w:szCs w:val="23"/>
              </w:rPr>
            </w:pPr>
          </w:p>
        </w:tc>
        <w:tc>
          <w:tcPr>
            <w:tcW w:w="900" w:type="dxa"/>
            <w:vAlign w:val="bottom"/>
          </w:tcPr>
          <w:p w14:paraId="2819DBCE" w14:textId="77777777" w:rsidR="004647B9" w:rsidRDefault="004647B9">
            <w:pPr>
              <w:rPr>
                <w:sz w:val="23"/>
                <w:szCs w:val="23"/>
              </w:rPr>
            </w:pPr>
          </w:p>
        </w:tc>
        <w:tc>
          <w:tcPr>
            <w:tcW w:w="260" w:type="dxa"/>
            <w:vAlign w:val="bottom"/>
          </w:tcPr>
          <w:p w14:paraId="2819DBCF" w14:textId="77777777" w:rsidR="004647B9" w:rsidRDefault="004647B9">
            <w:pPr>
              <w:rPr>
                <w:sz w:val="23"/>
                <w:szCs w:val="23"/>
              </w:rPr>
            </w:pPr>
          </w:p>
        </w:tc>
        <w:tc>
          <w:tcPr>
            <w:tcW w:w="280" w:type="dxa"/>
            <w:vAlign w:val="bottom"/>
          </w:tcPr>
          <w:p w14:paraId="2819DBD0" w14:textId="77777777" w:rsidR="004647B9" w:rsidRDefault="004647B9">
            <w:pPr>
              <w:rPr>
                <w:sz w:val="23"/>
                <w:szCs w:val="23"/>
              </w:rPr>
            </w:pPr>
          </w:p>
        </w:tc>
        <w:tc>
          <w:tcPr>
            <w:tcW w:w="540" w:type="dxa"/>
            <w:vAlign w:val="bottom"/>
          </w:tcPr>
          <w:p w14:paraId="2819DBD1" w14:textId="77777777" w:rsidR="004647B9" w:rsidRDefault="004647B9">
            <w:pPr>
              <w:rPr>
                <w:sz w:val="23"/>
                <w:szCs w:val="23"/>
              </w:rPr>
            </w:pPr>
          </w:p>
        </w:tc>
        <w:tc>
          <w:tcPr>
            <w:tcW w:w="340" w:type="dxa"/>
            <w:vAlign w:val="bottom"/>
          </w:tcPr>
          <w:p w14:paraId="2819DBD2" w14:textId="77777777" w:rsidR="004647B9" w:rsidRDefault="004647B9">
            <w:pPr>
              <w:rPr>
                <w:sz w:val="23"/>
                <w:szCs w:val="23"/>
              </w:rPr>
            </w:pPr>
          </w:p>
        </w:tc>
        <w:tc>
          <w:tcPr>
            <w:tcW w:w="180" w:type="dxa"/>
            <w:vAlign w:val="bottom"/>
          </w:tcPr>
          <w:p w14:paraId="2819DBD3" w14:textId="77777777" w:rsidR="004647B9" w:rsidRDefault="004647B9">
            <w:pPr>
              <w:rPr>
                <w:sz w:val="23"/>
                <w:szCs w:val="23"/>
              </w:rPr>
            </w:pPr>
          </w:p>
        </w:tc>
        <w:tc>
          <w:tcPr>
            <w:tcW w:w="880" w:type="dxa"/>
            <w:vAlign w:val="bottom"/>
          </w:tcPr>
          <w:p w14:paraId="2819DBD4" w14:textId="77777777" w:rsidR="004647B9" w:rsidRDefault="004647B9">
            <w:pPr>
              <w:rPr>
                <w:sz w:val="23"/>
                <w:szCs w:val="23"/>
              </w:rPr>
            </w:pPr>
          </w:p>
        </w:tc>
        <w:tc>
          <w:tcPr>
            <w:tcW w:w="660" w:type="dxa"/>
            <w:vAlign w:val="bottom"/>
          </w:tcPr>
          <w:p w14:paraId="2819DBD5" w14:textId="77777777" w:rsidR="004647B9" w:rsidRDefault="004647B9">
            <w:pPr>
              <w:rPr>
                <w:sz w:val="23"/>
                <w:szCs w:val="23"/>
              </w:rPr>
            </w:pPr>
          </w:p>
        </w:tc>
        <w:tc>
          <w:tcPr>
            <w:tcW w:w="460" w:type="dxa"/>
            <w:vAlign w:val="bottom"/>
          </w:tcPr>
          <w:p w14:paraId="2819DBD6" w14:textId="77777777" w:rsidR="004647B9" w:rsidRDefault="004647B9">
            <w:pPr>
              <w:rPr>
                <w:sz w:val="23"/>
                <w:szCs w:val="23"/>
              </w:rPr>
            </w:pPr>
          </w:p>
        </w:tc>
        <w:tc>
          <w:tcPr>
            <w:tcW w:w="1160" w:type="dxa"/>
            <w:vAlign w:val="bottom"/>
          </w:tcPr>
          <w:p w14:paraId="2819DBD7" w14:textId="77777777" w:rsidR="004647B9" w:rsidRDefault="004647B9">
            <w:pPr>
              <w:rPr>
                <w:sz w:val="23"/>
                <w:szCs w:val="23"/>
              </w:rPr>
            </w:pPr>
          </w:p>
        </w:tc>
        <w:tc>
          <w:tcPr>
            <w:tcW w:w="0" w:type="dxa"/>
            <w:vAlign w:val="bottom"/>
          </w:tcPr>
          <w:p w14:paraId="2819DBD8" w14:textId="77777777" w:rsidR="004647B9" w:rsidRDefault="004647B9">
            <w:pPr>
              <w:rPr>
                <w:sz w:val="1"/>
                <w:szCs w:val="1"/>
              </w:rPr>
            </w:pPr>
          </w:p>
        </w:tc>
      </w:tr>
      <w:tr w:rsidR="004647B9" w14:paraId="2819DBEB" w14:textId="77777777">
        <w:trPr>
          <w:trHeight w:val="274"/>
        </w:trPr>
        <w:tc>
          <w:tcPr>
            <w:tcW w:w="1020" w:type="dxa"/>
            <w:vAlign w:val="bottom"/>
          </w:tcPr>
          <w:p w14:paraId="2819DBDA" w14:textId="77777777" w:rsidR="004647B9" w:rsidRDefault="00E2436F">
            <w:pPr>
              <w:rPr>
                <w:sz w:val="20"/>
                <w:szCs w:val="20"/>
              </w:rPr>
            </w:pPr>
            <w:r>
              <w:rPr>
                <w:rFonts w:eastAsia="Times New Roman"/>
                <w:sz w:val="18"/>
                <w:szCs w:val="18"/>
              </w:rPr>
              <w:t>Thallium</w:t>
            </w:r>
          </w:p>
        </w:tc>
        <w:tc>
          <w:tcPr>
            <w:tcW w:w="180" w:type="dxa"/>
            <w:vAlign w:val="bottom"/>
          </w:tcPr>
          <w:p w14:paraId="2819DBDB" w14:textId="77777777" w:rsidR="004647B9" w:rsidRDefault="004647B9">
            <w:pPr>
              <w:rPr>
                <w:sz w:val="23"/>
                <w:szCs w:val="23"/>
              </w:rPr>
            </w:pPr>
          </w:p>
        </w:tc>
        <w:tc>
          <w:tcPr>
            <w:tcW w:w="2600" w:type="dxa"/>
            <w:gridSpan w:val="2"/>
            <w:vAlign w:val="bottom"/>
          </w:tcPr>
          <w:p w14:paraId="2819DBDC"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BDD" w14:textId="77777777" w:rsidR="004647B9" w:rsidRDefault="00E2436F">
            <w:pPr>
              <w:spacing w:line="273" w:lineRule="exact"/>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BDE" w14:textId="77777777" w:rsidR="004647B9" w:rsidRDefault="004647B9">
            <w:pPr>
              <w:rPr>
                <w:sz w:val="23"/>
                <w:szCs w:val="23"/>
              </w:rPr>
            </w:pPr>
          </w:p>
        </w:tc>
        <w:tc>
          <w:tcPr>
            <w:tcW w:w="560" w:type="dxa"/>
            <w:vAlign w:val="bottom"/>
          </w:tcPr>
          <w:p w14:paraId="2819DBDF" w14:textId="77777777" w:rsidR="004647B9" w:rsidRDefault="004647B9">
            <w:pPr>
              <w:rPr>
                <w:sz w:val="23"/>
                <w:szCs w:val="23"/>
              </w:rPr>
            </w:pPr>
          </w:p>
        </w:tc>
        <w:tc>
          <w:tcPr>
            <w:tcW w:w="900" w:type="dxa"/>
            <w:vAlign w:val="bottom"/>
          </w:tcPr>
          <w:p w14:paraId="2819DBE0" w14:textId="77777777" w:rsidR="004647B9" w:rsidRDefault="004647B9">
            <w:pPr>
              <w:rPr>
                <w:sz w:val="23"/>
                <w:szCs w:val="23"/>
              </w:rPr>
            </w:pPr>
          </w:p>
        </w:tc>
        <w:tc>
          <w:tcPr>
            <w:tcW w:w="260" w:type="dxa"/>
            <w:vAlign w:val="bottom"/>
          </w:tcPr>
          <w:p w14:paraId="2819DBE1" w14:textId="77777777" w:rsidR="004647B9" w:rsidRDefault="004647B9">
            <w:pPr>
              <w:rPr>
                <w:sz w:val="23"/>
                <w:szCs w:val="23"/>
              </w:rPr>
            </w:pPr>
          </w:p>
        </w:tc>
        <w:tc>
          <w:tcPr>
            <w:tcW w:w="280" w:type="dxa"/>
            <w:vAlign w:val="bottom"/>
          </w:tcPr>
          <w:p w14:paraId="2819DBE2" w14:textId="77777777" w:rsidR="004647B9" w:rsidRDefault="004647B9">
            <w:pPr>
              <w:rPr>
                <w:sz w:val="23"/>
                <w:szCs w:val="23"/>
              </w:rPr>
            </w:pPr>
          </w:p>
        </w:tc>
        <w:tc>
          <w:tcPr>
            <w:tcW w:w="540" w:type="dxa"/>
            <w:vAlign w:val="bottom"/>
          </w:tcPr>
          <w:p w14:paraId="2819DBE3" w14:textId="77777777" w:rsidR="004647B9" w:rsidRDefault="004647B9">
            <w:pPr>
              <w:rPr>
                <w:sz w:val="23"/>
                <w:szCs w:val="23"/>
              </w:rPr>
            </w:pPr>
          </w:p>
        </w:tc>
        <w:tc>
          <w:tcPr>
            <w:tcW w:w="340" w:type="dxa"/>
            <w:vAlign w:val="bottom"/>
          </w:tcPr>
          <w:p w14:paraId="2819DBE4" w14:textId="77777777" w:rsidR="004647B9" w:rsidRDefault="004647B9">
            <w:pPr>
              <w:rPr>
                <w:sz w:val="23"/>
                <w:szCs w:val="23"/>
              </w:rPr>
            </w:pPr>
          </w:p>
        </w:tc>
        <w:tc>
          <w:tcPr>
            <w:tcW w:w="180" w:type="dxa"/>
            <w:vAlign w:val="bottom"/>
          </w:tcPr>
          <w:p w14:paraId="2819DBE5" w14:textId="77777777" w:rsidR="004647B9" w:rsidRDefault="004647B9">
            <w:pPr>
              <w:rPr>
                <w:sz w:val="23"/>
                <w:szCs w:val="23"/>
              </w:rPr>
            </w:pPr>
          </w:p>
        </w:tc>
        <w:tc>
          <w:tcPr>
            <w:tcW w:w="880" w:type="dxa"/>
            <w:vAlign w:val="bottom"/>
          </w:tcPr>
          <w:p w14:paraId="2819DBE6" w14:textId="77777777" w:rsidR="004647B9" w:rsidRDefault="004647B9">
            <w:pPr>
              <w:rPr>
                <w:sz w:val="23"/>
                <w:szCs w:val="23"/>
              </w:rPr>
            </w:pPr>
          </w:p>
        </w:tc>
        <w:tc>
          <w:tcPr>
            <w:tcW w:w="660" w:type="dxa"/>
            <w:vAlign w:val="bottom"/>
          </w:tcPr>
          <w:p w14:paraId="2819DBE7" w14:textId="77777777" w:rsidR="004647B9" w:rsidRDefault="004647B9">
            <w:pPr>
              <w:rPr>
                <w:sz w:val="23"/>
                <w:szCs w:val="23"/>
              </w:rPr>
            </w:pPr>
          </w:p>
        </w:tc>
        <w:tc>
          <w:tcPr>
            <w:tcW w:w="460" w:type="dxa"/>
            <w:vAlign w:val="bottom"/>
          </w:tcPr>
          <w:p w14:paraId="2819DBE8" w14:textId="77777777" w:rsidR="004647B9" w:rsidRDefault="004647B9">
            <w:pPr>
              <w:rPr>
                <w:sz w:val="23"/>
                <w:szCs w:val="23"/>
              </w:rPr>
            </w:pPr>
          </w:p>
        </w:tc>
        <w:tc>
          <w:tcPr>
            <w:tcW w:w="1160" w:type="dxa"/>
            <w:vAlign w:val="bottom"/>
          </w:tcPr>
          <w:p w14:paraId="2819DBE9" w14:textId="77777777" w:rsidR="004647B9" w:rsidRDefault="004647B9">
            <w:pPr>
              <w:rPr>
                <w:sz w:val="23"/>
                <w:szCs w:val="23"/>
              </w:rPr>
            </w:pPr>
          </w:p>
        </w:tc>
        <w:tc>
          <w:tcPr>
            <w:tcW w:w="0" w:type="dxa"/>
            <w:vAlign w:val="bottom"/>
          </w:tcPr>
          <w:p w14:paraId="2819DBEA" w14:textId="77777777" w:rsidR="004647B9" w:rsidRDefault="004647B9">
            <w:pPr>
              <w:rPr>
                <w:sz w:val="1"/>
                <w:szCs w:val="1"/>
              </w:rPr>
            </w:pPr>
          </w:p>
        </w:tc>
      </w:tr>
      <w:tr w:rsidR="004647B9" w14:paraId="2819DBFD" w14:textId="77777777">
        <w:trPr>
          <w:trHeight w:val="274"/>
        </w:trPr>
        <w:tc>
          <w:tcPr>
            <w:tcW w:w="1020" w:type="dxa"/>
            <w:vAlign w:val="bottom"/>
          </w:tcPr>
          <w:p w14:paraId="2819DBEC" w14:textId="77777777" w:rsidR="004647B9" w:rsidRDefault="004647B9">
            <w:pPr>
              <w:rPr>
                <w:sz w:val="23"/>
                <w:szCs w:val="23"/>
              </w:rPr>
            </w:pPr>
          </w:p>
        </w:tc>
        <w:tc>
          <w:tcPr>
            <w:tcW w:w="180" w:type="dxa"/>
            <w:vAlign w:val="bottom"/>
          </w:tcPr>
          <w:p w14:paraId="2819DBED" w14:textId="77777777" w:rsidR="004647B9" w:rsidRDefault="004647B9">
            <w:pPr>
              <w:rPr>
                <w:sz w:val="23"/>
                <w:szCs w:val="23"/>
              </w:rPr>
            </w:pPr>
          </w:p>
        </w:tc>
        <w:tc>
          <w:tcPr>
            <w:tcW w:w="2600" w:type="dxa"/>
            <w:gridSpan w:val="2"/>
            <w:vAlign w:val="bottom"/>
          </w:tcPr>
          <w:p w14:paraId="2819DBEE" w14:textId="77777777" w:rsidR="004647B9" w:rsidRDefault="00E2436F">
            <w:pPr>
              <w:rPr>
                <w:sz w:val="20"/>
                <w:szCs w:val="20"/>
              </w:rPr>
            </w:pPr>
            <w:r>
              <w:rPr>
                <w:rFonts w:eastAsia="Times New Roman"/>
                <w:sz w:val="18"/>
                <w:szCs w:val="18"/>
              </w:rPr>
              <w:t>ICP-Mass Spectrometry</w:t>
            </w:r>
          </w:p>
        </w:tc>
        <w:tc>
          <w:tcPr>
            <w:tcW w:w="860" w:type="dxa"/>
            <w:gridSpan w:val="2"/>
            <w:vAlign w:val="bottom"/>
          </w:tcPr>
          <w:p w14:paraId="2819DBEF" w14:textId="77777777" w:rsidR="004647B9" w:rsidRDefault="00E2436F">
            <w:pPr>
              <w:spacing w:line="273" w:lineRule="exact"/>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BF0" w14:textId="77777777" w:rsidR="004647B9" w:rsidRDefault="004647B9">
            <w:pPr>
              <w:rPr>
                <w:sz w:val="23"/>
                <w:szCs w:val="23"/>
              </w:rPr>
            </w:pPr>
          </w:p>
        </w:tc>
        <w:tc>
          <w:tcPr>
            <w:tcW w:w="560" w:type="dxa"/>
            <w:vAlign w:val="bottom"/>
          </w:tcPr>
          <w:p w14:paraId="2819DBF1" w14:textId="77777777" w:rsidR="004647B9" w:rsidRDefault="004647B9">
            <w:pPr>
              <w:rPr>
                <w:sz w:val="23"/>
                <w:szCs w:val="23"/>
              </w:rPr>
            </w:pPr>
          </w:p>
        </w:tc>
        <w:tc>
          <w:tcPr>
            <w:tcW w:w="900" w:type="dxa"/>
            <w:vAlign w:val="bottom"/>
          </w:tcPr>
          <w:p w14:paraId="2819DBF2" w14:textId="77777777" w:rsidR="004647B9" w:rsidRDefault="004647B9">
            <w:pPr>
              <w:rPr>
                <w:sz w:val="23"/>
                <w:szCs w:val="23"/>
              </w:rPr>
            </w:pPr>
          </w:p>
        </w:tc>
        <w:tc>
          <w:tcPr>
            <w:tcW w:w="260" w:type="dxa"/>
            <w:vAlign w:val="bottom"/>
          </w:tcPr>
          <w:p w14:paraId="2819DBF3" w14:textId="77777777" w:rsidR="004647B9" w:rsidRDefault="004647B9">
            <w:pPr>
              <w:rPr>
                <w:sz w:val="23"/>
                <w:szCs w:val="23"/>
              </w:rPr>
            </w:pPr>
          </w:p>
        </w:tc>
        <w:tc>
          <w:tcPr>
            <w:tcW w:w="280" w:type="dxa"/>
            <w:vAlign w:val="bottom"/>
          </w:tcPr>
          <w:p w14:paraId="2819DBF4" w14:textId="77777777" w:rsidR="004647B9" w:rsidRDefault="004647B9">
            <w:pPr>
              <w:rPr>
                <w:sz w:val="23"/>
                <w:szCs w:val="23"/>
              </w:rPr>
            </w:pPr>
          </w:p>
        </w:tc>
        <w:tc>
          <w:tcPr>
            <w:tcW w:w="540" w:type="dxa"/>
            <w:vAlign w:val="bottom"/>
          </w:tcPr>
          <w:p w14:paraId="2819DBF5" w14:textId="77777777" w:rsidR="004647B9" w:rsidRDefault="004647B9">
            <w:pPr>
              <w:rPr>
                <w:sz w:val="23"/>
                <w:szCs w:val="23"/>
              </w:rPr>
            </w:pPr>
          </w:p>
        </w:tc>
        <w:tc>
          <w:tcPr>
            <w:tcW w:w="340" w:type="dxa"/>
            <w:vAlign w:val="bottom"/>
          </w:tcPr>
          <w:p w14:paraId="2819DBF6" w14:textId="77777777" w:rsidR="004647B9" w:rsidRDefault="004647B9">
            <w:pPr>
              <w:rPr>
                <w:sz w:val="23"/>
                <w:szCs w:val="23"/>
              </w:rPr>
            </w:pPr>
          </w:p>
        </w:tc>
        <w:tc>
          <w:tcPr>
            <w:tcW w:w="180" w:type="dxa"/>
            <w:vAlign w:val="bottom"/>
          </w:tcPr>
          <w:p w14:paraId="2819DBF7" w14:textId="77777777" w:rsidR="004647B9" w:rsidRDefault="004647B9">
            <w:pPr>
              <w:rPr>
                <w:sz w:val="23"/>
                <w:szCs w:val="23"/>
              </w:rPr>
            </w:pPr>
          </w:p>
        </w:tc>
        <w:tc>
          <w:tcPr>
            <w:tcW w:w="880" w:type="dxa"/>
            <w:vAlign w:val="bottom"/>
          </w:tcPr>
          <w:p w14:paraId="2819DBF8" w14:textId="77777777" w:rsidR="004647B9" w:rsidRDefault="004647B9">
            <w:pPr>
              <w:rPr>
                <w:sz w:val="23"/>
                <w:szCs w:val="23"/>
              </w:rPr>
            </w:pPr>
          </w:p>
        </w:tc>
        <w:tc>
          <w:tcPr>
            <w:tcW w:w="660" w:type="dxa"/>
            <w:vAlign w:val="bottom"/>
          </w:tcPr>
          <w:p w14:paraId="2819DBF9" w14:textId="77777777" w:rsidR="004647B9" w:rsidRDefault="004647B9">
            <w:pPr>
              <w:rPr>
                <w:sz w:val="23"/>
                <w:szCs w:val="23"/>
              </w:rPr>
            </w:pPr>
          </w:p>
        </w:tc>
        <w:tc>
          <w:tcPr>
            <w:tcW w:w="460" w:type="dxa"/>
            <w:vAlign w:val="bottom"/>
          </w:tcPr>
          <w:p w14:paraId="2819DBFA" w14:textId="77777777" w:rsidR="004647B9" w:rsidRDefault="004647B9">
            <w:pPr>
              <w:rPr>
                <w:sz w:val="23"/>
                <w:szCs w:val="23"/>
              </w:rPr>
            </w:pPr>
          </w:p>
        </w:tc>
        <w:tc>
          <w:tcPr>
            <w:tcW w:w="1160" w:type="dxa"/>
            <w:vAlign w:val="bottom"/>
          </w:tcPr>
          <w:p w14:paraId="2819DBFB" w14:textId="77777777" w:rsidR="004647B9" w:rsidRDefault="004647B9">
            <w:pPr>
              <w:rPr>
                <w:sz w:val="23"/>
                <w:szCs w:val="23"/>
              </w:rPr>
            </w:pPr>
          </w:p>
        </w:tc>
        <w:tc>
          <w:tcPr>
            <w:tcW w:w="0" w:type="dxa"/>
            <w:vAlign w:val="bottom"/>
          </w:tcPr>
          <w:p w14:paraId="2819DBFC" w14:textId="77777777" w:rsidR="004647B9" w:rsidRDefault="004647B9">
            <w:pPr>
              <w:rPr>
                <w:sz w:val="1"/>
                <w:szCs w:val="1"/>
              </w:rPr>
            </w:pPr>
          </w:p>
        </w:tc>
      </w:tr>
    </w:tbl>
    <w:p w14:paraId="2819DBFE" w14:textId="77777777" w:rsidR="004647B9" w:rsidRDefault="004647B9">
      <w:pPr>
        <w:spacing w:line="13" w:lineRule="exact"/>
        <w:rPr>
          <w:sz w:val="20"/>
          <w:szCs w:val="20"/>
        </w:rPr>
      </w:pPr>
    </w:p>
    <w:p w14:paraId="2819DBFF" w14:textId="77777777" w:rsidR="004647B9" w:rsidRDefault="004647B9">
      <w:pPr>
        <w:sectPr w:rsidR="004647B9" w:rsidSect="00EF630C">
          <w:pgSz w:w="12240" w:h="20180"/>
          <w:pgMar w:top="708" w:right="720" w:bottom="1440" w:left="600" w:header="0" w:footer="0" w:gutter="0"/>
          <w:cols w:space="720" w:equalWidth="0">
            <w:col w:w="10920"/>
          </w:cols>
        </w:sectPr>
      </w:pPr>
    </w:p>
    <w:p w14:paraId="2819DC01" w14:textId="579A085D" w:rsidR="004647B9" w:rsidRPr="00920A8C" w:rsidRDefault="004647B9">
      <w:pPr>
        <w:rPr>
          <w:sz w:val="20"/>
          <w:szCs w:val="20"/>
        </w:rPr>
        <w:sectPr w:rsidR="004647B9" w:rsidRPr="00920A8C" w:rsidSect="00EF630C">
          <w:type w:val="continuous"/>
          <w:pgSz w:w="12240" w:h="20180"/>
          <w:pgMar w:top="708" w:right="720" w:bottom="1440" w:left="600" w:header="0" w:footer="0" w:gutter="0"/>
          <w:cols w:space="720" w:equalWidth="0">
            <w:col w:w="10920"/>
          </w:cols>
        </w:sectPr>
      </w:pPr>
    </w:p>
    <w:p w14:paraId="2819DC02" w14:textId="77777777" w:rsidR="004647B9" w:rsidRDefault="00E2436F">
      <w:pPr>
        <w:tabs>
          <w:tab w:val="left" w:pos="160"/>
        </w:tabs>
        <w:ind w:right="-1"/>
        <w:jc w:val="center"/>
        <w:rPr>
          <w:sz w:val="20"/>
          <w:szCs w:val="20"/>
        </w:rPr>
      </w:pPr>
      <w:bookmarkStart w:id="55" w:name="page56"/>
      <w:bookmarkEnd w:id="5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C03" w14:textId="77777777" w:rsidR="004647B9" w:rsidRDefault="004647B9" w:rsidP="00AE2733">
      <w:pPr>
        <w:rPr>
          <w:sz w:val="20"/>
          <w:szCs w:val="20"/>
        </w:rPr>
      </w:pPr>
    </w:p>
    <w:p w14:paraId="2819DC04" w14:textId="77777777" w:rsidR="004647B9" w:rsidRDefault="004647B9" w:rsidP="00AE2733">
      <w:pPr>
        <w:rPr>
          <w:sz w:val="20"/>
          <w:szCs w:val="20"/>
        </w:rPr>
      </w:pPr>
    </w:p>
    <w:p w14:paraId="2819DC05" w14:textId="77777777" w:rsidR="004647B9" w:rsidRDefault="00E2436F">
      <w:pPr>
        <w:tabs>
          <w:tab w:val="left" w:pos="762"/>
        </w:tabs>
        <w:ind w:left="2"/>
        <w:rPr>
          <w:sz w:val="20"/>
          <w:szCs w:val="20"/>
        </w:rPr>
      </w:pPr>
      <w:r>
        <w:rPr>
          <w:rFonts w:eastAsia="Times New Roman"/>
          <w:sz w:val="24"/>
          <w:szCs w:val="24"/>
        </w:rPr>
        <w:t>22.06:</w:t>
      </w:r>
      <w:r>
        <w:rPr>
          <w:rFonts w:eastAsia="Times New Roman"/>
          <w:sz w:val="24"/>
          <w:szCs w:val="24"/>
        </w:rPr>
        <w:tab/>
        <w:t>continued</w:t>
      </w:r>
    </w:p>
    <w:p w14:paraId="2819DC06" w14:textId="77777777" w:rsidR="004647B9" w:rsidRDefault="004647B9" w:rsidP="00AE2733">
      <w:pPr>
        <w:rPr>
          <w:sz w:val="20"/>
          <w:szCs w:val="20"/>
        </w:rPr>
      </w:pPr>
    </w:p>
    <w:p w14:paraId="2819DC07" w14:textId="77777777" w:rsidR="004647B9" w:rsidRPr="003227BA" w:rsidRDefault="00E2436F">
      <w:pPr>
        <w:spacing w:line="243" w:lineRule="auto"/>
        <w:ind w:left="2"/>
        <w:jc w:val="both"/>
        <w:rPr>
          <w:sz w:val="24"/>
          <w:szCs w:val="24"/>
        </w:rPr>
      </w:pPr>
      <w:r w:rsidRPr="003227BA">
        <w:rPr>
          <w:rFonts w:eastAsia="Times New Roman"/>
          <w:sz w:val="24"/>
          <w:szCs w:val="24"/>
        </w:rPr>
        <w:t>The procedures shall be done in accordance with the documents listed below. The incorporation by reference of the following documents listed in footnotes 1-11 and 15 was approved by the Director of the Federal Register in accordance with 5 U.S.C. 552(a) and 1 CFR Part 51. Copies of the documents may be obtained from the sources listed below. Information regarding obtaining these documents can be obtained from the Safe Drinking Water Hotline at 900-426-4791. Documents may be inspected at EPA’s Drinking Water Docket, 401 M Street, SW., Washington, DC 20460 (Telephone 202-260-3027); or at the Office of Federal Register, 800 North Capital Street, NW., Suite 700, Washington, DC.</w:t>
      </w:r>
    </w:p>
    <w:p w14:paraId="2819DC08" w14:textId="77777777" w:rsidR="004647B9" w:rsidRPr="003227BA" w:rsidRDefault="004647B9">
      <w:pPr>
        <w:spacing w:line="229" w:lineRule="exact"/>
        <w:rPr>
          <w:sz w:val="24"/>
          <w:szCs w:val="24"/>
        </w:rPr>
      </w:pPr>
    </w:p>
    <w:p w14:paraId="2819DC09" w14:textId="77777777" w:rsidR="004647B9" w:rsidRPr="003227BA" w:rsidRDefault="00E2436F" w:rsidP="00563A54">
      <w:pPr>
        <w:numPr>
          <w:ilvl w:val="0"/>
          <w:numId w:val="133"/>
        </w:numPr>
        <w:tabs>
          <w:tab w:val="left" w:pos="302"/>
        </w:tabs>
        <w:spacing w:line="236" w:lineRule="auto"/>
        <w:ind w:left="302" w:hanging="300"/>
        <w:rPr>
          <w:rFonts w:eastAsia="Times New Roman"/>
          <w:sz w:val="24"/>
          <w:szCs w:val="24"/>
          <w:vertAlign w:val="superscript"/>
        </w:rPr>
      </w:pPr>
      <w:r w:rsidRPr="003227BA">
        <w:rPr>
          <w:rFonts w:eastAsia="Times New Roman"/>
          <w:i/>
          <w:iCs/>
          <w:sz w:val="24"/>
          <w:szCs w:val="24"/>
        </w:rPr>
        <w:t>Methods of Chemical Analysis of Water and Wastes</w:t>
      </w:r>
      <w:r w:rsidRPr="003227BA">
        <w:rPr>
          <w:rFonts w:eastAsia="Times New Roman"/>
          <w:sz w:val="24"/>
          <w:szCs w:val="24"/>
        </w:rPr>
        <w:t>, EPA-600/4-79-020, March 1983. Available at NTIS,</w:t>
      </w:r>
      <w:r w:rsidRPr="003227BA">
        <w:rPr>
          <w:rFonts w:eastAsia="Times New Roman"/>
          <w:i/>
          <w:iCs/>
          <w:sz w:val="24"/>
          <w:szCs w:val="24"/>
        </w:rPr>
        <w:t xml:space="preserve"> </w:t>
      </w:r>
      <w:r w:rsidRPr="003227BA">
        <w:rPr>
          <w:rFonts w:eastAsia="Times New Roman"/>
          <w:sz w:val="24"/>
          <w:szCs w:val="24"/>
        </w:rPr>
        <w:t>PB84-128677.</w:t>
      </w:r>
    </w:p>
    <w:p w14:paraId="2819DC0A" w14:textId="77777777" w:rsidR="004647B9" w:rsidRPr="003227BA" w:rsidRDefault="004647B9">
      <w:pPr>
        <w:spacing w:line="2" w:lineRule="exact"/>
        <w:rPr>
          <w:rFonts w:eastAsia="Times New Roman"/>
          <w:sz w:val="24"/>
          <w:szCs w:val="24"/>
          <w:vertAlign w:val="superscript"/>
        </w:rPr>
      </w:pPr>
    </w:p>
    <w:p w14:paraId="2819DC0B"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i/>
          <w:iCs/>
          <w:sz w:val="24"/>
          <w:szCs w:val="24"/>
        </w:rPr>
        <w:t>Methods for the Determination of Metals in Environmental Samples - Supplement I</w:t>
      </w:r>
      <w:r w:rsidRPr="003227BA">
        <w:rPr>
          <w:rFonts w:eastAsia="Times New Roman"/>
          <w:sz w:val="24"/>
          <w:szCs w:val="24"/>
        </w:rPr>
        <w:t>, EPA-600/R-94/111</w:t>
      </w:r>
      <w:r w:rsidRPr="003227BA">
        <w:rPr>
          <w:rFonts w:eastAsia="Times New Roman"/>
          <w:i/>
          <w:iCs/>
          <w:sz w:val="24"/>
          <w:szCs w:val="24"/>
        </w:rPr>
        <w:t xml:space="preserve"> </w:t>
      </w:r>
      <w:r w:rsidRPr="003227BA">
        <w:rPr>
          <w:rFonts w:eastAsia="Times New Roman"/>
          <w:sz w:val="24"/>
          <w:szCs w:val="24"/>
        </w:rPr>
        <w:t>May 1994. Available at NTIS, PB 95-125472.</w:t>
      </w:r>
    </w:p>
    <w:p w14:paraId="2819DC0C" w14:textId="77777777" w:rsidR="004647B9" w:rsidRPr="003227BA" w:rsidRDefault="004647B9">
      <w:pPr>
        <w:spacing w:line="1" w:lineRule="exact"/>
        <w:rPr>
          <w:rFonts w:eastAsia="Times New Roman"/>
          <w:sz w:val="24"/>
          <w:szCs w:val="24"/>
          <w:vertAlign w:val="superscript"/>
        </w:rPr>
      </w:pPr>
    </w:p>
    <w:p w14:paraId="2819DC0D" w14:textId="073F33D7" w:rsidR="004647B9" w:rsidRPr="003227BA" w:rsidRDefault="00E2436F" w:rsidP="00563A54">
      <w:pPr>
        <w:numPr>
          <w:ilvl w:val="0"/>
          <w:numId w:val="133"/>
        </w:numPr>
        <w:tabs>
          <w:tab w:val="left" w:pos="302"/>
        </w:tabs>
        <w:spacing w:line="231" w:lineRule="auto"/>
        <w:ind w:left="302" w:hanging="300"/>
        <w:jc w:val="both"/>
        <w:rPr>
          <w:rFonts w:eastAsia="Times New Roman"/>
          <w:sz w:val="24"/>
          <w:szCs w:val="24"/>
          <w:vertAlign w:val="superscript"/>
        </w:rPr>
      </w:pPr>
      <w:r w:rsidRPr="003227BA">
        <w:rPr>
          <w:rFonts w:eastAsia="Times New Roman"/>
          <w:sz w:val="24"/>
          <w:szCs w:val="24"/>
        </w:rPr>
        <w:t>Annual Book of ASTM Standards, 1994, 1996, or 1999 Vols. 11.01 and 11.02, American Society for Testing and Materials. The previous versions of D1688-95A, D1688-95C (copper), D3559-95D (lead), D1293-95 (pH), D1125-95A, (conductivity) and D859-94 (silica) are also approved. These previous versions D1688-90A, C; D3559-90D, D1293-84, D1125-91A and D859-88, respectively are located in the Annual Book of ASTM Standards, 1994, Vols. 11.01. Copies may be obtained from the American Society for Testing and Materials, 100 Barr Harbor Drive, West Conshohocken, PA 19428.</w:t>
      </w:r>
    </w:p>
    <w:p w14:paraId="2819DC0E" w14:textId="77777777" w:rsidR="004647B9" w:rsidRPr="003227BA" w:rsidRDefault="004647B9">
      <w:pPr>
        <w:spacing w:line="3" w:lineRule="exact"/>
        <w:rPr>
          <w:rFonts w:eastAsia="Times New Roman"/>
          <w:sz w:val="24"/>
          <w:szCs w:val="24"/>
          <w:vertAlign w:val="superscript"/>
        </w:rPr>
      </w:pPr>
    </w:p>
    <w:p w14:paraId="2819DC0F" w14:textId="77777777" w:rsidR="004647B9" w:rsidRPr="003227BA" w:rsidRDefault="00E2436F" w:rsidP="00563A54">
      <w:pPr>
        <w:numPr>
          <w:ilvl w:val="0"/>
          <w:numId w:val="133"/>
        </w:numPr>
        <w:tabs>
          <w:tab w:val="left" w:pos="302"/>
        </w:tabs>
        <w:spacing w:line="219" w:lineRule="auto"/>
        <w:ind w:left="302" w:hanging="300"/>
        <w:jc w:val="both"/>
        <w:rPr>
          <w:rFonts w:eastAsia="Times New Roman"/>
          <w:sz w:val="24"/>
          <w:szCs w:val="24"/>
          <w:vertAlign w:val="superscript"/>
        </w:rPr>
      </w:pPr>
      <w:r w:rsidRPr="003227BA">
        <w:rPr>
          <w:rFonts w:eastAsia="Times New Roman"/>
          <w:sz w:val="24"/>
          <w:szCs w:val="24"/>
        </w:rPr>
        <w:t>18</w:t>
      </w:r>
      <w:r w:rsidRPr="003227BA">
        <w:rPr>
          <w:rFonts w:eastAsia="Times New Roman"/>
          <w:sz w:val="24"/>
          <w:szCs w:val="24"/>
          <w:vertAlign w:val="superscript"/>
        </w:rPr>
        <w:t>th</w:t>
      </w:r>
      <w:r w:rsidRPr="003227BA">
        <w:rPr>
          <w:rFonts w:eastAsia="Times New Roman"/>
          <w:sz w:val="24"/>
          <w:szCs w:val="24"/>
        </w:rPr>
        <w:t>, 19</w:t>
      </w:r>
      <w:r w:rsidRPr="003227BA">
        <w:rPr>
          <w:rFonts w:eastAsia="Times New Roman"/>
          <w:sz w:val="24"/>
          <w:szCs w:val="24"/>
          <w:vertAlign w:val="superscript"/>
        </w:rPr>
        <w:t>th</w:t>
      </w:r>
      <w:r w:rsidRPr="003227BA">
        <w:rPr>
          <w:rFonts w:eastAsia="Times New Roman"/>
          <w:sz w:val="24"/>
          <w:szCs w:val="24"/>
        </w:rPr>
        <w:t>, and 20</w:t>
      </w:r>
      <w:r w:rsidRPr="003227BA">
        <w:rPr>
          <w:rFonts w:eastAsia="Times New Roman"/>
          <w:sz w:val="24"/>
          <w:szCs w:val="24"/>
          <w:vertAlign w:val="superscript"/>
        </w:rPr>
        <w:t>th</w:t>
      </w:r>
      <w:r w:rsidRPr="003227BA">
        <w:rPr>
          <w:rFonts w:eastAsia="Times New Roman"/>
          <w:sz w:val="24"/>
          <w:szCs w:val="24"/>
        </w:rPr>
        <w:t xml:space="preserve"> edition of </w:t>
      </w:r>
      <w:r w:rsidRPr="003227BA">
        <w:rPr>
          <w:rFonts w:eastAsia="Times New Roman"/>
          <w:i/>
          <w:iCs/>
          <w:sz w:val="24"/>
          <w:szCs w:val="24"/>
        </w:rPr>
        <w:t>Standard Methods for the Examination of Water and Wastewater</w:t>
      </w:r>
      <w:r w:rsidRPr="003227BA">
        <w:rPr>
          <w:rFonts w:eastAsia="Times New Roman"/>
          <w:sz w:val="24"/>
          <w:szCs w:val="24"/>
        </w:rPr>
        <w:t>, 18</w:t>
      </w:r>
      <w:r w:rsidRPr="003227BA">
        <w:rPr>
          <w:rFonts w:eastAsia="Times New Roman"/>
          <w:sz w:val="24"/>
          <w:szCs w:val="24"/>
          <w:vertAlign w:val="superscript"/>
        </w:rPr>
        <w:t>th</w:t>
      </w:r>
      <w:r w:rsidRPr="003227BA">
        <w:rPr>
          <w:rFonts w:eastAsia="Times New Roman"/>
          <w:sz w:val="24"/>
          <w:szCs w:val="24"/>
        </w:rPr>
        <w:t xml:space="preserve"> (1982), 19</w:t>
      </w:r>
      <w:r w:rsidRPr="003227BA">
        <w:rPr>
          <w:rFonts w:eastAsia="Times New Roman"/>
          <w:sz w:val="24"/>
          <w:szCs w:val="24"/>
          <w:vertAlign w:val="superscript"/>
        </w:rPr>
        <w:t>th</w:t>
      </w:r>
      <w:r w:rsidRPr="003227BA">
        <w:rPr>
          <w:rFonts w:eastAsia="Times New Roman"/>
          <w:sz w:val="24"/>
          <w:szCs w:val="24"/>
        </w:rPr>
        <w:t xml:space="preserve"> (1995), and 20</w:t>
      </w:r>
      <w:r w:rsidRPr="003227BA">
        <w:rPr>
          <w:rFonts w:eastAsia="Times New Roman"/>
          <w:sz w:val="24"/>
          <w:szCs w:val="24"/>
          <w:vertAlign w:val="superscript"/>
        </w:rPr>
        <w:t>th</w:t>
      </w:r>
      <w:r w:rsidRPr="003227BA">
        <w:rPr>
          <w:rFonts w:eastAsia="Times New Roman"/>
          <w:sz w:val="24"/>
          <w:szCs w:val="24"/>
        </w:rPr>
        <w:t xml:space="preserve"> (1998) editions, American Public Health Association; either edition may be used. Copies may be obtained from the American Public Health Association, 1015 Fifteenth Street NW, Washington, DC 20005. The cited methods published in any of these three editions may be used, except that the versions of 3111B, 3111D, 3113B and 3114B in the 20</w:t>
      </w:r>
      <w:r w:rsidRPr="003227BA">
        <w:rPr>
          <w:rFonts w:eastAsia="Times New Roman"/>
          <w:sz w:val="24"/>
          <w:szCs w:val="24"/>
          <w:vertAlign w:val="superscript"/>
        </w:rPr>
        <w:t>th</w:t>
      </w:r>
      <w:r w:rsidRPr="003227BA">
        <w:rPr>
          <w:rFonts w:eastAsia="Times New Roman"/>
          <w:sz w:val="24"/>
          <w:szCs w:val="24"/>
        </w:rPr>
        <w:t xml:space="preserve"> edition may not be used.</w:t>
      </w:r>
    </w:p>
    <w:p w14:paraId="2819DC10" w14:textId="77777777" w:rsidR="004647B9" w:rsidRPr="003227BA" w:rsidRDefault="004647B9">
      <w:pPr>
        <w:spacing w:line="3" w:lineRule="exact"/>
        <w:rPr>
          <w:rFonts w:eastAsia="Times New Roman"/>
          <w:sz w:val="24"/>
          <w:szCs w:val="24"/>
          <w:vertAlign w:val="superscript"/>
        </w:rPr>
      </w:pPr>
    </w:p>
    <w:p w14:paraId="2819DC11" w14:textId="77777777" w:rsidR="004647B9" w:rsidRPr="003227BA" w:rsidRDefault="00E2436F" w:rsidP="00563A54">
      <w:pPr>
        <w:numPr>
          <w:ilvl w:val="0"/>
          <w:numId w:val="133"/>
        </w:numPr>
        <w:tabs>
          <w:tab w:val="left" w:pos="302"/>
        </w:tabs>
        <w:spacing w:line="226" w:lineRule="auto"/>
        <w:ind w:left="302" w:hanging="300"/>
        <w:jc w:val="both"/>
        <w:rPr>
          <w:rFonts w:eastAsia="Times New Roman"/>
          <w:sz w:val="24"/>
          <w:szCs w:val="24"/>
          <w:vertAlign w:val="superscript"/>
        </w:rPr>
      </w:pPr>
      <w:r w:rsidRPr="003227BA">
        <w:rPr>
          <w:rFonts w:eastAsia="Times New Roman"/>
          <w:sz w:val="24"/>
          <w:szCs w:val="24"/>
        </w:rPr>
        <w:t xml:space="preserve">Method I-2601-90, </w:t>
      </w:r>
      <w:r w:rsidRPr="003227BA">
        <w:rPr>
          <w:rFonts w:eastAsia="Times New Roman"/>
          <w:i/>
          <w:iCs/>
          <w:sz w:val="24"/>
          <w:szCs w:val="24"/>
        </w:rPr>
        <w:t>Methods for Analysis by the U.S. Geological Survey National Water Quality</w:t>
      </w:r>
      <w:r w:rsidRPr="003227BA">
        <w:rPr>
          <w:rFonts w:eastAsia="Times New Roman"/>
          <w:sz w:val="24"/>
          <w:szCs w:val="24"/>
        </w:rPr>
        <w:t xml:space="preserve"> </w:t>
      </w:r>
      <w:r w:rsidRPr="003227BA">
        <w:rPr>
          <w:rFonts w:eastAsia="Times New Roman"/>
          <w:i/>
          <w:iCs/>
          <w:sz w:val="24"/>
          <w:szCs w:val="24"/>
        </w:rPr>
        <w:t>Laboratory – Determination of Inorganic and Organic Constituents in Water and Fluvial Sediments</w:t>
      </w:r>
      <w:r w:rsidRPr="003227BA">
        <w:rPr>
          <w:rFonts w:eastAsia="Times New Roman"/>
          <w:sz w:val="24"/>
          <w:szCs w:val="24"/>
        </w:rPr>
        <w:t>,</w:t>
      </w:r>
      <w:r w:rsidRPr="003227BA">
        <w:rPr>
          <w:rFonts w:eastAsia="Times New Roman"/>
          <w:i/>
          <w:iCs/>
          <w:sz w:val="24"/>
          <w:szCs w:val="24"/>
        </w:rPr>
        <w:t xml:space="preserve"> </w:t>
      </w:r>
      <w:r w:rsidRPr="003227BA">
        <w:rPr>
          <w:rFonts w:eastAsia="Times New Roman"/>
          <w:sz w:val="24"/>
          <w:szCs w:val="24"/>
        </w:rPr>
        <w:t xml:space="preserve">Open File Report 93-125, 1993; For Methods I-1030-85; I-1601-85; I-1700-85; I-2598-85, I-2700-85; and I-3300-85 </w:t>
      </w:r>
      <w:r w:rsidRPr="003227BA">
        <w:rPr>
          <w:rFonts w:eastAsia="Times New Roman"/>
          <w:i/>
          <w:iCs/>
          <w:sz w:val="24"/>
          <w:szCs w:val="24"/>
        </w:rPr>
        <w:t>See Techniques of Water Resources Investigation of the U.S. Geological Survey</w:t>
      </w:r>
      <w:r w:rsidRPr="003227BA">
        <w:rPr>
          <w:rFonts w:eastAsia="Times New Roman"/>
          <w:sz w:val="24"/>
          <w:szCs w:val="24"/>
        </w:rPr>
        <w:t>, Book 5, Chapter A-1, 3</w:t>
      </w:r>
      <w:r w:rsidRPr="003227BA">
        <w:rPr>
          <w:rFonts w:eastAsia="Times New Roman"/>
          <w:sz w:val="24"/>
          <w:szCs w:val="24"/>
          <w:vertAlign w:val="superscript"/>
        </w:rPr>
        <w:t>rd</w:t>
      </w:r>
      <w:r w:rsidRPr="003227BA">
        <w:rPr>
          <w:rFonts w:eastAsia="Times New Roman"/>
          <w:sz w:val="24"/>
          <w:szCs w:val="24"/>
        </w:rPr>
        <w:t xml:space="preserve"> edition, 1989; Available from Information Services, U.S. Geological Survey, Federal Center, Box 25286, Denver, CO 80225-0425.</w:t>
      </w:r>
    </w:p>
    <w:p w14:paraId="2819DC12" w14:textId="77777777" w:rsidR="004647B9" w:rsidRPr="003227BA" w:rsidRDefault="004647B9">
      <w:pPr>
        <w:spacing w:line="6" w:lineRule="exact"/>
        <w:rPr>
          <w:rFonts w:eastAsia="Times New Roman"/>
          <w:sz w:val="24"/>
          <w:szCs w:val="24"/>
          <w:vertAlign w:val="superscript"/>
        </w:rPr>
      </w:pPr>
    </w:p>
    <w:p w14:paraId="2819DC13"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i/>
          <w:iCs/>
          <w:sz w:val="24"/>
          <w:szCs w:val="24"/>
        </w:rPr>
        <w:t>Methods for the Determination of Inorganic Substances in Environmental Samples</w:t>
      </w:r>
      <w:r w:rsidRPr="003227BA">
        <w:rPr>
          <w:rFonts w:eastAsia="Times New Roman"/>
          <w:sz w:val="24"/>
          <w:szCs w:val="24"/>
        </w:rPr>
        <w:t>, EPA 600/R-93/100,</w:t>
      </w:r>
      <w:r w:rsidRPr="003227BA">
        <w:rPr>
          <w:rFonts w:eastAsia="Times New Roman"/>
          <w:i/>
          <w:iCs/>
          <w:sz w:val="24"/>
          <w:szCs w:val="24"/>
        </w:rPr>
        <w:t xml:space="preserve"> </w:t>
      </w:r>
      <w:r w:rsidRPr="003227BA">
        <w:rPr>
          <w:rFonts w:eastAsia="Times New Roman"/>
          <w:sz w:val="24"/>
          <w:szCs w:val="24"/>
        </w:rPr>
        <w:t>August 1993. Available at NTIS, PB94-120821.</w:t>
      </w:r>
    </w:p>
    <w:p w14:paraId="2819DC14" w14:textId="77777777" w:rsidR="004647B9" w:rsidRPr="003227BA" w:rsidRDefault="004647B9">
      <w:pPr>
        <w:spacing w:line="1" w:lineRule="exact"/>
        <w:rPr>
          <w:rFonts w:eastAsia="Times New Roman"/>
          <w:sz w:val="24"/>
          <w:szCs w:val="24"/>
          <w:vertAlign w:val="superscript"/>
        </w:rPr>
      </w:pPr>
    </w:p>
    <w:p w14:paraId="2819DC15" w14:textId="77777777" w:rsidR="004647B9" w:rsidRPr="003227BA" w:rsidRDefault="00E2436F" w:rsidP="00563A54">
      <w:pPr>
        <w:numPr>
          <w:ilvl w:val="0"/>
          <w:numId w:val="133"/>
        </w:numPr>
        <w:tabs>
          <w:tab w:val="left" w:pos="302"/>
        </w:tabs>
        <w:spacing w:line="225" w:lineRule="auto"/>
        <w:ind w:left="302" w:hanging="302"/>
        <w:jc w:val="both"/>
        <w:rPr>
          <w:rFonts w:eastAsia="Times New Roman"/>
          <w:sz w:val="24"/>
          <w:szCs w:val="24"/>
          <w:vertAlign w:val="superscript"/>
        </w:rPr>
      </w:pPr>
      <w:r w:rsidRPr="003227BA">
        <w:rPr>
          <w:rFonts w:eastAsia="Times New Roman"/>
          <w:sz w:val="24"/>
          <w:szCs w:val="24"/>
        </w:rPr>
        <w:t xml:space="preserve">The procedure shall be done in accordance with Technical Bulletin 601 </w:t>
      </w:r>
      <w:r w:rsidRPr="003227BA">
        <w:rPr>
          <w:rFonts w:eastAsia="Times New Roman"/>
          <w:i/>
          <w:iCs/>
          <w:sz w:val="24"/>
          <w:szCs w:val="24"/>
        </w:rPr>
        <w:t>Standard Method of Test for</w:t>
      </w:r>
      <w:r w:rsidRPr="003227BA">
        <w:rPr>
          <w:rFonts w:eastAsia="Times New Roman"/>
          <w:sz w:val="24"/>
          <w:szCs w:val="24"/>
        </w:rPr>
        <w:t xml:space="preserve"> </w:t>
      </w:r>
      <w:r w:rsidRPr="003227BA">
        <w:rPr>
          <w:rFonts w:eastAsia="Times New Roman"/>
          <w:i/>
          <w:iCs/>
          <w:sz w:val="24"/>
          <w:szCs w:val="24"/>
        </w:rPr>
        <w:t>Nitrate in Drinking Water</w:t>
      </w:r>
      <w:r w:rsidRPr="003227BA">
        <w:rPr>
          <w:rFonts w:eastAsia="Times New Roman"/>
          <w:sz w:val="24"/>
          <w:szCs w:val="24"/>
        </w:rPr>
        <w:t>, July 1994, PN 221890-001, Analytical Technology, Inc. Copies may be</w:t>
      </w:r>
      <w:r w:rsidRPr="003227BA">
        <w:rPr>
          <w:rFonts w:eastAsia="Times New Roman"/>
          <w:i/>
          <w:iCs/>
          <w:sz w:val="24"/>
          <w:szCs w:val="24"/>
        </w:rPr>
        <w:t xml:space="preserve"> </w:t>
      </w:r>
      <w:r w:rsidRPr="003227BA">
        <w:rPr>
          <w:rFonts w:eastAsia="Times New Roman"/>
          <w:sz w:val="24"/>
          <w:szCs w:val="24"/>
        </w:rPr>
        <w:t>obtained from ATI Orion, 529 Main Street, Boston, MA 02129.</w:t>
      </w:r>
    </w:p>
    <w:p w14:paraId="2819DC16" w14:textId="77777777" w:rsidR="004647B9" w:rsidRPr="003227BA" w:rsidRDefault="004647B9">
      <w:pPr>
        <w:spacing w:line="1" w:lineRule="exact"/>
        <w:rPr>
          <w:rFonts w:eastAsia="Times New Roman"/>
          <w:sz w:val="24"/>
          <w:szCs w:val="24"/>
          <w:vertAlign w:val="superscript"/>
        </w:rPr>
      </w:pPr>
    </w:p>
    <w:p w14:paraId="2819DC17" w14:textId="77777777" w:rsidR="004647B9" w:rsidRPr="003227BA" w:rsidRDefault="00E2436F" w:rsidP="00563A54">
      <w:pPr>
        <w:numPr>
          <w:ilvl w:val="0"/>
          <w:numId w:val="133"/>
        </w:numPr>
        <w:tabs>
          <w:tab w:val="left" w:pos="302"/>
        </w:tabs>
        <w:spacing w:line="225" w:lineRule="auto"/>
        <w:ind w:left="302" w:hanging="300"/>
        <w:jc w:val="both"/>
        <w:rPr>
          <w:rFonts w:eastAsia="Times New Roman"/>
          <w:sz w:val="24"/>
          <w:szCs w:val="24"/>
          <w:vertAlign w:val="superscript"/>
        </w:rPr>
      </w:pPr>
      <w:r w:rsidRPr="003227BA">
        <w:rPr>
          <w:rFonts w:eastAsia="Times New Roman"/>
          <w:sz w:val="24"/>
          <w:szCs w:val="24"/>
        </w:rPr>
        <w:t xml:space="preserve">Method B-1011, </w:t>
      </w:r>
      <w:r w:rsidRPr="003227BA">
        <w:rPr>
          <w:rFonts w:eastAsia="Times New Roman"/>
          <w:i/>
          <w:iCs/>
          <w:sz w:val="24"/>
          <w:szCs w:val="24"/>
        </w:rPr>
        <w:t>Standard Method of Test for Nitrate in Drinking Water</w:t>
      </w:r>
      <w:r w:rsidRPr="003227BA">
        <w:rPr>
          <w:rFonts w:eastAsia="Times New Roman"/>
          <w:sz w:val="24"/>
          <w:szCs w:val="24"/>
        </w:rPr>
        <w:t>, July 1994, PN 221890-001, Analytical Technology, Inc. Copies may be obtained from ATI Orion, 529 Main Street, Boston, MA</w:t>
      </w:r>
      <w:r>
        <w:rPr>
          <w:rFonts w:eastAsia="Times New Roman"/>
          <w:sz w:val="24"/>
          <w:szCs w:val="24"/>
        </w:rPr>
        <w:t xml:space="preserve"> </w:t>
      </w:r>
      <w:r w:rsidRPr="003227BA">
        <w:rPr>
          <w:rFonts w:eastAsia="Times New Roman"/>
          <w:sz w:val="24"/>
          <w:szCs w:val="24"/>
        </w:rPr>
        <w:t>02129.</w:t>
      </w:r>
    </w:p>
    <w:p w14:paraId="2819DC18" w14:textId="77777777" w:rsidR="004647B9" w:rsidRPr="003227BA" w:rsidRDefault="004647B9">
      <w:pPr>
        <w:spacing w:line="1" w:lineRule="exact"/>
        <w:rPr>
          <w:rFonts w:eastAsia="Times New Roman"/>
          <w:sz w:val="24"/>
          <w:szCs w:val="24"/>
          <w:vertAlign w:val="superscript"/>
        </w:rPr>
      </w:pPr>
    </w:p>
    <w:p w14:paraId="2819DC19"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Method 100.1, </w:t>
      </w:r>
      <w:r w:rsidRPr="003227BA">
        <w:rPr>
          <w:rFonts w:eastAsia="Times New Roman"/>
          <w:i/>
          <w:iCs/>
          <w:sz w:val="24"/>
          <w:szCs w:val="24"/>
        </w:rPr>
        <w:t>Analytical Methods for Determination of Asbestos Fibers in Water</w:t>
      </w:r>
      <w:r w:rsidRPr="003227BA">
        <w:rPr>
          <w:rFonts w:eastAsia="Times New Roman"/>
          <w:sz w:val="24"/>
          <w:szCs w:val="24"/>
        </w:rPr>
        <w:t>, EPA/600/4-83/043, September 1983, Available at NTIS, PB83-206471.</w:t>
      </w:r>
    </w:p>
    <w:p w14:paraId="2819DC1A" w14:textId="77777777" w:rsidR="004647B9" w:rsidRPr="003227BA" w:rsidRDefault="004647B9">
      <w:pPr>
        <w:spacing w:line="1" w:lineRule="exact"/>
        <w:rPr>
          <w:rFonts w:eastAsia="Times New Roman"/>
          <w:sz w:val="24"/>
          <w:szCs w:val="24"/>
          <w:vertAlign w:val="superscript"/>
        </w:rPr>
      </w:pPr>
    </w:p>
    <w:p w14:paraId="2819DC1B" w14:textId="054BAAA6"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Method 100.2, </w:t>
      </w:r>
      <w:r w:rsidRPr="003227BA">
        <w:rPr>
          <w:rFonts w:eastAsia="Times New Roman"/>
          <w:i/>
          <w:iCs/>
          <w:sz w:val="24"/>
          <w:szCs w:val="24"/>
        </w:rPr>
        <w:t>Determination of Asbestos Structures Over 10</w:t>
      </w:r>
      <w:r w:rsidRPr="003227BA">
        <w:rPr>
          <w:rFonts w:eastAsia="Times New Roman"/>
          <w:sz w:val="24"/>
          <w:szCs w:val="24"/>
        </w:rPr>
        <w:t xml:space="preserve"> </w:t>
      </w:r>
      <w:r w:rsidR="004B3CB2">
        <w:rPr>
          <w:rFonts w:eastAsia="Times New Roman"/>
          <w:sz w:val="24"/>
          <w:szCs w:val="24"/>
        </w:rPr>
        <w:t>µ</w:t>
      </w:r>
      <w:r w:rsidRPr="003227BA">
        <w:rPr>
          <w:rFonts w:eastAsia="Times New Roman"/>
          <w:i/>
          <w:iCs/>
          <w:sz w:val="24"/>
          <w:szCs w:val="24"/>
        </w:rPr>
        <w:t>m in Length in Drinking Water</w:t>
      </w:r>
      <w:r w:rsidRPr="003227BA">
        <w:rPr>
          <w:rFonts w:eastAsia="Times New Roman"/>
          <w:sz w:val="24"/>
          <w:szCs w:val="24"/>
        </w:rPr>
        <w:t>, EPA/600/R-94/134, June 1994. Available at NTIS, PB94-201902.</w:t>
      </w:r>
    </w:p>
    <w:p w14:paraId="2819DC1C" w14:textId="77777777" w:rsidR="004647B9" w:rsidRPr="003227BA" w:rsidRDefault="004647B9">
      <w:pPr>
        <w:spacing w:line="1" w:lineRule="exact"/>
        <w:rPr>
          <w:rFonts w:eastAsia="Times New Roman"/>
          <w:sz w:val="24"/>
          <w:szCs w:val="24"/>
          <w:vertAlign w:val="superscript"/>
        </w:rPr>
      </w:pPr>
    </w:p>
    <w:p w14:paraId="2819DC1D" w14:textId="77777777" w:rsidR="004647B9" w:rsidRPr="003227BA" w:rsidRDefault="00E2436F" w:rsidP="00563A54">
      <w:pPr>
        <w:numPr>
          <w:ilvl w:val="0"/>
          <w:numId w:val="133"/>
        </w:numPr>
        <w:tabs>
          <w:tab w:val="left" w:pos="302"/>
        </w:tabs>
        <w:spacing w:line="232" w:lineRule="auto"/>
        <w:ind w:left="302" w:hanging="300"/>
        <w:jc w:val="both"/>
        <w:rPr>
          <w:rFonts w:eastAsia="Times New Roman"/>
          <w:sz w:val="24"/>
          <w:szCs w:val="24"/>
          <w:vertAlign w:val="superscript"/>
        </w:rPr>
      </w:pPr>
      <w:r w:rsidRPr="003227BA">
        <w:rPr>
          <w:rFonts w:eastAsia="Times New Roman"/>
          <w:sz w:val="24"/>
          <w:szCs w:val="24"/>
        </w:rPr>
        <w:t>Because MDLs reported in EPA Methods 200.7 and 200.9 were determined using a 2X preconcentration step during sample digestion, MDLs determined when samples are analyzed by direct analysis (</w:t>
      </w:r>
      <w:r w:rsidRPr="003227BA">
        <w:rPr>
          <w:rFonts w:eastAsia="Times New Roman"/>
          <w:i/>
          <w:iCs/>
          <w:sz w:val="24"/>
          <w:szCs w:val="24"/>
        </w:rPr>
        <w:t>i.e</w:t>
      </w:r>
      <w:r w:rsidRPr="003227BA">
        <w:rPr>
          <w:rFonts w:eastAsia="Times New Roman"/>
          <w:sz w:val="24"/>
          <w:szCs w:val="24"/>
        </w:rPr>
        <w:t>., no sample digestion) will be higher. For direct analysis of cadmium and arsenic by Method 200.7, and arsenic by Method 3120B sample preconcentration using pneumatic nebulization may be required to achieve lower detection limits. Preconcentration may also be required for direct analysis of antimony, lead, and thallium by Method 200.9; antimony and lead by Method 3113B; and lead by Method D3559-90D unless multiple infurnace depositions are made.</w:t>
      </w:r>
    </w:p>
    <w:p w14:paraId="2819DC1E" w14:textId="77777777" w:rsidR="004647B9" w:rsidRPr="003227BA" w:rsidRDefault="004647B9">
      <w:pPr>
        <w:spacing w:line="3" w:lineRule="exact"/>
        <w:rPr>
          <w:rFonts w:eastAsia="Times New Roman"/>
          <w:sz w:val="24"/>
          <w:szCs w:val="24"/>
          <w:vertAlign w:val="superscript"/>
        </w:rPr>
      </w:pPr>
    </w:p>
    <w:p w14:paraId="2819DC1F" w14:textId="77777777" w:rsidR="004647B9" w:rsidRPr="003227BA" w:rsidRDefault="00E2436F" w:rsidP="00563A54">
      <w:pPr>
        <w:numPr>
          <w:ilvl w:val="0"/>
          <w:numId w:val="133"/>
        </w:numPr>
        <w:tabs>
          <w:tab w:val="left" w:pos="302"/>
        </w:tabs>
        <w:spacing w:line="234" w:lineRule="auto"/>
        <w:ind w:left="302" w:hanging="299"/>
        <w:jc w:val="both"/>
        <w:rPr>
          <w:rFonts w:eastAsia="Times New Roman"/>
          <w:sz w:val="24"/>
          <w:szCs w:val="24"/>
          <w:vertAlign w:val="superscript"/>
        </w:rPr>
      </w:pPr>
      <w:r w:rsidRPr="003227BA">
        <w:rPr>
          <w:rFonts w:eastAsia="Times New Roman"/>
          <w:sz w:val="24"/>
          <w:szCs w:val="24"/>
        </w:rPr>
        <w:t>If ultrasonic nebulization is used in the determination of arsenic by Method 200.8 the arsenic must be in the pentavalent state to provide uniform signal response. For direct analysis of arsenic with the Method 200.8 using ultrasonic nebulization, samples and standards must contain 1 mg/L of sodium hypochlorite.</w:t>
      </w:r>
    </w:p>
    <w:p w14:paraId="2819DC20" w14:textId="77777777" w:rsidR="004647B9" w:rsidRPr="003227BA" w:rsidRDefault="004647B9">
      <w:pPr>
        <w:spacing w:line="2" w:lineRule="exact"/>
        <w:rPr>
          <w:rFonts w:eastAsia="Times New Roman"/>
          <w:sz w:val="24"/>
          <w:szCs w:val="24"/>
          <w:vertAlign w:val="superscript"/>
        </w:rPr>
      </w:pPr>
    </w:p>
    <w:p w14:paraId="2819DC21" w14:textId="77777777" w:rsidR="004647B9" w:rsidRPr="003227BA" w:rsidRDefault="00E2436F" w:rsidP="00563A54">
      <w:pPr>
        <w:numPr>
          <w:ilvl w:val="0"/>
          <w:numId w:val="133"/>
        </w:numPr>
        <w:tabs>
          <w:tab w:val="left" w:pos="302"/>
        </w:tabs>
        <w:spacing w:line="203" w:lineRule="auto"/>
        <w:ind w:left="302" w:hanging="300"/>
        <w:rPr>
          <w:rFonts w:eastAsia="Times New Roman"/>
          <w:sz w:val="24"/>
          <w:szCs w:val="24"/>
          <w:vertAlign w:val="superscript"/>
        </w:rPr>
      </w:pPr>
      <w:r w:rsidRPr="003227BA">
        <w:rPr>
          <w:rFonts w:eastAsia="Times New Roman"/>
          <w:sz w:val="24"/>
          <w:szCs w:val="24"/>
        </w:rPr>
        <w:t>[Deleted].</w:t>
      </w:r>
    </w:p>
    <w:p w14:paraId="2819DC22" w14:textId="77777777" w:rsidR="004647B9" w:rsidRPr="003227BA" w:rsidRDefault="004647B9">
      <w:pPr>
        <w:spacing w:line="1" w:lineRule="exact"/>
        <w:rPr>
          <w:rFonts w:eastAsia="Times New Roman"/>
          <w:sz w:val="24"/>
          <w:szCs w:val="24"/>
          <w:vertAlign w:val="superscript"/>
        </w:rPr>
      </w:pPr>
    </w:p>
    <w:p w14:paraId="2819DC23" w14:textId="2A7D964D"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Revision 1.0, November 1999, </w:t>
      </w:r>
      <w:r w:rsidRPr="003227BA">
        <w:rPr>
          <w:rFonts w:eastAsia="Times New Roman"/>
          <w:i/>
          <w:iCs/>
          <w:sz w:val="24"/>
          <w:szCs w:val="24"/>
        </w:rPr>
        <w:t>Determination of Perchlorate in Drinking Water Using Ion</w:t>
      </w:r>
      <w:r w:rsidRPr="003227BA">
        <w:rPr>
          <w:rFonts w:eastAsia="Times New Roman"/>
          <w:sz w:val="24"/>
          <w:szCs w:val="24"/>
        </w:rPr>
        <w:t xml:space="preserve"> </w:t>
      </w:r>
      <w:r w:rsidRPr="003227BA">
        <w:rPr>
          <w:rFonts w:eastAsia="Times New Roman"/>
          <w:i/>
          <w:iCs/>
          <w:sz w:val="24"/>
          <w:szCs w:val="24"/>
        </w:rPr>
        <w:t xml:space="preserve">Chromatography </w:t>
      </w:r>
      <w:r w:rsidRPr="003227BA">
        <w:rPr>
          <w:rFonts w:eastAsia="Times New Roman"/>
          <w:sz w:val="24"/>
          <w:szCs w:val="24"/>
        </w:rPr>
        <w:t>as modified to achieve performance requirements in 310 CMR 22.06(4).</w:t>
      </w:r>
    </w:p>
    <w:p w14:paraId="2819DC24" w14:textId="77777777" w:rsidR="004647B9" w:rsidRPr="003227BA" w:rsidRDefault="004647B9">
      <w:pPr>
        <w:spacing w:line="1" w:lineRule="exact"/>
        <w:rPr>
          <w:rFonts w:eastAsia="Times New Roman"/>
          <w:sz w:val="24"/>
          <w:szCs w:val="24"/>
          <w:vertAlign w:val="superscript"/>
        </w:rPr>
      </w:pPr>
    </w:p>
    <w:p w14:paraId="2819DC25"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EPA Method 314.1: </w:t>
      </w:r>
      <w:r w:rsidRPr="003227BA">
        <w:rPr>
          <w:rFonts w:eastAsia="Times New Roman"/>
          <w:i/>
          <w:iCs/>
          <w:sz w:val="24"/>
          <w:szCs w:val="24"/>
        </w:rPr>
        <w:t>Determination of Perchlorate in Drinking Water Using Inline Column</w:t>
      </w:r>
      <w:r w:rsidRPr="003227BA">
        <w:rPr>
          <w:rFonts w:eastAsia="Times New Roman"/>
          <w:sz w:val="24"/>
          <w:szCs w:val="24"/>
        </w:rPr>
        <w:t xml:space="preserve"> </w:t>
      </w:r>
      <w:r w:rsidRPr="003227BA">
        <w:rPr>
          <w:rFonts w:eastAsia="Times New Roman"/>
          <w:i/>
          <w:iCs/>
          <w:sz w:val="24"/>
          <w:szCs w:val="24"/>
        </w:rPr>
        <w:t>Concentration/Matrix Elimination Ion Chromatography with Suppressed Conductivity Detection</w:t>
      </w:r>
      <w:r w:rsidRPr="003227BA">
        <w:rPr>
          <w:rFonts w:eastAsia="Times New Roman"/>
          <w:sz w:val="24"/>
          <w:szCs w:val="24"/>
        </w:rPr>
        <w:t>.</w:t>
      </w:r>
    </w:p>
    <w:p w14:paraId="2819DC26" w14:textId="77777777" w:rsidR="004647B9" w:rsidRPr="003227BA" w:rsidRDefault="004647B9">
      <w:pPr>
        <w:spacing w:line="1" w:lineRule="exact"/>
        <w:rPr>
          <w:rFonts w:eastAsia="Times New Roman"/>
          <w:sz w:val="24"/>
          <w:szCs w:val="24"/>
          <w:vertAlign w:val="superscript"/>
        </w:rPr>
      </w:pPr>
    </w:p>
    <w:p w14:paraId="2819DC27"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EPA Method 331.0: </w:t>
      </w:r>
      <w:r w:rsidRPr="003227BA">
        <w:rPr>
          <w:rFonts w:eastAsia="Times New Roman"/>
          <w:i/>
          <w:iCs/>
          <w:sz w:val="24"/>
          <w:szCs w:val="24"/>
        </w:rPr>
        <w:t>Determination of Perchlorate in Drinking Water by Liquid Chromatography</w:t>
      </w:r>
      <w:r w:rsidRPr="003227BA">
        <w:rPr>
          <w:rFonts w:eastAsia="Times New Roman"/>
          <w:sz w:val="24"/>
          <w:szCs w:val="24"/>
        </w:rPr>
        <w:t xml:space="preserve"> </w:t>
      </w:r>
      <w:r w:rsidRPr="003227BA">
        <w:rPr>
          <w:rFonts w:eastAsia="Times New Roman"/>
          <w:i/>
          <w:iCs/>
          <w:sz w:val="24"/>
          <w:szCs w:val="24"/>
        </w:rPr>
        <w:t>Electrospray Ionization Mass Spectrometry</w:t>
      </w:r>
      <w:r w:rsidRPr="003227BA">
        <w:rPr>
          <w:rFonts w:eastAsia="Times New Roman"/>
          <w:sz w:val="24"/>
          <w:szCs w:val="24"/>
        </w:rPr>
        <w:t>.</w:t>
      </w:r>
    </w:p>
    <w:p w14:paraId="2819DC28" w14:textId="77777777" w:rsidR="004647B9" w:rsidRDefault="004647B9">
      <w:pPr>
        <w:sectPr w:rsidR="004647B9" w:rsidSect="00EF630C">
          <w:pgSz w:w="12240" w:h="20180"/>
          <w:pgMar w:top="708" w:right="1440" w:bottom="1440" w:left="598" w:header="0" w:footer="0" w:gutter="0"/>
          <w:cols w:space="720" w:equalWidth="0">
            <w:col w:w="10202"/>
          </w:cols>
        </w:sectPr>
      </w:pPr>
    </w:p>
    <w:p w14:paraId="512830A1" w14:textId="77777777" w:rsidR="00A97B59" w:rsidRDefault="00A97B59">
      <w:pPr>
        <w:rPr>
          <w:rFonts w:eastAsia="Times New Roman"/>
          <w:sz w:val="24"/>
          <w:szCs w:val="24"/>
        </w:rPr>
      </w:pPr>
      <w:bookmarkStart w:id="56" w:name="page57"/>
      <w:bookmarkEnd w:id="56"/>
      <w:r>
        <w:rPr>
          <w:rFonts w:eastAsia="Times New Roman"/>
          <w:sz w:val="24"/>
          <w:szCs w:val="24"/>
        </w:rPr>
        <w:br w:type="page"/>
      </w:r>
    </w:p>
    <w:p w14:paraId="2819DC29" w14:textId="707B9C4D" w:rsidR="004647B9" w:rsidRDefault="00E2436F">
      <w:pPr>
        <w:tabs>
          <w:tab w:val="left" w:pos="2862"/>
        </w:tabs>
        <w:ind w:left="1682"/>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C2A" w14:textId="77777777" w:rsidR="004647B9" w:rsidRDefault="004647B9" w:rsidP="002A4E81">
      <w:pPr>
        <w:rPr>
          <w:sz w:val="20"/>
          <w:szCs w:val="20"/>
        </w:rPr>
      </w:pPr>
    </w:p>
    <w:p w14:paraId="2819DC2B" w14:textId="77777777" w:rsidR="004647B9" w:rsidRDefault="004647B9" w:rsidP="002A4E81">
      <w:pPr>
        <w:rPr>
          <w:sz w:val="20"/>
          <w:szCs w:val="20"/>
        </w:rPr>
      </w:pPr>
    </w:p>
    <w:p w14:paraId="2819DC2C" w14:textId="77777777" w:rsidR="004647B9" w:rsidRDefault="00E2436F">
      <w:pPr>
        <w:tabs>
          <w:tab w:val="left" w:pos="762"/>
        </w:tabs>
        <w:ind w:left="2"/>
        <w:rPr>
          <w:sz w:val="20"/>
          <w:szCs w:val="20"/>
        </w:rPr>
      </w:pPr>
      <w:r>
        <w:rPr>
          <w:rFonts w:eastAsia="Times New Roman"/>
          <w:sz w:val="24"/>
          <w:szCs w:val="24"/>
        </w:rPr>
        <w:t>22.06:</w:t>
      </w:r>
      <w:r>
        <w:rPr>
          <w:rFonts w:eastAsia="Times New Roman"/>
          <w:sz w:val="24"/>
          <w:szCs w:val="24"/>
        </w:rPr>
        <w:tab/>
        <w:t>continued</w:t>
      </w:r>
    </w:p>
    <w:p w14:paraId="2819DC2D" w14:textId="77777777" w:rsidR="004647B9" w:rsidRDefault="004647B9" w:rsidP="002A4E81">
      <w:pPr>
        <w:rPr>
          <w:sz w:val="20"/>
          <w:szCs w:val="20"/>
        </w:rPr>
      </w:pPr>
    </w:p>
    <w:p w14:paraId="2819DC2E" w14:textId="77777777" w:rsidR="004647B9" w:rsidRPr="004B3CB2" w:rsidRDefault="00E2436F" w:rsidP="00563A54">
      <w:pPr>
        <w:numPr>
          <w:ilvl w:val="0"/>
          <w:numId w:val="134"/>
        </w:numPr>
        <w:tabs>
          <w:tab w:val="left" w:pos="360"/>
        </w:tabs>
        <w:spacing w:line="236" w:lineRule="auto"/>
        <w:ind w:left="302" w:right="480" w:hanging="302"/>
        <w:rPr>
          <w:rFonts w:eastAsia="Times New Roman"/>
          <w:sz w:val="24"/>
          <w:szCs w:val="24"/>
          <w:vertAlign w:val="superscript"/>
        </w:rPr>
      </w:pPr>
      <w:r w:rsidRPr="004B3CB2">
        <w:rPr>
          <w:rFonts w:eastAsia="Times New Roman"/>
          <w:sz w:val="24"/>
          <w:szCs w:val="24"/>
        </w:rPr>
        <w:t xml:space="preserve">EPA Method 332.0: </w:t>
      </w:r>
      <w:r w:rsidRPr="004B3CB2">
        <w:rPr>
          <w:rFonts w:eastAsia="Times New Roman"/>
          <w:i/>
          <w:iCs/>
          <w:sz w:val="24"/>
          <w:szCs w:val="24"/>
        </w:rPr>
        <w:t>Determination of Perchlorate in Drinking Water Using Ion Chromatography with</w:t>
      </w:r>
      <w:r w:rsidRPr="004B3CB2">
        <w:rPr>
          <w:rFonts w:eastAsia="Times New Roman"/>
          <w:sz w:val="24"/>
          <w:szCs w:val="24"/>
        </w:rPr>
        <w:t xml:space="preserve"> </w:t>
      </w:r>
      <w:r w:rsidRPr="004B3CB2">
        <w:rPr>
          <w:rFonts w:eastAsia="Times New Roman"/>
          <w:i/>
          <w:iCs/>
          <w:sz w:val="24"/>
          <w:szCs w:val="24"/>
        </w:rPr>
        <w:t>Suppressed Conductivity and Electrospray Ionization Mass Spectrometry</w:t>
      </w:r>
      <w:r w:rsidRPr="004B3CB2">
        <w:rPr>
          <w:rFonts w:eastAsia="Times New Roman"/>
          <w:sz w:val="24"/>
          <w:szCs w:val="24"/>
        </w:rPr>
        <w:t>.</w:t>
      </w:r>
    </w:p>
    <w:p w14:paraId="2819DC2F" w14:textId="77777777" w:rsidR="004647B9" w:rsidRPr="004B3CB2" w:rsidRDefault="004647B9">
      <w:pPr>
        <w:spacing w:line="2" w:lineRule="exact"/>
        <w:rPr>
          <w:rFonts w:eastAsia="Times New Roman"/>
          <w:sz w:val="24"/>
          <w:szCs w:val="24"/>
          <w:vertAlign w:val="superscript"/>
        </w:rPr>
      </w:pPr>
    </w:p>
    <w:p w14:paraId="2819DC30" w14:textId="77777777" w:rsidR="004647B9" w:rsidRPr="004B3CB2" w:rsidRDefault="00E2436F" w:rsidP="00563A54">
      <w:pPr>
        <w:numPr>
          <w:ilvl w:val="0"/>
          <w:numId w:val="134"/>
        </w:numPr>
        <w:tabs>
          <w:tab w:val="left" w:pos="302"/>
        </w:tabs>
        <w:spacing w:line="233" w:lineRule="auto"/>
        <w:ind w:left="302" w:right="480" w:hanging="299"/>
        <w:jc w:val="both"/>
        <w:rPr>
          <w:rFonts w:eastAsia="Times New Roman"/>
          <w:sz w:val="24"/>
          <w:szCs w:val="24"/>
          <w:vertAlign w:val="superscript"/>
        </w:rPr>
      </w:pPr>
      <w:r w:rsidRPr="004B3CB2">
        <w:rPr>
          <w:rFonts w:eastAsia="Times New Roman"/>
          <w:sz w:val="24"/>
          <w:szCs w:val="24"/>
        </w:rPr>
        <w:t xml:space="preserve">The description for the Kelada-01 Method, </w:t>
      </w:r>
      <w:r w:rsidRPr="004B3CB2">
        <w:rPr>
          <w:rFonts w:eastAsia="Times New Roman"/>
          <w:i/>
          <w:iCs/>
          <w:sz w:val="24"/>
          <w:szCs w:val="24"/>
        </w:rPr>
        <w:t>Kelada Automated Test Methods for Total Cyanide, Acid</w:t>
      </w:r>
      <w:r w:rsidRPr="004B3CB2">
        <w:rPr>
          <w:rFonts w:eastAsia="Times New Roman"/>
          <w:sz w:val="24"/>
          <w:szCs w:val="24"/>
        </w:rPr>
        <w:t xml:space="preserve"> </w:t>
      </w:r>
      <w:r w:rsidRPr="004B3CB2">
        <w:rPr>
          <w:rFonts w:eastAsia="Times New Roman"/>
          <w:i/>
          <w:iCs/>
          <w:sz w:val="24"/>
          <w:szCs w:val="24"/>
        </w:rPr>
        <w:t>Dissociable Cyanide, and Thiocyanate</w:t>
      </w:r>
      <w:r w:rsidRPr="004B3CB2">
        <w:rPr>
          <w:rFonts w:eastAsia="Times New Roman"/>
          <w:sz w:val="24"/>
          <w:szCs w:val="24"/>
        </w:rPr>
        <w:t>, Revision 1.2, August 2001, EPA #821-B-01-009 for cyanide is</w:t>
      </w:r>
      <w:r w:rsidRPr="004B3CB2">
        <w:rPr>
          <w:rFonts w:eastAsia="Times New Roman"/>
          <w:i/>
          <w:iCs/>
          <w:sz w:val="24"/>
          <w:szCs w:val="24"/>
        </w:rPr>
        <w:t xml:space="preserve"> </w:t>
      </w:r>
      <w:r w:rsidRPr="004B3CB2">
        <w:rPr>
          <w:rFonts w:eastAsia="Times New Roman"/>
          <w:sz w:val="24"/>
          <w:szCs w:val="24"/>
        </w:rPr>
        <w:t xml:space="preserve">available from the National Technical Information Service (NTIS), PB 2001-108275, 5285 Port Royal Road, Springfield, VA 22161. The toll-free telephone number is 800-553-6847. </w:t>
      </w:r>
      <w:r w:rsidRPr="004B3CB2">
        <w:rPr>
          <w:rFonts w:eastAsia="Times New Roman"/>
          <w:sz w:val="24"/>
          <w:szCs w:val="24"/>
          <w:u w:val="single"/>
        </w:rPr>
        <w:t>Note</w:t>
      </w:r>
      <w:r w:rsidRPr="004B3CB2">
        <w:rPr>
          <w:rFonts w:eastAsia="Times New Roman"/>
          <w:sz w:val="24"/>
          <w:szCs w:val="24"/>
        </w:rPr>
        <w:t>: A 450-W UV lamp may be used in this method instead of the 550-W lamp specified if it provides performance within the quality control (QC) acceptance criteria of the method in a given instrument. Similarity, modified flow cell configurations and flow conditions may be used in the method, provided that the QC acceptance criteria are met.</w:t>
      </w:r>
    </w:p>
    <w:p w14:paraId="2819DC31" w14:textId="77777777" w:rsidR="004647B9" w:rsidRPr="004B3CB2" w:rsidRDefault="00E2436F" w:rsidP="00563A54">
      <w:pPr>
        <w:numPr>
          <w:ilvl w:val="0"/>
          <w:numId w:val="134"/>
        </w:numPr>
        <w:tabs>
          <w:tab w:val="left" w:pos="302"/>
        </w:tabs>
        <w:spacing w:line="228" w:lineRule="auto"/>
        <w:ind w:left="302" w:right="480" w:hanging="300"/>
        <w:jc w:val="both"/>
        <w:rPr>
          <w:rFonts w:eastAsia="Times New Roman"/>
          <w:sz w:val="24"/>
          <w:szCs w:val="24"/>
          <w:vertAlign w:val="superscript"/>
        </w:rPr>
      </w:pPr>
      <w:r w:rsidRPr="004B3CB2">
        <w:rPr>
          <w:rFonts w:eastAsia="Times New Roman"/>
          <w:sz w:val="24"/>
          <w:szCs w:val="24"/>
        </w:rPr>
        <w:t>The description for the QuikChem Method 10-204-00-1-X, Digestion and distillation of total cyanide in drinking and wastewaters using MICRO DIST and determination of cyanide by flow injection analysis, “Revision 2.1, November 30, 2000, for cyanide is available from Lachat Instruments, 6645 W. Mill Rd., Milwaukee, WI 53218. Telephone: 414-358-4200.</w:t>
      </w:r>
    </w:p>
    <w:p w14:paraId="2819DC32" w14:textId="77777777" w:rsidR="004647B9" w:rsidRPr="004B3CB2" w:rsidRDefault="004647B9">
      <w:pPr>
        <w:spacing w:line="1" w:lineRule="exact"/>
        <w:rPr>
          <w:rFonts w:eastAsia="Times New Roman"/>
          <w:sz w:val="24"/>
          <w:szCs w:val="24"/>
          <w:vertAlign w:val="superscript"/>
        </w:rPr>
      </w:pPr>
    </w:p>
    <w:p w14:paraId="2819DC33" w14:textId="77777777" w:rsidR="004647B9" w:rsidRPr="004B3CB2" w:rsidRDefault="00E2436F" w:rsidP="00563A54">
      <w:pPr>
        <w:numPr>
          <w:ilvl w:val="0"/>
          <w:numId w:val="134"/>
        </w:numPr>
        <w:tabs>
          <w:tab w:val="left" w:pos="302"/>
        </w:tabs>
        <w:spacing w:line="219" w:lineRule="auto"/>
        <w:ind w:left="302" w:right="480" w:hanging="299"/>
        <w:rPr>
          <w:rFonts w:eastAsia="Times New Roman"/>
          <w:sz w:val="24"/>
          <w:szCs w:val="24"/>
          <w:vertAlign w:val="superscript"/>
        </w:rPr>
      </w:pPr>
      <w:r w:rsidRPr="004B3CB2">
        <w:rPr>
          <w:rFonts w:eastAsia="Times New Roman"/>
          <w:i/>
          <w:iCs/>
          <w:sz w:val="24"/>
          <w:szCs w:val="24"/>
        </w:rPr>
        <w:t>Methods for the Determination of Organic and Inorganic Compounds in Drinking Water</w:t>
      </w:r>
      <w:r w:rsidRPr="004B3CB2">
        <w:rPr>
          <w:rFonts w:eastAsia="Times New Roman"/>
          <w:sz w:val="24"/>
          <w:szCs w:val="24"/>
        </w:rPr>
        <w:t>, Vol.1, EPA 815-R-00-014, August 2000. Available at NTIS, PB2000-106981.</w:t>
      </w:r>
    </w:p>
    <w:p w14:paraId="2819DC34" w14:textId="77777777" w:rsidR="004647B9" w:rsidRPr="004B3CB2" w:rsidRDefault="004647B9">
      <w:pPr>
        <w:spacing w:line="1" w:lineRule="exact"/>
        <w:rPr>
          <w:rFonts w:eastAsia="Times New Roman"/>
          <w:sz w:val="24"/>
          <w:szCs w:val="24"/>
          <w:vertAlign w:val="superscript"/>
        </w:rPr>
      </w:pPr>
    </w:p>
    <w:p w14:paraId="2819DC35" w14:textId="77777777" w:rsidR="004647B9" w:rsidRPr="004B3CB2" w:rsidRDefault="00E2436F" w:rsidP="00563A54">
      <w:pPr>
        <w:numPr>
          <w:ilvl w:val="0"/>
          <w:numId w:val="134"/>
        </w:numPr>
        <w:tabs>
          <w:tab w:val="left" w:pos="302"/>
        </w:tabs>
        <w:spacing w:line="225" w:lineRule="auto"/>
        <w:ind w:left="302" w:right="480" w:hanging="300"/>
        <w:jc w:val="both"/>
        <w:rPr>
          <w:rFonts w:eastAsia="Times New Roman"/>
          <w:sz w:val="24"/>
          <w:szCs w:val="24"/>
          <w:vertAlign w:val="superscript"/>
        </w:rPr>
      </w:pPr>
      <w:r w:rsidRPr="004B3CB2">
        <w:rPr>
          <w:rFonts w:eastAsia="Times New Roman"/>
          <w:sz w:val="24"/>
          <w:szCs w:val="24"/>
        </w:rPr>
        <w:t xml:space="preserve">Method OIA -1677, DW </w:t>
      </w:r>
      <w:r w:rsidRPr="004B3CB2">
        <w:rPr>
          <w:rFonts w:eastAsia="Times New Roman"/>
          <w:i/>
          <w:iCs/>
          <w:sz w:val="24"/>
          <w:szCs w:val="24"/>
        </w:rPr>
        <w:t>Available Cyanide by Flow Injection, Ligand Exchange, and Amperometry</w:t>
      </w:r>
      <w:r w:rsidRPr="004B3CB2">
        <w:rPr>
          <w:rFonts w:eastAsia="Times New Roman"/>
          <w:sz w:val="24"/>
          <w:szCs w:val="24"/>
        </w:rPr>
        <w:t>, January 2004. EPA-821-R-04-001, Available from ALPKEM, A Division of OL Analytical, P.O. Box 9010, College Station, TX 77842-9010.</w:t>
      </w:r>
    </w:p>
    <w:p w14:paraId="2819DC36" w14:textId="77777777" w:rsidR="004647B9" w:rsidRPr="004B3CB2" w:rsidRDefault="004647B9">
      <w:pPr>
        <w:spacing w:line="1" w:lineRule="exact"/>
        <w:rPr>
          <w:rFonts w:eastAsia="Times New Roman"/>
          <w:sz w:val="24"/>
          <w:szCs w:val="24"/>
          <w:vertAlign w:val="superscript"/>
        </w:rPr>
      </w:pPr>
    </w:p>
    <w:p w14:paraId="2819DC37" w14:textId="77777777" w:rsidR="004647B9" w:rsidRPr="004B3CB2" w:rsidRDefault="00E2436F" w:rsidP="00563A54">
      <w:pPr>
        <w:numPr>
          <w:ilvl w:val="0"/>
          <w:numId w:val="134"/>
        </w:numPr>
        <w:tabs>
          <w:tab w:val="left" w:pos="353"/>
        </w:tabs>
        <w:spacing w:line="225" w:lineRule="auto"/>
        <w:ind w:left="302" w:right="480" w:hanging="300"/>
        <w:jc w:val="both"/>
        <w:rPr>
          <w:rFonts w:eastAsia="Times New Roman"/>
          <w:sz w:val="24"/>
          <w:szCs w:val="24"/>
          <w:vertAlign w:val="superscript"/>
        </w:rPr>
      </w:pPr>
      <w:r w:rsidRPr="004B3CB2">
        <w:rPr>
          <w:rFonts w:eastAsia="Times New Roman"/>
          <w:sz w:val="24"/>
          <w:szCs w:val="24"/>
        </w:rPr>
        <w:t>Sulfide levels below those detected using lead acetate paper may produce positive method interferences. Test samples using a more sensitive sulfide method to determine if a sulfide interference is present, and treat samples accordingly.</w:t>
      </w:r>
    </w:p>
    <w:p w14:paraId="2819DC38" w14:textId="77777777" w:rsidR="004647B9" w:rsidRPr="004B3CB2" w:rsidRDefault="004647B9">
      <w:pPr>
        <w:spacing w:line="1" w:lineRule="exact"/>
        <w:rPr>
          <w:rFonts w:eastAsia="Times New Roman"/>
          <w:sz w:val="24"/>
          <w:szCs w:val="24"/>
          <w:vertAlign w:val="superscript"/>
        </w:rPr>
      </w:pPr>
    </w:p>
    <w:p w14:paraId="2819DC39" w14:textId="1D0E993C" w:rsidR="004647B9" w:rsidRPr="004B3CB2" w:rsidRDefault="00E2436F" w:rsidP="00563A54">
      <w:pPr>
        <w:numPr>
          <w:ilvl w:val="0"/>
          <w:numId w:val="134"/>
        </w:numPr>
        <w:tabs>
          <w:tab w:val="left" w:pos="302"/>
        </w:tabs>
        <w:spacing w:line="225" w:lineRule="auto"/>
        <w:ind w:left="302" w:right="480" w:hanging="300"/>
        <w:jc w:val="both"/>
        <w:rPr>
          <w:rFonts w:eastAsia="Times New Roman"/>
          <w:sz w:val="24"/>
          <w:szCs w:val="24"/>
        </w:rPr>
      </w:pPr>
      <w:r w:rsidRPr="004B3CB2">
        <w:rPr>
          <w:rFonts w:eastAsia="Times New Roman"/>
          <w:sz w:val="24"/>
          <w:szCs w:val="24"/>
        </w:rPr>
        <w:t>Standard Methods Online. The year in which each method was approved by the Standards Methods Committee is designated by the last two digits in the method number. The methods listed are the only online versions that may be used.</w:t>
      </w:r>
    </w:p>
    <w:p w14:paraId="2819DC3B" w14:textId="77777777" w:rsidR="004647B9" w:rsidRPr="004B3CB2" w:rsidRDefault="00E2436F" w:rsidP="00563A54">
      <w:pPr>
        <w:numPr>
          <w:ilvl w:val="0"/>
          <w:numId w:val="134"/>
        </w:numPr>
        <w:tabs>
          <w:tab w:val="left" w:pos="302"/>
        </w:tabs>
        <w:spacing w:line="219" w:lineRule="auto"/>
        <w:ind w:left="302" w:right="480" w:hanging="300"/>
        <w:rPr>
          <w:rFonts w:eastAsia="Times New Roman"/>
          <w:sz w:val="24"/>
          <w:szCs w:val="24"/>
          <w:vertAlign w:val="superscript"/>
        </w:rPr>
      </w:pPr>
      <w:r w:rsidRPr="004B3CB2">
        <w:rPr>
          <w:rFonts w:eastAsia="Times New Roman"/>
          <w:sz w:val="24"/>
          <w:szCs w:val="24"/>
        </w:rPr>
        <w:t xml:space="preserve">Method D6508, Rev.2, </w:t>
      </w:r>
      <w:r w:rsidRPr="004B3CB2">
        <w:rPr>
          <w:rFonts w:eastAsia="Times New Roman"/>
          <w:i/>
          <w:iCs/>
          <w:sz w:val="24"/>
          <w:szCs w:val="24"/>
        </w:rPr>
        <w:t>Test Method for Determination of Dissolved Inorganic Anions in Aqueous</w:t>
      </w:r>
      <w:r w:rsidRPr="004B3CB2">
        <w:rPr>
          <w:rFonts w:eastAsia="Times New Roman"/>
          <w:sz w:val="24"/>
          <w:szCs w:val="24"/>
        </w:rPr>
        <w:t xml:space="preserve"> </w:t>
      </w:r>
      <w:r w:rsidRPr="004B3CB2">
        <w:rPr>
          <w:rFonts w:eastAsia="Times New Roman"/>
          <w:i/>
          <w:iCs/>
          <w:sz w:val="24"/>
          <w:szCs w:val="24"/>
        </w:rPr>
        <w:t>Matrices Using Capillary Ion Electrophoresis and Chromate Electrolyte</w:t>
      </w:r>
      <w:r w:rsidRPr="004B3CB2">
        <w:rPr>
          <w:rFonts w:eastAsia="Times New Roman"/>
          <w:sz w:val="24"/>
          <w:szCs w:val="24"/>
        </w:rPr>
        <w:t>.</w:t>
      </w:r>
    </w:p>
    <w:p w14:paraId="2819DC3C" w14:textId="77777777" w:rsidR="004647B9" w:rsidRPr="004B3CB2" w:rsidRDefault="004647B9">
      <w:pPr>
        <w:spacing w:line="236" w:lineRule="exact"/>
        <w:rPr>
          <w:rFonts w:eastAsia="Times New Roman"/>
          <w:sz w:val="24"/>
          <w:szCs w:val="24"/>
        </w:rPr>
      </w:pPr>
    </w:p>
    <w:p w14:paraId="2819DC3D" w14:textId="77777777" w:rsidR="004647B9" w:rsidRDefault="00E2436F" w:rsidP="00563A54">
      <w:pPr>
        <w:numPr>
          <w:ilvl w:val="1"/>
          <w:numId w:val="134"/>
        </w:numPr>
        <w:tabs>
          <w:tab w:val="left" w:pos="2037"/>
        </w:tabs>
        <w:spacing w:line="269" w:lineRule="auto"/>
        <w:ind w:left="1562" w:right="480" w:hanging="5"/>
        <w:rPr>
          <w:rFonts w:eastAsia="Times New Roman"/>
          <w:sz w:val="24"/>
          <w:szCs w:val="24"/>
        </w:rPr>
      </w:pPr>
      <w:r>
        <w:rPr>
          <w:rFonts w:eastAsia="Times New Roman"/>
          <w:sz w:val="24"/>
          <w:szCs w:val="24"/>
          <w:u w:val="single"/>
        </w:rPr>
        <w:t>Analytical Methods for Fluoride</w:t>
      </w:r>
      <w:r>
        <w:rPr>
          <w:rFonts w:eastAsia="Times New Roman"/>
          <w:sz w:val="24"/>
          <w:szCs w:val="24"/>
        </w:rPr>
        <w:t>: Analyses for fluoride shall be conducted using the following methods:</w:t>
      </w:r>
    </w:p>
    <w:p w14:paraId="2819DC3F" w14:textId="77777777" w:rsidR="004647B9" w:rsidRDefault="004647B9" w:rsidP="00EC4F00">
      <w:pPr>
        <w:rPr>
          <w:sz w:val="20"/>
          <w:szCs w:val="20"/>
        </w:rPr>
      </w:pPr>
    </w:p>
    <w:p w14:paraId="2819DC40" w14:textId="77777777" w:rsidR="004647B9" w:rsidRDefault="00E2436F">
      <w:pPr>
        <w:ind w:left="3722"/>
        <w:rPr>
          <w:sz w:val="20"/>
          <w:szCs w:val="20"/>
        </w:rPr>
      </w:pPr>
      <w:r>
        <w:rPr>
          <w:rFonts w:eastAsia="Times New Roman"/>
          <w:sz w:val="24"/>
          <w:szCs w:val="24"/>
          <w:u w:val="single"/>
        </w:rPr>
        <w:t>Reference (Method Number)</w:t>
      </w:r>
    </w:p>
    <w:tbl>
      <w:tblPr>
        <w:tblW w:w="0" w:type="auto"/>
        <w:tblInd w:w="122" w:type="dxa"/>
        <w:tblLayout w:type="fixed"/>
        <w:tblCellMar>
          <w:left w:w="0" w:type="dxa"/>
          <w:right w:w="0" w:type="dxa"/>
        </w:tblCellMar>
        <w:tblLook w:val="04A0" w:firstRow="1" w:lastRow="0" w:firstColumn="1" w:lastColumn="0" w:noHBand="0" w:noVBand="1"/>
      </w:tblPr>
      <w:tblGrid>
        <w:gridCol w:w="1160"/>
        <w:gridCol w:w="1080"/>
        <w:gridCol w:w="1240"/>
        <w:gridCol w:w="300"/>
        <w:gridCol w:w="380"/>
        <w:gridCol w:w="320"/>
        <w:gridCol w:w="520"/>
        <w:gridCol w:w="620"/>
        <w:gridCol w:w="560"/>
        <w:gridCol w:w="580"/>
        <w:gridCol w:w="280"/>
        <w:gridCol w:w="540"/>
        <w:gridCol w:w="1580"/>
        <w:gridCol w:w="560"/>
        <w:gridCol w:w="460"/>
        <w:gridCol w:w="380"/>
      </w:tblGrid>
      <w:tr w:rsidR="004647B9" w14:paraId="2819DC4F" w14:textId="77777777">
        <w:trPr>
          <w:trHeight w:val="276"/>
        </w:trPr>
        <w:tc>
          <w:tcPr>
            <w:tcW w:w="1160" w:type="dxa"/>
            <w:vAlign w:val="bottom"/>
          </w:tcPr>
          <w:p w14:paraId="2819DC42" w14:textId="77777777" w:rsidR="004647B9" w:rsidRDefault="004647B9">
            <w:pPr>
              <w:rPr>
                <w:sz w:val="23"/>
                <w:szCs w:val="23"/>
              </w:rPr>
            </w:pPr>
          </w:p>
        </w:tc>
        <w:tc>
          <w:tcPr>
            <w:tcW w:w="1080" w:type="dxa"/>
            <w:vAlign w:val="bottom"/>
          </w:tcPr>
          <w:p w14:paraId="2819DC43" w14:textId="77777777" w:rsidR="004647B9" w:rsidRDefault="00E2436F">
            <w:pPr>
              <w:rPr>
                <w:sz w:val="20"/>
                <w:szCs w:val="20"/>
              </w:rPr>
            </w:pPr>
            <w:r>
              <w:rPr>
                <w:rFonts w:eastAsia="Times New Roman"/>
                <w:sz w:val="18"/>
                <w:szCs w:val="18"/>
              </w:rPr>
              <w:t>Methodology</w:t>
            </w:r>
          </w:p>
        </w:tc>
        <w:tc>
          <w:tcPr>
            <w:tcW w:w="1240" w:type="dxa"/>
            <w:vAlign w:val="bottom"/>
          </w:tcPr>
          <w:p w14:paraId="2819DC44" w14:textId="77777777" w:rsidR="004647B9" w:rsidRDefault="004647B9">
            <w:pPr>
              <w:rPr>
                <w:sz w:val="23"/>
                <w:szCs w:val="23"/>
              </w:rPr>
            </w:pPr>
          </w:p>
        </w:tc>
        <w:tc>
          <w:tcPr>
            <w:tcW w:w="300" w:type="dxa"/>
            <w:vAlign w:val="bottom"/>
          </w:tcPr>
          <w:p w14:paraId="2819DC45" w14:textId="77777777" w:rsidR="004647B9" w:rsidRDefault="004647B9">
            <w:pPr>
              <w:rPr>
                <w:sz w:val="23"/>
                <w:szCs w:val="23"/>
              </w:rPr>
            </w:pPr>
          </w:p>
        </w:tc>
        <w:tc>
          <w:tcPr>
            <w:tcW w:w="380" w:type="dxa"/>
            <w:vAlign w:val="bottom"/>
          </w:tcPr>
          <w:p w14:paraId="2819DC46" w14:textId="77777777" w:rsidR="004647B9" w:rsidRDefault="00E2436F">
            <w:pPr>
              <w:jc w:val="center"/>
              <w:rPr>
                <w:sz w:val="20"/>
                <w:szCs w:val="20"/>
              </w:rPr>
            </w:pPr>
            <w:r>
              <w:rPr>
                <w:rFonts w:eastAsia="Times New Roman"/>
                <w:sz w:val="18"/>
                <w:szCs w:val="18"/>
              </w:rPr>
              <w:t>EPA</w:t>
            </w:r>
          </w:p>
        </w:tc>
        <w:tc>
          <w:tcPr>
            <w:tcW w:w="320" w:type="dxa"/>
            <w:vAlign w:val="bottom"/>
          </w:tcPr>
          <w:p w14:paraId="2819DC47" w14:textId="77777777" w:rsidR="004647B9" w:rsidRDefault="004647B9">
            <w:pPr>
              <w:rPr>
                <w:sz w:val="23"/>
                <w:szCs w:val="23"/>
              </w:rPr>
            </w:pPr>
          </w:p>
        </w:tc>
        <w:tc>
          <w:tcPr>
            <w:tcW w:w="520" w:type="dxa"/>
            <w:vAlign w:val="bottom"/>
          </w:tcPr>
          <w:p w14:paraId="2819DC48" w14:textId="77777777" w:rsidR="004647B9" w:rsidRDefault="004647B9">
            <w:pPr>
              <w:rPr>
                <w:sz w:val="23"/>
                <w:szCs w:val="23"/>
              </w:rPr>
            </w:pPr>
          </w:p>
        </w:tc>
        <w:tc>
          <w:tcPr>
            <w:tcW w:w="1180" w:type="dxa"/>
            <w:gridSpan w:val="2"/>
            <w:vAlign w:val="bottom"/>
          </w:tcPr>
          <w:p w14:paraId="2819DC49" w14:textId="77777777" w:rsidR="004647B9" w:rsidRDefault="00E2436F">
            <w:pPr>
              <w:rPr>
                <w:sz w:val="20"/>
                <w:szCs w:val="20"/>
              </w:rPr>
            </w:pPr>
            <w:r>
              <w:rPr>
                <w:rFonts w:eastAsia="Times New Roman"/>
                <w:sz w:val="18"/>
                <w:szCs w:val="18"/>
              </w:rPr>
              <w:t xml:space="preserve">ASTM </w:t>
            </w:r>
            <w:r>
              <w:rPr>
                <w:rFonts w:eastAsia="Times New Roman"/>
                <w:sz w:val="24"/>
                <w:szCs w:val="24"/>
                <w:vertAlign w:val="superscript"/>
              </w:rPr>
              <w:t>1</w:t>
            </w:r>
          </w:p>
        </w:tc>
        <w:tc>
          <w:tcPr>
            <w:tcW w:w="580" w:type="dxa"/>
            <w:vAlign w:val="bottom"/>
          </w:tcPr>
          <w:p w14:paraId="2819DC4A" w14:textId="77777777" w:rsidR="004647B9" w:rsidRDefault="004647B9">
            <w:pPr>
              <w:rPr>
                <w:sz w:val="23"/>
                <w:szCs w:val="23"/>
              </w:rPr>
            </w:pPr>
          </w:p>
        </w:tc>
        <w:tc>
          <w:tcPr>
            <w:tcW w:w="820" w:type="dxa"/>
            <w:gridSpan w:val="2"/>
            <w:vAlign w:val="bottom"/>
          </w:tcPr>
          <w:p w14:paraId="2819DC4B" w14:textId="77777777" w:rsidR="004647B9" w:rsidRDefault="00E2436F">
            <w:pPr>
              <w:ind w:right="480"/>
              <w:jc w:val="center"/>
              <w:rPr>
                <w:sz w:val="20"/>
                <w:szCs w:val="20"/>
              </w:rPr>
            </w:pPr>
            <w:r>
              <w:rPr>
                <w:rFonts w:eastAsia="Times New Roman"/>
                <w:w w:val="88"/>
                <w:sz w:val="18"/>
                <w:szCs w:val="18"/>
              </w:rPr>
              <w:t xml:space="preserve">SM </w:t>
            </w:r>
            <w:r>
              <w:rPr>
                <w:rFonts w:eastAsia="Times New Roman"/>
                <w:w w:val="88"/>
                <w:sz w:val="24"/>
                <w:szCs w:val="24"/>
                <w:vertAlign w:val="superscript"/>
              </w:rPr>
              <w:t>2</w:t>
            </w:r>
          </w:p>
        </w:tc>
        <w:tc>
          <w:tcPr>
            <w:tcW w:w="1580" w:type="dxa"/>
            <w:vAlign w:val="bottom"/>
          </w:tcPr>
          <w:p w14:paraId="2819DC4C" w14:textId="77777777" w:rsidR="004647B9" w:rsidRDefault="00E2436F">
            <w:pPr>
              <w:jc w:val="center"/>
              <w:rPr>
                <w:sz w:val="20"/>
                <w:szCs w:val="20"/>
              </w:rPr>
            </w:pPr>
            <w:r>
              <w:rPr>
                <w:rFonts w:eastAsia="Times New Roman"/>
                <w:sz w:val="18"/>
                <w:szCs w:val="18"/>
              </w:rPr>
              <w:t>SM Online</w:t>
            </w:r>
            <w:r>
              <w:rPr>
                <w:rFonts w:eastAsia="Times New Roman"/>
                <w:sz w:val="24"/>
                <w:szCs w:val="24"/>
                <w:vertAlign w:val="superscript"/>
              </w:rPr>
              <w:t>8</w:t>
            </w:r>
          </w:p>
        </w:tc>
        <w:tc>
          <w:tcPr>
            <w:tcW w:w="560" w:type="dxa"/>
            <w:vAlign w:val="bottom"/>
          </w:tcPr>
          <w:p w14:paraId="2819DC4D" w14:textId="77777777" w:rsidR="004647B9" w:rsidRDefault="004647B9">
            <w:pPr>
              <w:rPr>
                <w:sz w:val="23"/>
                <w:szCs w:val="23"/>
              </w:rPr>
            </w:pPr>
          </w:p>
        </w:tc>
        <w:tc>
          <w:tcPr>
            <w:tcW w:w="840" w:type="dxa"/>
            <w:gridSpan w:val="2"/>
            <w:vAlign w:val="bottom"/>
          </w:tcPr>
          <w:p w14:paraId="2819DC4E" w14:textId="77777777" w:rsidR="004647B9" w:rsidRDefault="00E2436F">
            <w:pPr>
              <w:ind w:right="380"/>
              <w:jc w:val="center"/>
              <w:rPr>
                <w:sz w:val="20"/>
                <w:szCs w:val="20"/>
              </w:rPr>
            </w:pPr>
            <w:r>
              <w:rPr>
                <w:rFonts w:eastAsia="Times New Roman"/>
                <w:sz w:val="18"/>
                <w:szCs w:val="18"/>
              </w:rPr>
              <w:t>Other</w:t>
            </w:r>
          </w:p>
        </w:tc>
      </w:tr>
      <w:tr w:rsidR="004647B9" w14:paraId="2819DC60" w14:textId="77777777">
        <w:trPr>
          <w:trHeight w:val="20"/>
        </w:trPr>
        <w:tc>
          <w:tcPr>
            <w:tcW w:w="1160" w:type="dxa"/>
            <w:vAlign w:val="bottom"/>
          </w:tcPr>
          <w:p w14:paraId="2819DC50" w14:textId="77777777" w:rsidR="004647B9" w:rsidRDefault="004647B9">
            <w:pPr>
              <w:spacing w:line="20" w:lineRule="exact"/>
              <w:rPr>
                <w:sz w:val="1"/>
                <w:szCs w:val="1"/>
              </w:rPr>
            </w:pPr>
          </w:p>
        </w:tc>
        <w:tc>
          <w:tcPr>
            <w:tcW w:w="1080" w:type="dxa"/>
            <w:shd w:val="clear" w:color="auto" w:fill="000000"/>
            <w:vAlign w:val="bottom"/>
          </w:tcPr>
          <w:p w14:paraId="2819DC51" w14:textId="77777777" w:rsidR="004647B9" w:rsidRDefault="004647B9">
            <w:pPr>
              <w:spacing w:line="20" w:lineRule="exact"/>
              <w:rPr>
                <w:sz w:val="1"/>
                <w:szCs w:val="1"/>
              </w:rPr>
            </w:pPr>
          </w:p>
        </w:tc>
        <w:tc>
          <w:tcPr>
            <w:tcW w:w="1240" w:type="dxa"/>
            <w:vAlign w:val="bottom"/>
          </w:tcPr>
          <w:p w14:paraId="2819DC52" w14:textId="77777777" w:rsidR="004647B9" w:rsidRDefault="004647B9">
            <w:pPr>
              <w:spacing w:line="20" w:lineRule="exact"/>
              <w:rPr>
                <w:sz w:val="1"/>
                <w:szCs w:val="1"/>
              </w:rPr>
            </w:pPr>
          </w:p>
        </w:tc>
        <w:tc>
          <w:tcPr>
            <w:tcW w:w="300" w:type="dxa"/>
            <w:vAlign w:val="bottom"/>
          </w:tcPr>
          <w:p w14:paraId="2819DC53" w14:textId="77777777" w:rsidR="004647B9" w:rsidRDefault="004647B9">
            <w:pPr>
              <w:spacing w:line="20" w:lineRule="exact"/>
              <w:rPr>
                <w:sz w:val="1"/>
                <w:szCs w:val="1"/>
              </w:rPr>
            </w:pPr>
          </w:p>
        </w:tc>
        <w:tc>
          <w:tcPr>
            <w:tcW w:w="380" w:type="dxa"/>
            <w:shd w:val="clear" w:color="auto" w:fill="000000"/>
            <w:vAlign w:val="bottom"/>
          </w:tcPr>
          <w:p w14:paraId="2819DC54" w14:textId="77777777" w:rsidR="004647B9" w:rsidRDefault="004647B9">
            <w:pPr>
              <w:spacing w:line="20" w:lineRule="exact"/>
              <w:rPr>
                <w:sz w:val="1"/>
                <w:szCs w:val="1"/>
              </w:rPr>
            </w:pPr>
          </w:p>
        </w:tc>
        <w:tc>
          <w:tcPr>
            <w:tcW w:w="320" w:type="dxa"/>
            <w:vAlign w:val="bottom"/>
          </w:tcPr>
          <w:p w14:paraId="2819DC55" w14:textId="77777777" w:rsidR="004647B9" w:rsidRDefault="004647B9">
            <w:pPr>
              <w:spacing w:line="20" w:lineRule="exact"/>
              <w:rPr>
                <w:sz w:val="1"/>
                <w:szCs w:val="1"/>
              </w:rPr>
            </w:pPr>
          </w:p>
        </w:tc>
        <w:tc>
          <w:tcPr>
            <w:tcW w:w="520" w:type="dxa"/>
            <w:vAlign w:val="bottom"/>
          </w:tcPr>
          <w:p w14:paraId="2819DC56" w14:textId="77777777" w:rsidR="004647B9" w:rsidRDefault="004647B9">
            <w:pPr>
              <w:spacing w:line="20" w:lineRule="exact"/>
              <w:rPr>
                <w:sz w:val="1"/>
                <w:szCs w:val="1"/>
              </w:rPr>
            </w:pPr>
          </w:p>
        </w:tc>
        <w:tc>
          <w:tcPr>
            <w:tcW w:w="620" w:type="dxa"/>
            <w:shd w:val="clear" w:color="auto" w:fill="000000"/>
            <w:vAlign w:val="bottom"/>
          </w:tcPr>
          <w:p w14:paraId="2819DC57" w14:textId="77777777" w:rsidR="004647B9" w:rsidRDefault="004647B9">
            <w:pPr>
              <w:spacing w:line="20" w:lineRule="exact"/>
              <w:rPr>
                <w:sz w:val="1"/>
                <w:szCs w:val="1"/>
              </w:rPr>
            </w:pPr>
          </w:p>
        </w:tc>
        <w:tc>
          <w:tcPr>
            <w:tcW w:w="560" w:type="dxa"/>
            <w:vAlign w:val="bottom"/>
          </w:tcPr>
          <w:p w14:paraId="2819DC58" w14:textId="77777777" w:rsidR="004647B9" w:rsidRDefault="004647B9">
            <w:pPr>
              <w:spacing w:line="20" w:lineRule="exact"/>
              <w:rPr>
                <w:sz w:val="1"/>
                <w:szCs w:val="1"/>
              </w:rPr>
            </w:pPr>
          </w:p>
        </w:tc>
        <w:tc>
          <w:tcPr>
            <w:tcW w:w="580" w:type="dxa"/>
            <w:vAlign w:val="bottom"/>
          </w:tcPr>
          <w:p w14:paraId="2819DC59" w14:textId="77777777" w:rsidR="004647B9" w:rsidRDefault="004647B9">
            <w:pPr>
              <w:spacing w:line="20" w:lineRule="exact"/>
              <w:rPr>
                <w:sz w:val="1"/>
                <w:szCs w:val="1"/>
              </w:rPr>
            </w:pPr>
          </w:p>
        </w:tc>
        <w:tc>
          <w:tcPr>
            <w:tcW w:w="280" w:type="dxa"/>
            <w:shd w:val="clear" w:color="auto" w:fill="000000"/>
            <w:vAlign w:val="bottom"/>
          </w:tcPr>
          <w:p w14:paraId="2819DC5A" w14:textId="77777777" w:rsidR="004647B9" w:rsidRDefault="004647B9">
            <w:pPr>
              <w:spacing w:line="20" w:lineRule="exact"/>
              <w:rPr>
                <w:sz w:val="1"/>
                <w:szCs w:val="1"/>
              </w:rPr>
            </w:pPr>
          </w:p>
        </w:tc>
        <w:tc>
          <w:tcPr>
            <w:tcW w:w="540" w:type="dxa"/>
            <w:vAlign w:val="bottom"/>
          </w:tcPr>
          <w:p w14:paraId="2819DC5B" w14:textId="77777777" w:rsidR="004647B9" w:rsidRDefault="004647B9">
            <w:pPr>
              <w:spacing w:line="20" w:lineRule="exact"/>
              <w:rPr>
                <w:sz w:val="1"/>
                <w:szCs w:val="1"/>
              </w:rPr>
            </w:pPr>
          </w:p>
        </w:tc>
        <w:tc>
          <w:tcPr>
            <w:tcW w:w="1580" w:type="dxa"/>
            <w:vAlign w:val="bottom"/>
          </w:tcPr>
          <w:p w14:paraId="2819DC5C" w14:textId="77777777" w:rsidR="004647B9" w:rsidRDefault="004647B9">
            <w:pPr>
              <w:spacing w:line="20" w:lineRule="exact"/>
              <w:rPr>
                <w:sz w:val="1"/>
                <w:szCs w:val="1"/>
              </w:rPr>
            </w:pPr>
          </w:p>
        </w:tc>
        <w:tc>
          <w:tcPr>
            <w:tcW w:w="560" w:type="dxa"/>
            <w:vAlign w:val="bottom"/>
          </w:tcPr>
          <w:p w14:paraId="2819DC5D" w14:textId="77777777" w:rsidR="004647B9" w:rsidRDefault="004647B9">
            <w:pPr>
              <w:spacing w:line="20" w:lineRule="exact"/>
              <w:rPr>
                <w:sz w:val="1"/>
                <w:szCs w:val="1"/>
              </w:rPr>
            </w:pPr>
          </w:p>
        </w:tc>
        <w:tc>
          <w:tcPr>
            <w:tcW w:w="460" w:type="dxa"/>
            <w:shd w:val="clear" w:color="auto" w:fill="000000"/>
            <w:vAlign w:val="bottom"/>
          </w:tcPr>
          <w:p w14:paraId="2819DC5E" w14:textId="77777777" w:rsidR="004647B9" w:rsidRDefault="004647B9">
            <w:pPr>
              <w:spacing w:line="20" w:lineRule="exact"/>
              <w:rPr>
                <w:sz w:val="1"/>
                <w:szCs w:val="1"/>
              </w:rPr>
            </w:pPr>
          </w:p>
        </w:tc>
        <w:tc>
          <w:tcPr>
            <w:tcW w:w="380" w:type="dxa"/>
            <w:vAlign w:val="bottom"/>
          </w:tcPr>
          <w:p w14:paraId="2819DC5F" w14:textId="77777777" w:rsidR="004647B9" w:rsidRDefault="004647B9">
            <w:pPr>
              <w:spacing w:line="20" w:lineRule="exact"/>
              <w:rPr>
                <w:sz w:val="1"/>
                <w:szCs w:val="1"/>
              </w:rPr>
            </w:pPr>
          </w:p>
        </w:tc>
      </w:tr>
      <w:tr w:rsidR="004647B9" w14:paraId="2819DC69" w14:textId="77777777">
        <w:trPr>
          <w:trHeight w:val="339"/>
        </w:trPr>
        <w:tc>
          <w:tcPr>
            <w:tcW w:w="3480" w:type="dxa"/>
            <w:gridSpan w:val="3"/>
            <w:vAlign w:val="bottom"/>
          </w:tcPr>
          <w:p w14:paraId="2819DC61" w14:textId="77777777" w:rsidR="004647B9" w:rsidRDefault="00E2436F">
            <w:pPr>
              <w:rPr>
                <w:sz w:val="20"/>
                <w:szCs w:val="20"/>
              </w:rPr>
            </w:pPr>
            <w:r>
              <w:rPr>
                <w:rFonts w:eastAsia="Times New Roman"/>
                <w:sz w:val="18"/>
                <w:szCs w:val="18"/>
              </w:rPr>
              <w:t>Ion Chromatography</w:t>
            </w:r>
          </w:p>
        </w:tc>
        <w:tc>
          <w:tcPr>
            <w:tcW w:w="1000" w:type="dxa"/>
            <w:gridSpan w:val="3"/>
            <w:vAlign w:val="bottom"/>
          </w:tcPr>
          <w:p w14:paraId="2819DC62" w14:textId="77777777" w:rsidR="004647B9" w:rsidRDefault="00E2436F">
            <w:pPr>
              <w:ind w:right="40"/>
              <w:jc w:val="center"/>
              <w:rPr>
                <w:sz w:val="20"/>
                <w:szCs w:val="20"/>
              </w:rPr>
            </w:pPr>
            <w:r>
              <w:rPr>
                <w:rFonts w:eastAsia="Times New Roman"/>
                <w:sz w:val="18"/>
                <w:szCs w:val="18"/>
              </w:rPr>
              <w:t>300.05</w:t>
            </w:r>
          </w:p>
        </w:tc>
        <w:tc>
          <w:tcPr>
            <w:tcW w:w="1700" w:type="dxa"/>
            <w:gridSpan w:val="3"/>
            <w:vAlign w:val="bottom"/>
          </w:tcPr>
          <w:p w14:paraId="2819DC63" w14:textId="77777777" w:rsidR="004647B9" w:rsidRDefault="00E2436F">
            <w:pPr>
              <w:ind w:right="60"/>
              <w:jc w:val="center"/>
              <w:rPr>
                <w:sz w:val="20"/>
                <w:szCs w:val="20"/>
              </w:rPr>
            </w:pPr>
            <w:r>
              <w:rPr>
                <w:rFonts w:eastAsia="Times New Roman"/>
                <w:sz w:val="18"/>
                <w:szCs w:val="18"/>
              </w:rPr>
              <w:t>D4327-97</w:t>
            </w:r>
          </w:p>
        </w:tc>
        <w:tc>
          <w:tcPr>
            <w:tcW w:w="1400" w:type="dxa"/>
            <w:gridSpan w:val="3"/>
            <w:vAlign w:val="bottom"/>
          </w:tcPr>
          <w:p w14:paraId="2819DC64" w14:textId="77777777" w:rsidR="004647B9" w:rsidRDefault="00E2436F">
            <w:pPr>
              <w:jc w:val="center"/>
              <w:rPr>
                <w:sz w:val="20"/>
                <w:szCs w:val="20"/>
              </w:rPr>
            </w:pPr>
            <w:r>
              <w:rPr>
                <w:rFonts w:eastAsia="Times New Roman"/>
                <w:sz w:val="18"/>
                <w:szCs w:val="18"/>
              </w:rPr>
              <w:t>4110B</w:t>
            </w:r>
          </w:p>
        </w:tc>
        <w:tc>
          <w:tcPr>
            <w:tcW w:w="1580" w:type="dxa"/>
            <w:vAlign w:val="bottom"/>
          </w:tcPr>
          <w:p w14:paraId="2819DC65" w14:textId="5419643E" w:rsidR="004647B9" w:rsidRDefault="00E2436F">
            <w:pPr>
              <w:jc w:val="center"/>
              <w:rPr>
                <w:sz w:val="20"/>
                <w:szCs w:val="20"/>
              </w:rPr>
            </w:pPr>
            <w:r>
              <w:rPr>
                <w:rFonts w:eastAsia="Times New Roman"/>
                <w:sz w:val="18"/>
                <w:szCs w:val="18"/>
              </w:rPr>
              <w:t>4110B-00</w:t>
            </w:r>
          </w:p>
        </w:tc>
        <w:tc>
          <w:tcPr>
            <w:tcW w:w="560" w:type="dxa"/>
            <w:vAlign w:val="bottom"/>
          </w:tcPr>
          <w:p w14:paraId="2819DC66" w14:textId="77777777" w:rsidR="004647B9" w:rsidRDefault="004647B9">
            <w:pPr>
              <w:rPr>
                <w:sz w:val="24"/>
                <w:szCs w:val="24"/>
              </w:rPr>
            </w:pPr>
          </w:p>
        </w:tc>
        <w:tc>
          <w:tcPr>
            <w:tcW w:w="460" w:type="dxa"/>
            <w:vAlign w:val="bottom"/>
          </w:tcPr>
          <w:p w14:paraId="2819DC67" w14:textId="77777777" w:rsidR="004647B9" w:rsidRDefault="004647B9">
            <w:pPr>
              <w:rPr>
                <w:sz w:val="24"/>
                <w:szCs w:val="24"/>
              </w:rPr>
            </w:pPr>
          </w:p>
        </w:tc>
        <w:tc>
          <w:tcPr>
            <w:tcW w:w="380" w:type="dxa"/>
            <w:vAlign w:val="bottom"/>
          </w:tcPr>
          <w:p w14:paraId="2819DC68" w14:textId="77777777" w:rsidR="004647B9" w:rsidRDefault="004647B9">
            <w:pPr>
              <w:rPr>
                <w:sz w:val="24"/>
                <w:szCs w:val="24"/>
              </w:rPr>
            </w:pPr>
          </w:p>
        </w:tc>
      </w:tr>
      <w:tr w:rsidR="004647B9" w14:paraId="2819DC74" w14:textId="77777777">
        <w:trPr>
          <w:trHeight w:val="331"/>
        </w:trPr>
        <w:tc>
          <w:tcPr>
            <w:tcW w:w="3480" w:type="dxa"/>
            <w:gridSpan w:val="3"/>
            <w:vAlign w:val="bottom"/>
          </w:tcPr>
          <w:p w14:paraId="2819DC6A" w14:textId="77777777" w:rsidR="004647B9" w:rsidRDefault="00E2436F">
            <w:pPr>
              <w:rPr>
                <w:sz w:val="20"/>
                <w:szCs w:val="20"/>
              </w:rPr>
            </w:pPr>
            <w:r>
              <w:rPr>
                <w:rFonts w:eastAsia="Times New Roman"/>
                <w:sz w:val="18"/>
                <w:szCs w:val="18"/>
              </w:rPr>
              <w:t>Manual Distillation; Colorimetric</w:t>
            </w:r>
          </w:p>
        </w:tc>
        <w:tc>
          <w:tcPr>
            <w:tcW w:w="1000" w:type="dxa"/>
            <w:gridSpan w:val="3"/>
            <w:vAlign w:val="bottom"/>
          </w:tcPr>
          <w:p w14:paraId="2819DC6B" w14:textId="77777777" w:rsidR="004647B9" w:rsidRDefault="00E2436F">
            <w:pPr>
              <w:ind w:right="40"/>
              <w:jc w:val="center"/>
              <w:rPr>
                <w:sz w:val="20"/>
                <w:szCs w:val="20"/>
              </w:rPr>
            </w:pPr>
            <w:r>
              <w:rPr>
                <w:rFonts w:eastAsia="Times New Roman"/>
                <w:sz w:val="18"/>
                <w:szCs w:val="18"/>
              </w:rPr>
              <w:t>300.16</w:t>
            </w:r>
          </w:p>
        </w:tc>
        <w:tc>
          <w:tcPr>
            <w:tcW w:w="520" w:type="dxa"/>
            <w:vAlign w:val="bottom"/>
          </w:tcPr>
          <w:p w14:paraId="2819DC6C" w14:textId="77777777" w:rsidR="004647B9" w:rsidRDefault="004647B9">
            <w:pPr>
              <w:rPr>
                <w:sz w:val="24"/>
                <w:szCs w:val="24"/>
              </w:rPr>
            </w:pPr>
          </w:p>
        </w:tc>
        <w:tc>
          <w:tcPr>
            <w:tcW w:w="620" w:type="dxa"/>
            <w:vAlign w:val="bottom"/>
          </w:tcPr>
          <w:p w14:paraId="2819DC6D" w14:textId="77777777" w:rsidR="004647B9" w:rsidRDefault="004647B9">
            <w:pPr>
              <w:rPr>
                <w:sz w:val="24"/>
                <w:szCs w:val="24"/>
              </w:rPr>
            </w:pPr>
          </w:p>
        </w:tc>
        <w:tc>
          <w:tcPr>
            <w:tcW w:w="560" w:type="dxa"/>
            <w:vAlign w:val="bottom"/>
          </w:tcPr>
          <w:p w14:paraId="2819DC6E" w14:textId="77777777" w:rsidR="004647B9" w:rsidRDefault="004647B9">
            <w:pPr>
              <w:rPr>
                <w:sz w:val="24"/>
                <w:szCs w:val="24"/>
              </w:rPr>
            </w:pPr>
          </w:p>
        </w:tc>
        <w:tc>
          <w:tcPr>
            <w:tcW w:w="1400" w:type="dxa"/>
            <w:gridSpan w:val="3"/>
            <w:vAlign w:val="bottom"/>
          </w:tcPr>
          <w:p w14:paraId="2819DC6F" w14:textId="77777777" w:rsidR="004647B9" w:rsidRDefault="00E2436F">
            <w:pPr>
              <w:jc w:val="center"/>
              <w:rPr>
                <w:sz w:val="20"/>
                <w:szCs w:val="20"/>
              </w:rPr>
            </w:pPr>
            <w:r>
              <w:rPr>
                <w:rFonts w:eastAsia="Times New Roman"/>
                <w:sz w:val="18"/>
                <w:szCs w:val="18"/>
              </w:rPr>
              <w:t>4500F-B,D</w:t>
            </w:r>
          </w:p>
        </w:tc>
        <w:tc>
          <w:tcPr>
            <w:tcW w:w="1580" w:type="dxa"/>
            <w:vAlign w:val="bottom"/>
          </w:tcPr>
          <w:p w14:paraId="2819DC70" w14:textId="77777777" w:rsidR="004647B9" w:rsidRDefault="00E2436F">
            <w:pPr>
              <w:jc w:val="center"/>
              <w:rPr>
                <w:sz w:val="20"/>
                <w:szCs w:val="20"/>
              </w:rPr>
            </w:pPr>
            <w:r>
              <w:rPr>
                <w:rFonts w:eastAsia="Times New Roman"/>
                <w:sz w:val="18"/>
                <w:szCs w:val="18"/>
              </w:rPr>
              <w:t>4500F-B,D-97</w:t>
            </w:r>
          </w:p>
        </w:tc>
        <w:tc>
          <w:tcPr>
            <w:tcW w:w="560" w:type="dxa"/>
            <w:vAlign w:val="bottom"/>
          </w:tcPr>
          <w:p w14:paraId="2819DC71" w14:textId="77777777" w:rsidR="004647B9" w:rsidRDefault="004647B9">
            <w:pPr>
              <w:rPr>
                <w:sz w:val="24"/>
                <w:szCs w:val="24"/>
              </w:rPr>
            </w:pPr>
          </w:p>
        </w:tc>
        <w:tc>
          <w:tcPr>
            <w:tcW w:w="460" w:type="dxa"/>
            <w:vAlign w:val="bottom"/>
          </w:tcPr>
          <w:p w14:paraId="2819DC72" w14:textId="77777777" w:rsidR="004647B9" w:rsidRDefault="004647B9">
            <w:pPr>
              <w:rPr>
                <w:sz w:val="24"/>
                <w:szCs w:val="24"/>
              </w:rPr>
            </w:pPr>
          </w:p>
        </w:tc>
        <w:tc>
          <w:tcPr>
            <w:tcW w:w="380" w:type="dxa"/>
            <w:vAlign w:val="bottom"/>
          </w:tcPr>
          <w:p w14:paraId="2819DC73" w14:textId="77777777" w:rsidR="004647B9" w:rsidRDefault="004647B9">
            <w:pPr>
              <w:rPr>
                <w:sz w:val="24"/>
                <w:szCs w:val="24"/>
              </w:rPr>
            </w:pPr>
          </w:p>
        </w:tc>
      </w:tr>
      <w:tr w:rsidR="004647B9" w14:paraId="2819DC83" w14:textId="77777777">
        <w:trPr>
          <w:trHeight w:val="274"/>
        </w:trPr>
        <w:tc>
          <w:tcPr>
            <w:tcW w:w="3480" w:type="dxa"/>
            <w:gridSpan w:val="3"/>
            <w:vAlign w:val="bottom"/>
          </w:tcPr>
          <w:p w14:paraId="2819DC75" w14:textId="77777777" w:rsidR="004647B9" w:rsidRDefault="00E2436F">
            <w:pPr>
              <w:rPr>
                <w:sz w:val="20"/>
                <w:szCs w:val="20"/>
              </w:rPr>
            </w:pPr>
            <w:r>
              <w:rPr>
                <w:rFonts w:eastAsia="Times New Roman"/>
                <w:sz w:val="18"/>
                <w:szCs w:val="18"/>
              </w:rPr>
              <w:t>SPADNS</w:t>
            </w:r>
          </w:p>
        </w:tc>
        <w:tc>
          <w:tcPr>
            <w:tcW w:w="300" w:type="dxa"/>
            <w:vAlign w:val="bottom"/>
          </w:tcPr>
          <w:p w14:paraId="2819DC76" w14:textId="77777777" w:rsidR="004647B9" w:rsidRDefault="004647B9">
            <w:pPr>
              <w:rPr>
                <w:sz w:val="23"/>
                <w:szCs w:val="23"/>
              </w:rPr>
            </w:pPr>
          </w:p>
        </w:tc>
        <w:tc>
          <w:tcPr>
            <w:tcW w:w="380" w:type="dxa"/>
            <w:vAlign w:val="bottom"/>
          </w:tcPr>
          <w:p w14:paraId="2819DC77" w14:textId="77777777" w:rsidR="004647B9" w:rsidRDefault="004647B9">
            <w:pPr>
              <w:rPr>
                <w:sz w:val="23"/>
                <w:szCs w:val="23"/>
              </w:rPr>
            </w:pPr>
          </w:p>
        </w:tc>
        <w:tc>
          <w:tcPr>
            <w:tcW w:w="320" w:type="dxa"/>
            <w:vAlign w:val="bottom"/>
          </w:tcPr>
          <w:p w14:paraId="2819DC78" w14:textId="77777777" w:rsidR="004647B9" w:rsidRDefault="004647B9">
            <w:pPr>
              <w:rPr>
                <w:sz w:val="23"/>
                <w:szCs w:val="23"/>
              </w:rPr>
            </w:pPr>
          </w:p>
        </w:tc>
        <w:tc>
          <w:tcPr>
            <w:tcW w:w="520" w:type="dxa"/>
            <w:vAlign w:val="bottom"/>
          </w:tcPr>
          <w:p w14:paraId="2819DC79" w14:textId="77777777" w:rsidR="004647B9" w:rsidRDefault="004647B9">
            <w:pPr>
              <w:rPr>
                <w:sz w:val="23"/>
                <w:szCs w:val="23"/>
              </w:rPr>
            </w:pPr>
          </w:p>
        </w:tc>
        <w:tc>
          <w:tcPr>
            <w:tcW w:w="620" w:type="dxa"/>
            <w:vAlign w:val="bottom"/>
          </w:tcPr>
          <w:p w14:paraId="2819DC7A" w14:textId="77777777" w:rsidR="004647B9" w:rsidRDefault="004647B9">
            <w:pPr>
              <w:rPr>
                <w:sz w:val="23"/>
                <w:szCs w:val="23"/>
              </w:rPr>
            </w:pPr>
          </w:p>
        </w:tc>
        <w:tc>
          <w:tcPr>
            <w:tcW w:w="560" w:type="dxa"/>
            <w:vAlign w:val="bottom"/>
          </w:tcPr>
          <w:p w14:paraId="2819DC7B" w14:textId="77777777" w:rsidR="004647B9" w:rsidRDefault="004647B9">
            <w:pPr>
              <w:rPr>
                <w:sz w:val="23"/>
                <w:szCs w:val="23"/>
              </w:rPr>
            </w:pPr>
          </w:p>
        </w:tc>
        <w:tc>
          <w:tcPr>
            <w:tcW w:w="580" w:type="dxa"/>
            <w:vAlign w:val="bottom"/>
          </w:tcPr>
          <w:p w14:paraId="2819DC7C" w14:textId="77777777" w:rsidR="004647B9" w:rsidRDefault="004647B9">
            <w:pPr>
              <w:rPr>
                <w:sz w:val="23"/>
                <w:szCs w:val="23"/>
              </w:rPr>
            </w:pPr>
          </w:p>
        </w:tc>
        <w:tc>
          <w:tcPr>
            <w:tcW w:w="280" w:type="dxa"/>
            <w:vAlign w:val="bottom"/>
          </w:tcPr>
          <w:p w14:paraId="2819DC7D" w14:textId="77777777" w:rsidR="004647B9" w:rsidRDefault="004647B9">
            <w:pPr>
              <w:rPr>
                <w:sz w:val="23"/>
                <w:szCs w:val="23"/>
              </w:rPr>
            </w:pPr>
          </w:p>
        </w:tc>
        <w:tc>
          <w:tcPr>
            <w:tcW w:w="540" w:type="dxa"/>
            <w:vAlign w:val="bottom"/>
          </w:tcPr>
          <w:p w14:paraId="2819DC7E" w14:textId="77777777" w:rsidR="004647B9" w:rsidRDefault="004647B9">
            <w:pPr>
              <w:rPr>
                <w:sz w:val="23"/>
                <w:szCs w:val="23"/>
              </w:rPr>
            </w:pPr>
          </w:p>
        </w:tc>
        <w:tc>
          <w:tcPr>
            <w:tcW w:w="1580" w:type="dxa"/>
            <w:vAlign w:val="bottom"/>
          </w:tcPr>
          <w:p w14:paraId="2819DC7F" w14:textId="77777777" w:rsidR="004647B9" w:rsidRDefault="004647B9">
            <w:pPr>
              <w:rPr>
                <w:sz w:val="23"/>
                <w:szCs w:val="23"/>
              </w:rPr>
            </w:pPr>
          </w:p>
        </w:tc>
        <w:tc>
          <w:tcPr>
            <w:tcW w:w="560" w:type="dxa"/>
            <w:vAlign w:val="bottom"/>
          </w:tcPr>
          <w:p w14:paraId="2819DC80" w14:textId="77777777" w:rsidR="004647B9" w:rsidRDefault="004647B9">
            <w:pPr>
              <w:rPr>
                <w:sz w:val="23"/>
                <w:szCs w:val="23"/>
              </w:rPr>
            </w:pPr>
          </w:p>
        </w:tc>
        <w:tc>
          <w:tcPr>
            <w:tcW w:w="460" w:type="dxa"/>
            <w:vAlign w:val="bottom"/>
          </w:tcPr>
          <w:p w14:paraId="2819DC81" w14:textId="77777777" w:rsidR="004647B9" w:rsidRDefault="004647B9">
            <w:pPr>
              <w:rPr>
                <w:sz w:val="23"/>
                <w:szCs w:val="23"/>
              </w:rPr>
            </w:pPr>
          </w:p>
        </w:tc>
        <w:tc>
          <w:tcPr>
            <w:tcW w:w="380" w:type="dxa"/>
            <w:vAlign w:val="bottom"/>
          </w:tcPr>
          <w:p w14:paraId="2819DC82" w14:textId="77777777" w:rsidR="004647B9" w:rsidRDefault="004647B9">
            <w:pPr>
              <w:rPr>
                <w:sz w:val="23"/>
                <w:szCs w:val="23"/>
              </w:rPr>
            </w:pPr>
          </w:p>
        </w:tc>
      </w:tr>
      <w:tr w:rsidR="004647B9" w14:paraId="2819DC8E" w14:textId="77777777">
        <w:trPr>
          <w:trHeight w:val="331"/>
        </w:trPr>
        <w:tc>
          <w:tcPr>
            <w:tcW w:w="3480" w:type="dxa"/>
            <w:gridSpan w:val="3"/>
            <w:vAlign w:val="bottom"/>
          </w:tcPr>
          <w:p w14:paraId="2819DC84" w14:textId="77777777" w:rsidR="004647B9" w:rsidRDefault="00E2436F">
            <w:pPr>
              <w:rPr>
                <w:sz w:val="20"/>
                <w:szCs w:val="20"/>
              </w:rPr>
            </w:pPr>
            <w:r>
              <w:rPr>
                <w:rFonts w:eastAsia="Times New Roman"/>
                <w:sz w:val="18"/>
                <w:szCs w:val="18"/>
              </w:rPr>
              <w:t>Manual Electrode</w:t>
            </w:r>
          </w:p>
        </w:tc>
        <w:tc>
          <w:tcPr>
            <w:tcW w:w="300" w:type="dxa"/>
            <w:vAlign w:val="bottom"/>
          </w:tcPr>
          <w:p w14:paraId="2819DC85" w14:textId="77777777" w:rsidR="004647B9" w:rsidRDefault="004647B9">
            <w:pPr>
              <w:rPr>
                <w:sz w:val="24"/>
                <w:szCs w:val="24"/>
              </w:rPr>
            </w:pPr>
          </w:p>
        </w:tc>
        <w:tc>
          <w:tcPr>
            <w:tcW w:w="380" w:type="dxa"/>
            <w:vAlign w:val="bottom"/>
          </w:tcPr>
          <w:p w14:paraId="2819DC86" w14:textId="77777777" w:rsidR="004647B9" w:rsidRDefault="004647B9">
            <w:pPr>
              <w:rPr>
                <w:sz w:val="24"/>
                <w:szCs w:val="24"/>
              </w:rPr>
            </w:pPr>
          </w:p>
        </w:tc>
        <w:tc>
          <w:tcPr>
            <w:tcW w:w="320" w:type="dxa"/>
            <w:vAlign w:val="bottom"/>
          </w:tcPr>
          <w:p w14:paraId="2819DC87" w14:textId="77777777" w:rsidR="004647B9" w:rsidRDefault="004647B9">
            <w:pPr>
              <w:rPr>
                <w:sz w:val="24"/>
                <w:szCs w:val="24"/>
              </w:rPr>
            </w:pPr>
          </w:p>
        </w:tc>
        <w:tc>
          <w:tcPr>
            <w:tcW w:w="1700" w:type="dxa"/>
            <w:gridSpan w:val="3"/>
            <w:vAlign w:val="bottom"/>
          </w:tcPr>
          <w:p w14:paraId="2819DC88" w14:textId="77777777" w:rsidR="004647B9" w:rsidRDefault="00E2436F">
            <w:pPr>
              <w:ind w:right="40"/>
              <w:jc w:val="center"/>
              <w:rPr>
                <w:sz w:val="20"/>
                <w:szCs w:val="20"/>
              </w:rPr>
            </w:pPr>
            <w:r>
              <w:rPr>
                <w:rFonts w:eastAsia="Times New Roman"/>
                <w:sz w:val="18"/>
                <w:szCs w:val="18"/>
              </w:rPr>
              <w:t>D1179-93,99B</w:t>
            </w:r>
          </w:p>
        </w:tc>
        <w:tc>
          <w:tcPr>
            <w:tcW w:w="1400" w:type="dxa"/>
            <w:gridSpan w:val="3"/>
            <w:vAlign w:val="bottom"/>
          </w:tcPr>
          <w:p w14:paraId="2819DC89" w14:textId="77777777" w:rsidR="004647B9" w:rsidRDefault="00E2436F">
            <w:pPr>
              <w:jc w:val="center"/>
              <w:rPr>
                <w:sz w:val="20"/>
                <w:szCs w:val="20"/>
              </w:rPr>
            </w:pPr>
            <w:r>
              <w:rPr>
                <w:rFonts w:eastAsia="Times New Roman"/>
                <w:sz w:val="18"/>
                <w:szCs w:val="18"/>
              </w:rPr>
              <w:t>4500F-C</w:t>
            </w:r>
          </w:p>
        </w:tc>
        <w:tc>
          <w:tcPr>
            <w:tcW w:w="1580" w:type="dxa"/>
            <w:vAlign w:val="bottom"/>
          </w:tcPr>
          <w:p w14:paraId="2819DC8A" w14:textId="77777777" w:rsidR="004647B9" w:rsidRDefault="00E2436F">
            <w:pPr>
              <w:jc w:val="center"/>
              <w:rPr>
                <w:sz w:val="20"/>
                <w:szCs w:val="20"/>
              </w:rPr>
            </w:pPr>
            <w:r>
              <w:rPr>
                <w:rFonts w:eastAsia="Times New Roman"/>
                <w:sz w:val="18"/>
                <w:szCs w:val="18"/>
              </w:rPr>
              <w:t>4500F-C-97</w:t>
            </w:r>
          </w:p>
        </w:tc>
        <w:tc>
          <w:tcPr>
            <w:tcW w:w="560" w:type="dxa"/>
            <w:vAlign w:val="bottom"/>
          </w:tcPr>
          <w:p w14:paraId="2819DC8B" w14:textId="77777777" w:rsidR="004647B9" w:rsidRDefault="004647B9">
            <w:pPr>
              <w:rPr>
                <w:sz w:val="24"/>
                <w:szCs w:val="24"/>
              </w:rPr>
            </w:pPr>
          </w:p>
        </w:tc>
        <w:tc>
          <w:tcPr>
            <w:tcW w:w="460" w:type="dxa"/>
            <w:vAlign w:val="bottom"/>
          </w:tcPr>
          <w:p w14:paraId="2819DC8C" w14:textId="77777777" w:rsidR="004647B9" w:rsidRDefault="004647B9">
            <w:pPr>
              <w:rPr>
                <w:sz w:val="24"/>
                <w:szCs w:val="24"/>
              </w:rPr>
            </w:pPr>
          </w:p>
        </w:tc>
        <w:tc>
          <w:tcPr>
            <w:tcW w:w="380" w:type="dxa"/>
            <w:vAlign w:val="bottom"/>
          </w:tcPr>
          <w:p w14:paraId="2819DC8D" w14:textId="77777777" w:rsidR="004647B9" w:rsidRDefault="004647B9">
            <w:pPr>
              <w:rPr>
                <w:sz w:val="24"/>
                <w:szCs w:val="24"/>
              </w:rPr>
            </w:pPr>
          </w:p>
        </w:tc>
      </w:tr>
      <w:tr w:rsidR="004647B9" w14:paraId="2819DC99" w14:textId="77777777">
        <w:trPr>
          <w:trHeight w:val="332"/>
        </w:trPr>
        <w:tc>
          <w:tcPr>
            <w:tcW w:w="3480" w:type="dxa"/>
            <w:gridSpan w:val="3"/>
            <w:vAlign w:val="bottom"/>
          </w:tcPr>
          <w:p w14:paraId="2819DC8F" w14:textId="77777777" w:rsidR="004647B9" w:rsidRDefault="00E2436F">
            <w:pPr>
              <w:rPr>
                <w:sz w:val="20"/>
                <w:szCs w:val="20"/>
              </w:rPr>
            </w:pPr>
            <w:r>
              <w:rPr>
                <w:rFonts w:eastAsia="Times New Roman"/>
                <w:sz w:val="18"/>
                <w:szCs w:val="18"/>
              </w:rPr>
              <w:t>Automated Alizarin fluorine blue -</w:t>
            </w:r>
          </w:p>
        </w:tc>
        <w:tc>
          <w:tcPr>
            <w:tcW w:w="300" w:type="dxa"/>
            <w:vAlign w:val="bottom"/>
          </w:tcPr>
          <w:p w14:paraId="2819DC90" w14:textId="77777777" w:rsidR="004647B9" w:rsidRDefault="004647B9">
            <w:pPr>
              <w:rPr>
                <w:sz w:val="24"/>
                <w:szCs w:val="24"/>
              </w:rPr>
            </w:pPr>
          </w:p>
        </w:tc>
        <w:tc>
          <w:tcPr>
            <w:tcW w:w="380" w:type="dxa"/>
            <w:vAlign w:val="bottom"/>
          </w:tcPr>
          <w:p w14:paraId="2819DC91" w14:textId="77777777" w:rsidR="004647B9" w:rsidRDefault="004647B9">
            <w:pPr>
              <w:rPr>
                <w:sz w:val="24"/>
                <w:szCs w:val="24"/>
              </w:rPr>
            </w:pPr>
          </w:p>
        </w:tc>
        <w:tc>
          <w:tcPr>
            <w:tcW w:w="320" w:type="dxa"/>
            <w:vAlign w:val="bottom"/>
          </w:tcPr>
          <w:p w14:paraId="2819DC92" w14:textId="77777777" w:rsidR="004647B9" w:rsidRDefault="004647B9">
            <w:pPr>
              <w:rPr>
                <w:sz w:val="24"/>
                <w:szCs w:val="24"/>
              </w:rPr>
            </w:pPr>
          </w:p>
        </w:tc>
        <w:tc>
          <w:tcPr>
            <w:tcW w:w="520" w:type="dxa"/>
            <w:vAlign w:val="bottom"/>
          </w:tcPr>
          <w:p w14:paraId="2819DC93" w14:textId="77777777" w:rsidR="004647B9" w:rsidRDefault="004647B9">
            <w:pPr>
              <w:rPr>
                <w:sz w:val="24"/>
                <w:szCs w:val="24"/>
              </w:rPr>
            </w:pPr>
          </w:p>
        </w:tc>
        <w:tc>
          <w:tcPr>
            <w:tcW w:w="620" w:type="dxa"/>
            <w:vAlign w:val="bottom"/>
          </w:tcPr>
          <w:p w14:paraId="2819DC94" w14:textId="77777777" w:rsidR="004647B9" w:rsidRDefault="004647B9">
            <w:pPr>
              <w:rPr>
                <w:sz w:val="24"/>
                <w:szCs w:val="24"/>
              </w:rPr>
            </w:pPr>
          </w:p>
        </w:tc>
        <w:tc>
          <w:tcPr>
            <w:tcW w:w="560" w:type="dxa"/>
            <w:vAlign w:val="bottom"/>
          </w:tcPr>
          <w:p w14:paraId="2819DC95" w14:textId="77777777" w:rsidR="004647B9" w:rsidRDefault="004647B9">
            <w:pPr>
              <w:rPr>
                <w:sz w:val="24"/>
                <w:szCs w:val="24"/>
              </w:rPr>
            </w:pPr>
          </w:p>
        </w:tc>
        <w:tc>
          <w:tcPr>
            <w:tcW w:w="1400" w:type="dxa"/>
            <w:gridSpan w:val="3"/>
            <w:vAlign w:val="bottom"/>
          </w:tcPr>
          <w:p w14:paraId="2819DC96" w14:textId="77777777" w:rsidR="004647B9" w:rsidRDefault="00E2436F">
            <w:pPr>
              <w:jc w:val="center"/>
              <w:rPr>
                <w:sz w:val="20"/>
                <w:szCs w:val="20"/>
              </w:rPr>
            </w:pPr>
            <w:r>
              <w:rPr>
                <w:rFonts w:eastAsia="Times New Roman"/>
                <w:sz w:val="18"/>
                <w:szCs w:val="18"/>
              </w:rPr>
              <w:t>4500F-E</w:t>
            </w:r>
          </w:p>
        </w:tc>
        <w:tc>
          <w:tcPr>
            <w:tcW w:w="1580" w:type="dxa"/>
            <w:vAlign w:val="bottom"/>
          </w:tcPr>
          <w:p w14:paraId="2819DC97" w14:textId="77777777" w:rsidR="004647B9" w:rsidRDefault="004647B9">
            <w:pPr>
              <w:rPr>
                <w:sz w:val="24"/>
                <w:szCs w:val="24"/>
              </w:rPr>
            </w:pPr>
          </w:p>
        </w:tc>
        <w:tc>
          <w:tcPr>
            <w:tcW w:w="1400" w:type="dxa"/>
            <w:gridSpan w:val="3"/>
            <w:vAlign w:val="bottom"/>
          </w:tcPr>
          <w:p w14:paraId="2819DC98" w14:textId="77777777" w:rsidR="004647B9" w:rsidRDefault="00E2436F">
            <w:pPr>
              <w:ind w:left="90"/>
              <w:jc w:val="center"/>
              <w:rPr>
                <w:sz w:val="20"/>
                <w:szCs w:val="20"/>
              </w:rPr>
            </w:pPr>
            <w:r>
              <w:rPr>
                <w:rFonts w:eastAsia="Times New Roman"/>
                <w:sz w:val="18"/>
                <w:szCs w:val="18"/>
              </w:rPr>
              <w:t xml:space="preserve">129-71W </w:t>
            </w:r>
            <w:r>
              <w:rPr>
                <w:rFonts w:eastAsia="Times New Roman"/>
                <w:sz w:val="24"/>
                <w:szCs w:val="24"/>
                <w:vertAlign w:val="superscript"/>
              </w:rPr>
              <w:t>3</w:t>
            </w:r>
          </w:p>
        </w:tc>
      </w:tr>
      <w:tr w:rsidR="004647B9" w14:paraId="2819DCA8" w14:textId="77777777">
        <w:trPr>
          <w:trHeight w:val="273"/>
        </w:trPr>
        <w:tc>
          <w:tcPr>
            <w:tcW w:w="3480" w:type="dxa"/>
            <w:gridSpan w:val="3"/>
            <w:vAlign w:val="bottom"/>
          </w:tcPr>
          <w:p w14:paraId="2819DC9A" w14:textId="77777777" w:rsidR="004647B9" w:rsidRDefault="00E2436F">
            <w:pPr>
              <w:rPr>
                <w:sz w:val="20"/>
                <w:szCs w:val="20"/>
              </w:rPr>
            </w:pPr>
            <w:r>
              <w:rPr>
                <w:rFonts w:eastAsia="Times New Roman"/>
                <w:sz w:val="18"/>
                <w:szCs w:val="18"/>
              </w:rPr>
              <w:t>lanthanum with distillation (complexone)</w:t>
            </w:r>
          </w:p>
        </w:tc>
        <w:tc>
          <w:tcPr>
            <w:tcW w:w="300" w:type="dxa"/>
            <w:vAlign w:val="bottom"/>
          </w:tcPr>
          <w:p w14:paraId="2819DC9B" w14:textId="77777777" w:rsidR="004647B9" w:rsidRDefault="004647B9">
            <w:pPr>
              <w:rPr>
                <w:sz w:val="23"/>
                <w:szCs w:val="23"/>
              </w:rPr>
            </w:pPr>
          </w:p>
        </w:tc>
        <w:tc>
          <w:tcPr>
            <w:tcW w:w="380" w:type="dxa"/>
            <w:vAlign w:val="bottom"/>
          </w:tcPr>
          <w:p w14:paraId="2819DC9C" w14:textId="77777777" w:rsidR="004647B9" w:rsidRDefault="004647B9">
            <w:pPr>
              <w:rPr>
                <w:sz w:val="23"/>
                <w:szCs w:val="23"/>
              </w:rPr>
            </w:pPr>
          </w:p>
        </w:tc>
        <w:tc>
          <w:tcPr>
            <w:tcW w:w="320" w:type="dxa"/>
            <w:vAlign w:val="bottom"/>
          </w:tcPr>
          <w:p w14:paraId="2819DC9D" w14:textId="77777777" w:rsidR="004647B9" w:rsidRDefault="004647B9">
            <w:pPr>
              <w:rPr>
                <w:sz w:val="23"/>
                <w:szCs w:val="23"/>
              </w:rPr>
            </w:pPr>
          </w:p>
        </w:tc>
        <w:tc>
          <w:tcPr>
            <w:tcW w:w="520" w:type="dxa"/>
            <w:vAlign w:val="bottom"/>
          </w:tcPr>
          <w:p w14:paraId="2819DC9E" w14:textId="77777777" w:rsidR="004647B9" w:rsidRDefault="004647B9">
            <w:pPr>
              <w:rPr>
                <w:sz w:val="23"/>
                <w:szCs w:val="23"/>
              </w:rPr>
            </w:pPr>
          </w:p>
        </w:tc>
        <w:tc>
          <w:tcPr>
            <w:tcW w:w="620" w:type="dxa"/>
            <w:vAlign w:val="bottom"/>
          </w:tcPr>
          <w:p w14:paraId="2819DC9F" w14:textId="77777777" w:rsidR="004647B9" w:rsidRDefault="004647B9">
            <w:pPr>
              <w:rPr>
                <w:sz w:val="23"/>
                <w:szCs w:val="23"/>
              </w:rPr>
            </w:pPr>
          </w:p>
        </w:tc>
        <w:tc>
          <w:tcPr>
            <w:tcW w:w="560" w:type="dxa"/>
            <w:vAlign w:val="bottom"/>
          </w:tcPr>
          <w:p w14:paraId="2819DCA0" w14:textId="77777777" w:rsidR="004647B9" w:rsidRDefault="004647B9">
            <w:pPr>
              <w:rPr>
                <w:sz w:val="23"/>
                <w:szCs w:val="23"/>
              </w:rPr>
            </w:pPr>
          </w:p>
        </w:tc>
        <w:tc>
          <w:tcPr>
            <w:tcW w:w="580" w:type="dxa"/>
            <w:vAlign w:val="bottom"/>
          </w:tcPr>
          <w:p w14:paraId="2819DCA1" w14:textId="77777777" w:rsidR="004647B9" w:rsidRDefault="004647B9">
            <w:pPr>
              <w:rPr>
                <w:sz w:val="23"/>
                <w:szCs w:val="23"/>
              </w:rPr>
            </w:pPr>
          </w:p>
        </w:tc>
        <w:tc>
          <w:tcPr>
            <w:tcW w:w="280" w:type="dxa"/>
            <w:vAlign w:val="bottom"/>
          </w:tcPr>
          <w:p w14:paraId="2819DCA2" w14:textId="77777777" w:rsidR="004647B9" w:rsidRDefault="004647B9">
            <w:pPr>
              <w:rPr>
                <w:sz w:val="23"/>
                <w:szCs w:val="23"/>
              </w:rPr>
            </w:pPr>
          </w:p>
        </w:tc>
        <w:tc>
          <w:tcPr>
            <w:tcW w:w="540" w:type="dxa"/>
            <w:vAlign w:val="bottom"/>
          </w:tcPr>
          <w:p w14:paraId="2819DCA3" w14:textId="77777777" w:rsidR="004647B9" w:rsidRDefault="004647B9">
            <w:pPr>
              <w:rPr>
                <w:sz w:val="23"/>
                <w:szCs w:val="23"/>
              </w:rPr>
            </w:pPr>
          </w:p>
        </w:tc>
        <w:tc>
          <w:tcPr>
            <w:tcW w:w="1580" w:type="dxa"/>
            <w:vAlign w:val="bottom"/>
          </w:tcPr>
          <w:p w14:paraId="2819DCA4" w14:textId="77777777" w:rsidR="004647B9" w:rsidRDefault="004647B9">
            <w:pPr>
              <w:rPr>
                <w:sz w:val="23"/>
                <w:szCs w:val="23"/>
              </w:rPr>
            </w:pPr>
          </w:p>
        </w:tc>
        <w:tc>
          <w:tcPr>
            <w:tcW w:w="560" w:type="dxa"/>
            <w:vAlign w:val="bottom"/>
          </w:tcPr>
          <w:p w14:paraId="2819DCA5" w14:textId="77777777" w:rsidR="004647B9" w:rsidRDefault="004647B9">
            <w:pPr>
              <w:rPr>
                <w:sz w:val="23"/>
                <w:szCs w:val="23"/>
              </w:rPr>
            </w:pPr>
          </w:p>
        </w:tc>
        <w:tc>
          <w:tcPr>
            <w:tcW w:w="460" w:type="dxa"/>
            <w:vAlign w:val="bottom"/>
          </w:tcPr>
          <w:p w14:paraId="2819DCA6" w14:textId="77777777" w:rsidR="004647B9" w:rsidRDefault="004647B9">
            <w:pPr>
              <w:rPr>
                <w:sz w:val="23"/>
                <w:szCs w:val="23"/>
              </w:rPr>
            </w:pPr>
          </w:p>
        </w:tc>
        <w:tc>
          <w:tcPr>
            <w:tcW w:w="380" w:type="dxa"/>
            <w:vAlign w:val="bottom"/>
          </w:tcPr>
          <w:p w14:paraId="2819DCA7" w14:textId="77777777" w:rsidR="004647B9" w:rsidRDefault="004647B9">
            <w:pPr>
              <w:rPr>
                <w:sz w:val="23"/>
                <w:szCs w:val="23"/>
              </w:rPr>
            </w:pPr>
          </w:p>
        </w:tc>
      </w:tr>
      <w:tr w:rsidR="004647B9" w14:paraId="2819DCB5" w14:textId="77777777">
        <w:trPr>
          <w:trHeight w:val="332"/>
        </w:trPr>
        <w:tc>
          <w:tcPr>
            <w:tcW w:w="3480" w:type="dxa"/>
            <w:gridSpan w:val="3"/>
            <w:vAlign w:val="bottom"/>
          </w:tcPr>
          <w:p w14:paraId="2819DCA9" w14:textId="77777777" w:rsidR="004647B9" w:rsidRDefault="00E2436F">
            <w:pPr>
              <w:rPr>
                <w:sz w:val="20"/>
                <w:szCs w:val="20"/>
              </w:rPr>
            </w:pPr>
            <w:r>
              <w:rPr>
                <w:rFonts w:eastAsia="Times New Roman"/>
                <w:sz w:val="18"/>
                <w:szCs w:val="18"/>
              </w:rPr>
              <w:t>Automated ion selective electrode</w:t>
            </w:r>
          </w:p>
        </w:tc>
        <w:tc>
          <w:tcPr>
            <w:tcW w:w="300" w:type="dxa"/>
            <w:vAlign w:val="bottom"/>
          </w:tcPr>
          <w:p w14:paraId="2819DCAA" w14:textId="77777777" w:rsidR="004647B9" w:rsidRDefault="004647B9">
            <w:pPr>
              <w:rPr>
                <w:sz w:val="24"/>
                <w:szCs w:val="24"/>
              </w:rPr>
            </w:pPr>
          </w:p>
        </w:tc>
        <w:tc>
          <w:tcPr>
            <w:tcW w:w="380" w:type="dxa"/>
            <w:vAlign w:val="bottom"/>
          </w:tcPr>
          <w:p w14:paraId="2819DCAB" w14:textId="77777777" w:rsidR="004647B9" w:rsidRDefault="004647B9">
            <w:pPr>
              <w:rPr>
                <w:sz w:val="24"/>
                <w:szCs w:val="24"/>
              </w:rPr>
            </w:pPr>
          </w:p>
        </w:tc>
        <w:tc>
          <w:tcPr>
            <w:tcW w:w="320" w:type="dxa"/>
            <w:vAlign w:val="bottom"/>
          </w:tcPr>
          <w:p w14:paraId="2819DCAC" w14:textId="77777777" w:rsidR="004647B9" w:rsidRDefault="004647B9">
            <w:pPr>
              <w:rPr>
                <w:sz w:val="24"/>
                <w:szCs w:val="24"/>
              </w:rPr>
            </w:pPr>
          </w:p>
        </w:tc>
        <w:tc>
          <w:tcPr>
            <w:tcW w:w="520" w:type="dxa"/>
            <w:vAlign w:val="bottom"/>
          </w:tcPr>
          <w:p w14:paraId="2819DCAD" w14:textId="77777777" w:rsidR="004647B9" w:rsidRDefault="004647B9">
            <w:pPr>
              <w:rPr>
                <w:sz w:val="24"/>
                <w:szCs w:val="24"/>
              </w:rPr>
            </w:pPr>
          </w:p>
        </w:tc>
        <w:tc>
          <w:tcPr>
            <w:tcW w:w="620" w:type="dxa"/>
            <w:vAlign w:val="bottom"/>
          </w:tcPr>
          <w:p w14:paraId="2819DCAE" w14:textId="77777777" w:rsidR="004647B9" w:rsidRDefault="004647B9">
            <w:pPr>
              <w:rPr>
                <w:sz w:val="24"/>
                <w:szCs w:val="24"/>
              </w:rPr>
            </w:pPr>
          </w:p>
        </w:tc>
        <w:tc>
          <w:tcPr>
            <w:tcW w:w="560" w:type="dxa"/>
            <w:vAlign w:val="bottom"/>
          </w:tcPr>
          <w:p w14:paraId="2819DCAF" w14:textId="77777777" w:rsidR="004647B9" w:rsidRDefault="004647B9">
            <w:pPr>
              <w:rPr>
                <w:sz w:val="24"/>
                <w:szCs w:val="24"/>
              </w:rPr>
            </w:pPr>
          </w:p>
        </w:tc>
        <w:tc>
          <w:tcPr>
            <w:tcW w:w="580" w:type="dxa"/>
            <w:vAlign w:val="bottom"/>
          </w:tcPr>
          <w:p w14:paraId="2819DCB0" w14:textId="77777777" w:rsidR="004647B9" w:rsidRDefault="004647B9">
            <w:pPr>
              <w:rPr>
                <w:sz w:val="24"/>
                <w:szCs w:val="24"/>
              </w:rPr>
            </w:pPr>
          </w:p>
        </w:tc>
        <w:tc>
          <w:tcPr>
            <w:tcW w:w="280" w:type="dxa"/>
            <w:vAlign w:val="bottom"/>
          </w:tcPr>
          <w:p w14:paraId="2819DCB1" w14:textId="77777777" w:rsidR="004647B9" w:rsidRDefault="004647B9">
            <w:pPr>
              <w:rPr>
                <w:sz w:val="24"/>
                <w:szCs w:val="24"/>
              </w:rPr>
            </w:pPr>
          </w:p>
        </w:tc>
        <w:tc>
          <w:tcPr>
            <w:tcW w:w="540" w:type="dxa"/>
            <w:vAlign w:val="bottom"/>
          </w:tcPr>
          <w:p w14:paraId="2819DCB2" w14:textId="77777777" w:rsidR="004647B9" w:rsidRDefault="004647B9">
            <w:pPr>
              <w:rPr>
                <w:sz w:val="24"/>
                <w:szCs w:val="24"/>
              </w:rPr>
            </w:pPr>
          </w:p>
        </w:tc>
        <w:tc>
          <w:tcPr>
            <w:tcW w:w="1580" w:type="dxa"/>
            <w:vAlign w:val="bottom"/>
          </w:tcPr>
          <w:p w14:paraId="2819DCB3" w14:textId="77777777" w:rsidR="004647B9" w:rsidRDefault="004647B9">
            <w:pPr>
              <w:rPr>
                <w:sz w:val="24"/>
                <w:szCs w:val="24"/>
              </w:rPr>
            </w:pPr>
          </w:p>
        </w:tc>
        <w:tc>
          <w:tcPr>
            <w:tcW w:w="1400" w:type="dxa"/>
            <w:gridSpan w:val="3"/>
            <w:vAlign w:val="bottom"/>
          </w:tcPr>
          <w:p w14:paraId="2819DCB4" w14:textId="77777777" w:rsidR="004647B9" w:rsidRDefault="00E2436F">
            <w:pPr>
              <w:ind w:left="90"/>
              <w:jc w:val="center"/>
              <w:rPr>
                <w:sz w:val="20"/>
                <w:szCs w:val="20"/>
              </w:rPr>
            </w:pPr>
            <w:r>
              <w:rPr>
                <w:rFonts w:eastAsia="Times New Roman"/>
                <w:sz w:val="18"/>
                <w:szCs w:val="18"/>
              </w:rPr>
              <w:t>380-75W E</w:t>
            </w:r>
            <w:r>
              <w:rPr>
                <w:rFonts w:eastAsia="Times New Roman"/>
                <w:sz w:val="24"/>
                <w:szCs w:val="24"/>
                <w:vertAlign w:val="superscript"/>
              </w:rPr>
              <w:t>4</w:t>
            </w:r>
          </w:p>
        </w:tc>
      </w:tr>
      <w:tr w:rsidR="004647B9" w14:paraId="2819DCC2" w14:textId="77777777">
        <w:trPr>
          <w:trHeight w:val="331"/>
        </w:trPr>
        <w:tc>
          <w:tcPr>
            <w:tcW w:w="3480" w:type="dxa"/>
            <w:gridSpan w:val="3"/>
            <w:vAlign w:val="bottom"/>
          </w:tcPr>
          <w:p w14:paraId="2819DCB6" w14:textId="77777777" w:rsidR="004647B9" w:rsidRDefault="00E2436F">
            <w:pPr>
              <w:rPr>
                <w:sz w:val="20"/>
                <w:szCs w:val="20"/>
              </w:rPr>
            </w:pPr>
            <w:r>
              <w:rPr>
                <w:rFonts w:eastAsia="Times New Roman"/>
                <w:sz w:val="18"/>
                <w:szCs w:val="18"/>
              </w:rPr>
              <w:t>Capillary Ion Electrophoresis</w:t>
            </w:r>
          </w:p>
        </w:tc>
        <w:tc>
          <w:tcPr>
            <w:tcW w:w="300" w:type="dxa"/>
            <w:vAlign w:val="bottom"/>
          </w:tcPr>
          <w:p w14:paraId="2819DCB7" w14:textId="77777777" w:rsidR="004647B9" w:rsidRDefault="004647B9">
            <w:pPr>
              <w:rPr>
                <w:sz w:val="24"/>
                <w:szCs w:val="24"/>
              </w:rPr>
            </w:pPr>
          </w:p>
        </w:tc>
        <w:tc>
          <w:tcPr>
            <w:tcW w:w="380" w:type="dxa"/>
            <w:vAlign w:val="bottom"/>
          </w:tcPr>
          <w:p w14:paraId="2819DCB8" w14:textId="77777777" w:rsidR="004647B9" w:rsidRDefault="004647B9">
            <w:pPr>
              <w:rPr>
                <w:sz w:val="24"/>
                <w:szCs w:val="24"/>
              </w:rPr>
            </w:pPr>
          </w:p>
        </w:tc>
        <w:tc>
          <w:tcPr>
            <w:tcW w:w="320" w:type="dxa"/>
            <w:vAlign w:val="bottom"/>
          </w:tcPr>
          <w:p w14:paraId="2819DCB9" w14:textId="77777777" w:rsidR="004647B9" w:rsidRDefault="004647B9">
            <w:pPr>
              <w:rPr>
                <w:sz w:val="24"/>
                <w:szCs w:val="24"/>
              </w:rPr>
            </w:pPr>
          </w:p>
        </w:tc>
        <w:tc>
          <w:tcPr>
            <w:tcW w:w="520" w:type="dxa"/>
            <w:vAlign w:val="bottom"/>
          </w:tcPr>
          <w:p w14:paraId="2819DCBA" w14:textId="77777777" w:rsidR="004647B9" w:rsidRDefault="004647B9">
            <w:pPr>
              <w:rPr>
                <w:sz w:val="24"/>
                <w:szCs w:val="24"/>
              </w:rPr>
            </w:pPr>
          </w:p>
        </w:tc>
        <w:tc>
          <w:tcPr>
            <w:tcW w:w="620" w:type="dxa"/>
            <w:vAlign w:val="bottom"/>
          </w:tcPr>
          <w:p w14:paraId="2819DCBB" w14:textId="77777777" w:rsidR="004647B9" w:rsidRDefault="004647B9">
            <w:pPr>
              <w:rPr>
                <w:sz w:val="24"/>
                <w:szCs w:val="24"/>
              </w:rPr>
            </w:pPr>
          </w:p>
        </w:tc>
        <w:tc>
          <w:tcPr>
            <w:tcW w:w="560" w:type="dxa"/>
            <w:vAlign w:val="bottom"/>
          </w:tcPr>
          <w:p w14:paraId="2819DCBC" w14:textId="77777777" w:rsidR="004647B9" w:rsidRDefault="004647B9">
            <w:pPr>
              <w:rPr>
                <w:sz w:val="24"/>
                <w:szCs w:val="24"/>
              </w:rPr>
            </w:pPr>
          </w:p>
        </w:tc>
        <w:tc>
          <w:tcPr>
            <w:tcW w:w="580" w:type="dxa"/>
            <w:vAlign w:val="bottom"/>
          </w:tcPr>
          <w:p w14:paraId="2819DCBD" w14:textId="77777777" w:rsidR="004647B9" w:rsidRDefault="004647B9">
            <w:pPr>
              <w:rPr>
                <w:sz w:val="24"/>
                <w:szCs w:val="24"/>
              </w:rPr>
            </w:pPr>
          </w:p>
        </w:tc>
        <w:tc>
          <w:tcPr>
            <w:tcW w:w="280" w:type="dxa"/>
            <w:vAlign w:val="bottom"/>
          </w:tcPr>
          <w:p w14:paraId="2819DCBE" w14:textId="77777777" w:rsidR="004647B9" w:rsidRDefault="004647B9">
            <w:pPr>
              <w:rPr>
                <w:sz w:val="24"/>
                <w:szCs w:val="24"/>
              </w:rPr>
            </w:pPr>
          </w:p>
        </w:tc>
        <w:tc>
          <w:tcPr>
            <w:tcW w:w="540" w:type="dxa"/>
            <w:vAlign w:val="bottom"/>
          </w:tcPr>
          <w:p w14:paraId="2819DCBF" w14:textId="77777777" w:rsidR="004647B9" w:rsidRDefault="004647B9">
            <w:pPr>
              <w:rPr>
                <w:sz w:val="24"/>
                <w:szCs w:val="24"/>
              </w:rPr>
            </w:pPr>
          </w:p>
        </w:tc>
        <w:tc>
          <w:tcPr>
            <w:tcW w:w="1580" w:type="dxa"/>
            <w:vAlign w:val="bottom"/>
          </w:tcPr>
          <w:p w14:paraId="2819DCC0" w14:textId="77777777" w:rsidR="004647B9" w:rsidRDefault="004647B9">
            <w:pPr>
              <w:rPr>
                <w:sz w:val="24"/>
                <w:szCs w:val="24"/>
              </w:rPr>
            </w:pPr>
          </w:p>
        </w:tc>
        <w:tc>
          <w:tcPr>
            <w:tcW w:w="1400" w:type="dxa"/>
            <w:gridSpan w:val="3"/>
            <w:vAlign w:val="bottom"/>
          </w:tcPr>
          <w:p w14:paraId="2819DCC1" w14:textId="77777777" w:rsidR="004647B9" w:rsidRDefault="00E2436F">
            <w:pPr>
              <w:ind w:left="90"/>
              <w:jc w:val="center"/>
              <w:rPr>
                <w:sz w:val="20"/>
                <w:szCs w:val="20"/>
              </w:rPr>
            </w:pPr>
            <w:r>
              <w:rPr>
                <w:rFonts w:eastAsia="Times New Roman"/>
                <w:sz w:val="18"/>
                <w:szCs w:val="18"/>
              </w:rPr>
              <w:t>D6508, Rev. 2</w:t>
            </w:r>
            <w:r>
              <w:rPr>
                <w:rFonts w:eastAsia="Times New Roman"/>
                <w:sz w:val="24"/>
                <w:szCs w:val="24"/>
                <w:vertAlign w:val="superscript"/>
              </w:rPr>
              <w:t>7</w:t>
            </w:r>
          </w:p>
        </w:tc>
      </w:tr>
    </w:tbl>
    <w:p w14:paraId="2819DCC3" w14:textId="77777777" w:rsidR="004647B9" w:rsidRDefault="004647B9">
      <w:pPr>
        <w:spacing w:line="281" w:lineRule="exact"/>
        <w:rPr>
          <w:sz w:val="20"/>
          <w:szCs w:val="20"/>
        </w:rPr>
      </w:pPr>
    </w:p>
    <w:p w14:paraId="4966EFD6" w14:textId="77777777" w:rsidR="005548AD" w:rsidRDefault="00E2436F" w:rsidP="00563A54">
      <w:pPr>
        <w:numPr>
          <w:ilvl w:val="0"/>
          <w:numId w:val="135"/>
        </w:numPr>
        <w:tabs>
          <w:tab w:val="left" w:pos="302"/>
        </w:tabs>
        <w:ind w:left="302" w:right="480" w:hanging="301"/>
        <w:rPr>
          <w:rFonts w:eastAsia="Times New Roman"/>
          <w:sz w:val="24"/>
          <w:szCs w:val="24"/>
          <w:vertAlign w:val="superscript"/>
        </w:rPr>
      </w:pPr>
      <w:r w:rsidRPr="00607271">
        <w:rPr>
          <w:rFonts w:eastAsia="Times New Roman"/>
          <w:sz w:val="24"/>
          <w:szCs w:val="24"/>
        </w:rPr>
        <w:t>Annual Book of ASTM Standards, part 31 Water. American Society for Testing and Materials, 1916 Race Street, Philadelphia, Pennsylvania 19103.</w:t>
      </w:r>
    </w:p>
    <w:p w14:paraId="24E9E66C" w14:textId="77777777" w:rsidR="005548AD" w:rsidRPr="005548AD" w:rsidRDefault="00E2436F" w:rsidP="00563A54">
      <w:pPr>
        <w:numPr>
          <w:ilvl w:val="0"/>
          <w:numId w:val="135"/>
        </w:numPr>
        <w:tabs>
          <w:tab w:val="left" w:pos="302"/>
        </w:tabs>
        <w:ind w:left="302" w:right="480" w:hanging="301"/>
        <w:jc w:val="both"/>
        <w:rPr>
          <w:sz w:val="24"/>
          <w:szCs w:val="24"/>
        </w:rPr>
      </w:pPr>
      <w:r w:rsidRPr="005548AD">
        <w:rPr>
          <w:rFonts w:eastAsia="Times New Roman"/>
          <w:i/>
          <w:iCs/>
          <w:sz w:val="24"/>
          <w:szCs w:val="24"/>
        </w:rPr>
        <w:t>Standard Methods for the Examination of Water and Wastewater</w:t>
      </w:r>
      <w:r w:rsidRPr="005548AD">
        <w:rPr>
          <w:rFonts w:eastAsia="Times New Roman"/>
          <w:sz w:val="24"/>
          <w:szCs w:val="24"/>
        </w:rPr>
        <w:t>, 18</w:t>
      </w:r>
      <w:r w:rsidRPr="005548AD">
        <w:rPr>
          <w:rFonts w:eastAsia="Times New Roman"/>
          <w:sz w:val="24"/>
          <w:szCs w:val="24"/>
          <w:vertAlign w:val="superscript"/>
        </w:rPr>
        <w:t>th</w:t>
      </w:r>
      <w:r w:rsidRPr="005548AD">
        <w:rPr>
          <w:rFonts w:eastAsia="Times New Roman"/>
          <w:sz w:val="24"/>
          <w:szCs w:val="24"/>
        </w:rPr>
        <w:t>, 19</w:t>
      </w:r>
      <w:r w:rsidRPr="005548AD">
        <w:rPr>
          <w:rFonts w:eastAsia="Times New Roman"/>
          <w:sz w:val="24"/>
          <w:szCs w:val="24"/>
          <w:vertAlign w:val="superscript"/>
        </w:rPr>
        <w:t>th</w:t>
      </w:r>
      <w:r w:rsidRPr="005548AD">
        <w:rPr>
          <w:rFonts w:eastAsia="Times New Roman"/>
          <w:sz w:val="24"/>
          <w:szCs w:val="24"/>
        </w:rPr>
        <w:t>, and 20</w:t>
      </w:r>
      <w:r w:rsidRPr="005548AD">
        <w:rPr>
          <w:rFonts w:eastAsia="Times New Roman"/>
          <w:sz w:val="24"/>
          <w:szCs w:val="24"/>
          <w:vertAlign w:val="superscript"/>
        </w:rPr>
        <w:t>th</w:t>
      </w:r>
      <w:r w:rsidRPr="005548AD">
        <w:rPr>
          <w:rFonts w:eastAsia="Times New Roman"/>
          <w:i/>
          <w:iCs/>
          <w:sz w:val="24"/>
          <w:szCs w:val="24"/>
        </w:rPr>
        <w:t xml:space="preserve"> </w:t>
      </w:r>
      <w:r w:rsidRPr="005548AD">
        <w:rPr>
          <w:rFonts w:eastAsia="Times New Roman"/>
          <w:sz w:val="24"/>
          <w:szCs w:val="24"/>
        </w:rPr>
        <w:t>edition, American</w:t>
      </w:r>
      <w:r w:rsidR="006B643D" w:rsidRPr="005548AD">
        <w:rPr>
          <w:rFonts w:eastAsia="Times New Roman"/>
          <w:sz w:val="24"/>
          <w:szCs w:val="24"/>
        </w:rPr>
        <w:t xml:space="preserve"> </w:t>
      </w:r>
      <w:r w:rsidRPr="005548AD">
        <w:rPr>
          <w:rFonts w:eastAsia="Times New Roman"/>
          <w:sz w:val="24"/>
          <w:szCs w:val="24"/>
        </w:rPr>
        <w:t>Public Health Association, American Water Works Association, Water Pollution Control Federation, 1992, 1995, and 1998.</w:t>
      </w:r>
    </w:p>
    <w:p w14:paraId="54598137" w14:textId="77777777" w:rsidR="005548AD" w:rsidRPr="005548AD" w:rsidRDefault="00E2436F" w:rsidP="00563A54">
      <w:pPr>
        <w:numPr>
          <w:ilvl w:val="0"/>
          <w:numId w:val="135"/>
        </w:numPr>
        <w:tabs>
          <w:tab w:val="left" w:pos="302"/>
        </w:tabs>
        <w:ind w:left="302" w:right="480" w:hanging="301"/>
        <w:jc w:val="both"/>
        <w:rPr>
          <w:sz w:val="24"/>
          <w:szCs w:val="24"/>
        </w:rPr>
      </w:pPr>
      <w:r w:rsidRPr="005548AD">
        <w:rPr>
          <w:rFonts w:eastAsia="Times New Roman"/>
          <w:i/>
          <w:iCs/>
          <w:sz w:val="24"/>
          <w:szCs w:val="24"/>
        </w:rPr>
        <w:t>Fluoride in Water and Wastewater, Industrial Method # 129-71W</w:t>
      </w:r>
      <w:r w:rsidRPr="005548AD">
        <w:rPr>
          <w:rFonts w:eastAsia="Times New Roman"/>
          <w:sz w:val="24"/>
          <w:szCs w:val="24"/>
        </w:rPr>
        <w:t>. Technicon Industrial Systems.</w:t>
      </w:r>
      <w:r w:rsidRPr="005548AD">
        <w:rPr>
          <w:rFonts w:eastAsia="Times New Roman"/>
          <w:i/>
          <w:iCs/>
          <w:sz w:val="24"/>
          <w:szCs w:val="24"/>
        </w:rPr>
        <w:t xml:space="preserve"> </w:t>
      </w:r>
      <w:r w:rsidRPr="005548AD">
        <w:rPr>
          <w:rFonts w:eastAsia="Times New Roman"/>
          <w:sz w:val="24"/>
          <w:szCs w:val="24"/>
        </w:rPr>
        <w:t>December 1972. Copies may be obtained from Bran &amp; Luebbe, 1025 Busch Parkway, Buffalo Grove, IL 60089.</w:t>
      </w:r>
    </w:p>
    <w:p w14:paraId="6AF3C007" w14:textId="77777777" w:rsidR="005548AD" w:rsidRPr="005548AD" w:rsidRDefault="00E2436F" w:rsidP="00563A54">
      <w:pPr>
        <w:numPr>
          <w:ilvl w:val="0"/>
          <w:numId w:val="135"/>
        </w:numPr>
        <w:tabs>
          <w:tab w:val="left" w:pos="302"/>
        </w:tabs>
        <w:ind w:left="302" w:right="480" w:hanging="301"/>
        <w:jc w:val="both"/>
        <w:rPr>
          <w:sz w:val="24"/>
          <w:szCs w:val="24"/>
        </w:rPr>
      </w:pPr>
      <w:r w:rsidRPr="005548AD">
        <w:rPr>
          <w:rFonts w:eastAsia="Times New Roman"/>
          <w:i/>
          <w:iCs/>
          <w:sz w:val="24"/>
          <w:szCs w:val="24"/>
        </w:rPr>
        <w:t>Fluoride in Water and Wastewater</w:t>
      </w:r>
      <w:r w:rsidRPr="005548AD">
        <w:rPr>
          <w:rFonts w:eastAsia="Times New Roman"/>
          <w:sz w:val="24"/>
          <w:szCs w:val="24"/>
        </w:rPr>
        <w:t>, Technicon Industrial Systems. February 1976. Copies may be</w:t>
      </w:r>
      <w:r w:rsidRPr="005548AD">
        <w:rPr>
          <w:rFonts w:eastAsia="Times New Roman"/>
          <w:i/>
          <w:iCs/>
          <w:sz w:val="24"/>
          <w:szCs w:val="24"/>
        </w:rPr>
        <w:t xml:space="preserve"> </w:t>
      </w:r>
      <w:r w:rsidRPr="005548AD">
        <w:rPr>
          <w:rFonts w:eastAsia="Times New Roman"/>
          <w:sz w:val="24"/>
          <w:szCs w:val="24"/>
        </w:rPr>
        <w:t>obtained from Bran &amp; Luebbe, 1025 Busch Parkway, Buffalo Grove, IL 60089.</w:t>
      </w:r>
    </w:p>
    <w:p w14:paraId="67C93E19" w14:textId="77777777" w:rsidR="005548AD" w:rsidRPr="005548AD" w:rsidRDefault="00E2436F" w:rsidP="00563A54">
      <w:pPr>
        <w:numPr>
          <w:ilvl w:val="0"/>
          <w:numId w:val="135"/>
        </w:numPr>
        <w:tabs>
          <w:tab w:val="left" w:pos="302"/>
        </w:tabs>
        <w:ind w:left="302" w:right="480" w:hanging="301"/>
        <w:jc w:val="both"/>
        <w:rPr>
          <w:sz w:val="24"/>
          <w:szCs w:val="24"/>
        </w:rPr>
      </w:pPr>
      <w:r w:rsidRPr="005548AD">
        <w:rPr>
          <w:rFonts w:eastAsia="Times New Roman"/>
          <w:i/>
          <w:iCs/>
          <w:sz w:val="24"/>
          <w:szCs w:val="24"/>
        </w:rPr>
        <w:t>Methods for the Determination of Inorganic Substances in Environmental Samples</w:t>
      </w:r>
      <w:r w:rsidRPr="005548AD">
        <w:rPr>
          <w:rFonts w:eastAsia="Times New Roman"/>
          <w:sz w:val="24"/>
          <w:szCs w:val="24"/>
        </w:rPr>
        <w:t>, EPA-600/R-93/100,</w:t>
      </w:r>
      <w:r w:rsidRPr="005548AD">
        <w:rPr>
          <w:rFonts w:eastAsia="Times New Roman"/>
          <w:i/>
          <w:iCs/>
          <w:sz w:val="24"/>
          <w:szCs w:val="24"/>
        </w:rPr>
        <w:t xml:space="preserve"> </w:t>
      </w:r>
      <w:r w:rsidRPr="005548AD">
        <w:rPr>
          <w:rFonts w:eastAsia="Times New Roman"/>
          <w:sz w:val="24"/>
          <w:szCs w:val="24"/>
        </w:rPr>
        <w:t>August 1993. Available at NTIS, PB94-120821.</w:t>
      </w:r>
    </w:p>
    <w:p w14:paraId="2819DCDE" w14:textId="50585532" w:rsidR="004647B9" w:rsidRPr="005548AD" w:rsidRDefault="00E2436F" w:rsidP="00520DEB">
      <w:pPr>
        <w:numPr>
          <w:ilvl w:val="0"/>
          <w:numId w:val="135"/>
        </w:numPr>
        <w:tabs>
          <w:tab w:val="left" w:pos="630"/>
        </w:tabs>
        <w:ind w:left="302" w:right="480" w:hanging="302"/>
        <w:jc w:val="both"/>
        <w:rPr>
          <w:sz w:val="24"/>
          <w:szCs w:val="24"/>
        </w:rPr>
      </w:pPr>
      <w:r w:rsidRPr="005548AD">
        <w:rPr>
          <w:rFonts w:eastAsia="Times New Roman"/>
          <w:i/>
          <w:iCs/>
          <w:sz w:val="24"/>
          <w:szCs w:val="24"/>
        </w:rPr>
        <w:t>Methods for the Determination of Organic and Inorganic Compounds in Drinking Water</w:t>
      </w:r>
      <w:r w:rsidRPr="005548AD">
        <w:rPr>
          <w:rFonts w:eastAsia="Times New Roman"/>
          <w:sz w:val="24"/>
          <w:szCs w:val="24"/>
        </w:rPr>
        <w:t>, Vol.1, EPA 815-R-00-014, August 2000, Available at NTIS, PB2000-106981.</w:t>
      </w:r>
    </w:p>
    <w:p w14:paraId="2819DCDF" w14:textId="77777777" w:rsidR="004647B9" w:rsidRDefault="004647B9" w:rsidP="00520DEB">
      <w:pPr>
        <w:tabs>
          <w:tab w:val="left" w:pos="630"/>
        </w:tabs>
        <w:ind w:left="302" w:hanging="302"/>
        <w:sectPr w:rsidR="004647B9" w:rsidSect="00EF630C">
          <w:type w:val="continuous"/>
          <w:pgSz w:w="12240" w:h="20180"/>
          <w:pgMar w:top="708" w:right="960" w:bottom="1440" w:left="598" w:header="0" w:footer="0" w:gutter="0"/>
          <w:cols w:space="240"/>
        </w:sectPr>
      </w:pPr>
    </w:p>
    <w:p w14:paraId="2819DCE0" w14:textId="77777777" w:rsidR="004647B9" w:rsidRDefault="00E2436F">
      <w:pPr>
        <w:tabs>
          <w:tab w:val="left" w:pos="160"/>
        </w:tabs>
        <w:jc w:val="center"/>
        <w:rPr>
          <w:sz w:val="20"/>
          <w:szCs w:val="20"/>
        </w:rPr>
      </w:pPr>
      <w:bookmarkStart w:id="57" w:name="page58"/>
      <w:bookmarkEnd w:id="5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CE1" w14:textId="77777777" w:rsidR="004647B9" w:rsidRDefault="004647B9" w:rsidP="006929B3">
      <w:pPr>
        <w:rPr>
          <w:sz w:val="20"/>
          <w:szCs w:val="20"/>
        </w:rPr>
      </w:pPr>
    </w:p>
    <w:p w14:paraId="2819DCE2" w14:textId="77777777" w:rsidR="004647B9" w:rsidRDefault="004647B9" w:rsidP="006929B3">
      <w:pPr>
        <w:rPr>
          <w:sz w:val="20"/>
          <w:szCs w:val="20"/>
        </w:rPr>
      </w:pPr>
    </w:p>
    <w:p w14:paraId="2819DCE3"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CE4" w14:textId="77777777" w:rsidR="004647B9" w:rsidRDefault="004647B9" w:rsidP="006929B3">
      <w:pPr>
        <w:rPr>
          <w:sz w:val="20"/>
          <w:szCs w:val="20"/>
        </w:rPr>
      </w:pPr>
    </w:p>
    <w:p w14:paraId="2819DCE5" w14:textId="77777777" w:rsidR="004647B9" w:rsidRPr="005548AD" w:rsidRDefault="00E2436F" w:rsidP="00563A54">
      <w:pPr>
        <w:numPr>
          <w:ilvl w:val="0"/>
          <w:numId w:val="136"/>
        </w:numPr>
        <w:tabs>
          <w:tab w:val="left" w:pos="300"/>
        </w:tabs>
        <w:spacing w:line="237" w:lineRule="auto"/>
        <w:ind w:left="300" w:hanging="300"/>
        <w:jc w:val="both"/>
        <w:rPr>
          <w:rFonts w:eastAsia="Times New Roman"/>
          <w:sz w:val="24"/>
          <w:szCs w:val="24"/>
        </w:rPr>
      </w:pPr>
      <w:r>
        <w:rPr>
          <w:rFonts w:eastAsia="Times New Roman"/>
          <w:sz w:val="24"/>
          <w:szCs w:val="24"/>
        </w:rPr>
        <w:t xml:space="preserve">Method 6508, Rev.2, </w:t>
      </w:r>
      <w:r w:rsidRPr="005548AD">
        <w:rPr>
          <w:rFonts w:eastAsia="Times New Roman"/>
          <w:i/>
          <w:iCs/>
          <w:sz w:val="24"/>
          <w:szCs w:val="24"/>
        </w:rPr>
        <w:t>Test Method for Determination of Dissolved Inorganic Anions in Aqueous Matrices Using Capillary Ion Electrophoreses and Chromate Electrolyte</w:t>
      </w:r>
      <w:r>
        <w:rPr>
          <w:rFonts w:eastAsia="Times New Roman"/>
          <w:sz w:val="24"/>
          <w:szCs w:val="24"/>
        </w:rPr>
        <w:t>, available from Waters Corp., 34 Maple</w:t>
      </w:r>
      <w:r w:rsidRPr="005548AD">
        <w:rPr>
          <w:rFonts w:eastAsia="Times New Roman"/>
          <w:sz w:val="24"/>
          <w:szCs w:val="24"/>
        </w:rPr>
        <w:t xml:space="preserve"> </w:t>
      </w:r>
      <w:r>
        <w:rPr>
          <w:rFonts w:eastAsia="Times New Roman"/>
          <w:sz w:val="24"/>
          <w:szCs w:val="24"/>
        </w:rPr>
        <w:t>St., Milford, MA 01757, Telephone: 508/482-2131, Fax: 508/482-3625.</w:t>
      </w:r>
    </w:p>
    <w:p w14:paraId="2819DCE6" w14:textId="14819C27" w:rsidR="004647B9" w:rsidRDefault="00E2436F" w:rsidP="00563A54">
      <w:pPr>
        <w:numPr>
          <w:ilvl w:val="0"/>
          <w:numId w:val="136"/>
        </w:numPr>
        <w:tabs>
          <w:tab w:val="left" w:pos="300"/>
        </w:tabs>
        <w:spacing w:line="225" w:lineRule="auto"/>
        <w:ind w:left="300" w:hanging="300"/>
        <w:jc w:val="both"/>
        <w:rPr>
          <w:rFonts w:eastAsia="Times New Roman"/>
          <w:sz w:val="24"/>
          <w:szCs w:val="24"/>
        </w:rPr>
      </w:pPr>
      <w:r>
        <w:rPr>
          <w:rFonts w:eastAsia="Times New Roman"/>
          <w:sz w:val="24"/>
          <w:szCs w:val="24"/>
        </w:rPr>
        <w:t>Standard Methods Online. The year in which each method was approved by the Standard Methods Committee is designated by the last two digits in the method number. The methods listed are the only online versions that may be used.</w:t>
      </w:r>
    </w:p>
    <w:p w14:paraId="2819DCE8" w14:textId="24CC3BC7" w:rsidR="004647B9" w:rsidRPr="006929B3" w:rsidRDefault="004647B9" w:rsidP="00747BE7">
      <w:pPr>
        <w:rPr>
          <w:sz w:val="24"/>
          <w:szCs w:val="24"/>
        </w:rPr>
      </w:pPr>
    </w:p>
    <w:p w14:paraId="2819DCE9" w14:textId="77777777" w:rsidR="004647B9" w:rsidRDefault="00E2436F" w:rsidP="00563A54">
      <w:pPr>
        <w:numPr>
          <w:ilvl w:val="0"/>
          <w:numId w:val="137"/>
        </w:numPr>
        <w:tabs>
          <w:tab w:val="left" w:pos="2136"/>
        </w:tabs>
        <w:spacing w:line="245" w:lineRule="auto"/>
        <w:ind w:left="1560" w:hanging="5"/>
        <w:jc w:val="both"/>
        <w:rPr>
          <w:rFonts w:eastAsia="Times New Roman"/>
          <w:sz w:val="24"/>
          <w:szCs w:val="24"/>
        </w:rPr>
      </w:pPr>
      <w:r>
        <w:rPr>
          <w:rFonts w:eastAsia="Times New Roman"/>
          <w:sz w:val="24"/>
          <w:szCs w:val="24"/>
          <w:u w:val="single"/>
        </w:rPr>
        <w:t>Sample Collection Methods for IOCs</w:t>
      </w:r>
      <w:r>
        <w:rPr>
          <w:rFonts w:eastAsia="Times New Roman"/>
          <w:sz w:val="24"/>
          <w:szCs w:val="24"/>
        </w:rPr>
        <w:t>: Sample collection for antimony, arsenic, asbestos, barium, beryllium, cadmium, chromium, cyanide, fluoride, mercury, nickel, nitrate, nitrite, perchlorate, selenium and thallium under 310 CMR 22.06 shall be conducted using the sample preservation, container, and maximum holding time procedures specified in the table below:</w:t>
      </w:r>
    </w:p>
    <w:p w14:paraId="2819DCEA" w14:textId="77777777" w:rsidR="004647B9" w:rsidRPr="006929B3" w:rsidRDefault="004647B9" w:rsidP="006929B3">
      <w:pPr>
        <w:rPr>
          <w:sz w:val="24"/>
          <w:szCs w:val="24"/>
        </w:rPr>
      </w:pPr>
    </w:p>
    <w:tbl>
      <w:tblPr>
        <w:tblW w:w="0" w:type="auto"/>
        <w:tblInd w:w="720" w:type="dxa"/>
        <w:tblLayout w:type="fixed"/>
        <w:tblCellMar>
          <w:left w:w="0" w:type="dxa"/>
          <w:right w:w="0" w:type="dxa"/>
        </w:tblCellMar>
        <w:tblLook w:val="04A0" w:firstRow="1" w:lastRow="0" w:firstColumn="1" w:lastColumn="0" w:noHBand="0" w:noVBand="1"/>
      </w:tblPr>
      <w:tblGrid>
        <w:gridCol w:w="1240"/>
        <w:gridCol w:w="1200"/>
        <w:gridCol w:w="1200"/>
        <w:gridCol w:w="1700"/>
        <w:gridCol w:w="140"/>
        <w:gridCol w:w="940"/>
        <w:gridCol w:w="580"/>
        <w:gridCol w:w="520"/>
        <w:gridCol w:w="500"/>
        <w:gridCol w:w="560"/>
        <w:gridCol w:w="20"/>
      </w:tblGrid>
      <w:tr w:rsidR="004647B9" w14:paraId="2819DCF2" w14:textId="77777777">
        <w:trPr>
          <w:trHeight w:val="310"/>
        </w:trPr>
        <w:tc>
          <w:tcPr>
            <w:tcW w:w="2440" w:type="dxa"/>
            <w:gridSpan w:val="2"/>
            <w:vAlign w:val="bottom"/>
          </w:tcPr>
          <w:p w14:paraId="2819DCEB" w14:textId="77777777" w:rsidR="004647B9" w:rsidRDefault="00E2436F">
            <w:pPr>
              <w:rPr>
                <w:sz w:val="20"/>
                <w:szCs w:val="20"/>
              </w:rPr>
            </w:pPr>
            <w:r>
              <w:rPr>
                <w:rFonts w:eastAsia="Times New Roman"/>
                <w:sz w:val="24"/>
                <w:szCs w:val="24"/>
              </w:rPr>
              <w:t>Contaminant</w:t>
            </w:r>
          </w:p>
        </w:tc>
        <w:tc>
          <w:tcPr>
            <w:tcW w:w="2900" w:type="dxa"/>
            <w:gridSpan w:val="2"/>
            <w:vAlign w:val="bottom"/>
          </w:tcPr>
          <w:p w14:paraId="2819DCEC" w14:textId="77777777" w:rsidR="004647B9" w:rsidRDefault="00E2436F">
            <w:pPr>
              <w:rPr>
                <w:sz w:val="20"/>
                <w:szCs w:val="20"/>
              </w:rPr>
            </w:pPr>
            <w:r>
              <w:rPr>
                <w:rFonts w:eastAsia="Times New Roman"/>
                <w:sz w:val="24"/>
                <w:szCs w:val="24"/>
              </w:rPr>
              <w:t>Preservative</w:t>
            </w:r>
            <w:r>
              <w:rPr>
                <w:rFonts w:eastAsia="Times New Roman"/>
                <w:sz w:val="27"/>
                <w:szCs w:val="27"/>
                <w:vertAlign w:val="superscript"/>
              </w:rPr>
              <w:t>1</w:t>
            </w:r>
          </w:p>
        </w:tc>
        <w:tc>
          <w:tcPr>
            <w:tcW w:w="140" w:type="dxa"/>
            <w:vAlign w:val="bottom"/>
          </w:tcPr>
          <w:p w14:paraId="2819DCED" w14:textId="77777777" w:rsidR="004647B9" w:rsidRDefault="004647B9">
            <w:pPr>
              <w:rPr>
                <w:sz w:val="24"/>
                <w:szCs w:val="24"/>
              </w:rPr>
            </w:pPr>
          </w:p>
        </w:tc>
        <w:tc>
          <w:tcPr>
            <w:tcW w:w="1520" w:type="dxa"/>
            <w:gridSpan w:val="2"/>
            <w:vAlign w:val="bottom"/>
          </w:tcPr>
          <w:p w14:paraId="2819DCEE" w14:textId="77777777" w:rsidR="004647B9" w:rsidRDefault="00E2436F">
            <w:pPr>
              <w:rPr>
                <w:sz w:val="20"/>
                <w:szCs w:val="20"/>
              </w:rPr>
            </w:pPr>
            <w:r>
              <w:rPr>
                <w:rFonts w:eastAsia="Times New Roman"/>
                <w:sz w:val="24"/>
                <w:szCs w:val="24"/>
              </w:rPr>
              <w:t>Container</w:t>
            </w:r>
            <w:r>
              <w:rPr>
                <w:rFonts w:eastAsia="Times New Roman"/>
                <w:sz w:val="27"/>
                <w:szCs w:val="27"/>
                <w:vertAlign w:val="superscript"/>
              </w:rPr>
              <w:t>2</w:t>
            </w:r>
          </w:p>
        </w:tc>
        <w:tc>
          <w:tcPr>
            <w:tcW w:w="520" w:type="dxa"/>
            <w:vAlign w:val="bottom"/>
          </w:tcPr>
          <w:p w14:paraId="2819DCEF" w14:textId="77777777" w:rsidR="004647B9" w:rsidRDefault="004647B9">
            <w:pPr>
              <w:rPr>
                <w:sz w:val="24"/>
                <w:szCs w:val="24"/>
              </w:rPr>
            </w:pPr>
          </w:p>
        </w:tc>
        <w:tc>
          <w:tcPr>
            <w:tcW w:w="1060" w:type="dxa"/>
            <w:gridSpan w:val="2"/>
            <w:vAlign w:val="bottom"/>
          </w:tcPr>
          <w:p w14:paraId="2819DCF0" w14:textId="77777777" w:rsidR="004647B9" w:rsidRDefault="00E2436F">
            <w:pPr>
              <w:rPr>
                <w:sz w:val="20"/>
                <w:szCs w:val="20"/>
              </w:rPr>
            </w:pPr>
            <w:r>
              <w:rPr>
                <w:rFonts w:eastAsia="Times New Roman"/>
                <w:sz w:val="24"/>
                <w:szCs w:val="24"/>
              </w:rPr>
              <w:t>Time</w:t>
            </w:r>
            <w:r>
              <w:rPr>
                <w:rFonts w:eastAsia="Times New Roman"/>
                <w:sz w:val="27"/>
                <w:szCs w:val="27"/>
                <w:vertAlign w:val="superscript"/>
              </w:rPr>
              <w:t>3</w:t>
            </w:r>
          </w:p>
        </w:tc>
        <w:tc>
          <w:tcPr>
            <w:tcW w:w="0" w:type="dxa"/>
            <w:vAlign w:val="bottom"/>
          </w:tcPr>
          <w:p w14:paraId="2819DCF1" w14:textId="77777777" w:rsidR="004647B9" w:rsidRDefault="004647B9">
            <w:pPr>
              <w:rPr>
                <w:sz w:val="1"/>
                <w:szCs w:val="1"/>
              </w:rPr>
            </w:pPr>
          </w:p>
        </w:tc>
      </w:tr>
      <w:tr w:rsidR="004647B9" w14:paraId="2819DCFE" w14:textId="77777777">
        <w:trPr>
          <w:trHeight w:val="20"/>
        </w:trPr>
        <w:tc>
          <w:tcPr>
            <w:tcW w:w="1240" w:type="dxa"/>
            <w:tcBorders>
              <w:bottom w:val="single" w:sz="8" w:space="0" w:color="auto"/>
            </w:tcBorders>
            <w:shd w:val="clear" w:color="auto" w:fill="000000"/>
            <w:vAlign w:val="bottom"/>
          </w:tcPr>
          <w:p w14:paraId="2819DCF3" w14:textId="77777777" w:rsidR="004647B9" w:rsidRDefault="004647B9">
            <w:pPr>
              <w:spacing w:line="20" w:lineRule="exact"/>
              <w:rPr>
                <w:sz w:val="1"/>
                <w:szCs w:val="1"/>
              </w:rPr>
            </w:pPr>
          </w:p>
        </w:tc>
        <w:tc>
          <w:tcPr>
            <w:tcW w:w="1200" w:type="dxa"/>
            <w:vAlign w:val="bottom"/>
          </w:tcPr>
          <w:p w14:paraId="2819DCF4" w14:textId="77777777" w:rsidR="004647B9" w:rsidRDefault="004647B9">
            <w:pPr>
              <w:spacing w:line="20" w:lineRule="exact"/>
              <w:rPr>
                <w:sz w:val="1"/>
                <w:szCs w:val="1"/>
              </w:rPr>
            </w:pPr>
          </w:p>
        </w:tc>
        <w:tc>
          <w:tcPr>
            <w:tcW w:w="1200" w:type="dxa"/>
            <w:shd w:val="clear" w:color="auto" w:fill="000000"/>
            <w:vAlign w:val="bottom"/>
          </w:tcPr>
          <w:p w14:paraId="2819DCF5" w14:textId="77777777" w:rsidR="004647B9" w:rsidRDefault="004647B9">
            <w:pPr>
              <w:spacing w:line="20" w:lineRule="exact"/>
              <w:rPr>
                <w:sz w:val="1"/>
                <w:szCs w:val="1"/>
              </w:rPr>
            </w:pPr>
          </w:p>
        </w:tc>
        <w:tc>
          <w:tcPr>
            <w:tcW w:w="1700" w:type="dxa"/>
            <w:vAlign w:val="bottom"/>
          </w:tcPr>
          <w:p w14:paraId="2819DCF6" w14:textId="77777777" w:rsidR="004647B9" w:rsidRDefault="004647B9">
            <w:pPr>
              <w:spacing w:line="20" w:lineRule="exact"/>
              <w:rPr>
                <w:sz w:val="1"/>
                <w:szCs w:val="1"/>
              </w:rPr>
            </w:pPr>
          </w:p>
        </w:tc>
        <w:tc>
          <w:tcPr>
            <w:tcW w:w="140" w:type="dxa"/>
            <w:vMerge w:val="restart"/>
            <w:vAlign w:val="bottom"/>
          </w:tcPr>
          <w:p w14:paraId="2819DCF7" w14:textId="77777777" w:rsidR="004647B9" w:rsidRDefault="004647B9">
            <w:pPr>
              <w:spacing w:line="20" w:lineRule="exact"/>
              <w:rPr>
                <w:sz w:val="1"/>
                <w:szCs w:val="1"/>
              </w:rPr>
            </w:pPr>
          </w:p>
        </w:tc>
        <w:tc>
          <w:tcPr>
            <w:tcW w:w="940" w:type="dxa"/>
            <w:shd w:val="clear" w:color="auto" w:fill="000000"/>
            <w:vAlign w:val="bottom"/>
          </w:tcPr>
          <w:p w14:paraId="2819DCF8" w14:textId="77777777" w:rsidR="004647B9" w:rsidRDefault="004647B9">
            <w:pPr>
              <w:spacing w:line="20" w:lineRule="exact"/>
              <w:rPr>
                <w:sz w:val="1"/>
                <w:szCs w:val="1"/>
              </w:rPr>
            </w:pPr>
          </w:p>
        </w:tc>
        <w:tc>
          <w:tcPr>
            <w:tcW w:w="580" w:type="dxa"/>
            <w:vMerge w:val="restart"/>
            <w:vAlign w:val="bottom"/>
          </w:tcPr>
          <w:p w14:paraId="2819DCF9" w14:textId="77777777" w:rsidR="004647B9" w:rsidRDefault="004647B9">
            <w:pPr>
              <w:spacing w:line="20" w:lineRule="exact"/>
              <w:rPr>
                <w:sz w:val="1"/>
                <w:szCs w:val="1"/>
              </w:rPr>
            </w:pPr>
          </w:p>
        </w:tc>
        <w:tc>
          <w:tcPr>
            <w:tcW w:w="520" w:type="dxa"/>
            <w:vMerge w:val="restart"/>
            <w:vAlign w:val="bottom"/>
          </w:tcPr>
          <w:p w14:paraId="2819DCFA" w14:textId="77777777" w:rsidR="004647B9" w:rsidRDefault="004647B9">
            <w:pPr>
              <w:spacing w:line="20" w:lineRule="exact"/>
              <w:rPr>
                <w:sz w:val="1"/>
                <w:szCs w:val="1"/>
              </w:rPr>
            </w:pPr>
          </w:p>
        </w:tc>
        <w:tc>
          <w:tcPr>
            <w:tcW w:w="500" w:type="dxa"/>
            <w:shd w:val="clear" w:color="auto" w:fill="000000"/>
            <w:vAlign w:val="bottom"/>
          </w:tcPr>
          <w:p w14:paraId="2819DCFB" w14:textId="77777777" w:rsidR="004647B9" w:rsidRDefault="004647B9">
            <w:pPr>
              <w:spacing w:line="20" w:lineRule="exact"/>
              <w:rPr>
                <w:sz w:val="1"/>
                <w:szCs w:val="1"/>
              </w:rPr>
            </w:pPr>
          </w:p>
        </w:tc>
        <w:tc>
          <w:tcPr>
            <w:tcW w:w="560" w:type="dxa"/>
            <w:vMerge w:val="restart"/>
            <w:vAlign w:val="bottom"/>
          </w:tcPr>
          <w:p w14:paraId="2819DCFC" w14:textId="77777777" w:rsidR="004647B9" w:rsidRDefault="00E2436F">
            <w:pPr>
              <w:rPr>
                <w:sz w:val="20"/>
                <w:szCs w:val="20"/>
              </w:rPr>
            </w:pPr>
            <w:r>
              <w:rPr>
                <w:rFonts w:eastAsia="Times New Roman"/>
                <w:w w:val="76"/>
                <w:sz w:val="24"/>
                <w:szCs w:val="24"/>
              </w:rPr>
              <w:t>months</w:t>
            </w:r>
          </w:p>
        </w:tc>
        <w:tc>
          <w:tcPr>
            <w:tcW w:w="0" w:type="dxa"/>
            <w:vAlign w:val="bottom"/>
          </w:tcPr>
          <w:p w14:paraId="2819DCFD" w14:textId="77777777" w:rsidR="004647B9" w:rsidRDefault="004647B9">
            <w:pPr>
              <w:spacing w:line="20" w:lineRule="exact"/>
              <w:rPr>
                <w:sz w:val="1"/>
                <w:szCs w:val="1"/>
              </w:rPr>
            </w:pPr>
          </w:p>
        </w:tc>
      </w:tr>
      <w:tr w:rsidR="004647B9" w14:paraId="2819DD09" w14:textId="77777777">
        <w:trPr>
          <w:trHeight w:val="258"/>
        </w:trPr>
        <w:tc>
          <w:tcPr>
            <w:tcW w:w="1240" w:type="dxa"/>
            <w:vAlign w:val="bottom"/>
          </w:tcPr>
          <w:p w14:paraId="2819DCFF" w14:textId="77777777" w:rsidR="004647B9" w:rsidRDefault="00E2436F">
            <w:pPr>
              <w:spacing w:line="258" w:lineRule="exact"/>
              <w:rPr>
                <w:sz w:val="20"/>
                <w:szCs w:val="20"/>
              </w:rPr>
            </w:pPr>
            <w:r>
              <w:rPr>
                <w:rFonts w:eastAsia="Times New Roman"/>
                <w:sz w:val="24"/>
                <w:szCs w:val="24"/>
              </w:rPr>
              <w:t>Antimony</w:t>
            </w:r>
          </w:p>
        </w:tc>
        <w:tc>
          <w:tcPr>
            <w:tcW w:w="1200" w:type="dxa"/>
            <w:vAlign w:val="bottom"/>
          </w:tcPr>
          <w:p w14:paraId="2819DD00" w14:textId="77777777" w:rsidR="004647B9" w:rsidRDefault="004647B9"/>
        </w:tc>
        <w:tc>
          <w:tcPr>
            <w:tcW w:w="2900" w:type="dxa"/>
            <w:gridSpan w:val="2"/>
            <w:vAlign w:val="bottom"/>
          </w:tcPr>
          <w:p w14:paraId="2819DD01" w14:textId="77777777" w:rsidR="004647B9" w:rsidRDefault="00E2436F">
            <w:pPr>
              <w:spacing w:line="258" w:lineRule="exact"/>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Merge/>
            <w:vAlign w:val="bottom"/>
          </w:tcPr>
          <w:p w14:paraId="2819DD02" w14:textId="77777777" w:rsidR="004647B9" w:rsidRDefault="004647B9"/>
        </w:tc>
        <w:tc>
          <w:tcPr>
            <w:tcW w:w="940" w:type="dxa"/>
            <w:vAlign w:val="bottom"/>
          </w:tcPr>
          <w:p w14:paraId="2819DD03" w14:textId="77777777" w:rsidR="004647B9" w:rsidRDefault="00E2436F">
            <w:pPr>
              <w:spacing w:line="258" w:lineRule="exact"/>
              <w:rPr>
                <w:sz w:val="20"/>
                <w:szCs w:val="20"/>
              </w:rPr>
            </w:pPr>
            <w:r>
              <w:rPr>
                <w:rFonts w:eastAsia="Times New Roman"/>
                <w:sz w:val="24"/>
                <w:szCs w:val="24"/>
              </w:rPr>
              <w:t>P or G</w:t>
            </w:r>
          </w:p>
        </w:tc>
        <w:tc>
          <w:tcPr>
            <w:tcW w:w="580" w:type="dxa"/>
            <w:vMerge/>
            <w:vAlign w:val="bottom"/>
          </w:tcPr>
          <w:p w14:paraId="2819DD04" w14:textId="77777777" w:rsidR="004647B9" w:rsidRDefault="004647B9"/>
        </w:tc>
        <w:tc>
          <w:tcPr>
            <w:tcW w:w="520" w:type="dxa"/>
            <w:vMerge/>
            <w:vAlign w:val="bottom"/>
          </w:tcPr>
          <w:p w14:paraId="2819DD05" w14:textId="77777777" w:rsidR="004647B9" w:rsidRDefault="004647B9"/>
        </w:tc>
        <w:tc>
          <w:tcPr>
            <w:tcW w:w="500" w:type="dxa"/>
            <w:vAlign w:val="bottom"/>
          </w:tcPr>
          <w:p w14:paraId="2819DD06" w14:textId="77777777" w:rsidR="004647B9" w:rsidRDefault="00E2436F">
            <w:pPr>
              <w:spacing w:line="258" w:lineRule="exact"/>
              <w:rPr>
                <w:sz w:val="20"/>
                <w:szCs w:val="20"/>
              </w:rPr>
            </w:pPr>
            <w:r>
              <w:rPr>
                <w:rFonts w:eastAsia="Times New Roman"/>
                <w:sz w:val="24"/>
                <w:szCs w:val="24"/>
              </w:rPr>
              <w:t>six</w:t>
            </w:r>
          </w:p>
        </w:tc>
        <w:tc>
          <w:tcPr>
            <w:tcW w:w="560" w:type="dxa"/>
            <w:vMerge/>
            <w:vAlign w:val="bottom"/>
          </w:tcPr>
          <w:p w14:paraId="2819DD07" w14:textId="77777777" w:rsidR="004647B9" w:rsidRDefault="004647B9"/>
        </w:tc>
        <w:tc>
          <w:tcPr>
            <w:tcW w:w="0" w:type="dxa"/>
            <w:vAlign w:val="bottom"/>
          </w:tcPr>
          <w:p w14:paraId="2819DD08" w14:textId="77777777" w:rsidR="004647B9" w:rsidRDefault="004647B9">
            <w:pPr>
              <w:rPr>
                <w:sz w:val="1"/>
                <w:szCs w:val="1"/>
              </w:rPr>
            </w:pPr>
          </w:p>
        </w:tc>
      </w:tr>
      <w:tr w:rsidR="004647B9" w14:paraId="2819DD11" w14:textId="77777777">
        <w:trPr>
          <w:trHeight w:val="274"/>
        </w:trPr>
        <w:tc>
          <w:tcPr>
            <w:tcW w:w="2440" w:type="dxa"/>
            <w:gridSpan w:val="2"/>
            <w:vAlign w:val="bottom"/>
          </w:tcPr>
          <w:p w14:paraId="2819DD0A" w14:textId="77777777" w:rsidR="004647B9" w:rsidRDefault="00E2436F">
            <w:pPr>
              <w:spacing w:line="273" w:lineRule="exact"/>
              <w:rPr>
                <w:sz w:val="20"/>
                <w:szCs w:val="20"/>
              </w:rPr>
            </w:pPr>
            <w:r>
              <w:rPr>
                <w:rFonts w:eastAsia="Times New Roman"/>
                <w:sz w:val="24"/>
                <w:szCs w:val="24"/>
              </w:rPr>
              <w:t>Arsenic</w:t>
            </w:r>
          </w:p>
        </w:tc>
        <w:tc>
          <w:tcPr>
            <w:tcW w:w="2900" w:type="dxa"/>
            <w:gridSpan w:val="2"/>
            <w:vAlign w:val="bottom"/>
          </w:tcPr>
          <w:p w14:paraId="2819DD0B" w14:textId="77777777" w:rsidR="004647B9" w:rsidRDefault="00E2436F">
            <w:pPr>
              <w:spacing w:line="273" w:lineRule="exact"/>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Align w:val="bottom"/>
          </w:tcPr>
          <w:p w14:paraId="2819DD0C" w14:textId="77777777" w:rsidR="004647B9" w:rsidRDefault="004647B9">
            <w:pPr>
              <w:rPr>
                <w:sz w:val="23"/>
                <w:szCs w:val="23"/>
              </w:rPr>
            </w:pPr>
          </w:p>
        </w:tc>
        <w:tc>
          <w:tcPr>
            <w:tcW w:w="1520" w:type="dxa"/>
            <w:gridSpan w:val="2"/>
            <w:vAlign w:val="bottom"/>
          </w:tcPr>
          <w:p w14:paraId="2819DD0D" w14:textId="77777777" w:rsidR="004647B9" w:rsidRDefault="00E2436F">
            <w:pPr>
              <w:spacing w:line="273" w:lineRule="exact"/>
              <w:rPr>
                <w:sz w:val="20"/>
                <w:szCs w:val="20"/>
              </w:rPr>
            </w:pPr>
            <w:r>
              <w:rPr>
                <w:rFonts w:eastAsia="Times New Roman"/>
                <w:sz w:val="24"/>
                <w:szCs w:val="24"/>
              </w:rPr>
              <w:t>P or G</w:t>
            </w:r>
          </w:p>
        </w:tc>
        <w:tc>
          <w:tcPr>
            <w:tcW w:w="520" w:type="dxa"/>
            <w:vAlign w:val="bottom"/>
          </w:tcPr>
          <w:p w14:paraId="2819DD0E" w14:textId="77777777" w:rsidR="004647B9" w:rsidRDefault="004647B9">
            <w:pPr>
              <w:rPr>
                <w:sz w:val="23"/>
                <w:szCs w:val="23"/>
              </w:rPr>
            </w:pPr>
          </w:p>
        </w:tc>
        <w:tc>
          <w:tcPr>
            <w:tcW w:w="1060" w:type="dxa"/>
            <w:gridSpan w:val="2"/>
            <w:vAlign w:val="bottom"/>
          </w:tcPr>
          <w:p w14:paraId="2819DD0F" w14:textId="77777777" w:rsidR="004647B9" w:rsidRDefault="00E2436F">
            <w:pPr>
              <w:spacing w:line="273" w:lineRule="exact"/>
              <w:rPr>
                <w:sz w:val="20"/>
                <w:szCs w:val="20"/>
              </w:rPr>
            </w:pPr>
            <w:r>
              <w:rPr>
                <w:rFonts w:eastAsia="Times New Roman"/>
                <w:w w:val="99"/>
                <w:sz w:val="24"/>
                <w:szCs w:val="24"/>
              </w:rPr>
              <w:t>six months</w:t>
            </w:r>
          </w:p>
        </w:tc>
        <w:tc>
          <w:tcPr>
            <w:tcW w:w="0" w:type="dxa"/>
            <w:vAlign w:val="bottom"/>
          </w:tcPr>
          <w:p w14:paraId="2819DD10" w14:textId="77777777" w:rsidR="004647B9" w:rsidRDefault="004647B9">
            <w:pPr>
              <w:rPr>
                <w:sz w:val="1"/>
                <w:szCs w:val="1"/>
              </w:rPr>
            </w:pPr>
          </w:p>
        </w:tc>
      </w:tr>
      <w:tr w:rsidR="004647B9" w14:paraId="2819DD19" w14:textId="77777777">
        <w:trPr>
          <w:trHeight w:val="254"/>
        </w:trPr>
        <w:tc>
          <w:tcPr>
            <w:tcW w:w="2440" w:type="dxa"/>
            <w:gridSpan w:val="2"/>
            <w:vAlign w:val="bottom"/>
          </w:tcPr>
          <w:p w14:paraId="2819DD12" w14:textId="77777777" w:rsidR="004647B9" w:rsidRDefault="00E2436F">
            <w:pPr>
              <w:spacing w:line="253" w:lineRule="exact"/>
              <w:rPr>
                <w:sz w:val="20"/>
                <w:szCs w:val="20"/>
              </w:rPr>
            </w:pPr>
            <w:r>
              <w:rPr>
                <w:rFonts w:eastAsia="Times New Roman"/>
                <w:sz w:val="24"/>
                <w:szCs w:val="24"/>
              </w:rPr>
              <w:t>Asbestos</w:t>
            </w:r>
          </w:p>
        </w:tc>
        <w:tc>
          <w:tcPr>
            <w:tcW w:w="2900" w:type="dxa"/>
            <w:gridSpan w:val="2"/>
            <w:vAlign w:val="bottom"/>
          </w:tcPr>
          <w:p w14:paraId="2819DD13" w14:textId="77777777" w:rsidR="004647B9" w:rsidRDefault="00E2436F">
            <w:pPr>
              <w:spacing w:line="253" w:lineRule="exact"/>
              <w:rPr>
                <w:sz w:val="20"/>
                <w:szCs w:val="20"/>
              </w:rPr>
            </w:pPr>
            <w:r>
              <w:rPr>
                <w:rFonts w:eastAsia="Times New Roman"/>
                <w:sz w:val="24"/>
                <w:szCs w:val="24"/>
              </w:rPr>
              <w:t>Cool, 4°C</w:t>
            </w:r>
          </w:p>
        </w:tc>
        <w:tc>
          <w:tcPr>
            <w:tcW w:w="140" w:type="dxa"/>
            <w:vAlign w:val="bottom"/>
          </w:tcPr>
          <w:p w14:paraId="2819DD14" w14:textId="77777777" w:rsidR="004647B9" w:rsidRDefault="004647B9"/>
        </w:tc>
        <w:tc>
          <w:tcPr>
            <w:tcW w:w="1520" w:type="dxa"/>
            <w:gridSpan w:val="2"/>
            <w:vAlign w:val="bottom"/>
          </w:tcPr>
          <w:p w14:paraId="2819DD15" w14:textId="77777777" w:rsidR="004647B9" w:rsidRDefault="00E2436F">
            <w:pPr>
              <w:spacing w:line="253" w:lineRule="exact"/>
              <w:rPr>
                <w:sz w:val="20"/>
                <w:szCs w:val="20"/>
              </w:rPr>
            </w:pPr>
            <w:r>
              <w:rPr>
                <w:rFonts w:eastAsia="Times New Roman"/>
                <w:sz w:val="24"/>
                <w:szCs w:val="24"/>
              </w:rPr>
              <w:t>P or G</w:t>
            </w:r>
          </w:p>
        </w:tc>
        <w:tc>
          <w:tcPr>
            <w:tcW w:w="520" w:type="dxa"/>
            <w:vAlign w:val="bottom"/>
          </w:tcPr>
          <w:p w14:paraId="2819DD16" w14:textId="77777777" w:rsidR="004647B9" w:rsidRDefault="004647B9"/>
        </w:tc>
        <w:tc>
          <w:tcPr>
            <w:tcW w:w="1060" w:type="dxa"/>
            <w:gridSpan w:val="2"/>
            <w:vAlign w:val="bottom"/>
          </w:tcPr>
          <w:p w14:paraId="2819DD17" w14:textId="77777777" w:rsidR="004647B9" w:rsidRDefault="00E2436F">
            <w:pPr>
              <w:spacing w:line="253" w:lineRule="exact"/>
              <w:rPr>
                <w:sz w:val="20"/>
                <w:szCs w:val="20"/>
              </w:rPr>
            </w:pPr>
            <w:r>
              <w:rPr>
                <w:rFonts w:eastAsia="Times New Roman"/>
                <w:sz w:val="24"/>
                <w:szCs w:val="24"/>
              </w:rPr>
              <w:t>48 hours</w:t>
            </w:r>
          </w:p>
        </w:tc>
        <w:tc>
          <w:tcPr>
            <w:tcW w:w="0" w:type="dxa"/>
            <w:vAlign w:val="bottom"/>
          </w:tcPr>
          <w:p w14:paraId="2819DD18" w14:textId="77777777" w:rsidR="004647B9" w:rsidRDefault="004647B9">
            <w:pPr>
              <w:rPr>
                <w:sz w:val="1"/>
                <w:szCs w:val="1"/>
              </w:rPr>
            </w:pPr>
          </w:p>
        </w:tc>
      </w:tr>
      <w:tr w:rsidR="004647B9" w14:paraId="2819DD21" w14:textId="77777777">
        <w:trPr>
          <w:trHeight w:val="293"/>
        </w:trPr>
        <w:tc>
          <w:tcPr>
            <w:tcW w:w="2440" w:type="dxa"/>
            <w:gridSpan w:val="2"/>
            <w:vAlign w:val="bottom"/>
          </w:tcPr>
          <w:p w14:paraId="2819DD1A" w14:textId="77777777" w:rsidR="004647B9" w:rsidRDefault="00E2436F">
            <w:pPr>
              <w:rPr>
                <w:sz w:val="20"/>
                <w:szCs w:val="20"/>
              </w:rPr>
            </w:pPr>
            <w:r>
              <w:rPr>
                <w:rFonts w:eastAsia="Times New Roman"/>
                <w:sz w:val="24"/>
                <w:szCs w:val="24"/>
              </w:rPr>
              <w:t>Barium</w:t>
            </w:r>
          </w:p>
        </w:tc>
        <w:tc>
          <w:tcPr>
            <w:tcW w:w="2900" w:type="dxa"/>
            <w:gridSpan w:val="2"/>
            <w:vAlign w:val="bottom"/>
          </w:tcPr>
          <w:p w14:paraId="2819DD1B" w14:textId="77777777" w:rsidR="004647B9" w:rsidRDefault="00E2436F">
            <w:pPr>
              <w:spacing w:line="293" w:lineRule="exact"/>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Align w:val="bottom"/>
          </w:tcPr>
          <w:p w14:paraId="2819DD1C" w14:textId="77777777" w:rsidR="004647B9" w:rsidRDefault="004647B9">
            <w:pPr>
              <w:rPr>
                <w:sz w:val="24"/>
                <w:szCs w:val="24"/>
              </w:rPr>
            </w:pPr>
          </w:p>
        </w:tc>
        <w:tc>
          <w:tcPr>
            <w:tcW w:w="1520" w:type="dxa"/>
            <w:gridSpan w:val="2"/>
            <w:vAlign w:val="bottom"/>
          </w:tcPr>
          <w:p w14:paraId="2819DD1D" w14:textId="77777777" w:rsidR="004647B9" w:rsidRDefault="00E2436F">
            <w:pPr>
              <w:rPr>
                <w:sz w:val="20"/>
                <w:szCs w:val="20"/>
              </w:rPr>
            </w:pPr>
            <w:r>
              <w:rPr>
                <w:rFonts w:eastAsia="Times New Roman"/>
                <w:sz w:val="24"/>
                <w:szCs w:val="24"/>
              </w:rPr>
              <w:t>P or G</w:t>
            </w:r>
          </w:p>
        </w:tc>
        <w:tc>
          <w:tcPr>
            <w:tcW w:w="520" w:type="dxa"/>
            <w:vAlign w:val="bottom"/>
          </w:tcPr>
          <w:p w14:paraId="2819DD1E" w14:textId="77777777" w:rsidR="004647B9" w:rsidRDefault="004647B9">
            <w:pPr>
              <w:rPr>
                <w:sz w:val="24"/>
                <w:szCs w:val="24"/>
              </w:rPr>
            </w:pPr>
          </w:p>
        </w:tc>
        <w:tc>
          <w:tcPr>
            <w:tcW w:w="1060" w:type="dxa"/>
            <w:gridSpan w:val="2"/>
            <w:vAlign w:val="bottom"/>
          </w:tcPr>
          <w:p w14:paraId="2819DD1F" w14:textId="77777777" w:rsidR="004647B9" w:rsidRDefault="00E2436F">
            <w:pPr>
              <w:rPr>
                <w:sz w:val="20"/>
                <w:szCs w:val="20"/>
              </w:rPr>
            </w:pPr>
            <w:r>
              <w:rPr>
                <w:rFonts w:eastAsia="Times New Roman"/>
                <w:w w:val="99"/>
                <w:sz w:val="24"/>
                <w:szCs w:val="24"/>
              </w:rPr>
              <w:t>six months</w:t>
            </w:r>
          </w:p>
        </w:tc>
        <w:tc>
          <w:tcPr>
            <w:tcW w:w="0" w:type="dxa"/>
            <w:vAlign w:val="bottom"/>
          </w:tcPr>
          <w:p w14:paraId="2819DD20" w14:textId="77777777" w:rsidR="004647B9" w:rsidRDefault="004647B9">
            <w:pPr>
              <w:rPr>
                <w:sz w:val="1"/>
                <w:szCs w:val="1"/>
              </w:rPr>
            </w:pPr>
          </w:p>
        </w:tc>
      </w:tr>
      <w:tr w:rsidR="004647B9" w14:paraId="2819DD29" w14:textId="77777777">
        <w:trPr>
          <w:trHeight w:val="274"/>
        </w:trPr>
        <w:tc>
          <w:tcPr>
            <w:tcW w:w="2440" w:type="dxa"/>
            <w:gridSpan w:val="2"/>
            <w:vAlign w:val="bottom"/>
          </w:tcPr>
          <w:p w14:paraId="2819DD22" w14:textId="77777777" w:rsidR="004647B9" w:rsidRDefault="00E2436F">
            <w:pPr>
              <w:spacing w:line="273" w:lineRule="exact"/>
              <w:rPr>
                <w:sz w:val="20"/>
                <w:szCs w:val="20"/>
              </w:rPr>
            </w:pPr>
            <w:r>
              <w:rPr>
                <w:rFonts w:eastAsia="Times New Roman"/>
                <w:sz w:val="24"/>
                <w:szCs w:val="24"/>
              </w:rPr>
              <w:t>Beryllium</w:t>
            </w:r>
          </w:p>
        </w:tc>
        <w:tc>
          <w:tcPr>
            <w:tcW w:w="2900" w:type="dxa"/>
            <w:gridSpan w:val="2"/>
            <w:vAlign w:val="bottom"/>
          </w:tcPr>
          <w:p w14:paraId="2819DD23" w14:textId="77777777" w:rsidR="004647B9" w:rsidRDefault="00E2436F">
            <w:pPr>
              <w:spacing w:line="273" w:lineRule="exact"/>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Align w:val="bottom"/>
          </w:tcPr>
          <w:p w14:paraId="2819DD24" w14:textId="77777777" w:rsidR="004647B9" w:rsidRDefault="004647B9">
            <w:pPr>
              <w:rPr>
                <w:sz w:val="23"/>
                <w:szCs w:val="23"/>
              </w:rPr>
            </w:pPr>
          </w:p>
        </w:tc>
        <w:tc>
          <w:tcPr>
            <w:tcW w:w="1520" w:type="dxa"/>
            <w:gridSpan w:val="2"/>
            <w:vAlign w:val="bottom"/>
          </w:tcPr>
          <w:p w14:paraId="2819DD25" w14:textId="77777777" w:rsidR="004647B9" w:rsidRDefault="00E2436F">
            <w:pPr>
              <w:spacing w:line="273" w:lineRule="exact"/>
              <w:rPr>
                <w:sz w:val="20"/>
                <w:szCs w:val="20"/>
              </w:rPr>
            </w:pPr>
            <w:r>
              <w:rPr>
                <w:rFonts w:eastAsia="Times New Roman"/>
                <w:sz w:val="24"/>
                <w:szCs w:val="24"/>
              </w:rPr>
              <w:t>P or G</w:t>
            </w:r>
          </w:p>
        </w:tc>
        <w:tc>
          <w:tcPr>
            <w:tcW w:w="520" w:type="dxa"/>
            <w:vAlign w:val="bottom"/>
          </w:tcPr>
          <w:p w14:paraId="2819DD26" w14:textId="77777777" w:rsidR="004647B9" w:rsidRDefault="004647B9">
            <w:pPr>
              <w:rPr>
                <w:sz w:val="23"/>
                <w:szCs w:val="23"/>
              </w:rPr>
            </w:pPr>
          </w:p>
        </w:tc>
        <w:tc>
          <w:tcPr>
            <w:tcW w:w="1060" w:type="dxa"/>
            <w:gridSpan w:val="2"/>
            <w:vAlign w:val="bottom"/>
          </w:tcPr>
          <w:p w14:paraId="2819DD27" w14:textId="77777777" w:rsidR="004647B9" w:rsidRDefault="00E2436F">
            <w:pPr>
              <w:spacing w:line="273" w:lineRule="exact"/>
              <w:rPr>
                <w:sz w:val="20"/>
                <w:szCs w:val="20"/>
              </w:rPr>
            </w:pPr>
            <w:r>
              <w:rPr>
                <w:rFonts w:eastAsia="Times New Roman"/>
                <w:w w:val="99"/>
                <w:sz w:val="24"/>
                <w:szCs w:val="24"/>
              </w:rPr>
              <w:t>six months</w:t>
            </w:r>
          </w:p>
        </w:tc>
        <w:tc>
          <w:tcPr>
            <w:tcW w:w="0" w:type="dxa"/>
            <w:vAlign w:val="bottom"/>
          </w:tcPr>
          <w:p w14:paraId="2819DD28" w14:textId="77777777" w:rsidR="004647B9" w:rsidRDefault="004647B9">
            <w:pPr>
              <w:rPr>
                <w:sz w:val="1"/>
                <w:szCs w:val="1"/>
              </w:rPr>
            </w:pPr>
          </w:p>
        </w:tc>
      </w:tr>
      <w:tr w:rsidR="004647B9" w14:paraId="2819DD31" w14:textId="77777777">
        <w:trPr>
          <w:trHeight w:val="274"/>
        </w:trPr>
        <w:tc>
          <w:tcPr>
            <w:tcW w:w="2440" w:type="dxa"/>
            <w:gridSpan w:val="2"/>
            <w:vAlign w:val="bottom"/>
          </w:tcPr>
          <w:p w14:paraId="2819DD2A" w14:textId="77777777" w:rsidR="004647B9" w:rsidRDefault="00E2436F">
            <w:pPr>
              <w:spacing w:line="273" w:lineRule="exact"/>
              <w:rPr>
                <w:sz w:val="20"/>
                <w:szCs w:val="20"/>
              </w:rPr>
            </w:pPr>
            <w:r>
              <w:rPr>
                <w:rFonts w:eastAsia="Times New Roman"/>
                <w:sz w:val="24"/>
                <w:szCs w:val="24"/>
              </w:rPr>
              <w:t>Cadmium</w:t>
            </w:r>
          </w:p>
        </w:tc>
        <w:tc>
          <w:tcPr>
            <w:tcW w:w="2900" w:type="dxa"/>
            <w:gridSpan w:val="2"/>
            <w:vAlign w:val="bottom"/>
          </w:tcPr>
          <w:p w14:paraId="2819DD2B" w14:textId="77777777" w:rsidR="004647B9" w:rsidRDefault="00E2436F">
            <w:pPr>
              <w:spacing w:line="273" w:lineRule="exact"/>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Align w:val="bottom"/>
          </w:tcPr>
          <w:p w14:paraId="2819DD2C" w14:textId="77777777" w:rsidR="004647B9" w:rsidRDefault="004647B9">
            <w:pPr>
              <w:rPr>
                <w:sz w:val="23"/>
                <w:szCs w:val="23"/>
              </w:rPr>
            </w:pPr>
          </w:p>
        </w:tc>
        <w:tc>
          <w:tcPr>
            <w:tcW w:w="1520" w:type="dxa"/>
            <w:gridSpan w:val="2"/>
            <w:vAlign w:val="bottom"/>
          </w:tcPr>
          <w:p w14:paraId="2819DD2D" w14:textId="77777777" w:rsidR="004647B9" w:rsidRDefault="00E2436F">
            <w:pPr>
              <w:spacing w:line="273" w:lineRule="exact"/>
              <w:rPr>
                <w:sz w:val="20"/>
                <w:szCs w:val="20"/>
              </w:rPr>
            </w:pPr>
            <w:r>
              <w:rPr>
                <w:rFonts w:eastAsia="Times New Roman"/>
                <w:sz w:val="24"/>
                <w:szCs w:val="24"/>
              </w:rPr>
              <w:t>P or G</w:t>
            </w:r>
          </w:p>
        </w:tc>
        <w:tc>
          <w:tcPr>
            <w:tcW w:w="520" w:type="dxa"/>
            <w:vAlign w:val="bottom"/>
          </w:tcPr>
          <w:p w14:paraId="2819DD2E" w14:textId="77777777" w:rsidR="004647B9" w:rsidRDefault="004647B9">
            <w:pPr>
              <w:rPr>
                <w:sz w:val="23"/>
                <w:szCs w:val="23"/>
              </w:rPr>
            </w:pPr>
          </w:p>
        </w:tc>
        <w:tc>
          <w:tcPr>
            <w:tcW w:w="1060" w:type="dxa"/>
            <w:gridSpan w:val="2"/>
            <w:vAlign w:val="bottom"/>
          </w:tcPr>
          <w:p w14:paraId="2819DD2F" w14:textId="77777777" w:rsidR="004647B9" w:rsidRDefault="00E2436F">
            <w:pPr>
              <w:spacing w:line="273" w:lineRule="exact"/>
              <w:rPr>
                <w:sz w:val="20"/>
                <w:szCs w:val="20"/>
              </w:rPr>
            </w:pPr>
            <w:r>
              <w:rPr>
                <w:rFonts w:eastAsia="Times New Roman"/>
                <w:w w:val="99"/>
                <w:sz w:val="24"/>
                <w:szCs w:val="24"/>
              </w:rPr>
              <w:t>six months</w:t>
            </w:r>
          </w:p>
        </w:tc>
        <w:tc>
          <w:tcPr>
            <w:tcW w:w="0" w:type="dxa"/>
            <w:vAlign w:val="bottom"/>
          </w:tcPr>
          <w:p w14:paraId="2819DD30" w14:textId="77777777" w:rsidR="004647B9" w:rsidRDefault="004647B9">
            <w:pPr>
              <w:rPr>
                <w:sz w:val="1"/>
                <w:szCs w:val="1"/>
              </w:rPr>
            </w:pPr>
          </w:p>
        </w:tc>
      </w:tr>
      <w:tr w:rsidR="004647B9" w14:paraId="2819DD39" w14:textId="77777777">
        <w:trPr>
          <w:trHeight w:val="274"/>
        </w:trPr>
        <w:tc>
          <w:tcPr>
            <w:tcW w:w="2440" w:type="dxa"/>
            <w:gridSpan w:val="2"/>
            <w:vAlign w:val="bottom"/>
          </w:tcPr>
          <w:p w14:paraId="2819DD32" w14:textId="77777777" w:rsidR="004647B9" w:rsidRDefault="00E2436F">
            <w:pPr>
              <w:spacing w:line="273" w:lineRule="exact"/>
              <w:rPr>
                <w:sz w:val="20"/>
                <w:szCs w:val="20"/>
              </w:rPr>
            </w:pPr>
            <w:r>
              <w:rPr>
                <w:rFonts w:eastAsia="Times New Roman"/>
                <w:sz w:val="24"/>
                <w:szCs w:val="24"/>
              </w:rPr>
              <w:t>Chromium</w:t>
            </w:r>
          </w:p>
        </w:tc>
        <w:tc>
          <w:tcPr>
            <w:tcW w:w="2900" w:type="dxa"/>
            <w:gridSpan w:val="2"/>
            <w:vAlign w:val="bottom"/>
          </w:tcPr>
          <w:p w14:paraId="2819DD33" w14:textId="77777777" w:rsidR="004647B9" w:rsidRDefault="00E2436F">
            <w:pPr>
              <w:spacing w:line="273" w:lineRule="exact"/>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Align w:val="bottom"/>
          </w:tcPr>
          <w:p w14:paraId="2819DD34" w14:textId="77777777" w:rsidR="004647B9" w:rsidRDefault="004647B9">
            <w:pPr>
              <w:rPr>
                <w:sz w:val="23"/>
                <w:szCs w:val="23"/>
              </w:rPr>
            </w:pPr>
          </w:p>
        </w:tc>
        <w:tc>
          <w:tcPr>
            <w:tcW w:w="1520" w:type="dxa"/>
            <w:gridSpan w:val="2"/>
            <w:vAlign w:val="bottom"/>
          </w:tcPr>
          <w:p w14:paraId="2819DD35" w14:textId="77777777" w:rsidR="004647B9" w:rsidRDefault="00E2436F">
            <w:pPr>
              <w:spacing w:line="273" w:lineRule="exact"/>
              <w:rPr>
                <w:sz w:val="20"/>
                <w:szCs w:val="20"/>
              </w:rPr>
            </w:pPr>
            <w:r>
              <w:rPr>
                <w:rFonts w:eastAsia="Times New Roman"/>
                <w:sz w:val="24"/>
                <w:szCs w:val="24"/>
              </w:rPr>
              <w:t>P or G</w:t>
            </w:r>
          </w:p>
        </w:tc>
        <w:tc>
          <w:tcPr>
            <w:tcW w:w="520" w:type="dxa"/>
            <w:vAlign w:val="bottom"/>
          </w:tcPr>
          <w:p w14:paraId="2819DD36" w14:textId="77777777" w:rsidR="004647B9" w:rsidRDefault="004647B9">
            <w:pPr>
              <w:rPr>
                <w:sz w:val="23"/>
                <w:szCs w:val="23"/>
              </w:rPr>
            </w:pPr>
          </w:p>
        </w:tc>
        <w:tc>
          <w:tcPr>
            <w:tcW w:w="1060" w:type="dxa"/>
            <w:gridSpan w:val="2"/>
            <w:vAlign w:val="bottom"/>
          </w:tcPr>
          <w:p w14:paraId="2819DD37" w14:textId="77777777" w:rsidR="004647B9" w:rsidRDefault="00E2436F">
            <w:pPr>
              <w:spacing w:line="273" w:lineRule="exact"/>
              <w:rPr>
                <w:sz w:val="20"/>
                <w:szCs w:val="20"/>
              </w:rPr>
            </w:pPr>
            <w:r>
              <w:rPr>
                <w:rFonts w:eastAsia="Times New Roman"/>
                <w:w w:val="99"/>
                <w:sz w:val="24"/>
                <w:szCs w:val="24"/>
              </w:rPr>
              <w:t>six months</w:t>
            </w:r>
          </w:p>
        </w:tc>
        <w:tc>
          <w:tcPr>
            <w:tcW w:w="0" w:type="dxa"/>
            <w:vAlign w:val="bottom"/>
          </w:tcPr>
          <w:p w14:paraId="2819DD38" w14:textId="77777777" w:rsidR="004647B9" w:rsidRDefault="004647B9">
            <w:pPr>
              <w:rPr>
                <w:sz w:val="1"/>
                <w:szCs w:val="1"/>
              </w:rPr>
            </w:pPr>
          </w:p>
        </w:tc>
      </w:tr>
      <w:tr w:rsidR="004647B9" w14:paraId="2819DD3F" w14:textId="77777777">
        <w:trPr>
          <w:trHeight w:val="254"/>
        </w:trPr>
        <w:tc>
          <w:tcPr>
            <w:tcW w:w="2440" w:type="dxa"/>
            <w:gridSpan w:val="2"/>
            <w:vAlign w:val="bottom"/>
          </w:tcPr>
          <w:p w14:paraId="2819DD3A" w14:textId="77777777" w:rsidR="004647B9" w:rsidRDefault="00E2436F">
            <w:pPr>
              <w:spacing w:line="253" w:lineRule="exact"/>
              <w:rPr>
                <w:sz w:val="20"/>
                <w:szCs w:val="20"/>
              </w:rPr>
            </w:pPr>
            <w:r>
              <w:rPr>
                <w:rFonts w:eastAsia="Times New Roman"/>
                <w:sz w:val="24"/>
                <w:szCs w:val="24"/>
              </w:rPr>
              <w:t>Cyanide</w:t>
            </w:r>
          </w:p>
        </w:tc>
        <w:tc>
          <w:tcPr>
            <w:tcW w:w="2900" w:type="dxa"/>
            <w:gridSpan w:val="2"/>
            <w:vAlign w:val="bottom"/>
          </w:tcPr>
          <w:p w14:paraId="2819DD3B" w14:textId="77777777" w:rsidR="004647B9" w:rsidRDefault="00E2436F">
            <w:pPr>
              <w:spacing w:line="254" w:lineRule="exact"/>
              <w:rPr>
                <w:sz w:val="20"/>
                <w:szCs w:val="20"/>
              </w:rPr>
            </w:pPr>
            <w:r>
              <w:rPr>
                <w:rFonts w:eastAsia="Times New Roman"/>
                <w:sz w:val="24"/>
                <w:szCs w:val="24"/>
              </w:rPr>
              <w:t>Cool,4°C, NAOH to pH&gt;12</w:t>
            </w:r>
            <w:r>
              <w:rPr>
                <w:rFonts w:eastAsia="Times New Roman"/>
                <w:sz w:val="27"/>
                <w:szCs w:val="27"/>
                <w:vertAlign w:val="superscript"/>
              </w:rPr>
              <w:t>4</w:t>
            </w:r>
          </w:p>
        </w:tc>
        <w:tc>
          <w:tcPr>
            <w:tcW w:w="1660" w:type="dxa"/>
            <w:gridSpan w:val="3"/>
            <w:vAlign w:val="bottom"/>
          </w:tcPr>
          <w:p w14:paraId="2819DD3C" w14:textId="77777777" w:rsidR="004647B9" w:rsidRDefault="00E2436F">
            <w:pPr>
              <w:spacing w:line="253" w:lineRule="exact"/>
              <w:ind w:left="120"/>
              <w:rPr>
                <w:sz w:val="20"/>
                <w:szCs w:val="20"/>
              </w:rPr>
            </w:pPr>
            <w:r>
              <w:rPr>
                <w:rFonts w:eastAsia="Times New Roman"/>
                <w:sz w:val="24"/>
                <w:szCs w:val="24"/>
              </w:rPr>
              <w:t>P or G</w:t>
            </w:r>
          </w:p>
        </w:tc>
        <w:tc>
          <w:tcPr>
            <w:tcW w:w="1580" w:type="dxa"/>
            <w:gridSpan w:val="3"/>
            <w:vAlign w:val="bottom"/>
          </w:tcPr>
          <w:p w14:paraId="2819DD3D" w14:textId="77777777" w:rsidR="004647B9" w:rsidRDefault="00E2436F">
            <w:pPr>
              <w:spacing w:line="253" w:lineRule="exact"/>
              <w:ind w:left="520"/>
              <w:rPr>
                <w:sz w:val="20"/>
                <w:szCs w:val="20"/>
              </w:rPr>
            </w:pPr>
            <w:r>
              <w:rPr>
                <w:rFonts w:eastAsia="Times New Roman"/>
                <w:sz w:val="24"/>
                <w:szCs w:val="24"/>
              </w:rPr>
              <w:t>14 days</w:t>
            </w:r>
          </w:p>
        </w:tc>
        <w:tc>
          <w:tcPr>
            <w:tcW w:w="0" w:type="dxa"/>
            <w:vAlign w:val="bottom"/>
          </w:tcPr>
          <w:p w14:paraId="2819DD3E" w14:textId="77777777" w:rsidR="004647B9" w:rsidRDefault="004647B9">
            <w:pPr>
              <w:rPr>
                <w:sz w:val="1"/>
                <w:szCs w:val="1"/>
              </w:rPr>
            </w:pPr>
          </w:p>
        </w:tc>
      </w:tr>
      <w:tr w:rsidR="004647B9" w14:paraId="2819DD47" w14:textId="77777777">
        <w:trPr>
          <w:trHeight w:val="275"/>
        </w:trPr>
        <w:tc>
          <w:tcPr>
            <w:tcW w:w="2440" w:type="dxa"/>
            <w:gridSpan w:val="2"/>
            <w:vAlign w:val="bottom"/>
          </w:tcPr>
          <w:p w14:paraId="2819DD40" w14:textId="77777777" w:rsidR="004647B9" w:rsidRDefault="00E2436F">
            <w:pPr>
              <w:spacing w:line="274" w:lineRule="exact"/>
              <w:rPr>
                <w:sz w:val="20"/>
                <w:szCs w:val="20"/>
              </w:rPr>
            </w:pPr>
            <w:r>
              <w:rPr>
                <w:rFonts w:eastAsia="Times New Roman"/>
                <w:sz w:val="24"/>
                <w:szCs w:val="24"/>
              </w:rPr>
              <w:t>Fluoride</w:t>
            </w:r>
          </w:p>
        </w:tc>
        <w:tc>
          <w:tcPr>
            <w:tcW w:w="2900" w:type="dxa"/>
            <w:gridSpan w:val="2"/>
            <w:vAlign w:val="bottom"/>
          </w:tcPr>
          <w:p w14:paraId="2819DD41" w14:textId="77777777" w:rsidR="004647B9" w:rsidRDefault="00E2436F">
            <w:pPr>
              <w:spacing w:line="274" w:lineRule="exact"/>
              <w:rPr>
                <w:sz w:val="20"/>
                <w:szCs w:val="20"/>
              </w:rPr>
            </w:pPr>
            <w:r>
              <w:rPr>
                <w:rFonts w:eastAsia="Times New Roman"/>
                <w:sz w:val="24"/>
                <w:szCs w:val="24"/>
              </w:rPr>
              <w:t>None</w:t>
            </w:r>
          </w:p>
        </w:tc>
        <w:tc>
          <w:tcPr>
            <w:tcW w:w="140" w:type="dxa"/>
            <w:vAlign w:val="bottom"/>
          </w:tcPr>
          <w:p w14:paraId="2819DD42" w14:textId="77777777" w:rsidR="004647B9" w:rsidRDefault="004647B9">
            <w:pPr>
              <w:rPr>
                <w:sz w:val="23"/>
                <w:szCs w:val="23"/>
              </w:rPr>
            </w:pPr>
          </w:p>
        </w:tc>
        <w:tc>
          <w:tcPr>
            <w:tcW w:w="1520" w:type="dxa"/>
            <w:gridSpan w:val="2"/>
            <w:vAlign w:val="bottom"/>
          </w:tcPr>
          <w:p w14:paraId="2819DD43" w14:textId="77777777" w:rsidR="004647B9" w:rsidRDefault="00E2436F">
            <w:pPr>
              <w:spacing w:line="274" w:lineRule="exact"/>
              <w:rPr>
                <w:sz w:val="20"/>
                <w:szCs w:val="20"/>
              </w:rPr>
            </w:pPr>
            <w:r>
              <w:rPr>
                <w:rFonts w:eastAsia="Times New Roman"/>
                <w:sz w:val="24"/>
                <w:szCs w:val="24"/>
              </w:rPr>
              <w:t>P or G</w:t>
            </w:r>
          </w:p>
        </w:tc>
        <w:tc>
          <w:tcPr>
            <w:tcW w:w="520" w:type="dxa"/>
            <w:vAlign w:val="bottom"/>
          </w:tcPr>
          <w:p w14:paraId="2819DD44" w14:textId="77777777" w:rsidR="004647B9" w:rsidRDefault="004647B9">
            <w:pPr>
              <w:rPr>
                <w:sz w:val="23"/>
                <w:szCs w:val="23"/>
              </w:rPr>
            </w:pPr>
          </w:p>
        </w:tc>
        <w:tc>
          <w:tcPr>
            <w:tcW w:w="1060" w:type="dxa"/>
            <w:gridSpan w:val="2"/>
            <w:vAlign w:val="bottom"/>
          </w:tcPr>
          <w:p w14:paraId="2819DD45" w14:textId="77777777" w:rsidR="004647B9" w:rsidRDefault="00E2436F">
            <w:pPr>
              <w:spacing w:line="274" w:lineRule="exact"/>
              <w:rPr>
                <w:sz w:val="20"/>
                <w:szCs w:val="20"/>
              </w:rPr>
            </w:pPr>
            <w:r>
              <w:rPr>
                <w:rFonts w:eastAsia="Times New Roman"/>
                <w:sz w:val="24"/>
                <w:szCs w:val="24"/>
              </w:rPr>
              <w:t>one month</w:t>
            </w:r>
          </w:p>
        </w:tc>
        <w:tc>
          <w:tcPr>
            <w:tcW w:w="0" w:type="dxa"/>
            <w:vAlign w:val="bottom"/>
          </w:tcPr>
          <w:p w14:paraId="2819DD46" w14:textId="77777777" w:rsidR="004647B9" w:rsidRDefault="004647B9">
            <w:pPr>
              <w:rPr>
                <w:sz w:val="1"/>
                <w:szCs w:val="1"/>
              </w:rPr>
            </w:pPr>
          </w:p>
        </w:tc>
      </w:tr>
      <w:tr w:rsidR="004647B9" w14:paraId="2819DD4F" w14:textId="77777777">
        <w:trPr>
          <w:trHeight w:val="292"/>
        </w:trPr>
        <w:tc>
          <w:tcPr>
            <w:tcW w:w="2440" w:type="dxa"/>
            <w:gridSpan w:val="2"/>
            <w:vAlign w:val="bottom"/>
          </w:tcPr>
          <w:p w14:paraId="2819DD48" w14:textId="77777777" w:rsidR="004647B9" w:rsidRDefault="00E2436F">
            <w:pPr>
              <w:rPr>
                <w:sz w:val="20"/>
                <w:szCs w:val="20"/>
              </w:rPr>
            </w:pPr>
            <w:r>
              <w:rPr>
                <w:rFonts w:eastAsia="Times New Roman"/>
                <w:sz w:val="24"/>
                <w:szCs w:val="24"/>
              </w:rPr>
              <w:t>Mercury</w:t>
            </w:r>
          </w:p>
        </w:tc>
        <w:tc>
          <w:tcPr>
            <w:tcW w:w="2900" w:type="dxa"/>
            <w:gridSpan w:val="2"/>
            <w:vAlign w:val="bottom"/>
          </w:tcPr>
          <w:p w14:paraId="2819DD49" w14:textId="77777777" w:rsidR="004647B9" w:rsidRDefault="00E2436F">
            <w:pPr>
              <w:spacing w:line="292" w:lineRule="exact"/>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Align w:val="bottom"/>
          </w:tcPr>
          <w:p w14:paraId="2819DD4A" w14:textId="77777777" w:rsidR="004647B9" w:rsidRDefault="004647B9">
            <w:pPr>
              <w:rPr>
                <w:sz w:val="24"/>
                <w:szCs w:val="24"/>
              </w:rPr>
            </w:pPr>
          </w:p>
        </w:tc>
        <w:tc>
          <w:tcPr>
            <w:tcW w:w="1520" w:type="dxa"/>
            <w:gridSpan w:val="2"/>
            <w:vAlign w:val="bottom"/>
          </w:tcPr>
          <w:p w14:paraId="2819DD4B" w14:textId="77777777" w:rsidR="004647B9" w:rsidRDefault="00E2436F">
            <w:pPr>
              <w:rPr>
                <w:sz w:val="20"/>
                <w:szCs w:val="20"/>
              </w:rPr>
            </w:pPr>
            <w:r>
              <w:rPr>
                <w:rFonts w:eastAsia="Times New Roman"/>
                <w:sz w:val="24"/>
                <w:szCs w:val="24"/>
              </w:rPr>
              <w:t>P or G</w:t>
            </w:r>
          </w:p>
        </w:tc>
        <w:tc>
          <w:tcPr>
            <w:tcW w:w="520" w:type="dxa"/>
            <w:vAlign w:val="bottom"/>
          </w:tcPr>
          <w:p w14:paraId="2819DD4C" w14:textId="77777777" w:rsidR="004647B9" w:rsidRDefault="004647B9">
            <w:pPr>
              <w:rPr>
                <w:sz w:val="24"/>
                <w:szCs w:val="24"/>
              </w:rPr>
            </w:pPr>
          </w:p>
        </w:tc>
        <w:tc>
          <w:tcPr>
            <w:tcW w:w="1060" w:type="dxa"/>
            <w:gridSpan w:val="2"/>
            <w:vAlign w:val="bottom"/>
          </w:tcPr>
          <w:p w14:paraId="2819DD4D" w14:textId="77777777" w:rsidR="004647B9" w:rsidRDefault="00E2436F">
            <w:pPr>
              <w:rPr>
                <w:sz w:val="20"/>
                <w:szCs w:val="20"/>
              </w:rPr>
            </w:pPr>
            <w:r>
              <w:rPr>
                <w:rFonts w:eastAsia="Times New Roman"/>
                <w:sz w:val="24"/>
                <w:szCs w:val="24"/>
              </w:rPr>
              <w:t>28 days</w:t>
            </w:r>
          </w:p>
        </w:tc>
        <w:tc>
          <w:tcPr>
            <w:tcW w:w="0" w:type="dxa"/>
            <w:vAlign w:val="bottom"/>
          </w:tcPr>
          <w:p w14:paraId="2819DD4E" w14:textId="77777777" w:rsidR="004647B9" w:rsidRDefault="004647B9">
            <w:pPr>
              <w:rPr>
                <w:sz w:val="1"/>
                <w:szCs w:val="1"/>
              </w:rPr>
            </w:pPr>
          </w:p>
        </w:tc>
      </w:tr>
      <w:tr w:rsidR="004647B9" w14:paraId="2819DD57" w14:textId="77777777">
        <w:trPr>
          <w:trHeight w:val="274"/>
        </w:trPr>
        <w:tc>
          <w:tcPr>
            <w:tcW w:w="2440" w:type="dxa"/>
            <w:gridSpan w:val="2"/>
            <w:vAlign w:val="bottom"/>
          </w:tcPr>
          <w:p w14:paraId="2819DD50" w14:textId="77777777" w:rsidR="004647B9" w:rsidRDefault="00E2436F">
            <w:pPr>
              <w:spacing w:line="273" w:lineRule="exact"/>
              <w:rPr>
                <w:sz w:val="20"/>
                <w:szCs w:val="20"/>
              </w:rPr>
            </w:pPr>
            <w:r>
              <w:rPr>
                <w:rFonts w:eastAsia="Times New Roman"/>
                <w:sz w:val="24"/>
                <w:szCs w:val="24"/>
              </w:rPr>
              <w:t>Nickel</w:t>
            </w:r>
          </w:p>
        </w:tc>
        <w:tc>
          <w:tcPr>
            <w:tcW w:w="2900" w:type="dxa"/>
            <w:gridSpan w:val="2"/>
            <w:vAlign w:val="bottom"/>
          </w:tcPr>
          <w:p w14:paraId="2819DD51" w14:textId="77777777" w:rsidR="004647B9" w:rsidRDefault="00E2436F">
            <w:pPr>
              <w:spacing w:line="273" w:lineRule="exact"/>
              <w:rPr>
                <w:sz w:val="20"/>
                <w:szCs w:val="20"/>
              </w:rPr>
            </w:pPr>
            <w:r>
              <w:rPr>
                <w:rFonts w:eastAsia="Times New Roman"/>
                <w:sz w:val="24"/>
                <w:szCs w:val="24"/>
              </w:rPr>
              <w:t>Conc HNO</w:t>
            </w:r>
            <w:r>
              <w:rPr>
                <w:rFonts w:eastAsia="Times New Roman"/>
                <w:sz w:val="27"/>
                <w:szCs w:val="27"/>
                <w:vertAlign w:val="subscript"/>
              </w:rPr>
              <w:t>3</w:t>
            </w:r>
          </w:p>
        </w:tc>
        <w:tc>
          <w:tcPr>
            <w:tcW w:w="140" w:type="dxa"/>
            <w:vAlign w:val="bottom"/>
          </w:tcPr>
          <w:p w14:paraId="2819DD52" w14:textId="77777777" w:rsidR="004647B9" w:rsidRDefault="004647B9">
            <w:pPr>
              <w:rPr>
                <w:sz w:val="23"/>
                <w:szCs w:val="23"/>
              </w:rPr>
            </w:pPr>
          </w:p>
        </w:tc>
        <w:tc>
          <w:tcPr>
            <w:tcW w:w="1520" w:type="dxa"/>
            <w:gridSpan w:val="2"/>
            <w:vAlign w:val="bottom"/>
          </w:tcPr>
          <w:p w14:paraId="2819DD53" w14:textId="77777777" w:rsidR="004647B9" w:rsidRDefault="00E2436F">
            <w:pPr>
              <w:spacing w:line="273" w:lineRule="exact"/>
              <w:rPr>
                <w:sz w:val="20"/>
                <w:szCs w:val="20"/>
              </w:rPr>
            </w:pPr>
            <w:r>
              <w:rPr>
                <w:rFonts w:eastAsia="Times New Roman"/>
                <w:sz w:val="24"/>
                <w:szCs w:val="24"/>
              </w:rPr>
              <w:t>P or G</w:t>
            </w:r>
          </w:p>
        </w:tc>
        <w:tc>
          <w:tcPr>
            <w:tcW w:w="520" w:type="dxa"/>
            <w:vAlign w:val="bottom"/>
          </w:tcPr>
          <w:p w14:paraId="2819DD54" w14:textId="77777777" w:rsidR="004647B9" w:rsidRDefault="004647B9">
            <w:pPr>
              <w:rPr>
                <w:sz w:val="23"/>
                <w:szCs w:val="23"/>
              </w:rPr>
            </w:pPr>
          </w:p>
        </w:tc>
        <w:tc>
          <w:tcPr>
            <w:tcW w:w="1060" w:type="dxa"/>
            <w:gridSpan w:val="2"/>
            <w:vAlign w:val="bottom"/>
          </w:tcPr>
          <w:p w14:paraId="2819DD55" w14:textId="77777777" w:rsidR="004647B9" w:rsidRDefault="00E2436F">
            <w:pPr>
              <w:spacing w:line="273" w:lineRule="exact"/>
              <w:rPr>
                <w:sz w:val="20"/>
                <w:szCs w:val="20"/>
              </w:rPr>
            </w:pPr>
            <w:r>
              <w:rPr>
                <w:rFonts w:eastAsia="Times New Roman"/>
                <w:w w:val="99"/>
                <w:sz w:val="24"/>
                <w:szCs w:val="24"/>
              </w:rPr>
              <w:t>six months</w:t>
            </w:r>
          </w:p>
        </w:tc>
        <w:tc>
          <w:tcPr>
            <w:tcW w:w="0" w:type="dxa"/>
            <w:vAlign w:val="bottom"/>
          </w:tcPr>
          <w:p w14:paraId="2819DD56" w14:textId="77777777" w:rsidR="004647B9" w:rsidRDefault="004647B9">
            <w:pPr>
              <w:rPr>
                <w:sz w:val="1"/>
                <w:szCs w:val="1"/>
              </w:rPr>
            </w:pPr>
          </w:p>
        </w:tc>
      </w:tr>
      <w:tr w:rsidR="004647B9" w14:paraId="2819DD62" w14:textId="77777777">
        <w:trPr>
          <w:trHeight w:val="254"/>
        </w:trPr>
        <w:tc>
          <w:tcPr>
            <w:tcW w:w="2440" w:type="dxa"/>
            <w:gridSpan w:val="2"/>
            <w:vAlign w:val="bottom"/>
          </w:tcPr>
          <w:p w14:paraId="2819DD58" w14:textId="77777777" w:rsidR="004647B9" w:rsidRDefault="00E2436F">
            <w:pPr>
              <w:spacing w:line="253" w:lineRule="exact"/>
              <w:rPr>
                <w:sz w:val="20"/>
                <w:szCs w:val="20"/>
              </w:rPr>
            </w:pPr>
            <w:r>
              <w:rPr>
                <w:rFonts w:eastAsia="Times New Roman"/>
                <w:sz w:val="24"/>
                <w:szCs w:val="24"/>
              </w:rPr>
              <w:t>Nitrate</w:t>
            </w:r>
          </w:p>
        </w:tc>
        <w:tc>
          <w:tcPr>
            <w:tcW w:w="1200" w:type="dxa"/>
            <w:vAlign w:val="bottom"/>
          </w:tcPr>
          <w:p w14:paraId="2819DD59" w14:textId="77777777" w:rsidR="004647B9" w:rsidRDefault="004647B9"/>
        </w:tc>
        <w:tc>
          <w:tcPr>
            <w:tcW w:w="1700" w:type="dxa"/>
            <w:vAlign w:val="bottom"/>
          </w:tcPr>
          <w:p w14:paraId="2819DD5A" w14:textId="77777777" w:rsidR="004647B9" w:rsidRDefault="004647B9"/>
        </w:tc>
        <w:tc>
          <w:tcPr>
            <w:tcW w:w="140" w:type="dxa"/>
            <w:vAlign w:val="bottom"/>
          </w:tcPr>
          <w:p w14:paraId="2819DD5B" w14:textId="77777777" w:rsidR="004647B9" w:rsidRDefault="004647B9"/>
        </w:tc>
        <w:tc>
          <w:tcPr>
            <w:tcW w:w="940" w:type="dxa"/>
            <w:vAlign w:val="bottom"/>
          </w:tcPr>
          <w:p w14:paraId="2819DD5C" w14:textId="77777777" w:rsidR="004647B9" w:rsidRDefault="004647B9"/>
        </w:tc>
        <w:tc>
          <w:tcPr>
            <w:tcW w:w="580" w:type="dxa"/>
            <w:vAlign w:val="bottom"/>
          </w:tcPr>
          <w:p w14:paraId="2819DD5D" w14:textId="77777777" w:rsidR="004647B9" w:rsidRDefault="004647B9"/>
        </w:tc>
        <w:tc>
          <w:tcPr>
            <w:tcW w:w="520" w:type="dxa"/>
            <w:vAlign w:val="bottom"/>
          </w:tcPr>
          <w:p w14:paraId="2819DD5E" w14:textId="77777777" w:rsidR="004647B9" w:rsidRDefault="004647B9"/>
        </w:tc>
        <w:tc>
          <w:tcPr>
            <w:tcW w:w="500" w:type="dxa"/>
            <w:vAlign w:val="bottom"/>
          </w:tcPr>
          <w:p w14:paraId="2819DD5F" w14:textId="77777777" w:rsidR="004647B9" w:rsidRDefault="004647B9"/>
        </w:tc>
        <w:tc>
          <w:tcPr>
            <w:tcW w:w="560" w:type="dxa"/>
            <w:vAlign w:val="bottom"/>
          </w:tcPr>
          <w:p w14:paraId="2819DD60" w14:textId="77777777" w:rsidR="004647B9" w:rsidRDefault="004647B9"/>
        </w:tc>
        <w:tc>
          <w:tcPr>
            <w:tcW w:w="0" w:type="dxa"/>
            <w:vAlign w:val="bottom"/>
          </w:tcPr>
          <w:p w14:paraId="2819DD61" w14:textId="77777777" w:rsidR="004647B9" w:rsidRDefault="004647B9">
            <w:pPr>
              <w:rPr>
                <w:sz w:val="1"/>
                <w:szCs w:val="1"/>
              </w:rPr>
            </w:pPr>
          </w:p>
        </w:tc>
      </w:tr>
      <w:tr w:rsidR="004647B9" w14:paraId="2819DD68" w14:textId="77777777">
        <w:trPr>
          <w:trHeight w:val="274"/>
        </w:trPr>
        <w:tc>
          <w:tcPr>
            <w:tcW w:w="2440" w:type="dxa"/>
            <w:gridSpan w:val="2"/>
            <w:vAlign w:val="bottom"/>
          </w:tcPr>
          <w:p w14:paraId="2819DD63" w14:textId="77777777" w:rsidR="004647B9" w:rsidRDefault="00E2436F">
            <w:pPr>
              <w:spacing w:line="273" w:lineRule="exact"/>
              <w:ind w:left="120"/>
              <w:rPr>
                <w:sz w:val="20"/>
                <w:szCs w:val="20"/>
              </w:rPr>
            </w:pPr>
            <w:r>
              <w:rPr>
                <w:rFonts w:eastAsia="Times New Roman"/>
                <w:sz w:val="24"/>
                <w:szCs w:val="24"/>
              </w:rPr>
              <w:t>Chlorinated</w:t>
            </w:r>
          </w:p>
        </w:tc>
        <w:tc>
          <w:tcPr>
            <w:tcW w:w="2900" w:type="dxa"/>
            <w:gridSpan w:val="2"/>
            <w:vAlign w:val="bottom"/>
          </w:tcPr>
          <w:p w14:paraId="2819DD64" w14:textId="77777777" w:rsidR="004647B9" w:rsidRDefault="00E2436F">
            <w:pPr>
              <w:spacing w:line="273" w:lineRule="exact"/>
              <w:rPr>
                <w:sz w:val="20"/>
                <w:szCs w:val="20"/>
              </w:rPr>
            </w:pPr>
            <w:r>
              <w:rPr>
                <w:rFonts w:eastAsia="Times New Roman"/>
                <w:sz w:val="24"/>
                <w:szCs w:val="24"/>
              </w:rPr>
              <w:t>Cool, 4°C</w:t>
            </w:r>
          </w:p>
        </w:tc>
        <w:tc>
          <w:tcPr>
            <w:tcW w:w="1660" w:type="dxa"/>
            <w:gridSpan w:val="3"/>
            <w:vAlign w:val="bottom"/>
          </w:tcPr>
          <w:p w14:paraId="2819DD65" w14:textId="77777777" w:rsidR="004647B9" w:rsidRDefault="00E2436F">
            <w:pPr>
              <w:spacing w:line="273" w:lineRule="exact"/>
              <w:ind w:left="140"/>
              <w:rPr>
                <w:sz w:val="20"/>
                <w:szCs w:val="20"/>
              </w:rPr>
            </w:pPr>
            <w:r>
              <w:rPr>
                <w:rFonts w:eastAsia="Times New Roman"/>
                <w:sz w:val="24"/>
                <w:szCs w:val="24"/>
              </w:rPr>
              <w:t>P or G</w:t>
            </w:r>
          </w:p>
        </w:tc>
        <w:tc>
          <w:tcPr>
            <w:tcW w:w="1580" w:type="dxa"/>
            <w:gridSpan w:val="3"/>
            <w:vAlign w:val="bottom"/>
          </w:tcPr>
          <w:p w14:paraId="2819DD66" w14:textId="77777777" w:rsidR="004647B9" w:rsidRDefault="00E2436F">
            <w:pPr>
              <w:spacing w:line="273" w:lineRule="exact"/>
              <w:ind w:left="520"/>
              <w:rPr>
                <w:sz w:val="20"/>
                <w:szCs w:val="20"/>
              </w:rPr>
            </w:pPr>
            <w:r>
              <w:rPr>
                <w:rFonts w:eastAsia="Times New Roman"/>
                <w:sz w:val="24"/>
                <w:szCs w:val="24"/>
              </w:rPr>
              <w:t>14 days</w:t>
            </w:r>
          </w:p>
        </w:tc>
        <w:tc>
          <w:tcPr>
            <w:tcW w:w="0" w:type="dxa"/>
            <w:vAlign w:val="bottom"/>
          </w:tcPr>
          <w:p w14:paraId="2819DD67" w14:textId="77777777" w:rsidR="004647B9" w:rsidRDefault="004647B9">
            <w:pPr>
              <w:rPr>
                <w:sz w:val="1"/>
                <w:szCs w:val="1"/>
              </w:rPr>
            </w:pPr>
          </w:p>
        </w:tc>
      </w:tr>
      <w:tr w:rsidR="004647B9" w14:paraId="2819DD70" w14:textId="77777777">
        <w:trPr>
          <w:trHeight w:val="293"/>
        </w:trPr>
        <w:tc>
          <w:tcPr>
            <w:tcW w:w="2440" w:type="dxa"/>
            <w:gridSpan w:val="2"/>
            <w:vAlign w:val="bottom"/>
          </w:tcPr>
          <w:p w14:paraId="2819DD69" w14:textId="77777777" w:rsidR="004647B9" w:rsidRDefault="00E2436F">
            <w:pPr>
              <w:ind w:left="120"/>
              <w:rPr>
                <w:sz w:val="20"/>
                <w:szCs w:val="20"/>
              </w:rPr>
            </w:pPr>
            <w:r>
              <w:rPr>
                <w:rFonts w:eastAsia="Times New Roman"/>
                <w:sz w:val="24"/>
                <w:szCs w:val="24"/>
              </w:rPr>
              <w:t>Chlorinated</w:t>
            </w:r>
          </w:p>
        </w:tc>
        <w:tc>
          <w:tcPr>
            <w:tcW w:w="2900" w:type="dxa"/>
            <w:gridSpan w:val="2"/>
            <w:vAlign w:val="bottom"/>
          </w:tcPr>
          <w:p w14:paraId="2819DD6A" w14:textId="77777777" w:rsidR="004647B9" w:rsidRDefault="00E2436F">
            <w:pPr>
              <w:spacing w:line="293" w:lineRule="exact"/>
              <w:rPr>
                <w:sz w:val="20"/>
                <w:szCs w:val="20"/>
              </w:rPr>
            </w:pPr>
            <w:r>
              <w:rPr>
                <w:rFonts w:eastAsia="Times New Roman"/>
                <w:sz w:val="24"/>
                <w:szCs w:val="24"/>
              </w:rPr>
              <w:t>Con H</w:t>
            </w:r>
            <w:r>
              <w:rPr>
                <w:rFonts w:eastAsia="Times New Roman"/>
                <w:sz w:val="27"/>
                <w:szCs w:val="27"/>
                <w:vertAlign w:val="subscript"/>
              </w:rPr>
              <w:t>2</w:t>
            </w:r>
            <w:r>
              <w:rPr>
                <w:rFonts w:eastAsia="Times New Roman"/>
                <w:sz w:val="24"/>
                <w:szCs w:val="24"/>
              </w:rPr>
              <w:t xml:space="preserve"> SO</w:t>
            </w:r>
            <w:r>
              <w:rPr>
                <w:rFonts w:eastAsia="Times New Roman"/>
                <w:sz w:val="27"/>
                <w:szCs w:val="27"/>
                <w:vertAlign w:val="subscript"/>
              </w:rPr>
              <w:t>4</w:t>
            </w:r>
            <w:r>
              <w:rPr>
                <w:rFonts w:eastAsia="Times New Roman"/>
                <w:sz w:val="24"/>
                <w:szCs w:val="24"/>
              </w:rPr>
              <w:t xml:space="preserve"> to pH&lt;2</w:t>
            </w:r>
          </w:p>
        </w:tc>
        <w:tc>
          <w:tcPr>
            <w:tcW w:w="140" w:type="dxa"/>
            <w:vAlign w:val="bottom"/>
          </w:tcPr>
          <w:p w14:paraId="2819DD6B" w14:textId="77777777" w:rsidR="004647B9" w:rsidRDefault="004647B9">
            <w:pPr>
              <w:rPr>
                <w:sz w:val="24"/>
                <w:szCs w:val="24"/>
              </w:rPr>
            </w:pPr>
          </w:p>
        </w:tc>
        <w:tc>
          <w:tcPr>
            <w:tcW w:w="1520" w:type="dxa"/>
            <w:gridSpan w:val="2"/>
            <w:vAlign w:val="bottom"/>
          </w:tcPr>
          <w:p w14:paraId="2819DD6C" w14:textId="77777777" w:rsidR="004647B9" w:rsidRDefault="00E2436F">
            <w:pPr>
              <w:rPr>
                <w:sz w:val="20"/>
                <w:szCs w:val="20"/>
              </w:rPr>
            </w:pPr>
            <w:r>
              <w:rPr>
                <w:rFonts w:eastAsia="Times New Roman"/>
                <w:sz w:val="24"/>
                <w:szCs w:val="24"/>
              </w:rPr>
              <w:t>P or G</w:t>
            </w:r>
          </w:p>
        </w:tc>
        <w:tc>
          <w:tcPr>
            <w:tcW w:w="520" w:type="dxa"/>
            <w:vAlign w:val="bottom"/>
          </w:tcPr>
          <w:p w14:paraId="2819DD6D" w14:textId="77777777" w:rsidR="004647B9" w:rsidRDefault="004647B9">
            <w:pPr>
              <w:rPr>
                <w:sz w:val="24"/>
                <w:szCs w:val="24"/>
              </w:rPr>
            </w:pPr>
          </w:p>
        </w:tc>
        <w:tc>
          <w:tcPr>
            <w:tcW w:w="1060" w:type="dxa"/>
            <w:gridSpan w:val="2"/>
            <w:vAlign w:val="bottom"/>
          </w:tcPr>
          <w:p w14:paraId="2819DD6E" w14:textId="77777777" w:rsidR="004647B9" w:rsidRDefault="00E2436F">
            <w:pPr>
              <w:rPr>
                <w:sz w:val="20"/>
                <w:szCs w:val="20"/>
              </w:rPr>
            </w:pPr>
            <w:r>
              <w:rPr>
                <w:rFonts w:eastAsia="Times New Roman"/>
                <w:sz w:val="24"/>
                <w:szCs w:val="24"/>
              </w:rPr>
              <w:t>28 days</w:t>
            </w:r>
          </w:p>
        </w:tc>
        <w:tc>
          <w:tcPr>
            <w:tcW w:w="0" w:type="dxa"/>
            <w:vAlign w:val="bottom"/>
          </w:tcPr>
          <w:p w14:paraId="2819DD6F" w14:textId="77777777" w:rsidR="004647B9" w:rsidRDefault="004647B9">
            <w:pPr>
              <w:rPr>
                <w:sz w:val="1"/>
                <w:szCs w:val="1"/>
              </w:rPr>
            </w:pPr>
          </w:p>
        </w:tc>
      </w:tr>
      <w:tr w:rsidR="004647B9" w14:paraId="2819DD78" w14:textId="77777777">
        <w:trPr>
          <w:trHeight w:val="254"/>
        </w:trPr>
        <w:tc>
          <w:tcPr>
            <w:tcW w:w="2440" w:type="dxa"/>
            <w:gridSpan w:val="2"/>
            <w:vAlign w:val="bottom"/>
          </w:tcPr>
          <w:p w14:paraId="2819DD71" w14:textId="77777777" w:rsidR="004647B9" w:rsidRDefault="00E2436F">
            <w:pPr>
              <w:spacing w:line="253" w:lineRule="exact"/>
              <w:ind w:left="120"/>
              <w:rPr>
                <w:sz w:val="20"/>
                <w:szCs w:val="20"/>
              </w:rPr>
            </w:pPr>
            <w:r>
              <w:rPr>
                <w:rFonts w:eastAsia="Times New Roman"/>
                <w:sz w:val="24"/>
                <w:szCs w:val="24"/>
              </w:rPr>
              <w:t>Non-chlorinated</w:t>
            </w:r>
          </w:p>
        </w:tc>
        <w:tc>
          <w:tcPr>
            <w:tcW w:w="2900" w:type="dxa"/>
            <w:gridSpan w:val="2"/>
            <w:vAlign w:val="bottom"/>
          </w:tcPr>
          <w:p w14:paraId="2819DD72" w14:textId="77777777" w:rsidR="004647B9" w:rsidRDefault="00E2436F">
            <w:pPr>
              <w:spacing w:line="253" w:lineRule="exact"/>
              <w:rPr>
                <w:sz w:val="20"/>
                <w:szCs w:val="20"/>
              </w:rPr>
            </w:pPr>
            <w:r>
              <w:rPr>
                <w:rFonts w:eastAsia="Times New Roman"/>
                <w:sz w:val="24"/>
                <w:szCs w:val="24"/>
              </w:rPr>
              <w:t>Cool 4°C</w:t>
            </w:r>
          </w:p>
        </w:tc>
        <w:tc>
          <w:tcPr>
            <w:tcW w:w="140" w:type="dxa"/>
            <w:vAlign w:val="bottom"/>
          </w:tcPr>
          <w:p w14:paraId="2819DD73" w14:textId="77777777" w:rsidR="004647B9" w:rsidRDefault="004647B9"/>
        </w:tc>
        <w:tc>
          <w:tcPr>
            <w:tcW w:w="1520" w:type="dxa"/>
            <w:gridSpan w:val="2"/>
            <w:vAlign w:val="bottom"/>
          </w:tcPr>
          <w:p w14:paraId="2819DD74" w14:textId="77777777" w:rsidR="004647B9" w:rsidRDefault="00E2436F">
            <w:pPr>
              <w:spacing w:line="253" w:lineRule="exact"/>
              <w:rPr>
                <w:sz w:val="20"/>
                <w:szCs w:val="20"/>
              </w:rPr>
            </w:pPr>
            <w:r>
              <w:rPr>
                <w:rFonts w:eastAsia="Times New Roman"/>
                <w:sz w:val="24"/>
                <w:szCs w:val="24"/>
              </w:rPr>
              <w:t>P or G</w:t>
            </w:r>
          </w:p>
        </w:tc>
        <w:tc>
          <w:tcPr>
            <w:tcW w:w="520" w:type="dxa"/>
            <w:vAlign w:val="bottom"/>
          </w:tcPr>
          <w:p w14:paraId="2819DD75" w14:textId="77777777" w:rsidR="004647B9" w:rsidRDefault="004647B9"/>
        </w:tc>
        <w:tc>
          <w:tcPr>
            <w:tcW w:w="1060" w:type="dxa"/>
            <w:gridSpan w:val="2"/>
            <w:vAlign w:val="bottom"/>
          </w:tcPr>
          <w:p w14:paraId="2819DD76" w14:textId="77777777" w:rsidR="004647B9" w:rsidRDefault="00E2436F">
            <w:pPr>
              <w:spacing w:line="253" w:lineRule="exact"/>
              <w:rPr>
                <w:sz w:val="20"/>
                <w:szCs w:val="20"/>
              </w:rPr>
            </w:pPr>
            <w:r>
              <w:rPr>
                <w:rFonts w:eastAsia="Times New Roman"/>
                <w:sz w:val="24"/>
                <w:szCs w:val="24"/>
              </w:rPr>
              <w:t>48 hours</w:t>
            </w:r>
          </w:p>
        </w:tc>
        <w:tc>
          <w:tcPr>
            <w:tcW w:w="0" w:type="dxa"/>
            <w:vAlign w:val="bottom"/>
          </w:tcPr>
          <w:p w14:paraId="2819DD77" w14:textId="77777777" w:rsidR="004647B9" w:rsidRDefault="004647B9">
            <w:pPr>
              <w:rPr>
                <w:sz w:val="1"/>
                <w:szCs w:val="1"/>
              </w:rPr>
            </w:pPr>
          </w:p>
        </w:tc>
      </w:tr>
      <w:tr w:rsidR="004647B9" w14:paraId="2819DD80" w14:textId="77777777">
        <w:trPr>
          <w:trHeight w:val="293"/>
        </w:trPr>
        <w:tc>
          <w:tcPr>
            <w:tcW w:w="2440" w:type="dxa"/>
            <w:gridSpan w:val="2"/>
            <w:vAlign w:val="bottom"/>
          </w:tcPr>
          <w:p w14:paraId="2819DD79" w14:textId="77777777" w:rsidR="004647B9" w:rsidRDefault="00E2436F">
            <w:pPr>
              <w:ind w:left="120"/>
              <w:rPr>
                <w:sz w:val="20"/>
                <w:szCs w:val="20"/>
              </w:rPr>
            </w:pPr>
            <w:r>
              <w:rPr>
                <w:rFonts w:eastAsia="Times New Roman"/>
                <w:sz w:val="24"/>
                <w:szCs w:val="24"/>
              </w:rPr>
              <w:t>Non-chlorinated</w:t>
            </w:r>
          </w:p>
        </w:tc>
        <w:tc>
          <w:tcPr>
            <w:tcW w:w="2900" w:type="dxa"/>
            <w:gridSpan w:val="2"/>
            <w:vAlign w:val="bottom"/>
          </w:tcPr>
          <w:p w14:paraId="2819DD7A" w14:textId="77777777" w:rsidR="004647B9" w:rsidRDefault="00E2436F">
            <w:pPr>
              <w:spacing w:line="293" w:lineRule="exact"/>
              <w:rPr>
                <w:sz w:val="20"/>
                <w:szCs w:val="20"/>
              </w:rPr>
            </w:pPr>
            <w:r>
              <w:rPr>
                <w:rFonts w:eastAsia="Times New Roman"/>
                <w:sz w:val="24"/>
                <w:szCs w:val="24"/>
              </w:rPr>
              <w:t>Con H</w:t>
            </w:r>
            <w:r>
              <w:rPr>
                <w:rFonts w:eastAsia="Times New Roman"/>
                <w:sz w:val="27"/>
                <w:szCs w:val="27"/>
                <w:vertAlign w:val="subscript"/>
              </w:rPr>
              <w:t>2</w:t>
            </w:r>
            <w:r>
              <w:rPr>
                <w:rFonts w:eastAsia="Times New Roman"/>
                <w:sz w:val="24"/>
                <w:szCs w:val="24"/>
              </w:rPr>
              <w:t xml:space="preserve"> SO</w:t>
            </w:r>
            <w:r>
              <w:rPr>
                <w:rFonts w:eastAsia="Times New Roman"/>
                <w:sz w:val="27"/>
                <w:szCs w:val="27"/>
                <w:vertAlign w:val="subscript"/>
              </w:rPr>
              <w:t>4</w:t>
            </w:r>
            <w:r>
              <w:rPr>
                <w:rFonts w:eastAsia="Times New Roman"/>
                <w:sz w:val="24"/>
                <w:szCs w:val="24"/>
              </w:rPr>
              <w:t xml:space="preserve"> to pH&lt;2</w:t>
            </w:r>
          </w:p>
        </w:tc>
        <w:tc>
          <w:tcPr>
            <w:tcW w:w="140" w:type="dxa"/>
            <w:vAlign w:val="bottom"/>
          </w:tcPr>
          <w:p w14:paraId="2819DD7B" w14:textId="77777777" w:rsidR="004647B9" w:rsidRDefault="004647B9">
            <w:pPr>
              <w:rPr>
                <w:sz w:val="24"/>
                <w:szCs w:val="24"/>
              </w:rPr>
            </w:pPr>
          </w:p>
        </w:tc>
        <w:tc>
          <w:tcPr>
            <w:tcW w:w="1520" w:type="dxa"/>
            <w:gridSpan w:val="2"/>
            <w:vAlign w:val="bottom"/>
          </w:tcPr>
          <w:p w14:paraId="2819DD7C" w14:textId="77777777" w:rsidR="004647B9" w:rsidRDefault="00E2436F">
            <w:pPr>
              <w:rPr>
                <w:sz w:val="20"/>
                <w:szCs w:val="20"/>
              </w:rPr>
            </w:pPr>
            <w:r>
              <w:rPr>
                <w:rFonts w:eastAsia="Times New Roman"/>
                <w:sz w:val="24"/>
                <w:szCs w:val="24"/>
              </w:rPr>
              <w:t>P or G</w:t>
            </w:r>
          </w:p>
        </w:tc>
        <w:tc>
          <w:tcPr>
            <w:tcW w:w="520" w:type="dxa"/>
            <w:vAlign w:val="bottom"/>
          </w:tcPr>
          <w:p w14:paraId="2819DD7D" w14:textId="77777777" w:rsidR="004647B9" w:rsidRDefault="004647B9">
            <w:pPr>
              <w:rPr>
                <w:sz w:val="24"/>
                <w:szCs w:val="24"/>
              </w:rPr>
            </w:pPr>
          </w:p>
        </w:tc>
        <w:tc>
          <w:tcPr>
            <w:tcW w:w="1060" w:type="dxa"/>
            <w:gridSpan w:val="2"/>
            <w:vAlign w:val="bottom"/>
          </w:tcPr>
          <w:p w14:paraId="2819DD7E" w14:textId="77777777" w:rsidR="004647B9" w:rsidRDefault="00E2436F">
            <w:pPr>
              <w:rPr>
                <w:sz w:val="20"/>
                <w:szCs w:val="20"/>
              </w:rPr>
            </w:pPr>
            <w:r>
              <w:rPr>
                <w:rFonts w:eastAsia="Times New Roman"/>
                <w:sz w:val="24"/>
                <w:szCs w:val="24"/>
              </w:rPr>
              <w:t>28 days</w:t>
            </w:r>
          </w:p>
        </w:tc>
        <w:tc>
          <w:tcPr>
            <w:tcW w:w="0" w:type="dxa"/>
            <w:vAlign w:val="bottom"/>
          </w:tcPr>
          <w:p w14:paraId="2819DD7F" w14:textId="77777777" w:rsidR="004647B9" w:rsidRDefault="004647B9">
            <w:pPr>
              <w:rPr>
                <w:sz w:val="1"/>
                <w:szCs w:val="1"/>
              </w:rPr>
            </w:pPr>
          </w:p>
        </w:tc>
      </w:tr>
      <w:tr w:rsidR="004647B9" w14:paraId="2819DD88" w14:textId="77777777">
        <w:trPr>
          <w:trHeight w:val="254"/>
        </w:trPr>
        <w:tc>
          <w:tcPr>
            <w:tcW w:w="2440" w:type="dxa"/>
            <w:gridSpan w:val="2"/>
            <w:vAlign w:val="bottom"/>
          </w:tcPr>
          <w:p w14:paraId="2819DD81" w14:textId="77777777" w:rsidR="004647B9" w:rsidRDefault="00E2436F">
            <w:pPr>
              <w:spacing w:line="253" w:lineRule="exact"/>
              <w:rPr>
                <w:sz w:val="20"/>
                <w:szCs w:val="20"/>
              </w:rPr>
            </w:pPr>
            <w:r>
              <w:rPr>
                <w:rFonts w:eastAsia="Times New Roman"/>
                <w:sz w:val="24"/>
                <w:szCs w:val="24"/>
              </w:rPr>
              <w:t>Nitrite</w:t>
            </w:r>
          </w:p>
        </w:tc>
        <w:tc>
          <w:tcPr>
            <w:tcW w:w="2900" w:type="dxa"/>
            <w:gridSpan w:val="2"/>
            <w:vAlign w:val="bottom"/>
          </w:tcPr>
          <w:p w14:paraId="2819DD82" w14:textId="77777777" w:rsidR="004647B9" w:rsidRDefault="00E2436F">
            <w:pPr>
              <w:spacing w:line="253" w:lineRule="exact"/>
              <w:rPr>
                <w:sz w:val="20"/>
                <w:szCs w:val="20"/>
              </w:rPr>
            </w:pPr>
            <w:r>
              <w:rPr>
                <w:rFonts w:eastAsia="Times New Roman"/>
                <w:sz w:val="24"/>
                <w:szCs w:val="24"/>
              </w:rPr>
              <w:t>Cool, 4°C</w:t>
            </w:r>
          </w:p>
        </w:tc>
        <w:tc>
          <w:tcPr>
            <w:tcW w:w="140" w:type="dxa"/>
            <w:vAlign w:val="bottom"/>
          </w:tcPr>
          <w:p w14:paraId="2819DD83" w14:textId="77777777" w:rsidR="004647B9" w:rsidRDefault="004647B9"/>
        </w:tc>
        <w:tc>
          <w:tcPr>
            <w:tcW w:w="1520" w:type="dxa"/>
            <w:gridSpan w:val="2"/>
            <w:vAlign w:val="bottom"/>
          </w:tcPr>
          <w:p w14:paraId="2819DD84" w14:textId="77777777" w:rsidR="004647B9" w:rsidRDefault="00E2436F">
            <w:pPr>
              <w:spacing w:line="253" w:lineRule="exact"/>
              <w:rPr>
                <w:sz w:val="20"/>
                <w:szCs w:val="20"/>
              </w:rPr>
            </w:pPr>
            <w:r>
              <w:rPr>
                <w:rFonts w:eastAsia="Times New Roman"/>
                <w:sz w:val="24"/>
                <w:szCs w:val="24"/>
              </w:rPr>
              <w:t>P or G</w:t>
            </w:r>
          </w:p>
        </w:tc>
        <w:tc>
          <w:tcPr>
            <w:tcW w:w="520" w:type="dxa"/>
            <w:vAlign w:val="bottom"/>
          </w:tcPr>
          <w:p w14:paraId="2819DD85" w14:textId="77777777" w:rsidR="004647B9" w:rsidRDefault="004647B9"/>
        </w:tc>
        <w:tc>
          <w:tcPr>
            <w:tcW w:w="1060" w:type="dxa"/>
            <w:gridSpan w:val="2"/>
            <w:vAlign w:val="bottom"/>
          </w:tcPr>
          <w:p w14:paraId="2819DD86" w14:textId="77777777" w:rsidR="004647B9" w:rsidRDefault="00E2436F">
            <w:pPr>
              <w:spacing w:line="253" w:lineRule="exact"/>
              <w:rPr>
                <w:sz w:val="20"/>
                <w:szCs w:val="20"/>
              </w:rPr>
            </w:pPr>
            <w:r>
              <w:rPr>
                <w:rFonts w:eastAsia="Times New Roman"/>
                <w:sz w:val="24"/>
                <w:szCs w:val="24"/>
              </w:rPr>
              <w:t>48 hours</w:t>
            </w:r>
          </w:p>
        </w:tc>
        <w:tc>
          <w:tcPr>
            <w:tcW w:w="0" w:type="dxa"/>
            <w:vAlign w:val="bottom"/>
          </w:tcPr>
          <w:p w14:paraId="2819DD87" w14:textId="77777777" w:rsidR="004647B9" w:rsidRDefault="004647B9">
            <w:pPr>
              <w:rPr>
                <w:sz w:val="1"/>
                <w:szCs w:val="1"/>
              </w:rPr>
            </w:pPr>
          </w:p>
        </w:tc>
      </w:tr>
      <w:tr w:rsidR="004647B9" w14:paraId="2819DD90" w14:textId="77777777">
        <w:trPr>
          <w:trHeight w:val="274"/>
        </w:trPr>
        <w:tc>
          <w:tcPr>
            <w:tcW w:w="2440" w:type="dxa"/>
            <w:gridSpan w:val="2"/>
            <w:vAlign w:val="bottom"/>
          </w:tcPr>
          <w:p w14:paraId="2819DD89" w14:textId="77777777" w:rsidR="004647B9" w:rsidRDefault="00E2436F">
            <w:pPr>
              <w:spacing w:line="273" w:lineRule="exact"/>
              <w:rPr>
                <w:sz w:val="20"/>
                <w:szCs w:val="20"/>
              </w:rPr>
            </w:pPr>
            <w:r>
              <w:rPr>
                <w:rFonts w:eastAsia="Times New Roman"/>
                <w:sz w:val="24"/>
                <w:szCs w:val="24"/>
              </w:rPr>
              <w:t>Perchlorate</w:t>
            </w:r>
          </w:p>
        </w:tc>
        <w:tc>
          <w:tcPr>
            <w:tcW w:w="2900" w:type="dxa"/>
            <w:gridSpan w:val="2"/>
            <w:vAlign w:val="bottom"/>
          </w:tcPr>
          <w:p w14:paraId="2819DD8A" w14:textId="77777777" w:rsidR="004647B9" w:rsidRDefault="00E2436F">
            <w:pPr>
              <w:spacing w:line="273" w:lineRule="exact"/>
              <w:rPr>
                <w:sz w:val="20"/>
                <w:szCs w:val="20"/>
              </w:rPr>
            </w:pPr>
            <w:r>
              <w:rPr>
                <w:rFonts w:eastAsia="Times New Roman"/>
                <w:sz w:val="24"/>
                <w:szCs w:val="24"/>
              </w:rPr>
              <w:t>None</w:t>
            </w:r>
          </w:p>
        </w:tc>
        <w:tc>
          <w:tcPr>
            <w:tcW w:w="140" w:type="dxa"/>
            <w:vAlign w:val="bottom"/>
          </w:tcPr>
          <w:p w14:paraId="2819DD8B" w14:textId="77777777" w:rsidR="004647B9" w:rsidRDefault="004647B9">
            <w:pPr>
              <w:rPr>
                <w:sz w:val="23"/>
                <w:szCs w:val="23"/>
              </w:rPr>
            </w:pPr>
          </w:p>
        </w:tc>
        <w:tc>
          <w:tcPr>
            <w:tcW w:w="1520" w:type="dxa"/>
            <w:gridSpan w:val="2"/>
            <w:vAlign w:val="bottom"/>
          </w:tcPr>
          <w:p w14:paraId="2819DD8C" w14:textId="77777777" w:rsidR="004647B9" w:rsidRDefault="00E2436F">
            <w:pPr>
              <w:spacing w:line="273" w:lineRule="exact"/>
              <w:rPr>
                <w:sz w:val="20"/>
                <w:szCs w:val="20"/>
              </w:rPr>
            </w:pPr>
            <w:r>
              <w:rPr>
                <w:rFonts w:eastAsia="Times New Roman"/>
                <w:sz w:val="24"/>
                <w:szCs w:val="24"/>
              </w:rPr>
              <w:t>P or G</w:t>
            </w:r>
          </w:p>
        </w:tc>
        <w:tc>
          <w:tcPr>
            <w:tcW w:w="520" w:type="dxa"/>
            <w:vAlign w:val="bottom"/>
          </w:tcPr>
          <w:p w14:paraId="2819DD8D" w14:textId="77777777" w:rsidR="004647B9" w:rsidRDefault="004647B9">
            <w:pPr>
              <w:rPr>
                <w:sz w:val="23"/>
                <w:szCs w:val="23"/>
              </w:rPr>
            </w:pPr>
          </w:p>
        </w:tc>
        <w:tc>
          <w:tcPr>
            <w:tcW w:w="1060" w:type="dxa"/>
            <w:gridSpan w:val="2"/>
            <w:vAlign w:val="bottom"/>
          </w:tcPr>
          <w:p w14:paraId="2819DD8E" w14:textId="77777777" w:rsidR="004647B9" w:rsidRDefault="00E2436F">
            <w:pPr>
              <w:spacing w:line="273" w:lineRule="exact"/>
              <w:rPr>
                <w:sz w:val="20"/>
                <w:szCs w:val="20"/>
              </w:rPr>
            </w:pPr>
            <w:r>
              <w:rPr>
                <w:rFonts w:eastAsia="Times New Roman"/>
                <w:sz w:val="24"/>
                <w:szCs w:val="24"/>
              </w:rPr>
              <w:t>28 days</w:t>
            </w:r>
          </w:p>
        </w:tc>
        <w:tc>
          <w:tcPr>
            <w:tcW w:w="0" w:type="dxa"/>
            <w:vAlign w:val="bottom"/>
          </w:tcPr>
          <w:p w14:paraId="2819DD8F" w14:textId="77777777" w:rsidR="004647B9" w:rsidRDefault="004647B9">
            <w:pPr>
              <w:rPr>
                <w:sz w:val="1"/>
                <w:szCs w:val="1"/>
              </w:rPr>
            </w:pPr>
          </w:p>
        </w:tc>
      </w:tr>
      <w:tr w:rsidR="004647B9" w14:paraId="2819DD98" w14:textId="77777777">
        <w:trPr>
          <w:trHeight w:val="293"/>
        </w:trPr>
        <w:tc>
          <w:tcPr>
            <w:tcW w:w="2440" w:type="dxa"/>
            <w:gridSpan w:val="2"/>
            <w:vAlign w:val="bottom"/>
          </w:tcPr>
          <w:p w14:paraId="2819DD91" w14:textId="77777777" w:rsidR="004647B9" w:rsidRDefault="00E2436F">
            <w:pPr>
              <w:rPr>
                <w:sz w:val="20"/>
                <w:szCs w:val="20"/>
              </w:rPr>
            </w:pPr>
            <w:r>
              <w:rPr>
                <w:rFonts w:eastAsia="Times New Roman"/>
                <w:sz w:val="24"/>
                <w:szCs w:val="24"/>
              </w:rPr>
              <w:t>Selenium</w:t>
            </w:r>
          </w:p>
        </w:tc>
        <w:tc>
          <w:tcPr>
            <w:tcW w:w="2900" w:type="dxa"/>
            <w:gridSpan w:val="2"/>
            <w:vAlign w:val="bottom"/>
          </w:tcPr>
          <w:p w14:paraId="2819DD92" w14:textId="77777777" w:rsidR="004647B9" w:rsidRDefault="00E2436F">
            <w:pPr>
              <w:spacing w:line="293" w:lineRule="exact"/>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Align w:val="bottom"/>
          </w:tcPr>
          <w:p w14:paraId="2819DD93" w14:textId="77777777" w:rsidR="004647B9" w:rsidRDefault="004647B9">
            <w:pPr>
              <w:rPr>
                <w:sz w:val="24"/>
                <w:szCs w:val="24"/>
              </w:rPr>
            </w:pPr>
          </w:p>
        </w:tc>
        <w:tc>
          <w:tcPr>
            <w:tcW w:w="1520" w:type="dxa"/>
            <w:gridSpan w:val="2"/>
            <w:vAlign w:val="bottom"/>
          </w:tcPr>
          <w:p w14:paraId="2819DD94" w14:textId="77777777" w:rsidR="004647B9" w:rsidRDefault="00E2436F">
            <w:pPr>
              <w:rPr>
                <w:sz w:val="20"/>
                <w:szCs w:val="20"/>
              </w:rPr>
            </w:pPr>
            <w:r>
              <w:rPr>
                <w:rFonts w:eastAsia="Times New Roman"/>
                <w:sz w:val="24"/>
                <w:szCs w:val="24"/>
              </w:rPr>
              <w:t>P or G</w:t>
            </w:r>
          </w:p>
        </w:tc>
        <w:tc>
          <w:tcPr>
            <w:tcW w:w="520" w:type="dxa"/>
            <w:vAlign w:val="bottom"/>
          </w:tcPr>
          <w:p w14:paraId="2819DD95" w14:textId="77777777" w:rsidR="004647B9" w:rsidRDefault="004647B9">
            <w:pPr>
              <w:rPr>
                <w:sz w:val="24"/>
                <w:szCs w:val="24"/>
              </w:rPr>
            </w:pPr>
          </w:p>
        </w:tc>
        <w:tc>
          <w:tcPr>
            <w:tcW w:w="1060" w:type="dxa"/>
            <w:gridSpan w:val="2"/>
            <w:vAlign w:val="bottom"/>
          </w:tcPr>
          <w:p w14:paraId="2819DD96" w14:textId="77777777" w:rsidR="004647B9" w:rsidRDefault="00E2436F">
            <w:pPr>
              <w:rPr>
                <w:sz w:val="20"/>
                <w:szCs w:val="20"/>
              </w:rPr>
            </w:pPr>
            <w:r>
              <w:rPr>
                <w:rFonts w:eastAsia="Times New Roman"/>
                <w:w w:val="99"/>
                <w:sz w:val="24"/>
                <w:szCs w:val="24"/>
              </w:rPr>
              <w:t>six months</w:t>
            </w:r>
          </w:p>
        </w:tc>
        <w:tc>
          <w:tcPr>
            <w:tcW w:w="0" w:type="dxa"/>
            <w:vAlign w:val="bottom"/>
          </w:tcPr>
          <w:p w14:paraId="2819DD97" w14:textId="77777777" w:rsidR="004647B9" w:rsidRDefault="004647B9">
            <w:pPr>
              <w:rPr>
                <w:sz w:val="1"/>
                <w:szCs w:val="1"/>
              </w:rPr>
            </w:pPr>
          </w:p>
        </w:tc>
      </w:tr>
      <w:tr w:rsidR="004647B9" w14:paraId="2819DDA0" w14:textId="77777777">
        <w:trPr>
          <w:trHeight w:val="316"/>
        </w:trPr>
        <w:tc>
          <w:tcPr>
            <w:tcW w:w="2440" w:type="dxa"/>
            <w:gridSpan w:val="2"/>
            <w:vAlign w:val="bottom"/>
          </w:tcPr>
          <w:p w14:paraId="2819DD99" w14:textId="77777777" w:rsidR="004647B9" w:rsidRDefault="00E2436F">
            <w:pPr>
              <w:rPr>
                <w:sz w:val="20"/>
                <w:szCs w:val="20"/>
              </w:rPr>
            </w:pPr>
            <w:r>
              <w:rPr>
                <w:rFonts w:eastAsia="Times New Roman"/>
                <w:sz w:val="24"/>
                <w:szCs w:val="24"/>
              </w:rPr>
              <w:t>Thallium</w:t>
            </w:r>
          </w:p>
        </w:tc>
        <w:tc>
          <w:tcPr>
            <w:tcW w:w="2900" w:type="dxa"/>
            <w:gridSpan w:val="2"/>
            <w:vAlign w:val="bottom"/>
          </w:tcPr>
          <w:p w14:paraId="2819DD9A" w14:textId="77777777" w:rsidR="004647B9" w:rsidRDefault="00E2436F">
            <w:pPr>
              <w:rPr>
                <w:sz w:val="20"/>
                <w:szCs w:val="20"/>
              </w:rPr>
            </w:pPr>
            <w:r>
              <w:rPr>
                <w:rFonts w:eastAsia="Times New Roman"/>
                <w:sz w:val="24"/>
                <w:szCs w:val="24"/>
              </w:rPr>
              <w:t>Con HNO</w:t>
            </w:r>
            <w:r>
              <w:rPr>
                <w:rFonts w:eastAsia="Times New Roman"/>
                <w:sz w:val="27"/>
                <w:szCs w:val="27"/>
                <w:vertAlign w:val="subscript"/>
              </w:rPr>
              <w:t>3</w:t>
            </w:r>
            <w:r>
              <w:rPr>
                <w:rFonts w:eastAsia="Times New Roman"/>
                <w:sz w:val="24"/>
                <w:szCs w:val="24"/>
              </w:rPr>
              <w:t xml:space="preserve"> to pH&lt;2</w:t>
            </w:r>
          </w:p>
        </w:tc>
        <w:tc>
          <w:tcPr>
            <w:tcW w:w="140" w:type="dxa"/>
            <w:vAlign w:val="bottom"/>
          </w:tcPr>
          <w:p w14:paraId="2819DD9B" w14:textId="77777777" w:rsidR="004647B9" w:rsidRDefault="004647B9">
            <w:pPr>
              <w:rPr>
                <w:sz w:val="24"/>
                <w:szCs w:val="24"/>
              </w:rPr>
            </w:pPr>
          </w:p>
        </w:tc>
        <w:tc>
          <w:tcPr>
            <w:tcW w:w="1520" w:type="dxa"/>
            <w:gridSpan w:val="2"/>
            <w:vAlign w:val="bottom"/>
          </w:tcPr>
          <w:p w14:paraId="2819DD9C" w14:textId="77777777" w:rsidR="004647B9" w:rsidRDefault="00E2436F">
            <w:pPr>
              <w:rPr>
                <w:sz w:val="20"/>
                <w:szCs w:val="20"/>
              </w:rPr>
            </w:pPr>
            <w:r>
              <w:rPr>
                <w:rFonts w:eastAsia="Times New Roman"/>
                <w:sz w:val="24"/>
                <w:szCs w:val="24"/>
              </w:rPr>
              <w:t>P or G</w:t>
            </w:r>
          </w:p>
        </w:tc>
        <w:tc>
          <w:tcPr>
            <w:tcW w:w="520" w:type="dxa"/>
            <w:vAlign w:val="bottom"/>
          </w:tcPr>
          <w:p w14:paraId="2819DD9D" w14:textId="77777777" w:rsidR="004647B9" w:rsidRDefault="004647B9">
            <w:pPr>
              <w:rPr>
                <w:sz w:val="24"/>
                <w:szCs w:val="24"/>
              </w:rPr>
            </w:pPr>
          </w:p>
        </w:tc>
        <w:tc>
          <w:tcPr>
            <w:tcW w:w="1060" w:type="dxa"/>
            <w:gridSpan w:val="2"/>
            <w:vAlign w:val="bottom"/>
          </w:tcPr>
          <w:p w14:paraId="2819DD9E" w14:textId="77777777" w:rsidR="004647B9" w:rsidRDefault="00E2436F">
            <w:pPr>
              <w:rPr>
                <w:sz w:val="20"/>
                <w:szCs w:val="20"/>
              </w:rPr>
            </w:pPr>
            <w:r>
              <w:rPr>
                <w:rFonts w:eastAsia="Times New Roman"/>
                <w:w w:val="99"/>
                <w:sz w:val="24"/>
                <w:szCs w:val="24"/>
              </w:rPr>
              <w:t>six months</w:t>
            </w:r>
          </w:p>
        </w:tc>
        <w:tc>
          <w:tcPr>
            <w:tcW w:w="0" w:type="dxa"/>
            <w:vAlign w:val="bottom"/>
          </w:tcPr>
          <w:p w14:paraId="2819DD9F" w14:textId="77777777" w:rsidR="004647B9" w:rsidRDefault="004647B9">
            <w:pPr>
              <w:rPr>
                <w:sz w:val="1"/>
                <w:szCs w:val="1"/>
              </w:rPr>
            </w:pPr>
          </w:p>
        </w:tc>
      </w:tr>
    </w:tbl>
    <w:p w14:paraId="2819DDA1" w14:textId="77777777" w:rsidR="004647B9" w:rsidRDefault="004647B9">
      <w:pPr>
        <w:spacing w:line="212" w:lineRule="exact"/>
        <w:rPr>
          <w:sz w:val="20"/>
          <w:szCs w:val="20"/>
        </w:rPr>
      </w:pPr>
    </w:p>
    <w:p w14:paraId="2819DDA2" w14:textId="77777777" w:rsidR="004647B9" w:rsidRDefault="00E2436F" w:rsidP="00563A54">
      <w:pPr>
        <w:numPr>
          <w:ilvl w:val="0"/>
          <w:numId w:val="138"/>
        </w:numPr>
        <w:tabs>
          <w:tab w:val="left" w:pos="300"/>
        </w:tabs>
        <w:spacing w:line="236" w:lineRule="auto"/>
        <w:ind w:left="300" w:hanging="299"/>
        <w:jc w:val="both"/>
        <w:rPr>
          <w:rFonts w:eastAsia="Times New Roman"/>
          <w:sz w:val="28"/>
          <w:szCs w:val="28"/>
          <w:vertAlign w:val="superscript"/>
        </w:rPr>
      </w:pPr>
      <w:r>
        <w:rPr>
          <w:rFonts w:eastAsia="Times New Roman"/>
          <w:sz w:val="24"/>
          <w:szCs w:val="24"/>
        </w:rPr>
        <w:t>For cyanide determinations samples must be adjusted with sodium hydroxide to pH 12 at the time of collection. When chilling is indicated the sample must be shipped and stored at 4°C or less. Acidification of nitrate or metals samples may be with a concentrated acid or a dilute (50% by volume) solution of the applicable concentrated acid. Acidification of samples for metals analyses is encouraged and allowed at the laboratory rather than at the time of sampling provided the shipping time and other instruction in Section 8.3 of EPA methods 200.78 or 200.8 or 200.9 are followed.</w:t>
      </w:r>
    </w:p>
    <w:p w14:paraId="2819DDA3" w14:textId="77777777" w:rsidR="004647B9" w:rsidRDefault="004647B9">
      <w:pPr>
        <w:spacing w:line="6" w:lineRule="exact"/>
        <w:rPr>
          <w:rFonts w:eastAsia="Times New Roman"/>
          <w:sz w:val="28"/>
          <w:szCs w:val="28"/>
          <w:vertAlign w:val="superscript"/>
        </w:rPr>
      </w:pPr>
    </w:p>
    <w:p w14:paraId="2819DDA4" w14:textId="77777777" w:rsidR="004647B9" w:rsidRDefault="00E2436F" w:rsidP="00563A54">
      <w:pPr>
        <w:numPr>
          <w:ilvl w:val="0"/>
          <w:numId w:val="138"/>
        </w:numPr>
        <w:tabs>
          <w:tab w:val="left" w:pos="300"/>
        </w:tabs>
        <w:spacing w:line="203" w:lineRule="auto"/>
        <w:ind w:left="300" w:hanging="299"/>
        <w:rPr>
          <w:rFonts w:eastAsia="Times New Roman"/>
          <w:sz w:val="28"/>
          <w:szCs w:val="28"/>
          <w:vertAlign w:val="superscript"/>
        </w:rPr>
      </w:pPr>
      <w:r>
        <w:rPr>
          <w:rFonts w:eastAsia="Times New Roman"/>
          <w:sz w:val="24"/>
          <w:szCs w:val="24"/>
        </w:rPr>
        <w:t>P = plastic, hard or soft; G = glass, hard or soft.</w:t>
      </w:r>
    </w:p>
    <w:p w14:paraId="2819DDA5" w14:textId="77777777" w:rsidR="004647B9" w:rsidRDefault="004647B9">
      <w:pPr>
        <w:spacing w:line="1" w:lineRule="exact"/>
        <w:rPr>
          <w:rFonts w:eastAsia="Times New Roman"/>
          <w:sz w:val="28"/>
          <w:szCs w:val="28"/>
          <w:vertAlign w:val="superscript"/>
        </w:rPr>
      </w:pPr>
    </w:p>
    <w:p w14:paraId="2819DDA6" w14:textId="77777777" w:rsidR="004647B9" w:rsidRDefault="00E2436F" w:rsidP="00563A54">
      <w:pPr>
        <w:numPr>
          <w:ilvl w:val="0"/>
          <w:numId w:val="138"/>
        </w:numPr>
        <w:tabs>
          <w:tab w:val="left" w:pos="300"/>
        </w:tabs>
        <w:spacing w:line="219" w:lineRule="auto"/>
        <w:ind w:left="300" w:hanging="300"/>
        <w:rPr>
          <w:rFonts w:eastAsia="Times New Roman"/>
          <w:sz w:val="28"/>
          <w:szCs w:val="28"/>
          <w:vertAlign w:val="superscript"/>
        </w:rPr>
      </w:pPr>
      <w:r>
        <w:rPr>
          <w:rFonts w:eastAsia="Times New Roman"/>
          <w:sz w:val="24"/>
          <w:szCs w:val="24"/>
        </w:rPr>
        <w:t>In all cases, samples should be analyzed as soon after collection as possible. Follow additional (if any) information on preservation, containers, or holding times that is specified in the method.</w:t>
      </w:r>
    </w:p>
    <w:p w14:paraId="2819DDA7" w14:textId="77777777" w:rsidR="004647B9" w:rsidRDefault="004647B9">
      <w:pPr>
        <w:spacing w:line="1" w:lineRule="exact"/>
        <w:rPr>
          <w:rFonts w:eastAsia="Times New Roman"/>
          <w:sz w:val="28"/>
          <w:szCs w:val="28"/>
          <w:vertAlign w:val="superscript"/>
        </w:rPr>
      </w:pPr>
    </w:p>
    <w:p w14:paraId="2819DDA8" w14:textId="77777777" w:rsidR="004647B9" w:rsidRDefault="00E2436F" w:rsidP="00563A54">
      <w:pPr>
        <w:numPr>
          <w:ilvl w:val="0"/>
          <w:numId w:val="138"/>
        </w:numPr>
        <w:tabs>
          <w:tab w:val="left" w:pos="300"/>
        </w:tabs>
        <w:spacing w:line="203" w:lineRule="auto"/>
        <w:ind w:left="300" w:hanging="300"/>
        <w:rPr>
          <w:rFonts w:eastAsia="Times New Roman"/>
          <w:sz w:val="28"/>
          <w:szCs w:val="28"/>
          <w:vertAlign w:val="superscript"/>
        </w:rPr>
      </w:pPr>
      <w:r>
        <w:rPr>
          <w:rFonts w:eastAsia="Times New Roman"/>
          <w:sz w:val="24"/>
          <w:szCs w:val="24"/>
        </w:rPr>
        <w:t>See method(s) for the information for preservation.</w:t>
      </w:r>
    </w:p>
    <w:p w14:paraId="2819DDA9" w14:textId="77777777" w:rsidR="004647B9" w:rsidRDefault="004647B9">
      <w:pPr>
        <w:sectPr w:rsidR="004647B9" w:rsidSect="00EF630C">
          <w:pgSz w:w="12240" w:h="20180"/>
          <w:pgMar w:top="708" w:right="1440" w:bottom="1440" w:left="600" w:header="0" w:footer="0" w:gutter="0"/>
          <w:cols w:space="720" w:equalWidth="0">
            <w:col w:w="10200"/>
          </w:cols>
        </w:sectPr>
      </w:pPr>
    </w:p>
    <w:p w14:paraId="2819DDAA" w14:textId="77777777" w:rsidR="004647B9" w:rsidRDefault="00E2436F">
      <w:pPr>
        <w:tabs>
          <w:tab w:val="left" w:pos="160"/>
        </w:tabs>
        <w:jc w:val="center"/>
        <w:rPr>
          <w:sz w:val="20"/>
          <w:szCs w:val="20"/>
        </w:rPr>
      </w:pPr>
      <w:bookmarkStart w:id="58" w:name="page59"/>
      <w:bookmarkEnd w:id="5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DAB" w14:textId="77777777" w:rsidR="004647B9" w:rsidRDefault="004647B9">
      <w:pPr>
        <w:spacing w:line="200" w:lineRule="exact"/>
        <w:rPr>
          <w:sz w:val="20"/>
          <w:szCs w:val="20"/>
        </w:rPr>
      </w:pPr>
    </w:p>
    <w:p w14:paraId="2819DDAC" w14:textId="77777777" w:rsidR="004647B9" w:rsidRDefault="004647B9">
      <w:pPr>
        <w:spacing w:line="318" w:lineRule="exact"/>
        <w:rPr>
          <w:sz w:val="20"/>
          <w:szCs w:val="20"/>
        </w:rPr>
      </w:pPr>
    </w:p>
    <w:p w14:paraId="2819DDAD"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DAE" w14:textId="77777777" w:rsidR="004647B9" w:rsidRDefault="004647B9" w:rsidP="00922231">
      <w:pPr>
        <w:rPr>
          <w:sz w:val="20"/>
          <w:szCs w:val="20"/>
        </w:rPr>
      </w:pPr>
    </w:p>
    <w:p w14:paraId="2819DDAF" w14:textId="77777777" w:rsidR="004647B9" w:rsidRDefault="00E2436F" w:rsidP="00563A54">
      <w:pPr>
        <w:numPr>
          <w:ilvl w:val="0"/>
          <w:numId w:val="139"/>
        </w:numPr>
        <w:tabs>
          <w:tab w:val="left" w:pos="1794"/>
        </w:tabs>
        <w:spacing w:line="253" w:lineRule="auto"/>
        <w:ind w:left="1200"/>
        <w:jc w:val="both"/>
        <w:rPr>
          <w:rFonts w:eastAsia="Times New Roman"/>
          <w:sz w:val="24"/>
          <w:szCs w:val="24"/>
        </w:rPr>
      </w:pPr>
      <w:r>
        <w:rPr>
          <w:rFonts w:eastAsia="Times New Roman"/>
          <w:sz w:val="24"/>
          <w:szCs w:val="24"/>
          <w:u w:val="single"/>
        </w:rPr>
        <w:t>BATs for IOCs</w:t>
      </w:r>
      <w:r>
        <w:rPr>
          <w:rFonts w:eastAsia="Times New Roman"/>
          <w:sz w:val="24"/>
          <w:szCs w:val="24"/>
        </w:rPr>
        <w:t>: The following are the best technology, Treatment Technique, or other means available for achieving compliance with the Maximum Contaminant Level for inorganic contaminants identified in 310 CMR 22.06(2) except fluoride:</w:t>
      </w:r>
    </w:p>
    <w:p w14:paraId="2819DDB0" w14:textId="77777777" w:rsidR="004647B9" w:rsidRPr="00922231" w:rsidRDefault="004647B9" w:rsidP="00922231">
      <w:pPr>
        <w:rPr>
          <w:sz w:val="24"/>
          <w:szCs w:val="24"/>
        </w:rPr>
      </w:pPr>
    </w:p>
    <w:p w14:paraId="2819DDB1" w14:textId="77777777" w:rsidR="004647B9" w:rsidRDefault="00E2436F">
      <w:pPr>
        <w:ind w:left="1200"/>
        <w:rPr>
          <w:sz w:val="20"/>
          <w:szCs w:val="20"/>
        </w:rPr>
      </w:pPr>
      <w:r>
        <w:rPr>
          <w:rFonts w:eastAsia="Times New Roman"/>
          <w:sz w:val="24"/>
          <w:szCs w:val="24"/>
        </w:rPr>
        <w:t>BAT FOR INORGANIC CONTAMINANTS LISTED IN 310 CMR 22.06(2)</w:t>
      </w:r>
    </w:p>
    <w:tbl>
      <w:tblPr>
        <w:tblW w:w="0" w:type="auto"/>
        <w:tblInd w:w="1880" w:type="dxa"/>
        <w:tblLayout w:type="fixed"/>
        <w:tblCellMar>
          <w:left w:w="0" w:type="dxa"/>
          <w:right w:w="0" w:type="dxa"/>
        </w:tblCellMar>
        <w:tblLook w:val="04A0" w:firstRow="1" w:lastRow="0" w:firstColumn="1" w:lastColumn="0" w:noHBand="0" w:noVBand="1"/>
      </w:tblPr>
      <w:tblGrid>
        <w:gridCol w:w="2600"/>
        <w:gridCol w:w="2360"/>
      </w:tblGrid>
      <w:tr w:rsidR="009B08BA" w14:paraId="2819DDB5" w14:textId="77777777" w:rsidTr="00597CE5">
        <w:trPr>
          <w:trHeight w:val="273"/>
        </w:trPr>
        <w:tc>
          <w:tcPr>
            <w:tcW w:w="2600" w:type="dxa"/>
            <w:vAlign w:val="bottom"/>
          </w:tcPr>
          <w:p w14:paraId="2819DDB2" w14:textId="77777777" w:rsidR="009B08BA" w:rsidRPr="009B08BA" w:rsidRDefault="009B08BA">
            <w:pPr>
              <w:spacing w:line="273" w:lineRule="exact"/>
              <w:rPr>
                <w:sz w:val="20"/>
                <w:szCs w:val="20"/>
                <w:u w:val="single"/>
              </w:rPr>
            </w:pPr>
            <w:r w:rsidRPr="009B08BA">
              <w:rPr>
                <w:rFonts w:eastAsia="Times New Roman"/>
                <w:sz w:val="24"/>
                <w:szCs w:val="24"/>
                <w:u w:val="single"/>
              </w:rPr>
              <w:t>CHEMICAL NAME</w:t>
            </w:r>
          </w:p>
        </w:tc>
        <w:tc>
          <w:tcPr>
            <w:tcW w:w="2360" w:type="dxa"/>
            <w:vAlign w:val="bottom"/>
          </w:tcPr>
          <w:p w14:paraId="2819DDB4" w14:textId="77777777" w:rsidR="009B08BA" w:rsidRPr="009B08BA" w:rsidRDefault="009B08BA" w:rsidP="009B08BA">
            <w:pPr>
              <w:spacing w:line="273" w:lineRule="exact"/>
              <w:ind w:left="576"/>
              <w:rPr>
                <w:sz w:val="20"/>
                <w:szCs w:val="20"/>
                <w:u w:val="single"/>
              </w:rPr>
            </w:pPr>
            <w:r w:rsidRPr="009B08BA">
              <w:rPr>
                <w:rFonts w:eastAsia="Times New Roman"/>
                <w:sz w:val="24"/>
                <w:szCs w:val="24"/>
                <w:u w:val="single"/>
              </w:rPr>
              <w:t>BAT(s)</w:t>
            </w:r>
          </w:p>
        </w:tc>
      </w:tr>
      <w:tr w:rsidR="009B08BA" w14:paraId="2819DDBB" w14:textId="77777777" w:rsidTr="00597CE5">
        <w:trPr>
          <w:trHeight w:val="252"/>
        </w:trPr>
        <w:tc>
          <w:tcPr>
            <w:tcW w:w="2600" w:type="dxa"/>
            <w:vAlign w:val="bottom"/>
          </w:tcPr>
          <w:p w14:paraId="2819DDB7" w14:textId="1A0B8FD5" w:rsidR="009B08BA" w:rsidRDefault="009B08BA">
            <w:pPr>
              <w:rPr>
                <w:sz w:val="21"/>
                <w:szCs w:val="21"/>
              </w:rPr>
            </w:pPr>
            <w:r>
              <w:rPr>
                <w:rFonts w:eastAsia="Times New Roman"/>
                <w:sz w:val="24"/>
                <w:szCs w:val="24"/>
              </w:rPr>
              <w:t>Antimony</w:t>
            </w:r>
          </w:p>
        </w:tc>
        <w:tc>
          <w:tcPr>
            <w:tcW w:w="2360" w:type="dxa"/>
            <w:vAlign w:val="bottom"/>
          </w:tcPr>
          <w:p w14:paraId="2819DDBA" w14:textId="340A7FE7" w:rsidR="009B08BA" w:rsidRDefault="009B08BA" w:rsidP="009B08BA">
            <w:pPr>
              <w:ind w:left="576"/>
              <w:rPr>
                <w:sz w:val="21"/>
                <w:szCs w:val="21"/>
              </w:rPr>
            </w:pPr>
            <w:r>
              <w:rPr>
                <w:rFonts w:eastAsia="Times New Roman"/>
                <w:sz w:val="24"/>
                <w:szCs w:val="24"/>
              </w:rPr>
              <w:t>2,7</w:t>
            </w:r>
          </w:p>
        </w:tc>
      </w:tr>
      <w:tr w:rsidR="004647B9" w14:paraId="2819DDBE" w14:textId="77777777" w:rsidTr="00597CE5">
        <w:trPr>
          <w:trHeight w:val="274"/>
        </w:trPr>
        <w:tc>
          <w:tcPr>
            <w:tcW w:w="2600" w:type="dxa"/>
            <w:vAlign w:val="bottom"/>
          </w:tcPr>
          <w:p w14:paraId="2819DDBC" w14:textId="77777777" w:rsidR="004647B9" w:rsidRDefault="00E2436F">
            <w:pPr>
              <w:spacing w:line="273" w:lineRule="exact"/>
              <w:rPr>
                <w:sz w:val="20"/>
                <w:szCs w:val="20"/>
              </w:rPr>
            </w:pPr>
            <w:r>
              <w:rPr>
                <w:rFonts w:eastAsia="Times New Roman"/>
                <w:sz w:val="24"/>
                <w:szCs w:val="24"/>
              </w:rPr>
              <w:t>Arsenic</w:t>
            </w:r>
          </w:p>
        </w:tc>
        <w:tc>
          <w:tcPr>
            <w:tcW w:w="2360" w:type="dxa"/>
            <w:vAlign w:val="bottom"/>
          </w:tcPr>
          <w:p w14:paraId="2819DDBD" w14:textId="77777777" w:rsidR="004647B9" w:rsidRPr="00922231" w:rsidRDefault="00E2436F">
            <w:pPr>
              <w:spacing w:line="273" w:lineRule="exact"/>
              <w:ind w:left="580"/>
              <w:rPr>
                <w:sz w:val="24"/>
                <w:szCs w:val="24"/>
              </w:rPr>
            </w:pPr>
            <w:r w:rsidRPr="00597CE5">
              <w:rPr>
                <w:rFonts w:eastAsia="Times New Roman"/>
                <w:sz w:val="24"/>
                <w:szCs w:val="24"/>
              </w:rPr>
              <w:t>1, 2, 5, 6, 7, 9, 12</w:t>
            </w:r>
            <w:r w:rsidRPr="00922231">
              <w:rPr>
                <w:rFonts w:eastAsia="Times New Roman"/>
                <w:w w:val="97"/>
                <w:sz w:val="24"/>
                <w:szCs w:val="24"/>
                <w:vertAlign w:val="superscript"/>
              </w:rPr>
              <w:t>5</w:t>
            </w:r>
          </w:p>
        </w:tc>
      </w:tr>
      <w:tr w:rsidR="009B08BA" w14:paraId="2819DDC2" w14:textId="77777777" w:rsidTr="00597CE5">
        <w:trPr>
          <w:trHeight w:val="274"/>
        </w:trPr>
        <w:tc>
          <w:tcPr>
            <w:tcW w:w="2600" w:type="dxa"/>
            <w:vAlign w:val="bottom"/>
          </w:tcPr>
          <w:p w14:paraId="2819DDBF" w14:textId="77777777" w:rsidR="009B08BA" w:rsidRDefault="009B08BA">
            <w:pPr>
              <w:spacing w:line="273" w:lineRule="exact"/>
              <w:rPr>
                <w:sz w:val="20"/>
                <w:szCs w:val="20"/>
              </w:rPr>
            </w:pPr>
            <w:r>
              <w:rPr>
                <w:rFonts w:eastAsia="Times New Roman"/>
                <w:sz w:val="24"/>
                <w:szCs w:val="24"/>
              </w:rPr>
              <w:t>Asbestos</w:t>
            </w:r>
          </w:p>
        </w:tc>
        <w:tc>
          <w:tcPr>
            <w:tcW w:w="2360" w:type="dxa"/>
            <w:vAlign w:val="bottom"/>
          </w:tcPr>
          <w:p w14:paraId="2819DDC1" w14:textId="456B22F7" w:rsidR="009B08BA" w:rsidRDefault="009B08BA" w:rsidP="009B08BA">
            <w:pPr>
              <w:ind w:left="576"/>
              <w:rPr>
                <w:sz w:val="23"/>
                <w:szCs w:val="23"/>
              </w:rPr>
            </w:pPr>
            <w:r>
              <w:rPr>
                <w:rFonts w:eastAsia="Times New Roman"/>
                <w:sz w:val="24"/>
                <w:szCs w:val="24"/>
              </w:rPr>
              <w:t>2, 3, 8</w:t>
            </w:r>
          </w:p>
        </w:tc>
      </w:tr>
      <w:tr w:rsidR="004647B9" w14:paraId="2819DDC5" w14:textId="77777777" w:rsidTr="00597CE5">
        <w:trPr>
          <w:trHeight w:val="274"/>
        </w:trPr>
        <w:tc>
          <w:tcPr>
            <w:tcW w:w="2600" w:type="dxa"/>
            <w:vAlign w:val="bottom"/>
          </w:tcPr>
          <w:p w14:paraId="2819DDC3" w14:textId="77777777" w:rsidR="004647B9" w:rsidRDefault="00E2436F">
            <w:pPr>
              <w:spacing w:line="273" w:lineRule="exact"/>
              <w:rPr>
                <w:sz w:val="20"/>
                <w:szCs w:val="20"/>
              </w:rPr>
            </w:pPr>
            <w:r>
              <w:rPr>
                <w:rFonts w:eastAsia="Times New Roman"/>
                <w:sz w:val="24"/>
                <w:szCs w:val="24"/>
              </w:rPr>
              <w:t>Barium</w:t>
            </w:r>
          </w:p>
        </w:tc>
        <w:tc>
          <w:tcPr>
            <w:tcW w:w="2360" w:type="dxa"/>
            <w:vAlign w:val="bottom"/>
          </w:tcPr>
          <w:p w14:paraId="2819DDC4" w14:textId="77777777" w:rsidR="004647B9" w:rsidRDefault="00E2436F">
            <w:pPr>
              <w:spacing w:line="273" w:lineRule="exact"/>
              <w:ind w:left="580"/>
              <w:rPr>
                <w:sz w:val="20"/>
                <w:szCs w:val="20"/>
              </w:rPr>
            </w:pPr>
            <w:r>
              <w:rPr>
                <w:rFonts w:eastAsia="Times New Roman"/>
                <w:sz w:val="24"/>
                <w:szCs w:val="24"/>
              </w:rPr>
              <w:t>5, 6, 7, 9</w:t>
            </w:r>
          </w:p>
        </w:tc>
      </w:tr>
      <w:tr w:rsidR="004647B9" w14:paraId="2819DDC8" w14:textId="77777777" w:rsidTr="00597CE5">
        <w:trPr>
          <w:trHeight w:val="274"/>
        </w:trPr>
        <w:tc>
          <w:tcPr>
            <w:tcW w:w="2600" w:type="dxa"/>
            <w:vAlign w:val="bottom"/>
          </w:tcPr>
          <w:p w14:paraId="2819DDC6" w14:textId="77777777" w:rsidR="004647B9" w:rsidRDefault="00E2436F">
            <w:pPr>
              <w:spacing w:line="273" w:lineRule="exact"/>
              <w:rPr>
                <w:sz w:val="20"/>
                <w:szCs w:val="20"/>
              </w:rPr>
            </w:pPr>
            <w:r>
              <w:rPr>
                <w:rFonts w:eastAsia="Times New Roman"/>
                <w:sz w:val="24"/>
                <w:szCs w:val="24"/>
              </w:rPr>
              <w:t>Beryllium</w:t>
            </w:r>
          </w:p>
        </w:tc>
        <w:tc>
          <w:tcPr>
            <w:tcW w:w="2360" w:type="dxa"/>
            <w:vAlign w:val="bottom"/>
          </w:tcPr>
          <w:p w14:paraId="2819DDC7" w14:textId="77777777" w:rsidR="004647B9" w:rsidRDefault="00E2436F">
            <w:pPr>
              <w:spacing w:line="273" w:lineRule="exact"/>
              <w:ind w:left="580"/>
              <w:rPr>
                <w:sz w:val="20"/>
                <w:szCs w:val="20"/>
              </w:rPr>
            </w:pPr>
            <w:r>
              <w:rPr>
                <w:rFonts w:eastAsia="Times New Roman"/>
                <w:sz w:val="24"/>
                <w:szCs w:val="24"/>
              </w:rPr>
              <w:t>1, 2, 5, 6, 7</w:t>
            </w:r>
          </w:p>
        </w:tc>
      </w:tr>
      <w:tr w:rsidR="004647B9" w14:paraId="2819DDCB" w14:textId="77777777" w:rsidTr="00597CE5">
        <w:trPr>
          <w:trHeight w:val="274"/>
        </w:trPr>
        <w:tc>
          <w:tcPr>
            <w:tcW w:w="2600" w:type="dxa"/>
            <w:vAlign w:val="bottom"/>
          </w:tcPr>
          <w:p w14:paraId="2819DDC9" w14:textId="77777777" w:rsidR="004647B9" w:rsidRDefault="00E2436F">
            <w:pPr>
              <w:spacing w:line="273" w:lineRule="exact"/>
              <w:rPr>
                <w:sz w:val="20"/>
                <w:szCs w:val="20"/>
              </w:rPr>
            </w:pPr>
            <w:r>
              <w:rPr>
                <w:rFonts w:eastAsia="Times New Roman"/>
                <w:sz w:val="24"/>
                <w:szCs w:val="24"/>
              </w:rPr>
              <w:t>Cadmium</w:t>
            </w:r>
          </w:p>
        </w:tc>
        <w:tc>
          <w:tcPr>
            <w:tcW w:w="2360" w:type="dxa"/>
            <w:vAlign w:val="bottom"/>
          </w:tcPr>
          <w:p w14:paraId="2819DDCA" w14:textId="77777777" w:rsidR="004647B9" w:rsidRDefault="00E2436F">
            <w:pPr>
              <w:spacing w:line="273" w:lineRule="exact"/>
              <w:ind w:left="580"/>
              <w:rPr>
                <w:sz w:val="20"/>
                <w:szCs w:val="20"/>
              </w:rPr>
            </w:pPr>
            <w:r>
              <w:rPr>
                <w:rFonts w:eastAsia="Times New Roman"/>
                <w:sz w:val="24"/>
                <w:szCs w:val="24"/>
              </w:rPr>
              <w:t>2, 5, 6, 7</w:t>
            </w:r>
          </w:p>
        </w:tc>
      </w:tr>
      <w:tr w:rsidR="004647B9" w14:paraId="2819DDCE" w14:textId="77777777" w:rsidTr="00597CE5">
        <w:trPr>
          <w:trHeight w:val="274"/>
        </w:trPr>
        <w:tc>
          <w:tcPr>
            <w:tcW w:w="2600" w:type="dxa"/>
            <w:vAlign w:val="bottom"/>
          </w:tcPr>
          <w:p w14:paraId="2819DDCC" w14:textId="77777777" w:rsidR="004647B9" w:rsidRDefault="00E2436F">
            <w:pPr>
              <w:spacing w:line="273" w:lineRule="exact"/>
              <w:rPr>
                <w:sz w:val="20"/>
                <w:szCs w:val="20"/>
              </w:rPr>
            </w:pPr>
            <w:r>
              <w:rPr>
                <w:rFonts w:eastAsia="Times New Roman"/>
                <w:sz w:val="24"/>
                <w:szCs w:val="24"/>
              </w:rPr>
              <w:t>Chromium</w:t>
            </w:r>
          </w:p>
        </w:tc>
        <w:tc>
          <w:tcPr>
            <w:tcW w:w="2360" w:type="dxa"/>
            <w:vAlign w:val="bottom"/>
          </w:tcPr>
          <w:p w14:paraId="2819DDCD" w14:textId="77777777" w:rsidR="004647B9" w:rsidRDefault="00E2436F">
            <w:pPr>
              <w:spacing w:line="273" w:lineRule="exact"/>
              <w:ind w:left="580"/>
              <w:rPr>
                <w:sz w:val="20"/>
                <w:szCs w:val="20"/>
              </w:rPr>
            </w:pPr>
            <w:r>
              <w:rPr>
                <w:rFonts w:eastAsia="Times New Roman"/>
                <w:sz w:val="24"/>
                <w:szCs w:val="24"/>
              </w:rPr>
              <w:t>2, 5, 6</w:t>
            </w:r>
            <w:r>
              <w:rPr>
                <w:rFonts w:eastAsia="Times New Roman"/>
                <w:sz w:val="27"/>
                <w:szCs w:val="27"/>
                <w:vertAlign w:val="superscript"/>
              </w:rPr>
              <w:t>2</w:t>
            </w:r>
            <w:r>
              <w:rPr>
                <w:rFonts w:eastAsia="Times New Roman"/>
                <w:sz w:val="24"/>
                <w:szCs w:val="24"/>
              </w:rPr>
              <w:t>, 7</w:t>
            </w:r>
          </w:p>
        </w:tc>
      </w:tr>
      <w:tr w:rsidR="009B08BA" w14:paraId="2819DDD2" w14:textId="77777777" w:rsidTr="00597CE5">
        <w:trPr>
          <w:trHeight w:val="274"/>
        </w:trPr>
        <w:tc>
          <w:tcPr>
            <w:tcW w:w="2600" w:type="dxa"/>
            <w:vAlign w:val="bottom"/>
          </w:tcPr>
          <w:p w14:paraId="2819DDCF" w14:textId="77777777" w:rsidR="009B08BA" w:rsidRDefault="009B08BA">
            <w:pPr>
              <w:spacing w:line="273" w:lineRule="exact"/>
              <w:rPr>
                <w:sz w:val="20"/>
                <w:szCs w:val="20"/>
              </w:rPr>
            </w:pPr>
            <w:r>
              <w:rPr>
                <w:rFonts w:eastAsia="Times New Roman"/>
                <w:sz w:val="24"/>
                <w:szCs w:val="24"/>
              </w:rPr>
              <w:t>Cyanide</w:t>
            </w:r>
          </w:p>
        </w:tc>
        <w:tc>
          <w:tcPr>
            <w:tcW w:w="2360" w:type="dxa"/>
            <w:vAlign w:val="bottom"/>
          </w:tcPr>
          <w:p w14:paraId="2819DDD1" w14:textId="012B8414" w:rsidR="009B08BA" w:rsidRDefault="009B08BA" w:rsidP="009B08BA">
            <w:pPr>
              <w:ind w:left="576"/>
              <w:rPr>
                <w:sz w:val="23"/>
                <w:szCs w:val="23"/>
              </w:rPr>
            </w:pPr>
            <w:r>
              <w:rPr>
                <w:rFonts w:eastAsia="Times New Roman"/>
                <w:w w:val="97"/>
                <w:sz w:val="24"/>
                <w:szCs w:val="24"/>
              </w:rPr>
              <w:t>5, 7, 13</w:t>
            </w:r>
          </w:p>
        </w:tc>
      </w:tr>
      <w:tr w:rsidR="004647B9" w14:paraId="2819DDD5" w14:textId="77777777" w:rsidTr="00597CE5">
        <w:trPr>
          <w:trHeight w:val="274"/>
        </w:trPr>
        <w:tc>
          <w:tcPr>
            <w:tcW w:w="2600" w:type="dxa"/>
            <w:vAlign w:val="bottom"/>
          </w:tcPr>
          <w:p w14:paraId="2819DDD3" w14:textId="77777777" w:rsidR="004647B9" w:rsidRDefault="00E2436F">
            <w:pPr>
              <w:spacing w:line="273" w:lineRule="exact"/>
              <w:rPr>
                <w:sz w:val="20"/>
                <w:szCs w:val="20"/>
              </w:rPr>
            </w:pPr>
            <w:r>
              <w:rPr>
                <w:rFonts w:eastAsia="Times New Roman"/>
                <w:sz w:val="24"/>
                <w:szCs w:val="24"/>
              </w:rPr>
              <w:t>Mercury</w:t>
            </w:r>
          </w:p>
        </w:tc>
        <w:tc>
          <w:tcPr>
            <w:tcW w:w="2360" w:type="dxa"/>
            <w:vAlign w:val="bottom"/>
          </w:tcPr>
          <w:p w14:paraId="2819DDD4" w14:textId="173850DC" w:rsidR="004647B9" w:rsidRDefault="00E2436F" w:rsidP="009B08BA">
            <w:pPr>
              <w:spacing w:line="273" w:lineRule="exact"/>
              <w:ind w:left="576"/>
              <w:rPr>
                <w:sz w:val="20"/>
                <w:szCs w:val="20"/>
              </w:rPr>
            </w:pPr>
            <w:r>
              <w:rPr>
                <w:rFonts w:eastAsia="Times New Roman"/>
                <w:sz w:val="24"/>
                <w:szCs w:val="24"/>
              </w:rPr>
              <w:t>2</w:t>
            </w:r>
            <w:r>
              <w:rPr>
                <w:rFonts w:eastAsia="Times New Roman"/>
                <w:sz w:val="27"/>
                <w:szCs w:val="27"/>
                <w:vertAlign w:val="superscript"/>
              </w:rPr>
              <w:t>1</w:t>
            </w:r>
            <w:r>
              <w:rPr>
                <w:rFonts w:eastAsia="Times New Roman"/>
                <w:sz w:val="24"/>
                <w:szCs w:val="24"/>
              </w:rPr>
              <w:t>, 4, 6</w:t>
            </w:r>
            <w:r>
              <w:rPr>
                <w:rFonts w:eastAsia="Times New Roman"/>
                <w:sz w:val="27"/>
                <w:szCs w:val="27"/>
                <w:vertAlign w:val="superscript"/>
              </w:rPr>
              <w:t>1</w:t>
            </w:r>
            <w:r>
              <w:rPr>
                <w:rFonts w:eastAsia="Times New Roman"/>
                <w:sz w:val="24"/>
                <w:szCs w:val="24"/>
              </w:rPr>
              <w:t>, 7</w:t>
            </w:r>
            <w:r>
              <w:rPr>
                <w:rFonts w:eastAsia="Times New Roman"/>
                <w:sz w:val="27"/>
                <w:szCs w:val="27"/>
                <w:vertAlign w:val="superscript"/>
              </w:rPr>
              <w:t>1</w:t>
            </w:r>
          </w:p>
        </w:tc>
      </w:tr>
      <w:tr w:rsidR="009B08BA" w14:paraId="2819DDD9" w14:textId="77777777" w:rsidTr="00597CE5">
        <w:trPr>
          <w:trHeight w:val="274"/>
        </w:trPr>
        <w:tc>
          <w:tcPr>
            <w:tcW w:w="2600" w:type="dxa"/>
            <w:vAlign w:val="bottom"/>
          </w:tcPr>
          <w:p w14:paraId="2819DDD6" w14:textId="77777777" w:rsidR="009B08BA" w:rsidRDefault="009B08BA">
            <w:pPr>
              <w:spacing w:line="273" w:lineRule="exact"/>
              <w:rPr>
                <w:sz w:val="20"/>
                <w:szCs w:val="20"/>
              </w:rPr>
            </w:pPr>
            <w:r>
              <w:rPr>
                <w:rFonts w:eastAsia="Times New Roman"/>
                <w:sz w:val="24"/>
                <w:szCs w:val="24"/>
              </w:rPr>
              <w:t>Nickel</w:t>
            </w:r>
          </w:p>
        </w:tc>
        <w:tc>
          <w:tcPr>
            <w:tcW w:w="2360" w:type="dxa"/>
            <w:vAlign w:val="bottom"/>
          </w:tcPr>
          <w:p w14:paraId="2819DDD8" w14:textId="2725D8BB" w:rsidR="009B08BA" w:rsidRDefault="009B08BA" w:rsidP="009B08BA">
            <w:pPr>
              <w:ind w:left="576"/>
              <w:rPr>
                <w:sz w:val="23"/>
                <w:szCs w:val="23"/>
              </w:rPr>
            </w:pPr>
            <w:r>
              <w:rPr>
                <w:rFonts w:eastAsia="Times New Roman"/>
                <w:sz w:val="24"/>
                <w:szCs w:val="24"/>
              </w:rPr>
              <w:t>5, 6, 7</w:t>
            </w:r>
          </w:p>
        </w:tc>
      </w:tr>
      <w:tr w:rsidR="009B08BA" w14:paraId="2819DDDD" w14:textId="77777777" w:rsidTr="00597CE5">
        <w:trPr>
          <w:trHeight w:val="274"/>
        </w:trPr>
        <w:tc>
          <w:tcPr>
            <w:tcW w:w="2600" w:type="dxa"/>
            <w:vAlign w:val="bottom"/>
          </w:tcPr>
          <w:p w14:paraId="2819DDDA" w14:textId="77777777" w:rsidR="009B08BA" w:rsidRDefault="009B08BA">
            <w:pPr>
              <w:spacing w:line="273" w:lineRule="exact"/>
              <w:rPr>
                <w:sz w:val="20"/>
                <w:szCs w:val="20"/>
              </w:rPr>
            </w:pPr>
            <w:r>
              <w:rPr>
                <w:rFonts w:eastAsia="Times New Roman"/>
                <w:sz w:val="24"/>
                <w:szCs w:val="24"/>
              </w:rPr>
              <w:t>Nitrate</w:t>
            </w:r>
          </w:p>
        </w:tc>
        <w:tc>
          <w:tcPr>
            <w:tcW w:w="2360" w:type="dxa"/>
            <w:vAlign w:val="bottom"/>
          </w:tcPr>
          <w:p w14:paraId="2819DDDC" w14:textId="65D0321E" w:rsidR="009B08BA" w:rsidRDefault="009B08BA" w:rsidP="009B08BA">
            <w:pPr>
              <w:ind w:left="576"/>
              <w:rPr>
                <w:sz w:val="23"/>
                <w:szCs w:val="23"/>
              </w:rPr>
            </w:pPr>
            <w:r>
              <w:rPr>
                <w:rFonts w:eastAsia="Times New Roman"/>
                <w:sz w:val="24"/>
                <w:szCs w:val="24"/>
              </w:rPr>
              <w:t>5, 7, 9</w:t>
            </w:r>
          </w:p>
        </w:tc>
      </w:tr>
      <w:tr w:rsidR="009B08BA" w14:paraId="2819DDE1" w14:textId="77777777" w:rsidTr="00597CE5">
        <w:trPr>
          <w:trHeight w:val="274"/>
        </w:trPr>
        <w:tc>
          <w:tcPr>
            <w:tcW w:w="2600" w:type="dxa"/>
            <w:vAlign w:val="bottom"/>
          </w:tcPr>
          <w:p w14:paraId="2819DDDE" w14:textId="77777777" w:rsidR="009B08BA" w:rsidRDefault="009B08BA">
            <w:pPr>
              <w:spacing w:line="273" w:lineRule="exact"/>
              <w:rPr>
                <w:sz w:val="20"/>
                <w:szCs w:val="20"/>
              </w:rPr>
            </w:pPr>
            <w:r>
              <w:rPr>
                <w:rFonts w:eastAsia="Times New Roman"/>
                <w:sz w:val="24"/>
                <w:szCs w:val="24"/>
              </w:rPr>
              <w:t>Nitrite</w:t>
            </w:r>
          </w:p>
        </w:tc>
        <w:tc>
          <w:tcPr>
            <w:tcW w:w="2360" w:type="dxa"/>
            <w:vAlign w:val="bottom"/>
          </w:tcPr>
          <w:p w14:paraId="2819DDE0" w14:textId="322F7499" w:rsidR="009B08BA" w:rsidRDefault="009B08BA" w:rsidP="009B08BA">
            <w:pPr>
              <w:ind w:left="576"/>
              <w:rPr>
                <w:sz w:val="23"/>
                <w:szCs w:val="23"/>
              </w:rPr>
            </w:pPr>
            <w:r>
              <w:rPr>
                <w:rFonts w:eastAsia="Times New Roman"/>
                <w:sz w:val="24"/>
                <w:szCs w:val="24"/>
              </w:rPr>
              <w:t>5, 7</w:t>
            </w:r>
          </w:p>
        </w:tc>
      </w:tr>
      <w:tr w:rsidR="009B08BA" w14:paraId="2819DDE5" w14:textId="77777777" w:rsidTr="00597CE5">
        <w:trPr>
          <w:trHeight w:val="274"/>
        </w:trPr>
        <w:tc>
          <w:tcPr>
            <w:tcW w:w="2600" w:type="dxa"/>
            <w:vAlign w:val="bottom"/>
          </w:tcPr>
          <w:p w14:paraId="2819DDE2" w14:textId="77777777" w:rsidR="009B08BA" w:rsidRDefault="009B08BA">
            <w:pPr>
              <w:spacing w:line="273" w:lineRule="exact"/>
              <w:rPr>
                <w:sz w:val="20"/>
                <w:szCs w:val="20"/>
              </w:rPr>
            </w:pPr>
            <w:r>
              <w:rPr>
                <w:rFonts w:eastAsia="Times New Roman"/>
                <w:sz w:val="24"/>
                <w:szCs w:val="24"/>
              </w:rPr>
              <w:t>Perchlorate</w:t>
            </w:r>
          </w:p>
        </w:tc>
        <w:tc>
          <w:tcPr>
            <w:tcW w:w="2360" w:type="dxa"/>
            <w:vAlign w:val="bottom"/>
          </w:tcPr>
          <w:p w14:paraId="2819DDE4" w14:textId="7768576A" w:rsidR="009B08BA" w:rsidRDefault="009B08BA" w:rsidP="009B08BA">
            <w:pPr>
              <w:ind w:left="576"/>
              <w:rPr>
                <w:sz w:val="23"/>
                <w:szCs w:val="23"/>
              </w:rPr>
            </w:pPr>
            <w:r>
              <w:rPr>
                <w:rFonts w:eastAsia="Times New Roman"/>
                <w:sz w:val="24"/>
                <w:szCs w:val="24"/>
              </w:rPr>
              <w:t>5</w:t>
            </w:r>
          </w:p>
        </w:tc>
      </w:tr>
      <w:tr w:rsidR="004647B9" w14:paraId="2819DDE8" w14:textId="77777777" w:rsidTr="00597CE5">
        <w:trPr>
          <w:trHeight w:val="274"/>
        </w:trPr>
        <w:tc>
          <w:tcPr>
            <w:tcW w:w="2600" w:type="dxa"/>
            <w:vAlign w:val="bottom"/>
          </w:tcPr>
          <w:p w14:paraId="2819DDE6" w14:textId="77777777" w:rsidR="004647B9" w:rsidRDefault="00E2436F">
            <w:pPr>
              <w:spacing w:line="273" w:lineRule="exact"/>
              <w:rPr>
                <w:sz w:val="20"/>
                <w:szCs w:val="20"/>
              </w:rPr>
            </w:pPr>
            <w:r>
              <w:rPr>
                <w:rFonts w:eastAsia="Times New Roman"/>
                <w:sz w:val="24"/>
                <w:szCs w:val="24"/>
              </w:rPr>
              <w:t>Selenium</w:t>
            </w:r>
          </w:p>
        </w:tc>
        <w:tc>
          <w:tcPr>
            <w:tcW w:w="2360" w:type="dxa"/>
            <w:vAlign w:val="bottom"/>
          </w:tcPr>
          <w:p w14:paraId="2819DDE7" w14:textId="77777777" w:rsidR="004647B9" w:rsidRDefault="00E2436F" w:rsidP="009B08BA">
            <w:pPr>
              <w:spacing w:line="273" w:lineRule="exact"/>
              <w:ind w:left="576"/>
              <w:rPr>
                <w:sz w:val="20"/>
                <w:szCs w:val="20"/>
              </w:rPr>
            </w:pPr>
            <w:r>
              <w:rPr>
                <w:rFonts w:eastAsia="Times New Roman"/>
                <w:sz w:val="24"/>
                <w:szCs w:val="24"/>
              </w:rPr>
              <w:t>1, 2</w:t>
            </w:r>
            <w:r>
              <w:rPr>
                <w:rFonts w:eastAsia="Times New Roman"/>
                <w:sz w:val="27"/>
                <w:szCs w:val="27"/>
                <w:vertAlign w:val="superscript"/>
              </w:rPr>
              <w:t>3</w:t>
            </w:r>
            <w:r>
              <w:rPr>
                <w:rFonts w:eastAsia="Times New Roman"/>
                <w:sz w:val="24"/>
                <w:szCs w:val="24"/>
              </w:rPr>
              <w:t>, 6, 7, 9</w:t>
            </w:r>
          </w:p>
        </w:tc>
      </w:tr>
      <w:tr w:rsidR="00652690" w14:paraId="2819DDEC" w14:textId="77777777" w:rsidTr="00597CE5">
        <w:trPr>
          <w:trHeight w:val="312"/>
        </w:trPr>
        <w:tc>
          <w:tcPr>
            <w:tcW w:w="2600" w:type="dxa"/>
            <w:vAlign w:val="bottom"/>
          </w:tcPr>
          <w:p w14:paraId="2819DDE9" w14:textId="77777777" w:rsidR="00652690" w:rsidRDefault="00652690">
            <w:pPr>
              <w:rPr>
                <w:sz w:val="20"/>
                <w:szCs w:val="20"/>
              </w:rPr>
            </w:pPr>
            <w:r>
              <w:rPr>
                <w:rFonts w:eastAsia="Times New Roman"/>
                <w:sz w:val="24"/>
                <w:szCs w:val="24"/>
              </w:rPr>
              <w:t>Thallium</w:t>
            </w:r>
          </w:p>
        </w:tc>
        <w:tc>
          <w:tcPr>
            <w:tcW w:w="2360" w:type="dxa"/>
            <w:vAlign w:val="bottom"/>
          </w:tcPr>
          <w:p w14:paraId="2819DDEB" w14:textId="0C414D34" w:rsidR="00652690" w:rsidRDefault="00652690" w:rsidP="00652690">
            <w:pPr>
              <w:ind w:left="576"/>
              <w:rPr>
                <w:sz w:val="24"/>
                <w:szCs w:val="24"/>
              </w:rPr>
            </w:pPr>
            <w:r>
              <w:rPr>
                <w:rFonts w:eastAsia="Times New Roman"/>
                <w:sz w:val="24"/>
                <w:szCs w:val="24"/>
              </w:rPr>
              <w:t>1, 5</w:t>
            </w:r>
          </w:p>
        </w:tc>
      </w:tr>
    </w:tbl>
    <w:p w14:paraId="2819DDED" w14:textId="77777777" w:rsidR="004647B9" w:rsidRPr="00922231" w:rsidRDefault="004647B9" w:rsidP="00922231">
      <w:pPr>
        <w:rPr>
          <w:sz w:val="24"/>
          <w:szCs w:val="24"/>
        </w:rPr>
      </w:pPr>
    </w:p>
    <w:p w14:paraId="2819DDEE" w14:textId="77777777" w:rsidR="004647B9" w:rsidRPr="00747BE7" w:rsidRDefault="00E2436F">
      <w:pPr>
        <w:rPr>
          <w:sz w:val="24"/>
          <w:szCs w:val="24"/>
        </w:rPr>
      </w:pPr>
      <w:r w:rsidRPr="00747BE7">
        <w:rPr>
          <w:rFonts w:eastAsia="Times New Roman"/>
          <w:sz w:val="24"/>
          <w:szCs w:val="24"/>
        </w:rPr>
        <w:t>Key to BATs in Table</w:t>
      </w:r>
    </w:p>
    <w:p w14:paraId="2819DDF1" w14:textId="77777777" w:rsidR="004647B9" w:rsidRPr="00747BE7" w:rsidRDefault="00E2436F" w:rsidP="00563A54">
      <w:pPr>
        <w:numPr>
          <w:ilvl w:val="0"/>
          <w:numId w:val="140"/>
        </w:numPr>
        <w:tabs>
          <w:tab w:val="left" w:pos="300"/>
        </w:tabs>
        <w:ind w:left="300" w:hanging="300"/>
        <w:rPr>
          <w:rFonts w:eastAsia="Times New Roman"/>
          <w:sz w:val="24"/>
          <w:szCs w:val="24"/>
        </w:rPr>
      </w:pPr>
      <w:r w:rsidRPr="00747BE7">
        <w:rPr>
          <w:rFonts w:eastAsia="Times New Roman"/>
          <w:sz w:val="24"/>
          <w:szCs w:val="24"/>
        </w:rPr>
        <w:t>= Activated Alumina</w:t>
      </w:r>
    </w:p>
    <w:p w14:paraId="2819DDF2"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Coagulation/Filtration (Not BAT for Systems &lt;500 service connections)</w:t>
      </w:r>
    </w:p>
    <w:p w14:paraId="2819DDF4"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Direct and Diatomite Filtration</w:t>
      </w:r>
    </w:p>
    <w:p w14:paraId="2819DDF6"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Granular Activated Carbon</w:t>
      </w:r>
    </w:p>
    <w:p w14:paraId="2819DDF8"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Ion Exchange</w:t>
      </w:r>
    </w:p>
    <w:p w14:paraId="2819DDFA"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Lime Softening (not BAT for systems &lt;500 service connections)</w:t>
      </w:r>
    </w:p>
    <w:p w14:paraId="2819DDFC"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Reverse Osmosis</w:t>
      </w:r>
    </w:p>
    <w:p w14:paraId="2819DDFE"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Corrosion Control</w:t>
      </w:r>
    </w:p>
    <w:p w14:paraId="2819DE00"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Electrodialysis</w:t>
      </w:r>
    </w:p>
    <w:p w14:paraId="2819DE02"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Chlorine</w:t>
      </w:r>
    </w:p>
    <w:p w14:paraId="2819DE04"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Ultraviolet</w:t>
      </w:r>
    </w:p>
    <w:p w14:paraId="2819DE06"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Oxidation/Filtration</w:t>
      </w:r>
    </w:p>
    <w:p w14:paraId="2819DE08" w14:textId="77777777" w:rsidR="004647B9" w:rsidRPr="00747BE7" w:rsidRDefault="00E2436F" w:rsidP="00563A54">
      <w:pPr>
        <w:numPr>
          <w:ilvl w:val="0"/>
          <w:numId w:val="140"/>
        </w:numPr>
        <w:tabs>
          <w:tab w:val="left" w:pos="300"/>
        </w:tabs>
        <w:spacing w:line="237" w:lineRule="auto"/>
        <w:ind w:left="300" w:hanging="300"/>
        <w:rPr>
          <w:rFonts w:eastAsia="Times New Roman"/>
          <w:sz w:val="24"/>
          <w:szCs w:val="24"/>
        </w:rPr>
      </w:pPr>
      <w:r w:rsidRPr="00747BE7">
        <w:rPr>
          <w:rFonts w:eastAsia="Times New Roman"/>
          <w:sz w:val="24"/>
          <w:szCs w:val="24"/>
        </w:rPr>
        <w:t>= Alkaline Chlorination</w:t>
      </w:r>
    </w:p>
    <w:p w14:paraId="2819DE09" w14:textId="77777777" w:rsidR="004647B9" w:rsidRPr="00747BE7" w:rsidRDefault="004647B9" w:rsidP="00922231">
      <w:pPr>
        <w:rPr>
          <w:sz w:val="24"/>
          <w:szCs w:val="24"/>
        </w:rPr>
      </w:pPr>
    </w:p>
    <w:p w14:paraId="7F7CA222" w14:textId="77777777" w:rsidR="00516F1A" w:rsidRPr="00597CE5" w:rsidRDefault="00E2436F" w:rsidP="00563A54">
      <w:pPr>
        <w:pStyle w:val="ListParagraph"/>
        <w:numPr>
          <w:ilvl w:val="2"/>
          <w:numId w:val="121"/>
        </w:numPr>
        <w:rPr>
          <w:rFonts w:eastAsia="Times New Roman"/>
          <w:sz w:val="24"/>
          <w:szCs w:val="24"/>
        </w:rPr>
      </w:pPr>
      <w:r w:rsidRPr="00747BE7">
        <w:rPr>
          <w:rFonts w:eastAsia="Times New Roman"/>
          <w:sz w:val="24"/>
          <w:szCs w:val="24"/>
        </w:rPr>
        <w:t xml:space="preserve">BAT only if influent Hg concentrations </w:t>
      </w:r>
      <w:r w:rsidRPr="00747BE7">
        <w:rPr>
          <w:rFonts w:eastAsia="Times New Roman"/>
          <w:sz w:val="24"/>
          <w:szCs w:val="24"/>
          <w:u w:val="single"/>
        </w:rPr>
        <w:t>&lt;</w:t>
      </w:r>
      <w:r w:rsidRPr="00747BE7">
        <w:rPr>
          <w:rFonts w:eastAsia="Times New Roman"/>
          <w:sz w:val="24"/>
          <w:szCs w:val="24"/>
        </w:rPr>
        <w:t>10 µg/l.</w:t>
      </w:r>
    </w:p>
    <w:p w14:paraId="6E88E40C" w14:textId="77777777" w:rsidR="00516F1A" w:rsidRPr="00747BE7" w:rsidRDefault="00E2436F" w:rsidP="00563A54">
      <w:pPr>
        <w:pStyle w:val="ListParagraph"/>
        <w:numPr>
          <w:ilvl w:val="2"/>
          <w:numId w:val="121"/>
        </w:numPr>
        <w:rPr>
          <w:rFonts w:eastAsia="Times New Roman"/>
          <w:sz w:val="24"/>
          <w:szCs w:val="24"/>
        </w:rPr>
      </w:pPr>
      <w:r w:rsidRPr="00747BE7">
        <w:rPr>
          <w:rFonts w:eastAsia="Times New Roman"/>
          <w:sz w:val="24"/>
          <w:szCs w:val="24"/>
        </w:rPr>
        <w:t>BAT for Chromium III only</w:t>
      </w:r>
    </w:p>
    <w:p w14:paraId="7DD29A14" w14:textId="77777777" w:rsidR="00332274" w:rsidRPr="00747BE7" w:rsidRDefault="00E2436F" w:rsidP="00563A54">
      <w:pPr>
        <w:pStyle w:val="ListParagraph"/>
        <w:numPr>
          <w:ilvl w:val="2"/>
          <w:numId w:val="121"/>
        </w:numPr>
        <w:rPr>
          <w:rFonts w:eastAsia="Times New Roman"/>
          <w:sz w:val="24"/>
          <w:szCs w:val="24"/>
        </w:rPr>
      </w:pPr>
      <w:r w:rsidRPr="00747BE7">
        <w:rPr>
          <w:rFonts w:eastAsia="Times New Roman"/>
          <w:sz w:val="24"/>
          <w:szCs w:val="24"/>
        </w:rPr>
        <w:t>BAT for Selenium IV only</w:t>
      </w:r>
    </w:p>
    <w:p w14:paraId="1D89C408" w14:textId="77777777" w:rsidR="00A774F3" w:rsidRPr="00747BE7" w:rsidRDefault="00E2436F" w:rsidP="00563A54">
      <w:pPr>
        <w:pStyle w:val="ListParagraph"/>
        <w:numPr>
          <w:ilvl w:val="2"/>
          <w:numId w:val="121"/>
        </w:numPr>
        <w:rPr>
          <w:rFonts w:eastAsia="Times New Roman"/>
          <w:sz w:val="24"/>
          <w:szCs w:val="24"/>
        </w:rPr>
      </w:pPr>
      <w:r w:rsidRPr="00747BE7">
        <w:rPr>
          <w:rFonts w:eastAsia="Times New Roman"/>
          <w:sz w:val="24"/>
          <w:szCs w:val="24"/>
        </w:rPr>
        <w:t>BAT for Arsenic V. Pre-oxidation may be required to convert Arsenic III to Arsenic V.</w:t>
      </w:r>
    </w:p>
    <w:p w14:paraId="2819DE10" w14:textId="1D7FEE10" w:rsidR="004647B9" w:rsidRPr="00747BE7" w:rsidRDefault="00E2436F" w:rsidP="00563A54">
      <w:pPr>
        <w:pStyle w:val="ListParagraph"/>
        <w:numPr>
          <w:ilvl w:val="2"/>
          <w:numId w:val="121"/>
        </w:numPr>
        <w:rPr>
          <w:rFonts w:eastAsia="Times New Roman"/>
          <w:sz w:val="24"/>
          <w:szCs w:val="24"/>
        </w:rPr>
      </w:pPr>
      <w:r w:rsidRPr="00747BE7">
        <w:rPr>
          <w:rFonts w:eastAsia="Times New Roman"/>
          <w:sz w:val="24"/>
          <w:szCs w:val="24"/>
        </w:rPr>
        <w:t>To obtain high removals; iron to arsenic ratio must be at least 20</w:t>
      </w:r>
      <w:r w:rsidR="00A774F3" w:rsidRPr="00747BE7">
        <w:rPr>
          <w:rFonts w:eastAsia="Times New Roman"/>
          <w:sz w:val="24"/>
          <w:szCs w:val="24"/>
        </w:rPr>
        <w:t>:</w:t>
      </w:r>
      <w:r w:rsidRPr="00747BE7">
        <w:rPr>
          <w:rFonts w:eastAsia="Times New Roman"/>
          <w:sz w:val="24"/>
          <w:szCs w:val="24"/>
        </w:rPr>
        <w:t>1.</w:t>
      </w:r>
    </w:p>
    <w:p w14:paraId="2819DE11" w14:textId="77777777" w:rsidR="004647B9" w:rsidRPr="00597CE5" w:rsidRDefault="004647B9" w:rsidP="00597CE5">
      <w:pPr>
        <w:rPr>
          <w:rFonts w:eastAsia="Times New Roman"/>
          <w:sz w:val="24"/>
          <w:szCs w:val="24"/>
        </w:rPr>
      </w:pPr>
    </w:p>
    <w:p w14:paraId="2819DE12" w14:textId="77777777" w:rsidR="004647B9" w:rsidRPr="00747BE7" w:rsidRDefault="00E2436F" w:rsidP="00563A54">
      <w:pPr>
        <w:numPr>
          <w:ilvl w:val="1"/>
          <w:numId w:val="141"/>
        </w:numPr>
        <w:tabs>
          <w:tab w:val="left" w:pos="1829"/>
        </w:tabs>
        <w:spacing w:line="248" w:lineRule="auto"/>
        <w:ind w:left="1200"/>
        <w:jc w:val="both"/>
        <w:rPr>
          <w:rFonts w:eastAsia="Times New Roman"/>
          <w:sz w:val="24"/>
          <w:szCs w:val="24"/>
        </w:rPr>
      </w:pPr>
      <w:r w:rsidRPr="00747BE7">
        <w:rPr>
          <w:rFonts w:eastAsia="Times New Roman"/>
          <w:sz w:val="24"/>
          <w:szCs w:val="24"/>
        </w:rPr>
        <w:t>The Administrator, pursuant to the Safe Drinking Water Act, Title 14, § 1412, hereby identifies in the following table the affordable technology, Treatment Technique, or other means available to systems serving 10,000 persons or fewer for achieving compliance with the Maximum Contaminant Level for arsenic:</w:t>
      </w:r>
    </w:p>
    <w:p w14:paraId="2819DE13" w14:textId="77777777" w:rsidR="004647B9" w:rsidRDefault="004647B9">
      <w:pPr>
        <w:sectPr w:rsidR="004647B9" w:rsidSect="00EF630C">
          <w:pgSz w:w="12240" w:h="20180"/>
          <w:pgMar w:top="708" w:right="1440" w:bottom="1440" w:left="600" w:header="0" w:footer="0" w:gutter="0"/>
          <w:cols w:space="720" w:equalWidth="0">
            <w:col w:w="10200"/>
          </w:cols>
        </w:sectPr>
      </w:pPr>
    </w:p>
    <w:p w14:paraId="2819DE14" w14:textId="77777777" w:rsidR="004647B9" w:rsidRDefault="00E2436F">
      <w:pPr>
        <w:tabs>
          <w:tab w:val="left" w:pos="160"/>
        </w:tabs>
        <w:jc w:val="center"/>
        <w:rPr>
          <w:sz w:val="20"/>
          <w:szCs w:val="20"/>
        </w:rPr>
      </w:pPr>
      <w:bookmarkStart w:id="59" w:name="page60"/>
      <w:bookmarkEnd w:id="5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E15" w14:textId="77777777" w:rsidR="004647B9" w:rsidRDefault="004647B9" w:rsidP="00597CE5">
      <w:pPr>
        <w:rPr>
          <w:sz w:val="20"/>
          <w:szCs w:val="20"/>
        </w:rPr>
      </w:pPr>
    </w:p>
    <w:p w14:paraId="2819DE16" w14:textId="77777777" w:rsidR="004647B9" w:rsidRDefault="004647B9" w:rsidP="00597CE5">
      <w:pPr>
        <w:rPr>
          <w:sz w:val="20"/>
          <w:szCs w:val="20"/>
        </w:rPr>
      </w:pPr>
    </w:p>
    <w:p w14:paraId="2819DE17" w14:textId="77777777" w:rsidR="004647B9" w:rsidRDefault="00E2436F">
      <w:pPr>
        <w:tabs>
          <w:tab w:val="left" w:pos="760"/>
        </w:tabs>
        <w:rPr>
          <w:sz w:val="20"/>
          <w:szCs w:val="20"/>
        </w:rPr>
      </w:pPr>
      <w:r>
        <w:rPr>
          <w:rFonts w:eastAsia="Times New Roman"/>
          <w:sz w:val="24"/>
          <w:szCs w:val="24"/>
        </w:rPr>
        <w:t>22.06:</w:t>
      </w:r>
      <w:r>
        <w:rPr>
          <w:rFonts w:eastAsia="Times New Roman"/>
          <w:sz w:val="24"/>
          <w:szCs w:val="24"/>
        </w:rPr>
        <w:tab/>
        <w:t>continued</w:t>
      </w:r>
    </w:p>
    <w:p w14:paraId="2819DE18" w14:textId="77777777" w:rsidR="004647B9" w:rsidRDefault="004647B9" w:rsidP="00597CE5">
      <w:pPr>
        <w:rPr>
          <w:sz w:val="20"/>
          <w:szCs w:val="20"/>
        </w:rPr>
      </w:pPr>
    </w:p>
    <w:p w14:paraId="2819DE19" w14:textId="77777777" w:rsidR="004647B9" w:rsidRDefault="00E2436F">
      <w:pPr>
        <w:jc w:val="center"/>
        <w:rPr>
          <w:sz w:val="20"/>
          <w:szCs w:val="20"/>
        </w:rPr>
      </w:pPr>
      <w:r>
        <w:rPr>
          <w:rFonts w:eastAsia="Times New Roman"/>
          <w:sz w:val="24"/>
          <w:szCs w:val="24"/>
        </w:rPr>
        <w:t>SMALL SYSTEM COMPLIANCE TECHNOLOGIES (SSCTS)</w:t>
      </w:r>
      <w:r>
        <w:rPr>
          <w:rFonts w:eastAsia="Times New Roman"/>
          <w:sz w:val="27"/>
          <w:szCs w:val="27"/>
          <w:vertAlign w:val="superscript"/>
        </w:rPr>
        <w:t>1</w:t>
      </w:r>
      <w:r>
        <w:rPr>
          <w:rFonts w:eastAsia="Times New Roman"/>
          <w:sz w:val="24"/>
          <w:szCs w:val="24"/>
        </w:rPr>
        <w:t xml:space="preserve"> FOR ARSENIC</w:t>
      </w:r>
      <w:r>
        <w:rPr>
          <w:rFonts w:eastAsia="Times New Roman"/>
          <w:sz w:val="27"/>
          <w:szCs w:val="27"/>
          <w:vertAlign w:val="superscript"/>
        </w:rPr>
        <w:t>2</w:t>
      </w:r>
    </w:p>
    <w:p w14:paraId="2819DE1A" w14:textId="77777777" w:rsidR="004647B9" w:rsidRDefault="004647B9">
      <w:pPr>
        <w:spacing w:line="19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00"/>
        <w:gridCol w:w="4520"/>
        <w:gridCol w:w="60"/>
        <w:gridCol w:w="20"/>
      </w:tblGrid>
      <w:tr w:rsidR="004647B9" w14:paraId="2819DE1E" w14:textId="77777777" w:rsidTr="005F6833">
        <w:trPr>
          <w:trHeight w:val="310"/>
        </w:trPr>
        <w:tc>
          <w:tcPr>
            <w:tcW w:w="5600" w:type="dxa"/>
            <w:vAlign w:val="center"/>
          </w:tcPr>
          <w:p w14:paraId="2819DE1B" w14:textId="77777777" w:rsidR="004647B9" w:rsidRPr="0063562A" w:rsidRDefault="00E2436F" w:rsidP="005F6833">
            <w:pPr>
              <w:ind w:left="1200"/>
              <w:rPr>
                <w:sz w:val="24"/>
                <w:szCs w:val="24"/>
                <w:u w:val="single"/>
              </w:rPr>
            </w:pPr>
            <w:r w:rsidRPr="0063562A">
              <w:rPr>
                <w:rFonts w:eastAsia="Times New Roman"/>
                <w:sz w:val="24"/>
                <w:szCs w:val="24"/>
                <w:u w:val="single"/>
              </w:rPr>
              <w:t>Small System Compliance Technology</w:t>
            </w:r>
          </w:p>
        </w:tc>
        <w:tc>
          <w:tcPr>
            <w:tcW w:w="4580" w:type="dxa"/>
            <w:gridSpan w:val="2"/>
            <w:vAlign w:val="center"/>
          </w:tcPr>
          <w:p w14:paraId="2819DE1C" w14:textId="77777777" w:rsidR="004647B9" w:rsidRDefault="00E2436F" w:rsidP="005F6833">
            <w:pPr>
              <w:rPr>
                <w:sz w:val="20"/>
                <w:szCs w:val="20"/>
              </w:rPr>
            </w:pPr>
            <w:r w:rsidRPr="005F6833">
              <w:rPr>
                <w:rFonts w:eastAsia="Times New Roman"/>
                <w:w w:val="98"/>
                <w:sz w:val="24"/>
                <w:szCs w:val="24"/>
                <w:u w:val="single"/>
              </w:rPr>
              <w:t>Affordable for Listed Small System Categories</w:t>
            </w:r>
            <w:r>
              <w:rPr>
                <w:rFonts w:eastAsia="Times New Roman"/>
                <w:w w:val="98"/>
                <w:sz w:val="27"/>
                <w:szCs w:val="27"/>
                <w:vertAlign w:val="superscript"/>
              </w:rPr>
              <w:t>3</w:t>
            </w:r>
          </w:p>
        </w:tc>
        <w:tc>
          <w:tcPr>
            <w:tcW w:w="20" w:type="dxa"/>
            <w:vAlign w:val="bottom"/>
          </w:tcPr>
          <w:p w14:paraId="2819DE1D" w14:textId="77777777" w:rsidR="004647B9" w:rsidRDefault="004647B9">
            <w:pPr>
              <w:rPr>
                <w:sz w:val="1"/>
                <w:szCs w:val="1"/>
              </w:rPr>
            </w:pPr>
          </w:p>
        </w:tc>
      </w:tr>
      <w:tr w:rsidR="004647B9" w14:paraId="2819DE29" w14:textId="77777777" w:rsidTr="005F6833">
        <w:trPr>
          <w:trHeight w:val="233"/>
        </w:trPr>
        <w:tc>
          <w:tcPr>
            <w:tcW w:w="5600" w:type="dxa"/>
            <w:vAlign w:val="center"/>
          </w:tcPr>
          <w:p w14:paraId="2819DE25" w14:textId="77777777" w:rsidR="004647B9" w:rsidRPr="0063562A" w:rsidRDefault="00E2436F" w:rsidP="005F6833">
            <w:pPr>
              <w:spacing w:line="233" w:lineRule="exact"/>
              <w:ind w:left="1200"/>
              <w:rPr>
                <w:sz w:val="24"/>
                <w:szCs w:val="24"/>
              </w:rPr>
            </w:pPr>
            <w:r w:rsidRPr="0063562A">
              <w:rPr>
                <w:rFonts w:eastAsia="Times New Roman"/>
                <w:sz w:val="24"/>
                <w:szCs w:val="24"/>
              </w:rPr>
              <w:t>Activated Alumina (centralized)  . . . . . . . . . .</w:t>
            </w:r>
          </w:p>
        </w:tc>
        <w:tc>
          <w:tcPr>
            <w:tcW w:w="4520" w:type="dxa"/>
            <w:vAlign w:val="center"/>
          </w:tcPr>
          <w:p w14:paraId="2819DE26" w14:textId="6B3588BF" w:rsidR="004647B9" w:rsidRDefault="00E2436F" w:rsidP="005F6833">
            <w:pPr>
              <w:spacing w:line="202" w:lineRule="exact"/>
              <w:rPr>
                <w:sz w:val="20"/>
                <w:szCs w:val="20"/>
              </w:rPr>
            </w:pPr>
            <w:r>
              <w:rPr>
                <w:rFonts w:eastAsia="Times New Roman"/>
                <w:sz w:val="23"/>
                <w:szCs w:val="23"/>
              </w:rPr>
              <w:t>. . . . . . . . . .</w:t>
            </w:r>
            <w:r w:rsidR="00B51FE1">
              <w:rPr>
                <w:rFonts w:eastAsia="Times New Roman"/>
                <w:sz w:val="24"/>
                <w:szCs w:val="24"/>
              </w:rPr>
              <w:t xml:space="preserve"> </w:t>
            </w:r>
            <w:r w:rsidR="00FF0240">
              <w:rPr>
                <w:rFonts w:eastAsia="Times New Roman"/>
                <w:sz w:val="24"/>
                <w:szCs w:val="24"/>
              </w:rPr>
              <w:t>All size categories.</w:t>
            </w:r>
          </w:p>
        </w:tc>
        <w:tc>
          <w:tcPr>
            <w:tcW w:w="60" w:type="dxa"/>
            <w:vAlign w:val="center"/>
          </w:tcPr>
          <w:p w14:paraId="2819DE27" w14:textId="77777777" w:rsidR="004647B9" w:rsidRDefault="004647B9" w:rsidP="005F6833">
            <w:pPr>
              <w:rPr>
                <w:sz w:val="20"/>
                <w:szCs w:val="20"/>
              </w:rPr>
            </w:pPr>
          </w:p>
        </w:tc>
        <w:tc>
          <w:tcPr>
            <w:tcW w:w="20" w:type="dxa"/>
            <w:vAlign w:val="bottom"/>
          </w:tcPr>
          <w:p w14:paraId="2819DE28" w14:textId="77777777" w:rsidR="004647B9" w:rsidRDefault="004647B9">
            <w:pPr>
              <w:rPr>
                <w:sz w:val="1"/>
                <w:szCs w:val="1"/>
              </w:rPr>
            </w:pPr>
          </w:p>
        </w:tc>
      </w:tr>
      <w:tr w:rsidR="004647B9" w14:paraId="2819DE2D" w14:textId="77777777" w:rsidTr="005F6833">
        <w:trPr>
          <w:trHeight w:val="271"/>
        </w:trPr>
        <w:tc>
          <w:tcPr>
            <w:tcW w:w="5600" w:type="dxa"/>
            <w:vAlign w:val="center"/>
          </w:tcPr>
          <w:p w14:paraId="2819DE2A" w14:textId="77777777" w:rsidR="004647B9" w:rsidRPr="0063562A" w:rsidRDefault="00E2436F" w:rsidP="005F6833">
            <w:pPr>
              <w:spacing w:line="271" w:lineRule="exact"/>
              <w:ind w:left="1200"/>
              <w:rPr>
                <w:sz w:val="24"/>
                <w:szCs w:val="24"/>
              </w:rPr>
            </w:pPr>
            <w:r w:rsidRPr="00EF5C72">
              <w:rPr>
                <w:rFonts w:eastAsia="Times New Roman"/>
                <w:sz w:val="24"/>
                <w:szCs w:val="24"/>
              </w:rPr>
              <w:t>Activated Alumina (Point-of-Use)</w:t>
            </w:r>
            <w:r w:rsidRPr="0063562A">
              <w:rPr>
                <w:rFonts w:eastAsia="Times New Roman"/>
                <w:w w:val="99"/>
                <w:sz w:val="24"/>
                <w:szCs w:val="24"/>
                <w:vertAlign w:val="superscript"/>
              </w:rPr>
              <w:t>4</w:t>
            </w:r>
            <w:r w:rsidRPr="0063562A">
              <w:rPr>
                <w:rFonts w:eastAsia="Times New Roman"/>
                <w:w w:val="99"/>
                <w:sz w:val="24"/>
                <w:szCs w:val="24"/>
              </w:rPr>
              <w:t xml:space="preserve">  . . . . . . . .</w:t>
            </w:r>
          </w:p>
        </w:tc>
        <w:tc>
          <w:tcPr>
            <w:tcW w:w="4580" w:type="dxa"/>
            <w:gridSpan w:val="2"/>
            <w:vAlign w:val="center"/>
          </w:tcPr>
          <w:p w14:paraId="2819DE2B" w14:textId="64C99303" w:rsidR="004647B9" w:rsidRDefault="00B51FE1" w:rsidP="005F6833">
            <w:pPr>
              <w:spacing w:line="271" w:lineRule="exact"/>
              <w:rPr>
                <w:sz w:val="20"/>
                <w:szCs w:val="20"/>
              </w:rPr>
            </w:pPr>
            <w:r>
              <w:rPr>
                <w:rFonts w:eastAsia="Times New Roman"/>
                <w:sz w:val="23"/>
                <w:szCs w:val="23"/>
              </w:rPr>
              <w:t>. . . . . . . . . .</w:t>
            </w:r>
            <w:r>
              <w:rPr>
                <w:rFonts w:eastAsia="Times New Roman"/>
                <w:sz w:val="24"/>
                <w:szCs w:val="24"/>
              </w:rPr>
              <w:t xml:space="preserve"> </w:t>
            </w:r>
            <w:r w:rsidR="00E2436F">
              <w:rPr>
                <w:rFonts w:eastAsia="Times New Roman"/>
                <w:sz w:val="24"/>
                <w:szCs w:val="24"/>
              </w:rPr>
              <w:t>All size categories.</w:t>
            </w:r>
          </w:p>
        </w:tc>
        <w:tc>
          <w:tcPr>
            <w:tcW w:w="20" w:type="dxa"/>
            <w:vAlign w:val="bottom"/>
          </w:tcPr>
          <w:p w14:paraId="2819DE2C" w14:textId="77777777" w:rsidR="004647B9" w:rsidRDefault="004647B9">
            <w:pPr>
              <w:rPr>
                <w:sz w:val="1"/>
                <w:szCs w:val="1"/>
              </w:rPr>
            </w:pPr>
          </w:p>
        </w:tc>
      </w:tr>
      <w:tr w:rsidR="004647B9" w14:paraId="2819DE31" w14:textId="77777777" w:rsidTr="005F6833">
        <w:trPr>
          <w:trHeight w:val="271"/>
        </w:trPr>
        <w:tc>
          <w:tcPr>
            <w:tcW w:w="5600" w:type="dxa"/>
            <w:vAlign w:val="center"/>
          </w:tcPr>
          <w:p w14:paraId="2819DE2E" w14:textId="77777777" w:rsidR="004647B9" w:rsidRPr="0063562A" w:rsidRDefault="00E2436F" w:rsidP="005F6833">
            <w:pPr>
              <w:spacing w:line="271" w:lineRule="exact"/>
              <w:ind w:left="1200"/>
              <w:rPr>
                <w:sz w:val="24"/>
                <w:szCs w:val="24"/>
              </w:rPr>
            </w:pPr>
            <w:r w:rsidRPr="00EF5C72">
              <w:rPr>
                <w:rFonts w:eastAsia="Times New Roman"/>
                <w:sz w:val="24"/>
                <w:szCs w:val="24"/>
              </w:rPr>
              <w:t>Coagulation/Filtration</w:t>
            </w:r>
            <w:r w:rsidRPr="0063562A">
              <w:rPr>
                <w:rFonts w:eastAsia="Times New Roman"/>
                <w:w w:val="98"/>
                <w:sz w:val="24"/>
                <w:szCs w:val="24"/>
                <w:vertAlign w:val="superscript"/>
              </w:rPr>
              <w:t>5</w:t>
            </w:r>
            <w:r w:rsidRPr="0063562A">
              <w:rPr>
                <w:rFonts w:eastAsia="Times New Roman"/>
                <w:w w:val="98"/>
                <w:sz w:val="24"/>
                <w:szCs w:val="24"/>
              </w:rPr>
              <w:t xml:space="preserve">  . . . . . . . . . . . . . . . . . .</w:t>
            </w:r>
          </w:p>
        </w:tc>
        <w:tc>
          <w:tcPr>
            <w:tcW w:w="4580" w:type="dxa"/>
            <w:gridSpan w:val="2"/>
            <w:vAlign w:val="center"/>
          </w:tcPr>
          <w:p w14:paraId="2819DE2F" w14:textId="77777777" w:rsidR="004647B9" w:rsidRDefault="00E2436F" w:rsidP="005F6833">
            <w:pPr>
              <w:spacing w:line="271" w:lineRule="exact"/>
              <w:rPr>
                <w:sz w:val="20"/>
                <w:szCs w:val="20"/>
              </w:rPr>
            </w:pPr>
            <w:r>
              <w:rPr>
                <w:rFonts w:eastAsia="Times New Roman"/>
                <w:sz w:val="24"/>
                <w:szCs w:val="24"/>
              </w:rPr>
              <w:t>. . . . . 501–3,300, 3,301–10,000.</w:t>
            </w:r>
          </w:p>
        </w:tc>
        <w:tc>
          <w:tcPr>
            <w:tcW w:w="20" w:type="dxa"/>
            <w:vAlign w:val="bottom"/>
          </w:tcPr>
          <w:p w14:paraId="2819DE30" w14:textId="77777777" w:rsidR="004647B9" w:rsidRDefault="004647B9">
            <w:pPr>
              <w:rPr>
                <w:sz w:val="1"/>
                <w:szCs w:val="1"/>
              </w:rPr>
            </w:pPr>
          </w:p>
        </w:tc>
      </w:tr>
      <w:tr w:rsidR="004647B9" w14:paraId="2819DE35" w14:textId="77777777" w:rsidTr="005F6833">
        <w:trPr>
          <w:trHeight w:val="271"/>
        </w:trPr>
        <w:tc>
          <w:tcPr>
            <w:tcW w:w="5600" w:type="dxa"/>
            <w:vAlign w:val="center"/>
          </w:tcPr>
          <w:p w14:paraId="2819DE32" w14:textId="77777777" w:rsidR="004647B9" w:rsidRPr="0063562A" w:rsidRDefault="00E2436F" w:rsidP="005F6833">
            <w:pPr>
              <w:spacing w:line="271" w:lineRule="exact"/>
              <w:ind w:left="1200"/>
              <w:rPr>
                <w:sz w:val="24"/>
                <w:szCs w:val="24"/>
              </w:rPr>
            </w:pPr>
            <w:r w:rsidRPr="0063562A">
              <w:rPr>
                <w:rFonts w:eastAsia="Times New Roman"/>
                <w:sz w:val="24"/>
                <w:szCs w:val="24"/>
              </w:rPr>
              <w:t>Coagulation-assisted Microfiltration . . . . . . .</w:t>
            </w:r>
          </w:p>
        </w:tc>
        <w:tc>
          <w:tcPr>
            <w:tcW w:w="4580" w:type="dxa"/>
            <w:gridSpan w:val="2"/>
            <w:vAlign w:val="center"/>
          </w:tcPr>
          <w:p w14:paraId="2819DE33" w14:textId="77777777" w:rsidR="004647B9" w:rsidRDefault="00E2436F" w:rsidP="005F6833">
            <w:pPr>
              <w:spacing w:line="271" w:lineRule="exact"/>
              <w:rPr>
                <w:sz w:val="20"/>
                <w:szCs w:val="20"/>
              </w:rPr>
            </w:pPr>
            <w:r>
              <w:rPr>
                <w:rFonts w:eastAsia="Times New Roman"/>
                <w:sz w:val="24"/>
                <w:szCs w:val="24"/>
              </w:rPr>
              <w:t>. . . . . 501–3,300, 3,301–10,000.</w:t>
            </w:r>
          </w:p>
        </w:tc>
        <w:tc>
          <w:tcPr>
            <w:tcW w:w="20" w:type="dxa"/>
            <w:vAlign w:val="bottom"/>
          </w:tcPr>
          <w:p w14:paraId="2819DE34" w14:textId="77777777" w:rsidR="004647B9" w:rsidRDefault="004647B9">
            <w:pPr>
              <w:rPr>
                <w:sz w:val="1"/>
                <w:szCs w:val="1"/>
              </w:rPr>
            </w:pPr>
          </w:p>
        </w:tc>
      </w:tr>
      <w:tr w:rsidR="004647B9" w14:paraId="2819DE39" w14:textId="77777777" w:rsidTr="005F6833">
        <w:trPr>
          <w:trHeight w:val="271"/>
        </w:trPr>
        <w:tc>
          <w:tcPr>
            <w:tcW w:w="5600" w:type="dxa"/>
            <w:vAlign w:val="center"/>
          </w:tcPr>
          <w:p w14:paraId="2819DE36" w14:textId="77777777" w:rsidR="004647B9" w:rsidRPr="0063562A" w:rsidRDefault="00E2436F" w:rsidP="005F6833">
            <w:pPr>
              <w:spacing w:line="271" w:lineRule="exact"/>
              <w:ind w:left="1200"/>
              <w:rPr>
                <w:sz w:val="24"/>
                <w:szCs w:val="24"/>
              </w:rPr>
            </w:pPr>
            <w:r w:rsidRPr="00EF5C72">
              <w:rPr>
                <w:rFonts w:eastAsia="Times New Roman"/>
                <w:sz w:val="24"/>
                <w:szCs w:val="24"/>
              </w:rPr>
              <w:t>Electrodialysis reversal</w:t>
            </w:r>
            <w:r w:rsidRPr="0063562A">
              <w:rPr>
                <w:rFonts w:eastAsia="Times New Roman"/>
                <w:w w:val="98"/>
                <w:sz w:val="24"/>
                <w:szCs w:val="24"/>
                <w:vertAlign w:val="superscript"/>
              </w:rPr>
              <w:t>6</w:t>
            </w:r>
            <w:r w:rsidRPr="0063562A">
              <w:rPr>
                <w:rFonts w:eastAsia="Times New Roman"/>
                <w:w w:val="98"/>
                <w:sz w:val="24"/>
                <w:szCs w:val="24"/>
              </w:rPr>
              <w:t xml:space="preserve">  . . . . . . . . . . . . . . . . .</w:t>
            </w:r>
          </w:p>
        </w:tc>
        <w:tc>
          <w:tcPr>
            <w:tcW w:w="4580" w:type="dxa"/>
            <w:gridSpan w:val="2"/>
            <w:vAlign w:val="center"/>
          </w:tcPr>
          <w:p w14:paraId="2819DE37" w14:textId="77777777" w:rsidR="004647B9" w:rsidRDefault="00E2436F" w:rsidP="005F6833">
            <w:pPr>
              <w:spacing w:line="271" w:lineRule="exact"/>
              <w:rPr>
                <w:sz w:val="20"/>
                <w:szCs w:val="20"/>
              </w:rPr>
            </w:pPr>
            <w:r>
              <w:rPr>
                <w:rFonts w:eastAsia="Times New Roman"/>
                <w:sz w:val="24"/>
                <w:szCs w:val="24"/>
              </w:rPr>
              <w:t>. . . . . 501–3,300, 3,301–10,000.</w:t>
            </w:r>
          </w:p>
        </w:tc>
        <w:tc>
          <w:tcPr>
            <w:tcW w:w="20" w:type="dxa"/>
            <w:vAlign w:val="bottom"/>
          </w:tcPr>
          <w:p w14:paraId="2819DE38" w14:textId="77777777" w:rsidR="004647B9" w:rsidRDefault="004647B9">
            <w:pPr>
              <w:rPr>
                <w:sz w:val="1"/>
                <w:szCs w:val="1"/>
              </w:rPr>
            </w:pPr>
          </w:p>
        </w:tc>
      </w:tr>
      <w:tr w:rsidR="004647B9" w14:paraId="2819DE3D" w14:textId="77777777" w:rsidTr="005F6833">
        <w:trPr>
          <w:trHeight w:val="271"/>
        </w:trPr>
        <w:tc>
          <w:tcPr>
            <w:tcW w:w="5600" w:type="dxa"/>
            <w:vAlign w:val="center"/>
          </w:tcPr>
          <w:p w14:paraId="2819DE3A" w14:textId="77777777" w:rsidR="004647B9" w:rsidRPr="00EF5C72" w:rsidRDefault="00E2436F" w:rsidP="005F6833">
            <w:pPr>
              <w:spacing w:line="271" w:lineRule="exact"/>
              <w:ind w:left="1200"/>
              <w:rPr>
                <w:rFonts w:eastAsia="Times New Roman"/>
                <w:sz w:val="24"/>
                <w:szCs w:val="24"/>
              </w:rPr>
            </w:pPr>
            <w:r w:rsidRPr="0063562A">
              <w:rPr>
                <w:rFonts w:eastAsia="Times New Roman"/>
                <w:sz w:val="24"/>
                <w:szCs w:val="24"/>
              </w:rPr>
              <w:t>Enhanced Coagulation/Filtration . . . . . . . . . .</w:t>
            </w:r>
          </w:p>
        </w:tc>
        <w:tc>
          <w:tcPr>
            <w:tcW w:w="4580" w:type="dxa"/>
            <w:gridSpan w:val="2"/>
            <w:vAlign w:val="center"/>
          </w:tcPr>
          <w:p w14:paraId="2819DE3B" w14:textId="0E31886C" w:rsidR="004647B9" w:rsidRDefault="00B51FE1" w:rsidP="005F6833">
            <w:pPr>
              <w:spacing w:line="271" w:lineRule="exact"/>
              <w:rPr>
                <w:sz w:val="20"/>
                <w:szCs w:val="20"/>
              </w:rPr>
            </w:pPr>
            <w:r>
              <w:rPr>
                <w:rFonts w:eastAsia="Times New Roman"/>
                <w:sz w:val="23"/>
                <w:szCs w:val="23"/>
              </w:rPr>
              <w:t>. . . . . . . . . .</w:t>
            </w:r>
            <w:r>
              <w:rPr>
                <w:rFonts w:eastAsia="Times New Roman"/>
                <w:sz w:val="24"/>
                <w:szCs w:val="24"/>
              </w:rPr>
              <w:t xml:space="preserve"> </w:t>
            </w:r>
            <w:r w:rsidR="00E2436F">
              <w:rPr>
                <w:rFonts w:eastAsia="Times New Roman"/>
                <w:sz w:val="24"/>
                <w:szCs w:val="24"/>
              </w:rPr>
              <w:t>All size categories.</w:t>
            </w:r>
          </w:p>
        </w:tc>
        <w:tc>
          <w:tcPr>
            <w:tcW w:w="20" w:type="dxa"/>
            <w:vAlign w:val="bottom"/>
          </w:tcPr>
          <w:p w14:paraId="2819DE3C" w14:textId="77777777" w:rsidR="004647B9" w:rsidRDefault="004647B9">
            <w:pPr>
              <w:rPr>
                <w:sz w:val="1"/>
                <w:szCs w:val="1"/>
              </w:rPr>
            </w:pPr>
          </w:p>
        </w:tc>
      </w:tr>
      <w:tr w:rsidR="004647B9" w14:paraId="2819DE41" w14:textId="77777777" w:rsidTr="005F6833">
        <w:trPr>
          <w:trHeight w:val="271"/>
        </w:trPr>
        <w:tc>
          <w:tcPr>
            <w:tcW w:w="5600" w:type="dxa"/>
            <w:vAlign w:val="center"/>
          </w:tcPr>
          <w:p w14:paraId="2819DE3E" w14:textId="77777777" w:rsidR="004647B9" w:rsidRPr="0063562A" w:rsidRDefault="00E2436F" w:rsidP="005F6833">
            <w:pPr>
              <w:spacing w:line="271" w:lineRule="exact"/>
              <w:ind w:left="1200"/>
              <w:rPr>
                <w:sz w:val="24"/>
                <w:szCs w:val="24"/>
              </w:rPr>
            </w:pPr>
            <w:r w:rsidRPr="0063562A">
              <w:rPr>
                <w:rFonts w:eastAsia="Times New Roman"/>
                <w:sz w:val="24"/>
                <w:szCs w:val="24"/>
              </w:rPr>
              <w:t>Enhanced lime softening (pH&gt; 10.5) . . . . . . .</w:t>
            </w:r>
          </w:p>
        </w:tc>
        <w:tc>
          <w:tcPr>
            <w:tcW w:w="4580" w:type="dxa"/>
            <w:gridSpan w:val="2"/>
            <w:vAlign w:val="center"/>
          </w:tcPr>
          <w:p w14:paraId="2819DE3F" w14:textId="4868F7F0" w:rsidR="004647B9" w:rsidRDefault="00B51FE1" w:rsidP="005F6833">
            <w:pPr>
              <w:spacing w:line="271" w:lineRule="exact"/>
              <w:rPr>
                <w:sz w:val="20"/>
                <w:szCs w:val="20"/>
              </w:rPr>
            </w:pPr>
            <w:r>
              <w:rPr>
                <w:rFonts w:eastAsia="Times New Roman"/>
                <w:sz w:val="23"/>
                <w:szCs w:val="23"/>
              </w:rPr>
              <w:t>. . . . . . . . . .</w:t>
            </w:r>
            <w:r>
              <w:rPr>
                <w:rFonts w:eastAsia="Times New Roman"/>
                <w:sz w:val="24"/>
                <w:szCs w:val="24"/>
              </w:rPr>
              <w:t xml:space="preserve"> </w:t>
            </w:r>
            <w:r w:rsidR="00E2436F">
              <w:rPr>
                <w:rFonts w:eastAsia="Times New Roman"/>
                <w:sz w:val="24"/>
                <w:szCs w:val="24"/>
              </w:rPr>
              <w:t>All size categories.</w:t>
            </w:r>
          </w:p>
        </w:tc>
        <w:tc>
          <w:tcPr>
            <w:tcW w:w="20" w:type="dxa"/>
            <w:vAlign w:val="bottom"/>
          </w:tcPr>
          <w:p w14:paraId="2819DE40" w14:textId="77777777" w:rsidR="004647B9" w:rsidRDefault="004647B9">
            <w:pPr>
              <w:rPr>
                <w:sz w:val="1"/>
                <w:szCs w:val="1"/>
              </w:rPr>
            </w:pPr>
          </w:p>
        </w:tc>
      </w:tr>
      <w:tr w:rsidR="004647B9" w14:paraId="2819DE45" w14:textId="77777777" w:rsidTr="005F6833">
        <w:trPr>
          <w:trHeight w:val="271"/>
        </w:trPr>
        <w:tc>
          <w:tcPr>
            <w:tcW w:w="5600" w:type="dxa"/>
            <w:vAlign w:val="center"/>
          </w:tcPr>
          <w:p w14:paraId="2819DE42" w14:textId="77777777" w:rsidR="004647B9" w:rsidRPr="0063562A" w:rsidRDefault="00E2436F" w:rsidP="005F6833">
            <w:pPr>
              <w:spacing w:line="271" w:lineRule="exact"/>
              <w:ind w:left="1200"/>
              <w:rPr>
                <w:sz w:val="24"/>
                <w:szCs w:val="24"/>
              </w:rPr>
            </w:pPr>
            <w:r w:rsidRPr="00EF5C72">
              <w:rPr>
                <w:rFonts w:eastAsia="Times New Roman"/>
                <w:sz w:val="24"/>
                <w:szCs w:val="24"/>
              </w:rPr>
              <w:t>Ion Exchange</w:t>
            </w:r>
            <w:r w:rsidRPr="0063562A">
              <w:rPr>
                <w:rFonts w:eastAsia="Times New Roman"/>
                <w:w w:val="99"/>
                <w:sz w:val="24"/>
                <w:szCs w:val="24"/>
              </w:rPr>
              <w:t xml:space="preserve">  . . . . . . . . . . . . . . . . . . . . . . . . .</w:t>
            </w:r>
          </w:p>
        </w:tc>
        <w:tc>
          <w:tcPr>
            <w:tcW w:w="4580" w:type="dxa"/>
            <w:gridSpan w:val="2"/>
            <w:vAlign w:val="center"/>
          </w:tcPr>
          <w:p w14:paraId="2819DE43" w14:textId="77777777" w:rsidR="004647B9" w:rsidRDefault="00E2436F" w:rsidP="005F6833">
            <w:pPr>
              <w:spacing w:line="271" w:lineRule="exact"/>
              <w:rPr>
                <w:sz w:val="20"/>
                <w:szCs w:val="20"/>
              </w:rPr>
            </w:pPr>
            <w:r>
              <w:rPr>
                <w:rFonts w:eastAsia="Times New Roman"/>
                <w:sz w:val="24"/>
                <w:szCs w:val="24"/>
              </w:rPr>
              <w:t>. . . . . . . . . .  All size categories.</w:t>
            </w:r>
          </w:p>
        </w:tc>
        <w:tc>
          <w:tcPr>
            <w:tcW w:w="20" w:type="dxa"/>
            <w:vAlign w:val="bottom"/>
          </w:tcPr>
          <w:p w14:paraId="2819DE44" w14:textId="77777777" w:rsidR="004647B9" w:rsidRDefault="004647B9">
            <w:pPr>
              <w:rPr>
                <w:sz w:val="1"/>
                <w:szCs w:val="1"/>
              </w:rPr>
            </w:pPr>
          </w:p>
        </w:tc>
      </w:tr>
      <w:tr w:rsidR="004647B9" w14:paraId="2819DE49" w14:textId="77777777" w:rsidTr="005F6833">
        <w:trPr>
          <w:trHeight w:val="271"/>
        </w:trPr>
        <w:tc>
          <w:tcPr>
            <w:tcW w:w="5600" w:type="dxa"/>
            <w:vAlign w:val="center"/>
          </w:tcPr>
          <w:p w14:paraId="2819DE46" w14:textId="77777777" w:rsidR="004647B9" w:rsidRPr="0063562A" w:rsidRDefault="00E2436F" w:rsidP="005F6833">
            <w:pPr>
              <w:spacing w:line="271" w:lineRule="exact"/>
              <w:ind w:left="1200"/>
              <w:rPr>
                <w:sz w:val="24"/>
                <w:szCs w:val="24"/>
              </w:rPr>
            </w:pPr>
            <w:r w:rsidRPr="00EF5C72">
              <w:rPr>
                <w:rFonts w:eastAsia="Times New Roman"/>
                <w:sz w:val="24"/>
                <w:szCs w:val="24"/>
              </w:rPr>
              <w:t>Lime Softening</w:t>
            </w:r>
            <w:r w:rsidRPr="0063562A">
              <w:rPr>
                <w:rFonts w:eastAsia="Times New Roman"/>
                <w:w w:val="99"/>
                <w:sz w:val="24"/>
                <w:szCs w:val="24"/>
                <w:vertAlign w:val="superscript"/>
              </w:rPr>
              <w:t>5</w:t>
            </w:r>
            <w:r w:rsidRPr="0063562A">
              <w:rPr>
                <w:rFonts w:eastAsia="Times New Roman"/>
                <w:w w:val="99"/>
                <w:sz w:val="24"/>
                <w:szCs w:val="24"/>
              </w:rPr>
              <w:t xml:space="preserve">  . . . . . . . . . . . . . . . . . . . . . . .</w:t>
            </w:r>
          </w:p>
        </w:tc>
        <w:tc>
          <w:tcPr>
            <w:tcW w:w="4580" w:type="dxa"/>
            <w:gridSpan w:val="2"/>
            <w:vAlign w:val="center"/>
          </w:tcPr>
          <w:p w14:paraId="2819DE47" w14:textId="77777777" w:rsidR="004647B9" w:rsidRDefault="00E2436F" w:rsidP="005F6833">
            <w:pPr>
              <w:spacing w:line="271" w:lineRule="exact"/>
              <w:rPr>
                <w:sz w:val="20"/>
                <w:szCs w:val="20"/>
              </w:rPr>
            </w:pPr>
            <w:r>
              <w:rPr>
                <w:rFonts w:eastAsia="Times New Roman"/>
                <w:sz w:val="24"/>
                <w:szCs w:val="24"/>
              </w:rPr>
              <w:t>. . . . . 501–3,300, 3,301–10,000.</w:t>
            </w:r>
          </w:p>
        </w:tc>
        <w:tc>
          <w:tcPr>
            <w:tcW w:w="20" w:type="dxa"/>
            <w:vAlign w:val="bottom"/>
          </w:tcPr>
          <w:p w14:paraId="2819DE48" w14:textId="77777777" w:rsidR="004647B9" w:rsidRDefault="004647B9">
            <w:pPr>
              <w:rPr>
                <w:sz w:val="1"/>
                <w:szCs w:val="1"/>
              </w:rPr>
            </w:pPr>
          </w:p>
        </w:tc>
      </w:tr>
      <w:tr w:rsidR="004647B9" w14:paraId="2819DE4D" w14:textId="77777777" w:rsidTr="005F6833">
        <w:trPr>
          <w:trHeight w:val="271"/>
        </w:trPr>
        <w:tc>
          <w:tcPr>
            <w:tcW w:w="5600" w:type="dxa"/>
            <w:vAlign w:val="center"/>
          </w:tcPr>
          <w:p w14:paraId="2819DE4A" w14:textId="77777777" w:rsidR="004647B9" w:rsidRPr="0063562A" w:rsidRDefault="00E2436F" w:rsidP="005F6833">
            <w:pPr>
              <w:spacing w:line="271" w:lineRule="exact"/>
              <w:ind w:left="1200"/>
              <w:rPr>
                <w:sz w:val="24"/>
                <w:szCs w:val="24"/>
              </w:rPr>
            </w:pPr>
            <w:r w:rsidRPr="00EF5C72">
              <w:rPr>
                <w:rFonts w:eastAsia="Times New Roman"/>
                <w:sz w:val="24"/>
                <w:szCs w:val="24"/>
              </w:rPr>
              <w:t>Oxidation/Filtration</w:t>
            </w:r>
            <w:r w:rsidRPr="0063562A">
              <w:rPr>
                <w:rFonts w:eastAsia="Times New Roman"/>
                <w:w w:val="99"/>
                <w:sz w:val="24"/>
                <w:szCs w:val="24"/>
                <w:vertAlign w:val="superscript"/>
              </w:rPr>
              <w:t>7</w:t>
            </w:r>
            <w:r w:rsidRPr="0063562A">
              <w:rPr>
                <w:rFonts w:eastAsia="Times New Roman"/>
                <w:w w:val="99"/>
                <w:sz w:val="24"/>
                <w:szCs w:val="24"/>
              </w:rPr>
              <w:t xml:space="preserve">   . . . . . . . . . . . . . . . . . . .</w:t>
            </w:r>
          </w:p>
        </w:tc>
        <w:tc>
          <w:tcPr>
            <w:tcW w:w="4580" w:type="dxa"/>
            <w:gridSpan w:val="2"/>
            <w:vAlign w:val="center"/>
          </w:tcPr>
          <w:p w14:paraId="2819DE4B" w14:textId="6DBFEB4D" w:rsidR="004647B9" w:rsidRDefault="00B51FE1" w:rsidP="005F6833">
            <w:pPr>
              <w:spacing w:line="271" w:lineRule="exact"/>
              <w:rPr>
                <w:sz w:val="20"/>
                <w:szCs w:val="20"/>
              </w:rPr>
            </w:pPr>
            <w:r>
              <w:rPr>
                <w:rFonts w:eastAsia="Times New Roman"/>
                <w:sz w:val="23"/>
                <w:szCs w:val="23"/>
              </w:rPr>
              <w:t>. . . . . . . . . .</w:t>
            </w:r>
            <w:r>
              <w:rPr>
                <w:rFonts w:eastAsia="Times New Roman"/>
                <w:sz w:val="24"/>
                <w:szCs w:val="24"/>
              </w:rPr>
              <w:t xml:space="preserve"> </w:t>
            </w:r>
            <w:r w:rsidR="00E2436F">
              <w:rPr>
                <w:rFonts w:eastAsia="Times New Roman"/>
                <w:sz w:val="24"/>
                <w:szCs w:val="24"/>
              </w:rPr>
              <w:t>All size categories.</w:t>
            </w:r>
          </w:p>
        </w:tc>
        <w:tc>
          <w:tcPr>
            <w:tcW w:w="20" w:type="dxa"/>
            <w:vAlign w:val="bottom"/>
          </w:tcPr>
          <w:p w14:paraId="2819DE4C" w14:textId="77777777" w:rsidR="004647B9" w:rsidRDefault="004647B9">
            <w:pPr>
              <w:rPr>
                <w:sz w:val="1"/>
                <w:szCs w:val="1"/>
              </w:rPr>
            </w:pPr>
          </w:p>
        </w:tc>
      </w:tr>
      <w:tr w:rsidR="004647B9" w14:paraId="2819DE51" w14:textId="77777777" w:rsidTr="005F6833">
        <w:trPr>
          <w:trHeight w:val="271"/>
        </w:trPr>
        <w:tc>
          <w:tcPr>
            <w:tcW w:w="5600" w:type="dxa"/>
            <w:vAlign w:val="center"/>
          </w:tcPr>
          <w:p w14:paraId="2819DE4E" w14:textId="77777777" w:rsidR="004647B9" w:rsidRPr="0063562A" w:rsidRDefault="00E2436F" w:rsidP="005F6833">
            <w:pPr>
              <w:spacing w:line="271" w:lineRule="exact"/>
              <w:ind w:left="1200"/>
              <w:rPr>
                <w:sz w:val="24"/>
                <w:szCs w:val="24"/>
              </w:rPr>
            </w:pPr>
            <w:r w:rsidRPr="00EF5C72">
              <w:rPr>
                <w:rFonts w:eastAsia="Times New Roman"/>
                <w:sz w:val="24"/>
                <w:szCs w:val="24"/>
              </w:rPr>
              <w:t>Reverse Osmosis (centralized)</w:t>
            </w:r>
            <w:r w:rsidRPr="0063562A">
              <w:rPr>
                <w:rFonts w:eastAsia="Times New Roman"/>
                <w:w w:val="99"/>
                <w:sz w:val="24"/>
                <w:szCs w:val="24"/>
                <w:vertAlign w:val="superscript"/>
              </w:rPr>
              <w:t>6</w:t>
            </w:r>
            <w:r w:rsidRPr="0063562A">
              <w:rPr>
                <w:rFonts w:eastAsia="Times New Roman"/>
                <w:w w:val="99"/>
                <w:sz w:val="24"/>
                <w:szCs w:val="24"/>
              </w:rPr>
              <w:t xml:space="preserve">  . . . . . . . . . . .</w:t>
            </w:r>
          </w:p>
        </w:tc>
        <w:tc>
          <w:tcPr>
            <w:tcW w:w="4580" w:type="dxa"/>
            <w:gridSpan w:val="2"/>
            <w:vAlign w:val="center"/>
          </w:tcPr>
          <w:p w14:paraId="2819DE4F" w14:textId="77777777" w:rsidR="004647B9" w:rsidRDefault="00E2436F" w:rsidP="005F6833">
            <w:pPr>
              <w:spacing w:line="271" w:lineRule="exact"/>
              <w:rPr>
                <w:sz w:val="20"/>
                <w:szCs w:val="20"/>
              </w:rPr>
            </w:pPr>
            <w:r>
              <w:rPr>
                <w:rFonts w:eastAsia="Times New Roman"/>
                <w:sz w:val="24"/>
                <w:szCs w:val="24"/>
              </w:rPr>
              <w:t>. . . . . 501–3,300, 3,301–10,000.</w:t>
            </w:r>
          </w:p>
        </w:tc>
        <w:tc>
          <w:tcPr>
            <w:tcW w:w="20" w:type="dxa"/>
            <w:vAlign w:val="bottom"/>
          </w:tcPr>
          <w:p w14:paraId="2819DE50" w14:textId="77777777" w:rsidR="004647B9" w:rsidRDefault="004647B9">
            <w:pPr>
              <w:rPr>
                <w:sz w:val="1"/>
                <w:szCs w:val="1"/>
              </w:rPr>
            </w:pPr>
          </w:p>
        </w:tc>
      </w:tr>
      <w:tr w:rsidR="004647B9" w14:paraId="2819DE55" w14:textId="77777777" w:rsidTr="005F6833">
        <w:trPr>
          <w:trHeight w:val="312"/>
        </w:trPr>
        <w:tc>
          <w:tcPr>
            <w:tcW w:w="5600" w:type="dxa"/>
            <w:vAlign w:val="center"/>
          </w:tcPr>
          <w:p w14:paraId="2819DE52" w14:textId="77777777" w:rsidR="004647B9" w:rsidRPr="0063562A" w:rsidRDefault="00E2436F" w:rsidP="005F6833">
            <w:pPr>
              <w:ind w:left="1200"/>
              <w:rPr>
                <w:sz w:val="24"/>
                <w:szCs w:val="24"/>
              </w:rPr>
            </w:pPr>
            <w:r w:rsidRPr="00EF5C72">
              <w:rPr>
                <w:rFonts w:eastAsia="Times New Roman"/>
                <w:sz w:val="24"/>
                <w:szCs w:val="24"/>
              </w:rPr>
              <w:t>Reverse Osmosis (Point-of-Use)</w:t>
            </w:r>
            <w:r w:rsidRPr="0063562A">
              <w:rPr>
                <w:rFonts w:eastAsia="Times New Roman"/>
                <w:w w:val="99"/>
                <w:sz w:val="24"/>
                <w:szCs w:val="24"/>
                <w:vertAlign w:val="superscript"/>
              </w:rPr>
              <w:t>4</w:t>
            </w:r>
            <w:r w:rsidRPr="0063562A">
              <w:rPr>
                <w:rFonts w:eastAsia="Times New Roman"/>
                <w:w w:val="99"/>
                <w:sz w:val="24"/>
                <w:szCs w:val="24"/>
              </w:rPr>
              <w:t xml:space="preserve">   . . . . . . . . .</w:t>
            </w:r>
          </w:p>
        </w:tc>
        <w:tc>
          <w:tcPr>
            <w:tcW w:w="4580" w:type="dxa"/>
            <w:gridSpan w:val="2"/>
            <w:vAlign w:val="center"/>
          </w:tcPr>
          <w:p w14:paraId="2819DE53" w14:textId="5FA856C7" w:rsidR="004647B9" w:rsidRDefault="00B51FE1" w:rsidP="005F6833">
            <w:pPr>
              <w:rPr>
                <w:sz w:val="20"/>
                <w:szCs w:val="20"/>
              </w:rPr>
            </w:pPr>
            <w:r>
              <w:rPr>
                <w:rFonts w:eastAsia="Times New Roman"/>
                <w:sz w:val="23"/>
                <w:szCs w:val="23"/>
              </w:rPr>
              <w:t>. . . . . . . . . .</w:t>
            </w:r>
            <w:r>
              <w:rPr>
                <w:rFonts w:eastAsia="Times New Roman"/>
                <w:sz w:val="24"/>
                <w:szCs w:val="24"/>
              </w:rPr>
              <w:t xml:space="preserve"> </w:t>
            </w:r>
            <w:r w:rsidR="00E2436F">
              <w:rPr>
                <w:rFonts w:eastAsia="Times New Roman"/>
                <w:sz w:val="24"/>
                <w:szCs w:val="24"/>
              </w:rPr>
              <w:t>All size categories.</w:t>
            </w:r>
          </w:p>
        </w:tc>
        <w:tc>
          <w:tcPr>
            <w:tcW w:w="20" w:type="dxa"/>
            <w:vAlign w:val="bottom"/>
          </w:tcPr>
          <w:p w14:paraId="2819DE54" w14:textId="77777777" w:rsidR="004647B9" w:rsidRDefault="004647B9">
            <w:pPr>
              <w:rPr>
                <w:sz w:val="1"/>
                <w:szCs w:val="1"/>
              </w:rPr>
            </w:pPr>
          </w:p>
        </w:tc>
      </w:tr>
    </w:tbl>
    <w:p w14:paraId="2819DE56" w14:textId="77777777" w:rsidR="004647B9" w:rsidRDefault="004647B9">
      <w:pPr>
        <w:spacing w:line="230" w:lineRule="exact"/>
        <w:rPr>
          <w:sz w:val="20"/>
          <w:szCs w:val="20"/>
        </w:rPr>
      </w:pPr>
    </w:p>
    <w:p w14:paraId="2819DE57" w14:textId="77777777" w:rsidR="004647B9" w:rsidRDefault="00E2436F" w:rsidP="00563A54">
      <w:pPr>
        <w:numPr>
          <w:ilvl w:val="0"/>
          <w:numId w:val="142"/>
        </w:numPr>
        <w:tabs>
          <w:tab w:val="left" w:pos="300"/>
        </w:tabs>
        <w:spacing w:line="234" w:lineRule="auto"/>
        <w:ind w:left="300" w:hanging="299"/>
        <w:rPr>
          <w:rFonts w:eastAsia="Times New Roman"/>
          <w:sz w:val="28"/>
          <w:szCs w:val="28"/>
          <w:vertAlign w:val="superscript"/>
        </w:rPr>
      </w:pPr>
      <w:r>
        <w:rPr>
          <w:rFonts w:eastAsia="Times New Roman"/>
          <w:sz w:val="24"/>
          <w:szCs w:val="24"/>
        </w:rPr>
        <w:t>Section 1412(b)(4)(E)(ii) of SDWA specifies that SSCTs must be affordable and technically feasible for small systems.</w:t>
      </w:r>
    </w:p>
    <w:p w14:paraId="2819DE58" w14:textId="77777777" w:rsidR="004647B9" w:rsidRDefault="00E2436F" w:rsidP="00563A54">
      <w:pPr>
        <w:numPr>
          <w:ilvl w:val="0"/>
          <w:numId w:val="142"/>
        </w:numPr>
        <w:tabs>
          <w:tab w:val="left" w:pos="300"/>
        </w:tabs>
        <w:spacing w:line="202" w:lineRule="auto"/>
        <w:ind w:left="300" w:hanging="299"/>
        <w:rPr>
          <w:rFonts w:eastAsia="Times New Roman"/>
          <w:sz w:val="28"/>
          <w:szCs w:val="28"/>
          <w:vertAlign w:val="superscript"/>
        </w:rPr>
      </w:pPr>
      <w:r>
        <w:rPr>
          <w:rFonts w:eastAsia="Times New Roman"/>
          <w:sz w:val="24"/>
          <w:szCs w:val="24"/>
        </w:rPr>
        <w:t>SSCTs for Arsenic V. Pre-oxidation may be required to convert Arsenic III to Arsenic V.</w:t>
      </w:r>
    </w:p>
    <w:p w14:paraId="2819DE59" w14:textId="77777777" w:rsidR="004647B9" w:rsidRDefault="00E2436F" w:rsidP="00563A54">
      <w:pPr>
        <w:numPr>
          <w:ilvl w:val="0"/>
          <w:numId w:val="142"/>
        </w:numPr>
        <w:tabs>
          <w:tab w:val="left" w:pos="300"/>
        </w:tabs>
        <w:spacing w:line="223" w:lineRule="auto"/>
        <w:ind w:left="300" w:hanging="300"/>
        <w:jc w:val="both"/>
        <w:rPr>
          <w:rFonts w:eastAsia="Times New Roman"/>
          <w:sz w:val="28"/>
          <w:szCs w:val="28"/>
          <w:vertAlign w:val="superscript"/>
        </w:rPr>
      </w:pPr>
      <w:r>
        <w:rPr>
          <w:rFonts w:eastAsia="Times New Roman"/>
          <w:sz w:val="24"/>
          <w:szCs w:val="24"/>
        </w:rPr>
        <w:t>The SDWA (</w:t>
      </w:r>
      <w:r>
        <w:rPr>
          <w:rFonts w:eastAsia="Times New Roman"/>
          <w:i/>
          <w:iCs/>
          <w:sz w:val="24"/>
          <w:szCs w:val="24"/>
        </w:rPr>
        <w:t>ibid</w:t>
      </w:r>
      <w:r>
        <w:rPr>
          <w:rFonts w:eastAsia="Times New Roman"/>
          <w:sz w:val="24"/>
          <w:szCs w:val="24"/>
        </w:rPr>
        <w:t>.) specifies three categories of small systems: (i) those serving 25 or more, but fewer than 501, (ii) those serving more than 500, but fewer than 3,301, and (iii) those serving more than 3,300, but fewer than 10,001.</w:t>
      </w:r>
    </w:p>
    <w:p w14:paraId="2819DE5A" w14:textId="77777777" w:rsidR="004647B9" w:rsidRDefault="004647B9">
      <w:pPr>
        <w:spacing w:line="1" w:lineRule="exact"/>
        <w:rPr>
          <w:rFonts w:eastAsia="Times New Roman"/>
          <w:sz w:val="28"/>
          <w:szCs w:val="28"/>
          <w:vertAlign w:val="superscript"/>
        </w:rPr>
      </w:pPr>
    </w:p>
    <w:p w14:paraId="2819DE5B" w14:textId="77777777" w:rsidR="004647B9" w:rsidRDefault="00E2436F" w:rsidP="00563A54">
      <w:pPr>
        <w:numPr>
          <w:ilvl w:val="0"/>
          <w:numId w:val="142"/>
        </w:numPr>
        <w:tabs>
          <w:tab w:val="left" w:pos="300"/>
        </w:tabs>
        <w:spacing w:line="217" w:lineRule="auto"/>
        <w:ind w:left="300" w:hanging="300"/>
        <w:rPr>
          <w:rFonts w:eastAsia="Times New Roman"/>
          <w:sz w:val="28"/>
          <w:szCs w:val="28"/>
          <w:vertAlign w:val="superscript"/>
        </w:rPr>
      </w:pPr>
      <w:r>
        <w:rPr>
          <w:rFonts w:eastAsia="Times New Roman"/>
          <w:sz w:val="24"/>
          <w:szCs w:val="24"/>
        </w:rPr>
        <w:t>When POU or POE devices are used for compliance, programs to ensure proper long-term operation, maintenance, and monitoring must be provided by the water system to ensure adequate performance.</w:t>
      </w:r>
    </w:p>
    <w:p w14:paraId="2819DE5C" w14:textId="77777777" w:rsidR="004647B9" w:rsidRDefault="004647B9">
      <w:pPr>
        <w:spacing w:line="1" w:lineRule="exact"/>
        <w:rPr>
          <w:rFonts w:eastAsia="Times New Roman"/>
          <w:sz w:val="28"/>
          <w:szCs w:val="28"/>
          <w:vertAlign w:val="superscript"/>
        </w:rPr>
      </w:pPr>
    </w:p>
    <w:p w14:paraId="2819DE5D" w14:textId="77777777" w:rsidR="004647B9" w:rsidRDefault="00E2436F" w:rsidP="00563A54">
      <w:pPr>
        <w:numPr>
          <w:ilvl w:val="0"/>
          <w:numId w:val="142"/>
        </w:numPr>
        <w:tabs>
          <w:tab w:val="left" w:pos="300"/>
        </w:tabs>
        <w:spacing w:line="217" w:lineRule="auto"/>
        <w:ind w:left="300" w:hanging="300"/>
        <w:rPr>
          <w:rFonts w:eastAsia="Times New Roman"/>
          <w:sz w:val="28"/>
          <w:szCs w:val="28"/>
          <w:vertAlign w:val="superscript"/>
        </w:rPr>
      </w:pPr>
      <w:r>
        <w:rPr>
          <w:rFonts w:eastAsia="Times New Roman"/>
          <w:sz w:val="24"/>
          <w:szCs w:val="24"/>
        </w:rPr>
        <w:t>Unlikely to be installed solely for arsenic removal. May require pH adjustment to optimal range if high removals are needed.</w:t>
      </w:r>
    </w:p>
    <w:p w14:paraId="2819DE5E" w14:textId="77777777" w:rsidR="004647B9" w:rsidRDefault="004647B9">
      <w:pPr>
        <w:spacing w:line="1" w:lineRule="exact"/>
        <w:rPr>
          <w:rFonts w:eastAsia="Times New Roman"/>
          <w:sz w:val="28"/>
          <w:szCs w:val="28"/>
          <w:vertAlign w:val="superscript"/>
        </w:rPr>
      </w:pPr>
    </w:p>
    <w:p w14:paraId="2819DE5F" w14:textId="77777777" w:rsidR="004647B9" w:rsidRDefault="00E2436F" w:rsidP="00563A54">
      <w:pPr>
        <w:numPr>
          <w:ilvl w:val="0"/>
          <w:numId w:val="142"/>
        </w:numPr>
        <w:tabs>
          <w:tab w:val="left" w:pos="300"/>
        </w:tabs>
        <w:spacing w:line="217" w:lineRule="auto"/>
        <w:ind w:left="300" w:hanging="300"/>
        <w:rPr>
          <w:rFonts w:eastAsia="Times New Roman"/>
          <w:sz w:val="28"/>
          <w:szCs w:val="28"/>
          <w:vertAlign w:val="superscript"/>
        </w:rPr>
      </w:pPr>
      <w:r>
        <w:rPr>
          <w:rFonts w:eastAsia="Times New Roman"/>
          <w:sz w:val="24"/>
          <w:szCs w:val="24"/>
        </w:rPr>
        <w:t>Technologies reject a large volume of water—may not be appropriate for areas where water quantity may be an issue.</w:t>
      </w:r>
    </w:p>
    <w:p w14:paraId="2819DE60" w14:textId="77777777" w:rsidR="004647B9" w:rsidRDefault="004647B9">
      <w:pPr>
        <w:spacing w:line="1" w:lineRule="exact"/>
        <w:rPr>
          <w:rFonts w:eastAsia="Times New Roman"/>
          <w:sz w:val="28"/>
          <w:szCs w:val="28"/>
          <w:vertAlign w:val="superscript"/>
        </w:rPr>
      </w:pPr>
    </w:p>
    <w:p w14:paraId="2819DE61" w14:textId="77777777" w:rsidR="004647B9" w:rsidRDefault="00E2436F" w:rsidP="00563A54">
      <w:pPr>
        <w:numPr>
          <w:ilvl w:val="0"/>
          <w:numId w:val="142"/>
        </w:numPr>
        <w:tabs>
          <w:tab w:val="left" w:pos="300"/>
        </w:tabs>
        <w:spacing w:line="202" w:lineRule="auto"/>
        <w:ind w:left="300" w:hanging="300"/>
        <w:rPr>
          <w:rFonts w:eastAsia="Times New Roman"/>
          <w:sz w:val="28"/>
          <w:szCs w:val="28"/>
          <w:vertAlign w:val="superscript"/>
        </w:rPr>
      </w:pPr>
      <w:r>
        <w:rPr>
          <w:rFonts w:eastAsia="Times New Roman"/>
          <w:sz w:val="24"/>
          <w:szCs w:val="24"/>
        </w:rPr>
        <w:t>To obtain high removals, iron to arsenic ratio must be at least 20:1.</w:t>
      </w:r>
    </w:p>
    <w:p w14:paraId="2819DE62" w14:textId="77777777" w:rsidR="004647B9" w:rsidRPr="00EF5C72" w:rsidRDefault="004647B9" w:rsidP="00EF5C72">
      <w:pPr>
        <w:rPr>
          <w:sz w:val="24"/>
          <w:szCs w:val="24"/>
        </w:rPr>
      </w:pPr>
    </w:p>
    <w:p w14:paraId="2819DE63" w14:textId="77777777" w:rsidR="004647B9" w:rsidRPr="00747BE7" w:rsidRDefault="00E2436F">
      <w:pPr>
        <w:tabs>
          <w:tab w:val="left" w:pos="940"/>
        </w:tabs>
        <w:rPr>
          <w:sz w:val="24"/>
          <w:szCs w:val="24"/>
        </w:rPr>
      </w:pPr>
      <w:r w:rsidRPr="00747BE7">
        <w:rPr>
          <w:rFonts w:eastAsia="Times New Roman"/>
          <w:sz w:val="24"/>
          <w:szCs w:val="24"/>
          <w:u w:val="single"/>
        </w:rPr>
        <w:t>22.06A:</w:t>
      </w:r>
      <w:r w:rsidRPr="00747BE7">
        <w:rPr>
          <w:sz w:val="24"/>
          <w:szCs w:val="24"/>
        </w:rPr>
        <w:tab/>
      </w:r>
      <w:r w:rsidRPr="00747BE7">
        <w:rPr>
          <w:rFonts w:eastAsia="Times New Roman"/>
          <w:sz w:val="24"/>
          <w:szCs w:val="24"/>
          <w:u w:val="single"/>
        </w:rPr>
        <w:t>Special Monitoring for Sodium, Reporting and Analytical Methods and Frequency</w:t>
      </w:r>
    </w:p>
    <w:p w14:paraId="2819DE64" w14:textId="77777777" w:rsidR="004647B9" w:rsidRPr="00747BE7" w:rsidRDefault="004647B9" w:rsidP="00EF5C72">
      <w:pPr>
        <w:rPr>
          <w:sz w:val="24"/>
          <w:szCs w:val="24"/>
        </w:rPr>
      </w:pPr>
    </w:p>
    <w:p w14:paraId="2819DE65" w14:textId="77777777" w:rsidR="004647B9" w:rsidRPr="00747BE7" w:rsidRDefault="00E2436F" w:rsidP="00563A54">
      <w:pPr>
        <w:numPr>
          <w:ilvl w:val="0"/>
          <w:numId w:val="143"/>
        </w:numPr>
        <w:tabs>
          <w:tab w:val="left" w:pos="1732"/>
        </w:tabs>
        <w:spacing w:line="267" w:lineRule="auto"/>
        <w:ind w:left="1200"/>
        <w:jc w:val="both"/>
        <w:rPr>
          <w:rFonts w:eastAsia="Times New Roman"/>
          <w:sz w:val="24"/>
          <w:szCs w:val="24"/>
        </w:rPr>
      </w:pPr>
      <w:r w:rsidRPr="00747BE7">
        <w:rPr>
          <w:rFonts w:eastAsia="Times New Roman"/>
          <w:sz w:val="24"/>
          <w:szCs w:val="24"/>
          <w:u w:val="single"/>
        </w:rPr>
        <w:t>Monitoring</w:t>
      </w:r>
      <w:r w:rsidRPr="00747BE7">
        <w:rPr>
          <w:rFonts w:eastAsia="Times New Roman"/>
          <w:sz w:val="24"/>
          <w:szCs w:val="24"/>
        </w:rPr>
        <w:t>. All public water systems (community, non-transient non-community and transient non-community) shall monitor for the determination of sodium concentration levels.</w:t>
      </w:r>
    </w:p>
    <w:p w14:paraId="2819DE66" w14:textId="77777777" w:rsidR="004647B9" w:rsidRPr="00747BE7" w:rsidRDefault="004647B9" w:rsidP="00EF5C72">
      <w:pPr>
        <w:rPr>
          <w:rFonts w:eastAsia="Times New Roman"/>
          <w:sz w:val="24"/>
          <w:szCs w:val="24"/>
        </w:rPr>
      </w:pPr>
    </w:p>
    <w:p w14:paraId="2819DE67" w14:textId="77777777" w:rsidR="004647B9" w:rsidRPr="00747BE7" w:rsidRDefault="00E2436F" w:rsidP="00563A54">
      <w:pPr>
        <w:numPr>
          <w:ilvl w:val="0"/>
          <w:numId w:val="143"/>
        </w:numPr>
        <w:tabs>
          <w:tab w:val="left" w:pos="1608"/>
        </w:tabs>
        <w:spacing w:line="244" w:lineRule="auto"/>
        <w:ind w:left="1200"/>
        <w:jc w:val="both"/>
        <w:rPr>
          <w:rFonts w:eastAsia="Times New Roman"/>
          <w:sz w:val="24"/>
          <w:szCs w:val="24"/>
        </w:rPr>
      </w:pPr>
      <w:r w:rsidRPr="00747BE7">
        <w:rPr>
          <w:rFonts w:eastAsia="Times New Roman"/>
          <w:sz w:val="24"/>
          <w:szCs w:val="24"/>
          <w:u w:val="single"/>
        </w:rPr>
        <w:t>Initial Sampling Frequency</w:t>
      </w:r>
      <w:r w:rsidRPr="00747BE7">
        <w:rPr>
          <w:rFonts w:eastAsia="Times New Roman"/>
          <w:sz w:val="24"/>
          <w:szCs w:val="24"/>
        </w:rPr>
        <w:t>. Each community, non-transient, non-community and transient non-community water system is required to monitor for sodium during the first three-year compliance period of each nine-year compliance cycle beginning in the compliance period starting January 1, 1993.</w:t>
      </w:r>
    </w:p>
    <w:p w14:paraId="2819DE69" w14:textId="77777777" w:rsidR="004647B9" w:rsidRPr="00747BE7" w:rsidRDefault="00E2436F" w:rsidP="00563A54">
      <w:pPr>
        <w:numPr>
          <w:ilvl w:val="1"/>
          <w:numId w:val="143"/>
        </w:numPr>
        <w:tabs>
          <w:tab w:val="left" w:pos="1949"/>
        </w:tabs>
        <w:spacing w:line="235" w:lineRule="auto"/>
        <w:ind w:left="1560" w:hanging="5"/>
        <w:jc w:val="both"/>
        <w:rPr>
          <w:rFonts w:eastAsia="Times New Roman"/>
          <w:sz w:val="24"/>
          <w:szCs w:val="24"/>
        </w:rPr>
      </w:pPr>
      <w:r w:rsidRPr="00747BE7">
        <w:rPr>
          <w:rFonts w:eastAsia="Times New Roman"/>
          <w:sz w:val="24"/>
          <w:szCs w:val="24"/>
          <w:u w:val="single"/>
        </w:rPr>
        <w:t>GW Sampling Frequency</w:t>
      </w:r>
      <w:r w:rsidRPr="00747BE7">
        <w:rPr>
          <w:rFonts w:eastAsia="Times New Roman"/>
          <w:sz w:val="24"/>
          <w:szCs w:val="24"/>
        </w:rPr>
        <w:t>. Groundwater systems shall take one sample at each sampling point during each compliance period beginning in the compliance period starting January 1, 1993, (once every three years).</w:t>
      </w:r>
    </w:p>
    <w:p w14:paraId="2819DE6B" w14:textId="77777777" w:rsidR="004647B9" w:rsidRPr="00747BE7" w:rsidRDefault="00E2436F" w:rsidP="00563A54">
      <w:pPr>
        <w:numPr>
          <w:ilvl w:val="1"/>
          <w:numId w:val="143"/>
        </w:numPr>
        <w:tabs>
          <w:tab w:val="left" w:pos="2028"/>
        </w:tabs>
        <w:spacing w:line="235" w:lineRule="auto"/>
        <w:ind w:left="1560" w:hanging="5"/>
        <w:rPr>
          <w:rFonts w:eastAsia="Times New Roman"/>
          <w:sz w:val="24"/>
          <w:szCs w:val="24"/>
        </w:rPr>
      </w:pPr>
      <w:r w:rsidRPr="00747BE7">
        <w:rPr>
          <w:rFonts w:eastAsia="Times New Roman"/>
          <w:sz w:val="24"/>
          <w:szCs w:val="24"/>
          <w:u w:val="single"/>
        </w:rPr>
        <w:t>SW Sampling Frequency</w:t>
      </w:r>
      <w:r w:rsidRPr="00747BE7">
        <w:rPr>
          <w:rFonts w:eastAsia="Times New Roman"/>
          <w:sz w:val="24"/>
          <w:szCs w:val="24"/>
        </w:rPr>
        <w:t>. Surface water systems (or combined surface/ground) shall take one sample annually at each sampling point beginning January 1, 1993.</w:t>
      </w:r>
    </w:p>
    <w:p w14:paraId="2819DE6C" w14:textId="77777777" w:rsidR="004647B9" w:rsidRPr="00747BE7" w:rsidRDefault="004647B9" w:rsidP="00EF5C72">
      <w:pPr>
        <w:rPr>
          <w:rFonts w:eastAsia="Times New Roman"/>
          <w:sz w:val="24"/>
          <w:szCs w:val="24"/>
        </w:rPr>
      </w:pPr>
    </w:p>
    <w:p w14:paraId="2819DE6D" w14:textId="77777777" w:rsidR="004647B9" w:rsidRPr="00747BE7" w:rsidRDefault="00E2436F" w:rsidP="00563A54">
      <w:pPr>
        <w:numPr>
          <w:ilvl w:val="0"/>
          <w:numId w:val="143"/>
        </w:numPr>
        <w:tabs>
          <w:tab w:val="left" w:pos="1660"/>
        </w:tabs>
        <w:ind w:left="1660" w:hanging="460"/>
        <w:rPr>
          <w:rFonts w:eastAsia="Times New Roman"/>
          <w:sz w:val="24"/>
          <w:szCs w:val="24"/>
        </w:rPr>
      </w:pPr>
      <w:r w:rsidRPr="00747BE7">
        <w:rPr>
          <w:rFonts w:eastAsia="Times New Roman"/>
          <w:sz w:val="24"/>
          <w:szCs w:val="24"/>
          <w:u w:val="single"/>
        </w:rPr>
        <w:t>Sampling Protocol</w:t>
      </w:r>
      <w:r w:rsidRPr="00747BE7">
        <w:rPr>
          <w:rFonts w:eastAsia="Times New Roman"/>
          <w:sz w:val="24"/>
          <w:szCs w:val="24"/>
        </w:rPr>
        <w:t>. Monitoring shall be conducted as follows:</w:t>
      </w:r>
    </w:p>
    <w:p w14:paraId="2819DE6F" w14:textId="77777777" w:rsidR="004647B9" w:rsidRPr="00747BE7" w:rsidRDefault="00E2436F" w:rsidP="00563A54">
      <w:pPr>
        <w:numPr>
          <w:ilvl w:val="1"/>
          <w:numId w:val="143"/>
        </w:numPr>
        <w:tabs>
          <w:tab w:val="left" w:pos="2026"/>
        </w:tabs>
        <w:spacing w:line="235" w:lineRule="auto"/>
        <w:ind w:left="1560" w:hanging="5"/>
        <w:jc w:val="both"/>
        <w:rPr>
          <w:rFonts w:eastAsia="Times New Roman"/>
          <w:sz w:val="24"/>
          <w:szCs w:val="24"/>
        </w:rPr>
      </w:pPr>
      <w:r w:rsidRPr="00747BE7">
        <w:rPr>
          <w:rFonts w:eastAsia="Times New Roman"/>
          <w:sz w:val="24"/>
          <w:szCs w:val="24"/>
          <w:u w:val="single"/>
        </w:rPr>
        <w:t>Ground Water Sampling Points</w:t>
      </w:r>
      <w:r w:rsidRPr="00747BE7">
        <w:rPr>
          <w:rFonts w:eastAsia="Times New Roman"/>
          <w:sz w:val="24"/>
          <w:szCs w:val="24"/>
        </w:rPr>
        <w:t>. Groundwater systems shall take a minimum of one sample at every entry point to the distribution system which is representative of each well after treatment (sampling point) beginning in the compliance period starting January 1, 1993. The system shall take each sample at the same sampling point unless conditions make another sampling point more representative of each source or treatment plant.</w:t>
      </w:r>
    </w:p>
    <w:p w14:paraId="2819DE71" w14:textId="77777777" w:rsidR="004647B9" w:rsidRPr="00747BE7" w:rsidRDefault="00E2436F" w:rsidP="00563A54">
      <w:pPr>
        <w:numPr>
          <w:ilvl w:val="1"/>
          <w:numId w:val="143"/>
        </w:numPr>
        <w:tabs>
          <w:tab w:val="left" w:pos="2128"/>
        </w:tabs>
        <w:spacing w:line="235" w:lineRule="auto"/>
        <w:ind w:left="1560" w:hanging="5"/>
        <w:jc w:val="both"/>
        <w:rPr>
          <w:rFonts w:eastAsia="Times New Roman"/>
          <w:sz w:val="24"/>
          <w:szCs w:val="24"/>
        </w:rPr>
      </w:pPr>
      <w:r w:rsidRPr="00747BE7">
        <w:rPr>
          <w:rFonts w:eastAsia="Times New Roman"/>
          <w:sz w:val="24"/>
          <w:szCs w:val="24"/>
          <w:u w:val="single"/>
        </w:rPr>
        <w:t>Surface Water Sampling Points</w:t>
      </w:r>
      <w:r w:rsidRPr="00747BE7">
        <w:rPr>
          <w:rFonts w:eastAsia="Times New Roman"/>
          <w:sz w:val="24"/>
          <w:szCs w:val="24"/>
        </w:rPr>
        <w:t>. Surface water systems (</w:t>
      </w:r>
      <w:r w:rsidRPr="00747BE7">
        <w:rPr>
          <w:rFonts w:eastAsia="Times New Roman"/>
          <w:sz w:val="24"/>
          <w:szCs w:val="24"/>
          <w:u w:val="single"/>
        </w:rPr>
        <w:t>Note</w:t>
      </w:r>
      <w:r w:rsidRPr="00747BE7">
        <w:rPr>
          <w:rFonts w:eastAsia="Times New Roman"/>
          <w:sz w:val="24"/>
          <w:szCs w:val="24"/>
        </w:rPr>
        <w:t>: For purposes of 310 CMR 22.06A(3)(b), surface water systems include systems with a combination of surface and ground sources.) shall take a minimum of one sample at every entry point to the distribution system after any application of treatment or in the distribution system at a point which is representative of each source after treatment (sampling point) beginning in the compliance period beginning January 1, 1993. The system shall take each sample at the same sampling point unless conditions make another sampling point more representative of each source or treatment plant.</w:t>
      </w:r>
    </w:p>
    <w:p w14:paraId="2819DE72" w14:textId="77777777" w:rsidR="004647B9" w:rsidRDefault="004647B9">
      <w:pPr>
        <w:sectPr w:rsidR="004647B9" w:rsidSect="00EF630C">
          <w:pgSz w:w="12240" w:h="20180"/>
          <w:pgMar w:top="708" w:right="1440" w:bottom="1440" w:left="600" w:header="0" w:footer="0" w:gutter="0"/>
          <w:cols w:space="720" w:equalWidth="0">
            <w:col w:w="10200"/>
          </w:cols>
        </w:sectPr>
      </w:pPr>
    </w:p>
    <w:p w14:paraId="2819DE73" w14:textId="77777777" w:rsidR="004647B9" w:rsidRDefault="00E2436F">
      <w:pPr>
        <w:tabs>
          <w:tab w:val="left" w:pos="160"/>
        </w:tabs>
        <w:jc w:val="center"/>
        <w:rPr>
          <w:sz w:val="20"/>
          <w:szCs w:val="20"/>
        </w:rPr>
      </w:pPr>
      <w:bookmarkStart w:id="60" w:name="page61"/>
      <w:bookmarkEnd w:id="6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E74" w14:textId="77777777" w:rsidR="004647B9" w:rsidRDefault="004647B9" w:rsidP="00EF5C72">
      <w:pPr>
        <w:rPr>
          <w:sz w:val="20"/>
          <w:szCs w:val="20"/>
        </w:rPr>
      </w:pPr>
    </w:p>
    <w:p w14:paraId="2819DE75" w14:textId="77777777" w:rsidR="004647B9" w:rsidRDefault="004647B9" w:rsidP="00EF5C72">
      <w:pPr>
        <w:rPr>
          <w:sz w:val="20"/>
          <w:szCs w:val="20"/>
        </w:rPr>
      </w:pPr>
    </w:p>
    <w:p w14:paraId="2819DE76" w14:textId="77777777" w:rsidR="004647B9" w:rsidRDefault="00E2436F">
      <w:pPr>
        <w:tabs>
          <w:tab w:val="left" w:pos="940"/>
        </w:tabs>
        <w:rPr>
          <w:sz w:val="20"/>
          <w:szCs w:val="20"/>
        </w:rPr>
      </w:pPr>
      <w:r>
        <w:rPr>
          <w:rFonts w:eastAsia="Times New Roman"/>
          <w:sz w:val="24"/>
          <w:szCs w:val="24"/>
        </w:rPr>
        <w:t>22.06A:</w:t>
      </w:r>
      <w:r>
        <w:rPr>
          <w:sz w:val="20"/>
          <w:szCs w:val="20"/>
        </w:rPr>
        <w:tab/>
      </w:r>
      <w:r>
        <w:rPr>
          <w:rFonts w:eastAsia="Times New Roman"/>
          <w:sz w:val="23"/>
          <w:szCs w:val="23"/>
        </w:rPr>
        <w:t>continued</w:t>
      </w:r>
    </w:p>
    <w:p w14:paraId="2819DE77" w14:textId="77777777" w:rsidR="004647B9" w:rsidRDefault="004647B9" w:rsidP="00EF5C72">
      <w:pPr>
        <w:rPr>
          <w:sz w:val="20"/>
          <w:szCs w:val="20"/>
        </w:rPr>
      </w:pPr>
    </w:p>
    <w:p w14:paraId="2819DE78" w14:textId="77777777" w:rsidR="004647B9" w:rsidRDefault="00E2436F" w:rsidP="006A1799">
      <w:pPr>
        <w:numPr>
          <w:ilvl w:val="1"/>
          <w:numId w:val="144"/>
        </w:numPr>
        <w:tabs>
          <w:tab w:val="left" w:pos="1990"/>
        </w:tabs>
        <w:ind w:left="1560" w:hanging="5"/>
        <w:jc w:val="both"/>
        <w:rPr>
          <w:rFonts w:eastAsia="Times New Roman"/>
          <w:sz w:val="24"/>
          <w:szCs w:val="24"/>
        </w:rPr>
      </w:pPr>
      <w:r>
        <w:rPr>
          <w:rFonts w:eastAsia="Times New Roman"/>
          <w:sz w:val="24"/>
          <w:szCs w:val="24"/>
          <w:u w:val="single"/>
        </w:rPr>
        <w:t>Multiple Sources</w:t>
      </w:r>
      <w:r>
        <w:rPr>
          <w:rFonts w:eastAsia="Times New Roman"/>
          <w:sz w:val="24"/>
          <w:szCs w:val="24"/>
        </w:rPr>
        <w:t>. If a system draws water from more than one source and the sources are combined before distribution, the system must sample at an entry point to the distribution system during periods of normal operating conditions (</w:t>
      </w:r>
      <w:r>
        <w:rPr>
          <w:rFonts w:eastAsia="Times New Roman"/>
          <w:i/>
          <w:iCs/>
          <w:sz w:val="24"/>
          <w:szCs w:val="24"/>
        </w:rPr>
        <w:t>i.e</w:t>
      </w:r>
      <w:r>
        <w:rPr>
          <w:rFonts w:eastAsia="Times New Roman"/>
          <w:sz w:val="24"/>
          <w:szCs w:val="24"/>
        </w:rPr>
        <w:t>., when water is representative of all sources being used).</w:t>
      </w:r>
    </w:p>
    <w:p w14:paraId="2819DE79" w14:textId="77777777" w:rsidR="004647B9" w:rsidRDefault="004647B9" w:rsidP="006A1799">
      <w:pPr>
        <w:rPr>
          <w:rFonts w:eastAsia="Times New Roman"/>
          <w:sz w:val="24"/>
          <w:szCs w:val="24"/>
        </w:rPr>
      </w:pPr>
    </w:p>
    <w:p w14:paraId="2819DE7A" w14:textId="77777777" w:rsidR="004647B9" w:rsidRDefault="00E2436F" w:rsidP="006A1799">
      <w:pPr>
        <w:numPr>
          <w:ilvl w:val="0"/>
          <w:numId w:val="145"/>
        </w:numPr>
        <w:tabs>
          <w:tab w:val="left" w:pos="1653"/>
        </w:tabs>
        <w:ind w:left="1200"/>
        <w:jc w:val="both"/>
        <w:rPr>
          <w:rFonts w:eastAsia="Times New Roman"/>
          <w:sz w:val="24"/>
          <w:szCs w:val="24"/>
        </w:rPr>
      </w:pPr>
      <w:r>
        <w:rPr>
          <w:rFonts w:eastAsia="Times New Roman"/>
          <w:sz w:val="24"/>
          <w:szCs w:val="24"/>
          <w:u w:val="single"/>
        </w:rPr>
        <w:t>Sodium Reporting</w:t>
      </w:r>
      <w:r>
        <w:rPr>
          <w:rFonts w:eastAsia="Times New Roman"/>
          <w:sz w:val="24"/>
          <w:szCs w:val="24"/>
        </w:rPr>
        <w:t>. The supplier of water shall report to the Department the results of the analyses for sodium within the first ten days of the month following the month in which the sample results were received or within the first ten days following the end of the required monitoring period, whichever comes first.</w:t>
      </w:r>
    </w:p>
    <w:p w14:paraId="2819DE7B" w14:textId="77777777" w:rsidR="004647B9" w:rsidRDefault="004647B9" w:rsidP="006A1799">
      <w:pPr>
        <w:rPr>
          <w:rFonts w:eastAsia="Times New Roman"/>
          <w:sz w:val="24"/>
          <w:szCs w:val="24"/>
        </w:rPr>
      </w:pPr>
    </w:p>
    <w:p w14:paraId="2819DE7C" w14:textId="77777777" w:rsidR="004647B9" w:rsidRDefault="00E2436F" w:rsidP="006A1799">
      <w:pPr>
        <w:numPr>
          <w:ilvl w:val="0"/>
          <w:numId w:val="145"/>
        </w:numPr>
        <w:tabs>
          <w:tab w:val="left" w:pos="1624"/>
        </w:tabs>
        <w:ind w:left="1200"/>
        <w:jc w:val="both"/>
        <w:rPr>
          <w:rFonts w:eastAsia="Times New Roman"/>
          <w:sz w:val="24"/>
          <w:szCs w:val="24"/>
        </w:rPr>
      </w:pPr>
      <w:r>
        <w:rPr>
          <w:rFonts w:eastAsia="Times New Roman"/>
          <w:sz w:val="24"/>
          <w:szCs w:val="24"/>
          <w:u w:val="single"/>
        </w:rPr>
        <w:t>Sodium Notification</w:t>
      </w:r>
      <w:r>
        <w:rPr>
          <w:rFonts w:eastAsia="Times New Roman"/>
          <w:sz w:val="24"/>
          <w:szCs w:val="24"/>
        </w:rPr>
        <w:t>. The supplier of water shall report the level of sodium for each source to the local Boards of Health and Massachusetts Department of Public Health by written notice by direct mail within 30 days after the supplier of water first learns of the analytic results which indicate a level of sodium.</w:t>
      </w:r>
    </w:p>
    <w:p w14:paraId="2819DE7D" w14:textId="77777777" w:rsidR="004647B9" w:rsidRDefault="004647B9" w:rsidP="006A1799">
      <w:pPr>
        <w:rPr>
          <w:rFonts w:eastAsia="Times New Roman"/>
          <w:sz w:val="24"/>
          <w:szCs w:val="24"/>
        </w:rPr>
      </w:pPr>
    </w:p>
    <w:p w14:paraId="2819DE7E" w14:textId="77777777" w:rsidR="004647B9" w:rsidRDefault="00E2436F" w:rsidP="006A1799">
      <w:pPr>
        <w:numPr>
          <w:ilvl w:val="0"/>
          <w:numId w:val="145"/>
        </w:numPr>
        <w:tabs>
          <w:tab w:val="left" w:pos="1631"/>
        </w:tabs>
        <w:ind w:left="1200"/>
        <w:rPr>
          <w:rFonts w:eastAsia="Times New Roman"/>
          <w:sz w:val="24"/>
          <w:szCs w:val="24"/>
        </w:rPr>
      </w:pPr>
      <w:r>
        <w:rPr>
          <w:rFonts w:eastAsia="Times New Roman"/>
          <w:sz w:val="24"/>
          <w:szCs w:val="24"/>
          <w:u w:val="single"/>
        </w:rPr>
        <w:t>Sampling Schedules</w:t>
      </w:r>
      <w:r>
        <w:rPr>
          <w:rFonts w:eastAsia="Times New Roman"/>
          <w:sz w:val="24"/>
          <w:szCs w:val="24"/>
        </w:rPr>
        <w:t>. Each public water system shall monitor at the time designated by the Department during each compliance period.</w:t>
      </w:r>
    </w:p>
    <w:p w14:paraId="2819DE7F" w14:textId="77777777" w:rsidR="004647B9" w:rsidRDefault="004647B9" w:rsidP="006A1799">
      <w:pPr>
        <w:rPr>
          <w:rFonts w:eastAsia="Times New Roman"/>
          <w:sz w:val="24"/>
          <w:szCs w:val="24"/>
        </w:rPr>
      </w:pPr>
    </w:p>
    <w:p w14:paraId="2819DE80" w14:textId="77777777" w:rsidR="004647B9" w:rsidRDefault="00E2436F" w:rsidP="006A1799">
      <w:pPr>
        <w:numPr>
          <w:ilvl w:val="0"/>
          <w:numId w:val="145"/>
        </w:numPr>
        <w:tabs>
          <w:tab w:val="left" w:pos="1660"/>
        </w:tabs>
        <w:ind w:left="1200"/>
        <w:rPr>
          <w:rFonts w:eastAsia="Times New Roman"/>
          <w:sz w:val="24"/>
          <w:szCs w:val="24"/>
        </w:rPr>
      </w:pPr>
      <w:r>
        <w:rPr>
          <w:rFonts w:eastAsia="Times New Roman"/>
          <w:sz w:val="24"/>
          <w:szCs w:val="24"/>
          <w:u w:val="single"/>
        </w:rPr>
        <w:t>Sodium Analysis Analytical Methods</w:t>
      </w:r>
      <w:r>
        <w:rPr>
          <w:rFonts w:eastAsia="Times New Roman"/>
          <w:sz w:val="24"/>
          <w:szCs w:val="24"/>
        </w:rPr>
        <w:t>. Analysis for sodium shall be conducted using the following method:</w:t>
      </w:r>
    </w:p>
    <w:tbl>
      <w:tblPr>
        <w:tblW w:w="0" w:type="auto"/>
        <w:tblLayout w:type="fixed"/>
        <w:tblCellMar>
          <w:left w:w="0" w:type="dxa"/>
          <w:right w:w="0" w:type="dxa"/>
        </w:tblCellMar>
        <w:tblLook w:val="04A0" w:firstRow="1" w:lastRow="0" w:firstColumn="1" w:lastColumn="0" w:noHBand="0" w:noVBand="1"/>
      </w:tblPr>
      <w:tblGrid>
        <w:gridCol w:w="3140"/>
        <w:gridCol w:w="3250"/>
        <w:gridCol w:w="1140"/>
        <w:gridCol w:w="1740"/>
      </w:tblGrid>
      <w:tr w:rsidR="00A70B66" w14:paraId="2819DE87" w14:textId="77777777" w:rsidTr="00D4534D">
        <w:trPr>
          <w:trHeight w:val="249"/>
        </w:trPr>
        <w:tc>
          <w:tcPr>
            <w:tcW w:w="9270" w:type="dxa"/>
            <w:gridSpan w:val="4"/>
            <w:vAlign w:val="center"/>
          </w:tcPr>
          <w:p w14:paraId="2819DE85" w14:textId="642236C8" w:rsidR="00A70B66" w:rsidRDefault="00A70B66" w:rsidP="00A70B66">
            <w:pPr>
              <w:jc w:val="center"/>
              <w:rPr>
                <w:sz w:val="21"/>
                <w:szCs w:val="21"/>
              </w:rPr>
            </w:pPr>
            <w:r>
              <w:rPr>
                <w:rFonts w:eastAsia="Times New Roman"/>
                <w:sz w:val="24"/>
                <w:szCs w:val="24"/>
              </w:rPr>
              <w:t>SODIUM ANALYTICAL METHODS</w:t>
            </w:r>
          </w:p>
        </w:tc>
      </w:tr>
      <w:tr w:rsidR="003316DB" w14:paraId="12FD0E32" w14:textId="77777777" w:rsidTr="00D4534D">
        <w:trPr>
          <w:trHeight w:val="275"/>
        </w:trPr>
        <w:tc>
          <w:tcPr>
            <w:tcW w:w="6390" w:type="dxa"/>
            <w:gridSpan w:val="2"/>
            <w:vAlign w:val="bottom"/>
          </w:tcPr>
          <w:p w14:paraId="56473E03" w14:textId="77777777" w:rsidR="003316DB" w:rsidRDefault="003316DB" w:rsidP="00D4534D">
            <w:pPr>
              <w:rPr>
                <w:rFonts w:eastAsia="Times New Roman"/>
                <w:sz w:val="24"/>
                <w:szCs w:val="24"/>
              </w:rPr>
            </w:pPr>
          </w:p>
        </w:tc>
        <w:tc>
          <w:tcPr>
            <w:tcW w:w="2880" w:type="dxa"/>
            <w:gridSpan w:val="2"/>
            <w:vAlign w:val="bottom"/>
          </w:tcPr>
          <w:p w14:paraId="054714FE" w14:textId="062A5D05" w:rsidR="003316DB" w:rsidRPr="002A0ABA" w:rsidRDefault="003316DB">
            <w:pPr>
              <w:rPr>
                <w:rFonts w:eastAsia="Times New Roman"/>
                <w:sz w:val="24"/>
                <w:szCs w:val="24"/>
                <w:u w:val="single"/>
              </w:rPr>
            </w:pPr>
            <w:r w:rsidRPr="002A0ABA">
              <w:rPr>
                <w:rFonts w:eastAsia="Times New Roman"/>
                <w:sz w:val="24"/>
                <w:szCs w:val="24"/>
                <w:u w:val="single"/>
              </w:rPr>
              <w:t>Reference (Method Number)</w:t>
            </w:r>
          </w:p>
        </w:tc>
      </w:tr>
      <w:tr w:rsidR="002A0ABA" w14:paraId="2819DE8F" w14:textId="77777777" w:rsidTr="00D4534D">
        <w:trPr>
          <w:trHeight w:val="530"/>
        </w:trPr>
        <w:tc>
          <w:tcPr>
            <w:tcW w:w="3140" w:type="dxa"/>
            <w:vAlign w:val="center"/>
          </w:tcPr>
          <w:p w14:paraId="2819DE88" w14:textId="77777777" w:rsidR="002A0ABA" w:rsidRPr="002A0ABA" w:rsidRDefault="002A0ABA" w:rsidP="002A0ABA">
            <w:pPr>
              <w:jc w:val="center"/>
              <w:rPr>
                <w:sz w:val="20"/>
                <w:szCs w:val="20"/>
                <w:u w:val="single"/>
              </w:rPr>
            </w:pPr>
            <w:r w:rsidRPr="002A0ABA">
              <w:rPr>
                <w:rFonts w:eastAsia="Times New Roman"/>
                <w:sz w:val="24"/>
                <w:szCs w:val="24"/>
                <w:u w:val="single"/>
              </w:rPr>
              <w:t>Contaminant</w:t>
            </w:r>
          </w:p>
        </w:tc>
        <w:tc>
          <w:tcPr>
            <w:tcW w:w="3250" w:type="dxa"/>
            <w:vAlign w:val="center"/>
          </w:tcPr>
          <w:p w14:paraId="2819DE8B" w14:textId="5058D699" w:rsidR="002A0ABA" w:rsidRPr="002A0ABA" w:rsidRDefault="002A0ABA" w:rsidP="002A0ABA">
            <w:pPr>
              <w:jc w:val="center"/>
              <w:rPr>
                <w:sz w:val="20"/>
                <w:szCs w:val="20"/>
                <w:u w:val="single"/>
              </w:rPr>
            </w:pPr>
            <w:r w:rsidRPr="002A0ABA">
              <w:rPr>
                <w:rFonts w:eastAsia="Times New Roman"/>
                <w:sz w:val="24"/>
                <w:szCs w:val="24"/>
                <w:u w:val="single"/>
              </w:rPr>
              <w:t>Methodology</w:t>
            </w:r>
            <w:r w:rsidRPr="002A0ABA">
              <w:rPr>
                <w:rFonts w:eastAsia="Times New Roman"/>
                <w:sz w:val="27"/>
                <w:szCs w:val="27"/>
                <w:u w:val="single"/>
                <w:vertAlign w:val="superscript"/>
              </w:rPr>
              <w:t>4</w:t>
            </w:r>
          </w:p>
        </w:tc>
        <w:tc>
          <w:tcPr>
            <w:tcW w:w="1140" w:type="dxa"/>
            <w:vAlign w:val="center"/>
          </w:tcPr>
          <w:p w14:paraId="2819DE8C" w14:textId="77777777" w:rsidR="002A0ABA" w:rsidRPr="002A0ABA" w:rsidRDefault="002A0ABA" w:rsidP="002A0ABA">
            <w:pPr>
              <w:jc w:val="center"/>
              <w:rPr>
                <w:sz w:val="20"/>
                <w:szCs w:val="20"/>
                <w:u w:val="single"/>
              </w:rPr>
            </w:pPr>
            <w:r w:rsidRPr="002A0ABA">
              <w:rPr>
                <w:rFonts w:eastAsia="Times New Roman"/>
                <w:sz w:val="24"/>
                <w:szCs w:val="24"/>
                <w:u w:val="single"/>
              </w:rPr>
              <w:t>EPA</w:t>
            </w:r>
            <w:r w:rsidRPr="002A0ABA">
              <w:rPr>
                <w:rFonts w:eastAsia="Times New Roman"/>
                <w:sz w:val="27"/>
                <w:szCs w:val="27"/>
                <w:u w:val="single"/>
                <w:vertAlign w:val="superscript"/>
              </w:rPr>
              <w:t>1</w:t>
            </w:r>
          </w:p>
        </w:tc>
        <w:tc>
          <w:tcPr>
            <w:tcW w:w="1740" w:type="dxa"/>
            <w:vAlign w:val="center"/>
          </w:tcPr>
          <w:p w14:paraId="2819DE8D" w14:textId="77777777" w:rsidR="002A0ABA" w:rsidRPr="002A0ABA" w:rsidRDefault="002A0ABA" w:rsidP="002A0ABA">
            <w:pPr>
              <w:jc w:val="center"/>
              <w:rPr>
                <w:sz w:val="20"/>
                <w:szCs w:val="20"/>
                <w:u w:val="single"/>
              </w:rPr>
            </w:pPr>
            <w:r w:rsidRPr="002A0ABA">
              <w:rPr>
                <w:rFonts w:eastAsia="Times New Roman"/>
                <w:sz w:val="24"/>
                <w:szCs w:val="24"/>
                <w:u w:val="single"/>
              </w:rPr>
              <w:t>SM</w:t>
            </w:r>
            <w:r w:rsidRPr="002A0ABA">
              <w:rPr>
                <w:rFonts w:eastAsia="Times New Roman"/>
                <w:sz w:val="27"/>
                <w:szCs w:val="27"/>
                <w:u w:val="single"/>
                <w:vertAlign w:val="superscript"/>
              </w:rPr>
              <w:t>2</w:t>
            </w:r>
          </w:p>
        </w:tc>
      </w:tr>
      <w:tr w:rsidR="002A0ABA" w14:paraId="2819DEAD" w14:textId="77777777" w:rsidTr="00D4534D">
        <w:trPr>
          <w:trHeight w:val="250"/>
        </w:trPr>
        <w:tc>
          <w:tcPr>
            <w:tcW w:w="3140" w:type="dxa"/>
            <w:vAlign w:val="center"/>
          </w:tcPr>
          <w:p w14:paraId="2819DEA5" w14:textId="7631F563" w:rsidR="002A0ABA" w:rsidRDefault="002A0ABA" w:rsidP="002A0ABA">
            <w:pPr>
              <w:jc w:val="center"/>
              <w:rPr>
                <w:sz w:val="21"/>
                <w:szCs w:val="21"/>
              </w:rPr>
            </w:pPr>
            <w:r>
              <w:rPr>
                <w:rFonts w:eastAsia="Times New Roman"/>
                <w:sz w:val="24"/>
                <w:szCs w:val="24"/>
              </w:rPr>
              <w:t>Sodium</w:t>
            </w:r>
          </w:p>
        </w:tc>
        <w:tc>
          <w:tcPr>
            <w:tcW w:w="3250" w:type="dxa"/>
            <w:vAlign w:val="bottom"/>
          </w:tcPr>
          <w:p w14:paraId="2819DEA8" w14:textId="330A6EFE" w:rsidR="002A0ABA" w:rsidRDefault="002A0ABA">
            <w:pPr>
              <w:spacing w:line="250" w:lineRule="exact"/>
              <w:rPr>
                <w:sz w:val="20"/>
                <w:szCs w:val="20"/>
              </w:rPr>
            </w:pPr>
            <w:r>
              <w:rPr>
                <w:rFonts w:eastAsia="Times New Roman"/>
                <w:sz w:val="24"/>
                <w:szCs w:val="24"/>
              </w:rPr>
              <w:t>Inductively-coupled Plasma</w:t>
            </w:r>
          </w:p>
        </w:tc>
        <w:tc>
          <w:tcPr>
            <w:tcW w:w="1140" w:type="dxa"/>
            <w:vAlign w:val="center"/>
          </w:tcPr>
          <w:p w14:paraId="2819DEA9" w14:textId="77777777" w:rsidR="002A0ABA" w:rsidRDefault="002A0ABA" w:rsidP="002A0ABA">
            <w:pPr>
              <w:spacing w:line="250" w:lineRule="exact"/>
              <w:jc w:val="center"/>
              <w:rPr>
                <w:sz w:val="20"/>
                <w:szCs w:val="20"/>
              </w:rPr>
            </w:pPr>
            <w:r>
              <w:rPr>
                <w:rFonts w:eastAsia="Times New Roman"/>
                <w:sz w:val="24"/>
                <w:szCs w:val="24"/>
              </w:rPr>
              <w:t>200.7</w:t>
            </w:r>
          </w:p>
        </w:tc>
        <w:tc>
          <w:tcPr>
            <w:tcW w:w="1740" w:type="dxa"/>
            <w:vAlign w:val="center"/>
          </w:tcPr>
          <w:p w14:paraId="2819DEAB" w14:textId="44573959" w:rsidR="002A0ABA" w:rsidRDefault="002A0ABA" w:rsidP="002A0ABA">
            <w:pPr>
              <w:jc w:val="center"/>
              <w:rPr>
                <w:sz w:val="21"/>
                <w:szCs w:val="21"/>
              </w:rPr>
            </w:pPr>
            <w:r>
              <w:rPr>
                <w:rFonts w:eastAsia="Times New Roman"/>
                <w:sz w:val="24"/>
                <w:szCs w:val="24"/>
              </w:rPr>
              <w:t>--</w:t>
            </w:r>
          </w:p>
        </w:tc>
      </w:tr>
      <w:tr w:rsidR="002A0ABA" w14:paraId="2819DEB7" w14:textId="77777777" w:rsidTr="00D4534D">
        <w:trPr>
          <w:trHeight w:val="278"/>
        </w:trPr>
        <w:tc>
          <w:tcPr>
            <w:tcW w:w="3140" w:type="dxa"/>
            <w:vAlign w:val="center"/>
          </w:tcPr>
          <w:p w14:paraId="2819DEAF" w14:textId="77777777" w:rsidR="002A0ABA" w:rsidRDefault="002A0ABA" w:rsidP="002A0ABA">
            <w:pPr>
              <w:jc w:val="center"/>
              <w:rPr>
                <w:sz w:val="24"/>
                <w:szCs w:val="24"/>
              </w:rPr>
            </w:pPr>
          </w:p>
        </w:tc>
        <w:tc>
          <w:tcPr>
            <w:tcW w:w="3250" w:type="dxa"/>
            <w:vAlign w:val="bottom"/>
          </w:tcPr>
          <w:p w14:paraId="2819DEB1" w14:textId="08D3EBC7" w:rsidR="002A0ABA" w:rsidRDefault="002A0ABA">
            <w:pPr>
              <w:rPr>
                <w:sz w:val="20"/>
                <w:szCs w:val="20"/>
              </w:rPr>
            </w:pPr>
            <w:r>
              <w:rPr>
                <w:rFonts w:eastAsia="Times New Roman"/>
                <w:sz w:val="24"/>
                <w:szCs w:val="24"/>
              </w:rPr>
              <w:t>Atomic absorption; direct aspiration</w:t>
            </w:r>
          </w:p>
        </w:tc>
        <w:tc>
          <w:tcPr>
            <w:tcW w:w="1140" w:type="dxa"/>
            <w:vAlign w:val="center"/>
          </w:tcPr>
          <w:p w14:paraId="2819DEB3" w14:textId="12A75BED" w:rsidR="002A0ABA" w:rsidRDefault="002A0ABA" w:rsidP="002A0ABA">
            <w:pPr>
              <w:jc w:val="center"/>
              <w:rPr>
                <w:sz w:val="24"/>
                <w:szCs w:val="24"/>
              </w:rPr>
            </w:pPr>
            <w:r>
              <w:rPr>
                <w:rFonts w:eastAsia="Times New Roman"/>
                <w:sz w:val="24"/>
                <w:szCs w:val="24"/>
              </w:rPr>
              <w:t>--</w:t>
            </w:r>
          </w:p>
        </w:tc>
        <w:tc>
          <w:tcPr>
            <w:tcW w:w="1740" w:type="dxa"/>
            <w:vAlign w:val="center"/>
          </w:tcPr>
          <w:p w14:paraId="2819DEB5" w14:textId="5BF3CA9E" w:rsidR="002A0ABA" w:rsidRDefault="002A0ABA" w:rsidP="002A0ABA">
            <w:pPr>
              <w:jc w:val="center"/>
              <w:rPr>
                <w:sz w:val="24"/>
                <w:szCs w:val="24"/>
              </w:rPr>
            </w:pPr>
            <w:r>
              <w:rPr>
                <w:rFonts w:eastAsia="Times New Roman"/>
                <w:w w:val="96"/>
                <w:sz w:val="24"/>
                <w:szCs w:val="24"/>
              </w:rPr>
              <w:t>3111B</w:t>
            </w:r>
          </w:p>
        </w:tc>
      </w:tr>
    </w:tbl>
    <w:p w14:paraId="2819DEC1" w14:textId="77777777" w:rsidR="004647B9" w:rsidRDefault="004647B9">
      <w:pPr>
        <w:spacing w:line="243" w:lineRule="exact"/>
        <w:rPr>
          <w:sz w:val="20"/>
          <w:szCs w:val="20"/>
        </w:rPr>
      </w:pPr>
    </w:p>
    <w:p w14:paraId="2819DEC2" w14:textId="5C6DDF3E" w:rsidR="004647B9" w:rsidRPr="00144C69" w:rsidRDefault="00E2436F" w:rsidP="00563A54">
      <w:pPr>
        <w:numPr>
          <w:ilvl w:val="0"/>
          <w:numId w:val="146"/>
        </w:numPr>
        <w:tabs>
          <w:tab w:val="left" w:pos="300"/>
        </w:tabs>
        <w:spacing w:line="239" w:lineRule="auto"/>
        <w:ind w:left="300" w:hanging="299"/>
        <w:rPr>
          <w:rFonts w:eastAsia="Times New Roman"/>
          <w:sz w:val="24"/>
          <w:szCs w:val="24"/>
          <w:vertAlign w:val="superscript"/>
        </w:rPr>
      </w:pPr>
      <w:r w:rsidRPr="00144C69">
        <w:rPr>
          <w:rFonts w:eastAsia="Times New Roman"/>
          <w:i/>
          <w:iCs/>
          <w:sz w:val="24"/>
          <w:szCs w:val="24"/>
        </w:rPr>
        <w:t>Methods for the Determination of Metals in Environmental Samples - Supplement I</w:t>
      </w:r>
      <w:r w:rsidRPr="00144C69">
        <w:rPr>
          <w:rFonts w:eastAsia="Times New Roman"/>
          <w:sz w:val="24"/>
          <w:szCs w:val="24"/>
        </w:rPr>
        <w:t>, EPA-600/</w:t>
      </w:r>
      <w:r w:rsidR="000D6365" w:rsidRPr="00144C69">
        <w:rPr>
          <w:rFonts w:eastAsia="Times New Roman"/>
          <w:sz w:val="24"/>
          <w:szCs w:val="24"/>
        </w:rPr>
        <w:t>R</w:t>
      </w:r>
      <w:r w:rsidRPr="00144C69">
        <w:rPr>
          <w:rFonts w:eastAsia="Times New Roman"/>
          <w:sz w:val="24"/>
          <w:szCs w:val="24"/>
        </w:rPr>
        <w:t>-94/111,</w:t>
      </w:r>
      <w:r w:rsidRPr="00144C69">
        <w:rPr>
          <w:rFonts w:eastAsia="Times New Roman"/>
          <w:i/>
          <w:iCs/>
          <w:sz w:val="24"/>
          <w:szCs w:val="24"/>
        </w:rPr>
        <w:t xml:space="preserve"> </w:t>
      </w:r>
      <w:r w:rsidRPr="00144C69">
        <w:rPr>
          <w:rFonts w:eastAsia="Times New Roman"/>
          <w:sz w:val="24"/>
          <w:szCs w:val="24"/>
        </w:rPr>
        <w:t>May 1994. Available at NTIS, PB95-125472.</w:t>
      </w:r>
    </w:p>
    <w:p w14:paraId="2819DEC3" w14:textId="77777777" w:rsidR="004647B9" w:rsidRPr="00144C69" w:rsidRDefault="004647B9">
      <w:pPr>
        <w:spacing w:line="1" w:lineRule="exact"/>
        <w:rPr>
          <w:rFonts w:eastAsia="Times New Roman"/>
          <w:sz w:val="24"/>
          <w:szCs w:val="24"/>
          <w:vertAlign w:val="superscript"/>
        </w:rPr>
      </w:pPr>
    </w:p>
    <w:p w14:paraId="2819DEC4" w14:textId="77777777" w:rsidR="004647B9" w:rsidRPr="00144C69" w:rsidRDefault="00E2436F" w:rsidP="00563A54">
      <w:pPr>
        <w:numPr>
          <w:ilvl w:val="0"/>
          <w:numId w:val="146"/>
        </w:numPr>
        <w:tabs>
          <w:tab w:val="left" w:pos="300"/>
        </w:tabs>
        <w:spacing w:line="212" w:lineRule="auto"/>
        <w:ind w:left="300" w:hanging="300"/>
        <w:rPr>
          <w:rFonts w:eastAsia="Times New Roman"/>
          <w:sz w:val="24"/>
          <w:szCs w:val="24"/>
          <w:vertAlign w:val="superscript"/>
        </w:rPr>
      </w:pPr>
      <w:r w:rsidRPr="00144C69">
        <w:rPr>
          <w:rFonts w:eastAsia="Times New Roman"/>
          <w:i/>
          <w:iCs/>
          <w:sz w:val="24"/>
          <w:szCs w:val="24"/>
        </w:rPr>
        <w:t>Standard Methods for the Examination of Water and Wastewater</w:t>
      </w:r>
      <w:r w:rsidRPr="00144C69">
        <w:rPr>
          <w:rFonts w:eastAsia="Times New Roman"/>
          <w:sz w:val="24"/>
          <w:szCs w:val="24"/>
        </w:rPr>
        <w:t>", 18</w:t>
      </w:r>
      <w:r w:rsidRPr="00144C69">
        <w:rPr>
          <w:rFonts w:eastAsia="Times New Roman"/>
          <w:sz w:val="24"/>
          <w:szCs w:val="24"/>
          <w:vertAlign w:val="superscript"/>
        </w:rPr>
        <w:t>th</w:t>
      </w:r>
      <w:r w:rsidRPr="00144C69">
        <w:rPr>
          <w:rFonts w:eastAsia="Times New Roman"/>
          <w:i/>
          <w:iCs/>
          <w:sz w:val="24"/>
          <w:szCs w:val="24"/>
        </w:rPr>
        <w:t xml:space="preserve"> </w:t>
      </w:r>
      <w:r w:rsidRPr="00144C69">
        <w:rPr>
          <w:rFonts w:eastAsia="Times New Roman"/>
          <w:sz w:val="24"/>
          <w:szCs w:val="24"/>
        </w:rPr>
        <w:t>and 19</w:t>
      </w:r>
      <w:r w:rsidRPr="00144C69">
        <w:rPr>
          <w:rFonts w:eastAsia="Times New Roman"/>
          <w:sz w:val="24"/>
          <w:szCs w:val="24"/>
          <w:vertAlign w:val="superscript"/>
        </w:rPr>
        <w:t>th</w:t>
      </w:r>
      <w:r w:rsidRPr="00144C69">
        <w:rPr>
          <w:rFonts w:eastAsia="Times New Roman"/>
          <w:i/>
          <w:iCs/>
          <w:sz w:val="24"/>
          <w:szCs w:val="24"/>
        </w:rPr>
        <w:t xml:space="preserve"> </w:t>
      </w:r>
      <w:r w:rsidRPr="00144C69">
        <w:rPr>
          <w:rFonts w:eastAsia="Times New Roman"/>
          <w:sz w:val="24"/>
          <w:szCs w:val="24"/>
        </w:rPr>
        <w:t>edition, American Public</w:t>
      </w:r>
      <w:r w:rsidRPr="00144C69">
        <w:rPr>
          <w:rFonts w:eastAsia="Times New Roman"/>
          <w:i/>
          <w:iCs/>
          <w:sz w:val="24"/>
          <w:szCs w:val="24"/>
        </w:rPr>
        <w:t xml:space="preserve"> </w:t>
      </w:r>
      <w:r w:rsidRPr="00144C69">
        <w:rPr>
          <w:rFonts w:eastAsia="Times New Roman"/>
          <w:sz w:val="24"/>
          <w:szCs w:val="24"/>
        </w:rPr>
        <w:t>Health Association, 1992 and 1995, only - not the 20</w:t>
      </w:r>
      <w:r w:rsidRPr="00144C69">
        <w:rPr>
          <w:rFonts w:eastAsia="Times New Roman"/>
          <w:sz w:val="24"/>
          <w:szCs w:val="24"/>
          <w:vertAlign w:val="superscript"/>
        </w:rPr>
        <w:t>th</w:t>
      </w:r>
      <w:r w:rsidRPr="00144C69">
        <w:rPr>
          <w:rFonts w:eastAsia="Times New Roman"/>
          <w:sz w:val="24"/>
          <w:szCs w:val="24"/>
        </w:rPr>
        <w:t xml:space="preserve"> edition.</w:t>
      </w:r>
    </w:p>
    <w:p w14:paraId="2819DEC5" w14:textId="77777777" w:rsidR="004647B9" w:rsidRPr="00144C69" w:rsidRDefault="00E2436F" w:rsidP="00563A54">
      <w:pPr>
        <w:numPr>
          <w:ilvl w:val="0"/>
          <w:numId w:val="146"/>
        </w:numPr>
        <w:tabs>
          <w:tab w:val="left" w:pos="300"/>
        </w:tabs>
        <w:spacing w:line="207" w:lineRule="auto"/>
        <w:ind w:left="300" w:hanging="299"/>
        <w:rPr>
          <w:rFonts w:eastAsia="Times New Roman"/>
          <w:sz w:val="24"/>
          <w:szCs w:val="24"/>
          <w:vertAlign w:val="superscript"/>
        </w:rPr>
      </w:pPr>
      <w:r w:rsidRPr="00144C69">
        <w:rPr>
          <w:rFonts w:eastAsia="Times New Roman"/>
          <w:sz w:val="24"/>
          <w:szCs w:val="24"/>
        </w:rPr>
        <w:t>For approved analytical procedures for metals, the technique applicable to total metals must be used.</w:t>
      </w:r>
    </w:p>
    <w:p w14:paraId="2819DEC6" w14:textId="34D193C2" w:rsidR="004647B9" w:rsidRPr="00144C69" w:rsidRDefault="00E2436F" w:rsidP="00563A54">
      <w:pPr>
        <w:numPr>
          <w:ilvl w:val="0"/>
          <w:numId w:val="146"/>
        </w:numPr>
        <w:tabs>
          <w:tab w:val="left" w:pos="300"/>
        </w:tabs>
        <w:spacing w:line="230" w:lineRule="auto"/>
        <w:ind w:left="300" w:hanging="300"/>
        <w:jc w:val="both"/>
        <w:rPr>
          <w:rFonts w:eastAsia="Times New Roman"/>
          <w:sz w:val="24"/>
          <w:szCs w:val="24"/>
        </w:rPr>
      </w:pPr>
      <w:r w:rsidRPr="00144C69">
        <w:rPr>
          <w:rFonts w:eastAsia="Times New Roman"/>
          <w:sz w:val="24"/>
          <w:szCs w:val="24"/>
        </w:rPr>
        <w:t>Standard Methods Online</w:t>
      </w:r>
      <w:r w:rsidR="00E35D23">
        <w:rPr>
          <w:rFonts w:eastAsia="Times New Roman"/>
          <w:sz w:val="24"/>
          <w:szCs w:val="24"/>
        </w:rPr>
        <w:t>.</w:t>
      </w:r>
      <w:r w:rsidRPr="00144C69">
        <w:rPr>
          <w:rFonts w:eastAsia="Times New Roman"/>
          <w:sz w:val="24"/>
          <w:szCs w:val="24"/>
        </w:rPr>
        <w:t xml:space="preserve"> The year in which each method was approved by the Standard Methods Committee is designated by the last two digits in the method number. The methods listed are the only online versions that may be used.</w:t>
      </w:r>
    </w:p>
    <w:p w14:paraId="2819DEC8" w14:textId="77777777" w:rsidR="004647B9" w:rsidRPr="00144C69" w:rsidRDefault="004647B9" w:rsidP="00662353">
      <w:pPr>
        <w:rPr>
          <w:sz w:val="24"/>
          <w:szCs w:val="24"/>
        </w:rPr>
      </w:pPr>
    </w:p>
    <w:p w14:paraId="2819DEC9" w14:textId="77777777" w:rsidR="004647B9" w:rsidRPr="00144C69" w:rsidRDefault="00E2436F">
      <w:pPr>
        <w:tabs>
          <w:tab w:val="left" w:pos="920"/>
        </w:tabs>
        <w:rPr>
          <w:sz w:val="24"/>
          <w:szCs w:val="24"/>
        </w:rPr>
      </w:pPr>
      <w:r w:rsidRPr="00144C69">
        <w:rPr>
          <w:rFonts w:eastAsia="Times New Roman"/>
          <w:sz w:val="24"/>
          <w:szCs w:val="24"/>
          <w:u w:val="single"/>
        </w:rPr>
        <w:t>22.06B:</w:t>
      </w:r>
      <w:r w:rsidRPr="00144C69">
        <w:rPr>
          <w:sz w:val="24"/>
          <w:szCs w:val="24"/>
        </w:rPr>
        <w:tab/>
      </w:r>
      <w:r w:rsidRPr="00144C69">
        <w:rPr>
          <w:rFonts w:eastAsia="Times New Roman"/>
          <w:sz w:val="24"/>
          <w:szCs w:val="24"/>
          <w:u w:val="single"/>
        </w:rPr>
        <w:t>Control of Lead and Copper in Drinking Water</w:t>
      </w:r>
    </w:p>
    <w:p w14:paraId="2819DECA" w14:textId="77777777" w:rsidR="004647B9" w:rsidRPr="00144C69" w:rsidRDefault="004647B9" w:rsidP="00662353">
      <w:pPr>
        <w:rPr>
          <w:sz w:val="24"/>
          <w:szCs w:val="24"/>
        </w:rPr>
      </w:pPr>
    </w:p>
    <w:p w14:paraId="2819DECB" w14:textId="77777777" w:rsidR="004647B9" w:rsidRPr="00144C69" w:rsidRDefault="00E2436F" w:rsidP="00563A54">
      <w:pPr>
        <w:numPr>
          <w:ilvl w:val="0"/>
          <w:numId w:val="147"/>
        </w:numPr>
        <w:tabs>
          <w:tab w:val="left" w:pos="1660"/>
        </w:tabs>
        <w:ind w:left="1660" w:hanging="460"/>
        <w:rPr>
          <w:rFonts w:eastAsia="Times New Roman"/>
          <w:sz w:val="24"/>
          <w:szCs w:val="24"/>
        </w:rPr>
      </w:pPr>
      <w:r w:rsidRPr="00144C69">
        <w:rPr>
          <w:rFonts w:eastAsia="Times New Roman"/>
          <w:sz w:val="24"/>
          <w:szCs w:val="24"/>
          <w:u w:val="single"/>
        </w:rPr>
        <w:t>General Requirements</w:t>
      </w:r>
      <w:r w:rsidRPr="00144C69">
        <w:rPr>
          <w:rFonts w:eastAsia="Times New Roman"/>
          <w:sz w:val="24"/>
          <w:szCs w:val="24"/>
        </w:rPr>
        <w:t>.</w:t>
      </w:r>
    </w:p>
    <w:p w14:paraId="2819DECD" w14:textId="77777777" w:rsidR="004647B9" w:rsidRPr="00144C69" w:rsidRDefault="00E2436F" w:rsidP="00563A54">
      <w:pPr>
        <w:numPr>
          <w:ilvl w:val="1"/>
          <w:numId w:val="147"/>
        </w:numPr>
        <w:tabs>
          <w:tab w:val="left" w:pos="2064"/>
        </w:tabs>
        <w:spacing w:line="243" w:lineRule="auto"/>
        <w:ind w:left="1560" w:hanging="5"/>
        <w:jc w:val="both"/>
        <w:rPr>
          <w:rFonts w:eastAsia="Times New Roman"/>
          <w:sz w:val="24"/>
          <w:szCs w:val="24"/>
        </w:rPr>
      </w:pPr>
      <w:r w:rsidRPr="00144C69">
        <w:rPr>
          <w:rFonts w:eastAsia="Times New Roman"/>
          <w:sz w:val="24"/>
          <w:szCs w:val="24"/>
          <w:u w:val="single"/>
        </w:rPr>
        <w:t>Applicability</w:t>
      </w:r>
      <w:r w:rsidRPr="00144C69">
        <w:rPr>
          <w:rFonts w:eastAsia="Times New Roman"/>
          <w:sz w:val="24"/>
          <w:szCs w:val="24"/>
        </w:rPr>
        <w:t>. The requirements of 310 CMR 22.06B constitute the Massachusetts drinking water regulations for lead and copper. Unless otherwise indicated, each of the provisions of 310 CMR 22.06B applies to community water systems and non-transient, non-community water systems ("water systems" or "systems").</w:t>
      </w:r>
    </w:p>
    <w:p w14:paraId="2819DECE" w14:textId="77777777" w:rsidR="004647B9" w:rsidRPr="00144C69" w:rsidRDefault="00E2436F" w:rsidP="00563A54">
      <w:pPr>
        <w:numPr>
          <w:ilvl w:val="1"/>
          <w:numId w:val="147"/>
        </w:numPr>
        <w:tabs>
          <w:tab w:val="left" w:pos="2049"/>
        </w:tabs>
        <w:spacing w:line="243" w:lineRule="auto"/>
        <w:ind w:left="1560" w:hanging="5"/>
        <w:jc w:val="both"/>
        <w:rPr>
          <w:rFonts w:eastAsia="Times New Roman"/>
          <w:sz w:val="24"/>
          <w:szCs w:val="24"/>
        </w:rPr>
      </w:pPr>
      <w:r w:rsidRPr="00144C69">
        <w:rPr>
          <w:rFonts w:eastAsia="Times New Roman"/>
          <w:sz w:val="24"/>
          <w:szCs w:val="24"/>
          <w:u w:val="single"/>
        </w:rPr>
        <w:t>Scope</w:t>
      </w:r>
      <w:r w:rsidRPr="00144C69">
        <w:rPr>
          <w:rFonts w:eastAsia="Times New Roman"/>
          <w:sz w:val="24"/>
          <w:szCs w:val="24"/>
        </w:rPr>
        <w:t>. 310 CMR 22.06B establishes a treatment technique for lead and copper that includes requirements for corrosion control treatment, source water treatment, lead service line replacement, and public education. These requirements are triggered, in some cases, by lead and copper action levels measured in samples collected at consumers' taps.</w:t>
      </w:r>
    </w:p>
    <w:p w14:paraId="2819DECF" w14:textId="77777777" w:rsidR="004647B9" w:rsidRPr="00144C69" w:rsidRDefault="00E2436F" w:rsidP="00563A54">
      <w:pPr>
        <w:numPr>
          <w:ilvl w:val="1"/>
          <w:numId w:val="147"/>
        </w:numPr>
        <w:tabs>
          <w:tab w:val="left" w:pos="2000"/>
        </w:tabs>
        <w:ind w:left="2000" w:hanging="445"/>
        <w:rPr>
          <w:rFonts w:eastAsia="Times New Roman"/>
          <w:sz w:val="24"/>
          <w:szCs w:val="24"/>
        </w:rPr>
      </w:pPr>
      <w:r w:rsidRPr="00144C69">
        <w:rPr>
          <w:rFonts w:eastAsia="Times New Roman"/>
          <w:sz w:val="24"/>
          <w:szCs w:val="24"/>
          <w:u w:val="single"/>
        </w:rPr>
        <w:t>Lead and Copper Action Levels</w:t>
      </w:r>
      <w:r w:rsidRPr="00144C69">
        <w:rPr>
          <w:rFonts w:eastAsia="Times New Roman"/>
          <w:sz w:val="24"/>
          <w:szCs w:val="24"/>
        </w:rPr>
        <w:t>:</w:t>
      </w:r>
    </w:p>
    <w:p w14:paraId="2819DED3" w14:textId="0859ADFE" w:rsidR="004647B9" w:rsidRPr="00144C69" w:rsidRDefault="00E2436F" w:rsidP="00563A54">
      <w:pPr>
        <w:numPr>
          <w:ilvl w:val="2"/>
          <w:numId w:val="147"/>
        </w:numPr>
        <w:tabs>
          <w:tab w:val="left" w:pos="2237"/>
        </w:tabs>
        <w:spacing w:line="253" w:lineRule="auto"/>
        <w:ind w:left="1920" w:hanging="5"/>
        <w:jc w:val="both"/>
        <w:rPr>
          <w:rFonts w:eastAsia="Times New Roman"/>
          <w:sz w:val="24"/>
          <w:szCs w:val="24"/>
        </w:rPr>
      </w:pPr>
      <w:r w:rsidRPr="00144C69">
        <w:rPr>
          <w:rFonts w:eastAsia="Times New Roman"/>
          <w:sz w:val="24"/>
          <w:szCs w:val="24"/>
        </w:rPr>
        <w:t>The lead action level is exceeded if the concentration of lead in more than 10% of tap water samples collected during any monitoring period conducted in accordance with</w:t>
      </w:r>
      <w:r w:rsidR="00144C69">
        <w:rPr>
          <w:rFonts w:eastAsia="Times New Roman"/>
          <w:sz w:val="24"/>
          <w:szCs w:val="24"/>
        </w:rPr>
        <w:t xml:space="preserve"> 310 </w:t>
      </w:r>
      <w:r w:rsidRPr="00144C69">
        <w:rPr>
          <w:rFonts w:eastAsia="Times New Roman"/>
          <w:sz w:val="24"/>
          <w:szCs w:val="24"/>
        </w:rPr>
        <w:t>CMR 22.06B(7) is greater than 0.015 mg/L (</w:t>
      </w:r>
      <w:r w:rsidRPr="00144C69">
        <w:rPr>
          <w:rFonts w:eastAsia="Times New Roman"/>
          <w:i/>
          <w:iCs/>
          <w:sz w:val="24"/>
          <w:szCs w:val="24"/>
        </w:rPr>
        <w:t>i.e</w:t>
      </w:r>
      <w:r w:rsidRPr="00144C69">
        <w:rPr>
          <w:rFonts w:eastAsia="Times New Roman"/>
          <w:sz w:val="24"/>
          <w:szCs w:val="24"/>
        </w:rPr>
        <w:t>., if the "90</w:t>
      </w:r>
      <w:r w:rsidRPr="00144C69">
        <w:rPr>
          <w:rFonts w:eastAsia="Times New Roman"/>
          <w:sz w:val="24"/>
          <w:szCs w:val="24"/>
          <w:vertAlign w:val="superscript"/>
        </w:rPr>
        <w:t>th</w:t>
      </w:r>
      <w:r w:rsidRPr="00144C69">
        <w:rPr>
          <w:rFonts w:eastAsia="Times New Roman"/>
          <w:sz w:val="24"/>
          <w:szCs w:val="24"/>
        </w:rPr>
        <w:t xml:space="preserve"> percentile" lead level is greater than 0.015 mg/L).</w:t>
      </w:r>
    </w:p>
    <w:p w14:paraId="2819DED5" w14:textId="77777777" w:rsidR="004647B9" w:rsidRPr="00144C69" w:rsidRDefault="00E2436F" w:rsidP="00563A54">
      <w:pPr>
        <w:numPr>
          <w:ilvl w:val="2"/>
          <w:numId w:val="148"/>
        </w:numPr>
        <w:tabs>
          <w:tab w:val="left" w:pos="2251"/>
        </w:tabs>
        <w:spacing w:line="235" w:lineRule="auto"/>
        <w:ind w:left="1920" w:hanging="5"/>
        <w:jc w:val="both"/>
        <w:rPr>
          <w:rFonts w:eastAsia="Times New Roman"/>
          <w:sz w:val="24"/>
          <w:szCs w:val="24"/>
        </w:rPr>
      </w:pPr>
      <w:r w:rsidRPr="00144C69">
        <w:rPr>
          <w:rFonts w:eastAsia="Times New Roman"/>
          <w:sz w:val="24"/>
          <w:szCs w:val="24"/>
        </w:rPr>
        <w:t>The copper action level is exceeded if the concentration of copper in more than 10% of tap water samples collected during any monitoring period conducted in accordance with 310 CMR 22.06B(7) is greater than 1.3 mg/L (</w:t>
      </w:r>
      <w:r w:rsidRPr="00144C69">
        <w:rPr>
          <w:rFonts w:eastAsia="Times New Roman"/>
          <w:i/>
          <w:iCs/>
          <w:sz w:val="24"/>
          <w:szCs w:val="24"/>
        </w:rPr>
        <w:t>i.e</w:t>
      </w:r>
      <w:r w:rsidRPr="00144C69">
        <w:rPr>
          <w:rFonts w:eastAsia="Times New Roman"/>
          <w:sz w:val="24"/>
          <w:szCs w:val="24"/>
        </w:rPr>
        <w:t>., if the "90</w:t>
      </w:r>
      <w:r w:rsidRPr="00144C69">
        <w:rPr>
          <w:rFonts w:eastAsia="Times New Roman"/>
          <w:sz w:val="24"/>
          <w:szCs w:val="24"/>
          <w:vertAlign w:val="superscript"/>
        </w:rPr>
        <w:t>th</w:t>
      </w:r>
      <w:r w:rsidRPr="00144C69">
        <w:rPr>
          <w:rFonts w:eastAsia="Times New Roman"/>
          <w:sz w:val="24"/>
          <w:szCs w:val="24"/>
        </w:rPr>
        <w:t xml:space="preserve"> percentile" copper level is greater than 1.3 mg/L).</w:t>
      </w:r>
    </w:p>
    <w:p w14:paraId="2819DED6" w14:textId="77777777" w:rsidR="004647B9" w:rsidRDefault="004647B9">
      <w:pPr>
        <w:sectPr w:rsidR="004647B9" w:rsidSect="00EF630C">
          <w:pgSz w:w="12240" w:h="20180"/>
          <w:pgMar w:top="708" w:right="1440" w:bottom="1440" w:left="600" w:header="0" w:footer="0" w:gutter="0"/>
          <w:cols w:space="720" w:equalWidth="0">
            <w:col w:w="10200"/>
          </w:cols>
        </w:sectPr>
      </w:pPr>
    </w:p>
    <w:p w14:paraId="2819DED7" w14:textId="77777777" w:rsidR="004647B9" w:rsidRDefault="00E2436F">
      <w:pPr>
        <w:tabs>
          <w:tab w:val="left" w:pos="160"/>
        </w:tabs>
        <w:jc w:val="center"/>
        <w:rPr>
          <w:sz w:val="20"/>
          <w:szCs w:val="20"/>
        </w:rPr>
      </w:pPr>
      <w:bookmarkStart w:id="61" w:name="page62"/>
      <w:bookmarkEnd w:id="6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ED8" w14:textId="77777777" w:rsidR="004647B9" w:rsidRDefault="004647B9" w:rsidP="00662353">
      <w:pPr>
        <w:rPr>
          <w:sz w:val="20"/>
          <w:szCs w:val="20"/>
        </w:rPr>
      </w:pPr>
    </w:p>
    <w:p w14:paraId="2819DED9" w14:textId="77777777" w:rsidR="004647B9" w:rsidRDefault="004647B9" w:rsidP="00662353">
      <w:pPr>
        <w:rPr>
          <w:sz w:val="20"/>
          <w:szCs w:val="20"/>
        </w:rPr>
      </w:pPr>
    </w:p>
    <w:p w14:paraId="2819DEDA"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DEDB" w14:textId="77777777" w:rsidR="004647B9" w:rsidRDefault="004647B9" w:rsidP="00662353">
      <w:pPr>
        <w:rPr>
          <w:sz w:val="20"/>
          <w:szCs w:val="20"/>
        </w:rPr>
      </w:pPr>
    </w:p>
    <w:p w14:paraId="2819DEDC" w14:textId="77777777" w:rsidR="004647B9" w:rsidRPr="00144C69" w:rsidRDefault="00E2436F" w:rsidP="00563A54">
      <w:pPr>
        <w:numPr>
          <w:ilvl w:val="2"/>
          <w:numId w:val="149"/>
        </w:numPr>
        <w:tabs>
          <w:tab w:val="left" w:pos="2280"/>
        </w:tabs>
        <w:ind w:left="2280" w:hanging="365"/>
        <w:rPr>
          <w:rFonts w:eastAsia="Times New Roman"/>
          <w:sz w:val="24"/>
          <w:szCs w:val="24"/>
        </w:rPr>
      </w:pPr>
      <w:r w:rsidRPr="00144C69">
        <w:rPr>
          <w:rFonts w:eastAsia="Times New Roman"/>
          <w:sz w:val="24"/>
          <w:szCs w:val="24"/>
        </w:rPr>
        <w:t>The 90</w:t>
      </w:r>
      <w:r w:rsidRPr="00144C69">
        <w:rPr>
          <w:rFonts w:eastAsia="Times New Roman"/>
          <w:sz w:val="24"/>
          <w:szCs w:val="24"/>
          <w:vertAlign w:val="superscript"/>
        </w:rPr>
        <w:t>th</w:t>
      </w:r>
      <w:r w:rsidRPr="00144C69">
        <w:rPr>
          <w:rFonts w:eastAsia="Times New Roman"/>
          <w:sz w:val="24"/>
          <w:szCs w:val="24"/>
        </w:rPr>
        <w:t xml:space="preserve"> percentile lead and copper levels shall be computed as follows:</w:t>
      </w:r>
    </w:p>
    <w:p w14:paraId="2819DEDE" w14:textId="77777777" w:rsidR="004647B9" w:rsidRPr="00144C69" w:rsidRDefault="00E2436F" w:rsidP="00563A54">
      <w:pPr>
        <w:numPr>
          <w:ilvl w:val="3"/>
          <w:numId w:val="149"/>
        </w:numPr>
        <w:tabs>
          <w:tab w:val="left" w:pos="2620"/>
        </w:tabs>
        <w:spacing w:line="253" w:lineRule="auto"/>
        <w:ind w:left="2280" w:hanging="5"/>
        <w:jc w:val="both"/>
        <w:rPr>
          <w:rFonts w:eastAsia="Times New Roman"/>
          <w:sz w:val="24"/>
          <w:szCs w:val="24"/>
        </w:rPr>
      </w:pPr>
      <w:r w:rsidRPr="00144C69">
        <w:rPr>
          <w:rFonts w:eastAsia="Times New Roman"/>
          <w:sz w:val="24"/>
          <w:szCs w:val="24"/>
        </w:rPr>
        <w:t>The results of all lead or copper samples taken during a monitoring period shall be placed in ascending order from the sample with the lowest concentration to the sample with the highest concentration. Each sampling result shall be assigned a number, ascending by single integers beginning with the number one for the sample with the lowest contaminant level. The number assigned to the sample with the highest contaminant level shall be equal to the total number of samples taken.</w:t>
      </w:r>
    </w:p>
    <w:p w14:paraId="2819DEE0" w14:textId="77777777" w:rsidR="004647B9" w:rsidRPr="00144C69" w:rsidRDefault="00E2436F" w:rsidP="00563A54">
      <w:pPr>
        <w:numPr>
          <w:ilvl w:val="3"/>
          <w:numId w:val="149"/>
        </w:numPr>
        <w:tabs>
          <w:tab w:val="left" w:pos="2647"/>
        </w:tabs>
        <w:spacing w:line="243" w:lineRule="auto"/>
        <w:ind w:left="2280" w:hanging="5"/>
        <w:rPr>
          <w:rFonts w:eastAsia="Times New Roman"/>
          <w:sz w:val="24"/>
          <w:szCs w:val="24"/>
        </w:rPr>
      </w:pPr>
      <w:r w:rsidRPr="00144C69">
        <w:rPr>
          <w:rFonts w:eastAsia="Times New Roman"/>
          <w:sz w:val="24"/>
          <w:szCs w:val="24"/>
        </w:rPr>
        <w:t>The number of samples taken during the monitoring period shall be multiplied by 0.9.</w:t>
      </w:r>
    </w:p>
    <w:p w14:paraId="2819DEE1" w14:textId="77777777" w:rsidR="004647B9" w:rsidRPr="00144C69" w:rsidRDefault="00E2436F" w:rsidP="00563A54">
      <w:pPr>
        <w:numPr>
          <w:ilvl w:val="3"/>
          <w:numId w:val="149"/>
        </w:numPr>
        <w:tabs>
          <w:tab w:val="left" w:pos="2566"/>
        </w:tabs>
        <w:spacing w:line="228" w:lineRule="auto"/>
        <w:ind w:left="2280" w:hanging="5"/>
        <w:rPr>
          <w:rFonts w:eastAsia="Times New Roman"/>
          <w:sz w:val="24"/>
          <w:szCs w:val="24"/>
        </w:rPr>
      </w:pPr>
      <w:r w:rsidRPr="00144C69">
        <w:rPr>
          <w:rFonts w:eastAsia="Times New Roman"/>
          <w:sz w:val="24"/>
          <w:szCs w:val="24"/>
        </w:rPr>
        <w:t>The contaminant concentration in the numbered sample yielded by the calculation in 310 CMR 22.06B(1)(c)3.b. is the 90</w:t>
      </w:r>
      <w:r w:rsidRPr="00144C69">
        <w:rPr>
          <w:rFonts w:eastAsia="Times New Roman"/>
          <w:sz w:val="24"/>
          <w:szCs w:val="24"/>
          <w:vertAlign w:val="superscript"/>
        </w:rPr>
        <w:t>th</w:t>
      </w:r>
      <w:r w:rsidRPr="00144C69">
        <w:rPr>
          <w:rFonts w:eastAsia="Times New Roman"/>
          <w:sz w:val="24"/>
          <w:szCs w:val="24"/>
        </w:rPr>
        <w:t xml:space="preserve"> percentile contaminant level.</w:t>
      </w:r>
    </w:p>
    <w:p w14:paraId="2819DEE3" w14:textId="77777777" w:rsidR="004647B9" w:rsidRPr="00144C69" w:rsidRDefault="00E2436F" w:rsidP="00563A54">
      <w:pPr>
        <w:numPr>
          <w:ilvl w:val="3"/>
          <w:numId w:val="149"/>
        </w:numPr>
        <w:tabs>
          <w:tab w:val="left" w:pos="2662"/>
        </w:tabs>
        <w:spacing w:line="233" w:lineRule="auto"/>
        <w:ind w:left="2280" w:hanging="5"/>
        <w:jc w:val="both"/>
        <w:rPr>
          <w:rFonts w:eastAsia="Times New Roman"/>
          <w:sz w:val="24"/>
          <w:szCs w:val="24"/>
        </w:rPr>
      </w:pPr>
      <w:r w:rsidRPr="00144C69">
        <w:rPr>
          <w:rFonts w:eastAsia="Times New Roman"/>
          <w:sz w:val="24"/>
          <w:szCs w:val="24"/>
        </w:rPr>
        <w:t>For water systems serving fewer than 100 people that collect five samples per monitoring period, the 90</w:t>
      </w:r>
      <w:r w:rsidRPr="00144C69">
        <w:rPr>
          <w:rFonts w:eastAsia="Times New Roman"/>
          <w:sz w:val="24"/>
          <w:szCs w:val="24"/>
          <w:vertAlign w:val="superscript"/>
        </w:rPr>
        <w:t>th</w:t>
      </w:r>
      <w:r w:rsidRPr="00144C69">
        <w:rPr>
          <w:rFonts w:eastAsia="Times New Roman"/>
          <w:sz w:val="24"/>
          <w:szCs w:val="24"/>
        </w:rPr>
        <w:t xml:space="preserve"> percentile is computed by taking the average of the highest and second highest concentrations.</w:t>
      </w:r>
    </w:p>
    <w:p w14:paraId="2819DEE4" w14:textId="77777777" w:rsidR="004647B9" w:rsidRPr="00144C69" w:rsidRDefault="00E2436F" w:rsidP="00563A54">
      <w:pPr>
        <w:numPr>
          <w:ilvl w:val="3"/>
          <w:numId w:val="149"/>
        </w:numPr>
        <w:tabs>
          <w:tab w:val="left" w:pos="2669"/>
        </w:tabs>
        <w:spacing w:line="233" w:lineRule="auto"/>
        <w:ind w:left="2280" w:hanging="5"/>
        <w:jc w:val="both"/>
        <w:rPr>
          <w:rFonts w:eastAsia="Times New Roman"/>
          <w:sz w:val="24"/>
          <w:szCs w:val="24"/>
        </w:rPr>
      </w:pPr>
      <w:r w:rsidRPr="00144C69">
        <w:rPr>
          <w:rFonts w:eastAsia="Times New Roman"/>
          <w:sz w:val="24"/>
          <w:szCs w:val="24"/>
        </w:rPr>
        <w:t>For a public water system that has been allowed by the Department to collect fewer than five samples in accordance with 310 CMR 22.06B(7)(c), the sample result with the highest concentration is considered the 90</w:t>
      </w:r>
      <w:r w:rsidRPr="00144C69">
        <w:rPr>
          <w:rFonts w:eastAsia="Times New Roman"/>
          <w:sz w:val="24"/>
          <w:szCs w:val="24"/>
          <w:vertAlign w:val="superscript"/>
        </w:rPr>
        <w:t>th</w:t>
      </w:r>
      <w:r w:rsidRPr="00144C69">
        <w:rPr>
          <w:rFonts w:eastAsia="Times New Roman"/>
          <w:sz w:val="24"/>
          <w:szCs w:val="24"/>
        </w:rPr>
        <w:t xml:space="preserve"> percentile value.</w:t>
      </w:r>
    </w:p>
    <w:p w14:paraId="2819DEE6" w14:textId="77777777" w:rsidR="004647B9" w:rsidRPr="00144C69" w:rsidRDefault="00E2436F" w:rsidP="00563A54">
      <w:pPr>
        <w:numPr>
          <w:ilvl w:val="3"/>
          <w:numId w:val="149"/>
        </w:numPr>
        <w:tabs>
          <w:tab w:val="left" w:pos="2578"/>
        </w:tabs>
        <w:spacing w:line="228" w:lineRule="auto"/>
        <w:ind w:left="2280" w:hanging="5"/>
        <w:rPr>
          <w:rFonts w:eastAsia="Times New Roman"/>
          <w:sz w:val="24"/>
          <w:szCs w:val="24"/>
        </w:rPr>
      </w:pPr>
      <w:r w:rsidRPr="00144C69">
        <w:rPr>
          <w:rFonts w:eastAsia="Times New Roman"/>
          <w:sz w:val="24"/>
          <w:szCs w:val="24"/>
        </w:rPr>
        <w:t>If unapproved sample sites are submitted with lead and copper results, they shall be included in the computation of the 90</w:t>
      </w:r>
      <w:r w:rsidRPr="00144C69">
        <w:rPr>
          <w:rFonts w:eastAsia="Times New Roman"/>
          <w:sz w:val="24"/>
          <w:szCs w:val="24"/>
          <w:vertAlign w:val="superscript"/>
        </w:rPr>
        <w:t>th</w:t>
      </w:r>
      <w:r w:rsidRPr="00144C69">
        <w:rPr>
          <w:rFonts w:eastAsia="Times New Roman"/>
          <w:sz w:val="24"/>
          <w:szCs w:val="24"/>
        </w:rPr>
        <w:t xml:space="preserve"> percentile.</w:t>
      </w:r>
    </w:p>
    <w:p w14:paraId="2819DEE8" w14:textId="77777777" w:rsidR="004647B9" w:rsidRPr="00144C69" w:rsidRDefault="00E2436F" w:rsidP="00563A54">
      <w:pPr>
        <w:numPr>
          <w:ilvl w:val="1"/>
          <w:numId w:val="150"/>
        </w:numPr>
        <w:tabs>
          <w:tab w:val="left" w:pos="2020"/>
        </w:tabs>
        <w:ind w:left="2020" w:hanging="465"/>
        <w:rPr>
          <w:rFonts w:eastAsia="Times New Roman"/>
          <w:sz w:val="24"/>
          <w:szCs w:val="24"/>
        </w:rPr>
      </w:pPr>
      <w:r w:rsidRPr="00144C69">
        <w:rPr>
          <w:rFonts w:eastAsia="Times New Roman"/>
          <w:sz w:val="24"/>
          <w:szCs w:val="24"/>
          <w:u w:val="single"/>
        </w:rPr>
        <w:t>Corrosion Control Treatment Requirements</w:t>
      </w:r>
      <w:r w:rsidRPr="00144C69">
        <w:rPr>
          <w:rFonts w:eastAsia="Times New Roman"/>
          <w:sz w:val="24"/>
          <w:szCs w:val="24"/>
        </w:rPr>
        <w:t>.</w:t>
      </w:r>
    </w:p>
    <w:p w14:paraId="2819DEEA" w14:textId="77777777" w:rsidR="004647B9" w:rsidRPr="00144C69" w:rsidRDefault="00E2436F" w:rsidP="00563A54">
      <w:pPr>
        <w:numPr>
          <w:ilvl w:val="2"/>
          <w:numId w:val="150"/>
        </w:numPr>
        <w:tabs>
          <w:tab w:val="left" w:pos="2309"/>
        </w:tabs>
        <w:spacing w:line="243" w:lineRule="auto"/>
        <w:ind w:left="1920" w:hanging="5"/>
        <w:rPr>
          <w:rFonts w:eastAsia="Times New Roman"/>
          <w:sz w:val="24"/>
          <w:szCs w:val="24"/>
        </w:rPr>
      </w:pPr>
      <w:r w:rsidRPr="00144C69">
        <w:rPr>
          <w:rFonts w:eastAsia="Times New Roman"/>
          <w:sz w:val="24"/>
          <w:szCs w:val="24"/>
        </w:rPr>
        <w:t>All water systems shall install and operate optimal corrosion control treatment as defined in 310 CMR 22.02.</w:t>
      </w:r>
    </w:p>
    <w:p w14:paraId="2819DEEB" w14:textId="77777777" w:rsidR="004647B9" w:rsidRPr="00144C69" w:rsidRDefault="00E2436F" w:rsidP="00563A54">
      <w:pPr>
        <w:numPr>
          <w:ilvl w:val="2"/>
          <w:numId w:val="150"/>
        </w:numPr>
        <w:tabs>
          <w:tab w:val="left" w:pos="2345"/>
        </w:tabs>
        <w:spacing w:line="243" w:lineRule="auto"/>
        <w:ind w:left="1920" w:hanging="5"/>
        <w:jc w:val="both"/>
        <w:rPr>
          <w:rFonts w:eastAsia="Times New Roman"/>
          <w:sz w:val="24"/>
          <w:szCs w:val="24"/>
        </w:rPr>
      </w:pPr>
      <w:r w:rsidRPr="00144C69">
        <w:rPr>
          <w:rFonts w:eastAsia="Times New Roman"/>
          <w:sz w:val="24"/>
          <w:szCs w:val="24"/>
        </w:rPr>
        <w:t>Any water system that complies with the applicable corrosion control treatment requirements specified by the Department under 310 CMR 22.06B(2) and (3) shall be deemed in compliance with the treatment requirement contained in 310 CMR 22.06B(1)(d)1.</w:t>
      </w:r>
    </w:p>
    <w:p w14:paraId="2819DEEC" w14:textId="77777777" w:rsidR="004647B9" w:rsidRPr="00144C69" w:rsidRDefault="00E2436F" w:rsidP="00563A54">
      <w:pPr>
        <w:numPr>
          <w:ilvl w:val="1"/>
          <w:numId w:val="150"/>
        </w:numPr>
        <w:tabs>
          <w:tab w:val="left" w:pos="1944"/>
        </w:tabs>
        <w:spacing w:line="243" w:lineRule="auto"/>
        <w:ind w:left="1560" w:hanging="5"/>
        <w:jc w:val="both"/>
        <w:rPr>
          <w:rFonts w:eastAsia="Times New Roman"/>
          <w:sz w:val="24"/>
          <w:szCs w:val="24"/>
        </w:rPr>
      </w:pPr>
      <w:r w:rsidRPr="00144C69">
        <w:rPr>
          <w:rFonts w:eastAsia="Times New Roman"/>
          <w:sz w:val="24"/>
          <w:szCs w:val="24"/>
          <w:u w:val="single"/>
        </w:rPr>
        <w:t>Source Water Treatment Requirements</w:t>
      </w:r>
      <w:r w:rsidRPr="00144C69">
        <w:rPr>
          <w:rFonts w:eastAsia="Times New Roman"/>
          <w:sz w:val="24"/>
          <w:szCs w:val="24"/>
        </w:rPr>
        <w:t>. Any system exceeding the lead or copper action level shall implement all applicable source water treatment requirements specified by the Department under 310 CMR 22.06B(4).</w:t>
      </w:r>
    </w:p>
    <w:p w14:paraId="2819DEEE" w14:textId="77777777" w:rsidR="004647B9" w:rsidRPr="00144C69" w:rsidRDefault="00E2436F" w:rsidP="00563A54">
      <w:pPr>
        <w:numPr>
          <w:ilvl w:val="1"/>
          <w:numId w:val="150"/>
        </w:numPr>
        <w:tabs>
          <w:tab w:val="left" w:pos="1978"/>
        </w:tabs>
        <w:spacing w:line="243" w:lineRule="auto"/>
        <w:ind w:left="1560" w:hanging="5"/>
        <w:jc w:val="both"/>
        <w:rPr>
          <w:rFonts w:eastAsia="Times New Roman"/>
          <w:sz w:val="24"/>
          <w:szCs w:val="24"/>
        </w:rPr>
      </w:pPr>
      <w:r w:rsidRPr="00144C69">
        <w:rPr>
          <w:rFonts w:eastAsia="Times New Roman"/>
          <w:sz w:val="24"/>
          <w:szCs w:val="24"/>
          <w:u w:val="single"/>
        </w:rPr>
        <w:t>Lead Service Line Replacement Requirements</w:t>
      </w:r>
      <w:r w:rsidRPr="00144C69">
        <w:rPr>
          <w:rFonts w:eastAsia="Times New Roman"/>
          <w:sz w:val="24"/>
          <w:szCs w:val="24"/>
        </w:rPr>
        <w:t>. Any system exceeding the lead action level after implementation of applicable corrosion control and source water treatment requirements shall complete the lead service line replacement requirements contained in 310 CMR 22.06B(5).</w:t>
      </w:r>
    </w:p>
    <w:p w14:paraId="2819DEEF" w14:textId="77777777" w:rsidR="004647B9" w:rsidRDefault="00E2436F" w:rsidP="00563A54">
      <w:pPr>
        <w:numPr>
          <w:ilvl w:val="1"/>
          <w:numId w:val="150"/>
        </w:numPr>
        <w:tabs>
          <w:tab w:val="left" w:pos="2032"/>
        </w:tabs>
        <w:spacing w:line="243" w:lineRule="auto"/>
        <w:ind w:left="1560" w:hanging="5"/>
        <w:jc w:val="both"/>
        <w:rPr>
          <w:rFonts w:eastAsia="Times New Roman"/>
          <w:sz w:val="24"/>
          <w:szCs w:val="24"/>
        </w:rPr>
      </w:pPr>
      <w:r>
        <w:rPr>
          <w:rFonts w:eastAsia="Times New Roman"/>
          <w:sz w:val="24"/>
          <w:szCs w:val="24"/>
          <w:u w:val="single"/>
        </w:rPr>
        <w:t>Public Education Requirements</w:t>
      </w:r>
      <w:r>
        <w:rPr>
          <w:rFonts w:eastAsia="Times New Roman"/>
          <w:sz w:val="24"/>
          <w:szCs w:val="24"/>
        </w:rPr>
        <w:t>. Pursuant to 310 CMR 22.06B(6), all water systems shall provide a consumer notice of lead and copper tap water monitoring results to the persons served at the sites (taps) that are tested. Any system exceeding the lead action level shall implement the public education requirements.</w:t>
      </w:r>
    </w:p>
    <w:p w14:paraId="2819DEF0" w14:textId="77777777" w:rsidR="004647B9" w:rsidRDefault="00E2436F" w:rsidP="00563A54">
      <w:pPr>
        <w:numPr>
          <w:ilvl w:val="1"/>
          <w:numId w:val="150"/>
        </w:numPr>
        <w:tabs>
          <w:tab w:val="left" w:pos="2020"/>
        </w:tabs>
        <w:spacing w:line="243" w:lineRule="auto"/>
        <w:ind w:left="1560" w:hanging="5"/>
        <w:jc w:val="both"/>
        <w:rPr>
          <w:rFonts w:eastAsia="Times New Roman"/>
          <w:sz w:val="24"/>
          <w:szCs w:val="24"/>
        </w:rPr>
      </w:pPr>
      <w:r>
        <w:rPr>
          <w:rFonts w:eastAsia="Times New Roman"/>
          <w:sz w:val="24"/>
          <w:szCs w:val="24"/>
          <w:u w:val="single"/>
        </w:rPr>
        <w:t>Monitoring and Analytical Requirements</w:t>
      </w:r>
      <w:r>
        <w:rPr>
          <w:rFonts w:eastAsia="Times New Roman"/>
          <w:sz w:val="24"/>
          <w:szCs w:val="24"/>
        </w:rPr>
        <w:t>. Tap water monitoring for lead and copper, monitoring for water quality parameters, source water monitoring for lead and copper, and analyses of the monitoring results under 310 CMR 22.06B(1) shall be completed in compliance with 310 CMR 22.06B(7) through (10).</w:t>
      </w:r>
    </w:p>
    <w:p w14:paraId="2819DEF1" w14:textId="77777777" w:rsidR="004647B9" w:rsidRDefault="00E2436F" w:rsidP="00563A54">
      <w:pPr>
        <w:numPr>
          <w:ilvl w:val="1"/>
          <w:numId w:val="150"/>
        </w:numPr>
        <w:tabs>
          <w:tab w:val="left" w:pos="2053"/>
        </w:tabs>
        <w:spacing w:line="243" w:lineRule="auto"/>
        <w:ind w:left="1560" w:hanging="5"/>
        <w:rPr>
          <w:rFonts w:eastAsia="Times New Roman"/>
          <w:sz w:val="24"/>
          <w:szCs w:val="24"/>
        </w:rPr>
      </w:pPr>
      <w:r>
        <w:rPr>
          <w:rFonts w:eastAsia="Times New Roman"/>
          <w:sz w:val="24"/>
          <w:szCs w:val="24"/>
          <w:u w:val="single"/>
        </w:rPr>
        <w:t>Reporting Requirements</w:t>
      </w:r>
      <w:r>
        <w:rPr>
          <w:rFonts w:eastAsia="Times New Roman"/>
          <w:sz w:val="24"/>
          <w:szCs w:val="24"/>
        </w:rPr>
        <w:t>. Systems shall report to the Department any information required by the treatment provisions of 310 CMR 22.06B(1) and 310 CMR 22.06B(11).</w:t>
      </w:r>
    </w:p>
    <w:p w14:paraId="2819DEF2" w14:textId="77777777" w:rsidR="004647B9" w:rsidRDefault="00E2436F" w:rsidP="00563A54">
      <w:pPr>
        <w:numPr>
          <w:ilvl w:val="1"/>
          <w:numId w:val="150"/>
        </w:numPr>
        <w:tabs>
          <w:tab w:val="left" w:pos="2059"/>
        </w:tabs>
        <w:spacing w:line="243" w:lineRule="auto"/>
        <w:ind w:left="1560" w:hanging="5"/>
        <w:rPr>
          <w:rFonts w:eastAsia="Times New Roman"/>
          <w:sz w:val="24"/>
          <w:szCs w:val="24"/>
        </w:rPr>
      </w:pPr>
      <w:r>
        <w:rPr>
          <w:rFonts w:eastAsia="Times New Roman"/>
          <w:sz w:val="24"/>
          <w:szCs w:val="24"/>
          <w:u w:val="single"/>
        </w:rPr>
        <w:t>Recordkeeping Requirements</w:t>
      </w:r>
      <w:r>
        <w:rPr>
          <w:rFonts w:eastAsia="Times New Roman"/>
          <w:sz w:val="24"/>
          <w:szCs w:val="24"/>
        </w:rPr>
        <w:t>. Systems shall maintain records in accordance with 310 CMR 22.06B(12).</w:t>
      </w:r>
    </w:p>
    <w:p w14:paraId="2819DEF3" w14:textId="77777777" w:rsidR="004647B9" w:rsidRDefault="00E2436F" w:rsidP="00563A54">
      <w:pPr>
        <w:numPr>
          <w:ilvl w:val="1"/>
          <w:numId w:val="150"/>
        </w:numPr>
        <w:tabs>
          <w:tab w:val="left" w:pos="1984"/>
        </w:tabs>
        <w:spacing w:line="244" w:lineRule="auto"/>
        <w:ind w:left="1560" w:hanging="5"/>
        <w:jc w:val="both"/>
        <w:rPr>
          <w:rFonts w:eastAsia="Times New Roman"/>
          <w:sz w:val="24"/>
          <w:szCs w:val="24"/>
        </w:rPr>
      </w:pPr>
      <w:r>
        <w:rPr>
          <w:rFonts w:eastAsia="Times New Roman"/>
          <w:sz w:val="24"/>
          <w:szCs w:val="24"/>
          <w:u w:val="single"/>
        </w:rPr>
        <w:t>Violation of National Primary Drinking Water Regulations</w:t>
      </w:r>
      <w:r>
        <w:rPr>
          <w:rFonts w:eastAsia="Times New Roman"/>
          <w:sz w:val="24"/>
          <w:szCs w:val="24"/>
        </w:rPr>
        <w:t>. Failure to comply with the applicable requirements of 310 CMR 22.06B(1) through (12), including requirements established by the Department pursuant to 310 CMR 22.00 shall constitute a violation of the national primary drinking water regulations for lead and/or copper.</w:t>
      </w:r>
    </w:p>
    <w:p w14:paraId="2819DEF4" w14:textId="77777777" w:rsidR="004647B9" w:rsidRDefault="004647B9" w:rsidP="00662353">
      <w:pPr>
        <w:rPr>
          <w:rFonts w:eastAsia="Times New Roman"/>
          <w:sz w:val="24"/>
          <w:szCs w:val="24"/>
        </w:rPr>
      </w:pPr>
    </w:p>
    <w:p w14:paraId="2819DEF5" w14:textId="77777777" w:rsidR="004647B9" w:rsidRDefault="00E2436F" w:rsidP="00563A54">
      <w:pPr>
        <w:numPr>
          <w:ilvl w:val="0"/>
          <w:numId w:val="151"/>
        </w:numPr>
        <w:tabs>
          <w:tab w:val="left" w:pos="1674"/>
        </w:tabs>
        <w:spacing w:line="256" w:lineRule="auto"/>
        <w:ind w:left="1200"/>
        <w:rPr>
          <w:rFonts w:eastAsia="Times New Roman"/>
          <w:sz w:val="24"/>
          <w:szCs w:val="24"/>
        </w:rPr>
      </w:pPr>
      <w:r>
        <w:rPr>
          <w:rFonts w:eastAsia="Times New Roman"/>
          <w:sz w:val="24"/>
          <w:szCs w:val="24"/>
        </w:rPr>
        <w:t>Applicability of corrosion control treatment steps to small, medium-size and large water systems.</w:t>
      </w:r>
    </w:p>
    <w:p w14:paraId="2819DEF7" w14:textId="77777777" w:rsidR="004647B9" w:rsidRDefault="00E2436F" w:rsidP="00563A54">
      <w:pPr>
        <w:numPr>
          <w:ilvl w:val="1"/>
          <w:numId w:val="151"/>
        </w:numPr>
        <w:tabs>
          <w:tab w:val="left" w:pos="2157"/>
        </w:tabs>
        <w:spacing w:line="243" w:lineRule="auto"/>
        <w:ind w:left="1560" w:hanging="5"/>
        <w:rPr>
          <w:rFonts w:eastAsia="Times New Roman"/>
          <w:sz w:val="24"/>
          <w:szCs w:val="24"/>
        </w:rPr>
      </w:pPr>
      <w:r>
        <w:rPr>
          <w:rFonts w:eastAsia="Times New Roman"/>
          <w:sz w:val="24"/>
          <w:szCs w:val="24"/>
        </w:rPr>
        <w:t>Systems shall complete the applicable corrosion control treatment requirements described in 310 CMR 22.06B(3) by the deadlines established in 310 CMR 22.06B.</w:t>
      </w:r>
    </w:p>
    <w:p w14:paraId="2819DEF8" w14:textId="77777777" w:rsidR="004647B9" w:rsidRDefault="00E2436F" w:rsidP="00563A54">
      <w:pPr>
        <w:numPr>
          <w:ilvl w:val="2"/>
          <w:numId w:val="151"/>
        </w:numPr>
        <w:tabs>
          <w:tab w:val="left" w:pos="2374"/>
        </w:tabs>
        <w:spacing w:line="245" w:lineRule="auto"/>
        <w:ind w:left="1920" w:hanging="5"/>
        <w:jc w:val="both"/>
        <w:rPr>
          <w:rFonts w:eastAsia="Times New Roman"/>
          <w:sz w:val="24"/>
          <w:szCs w:val="24"/>
        </w:rPr>
      </w:pPr>
      <w:r>
        <w:rPr>
          <w:rFonts w:eastAsia="Times New Roman"/>
          <w:sz w:val="24"/>
          <w:szCs w:val="24"/>
        </w:rPr>
        <w:t>A large system (serving &gt;50,000 persons) shall complete the corrosion control treatment steps specified in 310 CMR 22.06B(2)(d), unless it is deemed to have optimized corrosion control under 310 CMR 22.06B(2)(b)2. or (b)3.</w:t>
      </w:r>
    </w:p>
    <w:p w14:paraId="2819DEF9" w14:textId="77777777" w:rsidR="004647B9" w:rsidRDefault="004647B9">
      <w:pPr>
        <w:sectPr w:rsidR="004647B9" w:rsidSect="00EF630C">
          <w:pgSz w:w="12240" w:h="20180"/>
          <w:pgMar w:top="708" w:right="1440" w:bottom="1440" w:left="600" w:header="0" w:footer="0" w:gutter="0"/>
          <w:cols w:space="720" w:equalWidth="0">
            <w:col w:w="10200"/>
          </w:cols>
        </w:sectPr>
      </w:pPr>
    </w:p>
    <w:p w14:paraId="2819DEFA" w14:textId="77777777" w:rsidR="004647B9" w:rsidRPr="00A97B59" w:rsidRDefault="00E2436F" w:rsidP="00A97B59">
      <w:pPr>
        <w:tabs>
          <w:tab w:val="left" w:pos="160"/>
        </w:tabs>
        <w:jc w:val="center"/>
        <w:rPr>
          <w:sz w:val="24"/>
          <w:szCs w:val="24"/>
        </w:rPr>
      </w:pPr>
      <w:bookmarkStart w:id="62" w:name="page63"/>
      <w:bookmarkEnd w:id="62"/>
      <w:r w:rsidRPr="00A97B59">
        <w:rPr>
          <w:rFonts w:eastAsia="Times New Roman"/>
          <w:sz w:val="24"/>
          <w:szCs w:val="24"/>
        </w:rPr>
        <w:lastRenderedPageBreak/>
        <w:t>310 CMR:</w:t>
      </w:r>
      <w:r w:rsidRPr="00A97B59">
        <w:rPr>
          <w:sz w:val="24"/>
          <w:szCs w:val="24"/>
        </w:rPr>
        <w:tab/>
      </w:r>
      <w:r w:rsidRPr="00A97B59">
        <w:rPr>
          <w:rFonts w:eastAsia="Times New Roman"/>
          <w:sz w:val="24"/>
          <w:szCs w:val="24"/>
        </w:rPr>
        <w:t>DEPARTMENT OF ENVIRONMENTAL PROTECTION</w:t>
      </w:r>
    </w:p>
    <w:p w14:paraId="2819DEFB" w14:textId="77777777" w:rsidR="004647B9" w:rsidRPr="00662353" w:rsidRDefault="004647B9" w:rsidP="00A97B59">
      <w:pPr>
        <w:rPr>
          <w:sz w:val="20"/>
          <w:szCs w:val="20"/>
        </w:rPr>
      </w:pPr>
    </w:p>
    <w:p w14:paraId="2819DEFC" w14:textId="77777777" w:rsidR="004647B9" w:rsidRPr="00662353" w:rsidRDefault="004647B9" w:rsidP="00A97B59">
      <w:pPr>
        <w:rPr>
          <w:sz w:val="20"/>
          <w:szCs w:val="20"/>
        </w:rPr>
      </w:pPr>
    </w:p>
    <w:p w14:paraId="2819DEFD" w14:textId="77777777" w:rsidR="004647B9" w:rsidRPr="00A97B59" w:rsidRDefault="00E2436F" w:rsidP="00A97B59">
      <w:pPr>
        <w:tabs>
          <w:tab w:val="left" w:pos="920"/>
        </w:tabs>
        <w:rPr>
          <w:sz w:val="24"/>
          <w:szCs w:val="24"/>
        </w:rPr>
      </w:pPr>
      <w:r w:rsidRPr="00A97B59">
        <w:rPr>
          <w:rFonts w:eastAsia="Times New Roman"/>
          <w:sz w:val="24"/>
          <w:szCs w:val="24"/>
        </w:rPr>
        <w:t>22.06B:</w:t>
      </w:r>
      <w:r w:rsidRPr="00A97B59">
        <w:rPr>
          <w:rFonts w:eastAsia="Times New Roman"/>
          <w:sz w:val="24"/>
          <w:szCs w:val="24"/>
        </w:rPr>
        <w:tab/>
        <w:t>continued</w:t>
      </w:r>
    </w:p>
    <w:p w14:paraId="2819DEFE" w14:textId="77777777" w:rsidR="004647B9" w:rsidRPr="00662353" w:rsidRDefault="004647B9" w:rsidP="00A97B59">
      <w:pPr>
        <w:rPr>
          <w:sz w:val="20"/>
          <w:szCs w:val="20"/>
        </w:rPr>
      </w:pPr>
    </w:p>
    <w:p w14:paraId="2819DF03" w14:textId="24151538" w:rsidR="004647B9" w:rsidRPr="00A97B59" w:rsidRDefault="00E2436F" w:rsidP="00782FA4">
      <w:pPr>
        <w:numPr>
          <w:ilvl w:val="1"/>
          <w:numId w:val="152"/>
        </w:numPr>
        <w:tabs>
          <w:tab w:val="left" w:pos="2266"/>
        </w:tabs>
        <w:ind w:left="1915"/>
        <w:jc w:val="both"/>
        <w:rPr>
          <w:rFonts w:eastAsia="Times New Roman"/>
          <w:sz w:val="24"/>
          <w:szCs w:val="24"/>
        </w:rPr>
      </w:pPr>
      <w:r w:rsidRPr="00A97B59">
        <w:rPr>
          <w:rFonts w:eastAsia="Times New Roman"/>
          <w:sz w:val="24"/>
          <w:szCs w:val="24"/>
        </w:rPr>
        <w:t xml:space="preserve">A small system (serving </w:t>
      </w:r>
      <w:r w:rsidR="00837105" w:rsidRPr="00A97B59">
        <w:rPr>
          <w:rFonts w:eastAsia="Arial"/>
          <w:sz w:val="24"/>
          <w:szCs w:val="24"/>
        </w:rPr>
        <w:t>≤</w:t>
      </w:r>
      <w:r w:rsidRPr="00A97B59">
        <w:rPr>
          <w:rFonts w:eastAsia="Times New Roman"/>
          <w:sz w:val="24"/>
          <w:szCs w:val="24"/>
        </w:rPr>
        <w:t xml:space="preserve">3300 persons) and a medium size system (serving &gt;3,300 and </w:t>
      </w:r>
      <w:r w:rsidR="00837105" w:rsidRPr="00A97B59">
        <w:rPr>
          <w:rFonts w:eastAsia="Arial"/>
          <w:sz w:val="24"/>
          <w:szCs w:val="24"/>
        </w:rPr>
        <w:t>≤</w:t>
      </w:r>
      <w:r w:rsidRPr="00A97B59">
        <w:rPr>
          <w:rFonts w:eastAsia="Times New Roman"/>
          <w:sz w:val="24"/>
          <w:szCs w:val="24"/>
        </w:rPr>
        <w:t>50,000 persons) shall complete the corrosion control treatment steps specified in</w:t>
      </w:r>
      <w:r w:rsidR="00837105" w:rsidRPr="00A97B59">
        <w:rPr>
          <w:rFonts w:eastAsia="Times New Roman"/>
          <w:sz w:val="24"/>
          <w:szCs w:val="24"/>
        </w:rPr>
        <w:t xml:space="preserve"> 310 </w:t>
      </w:r>
      <w:r w:rsidRPr="00A97B59">
        <w:rPr>
          <w:rFonts w:eastAsia="Times New Roman"/>
          <w:sz w:val="24"/>
          <w:szCs w:val="24"/>
        </w:rPr>
        <w:t>CMR 22.06B(2)(e), unless it is deemed to have optimized corrosion control under</w:t>
      </w:r>
      <w:r w:rsidR="00837105" w:rsidRPr="00A97B59">
        <w:rPr>
          <w:rFonts w:eastAsia="Times New Roman"/>
          <w:sz w:val="24"/>
          <w:szCs w:val="24"/>
        </w:rPr>
        <w:t xml:space="preserve"> 310 </w:t>
      </w:r>
      <w:r w:rsidRPr="00A97B59">
        <w:rPr>
          <w:rFonts w:eastAsia="Times New Roman"/>
          <w:sz w:val="24"/>
          <w:szCs w:val="24"/>
        </w:rPr>
        <w:t>CMR 22.06B(2)(b)1., 2., or 3.</w:t>
      </w:r>
    </w:p>
    <w:p w14:paraId="2819DF05" w14:textId="77777777" w:rsidR="004647B9" w:rsidRPr="00A97B59" w:rsidRDefault="00E2436F" w:rsidP="00563A54">
      <w:pPr>
        <w:numPr>
          <w:ilvl w:val="0"/>
          <w:numId w:val="153"/>
        </w:numPr>
        <w:tabs>
          <w:tab w:val="left" w:pos="1977"/>
        </w:tabs>
        <w:ind w:left="1560" w:hanging="5"/>
        <w:jc w:val="both"/>
        <w:rPr>
          <w:rFonts w:eastAsia="Times New Roman"/>
          <w:sz w:val="24"/>
          <w:szCs w:val="24"/>
        </w:rPr>
      </w:pPr>
      <w:r w:rsidRPr="00A97B59">
        <w:rPr>
          <w:rFonts w:eastAsia="Times New Roman"/>
          <w:sz w:val="24"/>
          <w:szCs w:val="24"/>
        </w:rPr>
        <w:t>A system is deemed to have optimized corrosion control and is not required to complete the applicable corrosion control treatment steps identified in 310 CMR 22.06B if the system satisfies one of the criteria specified in 310 CMR 22.06(2)(b)1. through 3. Any such system deemed to have optimized corrosion control under 310 CMR 22.06B(2)(b), and which has treatment in place, shall continue to operate and maintain optimal corrosion control treatment and meet any requirements that the Department determines appropriate to ensure that optimal corrosion control is maintained.</w:t>
      </w:r>
    </w:p>
    <w:p w14:paraId="2819DF07" w14:textId="77777777" w:rsidR="004647B9" w:rsidRPr="00A97B59" w:rsidRDefault="00E2436F" w:rsidP="00563A54">
      <w:pPr>
        <w:numPr>
          <w:ilvl w:val="1"/>
          <w:numId w:val="153"/>
        </w:numPr>
        <w:tabs>
          <w:tab w:val="left" w:pos="2237"/>
        </w:tabs>
        <w:ind w:left="1920" w:hanging="5"/>
        <w:jc w:val="both"/>
        <w:rPr>
          <w:rFonts w:eastAsia="Times New Roman"/>
          <w:sz w:val="24"/>
          <w:szCs w:val="24"/>
        </w:rPr>
      </w:pPr>
      <w:r w:rsidRPr="00A97B59">
        <w:rPr>
          <w:rFonts w:eastAsia="Times New Roman"/>
          <w:sz w:val="24"/>
          <w:szCs w:val="24"/>
        </w:rPr>
        <w:t>A small or medium-size water system is deemed to have optimized corrosion control if the system meets the lead and copper action levels during each of two consecutive six-month monitoring periods conducted in accordance with 310 CMR 22.06B(7).</w:t>
      </w:r>
    </w:p>
    <w:p w14:paraId="2819DF0B" w14:textId="78E72AEF" w:rsidR="004647B9" w:rsidRPr="00A97B59" w:rsidRDefault="00E2436F" w:rsidP="00563A54">
      <w:pPr>
        <w:numPr>
          <w:ilvl w:val="1"/>
          <w:numId w:val="153"/>
        </w:numPr>
        <w:tabs>
          <w:tab w:val="left" w:pos="2294"/>
        </w:tabs>
        <w:ind w:left="1920" w:hanging="5"/>
        <w:jc w:val="both"/>
        <w:rPr>
          <w:rFonts w:eastAsia="Times New Roman"/>
          <w:sz w:val="24"/>
          <w:szCs w:val="24"/>
        </w:rPr>
      </w:pPr>
      <w:r w:rsidRPr="00A97B59">
        <w:rPr>
          <w:rFonts w:eastAsia="Times New Roman"/>
          <w:sz w:val="24"/>
          <w:szCs w:val="24"/>
        </w:rPr>
        <w:t>Any water system may be deemed by the Department to have optimized corrosion control treatment if the system demonstrates to the satisfaction of the Department that it has conducted activities equivalent to the corrosion control steps applicable to such system under 310 CMR 22.06B. If the Department makes this determination, it shall provide the system with written notice explaining the basis for its decision and shall specify the water quality control parameters representing optimal corrosion control in accordance with 310 CMR 22.06B(3)(f). Water systems deemed to have optimized corrosion control under 310 CMR 22.06B(2)(b)2. shall operate in compliance with Department-designated optimal water quality control parameters in accordance with</w:t>
      </w:r>
      <w:r w:rsidR="00837105" w:rsidRPr="00A97B59">
        <w:rPr>
          <w:rFonts w:eastAsia="Times New Roman"/>
          <w:sz w:val="24"/>
          <w:szCs w:val="24"/>
        </w:rPr>
        <w:t xml:space="preserve"> 310 </w:t>
      </w:r>
      <w:r w:rsidRPr="00A97B59">
        <w:rPr>
          <w:rFonts w:eastAsia="Times New Roman"/>
          <w:sz w:val="24"/>
          <w:szCs w:val="24"/>
        </w:rPr>
        <w:t>CMR 22.06B(3)(g) and continue to conduct lead and copper tap and water quality parameter sampling in accordance with 310 CMR 22.06B(7)(d)3. and 310 CMR 22.06B(8)(d), respectively. A system shall provide the Department with the following information in order to support a determination under 310 CMR 22.06B(2)(b)2.:</w:t>
      </w:r>
    </w:p>
    <w:p w14:paraId="2819DF0D" w14:textId="77777777" w:rsidR="004647B9" w:rsidRPr="00A97B59" w:rsidRDefault="00E2436F" w:rsidP="00563A54">
      <w:pPr>
        <w:numPr>
          <w:ilvl w:val="2"/>
          <w:numId w:val="154"/>
        </w:numPr>
        <w:tabs>
          <w:tab w:val="left" w:pos="2634"/>
        </w:tabs>
        <w:ind w:left="2280" w:hanging="5"/>
        <w:rPr>
          <w:rFonts w:eastAsia="Times New Roman"/>
          <w:sz w:val="24"/>
          <w:szCs w:val="24"/>
        </w:rPr>
      </w:pPr>
      <w:r w:rsidRPr="00A97B59">
        <w:rPr>
          <w:rFonts w:eastAsia="Times New Roman"/>
          <w:sz w:val="24"/>
          <w:szCs w:val="24"/>
        </w:rPr>
        <w:t>the results of all test samples collected for each of the water quality parameters in 310 CMR 22.06B(3)(c)3.</w:t>
      </w:r>
    </w:p>
    <w:p w14:paraId="2819DF0E" w14:textId="77777777" w:rsidR="004647B9" w:rsidRPr="00A97B59" w:rsidRDefault="00E2436F" w:rsidP="00563A54">
      <w:pPr>
        <w:numPr>
          <w:ilvl w:val="2"/>
          <w:numId w:val="154"/>
        </w:numPr>
        <w:tabs>
          <w:tab w:val="left" w:pos="2683"/>
        </w:tabs>
        <w:ind w:left="2280" w:hanging="5"/>
        <w:jc w:val="both"/>
        <w:rPr>
          <w:rFonts w:eastAsia="Times New Roman"/>
          <w:sz w:val="24"/>
          <w:szCs w:val="24"/>
        </w:rPr>
      </w:pPr>
      <w:r w:rsidRPr="00A97B59">
        <w:rPr>
          <w:rFonts w:eastAsia="Times New Roman"/>
          <w:sz w:val="24"/>
          <w:szCs w:val="24"/>
        </w:rPr>
        <w:t>a report explaining the test methods used by the water system to evaluate the corrosion control treatments listed in 310 CMR 22.06B(3)(c)1., the results of all tests conducted, and the basis for the system's selection of optimal corrosion control treatment;</w:t>
      </w:r>
    </w:p>
    <w:p w14:paraId="2819DF0F" w14:textId="77777777" w:rsidR="004647B9" w:rsidRPr="00A97B59" w:rsidRDefault="00E2436F" w:rsidP="00563A54">
      <w:pPr>
        <w:numPr>
          <w:ilvl w:val="2"/>
          <w:numId w:val="154"/>
        </w:numPr>
        <w:tabs>
          <w:tab w:val="left" w:pos="2619"/>
        </w:tabs>
        <w:ind w:left="2280" w:hanging="5"/>
        <w:jc w:val="both"/>
        <w:rPr>
          <w:rFonts w:eastAsia="Times New Roman"/>
          <w:sz w:val="24"/>
          <w:szCs w:val="24"/>
        </w:rPr>
      </w:pPr>
      <w:r w:rsidRPr="00A97B59">
        <w:rPr>
          <w:rFonts w:eastAsia="Times New Roman"/>
          <w:sz w:val="24"/>
          <w:szCs w:val="24"/>
        </w:rPr>
        <w:t>a report explaining how corrosion control has been installed and how it is being maintained to insure minimal lead and copper concentrations at consumers' taps; and</w:t>
      </w:r>
    </w:p>
    <w:p w14:paraId="2819DF11" w14:textId="77777777" w:rsidR="004647B9" w:rsidRPr="00A97B59" w:rsidRDefault="00E2436F" w:rsidP="00563A54">
      <w:pPr>
        <w:numPr>
          <w:ilvl w:val="2"/>
          <w:numId w:val="154"/>
        </w:numPr>
        <w:tabs>
          <w:tab w:val="left" w:pos="2578"/>
        </w:tabs>
        <w:ind w:left="2280" w:hanging="5"/>
        <w:jc w:val="both"/>
        <w:rPr>
          <w:rFonts w:eastAsia="Times New Roman"/>
          <w:sz w:val="24"/>
          <w:szCs w:val="24"/>
        </w:rPr>
      </w:pPr>
      <w:r w:rsidRPr="00A97B59">
        <w:rPr>
          <w:rFonts w:eastAsia="Times New Roman"/>
          <w:sz w:val="24"/>
          <w:szCs w:val="24"/>
        </w:rPr>
        <w:t>the results of tap water samples collected in accordance with 310 CMR 22.06B(7) at least once every six months for one year after corrosion control has been installed.</w:t>
      </w:r>
    </w:p>
    <w:p w14:paraId="2819DF13" w14:textId="77777777" w:rsidR="004647B9" w:rsidRPr="00A97B59" w:rsidRDefault="00E2436F" w:rsidP="00563A54">
      <w:pPr>
        <w:numPr>
          <w:ilvl w:val="1"/>
          <w:numId w:val="155"/>
        </w:numPr>
        <w:tabs>
          <w:tab w:val="left" w:pos="2244"/>
        </w:tabs>
        <w:ind w:left="1920" w:hanging="5"/>
        <w:jc w:val="both"/>
        <w:rPr>
          <w:rFonts w:eastAsia="Times New Roman"/>
          <w:sz w:val="24"/>
          <w:szCs w:val="24"/>
        </w:rPr>
      </w:pPr>
      <w:r w:rsidRPr="00A97B59">
        <w:rPr>
          <w:rFonts w:eastAsia="Times New Roman"/>
          <w:sz w:val="24"/>
          <w:szCs w:val="24"/>
        </w:rPr>
        <w:t>Any water system is deemed to have optimized corrosion control if it submits results of tap water monitoring conducted in accordance with 310 CMR 22.06B(7) and source water monitoring conducted in accordance with 310 CMR 22.06B(9) that demonstrates for two consecutive six-month monitoring periods that the difference between the 90</w:t>
      </w:r>
      <w:r w:rsidRPr="00A97B59">
        <w:rPr>
          <w:rFonts w:eastAsia="Times New Roman"/>
          <w:sz w:val="24"/>
          <w:szCs w:val="24"/>
          <w:vertAlign w:val="superscript"/>
        </w:rPr>
        <w:t>th</w:t>
      </w:r>
    </w:p>
    <w:p w14:paraId="2819DF15" w14:textId="77777777" w:rsidR="004647B9" w:rsidRPr="00A97B59" w:rsidRDefault="00E2436F" w:rsidP="00A97B59">
      <w:pPr>
        <w:ind w:left="1920"/>
        <w:jc w:val="both"/>
        <w:rPr>
          <w:sz w:val="24"/>
          <w:szCs w:val="24"/>
        </w:rPr>
      </w:pPr>
      <w:r w:rsidRPr="00A97B59">
        <w:rPr>
          <w:rFonts w:eastAsia="Times New Roman"/>
          <w:sz w:val="24"/>
          <w:szCs w:val="24"/>
        </w:rPr>
        <w:t>percentile tap water lead level computed under 310 CMR 22.06B(1)(c)3. and the highest source water lead concentration, is less than the Practical Quantitation Level (PQL) for lead specified in 310 CMR 22.06B(10)(a)1.b.</w:t>
      </w:r>
    </w:p>
    <w:p w14:paraId="2819DF17" w14:textId="067BC6AB" w:rsidR="004647B9" w:rsidRPr="006330D1" w:rsidRDefault="00E2436F" w:rsidP="00563A54">
      <w:pPr>
        <w:numPr>
          <w:ilvl w:val="0"/>
          <w:numId w:val="156"/>
        </w:numPr>
        <w:tabs>
          <w:tab w:val="left" w:pos="2727"/>
        </w:tabs>
        <w:ind w:left="2280" w:hanging="5"/>
        <w:jc w:val="both"/>
        <w:rPr>
          <w:rFonts w:eastAsia="Times New Roman"/>
          <w:sz w:val="24"/>
          <w:szCs w:val="24"/>
        </w:rPr>
      </w:pPr>
      <w:r w:rsidRPr="00301EAA">
        <w:rPr>
          <w:rFonts w:eastAsia="Times New Roman"/>
          <w:sz w:val="24"/>
          <w:szCs w:val="24"/>
        </w:rPr>
        <w:t>Those</w:t>
      </w:r>
      <w:r w:rsidRPr="006330D1">
        <w:rPr>
          <w:rFonts w:eastAsia="Times New Roman"/>
          <w:sz w:val="24"/>
          <w:szCs w:val="24"/>
        </w:rPr>
        <w:t xml:space="preserve"> systems whose highest source water lead level is below the Method Detection Limit may also be deemed to have optimized corrosion control under 310 CMR 22.06B(2)(b)3.a. if the 90</w:t>
      </w:r>
      <w:r w:rsidRPr="006330D1">
        <w:rPr>
          <w:rFonts w:eastAsia="Times New Roman"/>
          <w:sz w:val="24"/>
          <w:szCs w:val="24"/>
          <w:vertAlign w:val="superscript"/>
        </w:rPr>
        <w:t>th</w:t>
      </w:r>
      <w:r w:rsidRPr="006330D1">
        <w:rPr>
          <w:rFonts w:eastAsia="Times New Roman"/>
          <w:sz w:val="24"/>
          <w:szCs w:val="24"/>
        </w:rPr>
        <w:t xml:space="preserve"> percentile tap water lead level is less than or equal to the Practical Quantitation Level for lead for two consecutive six-month monitoring periods.</w:t>
      </w:r>
    </w:p>
    <w:p w14:paraId="2819DF19" w14:textId="671E587C" w:rsidR="004647B9" w:rsidRPr="00A97B59" w:rsidRDefault="00E2436F" w:rsidP="00563A54">
      <w:pPr>
        <w:numPr>
          <w:ilvl w:val="0"/>
          <w:numId w:val="156"/>
        </w:numPr>
        <w:tabs>
          <w:tab w:val="left" w:pos="2575"/>
        </w:tabs>
        <w:ind w:left="2280" w:hanging="5"/>
        <w:jc w:val="both"/>
        <w:rPr>
          <w:rFonts w:eastAsia="Times New Roman"/>
          <w:sz w:val="24"/>
          <w:szCs w:val="24"/>
        </w:rPr>
      </w:pPr>
      <w:r w:rsidRPr="00A97B59">
        <w:rPr>
          <w:rFonts w:eastAsia="Times New Roman"/>
          <w:sz w:val="24"/>
          <w:szCs w:val="24"/>
        </w:rPr>
        <w:t>Any water system deemed to have optimized corrosion control in accordance with 310 CMR 22.06B(2)(b)3. shall continue monitoring for lead and copper at the tap no less frequently than once every three calendar years using the reduced number of sites specified in 310 CMR 22.06B(7)(c) and collecting the samples at times and locations specified in 310 CMR 22.06B(7)(d)4.d. Any such system that has not conducted a round of monitoring pursuant to 310 CMR 22.06(B)(7)(d) since September 30, 1997, shall complete a round of monitoring pursuant to 310 CMR 22.06B(2)(b)3.b. no later than September 30, 2000.</w:t>
      </w:r>
    </w:p>
    <w:p w14:paraId="2819DF1A" w14:textId="77777777" w:rsidR="004647B9" w:rsidRDefault="004647B9">
      <w:pPr>
        <w:sectPr w:rsidR="004647B9" w:rsidSect="00EF630C">
          <w:pgSz w:w="12240" w:h="20180"/>
          <w:pgMar w:top="708" w:right="1440" w:bottom="1440" w:left="600" w:header="0" w:footer="0" w:gutter="0"/>
          <w:cols w:space="720" w:equalWidth="0">
            <w:col w:w="10200"/>
          </w:cols>
        </w:sectPr>
      </w:pPr>
    </w:p>
    <w:p w14:paraId="2819DF1B" w14:textId="77777777" w:rsidR="004647B9" w:rsidRDefault="00E2436F">
      <w:pPr>
        <w:tabs>
          <w:tab w:val="left" w:pos="160"/>
        </w:tabs>
        <w:jc w:val="center"/>
        <w:rPr>
          <w:sz w:val="20"/>
          <w:szCs w:val="20"/>
        </w:rPr>
      </w:pPr>
      <w:bookmarkStart w:id="63" w:name="page64"/>
      <w:bookmarkEnd w:id="6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F1C" w14:textId="77777777" w:rsidR="004647B9" w:rsidRDefault="004647B9" w:rsidP="001560E4">
      <w:pPr>
        <w:rPr>
          <w:sz w:val="20"/>
          <w:szCs w:val="20"/>
        </w:rPr>
      </w:pPr>
    </w:p>
    <w:p w14:paraId="2819DF1D" w14:textId="77777777" w:rsidR="004647B9" w:rsidRDefault="004647B9" w:rsidP="001560E4">
      <w:pPr>
        <w:rPr>
          <w:sz w:val="20"/>
          <w:szCs w:val="20"/>
        </w:rPr>
      </w:pPr>
    </w:p>
    <w:p w14:paraId="2819DF1E"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DF1F" w14:textId="77777777" w:rsidR="004647B9" w:rsidRDefault="004647B9" w:rsidP="001560E4">
      <w:pPr>
        <w:rPr>
          <w:sz w:val="20"/>
          <w:szCs w:val="20"/>
        </w:rPr>
      </w:pPr>
    </w:p>
    <w:p w14:paraId="2819DF22" w14:textId="73347DA0" w:rsidR="004647B9" w:rsidRPr="00837105" w:rsidRDefault="00E2436F" w:rsidP="00563A54">
      <w:pPr>
        <w:numPr>
          <w:ilvl w:val="2"/>
          <w:numId w:val="157"/>
        </w:numPr>
        <w:tabs>
          <w:tab w:val="left" w:pos="2610"/>
        </w:tabs>
        <w:ind w:left="2280"/>
        <w:rPr>
          <w:rFonts w:eastAsia="Times New Roman"/>
          <w:sz w:val="24"/>
          <w:szCs w:val="24"/>
        </w:rPr>
      </w:pPr>
      <w:r w:rsidRPr="00837105">
        <w:rPr>
          <w:rFonts w:eastAsia="Times New Roman"/>
          <w:sz w:val="24"/>
          <w:szCs w:val="24"/>
        </w:rPr>
        <w:t>Any water system deemed to have optimized corrosion control pursuant to</w:t>
      </w:r>
      <w:r w:rsidR="00837105">
        <w:rPr>
          <w:rFonts w:eastAsia="Times New Roman"/>
          <w:sz w:val="24"/>
          <w:szCs w:val="24"/>
        </w:rPr>
        <w:t xml:space="preserve"> </w:t>
      </w:r>
      <w:r w:rsidRPr="00837105">
        <w:rPr>
          <w:rFonts w:eastAsia="Times New Roman"/>
          <w:sz w:val="24"/>
          <w:szCs w:val="24"/>
        </w:rPr>
        <w:t>310 CMR 22.06B(2)(b)3.c. shall notify the Department in writing pursuant to 310 CMR 22.06(B)(11)(a)3. of any upcoming long-term change in treatment or the addition of a new source as described in 310 CMR 22.06B(11)(a)3. The Department must review and approve the addition of a new source or long-term change in water treatment before it is implemented by the water system. The Department may require any such system to conduct additional monitoring or to take other action the Department deems appropriate to ensure that such systems maintain minimal levels of corrosion in the distribution system.</w:t>
      </w:r>
    </w:p>
    <w:p w14:paraId="2819DF24" w14:textId="7076473F" w:rsidR="004647B9" w:rsidRPr="00837105" w:rsidRDefault="00E2436F" w:rsidP="00563A54">
      <w:pPr>
        <w:numPr>
          <w:ilvl w:val="2"/>
          <w:numId w:val="157"/>
        </w:numPr>
        <w:tabs>
          <w:tab w:val="left" w:pos="2618"/>
        </w:tabs>
        <w:spacing w:line="253" w:lineRule="auto"/>
        <w:ind w:left="2280" w:hanging="5"/>
        <w:jc w:val="both"/>
        <w:rPr>
          <w:rFonts w:eastAsia="Times New Roman"/>
          <w:sz w:val="24"/>
          <w:szCs w:val="24"/>
        </w:rPr>
      </w:pPr>
      <w:r w:rsidRPr="00837105">
        <w:rPr>
          <w:rFonts w:eastAsia="Times New Roman"/>
          <w:sz w:val="24"/>
          <w:szCs w:val="24"/>
        </w:rPr>
        <w:t>As of July 12, 2001, a system is not deemed to have optimized corrosion control under 310 CMR 22.06B(2)(b)3.d., and shall install corrosion control treatment pursuant to 310 CMR 22.06B(2)(b)3.e. unless it meets the copper action level.</w:t>
      </w:r>
    </w:p>
    <w:p w14:paraId="2819DF26" w14:textId="18D03161" w:rsidR="004647B9" w:rsidRPr="00837105" w:rsidRDefault="00E2436F" w:rsidP="00563A54">
      <w:pPr>
        <w:numPr>
          <w:ilvl w:val="2"/>
          <w:numId w:val="157"/>
        </w:numPr>
        <w:tabs>
          <w:tab w:val="left" w:pos="2656"/>
        </w:tabs>
        <w:spacing w:line="243" w:lineRule="auto"/>
        <w:ind w:left="2280" w:hanging="5"/>
        <w:jc w:val="both"/>
        <w:rPr>
          <w:rFonts w:eastAsia="Times New Roman"/>
          <w:sz w:val="24"/>
          <w:szCs w:val="24"/>
        </w:rPr>
      </w:pPr>
      <w:r w:rsidRPr="00837105">
        <w:rPr>
          <w:rFonts w:eastAsia="Times New Roman"/>
          <w:sz w:val="24"/>
          <w:szCs w:val="24"/>
        </w:rPr>
        <w:t>Any system triggered into corrosion control because it is no longer deemed to have optimized corrosion control under 310 CMR 22.06B(2)(b)3.e. shall implement corrosion control treatment in accordance with the deadlines in 310 CMR 22.06B(2)(e). Any such large system shall adhere to the schedule specified in 310 CMR 22.06B(2)(e) for medium-size systems, with the time periods for completing each step being triggered by the date the system is no longer deemed to have optimized corrosion control under 310 CMR 22.06B(2)(b)3.e.</w:t>
      </w:r>
    </w:p>
    <w:p w14:paraId="2819DF28" w14:textId="77777777" w:rsidR="004647B9" w:rsidRDefault="00E2436F" w:rsidP="00563A54">
      <w:pPr>
        <w:numPr>
          <w:ilvl w:val="0"/>
          <w:numId w:val="158"/>
        </w:numPr>
        <w:tabs>
          <w:tab w:val="left" w:pos="2069"/>
        </w:tabs>
        <w:spacing w:line="243" w:lineRule="auto"/>
        <w:ind w:left="1560" w:hanging="5"/>
        <w:jc w:val="both"/>
        <w:rPr>
          <w:rFonts w:eastAsia="Times New Roman"/>
          <w:sz w:val="24"/>
          <w:szCs w:val="24"/>
        </w:rPr>
      </w:pPr>
      <w:r w:rsidRPr="00837105">
        <w:rPr>
          <w:rFonts w:eastAsia="Times New Roman"/>
          <w:sz w:val="24"/>
          <w:szCs w:val="24"/>
        </w:rPr>
        <w:t>Any small or medium-size water system that is required to complete the corrosion control steps due to its exceedance of the lead or copper action level may cease completing the treatment steps whenever the system meets both action levels during each of two consecutive monitoring periods conducted pursuant to 310 CMR 22.06B(7) and submits the results to the Department. If any such water system thereafter exceeds the lead or copper action level during any monitoring period, the system (or the Department, as the case may be) shall recommence completion of the applicable treatment steps, beginning with the first treatment step which was not previously completed in its entirety. The Department may require a system to repeat treatment steps previously completed by the system where the Department determines that this is necessary to implement properly the treatment requirements of 310 CMR 22.06B. The Department shall notify the system in writing of such a determination and explain the basis for its decision. The requirement for any small or medium size system to implement corrosion control treatment steps in accordance with 310 CMR 22.06(B)(2)(e) (including systems deemed to have optimized corrosion control under 310 CMR 22.06B(2)(b)l.) is triggered whenever any small-or medium-sized system</w:t>
      </w:r>
      <w:r>
        <w:rPr>
          <w:rFonts w:eastAsia="Times New Roman"/>
          <w:sz w:val="24"/>
          <w:szCs w:val="24"/>
        </w:rPr>
        <w:t xml:space="preserve"> exceeds the lead or copper action level.</w:t>
      </w:r>
    </w:p>
    <w:p w14:paraId="2819DF2A" w14:textId="77777777" w:rsidR="004647B9" w:rsidRDefault="00E2436F" w:rsidP="00563A54">
      <w:pPr>
        <w:numPr>
          <w:ilvl w:val="0"/>
          <w:numId w:val="158"/>
        </w:numPr>
        <w:tabs>
          <w:tab w:val="left" w:pos="2042"/>
        </w:tabs>
        <w:spacing w:line="243" w:lineRule="auto"/>
        <w:ind w:left="1560" w:hanging="5"/>
        <w:jc w:val="both"/>
        <w:rPr>
          <w:rFonts w:eastAsia="Times New Roman"/>
          <w:sz w:val="24"/>
          <w:szCs w:val="24"/>
        </w:rPr>
      </w:pPr>
      <w:r>
        <w:rPr>
          <w:rFonts w:eastAsia="Times New Roman"/>
          <w:sz w:val="24"/>
          <w:szCs w:val="24"/>
          <w:u w:val="single"/>
        </w:rPr>
        <w:t>Treatment Steps and Deadlines for Large Systems</w:t>
      </w:r>
      <w:r>
        <w:rPr>
          <w:rFonts w:eastAsia="Times New Roman"/>
          <w:sz w:val="24"/>
          <w:szCs w:val="24"/>
        </w:rPr>
        <w:t>. Except as provided in 310 CMR 22.06B(2)(b)2. and 3., large systems shall complete the following corrosion control treatment steps (described in the referenced portions of 310 CMR 22.06B(3), (7), and (8)) by the indicated dates.</w:t>
      </w:r>
    </w:p>
    <w:p w14:paraId="2819DF2B" w14:textId="77777777" w:rsidR="004647B9" w:rsidRDefault="00E2436F" w:rsidP="00563A54">
      <w:pPr>
        <w:numPr>
          <w:ilvl w:val="1"/>
          <w:numId w:val="158"/>
        </w:numPr>
        <w:tabs>
          <w:tab w:val="left" w:pos="2378"/>
        </w:tabs>
        <w:spacing w:line="242" w:lineRule="auto"/>
        <w:ind w:left="1920" w:hanging="5"/>
        <w:jc w:val="both"/>
        <w:rPr>
          <w:rFonts w:eastAsia="Times New Roman"/>
          <w:sz w:val="24"/>
          <w:szCs w:val="24"/>
        </w:rPr>
      </w:pPr>
      <w:r>
        <w:rPr>
          <w:rFonts w:eastAsia="Times New Roman"/>
          <w:sz w:val="24"/>
          <w:szCs w:val="24"/>
          <w:u w:val="single"/>
        </w:rPr>
        <w:t>Step 1</w:t>
      </w:r>
      <w:r>
        <w:rPr>
          <w:rFonts w:eastAsia="Times New Roman"/>
          <w:sz w:val="24"/>
          <w:szCs w:val="24"/>
        </w:rPr>
        <w:t>: The system shall conduct initial monitoring as specified in 310 CMR 22.06B(7)(d)1. and (8)(b) during two consecutive six-month monitoring periods by January 1, 1993.</w:t>
      </w:r>
    </w:p>
    <w:p w14:paraId="2819DF2D" w14:textId="77777777" w:rsidR="004647B9" w:rsidRDefault="00E2436F" w:rsidP="00563A54">
      <w:pPr>
        <w:numPr>
          <w:ilvl w:val="1"/>
          <w:numId w:val="158"/>
        </w:numPr>
        <w:tabs>
          <w:tab w:val="left" w:pos="2215"/>
        </w:tabs>
        <w:spacing w:line="243" w:lineRule="auto"/>
        <w:ind w:left="1920" w:hanging="5"/>
        <w:rPr>
          <w:rFonts w:eastAsia="Times New Roman"/>
          <w:sz w:val="24"/>
          <w:szCs w:val="24"/>
        </w:rPr>
      </w:pPr>
      <w:r>
        <w:rPr>
          <w:rFonts w:eastAsia="Times New Roman"/>
          <w:sz w:val="24"/>
          <w:szCs w:val="24"/>
          <w:u w:val="single"/>
        </w:rPr>
        <w:t>Step 2</w:t>
      </w:r>
      <w:r>
        <w:rPr>
          <w:rFonts w:eastAsia="Times New Roman"/>
          <w:sz w:val="24"/>
          <w:szCs w:val="24"/>
        </w:rPr>
        <w:t>: The system shall complete corrosion control studies (310 CMR 22.06B(3)(c)) by July 1, 1994.</w:t>
      </w:r>
    </w:p>
    <w:p w14:paraId="2819DF2E" w14:textId="77777777" w:rsidR="004647B9" w:rsidRDefault="00E2436F" w:rsidP="00563A54">
      <w:pPr>
        <w:numPr>
          <w:ilvl w:val="1"/>
          <w:numId w:val="158"/>
        </w:numPr>
        <w:tabs>
          <w:tab w:val="left" w:pos="2420"/>
        </w:tabs>
        <w:ind w:left="2420" w:hanging="505"/>
        <w:rPr>
          <w:rFonts w:eastAsia="Times New Roman"/>
          <w:sz w:val="24"/>
          <w:szCs w:val="24"/>
        </w:rPr>
      </w:pPr>
      <w:r>
        <w:rPr>
          <w:rFonts w:eastAsia="Times New Roman"/>
          <w:sz w:val="24"/>
          <w:szCs w:val="24"/>
          <w:u w:val="single"/>
        </w:rPr>
        <w:t>Step 3</w:t>
      </w:r>
      <w:r>
        <w:rPr>
          <w:rFonts w:eastAsia="Times New Roman"/>
          <w:sz w:val="24"/>
          <w:szCs w:val="24"/>
        </w:rPr>
        <w:t>:  The Department shall designate optimal corrosion control treatment</w:t>
      </w:r>
    </w:p>
    <w:p w14:paraId="2819DF30" w14:textId="77777777" w:rsidR="004647B9" w:rsidRDefault="00E2436F">
      <w:pPr>
        <w:ind w:left="1920"/>
        <w:rPr>
          <w:rFonts w:eastAsia="Times New Roman"/>
          <w:sz w:val="24"/>
          <w:szCs w:val="24"/>
        </w:rPr>
      </w:pPr>
      <w:r>
        <w:rPr>
          <w:rFonts w:eastAsia="Times New Roman"/>
          <w:sz w:val="24"/>
          <w:szCs w:val="24"/>
        </w:rPr>
        <w:t>(310 CMR 22.06B(3)(d)) by January 1, 1995.</w:t>
      </w:r>
    </w:p>
    <w:p w14:paraId="2819DF32" w14:textId="77777777" w:rsidR="004647B9" w:rsidRDefault="00E2436F" w:rsidP="00563A54">
      <w:pPr>
        <w:numPr>
          <w:ilvl w:val="1"/>
          <w:numId w:val="158"/>
        </w:numPr>
        <w:tabs>
          <w:tab w:val="left" w:pos="2338"/>
        </w:tabs>
        <w:spacing w:line="243" w:lineRule="auto"/>
        <w:ind w:left="1920" w:hanging="5"/>
        <w:rPr>
          <w:rFonts w:eastAsia="Times New Roman"/>
          <w:sz w:val="24"/>
          <w:szCs w:val="24"/>
        </w:rPr>
      </w:pPr>
      <w:r>
        <w:rPr>
          <w:rFonts w:eastAsia="Times New Roman"/>
          <w:sz w:val="24"/>
          <w:szCs w:val="24"/>
          <w:u w:val="single"/>
        </w:rPr>
        <w:t>Step 4</w:t>
      </w:r>
      <w:r>
        <w:rPr>
          <w:rFonts w:eastAsia="Times New Roman"/>
          <w:sz w:val="24"/>
          <w:szCs w:val="24"/>
        </w:rPr>
        <w:t>: The system shall install optimal corrosion control treatment (310 CMR 22.06B(3)(e)) by January 1, 1997.</w:t>
      </w:r>
    </w:p>
    <w:p w14:paraId="2819DF33" w14:textId="77777777" w:rsidR="004647B9" w:rsidRDefault="00E2436F" w:rsidP="00563A54">
      <w:pPr>
        <w:numPr>
          <w:ilvl w:val="1"/>
          <w:numId w:val="158"/>
        </w:numPr>
        <w:tabs>
          <w:tab w:val="left" w:pos="2287"/>
        </w:tabs>
        <w:spacing w:line="243" w:lineRule="auto"/>
        <w:ind w:left="1920" w:hanging="5"/>
        <w:rPr>
          <w:rFonts w:eastAsia="Times New Roman"/>
          <w:sz w:val="24"/>
          <w:szCs w:val="24"/>
        </w:rPr>
      </w:pPr>
      <w:r>
        <w:rPr>
          <w:rFonts w:eastAsia="Times New Roman"/>
          <w:sz w:val="24"/>
          <w:szCs w:val="24"/>
          <w:u w:val="single"/>
        </w:rPr>
        <w:t>Step 5</w:t>
      </w:r>
      <w:r>
        <w:rPr>
          <w:rFonts w:eastAsia="Times New Roman"/>
          <w:sz w:val="24"/>
          <w:szCs w:val="24"/>
        </w:rPr>
        <w:t>: The system shall complete follow-up sampling (310 CMR 22.06B(7)(d)2. and (8)(c)) by January 1, 1998.</w:t>
      </w:r>
    </w:p>
    <w:p w14:paraId="2819DF34" w14:textId="77777777" w:rsidR="004647B9" w:rsidRDefault="00E2436F" w:rsidP="00563A54">
      <w:pPr>
        <w:numPr>
          <w:ilvl w:val="1"/>
          <w:numId w:val="158"/>
        </w:numPr>
        <w:tabs>
          <w:tab w:val="left" w:pos="2244"/>
        </w:tabs>
        <w:spacing w:line="243" w:lineRule="auto"/>
        <w:ind w:left="1920" w:hanging="5"/>
        <w:rPr>
          <w:rFonts w:eastAsia="Times New Roman"/>
          <w:sz w:val="24"/>
          <w:szCs w:val="24"/>
        </w:rPr>
      </w:pPr>
      <w:r>
        <w:rPr>
          <w:rFonts w:eastAsia="Times New Roman"/>
          <w:sz w:val="24"/>
          <w:szCs w:val="24"/>
          <w:u w:val="single"/>
        </w:rPr>
        <w:t>Step 6</w:t>
      </w:r>
      <w:r>
        <w:rPr>
          <w:rFonts w:eastAsia="Times New Roman"/>
          <w:sz w:val="24"/>
          <w:szCs w:val="24"/>
        </w:rPr>
        <w:t>: The Department shall review installation of treatment and designate optimal water quality control parameters (310 CMR 22.06B(3)(f)) by July 1, 1998.</w:t>
      </w:r>
    </w:p>
    <w:p w14:paraId="2819DF35" w14:textId="77777777" w:rsidR="004647B9" w:rsidRDefault="00E2436F" w:rsidP="00563A54">
      <w:pPr>
        <w:numPr>
          <w:ilvl w:val="1"/>
          <w:numId w:val="158"/>
        </w:numPr>
        <w:tabs>
          <w:tab w:val="left" w:pos="2359"/>
        </w:tabs>
        <w:spacing w:line="245" w:lineRule="auto"/>
        <w:ind w:left="1920" w:hanging="5"/>
        <w:jc w:val="both"/>
        <w:rPr>
          <w:rFonts w:eastAsia="Times New Roman"/>
          <w:sz w:val="24"/>
          <w:szCs w:val="24"/>
        </w:rPr>
      </w:pPr>
      <w:r>
        <w:rPr>
          <w:rFonts w:eastAsia="Times New Roman"/>
          <w:sz w:val="24"/>
          <w:szCs w:val="24"/>
          <w:u w:val="single"/>
        </w:rPr>
        <w:t>Step 7</w:t>
      </w:r>
      <w:r>
        <w:rPr>
          <w:rFonts w:eastAsia="Times New Roman"/>
          <w:sz w:val="24"/>
          <w:szCs w:val="24"/>
        </w:rPr>
        <w:t>: The system shall operate in compliance with the Department-specified optimal water quality control parameters (310 CMR 22.06B(3)(g)) and continue to conduct tap sampling (310 CMR 22.06B(7)(d)3. and (8)(d)).</w:t>
      </w:r>
    </w:p>
    <w:p w14:paraId="2819DF36" w14:textId="77777777" w:rsidR="004647B9" w:rsidRDefault="004647B9">
      <w:pPr>
        <w:sectPr w:rsidR="004647B9" w:rsidSect="00EF630C">
          <w:pgSz w:w="12240" w:h="20180"/>
          <w:pgMar w:top="708" w:right="1440" w:bottom="1440" w:left="600" w:header="0" w:footer="0" w:gutter="0"/>
          <w:cols w:space="720" w:equalWidth="0">
            <w:col w:w="10200"/>
          </w:cols>
        </w:sectPr>
      </w:pPr>
    </w:p>
    <w:p w14:paraId="2819DF37" w14:textId="77777777" w:rsidR="004647B9" w:rsidRDefault="00E2436F">
      <w:pPr>
        <w:tabs>
          <w:tab w:val="left" w:pos="160"/>
        </w:tabs>
        <w:jc w:val="center"/>
        <w:rPr>
          <w:sz w:val="20"/>
          <w:szCs w:val="20"/>
        </w:rPr>
      </w:pPr>
      <w:bookmarkStart w:id="64" w:name="page65"/>
      <w:bookmarkEnd w:id="6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F38" w14:textId="77777777" w:rsidR="004647B9" w:rsidRDefault="004647B9" w:rsidP="0080634F">
      <w:pPr>
        <w:rPr>
          <w:sz w:val="20"/>
          <w:szCs w:val="20"/>
        </w:rPr>
      </w:pPr>
    </w:p>
    <w:p w14:paraId="2819DF39" w14:textId="77777777" w:rsidR="004647B9" w:rsidRDefault="004647B9" w:rsidP="0080634F">
      <w:pPr>
        <w:rPr>
          <w:sz w:val="20"/>
          <w:szCs w:val="20"/>
        </w:rPr>
      </w:pPr>
    </w:p>
    <w:p w14:paraId="2819DF3A"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DF3B" w14:textId="77777777" w:rsidR="004647B9" w:rsidRDefault="004647B9" w:rsidP="0080634F">
      <w:pPr>
        <w:rPr>
          <w:sz w:val="20"/>
          <w:szCs w:val="20"/>
        </w:rPr>
      </w:pPr>
    </w:p>
    <w:p w14:paraId="2819DF3C" w14:textId="77777777" w:rsidR="004647B9" w:rsidRPr="00584957" w:rsidRDefault="00E2436F" w:rsidP="00563A54">
      <w:pPr>
        <w:numPr>
          <w:ilvl w:val="1"/>
          <w:numId w:val="159"/>
        </w:numPr>
        <w:tabs>
          <w:tab w:val="left" w:pos="2119"/>
        </w:tabs>
        <w:spacing w:line="250" w:lineRule="auto"/>
        <w:ind w:left="1560" w:hanging="5"/>
        <w:jc w:val="both"/>
        <w:rPr>
          <w:rFonts w:eastAsia="Times New Roman"/>
          <w:sz w:val="24"/>
          <w:szCs w:val="24"/>
        </w:rPr>
      </w:pPr>
      <w:r w:rsidRPr="00584957">
        <w:rPr>
          <w:rFonts w:eastAsia="Times New Roman"/>
          <w:sz w:val="24"/>
          <w:szCs w:val="24"/>
          <w:u w:val="single"/>
        </w:rPr>
        <w:t>Treatment Steps and Deadlines for Small and Medium-size Systems</w:t>
      </w:r>
      <w:r w:rsidRPr="00584957">
        <w:rPr>
          <w:rFonts w:eastAsia="Times New Roman"/>
          <w:sz w:val="24"/>
          <w:szCs w:val="24"/>
        </w:rPr>
        <w:t>. Except as provided in 310 CMR 22.06B(2)(b), small and medium-size systems shall complete the following corrosion control treatment steps (described in the referenced portions of 310 CMR 22.06B(3), (7) and (8)) by the indicated time periods.</w:t>
      </w:r>
    </w:p>
    <w:p w14:paraId="2819DF3F" w14:textId="3D648023" w:rsidR="004647B9" w:rsidRPr="00584957" w:rsidRDefault="00E2436F" w:rsidP="00563A54">
      <w:pPr>
        <w:numPr>
          <w:ilvl w:val="2"/>
          <w:numId w:val="159"/>
        </w:numPr>
        <w:tabs>
          <w:tab w:val="left" w:pos="2240"/>
        </w:tabs>
        <w:ind w:left="1920" w:hanging="5"/>
        <w:rPr>
          <w:rFonts w:eastAsia="Times New Roman"/>
          <w:sz w:val="24"/>
          <w:szCs w:val="24"/>
        </w:rPr>
      </w:pPr>
      <w:r w:rsidRPr="00584957">
        <w:rPr>
          <w:rFonts w:eastAsia="Times New Roman"/>
          <w:sz w:val="24"/>
          <w:szCs w:val="24"/>
          <w:u w:val="single"/>
        </w:rPr>
        <w:t>Step 1</w:t>
      </w:r>
      <w:r w:rsidRPr="00584957">
        <w:rPr>
          <w:rFonts w:eastAsia="Times New Roman"/>
          <w:sz w:val="24"/>
          <w:szCs w:val="24"/>
        </w:rPr>
        <w:t xml:space="preserve">: The system shall conduct initial tap sampling (310 CMR 22.06B(7)(d)1. </w:t>
      </w:r>
      <w:r w:rsidR="00550618">
        <w:rPr>
          <w:rFonts w:eastAsia="Times New Roman"/>
          <w:sz w:val="24"/>
          <w:szCs w:val="24"/>
        </w:rPr>
        <w:t>a</w:t>
      </w:r>
      <w:r w:rsidRPr="00584957">
        <w:rPr>
          <w:rFonts w:eastAsia="Times New Roman"/>
          <w:sz w:val="24"/>
          <w:szCs w:val="24"/>
        </w:rPr>
        <w:t>nd</w:t>
      </w:r>
      <w:r w:rsidR="00584957">
        <w:rPr>
          <w:rFonts w:eastAsia="Times New Roman"/>
          <w:sz w:val="24"/>
          <w:szCs w:val="24"/>
        </w:rPr>
        <w:t xml:space="preserve"> 310 </w:t>
      </w:r>
      <w:r w:rsidRPr="00584957">
        <w:rPr>
          <w:rFonts w:eastAsia="Times New Roman"/>
          <w:sz w:val="24"/>
          <w:szCs w:val="24"/>
        </w:rPr>
        <w:t>CMR 22.06B(8)(b)) until the system either exceeds the lead or copper action level or becomes eligible for reduced monitoring under 310 CMR 22.06B(7)(d)4. A system exceeding the lead or copper action level shall recommend optimal corrosion control treatment (310 CMR 22.06B(3)(a)) within six months after the end of the monitoring period during which it exceeds one of the action levels.</w:t>
      </w:r>
    </w:p>
    <w:p w14:paraId="2819DF41" w14:textId="77777777" w:rsidR="004647B9" w:rsidRPr="00584957" w:rsidRDefault="00E2436F" w:rsidP="00563A54">
      <w:pPr>
        <w:numPr>
          <w:ilvl w:val="2"/>
          <w:numId w:val="160"/>
        </w:numPr>
        <w:tabs>
          <w:tab w:val="left" w:pos="2230"/>
        </w:tabs>
        <w:spacing w:line="253" w:lineRule="auto"/>
        <w:ind w:left="1920" w:hanging="5"/>
        <w:jc w:val="both"/>
        <w:rPr>
          <w:rFonts w:eastAsia="Times New Roman"/>
          <w:sz w:val="24"/>
          <w:szCs w:val="24"/>
        </w:rPr>
      </w:pPr>
      <w:r w:rsidRPr="00584957">
        <w:rPr>
          <w:rFonts w:eastAsia="Times New Roman"/>
          <w:sz w:val="24"/>
          <w:szCs w:val="24"/>
          <w:u w:val="single"/>
        </w:rPr>
        <w:t>Step 2</w:t>
      </w:r>
      <w:r w:rsidRPr="00584957">
        <w:rPr>
          <w:rFonts w:eastAsia="Times New Roman"/>
          <w:sz w:val="24"/>
          <w:szCs w:val="24"/>
        </w:rPr>
        <w:t>: Within 12 months after the end of a monitoring period during which a system exceeds the lead or copper action level, the Department may require the system to perform corrosion control studies (310 CMR 22.06B(3)(b)). If the Department does not require the system to perform such studies, the Department shall specify optimal corrosion control treatment (310 CMR 22.06B(3)(d)) within the following timeframes:</w:t>
      </w:r>
    </w:p>
    <w:p w14:paraId="2819DF43" w14:textId="77777777" w:rsidR="004647B9" w:rsidRPr="00584957" w:rsidRDefault="00E2436F" w:rsidP="00563A54">
      <w:pPr>
        <w:numPr>
          <w:ilvl w:val="3"/>
          <w:numId w:val="160"/>
        </w:numPr>
        <w:tabs>
          <w:tab w:val="left" w:pos="2569"/>
        </w:tabs>
        <w:spacing w:line="243" w:lineRule="auto"/>
        <w:ind w:left="2280" w:hanging="5"/>
        <w:rPr>
          <w:rFonts w:eastAsia="Times New Roman"/>
          <w:sz w:val="24"/>
          <w:szCs w:val="24"/>
        </w:rPr>
      </w:pPr>
      <w:r w:rsidRPr="00584957">
        <w:rPr>
          <w:rFonts w:eastAsia="Times New Roman"/>
          <w:sz w:val="24"/>
          <w:szCs w:val="24"/>
        </w:rPr>
        <w:t>for medium-size systems, within 18 months after the end of the monitoring period during which such system exceeds the lead or copper action level;</w:t>
      </w:r>
    </w:p>
    <w:p w14:paraId="2819DF44" w14:textId="77777777" w:rsidR="004647B9" w:rsidRPr="00584957" w:rsidRDefault="00E2436F" w:rsidP="00563A54">
      <w:pPr>
        <w:numPr>
          <w:ilvl w:val="3"/>
          <w:numId w:val="160"/>
        </w:numPr>
        <w:tabs>
          <w:tab w:val="left" w:pos="2590"/>
        </w:tabs>
        <w:spacing w:line="243" w:lineRule="auto"/>
        <w:ind w:left="2280" w:hanging="5"/>
        <w:rPr>
          <w:rFonts w:eastAsia="Times New Roman"/>
          <w:sz w:val="24"/>
          <w:szCs w:val="24"/>
        </w:rPr>
      </w:pPr>
      <w:r w:rsidRPr="00584957">
        <w:rPr>
          <w:rFonts w:eastAsia="Times New Roman"/>
          <w:sz w:val="24"/>
          <w:szCs w:val="24"/>
        </w:rPr>
        <w:t>for small systems, within 24 months after the end of the monitoring period during which such system exceeds the lead or copper action level.</w:t>
      </w:r>
    </w:p>
    <w:p w14:paraId="2819DF45" w14:textId="77777777" w:rsidR="004647B9" w:rsidRPr="00584957" w:rsidRDefault="00E2436F" w:rsidP="00563A54">
      <w:pPr>
        <w:numPr>
          <w:ilvl w:val="2"/>
          <w:numId w:val="160"/>
        </w:numPr>
        <w:tabs>
          <w:tab w:val="left" w:pos="2316"/>
        </w:tabs>
        <w:spacing w:line="242" w:lineRule="auto"/>
        <w:ind w:left="1920" w:hanging="5"/>
        <w:jc w:val="both"/>
        <w:rPr>
          <w:rFonts w:eastAsia="Times New Roman"/>
          <w:sz w:val="24"/>
          <w:szCs w:val="24"/>
        </w:rPr>
      </w:pPr>
      <w:r w:rsidRPr="00584957">
        <w:rPr>
          <w:rFonts w:eastAsia="Times New Roman"/>
          <w:sz w:val="24"/>
          <w:szCs w:val="24"/>
          <w:u w:val="single"/>
        </w:rPr>
        <w:t>Step 3</w:t>
      </w:r>
      <w:r w:rsidRPr="00584957">
        <w:rPr>
          <w:rFonts w:eastAsia="Times New Roman"/>
          <w:sz w:val="24"/>
          <w:szCs w:val="24"/>
        </w:rPr>
        <w:t>: If the Department requires a system to perform corrosion control studies under step 2, the system shall complete the studies (310 CMR 22.06B(3)(c)) within 18 months after the Department requires that such studies be conducted.</w:t>
      </w:r>
    </w:p>
    <w:p w14:paraId="2819DF47" w14:textId="77777777" w:rsidR="004647B9" w:rsidRPr="00584957" w:rsidRDefault="00E2436F" w:rsidP="00563A54">
      <w:pPr>
        <w:numPr>
          <w:ilvl w:val="2"/>
          <w:numId w:val="160"/>
        </w:numPr>
        <w:tabs>
          <w:tab w:val="left" w:pos="2345"/>
        </w:tabs>
        <w:spacing w:line="243" w:lineRule="auto"/>
        <w:ind w:left="1920" w:hanging="5"/>
        <w:jc w:val="both"/>
        <w:rPr>
          <w:rFonts w:eastAsia="Times New Roman"/>
          <w:sz w:val="24"/>
          <w:szCs w:val="24"/>
        </w:rPr>
      </w:pPr>
      <w:r w:rsidRPr="00584957">
        <w:rPr>
          <w:rFonts w:eastAsia="Times New Roman"/>
          <w:sz w:val="24"/>
          <w:szCs w:val="24"/>
          <w:u w:val="single"/>
        </w:rPr>
        <w:t>Step 4</w:t>
      </w:r>
      <w:r w:rsidRPr="00584957">
        <w:rPr>
          <w:rFonts w:eastAsia="Times New Roman"/>
          <w:sz w:val="24"/>
          <w:szCs w:val="24"/>
        </w:rPr>
        <w:t>: If the system has performed corrosion control studies under step 2, the Department shall designate optimal corrosion control treatment (310 CMR 22.06B(3)(d)) within six months after completion of step 3.</w:t>
      </w:r>
    </w:p>
    <w:p w14:paraId="2819DF49" w14:textId="77777777" w:rsidR="004647B9" w:rsidRPr="00584957" w:rsidRDefault="00E2436F" w:rsidP="00563A54">
      <w:pPr>
        <w:numPr>
          <w:ilvl w:val="2"/>
          <w:numId w:val="160"/>
        </w:numPr>
        <w:tabs>
          <w:tab w:val="left" w:pos="2340"/>
        </w:tabs>
        <w:ind w:left="2340" w:hanging="425"/>
        <w:rPr>
          <w:rFonts w:eastAsia="Times New Roman"/>
          <w:sz w:val="24"/>
          <w:szCs w:val="24"/>
        </w:rPr>
      </w:pPr>
      <w:r w:rsidRPr="00584957">
        <w:rPr>
          <w:rFonts w:eastAsia="Times New Roman"/>
          <w:sz w:val="24"/>
          <w:szCs w:val="24"/>
          <w:u w:val="single"/>
        </w:rPr>
        <w:t>Step 5</w:t>
      </w:r>
      <w:r w:rsidRPr="00584957">
        <w:rPr>
          <w:rFonts w:eastAsia="Times New Roman"/>
          <w:sz w:val="24"/>
          <w:szCs w:val="24"/>
        </w:rPr>
        <w:t>:  The system shall install optimal corrosion control treatment (310 CMR</w:t>
      </w:r>
    </w:p>
    <w:p w14:paraId="2819DF4B" w14:textId="77777777" w:rsidR="004647B9" w:rsidRPr="00584957" w:rsidRDefault="00E2436F" w:rsidP="00563A54">
      <w:pPr>
        <w:numPr>
          <w:ilvl w:val="2"/>
          <w:numId w:val="161"/>
        </w:numPr>
        <w:tabs>
          <w:tab w:val="left" w:pos="2220"/>
        </w:tabs>
        <w:ind w:left="2220" w:hanging="305"/>
        <w:rPr>
          <w:rFonts w:eastAsia="Times New Roman"/>
          <w:sz w:val="24"/>
          <w:szCs w:val="24"/>
        </w:rPr>
      </w:pPr>
      <w:r w:rsidRPr="00584957">
        <w:rPr>
          <w:rFonts w:eastAsia="Times New Roman"/>
          <w:sz w:val="24"/>
          <w:szCs w:val="24"/>
        </w:rPr>
        <w:t>06B(3)(e)) within 24 months after the Department designates such treatment.</w:t>
      </w:r>
    </w:p>
    <w:p w14:paraId="2819DF4D" w14:textId="77777777" w:rsidR="004647B9" w:rsidRPr="00550618" w:rsidRDefault="00E2436F" w:rsidP="00563A54">
      <w:pPr>
        <w:numPr>
          <w:ilvl w:val="2"/>
          <w:numId w:val="162"/>
        </w:numPr>
        <w:tabs>
          <w:tab w:val="left" w:pos="2294"/>
        </w:tabs>
        <w:spacing w:line="242" w:lineRule="auto"/>
        <w:ind w:left="1920" w:hanging="5"/>
        <w:jc w:val="both"/>
        <w:rPr>
          <w:rFonts w:eastAsia="Times New Roman"/>
          <w:sz w:val="24"/>
          <w:szCs w:val="24"/>
        </w:rPr>
      </w:pPr>
      <w:r w:rsidRPr="00550618">
        <w:rPr>
          <w:rFonts w:eastAsia="Times New Roman"/>
          <w:sz w:val="24"/>
          <w:szCs w:val="24"/>
          <w:u w:val="single"/>
        </w:rPr>
        <w:t>Step 6</w:t>
      </w:r>
      <w:r w:rsidRPr="00550618">
        <w:rPr>
          <w:rFonts w:eastAsia="Times New Roman"/>
          <w:sz w:val="24"/>
          <w:szCs w:val="24"/>
        </w:rPr>
        <w:t>: The system shall complete follow-up sampling (310 CMR 22.06B(7)(d)2. and 310 CMR 22.06B(8)(c)) within 36 months after the Department designates optimal corrosion control treatment.</w:t>
      </w:r>
    </w:p>
    <w:p w14:paraId="2819DF4F" w14:textId="77777777" w:rsidR="004647B9" w:rsidRPr="00550618" w:rsidRDefault="00E2436F" w:rsidP="00563A54">
      <w:pPr>
        <w:numPr>
          <w:ilvl w:val="2"/>
          <w:numId w:val="162"/>
        </w:numPr>
        <w:tabs>
          <w:tab w:val="left" w:pos="2359"/>
        </w:tabs>
        <w:spacing w:line="243" w:lineRule="auto"/>
        <w:ind w:left="1920" w:hanging="5"/>
        <w:jc w:val="both"/>
        <w:rPr>
          <w:rFonts w:eastAsia="Times New Roman"/>
          <w:sz w:val="24"/>
          <w:szCs w:val="24"/>
        </w:rPr>
      </w:pPr>
      <w:r w:rsidRPr="00550618">
        <w:rPr>
          <w:rFonts w:eastAsia="Times New Roman"/>
          <w:sz w:val="24"/>
          <w:szCs w:val="24"/>
          <w:u w:val="single"/>
        </w:rPr>
        <w:t>Step 7</w:t>
      </w:r>
      <w:r w:rsidRPr="00550618">
        <w:rPr>
          <w:rFonts w:eastAsia="Times New Roman"/>
          <w:sz w:val="24"/>
          <w:szCs w:val="24"/>
        </w:rPr>
        <w:t>: The Department shall review the system's installation of treatment and designate optimal water quality control parameters (310 CMR 22.06B(3)(f)) within six months after completion of step 6.</w:t>
      </w:r>
    </w:p>
    <w:p w14:paraId="2819DF51" w14:textId="77777777" w:rsidR="004647B9" w:rsidRPr="00550618" w:rsidRDefault="00E2436F" w:rsidP="00563A54">
      <w:pPr>
        <w:numPr>
          <w:ilvl w:val="2"/>
          <w:numId w:val="162"/>
        </w:numPr>
        <w:tabs>
          <w:tab w:val="left" w:pos="2323"/>
        </w:tabs>
        <w:spacing w:line="244" w:lineRule="auto"/>
        <w:ind w:left="1920" w:hanging="5"/>
        <w:jc w:val="both"/>
        <w:rPr>
          <w:rFonts w:eastAsia="Times New Roman"/>
          <w:sz w:val="24"/>
          <w:szCs w:val="24"/>
        </w:rPr>
      </w:pPr>
      <w:r w:rsidRPr="00550618">
        <w:rPr>
          <w:rFonts w:eastAsia="Times New Roman"/>
          <w:sz w:val="24"/>
          <w:szCs w:val="24"/>
          <w:u w:val="single"/>
        </w:rPr>
        <w:t>Step 8</w:t>
      </w:r>
      <w:r w:rsidRPr="00550618">
        <w:rPr>
          <w:rFonts w:eastAsia="Times New Roman"/>
          <w:sz w:val="24"/>
          <w:szCs w:val="24"/>
        </w:rPr>
        <w:t>: The system shall operate in compliance with the Department-designated optimal water quality control parameters (310 CMR 22.06B(3)(g)) and continue to conduct tap sampling (310 CMR 22.06B(7)(d)3. and (8)(d)).</w:t>
      </w:r>
    </w:p>
    <w:p w14:paraId="2819DF52" w14:textId="77777777" w:rsidR="004647B9" w:rsidRPr="00550618" w:rsidRDefault="004647B9" w:rsidP="0080634F">
      <w:pPr>
        <w:rPr>
          <w:rFonts w:eastAsia="Times New Roman"/>
          <w:sz w:val="24"/>
          <w:szCs w:val="24"/>
        </w:rPr>
      </w:pPr>
    </w:p>
    <w:p w14:paraId="2819DF53" w14:textId="77777777" w:rsidR="004647B9" w:rsidRPr="00550618" w:rsidRDefault="00E2436F" w:rsidP="00563A54">
      <w:pPr>
        <w:numPr>
          <w:ilvl w:val="0"/>
          <w:numId w:val="163"/>
        </w:numPr>
        <w:tabs>
          <w:tab w:val="left" w:pos="1602"/>
        </w:tabs>
        <w:spacing w:line="252" w:lineRule="auto"/>
        <w:ind w:left="1200"/>
        <w:jc w:val="both"/>
        <w:rPr>
          <w:rFonts w:eastAsia="Times New Roman"/>
          <w:sz w:val="24"/>
          <w:szCs w:val="24"/>
        </w:rPr>
      </w:pPr>
      <w:r w:rsidRPr="00550618">
        <w:rPr>
          <w:rFonts w:eastAsia="Times New Roman"/>
          <w:sz w:val="24"/>
          <w:szCs w:val="24"/>
          <w:u w:val="single"/>
        </w:rPr>
        <w:t>Description of Corrosion Control Treatment Requirements</w:t>
      </w:r>
      <w:r w:rsidRPr="00550618">
        <w:rPr>
          <w:rFonts w:eastAsia="Times New Roman"/>
          <w:sz w:val="24"/>
          <w:szCs w:val="24"/>
        </w:rPr>
        <w:t>. Each system shall complete the corrosion control treatment requirements described in 310 CMR 22.06B(3)(a) through (h) which are applicable to such system under 310 CMR 22.06B(2).</w:t>
      </w:r>
    </w:p>
    <w:p w14:paraId="2819DF55" w14:textId="77777777" w:rsidR="004647B9" w:rsidRPr="00550618" w:rsidRDefault="00E2436F" w:rsidP="00563A54">
      <w:pPr>
        <w:numPr>
          <w:ilvl w:val="1"/>
          <w:numId w:val="163"/>
        </w:numPr>
        <w:tabs>
          <w:tab w:val="left" w:pos="2047"/>
        </w:tabs>
        <w:spacing w:line="243" w:lineRule="auto"/>
        <w:ind w:left="1560" w:hanging="5"/>
        <w:jc w:val="both"/>
        <w:rPr>
          <w:rFonts w:eastAsia="Times New Roman"/>
          <w:sz w:val="24"/>
          <w:szCs w:val="24"/>
        </w:rPr>
      </w:pPr>
      <w:r w:rsidRPr="00550618">
        <w:rPr>
          <w:rFonts w:eastAsia="Times New Roman"/>
          <w:sz w:val="24"/>
          <w:szCs w:val="24"/>
          <w:u w:val="single"/>
        </w:rPr>
        <w:t>System Recommendation Regarding Corrosion Control Treatment</w:t>
      </w:r>
      <w:r w:rsidRPr="00550618">
        <w:rPr>
          <w:rFonts w:eastAsia="Times New Roman"/>
          <w:sz w:val="24"/>
          <w:szCs w:val="24"/>
        </w:rPr>
        <w:t>. Based upon the results of lead and copper tap monitoring and water quality parameter monitoring, small and medium-size water systems exceeding the lead or copper action level shall recommend installation of one or more of the corrosion control treatments listed in 310 CMR 22.06B(3)(c)1. which the system believes constitutes optimal corrosion control for that system. The Department may require the system to conduct additional water quality parameter monitoring in accordance with 310 CMR 22.06B(8)(b) to assist the Department in reviewing the system's recommendation.</w:t>
      </w:r>
    </w:p>
    <w:p w14:paraId="2819DF57" w14:textId="77777777" w:rsidR="004647B9" w:rsidRPr="00550618" w:rsidRDefault="00E2436F" w:rsidP="00563A54">
      <w:pPr>
        <w:numPr>
          <w:ilvl w:val="1"/>
          <w:numId w:val="163"/>
        </w:numPr>
        <w:tabs>
          <w:tab w:val="left" w:pos="2020"/>
        </w:tabs>
        <w:spacing w:line="253" w:lineRule="auto"/>
        <w:ind w:left="1560" w:hanging="5"/>
        <w:jc w:val="both"/>
        <w:rPr>
          <w:rFonts w:eastAsia="Times New Roman"/>
          <w:sz w:val="24"/>
          <w:szCs w:val="24"/>
        </w:rPr>
      </w:pPr>
      <w:r w:rsidRPr="00550618">
        <w:rPr>
          <w:rFonts w:eastAsia="Times New Roman"/>
          <w:sz w:val="24"/>
          <w:szCs w:val="24"/>
          <w:u w:val="single"/>
        </w:rPr>
        <w:t>Department Decision to Require Studies of Corrosion Control Treatment (Applicable to Small and Medium-size Systems)</w:t>
      </w:r>
      <w:r w:rsidRPr="00550618">
        <w:rPr>
          <w:rFonts w:eastAsia="Times New Roman"/>
          <w:sz w:val="24"/>
          <w:szCs w:val="24"/>
        </w:rPr>
        <w:t>. The Department may require any small or medium-size system that exceeds the lead or copper action level to perform corrosion control studies under 310 CMR 22.06B(2)(c) to identify optimal corrosion control treatment for the system.</w:t>
      </w:r>
    </w:p>
    <w:p w14:paraId="2819DF59" w14:textId="77777777" w:rsidR="004647B9" w:rsidRPr="00550618" w:rsidRDefault="00E2436F" w:rsidP="00563A54">
      <w:pPr>
        <w:numPr>
          <w:ilvl w:val="1"/>
          <w:numId w:val="163"/>
        </w:numPr>
        <w:tabs>
          <w:tab w:val="left" w:pos="2000"/>
        </w:tabs>
        <w:ind w:left="2000" w:hanging="445"/>
        <w:rPr>
          <w:rFonts w:eastAsia="Times New Roman"/>
          <w:sz w:val="24"/>
          <w:szCs w:val="24"/>
        </w:rPr>
      </w:pPr>
      <w:r w:rsidRPr="00550618">
        <w:rPr>
          <w:rFonts w:eastAsia="Times New Roman"/>
          <w:sz w:val="24"/>
          <w:szCs w:val="24"/>
          <w:u w:val="single"/>
        </w:rPr>
        <w:t>Performance of Corrosion Control Studies</w:t>
      </w:r>
      <w:r w:rsidRPr="00550618">
        <w:rPr>
          <w:rFonts w:eastAsia="Times New Roman"/>
          <w:sz w:val="24"/>
          <w:szCs w:val="24"/>
        </w:rPr>
        <w:t>.</w:t>
      </w:r>
    </w:p>
    <w:p w14:paraId="2819DF5B" w14:textId="77777777" w:rsidR="004647B9" w:rsidRPr="00550618" w:rsidRDefault="00E2436F" w:rsidP="00563A54">
      <w:pPr>
        <w:numPr>
          <w:ilvl w:val="2"/>
          <w:numId w:val="163"/>
        </w:numPr>
        <w:tabs>
          <w:tab w:val="left" w:pos="2338"/>
        </w:tabs>
        <w:spacing w:line="260" w:lineRule="auto"/>
        <w:ind w:left="1920" w:hanging="5"/>
        <w:jc w:val="both"/>
        <w:rPr>
          <w:rFonts w:eastAsia="Times New Roman"/>
          <w:sz w:val="24"/>
          <w:szCs w:val="24"/>
        </w:rPr>
      </w:pPr>
      <w:r w:rsidRPr="00550618">
        <w:rPr>
          <w:rFonts w:eastAsia="Times New Roman"/>
          <w:sz w:val="24"/>
          <w:szCs w:val="24"/>
        </w:rPr>
        <w:t>Any public water system performing corrosion control studies shall evaluate the effectiveness of each of the following treatments, and, if appropriate, combinations of the following treatments to identify the optimal corrosion control treatment for that system:</w:t>
      </w:r>
    </w:p>
    <w:p w14:paraId="2819DF5C" w14:textId="77777777" w:rsidR="004647B9" w:rsidRDefault="004647B9">
      <w:pPr>
        <w:sectPr w:rsidR="004647B9" w:rsidSect="00EF630C">
          <w:pgSz w:w="12240" w:h="20180"/>
          <w:pgMar w:top="708" w:right="1440" w:bottom="1440" w:left="600" w:header="0" w:footer="0" w:gutter="0"/>
          <w:cols w:space="720" w:equalWidth="0">
            <w:col w:w="10200"/>
          </w:cols>
        </w:sectPr>
      </w:pPr>
    </w:p>
    <w:p w14:paraId="2819DF5D" w14:textId="77777777" w:rsidR="004647B9" w:rsidRPr="00A97B59" w:rsidRDefault="00E2436F" w:rsidP="00A97B59">
      <w:pPr>
        <w:tabs>
          <w:tab w:val="left" w:pos="160"/>
        </w:tabs>
        <w:jc w:val="center"/>
        <w:rPr>
          <w:sz w:val="24"/>
          <w:szCs w:val="24"/>
        </w:rPr>
      </w:pPr>
      <w:bookmarkStart w:id="65" w:name="page66"/>
      <w:bookmarkEnd w:id="65"/>
      <w:r w:rsidRPr="00A97B59">
        <w:rPr>
          <w:rFonts w:eastAsia="Times New Roman"/>
          <w:sz w:val="24"/>
          <w:szCs w:val="24"/>
        </w:rPr>
        <w:lastRenderedPageBreak/>
        <w:t>310 CMR:</w:t>
      </w:r>
      <w:r w:rsidRPr="00A97B59">
        <w:rPr>
          <w:sz w:val="24"/>
          <w:szCs w:val="24"/>
        </w:rPr>
        <w:tab/>
      </w:r>
      <w:r w:rsidRPr="00A97B59">
        <w:rPr>
          <w:rFonts w:eastAsia="Times New Roman"/>
          <w:sz w:val="24"/>
          <w:szCs w:val="24"/>
        </w:rPr>
        <w:t>DEPARTMENT OF ENVIRONMENTAL PROTECTION</w:t>
      </w:r>
    </w:p>
    <w:p w14:paraId="2819DF5E" w14:textId="77777777" w:rsidR="004647B9" w:rsidRPr="0080634F" w:rsidRDefault="004647B9" w:rsidP="00A97B59">
      <w:pPr>
        <w:rPr>
          <w:sz w:val="20"/>
          <w:szCs w:val="20"/>
        </w:rPr>
      </w:pPr>
    </w:p>
    <w:p w14:paraId="2819DF5F" w14:textId="77777777" w:rsidR="004647B9" w:rsidRPr="0080634F" w:rsidRDefault="004647B9" w:rsidP="00A97B59">
      <w:pPr>
        <w:rPr>
          <w:sz w:val="20"/>
          <w:szCs w:val="20"/>
        </w:rPr>
      </w:pPr>
    </w:p>
    <w:p w14:paraId="2819DF60" w14:textId="77777777" w:rsidR="004647B9" w:rsidRPr="00A97B59" w:rsidRDefault="00E2436F" w:rsidP="00A97B59">
      <w:pPr>
        <w:tabs>
          <w:tab w:val="left" w:pos="920"/>
        </w:tabs>
        <w:rPr>
          <w:sz w:val="24"/>
          <w:szCs w:val="24"/>
        </w:rPr>
      </w:pPr>
      <w:r w:rsidRPr="00A97B59">
        <w:rPr>
          <w:rFonts w:eastAsia="Times New Roman"/>
          <w:sz w:val="24"/>
          <w:szCs w:val="24"/>
        </w:rPr>
        <w:t>22.06B:</w:t>
      </w:r>
      <w:r w:rsidRPr="00A97B59">
        <w:rPr>
          <w:rFonts w:eastAsia="Times New Roman"/>
          <w:sz w:val="24"/>
          <w:szCs w:val="24"/>
        </w:rPr>
        <w:tab/>
        <w:t>continued</w:t>
      </w:r>
    </w:p>
    <w:p w14:paraId="2819DF61" w14:textId="77777777" w:rsidR="004647B9" w:rsidRPr="0080634F" w:rsidRDefault="004647B9" w:rsidP="00A97B59">
      <w:pPr>
        <w:rPr>
          <w:sz w:val="20"/>
          <w:szCs w:val="20"/>
        </w:rPr>
      </w:pPr>
    </w:p>
    <w:p w14:paraId="2819DF62" w14:textId="77777777" w:rsidR="004647B9" w:rsidRPr="00A97B59" w:rsidRDefault="00E2436F" w:rsidP="00AD4C87">
      <w:pPr>
        <w:numPr>
          <w:ilvl w:val="2"/>
          <w:numId w:val="164"/>
        </w:numPr>
        <w:tabs>
          <w:tab w:val="left" w:pos="2620"/>
        </w:tabs>
        <w:ind w:left="2275"/>
        <w:rPr>
          <w:rFonts w:eastAsia="Times New Roman"/>
          <w:sz w:val="24"/>
          <w:szCs w:val="24"/>
        </w:rPr>
      </w:pPr>
      <w:r w:rsidRPr="00A97B59">
        <w:rPr>
          <w:rFonts w:eastAsia="Times New Roman"/>
          <w:sz w:val="24"/>
          <w:szCs w:val="24"/>
        </w:rPr>
        <w:t>alkalinity and pH adjustment;</w:t>
      </w:r>
    </w:p>
    <w:p w14:paraId="2819DF64" w14:textId="77777777" w:rsidR="004647B9" w:rsidRPr="00A97B59" w:rsidRDefault="00E2436F" w:rsidP="00AD4C87">
      <w:pPr>
        <w:numPr>
          <w:ilvl w:val="2"/>
          <w:numId w:val="164"/>
        </w:numPr>
        <w:tabs>
          <w:tab w:val="left" w:pos="2621"/>
        </w:tabs>
        <w:ind w:left="2275"/>
        <w:rPr>
          <w:rFonts w:eastAsia="Times New Roman"/>
          <w:sz w:val="24"/>
          <w:szCs w:val="24"/>
        </w:rPr>
      </w:pPr>
      <w:r w:rsidRPr="00A97B59">
        <w:rPr>
          <w:rFonts w:eastAsia="Times New Roman"/>
          <w:sz w:val="24"/>
          <w:szCs w:val="24"/>
        </w:rPr>
        <w:t>calcium hardness adjustment; and</w:t>
      </w:r>
    </w:p>
    <w:p w14:paraId="2819DF66" w14:textId="77777777" w:rsidR="004647B9" w:rsidRPr="00A97B59" w:rsidRDefault="00E2436F" w:rsidP="00AD4C87">
      <w:pPr>
        <w:numPr>
          <w:ilvl w:val="2"/>
          <w:numId w:val="164"/>
        </w:numPr>
        <w:tabs>
          <w:tab w:val="left" w:pos="2621"/>
        </w:tabs>
        <w:ind w:left="2280" w:hanging="5"/>
        <w:rPr>
          <w:rFonts w:eastAsia="Times New Roman"/>
          <w:sz w:val="24"/>
          <w:szCs w:val="24"/>
        </w:rPr>
      </w:pPr>
      <w:r w:rsidRPr="00A97B59">
        <w:rPr>
          <w:rFonts w:eastAsia="Times New Roman"/>
          <w:sz w:val="24"/>
          <w:szCs w:val="24"/>
        </w:rPr>
        <w:t>the addition of a phosphate or silicate based corrosion inhibitor at a concentration sufficient to maintain an effective residual concentration in all test tap samples.</w:t>
      </w:r>
    </w:p>
    <w:p w14:paraId="2819DF68" w14:textId="77777777" w:rsidR="004647B9" w:rsidRPr="00A97B59" w:rsidRDefault="00E2436F" w:rsidP="00563A54">
      <w:pPr>
        <w:numPr>
          <w:ilvl w:val="1"/>
          <w:numId w:val="165"/>
        </w:numPr>
        <w:tabs>
          <w:tab w:val="left" w:pos="2244"/>
        </w:tabs>
        <w:ind w:left="1920" w:hanging="5"/>
        <w:jc w:val="both"/>
        <w:rPr>
          <w:rFonts w:eastAsia="Times New Roman"/>
          <w:sz w:val="24"/>
          <w:szCs w:val="24"/>
        </w:rPr>
      </w:pPr>
      <w:r w:rsidRPr="00A97B59">
        <w:rPr>
          <w:rFonts w:eastAsia="Times New Roman"/>
          <w:sz w:val="24"/>
          <w:szCs w:val="24"/>
        </w:rPr>
        <w:t>The water system shall evaluate each of the corrosion control treatments using either pipe rig/loop tests, metal coupon tests, partial-system tests, or analyses based on documented analogous treatments with other systems of similar size, water chemistry and distribution system configuration.</w:t>
      </w:r>
    </w:p>
    <w:p w14:paraId="2819DF69" w14:textId="77777777" w:rsidR="004647B9" w:rsidRPr="00A97B59" w:rsidRDefault="00E2436F" w:rsidP="00563A54">
      <w:pPr>
        <w:numPr>
          <w:ilvl w:val="1"/>
          <w:numId w:val="165"/>
        </w:numPr>
        <w:tabs>
          <w:tab w:val="left" w:pos="2280"/>
        </w:tabs>
        <w:ind w:left="1920" w:hanging="5"/>
        <w:jc w:val="both"/>
        <w:rPr>
          <w:rFonts w:eastAsia="Times New Roman"/>
          <w:sz w:val="24"/>
          <w:szCs w:val="24"/>
        </w:rPr>
      </w:pPr>
      <w:r w:rsidRPr="00A97B59">
        <w:rPr>
          <w:rFonts w:eastAsia="Times New Roman"/>
          <w:sz w:val="24"/>
          <w:szCs w:val="24"/>
        </w:rPr>
        <w:t>The water system shall measure the following water quality parameters in any tests conducted under 310 CMR 22.06B(3)(c)3. before and after evaluating the corrosion control treatments listed in 310 CMR 22.06(B)(3)(c)1. through c.:</w:t>
      </w:r>
    </w:p>
    <w:p w14:paraId="2819DF6B" w14:textId="77777777" w:rsidR="004647B9" w:rsidRPr="00A97B59" w:rsidRDefault="00E2436F" w:rsidP="00563A54">
      <w:pPr>
        <w:numPr>
          <w:ilvl w:val="2"/>
          <w:numId w:val="165"/>
        </w:numPr>
        <w:tabs>
          <w:tab w:val="left" w:pos="2620"/>
        </w:tabs>
        <w:ind w:left="2620" w:hanging="345"/>
        <w:rPr>
          <w:rFonts w:eastAsia="Times New Roman"/>
          <w:sz w:val="24"/>
          <w:szCs w:val="24"/>
        </w:rPr>
      </w:pPr>
      <w:r w:rsidRPr="00A97B59">
        <w:rPr>
          <w:rFonts w:eastAsia="Times New Roman"/>
          <w:sz w:val="24"/>
          <w:szCs w:val="24"/>
        </w:rPr>
        <w:t>lead;</w:t>
      </w:r>
    </w:p>
    <w:p w14:paraId="2819DF6D" w14:textId="77777777" w:rsidR="004647B9" w:rsidRPr="00A97B59" w:rsidRDefault="00E2436F" w:rsidP="00563A54">
      <w:pPr>
        <w:numPr>
          <w:ilvl w:val="2"/>
          <w:numId w:val="165"/>
        </w:numPr>
        <w:tabs>
          <w:tab w:val="left" w:pos="2640"/>
        </w:tabs>
        <w:ind w:left="2640" w:hanging="365"/>
        <w:rPr>
          <w:rFonts w:eastAsia="Times New Roman"/>
          <w:sz w:val="24"/>
          <w:szCs w:val="24"/>
        </w:rPr>
      </w:pPr>
      <w:r w:rsidRPr="00A97B59">
        <w:rPr>
          <w:rFonts w:eastAsia="Times New Roman"/>
          <w:sz w:val="24"/>
          <w:szCs w:val="24"/>
        </w:rPr>
        <w:t>copper;</w:t>
      </w:r>
    </w:p>
    <w:p w14:paraId="2819DF6F" w14:textId="77777777" w:rsidR="004647B9" w:rsidRPr="00A97B59" w:rsidRDefault="00E2436F" w:rsidP="00563A54">
      <w:pPr>
        <w:numPr>
          <w:ilvl w:val="2"/>
          <w:numId w:val="165"/>
        </w:numPr>
        <w:tabs>
          <w:tab w:val="left" w:pos="2620"/>
        </w:tabs>
        <w:ind w:left="2620" w:hanging="345"/>
        <w:rPr>
          <w:rFonts w:eastAsia="Times New Roman"/>
          <w:sz w:val="24"/>
          <w:szCs w:val="24"/>
        </w:rPr>
      </w:pPr>
      <w:r w:rsidRPr="00A97B59">
        <w:rPr>
          <w:rFonts w:eastAsia="Times New Roman"/>
          <w:sz w:val="24"/>
          <w:szCs w:val="24"/>
        </w:rPr>
        <w:t>pH;</w:t>
      </w:r>
    </w:p>
    <w:p w14:paraId="2819DF71" w14:textId="77777777" w:rsidR="004647B9" w:rsidRPr="00A97B59" w:rsidRDefault="00E2436F" w:rsidP="00563A54">
      <w:pPr>
        <w:numPr>
          <w:ilvl w:val="2"/>
          <w:numId w:val="165"/>
        </w:numPr>
        <w:tabs>
          <w:tab w:val="left" w:pos="2640"/>
        </w:tabs>
        <w:ind w:left="2640" w:hanging="365"/>
        <w:rPr>
          <w:rFonts w:eastAsia="Times New Roman"/>
          <w:sz w:val="24"/>
          <w:szCs w:val="24"/>
        </w:rPr>
      </w:pPr>
      <w:r w:rsidRPr="00A97B59">
        <w:rPr>
          <w:rFonts w:eastAsia="Times New Roman"/>
          <w:sz w:val="24"/>
          <w:szCs w:val="24"/>
        </w:rPr>
        <w:t>alkalinity;</w:t>
      </w:r>
    </w:p>
    <w:p w14:paraId="2819DF73" w14:textId="77777777" w:rsidR="004647B9" w:rsidRPr="00A97B59" w:rsidRDefault="00E2436F" w:rsidP="00563A54">
      <w:pPr>
        <w:numPr>
          <w:ilvl w:val="2"/>
          <w:numId w:val="165"/>
        </w:numPr>
        <w:tabs>
          <w:tab w:val="left" w:pos="2620"/>
        </w:tabs>
        <w:ind w:left="2620" w:hanging="345"/>
        <w:rPr>
          <w:rFonts w:eastAsia="Times New Roman"/>
          <w:sz w:val="24"/>
          <w:szCs w:val="24"/>
        </w:rPr>
      </w:pPr>
      <w:r w:rsidRPr="00A97B59">
        <w:rPr>
          <w:rFonts w:eastAsia="Times New Roman"/>
          <w:sz w:val="24"/>
          <w:szCs w:val="24"/>
        </w:rPr>
        <w:t>calcium;</w:t>
      </w:r>
    </w:p>
    <w:p w14:paraId="2819DF75" w14:textId="77777777" w:rsidR="004647B9" w:rsidRPr="00A97B59" w:rsidRDefault="00E2436F" w:rsidP="00563A54">
      <w:pPr>
        <w:numPr>
          <w:ilvl w:val="2"/>
          <w:numId w:val="165"/>
        </w:numPr>
        <w:tabs>
          <w:tab w:val="left" w:pos="2600"/>
        </w:tabs>
        <w:ind w:left="2600" w:hanging="325"/>
        <w:rPr>
          <w:rFonts w:eastAsia="Times New Roman"/>
          <w:sz w:val="24"/>
          <w:szCs w:val="24"/>
        </w:rPr>
      </w:pPr>
      <w:r w:rsidRPr="00A97B59">
        <w:rPr>
          <w:rFonts w:eastAsia="Times New Roman"/>
          <w:sz w:val="24"/>
          <w:szCs w:val="24"/>
        </w:rPr>
        <w:t>conductivity;</w:t>
      </w:r>
    </w:p>
    <w:p w14:paraId="2819DF77" w14:textId="77777777" w:rsidR="004647B9" w:rsidRPr="00A97B59" w:rsidRDefault="00E2436F" w:rsidP="00563A54">
      <w:pPr>
        <w:numPr>
          <w:ilvl w:val="2"/>
          <w:numId w:val="165"/>
        </w:numPr>
        <w:tabs>
          <w:tab w:val="left" w:pos="2640"/>
        </w:tabs>
        <w:ind w:left="2640" w:hanging="365"/>
        <w:rPr>
          <w:rFonts w:eastAsia="Times New Roman"/>
          <w:sz w:val="24"/>
          <w:szCs w:val="24"/>
        </w:rPr>
      </w:pPr>
      <w:r w:rsidRPr="00A97B59">
        <w:rPr>
          <w:rFonts w:eastAsia="Times New Roman"/>
          <w:sz w:val="24"/>
          <w:szCs w:val="24"/>
        </w:rPr>
        <w:t>orthophosphate (when an inhibitor containing a phosphate compound is used);</w:t>
      </w:r>
    </w:p>
    <w:p w14:paraId="2819DF79" w14:textId="77777777" w:rsidR="004647B9" w:rsidRPr="00A97B59" w:rsidRDefault="00E2436F" w:rsidP="00563A54">
      <w:pPr>
        <w:numPr>
          <w:ilvl w:val="2"/>
          <w:numId w:val="165"/>
        </w:numPr>
        <w:tabs>
          <w:tab w:val="left" w:pos="2640"/>
        </w:tabs>
        <w:ind w:left="2640" w:hanging="365"/>
        <w:rPr>
          <w:rFonts w:eastAsia="Times New Roman"/>
          <w:sz w:val="24"/>
          <w:szCs w:val="24"/>
        </w:rPr>
      </w:pPr>
      <w:r w:rsidRPr="00A97B59">
        <w:rPr>
          <w:rFonts w:eastAsia="Times New Roman"/>
          <w:sz w:val="24"/>
          <w:szCs w:val="24"/>
        </w:rPr>
        <w:t>silicate (when an inhibitor containing a silicate compound is used);</w:t>
      </w:r>
    </w:p>
    <w:p w14:paraId="2819DF7B" w14:textId="77777777" w:rsidR="004647B9" w:rsidRPr="00A97B59" w:rsidRDefault="00E2436F" w:rsidP="00563A54">
      <w:pPr>
        <w:numPr>
          <w:ilvl w:val="2"/>
          <w:numId w:val="165"/>
        </w:numPr>
        <w:tabs>
          <w:tab w:val="left" w:pos="2580"/>
        </w:tabs>
        <w:ind w:left="2580" w:hanging="305"/>
        <w:rPr>
          <w:rFonts w:eastAsia="Times New Roman"/>
          <w:sz w:val="24"/>
          <w:szCs w:val="24"/>
        </w:rPr>
      </w:pPr>
      <w:r w:rsidRPr="00A97B59">
        <w:rPr>
          <w:rFonts w:eastAsia="Times New Roman"/>
          <w:sz w:val="24"/>
          <w:szCs w:val="24"/>
        </w:rPr>
        <w:t>water temperature.</w:t>
      </w:r>
    </w:p>
    <w:p w14:paraId="2819DF7D" w14:textId="77777777" w:rsidR="004647B9" w:rsidRPr="00A97B59" w:rsidRDefault="00E2436F" w:rsidP="00563A54">
      <w:pPr>
        <w:numPr>
          <w:ilvl w:val="1"/>
          <w:numId w:val="165"/>
        </w:numPr>
        <w:tabs>
          <w:tab w:val="left" w:pos="2338"/>
        </w:tabs>
        <w:ind w:left="1920" w:hanging="5"/>
        <w:jc w:val="both"/>
        <w:rPr>
          <w:rFonts w:eastAsia="Times New Roman"/>
          <w:sz w:val="24"/>
          <w:szCs w:val="24"/>
        </w:rPr>
      </w:pPr>
      <w:r w:rsidRPr="00A97B59">
        <w:rPr>
          <w:rFonts w:eastAsia="Times New Roman"/>
          <w:sz w:val="24"/>
          <w:szCs w:val="24"/>
        </w:rPr>
        <w:t>The water system shall identify all chemical or physical constraints that limit or prohibit the use of a particular corrosion control treatment and document such constraints with at least one of the following:</w:t>
      </w:r>
    </w:p>
    <w:p w14:paraId="2819DF7F" w14:textId="77777777" w:rsidR="004647B9" w:rsidRPr="00A97B59" w:rsidRDefault="00E2436F" w:rsidP="00F06B53">
      <w:pPr>
        <w:numPr>
          <w:ilvl w:val="2"/>
          <w:numId w:val="165"/>
        </w:numPr>
        <w:tabs>
          <w:tab w:val="left" w:pos="2583"/>
        </w:tabs>
        <w:ind w:left="2275"/>
        <w:jc w:val="both"/>
        <w:rPr>
          <w:rFonts w:eastAsia="Times New Roman"/>
          <w:sz w:val="24"/>
          <w:szCs w:val="24"/>
        </w:rPr>
      </w:pPr>
      <w:r w:rsidRPr="00A97B59">
        <w:rPr>
          <w:rFonts w:eastAsia="Times New Roman"/>
          <w:sz w:val="24"/>
          <w:szCs w:val="24"/>
        </w:rPr>
        <w:t>data and documentation showing that a particular corrosion control treatment has adversely affected other water treatment processes when used by another water system with comparable water quality characteristics; and/or</w:t>
      </w:r>
    </w:p>
    <w:p w14:paraId="2819DF81" w14:textId="77777777" w:rsidR="004647B9" w:rsidRPr="00A97B59" w:rsidRDefault="00E2436F" w:rsidP="00F06B53">
      <w:pPr>
        <w:numPr>
          <w:ilvl w:val="2"/>
          <w:numId w:val="165"/>
        </w:numPr>
        <w:tabs>
          <w:tab w:val="left" w:pos="2578"/>
        </w:tabs>
        <w:ind w:left="2275"/>
        <w:jc w:val="both"/>
        <w:rPr>
          <w:rFonts w:eastAsia="Times New Roman"/>
          <w:sz w:val="24"/>
          <w:szCs w:val="24"/>
        </w:rPr>
      </w:pPr>
      <w:r w:rsidRPr="00A97B59">
        <w:rPr>
          <w:rFonts w:eastAsia="Times New Roman"/>
          <w:sz w:val="24"/>
          <w:szCs w:val="24"/>
        </w:rPr>
        <w:t>data and documentation demonstrating that the water system has previously attempted to evaluate a particular corrosion control treatment and has found that the treatment is ineffective or adversely affects other water quality treatment processes.</w:t>
      </w:r>
    </w:p>
    <w:p w14:paraId="2819DF82" w14:textId="77777777" w:rsidR="004647B9" w:rsidRPr="00A97B59" w:rsidRDefault="00E2436F" w:rsidP="00563A54">
      <w:pPr>
        <w:numPr>
          <w:ilvl w:val="1"/>
          <w:numId w:val="165"/>
        </w:numPr>
        <w:tabs>
          <w:tab w:val="left" w:pos="2237"/>
        </w:tabs>
        <w:ind w:left="1920" w:hanging="5"/>
        <w:rPr>
          <w:rFonts w:eastAsia="Times New Roman"/>
          <w:sz w:val="24"/>
          <w:szCs w:val="24"/>
        </w:rPr>
      </w:pPr>
      <w:r w:rsidRPr="00A97B59">
        <w:rPr>
          <w:rFonts w:eastAsia="Times New Roman"/>
          <w:sz w:val="24"/>
          <w:szCs w:val="24"/>
        </w:rPr>
        <w:t>The water system shall evaluate the effect of the chemicals used for corrosion control treatment on other water quality treatment processes.</w:t>
      </w:r>
    </w:p>
    <w:p w14:paraId="2819DF83" w14:textId="77777777" w:rsidR="004647B9" w:rsidRPr="00A97B59" w:rsidRDefault="00E2436F" w:rsidP="00563A54">
      <w:pPr>
        <w:numPr>
          <w:ilvl w:val="1"/>
          <w:numId w:val="165"/>
        </w:numPr>
        <w:tabs>
          <w:tab w:val="left" w:pos="2287"/>
        </w:tabs>
        <w:ind w:left="1920" w:hanging="5"/>
        <w:jc w:val="both"/>
        <w:rPr>
          <w:rFonts w:eastAsia="Times New Roman"/>
          <w:sz w:val="24"/>
          <w:szCs w:val="24"/>
        </w:rPr>
      </w:pPr>
      <w:r w:rsidRPr="00A97B59">
        <w:rPr>
          <w:rFonts w:eastAsia="Times New Roman"/>
          <w:sz w:val="24"/>
          <w:szCs w:val="24"/>
        </w:rPr>
        <w:t>On the basis of an analysis of the data generated during each evaluation, the water system shall recommend to the Department in writing the treatment option that the corrosion control studies indicate constitutes optimal corrosion control treatment for that system. The water system shall provide a rationale for its recommendation along with all supporting documentation specified in 310 CMR 22.06B(3)(c)1. through 5.</w:t>
      </w:r>
    </w:p>
    <w:p w14:paraId="2819DF85" w14:textId="77777777" w:rsidR="004647B9" w:rsidRPr="00A97B59" w:rsidRDefault="00E2436F" w:rsidP="00563A54">
      <w:pPr>
        <w:numPr>
          <w:ilvl w:val="0"/>
          <w:numId w:val="166"/>
        </w:numPr>
        <w:tabs>
          <w:tab w:val="left" w:pos="2020"/>
        </w:tabs>
        <w:ind w:left="2020" w:hanging="465"/>
        <w:rPr>
          <w:rFonts w:eastAsia="Times New Roman"/>
          <w:sz w:val="24"/>
          <w:szCs w:val="24"/>
        </w:rPr>
      </w:pPr>
      <w:r w:rsidRPr="00A97B59">
        <w:rPr>
          <w:rFonts w:eastAsia="Times New Roman"/>
          <w:sz w:val="24"/>
          <w:szCs w:val="24"/>
          <w:u w:val="single"/>
        </w:rPr>
        <w:t>Department Designation of Optimal Corrosion Control Treatment</w:t>
      </w:r>
      <w:r w:rsidRPr="00A97B59">
        <w:rPr>
          <w:rFonts w:eastAsia="Times New Roman"/>
          <w:sz w:val="24"/>
          <w:szCs w:val="24"/>
        </w:rPr>
        <w:t>.</w:t>
      </w:r>
    </w:p>
    <w:p w14:paraId="2819DF87" w14:textId="77777777" w:rsidR="004647B9" w:rsidRPr="00A97B59" w:rsidRDefault="00E2436F" w:rsidP="00563A54">
      <w:pPr>
        <w:numPr>
          <w:ilvl w:val="1"/>
          <w:numId w:val="166"/>
        </w:numPr>
        <w:tabs>
          <w:tab w:val="left" w:pos="2359"/>
        </w:tabs>
        <w:ind w:left="1920" w:hanging="5"/>
        <w:jc w:val="both"/>
        <w:rPr>
          <w:rFonts w:eastAsia="Times New Roman"/>
          <w:sz w:val="24"/>
          <w:szCs w:val="24"/>
        </w:rPr>
      </w:pPr>
      <w:r w:rsidRPr="00A97B59">
        <w:rPr>
          <w:rFonts w:eastAsia="Times New Roman"/>
          <w:sz w:val="24"/>
          <w:szCs w:val="24"/>
        </w:rPr>
        <w:t>Based upon consideration of available information including, where applicable, studies performed under 310 CMR 22.06B(3)(c) and a system's recommended treatment alternative, the Department shall either approve the corrosion control treatment option recommended by the system, or designate alternative corrosion control treatment(s) from among those listed in 310 CMR 22.06B(3)(c)1. When designating optimal treatment the Department shall consider the effects that additional corrosion control treatment may have on water quality parameters and on other water quality treatment processes.</w:t>
      </w:r>
    </w:p>
    <w:p w14:paraId="2819DF89" w14:textId="77777777" w:rsidR="004647B9" w:rsidRPr="00A97B59" w:rsidRDefault="00E2436F" w:rsidP="00563A54">
      <w:pPr>
        <w:numPr>
          <w:ilvl w:val="1"/>
          <w:numId w:val="166"/>
        </w:numPr>
        <w:tabs>
          <w:tab w:val="left" w:pos="2266"/>
        </w:tabs>
        <w:ind w:left="1920" w:hanging="5"/>
        <w:jc w:val="both"/>
        <w:rPr>
          <w:rFonts w:eastAsia="Times New Roman"/>
          <w:sz w:val="24"/>
          <w:szCs w:val="24"/>
        </w:rPr>
      </w:pPr>
      <w:r w:rsidRPr="00A97B59">
        <w:rPr>
          <w:rFonts w:eastAsia="Times New Roman"/>
          <w:sz w:val="24"/>
          <w:szCs w:val="24"/>
        </w:rPr>
        <w:t>The Department shall notify the system of its decision on optimal corrosion control treatment in writing and explain the basis for this determination. If the Department requests additional information to aid its review, the water system shall provide the information.</w:t>
      </w:r>
    </w:p>
    <w:p w14:paraId="2819DF8A" w14:textId="77777777" w:rsidR="004647B9" w:rsidRPr="00A97B59" w:rsidRDefault="00E2436F" w:rsidP="00563A54">
      <w:pPr>
        <w:numPr>
          <w:ilvl w:val="0"/>
          <w:numId w:val="166"/>
        </w:numPr>
        <w:tabs>
          <w:tab w:val="left" w:pos="2083"/>
        </w:tabs>
        <w:ind w:left="1560" w:hanging="5"/>
        <w:jc w:val="both"/>
        <w:rPr>
          <w:rFonts w:eastAsia="Times New Roman"/>
          <w:sz w:val="24"/>
          <w:szCs w:val="24"/>
        </w:rPr>
      </w:pPr>
      <w:r w:rsidRPr="00A97B59">
        <w:rPr>
          <w:rFonts w:eastAsia="Times New Roman"/>
          <w:sz w:val="24"/>
          <w:szCs w:val="24"/>
          <w:u w:val="single"/>
        </w:rPr>
        <w:t>Installation of Optimal Corrosion Control</w:t>
      </w:r>
      <w:r w:rsidRPr="00A97B59">
        <w:rPr>
          <w:rFonts w:eastAsia="Times New Roman"/>
          <w:sz w:val="24"/>
          <w:szCs w:val="24"/>
        </w:rPr>
        <w:t>. Each system shall properly install and operate throughout its distribution system the optimal corrosion control treatment designated by the Department under 310 CMR 22.06B(3)(d).</w:t>
      </w:r>
    </w:p>
    <w:p w14:paraId="2819DF8C" w14:textId="77777777" w:rsidR="004647B9" w:rsidRPr="00A97B59" w:rsidRDefault="00E2436F" w:rsidP="00563A54">
      <w:pPr>
        <w:numPr>
          <w:ilvl w:val="0"/>
          <w:numId w:val="166"/>
        </w:numPr>
        <w:tabs>
          <w:tab w:val="left" w:pos="1968"/>
        </w:tabs>
        <w:ind w:left="1560" w:hanging="5"/>
        <w:jc w:val="both"/>
        <w:rPr>
          <w:rFonts w:eastAsia="Times New Roman"/>
          <w:sz w:val="24"/>
          <w:szCs w:val="24"/>
        </w:rPr>
      </w:pPr>
      <w:r w:rsidRPr="00A97B59">
        <w:rPr>
          <w:rFonts w:eastAsia="Times New Roman"/>
          <w:sz w:val="24"/>
          <w:szCs w:val="24"/>
          <w:u w:val="single"/>
        </w:rPr>
        <w:t>Department Review of Treatment and Specification of Optimal Water Quality Control Parameters</w:t>
      </w:r>
      <w:r w:rsidRPr="00A97B59">
        <w:rPr>
          <w:rFonts w:eastAsia="Times New Roman"/>
          <w:sz w:val="24"/>
          <w:szCs w:val="24"/>
        </w:rPr>
        <w:t xml:space="preserve">. The Department shall evaluate the results of all lead and copper tap samples and water quality parameter samples submitted by the water system and determine whether the system has properly installed and operated the optimal corrosion control treatment designated by the Department in 310 CMR 22.06B(3)(d). Upon reviewing the results of </w:t>
      </w:r>
      <w:r w:rsidRPr="00A97B59">
        <w:rPr>
          <w:rFonts w:eastAsia="Times New Roman"/>
          <w:sz w:val="24"/>
          <w:szCs w:val="24"/>
        </w:rPr>
        <w:lastRenderedPageBreak/>
        <w:t>tap water and water quality parameter monitoring by the system, both before and after the system installs optimal corrosion control treatment, the Department shall designate:</w:t>
      </w:r>
    </w:p>
    <w:p w14:paraId="2819DF8D" w14:textId="77777777" w:rsidR="004647B9" w:rsidRDefault="004647B9">
      <w:pPr>
        <w:sectPr w:rsidR="004647B9" w:rsidSect="00EF630C">
          <w:pgSz w:w="12240" w:h="20180"/>
          <w:pgMar w:top="708" w:right="1440" w:bottom="1440" w:left="600" w:header="0" w:footer="0" w:gutter="0"/>
          <w:cols w:space="720" w:equalWidth="0">
            <w:col w:w="10200"/>
          </w:cols>
        </w:sectPr>
      </w:pPr>
    </w:p>
    <w:p w14:paraId="2819DF8E" w14:textId="77777777" w:rsidR="004647B9" w:rsidRDefault="00E2436F">
      <w:pPr>
        <w:tabs>
          <w:tab w:val="left" w:pos="160"/>
        </w:tabs>
        <w:jc w:val="center"/>
        <w:rPr>
          <w:sz w:val="20"/>
          <w:szCs w:val="20"/>
        </w:rPr>
      </w:pPr>
      <w:bookmarkStart w:id="66" w:name="page67"/>
      <w:bookmarkEnd w:id="6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F8F" w14:textId="77777777" w:rsidR="004647B9" w:rsidRDefault="004647B9" w:rsidP="00C974B6">
      <w:pPr>
        <w:rPr>
          <w:sz w:val="20"/>
          <w:szCs w:val="20"/>
        </w:rPr>
      </w:pPr>
    </w:p>
    <w:p w14:paraId="2819DF90" w14:textId="77777777" w:rsidR="004647B9" w:rsidRDefault="004647B9" w:rsidP="00C974B6">
      <w:pPr>
        <w:rPr>
          <w:sz w:val="20"/>
          <w:szCs w:val="20"/>
        </w:rPr>
      </w:pPr>
    </w:p>
    <w:p w14:paraId="2819DF91"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DF92" w14:textId="77777777" w:rsidR="004647B9" w:rsidRDefault="004647B9" w:rsidP="00C974B6">
      <w:pPr>
        <w:rPr>
          <w:sz w:val="20"/>
          <w:szCs w:val="20"/>
        </w:rPr>
      </w:pPr>
    </w:p>
    <w:p w14:paraId="2819DF93" w14:textId="77777777" w:rsidR="004647B9" w:rsidRPr="00550618" w:rsidRDefault="00E2436F" w:rsidP="00563A54">
      <w:pPr>
        <w:numPr>
          <w:ilvl w:val="1"/>
          <w:numId w:val="167"/>
        </w:numPr>
        <w:tabs>
          <w:tab w:val="left" w:pos="2309"/>
        </w:tabs>
        <w:spacing w:line="256" w:lineRule="auto"/>
        <w:ind w:left="1920" w:hanging="5"/>
        <w:rPr>
          <w:rFonts w:eastAsia="Times New Roman"/>
          <w:sz w:val="24"/>
          <w:szCs w:val="24"/>
        </w:rPr>
      </w:pPr>
      <w:r w:rsidRPr="00550618">
        <w:rPr>
          <w:rFonts w:eastAsia="Times New Roman"/>
          <w:sz w:val="24"/>
          <w:szCs w:val="24"/>
        </w:rPr>
        <w:t>a minimum value or a range of values for pH measured at each entry point to the distribution system;</w:t>
      </w:r>
    </w:p>
    <w:p w14:paraId="2819DF95" w14:textId="77777777" w:rsidR="004647B9" w:rsidRPr="00550618" w:rsidRDefault="00E2436F" w:rsidP="00563A54">
      <w:pPr>
        <w:numPr>
          <w:ilvl w:val="1"/>
          <w:numId w:val="167"/>
        </w:numPr>
        <w:tabs>
          <w:tab w:val="left" w:pos="2280"/>
        </w:tabs>
        <w:spacing w:line="254" w:lineRule="auto"/>
        <w:ind w:left="1920" w:hanging="5"/>
        <w:jc w:val="both"/>
        <w:rPr>
          <w:rFonts w:eastAsia="Times New Roman"/>
          <w:sz w:val="24"/>
          <w:szCs w:val="24"/>
        </w:rPr>
      </w:pPr>
      <w:r w:rsidRPr="00550618">
        <w:rPr>
          <w:rFonts w:eastAsia="Times New Roman"/>
          <w:sz w:val="24"/>
          <w:szCs w:val="24"/>
        </w:rPr>
        <w:t>a minimum pH value, measured in all tap samples. Such value shall be equal to or greater than 7.0, unless the Department determines that meeting a pH level of 7.0 is not technologically feasible or is not necessary for the system to optimize corrosion control;</w:t>
      </w:r>
    </w:p>
    <w:p w14:paraId="2819DF96" w14:textId="77777777" w:rsidR="004647B9" w:rsidRPr="00550618" w:rsidRDefault="00E2436F" w:rsidP="00563A54">
      <w:pPr>
        <w:numPr>
          <w:ilvl w:val="1"/>
          <w:numId w:val="167"/>
        </w:numPr>
        <w:tabs>
          <w:tab w:val="left" w:pos="2230"/>
        </w:tabs>
        <w:spacing w:line="243" w:lineRule="auto"/>
        <w:ind w:left="1920" w:hanging="5"/>
        <w:jc w:val="both"/>
        <w:rPr>
          <w:rFonts w:eastAsia="Times New Roman"/>
          <w:sz w:val="24"/>
          <w:szCs w:val="24"/>
        </w:rPr>
      </w:pPr>
      <w:r w:rsidRPr="00550618">
        <w:rPr>
          <w:rFonts w:eastAsia="Times New Roman"/>
          <w:sz w:val="24"/>
          <w:szCs w:val="24"/>
        </w:rPr>
        <w:t>if a corrosion inhibitor is used, a minimum concentration or a range of concentrations for the inhibitor, measured at each entry point to the distribution system and in all tap samples, that the Department determines is necessary to form a passivating film on the interior walls of the pipes of the distribution system;</w:t>
      </w:r>
    </w:p>
    <w:p w14:paraId="2819DF97" w14:textId="77777777" w:rsidR="004647B9" w:rsidRPr="00550618" w:rsidRDefault="00E2436F" w:rsidP="00563A54">
      <w:pPr>
        <w:numPr>
          <w:ilvl w:val="1"/>
          <w:numId w:val="167"/>
        </w:numPr>
        <w:tabs>
          <w:tab w:val="left" w:pos="2294"/>
        </w:tabs>
        <w:spacing w:line="242" w:lineRule="auto"/>
        <w:ind w:left="1920" w:hanging="5"/>
        <w:jc w:val="both"/>
        <w:rPr>
          <w:rFonts w:eastAsia="Times New Roman"/>
          <w:sz w:val="24"/>
          <w:szCs w:val="24"/>
        </w:rPr>
      </w:pPr>
      <w:r w:rsidRPr="00550618">
        <w:rPr>
          <w:rFonts w:eastAsia="Times New Roman"/>
          <w:sz w:val="24"/>
          <w:szCs w:val="24"/>
        </w:rPr>
        <w:t>if alkalinity is adjusted as part of optimal corrosion control treatment, a minimum concentration or a range of concentrations for alkalinity, measured at each entry point to the distribution system and in all tap samples;</w:t>
      </w:r>
    </w:p>
    <w:p w14:paraId="2819DF99" w14:textId="77777777" w:rsidR="004647B9" w:rsidRPr="00550618" w:rsidRDefault="00E2436F" w:rsidP="00563A54">
      <w:pPr>
        <w:numPr>
          <w:ilvl w:val="1"/>
          <w:numId w:val="167"/>
        </w:numPr>
        <w:tabs>
          <w:tab w:val="left" w:pos="2314"/>
        </w:tabs>
        <w:spacing w:line="243" w:lineRule="auto"/>
        <w:ind w:left="1920" w:hanging="5"/>
        <w:jc w:val="both"/>
        <w:rPr>
          <w:rFonts w:eastAsia="Times New Roman"/>
          <w:sz w:val="24"/>
          <w:szCs w:val="24"/>
        </w:rPr>
      </w:pPr>
      <w:r w:rsidRPr="00550618">
        <w:rPr>
          <w:rFonts w:eastAsia="Times New Roman"/>
          <w:sz w:val="24"/>
          <w:szCs w:val="24"/>
        </w:rPr>
        <w:t>if calcium carbonate stabilization is used as part of corrosion control, a minimum concentration or a range of concentrations for calcium, measured in all tap samples. The values for the applicable water quality control parameters listed above shall be those that the Department determines to reflect optimal corrosion control treatment for the system. The Department may designate values for additional water quality control parameters determined by the Department to reflect optimal corrosion control for the system. The Department shall notify the system in writing of these determinations and explain the basis for its decisions.</w:t>
      </w:r>
    </w:p>
    <w:p w14:paraId="2819DF9B" w14:textId="77777777" w:rsidR="004647B9" w:rsidRPr="00550618" w:rsidRDefault="00E2436F" w:rsidP="00563A54">
      <w:pPr>
        <w:numPr>
          <w:ilvl w:val="0"/>
          <w:numId w:val="168"/>
        </w:numPr>
        <w:tabs>
          <w:tab w:val="left" w:pos="2016"/>
        </w:tabs>
        <w:spacing w:line="253" w:lineRule="auto"/>
        <w:ind w:left="1560" w:hanging="5"/>
        <w:jc w:val="both"/>
        <w:rPr>
          <w:rFonts w:eastAsia="Times New Roman"/>
          <w:sz w:val="24"/>
          <w:szCs w:val="24"/>
        </w:rPr>
      </w:pPr>
      <w:r w:rsidRPr="00550618">
        <w:rPr>
          <w:rFonts w:eastAsia="Times New Roman"/>
          <w:sz w:val="24"/>
          <w:szCs w:val="24"/>
          <w:u w:val="single"/>
        </w:rPr>
        <w:t>Continued Operation and Monitoring</w:t>
      </w:r>
      <w:r w:rsidRPr="00550618">
        <w:rPr>
          <w:rFonts w:eastAsia="Times New Roman"/>
          <w:sz w:val="24"/>
          <w:szCs w:val="24"/>
        </w:rPr>
        <w:t>. All systems optimizing corrosion control shall continue to operate and maintain optimum corrosion control treatment, including maintaining water quality control parameters at or above minimum values or within ranges designated by the Department under 310 CMR 22.06B(3)(f), in accordance with 310 CMR 22.06B(3)(g) for all samples collected under 310 CMR 22.06B(8)(d) through (f). Compliance with the requirements of 310 CMR 22.06B(3)(g) shall be determined every six months, as specified under 310 CMR 22.06B(8)(d). A water system is out of compliance with the requirements of 310 CMR 22.06B(3)(g) for a six-month period if it has excursions for any Department-specified parameter for more than nine days during the period. An excursion occurs whenever the daily value for one or more of the water quality control parameters measured at a sampling location is below the minimum value or outside the range designated by the Department. Daily values are calculated as follows.</w:t>
      </w:r>
    </w:p>
    <w:p w14:paraId="2819DF9D" w14:textId="77777777" w:rsidR="004647B9" w:rsidRPr="00550618" w:rsidRDefault="00E2436F" w:rsidP="00563A54">
      <w:pPr>
        <w:numPr>
          <w:ilvl w:val="1"/>
          <w:numId w:val="168"/>
        </w:numPr>
        <w:tabs>
          <w:tab w:val="left" w:pos="2388"/>
        </w:tabs>
        <w:spacing w:line="243" w:lineRule="auto"/>
        <w:ind w:left="1920" w:hanging="5"/>
        <w:jc w:val="both"/>
        <w:rPr>
          <w:rFonts w:eastAsia="Times New Roman"/>
          <w:sz w:val="24"/>
          <w:szCs w:val="24"/>
        </w:rPr>
      </w:pPr>
      <w:r w:rsidRPr="00550618">
        <w:rPr>
          <w:rFonts w:eastAsia="Times New Roman"/>
          <w:sz w:val="24"/>
          <w:szCs w:val="24"/>
        </w:rPr>
        <w:t>On days when more than one measurement for the water quality parameter is collected at the sampling location, the daily value shall be the average of all results collected during the day regardless of whether they are collected through continuous monitoring, grab sampling, or a combination of both.</w:t>
      </w:r>
    </w:p>
    <w:p w14:paraId="2819DF9E" w14:textId="77777777" w:rsidR="004647B9" w:rsidRPr="00550618" w:rsidRDefault="00E2436F" w:rsidP="00563A54">
      <w:pPr>
        <w:numPr>
          <w:ilvl w:val="1"/>
          <w:numId w:val="168"/>
        </w:numPr>
        <w:tabs>
          <w:tab w:val="left" w:pos="2251"/>
        </w:tabs>
        <w:spacing w:line="253" w:lineRule="auto"/>
        <w:ind w:left="1920" w:hanging="5"/>
        <w:rPr>
          <w:rFonts w:eastAsia="Times New Roman"/>
          <w:sz w:val="24"/>
          <w:szCs w:val="24"/>
        </w:rPr>
      </w:pPr>
      <w:r w:rsidRPr="00550618">
        <w:rPr>
          <w:rFonts w:eastAsia="Times New Roman"/>
          <w:sz w:val="24"/>
          <w:szCs w:val="24"/>
        </w:rPr>
        <w:t>On the days when only one measurement for the water quality parameter is collected at the sampling location, the daily value shall be the result of that measurement.</w:t>
      </w:r>
    </w:p>
    <w:p w14:paraId="2819DFA0" w14:textId="77777777" w:rsidR="004647B9" w:rsidRPr="00550618" w:rsidRDefault="00E2436F" w:rsidP="00563A54">
      <w:pPr>
        <w:numPr>
          <w:ilvl w:val="1"/>
          <w:numId w:val="168"/>
        </w:numPr>
        <w:tabs>
          <w:tab w:val="left" w:pos="2316"/>
        </w:tabs>
        <w:spacing w:line="243" w:lineRule="auto"/>
        <w:ind w:left="1920" w:hanging="5"/>
        <w:jc w:val="both"/>
        <w:rPr>
          <w:rFonts w:eastAsia="Times New Roman"/>
          <w:sz w:val="24"/>
          <w:szCs w:val="24"/>
        </w:rPr>
      </w:pPr>
      <w:r w:rsidRPr="00550618">
        <w:rPr>
          <w:rFonts w:eastAsia="Times New Roman"/>
          <w:sz w:val="24"/>
          <w:szCs w:val="24"/>
        </w:rPr>
        <w:t>On days when no measurement is collected for the water quality parameter at the sampling location, the daily value shall be the daily value calculated on the most recent day on which the water quality was measured at the sample site. To minimize the number of days counted as excursions, a system should take a confirmation sample as soon as possible when a daily value is below the minimum value or outside the range designated by the Department. The Department has the discretion to delete results of obvious sampling errors from this calculation.</w:t>
      </w:r>
    </w:p>
    <w:p w14:paraId="2819DFA2" w14:textId="77777777" w:rsidR="004647B9" w:rsidRPr="00550618" w:rsidRDefault="00E2436F" w:rsidP="00563A54">
      <w:pPr>
        <w:numPr>
          <w:ilvl w:val="0"/>
          <w:numId w:val="168"/>
        </w:numPr>
        <w:tabs>
          <w:tab w:val="left" w:pos="2136"/>
        </w:tabs>
        <w:spacing w:line="243" w:lineRule="auto"/>
        <w:ind w:left="1560" w:hanging="5"/>
        <w:jc w:val="both"/>
        <w:rPr>
          <w:rFonts w:eastAsia="Times New Roman"/>
          <w:sz w:val="24"/>
          <w:szCs w:val="24"/>
        </w:rPr>
      </w:pPr>
      <w:r w:rsidRPr="00550618">
        <w:rPr>
          <w:rFonts w:eastAsia="Times New Roman"/>
          <w:sz w:val="24"/>
          <w:szCs w:val="24"/>
          <w:u w:val="single"/>
        </w:rPr>
        <w:t>Modification of Department Treatment Decisions</w:t>
      </w:r>
      <w:r w:rsidRPr="00550618">
        <w:rPr>
          <w:rFonts w:eastAsia="Times New Roman"/>
          <w:sz w:val="24"/>
          <w:szCs w:val="24"/>
        </w:rPr>
        <w:t>. Upon its own initiative or in response to a reasonable request by a water system or other interested party, the Department may modify its determination of the optimal corrosion control treatment under 310 CMR 22.06B(3)(d) or optimal water quality control parameters under 310 CMR 22.06B(3)(d)(f). A request for modification by a system or other interested party shall be in writing, explain why the modification is appropriate, and provide supporting documentation. The Department may modify its determination where it concludes that such change is necessary to ensure that the system continues to optimize corrosion control treatment. A revised determination shall be made in writing, set forth the new treatment requirements, explain the basis for the Department's decision, and provide an implementation schedule for completing the treatment modifications.</w:t>
      </w:r>
    </w:p>
    <w:p w14:paraId="2819DFA3" w14:textId="77777777" w:rsidR="004647B9" w:rsidRDefault="004647B9">
      <w:pPr>
        <w:sectPr w:rsidR="004647B9" w:rsidSect="00EF630C">
          <w:pgSz w:w="12240" w:h="20180"/>
          <w:pgMar w:top="708" w:right="1440" w:bottom="1440" w:left="600" w:header="0" w:footer="0" w:gutter="0"/>
          <w:cols w:space="720" w:equalWidth="0">
            <w:col w:w="10200"/>
          </w:cols>
        </w:sectPr>
      </w:pPr>
    </w:p>
    <w:p w14:paraId="2819DFA4" w14:textId="77777777" w:rsidR="004647B9" w:rsidRPr="00FD5CCD" w:rsidRDefault="00E2436F" w:rsidP="00FD5CCD">
      <w:pPr>
        <w:tabs>
          <w:tab w:val="left" w:pos="160"/>
        </w:tabs>
        <w:jc w:val="center"/>
        <w:rPr>
          <w:sz w:val="24"/>
          <w:szCs w:val="24"/>
        </w:rPr>
      </w:pPr>
      <w:bookmarkStart w:id="67" w:name="page68"/>
      <w:bookmarkEnd w:id="67"/>
      <w:r w:rsidRPr="00FD5CCD">
        <w:rPr>
          <w:rFonts w:eastAsia="Times New Roman"/>
          <w:sz w:val="24"/>
          <w:szCs w:val="24"/>
        </w:rPr>
        <w:lastRenderedPageBreak/>
        <w:t>310 CMR:</w:t>
      </w:r>
      <w:r w:rsidRPr="00FD5CCD">
        <w:rPr>
          <w:sz w:val="24"/>
          <w:szCs w:val="24"/>
        </w:rPr>
        <w:tab/>
      </w:r>
      <w:r w:rsidRPr="00FD5CCD">
        <w:rPr>
          <w:rFonts w:eastAsia="Times New Roman"/>
          <w:sz w:val="24"/>
          <w:szCs w:val="24"/>
        </w:rPr>
        <w:t>DEPARTMENT OF ENVIRONMENTAL PROTECTION</w:t>
      </w:r>
    </w:p>
    <w:p w14:paraId="2819DFA5" w14:textId="77777777" w:rsidR="004647B9" w:rsidRPr="00C974B6" w:rsidRDefault="004647B9" w:rsidP="00FD5CCD">
      <w:pPr>
        <w:rPr>
          <w:sz w:val="20"/>
          <w:szCs w:val="20"/>
        </w:rPr>
      </w:pPr>
    </w:p>
    <w:p w14:paraId="2819DFA6" w14:textId="77777777" w:rsidR="004647B9" w:rsidRPr="00C974B6" w:rsidRDefault="004647B9" w:rsidP="00FD5CCD">
      <w:pPr>
        <w:rPr>
          <w:sz w:val="20"/>
          <w:szCs w:val="20"/>
        </w:rPr>
      </w:pPr>
    </w:p>
    <w:p w14:paraId="2819DFA7" w14:textId="77777777" w:rsidR="004647B9" w:rsidRPr="00FD5CCD" w:rsidRDefault="00E2436F" w:rsidP="00FD5CCD">
      <w:pPr>
        <w:tabs>
          <w:tab w:val="left" w:pos="920"/>
        </w:tabs>
        <w:rPr>
          <w:sz w:val="24"/>
          <w:szCs w:val="24"/>
        </w:rPr>
      </w:pPr>
      <w:r w:rsidRPr="00FD5CCD">
        <w:rPr>
          <w:rFonts w:eastAsia="Times New Roman"/>
          <w:sz w:val="24"/>
          <w:szCs w:val="24"/>
        </w:rPr>
        <w:t>22.06B:</w:t>
      </w:r>
      <w:r w:rsidRPr="00FD5CCD">
        <w:rPr>
          <w:rFonts w:eastAsia="Times New Roman"/>
          <w:sz w:val="24"/>
          <w:szCs w:val="24"/>
        </w:rPr>
        <w:tab/>
        <w:t>continued</w:t>
      </w:r>
    </w:p>
    <w:p w14:paraId="2819DFA8" w14:textId="77777777" w:rsidR="004647B9" w:rsidRPr="00C974B6" w:rsidRDefault="004647B9" w:rsidP="00FD5CCD">
      <w:pPr>
        <w:rPr>
          <w:sz w:val="20"/>
          <w:szCs w:val="20"/>
        </w:rPr>
      </w:pPr>
    </w:p>
    <w:p w14:paraId="2819DFA9" w14:textId="77777777" w:rsidR="004647B9" w:rsidRPr="00FD5CCD" w:rsidRDefault="00E2436F" w:rsidP="00563A54">
      <w:pPr>
        <w:numPr>
          <w:ilvl w:val="0"/>
          <w:numId w:val="169"/>
        </w:numPr>
        <w:tabs>
          <w:tab w:val="left" w:pos="1595"/>
        </w:tabs>
        <w:ind w:left="1200"/>
        <w:jc w:val="both"/>
        <w:rPr>
          <w:rFonts w:eastAsia="Times New Roman"/>
          <w:sz w:val="24"/>
          <w:szCs w:val="24"/>
        </w:rPr>
      </w:pPr>
      <w:r w:rsidRPr="00FD5CCD">
        <w:rPr>
          <w:rFonts w:eastAsia="Times New Roman"/>
          <w:sz w:val="24"/>
          <w:szCs w:val="24"/>
          <w:u w:val="single"/>
        </w:rPr>
        <w:t>Source Water Treatment Requirements</w:t>
      </w:r>
      <w:r w:rsidRPr="00FD5CCD">
        <w:rPr>
          <w:rFonts w:eastAsia="Times New Roman"/>
          <w:sz w:val="24"/>
          <w:szCs w:val="24"/>
        </w:rPr>
        <w:t>. Systems shall complete the applicable source water monitoring and treatment requirements (described in the referenced portions of 310 CMR 22.06B(3)(b), (7) and (9)) by the following deadlines.</w:t>
      </w:r>
    </w:p>
    <w:p w14:paraId="2819DFAB" w14:textId="77777777" w:rsidR="004647B9" w:rsidRPr="00FD5CCD" w:rsidRDefault="00E2436F" w:rsidP="00563A54">
      <w:pPr>
        <w:numPr>
          <w:ilvl w:val="1"/>
          <w:numId w:val="169"/>
        </w:numPr>
        <w:tabs>
          <w:tab w:val="left" w:pos="2000"/>
        </w:tabs>
        <w:ind w:left="2000" w:hanging="445"/>
        <w:rPr>
          <w:rFonts w:eastAsia="Times New Roman"/>
          <w:sz w:val="24"/>
          <w:szCs w:val="24"/>
        </w:rPr>
      </w:pPr>
      <w:r w:rsidRPr="00FD5CCD">
        <w:rPr>
          <w:rFonts w:eastAsia="Times New Roman"/>
          <w:sz w:val="24"/>
          <w:szCs w:val="24"/>
          <w:u w:val="single"/>
        </w:rPr>
        <w:t>Deadlines for Completing Source Water Treatment Steps</w:t>
      </w:r>
      <w:r w:rsidRPr="00FD5CCD">
        <w:rPr>
          <w:rFonts w:eastAsia="Times New Roman"/>
          <w:sz w:val="24"/>
          <w:szCs w:val="24"/>
        </w:rPr>
        <w:t>.</w:t>
      </w:r>
    </w:p>
    <w:p w14:paraId="2819DFAD" w14:textId="77777777" w:rsidR="004647B9" w:rsidRPr="00FD5CCD" w:rsidRDefault="00E2436F" w:rsidP="00563A54">
      <w:pPr>
        <w:numPr>
          <w:ilvl w:val="2"/>
          <w:numId w:val="169"/>
        </w:numPr>
        <w:tabs>
          <w:tab w:val="left" w:pos="2268"/>
        </w:tabs>
        <w:ind w:left="1920" w:hanging="5"/>
        <w:jc w:val="both"/>
        <w:rPr>
          <w:rFonts w:eastAsia="Times New Roman"/>
          <w:sz w:val="24"/>
          <w:szCs w:val="24"/>
        </w:rPr>
      </w:pPr>
      <w:r w:rsidRPr="00FD5CCD">
        <w:rPr>
          <w:rFonts w:eastAsia="Times New Roman"/>
          <w:sz w:val="24"/>
          <w:szCs w:val="24"/>
          <w:u w:val="single"/>
        </w:rPr>
        <w:t>Step 1</w:t>
      </w:r>
      <w:r w:rsidRPr="00FD5CCD">
        <w:rPr>
          <w:rFonts w:eastAsia="Times New Roman"/>
          <w:sz w:val="24"/>
          <w:szCs w:val="24"/>
        </w:rPr>
        <w:t>: A system exceeding the lead or copper action level shall complete lead and copper source water monitoring (310 CMR 22.06B(9)(b)) and make a treatment recommendation to the Department (310 CMR 22.06B(4)(b)1.) no later than 180 days after the end of the monitoring period during which the lead or copper action level was exceeded.</w:t>
      </w:r>
    </w:p>
    <w:p w14:paraId="2819DFAF" w14:textId="77777777" w:rsidR="004647B9" w:rsidRPr="00FD5CCD" w:rsidRDefault="00E2436F" w:rsidP="00563A54">
      <w:pPr>
        <w:numPr>
          <w:ilvl w:val="2"/>
          <w:numId w:val="169"/>
        </w:numPr>
        <w:tabs>
          <w:tab w:val="left" w:pos="2218"/>
        </w:tabs>
        <w:ind w:left="1920" w:hanging="5"/>
        <w:jc w:val="both"/>
        <w:rPr>
          <w:rFonts w:eastAsia="Times New Roman"/>
          <w:sz w:val="24"/>
          <w:szCs w:val="24"/>
        </w:rPr>
      </w:pPr>
      <w:r w:rsidRPr="00FD5CCD">
        <w:rPr>
          <w:rFonts w:eastAsia="Times New Roman"/>
          <w:sz w:val="24"/>
          <w:szCs w:val="24"/>
          <w:u w:val="single"/>
        </w:rPr>
        <w:t>Step 2</w:t>
      </w:r>
      <w:r w:rsidRPr="00FD5CCD">
        <w:rPr>
          <w:rFonts w:eastAsia="Times New Roman"/>
          <w:sz w:val="24"/>
          <w:szCs w:val="24"/>
        </w:rPr>
        <w:t>: The Department shall make a determination regarding source water treatment (310 CMR 22.06B(4)(b)2.) within six months after submission of monitoring results under Step 1.</w:t>
      </w:r>
    </w:p>
    <w:p w14:paraId="2819DFB1" w14:textId="77777777" w:rsidR="004647B9" w:rsidRPr="00FD5CCD" w:rsidRDefault="00E2436F" w:rsidP="00563A54">
      <w:pPr>
        <w:numPr>
          <w:ilvl w:val="2"/>
          <w:numId w:val="169"/>
        </w:numPr>
        <w:tabs>
          <w:tab w:val="left" w:pos="2251"/>
        </w:tabs>
        <w:ind w:left="1920" w:hanging="5"/>
        <w:jc w:val="both"/>
        <w:rPr>
          <w:rFonts w:eastAsia="Times New Roman"/>
          <w:sz w:val="24"/>
          <w:szCs w:val="24"/>
        </w:rPr>
      </w:pPr>
      <w:r w:rsidRPr="00FD5CCD">
        <w:rPr>
          <w:rFonts w:eastAsia="Times New Roman"/>
          <w:sz w:val="24"/>
          <w:szCs w:val="24"/>
          <w:u w:val="single"/>
        </w:rPr>
        <w:t>Step 3</w:t>
      </w:r>
      <w:r w:rsidRPr="00FD5CCD">
        <w:rPr>
          <w:rFonts w:eastAsia="Times New Roman"/>
          <w:sz w:val="24"/>
          <w:szCs w:val="24"/>
        </w:rPr>
        <w:t>: If the Department requires installation of source water treatment, the system shall install the treatment (310 CMR 22.06B(4)(b)3.) within 24 months after completion of Step 2.</w:t>
      </w:r>
    </w:p>
    <w:p w14:paraId="2819DFB3" w14:textId="77777777" w:rsidR="004647B9" w:rsidRPr="00FD5CCD" w:rsidRDefault="00E2436F" w:rsidP="00563A54">
      <w:pPr>
        <w:numPr>
          <w:ilvl w:val="2"/>
          <w:numId w:val="169"/>
        </w:numPr>
        <w:tabs>
          <w:tab w:val="left" w:pos="2359"/>
        </w:tabs>
        <w:ind w:left="1920" w:hanging="5"/>
        <w:jc w:val="both"/>
        <w:rPr>
          <w:rFonts w:eastAsia="Times New Roman"/>
          <w:sz w:val="24"/>
          <w:szCs w:val="24"/>
        </w:rPr>
      </w:pPr>
      <w:r w:rsidRPr="00FD5CCD">
        <w:rPr>
          <w:rFonts w:eastAsia="Times New Roman"/>
          <w:sz w:val="24"/>
          <w:szCs w:val="24"/>
          <w:u w:val="single"/>
        </w:rPr>
        <w:t>Step 4</w:t>
      </w:r>
      <w:r w:rsidRPr="00FD5CCD">
        <w:rPr>
          <w:rFonts w:eastAsia="Times New Roman"/>
          <w:sz w:val="24"/>
          <w:szCs w:val="24"/>
        </w:rPr>
        <w:t>: The system shall complete follow-up tap water monitoring (310 CMR 22.06B(7)(d)2.) and source water monitoring (310 CMR 22.06B(9)(c)) within 36 months after completion of Step 2.</w:t>
      </w:r>
    </w:p>
    <w:p w14:paraId="2819DFB5" w14:textId="77777777" w:rsidR="004647B9" w:rsidRPr="00FD5CCD" w:rsidRDefault="00E2436F" w:rsidP="00563A54">
      <w:pPr>
        <w:numPr>
          <w:ilvl w:val="2"/>
          <w:numId w:val="169"/>
        </w:numPr>
        <w:tabs>
          <w:tab w:val="left" w:pos="2222"/>
        </w:tabs>
        <w:ind w:left="1920" w:hanging="5"/>
        <w:jc w:val="both"/>
        <w:rPr>
          <w:rFonts w:eastAsia="Times New Roman"/>
          <w:sz w:val="24"/>
          <w:szCs w:val="24"/>
        </w:rPr>
      </w:pPr>
      <w:r w:rsidRPr="00FD5CCD">
        <w:rPr>
          <w:rFonts w:eastAsia="Times New Roman"/>
          <w:sz w:val="24"/>
          <w:szCs w:val="24"/>
          <w:u w:val="single"/>
        </w:rPr>
        <w:t>Step 5</w:t>
      </w:r>
      <w:r w:rsidRPr="00FD5CCD">
        <w:rPr>
          <w:rFonts w:eastAsia="Times New Roman"/>
          <w:sz w:val="24"/>
          <w:szCs w:val="24"/>
        </w:rPr>
        <w:t>: The Department shall review the system's installation and operation of source water treatment and specify maximum permissible source water levels (310 CMR 22.06B(4)(b)4.) within six months after completion of Step 4.</w:t>
      </w:r>
    </w:p>
    <w:p w14:paraId="2819DFB7" w14:textId="77777777" w:rsidR="004647B9" w:rsidRPr="00FD5CCD" w:rsidRDefault="00E2436F" w:rsidP="00563A54">
      <w:pPr>
        <w:numPr>
          <w:ilvl w:val="2"/>
          <w:numId w:val="169"/>
        </w:numPr>
        <w:tabs>
          <w:tab w:val="left" w:pos="2359"/>
        </w:tabs>
        <w:ind w:left="1920" w:hanging="5"/>
        <w:jc w:val="both"/>
        <w:rPr>
          <w:rFonts w:eastAsia="Times New Roman"/>
          <w:sz w:val="24"/>
          <w:szCs w:val="24"/>
        </w:rPr>
      </w:pPr>
      <w:r w:rsidRPr="00FD5CCD">
        <w:rPr>
          <w:rFonts w:eastAsia="Times New Roman"/>
          <w:sz w:val="24"/>
          <w:szCs w:val="24"/>
          <w:u w:val="single"/>
        </w:rPr>
        <w:t>Step 6</w:t>
      </w:r>
      <w:r w:rsidRPr="00FD5CCD">
        <w:rPr>
          <w:rFonts w:eastAsia="Times New Roman"/>
          <w:sz w:val="24"/>
          <w:szCs w:val="24"/>
        </w:rPr>
        <w:t>: The system shall operate in compliance with the Department-specified maximum permissible lead and copper source water levels (310 CMR 22.06B(4)(b)4.) and continue source water monitoring (310 CMR 22.06B(9)(d)).</w:t>
      </w:r>
    </w:p>
    <w:p w14:paraId="2819DFB9" w14:textId="77777777" w:rsidR="004647B9" w:rsidRPr="00FD5CCD" w:rsidRDefault="00E2436F" w:rsidP="00563A54">
      <w:pPr>
        <w:numPr>
          <w:ilvl w:val="1"/>
          <w:numId w:val="169"/>
        </w:numPr>
        <w:tabs>
          <w:tab w:val="left" w:pos="2020"/>
        </w:tabs>
        <w:ind w:left="2020" w:hanging="465"/>
        <w:rPr>
          <w:rFonts w:eastAsia="Times New Roman"/>
          <w:sz w:val="24"/>
          <w:szCs w:val="24"/>
        </w:rPr>
      </w:pPr>
      <w:r w:rsidRPr="00FD5CCD">
        <w:rPr>
          <w:rFonts w:eastAsia="Times New Roman"/>
          <w:sz w:val="24"/>
          <w:szCs w:val="24"/>
          <w:u w:val="single"/>
        </w:rPr>
        <w:t>Description of Source Water Treatment Requirements</w:t>
      </w:r>
      <w:r w:rsidRPr="00FD5CCD">
        <w:rPr>
          <w:rFonts w:eastAsia="Times New Roman"/>
          <w:sz w:val="24"/>
          <w:szCs w:val="24"/>
        </w:rPr>
        <w:t>.</w:t>
      </w:r>
    </w:p>
    <w:p w14:paraId="2819DFBB" w14:textId="77777777" w:rsidR="004647B9" w:rsidRPr="00FD5CCD" w:rsidRDefault="00E2436F" w:rsidP="00563A54">
      <w:pPr>
        <w:numPr>
          <w:ilvl w:val="2"/>
          <w:numId w:val="169"/>
        </w:numPr>
        <w:tabs>
          <w:tab w:val="left" w:pos="2251"/>
        </w:tabs>
        <w:ind w:left="1920" w:hanging="5"/>
        <w:jc w:val="both"/>
        <w:rPr>
          <w:rFonts w:eastAsia="Times New Roman"/>
          <w:sz w:val="24"/>
          <w:szCs w:val="24"/>
        </w:rPr>
      </w:pPr>
      <w:r w:rsidRPr="00FD5CCD">
        <w:rPr>
          <w:rFonts w:eastAsia="Times New Roman"/>
          <w:sz w:val="24"/>
          <w:szCs w:val="24"/>
          <w:u w:val="single"/>
        </w:rPr>
        <w:t>System Treatment Recommendation</w:t>
      </w:r>
      <w:r w:rsidRPr="00FD5CCD">
        <w:rPr>
          <w:rFonts w:eastAsia="Times New Roman"/>
          <w:sz w:val="24"/>
          <w:szCs w:val="24"/>
        </w:rPr>
        <w:t>. Any system which exceeds the lead or copper action level shall recommend in writing to the Department the installation and operation of one of the source water treatments listed in 310 CMR 22.06B(4)(b)2. A system may recommend that no treatment be installed based upon a demonstration that source water treatment is not necessary to minimize lead and copper levels at users' taps.</w:t>
      </w:r>
    </w:p>
    <w:p w14:paraId="2819DFBD" w14:textId="77777777" w:rsidR="004647B9" w:rsidRPr="00FD5CCD" w:rsidRDefault="00E2436F" w:rsidP="00563A54">
      <w:pPr>
        <w:numPr>
          <w:ilvl w:val="2"/>
          <w:numId w:val="169"/>
        </w:numPr>
        <w:tabs>
          <w:tab w:val="left" w:pos="2316"/>
        </w:tabs>
        <w:ind w:left="1920" w:hanging="5"/>
        <w:jc w:val="both"/>
        <w:rPr>
          <w:rFonts w:eastAsia="Times New Roman"/>
          <w:sz w:val="24"/>
          <w:szCs w:val="24"/>
        </w:rPr>
      </w:pPr>
      <w:r w:rsidRPr="00FD5CCD">
        <w:rPr>
          <w:rFonts w:eastAsia="Times New Roman"/>
          <w:sz w:val="24"/>
          <w:szCs w:val="24"/>
          <w:u w:val="single"/>
        </w:rPr>
        <w:t>Department Determination Regarding Source Water Treatment</w:t>
      </w:r>
      <w:r w:rsidRPr="00FD5CCD">
        <w:rPr>
          <w:rFonts w:eastAsia="Times New Roman"/>
          <w:sz w:val="24"/>
          <w:szCs w:val="24"/>
        </w:rPr>
        <w:t>. The Department shall complete an evaluation of the results of all source water samples submitted by the water system to determine whether source water treatment is necessary to minimize lead or copper levels in water delivered to users' taps. If the Department determines that treatment is needed, the Department shall either require installation and operation of the source water treatment recommended by the system (if any) or require the installation and operation of another source water treatment from among the following: ion exchange, reverse osmosis, lime softening or coagulation/filtration. If the Department requests additional information to aid in its review, the water system shall provide the information by the date specified by the Department in its request. The Department shall notify the system in writing of its determination and set forth the basis for its decision.</w:t>
      </w:r>
    </w:p>
    <w:p w14:paraId="2819DFBF" w14:textId="77777777" w:rsidR="004647B9" w:rsidRPr="00FD5CCD" w:rsidRDefault="00E2436F" w:rsidP="00563A54">
      <w:pPr>
        <w:numPr>
          <w:ilvl w:val="2"/>
          <w:numId w:val="169"/>
        </w:numPr>
        <w:tabs>
          <w:tab w:val="left" w:pos="2352"/>
        </w:tabs>
        <w:ind w:left="1920" w:hanging="5"/>
        <w:jc w:val="both"/>
        <w:rPr>
          <w:rFonts w:eastAsia="Times New Roman"/>
          <w:sz w:val="24"/>
          <w:szCs w:val="24"/>
        </w:rPr>
      </w:pPr>
      <w:r w:rsidRPr="00FD5CCD">
        <w:rPr>
          <w:rFonts w:eastAsia="Times New Roman"/>
          <w:sz w:val="24"/>
          <w:szCs w:val="24"/>
          <w:u w:val="single"/>
        </w:rPr>
        <w:t>Installation of Source Water Treatment</w:t>
      </w:r>
      <w:r w:rsidRPr="00FD5CCD">
        <w:rPr>
          <w:rFonts w:eastAsia="Times New Roman"/>
          <w:sz w:val="24"/>
          <w:szCs w:val="24"/>
        </w:rPr>
        <w:t>. Each system shall properly install and operate the source water treatment designated by the Department under 310 CMR 22.06B(4)(b)2.</w:t>
      </w:r>
    </w:p>
    <w:p w14:paraId="2819DFC1" w14:textId="77777777" w:rsidR="004647B9" w:rsidRPr="00FD5CCD" w:rsidRDefault="00E2436F" w:rsidP="00563A54">
      <w:pPr>
        <w:numPr>
          <w:ilvl w:val="2"/>
          <w:numId w:val="169"/>
        </w:numPr>
        <w:tabs>
          <w:tab w:val="left" w:pos="2345"/>
        </w:tabs>
        <w:ind w:left="1920" w:hanging="5"/>
        <w:jc w:val="both"/>
        <w:rPr>
          <w:rFonts w:eastAsia="Times New Roman"/>
          <w:sz w:val="24"/>
          <w:szCs w:val="24"/>
        </w:rPr>
      </w:pPr>
      <w:r w:rsidRPr="00FD5CCD">
        <w:rPr>
          <w:rFonts w:eastAsia="Times New Roman"/>
          <w:sz w:val="24"/>
          <w:szCs w:val="24"/>
          <w:u w:val="single"/>
        </w:rPr>
        <w:t>Department Review of Source Water Treatment and Specification of Maximum Permissible Source Water Levels</w:t>
      </w:r>
      <w:r w:rsidRPr="00FD5CCD">
        <w:rPr>
          <w:rFonts w:eastAsia="Times New Roman"/>
          <w:sz w:val="24"/>
          <w:szCs w:val="24"/>
        </w:rPr>
        <w:t>. The Department shall review the source water sample analysis taken by the water system both before and after the system installs source water treatment, and determine whether the system has properly installed and operated the source water treatment designated by the Department. Based upon its review, the Department shall designate the maximum permissible lead and copper concentrations for finished water entering the distribution system. Such levels shall reflect the contaminant removal capability of the treatment properly operated and maintained. The Department shall notify the system in writing and explain the basis for its decision.</w:t>
      </w:r>
    </w:p>
    <w:p w14:paraId="2819DFC3" w14:textId="77777777" w:rsidR="004647B9" w:rsidRPr="00FD5CCD" w:rsidRDefault="00E2436F" w:rsidP="00563A54">
      <w:pPr>
        <w:numPr>
          <w:ilvl w:val="2"/>
          <w:numId w:val="169"/>
        </w:numPr>
        <w:tabs>
          <w:tab w:val="left" w:pos="2318"/>
        </w:tabs>
        <w:ind w:left="1920" w:hanging="5"/>
        <w:jc w:val="both"/>
        <w:rPr>
          <w:rFonts w:eastAsia="Times New Roman"/>
          <w:sz w:val="24"/>
          <w:szCs w:val="24"/>
        </w:rPr>
      </w:pPr>
      <w:r w:rsidRPr="00FD5CCD">
        <w:rPr>
          <w:rFonts w:eastAsia="Times New Roman"/>
          <w:sz w:val="24"/>
          <w:szCs w:val="24"/>
          <w:u w:val="single"/>
        </w:rPr>
        <w:t>Continued Operation and Maintenance</w:t>
      </w:r>
      <w:r w:rsidRPr="00FD5CCD">
        <w:rPr>
          <w:rFonts w:eastAsia="Times New Roman"/>
          <w:sz w:val="24"/>
          <w:szCs w:val="24"/>
        </w:rPr>
        <w:t xml:space="preserve">. Each water system shall maintain source water lead and copper levels below 0.005 mg/L and 0.65 mg/L respectively at each sampling point monitored in accordance with 310 CMR 22.06B(9). The system is out </w:t>
      </w:r>
      <w:r w:rsidRPr="00FD5CCD">
        <w:rPr>
          <w:rFonts w:eastAsia="Times New Roman"/>
          <w:sz w:val="24"/>
          <w:szCs w:val="24"/>
        </w:rPr>
        <w:lastRenderedPageBreak/>
        <w:t>of compliance with 310 CMR 22.06B(9) if the level of lead or copper at any source water sampling point is greater than 0.005 mg/L for lead or 0.65 mg/L for copper.</w:t>
      </w:r>
    </w:p>
    <w:p w14:paraId="2819DFC4" w14:textId="77777777" w:rsidR="004647B9" w:rsidRDefault="004647B9">
      <w:pPr>
        <w:sectPr w:rsidR="004647B9" w:rsidSect="00EF630C">
          <w:pgSz w:w="12240" w:h="20180"/>
          <w:pgMar w:top="708" w:right="1440" w:bottom="1440" w:left="600" w:header="0" w:footer="0" w:gutter="0"/>
          <w:cols w:space="720" w:equalWidth="0">
            <w:col w:w="10200"/>
          </w:cols>
        </w:sectPr>
      </w:pPr>
    </w:p>
    <w:p w14:paraId="2819DFC5" w14:textId="77777777" w:rsidR="004647B9" w:rsidRDefault="00E2436F">
      <w:pPr>
        <w:tabs>
          <w:tab w:val="left" w:pos="160"/>
        </w:tabs>
        <w:jc w:val="center"/>
        <w:rPr>
          <w:sz w:val="20"/>
          <w:szCs w:val="20"/>
        </w:rPr>
      </w:pPr>
      <w:bookmarkStart w:id="68" w:name="page69"/>
      <w:bookmarkEnd w:id="6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FC6" w14:textId="77777777" w:rsidR="004647B9" w:rsidRDefault="004647B9" w:rsidP="00C974B6">
      <w:pPr>
        <w:rPr>
          <w:sz w:val="20"/>
          <w:szCs w:val="20"/>
        </w:rPr>
      </w:pPr>
    </w:p>
    <w:p w14:paraId="2819DFC7" w14:textId="77777777" w:rsidR="004647B9" w:rsidRDefault="004647B9" w:rsidP="00C974B6">
      <w:pPr>
        <w:rPr>
          <w:sz w:val="20"/>
          <w:szCs w:val="20"/>
        </w:rPr>
      </w:pPr>
    </w:p>
    <w:p w14:paraId="2819DFC8"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DFC9" w14:textId="77777777" w:rsidR="004647B9" w:rsidRDefault="004647B9" w:rsidP="00C974B6">
      <w:pPr>
        <w:rPr>
          <w:sz w:val="20"/>
          <w:szCs w:val="20"/>
        </w:rPr>
      </w:pPr>
    </w:p>
    <w:p w14:paraId="2819DFCA" w14:textId="77777777" w:rsidR="004647B9" w:rsidRPr="00550618" w:rsidRDefault="00E2436F" w:rsidP="00563A54">
      <w:pPr>
        <w:numPr>
          <w:ilvl w:val="2"/>
          <w:numId w:val="170"/>
        </w:numPr>
        <w:tabs>
          <w:tab w:val="left" w:pos="2338"/>
        </w:tabs>
        <w:spacing w:line="245" w:lineRule="auto"/>
        <w:ind w:left="1920" w:hanging="5"/>
        <w:jc w:val="both"/>
        <w:rPr>
          <w:rFonts w:eastAsia="Times New Roman"/>
          <w:sz w:val="24"/>
          <w:szCs w:val="24"/>
        </w:rPr>
      </w:pPr>
      <w:r w:rsidRPr="00550618">
        <w:rPr>
          <w:rFonts w:eastAsia="Times New Roman"/>
          <w:sz w:val="24"/>
          <w:szCs w:val="24"/>
          <w:u w:val="single"/>
        </w:rPr>
        <w:t>Modification of Department Treatment Decisions</w:t>
      </w:r>
      <w:r w:rsidRPr="00550618">
        <w:rPr>
          <w:rFonts w:eastAsia="Times New Roman"/>
          <w:sz w:val="24"/>
          <w:szCs w:val="24"/>
        </w:rPr>
        <w:t>. Upon its own initiative or in response to a request by a water system or other interested party, the Department may modify its determination of the source water treatment under 310 CMR 22.06B(4)(b)2., or maximum permissible lead and copper concentrations for finished water entering the distribution system under 310 CMR 22.06B(4)(b)4. A request for modification by a system or other interested party shall be in writing, explain why the modification is appropriate, and provide supporting documentation. The Department may modify its determination where it concludes that such change is necessary to ensure that the system continues to minimize lead and copper concentrations in source water. A revised determination shall be made in writing, set forth the new treatment requirements, explain the basis for the Department's decision, and provide an implementation schedule for completing the treatment modifications.</w:t>
      </w:r>
    </w:p>
    <w:p w14:paraId="2819DFCB" w14:textId="77777777" w:rsidR="004647B9" w:rsidRPr="00550618" w:rsidRDefault="004647B9" w:rsidP="00C974B6">
      <w:pPr>
        <w:rPr>
          <w:rFonts w:eastAsia="Times New Roman"/>
          <w:sz w:val="24"/>
          <w:szCs w:val="24"/>
        </w:rPr>
      </w:pPr>
    </w:p>
    <w:p w14:paraId="2819DFCC" w14:textId="77777777" w:rsidR="004647B9" w:rsidRPr="00550618" w:rsidRDefault="00E2436F" w:rsidP="00563A54">
      <w:pPr>
        <w:numPr>
          <w:ilvl w:val="0"/>
          <w:numId w:val="171"/>
        </w:numPr>
        <w:tabs>
          <w:tab w:val="left" w:pos="1660"/>
        </w:tabs>
        <w:ind w:left="1660" w:hanging="460"/>
        <w:rPr>
          <w:rFonts w:eastAsia="Times New Roman"/>
          <w:sz w:val="24"/>
          <w:szCs w:val="24"/>
        </w:rPr>
      </w:pPr>
      <w:r w:rsidRPr="00550618">
        <w:rPr>
          <w:rFonts w:eastAsia="Times New Roman"/>
          <w:sz w:val="24"/>
          <w:szCs w:val="24"/>
          <w:u w:val="single"/>
        </w:rPr>
        <w:t>Lead Service Line Replacement Requirements</w:t>
      </w:r>
      <w:r w:rsidRPr="00550618">
        <w:rPr>
          <w:rFonts w:eastAsia="Times New Roman"/>
          <w:sz w:val="24"/>
          <w:szCs w:val="24"/>
        </w:rPr>
        <w:t>.</w:t>
      </w:r>
    </w:p>
    <w:p w14:paraId="2819DFCE" w14:textId="77777777" w:rsidR="004647B9" w:rsidRPr="00550618" w:rsidRDefault="00E2436F" w:rsidP="00563A54">
      <w:pPr>
        <w:numPr>
          <w:ilvl w:val="1"/>
          <w:numId w:val="171"/>
        </w:numPr>
        <w:tabs>
          <w:tab w:val="left" w:pos="1963"/>
        </w:tabs>
        <w:spacing w:line="243" w:lineRule="auto"/>
        <w:ind w:left="1560" w:hanging="5"/>
        <w:jc w:val="both"/>
        <w:rPr>
          <w:rFonts w:eastAsia="Times New Roman"/>
          <w:sz w:val="24"/>
          <w:szCs w:val="24"/>
        </w:rPr>
      </w:pPr>
      <w:r w:rsidRPr="00550618">
        <w:rPr>
          <w:rFonts w:eastAsia="Times New Roman"/>
          <w:sz w:val="24"/>
          <w:szCs w:val="24"/>
        </w:rPr>
        <w:t>Systems that fail to meet the lead action level in tap samples taken pursuant to 310 CMR 22.06B(7)(d)2., after installing corrosion control and/or source water treatment (whichever sampling occurs later), shall replace lead service lines in accordance with the requirements of 310 CMR 22.06B(5). Such systems shall submit a lead service line replacement plan to the Department for approval within 60 days of the end of the monitoring period unless otherwise approved by the Department. If a system is in violation of 310 CMR 22.06B(2) or (4) for failure to install source water or corrosion control treatment, the Department may require the system to commence lead service line replacement under 310 CMR 22.06B(5) after the date by which the system was required to conduct monitoring under 310 CMR 22.06B(7)(d)2. has passed.</w:t>
      </w:r>
    </w:p>
    <w:p w14:paraId="2819DFD0" w14:textId="77777777" w:rsidR="004647B9" w:rsidRPr="00550618" w:rsidRDefault="00E2436F" w:rsidP="00563A54">
      <w:pPr>
        <w:numPr>
          <w:ilvl w:val="1"/>
          <w:numId w:val="171"/>
        </w:numPr>
        <w:tabs>
          <w:tab w:val="left" w:pos="1920"/>
        </w:tabs>
        <w:spacing w:line="251" w:lineRule="auto"/>
        <w:ind w:left="1920" w:hanging="365"/>
        <w:jc w:val="both"/>
        <w:rPr>
          <w:rFonts w:eastAsia="Times New Roman"/>
          <w:sz w:val="24"/>
          <w:szCs w:val="24"/>
        </w:rPr>
      </w:pPr>
      <w:r w:rsidRPr="00550618">
        <w:rPr>
          <w:rFonts w:eastAsia="Times New Roman"/>
          <w:sz w:val="24"/>
          <w:szCs w:val="24"/>
        </w:rPr>
        <w:t>1. A water system shall replace annually at least 7% of the initial number of lead service lines in its distribution system. The initial number of lead service lines is the number of lead lines in place at the time the replacement program begins. The system shall identify the initial number of lead service lines in its distribution system, including an identification of the portion(s) owned by the system, based on a materials evaluation, including the evaluation required under 310 CMR 22.06B(7)(a) and relevant legal authorities (</w:t>
      </w:r>
      <w:r w:rsidRPr="00550618">
        <w:rPr>
          <w:rFonts w:eastAsia="Times New Roman"/>
          <w:i/>
          <w:iCs/>
          <w:sz w:val="24"/>
          <w:szCs w:val="24"/>
        </w:rPr>
        <w:t>e.g</w:t>
      </w:r>
      <w:r w:rsidRPr="00550618">
        <w:rPr>
          <w:rFonts w:eastAsia="Times New Roman"/>
          <w:sz w:val="24"/>
          <w:szCs w:val="24"/>
        </w:rPr>
        <w:t>. contracts, local ordinances) regarding the portion owned by the system. The first year of lead service line replacement shall begin on the first day following the end of the monitoring period in which the action level was exceeded in tap sampling referenced in 310 CMR 22.06B(5)(a). If monitoring is required annually or less frequently, the end of the monitoring period is September 30</w:t>
      </w:r>
      <w:r w:rsidRPr="00550618">
        <w:rPr>
          <w:rFonts w:eastAsia="Times New Roman"/>
          <w:sz w:val="24"/>
          <w:szCs w:val="24"/>
          <w:vertAlign w:val="superscript"/>
        </w:rPr>
        <w:t>th</w:t>
      </w:r>
      <w:r w:rsidRPr="00550618">
        <w:rPr>
          <w:rFonts w:eastAsia="Times New Roman"/>
          <w:sz w:val="24"/>
          <w:szCs w:val="24"/>
        </w:rPr>
        <w:t xml:space="preserve"> of the calendar year in which the sampling occurs. If the Department has established an alternate monitoring period, then the end of the monitoring period will be the last day of that period.</w:t>
      </w:r>
    </w:p>
    <w:p w14:paraId="2819DFD2" w14:textId="6932BC49" w:rsidR="004647B9" w:rsidRPr="00550618" w:rsidRDefault="00E2436F" w:rsidP="00563A54">
      <w:pPr>
        <w:numPr>
          <w:ilvl w:val="2"/>
          <w:numId w:val="171"/>
        </w:numPr>
        <w:tabs>
          <w:tab w:val="left" w:pos="2400"/>
        </w:tabs>
        <w:spacing w:line="243" w:lineRule="auto"/>
        <w:ind w:left="1920" w:hanging="5"/>
        <w:jc w:val="both"/>
        <w:rPr>
          <w:rFonts w:eastAsia="Times New Roman"/>
          <w:sz w:val="24"/>
          <w:szCs w:val="24"/>
        </w:rPr>
      </w:pPr>
      <w:r w:rsidRPr="00550618">
        <w:rPr>
          <w:rFonts w:eastAsia="Times New Roman"/>
          <w:sz w:val="24"/>
          <w:szCs w:val="24"/>
        </w:rPr>
        <w:t>Any water system resuming a lead service line replacement program after the cessation of its lead service line replacement program as allowed in 310 CMR</w:t>
      </w:r>
      <w:r w:rsidR="00C974B6">
        <w:rPr>
          <w:rFonts w:eastAsia="Times New Roman"/>
          <w:sz w:val="24"/>
          <w:szCs w:val="24"/>
        </w:rPr>
        <w:t xml:space="preserve"> </w:t>
      </w:r>
      <w:r w:rsidR="00C974B6" w:rsidRPr="00550618">
        <w:rPr>
          <w:rFonts w:eastAsia="Times New Roman"/>
          <w:sz w:val="24"/>
          <w:szCs w:val="24"/>
        </w:rPr>
        <w:t>22.06B(5)(f) must do the following</w:t>
      </w:r>
      <w:r w:rsidR="00EF09D9">
        <w:rPr>
          <w:rFonts w:eastAsia="Times New Roman"/>
          <w:sz w:val="24"/>
          <w:szCs w:val="24"/>
        </w:rPr>
        <w:t>:</w:t>
      </w:r>
    </w:p>
    <w:p w14:paraId="2819DFD5" w14:textId="77777777" w:rsidR="004647B9" w:rsidRPr="00550618" w:rsidRDefault="00E2436F" w:rsidP="00563A54">
      <w:pPr>
        <w:numPr>
          <w:ilvl w:val="3"/>
          <w:numId w:val="171"/>
        </w:numPr>
        <w:tabs>
          <w:tab w:val="left" w:pos="2648"/>
        </w:tabs>
        <w:spacing w:line="243" w:lineRule="auto"/>
        <w:ind w:left="2280" w:hanging="5"/>
        <w:jc w:val="both"/>
        <w:rPr>
          <w:rFonts w:eastAsia="Times New Roman"/>
          <w:sz w:val="24"/>
          <w:szCs w:val="24"/>
        </w:rPr>
      </w:pPr>
      <w:r w:rsidRPr="00550618">
        <w:rPr>
          <w:rFonts w:eastAsia="Times New Roman"/>
          <w:sz w:val="24"/>
          <w:szCs w:val="24"/>
        </w:rPr>
        <w:t>Shall update its inventory of lead service lines to include those sites that were previously determined not to require replacement through the sampling provision under 310 CMR 22.06B(5)(c).</w:t>
      </w:r>
    </w:p>
    <w:p w14:paraId="2819DFD7" w14:textId="77777777" w:rsidR="004647B9" w:rsidRPr="00550618" w:rsidRDefault="00E2436F" w:rsidP="00563A54">
      <w:pPr>
        <w:numPr>
          <w:ilvl w:val="3"/>
          <w:numId w:val="171"/>
        </w:numPr>
        <w:tabs>
          <w:tab w:val="left" w:pos="2630"/>
        </w:tabs>
        <w:spacing w:line="243" w:lineRule="auto"/>
        <w:ind w:left="2280" w:hanging="5"/>
        <w:jc w:val="both"/>
        <w:rPr>
          <w:rFonts w:eastAsia="Times New Roman"/>
          <w:sz w:val="24"/>
          <w:szCs w:val="24"/>
        </w:rPr>
      </w:pPr>
      <w:r w:rsidRPr="00550618">
        <w:rPr>
          <w:rFonts w:eastAsia="Times New Roman"/>
          <w:sz w:val="24"/>
          <w:szCs w:val="24"/>
        </w:rPr>
        <w:t>The system will then divide the updated number of remaining lead service lines by the number of remaining years in the program to determine the number of lines that must be replaced per year (7% lead service line replacement is based on a 15-year replacement program, so, for example, systems resuming lead service line replacement after previously conducting two years of replacement would divide the updated inventory by 13).</w:t>
      </w:r>
    </w:p>
    <w:p w14:paraId="2819DFD9" w14:textId="77777777" w:rsidR="004647B9" w:rsidRPr="00550618" w:rsidRDefault="00E2436F" w:rsidP="00563A54">
      <w:pPr>
        <w:numPr>
          <w:ilvl w:val="3"/>
          <w:numId w:val="171"/>
        </w:numPr>
        <w:tabs>
          <w:tab w:val="left" w:pos="2641"/>
        </w:tabs>
        <w:spacing w:line="243" w:lineRule="auto"/>
        <w:ind w:left="2280" w:hanging="5"/>
        <w:jc w:val="both"/>
        <w:rPr>
          <w:rFonts w:eastAsia="Times New Roman"/>
          <w:sz w:val="24"/>
          <w:szCs w:val="24"/>
        </w:rPr>
      </w:pPr>
      <w:r w:rsidRPr="00550618">
        <w:rPr>
          <w:rFonts w:eastAsia="Times New Roman"/>
          <w:sz w:val="24"/>
          <w:szCs w:val="24"/>
        </w:rPr>
        <w:t>For those systems that have completed a 15-year lead service line replacement program, the Department will determine a schedule for replacing or retesting lines that were previously tested out under the replacement program when the system re-exceeds the action level.</w:t>
      </w:r>
    </w:p>
    <w:p w14:paraId="2819DFDA" w14:textId="77777777" w:rsidR="004647B9" w:rsidRDefault="00E2436F" w:rsidP="00563A54">
      <w:pPr>
        <w:numPr>
          <w:ilvl w:val="1"/>
          <w:numId w:val="171"/>
        </w:numPr>
        <w:tabs>
          <w:tab w:val="left" w:pos="2162"/>
        </w:tabs>
        <w:spacing w:line="244" w:lineRule="auto"/>
        <w:ind w:left="1560" w:hanging="5"/>
        <w:jc w:val="both"/>
        <w:rPr>
          <w:rFonts w:eastAsia="Times New Roman"/>
          <w:sz w:val="24"/>
          <w:szCs w:val="24"/>
        </w:rPr>
      </w:pPr>
      <w:r w:rsidRPr="00550618">
        <w:rPr>
          <w:rFonts w:eastAsia="Times New Roman"/>
          <w:sz w:val="24"/>
          <w:szCs w:val="24"/>
        </w:rPr>
        <w:t>A system is not required to replace an individual lead service line if the lead concentration in all service line samples from that line, taken pursuant to 310 CMR 22.06B(7)(b)3. is less than or equal to 0.015 mg/L</w:t>
      </w:r>
      <w:r>
        <w:rPr>
          <w:rFonts w:eastAsia="Times New Roman"/>
          <w:sz w:val="24"/>
          <w:szCs w:val="24"/>
        </w:rPr>
        <w:t>.</w:t>
      </w:r>
    </w:p>
    <w:p w14:paraId="2819DFDB" w14:textId="77777777" w:rsidR="004647B9" w:rsidRDefault="004647B9">
      <w:pPr>
        <w:sectPr w:rsidR="004647B9" w:rsidSect="00EF630C">
          <w:pgSz w:w="12240" w:h="20180"/>
          <w:pgMar w:top="708" w:right="1440" w:bottom="1440" w:left="600" w:header="0" w:footer="0" w:gutter="0"/>
          <w:cols w:space="720" w:equalWidth="0">
            <w:col w:w="10200"/>
          </w:cols>
        </w:sectPr>
      </w:pPr>
    </w:p>
    <w:p w14:paraId="2819DFDC" w14:textId="77777777" w:rsidR="004647B9" w:rsidRDefault="00E2436F">
      <w:pPr>
        <w:tabs>
          <w:tab w:val="left" w:pos="160"/>
        </w:tabs>
        <w:jc w:val="center"/>
        <w:rPr>
          <w:sz w:val="20"/>
          <w:szCs w:val="20"/>
        </w:rPr>
      </w:pPr>
      <w:bookmarkStart w:id="69" w:name="page70"/>
      <w:bookmarkEnd w:id="6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FDD" w14:textId="77777777" w:rsidR="004647B9" w:rsidRDefault="004647B9" w:rsidP="00EF09D9">
      <w:pPr>
        <w:rPr>
          <w:sz w:val="20"/>
          <w:szCs w:val="20"/>
        </w:rPr>
      </w:pPr>
    </w:p>
    <w:p w14:paraId="2819DFDE" w14:textId="77777777" w:rsidR="004647B9" w:rsidRDefault="004647B9" w:rsidP="00EF09D9">
      <w:pPr>
        <w:rPr>
          <w:sz w:val="20"/>
          <w:szCs w:val="20"/>
        </w:rPr>
      </w:pPr>
    </w:p>
    <w:p w14:paraId="2819DFDF"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DFE0" w14:textId="77777777" w:rsidR="004647B9" w:rsidRDefault="004647B9" w:rsidP="00EF09D9">
      <w:pPr>
        <w:rPr>
          <w:sz w:val="20"/>
          <w:szCs w:val="20"/>
        </w:rPr>
      </w:pPr>
    </w:p>
    <w:p w14:paraId="2819DFE1" w14:textId="77777777" w:rsidR="004647B9" w:rsidRPr="00550618" w:rsidRDefault="00E2436F" w:rsidP="00563A54">
      <w:pPr>
        <w:numPr>
          <w:ilvl w:val="1"/>
          <w:numId w:val="172"/>
        </w:numPr>
        <w:tabs>
          <w:tab w:val="left" w:pos="2013"/>
        </w:tabs>
        <w:spacing w:line="257" w:lineRule="auto"/>
        <w:ind w:left="1560" w:hanging="5"/>
        <w:jc w:val="both"/>
        <w:rPr>
          <w:rFonts w:eastAsia="Times New Roman"/>
          <w:sz w:val="24"/>
          <w:szCs w:val="24"/>
        </w:rPr>
      </w:pPr>
      <w:r w:rsidRPr="00550618">
        <w:rPr>
          <w:rFonts w:eastAsia="Times New Roman"/>
          <w:sz w:val="24"/>
          <w:szCs w:val="24"/>
        </w:rPr>
        <w:t>A water system shall replace that portion of the lead service line that it owns. In cases where the system does not own the entire lead service line, the system shall notify the owner of the line, or the owner’s authorized agent, that the system will replace the portion of the service line that it owns and shall offer to replace the owner’s portion of the line. A system is not required to bear the cost of replacing the privately-owned portion of the line, nor is it required to replace the privately-owned portion where the owner chooses not to pay the cost of replacing the privately-owned portion of the line, or where replacing the privately-owned portion would be precluded by State, local or common law. A water system that does not replace the entire length of the service line also shall complete the following tasks.</w:t>
      </w:r>
    </w:p>
    <w:p w14:paraId="2819DFE2" w14:textId="77777777" w:rsidR="004647B9" w:rsidRPr="00550618" w:rsidRDefault="00E2436F" w:rsidP="00563A54">
      <w:pPr>
        <w:numPr>
          <w:ilvl w:val="2"/>
          <w:numId w:val="172"/>
        </w:numPr>
        <w:tabs>
          <w:tab w:val="left" w:pos="2273"/>
        </w:tabs>
        <w:spacing w:line="253" w:lineRule="auto"/>
        <w:ind w:left="1920" w:hanging="5"/>
        <w:jc w:val="both"/>
        <w:rPr>
          <w:rFonts w:eastAsia="Times New Roman"/>
          <w:sz w:val="24"/>
          <w:szCs w:val="24"/>
        </w:rPr>
      </w:pPr>
      <w:r w:rsidRPr="00550618">
        <w:rPr>
          <w:rFonts w:eastAsia="Times New Roman"/>
          <w:sz w:val="24"/>
          <w:szCs w:val="24"/>
        </w:rPr>
        <w:t>At least 45 days prior to commencing with the partial replacement of a lead service line, the water system shall provide notice to the resident(s) of all buildings served by the line explaining that they may experience a temporary increase of lead levels in their drinking water, along with guidance on measures consumers can take to minimize their exposure to lead. The Department may allow the water system to provide notice under the previous sentence less than 45 days prior to commencing partial lead service line replacement where such replacement is in conjunction with emergency repairs. In addition, the water system shall inform the resident(s) served by the line that the system will, at the system’s expense, collect a sample from each partially-replaced lead service line that is representative of the water in the service line for analysis of lead content, as prescribed under 310 CMR 22.06B(7)(b)3., within 72 hours after the completion of the partial replacement of the service line. The system shall collect the sample and report the results of the analysis to the owner and the resident(s) served by the line within three business days of receiving the results. Mailed notices post-marked within three business days of receiving the results shall be considered “on time”.</w:t>
      </w:r>
    </w:p>
    <w:p w14:paraId="2819DFE4" w14:textId="77777777" w:rsidR="004647B9" w:rsidRPr="00550618" w:rsidRDefault="00E2436F" w:rsidP="00563A54">
      <w:pPr>
        <w:numPr>
          <w:ilvl w:val="2"/>
          <w:numId w:val="172"/>
        </w:numPr>
        <w:tabs>
          <w:tab w:val="left" w:pos="2222"/>
        </w:tabs>
        <w:spacing w:line="253" w:lineRule="auto"/>
        <w:ind w:left="1920" w:hanging="5"/>
        <w:jc w:val="both"/>
        <w:rPr>
          <w:rFonts w:eastAsia="Times New Roman"/>
          <w:sz w:val="24"/>
          <w:szCs w:val="24"/>
        </w:rPr>
      </w:pPr>
      <w:r w:rsidRPr="00550618">
        <w:rPr>
          <w:rFonts w:eastAsia="Times New Roman"/>
          <w:sz w:val="24"/>
          <w:szCs w:val="24"/>
        </w:rPr>
        <w:t>The water system shall provide the information required by 310 CMR 22.06B(5)(d)1. to the residents of individual dwellings by mail or by methods approved by the Department. In instances where multi-family dwellings are served by the line, the water system shall have the option to post the information at a conspicuous location.</w:t>
      </w:r>
    </w:p>
    <w:p w14:paraId="2819DFE6" w14:textId="77777777" w:rsidR="004647B9" w:rsidRPr="00550618" w:rsidRDefault="00E2436F" w:rsidP="00563A54">
      <w:pPr>
        <w:numPr>
          <w:ilvl w:val="1"/>
          <w:numId w:val="172"/>
        </w:numPr>
        <w:tabs>
          <w:tab w:val="left" w:pos="1956"/>
        </w:tabs>
        <w:spacing w:line="243" w:lineRule="auto"/>
        <w:ind w:left="1560" w:hanging="5"/>
        <w:jc w:val="both"/>
        <w:rPr>
          <w:rFonts w:eastAsia="Times New Roman"/>
          <w:sz w:val="24"/>
          <w:szCs w:val="24"/>
        </w:rPr>
      </w:pPr>
      <w:r w:rsidRPr="00550618">
        <w:rPr>
          <w:rFonts w:eastAsia="Times New Roman"/>
          <w:sz w:val="24"/>
          <w:szCs w:val="24"/>
        </w:rPr>
        <w:t>The Department shall require a system to replace lead service lines on a shorter schedule than that required by 310 CMR 22.06B(5), taking into account the number of lead service lines in the system, where such a shorter replacement schedule is feasible. The Department shall make this determination in writing and notify the system of its finding within six months after the system is triggered into lead service line replacement based on monitoring referenced in 310 CMR 22.06B(5)(a).</w:t>
      </w:r>
    </w:p>
    <w:p w14:paraId="2819DFE8" w14:textId="77777777" w:rsidR="004647B9" w:rsidRPr="00EF09D9" w:rsidRDefault="00E2436F" w:rsidP="00563A54">
      <w:pPr>
        <w:numPr>
          <w:ilvl w:val="1"/>
          <w:numId w:val="172"/>
        </w:numPr>
        <w:tabs>
          <w:tab w:val="left" w:pos="1913"/>
        </w:tabs>
        <w:spacing w:line="253" w:lineRule="auto"/>
        <w:ind w:left="1560" w:hanging="5"/>
        <w:jc w:val="both"/>
        <w:rPr>
          <w:rFonts w:eastAsia="Times New Roman"/>
          <w:sz w:val="24"/>
          <w:szCs w:val="24"/>
        </w:rPr>
      </w:pPr>
      <w:r w:rsidRPr="00EF09D9">
        <w:rPr>
          <w:rFonts w:eastAsia="Times New Roman"/>
          <w:sz w:val="24"/>
          <w:szCs w:val="24"/>
        </w:rPr>
        <w:t>Any system may cease replacing lead service lines whenever first draw samples collected pursuant to 310 CMR 22.06B(7)(d)3. meet the lead action level during each of two consecutive monitoring periods and the system submits the results to the Department. If first draw samples collected in any such water system thereafter exceeds the lead action level, the system shall recommence replacing lead service lines, pursuant to 310 CMR 22.06B(5)(b)2.</w:t>
      </w:r>
    </w:p>
    <w:p w14:paraId="2819DFEA" w14:textId="77777777" w:rsidR="004647B9" w:rsidRDefault="00E2436F" w:rsidP="00563A54">
      <w:pPr>
        <w:numPr>
          <w:ilvl w:val="1"/>
          <w:numId w:val="172"/>
        </w:numPr>
        <w:tabs>
          <w:tab w:val="left" w:pos="2040"/>
        </w:tabs>
        <w:spacing w:line="246" w:lineRule="auto"/>
        <w:ind w:left="1560" w:hanging="5"/>
        <w:rPr>
          <w:rFonts w:eastAsia="Times New Roman"/>
          <w:sz w:val="24"/>
          <w:szCs w:val="24"/>
        </w:rPr>
      </w:pPr>
      <w:r>
        <w:rPr>
          <w:rFonts w:eastAsia="Times New Roman"/>
          <w:sz w:val="24"/>
          <w:szCs w:val="24"/>
        </w:rPr>
        <w:t>To demonstrate compliance with 310 CMR 22.06B(5)(a) through (d), a system shall report to the Department the information specified in 310 CMR 22.06B(11)(e).</w:t>
      </w:r>
    </w:p>
    <w:p w14:paraId="2819DFEB" w14:textId="77777777" w:rsidR="004647B9" w:rsidRDefault="004647B9">
      <w:pPr>
        <w:spacing w:line="240" w:lineRule="exact"/>
        <w:rPr>
          <w:rFonts w:eastAsia="Times New Roman"/>
          <w:sz w:val="24"/>
          <w:szCs w:val="24"/>
        </w:rPr>
      </w:pPr>
    </w:p>
    <w:p w14:paraId="2819DFEC" w14:textId="1235732D" w:rsidR="004647B9" w:rsidRDefault="00E2436F" w:rsidP="00563A54">
      <w:pPr>
        <w:numPr>
          <w:ilvl w:val="0"/>
          <w:numId w:val="173"/>
        </w:numPr>
        <w:tabs>
          <w:tab w:val="left" w:pos="1689"/>
        </w:tabs>
        <w:spacing w:line="246" w:lineRule="auto"/>
        <w:ind w:left="1200"/>
        <w:jc w:val="both"/>
        <w:rPr>
          <w:rFonts w:eastAsia="Times New Roman"/>
          <w:sz w:val="24"/>
          <w:szCs w:val="24"/>
        </w:rPr>
      </w:pPr>
      <w:r>
        <w:rPr>
          <w:rFonts w:eastAsia="Times New Roman"/>
          <w:sz w:val="24"/>
          <w:szCs w:val="24"/>
          <w:u w:val="single"/>
        </w:rPr>
        <w:t>Public Education and Supplemental Monitoring Requirements</w:t>
      </w:r>
      <w:r>
        <w:rPr>
          <w:rFonts w:eastAsia="Times New Roman"/>
          <w:sz w:val="24"/>
          <w:szCs w:val="24"/>
        </w:rPr>
        <w:t xml:space="preserve">. All water systems must deliver a consumer notice of lead and copper tap water monitoring results to persons served by the water system at sites that are tested, as specified in 310 CMR 22.06B(6)(c). A water system that exceeds the lead action level based on tap water samples collected in accordance with 310 CMR 22.06B(7) shall deliver the public education materials contained in 310 CMR 22.06B(6)(a) in accordance with the requirements in 310 CMR 22.06B(6)(b). Water systems that exceed the lead and/or copper action level must </w:t>
      </w:r>
      <w:r w:rsidR="00F13FA2">
        <w:rPr>
          <w:rFonts w:eastAsia="Times New Roman"/>
          <w:sz w:val="24"/>
          <w:szCs w:val="24"/>
        </w:rPr>
        <w:t xml:space="preserve">offer to </w:t>
      </w:r>
      <w:r>
        <w:rPr>
          <w:rFonts w:eastAsia="Times New Roman"/>
          <w:sz w:val="24"/>
          <w:szCs w:val="24"/>
        </w:rPr>
        <w:t>sample the tap water of any customer who requests it. The system is not required to pay for collecting or analyzing the sample, nor is the system required to collect and analyze the sample itself.</w:t>
      </w:r>
    </w:p>
    <w:p w14:paraId="2819DFED" w14:textId="77777777" w:rsidR="004647B9" w:rsidRDefault="004647B9">
      <w:pPr>
        <w:sectPr w:rsidR="004647B9" w:rsidSect="00EF630C">
          <w:pgSz w:w="12240" w:h="20180"/>
          <w:pgMar w:top="708" w:right="1440" w:bottom="1440" w:left="600" w:header="0" w:footer="0" w:gutter="0"/>
          <w:cols w:space="720" w:equalWidth="0">
            <w:col w:w="10200"/>
          </w:cols>
        </w:sectPr>
      </w:pPr>
    </w:p>
    <w:p w14:paraId="2819DFEE" w14:textId="77777777" w:rsidR="004647B9" w:rsidRDefault="00E2436F">
      <w:pPr>
        <w:tabs>
          <w:tab w:val="left" w:pos="160"/>
        </w:tabs>
        <w:jc w:val="center"/>
        <w:rPr>
          <w:sz w:val="20"/>
          <w:szCs w:val="20"/>
        </w:rPr>
      </w:pPr>
      <w:bookmarkStart w:id="70" w:name="page71"/>
      <w:bookmarkEnd w:id="7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DFEF" w14:textId="77777777" w:rsidR="004647B9" w:rsidRDefault="004647B9" w:rsidP="007D554F">
      <w:pPr>
        <w:rPr>
          <w:sz w:val="20"/>
          <w:szCs w:val="20"/>
        </w:rPr>
      </w:pPr>
    </w:p>
    <w:p w14:paraId="2819DFF0" w14:textId="77777777" w:rsidR="004647B9" w:rsidRDefault="004647B9" w:rsidP="007D554F">
      <w:pPr>
        <w:rPr>
          <w:sz w:val="20"/>
          <w:szCs w:val="20"/>
        </w:rPr>
      </w:pPr>
    </w:p>
    <w:p w14:paraId="2819DFF1"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DFF2" w14:textId="77777777" w:rsidR="004647B9" w:rsidRDefault="004647B9" w:rsidP="007D554F">
      <w:pPr>
        <w:rPr>
          <w:sz w:val="20"/>
          <w:szCs w:val="20"/>
        </w:rPr>
      </w:pPr>
    </w:p>
    <w:p w14:paraId="2819DFF3" w14:textId="687DE1B0" w:rsidR="004647B9" w:rsidRPr="00550618" w:rsidRDefault="00E2436F" w:rsidP="00563A54">
      <w:pPr>
        <w:numPr>
          <w:ilvl w:val="0"/>
          <w:numId w:val="174"/>
        </w:numPr>
        <w:tabs>
          <w:tab w:val="left" w:pos="2000"/>
        </w:tabs>
        <w:ind w:left="2000" w:hanging="445"/>
        <w:rPr>
          <w:rFonts w:eastAsia="Times New Roman"/>
          <w:sz w:val="24"/>
          <w:szCs w:val="24"/>
        </w:rPr>
      </w:pPr>
      <w:r w:rsidRPr="00550618">
        <w:rPr>
          <w:rFonts w:eastAsia="Times New Roman"/>
          <w:sz w:val="24"/>
          <w:szCs w:val="24"/>
          <w:u w:val="single"/>
        </w:rPr>
        <w:t>Content of Written Public Education Materials</w:t>
      </w:r>
      <w:r w:rsidRPr="00550618">
        <w:rPr>
          <w:rFonts w:eastAsia="Times New Roman"/>
          <w:sz w:val="24"/>
          <w:szCs w:val="24"/>
        </w:rPr>
        <w:t>.</w:t>
      </w:r>
    </w:p>
    <w:p w14:paraId="2819DFF5" w14:textId="77777777" w:rsidR="004647B9" w:rsidRPr="00550618" w:rsidRDefault="00E2436F" w:rsidP="00563A54">
      <w:pPr>
        <w:numPr>
          <w:ilvl w:val="1"/>
          <w:numId w:val="174"/>
        </w:numPr>
        <w:tabs>
          <w:tab w:val="left" w:pos="2208"/>
        </w:tabs>
        <w:spacing w:line="253" w:lineRule="auto"/>
        <w:ind w:left="1920" w:hanging="5"/>
        <w:jc w:val="both"/>
        <w:rPr>
          <w:rFonts w:eastAsia="Times New Roman"/>
          <w:sz w:val="24"/>
          <w:szCs w:val="24"/>
        </w:rPr>
      </w:pPr>
      <w:r w:rsidRPr="00550618">
        <w:rPr>
          <w:rFonts w:eastAsia="Times New Roman"/>
          <w:sz w:val="24"/>
          <w:szCs w:val="24"/>
          <w:u w:val="single"/>
        </w:rPr>
        <w:t>Community Water System and Non-transient Non-community Water Systems</w:t>
      </w:r>
      <w:r w:rsidRPr="00550618">
        <w:rPr>
          <w:rFonts w:eastAsia="Times New Roman"/>
          <w:sz w:val="24"/>
          <w:szCs w:val="24"/>
        </w:rPr>
        <w:t>. Water systems must include the following elements in printed materials (</w:t>
      </w:r>
      <w:r w:rsidRPr="00550618">
        <w:rPr>
          <w:rFonts w:eastAsia="Times New Roman"/>
          <w:i/>
          <w:iCs/>
          <w:sz w:val="24"/>
          <w:szCs w:val="24"/>
        </w:rPr>
        <w:t>e.g.</w:t>
      </w:r>
      <w:r w:rsidRPr="00550618">
        <w:rPr>
          <w:rFonts w:eastAsia="Times New Roman"/>
          <w:sz w:val="24"/>
          <w:szCs w:val="24"/>
        </w:rPr>
        <w:t>, brochures and pamphlets) in the same order as listed in 310 CMR 22.06(B)(a)1.a. through f. In addition, language in 310 CMR 22.06B(6)(a)1.a. through b. and (a)1.f. must be included in the materials, exactly as written, except for the text in brackets in 310 CMR</w:t>
      </w:r>
    </w:p>
    <w:p w14:paraId="2819DFF7" w14:textId="77777777" w:rsidR="004647B9" w:rsidRPr="00550618" w:rsidRDefault="00E2436F" w:rsidP="00563A54">
      <w:pPr>
        <w:numPr>
          <w:ilvl w:val="1"/>
          <w:numId w:val="175"/>
        </w:numPr>
        <w:tabs>
          <w:tab w:val="left" w:pos="2221"/>
        </w:tabs>
        <w:spacing w:line="243" w:lineRule="auto"/>
        <w:ind w:left="1920" w:hanging="5"/>
        <w:jc w:val="both"/>
        <w:rPr>
          <w:rFonts w:eastAsia="Times New Roman"/>
          <w:sz w:val="24"/>
          <w:szCs w:val="24"/>
        </w:rPr>
      </w:pPr>
      <w:r w:rsidRPr="00550618">
        <w:rPr>
          <w:rFonts w:eastAsia="Times New Roman"/>
          <w:sz w:val="24"/>
          <w:szCs w:val="24"/>
        </w:rPr>
        <w:t>06B(6)(a)1.a., b. and f. for which the water system must include system-specific information. Any additional information presented by a water system must be consistent with the information in 310 CMR 22.06(B)(a)1.a. through f. and be in plain language that can be understood by the general public. Water systems must submit all written public education materials to the Department prior to delivery. Unless otherwise approved, the Department shall require the system to obtain approval of the content of written public materials prior to delivery.</w:t>
      </w:r>
    </w:p>
    <w:p w14:paraId="2819DFF9" w14:textId="77777777" w:rsidR="004647B9" w:rsidRPr="00550618" w:rsidRDefault="00E2436F" w:rsidP="00563A54">
      <w:pPr>
        <w:numPr>
          <w:ilvl w:val="2"/>
          <w:numId w:val="175"/>
        </w:numPr>
        <w:tabs>
          <w:tab w:val="left" w:pos="2821"/>
        </w:tabs>
        <w:spacing w:line="242" w:lineRule="auto"/>
        <w:ind w:left="2280" w:hanging="5"/>
        <w:jc w:val="both"/>
        <w:rPr>
          <w:rFonts w:eastAsia="Times New Roman"/>
          <w:sz w:val="24"/>
          <w:szCs w:val="24"/>
        </w:rPr>
      </w:pPr>
      <w:r w:rsidRPr="00550618">
        <w:rPr>
          <w:rFonts w:eastAsia="Times New Roman"/>
          <w:sz w:val="24"/>
          <w:szCs w:val="24"/>
        </w:rPr>
        <w:t>IMPORTANT INFORMATION ABOUT LEAD IN YOUR DRINKING WATER. [INSERT NAME OF WATER SYSTEM] found elevated levels of lead in drinking water in some homes/buildings. Lead can cause serious health problems, especially for pregnant women and young children. Please read this information closely to see what you can do to reduce lead in your drinking water.</w:t>
      </w:r>
    </w:p>
    <w:p w14:paraId="2819DFFB" w14:textId="77777777" w:rsidR="004647B9" w:rsidRPr="00550618" w:rsidRDefault="00E2436F" w:rsidP="00563A54">
      <w:pPr>
        <w:numPr>
          <w:ilvl w:val="2"/>
          <w:numId w:val="175"/>
        </w:numPr>
        <w:tabs>
          <w:tab w:val="left" w:pos="2683"/>
        </w:tabs>
        <w:spacing w:line="253" w:lineRule="auto"/>
        <w:ind w:left="2280" w:hanging="5"/>
        <w:jc w:val="both"/>
        <w:rPr>
          <w:rFonts w:eastAsia="Times New Roman"/>
          <w:sz w:val="24"/>
          <w:szCs w:val="24"/>
        </w:rPr>
      </w:pPr>
      <w:r w:rsidRPr="00550618">
        <w:rPr>
          <w:rFonts w:eastAsia="Times New Roman"/>
          <w:sz w:val="24"/>
          <w:szCs w:val="24"/>
          <w:u w:val="single"/>
        </w:rPr>
        <w:t>Health Effects of Lead</w:t>
      </w:r>
      <w:r w:rsidRPr="00550618">
        <w:rPr>
          <w:rFonts w:eastAsia="Times New Roman"/>
          <w:sz w:val="24"/>
          <w:szCs w:val="24"/>
        </w:rPr>
        <w:t>. 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p>
    <w:p w14:paraId="2819DFFD" w14:textId="77777777" w:rsidR="004647B9" w:rsidRPr="00550618" w:rsidRDefault="00E2436F" w:rsidP="00563A54">
      <w:pPr>
        <w:numPr>
          <w:ilvl w:val="2"/>
          <w:numId w:val="175"/>
        </w:numPr>
        <w:tabs>
          <w:tab w:val="left" w:pos="2620"/>
        </w:tabs>
        <w:ind w:left="2620" w:hanging="345"/>
        <w:rPr>
          <w:rFonts w:eastAsia="Times New Roman"/>
          <w:sz w:val="24"/>
          <w:szCs w:val="24"/>
        </w:rPr>
      </w:pPr>
      <w:r w:rsidRPr="00550618">
        <w:rPr>
          <w:rFonts w:eastAsia="Times New Roman"/>
          <w:sz w:val="24"/>
          <w:szCs w:val="24"/>
          <w:u w:val="single"/>
        </w:rPr>
        <w:t>Sources of Lead</w:t>
      </w:r>
      <w:r w:rsidRPr="00550618">
        <w:rPr>
          <w:rFonts w:eastAsia="Times New Roman"/>
          <w:sz w:val="24"/>
          <w:szCs w:val="24"/>
        </w:rPr>
        <w:t>.</w:t>
      </w:r>
    </w:p>
    <w:p w14:paraId="2819DFFF" w14:textId="77777777" w:rsidR="004647B9" w:rsidRPr="00550618" w:rsidRDefault="00E2436F" w:rsidP="00563A54">
      <w:pPr>
        <w:numPr>
          <w:ilvl w:val="3"/>
          <w:numId w:val="175"/>
        </w:numPr>
        <w:tabs>
          <w:tab w:val="left" w:pos="3040"/>
        </w:tabs>
        <w:ind w:left="3040" w:hanging="405"/>
        <w:rPr>
          <w:rFonts w:eastAsia="Times New Roman"/>
          <w:sz w:val="24"/>
          <w:szCs w:val="24"/>
        </w:rPr>
      </w:pPr>
      <w:r w:rsidRPr="00550618">
        <w:rPr>
          <w:rFonts w:eastAsia="Times New Roman"/>
          <w:sz w:val="24"/>
          <w:szCs w:val="24"/>
        </w:rPr>
        <w:t>Explain what lead is.</w:t>
      </w:r>
    </w:p>
    <w:p w14:paraId="2819E001" w14:textId="77777777" w:rsidR="004647B9" w:rsidRPr="00550618" w:rsidRDefault="00E2436F" w:rsidP="00563A54">
      <w:pPr>
        <w:numPr>
          <w:ilvl w:val="3"/>
          <w:numId w:val="175"/>
        </w:numPr>
        <w:tabs>
          <w:tab w:val="left" w:pos="3178"/>
        </w:tabs>
        <w:spacing w:line="242" w:lineRule="auto"/>
        <w:ind w:left="2640" w:hanging="5"/>
        <w:jc w:val="both"/>
        <w:rPr>
          <w:rFonts w:eastAsia="Times New Roman"/>
          <w:sz w:val="24"/>
          <w:szCs w:val="24"/>
        </w:rPr>
      </w:pPr>
      <w:r w:rsidRPr="00550618">
        <w:rPr>
          <w:rFonts w:eastAsia="Times New Roman"/>
          <w:sz w:val="24"/>
          <w:szCs w:val="24"/>
        </w:rPr>
        <w:t>Explain possible sources of lead in drinking water and how lead enters drinking water. Include information on home/building plumbing materials and service lines that may contain lead.</w:t>
      </w:r>
    </w:p>
    <w:p w14:paraId="2819E003" w14:textId="77777777" w:rsidR="004647B9" w:rsidRPr="00550618" w:rsidRDefault="00E2436F" w:rsidP="00563A54">
      <w:pPr>
        <w:numPr>
          <w:ilvl w:val="3"/>
          <w:numId w:val="175"/>
        </w:numPr>
        <w:tabs>
          <w:tab w:val="left" w:pos="3202"/>
        </w:tabs>
        <w:spacing w:line="243" w:lineRule="auto"/>
        <w:ind w:left="2640" w:hanging="5"/>
        <w:rPr>
          <w:rFonts w:eastAsia="Times New Roman"/>
          <w:sz w:val="24"/>
          <w:szCs w:val="24"/>
        </w:rPr>
      </w:pPr>
      <w:r w:rsidRPr="00550618">
        <w:rPr>
          <w:rFonts w:eastAsia="Times New Roman"/>
          <w:sz w:val="24"/>
          <w:szCs w:val="24"/>
        </w:rPr>
        <w:t>Discuss other important sources of lead exposure in addition to drinking water (</w:t>
      </w:r>
      <w:r w:rsidRPr="00550618">
        <w:rPr>
          <w:rFonts w:eastAsia="Times New Roman"/>
          <w:i/>
          <w:iCs/>
          <w:sz w:val="24"/>
          <w:szCs w:val="24"/>
        </w:rPr>
        <w:t>e.g</w:t>
      </w:r>
      <w:r w:rsidRPr="00550618">
        <w:rPr>
          <w:rFonts w:eastAsia="Times New Roman"/>
          <w:sz w:val="24"/>
          <w:szCs w:val="24"/>
        </w:rPr>
        <w:t>., paint).</w:t>
      </w:r>
    </w:p>
    <w:p w14:paraId="2819E004" w14:textId="77777777" w:rsidR="004647B9" w:rsidRPr="00550618" w:rsidRDefault="00E2436F" w:rsidP="00563A54">
      <w:pPr>
        <w:numPr>
          <w:ilvl w:val="2"/>
          <w:numId w:val="175"/>
        </w:numPr>
        <w:tabs>
          <w:tab w:val="left" w:pos="2712"/>
        </w:tabs>
        <w:spacing w:line="243" w:lineRule="auto"/>
        <w:ind w:left="2280" w:hanging="5"/>
        <w:rPr>
          <w:rFonts w:eastAsia="Times New Roman"/>
          <w:sz w:val="24"/>
          <w:szCs w:val="24"/>
        </w:rPr>
      </w:pPr>
      <w:r w:rsidRPr="00550618">
        <w:rPr>
          <w:rFonts w:eastAsia="Times New Roman"/>
          <w:sz w:val="24"/>
          <w:szCs w:val="24"/>
        </w:rPr>
        <w:t>Discuss the steps the consumer can take to reduce their exposure to lead in drinking water.</w:t>
      </w:r>
    </w:p>
    <w:p w14:paraId="2819E005" w14:textId="77777777" w:rsidR="004647B9" w:rsidRPr="00550618" w:rsidRDefault="00E2436F" w:rsidP="00563A54">
      <w:pPr>
        <w:numPr>
          <w:ilvl w:val="3"/>
          <w:numId w:val="175"/>
        </w:numPr>
        <w:tabs>
          <w:tab w:val="left" w:pos="3040"/>
        </w:tabs>
        <w:ind w:left="3040" w:hanging="405"/>
        <w:rPr>
          <w:rFonts w:eastAsia="Times New Roman"/>
          <w:sz w:val="24"/>
          <w:szCs w:val="24"/>
        </w:rPr>
      </w:pPr>
      <w:r w:rsidRPr="00550618">
        <w:rPr>
          <w:rFonts w:eastAsia="Times New Roman"/>
          <w:sz w:val="24"/>
          <w:szCs w:val="24"/>
        </w:rPr>
        <w:t>Encourage running the water to flush out the lead.</w:t>
      </w:r>
    </w:p>
    <w:p w14:paraId="2819E007" w14:textId="77777777" w:rsidR="004647B9" w:rsidRPr="00550618" w:rsidRDefault="00E2436F" w:rsidP="00563A54">
      <w:pPr>
        <w:numPr>
          <w:ilvl w:val="3"/>
          <w:numId w:val="175"/>
        </w:numPr>
        <w:tabs>
          <w:tab w:val="left" w:pos="3077"/>
        </w:tabs>
        <w:spacing w:line="243" w:lineRule="auto"/>
        <w:ind w:left="2640" w:hanging="5"/>
        <w:rPr>
          <w:rFonts w:eastAsia="Times New Roman"/>
          <w:sz w:val="24"/>
          <w:szCs w:val="24"/>
        </w:rPr>
      </w:pPr>
      <w:r w:rsidRPr="00550618">
        <w:rPr>
          <w:rFonts w:eastAsia="Times New Roman"/>
          <w:sz w:val="24"/>
          <w:szCs w:val="24"/>
        </w:rPr>
        <w:t>Explain concerns with using hot water from the tap and specifically caution against the use of hot water for preparing baby formula.</w:t>
      </w:r>
    </w:p>
    <w:p w14:paraId="2819E008" w14:textId="77777777" w:rsidR="004647B9" w:rsidRPr="00550618" w:rsidRDefault="00E2436F" w:rsidP="00563A54">
      <w:pPr>
        <w:numPr>
          <w:ilvl w:val="3"/>
          <w:numId w:val="175"/>
        </w:numPr>
        <w:tabs>
          <w:tab w:val="left" w:pos="3180"/>
        </w:tabs>
        <w:ind w:left="3180" w:hanging="545"/>
        <w:rPr>
          <w:rFonts w:eastAsia="Times New Roman"/>
          <w:sz w:val="24"/>
          <w:szCs w:val="24"/>
        </w:rPr>
      </w:pPr>
      <w:r w:rsidRPr="00550618">
        <w:rPr>
          <w:rFonts w:eastAsia="Times New Roman"/>
          <w:sz w:val="24"/>
          <w:szCs w:val="24"/>
        </w:rPr>
        <w:t>Explain that boiling water does not reduce lead levels.</w:t>
      </w:r>
    </w:p>
    <w:p w14:paraId="2819E00A" w14:textId="77777777" w:rsidR="004647B9" w:rsidRPr="00550618" w:rsidRDefault="00E2436F" w:rsidP="00563A54">
      <w:pPr>
        <w:numPr>
          <w:ilvl w:val="3"/>
          <w:numId w:val="175"/>
        </w:numPr>
        <w:tabs>
          <w:tab w:val="left" w:pos="3209"/>
        </w:tabs>
        <w:spacing w:line="243" w:lineRule="auto"/>
        <w:ind w:left="2640" w:hanging="5"/>
        <w:rPr>
          <w:rFonts w:eastAsia="Times New Roman"/>
          <w:sz w:val="24"/>
          <w:szCs w:val="24"/>
        </w:rPr>
      </w:pPr>
      <w:r w:rsidRPr="00550618">
        <w:rPr>
          <w:rFonts w:eastAsia="Times New Roman"/>
          <w:sz w:val="24"/>
          <w:szCs w:val="24"/>
        </w:rPr>
        <w:t>Discuss other options consumers can take to reduce exposure to lead in drinking water, such as alternative sources or treatment of water.</w:t>
      </w:r>
    </w:p>
    <w:p w14:paraId="2819E00B" w14:textId="77777777" w:rsidR="004647B9" w:rsidRPr="00550618" w:rsidRDefault="00E2436F" w:rsidP="00563A54">
      <w:pPr>
        <w:numPr>
          <w:ilvl w:val="3"/>
          <w:numId w:val="175"/>
        </w:numPr>
        <w:tabs>
          <w:tab w:val="left" w:pos="3100"/>
        </w:tabs>
        <w:ind w:left="3100" w:hanging="465"/>
        <w:rPr>
          <w:rFonts w:eastAsia="Times New Roman"/>
          <w:sz w:val="24"/>
          <w:szCs w:val="24"/>
        </w:rPr>
      </w:pPr>
      <w:r w:rsidRPr="00550618">
        <w:rPr>
          <w:rFonts w:eastAsia="Times New Roman"/>
          <w:sz w:val="24"/>
          <w:szCs w:val="24"/>
        </w:rPr>
        <w:t>Suggest that parents have their child's blood tested for lead.</w:t>
      </w:r>
    </w:p>
    <w:p w14:paraId="2819E00D" w14:textId="77777777" w:rsidR="004647B9" w:rsidRPr="00550618" w:rsidRDefault="00E2436F" w:rsidP="00563A54">
      <w:pPr>
        <w:numPr>
          <w:ilvl w:val="2"/>
          <w:numId w:val="175"/>
        </w:numPr>
        <w:tabs>
          <w:tab w:val="left" w:pos="2641"/>
        </w:tabs>
        <w:spacing w:line="242" w:lineRule="auto"/>
        <w:ind w:left="2280" w:hanging="5"/>
        <w:jc w:val="both"/>
        <w:rPr>
          <w:rFonts w:eastAsia="Times New Roman"/>
          <w:sz w:val="24"/>
          <w:szCs w:val="24"/>
        </w:rPr>
      </w:pPr>
      <w:r w:rsidRPr="00550618">
        <w:rPr>
          <w:rFonts w:eastAsia="Times New Roman"/>
          <w:sz w:val="24"/>
          <w:szCs w:val="24"/>
        </w:rPr>
        <w:t>Explain why there are elevated levels of lead in the system's drinking water (if known) and what the water system is doing to reduce the lead levels in homes/building in this area.</w:t>
      </w:r>
    </w:p>
    <w:p w14:paraId="2819E00F" w14:textId="7E11C884" w:rsidR="004647B9" w:rsidRPr="00550618" w:rsidRDefault="00E2436F" w:rsidP="00563A54">
      <w:pPr>
        <w:numPr>
          <w:ilvl w:val="2"/>
          <w:numId w:val="175"/>
        </w:numPr>
        <w:tabs>
          <w:tab w:val="left" w:pos="2909"/>
        </w:tabs>
        <w:spacing w:line="243" w:lineRule="auto"/>
        <w:ind w:left="2280" w:hanging="5"/>
        <w:jc w:val="both"/>
        <w:rPr>
          <w:rFonts w:eastAsia="Times New Roman"/>
          <w:sz w:val="24"/>
          <w:szCs w:val="24"/>
        </w:rPr>
      </w:pPr>
      <w:r w:rsidRPr="00550618">
        <w:rPr>
          <w:rFonts w:eastAsia="Times New Roman"/>
          <w:sz w:val="24"/>
          <w:szCs w:val="24"/>
        </w:rPr>
        <w:t xml:space="preserve">For more information, call us at [INSERT YOUR NUMBER] [(IF APPLICABLE), OR VISIT our Web site at [INSERT YOUR WEB SITE HERE]. For more information on reducing lead exposure around your home/building and the health effects of lead, visit EPA's Web site at </w:t>
      </w:r>
      <w:hyperlink r:id="rId14" w:history="1">
        <w:r w:rsidR="00841092" w:rsidRPr="00DB7E1A">
          <w:rPr>
            <w:rStyle w:val="Hyperlink"/>
            <w:rFonts w:eastAsia="Times New Roman"/>
            <w:sz w:val="24"/>
            <w:szCs w:val="24"/>
          </w:rPr>
          <w:t xml:space="preserve">http://www.epa.gov/lead </w:t>
        </w:r>
      </w:hyperlink>
      <w:r w:rsidRPr="00550618">
        <w:rPr>
          <w:rFonts w:eastAsia="Times New Roman"/>
          <w:sz w:val="24"/>
          <w:szCs w:val="24"/>
        </w:rPr>
        <w:t>or contact your health care provider.</w:t>
      </w:r>
    </w:p>
    <w:p w14:paraId="2819E013" w14:textId="23618565" w:rsidR="004647B9" w:rsidRPr="00550618" w:rsidRDefault="00E2436F" w:rsidP="00563A54">
      <w:pPr>
        <w:numPr>
          <w:ilvl w:val="1"/>
          <w:numId w:val="176"/>
        </w:numPr>
        <w:tabs>
          <w:tab w:val="left" w:pos="2340"/>
        </w:tabs>
        <w:ind w:left="2340" w:hanging="425"/>
        <w:rPr>
          <w:rFonts w:eastAsia="Times New Roman"/>
          <w:sz w:val="24"/>
          <w:szCs w:val="24"/>
        </w:rPr>
      </w:pPr>
      <w:r w:rsidRPr="00550618">
        <w:rPr>
          <w:rFonts w:eastAsia="Times New Roman"/>
          <w:sz w:val="24"/>
          <w:szCs w:val="24"/>
          <w:u w:val="single"/>
        </w:rPr>
        <w:t>Community Water Systems</w:t>
      </w:r>
      <w:r w:rsidRPr="00550618">
        <w:rPr>
          <w:rFonts w:eastAsia="Times New Roman"/>
          <w:sz w:val="24"/>
          <w:szCs w:val="24"/>
        </w:rPr>
        <w:t>.  In addition to including the elements specified in</w:t>
      </w:r>
      <w:r w:rsidR="00550618">
        <w:rPr>
          <w:rFonts w:eastAsia="Times New Roman"/>
          <w:sz w:val="24"/>
          <w:szCs w:val="24"/>
        </w:rPr>
        <w:t xml:space="preserve"> 310 </w:t>
      </w:r>
      <w:r w:rsidRPr="00550618">
        <w:rPr>
          <w:rFonts w:eastAsia="Times New Roman"/>
          <w:sz w:val="24"/>
          <w:szCs w:val="24"/>
        </w:rPr>
        <w:t>CMR 22.06B (6)(a)1., community water systems must:</w:t>
      </w:r>
    </w:p>
    <w:p w14:paraId="2819E015" w14:textId="77777777" w:rsidR="004647B9" w:rsidRPr="00550618" w:rsidRDefault="00E2436F" w:rsidP="00563A54">
      <w:pPr>
        <w:numPr>
          <w:ilvl w:val="2"/>
          <w:numId w:val="177"/>
        </w:numPr>
        <w:tabs>
          <w:tab w:val="left" w:pos="2620"/>
        </w:tabs>
        <w:ind w:left="2620" w:hanging="345"/>
        <w:rPr>
          <w:rFonts w:eastAsia="Times New Roman"/>
          <w:sz w:val="24"/>
          <w:szCs w:val="24"/>
        </w:rPr>
      </w:pPr>
      <w:r w:rsidRPr="00550618">
        <w:rPr>
          <w:rFonts w:eastAsia="Times New Roman"/>
          <w:sz w:val="24"/>
          <w:szCs w:val="24"/>
        </w:rPr>
        <w:t>Tell consumers how to get their water tested.</w:t>
      </w:r>
    </w:p>
    <w:p w14:paraId="2819E018" w14:textId="24E58E19" w:rsidR="004647B9" w:rsidRPr="00A82D5A" w:rsidRDefault="00E2436F" w:rsidP="008578F5">
      <w:pPr>
        <w:numPr>
          <w:ilvl w:val="2"/>
          <w:numId w:val="177"/>
        </w:numPr>
        <w:tabs>
          <w:tab w:val="left" w:pos="2640"/>
        </w:tabs>
        <w:ind w:left="2620" w:hanging="345"/>
        <w:rPr>
          <w:rFonts w:eastAsia="Times New Roman"/>
          <w:sz w:val="24"/>
          <w:szCs w:val="24"/>
        </w:rPr>
      </w:pPr>
      <w:r w:rsidRPr="00550618">
        <w:rPr>
          <w:rFonts w:eastAsia="Times New Roman"/>
          <w:sz w:val="24"/>
          <w:szCs w:val="24"/>
        </w:rPr>
        <w:t>Discuss lead in plumbing components and the difference between low lead and lead free.</w:t>
      </w:r>
    </w:p>
    <w:p w14:paraId="2819E019" w14:textId="77777777" w:rsidR="004647B9" w:rsidRDefault="004647B9" w:rsidP="00550618">
      <w:pPr>
        <w:spacing w:line="360" w:lineRule="auto"/>
        <w:sectPr w:rsidR="004647B9" w:rsidSect="00EF630C">
          <w:pgSz w:w="12240" w:h="20180"/>
          <w:pgMar w:top="708" w:right="1440" w:bottom="1440" w:left="600" w:header="0" w:footer="0" w:gutter="0"/>
          <w:cols w:space="720" w:equalWidth="0">
            <w:col w:w="10200"/>
          </w:cols>
        </w:sectPr>
      </w:pPr>
      <w:bookmarkStart w:id="71" w:name="page72"/>
      <w:bookmarkEnd w:id="71"/>
    </w:p>
    <w:p w14:paraId="2819E01A" w14:textId="77777777" w:rsidR="004647B9" w:rsidRDefault="00E2436F">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01B" w14:textId="77777777" w:rsidR="004647B9" w:rsidRDefault="004647B9" w:rsidP="00200E6C">
      <w:pPr>
        <w:rPr>
          <w:sz w:val="20"/>
          <w:szCs w:val="20"/>
        </w:rPr>
      </w:pPr>
    </w:p>
    <w:p w14:paraId="2819E01C" w14:textId="77777777" w:rsidR="004647B9" w:rsidRDefault="004647B9" w:rsidP="00200E6C">
      <w:pPr>
        <w:rPr>
          <w:sz w:val="20"/>
          <w:szCs w:val="20"/>
        </w:rPr>
      </w:pPr>
    </w:p>
    <w:p w14:paraId="2819E01D"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01E" w14:textId="77777777" w:rsidR="004647B9" w:rsidRDefault="004647B9" w:rsidP="00200E6C">
      <w:pPr>
        <w:rPr>
          <w:sz w:val="20"/>
          <w:szCs w:val="20"/>
        </w:rPr>
      </w:pPr>
    </w:p>
    <w:p w14:paraId="2819E01F" w14:textId="77777777" w:rsidR="004647B9" w:rsidRPr="00550618" w:rsidRDefault="00E2436F" w:rsidP="00563A54">
      <w:pPr>
        <w:numPr>
          <w:ilvl w:val="0"/>
          <w:numId w:val="178"/>
        </w:numPr>
        <w:tabs>
          <w:tab w:val="left" w:pos="2020"/>
        </w:tabs>
        <w:ind w:left="2020" w:hanging="465"/>
        <w:rPr>
          <w:rFonts w:eastAsia="Times New Roman"/>
          <w:sz w:val="24"/>
          <w:szCs w:val="24"/>
        </w:rPr>
      </w:pPr>
      <w:r w:rsidRPr="00550618">
        <w:rPr>
          <w:rFonts w:eastAsia="Times New Roman"/>
          <w:sz w:val="24"/>
          <w:szCs w:val="24"/>
          <w:u w:val="single"/>
        </w:rPr>
        <w:t>Delivery of Public Education Materials</w:t>
      </w:r>
    </w:p>
    <w:p w14:paraId="7338538F" w14:textId="67B92EDA" w:rsidR="00366928" w:rsidRPr="00497761" w:rsidRDefault="003D12DE" w:rsidP="0058274D">
      <w:pPr>
        <w:numPr>
          <w:ilvl w:val="1"/>
          <w:numId w:val="178"/>
        </w:numPr>
        <w:tabs>
          <w:tab w:val="left" w:pos="2227"/>
        </w:tabs>
        <w:spacing w:line="242" w:lineRule="auto"/>
        <w:ind w:left="1920" w:hanging="5"/>
        <w:jc w:val="both"/>
        <w:rPr>
          <w:rFonts w:eastAsia="Times New Roman"/>
          <w:sz w:val="24"/>
          <w:szCs w:val="24"/>
        </w:rPr>
      </w:pPr>
      <w:r>
        <w:rPr>
          <w:sz w:val="24"/>
          <w:szCs w:val="24"/>
        </w:rPr>
        <w:t>For</w:t>
      </w:r>
      <w:r w:rsidR="00C35BD8" w:rsidRPr="37768BFB">
        <w:rPr>
          <w:sz w:val="24"/>
          <w:szCs w:val="24"/>
        </w:rPr>
        <w:t xml:space="preserve"> any </w:t>
      </w:r>
      <w:r>
        <w:rPr>
          <w:sz w:val="24"/>
          <w:szCs w:val="24"/>
        </w:rPr>
        <w:t>Public Water System</w:t>
      </w:r>
      <w:r w:rsidR="00C35BD8" w:rsidRPr="37768BFB">
        <w:rPr>
          <w:sz w:val="24"/>
          <w:szCs w:val="24"/>
        </w:rPr>
        <w:t xml:space="preserve"> where such Supplier of Water</w:t>
      </w:r>
      <w:r w:rsidR="00C35BD8">
        <w:rPr>
          <w:sz w:val="24"/>
          <w:szCs w:val="24"/>
        </w:rPr>
        <w:t>’</w:t>
      </w:r>
      <w:r w:rsidR="00C35BD8" w:rsidRPr="37768BFB">
        <w:rPr>
          <w:sz w:val="24"/>
          <w:szCs w:val="24"/>
        </w:rPr>
        <w:t xml:space="preserve">s consumers </w:t>
      </w:r>
      <w:r>
        <w:rPr>
          <w:sz w:val="24"/>
          <w:szCs w:val="24"/>
        </w:rPr>
        <w:t>reside in any census tract with</w:t>
      </w:r>
      <w:r w:rsidR="00C35BD8">
        <w:rPr>
          <w:sz w:val="24"/>
          <w:szCs w:val="24"/>
        </w:rPr>
        <w:t xml:space="preserve"> </w:t>
      </w:r>
      <w:r w:rsidR="00C35BD8" w:rsidRPr="00E45502">
        <w:rPr>
          <w:sz w:val="24"/>
          <w:szCs w:val="24"/>
        </w:rPr>
        <w:t xml:space="preserve">a minimum of either 5% or 1000 residents who </w:t>
      </w:r>
      <w:r w:rsidR="001E3FFC">
        <w:rPr>
          <w:sz w:val="24"/>
          <w:szCs w:val="24"/>
        </w:rPr>
        <w:t xml:space="preserve">lack English </w:t>
      </w:r>
      <w:r w:rsidR="00C35BD8" w:rsidRPr="00E45502">
        <w:rPr>
          <w:sz w:val="24"/>
          <w:szCs w:val="24"/>
        </w:rPr>
        <w:t>language</w:t>
      </w:r>
      <w:r w:rsidR="001E3FFC">
        <w:rPr>
          <w:sz w:val="24"/>
          <w:szCs w:val="24"/>
        </w:rPr>
        <w:t xml:space="preserve"> proficiency</w:t>
      </w:r>
      <w:r w:rsidR="00C35BD8" w:rsidRPr="00E45502">
        <w:rPr>
          <w:sz w:val="24"/>
          <w:szCs w:val="24"/>
        </w:rPr>
        <w:t xml:space="preserve">, such </w:t>
      </w:r>
      <w:r w:rsidR="000E064B">
        <w:rPr>
          <w:sz w:val="24"/>
          <w:szCs w:val="24"/>
        </w:rPr>
        <w:t xml:space="preserve">public education </w:t>
      </w:r>
      <w:r w:rsidR="00C35BD8" w:rsidRPr="00E45502">
        <w:rPr>
          <w:sz w:val="24"/>
          <w:szCs w:val="24"/>
        </w:rPr>
        <w:t>materials shall contain information in the language(s) appropriate for each such group of residents regarding the importance of the notice</w:t>
      </w:r>
      <w:r w:rsidR="001E3FFC">
        <w:rPr>
          <w:sz w:val="24"/>
          <w:szCs w:val="24"/>
        </w:rPr>
        <w:t xml:space="preserve"> and that it should be translated</w:t>
      </w:r>
      <w:r w:rsidR="00C35BD8" w:rsidRPr="00E45502">
        <w:rPr>
          <w:sz w:val="24"/>
          <w:szCs w:val="24"/>
        </w:rPr>
        <w:t>.</w:t>
      </w:r>
      <w:r w:rsidR="00C35BD8">
        <w:rPr>
          <w:sz w:val="24"/>
          <w:szCs w:val="24"/>
        </w:rPr>
        <w:t xml:space="preserve">  If </w:t>
      </w:r>
      <w:r w:rsidR="001E3FFC">
        <w:rPr>
          <w:sz w:val="24"/>
          <w:szCs w:val="24"/>
        </w:rPr>
        <w:t>the service area of a Public Water System</w:t>
      </w:r>
      <w:r w:rsidR="00C35BD8">
        <w:rPr>
          <w:sz w:val="24"/>
          <w:szCs w:val="24"/>
        </w:rPr>
        <w:t xml:space="preserve"> includes </w:t>
      </w:r>
      <w:r w:rsidR="008B5D6E">
        <w:rPr>
          <w:sz w:val="24"/>
          <w:szCs w:val="24"/>
        </w:rPr>
        <w:t xml:space="preserve">some or all of any census tract with </w:t>
      </w:r>
      <w:r w:rsidR="00C35BD8" w:rsidRPr="00E45502">
        <w:rPr>
          <w:sz w:val="24"/>
          <w:szCs w:val="24"/>
        </w:rPr>
        <w:t xml:space="preserve">a minimum of 25% </w:t>
      </w:r>
      <w:r w:rsidR="00F44326">
        <w:rPr>
          <w:sz w:val="24"/>
          <w:szCs w:val="24"/>
        </w:rPr>
        <w:t xml:space="preserve">of </w:t>
      </w:r>
      <w:r w:rsidR="00C35BD8" w:rsidRPr="00E45502">
        <w:rPr>
          <w:sz w:val="24"/>
          <w:szCs w:val="24"/>
        </w:rPr>
        <w:t xml:space="preserve">residents who </w:t>
      </w:r>
      <w:r w:rsidR="00F44326">
        <w:rPr>
          <w:sz w:val="24"/>
          <w:szCs w:val="24"/>
        </w:rPr>
        <w:t xml:space="preserve">lack English </w:t>
      </w:r>
      <w:r w:rsidR="00C35BD8" w:rsidRPr="00E45502">
        <w:rPr>
          <w:sz w:val="24"/>
          <w:szCs w:val="24"/>
        </w:rPr>
        <w:t>language</w:t>
      </w:r>
      <w:r w:rsidR="00F44326">
        <w:rPr>
          <w:sz w:val="24"/>
          <w:szCs w:val="24"/>
        </w:rPr>
        <w:t xml:space="preserve"> proficiency</w:t>
      </w:r>
      <w:r w:rsidR="00C35BD8" w:rsidRPr="00E45502">
        <w:rPr>
          <w:sz w:val="24"/>
          <w:szCs w:val="24"/>
        </w:rPr>
        <w:t xml:space="preserve">, then such </w:t>
      </w:r>
      <w:r w:rsidR="00F44326">
        <w:rPr>
          <w:sz w:val="24"/>
          <w:szCs w:val="24"/>
        </w:rPr>
        <w:t xml:space="preserve">public education </w:t>
      </w:r>
      <w:r w:rsidR="00C35BD8" w:rsidRPr="00E45502">
        <w:rPr>
          <w:sz w:val="24"/>
          <w:szCs w:val="24"/>
        </w:rPr>
        <w:t xml:space="preserve">materials shall also contain a statement in the appropriate language(s) for each such group of residents which includes a telephone number or address where those residents may contact the affected Public Water System to obtain a translated copy of the </w:t>
      </w:r>
      <w:r w:rsidR="00137781">
        <w:rPr>
          <w:sz w:val="24"/>
          <w:szCs w:val="24"/>
        </w:rPr>
        <w:t xml:space="preserve">public education </w:t>
      </w:r>
      <w:r w:rsidR="00C35BD8" w:rsidRPr="00E45502">
        <w:rPr>
          <w:sz w:val="24"/>
          <w:szCs w:val="24"/>
        </w:rPr>
        <w:t>materials or assistance in the appropriate language(s</w:t>
      </w:r>
      <w:r w:rsidR="0058274D">
        <w:rPr>
          <w:sz w:val="24"/>
          <w:szCs w:val="24"/>
        </w:rPr>
        <w:t>).</w:t>
      </w:r>
    </w:p>
    <w:p w14:paraId="2819E023" w14:textId="38E707DD" w:rsidR="004647B9" w:rsidRPr="00550618" w:rsidRDefault="00E2436F" w:rsidP="00563A54">
      <w:pPr>
        <w:numPr>
          <w:ilvl w:val="1"/>
          <w:numId w:val="178"/>
        </w:numPr>
        <w:tabs>
          <w:tab w:val="left" w:pos="2227"/>
        </w:tabs>
        <w:spacing w:line="242" w:lineRule="auto"/>
        <w:ind w:left="1920" w:hanging="5"/>
        <w:jc w:val="both"/>
        <w:rPr>
          <w:rFonts w:eastAsia="Times New Roman"/>
          <w:sz w:val="24"/>
          <w:szCs w:val="24"/>
        </w:rPr>
      </w:pPr>
      <w:r w:rsidRPr="00550618">
        <w:rPr>
          <w:rFonts w:eastAsia="Times New Roman"/>
          <w:sz w:val="24"/>
          <w:szCs w:val="24"/>
        </w:rPr>
        <w:t>A community water system that exceeds the lead action level on the basis of tap water samples collected in accordance with 310 CMR 22.06B(7), and that is not already conducting public education tasks under 310 CMR 22.06B(6), must conduct the public education tasks under 310 CMR 22.06B(6) within 60 days after the end of the monitoring period in which the exceedance occurred:</w:t>
      </w:r>
    </w:p>
    <w:p w14:paraId="2819E025" w14:textId="77777777" w:rsidR="004647B9" w:rsidRPr="00550618" w:rsidRDefault="00E2436F" w:rsidP="00563A54">
      <w:pPr>
        <w:numPr>
          <w:ilvl w:val="2"/>
          <w:numId w:val="178"/>
        </w:numPr>
        <w:tabs>
          <w:tab w:val="left" w:pos="2738"/>
        </w:tabs>
        <w:spacing w:line="243" w:lineRule="auto"/>
        <w:ind w:left="2280" w:hanging="5"/>
        <w:rPr>
          <w:rFonts w:eastAsia="Times New Roman"/>
          <w:sz w:val="24"/>
          <w:szCs w:val="24"/>
        </w:rPr>
      </w:pPr>
      <w:r w:rsidRPr="00550618">
        <w:rPr>
          <w:rFonts w:eastAsia="Times New Roman"/>
          <w:sz w:val="24"/>
          <w:szCs w:val="24"/>
        </w:rPr>
        <w:t>Deliver printed materials meeting the content requirements of 310 CMR 22.06B(6)(a) to all bill paying customers.</w:t>
      </w:r>
    </w:p>
    <w:p w14:paraId="2819E026" w14:textId="77777777" w:rsidR="004647B9" w:rsidRPr="00550618" w:rsidRDefault="00E2436F" w:rsidP="00563A54">
      <w:pPr>
        <w:numPr>
          <w:ilvl w:val="2"/>
          <w:numId w:val="179"/>
        </w:numPr>
        <w:tabs>
          <w:tab w:val="left" w:pos="2590"/>
        </w:tabs>
        <w:spacing w:line="253" w:lineRule="auto"/>
        <w:ind w:left="2640" w:hanging="365"/>
        <w:jc w:val="both"/>
        <w:rPr>
          <w:rFonts w:eastAsia="Times New Roman"/>
          <w:sz w:val="24"/>
          <w:szCs w:val="24"/>
        </w:rPr>
      </w:pPr>
      <w:r w:rsidRPr="00550618">
        <w:rPr>
          <w:rFonts w:eastAsia="Times New Roman"/>
          <w:sz w:val="24"/>
          <w:szCs w:val="24"/>
        </w:rPr>
        <w:t>(i) Contact customers who are most at risk by delivering education materials that meet the content requirements of 310 CMR 22.06B(6)(a) to local public health agencies even if they are not located within the water system's service area, along with an informational notice that encourages distribution to all the organization's potentially affected customers or community water system's users. The water system must contact the local public health agencies directly by phone or in person. The local public health agencies may provide a specific list of additional community based organizations serving target populations, which may include organizations outside the service area of the water system. If such lists are provided, systems must deliver education materials that meet the content requirements of 310 CMR 22.06B(6)(a) to all organizations on the provided lists.</w:t>
      </w:r>
    </w:p>
    <w:p w14:paraId="2819E028" w14:textId="77777777" w:rsidR="004647B9" w:rsidRPr="00997693" w:rsidRDefault="00E2436F" w:rsidP="00563A54">
      <w:pPr>
        <w:numPr>
          <w:ilvl w:val="3"/>
          <w:numId w:val="179"/>
        </w:numPr>
        <w:tabs>
          <w:tab w:val="left" w:pos="3063"/>
        </w:tabs>
        <w:spacing w:line="253" w:lineRule="auto"/>
        <w:ind w:left="2640" w:hanging="5"/>
        <w:jc w:val="both"/>
        <w:rPr>
          <w:rFonts w:eastAsia="Times New Roman"/>
          <w:sz w:val="24"/>
          <w:szCs w:val="24"/>
        </w:rPr>
      </w:pPr>
      <w:r w:rsidRPr="00550618">
        <w:rPr>
          <w:rFonts w:eastAsia="Times New Roman"/>
          <w:sz w:val="24"/>
          <w:szCs w:val="24"/>
        </w:rPr>
        <w:t xml:space="preserve">Contact customers who are most at risk by delivering materials that meet the content requirements of 310 CMR 22.06B(6)(a) to the following </w:t>
      </w:r>
      <w:r w:rsidRPr="00997693">
        <w:rPr>
          <w:rFonts w:eastAsia="Times New Roman"/>
          <w:sz w:val="24"/>
          <w:szCs w:val="24"/>
        </w:rPr>
        <w:t>organizations listed in A through F that are located within the water system's service area, along with an informational notice that encourages distribution to all the organization's potentially affected customers or community water system's users:</w:t>
      </w:r>
    </w:p>
    <w:p w14:paraId="2819E02A" w14:textId="77777777" w:rsidR="004647B9" w:rsidRPr="00997693" w:rsidRDefault="00E2436F" w:rsidP="00563A54">
      <w:pPr>
        <w:numPr>
          <w:ilvl w:val="4"/>
          <w:numId w:val="179"/>
        </w:numPr>
        <w:tabs>
          <w:tab w:val="left" w:pos="3400"/>
        </w:tabs>
        <w:ind w:left="3400" w:hanging="405"/>
        <w:rPr>
          <w:rFonts w:eastAsia="Times New Roman"/>
          <w:sz w:val="24"/>
          <w:szCs w:val="24"/>
        </w:rPr>
      </w:pPr>
      <w:r w:rsidRPr="00997693">
        <w:rPr>
          <w:rFonts w:eastAsia="Times New Roman"/>
          <w:sz w:val="24"/>
          <w:szCs w:val="24"/>
        </w:rPr>
        <w:t>Public and private schools or school boards;</w:t>
      </w:r>
    </w:p>
    <w:p w14:paraId="2819E02C" w14:textId="77777777" w:rsidR="004647B9" w:rsidRPr="00997693" w:rsidRDefault="00E2436F" w:rsidP="00563A54">
      <w:pPr>
        <w:numPr>
          <w:ilvl w:val="4"/>
          <w:numId w:val="179"/>
        </w:numPr>
        <w:tabs>
          <w:tab w:val="left" w:pos="3400"/>
        </w:tabs>
        <w:ind w:left="3400" w:hanging="405"/>
        <w:rPr>
          <w:rFonts w:eastAsia="Times New Roman"/>
          <w:sz w:val="24"/>
          <w:szCs w:val="24"/>
        </w:rPr>
      </w:pPr>
      <w:r w:rsidRPr="00997693">
        <w:rPr>
          <w:rFonts w:eastAsia="Times New Roman"/>
          <w:sz w:val="24"/>
          <w:szCs w:val="24"/>
        </w:rPr>
        <w:t>Women, Infants and children (WIC) and Head Start programs;</w:t>
      </w:r>
    </w:p>
    <w:p w14:paraId="2819E02E" w14:textId="77777777" w:rsidR="004647B9" w:rsidRPr="00997693" w:rsidRDefault="00E2436F" w:rsidP="00563A54">
      <w:pPr>
        <w:numPr>
          <w:ilvl w:val="4"/>
          <w:numId w:val="179"/>
        </w:numPr>
        <w:tabs>
          <w:tab w:val="left" w:pos="3400"/>
        </w:tabs>
        <w:ind w:left="3400" w:hanging="405"/>
        <w:rPr>
          <w:rFonts w:eastAsia="Times New Roman"/>
          <w:sz w:val="24"/>
          <w:szCs w:val="24"/>
        </w:rPr>
      </w:pPr>
      <w:r w:rsidRPr="00997693">
        <w:rPr>
          <w:rFonts w:eastAsia="Times New Roman"/>
          <w:sz w:val="24"/>
          <w:szCs w:val="24"/>
        </w:rPr>
        <w:t>Public and private hospitals and medical clinics;</w:t>
      </w:r>
    </w:p>
    <w:p w14:paraId="2819E030" w14:textId="77777777" w:rsidR="004647B9" w:rsidRPr="00997693" w:rsidRDefault="00E2436F" w:rsidP="00563A54">
      <w:pPr>
        <w:numPr>
          <w:ilvl w:val="4"/>
          <w:numId w:val="179"/>
        </w:numPr>
        <w:tabs>
          <w:tab w:val="left" w:pos="3400"/>
        </w:tabs>
        <w:ind w:left="3400" w:hanging="405"/>
        <w:rPr>
          <w:rFonts w:eastAsia="Times New Roman"/>
          <w:sz w:val="24"/>
          <w:szCs w:val="24"/>
        </w:rPr>
      </w:pPr>
      <w:r w:rsidRPr="00997693">
        <w:rPr>
          <w:rFonts w:eastAsia="Times New Roman"/>
          <w:sz w:val="24"/>
          <w:szCs w:val="24"/>
        </w:rPr>
        <w:t>Pediatricians;</w:t>
      </w:r>
    </w:p>
    <w:p w14:paraId="2819E032" w14:textId="77777777" w:rsidR="004647B9" w:rsidRPr="00997693" w:rsidRDefault="00E2436F" w:rsidP="00563A54">
      <w:pPr>
        <w:numPr>
          <w:ilvl w:val="4"/>
          <w:numId w:val="179"/>
        </w:numPr>
        <w:tabs>
          <w:tab w:val="left" w:pos="3380"/>
        </w:tabs>
        <w:ind w:left="3380" w:hanging="385"/>
        <w:rPr>
          <w:rFonts w:eastAsia="Times New Roman"/>
          <w:sz w:val="24"/>
          <w:szCs w:val="24"/>
        </w:rPr>
      </w:pPr>
      <w:r w:rsidRPr="00997693">
        <w:rPr>
          <w:rFonts w:eastAsia="Times New Roman"/>
          <w:sz w:val="24"/>
          <w:szCs w:val="24"/>
        </w:rPr>
        <w:t>Family Planning clinics;</w:t>
      </w:r>
    </w:p>
    <w:p w14:paraId="2819E034" w14:textId="77777777" w:rsidR="004647B9" w:rsidRPr="00997693" w:rsidRDefault="00E2436F" w:rsidP="00563A54">
      <w:pPr>
        <w:numPr>
          <w:ilvl w:val="4"/>
          <w:numId w:val="179"/>
        </w:numPr>
        <w:tabs>
          <w:tab w:val="left" w:pos="3360"/>
        </w:tabs>
        <w:ind w:left="3360" w:hanging="365"/>
        <w:rPr>
          <w:rFonts w:eastAsia="Times New Roman"/>
          <w:sz w:val="24"/>
          <w:szCs w:val="24"/>
        </w:rPr>
      </w:pPr>
      <w:r w:rsidRPr="00997693">
        <w:rPr>
          <w:rFonts w:eastAsia="Times New Roman"/>
          <w:sz w:val="24"/>
          <w:szCs w:val="24"/>
        </w:rPr>
        <w:t>Local welfare agencies.</w:t>
      </w:r>
    </w:p>
    <w:p w14:paraId="2819E036" w14:textId="77777777" w:rsidR="004647B9" w:rsidRPr="00997693" w:rsidRDefault="00E2436F" w:rsidP="00563A54">
      <w:pPr>
        <w:numPr>
          <w:ilvl w:val="3"/>
          <w:numId w:val="179"/>
        </w:numPr>
        <w:tabs>
          <w:tab w:val="left" w:pos="3194"/>
        </w:tabs>
        <w:spacing w:line="243" w:lineRule="auto"/>
        <w:ind w:left="2640" w:hanging="5"/>
        <w:jc w:val="both"/>
        <w:rPr>
          <w:rFonts w:eastAsia="Times New Roman"/>
          <w:sz w:val="24"/>
          <w:szCs w:val="24"/>
        </w:rPr>
      </w:pPr>
      <w:r w:rsidRPr="00997693">
        <w:rPr>
          <w:rFonts w:eastAsia="Times New Roman"/>
          <w:sz w:val="24"/>
          <w:szCs w:val="24"/>
        </w:rPr>
        <w:t>Make a good faith effort to locate the following organizations within the service area and deliver materials that meet the content requirements of 310 CMR 22.06B(6)(a) to them, along with an informational notice that encourages distribution to all potentially affected customers or users. The good faith effort to contact at-risk customers may include requesting specific contact list of these organizations from the local public health agencies, even if the agencies are not located within the water system's service area.</w:t>
      </w:r>
    </w:p>
    <w:p w14:paraId="2819E038" w14:textId="77777777" w:rsidR="004647B9" w:rsidRPr="00997693" w:rsidRDefault="00E2436F" w:rsidP="00563A54">
      <w:pPr>
        <w:numPr>
          <w:ilvl w:val="4"/>
          <w:numId w:val="179"/>
        </w:numPr>
        <w:tabs>
          <w:tab w:val="left" w:pos="3400"/>
        </w:tabs>
        <w:ind w:left="3400" w:hanging="405"/>
        <w:rPr>
          <w:rFonts w:eastAsia="Times New Roman"/>
          <w:sz w:val="24"/>
          <w:szCs w:val="24"/>
        </w:rPr>
      </w:pPr>
      <w:r w:rsidRPr="00997693">
        <w:rPr>
          <w:rFonts w:eastAsia="Times New Roman"/>
          <w:sz w:val="24"/>
          <w:szCs w:val="24"/>
        </w:rPr>
        <w:t>Licensed childcare centers;</w:t>
      </w:r>
    </w:p>
    <w:p w14:paraId="2819E03A" w14:textId="77777777" w:rsidR="004647B9" w:rsidRPr="00997693" w:rsidRDefault="00E2436F" w:rsidP="00563A54">
      <w:pPr>
        <w:numPr>
          <w:ilvl w:val="4"/>
          <w:numId w:val="179"/>
        </w:numPr>
        <w:tabs>
          <w:tab w:val="left" w:pos="3400"/>
        </w:tabs>
        <w:ind w:left="3400" w:hanging="405"/>
        <w:rPr>
          <w:rFonts w:eastAsia="Times New Roman"/>
          <w:sz w:val="24"/>
          <w:szCs w:val="24"/>
        </w:rPr>
      </w:pPr>
      <w:r w:rsidRPr="00997693">
        <w:rPr>
          <w:rFonts w:eastAsia="Times New Roman"/>
          <w:sz w:val="24"/>
          <w:szCs w:val="24"/>
        </w:rPr>
        <w:t>Public and private preschools;</w:t>
      </w:r>
    </w:p>
    <w:p w14:paraId="2819E03C" w14:textId="77777777" w:rsidR="004647B9" w:rsidRPr="00997693" w:rsidRDefault="00E2436F" w:rsidP="00563A54">
      <w:pPr>
        <w:numPr>
          <w:ilvl w:val="4"/>
          <w:numId w:val="179"/>
        </w:numPr>
        <w:tabs>
          <w:tab w:val="left" w:pos="3400"/>
        </w:tabs>
        <w:ind w:left="3400" w:hanging="405"/>
        <w:rPr>
          <w:rFonts w:eastAsia="Times New Roman"/>
          <w:sz w:val="24"/>
          <w:szCs w:val="24"/>
        </w:rPr>
      </w:pPr>
      <w:r w:rsidRPr="00997693">
        <w:rPr>
          <w:rFonts w:eastAsia="Times New Roman"/>
          <w:sz w:val="24"/>
          <w:szCs w:val="24"/>
        </w:rPr>
        <w:t>Obstetricians-Gynecologists and Midwives.</w:t>
      </w:r>
    </w:p>
    <w:p w14:paraId="2819E040" w14:textId="05D95AE3" w:rsidR="004647B9" w:rsidRPr="0053415B" w:rsidRDefault="00E2436F" w:rsidP="00563A54">
      <w:pPr>
        <w:numPr>
          <w:ilvl w:val="2"/>
          <w:numId w:val="179"/>
        </w:numPr>
        <w:tabs>
          <w:tab w:val="left" w:pos="2597"/>
        </w:tabs>
        <w:spacing w:line="244" w:lineRule="auto"/>
        <w:ind w:left="2280"/>
        <w:jc w:val="both"/>
        <w:rPr>
          <w:rFonts w:eastAsia="Times New Roman"/>
          <w:sz w:val="23"/>
          <w:szCs w:val="23"/>
        </w:rPr>
      </w:pPr>
      <w:r w:rsidRPr="0053415B">
        <w:rPr>
          <w:rFonts w:eastAsia="Times New Roman"/>
          <w:sz w:val="24"/>
          <w:szCs w:val="24"/>
        </w:rPr>
        <w:t xml:space="preserve">No less often than quarterly, provide information on or in each water bill as long as the system exceeds the action level for lead. The message on the water bill must include the following statement exactly as written except for the text in brackets for which the water system must include system-specific information: [INSERT NAME OF WATER SYSTEM ] found high levels of lead in drinking water in some homes. Lead can cause serious health problems. For more information please call </w:t>
      </w:r>
      <w:r w:rsidRPr="0053415B">
        <w:rPr>
          <w:rFonts w:eastAsia="Times New Roman"/>
          <w:sz w:val="24"/>
          <w:szCs w:val="24"/>
        </w:rPr>
        <w:lastRenderedPageBreak/>
        <w:t>or visit</w:t>
      </w:r>
      <w:r w:rsidR="0053415B" w:rsidRPr="0053415B">
        <w:rPr>
          <w:rFonts w:eastAsia="Times New Roman"/>
          <w:sz w:val="24"/>
          <w:szCs w:val="24"/>
        </w:rPr>
        <w:t xml:space="preserve"> </w:t>
      </w:r>
      <w:r w:rsidRPr="0053415B">
        <w:rPr>
          <w:rFonts w:eastAsia="Times New Roman"/>
          <w:sz w:val="24"/>
          <w:szCs w:val="24"/>
        </w:rPr>
        <w:t>[INSERT NAME OF YOUR WATER SYSTEM OR YOUR WEB SITE HERE]. The message or delivery mechanism can be modified in consultation with the Department; specifically, the Department may allow a separate mailing of public education materials to customers if the water system cannot place the information on water bills.</w:t>
      </w:r>
    </w:p>
    <w:p w14:paraId="2819E041" w14:textId="77777777" w:rsidR="004647B9" w:rsidRDefault="004647B9">
      <w:pPr>
        <w:sectPr w:rsidR="004647B9" w:rsidSect="00EF630C">
          <w:pgSz w:w="12240" w:h="20180"/>
          <w:pgMar w:top="708" w:right="1440" w:bottom="1440" w:left="600" w:header="0" w:footer="0" w:gutter="0"/>
          <w:cols w:space="720" w:equalWidth="0">
            <w:col w:w="10200"/>
          </w:cols>
        </w:sectPr>
      </w:pPr>
    </w:p>
    <w:p w14:paraId="2819E042" w14:textId="77777777" w:rsidR="004647B9" w:rsidRDefault="00E2436F">
      <w:pPr>
        <w:tabs>
          <w:tab w:val="left" w:pos="160"/>
        </w:tabs>
        <w:jc w:val="center"/>
        <w:rPr>
          <w:sz w:val="20"/>
          <w:szCs w:val="20"/>
        </w:rPr>
      </w:pPr>
      <w:bookmarkStart w:id="72" w:name="page73"/>
      <w:bookmarkEnd w:id="7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043" w14:textId="77777777" w:rsidR="004647B9" w:rsidRDefault="004647B9" w:rsidP="00200E6C">
      <w:pPr>
        <w:rPr>
          <w:sz w:val="20"/>
          <w:szCs w:val="20"/>
        </w:rPr>
      </w:pPr>
    </w:p>
    <w:p w14:paraId="2819E044" w14:textId="77777777" w:rsidR="004647B9" w:rsidRDefault="004647B9" w:rsidP="00200E6C">
      <w:pPr>
        <w:rPr>
          <w:sz w:val="20"/>
          <w:szCs w:val="20"/>
        </w:rPr>
      </w:pPr>
    </w:p>
    <w:p w14:paraId="2819E045"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046" w14:textId="77777777" w:rsidR="004647B9" w:rsidRDefault="004647B9" w:rsidP="00200E6C">
      <w:pPr>
        <w:rPr>
          <w:sz w:val="20"/>
          <w:szCs w:val="20"/>
        </w:rPr>
      </w:pPr>
    </w:p>
    <w:p w14:paraId="2819E047" w14:textId="77777777" w:rsidR="004647B9" w:rsidRPr="0053415B" w:rsidRDefault="00E2436F" w:rsidP="00D17999">
      <w:pPr>
        <w:numPr>
          <w:ilvl w:val="0"/>
          <w:numId w:val="180"/>
        </w:numPr>
        <w:tabs>
          <w:tab w:val="left" w:pos="2597"/>
        </w:tabs>
        <w:ind w:left="2280" w:hanging="5"/>
        <w:rPr>
          <w:rFonts w:eastAsia="Times New Roman"/>
          <w:sz w:val="24"/>
          <w:szCs w:val="24"/>
        </w:rPr>
      </w:pPr>
      <w:r w:rsidRPr="0053415B">
        <w:rPr>
          <w:rFonts w:eastAsia="Times New Roman"/>
          <w:sz w:val="24"/>
          <w:szCs w:val="24"/>
        </w:rPr>
        <w:t>Post material meeting the content requirements of 310 CMR 22.06B(6)(a) on the water system's Web site if the system serves a population greater than 100,000.</w:t>
      </w:r>
    </w:p>
    <w:p w14:paraId="2819E048" w14:textId="77777777" w:rsidR="004647B9" w:rsidRPr="0053415B" w:rsidRDefault="00E2436F" w:rsidP="00D17999">
      <w:pPr>
        <w:numPr>
          <w:ilvl w:val="0"/>
          <w:numId w:val="180"/>
        </w:numPr>
        <w:tabs>
          <w:tab w:val="left" w:pos="2620"/>
        </w:tabs>
        <w:ind w:left="2620" w:hanging="345"/>
        <w:rPr>
          <w:rFonts w:eastAsia="Times New Roman"/>
          <w:sz w:val="24"/>
          <w:szCs w:val="24"/>
        </w:rPr>
      </w:pPr>
      <w:r w:rsidRPr="0053415B">
        <w:rPr>
          <w:rFonts w:eastAsia="Times New Roman"/>
          <w:sz w:val="24"/>
          <w:szCs w:val="24"/>
        </w:rPr>
        <w:t>Submit a press release to newspaper, television and radio stations.</w:t>
      </w:r>
    </w:p>
    <w:p w14:paraId="2819E04A" w14:textId="12258C91" w:rsidR="004647B9" w:rsidRPr="0053415B" w:rsidRDefault="00E2436F" w:rsidP="00D17999">
      <w:pPr>
        <w:numPr>
          <w:ilvl w:val="0"/>
          <w:numId w:val="180"/>
        </w:numPr>
        <w:tabs>
          <w:tab w:val="left" w:pos="2556"/>
        </w:tabs>
        <w:ind w:left="2280" w:hanging="5"/>
        <w:jc w:val="both"/>
        <w:rPr>
          <w:rFonts w:eastAsia="Times New Roman"/>
          <w:sz w:val="24"/>
          <w:szCs w:val="24"/>
        </w:rPr>
      </w:pPr>
      <w:r w:rsidRPr="0053415B">
        <w:rPr>
          <w:rFonts w:eastAsia="Times New Roman"/>
          <w:sz w:val="24"/>
          <w:szCs w:val="24"/>
        </w:rPr>
        <w:t>In addition to the requirements of 310 CMR 22.06B(6)(b)2.a. through e., systems must implement at least three activities from one or more categories listed in 310 CMR 22.06B(6)(b)2.f.(i) through (</w:t>
      </w:r>
      <w:r w:rsidR="00DF1042" w:rsidRPr="0053415B">
        <w:rPr>
          <w:rFonts w:eastAsia="Times New Roman"/>
          <w:sz w:val="24"/>
          <w:szCs w:val="24"/>
        </w:rPr>
        <w:t>i</w:t>
      </w:r>
      <w:r w:rsidR="00DF1042">
        <w:rPr>
          <w:rFonts w:eastAsia="Times New Roman"/>
          <w:sz w:val="24"/>
          <w:szCs w:val="24"/>
        </w:rPr>
        <w:t>x</w:t>
      </w:r>
      <w:r w:rsidRPr="0053415B">
        <w:rPr>
          <w:rFonts w:eastAsia="Times New Roman"/>
          <w:sz w:val="24"/>
          <w:szCs w:val="24"/>
        </w:rPr>
        <w:t>). The educational content and selection of these activities must be determined in consultation with the Department.</w:t>
      </w:r>
    </w:p>
    <w:p w14:paraId="2819E04C" w14:textId="77777777" w:rsidR="004647B9" w:rsidRPr="0053415B" w:rsidRDefault="00E2436F" w:rsidP="00D17999">
      <w:pPr>
        <w:numPr>
          <w:ilvl w:val="1"/>
          <w:numId w:val="180"/>
        </w:numPr>
        <w:tabs>
          <w:tab w:val="left" w:pos="3040"/>
        </w:tabs>
        <w:ind w:left="3040" w:hanging="405"/>
        <w:rPr>
          <w:rFonts w:eastAsia="Times New Roman"/>
          <w:sz w:val="24"/>
          <w:szCs w:val="24"/>
        </w:rPr>
      </w:pPr>
      <w:r w:rsidRPr="0053415B">
        <w:rPr>
          <w:rFonts w:eastAsia="Times New Roman"/>
          <w:sz w:val="24"/>
          <w:szCs w:val="24"/>
        </w:rPr>
        <w:t>Public Service Announcements.</w:t>
      </w:r>
    </w:p>
    <w:p w14:paraId="2819E04E" w14:textId="77777777" w:rsidR="004647B9" w:rsidRPr="0053415B" w:rsidRDefault="00E2436F" w:rsidP="00D17999">
      <w:pPr>
        <w:numPr>
          <w:ilvl w:val="1"/>
          <w:numId w:val="180"/>
        </w:numPr>
        <w:tabs>
          <w:tab w:val="left" w:pos="3100"/>
        </w:tabs>
        <w:ind w:left="3100" w:hanging="465"/>
        <w:rPr>
          <w:rFonts w:eastAsia="Times New Roman"/>
          <w:sz w:val="24"/>
          <w:szCs w:val="24"/>
        </w:rPr>
      </w:pPr>
      <w:r w:rsidRPr="0053415B">
        <w:rPr>
          <w:rFonts w:eastAsia="Times New Roman"/>
          <w:sz w:val="24"/>
          <w:szCs w:val="24"/>
        </w:rPr>
        <w:t>Paid advertisements.</w:t>
      </w:r>
    </w:p>
    <w:p w14:paraId="2819E050" w14:textId="77777777" w:rsidR="004647B9" w:rsidRPr="0053415B" w:rsidRDefault="00E2436F" w:rsidP="00D17999">
      <w:pPr>
        <w:numPr>
          <w:ilvl w:val="1"/>
          <w:numId w:val="180"/>
        </w:numPr>
        <w:tabs>
          <w:tab w:val="left" w:pos="3180"/>
        </w:tabs>
        <w:ind w:left="3180" w:hanging="545"/>
        <w:rPr>
          <w:rFonts w:eastAsia="Times New Roman"/>
          <w:sz w:val="24"/>
          <w:szCs w:val="24"/>
        </w:rPr>
      </w:pPr>
      <w:r w:rsidRPr="0053415B">
        <w:rPr>
          <w:rFonts w:eastAsia="Times New Roman"/>
          <w:sz w:val="24"/>
          <w:szCs w:val="24"/>
        </w:rPr>
        <w:t>Public Area Information Display.</w:t>
      </w:r>
    </w:p>
    <w:p w14:paraId="2819E052" w14:textId="77777777" w:rsidR="004647B9" w:rsidRPr="0053415B" w:rsidRDefault="00E2436F" w:rsidP="00D17999">
      <w:pPr>
        <w:numPr>
          <w:ilvl w:val="1"/>
          <w:numId w:val="180"/>
        </w:numPr>
        <w:tabs>
          <w:tab w:val="left" w:pos="3160"/>
        </w:tabs>
        <w:ind w:left="3160" w:hanging="525"/>
        <w:rPr>
          <w:rFonts w:eastAsia="Times New Roman"/>
          <w:sz w:val="24"/>
          <w:szCs w:val="24"/>
        </w:rPr>
      </w:pPr>
      <w:r w:rsidRPr="0053415B">
        <w:rPr>
          <w:rFonts w:eastAsia="Times New Roman"/>
          <w:sz w:val="24"/>
          <w:szCs w:val="24"/>
        </w:rPr>
        <w:t>E-mails to customers.</w:t>
      </w:r>
    </w:p>
    <w:p w14:paraId="2819E054" w14:textId="77777777" w:rsidR="004647B9" w:rsidRPr="0053415B" w:rsidRDefault="00E2436F" w:rsidP="00D17999">
      <w:pPr>
        <w:numPr>
          <w:ilvl w:val="1"/>
          <w:numId w:val="180"/>
        </w:numPr>
        <w:tabs>
          <w:tab w:val="left" w:pos="3100"/>
        </w:tabs>
        <w:ind w:left="3100" w:hanging="465"/>
        <w:rPr>
          <w:rFonts w:eastAsia="Times New Roman"/>
          <w:sz w:val="24"/>
          <w:szCs w:val="24"/>
        </w:rPr>
      </w:pPr>
      <w:r w:rsidRPr="0053415B">
        <w:rPr>
          <w:rFonts w:eastAsia="Times New Roman"/>
          <w:sz w:val="24"/>
          <w:szCs w:val="24"/>
        </w:rPr>
        <w:t>Public Meetings.</w:t>
      </w:r>
    </w:p>
    <w:p w14:paraId="2819E056" w14:textId="77777777" w:rsidR="004647B9" w:rsidRPr="0053415B" w:rsidRDefault="00E2436F" w:rsidP="00D17999">
      <w:pPr>
        <w:numPr>
          <w:ilvl w:val="1"/>
          <w:numId w:val="180"/>
        </w:numPr>
        <w:tabs>
          <w:tab w:val="left" w:pos="3160"/>
        </w:tabs>
        <w:ind w:left="3160" w:hanging="525"/>
        <w:rPr>
          <w:rFonts w:eastAsia="Times New Roman"/>
          <w:sz w:val="24"/>
          <w:szCs w:val="24"/>
        </w:rPr>
      </w:pPr>
      <w:r w:rsidRPr="0053415B">
        <w:rPr>
          <w:rFonts w:eastAsia="Times New Roman"/>
          <w:sz w:val="24"/>
          <w:szCs w:val="24"/>
        </w:rPr>
        <w:t>Household Deliveries.</w:t>
      </w:r>
    </w:p>
    <w:p w14:paraId="2819E058" w14:textId="77777777" w:rsidR="004647B9" w:rsidRPr="0053415B" w:rsidRDefault="00E2436F" w:rsidP="00D17999">
      <w:pPr>
        <w:numPr>
          <w:ilvl w:val="1"/>
          <w:numId w:val="180"/>
        </w:numPr>
        <w:tabs>
          <w:tab w:val="left" w:pos="3220"/>
        </w:tabs>
        <w:ind w:left="3220" w:hanging="585"/>
        <w:rPr>
          <w:rFonts w:eastAsia="Times New Roman"/>
          <w:sz w:val="24"/>
          <w:szCs w:val="24"/>
        </w:rPr>
      </w:pPr>
      <w:r w:rsidRPr="0053415B">
        <w:rPr>
          <w:rFonts w:eastAsia="Times New Roman"/>
          <w:sz w:val="24"/>
          <w:szCs w:val="24"/>
        </w:rPr>
        <w:t>Targeted Individual Customer Contact.</w:t>
      </w:r>
    </w:p>
    <w:p w14:paraId="2819E05A" w14:textId="77777777" w:rsidR="004647B9" w:rsidRPr="0053415B" w:rsidRDefault="00E2436F" w:rsidP="00D17999">
      <w:pPr>
        <w:numPr>
          <w:ilvl w:val="1"/>
          <w:numId w:val="180"/>
        </w:numPr>
        <w:tabs>
          <w:tab w:val="left" w:pos="3300"/>
        </w:tabs>
        <w:ind w:left="3300" w:hanging="665"/>
        <w:rPr>
          <w:rFonts w:eastAsia="Times New Roman"/>
          <w:sz w:val="24"/>
          <w:szCs w:val="24"/>
        </w:rPr>
      </w:pPr>
      <w:r w:rsidRPr="0053415B">
        <w:rPr>
          <w:rFonts w:eastAsia="Times New Roman"/>
          <w:sz w:val="24"/>
          <w:szCs w:val="24"/>
        </w:rPr>
        <w:t>Direct material distribution to all multi-family homes and institutions.</w:t>
      </w:r>
    </w:p>
    <w:p w14:paraId="2819E05C" w14:textId="1817B18A" w:rsidR="004647B9" w:rsidRPr="0053415B" w:rsidRDefault="00E2436F" w:rsidP="00905F85">
      <w:pPr>
        <w:numPr>
          <w:ilvl w:val="0"/>
          <w:numId w:val="1034"/>
        </w:numPr>
        <w:tabs>
          <w:tab w:val="left" w:pos="3300"/>
        </w:tabs>
        <w:ind w:left="2635"/>
        <w:rPr>
          <w:rFonts w:eastAsia="Times New Roman"/>
          <w:sz w:val="24"/>
          <w:szCs w:val="24"/>
        </w:rPr>
      </w:pPr>
      <w:r w:rsidRPr="0053415B">
        <w:rPr>
          <w:rFonts w:eastAsia="Times New Roman"/>
          <w:sz w:val="24"/>
          <w:szCs w:val="24"/>
        </w:rPr>
        <w:t>Other Methods approved by the Department.</w:t>
      </w:r>
    </w:p>
    <w:p w14:paraId="2819E05E" w14:textId="77777777" w:rsidR="004647B9" w:rsidRPr="0053415B" w:rsidRDefault="00E2436F" w:rsidP="00D17999">
      <w:pPr>
        <w:numPr>
          <w:ilvl w:val="1"/>
          <w:numId w:val="182"/>
        </w:numPr>
        <w:tabs>
          <w:tab w:val="left" w:pos="2642"/>
        </w:tabs>
        <w:ind w:left="2280" w:hanging="5"/>
        <w:jc w:val="both"/>
        <w:rPr>
          <w:rFonts w:eastAsia="Times New Roman"/>
          <w:sz w:val="24"/>
          <w:szCs w:val="24"/>
        </w:rPr>
      </w:pPr>
      <w:r w:rsidRPr="0053415B">
        <w:rPr>
          <w:rFonts w:eastAsia="Times New Roman"/>
          <w:sz w:val="24"/>
          <w:szCs w:val="24"/>
        </w:rPr>
        <w:t>For systems that are required to conduct monitoring annually or less frequently the end of the monitoring period is September 30</w:t>
      </w:r>
      <w:r w:rsidRPr="0053415B">
        <w:rPr>
          <w:rFonts w:eastAsia="Times New Roman"/>
          <w:sz w:val="24"/>
          <w:szCs w:val="24"/>
          <w:vertAlign w:val="superscript"/>
        </w:rPr>
        <w:t>th</w:t>
      </w:r>
      <w:r w:rsidRPr="0053415B">
        <w:rPr>
          <w:rFonts w:eastAsia="Times New Roman"/>
          <w:sz w:val="24"/>
          <w:szCs w:val="24"/>
        </w:rPr>
        <w:t xml:space="preserve"> of the calendar year in which the sampling occurs, or if the Department has established an alternate monitoring period, the last day of that period.</w:t>
      </w:r>
    </w:p>
    <w:p w14:paraId="2819E060" w14:textId="77777777" w:rsidR="004647B9" w:rsidRPr="0053415B" w:rsidRDefault="00E2436F" w:rsidP="00D17999">
      <w:pPr>
        <w:numPr>
          <w:ilvl w:val="0"/>
          <w:numId w:val="183"/>
        </w:numPr>
        <w:tabs>
          <w:tab w:val="left" w:pos="2309"/>
        </w:tabs>
        <w:ind w:left="1920" w:hanging="5"/>
        <w:jc w:val="both"/>
        <w:rPr>
          <w:rFonts w:eastAsia="Times New Roman"/>
          <w:sz w:val="24"/>
          <w:szCs w:val="24"/>
        </w:rPr>
      </w:pPr>
      <w:r w:rsidRPr="00DF1042">
        <w:rPr>
          <w:rFonts w:eastAsia="Times New Roman"/>
          <w:sz w:val="24"/>
          <w:szCs w:val="24"/>
        </w:rPr>
        <w:t>As long as a</w:t>
      </w:r>
      <w:r w:rsidRPr="0053415B">
        <w:rPr>
          <w:rFonts w:eastAsia="Times New Roman"/>
          <w:sz w:val="24"/>
          <w:szCs w:val="24"/>
        </w:rPr>
        <w:t xml:space="preserve"> community water system exceeds the action level, it must repeat the activities pursuant to 310 CMR 22.06B(6)(b)2. as described in 310 CMR 22.06B(6)(b)3.a. through d.</w:t>
      </w:r>
    </w:p>
    <w:p w14:paraId="2819E062" w14:textId="458E6400" w:rsidR="004647B9" w:rsidRPr="0053415B" w:rsidRDefault="00E2436F" w:rsidP="00D17999">
      <w:pPr>
        <w:numPr>
          <w:ilvl w:val="1"/>
          <w:numId w:val="183"/>
        </w:numPr>
        <w:tabs>
          <w:tab w:val="left" w:pos="2592"/>
        </w:tabs>
        <w:ind w:left="2280" w:hanging="5"/>
        <w:rPr>
          <w:rFonts w:eastAsia="Times New Roman"/>
          <w:sz w:val="24"/>
          <w:szCs w:val="24"/>
        </w:rPr>
      </w:pPr>
      <w:r w:rsidRPr="0053415B">
        <w:rPr>
          <w:rFonts w:eastAsia="Times New Roman"/>
          <w:sz w:val="24"/>
          <w:szCs w:val="24"/>
        </w:rPr>
        <w:t xml:space="preserve">A community water system shall repeat tasks contained in 310 CMR 22.06B(6)(b)2.a., b., and </w:t>
      </w:r>
      <w:r w:rsidR="00FE4CE0">
        <w:rPr>
          <w:rFonts w:eastAsia="Times New Roman"/>
          <w:sz w:val="24"/>
          <w:szCs w:val="24"/>
        </w:rPr>
        <w:t>f</w:t>
      </w:r>
      <w:r w:rsidRPr="0053415B">
        <w:rPr>
          <w:rFonts w:eastAsia="Times New Roman"/>
          <w:sz w:val="24"/>
          <w:szCs w:val="24"/>
        </w:rPr>
        <w:t>. every 12 months.</w:t>
      </w:r>
    </w:p>
    <w:p w14:paraId="2819E063" w14:textId="77777777" w:rsidR="004647B9" w:rsidRPr="0053415B" w:rsidRDefault="00E2436F" w:rsidP="00D17999">
      <w:pPr>
        <w:numPr>
          <w:ilvl w:val="1"/>
          <w:numId w:val="183"/>
        </w:numPr>
        <w:tabs>
          <w:tab w:val="left" w:pos="2592"/>
        </w:tabs>
        <w:ind w:left="2280" w:hanging="5"/>
        <w:rPr>
          <w:rFonts w:eastAsia="Times New Roman"/>
          <w:sz w:val="24"/>
          <w:szCs w:val="24"/>
        </w:rPr>
      </w:pPr>
      <w:r w:rsidRPr="0053415B">
        <w:rPr>
          <w:rFonts w:eastAsia="Times New Roman"/>
          <w:sz w:val="24"/>
          <w:szCs w:val="24"/>
        </w:rPr>
        <w:t>A community water system shall repeat tasks contained in 310 CMR 22.06B(6)(b)2.c. with each billing cycle.</w:t>
      </w:r>
    </w:p>
    <w:p w14:paraId="2819E064" w14:textId="77777777" w:rsidR="004647B9" w:rsidRPr="0053415B" w:rsidRDefault="00E2436F" w:rsidP="00D17999">
      <w:pPr>
        <w:numPr>
          <w:ilvl w:val="1"/>
          <w:numId w:val="183"/>
        </w:numPr>
        <w:tabs>
          <w:tab w:val="left" w:pos="2592"/>
        </w:tabs>
        <w:ind w:left="2280" w:hanging="5"/>
        <w:jc w:val="both"/>
        <w:rPr>
          <w:rFonts w:eastAsia="Times New Roman"/>
          <w:sz w:val="24"/>
          <w:szCs w:val="24"/>
        </w:rPr>
      </w:pPr>
      <w:r w:rsidRPr="0053415B">
        <w:rPr>
          <w:rFonts w:eastAsia="Times New Roman"/>
          <w:sz w:val="24"/>
          <w:szCs w:val="24"/>
        </w:rPr>
        <w:t>A community water system serving a population greater than 100,000 shall post and retain material on a publicly accessible Web site pursuant to 310 CMR 22.06B(6)b)2.d.</w:t>
      </w:r>
    </w:p>
    <w:p w14:paraId="2819E066" w14:textId="029F3F3A" w:rsidR="004647B9" w:rsidRPr="0053415B" w:rsidRDefault="00E2436F" w:rsidP="00D17999">
      <w:pPr>
        <w:numPr>
          <w:ilvl w:val="1"/>
          <w:numId w:val="183"/>
        </w:numPr>
        <w:tabs>
          <w:tab w:val="left" w:pos="2592"/>
        </w:tabs>
        <w:ind w:left="2280" w:hanging="5"/>
        <w:jc w:val="both"/>
        <w:rPr>
          <w:rFonts w:eastAsia="Times New Roman"/>
          <w:sz w:val="24"/>
          <w:szCs w:val="24"/>
        </w:rPr>
      </w:pPr>
      <w:r w:rsidRPr="0053415B">
        <w:rPr>
          <w:rFonts w:eastAsia="Times New Roman"/>
          <w:sz w:val="24"/>
          <w:szCs w:val="24"/>
        </w:rPr>
        <w:t>The community water system shall repeat the task in 310</w:t>
      </w:r>
      <w:r w:rsidR="007D19E3">
        <w:rPr>
          <w:rFonts w:eastAsia="Times New Roman"/>
          <w:sz w:val="24"/>
          <w:szCs w:val="24"/>
        </w:rPr>
        <w:t xml:space="preserve"> </w:t>
      </w:r>
      <w:r w:rsidRPr="0053415B">
        <w:rPr>
          <w:rFonts w:eastAsia="Times New Roman"/>
          <w:sz w:val="24"/>
          <w:szCs w:val="24"/>
        </w:rPr>
        <w:t>CMR 22.06B(6)(b)2.e. twice every 12 months on a schedule agreed upon with the Department. The Department can allow activities in 310 CMR 22.06B(6)(b)2.</w:t>
      </w:r>
      <w:r w:rsidR="00454E25">
        <w:rPr>
          <w:rFonts w:eastAsia="Times New Roman"/>
          <w:sz w:val="24"/>
          <w:szCs w:val="24"/>
        </w:rPr>
        <w:t xml:space="preserve"> </w:t>
      </w:r>
      <w:r w:rsidRPr="0053415B">
        <w:rPr>
          <w:rFonts w:eastAsia="Times New Roman"/>
          <w:sz w:val="24"/>
          <w:szCs w:val="24"/>
        </w:rPr>
        <w:t>to extend beyond the 60-day requirement if needed for implementation purposes on a case-by-case basis; however, this extension must be approved in writing by the Department in advance of the 60-day deadline.</w:t>
      </w:r>
    </w:p>
    <w:p w14:paraId="2819E068" w14:textId="77777777" w:rsidR="004647B9" w:rsidRPr="0053415B" w:rsidRDefault="00E2436F" w:rsidP="00D17999">
      <w:pPr>
        <w:numPr>
          <w:ilvl w:val="0"/>
          <w:numId w:val="183"/>
        </w:numPr>
        <w:tabs>
          <w:tab w:val="left" w:pos="2352"/>
        </w:tabs>
        <w:ind w:left="1920" w:hanging="5"/>
        <w:jc w:val="both"/>
        <w:rPr>
          <w:rFonts w:eastAsia="Times New Roman"/>
          <w:sz w:val="24"/>
          <w:szCs w:val="24"/>
        </w:rPr>
      </w:pPr>
      <w:r w:rsidRPr="0053415B">
        <w:rPr>
          <w:rFonts w:eastAsia="Times New Roman"/>
          <w:sz w:val="24"/>
          <w:szCs w:val="24"/>
        </w:rPr>
        <w:t>Within 60 days after the end of the monitoring period in which the exceedance occurred, a non-transient non-community water system shall deliver the public education materials specified by 310 CMR 22.06B(6)(a) (unless it already is repeating public education tasks pursuant to 310 CMR 22.06B(6)(a)) as follows:</w:t>
      </w:r>
    </w:p>
    <w:p w14:paraId="2819E069" w14:textId="77777777" w:rsidR="004647B9" w:rsidRPr="0053415B" w:rsidRDefault="00E2436F" w:rsidP="00D17999">
      <w:pPr>
        <w:numPr>
          <w:ilvl w:val="1"/>
          <w:numId w:val="183"/>
        </w:numPr>
        <w:tabs>
          <w:tab w:val="left" w:pos="2590"/>
        </w:tabs>
        <w:ind w:left="2280" w:hanging="5"/>
        <w:rPr>
          <w:rFonts w:eastAsia="Times New Roman"/>
          <w:sz w:val="24"/>
          <w:szCs w:val="24"/>
        </w:rPr>
      </w:pPr>
      <w:r w:rsidRPr="0053415B">
        <w:rPr>
          <w:rFonts w:eastAsia="Times New Roman"/>
          <w:sz w:val="24"/>
          <w:szCs w:val="24"/>
        </w:rPr>
        <w:t>Post informational posters on lead in drinking water in a public place or common area in each of the buildings served by the systems; and</w:t>
      </w:r>
    </w:p>
    <w:p w14:paraId="2819E06A" w14:textId="77777777" w:rsidR="004647B9" w:rsidRPr="0053415B" w:rsidRDefault="00E2436F" w:rsidP="00D17999">
      <w:pPr>
        <w:numPr>
          <w:ilvl w:val="1"/>
          <w:numId w:val="183"/>
        </w:numPr>
        <w:tabs>
          <w:tab w:val="left" w:pos="2647"/>
        </w:tabs>
        <w:ind w:left="2280" w:hanging="5"/>
        <w:jc w:val="both"/>
        <w:rPr>
          <w:rFonts w:eastAsia="Times New Roman"/>
          <w:sz w:val="24"/>
          <w:szCs w:val="24"/>
        </w:rPr>
      </w:pPr>
      <w:r w:rsidRPr="0053415B">
        <w:rPr>
          <w:rFonts w:eastAsia="Times New Roman"/>
          <w:sz w:val="24"/>
          <w:szCs w:val="24"/>
        </w:rPr>
        <w:t xml:space="preserve">Distribute informational pamphlets and/or brochures on lead in drinking water to each person served by the non-transient non-community water system. The Department may allow the system to utilize electronic transmission in </w:t>
      </w:r>
      <w:r w:rsidRPr="0053415B">
        <w:rPr>
          <w:rFonts w:eastAsia="Times New Roman"/>
          <w:i/>
          <w:iCs/>
          <w:sz w:val="24"/>
          <w:szCs w:val="24"/>
        </w:rPr>
        <w:t>lieu</w:t>
      </w:r>
      <w:r w:rsidRPr="0053415B">
        <w:rPr>
          <w:rFonts w:eastAsia="Times New Roman"/>
          <w:sz w:val="24"/>
          <w:szCs w:val="24"/>
        </w:rPr>
        <w:t xml:space="preserve"> of or combined with printed materials as long as it achieves at least the same coverage.</w:t>
      </w:r>
    </w:p>
    <w:p w14:paraId="2819E06B" w14:textId="77777777" w:rsidR="004647B9" w:rsidRPr="0053415B" w:rsidRDefault="00E2436F" w:rsidP="00D17999">
      <w:pPr>
        <w:numPr>
          <w:ilvl w:val="1"/>
          <w:numId w:val="183"/>
        </w:numPr>
        <w:tabs>
          <w:tab w:val="left" w:pos="2614"/>
        </w:tabs>
        <w:ind w:left="2280" w:hanging="5"/>
        <w:jc w:val="both"/>
        <w:rPr>
          <w:rFonts w:eastAsia="Times New Roman"/>
          <w:sz w:val="24"/>
          <w:szCs w:val="24"/>
        </w:rPr>
      </w:pPr>
      <w:r w:rsidRPr="0053415B">
        <w:rPr>
          <w:rFonts w:eastAsia="Times New Roman"/>
          <w:sz w:val="24"/>
          <w:szCs w:val="24"/>
        </w:rPr>
        <w:t>For systems that are required to conduct monitoring annually or less frequently, the end of the monitoring period is September 30</w:t>
      </w:r>
      <w:r w:rsidRPr="0053415B">
        <w:rPr>
          <w:rFonts w:eastAsia="Times New Roman"/>
          <w:sz w:val="24"/>
          <w:szCs w:val="24"/>
          <w:vertAlign w:val="superscript"/>
        </w:rPr>
        <w:t>th</w:t>
      </w:r>
      <w:r w:rsidRPr="0053415B">
        <w:rPr>
          <w:rFonts w:eastAsia="Times New Roman"/>
          <w:sz w:val="24"/>
          <w:szCs w:val="24"/>
        </w:rPr>
        <w:t xml:space="preserve"> of the calendar year in which the sampling occurs, or if the Department has established an alternate monitoring period, the last day of that period.</w:t>
      </w:r>
    </w:p>
    <w:p w14:paraId="2819E06F" w14:textId="6BCEA5D2" w:rsidR="004647B9" w:rsidRPr="0053415B" w:rsidRDefault="00E2436F" w:rsidP="00D17999">
      <w:pPr>
        <w:numPr>
          <w:ilvl w:val="0"/>
          <w:numId w:val="183"/>
        </w:numPr>
        <w:tabs>
          <w:tab w:val="left" w:pos="2340"/>
        </w:tabs>
        <w:ind w:left="1920" w:hanging="5"/>
        <w:rPr>
          <w:rFonts w:eastAsia="Times New Roman"/>
          <w:sz w:val="24"/>
          <w:szCs w:val="24"/>
        </w:rPr>
      </w:pPr>
      <w:r w:rsidRPr="0053415B">
        <w:rPr>
          <w:rFonts w:eastAsia="Times New Roman"/>
          <w:sz w:val="24"/>
          <w:szCs w:val="24"/>
        </w:rPr>
        <w:t>A non-transient non-community water system shall repeat the tasks contained in</w:t>
      </w:r>
      <w:r w:rsidR="0053415B">
        <w:rPr>
          <w:rFonts w:eastAsia="Times New Roman"/>
          <w:sz w:val="24"/>
          <w:szCs w:val="24"/>
        </w:rPr>
        <w:t xml:space="preserve"> 310 </w:t>
      </w:r>
      <w:r w:rsidRPr="0053415B">
        <w:rPr>
          <w:rFonts w:eastAsia="Times New Roman"/>
          <w:sz w:val="24"/>
          <w:szCs w:val="24"/>
        </w:rPr>
        <w:t>CMR 22.06B(6)(b)4. at least once during each calendar year in which the system exceeds the lead action level. The Department can allow activities in 310 CMR 22.06B(6)(b)4. to extend beyond the 60-day requirement if needed for implementation purposes on a case-by-case basis; however, this extension must be approved in writing by the Department in advance of the 60-day deadline.</w:t>
      </w:r>
    </w:p>
    <w:p w14:paraId="2819E070" w14:textId="77777777" w:rsidR="004647B9" w:rsidRDefault="004647B9">
      <w:pPr>
        <w:sectPr w:rsidR="004647B9" w:rsidSect="00EF630C">
          <w:pgSz w:w="12240" w:h="20180"/>
          <w:pgMar w:top="708" w:right="1440" w:bottom="1440" w:left="600" w:header="0" w:footer="0" w:gutter="0"/>
          <w:cols w:space="720" w:equalWidth="0">
            <w:col w:w="10200"/>
          </w:cols>
        </w:sectPr>
      </w:pPr>
    </w:p>
    <w:p w14:paraId="2819E071" w14:textId="77777777" w:rsidR="004647B9" w:rsidRDefault="00E2436F">
      <w:pPr>
        <w:tabs>
          <w:tab w:val="left" w:pos="160"/>
        </w:tabs>
        <w:jc w:val="center"/>
        <w:rPr>
          <w:sz w:val="20"/>
          <w:szCs w:val="20"/>
        </w:rPr>
      </w:pPr>
      <w:bookmarkStart w:id="73" w:name="page74"/>
      <w:bookmarkEnd w:id="7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072" w14:textId="77777777" w:rsidR="004647B9" w:rsidRDefault="004647B9" w:rsidP="00D17999">
      <w:pPr>
        <w:rPr>
          <w:sz w:val="20"/>
          <w:szCs w:val="20"/>
        </w:rPr>
      </w:pPr>
    </w:p>
    <w:p w14:paraId="2819E073" w14:textId="77777777" w:rsidR="004647B9" w:rsidRDefault="004647B9" w:rsidP="00D17999">
      <w:pPr>
        <w:rPr>
          <w:sz w:val="20"/>
          <w:szCs w:val="20"/>
        </w:rPr>
      </w:pPr>
    </w:p>
    <w:p w14:paraId="2819E074"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075" w14:textId="77777777" w:rsidR="004647B9" w:rsidRDefault="004647B9" w:rsidP="00D17999">
      <w:pPr>
        <w:rPr>
          <w:sz w:val="20"/>
          <w:szCs w:val="20"/>
        </w:rPr>
      </w:pPr>
    </w:p>
    <w:p w14:paraId="2819E076" w14:textId="324944C6" w:rsidR="004647B9" w:rsidRPr="0053415B" w:rsidRDefault="00E2436F" w:rsidP="00563A54">
      <w:pPr>
        <w:numPr>
          <w:ilvl w:val="1"/>
          <w:numId w:val="184"/>
        </w:numPr>
        <w:tabs>
          <w:tab w:val="left" w:pos="2251"/>
        </w:tabs>
        <w:spacing w:line="248" w:lineRule="auto"/>
        <w:ind w:left="1920" w:hanging="5"/>
        <w:jc w:val="both"/>
        <w:rPr>
          <w:rFonts w:eastAsia="Times New Roman"/>
          <w:sz w:val="24"/>
          <w:szCs w:val="24"/>
        </w:rPr>
      </w:pPr>
      <w:r w:rsidRPr="0053415B">
        <w:rPr>
          <w:rFonts w:eastAsia="Times New Roman"/>
          <w:sz w:val="24"/>
          <w:szCs w:val="24"/>
        </w:rPr>
        <w:t>A water system may discontinue delivery of public education materials if the system has met the lead action level during the most recent six-month monitoring period conducted pursuant to 310 CMR 22.06B(7). Such a system shall recommence public education in accordance with 310 CMR 22.06B(6). if it subsequently exceeds the lead action level during any monitoring period.</w:t>
      </w:r>
    </w:p>
    <w:p w14:paraId="2819E078" w14:textId="77777777" w:rsidR="004647B9" w:rsidRPr="0053415B" w:rsidRDefault="00E2436F" w:rsidP="00563A54">
      <w:pPr>
        <w:numPr>
          <w:ilvl w:val="1"/>
          <w:numId w:val="184"/>
        </w:numPr>
        <w:tabs>
          <w:tab w:val="left" w:pos="2342"/>
        </w:tabs>
        <w:spacing w:line="242" w:lineRule="auto"/>
        <w:ind w:left="1920" w:hanging="5"/>
        <w:jc w:val="both"/>
        <w:rPr>
          <w:rFonts w:eastAsia="Times New Roman"/>
          <w:sz w:val="24"/>
          <w:szCs w:val="24"/>
        </w:rPr>
      </w:pPr>
      <w:r w:rsidRPr="0053415B">
        <w:rPr>
          <w:rFonts w:eastAsia="Times New Roman"/>
          <w:sz w:val="24"/>
          <w:szCs w:val="24"/>
        </w:rPr>
        <w:t xml:space="preserve">A community water system may apply to the Department, in writing (unless the Department has waived the requirement for prior Department approval), to use only the text specified in 310 CMR 22.06B(6)(a)1. in </w:t>
      </w:r>
      <w:r w:rsidRPr="0053415B">
        <w:rPr>
          <w:rFonts w:eastAsia="Times New Roman"/>
          <w:i/>
          <w:iCs/>
          <w:sz w:val="24"/>
          <w:szCs w:val="24"/>
        </w:rPr>
        <w:t>lieu</w:t>
      </w:r>
      <w:r w:rsidRPr="0053415B">
        <w:rPr>
          <w:rFonts w:eastAsia="Times New Roman"/>
          <w:sz w:val="24"/>
          <w:szCs w:val="24"/>
        </w:rPr>
        <w:t xml:space="preserve"> of the text in 310 CMR 22.06B(6)(a)1. and 2. and to perform the tasks listed in 310 CMR 22.06B(6)(b)4. and 5. in </w:t>
      </w:r>
      <w:r w:rsidRPr="0053415B">
        <w:rPr>
          <w:rFonts w:eastAsia="Times New Roman"/>
          <w:i/>
          <w:iCs/>
          <w:sz w:val="24"/>
          <w:szCs w:val="24"/>
        </w:rPr>
        <w:t>lieu</w:t>
      </w:r>
      <w:r w:rsidRPr="0053415B">
        <w:rPr>
          <w:rFonts w:eastAsia="Times New Roman"/>
          <w:sz w:val="24"/>
          <w:szCs w:val="24"/>
        </w:rPr>
        <w:t xml:space="preserve"> of the tasks in 310 CMR 22.06B(6)(b)2. and 3. if:</w:t>
      </w:r>
    </w:p>
    <w:p w14:paraId="2819E07A" w14:textId="77777777" w:rsidR="004647B9" w:rsidRPr="0053415B" w:rsidRDefault="00E2436F" w:rsidP="00563A54">
      <w:pPr>
        <w:numPr>
          <w:ilvl w:val="2"/>
          <w:numId w:val="184"/>
        </w:numPr>
        <w:tabs>
          <w:tab w:val="left" w:pos="2684"/>
        </w:tabs>
        <w:spacing w:line="243" w:lineRule="auto"/>
        <w:ind w:left="2280" w:hanging="5"/>
        <w:jc w:val="both"/>
        <w:rPr>
          <w:rFonts w:eastAsia="Times New Roman"/>
          <w:sz w:val="24"/>
          <w:szCs w:val="24"/>
        </w:rPr>
      </w:pPr>
      <w:r w:rsidRPr="0053415B">
        <w:rPr>
          <w:rFonts w:eastAsia="Times New Roman"/>
          <w:sz w:val="24"/>
          <w:szCs w:val="24"/>
        </w:rPr>
        <w:t>The system is a facility, such as a prison or a hospital, where the population served is not capable of or is prevented from making improvements to plumbing or installing point of use treatment devices, and</w:t>
      </w:r>
    </w:p>
    <w:p w14:paraId="2819E07C" w14:textId="77777777" w:rsidR="004647B9" w:rsidRPr="0053415B" w:rsidRDefault="00E2436F" w:rsidP="00563A54">
      <w:pPr>
        <w:numPr>
          <w:ilvl w:val="2"/>
          <w:numId w:val="184"/>
        </w:numPr>
        <w:tabs>
          <w:tab w:val="left" w:pos="2633"/>
        </w:tabs>
        <w:spacing w:line="243" w:lineRule="auto"/>
        <w:ind w:left="2280" w:hanging="5"/>
        <w:rPr>
          <w:rFonts w:eastAsia="Times New Roman"/>
          <w:sz w:val="24"/>
          <w:szCs w:val="24"/>
        </w:rPr>
      </w:pPr>
      <w:r w:rsidRPr="0053415B">
        <w:rPr>
          <w:rFonts w:eastAsia="Times New Roman"/>
          <w:sz w:val="24"/>
          <w:szCs w:val="24"/>
        </w:rPr>
        <w:t>The system provides water as part of the cost of services provided and does not separately charge for water consumption.</w:t>
      </w:r>
    </w:p>
    <w:p w14:paraId="2819E07D" w14:textId="77777777" w:rsidR="004647B9" w:rsidRPr="0053415B" w:rsidRDefault="00E2436F" w:rsidP="00563A54">
      <w:pPr>
        <w:numPr>
          <w:ilvl w:val="1"/>
          <w:numId w:val="184"/>
        </w:numPr>
        <w:tabs>
          <w:tab w:val="left" w:pos="2266"/>
        </w:tabs>
        <w:spacing w:line="243" w:lineRule="auto"/>
        <w:ind w:left="1920" w:hanging="5"/>
        <w:rPr>
          <w:rFonts w:eastAsia="Times New Roman"/>
          <w:sz w:val="24"/>
          <w:szCs w:val="24"/>
        </w:rPr>
      </w:pPr>
      <w:r w:rsidRPr="0053415B">
        <w:rPr>
          <w:rFonts w:eastAsia="Times New Roman"/>
          <w:sz w:val="24"/>
          <w:szCs w:val="24"/>
        </w:rPr>
        <w:t>A community water system serving 3,300 or fewer people may limit certain aspects of their public education programs as follows:</w:t>
      </w:r>
    </w:p>
    <w:p w14:paraId="2819E07E" w14:textId="77777777" w:rsidR="004647B9" w:rsidRPr="0053415B" w:rsidRDefault="00E2436F" w:rsidP="00563A54">
      <w:pPr>
        <w:numPr>
          <w:ilvl w:val="2"/>
          <w:numId w:val="184"/>
        </w:numPr>
        <w:tabs>
          <w:tab w:val="left" w:pos="2591"/>
        </w:tabs>
        <w:spacing w:line="242" w:lineRule="auto"/>
        <w:ind w:left="2280" w:hanging="5"/>
        <w:jc w:val="both"/>
        <w:rPr>
          <w:rFonts w:eastAsia="Times New Roman"/>
          <w:sz w:val="24"/>
          <w:szCs w:val="24"/>
        </w:rPr>
      </w:pPr>
      <w:r w:rsidRPr="0053415B">
        <w:rPr>
          <w:rFonts w:eastAsia="Times New Roman"/>
          <w:sz w:val="24"/>
          <w:szCs w:val="24"/>
        </w:rPr>
        <w:t>With respect to the requirements of 310 CMR 22.06B(6)(b)2.f., a system serving 3,300 or fewer must implement at least one of the activities listed in 310 CMR 22.06B(6)(b)2.f.</w:t>
      </w:r>
    </w:p>
    <w:p w14:paraId="2819E080" w14:textId="77777777" w:rsidR="004647B9" w:rsidRPr="0053415B" w:rsidRDefault="00E2436F" w:rsidP="00563A54">
      <w:pPr>
        <w:numPr>
          <w:ilvl w:val="2"/>
          <w:numId w:val="184"/>
        </w:numPr>
        <w:tabs>
          <w:tab w:val="left" w:pos="2597"/>
        </w:tabs>
        <w:spacing w:line="253" w:lineRule="auto"/>
        <w:ind w:left="2280" w:hanging="5"/>
        <w:jc w:val="both"/>
        <w:rPr>
          <w:rFonts w:eastAsia="Times New Roman"/>
          <w:sz w:val="24"/>
          <w:szCs w:val="24"/>
        </w:rPr>
      </w:pPr>
      <w:r w:rsidRPr="0053415B">
        <w:rPr>
          <w:rFonts w:eastAsia="Times New Roman"/>
          <w:sz w:val="24"/>
          <w:szCs w:val="24"/>
        </w:rPr>
        <w:t>With respect to the requirements of 310 CMR 22.06B(6)(b)2.b., a system serving 3,300 or fewer people may limit the distribution of the public education materials required under 310 CMR 22.06B(6)(b)2.b. to facilities and organizations served by system that are most likely to be visited regularly by pregnant women and children.</w:t>
      </w:r>
    </w:p>
    <w:p w14:paraId="2819E082" w14:textId="77777777" w:rsidR="004647B9" w:rsidRPr="0053415B" w:rsidRDefault="00E2436F" w:rsidP="00563A54">
      <w:pPr>
        <w:numPr>
          <w:ilvl w:val="2"/>
          <w:numId w:val="184"/>
        </w:numPr>
        <w:tabs>
          <w:tab w:val="left" w:pos="2605"/>
        </w:tabs>
        <w:spacing w:line="254" w:lineRule="auto"/>
        <w:ind w:left="2280" w:hanging="5"/>
        <w:jc w:val="both"/>
        <w:rPr>
          <w:rFonts w:eastAsia="Times New Roman"/>
          <w:sz w:val="24"/>
          <w:szCs w:val="24"/>
        </w:rPr>
      </w:pPr>
      <w:r w:rsidRPr="0053415B">
        <w:rPr>
          <w:rFonts w:eastAsia="Times New Roman"/>
          <w:sz w:val="24"/>
          <w:szCs w:val="24"/>
        </w:rPr>
        <w:t>With respect to the requirements of 310 CMR 22.06B(6)(b)2.e., the Department may waive this requirement for systems serving 3,300 or fewer persons as long as the system distributes notices to every household served by the system.</w:t>
      </w:r>
    </w:p>
    <w:p w14:paraId="2819E083" w14:textId="77777777" w:rsidR="004647B9" w:rsidRPr="0053415B" w:rsidRDefault="00E2436F" w:rsidP="00563A54">
      <w:pPr>
        <w:numPr>
          <w:ilvl w:val="0"/>
          <w:numId w:val="185"/>
        </w:numPr>
        <w:tabs>
          <w:tab w:val="left" w:pos="2000"/>
        </w:tabs>
        <w:ind w:left="2000" w:hanging="445"/>
        <w:rPr>
          <w:rFonts w:eastAsia="Times New Roman"/>
          <w:sz w:val="24"/>
          <w:szCs w:val="24"/>
        </w:rPr>
      </w:pPr>
      <w:r w:rsidRPr="0053415B">
        <w:rPr>
          <w:rFonts w:eastAsia="Times New Roman"/>
          <w:sz w:val="24"/>
          <w:szCs w:val="24"/>
          <w:u w:val="single"/>
        </w:rPr>
        <w:t>Notification of Results</w:t>
      </w:r>
      <w:r w:rsidRPr="0053415B">
        <w:rPr>
          <w:rFonts w:eastAsia="Times New Roman"/>
          <w:sz w:val="24"/>
          <w:szCs w:val="24"/>
        </w:rPr>
        <w:t>.</w:t>
      </w:r>
    </w:p>
    <w:p w14:paraId="2819E085" w14:textId="77777777" w:rsidR="004647B9" w:rsidRPr="0053415B" w:rsidRDefault="00E2436F" w:rsidP="00563A54">
      <w:pPr>
        <w:numPr>
          <w:ilvl w:val="1"/>
          <w:numId w:val="185"/>
        </w:numPr>
        <w:tabs>
          <w:tab w:val="left" w:pos="2280"/>
        </w:tabs>
        <w:spacing w:line="243" w:lineRule="auto"/>
        <w:ind w:left="1920" w:hanging="5"/>
        <w:jc w:val="both"/>
        <w:rPr>
          <w:rFonts w:eastAsia="Times New Roman"/>
          <w:sz w:val="24"/>
          <w:szCs w:val="24"/>
        </w:rPr>
      </w:pPr>
      <w:r w:rsidRPr="0053415B">
        <w:rPr>
          <w:rFonts w:eastAsia="Times New Roman"/>
          <w:sz w:val="24"/>
          <w:szCs w:val="24"/>
          <w:u w:val="single"/>
        </w:rPr>
        <w:t>Reporting Requirement</w:t>
      </w:r>
      <w:r w:rsidRPr="0053415B">
        <w:rPr>
          <w:rFonts w:eastAsia="Times New Roman"/>
          <w:sz w:val="24"/>
          <w:szCs w:val="24"/>
        </w:rPr>
        <w:t>. All water systems must provide a notice of the individual tap results from lead and copper tap water monitoring carried out under the requirements of 310 CMR 22.06B(7) to the persons served by the water system at the specific sampling site from which the sample was taken (</w:t>
      </w:r>
      <w:r w:rsidRPr="0053415B">
        <w:rPr>
          <w:rFonts w:eastAsia="Times New Roman"/>
          <w:i/>
          <w:iCs/>
          <w:sz w:val="24"/>
          <w:szCs w:val="24"/>
        </w:rPr>
        <w:t>e.g</w:t>
      </w:r>
      <w:r w:rsidRPr="0053415B">
        <w:rPr>
          <w:rFonts w:eastAsia="Times New Roman"/>
          <w:sz w:val="24"/>
          <w:szCs w:val="24"/>
        </w:rPr>
        <w:t>., the occupants of the residence where the tap was tested).</w:t>
      </w:r>
    </w:p>
    <w:p w14:paraId="2819E087" w14:textId="77777777" w:rsidR="004647B9" w:rsidRPr="0053415B" w:rsidRDefault="00E2436F" w:rsidP="00563A54">
      <w:pPr>
        <w:numPr>
          <w:ilvl w:val="1"/>
          <w:numId w:val="185"/>
        </w:numPr>
        <w:tabs>
          <w:tab w:val="left" w:pos="2280"/>
        </w:tabs>
        <w:spacing w:line="253" w:lineRule="auto"/>
        <w:ind w:left="1920" w:hanging="5"/>
        <w:jc w:val="both"/>
        <w:rPr>
          <w:rFonts w:eastAsia="Times New Roman"/>
          <w:sz w:val="24"/>
          <w:szCs w:val="24"/>
        </w:rPr>
      </w:pPr>
      <w:r w:rsidRPr="0053415B">
        <w:rPr>
          <w:rFonts w:eastAsia="Times New Roman"/>
          <w:sz w:val="24"/>
          <w:szCs w:val="24"/>
          <w:u w:val="single"/>
        </w:rPr>
        <w:t>Timing of Notification</w:t>
      </w:r>
      <w:r w:rsidRPr="0053415B">
        <w:rPr>
          <w:rFonts w:eastAsia="Times New Roman"/>
          <w:sz w:val="24"/>
          <w:szCs w:val="24"/>
        </w:rPr>
        <w:t>. A water system must provide the consumer notice as soon as practical, but no later than 30 days after the system learns of the tap monitoring results.</w:t>
      </w:r>
    </w:p>
    <w:p w14:paraId="2819E089" w14:textId="46F1CA0E" w:rsidR="004647B9" w:rsidRPr="0053415B" w:rsidRDefault="00E2436F" w:rsidP="00563A54">
      <w:pPr>
        <w:numPr>
          <w:ilvl w:val="1"/>
          <w:numId w:val="185"/>
        </w:numPr>
        <w:tabs>
          <w:tab w:val="left" w:pos="2251"/>
        </w:tabs>
        <w:spacing w:line="253" w:lineRule="auto"/>
        <w:ind w:left="1920" w:hanging="5"/>
        <w:jc w:val="both"/>
        <w:rPr>
          <w:rFonts w:eastAsia="Times New Roman"/>
          <w:sz w:val="24"/>
          <w:szCs w:val="24"/>
        </w:rPr>
      </w:pPr>
      <w:r w:rsidRPr="0053415B">
        <w:rPr>
          <w:rFonts w:eastAsia="Times New Roman"/>
          <w:sz w:val="24"/>
          <w:szCs w:val="24"/>
          <w:u w:val="single"/>
        </w:rPr>
        <w:t>Content</w:t>
      </w:r>
      <w:r w:rsidRPr="0053415B">
        <w:rPr>
          <w:rFonts w:eastAsia="Times New Roman"/>
          <w:sz w:val="24"/>
          <w:szCs w:val="24"/>
        </w:rPr>
        <w:t>. The consumer notice must include the results of lead tap water monitoring for the tap that was tested, an explanation of the health effects of lead, list steps consumers can take to reduce exposure to lead in drinking water and contact information for the water utility. The notice must also provide the maximum contaminant level goal and the action level for lead and the definitions for these two terms from 310 CMR</w:t>
      </w:r>
      <w:r w:rsidR="0049580A" w:rsidRPr="0053415B">
        <w:rPr>
          <w:rFonts w:eastAsia="Times New Roman"/>
          <w:sz w:val="24"/>
          <w:szCs w:val="24"/>
        </w:rPr>
        <w:t xml:space="preserve"> 22.02</w:t>
      </w:r>
      <w:r w:rsidR="008E7D57" w:rsidRPr="0053415B">
        <w:rPr>
          <w:rFonts w:eastAsia="Times New Roman"/>
          <w:sz w:val="24"/>
          <w:szCs w:val="24"/>
        </w:rPr>
        <w:t>.</w:t>
      </w:r>
    </w:p>
    <w:p w14:paraId="08087DFC" w14:textId="0BEC7752" w:rsidR="00277893" w:rsidRPr="00B528E9" w:rsidRDefault="00E2436F" w:rsidP="00B528E9">
      <w:pPr>
        <w:numPr>
          <w:ilvl w:val="1"/>
          <w:numId w:val="186"/>
        </w:numPr>
        <w:tabs>
          <w:tab w:val="left" w:pos="2294"/>
        </w:tabs>
        <w:spacing w:line="243" w:lineRule="auto"/>
        <w:ind w:left="1920" w:hanging="5"/>
        <w:jc w:val="both"/>
        <w:rPr>
          <w:rFonts w:eastAsia="Times New Roman"/>
          <w:sz w:val="24"/>
          <w:szCs w:val="24"/>
        </w:rPr>
      </w:pPr>
      <w:r w:rsidRPr="0053415B">
        <w:rPr>
          <w:rFonts w:eastAsia="Times New Roman"/>
          <w:sz w:val="24"/>
          <w:szCs w:val="24"/>
          <w:u w:val="single"/>
        </w:rPr>
        <w:t>Delivery</w:t>
      </w:r>
      <w:r w:rsidRPr="0053415B">
        <w:rPr>
          <w:rFonts w:eastAsia="Times New Roman"/>
          <w:sz w:val="24"/>
          <w:szCs w:val="24"/>
        </w:rPr>
        <w:t>. The consumer notice must be provided to persons served at the tap that was tested, either by mail or by another method approved by the Department. For example, upon approval by the Department, a non-transient non-community water system could post the results on a bulletin board in the facility to allow users to review the information. The system must provide the notice to customers at sample taps tested, including consumers who do not receive water bills.</w:t>
      </w:r>
    </w:p>
    <w:p w14:paraId="2819E08E" w14:textId="5C8E655D" w:rsidR="004647B9" w:rsidRPr="00E908E8" w:rsidRDefault="00E908E8" w:rsidP="00B528E9">
      <w:pPr>
        <w:numPr>
          <w:ilvl w:val="1"/>
          <w:numId w:val="186"/>
        </w:numPr>
        <w:tabs>
          <w:tab w:val="left" w:pos="2294"/>
        </w:tabs>
        <w:spacing w:line="243" w:lineRule="auto"/>
        <w:ind w:left="1920" w:hanging="5"/>
        <w:jc w:val="both"/>
        <w:rPr>
          <w:rFonts w:eastAsia="Times New Roman"/>
          <w:sz w:val="24"/>
          <w:szCs w:val="24"/>
        </w:rPr>
        <w:sectPr w:rsidR="004647B9" w:rsidRPr="00E908E8" w:rsidSect="00EF630C">
          <w:pgSz w:w="12240" w:h="20180"/>
          <w:pgMar w:top="708" w:right="1440" w:bottom="1440" w:left="600" w:header="0" w:footer="0" w:gutter="0"/>
          <w:cols w:space="720" w:equalWidth="0">
            <w:col w:w="10200"/>
          </w:cols>
        </w:sectPr>
      </w:pPr>
      <w:r w:rsidRPr="00E908E8">
        <w:rPr>
          <w:rFonts w:eastAsia="Times New Roman"/>
          <w:sz w:val="24"/>
          <w:szCs w:val="24"/>
          <w:u w:val="single"/>
        </w:rPr>
        <w:t>Multilingual</w:t>
      </w:r>
      <w:r w:rsidR="005661BF">
        <w:rPr>
          <w:rFonts w:eastAsia="Times New Roman"/>
          <w:sz w:val="24"/>
          <w:szCs w:val="24"/>
          <w:u w:val="single"/>
        </w:rPr>
        <w:t xml:space="preserve"> Requirements</w:t>
      </w:r>
      <w:r>
        <w:rPr>
          <w:rFonts w:eastAsia="Times New Roman"/>
          <w:sz w:val="24"/>
          <w:szCs w:val="24"/>
        </w:rPr>
        <w:t xml:space="preserve">.  </w:t>
      </w:r>
      <w:r w:rsidR="005C4E8B">
        <w:rPr>
          <w:rFonts w:eastAsia="Times New Roman"/>
          <w:sz w:val="24"/>
          <w:szCs w:val="24"/>
        </w:rPr>
        <w:t>For</w:t>
      </w:r>
      <w:r w:rsidR="00B528E9" w:rsidRPr="00E908E8">
        <w:rPr>
          <w:rFonts w:eastAsia="Times New Roman"/>
          <w:sz w:val="24"/>
          <w:szCs w:val="24"/>
        </w:rPr>
        <w:t xml:space="preserve"> any </w:t>
      </w:r>
      <w:r w:rsidR="005C4E8B">
        <w:rPr>
          <w:rFonts w:eastAsia="Times New Roman"/>
          <w:sz w:val="24"/>
          <w:szCs w:val="24"/>
        </w:rPr>
        <w:t>Public Wate</w:t>
      </w:r>
      <w:r w:rsidR="00A369B2">
        <w:rPr>
          <w:rFonts w:eastAsia="Times New Roman"/>
          <w:sz w:val="24"/>
          <w:szCs w:val="24"/>
        </w:rPr>
        <w:t>r</w:t>
      </w:r>
      <w:r w:rsidR="005C4E8B">
        <w:rPr>
          <w:rFonts w:eastAsia="Times New Roman"/>
          <w:sz w:val="24"/>
          <w:szCs w:val="24"/>
        </w:rPr>
        <w:t xml:space="preserve"> System</w:t>
      </w:r>
      <w:r w:rsidR="00B528E9" w:rsidRPr="00E908E8">
        <w:rPr>
          <w:rFonts w:eastAsia="Times New Roman"/>
          <w:sz w:val="24"/>
          <w:szCs w:val="24"/>
        </w:rPr>
        <w:t xml:space="preserve"> where </w:t>
      </w:r>
      <w:r w:rsidR="005C4E8B">
        <w:rPr>
          <w:rFonts w:eastAsia="Times New Roman"/>
          <w:sz w:val="24"/>
          <w:szCs w:val="24"/>
        </w:rPr>
        <w:t>such</w:t>
      </w:r>
      <w:r w:rsidR="00B528E9" w:rsidRPr="00E908E8">
        <w:rPr>
          <w:rFonts w:eastAsia="Times New Roman"/>
          <w:sz w:val="24"/>
          <w:szCs w:val="24"/>
        </w:rPr>
        <w:t xml:space="preserve"> Supplier of Water’s consumers </w:t>
      </w:r>
      <w:r w:rsidR="005C4E8B">
        <w:rPr>
          <w:rFonts w:eastAsia="Times New Roman"/>
          <w:sz w:val="24"/>
          <w:szCs w:val="24"/>
        </w:rPr>
        <w:t xml:space="preserve">reside in any census tract with </w:t>
      </w:r>
      <w:r w:rsidR="00B528E9" w:rsidRPr="00E908E8">
        <w:rPr>
          <w:rFonts w:eastAsia="Times New Roman"/>
          <w:sz w:val="24"/>
          <w:szCs w:val="24"/>
        </w:rPr>
        <w:t xml:space="preserve">a minimum of either 5% or 1000 residents who </w:t>
      </w:r>
      <w:r w:rsidR="005C4E8B">
        <w:rPr>
          <w:rFonts w:eastAsia="Times New Roman"/>
          <w:sz w:val="24"/>
          <w:szCs w:val="24"/>
        </w:rPr>
        <w:t>lack English</w:t>
      </w:r>
      <w:r w:rsidR="00B528E9" w:rsidRPr="00E908E8">
        <w:rPr>
          <w:rFonts w:eastAsia="Times New Roman"/>
          <w:sz w:val="24"/>
          <w:szCs w:val="24"/>
        </w:rPr>
        <w:t xml:space="preserve"> language</w:t>
      </w:r>
      <w:r w:rsidR="005C4E8B">
        <w:rPr>
          <w:rFonts w:eastAsia="Times New Roman"/>
          <w:sz w:val="24"/>
          <w:szCs w:val="24"/>
        </w:rPr>
        <w:t xml:space="preserve"> proficiency</w:t>
      </w:r>
      <w:r w:rsidR="00B528E9" w:rsidRPr="00E908E8">
        <w:rPr>
          <w:rFonts w:eastAsia="Times New Roman"/>
          <w:sz w:val="24"/>
          <w:szCs w:val="24"/>
        </w:rPr>
        <w:t xml:space="preserve">, the </w:t>
      </w:r>
      <w:r>
        <w:rPr>
          <w:rFonts w:eastAsia="Times New Roman"/>
          <w:sz w:val="24"/>
          <w:szCs w:val="24"/>
        </w:rPr>
        <w:t>consumer notice</w:t>
      </w:r>
      <w:r w:rsidR="00B528E9" w:rsidRPr="00E908E8">
        <w:rPr>
          <w:rFonts w:eastAsia="Times New Roman"/>
          <w:sz w:val="24"/>
          <w:szCs w:val="24"/>
        </w:rPr>
        <w:t xml:space="preserve"> shall contain information in the language(s) appropriate for each such group of residents regarding the importance of the </w:t>
      </w:r>
      <w:r w:rsidR="00A4761D">
        <w:rPr>
          <w:rFonts w:eastAsia="Times New Roman"/>
          <w:sz w:val="24"/>
          <w:szCs w:val="24"/>
        </w:rPr>
        <w:t>notice</w:t>
      </w:r>
      <w:r w:rsidR="00B35228">
        <w:rPr>
          <w:rFonts w:eastAsia="Times New Roman"/>
          <w:sz w:val="24"/>
          <w:szCs w:val="24"/>
        </w:rPr>
        <w:t xml:space="preserve"> and that it should be translated</w:t>
      </w:r>
      <w:r w:rsidR="00B528E9" w:rsidRPr="00E908E8">
        <w:rPr>
          <w:rFonts w:eastAsia="Times New Roman"/>
          <w:sz w:val="24"/>
          <w:szCs w:val="24"/>
        </w:rPr>
        <w:t xml:space="preserve">. If </w:t>
      </w:r>
      <w:r w:rsidR="00B35228">
        <w:rPr>
          <w:rFonts w:eastAsia="Times New Roman"/>
          <w:sz w:val="24"/>
          <w:szCs w:val="24"/>
        </w:rPr>
        <w:t>the service area of a Public Water System</w:t>
      </w:r>
      <w:r w:rsidR="00B528E9" w:rsidRPr="00E908E8">
        <w:rPr>
          <w:rFonts w:eastAsia="Times New Roman"/>
          <w:sz w:val="24"/>
          <w:szCs w:val="24"/>
        </w:rPr>
        <w:t xml:space="preserve"> includes </w:t>
      </w:r>
      <w:r w:rsidR="00B35228">
        <w:rPr>
          <w:rFonts w:eastAsia="Times New Roman"/>
          <w:sz w:val="24"/>
          <w:szCs w:val="24"/>
        </w:rPr>
        <w:t xml:space="preserve">some or all of any census tract with </w:t>
      </w:r>
      <w:r w:rsidR="00B528E9" w:rsidRPr="00E908E8">
        <w:rPr>
          <w:rFonts w:eastAsia="Times New Roman"/>
          <w:sz w:val="24"/>
          <w:szCs w:val="24"/>
        </w:rPr>
        <w:t xml:space="preserve">a minimum of 25% </w:t>
      </w:r>
      <w:r w:rsidR="00B35228">
        <w:rPr>
          <w:rFonts w:eastAsia="Times New Roman"/>
          <w:sz w:val="24"/>
          <w:szCs w:val="24"/>
        </w:rPr>
        <w:t>of</w:t>
      </w:r>
      <w:r w:rsidR="00B528E9" w:rsidRPr="00E908E8">
        <w:rPr>
          <w:rFonts w:eastAsia="Times New Roman"/>
          <w:sz w:val="24"/>
          <w:szCs w:val="24"/>
        </w:rPr>
        <w:t xml:space="preserve"> residents who </w:t>
      </w:r>
      <w:r w:rsidR="00A369B2">
        <w:rPr>
          <w:rFonts w:eastAsia="Times New Roman"/>
          <w:sz w:val="24"/>
          <w:szCs w:val="24"/>
        </w:rPr>
        <w:t>lack English</w:t>
      </w:r>
      <w:r w:rsidR="00B528E9" w:rsidRPr="00E908E8">
        <w:rPr>
          <w:rFonts w:eastAsia="Times New Roman"/>
          <w:sz w:val="24"/>
          <w:szCs w:val="24"/>
        </w:rPr>
        <w:t xml:space="preserve"> language</w:t>
      </w:r>
      <w:r w:rsidR="00A369B2">
        <w:rPr>
          <w:rFonts w:eastAsia="Times New Roman"/>
          <w:sz w:val="24"/>
          <w:szCs w:val="24"/>
        </w:rPr>
        <w:t xml:space="preserve"> proficiency</w:t>
      </w:r>
      <w:r w:rsidR="00B528E9" w:rsidRPr="00E908E8">
        <w:rPr>
          <w:rFonts w:eastAsia="Times New Roman"/>
          <w:sz w:val="24"/>
          <w:szCs w:val="24"/>
        </w:rPr>
        <w:t xml:space="preserve">, then the </w:t>
      </w:r>
      <w:r w:rsidR="00A4761D">
        <w:rPr>
          <w:rFonts w:eastAsia="Times New Roman"/>
          <w:sz w:val="24"/>
          <w:szCs w:val="24"/>
        </w:rPr>
        <w:t>consumer notice</w:t>
      </w:r>
      <w:r w:rsidR="00B528E9" w:rsidRPr="00E908E8">
        <w:rPr>
          <w:rFonts w:eastAsia="Times New Roman"/>
          <w:sz w:val="24"/>
          <w:szCs w:val="24"/>
        </w:rPr>
        <w:t xml:space="preserve"> shall also contain a statement in the appropriate language(s) for each such group of residents which includes a telephone number or address where those residents may contact the </w:t>
      </w:r>
      <w:r w:rsidR="00B528E9" w:rsidRPr="00E908E8">
        <w:rPr>
          <w:rFonts w:eastAsia="Times New Roman"/>
          <w:sz w:val="24"/>
          <w:szCs w:val="24"/>
        </w:rPr>
        <w:lastRenderedPageBreak/>
        <w:t xml:space="preserve">affected Public Water System to obtain a translated copy of the </w:t>
      </w:r>
      <w:r w:rsidR="005661BF">
        <w:rPr>
          <w:rFonts w:eastAsia="Times New Roman"/>
          <w:sz w:val="24"/>
          <w:szCs w:val="24"/>
        </w:rPr>
        <w:t>notice</w:t>
      </w:r>
      <w:r w:rsidR="00B528E9" w:rsidRPr="00E908E8">
        <w:rPr>
          <w:rFonts w:eastAsia="Times New Roman"/>
          <w:sz w:val="24"/>
          <w:szCs w:val="24"/>
        </w:rPr>
        <w:t xml:space="preserve"> or assistance in the appropriate language(s)</w:t>
      </w:r>
      <w:r>
        <w:rPr>
          <w:rFonts w:eastAsia="Times New Roman"/>
          <w:sz w:val="24"/>
          <w:szCs w:val="24"/>
        </w:rPr>
        <w:t>.</w:t>
      </w:r>
    </w:p>
    <w:p w14:paraId="2819E08F" w14:textId="77777777" w:rsidR="004647B9" w:rsidRDefault="00E2436F">
      <w:pPr>
        <w:tabs>
          <w:tab w:val="left" w:pos="160"/>
        </w:tabs>
        <w:jc w:val="center"/>
        <w:rPr>
          <w:sz w:val="20"/>
          <w:szCs w:val="20"/>
        </w:rPr>
      </w:pPr>
      <w:bookmarkStart w:id="74" w:name="page75"/>
      <w:bookmarkEnd w:id="7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090" w14:textId="77777777" w:rsidR="004647B9" w:rsidRDefault="004647B9" w:rsidP="007709D2">
      <w:pPr>
        <w:rPr>
          <w:sz w:val="20"/>
          <w:szCs w:val="20"/>
        </w:rPr>
      </w:pPr>
    </w:p>
    <w:p w14:paraId="2819E091" w14:textId="77777777" w:rsidR="004647B9" w:rsidRDefault="004647B9" w:rsidP="007709D2">
      <w:pPr>
        <w:rPr>
          <w:sz w:val="20"/>
          <w:szCs w:val="20"/>
        </w:rPr>
      </w:pPr>
    </w:p>
    <w:p w14:paraId="2819E092"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093" w14:textId="77777777" w:rsidR="004647B9" w:rsidRDefault="004647B9" w:rsidP="007709D2">
      <w:pPr>
        <w:rPr>
          <w:sz w:val="20"/>
          <w:szCs w:val="20"/>
        </w:rPr>
      </w:pPr>
    </w:p>
    <w:p w14:paraId="2819E094" w14:textId="77777777" w:rsidR="004647B9" w:rsidRPr="005C78AE" w:rsidRDefault="00E2436F" w:rsidP="00563A54">
      <w:pPr>
        <w:numPr>
          <w:ilvl w:val="0"/>
          <w:numId w:val="187"/>
        </w:numPr>
        <w:tabs>
          <w:tab w:val="left" w:pos="1660"/>
        </w:tabs>
        <w:ind w:left="1660" w:hanging="460"/>
        <w:rPr>
          <w:rFonts w:eastAsia="Times New Roman"/>
          <w:sz w:val="24"/>
          <w:szCs w:val="24"/>
        </w:rPr>
      </w:pPr>
      <w:r w:rsidRPr="005C78AE">
        <w:rPr>
          <w:rFonts w:eastAsia="Times New Roman"/>
          <w:sz w:val="24"/>
          <w:szCs w:val="24"/>
          <w:u w:val="single"/>
        </w:rPr>
        <w:t>Monitoring Requirements for Lead and Copper in Tap Water</w:t>
      </w:r>
      <w:r w:rsidRPr="005C78AE">
        <w:rPr>
          <w:rFonts w:eastAsia="Times New Roman"/>
          <w:sz w:val="24"/>
          <w:szCs w:val="24"/>
        </w:rPr>
        <w:t>.</w:t>
      </w:r>
    </w:p>
    <w:p w14:paraId="2819E096" w14:textId="77777777" w:rsidR="004647B9" w:rsidRPr="005C78AE" w:rsidRDefault="00E2436F" w:rsidP="00563A54">
      <w:pPr>
        <w:numPr>
          <w:ilvl w:val="1"/>
          <w:numId w:val="187"/>
        </w:numPr>
        <w:tabs>
          <w:tab w:val="left" w:pos="2000"/>
        </w:tabs>
        <w:ind w:left="2000" w:hanging="445"/>
        <w:rPr>
          <w:rFonts w:eastAsia="Times New Roman"/>
          <w:sz w:val="24"/>
          <w:szCs w:val="24"/>
        </w:rPr>
      </w:pPr>
      <w:r w:rsidRPr="005C78AE">
        <w:rPr>
          <w:rFonts w:eastAsia="Times New Roman"/>
          <w:sz w:val="24"/>
          <w:szCs w:val="24"/>
          <w:u w:val="single"/>
        </w:rPr>
        <w:t>Sample Site Location</w:t>
      </w:r>
      <w:r w:rsidRPr="005C78AE">
        <w:rPr>
          <w:rFonts w:eastAsia="Times New Roman"/>
          <w:sz w:val="24"/>
          <w:szCs w:val="24"/>
        </w:rPr>
        <w:t>.</w:t>
      </w:r>
    </w:p>
    <w:p w14:paraId="2819E09B" w14:textId="4510275D" w:rsidR="004647B9" w:rsidRPr="005C78AE" w:rsidRDefault="00E2436F" w:rsidP="00563A54">
      <w:pPr>
        <w:pStyle w:val="ListParagraph"/>
        <w:numPr>
          <w:ilvl w:val="0"/>
          <w:numId w:val="914"/>
        </w:numPr>
        <w:tabs>
          <w:tab w:val="left" w:pos="2340"/>
          <w:tab w:val="left" w:pos="2480"/>
        </w:tabs>
        <w:spacing w:line="243" w:lineRule="auto"/>
        <w:jc w:val="both"/>
        <w:rPr>
          <w:rFonts w:eastAsia="Times New Roman"/>
          <w:sz w:val="24"/>
          <w:szCs w:val="24"/>
        </w:rPr>
      </w:pPr>
      <w:r w:rsidRPr="005C78AE">
        <w:rPr>
          <w:rFonts w:eastAsia="Times New Roman"/>
          <w:sz w:val="24"/>
          <w:szCs w:val="24"/>
        </w:rPr>
        <w:t>By the applicable date for commencement of monitoring under 310 CMR</w:t>
      </w:r>
      <w:r w:rsidR="00B000C5" w:rsidRPr="005C78AE">
        <w:rPr>
          <w:rFonts w:eastAsia="Times New Roman"/>
          <w:sz w:val="24"/>
          <w:szCs w:val="24"/>
        </w:rPr>
        <w:t xml:space="preserve"> </w:t>
      </w:r>
      <w:r w:rsidR="007C7401" w:rsidRPr="005C78AE">
        <w:rPr>
          <w:rFonts w:eastAsia="Times New Roman"/>
          <w:sz w:val="24"/>
          <w:szCs w:val="24"/>
        </w:rPr>
        <w:t>22.06B(7)(d)1</w:t>
      </w:r>
      <w:r w:rsidR="003D6859" w:rsidRPr="005C78AE">
        <w:rPr>
          <w:rFonts w:eastAsia="Times New Roman"/>
          <w:sz w:val="24"/>
          <w:szCs w:val="24"/>
        </w:rPr>
        <w:t>.</w:t>
      </w:r>
      <w:r w:rsidR="007C7401" w:rsidRPr="005C78AE">
        <w:rPr>
          <w:rFonts w:eastAsia="Times New Roman"/>
          <w:sz w:val="24"/>
          <w:szCs w:val="24"/>
        </w:rPr>
        <w:t>,</w:t>
      </w:r>
      <w:r w:rsidRPr="005C78AE">
        <w:rPr>
          <w:rFonts w:eastAsia="Times New Roman"/>
          <w:sz w:val="24"/>
          <w:szCs w:val="24"/>
        </w:rPr>
        <w:t xml:space="preserve"> each water system shall complete a materials evaluation of its distribution system in order to identify a pool of targeted sampling sites that meets the requirements of 310 CMR 22.06B(7), and which is sufficiently large to ensure that the water system can collect the number of lead and copper tap samples required in</w:t>
      </w:r>
      <w:r w:rsidR="00777439" w:rsidRPr="005C78AE">
        <w:rPr>
          <w:rFonts w:eastAsia="Times New Roman"/>
          <w:sz w:val="24"/>
          <w:szCs w:val="24"/>
        </w:rPr>
        <w:t xml:space="preserve"> 310 </w:t>
      </w:r>
      <w:r w:rsidRPr="005C78AE">
        <w:rPr>
          <w:rFonts w:eastAsia="Times New Roman"/>
          <w:sz w:val="24"/>
          <w:szCs w:val="24"/>
        </w:rPr>
        <w:t>CMR 22.06B(7)(c). All sites from which first draw samples are collected shall be selected from this pool of targeted sampling sites. Sampling sites may not include faucets that have point-of-use or point-of-entry treatment devices designed to remove inorganic contaminants. Once the sampling sites are selected they must be submitted to the Department on the required form for approval. All samples must be collected in accordance with the system's Department-approved sampling plan.</w:t>
      </w:r>
    </w:p>
    <w:p w14:paraId="2819E09D" w14:textId="77777777" w:rsidR="004647B9" w:rsidRPr="005C78AE" w:rsidRDefault="00E2436F" w:rsidP="00563A54">
      <w:pPr>
        <w:numPr>
          <w:ilvl w:val="2"/>
          <w:numId w:val="188"/>
        </w:numPr>
        <w:tabs>
          <w:tab w:val="left" w:pos="2280"/>
        </w:tabs>
        <w:spacing w:line="253" w:lineRule="auto"/>
        <w:ind w:left="1920" w:hanging="5"/>
        <w:jc w:val="both"/>
        <w:rPr>
          <w:rFonts w:eastAsia="Times New Roman"/>
          <w:sz w:val="24"/>
          <w:szCs w:val="24"/>
        </w:rPr>
      </w:pPr>
      <w:r w:rsidRPr="005C78AE">
        <w:rPr>
          <w:rFonts w:eastAsia="Times New Roman"/>
          <w:sz w:val="24"/>
          <w:szCs w:val="24"/>
        </w:rPr>
        <w:t>A water system shall use the information on lead, copper, and galvanized steel that it is required to collect under 310 CMR 22.19(4) and (5) when conducting a materials evaluation. When an evaluation of the information collected pursuant to 310 CMR 22.19(4) and (5) is insufficient to locate the requisite number of lead and copper sampling sites that meet the targeting criteria in 310 CMR 22.06B(7)(a), the water system shall review the sources of information listed below in order to identify a sufficient number of sampling sites. In addition, the system shall seek to collect such information where possible in the course of its normal operations (</w:t>
      </w:r>
      <w:r w:rsidRPr="005C78AE">
        <w:rPr>
          <w:rFonts w:eastAsia="Times New Roman"/>
          <w:i/>
          <w:iCs/>
          <w:sz w:val="24"/>
          <w:szCs w:val="24"/>
        </w:rPr>
        <w:t>e.g</w:t>
      </w:r>
      <w:r w:rsidRPr="005C78AE">
        <w:rPr>
          <w:rFonts w:eastAsia="Times New Roman"/>
          <w:sz w:val="24"/>
          <w:szCs w:val="24"/>
        </w:rPr>
        <w:t>., checking service line materials when reading water meters or performing maintenance activities):</w:t>
      </w:r>
    </w:p>
    <w:p w14:paraId="2819E09F" w14:textId="77777777" w:rsidR="004647B9" w:rsidRPr="005C78AE" w:rsidRDefault="00E2436F" w:rsidP="00563A54">
      <w:pPr>
        <w:numPr>
          <w:ilvl w:val="3"/>
          <w:numId w:val="188"/>
        </w:numPr>
        <w:tabs>
          <w:tab w:val="left" w:pos="2578"/>
        </w:tabs>
        <w:spacing w:line="243" w:lineRule="auto"/>
        <w:ind w:left="2280" w:hanging="5"/>
        <w:jc w:val="both"/>
        <w:rPr>
          <w:rFonts w:eastAsia="Times New Roman"/>
          <w:sz w:val="24"/>
          <w:szCs w:val="24"/>
        </w:rPr>
      </w:pPr>
      <w:r w:rsidRPr="005C78AE">
        <w:rPr>
          <w:rFonts w:eastAsia="Times New Roman"/>
          <w:sz w:val="24"/>
          <w:szCs w:val="24"/>
        </w:rPr>
        <w:t>all plumbing codes, permits, and records in the files of the building department(s) which indicate the plumbing materials that are installed within publicly and privately owned structures connected to the distribution system;</w:t>
      </w:r>
    </w:p>
    <w:p w14:paraId="2819E0A1" w14:textId="77777777" w:rsidR="004647B9" w:rsidRPr="005C78AE" w:rsidRDefault="00E2436F" w:rsidP="00563A54">
      <w:pPr>
        <w:numPr>
          <w:ilvl w:val="3"/>
          <w:numId w:val="188"/>
        </w:numPr>
        <w:tabs>
          <w:tab w:val="left" w:pos="2653"/>
        </w:tabs>
        <w:spacing w:line="242" w:lineRule="auto"/>
        <w:ind w:left="2280" w:hanging="5"/>
        <w:jc w:val="both"/>
        <w:rPr>
          <w:rFonts w:eastAsia="Times New Roman"/>
          <w:sz w:val="24"/>
          <w:szCs w:val="24"/>
        </w:rPr>
      </w:pPr>
      <w:r w:rsidRPr="005C78AE">
        <w:rPr>
          <w:rFonts w:eastAsia="Times New Roman"/>
          <w:sz w:val="24"/>
          <w:szCs w:val="24"/>
        </w:rPr>
        <w:t>all inspections and records of the distribution system that indicate the material composition of the service connections that connect a structure to the distribution system; and</w:t>
      </w:r>
    </w:p>
    <w:p w14:paraId="2819E0A3" w14:textId="77777777" w:rsidR="004647B9" w:rsidRPr="005C78AE" w:rsidRDefault="00E2436F" w:rsidP="00563A54">
      <w:pPr>
        <w:numPr>
          <w:ilvl w:val="3"/>
          <w:numId w:val="188"/>
        </w:numPr>
        <w:tabs>
          <w:tab w:val="left" w:pos="2691"/>
        </w:tabs>
        <w:spacing w:line="254" w:lineRule="auto"/>
        <w:ind w:left="2280" w:hanging="5"/>
        <w:jc w:val="both"/>
        <w:rPr>
          <w:rFonts w:eastAsia="Times New Roman"/>
          <w:sz w:val="24"/>
          <w:szCs w:val="24"/>
        </w:rPr>
      </w:pPr>
      <w:r w:rsidRPr="005C78AE">
        <w:rPr>
          <w:rFonts w:eastAsia="Times New Roman"/>
          <w:sz w:val="24"/>
          <w:szCs w:val="24"/>
        </w:rPr>
        <w:t>all existing water quality information, which includes the results of all prior analyses of the system or individual structures connected to the system, indicating locations that may be particularly susceptible to high lead or copper concentrations.</w:t>
      </w:r>
    </w:p>
    <w:p w14:paraId="2819E0A4" w14:textId="77777777" w:rsidR="004647B9" w:rsidRDefault="00E2436F" w:rsidP="00563A54">
      <w:pPr>
        <w:numPr>
          <w:ilvl w:val="2"/>
          <w:numId w:val="188"/>
        </w:numPr>
        <w:tabs>
          <w:tab w:val="left" w:pos="2290"/>
        </w:tabs>
        <w:spacing w:line="243" w:lineRule="auto"/>
        <w:ind w:left="1920" w:hanging="5"/>
        <w:rPr>
          <w:rFonts w:eastAsia="Times New Roman"/>
          <w:sz w:val="24"/>
          <w:szCs w:val="24"/>
        </w:rPr>
      </w:pPr>
      <w:r w:rsidRPr="005C78AE">
        <w:rPr>
          <w:rFonts w:eastAsia="Times New Roman"/>
          <w:sz w:val="24"/>
          <w:szCs w:val="24"/>
        </w:rPr>
        <w:t>The sampling sites selected for a community water system's sampling pool ("tier</w:t>
      </w:r>
      <w:r>
        <w:rPr>
          <w:rFonts w:eastAsia="Times New Roman"/>
          <w:sz w:val="24"/>
          <w:szCs w:val="24"/>
        </w:rPr>
        <w:t xml:space="preserve"> 1 sampling sites") shall consist of single family structures that:</w:t>
      </w:r>
    </w:p>
    <w:p w14:paraId="2819E0A5" w14:textId="77777777" w:rsidR="004647B9" w:rsidRDefault="00E2436F" w:rsidP="00563A54">
      <w:pPr>
        <w:numPr>
          <w:ilvl w:val="3"/>
          <w:numId w:val="188"/>
        </w:numPr>
        <w:tabs>
          <w:tab w:val="left" w:pos="2623"/>
        </w:tabs>
        <w:spacing w:line="243" w:lineRule="auto"/>
        <w:ind w:left="2280" w:hanging="5"/>
        <w:rPr>
          <w:rFonts w:eastAsia="Times New Roman"/>
          <w:sz w:val="24"/>
          <w:szCs w:val="24"/>
        </w:rPr>
      </w:pPr>
      <w:r>
        <w:rPr>
          <w:rFonts w:eastAsia="Times New Roman"/>
          <w:sz w:val="24"/>
          <w:szCs w:val="24"/>
        </w:rPr>
        <w:t>contain copper pipes with lead solder installed after 1982 or contain lead pipes; and/or</w:t>
      </w:r>
    </w:p>
    <w:p w14:paraId="2819E0A6" w14:textId="77777777" w:rsidR="004647B9" w:rsidRDefault="00E2436F" w:rsidP="00563A54">
      <w:pPr>
        <w:numPr>
          <w:ilvl w:val="3"/>
          <w:numId w:val="188"/>
        </w:numPr>
        <w:tabs>
          <w:tab w:val="left" w:pos="2633"/>
        </w:tabs>
        <w:spacing w:line="242" w:lineRule="auto"/>
        <w:ind w:left="2280" w:hanging="5"/>
        <w:jc w:val="both"/>
        <w:rPr>
          <w:rFonts w:eastAsia="Times New Roman"/>
          <w:sz w:val="24"/>
          <w:szCs w:val="24"/>
        </w:rPr>
      </w:pPr>
      <w:r>
        <w:rPr>
          <w:rFonts w:eastAsia="Times New Roman"/>
          <w:sz w:val="24"/>
          <w:szCs w:val="24"/>
        </w:rPr>
        <w:t>are served by a lead service line. When multiple-family residences comprise at least 20% of the structures served by a water system, the system may include these types of structures in its sampling pool.</w:t>
      </w:r>
    </w:p>
    <w:p w14:paraId="2819E0A8" w14:textId="77777777" w:rsidR="004647B9" w:rsidRDefault="00E2436F" w:rsidP="00563A54">
      <w:pPr>
        <w:numPr>
          <w:ilvl w:val="2"/>
          <w:numId w:val="188"/>
        </w:numPr>
        <w:tabs>
          <w:tab w:val="left" w:pos="2278"/>
        </w:tabs>
        <w:spacing w:line="243" w:lineRule="auto"/>
        <w:ind w:left="1920" w:hanging="5"/>
        <w:jc w:val="both"/>
        <w:rPr>
          <w:rFonts w:eastAsia="Times New Roman"/>
          <w:sz w:val="24"/>
          <w:szCs w:val="24"/>
        </w:rPr>
      </w:pPr>
      <w:r>
        <w:rPr>
          <w:rFonts w:eastAsia="Times New Roman"/>
          <w:sz w:val="24"/>
          <w:szCs w:val="24"/>
        </w:rPr>
        <w:t>Any community water system with insufficient tier 1 sampling sites shall complete its sampling pool with "tier 2 sampling sites", consisting of buildings, including multiple-family residences that:</w:t>
      </w:r>
    </w:p>
    <w:p w14:paraId="2819E0AA" w14:textId="77777777" w:rsidR="004647B9" w:rsidRDefault="00E2436F" w:rsidP="00563A54">
      <w:pPr>
        <w:numPr>
          <w:ilvl w:val="3"/>
          <w:numId w:val="188"/>
        </w:numPr>
        <w:tabs>
          <w:tab w:val="left" w:pos="2620"/>
        </w:tabs>
        <w:spacing w:line="243" w:lineRule="auto"/>
        <w:ind w:left="2280" w:hanging="5"/>
        <w:rPr>
          <w:rFonts w:eastAsia="Times New Roman"/>
          <w:sz w:val="24"/>
          <w:szCs w:val="24"/>
        </w:rPr>
      </w:pPr>
      <w:r>
        <w:rPr>
          <w:rFonts w:eastAsia="Times New Roman"/>
          <w:sz w:val="24"/>
          <w:szCs w:val="24"/>
        </w:rPr>
        <w:t>contain copper pipes with lead solder installed after 1982 or contain lead pipes; and/or</w:t>
      </w:r>
    </w:p>
    <w:p w14:paraId="2819E0AB" w14:textId="77777777" w:rsidR="004647B9" w:rsidRDefault="00E2436F" w:rsidP="00563A54">
      <w:pPr>
        <w:numPr>
          <w:ilvl w:val="3"/>
          <w:numId w:val="188"/>
        </w:numPr>
        <w:tabs>
          <w:tab w:val="left" w:pos="2640"/>
        </w:tabs>
        <w:ind w:left="2640" w:hanging="365"/>
        <w:rPr>
          <w:rFonts w:eastAsia="Times New Roman"/>
          <w:sz w:val="24"/>
          <w:szCs w:val="24"/>
        </w:rPr>
      </w:pPr>
      <w:r>
        <w:rPr>
          <w:rFonts w:eastAsia="Times New Roman"/>
          <w:sz w:val="24"/>
          <w:szCs w:val="24"/>
        </w:rPr>
        <w:t>are served by a lead service line.</w:t>
      </w:r>
    </w:p>
    <w:p w14:paraId="2819E0AD" w14:textId="77777777" w:rsidR="004647B9" w:rsidRDefault="00E2436F" w:rsidP="00563A54">
      <w:pPr>
        <w:numPr>
          <w:ilvl w:val="2"/>
          <w:numId w:val="188"/>
        </w:numPr>
        <w:tabs>
          <w:tab w:val="left" w:pos="2273"/>
        </w:tabs>
        <w:spacing w:line="243" w:lineRule="auto"/>
        <w:ind w:left="1920" w:hanging="5"/>
        <w:jc w:val="both"/>
        <w:rPr>
          <w:rFonts w:eastAsia="Times New Roman"/>
          <w:sz w:val="24"/>
          <w:szCs w:val="24"/>
        </w:rPr>
      </w:pPr>
      <w:r>
        <w:rPr>
          <w:rFonts w:eastAsia="Times New Roman"/>
          <w:sz w:val="24"/>
          <w:szCs w:val="24"/>
        </w:rPr>
        <w:t>Any community water system with insufficient tier 1 and tier 2 sampling sites shall complete its sampling pool with "tier 3 sampling sites", consisting of single family structures that contain copper pipes with lead solder installed before 1983. A community water system with insufficient tier 1, tier 2, and tier 3 sampling sites shall complete its sampling pool with representative sites throughout the distribution system. For the purpose of 310 CMR 22.06B(7)(a)5., a representative site is a site in which the plumbing materials used at that site would be commonly found at other sites served by the water system.</w:t>
      </w:r>
    </w:p>
    <w:p w14:paraId="2819E0AF" w14:textId="77777777" w:rsidR="004647B9" w:rsidRDefault="00E2436F" w:rsidP="00563A54">
      <w:pPr>
        <w:numPr>
          <w:ilvl w:val="2"/>
          <w:numId w:val="188"/>
        </w:numPr>
        <w:tabs>
          <w:tab w:val="left" w:pos="2244"/>
        </w:tabs>
        <w:spacing w:line="243" w:lineRule="auto"/>
        <w:ind w:left="1920" w:hanging="5"/>
        <w:rPr>
          <w:rFonts w:eastAsia="Times New Roman"/>
          <w:sz w:val="24"/>
          <w:szCs w:val="24"/>
        </w:rPr>
      </w:pPr>
      <w:r>
        <w:rPr>
          <w:rFonts w:eastAsia="Times New Roman"/>
          <w:sz w:val="24"/>
          <w:szCs w:val="24"/>
        </w:rPr>
        <w:t>The sampling sites selected for a non-transient non-community water system ("tier 1 sampling sites") shall consist of buildings that:</w:t>
      </w:r>
    </w:p>
    <w:p w14:paraId="2819E0B0" w14:textId="77777777" w:rsidR="004647B9" w:rsidRDefault="00E2436F" w:rsidP="00563A54">
      <w:pPr>
        <w:numPr>
          <w:ilvl w:val="3"/>
          <w:numId w:val="188"/>
        </w:numPr>
        <w:tabs>
          <w:tab w:val="left" w:pos="2620"/>
        </w:tabs>
        <w:spacing w:line="243" w:lineRule="auto"/>
        <w:ind w:left="2280" w:hanging="5"/>
        <w:rPr>
          <w:rFonts w:eastAsia="Times New Roman"/>
          <w:sz w:val="24"/>
          <w:szCs w:val="24"/>
        </w:rPr>
      </w:pPr>
      <w:r>
        <w:rPr>
          <w:rFonts w:eastAsia="Times New Roman"/>
          <w:sz w:val="24"/>
          <w:szCs w:val="24"/>
        </w:rPr>
        <w:t>contain copper pipes with lead solder installed after 1982 or contain lead pipes; and/or</w:t>
      </w:r>
    </w:p>
    <w:p w14:paraId="2819E0B1" w14:textId="77777777" w:rsidR="004647B9" w:rsidRDefault="00E2436F" w:rsidP="00563A54">
      <w:pPr>
        <w:numPr>
          <w:ilvl w:val="3"/>
          <w:numId w:val="188"/>
        </w:numPr>
        <w:tabs>
          <w:tab w:val="left" w:pos="2640"/>
        </w:tabs>
        <w:ind w:left="2640" w:hanging="365"/>
        <w:rPr>
          <w:rFonts w:eastAsia="Times New Roman"/>
          <w:sz w:val="24"/>
          <w:szCs w:val="24"/>
        </w:rPr>
      </w:pPr>
      <w:r>
        <w:rPr>
          <w:rFonts w:eastAsia="Times New Roman"/>
          <w:sz w:val="24"/>
          <w:szCs w:val="24"/>
        </w:rPr>
        <w:t>are served by a lead service line.</w:t>
      </w:r>
    </w:p>
    <w:p w14:paraId="2819E0B2" w14:textId="77777777" w:rsidR="004647B9" w:rsidRDefault="004647B9">
      <w:pPr>
        <w:sectPr w:rsidR="004647B9" w:rsidSect="00EF630C">
          <w:pgSz w:w="12240" w:h="20180"/>
          <w:pgMar w:top="708" w:right="1440" w:bottom="1440" w:left="600" w:header="0" w:footer="0" w:gutter="0"/>
          <w:cols w:space="720" w:equalWidth="0">
            <w:col w:w="10200"/>
          </w:cols>
        </w:sectPr>
      </w:pPr>
    </w:p>
    <w:p w14:paraId="2819E0B3" w14:textId="77777777" w:rsidR="004647B9" w:rsidRDefault="00E2436F">
      <w:pPr>
        <w:tabs>
          <w:tab w:val="left" w:pos="160"/>
        </w:tabs>
        <w:jc w:val="center"/>
        <w:rPr>
          <w:sz w:val="20"/>
          <w:szCs w:val="20"/>
        </w:rPr>
      </w:pPr>
      <w:bookmarkStart w:id="75" w:name="page76"/>
      <w:bookmarkEnd w:id="7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0B4" w14:textId="77777777" w:rsidR="004647B9" w:rsidRDefault="004647B9" w:rsidP="007709D2">
      <w:pPr>
        <w:rPr>
          <w:sz w:val="20"/>
          <w:szCs w:val="20"/>
        </w:rPr>
      </w:pPr>
    </w:p>
    <w:p w14:paraId="2819E0B5" w14:textId="77777777" w:rsidR="004647B9" w:rsidRDefault="004647B9" w:rsidP="007709D2">
      <w:pPr>
        <w:rPr>
          <w:sz w:val="20"/>
          <w:szCs w:val="20"/>
        </w:rPr>
      </w:pPr>
    </w:p>
    <w:p w14:paraId="2819E0B6"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0B7" w14:textId="77777777" w:rsidR="004647B9" w:rsidRDefault="004647B9" w:rsidP="007709D2">
      <w:pPr>
        <w:rPr>
          <w:sz w:val="20"/>
          <w:szCs w:val="20"/>
        </w:rPr>
      </w:pPr>
    </w:p>
    <w:p w14:paraId="2819E0B8" w14:textId="77777777" w:rsidR="004647B9" w:rsidRPr="005F0D8F" w:rsidRDefault="00E2436F" w:rsidP="00563A54">
      <w:pPr>
        <w:numPr>
          <w:ilvl w:val="1"/>
          <w:numId w:val="189"/>
        </w:numPr>
        <w:tabs>
          <w:tab w:val="left" w:pos="2258"/>
        </w:tabs>
        <w:spacing w:line="246" w:lineRule="auto"/>
        <w:ind w:left="1920" w:hanging="5"/>
        <w:jc w:val="both"/>
        <w:rPr>
          <w:rFonts w:eastAsia="Times New Roman"/>
          <w:sz w:val="24"/>
          <w:szCs w:val="24"/>
        </w:rPr>
      </w:pPr>
      <w:r w:rsidRPr="005F0D8F">
        <w:rPr>
          <w:rFonts w:eastAsia="Times New Roman"/>
          <w:sz w:val="24"/>
          <w:szCs w:val="24"/>
        </w:rPr>
        <w:t>A non-transient non-community water system with insufficient tier 1 sites that meet the targeting criteria in 310 CMR 22.06B(7)(a)6. shall complete its sampling pool with sampling sites that contain copper pipes with lead solder installed before 1983. If additional sites are needed to complete the sampling pool, the non-transient non-community water system shall use representative sites throughout the distribution system. For the purpose of 310 CMR 22.06B(7)(a)7., a representative site is a site in which the plumbing materials used at that site would be commonly found at other sites served by the water system.</w:t>
      </w:r>
    </w:p>
    <w:p w14:paraId="2819E0BA" w14:textId="77777777" w:rsidR="004647B9" w:rsidRPr="005F0D8F" w:rsidRDefault="00E2436F" w:rsidP="00563A54">
      <w:pPr>
        <w:numPr>
          <w:ilvl w:val="1"/>
          <w:numId w:val="189"/>
        </w:numPr>
        <w:tabs>
          <w:tab w:val="left" w:pos="2287"/>
        </w:tabs>
        <w:spacing w:line="243" w:lineRule="auto"/>
        <w:ind w:left="1920" w:hanging="5"/>
        <w:jc w:val="both"/>
        <w:rPr>
          <w:rFonts w:eastAsia="Times New Roman"/>
          <w:sz w:val="24"/>
          <w:szCs w:val="24"/>
        </w:rPr>
      </w:pPr>
      <w:r w:rsidRPr="005F0D8F">
        <w:rPr>
          <w:rFonts w:eastAsia="Times New Roman"/>
          <w:sz w:val="24"/>
          <w:szCs w:val="24"/>
        </w:rPr>
        <w:t>Any water system whose distribution system contains lead service lines shall draw 50% of the samples it collects during each monitoring period from sites that contain lead pipes, or copper pipes with lead solder, and 50% of the samples from sites served by a lead service line. A water system that cannot identify a sufficient number of sampling sites served by a lead service line shall collect first-draw samples from all of the sites identified as being served by such lines.</w:t>
      </w:r>
    </w:p>
    <w:p w14:paraId="2819E0BC" w14:textId="77777777" w:rsidR="004647B9" w:rsidRPr="005F0D8F" w:rsidRDefault="00E2436F" w:rsidP="00563A54">
      <w:pPr>
        <w:numPr>
          <w:ilvl w:val="1"/>
          <w:numId w:val="189"/>
        </w:numPr>
        <w:tabs>
          <w:tab w:val="left" w:pos="2251"/>
        </w:tabs>
        <w:spacing w:line="253" w:lineRule="auto"/>
        <w:ind w:left="1920" w:hanging="5"/>
        <w:jc w:val="both"/>
        <w:rPr>
          <w:rFonts w:eastAsia="Times New Roman"/>
          <w:sz w:val="24"/>
          <w:szCs w:val="24"/>
        </w:rPr>
      </w:pPr>
      <w:r w:rsidRPr="005F0D8F">
        <w:rPr>
          <w:rFonts w:eastAsia="Times New Roman"/>
          <w:sz w:val="24"/>
          <w:szCs w:val="24"/>
        </w:rPr>
        <w:t>In addition to the samples required by 310 CMR 22.06B(7) the Department requires community water supplies to collect lead and copper samples from at least two schools. Each school will have two sampling sites from which a 250 ml sample will be taken, one from a kitchen tap and one from a drinking water source such as a water fountain.</w:t>
      </w:r>
    </w:p>
    <w:p w14:paraId="2819E0BE" w14:textId="77777777" w:rsidR="004647B9" w:rsidRPr="005F0D8F" w:rsidRDefault="00E2436F" w:rsidP="00563A54">
      <w:pPr>
        <w:numPr>
          <w:ilvl w:val="0"/>
          <w:numId w:val="190"/>
        </w:numPr>
        <w:tabs>
          <w:tab w:val="left" w:pos="2020"/>
        </w:tabs>
        <w:ind w:left="2020" w:hanging="465"/>
        <w:rPr>
          <w:rFonts w:eastAsia="Times New Roman"/>
          <w:sz w:val="24"/>
          <w:szCs w:val="24"/>
        </w:rPr>
      </w:pPr>
      <w:r w:rsidRPr="005F0D8F">
        <w:rPr>
          <w:rFonts w:eastAsia="Times New Roman"/>
          <w:sz w:val="24"/>
          <w:szCs w:val="24"/>
          <w:u w:val="single"/>
        </w:rPr>
        <w:t>Sample Collection Methods</w:t>
      </w:r>
      <w:r w:rsidRPr="005F0D8F">
        <w:rPr>
          <w:rFonts w:eastAsia="Times New Roman"/>
          <w:sz w:val="24"/>
          <w:szCs w:val="24"/>
        </w:rPr>
        <w:t>.</w:t>
      </w:r>
    </w:p>
    <w:p w14:paraId="2819E0C0" w14:textId="77777777" w:rsidR="004647B9" w:rsidRPr="005F0D8F" w:rsidRDefault="00E2436F" w:rsidP="00563A54">
      <w:pPr>
        <w:numPr>
          <w:ilvl w:val="1"/>
          <w:numId w:val="190"/>
        </w:numPr>
        <w:tabs>
          <w:tab w:val="left" w:pos="2280"/>
        </w:tabs>
        <w:spacing w:line="253" w:lineRule="auto"/>
        <w:ind w:left="1920" w:hanging="5"/>
        <w:jc w:val="both"/>
        <w:rPr>
          <w:rFonts w:eastAsia="Times New Roman"/>
          <w:sz w:val="24"/>
          <w:szCs w:val="24"/>
        </w:rPr>
      </w:pPr>
      <w:r w:rsidRPr="005F0D8F">
        <w:rPr>
          <w:rFonts w:eastAsia="Times New Roman"/>
          <w:sz w:val="24"/>
          <w:szCs w:val="24"/>
        </w:rPr>
        <w:t>All tap samples for lead and copper collected in accordance with this subpart, with the exception of lead service line samples collected under 310 CMR 22.06B(5)(c) to determine whether or not a lead service line should be replaced and samples collected under 310 CMR 22.06B(7)(b)3., shall be first-draw samples. All samples must be collected in accordance with the system's Department-approved sampling plan.</w:t>
      </w:r>
    </w:p>
    <w:p w14:paraId="2819E0C4" w14:textId="62662193" w:rsidR="004647B9" w:rsidRPr="005F0D8F" w:rsidRDefault="00E2436F" w:rsidP="00563A54">
      <w:pPr>
        <w:numPr>
          <w:ilvl w:val="1"/>
          <w:numId w:val="190"/>
        </w:numPr>
        <w:tabs>
          <w:tab w:val="left" w:pos="2326"/>
        </w:tabs>
        <w:spacing w:line="253" w:lineRule="auto"/>
        <w:ind w:left="1920" w:hanging="5"/>
        <w:jc w:val="both"/>
        <w:rPr>
          <w:rFonts w:eastAsia="Times New Roman"/>
          <w:sz w:val="24"/>
          <w:szCs w:val="24"/>
        </w:rPr>
      </w:pPr>
      <w:r w:rsidRPr="005F0D8F">
        <w:rPr>
          <w:rFonts w:eastAsia="Times New Roman"/>
          <w:sz w:val="24"/>
          <w:szCs w:val="24"/>
        </w:rPr>
        <w:t xml:space="preserve">Each first-draw tap sample for lead and copper shall be one liter and have stood motionless in the plumbing system of each sampling site for at least six hours. First-draw samples from residential housing shall be collected from the cold-water kitchen tap or bathroom sink tap. First-draw samples from a non-residential building shall be one liter in volume and shall be collected at an interior tap from which water is typically drawn for consumption. Non-first-draw samples collected in </w:t>
      </w:r>
      <w:r w:rsidRPr="005F0D8F">
        <w:rPr>
          <w:rFonts w:eastAsia="Times New Roman"/>
          <w:i/>
          <w:iCs/>
          <w:sz w:val="24"/>
          <w:szCs w:val="24"/>
        </w:rPr>
        <w:t>lieu</w:t>
      </w:r>
      <w:r w:rsidRPr="005F0D8F">
        <w:rPr>
          <w:rFonts w:eastAsia="Times New Roman"/>
          <w:sz w:val="24"/>
          <w:szCs w:val="24"/>
        </w:rPr>
        <w:t xml:space="preserve"> of first-draw samples pursuant to 310 CMR 22.06B(7)(b)5. shall be one liter in volume an shall be collected at an interior tap from which water is typically drawn for consumption. First-draw samples may be collected by the system or the system may allow residents to collect first-draw samples after instructing the residents of the sampling procedures specified in</w:t>
      </w:r>
      <w:r w:rsidR="005F0D8F">
        <w:rPr>
          <w:rFonts w:eastAsia="Times New Roman"/>
          <w:sz w:val="24"/>
          <w:szCs w:val="24"/>
        </w:rPr>
        <w:t xml:space="preserve"> 310 </w:t>
      </w:r>
      <w:r w:rsidRPr="005F0D8F">
        <w:rPr>
          <w:rFonts w:eastAsia="Times New Roman"/>
          <w:sz w:val="24"/>
          <w:szCs w:val="24"/>
        </w:rPr>
        <w:t>CMR 22.06B(7)(b)2. To avoid potential problems of residents handling nitric acid, acidification of first draw samples may be done up to 14 days after the sample has been collected. After acidification to resolubilize the metals, the sample must stand in the original container for the time specified in the approved EPA method before the sample can be analyzed. If a system allows residents to perform sampling, the system may not challenge, based on alleged errors in sample collection, the accuracy of sampling results.</w:t>
      </w:r>
    </w:p>
    <w:p w14:paraId="2819E0C6" w14:textId="77777777" w:rsidR="004647B9" w:rsidRPr="005F0D8F" w:rsidRDefault="00E2436F" w:rsidP="00563A54">
      <w:pPr>
        <w:numPr>
          <w:ilvl w:val="1"/>
          <w:numId w:val="191"/>
        </w:numPr>
        <w:tabs>
          <w:tab w:val="left" w:pos="2244"/>
        </w:tabs>
        <w:spacing w:line="243" w:lineRule="auto"/>
        <w:ind w:left="1920" w:hanging="5"/>
        <w:jc w:val="both"/>
        <w:rPr>
          <w:rFonts w:eastAsia="Times New Roman"/>
          <w:sz w:val="24"/>
          <w:szCs w:val="24"/>
        </w:rPr>
      </w:pPr>
      <w:r w:rsidRPr="005F0D8F">
        <w:rPr>
          <w:rFonts w:eastAsia="Times New Roman"/>
          <w:sz w:val="24"/>
          <w:szCs w:val="24"/>
        </w:rPr>
        <w:t>Each lead service line sample shall be one liter in volume and have stood motionless in the lead service line for at least six hours, but not more than 12 hours. Lead service line samples, for the purpose of determining whether or not a line should be replaced, shall be collected in one of the following three ways:</w:t>
      </w:r>
    </w:p>
    <w:p w14:paraId="2819E0C7" w14:textId="77777777" w:rsidR="004647B9" w:rsidRPr="005F0D8F" w:rsidRDefault="00E2436F" w:rsidP="00563A54">
      <w:pPr>
        <w:numPr>
          <w:ilvl w:val="2"/>
          <w:numId w:val="191"/>
        </w:numPr>
        <w:tabs>
          <w:tab w:val="left" w:pos="2605"/>
        </w:tabs>
        <w:spacing w:line="243" w:lineRule="auto"/>
        <w:ind w:left="2280" w:hanging="5"/>
        <w:jc w:val="both"/>
        <w:rPr>
          <w:rFonts w:eastAsia="Times New Roman"/>
          <w:sz w:val="24"/>
          <w:szCs w:val="24"/>
        </w:rPr>
      </w:pPr>
      <w:r w:rsidRPr="005F0D8F">
        <w:rPr>
          <w:rFonts w:eastAsia="Times New Roman"/>
          <w:sz w:val="24"/>
          <w:szCs w:val="24"/>
        </w:rPr>
        <w:t>at the tap after flushing the volume of water between the tap and the lead service line. The volume of water shall be calculated based on the interior diameter and length of the pipe between the tap and the lead service line;</w:t>
      </w:r>
    </w:p>
    <w:p w14:paraId="2819E0C9" w14:textId="77777777" w:rsidR="004647B9" w:rsidRPr="005F0D8F" w:rsidRDefault="00E2436F" w:rsidP="00563A54">
      <w:pPr>
        <w:numPr>
          <w:ilvl w:val="2"/>
          <w:numId w:val="191"/>
        </w:numPr>
        <w:tabs>
          <w:tab w:val="left" w:pos="2640"/>
        </w:tabs>
        <w:ind w:left="2640" w:hanging="365"/>
        <w:rPr>
          <w:rFonts w:eastAsia="Times New Roman"/>
          <w:sz w:val="24"/>
          <w:szCs w:val="24"/>
        </w:rPr>
      </w:pPr>
      <w:r w:rsidRPr="005F0D8F">
        <w:rPr>
          <w:rFonts w:eastAsia="Times New Roman"/>
          <w:sz w:val="24"/>
          <w:szCs w:val="24"/>
        </w:rPr>
        <w:t>tapping directly into the lead service line; or</w:t>
      </w:r>
    </w:p>
    <w:p w14:paraId="2819E0CB" w14:textId="77777777" w:rsidR="004647B9" w:rsidRPr="005F0D8F" w:rsidRDefault="00E2436F" w:rsidP="00563A54">
      <w:pPr>
        <w:numPr>
          <w:ilvl w:val="2"/>
          <w:numId w:val="191"/>
        </w:numPr>
        <w:tabs>
          <w:tab w:val="left" w:pos="2747"/>
        </w:tabs>
        <w:spacing w:line="243" w:lineRule="auto"/>
        <w:ind w:left="2280" w:hanging="5"/>
        <w:jc w:val="both"/>
        <w:rPr>
          <w:rFonts w:eastAsia="Times New Roman"/>
          <w:sz w:val="24"/>
          <w:szCs w:val="24"/>
        </w:rPr>
      </w:pPr>
      <w:r w:rsidRPr="005F0D8F">
        <w:rPr>
          <w:rFonts w:eastAsia="Times New Roman"/>
          <w:sz w:val="24"/>
          <w:szCs w:val="24"/>
        </w:rPr>
        <w:t>if the sampling site is a building constructed as a single-family residence, allowing the water to run until there is a significant change in temperature which would be indicative of water that has been standing in the lead service line.</w:t>
      </w:r>
    </w:p>
    <w:p w14:paraId="2819E0CD" w14:textId="77777777" w:rsidR="004647B9" w:rsidRPr="005F0D8F" w:rsidRDefault="00E2436F" w:rsidP="00563A54">
      <w:pPr>
        <w:numPr>
          <w:ilvl w:val="1"/>
          <w:numId w:val="191"/>
        </w:numPr>
        <w:tabs>
          <w:tab w:val="left" w:pos="2266"/>
        </w:tabs>
        <w:spacing w:line="243" w:lineRule="auto"/>
        <w:ind w:left="1920" w:hanging="5"/>
        <w:jc w:val="both"/>
        <w:rPr>
          <w:rFonts w:eastAsia="Times New Roman"/>
          <w:sz w:val="24"/>
          <w:szCs w:val="24"/>
        </w:rPr>
      </w:pPr>
      <w:r w:rsidRPr="005F0D8F">
        <w:rPr>
          <w:rFonts w:eastAsia="Times New Roman"/>
          <w:sz w:val="24"/>
          <w:szCs w:val="24"/>
        </w:rPr>
        <w:t>A water system shall collect each first draw tap sample from the same sampling site from which it collected a previous sample. If, for any reason, the water system cannot gain entry to a sampling site in order to collect a follow-up tap sample, the system may collect the follow-up tap sample from another sampling site in its sampling pool as long as the new site meets the same targeting criteria, and is within reasonable proximity of the original site.</w:t>
      </w:r>
    </w:p>
    <w:p w14:paraId="2819E0CE" w14:textId="77777777" w:rsidR="004647B9" w:rsidRDefault="004647B9">
      <w:pPr>
        <w:sectPr w:rsidR="004647B9" w:rsidSect="00EF630C">
          <w:pgSz w:w="12240" w:h="20180"/>
          <w:pgMar w:top="708" w:right="1440" w:bottom="1440" w:left="600" w:header="0" w:footer="0" w:gutter="0"/>
          <w:cols w:space="720" w:equalWidth="0">
            <w:col w:w="10200"/>
          </w:cols>
        </w:sectPr>
      </w:pPr>
    </w:p>
    <w:p w14:paraId="2819E0CF" w14:textId="77777777" w:rsidR="004647B9" w:rsidRDefault="00E2436F">
      <w:pPr>
        <w:tabs>
          <w:tab w:val="left" w:pos="160"/>
        </w:tabs>
        <w:jc w:val="center"/>
        <w:rPr>
          <w:sz w:val="20"/>
          <w:szCs w:val="20"/>
        </w:rPr>
      </w:pPr>
      <w:bookmarkStart w:id="76" w:name="page77"/>
      <w:bookmarkEnd w:id="7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0D0" w14:textId="77777777" w:rsidR="004647B9" w:rsidRDefault="004647B9" w:rsidP="007709D2">
      <w:pPr>
        <w:rPr>
          <w:sz w:val="20"/>
          <w:szCs w:val="20"/>
        </w:rPr>
      </w:pPr>
    </w:p>
    <w:p w14:paraId="2819E0D1" w14:textId="77777777" w:rsidR="004647B9" w:rsidRDefault="004647B9" w:rsidP="007709D2">
      <w:pPr>
        <w:rPr>
          <w:sz w:val="20"/>
          <w:szCs w:val="20"/>
        </w:rPr>
      </w:pPr>
    </w:p>
    <w:p w14:paraId="2819E0D2"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0D3" w14:textId="77777777" w:rsidR="004647B9" w:rsidRDefault="004647B9" w:rsidP="007709D2">
      <w:pPr>
        <w:rPr>
          <w:sz w:val="20"/>
          <w:szCs w:val="20"/>
        </w:rPr>
      </w:pPr>
    </w:p>
    <w:p w14:paraId="2819E0D4" w14:textId="6C41209B" w:rsidR="004647B9" w:rsidRPr="005F0D8F" w:rsidRDefault="00E2436F" w:rsidP="00563A54">
      <w:pPr>
        <w:numPr>
          <w:ilvl w:val="1"/>
          <w:numId w:val="192"/>
        </w:numPr>
        <w:tabs>
          <w:tab w:val="left" w:pos="2316"/>
        </w:tabs>
        <w:spacing w:line="246" w:lineRule="auto"/>
        <w:ind w:left="1920" w:hanging="5"/>
        <w:jc w:val="both"/>
        <w:rPr>
          <w:rFonts w:eastAsia="Times New Roman"/>
          <w:sz w:val="24"/>
          <w:szCs w:val="24"/>
        </w:rPr>
      </w:pPr>
      <w:r w:rsidRPr="0029384E">
        <w:rPr>
          <w:rFonts w:eastAsia="Times New Roman"/>
          <w:sz w:val="24"/>
          <w:szCs w:val="24"/>
        </w:rPr>
        <w:t>A non-transient non-community</w:t>
      </w:r>
      <w:r w:rsidRPr="005F0D8F">
        <w:rPr>
          <w:rFonts w:eastAsia="Times New Roman"/>
          <w:sz w:val="24"/>
          <w:szCs w:val="24"/>
        </w:rPr>
        <w:t xml:space="preserve"> water system, or a community water system that meets the criteria of 310 CMR 22.06B(6)(b)</w:t>
      </w:r>
      <w:r w:rsidR="00CD3E61">
        <w:rPr>
          <w:rFonts w:eastAsia="Times New Roman"/>
          <w:sz w:val="24"/>
          <w:szCs w:val="24"/>
        </w:rPr>
        <w:t>7.</w:t>
      </w:r>
      <w:r w:rsidRPr="005F0D8F">
        <w:rPr>
          <w:rFonts w:eastAsia="Times New Roman"/>
          <w:sz w:val="24"/>
          <w:szCs w:val="24"/>
        </w:rPr>
        <w:t xml:space="preserve"> that does not have enough taps that can supply first-draw samples, as defined in 310 CMR 22.06B, may apply to the Department in writing to substitute non-first-draw samples. Such systems shall collect as many first-draw samples from appropriate taps as possible and identify sampling times and locations that would likely result in the longest standing time for the remaining sites. The Department has the discretion to waive the requirement for prior Department approval of non-first-draw sample sites selected by the system, either through State regulation or written notification to the system.</w:t>
      </w:r>
    </w:p>
    <w:p w14:paraId="2819E0D6" w14:textId="77777777" w:rsidR="004647B9" w:rsidRPr="005F0D8F" w:rsidRDefault="00E2436F" w:rsidP="00563A54">
      <w:pPr>
        <w:numPr>
          <w:ilvl w:val="0"/>
          <w:numId w:val="193"/>
        </w:numPr>
        <w:tabs>
          <w:tab w:val="left" w:pos="2083"/>
        </w:tabs>
        <w:spacing w:line="254" w:lineRule="auto"/>
        <w:ind w:left="1560" w:hanging="5"/>
        <w:jc w:val="both"/>
        <w:rPr>
          <w:rFonts w:eastAsia="Times New Roman"/>
          <w:sz w:val="24"/>
          <w:szCs w:val="24"/>
        </w:rPr>
      </w:pPr>
      <w:r w:rsidRPr="005F0D8F">
        <w:rPr>
          <w:rFonts w:eastAsia="Times New Roman"/>
          <w:sz w:val="24"/>
          <w:szCs w:val="24"/>
          <w:u w:val="single"/>
        </w:rPr>
        <w:t>Number of Samples</w:t>
      </w:r>
      <w:r w:rsidRPr="005F0D8F">
        <w:rPr>
          <w:rFonts w:eastAsia="Times New Roman"/>
          <w:sz w:val="24"/>
          <w:szCs w:val="24"/>
        </w:rPr>
        <w:t>. Water systems shall collect at least one sample during each monitoring period specified in 310 CMR 22.06B(7)(d) from the number of sites listed in the second column (Standard Monitoring) of the table in 310 CMR 22.06B(7)(c). A system conducting reduced monitoring under 310 CMR 22.06B(7)(d)4. shall collect at least one sample from the number of sites specified in the third column (Reduced Monitoring) of the table in 310 CMR 22.06B(7)(c). A public water system that has fewer than five drinking water taps, that can be used for human consumption meeting the sample site criteria of 310 CMR 22.06B(7)(a) to reach the required number of sample sites listed in 310 CMR 22.06B(7)(c), must collect at least one sample from each tap and then must collect additional samples from those taps on different days during the monitoring period to meet the required number of sites. Alternatively, the Department may allow these public water systems to collect a number of samples less than the number of sites specified in 310 CMR 22.06B(7)(c), provided that 100% of all taps that can be used for human consumption are sampled. The Department must approve this reduction of the minimum number of samples in writing based on a request from the system or onsite verification by the Department.</w:t>
      </w:r>
    </w:p>
    <w:p w14:paraId="2819E0D7" w14:textId="77777777" w:rsidR="004647B9" w:rsidRPr="00AC1655" w:rsidRDefault="004647B9" w:rsidP="00AC1655">
      <w:pPr>
        <w:rPr>
          <w:sz w:val="24"/>
          <w:szCs w:val="24"/>
        </w:rPr>
      </w:pPr>
    </w:p>
    <w:tbl>
      <w:tblPr>
        <w:tblW w:w="0" w:type="auto"/>
        <w:tblInd w:w="2020" w:type="dxa"/>
        <w:tblLayout w:type="fixed"/>
        <w:tblCellMar>
          <w:left w:w="0" w:type="dxa"/>
          <w:right w:w="0" w:type="dxa"/>
        </w:tblCellMar>
        <w:tblLook w:val="04A0" w:firstRow="1" w:lastRow="0" w:firstColumn="1" w:lastColumn="0" w:noHBand="0" w:noVBand="1"/>
      </w:tblPr>
      <w:tblGrid>
        <w:gridCol w:w="2540"/>
        <w:gridCol w:w="3020"/>
        <w:gridCol w:w="2160"/>
        <w:gridCol w:w="20"/>
      </w:tblGrid>
      <w:tr w:rsidR="004647B9" w14:paraId="2819E0DB" w14:textId="77777777" w:rsidTr="006323DB">
        <w:trPr>
          <w:trHeight w:val="281"/>
        </w:trPr>
        <w:tc>
          <w:tcPr>
            <w:tcW w:w="2540" w:type="dxa"/>
            <w:vAlign w:val="center"/>
          </w:tcPr>
          <w:p w14:paraId="2819E0D8" w14:textId="77777777" w:rsidR="004647B9" w:rsidRDefault="00E2436F" w:rsidP="00180DEE">
            <w:pPr>
              <w:jc w:val="center"/>
              <w:rPr>
                <w:sz w:val="20"/>
                <w:szCs w:val="20"/>
              </w:rPr>
            </w:pPr>
            <w:r>
              <w:rPr>
                <w:rFonts w:eastAsia="Times New Roman"/>
                <w:sz w:val="24"/>
                <w:szCs w:val="24"/>
              </w:rPr>
              <w:t>System Size</w:t>
            </w:r>
          </w:p>
        </w:tc>
        <w:tc>
          <w:tcPr>
            <w:tcW w:w="3020" w:type="dxa"/>
            <w:vAlign w:val="center"/>
          </w:tcPr>
          <w:p w14:paraId="2819E0D9" w14:textId="77777777" w:rsidR="004647B9" w:rsidRDefault="00E2436F" w:rsidP="00180DEE">
            <w:pPr>
              <w:jc w:val="center"/>
              <w:rPr>
                <w:sz w:val="20"/>
                <w:szCs w:val="20"/>
              </w:rPr>
            </w:pPr>
            <w:r>
              <w:rPr>
                <w:rFonts w:eastAsia="Times New Roman"/>
                <w:sz w:val="24"/>
                <w:szCs w:val="24"/>
              </w:rPr>
              <w:t>Number of sites</w:t>
            </w:r>
          </w:p>
        </w:tc>
        <w:tc>
          <w:tcPr>
            <w:tcW w:w="2180" w:type="dxa"/>
            <w:gridSpan w:val="2"/>
            <w:vAlign w:val="center"/>
          </w:tcPr>
          <w:p w14:paraId="2819E0DA" w14:textId="77777777" w:rsidR="004647B9" w:rsidRDefault="00E2436F" w:rsidP="006323DB">
            <w:pPr>
              <w:jc w:val="center"/>
              <w:rPr>
                <w:sz w:val="20"/>
                <w:szCs w:val="20"/>
              </w:rPr>
            </w:pPr>
            <w:r>
              <w:rPr>
                <w:rFonts w:eastAsia="Times New Roman"/>
                <w:sz w:val="24"/>
                <w:szCs w:val="24"/>
              </w:rPr>
              <w:t>Number of sites</w:t>
            </w:r>
          </w:p>
        </w:tc>
      </w:tr>
      <w:tr w:rsidR="004647B9" w14:paraId="2819E0DF" w14:textId="77777777" w:rsidTr="006323DB">
        <w:trPr>
          <w:trHeight w:val="275"/>
        </w:trPr>
        <w:tc>
          <w:tcPr>
            <w:tcW w:w="2540" w:type="dxa"/>
            <w:vAlign w:val="center"/>
          </w:tcPr>
          <w:p w14:paraId="2819E0DC" w14:textId="77777777" w:rsidR="004647B9" w:rsidRPr="006323DB" w:rsidRDefault="00E2436F" w:rsidP="00180DEE">
            <w:pPr>
              <w:jc w:val="center"/>
              <w:rPr>
                <w:sz w:val="20"/>
                <w:szCs w:val="20"/>
                <w:u w:val="single"/>
              </w:rPr>
            </w:pPr>
            <w:r w:rsidRPr="006323DB">
              <w:rPr>
                <w:rFonts w:eastAsia="Times New Roman"/>
                <w:w w:val="99"/>
                <w:sz w:val="24"/>
                <w:szCs w:val="24"/>
                <w:u w:val="single"/>
              </w:rPr>
              <w:t>(No. People Served)</w:t>
            </w:r>
          </w:p>
        </w:tc>
        <w:tc>
          <w:tcPr>
            <w:tcW w:w="3020" w:type="dxa"/>
            <w:vAlign w:val="center"/>
          </w:tcPr>
          <w:p w14:paraId="2819E0DD" w14:textId="77777777" w:rsidR="004647B9" w:rsidRPr="006323DB" w:rsidRDefault="00E2436F" w:rsidP="006323DB">
            <w:pPr>
              <w:jc w:val="center"/>
              <w:rPr>
                <w:sz w:val="20"/>
                <w:szCs w:val="20"/>
                <w:u w:val="single"/>
              </w:rPr>
            </w:pPr>
            <w:r w:rsidRPr="006323DB">
              <w:rPr>
                <w:rFonts w:eastAsia="Times New Roman"/>
                <w:sz w:val="24"/>
                <w:szCs w:val="24"/>
                <w:u w:val="single"/>
              </w:rPr>
              <w:t>(Standard Monitoring)</w:t>
            </w:r>
          </w:p>
        </w:tc>
        <w:tc>
          <w:tcPr>
            <w:tcW w:w="2180" w:type="dxa"/>
            <w:gridSpan w:val="2"/>
            <w:vAlign w:val="center"/>
          </w:tcPr>
          <w:p w14:paraId="2819E0DE" w14:textId="77777777" w:rsidR="004647B9" w:rsidRPr="006323DB" w:rsidRDefault="00E2436F" w:rsidP="006323DB">
            <w:pPr>
              <w:jc w:val="center"/>
              <w:rPr>
                <w:sz w:val="20"/>
                <w:szCs w:val="20"/>
                <w:u w:val="single"/>
              </w:rPr>
            </w:pPr>
            <w:r w:rsidRPr="006323DB">
              <w:rPr>
                <w:rFonts w:eastAsia="Times New Roman"/>
                <w:sz w:val="24"/>
                <w:szCs w:val="24"/>
                <w:u w:val="single"/>
              </w:rPr>
              <w:t>(Reduced Monitoring)</w:t>
            </w:r>
          </w:p>
        </w:tc>
      </w:tr>
      <w:tr w:rsidR="006323DB" w14:paraId="2819E0E6" w14:textId="77777777" w:rsidTr="006323DB">
        <w:trPr>
          <w:trHeight w:val="264"/>
        </w:trPr>
        <w:tc>
          <w:tcPr>
            <w:tcW w:w="2540" w:type="dxa"/>
            <w:vAlign w:val="center"/>
          </w:tcPr>
          <w:p w14:paraId="2819E0E1" w14:textId="38650CEF" w:rsidR="006323DB" w:rsidRDefault="006323DB" w:rsidP="00180DEE">
            <w:pPr>
              <w:jc w:val="center"/>
            </w:pPr>
            <w:r>
              <w:rPr>
                <w:rFonts w:eastAsia="Times New Roman"/>
                <w:sz w:val="24"/>
                <w:szCs w:val="24"/>
              </w:rPr>
              <w:t>&gt;100,000</w:t>
            </w:r>
          </w:p>
        </w:tc>
        <w:tc>
          <w:tcPr>
            <w:tcW w:w="3020" w:type="dxa"/>
            <w:vAlign w:val="center"/>
          </w:tcPr>
          <w:p w14:paraId="2819E0E3" w14:textId="54EA698A" w:rsidR="006323DB" w:rsidRDefault="006323DB" w:rsidP="006323DB">
            <w:pPr>
              <w:jc w:val="center"/>
            </w:pPr>
            <w:r>
              <w:rPr>
                <w:rFonts w:eastAsia="Times New Roman"/>
                <w:sz w:val="24"/>
                <w:szCs w:val="24"/>
              </w:rPr>
              <w:t>100</w:t>
            </w:r>
          </w:p>
        </w:tc>
        <w:tc>
          <w:tcPr>
            <w:tcW w:w="2160" w:type="dxa"/>
            <w:vAlign w:val="center"/>
          </w:tcPr>
          <w:p w14:paraId="2819E0E4" w14:textId="77777777" w:rsidR="006323DB" w:rsidRDefault="006323DB" w:rsidP="006323DB">
            <w:pPr>
              <w:spacing w:line="264" w:lineRule="exact"/>
              <w:jc w:val="center"/>
              <w:rPr>
                <w:sz w:val="20"/>
                <w:szCs w:val="20"/>
              </w:rPr>
            </w:pPr>
            <w:r>
              <w:rPr>
                <w:rFonts w:eastAsia="Times New Roman"/>
                <w:sz w:val="24"/>
                <w:szCs w:val="24"/>
              </w:rPr>
              <w:t>50</w:t>
            </w:r>
          </w:p>
        </w:tc>
        <w:tc>
          <w:tcPr>
            <w:tcW w:w="20" w:type="dxa"/>
            <w:vAlign w:val="bottom"/>
          </w:tcPr>
          <w:p w14:paraId="2819E0E5" w14:textId="77777777" w:rsidR="006323DB" w:rsidRDefault="006323DB"/>
        </w:tc>
      </w:tr>
      <w:tr w:rsidR="006323DB" w14:paraId="2819E0ED" w14:textId="77777777" w:rsidTr="006323DB">
        <w:trPr>
          <w:trHeight w:val="278"/>
        </w:trPr>
        <w:tc>
          <w:tcPr>
            <w:tcW w:w="2540" w:type="dxa"/>
            <w:vAlign w:val="center"/>
          </w:tcPr>
          <w:p w14:paraId="2819E0E8" w14:textId="363936A2" w:rsidR="006323DB" w:rsidRDefault="006323DB" w:rsidP="00180DEE">
            <w:pPr>
              <w:jc w:val="center"/>
              <w:rPr>
                <w:sz w:val="24"/>
                <w:szCs w:val="24"/>
              </w:rPr>
            </w:pPr>
            <w:r>
              <w:rPr>
                <w:rFonts w:eastAsia="Times New Roman"/>
                <w:w w:val="99"/>
                <w:sz w:val="24"/>
                <w:szCs w:val="24"/>
              </w:rPr>
              <w:t>10,001-100,000</w:t>
            </w:r>
          </w:p>
        </w:tc>
        <w:tc>
          <w:tcPr>
            <w:tcW w:w="3020" w:type="dxa"/>
            <w:vAlign w:val="center"/>
          </w:tcPr>
          <w:p w14:paraId="2819E0EA" w14:textId="2F06C280" w:rsidR="006323DB" w:rsidRDefault="006323DB" w:rsidP="006323DB">
            <w:pPr>
              <w:jc w:val="center"/>
              <w:rPr>
                <w:sz w:val="24"/>
                <w:szCs w:val="24"/>
              </w:rPr>
            </w:pPr>
            <w:r>
              <w:rPr>
                <w:rFonts w:eastAsia="Times New Roman"/>
                <w:sz w:val="24"/>
                <w:szCs w:val="24"/>
              </w:rPr>
              <w:t>60</w:t>
            </w:r>
          </w:p>
        </w:tc>
        <w:tc>
          <w:tcPr>
            <w:tcW w:w="2160" w:type="dxa"/>
            <w:vAlign w:val="center"/>
          </w:tcPr>
          <w:p w14:paraId="2819E0EB" w14:textId="77777777" w:rsidR="006323DB" w:rsidRDefault="006323DB" w:rsidP="006323DB">
            <w:pPr>
              <w:jc w:val="center"/>
              <w:rPr>
                <w:sz w:val="20"/>
                <w:szCs w:val="20"/>
              </w:rPr>
            </w:pPr>
            <w:r>
              <w:rPr>
                <w:rFonts w:eastAsia="Times New Roman"/>
                <w:sz w:val="24"/>
                <w:szCs w:val="24"/>
              </w:rPr>
              <w:t>30</w:t>
            </w:r>
          </w:p>
        </w:tc>
        <w:tc>
          <w:tcPr>
            <w:tcW w:w="20" w:type="dxa"/>
            <w:vAlign w:val="bottom"/>
          </w:tcPr>
          <w:p w14:paraId="2819E0EC" w14:textId="77777777" w:rsidR="006323DB" w:rsidRDefault="006323DB">
            <w:pPr>
              <w:rPr>
                <w:sz w:val="24"/>
                <w:szCs w:val="24"/>
              </w:rPr>
            </w:pPr>
          </w:p>
        </w:tc>
      </w:tr>
      <w:tr w:rsidR="006323DB" w14:paraId="2819E0F3" w14:textId="77777777" w:rsidTr="006323DB">
        <w:trPr>
          <w:trHeight w:val="281"/>
        </w:trPr>
        <w:tc>
          <w:tcPr>
            <w:tcW w:w="2540" w:type="dxa"/>
            <w:vAlign w:val="bottom"/>
          </w:tcPr>
          <w:p w14:paraId="2819E0EE" w14:textId="77777777" w:rsidR="006323DB" w:rsidRDefault="006323DB" w:rsidP="00180DEE">
            <w:pPr>
              <w:jc w:val="center"/>
              <w:rPr>
                <w:sz w:val="20"/>
                <w:szCs w:val="20"/>
              </w:rPr>
            </w:pPr>
            <w:r>
              <w:rPr>
                <w:rFonts w:eastAsia="Times New Roman"/>
                <w:sz w:val="24"/>
                <w:szCs w:val="24"/>
              </w:rPr>
              <w:t>3,301 to 10,000</w:t>
            </w:r>
          </w:p>
        </w:tc>
        <w:tc>
          <w:tcPr>
            <w:tcW w:w="3020" w:type="dxa"/>
            <w:vAlign w:val="center"/>
          </w:tcPr>
          <w:p w14:paraId="2819E0F0" w14:textId="6D7F6DB9" w:rsidR="006323DB" w:rsidRDefault="006323DB" w:rsidP="006323DB">
            <w:pPr>
              <w:jc w:val="center"/>
              <w:rPr>
                <w:sz w:val="24"/>
                <w:szCs w:val="24"/>
              </w:rPr>
            </w:pPr>
            <w:r>
              <w:rPr>
                <w:rFonts w:eastAsia="Times New Roman"/>
                <w:sz w:val="24"/>
                <w:szCs w:val="24"/>
              </w:rPr>
              <w:t>40</w:t>
            </w:r>
          </w:p>
        </w:tc>
        <w:tc>
          <w:tcPr>
            <w:tcW w:w="2160" w:type="dxa"/>
            <w:vAlign w:val="center"/>
          </w:tcPr>
          <w:p w14:paraId="2819E0F1" w14:textId="77777777" w:rsidR="006323DB" w:rsidRDefault="006323DB" w:rsidP="006323DB">
            <w:pPr>
              <w:jc w:val="center"/>
              <w:rPr>
                <w:sz w:val="20"/>
                <w:szCs w:val="20"/>
              </w:rPr>
            </w:pPr>
            <w:r>
              <w:rPr>
                <w:rFonts w:eastAsia="Times New Roman"/>
                <w:sz w:val="24"/>
                <w:szCs w:val="24"/>
              </w:rPr>
              <w:t>20</w:t>
            </w:r>
          </w:p>
        </w:tc>
        <w:tc>
          <w:tcPr>
            <w:tcW w:w="20" w:type="dxa"/>
            <w:vAlign w:val="bottom"/>
          </w:tcPr>
          <w:p w14:paraId="2819E0F2" w14:textId="77777777" w:rsidR="006323DB" w:rsidRDefault="006323DB">
            <w:pPr>
              <w:rPr>
                <w:sz w:val="24"/>
                <w:szCs w:val="24"/>
              </w:rPr>
            </w:pPr>
          </w:p>
        </w:tc>
      </w:tr>
      <w:tr w:rsidR="006323DB" w14:paraId="2819E0F9" w14:textId="77777777" w:rsidTr="006323DB">
        <w:trPr>
          <w:trHeight w:val="278"/>
        </w:trPr>
        <w:tc>
          <w:tcPr>
            <w:tcW w:w="2540" w:type="dxa"/>
            <w:vAlign w:val="bottom"/>
          </w:tcPr>
          <w:p w14:paraId="2819E0F4" w14:textId="77777777" w:rsidR="006323DB" w:rsidRDefault="006323DB" w:rsidP="00180DEE">
            <w:pPr>
              <w:jc w:val="center"/>
              <w:rPr>
                <w:sz w:val="20"/>
                <w:szCs w:val="20"/>
              </w:rPr>
            </w:pPr>
            <w:r>
              <w:rPr>
                <w:rFonts w:eastAsia="Times New Roman"/>
                <w:w w:val="99"/>
                <w:sz w:val="24"/>
                <w:szCs w:val="24"/>
              </w:rPr>
              <w:t>501 to 3,300</w:t>
            </w:r>
          </w:p>
        </w:tc>
        <w:tc>
          <w:tcPr>
            <w:tcW w:w="3020" w:type="dxa"/>
            <w:vAlign w:val="center"/>
          </w:tcPr>
          <w:p w14:paraId="2819E0F6" w14:textId="6650B139" w:rsidR="006323DB" w:rsidRDefault="006323DB" w:rsidP="006323DB">
            <w:pPr>
              <w:jc w:val="center"/>
              <w:rPr>
                <w:sz w:val="24"/>
                <w:szCs w:val="24"/>
              </w:rPr>
            </w:pPr>
            <w:r>
              <w:rPr>
                <w:rFonts w:eastAsia="Times New Roman"/>
                <w:sz w:val="24"/>
                <w:szCs w:val="24"/>
              </w:rPr>
              <w:t>20</w:t>
            </w:r>
          </w:p>
        </w:tc>
        <w:tc>
          <w:tcPr>
            <w:tcW w:w="2160" w:type="dxa"/>
            <w:vAlign w:val="center"/>
          </w:tcPr>
          <w:p w14:paraId="2819E0F7" w14:textId="77777777" w:rsidR="006323DB" w:rsidRDefault="006323DB" w:rsidP="006323DB">
            <w:pPr>
              <w:jc w:val="center"/>
              <w:rPr>
                <w:sz w:val="20"/>
                <w:szCs w:val="20"/>
              </w:rPr>
            </w:pPr>
            <w:r>
              <w:rPr>
                <w:rFonts w:eastAsia="Times New Roman"/>
                <w:sz w:val="24"/>
                <w:szCs w:val="24"/>
              </w:rPr>
              <w:t>10</w:t>
            </w:r>
          </w:p>
        </w:tc>
        <w:tc>
          <w:tcPr>
            <w:tcW w:w="20" w:type="dxa"/>
            <w:vAlign w:val="bottom"/>
          </w:tcPr>
          <w:p w14:paraId="2819E0F8" w14:textId="77777777" w:rsidR="006323DB" w:rsidRDefault="006323DB">
            <w:pPr>
              <w:rPr>
                <w:sz w:val="24"/>
                <w:szCs w:val="24"/>
              </w:rPr>
            </w:pPr>
          </w:p>
        </w:tc>
      </w:tr>
      <w:tr w:rsidR="006323DB" w14:paraId="2819E0FF" w14:textId="77777777" w:rsidTr="006323DB">
        <w:trPr>
          <w:trHeight w:val="281"/>
        </w:trPr>
        <w:tc>
          <w:tcPr>
            <w:tcW w:w="2540" w:type="dxa"/>
            <w:vAlign w:val="bottom"/>
          </w:tcPr>
          <w:p w14:paraId="2819E0FA" w14:textId="77777777" w:rsidR="006323DB" w:rsidRDefault="006323DB" w:rsidP="00180DEE">
            <w:pPr>
              <w:jc w:val="center"/>
              <w:rPr>
                <w:sz w:val="20"/>
                <w:szCs w:val="20"/>
              </w:rPr>
            </w:pPr>
            <w:r>
              <w:rPr>
                <w:rFonts w:eastAsia="Times New Roman"/>
                <w:sz w:val="24"/>
                <w:szCs w:val="24"/>
              </w:rPr>
              <w:t>101 to 500</w:t>
            </w:r>
          </w:p>
        </w:tc>
        <w:tc>
          <w:tcPr>
            <w:tcW w:w="3020" w:type="dxa"/>
            <w:vAlign w:val="center"/>
          </w:tcPr>
          <w:p w14:paraId="2819E0FC" w14:textId="7C99DCD1" w:rsidR="006323DB" w:rsidRDefault="006323DB" w:rsidP="006323DB">
            <w:pPr>
              <w:jc w:val="center"/>
              <w:rPr>
                <w:sz w:val="24"/>
                <w:szCs w:val="24"/>
              </w:rPr>
            </w:pPr>
            <w:r>
              <w:rPr>
                <w:rFonts w:eastAsia="Times New Roman"/>
                <w:sz w:val="24"/>
                <w:szCs w:val="24"/>
              </w:rPr>
              <w:t>10</w:t>
            </w:r>
          </w:p>
        </w:tc>
        <w:tc>
          <w:tcPr>
            <w:tcW w:w="2160" w:type="dxa"/>
            <w:vAlign w:val="center"/>
          </w:tcPr>
          <w:p w14:paraId="2819E0FD" w14:textId="77777777" w:rsidR="006323DB" w:rsidRDefault="006323DB" w:rsidP="006323DB">
            <w:pPr>
              <w:jc w:val="center"/>
              <w:rPr>
                <w:sz w:val="20"/>
                <w:szCs w:val="20"/>
              </w:rPr>
            </w:pPr>
            <w:r>
              <w:rPr>
                <w:rFonts w:eastAsia="Times New Roman"/>
                <w:sz w:val="24"/>
                <w:szCs w:val="24"/>
              </w:rPr>
              <w:t>5</w:t>
            </w:r>
          </w:p>
        </w:tc>
        <w:tc>
          <w:tcPr>
            <w:tcW w:w="20" w:type="dxa"/>
            <w:vAlign w:val="bottom"/>
          </w:tcPr>
          <w:p w14:paraId="2819E0FE" w14:textId="77777777" w:rsidR="006323DB" w:rsidRDefault="006323DB">
            <w:pPr>
              <w:rPr>
                <w:sz w:val="24"/>
                <w:szCs w:val="24"/>
              </w:rPr>
            </w:pPr>
          </w:p>
        </w:tc>
      </w:tr>
      <w:tr w:rsidR="006323DB" w14:paraId="2819E106" w14:textId="77777777" w:rsidTr="006323DB">
        <w:trPr>
          <w:trHeight w:val="312"/>
        </w:trPr>
        <w:tc>
          <w:tcPr>
            <w:tcW w:w="2540" w:type="dxa"/>
            <w:vAlign w:val="center"/>
          </w:tcPr>
          <w:p w14:paraId="2819E101" w14:textId="7B0B37C9" w:rsidR="006323DB" w:rsidRDefault="006323DB" w:rsidP="00180DEE">
            <w:pPr>
              <w:jc w:val="center"/>
              <w:rPr>
                <w:sz w:val="24"/>
                <w:szCs w:val="24"/>
              </w:rPr>
            </w:pPr>
            <w:r>
              <w:rPr>
                <w:rFonts w:ascii="Arial" w:eastAsia="Arial" w:hAnsi="Arial" w:cs="Arial"/>
                <w:sz w:val="24"/>
                <w:szCs w:val="24"/>
              </w:rPr>
              <w:t>≤</w:t>
            </w:r>
            <w:r>
              <w:rPr>
                <w:rFonts w:eastAsia="Times New Roman"/>
                <w:sz w:val="24"/>
                <w:szCs w:val="24"/>
              </w:rPr>
              <w:t>100</w:t>
            </w:r>
          </w:p>
        </w:tc>
        <w:tc>
          <w:tcPr>
            <w:tcW w:w="3020" w:type="dxa"/>
            <w:vAlign w:val="center"/>
          </w:tcPr>
          <w:p w14:paraId="2819E103" w14:textId="5A63C954" w:rsidR="006323DB" w:rsidRDefault="006323DB" w:rsidP="006323DB">
            <w:pPr>
              <w:jc w:val="center"/>
              <w:rPr>
                <w:sz w:val="24"/>
                <w:szCs w:val="24"/>
              </w:rPr>
            </w:pPr>
            <w:r>
              <w:rPr>
                <w:rFonts w:eastAsia="Times New Roman"/>
                <w:sz w:val="24"/>
                <w:szCs w:val="24"/>
              </w:rPr>
              <w:t>5</w:t>
            </w:r>
          </w:p>
        </w:tc>
        <w:tc>
          <w:tcPr>
            <w:tcW w:w="2160" w:type="dxa"/>
            <w:vAlign w:val="center"/>
          </w:tcPr>
          <w:p w14:paraId="2819E104" w14:textId="77777777" w:rsidR="006323DB" w:rsidRDefault="006323DB" w:rsidP="006323DB">
            <w:pPr>
              <w:jc w:val="center"/>
              <w:rPr>
                <w:sz w:val="20"/>
                <w:szCs w:val="20"/>
              </w:rPr>
            </w:pPr>
            <w:r>
              <w:rPr>
                <w:rFonts w:eastAsia="Times New Roman"/>
                <w:sz w:val="24"/>
                <w:szCs w:val="24"/>
              </w:rPr>
              <w:t>5</w:t>
            </w:r>
          </w:p>
        </w:tc>
        <w:tc>
          <w:tcPr>
            <w:tcW w:w="20" w:type="dxa"/>
            <w:vAlign w:val="bottom"/>
          </w:tcPr>
          <w:p w14:paraId="2819E105" w14:textId="77777777" w:rsidR="006323DB" w:rsidRDefault="006323DB">
            <w:pPr>
              <w:rPr>
                <w:sz w:val="24"/>
                <w:szCs w:val="24"/>
              </w:rPr>
            </w:pPr>
          </w:p>
        </w:tc>
      </w:tr>
    </w:tbl>
    <w:p w14:paraId="2819E107" w14:textId="77777777" w:rsidR="004647B9" w:rsidRPr="00AC1655" w:rsidRDefault="004647B9" w:rsidP="00AC1655">
      <w:pPr>
        <w:rPr>
          <w:sz w:val="24"/>
          <w:szCs w:val="24"/>
        </w:rPr>
      </w:pPr>
    </w:p>
    <w:p w14:paraId="2819E108" w14:textId="77777777" w:rsidR="004647B9" w:rsidRDefault="00E2436F" w:rsidP="00563A54">
      <w:pPr>
        <w:numPr>
          <w:ilvl w:val="0"/>
          <w:numId w:val="194"/>
        </w:numPr>
        <w:tabs>
          <w:tab w:val="left" w:pos="2020"/>
        </w:tabs>
        <w:ind w:left="2020" w:hanging="465"/>
        <w:rPr>
          <w:rFonts w:eastAsia="Times New Roman"/>
          <w:sz w:val="24"/>
          <w:szCs w:val="24"/>
        </w:rPr>
      </w:pPr>
      <w:r>
        <w:rPr>
          <w:rFonts w:eastAsia="Times New Roman"/>
          <w:sz w:val="24"/>
          <w:szCs w:val="24"/>
          <w:u w:val="single"/>
        </w:rPr>
        <w:t>Timing of Monitoring</w:t>
      </w:r>
    </w:p>
    <w:p w14:paraId="2819E10A" w14:textId="77777777" w:rsidR="004647B9" w:rsidRDefault="00E2436F" w:rsidP="00563A54">
      <w:pPr>
        <w:numPr>
          <w:ilvl w:val="1"/>
          <w:numId w:val="194"/>
        </w:numPr>
        <w:tabs>
          <w:tab w:val="left" w:pos="2244"/>
        </w:tabs>
        <w:spacing w:line="246" w:lineRule="auto"/>
        <w:ind w:left="1920" w:hanging="5"/>
        <w:rPr>
          <w:rFonts w:eastAsia="Times New Roman"/>
          <w:sz w:val="24"/>
          <w:szCs w:val="24"/>
        </w:rPr>
      </w:pPr>
      <w:r>
        <w:rPr>
          <w:rFonts w:eastAsia="Times New Roman"/>
          <w:sz w:val="24"/>
          <w:szCs w:val="24"/>
          <w:u w:val="single"/>
        </w:rPr>
        <w:t>Initial Tap Sampling</w:t>
      </w:r>
      <w:r>
        <w:rPr>
          <w:rFonts w:eastAsia="Times New Roman"/>
          <w:sz w:val="24"/>
          <w:szCs w:val="24"/>
        </w:rPr>
        <w:t>. The first six-month monitoring period for small, medium-size and large systems shall begin on the following dates:</w:t>
      </w:r>
    </w:p>
    <w:p w14:paraId="2819E10B" w14:textId="77777777" w:rsidR="004647B9" w:rsidRPr="00AC1655" w:rsidRDefault="004647B9" w:rsidP="00AC1655">
      <w:pPr>
        <w:spacing w:line="240" w:lineRule="exact"/>
        <w:rPr>
          <w:sz w:val="24"/>
          <w:szCs w:val="24"/>
        </w:rPr>
      </w:pPr>
    </w:p>
    <w:tbl>
      <w:tblPr>
        <w:tblW w:w="0" w:type="auto"/>
        <w:tblInd w:w="2020" w:type="dxa"/>
        <w:tblLayout w:type="fixed"/>
        <w:tblCellMar>
          <w:left w:w="0" w:type="dxa"/>
          <w:right w:w="0" w:type="dxa"/>
        </w:tblCellMar>
        <w:tblLook w:val="04A0" w:firstRow="1" w:lastRow="0" w:firstColumn="1" w:lastColumn="0" w:noHBand="0" w:noVBand="1"/>
      </w:tblPr>
      <w:tblGrid>
        <w:gridCol w:w="4320"/>
        <w:gridCol w:w="2840"/>
      </w:tblGrid>
      <w:tr w:rsidR="004647B9" w14:paraId="2819E10E" w14:textId="77777777" w:rsidTr="006323DB">
        <w:trPr>
          <w:trHeight w:val="278"/>
        </w:trPr>
        <w:tc>
          <w:tcPr>
            <w:tcW w:w="4320" w:type="dxa"/>
            <w:vAlign w:val="center"/>
          </w:tcPr>
          <w:p w14:paraId="2819E10C" w14:textId="77777777" w:rsidR="004647B9" w:rsidRDefault="00E2436F" w:rsidP="006323DB">
            <w:pPr>
              <w:jc w:val="center"/>
              <w:rPr>
                <w:sz w:val="20"/>
                <w:szCs w:val="20"/>
              </w:rPr>
            </w:pPr>
            <w:r>
              <w:rPr>
                <w:rFonts w:eastAsia="Times New Roman"/>
                <w:sz w:val="24"/>
                <w:szCs w:val="24"/>
              </w:rPr>
              <w:t>System Size</w:t>
            </w:r>
          </w:p>
        </w:tc>
        <w:tc>
          <w:tcPr>
            <w:tcW w:w="2840" w:type="dxa"/>
            <w:vAlign w:val="center"/>
          </w:tcPr>
          <w:p w14:paraId="2819E10D" w14:textId="77777777" w:rsidR="004647B9" w:rsidRDefault="00E2436F" w:rsidP="006323DB">
            <w:pPr>
              <w:jc w:val="center"/>
              <w:rPr>
                <w:sz w:val="20"/>
                <w:szCs w:val="20"/>
              </w:rPr>
            </w:pPr>
            <w:r>
              <w:rPr>
                <w:rFonts w:eastAsia="Times New Roman"/>
                <w:sz w:val="24"/>
                <w:szCs w:val="24"/>
              </w:rPr>
              <w:t>First Six-month</w:t>
            </w:r>
          </w:p>
        </w:tc>
      </w:tr>
      <w:tr w:rsidR="004647B9" w14:paraId="2819E111" w14:textId="77777777" w:rsidTr="006323DB">
        <w:trPr>
          <w:trHeight w:val="275"/>
        </w:trPr>
        <w:tc>
          <w:tcPr>
            <w:tcW w:w="4320" w:type="dxa"/>
            <w:vAlign w:val="bottom"/>
          </w:tcPr>
          <w:p w14:paraId="2819E10F" w14:textId="77777777" w:rsidR="004647B9" w:rsidRPr="006323DB" w:rsidRDefault="00E2436F" w:rsidP="006323DB">
            <w:pPr>
              <w:jc w:val="center"/>
              <w:rPr>
                <w:sz w:val="20"/>
                <w:szCs w:val="20"/>
                <w:u w:val="single"/>
              </w:rPr>
            </w:pPr>
            <w:r w:rsidRPr="006323DB">
              <w:rPr>
                <w:rFonts w:eastAsia="Times New Roman"/>
                <w:w w:val="99"/>
                <w:sz w:val="24"/>
                <w:szCs w:val="24"/>
                <w:u w:val="single"/>
              </w:rPr>
              <w:t>(No. People Served)</w:t>
            </w:r>
          </w:p>
        </w:tc>
        <w:tc>
          <w:tcPr>
            <w:tcW w:w="2840" w:type="dxa"/>
            <w:vAlign w:val="center"/>
          </w:tcPr>
          <w:p w14:paraId="2819E110" w14:textId="77777777" w:rsidR="004647B9" w:rsidRPr="006323DB" w:rsidRDefault="00E2436F" w:rsidP="006323DB">
            <w:pPr>
              <w:jc w:val="center"/>
              <w:rPr>
                <w:sz w:val="20"/>
                <w:szCs w:val="20"/>
                <w:u w:val="single"/>
              </w:rPr>
            </w:pPr>
            <w:r w:rsidRPr="006323DB">
              <w:rPr>
                <w:rFonts w:eastAsia="Times New Roman"/>
                <w:w w:val="99"/>
                <w:sz w:val="24"/>
                <w:szCs w:val="24"/>
                <w:u w:val="single"/>
              </w:rPr>
              <w:t>Monitoring Period Begins On</w:t>
            </w:r>
          </w:p>
        </w:tc>
      </w:tr>
      <w:tr w:rsidR="006323DB" w14:paraId="2819E115" w14:textId="77777777" w:rsidTr="006323DB">
        <w:trPr>
          <w:trHeight w:val="264"/>
        </w:trPr>
        <w:tc>
          <w:tcPr>
            <w:tcW w:w="4320" w:type="dxa"/>
            <w:vAlign w:val="center"/>
          </w:tcPr>
          <w:p w14:paraId="2819E113" w14:textId="22E4CC35" w:rsidR="006323DB" w:rsidRDefault="006323DB" w:rsidP="006323DB">
            <w:pPr>
              <w:jc w:val="center"/>
            </w:pPr>
            <w:r>
              <w:rPr>
                <w:rFonts w:eastAsia="Times New Roman"/>
                <w:sz w:val="24"/>
                <w:szCs w:val="24"/>
              </w:rPr>
              <w:t>&gt;50,000</w:t>
            </w:r>
          </w:p>
        </w:tc>
        <w:tc>
          <w:tcPr>
            <w:tcW w:w="2840" w:type="dxa"/>
            <w:vAlign w:val="center"/>
          </w:tcPr>
          <w:p w14:paraId="2819E114" w14:textId="77777777" w:rsidR="006323DB" w:rsidRDefault="006323DB" w:rsidP="006323DB">
            <w:pPr>
              <w:spacing w:line="264" w:lineRule="exact"/>
              <w:jc w:val="center"/>
              <w:rPr>
                <w:sz w:val="20"/>
                <w:szCs w:val="20"/>
              </w:rPr>
            </w:pPr>
            <w:r>
              <w:rPr>
                <w:rFonts w:eastAsia="Times New Roman"/>
                <w:sz w:val="24"/>
                <w:szCs w:val="24"/>
              </w:rPr>
              <w:t>January 1, 1992</w:t>
            </w:r>
          </w:p>
        </w:tc>
      </w:tr>
      <w:tr w:rsidR="004647B9" w14:paraId="2819E118" w14:textId="77777777" w:rsidTr="006323DB">
        <w:trPr>
          <w:trHeight w:val="281"/>
        </w:trPr>
        <w:tc>
          <w:tcPr>
            <w:tcW w:w="4320" w:type="dxa"/>
            <w:vAlign w:val="bottom"/>
          </w:tcPr>
          <w:p w14:paraId="2819E116" w14:textId="77777777" w:rsidR="004647B9" w:rsidRDefault="00E2436F" w:rsidP="006323DB">
            <w:pPr>
              <w:jc w:val="center"/>
              <w:rPr>
                <w:sz w:val="20"/>
                <w:szCs w:val="20"/>
              </w:rPr>
            </w:pPr>
            <w:r>
              <w:rPr>
                <w:rFonts w:eastAsia="Times New Roman"/>
                <w:sz w:val="24"/>
                <w:szCs w:val="24"/>
              </w:rPr>
              <w:t>3,301 to 50,000</w:t>
            </w:r>
          </w:p>
        </w:tc>
        <w:tc>
          <w:tcPr>
            <w:tcW w:w="2840" w:type="dxa"/>
            <w:vAlign w:val="center"/>
          </w:tcPr>
          <w:p w14:paraId="2819E117" w14:textId="77777777" w:rsidR="004647B9" w:rsidRDefault="00E2436F" w:rsidP="006323DB">
            <w:pPr>
              <w:jc w:val="center"/>
              <w:rPr>
                <w:sz w:val="20"/>
                <w:szCs w:val="20"/>
              </w:rPr>
            </w:pPr>
            <w:r>
              <w:rPr>
                <w:rFonts w:eastAsia="Times New Roman"/>
                <w:sz w:val="24"/>
                <w:szCs w:val="24"/>
              </w:rPr>
              <w:t>July 1, 1992</w:t>
            </w:r>
          </w:p>
        </w:tc>
      </w:tr>
      <w:tr w:rsidR="006323DB" w14:paraId="2819E11C" w14:textId="77777777" w:rsidTr="006323DB">
        <w:trPr>
          <w:trHeight w:val="312"/>
        </w:trPr>
        <w:tc>
          <w:tcPr>
            <w:tcW w:w="4320" w:type="dxa"/>
            <w:vAlign w:val="center"/>
          </w:tcPr>
          <w:p w14:paraId="2819E11A" w14:textId="0445FA77" w:rsidR="006323DB" w:rsidRDefault="006323DB" w:rsidP="006323DB">
            <w:pPr>
              <w:jc w:val="center"/>
              <w:rPr>
                <w:sz w:val="24"/>
                <w:szCs w:val="24"/>
              </w:rPr>
            </w:pPr>
            <w:r>
              <w:rPr>
                <w:rFonts w:ascii="Arial" w:eastAsia="Arial" w:hAnsi="Arial" w:cs="Arial"/>
                <w:sz w:val="24"/>
                <w:szCs w:val="24"/>
              </w:rPr>
              <w:t>≤</w:t>
            </w:r>
            <w:r>
              <w:rPr>
                <w:rFonts w:eastAsia="Times New Roman"/>
                <w:sz w:val="24"/>
                <w:szCs w:val="24"/>
              </w:rPr>
              <w:t>3,300</w:t>
            </w:r>
          </w:p>
        </w:tc>
        <w:tc>
          <w:tcPr>
            <w:tcW w:w="2840" w:type="dxa"/>
            <w:vAlign w:val="center"/>
          </w:tcPr>
          <w:p w14:paraId="2819E11B" w14:textId="77777777" w:rsidR="006323DB" w:rsidRDefault="006323DB" w:rsidP="006323DB">
            <w:pPr>
              <w:jc w:val="center"/>
              <w:rPr>
                <w:sz w:val="20"/>
                <w:szCs w:val="20"/>
              </w:rPr>
            </w:pPr>
            <w:r>
              <w:rPr>
                <w:rFonts w:eastAsia="Times New Roman"/>
                <w:sz w:val="24"/>
                <w:szCs w:val="24"/>
              </w:rPr>
              <w:t>July 1, 1993</w:t>
            </w:r>
          </w:p>
        </w:tc>
      </w:tr>
    </w:tbl>
    <w:p w14:paraId="2819E11D" w14:textId="77777777" w:rsidR="004647B9" w:rsidRPr="00AC1655" w:rsidRDefault="004647B9" w:rsidP="00AC1655">
      <w:pPr>
        <w:rPr>
          <w:sz w:val="24"/>
          <w:szCs w:val="24"/>
        </w:rPr>
      </w:pPr>
    </w:p>
    <w:p w14:paraId="2819E11E" w14:textId="77777777" w:rsidR="004647B9" w:rsidRDefault="00E2436F" w:rsidP="00563A54">
      <w:pPr>
        <w:numPr>
          <w:ilvl w:val="1"/>
          <w:numId w:val="195"/>
        </w:numPr>
        <w:tabs>
          <w:tab w:val="left" w:pos="2620"/>
        </w:tabs>
        <w:ind w:left="2620" w:hanging="345"/>
        <w:rPr>
          <w:rFonts w:eastAsia="Times New Roman"/>
          <w:sz w:val="24"/>
          <w:szCs w:val="24"/>
        </w:rPr>
      </w:pPr>
      <w:r>
        <w:rPr>
          <w:rFonts w:eastAsia="Times New Roman"/>
          <w:sz w:val="24"/>
          <w:szCs w:val="24"/>
        </w:rPr>
        <w:t>All large systems shall monitor during two consecutive six-month periods.</w:t>
      </w:r>
    </w:p>
    <w:p w14:paraId="2819E120" w14:textId="77777777" w:rsidR="004647B9" w:rsidRDefault="00E2436F" w:rsidP="00563A54">
      <w:pPr>
        <w:numPr>
          <w:ilvl w:val="1"/>
          <w:numId w:val="195"/>
        </w:numPr>
        <w:tabs>
          <w:tab w:val="left" w:pos="2791"/>
        </w:tabs>
        <w:spacing w:line="243" w:lineRule="auto"/>
        <w:ind w:left="2280" w:hanging="5"/>
        <w:rPr>
          <w:rFonts w:eastAsia="Times New Roman"/>
          <w:sz w:val="24"/>
          <w:szCs w:val="24"/>
        </w:rPr>
      </w:pPr>
      <w:r>
        <w:rPr>
          <w:rFonts w:eastAsia="Times New Roman"/>
          <w:sz w:val="24"/>
          <w:szCs w:val="24"/>
        </w:rPr>
        <w:t>All small and medium-size systems shall monitor during each six-month monitoring period until:</w:t>
      </w:r>
    </w:p>
    <w:p w14:paraId="2819E121" w14:textId="77777777" w:rsidR="004647B9" w:rsidRDefault="00E2436F" w:rsidP="00563A54">
      <w:pPr>
        <w:numPr>
          <w:ilvl w:val="2"/>
          <w:numId w:val="195"/>
        </w:numPr>
        <w:tabs>
          <w:tab w:val="left" w:pos="3046"/>
        </w:tabs>
        <w:spacing w:line="243" w:lineRule="auto"/>
        <w:ind w:left="2640" w:hanging="5"/>
        <w:jc w:val="both"/>
        <w:rPr>
          <w:rFonts w:eastAsia="Times New Roman"/>
          <w:sz w:val="24"/>
          <w:szCs w:val="24"/>
        </w:rPr>
      </w:pPr>
      <w:r>
        <w:rPr>
          <w:rFonts w:eastAsia="Times New Roman"/>
          <w:sz w:val="24"/>
          <w:szCs w:val="24"/>
        </w:rPr>
        <w:t>the system exceeds the lead or copper action level and is therefore required to implement the corrosion control treatment requirements under 310 CMR 22.06B(2), in which case the system shall continue monitoring in accordance with 310 CMR 22.06B(7)(d)2., or</w:t>
      </w:r>
    </w:p>
    <w:p w14:paraId="2819E122" w14:textId="77777777" w:rsidR="004647B9" w:rsidRDefault="00E2436F" w:rsidP="00563A54">
      <w:pPr>
        <w:numPr>
          <w:ilvl w:val="2"/>
          <w:numId w:val="195"/>
        </w:numPr>
        <w:tabs>
          <w:tab w:val="left" w:pos="3110"/>
        </w:tabs>
        <w:spacing w:line="242" w:lineRule="auto"/>
        <w:ind w:left="2640" w:hanging="5"/>
        <w:jc w:val="both"/>
        <w:rPr>
          <w:rFonts w:eastAsia="Times New Roman"/>
          <w:sz w:val="24"/>
          <w:szCs w:val="24"/>
        </w:rPr>
      </w:pPr>
      <w:r>
        <w:rPr>
          <w:rFonts w:eastAsia="Times New Roman"/>
          <w:sz w:val="24"/>
          <w:szCs w:val="24"/>
        </w:rPr>
        <w:t>the system meets the lead and copper action levels during two consecutive six-month monitoring periods, in which case the system may reduce monitoring in accordance with 310 CMR 22.06B(7)(d)4.</w:t>
      </w:r>
    </w:p>
    <w:p w14:paraId="2819E124" w14:textId="77777777" w:rsidR="004647B9" w:rsidRDefault="00E2436F" w:rsidP="00563A54">
      <w:pPr>
        <w:numPr>
          <w:ilvl w:val="0"/>
          <w:numId w:val="196"/>
        </w:numPr>
        <w:tabs>
          <w:tab w:val="left" w:pos="2280"/>
        </w:tabs>
        <w:ind w:left="2280" w:hanging="365"/>
        <w:rPr>
          <w:rFonts w:eastAsia="Times New Roman"/>
          <w:sz w:val="24"/>
          <w:szCs w:val="24"/>
        </w:rPr>
      </w:pPr>
      <w:r>
        <w:rPr>
          <w:rFonts w:eastAsia="Times New Roman"/>
          <w:sz w:val="24"/>
          <w:szCs w:val="24"/>
          <w:u w:val="single"/>
        </w:rPr>
        <w:t>Monitoring after Installation of Corrosion Control and Source Water Treatment</w:t>
      </w:r>
      <w:r>
        <w:rPr>
          <w:rFonts w:eastAsia="Times New Roman"/>
          <w:sz w:val="24"/>
          <w:szCs w:val="24"/>
        </w:rPr>
        <w:t>.</w:t>
      </w:r>
    </w:p>
    <w:p w14:paraId="2819E126" w14:textId="77777777" w:rsidR="004647B9" w:rsidRDefault="00E2436F" w:rsidP="00563A54">
      <w:pPr>
        <w:numPr>
          <w:ilvl w:val="1"/>
          <w:numId w:val="196"/>
        </w:numPr>
        <w:tabs>
          <w:tab w:val="left" w:pos="2612"/>
        </w:tabs>
        <w:spacing w:line="244" w:lineRule="auto"/>
        <w:ind w:left="2280" w:hanging="5"/>
        <w:jc w:val="both"/>
        <w:rPr>
          <w:rFonts w:eastAsia="Times New Roman"/>
          <w:sz w:val="24"/>
          <w:szCs w:val="24"/>
        </w:rPr>
      </w:pPr>
      <w:r>
        <w:rPr>
          <w:rFonts w:eastAsia="Times New Roman"/>
          <w:sz w:val="24"/>
          <w:szCs w:val="24"/>
        </w:rPr>
        <w:t>Any large system which installs optimal corrosion control treatment pursuant to 310 CMR 22.06B(2)(d)4. shall monitor during two consecutive six-month monitoring periods by the date specified in 310 CMR 22.06B(2)(d)5.</w:t>
      </w:r>
    </w:p>
    <w:p w14:paraId="2819E127" w14:textId="77777777" w:rsidR="004647B9" w:rsidRDefault="004647B9">
      <w:pPr>
        <w:sectPr w:rsidR="004647B9" w:rsidSect="00EF630C">
          <w:pgSz w:w="12240" w:h="20180"/>
          <w:pgMar w:top="708" w:right="1440" w:bottom="1440" w:left="600" w:header="0" w:footer="0" w:gutter="0"/>
          <w:cols w:space="720" w:equalWidth="0">
            <w:col w:w="10200"/>
          </w:cols>
        </w:sectPr>
      </w:pPr>
    </w:p>
    <w:p w14:paraId="2819E128" w14:textId="77777777" w:rsidR="004647B9" w:rsidRPr="00A82D5A" w:rsidRDefault="00E2436F" w:rsidP="00A82D5A">
      <w:pPr>
        <w:tabs>
          <w:tab w:val="left" w:pos="160"/>
        </w:tabs>
        <w:jc w:val="center"/>
        <w:rPr>
          <w:sz w:val="24"/>
          <w:szCs w:val="24"/>
        </w:rPr>
      </w:pPr>
      <w:bookmarkStart w:id="77" w:name="page78"/>
      <w:bookmarkEnd w:id="77"/>
      <w:r w:rsidRPr="00A82D5A">
        <w:rPr>
          <w:rFonts w:eastAsia="Times New Roman"/>
          <w:sz w:val="24"/>
          <w:szCs w:val="24"/>
        </w:rPr>
        <w:lastRenderedPageBreak/>
        <w:t>310 CMR:</w:t>
      </w:r>
      <w:r w:rsidRPr="00A82D5A">
        <w:rPr>
          <w:sz w:val="24"/>
          <w:szCs w:val="24"/>
        </w:rPr>
        <w:tab/>
      </w:r>
      <w:r w:rsidRPr="00A82D5A">
        <w:rPr>
          <w:rFonts w:eastAsia="Times New Roman"/>
          <w:sz w:val="24"/>
          <w:szCs w:val="24"/>
        </w:rPr>
        <w:t>DEPARTMENT OF ENVIRONMENTAL PROTECTION</w:t>
      </w:r>
    </w:p>
    <w:p w14:paraId="2819E129" w14:textId="77777777" w:rsidR="004647B9" w:rsidRPr="00AC1655" w:rsidRDefault="004647B9" w:rsidP="00AC1655">
      <w:pPr>
        <w:rPr>
          <w:sz w:val="20"/>
          <w:szCs w:val="20"/>
        </w:rPr>
      </w:pPr>
    </w:p>
    <w:p w14:paraId="2819E12A" w14:textId="77777777" w:rsidR="004647B9" w:rsidRPr="00AC1655" w:rsidRDefault="004647B9" w:rsidP="00AC1655">
      <w:pPr>
        <w:rPr>
          <w:sz w:val="20"/>
          <w:szCs w:val="20"/>
        </w:rPr>
      </w:pPr>
    </w:p>
    <w:p w14:paraId="2819E12B" w14:textId="77777777" w:rsidR="004647B9" w:rsidRPr="00A82D5A" w:rsidRDefault="00E2436F" w:rsidP="00A82D5A">
      <w:pPr>
        <w:tabs>
          <w:tab w:val="left" w:pos="920"/>
        </w:tabs>
        <w:rPr>
          <w:sz w:val="24"/>
          <w:szCs w:val="24"/>
        </w:rPr>
      </w:pPr>
      <w:r w:rsidRPr="00A82D5A">
        <w:rPr>
          <w:rFonts w:eastAsia="Times New Roman"/>
          <w:sz w:val="24"/>
          <w:szCs w:val="24"/>
        </w:rPr>
        <w:t>22.06B:</w:t>
      </w:r>
      <w:r w:rsidRPr="00A82D5A">
        <w:rPr>
          <w:rFonts w:eastAsia="Times New Roman"/>
          <w:sz w:val="24"/>
          <w:szCs w:val="24"/>
        </w:rPr>
        <w:tab/>
        <w:t>continued</w:t>
      </w:r>
    </w:p>
    <w:p w14:paraId="2819E12C" w14:textId="77777777" w:rsidR="004647B9" w:rsidRPr="00AC1655" w:rsidRDefault="004647B9" w:rsidP="00AC1655">
      <w:pPr>
        <w:rPr>
          <w:sz w:val="20"/>
          <w:szCs w:val="20"/>
        </w:rPr>
      </w:pPr>
    </w:p>
    <w:p w14:paraId="2819E12D" w14:textId="77777777" w:rsidR="004647B9" w:rsidRPr="00A82D5A" w:rsidRDefault="00E2436F" w:rsidP="00563A54">
      <w:pPr>
        <w:numPr>
          <w:ilvl w:val="1"/>
          <w:numId w:val="197"/>
        </w:numPr>
        <w:tabs>
          <w:tab w:val="left" w:pos="2741"/>
        </w:tabs>
        <w:ind w:left="2280" w:hanging="5"/>
        <w:jc w:val="both"/>
        <w:rPr>
          <w:rFonts w:eastAsia="Times New Roman"/>
          <w:sz w:val="24"/>
          <w:szCs w:val="24"/>
        </w:rPr>
      </w:pPr>
      <w:r w:rsidRPr="00A82D5A">
        <w:rPr>
          <w:rFonts w:eastAsia="Times New Roman"/>
          <w:sz w:val="24"/>
          <w:szCs w:val="24"/>
        </w:rPr>
        <w:t>Any small or medium-size system which installs optimal corrosion control treatment pursuant to 310 CMR 22.06B(2)(e)5. shall monitor during two consecutive six-month monitoring periods by the date specified in 310 CMR 22.06B(2)(e)6.</w:t>
      </w:r>
    </w:p>
    <w:p w14:paraId="2819E12F" w14:textId="77777777" w:rsidR="004647B9" w:rsidRPr="00A82D5A" w:rsidRDefault="00E2436F" w:rsidP="00563A54">
      <w:pPr>
        <w:numPr>
          <w:ilvl w:val="1"/>
          <w:numId w:val="197"/>
        </w:numPr>
        <w:tabs>
          <w:tab w:val="left" w:pos="2778"/>
        </w:tabs>
        <w:ind w:left="2280" w:hanging="5"/>
        <w:jc w:val="both"/>
        <w:rPr>
          <w:rFonts w:eastAsia="Times New Roman"/>
          <w:sz w:val="24"/>
          <w:szCs w:val="24"/>
        </w:rPr>
      </w:pPr>
      <w:r w:rsidRPr="00A82D5A">
        <w:rPr>
          <w:rFonts w:eastAsia="Times New Roman"/>
          <w:sz w:val="24"/>
          <w:szCs w:val="24"/>
        </w:rPr>
        <w:t>Any system which installs source water treatment pursuant to 310 CMR 22.06B(4)(a)3. shall monitor during two consecutive six-month monitoring periods by the date specified in 310 CMR 22.06B(4)(a)4.</w:t>
      </w:r>
    </w:p>
    <w:p w14:paraId="2819E131" w14:textId="198CD98A" w:rsidR="004647B9" w:rsidRPr="00A82D5A" w:rsidRDefault="00E2436F" w:rsidP="00563A54">
      <w:pPr>
        <w:numPr>
          <w:ilvl w:val="0"/>
          <w:numId w:val="198"/>
        </w:numPr>
        <w:tabs>
          <w:tab w:val="left" w:pos="2244"/>
        </w:tabs>
        <w:ind w:left="1920" w:hanging="5"/>
        <w:jc w:val="both"/>
        <w:rPr>
          <w:rFonts w:eastAsia="Times New Roman"/>
          <w:sz w:val="24"/>
          <w:szCs w:val="24"/>
        </w:rPr>
      </w:pPr>
      <w:r w:rsidRPr="004D59E2">
        <w:rPr>
          <w:rFonts w:eastAsia="Times New Roman"/>
          <w:sz w:val="24"/>
          <w:szCs w:val="24"/>
          <w:u w:val="single"/>
        </w:rPr>
        <w:t>Monitoring</w:t>
      </w:r>
      <w:r w:rsidRPr="00A82D5A">
        <w:rPr>
          <w:rFonts w:eastAsia="Times New Roman"/>
          <w:sz w:val="24"/>
          <w:szCs w:val="24"/>
          <w:u w:val="single"/>
        </w:rPr>
        <w:t xml:space="preserve"> after Department Specifies Water Quality Parameter Values for Optimal Corrosion Control</w:t>
      </w:r>
      <w:r w:rsidRPr="00A82D5A">
        <w:rPr>
          <w:rFonts w:eastAsia="Times New Roman"/>
          <w:sz w:val="24"/>
          <w:szCs w:val="24"/>
        </w:rPr>
        <w:t>. After the Department specifies the values for water quality control parameters under 310 CMR 22.06</w:t>
      </w:r>
      <w:r w:rsidR="00FF03DA">
        <w:rPr>
          <w:rFonts w:eastAsia="Times New Roman"/>
          <w:sz w:val="24"/>
          <w:szCs w:val="24"/>
        </w:rPr>
        <w:t>B</w:t>
      </w:r>
      <w:r w:rsidRPr="00A82D5A">
        <w:rPr>
          <w:rFonts w:eastAsia="Times New Roman"/>
          <w:sz w:val="24"/>
          <w:szCs w:val="24"/>
        </w:rPr>
        <w:t xml:space="preserve">(3)(f), </w:t>
      </w:r>
      <w:r w:rsidR="005E64FD">
        <w:rPr>
          <w:rFonts w:eastAsia="Times New Roman"/>
          <w:sz w:val="24"/>
          <w:szCs w:val="24"/>
        </w:rPr>
        <w:t xml:space="preserve">the </w:t>
      </w:r>
      <w:r w:rsidRPr="00A82D5A">
        <w:rPr>
          <w:rFonts w:eastAsia="Times New Roman"/>
          <w:sz w:val="24"/>
          <w:szCs w:val="24"/>
        </w:rPr>
        <w:t>system shall monitor during each subsequent six-month monitoring period, with the first monitoring period to begin on the date the Department specifies the optimal values under 310 CMR 22.06B(3)(f).</w:t>
      </w:r>
    </w:p>
    <w:p w14:paraId="2819E133" w14:textId="77777777" w:rsidR="004647B9" w:rsidRPr="00A82D5A" w:rsidRDefault="00E2436F" w:rsidP="00563A54">
      <w:pPr>
        <w:numPr>
          <w:ilvl w:val="0"/>
          <w:numId w:val="198"/>
        </w:numPr>
        <w:tabs>
          <w:tab w:val="left" w:pos="2280"/>
        </w:tabs>
        <w:ind w:left="2280" w:hanging="365"/>
        <w:rPr>
          <w:rFonts w:eastAsia="Times New Roman"/>
          <w:sz w:val="24"/>
          <w:szCs w:val="24"/>
        </w:rPr>
      </w:pPr>
      <w:r w:rsidRPr="00A82D5A">
        <w:rPr>
          <w:rFonts w:eastAsia="Times New Roman"/>
          <w:sz w:val="24"/>
          <w:szCs w:val="24"/>
          <w:u w:val="single"/>
        </w:rPr>
        <w:t>Reduced Monitoring</w:t>
      </w:r>
      <w:r w:rsidRPr="00A82D5A">
        <w:rPr>
          <w:rFonts w:eastAsia="Times New Roman"/>
          <w:sz w:val="24"/>
          <w:szCs w:val="24"/>
        </w:rPr>
        <w:t>.</w:t>
      </w:r>
    </w:p>
    <w:p w14:paraId="2819E135" w14:textId="77777777" w:rsidR="004647B9" w:rsidRPr="00A82D5A" w:rsidRDefault="00E2436F" w:rsidP="00563A54">
      <w:pPr>
        <w:numPr>
          <w:ilvl w:val="1"/>
          <w:numId w:val="198"/>
        </w:numPr>
        <w:tabs>
          <w:tab w:val="left" w:pos="2576"/>
        </w:tabs>
        <w:ind w:left="2280" w:hanging="5"/>
        <w:jc w:val="both"/>
        <w:rPr>
          <w:rFonts w:eastAsia="Times New Roman"/>
          <w:sz w:val="24"/>
          <w:szCs w:val="24"/>
        </w:rPr>
      </w:pPr>
      <w:r w:rsidRPr="004D59E2">
        <w:rPr>
          <w:rFonts w:eastAsia="Times New Roman"/>
          <w:sz w:val="24"/>
          <w:szCs w:val="24"/>
        </w:rPr>
        <w:t>A small or medium-size water system that meets the lead and copper action levels during each of two consecutive six-month monitoring periods</w:t>
      </w:r>
      <w:r w:rsidRPr="00A82D5A">
        <w:rPr>
          <w:rFonts w:eastAsia="Times New Roman"/>
          <w:sz w:val="24"/>
          <w:szCs w:val="24"/>
        </w:rPr>
        <w:t xml:space="preserve"> may reduce the number of samples in accordance with 310 CMR 22.06B(7)(c), and reduce the frequency of lead and copper tap sampling to once per year. A small or medium water system collecting fewer than five samples as specified in 310 CMR 22.06B(7)(c), that meets the lead and copper action levels during each of two consecutive six-month monitoring periods may reduce the frequency of sampling to once per year or other period as specified by the Department. In no case can the system reduce the number of samples required below the minimum of one sample per available tap. This reduced sampling shall begin during the calendar year immediately following the end of the second consecutive six-month monitoring period. In order to reduce its monitoring frequency or sites, the public water system must obtain prior written approval from the Department.</w:t>
      </w:r>
    </w:p>
    <w:p w14:paraId="2819E137" w14:textId="4B824718" w:rsidR="004647B9" w:rsidRPr="00A82D5A" w:rsidRDefault="00E2436F" w:rsidP="00563A54">
      <w:pPr>
        <w:numPr>
          <w:ilvl w:val="1"/>
          <w:numId w:val="198"/>
        </w:numPr>
        <w:tabs>
          <w:tab w:val="left" w:pos="2770"/>
        </w:tabs>
        <w:ind w:left="2280" w:hanging="5"/>
        <w:jc w:val="both"/>
        <w:rPr>
          <w:rFonts w:eastAsia="Times New Roman"/>
          <w:sz w:val="24"/>
          <w:szCs w:val="24"/>
        </w:rPr>
      </w:pPr>
      <w:r w:rsidRPr="004D59E2">
        <w:rPr>
          <w:rFonts w:eastAsia="Times New Roman"/>
          <w:sz w:val="24"/>
          <w:szCs w:val="24"/>
        </w:rPr>
        <w:t>Any water system that meets the lead and copper action levels and maintains the range of values for the water quality control parameters reflecting optimal corrosion control treatment specified by the Department under 310 CMR 22.06B(3)(f) during each of two consecutive six-month monitoring periods</w:t>
      </w:r>
      <w:r w:rsidRPr="00A82D5A">
        <w:rPr>
          <w:rFonts w:eastAsia="Times New Roman"/>
          <w:sz w:val="24"/>
          <w:szCs w:val="24"/>
        </w:rPr>
        <w:t xml:space="preserve"> may reduce the frequency of monitoring for lead and copper to once per year and to reduce the number of lead and copper samples in accordance with 310 CMR 22.06B(7)(c) if it receives written approval from the Department. This sampling shall begin during the calendar year immediately following the end of the second consecutive six-month monitoring period. The Department shall review monitoring, treatment, and other relevant information submitted by the water system in accordance with 310 CMR 22.06(B)(11), and shall notify the system in writing when it determines the system is eligible to commence reduced monitoring pursuant to 310 CMR 22.06B(7)(d)4. The Department shall review, and where appropriate, revise its determination when the system submits new monitoring or treatment data, or when other data relevant to the number and frequency of tap sampling becomes available.</w:t>
      </w:r>
    </w:p>
    <w:p w14:paraId="2819E139" w14:textId="77777777" w:rsidR="004647B9" w:rsidRPr="00A82D5A" w:rsidRDefault="00E2436F" w:rsidP="00563A54">
      <w:pPr>
        <w:numPr>
          <w:ilvl w:val="1"/>
          <w:numId w:val="198"/>
        </w:numPr>
        <w:tabs>
          <w:tab w:val="left" w:pos="2576"/>
        </w:tabs>
        <w:ind w:left="2280" w:hanging="5"/>
        <w:jc w:val="both"/>
        <w:rPr>
          <w:rFonts w:eastAsia="Times New Roman"/>
          <w:sz w:val="24"/>
          <w:szCs w:val="24"/>
        </w:rPr>
      </w:pPr>
      <w:r w:rsidRPr="00A82D5A">
        <w:rPr>
          <w:rFonts w:eastAsia="Times New Roman"/>
          <w:sz w:val="24"/>
          <w:szCs w:val="24"/>
        </w:rPr>
        <w:t>A small or medium-size water system that meets the lead and copper action levels during three consecutive years of monitoring may request in writing the Department's approval to reduce the frequency of monitoring for lead and copper from annually to once every three years. Any large water system that meets the lead and copper action levels and maintains the range of values for the water quality control parameters reflecting optimal corrosion control treatment specified by the Department under 310 CMR 22.06B(3)(f) during three consecutive years of monitoring may reduce the frequency of monitoring for lead and copper from annually to once every three years if it receives written approval from the Department. Samples collected once every three years shall be collected no later than every third calendar year. The Department shall review monitoring, treatment, and other relevant information submitted by the water system in accordance with 310 CMR 22.06B(11) and shall notify the system in writing when it determined the system is eligible to reduce the frequency of monitoring to once every three years. The Department shall review, and where appropriate, revise its determination when the system submits new monitoring or treatment data, or when other data relevant to the number and frequency of tap sampling becomes available.</w:t>
      </w:r>
    </w:p>
    <w:p w14:paraId="2819E13A" w14:textId="77777777" w:rsidR="004647B9" w:rsidRDefault="004647B9">
      <w:pPr>
        <w:sectPr w:rsidR="004647B9" w:rsidSect="00EF630C">
          <w:pgSz w:w="12240" w:h="20180"/>
          <w:pgMar w:top="708" w:right="1440" w:bottom="1440" w:left="600" w:header="0" w:footer="0" w:gutter="0"/>
          <w:cols w:space="720" w:equalWidth="0">
            <w:col w:w="10200"/>
          </w:cols>
        </w:sectPr>
      </w:pPr>
    </w:p>
    <w:p w14:paraId="2819E13B" w14:textId="77777777" w:rsidR="004647B9" w:rsidRDefault="00E2436F">
      <w:pPr>
        <w:tabs>
          <w:tab w:val="left" w:pos="160"/>
        </w:tabs>
        <w:jc w:val="center"/>
        <w:rPr>
          <w:sz w:val="20"/>
          <w:szCs w:val="20"/>
        </w:rPr>
      </w:pPr>
      <w:bookmarkStart w:id="78" w:name="page79"/>
      <w:bookmarkEnd w:id="7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13C" w14:textId="77777777" w:rsidR="004647B9" w:rsidRDefault="004647B9" w:rsidP="00683B24">
      <w:pPr>
        <w:rPr>
          <w:sz w:val="20"/>
          <w:szCs w:val="20"/>
        </w:rPr>
      </w:pPr>
    </w:p>
    <w:p w14:paraId="2819E13D" w14:textId="77777777" w:rsidR="004647B9" w:rsidRDefault="004647B9" w:rsidP="00683B24">
      <w:pPr>
        <w:rPr>
          <w:sz w:val="20"/>
          <w:szCs w:val="20"/>
        </w:rPr>
      </w:pPr>
    </w:p>
    <w:p w14:paraId="2819E13E"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13F" w14:textId="77777777" w:rsidR="004647B9" w:rsidRDefault="004647B9" w:rsidP="00683B24">
      <w:pPr>
        <w:rPr>
          <w:sz w:val="20"/>
          <w:szCs w:val="20"/>
        </w:rPr>
      </w:pPr>
    </w:p>
    <w:p w14:paraId="2819E140" w14:textId="77777777" w:rsidR="004647B9" w:rsidRPr="00581D61" w:rsidRDefault="00E2436F" w:rsidP="00563A54">
      <w:pPr>
        <w:numPr>
          <w:ilvl w:val="0"/>
          <w:numId w:val="199"/>
        </w:numPr>
        <w:tabs>
          <w:tab w:val="left" w:pos="2666"/>
        </w:tabs>
        <w:spacing w:line="258" w:lineRule="auto"/>
        <w:ind w:left="2280" w:hanging="5"/>
        <w:jc w:val="both"/>
        <w:rPr>
          <w:rFonts w:eastAsia="Times New Roman"/>
          <w:sz w:val="24"/>
          <w:szCs w:val="24"/>
        </w:rPr>
      </w:pPr>
      <w:r w:rsidRPr="00581D61">
        <w:rPr>
          <w:rFonts w:eastAsia="Times New Roman"/>
          <w:sz w:val="24"/>
          <w:szCs w:val="24"/>
        </w:rPr>
        <w:t>A water system that reduces the number and frequency of lead and copper tap sampling shall collect these samples from representative sites included in the pool of targeted sampling sites identified in 310 CMR 22.06B(7)(a). Systems sampling annually or less frequently shall conduct the lead and copper tap sampling during the months of June, July, August or September unless the Department has approved a different sampling period in accordance with 310 CMR 22.06B(7)(d)4.d.(i).</w:t>
      </w:r>
    </w:p>
    <w:p w14:paraId="2819E142" w14:textId="77777777" w:rsidR="004647B9" w:rsidRPr="00581D61" w:rsidRDefault="00E2436F" w:rsidP="00563A54">
      <w:pPr>
        <w:numPr>
          <w:ilvl w:val="1"/>
          <w:numId w:val="199"/>
        </w:numPr>
        <w:tabs>
          <w:tab w:val="left" w:pos="3183"/>
        </w:tabs>
        <w:spacing w:line="243" w:lineRule="auto"/>
        <w:ind w:left="2640" w:hanging="5"/>
        <w:jc w:val="both"/>
        <w:rPr>
          <w:rFonts w:eastAsia="Times New Roman"/>
          <w:sz w:val="24"/>
          <w:szCs w:val="24"/>
        </w:rPr>
      </w:pPr>
      <w:r w:rsidRPr="00581D61">
        <w:rPr>
          <w:rFonts w:eastAsia="Times New Roman"/>
          <w:sz w:val="24"/>
          <w:szCs w:val="24"/>
        </w:rPr>
        <w:t>The Department, at its discretion, may approve a different period for conducting the lead and copper tap sampling for systems collecting a reduced number of samples. Such a period shall be no longer than four consecutive months and shall represent a time of normal operation where the highest levels of lead are most likely to occur. For a non-transient non-community water system that does not operate during the months of June through September, and for which the period of normal operation where the highest levels of lead are most likely to occur is not known, the Department shall designate a period that represents a time of normal operation for the system. This sampling shall begin during the period approved or designated by the Department in the calendar year immediately following the end of the second consecutive six-month monitoring period for systems initiating annual monitoring and during the three-year period following the end of the third consecutive calendar year of annual monitoring for systems initiating triennial monitoring.</w:t>
      </w:r>
    </w:p>
    <w:p w14:paraId="2819E144" w14:textId="77777777" w:rsidR="004647B9" w:rsidRPr="00581D61" w:rsidRDefault="00E2436F" w:rsidP="00563A54">
      <w:pPr>
        <w:numPr>
          <w:ilvl w:val="1"/>
          <w:numId w:val="199"/>
        </w:numPr>
        <w:tabs>
          <w:tab w:val="left" w:pos="3092"/>
        </w:tabs>
        <w:spacing w:line="253" w:lineRule="auto"/>
        <w:ind w:left="2640" w:hanging="5"/>
        <w:jc w:val="both"/>
        <w:rPr>
          <w:rFonts w:eastAsia="Times New Roman"/>
          <w:sz w:val="24"/>
          <w:szCs w:val="24"/>
        </w:rPr>
      </w:pPr>
      <w:r w:rsidRPr="00581D61">
        <w:rPr>
          <w:rFonts w:eastAsia="Times New Roman"/>
          <w:sz w:val="24"/>
          <w:szCs w:val="24"/>
        </w:rPr>
        <w:t>Systems monitoring annually, that have been collecting samples during the months of June through September and that receive Department approval to alter their sample collection period under 310 CMR 22.06B(7)(d)4.d.(i), shall collect their next round of samples during a time period that ends no later than 21 months after the previous round of sampling. Systems monitoring triennially that have been collecting samples during the months of June through September, and receive Department approval to alter the sampling collection period as per 310 CMR 22.06B(7)(d)4.d.(i), shall collect their next round of samples during a time period that ends no later than 45 months after the previous round of sampling. Subsequent rounds of sampling shall be collected annually or triennially, as required by 310 CMR 22.06B(7)(d)4.d. Small systems with waivers, granted pursuant to 310 CMR 22.06B(7)(g), that have been collecting samples during the months of June through September and choose to alter their sample collection period under 310 CMR 22.06B(7)(d)4.d.(i) shall collect their next round of samples before the end of the nine-year period.</w:t>
      </w:r>
    </w:p>
    <w:p w14:paraId="2819E146" w14:textId="77777777" w:rsidR="004647B9" w:rsidRDefault="00E2436F" w:rsidP="00563A54">
      <w:pPr>
        <w:numPr>
          <w:ilvl w:val="0"/>
          <w:numId w:val="199"/>
        </w:numPr>
        <w:tabs>
          <w:tab w:val="left" w:pos="2633"/>
        </w:tabs>
        <w:spacing w:line="243" w:lineRule="auto"/>
        <w:ind w:left="2280" w:hanging="5"/>
        <w:jc w:val="both"/>
        <w:rPr>
          <w:rFonts w:eastAsia="Times New Roman"/>
          <w:sz w:val="24"/>
          <w:szCs w:val="24"/>
        </w:rPr>
      </w:pPr>
      <w:r>
        <w:rPr>
          <w:rFonts w:eastAsia="Times New Roman"/>
          <w:sz w:val="24"/>
          <w:szCs w:val="24"/>
        </w:rPr>
        <w:t>Any water system that demonstrates for two consecutive six-month monitoring periods that the tap water lead level computed under 310 CMR 22.06B(1)(c)3. is less than or equal to 0.005 mg/L and the tap water copper level computed under 310 CMR 22.06B(1)(c)3. is less than or equal to 0.65 mg/L may reduce the number of samples in accordance with 310 CMR 22.06B(7)(c) and reduce the frequency of sampling to once every three calendar years. This reduction in frequency of sampling requires written approval by the Department.</w:t>
      </w:r>
    </w:p>
    <w:p w14:paraId="2819E147" w14:textId="77777777" w:rsidR="004647B9" w:rsidRDefault="00E2436F" w:rsidP="00563A54">
      <w:pPr>
        <w:numPr>
          <w:ilvl w:val="0"/>
          <w:numId w:val="199"/>
        </w:numPr>
        <w:tabs>
          <w:tab w:val="left" w:pos="2564"/>
        </w:tabs>
        <w:spacing w:line="243" w:lineRule="auto"/>
        <w:ind w:left="2280" w:hanging="5"/>
        <w:jc w:val="both"/>
        <w:rPr>
          <w:rFonts w:eastAsia="Times New Roman"/>
          <w:sz w:val="24"/>
          <w:szCs w:val="24"/>
        </w:rPr>
      </w:pPr>
      <w:r>
        <w:rPr>
          <w:rFonts w:eastAsia="Times New Roman"/>
          <w:sz w:val="24"/>
          <w:szCs w:val="24"/>
        </w:rPr>
        <w:t>A small or medium-size water system subject to reduced monitoring that exceeds the lead or copper action level shall resume sampling in accordance with 310 CMR 22.06B(7)(c) and collect the number of samples specified for standard monitoring under 310 CMR 22.06B(7)(c). Such system shall also conduct water quality parameter monitoring in accordance with 310 CMR 22.06B(8)(b), (c) or (d) (as appropriate) during the monitoring period in which it exceeded the action level. Any such small or medium system may resume annual monitoring for lead and copper at the tap at the reduced number of sites specified in 310 CMR 22.06B(7)(c) after it has completed two subsequent consecutive six-month rounds of monitoring that meet the criteria of 310 CMR 22.06B(7)(d)4.a. and/or may resume triennial monitoring for lead and copper at the reduced number of sites after it demonstrates through subsequent rounds of monitoring that it meets the criteria of either 310 CMR 22.06B(7)(d)4.c. or e.</w:t>
      </w:r>
    </w:p>
    <w:p w14:paraId="2819E148" w14:textId="77777777" w:rsidR="004647B9" w:rsidRDefault="004647B9">
      <w:pPr>
        <w:sectPr w:rsidR="004647B9" w:rsidSect="00EF630C">
          <w:pgSz w:w="12240" w:h="20180"/>
          <w:pgMar w:top="708" w:right="1440" w:bottom="1440" w:left="600" w:header="0" w:footer="0" w:gutter="0"/>
          <w:cols w:space="720" w:equalWidth="0">
            <w:col w:w="10200"/>
          </w:cols>
        </w:sectPr>
      </w:pPr>
    </w:p>
    <w:p w14:paraId="2819E149" w14:textId="77777777" w:rsidR="004647B9" w:rsidRPr="00A82D5A" w:rsidRDefault="00E2436F" w:rsidP="00A82D5A">
      <w:pPr>
        <w:tabs>
          <w:tab w:val="left" w:pos="160"/>
        </w:tabs>
        <w:jc w:val="center"/>
        <w:rPr>
          <w:sz w:val="24"/>
          <w:szCs w:val="24"/>
        </w:rPr>
      </w:pPr>
      <w:bookmarkStart w:id="79" w:name="page80"/>
      <w:bookmarkEnd w:id="79"/>
      <w:r w:rsidRPr="00A82D5A">
        <w:rPr>
          <w:rFonts w:eastAsia="Times New Roman"/>
          <w:sz w:val="24"/>
          <w:szCs w:val="24"/>
        </w:rPr>
        <w:lastRenderedPageBreak/>
        <w:t>310 CMR:</w:t>
      </w:r>
      <w:r w:rsidRPr="00A82D5A">
        <w:rPr>
          <w:sz w:val="24"/>
          <w:szCs w:val="24"/>
        </w:rPr>
        <w:tab/>
      </w:r>
      <w:r w:rsidRPr="00A82D5A">
        <w:rPr>
          <w:rFonts w:eastAsia="Times New Roman"/>
          <w:sz w:val="24"/>
          <w:szCs w:val="24"/>
        </w:rPr>
        <w:t>DEPARTMENT OF ENVIRONMENTAL PROTECTION</w:t>
      </w:r>
    </w:p>
    <w:p w14:paraId="2819E14A" w14:textId="77777777" w:rsidR="004647B9" w:rsidRPr="0075558B" w:rsidRDefault="004647B9" w:rsidP="0075558B">
      <w:pPr>
        <w:rPr>
          <w:sz w:val="20"/>
          <w:szCs w:val="20"/>
        </w:rPr>
      </w:pPr>
    </w:p>
    <w:p w14:paraId="2819E14B" w14:textId="77777777" w:rsidR="004647B9" w:rsidRPr="0075558B" w:rsidRDefault="004647B9" w:rsidP="0075558B">
      <w:pPr>
        <w:rPr>
          <w:sz w:val="20"/>
          <w:szCs w:val="20"/>
        </w:rPr>
      </w:pPr>
    </w:p>
    <w:p w14:paraId="2819E14C" w14:textId="77777777" w:rsidR="004647B9" w:rsidRPr="00A82D5A" w:rsidRDefault="00E2436F" w:rsidP="00A82D5A">
      <w:pPr>
        <w:tabs>
          <w:tab w:val="left" w:pos="920"/>
        </w:tabs>
        <w:rPr>
          <w:sz w:val="24"/>
          <w:szCs w:val="24"/>
        </w:rPr>
      </w:pPr>
      <w:r w:rsidRPr="00A82D5A">
        <w:rPr>
          <w:rFonts w:eastAsia="Times New Roman"/>
          <w:sz w:val="24"/>
          <w:szCs w:val="24"/>
        </w:rPr>
        <w:t>22.06B:</w:t>
      </w:r>
      <w:r w:rsidRPr="00A82D5A">
        <w:rPr>
          <w:rFonts w:eastAsia="Times New Roman"/>
          <w:sz w:val="24"/>
          <w:szCs w:val="24"/>
        </w:rPr>
        <w:tab/>
        <w:t>continued</w:t>
      </w:r>
    </w:p>
    <w:p w14:paraId="2819E14D" w14:textId="77777777" w:rsidR="004647B9" w:rsidRPr="0075558B" w:rsidRDefault="004647B9" w:rsidP="0075558B">
      <w:pPr>
        <w:rPr>
          <w:sz w:val="20"/>
          <w:szCs w:val="20"/>
        </w:rPr>
      </w:pPr>
    </w:p>
    <w:p w14:paraId="2819E14E" w14:textId="5FEE33E4" w:rsidR="004647B9" w:rsidRPr="00A82D5A" w:rsidRDefault="00E2436F" w:rsidP="00A80408">
      <w:pPr>
        <w:numPr>
          <w:ilvl w:val="2"/>
          <w:numId w:val="200"/>
        </w:numPr>
        <w:tabs>
          <w:tab w:val="left" w:pos="2617"/>
        </w:tabs>
        <w:ind w:left="2280" w:hanging="5"/>
        <w:jc w:val="both"/>
        <w:rPr>
          <w:rFonts w:eastAsia="Times New Roman"/>
          <w:sz w:val="24"/>
          <w:szCs w:val="24"/>
        </w:rPr>
      </w:pPr>
      <w:r w:rsidRPr="00A82D5A">
        <w:rPr>
          <w:rFonts w:eastAsia="Times New Roman"/>
          <w:sz w:val="24"/>
          <w:szCs w:val="24"/>
        </w:rPr>
        <w:t>Any water system subject to the reduced monitoring frequency that fails to meet the lead action level during any four-month monitoring period or that fails to operate at or above the minimum value or within the range of values for the water quality parameters specified by the Department under 310 CMR 22.06B(3)(f) for more than nine days in any six-month period specified in 310 CMR 22.06B(8)(d) shall conduct tap water sampling for lead and copper at the frequency specified in 310 CMR 22.06B(7)(d)3., collect the number of samples specified for standard monitoring under 310 CMR 22.06B(7)(c), and shall resume monitoring for water quality parameters within the distribution system in accordance with 310 CMR 22.06B(8)(d). This standard tap water sampling shall begin no later than the six-month period beginning January 1</w:t>
      </w:r>
      <w:r w:rsidRPr="00A82D5A">
        <w:rPr>
          <w:rFonts w:eastAsia="Times New Roman"/>
          <w:sz w:val="24"/>
          <w:szCs w:val="24"/>
          <w:vertAlign w:val="superscript"/>
        </w:rPr>
        <w:t>st</w:t>
      </w:r>
      <w:r w:rsidRPr="00A82D5A">
        <w:rPr>
          <w:rFonts w:eastAsia="Times New Roman"/>
          <w:sz w:val="24"/>
          <w:szCs w:val="24"/>
        </w:rPr>
        <w:t xml:space="preserve"> of the calendar year following the lead action level exceedance or water quality parameter excursion. Such a system may resume reduced monitoring for lead and copper at the tap and for water quality parameters within the distribution system under the following conditions:</w:t>
      </w:r>
    </w:p>
    <w:p w14:paraId="2819E150" w14:textId="77777777" w:rsidR="004647B9" w:rsidRPr="00A82D5A" w:rsidRDefault="00E2436F" w:rsidP="00A80408">
      <w:pPr>
        <w:numPr>
          <w:ilvl w:val="3"/>
          <w:numId w:val="200"/>
        </w:numPr>
        <w:tabs>
          <w:tab w:val="left" w:pos="3038"/>
        </w:tabs>
        <w:ind w:left="2640" w:hanging="5"/>
        <w:jc w:val="both"/>
        <w:rPr>
          <w:rFonts w:eastAsia="Times New Roman"/>
          <w:sz w:val="24"/>
          <w:szCs w:val="24"/>
        </w:rPr>
      </w:pPr>
      <w:r w:rsidRPr="00A82D5A">
        <w:rPr>
          <w:rFonts w:eastAsia="Times New Roman"/>
          <w:sz w:val="24"/>
          <w:szCs w:val="24"/>
        </w:rPr>
        <w:t>The system may resume annual monitoring for lead and copper at the tap at the reduced number of sites specified in 310 CMR 22.06B(7)(c) after it has completed two subsequent six-month rounds of monitoring that meet the criteria of 310 CMR 22.06B(7)(d)4.b. and the system has received written approval from the Department that it is appropriate to resume reduced monitoring on an annual frequency. This sampling shall begin during the calendar year immediately following the end of the second consecutive six-month monitoring period.</w:t>
      </w:r>
    </w:p>
    <w:p w14:paraId="2819E152" w14:textId="77777777" w:rsidR="004647B9" w:rsidRPr="00A82D5A" w:rsidRDefault="00E2436F" w:rsidP="00A80408">
      <w:pPr>
        <w:numPr>
          <w:ilvl w:val="3"/>
          <w:numId w:val="200"/>
        </w:numPr>
        <w:tabs>
          <w:tab w:val="left" w:pos="3106"/>
        </w:tabs>
        <w:ind w:left="2640" w:hanging="5"/>
        <w:jc w:val="both"/>
        <w:rPr>
          <w:rFonts w:eastAsia="Times New Roman"/>
          <w:sz w:val="24"/>
          <w:szCs w:val="24"/>
        </w:rPr>
      </w:pPr>
      <w:r w:rsidRPr="00A82D5A">
        <w:rPr>
          <w:rFonts w:eastAsia="Times New Roman"/>
          <w:sz w:val="24"/>
          <w:szCs w:val="24"/>
        </w:rPr>
        <w:t>The system may resume triennial monitoring for lead and copper at the tap at the reduced number of sites after it demonstrates through subsequent rounds of monitoring that it meets the criteria of either 310 CMR 22.06B(7)(d)4.c. or e. and the system has received written approval from the Department that it is appropriate to resume triennial monitoring.</w:t>
      </w:r>
    </w:p>
    <w:p w14:paraId="2819E154" w14:textId="77777777" w:rsidR="004647B9" w:rsidRPr="00A82D5A" w:rsidRDefault="00E2436F" w:rsidP="00A80408">
      <w:pPr>
        <w:numPr>
          <w:ilvl w:val="3"/>
          <w:numId w:val="200"/>
        </w:numPr>
        <w:tabs>
          <w:tab w:val="left" w:pos="3209"/>
        </w:tabs>
        <w:ind w:left="2640" w:hanging="5"/>
        <w:jc w:val="both"/>
        <w:rPr>
          <w:rFonts w:eastAsia="Times New Roman"/>
          <w:sz w:val="24"/>
          <w:szCs w:val="24"/>
        </w:rPr>
      </w:pPr>
      <w:r w:rsidRPr="00A82D5A">
        <w:rPr>
          <w:rFonts w:eastAsia="Times New Roman"/>
          <w:sz w:val="24"/>
          <w:szCs w:val="24"/>
        </w:rPr>
        <w:t>The system may reduce the number of water quality parameter tap water samples required in accordance with 310 CMR 22.06B(8)(e)1. and the frequency with which it collects such samples in accordance with 310 CMR 22.06B (8)(e)2. Such a system may not resume triennial monitoring for water quality parameters at the tap until it demonstrates, in accordance with the requirements of 310 CMR 22.06B(8)(e)2., that it has re-qualified for triennial monitoring.</w:t>
      </w:r>
    </w:p>
    <w:p w14:paraId="2819E157" w14:textId="29527941" w:rsidR="004647B9" w:rsidRPr="004C69F2" w:rsidRDefault="00E2436F" w:rsidP="00A80408">
      <w:pPr>
        <w:numPr>
          <w:ilvl w:val="2"/>
          <w:numId w:val="200"/>
        </w:numPr>
        <w:tabs>
          <w:tab w:val="left" w:pos="2674"/>
        </w:tabs>
        <w:ind w:left="2280" w:hanging="5"/>
        <w:jc w:val="both"/>
        <w:rPr>
          <w:rFonts w:eastAsia="Times New Roman"/>
          <w:sz w:val="24"/>
          <w:szCs w:val="24"/>
        </w:rPr>
      </w:pPr>
      <w:r w:rsidRPr="00A82D5A">
        <w:rPr>
          <w:rFonts w:eastAsia="Times New Roman"/>
          <w:sz w:val="24"/>
          <w:szCs w:val="24"/>
        </w:rPr>
        <w:t>Any water system subject to a reduced monitoring frequency under 310 CMR 22.06B(7)(d)4. shall notify the Department in writing in accordance with 310 CMR</w:t>
      </w:r>
      <w:r w:rsidR="004C69F2">
        <w:rPr>
          <w:rFonts w:eastAsia="Times New Roman"/>
          <w:sz w:val="24"/>
          <w:szCs w:val="24"/>
        </w:rPr>
        <w:t xml:space="preserve"> </w:t>
      </w:r>
      <w:r w:rsidRPr="004C69F2">
        <w:rPr>
          <w:rFonts w:eastAsia="Times New Roman"/>
          <w:sz w:val="24"/>
          <w:szCs w:val="24"/>
        </w:rPr>
        <w:t>22.06B(11)(a)3. of any upcoming long-term change in treatment or addition of a new source as described in 310 CMR 22.06B(11)(a)3. The Department must review and approve the addition of a new source or long-term change in water treatment before it is implemented by the water system. The Department may require the system to resume sampling in accordance with 310 CMR 22.06B(7)(d)3. and collect the number of samples specified for standard monitoring under 310 CMR 22.06B(7)(c) or take other appropriate steps such as increased water quality parameter monitoring or re-evaluation of its corrosion control treatment given the potentially different water quality considerations.</w:t>
      </w:r>
    </w:p>
    <w:p w14:paraId="2819E159" w14:textId="77777777" w:rsidR="004647B9" w:rsidRPr="00A82D5A" w:rsidRDefault="00E2436F" w:rsidP="00A80408">
      <w:pPr>
        <w:numPr>
          <w:ilvl w:val="0"/>
          <w:numId w:val="201"/>
        </w:numPr>
        <w:tabs>
          <w:tab w:val="left" w:pos="1946"/>
        </w:tabs>
        <w:ind w:left="1560" w:hanging="5"/>
        <w:jc w:val="both"/>
        <w:rPr>
          <w:rFonts w:eastAsia="Times New Roman"/>
          <w:sz w:val="24"/>
          <w:szCs w:val="24"/>
        </w:rPr>
      </w:pPr>
      <w:r w:rsidRPr="00A82D5A">
        <w:rPr>
          <w:rFonts w:eastAsia="Times New Roman"/>
          <w:sz w:val="24"/>
          <w:szCs w:val="24"/>
          <w:u w:val="single"/>
        </w:rPr>
        <w:t>Additional Monitoring by Systems</w:t>
      </w:r>
      <w:r w:rsidRPr="00A82D5A">
        <w:rPr>
          <w:rFonts w:eastAsia="Times New Roman"/>
          <w:sz w:val="24"/>
          <w:szCs w:val="24"/>
        </w:rPr>
        <w:t>. The results of any monitoring conducted in addition to the minimum requirements of 310 CMR 22.06B shall be considered by the system and the Department in making any determinations (</w:t>
      </w:r>
      <w:r w:rsidRPr="00A82D5A">
        <w:rPr>
          <w:rFonts w:eastAsia="Times New Roman"/>
          <w:i/>
          <w:iCs/>
          <w:sz w:val="24"/>
          <w:szCs w:val="24"/>
        </w:rPr>
        <w:t>i.e</w:t>
      </w:r>
      <w:r w:rsidRPr="00A82D5A">
        <w:rPr>
          <w:rFonts w:eastAsia="Times New Roman"/>
          <w:sz w:val="24"/>
          <w:szCs w:val="24"/>
        </w:rPr>
        <w:t>., calculating the 90</w:t>
      </w:r>
      <w:r w:rsidRPr="00A82D5A">
        <w:rPr>
          <w:rFonts w:eastAsia="Times New Roman"/>
          <w:sz w:val="24"/>
          <w:szCs w:val="24"/>
          <w:vertAlign w:val="superscript"/>
        </w:rPr>
        <w:t>th</w:t>
      </w:r>
      <w:r w:rsidRPr="00A82D5A">
        <w:rPr>
          <w:rFonts w:eastAsia="Times New Roman"/>
          <w:sz w:val="24"/>
          <w:szCs w:val="24"/>
        </w:rPr>
        <w:t xml:space="preserve"> percentile lead or copper level) under 310 CMR 22.06B(7).</w:t>
      </w:r>
    </w:p>
    <w:p w14:paraId="2819E15B" w14:textId="77777777" w:rsidR="004647B9" w:rsidRPr="00A82D5A" w:rsidRDefault="00E2436F" w:rsidP="00A80408">
      <w:pPr>
        <w:numPr>
          <w:ilvl w:val="0"/>
          <w:numId w:val="201"/>
        </w:numPr>
        <w:tabs>
          <w:tab w:val="left" w:pos="2081"/>
        </w:tabs>
        <w:ind w:left="1560" w:hanging="5"/>
        <w:jc w:val="both"/>
        <w:rPr>
          <w:rFonts w:eastAsia="Times New Roman"/>
          <w:sz w:val="24"/>
          <w:szCs w:val="24"/>
        </w:rPr>
      </w:pPr>
      <w:r w:rsidRPr="00A82D5A">
        <w:rPr>
          <w:rFonts w:eastAsia="Times New Roman"/>
          <w:sz w:val="24"/>
          <w:szCs w:val="24"/>
          <w:u w:val="single"/>
        </w:rPr>
        <w:t>Invalidation of Lead or Copper Tap Water Samples</w:t>
      </w:r>
      <w:r w:rsidRPr="00A82D5A">
        <w:rPr>
          <w:rFonts w:eastAsia="Times New Roman"/>
          <w:sz w:val="24"/>
          <w:szCs w:val="24"/>
        </w:rPr>
        <w:t>. A sample invalidated under 310 CMR 22.06B(7)(f) does not count toward determining lead or copper 90</w:t>
      </w:r>
      <w:r w:rsidRPr="00A82D5A">
        <w:rPr>
          <w:rFonts w:eastAsia="Times New Roman"/>
          <w:sz w:val="24"/>
          <w:szCs w:val="24"/>
          <w:vertAlign w:val="superscript"/>
        </w:rPr>
        <w:t>th</w:t>
      </w:r>
      <w:r w:rsidRPr="00A82D5A">
        <w:rPr>
          <w:rFonts w:eastAsia="Times New Roman"/>
          <w:sz w:val="24"/>
          <w:szCs w:val="24"/>
        </w:rPr>
        <w:t xml:space="preserve"> percentile levels under 310 CMR 22.06B(1)(c)3. or toward meeting the minimum monitoring requirements of 310 CMR 22.06B(7)(c).</w:t>
      </w:r>
    </w:p>
    <w:p w14:paraId="2819E15D" w14:textId="77777777" w:rsidR="004647B9" w:rsidRPr="00A82D5A" w:rsidRDefault="00E2436F" w:rsidP="00A80408">
      <w:pPr>
        <w:numPr>
          <w:ilvl w:val="1"/>
          <w:numId w:val="201"/>
        </w:numPr>
        <w:tabs>
          <w:tab w:val="left" w:pos="2280"/>
        </w:tabs>
        <w:ind w:left="1920" w:hanging="5"/>
        <w:rPr>
          <w:rFonts w:eastAsia="Times New Roman"/>
          <w:sz w:val="24"/>
          <w:szCs w:val="24"/>
        </w:rPr>
      </w:pPr>
      <w:r w:rsidRPr="00A82D5A">
        <w:rPr>
          <w:rFonts w:eastAsia="Times New Roman"/>
          <w:sz w:val="24"/>
          <w:szCs w:val="24"/>
        </w:rPr>
        <w:t>The Department may invalidate a lead or copper tap water sample at least if one of the following conditions is met.</w:t>
      </w:r>
    </w:p>
    <w:p w14:paraId="2819E15F" w14:textId="77777777" w:rsidR="004647B9" w:rsidRPr="00A82D5A" w:rsidRDefault="00E2436F" w:rsidP="00A80408">
      <w:pPr>
        <w:numPr>
          <w:ilvl w:val="2"/>
          <w:numId w:val="201"/>
        </w:numPr>
        <w:tabs>
          <w:tab w:val="left" w:pos="2742"/>
        </w:tabs>
        <w:ind w:left="2280" w:hanging="5"/>
        <w:rPr>
          <w:rFonts w:eastAsia="Times New Roman"/>
          <w:sz w:val="24"/>
          <w:szCs w:val="24"/>
        </w:rPr>
      </w:pPr>
      <w:r w:rsidRPr="00A82D5A">
        <w:rPr>
          <w:rFonts w:eastAsia="Times New Roman"/>
          <w:sz w:val="24"/>
          <w:szCs w:val="24"/>
        </w:rPr>
        <w:t>The laboratory establishes that improper sample analysis caused erroneous results.</w:t>
      </w:r>
    </w:p>
    <w:p w14:paraId="2819E161" w14:textId="77777777" w:rsidR="004647B9" w:rsidRPr="00A82D5A" w:rsidRDefault="00E2436F" w:rsidP="00A80408">
      <w:pPr>
        <w:numPr>
          <w:ilvl w:val="2"/>
          <w:numId w:val="201"/>
        </w:numPr>
        <w:tabs>
          <w:tab w:val="left" w:pos="2662"/>
        </w:tabs>
        <w:ind w:left="2280" w:hanging="5"/>
        <w:rPr>
          <w:rFonts w:eastAsia="Times New Roman"/>
          <w:sz w:val="24"/>
          <w:szCs w:val="24"/>
        </w:rPr>
      </w:pPr>
      <w:r w:rsidRPr="00A82D5A">
        <w:rPr>
          <w:rFonts w:eastAsia="Times New Roman"/>
          <w:sz w:val="24"/>
          <w:szCs w:val="24"/>
        </w:rPr>
        <w:t>The Department determines that the sample was taken from a site that did not meet the site selection criteria of 310 CMR 22.06B(7).</w:t>
      </w:r>
    </w:p>
    <w:p w14:paraId="2819E163" w14:textId="77777777" w:rsidR="004647B9" w:rsidRPr="00A82D5A" w:rsidRDefault="00E2436F" w:rsidP="00A80408">
      <w:pPr>
        <w:numPr>
          <w:ilvl w:val="2"/>
          <w:numId w:val="201"/>
        </w:numPr>
        <w:tabs>
          <w:tab w:val="left" w:pos="2620"/>
        </w:tabs>
        <w:ind w:left="2620" w:hanging="345"/>
        <w:rPr>
          <w:rFonts w:eastAsia="Times New Roman"/>
          <w:sz w:val="24"/>
          <w:szCs w:val="24"/>
        </w:rPr>
      </w:pPr>
      <w:r w:rsidRPr="00A82D5A">
        <w:rPr>
          <w:rFonts w:eastAsia="Times New Roman"/>
          <w:sz w:val="24"/>
          <w:szCs w:val="24"/>
        </w:rPr>
        <w:t>The sample container was damaged in transit.</w:t>
      </w:r>
    </w:p>
    <w:p w14:paraId="2819E165" w14:textId="77777777" w:rsidR="004647B9" w:rsidRPr="00A82D5A" w:rsidRDefault="00E2436F" w:rsidP="00CD443B">
      <w:pPr>
        <w:numPr>
          <w:ilvl w:val="2"/>
          <w:numId w:val="201"/>
        </w:numPr>
        <w:tabs>
          <w:tab w:val="left" w:pos="2640"/>
        </w:tabs>
        <w:ind w:left="2275"/>
        <w:rPr>
          <w:rFonts w:eastAsia="Times New Roman"/>
          <w:sz w:val="24"/>
          <w:szCs w:val="24"/>
        </w:rPr>
      </w:pPr>
      <w:r w:rsidRPr="00A82D5A">
        <w:rPr>
          <w:rFonts w:eastAsia="Times New Roman"/>
          <w:sz w:val="24"/>
          <w:szCs w:val="24"/>
        </w:rPr>
        <w:lastRenderedPageBreak/>
        <w:t>There is substantial reason to believe that the sample was subject to tampering.</w:t>
      </w:r>
    </w:p>
    <w:p w14:paraId="2819E166" w14:textId="77777777" w:rsidR="004647B9" w:rsidRDefault="004647B9">
      <w:pPr>
        <w:sectPr w:rsidR="004647B9" w:rsidSect="00EF630C">
          <w:pgSz w:w="12240" w:h="20180"/>
          <w:pgMar w:top="708" w:right="1440" w:bottom="1440" w:left="600" w:header="0" w:footer="0" w:gutter="0"/>
          <w:cols w:space="720" w:equalWidth="0">
            <w:col w:w="10200"/>
          </w:cols>
        </w:sectPr>
      </w:pPr>
    </w:p>
    <w:p w14:paraId="2819E167" w14:textId="77777777" w:rsidR="004647B9" w:rsidRDefault="00E2436F">
      <w:pPr>
        <w:tabs>
          <w:tab w:val="left" w:pos="160"/>
        </w:tabs>
        <w:jc w:val="center"/>
        <w:rPr>
          <w:sz w:val="20"/>
          <w:szCs w:val="20"/>
        </w:rPr>
      </w:pPr>
      <w:bookmarkStart w:id="80" w:name="page81"/>
      <w:bookmarkEnd w:id="8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168" w14:textId="77777777" w:rsidR="004647B9" w:rsidRDefault="004647B9" w:rsidP="009F45E4">
      <w:pPr>
        <w:rPr>
          <w:sz w:val="20"/>
          <w:szCs w:val="20"/>
        </w:rPr>
      </w:pPr>
    </w:p>
    <w:p w14:paraId="2819E169" w14:textId="77777777" w:rsidR="004647B9" w:rsidRDefault="004647B9" w:rsidP="009F45E4">
      <w:pPr>
        <w:rPr>
          <w:sz w:val="20"/>
          <w:szCs w:val="20"/>
        </w:rPr>
      </w:pPr>
    </w:p>
    <w:p w14:paraId="2819E16A"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16B" w14:textId="77777777" w:rsidR="004647B9" w:rsidRDefault="004647B9" w:rsidP="009F45E4">
      <w:pPr>
        <w:rPr>
          <w:sz w:val="20"/>
          <w:szCs w:val="20"/>
        </w:rPr>
      </w:pPr>
    </w:p>
    <w:p w14:paraId="2819E16C" w14:textId="77777777" w:rsidR="004647B9" w:rsidRPr="005F0D8F" w:rsidRDefault="00E2436F" w:rsidP="00563A54">
      <w:pPr>
        <w:numPr>
          <w:ilvl w:val="1"/>
          <w:numId w:val="202"/>
        </w:numPr>
        <w:tabs>
          <w:tab w:val="left" w:pos="2422"/>
        </w:tabs>
        <w:spacing w:line="256" w:lineRule="auto"/>
        <w:ind w:left="1920" w:hanging="5"/>
        <w:rPr>
          <w:rFonts w:eastAsia="Times New Roman"/>
          <w:sz w:val="24"/>
          <w:szCs w:val="24"/>
        </w:rPr>
      </w:pPr>
      <w:r w:rsidRPr="005F0D8F">
        <w:rPr>
          <w:rFonts w:eastAsia="Times New Roman"/>
          <w:sz w:val="24"/>
          <w:szCs w:val="24"/>
        </w:rPr>
        <w:t>The system shall report the results of all samples to the Department and all supporting documentation for samples the system believes should be invalidated.</w:t>
      </w:r>
    </w:p>
    <w:p w14:paraId="2819E16E" w14:textId="77777777" w:rsidR="004647B9" w:rsidRPr="005F0D8F" w:rsidRDefault="00E2436F" w:rsidP="00563A54">
      <w:pPr>
        <w:numPr>
          <w:ilvl w:val="1"/>
          <w:numId w:val="202"/>
        </w:numPr>
        <w:tabs>
          <w:tab w:val="left" w:pos="2230"/>
        </w:tabs>
        <w:spacing w:line="243" w:lineRule="auto"/>
        <w:ind w:left="1920" w:hanging="5"/>
        <w:jc w:val="both"/>
        <w:rPr>
          <w:rFonts w:eastAsia="Times New Roman"/>
          <w:sz w:val="24"/>
          <w:szCs w:val="24"/>
        </w:rPr>
      </w:pPr>
      <w:r w:rsidRPr="005F0D8F">
        <w:rPr>
          <w:rFonts w:eastAsia="Times New Roman"/>
          <w:sz w:val="24"/>
          <w:szCs w:val="24"/>
        </w:rPr>
        <w:t>To invalidate a sample under 310 CMR 22.06B(7)(f)1., the decision and the rationale for the decision shall be documented in writing. The Department may not invalidate a sample solely on the grounds that a follow-up sample result is higher or lower than that of the original sample.</w:t>
      </w:r>
    </w:p>
    <w:p w14:paraId="2819E16F" w14:textId="77777777" w:rsidR="004647B9" w:rsidRPr="005F0D8F" w:rsidRDefault="00E2436F" w:rsidP="00563A54">
      <w:pPr>
        <w:numPr>
          <w:ilvl w:val="1"/>
          <w:numId w:val="202"/>
        </w:numPr>
        <w:tabs>
          <w:tab w:val="left" w:pos="2347"/>
        </w:tabs>
        <w:spacing w:line="253" w:lineRule="auto"/>
        <w:ind w:left="1920" w:hanging="5"/>
        <w:jc w:val="both"/>
        <w:rPr>
          <w:rFonts w:eastAsia="Times New Roman"/>
          <w:sz w:val="24"/>
          <w:szCs w:val="24"/>
        </w:rPr>
      </w:pPr>
      <w:r w:rsidRPr="005F0D8F">
        <w:rPr>
          <w:rFonts w:eastAsia="Times New Roman"/>
          <w:sz w:val="24"/>
          <w:szCs w:val="24"/>
        </w:rPr>
        <w:t>The water system shall collect replacement samples for any samples invalidated under 310 CMR 22.06B(7) if, after the invalidation of one or more samples, the system has too few samples to meet the minimum requirements of 310 CMR 22.06B(7)(c). Any such replacement samples shall be taken as soon as possible, but no later than 20 days after the date the Department invalidates the sample or by the end of the applicable monitoring period, whichever occurs later. Replacement samples taken after the end of the applicable monitoring period shall not also be used to meet the monitoring requirements of a subsequent monitoring period. The replacement samples shall be taken at the same locations as the invalidated samples or, if that is not possible, at locations other than those already used for sampling during the monitoring period.</w:t>
      </w:r>
    </w:p>
    <w:p w14:paraId="2819E171" w14:textId="77777777" w:rsidR="004647B9" w:rsidRPr="005F0D8F" w:rsidRDefault="00E2436F" w:rsidP="00563A54">
      <w:pPr>
        <w:numPr>
          <w:ilvl w:val="0"/>
          <w:numId w:val="203"/>
        </w:numPr>
        <w:tabs>
          <w:tab w:val="left" w:pos="2042"/>
        </w:tabs>
        <w:spacing w:line="253" w:lineRule="auto"/>
        <w:ind w:left="1560" w:hanging="5"/>
        <w:jc w:val="both"/>
        <w:rPr>
          <w:rFonts w:eastAsia="Times New Roman"/>
          <w:sz w:val="24"/>
          <w:szCs w:val="24"/>
        </w:rPr>
      </w:pPr>
      <w:r w:rsidRPr="005F0D8F">
        <w:rPr>
          <w:rFonts w:eastAsia="Times New Roman"/>
          <w:sz w:val="24"/>
          <w:szCs w:val="24"/>
          <w:u w:val="single"/>
        </w:rPr>
        <w:t>Monitoring Waivers for Small Systems</w:t>
      </w:r>
      <w:r w:rsidRPr="005F0D8F">
        <w:rPr>
          <w:rFonts w:eastAsia="Times New Roman"/>
          <w:sz w:val="24"/>
          <w:szCs w:val="24"/>
        </w:rPr>
        <w:t>. Any small system that meets the criteria of 310 CMR 22.06B(7)(g) may apply to the Department to reduce the frequency of monitoring for lead and copper under 310 CMR 22.06B(7) to once every nine years (</w:t>
      </w:r>
      <w:r w:rsidRPr="005F0D8F">
        <w:rPr>
          <w:rFonts w:eastAsia="Times New Roman"/>
          <w:i/>
          <w:iCs/>
          <w:sz w:val="24"/>
          <w:szCs w:val="24"/>
        </w:rPr>
        <w:t>i.e</w:t>
      </w:r>
      <w:r w:rsidRPr="005F0D8F">
        <w:rPr>
          <w:rFonts w:eastAsia="Times New Roman"/>
          <w:sz w:val="24"/>
          <w:szCs w:val="24"/>
        </w:rPr>
        <w:t>., a full waiver) if it meets all of the materials criteria specified in 310 CMR 22.06B(7)(g)1. and all of the monitoring criteria specified in 310 CMR 22.06B(7)(g)2. If Department regulations permit, any small system that meets the criteria in 310 CMR 22.06B(7)(g)1. and 2. only for lead, or only for copper, may apply to the Department for a waiver to reduce the frequency of tap water monitoring to once every nine years for that contaminant only (</w:t>
      </w:r>
      <w:r w:rsidRPr="005F0D8F">
        <w:rPr>
          <w:rFonts w:eastAsia="Times New Roman"/>
          <w:i/>
          <w:iCs/>
          <w:sz w:val="24"/>
          <w:szCs w:val="24"/>
        </w:rPr>
        <w:t>i.e</w:t>
      </w:r>
      <w:r w:rsidRPr="005F0D8F">
        <w:rPr>
          <w:rFonts w:eastAsia="Times New Roman"/>
          <w:sz w:val="24"/>
          <w:szCs w:val="24"/>
        </w:rPr>
        <w:t>., a partial waiver).</w:t>
      </w:r>
    </w:p>
    <w:p w14:paraId="2819E173" w14:textId="77777777" w:rsidR="004647B9" w:rsidRPr="005F0D8F" w:rsidRDefault="00E2436F" w:rsidP="00563A54">
      <w:pPr>
        <w:numPr>
          <w:ilvl w:val="1"/>
          <w:numId w:val="203"/>
        </w:numPr>
        <w:tabs>
          <w:tab w:val="left" w:pos="2326"/>
        </w:tabs>
        <w:spacing w:line="243" w:lineRule="auto"/>
        <w:ind w:left="1920" w:hanging="5"/>
        <w:jc w:val="both"/>
        <w:rPr>
          <w:rFonts w:eastAsia="Times New Roman"/>
          <w:sz w:val="24"/>
          <w:szCs w:val="24"/>
        </w:rPr>
      </w:pPr>
      <w:r w:rsidRPr="005F0D8F">
        <w:rPr>
          <w:rFonts w:eastAsia="Times New Roman"/>
          <w:sz w:val="24"/>
          <w:szCs w:val="24"/>
          <w:u w:val="single"/>
        </w:rPr>
        <w:t>Materials Criteria</w:t>
      </w:r>
      <w:r w:rsidRPr="005F0D8F">
        <w:rPr>
          <w:rFonts w:eastAsia="Times New Roman"/>
          <w:sz w:val="24"/>
          <w:szCs w:val="24"/>
        </w:rPr>
        <w:t>. The system shall demonstrate that its distribution system and service lines and all drinking water supply plumbing, including plumbing conveying drinking water within all residences and buildings connected to the system, are free of lead-containing materials and/or copper-containing materials, as those terms are defined in 310 CMR 22.06(7)(g)1., as follows:</w:t>
      </w:r>
    </w:p>
    <w:p w14:paraId="2819E175" w14:textId="77777777" w:rsidR="004647B9" w:rsidRPr="005F0D8F" w:rsidRDefault="00E2436F" w:rsidP="00563A54">
      <w:pPr>
        <w:numPr>
          <w:ilvl w:val="2"/>
          <w:numId w:val="203"/>
        </w:numPr>
        <w:tabs>
          <w:tab w:val="left" w:pos="2699"/>
        </w:tabs>
        <w:spacing w:line="243" w:lineRule="auto"/>
        <w:ind w:left="2280" w:hanging="5"/>
        <w:jc w:val="both"/>
        <w:rPr>
          <w:rFonts w:eastAsia="Times New Roman"/>
          <w:sz w:val="24"/>
          <w:szCs w:val="24"/>
        </w:rPr>
      </w:pPr>
      <w:r w:rsidRPr="005F0D8F">
        <w:rPr>
          <w:rFonts w:eastAsia="Times New Roman"/>
          <w:sz w:val="24"/>
          <w:szCs w:val="24"/>
          <w:u w:val="single"/>
        </w:rPr>
        <w:t>Lead</w:t>
      </w:r>
      <w:r w:rsidRPr="005F0D8F">
        <w:rPr>
          <w:rFonts w:eastAsia="Times New Roman"/>
          <w:sz w:val="24"/>
          <w:szCs w:val="24"/>
        </w:rPr>
        <w:t>. To qualify for a full waiver, or a waiver of the tap water monitoring requirements for lead (</w:t>
      </w:r>
      <w:r w:rsidRPr="005F0D8F">
        <w:rPr>
          <w:rFonts w:eastAsia="Times New Roman"/>
          <w:i/>
          <w:iCs/>
          <w:sz w:val="24"/>
          <w:szCs w:val="24"/>
        </w:rPr>
        <w:t>i.e</w:t>
      </w:r>
      <w:r w:rsidRPr="005F0D8F">
        <w:rPr>
          <w:rFonts w:eastAsia="Times New Roman"/>
          <w:sz w:val="24"/>
          <w:szCs w:val="24"/>
        </w:rPr>
        <w:t>., a lead waiver), the water system shall provide certification and supporting documentation to the Department that the system is free of all lead-containing materials, as follows:</w:t>
      </w:r>
    </w:p>
    <w:p w14:paraId="2819E176" w14:textId="77777777" w:rsidR="004647B9" w:rsidRPr="005F0D8F" w:rsidRDefault="00E2436F" w:rsidP="00563A54">
      <w:pPr>
        <w:numPr>
          <w:ilvl w:val="3"/>
          <w:numId w:val="203"/>
        </w:numPr>
        <w:tabs>
          <w:tab w:val="left" w:pos="3018"/>
        </w:tabs>
        <w:spacing w:line="243" w:lineRule="auto"/>
        <w:ind w:left="2640" w:hanging="5"/>
        <w:rPr>
          <w:rFonts w:eastAsia="Times New Roman"/>
          <w:sz w:val="24"/>
          <w:szCs w:val="24"/>
        </w:rPr>
      </w:pPr>
      <w:r w:rsidRPr="005F0D8F">
        <w:rPr>
          <w:rFonts w:eastAsia="Times New Roman"/>
          <w:sz w:val="24"/>
          <w:szCs w:val="24"/>
        </w:rPr>
        <w:t>It contains no plastic pipes which contain lead plasticizers, or plastic service lines which contain lead plasticizers; and</w:t>
      </w:r>
    </w:p>
    <w:p w14:paraId="2819E177" w14:textId="77777777" w:rsidR="004647B9" w:rsidRPr="005F0D8F" w:rsidRDefault="00E2436F" w:rsidP="00563A54">
      <w:pPr>
        <w:numPr>
          <w:ilvl w:val="3"/>
          <w:numId w:val="203"/>
        </w:numPr>
        <w:tabs>
          <w:tab w:val="left" w:pos="3171"/>
        </w:tabs>
        <w:spacing w:line="243" w:lineRule="auto"/>
        <w:ind w:left="2640" w:hanging="5"/>
        <w:jc w:val="both"/>
        <w:rPr>
          <w:rFonts w:eastAsia="Times New Roman"/>
          <w:sz w:val="24"/>
          <w:szCs w:val="24"/>
        </w:rPr>
      </w:pPr>
      <w:r w:rsidRPr="005F0D8F">
        <w:rPr>
          <w:rFonts w:eastAsia="Times New Roman"/>
          <w:sz w:val="24"/>
          <w:szCs w:val="24"/>
        </w:rPr>
        <w:t>It is free of lead service lines, lead pipes, lead soldered pipe joints, and leaded brass or bronze alloy fittings and fixtures, unless such fittings and fixtures meet the specifications of any standard established pursuant to 42 U.S.C. 300g-6(e) (SDWA, § 1417(e)).</w:t>
      </w:r>
    </w:p>
    <w:p w14:paraId="2819E178" w14:textId="77777777" w:rsidR="004647B9" w:rsidRPr="005F0D8F" w:rsidRDefault="00E2436F" w:rsidP="00563A54">
      <w:pPr>
        <w:numPr>
          <w:ilvl w:val="2"/>
          <w:numId w:val="203"/>
        </w:numPr>
        <w:tabs>
          <w:tab w:val="left" w:pos="2669"/>
        </w:tabs>
        <w:spacing w:line="243" w:lineRule="auto"/>
        <w:ind w:left="2280" w:hanging="5"/>
        <w:jc w:val="both"/>
        <w:rPr>
          <w:rFonts w:eastAsia="Times New Roman"/>
          <w:sz w:val="24"/>
          <w:szCs w:val="24"/>
        </w:rPr>
      </w:pPr>
      <w:r w:rsidRPr="005F0D8F">
        <w:rPr>
          <w:rFonts w:eastAsia="Times New Roman"/>
          <w:sz w:val="24"/>
          <w:szCs w:val="24"/>
          <w:u w:val="single"/>
        </w:rPr>
        <w:t>Copper</w:t>
      </w:r>
      <w:r w:rsidRPr="005F0D8F">
        <w:rPr>
          <w:rFonts w:eastAsia="Times New Roman"/>
          <w:sz w:val="24"/>
          <w:szCs w:val="24"/>
        </w:rPr>
        <w:t>. To qualify for a full waiver, or a waiver of the tap water monitoring requirements for copper (</w:t>
      </w:r>
      <w:r w:rsidRPr="005F0D8F">
        <w:rPr>
          <w:rFonts w:eastAsia="Times New Roman"/>
          <w:i/>
          <w:iCs/>
          <w:sz w:val="24"/>
          <w:szCs w:val="24"/>
        </w:rPr>
        <w:t>i.e</w:t>
      </w:r>
      <w:r w:rsidRPr="005F0D8F">
        <w:rPr>
          <w:rFonts w:eastAsia="Times New Roman"/>
          <w:sz w:val="24"/>
          <w:szCs w:val="24"/>
        </w:rPr>
        <w:t>., a copper waiver), the water system shall provide certification and supporting documentation to the Department that the system contains no copper pipes or copper service lines.</w:t>
      </w:r>
    </w:p>
    <w:p w14:paraId="2819E179" w14:textId="77777777" w:rsidR="004647B9" w:rsidRPr="005F0D8F" w:rsidRDefault="00E2436F" w:rsidP="00563A54">
      <w:pPr>
        <w:numPr>
          <w:ilvl w:val="1"/>
          <w:numId w:val="203"/>
        </w:numPr>
        <w:tabs>
          <w:tab w:val="left" w:pos="2278"/>
        </w:tabs>
        <w:spacing w:line="238" w:lineRule="auto"/>
        <w:ind w:left="1920" w:hanging="5"/>
        <w:jc w:val="both"/>
        <w:rPr>
          <w:rFonts w:eastAsia="Times New Roman"/>
          <w:sz w:val="24"/>
          <w:szCs w:val="24"/>
        </w:rPr>
      </w:pPr>
      <w:r w:rsidRPr="005F0D8F">
        <w:rPr>
          <w:rFonts w:eastAsia="Times New Roman"/>
          <w:sz w:val="24"/>
          <w:szCs w:val="24"/>
          <w:u w:val="single"/>
        </w:rPr>
        <w:t>Monitoring Criteria for Waiver Issuance</w:t>
      </w:r>
      <w:r w:rsidRPr="005F0D8F">
        <w:rPr>
          <w:rFonts w:eastAsia="Times New Roman"/>
          <w:sz w:val="24"/>
          <w:szCs w:val="24"/>
        </w:rPr>
        <w:t>. The system shall have completed at least one six-month round of standard tap water monitoring for lead and copper at sites approved by the Department and from the number of sites required by 310 CMR 22.07B(7)(c) and demonstrate that the 90</w:t>
      </w:r>
      <w:r w:rsidRPr="005F0D8F">
        <w:rPr>
          <w:rFonts w:eastAsia="Times New Roman"/>
          <w:sz w:val="24"/>
          <w:szCs w:val="24"/>
          <w:vertAlign w:val="superscript"/>
        </w:rPr>
        <w:t>th</w:t>
      </w:r>
      <w:r w:rsidRPr="005F0D8F">
        <w:rPr>
          <w:rFonts w:eastAsia="Times New Roman"/>
          <w:sz w:val="24"/>
          <w:szCs w:val="24"/>
        </w:rPr>
        <w:t xml:space="preserve"> percentile levels for any and all rounds of monitoring conducted since the system became free of all lead-containing and/or copper-containing materials, as appropriate, meet the following criteria.</w:t>
      </w:r>
    </w:p>
    <w:p w14:paraId="2819E17B" w14:textId="77777777" w:rsidR="004647B9" w:rsidRPr="005F0D8F" w:rsidRDefault="00E2436F" w:rsidP="00563A54">
      <w:pPr>
        <w:numPr>
          <w:ilvl w:val="2"/>
          <w:numId w:val="203"/>
        </w:numPr>
        <w:tabs>
          <w:tab w:val="left" w:pos="2677"/>
        </w:tabs>
        <w:spacing w:line="228" w:lineRule="auto"/>
        <w:ind w:left="2280" w:hanging="5"/>
        <w:rPr>
          <w:rFonts w:eastAsia="Times New Roman"/>
          <w:sz w:val="24"/>
          <w:szCs w:val="24"/>
        </w:rPr>
      </w:pPr>
      <w:r w:rsidRPr="005F0D8F">
        <w:rPr>
          <w:rFonts w:eastAsia="Times New Roman"/>
          <w:sz w:val="24"/>
          <w:szCs w:val="24"/>
          <w:u w:val="single"/>
        </w:rPr>
        <w:t>Lead Levels</w:t>
      </w:r>
      <w:r w:rsidRPr="005F0D8F">
        <w:rPr>
          <w:rFonts w:eastAsia="Times New Roman"/>
          <w:sz w:val="24"/>
          <w:szCs w:val="24"/>
        </w:rPr>
        <w:t>. To qualify for a full waiver, or a lead waiver, the system shall demonstrate that the 90</w:t>
      </w:r>
      <w:r w:rsidRPr="005F0D8F">
        <w:rPr>
          <w:rFonts w:eastAsia="Times New Roman"/>
          <w:sz w:val="24"/>
          <w:szCs w:val="24"/>
          <w:vertAlign w:val="superscript"/>
        </w:rPr>
        <w:t>th</w:t>
      </w:r>
      <w:r w:rsidRPr="005F0D8F">
        <w:rPr>
          <w:rFonts w:eastAsia="Times New Roman"/>
          <w:sz w:val="24"/>
          <w:szCs w:val="24"/>
        </w:rPr>
        <w:t xml:space="preserve"> percentile lead level does not exceed 0.005 mg/L.</w:t>
      </w:r>
    </w:p>
    <w:p w14:paraId="2819E17D" w14:textId="77777777" w:rsidR="004647B9" w:rsidRPr="005F0D8F" w:rsidRDefault="00E2436F" w:rsidP="00563A54">
      <w:pPr>
        <w:numPr>
          <w:ilvl w:val="2"/>
          <w:numId w:val="203"/>
        </w:numPr>
        <w:tabs>
          <w:tab w:val="left" w:pos="2611"/>
        </w:tabs>
        <w:spacing w:line="228" w:lineRule="auto"/>
        <w:ind w:left="2280" w:hanging="5"/>
        <w:rPr>
          <w:rFonts w:eastAsia="Times New Roman"/>
          <w:sz w:val="24"/>
          <w:szCs w:val="24"/>
        </w:rPr>
      </w:pPr>
      <w:r w:rsidRPr="005F0D8F">
        <w:rPr>
          <w:rFonts w:eastAsia="Times New Roman"/>
          <w:sz w:val="24"/>
          <w:szCs w:val="24"/>
          <w:u w:val="single"/>
        </w:rPr>
        <w:t>Copper Levels</w:t>
      </w:r>
      <w:r w:rsidRPr="005F0D8F">
        <w:rPr>
          <w:rFonts w:eastAsia="Times New Roman"/>
          <w:sz w:val="24"/>
          <w:szCs w:val="24"/>
        </w:rPr>
        <w:t>. To qualify for a full waiver, or a copper waiver, the system shall demonstrate that the 90</w:t>
      </w:r>
      <w:r w:rsidRPr="005F0D8F">
        <w:rPr>
          <w:rFonts w:eastAsia="Times New Roman"/>
          <w:sz w:val="24"/>
          <w:szCs w:val="24"/>
          <w:vertAlign w:val="superscript"/>
        </w:rPr>
        <w:t>th</w:t>
      </w:r>
      <w:r w:rsidRPr="005F0D8F">
        <w:rPr>
          <w:rFonts w:eastAsia="Times New Roman"/>
          <w:sz w:val="24"/>
          <w:szCs w:val="24"/>
        </w:rPr>
        <w:t xml:space="preserve"> percentile copper level does not exceed 0.65 mg/L.</w:t>
      </w:r>
    </w:p>
    <w:p w14:paraId="2819E17E" w14:textId="77777777" w:rsidR="004647B9" w:rsidRDefault="004647B9">
      <w:pPr>
        <w:sectPr w:rsidR="004647B9" w:rsidSect="00EF630C">
          <w:pgSz w:w="12240" w:h="20180"/>
          <w:pgMar w:top="708" w:right="1440" w:bottom="1440" w:left="600" w:header="0" w:footer="0" w:gutter="0"/>
          <w:cols w:space="720" w:equalWidth="0">
            <w:col w:w="10200"/>
          </w:cols>
        </w:sectPr>
      </w:pPr>
    </w:p>
    <w:p w14:paraId="2819E17F" w14:textId="77777777" w:rsidR="004647B9" w:rsidRDefault="00E2436F">
      <w:pPr>
        <w:tabs>
          <w:tab w:val="left" w:pos="160"/>
        </w:tabs>
        <w:jc w:val="center"/>
        <w:rPr>
          <w:sz w:val="20"/>
          <w:szCs w:val="20"/>
        </w:rPr>
      </w:pPr>
      <w:bookmarkStart w:id="81" w:name="page82"/>
      <w:bookmarkEnd w:id="8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180" w14:textId="77777777" w:rsidR="004647B9" w:rsidRDefault="004647B9" w:rsidP="00CE3746">
      <w:pPr>
        <w:rPr>
          <w:sz w:val="20"/>
          <w:szCs w:val="20"/>
        </w:rPr>
      </w:pPr>
    </w:p>
    <w:p w14:paraId="2819E181" w14:textId="77777777" w:rsidR="004647B9" w:rsidRDefault="004647B9" w:rsidP="00CE3746">
      <w:pPr>
        <w:rPr>
          <w:sz w:val="20"/>
          <w:szCs w:val="20"/>
        </w:rPr>
      </w:pPr>
    </w:p>
    <w:p w14:paraId="2819E182"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183" w14:textId="77777777" w:rsidR="004647B9" w:rsidRDefault="004647B9" w:rsidP="00CE3746">
      <w:pPr>
        <w:rPr>
          <w:sz w:val="20"/>
          <w:szCs w:val="20"/>
        </w:rPr>
      </w:pPr>
    </w:p>
    <w:p w14:paraId="2819E184" w14:textId="77777777" w:rsidR="004647B9" w:rsidRPr="005F0D8F" w:rsidRDefault="00E2436F" w:rsidP="00563A54">
      <w:pPr>
        <w:numPr>
          <w:ilvl w:val="0"/>
          <w:numId w:val="204"/>
        </w:numPr>
        <w:tabs>
          <w:tab w:val="left" w:pos="2369"/>
        </w:tabs>
        <w:spacing w:line="246" w:lineRule="auto"/>
        <w:ind w:left="1920" w:hanging="5"/>
        <w:jc w:val="both"/>
        <w:rPr>
          <w:rFonts w:eastAsia="Times New Roman"/>
          <w:sz w:val="24"/>
          <w:szCs w:val="24"/>
        </w:rPr>
      </w:pPr>
      <w:r w:rsidRPr="005F0D8F">
        <w:rPr>
          <w:rFonts w:eastAsia="Times New Roman"/>
          <w:sz w:val="24"/>
          <w:szCs w:val="24"/>
          <w:u w:val="single"/>
        </w:rPr>
        <w:t>Department Approval of Waiver Application</w:t>
      </w:r>
      <w:r w:rsidRPr="005F0D8F">
        <w:rPr>
          <w:rFonts w:eastAsia="Times New Roman"/>
          <w:sz w:val="24"/>
          <w:szCs w:val="24"/>
        </w:rPr>
        <w:t>. The Department shall notify the system of its waiver determination, in writing, setting forth the basis of its decision and any condition of the waiver. As a condition of the waiver, the Department may require the system to perform specific activities (</w:t>
      </w:r>
      <w:r w:rsidRPr="005F0D8F">
        <w:rPr>
          <w:rFonts w:eastAsia="Times New Roman"/>
          <w:i/>
          <w:iCs/>
          <w:sz w:val="24"/>
          <w:szCs w:val="24"/>
        </w:rPr>
        <w:t>e.g</w:t>
      </w:r>
      <w:r w:rsidRPr="005F0D8F">
        <w:rPr>
          <w:rFonts w:eastAsia="Times New Roman"/>
          <w:sz w:val="24"/>
          <w:szCs w:val="24"/>
        </w:rPr>
        <w:t>., limited monitoring, periodic outreach to customers to remind them to avoid installation of materials that might void the waiver) to avoid the risk of lead or copper concentration of concern in tap water. The small system shall continue monitoring for lead and copper at the tap as required by 310 CMR 22.06B(7)(d)1. through 4., as appropriate, until it receives written notification from the Department that the waiver has been approved.</w:t>
      </w:r>
    </w:p>
    <w:p w14:paraId="2819E186" w14:textId="77777777" w:rsidR="004647B9" w:rsidRPr="005F0D8F" w:rsidRDefault="00E2436F" w:rsidP="00563A54">
      <w:pPr>
        <w:numPr>
          <w:ilvl w:val="0"/>
          <w:numId w:val="204"/>
        </w:numPr>
        <w:tabs>
          <w:tab w:val="left" w:pos="2280"/>
        </w:tabs>
        <w:ind w:left="2280" w:hanging="365"/>
        <w:rPr>
          <w:rFonts w:eastAsia="Times New Roman"/>
          <w:sz w:val="24"/>
          <w:szCs w:val="24"/>
        </w:rPr>
      </w:pPr>
      <w:r w:rsidRPr="005F0D8F">
        <w:rPr>
          <w:rFonts w:eastAsia="Times New Roman"/>
          <w:sz w:val="24"/>
          <w:szCs w:val="24"/>
          <w:u w:val="single"/>
        </w:rPr>
        <w:t>Monitoring Frequency for Systems with Waivers</w:t>
      </w:r>
      <w:r w:rsidRPr="005F0D8F">
        <w:rPr>
          <w:rFonts w:eastAsia="Times New Roman"/>
          <w:sz w:val="24"/>
          <w:szCs w:val="24"/>
        </w:rPr>
        <w:t>.</w:t>
      </w:r>
    </w:p>
    <w:p w14:paraId="2819E188" w14:textId="77777777" w:rsidR="004647B9" w:rsidRPr="005F0D8F" w:rsidRDefault="00E2436F" w:rsidP="00563A54">
      <w:pPr>
        <w:numPr>
          <w:ilvl w:val="1"/>
          <w:numId w:val="204"/>
        </w:numPr>
        <w:tabs>
          <w:tab w:val="left" w:pos="2684"/>
        </w:tabs>
        <w:spacing w:line="253" w:lineRule="auto"/>
        <w:ind w:left="2280" w:hanging="5"/>
        <w:jc w:val="both"/>
        <w:rPr>
          <w:rFonts w:eastAsia="Times New Roman"/>
          <w:sz w:val="24"/>
          <w:szCs w:val="24"/>
        </w:rPr>
      </w:pPr>
      <w:r w:rsidRPr="005F0D8F">
        <w:rPr>
          <w:rFonts w:eastAsia="Times New Roman"/>
          <w:sz w:val="24"/>
          <w:szCs w:val="24"/>
        </w:rPr>
        <w:t>A system with a full waiver shall conduct tap water monitoring for lead and copper in accordance with 310 CMR 22.06B(7)(d)4.d. at the reduced number of sampling sites identified in 310 CMR 22.06B(7)(c) at least once every nine years and provide the materials certification specified in 310 CMR 22.06B(7)(g)1. for both lead and copper to the Department along with the monitoring results. Samples collected every nine years shall be collected no later than every ninth calendar year.</w:t>
      </w:r>
    </w:p>
    <w:p w14:paraId="2819E18A" w14:textId="77777777" w:rsidR="004647B9" w:rsidRPr="005F0D8F" w:rsidRDefault="00E2436F" w:rsidP="00563A54">
      <w:pPr>
        <w:numPr>
          <w:ilvl w:val="1"/>
          <w:numId w:val="204"/>
        </w:numPr>
        <w:tabs>
          <w:tab w:val="left" w:pos="2602"/>
        </w:tabs>
        <w:spacing w:line="253" w:lineRule="auto"/>
        <w:ind w:left="2280" w:hanging="5"/>
        <w:jc w:val="both"/>
        <w:rPr>
          <w:rFonts w:eastAsia="Times New Roman"/>
          <w:sz w:val="24"/>
          <w:szCs w:val="24"/>
        </w:rPr>
      </w:pPr>
      <w:r w:rsidRPr="005F0D8F">
        <w:rPr>
          <w:rFonts w:eastAsia="Times New Roman"/>
          <w:sz w:val="24"/>
          <w:szCs w:val="24"/>
        </w:rPr>
        <w:t>A system with a partial waiver shall conduct tap water monitoring for the waived contaminant in accordance with 310 CMR 22.06B(7)(d)4.d. at the reduced number of sampling sites specified in 310 CMR 22.06B(7)(c) at least once every nine years and provide the materials certification specified in 310 CMR 22.06B(7)(g)1. pertaining to the waived contaminant along with the monitoring results. Such a system also shall continue to monitor for the non-waived contaminant in accordance with requirements of 310 CMR 22.06B(7)(d)1. through 4., as appropriate.</w:t>
      </w:r>
    </w:p>
    <w:p w14:paraId="2819E18C" w14:textId="77777777" w:rsidR="004647B9" w:rsidRPr="005F0D8F" w:rsidRDefault="00E2436F" w:rsidP="00563A54">
      <w:pPr>
        <w:numPr>
          <w:ilvl w:val="1"/>
          <w:numId w:val="204"/>
        </w:numPr>
        <w:tabs>
          <w:tab w:val="left" w:pos="2670"/>
        </w:tabs>
        <w:spacing w:line="243" w:lineRule="auto"/>
        <w:ind w:left="2280" w:hanging="5"/>
        <w:jc w:val="both"/>
        <w:rPr>
          <w:rFonts w:eastAsia="Times New Roman"/>
          <w:sz w:val="24"/>
          <w:szCs w:val="24"/>
        </w:rPr>
      </w:pPr>
      <w:r w:rsidRPr="005F0D8F">
        <w:rPr>
          <w:rFonts w:eastAsia="Times New Roman"/>
          <w:sz w:val="24"/>
          <w:szCs w:val="24"/>
        </w:rPr>
        <w:t>Any water system with a full or partial waiver shall notify the Department in writing in accordance with 310 CMR 22.06B(11)(a)3. of any upcoming long-term change in treatment or addition of a new source, as described in 310 CMR 22.06B(11). The Department must review and approve the addition of a new source or long-term change in water treatment before it is implemented by the water system. The Department has the authority to require the system to add or modify waiver conditions (</w:t>
      </w:r>
      <w:r w:rsidRPr="005F0D8F">
        <w:rPr>
          <w:rFonts w:eastAsia="Times New Roman"/>
          <w:i/>
          <w:iCs/>
          <w:sz w:val="24"/>
          <w:szCs w:val="24"/>
        </w:rPr>
        <w:t>e.g</w:t>
      </w:r>
      <w:r w:rsidRPr="005F0D8F">
        <w:rPr>
          <w:rFonts w:eastAsia="Times New Roman"/>
          <w:sz w:val="24"/>
          <w:szCs w:val="24"/>
        </w:rPr>
        <w:t>., require recertification that the system is free of lead-containing and/or copper-containing materials, require additional round(s) of monitoring), if it deems such modifications are necessary to address treatment or source water changes at the system.</w:t>
      </w:r>
    </w:p>
    <w:p w14:paraId="2819E18E" w14:textId="77777777" w:rsidR="004647B9" w:rsidRPr="005F0D8F" w:rsidRDefault="00E2436F" w:rsidP="00563A54">
      <w:pPr>
        <w:numPr>
          <w:ilvl w:val="1"/>
          <w:numId w:val="204"/>
        </w:numPr>
        <w:tabs>
          <w:tab w:val="left" w:pos="2611"/>
        </w:tabs>
        <w:spacing w:line="243" w:lineRule="auto"/>
        <w:ind w:left="2280" w:hanging="5"/>
        <w:jc w:val="both"/>
        <w:rPr>
          <w:rFonts w:eastAsia="Times New Roman"/>
          <w:sz w:val="24"/>
          <w:szCs w:val="24"/>
        </w:rPr>
      </w:pPr>
      <w:r w:rsidRPr="005F0D8F">
        <w:rPr>
          <w:rFonts w:eastAsia="Times New Roman"/>
          <w:sz w:val="24"/>
          <w:szCs w:val="24"/>
        </w:rPr>
        <w:t>If a system with a full or partial waiver becomes aware that it is no longer free of lead-containing or copper-containing materials, as appropriate, (</w:t>
      </w:r>
      <w:r w:rsidRPr="005F0D8F">
        <w:rPr>
          <w:rFonts w:eastAsia="Times New Roman"/>
          <w:i/>
          <w:iCs/>
          <w:sz w:val="24"/>
          <w:szCs w:val="24"/>
        </w:rPr>
        <w:t>e.g</w:t>
      </w:r>
      <w:r w:rsidRPr="005F0D8F">
        <w:rPr>
          <w:rFonts w:eastAsia="Times New Roman"/>
          <w:sz w:val="24"/>
          <w:szCs w:val="24"/>
        </w:rPr>
        <w:t>., as a result of new construction or repairs), the system shall notify the Department in writing no later than 60 days after becoming aware of such a change.</w:t>
      </w:r>
    </w:p>
    <w:p w14:paraId="2819E191" w14:textId="06CA8B55" w:rsidR="004647B9" w:rsidRPr="00CE3746" w:rsidRDefault="00E2436F" w:rsidP="00CE3746">
      <w:pPr>
        <w:numPr>
          <w:ilvl w:val="0"/>
          <w:numId w:val="204"/>
        </w:numPr>
        <w:tabs>
          <w:tab w:val="left" w:pos="2420"/>
        </w:tabs>
        <w:spacing w:line="242" w:lineRule="auto"/>
        <w:ind w:left="1915"/>
        <w:jc w:val="both"/>
        <w:rPr>
          <w:rFonts w:eastAsia="Times New Roman"/>
          <w:sz w:val="24"/>
          <w:szCs w:val="24"/>
        </w:rPr>
      </w:pPr>
      <w:r w:rsidRPr="00CE3746">
        <w:rPr>
          <w:rFonts w:eastAsia="Times New Roman"/>
          <w:sz w:val="24"/>
          <w:szCs w:val="24"/>
          <w:u w:val="single"/>
        </w:rPr>
        <w:t>Continued Eligibility</w:t>
      </w:r>
      <w:r w:rsidRPr="00CE3746">
        <w:rPr>
          <w:rFonts w:eastAsia="Times New Roman"/>
          <w:sz w:val="24"/>
          <w:szCs w:val="24"/>
        </w:rPr>
        <w:t>.  If the system continues to satisfy the requirements of</w:t>
      </w:r>
      <w:r w:rsidR="00CE3746" w:rsidRPr="00CE3746">
        <w:rPr>
          <w:rFonts w:eastAsia="Times New Roman"/>
          <w:sz w:val="24"/>
          <w:szCs w:val="24"/>
        </w:rPr>
        <w:t xml:space="preserve"> 310</w:t>
      </w:r>
      <w:r w:rsidR="00CE3746">
        <w:rPr>
          <w:rFonts w:eastAsia="Times New Roman"/>
          <w:sz w:val="24"/>
          <w:szCs w:val="24"/>
        </w:rPr>
        <w:t xml:space="preserve"> </w:t>
      </w:r>
      <w:r w:rsidRPr="00CE3746">
        <w:rPr>
          <w:rFonts w:eastAsia="Times New Roman"/>
          <w:sz w:val="24"/>
          <w:szCs w:val="24"/>
        </w:rPr>
        <w:t>CMR 22.06B(7)(g)4., the waiver will be renewed automatically, unless any of the conditions listed in 310 CMR 22.06B(7)(g)5.a. through c. occurs. A system whose waiver has been revoked may re-apply for a waiver at such time as it again meets the appropriate materials and monitoring criteria of 310 CMR 22.06B(7)(g)1. and 2.</w:t>
      </w:r>
    </w:p>
    <w:p w14:paraId="2819E192" w14:textId="77777777" w:rsidR="004647B9" w:rsidRPr="005F0D8F" w:rsidRDefault="00E2436F" w:rsidP="00563A54">
      <w:pPr>
        <w:numPr>
          <w:ilvl w:val="1"/>
          <w:numId w:val="205"/>
        </w:numPr>
        <w:tabs>
          <w:tab w:val="left" w:pos="2663"/>
        </w:tabs>
        <w:spacing w:line="233" w:lineRule="auto"/>
        <w:ind w:left="2280" w:hanging="5"/>
        <w:jc w:val="both"/>
        <w:rPr>
          <w:rFonts w:eastAsia="Times New Roman"/>
          <w:sz w:val="24"/>
          <w:szCs w:val="24"/>
        </w:rPr>
      </w:pPr>
      <w:r w:rsidRPr="005F0D8F">
        <w:rPr>
          <w:rFonts w:eastAsia="Times New Roman"/>
          <w:sz w:val="24"/>
          <w:szCs w:val="24"/>
        </w:rPr>
        <w:t>A system with a full waiver or a lead waiver no longer satisfies the materials criteria of 310 CMR 22.06B(7)(g)1.a. or has a 90</w:t>
      </w:r>
      <w:r w:rsidRPr="005F0D8F">
        <w:rPr>
          <w:rFonts w:eastAsia="Times New Roman"/>
          <w:sz w:val="24"/>
          <w:szCs w:val="24"/>
          <w:vertAlign w:val="superscript"/>
        </w:rPr>
        <w:t>th</w:t>
      </w:r>
      <w:r w:rsidRPr="005F0D8F">
        <w:rPr>
          <w:rFonts w:eastAsia="Times New Roman"/>
          <w:sz w:val="24"/>
          <w:szCs w:val="24"/>
        </w:rPr>
        <w:t xml:space="preserve"> percentile lead level greater than 0.005 mg/L.</w:t>
      </w:r>
    </w:p>
    <w:p w14:paraId="2819E194" w14:textId="77777777" w:rsidR="004647B9" w:rsidRPr="005F0D8F" w:rsidRDefault="00E2436F" w:rsidP="00563A54">
      <w:pPr>
        <w:numPr>
          <w:ilvl w:val="1"/>
          <w:numId w:val="205"/>
        </w:numPr>
        <w:tabs>
          <w:tab w:val="left" w:pos="2638"/>
        </w:tabs>
        <w:spacing w:line="233" w:lineRule="auto"/>
        <w:ind w:left="2280" w:hanging="5"/>
        <w:jc w:val="both"/>
        <w:rPr>
          <w:rFonts w:eastAsia="Times New Roman"/>
          <w:sz w:val="24"/>
          <w:szCs w:val="24"/>
        </w:rPr>
      </w:pPr>
      <w:r w:rsidRPr="005F0D8F">
        <w:rPr>
          <w:rFonts w:eastAsia="Times New Roman"/>
          <w:sz w:val="24"/>
          <w:szCs w:val="24"/>
        </w:rPr>
        <w:t>A system with a full waiver or a copper waiver no longer satisfies the materials criteria of 310 CMR 22.06B(7)(g)1.b. or has a 90</w:t>
      </w:r>
      <w:r w:rsidRPr="005F0D8F">
        <w:rPr>
          <w:rFonts w:eastAsia="Times New Roman"/>
          <w:sz w:val="24"/>
          <w:szCs w:val="24"/>
          <w:vertAlign w:val="superscript"/>
        </w:rPr>
        <w:t>th</w:t>
      </w:r>
      <w:r w:rsidRPr="005F0D8F">
        <w:rPr>
          <w:rFonts w:eastAsia="Times New Roman"/>
          <w:sz w:val="24"/>
          <w:szCs w:val="24"/>
        </w:rPr>
        <w:t xml:space="preserve"> percentile copper level greater than 0.65 mg/L.</w:t>
      </w:r>
    </w:p>
    <w:p w14:paraId="2819E195" w14:textId="77777777" w:rsidR="004647B9" w:rsidRPr="005F0D8F" w:rsidRDefault="00E2436F" w:rsidP="00563A54">
      <w:pPr>
        <w:numPr>
          <w:ilvl w:val="1"/>
          <w:numId w:val="205"/>
        </w:numPr>
        <w:tabs>
          <w:tab w:val="left" w:pos="2580"/>
        </w:tabs>
        <w:spacing w:line="243" w:lineRule="auto"/>
        <w:ind w:left="2280" w:hanging="5"/>
        <w:rPr>
          <w:rFonts w:eastAsia="Times New Roman"/>
          <w:sz w:val="24"/>
          <w:szCs w:val="24"/>
        </w:rPr>
      </w:pPr>
      <w:r w:rsidRPr="005F0D8F">
        <w:rPr>
          <w:rFonts w:eastAsia="Times New Roman"/>
          <w:sz w:val="24"/>
          <w:szCs w:val="24"/>
        </w:rPr>
        <w:t>The Department notifies the system, in writing, that the waiver has been revoked, setting forth the basis of its decision.</w:t>
      </w:r>
    </w:p>
    <w:p w14:paraId="2819E196" w14:textId="77777777" w:rsidR="004647B9" w:rsidRPr="005F0D8F" w:rsidRDefault="00E2436F" w:rsidP="00CE3746">
      <w:pPr>
        <w:numPr>
          <w:ilvl w:val="0"/>
          <w:numId w:val="206"/>
        </w:numPr>
        <w:tabs>
          <w:tab w:val="left" w:pos="2244"/>
        </w:tabs>
        <w:spacing w:line="242" w:lineRule="auto"/>
        <w:ind w:left="1915"/>
        <w:jc w:val="both"/>
        <w:rPr>
          <w:rFonts w:eastAsia="Times New Roman"/>
          <w:sz w:val="24"/>
          <w:szCs w:val="24"/>
        </w:rPr>
      </w:pPr>
      <w:r w:rsidRPr="005F0D8F">
        <w:rPr>
          <w:rFonts w:eastAsia="Times New Roman"/>
          <w:sz w:val="24"/>
          <w:szCs w:val="24"/>
          <w:u w:val="single"/>
        </w:rPr>
        <w:t>Requirements Following Waiver Revocation</w:t>
      </w:r>
      <w:r w:rsidRPr="005F0D8F">
        <w:rPr>
          <w:rFonts w:eastAsia="Times New Roman"/>
          <w:sz w:val="24"/>
          <w:szCs w:val="24"/>
        </w:rPr>
        <w:t>. A system whose full or partial waiver has been revoked by the Department is subject to the corrosion control treatment and lead and copper tap water monitoring requirements, as follows:</w:t>
      </w:r>
    </w:p>
    <w:p w14:paraId="2819E198" w14:textId="77777777" w:rsidR="004647B9" w:rsidRPr="005F0D8F" w:rsidRDefault="00E2436F" w:rsidP="00563A54">
      <w:pPr>
        <w:numPr>
          <w:ilvl w:val="1"/>
          <w:numId w:val="206"/>
        </w:numPr>
        <w:tabs>
          <w:tab w:val="left" w:pos="2728"/>
        </w:tabs>
        <w:spacing w:line="260" w:lineRule="auto"/>
        <w:ind w:left="2280" w:hanging="5"/>
        <w:jc w:val="both"/>
        <w:rPr>
          <w:rFonts w:eastAsia="Times New Roman"/>
          <w:sz w:val="24"/>
          <w:szCs w:val="24"/>
        </w:rPr>
      </w:pPr>
      <w:r w:rsidRPr="005F0D8F">
        <w:rPr>
          <w:rFonts w:eastAsia="Times New Roman"/>
          <w:sz w:val="24"/>
          <w:szCs w:val="24"/>
        </w:rPr>
        <w:t>If the system exceeds the lead and/or copper action level, the system shall implement corrosion control treatment in accordance with the deadlines specified in 310 CMR 22.06B(2)(e), and any other applicable requirements of 310 CMR 22.06B.</w:t>
      </w:r>
    </w:p>
    <w:p w14:paraId="2819E199" w14:textId="77777777" w:rsidR="004647B9" w:rsidRDefault="004647B9">
      <w:pPr>
        <w:sectPr w:rsidR="004647B9" w:rsidSect="00EF630C">
          <w:pgSz w:w="12240" w:h="20180"/>
          <w:pgMar w:top="708" w:right="1440" w:bottom="1440" w:left="600" w:header="0" w:footer="0" w:gutter="0"/>
          <w:cols w:space="720" w:equalWidth="0">
            <w:col w:w="10200"/>
          </w:cols>
        </w:sectPr>
      </w:pPr>
    </w:p>
    <w:p w14:paraId="2819E19A" w14:textId="77777777" w:rsidR="004647B9" w:rsidRDefault="00E2436F">
      <w:pPr>
        <w:tabs>
          <w:tab w:val="left" w:pos="160"/>
        </w:tabs>
        <w:jc w:val="center"/>
        <w:rPr>
          <w:sz w:val="20"/>
          <w:szCs w:val="20"/>
        </w:rPr>
      </w:pPr>
      <w:bookmarkStart w:id="82" w:name="page83"/>
      <w:bookmarkEnd w:id="8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19B" w14:textId="77777777" w:rsidR="004647B9" w:rsidRDefault="004647B9" w:rsidP="00E94DEF">
      <w:pPr>
        <w:rPr>
          <w:sz w:val="20"/>
          <w:szCs w:val="20"/>
        </w:rPr>
      </w:pPr>
    </w:p>
    <w:p w14:paraId="2819E19C" w14:textId="77777777" w:rsidR="004647B9" w:rsidRDefault="004647B9" w:rsidP="00E94DEF">
      <w:pPr>
        <w:rPr>
          <w:sz w:val="20"/>
          <w:szCs w:val="20"/>
        </w:rPr>
      </w:pPr>
    </w:p>
    <w:p w14:paraId="2819E19D"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19E" w14:textId="77777777" w:rsidR="004647B9" w:rsidRDefault="004647B9" w:rsidP="00E94DEF">
      <w:pPr>
        <w:rPr>
          <w:sz w:val="20"/>
          <w:szCs w:val="20"/>
        </w:rPr>
      </w:pPr>
    </w:p>
    <w:p w14:paraId="2819E19F" w14:textId="77777777" w:rsidR="004647B9" w:rsidRPr="005F0D8F" w:rsidRDefault="00E2436F" w:rsidP="00563A54">
      <w:pPr>
        <w:numPr>
          <w:ilvl w:val="1"/>
          <w:numId w:val="207"/>
        </w:numPr>
        <w:tabs>
          <w:tab w:val="left" w:pos="2662"/>
        </w:tabs>
        <w:spacing w:line="263" w:lineRule="auto"/>
        <w:ind w:left="2280" w:hanging="5"/>
        <w:jc w:val="both"/>
        <w:rPr>
          <w:rFonts w:eastAsia="Times New Roman"/>
          <w:sz w:val="24"/>
          <w:szCs w:val="24"/>
        </w:rPr>
      </w:pPr>
      <w:r w:rsidRPr="005F0D8F">
        <w:rPr>
          <w:rFonts w:eastAsia="Times New Roman"/>
          <w:sz w:val="24"/>
          <w:szCs w:val="24"/>
        </w:rPr>
        <w:t>If the system meets both the lead and the copper action level, the system shall monitor for lead and copper at the tap no less frequently than once every three years using the reduced number of sample sites specified in 310 CMR 22.06B(7)(c).</w:t>
      </w:r>
    </w:p>
    <w:p w14:paraId="2819E1A1" w14:textId="77777777" w:rsidR="004647B9" w:rsidRPr="005F0D8F" w:rsidRDefault="00E2436F" w:rsidP="00563A54">
      <w:pPr>
        <w:numPr>
          <w:ilvl w:val="0"/>
          <w:numId w:val="208"/>
        </w:numPr>
        <w:tabs>
          <w:tab w:val="left" w:pos="2246"/>
        </w:tabs>
        <w:spacing w:line="243" w:lineRule="auto"/>
        <w:ind w:left="1920" w:hanging="5"/>
        <w:rPr>
          <w:rFonts w:eastAsia="Times New Roman"/>
          <w:sz w:val="24"/>
          <w:szCs w:val="24"/>
        </w:rPr>
      </w:pPr>
      <w:r w:rsidRPr="005F0D8F">
        <w:rPr>
          <w:rFonts w:eastAsia="Times New Roman"/>
          <w:sz w:val="24"/>
          <w:szCs w:val="24"/>
          <w:u w:val="single"/>
        </w:rPr>
        <w:t>Pre-existing Waivers</w:t>
      </w:r>
      <w:r w:rsidRPr="005F0D8F">
        <w:rPr>
          <w:rFonts w:eastAsia="Times New Roman"/>
          <w:sz w:val="24"/>
          <w:szCs w:val="24"/>
        </w:rPr>
        <w:t>. Small system waivers approved by the Department in writing prior to April 11, 2000 shall remain in effect under the following conditions:</w:t>
      </w:r>
    </w:p>
    <w:p w14:paraId="2819E1A4" w14:textId="614D6D1A" w:rsidR="004647B9" w:rsidRPr="00E47135" w:rsidRDefault="00E2436F" w:rsidP="00563A54">
      <w:pPr>
        <w:numPr>
          <w:ilvl w:val="1"/>
          <w:numId w:val="208"/>
        </w:numPr>
        <w:tabs>
          <w:tab w:val="left" w:pos="2600"/>
        </w:tabs>
        <w:ind w:left="2280"/>
        <w:rPr>
          <w:rFonts w:eastAsia="Times New Roman"/>
          <w:sz w:val="24"/>
          <w:szCs w:val="24"/>
        </w:rPr>
      </w:pPr>
      <w:r w:rsidRPr="005F0D8F">
        <w:rPr>
          <w:rFonts w:eastAsia="Times New Roman"/>
          <w:sz w:val="24"/>
          <w:szCs w:val="24"/>
        </w:rPr>
        <w:t>If the system has demonstrated that it is both free of lead-containing and copper-</w:t>
      </w:r>
      <w:r w:rsidRPr="00E47135">
        <w:rPr>
          <w:rFonts w:eastAsia="Times New Roman"/>
          <w:sz w:val="24"/>
          <w:szCs w:val="24"/>
        </w:rPr>
        <w:t>containing materials, as required by 310 CMR 22.06B(7)(g)1. and that its 90</w:t>
      </w:r>
      <w:r w:rsidRPr="00E47135">
        <w:rPr>
          <w:rFonts w:eastAsia="Times New Roman"/>
          <w:sz w:val="24"/>
          <w:szCs w:val="24"/>
          <w:vertAlign w:val="superscript"/>
        </w:rPr>
        <w:t>th</w:t>
      </w:r>
      <w:r w:rsidRPr="00E47135">
        <w:rPr>
          <w:rFonts w:eastAsia="Times New Roman"/>
          <w:sz w:val="24"/>
          <w:szCs w:val="24"/>
        </w:rPr>
        <w:t xml:space="preserve"> percentile lead levels and 90</w:t>
      </w:r>
      <w:r w:rsidRPr="00E47135">
        <w:rPr>
          <w:rFonts w:eastAsia="Times New Roman"/>
          <w:sz w:val="24"/>
          <w:szCs w:val="24"/>
          <w:vertAlign w:val="superscript"/>
        </w:rPr>
        <w:t>th</w:t>
      </w:r>
      <w:r w:rsidRPr="00E47135">
        <w:rPr>
          <w:rFonts w:eastAsia="Times New Roman"/>
          <w:sz w:val="24"/>
          <w:szCs w:val="24"/>
        </w:rPr>
        <w:t xml:space="preserve"> percentile copper levels meet the criteria of 310 CMR 22.06B(7)(g)2., the waiver remains in effect so long as the system continues to meet the waiver eligibility criteria of 310 CMR 22.06B(7)(g)5. The first round of tap water monitoring conducted pursuant to 310 CMR 22.06B(7)(g)4. shall be completed no later than nine years after the last time the system has monitored for lead and copper at the tap.</w:t>
      </w:r>
    </w:p>
    <w:p w14:paraId="2819E1A8" w14:textId="56FA9BE3" w:rsidR="004647B9" w:rsidRPr="00E47135" w:rsidRDefault="00E2436F" w:rsidP="00563A54">
      <w:pPr>
        <w:numPr>
          <w:ilvl w:val="3"/>
          <w:numId w:val="209"/>
        </w:numPr>
        <w:tabs>
          <w:tab w:val="left" w:pos="2640"/>
        </w:tabs>
        <w:spacing w:line="253" w:lineRule="auto"/>
        <w:ind w:left="2280" w:hanging="5"/>
        <w:jc w:val="both"/>
        <w:rPr>
          <w:rFonts w:eastAsia="Times New Roman"/>
          <w:sz w:val="24"/>
          <w:szCs w:val="24"/>
        </w:rPr>
      </w:pPr>
      <w:r w:rsidRPr="005F0D8F">
        <w:rPr>
          <w:rFonts w:eastAsia="Times New Roman"/>
          <w:sz w:val="24"/>
          <w:szCs w:val="24"/>
        </w:rPr>
        <w:t>If the system has met the materials criteria of 310 CMR 22.06B(7)(g)1. but has not met the monitoring criteria of 310 CMR 22.06B(7)(g)2., the system shall conduct</w:t>
      </w:r>
      <w:r w:rsidR="00E47135">
        <w:rPr>
          <w:rFonts w:eastAsia="Times New Roman"/>
          <w:sz w:val="24"/>
          <w:szCs w:val="24"/>
        </w:rPr>
        <w:t xml:space="preserve"> a</w:t>
      </w:r>
      <w:r w:rsidRPr="00E47135">
        <w:rPr>
          <w:rFonts w:eastAsia="Times New Roman"/>
          <w:sz w:val="24"/>
          <w:szCs w:val="24"/>
        </w:rPr>
        <w:t>round of monitoring for lead and copper at the tap demonstrating that it meets the criteria of 310 CMR 22.06B(7)(g)2. no later than September 30, 2000. Thereafter, the waiver shall remain in effect as long as the system meets the continued eligibility criteria of 310 CMR 22.06B(7)(g)5. The first round of tap water monitoring conducted pursuant to 310 CMR 22.06B(7)(g)4. shall be completed no later than nine years after the round of monitoring conducted pursuant to 310 CMR 22.06B(7)(g)2.</w:t>
      </w:r>
    </w:p>
    <w:p w14:paraId="2819E1A9" w14:textId="77777777" w:rsidR="004647B9" w:rsidRPr="005F0D8F" w:rsidRDefault="004647B9" w:rsidP="00E94DEF">
      <w:pPr>
        <w:rPr>
          <w:rFonts w:eastAsia="Times New Roman"/>
          <w:sz w:val="24"/>
          <w:szCs w:val="24"/>
        </w:rPr>
      </w:pPr>
    </w:p>
    <w:p w14:paraId="2819E1AA" w14:textId="77777777" w:rsidR="004647B9" w:rsidRPr="005F0D8F" w:rsidRDefault="00E2436F" w:rsidP="00563A54">
      <w:pPr>
        <w:numPr>
          <w:ilvl w:val="0"/>
          <w:numId w:val="210"/>
        </w:numPr>
        <w:tabs>
          <w:tab w:val="left" w:pos="1666"/>
        </w:tabs>
        <w:spacing w:line="248" w:lineRule="auto"/>
        <w:ind w:left="1200"/>
        <w:jc w:val="both"/>
        <w:rPr>
          <w:rFonts w:eastAsia="Times New Roman"/>
          <w:sz w:val="24"/>
          <w:szCs w:val="24"/>
        </w:rPr>
      </w:pPr>
      <w:r w:rsidRPr="005F0D8F">
        <w:rPr>
          <w:rFonts w:eastAsia="Times New Roman"/>
          <w:sz w:val="24"/>
          <w:szCs w:val="24"/>
          <w:u w:val="single"/>
        </w:rPr>
        <w:t>Monitoring Requirements for Water Quality Parameters</w:t>
      </w:r>
      <w:r w:rsidRPr="005F0D8F">
        <w:rPr>
          <w:rFonts w:eastAsia="Times New Roman"/>
          <w:sz w:val="24"/>
          <w:szCs w:val="24"/>
        </w:rPr>
        <w:t>. All large water systems and all small and medium-size systems that exceed the lead or copper action level shall monitor water quality parameters in addition to lead and copper in accordance with 310 CMR 22.06B(8). The requirements of 310 CMR 22.06B(8) are summarized in the table at the end of 310 CMR 22.06B.</w:t>
      </w:r>
    </w:p>
    <w:p w14:paraId="2819E1AC" w14:textId="77777777" w:rsidR="004647B9" w:rsidRPr="00E47135" w:rsidRDefault="00E2436F" w:rsidP="00563A54">
      <w:pPr>
        <w:numPr>
          <w:ilvl w:val="1"/>
          <w:numId w:val="210"/>
        </w:numPr>
        <w:tabs>
          <w:tab w:val="left" w:pos="2000"/>
        </w:tabs>
        <w:ind w:left="2000" w:hanging="445"/>
        <w:rPr>
          <w:rFonts w:eastAsia="Times New Roman"/>
          <w:sz w:val="24"/>
          <w:szCs w:val="24"/>
        </w:rPr>
      </w:pPr>
      <w:r w:rsidRPr="00E47135">
        <w:rPr>
          <w:rFonts w:eastAsia="Times New Roman"/>
          <w:sz w:val="24"/>
          <w:szCs w:val="24"/>
          <w:u w:val="single"/>
        </w:rPr>
        <w:t>General Requirements</w:t>
      </w:r>
      <w:r w:rsidRPr="00E47135">
        <w:rPr>
          <w:rFonts w:eastAsia="Times New Roman"/>
          <w:sz w:val="24"/>
          <w:szCs w:val="24"/>
        </w:rPr>
        <w:t>.</w:t>
      </w:r>
    </w:p>
    <w:p w14:paraId="2819E1AE" w14:textId="77777777" w:rsidR="004647B9" w:rsidRPr="00E47135" w:rsidRDefault="00E2436F" w:rsidP="00563A54">
      <w:pPr>
        <w:numPr>
          <w:ilvl w:val="2"/>
          <w:numId w:val="210"/>
        </w:numPr>
        <w:tabs>
          <w:tab w:val="left" w:pos="2280"/>
        </w:tabs>
        <w:ind w:left="2280" w:hanging="365"/>
        <w:rPr>
          <w:rFonts w:eastAsia="Times New Roman"/>
          <w:sz w:val="24"/>
          <w:szCs w:val="24"/>
        </w:rPr>
      </w:pPr>
      <w:r w:rsidRPr="00E47135">
        <w:rPr>
          <w:rFonts w:eastAsia="Times New Roman"/>
          <w:sz w:val="24"/>
          <w:szCs w:val="24"/>
          <w:u w:val="single"/>
        </w:rPr>
        <w:t>Sample Collection Methods</w:t>
      </w:r>
      <w:r w:rsidRPr="00E47135">
        <w:rPr>
          <w:rFonts w:eastAsia="Times New Roman"/>
          <w:sz w:val="24"/>
          <w:szCs w:val="24"/>
        </w:rPr>
        <w:t>.</w:t>
      </w:r>
    </w:p>
    <w:p w14:paraId="2819E1B0" w14:textId="77777777" w:rsidR="004647B9" w:rsidRPr="00E47135" w:rsidRDefault="00E2436F" w:rsidP="00563A54">
      <w:pPr>
        <w:numPr>
          <w:ilvl w:val="3"/>
          <w:numId w:val="210"/>
        </w:numPr>
        <w:tabs>
          <w:tab w:val="left" w:pos="2619"/>
        </w:tabs>
        <w:spacing w:line="253" w:lineRule="auto"/>
        <w:ind w:left="2280" w:hanging="5"/>
        <w:jc w:val="both"/>
        <w:rPr>
          <w:rFonts w:eastAsia="Times New Roman"/>
          <w:sz w:val="24"/>
          <w:szCs w:val="24"/>
        </w:rPr>
      </w:pPr>
      <w:r w:rsidRPr="00E47135">
        <w:rPr>
          <w:rFonts w:eastAsia="Times New Roman"/>
          <w:sz w:val="24"/>
          <w:szCs w:val="24"/>
        </w:rPr>
        <w:t>Tap samples shall be representative of water quality throughout the distribution system taking into account the number of persons served, the different sources of water, the different treatment methods employed by the system, and seasonal variability. Tap sampling under 310 CMR 22.06B(8) is not required to be conducted at taps targeted for lead and copper sampling under 310 CMR 22.06B(7)(a). (Note: Systems may find it convenient to conduct tap sampling for water quality parameters at sites used for coliform sampling under 310 CMR 22.05.)</w:t>
      </w:r>
    </w:p>
    <w:p w14:paraId="2819E1B2" w14:textId="77777777" w:rsidR="004647B9" w:rsidRPr="00E47135" w:rsidRDefault="00E2436F" w:rsidP="00563A54">
      <w:pPr>
        <w:numPr>
          <w:ilvl w:val="3"/>
          <w:numId w:val="210"/>
        </w:numPr>
        <w:tabs>
          <w:tab w:val="left" w:pos="2654"/>
        </w:tabs>
        <w:spacing w:line="253" w:lineRule="auto"/>
        <w:ind w:left="2280" w:hanging="5"/>
        <w:jc w:val="both"/>
        <w:rPr>
          <w:rFonts w:eastAsia="Times New Roman"/>
          <w:sz w:val="24"/>
          <w:szCs w:val="24"/>
        </w:rPr>
      </w:pPr>
      <w:r w:rsidRPr="00E47135">
        <w:rPr>
          <w:rFonts w:eastAsia="Times New Roman"/>
          <w:sz w:val="24"/>
          <w:szCs w:val="24"/>
        </w:rPr>
        <w:t>Samples collected at the entry point(s) to the distribution system shall be from locations representative of each source after treatment. If a system draws water from more than one source and the sources are combined before distribution, the system shall sample at an entry point to the distribution system during periods of normal operating conditions (</w:t>
      </w:r>
      <w:r w:rsidRPr="00E47135">
        <w:rPr>
          <w:rFonts w:eastAsia="Times New Roman"/>
          <w:i/>
          <w:iCs/>
          <w:sz w:val="24"/>
          <w:szCs w:val="24"/>
        </w:rPr>
        <w:t>i.e</w:t>
      </w:r>
      <w:r w:rsidRPr="00E47135">
        <w:rPr>
          <w:rFonts w:eastAsia="Times New Roman"/>
          <w:sz w:val="24"/>
          <w:szCs w:val="24"/>
        </w:rPr>
        <w:t>., when water is representative of all sources being used).</w:t>
      </w:r>
    </w:p>
    <w:p w14:paraId="2819E1B4" w14:textId="77777777" w:rsidR="004647B9" w:rsidRPr="00E47135" w:rsidRDefault="00E2436F" w:rsidP="00563A54">
      <w:pPr>
        <w:numPr>
          <w:ilvl w:val="2"/>
          <w:numId w:val="210"/>
        </w:numPr>
        <w:tabs>
          <w:tab w:val="left" w:pos="2280"/>
        </w:tabs>
        <w:ind w:left="2280" w:hanging="365"/>
        <w:rPr>
          <w:rFonts w:eastAsia="Times New Roman"/>
          <w:sz w:val="24"/>
          <w:szCs w:val="24"/>
        </w:rPr>
      </w:pPr>
      <w:r w:rsidRPr="00E47135">
        <w:rPr>
          <w:rFonts w:eastAsia="Times New Roman"/>
          <w:sz w:val="24"/>
          <w:szCs w:val="24"/>
          <w:u w:val="single"/>
        </w:rPr>
        <w:t>Number of Samples</w:t>
      </w:r>
      <w:r w:rsidRPr="00E47135">
        <w:rPr>
          <w:rFonts w:eastAsia="Times New Roman"/>
          <w:sz w:val="24"/>
          <w:szCs w:val="24"/>
        </w:rPr>
        <w:t>.</w:t>
      </w:r>
    </w:p>
    <w:p w14:paraId="2819E1B6" w14:textId="77777777" w:rsidR="004647B9" w:rsidRPr="00E47135" w:rsidRDefault="00E2436F" w:rsidP="00563A54">
      <w:pPr>
        <w:numPr>
          <w:ilvl w:val="3"/>
          <w:numId w:val="210"/>
        </w:numPr>
        <w:tabs>
          <w:tab w:val="left" w:pos="2663"/>
        </w:tabs>
        <w:spacing w:line="245" w:lineRule="auto"/>
        <w:ind w:left="2280" w:hanging="5"/>
        <w:jc w:val="both"/>
        <w:rPr>
          <w:rFonts w:eastAsia="Times New Roman"/>
          <w:sz w:val="24"/>
          <w:szCs w:val="24"/>
        </w:rPr>
      </w:pPr>
      <w:r w:rsidRPr="00E47135">
        <w:rPr>
          <w:rFonts w:eastAsia="Times New Roman"/>
          <w:sz w:val="24"/>
          <w:szCs w:val="24"/>
        </w:rPr>
        <w:t>Systems shall collect two tap samples for applicable water quality parameters during each monitoring period specified under 310 CMR 22.06B(8)(b) through (e) from the following number of sites.</w:t>
      </w:r>
    </w:p>
    <w:p w14:paraId="2819E1B7" w14:textId="77777777" w:rsidR="004647B9" w:rsidRPr="00A34D0D" w:rsidRDefault="004647B9" w:rsidP="00A34D0D">
      <w:pPr>
        <w:rPr>
          <w:sz w:val="24"/>
          <w:szCs w:val="24"/>
        </w:rPr>
      </w:pPr>
    </w:p>
    <w:tbl>
      <w:tblPr>
        <w:tblW w:w="0" w:type="auto"/>
        <w:tblInd w:w="2740" w:type="dxa"/>
        <w:tblLayout w:type="fixed"/>
        <w:tblCellMar>
          <w:left w:w="0" w:type="dxa"/>
          <w:right w:w="0" w:type="dxa"/>
        </w:tblCellMar>
        <w:tblLook w:val="04A0" w:firstRow="1" w:lastRow="0" w:firstColumn="1" w:lastColumn="0" w:noHBand="0" w:noVBand="1"/>
      </w:tblPr>
      <w:tblGrid>
        <w:gridCol w:w="2620"/>
        <w:gridCol w:w="2920"/>
      </w:tblGrid>
      <w:tr w:rsidR="00581D61" w14:paraId="2819E1BB" w14:textId="77777777" w:rsidTr="00581D61">
        <w:trPr>
          <w:trHeight w:val="278"/>
        </w:trPr>
        <w:tc>
          <w:tcPr>
            <w:tcW w:w="2620" w:type="dxa"/>
            <w:vAlign w:val="center"/>
          </w:tcPr>
          <w:p w14:paraId="2819E1B8" w14:textId="77777777" w:rsidR="00581D61" w:rsidRDefault="00581D61" w:rsidP="00581D61">
            <w:pPr>
              <w:jc w:val="center"/>
              <w:rPr>
                <w:sz w:val="20"/>
                <w:szCs w:val="20"/>
              </w:rPr>
            </w:pPr>
            <w:r>
              <w:rPr>
                <w:rFonts w:eastAsia="Times New Roman"/>
                <w:w w:val="99"/>
                <w:sz w:val="24"/>
                <w:szCs w:val="24"/>
              </w:rPr>
              <w:t>System Size</w:t>
            </w:r>
          </w:p>
        </w:tc>
        <w:tc>
          <w:tcPr>
            <w:tcW w:w="2920" w:type="dxa"/>
            <w:vAlign w:val="center"/>
          </w:tcPr>
          <w:p w14:paraId="2819E1BA" w14:textId="77777777" w:rsidR="00581D61" w:rsidRDefault="00581D61" w:rsidP="00581D61">
            <w:pPr>
              <w:jc w:val="center"/>
              <w:rPr>
                <w:sz w:val="20"/>
                <w:szCs w:val="20"/>
              </w:rPr>
            </w:pPr>
            <w:r>
              <w:rPr>
                <w:rFonts w:eastAsia="Times New Roman"/>
                <w:sz w:val="24"/>
                <w:szCs w:val="24"/>
              </w:rPr>
              <w:t>No. of Sites for</w:t>
            </w:r>
          </w:p>
        </w:tc>
      </w:tr>
      <w:tr w:rsidR="004647B9" w14:paraId="2819E1BE" w14:textId="77777777" w:rsidTr="00581D61">
        <w:trPr>
          <w:trHeight w:val="275"/>
        </w:trPr>
        <w:tc>
          <w:tcPr>
            <w:tcW w:w="2620" w:type="dxa"/>
            <w:vAlign w:val="center"/>
          </w:tcPr>
          <w:p w14:paraId="2819E1BC" w14:textId="77777777" w:rsidR="004647B9" w:rsidRPr="00581D61" w:rsidRDefault="00E2436F" w:rsidP="00581D61">
            <w:pPr>
              <w:jc w:val="center"/>
              <w:rPr>
                <w:sz w:val="20"/>
                <w:szCs w:val="20"/>
                <w:u w:val="single"/>
              </w:rPr>
            </w:pPr>
            <w:r w:rsidRPr="00581D61">
              <w:rPr>
                <w:rFonts w:eastAsia="Times New Roman"/>
                <w:sz w:val="24"/>
                <w:szCs w:val="24"/>
                <w:u w:val="single"/>
              </w:rPr>
              <w:t>(No. of People Served)</w:t>
            </w:r>
          </w:p>
        </w:tc>
        <w:tc>
          <w:tcPr>
            <w:tcW w:w="2920" w:type="dxa"/>
            <w:vAlign w:val="center"/>
          </w:tcPr>
          <w:p w14:paraId="2819E1BD" w14:textId="77777777" w:rsidR="004647B9" w:rsidRPr="00581D61" w:rsidRDefault="00E2436F" w:rsidP="00581D61">
            <w:pPr>
              <w:jc w:val="center"/>
              <w:rPr>
                <w:sz w:val="20"/>
                <w:szCs w:val="20"/>
                <w:u w:val="single"/>
              </w:rPr>
            </w:pPr>
            <w:r w:rsidRPr="00581D61">
              <w:rPr>
                <w:rFonts w:eastAsia="Times New Roman"/>
                <w:sz w:val="24"/>
                <w:szCs w:val="24"/>
                <w:u w:val="single"/>
              </w:rPr>
              <w:t>Water Quality Parameters</w:t>
            </w:r>
          </w:p>
        </w:tc>
      </w:tr>
      <w:tr w:rsidR="00581D61" w14:paraId="2819E1C3" w14:textId="77777777" w:rsidTr="00581D61">
        <w:trPr>
          <w:trHeight w:val="264"/>
        </w:trPr>
        <w:tc>
          <w:tcPr>
            <w:tcW w:w="2620" w:type="dxa"/>
            <w:vAlign w:val="center"/>
          </w:tcPr>
          <w:p w14:paraId="2819E1C0" w14:textId="4E461FF9" w:rsidR="00581D61" w:rsidRDefault="00581D61" w:rsidP="00581D61">
            <w:pPr>
              <w:jc w:val="center"/>
            </w:pPr>
            <w:r>
              <w:rPr>
                <w:rFonts w:eastAsia="Times New Roman"/>
                <w:w w:val="98"/>
                <w:sz w:val="24"/>
                <w:szCs w:val="24"/>
              </w:rPr>
              <w:t>&gt;100,000</w:t>
            </w:r>
          </w:p>
        </w:tc>
        <w:tc>
          <w:tcPr>
            <w:tcW w:w="2920" w:type="dxa"/>
            <w:vAlign w:val="center"/>
          </w:tcPr>
          <w:p w14:paraId="2819E1C2" w14:textId="77777777" w:rsidR="00581D61" w:rsidRDefault="00581D61" w:rsidP="00581D61">
            <w:pPr>
              <w:spacing w:line="264" w:lineRule="exact"/>
              <w:jc w:val="center"/>
              <w:rPr>
                <w:sz w:val="20"/>
                <w:szCs w:val="20"/>
              </w:rPr>
            </w:pPr>
            <w:r>
              <w:rPr>
                <w:rFonts w:eastAsia="Times New Roman"/>
                <w:sz w:val="24"/>
                <w:szCs w:val="24"/>
              </w:rPr>
              <w:t>25</w:t>
            </w:r>
          </w:p>
        </w:tc>
      </w:tr>
      <w:tr w:rsidR="00581D61" w14:paraId="2819E1C7" w14:textId="77777777" w:rsidTr="00347FE4">
        <w:trPr>
          <w:trHeight w:val="281"/>
        </w:trPr>
        <w:tc>
          <w:tcPr>
            <w:tcW w:w="2620" w:type="dxa"/>
            <w:vAlign w:val="center"/>
          </w:tcPr>
          <w:p w14:paraId="2819E1C5" w14:textId="3C2D8DA5" w:rsidR="00581D61" w:rsidRDefault="00581D61" w:rsidP="00581D61">
            <w:pPr>
              <w:jc w:val="center"/>
              <w:rPr>
                <w:sz w:val="24"/>
                <w:szCs w:val="24"/>
              </w:rPr>
            </w:pPr>
            <w:r>
              <w:rPr>
                <w:rFonts w:eastAsia="Times New Roman"/>
                <w:w w:val="99"/>
                <w:sz w:val="24"/>
                <w:szCs w:val="24"/>
              </w:rPr>
              <w:t>10,001-100,000</w:t>
            </w:r>
          </w:p>
        </w:tc>
        <w:tc>
          <w:tcPr>
            <w:tcW w:w="2920" w:type="dxa"/>
            <w:vAlign w:val="center"/>
          </w:tcPr>
          <w:p w14:paraId="2819E1C6" w14:textId="77777777" w:rsidR="00581D61" w:rsidRDefault="00581D61" w:rsidP="00581D61">
            <w:pPr>
              <w:jc w:val="center"/>
              <w:rPr>
                <w:sz w:val="20"/>
                <w:szCs w:val="20"/>
              </w:rPr>
            </w:pPr>
            <w:r>
              <w:rPr>
                <w:rFonts w:eastAsia="Times New Roman"/>
                <w:sz w:val="24"/>
                <w:szCs w:val="24"/>
              </w:rPr>
              <w:t>10</w:t>
            </w:r>
          </w:p>
        </w:tc>
      </w:tr>
      <w:tr w:rsidR="004647B9" w14:paraId="2819E1CA" w14:textId="77777777" w:rsidTr="00581D61">
        <w:trPr>
          <w:trHeight w:val="278"/>
        </w:trPr>
        <w:tc>
          <w:tcPr>
            <w:tcW w:w="2620" w:type="dxa"/>
            <w:vAlign w:val="center"/>
          </w:tcPr>
          <w:p w14:paraId="2819E1C8" w14:textId="77777777" w:rsidR="004647B9" w:rsidRDefault="00E2436F" w:rsidP="00581D61">
            <w:pPr>
              <w:jc w:val="center"/>
              <w:rPr>
                <w:sz w:val="20"/>
                <w:szCs w:val="20"/>
              </w:rPr>
            </w:pPr>
            <w:r>
              <w:rPr>
                <w:rFonts w:eastAsia="Times New Roman"/>
                <w:w w:val="99"/>
                <w:sz w:val="24"/>
                <w:szCs w:val="24"/>
              </w:rPr>
              <w:t>3,301 to 10,000</w:t>
            </w:r>
          </w:p>
        </w:tc>
        <w:tc>
          <w:tcPr>
            <w:tcW w:w="2920" w:type="dxa"/>
            <w:vAlign w:val="center"/>
          </w:tcPr>
          <w:p w14:paraId="2819E1C9" w14:textId="77777777" w:rsidR="004647B9" w:rsidRDefault="00E2436F" w:rsidP="00581D61">
            <w:pPr>
              <w:jc w:val="center"/>
              <w:rPr>
                <w:sz w:val="20"/>
                <w:szCs w:val="20"/>
              </w:rPr>
            </w:pPr>
            <w:r>
              <w:rPr>
                <w:rFonts w:eastAsia="Times New Roman"/>
                <w:sz w:val="24"/>
                <w:szCs w:val="24"/>
              </w:rPr>
              <w:t>3</w:t>
            </w:r>
          </w:p>
        </w:tc>
      </w:tr>
      <w:tr w:rsidR="004647B9" w14:paraId="2819E1CD" w14:textId="77777777" w:rsidTr="00581D61">
        <w:trPr>
          <w:trHeight w:val="281"/>
        </w:trPr>
        <w:tc>
          <w:tcPr>
            <w:tcW w:w="2620" w:type="dxa"/>
            <w:vAlign w:val="center"/>
          </w:tcPr>
          <w:p w14:paraId="2819E1CB" w14:textId="77777777" w:rsidR="004647B9" w:rsidRDefault="00E2436F" w:rsidP="00581D61">
            <w:pPr>
              <w:jc w:val="center"/>
              <w:rPr>
                <w:sz w:val="20"/>
                <w:szCs w:val="20"/>
              </w:rPr>
            </w:pPr>
            <w:r>
              <w:rPr>
                <w:rFonts w:eastAsia="Times New Roman"/>
                <w:sz w:val="24"/>
                <w:szCs w:val="24"/>
              </w:rPr>
              <w:t>501 to 3,300</w:t>
            </w:r>
          </w:p>
        </w:tc>
        <w:tc>
          <w:tcPr>
            <w:tcW w:w="2920" w:type="dxa"/>
            <w:vAlign w:val="center"/>
          </w:tcPr>
          <w:p w14:paraId="2819E1CC" w14:textId="77777777" w:rsidR="004647B9" w:rsidRDefault="00E2436F" w:rsidP="00581D61">
            <w:pPr>
              <w:jc w:val="center"/>
              <w:rPr>
                <w:sz w:val="20"/>
                <w:szCs w:val="20"/>
              </w:rPr>
            </w:pPr>
            <w:r>
              <w:rPr>
                <w:rFonts w:eastAsia="Times New Roman"/>
                <w:sz w:val="24"/>
                <w:szCs w:val="24"/>
              </w:rPr>
              <w:t>2</w:t>
            </w:r>
          </w:p>
        </w:tc>
      </w:tr>
      <w:tr w:rsidR="004647B9" w14:paraId="2819E1D0" w14:textId="77777777" w:rsidTr="00581D61">
        <w:trPr>
          <w:trHeight w:val="278"/>
        </w:trPr>
        <w:tc>
          <w:tcPr>
            <w:tcW w:w="2620" w:type="dxa"/>
            <w:vAlign w:val="center"/>
          </w:tcPr>
          <w:p w14:paraId="2819E1CE" w14:textId="77777777" w:rsidR="004647B9" w:rsidRDefault="00E2436F" w:rsidP="00581D61">
            <w:pPr>
              <w:jc w:val="center"/>
              <w:rPr>
                <w:sz w:val="20"/>
                <w:szCs w:val="20"/>
              </w:rPr>
            </w:pPr>
            <w:r>
              <w:rPr>
                <w:rFonts w:eastAsia="Times New Roman"/>
                <w:w w:val="99"/>
                <w:sz w:val="24"/>
                <w:szCs w:val="24"/>
              </w:rPr>
              <w:t>101 to 500</w:t>
            </w:r>
          </w:p>
        </w:tc>
        <w:tc>
          <w:tcPr>
            <w:tcW w:w="2920" w:type="dxa"/>
            <w:vAlign w:val="center"/>
          </w:tcPr>
          <w:p w14:paraId="2819E1CF" w14:textId="77777777" w:rsidR="004647B9" w:rsidRDefault="00E2436F" w:rsidP="00581D61">
            <w:pPr>
              <w:jc w:val="center"/>
              <w:rPr>
                <w:sz w:val="20"/>
                <w:szCs w:val="20"/>
              </w:rPr>
            </w:pPr>
            <w:r>
              <w:rPr>
                <w:rFonts w:eastAsia="Times New Roman"/>
                <w:sz w:val="24"/>
                <w:szCs w:val="24"/>
              </w:rPr>
              <w:t>1</w:t>
            </w:r>
          </w:p>
        </w:tc>
      </w:tr>
      <w:tr w:rsidR="00581D61" w14:paraId="2819E1D4" w14:textId="77777777" w:rsidTr="00347FE4">
        <w:trPr>
          <w:trHeight w:val="312"/>
        </w:trPr>
        <w:tc>
          <w:tcPr>
            <w:tcW w:w="2620" w:type="dxa"/>
            <w:vAlign w:val="center"/>
          </w:tcPr>
          <w:p w14:paraId="2819E1D2" w14:textId="5049994E" w:rsidR="00581D61" w:rsidRDefault="008971C5" w:rsidP="00581D61">
            <w:pPr>
              <w:jc w:val="center"/>
              <w:rPr>
                <w:sz w:val="24"/>
                <w:szCs w:val="24"/>
              </w:rPr>
            </w:pPr>
            <w:r>
              <w:rPr>
                <w:rFonts w:eastAsia="Times New Roman"/>
                <w:sz w:val="24"/>
                <w:szCs w:val="24"/>
              </w:rPr>
              <w:t>≤</w:t>
            </w:r>
            <w:r w:rsidR="00581D61">
              <w:rPr>
                <w:rFonts w:eastAsia="Times New Roman"/>
                <w:sz w:val="24"/>
                <w:szCs w:val="24"/>
              </w:rPr>
              <w:t>100</w:t>
            </w:r>
          </w:p>
        </w:tc>
        <w:tc>
          <w:tcPr>
            <w:tcW w:w="2920" w:type="dxa"/>
            <w:vAlign w:val="center"/>
          </w:tcPr>
          <w:p w14:paraId="2819E1D3" w14:textId="77777777" w:rsidR="00581D61" w:rsidRDefault="00581D61" w:rsidP="00581D61">
            <w:pPr>
              <w:jc w:val="center"/>
              <w:rPr>
                <w:sz w:val="20"/>
                <w:szCs w:val="20"/>
              </w:rPr>
            </w:pPr>
            <w:r>
              <w:rPr>
                <w:rFonts w:eastAsia="Times New Roman"/>
                <w:sz w:val="24"/>
                <w:szCs w:val="24"/>
              </w:rPr>
              <w:t>1</w:t>
            </w:r>
          </w:p>
        </w:tc>
      </w:tr>
    </w:tbl>
    <w:p w14:paraId="2819E1D5" w14:textId="77777777" w:rsidR="004647B9" w:rsidRDefault="004647B9">
      <w:pPr>
        <w:sectPr w:rsidR="004647B9" w:rsidSect="00EF630C">
          <w:pgSz w:w="12240" w:h="20180"/>
          <w:pgMar w:top="708" w:right="1440" w:bottom="1440" w:left="600" w:header="0" w:footer="0" w:gutter="0"/>
          <w:cols w:space="720" w:equalWidth="0">
            <w:col w:w="10200"/>
          </w:cols>
        </w:sectPr>
      </w:pPr>
    </w:p>
    <w:p w14:paraId="2819E1D6" w14:textId="77777777" w:rsidR="004647B9" w:rsidRDefault="00E2436F">
      <w:pPr>
        <w:tabs>
          <w:tab w:val="left" w:pos="160"/>
        </w:tabs>
        <w:jc w:val="center"/>
        <w:rPr>
          <w:sz w:val="20"/>
          <w:szCs w:val="20"/>
        </w:rPr>
      </w:pPr>
      <w:bookmarkStart w:id="83" w:name="page84"/>
      <w:bookmarkEnd w:id="8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1D7" w14:textId="77777777" w:rsidR="004647B9" w:rsidRDefault="004647B9" w:rsidP="00A34D0D">
      <w:pPr>
        <w:rPr>
          <w:sz w:val="20"/>
          <w:szCs w:val="20"/>
        </w:rPr>
      </w:pPr>
    </w:p>
    <w:p w14:paraId="2819E1D8" w14:textId="77777777" w:rsidR="004647B9" w:rsidRDefault="004647B9" w:rsidP="00A34D0D">
      <w:pPr>
        <w:rPr>
          <w:sz w:val="20"/>
          <w:szCs w:val="20"/>
        </w:rPr>
      </w:pPr>
    </w:p>
    <w:p w14:paraId="2819E1D9"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1DA" w14:textId="77777777" w:rsidR="004647B9" w:rsidRDefault="004647B9" w:rsidP="00A34D0D">
      <w:pPr>
        <w:rPr>
          <w:sz w:val="20"/>
          <w:szCs w:val="20"/>
        </w:rPr>
      </w:pPr>
    </w:p>
    <w:p w14:paraId="2819E1DB" w14:textId="77777777" w:rsidR="004647B9" w:rsidRPr="00E47135" w:rsidRDefault="00E2436F" w:rsidP="00563A54">
      <w:pPr>
        <w:numPr>
          <w:ilvl w:val="2"/>
          <w:numId w:val="211"/>
        </w:numPr>
        <w:tabs>
          <w:tab w:val="left" w:pos="2575"/>
        </w:tabs>
        <w:spacing w:line="247" w:lineRule="auto"/>
        <w:ind w:left="2280" w:hanging="5"/>
        <w:jc w:val="both"/>
        <w:rPr>
          <w:rFonts w:eastAsia="Times New Roman"/>
          <w:sz w:val="24"/>
          <w:szCs w:val="24"/>
        </w:rPr>
      </w:pPr>
      <w:r w:rsidRPr="00E47135">
        <w:rPr>
          <w:rFonts w:eastAsia="Times New Roman"/>
          <w:sz w:val="24"/>
          <w:szCs w:val="24"/>
        </w:rPr>
        <w:t>Except as provided in 310 CMR 22.06B(8)(c)3. systems shall collect two samples for each applicable water quality parameter at each entry point to the distribution system during each monitoring period specified in 310 CMR 22.06B(8)(b). During each monitoring period specified in 310 CMR 22.06B(8)(c) through (e), systems shall collect one sample for each applicable water quality parameter at each entry point to the distribution system.</w:t>
      </w:r>
    </w:p>
    <w:p w14:paraId="2819E1DD" w14:textId="77777777" w:rsidR="004647B9" w:rsidRPr="00E47135" w:rsidRDefault="00E2436F" w:rsidP="00563A54">
      <w:pPr>
        <w:numPr>
          <w:ilvl w:val="0"/>
          <w:numId w:val="212"/>
        </w:numPr>
        <w:tabs>
          <w:tab w:val="left" w:pos="2047"/>
        </w:tabs>
        <w:spacing w:line="243" w:lineRule="auto"/>
        <w:ind w:left="1560" w:hanging="5"/>
        <w:jc w:val="both"/>
        <w:rPr>
          <w:rFonts w:eastAsia="Times New Roman"/>
          <w:sz w:val="24"/>
          <w:szCs w:val="24"/>
        </w:rPr>
      </w:pPr>
      <w:r w:rsidRPr="00E47135">
        <w:rPr>
          <w:rFonts w:eastAsia="Times New Roman"/>
          <w:sz w:val="24"/>
          <w:szCs w:val="24"/>
          <w:u w:val="single"/>
        </w:rPr>
        <w:t>Initial Sampling</w:t>
      </w:r>
      <w:r w:rsidRPr="00E47135">
        <w:rPr>
          <w:rFonts w:eastAsia="Times New Roman"/>
          <w:sz w:val="24"/>
          <w:szCs w:val="24"/>
        </w:rPr>
        <w:t>. All large water systems shall measure the applicable water quality parameters as specified below at taps and at each entry point to the distribution system during each six-month monitoring period specified in 310 CMR 22.06B(7)(d)1. All small and medium-size systems shall measure the applicable water quality parameters at the locations specified below during each six-month monitoring period specified in 310 CMR 22.06B(7)(d)1. during which the system exceeds the lead or copper action level.</w:t>
      </w:r>
    </w:p>
    <w:p w14:paraId="2819E1DF" w14:textId="77777777" w:rsidR="004647B9" w:rsidRPr="00E47135" w:rsidRDefault="00E2436F" w:rsidP="00563A54">
      <w:pPr>
        <w:numPr>
          <w:ilvl w:val="1"/>
          <w:numId w:val="212"/>
        </w:numPr>
        <w:tabs>
          <w:tab w:val="left" w:pos="2280"/>
        </w:tabs>
        <w:ind w:left="2280" w:hanging="365"/>
        <w:rPr>
          <w:rFonts w:eastAsia="Times New Roman"/>
          <w:sz w:val="24"/>
          <w:szCs w:val="24"/>
        </w:rPr>
      </w:pPr>
      <w:r w:rsidRPr="00E47135">
        <w:rPr>
          <w:rFonts w:eastAsia="Times New Roman"/>
          <w:sz w:val="24"/>
          <w:szCs w:val="24"/>
        </w:rPr>
        <w:t>At taps:</w:t>
      </w:r>
    </w:p>
    <w:p w14:paraId="2819E1E1" w14:textId="77777777" w:rsidR="004647B9" w:rsidRPr="00E47135" w:rsidRDefault="00E2436F" w:rsidP="00563A54">
      <w:pPr>
        <w:numPr>
          <w:ilvl w:val="2"/>
          <w:numId w:val="212"/>
        </w:numPr>
        <w:tabs>
          <w:tab w:val="left" w:pos="2620"/>
        </w:tabs>
        <w:ind w:left="2620" w:hanging="345"/>
        <w:rPr>
          <w:rFonts w:eastAsia="Times New Roman"/>
          <w:sz w:val="24"/>
          <w:szCs w:val="24"/>
        </w:rPr>
      </w:pPr>
      <w:r w:rsidRPr="00E47135">
        <w:rPr>
          <w:rFonts w:eastAsia="Times New Roman"/>
          <w:sz w:val="24"/>
          <w:szCs w:val="24"/>
        </w:rPr>
        <w:t>pH;</w:t>
      </w:r>
    </w:p>
    <w:p w14:paraId="2819E1E3" w14:textId="77777777" w:rsidR="004647B9" w:rsidRPr="00E47135" w:rsidRDefault="00E2436F" w:rsidP="00563A54">
      <w:pPr>
        <w:numPr>
          <w:ilvl w:val="2"/>
          <w:numId w:val="212"/>
        </w:numPr>
        <w:tabs>
          <w:tab w:val="left" w:pos="2640"/>
        </w:tabs>
        <w:ind w:left="2640" w:hanging="365"/>
        <w:rPr>
          <w:rFonts w:eastAsia="Times New Roman"/>
          <w:sz w:val="24"/>
          <w:szCs w:val="24"/>
        </w:rPr>
      </w:pPr>
      <w:r w:rsidRPr="00E47135">
        <w:rPr>
          <w:rFonts w:eastAsia="Times New Roman"/>
          <w:sz w:val="24"/>
          <w:szCs w:val="24"/>
        </w:rPr>
        <w:t>alkalinity;</w:t>
      </w:r>
    </w:p>
    <w:p w14:paraId="2819E1E5" w14:textId="77777777" w:rsidR="004647B9" w:rsidRPr="00E47135" w:rsidRDefault="00E2436F" w:rsidP="00563A54">
      <w:pPr>
        <w:numPr>
          <w:ilvl w:val="2"/>
          <w:numId w:val="212"/>
        </w:numPr>
        <w:tabs>
          <w:tab w:val="left" w:pos="2620"/>
        </w:tabs>
        <w:ind w:left="2620" w:hanging="345"/>
        <w:rPr>
          <w:rFonts w:eastAsia="Times New Roman"/>
          <w:sz w:val="24"/>
          <w:szCs w:val="24"/>
        </w:rPr>
      </w:pPr>
      <w:r w:rsidRPr="00E47135">
        <w:rPr>
          <w:rFonts w:eastAsia="Times New Roman"/>
          <w:sz w:val="24"/>
          <w:szCs w:val="24"/>
        </w:rPr>
        <w:t>orthophosphate, when an inhibitor containing a phosphate compound is used;</w:t>
      </w:r>
    </w:p>
    <w:p w14:paraId="2819E1E7" w14:textId="77777777" w:rsidR="004647B9" w:rsidRPr="00E47135" w:rsidRDefault="00E2436F" w:rsidP="00563A54">
      <w:pPr>
        <w:numPr>
          <w:ilvl w:val="2"/>
          <w:numId w:val="212"/>
        </w:numPr>
        <w:tabs>
          <w:tab w:val="left" w:pos="2640"/>
        </w:tabs>
        <w:ind w:left="2640" w:hanging="365"/>
        <w:rPr>
          <w:rFonts w:eastAsia="Times New Roman"/>
          <w:sz w:val="24"/>
          <w:szCs w:val="24"/>
        </w:rPr>
      </w:pPr>
      <w:r w:rsidRPr="00E47135">
        <w:rPr>
          <w:rFonts w:eastAsia="Times New Roman"/>
          <w:sz w:val="24"/>
          <w:szCs w:val="24"/>
        </w:rPr>
        <w:t>silica, when an inhibitor containing a silicate compound is used;</w:t>
      </w:r>
    </w:p>
    <w:p w14:paraId="2819E1E9" w14:textId="77777777" w:rsidR="004647B9" w:rsidRPr="00E47135" w:rsidRDefault="00E2436F" w:rsidP="00563A54">
      <w:pPr>
        <w:numPr>
          <w:ilvl w:val="2"/>
          <w:numId w:val="212"/>
        </w:numPr>
        <w:tabs>
          <w:tab w:val="left" w:pos="2620"/>
        </w:tabs>
        <w:ind w:left="2620" w:hanging="345"/>
        <w:rPr>
          <w:rFonts w:eastAsia="Times New Roman"/>
          <w:sz w:val="24"/>
          <w:szCs w:val="24"/>
        </w:rPr>
      </w:pPr>
      <w:r w:rsidRPr="00E47135">
        <w:rPr>
          <w:rFonts w:eastAsia="Times New Roman"/>
          <w:sz w:val="24"/>
          <w:szCs w:val="24"/>
        </w:rPr>
        <w:t>calcium;</w:t>
      </w:r>
    </w:p>
    <w:p w14:paraId="2819E1EB" w14:textId="77777777" w:rsidR="004647B9" w:rsidRPr="00E47135" w:rsidRDefault="00E2436F" w:rsidP="00563A54">
      <w:pPr>
        <w:numPr>
          <w:ilvl w:val="2"/>
          <w:numId w:val="212"/>
        </w:numPr>
        <w:tabs>
          <w:tab w:val="left" w:pos="2600"/>
        </w:tabs>
        <w:ind w:left="2600" w:hanging="325"/>
        <w:rPr>
          <w:rFonts w:eastAsia="Times New Roman"/>
          <w:sz w:val="24"/>
          <w:szCs w:val="24"/>
        </w:rPr>
      </w:pPr>
      <w:r w:rsidRPr="00E47135">
        <w:rPr>
          <w:rFonts w:eastAsia="Times New Roman"/>
          <w:sz w:val="24"/>
          <w:szCs w:val="24"/>
        </w:rPr>
        <w:t>conductivity; and</w:t>
      </w:r>
    </w:p>
    <w:p w14:paraId="2819E1ED" w14:textId="77777777" w:rsidR="004647B9" w:rsidRPr="00E47135" w:rsidRDefault="00E2436F" w:rsidP="00563A54">
      <w:pPr>
        <w:numPr>
          <w:ilvl w:val="2"/>
          <w:numId w:val="212"/>
        </w:numPr>
        <w:tabs>
          <w:tab w:val="left" w:pos="2640"/>
        </w:tabs>
        <w:ind w:left="2640" w:hanging="365"/>
        <w:rPr>
          <w:rFonts w:eastAsia="Times New Roman"/>
          <w:sz w:val="24"/>
          <w:szCs w:val="24"/>
        </w:rPr>
      </w:pPr>
      <w:r w:rsidRPr="00E47135">
        <w:rPr>
          <w:rFonts w:eastAsia="Times New Roman"/>
          <w:sz w:val="24"/>
          <w:szCs w:val="24"/>
        </w:rPr>
        <w:t>water temperature.</w:t>
      </w:r>
    </w:p>
    <w:p w14:paraId="2819E1EF" w14:textId="77777777" w:rsidR="004647B9" w:rsidRPr="00E47135" w:rsidRDefault="00E2436F" w:rsidP="00563A54">
      <w:pPr>
        <w:numPr>
          <w:ilvl w:val="1"/>
          <w:numId w:val="212"/>
        </w:numPr>
        <w:tabs>
          <w:tab w:val="left" w:pos="2258"/>
        </w:tabs>
        <w:spacing w:line="243" w:lineRule="auto"/>
        <w:ind w:left="1920" w:hanging="5"/>
        <w:rPr>
          <w:rFonts w:eastAsia="Times New Roman"/>
          <w:sz w:val="24"/>
          <w:szCs w:val="24"/>
        </w:rPr>
      </w:pPr>
      <w:r w:rsidRPr="00E47135">
        <w:rPr>
          <w:rFonts w:eastAsia="Times New Roman"/>
          <w:sz w:val="24"/>
          <w:szCs w:val="24"/>
        </w:rPr>
        <w:t>At each entry point to the distribution system: all of the applicable parameters listed in 310 CMR 22.06B(8)(b)1.</w:t>
      </w:r>
    </w:p>
    <w:p w14:paraId="2819E1F0" w14:textId="77777777" w:rsidR="004647B9" w:rsidRPr="00E47135" w:rsidRDefault="00E2436F" w:rsidP="00563A54">
      <w:pPr>
        <w:numPr>
          <w:ilvl w:val="0"/>
          <w:numId w:val="212"/>
        </w:numPr>
        <w:tabs>
          <w:tab w:val="left" w:pos="2042"/>
        </w:tabs>
        <w:spacing w:line="243" w:lineRule="auto"/>
        <w:ind w:left="1560" w:hanging="5"/>
        <w:jc w:val="both"/>
        <w:rPr>
          <w:rFonts w:eastAsia="Times New Roman"/>
          <w:sz w:val="24"/>
          <w:szCs w:val="24"/>
        </w:rPr>
      </w:pPr>
      <w:r w:rsidRPr="00E47135">
        <w:rPr>
          <w:rFonts w:eastAsia="Times New Roman"/>
          <w:sz w:val="24"/>
          <w:szCs w:val="24"/>
          <w:u w:val="single"/>
        </w:rPr>
        <w:t>Monitoring after Installation of Corrosion Control</w:t>
      </w:r>
      <w:r w:rsidRPr="00E47135">
        <w:rPr>
          <w:rFonts w:eastAsia="Times New Roman"/>
          <w:sz w:val="24"/>
          <w:szCs w:val="24"/>
        </w:rPr>
        <w:t>. Any large system which installs optimal corrosion control treatment pursuant to 310 CMR 22.06B(2)(d)4. shall measure the water quality parameters at the locations and frequencies specified below during each six-month monitoring period specified in 310 CMR 22.06B(7)(d)2.a. Any small or medium-size system which installs optimal corrosion control treatment shall conduct such monitoring during each six-month monitoring period specified in 310 CMR 22.06B(7)(d)2.b. in which the system exceeds the lead or copper action level.</w:t>
      </w:r>
    </w:p>
    <w:p w14:paraId="2819E1F2" w14:textId="77777777" w:rsidR="004647B9" w:rsidRPr="00E47135" w:rsidRDefault="00E2436F" w:rsidP="00563A54">
      <w:pPr>
        <w:numPr>
          <w:ilvl w:val="1"/>
          <w:numId w:val="212"/>
        </w:numPr>
        <w:tabs>
          <w:tab w:val="left" w:pos="2280"/>
        </w:tabs>
        <w:ind w:left="2280" w:hanging="365"/>
        <w:rPr>
          <w:rFonts w:eastAsia="Times New Roman"/>
          <w:sz w:val="24"/>
          <w:szCs w:val="24"/>
        </w:rPr>
      </w:pPr>
      <w:r w:rsidRPr="00E47135">
        <w:rPr>
          <w:rFonts w:eastAsia="Times New Roman"/>
          <w:sz w:val="24"/>
          <w:szCs w:val="24"/>
        </w:rPr>
        <w:t>At taps, two samples for:</w:t>
      </w:r>
    </w:p>
    <w:p w14:paraId="2819E1F4" w14:textId="77777777" w:rsidR="004647B9" w:rsidRPr="00E47135" w:rsidRDefault="00E2436F" w:rsidP="00563A54">
      <w:pPr>
        <w:numPr>
          <w:ilvl w:val="2"/>
          <w:numId w:val="212"/>
        </w:numPr>
        <w:tabs>
          <w:tab w:val="left" w:pos="2620"/>
        </w:tabs>
        <w:ind w:left="2620" w:hanging="345"/>
        <w:rPr>
          <w:rFonts w:eastAsia="Times New Roman"/>
          <w:sz w:val="24"/>
          <w:szCs w:val="24"/>
        </w:rPr>
      </w:pPr>
      <w:r w:rsidRPr="00E47135">
        <w:rPr>
          <w:rFonts w:eastAsia="Times New Roman"/>
          <w:sz w:val="24"/>
          <w:szCs w:val="24"/>
        </w:rPr>
        <w:t>pH;</w:t>
      </w:r>
    </w:p>
    <w:p w14:paraId="2819E1F6" w14:textId="77777777" w:rsidR="004647B9" w:rsidRPr="00E47135" w:rsidRDefault="00E2436F" w:rsidP="00563A54">
      <w:pPr>
        <w:numPr>
          <w:ilvl w:val="2"/>
          <w:numId w:val="212"/>
        </w:numPr>
        <w:tabs>
          <w:tab w:val="left" w:pos="2640"/>
        </w:tabs>
        <w:ind w:left="2640" w:hanging="365"/>
        <w:rPr>
          <w:rFonts w:eastAsia="Times New Roman"/>
          <w:sz w:val="24"/>
          <w:szCs w:val="24"/>
        </w:rPr>
      </w:pPr>
      <w:r w:rsidRPr="00E47135">
        <w:rPr>
          <w:rFonts w:eastAsia="Times New Roman"/>
          <w:sz w:val="24"/>
          <w:szCs w:val="24"/>
        </w:rPr>
        <w:t>alkalinity;</w:t>
      </w:r>
    </w:p>
    <w:p w14:paraId="2819E1F8" w14:textId="77777777" w:rsidR="004647B9" w:rsidRPr="00E47135" w:rsidRDefault="00E2436F" w:rsidP="00563A54">
      <w:pPr>
        <w:numPr>
          <w:ilvl w:val="2"/>
          <w:numId w:val="212"/>
        </w:numPr>
        <w:tabs>
          <w:tab w:val="left" w:pos="2620"/>
        </w:tabs>
        <w:ind w:left="2620" w:hanging="345"/>
        <w:rPr>
          <w:rFonts w:eastAsia="Times New Roman"/>
          <w:sz w:val="24"/>
          <w:szCs w:val="24"/>
        </w:rPr>
      </w:pPr>
      <w:r w:rsidRPr="00E47135">
        <w:rPr>
          <w:rFonts w:eastAsia="Times New Roman"/>
          <w:sz w:val="24"/>
          <w:szCs w:val="24"/>
        </w:rPr>
        <w:t>orthophosphate, when an inhibitor containing a phosphate compound is used;</w:t>
      </w:r>
    </w:p>
    <w:p w14:paraId="2819E1FA" w14:textId="77777777" w:rsidR="004647B9" w:rsidRPr="00E47135" w:rsidRDefault="00E2436F" w:rsidP="00563A54">
      <w:pPr>
        <w:numPr>
          <w:ilvl w:val="2"/>
          <w:numId w:val="212"/>
        </w:numPr>
        <w:tabs>
          <w:tab w:val="left" w:pos="2640"/>
        </w:tabs>
        <w:ind w:left="2640" w:hanging="365"/>
        <w:rPr>
          <w:rFonts w:eastAsia="Times New Roman"/>
          <w:sz w:val="24"/>
          <w:szCs w:val="24"/>
        </w:rPr>
      </w:pPr>
      <w:r w:rsidRPr="00E47135">
        <w:rPr>
          <w:rFonts w:eastAsia="Times New Roman"/>
          <w:sz w:val="24"/>
          <w:szCs w:val="24"/>
        </w:rPr>
        <w:t>silica, when an inhibitor containing a silicate compound is used;</w:t>
      </w:r>
    </w:p>
    <w:p w14:paraId="2819E1FC" w14:textId="77777777" w:rsidR="004647B9" w:rsidRPr="00E47135" w:rsidRDefault="00E2436F" w:rsidP="005135B2">
      <w:pPr>
        <w:numPr>
          <w:ilvl w:val="2"/>
          <w:numId w:val="212"/>
        </w:numPr>
        <w:tabs>
          <w:tab w:val="left" w:pos="2560"/>
        </w:tabs>
        <w:ind w:left="2275"/>
        <w:rPr>
          <w:rFonts w:eastAsia="Times New Roman"/>
          <w:sz w:val="24"/>
          <w:szCs w:val="24"/>
        </w:rPr>
      </w:pPr>
      <w:r w:rsidRPr="00E47135">
        <w:rPr>
          <w:rFonts w:eastAsia="Times New Roman"/>
          <w:sz w:val="24"/>
          <w:szCs w:val="24"/>
        </w:rPr>
        <w:t>calcium, when calcium carbonate stabilization is used as part of corrosion control.</w:t>
      </w:r>
    </w:p>
    <w:p w14:paraId="2819E1FE" w14:textId="77777777" w:rsidR="004647B9" w:rsidRPr="00E47135" w:rsidRDefault="00E2436F" w:rsidP="00563A54">
      <w:pPr>
        <w:numPr>
          <w:ilvl w:val="1"/>
          <w:numId w:val="212"/>
        </w:numPr>
        <w:tabs>
          <w:tab w:val="left" w:pos="2215"/>
        </w:tabs>
        <w:spacing w:line="243" w:lineRule="auto"/>
        <w:ind w:left="1920" w:hanging="5"/>
        <w:rPr>
          <w:rFonts w:eastAsia="Times New Roman"/>
          <w:sz w:val="24"/>
          <w:szCs w:val="24"/>
        </w:rPr>
      </w:pPr>
      <w:r w:rsidRPr="00E47135">
        <w:rPr>
          <w:rFonts w:eastAsia="Times New Roman"/>
          <w:sz w:val="24"/>
          <w:szCs w:val="24"/>
        </w:rPr>
        <w:t>Except as provided in 310 CMR 22.06B(8)(c)3., at each entry point to the distribution system, one sample every two weeks (bi-weekly) for:</w:t>
      </w:r>
    </w:p>
    <w:p w14:paraId="2819E1FF" w14:textId="77777777" w:rsidR="004647B9" w:rsidRPr="00E47135" w:rsidRDefault="00E2436F" w:rsidP="00563A54">
      <w:pPr>
        <w:numPr>
          <w:ilvl w:val="2"/>
          <w:numId w:val="212"/>
        </w:numPr>
        <w:tabs>
          <w:tab w:val="left" w:pos="2620"/>
        </w:tabs>
        <w:ind w:left="2620" w:hanging="345"/>
        <w:rPr>
          <w:rFonts w:eastAsia="Times New Roman"/>
          <w:sz w:val="24"/>
          <w:szCs w:val="24"/>
        </w:rPr>
      </w:pPr>
      <w:r w:rsidRPr="00E47135">
        <w:rPr>
          <w:rFonts w:eastAsia="Times New Roman"/>
          <w:sz w:val="24"/>
          <w:szCs w:val="24"/>
        </w:rPr>
        <w:t>pH;</w:t>
      </w:r>
    </w:p>
    <w:p w14:paraId="2819E201" w14:textId="77777777" w:rsidR="004647B9" w:rsidRPr="00E47135" w:rsidRDefault="00E2436F" w:rsidP="00563A54">
      <w:pPr>
        <w:numPr>
          <w:ilvl w:val="2"/>
          <w:numId w:val="212"/>
        </w:numPr>
        <w:tabs>
          <w:tab w:val="left" w:pos="2626"/>
        </w:tabs>
        <w:spacing w:line="243" w:lineRule="auto"/>
        <w:ind w:left="2280" w:hanging="5"/>
        <w:jc w:val="both"/>
        <w:rPr>
          <w:rFonts w:eastAsia="Times New Roman"/>
          <w:sz w:val="24"/>
          <w:szCs w:val="24"/>
        </w:rPr>
      </w:pPr>
      <w:r w:rsidRPr="00E47135">
        <w:rPr>
          <w:rFonts w:eastAsia="Times New Roman"/>
          <w:sz w:val="24"/>
          <w:szCs w:val="24"/>
        </w:rPr>
        <w:t>when alkalinity is adjusted as part of optimal corrosion control, a reading of the dosage rate of the chemical used to adjust alkalinity, and the alkalinity concentration; and</w:t>
      </w:r>
    </w:p>
    <w:p w14:paraId="2819E203" w14:textId="77777777" w:rsidR="004647B9" w:rsidRPr="00E47135" w:rsidRDefault="00E2436F" w:rsidP="00563A54">
      <w:pPr>
        <w:numPr>
          <w:ilvl w:val="2"/>
          <w:numId w:val="212"/>
        </w:numPr>
        <w:tabs>
          <w:tab w:val="left" w:pos="2604"/>
        </w:tabs>
        <w:spacing w:line="242" w:lineRule="auto"/>
        <w:ind w:left="2280" w:hanging="5"/>
        <w:jc w:val="both"/>
        <w:rPr>
          <w:rFonts w:eastAsia="Times New Roman"/>
          <w:sz w:val="24"/>
          <w:szCs w:val="24"/>
        </w:rPr>
      </w:pPr>
      <w:r w:rsidRPr="00E47135">
        <w:rPr>
          <w:rFonts w:eastAsia="Times New Roman"/>
          <w:sz w:val="24"/>
          <w:szCs w:val="24"/>
        </w:rPr>
        <w:t>when a corrosion inhibitor is used as part of optimal corrosion control, a reading of the dosage rate of the inhibitor used, and the concentration of orthophosphate or silica (whichever is applicable).</w:t>
      </w:r>
    </w:p>
    <w:p w14:paraId="2819E205" w14:textId="77777777" w:rsidR="004647B9" w:rsidRPr="00E47135" w:rsidRDefault="00E2436F" w:rsidP="00563A54">
      <w:pPr>
        <w:numPr>
          <w:ilvl w:val="1"/>
          <w:numId w:val="212"/>
        </w:numPr>
        <w:tabs>
          <w:tab w:val="left" w:pos="2338"/>
        </w:tabs>
        <w:spacing w:line="255" w:lineRule="auto"/>
        <w:ind w:left="1920" w:hanging="5"/>
        <w:jc w:val="both"/>
        <w:rPr>
          <w:rFonts w:eastAsia="Times New Roman"/>
          <w:sz w:val="24"/>
          <w:szCs w:val="24"/>
        </w:rPr>
      </w:pPr>
      <w:r w:rsidRPr="00E47135">
        <w:rPr>
          <w:rFonts w:eastAsia="Times New Roman"/>
          <w:sz w:val="24"/>
          <w:szCs w:val="24"/>
        </w:rPr>
        <w:t>Any ground water system can limit entry point sampling described in 310 CMR 22.06B(8)(c)2. to those entry points that are representative of water quality and treatment conditions throughout the system. If water from untreated ground water sources mixes with water from treated ground water sources, the system shall monitor for water quality parameters both at representative entry points receiving treatment and representative entry points receiving no treatment. Prior to the start of any monitoring under 310 CMR 22.06B(8)(c)3., the system shall provide to the Department written information identifying the selected entry points and documentation, including information on seasonal variability, sufficient to demonstrate that the sites are representative of water quality and treatment conditions throughout the system.</w:t>
      </w:r>
    </w:p>
    <w:p w14:paraId="2819E206" w14:textId="77777777" w:rsidR="004647B9" w:rsidRDefault="004647B9">
      <w:pPr>
        <w:sectPr w:rsidR="004647B9" w:rsidSect="00EF630C">
          <w:pgSz w:w="12240" w:h="20180"/>
          <w:pgMar w:top="708" w:right="1440" w:bottom="1440" w:left="600" w:header="0" w:footer="0" w:gutter="0"/>
          <w:cols w:space="720" w:equalWidth="0">
            <w:col w:w="10200"/>
          </w:cols>
        </w:sectPr>
      </w:pPr>
    </w:p>
    <w:p w14:paraId="2819E207" w14:textId="77777777" w:rsidR="004647B9" w:rsidRDefault="00E2436F">
      <w:pPr>
        <w:tabs>
          <w:tab w:val="left" w:pos="160"/>
        </w:tabs>
        <w:jc w:val="center"/>
        <w:rPr>
          <w:sz w:val="20"/>
          <w:szCs w:val="20"/>
        </w:rPr>
      </w:pPr>
      <w:bookmarkStart w:id="84" w:name="page85"/>
      <w:bookmarkEnd w:id="8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208" w14:textId="77777777" w:rsidR="004647B9" w:rsidRDefault="004647B9" w:rsidP="00EA6342">
      <w:pPr>
        <w:rPr>
          <w:sz w:val="20"/>
          <w:szCs w:val="20"/>
        </w:rPr>
      </w:pPr>
    </w:p>
    <w:p w14:paraId="2819E209" w14:textId="77777777" w:rsidR="004647B9" w:rsidRDefault="004647B9" w:rsidP="00EA6342">
      <w:pPr>
        <w:rPr>
          <w:sz w:val="20"/>
          <w:szCs w:val="20"/>
        </w:rPr>
      </w:pPr>
    </w:p>
    <w:p w14:paraId="2819E20A"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20B" w14:textId="77777777" w:rsidR="004647B9" w:rsidRDefault="004647B9" w:rsidP="00EA6342">
      <w:pPr>
        <w:rPr>
          <w:sz w:val="20"/>
          <w:szCs w:val="20"/>
        </w:rPr>
      </w:pPr>
    </w:p>
    <w:p w14:paraId="2819E20C" w14:textId="328B1942" w:rsidR="004647B9" w:rsidRPr="00E47135" w:rsidRDefault="00E2436F" w:rsidP="00563A54">
      <w:pPr>
        <w:numPr>
          <w:ilvl w:val="0"/>
          <w:numId w:val="213"/>
        </w:numPr>
        <w:tabs>
          <w:tab w:val="left" w:pos="2054"/>
        </w:tabs>
        <w:spacing w:line="253" w:lineRule="auto"/>
        <w:ind w:left="1560" w:hanging="5"/>
        <w:jc w:val="both"/>
        <w:rPr>
          <w:rFonts w:eastAsia="Times New Roman"/>
          <w:sz w:val="24"/>
          <w:szCs w:val="24"/>
        </w:rPr>
      </w:pPr>
      <w:r w:rsidRPr="006F507F">
        <w:rPr>
          <w:rFonts w:eastAsia="Times New Roman"/>
          <w:sz w:val="24"/>
          <w:szCs w:val="24"/>
          <w:u w:val="single"/>
        </w:rPr>
        <w:t>Monitoring</w:t>
      </w:r>
      <w:r w:rsidRPr="00E47135">
        <w:rPr>
          <w:rFonts w:eastAsia="Times New Roman"/>
          <w:sz w:val="24"/>
          <w:szCs w:val="24"/>
          <w:u w:val="single"/>
        </w:rPr>
        <w:t xml:space="preserve"> after Department Specifies Water Quality Parameter Values for Optimal Corrosion Control</w:t>
      </w:r>
      <w:r w:rsidRPr="00E47135">
        <w:rPr>
          <w:rFonts w:eastAsia="Times New Roman"/>
          <w:sz w:val="24"/>
          <w:szCs w:val="24"/>
        </w:rPr>
        <w:t>. After the Department specifies the values for applicable water quality control parameters reflecting optimal corrosion control treatment under 310 CMR 22.06B(3)(f) all large systems shall measure the applicable water quality parameters in accordance with 310 CMR 22.06B(8)(c) and determine compliance with the requirements of 310 CMR 22.06B(3)(g) every six months with the first six-month period to begin on either January 1</w:t>
      </w:r>
      <w:r w:rsidRPr="00E47135">
        <w:rPr>
          <w:rFonts w:eastAsia="Times New Roman"/>
          <w:sz w:val="24"/>
          <w:szCs w:val="24"/>
          <w:vertAlign w:val="superscript"/>
        </w:rPr>
        <w:t>st</w:t>
      </w:r>
      <w:r w:rsidRPr="00E47135">
        <w:rPr>
          <w:rFonts w:eastAsia="Times New Roman"/>
          <w:sz w:val="24"/>
          <w:szCs w:val="24"/>
        </w:rPr>
        <w:t xml:space="preserve"> or July 1</w:t>
      </w:r>
      <w:r w:rsidRPr="00E47135">
        <w:rPr>
          <w:rFonts w:eastAsia="Times New Roman"/>
          <w:sz w:val="24"/>
          <w:szCs w:val="24"/>
          <w:vertAlign w:val="superscript"/>
        </w:rPr>
        <w:t>st</w:t>
      </w:r>
      <w:r w:rsidRPr="00E47135">
        <w:rPr>
          <w:rFonts w:eastAsia="Times New Roman"/>
          <w:sz w:val="24"/>
          <w:szCs w:val="24"/>
        </w:rPr>
        <w:t xml:space="preserve">, whichever comes first, after the Department specifies the optimal values under 310 CMR 22.06B(3)(f). Any small or medium-size system shall conduct such monitoring during each six-month period specified in 310 CMR 22.06B(7)(d)3. in which the system exceeds the lead or copper action level. For any such small and medium-size system that is subject to a reduced monitoring frequency pursuant to 310 CMR 22.06B(7)(d)4. at the time of the action level exceedance, the start of the applicable six-month monitoring period under 310 CMR 22.06B(8)(d) shall coincide with the </w:t>
      </w:r>
      <w:r w:rsidR="000255ED">
        <w:rPr>
          <w:rFonts w:eastAsia="Times New Roman"/>
          <w:sz w:val="24"/>
          <w:szCs w:val="24"/>
        </w:rPr>
        <w:t>start</w:t>
      </w:r>
      <w:r w:rsidR="000255ED" w:rsidRPr="00E47135">
        <w:rPr>
          <w:rFonts w:eastAsia="Times New Roman"/>
          <w:sz w:val="24"/>
          <w:szCs w:val="24"/>
        </w:rPr>
        <w:t xml:space="preserve"> </w:t>
      </w:r>
      <w:r w:rsidRPr="00E47135">
        <w:rPr>
          <w:rFonts w:eastAsia="Times New Roman"/>
          <w:sz w:val="24"/>
          <w:szCs w:val="24"/>
        </w:rPr>
        <w:t>of the applicable monitoring period under 310 CMR 22.06B(7)(d)4. Compliance with Department-designated optimal water quality parameter values shall be determined as specified under 310 CMR 22.06B(3)(g).</w:t>
      </w:r>
    </w:p>
    <w:p w14:paraId="2819E20E" w14:textId="77777777" w:rsidR="004647B9" w:rsidRPr="00E47135" w:rsidRDefault="00E2436F" w:rsidP="00563A54">
      <w:pPr>
        <w:numPr>
          <w:ilvl w:val="0"/>
          <w:numId w:val="213"/>
        </w:numPr>
        <w:tabs>
          <w:tab w:val="left" w:pos="2000"/>
        </w:tabs>
        <w:ind w:left="2000" w:hanging="445"/>
        <w:rPr>
          <w:rFonts w:eastAsia="Times New Roman"/>
          <w:sz w:val="24"/>
          <w:szCs w:val="24"/>
        </w:rPr>
      </w:pPr>
      <w:r w:rsidRPr="00E47135">
        <w:rPr>
          <w:rFonts w:eastAsia="Times New Roman"/>
          <w:sz w:val="24"/>
          <w:szCs w:val="24"/>
          <w:u w:val="single"/>
        </w:rPr>
        <w:t>Reduced Monitoring</w:t>
      </w:r>
      <w:r w:rsidRPr="00E47135">
        <w:rPr>
          <w:rFonts w:eastAsia="Times New Roman"/>
          <w:sz w:val="24"/>
          <w:szCs w:val="24"/>
        </w:rPr>
        <w:t>.</w:t>
      </w:r>
    </w:p>
    <w:p w14:paraId="2819E210" w14:textId="77777777" w:rsidR="004647B9" w:rsidRPr="00E47135" w:rsidRDefault="00E2436F" w:rsidP="00563A54">
      <w:pPr>
        <w:numPr>
          <w:ilvl w:val="1"/>
          <w:numId w:val="213"/>
        </w:numPr>
        <w:tabs>
          <w:tab w:val="left" w:pos="2244"/>
        </w:tabs>
        <w:spacing w:line="256" w:lineRule="auto"/>
        <w:ind w:left="1920" w:hanging="5"/>
        <w:jc w:val="both"/>
        <w:rPr>
          <w:rFonts w:eastAsia="Times New Roman"/>
          <w:sz w:val="24"/>
          <w:szCs w:val="24"/>
        </w:rPr>
      </w:pPr>
      <w:r w:rsidRPr="00E47135">
        <w:rPr>
          <w:rFonts w:eastAsia="Times New Roman"/>
          <w:sz w:val="24"/>
          <w:szCs w:val="24"/>
        </w:rPr>
        <w:t>Any water system that maintains the range of values for the water quality parameters reflecting optimal corrosion control treatment during each of two consecutive six-month monitoring periods under 310 CMR 22.06B(8)(d) shall continue monitoring at the entry point(s) to the distribution system as specified in 310 CMR 22.06B(8)(c)2. Such system may collect two tap samples for applicable water quality parameters from the following reduced number of sites during each six-month monitoring period.</w:t>
      </w:r>
    </w:p>
    <w:p w14:paraId="2819E211" w14:textId="77777777" w:rsidR="004647B9" w:rsidRPr="00EA6342" w:rsidRDefault="004647B9" w:rsidP="00EA6342">
      <w:pPr>
        <w:rPr>
          <w:sz w:val="24"/>
          <w:szCs w:val="24"/>
        </w:rPr>
      </w:pPr>
    </w:p>
    <w:tbl>
      <w:tblPr>
        <w:tblW w:w="0" w:type="auto"/>
        <w:tblInd w:w="2740" w:type="dxa"/>
        <w:tblLayout w:type="fixed"/>
        <w:tblCellMar>
          <w:left w:w="0" w:type="dxa"/>
          <w:right w:w="0" w:type="dxa"/>
        </w:tblCellMar>
        <w:tblLook w:val="04A0" w:firstRow="1" w:lastRow="0" w:firstColumn="1" w:lastColumn="0" w:noHBand="0" w:noVBand="1"/>
      </w:tblPr>
      <w:tblGrid>
        <w:gridCol w:w="2620"/>
        <w:gridCol w:w="2920"/>
      </w:tblGrid>
      <w:tr w:rsidR="00581D61" w14:paraId="2819E215" w14:textId="77777777" w:rsidTr="00581D61">
        <w:trPr>
          <w:trHeight w:val="281"/>
        </w:trPr>
        <w:tc>
          <w:tcPr>
            <w:tcW w:w="2620" w:type="dxa"/>
            <w:vAlign w:val="center"/>
          </w:tcPr>
          <w:p w14:paraId="2819E212" w14:textId="77777777" w:rsidR="00581D61" w:rsidRDefault="00581D61" w:rsidP="00581D61">
            <w:pPr>
              <w:jc w:val="center"/>
              <w:rPr>
                <w:sz w:val="20"/>
                <w:szCs w:val="20"/>
              </w:rPr>
            </w:pPr>
            <w:r>
              <w:rPr>
                <w:rFonts w:eastAsia="Times New Roman"/>
                <w:w w:val="99"/>
                <w:sz w:val="24"/>
                <w:szCs w:val="24"/>
              </w:rPr>
              <w:t>System Size</w:t>
            </w:r>
          </w:p>
        </w:tc>
        <w:tc>
          <w:tcPr>
            <w:tcW w:w="2920" w:type="dxa"/>
            <w:vAlign w:val="center"/>
          </w:tcPr>
          <w:p w14:paraId="2819E214" w14:textId="77777777" w:rsidR="00581D61" w:rsidRDefault="00581D61" w:rsidP="00581D61">
            <w:pPr>
              <w:jc w:val="center"/>
              <w:rPr>
                <w:sz w:val="20"/>
                <w:szCs w:val="20"/>
              </w:rPr>
            </w:pPr>
            <w:r>
              <w:rPr>
                <w:rFonts w:eastAsia="Times New Roman"/>
                <w:sz w:val="24"/>
                <w:szCs w:val="24"/>
              </w:rPr>
              <w:t>Reduced No. of Sites for</w:t>
            </w:r>
          </w:p>
        </w:tc>
      </w:tr>
      <w:tr w:rsidR="004647B9" w14:paraId="2819E218" w14:textId="77777777" w:rsidTr="00581D61">
        <w:trPr>
          <w:trHeight w:val="275"/>
        </w:trPr>
        <w:tc>
          <w:tcPr>
            <w:tcW w:w="2620" w:type="dxa"/>
            <w:vAlign w:val="center"/>
          </w:tcPr>
          <w:p w14:paraId="2819E216" w14:textId="77777777" w:rsidR="004647B9" w:rsidRPr="00581D61" w:rsidRDefault="00E2436F" w:rsidP="00581D61">
            <w:pPr>
              <w:jc w:val="center"/>
              <w:rPr>
                <w:sz w:val="20"/>
                <w:szCs w:val="20"/>
                <w:u w:val="single"/>
              </w:rPr>
            </w:pPr>
            <w:r w:rsidRPr="00581D61">
              <w:rPr>
                <w:rFonts w:eastAsia="Times New Roman"/>
                <w:sz w:val="24"/>
                <w:szCs w:val="24"/>
                <w:u w:val="single"/>
              </w:rPr>
              <w:t>(No. of People Served)</w:t>
            </w:r>
          </w:p>
        </w:tc>
        <w:tc>
          <w:tcPr>
            <w:tcW w:w="2920" w:type="dxa"/>
            <w:vAlign w:val="center"/>
          </w:tcPr>
          <w:p w14:paraId="2819E217" w14:textId="77777777" w:rsidR="004647B9" w:rsidRPr="00581D61" w:rsidRDefault="00E2436F" w:rsidP="00581D61">
            <w:pPr>
              <w:jc w:val="center"/>
              <w:rPr>
                <w:sz w:val="20"/>
                <w:szCs w:val="20"/>
                <w:u w:val="single"/>
              </w:rPr>
            </w:pPr>
            <w:r w:rsidRPr="00581D61">
              <w:rPr>
                <w:rFonts w:eastAsia="Times New Roman"/>
                <w:sz w:val="24"/>
                <w:szCs w:val="24"/>
                <w:u w:val="single"/>
              </w:rPr>
              <w:t>Water Quality Parameters</w:t>
            </w:r>
          </w:p>
        </w:tc>
      </w:tr>
      <w:tr w:rsidR="00581D61" w14:paraId="2819E21D" w14:textId="77777777" w:rsidTr="00581D61">
        <w:trPr>
          <w:trHeight w:val="264"/>
        </w:trPr>
        <w:tc>
          <w:tcPr>
            <w:tcW w:w="2620" w:type="dxa"/>
            <w:vAlign w:val="center"/>
          </w:tcPr>
          <w:p w14:paraId="2819E21A" w14:textId="6DB3A5AC" w:rsidR="00581D61" w:rsidRDefault="00581D61" w:rsidP="00581D61">
            <w:pPr>
              <w:jc w:val="center"/>
            </w:pPr>
            <w:r>
              <w:rPr>
                <w:rFonts w:eastAsia="Times New Roman"/>
                <w:sz w:val="24"/>
                <w:szCs w:val="24"/>
              </w:rPr>
              <w:t>&gt;100,000</w:t>
            </w:r>
          </w:p>
        </w:tc>
        <w:tc>
          <w:tcPr>
            <w:tcW w:w="2920" w:type="dxa"/>
            <w:vAlign w:val="center"/>
          </w:tcPr>
          <w:p w14:paraId="2819E21C" w14:textId="77777777" w:rsidR="00581D61" w:rsidRDefault="00581D61" w:rsidP="00581D61">
            <w:pPr>
              <w:spacing w:line="264" w:lineRule="exact"/>
              <w:jc w:val="center"/>
              <w:rPr>
                <w:sz w:val="20"/>
                <w:szCs w:val="20"/>
              </w:rPr>
            </w:pPr>
            <w:r>
              <w:rPr>
                <w:rFonts w:eastAsia="Times New Roman"/>
                <w:sz w:val="24"/>
                <w:szCs w:val="24"/>
              </w:rPr>
              <w:t>10</w:t>
            </w:r>
          </w:p>
        </w:tc>
      </w:tr>
      <w:tr w:rsidR="004647B9" w14:paraId="2819E220" w14:textId="77777777" w:rsidTr="00581D61">
        <w:trPr>
          <w:trHeight w:val="278"/>
        </w:trPr>
        <w:tc>
          <w:tcPr>
            <w:tcW w:w="2620" w:type="dxa"/>
            <w:vAlign w:val="center"/>
          </w:tcPr>
          <w:p w14:paraId="2819E21E" w14:textId="77777777" w:rsidR="004647B9" w:rsidRDefault="00E2436F" w:rsidP="00581D61">
            <w:pPr>
              <w:jc w:val="center"/>
              <w:rPr>
                <w:sz w:val="20"/>
                <w:szCs w:val="20"/>
              </w:rPr>
            </w:pPr>
            <w:r>
              <w:rPr>
                <w:rFonts w:eastAsia="Times New Roman"/>
                <w:w w:val="99"/>
                <w:sz w:val="24"/>
                <w:szCs w:val="24"/>
              </w:rPr>
              <w:t>10,001 to 100,000</w:t>
            </w:r>
          </w:p>
        </w:tc>
        <w:tc>
          <w:tcPr>
            <w:tcW w:w="2920" w:type="dxa"/>
            <w:vAlign w:val="center"/>
          </w:tcPr>
          <w:p w14:paraId="2819E21F" w14:textId="77777777" w:rsidR="004647B9" w:rsidRDefault="00E2436F" w:rsidP="00581D61">
            <w:pPr>
              <w:jc w:val="center"/>
              <w:rPr>
                <w:sz w:val="20"/>
                <w:szCs w:val="20"/>
              </w:rPr>
            </w:pPr>
            <w:r>
              <w:rPr>
                <w:rFonts w:eastAsia="Times New Roman"/>
                <w:sz w:val="24"/>
                <w:szCs w:val="24"/>
              </w:rPr>
              <w:t>7</w:t>
            </w:r>
          </w:p>
        </w:tc>
      </w:tr>
      <w:tr w:rsidR="004647B9" w14:paraId="2819E223" w14:textId="77777777" w:rsidTr="00581D61">
        <w:trPr>
          <w:trHeight w:val="281"/>
        </w:trPr>
        <w:tc>
          <w:tcPr>
            <w:tcW w:w="2620" w:type="dxa"/>
            <w:vAlign w:val="center"/>
          </w:tcPr>
          <w:p w14:paraId="2819E221" w14:textId="77777777" w:rsidR="004647B9" w:rsidRDefault="00E2436F" w:rsidP="00581D61">
            <w:pPr>
              <w:jc w:val="center"/>
              <w:rPr>
                <w:sz w:val="20"/>
                <w:szCs w:val="20"/>
              </w:rPr>
            </w:pPr>
            <w:r>
              <w:rPr>
                <w:rFonts w:eastAsia="Times New Roman"/>
                <w:w w:val="99"/>
                <w:sz w:val="24"/>
                <w:szCs w:val="24"/>
              </w:rPr>
              <w:t>3,301 to 10,000</w:t>
            </w:r>
          </w:p>
        </w:tc>
        <w:tc>
          <w:tcPr>
            <w:tcW w:w="2920" w:type="dxa"/>
            <w:vAlign w:val="center"/>
          </w:tcPr>
          <w:p w14:paraId="2819E222" w14:textId="77777777" w:rsidR="004647B9" w:rsidRDefault="00E2436F" w:rsidP="00581D61">
            <w:pPr>
              <w:jc w:val="center"/>
              <w:rPr>
                <w:sz w:val="20"/>
                <w:szCs w:val="20"/>
              </w:rPr>
            </w:pPr>
            <w:r>
              <w:rPr>
                <w:rFonts w:eastAsia="Times New Roman"/>
                <w:sz w:val="24"/>
                <w:szCs w:val="24"/>
              </w:rPr>
              <w:t>3</w:t>
            </w:r>
          </w:p>
        </w:tc>
      </w:tr>
      <w:tr w:rsidR="004647B9" w14:paraId="2819E226" w14:textId="77777777" w:rsidTr="00581D61">
        <w:trPr>
          <w:trHeight w:val="278"/>
        </w:trPr>
        <w:tc>
          <w:tcPr>
            <w:tcW w:w="2620" w:type="dxa"/>
            <w:vAlign w:val="center"/>
          </w:tcPr>
          <w:p w14:paraId="2819E224" w14:textId="77777777" w:rsidR="004647B9" w:rsidRDefault="00E2436F" w:rsidP="00581D61">
            <w:pPr>
              <w:jc w:val="center"/>
              <w:rPr>
                <w:sz w:val="20"/>
                <w:szCs w:val="20"/>
              </w:rPr>
            </w:pPr>
            <w:r>
              <w:rPr>
                <w:rFonts w:eastAsia="Times New Roman"/>
                <w:sz w:val="24"/>
                <w:szCs w:val="24"/>
              </w:rPr>
              <w:t>501 to 3,300</w:t>
            </w:r>
          </w:p>
        </w:tc>
        <w:tc>
          <w:tcPr>
            <w:tcW w:w="2920" w:type="dxa"/>
            <w:vAlign w:val="center"/>
          </w:tcPr>
          <w:p w14:paraId="2819E225" w14:textId="77777777" w:rsidR="004647B9" w:rsidRDefault="00E2436F" w:rsidP="00581D61">
            <w:pPr>
              <w:jc w:val="center"/>
              <w:rPr>
                <w:sz w:val="20"/>
                <w:szCs w:val="20"/>
              </w:rPr>
            </w:pPr>
            <w:r>
              <w:rPr>
                <w:rFonts w:eastAsia="Times New Roman"/>
                <w:sz w:val="24"/>
                <w:szCs w:val="24"/>
              </w:rPr>
              <w:t>2</w:t>
            </w:r>
          </w:p>
        </w:tc>
      </w:tr>
      <w:tr w:rsidR="004647B9" w14:paraId="2819E229" w14:textId="77777777" w:rsidTr="00581D61">
        <w:trPr>
          <w:trHeight w:val="281"/>
        </w:trPr>
        <w:tc>
          <w:tcPr>
            <w:tcW w:w="2620" w:type="dxa"/>
            <w:vAlign w:val="center"/>
          </w:tcPr>
          <w:p w14:paraId="2819E227" w14:textId="77777777" w:rsidR="004647B9" w:rsidRDefault="00E2436F" w:rsidP="00581D61">
            <w:pPr>
              <w:jc w:val="center"/>
              <w:rPr>
                <w:sz w:val="20"/>
                <w:szCs w:val="20"/>
              </w:rPr>
            </w:pPr>
            <w:r>
              <w:rPr>
                <w:rFonts w:eastAsia="Times New Roman"/>
                <w:w w:val="99"/>
                <w:sz w:val="24"/>
                <w:szCs w:val="24"/>
              </w:rPr>
              <w:t>101 to 500</w:t>
            </w:r>
          </w:p>
        </w:tc>
        <w:tc>
          <w:tcPr>
            <w:tcW w:w="2920" w:type="dxa"/>
            <w:vAlign w:val="center"/>
          </w:tcPr>
          <w:p w14:paraId="2819E228" w14:textId="77777777" w:rsidR="004647B9" w:rsidRDefault="00E2436F" w:rsidP="00581D61">
            <w:pPr>
              <w:jc w:val="center"/>
              <w:rPr>
                <w:sz w:val="20"/>
                <w:szCs w:val="20"/>
              </w:rPr>
            </w:pPr>
            <w:r>
              <w:rPr>
                <w:rFonts w:eastAsia="Times New Roman"/>
                <w:sz w:val="24"/>
                <w:szCs w:val="24"/>
              </w:rPr>
              <w:t>1</w:t>
            </w:r>
          </w:p>
        </w:tc>
      </w:tr>
      <w:tr w:rsidR="00581D61" w14:paraId="2819E22D" w14:textId="77777777" w:rsidTr="00347FE4">
        <w:trPr>
          <w:trHeight w:val="312"/>
        </w:trPr>
        <w:tc>
          <w:tcPr>
            <w:tcW w:w="2620" w:type="dxa"/>
            <w:vAlign w:val="center"/>
          </w:tcPr>
          <w:p w14:paraId="2819E22B" w14:textId="0497E7A9" w:rsidR="00581D61" w:rsidRPr="007A6AFA" w:rsidRDefault="00581D61" w:rsidP="00581D61">
            <w:pPr>
              <w:jc w:val="center"/>
              <w:rPr>
                <w:sz w:val="24"/>
                <w:szCs w:val="24"/>
              </w:rPr>
            </w:pPr>
            <w:r w:rsidRPr="007A6AFA">
              <w:rPr>
                <w:rFonts w:eastAsia="Arial"/>
                <w:sz w:val="24"/>
                <w:szCs w:val="24"/>
              </w:rPr>
              <w:t>≤</w:t>
            </w:r>
            <w:r w:rsidRPr="007A6AFA">
              <w:rPr>
                <w:rFonts w:eastAsia="Times New Roman"/>
                <w:sz w:val="24"/>
                <w:szCs w:val="24"/>
              </w:rPr>
              <w:t>100</w:t>
            </w:r>
          </w:p>
        </w:tc>
        <w:tc>
          <w:tcPr>
            <w:tcW w:w="2920" w:type="dxa"/>
            <w:vAlign w:val="center"/>
          </w:tcPr>
          <w:p w14:paraId="2819E22C" w14:textId="77777777" w:rsidR="00581D61" w:rsidRDefault="00581D61" w:rsidP="00581D61">
            <w:pPr>
              <w:jc w:val="center"/>
              <w:rPr>
                <w:sz w:val="20"/>
                <w:szCs w:val="20"/>
              </w:rPr>
            </w:pPr>
            <w:r>
              <w:rPr>
                <w:rFonts w:eastAsia="Times New Roman"/>
                <w:sz w:val="24"/>
                <w:szCs w:val="24"/>
              </w:rPr>
              <w:t>1</w:t>
            </w:r>
          </w:p>
        </w:tc>
      </w:tr>
    </w:tbl>
    <w:p w14:paraId="00B334D5" w14:textId="77777777" w:rsidR="006868FD" w:rsidRDefault="006868FD" w:rsidP="006868FD">
      <w:pPr>
        <w:tabs>
          <w:tab w:val="left" w:pos="2280"/>
        </w:tabs>
        <w:spacing w:line="243" w:lineRule="auto"/>
        <w:jc w:val="both"/>
        <w:rPr>
          <w:rFonts w:eastAsia="Times New Roman"/>
          <w:sz w:val="24"/>
          <w:szCs w:val="24"/>
        </w:rPr>
      </w:pPr>
    </w:p>
    <w:p w14:paraId="2819E22E" w14:textId="42097AA7" w:rsidR="004647B9" w:rsidRPr="00565DE4" w:rsidRDefault="00E2436F" w:rsidP="00563A54">
      <w:pPr>
        <w:numPr>
          <w:ilvl w:val="0"/>
          <w:numId w:val="214"/>
        </w:numPr>
        <w:tabs>
          <w:tab w:val="left" w:pos="2280"/>
        </w:tabs>
        <w:spacing w:line="243" w:lineRule="auto"/>
        <w:ind w:left="2280" w:hanging="365"/>
        <w:jc w:val="both"/>
        <w:rPr>
          <w:rFonts w:eastAsia="Times New Roman"/>
          <w:sz w:val="24"/>
          <w:szCs w:val="24"/>
        </w:rPr>
      </w:pPr>
      <w:r w:rsidRPr="00565DE4">
        <w:rPr>
          <w:rFonts w:eastAsia="Times New Roman"/>
          <w:sz w:val="24"/>
          <w:szCs w:val="24"/>
        </w:rPr>
        <w:t>a. Any water system that maintains the range of values for the water quality parameters reflecting optimal corrosion control treatment specified by the Department under 310 CMR 22.06B(3)(f) during three consecutive years of monitoring under 310 CMR 22.06B(8)(e)2.a. may reduce the frequency with which it collects the number of tap samples for applicable water quality parameters specified in 310 CMR 22.06B(8)(e)1., from every six months to annually. This sampling begins during the calendar year immediately following the end of the monitoring period in which the third consecutive year of six-month monitoring occurs. Any water system that maintains the range of values for the water quality parameters reflecting optimal corrosion control treatment specified by the Department under 310 CMR 22.06B(3)(f), during three consecutive years of annual monitoring under 310 CMR 22.06B(8)(e)2. a. may reduce the frequency with which it collects the number of tap samples for applicable water quality parameters specified in 310 CMR 22.06B(8)(e)1. from annually to every three years. This sampling begins no later than the third calendar year following the end of the monitoring period in which the third consecutive year of monitoring occurs.</w:t>
      </w:r>
    </w:p>
    <w:p w14:paraId="2819E232" w14:textId="096D4007" w:rsidR="004647B9" w:rsidRPr="00565DE4" w:rsidRDefault="00E2436F" w:rsidP="00566E18">
      <w:pPr>
        <w:ind w:left="2280"/>
        <w:jc w:val="both"/>
        <w:rPr>
          <w:sz w:val="24"/>
          <w:szCs w:val="24"/>
        </w:rPr>
      </w:pPr>
      <w:r w:rsidRPr="00565DE4">
        <w:rPr>
          <w:rFonts w:eastAsia="Times New Roman"/>
          <w:sz w:val="24"/>
          <w:szCs w:val="24"/>
        </w:rPr>
        <w:t>b. A water system may reduce the frequency with which it collects tap samples for applicable water quality parameters specified in 310 CMR 22.06B(8)(e)1. to every three years if it demonstrates during two consecutive monitoring periods that its tap water lead level at the 90</w:t>
      </w:r>
      <w:r w:rsidRPr="00565DE4">
        <w:rPr>
          <w:rFonts w:eastAsia="Times New Roman"/>
          <w:sz w:val="24"/>
          <w:szCs w:val="24"/>
          <w:vertAlign w:val="superscript"/>
        </w:rPr>
        <w:t>th</w:t>
      </w:r>
      <w:r w:rsidRPr="00565DE4">
        <w:rPr>
          <w:rFonts w:eastAsia="Times New Roman"/>
          <w:sz w:val="24"/>
          <w:szCs w:val="24"/>
        </w:rPr>
        <w:t xml:space="preserve"> percentile is less than or equal to the PQL for lead specified in 310 CMR 22.06B(10)(a)1.b., that its tap water copper level at the 90</w:t>
      </w:r>
      <w:r w:rsidRPr="00565DE4">
        <w:rPr>
          <w:rFonts w:eastAsia="Times New Roman"/>
          <w:sz w:val="24"/>
          <w:szCs w:val="24"/>
          <w:vertAlign w:val="superscript"/>
        </w:rPr>
        <w:t>th</w:t>
      </w:r>
      <w:r w:rsidR="007A6AFA">
        <w:rPr>
          <w:rFonts w:eastAsia="Times New Roman"/>
          <w:sz w:val="24"/>
          <w:szCs w:val="24"/>
          <w:vertAlign w:val="superscript"/>
        </w:rPr>
        <w:t xml:space="preserve"> </w:t>
      </w:r>
      <w:r w:rsidRPr="00565DE4">
        <w:rPr>
          <w:rFonts w:eastAsia="Times New Roman"/>
          <w:sz w:val="24"/>
          <w:szCs w:val="24"/>
        </w:rPr>
        <w:t>percentile is less than or equal to 0.65 mg/L for copper in 310 CMR 22.06B(1)(c)2., and that it also has maintained the range of values for the water quality parameters reflecting optimal corrosion control treatment specified by the Department under 310 CMR 22.06B(3)(f). Monitoring conducted every three years shall be done no later than every third calendar year.</w:t>
      </w:r>
    </w:p>
    <w:p w14:paraId="2819E233" w14:textId="77777777" w:rsidR="004647B9" w:rsidRDefault="004647B9">
      <w:pPr>
        <w:sectPr w:rsidR="004647B9" w:rsidSect="00EF630C">
          <w:pgSz w:w="12240" w:h="20180"/>
          <w:pgMar w:top="708" w:right="1440" w:bottom="1440" w:left="600" w:header="0" w:footer="0" w:gutter="0"/>
          <w:cols w:space="720" w:equalWidth="0">
            <w:col w:w="10200"/>
          </w:cols>
        </w:sectPr>
      </w:pPr>
    </w:p>
    <w:p w14:paraId="2819E234" w14:textId="77777777" w:rsidR="004647B9" w:rsidRDefault="00E2436F">
      <w:pPr>
        <w:tabs>
          <w:tab w:val="left" w:pos="160"/>
        </w:tabs>
        <w:jc w:val="center"/>
        <w:rPr>
          <w:sz w:val="20"/>
          <w:szCs w:val="20"/>
        </w:rPr>
      </w:pPr>
      <w:bookmarkStart w:id="85" w:name="page86"/>
      <w:bookmarkEnd w:id="8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235" w14:textId="77777777" w:rsidR="004647B9" w:rsidRDefault="004647B9" w:rsidP="00566E18">
      <w:pPr>
        <w:rPr>
          <w:sz w:val="20"/>
          <w:szCs w:val="20"/>
        </w:rPr>
      </w:pPr>
    </w:p>
    <w:p w14:paraId="2819E236" w14:textId="77777777" w:rsidR="004647B9" w:rsidRDefault="004647B9" w:rsidP="00566E18">
      <w:pPr>
        <w:rPr>
          <w:sz w:val="20"/>
          <w:szCs w:val="20"/>
        </w:rPr>
      </w:pPr>
    </w:p>
    <w:p w14:paraId="2819E237"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238" w14:textId="77777777" w:rsidR="004647B9" w:rsidRDefault="004647B9" w:rsidP="00566E18">
      <w:pPr>
        <w:rPr>
          <w:sz w:val="20"/>
          <w:szCs w:val="20"/>
        </w:rPr>
      </w:pPr>
    </w:p>
    <w:p w14:paraId="2819E239" w14:textId="77777777" w:rsidR="004647B9" w:rsidRPr="00565DE4" w:rsidRDefault="00E2436F" w:rsidP="00563A54">
      <w:pPr>
        <w:numPr>
          <w:ilvl w:val="2"/>
          <w:numId w:val="215"/>
        </w:numPr>
        <w:tabs>
          <w:tab w:val="left" w:pos="2282"/>
        </w:tabs>
        <w:spacing w:line="256" w:lineRule="auto"/>
        <w:ind w:left="1920" w:hanging="5"/>
        <w:rPr>
          <w:rFonts w:eastAsia="Times New Roman"/>
          <w:sz w:val="24"/>
          <w:szCs w:val="24"/>
        </w:rPr>
      </w:pPr>
      <w:r w:rsidRPr="00565DE4">
        <w:rPr>
          <w:rFonts w:eastAsia="Times New Roman"/>
          <w:sz w:val="24"/>
          <w:szCs w:val="24"/>
        </w:rPr>
        <w:t>A water system that conducts sampling annually shall collect these samples evenly throughout the year so as to reflect seasonal variability.</w:t>
      </w:r>
    </w:p>
    <w:p w14:paraId="2819E23D" w14:textId="7119F7E9" w:rsidR="004647B9" w:rsidRPr="00565DE4" w:rsidRDefault="00E2436F" w:rsidP="00563A54">
      <w:pPr>
        <w:numPr>
          <w:ilvl w:val="2"/>
          <w:numId w:val="215"/>
        </w:numPr>
        <w:tabs>
          <w:tab w:val="left" w:pos="2287"/>
        </w:tabs>
        <w:spacing w:line="253" w:lineRule="auto"/>
        <w:ind w:left="1920" w:hanging="5"/>
        <w:jc w:val="both"/>
        <w:rPr>
          <w:rFonts w:eastAsia="Times New Roman"/>
          <w:sz w:val="24"/>
          <w:szCs w:val="24"/>
        </w:rPr>
      </w:pPr>
      <w:r w:rsidRPr="00565DE4">
        <w:rPr>
          <w:rFonts w:eastAsia="Times New Roman"/>
          <w:sz w:val="24"/>
          <w:szCs w:val="24"/>
        </w:rPr>
        <w:t>Any water system subject to the reduced monitoring frequency that fails to operate at or above the minimum value or within the range of values for the water quality parameters specified by the Department under 310 CMR 22.06B(3)(f) for more than nine days in any six-month period specified in 310 CMR 22.06B(3)(g) shall resume distribution system tap water sampling in accordance with the number and frequency requirements in 310 CMR 22.06B(8)(c). Such a system may resume annual monitoring for water quality parameters at the tap at the reduced number of sites specified in</w:t>
      </w:r>
      <w:r w:rsidR="00565DE4">
        <w:rPr>
          <w:rFonts w:eastAsia="Times New Roman"/>
          <w:sz w:val="24"/>
          <w:szCs w:val="24"/>
        </w:rPr>
        <w:t xml:space="preserve"> 310 </w:t>
      </w:r>
      <w:r w:rsidRPr="00565DE4">
        <w:rPr>
          <w:rFonts w:eastAsia="Times New Roman"/>
          <w:sz w:val="24"/>
          <w:szCs w:val="24"/>
        </w:rPr>
        <w:t>CMR 22.06B(8)(e)1. after it has completed two subsequent consecutive six-month rounds of monitoring that meet the criteria of 310 CMR 22.06B(8)(e)1. and/or may resume triennial monitoring for water quality parameters at the tap at the reduced number of sites after it demonstrates through subsequent rounds of monitoring that it meets the criteria of either 310 CMR 22.06B(8)(e)2.a. or b.</w:t>
      </w:r>
    </w:p>
    <w:p w14:paraId="2819E23F" w14:textId="77777777" w:rsidR="004647B9" w:rsidRPr="00565DE4" w:rsidRDefault="00E2436F" w:rsidP="00563A54">
      <w:pPr>
        <w:numPr>
          <w:ilvl w:val="1"/>
          <w:numId w:val="216"/>
        </w:numPr>
        <w:tabs>
          <w:tab w:val="left" w:pos="1922"/>
        </w:tabs>
        <w:spacing w:line="243" w:lineRule="auto"/>
        <w:ind w:left="1560" w:hanging="5"/>
        <w:jc w:val="both"/>
        <w:rPr>
          <w:rFonts w:eastAsia="Times New Roman"/>
          <w:sz w:val="24"/>
          <w:szCs w:val="24"/>
        </w:rPr>
      </w:pPr>
      <w:r w:rsidRPr="00565DE4">
        <w:rPr>
          <w:rFonts w:eastAsia="Times New Roman"/>
          <w:sz w:val="24"/>
          <w:szCs w:val="24"/>
          <w:u w:val="single"/>
        </w:rPr>
        <w:t>Additional Monitoring by Systems</w:t>
      </w:r>
      <w:r w:rsidRPr="00565DE4">
        <w:rPr>
          <w:rFonts w:eastAsia="Times New Roman"/>
          <w:sz w:val="24"/>
          <w:szCs w:val="24"/>
        </w:rPr>
        <w:t>. The results of any monitoring conducted in addition to the minimum requirements of 310 CMR 22.06B(8) shall be considered by the system and the Department in making any determinations (</w:t>
      </w:r>
      <w:r w:rsidRPr="00565DE4">
        <w:rPr>
          <w:rFonts w:eastAsia="Times New Roman"/>
          <w:i/>
          <w:iCs/>
          <w:sz w:val="24"/>
          <w:szCs w:val="24"/>
        </w:rPr>
        <w:t>i.e</w:t>
      </w:r>
      <w:r w:rsidRPr="00565DE4">
        <w:rPr>
          <w:rFonts w:eastAsia="Times New Roman"/>
          <w:sz w:val="24"/>
          <w:szCs w:val="24"/>
        </w:rPr>
        <w:t>., determining concentrations of water quality parameters) under 310 CMR 22.06B(3) or (8).</w:t>
      </w:r>
    </w:p>
    <w:p w14:paraId="2819E240" w14:textId="77777777" w:rsidR="004647B9" w:rsidRPr="00565DE4" w:rsidRDefault="00E2436F" w:rsidP="00563A54">
      <w:pPr>
        <w:numPr>
          <w:ilvl w:val="1"/>
          <w:numId w:val="216"/>
        </w:numPr>
        <w:tabs>
          <w:tab w:val="left" w:pos="2024"/>
        </w:tabs>
        <w:spacing w:line="244" w:lineRule="auto"/>
        <w:ind w:left="1560" w:hanging="5"/>
        <w:jc w:val="both"/>
        <w:rPr>
          <w:rFonts w:eastAsia="Times New Roman"/>
          <w:sz w:val="24"/>
          <w:szCs w:val="24"/>
        </w:rPr>
      </w:pPr>
      <w:r w:rsidRPr="00565DE4">
        <w:rPr>
          <w:rFonts w:eastAsia="Times New Roman"/>
          <w:sz w:val="24"/>
          <w:szCs w:val="24"/>
        </w:rPr>
        <w:t>For the purposes of determining compliance with 310 CMR 22.06B, samples may be considered only if they have been analyzed by a certified laboratory, except that measurements for alkalinity, calcium, conductivity, orthophosphate, pH, and silica may be performed by a Massachusetts certified operator.</w:t>
      </w:r>
    </w:p>
    <w:p w14:paraId="2819E241" w14:textId="77777777" w:rsidR="004647B9" w:rsidRPr="00565DE4" w:rsidRDefault="004647B9" w:rsidP="00566E18">
      <w:pPr>
        <w:rPr>
          <w:rFonts w:eastAsia="Times New Roman"/>
          <w:sz w:val="24"/>
          <w:szCs w:val="24"/>
        </w:rPr>
      </w:pPr>
    </w:p>
    <w:p w14:paraId="2819E242" w14:textId="77777777" w:rsidR="004647B9" w:rsidRPr="00565DE4" w:rsidRDefault="00E2436F" w:rsidP="00563A54">
      <w:pPr>
        <w:numPr>
          <w:ilvl w:val="0"/>
          <w:numId w:val="217"/>
        </w:numPr>
        <w:tabs>
          <w:tab w:val="left" w:pos="1660"/>
        </w:tabs>
        <w:ind w:left="1660" w:hanging="460"/>
        <w:rPr>
          <w:rFonts w:eastAsia="Times New Roman"/>
          <w:sz w:val="24"/>
          <w:szCs w:val="24"/>
        </w:rPr>
      </w:pPr>
      <w:r w:rsidRPr="00565DE4">
        <w:rPr>
          <w:rFonts w:eastAsia="Times New Roman"/>
          <w:sz w:val="24"/>
          <w:szCs w:val="24"/>
          <w:u w:val="single"/>
        </w:rPr>
        <w:t>Monitoring Requirements for Lead and Copper in Source Water</w:t>
      </w:r>
      <w:r w:rsidRPr="00565DE4">
        <w:rPr>
          <w:rFonts w:eastAsia="Times New Roman"/>
          <w:sz w:val="24"/>
          <w:szCs w:val="24"/>
        </w:rPr>
        <w:t>.</w:t>
      </w:r>
    </w:p>
    <w:p w14:paraId="2819E244" w14:textId="77777777" w:rsidR="004647B9" w:rsidRPr="00565DE4" w:rsidRDefault="00E2436F" w:rsidP="00563A54">
      <w:pPr>
        <w:numPr>
          <w:ilvl w:val="1"/>
          <w:numId w:val="217"/>
        </w:numPr>
        <w:tabs>
          <w:tab w:val="left" w:pos="2000"/>
        </w:tabs>
        <w:ind w:left="2000" w:hanging="445"/>
        <w:rPr>
          <w:rFonts w:eastAsia="Times New Roman"/>
          <w:sz w:val="24"/>
          <w:szCs w:val="24"/>
        </w:rPr>
      </w:pPr>
      <w:r w:rsidRPr="00565DE4">
        <w:rPr>
          <w:rFonts w:eastAsia="Times New Roman"/>
          <w:sz w:val="24"/>
          <w:szCs w:val="24"/>
          <w:u w:val="single"/>
        </w:rPr>
        <w:t>Sample Location, Collection Methods, and Number of Samples</w:t>
      </w:r>
      <w:r w:rsidRPr="00565DE4">
        <w:rPr>
          <w:rFonts w:eastAsia="Times New Roman"/>
          <w:sz w:val="24"/>
          <w:szCs w:val="24"/>
        </w:rPr>
        <w:t>.</w:t>
      </w:r>
    </w:p>
    <w:p w14:paraId="2819E246" w14:textId="77777777" w:rsidR="004647B9" w:rsidRPr="00565DE4" w:rsidRDefault="00E2436F" w:rsidP="00563A54">
      <w:pPr>
        <w:numPr>
          <w:ilvl w:val="3"/>
          <w:numId w:val="217"/>
        </w:numPr>
        <w:tabs>
          <w:tab w:val="left" w:pos="2640"/>
        </w:tabs>
        <w:spacing w:line="243" w:lineRule="auto"/>
        <w:ind w:left="2280" w:hanging="5"/>
        <w:jc w:val="both"/>
        <w:rPr>
          <w:rFonts w:eastAsia="Times New Roman"/>
          <w:sz w:val="24"/>
          <w:szCs w:val="24"/>
        </w:rPr>
      </w:pPr>
      <w:r w:rsidRPr="00565DE4">
        <w:rPr>
          <w:rFonts w:eastAsia="Times New Roman"/>
          <w:sz w:val="24"/>
          <w:szCs w:val="24"/>
        </w:rPr>
        <w:t>A water system that fails to meet the lead or copper action level on the basis of tap samples collected in accordance with 310 CMR 22.06B(7) shall collect lead and copper source water samples in accordance with the following requirements regarding sample location, number of samples, and collection methods:</w:t>
      </w:r>
    </w:p>
    <w:p w14:paraId="2819E247" w14:textId="77777777" w:rsidR="004647B9" w:rsidRPr="00565DE4" w:rsidRDefault="00E2436F" w:rsidP="00563A54">
      <w:pPr>
        <w:numPr>
          <w:ilvl w:val="4"/>
          <w:numId w:val="217"/>
        </w:numPr>
        <w:tabs>
          <w:tab w:val="left" w:pos="3036"/>
        </w:tabs>
        <w:spacing w:line="242" w:lineRule="auto"/>
        <w:ind w:left="2640" w:hanging="5"/>
        <w:jc w:val="both"/>
        <w:rPr>
          <w:rFonts w:eastAsia="Times New Roman"/>
          <w:sz w:val="24"/>
          <w:szCs w:val="24"/>
        </w:rPr>
      </w:pPr>
      <w:r w:rsidRPr="00565DE4">
        <w:rPr>
          <w:rFonts w:eastAsia="Times New Roman"/>
          <w:sz w:val="24"/>
          <w:szCs w:val="24"/>
        </w:rPr>
        <w:t>Groundwater systems shall take a minimum of one sample at every entry point to the distribution system which is representative of each well after treatment (sampling point). The system shall take one sample at the same sampling point unless conditions make another sampling point more representative of each source or treatment plant.</w:t>
      </w:r>
    </w:p>
    <w:p w14:paraId="2819E249" w14:textId="77777777" w:rsidR="004647B9" w:rsidRDefault="00E2436F" w:rsidP="00563A54">
      <w:pPr>
        <w:numPr>
          <w:ilvl w:val="4"/>
          <w:numId w:val="217"/>
        </w:numPr>
        <w:tabs>
          <w:tab w:val="left" w:pos="3041"/>
        </w:tabs>
        <w:spacing w:line="243" w:lineRule="auto"/>
        <w:ind w:left="2640" w:hanging="5"/>
        <w:jc w:val="both"/>
        <w:rPr>
          <w:rFonts w:eastAsia="Times New Roman"/>
          <w:sz w:val="24"/>
          <w:szCs w:val="24"/>
        </w:rPr>
      </w:pPr>
      <w:r w:rsidRPr="00565DE4">
        <w:rPr>
          <w:rFonts w:eastAsia="Times New Roman"/>
          <w:sz w:val="24"/>
          <w:szCs w:val="24"/>
        </w:rPr>
        <w:t>Surface water systems shall take a minimum of one sample at every entry</w:t>
      </w:r>
      <w:r>
        <w:rPr>
          <w:rFonts w:eastAsia="Times New Roman"/>
          <w:sz w:val="24"/>
          <w:szCs w:val="24"/>
        </w:rPr>
        <w:t xml:space="preserve"> point to the distribution system after any application of treatment or in the distribution system at a point which is representative of each source after treatment (sampling point). The system shall take each sample at the same sampling point unless conditions make another sampling point more representative of each source or treatment plant.</w:t>
      </w:r>
    </w:p>
    <w:p w14:paraId="2819E24B" w14:textId="77777777" w:rsidR="004647B9" w:rsidRDefault="00E2436F">
      <w:pPr>
        <w:spacing w:line="243" w:lineRule="auto"/>
        <w:ind w:left="2640"/>
        <w:rPr>
          <w:rFonts w:eastAsia="Times New Roman"/>
          <w:sz w:val="24"/>
          <w:szCs w:val="24"/>
        </w:rPr>
      </w:pPr>
      <w:r>
        <w:rPr>
          <w:rFonts w:eastAsia="Times New Roman"/>
          <w:sz w:val="24"/>
          <w:szCs w:val="24"/>
        </w:rPr>
        <w:t>NOTE: For the purposes of 310 CMR 22.06B(9)(a)1.b., surface water systems include systems with a combination of surface and ground sources.</w:t>
      </w:r>
    </w:p>
    <w:p w14:paraId="2819E24C" w14:textId="77777777" w:rsidR="004647B9" w:rsidRDefault="00E2436F" w:rsidP="00563A54">
      <w:pPr>
        <w:numPr>
          <w:ilvl w:val="4"/>
          <w:numId w:val="217"/>
        </w:numPr>
        <w:tabs>
          <w:tab w:val="left" w:pos="3066"/>
        </w:tabs>
        <w:spacing w:line="243" w:lineRule="auto"/>
        <w:ind w:left="2640" w:hanging="5"/>
        <w:jc w:val="both"/>
        <w:rPr>
          <w:rFonts w:eastAsia="Times New Roman"/>
          <w:sz w:val="24"/>
          <w:szCs w:val="24"/>
        </w:rPr>
      </w:pPr>
      <w:r>
        <w:rPr>
          <w:rFonts w:eastAsia="Times New Roman"/>
          <w:sz w:val="24"/>
          <w:szCs w:val="24"/>
        </w:rPr>
        <w:t>If a system draws water from more than one source and the sources are combined before distribution, the system shall sample at an entry point to the distribution system during periods of normal operating conditions (</w:t>
      </w:r>
      <w:r>
        <w:rPr>
          <w:rFonts w:eastAsia="Times New Roman"/>
          <w:i/>
          <w:iCs/>
          <w:sz w:val="24"/>
          <w:szCs w:val="24"/>
        </w:rPr>
        <w:t>i.e.</w:t>
      </w:r>
      <w:r>
        <w:rPr>
          <w:rFonts w:eastAsia="Times New Roman"/>
          <w:sz w:val="24"/>
          <w:szCs w:val="24"/>
        </w:rPr>
        <w:t>, when water is representative of all sources being used).</w:t>
      </w:r>
    </w:p>
    <w:p w14:paraId="2819E24D" w14:textId="77777777" w:rsidR="004647B9" w:rsidRDefault="00E2436F" w:rsidP="00563A54">
      <w:pPr>
        <w:numPr>
          <w:ilvl w:val="4"/>
          <w:numId w:val="217"/>
        </w:numPr>
        <w:tabs>
          <w:tab w:val="left" w:pos="3065"/>
        </w:tabs>
        <w:spacing w:line="243" w:lineRule="auto"/>
        <w:ind w:left="2640" w:hanging="5"/>
        <w:jc w:val="both"/>
        <w:rPr>
          <w:rFonts w:eastAsia="Times New Roman"/>
          <w:sz w:val="24"/>
          <w:szCs w:val="24"/>
        </w:rPr>
      </w:pPr>
      <w:r>
        <w:rPr>
          <w:rFonts w:eastAsia="Times New Roman"/>
          <w:sz w:val="24"/>
          <w:szCs w:val="24"/>
        </w:rPr>
        <w:t>The Department may reduce the total number of samples which shall be analyzed by allowing the use of compositing. Compositing of samples shall be done by certified laboratory personnel. Composite samples from a maximum of five samples are allowed, provided that if the lead concentration in the composite sample is greater than or equal to 0.001 mg/L or the copper concentration is greater than or equal to 0.160 mg/L, then either:</w:t>
      </w:r>
    </w:p>
    <w:p w14:paraId="2819E24F" w14:textId="77777777" w:rsidR="004647B9" w:rsidRDefault="00E2436F" w:rsidP="00563A54">
      <w:pPr>
        <w:numPr>
          <w:ilvl w:val="5"/>
          <w:numId w:val="217"/>
        </w:numPr>
        <w:tabs>
          <w:tab w:val="left" w:pos="3403"/>
        </w:tabs>
        <w:spacing w:line="243" w:lineRule="auto"/>
        <w:ind w:left="3000" w:hanging="5"/>
        <w:rPr>
          <w:rFonts w:eastAsia="Times New Roman"/>
          <w:sz w:val="24"/>
          <w:szCs w:val="24"/>
        </w:rPr>
      </w:pPr>
      <w:r>
        <w:rPr>
          <w:rFonts w:eastAsia="Times New Roman"/>
          <w:sz w:val="24"/>
          <w:szCs w:val="24"/>
        </w:rPr>
        <w:t>A follow-up sample shall be taken and analyzed within 14 days at each sampling point included in the composite; or</w:t>
      </w:r>
    </w:p>
    <w:p w14:paraId="2819E250" w14:textId="77777777" w:rsidR="004647B9" w:rsidRDefault="00E2436F" w:rsidP="00563A54">
      <w:pPr>
        <w:numPr>
          <w:ilvl w:val="5"/>
          <w:numId w:val="217"/>
        </w:numPr>
        <w:tabs>
          <w:tab w:val="left" w:pos="3480"/>
        </w:tabs>
        <w:spacing w:line="245" w:lineRule="auto"/>
        <w:ind w:left="3000" w:hanging="5"/>
        <w:jc w:val="both"/>
        <w:rPr>
          <w:rFonts w:eastAsia="Times New Roman"/>
          <w:sz w:val="24"/>
          <w:szCs w:val="24"/>
        </w:rPr>
      </w:pPr>
      <w:r>
        <w:rPr>
          <w:rFonts w:eastAsia="Times New Roman"/>
          <w:sz w:val="24"/>
          <w:szCs w:val="24"/>
        </w:rPr>
        <w:t>If duplicates of or sufficient quantities from the original samples from each sampling point used in the composite are available, the system may use these instead of resampling.</w:t>
      </w:r>
    </w:p>
    <w:p w14:paraId="2819E251" w14:textId="77777777" w:rsidR="004647B9" w:rsidRDefault="004647B9">
      <w:pPr>
        <w:sectPr w:rsidR="004647B9" w:rsidSect="00EF630C">
          <w:pgSz w:w="12240" w:h="20180"/>
          <w:pgMar w:top="708" w:right="1440" w:bottom="1440" w:left="600" w:header="0" w:footer="0" w:gutter="0"/>
          <w:cols w:space="720" w:equalWidth="0">
            <w:col w:w="10200"/>
          </w:cols>
        </w:sectPr>
      </w:pPr>
    </w:p>
    <w:p w14:paraId="2819E252" w14:textId="77777777" w:rsidR="004647B9" w:rsidRDefault="00E2436F">
      <w:pPr>
        <w:tabs>
          <w:tab w:val="left" w:pos="160"/>
        </w:tabs>
        <w:jc w:val="center"/>
        <w:rPr>
          <w:sz w:val="20"/>
          <w:szCs w:val="20"/>
        </w:rPr>
      </w:pPr>
      <w:bookmarkStart w:id="86" w:name="page87"/>
      <w:bookmarkEnd w:id="8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253" w14:textId="77777777" w:rsidR="004647B9" w:rsidRDefault="004647B9" w:rsidP="00230AC9">
      <w:pPr>
        <w:rPr>
          <w:sz w:val="20"/>
          <w:szCs w:val="20"/>
        </w:rPr>
      </w:pPr>
    </w:p>
    <w:p w14:paraId="2819E254" w14:textId="77777777" w:rsidR="004647B9" w:rsidRDefault="004647B9" w:rsidP="00230AC9">
      <w:pPr>
        <w:rPr>
          <w:sz w:val="20"/>
          <w:szCs w:val="20"/>
        </w:rPr>
      </w:pPr>
    </w:p>
    <w:p w14:paraId="2819E255"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256" w14:textId="77777777" w:rsidR="004647B9" w:rsidRDefault="004647B9" w:rsidP="00230AC9">
      <w:pPr>
        <w:rPr>
          <w:sz w:val="20"/>
          <w:szCs w:val="20"/>
        </w:rPr>
      </w:pPr>
    </w:p>
    <w:p w14:paraId="2819E257" w14:textId="77777777" w:rsidR="004647B9" w:rsidRPr="00242CB1" w:rsidRDefault="00E2436F" w:rsidP="00563A54">
      <w:pPr>
        <w:numPr>
          <w:ilvl w:val="1"/>
          <w:numId w:val="218"/>
        </w:numPr>
        <w:tabs>
          <w:tab w:val="left" w:pos="2388"/>
        </w:tabs>
        <w:spacing w:line="245" w:lineRule="auto"/>
        <w:ind w:left="1920" w:hanging="5"/>
        <w:jc w:val="both"/>
        <w:rPr>
          <w:rFonts w:eastAsia="Times New Roman"/>
          <w:sz w:val="24"/>
          <w:szCs w:val="24"/>
        </w:rPr>
      </w:pPr>
      <w:r w:rsidRPr="00242CB1">
        <w:rPr>
          <w:rFonts w:eastAsia="Times New Roman"/>
          <w:sz w:val="24"/>
          <w:szCs w:val="24"/>
        </w:rPr>
        <w:t>Where the results of sampling indicate an exceedance of 5ppb, the maximum permissible source water levels established under 310 CMR 22.06B(4)(b)4., the Department may require that one additional sample be collected as soon as possible after the initial sample was taken (but not to exceed two weeks) at the same sampling point. If a Department-required confirmation sample is taken for lead or copper, then the results of the initial and confirmation sample shall be averaged in determining compliance with the Department-specified maximum permissible levels. Any sample value below the detection limit shall be considered to be zero. Any value above the detection limit but below the PQL shall either be considered as the measured value or be considered one-half the PQL.</w:t>
      </w:r>
    </w:p>
    <w:p w14:paraId="2819E259" w14:textId="77777777" w:rsidR="004647B9" w:rsidRPr="00242CB1" w:rsidRDefault="00E2436F" w:rsidP="00563A54">
      <w:pPr>
        <w:numPr>
          <w:ilvl w:val="0"/>
          <w:numId w:val="219"/>
        </w:numPr>
        <w:tabs>
          <w:tab w:val="left" w:pos="2063"/>
        </w:tabs>
        <w:spacing w:line="239" w:lineRule="auto"/>
        <w:ind w:left="1560" w:hanging="5"/>
        <w:jc w:val="both"/>
        <w:rPr>
          <w:rFonts w:eastAsia="Times New Roman"/>
          <w:sz w:val="24"/>
          <w:szCs w:val="24"/>
        </w:rPr>
      </w:pPr>
      <w:r w:rsidRPr="00242CB1">
        <w:rPr>
          <w:rFonts w:eastAsia="Times New Roman"/>
          <w:sz w:val="24"/>
          <w:szCs w:val="24"/>
          <w:u w:val="single"/>
        </w:rPr>
        <w:t>Monitoring Frequency after System Exceeds Tap Water Action Level</w:t>
      </w:r>
      <w:r w:rsidRPr="00242CB1">
        <w:rPr>
          <w:rFonts w:eastAsia="Times New Roman"/>
          <w:sz w:val="24"/>
          <w:szCs w:val="24"/>
        </w:rPr>
        <w:t>. Any system which exceeds the lead or copper action level at the tap shall collect one source water sample from each entry point to the distribution system no later than six months after the end of the monitoring period during which the lead or copper action level was exceeded. For monitoring periods that are annual or less frequent, the end of the monitoring period is September 30</w:t>
      </w:r>
      <w:r w:rsidRPr="00242CB1">
        <w:rPr>
          <w:rFonts w:eastAsia="Times New Roman"/>
          <w:sz w:val="24"/>
          <w:szCs w:val="24"/>
          <w:vertAlign w:val="superscript"/>
        </w:rPr>
        <w:t>th</w:t>
      </w:r>
      <w:r w:rsidRPr="00242CB1">
        <w:rPr>
          <w:rFonts w:eastAsia="Times New Roman"/>
          <w:sz w:val="24"/>
          <w:szCs w:val="24"/>
        </w:rPr>
        <w:t xml:space="preserve"> of the calendar year in which the sampling occurs, or if the Department has established an alternate monitoring period, the last day of that period.</w:t>
      </w:r>
    </w:p>
    <w:p w14:paraId="2819E25A" w14:textId="77777777" w:rsidR="004647B9" w:rsidRPr="00242CB1" w:rsidRDefault="00E2436F" w:rsidP="00563A54">
      <w:pPr>
        <w:numPr>
          <w:ilvl w:val="0"/>
          <w:numId w:val="219"/>
        </w:numPr>
        <w:tabs>
          <w:tab w:val="left" w:pos="1961"/>
        </w:tabs>
        <w:spacing w:line="242" w:lineRule="auto"/>
        <w:ind w:left="1560" w:hanging="5"/>
        <w:jc w:val="both"/>
        <w:rPr>
          <w:rFonts w:eastAsia="Times New Roman"/>
          <w:sz w:val="24"/>
          <w:szCs w:val="24"/>
        </w:rPr>
      </w:pPr>
      <w:r w:rsidRPr="00242CB1">
        <w:rPr>
          <w:rFonts w:eastAsia="Times New Roman"/>
          <w:sz w:val="24"/>
          <w:szCs w:val="24"/>
          <w:u w:val="single"/>
        </w:rPr>
        <w:t>Monitoring Frequency after Installation of Source Water Treatment</w:t>
      </w:r>
      <w:r w:rsidRPr="00242CB1">
        <w:rPr>
          <w:rFonts w:eastAsia="Times New Roman"/>
          <w:sz w:val="24"/>
          <w:szCs w:val="24"/>
        </w:rPr>
        <w:t>. Any system which installs source water treatment pursuant to 310 CMR 22.06B(4)(a)3. shall collect an additional source water sample from each entry point to the distribution system during two consecutive six-month monitoring periods by the deadline specified in 310 CMR 22.06B(4)(a)4.</w:t>
      </w:r>
    </w:p>
    <w:p w14:paraId="2819E25C" w14:textId="77777777" w:rsidR="004647B9" w:rsidRPr="00242CB1" w:rsidRDefault="00E2436F" w:rsidP="00563A54">
      <w:pPr>
        <w:numPr>
          <w:ilvl w:val="0"/>
          <w:numId w:val="219"/>
        </w:numPr>
        <w:tabs>
          <w:tab w:val="left" w:pos="2018"/>
        </w:tabs>
        <w:spacing w:line="243" w:lineRule="auto"/>
        <w:ind w:left="1560" w:hanging="5"/>
        <w:rPr>
          <w:rFonts w:eastAsia="Times New Roman"/>
          <w:sz w:val="24"/>
          <w:szCs w:val="24"/>
        </w:rPr>
      </w:pPr>
      <w:r w:rsidRPr="00242CB1">
        <w:rPr>
          <w:rFonts w:eastAsia="Times New Roman"/>
          <w:sz w:val="24"/>
          <w:szCs w:val="24"/>
          <w:u w:val="single"/>
        </w:rPr>
        <w:t>Monitoring Frequency after the Department Determines that Source Water Treatment is not Needed</w:t>
      </w:r>
      <w:r w:rsidRPr="00242CB1">
        <w:rPr>
          <w:rFonts w:eastAsia="Times New Roman"/>
          <w:sz w:val="24"/>
          <w:szCs w:val="24"/>
        </w:rPr>
        <w:t>.</w:t>
      </w:r>
    </w:p>
    <w:p w14:paraId="2819E25D" w14:textId="77777777" w:rsidR="004647B9" w:rsidRPr="00242CB1" w:rsidRDefault="00E2436F" w:rsidP="00A3745B">
      <w:pPr>
        <w:numPr>
          <w:ilvl w:val="1"/>
          <w:numId w:val="219"/>
        </w:numPr>
        <w:tabs>
          <w:tab w:val="left" w:pos="2280"/>
        </w:tabs>
        <w:ind w:left="1915"/>
        <w:rPr>
          <w:rFonts w:eastAsia="Times New Roman"/>
          <w:sz w:val="24"/>
          <w:szCs w:val="24"/>
        </w:rPr>
      </w:pPr>
      <w:r w:rsidRPr="00242CB1">
        <w:rPr>
          <w:rFonts w:eastAsia="Times New Roman"/>
          <w:sz w:val="24"/>
          <w:szCs w:val="24"/>
        </w:rPr>
        <w:t>A system shall monitor at the frequency specified in 310 CMR 22.06B(9)(d)1. and</w:t>
      </w:r>
    </w:p>
    <w:p w14:paraId="2819E25F" w14:textId="77777777" w:rsidR="004647B9" w:rsidRPr="00242CB1" w:rsidRDefault="00E2436F" w:rsidP="00A3745B">
      <w:pPr>
        <w:numPr>
          <w:ilvl w:val="1"/>
          <w:numId w:val="219"/>
        </w:numPr>
        <w:tabs>
          <w:tab w:val="left" w:pos="2275"/>
        </w:tabs>
        <w:spacing w:line="242" w:lineRule="auto"/>
        <w:ind w:left="1915"/>
        <w:rPr>
          <w:rFonts w:eastAsia="Times New Roman"/>
          <w:sz w:val="24"/>
          <w:szCs w:val="24"/>
        </w:rPr>
      </w:pPr>
      <w:r w:rsidRPr="00242CB1">
        <w:rPr>
          <w:rFonts w:eastAsia="Times New Roman"/>
          <w:sz w:val="24"/>
          <w:szCs w:val="24"/>
        </w:rPr>
        <w:t>in cases where the Department determines that the system is not required to install source water treatment under 310 CMR 22.06B(4)(b)2.</w:t>
      </w:r>
    </w:p>
    <w:p w14:paraId="2819E260" w14:textId="77777777" w:rsidR="004647B9" w:rsidRPr="00242CB1" w:rsidRDefault="00E2436F" w:rsidP="00A3745B">
      <w:pPr>
        <w:numPr>
          <w:ilvl w:val="2"/>
          <w:numId w:val="219"/>
        </w:numPr>
        <w:tabs>
          <w:tab w:val="left" w:pos="2663"/>
        </w:tabs>
        <w:spacing w:line="242" w:lineRule="auto"/>
        <w:ind w:left="2280" w:hanging="5"/>
        <w:jc w:val="both"/>
        <w:rPr>
          <w:rFonts w:eastAsia="Times New Roman"/>
          <w:sz w:val="24"/>
          <w:szCs w:val="24"/>
        </w:rPr>
      </w:pPr>
      <w:r w:rsidRPr="00242CB1">
        <w:rPr>
          <w:rFonts w:eastAsia="Times New Roman"/>
          <w:sz w:val="24"/>
          <w:szCs w:val="24"/>
        </w:rPr>
        <w:t>A water system using only groundwater shall collect samples once during the three-year compliance period (as that term is defined in 310 CMR 22.02) in effect when the applicable Department determination under 310 CMR 22.06B(9)(d)1. is made. Such systems shall collect samples once during each subsequent compliance period. Triennial samples shall be collected every third calendar year.</w:t>
      </w:r>
    </w:p>
    <w:p w14:paraId="2819E262" w14:textId="77777777" w:rsidR="004647B9" w:rsidRPr="00242CB1" w:rsidRDefault="00E2436F" w:rsidP="00A3745B">
      <w:pPr>
        <w:numPr>
          <w:ilvl w:val="2"/>
          <w:numId w:val="219"/>
        </w:numPr>
        <w:tabs>
          <w:tab w:val="left" w:pos="2664"/>
        </w:tabs>
        <w:spacing w:line="243" w:lineRule="auto"/>
        <w:ind w:left="2280" w:hanging="5"/>
        <w:jc w:val="both"/>
        <w:rPr>
          <w:rFonts w:eastAsia="Times New Roman"/>
          <w:sz w:val="24"/>
          <w:szCs w:val="24"/>
        </w:rPr>
      </w:pPr>
      <w:r w:rsidRPr="00242CB1">
        <w:rPr>
          <w:rFonts w:eastAsia="Times New Roman"/>
          <w:sz w:val="24"/>
          <w:szCs w:val="24"/>
        </w:rPr>
        <w:t>A water system using surface water (or a combination of surface and groundwater) shall collect samples once during each year, the first annual monitoring period to begin on the date on which the applicable Department determination is made under 310 CMR 22.06B(9)(d)1.</w:t>
      </w:r>
    </w:p>
    <w:p w14:paraId="2819E264" w14:textId="77777777" w:rsidR="004647B9" w:rsidRPr="00242CB1" w:rsidRDefault="00E2436F" w:rsidP="00563A54">
      <w:pPr>
        <w:numPr>
          <w:ilvl w:val="1"/>
          <w:numId w:val="220"/>
        </w:numPr>
        <w:tabs>
          <w:tab w:val="left" w:pos="2258"/>
        </w:tabs>
        <w:spacing w:line="243" w:lineRule="auto"/>
        <w:ind w:left="1920" w:hanging="5"/>
        <w:jc w:val="both"/>
        <w:rPr>
          <w:rFonts w:eastAsia="Times New Roman"/>
          <w:sz w:val="24"/>
          <w:szCs w:val="24"/>
        </w:rPr>
      </w:pPr>
      <w:r w:rsidRPr="00242CB1">
        <w:rPr>
          <w:rFonts w:eastAsia="Times New Roman"/>
          <w:sz w:val="24"/>
          <w:szCs w:val="24"/>
        </w:rPr>
        <w:t>A system is not required to conduct source water sampling for lead and/or copper if the system meets the action level for the specific contaminant in tap water samples during the entire source water sampling period applicable to the system under 310 CMR 22.06B(9)(d)1.a. or b. A water system using surface water (or a combination of surface and ground water) shall collect samples once during each calendar year the first annual monitoring period to begin during the year in which the applicable Department determination is made under 310 CMR 22.06B(9)(d)1.</w:t>
      </w:r>
    </w:p>
    <w:p w14:paraId="2819E266" w14:textId="77777777" w:rsidR="004647B9" w:rsidRPr="00242CB1" w:rsidRDefault="00E2436F" w:rsidP="00563A54">
      <w:pPr>
        <w:numPr>
          <w:ilvl w:val="0"/>
          <w:numId w:val="221"/>
        </w:numPr>
        <w:tabs>
          <w:tab w:val="left" w:pos="2000"/>
        </w:tabs>
        <w:ind w:left="2000" w:hanging="445"/>
        <w:rPr>
          <w:rFonts w:eastAsia="Times New Roman"/>
          <w:sz w:val="24"/>
          <w:szCs w:val="24"/>
        </w:rPr>
      </w:pPr>
      <w:r w:rsidRPr="00242CB1">
        <w:rPr>
          <w:rFonts w:eastAsia="Times New Roman"/>
          <w:sz w:val="24"/>
          <w:szCs w:val="24"/>
          <w:u w:val="single"/>
        </w:rPr>
        <w:t>Reduced Monitoring Frequency</w:t>
      </w:r>
      <w:r w:rsidRPr="00242CB1">
        <w:rPr>
          <w:rFonts w:eastAsia="Times New Roman"/>
          <w:sz w:val="24"/>
          <w:szCs w:val="24"/>
        </w:rPr>
        <w:t>.</w:t>
      </w:r>
    </w:p>
    <w:p w14:paraId="2819E268" w14:textId="77777777" w:rsidR="004647B9" w:rsidRPr="00242CB1" w:rsidRDefault="00E2436F" w:rsidP="00563A54">
      <w:pPr>
        <w:numPr>
          <w:ilvl w:val="1"/>
          <w:numId w:val="221"/>
        </w:numPr>
        <w:tabs>
          <w:tab w:val="left" w:pos="2287"/>
        </w:tabs>
        <w:spacing w:line="253" w:lineRule="auto"/>
        <w:ind w:left="1920" w:hanging="5"/>
        <w:jc w:val="both"/>
        <w:rPr>
          <w:rFonts w:eastAsia="Times New Roman"/>
          <w:sz w:val="24"/>
          <w:szCs w:val="24"/>
        </w:rPr>
      </w:pPr>
      <w:r w:rsidRPr="00242CB1">
        <w:rPr>
          <w:rFonts w:eastAsia="Times New Roman"/>
          <w:sz w:val="24"/>
          <w:szCs w:val="24"/>
        </w:rPr>
        <w:t>A water system using only ground water may reduce the monitoring frequency for lead and/or copper in source water to once during each nine-year compliance cycle (as that term is defined in 310 CMR 22.02) provided that the samples are collected no later than every ninth calendar year and if the system meets one of the following criteria:</w:t>
      </w:r>
    </w:p>
    <w:p w14:paraId="2819E26A" w14:textId="77777777" w:rsidR="004647B9" w:rsidRPr="00242CB1" w:rsidRDefault="00E2436F" w:rsidP="00563A54">
      <w:pPr>
        <w:numPr>
          <w:ilvl w:val="2"/>
          <w:numId w:val="221"/>
        </w:numPr>
        <w:tabs>
          <w:tab w:val="left" w:pos="2642"/>
        </w:tabs>
        <w:spacing w:line="243" w:lineRule="auto"/>
        <w:ind w:left="2280" w:hanging="5"/>
        <w:jc w:val="both"/>
        <w:rPr>
          <w:rFonts w:eastAsia="Times New Roman"/>
          <w:sz w:val="24"/>
          <w:szCs w:val="24"/>
        </w:rPr>
      </w:pPr>
      <w:r w:rsidRPr="00242CB1">
        <w:rPr>
          <w:rFonts w:eastAsia="Times New Roman"/>
          <w:sz w:val="24"/>
          <w:szCs w:val="24"/>
        </w:rPr>
        <w:t>The system demonstrates that finished drinking water entering the distribution system has been maintained below the maximum permissible lead and copper concentrations specified by the Department in 310 CMR 22.06B(4)(b)4. during at least three consecutive compliance periods under 310 CMR 22.06B(9)(d)1.; or</w:t>
      </w:r>
    </w:p>
    <w:p w14:paraId="2819E26B" w14:textId="77777777" w:rsidR="004647B9" w:rsidRPr="00242CB1" w:rsidRDefault="00E2436F" w:rsidP="00563A54">
      <w:pPr>
        <w:numPr>
          <w:ilvl w:val="2"/>
          <w:numId w:val="221"/>
        </w:numPr>
        <w:tabs>
          <w:tab w:val="left" w:pos="2585"/>
        </w:tabs>
        <w:spacing w:line="244" w:lineRule="auto"/>
        <w:ind w:left="2280" w:hanging="5"/>
        <w:jc w:val="both"/>
        <w:rPr>
          <w:rFonts w:eastAsia="Times New Roman"/>
          <w:sz w:val="24"/>
          <w:szCs w:val="24"/>
        </w:rPr>
      </w:pPr>
      <w:r w:rsidRPr="00242CB1">
        <w:rPr>
          <w:rFonts w:eastAsia="Times New Roman"/>
          <w:sz w:val="24"/>
          <w:szCs w:val="24"/>
        </w:rPr>
        <w:t>The Department has determined that source water treatment is not needed and the system demonstrates that, during at least three consecutive compliance periods in which sampling was conducted under 310 CMR 22.06B(9)(d)1., the concentration of lead in source water was less than or equal to 0.005 mg/L and the concentration of copper in source water was less than or equal to 0.65 mg/L.</w:t>
      </w:r>
    </w:p>
    <w:p w14:paraId="2819E26C" w14:textId="77777777" w:rsidR="004647B9" w:rsidRDefault="004647B9">
      <w:pPr>
        <w:sectPr w:rsidR="004647B9" w:rsidSect="00EF630C">
          <w:pgSz w:w="12240" w:h="20180"/>
          <w:pgMar w:top="708" w:right="1440" w:bottom="1440" w:left="600" w:header="0" w:footer="0" w:gutter="0"/>
          <w:cols w:space="720" w:equalWidth="0">
            <w:col w:w="10200"/>
          </w:cols>
        </w:sectPr>
      </w:pPr>
    </w:p>
    <w:p w14:paraId="2819E26D" w14:textId="77777777" w:rsidR="004647B9" w:rsidRDefault="00E2436F">
      <w:pPr>
        <w:tabs>
          <w:tab w:val="left" w:pos="160"/>
        </w:tabs>
        <w:jc w:val="center"/>
        <w:rPr>
          <w:sz w:val="20"/>
          <w:szCs w:val="20"/>
        </w:rPr>
      </w:pPr>
      <w:bookmarkStart w:id="87" w:name="page88"/>
      <w:bookmarkEnd w:id="8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26E" w14:textId="77777777" w:rsidR="004647B9" w:rsidRDefault="004647B9" w:rsidP="00A3745B">
      <w:pPr>
        <w:rPr>
          <w:sz w:val="20"/>
          <w:szCs w:val="20"/>
        </w:rPr>
      </w:pPr>
    </w:p>
    <w:p w14:paraId="2819E26F" w14:textId="77777777" w:rsidR="004647B9" w:rsidRDefault="004647B9" w:rsidP="00A3745B">
      <w:pPr>
        <w:rPr>
          <w:sz w:val="20"/>
          <w:szCs w:val="20"/>
        </w:rPr>
      </w:pPr>
    </w:p>
    <w:p w14:paraId="2819E270"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271" w14:textId="77777777" w:rsidR="004647B9" w:rsidRDefault="004647B9" w:rsidP="00A3745B">
      <w:pPr>
        <w:rPr>
          <w:sz w:val="20"/>
          <w:szCs w:val="20"/>
        </w:rPr>
      </w:pPr>
    </w:p>
    <w:p w14:paraId="2819E272" w14:textId="77777777" w:rsidR="004647B9" w:rsidRPr="00242CB1" w:rsidRDefault="00E2436F" w:rsidP="00563A54">
      <w:pPr>
        <w:numPr>
          <w:ilvl w:val="2"/>
          <w:numId w:val="222"/>
        </w:numPr>
        <w:tabs>
          <w:tab w:val="left" w:pos="2251"/>
        </w:tabs>
        <w:spacing w:line="248" w:lineRule="auto"/>
        <w:ind w:left="1920" w:hanging="5"/>
        <w:jc w:val="both"/>
        <w:rPr>
          <w:rFonts w:eastAsia="Times New Roman"/>
          <w:sz w:val="24"/>
          <w:szCs w:val="24"/>
        </w:rPr>
      </w:pPr>
      <w:r w:rsidRPr="00242CB1">
        <w:rPr>
          <w:rFonts w:eastAsia="Times New Roman"/>
          <w:sz w:val="24"/>
          <w:szCs w:val="24"/>
        </w:rPr>
        <w:t>A water system using surface water (or a combination of surface and ground waters) may reduce the monitoring frequency in 310 CMR 22.06B(9)(d)1. to once during each nine-year compliance cycle (as defined in 310 CMR 22.02 provided that the samples are collected no later than every ninth calendar year and if the system meets one of the following criteria:</w:t>
      </w:r>
    </w:p>
    <w:p w14:paraId="2819E274" w14:textId="77777777" w:rsidR="004647B9" w:rsidRPr="00242CB1" w:rsidRDefault="00E2436F" w:rsidP="00563A54">
      <w:pPr>
        <w:numPr>
          <w:ilvl w:val="3"/>
          <w:numId w:val="222"/>
        </w:numPr>
        <w:tabs>
          <w:tab w:val="left" w:pos="2641"/>
        </w:tabs>
        <w:spacing w:line="243" w:lineRule="auto"/>
        <w:ind w:left="2280" w:hanging="5"/>
        <w:jc w:val="both"/>
        <w:rPr>
          <w:rFonts w:eastAsia="Times New Roman"/>
          <w:sz w:val="24"/>
          <w:szCs w:val="24"/>
        </w:rPr>
      </w:pPr>
      <w:r w:rsidRPr="00242CB1">
        <w:rPr>
          <w:rFonts w:eastAsia="Times New Roman"/>
          <w:sz w:val="24"/>
          <w:szCs w:val="24"/>
        </w:rPr>
        <w:t>The system demonstrates that finished drinking water entering the distribution system has been maintained below the maximum permissible lead and copper concentrations specified by the Department in 310 CMR 22.06B(4)(b)4. for at least three consecutive calendar years; or</w:t>
      </w:r>
    </w:p>
    <w:p w14:paraId="2819E275" w14:textId="77777777" w:rsidR="004647B9" w:rsidRPr="00242CB1" w:rsidRDefault="00E2436F" w:rsidP="00563A54">
      <w:pPr>
        <w:numPr>
          <w:ilvl w:val="3"/>
          <w:numId w:val="222"/>
        </w:numPr>
        <w:tabs>
          <w:tab w:val="left" w:pos="2585"/>
        </w:tabs>
        <w:spacing w:line="243" w:lineRule="auto"/>
        <w:ind w:left="2280" w:hanging="5"/>
        <w:jc w:val="both"/>
        <w:rPr>
          <w:rFonts w:eastAsia="Times New Roman"/>
          <w:sz w:val="24"/>
          <w:szCs w:val="24"/>
        </w:rPr>
      </w:pPr>
      <w:r w:rsidRPr="00242CB1">
        <w:rPr>
          <w:rFonts w:eastAsia="Times New Roman"/>
          <w:sz w:val="24"/>
          <w:szCs w:val="24"/>
        </w:rPr>
        <w:t>The Department has determined that source water treatment is not needed and the system demonstrates that, during at least three consecutive calendar years, the concentration of lead in source water was less than or equal to 0.005 mg/L and the concentration of copper in source water was less than or equal to 0.65 mg/L.</w:t>
      </w:r>
    </w:p>
    <w:p w14:paraId="2819E276" w14:textId="77777777" w:rsidR="004647B9" w:rsidRPr="00242CB1" w:rsidRDefault="00E2436F" w:rsidP="00563A54">
      <w:pPr>
        <w:numPr>
          <w:ilvl w:val="2"/>
          <w:numId w:val="222"/>
        </w:numPr>
        <w:tabs>
          <w:tab w:val="left" w:pos="2237"/>
        </w:tabs>
        <w:spacing w:line="258" w:lineRule="auto"/>
        <w:ind w:left="1920" w:hanging="5"/>
        <w:jc w:val="both"/>
        <w:rPr>
          <w:rFonts w:eastAsia="Times New Roman"/>
          <w:sz w:val="24"/>
          <w:szCs w:val="24"/>
        </w:rPr>
      </w:pPr>
      <w:r w:rsidRPr="00242CB1">
        <w:rPr>
          <w:rFonts w:eastAsia="Times New Roman"/>
          <w:sz w:val="24"/>
          <w:szCs w:val="24"/>
        </w:rPr>
        <w:t>A water system that uses a new source of water is not eligible for reduced monitoring for lead and/or copper until concentrations in samples collected from the new source during three consecutive monitoring periods are below the maximum permissible lead and copper concentrations specified by the Department in 310 CMR 22.06B(4)(a)5.</w:t>
      </w:r>
    </w:p>
    <w:p w14:paraId="2819E277" w14:textId="77777777" w:rsidR="004647B9" w:rsidRPr="00242CB1" w:rsidRDefault="004647B9" w:rsidP="00A3745B">
      <w:pPr>
        <w:rPr>
          <w:rFonts w:eastAsia="Times New Roman"/>
          <w:sz w:val="24"/>
          <w:szCs w:val="24"/>
        </w:rPr>
      </w:pPr>
    </w:p>
    <w:p w14:paraId="2819E278" w14:textId="77777777" w:rsidR="004647B9" w:rsidRPr="00242CB1" w:rsidRDefault="00E2436F" w:rsidP="00563A54">
      <w:pPr>
        <w:numPr>
          <w:ilvl w:val="0"/>
          <w:numId w:val="223"/>
        </w:numPr>
        <w:tabs>
          <w:tab w:val="left" w:pos="1780"/>
        </w:tabs>
        <w:ind w:left="1780" w:hanging="580"/>
        <w:rPr>
          <w:rFonts w:eastAsia="Times New Roman"/>
          <w:sz w:val="24"/>
          <w:szCs w:val="24"/>
        </w:rPr>
      </w:pPr>
      <w:r w:rsidRPr="00242CB1">
        <w:rPr>
          <w:rFonts w:eastAsia="Times New Roman"/>
          <w:sz w:val="24"/>
          <w:szCs w:val="24"/>
          <w:u w:val="single"/>
        </w:rPr>
        <w:t>Analytical Methods</w:t>
      </w:r>
      <w:r w:rsidRPr="00242CB1">
        <w:rPr>
          <w:rFonts w:eastAsia="Times New Roman"/>
          <w:sz w:val="24"/>
          <w:szCs w:val="24"/>
        </w:rPr>
        <w:t>.</w:t>
      </w:r>
    </w:p>
    <w:p w14:paraId="2819E27A" w14:textId="77777777" w:rsidR="004647B9" w:rsidRDefault="00E2436F" w:rsidP="00563A54">
      <w:pPr>
        <w:numPr>
          <w:ilvl w:val="1"/>
          <w:numId w:val="223"/>
        </w:numPr>
        <w:tabs>
          <w:tab w:val="left" w:pos="1968"/>
        </w:tabs>
        <w:spacing w:line="246" w:lineRule="auto"/>
        <w:ind w:left="1560" w:hanging="5"/>
        <w:rPr>
          <w:rFonts w:eastAsia="Times New Roman"/>
          <w:sz w:val="24"/>
          <w:szCs w:val="24"/>
        </w:rPr>
      </w:pPr>
      <w:r w:rsidRPr="00242CB1">
        <w:rPr>
          <w:rFonts w:eastAsia="Times New Roman"/>
          <w:sz w:val="24"/>
          <w:szCs w:val="24"/>
        </w:rPr>
        <w:t>Analyses for lead, copper, pH, conductivity, calcium, alkalinity, orthophosphate, silica, and temperature shall be conducted using the following methods</w:t>
      </w:r>
      <w:r>
        <w:rPr>
          <w:rFonts w:eastAsia="Times New Roman"/>
          <w:sz w:val="24"/>
          <w:szCs w:val="24"/>
        </w:rPr>
        <w:t>:</w:t>
      </w:r>
    </w:p>
    <w:p w14:paraId="2819E27B" w14:textId="77777777" w:rsidR="004647B9" w:rsidRDefault="004647B9">
      <w:pPr>
        <w:sectPr w:rsidR="004647B9" w:rsidSect="00EF630C">
          <w:pgSz w:w="12240" w:h="20180"/>
          <w:pgMar w:top="708" w:right="1440" w:bottom="1440" w:left="600" w:header="0" w:footer="0" w:gutter="0"/>
          <w:cols w:space="720" w:equalWidth="0">
            <w:col w:w="10200"/>
          </w:cols>
        </w:sectPr>
      </w:pPr>
    </w:p>
    <w:p w14:paraId="2819E27C" w14:textId="7CE9BFA2" w:rsidR="004647B9" w:rsidRDefault="00E2436F" w:rsidP="001B71A4">
      <w:pPr>
        <w:tabs>
          <w:tab w:val="left" w:pos="2860"/>
        </w:tabs>
        <w:jc w:val="center"/>
        <w:rPr>
          <w:sz w:val="20"/>
          <w:szCs w:val="20"/>
        </w:rPr>
      </w:pPr>
      <w:bookmarkStart w:id="88" w:name="page89"/>
      <w:bookmarkEnd w:id="88"/>
      <w:r>
        <w:rPr>
          <w:rFonts w:eastAsia="Times New Roman"/>
          <w:sz w:val="24"/>
          <w:szCs w:val="24"/>
        </w:rPr>
        <w:lastRenderedPageBreak/>
        <w:t>310 CMR:</w:t>
      </w:r>
      <w:r w:rsidR="001B71A4">
        <w:rPr>
          <w:sz w:val="20"/>
          <w:szCs w:val="20"/>
        </w:rPr>
        <w:t xml:space="preserve">  </w:t>
      </w:r>
      <w:r>
        <w:rPr>
          <w:rFonts w:eastAsia="Times New Roman"/>
          <w:sz w:val="23"/>
          <w:szCs w:val="23"/>
        </w:rPr>
        <w:t>DEPARTMENT OF ENVIRONMENTAL PROTECTION</w:t>
      </w:r>
    </w:p>
    <w:p w14:paraId="2819E27D" w14:textId="77777777" w:rsidR="004647B9" w:rsidRDefault="004647B9" w:rsidP="00A3745B">
      <w:pPr>
        <w:rPr>
          <w:sz w:val="20"/>
          <w:szCs w:val="20"/>
        </w:rPr>
      </w:pPr>
    </w:p>
    <w:p w14:paraId="2819E27E" w14:textId="77777777" w:rsidR="004647B9" w:rsidRDefault="004647B9" w:rsidP="00A3745B">
      <w:pPr>
        <w:rPr>
          <w:sz w:val="20"/>
          <w:szCs w:val="20"/>
        </w:rPr>
      </w:pPr>
    </w:p>
    <w:p w14:paraId="2819E27F" w14:textId="77777777" w:rsidR="004647B9" w:rsidRDefault="00E2436F" w:rsidP="001B71A4">
      <w:pPr>
        <w:tabs>
          <w:tab w:val="left" w:pos="920"/>
        </w:tabs>
        <w:rPr>
          <w:sz w:val="20"/>
          <w:szCs w:val="20"/>
        </w:rPr>
      </w:pPr>
      <w:r>
        <w:rPr>
          <w:rFonts w:eastAsia="Times New Roman"/>
          <w:sz w:val="24"/>
          <w:szCs w:val="24"/>
        </w:rPr>
        <w:t>22.06B:</w:t>
      </w:r>
      <w:r>
        <w:rPr>
          <w:rFonts w:eastAsia="Times New Roman"/>
          <w:sz w:val="24"/>
          <w:szCs w:val="24"/>
        </w:rPr>
        <w:tab/>
        <w:t>continued</w:t>
      </w:r>
    </w:p>
    <w:p w14:paraId="2819E280" w14:textId="77777777" w:rsidR="004647B9" w:rsidRDefault="004647B9" w:rsidP="00A3745B">
      <w:pPr>
        <w:rPr>
          <w:sz w:val="20"/>
          <w:szCs w:val="20"/>
        </w:rPr>
      </w:pPr>
    </w:p>
    <w:p w14:paraId="2819E281" w14:textId="77777777" w:rsidR="004647B9" w:rsidRDefault="00E2436F">
      <w:pPr>
        <w:ind w:left="3720"/>
        <w:rPr>
          <w:sz w:val="20"/>
          <w:szCs w:val="20"/>
        </w:rPr>
      </w:pPr>
      <w:r>
        <w:rPr>
          <w:rFonts w:eastAsia="Times New Roman"/>
          <w:sz w:val="24"/>
          <w:szCs w:val="24"/>
          <w:u w:val="single"/>
        </w:rPr>
        <w:t>ANALYTICAL METHODS</w:t>
      </w:r>
    </w:p>
    <w:p w14:paraId="2819E283" w14:textId="77777777" w:rsidR="004647B9" w:rsidRDefault="00E2436F">
      <w:pPr>
        <w:ind w:left="3720"/>
        <w:rPr>
          <w:sz w:val="20"/>
          <w:szCs w:val="20"/>
        </w:rPr>
      </w:pPr>
      <w:r>
        <w:rPr>
          <w:rFonts w:eastAsia="Times New Roman"/>
          <w:sz w:val="24"/>
          <w:szCs w:val="24"/>
          <w:u w:val="single"/>
        </w:rPr>
        <w:t>Reference (Method Number)</w:t>
      </w:r>
    </w:p>
    <w:tbl>
      <w:tblPr>
        <w:tblW w:w="10822" w:type="dxa"/>
        <w:tblLayout w:type="fixed"/>
        <w:tblCellMar>
          <w:left w:w="0" w:type="dxa"/>
          <w:right w:w="0" w:type="dxa"/>
        </w:tblCellMar>
        <w:tblLook w:val="04A0" w:firstRow="1" w:lastRow="0" w:firstColumn="1" w:lastColumn="0" w:noHBand="0" w:noVBand="1"/>
      </w:tblPr>
      <w:tblGrid>
        <w:gridCol w:w="1148"/>
        <w:gridCol w:w="2454"/>
        <w:gridCol w:w="700"/>
        <w:gridCol w:w="6"/>
        <w:gridCol w:w="1376"/>
        <w:gridCol w:w="6"/>
        <w:gridCol w:w="1954"/>
        <w:gridCol w:w="6"/>
        <w:gridCol w:w="1413"/>
        <w:gridCol w:w="6"/>
        <w:gridCol w:w="1034"/>
        <w:gridCol w:w="6"/>
        <w:gridCol w:w="713"/>
      </w:tblGrid>
      <w:tr w:rsidR="00EF3C2C" w14:paraId="2819E293" w14:textId="77777777" w:rsidTr="00EF3C2C">
        <w:trPr>
          <w:trHeight w:val="250"/>
        </w:trPr>
        <w:tc>
          <w:tcPr>
            <w:tcW w:w="1148" w:type="dxa"/>
            <w:vAlign w:val="center"/>
          </w:tcPr>
          <w:p w14:paraId="2819E285" w14:textId="77777777" w:rsidR="00EF3C2C" w:rsidRPr="00BA3F48" w:rsidRDefault="00EF3C2C" w:rsidP="00A75266">
            <w:pPr>
              <w:jc w:val="center"/>
              <w:rPr>
                <w:sz w:val="20"/>
                <w:szCs w:val="20"/>
                <w:u w:val="single"/>
              </w:rPr>
            </w:pPr>
            <w:r w:rsidRPr="00BA3F48">
              <w:rPr>
                <w:rFonts w:eastAsia="Times New Roman"/>
                <w:sz w:val="18"/>
                <w:szCs w:val="18"/>
                <w:u w:val="single"/>
              </w:rPr>
              <w:t>Contaminant</w:t>
            </w:r>
          </w:p>
        </w:tc>
        <w:tc>
          <w:tcPr>
            <w:tcW w:w="2454" w:type="dxa"/>
            <w:vAlign w:val="center"/>
          </w:tcPr>
          <w:p w14:paraId="2819E287" w14:textId="77777777" w:rsidR="00EF3C2C" w:rsidRPr="0059489A" w:rsidRDefault="00EF3C2C" w:rsidP="00EF3C2C">
            <w:pPr>
              <w:spacing w:line="250" w:lineRule="exact"/>
              <w:jc w:val="center"/>
              <w:rPr>
                <w:sz w:val="18"/>
                <w:szCs w:val="18"/>
                <w:u w:val="single"/>
              </w:rPr>
            </w:pPr>
            <w:r w:rsidRPr="0059489A">
              <w:rPr>
                <w:rFonts w:eastAsia="Times New Roman"/>
                <w:sz w:val="18"/>
                <w:szCs w:val="18"/>
                <w:u w:val="single"/>
              </w:rPr>
              <w:t>Methodology</w:t>
            </w:r>
            <w:r w:rsidRPr="0059489A">
              <w:rPr>
                <w:rFonts w:eastAsia="Times New Roman"/>
                <w:sz w:val="18"/>
                <w:szCs w:val="18"/>
                <w:vertAlign w:val="superscript"/>
              </w:rPr>
              <w:t>9</w:t>
            </w:r>
          </w:p>
        </w:tc>
        <w:tc>
          <w:tcPr>
            <w:tcW w:w="700" w:type="dxa"/>
            <w:vAlign w:val="center"/>
          </w:tcPr>
          <w:p w14:paraId="2819E289" w14:textId="77777777" w:rsidR="00EF3C2C" w:rsidRPr="0059489A" w:rsidRDefault="00EF3C2C" w:rsidP="00A75266">
            <w:pPr>
              <w:spacing w:line="250" w:lineRule="exact"/>
              <w:jc w:val="center"/>
              <w:rPr>
                <w:sz w:val="18"/>
                <w:szCs w:val="18"/>
                <w:u w:val="single"/>
              </w:rPr>
            </w:pPr>
            <w:r w:rsidRPr="0059489A">
              <w:rPr>
                <w:rFonts w:eastAsia="Times New Roman"/>
                <w:sz w:val="18"/>
                <w:szCs w:val="18"/>
                <w:u w:val="single"/>
              </w:rPr>
              <w:t>EPA</w:t>
            </w:r>
            <w:r w:rsidRPr="0059489A">
              <w:rPr>
                <w:rFonts w:eastAsia="Times New Roman"/>
                <w:sz w:val="18"/>
                <w:szCs w:val="18"/>
                <w:vertAlign w:val="superscript"/>
              </w:rPr>
              <w:t>1</w:t>
            </w:r>
          </w:p>
        </w:tc>
        <w:tc>
          <w:tcPr>
            <w:tcW w:w="1382" w:type="dxa"/>
            <w:gridSpan w:val="2"/>
            <w:vAlign w:val="center"/>
          </w:tcPr>
          <w:p w14:paraId="2819E28B" w14:textId="2E128AE4" w:rsidR="00EF3C2C" w:rsidRPr="0059489A" w:rsidRDefault="00EF3C2C" w:rsidP="00A75266">
            <w:pPr>
              <w:spacing w:line="250" w:lineRule="exact"/>
              <w:jc w:val="center"/>
              <w:rPr>
                <w:sz w:val="18"/>
                <w:szCs w:val="18"/>
                <w:u w:val="single"/>
              </w:rPr>
            </w:pPr>
            <w:r w:rsidRPr="0059489A">
              <w:rPr>
                <w:rFonts w:eastAsia="Times New Roman"/>
                <w:sz w:val="18"/>
                <w:szCs w:val="18"/>
                <w:u w:val="single"/>
              </w:rPr>
              <w:t>ASTM</w:t>
            </w:r>
            <w:r w:rsidRPr="0059489A">
              <w:rPr>
                <w:rFonts w:eastAsia="Times New Roman"/>
                <w:sz w:val="18"/>
                <w:szCs w:val="18"/>
                <w:vertAlign w:val="superscript"/>
              </w:rPr>
              <w:t>2</w:t>
            </w:r>
          </w:p>
        </w:tc>
        <w:tc>
          <w:tcPr>
            <w:tcW w:w="1960" w:type="dxa"/>
            <w:gridSpan w:val="2"/>
            <w:vAlign w:val="center"/>
          </w:tcPr>
          <w:p w14:paraId="2819E28D" w14:textId="18670F24" w:rsidR="00EF3C2C" w:rsidRPr="0059489A" w:rsidRDefault="00EF3C2C" w:rsidP="00A75266">
            <w:pPr>
              <w:spacing w:line="250" w:lineRule="exact"/>
              <w:jc w:val="center"/>
              <w:rPr>
                <w:sz w:val="18"/>
                <w:szCs w:val="18"/>
                <w:u w:val="single"/>
              </w:rPr>
            </w:pPr>
            <w:r w:rsidRPr="0059489A">
              <w:rPr>
                <w:rFonts w:eastAsia="Times New Roman"/>
                <w:sz w:val="18"/>
                <w:szCs w:val="18"/>
                <w:u w:val="single"/>
              </w:rPr>
              <w:t>SM</w:t>
            </w:r>
            <w:r w:rsidRPr="0059489A">
              <w:rPr>
                <w:rFonts w:eastAsia="Times New Roman"/>
                <w:sz w:val="18"/>
                <w:szCs w:val="18"/>
                <w:vertAlign w:val="superscript"/>
              </w:rPr>
              <w:t>3</w:t>
            </w:r>
          </w:p>
        </w:tc>
        <w:tc>
          <w:tcPr>
            <w:tcW w:w="1419" w:type="dxa"/>
            <w:gridSpan w:val="2"/>
            <w:vAlign w:val="bottom"/>
          </w:tcPr>
          <w:p w14:paraId="2819E28E" w14:textId="77777777" w:rsidR="00EF3C2C" w:rsidRPr="0059489A" w:rsidRDefault="00EF3C2C">
            <w:pPr>
              <w:spacing w:line="250" w:lineRule="exact"/>
              <w:ind w:left="160"/>
              <w:rPr>
                <w:sz w:val="18"/>
                <w:szCs w:val="18"/>
                <w:u w:val="single"/>
              </w:rPr>
            </w:pPr>
            <w:r w:rsidRPr="0059489A">
              <w:rPr>
                <w:rFonts w:eastAsia="Times New Roman"/>
                <w:sz w:val="18"/>
                <w:szCs w:val="18"/>
                <w:u w:val="single"/>
              </w:rPr>
              <w:t>SM Online</w:t>
            </w:r>
            <w:r w:rsidRPr="0059489A">
              <w:rPr>
                <w:rFonts w:eastAsia="Times New Roman"/>
                <w:sz w:val="18"/>
                <w:szCs w:val="18"/>
                <w:vertAlign w:val="superscript"/>
              </w:rPr>
              <w:t>11</w:t>
            </w:r>
          </w:p>
        </w:tc>
        <w:tc>
          <w:tcPr>
            <w:tcW w:w="1040" w:type="dxa"/>
            <w:gridSpan w:val="2"/>
            <w:vAlign w:val="center"/>
          </w:tcPr>
          <w:p w14:paraId="2819E290" w14:textId="77777777" w:rsidR="00EF3C2C" w:rsidRPr="0059489A" w:rsidRDefault="00EF3C2C" w:rsidP="00A75266">
            <w:pPr>
              <w:spacing w:line="250" w:lineRule="exact"/>
              <w:jc w:val="center"/>
              <w:rPr>
                <w:sz w:val="18"/>
                <w:szCs w:val="18"/>
                <w:u w:val="single"/>
              </w:rPr>
            </w:pPr>
            <w:r w:rsidRPr="0059489A">
              <w:rPr>
                <w:rFonts w:eastAsia="Times New Roman"/>
                <w:sz w:val="18"/>
                <w:szCs w:val="18"/>
                <w:u w:val="single"/>
              </w:rPr>
              <w:t>USGS</w:t>
            </w:r>
            <w:r w:rsidRPr="0059489A">
              <w:rPr>
                <w:rFonts w:eastAsia="Times New Roman"/>
                <w:sz w:val="18"/>
                <w:szCs w:val="18"/>
                <w:vertAlign w:val="superscript"/>
              </w:rPr>
              <w:t>4</w:t>
            </w:r>
          </w:p>
        </w:tc>
        <w:tc>
          <w:tcPr>
            <w:tcW w:w="719" w:type="dxa"/>
            <w:gridSpan w:val="2"/>
            <w:vAlign w:val="center"/>
          </w:tcPr>
          <w:p w14:paraId="2819E292" w14:textId="77777777" w:rsidR="00EF3C2C" w:rsidRPr="00BA3F48" w:rsidRDefault="00EF3C2C" w:rsidP="00A75266">
            <w:pPr>
              <w:ind w:right="80"/>
              <w:jc w:val="center"/>
              <w:rPr>
                <w:sz w:val="20"/>
                <w:szCs w:val="20"/>
                <w:u w:val="single"/>
              </w:rPr>
            </w:pPr>
            <w:r w:rsidRPr="00BA3F48">
              <w:rPr>
                <w:rFonts w:eastAsia="Times New Roman"/>
                <w:sz w:val="18"/>
                <w:szCs w:val="18"/>
                <w:u w:val="single"/>
              </w:rPr>
              <w:t>Other</w:t>
            </w:r>
          </w:p>
        </w:tc>
      </w:tr>
      <w:tr w:rsidR="00622DE7" w14:paraId="2819E2B8" w14:textId="77777777" w:rsidTr="000112F7">
        <w:trPr>
          <w:trHeight w:val="298"/>
        </w:trPr>
        <w:tc>
          <w:tcPr>
            <w:tcW w:w="1148" w:type="dxa"/>
            <w:vAlign w:val="bottom"/>
          </w:tcPr>
          <w:p w14:paraId="2819E2AA" w14:textId="77777777" w:rsidR="00622DE7" w:rsidRDefault="00622DE7">
            <w:pPr>
              <w:rPr>
                <w:sz w:val="20"/>
                <w:szCs w:val="20"/>
              </w:rPr>
            </w:pPr>
            <w:r>
              <w:rPr>
                <w:rFonts w:eastAsia="Times New Roman"/>
                <w:sz w:val="18"/>
                <w:szCs w:val="18"/>
              </w:rPr>
              <w:t>Lead</w:t>
            </w:r>
          </w:p>
        </w:tc>
        <w:tc>
          <w:tcPr>
            <w:tcW w:w="2454" w:type="dxa"/>
            <w:vAlign w:val="bottom"/>
          </w:tcPr>
          <w:p w14:paraId="2819E2AB" w14:textId="6B470769" w:rsidR="00622DE7" w:rsidRDefault="00622DE7">
            <w:pPr>
              <w:ind w:left="180"/>
              <w:rPr>
                <w:sz w:val="20"/>
                <w:szCs w:val="20"/>
              </w:rPr>
            </w:pPr>
            <w:r>
              <w:rPr>
                <w:rFonts w:eastAsia="Times New Roman"/>
                <w:sz w:val="18"/>
                <w:szCs w:val="18"/>
              </w:rPr>
              <w:t>Atomic absorption; furnace technique</w:t>
            </w:r>
          </w:p>
        </w:tc>
        <w:tc>
          <w:tcPr>
            <w:tcW w:w="700" w:type="dxa"/>
            <w:vAlign w:val="center"/>
          </w:tcPr>
          <w:p w14:paraId="2819E2AE" w14:textId="77777777" w:rsidR="00622DE7" w:rsidRDefault="00622DE7" w:rsidP="008B177F">
            <w:pPr>
              <w:jc w:val="center"/>
              <w:rPr>
                <w:sz w:val="24"/>
                <w:szCs w:val="24"/>
              </w:rPr>
            </w:pPr>
          </w:p>
        </w:tc>
        <w:tc>
          <w:tcPr>
            <w:tcW w:w="1382" w:type="dxa"/>
            <w:gridSpan w:val="2"/>
            <w:vAlign w:val="center"/>
          </w:tcPr>
          <w:p w14:paraId="2819E2AF" w14:textId="77777777" w:rsidR="00622DE7" w:rsidRDefault="00622DE7" w:rsidP="008B177F">
            <w:pPr>
              <w:jc w:val="center"/>
              <w:rPr>
                <w:sz w:val="20"/>
                <w:szCs w:val="20"/>
              </w:rPr>
            </w:pPr>
            <w:r>
              <w:rPr>
                <w:rFonts w:eastAsia="Times New Roman"/>
                <w:sz w:val="18"/>
                <w:szCs w:val="18"/>
              </w:rPr>
              <w:t>D3559-96, 03D</w:t>
            </w:r>
          </w:p>
        </w:tc>
        <w:tc>
          <w:tcPr>
            <w:tcW w:w="1960" w:type="dxa"/>
            <w:gridSpan w:val="2"/>
            <w:vAlign w:val="center"/>
          </w:tcPr>
          <w:p w14:paraId="2819E2B0" w14:textId="573FD946" w:rsidR="00622DE7" w:rsidRDefault="00622DE7" w:rsidP="008B177F">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2B1" w14:textId="477F3C9A" w:rsidR="00622DE7" w:rsidRDefault="00622DE7" w:rsidP="008B177F">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B-99</w:t>
            </w:r>
          </w:p>
        </w:tc>
        <w:tc>
          <w:tcPr>
            <w:tcW w:w="1040" w:type="dxa"/>
            <w:gridSpan w:val="2"/>
            <w:vAlign w:val="center"/>
          </w:tcPr>
          <w:p w14:paraId="2819E2B4" w14:textId="77777777" w:rsidR="00622DE7" w:rsidRDefault="00622DE7" w:rsidP="008B177F">
            <w:pPr>
              <w:jc w:val="center"/>
              <w:rPr>
                <w:sz w:val="24"/>
                <w:szCs w:val="24"/>
              </w:rPr>
            </w:pPr>
          </w:p>
        </w:tc>
        <w:tc>
          <w:tcPr>
            <w:tcW w:w="719" w:type="dxa"/>
            <w:gridSpan w:val="2"/>
            <w:vAlign w:val="center"/>
          </w:tcPr>
          <w:p w14:paraId="2819E2B7" w14:textId="77777777" w:rsidR="00622DE7" w:rsidRDefault="00622DE7" w:rsidP="008B177F">
            <w:pPr>
              <w:jc w:val="center"/>
              <w:rPr>
                <w:sz w:val="24"/>
                <w:szCs w:val="24"/>
              </w:rPr>
            </w:pPr>
          </w:p>
        </w:tc>
      </w:tr>
      <w:tr w:rsidR="00622DE7" w14:paraId="2819E2DE" w14:textId="77777777" w:rsidTr="000112F7">
        <w:trPr>
          <w:trHeight w:val="290"/>
        </w:trPr>
        <w:tc>
          <w:tcPr>
            <w:tcW w:w="1148" w:type="dxa"/>
            <w:vAlign w:val="bottom"/>
          </w:tcPr>
          <w:p w14:paraId="2819E2CE" w14:textId="77777777" w:rsidR="00622DE7" w:rsidRDefault="00622DE7">
            <w:pPr>
              <w:rPr>
                <w:sz w:val="24"/>
                <w:szCs w:val="24"/>
              </w:rPr>
            </w:pPr>
          </w:p>
        </w:tc>
        <w:tc>
          <w:tcPr>
            <w:tcW w:w="2454" w:type="dxa"/>
            <w:vAlign w:val="bottom"/>
          </w:tcPr>
          <w:p w14:paraId="2819E2CF" w14:textId="2147E723" w:rsidR="00622DE7" w:rsidRDefault="00622DE7">
            <w:pPr>
              <w:ind w:left="180"/>
              <w:rPr>
                <w:sz w:val="20"/>
                <w:szCs w:val="20"/>
              </w:rPr>
            </w:pPr>
            <w:r>
              <w:rPr>
                <w:rFonts w:eastAsia="Times New Roman"/>
                <w:sz w:val="18"/>
                <w:szCs w:val="18"/>
              </w:rPr>
              <w:t>Inductively-coupled plasma; mass spectrometry</w:t>
            </w:r>
          </w:p>
        </w:tc>
        <w:tc>
          <w:tcPr>
            <w:tcW w:w="700" w:type="dxa"/>
            <w:vAlign w:val="center"/>
          </w:tcPr>
          <w:p w14:paraId="2819E2D0" w14:textId="77777777" w:rsidR="00622DE7" w:rsidRDefault="00622DE7" w:rsidP="008B177F">
            <w:pPr>
              <w:jc w:val="center"/>
              <w:rPr>
                <w:sz w:val="20"/>
                <w:szCs w:val="20"/>
              </w:rPr>
            </w:pPr>
            <w:r>
              <w:rPr>
                <w:rFonts w:eastAsia="Times New Roman"/>
                <w:sz w:val="18"/>
                <w:szCs w:val="18"/>
              </w:rPr>
              <w:t>200.8</w:t>
            </w:r>
          </w:p>
        </w:tc>
        <w:tc>
          <w:tcPr>
            <w:tcW w:w="1382" w:type="dxa"/>
            <w:gridSpan w:val="2"/>
            <w:vAlign w:val="center"/>
          </w:tcPr>
          <w:p w14:paraId="2819E2D3" w14:textId="77777777" w:rsidR="00622DE7" w:rsidRDefault="00622DE7" w:rsidP="008B177F">
            <w:pPr>
              <w:jc w:val="center"/>
              <w:rPr>
                <w:sz w:val="24"/>
                <w:szCs w:val="24"/>
              </w:rPr>
            </w:pPr>
          </w:p>
        </w:tc>
        <w:tc>
          <w:tcPr>
            <w:tcW w:w="1960" w:type="dxa"/>
            <w:gridSpan w:val="2"/>
            <w:vAlign w:val="center"/>
          </w:tcPr>
          <w:p w14:paraId="2819E2D6" w14:textId="77777777" w:rsidR="00622DE7" w:rsidRDefault="00622DE7" w:rsidP="008B177F">
            <w:pPr>
              <w:jc w:val="center"/>
              <w:rPr>
                <w:sz w:val="24"/>
                <w:szCs w:val="24"/>
              </w:rPr>
            </w:pPr>
          </w:p>
        </w:tc>
        <w:tc>
          <w:tcPr>
            <w:tcW w:w="1419" w:type="dxa"/>
            <w:gridSpan w:val="2"/>
            <w:vAlign w:val="center"/>
          </w:tcPr>
          <w:p w14:paraId="2819E2D7" w14:textId="77777777" w:rsidR="00622DE7" w:rsidRDefault="00622DE7" w:rsidP="008B177F">
            <w:pPr>
              <w:jc w:val="center"/>
              <w:rPr>
                <w:sz w:val="24"/>
                <w:szCs w:val="24"/>
              </w:rPr>
            </w:pPr>
          </w:p>
        </w:tc>
        <w:tc>
          <w:tcPr>
            <w:tcW w:w="1040" w:type="dxa"/>
            <w:gridSpan w:val="2"/>
            <w:vAlign w:val="center"/>
          </w:tcPr>
          <w:p w14:paraId="2819E2DA" w14:textId="77777777" w:rsidR="00622DE7" w:rsidRDefault="00622DE7" w:rsidP="008B177F">
            <w:pPr>
              <w:jc w:val="center"/>
              <w:rPr>
                <w:sz w:val="24"/>
                <w:szCs w:val="24"/>
              </w:rPr>
            </w:pPr>
          </w:p>
        </w:tc>
        <w:tc>
          <w:tcPr>
            <w:tcW w:w="719" w:type="dxa"/>
            <w:gridSpan w:val="2"/>
            <w:vAlign w:val="center"/>
          </w:tcPr>
          <w:p w14:paraId="2819E2DD" w14:textId="77777777" w:rsidR="00622DE7" w:rsidRDefault="00622DE7" w:rsidP="008B177F">
            <w:pPr>
              <w:jc w:val="center"/>
              <w:rPr>
                <w:sz w:val="24"/>
                <w:szCs w:val="24"/>
              </w:rPr>
            </w:pPr>
          </w:p>
        </w:tc>
      </w:tr>
      <w:tr w:rsidR="00622DE7" w14:paraId="2819E304" w14:textId="77777777" w:rsidTr="000112F7">
        <w:trPr>
          <w:trHeight w:val="290"/>
        </w:trPr>
        <w:tc>
          <w:tcPr>
            <w:tcW w:w="1148" w:type="dxa"/>
            <w:vAlign w:val="bottom"/>
          </w:tcPr>
          <w:p w14:paraId="2819E2F4" w14:textId="77777777" w:rsidR="00622DE7" w:rsidRDefault="00622DE7">
            <w:pPr>
              <w:rPr>
                <w:sz w:val="24"/>
                <w:szCs w:val="24"/>
              </w:rPr>
            </w:pPr>
          </w:p>
        </w:tc>
        <w:tc>
          <w:tcPr>
            <w:tcW w:w="2454" w:type="dxa"/>
            <w:vAlign w:val="bottom"/>
          </w:tcPr>
          <w:p w14:paraId="2819E2F5" w14:textId="52FB0500" w:rsidR="00622DE7" w:rsidRDefault="00622DE7">
            <w:pPr>
              <w:ind w:left="180"/>
              <w:rPr>
                <w:sz w:val="20"/>
                <w:szCs w:val="20"/>
              </w:rPr>
            </w:pPr>
            <w:r>
              <w:rPr>
                <w:rFonts w:eastAsia="Times New Roman"/>
                <w:sz w:val="18"/>
                <w:szCs w:val="18"/>
              </w:rPr>
              <w:t>Atomic absorption; platform furnace technique</w:t>
            </w:r>
          </w:p>
        </w:tc>
        <w:tc>
          <w:tcPr>
            <w:tcW w:w="700" w:type="dxa"/>
            <w:vAlign w:val="center"/>
          </w:tcPr>
          <w:p w14:paraId="2819E2F6" w14:textId="77777777" w:rsidR="00622DE7" w:rsidRDefault="00622DE7" w:rsidP="008B177F">
            <w:pPr>
              <w:jc w:val="center"/>
              <w:rPr>
                <w:sz w:val="20"/>
                <w:szCs w:val="20"/>
              </w:rPr>
            </w:pPr>
            <w:r>
              <w:rPr>
                <w:rFonts w:eastAsia="Times New Roman"/>
                <w:sz w:val="18"/>
                <w:szCs w:val="18"/>
              </w:rPr>
              <w:t>200.9</w:t>
            </w:r>
          </w:p>
        </w:tc>
        <w:tc>
          <w:tcPr>
            <w:tcW w:w="1382" w:type="dxa"/>
            <w:gridSpan w:val="2"/>
            <w:vAlign w:val="center"/>
          </w:tcPr>
          <w:p w14:paraId="2819E2F9" w14:textId="77777777" w:rsidR="00622DE7" w:rsidRDefault="00622DE7" w:rsidP="008B177F">
            <w:pPr>
              <w:jc w:val="center"/>
              <w:rPr>
                <w:sz w:val="24"/>
                <w:szCs w:val="24"/>
              </w:rPr>
            </w:pPr>
          </w:p>
        </w:tc>
        <w:tc>
          <w:tcPr>
            <w:tcW w:w="1960" w:type="dxa"/>
            <w:gridSpan w:val="2"/>
            <w:vAlign w:val="center"/>
          </w:tcPr>
          <w:p w14:paraId="2819E2FC" w14:textId="77777777" w:rsidR="00622DE7" w:rsidRDefault="00622DE7" w:rsidP="008B177F">
            <w:pPr>
              <w:jc w:val="center"/>
              <w:rPr>
                <w:sz w:val="24"/>
                <w:szCs w:val="24"/>
              </w:rPr>
            </w:pPr>
          </w:p>
        </w:tc>
        <w:tc>
          <w:tcPr>
            <w:tcW w:w="1419" w:type="dxa"/>
            <w:gridSpan w:val="2"/>
            <w:vAlign w:val="center"/>
          </w:tcPr>
          <w:p w14:paraId="2819E2FD" w14:textId="77777777" w:rsidR="00622DE7" w:rsidRDefault="00622DE7" w:rsidP="008B177F">
            <w:pPr>
              <w:jc w:val="center"/>
              <w:rPr>
                <w:sz w:val="24"/>
                <w:szCs w:val="24"/>
              </w:rPr>
            </w:pPr>
          </w:p>
        </w:tc>
        <w:tc>
          <w:tcPr>
            <w:tcW w:w="1040" w:type="dxa"/>
            <w:gridSpan w:val="2"/>
            <w:vAlign w:val="center"/>
          </w:tcPr>
          <w:p w14:paraId="2819E300" w14:textId="77777777" w:rsidR="00622DE7" w:rsidRDefault="00622DE7" w:rsidP="008B177F">
            <w:pPr>
              <w:jc w:val="center"/>
              <w:rPr>
                <w:sz w:val="24"/>
                <w:szCs w:val="24"/>
              </w:rPr>
            </w:pPr>
          </w:p>
        </w:tc>
        <w:tc>
          <w:tcPr>
            <w:tcW w:w="719" w:type="dxa"/>
            <w:gridSpan w:val="2"/>
            <w:vAlign w:val="center"/>
          </w:tcPr>
          <w:p w14:paraId="2819E303" w14:textId="77777777" w:rsidR="00622DE7" w:rsidRDefault="00622DE7" w:rsidP="008B177F">
            <w:pPr>
              <w:jc w:val="center"/>
              <w:rPr>
                <w:sz w:val="24"/>
                <w:szCs w:val="24"/>
              </w:rPr>
            </w:pPr>
          </w:p>
        </w:tc>
      </w:tr>
      <w:tr w:rsidR="00622DE7" w14:paraId="2819E32A" w14:textId="77777777" w:rsidTr="000112F7">
        <w:trPr>
          <w:trHeight w:val="290"/>
        </w:trPr>
        <w:tc>
          <w:tcPr>
            <w:tcW w:w="1148" w:type="dxa"/>
            <w:vAlign w:val="bottom"/>
          </w:tcPr>
          <w:p w14:paraId="2819E31A" w14:textId="77777777" w:rsidR="00622DE7" w:rsidRDefault="00622DE7">
            <w:pPr>
              <w:rPr>
                <w:sz w:val="24"/>
                <w:szCs w:val="24"/>
              </w:rPr>
            </w:pPr>
          </w:p>
        </w:tc>
        <w:tc>
          <w:tcPr>
            <w:tcW w:w="2454" w:type="dxa"/>
            <w:vAlign w:val="bottom"/>
          </w:tcPr>
          <w:p w14:paraId="2819E31B" w14:textId="199603CF" w:rsidR="00622DE7" w:rsidRDefault="00622DE7">
            <w:pPr>
              <w:ind w:left="180"/>
              <w:rPr>
                <w:sz w:val="20"/>
                <w:szCs w:val="20"/>
              </w:rPr>
            </w:pPr>
            <w:r>
              <w:rPr>
                <w:rFonts w:eastAsia="Times New Roman"/>
                <w:sz w:val="18"/>
                <w:szCs w:val="18"/>
              </w:rPr>
              <w:t>Differential Pulse Anodic Stripping Voltameter</w:t>
            </w:r>
          </w:p>
        </w:tc>
        <w:tc>
          <w:tcPr>
            <w:tcW w:w="700" w:type="dxa"/>
            <w:vAlign w:val="center"/>
          </w:tcPr>
          <w:p w14:paraId="2819E31E" w14:textId="77777777" w:rsidR="00622DE7" w:rsidRDefault="00622DE7" w:rsidP="008B177F">
            <w:pPr>
              <w:jc w:val="center"/>
              <w:rPr>
                <w:sz w:val="24"/>
                <w:szCs w:val="24"/>
              </w:rPr>
            </w:pPr>
          </w:p>
        </w:tc>
        <w:tc>
          <w:tcPr>
            <w:tcW w:w="1382" w:type="dxa"/>
            <w:gridSpan w:val="2"/>
            <w:vAlign w:val="center"/>
          </w:tcPr>
          <w:p w14:paraId="2819E321" w14:textId="77777777" w:rsidR="00622DE7" w:rsidRDefault="00622DE7" w:rsidP="008B177F">
            <w:pPr>
              <w:jc w:val="center"/>
              <w:rPr>
                <w:sz w:val="24"/>
                <w:szCs w:val="24"/>
              </w:rPr>
            </w:pPr>
          </w:p>
        </w:tc>
        <w:tc>
          <w:tcPr>
            <w:tcW w:w="1960" w:type="dxa"/>
            <w:gridSpan w:val="2"/>
            <w:vAlign w:val="center"/>
          </w:tcPr>
          <w:p w14:paraId="2819E324" w14:textId="77777777" w:rsidR="00622DE7" w:rsidRDefault="00622DE7" w:rsidP="008B177F">
            <w:pPr>
              <w:jc w:val="center"/>
              <w:rPr>
                <w:sz w:val="24"/>
                <w:szCs w:val="24"/>
              </w:rPr>
            </w:pPr>
          </w:p>
        </w:tc>
        <w:tc>
          <w:tcPr>
            <w:tcW w:w="1419" w:type="dxa"/>
            <w:gridSpan w:val="2"/>
            <w:vAlign w:val="center"/>
          </w:tcPr>
          <w:p w14:paraId="2819E325" w14:textId="77777777" w:rsidR="00622DE7" w:rsidRDefault="00622DE7" w:rsidP="008B177F">
            <w:pPr>
              <w:jc w:val="center"/>
              <w:rPr>
                <w:sz w:val="24"/>
                <w:szCs w:val="24"/>
              </w:rPr>
            </w:pPr>
          </w:p>
        </w:tc>
        <w:tc>
          <w:tcPr>
            <w:tcW w:w="1040" w:type="dxa"/>
            <w:gridSpan w:val="2"/>
            <w:vAlign w:val="center"/>
          </w:tcPr>
          <w:p w14:paraId="2819E328" w14:textId="77777777" w:rsidR="00622DE7" w:rsidRDefault="00622DE7" w:rsidP="008B177F">
            <w:pPr>
              <w:jc w:val="center"/>
              <w:rPr>
                <w:sz w:val="24"/>
                <w:szCs w:val="24"/>
              </w:rPr>
            </w:pPr>
          </w:p>
        </w:tc>
        <w:tc>
          <w:tcPr>
            <w:tcW w:w="719" w:type="dxa"/>
            <w:gridSpan w:val="2"/>
            <w:vAlign w:val="center"/>
          </w:tcPr>
          <w:p w14:paraId="2819E329" w14:textId="2C9B5904" w:rsidR="00622DE7" w:rsidRPr="00501DCB" w:rsidRDefault="00622DE7" w:rsidP="008B177F">
            <w:pPr>
              <w:jc w:val="center"/>
              <w:rPr>
                <w:sz w:val="18"/>
                <w:szCs w:val="18"/>
              </w:rPr>
            </w:pPr>
            <w:r w:rsidRPr="00501DCB">
              <w:rPr>
                <w:rFonts w:eastAsia="Times New Roman"/>
                <w:sz w:val="18"/>
                <w:szCs w:val="18"/>
              </w:rPr>
              <w:t xml:space="preserve">Method </w:t>
            </w:r>
            <w:r w:rsidRPr="00501DCB">
              <w:rPr>
                <w:rFonts w:eastAsia="Times New Roman"/>
                <w:w w:val="99"/>
                <w:sz w:val="18"/>
                <w:szCs w:val="18"/>
              </w:rPr>
              <w:t>1001</w:t>
            </w:r>
            <w:r w:rsidRPr="00501DCB">
              <w:rPr>
                <w:rFonts w:eastAsia="Times New Roman"/>
                <w:w w:val="99"/>
                <w:sz w:val="18"/>
                <w:szCs w:val="18"/>
                <w:vertAlign w:val="superscript"/>
              </w:rPr>
              <w:t>10</w:t>
            </w:r>
          </w:p>
        </w:tc>
      </w:tr>
      <w:tr w:rsidR="00AF5594" w14:paraId="2819E35F" w14:textId="77777777" w:rsidTr="000112F7">
        <w:trPr>
          <w:trHeight w:val="293"/>
        </w:trPr>
        <w:tc>
          <w:tcPr>
            <w:tcW w:w="1148" w:type="dxa"/>
            <w:vAlign w:val="bottom"/>
          </w:tcPr>
          <w:p w14:paraId="2819E351" w14:textId="77777777" w:rsidR="00AF5594" w:rsidRDefault="00AF5594">
            <w:pPr>
              <w:rPr>
                <w:sz w:val="20"/>
                <w:szCs w:val="20"/>
              </w:rPr>
            </w:pPr>
            <w:r>
              <w:rPr>
                <w:rFonts w:eastAsia="Times New Roman"/>
                <w:sz w:val="18"/>
                <w:szCs w:val="18"/>
              </w:rPr>
              <w:t>Copper</w:t>
            </w:r>
          </w:p>
        </w:tc>
        <w:tc>
          <w:tcPr>
            <w:tcW w:w="2454" w:type="dxa"/>
            <w:vAlign w:val="center"/>
          </w:tcPr>
          <w:p w14:paraId="2819E352" w14:textId="2621881D" w:rsidR="00AF5594" w:rsidRDefault="00AF5594" w:rsidP="00AF5594">
            <w:pPr>
              <w:ind w:left="180"/>
              <w:rPr>
                <w:sz w:val="20"/>
                <w:szCs w:val="20"/>
              </w:rPr>
            </w:pPr>
            <w:r>
              <w:rPr>
                <w:rFonts w:eastAsia="Times New Roman"/>
                <w:sz w:val="18"/>
                <w:szCs w:val="18"/>
              </w:rPr>
              <w:t>Atomic absorption; furnace technique</w:t>
            </w:r>
          </w:p>
        </w:tc>
        <w:tc>
          <w:tcPr>
            <w:tcW w:w="700" w:type="dxa"/>
            <w:vAlign w:val="center"/>
          </w:tcPr>
          <w:p w14:paraId="2819E355" w14:textId="77777777" w:rsidR="00AF5594" w:rsidRDefault="00AF5594" w:rsidP="00566955">
            <w:pPr>
              <w:jc w:val="center"/>
              <w:rPr>
                <w:sz w:val="24"/>
                <w:szCs w:val="24"/>
              </w:rPr>
            </w:pPr>
          </w:p>
        </w:tc>
        <w:tc>
          <w:tcPr>
            <w:tcW w:w="1382" w:type="dxa"/>
            <w:gridSpan w:val="2"/>
            <w:vAlign w:val="center"/>
          </w:tcPr>
          <w:p w14:paraId="2819E356" w14:textId="77777777" w:rsidR="00AF5594" w:rsidRDefault="00AF5594" w:rsidP="00566955">
            <w:pPr>
              <w:jc w:val="center"/>
              <w:rPr>
                <w:sz w:val="20"/>
                <w:szCs w:val="20"/>
              </w:rPr>
            </w:pPr>
            <w:r>
              <w:rPr>
                <w:rFonts w:eastAsia="Times New Roman"/>
                <w:sz w:val="18"/>
                <w:szCs w:val="18"/>
              </w:rPr>
              <w:t>D1688-95, 02C</w:t>
            </w:r>
          </w:p>
        </w:tc>
        <w:tc>
          <w:tcPr>
            <w:tcW w:w="1960" w:type="dxa"/>
            <w:gridSpan w:val="2"/>
            <w:vAlign w:val="center"/>
          </w:tcPr>
          <w:p w14:paraId="2819E357" w14:textId="7744C88B" w:rsidR="00AF5594" w:rsidRDefault="00AF5594" w:rsidP="00566955">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358" w14:textId="72117C57" w:rsidR="00AF5594" w:rsidRDefault="00AF5594" w:rsidP="00566955">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B-99</w:t>
            </w:r>
          </w:p>
        </w:tc>
        <w:tc>
          <w:tcPr>
            <w:tcW w:w="1040" w:type="dxa"/>
            <w:gridSpan w:val="2"/>
            <w:vAlign w:val="center"/>
          </w:tcPr>
          <w:p w14:paraId="2819E35B" w14:textId="77777777" w:rsidR="00AF5594" w:rsidRDefault="00AF5594" w:rsidP="00566955">
            <w:pPr>
              <w:jc w:val="center"/>
              <w:rPr>
                <w:sz w:val="24"/>
                <w:szCs w:val="24"/>
              </w:rPr>
            </w:pPr>
          </w:p>
        </w:tc>
        <w:tc>
          <w:tcPr>
            <w:tcW w:w="719" w:type="dxa"/>
            <w:gridSpan w:val="2"/>
            <w:vAlign w:val="center"/>
          </w:tcPr>
          <w:p w14:paraId="2819E35E" w14:textId="77777777" w:rsidR="00AF5594" w:rsidRDefault="00AF5594" w:rsidP="00566955">
            <w:pPr>
              <w:jc w:val="center"/>
              <w:rPr>
                <w:sz w:val="24"/>
                <w:szCs w:val="24"/>
              </w:rPr>
            </w:pPr>
          </w:p>
        </w:tc>
      </w:tr>
      <w:tr w:rsidR="00AF5594" w14:paraId="2819E383" w14:textId="77777777" w:rsidTr="000112F7">
        <w:trPr>
          <w:trHeight w:val="293"/>
        </w:trPr>
        <w:tc>
          <w:tcPr>
            <w:tcW w:w="1148" w:type="dxa"/>
            <w:vAlign w:val="bottom"/>
          </w:tcPr>
          <w:p w14:paraId="2819E375" w14:textId="77777777" w:rsidR="00AF5594" w:rsidRDefault="00AF5594">
            <w:pPr>
              <w:rPr>
                <w:sz w:val="24"/>
                <w:szCs w:val="24"/>
              </w:rPr>
            </w:pPr>
          </w:p>
        </w:tc>
        <w:tc>
          <w:tcPr>
            <w:tcW w:w="2454" w:type="dxa"/>
            <w:vAlign w:val="center"/>
          </w:tcPr>
          <w:p w14:paraId="2819E376" w14:textId="798E141D" w:rsidR="00AF5594" w:rsidRDefault="00AF5594" w:rsidP="00AF5594">
            <w:pPr>
              <w:ind w:left="180"/>
              <w:rPr>
                <w:sz w:val="20"/>
                <w:szCs w:val="20"/>
              </w:rPr>
            </w:pPr>
            <w:r>
              <w:rPr>
                <w:rFonts w:eastAsia="Times New Roman"/>
                <w:sz w:val="18"/>
                <w:szCs w:val="18"/>
              </w:rPr>
              <w:t>Atomic absorption; direct aspiration</w:t>
            </w:r>
          </w:p>
        </w:tc>
        <w:tc>
          <w:tcPr>
            <w:tcW w:w="700" w:type="dxa"/>
            <w:vAlign w:val="center"/>
          </w:tcPr>
          <w:p w14:paraId="2819E379" w14:textId="77777777" w:rsidR="00AF5594" w:rsidRDefault="00AF5594" w:rsidP="00566955">
            <w:pPr>
              <w:jc w:val="center"/>
              <w:rPr>
                <w:sz w:val="24"/>
                <w:szCs w:val="24"/>
              </w:rPr>
            </w:pPr>
          </w:p>
        </w:tc>
        <w:tc>
          <w:tcPr>
            <w:tcW w:w="1382" w:type="dxa"/>
            <w:gridSpan w:val="2"/>
            <w:vAlign w:val="center"/>
          </w:tcPr>
          <w:p w14:paraId="2819E37A" w14:textId="77777777" w:rsidR="00AF5594" w:rsidRDefault="00AF5594" w:rsidP="00566955">
            <w:pPr>
              <w:jc w:val="center"/>
              <w:rPr>
                <w:sz w:val="20"/>
                <w:szCs w:val="20"/>
              </w:rPr>
            </w:pPr>
            <w:r>
              <w:rPr>
                <w:rFonts w:eastAsia="Times New Roman"/>
                <w:sz w:val="18"/>
                <w:szCs w:val="18"/>
              </w:rPr>
              <w:t>D1688-95, 02A</w:t>
            </w:r>
          </w:p>
        </w:tc>
        <w:tc>
          <w:tcPr>
            <w:tcW w:w="1960" w:type="dxa"/>
            <w:gridSpan w:val="2"/>
            <w:vAlign w:val="center"/>
          </w:tcPr>
          <w:p w14:paraId="2819E37B" w14:textId="24CE6C37" w:rsidR="00AF5594" w:rsidRDefault="00AF5594" w:rsidP="00566955">
            <w:pPr>
              <w:jc w:val="center"/>
              <w:rPr>
                <w:sz w:val="20"/>
                <w:szCs w:val="20"/>
              </w:rPr>
            </w:pPr>
            <w:r>
              <w:rPr>
                <w:rFonts w:eastAsia="Times New Roman"/>
                <w:sz w:val="18"/>
                <w:szCs w:val="18"/>
              </w:rPr>
              <w:t>3111</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37C" w14:textId="363441C5" w:rsidR="00AF5594" w:rsidRDefault="00AF5594" w:rsidP="00566955">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B-99</w:t>
            </w:r>
          </w:p>
        </w:tc>
        <w:tc>
          <w:tcPr>
            <w:tcW w:w="1040" w:type="dxa"/>
            <w:gridSpan w:val="2"/>
            <w:vAlign w:val="center"/>
          </w:tcPr>
          <w:p w14:paraId="2819E37F" w14:textId="77777777" w:rsidR="00AF5594" w:rsidRDefault="00AF5594" w:rsidP="00566955">
            <w:pPr>
              <w:jc w:val="center"/>
              <w:rPr>
                <w:sz w:val="24"/>
                <w:szCs w:val="24"/>
              </w:rPr>
            </w:pPr>
          </w:p>
        </w:tc>
        <w:tc>
          <w:tcPr>
            <w:tcW w:w="719" w:type="dxa"/>
            <w:gridSpan w:val="2"/>
            <w:vAlign w:val="center"/>
          </w:tcPr>
          <w:p w14:paraId="2819E382" w14:textId="77777777" w:rsidR="00AF5594" w:rsidRDefault="00AF5594" w:rsidP="00566955">
            <w:pPr>
              <w:jc w:val="center"/>
              <w:rPr>
                <w:sz w:val="24"/>
                <w:szCs w:val="24"/>
              </w:rPr>
            </w:pPr>
          </w:p>
        </w:tc>
      </w:tr>
      <w:tr w:rsidR="00AF5594" w14:paraId="2819E3A7" w14:textId="77777777" w:rsidTr="000112F7">
        <w:trPr>
          <w:trHeight w:val="293"/>
        </w:trPr>
        <w:tc>
          <w:tcPr>
            <w:tcW w:w="1148" w:type="dxa"/>
            <w:vAlign w:val="bottom"/>
          </w:tcPr>
          <w:p w14:paraId="2819E399" w14:textId="77777777" w:rsidR="00AF5594" w:rsidRDefault="00AF5594">
            <w:pPr>
              <w:rPr>
                <w:sz w:val="24"/>
                <w:szCs w:val="24"/>
              </w:rPr>
            </w:pPr>
          </w:p>
        </w:tc>
        <w:tc>
          <w:tcPr>
            <w:tcW w:w="2454" w:type="dxa"/>
            <w:vAlign w:val="center"/>
          </w:tcPr>
          <w:p w14:paraId="2819E39A" w14:textId="77777777" w:rsidR="00AF5594" w:rsidRDefault="00AF5594" w:rsidP="00AF5594">
            <w:pPr>
              <w:ind w:left="180"/>
              <w:rPr>
                <w:sz w:val="20"/>
                <w:szCs w:val="20"/>
              </w:rPr>
            </w:pPr>
            <w:r>
              <w:rPr>
                <w:rFonts w:eastAsia="Times New Roman"/>
                <w:sz w:val="18"/>
                <w:szCs w:val="18"/>
              </w:rPr>
              <w:t>Inductively-coupled plasma</w:t>
            </w:r>
          </w:p>
        </w:tc>
        <w:tc>
          <w:tcPr>
            <w:tcW w:w="700" w:type="dxa"/>
            <w:vAlign w:val="center"/>
          </w:tcPr>
          <w:p w14:paraId="2819E39B" w14:textId="77777777" w:rsidR="00AF5594" w:rsidRDefault="00AF5594" w:rsidP="00566955">
            <w:pPr>
              <w:jc w:val="center"/>
              <w:rPr>
                <w:sz w:val="20"/>
                <w:szCs w:val="20"/>
              </w:rPr>
            </w:pPr>
            <w:r>
              <w:rPr>
                <w:rFonts w:eastAsia="Times New Roman"/>
                <w:sz w:val="18"/>
                <w:szCs w:val="18"/>
              </w:rPr>
              <w:t>200.7</w:t>
            </w:r>
            <w:r w:rsidRPr="00AF5594">
              <w:rPr>
                <w:rFonts w:eastAsia="Times New Roman"/>
                <w:sz w:val="18"/>
                <w:szCs w:val="18"/>
                <w:vertAlign w:val="superscript"/>
              </w:rPr>
              <w:t>5</w:t>
            </w:r>
          </w:p>
        </w:tc>
        <w:tc>
          <w:tcPr>
            <w:tcW w:w="1382" w:type="dxa"/>
            <w:gridSpan w:val="2"/>
            <w:vAlign w:val="center"/>
          </w:tcPr>
          <w:p w14:paraId="2819E39E" w14:textId="77777777" w:rsidR="00AF5594" w:rsidRDefault="00AF5594" w:rsidP="00566955">
            <w:pPr>
              <w:jc w:val="center"/>
              <w:rPr>
                <w:sz w:val="24"/>
                <w:szCs w:val="24"/>
              </w:rPr>
            </w:pPr>
          </w:p>
        </w:tc>
        <w:tc>
          <w:tcPr>
            <w:tcW w:w="1960" w:type="dxa"/>
            <w:gridSpan w:val="2"/>
            <w:vAlign w:val="center"/>
          </w:tcPr>
          <w:p w14:paraId="2819E39F" w14:textId="1E1A4D3A" w:rsidR="00AF5594" w:rsidRDefault="00AF5594" w:rsidP="00566955">
            <w:pPr>
              <w:jc w:val="center"/>
              <w:rPr>
                <w:sz w:val="20"/>
                <w:szCs w:val="20"/>
              </w:rPr>
            </w:pPr>
            <w:r>
              <w:rPr>
                <w:rFonts w:eastAsia="Times New Roman"/>
                <w:sz w:val="18"/>
                <w:szCs w:val="18"/>
              </w:rPr>
              <w:t>3120</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3A0" w14:textId="4A075CEF" w:rsidR="00AF5594" w:rsidRDefault="00AF5594" w:rsidP="00566955">
            <w:pPr>
              <w:jc w:val="center"/>
              <w:rPr>
                <w:sz w:val="20"/>
                <w:szCs w:val="20"/>
              </w:rPr>
            </w:pPr>
            <w:r>
              <w:rPr>
                <w:rFonts w:eastAsia="Times New Roman"/>
                <w:sz w:val="18"/>
                <w:szCs w:val="18"/>
              </w:rPr>
              <w:t>3120</w:t>
            </w:r>
            <w:r w:rsidR="00501DCB">
              <w:rPr>
                <w:rFonts w:eastAsia="Times New Roman"/>
                <w:sz w:val="18"/>
                <w:szCs w:val="18"/>
              </w:rPr>
              <w:t xml:space="preserve"> </w:t>
            </w:r>
            <w:r>
              <w:rPr>
                <w:rFonts w:eastAsia="Times New Roman"/>
                <w:sz w:val="18"/>
                <w:szCs w:val="18"/>
              </w:rPr>
              <w:t>B-99</w:t>
            </w:r>
          </w:p>
        </w:tc>
        <w:tc>
          <w:tcPr>
            <w:tcW w:w="1040" w:type="dxa"/>
            <w:gridSpan w:val="2"/>
            <w:vAlign w:val="center"/>
          </w:tcPr>
          <w:p w14:paraId="2819E3A3" w14:textId="77777777" w:rsidR="00AF5594" w:rsidRDefault="00AF5594" w:rsidP="00566955">
            <w:pPr>
              <w:jc w:val="center"/>
              <w:rPr>
                <w:sz w:val="24"/>
                <w:szCs w:val="24"/>
              </w:rPr>
            </w:pPr>
          </w:p>
        </w:tc>
        <w:tc>
          <w:tcPr>
            <w:tcW w:w="719" w:type="dxa"/>
            <w:gridSpan w:val="2"/>
            <w:vAlign w:val="center"/>
          </w:tcPr>
          <w:p w14:paraId="2819E3A6" w14:textId="77777777" w:rsidR="00AF5594" w:rsidRDefault="00AF5594" w:rsidP="00566955">
            <w:pPr>
              <w:jc w:val="center"/>
              <w:rPr>
                <w:sz w:val="24"/>
                <w:szCs w:val="24"/>
              </w:rPr>
            </w:pPr>
          </w:p>
        </w:tc>
      </w:tr>
      <w:tr w:rsidR="00AF5594" w14:paraId="2819E3B9" w14:textId="77777777" w:rsidTr="000112F7">
        <w:trPr>
          <w:trHeight w:val="290"/>
        </w:trPr>
        <w:tc>
          <w:tcPr>
            <w:tcW w:w="1148" w:type="dxa"/>
            <w:vAlign w:val="bottom"/>
          </w:tcPr>
          <w:p w14:paraId="2819E3A9" w14:textId="77777777" w:rsidR="00AF5594" w:rsidRDefault="00AF5594">
            <w:pPr>
              <w:rPr>
                <w:sz w:val="24"/>
                <w:szCs w:val="24"/>
              </w:rPr>
            </w:pPr>
          </w:p>
        </w:tc>
        <w:tc>
          <w:tcPr>
            <w:tcW w:w="2454" w:type="dxa"/>
            <w:vAlign w:val="center"/>
          </w:tcPr>
          <w:p w14:paraId="2819E3AA" w14:textId="4E59338F" w:rsidR="00AF5594" w:rsidRDefault="00AF5594" w:rsidP="00AF5594">
            <w:pPr>
              <w:ind w:left="180"/>
              <w:rPr>
                <w:sz w:val="20"/>
                <w:szCs w:val="20"/>
              </w:rPr>
            </w:pPr>
            <w:r>
              <w:rPr>
                <w:rFonts w:eastAsia="Times New Roman"/>
                <w:sz w:val="18"/>
                <w:szCs w:val="18"/>
              </w:rPr>
              <w:t>Inductively-coupled plasma; mass spectrometry</w:t>
            </w:r>
          </w:p>
        </w:tc>
        <w:tc>
          <w:tcPr>
            <w:tcW w:w="700" w:type="dxa"/>
            <w:vAlign w:val="center"/>
          </w:tcPr>
          <w:p w14:paraId="2819E3AB" w14:textId="77777777" w:rsidR="00AF5594" w:rsidRDefault="00AF5594" w:rsidP="00566955">
            <w:pPr>
              <w:jc w:val="center"/>
              <w:rPr>
                <w:sz w:val="20"/>
                <w:szCs w:val="20"/>
              </w:rPr>
            </w:pPr>
            <w:r>
              <w:rPr>
                <w:rFonts w:eastAsia="Times New Roman"/>
                <w:sz w:val="18"/>
                <w:szCs w:val="18"/>
              </w:rPr>
              <w:t>200.8</w:t>
            </w:r>
            <w:r w:rsidRPr="00AF5594">
              <w:rPr>
                <w:rFonts w:eastAsia="Times New Roman"/>
                <w:sz w:val="18"/>
                <w:szCs w:val="18"/>
                <w:vertAlign w:val="superscript"/>
              </w:rPr>
              <w:t>6</w:t>
            </w:r>
          </w:p>
        </w:tc>
        <w:tc>
          <w:tcPr>
            <w:tcW w:w="1382" w:type="dxa"/>
            <w:gridSpan w:val="2"/>
            <w:vAlign w:val="center"/>
          </w:tcPr>
          <w:p w14:paraId="2819E3AE" w14:textId="77777777" w:rsidR="00AF5594" w:rsidRDefault="00AF5594" w:rsidP="00566955">
            <w:pPr>
              <w:jc w:val="center"/>
              <w:rPr>
                <w:sz w:val="24"/>
                <w:szCs w:val="24"/>
              </w:rPr>
            </w:pPr>
          </w:p>
        </w:tc>
        <w:tc>
          <w:tcPr>
            <w:tcW w:w="1960" w:type="dxa"/>
            <w:gridSpan w:val="2"/>
            <w:vAlign w:val="center"/>
          </w:tcPr>
          <w:p w14:paraId="2819E3B1" w14:textId="77777777" w:rsidR="00AF5594" w:rsidRDefault="00AF5594" w:rsidP="00566955">
            <w:pPr>
              <w:jc w:val="center"/>
              <w:rPr>
                <w:sz w:val="24"/>
                <w:szCs w:val="24"/>
              </w:rPr>
            </w:pPr>
          </w:p>
        </w:tc>
        <w:tc>
          <w:tcPr>
            <w:tcW w:w="1419" w:type="dxa"/>
            <w:gridSpan w:val="2"/>
            <w:vAlign w:val="center"/>
          </w:tcPr>
          <w:p w14:paraId="2819E3B2" w14:textId="77777777" w:rsidR="00AF5594" w:rsidRDefault="00AF5594" w:rsidP="00566955">
            <w:pPr>
              <w:jc w:val="center"/>
              <w:rPr>
                <w:sz w:val="24"/>
                <w:szCs w:val="24"/>
              </w:rPr>
            </w:pPr>
          </w:p>
        </w:tc>
        <w:tc>
          <w:tcPr>
            <w:tcW w:w="1040" w:type="dxa"/>
            <w:gridSpan w:val="2"/>
            <w:vAlign w:val="center"/>
          </w:tcPr>
          <w:p w14:paraId="2819E3B5" w14:textId="77777777" w:rsidR="00AF5594" w:rsidRDefault="00AF5594" w:rsidP="00566955">
            <w:pPr>
              <w:jc w:val="center"/>
              <w:rPr>
                <w:sz w:val="24"/>
                <w:szCs w:val="24"/>
              </w:rPr>
            </w:pPr>
          </w:p>
        </w:tc>
        <w:tc>
          <w:tcPr>
            <w:tcW w:w="719" w:type="dxa"/>
            <w:gridSpan w:val="2"/>
            <w:vAlign w:val="center"/>
          </w:tcPr>
          <w:p w14:paraId="2819E3B8" w14:textId="77777777" w:rsidR="00AF5594" w:rsidRDefault="00AF5594" w:rsidP="00566955">
            <w:pPr>
              <w:jc w:val="center"/>
              <w:rPr>
                <w:sz w:val="24"/>
                <w:szCs w:val="24"/>
              </w:rPr>
            </w:pPr>
          </w:p>
        </w:tc>
      </w:tr>
      <w:tr w:rsidR="00AF5594" w14:paraId="2819E3DF" w14:textId="77777777" w:rsidTr="000112F7">
        <w:trPr>
          <w:trHeight w:val="290"/>
        </w:trPr>
        <w:tc>
          <w:tcPr>
            <w:tcW w:w="1148" w:type="dxa"/>
            <w:vAlign w:val="bottom"/>
          </w:tcPr>
          <w:p w14:paraId="2819E3CF" w14:textId="77777777" w:rsidR="00AF5594" w:rsidRDefault="00AF5594">
            <w:pPr>
              <w:rPr>
                <w:sz w:val="24"/>
                <w:szCs w:val="24"/>
              </w:rPr>
            </w:pPr>
          </w:p>
        </w:tc>
        <w:tc>
          <w:tcPr>
            <w:tcW w:w="2454" w:type="dxa"/>
            <w:vAlign w:val="center"/>
          </w:tcPr>
          <w:p w14:paraId="2819E3D0" w14:textId="26712FD6" w:rsidR="00AF5594" w:rsidRDefault="00AF5594" w:rsidP="00AF5594">
            <w:pPr>
              <w:ind w:left="180"/>
              <w:rPr>
                <w:sz w:val="20"/>
                <w:szCs w:val="20"/>
              </w:rPr>
            </w:pPr>
            <w:r>
              <w:rPr>
                <w:rFonts w:eastAsia="Times New Roman"/>
                <w:sz w:val="18"/>
                <w:szCs w:val="18"/>
              </w:rPr>
              <w:t>Atomic absorption; platform furnace</w:t>
            </w:r>
          </w:p>
        </w:tc>
        <w:tc>
          <w:tcPr>
            <w:tcW w:w="700" w:type="dxa"/>
            <w:vAlign w:val="center"/>
          </w:tcPr>
          <w:p w14:paraId="2819E3D1" w14:textId="77777777" w:rsidR="00AF5594" w:rsidRDefault="00AF5594" w:rsidP="00566955">
            <w:pPr>
              <w:jc w:val="center"/>
              <w:rPr>
                <w:sz w:val="20"/>
                <w:szCs w:val="20"/>
              </w:rPr>
            </w:pPr>
            <w:r>
              <w:rPr>
                <w:rFonts w:eastAsia="Times New Roman"/>
                <w:sz w:val="18"/>
                <w:szCs w:val="18"/>
              </w:rPr>
              <w:t>200.9</w:t>
            </w:r>
            <w:r w:rsidRPr="00AF5594">
              <w:rPr>
                <w:rFonts w:eastAsia="Times New Roman"/>
                <w:sz w:val="18"/>
                <w:szCs w:val="18"/>
                <w:vertAlign w:val="superscript"/>
              </w:rPr>
              <w:t>7</w:t>
            </w:r>
          </w:p>
        </w:tc>
        <w:tc>
          <w:tcPr>
            <w:tcW w:w="1382" w:type="dxa"/>
            <w:gridSpan w:val="2"/>
            <w:vAlign w:val="center"/>
          </w:tcPr>
          <w:p w14:paraId="2819E3D4" w14:textId="77777777" w:rsidR="00AF5594" w:rsidRDefault="00AF5594" w:rsidP="00566955">
            <w:pPr>
              <w:jc w:val="center"/>
              <w:rPr>
                <w:sz w:val="24"/>
                <w:szCs w:val="24"/>
              </w:rPr>
            </w:pPr>
          </w:p>
        </w:tc>
        <w:tc>
          <w:tcPr>
            <w:tcW w:w="1960" w:type="dxa"/>
            <w:gridSpan w:val="2"/>
            <w:vAlign w:val="center"/>
          </w:tcPr>
          <w:p w14:paraId="2819E3D7" w14:textId="77777777" w:rsidR="00AF5594" w:rsidRDefault="00AF5594" w:rsidP="00566955">
            <w:pPr>
              <w:jc w:val="center"/>
              <w:rPr>
                <w:sz w:val="24"/>
                <w:szCs w:val="24"/>
              </w:rPr>
            </w:pPr>
          </w:p>
        </w:tc>
        <w:tc>
          <w:tcPr>
            <w:tcW w:w="1419" w:type="dxa"/>
            <w:gridSpan w:val="2"/>
            <w:vAlign w:val="center"/>
          </w:tcPr>
          <w:p w14:paraId="2819E3D8" w14:textId="77777777" w:rsidR="00AF5594" w:rsidRDefault="00AF5594" w:rsidP="00566955">
            <w:pPr>
              <w:jc w:val="center"/>
              <w:rPr>
                <w:sz w:val="24"/>
                <w:szCs w:val="24"/>
              </w:rPr>
            </w:pPr>
          </w:p>
        </w:tc>
        <w:tc>
          <w:tcPr>
            <w:tcW w:w="1040" w:type="dxa"/>
            <w:gridSpan w:val="2"/>
            <w:vAlign w:val="center"/>
          </w:tcPr>
          <w:p w14:paraId="2819E3DB" w14:textId="77777777" w:rsidR="00AF5594" w:rsidRDefault="00AF5594" w:rsidP="00566955">
            <w:pPr>
              <w:jc w:val="center"/>
              <w:rPr>
                <w:sz w:val="24"/>
                <w:szCs w:val="24"/>
              </w:rPr>
            </w:pPr>
          </w:p>
        </w:tc>
        <w:tc>
          <w:tcPr>
            <w:tcW w:w="719" w:type="dxa"/>
            <w:gridSpan w:val="2"/>
            <w:vAlign w:val="center"/>
          </w:tcPr>
          <w:p w14:paraId="2819E3DE" w14:textId="77777777" w:rsidR="00AF5594" w:rsidRDefault="00AF5594" w:rsidP="00566955">
            <w:pPr>
              <w:jc w:val="center"/>
              <w:rPr>
                <w:sz w:val="24"/>
                <w:szCs w:val="24"/>
              </w:rPr>
            </w:pPr>
          </w:p>
        </w:tc>
      </w:tr>
      <w:tr w:rsidR="00CB28F0" w14:paraId="2819E402" w14:textId="77777777" w:rsidTr="000112F7">
        <w:trPr>
          <w:trHeight w:val="290"/>
        </w:trPr>
        <w:tc>
          <w:tcPr>
            <w:tcW w:w="1148" w:type="dxa"/>
            <w:vAlign w:val="bottom"/>
          </w:tcPr>
          <w:p w14:paraId="2819E3F4" w14:textId="77777777" w:rsidR="00CB28F0" w:rsidRDefault="00CB28F0">
            <w:pPr>
              <w:rPr>
                <w:sz w:val="20"/>
                <w:szCs w:val="20"/>
              </w:rPr>
            </w:pPr>
            <w:r>
              <w:rPr>
                <w:rFonts w:eastAsia="Times New Roman"/>
                <w:sz w:val="18"/>
                <w:szCs w:val="18"/>
              </w:rPr>
              <w:t>Magnesium</w:t>
            </w:r>
          </w:p>
        </w:tc>
        <w:tc>
          <w:tcPr>
            <w:tcW w:w="2454" w:type="dxa"/>
            <w:vAlign w:val="bottom"/>
          </w:tcPr>
          <w:p w14:paraId="2819E3F5" w14:textId="77777777" w:rsidR="00CB28F0" w:rsidRDefault="00CB28F0">
            <w:pPr>
              <w:ind w:left="180"/>
              <w:rPr>
                <w:sz w:val="20"/>
                <w:szCs w:val="20"/>
              </w:rPr>
            </w:pPr>
            <w:r>
              <w:rPr>
                <w:rFonts w:eastAsia="Times New Roman"/>
                <w:sz w:val="18"/>
                <w:szCs w:val="18"/>
              </w:rPr>
              <w:t>Atomic absorption; furnace</w:t>
            </w:r>
          </w:p>
        </w:tc>
        <w:tc>
          <w:tcPr>
            <w:tcW w:w="700" w:type="dxa"/>
            <w:vAlign w:val="center"/>
          </w:tcPr>
          <w:p w14:paraId="2819E3F8" w14:textId="77777777" w:rsidR="00CB28F0" w:rsidRDefault="00CB28F0" w:rsidP="009749E9">
            <w:pPr>
              <w:jc w:val="center"/>
              <w:rPr>
                <w:sz w:val="24"/>
                <w:szCs w:val="24"/>
              </w:rPr>
            </w:pPr>
          </w:p>
        </w:tc>
        <w:tc>
          <w:tcPr>
            <w:tcW w:w="1382" w:type="dxa"/>
            <w:gridSpan w:val="2"/>
            <w:vAlign w:val="center"/>
          </w:tcPr>
          <w:p w14:paraId="2819E3F9" w14:textId="77777777" w:rsidR="00CB28F0" w:rsidRDefault="00CB28F0" w:rsidP="009749E9">
            <w:pPr>
              <w:jc w:val="center"/>
              <w:rPr>
                <w:sz w:val="20"/>
                <w:szCs w:val="20"/>
              </w:rPr>
            </w:pPr>
            <w:r>
              <w:rPr>
                <w:rFonts w:eastAsia="Times New Roman"/>
                <w:sz w:val="18"/>
                <w:szCs w:val="18"/>
              </w:rPr>
              <w:t>D 511-93 03B</w:t>
            </w:r>
          </w:p>
        </w:tc>
        <w:tc>
          <w:tcPr>
            <w:tcW w:w="1960" w:type="dxa"/>
            <w:gridSpan w:val="2"/>
            <w:vAlign w:val="center"/>
          </w:tcPr>
          <w:p w14:paraId="2819E3FA" w14:textId="2B8E417C" w:rsidR="00CB28F0" w:rsidRDefault="00CB28F0" w:rsidP="009749E9">
            <w:pPr>
              <w:jc w:val="center"/>
              <w:rPr>
                <w:sz w:val="20"/>
                <w:szCs w:val="20"/>
              </w:rPr>
            </w:pPr>
            <w:r>
              <w:rPr>
                <w:rFonts w:eastAsia="Times New Roman"/>
                <w:sz w:val="18"/>
                <w:szCs w:val="18"/>
              </w:rPr>
              <w:t>3111</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3FB" w14:textId="6725308A" w:rsidR="00CB28F0" w:rsidRDefault="00CB28F0" w:rsidP="009749E9">
            <w:pPr>
              <w:jc w:val="center"/>
              <w:rPr>
                <w:sz w:val="20"/>
                <w:szCs w:val="20"/>
              </w:rPr>
            </w:pPr>
            <w:r>
              <w:rPr>
                <w:rFonts w:eastAsia="Times New Roman"/>
                <w:sz w:val="18"/>
                <w:szCs w:val="18"/>
              </w:rPr>
              <w:t>311</w:t>
            </w:r>
            <w:r w:rsidR="00501DCB">
              <w:rPr>
                <w:rFonts w:eastAsia="Times New Roman"/>
                <w:sz w:val="18"/>
                <w:szCs w:val="18"/>
              </w:rPr>
              <w:t xml:space="preserve">1 </w:t>
            </w:r>
            <w:r>
              <w:rPr>
                <w:rFonts w:eastAsia="Times New Roman"/>
                <w:sz w:val="18"/>
                <w:szCs w:val="18"/>
              </w:rPr>
              <w:t>B-99</w:t>
            </w:r>
          </w:p>
        </w:tc>
        <w:tc>
          <w:tcPr>
            <w:tcW w:w="1040" w:type="dxa"/>
            <w:gridSpan w:val="2"/>
            <w:vAlign w:val="center"/>
          </w:tcPr>
          <w:p w14:paraId="2819E3FE" w14:textId="77777777" w:rsidR="00CB28F0" w:rsidRDefault="00CB28F0" w:rsidP="009749E9">
            <w:pPr>
              <w:jc w:val="center"/>
              <w:rPr>
                <w:sz w:val="24"/>
                <w:szCs w:val="24"/>
              </w:rPr>
            </w:pPr>
          </w:p>
        </w:tc>
        <w:tc>
          <w:tcPr>
            <w:tcW w:w="719" w:type="dxa"/>
            <w:gridSpan w:val="2"/>
            <w:vAlign w:val="center"/>
          </w:tcPr>
          <w:p w14:paraId="2819E401" w14:textId="77777777" w:rsidR="00CB28F0" w:rsidRDefault="00CB28F0" w:rsidP="009749E9">
            <w:pPr>
              <w:jc w:val="center"/>
              <w:rPr>
                <w:sz w:val="24"/>
                <w:szCs w:val="24"/>
              </w:rPr>
            </w:pPr>
          </w:p>
        </w:tc>
      </w:tr>
      <w:tr w:rsidR="00CB28F0" w14:paraId="2819E412" w14:textId="77777777" w:rsidTr="000112F7">
        <w:trPr>
          <w:trHeight w:val="293"/>
        </w:trPr>
        <w:tc>
          <w:tcPr>
            <w:tcW w:w="1148" w:type="dxa"/>
            <w:vAlign w:val="bottom"/>
          </w:tcPr>
          <w:p w14:paraId="2819E404" w14:textId="77777777" w:rsidR="00CB28F0" w:rsidRDefault="00CB28F0">
            <w:pPr>
              <w:rPr>
                <w:sz w:val="24"/>
                <w:szCs w:val="24"/>
              </w:rPr>
            </w:pPr>
          </w:p>
        </w:tc>
        <w:tc>
          <w:tcPr>
            <w:tcW w:w="2454" w:type="dxa"/>
            <w:vAlign w:val="bottom"/>
          </w:tcPr>
          <w:p w14:paraId="2819E405" w14:textId="77777777" w:rsidR="00CB28F0" w:rsidRDefault="00CB28F0">
            <w:pPr>
              <w:ind w:left="180"/>
              <w:rPr>
                <w:sz w:val="20"/>
                <w:szCs w:val="20"/>
              </w:rPr>
            </w:pPr>
            <w:r>
              <w:rPr>
                <w:rFonts w:eastAsia="Times New Roman"/>
                <w:sz w:val="18"/>
                <w:szCs w:val="18"/>
              </w:rPr>
              <w:t>ICP</w:t>
            </w:r>
          </w:p>
        </w:tc>
        <w:tc>
          <w:tcPr>
            <w:tcW w:w="700" w:type="dxa"/>
            <w:vAlign w:val="center"/>
          </w:tcPr>
          <w:p w14:paraId="2819E406" w14:textId="77777777" w:rsidR="00CB28F0" w:rsidRDefault="00CB28F0" w:rsidP="009749E9">
            <w:pPr>
              <w:jc w:val="center"/>
              <w:rPr>
                <w:sz w:val="20"/>
                <w:szCs w:val="20"/>
              </w:rPr>
            </w:pPr>
            <w:r>
              <w:rPr>
                <w:rFonts w:eastAsia="Times New Roman"/>
                <w:sz w:val="18"/>
                <w:szCs w:val="18"/>
              </w:rPr>
              <w:t>200.7</w:t>
            </w:r>
          </w:p>
        </w:tc>
        <w:tc>
          <w:tcPr>
            <w:tcW w:w="1382" w:type="dxa"/>
            <w:gridSpan w:val="2"/>
            <w:vAlign w:val="center"/>
          </w:tcPr>
          <w:p w14:paraId="2819E409" w14:textId="77777777" w:rsidR="00CB28F0" w:rsidRDefault="00CB28F0" w:rsidP="009749E9">
            <w:pPr>
              <w:jc w:val="center"/>
              <w:rPr>
                <w:sz w:val="24"/>
                <w:szCs w:val="24"/>
              </w:rPr>
            </w:pPr>
          </w:p>
        </w:tc>
        <w:tc>
          <w:tcPr>
            <w:tcW w:w="1960" w:type="dxa"/>
            <w:gridSpan w:val="2"/>
            <w:vAlign w:val="center"/>
          </w:tcPr>
          <w:p w14:paraId="2819E40A" w14:textId="0B73097E" w:rsidR="00CB28F0" w:rsidRDefault="00CB28F0" w:rsidP="009749E9">
            <w:pPr>
              <w:jc w:val="center"/>
              <w:rPr>
                <w:sz w:val="20"/>
                <w:szCs w:val="20"/>
              </w:rPr>
            </w:pPr>
            <w:r>
              <w:rPr>
                <w:rFonts w:eastAsia="Times New Roman"/>
                <w:sz w:val="18"/>
                <w:szCs w:val="18"/>
              </w:rPr>
              <w:t>3120</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40B" w14:textId="77777777" w:rsidR="00CB28F0" w:rsidRDefault="00CB28F0" w:rsidP="009749E9">
            <w:pPr>
              <w:jc w:val="center"/>
              <w:rPr>
                <w:sz w:val="20"/>
                <w:szCs w:val="20"/>
              </w:rPr>
            </w:pPr>
            <w:r>
              <w:rPr>
                <w:rFonts w:eastAsia="Times New Roman"/>
                <w:sz w:val="18"/>
                <w:szCs w:val="18"/>
              </w:rPr>
              <w:t>3120B-99</w:t>
            </w:r>
          </w:p>
        </w:tc>
        <w:tc>
          <w:tcPr>
            <w:tcW w:w="1040" w:type="dxa"/>
            <w:gridSpan w:val="2"/>
            <w:vAlign w:val="center"/>
          </w:tcPr>
          <w:p w14:paraId="2819E40E" w14:textId="77777777" w:rsidR="00CB28F0" w:rsidRDefault="00CB28F0" w:rsidP="009749E9">
            <w:pPr>
              <w:jc w:val="center"/>
              <w:rPr>
                <w:sz w:val="24"/>
                <w:szCs w:val="24"/>
              </w:rPr>
            </w:pPr>
          </w:p>
        </w:tc>
        <w:tc>
          <w:tcPr>
            <w:tcW w:w="719" w:type="dxa"/>
            <w:gridSpan w:val="2"/>
            <w:vAlign w:val="center"/>
          </w:tcPr>
          <w:p w14:paraId="2819E411" w14:textId="77777777" w:rsidR="00CB28F0" w:rsidRDefault="00CB28F0" w:rsidP="009749E9">
            <w:pPr>
              <w:jc w:val="center"/>
              <w:rPr>
                <w:sz w:val="24"/>
                <w:szCs w:val="24"/>
              </w:rPr>
            </w:pPr>
          </w:p>
        </w:tc>
      </w:tr>
      <w:tr w:rsidR="00CB28F0" w14:paraId="2819E422" w14:textId="77777777" w:rsidTr="000112F7">
        <w:trPr>
          <w:trHeight w:val="290"/>
        </w:trPr>
        <w:tc>
          <w:tcPr>
            <w:tcW w:w="1148" w:type="dxa"/>
            <w:vAlign w:val="bottom"/>
          </w:tcPr>
          <w:p w14:paraId="2819E414" w14:textId="77777777" w:rsidR="00CB28F0" w:rsidRDefault="00CB28F0">
            <w:pPr>
              <w:rPr>
                <w:sz w:val="24"/>
                <w:szCs w:val="24"/>
              </w:rPr>
            </w:pPr>
          </w:p>
        </w:tc>
        <w:tc>
          <w:tcPr>
            <w:tcW w:w="2454" w:type="dxa"/>
            <w:vAlign w:val="bottom"/>
          </w:tcPr>
          <w:p w14:paraId="2819E415" w14:textId="199F4C56" w:rsidR="00CB28F0" w:rsidRDefault="00CB28F0">
            <w:pPr>
              <w:ind w:left="180"/>
              <w:rPr>
                <w:sz w:val="20"/>
                <w:szCs w:val="20"/>
              </w:rPr>
            </w:pPr>
            <w:r>
              <w:rPr>
                <w:rFonts w:eastAsia="Times New Roman"/>
                <w:sz w:val="18"/>
                <w:szCs w:val="18"/>
              </w:rPr>
              <w:t>Complexation Titrimetric Methods</w:t>
            </w:r>
          </w:p>
        </w:tc>
        <w:tc>
          <w:tcPr>
            <w:tcW w:w="700" w:type="dxa"/>
            <w:vAlign w:val="center"/>
          </w:tcPr>
          <w:p w14:paraId="2819E418" w14:textId="77777777" w:rsidR="00CB28F0" w:rsidRDefault="00CB28F0" w:rsidP="009749E9">
            <w:pPr>
              <w:jc w:val="center"/>
              <w:rPr>
                <w:sz w:val="24"/>
                <w:szCs w:val="24"/>
              </w:rPr>
            </w:pPr>
          </w:p>
        </w:tc>
        <w:tc>
          <w:tcPr>
            <w:tcW w:w="1382" w:type="dxa"/>
            <w:gridSpan w:val="2"/>
            <w:vAlign w:val="center"/>
          </w:tcPr>
          <w:p w14:paraId="2819E419" w14:textId="77777777" w:rsidR="00CB28F0" w:rsidRDefault="00CB28F0" w:rsidP="009749E9">
            <w:pPr>
              <w:jc w:val="center"/>
              <w:rPr>
                <w:sz w:val="20"/>
                <w:szCs w:val="20"/>
              </w:rPr>
            </w:pPr>
            <w:r>
              <w:rPr>
                <w:rFonts w:eastAsia="Times New Roman"/>
                <w:sz w:val="18"/>
                <w:szCs w:val="18"/>
              </w:rPr>
              <w:t>D 511-93, 3A</w:t>
            </w:r>
          </w:p>
        </w:tc>
        <w:tc>
          <w:tcPr>
            <w:tcW w:w="1960" w:type="dxa"/>
            <w:gridSpan w:val="2"/>
            <w:vAlign w:val="center"/>
          </w:tcPr>
          <w:p w14:paraId="2819E41A" w14:textId="3B9DD6CD" w:rsidR="00CB28F0" w:rsidRDefault="00CB28F0" w:rsidP="009749E9">
            <w:pPr>
              <w:jc w:val="center"/>
              <w:rPr>
                <w:sz w:val="20"/>
                <w:szCs w:val="20"/>
              </w:rPr>
            </w:pPr>
            <w:r>
              <w:rPr>
                <w:rFonts w:eastAsia="Times New Roman"/>
                <w:sz w:val="18"/>
                <w:szCs w:val="18"/>
              </w:rPr>
              <w:t>3500-Mg E</w:t>
            </w:r>
            <w:r w:rsidR="00145E98">
              <w:rPr>
                <w:rFonts w:eastAsia="Times New Roman"/>
                <w:sz w:val="18"/>
                <w:szCs w:val="18"/>
              </w:rPr>
              <w:t>,</w:t>
            </w:r>
            <w:r>
              <w:rPr>
                <w:rFonts w:eastAsia="Times New Roman"/>
                <w:sz w:val="18"/>
                <w:szCs w:val="18"/>
              </w:rPr>
              <w:t xml:space="preserve"> 3500 Mg B</w:t>
            </w:r>
          </w:p>
        </w:tc>
        <w:tc>
          <w:tcPr>
            <w:tcW w:w="1419" w:type="dxa"/>
            <w:gridSpan w:val="2"/>
            <w:vAlign w:val="center"/>
          </w:tcPr>
          <w:p w14:paraId="2819E41B" w14:textId="77777777" w:rsidR="00CB28F0" w:rsidRDefault="00CB28F0" w:rsidP="009749E9">
            <w:pPr>
              <w:jc w:val="center"/>
              <w:rPr>
                <w:sz w:val="20"/>
                <w:szCs w:val="20"/>
              </w:rPr>
            </w:pPr>
            <w:r>
              <w:rPr>
                <w:rFonts w:eastAsia="Times New Roman"/>
                <w:sz w:val="18"/>
                <w:szCs w:val="18"/>
              </w:rPr>
              <w:t>3500MB-97</w:t>
            </w:r>
          </w:p>
        </w:tc>
        <w:tc>
          <w:tcPr>
            <w:tcW w:w="1040" w:type="dxa"/>
            <w:gridSpan w:val="2"/>
            <w:vAlign w:val="center"/>
          </w:tcPr>
          <w:p w14:paraId="2819E41E" w14:textId="77777777" w:rsidR="00CB28F0" w:rsidRDefault="00CB28F0" w:rsidP="009749E9">
            <w:pPr>
              <w:jc w:val="center"/>
              <w:rPr>
                <w:sz w:val="24"/>
                <w:szCs w:val="24"/>
              </w:rPr>
            </w:pPr>
          </w:p>
        </w:tc>
        <w:tc>
          <w:tcPr>
            <w:tcW w:w="719" w:type="dxa"/>
            <w:gridSpan w:val="2"/>
            <w:vAlign w:val="center"/>
          </w:tcPr>
          <w:p w14:paraId="2819E421" w14:textId="77777777" w:rsidR="00CB28F0" w:rsidRDefault="00CB28F0" w:rsidP="009749E9">
            <w:pPr>
              <w:jc w:val="center"/>
              <w:rPr>
                <w:sz w:val="24"/>
                <w:szCs w:val="24"/>
              </w:rPr>
            </w:pPr>
          </w:p>
        </w:tc>
      </w:tr>
      <w:tr w:rsidR="00CB28F0" w14:paraId="2819E446" w14:textId="77777777" w:rsidTr="000112F7">
        <w:trPr>
          <w:trHeight w:val="290"/>
        </w:trPr>
        <w:tc>
          <w:tcPr>
            <w:tcW w:w="1148" w:type="dxa"/>
            <w:vAlign w:val="bottom"/>
          </w:tcPr>
          <w:p w14:paraId="2819E436" w14:textId="77777777" w:rsidR="00CB28F0" w:rsidRDefault="00CB28F0">
            <w:pPr>
              <w:rPr>
                <w:sz w:val="24"/>
                <w:szCs w:val="24"/>
              </w:rPr>
            </w:pPr>
          </w:p>
        </w:tc>
        <w:tc>
          <w:tcPr>
            <w:tcW w:w="2454" w:type="dxa"/>
            <w:vAlign w:val="bottom"/>
          </w:tcPr>
          <w:p w14:paraId="2819E437" w14:textId="77777777" w:rsidR="00CB28F0" w:rsidRDefault="00CB28F0">
            <w:pPr>
              <w:ind w:left="180"/>
              <w:rPr>
                <w:sz w:val="20"/>
                <w:szCs w:val="20"/>
              </w:rPr>
            </w:pPr>
            <w:r>
              <w:rPr>
                <w:rFonts w:eastAsia="Times New Roman"/>
                <w:sz w:val="18"/>
                <w:szCs w:val="18"/>
              </w:rPr>
              <w:t>Ion Chromatography</w:t>
            </w:r>
          </w:p>
        </w:tc>
        <w:tc>
          <w:tcPr>
            <w:tcW w:w="700" w:type="dxa"/>
            <w:vAlign w:val="center"/>
          </w:tcPr>
          <w:p w14:paraId="2819E43A" w14:textId="77777777" w:rsidR="00CB28F0" w:rsidRDefault="00CB28F0" w:rsidP="009749E9">
            <w:pPr>
              <w:jc w:val="center"/>
              <w:rPr>
                <w:sz w:val="24"/>
                <w:szCs w:val="24"/>
              </w:rPr>
            </w:pPr>
          </w:p>
        </w:tc>
        <w:tc>
          <w:tcPr>
            <w:tcW w:w="1382" w:type="dxa"/>
            <w:gridSpan w:val="2"/>
            <w:vAlign w:val="center"/>
          </w:tcPr>
          <w:p w14:paraId="2819E43B" w14:textId="77777777" w:rsidR="00CB28F0" w:rsidRDefault="00CB28F0" w:rsidP="009749E9">
            <w:pPr>
              <w:jc w:val="center"/>
              <w:rPr>
                <w:sz w:val="20"/>
                <w:szCs w:val="20"/>
              </w:rPr>
            </w:pPr>
            <w:r>
              <w:rPr>
                <w:rFonts w:eastAsia="Times New Roman"/>
                <w:sz w:val="18"/>
                <w:szCs w:val="18"/>
              </w:rPr>
              <w:t>D6919-03</w:t>
            </w:r>
          </w:p>
        </w:tc>
        <w:tc>
          <w:tcPr>
            <w:tcW w:w="1960" w:type="dxa"/>
            <w:gridSpan w:val="2"/>
            <w:vAlign w:val="center"/>
          </w:tcPr>
          <w:p w14:paraId="2819E43E" w14:textId="77777777" w:rsidR="00CB28F0" w:rsidRDefault="00CB28F0" w:rsidP="009749E9">
            <w:pPr>
              <w:jc w:val="center"/>
              <w:rPr>
                <w:sz w:val="24"/>
                <w:szCs w:val="24"/>
              </w:rPr>
            </w:pPr>
          </w:p>
        </w:tc>
        <w:tc>
          <w:tcPr>
            <w:tcW w:w="1419" w:type="dxa"/>
            <w:gridSpan w:val="2"/>
            <w:vAlign w:val="center"/>
          </w:tcPr>
          <w:p w14:paraId="2819E43F" w14:textId="77777777" w:rsidR="00CB28F0" w:rsidRDefault="00CB28F0" w:rsidP="009749E9">
            <w:pPr>
              <w:jc w:val="center"/>
              <w:rPr>
                <w:sz w:val="24"/>
                <w:szCs w:val="24"/>
              </w:rPr>
            </w:pPr>
          </w:p>
        </w:tc>
        <w:tc>
          <w:tcPr>
            <w:tcW w:w="1040" w:type="dxa"/>
            <w:gridSpan w:val="2"/>
            <w:vAlign w:val="center"/>
          </w:tcPr>
          <w:p w14:paraId="2819E442" w14:textId="77777777" w:rsidR="00CB28F0" w:rsidRDefault="00CB28F0" w:rsidP="009749E9">
            <w:pPr>
              <w:jc w:val="center"/>
              <w:rPr>
                <w:sz w:val="24"/>
                <w:szCs w:val="24"/>
              </w:rPr>
            </w:pPr>
          </w:p>
        </w:tc>
        <w:tc>
          <w:tcPr>
            <w:tcW w:w="719" w:type="dxa"/>
            <w:gridSpan w:val="2"/>
            <w:vAlign w:val="center"/>
          </w:tcPr>
          <w:p w14:paraId="2819E445" w14:textId="77777777" w:rsidR="00CB28F0" w:rsidRDefault="00CB28F0" w:rsidP="009749E9">
            <w:pPr>
              <w:jc w:val="center"/>
              <w:rPr>
                <w:sz w:val="24"/>
                <w:szCs w:val="24"/>
              </w:rPr>
            </w:pPr>
          </w:p>
        </w:tc>
      </w:tr>
      <w:tr w:rsidR="00145E98" w14:paraId="2819E452" w14:textId="77777777" w:rsidTr="000112F7">
        <w:trPr>
          <w:trHeight w:val="293"/>
        </w:trPr>
        <w:tc>
          <w:tcPr>
            <w:tcW w:w="1148" w:type="dxa"/>
            <w:vAlign w:val="bottom"/>
          </w:tcPr>
          <w:p w14:paraId="2819E447" w14:textId="77777777" w:rsidR="00145E98" w:rsidRDefault="00145E98">
            <w:pPr>
              <w:rPr>
                <w:sz w:val="20"/>
                <w:szCs w:val="20"/>
              </w:rPr>
            </w:pPr>
            <w:r>
              <w:rPr>
                <w:rFonts w:eastAsia="Times New Roman"/>
                <w:sz w:val="18"/>
                <w:szCs w:val="18"/>
              </w:rPr>
              <w:t>pH</w:t>
            </w:r>
          </w:p>
        </w:tc>
        <w:tc>
          <w:tcPr>
            <w:tcW w:w="2454" w:type="dxa"/>
            <w:vAlign w:val="bottom"/>
          </w:tcPr>
          <w:p w14:paraId="2819E448" w14:textId="77777777" w:rsidR="00145E98" w:rsidRDefault="00145E98">
            <w:pPr>
              <w:ind w:left="180"/>
              <w:rPr>
                <w:sz w:val="20"/>
                <w:szCs w:val="20"/>
              </w:rPr>
            </w:pPr>
            <w:r>
              <w:rPr>
                <w:rFonts w:eastAsia="Times New Roman"/>
                <w:sz w:val="18"/>
                <w:szCs w:val="18"/>
              </w:rPr>
              <w:t>Electrometric</w:t>
            </w:r>
          </w:p>
        </w:tc>
        <w:tc>
          <w:tcPr>
            <w:tcW w:w="700" w:type="dxa"/>
            <w:vAlign w:val="center"/>
          </w:tcPr>
          <w:p w14:paraId="31AA2643" w14:textId="77777777" w:rsidR="009749E9" w:rsidRDefault="00145E98" w:rsidP="009749E9">
            <w:pPr>
              <w:jc w:val="center"/>
              <w:rPr>
                <w:rFonts w:eastAsia="Times New Roman"/>
                <w:sz w:val="18"/>
                <w:szCs w:val="18"/>
              </w:rPr>
            </w:pPr>
            <w:r>
              <w:rPr>
                <w:rFonts w:eastAsia="Times New Roman"/>
                <w:sz w:val="18"/>
                <w:szCs w:val="18"/>
              </w:rPr>
              <w:t>150.1</w:t>
            </w:r>
          </w:p>
          <w:p w14:paraId="3A4E98E3" w14:textId="4FAB9754" w:rsidR="00145E98" w:rsidRDefault="00145E98" w:rsidP="009749E9">
            <w:pPr>
              <w:jc w:val="center"/>
              <w:rPr>
                <w:sz w:val="20"/>
                <w:szCs w:val="20"/>
              </w:rPr>
            </w:pPr>
            <w:r>
              <w:rPr>
                <w:rFonts w:eastAsia="Times New Roman"/>
                <w:sz w:val="18"/>
                <w:szCs w:val="18"/>
              </w:rPr>
              <w:t>150.2</w:t>
            </w:r>
          </w:p>
        </w:tc>
        <w:tc>
          <w:tcPr>
            <w:tcW w:w="1382" w:type="dxa"/>
            <w:gridSpan w:val="2"/>
            <w:vAlign w:val="center"/>
          </w:tcPr>
          <w:p w14:paraId="2819E449" w14:textId="119774A8" w:rsidR="00145E98" w:rsidRDefault="00145E98" w:rsidP="009749E9">
            <w:pPr>
              <w:jc w:val="center"/>
              <w:rPr>
                <w:sz w:val="20"/>
                <w:szCs w:val="20"/>
              </w:rPr>
            </w:pPr>
            <w:r>
              <w:rPr>
                <w:rFonts w:eastAsia="Times New Roman"/>
                <w:sz w:val="18"/>
                <w:szCs w:val="18"/>
              </w:rPr>
              <w:t>D1293-95, 99</w:t>
            </w:r>
          </w:p>
        </w:tc>
        <w:tc>
          <w:tcPr>
            <w:tcW w:w="1960" w:type="dxa"/>
            <w:gridSpan w:val="2"/>
            <w:vAlign w:val="center"/>
          </w:tcPr>
          <w:p w14:paraId="2819E44A" w14:textId="77777777" w:rsidR="00145E98" w:rsidRDefault="00145E98" w:rsidP="009749E9">
            <w:pPr>
              <w:jc w:val="center"/>
              <w:rPr>
                <w:sz w:val="20"/>
                <w:szCs w:val="20"/>
              </w:rPr>
            </w:pPr>
            <w:r>
              <w:rPr>
                <w:rFonts w:eastAsia="Times New Roman"/>
                <w:sz w:val="18"/>
                <w:szCs w:val="18"/>
              </w:rPr>
              <w:t xml:space="preserve">4500-H </w:t>
            </w:r>
            <w:r>
              <w:rPr>
                <w:rFonts w:eastAsia="Times New Roman"/>
                <w:sz w:val="24"/>
                <w:szCs w:val="24"/>
                <w:vertAlign w:val="superscript"/>
              </w:rPr>
              <w:t>+</w:t>
            </w:r>
            <w:r>
              <w:rPr>
                <w:rFonts w:eastAsia="Times New Roman"/>
                <w:sz w:val="18"/>
                <w:szCs w:val="18"/>
              </w:rPr>
              <w:t>B</w:t>
            </w:r>
          </w:p>
        </w:tc>
        <w:tc>
          <w:tcPr>
            <w:tcW w:w="1419" w:type="dxa"/>
            <w:gridSpan w:val="2"/>
            <w:vAlign w:val="center"/>
          </w:tcPr>
          <w:p w14:paraId="2819E44B" w14:textId="77777777" w:rsidR="00145E98" w:rsidRDefault="00145E98" w:rsidP="009749E9">
            <w:pPr>
              <w:jc w:val="center"/>
              <w:rPr>
                <w:sz w:val="20"/>
                <w:szCs w:val="20"/>
              </w:rPr>
            </w:pPr>
            <w:r>
              <w:rPr>
                <w:rFonts w:eastAsia="Times New Roman"/>
                <w:sz w:val="18"/>
                <w:szCs w:val="18"/>
              </w:rPr>
              <w:t xml:space="preserve">4500- H </w:t>
            </w:r>
            <w:r>
              <w:rPr>
                <w:rFonts w:eastAsia="Times New Roman"/>
                <w:sz w:val="24"/>
                <w:szCs w:val="24"/>
                <w:vertAlign w:val="superscript"/>
              </w:rPr>
              <w:t>+</w:t>
            </w:r>
            <w:r>
              <w:rPr>
                <w:rFonts w:eastAsia="Times New Roman"/>
                <w:sz w:val="18"/>
                <w:szCs w:val="18"/>
              </w:rPr>
              <w:t>B-00</w:t>
            </w:r>
          </w:p>
        </w:tc>
        <w:tc>
          <w:tcPr>
            <w:tcW w:w="1040" w:type="dxa"/>
            <w:gridSpan w:val="2"/>
            <w:vAlign w:val="center"/>
          </w:tcPr>
          <w:p w14:paraId="2819E44E" w14:textId="77777777" w:rsidR="00145E98" w:rsidRDefault="00145E98" w:rsidP="009749E9">
            <w:pPr>
              <w:jc w:val="center"/>
              <w:rPr>
                <w:sz w:val="24"/>
                <w:szCs w:val="24"/>
              </w:rPr>
            </w:pPr>
          </w:p>
        </w:tc>
        <w:tc>
          <w:tcPr>
            <w:tcW w:w="719" w:type="dxa"/>
            <w:gridSpan w:val="2"/>
            <w:vAlign w:val="center"/>
          </w:tcPr>
          <w:p w14:paraId="2819E451" w14:textId="77777777" w:rsidR="00145E98" w:rsidRDefault="00145E98" w:rsidP="009749E9">
            <w:pPr>
              <w:jc w:val="center"/>
              <w:rPr>
                <w:sz w:val="24"/>
                <w:szCs w:val="24"/>
              </w:rPr>
            </w:pPr>
          </w:p>
        </w:tc>
      </w:tr>
      <w:tr w:rsidR="00703360" w14:paraId="2819E475" w14:textId="77777777" w:rsidTr="000112F7">
        <w:trPr>
          <w:trHeight w:val="293"/>
        </w:trPr>
        <w:tc>
          <w:tcPr>
            <w:tcW w:w="1148" w:type="dxa"/>
            <w:vAlign w:val="bottom"/>
          </w:tcPr>
          <w:p w14:paraId="2819E467" w14:textId="77777777" w:rsidR="00703360" w:rsidRDefault="00703360">
            <w:pPr>
              <w:rPr>
                <w:sz w:val="20"/>
                <w:szCs w:val="20"/>
              </w:rPr>
            </w:pPr>
            <w:r>
              <w:rPr>
                <w:rFonts w:eastAsia="Times New Roman"/>
                <w:sz w:val="18"/>
                <w:szCs w:val="18"/>
              </w:rPr>
              <w:t>Conductivity</w:t>
            </w:r>
          </w:p>
        </w:tc>
        <w:tc>
          <w:tcPr>
            <w:tcW w:w="2454" w:type="dxa"/>
            <w:vAlign w:val="bottom"/>
          </w:tcPr>
          <w:p w14:paraId="2819E468" w14:textId="77777777" w:rsidR="00703360" w:rsidRDefault="00703360">
            <w:pPr>
              <w:ind w:left="180"/>
              <w:rPr>
                <w:sz w:val="20"/>
                <w:szCs w:val="20"/>
              </w:rPr>
            </w:pPr>
            <w:r>
              <w:rPr>
                <w:rFonts w:eastAsia="Times New Roman"/>
                <w:sz w:val="18"/>
                <w:szCs w:val="18"/>
              </w:rPr>
              <w:t>Conductance</w:t>
            </w:r>
          </w:p>
        </w:tc>
        <w:tc>
          <w:tcPr>
            <w:tcW w:w="700" w:type="dxa"/>
            <w:vAlign w:val="center"/>
          </w:tcPr>
          <w:p w14:paraId="2819E46B" w14:textId="77777777" w:rsidR="00703360" w:rsidRDefault="00703360" w:rsidP="009749E9">
            <w:pPr>
              <w:jc w:val="center"/>
              <w:rPr>
                <w:sz w:val="24"/>
                <w:szCs w:val="24"/>
              </w:rPr>
            </w:pPr>
          </w:p>
        </w:tc>
        <w:tc>
          <w:tcPr>
            <w:tcW w:w="1382" w:type="dxa"/>
            <w:gridSpan w:val="2"/>
            <w:vAlign w:val="center"/>
          </w:tcPr>
          <w:p w14:paraId="2819E46C" w14:textId="24B78FD5" w:rsidR="00703360" w:rsidRDefault="00703360" w:rsidP="009749E9">
            <w:pPr>
              <w:jc w:val="center"/>
              <w:rPr>
                <w:sz w:val="20"/>
                <w:szCs w:val="20"/>
              </w:rPr>
            </w:pPr>
            <w:r>
              <w:rPr>
                <w:rFonts w:eastAsia="Times New Roman"/>
                <w:sz w:val="18"/>
                <w:szCs w:val="18"/>
              </w:rPr>
              <w:t>D1125-95 (Re- approved 1999) A</w:t>
            </w:r>
          </w:p>
        </w:tc>
        <w:tc>
          <w:tcPr>
            <w:tcW w:w="1960" w:type="dxa"/>
            <w:gridSpan w:val="2"/>
            <w:vAlign w:val="center"/>
          </w:tcPr>
          <w:p w14:paraId="2819E46D" w14:textId="0DCBF032" w:rsidR="00703360" w:rsidRDefault="00703360" w:rsidP="009749E9">
            <w:pPr>
              <w:jc w:val="center"/>
              <w:rPr>
                <w:sz w:val="20"/>
                <w:szCs w:val="20"/>
              </w:rPr>
            </w:pPr>
            <w:r>
              <w:rPr>
                <w:rFonts w:eastAsia="Times New Roman"/>
                <w:sz w:val="18"/>
                <w:szCs w:val="18"/>
              </w:rPr>
              <w:t>2510</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46E" w14:textId="63CA6888" w:rsidR="00703360" w:rsidRDefault="00703360" w:rsidP="009749E9">
            <w:pPr>
              <w:jc w:val="center"/>
              <w:rPr>
                <w:sz w:val="20"/>
                <w:szCs w:val="20"/>
              </w:rPr>
            </w:pPr>
            <w:r>
              <w:rPr>
                <w:rFonts w:eastAsia="Times New Roman"/>
                <w:sz w:val="18"/>
                <w:szCs w:val="18"/>
              </w:rPr>
              <w:t>2510</w:t>
            </w:r>
            <w:r w:rsidR="00501DCB">
              <w:rPr>
                <w:rFonts w:eastAsia="Times New Roman"/>
                <w:sz w:val="18"/>
                <w:szCs w:val="18"/>
              </w:rPr>
              <w:t xml:space="preserve"> </w:t>
            </w:r>
            <w:r>
              <w:rPr>
                <w:rFonts w:eastAsia="Times New Roman"/>
                <w:sz w:val="18"/>
                <w:szCs w:val="18"/>
              </w:rPr>
              <w:t>B-97</w:t>
            </w:r>
          </w:p>
        </w:tc>
        <w:tc>
          <w:tcPr>
            <w:tcW w:w="1040" w:type="dxa"/>
            <w:gridSpan w:val="2"/>
            <w:vAlign w:val="center"/>
          </w:tcPr>
          <w:p w14:paraId="2819E471" w14:textId="77777777" w:rsidR="00703360" w:rsidRDefault="00703360" w:rsidP="009749E9">
            <w:pPr>
              <w:jc w:val="center"/>
              <w:rPr>
                <w:sz w:val="24"/>
                <w:szCs w:val="24"/>
              </w:rPr>
            </w:pPr>
          </w:p>
        </w:tc>
        <w:tc>
          <w:tcPr>
            <w:tcW w:w="719" w:type="dxa"/>
            <w:gridSpan w:val="2"/>
            <w:vAlign w:val="center"/>
          </w:tcPr>
          <w:p w14:paraId="2819E474" w14:textId="77777777" w:rsidR="00703360" w:rsidRDefault="00703360" w:rsidP="009749E9">
            <w:pPr>
              <w:jc w:val="center"/>
              <w:rPr>
                <w:sz w:val="24"/>
                <w:szCs w:val="24"/>
              </w:rPr>
            </w:pPr>
          </w:p>
        </w:tc>
      </w:tr>
      <w:tr w:rsidR="00D80AF5" w14:paraId="2819E4AC" w14:textId="77777777" w:rsidTr="000112F7">
        <w:trPr>
          <w:trHeight w:val="290"/>
        </w:trPr>
        <w:tc>
          <w:tcPr>
            <w:tcW w:w="1148" w:type="dxa"/>
            <w:vAlign w:val="bottom"/>
          </w:tcPr>
          <w:p w14:paraId="2819E49E" w14:textId="77777777" w:rsidR="00D80AF5" w:rsidRDefault="00D80AF5">
            <w:pPr>
              <w:rPr>
                <w:sz w:val="20"/>
                <w:szCs w:val="20"/>
              </w:rPr>
            </w:pPr>
            <w:r>
              <w:rPr>
                <w:rFonts w:eastAsia="Times New Roman"/>
                <w:sz w:val="18"/>
                <w:szCs w:val="18"/>
              </w:rPr>
              <w:t>Calcium</w:t>
            </w:r>
          </w:p>
        </w:tc>
        <w:tc>
          <w:tcPr>
            <w:tcW w:w="2454" w:type="dxa"/>
            <w:vAlign w:val="bottom"/>
          </w:tcPr>
          <w:p w14:paraId="2819E49F" w14:textId="77777777" w:rsidR="00D80AF5" w:rsidRDefault="00D80AF5">
            <w:pPr>
              <w:ind w:left="180"/>
              <w:rPr>
                <w:sz w:val="20"/>
                <w:szCs w:val="20"/>
              </w:rPr>
            </w:pPr>
            <w:r>
              <w:rPr>
                <w:rFonts w:eastAsia="Times New Roman"/>
                <w:sz w:val="18"/>
                <w:szCs w:val="18"/>
              </w:rPr>
              <w:t>EDTA titrimetric</w:t>
            </w:r>
          </w:p>
        </w:tc>
        <w:tc>
          <w:tcPr>
            <w:tcW w:w="700" w:type="dxa"/>
            <w:vAlign w:val="center"/>
          </w:tcPr>
          <w:p w14:paraId="2819E4A2" w14:textId="77777777" w:rsidR="00D80AF5" w:rsidRDefault="00D80AF5" w:rsidP="009749E9">
            <w:pPr>
              <w:jc w:val="center"/>
              <w:rPr>
                <w:sz w:val="24"/>
                <w:szCs w:val="24"/>
              </w:rPr>
            </w:pPr>
          </w:p>
        </w:tc>
        <w:tc>
          <w:tcPr>
            <w:tcW w:w="1382" w:type="dxa"/>
            <w:gridSpan w:val="2"/>
            <w:vAlign w:val="center"/>
          </w:tcPr>
          <w:p w14:paraId="2819E4A3" w14:textId="2E6A93D4" w:rsidR="00D80AF5" w:rsidRDefault="00D80AF5" w:rsidP="009749E9">
            <w:pPr>
              <w:jc w:val="center"/>
              <w:rPr>
                <w:sz w:val="20"/>
                <w:szCs w:val="20"/>
              </w:rPr>
            </w:pPr>
            <w:r>
              <w:rPr>
                <w:rFonts w:eastAsia="Times New Roman"/>
                <w:sz w:val="18"/>
                <w:szCs w:val="18"/>
              </w:rPr>
              <w:t>D511-93</w:t>
            </w:r>
            <w:r w:rsidR="00880F0C">
              <w:rPr>
                <w:rFonts w:eastAsia="Times New Roman"/>
                <w:sz w:val="18"/>
                <w:szCs w:val="18"/>
              </w:rPr>
              <w:t xml:space="preserve">, </w:t>
            </w:r>
            <w:r>
              <w:rPr>
                <w:rFonts w:eastAsia="Times New Roman"/>
                <w:sz w:val="18"/>
                <w:szCs w:val="18"/>
              </w:rPr>
              <w:t>03A</w:t>
            </w:r>
          </w:p>
        </w:tc>
        <w:tc>
          <w:tcPr>
            <w:tcW w:w="1960" w:type="dxa"/>
            <w:gridSpan w:val="2"/>
            <w:vAlign w:val="center"/>
          </w:tcPr>
          <w:p w14:paraId="2819E4A4" w14:textId="080A3D24" w:rsidR="00D80AF5" w:rsidRDefault="00D80AF5" w:rsidP="009749E9">
            <w:pPr>
              <w:jc w:val="center"/>
              <w:rPr>
                <w:sz w:val="20"/>
                <w:szCs w:val="20"/>
              </w:rPr>
            </w:pPr>
            <w:r>
              <w:rPr>
                <w:rFonts w:eastAsia="Times New Roman"/>
                <w:sz w:val="18"/>
                <w:szCs w:val="18"/>
              </w:rPr>
              <w:t>3500-Ca</w:t>
            </w:r>
            <w:r w:rsidR="007F4BA9">
              <w:rPr>
                <w:rFonts w:eastAsia="Times New Roman"/>
                <w:sz w:val="18"/>
                <w:szCs w:val="18"/>
              </w:rPr>
              <w:t xml:space="preserve"> </w:t>
            </w:r>
            <w:r>
              <w:rPr>
                <w:rFonts w:eastAsia="Times New Roman"/>
                <w:sz w:val="18"/>
                <w:szCs w:val="18"/>
              </w:rPr>
              <w:t>D</w:t>
            </w:r>
            <w:r w:rsidR="007F4BA9">
              <w:rPr>
                <w:rFonts w:eastAsia="Times New Roman"/>
                <w:sz w:val="18"/>
                <w:szCs w:val="18"/>
              </w:rPr>
              <w:t>, 3500-</w:t>
            </w:r>
            <w:r>
              <w:rPr>
                <w:rFonts w:eastAsia="Times New Roman"/>
                <w:sz w:val="18"/>
                <w:szCs w:val="18"/>
              </w:rPr>
              <w:t>Ca B</w:t>
            </w:r>
          </w:p>
        </w:tc>
        <w:tc>
          <w:tcPr>
            <w:tcW w:w="1419" w:type="dxa"/>
            <w:gridSpan w:val="2"/>
            <w:vAlign w:val="center"/>
          </w:tcPr>
          <w:p w14:paraId="2819E4A5" w14:textId="0BD85125" w:rsidR="00D80AF5" w:rsidRDefault="00D80AF5" w:rsidP="009749E9">
            <w:pPr>
              <w:jc w:val="center"/>
              <w:rPr>
                <w:sz w:val="20"/>
                <w:szCs w:val="20"/>
              </w:rPr>
            </w:pPr>
            <w:r>
              <w:rPr>
                <w:rFonts w:eastAsia="Times New Roman"/>
                <w:sz w:val="18"/>
                <w:szCs w:val="18"/>
              </w:rPr>
              <w:t>3500-Ca B-97</w:t>
            </w:r>
          </w:p>
        </w:tc>
        <w:tc>
          <w:tcPr>
            <w:tcW w:w="1040" w:type="dxa"/>
            <w:gridSpan w:val="2"/>
            <w:vAlign w:val="center"/>
          </w:tcPr>
          <w:p w14:paraId="2819E4A8" w14:textId="77777777" w:rsidR="00D80AF5" w:rsidRDefault="00D80AF5" w:rsidP="009749E9">
            <w:pPr>
              <w:jc w:val="center"/>
              <w:rPr>
                <w:sz w:val="24"/>
                <w:szCs w:val="24"/>
              </w:rPr>
            </w:pPr>
          </w:p>
        </w:tc>
        <w:tc>
          <w:tcPr>
            <w:tcW w:w="719" w:type="dxa"/>
            <w:gridSpan w:val="2"/>
            <w:vAlign w:val="center"/>
          </w:tcPr>
          <w:p w14:paraId="2819E4AB" w14:textId="77777777" w:rsidR="00D80AF5" w:rsidRDefault="00D80AF5" w:rsidP="009749E9">
            <w:pPr>
              <w:jc w:val="center"/>
              <w:rPr>
                <w:sz w:val="24"/>
                <w:szCs w:val="24"/>
              </w:rPr>
            </w:pPr>
          </w:p>
        </w:tc>
      </w:tr>
      <w:tr w:rsidR="00D80AF5" w14:paraId="2819E4BC" w14:textId="77777777" w:rsidTr="000112F7">
        <w:trPr>
          <w:trHeight w:val="293"/>
        </w:trPr>
        <w:tc>
          <w:tcPr>
            <w:tcW w:w="1148" w:type="dxa"/>
            <w:vAlign w:val="bottom"/>
          </w:tcPr>
          <w:p w14:paraId="2819E4AE" w14:textId="77777777" w:rsidR="00D80AF5" w:rsidRDefault="00D80AF5">
            <w:pPr>
              <w:rPr>
                <w:sz w:val="24"/>
                <w:szCs w:val="24"/>
              </w:rPr>
            </w:pPr>
          </w:p>
        </w:tc>
        <w:tc>
          <w:tcPr>
            <w:tcW w:w="2454" w:type="dxa"/>
            <w:vAlign w:val="bottom"/>
          </w:tcPr>
          <w:p w14:paraId="2819E4AF" w14:textId="35809744" w:rsidR="00D80AF5" w:rsidRDefault="00D80AF5">
            <w:pPr>
              <w:ind w:left="180"/>
              <w:rPr>
                <w:sz w:val="20"/>
                <w:szCs w:val="20"/>
              </w:rPr>
            </w:pPr>
            <w:r>
              <w:rPr>
                <w:rFonts w:eastAsia="Times New Roman"/>
                <w:sz w:val="18"/>
                <w:szCs w:val="18"/>
              </w:rPr>
              <w:t>Atomic absorption; direct aspiration</w:t>
            </w:r>
          </w:p>
        </w:tc>
        <w:tc>
          <w:tcPr>
            <w:tcW w:w="700" w:type="dxa"/>
            <w:vAlign w:val="center"/>
          </w:tcPr>
          <w:p w14:paraId="2819E4B2" w14:textId="77777777" w:rsidR="00D80AF5" w:rsidRDefault="00D80AF5" w:rsidP="009749E9">
            <w:pPr>
              <w:jc w:val="center"/>
              <w:rPr>
                <w:sz w:val="24"/>
                <w:szCs w:val="24"/>
              </w:rPr>
            </w:pPr>
          </w:p>
        </w:tc>
        <w:tc>
          <w:tcPr>
            <w:tcW w:w="1382" w:type="dxa"/>
            <w:gridSpan w:val="2"/>
            <w:vAlign w:val="center"/>
          </w:tcPr>
          <w:p w14:paraId="2819E4B3" w14:textId="49B5FA77" w:rsidR="00D80AF5" w:rsidRDefault="00D80AF5" w:rsidP="009749E9">
            <w:pPr>
              <w:jc w:val="center"/>
              <w:rPr>
                <w:sz w:val="20"/>
                <w:szCs w:val="20"/>
              </w:rPr>
            </w:pPr>
            <w:r>
              <w:rPr>
                <w:rFonts w:eastAsia="Times New Roman"/>
                <w:sz w:val="18"/>
                <w:szCs w:val="18"/>
              </w:rPr>
              <w:t>D511-93</w:t>
            </w:r>
            <w:r w:rsidR="00880F0C">
              <w:rPr>
                <w:rFonts w:eastAsia="Times New Roman"/>
                <w:sz w:val="18"/>
                <w:szCs w:val="18"/>
              </w:rPr>
              <w:t xml:space="preserve">, </w:t>
            </w:r>
            <w:r>
              <w:rPr>
                <w:rFonts w:eastAsia="Times New Roman"/>
                <w:sz w:val="18"/>
                <w:szCs w:val="18"/>
              </w:rPr>
              <w:t>03B</w:t>
            </w:r>
          </w:p>
        </w:tc>
        <w:tc>
          <w:tcPr>
            <w:tcW w:w="1960" w:type="dxa"/>
            <w:gridSpan w:val="2"/>
            <w:vAlign w:val="center"/>
          </w:tcPr>
          <w:p w14:paraId="2819E4B4" w14:textId="265DD15A" w:rsidR="00D80AF5" w:rsidRDefault="00D80AF5" w:rsidP="009749E9">
            <w:pPr>
              <w:jc w:val="center"/>
              <w:rPr>
                <w:sz w:val="20"/>
                <w:szCs w:val="20"/>
              </w:rPr>
            </w:pPr>
            <w:r>
              <w:rPr>
                <w:rFonts w:eastAsia="Times New Roman"/>
                <w:sz w:val="18"/>
                <w:szCs w:val="18"/>
              </w:rPr>
              <w:t>3111</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4B5" w14:textId="77777777" w:rsidR="00D80AF5" w:rsidRDefault="00D80AF5" w:rsidP="009749E9">
            <w:pPr>
              <w:jc w:val="center"/>
              <w:rPr>
                <w:sz w:val="20"/>
                <w:szCs w:val="20"/>
              </w:rPr>
            </w:pPr>
            <w:r>
              <w:rPr>
                <w:rFonts w:eastAsia="Times New Roman"/>
                <w:sz w:val="18"/>
                <w:szCs w:val="18"/>
              </w:rPr>
              <w:t>3111 B-99</w:t>
            </w:r>
          </w:p>
        </w:tc>
        <w:tc>
          <w:tcPr>
            <w:tcW w:w="1040" w:type="dxa"/>
            <w:gridSpan w:val="2"/>
            <w:vAlign w:val="center"/>
          </w:tcPr>
          <w:p w14:paraId="2819E4B8" w14:textId="77777777" w:rsidR="00D80AF5" w:rsidRDefault="00D80AF5" w:rsidP="009749E9">
            <w:pPr>
              <w:jc w:val="center"/>
              <w:rPr>
                <w:sz w:val="24"/>
                <w:szCs w:val="24"/>
              </w:rPr>
            </w:pPr>
          </w:p>
        </w:tc>
        <w:tc>
          <w:tcPr>
            <w:tcW w:w="719" w:type="dxa"/>
            <w:gridSpan w:val="2"/>
            <w:vAlign w:val="center"/>
          </w:tcPr>
          <w:p w14:paraId="2819E4BB" w14:textId="77777777" w:rsidR="00D80AF5" w:rsidRDefault="00D80AF5" w:rsidP="009749E9">
            <w:pPr>
              <w:jc w:val="center"/>
              <w:rPr>
                <w:sz w:val="24"/>
                <w:szCs w:val="24"/>
              </w:rPr>
            </w:pPr>
          </w:p>
        </w:tc>
      </w:tr>
      <w:tr w:rsidR="00D80AF5" w14:paraId="2819E4E0" w14:textId="77777777" w:rsidTr="000112F7">
        <w:trPr>
          <w:trHeight w:val="293"/>
        </w:trPr>
        <w:tc>
          <w:tcPr>
            <w:tcW w:w="1148" w:type="dxa"/>
            <w:vAlign w:val="bottom"/>
          </w:tcPr>
          <w:p w14:paraId="2819E4D2" w14:textId="77777777" w:rsidR="00D80AF5" w:rsidRDefault="00D80AF5">
            <w:pPr>
              <w:rPr>
                <w:sz w:val="24"/>
                <w:szCs w:val="24"/>
              </w:rPr>
            </w:pPr>
          </w:p>
        </w:tc>
        <w:tc>
          <w:tcPr>
            <w:tcW w:w="2454" w:type="dxa"/>
            <w:vAlign w:val="bottom"/>
          </w:tcPr>
          <w:p w14:paraId="2819E4D3" w14:textId="77777777" w:rsidR="00D80AF5" w:rsidRDefault="00D80AF5">
            <w:pPr>
              <w:ind w:left="180"/>
              <w:rPr>
                <w:sz w:val="20"/>
                <w:szCs w:val="20"/>
              </w:rPr>
            </w:pPr>
            <w:r>
              <w:rPr>
                <w:rFonts w:eastAsia="Times New Roman"/>
                <w:sz w:val="18"/>
                <w:szCs w:val="18"/>
              </w:rPr>
              <w:t>Inductively-coupled plasma</w:t>
            </w:r>
          </w:p>
        </w:tc>
        <w:tc>
          <w:tcPr>
            <w:tcW w:w="700" w:type="dxa"/>
            <w:vAlign w:val="center"/>
          </w:tcPr>
          <w:p w14:paraId="2819E4D4" w14:textId="77777777" w:rsidR="00D80AF5" w:rsidRDefault="00D80AF5" w:rsidP="009749E9">
            <w:pPr>
              <w:jc w:val="center"/>
              <w:rPr>
                <w:sz w:val="20"/>
                <w:szCs w:val="20"/>
              </w:rPr>
            </w:pPr>
            <w:r>
              <w:rPr>
                <w:rFonts w:eastAsia="Times New Roman"/>
                <w:sz w:val="18"/>
                <w:szCs w:val="18"/>
              </w:rPr>
              <w:t>200.7</w:t>
            </w:r>
          </w:p>
        </w:tc>
        <w:tc>
          <w:tcPr>
            <w:tcW w:w="1382" w:type="dxa"/>
            <w:gridSpan w:val="2"/>
            <w:vAlign w:val="center"/>
          </w:tcPr>
          <w:p w14:paraId="2819E4D7" w14:textId="77777777" w:rsidR="00D80AF5" w:rsidRDefault="00D80AF5" w:rsidP="009749E9">
            <w:pPr>
              <w:jc w:val="center"/>
              <w:rPr>
                <w:sz w:val="24"/>
                <w:szCs w:val="24"/>
              </w:rPr>
            </w:pPr>
          </w:p>
        </w:tc>
        <w:tc>
          <w:tcPr>
            <w:tcW w:w="1960" w:type="dxa"/>
            <w:gridSpan w:val="2"/>
            <w:vAlign w:val="center"/>
          </w:tcPr>
          <w:p w14:paraId="2819E4D8" w14:textId="78353063" w:rsidR="00D80AF5" w:rsidRDefault="00D80AF5" w:rsidP="009749E9">
            <w:pPr>
              <w:jc w:val="center"/>
              <w:rPr>
                <w:sz w:val="20"/>
                <w:szCs w:val="20"/>
              </w:rPr>
            </w:pPr>
            <w:r>
              <w:rPr>
                <w:rFonts w:eastAsia="Times New Roman"/>
                <w:sz w:val="18"/>
                <w:szCs w:val="18"/>
              </w:rPr>
              <w:t>3120</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4D9" w14:textId="77777777" w:rsidR="00D80AF5" w:rsidRDefault="00D80AF5" w:rsidP="009749E9">
            <w:pPr>
              <w:jc w:val="center"/>
              <w:rPr>
                <w:sz w:val="20"/>
                <w:szCs w:val="20"/>
              </w:rPr>
            </w:pPr>
            <w:r>
              <w:rPr>
                <w:rFonts w:eastAsia="Times New Roman"/>
                <w:sz w:val="18"/>
                <w:szCs w:val="18"/>
              </w:rPr>
              <w:t>3120 B-99</w:t>
            </w:r>
          </w:p>
        </w:tc>
        <w:tc>
          <w:tcPr>
            <w:tcW w:w="1040" w:type="dxa"/>
            <w:gridSpan w:val="2"/>
            <w:vAlign w:val="center"/>
          </w:tcPr>
          <w:p w14:paraId="2819E4DC" w14:textId="77777777" w:rsidR="00D80AF5" w:rsidRDefault="00D80AF5" w:rsidP="009749E9">
            <w:pPr>
              <w:jc w:val="center"/>
              <w:rPr>
                <w:sz w:val="24"/>
                <w:szCs w:val="24"/>
              </w:rPr>
            </w:pPr>
          </w:p>
        </w:tc>
        <w:tc>
          <w:tcPr>
            <w:tcW w:w="719" w:type="dxa"/>
            <w:gridSpan w:val="2"/>
            <w:vAlign w:val="center"/>
          </w:tcPr>
          <w:p w14:paraId="2819E4DF" w14:textId="77777777" w:rsidR="00D80AF5" w:rsidRDefault="00D80AF5" w:rsidP="009749E9">
            <w:pPr>
              <w:jc w:val="center"/>
              <w:rPr>
                <w:sz w:val="24"/>
                <w:szCs w:val="24"/>
              </w:rPr>
            </w:pPr>
          </w:p>
        </w:tc>
      </w:tr>
      <w:tr w:rsidR="00014E23" w14:paraId="2819E4EF" w14:textId="77777777" w:rsidTr="000112F7">
        <w:trPr>
          <w:trHeight w:val="290"/>
        </w:trPr>
        <w:tc>
          <w:tcPr>
            <w:tcW w:w="1148" w:type="dxa"/>
            <w:vAlign w:val="bottom"/>
          </w:tcPr>
          <w:p w14:paraId="2819E4E1" w14:textId="77777777" w:rsidR="00014E23" w:rsidRDefault="00014E23">
            <w:pPr>
              <w:rPr>
                <w:sz w:val="20"/>
                <w:szCs w:val="20"/>
              </w:rPr>
            </w:pPr>
            <w:r>
              <w:rPr>
                <w:rFonts w:eastAsia="Times New Roman"/>
                <w:sz w:val="18"/>
                <w:szCs w:val="18"/>
              </w:rPr>
              <w:t>Alkalinity</w:t>
            </w:r>
          </w:p>
        </w:tc>
        <w:tc>
          <w:tcPr>
            <w:tcW w:w="2454" w:type="dxa"/>
            <w:vAlign w:val="bottom"/>
          </w:tcPr>
          <w:p w14:paraId="2819E4E2" w14:textId="77777777" w:rsidR="00014E23" w:rsidRDefault="00014E23">
            <w:pPr>
              <w:ind w:left="180"/>
              <w:rPr>
                <w:sz w:val="20"/>
                <w:szCs w:val="20"/>
              </w:rPr>
            </w:pPr>
            <w:r>
              <w:rPr>
                <w:rFonts w:eastAsia="Times New Roman"/>
                <w:sz w:val="18"/>
                <w:szCs w:val="18"/>
              </w:rPr>
              <w:t>Titrimetric</w:t>
            </w:r>
          </w:p>
        </w:tc>
        <w:tc>
          <w:tcPr>
            <w:tcW w:w="700" w:type="dxa"/>
            <w:vAlign w:val="center"/>
          </w:tcPr>
          <w:p w14:paraId="2819E4E5" w14:textId="77777777" w:rsidR="00014E23" w:rsidRDefault="00014E23" w:rsidP="00014E23">
            <w:pPr>
              <w:jc w:val="center"/>
              <w:rPr>
                <w:sz w:val="24"/>
                <w:szCs w:val="24"/>
              </w:rPr>
            </w:pPr>
          </w:p>
        </w:tc>
        <w:tc>
          <w:tcPr>
            <w:tcW w:w="1382" w:type="dxa"/>
            <w:gridSpan w:val="2"/>
            <w:vAlign w:val="center"/>
          </w:tcPr>
          <w:p w14:paraId="2819E4E6" w14:textId="3CC63E78" w:rsidR="00014E23" w:rsidRDefault="00014E23" w:rsidP="00014E23">
            <w:pPr>
              <w:jc w:val="center"/>
              <w:rPr>
                <w:sz w:val="20"/>
                <w:szCs w:val="20"/>
              </w:rPr>
            </w:pPr>
            <w:r>
              <w:rPr>
                <w:rFonts w:eastAsia="Times New Roman"/>
                <w:sz w:val="18"/>
                <w:szCs w:val="18"/>
              </w:rPr>
              <w:t>D1067-</w:t>
            </w:r>
            <w:r w:rsidR="00DD5CF7">
              <w:rPr>
                <w:rFonts w:eastAsia="Times New Roman"/>
                <w:sz w:val="18"/>
                <w:szCs w:val="18"/>
              </w:rPr>
              <w:t>92</w:t>
            </w:r>
            <w:r w:rsidR="005561E3">
              <w:rPr>
                <w:rFonts w:eastAsia="Times New Roman"/>
                <w:sz w:val="18"/>
                <w:szCs w:val="18"/>
              </w:rPr>
              <w:t xml:space="preserve">, </w:t>
            </w:r>
            <w:r>
              <w:rPr>
                <w:rFonts w:eastAsia="Times New Roman"/>
                <w:sz w:val="18"/>
                <w:szCs w:val="18"/>
              </w:rPr>
              <w:t>02 B</w:t>
            </w:r>
          </w:p>
        </w:tc>
        <w:tc>
          <w:tcPr>
            <w:tcW w:w="1960" w:type="dxa"/>
            <w:gridSpan w:val="2"/>
            <w:vAlign w:val="center"/>
          </w:tcPr>
          <w:p w14:paraId="2819E4E7" w14:textId="1C575F55" w:rsidR="00014E23" w:rsidRDefault="00014E23" w:rsidP="005561E3">
            <w:pPr>
              <w:jc w:val="center"/>
              <w:rPr>
                <w:sz w:val="20"/>
                <w:szCs w:val="20"/>
              </w:rPr>
            </w:pPr>
            <w:r>
              <w:rPr>
                <w:rFonts w:eastAsia="Times New Roman"/>
                <w:sz w:val="18"/>
                <w:szCs w:val="18"/>
              </w:rPr>
              <w:t>2320</w:t>
            </w:r>
            <w:r w:rsidR="005561E3">
              <w:rPr>
                <w:rFonts w:eastAsia="Times New Roman"/>
                <w:sz w:val="18"/>
                <w:szCs w:val="18"/>
              </w:rPr>
              <w:t xml:space="preserve"> </w:t>
            </w:r>
            <w:r>
              <w:rPr>
                <w:rFonts w:eastAsia="Times New Roman"/>
                <w:sz w:val="18"/>
                <w:szCs w:val="18"/>
              </w:rPr>
              <w:t>B</w:t>
            </w:r>
          </w:p>
        </w:tc>
        <w:tc>
          <w:tcPr>
            <w:tcW w:w="1419" w:type="dxa"/>
            <w:gridSpan w:val="2"/>
            <w:vAlign w:val="center"/>
          </w:tcPr>
          <w:p w14:paraId="2819E4E8" w14:textId="77777777" w:rsidR="00014E23" w:rsidRDefault="00014E23" w:rsidP="00014E23">
            <w:pPr>
              <w:jc w:val="center"/>
              <w:rPr>
                <w:sz w:val="20"/>
                <w:szCs w:val="20"/>
              </w:rPr>
            </w:pPr>
            <w:r>
              <w:rPr>
                <w:rFonts w:eastAsia="Times New Roman"/>
                <w:sz w:val="18"/>
                <w:szCs w:val="18"/>
              </w:rPr>
              <w:t>2320 B-97</w:t>
            </w:r>
          </w:p>
        </w:tc>
        <w:tc>
          <w:tcPr>
            <w:tcW w:w="1040" w:type="dxa"/>
            <w:gridSpan w:val="2"/>
            <w:vAlign w:val="center"/>
          </w:tcPr>
          <w:p w14:paraId="2819E4EB" w14:textId="77777777" w:rsidR="00014E23" w:rsidRDefault="00014E23" w:rsidP="00014E23">
            <w:pPr>
              <w:jc w:val="center"/>
              <w:rPr>
                <w:sz w:val="24"/>
                <w:szCs w:val="24"/>
              </w:rPr>
            </w:pPr>
          </w:p>
        </w:tc>
        <w:tc>
          <w:tcPr>
            <w:tcW w:w="719" w:type="dxa"/>
            <w:gridSpan w:val="2"/>
            <w:vAlign w:val="center"/>
          </w:tcPr>
          <w:p w14:paraId="2819E4EE" w14:textId="77777777" w:rsidR="00014E23" w:rsidRDefault="00014E23" w:rsidP="00014E23">
            <w:pPr>
              <w:jc w:val="center"/>
              <w:rPr>
                <w:sz w:val="24"/>
                <w:szCs w:val="24"/>
              </w:rPr>
            </w:pPr>
          </w:p>
        </w:tc>
      </w:tr>
      <w:tr w:rsidR="00014E23" w14:paraId="2819E501" w14:textId="77777777" w:rsidTr="000112F7">
        <w:trPr>
          <w:trHeight w:val="293"/>
        </w:trPr>
        <w:tc>
          <w:tcPr>
            <w:tcW w:w="1148" w:type="dxa"/>
            <w:vAlign w:val="bottom"/>
          </w:tcPr>
          <w:p w14:paraId="2819E4F1" w14:textId="77777777" w:rsidR="00014E23" w:rsidRDefault="00014E23">
            <w:pPr>
              <w:rPr>
                <w:sz w:val="24"/>
                <w:szCs w:val="24"/>
              </w:rPr>
            </w:pPr>
          </w:p>
        </w:tc>
        <w:tc>
          <w:tcPr>
            <w:tcW w:w="2454" w:type="dxa"/>
            <w:vAlign w:val="bottom"/>
          </w:tcPr>
          <w:p w14:paraId="2819E4F2" w14:textId="77777777" w:rsidR="00014E23" w:rsidRDefault="00014E23">
            <w:pPr>
              <w:ind w:left="180"/>
              <w:rPr>
                <w:sz w:val="20"/>
                <w:szCs w:val="20"/>
              </w:rPr>
            </w:pPr>
            <w:r>
              <w:rPr>
                <w:rFonts w:eastAsia="Times New Roman"/>
                <w:sz w:val="18"/>
                <w:szCs w:val="18"/>
              </w:rPr>
              <w:t>Electrometric titration</w:t>
            </w:r>
          </w:p>
        </w:tc>
        <w:tc>
          <w:tcPr>
            <w:tcW w:w="700" w:type="dxa"/>
            <w:vAlign w:val="center"/>
          </w:tcPr>
          <w:p w14:paraId="2819E4F5" w14:textId="77777777" w:rsidR="00014E23" w:rsidRDefault="00014E23" w:rsidP="00014E23">
            <w:pPr>
              <w:jc w:val="center"/>
              <w:rPr>
                <w:sz w:val="24"/>
                <w:szCs w:val="24"/>
              </w:rPr>
            </w:pPr>
          </w:p>
        </w:tc>
        <w:tc>
          <w:tcPr>
            <w:tcW w:w="1382" w:type="dxa"/>
            <w:gridSpan w:val="2"/>
            <w:vAlign w:val="center"/>
          </w:tcPr>
          <w:p w14:paraId="2819E4F8" w14:textId="77777777" w:rsidR="00014E23" w:rsidRDefault="00014E23" w:rsidP="00014E23">
            <w:pPr>
              <w:jc w:val="center"/>
              <w:rPr>
                <w:sz w:val="24"/>
                <w:szCs w:val="24"/>
              </w:rPr>
            </w:pPr>
          </w:p>
        </w:tc>
        <w:tc>
          <w:tcPr>
            <w:tcW w:w="1960" w:type="dxa"/>
            <w:gridSpan w:val="2"/>
            <w:vAlign w:val="center"/>
          </w:tcPr>
          <w:p w14:paraId="2819E4FB" w14:textId="77777777" w:rsidR="00014E23" w:rsidRDefault="00014E23" w:rsidP="00014E23">
            <w:pPr>
              <w:jc w:val="center"/>
              <w:rPr>
                <w:sz w:val="24"/>
                <w:szCs w:val="24"/>
              </w:rPr>
            </w:pPr>
          </w:p>
        </w:tc>
        <w:tc>
          <w:tcPr>
            <w:tcW w:w="1419" w:type="dxa"/>
            <w:gridSpan w:val="2"/>
            <w:vAlign w:val="center"/>
          </w:tcPr>
          <w:p w14:paraId="2819E4FC" w14:textId="77777777" w:rsidR="00014E23" w:rsidRDefault="00014E23" w:rsidP="00014E23">
            <w:pPr>
              <w:jc w:val="center"/>
              <w:rPr>
                <w:sz w:val="24"/>
                <w:szCs w:val="24"/>
              </w:rPr>
            </w:pPr>
          </w:p>
        </w:tc>
        <w:tc>
          <w:tcPr>
            <w:tcW w:w="1040" w:type="dxa"/>
            <w:gridSpan w:val="2"/>
            <w:vAlign w:val="center"/>
          </w:tcPr>
          <w:p w14:paraId="2819E4FD" w14:textId="77777777" w:rsidR="00014E23" w:rsidRDefault="00014E23" w:rsidP="00014E23">
            <w:pPr>
              <w:jc w:val="center"/>
              <w:rPr>
                <w:sz w:val="20"/>
                <w:szCs w:val="20"/>
              </w:rPr>
            </w:pPr>
            <w:r>
              <w:rPr>
                <w:rFonts w:eastAsia="Times New Roman"/>
                <w:sz w:val="18"/>
                <w:szCs w:val="18"/>
              </w:rPr>
              <w:t>I-1030-85</w:t>
            </w:r>
          </w:p>
        </w:tc>
        <w:tc>
          <w:tcPr>
            <w:tcW w:w="719" w:type="dxa"/>
            <w:gridSpan w:val="2"/>
            <w:vAlign w:val="center"/>
          </w:tcPr>
          <w:p w14:paraId="2819E500" w14:textId="77777777" w:rsidR="00014E23" w:rsidRDefault="00014E23" w:rsidP="00014E23">
            <w:pPr>
              <w:jc w:val="center"/>
              <w:rPr>
                <w:sz w:val="24"/>
                <w:szCs w:val="24"/>
              </w:rPr>
            </w:pPr>
          </w:p>
        </w:tc>
      </w:tr>
      <w:tr w:rsidR="00FA28D6" w14:paraId="2819E510" w14:textId="77777777" w:rsidTr="000112F7">
        <w:trPr>
          <w:trHeight w:val="290"/>
        </w:trPr>
        <w:tc>
          <w:tcPr>
            <w:tcW w:w="1148" w:type="dxa"/>
            <w:vMerge w:val="restart"/>
          </w:tcPr>
          <w:p w14:paraId="2819E502" w14:textId="13ACCE36" w:rsidR="00FA28D6" w:rsidRDefault="00FA28D6" w:rsidP="0095350C">
            <w:pPr>
              <w:rPr>
                <w:sz w:val="20"/>
                <w:szCs w:val="20"/>
              </w:rPr>
            </w:pPr>
            <w:r>
              <w:rPr>
                <w:rFonts w:eastAsia="Times New Roman"/>
                <w:sz w:val="18"/>
                <w:szCs w:val="18"/>
              </w:rPr>
              <w:t>Ortho- phosphate,</w:t>
            </w:r>
            <w:r w:rsidR="0095350C">
              <w:rPr>
                <w:rFonts w:eastAsia="Times New Roman"/>
                <w:sz w:val="18"/>
                <w:szCs w:val="18"/>
              </w:rPr>
              <w:t xml:space="preserve"> </w:t>
            </w:r>
            <w:r>
              <w:rPr>
                <w:rFonts w:eastAsia="Times New Roman"/>
                <w:sz w:val="18"/>
                <w:szCs w:val="18"/>
              </w:rPr>
              <w:t>unfiltered, no</w:t>
            </w:r>
            <w:r w:rsidR="0095350C">
              <w:rPr>
                <w:rFonts w:eastAsia="Times New Roman"/>
                <w:sz w:val="18"/>
                <w:szCs w:val="18"/>
              </w:rPr>
              <w:t xml:space="preserve"> </w:t>
            </w:r>
            <w:r>
              <w:rPr>
                <w:rFonts w:eastAsia="Times New Roman"/>
                <w:sz w:val="18"/>
                <w:szCs w:val="18"/>
              </w:rPr>
              <w:t>digestion or</w:t>
            </w:r>
            <w:r w:rsidR="0095350C">
              <w:rPr>
                <w:rFonts w:eastAsia="Times New Roman"/>
                <w:sz w:val="18"/>
                <w:szCs w:val="18"/>
              </w:rPr>
              <w:t xml:space="preserve"> </w:t>
            </w:r>
            <w:r>
              <w:rPr>
                <w:rFonts w:eastAsia="Times New Roman"/>
                <w:sz w:val="18"/>
                <w:szCs w:val="18"/>
              </w:rPr>
              <w:t>hydrolysis</w:t>
            </w:r>
          </w:p>
        </w:tc>
        <w:tc>
          <w:tcPr>
            <w:tcW w:w="2454" w:type="dxa"/>
            <w:vAlign w:val="bottom"/>
          </w:tcPr>
          <w:p w14:paraId="2819E503" w14:textId="4826AA2D" w:rsidR="00FA28D6" w:rsidRDefault="00FA28D6">
            <w:pPr>
              <w:ind w:left="180"/>
              <w:rPr>
                <w:sz w:val="20"/>
                <w:szCs w:val="20"/>
              </w:rPr>
            </w:pPr>
            <w:r>
              <w:rPr>
                <w:rFonts w:eastAsia="Times New Roman"/>
                <w:sz w:val="18"/>
                <w:szCs w:val="18"/>
              </w:rPr>
              <w:t>Colorimetric, automated, ascorbic acid</w:t>
            </w:r>
          </w:p>
        </w:tc>
        <w:tc>
          <w:tcPr>
            <w:tcW w:w="700" w:type="dxa"/>
            <w:vAlign w:val="center"/>
          </w:tcPr>
          <w:p w14:paraId="2819E504" w14:textId="6DCE4E61" w:rsidR="00FA28D6" w:rsidRDefault="00FA28D6" w:rsidP="009749E9">
            <w:pPr>
              <w:jc w:val="center"/>
              <w:rPr>
                <w:sz w:val="20"/>
                <w:szCs w:val="20"/>
              </w:rPr>
            </w:pPr>
            <w:r>
              <w:rPr>
                <w:rFonts w:eastAsia="Times New Roman"/>
                <w:sz w:val="18"/>
                <w:szCs w:val="18"/>
              </w:rPr>
              <w:t>365.1</w:t>
            </w:r>
          </w:p>
        </w:tc>
        <w:tc>
          <w:tcPr>
            <w:tcW w:w="1382" w:type="dxa"/>
            <w:gridSpan w:val="2"/>
            <w:vAlign w:val="center"/>
          </w:tcPr>
          <w:p w14:paraId="2819E507" w14:textId="77777777" w:rsidR="00FA28D6" w:rsidRDefault="00FA28D6" w:rsidP="009749E9">
            <w:pPr>
              <w:jc w:val="center"/>
              <w:rPr>
                <w:sz w:val="24"/>
                <w:szCs w:val="24"/>
              </w:rPr>
            </w:pPr>
          </w:p>
        </w:tc>
        <w:tc>
          <w:tcPr>
            <w:tcW w:w="1960" w:type="dxa"/>
            <w:gridSpan w:val="2"/>
            <w:vAlign w:val="center"/>
          </w:tcPr>
          <w:p w14:paraId="2819E508" w14:textId="77777777" w:rsidR="00FA28D6" w:rsidRDefault="00FA28D6" w:rsidP="009749E9">
            <w:pPr>
              <w:jc w:val="center"/>
              <w:rPr>
                <w:sz w:val="20"/>
                <w:szCs w:val="20"/>
              </w:rPr>
            </w:pPr>
            <w:r>
              <w:rPr>
                <w:rFonts w:eastAsia="Times New Roman"/>
                <w:sz w:val="18"/>
                <w:szCs w:val="18"/>
              </w:rPr>
              <w:t>4500-P-F</w:t>
            </w:r>
          </w:p>
        </w:tc>
        <w:tc>
          <w:tcPr>
            <w:tcW w:w="1419" w:type="dxa"/>
            <w:gridSpan w:val="2"/>
            <w:vAlign w:val="center"/>
          </w:tcPr>
          <w:p w14:paraId="2819E509" w14:textId="77777777" w:rsidR="00FA28D6" w:rsidRDefault="00FA28D6" w:rsidP="009749E9">
            <w:pPr>
              <w:jc w:val="center"/>
              <w:rPr>
                <w:sz w:val="24"/>
                <w:szCs w:val="24"/>
              </w:rPr>
            </w:pPr>
          </w:p>
        </w:tc>
        <w:tc>
          <w:tcPr>
            <w:tcW w:w="1040" w:type="dxa"/>
            <w:gridSpan w:val="2"/>
            <w:vAlign w:val="center"/>
          </w:tcPr>
          <w:p w14:paraId="2819E50C" w14:textId="77777777" w:rsidR="00FA28D6" w:rsidRDefault="00FA28D6" w:rsidP="009749E9">
            <w:pPr>
              <w:jc w:val="center"/>
              <w:rPr>
                <w:sz w:val="24"/>
                <w:szCs w:val="24"/>
              </w:rPr>
            </w:pPr>
          </w:p>
        </w:tc>
        <w:tc>
          <w:tcPr>
            <w:tcW w:w="719" w:type="dxa"/>
            <w:gridSpan w:val="2"/>
            <w:vAlign w:val="center"/>
          </w:tcPr>
          <w:p w14:paraId="2819E50F" w14:textId="77777777" w:rsidR="00FA28D6" w:rsidRDefault="00FA28D6" w:rsidP="009749E9">
            <w:pPr>
              <w:jc w:val="center"/>
              <w:rPr>
                <w:sz w:val="24"/>
                <w:szCs w:val="24"/>
              </w:rPr>
            </w:pPr>
          </w:p>
        </w:tc>
      </w:tr>
      <w:tr w:rsidR="00FA28D6" w14:paraId="2819E572" w14:textId="77777777" w:rsidTr="000112F7">
        <w:trPr>
          <w:trHeight w:val="293"/>
        </w:trPr>
        <w:tc>
          <w:tcPr>
            <w:tcW w:w="1148" w:type="dxa"/>
            <w:vMerge/>
            <w:vAlign w:val="bottom"/>
          </w:tcPr>
          <w:p w14:paraId="2819E564" w14:textId="77777777" w:rsidR="00FA28D6" w:rsidRDefault="00FA28D6">
            <w:pPr>
              <w:rPr>
                <w:sz w:val="24"/>
                <w:szCs w:val="24"/>
              </w:rPr>
            </w:pPr>
          </w:p>
        </w:tc>
        <w:tc>
          <w:tcPr>
            <w:tcW w:w="2454" w:type="dxa"/>
            <w:vAlign w:val="bottom"/>
          </w:tcPr>
          <w:p w14:paraId="2819E565" w14:textId="5A31C165" w:rsidR="00FA28D6" w:rsidRDefault="00FA28D6">
            <w:pPr>
              <w:ind w:left="180"/>
              <w:rPr>
                <w:sz w:val="20"/>
                <w:szCs w:val="20"/>
              </w:rPr>
            </w:pPr>
            <w:r>
              <w:rPr>
                <w:rFonts w:eastAsia="Times New Roman"/>
                <w:sz w:val="18"/>
                <w:szCs w:val="18"/>
              </w:rPr>
              <w:t>Colorimetric, ascorbic acid, single reagent</w:t>
            </w:r>
          </w:p>
        </w:tc>
        <w:tc>
          <w:tcPr>
            <w:tcW w:w="700" w:type="dxa"/>
            <w:vAlign w:val="center"/>
          </w:tcPr>
          <w:p w14:paraId="2819E568" w14:textId="77777777" w:rsidR="00FA28D6" w:rsidRDefault="00FA28D6" w:rsidP="009749E9">
            <w:pPr>
              <w:jc w:val="center"/>
              <w:rPr>
                <w:sz w:val="24"/>
                <w:szCs w:val="24"/>
              </w:rPr>
            </w:pPr>
          </w:p>
        </w:tc>
        <w:tc>
          <w:tcPr>
            <w:tcW w:w="1382" w:type="dxa"/>
            <w:gridSpan w:val="2"/>
            <w:vAlign w:val="center"/>
          </w:tcPr>
          <w:p w14:paraId="2819E569" w14:textId="48A16303" w:rsidR="00FA28D6" w:rsidRDefault="00FA28D6" w:rsidP="009749E9">
            <w:pPr>
              <w:jc w:val="center"/>
              <w:rPr>
                <w:sz w:val="20"/>
                <w:szCs w:val="20"/>
              </w:rPr>
            </w:pPr>
            <w:r>
              <w:rPr>
                <w:rFonts w:eastAsia="Times New Roman"/>
                <w:sz w:val="18"/>
                <w:szCs w:val="18"/>
              </w:rPr>
              <w:t>D515-88</w:t>
            </w:r>
            <w:r w:rsidR="00D532EF">
              <w:rPr>
                <w:rFonts w:eastAsia="Times New Roman"/>
                <w:sz w:val="18"/>
                <w:szCs w:val="18"/>
              </w:rPr>
              <w:t xml:space="preserve"> </w:t>
            </w:r>
            <w:r>
              <w:rPr>
                <w:rFonts w:eastAsia="Times New Roman"/>
                <w:sz w:val="18"/>
                <w:szCs w:val="18"/>
              </w:rPr>
              <w:t>A</w:t>
            </w:r>
          </w:p>
        </w:tc>
        <w:tc>
          <w:tcPr>
            <w:tcW w:w="1960" w:type="dxa"/>
            <w:gridSpan w:val="2"/>
            <w:vAlign w:val="center"/>
          </w:tcPr>
          <w:p w14:paraId="2819E56A" w14:textId="77777777" w:rsidR="00FA28D6" w:rsidRDefault="00FA28D6" w:rsidP="009749E9">
            <w:pPr>
              <w:jc w:val="center"/>
              <w:rPr>
                <w:sz w:val="20"/>
                <w:szCs w:val="20"/>
              </w:rPr>
            </w:pPr>
            <w:r>
              <w:rPr>
                <w:rFonts w:eastAsia="Times New Roman"/>
                <w:sz w:val="18"/>
                <w:szCs w:val="18"/>
              </w:rPr>
              <w:t>4500-P-E</w:t>
            </w:r>
          </w:p>
        </w:tc>
        <w:tc>
          <w:tcPr>
            <w:tcW w:w="1419" w:type="dxa"/>
            <w:gridSpan w:val="2"/>
            <w:vAlign w:val="center"/>
          </w:tcPr>
          <w:p w14:paraId="2819E56B" w14:textId="77777777" w:rsidR="00FA28D6" w:rsidRDefault="00FA28D6" w:rsidP="009749E9">
            <w:pPr>
              <w:jc w:val="center"/>
              <w:rPr>
                <w:sz w:val="24"/>
                <w:szCs w:val="24"/>
              </w:rPr>
            </w:pPr>
          </w:p>
        </w:tc>
        <w:tc>
          <w:tcPr>
            <w:tcW w:w="1040" w:type="dxa"/>
            <w:gridSpan w:val="2"/>
            <w:vAlign w:val="center"/>
          </w:tcPr>
          <w:p w14:paraId="2819E56E" w14:textId="77777777" w:rsidR="00FA28D6" w:rsidRDefault="00FA28D6" w:rsidP="009749E9">
            <w:pPr>
              <w:jc w:val="center"/>
              <w:rPr>
                <w:sz w:val="24"/>
                <w:szCs w:val="24"/>
              </w:rPr>
            </w:pPr>
          </w:p>
        </w:tc>
        <w:tc>
          <w:tcPr>
            <w:tcW w:w="719" w:type="dxa"/>
            <w:gridSpan w:val="2"/>
            <w:vAlign w:val="center"/>
          </w:tcPr>
          <w:p w14:paraId="2819E571" w14:textId="77777777" w:rsidR="00FA28D6" w:rsidRDefault="00FA28D6" w:rsidP="009749E9">
            <w:pPr>
              <w:jc w:val="center"/>
              <w:rPr>
                <w:sz w:val="24"/>
                <w:szCs w:val="24"/>
              </w:rPr>
            </w:pPr>
          </w:p>
        </w:tc>
      </w:tr>
      <w:tr w:rsidR="00FA28D6" w14:paraId="2819E59A" w14:textId="77777777" w:rsidTr="000112F7">
        <w:trPr>
          <w:trHeight w:val="281"/>
        </w:trPr>
        <w:tc>
          <w:tcPr>
            <w:tcW w:w="1148" w:type="dxa"/>
            <w:vMerge/>
            <w:vAlign w:val="bottom"/>
          </w:tcPr>
          <w:p w14:paraId="2819E588" w14:textId="77777777" w:rsidR="00FA28D6" w:rsidRDefault="00FA28D6">
            <w:pPr>
              <w:rPr>
                <w:sz w:val="24"/>
                <w:szCs w:val="24"/>
              </w:rPr>
            </w:pPr>
          </w:p>
        </w:tc>
        <w:tc>
          <w:tcPr>
            <w:tcW w:w="2454" w:type="dxa"/>
            <w:vAlign w:val="bottom"/>
          </w:tcPr>
          <w:p w14:paraId="2819E589" w14:textId="2231274E" w:rsidR="00FA28D6" w:rsidRDefault="00FA28D6">
            <w:pPr>
              <w:ind w:left="180"/>
              <w:rPr>
                <w:sz w:val="20"/>
                <w:szCs w:val="20"/>
              </w:rPr>
            </w:pPr>
            <w:r>
              <w:rPr>
                <w:rFonts w:eastAsia="Times New Roman"/>
                <w:sz w:val="18"/>
                <w:szCs w:val="18"/>
              </w:rPr>
              <w:t>Colorimetric, phosphomolybdate; automated-segmented flow; automated discrete</w:t>
            </w:r>
          </w:p>
        </w:tc>
        <w:tc>
          <w:tcPr>
            <w:tcW w:w="700" w:type="dxa"/>
            <w:vAlign w:val="center"/>
          </w:tcPr>
          <w:p w14:paraId="2819E58C" w14:textId="77777777" w:rsidR="00FA28D6" w:rsidRDefault="00FA28D6" w:rsidP="009749E9">
            <w:pPr>
              <w:jc w:val="center"/>
              <w:rPr>
                <w:sz w:val="24"/>
                <w:szCs w:val="24"/>
              </w:rPr>
            </w:pPr>
          </w:p>
        </w:tc>
        <w:tc>
          <w:tcPr>
            <w:tcW w:w="1382" w:type="dxa"/>
            <w:gridSpan w:val="2"/>
            <w:vAlign w:val="center"/>
          </w:tcPr>
          <w:p w14:paraId="2819E58F" w14:textId="77777777" w:rsidR="00FA28D6" w:rsidRDefault="00FA28D6" w:rsidP="009749E9">
            <w:pPr>
              <w:jc w:val="center"/>
              <w:rPr>
                <w:sz w:val="24"/>
                <w:szCs w:val="24"/>
              </w:rPr>
            </w:pPr>
          </w:p>
        </w:tc>
        <w:tc>
          <w:tcPr>
            <w:tcW w:w="1960" w:type="dxa"/>
            <w:gridSpan w:val="2"/>
            <w:vAlign w:val="center"/>
          </w:tcPr>
          <w:p w14:paraId="2819E592" w14:textId="77777777" w:rsidR="00FA28D6" w:rsidRDefault="00FA28D6" w:rsidP="009749E9">
            <w:pPr>
              <w:jc w:val="center"/>
              <w:rPr>
                <w:sz w:val="24"/>
                <w:szCs w:val="24"/>
              </w:rPr>
            </w:pPr>
          </w:p>
        </w:tc>
        <w:tc>
          <w:tcPr>
            <w:tcW w:w="1419" w:type="dxa"/>
            <w:gridSpan w:val="2"/>
            <w:vAlign w:val="center"/>
          </w:tcPr>
          <w:p w14:paraId="2819E593" w14:textId="77777777" w:rsidR="00FA28D6" w:rsidRDefault="00FA28D6" w:rsidP="009749E9">
            <w:pPr>
              <w:jc w:val="center"/>
              <w:rPr>
                <w:sz w:val="24"/>
                <w:szCs w:val="24"/>
              </w:rPr>
            </w:pPr>
          </w:p>
        </w:tc>
        <w:tc>
          <w:tcPr>
            <w:tcW w:w="1040" w:type="dxa"/>
            <w:gridSpan w:val="2"/>
            <w:vAlign w:val="center"/>
          </w:tcPr>
          <w:p w14:paraId="31CD3E51" w14:textId="130ABCD2" w:rsidR="00FA28D6" w:rsidRDefault="00FA28D6" w:rsidP="009749E9">
            <w:pPr>
              <w:jc w:val="center"/>
              <w:rPr>
                <w:rFonts w:eastAsia="Times New Roman"/>
                <w:sz w:val="18"/>
                <w:szCs w:val="18"/>
              </w:rPr>
            </w:pPr>
            <w:r w:rsidRPr="00655651">
              <w:rPr>
                <w:rFonts w:eastAsia="Times New Roman"/>
                <w:sz w:val="18"/>
                <w:szCs w:val="18"/>
              </w:rPr>
              <w:t>I-1601-85</w:t>
            </w:r>
          </w:p>
          <w:p w14:paraId="0726CD1C" w14:textId="6B56E061" w:rsidR="00FA28D6" w:rsidRDefault="00FA28D6" w:rsidP="009749E9">
            <w:pPr>
              <w:jc w:val="center"/>
              <w:rPr>
                <w:rFonts w:eastAsia="Times New Roman"/>
                <w:sz w:val="18"/>
                <w:szCs w:val="18"/>
              </w:rPr>
            </w:pPr>
            <w:r w:rsidRPr="00C63864">
              <w:rPr>
                <w:rFonts w:eastAsia="Times New Roman"/>
                <w:sz w:val="18"/>
                <w:szCs w:val="18"/>
              </w:rPr>
              <w:t>I-2601-90</w:t>
            </w:r>
          </w:p>
          <w:p w14:paraId="2819E596" w14:textId="27D79AD3" w:rsidR="00FA28D6" w:rsidRPr="00C63864" w:rsidRDefault="00FA28D6" w:rsidP="009749E9">
            <w:pPr>
              <w:jc w:val="center"/>
              <w:rPr>
                <w:rFonts w:eastAsia="Times New Roman"/>
                <w:sz w:val="18"/>
                <w:szCs w:val="18"/>
              </w:rPr>
            </w:pPr>
            <w:r w:rsidRPr="00655651">
              <w:rPr>
                <w:rFonts w:eastAsia="Times New Roman"/>
                <w:sz w:val="18"/>
                <w:szCs w:val="18"/>
              </w:rPr>
              <w:t>I-2598-85</w:t>
            </w:r>
          </w:p>
        </w:tc>
        <w:tc>
          <w:tcPr>
            <w:tcW w:w="719" w:type="dxa"/>
            <w:gridSpan w:val="2"/>
            <w:vAlign w:val="center"/>
          </w:tcPr>
          <w:p w14:paraId="2819E599" w14:textId="77777777" w:rsidR="00FA28D6" w:rsidRDefault="00FA28D6" w:rsidP="009749E9">
            <w:pPr>
              <w:jc w:val="center"/>
              <w:rPr>
                <w:sz w:val="24"/>
                <w:szCs w:val="24"/>
              </w:rPr>
            </w:pPr>
          </w:p>
        </w:tc>
      </w:tr>
      <w:tr w:rsidR="00C63864" w14:paraId="2819E5F3" w14:textId="77777777" w:rsidTr="000112F7">
        <w:trPr>
          <w:trHeight w:val="290"/>
        </w:trPr>
        <w:tc>
          <w:tcPr>
            <w:tcW w:w="1148" w:type="dxa"/>
            <w:vAlign w:val="bottom"/>
          </w:tcPr>
          <w:p w14:paraId="2819E5E8" w14:textId="77777777" w:rsidR="00C63864" w:rsidRDefault="00C63864">
            <w:pPr>
              <w:rPr>
                <w:sz w:val="24"/>
                <w:szCs w:val="24"/>
              </w:rPr>
            </w:pPr>
          </w:p>
        </w:tc>
        <w:tc>
          <w:tcPr>
            <w:tcW w:w="2454" w:type="dxa"/>
            <w:vAlign w:val="bottom"/>
          </w:tcPr>
          <w:p w14:paraId="2819E5E9" w14:textId="77777777" w:rsidR="00C63864" w:rsidRDefault="00C63864">
            <w:pPr>
              <w:ind w:left="180"/>
              <w:rPr>
                <w:sz w:val="20"/>
                <w:szCs w:val="20"/>
              </w:rPr>
            </w:pPr>
            <w:r>
              <w:rPr>
                <w:rFonts w:eastAsia="Times New Roman"/>
                <w:sz w:val="18"/>
                <w:szCs w:val="18"/>
              </w:rPr>
              <w:t>Ion Chromatography</w:t>
            </w:r>
          </w:p>
        </w:tc>
        <w:tc>
          <w:tcPr>
            <w:tcW w:w="706" w:type="dxa"/>
            <w:gridSpan w:val="2"/>
            <w:vAlign w:val="center"/>
          </w:tcPr>
          <w:p w14:paraId="2E80987A" w14:textId="77777777" w:rsidR="007B241D" w:rsidRDefault="00C63864" w:rsidP="009749E9">
            <w:pPr>
              <w:jc w:val="center"/>
              <w:rPr>
                <w:rFonts w:eastAsia="Times New Roman"/>
                <w:sz w:val="18"/>
                <w:szCs w:val="18"/>
                <w:vertAlign w:val="superscript"/>
              </w:rPr>
            </w:pPr>
            <w:r>
              <w:rPr>
                <w:rFonts w:eastAsia="Times New Roman"/>
                <w:sz w:val="18"/>
                <w:szCs w:val="18"/>
              </w:rPr>
              <w:t>300.0</w:t>
            </w:r>
            <w:r w:rsidRPr="00655651">
              <w:rPr>
                <w:rFonts w:eastAsia="Times New Roman"/>
                <w:sz w:val="18"/>
                <w:szCs w:val="18"/>
                <w:vertAlign w:val="superscript"/>
              </w:rPr>
              <w:t>8</w:t>
            </w:r>
          </w:p>
          <w:p w14:paraId="1A2146FA" w14:textId="6EE5B0D7" w:rsidR="00C63864" w:rsidRDefault="00C63864" w:rsidP="009749E9">
            <w:pPr>
              <w:jc w:val="center"/>
              <w:rPr>
                <w:sz w:val="20"/>
                <w:szCs w:val="20"/>
              </w:rPr>
            </w:pPr>
            <w:r>
              <w:rPr>
                <w:rFonts w:eastAsia="Times New Roman"/>
                <w:sz w:val="18"/>
                <w:szCs w:val="18"/>
              </w:rPr>
              <w:t>300.1</w:t>
            </w:r>
          </w:p>
        </w:tc>
        <w:tc>
          <w:tcPr>
            <w:tcW w:w="1382" w:type="dxa"/>
            <w:gridSpan w:val="2"/>
            <w:vAlign w:val="center"/>
          </w:tcPr>
          <w:p w14:paraId="2819E5EA" w14:textId="1FA58ED5" w:rsidR="00C63864" w:rsidRDefault="00C63864" w:rsidP="009749E9">
            <w:pPr>
              <w:jc w:val="center"/>
              <w:rPr>
                <w:sz w:val="20"/>
                <w:szCs w:val="20"/>
              </w:rPr>
            </w:pPr>
            <w:r>
              <w:rPr>
                <w:rFonts w:eastAsia="Times New Roman"/>
                <w:sz w:val="18"/>
                <w:szCs w:val="18"/>
              </w:rPr>
              <w:t>D4327-97, 03</w:t>
            </w:r>
          </w:p>
        </w:tc>
        <w:tc>
          <w:tcPr>
            <w:tcW w:w="1960" w:type="dxa"/>
            <w:gridSpan w:val="2"/>
            <w:vAlign w:val="center"/>
          </w:tcPr>
          <w:p w14:paraId="2819E5EB" w14:textId="72603697" w:rsidR="00C63864" w:rsidRDefault="00C63864" w:rsidP="009749E9">
            <w:pPr>
              <w:jc w:val="center"/>
              <w:rPr>
                <w:sz w:val="20"/>
                <w:szCs w:val="20"/>
              </w:rPr>
            </w:pPr>
            <w:r>
              <w:rPr>
                <w:rFonts w:eastAsia="Times New Roman"/>
                <w:sz w:val="18"/>
                <w:szCs w:val="18"/>
              </w:rPr>
              <w:t>4110</w:t>
            </w:r>
            <w:r w:rsidR="00D532EF">
              <w:rPr>
                <w:rFonts w:eastAsia="Times New Roman"/>
                <w:sz w:val="18"/>
                <w:szCs w:val="18"/>
              </w:rPr>
              <w:t xml:space="preserve"> </w:t>
            </w:r>
            <w:r>
              <w:rPr>
                <w:rFonts w:eastAsia="Times New Roman"/>
                <w:sz w:val="18"/>
                <w:szCs w:val="18"/>
              </w:rPr>
              <w:t>B</w:t>
            </w:r>
          </w:p>
        </w:tc>
        <w:tc>
          <w:tcPr>
            <w:tcW w:w="1419" w:type="dxa"/>
            <w:gridSpan w:val="2"/>
            <w:vAlign w:val="center"/>
          </w:tcPr>
          <w:p w14:paraId="2819E5EC" w14:textId="77777777" w:rsidR="00C63864" w:rsidRDefault="00C63864" w:rsidP="009749E9">
            <w:pPr>
              <w:jc w:val="center"/>
              <w:rPr>
                <w:sz w:val="20"/>
                <w:szCs w:val="20"/>
              </w:rPr>
            </w:pPr>
            <w:r>
              <w:rPr>
                <w:rFonts w:eastAsia="Times New Roman"/>
                <w:sz w:val="18"/>
                <w:szCs w:val="18"/>
              </w:rPr>
              <w:t>4110 B-00</w:t>
            </w:r>
          </w:p>
        </w:tc>
        <w:tc>
          <w:tcPr>
            <w:tcW w:w="1040" w:type="dxa"/>
            <w:gridSpan w:val="2"/>
            <w:vAlign w:val="center"/>
          </w:tcPr>
          <w:p w14:paraId="2819E5EF" w14:textId="77777777" w:rsidR="00C63864" w:rsidRDefault="00C63864" w:rsidP="009749E9">
            <w:pPr>
              <w:jc w:val="center"/>
              <w:rPr>
                <w:sz w:val="24"/>
                <w:szCs w:val="24"/>
              </w:rPr>
            </w:pPr>
          </w:p>
        </w:tc>
        <w:tc>
          <w:tcPr>
            <w:tcW w:w="713" w:type="dxa"/>
            <w:vAlign w:val="center"/>
          </w:tcPr>
          <w:p w14:paraId="2819E5F2" w14:textId="77777777" w:rsidR="00C63864" w:rsidRDefault="00C63864" w:rsidP="009749E9">
            <w:pPr>
              <w:jc w:val="center"/>
              <w:rPr>
                <w:sz w:val="24"/>
                <w:szCs w:val="24"/>
              </w:rPr>
            </w:pPr>
          </w:p>
        </w:tc>
      </w:tr>
      <w:tr w:rsidR="00C63864" w14:paraId="2819E603" w14:textId="77777777" w:rsidTr="000112F7">
        <w:trPr>
          <w:trHeight w:val="293"/>
        </w:trPr>
        <w:tc>
          <w:tcPr>
            <w:tcW w:w="1148" w:type="dxa"/>
            <w:vAlign w:val="bottom"/>
          </w:tcPr>
          <w:p w14:paraId="2819E5F5" w14:textId="77777777" w:rsidR="00C63864" w:rsidRDefault="00C63864">
            <w:pPr>
              <w:rPr>
                <w:sz w:val="24"/>
                <w:szCs w:val="24"/>
              </w:rPr>
            </w:pPr>
          </w:p>
        </w:tc>
        <w:tc>
          <w:tcPr>
            <w:tcW w:w="2454" w:type="dxa"/>
            <w:vAlign w:val="bottom"/>
          </w:tcPr>
          <w:p w14:paraId="2819E5F6" w14:textId="544796EF" w:rsidR="00C63864" w:rsidRDefault="00C63864">
            <w:pPr>
              <w:ind w:left="180"/>
              <w:rPr>
                <w:sz w:val="20"/>
                <w:szCs w:val="20"/>
              </w:rPr>
            </w:pPr>
            <w:r>
              <w:rPr>
                <w:rFonts w:eastAsia="Times New Roman"/>
                <w:sz w:val="18"/>
                <w:szCs w:val="18"/>
              </w:rPr>
              <w:t>Capillary Ion Electrophoresis</w:t>
            </w:r>
          </w:p>
        </w:tc>
        <w:tc>
          <w:tcPr>
            <w:tcW w:w="700" w:type="dxa"/>
            <w:vAlign w:val="center"/>
          </w:tcPr>
          <w:p w14:paraId="2819E5F7" w14:textId="7CB3757A" w:rsidR="00C63864" w:rsidRDefault="00C63864" w:rsidP="009749E9">
            <w:pPr>
              <w:jc w:val="center"/>
              <w:rPr>
                <w:sz w:val="20"/>
                <w:szCs w:val="20"/>
              </w:rPr>
            </w:pPr>
          </w:p>
        </w:tc>
        <w:tc>
          <w:tcPr>
            <w:tcW w:w="1382" w:type="dxa"/>
            <w:gridSpan w:val="2"/>
            <w:vAlign w:val="center"/>
          </w:tcPr>
          <w:p w14:paraId="2819E5F8" w14:textId="700F5474" w:rsidR="00C63864" w:rsidRDefault="00C63864" w:rsidP="009749E9">
            <w:pPr>
              <w:jc w:val="center"/>
              <w:rPr>
                <w:sz w:val="20"/>
                <w:szCs w:val="20"/>
              </w:rPr>
            </w:pPr>
            <w:r>
              <w:rPr>
                <w:rFonts w:eastAsia="Times New Roman"/>
                <w:sz w:val="18"/>
                <w:szCs w:val="18"/>
              </w:rPr>
              <w:t>D6508</w:t>
            </w:r>
            <w:r w:rsidR="00D532EF">
              <w:rPr>
                <w:rFonts w:eastAsia="Times New Roman"/>
                <w:sz w:val="18"/>
                <w:szCs w:val="18"/>
              </w:rPr>
              <w:t>-00</w:t>
            </w:r>
          </w:p>
        </w:tc>
        <w:tc>
          <w:tcPr>
            <w:tcW w:w="1960" w:type="dxa"/>
            <w:gridSpan w:val="2"/>
            <w:vAlign w:val="center"/>
          </w:tcPr>
          <w:p w14:paraId="2819E5FB" w14:textId="77777777" w:rsidR="00C63864" w:rsidRDefault="00C63864" w:rsidP="009749E9">
            <w:pPr>
              <w:jc w:val="center"/>
              <w:rPr>
                <w:sz w:val="24"/>
                <w:szCs w:val="24"/>
              </w:rPr>
            </w:pPr>
          </w:p>
        </w:tc>
        <w:tc>
          <w:tcPr>
            <w:tcW w:w="1419" w:type="dxa"/>
            <w:gridSpan w:val="2"/>
            <w:vAlign w:val="center"/>
          </w:tcPr>
          <w:p w14:paraId="2819E5FC" w14:textId="77777777" w:rsidR="00C63864" w:rsidRDefault="00C63864" w:rsidP="009749E9">
            <w:pPr>
              <w:jc w:val="center"/>
              <w:rPr>
                <w:sz w:val="24"/>
                <w:szCs w:val="24"/>
              </w:rPr>
            </w:pPr>
          </w:p>
        </w:tc>
        <w:tc>
          <w:tcPr>
            <w:tcW w:w="1040" w:type="dxa"/>
            <w:gridSpan w:val="2"/>
            <w:vAlign w:val="center"/>
          </w:tcPr>
          <w:p w14:paraId="2819E5FF" w14:textId="77777777" w:rsidR="00C63864" w:rsidRDefault="00C63864" w:rsidP="009749E9">
            <w:pPr>
              <w:jc w:val="center"/>
              <w:rPr>
                <w:sz w:val="24"/>
                <w:szCs w:val="24"/>
              </w:rPr>
            </w:pPr>
          </w:p>
        </w:tc>
        <w:tc>
          <w:tcPr>
            <w:tcW w:w="719" w:type="dxa"/>
            <w:gridSpan w:val="2"/>
            <w:vAlign w:val="center"/>
          </w:tcPr>
          <w:p w14:paraId="2819E602" w14:textId="77777777" w:rsidR="00C63864" w:rsidRDefault="00C63864" w:rsidP="009749E9">
            <w:pPr>
              <w:jc w:val="center"/>
              <w:rPr>
                <w:sz w:val="24"/>
                <w:szCs w:val="24"/>
              </w:rPr>
            </w:pPr>
          </w:p>
        </w:tc>
      </w:tr>
      <w:tr w:rsidR="00A91553" w14:paraId="2819E626" w14:textId="77777777" w:rsidTr="00CA6132">
        <w:trPr>
          <w:trHeight w:val="293"/>
        </w:trPr>
        <w:tc>
          <w:tcPr>
            <w:tcW w:w="1148" w:type="dxa"/>
            <w:vAlign w:val="bottom"/>
          </w:tcPr>
          <w:p w14:paraId="2819E616" w14:textId="77777777" w:rsidR="00A91553" w:rsidRDefault="00A91553">
            <w:pPr>
              <w:rPr>
                <w:sz w:val="20"/>
                <w:szCs w:val="20"/>
              </w:rPr>
            </w:pPr>
            <w:r>
              <w:rPr>
                <w:rFonts w:eastAsia="Times New Roman"/>
                <w:sz w:val="18"/>
                <w:szCs w:val="18"/>
              </w:rPr>
              <w:t>Silica</w:t>
            </w:r>
          </w:p>
        </w:tc>
        <w:tc>
          <w:tcPr>
            <w:tcW w:w="2454" w:type="dxa"/>
            <w:vAlign w:val="center"/>
          </w:tcPr>
          <w:p w14:paraId="2819E617" w14:textId="481BE5CB" w:rsidR="00A91553" w:rsidRDefault="00A91553" w:rsidP="00CA6132">
            <w:pPr>
              <w:ind w:left="180"/>
              <w:rPr>
                <w:sz w:val="20"/>
                <w:szCs w:val="20"/>
              </w:rPr>
            </w:pPr>
            <w:r>
              <w:rPr>
                <w:rFonts w:eastAsia="Times New Roman"/>
                <w:sz w:val="18"/>
                <w:szCs w:val="18"/>
              </w:rPr>
              <w:t>Colorimetric, molybdate blue</w:t>
            </w:r>
          </w:p>
        </w:tc>
        <w:tc>
          <w:tcPr>
            <w:tcW w:w="700" w:type="dxa"/>
            <w:vAlign w:val="center"/>
          </w:tcPr>
          <w:p w14:paraId="2819E61A" w14:textId="77777777" w:rsidR="00A91553" w:rsidRDefault="00A91553" w:rsidP="00A91553">
            <w:pPr>
              <w:jc w:val="center"/>
              <w:rPr>
                <w:sz w:val="24"/>
                <w:szCs w:val="24"/>
              </w:rPr>
            </w:pPr>
          </w:p>
        </w:tc>
        <w:tc>
          <w:tcPr>
            <w:tcW w:w="1382" w:type="dxa"/>
            <w:gridSpan w:val="2"/>
            <w:vAlign w:val="center"/>
          </w:tcPr>
          <w:p w14:paraId="2819E61D" w14:textId="77777777" w:rsidR="00A91553" w:rsidRDefault="00A91553" w:rsidP="00A91553">
            <w:pPr>
              <w:jc w:val="center"/>
              <w:rPr>
                <w:sz w:val="24"/>
                <w:szCs w:val="24"/>
              </w:rPr>
            </w:pPr>
          </w:p>
        </w:tc>
        <w:tc>
          <w:tcPr>
            <w:tcW w:w="1960" w:type="dxa"/>
            <w:gridSpan w:val="2"/>
            <w:vAlign w:val="center"/>
          </w:tcPr>
          <w:p w14:paraId="2819E620" w14:textId="77777777" w:rsidR="00A91553" w:rsidRDefault="00A91553" w:rsidP="00A91553">
            <w:pPr>
              <w:jc w:val="center"/>
              <w:rPr>
                <w:sz w:val="24"/>
                <w:szCs w:val="24"/>
              </w:rPr>
            </w:pPr>
          </w:p>
        </w:tc>
        <w:tc>
          <w:tcPr>
            <w:tcW w:w="1419" w:type="dxa"/>
            <w:gridSpan w:val="2"/>
            <w:vAlign w:val="center"/>
          </w:tcPr>
          <w:p w14:paraId="2819E621" w14:textId="77777777" w:rsidR="00A91553" w:rsidRDefault="00A91553" w:rsidP="00A91553">
            <w:pPr>
              <w:jc w:val="center"/>
              <w:rPr>
                <w:sz w:val="24"/>
                <w:szCs w:val="24"/>
              </w:rPr>
            </w:pPr>
          </w:p>
        </w:tc>
        <w:tc>
          <w:tcPr>
            <w:tcW w:w="1040" w:type="dxa"/>
            <w:gridSpan w:val="2"/>
            <w:vAlign w:val="center"/>
          </w:tcPr>
          <w:p w14:paraId="2819E622" w14:textId="77777777" w:rsidR="00A91553" w:rsidRDefault="00A91553" w:rsidP="00A91553">
            <w:pPr>
              <w:jc w:val="center"/>
              <w:rPr>
                <w:sz w:val="20"/>
                <w:szCs w:val="20"/>
              </w:rPr>
            </w:pPr>
            <w:r>
              <w:rPr>
                <w:rFonts w:eastAsia="Times New Roman"/>
                <w:sz w:val="18"/>
                <w:szCs w:val="18"/>
              </w:rPr>
              <w:t>I-1700-85</w:t>
            </w:r>
          </w:p>
        </w:tc>
        <w:tc>
          <w:tcPr>
            <w:tcW w:w="719" w:type="dxa"/>
            <w:gridSpan w:val="2"/>
            <w:vAlign w:val="center"/>
          </w:tcPr>
          <w:p w14:paraId="2819E625" w14:textId="77777777" w:rsidR="00A91553" w:rsidRDefault="00A91553" w:rsidP="00A91553">
            <w:pPr>
              <w:jc w:val="center"/>
              <w:rPr>
                <w:sz w:val="24"/>
                <w:szCs w:val="24"/>
              </w:rPr>
            </w:pPr>
          </w:p>
        </w:tc>
      </w:tr>
      <w:tr w:rsidR="00A91553" w14:paraId="2819E64C" w14:textId="77777777" w:rsidTr="00CA6132">
        <w:trPr>
          <w:trHeight w:val="293"/>
        </w:trPr>
        <w:tc>
          <w:tcPr>
            <w:tcW w:w="1148" w:type="dxa"/>
            <w:vAlign w:val="bottom"/>
          </w:tcPr>
          <w:p w14:paraId="2819E63C" w14:textId="77777777" w:rsidR="00A91553" w:rsidRDefault="00A91553">
            <w:pPr>
              <w:rPr>
                <w:sz w:val="24"/>
                <w:szCs w:val="24"/>
              </w:rPr>
            </w:pPr>
          </w:p>
        </w:tc>
        <w:tc>
          <w:tcPr>
            <w:tcW w:w="2454" w:type="dxa"/>
            <w:vAlign w:val="center"/>
          </w:tcPr>
          <w:p w14:paraId="2819E63D" w14:textId="5EDDDBEF" w:rsidR="00A91553" w:rsidRDefault="00A91553" w:rsidP="00CA6132">
            <w:pPr>
              <w:ind w:left="180"/>
              <w:rPr>
                <w:sz w:val="20"/>
                <w:szCs w:val="20"/>
              </w:rPr>
            </w:pPr>
            <w:r>
              <w:rPr>
                <w:rFonts w:eastAsia="Times New Roman"/>
                <w:sz w:val="18"/>
                <w:szCs w:val="18"/>
              </w:rPr>
              <w:t>Automated-segmented flow</w:t>
            </w:r>
          </w:p>
        </w:tc>
        <w:tc>
          <w:tcPr>
            <w:tcW w:w="700" w:type="dxa"/>
            <w:vAlign w:val="center"/>
          </w:tcPr>
          <w:p w14:paraId="2819E640" w14:textId="77777777" w:rsidR="00A91553" w:rsidRDefault="00A91553" w:rsidP="00A91553">
            <w:pPr>
              <w:jc w:val="center"/>
              <w:rPr>
                <w:sz w:val="24"/>
                <w:szCs w:val="24"/>
              </w:rPr>
            </w:pPr>
          </w:p>
        </w:tc>
        <w:tc>
          <w:tcPr>
            <w:tcW w:w="1382" w:type="dxa"/>
            <w:gridSpan w:val="2"/>
            <w:vAlign w:val="center"/>
          </w:tcPr>
          <w:p w14:paraId="2819E643" w14:textId="77777777" w:rsidR="00A91553" w:rsidRDefault="00A91553" w:rsidP="00A91553">
            <w:pPr>
              <w:jc w:val="center"/>
              <w:rPr>
                <w:sz w:val="24"/>
                <w:szCs w:val="24"/>
              </w:rPr>
            </w:pPr>
          </w:p>
        </w:tc>
        <w:tc>
          <w:tcPr>
            <w:tcW w:w="1960" w:type="dxa"/>
            <w:gridSpan w:val="2"/>
            <w:vAlign w:val="center"/>
          </w:tcPr>
          <w:p w14:paraId="2819E646" w14:textId="77777777" w:rsidR="00A91553" w:rsidRDefault="00A91553" w:rsidP="00A91553">
            <w:pPr>
              <w:jc w:val="center"/>
              <w:rPr>
                <w:sz w:val="24"/>
                <w:szCs w:val="24"/>
              </w:rPr>
            </w:pPr>
          </w:p>
        </w:tc>
        <w:tc>
          <w:tcPr>
            <w:tcW w:w="1419" w:type="dxa"/>
            <w:gridSpan w:val="2"/>
            <w:vAlign w:val="center"/>
          </w:tcPr>
          <w:p w14:paraId="2819E647" w14:textId="77777777" w:rsidR="00A91553" w:rsidRDefault="00A91553" w:rsidP="00A91553">
            <w:pPr>
              <w:jc w:val="center"/>
              <w:rPr>
                <w:sz w:val="24"/>
                <w:szCs w:val="24"/>
              </w:rPr>
            </w:pPr>
          </w:p>
        </w:tc>
        <w:tc>
          <w:tcPr>
            <w:tcW w:w="1040" w:type="dxa"/>
            <w:gridSpan w:val="2"/>
            <w:vAlign w:val="center"/>
          </w:tcPr>
          <w:p w14:paraId="2819E648" w14:textId="77777777" w:rsidR="00A91553" w:rsidRDefault="00A91553" w:rsidP="00A91553">
            <w:pPr>
              <w:jc w:val="center"/>
              <w:rPr>
                <w:sz w:val="20"/>
                <w:szCs w:val="20"/>
              </w:rPr>
            </w:pPr>
            <w:r>
              <w:rPr>
                <w:rFonts w:eastAsia="Times New Roman"/>
                <w:sz w:val="18"/>
                <w:szCs w:val="18"/>
              </w:rPr>
              <w:t>I-2700-85</w:t>
            </w:r>
          </w:p>
        </w:tc>
        <w:tc>
          <w:tcPr>
            <w:tcW w:w="719" w:type="dxa"/>
            <w:gridSpan w:val="2"/>
            <w:vAlign w:val="center"/>
          </w:tcPr>
          <w:p w14:paraId="2819E64B" w14:textId="77777777" w:rsidR="00A91553" w:rsidRDefault="00A91553" w:rsidP="00A91553">
            <w:pPr>
              <w:jc w:val="center"/>
              <w:rPr>
                <w:sz w:val="24"/>
                <w:szCs w:val="24"/>
              </w:rPr>
            </w:pPr>
          </w:p>
        </w:tc>
      </w:tr>
      <w:tr w:rsidR="00A91553" w14:paraId="2819E65C" w14:textId="77777777" w:rsidTr="00CA6132">
        <w:trPr>
          <w:trHeight w:val="316"/>
        </w:trPr>
        <w:tc>
          <w:tcPr>
            <w:tcW w:w="1148" w:type="dxa"/>
            <w:vAlign w:val="bottom"/>
          </w:tcPr>
          <w:p w14:paraId="2819E64E" w14:textId="77777777" w:rsidR="00A91553" w:rsidRDefault="00A91553">
            <w:pPr>
              <w:rPr>
                <w:sz w:val="24"/>
                <w:szCs w:val="24"/>
              </w:rPr>
            </w:pPr>
          </w:p>
        </w:tc>
        <w:tc>
          <w:tcPr>
            <w:tcW w:w="2454" w:type="dxa"/>
            <w:vAlign w:val="center"/>
          </w:tcPr>
          <w:p w14:paraId="2819E64F" w14:textId="77777777" w:rsidR="00A91553" w:rsidRDefault="00A91553" w:rsidP="00CA6132">
            <w:pPr>
              <w:ind w:left="180"/>
              <w:rPr>
                <w:sz w:val="20"/>
                <w:szCs w:val="20"/>
              </w:rPr>
            </w:pPr>
            <w:r>
              <w:rPr>
                <w:rFonts w:eastAsia="Times New Roman"/>
                <w:sz w:val="18"/>
                <w:szCs w:val="18"/>
              </w:rPr>
              <w:t>Colorimetric</w:t>
            </w:r>
          </w:p>
        </w:tc>
        <w:tc>
          <w:tcPr>
            <w:tcW w:w="700" w:type="dxa"/>
            <w:vAlign w:val="center"/>
          </w:tcPr>
          <w:p w14:paraId="2819E652" w14:textId="77777777" w:rsidR="00A91553" w:rsidRDefault="00A91553" w:rsidP="00A91553">
            <w:pPr>
              <w:jc w:val="center"/>
              <w:rPr>
                <w:sz w:val="24"/>
                <w:szCs w:val="24"/>
              </w:rPr>
            </w:pPr>
          </w:p>
        </w:tc>
        <w:tc>
          <w:tcPr>
            <w:tcW w:w="1382" w:type="dxa"/>
            <w:gridSpan w:val="2"/>
            <w:vAlign w:val="center"/>
          </w:tcPr>
          <w:p w14:paraId="2819E653" w14:textId="0D265FBB" w:rsidR="00A91553" w:rsidRDefault="00A91553" w:rsidP="00A91553">
            <w:pPr>
              <w:jc w:val="center"/>
              <w:rPr>
                <w:sz w:val="20"/>
                <w:szCs w:val="20"/>
              </w:rPr>
            </w:pPr>
            <w:r>
              <w:rPr>
                <w:rFonts w:eastAsia="Times New Roman"/>
                <w:sz w:val="18"/>
                <w:szCs w:val="18"/>
              </w:rPr>
              <w:t>D859-94, 00</w:t>
            </w:r>
          </w:p>
        </w:tc>
        <w:tc>
          <w:tcPr>
            <w:tcW w:w="1960" w:type="dxa"/>
            <w:gridSpan w:val="2"/>
            <w:vAlign w:val="center"/>
          </w:tcPr>
          <w:p w14:paraId="2819E654" w14:textId="5D647B98" w:rsidR="00A91553" w:rsidRDefault="00A91553" w:rsidP="00A91553">
            <w:pPr>
              <w:jc w:val="center"/>
              <w:rPr>
                <w:sz w:val="20"/>
                <w:szCs w:val="20"/>
              </w:rPr>
            </w:pPr>
          </w:p>
        </w:tc>
        <w:tc>
          <w:tcPr>
            <w:tcW w:w="1419" w:type="dxa"/>
            <w:gridSpan w:val="2"/>
            <w:vAlign w:val="center"/>
          </w:tcPr>
          <w:p w14:paraId="2819E655" w14:textId="371BA553" w:rsidR="00A91553" w:rsidRDefault="00A91553" w:rsidP="00A91553">
            <w:pPr>
              <w:jc w:val="center"/>
              <w:rPr>
                <w:sz w:val="20"/>
                <w:szCs w:val="20"/>
              </w:rPr>
            </w:pPr>
          </w:p>
        </w:tc>
        <w:tc>
          <w:tcPr>
            <w:tcW w:w="1040" w:type="dxa"/>
            <w:gridSpan w:val="2"/>
            <w:vAlign w:val="center"/>
          </w:tcPr>
          <w:p w14:paraId="2819E658" w14:textId="77777777" w:rsidR="00A91553" w:rsidRDefault="00A91553" w:rsidP="00A91553">
            <w:pPr>
              <w:jc w:val="center"/>
              <w:rPr>
                <w:sz w:val="24"/>
                <w:szCs w:val="24"/>
              </w:rPr>
            </w:pPr>
          </w:p>
        </w:tc>
        <w:tc>
          <w:tcPr>
            <w:tcW w:w="719" w:type="dxa"/>
            <w:gridSpan w:val="2"/>
            <w:vAlign w:val="center"/>
          </w:tcPr>
          <w:p w14:paraId="2819E65B" w14:textId="77777777" w:rsidR="00A91553" w:rsidRDefault="00A91553" w:rsidP="00A91553">
            <w:pPr>
              <w:jc w:val="center"/>
              <w:rPr>
                <w:sz w:val="24"/>
                <w:szCs w:val="24"/>
              </w:rPr>
            </w:pPr>
          </w:p>
        </w:tc>
      </w:tr>
      <w:tr w:rsidR="00A91553" w14:paraId="2819E66E" w14:textId="77777777" w:rsidTr="00CA6132">
        <w:trPr>
          <w:trHeight w:val="281"/>
        </w:trPr>
        <w:tc>
          <w:tcPr>
            <w:tcW w:w="1148" w:type="dxa"/>
            <w:vAlign w:val="bottom"/>
          </w:tcPr>
          <w:p w14:paraId="2819E65E" w14:textId="77777777" w:rsidR="00A91553" w:rsidRDefault="00A91553">
            <w:pPr>
              <w:rPr>
                <w:sz w:val="24"/>
                <w:szCs w:val="24"/>
              </w:rPr>
            </w:pPr>
          </w:p>
        </w:tc>
        <w:tc>
          <w:tcPr>
            <w:tcW w:w="2454" w:type="dxa"/>
            <w:vAlign w:val="center"/>
          </w:tcPr>
          <w:p w14:paraId="2819E65F" w14:textId="77777777" w:rsidR="00A91553" w:rsidRDefault="00A91553" w:rsidP="00CA6132">
            <w:pPr>
              <w:ind w:left="180"/>
              <w:rPr>
                <w:sz w:val="20"/>
                <w:szCs w:val="20"/>
              </w:rPr>
            </w:pPr>
            <w:r>
              <w:rPr>
                <w:rFonts w:eastAsia="Times New Roman"/>
                <w:sz w:val="18"/>
                <w:szCs w:val="18"/>
              </w:rPr>
              <w:t>Molybdosilicate</w:t>
            </w:r>
          </w:p>
        </w:tc>
        <w:tc>
          <w:tcPr>
            <w:tcW w:w="700" w:type="dxa"/>
            <w:vAlign w:val="center"/>
          </w:tcPr>
          <w:p w14:paraId="2819E662" w14:textId="77777777" w:rsidR="00A91553" w:rsidRDefault="00A91553" w:rsidP="00A91553">
            <w:pPr>
              <w:jc w:val="center"/>
              <w:rPr>
                <w:sz w:val="24"/>
                <w:szCs w:val="24"/>
              </w:rPr>
            </w:pPr>
          </w:p>
        </w:tc>
        <w:tc>
          <w:tcPr>
            <w:tcW w:w="1382" w:type="dxa"/>
            <w:gridSpan w:val="2"/>
            <w:vAlign w:val="center"/>
          </w:tcPr>
          <w:p w14:paraId="2819E665" w14:textId="77777777" w:rsidR="00A91553" w:rsidRDefault="00A91553" w:rsidP="00A91553">
            <w:pPr>
              <w:jc w:val="center"/>
              <w:rPr>
                <w:sz w:val="24"/>
                <w:szCs w:val="24"/>
              </w:rPr>
            </w:pPr>
          </w:p>
        </w:tc>
        <w:tc>
          <w:tcPr>
            <w:tcW w:w="1960" w:type="dxa"/>
            <w:gridSpan w:val="2"/>
            <w:vAlign w:val="center"/>
          </w:tcPr>
          <w:p w14:paraId="5E9197AE" w14:textId="77777777" w:rsidR="00A91553" w:rsidRDefault="00A91553" w:rsidP="00A91553">
            <w:pPr>
              <w:jc w:val="center"/>
              <w:rPr>
                <w:rFonts w:eastAsia="Times New Roman"/>
                <w:sz w:val="18"/>
                <w:szCs w:val="18"/>
              </w:rPr>
            </w:pPr>
            <w:r>
              <w:rPr>
                <w:rFonts w:eastAsia="Times New Roman"/>
                <w:sz w:val="18"/>
                <w:szCs w:val="18"/>
              </w:rPr>
              <w:t>4500-Si-D (18</w:t>
            </w:r>
            <w:r>
              <w:rPr>
                <w:rFonts w:eastAsia="Times New Roman"/>
                <w:sz w:val="24"/>
                <w:szCs w:val="24"/>
                <w:vertAlign w:val="superscript"/>
              </w:rPr>
              <w:t>th</w:t>
            </w:r>
            <w:r>
              <w:rPr>
                <w:rFonts w:eastAsia="Times New Roman"/>
                <w:sz w:val="18"/>
                <w:szCs w:val="18"/>
              </w:rPr>
              <w:t>,19</w:t>
            </w:r>
            <w:r>
              <w:rPr>
                <w:rFonts w:eastAsia="Times New Roman"/>
                <w:sz w:val="24"/>
                <w:szCs w:val="24"/>
                <w:vertAlign w:val="superscript"/>
              </w:rPr>
              <w:t>th</w:t>
            </w:r>
            <w:r>
              <w:rPr>
                <w:rFonts w:eastAsia="Times New Roman"/>
                <w:sz w:val="18"/>
                <w:szCs w:val="18"/>
              </w:rPr>
              <w:t>)</w:t>
            </w:r>
          </w:p>
          <w:p w14:paraId="2819E666" w14:textId="0AAB0954" w:rsidR="00A91553" w:rsidRDefault="00A91553" w:rsidP="00A91553">
            <w:pPr>
              <w:jc w:val="center"/>
              <w:rPr>
                <w:sz w:val="20"/>
                <w:szCs w:val="20"/>
              </w:rPr>
            </w:pPr>
            <w:r>
              <w:rPr>
                <w:rFonts w:eastAsia="Times New Roman"/>
                <w:sz w:val="18"/>
                <w:szCs w:val="18"/>
              </w:rPr>
              <w:t>4500-SiO</w:t>
            </w:r>
            <w:r>
              <w:rPr>
                <w:rFonts w:eastAsia="Times New Roman"/>
                <w:sz w:val="24"/>
                <w:szCs w:val="24"/>
                <w:vertAlign w:val="subscript"/>
              </w:rPr>
              <w:t>2</w:t>
            </w:r>
            <w:r>
              <w:rPr>
                <w:rFonts w:eastAsia="Times New Roman"/>
                <w:sz w:val="18"/>
                <w:szCs w:val="18"/>
              </w:rPr>
              <w:t xml:space="preserve"> C (20</w:t>
            </w:r>
            <w:r>
              <w:rPr>
                <w:rFonts w:eastAsia="Times New Roman"/>
                <w:sz w:val="24"/>
                <w:szCs w:val="24"/>
                <w:vertAlign w:val="superscript"/>
              </w:rPr>
              <w:t>th</w:t>
            </w:r>
            <w:r>
              <w:rPr>
                <w:rFonts w:eastAsia="Times New Roman"/>
                <w:sz w:val="18"/>
                <w:szCs w:val="18"/>
              </w:rPr>
              <w:t xml:space="preserve"> ed.)</w:t>
            </w:r>
          </w:p>
        </w:tc>
        <w:tc>
          <w:tcPr>
            <w:tcW w:w="1419" w:type="dxa"/>
            <w:gridSpan w:val="2"/>
            <w:vAlign w:val="center"/>
          </w:tcPr>
          <w:p w14:paraId="2819E667" w14:textId="3AA222B7" w:rsidR="00A91553" w:rsidRDefault="00A91553" w:rsidP="00A91553">
            <w:pPr>
              <w:jc w:val="center"/>
              <w:rPr>
                <w:sz w:val="24"/>
                <w:szCs w:val="24"/>
              </w:rPr>
            </w:pPr>
            <w:r>
              <w:rPr>
                <w:rFonts w:eastAsia="Times New Roman"/>
                <w:sz w:val="18"/>
                <w:szCs w:val="18"/>
              </w:rPr>
              <w:t>4500-SiO</w:t>
            </w:r>
            <w:r>
              <w:rPr>
                <w:rFonts w:eastAsia="Times New Roman"/>
                <w:sz w:val="24"/>
                <w:szCs w:val="24"/>
                <w:vertAlign w:val="subscript"/>
              </w:rPr>
              <w:t>2</w:t>
            </w:r>
            <w:r>
              <w:rPr>
                <w:rFonts w:eastAsia="Times New Roman"/>
                <w:sz w:val="18"/>
                <w:szCs w:val="18"/>
              </w:rPr>
              <w:t xml:space="preserve"> C-97</w:t>
            </w:r>
          </w:p>
        </w:tc>
        <w:tc>
          <w:tcPr>
            <w:tcW w:w="1040" w:type="dxa"/>
            <w:gridSpan w:val="2"/>
            <w:vAlign w:val="center"/>
          </w:tcPr>
          <w:p w14:paraId="2819E66A" w14:textId="77777777" w:rsidR="00A91553" w:rsidRDefault="00A91553" w:rsidP="00A91553">
            <w:pPr>
              <w:jc w:val="center"/>
              <w:rPr>
                <w:sz w:val="24"/>
                <w:szCs w:val="24"/>
              </w:rPr>
            </w:pPr>
          </w:p>
        </w:tc>
        <w:tc>
          <w:tcPr>
            <w:tcW w:w="719" w:type="dxa"/>
            <w:gridSpan w:val="2"/>
            <w:vAlign w:val="center"/>
          </w:tcPr>
          <w:p w14:paraId="2819E66D" w14:textId="77777777" w:rsidR="00A91553" w:rsidRDefault="00A91553" w:rsidP="00A91553">
            <w:pPr>
              <w:jc w:val="center"/>
              <w:rPr>
                <w:sz w:val="24"/>
                <w:szCs w:val="24"/>
              </w:rPr>
            </w:pPr>
          </w:p>
        </w:tc>
      </w:tr>
    </w:tbl>
    <w:p w14:paraId="67EDEA88" w14:textId="77777777" w:rsidR="004647B9" w:rsidRDefault="004647B9" w:rsidP="002B4E50"/>
    <w:p w14:paraId="2819E66F" w14:textId="2D4B4C15" w:rsidR="007500C7" w:rsidRDefault="007500C7" w:rsidP="002B4E50">
      <w:pPr>
        <w:sectPr w:rsidR="007500C7" w:rsidSect="00EF630C">
          <w:pgSz w:w="12240" w:h="20180"/>
          <w:pgMar w:top="708" w:right="820" w:bottom="1440" w:left="600" w:header="0" w:footer="0" w:gutter="0"/>
          <w:cols w:space="720" w:equalWidth="0">
            <w:col w:w="10820"/>
          </w:cols>
        </w:sectPr>
      </w:pPr>
    </w:p>
    <w:tbl>
      <w:tblPr>
        <w:tblpPr w:leftFromText="180" w:rightFromText="180" w:vertAnchor="page" w:horzAnchor="margin" w:tblpY="1830"/>
        <w:tblW w:w="10818" w:type="dxa"/>
        <w:tblLayout w:type="fixed"/>
        <w:tblCellMar>
          <w:left w:w="0" w:type="dxa"/>
          <w:right w:w="0" w:type="dxa"/>
        </w:tblCellMar>
        <w:tblLook w:val="04A0" w:firstRow="1" w:lastRow="0" w:firstColumn="1" w:lastColumn="0" w:noHBand="0" w:noVBand="1"/>
      </w:tblPr>
      <w:tblGrid>
        <w:gridCol w:w="1142"/>
        <w:gridCol w:w="2447"/>
        <w:gridCol w:w="706"/>
        <w:gridCol w:w="1382"/>
        <w:gridCol w:w="1958"/>
        <w:gridCol w:w="1426"/>
        <w:gridCol w:w="1037"/>
        <w:gridCol w:w="687"/>
        <w:gridCol w:w="33"/>
      </w:tblGrid>
      <w:tr w:rsidR="00EF3C2C" w14:paraId="2819E68B" w14:textId="77777777" w:rsidTr="007500C7">
        <w:trPr>
          <w:gridAfter w:val="1"/>
          <w:wAfter w:w="33" w:type="dxa"/>
          <w:trHeight w:val="559"/>
        </w:trPr>
        <w:tc>
          <w:tcPr>
            <w:tcW w:w="10785" w:type="dxa"/>
            <w:gridSpan w:val="8"/>
            <w:vAlign w:val="center"/>
          </w:tcPr>
          <w:p w14:paraId="2819E68A" w14:textId="0C5A92BE" w:rsidR="00EF3C2C" w:rsidRDefault="00EF3C2C" w:rsidP="002B4E50">
            <w:pPr>
              <w:jc w:val="center"/>
              <w:rPr>
                <w:sz w:val="24"/>
                <w:szCs w:val="24"/>
              </w:rPr>
            </w:pPr>
            <w:r>
              <w:rPr>
                <w:rFonts w:eastAsia="Times New Roman"/>
                <w:w w:val="99"/>
                <w:sz w:val="24"/>
                <w:szCs w:val="24"/>
              </w:rPr>
              <w:lastRenderedPageBreak/>
              <w:t>ANALYTICAL METHODS (continued)</w:t>
            </w:r>
          </w:p>
        </w:tc>
      </w:tr>
      <w:tr w:rsidR="00D14259" w14:paraId="2819E693" w14:textId="77777777" w:rsidTr="007500C7">
        <w:trPr>
          <w:trHeight w:val="257"/>
        </w:trPr>
        <w:tc>
          <w:tcPr>
            <w:tcW w:w="1142" w:type="dxa"/>
            <w:vAlign w:val="center"/>
          </w:tcPr>
          <w:p w14:paraId="2819E68D" w14:textId="2954CD54" w:rsidR="00D14259" w:rsidRPr="004F146F" w:rsidRDefault="00D14259" w:rsidP="002B4E50">
            <w:pPr>
              <w:jc w:val="center"/>
              <w:rPr>
                <w:u w:val="single"/>
              </w:rPr>
            </w:pPr>
            <w:r w:rsidRPr="004F146F">
              <w:rPr>
                <w:rFonts w:eastAsia="Times New Roman"/>
                <w:sz w:val="18"/>
                <w:szCs w:val="18"/>
                <w:u w:val="single"/>
              </w:rPr>
              <w:t>Contaminant</w:t>
            </w:r>
          </w:p>
        </w:tc>
        <w:tc>
          <w:tcPr>
            <w:tcW w:w="2447" w:type="dxa"/>
            <w:vAlign w:val="center"/>
          </w:tcPr>
          <w:p w14:paraId="2819E68E" w14:textId="77777777" w:rsidR="00D14259" w:rsidRPr="0059489A" w:rsidRDefault="00D14259" w:rsidP="002B4E50">
            <w:pPr>
              <w:jc w:val="center"/>
              <w:rPr>
                <w:sz w:val="18"/>
                <w:szCs w:val="18"/>
                <w:u w:val="single"/>
              </w:rPr>
            </w:pPr>
            <w:r w:rsidRPr="0059489A">
              <w:rPr>
                <w:rFonts w:eastAsia="Times New Roman"/>
                <w:sz w:val="18"/>
                <w:szCs w:val="18"/>
                <w:u w:val="single"/>
              </w:rPr>
              <w:t>Methodology</w:t>
            </w:r>
            <w:r w:rsidRPr="0059489A">
              <w:rPr>
                <w:rFonts w:eastAsia="Times New Roman"/>
                <w:sz w:val="18"/>
                <w:szCs w:val="18"/>
                <w:u w:val="single"/>
                <w:vertAlign w:val="superscript"/>
              </w:rPr>
              <w:t>9</w:t>
            </w:r>
          </w:p>
        </w:tc>
        <w:tc>
          <w:tcPr>
            <w:tcW w:w="706" w:type="dxa"/>
            <w:vAlign w:val="center"/>
          </w:tcPr>
          <w:p w14:paraId="23FCD880" w14:textId="6ACC3604" w:rsidR="00D14259" w:rsidRPr="0059489A" w:rsidRDefault="00D14259" w:rsidP="002B4E50">
            <w:pPr>
              <w:jc w:val="center"/>
              <w:rPr>
                <w:sz w:val="18"/>
                <w:szCs w:val="18"/>
                <w:u w:val="single"/>
              </w:rPr>
            </w:pPr>
            <w:r w:rsidRPr="0059489A">
              <w:rPr>
                <w:rFonts w:eastAsia="Times New Roman"/>
                <w:w w:val="99"/>
                <w:sz w:val="18"/>
                <w:szCs w:val="18"/>
                <w:u w:val="single"/>
              </w:rPr>
              <w:t>EPA</w:t>
            </w:r>
            <w:r w:rsidRPr="0059489A">
              <w:rPr>
                <w:rFonts w:eastAsia="Times New Roman"/>
                <w:w w:val="99"/>
                <w:sz w:val="18"/>
                <w:szCs w:val="18"/>
                <w:u w:val="single"/>
                <w:vertAlign w:val="superscript"/>
              </w:rPr>
              <w:t>1</w:t>
            </w:r>
          </w:p>
        </w:tc>
        <w:tc>
          <w:tcPr>
            <w:tcW w:w="1382" w:type="dxa"/>
            <w:vAlign w:val="center"/>
          </w:tcPr>
          <w:p w14:paraId="2819E68F" w14:textId="036AAB61" w:rsidR="00D14259" w:rsidRPr="0059489A" w:rsidRDefault="00D14259" w:rsidP="002B4E50">
            <w:pPr>
              <w:jc w:val="center"/>
              <w:rPr>
                <w:sz w:val="18"/>
                <w:szCs w:val="18"/>
                <w:u w:val="single"/>
              </w:rPr>
            </w:pPr>
            <w:r w:rsidRPr="0059489A">
              <w:rPr>
                <w:rFonts w:eastAsia="Times New Roman"/>
                <w:w w:val="99"/>
                <w:sz w:val="18"/>
                <w:szCs w:val="18"/>
                <w:u w:val="single"/>
              </w:rPr>
              <w:t>ASTM</w:t>
            </w:r>
            <w:r w:rsidRPr="0059489A">
              <w:rPr>
                <w:rFonts w:eastAsia="Times New Roman"/>
                <w:w w:val="99"/>
                <w:sz w:val="18"/>
                <w:szCs w:val="18"/>
                <w:u w:val="single"/>
                <w:vertAlign w:val="superscript"/>
              </w:rPr>
              <w:t>2</w:t>
            </w:r>
          </w:p>
        </w:tc>
        <w:tc>
          <w:tcPr>
            <w:tcW w:w="1958" w:type="dxa"/>
            <w:vAlign w:val="center"/>
          </w:tcPr>
          <w:p w14:paraId="2819E691" w14:textId="2E3D612F" w:rsidR="00D14259" w:rsidRPr="0059489A" w:rsidRDefault="00D14259" w:rsidP="002B4E50">
            <w:pPr>
              <w:jc w:val="center"/>
              <w:rPr>
                <w:sz w:val="18"/>
                <w:szCs w:val="18"/>
                <w:u w:val="single"/>
              </w:rPr>
            </w:pPr>
            <w:r w:rsidRPr="0059489A">
              <w:rPr>
                <w:rFonts w:eastAsia="Times New Roman"/>
                <w:w w:val="93"/>
                <w:sz w:val="18"/>
                <w:szCs w:val="18"/>
                <w:u w:val="single"/>
              </w:rPr>
              <w:t>SM</w:t>
            </w:r>
            <w:r w:rsidRPr="0059489A">
              <w:rPr>
                <w:rFonts w:eastAsia="Times New Roman"/>
                <w:w w:val="93"/>
                <w:sz w:val="18"/>
                <w:szCs w:val="18"/>
                <w:u w:val="single"/>
                <w:vertAlign w:val="superscript"/>
              </w:rPr>
              <w:t>3</w:t>
            </w:r>
          </w:p>
        </w:tc>
        <w:tc>
          <w:tcPr>
            <w:tcW w:w="1426" w:type="dxa"/>
            <w:vAlign w:val="center"/>
          </w:tcPr>
          <w:p w14:paraId="4F850000" w14:textId="6DE030DE" w:rsidR="00D14259" w:rsidRPr="0059489A" w:rsidRDefault="00D14259" w:rsidP="002B4E50">
            <w:pPr>
              <w:jc w:val="center"/>
              <w:rPr>
                <w:sz w:val="18"/>
                <w:szCs w:val="18"/>
                <w:u w:val="single"/>
              </w:rPr>
            </w:pPr>
            <w:r w:rsidRPr="0059489A">
              <w:rPr>
                <w:rFonts w:eastAsia="Times New Roman"/>
                <w:sz w:val="18"/>
                <w:szCs w:val="18"/>
                <w:u w:val="single"/>
              </w:rPr>
              <w:t>SM Online</w:t>
            </w:r>
            <w:r w:rsidRPr="0059489A">
              <w:rPr>
                <w:rFonts w:eastAsia="Times New Roman"/>
                <w:sz w:val="18"/>
                <w:szCs w:val="18"/>
                <w:u w:val="single"/>
                <w:vertAlign w:val="superscript"/>
              </w:rPr>
              <w:t>11</w:t>
            </w:r>
          </w:p>
        </w:tc>
        <w:tc>
          <w:tcPr>
            <w:tcW w:w="1037" w:type="dxa"/>
            <w:vAlign w:val="center"/>
          </w:tcPr>
          <w:p w14:paraId="3C5DD7AB" w14:textId="4CBFA3D7" w:rsidR="00D14259" w:rsidRPr="0059489A" w:rsidRDefault="00D14259" w:rsidP="002B4E50">
            <w:pPr>
              <w:jc w:val="center"/>
              <w:rPr>
                <w:sz w:val="18"/>
                <w:szCs w:val="18"/>
                <w:u w:val="single"/>
              </w:rPr>
            </w:pPr>
            <w:r w:rsidRPr="0059489A">
              <w:rPr>
                <w:rFonts w:eastAsia="Times New Roman"/>
                <w:sz w:val="18"/>
                <w:szCs w:val="18"/>
                <w:u w:val="single"/>
              </w:rPr>
              <w:t>USGS</w:t>
            </w:r>
            <w:r w:rsidRPr="0059489A">
              <w:rPr>
                <w:rFonts w:eastAsia="Times New Roman"/>
                <w:sz w:val="18"/>
                <w:szCs w:val="18"/>
                <w:u w:val="single"/>
                <w:vertAlign w:val="superscript"/>
              </w:rPr>
              <w:t>4</w:t>
            </w:r>
          </w:p>
        </w:tc>
        <w:tc>
          <w:tcPr>
            <w:tcW w:w="720" w:type="dxa"/>
            <w:gridSpan w:val="2"/>
            <w:vAlign w:val="center"/>
          </w:tcPr>
          <w:p w14:paraId="2819E692" w14:textId="615539C3" w:rsidR="00D14259" w:rsidRPr="004F146F" w:rsidRDefault="00D14259" w:rsidP="002B4E50">
            <w:pPr>
              <w:jc w:val="center"/>
              <w:rPr>
                <w:sz w:val="20"/>
                <w:szCs w:val="20"/>
                <w:u w:val="single"/>
              </w:rPr>
            </w:pPr>
            <w:r w:rsidRPr="004F146F">
              <w:rPr>
                <w:rFonts w:eastAsia="Times New Roman"/>
                <w:sz w:val="18"/>
                <w:szCs w:val="18"/>
                <w:u w:val="single"/>
              </w:rPr>
              <w:t>Other</w:t>
            </w:r>
          </w:p>
        </w:tc>
      </w:tr>
      <w:tr w:rsidR="00FF6BBF" w14:paraId="2819E6AC" w14:textId="77777777" w:rsidTr="007500C7">
        <w:trPr>
          <w:trHeight w:val="281"/>
        </w:trPr>
        <w:tc>
          <w:tcPr>
            <w:tcW w:w="1142" w:type="dxa"/>
            <w:vAlign w:val="bottom"/>
          </w:tcPr>
          <w:p w14:paraId="2819E6A4" w14:textId="7083BD78" w:rsidR="00FF6BBF" w:rsidRDefault="00FF6BBF" w:rsidP="002B4E50">
            <w:pPr>
              <w:rPr>
                <w:sz w:val="24"/>
                <w:szCs w:val="24"/>
              </w:rPr>
            </w:pPr>
          </w:p>
        </w:tc>
        <w:tc>
          <w:tcPr>
            <w:tcW w:w="2447" w:type="dxa"/>
            <w:vAlign w:val="bottom"/>
          </w:tcPr>
          <w:p w14:paraId="2819E6A5" w14:textId="77777777" w:rsidR="00FF6BBF" w:rsidRDefault="00FF6BBF" w:rsidP="002B4E50">
            <w:pPr>
              <w:ind w:left="187"/>
              <w:rPr>
                <w:sz w:val="20"/>
                <w:szCs w:val="20"/>
              </w:rPr>
            </w:pPr>
            <w:r>
              <w:rPr>
                <w:rFonts w:eastAsia="Times New Roman"/>
                <w:sz w:val="18"/>
                <w:szCs w:val="18"/>
              </w:rPr>
              <w:t>Heteropoly blue</w:t>
            </w:r>
          </w:p>
        </w:tc>
        <w:tc>
          <w:tcPr>
            <w:tcW w:w="706" w:type="dxa"/>
            <w:vAlign w:val="center"/>
          </w:tcPr>
          <w:p w14:paraId="2819E6A7" w14:textId="77777777" w:rsidR="00FF6BBF" w:rsidRPr="00233815" w:rsidRDefault="00FF6BBF" w:rsidP="002B4E50">
            <w:pPr>
              <w:jc w:val="center"/>
              <w:rPr>
                <w:sz w:val="18"/>
                <w:szCs w:val="18"/>
              </w:rPr>
            </w:pPr>
          </w:p>
        </w:tc>
        <w:tc>
          <w:tcPr>
            <w:tcW w:w="1382" w:type="dxa"/>
            <w:vAlign w:val="center"/>
          </w:tcPr>
          <w:p w14:paraId="2819E6A9" w14:textId="77777777" w:rsidR="00FF6BBF" w:rsidRPr="00233815" w:rsidRDefault="00FF6BBF" w:rsidP="002B4E50">
            <w:pPr>
              <w:jc w:val="center"/>
              <w:rPr>
                <w:sz w:val="18"/>
                <w:szCs w:val="18"/>
              </w:rPr>
            </w:pPr>
          </w:p>
        </w:tc>
        <w:tc>
          <w:tcPr>
            <w:tcW w:w="1958" w:type="dxa"/>
            <w:vAlign w:val="center"/>
          </w:tcPr>
          <w:p w14:paraId="519BA26A" w14:textId="112C2F6D" w:rsidR="007237EF" w:rsidRPr="00233815" w:rsidRDefault="00FF6BBF" w:rsidP="002B4E50">
            <w:pPr>
              <w:jc w:val="center"/>
              <w:rPr>
                <w:rFonts w:eastAsia="Times New Roman"/>
                <w:sz w:val="18"/>
                <w:szCs w:val="18"/>
              </w:rPr>
            </w:pPr>
            <w:r w:rsidRPr="00233815">
              <w:rPr>
                <w:rFonts w:eastAsia="Times New Roman"/>
                <w:sz w:val="18"/>
                <w:szCs w:val="18"/>
              </w:rPr>
              <w:t>4500-Si-E (18</w:t>
            </w:r>
            <w:r w:rsidRPr="00233815">
              <w:rPr>
                <w:rFonts w:eastAsia="Times New Roman"/>
                <w:sz w:val="18"/>
                <w:szCs w:val="18"/>
                <w:vertAlign w:val="superscript"/>
              </w:rPr>
              <w:t>th</w:t>
            </w:r>
            <w:r w:rsidRPr="00233815">
              <w:rPr>
                <w:rFonts w:eastAsia="Times New Roman"/>
                <w:sz w:val="18"/>
                <w:szCs w:val="18"/>
              </w:rPr>
              <w:t>,19</w:t>
            </w:r>
            <w:r w:rsidRPr="00233815">
              <w:rPr>
                <w:rFonts w:eastAsia="Times New Roman"/>
                <w:sz w:val="18"/>
                <w:szCs w:val="18"/>
                <w:vertAlign w:val="superscript"/>
              </w:rPr>
              <w:t>th</w:t>
            </w:r>
            <w:r w:rsidRPr="00233815">
              <w:rPr>
                <w:rFonts w:eastAsia="Times New Roman"/>
                <w:sz w:val="18"/>
                <w:szCs w:val="18"/>
              </w:rPr>
              <w:t>)</w:t>
            </w:r>
          </w:p>
          <w:p w14:paraId="2819E6AA" w14:textId="5AB29658" w:rsidR="00FF6BBF" w:rsidRPr="00233815" w:rsidRDefault="007237EF" w:rsidP="002B4E50">
            <w:pPr>
              <w:jc w:val="center"/>
              <w:rPr>
                <w:sz w:val="18"/>
                <w:szCs w:val="18"/>
              </w:rPr>
            </w:pPr>
            <w:r w:rsidRPr="00233815">
              <w:rPr>
                <w:rFonts w:eastAsia="Times New Roman"/>
                <w:w w:val="99"/>
                <w:sz w:val="18"/>
                <w:szCs w:val="18"/>
              </w:rPr>
              <w:t>4500</w:t>
            </w:r>
            <w:r w:rsidRPr="00233815">
              <w:rPr>
                <w:rFonts w:eastAsia="Times New Roman"/>
                <w:sz w:val="18"/>
                <w:szCs w:val="18"/>
              </w:rPr>
              <w:t>-SiO</w:t>
            </w:r>
            <w:r w:rsidRPr="00233815">
              <w:rPr>
                <w:rFonts w:eastAsia="Times New Roman"/>
                <w:sz w:val="18"/>
                <w:szCs w:val="18"/>
                <w:vertAlign w:val="subscript"/>
              </w:rPr>
              <w:t>2</w:t>
            </w:r>
            <w:r w:rsidRPr="00233815">
              <w:rPr>
                <w:rFonts w:eastAsia="Times New Roman"/>
                <w:sz w:val="18"/>
                <w:szCs w:val="18"/>
              </w:rPr>
              <w:t xml:space="preserve"> D (20</w:t>
            </w:r>
            <w:r w:rsidRPr="00233815">
              <w:rPr>
                <w:rFonts w:eastAsia="Times New Roman"/>
                <w:sz w:val="18"/>
                <w:szCs w:val="18"/>
                <w:vertAlign w:val="superscript"/>
              </w:rPr>
              <w:t>th</w:t>
            </w:r>
            <w:r w:rsidRPr="00233815">
              <w:rPr>
                <w:rFonts w:eastAsia="Times New Roman"/>
                <w:sz w:val="18"/>
                <w:szCs w:val="18"/>
              </w:rPr>
              <w:t xml:space="preserve"> ed.)</w:t>
            </w:r>
          </w:p>
        </w:tc>
        <w:tc>
          <w:tcPr>
            <w:tcW w:w="1426" w:type="dxa"/>
            <w:vAlign w:val="center"/>
          </w:tcPr>
          <w:p w14:paraId="3B2F5E89" w14:textId="77777777" w:rsidR="00FF6BBF" w:rsidRPr="00233815" w:rsidRDefault="00FF6BBF" w:rsidP="002B4E50">
            <w:pPr>
              <w:ind w:left="60"/>
              <w:jc w:val="center"/>
              <w:rPr>
                <w:sz w:val="18"/>
                <w:szCs w:val="18"/>
              </w:rPr>
            </w:pPr>
            <w:r w:rsidRPr="00233815">
              <w:rPr>
                <w:rFonts w:eastAsia="Times New Roman"/>
                <w:sz w:val="18"/>
                <w:szCs w:val="18"/>
              </w:rPr>
              <w:t>4500- SiO</w:t>
            </w:r>
            <w:r w:rsidRPr="00233815">
              <w:rPr>
                <w:rFonts w:eastAsia="Times New Roman"/>
                <w:sz w:val="18"/>
                <w:szCs w:val="18"/>
                <w:vertAlign w:val="subscript"/>
              </w:rPr>
              <w:t>2</w:t>
            </w:r>
            <w:r w:rsidRPr="00233815">
              <w:rPr>
                <w:rFonts w:eastAsia="Times New Roman"/>
                <w:sz w:val="18"/>
                <w:szCs w:val="18"/>
              </w:rPr>
              <w:t xml:space="preserve"> D-97</w:t>
            </w:r>
          </w:p>
        </w:tc>
        <w:tc>
          <w:tcPr>
            <w:tcW w:w="1037" w:type="dxa"/>
            <w:vAlign w:val="center"/>
          </w:tcPr>
          <w:p w14:paraId="234A7720" w14:textId="77777777" w:rsidR="00FF6BBF" w:rsidRPr="00233815" w:rsidRDefault="00FF6BBF" w:rsidP="002B4E50">
            <w:pPr>
              <w:ind w:left="60"/>
              <w:jc w:val="center"/>
              <w:rPr>
                <w:sz w:val="18"/>
                <w:szCs w:val="18"/>
              </w:rPr>
            </w:pPr>
          </w:p>
        </w:tc>
        <w:tc>
          <w:tcPr>
            <w:tcW w:w="720" w:type="dxa"/>
            <w:gridSpan w:val="2"/>
            <w:vAlign w:val="center"/>
          </w:tcPr>
          <w:p w14:paraId="2819E6AB" w14:textId="24D930BC" w:rsidR="00FF6BBF" w:rsidRPr="00233815" w:rsidRDefault="00FF6BBF" w:rsidP="002B4E50">
            <w:pPr>
              <w:ind w:left="60"/>
              <w:jc w:val="center"/>
              <w:rPr>
                <w:sz w:val="18"/>
                <w:szCs w:val="18"/>
              </w:rPr>
            </w:pPr>
          </w:p>
        </w:tc>
      </w:tr>
      <w:tr w:rsidR="00C70359" w14:paraId="2819E6C6" w14:textId="77777777" w:rsidTr="007500C7">
        <w:trPr>
          <w:trHeight w:val="268"/>
        </w:trPr>
        <w:tc>
          <w:tcPr>
            <w:tcW w:w="1142" w:type="dxa"/>
            <w:vAlign w:val="bottom"/>
          </w:tcPr>
          <w:p w14:paraId="2819E6BD" w14:textId="77777777" w:rsidR="00C70359" w:rsidRDefault="00C70359" w:rsidP="002B4E50">
            <w:pPr>
              <w:rPr>
                <w:sz w:val="23"/>
                <w:szCs w:val="23"/>
              </w:rPr>
            </w:pPr>
          </w:p>
        </w:tc>
        <w:tc>
          <w:tcPr>
            <w:tcW w:w="2447" w:type="dxa"/>
            <w:vAlign w:val="bottom"/>
          </w:tcPr>
          <w:p w14:paraId="2819E6BE" w14:textId="5ED74DEF" w:rsidR="00C70359" w:rsidRDefault="00C70359" w:rsidP="002B4E50">
            <w:pPr>
              <w:ind w:left="187"/>
              <w:rPr>
                <w:sz w:val="20"/>
                <w:szCs w:val="20"/>
              </w:rPr>
            </w:pPr>
            <w:r>
              <w:rPr>
                <w:rFonts w:eastAsia="Times New Roman"/>
                <w:sz w:val="18"/>
                <w:szCs w:val="18"/>
              </w:rPr>
              <w:t>Automated method for</w:t>
            </w:r>
            <w:r w:rsidR="00233815">
              <w:rPr>
                <w:rFonts w:eastAsia="Times New Roman"/>
                <w:sz w:val="18"/>
                <w:szCs w:val="18"/>
              </w:rPr>
              <w:t xml:space="preserve"> molybdate-reactive silica</w:t>
            </w:r>
          </w:p>
        </w:tc>
        <w:tc>
          <w:tcPr>
            <w:tcW w:w="706" w:type="dxa"/>
            <w:vAlign w:val="center"/>
          </w:tcPr>
          <w:p w14:paraId="2819E6C0" w14:textId="77777777" w:rsidR="00C70359" w:rsidRPr="00233815" w:rsidRDefault="00C70359" w:rsidP="002B4E50">
            <w:pPr>
              <w:jc w:val="center"/>
              <w:rPr>
                <w:sz w:val="18"/>
                <w:szCs w:val="18"/>
              </w:rPr>
            </w:pPr>
          </w:p>
        </w:tc>
        <w:tc>
          <w:tcPr>
            <w:tcW w:w="1382" w:type="dxa"/>
            <w:vAlign w:val="center"/>
          </w:tcPr>
          <w:p w14:paraId="2819E6C2" w14:textId="77777777" w:rsidR="00C70359" w:rsidRPr="00233815" w:rsidRDefault="00C70359" w:rsidP="002B4E50">
            <w:pPr>
              <w:jc w:val="center"/>
              <w:rPr>
                <w:sz w:val="18"/>
                <w:szCs w:val="18"/>
              </w:rPr>
            </w:pPr>
          </w:p>
        </w:tc>
        <w:tc>
          <w:tcPr>
            <w:tcW w:w="1958" w:type="dxa"/>
            <w:vAlign w:val="center"/>
          </w:tcPr>
          <w:p w14:paraId="1523CF77" w14:textId="77777777" w:rsidR="00C70359" w:rsidRDefault="00C70359" w:rsidP="002B4E50">
            <w:pPr>
              <w:jc w:val="center"/>
              <w:rPr>
                <w:rFonts w:eastAsia="Times New Roman"/>
                <w:sz w:val="18"/>
                <w:szCs w:val="18"/>
              </w:rPr>
            </w:pPr>
            <w:r w:rsidRPr="00233815">
              <w:rPr>
                <w:rFonts w:eastAsia="Times New Roman"/>
                <w:w w:val="99"/>
                <w:sz w:val="18"/>
                <w:szCs w:val="18"/>
              </w:rPr>
              <w:t>4500</w:t>
            </w:r>
            <w:r w:rsidRPr="00233815">
              <w:rPr>
                <w:rFonts w:eastAsia="Times New Roman"/>
                <w:sz w:val="18"/>
                <w:szCs w:val="18"/>
              </w:rPr>
              <w:t>-Si- F (18</w:t>
            </w:r>
            <w:r w:rsidRPr="00233815">
              <w:rPr>
                <w:rFonts w:eastAsia="Times New Roman"/>
                <w:sz w:val="18"/>
                <w:szCs w:val="18"/>
                <w:vertAlign w:val="superscript"/>
              </w:rPr>
              <w:t>th</w:t>
            </w:r>
            <w:r w:rsidRPr="00233815">
              <w:rPr>
                <w:rFonts w:eastAsia="Times New Roman"/>
                <w:sz w:val="18"/>
                <w:szCs w:val="18"/>
              </w:rPr>
              <w:t>, 19</w:t>
            </w:r>
            <w:r w:rsidRPr="00233815">
              <w:rPr>
                <w:rFonts w:eastAsia="Times New Roman"/>
                <w:sz w:val="18"/>
                <w:szCs w:val="18"/>
                <w:vertAlign w:val="superscript"/>
              </w:rPr>
              <w:t>th</w:t>
            </w:r>
            <w:r w:rsidRPr="00233815">
              <w:rPr>
                <w:rFonts w:eastAsia="Times New Roman"/>
                <w:sz w:val="18"/>
                <w:szCs w:val="18"/>
              </w:rPr>
              <w:t>)</w:t>
            </w:r>
          </w:p>
          <w:p w14:paraId="2819E6C4" w14:textId="19DAC41A" w:rsidR="00D91A06" w:rsidRPr="00233815" w:rsidRDefault="00D91A06" w:rsidP="002B4E50">
            <w:pPr>
              <w:jc w:val="center"/>
              <w:rPr>
                <w:sz w:val="18"/>
                <w:szCs w:val="18"/>
              </w:rPr>
            </w:pPr>
            <w:r w:rsidRPr="00233815">
              <w:rPr>
                <w:rFonts w:eastAsia="Times New Roman"/>
                <w:w w:val="99"/>
                <w:sz w:val="18"/>
                <w:szCs w:val="18"/>
              </w:rPr>
              <w:t>4500</w:t>
            </w:r>
            <w:r w:rsidRPr="00233815">
              <w:rPr>
                <w:rFonts w:eastAsia="Times New Roman"/>
                <w:sz w:val="18"/>
                <w:szCs w:val="18"/>
              </w:rPr>
              <w:t>-SiO</w:t>
            </w:r>
            <w:r w:rsidRPr="00233815">
              <w:rPr>
                <w:rFonts w:eastAsia="Times New Roman"/>
                <w:sz w:val="18"/>
                <w:szCs w:val="18"/>
                <w:vertAlign w:val="subscript"/>
              </w:rPr>
              <w:t>2</w:t>
            </w:r>
            <w:r w:rsidRPr="00233815">
              <w:rPr>
                <w:rFonts w:eastAsia="Times New Roman"/>
                <w:sz w:val="18"/>
                <w:szCs w:val="18"/>
              </w:rPr>
              <w:t xml:space="preserve"> E (20</w:t>
            </w:r>
            <w:r w:rsidRPr="00233815">
              <w:rPr>
                <w:rFonts w:eastAsia="Times New Roman"/>
                <w:sz w:val="18"/>
                <w:szCs w:val="18"/>
                <w:vertAlign w:val="superscript"/>
              </w:rPr>
              <w:t>th</w:t>
            </w:r>
            <w:r w:rsidRPr="00233815">
              <w:rPr>
                <w:rFonts w:eastAsia="Times New Roman"/>
                <w:sz w:val="18"/>
                <w:szCs w:val="18"/>
              </w:rPr>
              <w:t xml:space="preserve"> ed.)</w:t>
            </w:r>
          </w:p>
        </w:tc>
        <w:tc>
          <w:tcPr>
            <w:tcW w:w="1426" w:type="dxa"/>
            <w:vAlign w:val="center"/>
          </w:tcPr>
          <w:p w14:paraId="558FDA2B" w14:textId="4C5667B1" w:rsidR="00C70359" w:rsidRPr="00233815" w:rsidRDefault="00C70359" w:rsidP="002B4E50">
            <w:pPr>
              <w:ind w:left="60"/>
              <w:jc w:val="center"/>
              <w:rPr>
                <w:sz w:val="18"/>
                <w:szCs w:val="18"/>
              </w:rPr>
            </w:pPr>
            <w:r w:rsidRPr="00233815">
              <w:rPr>
                <w:rFonts w:eastAsia="Times New Roman"/>
                <w:sz w:val="18"/>
                <w:szCs w:val="18"/>
              </w:rPr>
              <w:t>4500- SiO</w:t>
            </w:r>
            <w:r w:rsidRPr="00D91A06">
              <w:rPr>
                <w:rFonts w:eastAsia="Times New Roman"/>
                <w:sz w:val="18"/>
                <w:szCs w:val="18"/>
                <w:vertAlign w:val="subscript"/>
              </w:rPr>
              <w:t>2</w:t>
            </w:r>
            <w:r w:rsidRPr="00233815">
              <w:rPr>
                <w:rFonts w:eastAsia="Times New Roman"/>
                <w:sz w:val="18"/>
                <w:szCs w:val="18"/>
              </w:rPr>
              <w:t xml:space="preserve"> </w:t>
            </w:r>
            <w:r w:rsidR="00D91A06">
              <w:rPr>
                <w:rFonts w:eastAsia="Times New Roman"/>
                <w:sz w:val="18"/>
                <w:szCs w:val="18"/>
              </w:rPr>
              <w:t>E</w:t>
            </w:r>
            <w:r w:rsidRPr="00233815">
              <w:rPr>
                <w:rFonts w:eastAsia="Times New Roman"/>
                <w:sz w:val="18"/>
                <w:szCs w:val="18"/>
              </w:rPr>
              <w:t>-97</w:t>
            </w:r>
          </w:p>
        </w:tc>
        <w:tc>
          <w:tcPr>
            <w:tcW w:w="1037" w:type="dxa"/>
            <w:vAlign w:val="center"/>
          </w:tcPr>
          <w:p w14:paraId="0AB17ED0" w14:textId="77777777" w:rsidR="00C70359" w:rsidRPr="00233815" w:rsidRDefault="00C70359" w:rsidP="002B4E50">
            <w:pPr>
              <w:ind w:left="60"/>
              <w:jc w:val="center"/>
              <w:rPr>
                <w:sz w:val="18"/>
                <w:szCs w:val="18"/>
              </w:rPr>
            </w:pPr>
          </w:p>
        </w:tc>
        <w:tc>
          <w:tcPr>
            <w:tcW w:w="720" w:type="dxa"/>
            <w:gridSpan w:val="2"/>
            <w:vAlign w:val="center"/>
          </w:tcPr>
          <w:p w14:paraId="2819E6C5" w14:textId="6B206A03" w:rsidR="00C70359" w:rsidRPr="00233815" w:rsidRDefault="00C70359" w:rsidP="002B4E50">
            <w:pPr>
              <w:ind w:left="60"/>
              <w:jc w:val="center"/>
              <w:rPr>
                <w:sz w:val="18"/>
                <w:szCs w:val="18"/>
              </w:rPr>
            </w:pPr>
          </w:p>
        </w:tc>
      </w:tr>
      <w:tr w:rsidR="00C70359" w14:paraId="2819E6DD" w14:textId="77777777" w:rsidTr="007500C7">
        <w:trPr>
          <w:trHeight w:val="268"/>
        </w:trPr>
        <w:tc>
          <w:tcPr>
            <w:tcW w:w="1142" w:type="dxa"/>
            <w:vAlign w:val="bottom"/>
          </w:tcPr>
          <w:p w14:paraId="2819E6D6" w14:textId="77777777" w:rsidR="00C70359" w:rsidRDefault="00C70359" w:rsidP="002B4E50">
            <w:pPr>
              <w:rPr>
                <w:sz w:val="23"/>
                <w:szCs w:val="23"/>
              </w:rPr>
            </w:pPr>
          </w:p>
        </w:tc>
        <w:tc>
          <w:tcPr>
            <w:tcW w:w="2447" w:type="dxa"/>
            <w:vAlign w:val="bottom"/>
          </w:tcPr>
          <w:p w14:paraId="2819E6D7" w14:textId="77777777" w:rsidR="00C70359" w:rsidRDefault="00C70359" w:rsidP="002B4E50">
            <w:pPr>
              <w:ind w:left="187"/>
              <w:rPr>
                <w:sz w:val="20"/>
                <w:szCs w:val="20"/>
              </w:rPr>
            </w:pPr>
            <w:r>
              <w:rPr>
                <w:rFonts w:eastAsia="Times New Roman"/>
                <w:sz w:val="18"/>
                <w:szCs w:val="18"/>
              </w:rPr>
              <w:t>Inductively-coupled plasma</w:t>
            </w:r>
          </w:p>
        </w:tc>
        <w:tc>
          <w:tcPr>
            <w:tcW w:w="706" w:type="dxa"/>
            <w:vAlign w:val="center"/>
          </w:tcPr>
          <w:p w14:paraId="2819E6D8" w14:textId="77777777" w:rsidR="00C70359" w:rsidRPr="00233815" w:rsidRDefault="00C70359" w:rsidP="002B4E50">
            <w:pPr>
              <w:jc w:val="center"/>
              <w:rPr>
                <w:sz w:val="18"/>
                <w:szCs w:val="18"/>
              </w:rPr>
            </w:pPr>
            <w:r w:rsidRPr="00233815">
              <w:rPr>
                <w:rFonts w:eastAsia="Times New Roman"/>
                <w:sz w:val="18"/>
                <w:szCs w:val="18"/>
              </w:rPr>
              <w:t>200.7</w:t>
            </w:r>
            <w:r w:rsidRPr="00D91A06">
              <w:rPr>
                <w:rFonts w:eastAsia="Times New Roman"/>
                <w:sz w:val="18"/>
                <w:szCs w:val="18"/>
                <w:vertAlign w:val="superscript"/>
              </w:rPr>
              <w:t>5</w:t>
            </w:r>
          </w:p>
        </w:tc>
        <w:tc>
          <w:tcPr>
            <w:tcW w:w="1382" w:type="dxa"/>
            <w:vAlign w:val="center"/>
          </w:tcPr>
          <w:p w14:paraId="2819E6DA" w14:textId="77777777" w:rsidR="00C70359" w:rsidRPr="00233815" w:rsidRDefault="00C70359" w:rsidP="002B4E50">
            <w:pPr>
              <w:jc w:val="center"/>
              <w:rPr>
                <w:sz w:val="18"/>
                <w:szCs w:val="18"/>
              </w:rPr>
            </w:pPr>
          </w:p>
        </w:tc>
        <w:tc>
          <w:tcPr>
            <w:tcW w:w="1958" w:type="dxa"/>
            <w:vAlign w:val="center"/>
          </w:tcPr>
          <w:p w14:paraId="2819E6DB" w14:textId="68C35291" w:rsidR="00C70359" w:rsidRPr="00233815" w:rsidRDefault="00C70359" w:rsidP="002B4E50">
            <w:pPr>
              <w:jc w:val="center"/>
              <w:rPr>
                <w:sz w:val="18"/>
                <w:szCs w:val="18"/>
              </w:rPr>
            </w:pPr>
            <w:r w:rsidRPr="00233815">
              <w:rPr>
                <w:rFonts w:eastAsia="Times New Roman"/>
                <w:sz w:val="18"/>
                <w:szCs w:val="18"/>
              </w:rPr>
              <w:t>3120 B</w:t>
            </w:r>
          </w:p>
        </w:tc>
        <w:tc>
          <w:tcPr>
            <w:tcW w:w="1426" w:type="dxa"/>
            <w:vAlign w:val="center"/>
          </w:tcPr>
          <w:p w14:paraId="2CDA4F4B" w14:textId="77777777" w:rsidR="00C70359" w:rsidRPr="00233815" w:rsidRDefault="00C70359" w:rsidP="002B4E50">
            <w:pPr>
              <w:ind w:left="60"/>
              <w:jc w:val="center"/>
              <w:rPr>
                <w:sz w:val="18"/>
                <w:szCs w:val="18"/>
              </w:rPr>
            </w:pPr>
            <w:r w:rsidRPr="00233815">
              <w:rPr>
                <w:rFonts w:eastAsia="Times New Roman"/>
                <w:sz w:val="18"/>
                <w:szCs w:val="18"/>
              </w:rPr>
              <w:t>3120 B-99</w:t>
            </w:r>
          </w:p>
        </w:tc>
        <w:tc>
          <w:tcPr>
            <w:tcW w:w="1037" w:type="dxa"/>
            <w:vAlign w:val="center"/>
          </w:tcPr>
          <w:p w14:paraId="4E20AC1D" w14:textId="77777777" w:rsidR="00C70359" w:rsidRPr="00233815" w:rsidRDefault="00C70359" w:rsidP="002B4E50">
            <w:pPr>
              <w:ind w:left="60"/>
              <w:jc w:val="center"/>
              <w:rPr>
                <w:sz w:val="18"/>
                <w:szCs w:val="18"/>
              </w:rPr>
            </w:pPr>
          </w:p>
        </w:tc>
        <w:tc>
          <w:tcPr>
            <w:tcW w:w="720" w:type="dxa"/>
            <w:gridSpan w:val="2"/>
            <w:vAlign w:val="center"/>
          </w:tcPr>
          <w:p w14:paraId="2819E6DC" w14:textId="464DAC5D" w:rsidR="00C70359" w:rsidRPr="00233815" w:rsidRDefault="00C70359" w:rsidP="002B4E50">
            <w:pPr>
              <w:ind w:left="60"/>
              <w:jc w:val="center"/>
              <w:rPr>
                <w:sz w:val="18"/>
                <w:szCs w:val="18"/>
              </w:rPr>
            </w:pPr>
          </w:p>
        </w:tc>
      </w:tr>
      <w:tr w:rsidR="00C70359" w14:paraId="2819E6EB" w14:textId="77777777" w:rsidTr="007500C7">
        <w:trPr>
          <w:trHeight w:val="290"/>
        </w:trPr>
        <w:tc>
          <w:tcPr>
            <w:tcW w:w="1142" w:type="dxa"/>
            <w:vAlign w:val="bottom"/>
          </w:tcPr>
          <w:p w14:paraId="2819E6DF" w14:textId="13DE8519" w:rsidR="00C70359" w:rsidRDefault="00C70359" w:rsidP="002B4E50">
            <w:pPr>
              <w:rPr>
                <w:sz w:val="24"/>
                <w:szCs w:val="24"/>
              </w:rPr>
            </w:pPr>
            <w:r>
              <w:rPr>
                <w:rFonts w:eastAsia="Times New Roman"/>
                <w:sz w:val="18"/>
                <w:szCs w:val="18"/>
              </w:rPr>
              <w:t>Temperature</w:t>
            </w:r>
          </w:p>
        </w:tc>
        <w:tc>
          <w:tcPr>
            <w:tcW w:w="2447" w:type="dxa"/>
            <w:vAlign w:val="bottom"/>
          </w:tcPr>
          <w:p w14:paraId="2819E6E0" w14:textId="77777777" w:rsidR="00C70359" w:rsidRDefault="00C70359" w:rsidP="002B4E50">
            <w:pPr>
              <w:ind w:left="187"/>
              <w:rPr>
                <w:sz w:val="20"/>
                <w:szCs w:val="20"/>
              </w:rPr>
            </w:pPr>
            <w:r>
              <w:rPr>
                <w:rFonts w:eastAsia="Times New Roman"/>
                <w:sz w:val="18"/>
                <w:szCs w:val="18"/>
              </w:rPr>
              <w:t>Thermometric</w:t>
            </w:r>
          </w:p>
        </w:tc>
        <w:tc>
          <w:tcPr>
            <w:tcW w:w="706" w:type="dxa"/>
            <w:vAlign w:val="center"/>
          </w:tcPr>
          <w:p w14:paraId="2819E6E2" w14:textId="77777777" w:rsidR="00C70359" w:rsidRPr="00233815" w:rsidRDefault="00C70359" w:rsidP="002B4E50">
            <w:pPr>
              <w:jc w:val="center"/>
              <w:rPr>
                <w:sz w:val="18"/>
                <w:szCs w:val="18"/>
              </w:rPr>
            </w:pPr>
          </w:p>
        </w:tc>
        <w:tc>
          <w:tcPr>
            <w:tcW w:w="1382" w:type="dxa"/>
            <w:vAlign w:val="center"/>
          </w:tcPr>
          <w:p w14:paraId="2819E6E4" w14:textId="77777777" w:rsidR="00C70359" w:rsidRPr="00233815" w:rsidRDefault="00C70359" w:rsidP="002B4E50">
            <w:pPr>
              <w:jc w:val="center"/>
              <w:rPr>
                <w:sz w:val="18"/>
                <w:szCs w:val="18"/>
              </w:rPr>
            </w:pPr>
          </w:p>
        </w:tc>
        <w:tc>
          <w:tcPr>
            <w:tcW w:w="1958" w:type="dxa"/>
            <w:vAlign w:val="center"/>
          </w:tcPr>
          <w:p w14:paraId="2819E6E6" w14:textId="3C78C798" w:rsidR="00C70359" w:rsidRPr="00233815" w:rsidRDefault="00C70359" w:rsidP="002B4E50">
            <w:pPr>
              <w:jc w:val="center"/>
              <w:rPr>
                <w:sz w:val="18"/>
                <w:szCs w:val="18"/>
              </w:rPr>
            </w:pPr>
            <w:r w:rsidRPr="00233815">
              <w:rPr>
                <w:rFonts w:eastAsia="Times New Roman"/>
                <w:w w:val="99"/>
                <w:sz w:val="18"/>
                <w:szCs w:val="18"/>
              </w:rPr>
              <w:t>2550</w:t>
            </w:r>
          </w:p>
        </w:tc>
        <w:tc>
          <w:tcPr>
            <w:tcW w:w="1426" w:type="dxa"/>
            <w:vAlign w:val="center"/>
          </w:tcPr>
          <w:p w14:paraId="2819E6E7" w14:textId="7C57B570" w:rsidR="00C70359" w:rsidRPr="00233815" w:rsidRDefault="007A0F3A" w:rsidP="002B4E50">
            <w:pPr>
              <w:jc w:val="center"/>
              <w:rPr>
                <w:sz w:val="18"/>
                <w:szCs w:val="18"/>
              </w:rPr>
            </w:pPr>
            <w:r>
              <w:rPr>
                <w:sz w:val="18"/>
                <w:szCs w:val="18"/>
              </w:rPr>
              <w:t>2550-00</w:t>
            </w:r>
          </w:p>
        </w:tc>
        <w:tc>
          <w:tcPr>
            <w:tcW w:w="1037" w:type="dxa"/>
            <w:vAlign w:val="center"/>
          </w:tcPr>
          <w:p w14:paraId="2819E6E8" w14:textId="77777777" w:rsidR="00C70359" w:rsidRPr="00233815" w:rsidRDefault="00C70359" w:rsidP="002B4E50">
            <w:pPr>
              <w:jc w:val="center"/>
              <w:rPr>
                <w:sz w:val="18"/>
                <w:szCs w:val="18"/>
              </w:rPr>
            </w:pPr>
          </w:p>
        </w:tc>
        <w:tc>
          <w:tcPr>
            <w:tcW w:w="720" w:type="dxa"/>
            <w:gridSpan w:val="2"/>
            <w:vAlign w:val="center"/>
          </w:tcPr>
          <w:p w14:paraId="2819E6EA" w14:textId="77777777" w:rsidR="00C70359" w:rsidRPr="00233815" w:rsidRDefault="00C70359" w:rsidP="002B4E50">
            <w:pPr>
              <w:jc w:val="center"/>
              <w:rPr>
                <w:sz w:val="18"/>
                <w:szCs w:val="18"/>
              </w:rPr>
            </w:pPr>
          </w:p>
        </w:tc>
      </w:tr>
    </w:tbl>
    <w:p w14:paraId="3690B388" w14:textId="77777777" w:rsidR="002B4E50" w:rsidRDefault="002B4E50" w:rsidP="002B4E50">
      <w:pPr>
        <w:jc w:val="center"/>
        <w:rPr>
          <w:rFonts w:eastAsia="Times New Roman"/>
          <w:sz w:val="24"/>
          <w:szCs w:val="24"/>
        </w:rPr>
        <w:sectPr w:rsidR="002B4E50" w:rsidSect="00EF630C">
          <w:pgSz w:w="12240" w:h="20180"/>
          <w:pgMar w:top="708" w:right="1040" w:bottom="1440" w:left="600" w:header="0" w:footer="0" w:gutter="0"/>
          <w:cols w:space="720" w:equalWidth="0">
            <w:col w:w="10600"/>
          </w:cols>
        </w:sectPr>
      </w:pPr>
    </w:p>
    <w:p w14:paraId="2819E6EC" w14:textId="0DDEC74E" w:rsidR="004647B9" w:rsidRPr="00C811FE" w:rsidRDefault="0090184D" w:rsidP="002B4E50">
      <w:pPr>
        <w:jc w:val="center"/>
        <w:rPr>
          <w:rFonts w:eastAsia="Times New Roman"/>
          <w:sz w:val="23"/>
          <w:szCs w:val="23"/>
        </w:rPr>
      </w:pPr>
      <w:r w:rsidRPr="00C811FE">
        <w:rPr>
          <w:rFonts w:eastAsia="Times New Roman"/>
          <w:sz w:val="23"/>
          <w:szCs w:val="23"/>
        </w:rPr>
        <w:t>310 CMR:  DEPARTMENT OF ENVIRONMENTAL PROTECTION</w:t>
      </w:r>
    </w:p>
    <w:p w14:paraId="5E57D0C9" w14:textId="5B974A66" w:rsidR="001B71A4" w:rsidRDefault="001B71A4" w:rsidP="00A3745B">
      <w:pPr>
        <w:rPr>
          <w:sz w:val="20"/>
          <w:szCs w:val="20"/>
        </w:rPr>
      </w:pPr>
    </w:p>
    <w:p w14:paraId="1A58A383" w14:textId="349A50E5" w:rsidR="0095350C" w:rsidRDefault="0095350C" w:rsidP="0095350C">
      <w:pPr>
        <w:tabs>
          <w:tab w:val="left" w:pos="990"/>
        </w:tabs>
        <w:rPr>
          <w:rFonts w:eastAsia="Times New Roman"/>
          <w:sz w:val="24"/>
          <w:szCs w:val="24"/>
        </w:rPr>
      </w:pPr>
      <w:r>
        <w:rPr>
          <w:rFonts w:eastAsia="Times New Roman"/>
          <w:sz w:val="24"/>
          <w:szCs w:val="24"/>
        </w:rPr>
        <w:t>22.06B:</w:t>
      </w:r>
      <w:r>
        <w:rPr>
          <w:rFonts w:eastAsia="Times New Roman"/>
          <w:sz w:val="24"/>
          <w:szCs w:val="24"/>
        </w:rPr>
        <w:tab/>
        <w:t>continued</w:t>
      </w:r>
    </w:p>
    <w:p w14:paraId="24FF2820" w14:textId="77777777" w:rsidR="002B4E50" w:rsidRDefault="002B4E50" w:rsidP="002B4E50">
      <w:pPr>
        <w:rPr>
          <w:sz w:val="20"/>
          <w:szCs w:val="20"/>
        </w:rPr>
      </w:pPr>
    </w:p>
    <w:p w14:paraId="2819E6ED" w14:textId="3FF7F38F" w:rsidR="004647B9" w:rsidRDefault="004647B9" w:rsidP="0090184D">
      <w:pPr>
        <w:jc w:val="center"/>
        <w:sectPr w:rsidR="004647B9" w:rsidSect="00EF630C">
          <w:type w:val="continuous"/>
          <w:pgSz w:w="12240" w:h="20180"/>
          <w:pgMar w:top="708" w:right="1040" w:bottom="1440" w:left="600" w:header="0" w:footer="0" w:gutter="0"/>
          <w:cols w:space="720"/>
        </w:sectPr>
      </w:pPr>
    </w:p>
    <w:p w14:paraId="5A89F9F8" w14:textId="68444B16" w:rsidR="00DD5ED4" w:rsidRDefault="00DD5ED4" w:rsidP="0090184D">
      <w:pPr>
        <w:rPr>
          <w:sz w:val="20"/>
          <w:szCs w:val="20"/>
        </w:rPr>
      </w:pPr>
    </w:p>
    <w:p w14:paraId="2819E72D" w14:textId="77777777" w:rsidR="004647B9" w:rsidRPr="009941EE" w:rsidRDefault="00E2436F" w:rsidP="00563A54">
      <w:pPr>
        <w:pStyle w:val="ListParagraph"/>
        <w:numPr>
          <w:ilvl w:val="0"/>
          <w:numId w:val="915"/>
        </w:numPr>
        <w:spacing w:line="265" w:lineRule="auto"/>
        <w:ind w:left="720" w:right="400" w:hanging="720"/>
        <w:jc w:val="both"/>
        <w:rPr>
          <w:sz w:val="20"/>
          <w:szCs w:val="20"/>
        </w:rPr>
      </w:pPr>
      <w:r w:rsidRPr="009941EE">
        <w:rPr>
          <w:rFonts w:eastAsia="Times New Roman"/>
        </w:rPr>
        <w:t>The procedures 239.2, 220.2, 220.1, 150.1, 150.2, 120.1, 215.2, 310.1, 365.1, 365.3, 365.2, and 370.1 are incorporated by reference and shall be done in accordance with "Methods for Chemical Analysis of Water and Wastes", EPA Environmental Monitoring and Support Laboratory, Cincinnati, OH (EPA-600/4-79-020), Revised March 1983, pp. 239.2-1 through 239.2-2 and metals-1 through metals-19, 220.2-1 through 220.2-2 and metals-1 through metals-19, 220.1-1 through 220.1-2 and metals-1 through metals-19, 150.1-1 through 150.1-3, 150.2-1 through 150.2-3, 120.1-1 through 120.1-3, 215.2-1 through 215.2-3, 215.1-1 through 215.1-2, 310.1-1 through 310.1-3, 365.1-1 through 365.1-9, 365.3-1 through 365.3-4, 365.2-1 through 365.2-6, and 370.1-1 through 370.1-5, respectively. This incorporation by reference was approved by the Director of the Federal Register in accordance with 5 U.S.C. 552(a) and 1 CFR Part 51. Copies may be obtained from ORD Publications, CERI, EPA, Cincinnati, OH 45268. Copies may be inspected at the United Departments Environmental Protection Agency, 401 M Street, SW., Room EB-15, Washington, D.C. 20460 or at the Office of the Federal Register, 1100 L Street, NW., Room 8401, Washington, D.C.</w:t>
      </w:r>
    </w:p>
    <w:p w14:paraId="2819E72F" w14:textId="77777777" w:rsidR="004647B9" w:rsidRPr="009941EE" w:rsidRDefault="00E2436F" w:rsidP="00563A54">
      <w:pPr>
        <w:pStyle w:val="ListParagraph"/>
        <w:numPr>
          <w:ilvl w:val="0"/>
          <w:numId w:val="915"/>
        </w:numPr>
        <w:spacing w:line="265" w:lineRule="auto"/>
        <w:ind w:left="720" w:right="400" w:hanging="720"/>
        <w:jc w:val="both"/>
        <w:rPr>
          <w:sz w:val="20"/>
          <w:szCs w:val="20"/>
        </w:rPr>
      </w:pPr>
      <w:r w:rsidRPr="009941EE">
        <w:rPr>
          <w:rFonts w:eastAsia="Times New Roman"/>
        </w:rPr>
        <w:t xml:space="preserve">The procedures D3559-96D, D1688-95C, D1688-95A, D1293-95B, D1125-82B, D511-88A, D511-88B, D1067-88B, D515-88A, D4327-97, and D859-88 are incorporated by reference and shall be done in accordance with </w:t>
      </w:r>
      <w:r w:rsidRPr="009941EE">
        <w:rPr>
          <w:rFonts w:eastAsia="Times New Roman"/>
          <w:i/>
          <w:iCs/>
        </w:rPr>
        <w:t>Annual Book of ASTM Standards</w:t>
      </w:r>
      <w:r w:rsidRPr="009941EE">
        <w:rPr>
          <w:rFonts w:eastAsia="Times New Roman"/>
        </w:rPr>
        <w:t xml:space="preserve">, 1994, 1996, or 1999, Vols. 11.01 and 11.02, ASTM International; any year containing the cited version of the method may be used. The previous versions of D1688-95A, D1688-95C (copper), D3559-95D (lead), D1293-95 (pH), D1125-91A (conductivity), and D859-94 (silica) are also approved. These previous versions D1688-90A, C; D355990D, D1293-84, D1125-91A and D859-88, respectively are located in the </w:t>
      </w:r>
      <w:r w:rsidRPr="009941EE">
        <w:rPr>
          <w:rFonts w:eastAsia="Times New Roman"/>
          <w:i/>
          <w:iCs/>
        </w:rPr>
        <w:t>Annual Book of ASTM Standards</w:t>
      </w:r>
      <w:r w:rsidRPr="009941EE">
        <w:rPr>
          <w:rFonts w:eastAsia="Times New Roman"/>
        </w:rPr>
        <w:t>, 1994, Vol. 11.01. Copies may be obtained from ASTM International, 100 Barr Harbor Drive, West Conshohocken, PA 19428.</w:t>
      </w:r>
    </w:p>
    <w:p w14:paraId="2819E731" w14:textId="77777777" w:rsidR="004647B9" w:rsidRPr="009941EE" w:rsidRDefault="00E2436F" w:rsidP="00563A54">
      <w:pPr>
        <w:pStyle w:val="ListParagraph"/>
        <w:numPr>
          <w:ilvl w:val="0"/>
          <w:numId w:val="915"/>
        </w:numPr>
        <w:spacing w:line="265" w:lineRule="auto"/>
        <w:ind w:left="720" w:right="400" w:hanging="720"/>
        <w:jc w:val="both"/>
        <w:rPr>
          <w:sz w:val="20"/>
          <w:szCs w:val="20"/>
        </w:rPr>
      </w:pPr>
      <w:r w:rsidRPr="009941EE">
        <w:rPr>
          <w:rFonts w:eastAsia="Times New Roman"/>
        </w:rPr>
        <w:t>The procedures 3113, 3111-B, 3120, 4500-H</w:t>
      </w:r>
      <w:r w:rsidRPr="009941EE">
        <w:rPr>
          <w:rFonts w:eastAsia="Times New Roman"/>
          <w:vertAlign w:val="superscript"/>
        </w:rPr>
        <w:t>+</w:t>
      </w:r>
      <w:r w:rsidRPr="009941EE">
        <w:rPr>
          <w:rFonts w:eastAsia="Times New Roman"/>
        </w:rPr>
        <w:t xml:space="preserve">, 2510, 3500-Ca-D, 3120, 2320, 4500-P-F, 4500-P-E, 4110, 4500-Si-D, 4500-Si-E, 4500-Si-F, and 2550 are incorporated by reference and shall be done in accordance with </w:t>
      </w:r>
      <w:r w:rsidRPr="009941EE">
        <w:rPr>
          <w:rFonts w:eastAsia="Times New Roman"/>
          <w:i/>
          <w:iCs/>
        </w:rPr>
        <w:t>Standard Methods for the Examination of Water and Wastewater</w:t>
      </w:r>
      <w:r w:rsidRPr="009941EE">
        <w:rPr>
          <w:rFonts w:eastAsia="Times New Roman"/>
        </w:rPr>
        <w:t>, 18</w:t>
      </w:r>
      <w:r w:rsidRPr="009941EE">
        <w:rPr>
          <w:rFonts w:eastAsia="Times New Roman"/>
          <w:vertAlign w:val="superscript"/>
        </w:rPr>
        <w:t>th</w:t>
      </w:r>
      <w:r w:rsidRPr="009941EE">
        <w:rPr>
          <w:rFonts w:eastAsia="Times New Roman"/>
          <w:i/>
          <w:iCs/>
        </w:rPr>
        <w:t xml:space="preserve"> </w:t>
      </w:r>
      <w:r w:rsidRPr="009941EE">
        <w:rPr>
          <w:rFonts w:eastAsia="Times New Roman"/>
        </w:rPr>
        <w:t>edition (1992), 19</w:t>
      </w:r>
      <w:r w:rsidRPr="009941EE">
        <w:rPr>
          <w:rFonts w:eastAsia="Times New Roman"/>
          <w:vertAlign w:val="superscript"/>
        </w:rPr>
        <w:t>th</w:t>
      </w:r>
      <w:r w:rsidRPr="009941EE">
        <w:rPr>
          <w:rFonts w:eastAsia="Times New Roman"/>
          <w:i/>
          <w:iCs/>
        </w:rPr>
        <w:t xml:space="preserve"> </w:t>
      </w:r>
      <w:r w:rsidRPr="009941EE">
        <w:rPr>
          <w:rFonts w:eastAsia="Times New Roman"/>
        </w:rPr>
        <w:t>edition (1995) or 20</w:t>
      </w:r>
      <w:r w:rsidRPr="009941EE">
        <w:rPr>
          <w:rFonts w:eastAsia="Times New Roman"/>
          <w:vertAlign w:val="superscript"/>
        </w:rPr>
        <w:t>th</w:t>
      </w:r>
      <w:r w:rsidRPr="009941EE">
        <w:rPr>
          <w:rFonts w:eastAsia="Times New Roman"/>
          <w:i/>
          <w:iCs/>
        </w:rPr>
        <w:t xml:space="preserve"> </w:t>
      </w:r>
      <w:r w:rsidRPr="009941EE">
        <w:rPr>
          <w:rFonts w:eastAsia="Times New Roman"/>
        </w:rPr>
        <w:t>edition (1998), American Public Health Association, 1015 Fifteenth Street, NW, Washington, DC 20005. The cited methods published in any of these three editions may be used, except that the versions of 3111B and 3113B in the 20</w:t>
      </w:r>
      <w:r w:rsidRPr="009941EE">
        <w:rPr>
          <w:rFonts w:eastAsia="Times New Roman"/>
          <w:vertAlign w:val="superscript"/>
        </w:rPr>
        <w:t>th</w:t>
      </w:r>
      <w:r w:rsidRPr="009941EE">
        <w:rPr>
          <w:rFonts w:eastAsia="Times New Roman"/>
        </w:rPr>
        <w:t xml:space="preserve"> edition may not be used. This incorporation by reference was approved by the Director of the Federal Register in accordance with 5 U.S.C. 552(a) and 1 CFR Part 51. Copies may be obtained from the American Water Works Association, Customer Services, 6666 West Quincy Avenue, Denver, Co 80235, Phone (303) 794-7711. Copies may be inspected at the United Departments Environmental Protection Agency, 401 M Street, SW., Room EB-15, Washington, D.C. 20460 or at the Office of the Federal Register, 1100 L Street, NW., Room 8401, Washington, D.C.</w:t>
      </w:r>
    </w:p>
    <w:p w14:paraId="2819E733" w14:textId="77777777" w:rsidR="004647B9" w:rsidRPr="009941EE" w:rsidRDefault="00E2436F" w:rsidP="00563A54">
      <w:pPr>
        <w:pStyle w:val="ListParagraph"/>
        <w:numPr>
          <w:ilvl w:val="0"/>
          <w:numId w:val="915"/>
        </w:numPr>
        <w:spacing w:line="265" w:lineRule="auto"/>
        <w:ind w:left="720" w:right="400" w:hanging="720"/>
        <w:jc w:val="both"/>
        <w:rPr>
          <w:sz w:val="20"/>
          <w:szCs w:val="20"/>
        </w:rPr>
      </w:pPr>
      <w:r w:rsidRPr="009941EE">
        <w:rPr>
          <w:rFonts w:eastAsia="Times New Roman"/>
        </w:rPr>
        <w:t>The procedures I-1030-85, I-1601-85, I-2601-85, I-2598-85, I-1700-85, and I-2700-85 are incorporated by reference and shall be done in accordance with "Methods for Determination of Inorganic Substances in Water and Fluvial Sediments", 3</w:t>
      </w:r>
      <w:r w:rsidRPr="009941EE">
        <w:rPr>
          <w:rFonts w:eastAsia="Times New Roman"/>
          <w:vertAlign w:val="superscript"/>
        </w:rPr>
        <w:t>rd</w:t>
      </w:r>
      <w:r w:rsidRPr="009941EE">
        <w:rPr>
          <w:rFonts w:eastAsia="Times New Roman"/>
        </w:rPr>
        <w:t xml:space="preserve"> edition, U.S. Department of Interior , U.S. Geological Survey, 1989, pp. 55-56, 381-382, 383-385, 387-388, 415-416, and 417-419, respectively. This incorporation by reference was approved by the Director of the Federal Register in accordance with 5 U.S.C. 552(a) and 1 CFR Part 51. Copies may be purchased from the Books and Open-file Reports Section, U.S. Geological Survey, Federal Center, Box 25425, Denver, Co 80225. Copies may be inspected at the United Departments Environmental Protection Agency, 401 M Street, SW., Room EB-15, Washington, D.C. 20460 or at the Office of the Federal Register, 1100 L Street, NW., Room 8401, Washington, D.C.</w:t>
      </w:r>
    </w:p>
    <w:p w14:paraId="2819E735" w14:textId="77777777" w:rsidR="004647B9" w:rsidRPr="009941EE" w:rsidRDefault="00E2436F" w:rsidP="00563A54">
      <w:pPr>
        <w:pStyle w:val="ListParagraph"/>
        <w:numPr>
          <w:ilvl w:val="0"/>
          <w:numId w:val="915"/>
        </w:numPr>
        <w:spacing w:line="264" w:lineRule="auto"/>
        <w:ind w:left="720" w:right="400" w:hanging="720"/>
        <w:jc w:val="both"/>
        <w:rPr>
          <w:sz w:val="20"/>
          <w:szCs w:val="20"/>
        </w:rPr>
      </w:pPr>
      <w:r w:rsidRPr="009941EE">
        <w:rPr>
          <w:rFonts w:eastAsia="Times New Roman"/>
          <w:i/>
          <w:iCs/>
        </w:rPr>
        <w:t>Determination of Metals and Trace Elements in Water and Wastes by Inductively-Coupled Plasma--Atomic Emission Spectrometry</w:t>
      </w:r>
      <w:r w:rsidRPr="009941EE">
        <w:rPr>
          <w:rFonts w:eastAsia="Times New Roman"/>
        </w:rPr>
        <w:t>, Revision 3.3, April 1991,</w:t>
      </w:r>
      <w:r w:rsidRPr="009941EE">
        <w:rPr>
          <w:rFonts w:eastAsia="Times New Roman"/>
          <w:i/>
          <w:iCs/>
        </w:rPr>
        <w:t xml:space="preserve"> Methods for the Determination of Metals in Environmental Samples</w:t>
      </w:r>
      <w:r w:rsidRPr="009941EE">
        <w:rPr>
          <w:rFonts w:eastAsia="Times New Roman"/>
        </w:rPr>
        <w:t>, Office of Research and Development, Washington, DC 20460, EPA/4-91/010, June 1991.</w:t>
      </w:r>
    </w:p>
    <w:p w14:paraId="2819E737" w14:textId="77777777" w:rsidR="004647B9" w:rsidRPr="009941EE" w:rsidRDefault="00E2436F" w:rsidP="00563A54">
      <w:pPr>
        <w:pStyle w:val="ListParagraph"/>
        <w:numPr>
          <w:ilvl w:val="0"/>
          <w:numId w:val="915"/>
        </w:numPr>
        <w:spacing w:line="278" w:lineRule="auto"/>
        <w:ind w:left="720" w:right="400" w:hanging="720"/>
        <w:jc w:val="both"/>
        <w:rPr>
          <w:sz w:val="20"/>
          <w:szCs w:val="20"/>
        </w:rPr>
      </w:pPr>
      <w:r w:rsidRPr="009941EE">
        <w:rPr>
          <w:rFonts w:eastAsia="Times New Roman"/>
          <w:i/>
          <w:iCs/>
        </w:rPr>
        <w:t>Determination of Trace Elements in Water and Wastes by Inductively-Coupled Plasma--Mass Spectrometry</w:t>
      </w:r>
      <w:r w:rsidRPr="009941EE">
        <w:rPr>
          <w:rFonts w:eastAsia="Times New Roman"/>
        </w:rPr>
        <w:t>,</w:t>
      </w:r>
      <w:r w:rsidRPr="009941EE">
        <w:rPr>
          <w:rFonts w:eastAsia="Times New Roman"/>
          <w:i/>
          <w:iCs/>
        </w:rPr>
        <w:t xml:space="preserve"> </w:t>
      </w:r>
      <w:r w:rsidRPr="009941EE">
        <w:rPr>
          <w:rFonts w:eastAsia="Times New Roman"/>
        </w:rPr>
        <w:t xml:space="preserve">Revision 4.4, April 1991, </w:t>
      </w:r>
      <w:r w:rsidRPr="009941EE">
        <w:rPr>
          <w:rFonts w:eastAsia="Times New Roman"/>
          <w:i/>
          <w:iCs/>
        </w:rPr>
        <w:t>Methods for the Determination of Metals in Environmental Samples</w:t>
      </w:r>
      <w:r w:rsidRPr="009941EE">
        <w:rPr>
          <w:rFonts w:eastAsia="Times New Roman"/>
        </w:rPr>
        <w:t>, Office of Research and Development, Washington, DC 20460, EPA/600/4-91/010, June, 1991.</w:t>
      </w:r>
    </w:p>
    <w:p w14:paraId="2819E738" w14:textId="77777777" w:rsidR="004647B9" w:rsidRDefault="004647B9">
      <w:pPr>
        <w:sectPr w:rsidR="004647B9" w:rsidSect="00EF630C">
          <w:type w:val="continuous"/>
          <w:pgSz w:w="12240" w:h="20180"/>
          <w:pgMar w:top="708" w:right="1040" w:bottom="1440" w:left="600" w:header="0" w:footer="0" w:gutter="0"/>
          <w:cols w:space="720"/>
        </w:sectPr>
      </w:pPr>
    </w:p>
    <w:p w14:paraId="2819E739" w14:textId="77777777" w:rsidR="004647B9" w:rsidRDefault="00E2436F">
      <w:pPr>
        <w:tabs>
          <w:tab w:val="left" w:pos="160"/>
        </w:tabs>
        <w:jc w:val="center"/>
        <w:rPr>
          <w:sz w:val="20"/>
          <w:szCs w:val="20"/>
        </w:rPr>
      </w:pPr>
      <w:bookmarkStart w:id="89" w:name="page91"/>
      <w:bookmarkEnd w:id="8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73A" w14:textId="77777777" w:rsidR="004647B9" w:rsidRDefault="004647B9" w:rsidP="00C811FE">
      <w:pPr>
        <w:rPr>
          <w:sz w:val="20"/>
          <w:szCs w:val="20"/>
        </w:rPr>
      </w:pPr>
    </w:p>
    <w:p w14:paraId="2819E73B" w14:textId="77777777" w:rsidR="004647B9" w:rsidRDefault="004647B9" w:rsidP="00C811FE">
      <w:pPr>
        <w:rPr>
          <w:sz w:val="20"/>
          <w:szCs w:val="20"/>
        </w:rPr>
      </w:pPr>
    </w:p>
    <w:p w14:paraId="2819E73C" w14:textId="77777777" w:rsidR="004647B9" w:rsidRPr="00C811FE" w:rsidRDefault="00E2436F">
      <w:pPr>
        <w:tabs>
          <w:tab w:val="left" w:pos="860"/>
        </w:tabs>
        <w:rPr>
          <w:sz w:val="24"/>
          <w:szCs w:val="24"/>
        </w:rPr>
      </w:pPr>
      <w:r w:rsidRPr="00C811FE">
        <w:rPr>
          <w:rFonts w:eastAsia="Times New Roman"/>
          <w:sz w:val="24"/>
          <w:szCs w:val="24"/>
        </w:rPr>
        <w:t>22.06B:</w:t>
      </w:r>
      <w:r w:rsidRPr="00C811FE">
        <w:rPr>
          <w:sz w:val="24"/>
          <w:szCs w:val="24"/>
        </w:rPr>
        <w:tab/>
      </w:r>
      <w:r w:rsidRPr="00C811FE">
        <w:rPr>
          <w:rFonts w:eastAsia="Times New Roman"/>
          <w:sz w:val="24"/>
          <w:szCs w:val="24"/>
        </w:rPr>
        <w:t>continued</w:t>
      </w:r>
    </w:p>
    <w:p w14:paraId="2819E73E" w14:textId="77777777" w:rsidR="004647B9" w:rsidRDefault="00E2436F">
      <w:pPr>
        <w:tabs>
          <w:tab w:val="left" w:pos="160"/>
        </w:tabs>
        <w:jc w:val="center"/>
        <w:rPr>
          <w:sz w:val="20"/>
          <w:szCs w:val="20"/>
        </w:rPr>
      </w:pPr>
      <w:r>
        <w:rPr>
          <w:rFonts w:eastAsia="Times New Roman"/>
          <w:sz w:val="24"/>
          <w:szCs w:val="24"/>
          <w:u w:val="single"/>
        </w:rPr>
        <w:t>ANALYTICAL METHODS</w:t>
      </w:r>
      <w:r>
        <w:rPr>
          <w:sz w:val="20"/>
          <w:szCs w:val="20"/>
        </w:rPr>
        <w:tab/>
      </w:r>
      <w:r>
        <w:rPr>
          <w:rFonts w:eastAsia="Times New Roman"/>
          <w:sz w:val="23"/>
          <w:szCs w:val="23"/>
        </w:rPr>
        <w:t>(continued)</w:t>
      </w:r>
    </w:p>
    <w:p w14:paraId="2819E73F" w14:textId="77777777" w:rsidR="004647B9" w:rsidRDefault="004647B9">
      <w:pPr>
        <w:sectPr w:rsidR="004647B9" w:rsidSect="00EF630C">
          <w:pgSz w:w="12240" w:h="20180"/>
          <w:pgMar w:top="708" w:right="1440" w:bottom="1440" w:left="600" w:header="0" w:footer="0" w:gutter="0"/>
          <w:cols w:space="720" w:equalWidth="0">
            <w:col w:w="10200"/>
          </w:cols>
        </w:sectPr>
      </w:pPr>
    </w:p>
    <w:p w14:paraId="2819E74A" w14:textId="77777777" w:rsidR="004647B9" w:rsidRPr="00637B04" w:rsidRDefault="00E2436F" w:rsidP="00AD1704">
      <w:pPr>
        <w:pStyle w:val="ListParagraph"/>
        <w:numPr>
          <w:ilvl w:val="0"/>
          <w:numId w:val="915"/>
        </w:numPr>
        <w:ind w:left="720" w:hanging="720"/>
        <w:jc w:val="both"/>
      </w:pPr>
      <w:r w:rsidRPr="00637B04">
        <w:rPr>
          <w:rFonts w:eastAsia="Times New Roman"/>
          <w:i/>
          <w:iCs/>
        </w:rPr>
        <w:t>Determination of Trace Elements by Stabilized Temperature Graphite Furnace Atomic Absorption Spectrometry</w:t>
      </w:r>
      <w:r w:rsidRPr="00637B04">
        <w:rPr>
          <w:rFonts w:eastAsia="Times New Roman"/>
        </w:rPr>
        <w:t>,</w:t>
      </w:r>
      <w:r w:rsidRPr="00637B04">
        <w:rPr>
          <w:rFonts w:eastAsia="Times New Roman"/>
          <w:i/>
          <w:iCs/>
        </w:rPr>
        <w:t xml:space="preserve"> </w:t>
      </w:r>
      <w:r w:rsidRPr="00637B04">
        <w:rPr>
          <w:rFonts w:eastAsia="Times New Roman"/>
        </w:rPr>
        <w:t xml:space="preserve">Revision 1.2, April 1991, </w:t>
      </w:r>
      <w:r w:rsidRPr="00637B04">
        <w:rPr>
          <w:rFonts w:eastAsia="Times New Roman"/>
          <w:i/>
          <w:iCs/>
        </w:rPr>
        <w:t>Methods for the Determination of Metals in Environmental Samples</w:t>
      </w:r>
      <w:r w:rsidRPr="00637B04">
        <w:rPr>
          <w:rFonts w:eastAsia="Times New Roman"/>
        </w:rPr>
        <w:t>, Office of Research and Development, Washington, DC 20460, EPA/600/4-91/010, June 1991.</w:t>
      </w:r>
    </w:p>
    <w:p w14:paraId="2819E74C" w14:textId="77777777" w:rsidR="004647B9" w:rsidRPr="00637B04" w:rsidRDefault="00E2436F" w:rsidP="00AD1704">
      <w:pPr>
        <w:pStyle w:val="ListParagraph"/>
        <w:numPr>
          <w:ilvl w:val="0"/>
          <w:numId w:val="915"/>
        </w:numPr>
        <w:ind w:left="720" w:hanging="720"/>
        <w:jc w:val="both"/>
      </w:pPr>
      <w:r w:rsidRPr="00637B04">
        <w:rPr>
          <w:rFonts w:eastAsia="Times New Roman"/>
          <w:i/>
          <w:iCs/>
        </w:rPr>
        <w:t>Determination of Inorganic Ions in Water by Ion Chromatography</w:t>
      </w:r>
      <w:r w:rsidRPr="00637B04">
        <w:rPr>
          <w:rFonts w:eastAsia="Times New Roman"/>
        </w:rPr>
        <w:t>, Method 300.0, December 1989, U.S. EPA</w:t>
      </w:r>
      <w:r w:rsidRPr="00637B04">
        <w:rPr>
          <w:rFonts w:eastAsia="Times New Roman"/>
          <w:i/>
          <w:iCs/>
        </w:rPr>
        <w:t xml:space="preserve"> </w:t>
      </w:r>
      <w:r w:rsidRPr="00637B04">
        <w:rPr>
          <w:rFonts w:eastAsia="Times New Roman"/>
        </w:rPr>
        <w:t>EMSL. This document is available from U.S. EPA, EMSL, Cincinnati, OH 45268.</w:t>
      </w:r>
    </w:p>
    <w:p w14:paraId="2819E751" w14:textId="54DC7926" w:rsidR="004647B9" w:rsidRPr="00637B04" w:rsidRDefault="00E2436F" w:rsidP="00AD1704">
      <w:pPr>
        <w:pStyle w:val="ListParagraph"/>
        <w:numPr>
          <w:ilvl w:val="0"/>
          <w:numId w:val="915"/>
        </w:numPr>
        <w:ind w:left="720" w:hanging="720"/>
        <w:jc w:val="both"/>
        <w:rPr>
          <w:rFonts w:eastAsia="Times New Roman"/>
        </w:rPr>
      </w:pPr>
      <w:r w:rsidRPr="00637B04">
        <w:rPr>
          <w:rFonts w:eastAsia="Times New Roman"/>
        </w:rPr>
        <w:t>For analyzing lead and copper, the technique applicable to total metals shall be used and samples cannot be filtered. Samples that contain less than one NTU (nephelometric turbidity unit) and are properly preserved (conc</w:t>
      </w:r>
      <w:r w:rsidR="00BC46E6" w:rsidRPr="00637B04">
        <w:rPr>
          <w:rFonts w:eastAsia="Times New Roman"/>
        </w:rPr>
        <w:t xml:space="preserve"> </w:t>
      </w:r>
      <w:r w:rsidRPr="00637B04">
        <w:rPr>
          <w:rFonts w:eastAsia="Times New Roman"/>
        </w:rPr>
        <w:t>HNO</w:t>
      </w:r>
      <w:r w:rsidRPr="00D23DFF">
        <w:rPr>
          <w:rFonts w:eastAsia="Times New Roman"/>
          <w:vertAlign w:val="subscript"/>
        </w:rPr>
        <w:t>3</w:t>
      </w:r>
      <w:r w:rsidRPr="00637B04">
        <w:rPr>
          <w:rFonts w:eastAsia="Times New Roman"/>
        </w:rPr>
        <w:t xml:space="preserve"> </w:t>
      </w:r>
      <w:r w:rsidR="00BC46E6" w:rsidRPr="00637B04">
        <w:rPr>
          <w:rFonts w:eastAsia="Times New Roman"/>
        </w:rPr>
        <w:t>to</w:t>
      </w:r>
      <w:r w:rsidRPr="00637B04">
        <w:rPr>
          <w:rFonts w:eastAsia="Times New Roman"/>
        </w:rPr>
        <w:t xml:space="preserve"> pH &lt;2) may be analyzed directly (without digestion) for total metals: otherwise, digestion is required. Turbidity shall be measured on the preserved samples just prior to when metals analysis is initiated. When digestion is required, the "total recoverable" technique as defined in the method shall be used.</w:t>
      </w:r>
    </w:p>
    <w:p w14:paraId="2819E753" w14:textId="77777777" w:rsidR="004647B9" w:rsidRPr="00637B04" w:rsidRDefault="00E2436F" w:rsidP="00AD1704">
      <w:pPr>
        <w:pStyle w:val="ListParagraph"/>
        <w:numPr>
          <w:ilvl w:val="0"/>
          <w:numId w:val="915"/>
        </w:numPr>
        <w:tabs>
          <w:tab w:val="left" w:pos="0"/>
        </w:tabs>
        <w:ind w:left="720" w:hanging="720"/>
        <w:rPr>
          <w:rFonts w:eastAsia="Times New Roman"/>
        </w:rPr>
      </w:pPr>
      <w:r w:rsidRPr="00637B04">
        <w:rPr>
          <w:rFonts w:eastAsia="Times New Roman"/>
        </w:rPr>
        <w:t>The description for Method 1001 for lead is available from Palintest, LTD, 21 Kenton Lands Road, P.O. Box 18395, Erlanger, KY 41018, or from the Hach Company, P.O. Box 389, Loveland, CO 80539.</w:t>
      </w:r>
    </w:p>
    <w:p w14:paraId="2819E754" w14:textId="5ED16DB2" w:rsidR="004647B9" w:rsidRPr="00637B04" w:rsidRDefault="00E2436F" w:rsidP="00AD1704">
      <w:pPr>
        <w:pStyle w:val="ListParagraph"/>
        <w:numPr>
          <w:ilvl w:val="0"/>
          <w:numId w:val="915"/>
        </w:numPr>
        <w:tabs>
          <w:tab w:val="left" w:pos="0"/>
        </w:tabs>
        <w:ind w:left="720" w:hanging="720"/>
        <w:rPr>
          <w:rFonts w:eastAsia="Times New Roman"/>
        </w:rPr>
      </w:pPr>
      <w:r w:rsidRPr="00637B04">
        <w:rPr>
          <w:rFonts w:eastAsia="Times New Roman"/>
        </w:rPr>
        <w:t>Standard Methods Online. The year in which each method</w:t>
      </w:r>
      <w:r w:rsidR="00D87BAE" w:rsidRPr="00637B04">
        <w:rPr>
          <w:rFonts w:eastAsia="Times New Roman"/>
        </w:rPr>
        <w:t xml:space="preserve"> </w:t>
      </w:r>
      <w:r w:rsidRPr="00637B04">
        <w:rPr>
          <w:rFonts w:eastAsia="Times New Roman"/>
        </w:rPr>
        <w:t>was approved by the Standard Methods Committee is designated by the last two digits in the method number.</w:t>
      </w:r>
      <w:r w:rsidR="00D87BAE" w:rsidRPr="00637B04">
        <w:rPr>
          <w:rFonts w:eastAsia="Times New Roman"/>
        </w:rPr>
        <w:t xml:space="preserve"> </w:t>
      </w:r>
      <w:r w:rsidRPr="00637B04">
        <w:rPr>
          <w:rFonts w:eastAsia="Times New Roman"/>
        </w:rPr>
        <w:t>The methods listed are the only online versions that may be used.</w:t>
      </w:r>
    </w:p>
    <w:p w14:paraId="2819E755" w14:textId="77777777" w:rsidR="004647B9" w:rsidRPr="0050372C" w:rsidRDefault="004647B9" w:rsidP="0050372C">
      <w:pPr>
        <w:rPr>
          <w:rFonts w:eastAsia="Times New Roman"/>
          <w:sz w:val="24"/>
          <w:szCs w:val="24"/>
        </w:rPr>
      </w:pPr>
    </w:p>
    <w:p w14:paraId="2819E756" w14:textId="236A2C18" w:rsidR="004647B9" w:rsidRDefault="00E2436F" w:rsidP="00AD1704">
      <w:pPr>
        <w:numPr>
          <w:ilvl w:val="3"/>
          <w:numId w:val="224"/>
        </w:numPr>
        <w:tabs>
          <w:tab w:val="left" w:pos="2316"/>
        </w:tabs>
        <w:ind w:left="1920" w:hanging="5"/>
        <w:jc w:val="both"/>
        <w:rPr>
          <w:rFonts w:eastAsia="Times New Roman"/>
          <w:sz w:val="24"/>
          <w:szCs w:val="24"/>
        </w:rPr>
      </w:pPr>
      <w:r>
        <w:rPr>
          <w:rFonts w:eastAsia="Times New Roman"/>
          <w:sz w:val="24"/>
          <w:szCs w:val="24"/>
        </w:rPr>
        <w:t>Analyses under 310 CMR 22.06B</w:t>
      </w:r>
      <w:r w:rsidR="006B3B3D">
        <w:rPr>
          <w:rFonts w:eastAsia="Times New Roman"/>
          <w:sz w:val="24"/>
          <w:szCs w:val="24"/>
        </w:rPr>
        <w:t>(10)</w:t>
      </w:r>
      <w:r>
        <w:rPr>
          <w:rFonts w:eastAsia="Times New Roman"/>
          <w:sz w:val="24"/>
          <w:szCs w:val="24"/>
        </w:rPr>
        <w:t xml:space="preserve"> </w:t>
      </w:r>
      <w:r w:rsidR="006B3B3D">
        <w:rPr>
          <w:rFonts w:eastAsia="Times New Roman"/>
          <w:sz w:val="24"/>
          <w:szCs w:val="24"/>
        </w:rPr>
        <w:t>for lead and copper</w:t>
      </w:r>
      <w:r>
        <w:rPr>
          <w:rFonts w:eastAsia="Times New Roman"/>
          <w:sz w:val="24"/>
          <w:szCs w:val="24"/>
        </w:rPr>
        <w:t xml:space="preserve"> shall only be conducted by laboratories that have been certified by EPA or the Department as stated in 310 CMR 22.11A. To obtain certification to conduct analyses for lead and copper, laboratories shall:</w:t>
      </w:r>
    </w:p>
    <w:p w14:paraId="2819E757" w14:textId="77777777" w:rsidR="004647B9" w:rsidRDefault="00E2436F" w:rsidP="00AD1704">
      <w:pPr>
        <w:numPr>
          <w:ilvl w:val="4"/>
          <w:numId w:val="224"/>
        </w:numPr>
        <w:tabs>
          <w:tab w:val="left" w:pos="2558"/>
        </w:tabs>
        <w:ind w:left="2280" w:hanging="5"/>
        <w:jc w:val="both"/>
        <w:rPr>
          <w:rFonts w:eastAsia="Times New Roman"/>
          <w:sz w:val="24"/>
          <w:szCs w:val="24"/>
        </w:rPr>
      </w:pPr>
      <w:r>
        <w:rPr>
          <w:rFonts w:eastAsia="Times New Roman"/>
          <w:sz w:val="24"/>
          <w:szCs w:val="24"/>
        </w:rPr>
        <w:t>Analyze performance evaluation samples which include lead and copper provided by a laboratory certified by the National Institute of Standards and Technology (NIST); and</w:t>
      </w:r>
    </w:p>
    <w:p w14:paraId="2819E759" w14:textId="77777777" w:rsidR="004647B9" w:rsidRDefault="00E2436F" w:rsidP="00AD1704">
      <w:pPr>
        <w:numPr>
          <w:ilvl w:val="4"/>
          <w:numId w:val="224"/>
        </w:numPr>
        <w:tabs>
          <w:tab w:val="left" w:pos="2640"/>
        </w:tabs>
        <w:ind w:left="2640" w:hanging="365"/>
        <w:rPr>
          <w:rFonts w:eastAsia="Times New Roman"/>
          <w:sz w:val="24"/>
          <w:szCs w:val="24"/>
        </w:rPr>
      </w:pPr>
      <w:r>
        <w:rPr>
          <w:rFonts w:eastAsia="Times New Roman"/>
          <w:sz w:val="24"/>
          <w:szCs w:val="24"/>
        </w:rPr>
        <w:t>quantitative acceptance limits as follows:</w:t>
      </w:r>
    </w:p>
    <w:p w14:paraId="2819E75B" w14:textId="77777777" w:rsidR="004647B9" w:rsidRDefault="00E2436F" w:rsidP="00AD1704">
      <w:pPr>
        <w:numPr>
          <w:ilvl w:val="5"/>
          <w:numId w:val="224"/>
        </w:numPr>
        <w:tabs>
          <w:tab w:val="left" w:pos="3098"/>
        </w:tabs>
        <w:ind w:left="2640" w:hanging="5"/>
        <w:jc w:val="both"/>
        <w:rPr>
          <w:rFonts w:eastAsia="Times New Roman"/>
          <w:sz w:val="24"/>
          <w:szCs w:val="24"/>
        </w:rPr>
      </w:pPr>
      <w:r>
        <w:rPr>
          <w:rFonts w:eastAsia="Times New Roman"/>
          <w:sz w:val="24"/>
          <w:szCs w:val="24"/>
        </w:rPr>
        <w:t>Lead: ±30% of the actual amount in the Performance Evaluation sample when the actual amount is greater than or equal to 0.005 mg/L. The Practical Quantitation Level, or PQL, for lead is 0.005 mg/L.</w:t>
      </w:r>
    </w:p>
    <w:p w14:paraId="2819E75D" w14:textId="77777777" w:rsidR="004647B9" w:rsidRDefault="00E2436F" w:rsidP="00AD1704">
      <w:pPr>
        <w:numPr>
          <w:ilvl w:val="5"/>
          <w:numId w:val="224"/>
        </w:numPr>
        <w:tabs>
          <w:tab w:val="left" w:pos="3098"/>
        </w:tabs>
        <w:ind w:left="2640" w:hanging="5"/>
        <w:jc w:val="both"/>
        <w:rPr>
          <w:rFonts w:eastAsia="Times New Roman"/>
          <w:sz w:val="24"/>
          <w:szCs w:val="24"/>
        </w:rPr>
      </w:pPr>
      <w:r>
        <w:rPr>
          <w:rFonts w:eastAsia="Times New Roman"/>
          <w:sz w:val="24"/>
          <w:szCs w:val="24"/>
        </w:rPr>
        <w:t>Copper: ±10% of the actual amount in the Performance Evaluation sample when the actual amount is greater than or equal to 0.050 mg/L. The Practical Quantitation Level, or PQL, for copper is 0.05 mg/L.</w:t>
      </w:r>
    </w:p>
    <w:p w14:paraId="2819E75F" w14:textId="77777777" w:rsidR="004647B9" w:rsidRDefault="00E2436F" w:rsidP="00AD1704">
      <w:pPr>
        <w:numPr>
          <w:ilvl w:val="4"/>
          <w:numId w:val="224"/>
        </w:numPr>
        <w:tabs>
          <w:tab w:val="left" w:pos="2720"/>
        </w:tabs>
        <w:ind w:left="2720" w:hanging="445"/>
        <w:rPr>
          <w:rFonts w:eastAsia="Times New Roman"/>
          <w:sz w:val="24"/>
          <w:szCs w:val="24"/>
        </w:rPr>
      </w:pPr>
      <w:r>
        <w:rPr>
          <w:rFonts w:eastAsia="Times New Roman"/>
          <w:sz w:val="24"/>
          <w:szCs w:val="24"/>
        </w:rPr>
        <w:t>If the laboratory will be processing source water composite samples under</w:t>
      </w:r>
    </w:p>
    <w:p w14:paraId="2819E761" w14:textId="77777777" w:rsidR="004647B9" w:rsidRDefault="00E2436F" w:rsidP="00AD1704">
      <w:pPr>
        <w:ind w:left="2280"/>
        <w:rPr>
          <w:rFonts w:eastAsia="Times New Roman"/>
          <w:sz w:val="24"/>
          <w:szCs w:val="24"/>
        </w:rPr>
      </w:pPr>
      <w:r>
        <w:rPr>
          <w:rFonts w:eastAsia="Times New Roman"/>
          <w:sz w:val="24"/>
          <w:szCs w:val="24"/>
        </w:rPr>
        <w:t>310 CMR 22.06B(9)(a)1.d., achieve method detection limits for lead of 0.001 mg/L according to the procedures in Appendix B of Part 136 of 40 CFR.</w:t>
      </w:r>
    </w:p>
    <w:p w14:paraId="2819E763" w14:textId="77777777" w:rsidR="004647B9" w:rsidRDefault="00E2436F" w:rsidP="00AD1704">
      <w:pPr>
        <w:numPr>
          <w:ilvl w:val="4"/>
          <w:numId w:val="224"/>
        </w:numPr>
        <w:tabs>
          <w:tab w:val="left" w:pos="2712"/>
        </w:tabs>
        <w:ind w:left="2280" w:hanging="5"/>
        <w:rPr>
          <w:rFonts w:eastAsia="Times New Roman"/>
          <w:sz w:val="24"/>
          <w:szCs w:val="24"/>
        </w:rPr>
      </w:pPr>
      <w:r>
        <w:rPr>
          <w:rFonts w:eastAsia="Times New Roman"/>
          <w:sz w:val="24"/>
          <w:szCs w:val="24"/>
        </w:rPr>
        <w:t>Be currently certified by EPA or the Department to perform analyses to the specifications described in 310 CMR 22.06B(10)(a)1.</w:t>
      </w:r>
    </w:p>
    <w:p w14:paraId="2819E765" w14:textId="3B2A53CF" w:rsidR="004647B9" w:rsidRDefault="00E2436F" w:rsidP="00AD1704">
      <w:pPr>
        <w:numPr>
          <w:ilvl w:val="3"/>
          <w:numId w:val="224"/>
        </w:numPr>
        <w:tabs>
          <w:tab w:val="left" w:pos="2234"/>
        </w:tabs>
        <w:ind w:left="1920" w:hanging="5"/>
        <w:jc w:val="both"/>
        <w:rPr>
          <w:rFonts w:eastAsia="Times New Roman"/>
          <w:sz w:val="24"/>
          <w:szCs w:val="24"/>
        </w:rPr>
      </w:pPr>
      <w:r>
        <w:rPr>
          <w:rFonts w:eastAsia="Times New Roman"/>
          <w:sz w:val="24"/>
          <w:szCs w:val="24"/>
        </w:rPr>
        <w:t>The Department has the authority to allow the use of previously collected monitoring data for purposes of monitoring, if the data were collected an</w:t>
      </w:r>
      <w:r w:rsidR="00D327E9">
        <w:rPr>
          <w:rFonts w:eastAsia="Times New Roman"/>
          <w:sz w:val="24"/>
          <w:szCs w:val="24"/>
        </w:rPr>
        <w:t>d</w:t>
      </w:r>
      <w:r>
        <w:rPr>
          <w:rFonts w:eastAsia="Times New Roman"/>
          <w:sz w:val="24"/>
          <w:szCs w:val="24"/>
        </w:rPr>
        <w:t xml:space="preserve"> analyzed in accordance with the requirements of 310 CMR 22.06B.</w:t>
      </w:r>
    </w:p>
    <w:p w14:paraId="2819E767" w14:textId="77777777" w:rsidR="004647B9" w:rsidRDefault="00E2436F" w:rsidP="00AD1704">
      <w:pPr>
        <w:numPr>
          <w:ilvl w:val="3"/>
          <w:numId w:val="224"/>
        </w:numPr>
        <w:tabs>
          <w:tab w:val="left" w:pos="2280"/>
        </w:tabs>
        <w:ind w:left="1920" w:hanging="5"/>
        <w:jc w:val="both"/>
        <w:rPr>
          <w:rFonts w:eastAsia="Times New Roman"/>
          <w:sz w:val="24"/>
          <w:szCs w:val="24"/>
        </w:rPr>
      </w:pPr>
      <w:r>
        <w:rPr>
          <w:rFonts w:eastAsia="Times New Roman"/>
          <w:sz w:val="24"/>
          <w:szCs w:val="24"/>
        </w:rPr>
        <w:t>All lead levels measured between the PQL and the MDL shall be either reported as measured or they can be reported as one-half the PQL (0.0025 mg/L). All levels below the lead MDL shall be reported as zero.</w:t>
      </w:r>
    </w:p>
    <w:p w14:paraId="2819E769" w14:textId="77777777" w:rsidR="004647B9" w:rsidRDefault="00E2436F" w:rsidP="00AD1704">
      <w:pPr>
        <w:numPr>
          <w:ilvl w:val="3"/>
          <w:numId w:val="224"/>
        </w:numPr>
        <w:tabs>
          <w:tab w:val="left" w:pos="2275"/>
        </w:tabs>
        <w:ind w:left="1920" w:hanging="5"/>
        <w:jc w:val="both"/>
        <w:rPr>
          <w:rFonts w:eastAsia="Times New Roman"/>
          <w:sz w:val="24"/>
          <w:szCs w:val="24"/>
        </w:rPr>
      </w:pPr>
      <w:r>
        <w:rPr>
          <w:rFonts w:eastAsia="Times New Roman"/>
          <w:sz w:val="24"/>
          <w:szCs w:val="24"/>
        </w:rPr>
        <w:t>All copper levels measured between the PQL and the MDL shall be either reported as measured or they can be reported as one-half the PQL (0.025 mg/L). All levels below the copper MDL shall be reported as zero.</w:t>
      </w:r>
    </w:p>
    <w:p w14:paraId="2819E76A" w14:textId="77777777" w:rsidR="004647B9" w:rsidRPr="00242CB1" w:rsidRDefault="004647B9" w:rsidP="00AD1704">
      <w:pPr>
        <w:rPr>
          <w:rFonts w:eastAsia="Times New Roman"/>
          <w:sz w:val="24"/>
          <w:szCs w:val="24"/>
        </w:rPr>
      </w:pPr>
    </w:p>
    <w:p w14:paraId="2819E76B" w14:textId="77777777" w:rsidR="004647B9" w:rsidRPr="00242CB1" w:rsidRDefault="00E2436F" w:rsidP="00AD1704">
      <w:pPr>
        <w:numPr>
          <w:ilvl w:val="1"/>
          <w:numId w:val="224"/>
        </w:numPr>
        <w:tabs>
          <w:tab w:val="left" w:pos="1769"/>
        </w:tabs>
        <w:ind w:left="1200"/>
        <w:rPr>
          <w:rFonts w:eastAsia="Times New Roman"/>
          <w:sz w:val="24"/>
          <w:szCs w:val="24"/>
        </w:rPr>
      </w:pPr>
      <w:r w:rsidRPr="00242CB1">
        <w:rPr>
          <w:rFonts w:eastAsia="Times New Roman"/>
          <w:sz w:val="24"/>
          <w:szCs w:val="24"/>
          <w:u w:val="single"/>
        </w:rPr>
        <w:t>Reporting Requirements</w:t>
      </w:r>
      <w:r w:rsidRPr="00242CB1">
        <w:rPr>
          <w:rFonts w:eastAsia="Times New Roman"/>
          <w:sz w:val="24"/>
          <w:szCs w:val="24"/>
        </w:rPr>
        <w:t>. All water systems shall report all of the following information to the Department in accordance with 310 CMR 22.06B(11).</w:t>
      </w:r>
    </w:p>
    <w:p w14:paraId="2819E76D" w14:textId="77777777" w:rsidR="004647B9" w:rsidRPr="00242CB1" w:rsidRDefault="00E2436F" w:rsidP="00AD1704">
      <w:pPr>
        <w:numPr>
          <w:ilvl w:val="2"/>
          <w:numId w:val="224"/>
        </w:numPr>
        <w:tabs>
          <w:tab w:val="left" w:pos="2064"/>
        </w:tabs>
        <w:ind w:left="1560" w:hanging="5"/>
        <w:rPr>
          <w:rFonts w:eastAsia="Times New Roman"/>
          <w:sz w:val="24"/>
          <w:szCs w:val="24"/>
        </w:rPr>
      </w:pPr>
      <w:r w:rsidRPr="00242CB1">
        <w:rPr>
          <w:rFonts w:eastAsia="Times New Roman"/>
          <w:sz w:val="24"/>
          <w:szCs w:val="24"/>
        </w:rPr>
        <w:t>Reporting requirements for tap water monitoring for lead and copper and for water quality parameter monitoring</w:t>
      </w:r>
    </w:p>
    <w:p w14:paraId="2819E771" w14:textId="61DE03CA" w:rsidR="004647B9" w:rsidRPr="00242CB1" w:rsidRDefault="00E2436F" w:rsidP="00AD1704">
      <w:pPr>
        <w:numPr>
          <w:ilvl w:val="3"/>
          <w:numId w:val="224"/>
        </w:numPr>
        <w:tabs>
          <w:tab w:val="left" w:pos="2280"/>
        </w:tabs>
        <w:ind w:left="1920" w:hanging="5"/>
        <w:jc w:val="both"/>
        <w:rPr>
          <w:rFonts w:eastAsia="Times New Roman"/>
          <w:sz w:val="24"/>
          <w:szCs w:val="24"/>
        </w:rPr>
      </w:pPr>
      <w:r w:rsidRPr="00242CB1">
        <w:rPr>
          <w:rFonts w:eastAsia="Times New Roman"/>
          <w:sz w:val="24"/>
          <w:szCs w:val="24"/>
        </w:rPr>
        <w:t>Except as provided in 310 CMR 22.06B(11)(a)1.</w:t>
      </w:r>
      <w:r w:rsidR="00500725">
        <w:rPr>
          <w:rFonts w:eastAsia="Times New Roman"/>
          <w:sz w:val="24"/>
          <w:szCs w:val="24"/>
        </w:rPr>
        <w:t>g</w:t>
      </w:r>
      <w:r w:rsidRPr="00242CB1">
        <w:rPr>
          <w:rFonts w:eastAsia="Times New Roman"/>
          <w:sz w:val="24"/>
          <w:szCs w:val="24"/>
        </w:rPr>
        <w:t>., a water system shall report the information specified below for all tap water samples specified in 310 CMR 22.06B(7) and for all water quality parameter samples specified in 310 CMR 22.06B(8) within the first ten days following the end of each applicable monitoring period specified in</w:t>
      </w:r>
      <w:r w:rsidR="00242CB1">
        <w:rPr>
          <w:rFonts w:eastAsia="Times New Roman"/>
          <w:sz w:val="24"/>
          <w:szCs w:val="24"/>
        </w:rPr>
        <w:t xml:space="preserve"> 310 </w:t>
      </w:r>
      <w:r w:rsidRPr="00242CB1">
        <w:rPr>
          <w:rFonts w:eastAsia="Times New Roman"/>
          <w:sz w:val="24"/>
          <w:szCs w:val="24"/>
        </w:rPr>
        <w:t>CMR 22.06B(7) and (8) (</w:t>
      </w:r>
      <w:r w:rsidRPr="00242CB1">
        <w:rPr>
          <w:rFonts w:eastAsia="Times New Roman"/>
          <w:i/>
          <w:iCs/>
          <w:sz w:val="24"/>
          <w:szCs w:val="24"/>
        </w:rPr>
        <w:t>i.e</w:t>
      </w:r>
      <w:r w:rsidRPr="00242CB1">
        <w:rPr>
          <w:rFonts w:eastAsia="Times New Roman"/>
          <w:sz w:val="24"/>
          <w:szCs w:val="24"/>
        </w:rPr>
        <w:t>., every six-months, annually, every three years, or every nine years). For monitoring periods with a duration less than six months, the end of the monitoring period is the last date samples can be collected during that period as specified in 310 CMR 22.06B(7) and (8).</w:t>
      </w:r>
    </w:p>
    <w:p w14:paraId="2819E773" w14:textId="77777777" w:rsidR="004647B9" w:rsidRPr="00242CB1" w:rsidRDefault="00E2436F" w:rsidP="00AD1704">
      <w:pPr>
        <w:numPr>
          <w:ilvl w:val="4"/>
          <w:numId w:val="225"/>
        </w:numPr>
        <w:tabs>
          <w:tab w:val="left" w:pos="2619"/>
        </w:tabs>
        <w:ind w:left="2275"/>
        <w:jc w:val="both"/>
        <w:rPr>
          <w:rFonts w:eastAsia="Times New Roman"/>
          <w:sz w:val="24"/>
          <w:szCs w:val="24"/>
        </w:rPr>
      </w:pPr>
      <w:r w:rsidRPr="00242CB1">
        <w:rPr>
          <w:rFonts w:eastAsia="Times New Roman"/>
          <w:sz w:val="24"/>
          <w:szCs w:val="24"/>
        </w:rPr>
        <w:t>The results of all tap samples for lead and copper including the location of each site and the criteria under 310 CMR 22.06B(7)(a)3. through 6., and/or 7. under which the site was selected for the system's sampling pool;</w:t>
      </w:r>
    </w:p>
    <w:p w14:paraId="2819E774" w14:textId="28AC8477" w:rsidR="004647B9" w:rsidRDefault="004647B9" w:rsidP="00AE2D9C">
      <w:pPr>
        <w:rPr>
          <w:sz w:val="20"/>
          <w:szCs w:val="20"/>
        </w:rPr>
      </w:pPr>
    </w:p>
    <w:p w14:paraId="2819E775" w14:textId="77777777" w:rsidR="004647B9" w:rsidRDefault="004647B9" w:rsidP="00AE2D9C">
      <w:pPr>
        <w:sectPr w:rsidR="004647B9" w:rsidSect="00EF630C">
          <w:type w:val="continuous"/>
          <w:pgSz w:w="12240" w:h="20180"/>
          <w:pgMar w:top="708" w:right="1440" w:bottom="1440" w:left="600" w:header="0" w:footer="0" w:gutter="0"/>
          <w:cols w:space="720" w:equalWidth="0">
            <w:col w:w="10200"/>
          </w:cols>
        </w:sectPr>
      </w:pPr>
    </w:p>
    <w:p w14:paraId="2819E776" w14:textId="77777777" w:rsidR="004647B9" w:rsidRDefault="00E2436F">
      <w:pPr>
        <w:tabs>
          <w:tab w:val="left" w:pos="160"/>
        </w:tabs>
        <w:jc w:val="center"/>
        <w:rPr>
          <w:sz w:val="20"/>
          <w:szCs w:val="20"/>
        </w:rPr>
      </w:pPr>
      <w:bookmarkStart w:id="90" w:name="page92"/>
      <w:bookmarkEnd w:id="9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777" w14:textId="77777777" w:rsidR="004647B9" w:rsidRDefault="004647B9" w:rsidP="00AD1704">
      <w:pPr>
        <w:rPr>
          <w:sz w:val="20"/>
          <w:szCs w:val="20"/>
        </w:rPr>
      </w:pPr>
    </w:p>
    <w:p w14:paraId="2819E778" w14:textId="77777777" w:rsidR="004647B9" w:rsidRDefault="004647B9" w:rsidP="00AD1704">
      <w:pPr>
        <w:rPr>
          <w:sz w:val="20"/>
          <w:szCs w:val="20"/>
        </w:rPr>
      </w:pPr>
    </w:p>
    <w:p w14:paraId="2819E779" w14:textId="6260E9B6" w:rsidR="004647B9" w:rsidRDefault="00E2436F">
      <w:pPr>
        <w:tabs>
          <w:tab w:val="left" w:pos="800"/>
        </w:tabs>
        <w:rPr>
          <w:sz w:val="20"/>
          <w:szCs w:val="20"/>
        </w:rPr>
      </w:pPr>
      <w:r>
        <w:rPr>
          <w:rFonts w:eastAsia="Times New Roman"/>
          <w:sz w:val="24"/>
          <w:szCs w:val="24"/>
        </w:rPr>
        <w:t>22.</w:t>
      </w:r>
      <w:r w:rsidR="00D23DFF">
        <w:rPr>
          <w:rFonts w:eastAsia="Times New Roman"/>
          <w:sz w:val="24"/>
          <w:szCs w:val="24"/>
        </w:rPr>
        <w:t>0</w:t>
      </w:r>
      <w:r>
        <w:rPr>
          <w:rFonts w:eastAsia="Times New Roman"/>
          <w:sz w:val="24"/>
          <w:szCs w:val="24"/>
        </w:rPr>
        <w:t>6B:</w:t>
      </w:r>
      <w:r>
        <w:rPr>
          <w:rFonts w:eastAsia="Times New Roman"/>
          <w:sz w:val="24"/>
          <w:szCs w:val="24"/>
        </w:rPr>
        <w:tab/>
        <w:t>continued</w:t>
      </w:r>
    </w:p>
    <w:p w14:paraId="2819E77A" w14:textId="77777777" w:rsidR="004647B9" w:rsidRDefault="004647B9" w:rsidP="00AD1704">
      <w:pPr>
        <w:rPr>
          <w:sz w:val="20"/>
          <w:szCs w:val="20"/>
        </w:rPr>
      </w:pPr>
    </w:p>
    <w:p w14:paraId="2819E77B" w14:textId="77777777" w:rsidR="004647B9" w:rsidRPr="00AE2D9C" w:rsidRDefault="00E2436F" w:rsidP="00AD1704">
      <w:pPr>
        <w:numPr>
          <w:ilvl w:val="1"/>
          <w:numId w:val="226"/>
        </w:numPr>
        <w:tabs>
          <w:tab w:val="left" w:pos="2652"/>
        </w:tabs>
        <w:ind w:left="2280" w:hanging="5"/>
        <w:rPr>
          <w:rFonts w:eastAsia="Times New Roman"/>
          <w:sz w:val="24"/>
          <w:szCs w:val="24"/>
        </w:rPr>
      </w:pPr>
      <w:r w:rsidRPr="00AE2D9C">
        <w:rPr>
          <w:rFonts w:eastAsia="Times New Roman"/>
          <w:sz w:val="24"/>
          <w:szCs w:val="24"/>
        </w:rPr>
        <w:t>Documentation for each sample tap water lead or copper sample for which the water system requests invalidation pursuant to 310 CMR 22.06B(7)(f)2.;</w:t>
      </w:r>
    </w:p>
    <w:p w14:paraId="2819E77D" w14:textId="5ED24401" w:rsidR="004647B9" w:rsidRPr="00AE2D9C" w:rsidRDefault="00E2436F" w:rsidP="00AD1704">
      <w:pPr>
        <w:numPr>
          <w:ilvl w:val="1"/>
          <w:numId w:val="226"/>
        </w:numPr>
        <w:tabs>
          <w:tab w:val="left" w:pos="2598"/>
        </w:tabs>
        <w:ind w:left="2280" w:hanging="5"/>
        <w:jc w:val="both"/>
        <w:rPr>
          <w:rFonts w:eastAsia="Times New Roman"/>
          <w:sz w:val="24"/>
          <w:szCs w:val="24"/>
        </w:rPr>
      </w:pPr>
      <w:r w:rsidRPr="00AE2D9C">
        <w:rPr>
          <w:rFonts w:eastAsia="Times New Roman"/>
          <w:sz w:val="24"/>
          <w:szCs w:val="24"/>
        </w:rPr>
        <w:t>the 90</w:t>
      </w:r>
      <w:r w:rsidRPr="00AE2D9C">
        <w:rPr>
          <w:rFonts w:eastAsia="Times New Roman"/>
          <w:sz w:val="24"/>
          <w:szCs w:val="24"/>
          <w:vertAlign w:val="superscript"/>
        </w:rPr>
        <w:t>th</w:t>
      </w:r>
      <w:r w:rsidRPr="00AE2D9C">
        <w:rPr>
          <w:rFonts w:eastAsia="Times New Roman"/>
          <w:sz w:val="24"/>
          <w:szCs w:val="24"/>
        </w:rPr>
        <w:t xml:space="preserve"> percentile lead and copper concentrations measured from among all lead and copper tap water samples collected during each monitoring period (calculated in accordance with 310 CMR 22.06B(1)(c)3.</w:t>
      </w:r>
      <w:r w:rsidR="003C0A41">
        <w:rPr>
          <w:rFonts w:eastAsia="Times New Roman"/>
          <w:sz w:val="24"/>
          <w:szCs w:val="24"/>
        </w:rPr>
        <w:t>),</w:t>
      </w:r>
      <w:r w:rsidRPr="00AE2D9C">
        <w:rPr>
          <w:rFonts w:eastAsia="Times New Roman"/>
          <w:sz w:val="24"/>
          <w:szCs w:val="24"/>
        </w:rPr>
        <w:t xml:space="preserve"> </w:t>
      </w:r>
      <w:r w:rsidR="00650F19">
        <w:rPr>
          <w:rFonts w:eastAsia="Times New Roman"/>
          <w:sz w:val="24"/>
          <w:szCs w:val="24"/>
        </w:rPr>
        <w:t>u</w:t>
      </w:r>
      <w:r w:rsidRPr="00AE2D9C">
        <w:rPr>
          <w:rFonts w:eastAsia="Times New Roman"/>
          <w:sz w:val="24"/>
          <w:szCs w:val="24"/>
        </w:rPr>
        <w:t>nless the Department calculates the systems 90</w:t>
      </w:r>
      <w:r w:rsidRPr="00AE2D9C">
        <w:rPr>
          <w:rFonts w:eastAsia="Times New Roman"/>
          <w:sz w:val="24"/>
          <w:szCs w:val="24"/>
          <w:vertAlign w:val="superscript"/>
        </w:rPr>
        <w:t>th</w:t>
      </w:r>
      <w:r w:rsidRPr="00AE2D9C">
        <w:rPr>
          <w:rFonts w:eastAsia="Times New Roman"/>
          <w:sz w:val="24"/>
          <w:szCs w:val="24"/>
        </w:rPr>
        <w:t xml:space="preserve"> percentile lead and copper levels under 310 CMR 22.06B(11)(h);</w:t>
      </w:r>
    </w:p>
    <w:p w14:paraId="2819E77E" w14:textId="77777777" w:rsidR="004647B9" w:rsidRPr="00AE2D9C" w:rsidRDefault="00E2436F" w:rsidP="00AD1704">
      <w:pPr>
        <w:numPr>
          <w:ilvl w:val="1"/>
          <w:numId w:val="226"/>
        </w:numPr>
        <w:tabs>
          <w:tab w:val="left" w:pos="2726"/>
        </w:tabs>
        <w:ind w:left="2280" w:hanging="5"/>
        <w:jc w:val="both"/>
        <w:rPr>
          <w:rFonts w:eastAsia="Times New Roman"/>
          <w:sz w:val="24"/>
          <w:szCs w:val="24"/>
        </w:rPr>
      </w:pPr>
      <w:r w:rsidRPr="00AE2D9C">
        <w:rPr>
          <w:rFonts w:eastAsia="Times New Roman"/>
          <w:sz w:val="24"/>
          <w:szCs w:val="24"/>
        </w:rPr>
        <w:t>with the exception of initial tap sampling conducted pursuant to 310 CMR 22.06B(7)(d)1., the system shall designate any site which was not sampled during previous monitoring periods, and include an explanation of why sampling sites have changed;</w:t>
      </w:r>
    </w:p>
    <w:p w14:paraId="2819E77F" w14:textId="77777777" w:rsidR="004647B9" w:rsidRPr="00AE2D9C" w:rsidRDefault="00E2436F" w:rsidP="00AD1704">
      <w:pPr>
        <w:numPr>
          <w:ilvl w:val="1"/>
          <w:numId w:val="226"/>
        </w:numPr>
        <w:tabs>
          <w:tab w:val="left" w:pos="2634"/>
        </w:tabs>
        <w:ind w:left="2280" w:hanging="5"/>
        <w:jc w:val="both"/>
        <w:rPr>
          <w:rFonts w:eastAsia="Times New Roman"/>
          <w:sz w:val="24"/>
          <w:szCs w:val="24"/>
        </w:rPr>
      </w:pPr>
      <w:r w:rsidRPr="00AE2D9C">
        <w:rPr>
          <w:rFonts w:eastAsia="Times New Roman"/>
          <w:sz w:val="24"/>
          <w:szCs w:val="24"/>
        </w:rPr>
        <w:t>the results of all tap samples for pH, and where applicable, alkalinity, calcium, conductivity, temperature, and orthophosphate or silica collected under 310 CMR 22.06B(8)(b) through (e);</w:t>
      </w:r>
    </w:p>
    <w:p w14:paraId="2819E781" w14:textId="77777777" w:rsidR="004647B9" w:rsidRPr="00AE2D9C" w:rsidRDefault="00E2436F" w:rsidP="00AD1704">
      <w:pPr>
        <w:numPr>
          <w:ilvl w:val="1"/>
          <w:numId w:val="226"/>
        </w:numPr>
        <w:tabs>
          <w:tab w:val="left" w:pos="2578"/>
        </w:tabs>
        <w:ind w:left="2280" w:hanging="5"/>
        <w:jc w:val="both"/>
        <w:rPr>
          <w:rFonts w:eastAsia="Times New Roman"/>
          <w:sz w:val="24"/>
          <w:szCs w:val="24"/>
        </w:rPr>
      </w:pPr>
      <w:r w:rsidRPr="00AE2D9C">
        <w:rPr>
          <w:rFonts w:eastAsia="Times New Roman"/>
          <w:sz w:val="24"/>
          <w:szCs w:val="24"/>
        </w:rPr>
        <w:t>the results of all samples collected at the entry point(s) to the distribution system for applicable water quality parameters under 310 CMR 22.06B(8)(b) through (e).</w:t>
      </w:r>
    </w:p>
    <w:p w14:paraId="2819E783" w14:textId="77777777" w:rsidR="004647B9" w:rsidRPr="00AE2D9C" w:rsidRDefault="00E2436F" w:rsidP="00AD1704">
      <w:pPr>
        <w:numPr>
          <w:ilvl w:val="1"/>
          <w:numId w:val="226"/>
        </w:numPr>
        <w:tabs>
          <w:tab w:val="left" w:pos="2674"/>
        </w:tabs>
        <w:ind w:left="2280" w:hanging="5"/>
        <w:jc w:val="both"/>
        <w:rPr>
          <w:rFonts w:eastAsia="Times New Roman"/>
          <w:sz w:val="24"/>
          <w:szCs w:val="24"/>
        </w:rPr>
      </w:pPr>
      <w:r w:rsidRPr="00AE2D9C">
        <w:rPr>
          <w:rFonts w:eastAsia="Times New Roman"/>
          <w:sz w:val="24"/>
          <w:szCs w:val="24"/>
        </w:rPr>
        <w:t>A water system shall report the results of all water quality parameter samples collected under 310 CMR 22.06B(8)(c) through (f) during each six-month monitoring period specified in 310 CMR 22.06B(8)(d) within the first ten days following the end of the monitoring period unless the Department has specified a more frequent reporting requirement.</w:t>
      </w:r>
    </w:p>
    <w:p w14:paraId="2819E785" w14:textId="77777777" w:rsidR="004647B9" w:rsidRPr="00AE2D9C" w:rsidRDefault="00E2436F" w:rsidP="00AD1704">
      <w:pPr>
        <w:numPr>
          <w:ilvl w:val="0"/>
          <w:numId w:val="227"/>
        </w:numPr>
        <w:tabs>
          <w:tab w:val="left" w:pos="2338"/>
        </w:tabs>
        <w:ind w:left="1920" w:hanging="5"/>
        <w:jc w:val="both"/>
        <w:rPr>
          <w:rFonts w:eastAsia="Times New Roman"/>
          <w:sz w:val="24"/>
          <w:szCs w:val="24"/>
        </w:rPr>
      </w:pPr>
      <w:r w:rsidRPr="00AE2D9C">
        <w:rPr>
          <w:rFonts w:eastAsia="Times New Roman"/>
          <w:sz w:val="24"/>
          <w:szCs w:val="24"/>
        </w:rPr>
        <w:t>For a non-transient non-community water system, or a community water system meeting the criteria of 310 CMR 22.06B(6)(b)7., that does not have enough taps that can provide first-draw samples, the system shall either:</w:t>
      </w:r>
    </w:p>
    <w:p w14:paraId="2819E787" w14:textId="77777777" w:rsidR="004647B9" w:rsidRPr="00AE2D9C" w:rsidRDefault="00E2436F" w:rsidP="00AD1704">
      <w:pPr>
        <w:numPr>
          <w:ilvl w:val="1"/>
          <w:numId w:val="227"/>
        </w:numPr>
        <w:tabs>
          <w:tab w:val="left" w:pos="2591"/>
        </w:tabs>
        <w:ind w:left="2280" w:hanging="5"/>
        <w:jc w:val="both"/>
        <w:rPr>
          <w:rFonts w:eastAsia="Times New Roman"/>
          <w:sz w:val="24"/>
          <w:szCs w:val="24"/>
        </w:rPr>
      </w:pPr>
      <w:r w:rsidRPr="00AE2D9C">
        <w:rPr>
          <w:rFonts w:eastAsia="Times New Roman"/>
          <w:sz w:val="24"/>
          <w:szCs w:val="24"/>
        </w:rPr>
        <w:t>Provide written documentation to the Department identifying standing times and locations for enough non-first-draw samples to make up its sampling pool under 310 CMR 22.06B(7)(b)5. by the start of the first applicable monitoring period under 310 CMR 22.06B(7)(d) that commences after April 11, 2000, unless the Department has waived prior Department approval of non-first-draw sample sites selected by the system pursuant to 310 CMR 22.06B(7)(b)5.; or</w:t>
      </w:r>
    </w:p>
    <w:p w14:paraId="2819E789" w14:textId="77777777" w:rsidR="004647B9" w:rsidRPr="00774B7F" w:rsidRDefault="00E2436F" w:rsidP="00AD1704">
      <w:pPr>
        <w:numPr>
          <w:ilvl w:val="1"/>
          <w:numId w:val="227"/>
        </w:numPr>
        <w:tabs>
          <w:tab w:val="left" w:pos="2736"/>
        </w:tabs>
        <w:ind w:left="2280" w:hanging="5"/>
        <w:jc w:val="both"/>
        <w:rPr>
          <w:rFonts w:eastAsia="Times New Roman"/>
          <w:sz w:val="24"/>
          <w:szCs w:val="24"/>
        </w:rPr>
      </w:pPr>
      <w:r w:rsidRPr="00774B7F">
        <w:rPr>
          <w:rFonts w:eastAsia="Times New Roman"/>
          <w:sz w:val="24"/>
          <w:szCs w:val="24"/>
        </w:rPr>
        <w:t>If the Department has waived prior approval of non-first-draw sample sites selected by the system, identify, in writing, each site that did not meet the six-hour minimum standing time and the length of standing time for that particular substitute sample collected pursuant to 310 CMR 22.06B(7)(b)5. and include this information with the lead and copper tap sample results required to be submitted pursuant to 310 CMR 22.07B(11)(a)1.a.</w:t>
      </w:r>
    </w:p>
    <w:p w14:paraId="2819E78B" w14:textId="77777777" w:rsidR="004647B9" w:rsidRPr="00774B7F" w:rsidRDefault="00E2436F" w:rsidP="00AD1704">
      <w:pPr>
        <w:numPr>
          <w:ilvl w:val="0"/>
          <w:numId w:val="227"/>
        </w:numPr>
        <w:tabs>
          <w:tab w:val="left" w:pos="2258"/>
        </w:tabs>
        <w:ind w:left="2280" w:hanging="365"/>
        <w:jc w:val="both"/>
        <w:rPr>
          <w:rFonts w:eastAsia="Times New Roman"/>
          <w:sz w:val="24"/>
          <w:szCs w:val="24"/>
        </w:rPr>
      </w:pPr>
      <w:r w:rsidRPr="00774B7F">
        <w:rPr>
          <w:rFonts w:eastAsia="Times New Roman"/>
          <w:sz w:val="24"/>
          <w:szCs w:val="24"/>
        </w:rPr>
        <w:t>a. At a time specified by the Department, or if no specific time is designated by the Department, then as early as possible but no later than 60 days prior to the addition of a new source or any long-term change in water treatment, a water system deemed to have optimized corrosion control under 310 CMR 22.06B(2)(b)3., a water system subject to reduced monitoring pursuant to 310 CMR 22.06B(7)(d)4., or a water system subject to a monitoring waiver pursuant to 310 CMR 22.06B(7)(g), shall submit a demonstration study to the Department describing the change or addition. The Department must review and approve the addition of a new source or the long-term change in treatment including a demonstration study before it is implemented by the water system. Examples of long-term treatment changes include the addition of a new treatment process or modification of an existing treatment process. Examples of modifications include switching secondary disinfectants, switching coagulants (</w:t>
      </w:r>
      <w:r w:rsidRPr="00774B7F">
        <w:rPr>
          <w:rFonts w:eastAsia="Times New Roman"/>
          <w:i/>
          <w:iCs/>
          <w:sz w:val="24"/>
          <w:szCs w:val="24"/>
        </w:rPr>
        <w:t>e.g</w:t>
      </w:r>
      <w:r w:rsidRPr="00774B7F">
        <w:rPr>
          <w:rFonts w:eastAsia="Times New Roman"/>
          <w:sz w:val="24"/>
          <w:szCs w:val="24"/>
        </w:rPr>
        <w:t>., alum to ferric chloride), and switching corrosion inhibitor products (</w:t>
      </w:r>
      <w:r w:rsidRPr="00774B7F">
        <w:rPr>
          <w:rFonts w:eastAsia="Times New Roman"/>
          <w:i/>
          <w:iCs/>
          <w:sz w:val="24"/>
          <w:szCs w:val="24"/>
        </w:rPr>
        <w:t>e.g</w:t>
      </w:r>
      <w:r w:rsidRPr="00774B7F">
        <w:rPr>
          <w:rFonts w:eastAsia="Times New Roman"/>
          <w:sz w:val="24"/>
          <w:szCs w:val="24"/>
        </w:rPr>
        <w:t>., orthophosphate to blended phosphate). Long-term changes can include dose changes to existing chemicals if the system is planning long-term changes to its finished water pH or residual inhibitor concentration. Long-term treatment changes would not include chemical dose fluctuations associated with daily raw water quality changes or seasonal variations.</w:t>
      </w:r>
    </w:p>
    <w:p w14:paraId="2819E78D" w14:textId="77777777" w:rsidR="004647B9" w:rsidRPr="00774B7F" w:rsidRDefault="00E2436F" w:rsidP="00AD1704">
      <w:pPr>
        <w:numPr>
          <w:ilvl w:val="1"/>
          <w:numId w:val="228"/>
        </w:numPr>
        <w:tabs>
          <w:tab w:val="left" w:pos="2647"/>
        </w:tabs>
        <w:ind w:left="2280" w:hanging="5"/>
        <w:jc w:val="both"/>
        <w:rPr>
          <w:rFonts w:eastAsia="Times New Roman"/>
          <w:sz w:val="24"/>
          <w:szCs w:val="24"/>
        </w:rPr>
      </w:pPr>
      <w:r w:rsidRPr="00774B7F">
        <w:rPr>
          <w:rFonts w:eastAsia="Times New Roman"/>
          <w:sz w:val="24"/>
          <w:szCs w:val="24"/>
        </w:rPr>
        <w:t>For any short-term changes in corrosion control treatment practices, the public water system must notify the Department within 24 hours of making such changes. If the changes persist longer than seven days, then it will constitute a Treatment Technique Violation and the public water system shall provide public notification in accordance with 310 CMR 22.16(3).</w:t>
      </w:r>
    </w:p>
    <w:p w14:paraId="2819E78E" w14:textId="77777777" w:rsidR="004647B9" w:rsidRDefault="004647B9">
      <w:pPr>
        <w:sectPr w:rsidR="004647B9" w:rsidSect="00EF630C">
          <w:pgSz w:w="12240" w:h="20180"/>
          <w:pgMar w:top="708" w:right="1440" w:bottom="1440" w:left="600" w:header="0" w:footer="0" w:gutter="0"/>
          <w:cols w:space="720" w:equalWidth="0">
            <w:col w:w="10200"/>
          </w:cols>
        </w:sectPr>
      </w:pPr>
    </w:p>
    <w:p w14:paraId="2819E78F" w14:textId="77777777" w:rsidR="004647B9" w:rsidRDefault="00E2436F">
      <w:pPr>
        <w:tabs>
          <w:tab w:val="left" w:pos="160"/>
        </w:tabs>
        <w:jc w:val="center"/>
        <w:rPr>
          <w:sz w:val="20"/>
          <w:szCs w:val="20"/>
        </w:rPr>
      </w:pPr>
      <w:bookmarkStart w:id="91" w:name="page93"/>
      <w:bookmarkEnd w:id="9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790" w14:textId="77777777" w:rsidR="004647B9" w:rsidRDefault="004647B9" w:rsidP="00AD1704">
      <w:pPr>
        <w:rPr>
          <w:sz w:val="20"/>
          <w:szCs w:val="20"/>
        </w:rPr>
      </w:pPr>
    </w:p>
    <w:p w14:paraId="2819E791" w14:textId="77777777" w:rsidR="004647B9" w:rsidRDefault="004647B9" w:rsidP="00AD1704">
      <w:pPr>
        <w:rPr>
          <w:sz w:val="20"/>
          <w:szCs w:val="20"/>
        </w:rPr>
      </w:pPr>
    </w:p>
    <w:p w14:paraId="2819E792"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793" w14:textId="77777777" w:rsidR="004647B9" w:rsidRPr="005E55C4" w:rsidRDefault="004647B9" w:rsidP="00AD1704">
      <w:pPr>
        <w:rPr>
          <w:sz w:val="20"/>
          <w:szCs w:val="20"/>
        </w:rPr>
      </w:pPr>
    </w:p>
    <w:p w14:paraId="2819E794" w14:textId="77777777" w:rsidR="004647B9" w:rsidRPr="00774B7F" w:rsidRDefault="00E2436F" w:rsidP="00563A54">
      <w:pPr>
        <w:numPr>
          <w:ilvl w:val="1"/>
          <w:numId w:val="229"/>
        </w:numPr>
        <w:tabs>
          <w:tab w:val="left" w:pos="2278"/>
        </w:tabs>
        <w:spacing w:line="263" w:lineRule="auto"/>
        <w:ind w:left="1920" w:hanging="5"/>
        <w:jc w:val="both"/>
        <w:rPr>
          <w:rFonts w:eastAsia="Times New Roman"/>
          <w:sz w:val="24"/>
          <w:szCs w:val="24"/>
        </w:rPr>
      </w:pPr>
      <w:r w:rsidRPr="00774B7F">
        <w:rPr>
          <w:rFonts w:eastAsia="Times New Roman"/>
          <w:sz w:val="24"/>
          <w:szCs w:val="24"/>
        </w:rPr>
        <w:t>Any small system applying for a monitoring waiver under 310 CMR 22.06B(7)(g), or subject to a waiver granted pursuant to 310 CMR 22.06B(7)(g)3., shall provide the following information to the Department in writing by the specified deadline:</w:t>
      </w:r>
    </w:p>
    <w:p w14:paraId="2819E796" w14:textId="77777777" w:rsidR="004647B9" w:rsidRPr="00774B7F" w:rsidRDefault="00E2436F" w:rsidP="00563A54">
      <w:pPr>
        <w:numPr>
          <w:ilvl w:val="2"/>
          <w:numId w:val="229"/>
        </w:numPr>
        <w:tabs>
          <w:tab w:val="left" w:pos="2617"/>
        </w:tabs>
        <w:spacing w:line="243" w:lineRule="auto"/>
        <w:ind w:left="2280" w:hanging="5"/>
        <w:jc w:val="both"/>
        <w:rPr>
          <w:rFonts w:eastAsia="Times New Roman"/>
          <w:sz w:val="24"/>
          <w:szCs w:val="24"/>
        </w:rPr>
      </w:pPr>
      <w:r w:rsidRPr="00774B7F">
        <w:rPr>
          <w:rFonts w:eastAsia="Times New Roman"/>
          <w:sz w:val="24"/>
          <w:szCs w:val="24"/>
        </w:rPr>
        <w:t>By the start of the first applicable monitoring period in 310 CMR 22.06B(7)(d), any small water system applying for a monitoring waiver shall provide the documentation required to demonstrate that it meets the waiver criteria of 310 CMR 22.06B(7)(g)1. and 2.</w:t>
      </w:r>
    </w:p>
    <w:p w14:paraId="2819E797" w14:textId="77777777" w:rsidR="004647B9" w:rsidRPr="00774B7F" w:rsidRDefault="00E2436F" w:rsidP="00563A54">
      <w:pPr>
        <w:numPr>
          <w:ilvl w:val="2"/>
          <w:numId w:val="229"/>
        </w:numPr>
        <w:tabs>
          <w:tab w:val="left" w:pos="2654"/>
        </w:tabs>
        <w:spacing w:line="243" w:lineRule="auto"/>
        <w:ind w:left="2280" w:hanging="5"/>
        <w:jc w:val="both"/>
        <w:rPr>
          <w:rFonts w:eastAsia="Times New Roman"/>
          <w:sz w:val="24"/>
          <w:szCs w:val="24"/>
        </w:rPr>
      </w:pPr>
      <w:r w:rsidRPr="00774B7F">
        <w:rPr>
          <w:rFonts w:eastAsia="Times New Roman"/>
          <w:sz w:val="24"/>
          <w:szCs w:val="24"/>
        </w:rPr>
        <w:t>No later than nine years after the monitoring previously conducted pursuant to 310 CMR 22.06B(7)(g)2. or 4.a., each small system desiring to maintain its monitoring waiver shall provide the information required by 310 CMR 22.06B(7)(g)4.a. and b.</w:t>
      </w:r>
    </w:p>
    <w:p w14:paraId="2819E79A" w14:textId="36E340D1" w:rsidR="004647B9" w:rsidRPr="00774B7F" w:rsidRDefault="00E2436F" w:rsidP="00563A54">
      <w:pPr>
        <w:numPr>
          <w:ilvl w:val="2"/>
          <w:numId w:val="229"/>
        </w:numPr>
        <w:tabs>
          <w:tab w:val="left" w:pos="2670"/>
        </w:tabs>
        <w:spacing w:line="253" w:lineRule="auto"/>
        <w:ind w:left="2280" w:hanging="5"/>
        <w:jc w:val="both"/>
        <w:rPr>
          <w:rFonts w:eastAsia="Times New Roman"/>
          <w:sz w:val="24"/>
          <w:szCs w:val="24"/>
        </w:rPr>
      </w:pPr>
      <w:r w:rsidRPr="00774B7F">
        <w:rPr>
          <w:rFonts w:eastAsia="Times New Roman"/>
          <w:sz w:val="24"/>
          <w:szCs w:val="24"/>
        </w:rPr>
        <w:t>No later than 60 days after it becomes aware that it is no longer free of lead-containing and/or copper-containing material, as appropriate, each small system with</w:t>
      </w:r>
      <w:r w:rsidR="00774B7F">
        <w:rPr>
          <w:rFonts w:eastAsia="Times New Roman"/>
          <w:sz w:val="24"/>
          <w:szCs w:val="24"/>
        </w:rPr>
        <w:t xml:space="preserve"> a </w:t>
      </w:r>
      <w:r w:rsidRPr="00774B7F">
        <w:rPr>
          <w:rFonts w:eastAsia="Times New Roman"/>
          <w:sz w:val="24"/>
          <w:szCs w:val="24"/>
        </w:rPr>
        <w:t>monitoring waiver shall provide written notification to the Department, setting forth the circumstances resulting in the lead-containing and/or copper-containing materials being introduced into the system and what corrective action, if any, the system plans to remove these materials.</w:t>
      </w:r>
    </w:p>
    <w:p w14:paraId="2819E79B" w14:textId="77777777" w:rsidR="004647B9" w:rsidRPr="00774B7F" w:rsidRDefault="00E2436F" w:rsidP="00563A54">
      <w:pPr>
        <w:numPr>
          <w:ilvl w:val="2"/>
          <w:numId w:val="230"/>
        </w:numPr>
        <w:tabs>
          <w:tab w:val="left" w:pos="2813"/>
        </w:tabs>
        <w:spacing w:line="253" w:lineRule="auto"/>
        <w:ind w:left="2280" w:hanging="5"/>
        <w:jc w:val="both"/>
        <w:rPr>
          <w:rFonts w:eastAsia="Times New Roman"/>
          <w:sz w:val="24"/>
          <w:szCs w:val="24"/>
        </w:rPr>
      </w:pPr>
      <w:r w:rsidRPr="00774B7F">
        <w:rPr>
          <w:rFonts w:eastAsia="Times New Roman"/>
          <w:sz w:val="24"/>
          <w:szCs w:val="24"/>
        </w:rPr>
        <w:t>By October 10, 2000, any small system with a waiver granted prior to April 11, 2000 and that has not previously met the requirements of 310 CMR 22.06B(7)(g)2. shall provide the information required by 310 CMR 22.06B(7)(g)2.</w:t>
      </w:r>
    </w:p>
    <w:p w14:paraId="2819E79D" w14:textId="77777777" w:rsidR="004647B9" w:rsidRPr="00774B7F" w:rsidRDefault="00E2436F" w:rsidP="00563A54">
      <w:pPr>
        <w:numPr>
          <w:ilvl w:val="1"/>
          <w:numId w:val="231"/>
        </w:numPr>
        <w:tabs>
          <w:tab w:val="left" w:pos="2251"/>
        </w:tabs>
        <w:spacing w:line="253" w:lineRule="auto"/>
        <w:ind w:left="1920" w:hanging="5"/>
        <w:jc w:val="both"/>
        <w:rPr>
          <w:rFonts w:eastAsia="Times New Roman"/>
          <w:sz w:val="24"/>
          <w:szCs w:val="24"/>
        </w:rPr>
      </w:pPr>
      <w:r w:rsidRPr="00774B7F">
        <w:rPr>
          <w:rFonts w:eastAsia="Times New Roman"/>
          <w:sz w:val="24"/>
          <w:szCs w:val="24"/>
        </w:rPr>
        <w:t>Each ground water system that limits water quality parameter monitoring to a subset of entry points under 310 CMR 22.06B(8)(c)3. shall provide, by the commencement of such monitoring, written correspondence to the Department that identifies the selected entry points and includes information sufficient to demonstrate that the sites are representative of water quality and treatment conditions throughout the system.</w:t>
      </w:r>
    </w:p>
    <w:p w14:paraId="2819E79F" w14:textId="77777777" w:rsidR="004647B9" w:rsidRPr="00774B7F" w:rsidRDefault="00E2436F" w:rsidP="00563A54">
      <w:pPr>
        <w:numPr>
          <w:ilvl w:val="0"/>
          <w:numId w:val="232"/>
        </w:numPr>
        <w:tabs>
          <w:tab w:val="left" w:pos="2020"/>
        </w:tabs>
        <w:ind w:left="2020" w:hanging="465"/>
        <w:rPr>
          <w:rFonts w:eastAsia="Times New Roman"/>
          <w:sz w:val="24"/>
          <w:szCs w:val="24"/>
        </w:rPr>
      </w:pPr>
      <w:r w:rsidRPr="00774B7F">
        <w:rPr>
          <w:rFonts w:eastAsia="Times New Roman"/>
          <w:sz w:val="24"/>
          <w:szCs w:val="24"/>
          <w:u w:val="single"/>
        </w:rPr>
        <w:t>Source Water Monitoring Reporting Requirements</w:t>
      </w:r>
      <w:r w:rsidRPr="00774B7F">
        <w:rPr>
          <w:rFonts w:eastAsia="Times New Roman"/>
          <w:sz w:val="24"/>
          <w:szCs w:val="24"/>
        </w:rPr>
        <w:t>.</w:t>
      </w:r>
    </w:p>
    <w:p w14:paraId="2819E7A1" w14:textId="77777777" w:rsidR="004647B9" w:rsidRPr="00774B7F" w:rsidRDefault="00E2436F" w:rsidP="00563A54">
      <w:pPr>
        <w:numPr>
          <w:ilvl w:val="1"/>
          <w:numId w:val="232"/>
        </w:numPr>
        <w:tabs>
          <w:tab w:val="left" w:pos="2388"/>
        </w:tabs>
        <w:spacing w:line="243" w:lineRule="auto"/>
        <w:ind w:left="1920" w:hanging="5"/>
        <w:jc w:val="both"/>
        <w:rPr>
          <w:rFonts w:eastAsia="Times New Roman"/>
          <w:sz w:val="24"/>
          <w:szCs w:val="24"/>
        </w:rPr>
      </w:pPr>
      <w:r w:rsidRPr="00774B7F">
        <w:rPr>
          <w:rFonts w:eastAsia="Times New Roman"/>
          <w:sz w:val="24"/>
          <w:szCs w:val="24"/>
        </w:rPr>
        <w:t>A water system shall report the sampling results for all source water samples collected in accordance with 310 CMR 22.06B(9), within the first ten days following the end of each source water monitoring period (</w:t>
      </w:r>
      <w:r w:rsidRPr="00774B7F">
        <w:rPr>
          <w:rFonts w:eastAsia="Times New Roman"/>
          <w:i/>
          <w:iCs/>
          <w:sz w:val="24"/>
          <w:szCs w:val="24"/>
        </w:rPr>
        <w:t>i.e</w:t>
      </w:r>
      <w:r w:rsidRPr="00774B7F">
        <w:rPr>
          <w:rFonts w:eastAsia="Times New Roman"/>
          <w:sz w:val="24"/>
          <w:szCs w:val="24"/>
        </w:rPr>
        <w:t>., annually, per compliance period, per compliance cycle) specified in 310 CMR 22.06B(9).</w:t>
      </w:r>
    </w:p>
    <w:p w14:paraId="2819E7A2" w14:textId="77777777" w:rsidR="004647B9" w:rsidRPr="00774B7F" w:rsidRDefault="00E2436F" w:rsidP="00563A54">
      <w:pPr>
        <w:numPr>
          <w:ilvl w:val="1"/>
          <w:numId w:val="232"/>
        </w:numPr>
        <w:tabs>
          <w:tab w:val="left" w:pos="2280"/>
        </w:tabs>
        <w:spacing w:line="243" w:lineRule="auto"/>
        <w:ind w:left="1920" w:hanging="5"/>
        <w:jc w:val="both"/>
        <w:rPr>
          <w:rFonts w:eastAsia="Times New Roman"/>
          <w:sz w:val="24"/>
          <w:szCs w:val="24"/>
        </w:rPr>
      </w:pPr>
      <w:r w:rsidRPr="00774B7F">
        <w:rPr>
          <w:rFonts w:eastAsia="Times New Roman"/>
          <w:sz w:val="24"/>
          <w:szCs w:val="24"/>
        </w:rPr>
        <w:t>With the exception of the first round of source water sampling conducted pursuant to 310 CMR 22.06B(9)(b), the system shall specify any site which was not sampled during previous monitoring periods, and include an explanation of why the sampling point has changed.</w:t>
      </w:r>
    </w:p>
    <w:p w14:paraId="2819E7A5" w14:textId="7F1CBF21" w:rsidR="004647B9" w:rsidRPr="00B1250F" w:rsidRDefault="00E2436F" w:rsidP="00563A54">
      <w:pPr>
        <w:numPr>
          <w:ilvl w:val="0"/>
          <w:numId w:val="232"/>
        </w:numPr>
        <w:tabs>
          <w:tab w:val="left" w:pos="2000"/>
        </w:tabs>
        <w:ind w:left="1560"/>
        <w:rPr>
          <w:rFonts w:eastAsia="Times New Roman"/>
          <w:sz w:val="24"/>
          <w:szCs w:val="24"/>
        </w:rPr>
      </w:pPr>
      <w:r w:rsidRPr="00774B7F">
        <w:rPr>
          <w:rFonts w:eastAsia="Times New Roman"/>
          <w:sz w:val="24"/>
          <w:szCs w:val="24"/>
          <w:u w:val="single"/>
        </w:rPr>
        <w:t>Corrosion Control Treatment Reporting Requirements</w:t>
      </w:r>
      <w:r w:rsidRPr="00774B7F">
        <w:rPr>
          <w:rFonts w:eastAsia="Times New Roman"/>
          <w:sz w:val="24"/>
          <w:szCs w:val="24"/>
        </w:rPr>
        <w:t>. By the applicable dates under</w:t>
      </w:r>
      <w:r w:rsidR="00B1250F">
        <w:rPr>
          <w:rFonts w:eastAsia="Times New Roman"/>
          <w:sz w:val="24"/>
          <w:szCs w:val="24"/>
        </w:rPr>
        <w:t xml:space="preserve"> </w:t>
      </w:r>
      <w:r w:rsidRPr="00B1250F">
        <w:rPr>
          <w:rFonts w:eastAsia="Times New Roman"/>
          <w:sz w:val="24"/>
          <w:szCs w:val="24"/>
        </w:rPr>
        <w:t>310 CMR 22.06B(2), systems shall report the following information:</w:t>
      </w:r>
    </w:p>
    <w:p w14:paraId="2819E7A7" w14:textId="77777777" w:rsidR="004647B9" w:rsidRPr="00774B7F" w:rsidRDefault="00E2436F" w:rsidP="00563A54">
      <w:pPr>
        <w:numPr>
          <w:ilvl w:val="1"/>
          <w:numId w:val="232"/>
        </w:numPr>
        <w:tabs>
          <w:tab w:val="left" w:pos="2395"/>
        </w:tabs>
        <w:spacing w:line="243" w:lineRule="auto"/>
        <w:ind w:left="1920" w:hanging="5"/>
        <w:rPr>
          <w:rFonts w:eastAsia="Times New Roman"/>
          <w:sz w:val="24"/>
          <w:szCs w:val="24"/>
        </w:rPr>
      </w:pPr>
      <w:r w:rsidRPr="00774B7F">
        <w:rPr>
          <w:rFonts w:eastAsia="Times New Roman"/>
          <w:sz w:val="24"/>
          <w:szCs w:val="24"/>
        </w:rPr>
        <w:t>for systems demonstrating that they have already optimized corrosion control, information required in 310 CMR 22.06B(2)(b)2. or 3.</w:t>
      </w:r>
    </w:p>
    <w:p w14:paraId="2819E7A8" w14:textId="77777777" w:rsidR="004647B9" w:rsidRPr="00774B7F" w:rsidRDefault="00E2436F" w:rsidP="00563A54">
      <w:pPr>
        <w:numPr>
          <w:ilvl w:val="1"/>
          <w:numId w:val="232"/>
        </w:numPr>
        <w:tabs>
          <w:tab w:val="left" w:pos="2263"/>
        </w:tabs>
        <w:spacing w:line="243" w:lineRule="auto"/>
        <w:ind w:left="1920" w:hanging="5"/>
        <w:rPr>
          <w:rFonts w:eastAsia="Times New Roman"/>
          <w:sz w:val="24"/>
          <w:szCs w:val="24"/>
        </w:rPr>
      </w:pPr>
      <w:r w:rsidRPr="00774B7F">
        <w:rPr>
          <w:rFonts w:eastAsia="Times New Roman"/>
          <w:sz w:val="24"/>
          <w:szCs w:val="24"/>
        </w:rPr>
        <w:t>for systems required to optimize corrosion control, their recommendation regarding optimal corrosion control treatment under 310 CMR 22.06B(3)(a).</w:t>
      </w:r>
    </w:p>
    <w:p w14:paraId="2819E7A9" w14:textId="77777777" w:rsidR="004647B9" w:rsidRPr="00774B7F" w:rsidRDefault="00E2436F" w:rsidP="00563A54">
      <w:pPr>
        <w:numPr>
          <w:ilvl w:val="1"/>
          <w:numId w:val="232"/>
        </w:numPr>
        <w:tabs>
          <w:tab w:val="left" w:pos="2323"/>
        </w:tabs>
        <w:spacing w:line="243" w:lineRule="auto"/>
        <w:ind w:left="1920" w:hanging="5"/>
        <w:rPr>
          <w:rFonts w:eastAsia="Times New Roman"/>
          <w:sz w:val="24"/>
          <w:szCs w:val="24"/>
        </w:rPr>
      </w:pPr>
      <w:r w:rsidRPr="00774B7F">
        <w:rPr>
          <w:rFonts w:eastAsia="Times New Roman"/>
          <w:sz w:val="24"/>
          <w:szCs w:val="24"/>
        </w:rPr>
        <w:t>for systems required to evaluate the effectiveness of corrosion control treatments under 310 CMR 22.06B(3)(c) the information required by 310 CMR 22.06B(3)(c).</w:t>
      </w:r>
    </w:p>
    <w:p w14:paraId="2819E7AA" w14:textId="77777777" w:rsidR="004647B9" w:rsidRPr="00774B7F" w:rsidRDefault="00E2436F" w:rsidP="00563A54">
      <w:pPr>
        <w:numPr>
          <w:ilvl w:val="1"/>
          <w:numId w:val="232"/>
        </w:numPr>
        <w:tabs>
          <w:tab w:val="left" w:pos="2474"/>
        </w:tabs>
        <w:spacing w:line="243" w:lineRule="auto"/>
        <w:ind w:left="1920" w:hanging="5"/>
        <w:jc w:val="both"/>
        <w:rPr>
          <w:rFonts w:eastAsia="Times New Roman"/>
          <w:sz w:val="24"/>
          <w:szCs w:val="24"/>
        </w:rPr>
      </w:pPr>
      <w:r w:rsidRPr="00774B7F">
        <w:rPr>
          <w:rFonts w:eastAsia="Times New Roman"/>
          <w:sz w:val="24"/>
          <w:szCs w:val="24"/>
        </w:rPr>
        <w:t>for systems required to install optimal corrosion control designated by the Department under 310 CMR 22.06B(3)(d), a letter certifying that the system has completed installing that treatment.</w:t>
      </w:r>
    </w:p>
    <w:p w14:paraId="2819E7AE" w14:textId="12C83DFB" w:rsidR="004647B9" w:rsidRPr="00B1250F" w:rsidRDefault="00E2436F" w:rsidP="00563A54">
      <w:pPr>
        <w:numPr>
          <w:ilvl w:val="0"/>
          <w:numId w:val="232"/>
        </w:numPr>
        <w:tabs>
          <w:tab w:val="left" w:pos="1960"/>
        </w:tabs>
        <w:ind w:left="1560"/>
        <w:rPr>
          <w:rFonts w:eastAsia="Times New Roman"/>
          <w:sz w:val="24"/>
          <w:szCs w:val="24"/>
        </w:rPr>
      </w:pPr>
      <w:r w:rsidRPr="00774B7F">
        <w:rPr>
          <w:rFonts w:eastAsia="Times New Roman"/>
          <w:sz w:val="24"/>
          <w:szCs w:val="24"/>
          <w:u w:val="single"/>
        </w:rPr>
        <w:t>Source Water Treatment Reporting Requirements</w:t>
      </w:r>
      <w:r w:rsidRPr="00774B7F">
        <w:rPr>
          <w:rFonts w:eastAsia="Times New Roman"/>
          <w:sz w:val="24"/>
          <w:szCs w:val="24"/>
        </w:rPr>
        <w:t>. By the applicable dates in 310 CMR</w:t>
      </w:r>
      <w:r w:rsidR="00B1250F">
        <w:rPr>
          <w:rFonts w:eastAsia="Times New Roman"/>
          <w:sz w:val="24"/>
          <w:szCs w:val="24"/>
        </w:rPr>
        <w:t xml:space="preserve"> </w:t>
      </w:r>
      <w:r w:rsidRPr="00B1250F">
        <w:rPr>
          <w:rFonts w:eastAsia="Times New Roman"/>
          <w:sz w:val="24"/>
          <w:szCs w:val="24"/>
        </w:rPr>
        <w:t>22.06B(4), systems shall provide the following information to the Department:</w:t>
      </w:r>
    </w:p>
    <w:p w14:paraId="2819E7B0" w14:textId="77777777" w:rsidR="004647B9" w:rsidRPr="00774B7F" w:rsidRDefault="00E2436F" w:rsidP="00563A54">
      <w:pPr>
        <w:numPr>
          <w:ilvl w:val="1"/>
          <w:numId w:val="232"/>
        </w:numPr>
        <w:tabs>
          <w:tab w:val="left" w:pos="2258"/>
        </w:tabs>
        <w:spacing w:line="243" w:lineRule="auto"/>
        <w:ind w:left="1920" w:hanging="5"/>
        <w:rPr>
          <w:rFonts w:eastAsia="Times New Roman"/>
          <w:sz w:val="24"/>
          <w:szCs w:val="24"/>
        </w:rPr>
      </w:pPr>
      <w:r w:rsidRPr="00774B7F">
        <w:rPr>
          <w:rFonts w:eastAsia="Times New Roman"/>
          <w:sz w:val="24"/>
          <w:szCs w:val="24"/>
        </w:rPr>
        <w:t>if required under 310 CMR 22.06B(4)(b)1., their recommendation regarding source water treatment;</w:t>
      </w:r>
    </w:p>
    <w:p w14:paraId="2819E7B1" w14:textId="77777777" w:rsidR="004647B9" w:rsidRPr="00774B7F" w:rsidRDefault="00E2436F" w:rsidP="00563A54">
      <w:pPr>
        <w:numPr>
          <w:ilvl w:val="1"/>
          <w:numId w:val="232"/>
        </w:numPr>
        <w:tabs>
          <w:tab w:val="left" w:pos="2561"/>
        </w:tabs>
        <w:spacing w:line="243" w:lineRule="auto"/>
        <w:ind w:left="1920" w:hanging="5"/>
        <w:jc w:val="both"/>
        <w:rPr>
          <w:rFonts w:eastAsia="Times New Roman"/>
          <w:sz w:val="24"/>
          <w:szCs w:val="24"/>
        </w:rPr>
      </w:pPr>
      <w:r w:rsidRPr="00774B7F">
        <w:rPr>
          <w:rFonts w:eastAsia="Times New Roman"/>
          <w:sz w:val="24"/>
          <w:szCs w:val="24"/>
        </w:rPr>
        <w:t>for systems required to install source water treatment under 310 CMR 22.06B(4)(b)2., a letter certifying that the system has completed installing the treatment designated by the Department within 24 months after the Department designated the treatment.</w:t>
      </w:r>
    </w:p>
    <w:p w14:paraId="2819E7B2" w14:textId="77777777" w:rsidR="004647B9" w:rsidRPr="00774B7F" w:rsidRDefault="00E2436F" w:rsidP="00563A54">
      <w:pPr>
        <w:numPr>
          <w:ilvl w:val="0"/>
          <w:numId w:val="232"/>
        </w:numPr>
        <w:tabs>
          <w:tab w:val="left" w:pos="2062"/>
        </w:tabs>
        <w:spacing w:line="244" w:lineRule="auto"/>
        <w:ind w:left="1560" w:hanging="5"/>
        <w:jc w:val="both"/>
        <w:rPr>
          <w:rFonts w:eastAsia="Times New Roman"/>
          <w:sz w:val="24"/>
          <w:szCs w:val="24"/>
        </w:rPr>
      </w:pPr>
      <w:r w:rsidRPr="00774B7F">
        <w:rPr>
          <w:rFonts w:eastAsia="Times New Roman"/>
          <w:sz w:val="24"/>
          <w:szCs w:val="24"/>
          <w:u w:val="single"/>
        </w:rPr>
        <w:t>Lead Service Line Replacement Reporting Requirements</w:t>
      </w:r>
      <w:r w:rsidRPr="00774B7F">
        <w:rPr>
          <w:rFonts w:eastAsia="Times New Roman"/>
          <w:sz w:val="24"/>
          <w:szCs w:val="24"/>
        </w:rPr>
        <w:t>. Systems shall report the following information to the Department to demonstrate compliance with the requirements of 310 CMR 22.06B(5):</w:t>
      </w:r>
    </w:p>
    <w:p w14:paraId="2819E7B3" w14:textId="77777777" w:rsidR="004647B9" w:rsidRDefault="004647B9">
      <w:pPr>
        <w:sectPr w:rsidR="004647B9" w:rsidSect="00EF630C">
          <w:pgSz w:w="12240" w:h="20180"/>
          <w:pgMar w:top="708" w:right="1440" w:bottom="1440" w:left="600" w:header="0" w:footer="0" w:gutter="0"/>
          <w:cols w:space="720" w:equalWidth="0">
            <w:col w:w="10200"/>
          </w:cols>
        </w:sectPr>
      </w:pPr>
    </w:p>
    <w:p w14:paraId="2819E7B4" w14:textId="77777777" w:rsidR="004647B9" w:rsidRDefault="00E2436F">
      <w:pPr>
        <w:tabs>
          <w:tab w:val="left" w:pos="160"/>
        </w:tabs>
        <w:jc w:val="center"/>
        <w:rPr>
          <w:sz w:val="20"/>
          <w:szCs w:val="20"/>
        </w:rPr>
      </w:pPr>
      <w:bookmarkStart w:id="92" w:name="page94"/>
      <w:bookmarkEnd w:id="9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7B5" w14:textId="77777777" w:rsidR="004647B9" w:rsidRDefault="004647B9" w:rsidP="00AB5F3B">
      <w:pPr>
        <w:rPr>
          <w:sz w:val="20"/>
          <w:szCs w:val="20"/>
        </w:rPr>
      </w:pPr>
    </w:p>
    <w:p w14:paraId="2819E7B6" w14:textId="77777777" w:rsidR="004647B9" w:rsidRDefault="004647B9" w:rsidP="00AB5F3B">
      <w:pPr>
        <w:rPr>
          <w:sz w:val="20"/>
          <w:szCs w:val="20"/>
        </w:rPr>
      </w:pPr>
    </w:p>
    <w:p w14:paraId="2819E7B7"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7B8" w14:textId="77777777" w:rsidR="004647B9" w:rsidRDefault="004647B9" w:rsidP="00AB5F3B">
      <w:pPr>
        <w:rPr>
          <w:sz w:val="20"/>
          <w:szCs w:val="20"/>
        </w:rPr>
      </w:pPr>
    </w:p>
    <w:p w14:paraId="2819E7B9" w14:textId="77777777" w:rsidR="004647B9" w:rsidRPr="00B1250F" w:rsidRDefault="00E2436F" w:rsidP="00AB5F3B">
      <w:pPr>
        <w:numPr>
          <w:ilvl w:val="1"/>
          <w:numId w:val="233"/>
        </w:numPr>
        <w:tabs>
          <w:tab w:val="left" w:pos="2338"/>
        </w:tabs>
        <w:ind w:left="1920" w:hanging="5"/>
        <w:jc w:val="both"/>
        <w:rPr>
          <w:rFonts w:eastAsia="Times New Roman"/>
          <w:sz w:val="24"/>
          <w:szCs w:val="24"/>
        </w:rPr>
      </w:pPr>
      <w:r w:rsidRPr="00B1250F">
        <w:rPr>
          <w:rFonts w:eastAsia="Times New Roman"/>
          <w:sz w:val="24"/>
          <w:szCs w:val="24"/>
        </w:rPr>
        <w:t>No later than 12 months after the end of a monitoring period in which a system exceeds the lead action level in sampling referred to in 310 CMR 22.06B(5)(a), the system shall demonstrate in writing to the Department that it has conducted a materials evaluation, including the evaluation in 310 CMR 22.06B(7)(a), to identify the initial number of lead service lines in its distribution system at the time the system exceeds the lead action level, and shall provide the Department with the system's schedule for replacing annually at least 7% of the initial number of lead service lines in its distribution system.</w:t>
      </w:r>
    </w:p>
    <w:p w14:paraId="2819E7BD" w14:textId="1EA6B976" w:rsidR="004647B9" w:rsidRPr="00B1250F" w:rsidRDefault="00E2436F" w:rsidP="00AB5F3B">
      <w:pPr>
        <w:numPr>
          <w:ilvl w:val="1"/>
          <w:numId w:val="233"/>
        </w:numPr>
        <w:tabs>
          <w:tab w:val="left" w:pos="2338"/>
        </w:tabs>
        <w:ind w:left="1920" w:hanging="5"/>
        <w:jc w:val="both"/>
        <w:rPr>
          <w:rFonts w:eastAsia="Times New Roman"/>
          <w:sz w:val="24"/>
          <w:szCs w:val="24"/>
        </w:rPr>
      </w:pPr>
      <w:r w:rsidRPr="00B1250F">
        <w:rPr>
          <w:rFonts w:eastAsia="Times New Roman"/>
          <w:sz w:val="24"/>
          <w:szCs w:val="24"/>
        </w:rPr>
        <w:t>No later than 12 months after the end of a monitoring period in which a system exceeds the lead action level in sampling referred to in 310 CMR 22.06B(5)(a), and every</w:t>
      </w:r>
      <w:r w:rsidR="00B1250F">
        <w:rPr>
          <w:rFonts w:eastAsia="Times New Roman"/>
          <w:sz w:val="24"/>
          <w:szCs w:val="24"/>
        </w:rPr>
        <w:t xml:space="preserve"> 12 </w:t>
      </w:r>
      <w:r w:rsidRPr="00B1250F">
        <w:rPr>
          <w:rFonts w:eastAsia="Times New Roman"/>
          <w:sz w:val="24"/>
          <w:szCs w:val="24"/>
        </w:rPr>
        <w:t>months thereafter, the system shall demonstrate to the Department in writing that the system has either:</w:t>
      </w:r>
    </w:p>
    <w:p w14:paraId="2819E7C0" w14:textId="2614D754" w:rsidR="004647B9" w:rsidRPr="00B1250F" w:rsidRDefault="00E2436F" w:rsidP="00AB5F3B">
      <w:pPr>
        <w:numPr>
          <w:ilvl w:val="2"/>
          <w:numId w:val="234"/>
        </w:numPr>
        <w:tabs>
          <w:tab w:val="left" w:pos="2600"/>
        </w:tabs>
        <w:ind w:left="2280" w:hanging="5"/>
        <w:rPr>
          <w:rFonts w:eastAsia="Times New Roman"/>
          <w:sz w:val="24"/>
          <w:szCs w:val="24"/>
        </w:rPr>
      </w:pPr>
      <w:r w:rsidRPr="00B1250F">
        <w:rPr>
          <w:rFonts w:eastAsia="Times New Roman"/>
          <w:sz w:val="24"/>
          <w:szCs w:val="24"/>
        </w:rPr>
        <w:t>replaced in the previous 12 months at least 7% of the initial lead service lines (or</w:t>
      </w:r>
      <w:r w:rsidR="00B1250F">
        <w:rPr>
          <w:rFonts w:eastAsia="Times New Roman"/>
          <w:sz w:val="24"/>
          <w:szCs w:val="24"/>
        </w:rPr>
        <w:t xml:space="preserve"> a </w:t>
      </w:r>
      <w:r w:rsidRPr="00B1250F">
        <w:rPr>
          <w:rFonts w:eastAsia="Times New Roman"/>
          <w:sz w:val="24"/>
          <w:szCs w:val="24"/>
        </w:rPr>
        <w:t>greater number of lines specified by the Department under 310 CMR 22.06B(5)(f) in its distribution system, or</w:t>
      </w:r>
    </w:p>
    <w:p w14:paraId="2819E7C1" w14:textId="77777777" w:rsidR="004647B9" w:rsidRPr="00B1250F" w:rsidRDefault="00E2436F" w:rsidP="00AB5F3B">
      <w:pPr>
        <w:numPr>
          <w:ilvl w:val="2"/>
          <w:numId w:val="235"/>
        </w:numPr>
        <w:tabs>
          <w:tab w:val="left" w:pos="2590"/>
        </w:tabs>
        <w:ind w:left="2280" w:hanging="5"/>
        <w:jc w:val="both"/>
        <w:rPr>
          <w:rFonts w:eastAsia="Times New Roman"/>
          <w:sz w:val="24"/>
          <w:szCs w:val="24"/>
        </w:rPr>
      </w:pPr>
      <w:r w:rsidRPr="00B1250F">
        <w:rPr>
          <w:rFonts w:eastAsia="Times New Roman"/>
          <w:sz w:val="24"/>
          <w:szCs w:val="24"/>
        </w:rPr>
        <w:t>conducted sampling which demonstrates that the lead concentration in all service line samples from an individual line(s), taken pursuant to 310 CMR 22.06B(7)(b)3., is less than or equal to 0.015 mg/L. In such cases, the total number of lines replaced and/or which meet the criteria in 310 CMR 22.06B(5)(c) shall equal at least 7% of the initial number of lead lines identified under 310 CMR 22.06B(11)(e)1. (or the percentage specified by the Department under 310 CMR 22.06B(5)(e).</w:t>
      </w:r>
    </w:p>
    <w:p w14:paraId="2819E7C3" w14:textId="77777777" w:rsidR="004647B9" w:rsidRPr="00B1250F" w:rsidRDefault="00E2436F" w:rsidP="00AB5F3B">
      <w:pPr>
        <w:numPr>
          <w:ilvl w:val="1"/>
          <w:numId w:val="236"/>
        </w:numPr>
        <w:tabs>
          <w:tab w:val="left" w:pos="2230"/>
        </w:tabs>
        <w:ind w:left="1920" w:hanging="5"/>
        <w:rPr>
          <w:rFonts w:eastAsia="Times New Roman"/>
          <w:sz w:val="24"/>
          <w:szCs w:val="24"/>
        </w:rPr>
      </w:pPr>
      <w:r w:rsidRPr="00B1250F">
        <w:rPr>
          <w:rFonts w:eastAsia="Times New Roman"/>
          <w:sz w:val="24"/>
          <w:szCs w:val="24"/>
        </w:rPr>
        <w:t>The annual letter submitted to the Department under 310 CMR 22.06B(11)(e)2. shall contain the following information:</w:t>
      </w:r>
    </w:p>
    <w:p w14:paraId="2819E7C4" w14:textId="77777777" w:rsidR="004647B9" w:rsidRPr="00B1250F" w:rsidRDefault="00E2436F" w:rsidP="00AB5F3B">
      <w:pPr>
        <w:numPr>
          <w:ilvl w:val="2"/>
          <w:numId w:val="236"/>
        </w:numPr>
        <w:tabs>
          <w:tab w:val="left" w:pos="2576"/>
        </w:tabs>
        <w:ind w:left="2280" w:hanging="5"/>
        <w:rPr>
          <w:rFonts w:eastAsia="Times New Roman"/>
          <w:sz w:val="24"/>
          <w:szCs w:val="24"/>
        </w:rPr>
      </w:pPr>
      <w:r w:rsidRPr="00B1250F">
        <w:rPr>
          <w:rFonts w:eastAsia="Times New Roman"/>
          <w:sz w:val="24"/>
          <w:szCs w:val="24"/>
        </w:rPr>
        <w:t>the number of lead service lines scheduled to be replaced during the previous year of the system's replacement schedule;</w:t>
      </w:r>
    </w:p>
    <w:p w14:paraId="2819E7C5" w14:textId="77777777" w:rsidR="004647B9" w:rsidRPr="00B1250F" w:rsidRDefault="00E2436F" w:rsidP="00AB5F3B">
      <w:pPr>
        <w:numPr>
          <w:ilvl w:val="2"/>
          <w:numId w:val="236"/>
        </w:numPr>
        <w:tabs>
          <w:tab w:val="left" w:pos="2654"/>
        </w:tabs>
        <w:ind w:left="2280" w:hanging="5"/>
        <w:rPr>
          <w:rFonts w:eastAsia="Times New Roman"/>
          <w:sz w:val="24"/>
          <w:szCs w:val="24"/>
        </w:rPr>
      </w:pPr>
      <w:r w:rsidRPr="00B1250F">
        <w:rPr>
          <w:rFonts w:eastAsia="Times New Roman"/>
          <w:sz w:val="24"/>
          <w:szCs w:val="24"/>
        </w:rPr>
        <w:t>the number and location of each lead service line replaced during the previous year of the system's replacement schedule;</w:t>
      </w:r>
    </w:p>
    <w:p w14:paraId="2819E7C6" w14:textId="77777777" w:rsidR="004647B9" w:rsidRPr="00B1250F" w:rsidRDefault="00E2436F" w:rsidP="00AB5F3B">
      <w:pPr>
        <w:numPr>
          <w:ilvl w:val="2"/>
          <w:numId w:val="236"/>
        </w:numPr>
        <w:tabs>
          <w:tab w:val="left" w:pos="2634"/>
        </w:tabs>
        <w:ind w:left="2280" w:hanging="5"/>
        <w:rPr>
          <w:rFonts w:eastAsia="Times New Roman"/>
          <w:sz w:val="24"/>
          <w:szCs w:val="24"/>
        </w:rPr>
      </w:pPr>
      <w:r w:rsidRPr="00B1250F">
        <w:rPr>
          <w:rFonts w:eastAsia="Times New Roman"/>
          <w:sz w:val="24"/>
          <w:szCs w:val="24"/>
        </w:rPr>
        <w:t>if measured, the water lead concentration and location of each lead service line sampled, the sampling method, and the date of sampling.</w:t>
      </w:r>
    </w:p>
    <w:p w14:paraId="2819E7C7" w14:textId="77777777" w:rsidR="004647B9" w:rsidRDefault="00E2436F" w:rsidP="00AB5F3B">
      <w:pPr>
        <w:numPr>
          <w:ilvl w:val="1"/>
          <w:numId w:val="236"/>
        </w:numPr>
        <w:tabs>
          <w:tab w:val="left" w:pos="2287"/>
        </w:tabs>
        <w:ind w:left="1920" w:hanging="5"/>
        <w:jc w:val="both"/>
        <w:rPr>
          <w:rFonts w:eastAsia="Times New Roman"/>
          <w:sz w:val="24"/>
          <w:szCs w:val="24"/>
        </w:rPr>
      </w:pPr>
      <w:r w:rsidRPr="00B1250F">
        <w:rPr>
          <w:rFonts w:eastAsia="Times New Roman"/>
          <w:sz w:val="24"/>
          <w:szCs w:val="24"/>
        </w:rPr>
        <w:t>Any system which collects lead service line samples following partial lead service line replacement required by 310 CMR 22.06B(5) shall report the results to the Department within the first ten days of the month following the month in which the system receives the laboratory results, or as specified by the Department. The</w:t>
      </w:r>
      <w:r>
        <w:rPr>
          <w:rFonts w:eastAsia="Times New Roman"/>
          <w:sz w:val="24"/>
          <w:szCs w:val="24"/>
        </w:rPr>
        <w:t xml:space="preserve"> Department, at its discretion may eliminate this requirement to report these monitoring results. Systems shall also report any additional information as specified by the Department, and in a time and manner prescribed by the Department, to verify that all partial lead service line replacement activities have taken place.</w:t>
      </w:r>
    </w:p>
    <w:p w14:paraId="2819E7C9" w14:textId="77777777" w:rsidR="004647B9" w:rsidRDefault="00E2436F" w:rsidP="00AB5F3B">
      <w:pPr>
        <w:numPr>
          <w:ilvl w:val="0"/>
          <w:numId w:val="237"/>
        </w:numPr>
        <w:tabs>
          <w:tab w:val="left" w:pos="1980"/>
        </w:tabs>
        <w:ind w:left="1980" w:hanging="425"/>
        <w:rPr>
          <w:rFonts w:eastAsia="Times New Roman"/>
          <w:sz w:val="24"/>
          <w:szCs w:val="24"/>
        </w:rPr>
      </w:pPr>
      <w:r>
        <w:rPr>
          <w:rFonts w:eastAsia="Times New Roman"/>
          <w:sz w:val="24"/>
          <w:szCs w:val="24"/>
          <w:u w:val="single"/>
        </w:rPr>
        <w:t>Public Education Program Reporting Requirements</w:t>
      </w:r>
      <w:r>
        <w:rPr>
          <w:rFonts w:eastAsia="Times New Roman"/>
          <w:sz w:val="24"/>
          <w:szCs w:val="24"/>
        </w:rPr>
        <w:t>.</w:t>
      </w:r>
    </w:p>
    <w:p w14:paraId="2819E7CB" w14:textId="77777777" w:rsidR="004647B9" w:rsidRDefault="00E2436F" w:rsidP="00AB5F3B">
      <w:pPr>
        <w:numPr>
          <w:ilvl w:val="1"/>
          <w:numId w:val="237"/>
        </w:numPr>
        <w:tabs>
          <w:tab w:val="left" w:pos="2280"/>
        </w:tabs>
        <w:ind w:left="1920" w:hanging="5"/>
        <w:jc w:val="both"/>
        <w:rPr>
          <w:rFonts w:eastAsia="Times New Roman"/>
          <w:sz w:val="24"/>
          <w:szCs w:val="24"/>
        </w:rPr>
      </w:pPr>
      <w:r>
        <w:rPr>
          <w:rFonts w:eastAsia="Times New Roman"/>
          <w:sz w:val="24"/>
          <w:szCs w:val="24"/>
        </w:rPr>
        <w:t>Any water system that is subject to the public education requirements in 310 CMR 22.06B(6) shall, within ten days after the end of each period in which the system is required to perform public education tasks in accordance with 310 CMR 22.06B(6)(b), send written documentation to the Department that contains:</w:t>
      </w:r>
    </w:p>
    <w:p w14:paraId="2819E7CC" w14:textId="77777777" w:rsidR="004647B9" w:rsidRDefault="00E2436F" w:rsidP="00AB5F3B">
      <w:pPr>
        <w:numPr>
          <w:ilvl w:val="2"/>
          <w:numId w:val="237"/>
        </w:numPr>
        <w:tabs>
          <w:tab w:val="left" w:pos="2583"/>
        </w:tabs>
        <w:ind w:left="2280" w:hanging="5"/>
        <w:jc w:val="both"/>
        <w:rPr>
          <w:rFonts w:eastAsia="Times New Roman"/>
          <w:sz w:val="24"/>
          <w:szCs w:val="24"/>
        </w:rPr>
      </w:pPr>
      <w:r>
        <w:rPr>
          <w:rFonts w:eastAsia="Times New Roman"/>
          <w:sz w:val="24"/>
          <w:szCs w:val="24"/>
        </w:rPr>
        <w:t>A demonstration that the system has delivered the public education materials that meet the content requirements in 310 CMR 22.06B(6)(a) and the delivery requirements in 310 CMR 22.06B(6)(b); and</w:t>
      </w:r>
    </w:p>
    <w:p w14:paraId="2819E7CE" w14:textId="77777777" w:rsidR="004647B9" w:rsidRDefault="00E2436F" w:rsidP="00AB5F3B">
      <w:pPr>
        <w:numPr>
          <w:ilvl w:val="2"/>
          <w:numId w:val="237"/>
        </w:numPr>
        <w:tabs>
          <w:tab w:val="left" w:pos="2626"/>
        </w:tabs>
        <w:ind w:left="2280" w:hanging="5"/>
        <w:jc w:val="both"/>
        <w:rPr>
          <w:rFonts w:eastAsia="Times New Roman"/>
          <w:sz w:val="24"/>
          <w:szCs w:val="24"/>
        </w:rPr>
      </w:pPr>
      <w:r>
        <w:rPr>
          <w:rFonts w:eastAsia="Times New Roman"/>
          <w:sz w:val="24"/>
          <w:szCs w:val="24"/>
        </w:rPr>
        <w:t>A list of all the newspapers, radio stations, television stations, and facilities and organizations to which the system delivered public education materials during the period in which the system was required to perform public education tasks.</w:t>
      </w:r>
    </w:p>
    <w:p w14:paraId="2819E7D0" w14:textId="77777777" w:rsidR="004647B9" w:rsidRDefault="00E2436F" w:rsidP="00AB5F3B">
      <w:pPr>
        <w:numPr>
          <w:ilvl w:val="1"/>
          <w:numId w:val="237"/>
        </w:numPr>
        <w:tabs>
          <w:tab w:val="left" w:pos="2366"/>
        </w:tabs>
        <w:ind w:left="1920" w:hanging="5"/>
        <w:jc w:val="both"/>
        <w:rPr>
          <w:rFonts w:eastAsia="Times New Roman"/>
          <w:sz w:val="24"/>
          <w:szCs w:val="24"/>
        </w:rPr>
      </w:pPr>
      <w:r>
        <w:rPr>
          <w:rFonts w:eastAsia="Times New Roman"/>
          <w:sz w:val="24"/>
          <w:szCs w:val="24"/>
        </w:rPr>
        <w:t>Unless required by the Department, a system that previously has submitted the information required by 310 CMR 22.06B(11)(f)1.b. need not resubmit the information required by 310 CMR 22.06B(11)(f)1.b., as long as there have been no changes in the distribution list and the system certifies that the public education materials were distributed to the same list submitted previously.</w:t>
      </w:r>
    </w:p>
    <w:p w14:paraId="2819E7D2" w14:textId="77777777" w:rsidR="004647B9" w:rsidRDefault="00E2436F" w:rsidP="00AB5F3B">
      <w:pPr>
        <w:numPr>
          <w:ilvl w:val="1"/>
          <w:numId w:val="237"/>
        </w:numPr>
        <w:tabs>
          <w:tab w:val="left" w:pos="2266"/>
        </w:tabs>
        <w:ind w:left="1920" w:hanging="5"/>
        <w:jc w:val="both"/>
        <w:rPr>
          <w:rFonts w:eastAsia="Times New Roman"/>
          <w:sz w:val="24"/>
          <w:szCs w:val="24"/>
        </w:rPr>
      </w:pPr>
      <w:r>
        <w:rPr>
          <w:rFonts w:eastAsia="Times New Roman"/>
          <w:sz w:val="24"/>
          <w:szCs w:val="24"/>
        </w:rPr>
        <w:t>No later than 90 days following the end of the monitoring period, each system shall mail a sample copy of the consumer notification of tap results to the Department along with a certification that the notification has been distributed in a manner consistent with the requirements of 310 CMR 22.06B(6)(c).</w:t>
      </w:r>
    </w:p>
    <w:p w14:paraId="2819E7D3" w14:textId="77777777" w:rsidR="004647B9" w:rsidRDefault="004647B9">
      <w:pPr>
        <w:sectPr w:rsidR="004647B9" w:rsidSect="00EF630C">
          <w:pgSz w:w="12240" w:h="20180"/>
          <w:pgMar w:top="708" w:right="1440" w:bottom="1440" w:left="600" w:header="0" w:footer="0" w:gutter="0"/>
          <w:cols w:space="720" w:equalWidth="0">
            <w:col w:w="10200"/>
          </w:cols>
        </w:sectPr>
      </w:pPr>
    </w:p>
    <w:p w14:paraId="2819E7D4" w14:textId="77777777" w:rsidR="004647B9" w:rsidRDefault="00E2436F">
      <w:pPr>
        <w:tabs>
          <w:tab w:val="left" w:pos="160"/>
        </w:tabs>
        <w:jc w:val="center"/>
        <w:rPr>
          <w:sz w:val="20"/>
          <w:szCs w:val="20"/>
        </w:rPr>
      </w:pPr>
      <w:bookmarkStart w:id="93" w:name="page95"/>
      <w:bookmarkEnd w:id="9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7D5" w14:textId="77777777" w:rsidR="004647B9" w:rsidRDefault="004647B9" w:rsidP="00AB5F3B">
      <w:pPr>
        <w:rPr>
          <w:sz w:val="20"/>
          <w:szCs w:val="20"/>
        </w:rPr>
      </w:pPr>
    </w:p>
    <w:p w14:paraId="2819E7D6" w14:textId="77777777" w:rsidR="004647B9" w:rsidRDefault="004647B9" w:rsidP="00AB5F3B">
      <w:pPr>
        <w:rPr>
          <w:sz w:val="20"/>
          <w:szCs w:val="20"/>
        </w:rPr>
      </w:pPr>
    </w:p>
    <w:p w14:paraId="2819E7D7" w14:textId="77777777" w:rsidR="004647B9" w:rsidRDefault="00E2436F">
      <w:pPr>
        <w:tabs>
          <w:tab w:val="left" w:pos="920"/>
        </w:tabs>
        <w:rPr>
          <w:sz w:val="20"/>
          <w:szCs w:val="20"/>
        </w:rPr>
      </w:pPr>
      <w:r>
        <w:rPr>
          <w:rFonts w:eastAsia="Times New Roman"/>
          <w:sz w:val="24"/>
          <w:szCs w:val="24"/>
        </w:rPr>
        <w:t>22.06B:</w:t>
      </w:r>
      <w:r>
        <w:rPr>
          <w:rFonts w:eastAsia="Times New Roman"/>
          <w:sz w:val="24"/>
          <w:szCs w:val="24"/>
        </w:rPr>
        <w:tab/>
        <w:t>continued</w:t>
      </w:r>
    </w:p>
    <w:p w14:paraId="2819E7D8" w14:textId="77777777" w:rsidR="004647B9" w:rsidRDefault="004647B9" w:rsidP="00AB5F3B">
      <w:pPr>
        <w:rPr>
          <w:sz w:val="20"/>
          <w:szCs w:val="20"/>
        </w:rPr>
      </w:pPr>
    </w:p>
    <w:p w14:paraId="2819E7D9" w14:textId="77777777" w:rsidR="004647B9" w:rsidRPr="001F1ECC" w:rsidRDefault="00E2436F" w:rsidP="005D0894">
      <w:pPr>
        <w:numPr>
          <w:ilvl w:val="1"/>
          <w:numId w:val="238"/>
        </w:numPr>
        <w:tabs>
          <w:tab w:val="left" w:pos="1989"/>
        </w:tabs>
        <w:ind w:left="1560" w:hanging="5"/>
        <w:jc w:val="both"/>
        <w:rPr>
          <w:rFonts w:eastAsia="Times New Roman"/>
          <w:sz w:val="24"/>
          <w:szCs w:val="24"/>
        </w:rPr>
      </w:pPr>
      <w:r w:rsidRPr="001F1ECC">
        <w:rPr>
          <w:rFonts w:eastAsia="Times New Roman"/>
          <w:sz w:val="24"/>
          <w:szCs w:val="24"/>
          <w:u w:val="single"/>
        </w:rPr>
        <w:t>Reporting of Additional Monitoring Data</w:t>
      </w:r>
      <w:r w:rsidRPr="001F1ECC">
        <w:rPr>
          <w:rFonts w:eastAsia="Times New Roman"/>
          <w:sz w:val="24"/>
          <w:szCs w:val="24"/>
        </w:rPr>
        <w:t>. Any system which collects sampling data in addition to that required by this subpart shall report the results to the Department within the first ten days following the end of the applicable monitoring period under 310 CMR 22.06B(7) through (9) during which the samples are collected.</w:t>
      </w:r>
    </w:p>
    <w:p w14:paraId="2819E7DB" w14:textId="4387C3B6" w:rsidR="004647B9" w:rsidRPr="001F1ECC" w:rsidRDefault="00E2436F" w:rsidP="005D0894">
      <w:pPr>
        <w:numPr>
          <w:ilvl w:val="1"/>
          <w:numId w:val="238"/>
        </w:numPr>
        <w:tabs>
          <w:tab w:val="left" w:pos="2049"/>
        </w:tabs>
        <w:ind w:left="1560"/>
        <w:jc w:val="both"/>
        <w:rPr>
          <w:rFonts w:eastAsia="Times New Roman"/>
          <w:sz w:val="24"/>
          <w:szCs w:val="24"/>
        </w:rPr>
      </w:pPr>
      <w:r w:rsidRPr="001F1ECC">
        <w:rPr>
          <w:rFonts w:eastAsia="Times New Roman"/>
          <w:sz w:val="24"/>
          <w:szCs w:val="24"/>
          <w:u w:val="single"/>
        </w:rPr>
        <w:t>Reporting of 90</w:t>
      </w:r>
      <w:r w:rsidRPr="002E1B0C">
        <w:rPr>
          <w:rFonts w:eastAsia="Times New Roman"/>
          <w:sz w:val="24"/>
          <w:szCs w:val="24"/>
          <w:u w:val="single"/>
          <w:vertAlign w:val="superscript"/>
        </w:rPr>
        <w:t>th</w:t>
      </w:r>
      <w:r w:rsidRPr="002E1B0C">
        <w:rPr>
          <w:rFonts w:eastAsia="Times New Roman"/>
          <w:sz w:val="24"/>
          <w:szCs w:val="24"/>
          <w:u w:val="single"/>
        </w:rPr>
        <w:t xml:space="preserve"> Percentile Lead and Copper Concentrations where the Department</w:t>
      </w:r>
      <w:r w:rsidRPr="001F1ECC">
        <w:rPr>
          <w:rFonts w:eastAsia="Times New Roman"/>
          <w:sz w:val="24"/>
          <w:szCs w:val="24"/>
        </w:rPr>
        <w:t xml:space="preserve"> </w:t>
      </w:r>
      <w:r w:rsidRPr="001F1ECC">
        <w:rPr>
          <w:rFonts w:eastAsia="Times New Roman"/>
          <w:sz w:val="24"/>
          <w:szCs w:val="24"/>
          <w:u w:val="single"/>
        </w:rPr>
        <w:t>Calculates a System’s 90</w:t>
      </w:r>
      <w:r w:rsidRPr="002E1B0C">
        <w:rPr>
          <w:rFonts w:eastAsia="Times New Roman"/>
          <w:sz w:val="24"/>
          <w:szCs w:val="24"/>
          <w:u w:val="single"/>
          <w:vertAlign w:val="superscript"/>
        </w:rPr>
        <w:t>th</w:t>
      </w:r>
      <w:r w:rsidRPr="002E1B0C">
        <w:rPr>
          <w:rFonts w:eastAsia="Times New Roman"/>
          <w:sz w:val="24"/>
          <w:szCs w:val="24"/>
          <w:u w:val="single"/>
        </w:rPr>
        <w:t xml:space="preserve"> Percentile Concentrations</w:t>
      </w:r>
      <w:r w:rsidRPr="001F1ECC">
        <w:rPr>
          <w:rFonts w:eastAsia="Times New Roman"/>
          <w:sz w:val="24"/>
          <w:szCs w:val="24"/>
        </w:rPr>
        <w:t>. A water system is not required to report the 90</w:t>
      </w:r>
      <w:r w:rsidRPr="001F1ECC">
        <w:rPr>
          <w:rFonts w:eastAsia="Times New Roman"/>
          <w:sz w:val="24"/>
          <w:szCs w:val="24"/>
          <w:vertAlign w:val="superscript"/>
        </w:rPr>
        <w:t>th</w:t>
      </w:r>
      <w:r w:rsidRPr="001F1ECC">
        <w:rPr>
          <w:rFonts w:eastAsia="Times New Roman"/>
          <w:sz w:val="24"/>
          <w:szCs w:val="24"/>
        </w:rPr>
        <w:t xml:space="preserve"> percentile lead and copper concentrations measured from among all lead and copper tap water samples collected during each monitoring period, as required by 310 CMR</w:t>
      </w:r>
      <w:r w:rsidR="001F1ECC">
        <w:rPr>
          <w:rFonts w:eastAsia="Times New Roman"/>
          <w:sz w:val="24"/>
          <w:szCs w:val="24"/>
        </w:rPr>
        <w:t xml:space="preserve"> </w:t>
      </w:r>
      <w:r w:rsidRPr="001F1ECC">
        <w:rPr>
          <w:rFonts w:eastAsia="Times New Roman"/>
          <w:sz w:val="24"/>
          <w:szCs w:val="24"/>
        </w:rPr>
        <w:t>22.06B(11)(a)1.</w:t>
      </w:r>
      <w:r w:rsidR="00D52522">
        <w:rPr>
          <w:rFonts w:eastAsia="Times New Roman"/>
          <w:sz w:val="24"/>
          <w:szCs w:val="24"/>
        </w:rPr>
        <w:t>c</w:t>
      </w:r>
      <w:r w:rsidRPr="001F1ECC">
        <w:rPr>
          <w:rFonts w:eastAsia="Times New Roman"/>
          <w:sz w:val="24"/>
          <w:szCs w:val="24"/>
        </w:rPr>
        <w:t>. if:</w:t>
      </w:r>
    </w:p>
    <w:p w14:paraId="2819E7DD" w14:textId="77777777" w:rsidR="004647B9" w:rsidRPr="001F1ECC" w:rsidRDefault="00E2436F" w:rsidP="005D0894">
      <w:pPr>
        <w:numPr>
          <w:ilvl w:val="2"/>
          <w:numId w:val="238"/>
        </w:numPr>
        <w:tabs>
          <w:tab w:val="left" w:pos="2359"/>
        </w:tabs>
        <w:ind w:left="1920" w:hanging="5"/>
        <w:jc w:val="both"/>
        <w:rPr>
          <w:rFonts w:eastAsia="Times New Roman"/>
          <w:sz w:val="24"/>
          <w:szCs w:val="24"/>
        </w:rPr>
      </w:pPr>
      <w:r w:rsidRPr="001F1ECC">
        <w:rPr>
          <w:rFonts w:eastAsia="Times New Roman"/>
          <w:sz w:val="24"/>
          <w:szCs w:val="24"/>
        </w:rPr>
        <w:t>The Department has previously notified the water system that it will calculate the water system’s 90</w:t>
      </w:r>
      <w:r w:rsidRPr="001F1ECC">
        <w:rPr>
          <w:rFonts w:eastAsia="Times New Roman"/>
          <w:sz w:val="24"/>
          <w:szCs w:val="24"/>
          <w:vertAlign w:val="superscript"/>
        </w:rPr>
        <w:t>th</w:t>
      </w:r>
      <w:r w:rsidRPr="001F1ECC">
        <w:rPr>
          <w:rFonts w:eastAsia="Times New Roman"/>
          <w:sz w:val="24"/>
          <w:szCs w:val="24"/>
        </w:rPr>
        <w:t xml:space="preserve"> percentile lead and copper concentrations, based on the lead and copper tap results submitted pursuant to 310 CMR 22.06B(h)2.a., and has specified a date before the end of the applicable monitoring period by which the system shall provide the results of lead and copper tap water samples;</w:t>
      </w:r>
    </w:p>
    <w:p w14:paraId="2819E7DE" w14:textId="77777777" w:rsidR="004647B9" w:rsidRPr="001F1ECC" w:rsidRDefault="00E2436F" w:rsidP="005D0894">
      <w:pPr>
        <w:numPr>
          <w:ilvl w:val="2"/>
          <w:numId w:val="238"/>
        </w:numPr>
        <w:tabs>
          <w:tab w:val="left" w:pos="2302"/>
        </w:tabs>
        <w:ind w:left="1920" w:hanging="5"/>
        <w:rPr>
          <w:rFonts w:eastAsia="Times New Roman"/>
          <w:sz w:val="24"/>
          <w:szCs w:val="24"/>
        </w:rPr>
      </w:pPr>
      <w:r w:rsidRPr="001F1ECC">
        <w:rPr>
          <w:rFonts w:eastAsia="Times New Roman"/>
          <w:sz w:val="24"/>
          <w:szCs w:val="24"/>
        </w:rPr>
        <w:t>The system has provided the following information to the Department by the date specified in 310 CMR 22.06B(11)(h)1.:</w:t>
      </w:r>
    </w:p>
    <w:p w14:paraId="2819E7DF" w14:textId="77777777" w:rsidR="004647B9" w:rsidRPr="001F1ECC" w:rsidRDefault="00E2436F" w:rsidP="005D0894">
      <w:pPr>
        <w:numPr>
          <w:ilvl w:val="3"/>
          <w:numId w:val="238"/>
        </w:numPr>
        <w:tabs>
          <w:tab w:val="left" w:pos="2619"/>
        </w:tabs>
        <w:ind w:left="2280" w:hanging="5"/>
        <w:jc w:val="both"/>
        <w:rPr>
          <w:rFonts w:eastAsia="Times New Roman"/>
          <w:sz w:val="24"/>
          <w:szCs w:val="24"/>
        </w:rPr>
      </w:pPr>
      <w:r w:rsidRPr="001F1ECC">
        <w:rPr>
          <w:rFonts w:eastAsia="Times New Roman"/>
          <w:sz w:val="24"/>
          <w:szCs w:val="24"/>
        </w:rPr>
        <w:t>The results of all tap samples for lead and copper including the location of each site and the criteria under 310 CMR 22.06B(7)(a)3. through 6. and/or 7. under which the site was selected for the system’s sampling pool, pursuant to 310 CMR 22.06B(11)(a)1.a.; and</w:t>
      </w:r>
    </w:p>
    <w:p w14:paraId="2819E7E0" w14:textId="77777777" w:rsidR="004647B9" w:rsidRPr="001F1ECC" w:rsidRDefault="00E2436F" w:rsidP="005D0894">
      <w:pPr>
        <w:numPr>
          <w:ilvl w:val="3"/>
          <w:numId w:val="238"/>
        </w:numPr>
        <w:tabs>
          <w:tab w:val="left" w:pos="2614"/>
        </w:tabs>
        <w:ind w:left="2280" w:hanging="5"/>
        <w:jc w:val="both"/>
        <w:rPr>
          <w:rFonts w:eastAsia="Times New Roman"/>
          <w:sz w:val="24"/>
          <w:szCs w:val="24"/>
        </w:rPr>
      </w:pPr>
      <w:r w:rsidRPr="001F1ECC">
        <w:rPr>
          <w:rFonts w:eastAsia="Times New Roman"/>
          <w:sz w:val="24"/>
          <w:szCs w:val="24"/>
        </w:rPr>
        <w:t>An identification of sampling sites utilized during the current monitoring period that were not sampled during previous monitoring periods, and an explanation why sampling sites have changed; and</w:t>
      </w:r>
    </w:p>
    <w:p w14:paraId="2819E7E2" w14:textId="77777777" w:rsidR="004647B9" w:rsidRPr="001F1ECC" w:rsidRDefault="00E2436F" w:rsidP="005D0894">
      <w:pPr>
        <w:numPr>
          <w:ilvl w:val="2"/>
          <w:numId w:val="238"/>
        </w:numPr>
        <w:tabs>
          <w:tab w:val="left" w:pos="2359"/>
        </w:tabs>
        <w:ind w:left="1920" w:hanging="5"/>
        <w:rPr>
          <w:rFonts w:eastAsia="Times New Roman"/>
          <w:sz w:val="24"/>
          <w:szCs w:val="24"/>
        </w:rPr>
      </w:pPr>
      <w:r w:rsidRPr="001F1ECC">
        <w:rPr>
          <w:rFonts w:eastAsia="Times New Roman"/>
          <w:sz w:val="24"/>
          <w:szCs w:val="24"/>
        </w:rPr>
        <w:t>The Department has provided the results of the 90</w:t>
      </w:r>
      <w:r w:rsidRPr="001F1ECC">
        <w:rPr>
          <w:rFonts w:eastAsia="Times New Roman"/>
          <w:sz w:val="24"/>
          <w:szCs w:val="24"/>
          <w:vertAlign w:val="superscript"/>
        </w:rPr>
        <w:t>th</w:t>
      </w:r>
      <w:r w:rsidRPr="001F1ECC">
        <w:rPr>
          <w:rFonts w:eastAsia="Times New Roman"/>
          <w:sz w:val="24"/>
          <w:szCs w:val="24"/>
        </w:rPr>
        <w:t xml:space="preserve"> percentile lead and copper calculations, in writing, to the water system before the end of the monitoring period.</w:t>
      </w:r>
    </w:p>
    <w:p w14:paraId="2819E7E3" w14:textId="77777777" w:rsidR="004647B9" w:rsidRPr="001F1ECC" w:rsidRDefault="004647B9" w:rsidP="005D0894">
      <w:pPr>
        <w:rPr>
          <w:rFonts w:eastAsia="Times New Roman"/>
          <w:sz w:val="24"/>
          <w:szCs w:val="24"/>
        </w:rPr>
      </w:pPr>
    </w:p>
    <w:p w14:paraId="2819E7E4" w14:textId="77777777" w:rsidR="004647B9" w:rsidRDefault="00E2436F" w:rsidP="005D0894">
      <w:pPr>
        <w:numPr>
          <w:ilvl w:val="0"/>
          <w:numId w:val="239"/>
        </w:numPr>
        <w:tabs>
          <w:tab w:val="left" w:pos="1850"/>
        </w:tabs>
        <w:ind w:left="1200"/>
        <w:jc w:val="both"/>
        <w:rPr>
          <w:rFonts w:eastAsia="Times New Roman"/>
          <w:sz w:val="24"/>
          <w:szCs w:val="24"/>
        </w:rPr>
      </w:pPr>
      <w:r w:rsidRPr="001F1ECC">
        <w:rPr>
          <w:rFonts w:eastAsia="Times New Roman"/>
          <w:sz w:val="24"/>
          <w:szCs w:val="24"/>
          <w:u w:val="single"/>
        </w:rPr>
        <w:t>Recordkeeping Requirements</w:t>
      </w:r>
      <w:r w:rsidRPr="001F1ECC">
        <w:rPr>
          <w:rFonts w:eastAsia="Times New Roman"/>
          <w:sz w:val="24"/>
          <w:szCs w:val="24"/>
        </w:rPr>
        <w:t>. Any system subject to the requirements of 310 CMR 22.06B shall retain on its premises original records of all sampling data and analyses, reports, surveys, letters, evaluations, schedules, Department determinations, and any other information required by 310 CMR 22.06B(2) through (9). Each water system shall retain the records required by 310 CMR 22.06B for no fewer than 12 years</w:t>
      </w:r>
      <w:r>
        <w:rPr>
          <w:rFonts w:eastAsia="Times New Roman"/>
          <w:sz w:val="24"/>
          <w:szCs w:val="24"/>
        </w:rPr>
        <w:t>.</w:t>
      </w:r>
    </w:p>
    <w:p w14:paraId="2819E7E5" w14:textId="04AF7838" w:rsidR="004647B9" w:rsidRDefault="004647B9" w:rsidP="001F1ECC">
      <w:pPr>
        <w:rPr>
          <w:sz w:val="20"/>
          <w:szCs w:val="20"/>
        </w:rPr>
      </w:pPr>
    </w:p>
    <w:p w14:paraId="2819E7E6" w14:textId="77777777" w:rsidR="004647B9" w:rsidRDefault="004647B9" w:rsidP="001F1ECC">
      <w:pPr>
        <w:sectPr w:rsidR="004647B9" w:rsidSect="00EF630C">
          <w:pgSz w:w="12240" w:h="20180"/>
          <w:pgMar w:top="708" w:right="1440" w:bottom="1440" w:left="600" w:header="0" w:footer="0" w:gutter="0"/>
          <w:cols w:space="720" w:equalWidth="0">
            <w:col w:w="10200"/>
          </w:cols>
        </w:sectPr>
      </w:pPr>
    </w:p>
    <w:p w14:paraId="2819E7E7" w14:textId="77777777" w:rsidR="004647B9" w:rsidRDefault="00E2436F">
      <w:pPr>
        <w:tabs>
          <w:tab w:val="left" w:pos="160"/>
        </w:tabs>
        <w:ind w:right="-1"/>
        <w:jc w:val="center"/>
        <w:rPr>
          <w:sz w:val="20"/>
          <w:szCs w:val="20"/>
        </w:rPr>
      </w:pPr>
      <w:bookmarkStart w:id="94" w:name="page96"/>
      <w:bookmarkEnd w:id="9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7E8" w14:textId="77777777" w:rsidR="004647B9" w:rsidRDefault="004647B9" w:rsidP="005D0894">
      <w:pPr>
        <w:rPr>
          <w:sz w:val="20"/>
          <w:szCs w:val="20"/>
        </w:rPr>
      </w:pPr>
    </w:p>
    <w:p w14:paraId="2819E7E9" w14:textId="77777777" w:rsidR="004647B9" w:rsidRDefault="004647B9" w:rsidP="005D0894">
      <w:pPr>
        <w:rPr>
          <w:sz w:val="20"/>
          <w:szCs w:val="20"/>
        </w:rPr>
      </w:pPr>
    </w:p>
    <w:p w14:paraId="2819E7EA" w14:textId="77777777" w:rsidR="004647B9" w:rsidRDefault="00E2436F">
      <w:pPr>
        <w:tabs>
          <w:tab w:val="left" w:pos="922"/>
        </w:tabs>
        <w:ind w:left="2"/>
        <w:rPr>
          <w:sz w:val="20"/>
          <w:szCs w:val="20"/>
        </w:rPr>
      </w:pPr>
      <w:r>
        <w:rPr>
          <w:rFonts w:eastAsia="Times New Roman"/>
          <w:sz w:val="24"/>
          <w:szCs w:val="24"/>
        </w:rPr>
        <w:t>22.06B:</w:t>
      </w:r>
      <w:r>
        <w:rPr>
          <w:rFonts w:eastAsia="Times New Roman"/>
          <w:sz w:val="24"/>
          <w:szCs w:val="24"/>
        </w:rPr>
        <w:tab/>
        <w:t>continued</w:t>
      </w:r>
    </w:p>
    <w:p w14:paraId="2819E7EB" w14:textId="77777777" w:rsidR="004647B9" w:rsidRDefault="004647B9" w:rsidP="005D0894">
      <w:pPr>
        <w:rPr>
          <w:sz w:val="20"/>
          <w:szCs w:val="20"/>
        </w:rPr>
      </w:pPr>
    </w:p>
    <w:p w14:paraId="2819E7EC" w14:textId="77777777" w:rsidR="004647B9" w:rsidRDefault="00E2436F">
      <w:pPr>
        <w:ind w:right="-1"/>
        <w:jc w:val="center"/>
        <w:rPr>
          <w:sz w:val="20"/>
          <w:szCs w:val="20"/>
        </w:rPr>
      </w:pPr>
      <w:r>
        <w:rPr>
          <w:rFonts w:eastAsia="Times New Roman"/>
          <w:sz w:val="24"/>
          <w:szCs w:val="24"/>
        </w:rPr>
        <w:t>Summary of Monitoring Requirements for Water Quality Parameters</w:t>
      </w:r>
      <w:r>
        <w:rPr>
          <w:rFonts w:eastAsia="Times New Roman"/>
          <w:sz w:val="27"/>
          <w:szCs w:val="27"/>
          <w:vertAlign w:val="superscript"/>
        </w:rPr>
        <w:t>1</w:t>
      </w:r>
    </w:p>
    <w:p w14:paraId="2819E7ED" w14:textId="77777777" w:rsidR="004647B9" w:rsidRDefault="004647B9">
      <w:pPr>
        <w:spacing w:line="2" w:lineRule="exact"/>
        <w:rPr>
          <w:sz w:val="20"/>
          <w:szCs w:val="20"/>
        </w:rPr>
      </w:pPr>
    </w:p>
    <w:tbl>
      <w:tblPr>
        <w:tblW w:w="0" w:type="auto"/>
        <w:tblInd w:w="22" w:type="dxa"/>
        <w:tblLayout w:type="fixed"/>
        <w:tblCellMar>
          <w:left w:w="0" w:type="dxa"/>
          <w:right w:w="0" w:type="dxa"/>
        </w:tblCellMar>
        <w:tblLook w:val="04A0" w:firstRow="1" w:lastRow="0" w:firstColumn="1" w:lastColumn="0" w:noHBand="0" w:noVBand="1"/>
      </w:tblPr>
      <w:tblGrid>
        <w:gridCol w:w="2380"/>
        <w:gridCol w:w="3140"/>
        <w:gridCol w:w="2160"/>
        <w:gridCol w:w="2500"/>
      </w:tblGrid>
      <w:tr w:rsidR="005C4741" w14:paraId="2819E7F4" w14:textId="77777777" w:rsidTr="005C4741">
        <w:trPr>
          <w:trHeight w:val="272"/>
        </w:trPr>
        <w:tc>
          <w:tcPr>
            <w:tcW w:w="2380" w:type="dxa"/>
            <w:tcBorders>
              <w:top w:val="single" w:sz="8" w:space="0" w:color="auto"/>
              <w:bottom w:val="single" w:sz="8" w:space="0" w:color="auto"/>
              <w:right w:val="single" w:sz="8" w:space="0" w:color="auto"/>
            </w:tcBorders>
            <w:vAlign w:val="bottom"/>
          </w:tcPr>
          <w:p w14:paraId="2819E7F0" w14:textId="1562D165" w:rsidR="005C4741" w:rsidRDefault="005C4741">
            <w:pPr>
              <w:rPr>
                <w:sz w:val="23"/>
                <w:szCs w:val="23"/>
              </w:rPr>
            </w:pPr>
            <w:r>
              <w:rPr>
                <w:rFonts w:eastAsia="Times New Roman"/>
              </w:rPr>
              <w:t>Monitoring Period</w:t>
            </w:r>
          </w:p>
        </w:tc>
        <w:tc>
          <w:tcPr>
            <w:tcW w:w="3140" w:type="dxa"/>
            <w:tcBorders>
              <w:top w:val="single" w:sz="8" w:space="0" w:color="auto"/>
              <w:bottom w:val="single" w:sz="8" w:space="0" w:color="auto"/>
              <w:right w:val="single" w:sz="8" w:space="0" w:color="auto"/>
            </w:tcBorders>
            <w:vAlign w:val="bottom"/>
          </w:tcPr>
          <w:p w14:paraId="2819E7F1" w14:textId="77777777" w:rsidR="005C4741" w:rsidRDefault="005C4741">
            <w:pPr>
              <w:ind w:left="1020"/>
              <w:rPr>
                <w:sz w:val="20"/>
                <w:szCs w:val="20"/>
              </w:rPr>
            </w:pPr>
            <w:r>
              <w:rPr>
                <w:rFonts w:eastAsia="Times New Roman"/>
              </w:rPr>
              <w:t>Parameters</w:t>
            </w:r>
            <w:r>
              <w:rPr>
                <w:rFonts w:eastAsia="Times New Roman"/>
                <w:vertAlign w:val="superscript"/>
              </w:rPr>
              <w:t>2</w:t>
            </w:r>
          </w:p>
        </w:tc>
        <w:tc>
          <w:tcPr>
            <w:tcW w:w="2160" w:type="dxa"/>
            <w:tcBorders>
              <w:top w:val="single" w:sz="8" w:space="0" w:color="auto"/>
              <w:bottom w:val="single" w:sz="8" w:space="0" w:color="auto"/>
              <w:right w:val="single" w:sz="8" w:space="0" w:color="auto"/>
            </w:tcBorders>
            <w:vAlign w:val="bottom"/>
          </w:tcPr>
          <w:p w14:paraId="2819E7F2" w14:textId="77777777" w:rsidR="005C4741" w:rsidRDefault="005C4741">
            <w:pPr>
              <w:ind w:left="660"/>
              <w:rPr>
                <w:sz w:val="20"/>
                <w:szCs w:val="20"/>
              </w:rPr>
            </w:pPr>
            <w:r>
              <w:rPr>
                <w:rFonts w:eastAsia="Times New Roman"/>
              </w:rPr>
              <w:t>Location</w:t>
            </w:r>
          </w:p>
        </w:tc>
        <w:tc>
          <w:tcPr>
            <w:tcW w:w="2500" w:type="dxa"/>
            <w:tcBorders>
              <w:top w:val="single" w:sz="8" w:space="0" w:color="auto"/>
              <w:bottom w:val="single" w:sz="8" w:space="0" w:color="auto"/>
            </w:tcBorders>
            <w:vAlign w:val="bottom"/>
          </w:tcPr>
          <w:p w14:paraId="2819E7F3" w14:textId="77777777" w:rsidR="005C4741" w:rsidRDefault="005C4741">
            <w:pPr>
              <w:ind w:left="800"/>
              <w:rPr>
                <w:sz w:val="20"/>
                <w:szCs w:val="20"/>
              </w:rPr>
            </w:pPr>
            <w:r>
              <w:rPr>
                <w:rFonts w:eastAsia="Times New Roman"/>
              </w:rPr>
              <w:t>Frequency</w:t>
            </w:r>
          </w:p>
        </w:tc>
      </w:tr>
      <w:tr w:rsidR="005C4741" w14:paraId="2819E7FB" w14:textId="77777777" w:rsidTr="000C22FF">
        <w:trPr>
          <w:trHeight w:val="874"/>
        </w:trPr>
        <w:tc>
          <w:tcPr>
            <w:tcW w:w="2380" w:type="dxa"/>
            <w:tcBorders>
              <w:top w:val="single" w:sz="8" w:space="0" w:color="auto"/>
              <w:bottom w:val="single" w:sz="8" w:space="0" w:color="auto"/>
              <w:right w:val="single" w:sz="8" w:space="0" w:color="auto"/>
            </w:tcBorders>
          </w:tcPr>
          <w:p w14:paraId="2819E7F7" w14:textId="06416707" w:rsidR="005C4741" w:rsidRDefault="005C4741" w:rsidP="005C4741">
            <w:r>
              <w:rPr>
                <w:rFonts w:eastAsia="Times New Roman"/>
              </w:rPr>
              <w:t>Initial Monitoring.</w:t>
            </w:r>
          </w:p>
        </w:tc>
        <w:tc>
          <w:tcPr>
            <w:tcW w:w="3140" w:type="dxa"/>
            <w:tcBorders>
              <w:top w:val="single" w:sz="8" w:space="0" w:color="auto"/>
              <w:left w:val="single" w:sz="8" w:space="0" w:color="auto"/>
              <w:bottom w:val="single" w:sz="8" w:space="0" w:color="auto"/>
              <w:right w:val="single" w:sz="8" w:space="0" w:color="auto"/>
            </w:tcBorders>
          </w:tcPr>
          <w:p w14:paraId="07C2EC51" w14:textId="5C72A02D" w:rsidR="005C4741" w:rsidRDefault="005C4741" w:rsidP="00A52A43">
            <w:pPr>
              <w:ind w:left="20"/>
              <w:rPr>
                <w:sz w:val="20"/>
                <w:szCs w:val="20"/>
              </w:rPr>
            </w:pPr>
            <w:r>
              <w:rPr>
                <w:rFonts w:eastAsia="Times New Roman"/>
              </w:rPr>
              <w:t>pH, alkalinity, orthophosphate or</w:t>
            </w:r>
            <w:r w:rsidR="00105EDF">
              <w:rPr>
                <w:rFonts w:eastAsia="Times New Roman"/>
              </w:rPr>
              <w:t xml:space="preserve"> </w:t>
            </w:r>
            <w:r>
              <w:rPr>
                <w:rFonts w:eastAsia="Times New Roman"/>
              </w:rPr>
              <w:t>silica</w:t>
            </w:r>
            <w:r>
              <w:rPr>
                <w:rFonts w:eastAsia="Times New Roman"/>
                <w:vertAlign w:val="superscript"/>
              </w:rPr>
              <w:t>3</w:t>
            </w:r>
            <w:r>
              <w:rPr>
                <w:rFonts w:eastAsia="Times New Roman"/>
              </w:rPr>
              <w:t>, calcium, conductivity,</w:t>
            </w:r>
          </w:p>
          <w:p w14:paraId="2819E7F8" w14:textId="5BF083C4" w:rsidR="005C4741" w:rsidRDefault="005C4741" w:rsidP="00A52A43">
            <w:pPr>
              <w:ind w:left="20"/>
              <w:rPr>
                <w:sz w:val="20"/>
                <w:szCs w:val="20"/>
              </w:rPr>
            </w:pPr>
            <w:r>
              <w:rPr>
                <w:rFonts w:eastAsia="Times New Roman"/>
              </w:rPr>
              <w:t>temperature.</w:t>
            </w:r>
          </w:p>
        </w:tc>
        <w:tc>
          <w:tcPr>
            <w:tcW w:w="2160" w:type="dxa"/>
            <w:tcBorders>
              <w:bottom w:val="single" w:sz="8" w:space="0" w:color="auto"/>
              <w:right w:val="single" w:sz="8" w:space="0" w:color="auto"/>
            </w:tcBorders>
          </w:tcPr>
          <w:p w14:paraId="2819E7F9" w14:textId="7D434E4C" w:rsidR="005C4741" w:rsidRDefault="005C4741" w:rsidP="00A52A43">
            <w:pPr>
              <w:ind w:left="40"/>
              <w:rPr>
                <w:sz w:val="20"/>
                <w:szCs w:val="20"/>
              </w:rPr>
            </w:pPr>
            <w:r>
              <w:rPr>
                <w:rFonts w:eastAsia="Times New Roman"/>
              </w:rPr>
              <w:t>Taps and at entry</w:t>
            </w:r>
            <w:r w:rsidR="00105EDF">
              <w:rPr>
                <w:rFonts w:eastAsia="Times New Roman"/>
              </w:rPr>
              <w:t xml:space="preserve"> </w:t>
            </w:r>
            <w:r>
              <w:rPr>
                <w:rFonts w:eastAsia="Times New Roman"/>
              </w:rPr>
              <w:t>point(s) to distribution</w:t>
            </w:r>
            <w:r w:rsidR="00105EDF">
              <w:rPr>
                <w:rFonts w:eastAsia="Times New Roman"/>
              </w:rPr>
              <w:t xml:space="preserve"> </w:t>
            </w:r>
            <w:r>
              <w:rPr>
                <w:rFonts w:eastAsia="Times New Roman"/>
              </w:rPr>
              <w:t>system.</w:t>
            </w:r>
          </w:p>
        </w:tc>
        <w:tc>
          <w:tcPr>
            <w:tcW w:w="2500" w:type="dxa"/>
            <w:tcBorders>
              <w:bottom w:val="single" w:sz="8" w:space="0" w:color="auto"/>
            </w:tcBorders>
          </w:tcPr>
          <w:p w14:paraId="2819E7FA" w14:textId="3F721D12" w:rsidR="005C4741" w:rsidRDefault="005C4741" w:rsidP="00A52A43">
            <w:pPr>
              <w:ind w:left="40"/>
              <w:rPr>
                <w:sz w:val="20"/>
                <w:szCs w:val="20"/>
              </w:rPr>
            </w:pPr>
            <w:r>
              <w:rPr>
                <w:rFonts w:eastAsia="Times New Roman"/>
              </w:rPr>
              <w:t>Two samples every six</w:t>
            </w:r>
            <w:r w:rsidR="00105EDF">
              <w:rPr>
                <w:rFonts w:eastAsia="Times New Roman"/>
              </w:rPr>
              <w:t xml:space="preserve"> </w:t>
            </w:r>
            <w:r>
              <w:rPr>
                <w:rFonts w:eastAsia="Times New Roman"/>
              </w:rPr>
              <w:t>months.</w:t>
            </w:r>
          </w:p>
        </w:tc>
      </w:tr>
      <w:tr w:rsidR="005301DA" w14:paraId="2819E810" w14:textId="77777777" w:rsidTr="000C22FF">
        <w:trPr>
          <w:trHeight w:val="573"/>
        </w:trPr>
        <w:tc>
          <w:tcPr>
            <w:tcW w:w="2380" w:type="dxa"/>
            <w:vMerge w:val="restart"/>
            <w:tcBorders>
              <w:top w:val="single" w:sz="8" w:space="0" w:color="auto"/>
              <w:bottom w:val="single" w:sz="8" w:space="0" w:color="auto"/>
              <w:right w:val="single" w:sz="8" w:space="0" w:color="auto"/>
            </w:tcBorders>
          </w:tcPr>
          <w:p w14:paraId="2819E80C" w14:textId="6B513C66" w:rsidR="005301DA" w:rsidRDefault="005301DA" w:rsidP="00E304A0">
            <w:r>
              <w:rPr>
                <w:rFonts w:eastAsia="Times New Roman"/>
              </w:rPr>
              <w:t>After Installation of</w:t>
            </w:r>
            <w:r w:rsidR="00105EDF">
              <w:rPr>
                <w:rFonts w:eastAsia="Times New Roman"/>
              </w:rPr>
              <w:t xml:space="preserve"> </w:t>
            </w:r>
            <w:r>
              <w:rPr>
                <w:rFonts w:eastAsia="Times New Roman"/>
              </w:rPr>
              <w:t>Corrosion Control.</w:t>
            </w:r>
          </w:p>
        </w:tc>
        <w:tc>
          <w:tcPr>
            <w:tcW w:w="3140" w:type="dxa"/>
            <w:tcBorders>
              <w:top w:val="single" w:sz="8" w:space="0" w:color="auto"/>
              <w:left w:val="single" w:sz="8" w:space="0" w:color="auto"/>
              <w:bottom w:val="single" w:sz="8" w:space="0" w:color="auto"/>
              <w:right w:val="single" w:sz="8" w:space="0" w:color="auto"/>
            </w:tcBorders>
          </w:tcPr>
          <w:p w14:paraId="2819E80D" w14:textId="729BE254" w:rsidR="005301DA" w:rsidRDefault="005301DA" w:rsidP="005301DA">
            <w:pPr>
              <w:ind w:left="20"/>
              <w:rPr>
                <w:sz w:val="20"/>
                <w:szCs w:val="20"/>
              </w:rPr>
            </w:pPr>
            <w:r>
              <w:rPr>
                <w:rFonts w:eastAsia="Times New Roman"/>
              </w:rPr>
              <w:t>pH, alkalinity, orthophosphate or</w:t>
            </w:r>
            <w:r w:rsidR="00105EDF">
              <w:rPr>
                <w:rFonts w:eastAsia="Times New Roman"/>
              </w:rPr>
              <w:t xml:space="preserve"> </w:t>
            </w:r>
            <w:r>
              <w:rPr>
                <w:rFonts w:eastAsia="Times New Roman"/>
              </w:rPr>
              <w:t>silica</w:t>
            </w:r>
            <w:r>
              <w:rPr>
                <w:rFonts w:eastAsia="Times New Roman"/>
                <w:vertAlign w:val="superscript"/>
              </w:rPr>
              <w:t>3</w:t>
            </w:r>
            <w:r>
              <w:rPr>
                <w:rFonts w:eastAsia="Times New Roman"/>
              </w:rPr>
              <w:t>, calcium</w:t>
            </w:r>
            <w:r>
              <w:rPr>
                <w:rFonts w:eastAsia="Times New Roman"/>
                <w:vertAlign w:val="superscript"/>
              </w:rPr>
              <w:t>4</w:t>
            </w:r>
            <w:r>
              <w:rPr>
                <w:rFonts w:eastAsia="Times New Roman"/>
              </w:rPr>
              <w:t>.</w:t>
            </w:r>
          </w:p>
        </w:tc>
        <w:tc>
          <w:tcPr>
            <w:tcW w:w="2160" w:type="dxa"/>
            <w:tcBorders>
              <w:top w:val="single" w:sz="8" w:space="0" w:color="auto"/>
              <w:bottom w:val="single" w:sz="8" w:space="0" w:color="auto"/>
              <w:right w:val="single" w:sz="8" w:space="0" w:color="auto"/>
            </w:tcBorders>
          </w:tcPr>
          <w:p w14:paraId="2819E80E" w14:textId="77777777" w:rsidR="005301DA" w:rsidRDefault="005301DA" w:rsidP="005301DA">
            <w:pPr>
              <w:ind w:left="40"/>
              <w:rPr>
                <w:sz w:val="20"/>
                <w:szCs w:val="20"/>
              </w:rPr>
            </w:pPr>
            <w:r>
              <w:rPr>
                <w:rFonts w:eastAsia="Times New Roman"/>
              </w:rPr>
              <w:t>Taps.</w:t>
            </w:r>
          </w:p>
        </w:tc>
        <w:tc>
          <w:tcPr>
            <w:tcW w:w="2500" w:type="dxa"/>
            <w:tcBorders>
              <w:top w:val="single" w:sz="8" w:space="0" w:color="auto"/>
              <w:bottom w:val="single" w:sz="8" w:space="0" w:color="auto"/>
            </w:tcBorders>
          </w:tcPr>
          <w:p w14:paraId="2819E80F" w14:textId="41833613" w:rsidR="005301DA" w:rsidRDefault="005301DA" w:rsidP="005301DA">
            <w:pPr>
              <w:ind w:left="40"/>
              <w:rPr>
                <w:sz w:val="20"/>
                <w:szCs w:val="20"/>
              </w:rPr>
            </w:pPr>
            <w:r>
              <w:rPr>
                <w:rFonts w:eastAsia="Times New Roman"/>
              </w:rPr>
              <w:t>Two samples every six</w:t>
            </w:r>
            <w:r w:rsidR="00105EDF">
              <w:rPr>
                <w:rFonts w:eastAsia="Times New Roman"/>
              </w:rPr>
              <w:t xml:space="preserve"> </w:t>
            </w:r>
            <w:r>
              <w:rPr>
                <w:rFonts w:eastAsia="Times New Roman"/>
              </w:rPr>
              <w:t>months.</w:t>
            </w:r>
          </w:p>
        </w:tc>
      </w:tr>
      <w:tr w:rsidR="000C22FF" w14:paraId="2819E81C" w14:textId="77777777" w:rsidTr="006B7492">
        <w:trPr>
          <w:trHeight w:val="1410"/>
        </w:trPr>
        <w:tc>
          <w:tcPr>
            <w:tcW w:w="2380" w:type="dxa"/>
            <w:vMerge/>
            <w:tcBorders>
              <w:bottom w:val="single" w:sz="8" w:space="0" w:color="auto"/>
              <w:right w:val="single" w:sz="8" w:space="0" w:color="auto"/>
            </w:tcBorders>
            <w:vAlign w:val="bottom"/>
          </w:tcPr>
          <w:p w14:paraId="2819E818" w14:textId="77777777" w:rsidR="000C22FF" w:rsidRDefault="000C22FF"/>
        </w:tc>
        <w:tc>
          <w:tcPr>
            <w:tcW w:w="3140" w:type="dxa"/>
            <w:tcBorders>
              <w:top w:val="single" w:sz="8" w:space="0" w:color="auto"/>
              <w:left w:val="single" w:sz="8" w:space="0" w:color="auto"/>
              <w:bottom w:val="single" w:sz="8" w:space="0" w:color="auto"/>
              <w:right w:val="single" w:sz="8" w:space="0" w:color="auto"/>
            </w:tcBorders>
          </w:tcPr>
          <w:p w14:paraId="2819E819" w14:textId="42AE2EA1" w:rsidR="000C22FF" w:rsidRDefault="000C22FF" w:rsidP="00105EDF">
            <w:pPr>
              <w:ind w:left="20"/>
              <w:rPr>
                <w:sz w:val="20"/>
                <w:szCs w:val="20"/>
              </w:rPr>
            </w:pPr>
            <w:r>
              <w:rPr>
                <w:rFonts w:eastAsia="Times New Roman"/>
              </w:rPr>
              <w:t>pH, alkalinity, dosage rate and</w:t>
            </w:r>
            <w:r w:rsidR="00105EDF">
              <w:rPr>
                <w:rFonts w:eastAsia="Times New Roman"/>
              </w:rPr>
              <w:t xml:space="preserve"> </w:t>
            </w:r>
            <w:r>
              <w:rPr>
                <w:rFonts w:eastAsia="Times New Roman"/>
              </w:rPr>
              <w:t>concentration (if alkalinity</w:t>
            </w:r>
            <w:r w:rsidR="00105EDF">
              <w:rPr>
                <w:rFonts w:eastAsia="Times New Roman"/>
              </w:rPr>
              <w:t xml:space="preserve"> </w:t>
            </w:r>
            <w:r>
              <w:rPr>
                <w:rFonts w:eastAsia="Times New Roman"/>
              </w:rPr>
              <w:t>adjusted as part of corrosion</w:t>
            </w:r>
            <w:r w:rsidR="00105EDF">
              <w:rPr>
                <w:rFonts w:eastAsia="Times New Roman"/>
              </w:rPr>
              <w:t xml:space="preserve"> </w:t>
            </w:r>
            <w:r>
              <w:rPr>
                <w:rFonts w:eastAsia="Times New Roman"/>
              </w:rPr>
              <w:t>control), inhibitor dosage rate and</w:t>
            </w:r>
            <w:r w:rsidR="00105EDF">
              <w:rPr>
                <w:rFonts w:eastAsia="Times New Roman"/>
              </w:rPr>
              <w:t xml:space="preserve"> </w:t>
            </w:r>
            <w:r>
              <w:rPr>
                <w:rFonts w:eastAsia="Times New Roman"/>
              </w:rPr>
              <w:t>inhibitor residual</w:t>
            </w:r>
            <w:r>
              <w:rPr>
                <w:rFonts w:eastAsia="Times New Roman"/>
                <w:vertAlign w:val="superscript"/>
              </w:rPr>
              <w:t>5</w:t>
            </w:r>
            <w:r>
              <w:rPr>
                <w:rFonts w:eastAsia="Times New Roman"/>
              </w:rPr>
              <w:t>.</w:t>
            </w:r>
          </w:p>
        </w:tc>
        <w:tc>
          <w:tcPr>
            <w:tcW w:w="2160" w:type="dxa"/>
            <w:tcBorders>
              <w:top w:val="single" w:sz="8" w:space="0" w:color="auto"/>
              <w:bottom w:val="single" w:sz="8" w:space="0" w:color="auto"/>
              <w:right w:val="single" w:sz="8" w:space="0" w:color="auto"/>
            </w:tcBorders>
          </w:tcPr>
          <w:p w14:paraId="2819E81A" w14:textId="0E80A8D7" w:rsidR="000C22FF" w:rsidRDefault="000C22FF" w:rsidP="00105EDF">
            <w:pPr>
              <w:ind w:left="40"/>
              <w:rPr>
                <w:sz w:val="20"/>
                <w:szCs w:val="20"/>
              </w:rPr>
            </w:pPr>
            <w:r>
              <w:rPr>
                <w:rFonts w:eastAsia="Times New Roman"/>
              </w:rPr>
              <w:t>Entry point(s) to</w:t>
            </w:r>
            <w:r w:rsidR="00105EDF">
              <w:rPr>
                <w:rFonts w:eastAsia="Times New Roman"/>
              </w:rPr>
              <w:t xml:space="preserve"> </w:t>
            </w:r>
            <w:r>
              <w:rPr>
                <w:rFonts w:eastAsia="Times New Roman"/>
              </w:rPr>
              <w:t>distribution system</w:t>
            </w:r>
            <w:r>
              <w:rPr>
                <w:rFonts w:eastAsia="Times New Roman"/>
                <w:vertAlign w:val="superscript"/>
              </w:rPr>
              <w:t>6</w:t>
            </w:r>
            <w:r>
              <w:rPr>
                <w:rFonts w:eastAsia="Times New Roman"/>
              </w:rPr>
              <w:t>.</w:t>
            </w:r>
          </w:p>
        </w:tc>
        <w:tc>
          <w:tcPr>
            <w:tcW w:w="2500" w:type="dxa"/>
            <w:tcBorders>
              <w:top w:val="single" w:sz="8" w:space="0" w:color="auto"/>
              <w:bottom w:val="single" w:sz="8" w:space="0" w:color="auto"/>
            </w:tcBorders>
          </w:tcPr>
          <w:p w14:paraId="2819E81B" w14:textId="09C0AAA3" w:rsidR="000C22FF" w:rsidRDefault="000C22FF" w:rsidP="00105EDF">
            <w:pPr>
              <w:ind w:left="40"/>
              <w:rPr>
                <w:sz w:val="20"/>
                <w:szCs w:val="20"/>
              </w:rPr>
            </w:pPr>
            <w:r>
              <w:rPr>
                <w:rFonts w:eastAsia="Times New Roman"/>
              </w:rPr>
              <w:t>No less frequently than</w:t>
            </w:r>
            <w:r w:rsidR="00105EDF">
              <w:rPr>
                <w:rFonts w:eastAsia="Times New Roman"/>
              </w:rPr>
              <w:t xml:space="preserve"> </w:t>
            </w:r>
            <w:r>
              <w:rPr>
                <w:rFonts w:eastAsia="Times New Roman"/>
              </w:rPr>
              <w:t>every two weeks.</w:t>
            </w:r>
          </w:p>
        </w:tc>
      </w:tr>
      <w:tr w:rsidR="006B7492" w14:paraId="2819E83F" w14:textId="77777777" w:rsidTr="006B7492">
        <w:trPr>
          <w:trHeight w:val="1172"/>
        </w:trPr>
        <w:tc>
          <w:tcPr>
            <w:tcW w:w="2380" w:type="dxa"/>
            <w:vMerge w:val="restart"/>
            <w:tcBorders>
              <w:top w:val="single" w:sz="8" w:space="0" w:color="auto"/>
              <w:bottom w:val="single" w:sz="8" w:space="0" w:color="auto"/>
              <w:right w:val="single" w:sz="8" w:space="0" w:color="auto"/>
            </w:tcBorders>
          </w:tcPr>
          <w:p w14:paraId="2819E83B" w14:textId="4118D4DA" w:rsidR="006B7492" w:rsidRDefault="006B7492" w:rsidP="00105EDF">
            <w:r>
              <w:rPr>
                <w:rFonts w:eastAsia="Times New Roman"/>
              </w:rPr>
              <w:t>After State Specifies</w:t>
            </w:r>
            <w:r w:rsidR="00105EDF">
              <w:rPr>
                <w:rFonts w:eastAsia="Times New Roman"/>
              </w:rPr>
              <w:t xml:space="preserve"> </w:t>
            </w:r>
            <w:r>
              <w:rPr>
                <w:rFonts w:eastAsia="Times New Roman"/>
              </w:rPr>
              <w:t>Parameter Values for</w:t>
            </w:r>
            <w:r w:rsidR="00105EDF">
              <w:rPr>
                <w:rFonts w:eastAsia="Times New Roman"/>
              </w:rPr>
              <w:t xml:space="preserve"> </w:t>
            </w:r>
            <w:r>
              <w:rPr>
                <w:rFonts w:eastAsia="Times New Roman"/>
              </w:rPr>
              <w:t>Optimal Corrosion</w:t>
            </w:r>
            <w:r w:rsidR="00105EDF">
              <w:rPr>
                <w:rFonts w:eastAsia="Times New Roman"/>
              </w:rPr>
              <w:t xml:space="preserve"> </w:t>
            </w:r>
            <w:r>
              <w:rPr>
                <w:rFonts w:eastAsia="Times New Roman"/>
              </w:rPr>
              <w:t>Control.</w:t>
            </w:r>
          </w:p>
        </w:tc>
        <w:tc>
          <w:tcPr>
            <w:tcW w:w="3140" w:type="dxa"/>
            <w:tcBorders>
              <w:top w:val="single" w:sz="8" w:space="0" w:color="auto"/>
              <w:bottom w:val="single" w:sz="8" w:space="0" w:color="auto"/>
              <w:right w:val="single" w:sz="8" w:space="0" w:color="auto"/>
            </w:tcBorders>
          </w:tcPr>
          <w:p w14:paraId="2819E83C" w14:textId="3FE511C5" w:rsidR="006B7492" w:rsidRDefault="006B7492" w:rsidP="00105EDF">
            <w:pPr>
              <w:ind w:left="20"/>
              <w:rPr>
                <w:sz w:val="20"/>
                <w:szCs w:val="20"/>
              </w:rPr>
            </w:pPr>
            <w:r>
              <w:rPr>
                <w:rFonts w:eastAsia="Times New Roman"/>
              </w:rPr>
              <w:t>pH, alkalinity, orthophosphate or</w:t>
            </w:r>
            <w:r w:rsidR="00105EDF">
              <w:rPr>
                <w:rFonts w:eastAsia="Times New Roman"/>
              </w:rPr>
              <w:t xml:space="preserve"> </w:t>
            </w:r>
            <w:r>
              <w:rPr>
                <w:rFonts w:eastAsia="Times New Roman"/>
              </w:rPr>
              <w:t>silica</w:t>
            </w:r>
            <w:r>
              <w:rPr>
                <w:rFonts w:eastAsia="Times New Roman"/>
                <w:vertAlign w:val="superscript"/>
              </w:rPr>
              <w:t>3</w:t>
            </w:r>
            <w:r>
              <w:rPr>
                <w:rFonts w:eastAsia="Times New Roman"/>
              </w:rPr>
              <w:t>, calcium</w:t>
            </w:r>
            <w:r>
              <w:rPr>
                <w:rFonts w:eastAsia="Times New Roman"/>
                <w:vertAlign w:val="superscript"/>
              </w:rPr>
              <w:t>4</w:t>
            </w:r>
            <w:r>
              <w:rPr>
                <w:rFonts w:eastAsia="Times New Roman"/>
              </w:rPr>
              <w:t>.</w:t>
            </w:r>
          </w:p>
        </w:tc>
        <w:tc>
          <w:tcPr>
            <w:tcW w:w="2160" w:type="dxa"/>
            <w:tcBorders>
              <w:top w:val="single" w:sz="8" w:space="0" w:color="auto"/>
              <w:bottom w:val="single" w:sz="8" w:space="0" w:color="auto"/>
              <w:right w:val="single" w:sz="8" w:space="0" w:color="auto"/>
            </w:tcBorders>
          </w:tcPr>
          <w:p w14:paraId="2819E83D" w14:textId="77777777" w:rsidR="006B7492" w:rsidRDefault="006B7492" w:rsidP="006B7492">
            <w:pPr>
              <w:ind w:left="40"/>
              <w:rPr>
                <w:sz w:val="20"/>
                <w:szCs w:val="20"/>
              </w:rPr>
            </w:pPr>
            <w:r>
              <w:rPr>
                <w:rFonts w:eastAsia="Times New Roman"/>
              </w:rPr>
              <w:t>Taps.</w:t>
            </w:r>
          </w:p>
        </w:tc>
        <w:tc>
          <w:tcPr>
            <w:tcW w:w="2500" w:type="dxa"/>
            <w:tcBorders>
              <w:top w:val="single" w:sz="8" w:space="0" w:color="auto"/>
              <w:bottom w:val="single" w:sz="8" w:space="0" w:color="auto"/>
            </w:tcBorders>
          </w:tcPr>
          <w:p w14:paraId="2819E83E" w14:textId="548E7F58" w:rsidR="006B7492" w:rsidRDefault="006B7492" w:rsidP="00105EDF">
            <w:pPr>
              <w:ind w:left="40"/>
              <w:rPr>
                <w:sz w:val="20"/>
                <w:szCs w:val="20"/>
              </w:rPr>
            </w:pPr>
            <w:r>
              <w:rPr>
                <w:rFonts w:eastAsia="Times New Roman"/>
              </w:rPr>
              <w:t>Two Samples every six</w:t>
            </w:r>
            <w:r w:rsidR="00105EDF">
              <w:rPr>
                <w:rFonts w:eastAsia="Times New Roman"/>
              </w:rPr>
              <w:t xml:space="preserve"> </w:t>
            </w:r>
            <w:r>
              <w:rPr>
                <w:rFonts w:eastAsia="Times New Roman"/>
              </w:rPr>
              <w:t>months.</w:t>
            </w:r>
          </w:p>
        </w:tc>
      </w:tr>
      <w:tr w:rsidR="006B7492" w14:paraId="2819E855" w14:textId="77777777" w:rsidTr="006B7492">
        <w:trPr>
          <w:trHeight w:val="1473"/>
        </w:trPr>
        <w:tc>
          <w:tcPr>
            <w:tcW w:w="2380" w:type="dxa"/>
            <w:vMerge/>
            <w:tcBorders>
              <w:bottom w:val="single" w:sz="8" w:space="0" w:color="auto"/>
              <w:right w:val="single" w:sz="8" w:space="0" w:color="auto"/>
            </w:tcBorders>
            <w:vAlign w:val="bottom"/>
          </w:tcPr>
          <w:p w14:paraId="2819E851" w14:textId="77777777" w:rsidR="006B7492" w:rsidRDefault="006B7492"/>
        </w:tc>
        <w:tc>
          <w:tcPr>
            <w:tcW w:w="3140" w:type="dxa"/>
            <w:tcBorders>
              <w:top w:val="single" w:sz="8" w:space="0" w:color="auto"/>
              <w:left w:val="single" w:sz="8" w:space="0" w:color="auto"/>
              <w:bottom w:val="single" w:sz="8" w:space="0" w:color="auto"/>
              <w:right w:val="single" w:sz="8" w:space="0" w:color="auto"/>
            </w:tcBorders>
          </w:tcPr>
          <w:p w14:paraId="2819E852" w14:textId="24C245DA" w:rsidR="006B7492" w:rsidRDefault="006B7492" w:rsidP="00105EDF">
            <w:pPr>
              <w:ind w:left="20"/>
              <w:rPr>
                <w:sz w:val="20"/>
                <w:szCs w:val="20"/>
              </w:rPr>
            </w:pPr>
            <w:r>
              <w:rPr>
                <w:rFonts w:eastAsia="Times New Roman"/>
              </w:rPr>
              <w:t>pH, alkalinity dosage rate and</w:t>
            </w:r>
            <w:r w:rsidR="00105EDF">
              <w:rPr>
                <w:rFonts w:eastAsia="Times New Roman"/>
              </w:rPr>
              <w:t xml:space="preserve"> </w:t>
            </w:r>
            <w:r>
              <w:rPr>
                <w:rFonts w:eastAsia="Times New Roman"/>
              </w:rPr>
              <w:t>concentration (if alkalinity</w:t>
            </w:r>
            <w:r w:rsidR="00105EDF">
              <w:rPr>
                <w:rFonts w:eastAsia="Times New Roman"/>
              </w:rPr>
              <w:t xml:space="preserve"> </w:t>
            </w:r>
            <w:r>
              <w:rPr>
                <w:rFonts w:eastAsia="Times New Roman"/>
              </w:rPr>
              <w:t>adjusted as part of corrosion</w:t>
            </w:r>
            <w:r w:rsidR="00105EDF">
              <w:rPr>
                <w:rFonts w:eastAsia="Times New Roman"/>
              </w:rPr>
              <w:t xml:space="preserve"> </w:t>
            </w:r>
            <w:r>
              <w:rPr>
                <w:rFonts w:eastAsia="Times New Roman"/>
              </w:rPr>
              <w:t>control), inhibitor dosage rate and</w:t>
            </w:r>
            <w:r w:rsidR="00105EDF">
              <w:rPr>
                <w:rFonts w:eastAsia="Times New Roman"/>
              </w:rPr>
              <w:t xml:space="preserve"> </w:t>
            </w:r>
            <w:r>
              <w:rPr>
                <w:rFonts w:eastAsia="Times New Roman"/>
              </w:rPr>
              <w:t>inhibitor residual</w:t>
            </w:r>
            <w:r>
              <w:rPr>
                <w:rFonts w:eastAsia="Times New Roman"/>
                <w:vertAlign w:val="superscript"/>
              </w:rPr>
              <w:t>5</w:t>
            </w:r>
            <w:r>
              <w:rPr>
                <w:rFonts w:eastAsia="Times New Roman"/>
              </w:rPr>
              <w:t>.</w:t>
            </w:r>
          </w:p>
        </w:tc>
        <w:tc>
          <w:tcPr>
            <w:tcW w:w="2160" w:type="dxa"/>
            <w:tcBorders>
              <w:top w:val="single" w:sz="8" w:space="0" w:color="auto"/>
              <w:bottom w:val="single" w:sz="8" w:space="0" w:color="auto"/>
              <w:right w:val="single" w:sz="8" w:space="0" w:color="auto"/>
            </w:tcBorders>
          </w:tcPr>
          <w:p w14:paraId="2819E853" w14:textId="59AFAC28" w:rsidR="006B7492" w:rsidRDefault="006B7492" w:rsidP="00105EDF">
            <w:pPr>
              <w:ind w:left="40"/>
              <w:rPr>
                <w:sz w:val="20"/>
                <w:szCs w:val="20"/>
              </w:rPr>
            </w:pPr>
            <w:r>
              <w:rPr>
                <w:rFonts w:eastAsia="Times New Roman"/>
              </w:rPr>
              <w:t>Entry point(s) to</w:t>
            </w:r>
            <w:r w:rsidR="00105EDF">
              <w:rPr>
                <w:rFonts w:eastAsia="Times New Roman"/>
              </w:rPr>
              <w:t xml:space="preserve"> </w:t>
            </w:r>
            <w:r>
              <w:rPr>
                <w:rFonts w:eastAsia="Times New Roman"/>
              </w:rPr>
              <w:t>distribution system</w:t>
            </w:r>
            <w:r>
              <w:rPr>
                <w:rFonts w:eastAsia="Times New Roman"/>
                <w:vertAlign w:val="superscript"/>
              </w:rPr>
              <w:t>6</w:t>
            </w:r>
            <w:r>
              <w:rPr>
                <w:rFonts w:eastAsia="Times New Roman"/>
              </w:rPr>
              <w:t>.</w:t>
            </w:r>
          </w:p>
        </w:tc>
        <w:tc>
          <w:tcPr>
            <w:tcW w:w="2500" w:type="dxa"/>
            <w:tcBorders>
              <w:top w:val="single" w:sz="8" w:space="0" w:color="auto"/>
              <w:bottom w:val="single" w:sz="8" w:space="0" w:color="auto"/>
            </w:tcBorders>
          </w:tcPr>
          <w:p w14:paraId="2819E854" w14:textId="21FA3769" w:rsidR="006B7492" w:rsidRDefault="006B7492" w:rsidP="00105EDF">
            <w:pPr>
              <w:ind w:left="40"/>
              <w:rPr>
                <w:sz w:val="20"/>
                <w:szCs w:val="20"/>
              </w:rPr>
            </w:pPr>
            <w:r>
              <w:rPr>
                <w:rFonts w:eastAsia="Times New Roman"/>
              </w:rPr>
              <w:t>No less frequently than</w:t>
            </w:r>
            <w:r w:rsidR="00105EDF">
              <w:rPr>
                <w:rFonts w:eastAsia="Times New Roman"/>
              </w:rPr>
              <w:t xml:space="preserve"> </w:t>
            </w:r>
            <w:r>
              <w:rPr>
                <w:rFonts w:eastAsia="Times New Roman"/>
              </w:rPr>
              <w:t>every two weeks.</w:t>
            </w:r>
          </w:p>
        </w:tc>
      </w:tr>
      <w:tr w:rsidR="006B7492" w14:paraId="2819E878" w14:textId="77777777" w:rsidTr="006B7492">
        <w:trPr>
          <w:trHeight w:val="1172"/>
        </w:trPr>
        <w:tc>
          <w:tcPr>
            <w:tcW w:w="2380" w:type="dxa"/>
            <w:vMerge w:val="restart"/>
            <w:tcBorders>
              <w:top w:val="single" w:sz="8" w:space="0" w:color="auto"/>
              <w:bottom w:val="single" w:sz="8" w:space="0" w:color="auto"/>
              <w:right w:val="single" w:sz="8" w:space="0" w:color="auto"/>
            </w:tcBorders>
          </w:tcPr>
          <w:p w14:paraId="2819E874" w14:textId="35D3E7AB" w:rsidR="006B7492" w:rsidRDefault="006B7492" w:rsidP="006B7492">
            <w:r>
              <w:rPr>
                <w:rFonts w:eastAsia="Times New Roman"/>
              </w:rPr>
              <w:t>Reduced Monitoring.</w:t>
            </w:r>
          </w:p>
        </w:tc>
        <w:tc>
          <w:tcPr>
            <w:tcW w:w="3140" w:type="dxa"/>
            <w:tcBorders>
              <w:top w:val="single" w:sz="8" w:space="0" w:color="auto"/>
              <w:left w:val="single" w:sz="8" w:space="0" w:color="auto"/>
              <w:bottom w:val="single" w:sz="8" w:space="0" w:color="auto"/>
              <w:right w:val="single" w:sz="8" w:space="0" w:color="auto"/>
            </w:tcBorders>
          </w:tcPr>
          <w:p w14:paraId="2819E875" w14:textId="1DE94C0C" w:rsidR="006B7492" w:rsidRDefault="006B7492" w:rsidP="00105EDF">
            <w:pPr>
              <w:ind w:left="20"/>
              <w:rPr>
                <w:sz w:val="20"/>
                <w:szCs w:val="20"/>
              </w:rPr>
            </w:pPr>
            <w:r>
              <w:rPr>
                <w:rFonts w:eastAsia="Times New Roman"/>
              </w:rPr>
              <w:t>pH, alkalinity, orthophosphate or</w:t>
            </w:r>
            <w:r w:rsidR="00105EDF">
              <w:rPr>
                <w:rFonts w:eastAsia="Times New Roman"/>
              </w:rPr>
              <w:t xml:space="preserve"> </w:t>
            </w:r>
            <w:r>
              <w:rPr>
                <w:rFonts w:eastAsia="Times New Roman"/>
              </w:rPr>
              <w:t>silica</w:t>
            </w:r>
            <w:r>
              <w:rPr>
                <w:rFonts w:eastAsia="Times New Roman"/>
                <w:vertAlign w:val="superscript"/>
              </w:rPr>
              <w:t>3</w:t>
            </w:r>
            <w:r>
              <w:rPr>
                <w:rFonts w:eastAsia="Times New Roman"/>
              </w:rPr>
              <w:t>, calcium</w:t>
            </w:r>
            <w:r>
              <w:rPr>
                <w:rFonts w:eastAsia="Times New Roman"/>
                <w:vertAlign w:val="superscript"/>
              </w:rPr>
              <w:t>4</w:t>
            </w:r>
            <w:r>
              <w:rPr>
                <w:rFonts w:eastAsia="Times New Roman"/>
              </w:rPr>
              <w:t>.</w:t>
            </w:r>
          </w:p>
        </w:tc>
        <w:tc>
          <w:tcPr>
            <w:tcW w:w="2160" w:type="dxa"/>
            <w:tcBorders>
              <w:top w:val="single" w:sz="8" w:space="0" w:color="auto"/>
              <w:bottom w:val="single" w:sz="8" w:space="0" w:color="auto"/>
              <w:right w:val="single" w:sz="8" w:space="0" w:color="auto"/>
            </w:tcBorders>
          </w:tcPr>
          <w:p w14:paraId="2819E876" w14:textId="77777777" w:rsidR="006B7492" w:rsidRDefault="006B7492" w:rsidP="006B7492">
            <w:pPr>
              <w:ind w:left="40"/>
              <w:rPr>
                <w:sz w:val="20"/>
                <w:szCs w:val="20"/>
              </w:rPr>
            </w:pPr>
            <w:r>
              <w:rPr>
                <w:rFonts w:eastAsia="Times New Roman"/>
              </w:rPr>
              <w:t>Taps.</w:t>
            </w:r>
          </w:p>
        </w:tc>
        <w:tc>
          <w:tcPr>
            <w:tcW w:w="2500" w:type="dxa"/>
            <w:tcBorders>
              <w:top w:val="single" w:sz="8" w:space="0" w:color="auto"/>
              <w:bottom w:val="single" w:sz="8" w:space="0" w:color="auto"/>
            </w:tcBorders>
          </w:tcPr>
          <w:p w14:paraId="2819E877" w14:textId="6654EA20" w:rsidR="006B7492" w:rsidRDefault="006B7492" w:rsidP="00105EDF">
            <w:pPr>
              <w:ind w:left="40"/>
              <w:rPr>
                <w:sz w:val="20"/>
                <w:szCs w:val="20"/>
              </w:rPr>
            </w:pPr>
            <w:r>
              <w:rPr>
                <w:rFonts w:eastAsia="Times New Roman"/>
              </w:rPr>
              <w:t>Two samples every six</w:t>
            </w:r>
            <w:r w:rsidR="00105EDF">
              <w:rPr>
                <w:rFonts w:eastAsia="Times New Roman"/>
              </w:rPr>
              <w:t xml:space="preserve"> </w:t>
            </w:r>
            <w:r>
              <w:rPr>
                <w:rFonts w:eastAsia="Times New Roman"/>
              </w:rPr>
              <w:t>months, annually</w:t>
            </w:r>
            <w:r>
              <w:rPr>
                <w:rFonts w:eastAsia="Times New Roman"/>
                <w:vertAlign w:val="superscript"/>
              </w:rPr>
              <w:t>7</w:t>
            </w:r>
            <w:r>
              <w:rPr>
                <w:rFonts w:eastAsia="Times New Roman"/>
              </w:rPr>
              <w:t xml:space="preserve"> or every</w:t>
            </w:r>
            <w:r w:rsidR="00105EDF">
              <w:rPr>
                <w:rFonts w:eastAsia="Times New Roman"/>
              </w:rPr>
              <w:t xml:space="preserve"> </w:t>
            </w:r>
            <w:r>
              <w:rPr>
                <w:rFonts w:eastAsia="Times New Roman"/>
              </w:rPr>
              <w:t>three years</w:t>
            </w:r>
            <w:r>
              <w:rPr>
                <w:rFonts w:eastAsia="Times New Roman"/>
                <w:vertAlign w:val="superscript"/>
              </w:rPr>
              <w:t>8</w:t>
            </w:r>
            <w:r>
              <w:rPr>
                <w:rFonts w:eastAsia="Times New Roman"/>
              </w:rPr>
              <w:t>; reduced</w:t>
            </w:r>
            <w:r w:rsidR="00105EDF">
              <w:rPr>
                <w:rFonts w:eastAsia="Times New Roman"/>
              </w:rPr>
              <w:t xml:space="preserve"> </w:t>
            </w:r>
            <w:r>
              <w:rPr>
                <w:rFonts w:eastAsia="Times New Roman"/>
              </w:rPr>
              <w:t>number of sites.</w:t>
            </w:r>
          </w:p>
        </w:tc>
      </w:tr>
      <w:tr w:rsidR="006B7492" w14:paraId="2819E894" w14:textId="77777777" w:rsidTr="006B7492">
        <w:trPr>
          <w:trHeight w:val="1467"/>
        </w:trPr>
        <w:tc>
          <w:tcPr>
            <w:tcW w:w="2380" w:type="dxa"/>
            <w:vMerge/>
            <w:tcBorders>
              <w:bottom w:val="single" w:sz="8" w:space="0" w:color="auto"/>
              <w:right w:val="single" w:sz="8" w:space="0" w:color="auto"/>
            </w:tcBorders>
            <w:vAlign w:val="bottom"/>
          </w:tcPr>
          <w:p w14:paraId="2819E890" w14:textId="77777777" w:rsidR="006B7492" w:rsidRDefault="006B7492"/>
        </w:tc>
        <w:tc>
          <w:tcPr>
            <w:tcW w:w="3140" w:type="dxa"/>
            <w:tcBorders>
              <w:top w:val="single" w:sz="8" w:space="0" w:color="auto"/>
              <w:left w:val="single" w:sz="8" w:space="0" w:color="auto"/>
              <w:bottom w:val="single" w:sz="8" w:space="0" w:color="auto"/>
              <w:right w:val="single" w:sz="8" w:space="0" w:color="auto"/>
            </w:tcBorders>
          </w:tcPr>
          <w:p w14:paraId="2819E891" w14:textId="0351C86C" w:rsidR="006B7492" w:rsidRDefault="006B7492" w:rsidP="00105EDF">
            <w:pPr>
              <w:ind w:left="20"/>
              <w:rPr>
                <w:sz w:val="20"/>
                <w:szCs w:val="20"/>
              </w:rPr>
            </w:pPr>
            <w:r>
              <w:rPr>
                <w:rFonts w:eastAsia="Times New Roman"/>
              </w:rPr>
              <w:t>pH, alkalinity dosage rate and</w:t>
            </w:r>
            <w:r w:rsidR="00105EDF">
              <w:rPr>
                <w:rFonts w:eastAsia="Times New Roman"/>
              </w:rPr>
              <w:t xml:space="preserve"> </w:t>
            </w:r>
            <w:r>
              <w:rPr>
                <w:rFonts w:eastAsia="Times New Roman"/>
              </w:rPr>
              <w:t>concentration (if alkalinity</w:t>
            </w:r>
            <w:r w:rsidR="00105EDF">
              <w:rPr>
                <w:rFonts w:eastAsia="Times New Roman"/>
              </w:rPr>
              <w:t xml:space="preserve"> </w:t>
            </w:r>
            <w:r>
              <w:rPr>
                <w:rFonts w:eastAsia="Times New Roman"/>
              </w:rPr>
              <w:t>adjusted as part of corrosion</w:t>
            </w:r>
            <w:r w:rsidR="00105EDF">
              <w:rPr>
                <w:rFonts w:eastAsia="Times New Roman"/>
              </w:rPr>
              <w:t xml:space="preserve"> </w:t>
            </w:r>
            <w:r>
              <w:rPr>
                <w:rFonts w:eastAsia="Times New Roman"/>
              </w:rPr>
              <w:t>control), inhibitor dosage rate and</w:t>
            </w:r>
            <w:r w:rsidR="00105EDF">
              <w:rPr>
                <w:rFonts w:eastAsia="Times New Roman"/>
              </w:rPr>
              <w:t xml:space="preserve"> </w:t>
            </w:r>
            <w:r>
              <w:rPr>
                <w:rFonts w:eastAsia="Times New Roman"/>
              </w:rPr>
              <w:t>inhibitor residual</w:t>
            </w:r>
            <w:r>
              <w:rPr>
                <w:rFonts w:eastAsia="Times New Roman"/>
                <w:vertAlign w:val="superscript"/>
              </w:rPr>
              <w:t>5</w:t>
            </w:r>
            <w:r>
              <w:rPr>
                <w:rFonts w:eastAsia="Times New Roman"/>
              </w:rPr>
              <w:t>.</w:t>
            </w:r>
          </w:p>
        </w:tc>
        <w:tc>
          <w:tcPr>
            <w:tcW w:w="2160" w:type="dxa"/>
            <w:tcBorders>
              <w:top w:val="single" w:sz="8" w:space="0" w:color="auto"/>
              <w:bottom w:val="single" w:sz="8" w:space="0" w:color="auto"/>
              <w:right w:val="single" w:sz="8" w:space="0" w:color="auto"/>
            </w:tcBorders>
          </w:tcPr>
          <w:p w14:paraId="2819E892" w14:textId="7E3FDA93" w:rsidR="006B7492" w:rsidRDefault="006B7492" w:rsidP="00105EDF">
            <w:pPr>
              <w:ind w:left="40"/>
              <w:rPr>
                <w:sz w:val="20"/>
                <w:szCs w:val="20"/>
              </w:rPr>
            </w:pPr>
            <w:r>
              <w:rPr>
                <w:rFonts w:eastAsia="Times New Roman"/>
              </w:rPr>
              <w:t>Entry point(s) to</w:t>
            </w:r>
            <w:r w:rsidR="00105EDF">
              <w:rPr>
                <w:rFonts w:eastAsia="Times New Roman"/>
              </w:rPr>
              <w:t xml:space="preserve"> </w:t>
            </w:r>
            <w:r>
              <w:rPr>
                <w:rFonts w:eastAsia="Times New Roman"/>
              </w:rPr>
              <w:t>distribution system</w:t>
            </w:r>
            <w:r>
              <w:rPr>
                <w:rFonts w:eastAsia="Times New Roman"/>
                <w:vertAlign w:val="superscript"/>
              </w:rPr>
              <w:t>6</w:t>
            </w:r>
            <w:r>
              <w:rPr>
                <w:rFonts w:eastAsia="Times New Roman"/>
              </w:rPr>
              <w:t>.</w:t>
            </w:r>
          </w:p>
        </w:tc>
        <w:tc>
          <w:tcPr>
            <w:tcW w:w="2500" w:type="dxa"/>
            <w:tcBorders>
              <w:top w:val="single" w:sz="8" w:space="0" w:color="auto"/>
              <w:bottom w:val="single" w:sz="8" w:space="0" w:color="auto"/>
            </w:tcBorders>
          </w:tcPr>
          <w:p w14:paraId="2819E893" w14:textId="1F63FC8B" w:rsidR="006B7492" w:rsidRDefault="006B7492" w:rsidP="00105EDF">
            <w:pPr>
              <w:ind w:left="40"/>
              <w:rPr>
                <w:sz w:val="20"/>
                <w:szCs w:val="20"/>
              </w:rPr>
            </w:pPr>
            <w:r>
              <w:rPr>
                <w:rFonts w:eastAsia="Times New Roman"/>
              </w:rPr>
              <w:t>No less frequently than</w:t>
            </w:r>
            <w:r w:rsidR="00105EDF">
              <w:rPr>
                <w:rFonts w:eastAsia="Times New Roman"/>
              </w:rPr>
              <w:t xml:space="preserve"> </w:t>
            </w:r>
            <w:r>
              <w:rPr>
                <w:rFonts w:eastAsia="Times New Roman"/>
              </w:rPr>
              <w:t>every two weeks.</w:t>
            </w:r>
          </w:p>
        </w:tc>
      </w:tr>
    </w:tbl>
    <w:p w14:paraId="2819E8B1" w14:textId="4A6C05CB" w:rsidR="004647B9" w:rsidRDefault="00E2436F" w:rsidP="00563A54">
      <w:pPr>
        <w:numPr>
          <w:ilvl w:val="0"/>
          <w:numId w:val="240"/>
        </w:numPr>
        <w:tabs>
          <w:tab w:val="left" w:pos="482"/>
        </w:tabs>
        <w:ind w:left="482" w:hanging="480"/>
        <w:rPr>
          <w:rFonts w:eastAsia="Times New Roman"/>
          <w:sz w:val="23"/>
          <w:szCs w:val="23"/>
          <w:vertAlign w:val="superscript"/>
        </w:rPr>
      </w:pPr>
      <w:r>
        <w:rPr>
          <w:rFonts w:eastAsia="Times New Roman"/>
          <w:sz w:val="21"/>
          <w:szCs w:val="21"/>
        </w:rPr>
        <w:t>Table is for illustrative purposes; consult the text of 310 CMR 22.06B(</w:t>
      </w:r>
      <w:r w:rsidR="00EC3DF4">
        <w:rPr>
          <w:rFonts w:eastAsia="Times New Roman"/>
          <w:sz w:val="21"/>
          <w:szCs w:val="21"/>
        </w:rPr>
        <w:t>8</w:t>
      </w:r>
      <w:r>
        <w:rPr>
          <w:rFonts w:eastAsia="Times New Roman"/>
          <w:sz w:val="21"/>
          <w:szCs w:val="21"/>
        </w:rPr>
        <w:t>) for precise regulatory requirements.</w:t>
      </w:r>
    </w:p>
    <w:p w14:paraId="2819E8B2" w14:textId="77777777" w:rsidR="004647B9" w:rsidRDefault="004647B9">
      <w:pPr>
        <w:spacing w:line="12" w:lineRule="exact"/>
        <w:rPr>
          <w:rFonts w:eastAsia="Times New Roman"/>
          <w:sz w:val="23"/>
          <w:szCs w:val="23"/>
          <w:vertAlign w:val="superscript"/>
        </w:rPr>
      </w:pPr>
    </w:p>
    <w:p w14:paraId="2819E8B3" w14:textId="77777777" w:rsidR="004647B9" w:rsidRDefault="00E2436F" w:rsidP="00563A54">
      <w:pPr>
        <w:numPr>
          <w:ilvl w:val="0"/>
          <w:numId w:val="240"/>
        </w:numPr>
        <w:tabs>
          <w:tab w:val="left" w:pos="482"/>
        </w:tabs>
        <w:spacing w:line="253" w:lineRule="auto"/>
        <w:ind w:left="482" w:hanging="482"/>
        <w:rPr>
          <w:rFonts w:eastAsia="Times New Roman"/>
          <w:sz w:val="24"/>
          <w:szCs w:val="24"/>
          <w:vertAlign w:val="superscript"/>
        </w:rPr>
      </w:pPr>
      <w:r>
        <w:rPr>
          <w:rFonts w:eastAsia="Times New Roman"/>
        </w:rPr>
        <w:t>Small and medium-size systems have to monitor for water quality parameters only during monitoring periods in which the system exceeds the lead or copper action level.</w:t>
      </w:r>
    </w:p>
    <w:p w14:paraId="2819E8B4" w14:textId="77777777" w:rsidR="004647B9" w:rsidRDefault="004647B9">
      <w:pPr>
        <w:spacing w:line="1" w:lineRule="exact"/>
        <w:rPr>
          <w:rFonts w:eastAsia="Times New Roman"/>
          <w:sz w:val="24"/>
          <w:szCs w:val="24"/>
          <w:vertAlign w:val="superscript"/>
        </w:rPr>
      </w:pPr>
    </w:p>
    <w:p w14:paraId="2819E8B5" w14:textId="77777777" w:rsidR="004647B9" w:rsidRDefault="00E2436F" w:rsidP="00563A54">
      <w:pPr>
        <w:numPr>
          <w:ilvl w:val="0"/>
          <w:numId w:val="240"/>
        </w:numPr>
        <w:tabs>
          <w:tab w:val="left" w:pos="482"/>
        </w:tabs>
        <w:spacing w:line="253" w:lineRule="auto"/>
        <w:ind w:left="482" w:hanging="480"/>
        <w:rPr>
          <w:rFonts w:eastAsia="Times New Roman"/>
          <w:sz w:val="24"/>
          <w:szCs w:val="24"/>
          <w:vertAlign w:val="superscript"/>
        </w:rPr>
      </w:pPr>
      <w:r>
        <w:rPr>
          <w:rFonts w:eastAsia="Times New Roman"/>
        </w:rPr>
        <w:t>Orthophosphate shall be measured only when an inhibitor containing a phosphate compound is used. Silica shall be measured only when an inhibitor containing silicate compound is used.</w:t>
      </w:r>
    </w:p>
    <w:p w14:paraId="2819E8B6" w14:textId="77777777" w:rsidR="004647B9" w:rsidRDefault="004647B9">
      <w:pPr>
        <w:spacing w:line="1" w:lineRule="exact"/>
        <w:rPr>
          <w:rFonts w:eastAsia="Times New Roman"/>
          <w:sz w:val="24"/>
          <w:szCs w:val="24"/>
          <w:vertAlign w:val="superscript"/>
        </w:rPr>
      </w:pPr>
    </w:p>
    <w:p w14:paraId="2819E8B7" w14:textId="77777777" w:rsidR="004647B9" w:rsidRDefault="00E2436F" w:rsidP="00563A54">
      <w:pPr>
        <w:numPr>
          <w:ilvl w:val="0"/>
          <w:numId w:val="240"/>
        </w:numPr>
        <w:tabs>
          <w:tab w:val="left" w:pos="482"/>
        </w:tabs>
        <w:ind w:left="482" w:hanging="480"/>
        <w:rPr>
          <w:rFonts w:eastAsia="Times New Roman"/>
          <w:sz w:val="24"/>
          <w:szCs w:val="24"/>
          <w:vertAlign w:val="superscript"/>
        </w:rPr>
      </w:pPr>
      <w:r>
        <w:rPr>
          <w:rFonts w:eastAsia="Times New Roman"/>
        </w:rPr>
        <w:t>Calcium shall be measured only when calcium carbonate stabilization is used as part of corrosion control.</w:t>
      </w:r>
    </w:p>
    <w:p w14:paraId="2819E8B8" w14:textId="77777777" w:rsidR="004647B9" w:rsidRDefault="004647B9">
      <w:pPr>
        <w:spacing w:line="2" w:lineRule="exact"/>
        <w:rPr>
          <w:rFonts w:eastAsia="Times New Roman"/>
          <w:sz w:val="24"/>
          <w:szCs w:val="24"/>
          <w:vertAlign w:val="superscript"/>
        </w:rPr>
      </w:pPr>
    </w:p>
    <w:p w14:paraId="2819E8B9" w14:textId="77777777" w:rsidR="004647B9" w:rsidRDefault="00E2436F" w:rsidP="00563A54">
      <w:pPr>
        <w:numPr>
          <w:ilvl w:val="0"/>
          <w:numId w:val="240"/>
        </w:numPr>
        <w:tabs>
          <w:tab w:val="left" w:pos="482"/>
        </w:tabs>
        <w:spacing w:line="253" w:lineRule="auto"/>
        <w:ind w:left="482" w:hanging="481"/>
        <w:rPr>
          <w:rFonts w:eastAsia="Times New Roman"/>
          <w:sz w:val="24"/>
          <w:szCs w:val="24"/>
          <w:vertAlign w:val="superscript"/>
        </w:rPr>
      </w:pPr>
      <w:r>
        <w:rPr>
          <w:rFonts w:eastAsia="Times New Roman"/>
        </w:rPr>
        <w:t>Inhibitor dosage rates and inhibitor residual concentrations (orthophosphate or silica) shall be measured only when an inhibitor is used.</w:t>
      </w:r>
    </w:p>
    <w:p w14:paraId="2819E8BA" w14:textId="77777777" w:rsidR="004647B9" w:rsidRDefault="004647B9">
      <w:pPr>
        <w:spacing w:line="1" w:lineRule="exact"/>
        <w:rPr>
          <w:rFonts w:eastAsia="Times New Roman"/>
          <w:sz w:val="24"/>
          <w:szCs w:val="24"/>
          <w:vertAlign w:val="superscript"/>
        </w:rPr>
      </w:pPr>
    </w:p>
    <w:p w14:paraId="2819E8BB" w14:textId="77777777" w:rsidR="004647B9" w:rsidRDefault="00E2436F" w:rsidP="00563A54">
      <w:pPr>
        <w:numPr>
          <w:ilvl w:val="0"/>
          <w:numId w:val="240"/>
        </w:numPr>
        <w:tabs>
          <w:tab w:val="left" w:pos="482"/>
        </w:tabs>
        <w:ind w:left="482" w:hanging="480"/>
        <w:rPr>
          <w:rFonts w:eastAsia="Times New Roman"/>
          <w:sz w:val="24"/>
          <w:szCs w:val="24"/>
          <w:vertAlign w:val="superscript"/>
        </w:rPr>
      </w:pPr>
      <w:r>
        <w:rPr>
          <w:rFonts w:eastAsia="Times New Roman"/>
        </w:rPr>
        <w:t>Ground water systems may limit monitoring to representative locations throughout the system.</w:t>
      </w:r>
    </w:p>
    <w:p w14:paraId="2819E8BC" w14:textId="77777777" w:rsidR="004647B9" w:rsidRDefault="004647B9">
      <w:pPr>
        <w:spacing w:line="4" w:lineRule="exact"/>
        <w:rPr>
          <w:rFonts w:eastAsia="Times New Roman"/>
          <w:sz w:val="24"/>
          <w:szCs w:val="24"/>
          <w:vertAlign w:val="superscript"/>
        </w:rPr>
      </w:pPr>
    </w:p>
    <w:p w14:paraId="2819E8BD" w14:textId="77777777" w:rsidR="004647B9" w:rsidRDefault="00E2436F" w:rsidP="00563A54">
      <w:pPr>
        <w:numPr>
          <w:ilvl w:val="0"/>
          <w:numId w:val="240"/>
        </w:numPr>
        <w:tabs>
          <w:tab w:val="left" w:pos="482"/>
        </w:tabs>
        <w:spacing w:line="257" w:lineRule="auto"/>
        <w:ind w:left="482" w:hanging="480"/>
        <w:jc w:val="both"/>
        <w:rPr>
          <w:rFonts w:eastAsia="Times New Roman"/>
          <w:sz w:val="24"/>
          <w:szCs w:val="24"/>
          <w:vertAlign w:val="superscript"/>
        </w:rPr>
      </w:pPr>
      <w:r>
        <w:rPr>
          <w:rFonts w:eastAsia="Times New Roman"/>
        </w:rPr>
        <w:t>Water systems may reduce frequency of monitoring for water quality parameters at the tap from every six months to annually if they have maintained the range of values for water quality parameters reflecting optimal corrosion control during three consecutive years of monitoring.</w:t>
      </w:r>
    </w:p>
    <w:p w14:paraId="2819E8BE" w14:textId="4E2D3A96" w:rsidR="004647B9" w:rsidRDefault="00E2436F" w:rsidP="00563A54">
      <w:pPr>
        <w:numPr>
          <w:ilvl w:val="0"/>
          <w:numId w:val="240"/>
        </w:numPr>
        <w:tabs>
          <w:tab w:val="left" w:pos="482"/>
        </w:tabs>
        <w:spacing w:line="265" w:lineRule="auto"/>
        <w:ind w:left="482" w:hanging="481"/>
        <w:jc w:val="both"/>
        <w:rPr>
          <w:rFonts w:eastAsia="Times New Roman"/>
          <w:sz w:val="24"/>
          <w:szCs w:val="24"/>
          <w:vertAlign w:val="superscript"/>
        </w:rPr>
      </w:pPr>
      <w:r>
        <w:rPr>
          <w:rFonts w:eastAsia="Times New Roman"/>
        </w:rPr>
        <w:t>Water systems may further reduce the frequency of monitoring for water quality parameters at the tap from annually to once every three years if they have maintained the range of values for water quality parameters reflecting optimal corrosion control during three consecutive years of annual monitoring. Water systems may accelerate to triennial monitoring for water quality parameters at the tap if they have maintained 90</w:t>
      </w:r>
      <w:r>
        <w:rPr>
          <w:rFonts w:eastAsia="Times New Roman"/>
          <w:vertAlign w:val="superscript"/>
        </w:rPr>
        <w:t>th</w:t>
      </w:r>
      <w:r>
        <w:rPr>
          <w:rFonts w:eastAsia="Times New Roman"/>
        </w:rPr>
        <w:t xml:space="preserve"> percentile lead levels less than or equal to 0.005 mg/L, 90</w:t>
      </w:r>
      <w:r>
        <w:rPr>
          <w:rFonts w:eastAsia="Times New Roman"/>
          <w:vertAlign w:val="superscript"/>
        </w:rPr>
        <w:t>th</w:t>
      </w:r>
      <w:r>
        <w:rPr>
          <w:rFonts w:eastAsia="Times New Roman"/>
        </w:rPr>
        <w:t xml:space="preserve"> percentile copper levels less than or equal to 0.65 mg/L, and the range of water quality parameters designated by the </w:t>
      </w:r>
      <w:r w:rsidR="001048AF">
        <w:rPr>
          <w:rFonts w:eastAsia="Times New Roman"/>
        </w:rPr>
        <w:t>Department</w:t>
      </w:r>
      <w:r>
        <w:rPr>
          <w:rFonts w:eastAsia="Times New Roman"/>
        </w:rPr>
        <w:t xml:space="preserve"> under </w:t>
      </w:r>
      <w:r w:rsidR="00A72A3B" w:rsidRPr="00DF7002">
        <w:rPr>
          <w:rFonts w:eastAsia="Times New Roman"/>
        </w:rPr>
        <w:t>310 CMR 22.06B(3)(f)</w:t>
      </w:r>
      <w:r>
        <w:rPr>
          <w:rFonts w:eastAsia="Times New Roman"/>
        </w:rPr>
        <w:t xml:space="preserve"> as representing optimal corrosion control during two consecutive six-month monitoring periods.</w:t>
      </w:r>
    </w:p>
    <w:p w14:paraId="2819E8BF" w14:textId="77777777" w:rsidR="004647B9" w:rsidRPr="001F1ECC" w:rsidRDefault="004647B9" w:rsidP="00D42AEF">
      <w:pPr>
        <w:rPr>
          <w:sz w:val="24"/>
          <w:szCs w:val="24"/>
        </w:rPr>
      </w:pPr>
    </w:p>
    <w:p w14:paraId="2819E8C0" w14:textId="77777777" w:rsidR="004647B9" w:rsidRPr="001F1ECC" w:rsidRDefault="00E2436F">
      <w:pPr>
        <w:tabs>
          <w:tab w:val="left" w:pos="922"/>
        </w:tabs>
        <w:ind w:left="2"/>
        <w:rPr>
          <w:sz w:val="24"/>
          <w:szCs w:val="24"/>
        </w:rPr>
      </w:pPr>
      <w:r w:rsidRPr="001F1ECC">
        <w:rPr>
          <w:rFonts w:eastAsia="Times New Roman"/>
          <w:sz w:val="24"/>
          <w:szCs w:val="24"/>
          <w:u w:val="single"/>
        </w:rPr>
        <w:t>22.06C:</w:t>
      </w:r>
      <w:r w:rsidRPr="001F1ECC">
        <w:rPr>
          <w:rFonts w:eastAsia="Times New Roman"/>
          <w:sz w:val="24"/>
          <w:szCs w:val="24"/>
          <w:u w:val="single"/>
        </w:rPr>
        <w:tab/>
        <w:t>Compliance with Secondary Maximum Contaminant Level and Public Notification for Fluoride</w:t>
      </w:r>
    </w:p>
    <w:p w14:paraId="2819E8C1" w14:textId="77777777" w:rsidR="004647B9" w:rsidRPr="001F1ECC" w:rsidRDefault="004647B9" w:rsidP="00D42AEF">
      <w:pPr>
        <w:rPr>
          <w:sz w:val="24"/>
          <w:szCs w:val="24"/>
        </w:rPr>
      </w:pPr>
    </w:p>
    <w:p w14:paraId="2819E8C2" w14:textId="01D38E37" w:rsidR="004647B9" w:rsidRPr="001F1ECC" w:rsidRDefault="00E2436F">
      <w:pPr>
        <w:spacing w:line="258" w:lineRule="auto"/>
        <w:ind w:left="1202" w:firstLine="355"/>
        <w:jc w:val="both"/>
        <w:rPr>
          <w:sz w:val="24"/>
          <w:szCs w:val="24"/>
        </w:rPr>
      </w:pPr>
      <w:r w:rsidRPr="001F1ECC">
        <w:rPr>
          <w:rFonts w:eastAsia="Times New Roman"/>
          <w:sz w:val="24"/>
          <w:szCs w:val="24"/>
        </w:rPr>
        <w:t>Community water systems sampling pursuant to 310 CMR 22.06 which exceed the secondary maximum contaminant level for fluoride, but do not exceed the maximum contaminant level for fluoride, shall comply with 310 CMR 22.16(4)</w:t>
      </w:r>
      <w:r w:rsidR="003B781F">
        <w:rPr>
          <w:rFonts w:eastAsia="Times New Roman"/>
          <w:sz w:val="24"/>
          <w:szCs w:val="24"/>
        </w:rPr>
        <w:t xml:space="preserve"> and 310 CMR 22.16(8)</w:t>
      </w:r>
      <w:r w:rsidRPr="001F1ECC">
        <w:rPr>
          <w:rFonts w:eastAsia="Times New Roman"/>
          <w:sz w:val="24"/>
          <w:szCs w:val="24"/>
        </w:rPr>
        <w:t>.</w:t>
      </w:r>
    </w:p>
    <w:p w14:paraId="2819E8C3" w14:textId="77777777" w:rsidR="004647B9" w:rsidRPr="001F1ECC" w:rsidRDefault="004647B9">
      <w:pPr>
        <w:rPr>
          <w:sz w:val="24"/>
          <w:szCs w:val="24"/>
        </w:rPr>
        <w:sectPr w:rsidR="004647B9" w:rsidRPr="001F1ECC" w:rsidSect="00EF630C">
          <w:pgSz w:w="12240" w:h="20180"/>
          <w:pgMar w:top="708" w:right="1440" w:bottom="1440" w:left="598" w:header="0" w:footer="0" w:gutter="0"/>
          <w:cols w:space="720" w:equalWidth="0">
            <w:col w:w="10202"/>
          </w:cols>
        </w:sectPr>
      </w:pPr>
    </w:p>
    <w:p w14:paraId="2819E8C4" w14:textId="77777777" w:rsidR="004647B9" w:rsidRPr="001F1ECC" w:rsidRDefault="004647B9" w:rsidP="00D42AEF">
      <w:pPr>
        <w:rPr>
          <w:sz w:val="24"/>
          <w:szCs w:val="24"/>
        </w:rPr>
      </w:pPr>
    </w:p>
    <w:p w14:paraId="2819E8C5" w14:textId="77777777" w:rsidR="004647B9" w:rsidRPr="00D42AEF" w:rsidRDefault="00E2436F">
      <w:pPr>
        <w:ind w:left="1202"/>
        <w:rPr>
          <w:sz w:val="24"/>
          <w:szCs w:val="24"/>
        </w:rPr>
      </w:pPr>
      <w:r w:rsidRPr="00D42AEF">
        <w:rPr>
          <w:rFonts w:eastAsia="Times New Roman"/>
          <w:sz w:val="24"/>
          <w:szCs w:val="24"/>
          <w:u w:val="single"/>
        </w:rPr>
        <w:t>Secondary Maximum Contaminant Level for Fluoride - 2.0 mg/l</w:t>
      </w:r>
    </w:p>
    <w:p w14:paraId="2819E8C6" w14:textId="77777777" w:rsidR="004647B9" w:rsidRPr="00D42AEF" w:rsidRDefault="004647B9">
      <w:pPr>
        <w:rPr>
          <w:sz w:val="24"/>
          <w:szCs w:val="24"/>
        </w:rPr>
        <w:sectPr w:rsidR="004647B9" w:rsidRPr="00D42AEF" w:rsidSect="00EF630C">
          <w:type w:val="continuous"/>
          <w:pgSz w:w="12240" w:h="20180"/>
          <w:pgMar w:top="708" w:right="1440" w:bottom="1440" w:left="598" w:header="0" w:footer="0" w:gutter="0"/>
          <w:cols w:space="720" w:equalWidth="0">
            <w:col w:w="10202"/>
          </w:cols>
        </w:sectPr>
      </w:pPr>
    </w:p>
    <w:p w14:paraId="2819E8C7" w14:textId="77777777" w:rsidR="004647B9" w:rsidRDefault="00E2436F">
      <w:pPr>
        <w:tabs>
          <w:tab w:val="left" w:pos="160"/>
        </w:tabs>
        <w:jc w:val="center"/>
        <w:rPr>
          <w:sz w:val="20"/>
          <w:szCs w:val="20"/>
        </w:rPr>
      </w:pPr>
      <w:bookmarkStart w:id="95" w:name="page97"/>
      <w:bookmarkEnd w:id="9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8C8" w14:textId="77777777" w:rsidR="004647B9" w:rsidRDefault="004647B9" w:rsidP="00D42AEF">
      <w:pPr>
        <w:rPr>
          <w:sz w:val="20"/>
          <w:szCs w:val="20"/>
        </w:rPr>
      </w:pPr>
    </w:p>
    <w:p w14:paraId="2819E8C9" w14:textId="77777777" w:rsidR="004647B9" w:rsidRDefault="004647B9" w:rsidP="00D42AEF">
      <w:pPr>
        <w:rPr>
          <w:sz w:val="20"/>
          <w:szCs w:val="20"/>
        </w:rPr>
      </w:pPr>
    </w:p>
    <w:p w14:paraId="2819E8CA" w14:textId="77777777" w:rsidR="004647B9" w:rsidRDefault="00E2436F">
      <w:pPr>
        <w:tabs>
          <w:tab w:val="left" w:pos="940"/>
        </w:tabs>
        <w:rPr>
          <w:sz w:val="20"/>
          <w:szCs w:val="20"/>
        </w:rPr>
      </w:pPr>
      <w:r>
        <w:rPr>
          <w:rFonts w:eastAsia="Times New Roman"/>
          <w:sz w:val="24"/>
          <w:szCs w:val="24"/>
          <w:u w:val="single"/>
        </w:rPr>
        <w:t>22.07A:</w:t>
      </w:r>
      <w:r>
        <w:rPr>
          <w:sz w:val="20"/>
          <w:szCs w:val="20"/>
        </w:rPr>
        <w:tab/>
      </w:r>
      <w:r>
        <w:rPr>
          <w:rFonts w:eastAsia="Times New Roman"/>
          <w:sz w:val="23"/>
          <w:szCs w:val="23"/>
          <w:u w:val="single"/>
        </w:rPr>
        <w:t>Synthetic Organic Chemicals (SOC) Sampling and Analytical Requirements</w:t>
      </w:r>
    </w:p>
    <w:p w14:paraId="2819E8CB" w14:textId="77777777" w:rsidR="004647B9" w:rsidRDefault="004647B9" w:rsidP="00D42AEF">
      <w:pPr>
        <w:rPr>
          <w:sz w:val="20"/>
          <w:szCs w:val="20"/>
        </w:rPr>
      </w:pPr>
    </w:p>
    <w:p w14:paraId="2819E8CC" w14:textId="77777777" w:rsidR="004647B9" w:rsidRDefault="00E2436F" w:rsidP="00563A54">
      <w:pPr>
        <w:numPr>
          <w:ilvl w:val="0"/>
          <w:numId w:val="241"/>
        </w:numPr>
        <w:tabs>
          <w:tab w:val="left" w:pos="1725"/>
        </w:tabs>
        <w:spacing w:line="252" w:lineRule="auto"/>
        <w:ind w:left="1200"/>
        <w:jc w:val="both"/>
        <w:rPr>
          <w:rFonts w:eastAsia="Times New Roman"/>
          <w:sz w:val="24"/>
          <w:szCs w:val="24"/>
        </w:rPr>
      </w:pPr>
      <w:r>
        <w:rPr>
          <w:rFonts w:eastAsia="Times New Roman"/>
          <w:sz w:val="24"/>
          <w:szCs w:val="24"/>
          <w:u w:val="single"/>
        </w:rPr>
        <w:t>Synthetic Organic Chemicals MCLs</w:t>
      </w:r>
      <w:r>
        <w:rPr>
          <w:rFonts w:eastAsia="Times New Roman"/>
          <w:sz w:val="24"/>
          <w:szCs w:val="24"/>
        </w:rPr>
        <w:t>. The following maximum contaminant levels for organic contaminants apply to community water systems and non-transient, non-community water systems.</w:t>
      </w:r>
    </w:p>
    <w:tbl>
      <w:tblPr>
        <w:tblW w:w="0" w:type="auto"/>
        <w:tblInd w:w="1880" w:type="dxa"/>
        <w:tblLayout w:type="fixed"/>
        <w:tblCellMar>
          <w:left w:w="0" w:type="dxa"/>
          <w:right w:w="0" w:type="dxa"/>
        </w:tblCellMar>
        <w:tblLook w:val="04A0" w:firstRow="1" w:lastRow="0" w:firstColumn="1" w:lastColumn="0" w:noHBand="0" w:noVBand="1"/>
      </w:tblPr>
      <w:tblGrid>
        <w:gridCol w:w="720"/>
        <w:gridCol w:w="1720"/>
        <w:gridCol w:w="3140"/>
        <w:gridCol w:w="1640"/>
      </w:tblGrid>
      <w:tr w:rsidR="00CA60B5" w14:paraId="2819E8D2" w14:textId="77777777" w:rsidTr="0063797E">
        <w:trPr>
          <w:trHeight w:val="243"/>
        </w:trPr>
        <w:tc>
          <w:tcPr>
            <w:tcW w:w="720" w:type="dxa"/>
            <w:vAlign w:val="bottom"/>
          </w:tcPr>
          <w:p w14:paraId="2819E8CD" w14:textId="77777777" w:rsidR="00CA60B5" w:rsidRPr="00CA60B5" w:rsidRDefault="00CA60B5">
            <w:pPr>
              <w:rPr>
                <w:sz w:val="21"/>
                <w:szCs w:val="21"/>
                <w:u w:val="single"/>
              </w:rPr>
            </w:pPr>
          </w:p>
        </w:tc>
        <w:tc>
          <w:tcPr>
            <w:tcW w:w="1720" w:type="dxa"/>
            <w:vAlign w:val="bottom"/>
          </w:tcPr>
          <w:p w14:paraId="2819E8CE" w14:textId="77777777" w:rsidR="00CA60B5" w:rsidRPr="00CA60B5" w:rsidRDefault="00CA60B5">
            <w:pPr>
              <w:spacing w:line="243" w:lineRule="exact"/>
              <w:rPr>
                <w:sz w:val="20"/>
                <w:szCs w:val="20"/>
                <w:u w:val="single"/>
              </w:rPr>
            </w:pPr>
            <w:r w:rsidRPr="00CA60B5">
              <w:rPr>
                <w:rFonts w:eastAsia="Times New Roman"/>
                <w:sz w:val="24"/>
                <w:szCs w:val="24"/>
                <w:u w:val="single"/>
              </w:rPr>
              <w:t>CAS No.</w:t>
            </w:r>
          </w:p>
        </w:tc>
        <w:tc>
          <w:tcPr>
            <w:tcW w:w="3140" w:type="dxa"/>
            <w:vAlign w:val="bottom"/>
          </w:tcPr>
          <w:p w14:paraId="2819E8CF" w14:textId="77777777" w:rsidR="00CA60B5" w:rsidRPr="00CA60B5" w:rsidRDefault="00CA60B5">
            <w:pPr>
              <w:spacing w:line="243" w:lineRule="exact"/>
              <w:rPr>
                <w:sz w:val="20"/>
                <w:szCs w:val="20"/>
                <w:u w:val="single"/>
              </w:rPr>
            </w:pPr>
            <w:r w:rsidRPr="00CA60B5">
              <w:rPr>
                <w:rFonts w:eastAsia="Times New Roman"/>
                <w:sz w:val="24"/>
                <w:szCs w:val="24"/>
                <w:u w:val="single"/>
              </w:rPr>
              <w:t>Contaminant</w:t>
            </w:r>
          </w:p>
        </w:tc>
        <w:tc>
          <w:tcPr>
            <w:tcW w:w="1640" w:type="dxa"/>
            <w:vAlign w:val="center"/>
          </w:tcPr>
          <w:p w14:paraId="2819E8D1" w14:textId="77777777" w:rsidR="00CA60B5" w:rsidRPr="00CA60B5" w:rsidRDefault="00CA60B5" w:rsidP="0063797E">
            <w:pPr>
              <w:spacing w:line="243" w:lineRule="exact"/>
              <w:jc w:val="center"/>
              <w:rPr>
                <w:sz w:val="20"/>
                <w:szCs w:val="20"/>
                <w:u w:val="single"/>
              </w:rPr>
            </w:pPr>
            <w:r w:rsidRPr="00CA60B5">
              <w:rPr>
                <w:rFonts w:eastAsia="Times New Roman"/>
                <w:w w:val="98"/>
                <w:sz w:val="24"/>
                <w:szCs w:val="24"/>
                <w:u w:val="single"/>
              </w:rPr>
              <w:t>MCL (mg/l)</w:t>
            </w:r>
          </w:p>
        </w:tc>
      </w:tr>
      <w:tr w:rsidR="004647B9" w14:paraId="2819E8DF" w14:textId="77777777" w:rsidTr="0063797E">
        <w:trPr>
          <w:trHeight w:val="545"/>
        </w:trPr>
        <w:tc>
          <w:tcPr>
            <w:tcW w:w="720" w:type="dxa"/>
            <w:vAlign w:val="bottom"/>
          </w:tcPr>
          <w:p w14:paraId="2819E8DB" w14:textId="77777777" w:rsidR="004647B9" w:rsidRDefault="00E2436F">
            <w:pPr>
              <w:rPr>
                <w:sz w:val="20"/>
                <w:szCs w:val="20"/>
              </w:rPr>
            </w:pPr>
            <w:r>
              <w:rPr>
                <w:rFonts w:eastAsia="Times New Roman"/>
                <w:sz w:val="24"/>
                <w:szCs w:val="24"/>
              </w:rPr>
              <w:t>(a)</w:t>
            </w:r>
          </w:p>
        </w:tc>
        <w:tc>
          <w:tcPr>
            <w:tcW w:w="1720" w:type="dxa"/>
            <w:vAlign w:val="bottom"/>
          </w:tcPr>
          <w:p w14:paraId="2819E8DC" w14:textId="77777777" w:rsidR="004647B9" w:rsidRDefault="00E2436F">
            <w:pPr>
              <w:rPr>
                <w:sz w:val="20"/>
                <w:szCs w:val="20"/>
              </w:rPr>
            </w:pPr>
            <w:r>
              <w:rPr>
                <w:rFonts w:eastAsia="Times New Roman"/>
                <w:sz w:val="24"/>
                <w:szCs w:val="24"/>
              </w:rPr>
              <w:t>15972-60-8</w:t>
            </w:r>
          </w:p>
        </w:tc>
        <w:tc>
          <w:tcPr>
            <w:tcW w:w="3140" w:type="dxa"/>
            <w:vAlign w:val="bottom"/>
          </w:tcPr>
          <w:p w14:paraId="2819E8DD" w14:textId="77777777" w:rsidR="004647B9" w:rsidRDefault="00E2436F">
            <w:pPr>
              <w:rPr>
                <w:sz w:val="20"/>
                <w:szCs w:val="20"/>
              </w:rPr>
            </w:pPr>
            <w:r>
              <w:rPr>
                <w:rFonts w:eastAsia="Times New Roman"/>
                <w:sz w:val="24"/>
                <w:szCs w:val="24"/>
              </w:rPr>
              <w:t>Alachlor</w:t>
            </w:r>
          </w:p>
        </w:tc>
        <w:tc>
          <w:tcPr>
            <w:tcW w:w="1640" w:type="dxa"/>
            <w:vAlign w:val="center"/>
          </w:tcPr>
          <w:p w14:paraId="2819E8DE" w14:textId="77777777" w:rsidR="004647B9" w:rsidRDefault="00E2436F" w:rsidP="0063797E">
            <w:pPr>
              <w:ind w:left="432"/>
              <w:rPr>
                <w:sz w:val="20"/>
                <w:szCs w:val="20"/>
              </w:rPr>
            </w:pPr>
            <w:r>
              <w:rPr>
                <w:rFonts w:eastAsia="Times New Roman"/>
                <w:sz w:val="24"/>
                <w:szCs w:val="24"/>
              </w:rPr>
              <w:t>0.002</w:t>
            </w:r>
          </w:p>
        </w:tc>
      </w:tr>
      <w:tr w:rsidR="00CA60B5" w14:paraId="2819E8E6" w14:textId="77777777" w:rsidTr="0063797E">
        <w:trPr>
          <w:trHeight w:val="278"/>
        </w:trPr>
        <w:tc>
          <w:tcPr>
            <w:tcW w:w="720" w:type="dxa"/>
            <w:vAlign w:val="bottom"/>
          </w:tcPr>
          <w:p w14:paraId="2819E8E0" w14:textId="77777777" w:rsidR="00CA60B5" w:rsidRDefault="00CA60B5">
            <w:pPr>
              <w:rPr>
                <w:sz w:val="20"/>
                <w:szCs w:val="20"/>
              </w:rPr>
            </w:pPr>
            <w:r>
              <w:rPr>
                <w:rFonts w:eastAsia="Times New Roman"/>
                <w:sz w:val="24"/>
                <w:szCs w:val="24"/>
              </w:rPr>
              <w:t>(b)</w:t>
            </w:r>
          </w:p>
        </w:tc>
        <w:tc>
          <w:tcPr>
            <w:tcW w:w="1720" w:type="dxa"/>
            <w:vAlign w:val="bottom"/>
          </w:tcPr>
          <w:p w14:paraId="2819E8E1" w14:textId="77777777" w:rsidR="00CA60B5" w:rsidRDefault="00CA60B5">
            <w:pPr>
              <w:ind w:left="60"/>
              <w:rPr>
                <w:sz w:val="20"/>
                <w:szCs w:val="20"/>
              </w:rPr>
            </w:pPr>
            <w:r>
              <w:rPr>
                <w:rFonts w:eastAsia="Times New Roman"/>
                <w:sz w:val="24"/>
                <w:szCs w:val="24"/>
              </w:rPr>
              <w:t>Reserved</w:t>
            </w:r>
          </w:p>
        </w:tc>
        <w:tc>
          <w:tcPr>
            <w:tcW w:w="3140" w:type="dxa"/>
            <w:vAlign w:val="bottom"/>
          </w:tcPr>
          <w:p w14:paraId="2819E8E3" w14:textId="77777777" w:rsidR="00CA60B5" w:rsidRDefault="00CA60B5">
            <w:pPr>
              <w:rPr>
                <w:sz w:val="24"/>
                <w:szCs w:val="24"/>
              </w:rPr>
            </w:pPr>
          </w:p>
        </w:tc>
        <w:tc>
          <w:tcPr>
            <w:tcW w:w="1640" w:type="dxa"/>
            <w:vAlign w:val="center"/>
          </w:tcPr>
          <w:p w14:paraId="2819E8E5" w14:textId="77777777" w:rsidR="00CA60B5" w:rsidRDefault="00CA60B5" w:rsidP="0063797E">
            <w:pPr>
              <w:ind w:left="432"/>
              <w:rPr>
                <w:sz w:val="24"/>
                <w:szCs w:val="24"/>
              </w:rPr>
            </w:pPr>
          </w:p>
        </w:tc>
      </w:tr>
      <w:tr w:rsidR="00CA60B5" w14:paraId="2819E8ED" w14:textId="77777777" w:rsidTr="0063797E">
        <w:trPr>
          <w:trHeight w:val="281"/>
        </w:trPr>
        <w:tc>
          <w:tcPr>
            <w:tcW w:w="720" w:type="dxa"/>
            <w:vAlign w:val="bottom"/>
          </w:tcPr>
          <w:p w14:paraId="2819E8E7" w14:textId="77777777" w:rsidR="00CA60B5" w:rsidRDefault="00CA60B5">
            <w:pPr>
              <w:rPr>
                <w:sz w:val="20"/>
                <w:szCs w:val="20"/>
              </w:rPr>
            </w:pPr>
            <w:r>
              <w:rPr>
                <w:rFonts w:eastAsia="Times New Roman"/>
                <w:sz w:val="24"/>
                <w:szCs w:val="24"/>
              </w:rPr>
              <w:t>(c)</w:t>
            </w:r>
          </w:p>
        </w:tc>
        <w:tc>
          <w:tcPr>
            <w:tcW w:w="1720" w:type="dxa"/>
            <w:vAlign w:val="bottom"/>
          </w:tcPr>
          <w:p w14:paraId="2819E8E8" w14:textId="77777777" w:rsidR="00CA60B5" w:rsidRDefault="00CA60B5">
            <w:pPr>
              <w:ind w:left="60"/>
              <w:rPr>
                <w:sz w:val="20"/>
                <w:szCs w:val="20"/>
              </w:rPr>
            </w:pPr>
            <w:r>
              <w:rPr>
                <w:rFonts w:eastAsia="Times New Roman"/>
                <w:sz w:val="24"/>
                <w:szCs w:val="24"/>
              </w:rPr>
              <w:t>Reserved</w:t>
            </w:r>
          </w:p>
        </w:tc>
        <w:tc>
          <w:tcPr>
            <w:tcW w:w="3140" w:type="dxa"/>
            <w:vAlign w:val="bottom"/>
          </w:tcPr>
          <w:p w14:paraId="2819E8EA" w14:textId="77777777" w:rsidR="00CA60B5" w:rsidRDefault="00CA60B5">
            <w:pPr>
              <w:rPr>
                <w:sz w:val="24"/>
                <w:szCs w:val="24"/>
              </w:rPr>
            </w:pPr>
          </w:p>
        </w:tc>
        <w:tc>
          <w:tcPr>
            <w:tcW w:w="1640" w:type="dxa"/>
            <w:vAlign w:val="center"/>
          </w:tcPr>
          <w:p w14:paraId="2819E8EC" w14:textId="77777777" w:rsidR="00CA60B5" w:rsidRDefault="00CA60B5" w:rsidP="0063797E">
            <w:pPr>
              <w:ind w:left="432"/>
              <w:rPr>
                <w:sz w:val="24"/>
                <w:szCs w:val="24"/>
              </w:rPr>
            </w:pPr>
          </w:p>
        </w:tc>
      </w:tr>
      <w:tr w:rsidR="00CA60B5" w14:paraId="2819E8F4" w14:textId="77777777" w:rsidTr="0063797E">
        <w:trPr>
          <w:trHeight w:val="278"/>
        </w:trPr>
        <w:tc>
          <w:tcPr>
            <w:tcW w:w="720" w:type="dxa"/>
            <w:vAlign w:val="bottom"/>
          </w:tcPr>
          <w:p w14:paraId="2819E8EE" w14:textId="77777777" w:rsidR="00CA60B5" w:rsidRDefault="00CA60B5">
            <w:pPr>
              <w:rPr>
                <w:sz w:val="20"/>
                <w:szCs w:val="20"/>
              </w:rPr>
            </w:pPr>
            <w:r>
              <w:rPr>
                <w:rFonts w:eastAsia="Times New Roman"/>
                <w:sz w:val="24"/>
                <w:szCs w:val="24"/>
              </w:rPr>
              <w:t>(d)</w:t>
            </w:r>
          </w:p>
        </w:tc>
        <w:tc>
          <w:tcPr>
            <w:tcW w:w="1720" w:type="dxa"/>
            <w:vAlign w:val="bottom"/>
          </w:tcPr>
          <w:p w14:paraId="2819E8EF" w14:textId="77777777" w:rsidR="00CA60B5" w:rsidRDefault="00CA60B5">
            <w:pPr>
              <w:ind w:left="60"/>
              <w:rPr>
                <w:sz w:val="20"/>
                <w:szCs w:val="20"/>
              </w:rPr>
            </w:pPr>
            <w:r>
              <w:rPr>
                <w:rFonts w:eastAsia="Times New Roman"/>
                <w:sz w:val="24"/>
                <w:szCs w:val="24"/>
              </w:rPr>
              <w:t>Reserved</w:t>
            </w:r>
          </w:p>
        </w:tc>
        <w:tc>
          <w:tcPr>
            <w:tcW w:w="3140" w:type="dxa"/>
            <w:vAlign w:val="bottom"/>
          </w:tcPr>
          <w:p w14:paraId="2819E8F1" w14:textId="77777777" w:rsidR="00CA60B5" w:rsidRDefault="00CA60B5">
            <w:pPr>
              <w:rPr>
                <w:sz w:val="24"/>
                <w:szCs w:val="24"/>
              </w:rPr>
            </w:pPr>
          </w:p>
        </w:tc>
        <w:tc>
          <w:tcPr>
            <w:tcW w:w="1640" w:type="dxa"/>
            <w:vAlign w:val="center"/>
          </w:tcPr>
          <w:p w14:paraId="2819E8F3" w14:textId="77777777" w:rsidR="00CA60B5" w:rsidRDefault="00CA60B5" w:rsidP="0063797E">
            <w:pPr>
              <w:ind w:left="432"/>
              <w:rPr>
                <w:sz w:val="24"/>
                <w:szCs w:val="24"/>
              </w:rPr>
            </w:pPr>
          </w:p>
        </w:tc>
      </w:tr>
      <w:tr w:rsidR="004647B9" w14:paraId="2819E8F9" w14:textId="77777777" w:rsidTr="0063797E">
        <w:trPr>
          <w:trHeight w:val="281"/>
        </w:trPr>
        <w:tc>
          <w:tcPr>
            <w:tcW w:w="720" w:type="dxa"/>
            <w:vAlign w:val="bottom"/>
          </w:tcPr>
          <w:p w14:paraId="2819E8F5" w14:textId="77777777" w:rsidR="004647B9" w:rsidRDefault="00E2436F">
            <w:pPr>
              <w:rPr>
                <w:sz w:val="20"/>
                <w:szCs w:val="20"/>
              </w:rPr>
            </w:pPr>
            <w:r>
              <w:rPr>
                <w:rFonts w:eastAsia="Times New Roman"/>
                <w:sz w:val="24"/>
                <w:szCs w:val="24"/>
              </w:rPr>
              <w:t>(e)</w:t>
            </w:r>
          </w:p>
        </w:tc>
        <w:tc>
          <w:tcPr>
            <w:tcW w:w="1720" w:type="dxa"/>
            <w:vAlign w:val="bottom"/>
          </w:tcPr>
          <w:p w14:paraId="2819E8F6" w14:textId="77777777" w:rsidR="004647B9" w:rsidRDefault="00E2436F">
            <w:pPr>
              <w:rPr>
                <w:sz w:val="20"/>
                <w:szCs w:val="20"/>
              </w:rPr>
            </w:pPr>
            <w:r>
              <w:rPr>
                <w:rFonts w:eastAsia="Times New Roman"/>
                <w:sz w:val="24"/>
                <w:szCs w:val="24"/>
              </w:rPr>
              <w:t>1912-24-9</w:t>
            </w:r>
          </w:p>
        </w:tc>
        <w:tc>
          <w:tcPr>
            <w:tcW w:w="3140" w:type="dxa"/>
            <w:vAlign w:val="bottom"/>
          </w:tcPr>
          <w:p w14:paraId="2819E8F7" w14:textId="77777777" w:rsidR="004647B9" w:rsidRDefault="00E2436F">
            <w:pPr>
              <w:rPr>
                <w:sz w:val="20"/>
                <w:szCs w:val="20"/>
              </w:rPr>
            </w:pPr>
            <w:r>
              <w:rPr>
                <w:rFonts w:eastAsia="Times New Roman"/>
                <w:sz w:val="24"/>
                <w:szCs w:val="24"/>
              </w:rPr>
              <w:t>Atrazine</w:t>
            </w:r>
          </w:p>
        </w:tc>
        <w:tc>
          <w:tcPr>
            <w:tcW w:w="1640" w:type="dxa"/>
            <w:vAlign w:val="center"/>
          </w:tcPr>
          <w:p w14:paraId="2819E8F8" w14:textId="77777777" w:rsidR="004647B9" w:rsidRDefault="00E2436F" w:rsidP="0063797E">
            <w:pPr>
              <w:ind w:left="432"/>
              <w:rPr>
                <w:sz w:val="20"/>
                <w:szCs w:val="20"/>
              </w:rPr>
            </w:pPr>
            <w:r>
              <w:rPr>
                <w:rFonts w:eastAsia="Times New Roman"/>
                <w:sz w:val="24"/>
                <w:szCs w:val="24"/>
              </w:rPr>
              <w:t>0.003</w:t>
            </w:r>
          </w:p>
        </w:tc>
      </w:tr>
      <w:tr w:rsidR="004647B9" w14:paraId="2819E8FE" w14:textId="77777777" w:rsidTr="0063797E">
        <w:trPr>
          <w:trHeight w:val="278"/>
        </w:trPr>
        <w:tc>
          <w:tcPr>
            <w:tcW w:w="720" w:type="dxa"/>
            <w:vAlign w:val="bottom"/>
          </w:tcPr>
          <w:p w14:paraId="2819E8FA" w14:textId="77777777" w:rsidR="004647B9" w:rsidRDefault="00E2436F">
            <w:pPr>
              <w:rPr>
                <w:sz w:val="20"/>
                <w:szCs w:val="20"/>
              </w:rPr>
            </w:pPr>
            <w:r>
              <w:rPr>
                <w:rFonts w:eastAsia="Times New Roman"/>
                <w:sz w:val="24"/>
                <w:szCs w:val="24"/>
              </w:rPr>
              <w:t>(f)</w:t>
            </w:r>
          </w:p>
        </w:tc>
        <w:tc>
          <w:tcPr>
            <w:tcW w:w="1720" w:type="dxa"/>
            <w:vAlign w:val="bottom"/>
          </w:tcPr>
          <w:p w14:paraId="2819E8FB" w14:textId="77777777" w:rsidR="004647B9" w:rsidRDefault="00E2436F">
            <w:pPr>
              <w:rPr>
                <w:sz w:val="20"/>
                <w:szCs w:val="20"/>
              </w:rPr>
            </w:pPr>
            <w:r>
              <w:rPr>
                <w:rFonts w:eastAsia="Times New Roman"/>
                <w:sz w:val="24"/>
                <w:szCs w:val="24"/>
              </w:rPr>
              <w:t>1563-66-2</w:t>
            </w:r>
          </w:p>
        </w:tc>
        <w:tc>
          <w:tcPr>
            <w:tcW w:w="3140" w:type="dxa"/>
            <w:vAlign w:val="bottom"/>
          </w:tcPr>
          <w:p w14:paraId="2819E8FC" w14:textId="77777777" w:rsidR="004647B9" w:rsidRDefault="00E2436F">
            <w:pPr>
              <w:rPr>
                <w:sz w:val="20"/>
                <w:szCs w:val="20"/>
              </w:rPr>
            </w:pPr>
            <w:r>
              <w:rPr>
                <w:rFonts w:eastAsia="Times New Roman"/>
                <w:sz w:val="24"/>
                <w:szCs w:val="24"/>
              </w:rPr>
              <w:t>Carbofuran</w:t>
            </w:r>
          </w:p>
        </w:tc>
        <w:tc>
          <w:tcPr>
            <w:tcW w:w="1640" w:type="dxa"/>
            <w:vAlign w:val="center"/>
          </w:tcPr>
          <w:p w14:paraId="2819E8FD" w14:textId="77777777" w:rsidR="004647B9" w:rsidRDefault="00E2436F" w:rsidP="0063797E">
            <w:pPr>
              <w:ind w:left="432"/>
              <w:rPr>
                <w:sz w:val="20"/>
                <w:szCs w:val="20"/>
              </w:rPr>
            </w:pPr>
            <w:r>
              <w:rPr>
                <w:rFonts w:eastAsia="Times New Roman"/>
                <w:sz w:val="24"/>
                <w:szCs w:val="24"/>
              </w:rPr>
              <w:t>0.04</w:t>
            </w:r>
          </w:p>
        </w:tc>
      </w:tr>
      <w:tr w:rsidR="00CA60B5" w14:paraId="2819E904" w14:textId="77777777" w:rsidTr="0063797E">
        <w:trPr>
          <w:trHeight w:val="281"/>
        </w:trPr>
        <w:tc>
          <w:tcPr>
            <w:tcW w:w="720" w:type="dxa"/>
            <w:vAlign w:val="bottom"/>
          </w:tcPr>
          <w:p w14:paraId="2819E8FF" w14:textId="77777777" w:rsidR="00CA60B5" w:rsidRDefault="00CA60B5">
            <w:pPr>
              <w:rPr>
                <w:sz w:val="20"/>
                <w:szCs w:val="20"/>
              </w:rPr>
            </w:pPr>
            <w:r>
              <w:rPr>
                <w:rFonts w:eastAsia="Times New Roman"/>
                <w:sz w:val="24"/>
                <w:szCs w:val="24"/>
              </w:rPr>
              <w:t>(g)</w:t>
            </w:r>
          </w:p>
        </w:tc>
        <w:tc>
          <w:tcPr>
            <w:tcW w:w="1720" w:type="dxa"/>
            <w:vAlign w:val="bottom"/>
          </w:tcPr>
          <w:p w14:paraId="2819E901" w14:textId="77C05585" w:rsidR="00CA60B5" w:rsidRDefault="00CA60B5">
            <w:pPr>
              <w:rPr>
                <w:sz w:val="24"/>
                <w:szCs w:val="24"/>
              </w:rPr>
            </w:pPr>
            <w:r>
              <w:rPr>
                <w:rFonts w:eastAsia="Times New Roman"/>
                <w:sz w:val="24"/>
                <w:szCs w:val="24"/>
              </w:rPr>
              <w:t>57-74-9</w:t>
            </w:r>
          </w:p>
        </w:tc>
        <w:tc>
          <w:tcPr>
            <w:tcW w:w="3140" w:type="dxa"/>
            <w:vAlign w:val="bottom"/>
          </w:tcPr>
          <w:p w14:paraId="2819E902" w14:textId="77777777" w:rsidR="00CA60B5" w:rsidRDefault="00CA60B5">
            <w:pPr>
              <w:rPr>
                <w:sz w:val="20"/>
                <w:szCs w:val="20"/>
              </w:rPr>
            </w:pPr>
            <w:r>
              <w:rPr>
                <w:rFonts w:eastAsia="Times New Roman"/>
                <w:sz w:val="24"/>
                <w:szCs w:val="24"/>
              </w:rPr>
              <w:t>Chlordane</w:t>
            </w:r>
          </w:p>
        </w:tc>
        <w:tc>
          <w:tcPr>
            <w:tcW w:w="1640" w:type="dxa"/>
            <w:vAlign w:val="center"/>
          </w:tcPr>
          <w:p w14:paraId="2819E903" w14:textId="77777777" w:rsidR="00CA60B5" w:rsidRDefault="00CA60B5" w:rsidP="0063797E">
            <w:pPr>
              <w:ind w:left="432"/>
              <w:rPr>
                <w:sz w:val="20"/>
                <w:szCs w:val="20"/>
              </w:rPr>
            </w:pPr>
            <w:r>
              <w:rPr>
                <w:rFonts w:eastAsia="Times New Roman"/>
                <w:sz w:val="24"/>
                <w:szCs w:val="24"/>
              </w:rPr>
              <w:t>0.002</w:t>
            </w:r>
          </w:p>
        </w:tc>
      </w:tr>
      <w:tr w:rsidR="00CA60B5" w14:paraId="2819E90A" w14:textId="77777777" w:rsidTr="0063797E">
        <w:trPr>
          <w:trHeight w:val="278"/>
        </w:trPr>
        <w:tc>
          <w:tcPr>
            <w:tcW w:w="720" w:type="dxa"/>
            <w:vAlign w:val="bottom"/>
          </w:tcPr>
          <w:p w14:paraId="2819E905" w14:textId="77777777" w:rsidR="00CA60B5" w:rsidRDefault="00CA60B5">
            <w:pPr>
              <w:rPr>
                <w:sz w:val="20"/>
                <w:szCs w:val="20"/>
              </w:rPr>
            </w:pPr>
            <w:r>
              <w:rPr>
                <w:rFonts w:eastAsia="Times New Roman"/>
                <w:sz w:val="24"/>
                <w:szCs w:val="24"/>
              </w:rPr>
              <w:t>(h)</w:t>
            </w:r>
          </w:p>
        </w:tc>
        <w:tc>
          <w:tcPr>
            <w:tcW w:w="1720" w:type="dxa"/>
            <w:vAlign w:val="bottom"/>
          </w:tcPr>
          <w:p w14:paraId="2819E907" w14:textId="06FC03FA" w:rsidR="00CA60B5" w:rsidRDefault="00CA60B5">
            <w:pPr>
              <w:rPr>
                <w:sz w:val="24"/>
                <w:szCs w:val="24"/>
              </w:rPr>
            </w:pPr>
            <w:r>
              <w:rPr>
                <w:rFonts w:eastAsia="Times New Roman"/>
                <w:sz w:val="24"/>
                <w:szCs w:val="24"/>
              </w:rPr>
              <w:t>96-12-8</w:t>
            </w:r>
          </w:p>
        </w:tc>
        <w:tc>
          <w:tcPr>
            <w:tcW w:w="3140" w:type="dxa"/>
            <w:vAlign w:val="bottom"/>
          </w:tcPr>
          <w:p w14:paraId="2819E908" w14:textId="77777777" w:rsidR="00CA60B5" w:rsidRDefault="00CA60B5">
            <w:pPr>
              <w:rPr>
                <w:sz w:val="20"/>
                <w:szCs w:val="20"/>
              </w:rPr>
            </w:pPr>
            <w:r>
              <w:rPr>
                <w:rFonts w:eastAsia="Times New Roman"/>
                <w:sz w:val="24"/>
                <w:szCs w:val="24"/>
              </w:rPr>
              <w:t>Dibromochloropropane</w:t>
            </w:r>
          </w:p>
        </w:tc>
        <w:tc>
          <w:tcPr>
            <w:tcW w:w="1640" w:type="dxa"/>
            <w:vAlign w:val="center"/>
          </w:tcPr>
          <w:p w14:paraId="2819E909" w14:textId="77777777" w:rsidR="00CA60B5" w:rsidRDefault="00CA60B5" w:rsidP="0063797E">
            <w:pPr>
              <w:ind w:left="432"/>
              <w:rPr>
                <w:sz w:val="20"/>
                <w:szCs w:val="20"/>
              </w:rPr>
            </w:pPr>
            <w:r>
              <w:rPr>
                <w:rFonts w:eastAsia="Times New Roman"/>
                <w:sz w:val="24"/>
                <w:szCs w:val="24"/>
              </w:rPr>
              <w:t>0.0002</w:t>
            </w:r>
          </w:p>
        </w:tc>
      </w:tr>
      <w:tr w:rsidR="00CA60B5" w14:paraId="2819E910" w14:textId="77777777" w:rsidTr="0063797E">
        <w:trPr>
          <w:trHeight w:val="281"/>
        </w:trPr>
        <w:tc>
          <w:tcPr>
            <w:tcW w:w="720" w:type="dxa"/>
            <w:vAlign w:val="bottom"/>
          </w:tcPr>
          <w:p w14:paraId="2819E90B" w14:textId="77777777" w:rsidR="00CA60B5" w:rsidRDefault="00CA60B5">
            <w:pPr>
              <w:rPr>
                <w:sz w:val="20"/>
                <w:szCs w:val="20"/>
              </w:rPr>
            </w:pPr>
            <w:r>
              <w:rPr>
                <w:rFonts w:eastAsia="Times New Roman"/>
                <w:sz w:val="24"/>
                <w:szCs w:val="24"/>
              </w:rPr>
              <w:t>(i)</w:t>
            </w:r>
          </w:p>
        </w:tc>
        <w:tc>
          <w:tcPr>
            <w:tcW w:w="1720" w:type="dxa"/>
            <w:vAlign w:val="bottom"/>
          </w:tcPr>
          <w:p w14:paraId="2819E90D" w14:textId="7511DBAA" w:rsidR="00CA60B5" w:rsidRDefault="00CA60B5">
            <w:pPr>
              <w:rPr>
                <w:sz w:val="24"/>
                <w:szCs w:val="24"/>
              </w:rPr>
            </w:pPr>
            <w:r>
              <w:rPr>
                <w:rFonts w:eastAsia="Times New Roman"/>
                <w:sz w:val="24"/>
                <w:szCs w:val="24"/>
              </w:rPr>
              <w:t>94-75-7</w:t>
            </w:r>
          </w:p>
        </w:tc>
        <w:tc>
          <w:tcPr>
            <w:tcW w:w="3140" w:type="dxa"/>
            <w:vAlign w:val="bottom"/>
          </w:tcPr>
          <w:p w14:paraId="2819E90E" w14:textId="77777777" w:rsidR="00CA60B5" w:rsidRDefault="00CA60B5">
            <w:pPr>
              <w:rPr>
                <w:sz w:val="20"/>
                <w:szCs w:val="20"/>
              </w:rPr>
            </w:pPr>
            <w:r>
              <w:rPr>
                <w:rFonts w:eastAsia="Times New Roman"/>
                <w:sz w:val="24"/>
                <w:szCs w:val="24"/>
              </w:rPr>
              <w:t>2,4-D</w:t>
            </w:r>
          </w:p>
        </w:tc>
        <w:tc>
          <w:tcPr>
            <w:tcW w:w="1640" w:type="dxa"/>
            <w:vAlign w:val="center"/>
          </w:tcPr>
          <w:p w14:paraId="2819E90F" w14:textId="77777777" w:rsidR="00CA60B5" w:rsidRDefault="00CA60B5" w:rsidP="0063797E">
            <w:pPr>
              <w:ind w:left="432"/>
              <w:rPr>
                <w:sz w:val="20"/>
                <w:szCs w:val="20"/>
              </w:rPr>
            </w:pPr>
            <w:r>
              <w:rPr>
                <w:rFonts w:eastAsia="Times New Roman"/>
                <w:sz w:val="24"/>
                <w:szCs w:val="24"/>
              </w:rPr>
              <w:t>0.07</w:t>
            </w:r>
          </w:p>
        </w:tc>
      </w:tr>
      <w:tr w:rsidR="004647B9" w14:paraId="2819E915" w14:textId="77777777" w:rsidTr="0063797E">
        <w:trPr>
          <w:trHeight w:val="278"/>
        </w:trPr>
        <w:tc>
          <w:tcPr>
            <w:tcW w:w="720" w:type="dxa"/>
            <w:vAlign w:val="bottom"/>
          </w:tcPr>
          <w:p w14:paraId="2819E911" w14:textId="77777777" w:rsidR="004647B9" w:rsidRDefault="00E2436F">
            <w:pPr>
              <w:rPr>
                <w:sz w:val="20"/>
                <w:szCs w:val="20"/>
              </w:rPr>
            </w:pPr>
            <w:r>
              <w:rPr>
                <w:rFonts w:eastAsia="Times New Roman"/>
                <w:sz w:val="24"/>
                <w:szCs w:val="24"/>
              </w:rPr>
              <w:t>(j)</w:t>
            </w:r>
          </w:p>
        </w:tc>
        <w:tc>
          <w:tcPr>
            <w:tcW w:w="1720" w:type="dxa"/>
            <w:vAlign w:val="bottom"/>
          </w:tcPr>
          <w:p w14:paraId="2819E912" w14:textId="77777777" w:rsidR="004647B9" w:rsidRDefault="00E2436F">
            <w:pPr>
              <w:rPr>
                <w:sz w:val="20"/>
                <w:szCs w:val="20"/>
              </w:rPr>
            </w:pPr>
            <w:r>
              <w:rPr>
                <w:rFonts w:eastAsia="Times New Roman"/>
                <w:sz w:val="24"/>
                <w:szCs w:val="24"/>
              </w:rPr>
              <w:t>72-20-80</w:t>
            </w:r>
          </w:p>
        </w:tc>
        <w:tc>
          <w:tcPr>
            <w:tcW w:w="3140" w:type="dxa"/>
            <w:vAlign w:val="bottom"/>
          </w:tcPr>
          <w:p w14:paraId="2819E913" w14:textId="77777777" w:rsidR="004647B9" w:rsidRDefault="00E2436F">
            <w:pPr>
              <w:rPr>
                <w:sz w:val="20"/>
                <w:szCs w:val="20"/>
              </w:rPr>
            </w:pPr>
            <w:r>
              <w:rPr>
                <w:rFonts w:eastAsia="Times New Roman"/>
                <w:sz w:val="24"/>
                <w:szCs w:val="24"/>
              </w:rPr>
              <w:t>Endrin</w:t>
            </w:r>
          </w:p>
        </w:tc>
        <w:tc>
          <w:tcPr>
            <w:tcW w:w="1640" w:type="dxa"/>
            <w:vAlign w:val="center"/>
          </w:tcPr>
          <w:p w14:paraId="2819E914" w14:textId="77777777" w:rsidR="004647B9" w:rsidRDefault="00E2436F" w:rsidP="0063797E">
            <w:pPr>
              <w:ind w:left="432"/>
              <w:rPr>
                <w:sz w:val="20"/>
                <w:szCs w:val="20"/>
              </w:rPr>
            </w:pPr>
            <w:r>
              <w:rPr>
                <w:rFonts w:eastAsia="Times New Roman"/>
                <w:sz w:val="24"/>
                <w:szCs w:val="24"/>
              </w:rPr>
              <w:t>0.002</w:t>
            </w:r>
          </w:p>
        </w:tc>
      </w:tr>
      <w:tr w:rsidR="004647B9" w14:paraId="2819E91A" w14:textId="77777777" w:rsidTr="0063797E">
        <w:trPr>
          <w:trHeight w:val="281"/>
        </w:trPr>
        <w:tc>
          <w:tcPr>
            <w:tcW w:w="720" w:type="dxa"/>
            <w:vAlign w:val="bottom"/>
          </w:tcPr>
          <w:p w14:paraId="2819E916" w14:textId="77777777" w:rsidR="004647B9" w:rsidRDefault="00E2436F">
            <w:pPr>
              <w:rPr>
                <w:sz w:val="20"/>
                <w:szCs w:val="20"/>
              </w:rPr>
            </w:pPr>
            <w:r>
              <w:rPr>
                <w:rFonts w:eastAsia="Times New Roman"/>
                <w:sz w:val="24"/>
                <w:szCs w:val="24"/>
              </w:rPr>
              <w:t>(k)</w:t>
            </w:r>
          </w:p>
        </w:tc>
        <w:tc>
          <w:tcPr>
            <w:tcW w:w="1720" w:type="dxa"/>
            <w:vAlign w:val="bottom"/>
          </w:tcPr>
          <w:p w14:paraId="2819E917" w14:textId="77777777" w:rsidR="004647B9" w:rsidRDefault="00E2436F">
            <w:pPr>
              <w:rPr>
                <w:sz w:val="20"/>
                <w:szCs w:val="20"/>
              </w:rPr>
            </w:pPr>
            <w:r>
              <w:rPr>
                <w:rFonts w:eastAsia="Times New Roman"/>
                <w:sz w:val="24"/>
                <w:szCs w:val="24"/>
              </w:rPr>
              <w:t>106-93-4</w:t>
            </w:r>
          </w:p>
        </w:tc>
        <w:tc>
          <w:tcPr>
            <w:tcW w:w="3140" w:type="dxa"/>
            <w:vAlign w:val="bottom"/>
          </w:tcPr>
          <w:p w14:paraId="2819E918" w14:textId="77777777" w:rsidR="004647B9" w:rsidRDefault="00E2436F">
            <w:pPr>
              <w:rPr>
                <w:sz w:val="20"/>
                <w:szCs w:val="20"/>
              </w:rPr>
            </w:pPr>
            <w:r>
              <w:rPr>
                <w:rFonts w:eastAsia="Times New Roman"/>
                <w:sz w:val="24"/>
                <w:szCs w:val="24"/>
              </w:rPr>
              <w:t>Ethylene dibromide</w:t>
            </w:r>
          </w:p>
        </w:tc>
        <w:tc>
          <w:tcPr>
            <w:tcW w:w="1640" w:type="dxa"/>
            <w:vAlign w:val="center"/>
          </w:tcPr>
          <w:p w14:paraId="2819E919" w14:textId="77777777" w:rsidR="004647B9" w:rsidRDefault="00E2436F" w:rsidP="0063797E">
            <w:pPr>
              <w:ind w:left="432"/>
              <w:rPr>
                <w:sz w:val="20"/>
                <w:szCs w:val="20"/>
              </w:rPr>
            </w:pPr>
            <w:r>
              <w:rPr>
                <w:rFonts w:eastAsia="Times New Roman"/>
                <w:sz w:val="24"/>
                <w:szCs w:val="24"/>
              </w:rPr>
              <w:t>0.00002</w:t>
            </w:r>
          </w:p>
        </w:tc>
      </w:tr>
      <w:tr w:rsidR="00CA60B5" w14:paraId="2819E920" w14:textId="77777777" w:rsidTr="0063797E">
        <w:trPr>
          <w:trHeight w:val="278"/>
        </w:trPr>
        <w:tc>
          <w:tcPr>
            <w:tcW w:w="720" w:type="dxa"/>
            <w:vAlign w:val="bottom"/>
          </w:tcPr>
          <w:p w14:paraId="2819E91B" w14:textId="77777777" w:rsidR="00CA60B5" w:rsidRDefault="00CA60B5">
            <w:pPr>
              <w:rPr>
                <w:sz w:val="20"/>
                <w:szCs w:val="20"/>
              </w:rPr>
            </w:pPr>
            <w:r>
              <w:rPr>
                <w:rFonts w:eastAsia="Times New Roman"/>
                <w:sz w:val="24"/>
                <w:szCs w:val="24"/>
              </w:rPr>
              <w:t>(l)</w:t>
            </w:r>
          </w:p>
        </w:tc>
        <w:tc>
          <w:tcPr>
            <w:tcW w:w="1720" w:type="dxa"/>
            <w:vAlign w:val="bottom"/>
          </w:tcPr>
          <w:p w14:paraId="2819E91D" w14:textId="18876568" w:rsidR="00CA60B5" w:rsidRDefault="00CA60B5">
            <w:pPr>
              <w:rPr>
                <w:sz w:val="24"/>
                <w:szCs w:val="24"/>
              </w:rPr>
            </w:pPr>
            <w:r>
              <w:rPr>
                <w:rFonts w:eastAsia="Times New Roman"/>
                <w:sz w:val="24"/>
                <w:szCs w:val="24"/>
              </w:rPr>
              <w:t>76-44-8</w:t>
            </w:r>
          </w:p>
        </w:tc>
        <w:tc>
          <w:tcPr>
            <w:tcW w:w="3140" w:type="dxa"/>
            <w:vAlign w:val="bottom"/>
          </w:tcPr>
          <w:p w14:paraId="2819E91E" w14:textId="77777777" w:rsidR="00CA60B5" w:rsidRDefault="00CA60B5">
            <w:pPr>
              <w:rPr>
                <w:sz w:val="20"/>
                <w:szCs w:val="20"/>
              </w:rPr>
            </w:pPr>
            <w:r>
              <w:rPr>
                <w:rFonts w:eastAsia="Times New Roman"/>
                <w:sz w:val="24"/>
                <w:szCs w:val="24"/>
              </w:rPr>
              <w:t>Heptachlor</w:t>
            </w:r>
          </w:p>
        </w:tc>
        <w:tc>
          <w:tcPr>
            <w:tcW w:w="1640" w:type="dxa"/>
            <w:vAlign w:val="center"/>
          </w:tcPr>
          <w:p w14:paraId="2819E91F" w14:textId="77777777" w:rsidR="00CA60B5" w:rsidRDefault="00CA60B5" w:rsidP="0063797E">
            <w:pPr>
              <w:ind w:left="432"/>
              <w:rPr>
                <w:sz w:val="20"/>
                <w:szCs w:val="20"/>
              </w:rPr>
            </w:pPr>
            <w:r>
              <w:rPr>
                <w:rFonts w:eastAsia="Times New Roman"/>
                <w:sz w:val="24"/>
                <w:szCs w:val="24"/>
              </w:rPr>
              <w:t>0.0004</w:t>
            </w:r>
          </w:p>
        </w:tc>
      </w:tr>
      <w:tr w:rsidR="004647B9" w14:paraId="2819E925" w14:textId="77777777" w:rsidTr="0063797E">
        <w:trPr>
          <w:trHeight w:val="281"/>
        </w:trPr>
        <w:tc>
          <w:tcPr>
            <w:tcW w:w="720" w:type="dxa"/>
            <w:vAlign w:val="bottom"/>
          </w:tcPr>
          <w:p w14:paraId="2819E921" w14:textId="77777777" w:rsidR="004647B9" w:rsidRDefault="00E2436F">
            <w:pPr>
              <w:rPr>
                <w:sz w:val="20"/>
                <w:szCs w:val="20"/>
              </w:rPr>
            </w:pPr>
            <w:r>
              <w:rPr>
                <w:rFonts w:eastAsia="Times New Roman"/>
                <w:sz w:val="24"/>
                <w:szCs w:val="24"/>
              </w:rPr>
              <w:t>(m)</w:t>
            </w:r>
          </w:p>
        </w:tc>
        <w:tc>
          <w:tcPr>
            <w:tcW w:w="1720" w:type="dxa"/>
            <w:vAlign w:val="bottom"/>
          </w:tcPr>
          <w:p w14:paraId="2819E922" w14:textId="77777777" w:rsidR="004647B9" w:rsidRDefault="00E2436F">
            <w:pPr>
              <w:rPr>
                <w:sz w:val="20"/>
                <w:szCs w:val="20"/>
              </w:rPr>
            </w:pPr>
            <w:r>
              <w:rPr>
                <w:rFonts w:eastAsia="Times New Roman"/>
                <w:sz w:val="24"/>
                <w:szCs w:val="24"/>
              </w:rPr>
              <w:t>1024-57-3</w:t>
            </w:r>
          </w:p>
        </w:tc>
        <w:tc>
          <w:tcPr>
            <w:tcW w:w="3140" w:type="dxa"/>
            <w:vAlign w:val="bottom"/>
          </w:tcPr>
          <w:p w14:paraId="2819E923" w14:textId="77777777" w:rsidR="004647B9" w:rsidRDefault="00E2436F">
            <w:pPr>
              <w:rPr>
                <w:sz w:val="20"/>
                <w:szCs w:val="20"/>
              </w:rPr>
            </w:pPr>
            <w:r>
              <w:rPr>
                <w:rFonts w:eastAsia="Times New Roman"/>
                <w:sz w:val="24"/>
                <w:szCs w:val="24"/>
              </w:rPr>
              <w:t>Heptachlor epoxide</w:t>
            </w:r>
          </w:p>
        </w:tc>
        <w:tc>
          <w:tcPr>
            <w:tcW w:w="1640" w:type="dxa"/>
            <w:vAlign w:val="center"/>
          </w:tcPr>
          <w:p w14:paraId="2819E924" w14:textId="77777777" w:rsidR="004647B9" w:rsidRDefault="00E2436F" w:rsidP="0063797E">
            <w:pPr>
              <w:ind w:left="432"/>
              <w:rPr>
                <w:sz w:val="20"/>
                <w:szCs w:val="20"/>
              </w:rPr>
            </w:pPr>
            <w:r>
              <w:rPr>
                <w:rFonts w:eastAsia="Times New Roman"/>
                <w:sz w:val="24"/>
                <w:szCs w:val="24"/>
              </w:rPr>
              <w:t>0.0002</w:t>
            </w:r>
          </w:p>
        </w:tc>
      </w:tr>
      <w:tr w:rsidR="00CA60B5" w14:paraId="2819E92B" w14:textId="77777777" w:rsidTr="0063797E">
        <w:trPr>
          <w:trHeight w:val="278"/>
        </w:trPr>
        <w:tc>
          <w:tcPr>
            <w:tcW w:w="720" w:type="dxa"/>
            <w:vAlign w:val="bottom"/>
          </w:tcPr>
          <w:p w14:paraId="2819E926" w14:textId="77777777" w:rsidR="00CA60B5" w:rsidRDefault="00CA60B5">
            <w:pPr>
              <w:rPr>
                <w:sz w:val="20"/>
                <w:szCs w:val="20"/>
              </w:rPr>
            </w:pPr>
            <w:r>
              <w:rPr>
                <w:rFonts w:eastAsia="Times New Roman"/>
                <w:sz w:val="24"/>
                <w:szCs w:val="24"/>
              </w:rPr>
              <w:t>(n)</w:t>
            </w:r>
          </w:p>
        </w:tc>
        <w:tc>
          <w:tcPr>
            <w:tcW w:w="1720" w:type="dxa"/>
            <w:vAlign w:val="bottom"/>
          </w:tcPr>
          <w:p w14:paraId="2819E928" w14:textId="3B5CF975" w:rsidR="00CA60B5" w:rsidRDefault="00CA60B5">
            <w:pPr>
              <w:rPr>
                <w:sz w:val="24"/>
                <w:szCs w:val="24"/>
              </w:rPr>
            </w:pPr>
            <w:r>
              <w:rPr>
                <w:rFonts w:eastAsia="Times New Roman"/>
                <w:sz w:val="24"/>
                <w:szCs w:val="24"/>
              </w:rPr>
              <w:t>58-89-9</w:t>
            </w:r>
          </w:p>
        </w:tc>
        <w:tc>
          <w:tcPr>
            <w:tcW w:w="3140" w:type="dxa"/>
            <w:vAlign w:val="bottom"/>
          </w:tcPr>
          <w:p w14:paraId="2819E929" w14:textId="77777777" w:rsidR="00CA60B5" w:rsidRDefault="00CA60B5">
            <w:pPr>
              <w:rPr>
                <w:sz w:val="20"/>
                <w:szCs w:val="20"/>
              </w:rPr>
            </w:pPr>
            <w:r>
              <w:rPr>
                <w:rFonts w:eastAsia="Times New Roman"/>
                <w:sz w:val="24"/>
                <w:szCs w:val="24"/>
              </w:rPr>
              <w:t>Lindane</w:t>
            </w:r>
          </w:p>
        </w:tc>
        <w:tc>
          <w:tcPr>
            <w:tcW w:w="1640" w:type="dxa"/>
            <w:vAlign w:val="center"/>
          </w:tcPr>
          <w:p w14:paraId="2819E92A" w14:textId="77777777" w:rsidR="00CA60B5" w:rsidRDefault="00CA60B5" w:rsidP="0063797E">
            <w:pPr>
              <w:ind w:left="432"/>
              <w:rPr>
                <w:sz w:val="20"/>
                <w:szCs w:val="20"/>
              </w:rPr>
            </w:pPr>
            <w:r>
              <w:rPr>
                <w:rFonts w:eastAsia="Times New Roman"/>
                <w:sz w:val="24"/>
                <w:szCs w:val="24"/>
              </w:rPr>
              <w:t>0.0002</w:t>
            </w:r>
          </w:p>
        </w:tc>
      </w:tr>
      <w:tr w:rsidR="00CA60B5" w14:paraId="2819E931" w14:textId="77777777" w:rsidTr="0063797E">
        <w:trPr>
          <w:trHeight w:val="281"/>
        </w:trPr>
        <w:tc>
          <w:tcPr>
            <w:tcW w:w="720" w:type="dxa"/>
            <w:vAlign w:val="bottom"/>
          </w:tcPr>
          <w:p w14:paraId="2819E92C" w14:textId="77777777" w:rsidR="00CA60B5" w:rsidRDefault="00CA60B5">
            <w:pPr>
              <w:rPr>
                <w:sz w:val="20"/>
                <w:szCs w:val="20"/>
              </w:rPr>
            </w:pPr>
            <w:r>
              <w:rPr>
                <w:rFonts w:eastAsia="Times New Roman"/>
                <w:sz w:val="24"/>
                <w:szCs w:val="24"/>
              </w:rPr>
              <w:t>(o)</w:t>
            </w:r>
          </w:p>
        </w:tc>
        <w:tc>
          <w:tcPr>
            <w:tcW w:w="1720" w:type="dxa"/>
            <w:vAlign w:val="bottom"/>
          </w:tcPr>
          <w:p w14:paraId="2819E92E" w14:textId="51687F36" w:rsidR="00CA60B5" w:rsidRDefault="00CA60B5">
            <w:pPr>
              <w:rPr>
                <w:sz w:val="24"/>
                <w:szCs w:val="24"/>
              </w:rPr>
            </w:pPr>
            <w:r>
              <w:rPr>
                <w:rFonts w:eastAsia="Times New Roman"/>
                <w:sz w:val="24"/>
                <w:szCs w:val="24"/>
              </w:rPr>
              <w:t>72-43-5</w:t>
            </w:r>
          </w:p>
        </w:tc>
        <w:tc>
          <w:tcPr>
            <w:tcW w:w="3140" w:type="dxa"/>
            <w:vAlign w:val="bottom"/>
          </w:tcPr>
          <w:p w14:paraId="2819E92F" w14:textId="77777777" w:rsidR="00CA60B5" w:rsidRDefault="00CA60B5">
            <w:pPr>
              <w:rPr>
                <w:sz w:val="20"/>
                <w:szCs w:val="20"/>
              </w:rPr>
            </w:pPr>
            <w:r>
              <w:rPr>
                <w:rFonts w:eastAsia="Times New Roman"/>
                <w:sz w:val="24"/>
                <w:szCs w:val="24"/>
              </w:rPr>
              <w:t>Methoxychlor</w:t>
            </w:r>
          </w:p>
        </w:tc>
        <w:tc>
          <w:tcPr>
            <w:tcW w:w="1640" w:type="dxa"/>
            <w:vAlign w:val="center"/>
          </w:tcPr>
          <w:p w14:paraId="2819E930" w14:textId="77777777" w:rsidR="00CA60B5" w:rsidRDefault="00CA60B5" w:rsidP="0063797E">
            <w:pPr>
              <w:ind w:left="432"/>
              <w:rPr>
                <w:sz w:val="20"/>
                <w:szCs w:val="20"/>
              </w:rPr>
            </w:pPr>
            <w:r>
              <w:rPr>
                <w:rFonts w:eastAsia="Times New Roman"/>
                <w:sz w:val="24"/>
                <w:szCs w:val="24"/>
              </w:rPr>
              <w:t>0.04</w:t>
            </w:r>
          </w:p>
        </w:tc>
      </w:tr>
      <w:tr w:rsidR="004647B9" w14:paraId="2819E936" w14:textId="77777777" w:rsidTr="0063797E">
        <w:trPr>
          <w:trHeight w:val="278"/>
        </w:trPr>
        <w:tc>
          <w:tcPr>
            <w:tcW w:w="720" w:type="dxa"/>
            <w:vAlign w:val="bottom"/>
          </w:tcPr>
          <w:p w14:paraId="2819E932" w14:textId="77777777" w:rsidR="004647B9" w:rsidRDefault="00E2436F">
            <w:pPr>
              <w:rPr>
                <w:sz w:val="20"/>
                <w:szCs w:val="20"/>
              </w:rPr>
            </w:pPr>
            <w:r>
              <w:rPr>
                <w:rFonts w:eastAsia="Times New Roman"/>
                <w:sz w:val="24"/>
                <w:szCs w:val="24"/>
              </w:rPr>
              <w:t>(p)</w:t>
            </w:r>
          </w:p>
        </w:tc>
        <w:tc>
          <w:tcPr>
            <w:tcW w:w="1720" w:type="dxa"/>
            <w:vAlign w:val="bottom"/>
          </w:tcPr>
          <w:p w14:paraId="2819E933" w14:textId="77777777" w:rsidR="004647B9" w:rsidRDefault="00E2436F">
            <w:pPr>
              <w:rPr>
                <w:sz w:val="20"/>
                <w:szCs w:val="20"/>
              </w:rPr>
            </w:pPr>
            <w:r>
              <w:rPr>
                <w:rFonts w:eastAsia="Times New Roman"/>
                <w:sz w:val="24"/>
                <w:szCs w:val="24"/>
              </w:rPr>
              <w:t>1336-36-3</w:t>
            </w:r>
          </w:p>
        </w:tc>
        <w:tc>
          <w:tcPr>
            <w:tcW w:w="3140" w:type="dxa"/>
            <w:vAlign w:val="bottom"/>
          </w:tcPr>
          <w:p w14:paraId="2819E934" w14:textId="77777777" w:rsidR="004647B9" w:rsidRDefault="00E2436F">
            <w:pPr>
              <w:rPr>
                <w:sz w:val="20"/>
                <w:szCs w:val="20"/>
              </w:rPr>
            </w:pPr>
            <w:r>
              <w:rPr>
                <w:rFonts w:eastAsia="Times New Roman"/>
                <w:sz w:val="24"/>
                <w:szCs w:val="24"/>
              </w:rPr>
              <w:t>Polychlorinated biphenyls</w:t>
            </w:r>
          </w:p>
        </w:tc>
        <w:tc>
          <w:tcPr>
            <w:tcW w:w="1640" w:type="dxa"/>
            <w:vAlign w:val="center"/>
          </w:tcPr>
          <w:p w14:paraId="2819E935" w14:textId="77777777" w:rsidR="004647B9" w:rsidRDefault="00E2436F" w:rsidP="0063797E">
            <w:pPr>
              <w:ind w:left="432"/>
              <w:rPr>
                <w:sz w:val="20"/>
                <w:szCs w:val="20"/>
              </w:rPr>
            </w:pPr>
            <w:r>
              <w:rPr>
                <w:rFonts w:eastAsia="Times New Roman"/>
                <w:sz w:val="24"/>
                <w:szCs w:val="24"/>
              </w:rPr>
              <w:t>0.0005</w:t>
            </w:r>
          </w:p>
        </w:tc>
      </w:tr>
      <w:tr w:rsidR="00CA60B5" w14:paraId="2819E93C" w14:textId="77777777" w:rsidTr="0063797E">
        <w:trPr>
          <w:trHeight w:val="281"/>
        </w:trPr>
        <w:tc>
          <w:tcPr>
            <w:tcW w:w="720" w:type="dxa"/>
            <w:vAlign w:val="bottom"/>
          </w:tcPr>
          <w:p w14:paraId="2819E937" w14:textId="77777777" w:rsidR="00CA60B5" w:rsidRDefault="00CA60B5">
            <w:pPr>
              <w:rPr>
                <w:sz w:val="20"/>
                <w:szCs w:val="20"/>
              </w:rPr>
            </w:pPr>
            <w:r>
              <w:rPr>
                <w:rFonts w:eastAsia="Times New Roman"/>
                <w:sz w:val="24"/>
                <w:szCs w:val="24"/>
              </w:rPr>
              <w:t>(q)</w:t>
            </w:r>
          </w:p>
        </w:tc>
        <w:tc>
          <w:tcPr>
            <w:tcW w:w="1720" w:type="dxa"/>
            <w:vAlign w:val="bottom"/>
          </w:tcPr>
          <w:p w14:paraId="2819E939" w14:textId="4A4DAD1B" w:rsidR="00CA60B5" w:rsidRDefault="00CA60B5">
            <w:pPr>
              <w:rPr>
                <w:sz w:val="24"/>
                <w:szCs w:val="24"/>
              </w:rPr>
            </w:pPr>
            <w:r>
              <w:rPr>
                <w:rFonts w:eastAsia="Times New Roman"/>
                <w:sz w:val="24"/>
                <w:szCs w:val="24"/>
              </w:rPr>
              <w:t>87-86-5</w:t>
            </w:r>
          </w:p>
        </w:tc>
        <w:tc>
          <w:tcPr>
            <w:tcW w:w="3140" w:type="dxa"/>
            <w:vAlign w:val="bottom"/>
          </w:tcPr>
          <w:p w14:paraId="2819E93A" w14:textId="77777777" w:rsidR="00CA60B5" w:rsidRDefault="00CA60B5">
            <w:pPr>
              <w:rPr>
                <w:sz w:val="20"/>
                <w:szCs w:val="20"/>
              </w:rPr>
            </w:pPr>
            <w:r>
              <w:rPr>
                <w:rFonts w:eastAsia="Times New Roman"/>
                <w:sz w:val="24"/>
                <w:szCs w:val="24"/>
              </w:rPr>
              <w:t>Pentachlorophenol</w:t>
            </w:r>
          </w:p>
        </w:tc>
        <w:tc>
          <w:tcPr>
            <w:tcW w:w="1640" w:type="dxa"/>
            <w:vAlign w:val="center"/>
          </w:tcPr>
          <w:p w14:paraId="2819E93B" w14:textId="77777777" w:rsidR="00CA60B5" w:rsidRDefault="00CA60B5" w:rsidP="0063797E">
            <w:pPr>
              <w:ind w:left="432"/>
              <w:rPr>
                <w:sz w:val="20"/>
                <w:szCs w:val="20"/>
              </w:rPr>
            </w:pPr>
            <w:r>
              <w:rPr>
                <w:rFonts w:eastAsia="Times New Roman"/>
                <w:sz w:val="24"/>
                <w:szCs w:val="24"/>
              </w:rPr>
              <w:t>0.001</w:t>
            </w:r>
          </w:p>
        </w:tc>
      </w:tr>
      <w:tr w:rsidR="004647B9" w14:paraId="2819E941" w14:textId="77777777" w:rsidTr="0063797E">
        <w:trPr>
          <w:trHeight w:val="278"/>
        </w:trPr>
        <w:tc>
          <w:tcPr>
            <w:tcW w:w="720" w:type="dxa"/>
            <w:vAlign w:val="bottom"/>
          </w:tcPr>
          <w:p w14:paraId="2819E93D" w14:textId="77777777" w:rsidR="004647B9" w:rsidRDefault="00E2436F">
            <w:pPr>
              <w:rPr>
                <w:sz w:val="20"/>
                <w:szCs w:val="20"/>
              </w:rPr>
            </w:pPr>
            <w:r>
              <w:rPr>
                <w:rFonts w:eastAsia="Times New Roman"/>
                <w:sz w:val="24"/>
                <w:szCs w:val="24"/>
              </w:rPr>
              <w:t>(r)</w:t>
            </w:r>
          </w:p>
        </w:tc>
        <w:tc>
          <w:tcPr>
            <w:tcW w:w="1720" w:type="dxa"/>
            <w:vAlign w:val="bottom"/>
          </w:tcPr>
          <w:p w14:paraId="2819E93E" w14:textId="77777777" w:rsidR="004647B9" w:rsidRDefault="00E2436F">
            <w:pPr>
              <w:rPr>
                <w:sz w:val="20"/>
                <w:szCs w:val="20"/>
              </w:rPr>
            </w:pPr>
            <w:r>
              <w:rPr>
                <w:rFonts w:eastAsia="Times New Roman"/>
                <w:sz w:val="24"/>
                <w:szCs w:val="24"/>
              </w:rPr>
              <w:t>8001-35-2</w:t>
            </w:r>
          </w:p>
        </w:tc>
        <w:tc>
          <w:tcPr>
            <w:tcW w:w="3140" w:type="dxa"/>
            <w:vAlign w:val="bottom"/>
          </w:tcPr>
          <w:p w14:paraId="2819E93F" w14:textId="77777777" w:rsidR="004647B9" w:rsidRDefault="00E2436F">
            <w:pPr>
              <w:rPr>
                <w:sz w:val="20"/>
                <w:szCs w:val="20"/>
              </w:rPr>
            </w:pPr>
            <w:r>
              <w:rPr>
                <w:rFonts w:eastAsia="Times New Roman"/>
                <w:sz w:val="24"/>
                <w:szCs w:val="24"/>
              </w:rPr>
              <w:t>Toxaphene</w:t>
            </w:r>
          </w:p>
        </w:tc>
        <w:tc>
          <w:tcPr>
            <w:tcW w:w="1640" w:type="dxa"/>
            <w:vAlign w:val="center"/>
          </w:tcPr>
          <w:p w14:paraId="2819E940" w14:textId="77777777" w:rsidR="004647B9" w:rsidRDefault="00E2436F" w:rsidP="0063797E">
            <w:pPr>
              <w:ind w:left="432"/>
              <w:rPr>
                <w:sz w:val="20"/>
                <w:szCs w:val="20"/>
              </w:rPr>
            </w:pPr>
            <w:r>
              <w:rPr>
                <w:rFonts w:eastAsia="Times New Roman"/>
                <w:sz w:val="24"/>
                <w:szCs w:val="24"/>
              </w:rPr>
              <w:t>0.003</w:t>
            </w:r>
          </w:p>
        </w:tc>
      </w:tr>
      <w:tr w:rsidR="00CA60B5" w14:paraId="2819E947" w14:textId="77777777" w:rsidTr="0063797E">
        <w:trPr>
          <w:trHeight w:val="281"/>
        </w:trPr>
        <w:tc>
          <w:tcPr>
            <w:tcW w:w="720" w:type="dxa"/>
            <w:vAlign w:val="bottom"/>
          </w:tcPr>
          <w:p w14:paraId="2819E942" w14:textId="77777777" w:rsidR="00CA60B5" w:rsidRDefault="00CA60B5">
            <w:pPr>
              <w:rPr>
                <w:sz w:val="20"/>
                <w:szCs w:val="20"/>
              </w:rPr>
            </w:pPr>
            <w:r>
              <w:rPr>
                <w:rFonts w:eastAsia="Times New Roman"/>
                <w:sz w:val="24"/>
                <w:szCs w:val="24"/>
              </w:rPr>
              <w:t>(s)</w:t>
            </w:r>
          </w:p>
        </w:tc>
        <w:tc>
          <w:tcPr>
            <w:tcW w:w="1720" w:type="dxa"/>
            <w:vAlign w:val="bottom"/>
          </w:tcPr>
          <w:p w14:paraId="2819E944" w14:textId="12F4D0BD" w:rsidR="00CA60B5" w:rsidRDefault="00CA60B5">
            <w:pPr>
              <w:rPr>
                <w:sz w:val="24"/>
                <w:szCs w:val="24"/>
              </w:rPr>
            </w:pPr>
            <w:r>
              <w:rPr>
                <w:rFonts w:eastAsia="Times New Roman"/>
                <w:sz w:val="24"/>
                <w:szCs w:val="24"/>
              </w:rPr>
              <w:t>93-72-1</w:t>
            </w:r>
          </w:p>
        </w:tc>
        <w:tc>
          <w:tcPr>
            <w:tcW w:w="3140" w:type="dxa"/>
            <w:vAlign w:val="bottom"/>
          </w:tcPr>
          <w:p w14:paraId="2819E945" w14:textId="77777777" w:rsidR="00CA60B5" w:rsidRDefault="00CA60B5">
            <w:pPr>
              <w:rPr>
                <w:sz w:val="20"/>
                <w:szCs w:val="20"/>
              </w:rPr>
            </w:pPr>
            <w:r>
              <w:rPr>
                <w:rFonts w:eastAsia="Times New Roman"/>
                <w:sz w:val="24"/>
                <w:szCs w:val="24"/>
              </w:rPr>
              <w:t>2,4,5-TP</w:t>
            </w:r>
          </w:p>
        </w:tc>
        <w:tc>
          <w:tcPr>
            <w:tcW w:w="1640" w:type="dxa"/>
            <w:vAlign w:val="center"/>
          </w:tcPr>
          <w:p w14:paraId="2819E946" w14:textId="77777777" w:rsidR="00CA60B5" w:rsidRDefault="00CA60B5" w:rsidP="0063797E">
            <w:pPr>
              <w:ind w:left="432"/>
              <w:rPr>
                <w:sz w:val="20"/>
                <w:szCs w:val="20"/>
              </w:rPr>
            </w:pPr>
            <w:r>
              <w:rPr>
                <w:rFonts w:eastAsia="Times New Roman"/>
                <w:sz w:val="24"/>
                <w:szCs w:val="24"/>
              </w:rPr>
              <w:t>0.05</w:t>
            </w:r>
          </w:p>
        </w:tc>
      </w:tr>
      <w:tr w:rsidR="00CA60B5" w14:paraId="2819E94D" w14:textId="77777777" w:rsidTr="0063797E">
        <w:trPr>
          <w:trHeight w:val="278"/>
        </w:trPr>
        <w:tc>
          <w:tcPr>
            <w:tcW w:w="720" w:type="dxa"/>
            <w:vAlign w:val="bottom"/>
          </w:tcPr>
          <w:p w14:paraId="2819E948" w14:textId="77777777" w:rsidR="00CA60B5" w:rsidRDefault="00CA60B5">
            <w:pPr>
              <w:rPr>
                <w:sz w:val="20"/>
                <w:szCs w:val="20"/>
              </w:rPr>
            </w:pPr>
            <w:r>
              <w:rPr>
                <w:rFonts w:eastAsia="Times New Roman"/>
                <w:sz w:val="24"/>
                <w:szCs w:val="24"/>
              </w:rPr>
              <w:t>(t)</w:t>
            </w:r>
          </w:p>
        </w:tc>
        <w:tc>
          <w:tcPr>
            <w:tcW w:w="1720" w:type="dxa"/>
            <w:vAlign w:val="bottom"/>
          </w:tcPr>
          <w:p w14:paraId="2819E94A" w14:textId="57A77D6A" w:rsidR="00CA60B5" w:rsidRDefault="00CA60B5">
            <w:pPr>
              <w:rPr>
                <w:sz w:val="24"/>
                <w:szCs w:val="24"/>
              </w:rPr>
            </w:pPr>
            <w:r>
              <w:rPr>
                <w:rFonts w:eastAsia="Times New Roman"/>
                <w:sz w:val="24"/>
                <w:szCs w:val="24"/>
              </w:rPr>
              <w:t>50-32-8</w:t>
            </w:r>
          </w:p>
        </w:tc>
        <w:tc>
          <w:tcPr>
            <w:tcW w:w="3140" w:type="dxa"/>
            <w:vAlign w:val="bottom"/>
          </w:tcPr>
          <w:p w14:paraId="2819E94B" w14:textId="77777777" w:rsidR="00CA60B5" w:rsidRDefault="00CA60B5">
            <w:pPr>
              <w:rPr>
                <w:sz w:val="20"/>
                <w:szCs w:val="20"/>
              </w:rPr>
            </w:pPr>
            <w:r>
              <w:rPr>
                <w:rFonts w:eastAsia="Times New Roman"/>
                <w:sz w:val="24"/>
                <w:szCs w:val="24"/>
              </w:rPr>
              <w:t>Benzo(a)pyrene</w:t>
            </w:r>
          </w:p>
        </w:tc>
        <w:tc>
          <w:tcPr>
            <w:tcW w:w="1640" w:type="dxa"/>
            <w:vAlign w:val="center"/>
          </w:tcPr>
          <w:p w14:paraId="2819E94C" w14:textId="77777777" w:rsidR="00CA60B5" w:rsidRDefault="00CA60B5" w:rsidP="0063797E">
            <w:pPr>
              <w:ind w:left="432"/>
              <w:rPr>
                <w:sz w:val="20"/>
                <w:szCs w:val="20"/>
              </w:rPr>
            </w:pPr>
            <w:r>
              <w:rPr>
                <w:rFonts w:eastAsia="Times New Roman"/>
                <w:sz w:val="24"/>
                <w:szCs w:val="24"/>
              </w:rPr>
              <w:t>0.0002</w:t>
            </w:r>
          </w:p>
        </w:tc>
      </w:tr>
      <w:tr w:rsidR="00CA60B5" w14:paraId="2819E953" w14:textId="77777777" w:rsidTr="0063797E">
        <w:trPr>
          <w:trHeight w:val="281"/>
        </w:trPr>
        <w:tc>
          <w:tcPr>
            <w:tcW w:w="720" w:type="dxa"/>
            <w:vAlign w:val="bottom"/>
          </w:tcPr>
          <w:p w14:paraId="2819E94E" w14:textId="77777777" w:rsidR="00CA60B5" w:rsidRDefault="00CA60B5">
            <w:pPr>
              <w:rPr>
                <w:sz w:val="20"/>
                <w:szCs w:val="20"/>
              </w:rPr>
            </w:pPr>
            <w:r>
              <w:rPr>
                <w:rFonts w:eastAsia="Times New Roman"/>
                <w:sz w:val="24"/>
                <w:szCs w:val="24"/>
              </w:rPr>
              <w:t>(u)</w:t>
            </w:r>
          </w:p>
        </w:tc>
        <w:tc>
          <w:tcPr>
            <w:tcW w:w="1720" w:type="dxa"/>
            <w:vAlign w:val="bottom"/>
          </w:tcPr>
          <w:p w14:paraId="2819E950" w14:textId="323C32C3" w:rsidR="00CA60B5" w:rsidRDefault="00CA60B5">
            <w:pPr>
              <w:rPr>
                <w:sz w:val="24"/>
                <w:szCs w:val="24"/>
              </w:rPr>
            </w:pPr>
            <w:r>
              <w:rPr>
                <w:rFonts w:eastAsia="Times New Roman"/>
                <w:sz w:val="24"/>
                <w:szCs w:val="24"/>
              </w:rPr>
              <w:t>75-99-0</w:t>
            </w:r>
          </w:p>
        </w:tc>
        <w:tc>
          <w:tcPr>
            <w:tcW w:w="3140" w:type="dxa"/>
            <w:vAlign w:val="bottom"/>
          </w:tcPr>
          <w:p w14:paraId="2819E951" w14:textId="77777777" w:rsidR="00CA60B5" w:rsidRDefault="00CA60B5">
            <w:pPr>
              <w:rPr>
                <w:sz w:val="20"/>
                <w:szCs w:val="20"/>
              </w:rPr>
            </w:pPr>
            <w:r>
              <w:rPr>
                <w:rFonts w:eastAsia="Times New Roman"/>
                <w:sz w:val="24"/>
                <w:szCs w:val="24"/>
              </w:rPr>
              <w:t>Dalapon</w:t>
            </w:r>
          </w:p>
        </w:tc>
        <w:tc>
          <w:tcPr>
            <w:tcW w:w="1640" w:type="dxa"/>
            <w:vAlign w:val="center"/>
          </w:tcPr>
          <w:p w14:paraId="2819E952" w14:textId="77777777" w:rsidR="00CA60B5" w:rsidRDefault="00CA60B5" w:rsidP="0063797E">
            <w:pPr>
              <w:ind w:left="432"/>
              <w:rPr>
                <w:sz w:val="20"/>
                <w:szCs w:val="20"/>
              </w:rPr>
            </w:pPr>
            <w:r>
              <w:rPr>
                <w:rFonts w:eastAsia="Times New Roman"/>
                <w:sz w:val="24"/>
                <w:szCs w:val="24"/>
              </w:rPr>
              <w:t>0.2</w:t>
            </w:r>
          </w:p>
        </w:tc>
      </w:tr>
      <w:tr w:rsidR="004647B9" w14:paraId="2819E958" w14:textId="77777777" w:rsidTr="0063797E">
        <w:trPr>
          <w:trHeight w:val="278"/>
        </w:trPr>
        <w:tc>
          <w:tcPr>
            <w:tcW w:w="720" w:type="dxa"/>
            <w:vAlign w:val="bottom"/>
          </w:tcPr>
          <w:p w14:paraId="2819E954" w14:textId="77777777" w:rsidR="004647B9" w:rsidRDefault="00E2436F">
            <w:pPr>
              <w:rPr>
                <w:sz w:val="20"/>
                <w:szCs w:val="20"/>
              </w:rPr>
            </w:pPr>
            <w:r>
              <w:rPr>
                <w:rFonts w:eastAsia="Times New Roman"/>
                <w:sz w:val="24"/>
                <w:szCs w:val="24"/>
              </w:rPr>
              <w:t>(v)</w:t>
            </w:r>
          </w:p>
        </w:tc>
        <w:tc>
          <w:tcPr>
            <w:tcW w:w="1720" w:type="dxa"/>
            <w:vAlign w:val="bottom"/>
          </w:tcPr>
          <w:p w14:paraId="2819E955" w14:textId="77777777" w:rsidR="004647B9" w:rsidRDefault="00E2436F">
            <w:pPr>
              <w:rPr>
                <w:sz w:val="20"/>
                <w:szCs w:val="20"/>
              </w:rPr>
            </w:pPr>
            <w:r>
              <w:rPr>
                <w:rFonts w:eastAsia="Times New Roman"/>
                <w:sz w:val="24"/>
                <w:szCs w:val="24"/>
              </w:rPr>
              <w:t>103-23-1</w:t>
            </w:r>
          </w:p>
        </w:tc>
        <w:tc>
          <w:tcPr>
            <w:tcW w:w="3140" w:type="dxa"/>
            <w:vAlign w:val="bottom"/>
          </w:tcPr>
          <w:p w14:paraId="2819E956" w14:textId="77777777" w:rsidR="004647B9" w:rsidRDefault="00E2436F">
            <w:pPr>
              <w:rPr>
                <w:sz w:val="20"/>
                <w:szCs w:val="20"/>
              </w:rPr>
            </w:pPr>
            <w:r>
              <w:rPr>
                <w:rFonts w:eastAsia="Times New Roman"/>
                <w:sz w:val="24"/>
                <w:szCs w:val="24"/>
              </w:rPr>
              <w:t>Di(2-ethylhexyl) adipate</w:t>
            </w:r>
          </w:p>
        </w:tc>
        <w:tc>
          <w:tcPr>
            <w:tcW w:w="1640" w:type="dxa"/>
            <w:vAlign w:val="center"/>
          </w:tcPr>
          <w:p w14:paraId="2819E957" w14:textId="77777777" w:rsidR="004647B9" w:rsidRDefault="00E2436F" w:rsidP="0063797E">
            <w:pPr>
              <w:ind w:left="432"/>
              <w:rPr>
                <w:sz w:val="20"/>
                <w:szCs w:val="20"/>
              </w:rPr>
            </w:pPr>
            <w:r>
              <w:rPr>
                <w:rFonts w:eastAsia="Times New Roman"/>
                <w:sz w:val="24"/>
                <w:szCs w:val="24"/>
              </w:rPr>
              <w:t>0.4</w:t>
            </w:r>
          </w:p>
        </w:tc>
      </w:tr>
      <w:tr w:rsidR="004647B9" w14:paraId="2819E95D" w14:textId="77777777" w:rsidTr="0063797E">
        <w:trPr>
          <w:trHeight w:val="281"/>
        </w:trPr>
        <w:tc>
          <w:tcPr>
            <w:tcW w:w="720" w:type="dxa"/>
            <w:vAlign w:val="bottom"/>
          </w:tcPr>
          <w:p w14:paraId="2819E959" w14:textId="77777777" w:rsidR="004647B9" w:rsidRDefault="00E2436F">
            <w:pPr>
              <w:rPr>
                <w:sz w:val="20"/>
                <w:szCs w:val="20"/>
              </w:rPr>
            </w:pPr>
            <w:r>
              <w:rPr>
                <w:rFonts w:eastAsia="Times New Roman"/>
                <w:sz w:val="24"/>
                <w:szCs w:val="24"/>
              </w:rPr>
              <w:t>(w)</w:t>
            </w:r>
          </w:p>
        </w:tc>
        <w:tc>
          <w:tcPr>
            <w:tcW w:w="1720" w:type="dxa"/>
            <w:vAlign w:val="bottom"/>
          </w:tcPr>
          <w:p w14:paraId="2819E95A" w14:textId="77777777" w:rsidR="004647B9" w:rsidRDefault="00E2436F">
            <w:pPr>
              <w:rPr>
                <w:sz w:val="20"/>
                <w:szCs w:val="20"/>
              </w:rPr>
            </w:pPr>
            <w:r>
              <w:rPr>
                <w:rFonts w:eastAsia="Times New Roman"/>
                <w:sz w:val="24"/>
                <w:szCs w:val="24"/>
              </w:rPr>
              <w:t>117-81-7</w:t>
            </w:r>
          </w:p>
        </w:tc>
        <w:tc>
          <w:tcPr>
            <w:tcW w:w="3140" w:type="dxa"/>
            <w:vAlign w:val="bottom"/>
          </w:tcPr>
          <w:p w14:paraId="2819E95B" w14:textId="77777777" w:rsidR="004647B9" w:rsidRDefault="00E2436F">
            <w:pPr>
              <w:rPr>
                <w:sz w:val="20"/>
                <w:szCs w:val="20"/>
              </w:rPr>
            </w:pPr>
            <w:r>
              <w:rPr>
                <w:rFonts w:eastAsia="Times New Roman"/>
                <w:sz w:val="24"/>
                <w:szCs w:val="24"/>
              </w:rPr>
              <w:t>Di(2-ethylhexyl) phthalate</w:t>
            </w:r>
          </w:p>
        </w:tc>
        <w:tc>
          <w:tcPr>
            <w:tcW w:w="1640" w:type="dxa"/>
            <w:vAlign w:val="center"/>
          </w:tcPr>
          <w:p w14:paraId="2819E95C" w14:textId="77777777" w:rsidR="004647B9" w:rsidRDefault="00E2436F" w:rsidP="0063797E">
            <w:pPr>
              <w:ind w:left="432"/>
              <w:rPr>
                <w:sz w:val="20"/>
                <w:szCs w:val="20"/>
              </w:rPr>
            </w:pPr>
            <w:r>
              <w:rPr>
                <w:rFonts w:eastAsia="Times New Roman"/>
                <w:sz w:val="24"/>
                <w:szCs w:val="24"/>
              </w:rPr>
              <w:t>0.006</w:t>
            </w:r>
          </w:p>
        </w:tc>
      </w:tr>
      <w:tr w:rsidR="00CA60B5" w14:paraId="2819E963" w14:textId="77777777" w:rsidTr="0063797E">
        <w:trPr>
          <w:trHeight w:val="278"/>
        </w:trPr>
        <w:tc>
          <w:tcPr>
            <w:tcW w:w="720" w:type="dxa"/>
            <w:vAlign w:val="bottom"/>
          </w:tcPr>
          <w:p w14:paraId="2819E95E" w14:textId="77777777" w:rsidR="00CA60B5" w:rsidRDefault="00CA60B5">
            <w:pPr>
              <w:rPr>
                <w:sz w:val="20"/>
                <w:szCs w:val="20"/>
              </w:rPr>
            </w:pPr>
            <w:r>
              <w:rPr>
                <w:rFonts w:eastAsia="Times New Roman"/>
                <w:sz w:val="24"/>
                <w:szCs w:val="24"/>
              </w:rPr>
              <w:t>(x)</w:t>
            </w:r>
          </w:p>
        </w:tc>
        <w:tc>
          <w:tcPr>
            <w:tcW w:w="1720" w:type="dxa"/>
            <w:vAlign w:val="bottom"/>
          </w:tcPr>
          <w:p w14:paraId="2819E960" w14:textId="1D650689" w:rsidR="00CA60B5" w:rsidRDefault="00CA60B5">
            <w:pPr>
              <w:rPr>
                <w:sz w:val="24"/>
                <w:szCs w:val="24"/>
              </w:rPr>
            </w:pPr>
            <w:r>
              <w:rPr>
                <w:rFonts w:eastAsia="Times New Roman"/>
                <w:sz w:val="24"/>
                <w:szCs w:val="24"/>
              </w:rPr>
              <w:t>88-85-7</w:t>
            </w:r>
          </w:p>
        </w:tc>
        <w:tc>
          <w:tcPr>
            <w:tcW w:w="3140" w:type="dxa"/>
            <w:vAlign w:val="bottom"/>
          </w:tcPr>
          <w:p w14:paraId="2819E961" w14:textId="77777777" w:rsidR="00CA60B5" w:rsidRDefault="00CA60B5">
            <w:pPr>
              <w:rPr>
                <w:sz w:val="20"/>
                <w:szCs w:val="20"/>
              </w:rPr>
            </w:pPr>
            <w:r>
              <w:rPr>
                <w:rFonts w:eastAsia="Times New Roman"/>
                <w:sz w:val="24"/>
                <w:szCs w:val="24"/>
              </w:rPr>
              <w:t>Dinoseb</w:t>
            </w:r>
          </w:p>
        </w:tc>
        <w:tc>
          <w:tcPr>
            <w:tcW w:w="1640" w:type="dxa"/>
            <w:vAlign w:val="center"/>
          </w:tcPr>
          <w:p w14:paraId="2819E962" w14:textId="77777777" w:rsidR="00CA60B5" w:rsidRDefault="00CA60B5" w:rsidP="0063797E">
            <w:pPr>
              <w:ind w:left="432"/>
              <w:rPr>
                <w:sz w:val="20"/>
                <w:szCs w:val="20"/>
              </w:rPr>
            </w:pPr>
            <w:r>
              <w:rPr>
                <w:rFonts w:eastAsia="Times New Roman"/>
                <w:sz w:val="24"/>
                <w:szCs w:val="24"/>
              </w:rPr>
              <w:t>0.007</w:t>
            </w:r>
          </w:p>
        </w:tc>
      </w:tr>
      <w:tr w:rsidR="00CA60B5" w14:paraId="2819E969" w14:textId="77777777" w:rsidTr="0063797E">
        <w:trPr>
          <w:trHeight w:val="281"/>
        </w:trPr>
        <w:tc>
          <w:tcPr>
            <w:tcW w:w="720" w:type="dxa"/>
            <w:vAlign w:val="bottom"/>
          </w:tcPr>
          <w:p w14:paraId="2819E964" w14:textId="77777777" w:rsidR="00CA60B5" w:rsidRDefault="00CA60B5">
            <w:pPr>
              <w:rPr>
                <w:sz w:val="20"/>
                <w:szCs w:val="20"/>
              </w:rPr>
            </w:pPr>
            <w:r>
              <w:rPr>
                <w:rFonts w:eastAsia="Times New Roman"/>
                <w:sz w:val="24"/>
                <w:szCs w:val="24"/>
              </w:rPr>
              <w:t>(y)</w:t>
            </w:r>
          </w:p>
        </w:tc>
        <w:tc>
          <w:tcPr>
            <w:tcW w:w="1720" w:type="dxa"/>
            <w:vAlign w:val="bottom"/>
          </w:tcPr>
          <w:p w14:paraId="2819E966" w14:textId="7ADE427C" w:rsidR="00CA60B5" w:rsidRDefault="00CA60B5">
            <w:pPr>
              <w:rPr>
                <w:sz w:val="24"/>
                <w:szCs w:val="24"/>
              </w:rPr>
            </w:pPr>
            <w:r>
              <w:rPr>
                <w:rFonts w:eastAsia="Times New Roman"/>
                <w:sz w:val="24"/>
                <w:szCs w:val="24"/>
              </w:rPr>
              <w:t>85-00-7</w:t>
            </w:r>
          </w:p>
        </w:tc>
        <w:tc>
          <w:tcPr>
            <w:tcW w:w="3140" w:type="dxa"/>
            <w:vAlign w:val="bottom"/>
          </w:tcPr>
          <w:p w14:paraId="2819E967" w14:textId="77777777" w:rsidR="00CA60B5" w:rsidRDefault="00CA60B5">
            <w:pPr>
              <w:rPr>
                <w:sz w:val="20"/>
                <w:szCs w:val="20"/>
              </w:rPr>
            </w:pPr>
            <w:r>
              <w:rPr>
                <w:rFonts w:eastAsia="Times New Roman"/>
                <w:sz w:val="24"/>
                <w:szCs w:val="24"/>
              </w:rPr>
              <w:t>Diquat</w:t>
            </w:r>
          </w:p>
        </w:tc>
        <w:tc>
          <w:tcPr>
            <w:tcW w:w="1640" w:type="dxa"/>
            <w:vAlign w:val="center"/>
          </w:tcPr>
          <w:p w14:paraId="2819E968" w14:textId="77777777" w:rsidR="00CA60B5" w:rsidRDefault="00CA60B5" w:rsidP="0063797E">
            <w:pPr>
              <w:ind w:left="432"/>
              <w:rPr>
                <w:sz w:val="20"/>
                <w:szCs w:val="20"/>
              </w:rPr>
            </w:pPr>
            <w:r>
              <w:rPr>
                <w:rFonts w:eastAsia="Times New Roman"/>
                <w:sz w:val="24"/>
                <w:szCs w:val="24"/>
              </w:rPr>
              <w:t>0.02</w:t>
            </w:r>
          </w:p>
        </w:tc>
      </w:tr>
      <w:tr w:rsidR="004647B9" w14:paraId="2819E96E" w14:textId="77777777" w:rsidTr="0063797E">
        <w:trPr>
          <w:trHeight w:val="278"/>
        </w:trPr>
        <w:tc>
          <w:tcPr>
            <w:tcW w:w="720" w:type="dxa"/>
            <w:vAlign w:val="bottom"/>
          </w:tcPr>
          <w:p w14:paraId="2819E96A" w14:textId="77777777" w:rsidR="004647B9" w:rsidRDefault="00E2436F">
            <w:pPr>
              <w:rPr>
                <w:sz w:val="20"/>
                <w:szCs w:val="20"/>
              </w:rPr>
            </w:pPr>
            <w:r>
              <w:rPr>
                <w:rFonts w:eastAsia="Times New Roman"/>
                <w:sz w:val="24"/>
                <w:szCs w:val="24"/>
              </w:rPr>
              <w:t>(z)</w:t>
            </w:r>
          </w:p>
        </w:tc>
        <w:tc>
          <w:tcPr>
            <w:tcW w:w="1720" w:type="dxa"/>
            <w:vAlign w:val="bottom"/>
          </w:tcPr>
          <w:p w14:paraId="2819E96B" w14:textId="77777777" w:rsidR="004647B9" w:rsidRDefault="00E2436F">
            <w:pPr>
              <w:rPr>
                <w:sz w:val="20"/>
                <w:szCs w:val="20"/>
              </w:rPr>
            </w:pPr>
            <w:r>
              <w:rPr>
                <w:rFonts w:eastAsia="Times New Roman"/>
                <w:sz w:val="24"/>
                <w:szCs w:val="24"/>
              </w:rPr>
              <w:t>145-73-3</w:t>
            </w:r>
          </w:p>
        </w:tc>
        <w:tc>
          <w:tcPr>
            <w:tcW w:w="3140" w:type="dxa"/>
            <w:vAlign w:val="bottom"/>
          </w:tcPr>
          <w:p w14:paraId="2819E96C" w14:textId="77777777" w:rsidR="004647B9" w:rsidRDefault="00E2436F">
            <w:pPr>
              <w:rPr>
                <w:sz w:val="20"/>
                <w:szCs w:val="20"/>
              </w:rPr>
            </w:pPr>
            <w:r>
              <w:rPr>
                <w:rFonts w:eastAsia="Times New Roman"/>
                <w:sz w:val="24"/>
                <w:szCs w:val="24"/>
              </w:rPr>
              <w:t>Endothall</w:t>
            </w:r>
          </w:p>
        </w:tc>
        <w:tc>
          <w:tcPr>
            <w:tcW w:w="1640" w:type="dxa"/>
            <w:vAlign w:val="center"/>
          </w:tcPr>
          <w:p w14:paraId="2819E96D" w14:textId="77777777" w:rsidR="004647B9" w:rsidRDefault="00E2436F" w:rsidP="0063797E">
            <w:pPr>
              <w:ind w:left="432"/>
              <w:rPr>
                <w:sz w:val="20"/>
                <w:szCs w:val="20"/>
              </w:rPr>
            </w:pPr>
            <w:r>
              <w:rPr>
                <w:rFonts w:eastAsia="Times New Roman"/>
                <w:sz w:val="24"/>
                <w:szCs w:val="24"/>
              </w:rPr>
              <w:t>0.1</w:t>
            </w:r>
          </w:p>
        </w:tc>
      </w:tr>
      <w:tr w:rsidR="004647B9" w14:paraId="2819E973" w14:textId="77777777" w:rsidTr="0063797E">
        <w:trPr>
          <w:trHeight w:val="281"/>
        </w:trPr>
        <w:tc>
          <w:tcPr>
            <w:tcW w:w="720" w:type="dxa"/>
            <w:vAlign w:val="bottom"/>
          </w:tcPr>
          <w:p w14:paraId="2819E96F" w14:textId="77777777" w:rsidR="004647B9" w:rsidRDefault="00E2436F">
            <w:pPr>
              <w:rPr>
                <w:sz w:val="20"/>
                <w:szCs w:val="20"/>
              </w:rPr>
            </w:pPr>
            <w:r>
              <w:rPr>
                <w:rFonts w:eastAsia="Times New Roman"/>
                <w:sz w:val="24"/>
                <w:szCs w:val="24"/>
              </w:rPr>
              <w:t>(aa)</w:t>
            </w:r>
          </w:p>
        </w:tc>
        <w:tc>
          <w:tcPr>
            <w:tcW w:w="1720" w:type="dxa"/>
            <w:vAlign w:val="bottom"/>
          </w:tcPr>
          <w:p w14:paraId="2819E970" w14:textId="77777777" w:rsidR="004647B9" w:rsidRDefault="00E2436F">
            <w:pPr>
              <w:rPr>
                <w:sz w:val="20"/>
                <w:szCs w:val="20"/>
              </w:rPr>
            </w:pPr>
            <w:r>
              <w:rPr>
                <w:rFonts w:eastAsia="Times New Roman"/>
                <w:sz w:val="24"/>
                <w:szCs w:val="24"/>
              </w:rPr>
              <w:t>1071-53-6</w:t>
            </w:r>
          </w:p>
        </w:tc>
        <w:tc>
          <w:tcPr>
            <w:tcW w:w="3140" w:type="dxa"/>
            <w:vAlign w:val="bottom"/>
          </w:tcPr>
          <w:p w14:paraId="2819E971" w14:textId="77777777" w:rsidR="004647B9" w:rsidRDefault="00E2436F">
            <w:pPr>
              <w:rPr>
                <w:sz w:val="20"/>
                <w:szCs w:val="20"/>
              </w:rPr>
            </w:pPr>
            <w:r>
              <w:rPr>
                <w:rFonts w:eastAsia="Times New Roman"/>
                <w:sz w:val="24"/>
                <w:szCs w:val="24"/>
              </w:rPr>
              <w:t>Glyphosate</w:t>
            </w:r>
          </w:p>
        </w:tc>
        <w:tc>
          <w:tcPr>
            <w:tcW w:w="1640" w:type="dxa"/>
            <w:vAlign w:val="center"/>
          </w:tcPr>
          <w:p w14:paraId="2819E972" w14:textId="77777777" w:rsidR="004647B9" w:rsidRDefault="00E2436F" w:rsidP="0063797E">
            <w:pPr>
              <w:ind w:left="432"/>
              <w:rPr>
                <w:sz w:val="20"/>
                <w:szCs w:val="20"/>
              </w:rPr>
            </w:pPr>
            <w:r>
              <w:rPr>
                <w:rFonts w:eastAsia="Times New Roman"/>
                <w:sz w:val="24"/>
                <w:szCs w:val="24"/>
              </w:rPr>
              <w:t>0.7</w:t>
            </w:r>
          </w:p>
        </w:tc>
      </w:tr>
      <w:tr w:rsidR="004647B9" w14:paraId="2819E978" w14:textId="77777777" w:rsidTr="0063797E">
        <w:trPr>
          <w:trHeight w:val="278"/>
        </w:trPr>
        <w:tc>
          <w:tcPr>
            <w:tcW w:w="720" w:type="dxa"/>
            <w:vAlign w:val="bottom"/>
          </w:tcPr>
          <w:p w14:paraId="2819E974" w14:textId="77777777" w:rsidR="004647B9" w:rsidRDefault="00E2436F">
            <w:pPr>
              <w:rPr>
                <w:sz w:val="20"/>
                <w:szCs w:val="20"/>
              </w:rPr>
            </w:pPr>
            <w:r>
              <w:rPr>
                <w:rFonts w:eastAsia="Times New Roman"/>
                <w:sz w:val="24"/>
                <w:szCs w:val="24"/>
              </w:rPr>
              <w:t>(bb)</w:t>
            </w:r>
          </w:p>
        </w:tc>
        <w:tc>
          <w:tcPr>
            <w:tcW w:w="1720" w:type="dxa"/>
            <w:vAlign w:val="bottom"/>
          </w:tcPr>
          <w:p w14:paraId="2819E975" w14:textId="77777777" w:rsidR="004647B9" w:rsidRDefault="00E2436F">
            <w:pPr>
              <w:rPr>
                <w:sz w:val="20"/>
                <w:szCs w:val="20"/>
              </w:rPr>
            </w:pPr>
            <w:r>
              <w:rPr>
                <w:rFonts w:eastAsia="Times New Roman"/>
                <w:sz w:val="24"/>
                <w:szCs w:val="24"/>
              </w:rPr>
              <w:t>118-74-1</w:t>
            </w:r>
          </w:p>
        </w:tc>
        <w:tc>
          <w:tcPr>
            <w:tcW w:w="3140" w:type="dxa"/>
            <w:vAlign w:val="bottom"/>
          </w:tcPr>
          <w:p w14:paraId="2819E976" w14:textId="77777777" w:rsidR="004647B9" w:rsidRDefault="00E2436F">
            <w:pPr>
              <w:rPr>
                <w:sz w:val="20"/>
                <w:szCs w:val="20"/>
              </w:rPr>
            </w:pPr>
            <w:r>
              <w:rPr>
                <w:rFonts w:eastAsia="Times New Roman"/>
                <w:sz w:val="24"/>
                <w:szCs w:val="24"/>
              </w:rPr>
              <w:t>Hexachlorobenzene</w:t>
            </w:r>
          </w:p>
        </w:tc>
        <w:tc>
          <w:tcPr>
            <w:tcW w:w="1640" w:type="dxa"/>
            <w:vAlign w:val="center"/>
          </w:tcPr>
          <w:p w14:paraId="2819E977" w14:textId="77777777" w:rsidR="004647B9" w:rsidRDefault="00E2436F" w:rsidP="0063797E">
            <w:pPr>
              <w:ind w:left="432"/>
              <w:rPr>
                <w:sz w:val="20"/>
                <w:szCs w:val="20"/>
              </w:rPr>
            </w:pPr>
            <w:r>
              <w:rPr>
                <w:rFonts w:eastAsia="Times New Roman"/>
                <w:sz w:val="24"/>
                <w:szCs w:val="24"/>
              </w:rPr>
              <w:t>0.001</w:t>
            </w:r>
          </w:p>
        </w:tc>
      </w:tr>
      <w:tr w:rsidR="00CA60B5" w14:paraId="2819E97E" w14:textId="77777777" w:rsidTr="0063797E">
        <w:trPr>
          <w:trHeight w:val="281"/>
        </w:trPr>
        <w:tc>
          <w:tcPr>
            <w:tcW w:w="720" w:type="dxa"/>
            <w:vAlign w:val="bottom"/>
          </w:tcPr>
          <w:p w14:paraId="2819E979" w14:textId="77777777" w:rsidR="00CA60B5" w:rsidRDefault="00CA60B5">
            <w:pPr>
              <w:rPr>
                <w:sz w:val="20"/>
                <w:szCs w:val="20"/>
              </w:rPr>
            </w:pPr>
            <w:r>
              <w:rPr>
                <w:rFonts w:eastAsia="Times New Roman"/>
                <w:sz w:val="24"/>
                <w:szCs w:val="24"/>
              </w:rPr>
              <w:t>(cc)</w:t>
            </w:r>
          </w:p>
        </w:tc>
        <w:tc>
          <w:tcPr>
            <w:tcW w:w="1720" w:type="dxa"/>
            <w:vAlign w:val="bottom"/>
          </w:tcPr>
          <w:p w14:paraId="2819E97B" w14:textId="507C8293" w:rsidR="00CA60B5" w:rsidRDefault="00CA60B5">
            <w:pPr>
              <w:rPr>
                <w:sz w:val="24"/>
                <w:szCs w:val="24"/>
              </w:rPr>
            </w:pPr>
            <w:r>
              <w:rPr>
                <w:rFonts w:eastAsia="Times New Roman"/>
                <w:sz w:val="24"/>
                <w:szCs w:val="24"/>
              </w:rPr>
              <w:t>77-47-4</w:t>
            </w:r>
          </w:p>
        </w:tc>
        <w:tc>
          <w:tcPr>
            <w:tcW w:w="3140" w:type="dxa"/>
            <w:vAlign w:val="bottom"/>
          </w:tcPr>
          <w:p w14:paraId="2819E97C" w14:textId="77777777" w:rsidR="00CA60B5" w:rsidRDefault="00CA60B5">
            <w:pPr>
              <w:rPr>
                <w:sz w:val="20"/>
                <w:szCs w:val="20"/>
              </w:rPr>
            </w:pPr>
            <w:r>
              <w:rPr>
                <w:rFonts w:eastAsia="Times New Roman"/>
                <w:sz w:val="24"/>
                <w:szCs w:val="24"/>
              </w:rPr>
              <w:t>Hexachlorocyclopentadiene</w:t>
            </w:r>
          </w:p>
        </w:tc>
        <w:tc>
          <w:tcPr>
            <w:tcW w:w="1640" w:type="dxa"/>
            <w:vAlign w:val="center"/>
          </w:tcPr>
          <w:p w14:paraId="2819E97D" w14:textId="77777777" w:rsidR="00CA60B5" w:rsidRDefault="00CA60B5" w:rsidP="0063797E">
            <w:pPr>
              <w:ind w:left="432"/>
              <w:rPr>
                <w:sz w:val="20"/>
                <w:szCs w:val="20"/>
              </w:rPr>
            </w:pPr>
            <w:r>
              <w:rPr>
                <w:rFonts w:eastAsia="Times New Roman"/>
                <w:sz w:val="24"/>
                <w:szCs w:val="24"/>
              </w:rPr>
              <w:t>0.05</w:t>
            </w:r>
          </w:p>
        </w:tc>
      </w:tr>
      <w:tr w:rsidR="004647B9" w14:paraId="2819E983" w14:textId="77777777" w:rsidTr="0063797E">
        <w:trPr>
          <w:trHeight w:val="278"/>
        </w:trPr>
        <w:tc>
          <w:tcPr>
            <w:tcW w:w="720" w:type="dxa"/>
            <w:vAlign w:val="bottom"/>
          </w:tcPr>
          <w:p w14:paraId="2819E97F" w14:textId="77777777" w:rsidR="004647B9" w:rsidRDefault="00E2436F">
            <w:pPr>
              <w:rPr>
                <w:sz w:val="20"/>
                <w:szCs w:val="20"/>
              </w:rPr>
            </w:pPr>
            <w:r>
              <w:rPr>
                <w:rFonts w:eastAsia="Times New Roman"/>
                <w:sz w:val="24"/>
                <w:szCs w:val="24"/>
              </w:rPr>
              <w:t>(dd)</w:t>
            </w:r>
          </w:p>
        </w:tc>
        <w:tc>
          <w:tcPr>
            <w:tcW w:w="1720" w:type="dxa"/>
            <w:vAlign w:val="bottom"/>
          </w:tcPr>
          <w:p w14:paraId="2819E980" w14:textId="77777777" w:rsidR="004647B9" w:rsidRDefault="00E2436F">
            <w:pPr>
              <w:rPr>
                <w:sz w:val="20"/>
                <w:szCs w:val="20"/>
              </w:rPr>
            </w:pPr>
            <w:r>
              <w:rPr>
                <w:rFonts w:eastAsia="Times New Roman"/>
                <w:sz w:val="24"/>
                <w:szCs w:val="24"/>
              </w:rPr>
              <w:t>23135-22-0</w:t>
            </w:r>
          </w:p>
        </w:tc>
        <w:tc>
          <w:tcPr>
            <w:tcW w:w="3140" w:type="dxa"/>
            <w:vAlign w:val="bottom"/>
          </w:tcPr>
          <w:p w14:paraId="2819E981" w14:textId="77777777" w:rsidR="004647B9" w:rsidRDefault="00E2436F">
            <w:pPr>
              <w:rPr>
                <w:sz w:val="20"/>
                <w:szCs w:val="20"/>
              </w:rPr>
            </w:pPr>
            <w:r>
              <w:rPr>
                <w:rFonts w:eastAsia="Times New Roman"/>
                <w:sz w:val="24"/>
                <w:szCs w:val="24"/>
              </w:rPr>
              <w:t>Oxamyl (Vydate)</w:t>
            </w:r>
          </w:p>
        </w:tc>
        <w:tc>
          <w:tcPr>
            <w:tcW w:w="1640" w:type="dxa"/>
            <w:vAlign w:val="center"/>
          </w:tcPr>
          <w:p w14:paraId="2819E982" w14:textId="77777777" w:rsidR="004647B9" w:rsidRDefault="00E2436F" w:rsidP="0063797E">
            <w:pPr>
              <w:ind w:left="432"/>
              <w:rPr>
                <w:sz w:val="20"/>
                <w:szCs w:val="20"/>
              </w:rPr>
            </w:pPr>
            <w:r>
              <w:rPr>
                <w:rFonts w:eastAsia="Times New Roman"/>
                <w:sz w:val="24"/>
                <w:szCs w:val="24"/>
              </w:rPr>
              <w:t>0.2</w:t>
            </w:r>
          </w:p>
        </w:tc>
      </w:tr>
      <w:tr w:rsidR="004647B9" w14:paraId="2819E988" w14:textId="77777777" w:rsidTr="0063797E">
        <w:trPr>
          <w:trHeight w:val="281"/>
        </w:trPr>
        <w:tc>
          <w:tcPr>
            <w:tcW w:w="720" w:type="dxa"/>
            <w:vAlign w:val="bottom"/>
          </w:tcPr>
          <w:p w14:paraId="2819E984" w14:textId="77777777" w:rsidR="004647B9" w:rsidRDefault="00E2436F">
            <w:pPr>
              <w:rPr>
                <w:sz w:val="20"/>
                <w:szCs w:val="20"/>
              </w:rPr>
            </w:pPr>
            <w:r>
              <w:rPr>
                <w:rFonts w:eastAsia="Times New Roman"/>
                <w:sz w:val="24"/>
                <w:szCs w:val="24"/>
              </w:rPr>
              <w:t>(ee)</w:t>
            </w:r>
          </w:p>
        </w:tc>
        <w:tc>
          <w:tcPr>
            <w:tcW w:w="1720" w:type="dxa"/>
            <w:vAlign w:val="bottom"/>
          </w:tcPr>
          <w:p w14:paraId="2819E985" w14:textId="77777777" w:rsidR="004647B9" w:rsidRDefault="00E2436F">
            <w:pPr>
              <w:rPr>
                <w:sz w:val="20"/>
                <w:szCs w:val="20"/>
              </w:rPr>
            </w:pPr>
            <w:r>
              <w:rPr>
                <w:rFonts w:eastAsia="Times New Roman"/>
                <w:sz w:val="24"/>
                <w:szCs w:val="24"/>
              </w:rPr>
              <w:t>1918-02-1</w:t>
            </w:r>
          </w:p>
        </w:tc>
        <w:tc>
          <w:tcPr>
            <w:tcW w:w="3140" w:type="dxa"/>
            <w:vAlign w:val="bottom"/>
          </w:tcPr>
          <w:p w14:paraId="2819E986" w14:textId="77777777" w:rsidR="004647B9" w:rsidRDefault="00E2436F">
            <w:pPr>
              <w:rPr>
                <w:sz w:val="20"/>
                <w:szCs w:val="20"/>
              </w:rPr>
            </w:pPr>
            <w:r>
              <w:rPr>
                <w:rFonts w:eastAsia="Times New Roman"/>
                <w:sz w:val="24"/>
                <w:szCs w:val="24"/>
              </w:rPr>
              <w:t>Picloram</w:t>
            </w:r>
          </w:p>
        </w:tc>
        <w:tc>
          <w:tcPr>
            <w:tcW w:w="1640" w:type="dxa"/>
            <w:vAlign w:val="center"/>
          </w:tcPr>
          <w:p w14:paraId="2819E987" w14:textId="77777777" w:rsidR="004647B9" w:rsidRDefault="00E2436F" w:rsidP="0063797E">
            <w:pPr>
              <w:ind w:left="432"/>
              <w:rPr>
                <w:sz w:val="20"/>
                <w:szCs w:val="20"/>
              </w:rPr>
            </w:pPr>
            <w:r>
              <w:rPr>
                <w:rFonts w:eastAsia="Times New Roman"/>
                <w:sz w:val="24"/>
                <w:szCs w:val="24"/>
              </w:rPr>
              <w:t>0.5</w:t>
            </w:r>
          </w:p>
        </w:tc>
      </w:tr>
      <w:tr w:rsidR="004647B9" w14:paraId="2819E98D" w14:textId="77777777" w:rsidTr="0063797E">
        <w:trPr>
          <w:trHeight w:val="278"/>
        </w:trPr>
        <w:tc>
          <w:tcPr>
            <w:tcW w:w="720" w:type="dxa"/>
            <w:vAlign w:val="bottom"/>
          </w:tcPr>
          <w:p w14:paraId="2819E989" w14:textId="77777777" w:rsidR="004647B9" w:rsidRDefault="00E2436F">
            <w:pPr>
              <w:rPr>
                <w:sz w:val="20"/>
                <w:szCs w:val="20"/>
              </w:rPr>
            </w:pPr>
            <w:r>
              <w:rPr>
                <w:rFonts w:eastAsia="Times New Roman"/>
                <w:sz w:val="24"/>
                <w:szCs w:val="24"/>
              </w:rPr>
              <w:t>(ff)</w:t>
            </w:r>
          </w:p>
        </w:tc>
        <w:tc>
          <w:tcPr>
            <w:tcW w:w="1720" w:type="dxa"/>
            <w:vAlign w:val="bottom"/>
          </w:tcPr>
          <w:p w14:paraId="2819E98A" w14:textId="77777777" w:rsidR="004647B9" w:rsidRDefault="00E2436F">
            <w:pPr>
              <w:rPr>
                <w:sz w:val="20"/>
                <w:szCs w:val="20"/>
              </w:rPr>
            </w:pPr>
            <w:r>
              <w:rPr>
                <w:rFonts w:eastAsia="Times New Roman"/>
                <w:sz w:val="24"/>
                <w:szCs w:val="24"/>
              </w:rPr>
              <w:t>122-34-9</w:t>
            </w:r>
          </w:p>
        </w:tc>
        <w:tc>
          <w:tcPr>
            <w:tcW w:w="3140" w:type="dxa"/>
            <w:vAlign w:val="bottom"/>
          </w:tcPr>
          <w:p w14:paraId="2819E98B" w14:textId="77777777" w:rsidR="004647B9" w:rsidRDefault="00E2436F">
            <w:pPr>
              <w:rPr>
                <w:sz w:val="20"/>
                <w:szCs w:val="20"/>
              </w:rPr>
            </w:pPr>
            <w:r>
              <w:rPr>
                <w:rFonts w:eastAsia="Times New Roman"/>
                <w:sz w:val="24"/>
                <w:szCs w:val="24"/>
              </w:rPr>
              <w:t>Simazine</w:t>
            </w:r>
          </w:p>
        </w:tc>
        <w:tc>
          <w:tcPr>
            <w:tcW w:w="1640" w:type="dxa"/>
            <w:vAlign w:val="center"/>
          </w:tcPr>
          <w:p w14:paraId="2819E98C" w14:textId="77777777" w:rsidR="004647B9" w:rsidRDefault="00E2436F" w:rsidP="0063797E">
            <w:pPr>
              <w:ind w:left="432"/>
              <w:rPr>
                <w:sz w:val="20"/>
                <w:szCs w:val="20"/>
              </w:rPr>
            </w:pPr>
            <w:r>
              <w:rPr>
                <w:rFonts w:eastAsia="Times New Roman"/>
                <w:sz w:val="24"/>
                <w:szCs w:val="24"/>
              </w:rPr>
              <w:t>0.004</w:t>
            </w:r>
          </w:p>
        </w:tc>
      </w:tr>
      <w:tr w:rsidR="00CA60B5" w14:paraId="2819E993" w14:textId="77777777" w:rsidTr="0063797E">
        <w:trPr>
          <w:trHeight w:val="312"/>
        </w:trPr>
        <w:tc>
          <w:tcPr>
            <w:tcW w:w="720" w:type="dxa"/>
            <w:vAlign w:val="bottom"/>
          </w:tcPr>
          <w:p w14:paraId="2819E98E" w14:textId="77777777" w:rsidR="00CA60B5" w:rsidRDefault="00CA60B5">
            <w:pPr>
              <w:rPr>
                <w:sz w:val="20"/>
                <w:szCs w:val="20"/>
              </w:rPr>
            </w:pPr>
            <w:r>
              <w:rPr>
                <w:rFonts w:eastAsia="Times New Roman"/>
                <w:sz w:val="24"/>
                <w:szCs w:val="24"/>
              </w:rPr>
              <w:t>(gg)</w:t>
            </w:r>
          </w:p>
        </w:tc>
        <w:tc>
          <w:tcPr>
            <w:tcW w:w="1720" w:type="dxa"/>
            <w:vAlign w:val="bottom"/>
          </w:tcPr>
          <w:p w14:paraId="2819E98F" w14:textId="77777777" w:rsidR="00CA60B5" w:rsidRDefault="00CA60B5">
            <w:pPr>
              <w:rPr>
                <w:sz w:val="20"/>
                <w:szCs w:val="20"/>
              </w:rPr>
            </w:pPr>
            <w:r>
              <w:rPr>
                <w:rFonts w:eastAsia="Times New Roman"/>
                <w:sz w:val="24"/>
                <w:szCs w:val="24"/>
              </w:rPr>
              <w:t>1746-01-6</w:t>
            </w:r>
          </w:p>
        </w:tc>
        <w:tc>
          <w:tcPr>
            <w:tcW w:w="3140" w:type="dxa"/>
            <w:vAlign w:val="bottom"/>
          </w:tcPr>
          <w:p w14:paraId="2819E990" w14:textId="77777777" w:rsidR="00CA60B5" w:rsidRDefault="00CA60B5">
            <w:pPr>
              <w:rPr>
                <w:sz w:val="20"/>
                <w:szCs w:val="20"/>
              </w:rPr>
            </w:pPr>
            <w:r>
              <w:rPr>
                <w:rFonts w:eastAsia="Times New Roman"/>
                <w:sz w:val="24"/>
                <w:szCs w:val="24"/>
              </w:rPr>
              <w:t>2,3,7,8-TCDD(Dioxin)</w:t>
            </w:r>
          </w:p>
        </w:tc>
        <w:tc>
          <w:tcPr>
            <w:tcW w:w="1640" w:type="dxa"/>
            <w:vAlign w:val="center"/>
          </w:tcPr>
          <w:p w14:paraId="2819E992" w14:textId="77777777" w:rsidR="00CA60B5" w:rsidRDefault="00CA60B5" w:rsidP="0063797E">
            <w:pPr>
              <w:ind w:left="432"/>
              <w:rPr>
                <w:sz w:val="20"/>
                <w:szCs w:val="20"/>
              </w:rPr>
            </w:pPr>
            <w:r>
              <w:rPr>
                <w:rFonts w:eastAsia="Times New Roman"/>
                <w:sz w:val="24"/>
                <w:szCs w:val="24"/>
              </w:rPr>
              <w:t>3x10</w:t>
            </w:r>
            <w:r>
              <w:rPr>
                <w:rFonts w:eastAsia="Times New Roman"/>
                <w:sz w:val="27"/>
                <w:szCs w:val="27"/>
                <w:vertAlign w:val="superscript"/>
              </w:rPr>
              <w:t>-8</w:t>
            </w:r>
          </w:p>
        </w:tc>
      </w:tr>
    </w:tbl>
    <w:p w14:paraId="2819E994" w14:textId="77777777" w:rsidR="004647B9" w:rsidRDefault="004647B9" w:rsidP="00D42AEF">
      <w:pPr>
        <w:rPr>
          <w:sz w:val="20"/>
          <w:szCs w:val="20"/>
        </w:rPr>
      </w:pPr>
    </w:p>
    <w:p w14:paraId="2819E995" w14:textId="77777777" w:rsidR="004647B9" w:rsidRDefault="00E2436F" w:rsidP="00D42AEF">
      <w:pPr>
        <w:numPr>
          <w:ilvl w:val="0"/>
          <w:numId w:val="242"/>
        </w:numPr>
        <w:tabs>
          <w:tab w:val="left" w:pos="1603"/>
        </w:tabs>
        <w:ind w:left="1200"/>
        <w:jc w:val="both"/>
        <w:rPr>
          <w:rFonts w:eastAsia="Times New Roman"/>
          <w:sz w:val="24"/>
          <w:szCs w:val="24"/>
        </w:rPr>
      </w:pPr>
      <w:r>
        <w:rPr>
          <w:rFonts w:eastAsia="Times New Roman"/>
          <w:sz w:val="24"/>
          <w:szCs w:val="24"/>
          <w:u w:val="single"/>
        </w:rPr>
        <w:t>SOC Sampling Requirements</w:t>
      </w:r>
      <w:r>
        <w:rPr>
          <w:rFonts w:eastAsia="Times New Roman"/>
          <w:sz w:val="24"/>
          <w:szCs w:val="24"/>
        </w:rPr>
        <w:t>. Beginning with the initial compliance period, analysis of the contaminants listed in 310 CMR 22.07A(1)(a) through (gg) for the purposes of determining compliance with the maximum contaminant level shall be conducted as follows:</w:t>
      </w:r>
    </w:p>
    <w:p w14:paraId="2819E997" w14:textId="77777777" w:rsidR="004647B9" w:rsidRDefault="00E2436F" w:rsidP="00D42AEF">
      <w:pPr>
        <w:numPr>
          <w:ilvl w:val="1"/>
          <w:numId w:val="242"/>
        </w:numPr>
        <w:tabs>
          <w:tab w:val="left" w:pos="1961"/>
        </w:tabs>
        <w:ind w:left="1560" w:hanging="5"/>
        <w:jc w:val="both"/>
        <w:rPr>
          <w:rFonts w:eastAsia="Times New Roman"/>
          <w:sz w:val="24"/>
          <w:szCs w:val="24"/>
        </w:rPr>
      </w:pPr>
      <w:r>
        <w:rPr>
          <w:rFonts w:eastAsia="Times New Roman"/>
          <w:sz w:val="24"/>
          <w:szCs w:val="24"/>
          <w:u w:val="single"/>
        </w:rPr>
        <w:t>SOC Ground Water Monitoring Protocols</w:t>
      </w:r>
      <w:r>
        <w:rPr>
          <w:rFonts w:eastAsia="Times New Roman"/>
          <w:sz w:val="24"/>
          <w:szCs w:val="24"/>
        </w:rPr>
        <w:t>. Groundwater systems shall take a minimum of one sample at every entry point to the distribution system which is representative of each well after treatment (sampling point). Each sample must be taken at the same sampling point unless conditions make another sampling point more representative of each source or treatment plant.</w:t>
      </w:r>
    </w:p>
    <w:p w14:paraId="2819E999" w14:textId="77777777" w:rsidR="004647B9" w:rsidRDefault="00E2436F" w:rsidP="00D42AEF">
      <w:pPr>
        <w:numPr>
          <w:ilvl w:val="1"/>
          <w:numId w:val="242"/>
        </w:numPr>
        <w:tabs>
          <w:tab w:val="left" w:pos="1984"/>
        </w:tabs>
        <w:ind w:left="1560" w:hanging="5"/>
        <w:jc w:val="both"/>
        <w:rPr>
          <w:rFonts w:eastAsia="Times New Roman"/>
          <w:sz w:val="24"/>
          <w:szCs w:val="24"/>
        </w:rPr>
      </w:pPr>
      <w:r>
        <w:rPr>
          <w:rFonts w:eastAsia="Times New Roman"/>
          <w:sz w:val="24"/>
          <w:szCs w:val="24"/>
          <w:u w:val="single"/>
        </w:rPr>
        <w:t>SOC Surface Water Monitoring Protocols</w:t>
      </w:r>
      <w:r>
        <w:rPr>
          <w:rFonts w:eastAsia="Times New Roman"/>
          <w:sz w:val="24"/>
          <w:szCs w:val="24"/>
        </w:rPr>
        <w:t>. Surface water systems [</w:t>
      </w:r>
      <w:r>
        <w:rPr>
          <w:rFonts w:eastAsia="Times New Roman"/>
          <w:sz w:val="24"/>
          <w:szCs w:val="24"/>
          <w:u w:val="single"/>
        </w:rPr>
        <w:t>Note</w:t>
      </w:r>
      <w:r>
        <w:rPr>
          <w:rFonts w:eastAsia="Times New Roman"/>
          <w:sz w:val="24"/>
          <w:szCs w:val="24"/>
        </w:rPr>
        <w:t>: For purposes of 310 CMR 22.07A(2)(b), surface water systems include systems with a combination of surface and ground sources.) shall take a minimum of one sample at points in the distribution system that are representative of each source or at each entry point to the distribution system after treatment (sampling point). Each sample must be taken at the same sampling point unless conditions make another sampling point more representative of each source or treatment plant.</w:t>
      </w:r>
    </w:p>
    <w:p w14:paraId="2819E99A" w14:textId="77777777" w:rsidR="004647B9" w:rsidRDefault="00E2436F" w:rsidP="00D42AEF">
      <w:pPr>
        <w:numPr>
          <w:ilvl w:val="1"/>
          <w:numId w:val="242"/>
        </w:numPr>
        <w:tabs>
          <w:tab w:val="left" w:pos="1963"/>
        </w:tabs>
        <w:ind w:left="1560" w:hanging="5"/>
        <w:jc w:val="both"/>
        <w:rPr>
          <w:rFonts w:eastAsia="Times New Roman"/>
          <w:sz w:val="24"/>
          <w:szCs w:val="24"/>
        </w:rPr>
      </w:pPr>
      <w:r>
        <w:rPr>
          <w:rFonts w:eastAsia="Times New Roman"/>
          <w:sz w:val="24"/>
          <w:szCs w:val="24"/>
          <w:u w:val="single"/>
        </w:rPr>
        <w:t>Multiple Sources</w:t>
      </w:r>
      <w:r>
        <w:rPr>
          <w:rFonts w:eastAsia="Times New Roman"/>
          <w:sz w:val="24"/>
          <w:szCs w:val="24"/>
        </w:rPr>
        <w:t>. If the system draws water from more than one source and the sources are combined before distribution, the system must sample at an entry point to the distribution system during periods of normal operating conditions (</w:t>
      </w:r>
      <w:r>
        <w:rPr>
          <w:rFonts w:eastAsia="Times New Roman"/>
          <w:i/>
          <w:iCs/>
          <w:sz w:val="24"/>
          <w:szCs w:val="24"/>
        </w:rPr>
        <w:t>i.e</w:t>
      </w:r>
      <w:r>
        <w:rPr>
          <w:rFonts w:eastAsia="Times New Roman"/>
          <w:sz w:val="24"/>
          <w:szCs w:val="24"/>
        </w:rPr>
        <w:t>., when water representative of all sources is being used).</w:t>
      </w:r>
    </w:p>
    <w:p w14:paraId="2819E99B" w14:textId="77777777" w:rsidR="004647B9" w:rsidRDefault="004647B9">
      <w:pPr>
        <w:sectPr w:rsidR="004647B9" w:rsidSect="00EF630C">
          <w:pgSz w:w="12240" w:h="20180"/>
          <w:pgMar w:top="708" w:right="1440" w:bottom="1440" w:left="600" w:header="0" w:footer="0" w:gutter="0"/>
          <w:cols w:space="720" w:equalWidth="0">
            <w:col w:w="10200"/>
          </w:cols>
        </w:sectPr>
      </w:pPr>
    </w:p>
    <w:p w14:paraId="2819E99C" w14:textId="77777777" w:rsidR="004647B9" w:rsidRDefault="00E2436F">
      <w:pPr>
        <w:tabs>
          <w:tab w:val="left" w:pos="160"/>
        </w:tabs>
        <w:jc w:val="center"/>
        <w:rPr>
          <w:sz w:val="20"/>
          <w:szCs w:val="20"/>
        </w:rPr>
      </w:pPr>
      <w:bookmarkStart w:id="96" w:name="page98"/>
      <w:bookmarkEnd w:id="9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99D" w14:textId="77777777" w:rsidR="004647B9" w:rsidRDefault="004647B9" w:rsidP="00D42AEF">
      <w:pPr>
        <w:rPr>
          <w:sz w:val="20"/>
          <w:szCs w:val="20"/>
        </w:rPr>
      </w:pPr>
    </w:p>
    <w:p w14:paraId="2819E99E" w14:textId="77777777" w:rsidR="004647B9" w:rsidRDefault="004647B9" w:rsidP="00D42AEF">
      <w:pPr>
        <w:rPr>
          <w:sz w:val="20"/>
          <w:szCs w:val="20"/>
        </w:rPr>
      </w:pPr>
    </w:p>
    <w:p w14:paraId="2819E99F" w14:textId="77777777" w:rsidR="004647B9" w:rsidRDefault="00E2436F">
      <w:pPr>
        <w:tabs>
          <w:tab w:val="left" w:pos="940"/>
        </w:tabs>
        <w:rPr>
          <w:sz w:val="20"/>
          <w:szCs w:val="20"/>
        </w:rPr>
      </w:pPr>
      <w:r>
        <w:rPr>
          <w:rFonts w:eastAsia="Times New Roman"/>
          <w:sz w:val="24"/>
          <w:szCs w:val="24"/>
        </w:rPr>
        <w:t>22.07A:</w:t>
      </w:r>
      <w:r>
        <w:rPr>
          <w:sz w:val="20"/>
          <w:szCs w:val="20"/>
        </w:rPr>
        <w:tab/>
      </w:r>
      <w:r>
        <w:rPr>
          <w:rFonts w:eastAsia="Times New Roman"/>
          <w:sz w:val="23"/>
          <w:szCs w:val="23"/>
        </w:rPr>
        <w:t>continued</w:t>
      </w:r>
    </w:p>
    <w:p w14:paraId="2819E9A0" w14:textId="77777777" w:rsidR="004647B9" w:rsidRDefault="004647B9" w:rsidP="00D42AEF">
      <w:pPr>
        <w:rPr>
          <w:sz w:val="20"/>
          <w:szCs w:val="20"/>
        </w:rPr>
      </w:pPr>
    </w:p>
    <w:p w14:paraId="2819E9A1" w14:textId="77777777" w:rsidR="004647B9" w:rsidRDefault="00E2436F" w:rsidP="00D42AEF">
      <w:pPr>
        <w:numPr>
          <w:ilvl w:val="1"/>
          <w:numId w:val="243"/>
        </w:numPr>
        <w:tabs>
          <w:tab w:val="left" w:pos="1998"/>
        </w:tabs>
        <w:ind w:left="1560" w:hanging="5"/>
        <w:jc w:val="both"/>
        <w:rPr>
          <w:rFonts w:eastAsia="Times New Roman"/>
          <w:sz w:val="24"/>
          <w:szCs w:val="24"/>
        </w:rPr>
      </w:pPr>
      <w:r>
        <w:rPr>
          <w:rFonts w:eastAsia="Times New Roman"/>
          <w:sz w:val="24"/>
          <w:szCs w:val="24"/>
          <w:u w:val="single"/>
        </w:rPr>
        <w:t>Consecutive System Monitoring</w:t>
      </w:r>
      <w:r>
        <w:rPr>
          <w:rFonts w:eastAsia="Times New Roman"/>
          <w:sz w:val="24"/>
          <w:szCs w:val="24"/>
        </w:rPr>
        <w:t>. Public water systems that obtain water from another public water system are exempt from conducting compliance monitoring for the purchased portion of the system for the organic chemicals (SOC) under 310 CMR 22.07A, provided that the system from which the water is obtained has conducted the analyses required under 310 CMR 22.07A, unless otherwise specified by the Department.</w:t>
      </w:r>
    </w:p>
    <w:p w14:paraId="2819E9A2" w14:textId="77777777" w:rsidR="004647B9" w:rsidRDefault="004647B9" w:rsidP="00D42AEF">
      <w:pPr>
        <w:rPr>
          <w:rFonts w:eastAsia="Times New Roman"/>
          <w:sz w:val="24"/>
          <w:szCs w:val="24"/>
        </w:rPr>
      </w:pPr>
    </w:p>
    <w:p w14:paraId="2819E9A3" w14:textId="77777777" w:rsidR="004647B9" w:rsidRDefault="00E2436F" w:rsidP="00D42AEF">
      <w:pPr>
        <w:numPr>
          <w:ilvl w:val="0"/>
          <w:numId w:val="244"/>
        </w:numPr>
        <w:tabs>
          <w:tab w:val="left" w:pos="1660"/>
        </w:tabs>
        <w:ind w:left="1660" w:hanging="460"/>
        <w:rPr>
          <w:rFonts w:eastAsia="Times New Roman"/>
          <w:sz w:val="24"/>
          <w:szCs w:val="24"/>
        </w:rPr>
      </w:pPr>
      <w:r>
        <w:rPr>
          <w:rFonts w:eastAsia="Times New Roman"/>
          <w:sz w:val="24"/>
          <w:szCs w:val="24"/>
          <w:u w:val="single"/>
        </w:rPr>
        <w:t>SOC Monitoring Frequency</w:t>
      </w:r>
      <w:r>
        <w:rPr>
          <w:rFonts w:eastAsia="Times New Roman"/>
          <w:sz w:val="24"/>
          <w:szCs w:val="24"/>
        </w:rPr>
        <w:t>.</w:t>
      </w:r>
    </w:p>
    <w:p w14:paraId="2819E9A5" w14:textId="77777777" w:rsidR="004647B9" w:rsidRDefault="00E2436F" w:rsidP="00D42AEF">
      <w:pPr>
        <w:numPr>
          <w:ilvl w:val="1"/>
          <w:numId w:val="244"/>
        </w:numPr>
        <w:tabs>
          <w:tab w:val="left" w:pos="2134"/>
        </w:tabs>
        <w:ind w:left="1560" w:hanging="5"/>
        <w:jc w:val="both"/>
        <w:rPr>
          <w:rFonts w:eastAsia="Times New Roman"/>
          <w:sz w:val="24"/>
          <w:szCs w:val="24"/>
        </w:rPr>
      </w:pPr>
      <w:r>
        <w:rPr>
          <w:rFonts w:eastAsia="Times New Roman"/>
          <w:sz w:val="24"/>
          <w:szCs w:val="24"/>
        </w:rPr>
        <w:t>Each community and non-transient non-community water system shall take four consecutive quarterly samples for each contaminant listed in 310 CMR 22.07A(1) during each compliance period beginning with the compliance period starting January 1, 1993.</w:t>
      </w:r>
    </w:p>
    <w:p w14:paraId="2819E9A7" w14:textId="77777777" w:rsidR="004647B9" w:rsidRDefault="00E2436F" w:rsidP="00D42AEF">
      <w:pPr>
        <w:numPr>
          <w:ilvl w:val="1"/>
          <w:numId w:val="244"/>
        </w:numPr>
        <w:tabs>
          <w:tab w:val="left" w:pos="2063"/>
        </w:tabs>
        <w:ind w:left="1560" w:hanging="5"/>
        <w:jc w:val="both"/>
        <w:rPr>
          <w:rFonts w:eastAsia="Times New Roman"/>
          <w:sz w:val="24"/>
          <w:szCs w:val="24"/>
        </w:rPr>
      </w:pPr>
      <w:r>
        <w:rPr>
          <w:rFonts w:eastAsia="Times New Roman"/>
          <w:sz w:val="24"/>
          <w:szCs w:val="24"/>
        </w:rPr>
        <w:t>Systems serving more than 3,300 persons which do not detect a contaminant in the initial compliance period, may reduce the sampling frequency to a minimum of two quarterly samples in one year during each repeat compliance period.</w:t>
      </w:r>
    </w:p>
    <w:p w14:paraId="2819E9A9" w14:textId="77777777" w:rsidR="004647B9" w:rsidRDefault="00E2436F" w:rsidP="00D42AEF">
      <w:pPr>
        <w:numPr>
          <w:ilvl w:val="1"/>
          <w:numId w:val="244"/>
        </w:numPr>
        <w:tabs>
          <w:tab w:val="left" w:pos="1990"/>
        </w:tabs>
        <w:ind w:left="1560" w:hanging="5"/>
        <w:jc w:val="both"/>
        <w:rPr>
          <w:rFonts w:eastAsia="Times New Roman"/>
          <w:sz w:val="24"/>
          <w:szCs w:val="24"/>
        </w:rPr>
      </w:pPr>
      <w:r>
        <w:rPr>
          <w:rFonts w:eastAsia="Times New Roman"/>
          <w:sz w:val="24"/>
          <w:szCs w:val="24"/>
        </w:rPr>
        <w:t>Systems serving less than or equal to 3,300 persons which do not detect a contaminant in the initial compliance period may reduce the sampling frequency to a minimum of one sample during each repeat compliance period.</w:t>
      </w:r>
    </w:p>
    <w:p w14:paraId="2819E9AA" w14:textId="77777777" w:rsidR="004647B9" w:rsidRDefault="004647B9" w:rsidP="00D42AEF">
      <w:pPr>
        <w:rPr>
          <w:rFonts w:eastAsia="Times New Roman"/>
          <w:sz w:val="24"/>
          <w:szCs w:val="24"/>
        </w:rPr>
      </w:pPr>
    </w:p>
    <w:p w14:paraId="2819E9AB" w14:textId="77777777" w:rsidR="004647B9" w:rsidRDefault="00E2436F" w:rsidP="00D42AEF">
      <w:pPr>
        <w:numPr>
          <w:ilvl w:val="0"/>
          <w:numId w:val="244"/>
        </w:numPr>
        <w:tabs>
          <w:tab w:val="left" w:pos="1609"/>
        </w:tabs>
        <w:ind w:left="1200"/>
        <w:jc w:val="both"/>
        <w:rPr>
          <w:rFonts w:eastAsia="Times New Roman"/>
          <w:sz w:val="24"/>
          <w:szCs w:val="24"/>
        </w:rPr>
      </w:pPr>
      <w:r>
        <w:rPr>
          <w:rFonts w:eastAsia="Times New Roman"/>
          <w:sz w:val="24"/>
          <w:szCs w:val="24"/>
          <w:u w:val="single"/>
        </w:rPr>
        <w:t>SOC Sampling Waivers</w:t>
      </w:r>
      <w:r>
        <w:rPr>
          <w:rFonts w:eastAsia="Times New Roman"/>
          <w:sz w:val="24"/>
          <w:szCs w:val="24"/>
        </w:rPr>
        <w:t>. Each community and non-transient water system may apply to the Department for a waiver from the requirement of 310 CMR 22.07A(3). A system must reapply for a waiver for each compliance period.</w:t>
      </w:r>
    </w:p>
    <w:p w14:paraId="2819E9AD" w14:textId="77777777" w:rsidR="004647B9" w:rsidRDefault="00E2436F" w:rsidP="00D42AEF">
      <w:pPr>
        <w:ind w:left="1200" w:firstLine="355"/>
        <w:jc w:val="both"/>
        <w:rPr>
          <w:rFonts w:eastAsia="Times New Roman"/>
          <w:sz w:val="24"/>
          <w:szCs w:val="24"/>
        </w:rPr>
      </w:pPr>
      <w:r>
        <w:rPr>
          <w:rFonts w:eastAsia="Times New Roman"/>
          <w:sz w:val="24"/>
          <w:szCs w:val="24"/>
          <w:u w:val="single"/>
        </w:rPr>
        <w:t>Basis of an SOC Sampling Waiver</w:t>
      </w:r>
      <w:r>
        <w:rPr>
          <w:rFonts w:eastAsia="Times New Roman"/>
          <w:sz w:val="24"/>
          <w:szCs w:val="24"/>
        </w:rPr>
        <w:t>. The Department may grant a waiver after evaluating the following factor(s): Knowledge of previous use (including transport, storage, or disposal) of the contaminant within the watershed or zone of influence of the system. If a determination by the Department reveals no previous use of the contaminant within the watershed or Zone II or IWPA, a waiver may be granted. If previous use of the contaminant is unknown or it has been used previously, then the following factors shall be used to determine whether a waiver is granted.</w:t>
      </w:r>
    </w:p>
    <w:p w14:paraId="2819E9AF" w14:textId="77777777" w:rsidR="004647B9" w:rsidRDefault="00E2436F" w:rsidP="00D42AEF">
      <w:pPr>
        <w:numPr>
          <w:ilvl w:val="1"/>
          <w:numId w:val="244"/>
        </w:numPr>
        <w:tabs>
          <w:tab w:val="left" w:pos="2000"/>
        </w:tabs>
        <w:ind w:left="2000" w:hanging="445"/>
        <w:rPr>
          <w:rFonts w:eastAsia="Times New Roman"/>
          <w:sz w:val="24"/>
          <w:szCs w:val="24"/>
        </w:rPr>
      </w:pPr>
      <w:r>
        <w:rPr>
          <w:rFonts w:eastAsia="Times New Roman"/>
          <w:sz w:val="24"/>
          <w:szCs w:val="24"/>
        </w:rPr>
        <w:t>Previous analytical results.</w:t>
      </w:r>
    </w:p>
    <w:p w14:paraId="2819E9B1" w14:textId="77777777" w:rsidR="004647B9" w:rsidRDefault="00E2436F" w:rsidP="00D42AEF">
      <w:pPr>
        <w:numPr>
          <w:ilvl w:val="1"/>
          <w:numId w:val="244"/>
        </w:numPr>
        <w:tabs>
          <w:tab w:val="left" w:pos="2005"/>
        </w:tabs>
        <w:ind w:left="1560" w:hanging="5"/>
        <w:jc w:val="both"/>
        <w:rPr>
          <w:rFonts w:eastAsia="Times New Roman"/>
          <w:sz w:val="24"/>
          <w:szCs w:val="24"/>
        </w:rPr>
      </w:pPr>
      <w:r>
        <w:rPr>
          <w:rFonts w:eastAsia="Times New Roman"/>
          <w:sz w:val="24"/>
          <w:szCs w:val="24"/>
        </w:rPr>
        <w:t>The proximity of the system to a potential point or non-point source of contamination. Point sources include spills and leaks of chemicals at or near a water treatment facility or at manufacturing, distribution, or storage facilities, or from hazardous and municipal waste landfills and other waste handling or treatment facilities. Non-point sources include the use of pesticides to control insect and weed pests on agricultural areas, forest lands, home and gardens, and other land application uses.</w:t>
      </w:r>
    </w:p>
    <w:p w14:paraId="2819E9B3" w14:textId="77777777" w:rsidR="004647B9" w:rsidRDefault="00E2436F" w:rsidP="00D42AEF">
      <w:pPr>
        <w:numPr>
          <w:ilvl w:val="1"/>
          <w:numId w:val="244"/>
        </w:numPr>
        <w:tabs>
          <w:tab w:val="left" w:pos="2000"/>
        </w:tabs>
        <w:ind w:left="2000" w:hanging="445"/>
        <w:rPr>
          <w:rFonts w:eastAsia="Times New Roman"/>
          <w:sz w:val="24"/>
          <w:szCs w:val="24"/>
        </w:rPr>
      </w:pPr>
      <w:r>
        <w:rPr>
          <w:rFonts w:eastAsia="Times New Roman"/>
          <w:sz w:val="24"/>
          <w:szCs w:val="24"/>
        </w:rPr>
        <w:t>The environmental persistence and transport of the pesticide or PCBs.</w:t>
      </w:r>
    </w:p>
    <w:p w14:paraId="2819E9B5" w14:textId="77777777" w:rsidR="004647B9" w:rsidRDefault="00E2436F" w:rsidP="00D42AEF">
      <w:pPr>
        <w:numPr>
          <w:ilvl w:val="1"/>
          <w:numId w:val="244"/>
        </w:numPr>
        <w:tabs>
          <w:tab w:val="left" w:pos="2049"/>
        </w:tabs>
        <w:ind w:left="1560" w:hanging="5"/>
        <w:jc w:val="both"/>
        <w:rPr>
          <w:rFonts w:eastAsia="Times New Roman"/>
          <w:sz w:val="24"/>
          <w:szCs w:val="24"/>
        </w:rPr>
      </w:pPr>
      <w:r>
        <w:rPr>
          <w:rFonts w:eastAsia="Times New Roman"/>
          <w:sz w:val="24"/>
          <w:szCs w:val="24"/>
        </w:rPr>
        <w:t>How well the water source is protected against contamination due to such factors as depth of the well and the type of soil and the integrity of the well casing and other protective measures considered relevant by the Department.</w:t>
      </w:r>
    </w:p>
    <w:p w14:paraId="2819E9B7" w14:textId="77777777" w:rsidR="004647B9" w:rsidRDefault="00E2436F" w:rsidP="00D42AEF">
      <w:pPr>
        <w:numPr>
          <w:ilvl w:val="1"/>
          <w:numId w:val="244"/>
        </w:numPr>
        <w:tabs>
          <w:tab w:val="left" w:pos="2000"/>
        </w:tabs>
        <w:ind w:left="2000" w:hanging="445"/>
        <w:rPr>
          <w:rFonts w:eastAsia="Times New Roman"/>
          <w:sz w:val="24"/>
          <w:szCs w:val="24"/>
        </w:rPr>
      </w:pPr>
      <w:r>
        <w:rPr>
          <w:rFonts w:eastAsia="Times New Roman"/>
          <w:sz w:val="24"/>
          <w:szCs w:val="24"/>
        </w:rPr>
        <w:t>Elevated nitrate levels at the water supply source.</w:t>
      </w:r>
    </w:p>
    <w:p w14:paraId="2819E9B9" w14:textId="77777777" w:rsidR="004647B9" w:rsidRDefault="00E2436F" w:rsidP="00D42AEF">
      <w:pPr>
        <w:numPr>
          <w:ilvl w:val="1"/>
          <w:numId w:val="244"/>
        </w:numPr>
        <w:tabs>
          <w:tab w:val="left" w:pos="1944"/>
        </w:tabs>
        <w:ind w:left="1560" w:hanging="5"/>
        <w:rPr>
          <w:rFonts w:eastAsia="Times New Roman"/>
          <w:sz w:val="24"/>
          <w:szCs w:val="24"/>
        </w:rPr>
      </w:pPr>
      <w:r>
        <w:rPr>
          <w:rFonts w:eastAsia="Times New Roman"/>
          <w:sz w:val="24"/>
          <w:szCs w:val="24"/>
        </w:rPr>
        <w:t xml:space="preserve">Use of PCBs in equipment used in the production, storage, or distribution of water (i.e., PCBs used in pumps, transformers, </w:t>
      </w:r>
      <w:r>
        <w:rPr>
          <w:rFonts w:eastAsia="Times New Roman"/>
          <w:i/>
          <w:iCs/>
          <w:sz w:val="24"/>
          <w:szCs w:val="24"/>
        </w:rPr>
        <w:t>etc</w:t>
      </w:r>
      <w:r>
        <w:rPr>
          <w:rFonts w:eastAsia="Times New Roman"/>
          <w:sz w:val="24"/>
          <w:szCs w:val="24"/>
        </w:rPr>
        <w:t>.).</w:t>
      </w:r>
    </w:p>
    <w:p w14:paraId="2819E9BA" w14:textId="77777777" w:rsidR="004647B9" w:rsidRDefault="004647B9" w:rsidP="00D42AEF">
      <w:pPr>
        <w:rPr>
          <w:rFonts w:eastAsia="Times New Roman"/>
          <w:sz w:val="24"/>
          <w:szCs w:val="24"/>
        </w:rPr>
      </w:pPr>
    </w:p>
    <w:p w14:paraId="2819E9BB" w14:textId="77777777" w:rsidR="004647B9" w:rsidRDefault="00E2436F" w:rsidP="00D42AEF">
      <w:pPr>
        <w:numPr>
          <w:ilvl w:val="0"/>
          <w:numId w:val="244"/>
        </w:numPr>
        <w:tabs>
          <w:tab w:val="left" w:pos="1645"/>
        </w:tabs>
        <w:ind w:left="1200"/>
        <w:rPr>
          <w:rFonts w:eastAsia="Times New Roman"/>
          <w:sz w:val="24"/>
          <w:szCs w:val="24"/>
        </w:rPr>
      </w:pPr>
      <w:r>
        <w:rPr>
          <w:rFonts w:eastAsia="Times New Roman"/>
          <w:sz w:val="24"/>
          <w:szCs w:val="24"/>
          <w:u w:val="single"/>
        </w:rPr>
        <w:t>Detection of an SOC</w:t>
      </w:r>
      <w:r>
        <w:rPr>
          <w:rFonts w:eastAsia="Times New Roman"/>
          <w:sz w:val="24"/>
          <w:szCs w:val="24"/>
        </w:rPr>
        <w:t>. If an organic contaminant listed in 310 CMR 22.07A(1) is detected (as defined by 310 CMR 22.07A(16) in any sample, then:</w:t>
      </w:r>
    </w:p>
    <w:p w14:paraId="2819E9BD" w14:textId="77777777" w:rsidR="004647B9" w:rsidRDefault="00E2436F" w:rsidP="00D42AEF">
      <w:pPr>
        <w:numPr>
          <w:ilvl w:val="1"/>
          <w:numId w:val="244"/>
        </w:numPr>
        <w:tabs>
          <w:tab w:val="left" w:pos="2112"/>
        </w:tabs>
        <w:ind w:left="1560" w:hanging="5"/>
        <w:rPr>
          <w:rFonts w:eastAsia="Times New Roman"/>
          <w:sz w:val="24"/>
          <w:szCs w:val="24"/>
        </w:rPr>
      </w:pPr>
      <w:r>
        <w:rPr>
          <w:rFonts w:eastAsia="Times New Roman"/>
          <w:sz w:val="24"/>
          <w:szCs w:val="24"/>
        </w:rPr>
        <w:t>Each system shall report to the Department within seven days and shall monitor quarterly at each sampling point which resulted in a detection.</w:t>
      </w:r>
    </w:p>
    <w:p w14:paraId="2819E9BE" w14:textId="77777777" w:rsidR="004647B9" w:rsidRDefault="00E2436F" w:rsidP="00D42AEF">
      <w:pPr>
        <w:numPr>
          <w:ilvl w:val="1"/>
          <w:numId w:val="244"/>
        </w:numPr>
        <w:tabs>
          <w:tab w:val="left" w:pos="2143"/>
        </w:tabs>
        <w:ind w:left="1560" w:hanging="5"/>
        <w:jc w:val="both"/>
        <w:rPr>
          <w:rFonts w:eastAsia="Times New Roman"/>
          <w:sz w:val="24"/>
          <w:szCs w:val="24"/>
        </w:rPr>
      </w:pPr>
      <w:r>
        <w:rPr>
          <w:rFonts w:eastAsia="Times New Roman"/>
          <w:sz w:val="24"/>
          <w:szCs w:val="24"/>
        </w:rPr>
        <w:t>The Department may decrease the quarterly monitoring requirement specified in 310 CMR 22.07A(5)(a) provided it has determined that the system is reliably and consistently below the maximum contaminant level. In no case shall the Department make this determination unless a groundwater system takes a minimum of two quarterly samples and a surface water system takes a minimum of four quarterly samples.</w:t>
      </w:r>
    </w:p>
    <w:p w14:paraId="2819E9BF" w14:textId="77777777" w:rsidR="004647B9" w:rsidRDefault="004647B9">
      <w:pPr>
        <w:sectPr w:rsidR="004647B9" w:rsidSect="00EF630C">
          <w:pgSz w:w="12240" w:h="20180"/>
          <w:pgMar w:top="708" w:right="1440" w:bottom="1440" w:left="600" w:header="0" w:footer="0" w:gutter="0"/>
          <w:cols w:space="720" w:equalWidth="0">
            <w:col w:w="10200"/>
          </w:cols>
        </w:sectPr>
      </w:pPr>
    </w:p>
    <w:p w14:paraId="2819E9C0" w14:textId="77777777" w:rsidR="004647B9" w:rsidRDefault="00E2436F">
      <w:pPr>
        <w:tabs>
          <w:tab w:val="left" w:pos="160"/>
        </w:tabs>
        <w:jc w:val="center"/>
        <w:rPr>
          <w:sz w:val="20"/>
          <w:szCs w:val="20"/>
        </w:rPr>
      </w:pPr>
      <w:bookmarkStart w:id="97" w:name="page99"/>
      <w:bookmarkEnd w:id="9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9C1" w14:textId="77777777" w:rsidR="004647B9" w:rsidRDefault="004647B9" w:rsidP="00D42AEF">
      <w:pPr>
        <w:rPr>
          <w:sz w:val="20"/>
          <w:szCs w:val="20"/>
        </w:rPr>
      </w:pPr>
    </w:p>
    <w:p w14:paraId="2819E9C2" w14:textId="77777777" w:rsidR="004647B9" w:rsidRDefault="004647B9" w:rsidP="00D42AEF">
      <w:pPr>
        <w:rPr>
          <w:sz w:val="20"/>
          <w:szCs w:val="20"/>
        </w:rPr>
      </w:pPr>
    </w:p>
    <w:p w14:paraId="2819E9C3" w14:textId="77777777" w:rsidR="004647B9" w:rsidRDefault="00E2436F">
      <w:pPr>
        <w:tabs>
          <w:tab w:val="left" w:pos="940"/>
        </w:tabs>
        <w:rPr>
          <w:sz w:val="20"/>
          <w:szCs w:val="20"/>
        </w:rPr>
      </w:pPr>
      <w:r>
        <w:rPr>
          <w:rFonts w:eastAsia="Times New Roman"/>
          <w:sz w:val="24"/>
          <w:szCs w:val="24"/>
        </w:rPr>
        <w:t>22.07A:</w:t>
      </w:r>
      <w:r>
        <w:rPr>
          <w:sz w:val="20"/>
          <w:szCs w:val="20"/>
        </w:rPr>
        <w:tab/>
      </w:r>
      <w:r>
        <w:rPr>
          <w:rFonts w:eastAsia="Times New Roman"/>
          <w:sz w:val="23"/>
          <w:szCs w:val="23"/>
        </w:rPr>
        <w:t>continued</w:t>
      </w:r>
    </w:p>
    <w:p w14:paraId="2819E9C4" w14:textId="77777777" w:rsidR="004647B9" w:rsidRDefault="004647B9" w:rsidP="00D42AEF">
      <w:pPr>
        <w:rPr>
          <w:sz w:val="20"/>
          <w:szCs w:val="20"/>
        </w:rPr>
      </w:pPr>
    </w:p>
    <w:p w14:paraId="2819E9C5" w14:textId="77777777" w:rsidR="004647B9" w:rsidRDefault="00E2436F" w:rsidP="00D42AEF">
      <w:pPr>
        <w:numPr>
          <w:ilvl w:val="1"/>
          <w:numId w:val="245"/>
        </w:numPr>
        <w:tabs>
          <w:tab w:val="left" w:pos="2076"/>
        </w:tabs>
        <w:ind w:left="1555"/>
        <w:jc w:val="both"/>
        <w:rPr>
          <w:rFonts w:eastAsia="Times New Roman"/>
          <w:sz w:val="24"/>
          <w:szCs w:val="24"/>
        </w:rPr>
      </w:pPr>
      <w:r>
        <w:rPr>
          <w:rFonts w:eastAsia="Times New Roman"/>
          <w:sz w:val="24"/>
          <w:szCs w:val="24"/>
        </w:rPr>
        <w:t>After the Department determines the system is reliably and consistently below the maximum contaminant level the Department may allow the system to monitor annually. Systems which monitor annually must monitor during the quarter that previously yielded the highest analytical result.</w:t>
      </w:r>
    </w:p>
    <w:p w14:paraId="2819E9C6" w14:textId="77777777" w:rsidR="004647B9" w:rsidRDefault="00E2436F" w:rsidP="00D42AEF">
      <w:pPr>
        <w:numPr>
          <w:ilvl w:val="1"/>
          <w:numId w:val="245"/>
        </w:numPr>
        <w:tabs>
          <w:tab w:val="left" w:pos="2193"/>
        </w:tabs>
        <w:ind w:left="1555"/>
        <w:jc w:val="both"/>
        <w:rPr>
          <w:rFonts w:eastAsia="Times New Roman"/>
          <w:sz w:val="23"/>
          <w:szCs w:val="23"/>
        </w:rPr>
      </w:pPr>
      <w:r>
        <w:rPr>
          <w:rFonts w:eastAsia="Times New Roman"/>
          <w:sz w:val="23"/>
          <w:szCs w:val="23"/>
        </w:rPr>
        <w:t>Systems which have three consecutive annual samples with no detection of a contaminant may apply to the Department for a waiver as specified in 310 CMR 22.07A(4).</w:t>
      </w:r>
    </w:p>
    <w:p w14:paraId="2819E9C8" w14:textId="77777777" w:rsidR="004647B9" w:rsidRDefault="00E2436F" w:rsidP="00D42AEF">
      <w:pPr>
        <w:numPr>
          <w:ilvl w:val="1"/>
          <w:numId w:val="245"/>
        </w:numPr>
        <w:tabs>
          <w:tab w:val="left" w:pos="2114"/>
        </w:tabs>
        <w:ind w:left="1555"/>
        <w:jc w:val="both"/>
        <w:rPr>
          <w:rFonts w:eastAsia="Times New Roman"/>
          <w:sz w:val="24"/>
          <w:szCs w:val="24"/>
        </w:rPr>
      </w:pPr>
      <w:r>
        <w:rPr>
          <w:rFonts w:eastAsia="Times New Roman"/>
          <w:sz w:val="24"/>
          <w:szCs w:val="24"/>
        </w:rPr>
        <w:t>If monitoring results in detection of one or more of certain related contaminants (heptachlor, heptachlor epoxide), then subsequent monitoring shall analyze for all related contaminants.</w:t>
      </w:r>
    </w:p>
    <w:p w14:paraId="2819E9C9" w14:textId="77777777" w:rsidR="004647B9" w:rsidRDefault="004647B9" w:rsidP="00D42AEF">
      <w:pPr>
        <w:rPr>
          <w:rFonts w:eastAsia="Times New Roman"/>
          <w:sz w:val="24"/>
          <w:szCs w:val="24"/>
        </w:rPr>
      </w:pPr>
    </w:p>
    <w:p w14:paraId="2819E9CA" w14:textId="77777777" w:rsidR="004647B9" w:rsidRDefault="00E2436F" w:rsidP="00D42AEF">
      <w:pPr>
        <w:numPr>
          <w:ilvl w:val="0"/>
          <w:numId w:val="246"/>
        </w:numPr>
        <w:tabs>
          <w:tab w:val="left" w:pos="1725"/>
        </w:tabs>
        <w:ind w:left="1200"/>
        <w:jc w:val="both"/>
        <w:rPr>
          <w:rFonts w:eastAsia="Times New Roman"/>
          <w:sz w:val="24"/>
          <w:szCs w:val="24"/>
        </w:rPr>
      </w:pPr>
      <w:r>
        <w:rPr>
          <w:rFonts w:eastAsia="Times New Roman"/>
          <w:sz w:val="24"/>
          <w:szCs w:val="24"/>
          <w:u w:val="single"/>
        </w:rPr>
        <w:t>MCL Violation and Reliably/consistently below the MCL</w:t>
      </w:r>
      <w:r>
        <w:rPr>
          <w:rFonts w:eastAsia="Times New Roman"/>
          <w:sz w:val="24"/>
          <w:szCs w:val="24"/>
        </w:rPr>
        <w:t>. Systems which violate the requirements of 310 CMR 22.07A(1) as determined by 310 CMR 22.07A(9) must monitor quarterly. After a minimum of four quarterly samples show the system is in compliance and the Department determines the system is reliably and consistently below the MCL, as specified in 310 CMR 22.07A(9), the system shall monitor at the frequency specified in 310 CMR 22.07A(5)(c).</w:t>
      </w:r>
    </w:p>
    <w:p w14:paraId="2819E9CB" w14:textId="77777777" w:rsidR="004647B9" w:rsidRDefault="004647B9" w:rsidP="00D42AEF">
      <w:pPr>
        <w:rPr>
          <w:rFonts w:eastAsia="Times New Roman"/>
          <w:sz w:val="24"/>
          <w:szCs w:val="24"/>
        </w:rPr>
      </w:pPr>
    </w:p>
    <w:p w14:paraId="2819E9CC" w14:textId="77777777" w:rsidR="004647B9" w:rsidRDefault="00E2436F" w:rsidP="00D42AEF">
      <w:pPr>
        <w:numPr>
          <w:ilvl w:val="0"/>
          <w:numId w:val="246"/>
        </w:numPr>
        <w:tabs>
          <w:tab w:val="left" w:pos="1721"/>
        </w:tabs>
        <w:ind w:left="1200"/>
        <w:jc w:val="both"/>
        <w:rPr>
          <w:rFonts w:eastAsia="Times New Roman"/>
          <w:sz w:val="24"/>
          <w:szCs w:val="24"/>
        </w:rPr>
      </w:pPr>
      <w:r>
        <w:rPr>
          <w:rFonts w:eastAsia="Times New Roman"/>
          <w:sz w:val="24"/>
          <w:szCs w:val="24"/>
          <w:u w:val="single"/>
        </w:rPr>
        <w:t>SOC Confirmation Sampling</w:t>
      </w:r>
      <w:r>
        <w:rPr>
          <w:rFonts w:eastAsia="Times New Roman"/>
          <w:sz w:val="24"/>
          <w:szCs w:val="24"/>
        </w:rPr>
        <w:t>. The Department may require a confirmation sample for positive or negative results. If a confirmation sample is required by the Department, the result must be averaged with the first sampling result and the average used for the compliance determination as specified by 310 CMR 22.07A(9). The Department has discretion to delete results of obvious sampling errors from this calculation.</w:t>
      </w:r>
    </w:p>
    <w:p w14:paraId="2819E9CD" w14:textId="77777777" w:rsidR="004647B9" w:rsidRDefault="004647B9" w:rsidP="00D42AEF">
      <w:pPr>
        <w:rPr>
          <w:rFonts w:eastAsia="Times New Roman"/>
          <w:sz w:val="24"/>
          <w:szCs w:val="24"/>
        </w:rPr>
      </w:pPr>
    </w:p>
    <w:p w14:paraId="2819E9CE" w14:textId="77777777" w:rsidR="004647B9" w:rsidRDefault="00E2436F" w:rsidP="00D42AEF">
      <w:pPr>
        <w:numPr>
          <w:ilvl w:val="0"/>
          <w:numId w:val="246"/>
        </w:numPr>
        <w:tabs>
          <w:tab w:val="left" w:pos="1653"/>
        </w:tabs>
        <w:ind w:left="1200"/>
        <w:jc w:val="both"/>
        <w:rPr>
          <w:rFonts w:eastAsia="Times New Roman"/>
          <w:sz w:val="24"/>
          <w:szCs w:val="24"/>
        </w:rPr>
      </w:pPr>
      <w:r>
        <w:rPr>
          <w:rFonts w:eastAsia="Times New Roman"/>
          <w:sz w:val="24"/>
          <w:szCs w:val="24"/>
          <w:u w:val="single"/>
        </w:rPr>
        <w:t>Composite SOC Sampling</w:t>
      </w:r>
      <w:r>
        <w:rPr>
          <w:rFonts w:eastAsia="Times New Roman"/>
          <w:sz w:val="24"/>
          <w:szCs w:val="24"/>
        </w:rPr>
        <w:t xml:space="preserve">. The total number of samples which must be analyzed may be reduced by compositing samples. Composite samples from a maximum of five sampling points are allowed provided that the detection limit of the method used for analysis is less than one-fifth of the MCL and none of the samples to be composited are representative of multiple sources. Compositing of samples must be approved by the Department and must be done in the laboratory and analyzed within the holding times specified by EPA-814B-92-002, Change 2 - September 1992 </w:t>
      </w:r>
      <w:r>
        <w:rPr>
          <w:rFonts w:eastAsia="Times New Roman"/>
          <w:i/>
          <w:iCs/>
          <w:sz w:val="24"/>
          <w:szCs w:val="24"/>
        </w:rPr>
        <w:t>Manual for the Certification of Laboratories Analyzing Drinking Water</w:t>
      </w:r>
      <w:r>
        <w:rPr>
          <w:rFonts w:eastAsia="Times New Roman"/>
          <w:sz w:val="24"/>
          <w:szCs w:val="24"/>
        </w:rPr>
        <w:t>, third edition. Compositing of sources with previous detections greater than the detection limit is not allowed, unless otherwise authorized by the Department.</w:t>
      </w:r>
    </w:p>
    <w:p w14:paraId="2819E9D0" w14:textId="382D7E89" w:rsidR="004647B9" w:rsidRDefault="00E2436F" w:rsidP="00D42AEF">
      <w:pPr>
        <w:numPr>
          <w:ilvl w:val="1"/>
          <w:numId w:val="246"/>
        </w:numPr>
        <w:tabs>
          <w:tab w:val="left" w:pos="1963"/>
        </w:tabs>
        <w:ind w:left="1560" w:hanging="5"/>
        <w:jc w:val="both"/>
        <w:rPr>
          <w:rFonts w:eastAsia="Times New Roman"/>
          <w:sz w:val="24"/>
          <w:szCs w:val="24"/>
        </w:rPr>
      </w:pPr>
      <w:r>
        <w:rPr>
          <w:rFonts w:eastAsia="Times New Roman"/>
          <w:sz w:val="24"/>
          <w:szCs w:val="24"/>
        </w:rPr>
        <w:t>If the concentration in the composite sample exceeds the detection limit for one or more contaminants listed in 310 CMR 22.07A(1), then a follow-up sample must be taken and analyzed from each sampling point included in the comp</w:t>
      </w:r>
      <w:r w:rsidR="00BD0EBB">
        <w:rPr>
          <w:rFonts w:eastAsia="Times New Roman"/>
          <w:sz w:val="24"/>
          <w:szCs w:val="24"/>
        </w:rPr>
        <w:t>osite</w:t>
      </w:r>
      <w:r>
        <w:rPr>
          <w:rFonts w:eastAsia="Times New Roman"/>
          <w:sz w:val="24"/>
          <w:szCs w:val="24"/>
        </w:rPr>
        <w:t xml:space="preserve"> within 14 days after completion of the composite analysis or before the holding time of the initial sample is exceeded, whichever is sooner.</w:t>
      </w:r>
    </w:p>
    <w:p w14:paraId="2819E9D2" w14:textId="77777777" w:rsidR="004647B9" w:rsidRDefault="00E2436F" w:rsidP="00D42AEF">
      <w:pPr>
        <w:numPr>
          <w:ilvl w:val="1"/>
          <w:numId w:val="246"/>
        </w:numPr>
        <w:tabs>
          <w:tab w:val="left" w:pos="2142"/>
        </w:tabs>
        <w:ind w:left="1560" w:hanging="5"/>
        <w:jc w:val="both"/>
        <w:rPr>
          <w:rFonts w:eastAsia="Times New Roman"/>
          <w:sz w:val="24"/>
          <w:szCs w:val="24"/>
        </w:rPr>
      </w:pPr>
      <w:r>
        <w:rPr>
          <w:rFonts w:eastAsia="Times New Roman"/>
          <w:sz w:val="24"/>
          <w:szCs w:val="24"/>
        </w:rPr>
        <w:t>If duplicates of the original sample taken from each sampling point used in the composite are available, the system may use these duplicates instead of resampling. The duplicate must be analyzed and the results reported to the Department within 14 days of collection.</w:t>
      </w:r>
    </w:p>
    <w:p w14:paraId="2819E9D3" w14:textId="77777777" w:rsidR="004647B9" w:rsidRDefault="00E2436F" w:rsidP="00D42AEF">
      <w:pPr>
        <w:numPr>
          <w:ilvl w:val="1"/>
          <w:numId w:val="246"/>
        </w:numPr>
        <w:tabs>
          <w:tab w:val="left" w:pos="1968"/>
        </w:tabs>
        <w:ind w:left="1560" w:hanging="5"/>
        <w:jc w:val="both"/>
        <w:rPr>
          <w:rFonts w:eastAsia="Times New Roman"/>
          <w:sz w:val="24"/>
          <w:szCs w:val="24"/>
        </w:rPr>
      </w:pPr>
      <w:r>
        <w:rPr>
          <w:rFonts w:eastAsia="Times New Roman"/>
          <w:sz w:val="24"/>
          <w:szCs w:val="24"/>
        </w:rPr>
        <w:t xml:space="preserve">If the population served by the system is &gt;3,300 persons, then compositing may only be permitted by the Department at sampling points within a single system. In systems serving </w:t>
      </w:r>
      <w:r>
        <w:rPr>
          <w:rFonts w:eastAsia="Times New Roman"/>
          <w:sz w:val="24"/>
          <w:szCs w:val="24"/>
          <w:u w:val="single"/>
        </w:rPr>
        <w:t>&lt;</w:t>
      </w:r>
      <w:r>
        <w:rPr>
          <w:rFonts w:eastAsia="Times New Roman"/>
          <w:sz w:val="24"/>
          <w:szCs w:val="24"/>
        </w:rPr>
        <w:t>3,300 persons, the Department may permit compositing among different systems provided the 5-sample limit is maintained.</w:t>
      </w:r>
    </w:p>
    <w:p w14:paraId="2819E9D4" w14:textId="77777777" w:rsidR="004647B9" w:rsidRDefault="004647B9" w:rsidP="00D42AEF">
      <w:pPr>
        <w:rPr>
          <w:rFonts w:eastAsia="Times New Roman"/>
          <w:sz w:val="24"/>
          <w:szCs w:val="24"/>
        </w:rPr>
      </w:pPr>
    </w:p>
    <w:p w14:paraId="2819E9D5" w14:textId="77777777" w:rsidR="004647B9" w:rsidRDefault="00E2436F" w:rsidP="00D42AEF">
      <w:pPr>
        <w:numPr>
          <w:ilvl w:val="0"/>
          <w:numId w:val="246"/>
        </w:numPr>
        <w:tabs>
          <w:tab w:val="left" w:pos="1609"/>
        </w:tabs>
        <w:ind w:left="1200"/>
        <w:jc w:val="both"/>
        <w:rPr>
          <w:rFonts w:eastAsia="Times New Roman"/>
          <w:sz w:val="24"/>
          <w:szCs w:val="24"/>
        </w:rPr>
      </w:pPr>
      <w:r>
        <w:rPr>
          <w:rFonts w:eastAsia="Times New Roman"/>
          <w:sz w:val="24"/>
          <w:szCs w:val="24"/>
          <w:u w:val="single"/>
        </w:rPr>
        <w:t>SOC Compliance Calculations</w:t>
      </w:r>
      <w:r>
        <w:rPr>
          <w:rFonts w:eastAsia="Times New Roman"/>
          <w:sz w:val="24"/>
          <w:szCs w:val="24"/>
        </w:rPr>
        <w:t>. Compliance with 310 CMR 22.07A(1) shall be determined based on the analytical results obtained at each sampling point. If one sampling point is in violation of an MCL, the system is in violation of the MCL.</w:t>
      </w:r>
    </w:p>
    <w:p w14:paraId="2819E9D7" w14:textId="77777777" w:rsidR="004647B9" w:rsidRDefault="00E2436F" w:rsidP="00D42AEF">
      <w:pPr>
        <w:numPr>
          <w:ilvl w:val="1"/>
          <w:numId w:val="246"/>
        </w:numPr>
        <w:tabs>
          <w:tab w:val="left" w:pos="1948"/>
        </w:tabs>
        <w:ind w:left="1560" w:hanging="5"/>
        <w:rPr>
          <w:rFonts w:eastAsia="Times New Roman"/>
          <w:sz w:val="24"/>
          <w:szCs w:val="24"/>
        </w:rPr>
      </w:pPr>
      <w:r>
        <w:rPr>
          <w:rFonts w:eastAsia="Times New Roman"/>
          <w:sz w:val="24"/>
          <w:szCs w:val="24"/>
          <w:u w:val="single"/>
        </w:rPr>
        <w:t>Greater than Annual</w:t>
      </w:r>
      <w:r>
        <w:rPr>
          <w:rFonts w:eastAsia="Times New Roman"/>
          <w:sz w:val="24"/>
          <w:szCs w:val="24"/>
        </w:rPr>
        <w:t>. For systems monitoring more than once per year, compliance with the MCL is determined by a running annual average at each sampling point.</w:t>
      </w:r>
    </w:p>
    <w:p w14:paraId="2819E9D8" w14:textId="77777777" w:rsidR="004647B9" w:rsidRDefault="00E2436F" w:rsidP="00D42AEF">
      <w:pPr>
        <w:numPr>
          <w:ilvl w:val="1"/>
          <w:numId w:val="246"/>
        </w:numPr>
        <w:tabs>
          <w:tab w:val="left" w:pos="2020"/>
        </w:tabs>
        <w:ind w:left="1560" w:hanging="5"/>
        <w:jc w:val="both"/>
        <w:rPr>
          <w:rFonts w:eastAsia="Times New Roman"/>
          <w:sz w:val="24"/>
          <w:szCs w:val="24"/>
        </w:rPr>
      </w:pPr>
      <w:r>
        <w:rPr>
          <w:rFonts w:eastAsia="Times New Roman"/>
          <w:sz w:val="24"/>
          <w:szCs w:val="24"/>
          <w:u w:val="single"/>
        </w:rPr>
        <w:t>Annual or Less</w:t>
      </w:r>
      <w:r>
        <w:rPr>
          <w:rFonts w:eastAsia="Times New Roman"/>
          <w:sz w:val="24"/>
          <w:szCs w:val="24"/>
        </w:rPr>
        <w:t>. Each supplier of water monitoring annually or less frequently whose sample result exceeds the regulatory detection level as defined by 310 CMR 22.07A(16) must begin quarterly sampling. The system will not be considered in violation of the MCL until it has completed one year of quarterly sampling.</w:t>
      </w:r>
    </w:p>
    <w:p w14:paraId="2819E9D9" w14:textId="77777777" w:rsidR="004647B9" w:rsidRDefault="004647B9">
      <w:pPr>
        <w:sectPr w:rsidR="004647B9" w:rsidSect="00EF630C">
          <w:pgSz w:w="12240" w:h="20180"/>
          <w:pgMar w:top="708" w:right="1440" w:bottom="1440" w:left="600" w:header="0" w:footer="0" w:gutter="0"/>
          <w:cols w:space="720" w:equalWidth="0">
            <w:col w:w="10200"/>
          </w:cols>
        </w:sectPr>
      </w:pPr>
    </w:p>
    <w:p w14:paraId="2819E9DA" w14:textId="77777777" w:rsidR="004647B9" w:rsidRDefault="00E2436F">
      <w:pPr>
        <w:tabs>
          <w:tab w:val="left" w:pos="160"/>
        </w:tabs>
        <w:jc w:val="center"/>
        <w:rPr>
          <w:sz w:val="20"/>
          <w:szCs w:val="20"/>
        </w:rPr>
      </w:pPr>
      <w:bookmarkStart w:id="98" w:name="page100"/>
      <w:bookmarkEnd w:id="9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9DB" w14:textId="77777777" w:rsidR="004647B9" w:rsidRDefault="004647B9" w:rsidP="00D42AEF">
      <w:pPr>
        <w:rPr>
          <w:sz w:val="20"/>
          <w:szCs w:val="20"/>
        </w:rPr>
      </w:pPr>
    </w:p>
    <w:p w14:paraId="2819E9DC" w14:textId="77777777" w:rsidR="004647B9" w:rsidRDefault="004647B9" w:rsidP="00D42AEF">
      <w:pPr>
        <w:rPr>
          <w:sz w:val="20"/>
          <w:szCs w:val="20"/>
        </w:rPr>
      </w:pPr>
    </w:p>
    <w:p w14:paraId="2819E9DD" w14:textId="77777777" w:rsidR="004647B9" w:rsidRDefault="00E2436F" w:rsidP="00D42AEF">
      <w:pPr>
        <w:tabs>
          <w:tab w:val="left" w:pos="940"/>
        </w:tabs>
        <w:rPr>
          <w:sz w:val="20"/>
          <w:szCs w:val="20"/>
        </w:rPr>
      </w:pPr>
      <w:r>
        <w:rPr>
          <w:rFonts w:eastAsia="Times New Roman"/>
          <w:sz w:val="24"/>
          <w:szCs w:val="24"/>
        </w:rPr>
        <w:t>22.07A:</w:t>
      </w:r>
      <w:r>
        <w:rPr>
          <w:sz w:val="20"/>
          <w:szCs w:val="20"/>
        </w:rPr>
        <w:tab/>
      </w:r>
      <w:r>
        <w:rPr>
          <w:rFonts w:eastAsia="Times New Roman"/>
          <w:sz w:val="23"/>
          <w:szCs w:val="23"/>
        </w:rPr>
        <w:t>continued</w:t>
      </w:r>
    </w:p>
    <w:p w14:paraId="2819E9DE" w14:textId="77777777" w:rsidR="004647B9" w:rsidRDefault="004647B9" w:rsidP="00D42AEF">
      <w:pPr>
        <w:rPr>
          <w:sz w:val="20"/>
          <w:szCs w:val="20"/>
        </w:rPr>
      </w:pPr>
    </w:p>
    <w:p w14:paraId="2819E9DF" w14:textId="77777777" w:rsidR="004647B9" w:rsidRPr="001F1ECC" w:rsidRDefault="00E2436F" w:rsidP="00D42AEF">
      <w:pPr>
        <w:numPr>
          <w:ilvl w:val="1"/>
          <w:numId w:val="247"/>
        </w:numPr>
        <w:tabs>
          <w:tab w:val="left" w:pos="2018"/>
        </w:tabs>
        <w:ind w:left="1560" w:hanging="5"/>
        <w:rPr>
          <w:rFonts w:eastAsia="Times New Roman"/>
          <w:sz w:val="24"/>
          <w:szCs w:val="24"/>
        </w:rPr>
      </w:pPr>
      <w:r w:rsidRPr="001F1ECC">
        <w:rPr>
          <w:rFonts w:eastAsia="Times New Roman"/>
          <w:sz w:val="24"/>
          <w:szCs w:val="24"/>
        </w:rPr>
        <w:t>If any sample result will cause the running annual average to exceed the MCL at any sampling point, the system is out of compliance with the MCL immediately.</w:t>
      </w:r>
    </w:p>
    <w:p w14:paraId="2819E9E1" w14:textId="77777777" w:rsidR="004647B9" w:rsidRPr="001F1ECC" w:rsidRDefault="00E2436F" w:rsidP="00D42AEF">
      <w:pPr>
        <w:numPr>
          <w:ilvl w:val="1"/>
          <w:numId w:val="247"/>
        </w:numPr>
        <w:tabs>
          <w:tab w:val="left" w:pos="2020"/>
        </w:tabs>
        <w:ind w:left="1560" w:hanging="5"/>
        <w:rPr>
          <w:rFonts w:eastAsia="Times New Roman"/>
          <w:sz w:val="24"/>
          <w:szCs w:val="24"/>
        </w:rPr>
      </w:pPr>
      <w:r w:rsidRPr="001F1ECC">
        <w:rPr>
          <w:rFonts w:eastAsia="Times New Roman"/>
          <w:sz w:val="24"/>
          <w:szCs w:val="24"/>
        </w:rPr>
        <w:t>If a supplier of water fails to collect the required number of samples, compliance will be based on the total number of samples collected.</w:t>
      </w:r>
    </w:p>
    <w:p w14:paraId="2819E9E2" w14:textId="77777777" w:rsidR="004647B9" w:rsidRPr="001F1ECC" w:rsidRDefault="00E2436F" w:rsidP="00D42AEF">
      <w:pPr>
        <w:numPr>
          <w:ilvl w:val="1"/>
          <w:numId w:val="247"/>
        </w:numPr>
        <w:tabs>
          <w:tab w:val="left" w:pos="1954"/>
        </w:tabs>
        <w:ind w:left="1560" w:hanging="5"/>
        <w:rPr>
          <w:rFonts w:eastAsia="Times New Roman"/>
          <w:sz w:val="24"/>
          <w:szCs w:val="24"/>
        </w:rPr>
      </w:pPr>
      <w:r w:rsidRPr="001F1ECC">
        <w:rPr>
          <w:rFonts w:eastAsia="Times New Roman"/>
          <w:sz w:val="24"/>
          <w:szCs w:val="24"/>
        </w:rPr>
        <w:t>If a sample result is less than the detection limit, zero will be used to calculate the annual average.</w:t>
      </w:r>
    </w:p>
    <w:p w14:paraId="2819E9E5" w14:textId="1CDFE71B" w:rsidR="004647B9" w:rsidRPr="001F1ECC" w:rsidRDefault="00E2436F" w:rsidP="00D42AEF">
      <w:pPr>
        <w:numPr>
          <w:ilvl w:val="1"/>
          <w:numId w:val="247"/>
        </w:numPr>
        <w:tabs>
          <w:tab w:val="left" w:pos="1960"/>
        </w:tabs>
        <w:ind w:left="1560"/>
        <w:rPr>
          <w:rFonts w:eastAsia="Times New Roman"/>
          <w:sz w:val="24"/>
          <w:szCs w:val="24"/>
        </w:rPr>
      </w:pPr>
      <w:r w:rsidRPr="001F1ECC">
        <w:rPr>
          <w:rFonts w:eastAsia="Times New Roman"/>
          <w:sz w:val="24"/>
          <w:szCs w:val="24"/>
          <w:u w:val="single"/>
        </w:rPr>
        <w:t>Average Exceeding SOC MCLs</w:t>
      </w:r>
      <w:r w:rsidRPr="001F1ECC">
        <w:rPr>
          <w:rFonts w:eastAsia="Times New Roman"/>
          <w:sz w:val="24"/>
          <w:szCs w:val="24"/>
        </w:rPr>
        <w:t>. When the average of four analyses made pursuant to</w:t>
      </w:r>
      <w:r w:rsidR="001F1ECC">
        <w:rPr>
          <w:rFonts w:eastAsia="Times New Roman"/>
          <w:sz w:val="24"/>
          <w:szCs w:val="24"/>
        </w:rPr>
        <w:t xml:space="preserve"> </w:t>
      </w:r>
      <w:r w:rsidRPr="001F1ECC">
        <w:rPr>
          <w:rFonts w:eastAsia="Times New Roman"/>
          <w:sz w:val="24"/>
          <w:szCs w:val="24"/>
        </w:rPr>
        <w:t>310 CMR 22.07A(5), rounded to the same number of significant figures as the maximum contaminant level for the substance in question, exceeds the maximum contaminant level, the supplier of water shall report to the Department pursuant to 310 CMR 22.15 and give public notice to the public pursuant to 310 CMR 22.16. Monitoring after public notification shall be at a frequency designated by the Department and shall continue until the maximum contaminant level has not been exceeded in two successive samples or until a monitoring schedule as condition to variance, exemption or enforcement action shall become effective.</w:t>
      </w:r>
    </w:p>
    <w:p w14:paraId="2819E9E6" w14:textId="77777777" w:rsidR="004647B9" w:rsidRPr="001F1ECC" w:rsidRDefault="004647B9" w:rsidP="00D42AEF">
      <w:pPr>
        <w:rPr>
          <w:rFonts w:eastAsia="Times New Roman"/>
          <w:sz w:val="24"/>
          <w:szCs w:val="24"/>
        </w:rPr>
      </w:pPr>
    </w:p>
    <w:p w14:paraId="2819E9EC" w14:textId="7484FB8A" w:rsidR="004647B9" w:rsidRPr="006D6352" w:rsidRDefault="00E2436F" w:rsidP="00D42AEF">
      <w:pPr>
        <w:numPr>
          <w:ilvl w:val="0"/>
          <w:numId w:val="248"/>
        </w:numPr>
        <w:tabs>
          <w:tab w:val="left" w:pos="1787"/>
        </w:tabs>
        <w:ind w:left="1200"/>
        <w:jc w:val="both"/>
        <w:rPr>
          <w:rFonts w:eastAsia="Times New Roman"/>
          <w:i/>
          <w:iCs/>
          <w:color w:val="0000FF"/>
          <w:sz w:val="24"/>
          <w:szCs w:val="24"/>
        </w:rPr>
      </w:pPr>
      <w:r w:rsidRPr="001F1ECC">
        <w:rPr>
          <w:rFonts w:eastAsia="Times New Roman"/>
          <w:sz w:val="24"/>
          <w:szCs w:val="24"/>
          <w:u w:val="single"/>
        </w:rPr>
        <w:t>SOC Analytical Methods</w:t>
      </w:r>
      <w:r w:rsidRPr="001F1ECC">
        <w:rPr>
          <w:rFonts w:eastAsia="Times New Roman"/>
          <w:sz w:val="24"/>
          <w:szCs w:val="24"/>
        </w:rPr>
        <w:t xml:space="preserve">. Analysis for the contaminants listed in 310 CMR 22.07A(1) shall be conducted using the following EPA methods or their equivalent as approved by EPA. Methods 508A and 515.1 are contained in </w:t>
      </w:r>
      <w:r w:rsidRPr="001F1ECC">
        <w:rPr>
          <w:rFonts w:eastAsia="Times New Roman"/>
          <w:i/>
          <w:iCs/>
          <w:sz w:val="24"/>
          <w:szCs w:val="24"/>
        </w:rPr>
        <w:t>Methods for the Determination of Organic</w:t>
      </w:r>
      <w:r w:rsidRPr="001F1ECC">
        <w:rPr>
          <w:rFonts w:eastAsia="Times New Roman"/>
          <w:sz w:val="24"/>
          <w:szCs w:val="24"/>
        </w:rPr>
        <w:t xml:space="preserve"> </w:t>
      </w:r>
      <w:r w:rsidRPr="001F1ECC">
        <w:rPr>
          <w:rFonts w:eastAsia="Times New Roman"/>
          <w:i/>
          <w:iCs/>
          <w:sz w:val="24"/>
          <w:szCs w:val="24"/>
        </w:rPr>
        <w:t>Compounds in Drinking Water</w:t>
      </w:r>
      <w:r w:rsidRPr="001F1ECC">
        <w:rPr>
          <w:rFonts w:eastAsia="Times New Roman"/>
          <w:sz w:val="24"/>
          <w:szCs w:val="24"/>
        </w:rPr>
        <w:t>, EPA-600/4-88-039, December 1988, Revised, July 1991,</w:t>
      </w:r>
      <w:r w:rsidRPr="001F1ECC">
        <w:rPr>
          <w:rFonts w:eastAsia="Times New Roman"/>
          <w:i/>
          <w:iCs/>
          <w:sz w:val="24"/>
          <w:szCs w:val="24"/>
        </w:rPr>
        <w:t xml:space="preserve"> </w:t>
      </w:r>
      <w:r w:rsidRPr="001F1ECC">
        <w:rPr>
          <w:rFonts w:eastAsia="Times New Roman"/>
          <w:sz w:val="24"/>
          <w:szCs w:val="24"/>
        </w:rPr>
        <w:t xml:space="preserve">Methods 547, 550 and 550.1 are in, </w:t>
      </w:r>
      <w:r w:rsidRPr="001F1ECC">
        <w:rPr>
          <w:rFonts w:eastAsia="Times New Roman"/>
          <w:i/>
          <w:iCs/>
          <w:sz w:val="24"/>
          <w:szCs w:val="24"/>
        </w:rPr>
        <w:t>Methods for the Determination of Organic Compounds in</w:t>
      </w:r>
      <w:r w:rsidRPr="001F1ECC">
        <w:rPr>
          <w:rFonts w:eastAsia="Times New Roman"/>
          <w:sz w:val="24"/>
          <w:szCs w:val="24"/>
        </w:rPr>
        <w:t xml:space="preserve"> </w:t>
      </w:r>
      <w:r w:rsidRPr="001F1ECC">
        <w:rPr>
          <w:rFonts w:eastAsia="Times New Roman"/>
          <w:i/>
          <w:iCs/>
          <w:sz w:val="24"/>
          <w:szCs w:val="24"/>
        </w:rPr>
        <w:t>Drinking Water - Supplement I</w:t>
      </w:r>
      <w:r w:rsidRPr="001F1ECC">
        <w:rPr>
          <w:rFonts w:eastAsia="Times New Roman"/>
          <w:sz w:val="24"/>
          <w:szCs w:val="24"/>
        </w:rPr>
        <w:t>, EPA/600-4-90-020, July 1990. Methods 548.1, 549.1, 552.1 and</w:t>
      </w:r>
      <w:r w:rsidRPr="001F1ECC">
        <w:rPr>
          <w:rFonts w:eastAsia="Times New Roman"/>
          <w:i/>
          <w:iCs/>
          <w:sz w:val="24"/>
          <w:szCs w:val="24"/>
        </w:rPr>
        <w:t xml:space="preserve"> </w:t>
      </w:r>
      <w:r w:rsidRPr="001F1ECC">
        <w:rPr>
          <w:rFonts w:eastAsia="Times New Roman"/>
          <w:sz w:val="24"/>
          <w:szCs w:val="24"/>
        </w:rPr>
        <w:t xml:space="preserve">555 are in, </w:t>
      </w:r>
      <w:r w:rsidRPr="001F1ECC">
        <w:rPr>
          <w:rFonts w:eastAsia="Times New Roman"/>
          <w:i/>
          <w:iCs/>
          <w:sz w:val="24"/>
          <w:szCs w:val="24"/>
        </w:rPr>
        <w:t>Methods for the Determination of Organic Compounds in Drinking Water -</w:t>
      </w:r>
      <w:r w:rsidRPr="001F1ECC">
        <w:rPr>
          <w:rFonts w:eastAsia="Times New Roman"/>
          <w:sz w:val="24"/>
          <w:szCs w:val="24"/>
        </w:rPr>
        <w:t xml:space="preserve"> </w:t>
      </w:r>
      <w:r w:rsidRPr="001F1ECC">
        <w:rPr>
          <w:rFonts w:eastAsia="Times New Roman"/>
          <w:i/>
          <w:iCs/>
          <w:sz w:val="24"/>
          <w:szCs w:val="24"/>
        </w:rPr>
        <w:t>Supplement II</w:t>
      </w:r>
      <w:r w:rsidRPr="001F1ECC">
        <w:rPr>
          <w:rFonts w:eastAsia="Times New Roman"/>
          <w:sz w:val="24"/>
          <w:szCs w:val="24"/>
        </w:rPr>
        <w:t>, EPA/600/R-92/129, August 1992. Methods 502.2, 504.1, 505, 506, 507, 508,</w:t>
      </w:r>
      <w:r w:rsidRPr="001F1ECC">
        <w:rPr>
          <w:rFonts w:eastAsia="Times New Roman"/>
          <w:i/>
          <w:iCs/>
          <w:sz w:val="24"/>
          <w:szCs w:val="24"/>
        </w:rPr>
        <w:t xml:space="preserve"> </w:t>
      </w:r>
      <w:r w:rsidRPr="001F1ECC">
        <w:rPr>
          <w:rFonts w:eastAsia="Times New Roman"/>
          <w:sz w:val="24"/>
          <w:szCs w:val="24"/>
        </w:rPr>
        <w:t xml:space="preserve">508.1, 515.2, 524.2, 525.2, 531.1, 551.1 and 552.2 are in </w:t>
      </w:r>
      <w:r w:rsidRPr="001F1ECC">
        <w:rPr>
          <w:rFonts w:eastAsia="Times New Roman"/>
          <w:i/>
          <w:iCs/>
          <w:sz w:val="24"/>
          <w:szCs w:val="24"/>
        </w:rPr>
        <w:t>Methods for the Determination of</w:t>
      </w:r>
      <w:r w:rsidRPr="001F1ECC">
        <w:rPr>
          <w:rFonts w:eastAsia="Times New Roman"/>
          <w:sz w:val="24"/>
          <w:szCs w:val="24"/>
        </w:rPr>
        <w:t xml:space="preserve"> </w:t>
      </w:r>
      <w:r w:rsidRPr="001F1ECC">
        <w:rPr>
          <w:rFonts w:eastAsia="Times New Roman"/>
          <w:i/>
          <w:iCs/>
          <w:sz w:val="24"/>
          <w:szCs w:val="24"/>
        </w:rPr>
        <w:t>Organic Compounds in Drinking Water – Supplement III</w:t>
      </w:r>
      <w:r w:rsidRPr="001F1ECC">
        <w:rPr>
          <w:rFonts w:eastAsia="Times New Roman"/>
          <w:sz w:val="24"/>
          <w:szCs w:val="24"/>
        </w:rPr>
        <w:t>, EPA/600/R-95-131, August 1995.</w:t>
      </w:r>
      <w:r w:rsidRPr="001F1ECC">
        <w:rPr>
          <w:rFonts w:eastAsia="Times New Roman"/>
          <w:i/>
          <w:iCs/>
          <w:sz w:val="24"/>
          <w:szCs w:val="24"/>
        </w:rPr>
        <w:t xml:space="preserve"> </w:t>
      </w:r>
      <w:r w:rsidRPr="001F1ECC">
        <w:rPr>
          <w:rFonts w:eastAsia="Times New Roman"/>
          <w:sz w:val="24"/>
          <w:szCs w:val="24"/>
        </w:rPr>
        <w:t xml:space="preserve">Method 1613 is titled “Tetra-through Octa-Chlorinated Dioxins and Furans by Isotope-Dilution HRGC/HRMS”, EPA/821-B-94-005, October 1994. These documents are available from the National Technical Information Service, NTIS PB91-231480, PB91-146027, PB92-27703, PB95-261616 and PB95-104774 (respectively), U.S. Department of Commerce, 5285 Port Royal Road, Springfield, VA 22161. The phone number is 800-553-6847. The phone number is 513-569-7586. Method 6610 is contained in </w:t>
      </w:r>
      <w:r w:rsidRPr="001F1ECC">
        <w:rPr>
          <w:rFonts w:eastAsia="Times New Roman"/>
          <w:i/>
          <w:iCs/>
          <w:sz w:val="24"/>
          <w:szCs w:val="24"/>
        </w:rPr>
        <w:t>Standard Methods for the Examination of Water and</w:t>
      </w:r>
      <w:r w:rsidRPr="001F1ECC">
        <w:rPr>
          <w:rFonts w:eastAsia="Times New Roman"/>
          <w:sz w:val="24"/>
          <w:szCs w:val="24"/>
        </w:rPr>
        <w:t xml:space="preserve"> </w:t>
      </w:r>
      <w:r w:rsidRPr="001F1ECC">
        <w:rPr>
          <w:rFonts w:eastAsia="Times New Roman"/>
          <w:i/>
          <w:iCs/>
          <w:sz w:val="24"/>
          <w:szCs w:val="24"/>
        </w:rPr>
        <w:t xml:space="preserve">Wastewater </w:t>
      </w:r>
      <w:r w:rsidRPr="001F1ECC">
        <w:rPr>
          <w:rFonts w:eastAsia="Times New Roman"/>
          <w:sz w:val="24"/>
          <w:szCs w:val="24"/>
        </w:rPr>
        <w:t>18</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Supplement, 1994, or with the 19</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(1995) or 20</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(1998),</w:t>
      </w:r>
      <w:r w:rsidRPr="001F1ECC">
        <w:rPr>
          <w:rFonts w:eastAsia="Times New Roman"/>
          <w:i/>
          <w:iCs/>
          <w:sz w:val="24"/>
          <w:szCs w:val="24"/>
        </w:rPr>
        <w:t xml:space="preserve"> </w:t>
      </w:r>
      <w:r w:rsidRPr="001F1ECC">
        <w:rPr>
          <w:rFonts w:eastAsia="Times New Roman"/>
          <w:sz w:val="24"/>
          <w:szCs w:val="24"/>
        </w:rPr>
        <w:t xml:space="preserve">any of these three editions may be used. Method 6651 is contained in </w:t>
      </w:r>
      <w:r w:rsidRPr="001F1ECC">
        <w:rPr>
          <w:rFonts w:eastAsia="Times New Roman"/>
          <w:i/>
          <w:iCs/>
          <w:sz w:val="24"/>
          <w:szCs w:val="24"/>
        </w:rPr>
        <w:t>Standard Methods for the</w:t>
      </w:r>
      <w:r w:rsidRPr="001F1ECC">
        <w:rPr>
          <w:rFonts w:eastAsia="Times New Roman"/>
          <w:sz w:val="24"/>
          <w:szCs w:val="24"/>
        </w:rPr>
        <w:t xml:space="preserve"> </w:t>
      </w:r>
      <w:r w:rsidRPr="001F1ECC">
        <w:rPr>
          <w:rFonts w:eastAsia="Times New Roman"/>
          <w:i/>
          <w:iCs/>
          <w:sz w:val="24"/>
          <w:szCs w:val="24"/>
        </w:rPr>
        <w:t xml:space="preserve">Examination of Water and Wastewater </w:t>
      </w:r>
      <w:r w:rsidRPr="001F1ECC">
        <w:rPr>
          <w:rFonts w:eastAsia="Times New Roman"/>
          <w:sz w:val="24"/>
          <w:szCs w:val="24"/>
        </w:rPr>
        <w:t>18</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(1992), 19</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(1995), or 20</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w:t>
      </w:r>
      <w:r w:rsidRPr="001F1ECC">
        <w:rPr>
          <w:rFonts w:eastAsia="Times New Roman"/>
          <w:i/>
          <w:iCs/>
          <w:sz w:val="24"/>
          <w:szCs w:val="24"/>
        </w:rPr>
        <w:t xml:space="preserve"> </w:t>
      </w:r>
      <w:r w:rsidRPr="001F1ECC">
        <w:rPr>
          <w:rFonts w:eastAsia="Times New Roman"/>
          <w:sz w:val="24"/>
          <w:szCs w:val="24"/>
        </w:rPr>
        <w:t xml:space="preserve">(1998); any of these three editions may be used. The APHA documents are available from American Public Health Association, 1015 Fifteenth Street NW, Wash., D.C. 20005. Other required analytical test procedures germane to the conduct of these analyses are contained in Technical Notes on Drinking Water Methods, EPA/600/R-94-173, October 1994, NTIS PB95-104766. EPA Methods 515.3 and 549.2 are available from U.S. Environmental Protection Agency, National Exposure Research Laboratory [NERL]-Cincinnati, 26 West Martin Luther King Drive, Cincinnati, OH 45268 ASTM Methods D 5317-93, 98 (Reapproved 2003) is available in the Annual Book of ASTM Standards, (1999), Vol. 11.02, ASTM International, 100 Barr Harbor Drive, West Conshohocken, PA 19428, any edition containing the cited version of the methods may be used. EPA Methods 515.4, “Determination of Chlorinated Acids in Drinking Water by Liquid-Liquid Microextraction, Derivatization and Fast Gas Chromatrography with Electron Capture Detection”, Revision 1.0, April 2000, EPA/815/B-00/001 and EPA Methods 552.3, “Determination of Haloacetic Acids and Dalapon in Drinking Water by Liquid-Liquid Microextraction, Derivatization, and Gas Chromatography with Electron Capture Detection”, Revision 1.0, July 2003, EPA 815-B-03-002, can be accessed and downloaded directly </w:t>
      </w:r>
      <w:r w:rsidR="001973CE">
        <w:rPr>
          <w:rFonts w:eastAsia="Times New Roman"/>
          <w:sz w:val="24"/>
          <w:szCs w:val="24"/>
        </w:rPr>
        <w:t>from</w:t>
      </w:r>
      <w:r w:rsidR="002A367B">
        <w:rPr>
          <w:rFonts w:eastAsia="Times New Roman"/>
          <w:sz w:val="24"/>
          <w:szCs w:val="24"/>
        </w:rPr>
        <w:t xml:space="preserve"> </w:t>
      </w:r>
      <w:r w:rsidR="00B81FCF">
        <w:rPr>
          <w:rFonts w:eastAsia="Times New Roman"/>
          <w:sz w:val="24"/>
          <w:szCs w:val="24"/>
        </w:rPr>
        <w:t>the</w:t>
      </w:r>
      <w:r w:rsidR="002A367B">
        <w:rPr>
          <w:rFonts w:eastAsia="Times New Roman"/>
          <w:sz w:val="24"/>
          <w:szCs w:val="24"/>
        </w:rPr>
        <w:t xml:space="preserve"> </w:t>
      </w:r>
      <w:r w:rsidR="003548C2">
        <w:rPr>
          <w:rFonts w:eastAsia="Times New Roman"/>
          <w:sz w:val="24"/>
          <w:szCs w:val="24"/>
        </w:rPr>
        <w:t xml:space="preserve">National </w:t>
      </w:r>
      <w:r w:rsidR="00715E5C">
        <w:rPr>
          <w:rFonts w:eastAsia="Times New Roman"/>
          <w:sz w:val="24"/>
          <w:szCs w:val="24"/>
        </w:rPr>
        <w:t>Environmental Methods Index</w:t>
      </w:r>
      <w:r w:rsidR="007D41F7">
        <w:rPr>
          <w:rFonts w:eastAsia="Times New Roman"/>
          <w:sz w:val="24"/>
          <w:szCs w:val="24"/>
        </w:rPr>
        <w:t xml:space="preserve"> (NEMI)</w:t>
      </w:r>
      <w:r w:rsidRPr="001F1ECC">
        <w:rPr>
          <w:rFonts w:eastAsia="Times New Roman"/>
          <w:sz w:val="24"/>
          <w:szCs w:val="24"/>
        </w:rPr>
        <w:t>. Syngenta Method AG-625, “Atrazine in Drinking Water by Immunoassay”, February 2001, is available from Syngenta Crop Protection, Inc., 410 Swing Road, P.O. Box 18300, Greensboro, NC 27419. Telephone: 336-632-6000. Method 531.2 “Measurement of N-methylcarbamoyloximes and N-methylcarbamoyloximes and N-methylcarbamates in Water by Direct Aqueous Injection HPLC</w:t>
      </w:r>
      <w:r w:rsidR="006D6352" w:rsidRPr="001F1ECC">
        <w:rPr>
          <w:rFonts w:eastAsia="Times New Roman"/>
          <w:sz w:val="24"/>
          <w:szCs w:val="24"/>
        </w:rPr>
        <w:t xml:space="preserve"> </w:t>
      </w:r>
      <w:r w:rsidRPr="001F1ECC">
        <w:rPr>
          <w:rFonts w:eastAsia="Times New Roman"/>
          <w:sz w:val="24"/>
          <w:szCs w:val="24"/>
        </w:rPr>
        <w:t>with Postcolumn Derivatization”, Revision 1., September 2001, EPA 815-B-01-002, can be</w:t>
      </w:r>
      <w:r w:rsidR="006D6352" w:rsidRPr="001F1ECC">
        <w:rPr>
          <w:rFonts w:eastAsia="Times New Roman"/>
          <w:sz w:val="24"/>
          <w:szCs w:val="24"/>
        </w:rPr>
        <w:t xml:space="preserve"> </w:t>
      </w:r>
      <w:r w:rsidRPr="001F1ECC">
        <w:rPr>
          <w:rFonts w:eastAsia="Times New Roman"/>
          <w:sz w:val="24"/>
          <w:szCs w:val="24"/>
        </w:rPr>
        <w:t>accessed</w:t>
      </w:r>
      <w:r w:rsidR="00BD53B9" w:rsidRPr="001F1ECC">
        <w:rPr>
          <w:rFonts w:eastAsia="Times New Roman"/>
          <w:sz w:val="24"/>
          <w:szCs w:val="24"/>
        </w:rPr>
        <w:t xml:space="preserve"> </w:t>
      </w:r>
      <w:r w:rsidRPr="001F1ECC">
        <w:rPr>
          <w:rFonts w:eastAsia="Times New Roman"/>
          <w:sz w:val="24"/>
          <w:szCs w:val="24"/>
        </w:rPr>
        <w:t>and downloaded directly</w:t>
      </w:r>
      <w:r w:rsidR="002A367B">
        <w:rPr>
          <w:rFonts w:eastAsia="Times New Roman"/>
          <w:sz w:val="24"/>
          <w:szCs w:val="24"/>
        </w:rPr>
        <w:t xml:space="preserve"> </w:t>
      </w:r>
      <w:r w:rsidR="003548C2">
        <w:rPr>
          <w:rFonts w:eastAsia="Times New Roman"/>
          <w:sz w:val="24"/>
          <w:szCs w:val="24"/>
        </w:rPr>
        <w:t>from</w:t>
      </w:r>
      <w:r w:rsidR="002A367B">
        <w:rPr>
          <w:rFonts w:eastAsia="Times New Roman"/>
          <w:sz w:val="24"/>
          <w:szCs w:val="24"/>
        </w:rPr>
        <w:t xml:space="preserve"> </w:t>
      </w:r>
      <w:r w:rsidR="00715E5C">
        <w:rPr>
          <w:rFonts w:eastAsia="Times New Roman"/>
          <w:sz w:val="24"/>
          <w:szCs w:val="24"/>
        </w:rPr>
        <w:t>NEMI</w:t>
      </w:r>
      <w:r w:rsidR="008122BE">
        <w:rPr>
          <w:rFonts w:eastAsia="Times New Roman"/>
          <w:i/>
          <w:iCs/>
          <w:color w:val="0000FF"/>
          <w:sz w:val="24"/>
          <w:szCs w:val="24"/>
        </w:rPr>
        <w:t>.</w:t>
      </w:r>
    </w:p>
    <w:p w14:paraId="2819E9ED" w14:textId="3799DCE2" w:rsidR="004647B9" w:rsidRDefault="004647B9" w:rsidP="001F1ECC">
      <w:pPr>
        <w:rPr>
          <w:sz w:val="20"/>
          <w:szCs w:val="20"/>
        </w:rPr>
      </w:pPr>
    </w:p>
    <w:p w14:paraId="2819E9EE" w14:textId="77777777" w:rsidR="004647B9" w:rsidRPr="00EF5769" w:rsidRDefault="004647B9" w:rsidP="001F1ECC">
      <w:pPr>
        <w:sectPr w:rsidR="004647B9" w:rsidRPr="00EF5769" w:rsidSect="00EF630C">
          <w:pgSz w:w="12240" w:h="20180"/>
          <w:pgMar w:top="708" w:right="1440" w:bottom="1440" w:left="600" w:header="0" w:footer="0" w:gutter="0"/>
          <w:cols w:space="720" w:equalWidth="0">
            <w:col w:w="10200"/>
          </w:cols>
        </w:sectPr>
      </w:pPr>
      <w:bookmarkStart w:id="99" w:name="page101"/>
      <w:bookmarkEnd w:id="99"/>
    </w:p>
    <w:p w14:paraId="2819E9EF" w14:textId="77777777" w:rsidR="004647B9" w:rsidRDefault="00E2436F">
      <w:pPr>
        <w:tabs>
          <w:tab w:val="left" w:pos="160"/>
        </w:tabs>
        <w:ind w:right="180"/>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9F0" w14:textId="77777777" w:rsidR="004647B9" w:rsidRDefault="004647B9" w:rsidP="00F2626C">
      <w:pPr>
        <w:rPr>
          <w:sz w:val="20"/>
          <w:szCs w:val="20"/>
        </w:rPr>
      </w:pPr>
    </w:p>
    <w:p w14:paraId="33CE04BA" w14:textId="77777777" w:rsidR="002614FD" w:rsidRDefault="002614FD" w:rsidP="00F2626C">
      <w:pPr>
        <w:rPr>
          <w:sz w:val="20"/>
          <w:szCs w:val="20"/>
        </w:rPr>
      </w:pPr>
    </w:p>
    <w:p w14:paraId="20FBDFE8" w14:textId="77777777" w:rsidR="00151574" w:rsidRDefault="00151574" w:rsidP="00F2626C">
      <w:pPr>
        <w:tabs>
          <w:tab w:val="left" w:pos="940"/>
        </w:tabs>
        <w:rPr>
          <w:sz w:val="20"/>
          <w:szCs w:val="20"/>
        </w:rPr>
      </w:pPr>
      <w:r>
        <w:rPr>
          <w:rFonts w:eastAsia="Times New Roman"/>
          <w:sz w:val="24"/>
          <w:szCs w:val="24"/>
        </w:rPr>
        <w:t>22.07A:</w:t>
      </w:r>
      <w:r>
        <w:rPr>
          <w:sz w:val="20"/>
          <w:szCs w:val="20"/>
        </w:rPr>
        <w:tab/>
      </w:r>
      <w:r>
        <w:rPr>
          <w:rFonts w:eastAsia="Times New Roman"/>
          <w:sz w:val="23"/>
          <w:szCs w:val="23"/>
        </w:rPr>
        <w:t>continued</w:t>
      </w:r>
    </w:p>
    <w:p w14:paraId="2819E9F1" w14:textId="77777777" w:rsidR="004647B9" w:rsidRDefault="004647B9" w:rsidP="00F2626C">
      <w:pPr>
        <w:rPr>
          <w:sz w:val="20"/>
          <w:szCs w:val="20"/>
        </w:rPr>
      </w:pPr>
    </w:p>
    <w:tbl>
      <w:tblPr>
        <w:tblW w:w="103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952"/>
        <w:gridCol w:w="2174"/>
        <w:gridCol w:w="1066"/>
        <w:gridCol w:w="1961"/>
        <w:gridCol w:w="2160"/>
        <w:gridCol w:w="8"/>
      </w:tblGrid>
      <w:tr w:rsidR="00151574" w:rsidRPr="004878F8" w14:paraId="2819EA14" w14:textId="77777777" w:rsidTr="004878F8">
        <w:trPr>
          <w:trHeight w:val="268"/>
        </w:trPr>
        <w:tc>
          <w:tcPr>
            <w:tcW w:w="2952" w:type="dxa"/>
            <w:vAlign w:val="center"/>
          </w:tcPr>
          <w:p w14:paraId="2819EA0B" w14:textId="17F1554C" w:rsidR="00151574" w:rsidRPr="004878F8" w:rsidRDefault="00151574" w:rsidP="004878F8">
            <w:pPr>
              <w:rPr>
                <w:sz w:val="24"/>
                <w:szCs w:val="24"/>
              </w:rPr>
            </w:pPr>
            <w:r w:rsidRPr="004878F8">
              <w:rPr>
                <w:rFonts w:eastAsia="Times New Roman"/>
                <w:sz w:val="24"/>
                <w:szCs w:val="24"/>
              </w:rPr>
              <w:t>Contaminant</w:t>
            </w:r>
          </w:p>
        </w:tc>
        <w:tc>
          <w:tcPr>
            <w:tcW w:w="2174" w:type="dxa"/>
            <w:vAlign w:val="bottom"/>
          </w:tcPr>
          <w:p w14:paraId="2819EA0C" w14:textId="77777777" w:rsidR="00151574" w:rsidRPr="004878F8" w:rsidRDefault="00151574">
            <w:pPr>
              <w:spacing w:line="268" w:lineRule="exact"/>
              <w:rPr>
                <w:sz w:val="24"/>
                <w:szCs w:val="24"/>
              </w:rPr>
            </w:pPr>
            <w:r w:rsidRPr="004878F8">
              <w:rPr>
                <w:rFonts w:eastAsia="Times New Roman"/>
                <w:sz w:val="24"/>
                <w:szCs w:val="24"/>
              </w:rPr>
              <w:t>EPA Method</w:t>
            </w:r>
          </w:p>
        </w:tc>
        <w:tc>
          <w:tcPr>
            <w:tcW w:w="1066" w:type="dxa"/>
            <w:vAlign w:val="bottom"/>
          </w:tcPr>
          <w:p w14:paraId="2819EA0E" w14:textId="77777777" w:rsidR="00151574" w:rsidRPr="004878F8" w:rsidRDefault="00151574">
            <w:pPr>
              <w:spacing w:line="268" w:lineRule="exact"/>
              <w:rPr>
                <w:sz w:val="24"/>
                <w:szCs w:val="24"/>
              </w:rPr>
            </w:pPr>
            <w:r w:rsidRPr="004878F8">
              <w:rPr>
                <w:rFonts w:eastAsia="Times New Roman"/>
                <w:sz w:val="24"/>
                <w:szCs w:val="24"/>
              </w:rPr>
              <w:t>SM</w:t>
            </w:r>
          </w:p>
        </w:tc>
        <w:tc>
          <w:tcPr>
            <w:tcW w:w="1961" w:type="dxa"/>
            <w:vAlign w:val="bottom"/>
          </w:tcPr>
          <w:p w14:paraId="2819EA10" w14:textId="77777777" w:rsidR="00151574" w:rsidRPr="004878F8" w:rsidRDefault="00151574">
            <w:pPr>
              <w:spacing w:line="268" w:lineRule="exact"/>
              <w:rPr>
                <w:sz w:val="24"/>
                <w:szCs w:val="24"/>
              </w:rPr>
            </w:pPr>
            <w:r w:rsidRPr="004878F8">
              <w:rPr>
                <w:rFonts w:eastAsia="Times New Roman"/>
                <w:sz w:val="24"/>
                <w:szCs w:val="24"/>
              </w:rPr>
              <w:t>ASTM</w:t>
            </w:r>
          </w:p>
        </w:tc>
        <w:tc>
          <w:tcPr>
            <w:tcW w:w="2168" w:type="dxa"/>
            <w:gridSpan w:val="2"/>
            <w:vAlign w:val="bottom"/>
          </w:tcPr>
          <w:p w14:paraId="2819EA12" w14:textId="77777777" w:rsidR="00151574" w:rsidRPr="004878F8" w:rsidRDefault="00151574">
            <w:pPr>
              <w:spacing w:line="268" w:lineRule="exact"/>
              <w:rPr>
                <w:sz w:val="24"/>
                <w:szCs w:val="24"/>
              </w:rPr>
            </w:pPr>
            <w:r w:rsidRPr="004878F8">
              <w:rPr>
                <w:rFonts w:eastAsia="Times New Roman"/>
                <w:sz w:val="24"/>
                <w:szCs w:val="24"/>
              </w:rPr>
              <w:t>Other</w:t>
            </w:r>
          </w:p>
        </w:tc>
      </w:tr>
      <w:tr w:rsidR="00151574" w:rsidRPr="004878F8" w14:paraId="2819EA20" w14:textId="77777777" w:rsidTr="004878F8">
        <w:trPr>
          <w:gridAfter w:val="1"/>
          <w:wAfter w:w="8" w:type="dxa"/>
          <w:trHeight w:val="266"/>
        </w:trPr>
        <w:tc>
          <w:tcPr>
            <w:tcW w:w="2952" w:type="dxa"/>
            <w:vAlign w:val="center"/>
          </w:tcPr>
          <w:p w14:paraId="2819EA17" w14:textId="3A481009" w:rsidR="00151574" w:rsidRPr="004878F8" w:rsidRDefault="00151574" w:rsidP="004878F8">
            <w:pPr>
              <w:rPr>
                <w:sz w:val="24"/>
                <w:szCs w:val="24"/>
              </w:rPr>
            </w:pPr>
            <w:r w:rsidRPr="004878F8">
              <w:rPr>
                <w:rFonts w:eastAsia="Times New Roman"/>
                <w:sz w:val="24"/>
                <w:szCs w:val="24"/>
              </w:rPr>
              <w:t>2,3,7,8-TCDD (dioxin)</w:t>
            </w:r>
          </w:p>
        </w:tc>
        <w:tc>
          <w:tcPr>
            <w:tcW w:w="2174" w:type="dxa"/>
            <w:vAlign w:val="bottom"/>
          </w:tcPr>
          <w:p w14:paraId="2819EA19" w14:textId="3FEAE714" w:rsidR="00151574" w:rsidRPr="004878F8" w:rsidRDefault="00151574">
            <w:pPr>
              <w:rPr>
                <w:sz w:val="24"/>
                <w:szCs w:val="24"/>
              </w:rPr>
            </w:pPr>
            <w:r w:rsidRPr="004878F8">
              <w:rPr>
                <w:rFonts w:eastAsia="Times New Roman"/>
                <w:sz w:val="24"/>
                <w:szCs w:val="24"/>
              </w:rPr>
              <w:t>1613</w:t>
            </w:r>
          </w:p>
        </w:tc>
        <w:tc>
          <w:tcPr>
            <w:tcW w:w="1066" w:type="dxa"/>
            <w:vAlign w:val="bottom"/>
          </w:tcPr>
          <w:p w14:paraId="2819EA1B" w14:textId="77777777" w:rsidR="00151574" w:rsidRPr="004878F8" w:rsidRDefault="00151574">
            <w:pPr>
              <w:rPr>
                <w:sz w:val="24"/>
                <w:szCs w:val="24"/>
              </w:rPr>
            </w:pPr>
          </w:p>
        </w:tc>
        <w:tc>
          <w:tcPr>
            <w:tcW w:w="1961" w:type="dxa"/>
            <w:vAlign w:val="bottom"/>
          </w:tcPr>
          <w:p w14:paraId="2819EA1D" w14:textId="77777777" w:rsidR="00151574" w:rsidRPr="004878F8" w:rsidRDefault="00151574">
            <w:pPr>
              <w:rPr>
                <w:sz w:val="24"/>
                <w:szCs w:val="24"/>
              </w:rPr>
            </w:pPr>
          </w:p>
        </w:tc>
        <w:tc>
          <w:tcPr>
            <w:tcW w:w="2160" w:type="dxa"/>
            <w:vAlign w:val="bottom"/>
          </w:tcPr>
          <w:p w14:paraId="2819EA1E" w14:textId="77777777" w:rsidR="00151574" w:rsidRPr="004878F8" w:rsidRDefault="00151574">
            <w:pPr>
              <w:rPr>
                <w:sz w:val="24"/>
                <w:szCs w:val="24"/>
              </w:rPr>
            </w:pPr>
          </w:p>
        </w:tc>
      </w:tr>
      <w:tr w:rsidR="00151574" w:rsidRPr="004878F8" w14:paraId="2819EA2A" w14:textId="77777777" w:rsidTr="004878F8">
        <w:trPr>
          <w:gridAfter w:val="1"/>
          <w:wAfter w:w="8" w:type="dxa"/>
          <w:trHeight w:val="232"/>
        </w:trPr>
        <w:tc>
          <w:tcPr>
            <w:tcW w:w="2952" w:type="dxa"/>
            <w:vAlign w:val="center"/>
          </w:tcPr>
          <w:p w14:paraId="5E97C526" w14:textId="4E053488" w:rsidR="00151574" w:rsidRPr="004878F8" w:rsidRDefault="00151574" w:rsidP="004878F8">
            <w:pPr>
              <w:spacing w:line="231" w:lineRule="exact"/>
              <w:rPr>
                <w:sz w:val="24"/>
                <w:szCs w:val="24"/>
              </w:rPr>
            </w:pPr>
            <w:r w:rsidRPr="004878F8">
              <w:rPr>
                <w:rFonts w:eastAsia="Times New Roman"/>
                <w:sz w:val="24"/>
                <w:szCs w:val="24"/>
              </w:rPr>
              <w:t>2,4-D</w:t>
            </w:r>
            <w:r w:rsidRPr="004878F8">
              <w:rPr>
                <w:rFonts w:eastAsia="Times New Roman"/>
                <w:sz w:val="24"/>
                <w:szCs w:val="24"/>
                <w:vertAlign w:val="superscript"/>
              </w:rPr>
              <w:t>3</w:t>
            </w:r>
            <w:r w:rsidRPr="004878F8">
              <w:rPr>
                <w:rFonts w:eastAsia="Times New Roman"/>
                <w:sz w:val="24"/>
                <w:szCs w:val="24"/>
              </w:rPr>
              <w:t xml:space="preserve"> (as acid, salts and esters)</w:t>
            </w:r>
          </w:p>
        </w:tc>
        <w:tc>
          <w:tcPr>
            <w:tcW w:w="2174" w:type="dxa"/>
            <w:vAlign w:val="bottom"/>
          </w:tcPr>
          <w:p w14:paraId="2819EA23" w14:textId="58A1A0AE" w:rsidR="00151574" w:rsidRPr="004878F8" w:rsidRDefault="00151574">
            <w:pPr>
              <w:rPr>
                <w:sz w:val="24"/>
                <w:szCs w:val="24"/>
              </w:rPr>
            </w:pPr>
            <w:r w:rsidRPr="004878F8">
              <w:rPr>
                <w:rFonts w:eastAsia="Times New Roman"/>
                <w:sz w:val="24"/>
                <w:szCs w:val="24"/>
              </w:rPr>
              <w:t>515.2,555,515.1, 515.3, 515.4</w:t>
            </w:r>
          </w:p>
        </w:tc>
        <w:tc>
          <w:tcPr>
            <w:tcW w:w="1066" w:type="dxa"/>
            <w:vAlign w:val="bottom"/>
          </w:tcPr>
          <w:p w14:paraId="2819EA25" w14:textId="77777777" w:rsidR="00151574" w:rsidRPr="004878F8" w:rsidRDefault="00151574">
            <w:pPr>
              <w:rPr>
                <w:sz w:val="24"/>
                <w:szCs w:val="24"/>
              </w:rPr>
            </w:pPr>
          </w:p>
        </w:tc>
        <w:tc>
          <w:tcPr>
            <w:tcW w:w="1961" w:type="dxa"/>
            <w:vAlign w:val="bottom"/>
          </w:tcPr>
          <w:p w14:paraId="2819EA27" w14:textId="039D18F8" w:rsidR="00151574" w:rsidRPr="004878F8" w:rsidRDefault="00151574">
            <w:pPr>
              <w:rPr>
                <w:sz w:val="24"/>
                <w:szCs w:val="24"/>
              </w:rPr>
            </w:pPr>
            <w:r w:rsidRPr="004878F8">
              <w:rPr>
                <w:rFonts w:eastAsia="Times New Roman"/>
                <w:sz w:val="24"/>
                <w:szCs w:val="24"/>
              </w:rPr>
              <w:t>D5317-93,98 (Reapproved 2003).</w:t>
            </w:r>
          </w:p>
        </w:tc>
        <w:tc>
          <w:tcPr>
            <w:tcW w:w="2160" w:type="dxa"/>
            <w:vAlign w:val="bottom"/>
          </w:tcPr>
          <w:p w14:paraId="2819EA28" w14:textId="77777777" w:rsidR="00151574" w:rsidRPr="004878F8" w:rsidRDefault="00151574">
            <w:pPr>
              <w:rPr>
                <w:sz w:val="24"/>
                <w:szCs w:val="24"/>
              </w:rPr>
            </w:pPr>
          </w:p>
        </w:tc>
      </w:tr>
      <w:tr w:rsidR="00151574" w:rsidRPr="004878F8" w14:paraId="2819EA41" w14:textId="77777777" w:rsidTr="004878F8">
        <w:trPr>
          <w:gridAfter w:val="1"/>
          <w:wAfter w:w="8" w:type="dxa"/>
          <w:trHeight w:val="276"/>
        </w:trPr>
        <w:tc>
          <w:tcPr>
            <w:tcW w:w="2952" w:type="dxa"/>
            <w:vMerge w:val="restart"/>
            <w:vAlign w:val="center"/>
          </w:tcPr>
          <w:p w14:paraId="2819EA38" w14:textId="126D46F7" w:rsidR="00151574" w:rsidRPr="004878F8" w:rsidRDefault="00151574" w:rsidP="004878F8">
            <w:pPr>
              <w:rPr>
                <w:sz w:val="24"/>
                <w:szCs w:val="24"/>
              </w:rPr>
            </w:pPr>
            <w:r w:rsidRPr="004878F8">
              <w:rPr>
                <w:rFonts w:eastAsia="Times New Roman"/>
                <w:sz w:val="24"/>
                <w:szCs w:val="24"/>
              </w:rPr>
              <w:t>2,4,5-TP</w:t>
            </w:r>
            <w:r w:rsidRPr="004878F8">
              <w:rPr>
                <w:rFonts w:eastAsia="Times New Roman"/>
                <w:sz w:val="24"/>
                <w:szCs w:val="24"/>
                <w:vertAlign w:val="superscript"/>
              </w:rPr>
              <w:t>3</w:t>
            </w:r>
            <w:r w:rsidRPr="004878F8">
              <w:rPr>
                <w:rFonts w:eastAsia="Times New Roman"/>
                <w:sz w:val="24"/>
                <w:szCs w:val="24"/>
              </w:rPr>
              <w:t xml:space="preserve"> (Silvex)</w:t>
            </w:r>
          </w:p>
        </w:tc>
        <w:tc>
          <w:tcPr>
            <w:tcW w:w="2174" w:type="dxa"/>
            <w:vMerge w:val="restart"/>
            <w:vAlign w:val="bottom"/>
          </w:tcPr>
          <w:p w14:paraId="2819EA39" w14:textId="2CE71E88" w:rsidR="00151574" w:rsidRPr="004878F8" w:rsidRDefault="00151574" w:rsidP="00F2626C">
            <w:pPr>
              <w:spacing w:line="232" w:lineRule="exact"/>
              <w:rPr>
                <w:sz w:val="24"/>
                <w:szCs w:val="24"/>
              </w:rPr>
            </w:pPr>
            <w:r w:rsidRPr="004878F8">
              <w:rPr>
                <w:rFonts w:eastAsia="Times New Roman"/>
                <w:sz w:val="24"/>
                <w:szCs w:val="24"/>
              </w:rPr>
              <w:t>515.2, 555, 515.1,</w:t>
            </w:r>
            <w:r w:rsidR="00F2626C">
              <w:rPr>
                <w:rFonts w:eastAsia="Times New Roman"/>
                <w:sz w:val="24"/>
                <w:szCs w:val="24"/>
              </w:rPr>
              <w:t xml:space="preserve"> </w:t>
            </w:r>
            <w:r w:rsidRPr="004878F8">
              <w:rPr>
                <w:rFonts w:eastAsia="Times New Roman"/>
                <w:sz w:val="24"/>
                <w:szCs w:val="24"/>
              </w:rPr>
              <w:t>515.3, 515.4</w:t>
            </w:r>
          </w:p>
        </w:tc>
        <w:tc>
          <w:tcPr>
            <w:tcW w:w="1066" w:type="dxa"/>
            <w:vMerge w:val="restart"/>
            <w:vAlign w:val="bottom"/>
          </w:tcPr>
          <w:p w14:paraId="2819EA3A" w14:textId="77777777" w:rsidR="00151574" w:rsidRPr="004878F8" w:rsidRDefault="00151574">
            <w:pPr>
              <w:rPr>
                <w:sz w:val="24"/>
                <w:szCs w:val="24"/>
              </w:rPr>
            </w:pPr>
          </w:p>
        </w:tc>
        <w:tc>
          <w:tcPr>
            <w:tcW w:w="1961" w:type="dxa"/>
            <w:vMerge w:val="restart"/>
            <w:vAlign w:val="bottom"/>
          </w:tcPr>
          <w:p w14:paraId="2819EA3D" w14:textId="16C27F1F" w:rsidR="00151574" w:rsidRPr="004878F8" w:rsidRDefault="00151574" w:rsidP="00F2626C">
            <w:pPr>
              <w:spacing w:line="232" w:lineRule="exact"/>
              <w:rPr>
                <w:sz w:val="24"/>
                <w:szCs w:val="24"/>
              </w:rPr>
            </w:pPr>
            <w:r w:rsidRPr="004878F8">
              <w:rPr>
                <w:rFonts w:eastAsia="Times New Roman"/>
                <w:sz w:val="24"/>
                <w:szCs w:val="24"/>
              </w:rPr>
              <w:t>D5317-93, 98</w:t>
            </w:r>
            <w:r w:rsidR="00F2626C">
              <w:rPr>
                <w:rFonts w:eastAsia="Times New Roman"/>
                <w:sz w:val="24"/>
                <w:szCs w:val="24"/>
              </w:rPr>
              <w:t xml:space="preserve"> </w:t>
            </w:r>
            <w:r w:rsidRPr="004878F8">
              <w:rPr>
                <w:rFonts w:eastAsia="Times New Roman"/>
                <w:sz w:val="24"/>
                <w:szCs w:val="24"/>
              </w:rPr>
              <w:t>(Reapproved 2003).</w:t>
            </w:r>
          </w:p>
        </w:tc>
        <w:tc>
          <w:tcPr>
            <w:tcW w:w="2160" w:type="dxa"/>
            <w:vMerge w:val="restart"/>
            <w:vAlign w:val="bottom"/>
          </w:tcPr>
          <w:p w14:paraId="2819EA3F" w14:textId="77777777" w:rsidR="00151574" w:rsidRPr="004878F8" w:rsidRDefault="00151574">
            <w:pPr>
              <w:rPr>
                <w:sz w:val="24"/>
                <w:szCs w:val="24"/>
              </w:rPr>
            </w:pPr>
          </w:p>
        </w:tc>
      </w:tr>
      <w:tr w:rsidR="00151574" w:rsidRPr="004878F8" w14:paraId="2819EA4D" w14:textId="77777777" w:rsidTr="004878F8">
        <w:trPr>
          <w:gridAfter w:val="1"/>
          <w:wAfter w:w="8" w:type="dxa"/>
          <w:trHeight w:val="312"/>
        </w:trPr>
        <w:tc>
          <w:tcPr>
            <w:tcW w:w="2952" w:type="dxa"/>
            <w:vMerge/>
            <w:vAlign w:val="center"/>
          </w:tcPr>
          <w:p w14:paraId="2819EA44" w14:textId="77777777" w:rsidR="00151574" w:rsidRPr="004878F8" w:rsidRDefault="00151574" w:rsidP="004878F8">
            <w:pPr>
              <w:rPr>
                <w:sz w:val="24"/>
                <w:szCs w:val="24"/>
              </w:rPr>
            </w:pPr>
          </w:p>
        </w:tc>
        <w:tc>
          <w:tcPr>
            <w:tcW w:w="2174" w:type="dxa"/>
            <w:vMerge/>
            <w:vAlign w:val="bottom"/>
          </w:tcPr>
          <w:p w14:paraId="2819EA45" w14:textId="6EA5F68D" w:rsidR="00151574" w:rsidRPr="004878F8" w:rsidRDefault="00151574">
            <w:pPr>
              <w:rPr>
                <w:sz w:val="24"/>
                <w:szCs w:val="24"/>
              </w:rPr>
            </w:pPr>
          </w:p>
        </w:tc>
        <w:tc>
          <w:tcPr>
            <w:tcW w:w="1066" w:type="dxa"/>
            <w:vMerge/>
            <w:vAlign w:val="bottom"/>
          </w:tcPr>
          <w:p w14:paraId="2819EA46" w14:textId="77777777" w:rsidR="00151574" w:rsidRPr="004878F8" w:rsidRDefault="00151574">
            <w:pPr>
              <w:rPr>
                <w:sz w:val="24"/>
                <w:szCs w:val="24"/>
              </w:rPr>
            </w:pPr>
          </w:p>
        </w:tc>
        <w:tc>
          <w:tcPr>
            <w:tcW w:w="1961" w:type="dxa"/>
            <w:vMerge/>
            <w:vAlign w:val="bottom"/>
          </w:tcPr>
          <w:p w14:paraId="2819EA49" w14:textId="543B780C" w:rsidR="00151574" w:rsidRPr="004878F8" w:rsidRDefault="00151574">
            <w:pPr>
              <w:rPr>
                <w:sz w:val="24"/>
                <w:szCs w:val="24"/>
              </w:rPr>
            </w:pPr>
          </w:p>
        </w:tc>
        <w:tc>
          <w:tcPr>
            <w:tcW w:w="2160" w:type="dxa"/>
            <w:vMerge/>
            <w:vAlign w:val="bottom"/>
          </w:tcPr>
          <w:p w14:paraId="2819EA4B" w14:textId="77777777" w:rsidR="00151574" w:rsidRPr="004878F8" w:rsidRDefault="00151574">
            <w:pPr>
              <w:rPr>
                <w:sz w:val="24"/>
                <w:szCs w:val="24"/>
              </w:rPr>
            </w:pPr>
          </w:p>
        </w:tc>
      </w:tr>
      <w:tr w:rsidR="00151574" w:rsidRPr="004878F8" w14:paraId="2819EA59" w14:textId="77777777" w:rsidTr="004878F8">
        <w:trPr>
          <w:gridAfter w:val="1"/>
          <w:wAfter w:w="8" w:type="dxa"/>
          <w:trHeight w:val="234"/>
        </w:trPr>
        <w:tc>
          <w:tcPr>
            <w:tcW w:w="2952" w:type="dxa"/>
            <w:vAlign w:val="center"/>
          </w:tcPr>
          <w:p w14:paraId="2819EA4F" w14:textId="77777777" w:rsidR="00151574" w:rsidRPr="004878F8" w:rsidRDefault="00151574" w:rsidP="004878F8">
            <w:pPr>
              <w:spacing w:line="233" w:lineRule="exact"/>
              <w:rPr>
                <w:sz w:val="24"/>
                <w:szCs w:val="24"/>
              </w:rPr>
            </w:pPr>
            <w:r w:rsidRPr="004878F8">
              <w:rPr>
                <w:rFonts w:eastAsia="Times New Roman"/>
                <w:sz w:val="24"/>
                <w:szCs w:val="24"/>
              </w:rPr>
              <w:t>Alachor</w:t>
            </w:r>
            <w:r w:rsidRPr="004878F8">
              <w:rPr>
                <w:rFonts w:eastAsia="Times New Roman"/>
                <w:sz w:val="24"/>
                <w:szCs w:val="24"/>
                <w:vertAlign w:val="superscript"/>
              </w:rPr>
              <w:t>1</w:t>
            </w:r>
          </w:p>
        </w:tc>
        <w:tc>
          <w:tcPr>
            <w:tcW w:w="2174" w:type="dxa"/>
            <w:vAlign w:val="bottom"/>
          </w:tcPr>
          <w:p w14:paraId="2819EA51" w14:textId="6A34408B" w:rsidR="00151574" w:rsidRPr="004878F8" w:rsidRDefault="00151574">
            <w:pPr>
              <w:spacing w:line="234" w:lineRule="exact"/>
              <w:rPr>
                <w:sz w:val="24"/>
                <w:szCs w:val="24"/>
              </w:rPr>
            </w:pPr>
            <w:r w:rsidRPr="004878F8">
              <w:rPr>
                <w:rFonts w:eastAsia="Times New Roman"/>
                <w:sz w:val="24"/>
                <w:szCs w:val="24"/>
              </w:rPr>
              <w:t>505, 507, 525.2, 508.1, 551.1</w:t>
            </w:r>
          </w:p>
        </w:tc>
        <w:tc>
          <w:tcPr>
            <w:tcW w:w="1066" w:type="dxa"/>
            <w:vAlign w:val="bottom"/>
          </w:tcPr>
          <w:p w14:paraId="2819EA53" w14:textId="77777777" w:rsidR="00151574" w:rsidRPr="004878F8" w:rsidRDefault="00151574">
            <w:pPr>
              <w:rPr>
                <w:sz w:val="24"/>
                <w:szCs w:val="24"/>
              </w:rPr>
            </w:pPr>
          </w:p>
        </w:tc>
        <w:tc>
          <w:tcPr>
            <w:tcW w:w="1961" w:type="dxa"/>
            <w:vAlign w:val="bottom"/>
          </w:tcPr>
          <w:p w14:paraId="2819EA55" w14:textId="77777777" w:rsidR="00151574" w:rsidRPr="004878F8" w:rsidRDefault="00151574">
            <w:pPr>
              <w:rPr>
                <w:sz w:val="24"/>
                <w:szCs w:val="24"/>
              </w:rPr>
            </w:pPr>
          </w:p>
        </w:tc>
        <w:tc>
          <w:tcPr>
            <w:tcW w:w="2160" w:type="dxa"/>
            <w:vAlign w:val="bottom"/>
          </w:tcPr>
          <w:p w14:paraId="2819EA57" w14:textId="77777777" w:rsidR="00151574" w:rsidRPr="004878F8" w:rsidRDefault="00151574">
            <w:pPr>
              <w:rPr>
                <w:sz w:val="24"/>
                <w:szCs w:val="24"/>
              </w:rPr>
            </w:pPr>
          </w:p>
        </w:tc>
      </w:tr>
      <w:tr w:rsidR="00151574" w:rsidRPr="004878F8" w14:paraId="2819EA71" w14:textId="77777777" w:rsidTr="004878F8">
        <w:trPr>
          <w:gridAfter w:val="1"/>
          <w:wAfter w:w="8" w:type="dxa"/>
          <w:trHeight w:val="232"/>
        </w:trPr>
        <w:tc>
          <w:tcPr>
            <w:tcW w:w="2952" w:type="dxa"/>
            <w:vAlign w:val="center"/>
          </w:tcPr>
          <w:p w14:paraId="2819EA67" w14:textId="77777777" w:rsidR="00151574" w:rsidRPr="004878F8" w:rsidRDefault="00151574" w:rsidP="004878F8">
            <w:pPr>
              <w:spacing w:line="231" w:lineRule="exact"/>
              <w:rPr>
                <w:sz w:val="24"/>
                <w:szCs w:val="24"/>
              </w:rPr>
            </w:pPr>
            <w:r w:rsidRPr="004878F8">
              <w:rPr>
                <w:rFonts w:eastAsia="Times New Roman"/>
                <w:sz w:val="24"/>
                <w:szCs w:val="24"/>
              </w:rPr>
              <w:t>Atrazine</w:t>
            </w:r>
            <w:r w:rsidRPr="004878F8">
              <w:rPr>
                <w:rFonts w:eastAsia="Times New Roman"/>
                <w:sz w:val="24"/>
                <w:szCs w:val="24"/>
                <w:vertAlign w:val="superscript"/>
              </w:rPr>
              <w:t>1</w:t>
            </w:r>
          </w:p>
        </w:tc>
        <w:tc>
          <w:tcPr>
            <w:tcW w:w="2174" w:type="dxa"/>
            <w:vAlign w:val="bottom"/>
          </w:tcPr>
          <w:p w14:paraId="2819EA69" w14:textId="48E0FAC1" w:rsidR="00151574" w:rsidRPr="004878F8" w:rsidRDefault="00151574">
            <w:pPr>
              <w:spacing w:line="232" w:lineRule="exact"/>
              <w:rPr>
                <w:sz w:val="24"/>
                <w:szCs w:val="24"/>
              </w:rPr>
            </w:pPr>
            <w:r w:rsidRPr="004878F8">
              <w:rPr>
                <w:rFonts w:eastAsia="Times New Roman"/>
                <w:sz w:val="24"/>
                <w:szCs w:val="24"/>
              </w:rPr>
              <w:t>505, 507, 525.2, 508.1, 551.1</w:t>
            </w:r>
          </w:p>
        </w:tc>
        <w:tc>
          <w:tcPr>
            <w:tcW w:w="1066" w:type="dxa"/>
            <w:vAlign w:val="bottom"/>
          </w:tcPr>
          <w:p w14:paraId="2819EA6B" w14:textId="77777777" w:rsidR="00151574" w:rsidRPr="004878F8" w:rsidRDefault="00151574">
            <w:pPr>
              <w:rPr>
                <w:sz w:val="24"/>
                <w:szCs w:val="24"/>
              </w:rPr>
            </w:pPr>
          </w:p>
        </w:tc>
        <w:tc>
          <w:tcPr>
            <w:tcW w:w="1961" w:type="dxa"/>
            <w:vAlign w:val="bottom"/>
          </w:tcPr>
          <w:p w14:paraId="2819EA6D" w14:textId="77777777" w:rsidR="00151574" w:rsidRPr="004878F8" w:rsidRDefault="00151574">
            <w:pPr>
              <w:rPr>
                <w:sz w:val="24"/>
                <w:szCs w:val="24"/>
              </w:rPr>
            </w:pPr>
          </w:p>
        </w:tc>
        <w:tc>
          <w:tcPr>
            <w:tcW w:w="2160" w:type="dxa"/>
            <w:vAlign w:val="bottom"/>
          </w:tcPr>
          <w:p w14:paraId="2819EA6F" w14:textId="77777777" w:rsidR="00151574" w:rsidRPr="004878F8" w:rsidRDefault="00151574">
            <w:pPr>
              <w:spacing w:line="231" w:lineRule="exact"/>
              <w:rPr>
                <w:sz w:val="24"/>
                <w:szCs w:val="24"/>
              </w:rPr>
            </w:pPr>
            <w:r w:rsidRPr="004878F8">
              <w:rPr>
                <w:rFonts w:eastAsia="Times New Roman"/>
                <w:sz w:val="24"/>
                <w:szCs w:val="24"/>
              </w:rPr>
              <w:t>Syngenta AG-625</w:t>
            </w:r>
            <w:r w:rsidRPr="004878F8">
              <w:rPr>
                <w:rFonts w:eastAsia="Times New Roman"/>
                <w:sz w:val="24"/>
                <w:szCs w:val="24"/>
                <w:vertAlign w:val="superscript"/>
              </w:rPr>
              <w:t>4</w:t>
            </w:r>
          </w:p>
        </w:tc>
      </w:tr>
      <w:tr w:rsidR="00151574" w:rsidRPr="004878F8" w14:paraId="2819EA89" w14:textId="77777777" w:rsidTr="004878F8">
        <w:trPr>
          <w:gridAfter w:val="1"/>
          <w:wAfter w:w="8" w:type="dxa"/>
          <w:trHeight w:val="268"/>
        </w:trPr>
        <w:tc>
          <w:tcPr>
            <w:tcW w:w="2952" w:type="dxa"/>
            <w:vAlign w:val="center"/>
          </w:tcPr>
          <w:p w14:paraId="2819EA7F" w14:textId="77777777" w:rsidR="00151574" w:rsidRPr="004878F8" w:rsidRDefault="00151574" w:rsidP="004878F8">
            <w:pPr>
              <w:spacing w:line="268" w:lineRule="exact"/>
              <w:rPr>
                <w:sz w:val="24"/>
                <w:szCs w:val="24"/>
              </w:rPr>
            </w:pPr>
            <w:r w:rsidRPr="004878F8">
              <w:rPr>
                <w:rFonts w:eastAsia="Times New Roman"/>
                <w:sz w:val="24"/>
                <w:szCs w:val="24"/>
              </w:rPr>
              <w:t>Benzo(a)pyrene</w:t>
            </w:r>
          </w:p>
        </w:tc>
        <w:tc>
          <w:tcPr>
            <w:tcW w:w="2174" w:type="dxa"/>
            <w:vAlign w:val="bottom"/>
          </w:tcPr>
          <w:p w14:paraId="2819EA81" w14:textId="77777777" w:rsidR="00151574" w:rsidRPr="004878F8" w:rsidRDefault="00151574">
            <w:pPr>
              <w:spacing w:line="268" w:lineRule="exact"/>
              <w:rPr>
                <w:sz w:val="24"/>
                <w:szCs w:val="24"/>
              </w:rPr>
            </w:pPr>
            <w:r w:rsidRPr="004878F8">
              <w:rPr>
                <w:rFonts w:eastAsia="Times New Roman"/>
                <w:sz w:val="24"/>
                <w:szCs w:val="24"/>
              </w:rPr>
              <w:t>525.2, 550, 550.1</w:t>
            </w:r>
          </w:p>
        </w:tc>
        <w:tc>
          <w:tcPr>
            <w:tcW w:w="1066" w:type="dxa"/>
            <w:vAlign w:val="bottom"/>
          </w:tcPr>
          <w:p w14:paraId="2819EA83" w14:textId="77777777" w:rsidR="00151574" w:rsidRPr="004878F8" w:rsidRDefault="00151574">
            <w:pPr>
              <w:rPr>
                <w:sz w:val="24"/>
                <w:szCs w:val="24"/>
              </w:rPr>
            </w:pPr>
          </w:p>
        </w:tc>
        <w:tc>
          <w:tcPr>
            <w:tcW w:w="1961" w:type="dxa"/>
            <w:vAlign w:val="bottom"/>
          </w:tcPr>
          <w:p w14:paraId="2819EA85" w14:textId="77777777" w:rsidR="00151574" w:rsidRPr="004878F8" w:rsidRDefault="00151574">
            <w:pPr>
              <w:rPr>
                <w:sz w:val="24"/>
                <w:szCs w:val="24"/>
              </w:rPr>
            </w:pPr>
          </w:p>
        </w:tc>
        <w:tc>
          <w:tcPr>
            <w:tcW w:w="2160" w:type="dxa"/>
            <w:vAlign w:val="bottom"/>
          </w:tcPr>
          <w:p w14:paraId="2819EA87" w14:textId="77777777" w:rsidR="00151574" w:rsidRPr="004878F8" w:rsidRDefault="00151574">
            <w:pPr>
              <w:rPr>
                <w:sz w:val="24"/>
                <w:szCs w:val="24"/>
              </w:rPr>
            </w:pPr>
          </w:p>
        </w:tc>
      </w:tr>
      <w:tr w:rsidR="00151574" w:rsidRPr="004878F8" w14:paraId="2819EA95" w14:textId="77777777" w:rsidTr="004878F8">
        <w:trPr>
          <w:gridAfter w:val="1"/>
          <w:wAfter w:w="8" w:type="dxa"/>
          <w:trHeight w:val="266"/>
        </w:trPr>
        <w:tc>
          <w:tcPr>
            <w:tcW w:w="2952" w:type="dxa"/>
            <w:vAlign w:val="center"/>
          </w:tcPr>
          <w:p w14:paraId="2819EA8B" w14:textId="77777777" w:rsidR="00151574" w:rsidRPr="004878F8" w:rsidRDefault="00151574" w:rsidP="004878F8">
            <w:pPr>
              <w:spacing w:line="265" w:lineRule="exact"/>
              <w:rPr>
                <w:sz w:val="24"/>
                <w:szCs w:val="24"/>
              </w:rPr>
            </w:pPr>
            <w:r w:rsidRPr="004878F8">
              <w:rPr>
                <w:rFonts w:eastAsia="Times New Roman"/>
                <w:sz w:val="24"/>
                <w:szCs w:val="24"/>
              </w:rPr>
              <w:t>Carbofuran</w:t>
            </w:r>
          </w:p>
        </w:tc>
        <w:tc>
          <w:tcPr>
            <w:tcW w:w="2174" w:type="dxa"/>
            <w:vAlign w:val="bottom"/>
          </w:tcPr>
          <w:p w14:paraId="2819EA8D" w14:textId="77777777" w:rsidR="00151574" w:rsidRPr="004878F8" w:rsidRDefault="00151574">
            <w:pPr>
              <w:spacing w:line="265" w:lineRule="exact"/>
              <w:rPr>
                <w:sz w:val="24"/>
                <w:szCs w:val="24"/>
              </w:rPr>
            </w:pPr>
            <w:r w:rsidRPr="004878F8">
              <w:rPr>
                <w:rFonts w:eastAsia="Times New Roman"/>
                <w:sz w:val="24"/>
                <w:szCs w:val="24"/>
              </w:rPr>
              <w:t>531.1, 531.2</w:t>
            </w:r>
          </w:p>
        </w:tc>
        <w:tc>
          <w:tcPr>
            <w:tcW w:w="1066" w:type="dxa"/>
            <w:vAlign w:val="bottom"/>
          </w:tcPr>
          <w:p w14:paraId="2819EA8F" w14:textId="77777777" w:rsidR="00151574" w:rsidRPr="004878F8" w:rsidRDefault="00151574">
            <w:pPr>
              <w:spacing w:line="265" w:lineRule="exact"/>
              <w:rPr>
                <w:sz w:val="24"/>
                <w:szCs w:val="24"/>
              </w:rPr>
            </w:pPr>
            <w:r w:rsidRPr="004878F8">
              <w:rPr>
                <w:rFonts w:eastAsia="Times New Roman"/>
                <w:sz w:val="24"/>
                <w:szCs w:val="24"/>
              </w:rPr>
              <w:t>6610</w:t>
            </w:r>
          </w:p>
        </w:tc>
        <w:tc>
          <w:tcPr>
            <w:tcW w:w="1961" w:type="dxa"/>
            <w:vAlign w:val="bottom"/>
          </w:tcPr>
          <w:p w14:paraId="2819EA91" w14:textId="77777777" w:rsidR="00151574" w:rsidRPr="004878F8" w:rsidRDefault="00151574">
            <w:pPr>
              <w:rPr>
                <w:sz w:val="24"/>
                <w:szCs w:val="24"/>
              </w:rPr>
            </w:pPr>
          </w:p>
        </w:tc>
        <w:tc>
          <w:tcPr>
            <w:tcW w:w="2160" w:type="dxa"/>
            <w:vAlign w:val="bottom"/>
          </w:tcPr>
          <w:p w14:paraId="2819EA93" w14:textId="77777777" w:rsidR="00151574" w:rsidRPr="004878F8" w:rsidRDefault="00151574">
            <w:pPr>
              <w:rPr>
                <w:sz w:val="24"/>
                <w:szCs w:val="24"/>
              </w:rPr>
            </w:pPr>
          </w:p>
        </w:tc>
      </w:tr>
      <w:tr w:rsidR="00151574" w:rsidRPr="004878F8" w14:paraId="2819EAA1" w14:textId="77777777" w:rsidTr="004878F8">
        <w:trPr>
          <w:gridAfter w:val="1"/>
          <w:wAfter w:w="8" w:type="dxa"/>
          <w:trHeight w:val="266"/>
        </w:trPr>
        <w:tc>
          <w:tcPr>
            <w:tcW w:w="2952" w:type="dxa"/>
            <w:vAlign w:val="center"/>
          </w:tcPr>
          <w:p w14:paraId="2819EA97" w14:textId="77777777" w:rsidR="00151574" w:rsidRPr="004878F8" w:rsidRDefault="00151574" w:rsidP="004878F8">
            <w:pPr>
              <w:spacing w:line="265" w:lineRule="exact"/>
              <w:rPr>
                <w:sz w:val="24"/>
                <w:szCs w:val="24"/>
              </w:rPr>
            </w:pPr>
            <w:r w:rsidRPr="004878F8">
              <w:rPr>
                <w:rFonts w:eastAsia="Times New Roman"/>
                <w:sz w:val="24"/>
                <w:szCs w:val="24"/>
              </w:rPr>
              <w:t>Chlordane</w:t>
            </w:r>
          </w:p>
        </w:tc>
        <w:tc>
          <w:tcPr>
            <w:tcW w:w="2174" w:type="dxa"/>
            <w:vAlign w:val="bottom"/>
          </w:tcPr>
          <w:p w14:paraId="2819EA99" w14:textId="77777777" w:rsidR="00151574" w:rsidRPr="004878F8" w:rsidRDefault="00151574">
            <w:pPr>
              <w:spacing w:line="265" w:lineRule="exact"/>
              <w:rPr>
                <w:sz w:val="24"/>
                <w:szCs w:val="24"/>
              </w:rPr>
            </w:pPr>
            <w:r w:rsidRPr="004878F8">
              <w:rPr>
                <w:rFonts w:eastAsia="Times New Roman"/>
                <w:w w:val="98"/>
                <w:sz w:val="24"/>
                <w:szCs w:val="24"/>
              </w:rPr>
              <w:t>505, 508, 525.2, 508.1</w:t>
            </w:r>
          </w:p>
        </w:tc>
        <w:tc>
          <w:tcPr>
            <w:tcW w:w="1066" w:type="dxa"/>
            <w:vAlign w:val="bottom"/>
          </w:tcPr>
          <w:p w14:paraId="2819EA9B" w14:textId="77777777" w:rsidR="00151574" w:rsidRPr="004878F8" w:rsidRDefault="00151574">
            <w:pPr>
              <w:rPr>
                <w:sz w:val="24"/>
                <w:szCs w:val="24"/>
              </w:rPr>
            </w:pPr>
          </w:p>
        </w:tc>
        <w:tc>
          <w:tcPr>
            <w:tcW w:w="1961" w:type="dxa"/>
            <w:vAlign w:val="bottom"/>
          </w:tcPr>
          <w:p w14:paraId="2819EA9D" w14:textId="77777777" w:rsidR="00151574" w:rsidRPr="004878F8" w:rsidRDefault="00151574">
            <w:pPr>
              <w:rPr>
                <w:sz w:val="24"/>
                <w:szCs w:val="24"/>
              </w:rPr>
            </w:pPr>
          </w:p>
        </w:tc>
        <w:tc>
          <w:tcPr>
            <w:tcW w:w="2160" w:type="dxa"/>
            <w:vAlign w:val="bottom"/>
          </w:tcPr>
          <w:p w14:paraId="2819EA9F" w14:textId="77777777" w:rsidR="00151574" w:rsidRPr="004878F8" w:rsidRDefault="00151574">
            <w:pPr>
              <w:rPr>
                <w:sz w:val="24"/>
                <w:szCs w:val="24"/>
              </w:rPr>
            </w:pPr>
          </w:p>
        </w:tc>
      </w:tr>
      <w:tr w:rsidR="00151574" w:rsidRPr="004878F8" w14:paraId="2819EAAD" w14:textId="77777777" w:rsidTr="004878F8">
        <w:trPr>
          <w:gridAfter w:val="1"/>
          <w:wAfter w:w="8" w:type="dxa"/>
          <w:trHeight w:val="232"/>
        </w:trPr>
        <w:tc>
          <w:tcPr>
            <w:tcW w:w="2952" w:type="dxa"/>
            <w:vAlign w:val="center"/>
          </w:tcPr>
          <w:p w14:paraId="2819EAA3" w14:textId="77777777" w:rsidR="00151574" w:rsidRPr="004878F8" w:rsidRDefault="00151574" w:rsidP="004878F8">
            <w:pPr>
              <w:spacing w:line="232" w:lineRule="exact"/>
              <w:rPr>
                <w:sz w:val="24"/>
                <w:szCs w:val="24"/>
              </w:rPr>
            </w:pPr>
            <w:r w:rsidRPr="004878F8">
              <w:rPr>
                <w:rFonts w:eastAsia="Times New Roman"/>
                <w:sz w:val="24"/>
                <w:szCs w:val="24"/>
              </w:rPr>
              <w:t>Dalapon</w:t>
            </w:r>
          </w:p>
        </w:tc>
        <w:tc>
          <w:tcPr>
            <w:tcW w:w="2174" w:type="dxa"/>
            <w:vAlign w:val="bottom"/>
          </w:tcPr>
          <w:p w14:paraId="2819EAA5" w14:textId="267189B7" w:rsidR="00151574" w:rsidRPr="004878F8" w:rsidRDefault="00151574">
            <w:pPr>
              <w:spacing w:line="232" w:lineRule="exact"/>
              <w:rPr>
                <w:sz w:val="24"/>
                <w:szCs w:val="24"/>
              </w:rPr>
            </w:pPr>
            <w:r w:rsidRPr="004878F8">
              <w:rPr>
                <w:rFonts w:eastAsia="Times New Roman"/>
                <w:sz w:val="24"/>
                <w:szCs w:val="24"/>
              </w:rPr>
              <w:t>552.1, 515.1, 515.3, 552.2, 515.4</w:t>
            </w:r>
          </w:p>
        </w:tc>
        <w:tc>
          <w:tcPr>
            <w:tcW w:w="1066" w:type="dxa"/>
            <w:vAlign w:val="bottom"/>
          </w:tcPr>
          <w:p w14:paraId="2819EAA7" w14:textId="77777777" w:rsidR="00151574" w:rsidRPr="004878F8" w:rsidRDefault="00151574">
            <w:pPr>
              <w:rPr>
                <w:sz w:val="24"/>
                <w:szCs w:val="24"/>
              </w:rPr>
            </w:pPr>
          </w:p>
        </w:tc>
        <w:tc>
          <w:tcPr>
            <w:tcW w:w="1961" w:type="dxa"/>
            <w:vAlign w:val="bottom"/>
          </w:tcPr>
          <w:p w14:paraId="2819EAA9" w14:textId="77777777" w:rsidR="00151574" w:rsidRPr="004878F8" w:rsidRDefault="00151574">
            <w:pPr>
              <w:rPr>
                <w:sz w:val="24"/>
                <w:szCs w:val="24"/>
              </w:rPr>
            </w:pPr>
          </w:p>
        </w:tc>
        <w:tc>
          <w:tcPr>
            <w:tcW w:w="2160" w:type="dxa"/>
            <w:vAlign w:val="bottom"/>
          </w:tcPr>
          <w:p w14:paraId="2819EAAB" w14:textId="77777777" w:rsidR="00151574" w:rsidRPr="004878F8" w:rsidRDefault="00151574">
            <w:pPr>
              <w:rPr>
                <w:sz w:val="24"/>
                <w:szCs w:val="24"/>
              </w:rPr>
            </w:pPr>
          </w:p>
        </w:tc>
      </w:tr>
      <w:tr w:rsidR="00151574" w:rsidRPr="004878F8" w14:paraId="2819EAC5" w14:textId="77777777" w:rsidTr="004878F8">
        <w:trPr>
          <w:gridAfter w:val="1"/>
          <w:wAfter w:w="8" w:type="dxa"/>
          <w:trHeight w:val="266"/>
        </w:trPr>
        <w:tc>
          <w:tcPr>
            <w:tcW w:w="2952" w:type="dxa"/>
            <w:vAlign w:val="center"/>
          </w:tcPr>
          <w:p w14:paraId="2819EABB" w14:textId="77777777" w:rsidR="00151574" w:rsidRPr="004878F8" w:rsidRDefault="00151574" w:rsidP="004878F8">
            <w:pPr>
              <w:spacing w:line="265" w:lineRule="exact"/>
              <w:rPr>
                <w:sz w:val="24"/>
                <w:szCs w:val="24"/>
              </w:rPr>
            </w:pPr>
            <w:r w:rsidRPr="004878F8">
              <w:rPr>
                <w:rFonts w:eastAsia="Times New Roman"/>
                <w:sz w:val="24"/>
                <w:szCs w:val="24"/>
              </w:rPr>
              <w:t>Di(2-ethylhexyl)adipate</w:t>
            </w:r>
          </w:p>
        </w:tc>
        <w:tc>
          <w:tcPr>
            <w:tcW w:w="2174" w:type="dxa"/>
            <w:vAlign w:val="bottom"/>
          </w:tcPr>
          <w:p w14:paraId="2819EABD" w14:textId="77777777" w:rsidR="00151574" w:rsidRPr="004878F8" w:rsidRDefault="00151574">
            <w:pPr>
              <w:spacing w:line="265" w:lineRule="exact"/>
              <w:rPr>
                <w:sz w:val="24"/>
                <w:szCs w:val="24"/>
              </w:rPr>
            </w:pPr>
            <w:r w:rsidRPr="004878F8">
              <w:rPr>
                <w:rFonts w:eastAsia="Times New Roman"/>
                <w:sz w:val="24"/>
                <w:szCs w:val="24"/>
              </w:rPr>
              <w:t>506, 525.2</w:t>
            </w:r>
          </w:p>
        </w:tc>
        <w:tc>
          <w:tcPr>
            <w:tcW w:w="1066" w:type="dxa"/>
            <w:vAlign w:val="bottom"/>
          </w:tcPr>
          <w:p w14:paraId="2819EABF" w14:textId="77777777" w:rsidR="00151574" w:rsidRPr="004878F8" w:rsidRDefault="00151574">
            <w:pPr>
              <w:rPr>
                <w:sz w:val="24"/>
                <w:szCs w:val="24"/>
              </w:rPr>
            </w:pPr>
          </w:p>
        </w:tc>
        <w:tc>
          <w:tcPr>
            <w:tcW w:w="1961" w:type="dxa"/>
            <w:vAlign w:val="bottom"/>
          </w:tcPr>
          <w:p w14:paraId="2819EAC1" w14:textId="77777777" w:rsidR="00151574" w:rsidRPr="004878F8" w:rsidRDefault="00151574">
            <w:pPr>
              <w:rPr>
                <w:sz w:val="24"/>
                <w:szCs w:val="24"/>
              </w:rPr>
            </w:pPr>
          </w:p>
        </w:tc>
        <w:tc>
          <w:tcPr>
            <w:tcW w:w="2160" w:type="dxa"/>
            <w:vAlign w:val="bottom"/>
          </w:tcPr>
          <w:p w14:paraId="2819EAC3" w14:textId="77777777" w:rsidR="00151574" w:rsidRPr="004878F8" w:rsidRDefault="00151574">
            <w:pPr>
              <w:rPr>
                <w:sz w:val="24"/>
                <w:szCs w:val="24"/>
              </w:rPr>
            </w:pPr>
          </w:p>
        </w:tc>
      </w:tr>
      <w:tr w:rsidR="00151574" w:rsidRPr="004878F8" w14:paraId="2819EAD1" w14:textId="77777777" w:rsidTr="004878F8">
        <w:trPr>
          <w:gridAfter w:val="1"/>
          <w:wAfter w:w="8" w:type="dxa"/>
          <w:trHeight w:val="266"/>
        </w:trPr>
        <w:tc>
          <w:tcPr>
            <w:tcW w:w="2952" w:type="dxa"/>
            <w:vAlign w:val="center"/>
          </w:tcPr>
          <w:p w14:paraId="2819EAC7" w14:textId="77777777" w:rsidR="00151574" w:rsidRPr="004878F8" w:rsidRDefault="00151574" w:rsidP="004878F8">
            <w:pPr>
              <w:spacing w:line="265" w:lineRule="exact"/>
              <w:rPr>
                <w:sz w:val="24"/>
                <w:szCs w:val="24"/>
              </w:rPr>
            </w:pPr>
            <w:r w:rsidRPr="004878F8">
              <w:rPr>
                <w:rFonts w:eastAsia="Times New Roman"/>
                <w:sz w:val="24"/>
                <w:szCs w:val="24"/>
              </w:rPr>
              <w:t>Di(2-ethylhexyl)phthalate</w:t>
            </w:r>
          </w:p>
        </w:tc>
        <w:tc>
          <w:tcPr>
            <w:tcW w:w="2174" w:type="dxa"/>
            <w:vAlign w:val="bottom"/>
          </w:tcPr>
          <w:p w14:paraId="2819EAC9" w14:textId="77777777" w:rsidR="00151574" w:rsidRPr="004878F8" w:rsidRDefault="00151574">
            <w:pPr>
              <w:spacing w:line="265" w:lineRule="exact"/>
              <w:rPr>
                <w:sz w:val="24"/>
                <w:szCs w:val="24"/>
              </w:rPr>
            </w:pPr>
            <w:r w:rsidRPr="004878F8">
              <w:rPr>
                <w:rFonts w:eastAsia="Times New Roman"/>
                <w:sz w:val="24"/>
                <w:szCs w:val="24"/>
              </w:rPr>
              <w:t>506, 525.2</w:t>
            </w:r>
          </w:p>
        </w:tc>
        <w:tc>
          <w:tcPr>
            <w:tcW w:w="1066" w:type="dxa"/>
            <w:vAlign w:val="bottom"/>
          </w:tcPr>
          <w:p w14:paraId="2819EACB" w14:textId="77777777" w:rsidR="00151574" w:rsidRPr="004878F8" w:rsidRDefault="00151574">
            <w:pPr>
              <w:rPr>
                <w:sz w:val="24"/>
                <w:szCs w:val="24"/>
              </w:rPr>
            </w:pPr>
          </w:p>
        </w:tc>
        <w:tc>
          <w:tcPr>
            <w:tcW w:w="1961" w:type="dxa"/>
            <w:vAlign w:val="bottom"/>
          </w:tcPr>
          <w:p w14:paraId="2819EACD" w14:textId="77777777" w:rsidR="00151574" w:rsidRPr="004878F8" w:rsidRDefault="00151574">
            <w:pPr>
              <w:rPr>
                <w:sz w:val="24"/>
                <w:szCs w:val="24"/>
              </w:rPr>
            </w:pPr>
          </w:p>
        </w:tc>
        <w:tc>
          <w:tcPr>
            <w:tcW w:w="2160" w:type="dxa"/>
            <w:vAlign w:val="bottom"/>
          </w:tcPr>
          <w:p w14:paraId="2819EACF" w14:textId="77777777" w:rsidR="00151574" w:rsidRPr="004878F8" w:rsidRDefault="00151574">
            <w:pPr>
              <w:rPr>
                <w:sz w:val="24"/>
                <w:szCs w:val="24"/>
              </w:rPr>
            </w:pPr>
          </w:p>
        </w:tc>
      </w:tr>
      <w:tr w:rsidR="00151574" w:rsidRPr="004878F8" w14:paraId="2819EADD" w14:textId="77777777" w:rsidTr="004878F8">
        <w:trPr>
          <w:gridAfter w:val="1"/>
          <w:wAfter w:w="8" w:type="dxa"/>
          <w:trHeight w:val="232"/>
        </w:trPr>
        <w:tc>
          <w:tcPr>
            <w:tcW w:w="2952" w:type="dxa"/>
            <w:vAlign w:val="center"/>
          </w:tcPr>
          <w:p w14:paraId="2819EAD3" w14:textId="103E9743" w:rsidR="00151574" w:rsidRPr="004878F8" w:rsidRDefault="00151574" w:rsidP="004878F8">
            <w:pPr>
              <w:spacing w:line="232" w:lineRule="exact"/>
              <w:rPr>
                <w:sz w:val="24"/>
                <w:szCs w:val="24"/>
              </w:rPr>
            </w:pPr>
            <w:r w:rsidRPr="004878F8">
              <w:rPr>
                <w:rFonts w:eastAsia="Times New Roman"/>
                <w:sz w:val="24"/>
                <w:szCs w:val="24"/>
              </w:rPr>
              <w:t>Dibromochloropropane (DBCP)</w:t>
            </w:r>
          </w:p>
        </w:tc>
        <w:tc>
          <w:tcPr>
            <w:tcW w:w="2174" w:type="dxa"/>
            <w:vAlign w:val="bottom"/>
          </w:tcPr>
          <w:p w14:paraId="2819EAD5" w14:textId="77777777" w:rsidR="00151574" w:rsidRPr="004878F8" w:rsidRDefault="00151574">
            <w:pPr>
              <w:spacing w:line="232" w:lineRule="exact"/>
              <w:rPr>
                <w:sz w:val="24"/>
                <w:szCs w:val="24"/>
              </w:rPr>
            </w:pPr>
            <w:r w:rsidRPr="004878F8">
              <w:rPr>
                <w:rFonts w:eastAsia="Times New Roman"/>
                <w:sz w:val="24"/>
                <w:szCs w:val="24"/>
              </w:rPr>
              <w:t>504.1, 551.1</w:t>
            </w:r>
          </w:p>
        </w:tc>
        <w:tc>
          <w:tcPr>
            <w:tcW w:w="1066" w:type="dxa"/>
            <w:vAlign w:val="bottom"/>
          </w:tcPr>
          <w:p w14:paraId="2819EAD7" w14:textId="77777777" w:rsidR="00151574" w:rsidRPr="004878F8" w:rsidRDefault="00151574">
            <w:pPr>
              <w:rPr>
                <w:sz w:val="24"/>
                <w:szCs w:val="24"/>
              </w:rPr>
            </w:pPr>
          </w:p>
        </w:tc>
        <w:tc>
          <w:tcPr>
            <w:tcW w:w="1961" w:type="dxa"/>
            <w:vAlign w:val="bottom"/>
          </w:tcPr>
          <w:p w14:paraId="2819EAD9" w14:textId="77777777" w:rsidR="00151574" w:rsidRPr="004878F8" w:rsidRDefault="00151574">
            <w:pPr>
              <w:rPr>
                <w:sz w:val="24"/>
                <w:szCs w:val="24"/>
              </w:rPr>
            </w:pPr>
          </w:p>
        </w:tc>
        <w:tc>
          <w:tcPr>
            <w:tcW w:w="2160" w:type="dxa"/>
            <w:vAlign w:val="bottom"/>
          </w:tcPr>
          <w:p w14:paraId="2819EADB" w14:textId="77777777" w:rsidR="00151574" w:rsidRPr="004878F8" w:rsidRDefault="00151574">
            <w:pPr>
              <w:rPr>
                <w:sz w:val="24"/>
                <w:szCs w:val="24"/>
              </w:rPr>
            </w:pPr>
          </w:p>
        </w:tc>
      </w:tr>
      <w:tr w:rsidR="00151574" w:rsidRPr="004878F8" w14:paraId="2819EAF5" w14:textId="77777777" w:rsidTr="004878F8">
        <w:trPr>
          <w:gridAfter w:val="1"/>
          <w:wAfter w:w="8" w:type="dxa"/>
          <w:trHeight w:val="234"/>
        </w:trPr>
        <w:tc>
          <w:tcPr>
            <w:tcW w:w="2952" w:type="dxa"/>
            <w:vAlign w:val="center"/>
          </w:tcPr>
          <w:p w14:paraId="2819EAEB" w14:textId="77777777" w:rsidR="00151574" w:rsidRPr="004878F8" w:rsidRDefault="00151574" w:rsidP="004878F8">
            <w:pPr>
              <w:spacing w:line="233" w:lineRule="exact"/>
              <w:rPr>
                <w:sz w:val="24"/>
                <w:szCs w:val="24"/>
              </w:rPr>
            </w:pPr>
            <w:r w:rsidRPr="004878F8">
              <w:rPr>
                <w:rFonts w:eastAsia="Times New Roman"/>
                <w:sz w:val="24"/>
                <w:szCs w:val="24"/>
              </w:rPr>
              <w:t>Dinoseb</w:t>
            </w:r>
            <w:r w:rsidRPr="004878F8">
              <w:rPr>
                <w:rFonts w:eastAsia="Times New Roman"/>
                <w:sz w:val="24"/>
                <w:szCs w:val="24"/>
                <w:vertAlign w:val="superscript"/>
              </w:rPr>
              <w:t>3</w:t>
            </w:r>
          </w:p>
        </w:tc>
        <w:tc>
          <w:tcPr>
            <w:tcW w:w="2174" w:type="dxa"/>
            <w:vAlign w:val="bottom"/>
          </w:tcPr>
          <w:p w14:paraId="2819EAED" w14:textId="6685A01B" w:rsidR="00151574" w:rsidRPr="004878F8" w:rsidRDefault="00151574">
            <w:pPr>
              <w:spacing w:line="234" w:lineRule="exact"/>
              <w:rPr>
                <w:sz w:val="24"/>
                <w:szCs w:val="24"/>
              </w:rPr>
            </w:pPr>
            <w:r w:rsidRPr="004878F8">
              <w:rPr>
                <w:rFonts w:eastAsia="Times New Roman"/>
                <w:sz w:val="24"/>
                <w:szCs w:val="24"/>
              </w:rPr>
              <w:t>515.2, 555, 515.1, 515.3, 515.4</w:t>
            </w:r>
          </w:p>
        </w:tc>
        <w:tc>
          <w:tcPr>
            <w:tcW w:w="1066" w:type="dxa"/>
            <w:vAlign w:val="bottom"/>
          </w:tcPr>
          <w:p w14:paraId="2819EAEF" w14:textId="77777777" w:rsidR="00151574" w:rsidRPr="004878F8" w:rsidRDefault="00151574">
            <w:pPr>
              <w:rPr>
                <w:sz w:val="24"/>
                <w:szCs w:val="24"/>
              </w:rPr>
            </w:pPr>
          </w:p>
        </w:tc>
        <w:tc>
          <w:tcPr>
            <w:tcW w:w="1961" w:type="dxa"/>
            <w:vAlign w:val="bottom"/>
          </w:tcPr>
          <w:p w14:paraId="2819EAF1" w14:textId="77777777" w:rsidR="00151574" w:rsidRPr="004878F8" w:rsidRDefault="00151574">
            <w:pPr>
              <w:rPr>
                <w:sz w:val="24"/>
                <w:szCs w:val="24"/>
              </w:rPr>
            </w:pPr>
          </w:p>
        </w:tc>
        <w:tc>
          <w:tcPr>
            <w:tcW w:w="2160" w:type="dxa"/>
            <w:vAlign w:val="bottom"/>
          </w:tcPr>
          <w:p w14:paraId="2819EAF3" w14:textId="77777777" w:rsidR="00151574" w:rsidRPr="004878F8" w:rsidRDefault="00151574">
            <w:pPr>
              <w:rPr>
                <w:sz w:val="24"/>
                <w:szCs w:val="24"/>
              </w:rPr>
            </w:pPr>
          </w:p>
        </w:tc>
      </w:tr>
      <w:tr w:rsidR="00151574" w:rsidRPr="004878F8" w14:paraId="2819EB0D" w14:textId="77777777" w:rsidTr="004878F8">
        <w:trPr>
          <w:gridAfter w:val="1"/>
          <w:wAfter w:w="8" w:type="dxa"/>
          <w:trHeight w:val="266"/>
        </w:trPr>
        <w:tc>
          <w:tcPr>
            <w:tcW w:w="2952" w:type="dxa"/>
            <w:vAlign w:val="center"/>
          </w:tcPr>
          <w:p w14:paraId="2819EB03" w14:textId="77777777" w:rsidR="00151574" w:rsidRPr="004878F8" w:rsidRDefault="00151574" w:rsidP="004878F8">
            <w:pPr>
              <w:spacing w:line="265" w:lineRule="exact"/>
              <w:rPr>
                <w:sz w:val="24"/>
                <w:szCs w:val="24"/>
              </w:rPr>
            </w:pPr>
            <w:r w:rsidRPr="004878F8">
              <w:rPr>
                <w:rFonts w:eastAsia="Times New Roman"/>
                <w:sz w:val="24"/>
                <w:szCs w:val="24"/>
              </w:rPr>
              <w:t>Diquat</w:t>
            </w:r>
          </w:p>
        </w:tc>
        <w:tc>
          <w:tcPr>
            <w:tcW w:w="2174" w:type="dxa"/>
            <w:vAlign w:val="bottom"/>
          </w:tcPr>
          <w:p w14:paraId="2819EB05" w14:textId="77777777" w:rsidR="00151574" w:rsidRPr="004878F8" w:rsidRDefault="00151574">
            <w:pPr>
              <w:spacing w:line="265" w:lineRule="exact"/>
              <w:rPr>
                <w:sz w:val="24"/>
                <w:szCs w:val="24"/>
              </w:rPr>
            </w:pPr>
            <w:r w:rsidRPr="004878F8">
              <w:rPr>
                <w:rFonts w:eastAsia="Times New Roman"/>
                <w:sz w:val="24"/>
                <w:szCs w:val="24"/>
              </w:rPr>
              <w:t>549.2</w:t>
            </w:r>
          </w:p>
        </w:tc>
        <w:tc>
          <w:tcPr>
            <w:tcW w:w="1066" w:type="dxa"/>
            <w:vAlign w:val="bottom"/>
          </w:tcPr>
          <w:p w14:paraId="2819EB07" w14:textId="77777777" w:rsidR="00151574" w:rsidRPr="004878F8" w:rsidRDefault="00151574">
            <w:pPr>
              <w:rPr>
                <w:sz w:val="24"/>
                <w:szCs w:val="24"/>
              </w:rPr>
            </w:pPr>
          </w:p>
        </w:tc>
        <w:tc>
          <w:tcPr>
            <w:tcW w:w="1961" w:type="dxa"/>
            <w:vAlign w:val="bottom"/>
          </w:tcPr>
          <w:p w14:paraId="2819EB09" w14:textId="77777777" w:rsidR="00151574" w:rsidRPr="004878F8" w:rsidRDefault="00151574">
            <w:pPr>
              <w:rPr>
                <w:sz w:val="24"/>
                <w:szCs w:val="24"/>
              </w:rPr>
            </w:pPr>
          </w:p>
        </w:tc>
        <w:tc>
          <w:tcPr>
            <w:tcW w:w="2160" w:type="dxa"/>
            <w:vAlign w:val="bottom"/>
          </w:tcPr>
          <w:p w14:paraId="2819EB0B" w14:textId="77777777" w:rsidR="00151574" w:rsidRPr="004878F8" w:rsidRDefault="00151574">
            <w:pPr>
              <w:rPr>
                <w:sz w:val="24"/>
                <w:szCs w:val="24"/>
              </w:rPr>
            </w:pPr>
          </w:p>
        </w:tc>
      </w:tr>
      <w:tr w:rsidR="00151574" w:rsidRPr="004878F8" w14:paraId="2819EB19" w14:textId="77777777" w:rsidTr="004878F8">
        <w:trPr>
          <w:gridAfter w:val="1"/>
          <w:wAfter w:w="8" w:type="dxa"/>
          <w:trHeight w:val="266"/>
        </w:trPr>
        <w:tc>
          <w:tcPr>
            <w:tcW w:w="2952" w:type="dxa"/>
            <w:vAlign w:val="center"/>
          </w:tcPr>
          <w:p w14:paraId="2819EB0F" w14:textId="77777777" w:rsidR="00151574" w:rsidRPr="004878F8" w:rsidRDefault="00151574" w:rsidP="004878F8">
            <w:pPr>
              <w:spacing w:line="265" w:lineRule="exact"/>
              <w:rPr>
                <w:sz w:val="24"/>
                <w:szCs w:val="24"/>
              </w:rPr>
            </w:pPr>
            <w:r w:rsidRPr="004878F8">
              <w:rPr>
                <w:rFonts w:eastAsia="Times New Roman"/>
                <w:sz w:val="24"/>
                <w:szCs w:val="24"/>
              </w:rPr>
              <w:t>Endothall</w:t>
            </w:r>
          </w:p>
        </w:tc>
        <w:tc>
          <w:tcPr>
            <w:tcW w:w="2174" w:type="dxa"/>
            <w:vAlign w:val="bottom"/>
          </w:tcPr>
          <w:p w14:paraId="2819EB11" w14:textId="77777777" w:rsidR="00151574" w:rsidRPr="004878F8" w:rsidRDefault="00151574">
            <w:pPr>
              <w:spacing w:line="265" w:lineRule="exact"/>
              <w:rPr>
                <w:sz w:val="24"/>
                <w:szCs w:val="24"/>
              </w:rPr>
            </w:pPr>
            <w:r w:rsidRPr="004878F8">
              <w:rPr>
                <w:rFonts w:eastAsia="Times New Roman"/>
                <w:sz w:val="24"/>
                <w:szCs w:val="24"/>
              </w:rPr>
              <w:t>548.1</w:t>
            </w:r>
          </w:p>
        </w:tc>
        <w:tc>
          <w:tcPr>
            <w:tcW w:w="1066" w:type="dxa"/>
            <w:vAlign w:val="bottom"/>
          </w:tcPr>
          <w:p w14:paraId="2819EB13" w14:textId="77777777" w:rsidR="00151574" w:rsidRPr="004878F8" w:rsidRDefault="00151574">
            <w:pPr>
              <w:rPr>
                <w:sz w:val="24"/>
                <w:szCs w:val="24"/>
              </w:rPr>
            </w:pPr>
          </w:p>
        </w:tc>
        <w:tc>
          <w:tcPr>
            <w:tcW w:w="1961" w:type="dxa"/>
            <w:vAlign w:val="bottom"/>
          </w:tcPr>
          <w:p w14:paraId="2819EB15" w14:textId="77777777" w:rsidR="00151574" w:rsidRPr="004878F8" w:rsidRDefault="00151574">
            <w:pPr>
              <w:rPr>
                <w:sz w:val="24"/>
                <w:szCs w:val="24"/>
              </w:rPr>
            </w:pPr>
          </w:p>
        </w:tc>
        <w:tc>
          <w:tcPr>
            <w:tcW w:w="2160" w:type="dxa"/>
            <w:vAlign w:val="bottom"/>
          </w:tcPr>
          <w:p w14:paraId="2819EB17" w14:textId="77777777" w:rsidR="00151574" w:rsidRPr="004878F8" w:rsidRDefault="00151574">
            <w:pPr>
              <w:rPr>
                <w:sz w:val="24"/>
                <w:szCs w:val="24"/>
              </w:rPr>
            </w:pPr>
          </w:p>
        </w:tc>
      </w:tr>
      <w:tr w:rsidR="00151574" w:rsidRPr="004878F8" w14:paraId="2819EB25" w14:textId="77777777" w:rsidTr="004878F8">
        <w:trPr>
          <w:gridAfter w:val="1"/>
          <w:wAfter w:w="8" w:type="dxa"/>
          <w:trHeight w:val="232"/>
        </w:trPr>
        <w:tc>
          <w:tcPr>
            <w:tcW w:w="2952" w:type="dxa"/>
            <w:vAlign w:val="center"/>
          </w:tcPr>
          <w:p w14:paraId="2819EB1B" w14:textId="77777777" w:rsidR="00151574" w:rsidRPr="004878F8" w:rsidRDefault="00151574" w:rsidP="004878F8">
            <w:pPr>
              <w:spacing w:line="232" w:lineRule="exact"/>
              <w:rPr>
                <w:sz w:val="24"/>
                <w:szCs w:val="24"/>
              </w:rPr>
            </w:pPr>
            <w:r w:rsidRPr="004878F8">
              <w:rPr>
                <w:rFonts w:eastAsia="Times New Roman"/>
                <w:sz w:val="24"/>
                <w:szCs w:val="24"/>
              </w:rPr>
              <w:t>Endrin</w:t>
            </w:r>
          </w:p>
        </w:tc>
        <w:tc>
          <w:tcPr>
            <w:tcW w:w="2174" w:type="dxa"/>
            <w:vAlign w:val="bottom"/>
          </w:tcPr>
          <w:p w14:paraId="2819EB1D" w14:textId="6FCE1678" w:rsidR="00151574" w:rsidRPr="004878F8" w:rsidRDefault="00151574">
            <w:pPr>
              <w:spacing w:line="232" w:lineRule="exact"/>
              <w:rPr>
                <w:sz w:val="24"/>
                <w:szCs w:val="24"/>
              </w:rPr>
            </w:pPr>
            <w:r w:rsidRPr="004878F8">
              <w:rPr>
                <w:rFonts w:eastAsia="Times New Roman"/>
                <w:sz w:val="24"/>
                <w:szCs w:val="24"/>
              </w:rPr>
              <w:t>505, 508, 525.2, 508.1, 551.1</w:t>
            </w:r>
          </w:p>
        </w:tc>
        <w:tc>
          <w:tcPr>
            <w:tcW w:w="1066" w:type="dxa"/>
            <w:vAlign w:val="bottom"/>
          </w:tcPr>
          <w:p w14:paraId="2819EB1F" w14:textId="77777777" w:rsidR="00151574" w:rsidRPr="004878F8" w:rsidRDefault="00151574">
            <w:pPr>
              <w:rPr>
                <w:sz w:val="24"/>
                <w:szCs w:val="24"/>
              </w:rPr>
            </w:pPr>
          </w:p>
        </w:tc>
        <w:tc>
          <w:tcPr>
            <w:tcW w:w="1961" w:type="dxa"/>
            <w:vAlign w:val="bottom"/>
          </w:tcPr>
          <w:p w14:paraId="2819EB21" w14:textId="77777777" w:rsidR="00151574" w:rsidRPr="004878F8" w:rsidRDefault="00151574">
            <w:pPr>
              <w:rPr>
                <w:sz w:val="24"/>
                <w:szCs w:val="24"/>
              </w:rPr>
            </w:pPr>
          </w:p>
        </w:tc>
        <w:tc>
          <w:tcPr>
            <w:tcW w:w="2160" w:type="dxa"/>
            <w:vAlign w:val="bottom"/>
          </w:tcPr>
          <w:p w14:paraId="2819EB23" w14:textId="77777777" w:rsidR="00151574" w:rsidRPr="004878F8" w:rsidRDefault="00151574">
            <w:pPr>
              <w:rPr>
                <w:sz w:val="24"/>
                <w:szCs w:val="24"/>
              </w:rPr>
            </w:pPr>
          </w:p>
        </w:tc>
      </w:tr>
      <w:tr w:rsidR="00151574" w:rsidRPr="004878F8" w14:paraId="2819EB3D" w14:textId="77777777" w:rsidTr="004878F8">
        <w:trPr>
          <w:gridAfter w:val="1"/>
          <w:wAfter w:w="8" w:type="dxa"/>
          <w:trHeight w:val="268"/>
        </w:trPr>
        <w:tc>
          <w:tcPr>
            <w:tcW w:w="2952" w:type="dxa"/>
            <w:vAlign w:val="center"/>
          </w:tcPr>
          <w:p w14:paraId="2819EB33" w14:textId="77777777" w:rsidR="00151574" w:rsidRPr="004878F8" w:rsidRDefault="00151574" w:rsidP="004878F8">
            <w:pPr>
              <w:spacing w:line="268" w:lineRule="exact"/>
              <w:rPr>
                <w:sz w:val="24"/>
                <w:szCs w:val="24"/>
              </w:rPr>
            </w:pPr>
            <w:r w:rsidRPr="004878F8">
              <w:rPr>
                <w:rFonts w:eastAsia="Times New Roman"/>
                <w:sz w:val="24"/>
                <w:szCs w:val="24"/>
              </w:rPr>
              <w:t>Ethylene dibromide (EDB)</w:t>
            </w:r>
          </w:p>
        </w:tc>
        <w:tc>
          <w:tcPr>
            <w:tcW w:w="2174" w:type="dxa"/>
            <w:vAlign w:val="bottom"/>
          </w:tcPr>
          <w:p w14:paraId="2819EB35" w14:textId="77777777" w:rsidR="00151574" w:rsidRPr="004878F8" w:rsidRDefault="00151574">
            <w:pPr>
              <w:spacing w:line="268" w:lineRule="exact"/>
              <w:rPr>
                <w:sz w:val="24"/>
                <w:szCs w:val="24"/>
              </w:rPr>
            </w:pPr>
            <w:r w:rsidRPr="004878F8">
              <w:rPr>
                <w:rFonts w:eastAsia="Times New Roman"/>
                <w:sz w:val="24"/>
                <w:szCs w:val="24"/>
              </w:rPr>
              <w:t>504.1, 551.1</w:t>
            </w:r>
          </w:p>
        </w:tc>
        <w:tc>
          <w:tcPr>
            <w:tcW w:w="1066" w:type="dxa"/>
            <w:vAlign w:val="bottom"/>
          </w:tcPr>
          <w:p w14:paraId="2819EB37" w14:textId="77777777" w:rsidR="00151574" w:rsidRPr="004878F8" w:rsidRDefault="00151574">
            <w:pPr>
              <w:spacing w:line="268" w:lineRule="exact"/>
              <w:rPr>
                <w:sz w:val="24"/>
                <w:szCs w:val="24"/>
              </w:rPr>
            </w:pPr>
            <w:r w:rsidRPr="004878F8">
              <w:rPr>
                <w:rFonts w:eastAsia="Times New Roman"/>
                <w:sz w:val="24"/>
                <w:szCs w:val="24"/>
              </w:rPr>
              <w:t>6651</w:t>
            </w:r>
          </w:p>
        </w:tc>
        <w:tc>
          <w:tcPr>
            <w:tcW w:w="1961" w:type="dxa"/>
            <w:vAlign w:val="bottom"/>
          </w:tcPr>
          <w:p w14:paraId="2819EB39" w14:textId="77777777" w:rsidR="00151574" w:rsidRPr="004878F8" w:rsidRDefault="00151574">
            <w:pPr>
              <w:rPr>
                <w:sz w:val="24"/>
                <w:szCs w:val="24"/>
              </w:rPr>
            </w:pPr>
          </w:p>
        </w:tc>
        <w:tc>
          <w:tcPr>
            <w:tcW w:w="2160" w:type="dxa"/>
            <w:vAlign w:val="bottom"/>
          </w:tcPr>
          <w:p w14:paraId="2819EB3B" w14:textId="77777777" w:rsidR="00151574" w:rsidRPr="004878F8" w:rsidRDefault="00151574">
            <w:pPr>
              <w:rPr>
                <w:sz w:val="24"/>
                <w:szCs w:val="24"/>
              </w:rPr>
            </w:pPr>
          </w:p>
        </w:tc>
      </w:tr>
      <w:tr w:rsidR="00151574" w:rsidRPr="004878F8" w14:paraId="2819EB49" w14:textId="77777777" w:rsidTr="004878F8">
        <w:trPr>
          <w:gridAfter w:val="1"/>
          <w:wAfter w:w="8" w:type="dxa"/>
          <w:trHeight w:val="266"/>
        </w:trPr>
        <w:tc>
          <w:tcPr>
            <w:tcW w:w="2952" w:type="dxa"/>
            <w:vAlign w:val="center"/>
          </w:tcPr>
          <w:p w14:paraId="2819EB3F" w14:textId="77777777" w:rsidR="00151574" w:rsidRPr="004878F8" w:rsidRDefault="00151574" w:rsidP="004878F8">
            <w:pPr>
              <w:spacing w:line="265" w:lineRule="exact"/>
              <w:rPr>
                <w:sz w:val="24"/>
                <w:szCs w:val="24"/>
              </w:rPr>
            </w:pPr>
            <w:r w:rsidRPr="004878F8">
              <w:rPr>
                <w:rFonts w:eastAsia="Times New Roman"/>
                <w:sz w:val="24"/>
                <w:szCs w:val="24"/>
              </w:rPr>
              <w:t>Glyphosate</w:t>
            </w:r>
          </w:p>
        </w:tc>
        <w:tc>
          <w:tcPr>
            <w:tcW w:w="2174" w:type="dxa"/>
            <w:vAlign w:val="bottom"/>
          </w:tcPr>
          <w:p w14:paraId="2819EB41" w14:textId="77777777" w:rsidR="00151574" w:rsidRPr="004878F8" w:rsidRDefault="00151574">
            <w:pPr>
              <w:spacing w:line="265" w:lineRule="exact"/>
              <w:rPr>
                <w:sz w:val="24"/>
                <w:szCs w:val="24"/>
              </w:rPr>
            </w:pPr>
            <w:r w:rsidRPr="004878F8">
              <w:rPr>
                <w:rFonts w:eastAsia="Times New Roman"/>
                <w:sz w:val="24"/>
                <w:szCs w:val="24"/>
              </w:rPr>
              <w:t>547</w:t>
            </w:r>
          </w:p>
        </w:tc>
        <w:tc>
          <w:tcPr>
            <w:tcW w:w="1066" w:type="dxa"/>
            <w:vAlign w:val="bottom"/>
          </w:tcPr>
          <w:p w14:paraId="2819EB43" w14:textId="77777777" w:rsidR="00151574" w:rsidRPr="004878F8" w:rsidRDefault="00151574">
            <w:pPr>
              <w:rPr>
                <w:sz w:val="24"/>
                <w:szCs w:val="24"/>
              </w:rPr>
            </w:pPr>
          </w:p>
        </w:tc>
        <w:tc>
          <w:tcPr>
            <w:tcW w:w="1961" w:type="dxa"/>
            <w:vAlign w:val="bottom"/>
          </w:tcPr>
          <w:p w14:paraId="2819EB45" w14:textId="77777777" w:rsidR="00151574" w:rsidRPr="004878F8" w:rsidRDefault="00151574">
            <w:pPr>
              <w:rPr>
                <w:sz w:val="24"/>
                <w:szCs w:val="24"/>
              </w:rPr>
            </w:pPr>
          </w:p>
        </w:tc>
        <w:tc>
          <w:tcPr>
            <w:tcW w:w="2160" w:type="dxa"/>
            <w:vAlign w:val="bottom"/>
          </w:tcPr>
          <w:p w14:paraId="2819EB47" w14:textId="77777777" w:rsidR="00151574" w:rsidRPr="004878F8" w:rsidRDefault="00151574">
            <w:pPr>
              <w:rPr>
                <w:sz w:val="24"/>
                <w:szCs w:val="24"/>
              </w:rPr>
            </w:pPr>
          </w:p>
        </w:tc>
      </w:tr>
      <w:tr w:rsidR="00151574" w:rsidRPr="004878F8" w14:paraId="2819EB55" w14:textId="77777777" w:rsidTr="004878F8">
        <w:trPr>
          <w:gridAfter w:val="1"/>
          <w:wAfter w:w="8" w:type="dxa"/>
          <w:trHeight w:val="232"/>
        </w:trPr>
        <w:tc>
          <w:tcPr>
            <w:tcW w:w="2952" w:type="dxa"/>
            <w:vAlign w:val="center"/>
          </w:tcPr>
          <w:p w14:paraId="2819EB4B" w14:textId="77777777" w:rsidR="00151574" w:rsidRPr="004878F8" w:rsidRDefault="00151574" w:rsidP="004878F8">
            <w:pPr>
              <w:spacing w:line="232" w:lineRule="exact"/>
              <w:rPr>
                <w:sz w:val="24"/>
                <w:szCs w:val="24"/>
              </w:rPr>
            </w:pPr>
            <w:r w:rsidRPr="004878F8">
              <w:rPr>
                <w:rFonts w:eastAsia="Times New Roman"/>
                <w:sz w:val="24"/>
                <w:szCs w:val="24"/>
              </w:rPr>
              <w:t>Heptachlor</w:t>
            </w:r>
          </w:p>
        </w:tc>
        <w:tc>
          <w:tcPr>
            <w:tcW w:w="2174" w:type="dxa"/>
            <w:vAlign w:val="bottom"/>
          </w:tcPr>
          <w:p w14:paraId="2819EB4D" w14:textId="3713FA99" w:rsidR="00151574" w:rsidRPr="004878F8" w:rsidRDefault="00151574">
            <w:pPr>
              <w:spacing w:line="232" w:lineRule="exact"/>
              <w:rPr>
                <w:sz w:val="24"/>
                <w:szCs w:val="24"/>
              </w:rPr>
            </w:pPr>
            <w:r w:rsidRPr="004878F8">
              <w:rPr>
                <w:rFonts w:eastAsia="Times New Roman"/>
                <w:sz w:val="24"/>
                <w:szCs w:val="24"/>
              </w:rPr>
              <w:t>505, 508, 525.2, 508.1, 551.1</w:t>
            </w:r>
          </w:p>
        </w:tc>
        <w:tc>
          <w:tcPr>
            <w:tcW w:w="1066" w:type="dxa"/>
            <w:vAlign w:val="bottom"/>
          </w:tcPr>
          <w:p w14:paraId="2819EB4F" w14:textId="77777777" w:rsidR="00151574" w:rsidRPr="004878F8" w:rsidRDefault="00151574">
            <w:pPr>
              <w:rPr>
                <w:sz w:val="24"/>
                <w:szCs w:val="24"/>
              </w:rPr>
            </w:pPr>
          </w:p>
        </w:tc>
        <w:tc>
          <w:tcPr>
            <w:tcW w:w="1961" w:type="dxa"/>
            <w:vAlign w:val="bottom"/>
          </w:tcPr>
          <w:p w14:paraId="2819EB51" w14:textId="77777777" w:rsidR="00151574" w:rsidRPr="004878F8" w:rsidRDefault="00151574">
            <w:pPr>
              <w:rPr>
                <w:sz w:val="24"/>
                <w:szCs w:val="24"/>
              </w:rPr>
            </w:pPr>
          </w:p>
        </w:tc>
        <w:tc>
          <w:tcPr>
            <w:tcW w:w="2160" w:type="dxa"/>
            <w:vAlign w:val="bottom"/>
          </w:tcPr>
          <w:p w14:paraId="2819EB53" w14:textId="77777777" w:rsidR="00151574" w:rsidRPr="004878F8" w:rsidRDefault="00151574">
            <w:pPr>
              <w:rPr>
                <w:sz w:val="24"/>
                <w:szCs w:val="24"/>
              </w:rPr>
            </w:pPr>
          </w:p>
        </w:tc>
      </w:tr>
      <w:tr w:rsidR="00151574" w:rsidRPr="004878F8" w14:paraId="2819EB6D" w14:textId="77777777" w:rsidTr="004878F8">
        <w:trPr>
          <w:gridAfter w:val="1"/>
          <w:wAfter w:w="8" w:type="dxa"/>
          <w:trHeight w:val="232"/>
        </w:trPr>
        <w:tc>
          <w:tcPr>
            <w:tcW w:w="2952" w:type="dxa"/>
            <w:vAlign w:val="center"/>
          </w:tcPr>
          <w:p w14:paraId="2819EB63" w14:textId="77777777" w:rsidR="00151574" w:rsidRPr="004878F8" w:rsidRDefault="00151574" w:rsidP="004878F8">
            <w:pPr>
              <w:spacing w:line="232" w:lineRule="exact"/>
              <w:rPr>
                <w:sz w:val="24"/>
                <w:szCs w:val="24"/>
              </w:rPr>
            </w:pPr>
            <w:r w:rsidRPr="004878F8">
              <w:rPr>
                <w:rFonts w:eastAsia="Times New Roman"/>
                <w:sz w:val="24"/>
                <w:szCs w:val="24"/>
              </w:rPr>
              <w:t>Heptachlor Epoxide</w:t>
            </w:r>
          </w:p>
        </w:tc>
        <w:tc>
          <w:tcPr>
            <w:tcW w:w="2174" w:type="dxa"/>
            <w:vAlign w:val="bottom"/>
          </w:tcPr>
          <w:p w14:paraId="2819EB65" w14:textId="7F0A6481" w:rsidR="00151574" w:rsidRPr="004878F8" w:rsidRDefault="00151574">
            <w:pPr>
              <w:spacing w:line="232" w:lineRule="exact"/>
              <w:rPr>
                <w:sz w:val="24"/>
                <w:szCs w:val="24"/>
              </w:rPr>
            </w:pPr>
            <w:r w:rsidRPr="004878F8">
              <w:rPr>
                <w:rFonts w:eastAsia="Times New Roman"/>
                <w:sz w:val="24"/>
                <w:szCs w:val="24"/>
              </w:rPr>
              <w:t>505, 508, 525.2, 508.1, 551.1</w:t>
            </w:r>
          </w:p>
        </w:tc>
        <w:tc>
          <w:tcPr>
            <w:tcW w:w="1066" w:type="dxa"/>
            <w:vAlign w:val="bottom"/>
          </w:tcPr>
          <w:p w14:paraId="2819EB67" w14:textId="77777777" w:rsidR="00151574" w:rsidRPr="004878F8" w:rsidRDefault="00151574">
            <w:pPr>
              <w:rPr>
                <w:sz w:val="24"/>
                <w:szCs w:val="24"/>
              </w:rPr>
            </w:pPr>
          </w:p>
        </w:tc>
        <w:tc>
          <w:tcPr>
            <w:tcW w:w="1961" w:type="dxa"/>
            <w:vAlign w:val="bottom"/>
          </w:tcPr>
          <w:p w14:paraId="2819EB69" w14:textId="77777777" w:rsidR="00151574" w:rsidRPr="004878F8" w:rsidRDefault="00151574">
            <w:pPr>
              <w:rPr>
                <w:sz w:val="24"/>
                <w:szCs w:val="24"/>
              </w:rPr>
            </w:pPr>
          </w:p>
        </w:tc>
        <w:tc>
          <w:tcPr>
            <w:tcW w:w="2160" w:type="dxa"/>
            <w:vAlign w:val="bottom"/>
          </w:tcPr>
          <w:p w14:paraId="2819EB6B" w14:textId="77777777" w:rsidR="00151574" w:rsidRPr="004878F8" w:rsidRDefault="00151574">
            <w:pPr>
              <w:rPr>
                <w:sz w:val="24"/>
                <w:szCs w:val="24"/>
              </w:rPr>
            </w:pPr>
          </w:p>
        </w:tc>
      </w:tr>
      <w:tr w:rsidR="00151574" w:rsidRPr="004878F8" w14:paraId="2819EB85" w14:textId="77777777" w:rsidTr="004878F8">
        <w:trPr>
          <w:gridAfter w:val="1"/>
          <w:wAfter w:w="8" w:type="dxa"/>
          <w:trHeight w:val="234"/>
        </w:trPr>
        <w:tc>
          <w:tcPr>
            <w:tcW w:w="2952" w:type="dxa"/>
            <w:vAlign w:val="center"/>
          </w:tcPr>
          <w:p w14:paraId="2819EB7B" w14:textId="77777777" w:rsidR="00151574" w:rsidRPr="004878F8" w:rsidRDefault="00151574" w:rsidP="004878F8">
            <w:pPr>
              <w:spacing w:line="234" w:lineRule="exact"/>
              <w:rPr>
                <w:sz w:val="24"/>
                <w:szCs w:val="24"/>
              </w:rPr>
            </w:pPr>
            <w:r w:rsidRPr="004878F8">
              <w:rPr>
                <w:rFonts w:eastAsia="Times New Roman"/>
                <w:sz w:val="24"/>
                <w:szCs w:val="24"/>
              </w:rPr>
              <w:t>Hexachlorobenzene</w:t>
            </w:r>
          </w:p>
        </w:tc>
        <w:tc>
          <w:tcPr>
            <w:tcW w:w="2174" w:type="dxa"/>
            <w:vAlign w:val="bottom"/>
          </w:tcPr>
          <w:p w14:paraId="2819EB7D" w14:textId="4D6807E7" w:rsidR="00151574" w:rsidRPr="004878F8" w:rsidRDefault="00151574">
            <w:pPr>
              <w:spacing w:line="234" w:lineRule="exact"/>
              <w:rPr>
                <w:sz w:val="24"/>
                <w:szCs w:val="24"/>
              </w:rPr>
            </w:pPr>
            <w:r w:rsidRPr="004878F8">
              <w:rPr>
                <w:rFonts w:eastAsia="Times New Roman"/>
                <w:sz w:val="24"/>
                <w:szCs w:val="24"/>
              </w:rPr>
              <w:t>505, 508, 525.2, 508.1, 551.1</w:t>
            </w:r>
          </w:p>
        </w:tc>
        <w:tc>
          <w:tcPr>
            <w:tcW w:w="1066" w:type="dxa"/>
            <w:vAlign w:val="bottom"/>
          </w:tcPr>
          <w:p w14:paraId="2819EB7F" w14:textId="77777777" w:rsidR="00151574" w:rsidRPr="004878F8" w:rsidRDefault="00151574">
            <w:pPr>
              <w:rPr>
                <w:sz w:val="24"/>
                <w:szCs w:val="24"/>
              </w:rPr>
            </w:pPr>
          </w:p>
        </w:tc>
        <w:tc>
          <w:tcPr>
            <w:tcW w:w="1961" w:type="dxa"/>
            <w:vAlign w:val="bottom"/>
          </w:tcPr>
          <w:p w14:paraId="2819EB81" w14:textId="77777777" w:rsidR="00151574" w:rsidRPr="004878F8" w:rsidRDefault="00151574">
            <w:pPr>
              <w:rPr>
                <w:sz w:val="24"/>
                <w:szCs w:val="24"/>
              </w:rPr>
            </w:pPr>
          </w:p>
        </w:tc>
        <w:tc>
          <w:tcPr>
            <w:tcW w:w="2160" w:type="dxa"/>
            <w:vAlign w:val="bottom"/>
          </w:tcPr>
          <w:p w14:paraId="2819EB83" w14:textId="77777777" w:rsidR="00151574" w:rsidRPr="004878F8" w:rsidRDefault="00151574">
            <w:pPr>
              <w:rPr>
                <w:sz w:val="24"/>
                <w:szCs w:val="24"/>
              </w:rPr>
            </w:pPr>
          </w:p>
        </w:tc>
      </w:tr>
      <w:tr w:rsidR="00151574" w:rsidRPr="004878F8" w14:paraId="2819EB9D" w14:textId="77777777" w:rsidTr="004878F8">
        <w:trPr>
          <w:gridAfter w:val="1"/>
          <w:wAfter w:w="8" w:type="dxa"/>
          <w:trHeight w:val="232"/>
        </w:trPr>
        <w:tc>
          <w:tcPr>
            <w:tcW w:w="2952" w:type="dxa"/>
            <w:vAlign w:val="center"/>
          </w:tcPr>
          <w:p w14:paraId="2819EB93" w14:textId="5BE46F59" w:rsidR="00151574" w:rsidRPr="004878F8" w:rsidRDefault="00151574" w:rsidP="004878F8">
            <w:pPr>
              <w:spacing w:line="232" w:lineRule="exact"/>
              <w:rPr>
                <w:sz w:val="24"/>
                <w:szCs w:val="24"/>
              </w:rPr>
            </w:pPr>
            <w:r w:rsidRPr="004878F8">
              <w:rPr>
                <w:rFonts w:eastAsia="Times New Roman"/>
                <w:sz w:val="24"/>
                <w:szCs w:val="24"/>
              </w:rPr>
              <w:t>Hexachloro-cyclopentadiene</w:t>
            </w:r>
          </w:p>
        </w:tc>
        <w:tc>
          <w:tcPr>
            <w:tcW w:w="2174" w:type="dxa"/>
            <w:vAlign w:val="bottom"/>
          </w:tcPr>
          <w:p w14:paraId="2819EB95" w14:textId="30BD7851" w:rsidR="00151574" w:rsidRPr="004878F8" w:rsidRDefault="00151574">
            <w:pPr>
              <w:spacing w:line="232" w:lineRule="exact"/>
              <w:rPr>
                <w:sz w:val="24"/>
                <w:szCs w:val="24"/>
              </w:rPr>
            </w:pPr>
            <w:r w:rsidRPr="004878F8">
              <w:rPr>
                <w:rFonts w:eastAsia="Times New Roman"/>
                <w:sz w:val="24"/>
                <w:szCs w:val="24"/>
              </w:rPr>
              <w:t>505, 508, 525.2, 508.1, 551.1</w:t>
            </w:r>
          </w:p>
        </w:tc>
        <w:tc>
          <w:tcPr>
            <w:tcW w:w="1066" w:type="dxa"/>
            <w:vAlign w:val="bottom"/>
          </w:tcPr>
          <w:p w14:paraId="2819EB97" w14:textId="77777777" w:rsidR="00151574" w:rsidRPr="004878F8" w:rsidRDefault="00151574">
            <w:pPr>
              <w:rPr>
                <w:sz w:val="24"/>
                <w:szCs w:val="24"/>
              </w:rPr>
            </w:pPr>
          </w:p>
        </w:tc>
        <w:tc>
          <w:tcPr>
            <w:tcW w:w="1961" w:type="dxa"/>
            <w:vAlign w:val="bottom"/>
          </w:tcPr>
          <w:p w14:paraId="2819EB99" w14:textId="77777777" w:rsidR="00151574" w:rsidRPr="004878F8" w:rsidRDefault="00151574">
            <w:pPr>
              <w:rPr>
                <w:sz w:val="24"/>
                <w:szCs w:val="24"/>
              </w:rPr>
            </w:pPr>
          </w:p>
        </w:tc>
        <w:tc>
          <w:tcPr>
            <w:tcW w:w="2160" w:type="dxa"/>
            <w:vAlign w:val="bottom"/>
          </w:tcPr>
          <w:p w14:paraId="2819EB9B" w14:textId="77777777" w:rsidR="00151574" w:rsidRPr="004878F8" w:rsidRDefault="00151574">
            <w:pPr>
              <w:rPr>
                <w:sz w:val="24"/>
                <w:szCs w:val="24"/>
              </w:rPr>
            </w:pPr>
          </w:p>
        </w:tc>
      </w:tr>
      <w:tr w:rsidR="00151574" w:rsidRPr="004878F8" w14:paraId="2819EBB5" w14:textId="77777777" w:rsidTr="004878F8">
        <w:trPr>
          <w:gridAfter w:val="1"/>
          <w:wAfter w:w="8" w:type="dxa"/>
          <w:trHeight w:val="234"/>
        </w:trPr>
        <w:tc>
          <w:tcPr>
            <w:tcW w:w="2952" w:type="dxa"/>
            <w:vAlign w:val="center"/>
          </w:tcPr>
          <w:p w14:paraId="2819EBAB" w14:textId="77777777" w:rsidR="00151574" w:rsidRPr="004878F8" w:rsidRDefault="00151574" w:rsidP="004878F8">
            <w:pPr>
              <w:spacing w:line="234" w:lineRule="exact"/>
              <w:rPr>
                <w:sz w:val="24"/>
                <w:szCs w:val="24"/>
              </w:rPr>
            </w:pPr>
            <w:r w:rsidRPr="004878F8">
              <w:rPr>
                <w:rFonts w:eastAsia="Times New Roman"/>
                <w:sz w:val="24"/>
                <w:szCs w:val="24"/>
              </w:rPr>
              <w:t>Lindane</w:t>
            </w:r>
          </w:p>
        </w:tc>
        <w:tc>
          <w:tcPr>
            <w:tcW w:w="2174" w:type="dxa"/>
            <w:vAlign w:val="bottom"/>
          </w:tcPr>
          <w:p w14:paraId="2819EBAD" w14:textId="38BBFF35" w:rsidR="00151574" w:rsidRPr="004878F8" w:rsidRDefault="00151574">
            <w:pPr>
              <w:spacing w:line="234" w:lineRule="exact"/>
              <w:rPr>
                <w:sz w:val="24"/>
                <w:szCs w:val="24"/>
              </w:rPr>
            </w:pPr>
            <w:r w:rsidRPr="004878F8">
              <w:rPr>
                <w:rFonts w:eastAsia="Times New Roman"/>
                <w:sz w:val="24"/>
                <w:szCs w:val="24"/>
              </w:rPr>
              <w:t>505, 508, 525.2, 508.1, 551.1</w:t>
            </w:r>
          </w:p>
        </w:tc>
        <w:tc>
          <w:tcPr>
            <w:tcW w:w="1066" w:type="dxa"/>
            <w:vAlign w:val="bottom"/>
          </w:tcPr>
          <w:p w14:paraId="2819EBAF" w14:textId="77777777" w:rsidR="00151574" w:rsidRPr="004878F8" w:rsidRDefault="00151574">
            <w:pPr>
              <w:rPr>
                <w:sz w:val="24"/>
                <w:szCs w:val="24"/>
              </w:rPr>
            </w:pPr>
          </w:p>
        </w:tc>
        <w:tc>
          <w:tcPr>
            <w:tcW w:w="1961" w:type="dxa"/>
            <w:vAlign w:val="bottom"/>
          </w:tcPr>
          <w:p w14:paraId="2819EBB1" w14:textId="77777777" w:rsidR="00151574" w:rsidRPr="004878F8" w:rsidRDefault="00151574">
            <w:pPr>
              <w:rPr>
                <w:sz w:val="24"/>
                <w:szCs w:val="24"/>
              </w:rPr>
            </w:pPr>
          </w:p>
        </w:tc>
        <w:tc>
          <w:tcPr>
            <w:tcW w:w="2160" w:type="dxa"/>
            <w:vAlign w:val="bottom"/>
          </w:tcPr>
          <w:p w14:paraId="2819EBB3" w14:textId="77777777" w:rsidR="00151574" w:rsidRPr="004878F8" w:rsidRDefault="00151574">
            <w:pPr>
              <w:rPr>
                <w:sz w:val="24"/>
                <w:szCs w:val="24"/>
              </w:rPr>
            </w:pPr>
          </w:p>
        </w:tc>
      </w:tr>
      <w:tr w:rsidR="00151574" w:rsidRPr="004878F8" w14:paraId="2819EBCD" w14:textId="77777777" w:rsidTr="004878F8">
        <w:trPr>
          <w:gridAfter w:val="1"/>
          <w:wAfter w:w="8" w:type="dxa"/>
          <w:trHeight w:val="232"/>
        </w:trPr>
        <w:tc>
          <w:tcPr>
            <w:tcW w:w="2952" w:type="dxa"/>
            <w:vAlign w:val="center"/>
          </w:tcPr>
          <w:p w14:paraId="2819EBC3" w14:textId="77777777" w:rsidR="00151574" w:rsidRPr="004878F8" w:rsidRDefault="00151574" w:rsidP="004878F8">
            <w:pPr>
              <w:spacing w:line="232" w:lineRule="exact"/>
              <w:rPr>
                <w:sz w:val="24"/>
                <w:szCs w:val="24"/>
              </w:rPr>
            </w:pPr>
            <w:r w:rsidRPr="004878F8">
              <w:rPr>
                <w:rFonts w:eastAsia="Times New Roman"/>
                <w:sz w:val="24"/>
                <w:szCs w:val="24"/>
              </w:rPr>
              <w:t>Methoxychlor</w:t>
            </w:r>
          </w:p>
        </w:tc>
        <w:tc>
          <w:tcPr>
            <w:tcW w:w="2174" w:type="dxa"/>
            <w:vAlign w:val="bottom"/>
          </w:tcPr>
          <w:p w14:paraId="2819EBC5" w14:textId="2BDAE9D6" w:rsidR="00151574" w:rsidRPr="004878F8" w:rsidRDefault="00151574">
            <w:pPr>
              <w:spacing w:line="232" w:lineRule="exact"/>
              <w:rPr>
                <w:sz w:val="24"/>
                <w:szCs w:val="24"/>
              </w:rPr>
            </w:pPr>
            <w:r w:rsidRPr="004878F8">
              <w:rPr>
                <w:rFonts w:eastAsia="Times New Roman"/>
                <w:sz w:val="24"/>
                <w:szCs w:val="24"/>
              </w:rPr>
              <w:t>505, 508, 525.2, 508.1, 551.1</w:t>
            </w:r>
          </w:p>
        </w:tc>
        <w:tc>
          <w:tcPr>
            <w:tcW w:w="1066" w:type="dxa"/>
            <w:vAlign w:val="bottom"/>
          </w:tcPr>
          <w:p w14:paraId="2819EBC7" w14:textId="77777777" w:rsidR="00151574" w:rsidRPr="004878F8" w:rsidRDefault="00151574">
            <w:pPr>
              <w:rPr>
                <w:sz w:val="24"/>
                <w:szCs w:val="24"/>
              </w:rPr>
            </w:pPr>
          </w:p>
        </w:tc>
        <w:tc>
          <w:tcPr>
            <w:tcW w:w="1961" w:type="dxa"/>
            <w:vAlign w:val="bottom"/>
          </w:tcPr>
          <w:p w14:paraId="2819EBC9" w14:textId="77777777" w:rsidR="00151574" w:rsidRPr="004878F8" w:rsidRDefault="00151574">
            <w:pPr>
              <w:rPr>
                <w:sz w:val="24"/>
                <w:szCs w:val="24"/>
              </w:rPr>
            </w:pPr>
          </w:p>
        </w:tc>
        <w:tc>
          <w:tcPr>
            <w:tcW w:w="2160" w:type="dxa"/>
            <w:vAlign w:val="bottom"/>
          </w:tcPr>
          <w:p w14:paraId="2819EBCB" w14:textId="77777777" w:rsidR="00151574" w:rsidRPr="004878F8" w:rsidRDefault="00151574">
            <w:pPr>
              <w:rPr>
                <w:sz w:val="24"/>
                <w:szCs w:val="24"/>
              </w:rPr>
            </w:pPr>
          </w:p>
        </w:tc>
      </w:tr>
      <w:tr w:rsidR="00151574" w:rsidRPr="004878F8" w14:paraId="2819EBE5" w14:textId="77777777" w:rsidTr="004878F8">
        <w:trPr>
          <w:gridAfter w:val="1"/>
          <w:wAfter w:w="8" w:type="dxa"/>
          <w:trHeight w:val="268"/>
        </w:trPr>
        <w:tc>
          <w:tcPr>
            <w:tcW w:w="2952" w:type="dxa"/>
            <w:vAlign w:val="center"/>
          </w:tcPr>
          <w:p w14:paraId="2819EBDB" w14:textId="77777777" w:rsidR="00151574" w:rsidRPr="004878F8" w:rsidRDefault="00151574" w:rsidP="004878F8">
            <w:pPr>
              <w:spacing w:line="268" w:lineRule="exact"/>
              <w:rPr>
                <w:sz w:val="24"/>
                <w:szCs w:val="24"/>
              </w:rPr>
            </w:pPr>
            <w:r w:rsidRPr="004878F8">
              <w:rPr>
                <w:rFonts w:eastAsia="Times New Roman"/>
                <w:sz w:val="24"/>
                <w:szCs w:val="24"/>
              </w:rPr>
              <w:t>Oxamyl</w:t>
            </w:r>
          </w:p>
        </w:tc>
        <w:tc>
          <w:tcPr>
            <w:tcW w:w="2174" w:type="dxa"/>
            <w:vAlign w:val="bottom"/>
          </w:tcPr>
          <w:p w14:paraId="2819EBDD" w14:textId="77777777" w:rsidR="00151574" w:rsidRPr="004878F8" w:rsidRDefault="00151574">
            <w:pPr>
              <w:spacing w:line="268" w:lineRule="exact"/>
              <w:rPr>
                <w:sz w:val="24"/>
                <w:szCs w:val="24"/>
              </w:rPr>
            </w:pPr>
            <w:r w:rsidRPr="004878F8">
              <w:rPr>
                <w:rFonts w:eastAsia="Times New Roman"/>
                <w:sz w:val="24"/>
                <w:szCs w:val="24"/>
              </w:rPr>
              <w:t>531.1, 531,2</w:t>
            </w:r>
          </w:p>
        </w:tc>
        <w:tc>
          <w:tcPr>
            <w:tcW w:w="1066" w:type="dxa"/>
            <w:vAlign w:val="bottom"/>
          </w:tcPr>
          <w:p w14:paraId="2819EBDF" w14:textId="77777777" w:rsidR="00151574" w:rsidRPr="004878F8" w:rsidRDefault="00151574">
            <w:pPr>
              <w:spacing w:line="268" w:lineRule="exact"/>
              <w:rPr>
                <w:sz w:val="24"/>
                <w:szCs w:val="24"/>
              </w:rPr>
            </w:pPr>
            <w:r w:rsidRPr="004878F8">
              <w:rPr>
                <w:rFonts w:eastAsia="Times New Roman"/>
                <w:sz w:val="24"/>
                <w:szCs w:val="24"/>
              </w:rPr>
              <w:t>6610</w:t>
            </w:r>
          </w:p>
        </w:tc>
        <w:tc>
          <w:tcPr>
            <w:tcW w:w="1961" w:type="dxa"/>
            <w:vAlign w:val="bottom"/>
          </w:tcPr>
          <w:p w14:paraId="2819EBE1" w14:textId="77777777" w:rsidR="00151574" w:rsidRPr="004878F8" w:rsidRDefault="00151574">
            <w:pPr>
              <w:rPr>
                <w:sz w:val="24"/>
                <w:szCs w:val="24"/>
              </w:rPr>
            </w:pPr>
          </w:p>
        </w:tc>
        <w:tc>
          <w:tcPr>
            <w:tcW w:w="2160" w:type="dxa"/>
            <w:vAlign w:val="bottom"/>
          </w:tcPr>
          <w:p w14:paraId="2819EBE3" w14:textId="77777777" w:rsidR="00151574" w:rsidRPr="004878F8" w:rsidRDefault="00151574">
            <w:pPr>
              <w:rPr>
                <w:sz w:val="24"/>
                <w:szCs w:val="24"/>
              </w:rPr>
            </w:pPr>
          </w:p>
        </w:tc>
      </w:tr>
      <w:tr w:rsidR="00151574" w:rsidRPr="004878F8" w14:paraId="2819EBF1" w14:textId="77777777" w:rsidTr="004878F8">
        <w:trPr>
          <w:gridAfter w:val="1"/>
          <w:wAfter w:w="8" w:type="dxa"/>
          <w:trHeight w:val="266"/>
        </w:trPr>
        <w:tc>
          <w:tcPr>
            <w:tcW w:w="2952" w:type="dxa"/>
            <w:vAlign w:val="center"/>
          </w:tcPr>
          <w:p w14:paraId="2819EBE7" w14:textId="77777777" w:rsidR="00151574" w:rsidRPr="004878F8" w:rsidRDefault="00151574" w:rsidP="004878F8">
            <w:pPr>
              <w:spacing w:line="266" w:lineRule="exact"/>
              <w:rPr>
                <w:sz w:val="24"/>
                <w:szCs w:val="24"/>
              </w:rPr>
            </w:pPr>
            <w:r w:rsidRPr="004878F8">
              <w:rPr>
                <w:rFonts w:eastAsia="Times New Roman"/>
                <w:w w:val="98"/>
                <w:sz w:val="24"/>
                <w:szCs w:val="24"/>
              </w:rPr>
              <w:t>PCBs(as decachlorobiphenyl)</w:t>
            </w:r>
            <w:r w:rsidRPr="004878F8">
              <w:rPr>
                <w:rFonts w:eastAsia="Times New Roman"/>
                <w:w w:val="98"/>
                <w:sz w:val="24"/>
                <w:szCs w:val="24"/>
                <w:vertAlign w:val="superscript"/>
              </w:rPr>
              <w:t>2</w:t>
            </w:r>
          </w:p>
        </w:tc>
        <w:tc>
          <w:tcPr>
            <w:tcW w:w="2174" w:type="dxa"/>
            <w:vAlign w:val="bottom"/>
          </w:tcPr>
          <w:p w14:paraId="2819EBE9" w14:textId="77777777" w:rsidR="00151574" w:rsidRPr="004878F8" w:rsidRDefault="00151574">
            <w:pPr>
              <w:spacing w:line="265" w:lineRule="exact"/>
              <w:rPr>
                <w:sz w:val="24"/>
                <w:szCs w:val="24"/>
              </w:rPr>
            </w:pPr>
            <w:r w:rsidRPr="004878F8">
              <w:rPr>
                <w:rFonts w:eastAsia="Times New Roman"/>
                <w:sz w:val="24"/>
                <w:szCs w:val="24"/>
              </w:rPr>
              <w:t>508A</w:t>
            </w:r>
          </w:p>
        </w:tc>
        <w:tc>
          <w:tcPr>
            <w:tcW w:w="1066" w:type="dxa"/>
            <w:vAlign w:val="bottom"/>
          </w:tcPr>
          <w:p w14:paraId="2819EBEB" w14:textId="77777777" w:rsidR="00151574" w:rsidRPr="004878F8" w:rsidRDefault="00151574">
            <w:pPr>
              <w:rPr>
                <w:sz w:val="24"/>
                <w:szCs w:val="24"/>
              </w:rPr>
            </w:pPr>
          </w:p>
        </w:tc>
        <w:tc>
          <w:tcPr>
            <w:tcW w:w="1961" w:type="dxa"/>
            <w:vAlign w:val="bottom"/>
          </w:tcPr>
          <w:p w14:paraId="2819EBED" w14:textId="77777777" w:rsidR="00151574" w:rsidRPr="004878F8" w:rsidRDefault="00151574">
            <w:pPr>
              <w:rPr>
                <w:sz w:val="24"/>
                <w:szCs w:val="24"/>
              </w:rPr>
            </w:pPr>
          </w:p>
        </w:tc>
        <w:tc>
          <w:tcPr>
            <w:tcW w:w="2160" w:type="dxa"/>
            <w:vAlign w:val="bottom"/>
          </w:tcPr>
          <w:p w14:paraId="2819EBEF" w14:textId="77777777" w:rsidR="00151574" w:rsidRPr="004878F8" w:rsidRDefault="00151574">
            <w:pPr>
              <w:rPr>
                <w:sz w:val="24"/>
                <w:szCs w:val="24"/>
              </w:rPr>
            </w:pPr>
          </w:p>
        </w:tc>
      </w:tr>
      <w:tr w:rsidR="00151574" w:rsidRPr="004878F8" w14:paraId="2819EBFD" w14:textId="77777777" w:rsidTr="004878F8">
        <w:trPr>
          <w:gridAfter w:val="1"/>
          <w:wAfter w:w="8" w:type="dxa"/>
          <w:trHeight w:val="266"/>
        </w:trPr>
        <w:tc>
          <w:tcPr>
            <w:tcW w:w="2952" w:type="dxa"/>
            <w:vAlign w:val="center"/>
          </w:tcPr>
          <w:p w14:paraId="2819EBF3" w14:textId="77777777" w:rsidR="00151574" w:rsidRPr="004878F8" w:rsidRDefault="00151574" w:rsidP="004878F8">
            <w:pPr>
              <w:spacing w:line="266" w:lineRule="exact"/>
              <w:rPr>
                <w:sz w:val="24"/>
                <w:szCs w:val="24"/>
              </w:rPr>
            </w:pPr>
            <w:r w:rsidRPr="004878F8">
              <w:rPr>
                <w:rFonts w:eastAsia="Times New Roman"/>
                <w:sz w:val="24"/>
                <w:szCs w:val="24"/>
              </w:rPr>
              <w:t>PCBs (as Aroclors)</w:t>
            </w:r>
            <w:r w:rsidRPr="004878F8">
              <w:rPr>
                <w:rFonts w:eastAsia="Times New Roman"/>
                <w:sz w:val="24"/>
                <w:szCs w:val="24"/>
                <w:vertAlign w:val="superscript"/>
              </w:rPr>
              <w:t>2</w:t>
            </w:r>
          </w:p>
        </w:tc>
        <w:tc>
          <w:tcPr>
            <w:tcW w:w="2174" w:type="dxa"/>
            <w:vAlign w:val="bottom"/>
          </w:tcPr>
          <w:p w14:paraId="2819EBF5" w14:textId="77777777" w:rsidR="00151574" w:rsidRPr="004878F8" w:rsidRDefault="00151574">
            <w:pPr>
              <w:spacing w:line="265" w:lineRule="exact"/>
              <w:rPr>
                <w:sz w:val="24"/>
                <w:szCs w:val="24"/>
              </w:rPr>
            </w:pPr>
            <w:r w:rsidRPr="004878F8">
              <w:rPr>
                <w:rFonts w:eastAsia="Times New Roman"/>
                <w:sz w:val="24"/>
                <w:szCs w:val="24"/>
              </w:rPr>
              <w:t>505, 508,508.1,525.2</w:t>
            </w:r>
          </w:p>
        </w:tc>
        <w:tc>
          <w:tcPr>
            <w:tcW w:w="1066" w:type="dxa"/>
            <w:vAlign w:val="bottom"/>
          </w:tcPr>
          <w:p w14:paraId="2819EBF7" w14:textId="77777777" w:rsidR="00151574" w:rsidRPr="004878F8" w:rsidRDefault="00151574">
            <w:pPr>
              <w:rPr>
                <w:sz w:val="24"/>
                <w:szCs w:val="24"/>
              </w:rPr>
            </w:pPr>
          </w:p>
        </w:tc>
        <w:tc>
          <w:tcPr>
            <w:tcW w:w="1961" w:type="dxa"/>
            <w:vAlign w:val="bottom"/>
          </w:tcPr>
          <w:p w14:paraId="2819EBF9" w14:textId="77777777" w:rsidR="00151574" w:rsidRPr="004878F8" w:rsidRDefault="00151574">
            <w:pPr>
              <w:rPr>
                <w:sz w:val="24"/>
                <w:szCs w:val="24"/>
              </w:rPr>
            </w:pPr>
          </w:p>
        </w:tc>
        <w:tc>
          <w:tcPr>
            <w:tcW w:w="2160" w:type="dxa"/>
            <w:vAlign w:val="bottom"/>
          </w:tcPr>
          <w:p w14:paraId="2819EBFB" w14:textId="77777777" w:rsidR="00151574" w:rsidRPr="004878F8" w:rsidRDefault="00151574">
            <w:pPr>
              <w:rPr>
                <w:sz w:val="24"/>
                <w:szCs w:val="24"/>
              </w:rPr>
            </w:pPr>
          </w:p>
        </w:tc>
      </w:tr>
      <w:tr w:rsidR="00151574" w:rsidRPr="004878F8" w14:paraId="2819EC09" w14:textId="77777777" w:rsidTr="004878F8">
        <w:trPr>
          <w:gridAfter w:val="1"/>
          <w:wAfter w:w="8" w:type="dxa"/>
          <w:trHeight w:val="232"/>
        </w:trPr>
        <w:tc>
          <w:tcPr>
            <w:tcW w:w="2952" w:type="dxa"/>
            <w:vAlign w:val="center"/>
          </w:tcPr>
          <w:p w14:paraId="2819EBFF" w14:textId="77777777" w:rsidR="00151574" w:rsidRPr="004878F8" w:rsidRDefault="00151574" w:rsidP="004878F8">
            <w:pPr>
              <w:spacing w:line="232" w:lineRule="exact"/>
              <w:rPr>
                <w:sz w:val="24"/>
                <w:szCs w:val="24"/>
              </w:rPr>
            </w:pPr>
            <w:r w:rsidRPr="004878F8">
              <w:rPr>
                <w:rFonts w:eastAsia="Times New Roman"/>
                <w:sz w:val="24"/>
                <w:szCs w:val="24"/>
              </w:rPr>
              <w:t>Pentachlorophenol</w:t>
            </w:r>
          </w:p>
        </w:tc>
        <w:tc>
          <w:tcPr>
            <w:tcW w:w="2174" w:type="dxa"/>
            <w:vAlign w:val="bottom"/>
          </w:tcPr>
          <w:p w14:paraId="2819EC01" w14:textId="49853917" w:rsidR="00151574" w:rsidRPr="004878F8" w:rsidRDefault="00151574">
            <w:pPr>
              <w:spacing w:line="232" w:lineRule="exact"/>
              <w:rPr>
                <w:sz w:val="24"/>
                <w:szCs w:val="24"/>
              </w:rPr>
            </w:pPr>
            <w:r w:rsidRPr="004878F8">
              <w:rPr>
                <w:rFonts w:eastAsia="Times New Roman"/>
                <w:sz w:val="24"/>
                <w:szCs w:val="24"/>
              </w:rPr>
              <w:t>515.2, 525.2, 555, 515.1, 515.3, 515.4</w:t>
            </w:r>
          </w:p>
        </w:tc>
        <w:tc>
          <w:tcPr>
            <w:tcW w:w="1066" w:type="dxa"/>
            <w:vAlign w:val="bottom"/>
          </w:tcPr>
          <w:p w14:paraId="2819EC03" w14:textId="77777777" w:rsidR="00151574" w:rsidRPr="004878F8" w:rsidRDefault="00151574">
            <w:pPr>
              <w:rPr>
                <w:sz w:val="24"/>
                <w:szCs w:val="24"/>
              </w:rPr>
            </w:pPr>
          </w:p>
        </w:tc>
        <w:tc>
          <w:tcPr>
            <w:tcW w:w="1961" w:type="dxa"/>
            <w:vAlign w:val="bottom"/>
          </w:tcPr>
          <w:p w14:paraId="2819EC05" w14:textId="375FC011" w:rsidR="00151574" w:rsidRPr="004878F8" w:rsidRDefault="00151574">
            <w:pPr>
              <w:spacing w:line="232" w:lineRule="exact"/>
              <w:rPr>
                <w:sz w:val="24"/>
                <w:szCs w:val="24"/>
              </w:rPr>
            </w:pPr>
            <w:r w:rsidRPr="004878F8">
              <w:rPr>
                <w:rFonts w:eastAsia="Times New Roman"/>
                <w:sz w:val="24"/>
                <w:szCs w:val="24"/>
              </w:rPr>
              <w:t>D5317-93, 98 (Reapproved 2003).</w:t>
            </w:r>
          </w:p>
        </w:tc>
        <w:tc>
          <w:tcPr>
            <w:tcW w:w="2160" w:type="dxa"/>
            <w:vAlign w:val="bottom"/>
          </w:tcPr>
          <w:p w14:paraId="2819EC07" w14:textId="77777777" w:rsidR="00151574" w:rsidRPr="004878F8" w:rsidRDefault="00151574">
            <w:pPr>
              <w:rPr>
                <w:sz w:val="24"/>
                <w:szCs w:val="24"/>
              </w:rPr>
            </w:pPr>
          </w:p>
        </w:tc>
      </w:tr>
      <w:tr w:rsidR="00151574" w:rsidRPr="004878F8" w14:paraId="2819EC21" w14:textId="77777777" w:rsidTr="004878F8">
        <w:trPr>
          <w:gridAfter w:val="1"/>
          <w:wAfter w:w="8" w:type="dxa"/>
          <w:trHeight w:val="232"/>
        </w:trPr>
        <w:tc>
          <w:tcPr>
            <w:tcW w:w="2952" w:type="dxa"/>
            <w:vAlign w:val="center"/>
          </w:tcPr>
          <w:p w14:paraId="2819EC17" w14:textId="77777777" w:rsidR="00151574" w:rsidRPr="004878F8" w:rsidRDefault="00151574" w:rsidP="004878F8">
            <w:pPr>
              <w:spacing w:line="231" w:lineRule="exact"/>
              <w:rPr>
                <w:sz w:val="24"/>
                <w:szCs w:val="24"/>
              </w:rPr>
            </w:pPr>
            <w:r w:rsidRPr="004878F8">
              <w:rPr>
                <w:rFonts w:eastAsia="Times New Roman"/>
                <w:sz w:val="24"/>
                <w:szCs w:val="24"/>
              </w:rPr>
              <w:t>Picloram</w:t>
            </w:r>
            <w:r w:rsidRPr="004878F8">
              <w:rPr>
                <w:rFonts w:eastAsia="Times New Roman"/>
                <w:sz w:val="24"/>
                <w:szCs w:val="24"/>
                <w:vertAlign w:val="superscript"/>
              </w:rPr>
              <w:t>3</w:t>
            </w:r>
          </w:p>
        </w:tc>
        <w:tc>
          <w:tcPr>
            <w:tcW w:w="2174" w:type="dxa"/>
            <w:vAlign w:val="bottom"/>
          </w:tcPr>
          <w:p w14:paraId="2819EC19" w14:textId="701CCE6D" w:rsidR="00151574" w:rsidRPr="004878F8" w:rsidRDefault="00151574">
            <w:pPr>
              <w:spacing w:line="232" w:lineRule="exact"/>
              <w:rPr>
                <w:sz w:val="24"/>
                <w:szCs w:val="24"/>
              </w:rPr>
            </w:pPr>
            <w:r w:rsidRPr="004878F8">
              <w:rPr>
                <w:rFonts w:eastAsia="Times New Roman"/>
                <w:sz w:val="24"/>
                <w:szCs w:val="24"/>
              </w:rPr>
              <w:t>515.2, 555, 515.1, 515.3, 515.4</w:t>
            </w:r>
          </w:p>
        </w:tc>
        <w:tc>
          <w:tcPr>
            <w:tcW w:w="1066" w:type="dxa"/>
            <w:vAlign w:val="bottom"/>
          </w:tcPr>
          <w:p w14:paraId="2819EC1B" w14:textId="77777777" w:rsidR="00151574" w:rsidRPr="004878F8" w:rsidRDefault="00151574">
            <w:pPr>
              <w:rPr>
                <w:sz w:val="24"/>
                <w:szCs w:val="24"/>
              </w:rPr>
            </w:pPr>
          </w:p>
        </w:tc>
        <w:tc>
          <w:tcPr>
            <w:tcW w:w="1961" w:type="dxa"/>
            <w:vAlign w:val="bottom"/>
          </w:tcPr>
          <w:p w14:paraId="2819EC1D" w14:textId="22B11859" w:rsidR="00151574" w:rsidRPr="004878F8" w:rsidRDefault="00151574">
            <w:pPr>
              <w:spacing w:line="232" w:lineRule="exact"/>
              <w:rPr>
                <w:sz w:val="24"/>
                <w:szCs w:val="24"/>
              </w:rPr>
            </w:pPr>
            <w:r w:rsidRPr="004878F8">
              <w:rPr>
                <w:rFonts w:eastAsia="Times New Roman"/>
                <w:sz w:val="24"/>
                <w:szCs w:val="24"/>
              </w:rPr>
              <w:t>D5317-93, 98 (Reapproved 2003).</w:t>
            </w:r>
          </w:p>
        </w:tc>
        <w:tc>
          <w:tcPr>
            <w:tcW w:w="2160" w:type="dxa"/>
            <w:vAlign w:val="bottom"/>
          </w:tcPr>
          <w:p w14:paraId="2819EC1F" w14:textId="77777777" w:rsidR="00151574" w:rsidRPr="004878F8" w:rsidRDefault="00151574">
            <w:pPr>
              <w:rPr>
                <w:sz w:val="24"/>
                <w:szCs w:val="24"/>
              </w:rPr>
            </w:pPr>
          </w:p>
        </w:tc>
      </w:tr>
      <w:tr w:rsidR="00151574" w:rsidRPr="004878F8" w14:paraId="2819EC39" w14:textId="77777777" w:rsidTr="004878F8">
        <w:trPr>
          <w:gridAfter w:val="1"/>
          <w:wAfter w:w="8" w:type="dxa"/>
          <w:trHeight w:val="234"/>
        </w:trPr>
        <w:tc>
          <w:tcPr>
            <w:tcW w:w="2952" w:type="dxa"/>
            <w:vAlign w:val="center"/>
          </w:tcPr>
          <w:p w14:paraId="2819EC2F" w14:textId="77777777" w:rsidR="00151574" w:rsidRPr="004878F8" w:rsidRDefault="00151574" w:rsidP="004878F8">
            <w:pPr>
              <w:spacing w:line="233" w:lineRule="exact"/>
              <w:rPr>
                <w:sz w:val="24"/>
                <w:szCs w:val="24"/>
              </w:rPr>
            </w:pPr>
            <w:r w:rsidRPr="004878F8">
              <w:rPr>
                <w:rFonts w:eastAsia="Times New Roman"/>
                <w:sz w:val="24"/>
                <w:szCs w:val="24"/>
              </w:rPr>
              <w:t>Simazine</w:t>
            </w:r>
            <w:r w:rsidRPr="004878F8">
              <w:rPr>
                <w:rFonts w:eastAsia="Times New Roman"/>
                <w:sz w:val="24"/>
                <w:szCs w:val="24"/>
                <w:vertAlign w:val="superscript"/>
              </w:rPr>
              <w:t>1</w:t>
            </w:r>
          </w:p>
        </w:tc>
        <w:tc>
          <w:tcPr>
            <w:tcW w:w="2174" w:type="dxa"/>
            <w:vAlign w:val="bottom"/>
          </w:tcPr>
          <w:p w14:paraId="2819EC31" w14:textId="3DF75BA7" w:rsidR="00151574" w:rsidRPr="004878F8" w:rsidRDefault="00151574">
            <w:pPr>
              <w:spacing w:line="234" w:lineRule="exact"/>
              <w:rPr>
                <w:sz w:val="24"/>
                <w:szCs w:val="24"/>
              </w:rPr>
            </w:pPr>
            <w:r w:rsidRPr="004878F8">
              <w:rPr>
                <w:rFonts w:eastAsia="Times New Roman"/>
                <w:sz w:val="24"/>
                <w:szCs w:val="24"/>
              </w:rPr>
              <w:t>505,</w:t>
            </w:r>
            <w:r w:rsidR="004878F8" w:rsidRPr="004878F8">
              <w:rPr>
                <w:rFonts w:eastAsia="Times New Roman"/>
                <w:sz w:val="24"/>
                <w:szCs w:val="24"/>
              </w:rPr>
              <w:t xml:space="preserve"> </w:t>
            </w:r>
            <w:r w:rsidRPr="004878F8">
              <w:rPr>
                <w:rFonts w:eastAsia="Times New Roman"/>
                <w:sz w:val="24"/>
                <w:szCs w:val="24"/>
              </w:rPr>
              <w:t>507,</w:t>
            </w:r>
            <w:r w:rsidR="004878F8" w:rsidRPr="004878F8">
              <w:rPr>
                <w:rFonts w:eastAsia="Times New Roman"/>
                <w:sz w:val="24"/>
                <w:szCs w:val="24"/>
              </w:rPr>
              <w:t xml:space="preserve"> </w:t>
            </w:r>
            <w:r w:rsidRPr="004878F8">
              <w:rPr>
                <w:rFonts w:eastAsia="Times New Roman"/>
                <w:sz w:val="24"/>
                <w:szCs w:val="24"/>
              </w:rPr>
              <w:t>525.2, 508.1,</w:t>
            </w:r>
            <w:r w:rsidR="004878F8" w:rsidRPr="004878F8">
              <w:rPr>
                <w:rFonts w:eastAsia="Times New Roman"/>
                <w:sz w:val="24"/>
                <w:szCs w:val="24"/>
              </w:rPr>
              <w:t xml:space="preserve"> </w:t>
            </w:r>
            <w:r w:rsidRPr="004878F8">
              <w:rPr>
                <w:rFonts w:eastAsia="Times New Roman"/>
                <w:sz w:val="24"/>
                <w:szCs w:val="24"/>
              </w:rPr>
              <w:t>551.1</w:t>
            </w:r>
          </w:p>
        </w:tc>
        <w:tc>
          <w:tcPr>
            <w:tcW w:w="1066" w:type="dxa"/>
            <w:vAlign w:val="bottom"/>
          </w:tcPr>
          <w:p w14:paraId="2819EC33" w14:textId="77777777" w:rsidR="00151574" w:rsidRPr="004878F8" w:rsidRDefault="00151574">
            <w:pPr>
              <w:rPr>
                <w:sz w:val="24"/>
                <w:szCs w:val="24"/>
              </w:rPr>
            </w:pPr>
          </w:p>
        </w:tc>
        <w:tc>
          <w:tcPr>
            <w:tcW w:w="1961" w:type="dxa"/>
            <w:vAlign w:val="bottom"/>
          </w:tcPr>
          <w:p w14:paraId="2819EC35" w14:textId="77777777" w:rsidR="00151574" w:rsidRPr="004878F8" w:rsidRDefault="00151574">
            <w:pPr>
              <w:rPr>
                <w:sz w:val="24"/>
                <w:szCs w:val="24"/>
              </w:rPr>
            </w:pPr>
          </w:p>
        </w:tc>
        <w:tc>
          <w:tcPr>
            <w:tcW w:w="2160" w:type="dxa"/>
            <w:vAlign w:val="bottom"/>
          </w:tcPr>
          <w:p w14:paraId="2819EC37" w14:textId="77777777" w:rsidR="00151574" w:rsidRPr="004878F8" w:rsidRDefault="00151574">
            <w:pPr>
              <w:rPr>
                <w:sz w:val="24"/>
                <w:szCs w:val="24"/>
              </w:rPr>
            </w:pPr>
          </w:p>
        </w:tc>
      </w:tr>
      <w:tr w:rsidR="00151574" w:rsidRPr="004878F8" w14:paraId="2819EC51" w14:textId="77777777" w:rsidTr="004878F8">
        <w:trPr>
          <w:gridAfter w:val="1"/>
          <w:wAfter w:w="8" w:type="dxa"/>
          <w:trHeight w:val="232"/>
        </w:trPr>
        <w:tc>
          <w:tcPr>
            <w:tcW w:w="2952" w:type="dxa"/>
            <w:vAlign w:val="center"/>
          </w:tcPr>
          <w:p w14:paraId="2819EC47" w14:textId="77777777" w:rsidR="00151574" w:rsidRPr="004878F8" w:rsidRDefault="00151574" w:rsidP="004878F8">
            <w:pPr>
              <w:spacing w:line="232" w:lineRule="exact"/>
              <w:rPr>
                <w:sz w:val="24"/>
                <w:szCs w:val="24"/>
              </w:rPr>
            </w:pPr>
            <w:r w:rsidRPr="004878F8">
              <w:rPr>
                <w:rFonts w:eastAsia="Times New Roman"/>
                <w:sz w:val="24"/>
                <w:szCs w:val="24"/>
              </w:rPr>
              <w:t>Toxaphene</w:t>
            </w:r>
          </w:p>
        </w:tc>
        <w:tc>
          <w:tcPr>
            <w:tcW w:w="2174" w:type="dxa"/>
            <w:vAlign w:val="bottom"/>
          </w:tcPr>
          <w:p w14:paraId="2819EC49" w14:textId="4A36F879" w:rsidR="00151574" w:rsidRPr="004878F8" w:rsidRDefault="00151574">
            <w:pPr>
              <w:spacing w:line="232" w:lineRule="exact"/>
              <w:rPr>
                <w:sz w:val="24"/>
                <w:szCs w:val="24"/>
              </w:rPr>
            </w:pPr>
            <w:r w:rsidRPr="004878F8">
              <w:rPr>
                <w:rFonts w:eastAsia="Times New Roman"/>
                <w:sz w:val="24"/>
                <w:szCs w:val="24"/>
              </w:rPr>
              <w:t>505, 508, 508.1, 525.2</w:t>
            </w:r>
          </w:p>
        </w:tc>
        <w:tc>
          <w:tcPr>
            <w:tcW w:w="1066" w:type="dxa"/>
            <w:vAlign w:val="bottom"/>
          </w:tcPr>
          <w:p w14:paraId="2819EC4B" w14:textId="77777777" w:rsidR="00151574" w:rsidRPr="004878F8" w:rsidRDefault="00151574">
            <w:pPr>
              <w:rPr>
                <w:sz w:val="24"/>
                <w:szCs w:val="24"/>
              </w:rPr>
            </w:pPr>
          </w:p>
        </w:tc>
        <w:tc>
          <w:tcPr>
            <w:tcW w:w="1961" w:type="dxa"/>
            <w:vAlign w:val="bottom"/>
          </w:tcPr>
          <w:p w14:paraId="2819EC4D" w14:textId="77777777" w:rsidR="00151574" w:rsidRPr="004878F8" w:rsidRDefault="00151574">
            <w:pPr>
              <w:rPr>
                <w:sz w:val="24"/>
                <w:szCs w:val="24"/>
              </w:rPr>
            </w:pPr>
          </w:p>
        </w:tc>
        <w:tc>
          <w:tcPr>
            <w:tcW w:w="2160" w:type="dxa"/>
            <w:vAlign w:val="bottom"/>
          </w:tcPr>
          <w:p w14:paraId="2819EC4F" w14:textId="77777777" w:rsidR="00151574" w:rsidRPr="004878F8" w:rsidRDefault="00151574">
            <w:pPr>
              <w:rPr>
                <w:sz w:val="24"/>
                <w:szCs w:val="24"/>
              </w:rPr>
            </w:pPr>
          </w:p>
        </w:tc>
      </w:tr>
    </w:tbl>
    <w:p w14:paraId="2819EC6A" w14:textId="7644C16A" w:rsidR="004647B9" w:rsidRDefault="004647B9" w:rsidP="00F2626C">
      <w:pPr>
        <w:rPr>
          <w:sz w:val="20"/>
          <w:szCs w:val="20"/>
        </w:rPr>
      </w:pPr>
    </w:p>
    <w:p w14:paraId="46BCF991" w14:textId="2CAA5DF3" w:rsidR="00B9435B" w:rsidRPr="00012384" w:rsidRDefault="00B9435B" w:rsidP="00F2626C">
      <w:pPr>
        <w:rPr>
          <w:sz w:val="24"/>
          <w:szCs w:val="24"/>
        </w:rPr>
      </w:pPr>
      <w:r w:rsidRPr="00012384">
        <w:rPr>
          <w:sz w:val="24"/>
          <w:szCs w:val="24"/>
        </w:rPr>
        <w:t>Footnotes</w:t>
      </w:r>
    </w:p>
    <w:p w14:paraId="1EE30660" w14:textId="77777777" w:rsidR="00012384" w:rsidRDefault="00012384" w:rsidP="00F2626C">
      <w:pPr>
        <w:rPr>
          <w:sz w:val="20"/>
          <w:szCs w:val="20"/>
        </w:rPr>
      </w:pPr>
    </w:p>
    <w:p w14:paraId="2819EC6B" w14:textId="77777777" w:rsidR="004647B9" w:rsidRPr="00012384" w:rsidRDefault="00E2436F" w:rsidP="00F2626C">
      <w:pPr>
        <w:numPr>
          <w:ilvl w:val="0"/>
          <w:numId w:val="249"/>
        </w:numPr>
        <w:tabs>
          <w:tab w:val="left" w:pos="480"/>
        </w:tabs>
        <w:ind w:left="475" w:right="187" w:hanging="475"/>
        <w:jc w:val="both"/>
        <w:rPr>
          <w:rFonts w:eastAsia="Times New Roman"/>
          <w:sz w:val="24"/>
          <w:szCs w:val="24"/>
          <w:vertAlign w:val="superscript"/>
        </w:rPr>
      </w:pPr>
      <w:r w:rsidRPr="00012384">
        <w:rPr>
          <w:rFonts w:eastAsia="Times New Roman"/>
          <w:sz w:val="24"/>
          <w:szCs w:val="24"/>
        </w:rPr>
        <w:t>Substitution of the detector specified in Methods 505, 507, 508, or 508.1 for the purpose of achieving lower detection limits is allowed as follows. Either an electron capture or nitrogen phosphorus detector may be used provided all regulatory requirements and quality control criteria are met.</w:t>
      </w:r>
    </w:p>
    <w:p w14:paraId="2819EC6C" w14:textId="77777777" w:rsidR="004647B9" w:rsidRDefault="004647B9">
      <w:pPr>
        <w:sectPr w:rsidR="004647B9" w:rsidSect="00EF630C">
          <w:pgSz w:w="12240" w:h="20180"/>
          <w:pgMar w:top="708" w:right="1260" w:bottom="1440" w:left="600" w:header="0" w:footer="0" w:gutter="0"/>
          <w:cols w:space="720" w:equalWidth="0">
            <w:col w:w="10380"/>
          </w:cols>
        </w:sectPr>
      </w:pPr>
    </w:p>
    <w:p w14:paraId="2819EC6D" w14:textId="77777777" w:rsidR="004647B9" w:rsidRDefault="00E2436F">
      <w:pPr>
        <w:tabs>
          <w:tab w:val="left" w:pos="160"/>
        </w:tabs>
        <w:jc w:val="center"/>
        <w:rPr>
          <w:sz w:val="20"/>
          <w:szCs w:val="20"/>
        </w:rPr>
      </w:pPr>
      <w:bookmarkStart w:id="100" w:name="page102"/>
      <w:bookmarkEnd w:id="10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C6E" w14:textId="77777777" w:rsidR="004647B9" w:rsidRDefault="004647B9" w:rsidP="00F2626C">
      <w:pPr>
        <w:rPr>
          <w:sz w:val="20"/>
          <w:szCs w:val="20"/>
        </w:rPr>
      </w:pPr>
    </w:p>
    <w:p w14:paraId="2819EC6F" w14:textId="77777777" w:rsidR="004647B9" w:rsidRDefault="004647B9" w:rsidP="00F2626C">
      <w:pPr>
        <w:rPr>
          <w:sz w:val="20"/>
          <w:szCs w:val="20"/>
        </w:rPr>
      </w:pPr>
    </w:p>
    <w:p w14:paraId="2819EC70" w14:textId="77777777" w:rsidR="004647B9" w:rsidRDefault="00E2436F">
      <w:pPr>
        <w:tabs>
          <w:tab w:val="left" w:pos="940"/>
        </w:tabs>
        <w:rPr>
          <w:sz w:val="20"/>
          <w:szCs w:val="20"/>
        </w:rPr>
      </w:pPr>
      <w:r>
        <w:rPr>
          <w:rFonts w:eastAsia="Times New Roman"/>
          <w:sz w:val="24"/>
          <w:szCs w:val="24"/>
        </w:rPr>
        <w:t>22.07A:</w:t>
      </w:r>
      <w:r>
        <w:rPr>
          <w:sz w:val="20"/>
          <w:szCs w:val="20"/>
        </w:rPr>
        <w:tab/>
      </w:r>
      <w:r>
        <w:rPr>
          <w:rFonts w:eastAsia="Times New Roman"/>
          <w:sz w:val="23"/>
          <w:szCs w:val="23"/>
        </w:rPr>
        <w:t>continued</w:t>
      </w:r>
    </w:p>
    <w:p w14:paraId="1818CFF3" w14:textId="77777777" w:rsidR="0060064F" w:rsidRDefault="0060064F"/>
    <w:p w14:paraId="0B739B0D" w14:textId="223FC395" w:rsidR="0060064F" w:rsidRPr="007A286C" w:rsidRDefault="007A286C" w:rsidP="007A286C">
      <w:pPr>
        <w:numPr>
          <w:ilvl w:val="0"/>
          <w:numId w:val="249"/>
        </w:numPr>
        <w:tabs>
          <w:tab w:val="left" w:pos="480"/>
        </w:tabs>
        <w:ind w:left="475" w:right="187" w:hanging="475"/>
        <w:jc w:val="both"/>
        <w:rPr>
          <w:rFonts w:eastAsia="Times New Roman"/>
          <w:sz w:val="24"/>
          <w:szCs w:val="24"/>
        </w:rPr>
      </w:pPr>
      <w:r>
        <w:rPr>
          <w:rFonts w:eastAsia="Times New Roman"/>
          <w:sz w:val="24"/>
          <w:szCs w:val="24"/>
        </w:rPr>
        <w:tab/>
      </w:r>
      <w:r w:rsidR="0060064F">
        <w:rPr>
          <w:rFonts w:eastAsia="Times New Roman"/>
          <w:sz w:val="24"/>
          <w:szCs w:val="24"/>
        </w:rPr>
        <w:t>PCBs are qualitatively identified as Aroclors and measured for compliance purposes as decachlorobiphenyl. Users of Method 505 may have more difficulty in achieving the required detection limits than users of Methods 508.1, 525.2, or 508.</w:t>
      </w:r>
    </w:p>
    <w:p w14:paraId="71C9583E" w14:textId="77777777" w:rsidR="00F66554" w:rsidRDefault="0060064F" w:rsidP="00F66554">
      <w:pPr>
        <w:numPr>
          <w:ilvl w:val="0"/>
          <w:numId w:val="249"/>
        </w:numPr>
        <w:tabs>
          <w:tab w:val="left" w:pos="480"/>
        </w:tabs>
        <w:ind w:left="475" w:right="187" w:hanging="475"/>
        <w:jc w:val="both"/>
        <w:rPr>
          <w:rFonts w:eastAsia="Times New Roman"/>
          <w:sz w:val="24"/>
          <w:szCs w:val="24"/>
        </w:rPr>
      </w:pPr>
      <w:r>
        <w:rPr>
          <w:rFonts w:eastAsia="Times New Roman"/>
          <w:sz w:val="24"/>
          <w:szCs w:val="24"/>
        </w:rPr>
        <w:t>Accurate determination of the chlorinated esters requires hydrolysis of the sample as described in EPA Methods 515.1, 515.2, 515.3, 515.4 and 555 and ASTM Methods D5317-93,98 (Reapproved 2003).</w:t>
      </w:r>
    </w:p>
    <w:p w14:paraId="6D100468" w14:textId="427FB811" w:rsidR="0060064F" w:rsidRPr="00F66554" w:rsidRDefault="0060064F" w:rsidP="00F66554">
      <w:pPr>
        <w:numPr>
          <w:ilvl w:val="0"/>
          <w:numId w:val="249"/>
        </w:numPr>
        <w:tabs>
          <w:tab w:val="left" w:pos="480"/>
        </w:tabs>
        <w:ind w:left="475" w:right="187" w:hanging="475"/>
        <w:jc w:val="both"/>
        <w:rPr>
          <w:rFonts w:eastAsia="Times New Roman"/>
          <w:sz w:val="24"/>
          <w:szCs w:val="24"/>
        </w:rPr>
      </w:pPr>
      <w:r>
        <w:rPr>
          <w:rFonts w:eastAsia="Times New Roman"/>
          <w:sz w:val="24"/>
          <w:szCs w:val="24"/>
        </w:rPr>
        <w:t>This method may not be used for the analysis of atrazine in any system where chlorine dioxide is used for drinking water treatment. In samples from all other systems, any result for atrazine generated by Method AG-625 that is greater than ½ the maximum contaminant level (MCL) (in other words, greater than 0.0015mg/L or 1.5 ug/L) must be confirmed using another approved method for this contaminant and should use additional volume of the original sample collected for compliance monitoring. In instances where a result from Method AG-625 triggers such confirmatory testing, the confirmatory result is to be used to determine compliance.</w:t>
      </w:r>
    </w:p>
    <w:p w14:paraId="1A85FCF3" w14:textId="77777777" w:rsidR="0060064F" w:rsidRPr="00B934E2" w:rsidRDefault="0060064F" w:rsidP="0060064F">
      <w:pPr>
        <w:rPr>
          <w:sz w:val="24"/>
          <w:szCs w:val="24"/>
        </w:rPr>
      </w:pPr>
    </w:p>
    <w:p w14:paraId="2145B0CC" w14:textId="77777777" w:rsidR="0060064F" w:rsidRDefault="0060064F" w:rsidP="0060064F">
      <w:pPr>
        <w:numPr>
          <w:ilvl w:val="0"/>
          <w:numId w:val="250"/>
        </w:numPr>
        <w:tabs>
          <w:tab w:val="left" w:pos="1300"/>
        </w:tabs>
        <w:ind w:left="1300" w:hanging="580"/>
        <w:rPr>
          <w:rFonts w:eastAsia="Times New Roman"/>
          <w:sz w:val="24"/>
          <w:szCs w:val="24"/>
        </w:rPr>
      </w:pPr>
      <w:r>
        <w:rPr>
          <w:rFonts w:eastAsia="Times New Roman"/>
          <w:sz w:val="24"/>
          <w:szCs w:val="24"/>
          <w:u w:val="single"/>
        </w:rPr>
        <w:t>Analysis for PCBs</w:t>
      </w:r>
      <w:r>
        <w:rPr>
          <w:rFonts w:eastAsia="Times New Roman"/>
          <w:sz w:val="24"/>
          <w:szCs w:val="24"/>
        </w:rPr>
        <w:t xml:space="preserve"> shall be conducted as follows:</w:t>
      </w:r>
    </w:p>
    <w:p w14:paraId="099C56A2" w14:textId="77777777" w:rsidR="0060064F" w:rsidRDefault="0060064F" w:rsidP="0060064F">
      <w:pPr>
        <w:numPr>
          <w:ilvl w:val="1"/>
          <w:numId w:val="250"/>
        </w:numPr>
        <w:tabs>
          <w:tab w:val="left" w:pos="1572"/>
        </w:tabs>
        <w:ind w:left="1080" w:hanging="5"/>
        <w:jc w:val="both"/>
        <w:rPr>
          <w:rFonts w:eastAsia="Times New Roman"/>
          <w:sz w:val="24"/>
          <w:szCs w:val="24"/>
        </w:rPr>
      </w:pPr>
      <w:r>
        <w:rPr>
          <w:rFonts w:eastAsia="Times New Roman"/>
          <w:sz w:val="24"/>
          <w:szCs w:val="24"/>
        </w:rPr>
        <w:t>Each system that monitors for PCBs shall analyze each sample using either Method 508.1, 525.2, 508 or 505. The mean of the method detection limits of all Aroclors shall be 0.00025mg/l except for Aroclor 1221 which is 0.02 mg/l. Users of Method 505 may have more difficulty in achieving the required Aroclor detection limits than using methods 508.1, 525.2 or 508.</w:t>
      </w:r>
    </w:p>
    <w:p w14:paraId="4DB43421" w14:textId="77777777" w:rsidR="0060064F" w:rsidRDefault="0060064F" w:rsidP="0060064F">
      <w:pPr>
        <w:numPr>
          <w:ilvl w:val="2"/>
          <w:numId w:val="250"/>
        </w:numPr>
        <w:tabs>
          <w:tab w:val="left" w:pos="1771"/>
        </w:tabs>
        <w:ind w:left="1440" w:hanging="5"/>
        <w:rPr>
          <w:rFonts w:eastAsia="Times New Roman"/>
          <w:sz w:val="24"/>
          <w:szCs w:val="24"/>
        </w:rPr>
      </w:pPr>
      <w:r>
        <w:rPr>
          <w:rFonts w:eastAsia="Times New Roman"/>
          <w:sz w:val="24"/>
          <w:szCs w:val="24"/>
        </w:rPr>
        <w:t>A lab may conduct a scan for Aroclors using any one of the four methods mentioned in 310 22.07A(11)(a).</w:t>
      </w:r>
    </w:p>
    <w:p w14:paraId="1540C76F" w14:textId="77777777" w:rsidR="0060064F" w:rsidRDefault="0060064F" w:rsidP="0060064F">
      <w:pPr>
        <w:numPr>
          <w:ilvl w:val="2"/>
          <w:numId w:val="250"/>
        </w:numPr>
        <w:tabs>
          <w:tab w:val="left" w:pos="1855"/>
        </w:tabs>
        <w:ind w:left="1440" w:hanging="5"/>
        <w:rPr>
          <w:rFonts w:eastAsia="Times New Roman"/>
          <w:sz w:val="24"/>
          <w:szCs w:val="24"/>
        </w:rPr>
      </w:pPr>
      <w:r>
        <w:rPr>
          <w:rFonts w:eastAsia="Times New Roman"/>
          <w:sz w:val="24"/>
          <w:szCs w:val="24"/>
        </w:rPr>
        <w:t>A lab that is certified for any of the four methods listed in 310 22.07A(11)(a) is eligible to conduct the scan for Aroclors.</w:t>
      </w:r>
    </w:p>
    <w:p w14:paraId="712FA0F2" w14:textId="77777777" w:rsidR="0060064F" w:rsidRDefault="0060064F" w:rsidP="0060064F">
      <w:pPr>
        <w:numPr>
          <w:ilvl w:val="1"/>
          <w:numId w:val="250"/>
        </w:numPr>
        <w:tabs>
          <w:tab w:val="left" w:pos="1728"/>
        </w:tabs>
        <w:ind w:left="1080" w:hanging="5"/>
        <w:jc w:val="both"/>
        <w:rPr>
          <w:rFonts w:eastAsia="Times New Roman"/>
          <w:sz w:val="24"/>
          <w:szCs w:val="24"/>
        </w:rPr>
      </w:pPr>
      <w:r>
        <w:rPr>
          <w:rFonts w:eastAsia="Times New Roman"/>
          <w:sz w:val="24"/>
          <w:szCs w:val="24"/>
        </w:rPr>
        <w:t>If PCBs (as one of seven Aroclors) are detected as designated in 310 CMR 22.07A(11)(a) the system shall reanalyze the sample using Method 508A to quantitate PCBs (as decachlorobiphenyl).</w:t>
      </w:r>
    </w:p>
    <w:p w14:paraId="4B3E69E3" w14:textId="77777777" w:rsidR="0060064F" w:rsidRDefault="0060064F" w:rsidP="0060064F">
      <w:pPr>
        <w:numPr>
          <w:ilvl w:val="1"/>
          <w:numId w:val="250"/>
        </w:numPr>
        <w:tabs>
          <w:tab w:val="left" w:pos="1486"/>
        </w:tabs>
        <w:ind w:left="1080" w:hanging="5"/>
        <w:rPr>
          <w:rFonts w:eastAsia="Times New Roman"/>
          <w:sz w:val="24"/>
          <w:szCs w:val="24"/>
        </w:rPr>
      </w:pPr>
      <w:r>
        <w:rPr>
          <w:rFonts w:eastAsia="Times New Roman"/>
          <w:sz w:val="24"/>
          <w:szCs w:val="24"/>
        </w:rPr>
        <w:t>Compliance with the PCB MCL shall be determined based upon the quantitative results of analyses using Method 508A.</w:t>
      </w:r>
    </w:p>
    <w:p w14:paraId="3470FA9D" w14:textId="77777777" w:rsidR="0060064F" w:rsidRDefault="0060064F" w:rsidP="0060064F">
      <w:pPr>
        <w:rPr>
          <w:rFonts w:eastAsia="Times New Roman"/>
          <w:sz w:val="24"/>
          <w:szCs w:val="24"/>
        </w:rPr>
      </w:pPr>
    </w:p>
    <w:p w14:paraId="6D4B2802" w14:textId="2CB2C895" w:rsidR="0060064F" w:rsidRDefault="0060064F" w:rsidP="0060064F">
      <w:pPr>
        <w:numPr>
          <w:ilvl w:val="0"/>
          <w:numId w:val="250"/>
        </w:numPr>
        <w:tabs>
          <w:tab w:val="left" w:pos="1242"/>
        </w:tabs>
        <w:ind w:left="720"/>
        <w:jc w:val="both"/>
        <w:rPr>
          <w:rFonts w:eastAsia="Times New Roman"/>
          <w:sz w:val="24"/>
          <w:szCs w:val="24"/>
        </w:rPr>
      </w:pPr>
      <w:r>
        <w:rPr>
          <w:rFonts w:eastAsia="Times New Roman"/>
          <w:sz w:val="24"/>
          <w:szCs w:val="24"/>
          <w:u w:val="single"/>
        </w:rPr>
        <w:t>Previously Collected SOC Data</w:t>
      </w:r>
      <w:r>
        <w:rPr>
          <w:rFonts w:eastAsia="Times New Roman"/>
          <w:sz w:val="24"/>
          <w:szCs w:val="24"/>
        </w:rPr>
        <w:t>: The Department may allow the use of monitoring data collected after January 1, 1990, for purposes of satisfying the initial monitoring requirement of 310 CMR 22.07A(2), if in the opinion of the Department, the data are generally consistent with the requirements of 310 CMR 22.07A(2). A single sample rather than four quarterly samples may be allowed by the Department to satisfy the monitoring requirement for the initial compliance period beginning January 1, 1993.</w:t>
      </w:r>
    </w:p>
    <w:p w14:paraId="774ABFCC" w14:textId="77777777" w:rsidR="0060064F" w:rsidRDefault="0060064F" w:rsidP="0060064F">
      <w:pPr>
        <w:rPr>
          <w:rFonts w:eastAsia="Times New Roman"/>
          <w:sz w:val="24"/>
          <w:szCs w:val="24"/>
        </w:rPr>
      </w:pPr>
    </w:p>
    <w:p w14:paraId="09ACE4AE" w14:textId="77777777" w:rsidR="0060064F" w:rsidRDefault="0060064F" w:rsidP="0060064F">
      <w:pPr>
        <w:numPr>
          <w:ilvl w:val="0"/>
          <w:numId w:val="250"/>
        </w:numPr>
        <w:tabs>
          <w:tab w:val="left" w:pos="1447"/>
        </w:tabs>
        <w:ind w:left="720"/>
        <w:jc w:val="both"/>
        <w:rPr>
          <w:rFonts w:eastAsia="Times New Roman"/>
          <w:sz w:val="24"/>
          <w:szCs w:val="24"/>
        </w:rPr>
      </w:pPr>
      <w:r>
        <w:rPr>
          <w:rFonts w:eastAsia="Times New Roman"/>
          <w:sz w:val="24"/>
          <w:szCs w:val="24"/>
          <w:u w:val="single"/>
        </w:rPr>
        <w:t>Increased SOC Sampling</w:t>
      </w:r>
      <w:r>
        <w:rPr>
          <w:rFonts w:eastAsia="Times New Roman"/>
          <w:sz w:val="24"/>
          <w:szCs w:val="24"/>
        </w:rPr>
        <w:t>: The Department may increase the required monitoring frequency, where necessary, to detect variations within the system (</w:t>
      </w:r>
      <w:r>
        <w:rPr>
          <w:rFonts w:eastAsia="Times New Roman"/>
          <w:i/>
          <w:iCs/>
          <w:sz w:val="24"/>
          <w:szCs w:val="24"/>
        </w:rPr>
        <w:t>e.g</w:t>
      </w:r>
      <w:r>
        <w:rPr>
          <w:rFonts w:eastAsia="Times New Roman"/>
          <w:sz w:val="24"/>
          <w:szCs w:val="24"/>
        </w:rPr>
        <w:t>., fluctuations in concentration due to seasonal use, changes in water source).</w:t>
      </w:r>
    </w:p>
    <w:p w14:paraId="48CDAC85" w14:textId="77777777" w:rsidR="0060064F" w:rsidRDefault="0060064F" w:rsidP="0060064F">
      <w:pPr>
        <w:rPr>
          <w:rFonts w:eastAsia="Times New Roman"/>
          <w:sz w:val="24"/>
          <w:szCs w:val="24"/>
        </w:rPr>
      </w:pPr>
    </w:p>
    <w:p w14:paraId="156044D5" w14:textId="77777777" w:rsidR="0060064F" w:rsidRDefault="0060064F" w:rsidP="0060064F">
      <w:pPr>
        <w:numPr>
          <w:ilvl w:val="0"/>
          <w:numId w:val="250"/>
        </w:numPr>
        <w:tabs>
          <w:tab w:val="left" w:pos="1378"/>
        </w:tabs>
        <w:ind w:left="720"/>
        <w:jc w:val="both"/>
        <w:rPr>
          <w:rFonts w:eastAsia="Times New Roman"/>
          <w:sz w:val="24"/>
          <w:szCs w:val="24"/>
        </w:rPr>
      </w:pPr>
      <w:r>
        <w:rPr>
          <w:rFonts w:eastAsia="Times New Roman"/>
          <w:sz w:val="24"/>
          <w:szCs w:val="24"/>
          <w:u w:val="single"/>
        </w:rPr>
        <w:t>Enforcement</w:t>
      </w:r>
      <w:r>
        <w:rPr>
          <w:rFonts w:eastAsia="Times New Roman"/>
          <w:sz w:val="24"/>
          <w:szCs w:val="24"/>
        </w:rPr>
        <w:t>: The Department has the authority to determine compliance or initiate enforcement action based upon analytical results and other information compiled by their sanctioned representatives and agencies.</w:t>
      </w:r>
    </w:p>
    <w:p w14:paraId="293D630A" w14:textId="77777777" w:rsidR="0060064F" w:rsidRDefault="0060064F" w:rsidP="0060064F">
      <w:pPr>
        <w:rPr>
          <w:rFonts w:eastAsia="Times New Roman"/>
          <w:sz w:val="24"/>
          <w:szCs w:val="24"/>
        </w:rPr>
      </w:pPr>
    </w:p>
    <w:p w14:paraId="330D514C" w14:textId="77777777" w:rsidR="0060064F" w:rsidRDefault="0060064F" w:rsidP="0060064F">
      <w:pPr>
        <w:numPr>
          <w:ilvl w:val="0"/>
          <w:numId w:val="250"/>
        </w:numPr>
        <w:tabs>
          <w:tab w:val="left" w:pos="1356"/>
        </w:tabs>
        <w:ind w:left="720"/>
        <w:rPr>
          <w:rFonts w:eastAsia="Times New Roman"/>
          <w:sz w:val="24"/>
          <w:szCs w:val="24"/>
        </w:rPr>
      </w:pPr>
      <w:r>
        <w:rPr>
          <w:rFonts w:eastAsia="Times New Roman"/>
          <w:sz w:val="24"/>
          <w:szCs w:val="24"/>
          <w:u w:val="single"/>
        </w:rPr>
        <w:t>Designated Sampling Schedules</w:t>
      </w:r>
      <w:r>
        <w:rPr>
          <w:rFonts w:eastAsia="Times New Roman"/>
          <w:sz w:val="24"/>
          <w:szCs w:val="24"/>
        </w:rPr>
        <w:t>: Each public water system shall monitor at the time designated by the Department within each compliance period.</w:t>
      </w:r>
    </w:p>
    <w:p w14:paraId="2819EC71" w14:textId="3F721EEA" w:rsidR="0060064F" w:rsidRDefault="0060064F">
      <w:pPr>
        <w:sectPr w:rsidR="0060064F" w:rsidSect="00EF630C">
          <w:pgSz w:w="12240" w:h="20180"/>
          <w:pgMar w:top="708" w:right="1440" w:bottom="1440" w:left="600" w:header="0" w:footer="0" w:gutter="0"/>
          <w:cols w:space="720" w:equalWidth="0">
            <w:col w:w="10200"/>
          </w:cols>
        </w:sectPr>
      </w:pPr>
    </w:p>
    <w:p w14:paraId="2819EC92" w14:textId="77777777" w:rsidR="004647B9" w:rsidRDefault="00E2436F">
      <w:pPr>
        <w:tabs>
          <w:tab w:val="left" w:pos="160"/>
        </w:tabs>
        <w:jc w:val="center"/>
        <w:rPr>
          <w:sz w:val="20"/>
          <w:szCs w:val="20"/>
        </w:rPr>
      </w:pPr>
      <w:bookmarkStart w:id="101" w:name="page103"/>
      <w:bookmarkEnd w:id="10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C93" w14:textId="77777777" w:rsidR="004647B9" w:rsidRDefault="004647B9" w:rsidP="00746590">
      <w:pPr>
        <w:rPr>
          <w:sz w:val="20"/>
          <w:szCs w:val="20"/>
        </w:rPr>
      </w:pPr>
    </w:p>
    <w:p w14:paraId="2819EC94" w14:textId="77777777" w:rsidR="004647B9" w:rsidRDefault="004647B9" w:rsidP="00746590">
      <w:pPr>
        <w:rPr>
          <w:sz w:val="20"/>
          <w:szCs w:val="20"/>
        </w:rPr>
      </w:pPr>
    </w:p>
    <w:p w14:paraId="2819EC95" w14:textId="77777777" w:rsidR="004647B9" w:rsidRDefault="00E2436F" w:rsidP="00746590">
      <w:pPr>
        <w:tabs>
          <w:tab w:val="left" w:pos="940"/>
        </w:tabs>
        <w:rPr>
          <w:sz w:val="20"/>
          <w:szCs w:val="20"/>
        </w:rPr>
      </w:pPr>
      <w:r>
        <w:rPr>
          <w:rFonts w:eastAsia="Times New Roman"/>
          <w:sz w:val="24"/>
          <w:szCs w:val="24"/>
        </w:rPr>
        <w:t>22.07A:</w:t>
      </w:r>
      <w:r>
        <w:rPr>
          <w:sz w:val="20"/>
          <w:szCs w:val="20"/>
        </w:rPr>
        <w:tab/>
      </w:r>
      <w:r>
        <w:rPr>
          <w:rFonts w:eastAsia="Times New Roman"/>
          <w:sz w:val="23"/>
          <w:szCs w:val="23"/>
        </w:rPr>
        <w:t>continued</w:t>
      </w:r>
    </w:p>
    <w:p w14:paraId="2819EC96" w14:textId="77777777" w:rsidR="004647B9" w:rsidRDefault="004647B9" w:rsidP="00746590">
      <w:pPr>
        <w:rPr>
          <w:sz w:val="20"/>
          <w:szCs w:val="20"/>
        </w:rPr>
      </w:pPr>
    </w:p>
    <w:p w14:paraId="2819EC97" w14:textId="77777777" w:rsidR="004647B9" w:rsidRDefault="00E2436F" w:rsidP="00746590">
      <w:pPr>
        <w:numPr>
          <w:ilvl w:val="0"/>
          <w:numId w:val="251"/>
        </w:numPr>
        <w:tabs>
          <w:tab w:val="left" w:pos="1823"/>
        </w:tabs>
        <w:ind w:left="1195"/>
        <w:jc w:val="both"/>
        <w:rPr>
          <w:rFonts w:eastAsia="Times New Roman"/>
          <w:sz w:val="24"/>
          <w:szCs w:val="24"/>
        </w:rPr>
      </w:pPr>
      <w:r>
        <w:rPr>
          <w:rFonts w:eastAsia="Times New Roman"/>
          <w:sz w:val="24"/>
          <w:szCs w:val="24"/>
          <w:u w:val="single"/>
        </w:rPr>
        <w:t>SOC Detection Limits</w:t>
      </w:r>
      <w:r>
        <w:rPr>
          <w:rFonts w:eastAsia="Times New Roman"/>
          <w:sz w:val="24"/>
          <w:szCs w:val="24"/>
        </w:rPr>
        <w:t>: Detection as used in 310 CMR 22.07A(5) shall be defined as greater than or equal to the following concentrations for each contaminant. (Please refer to the Guidelines and Policies for further information regarding detection limits).</w:t>
      </w:r>
    </w:p>
    <w:p w14:paraId="2819EC98" w14:textId="77777777" w:rsidR="004647B9" w:rsidRPr="00746590" w:rsidRDefault="004647B9" w:rsidP="00746590">
      <w:pPr>
        <w:rPr>
          <w:sz w:val="24"/>
          <w:szCs w:val="24"/>
        </w:rPr>
      </w:pPr>
    </w:p>
    <w:tbl>
      <w:tblPr>
        <w:tblW w:w="0" w:type="auto"/>
        <w:tblInd w:w="1880" w:type="dxa"/>
        <w:tblLayout w:type="fixed"/>
        <w:tblCellMar>
          <w:left w:w="0" w:type="dxa"/>
          <w:right w:w="0" w:type="dxa"/>
        </w:tblCellMar>
        <w:tblLook w:val="04A0" w:firstRow="1" w:lastRow="0" w:firstColumn="1" w:lastColumn="0" w:noHBand="0" w:noVBand="1"/>
      </w:tblPr>
      <w:tblGrid>
        <w:gridCol w:w="4580"/>
        <w:gridCol w:w="2100"/>
      </w:tblGrid>
      <w:tr w:rsidR="00B60836" w14:paraId="2819EC9E" w14:textId="77777777" w:rsidTr="00B60836">
        <w:trPr>
          <w:trHeight w:val="276"/>
        </w:trPr>
        <w:tc>
          <w:tcPr>
            <w:tcW w:w="6680" w:type="dxa"/>
            <w:gridSpan w:val="2"/>
            <w:vAlign w:val="center"/>
          </w:tcPr>
          <w:p w14:paraId="2819EC9D" w14:textId="69291FE8" w:rsidR="00B60836" w:rsidRPr="00B60836" w:rsidRDefault="00B60836" w:rsidP="00B60836">
            <w:pPr>
              <w:jc w:val="center"/>
              <w:rPr>
                <w:sz w:val="23"/>
                <w:szCs w:val="23"/>
                <w:u w:val="single"/>
              </w:rPr>
            </w:pPr>
            <w:r w:rsidRPr="00B60836">
              <w:rPr>
                <w:rFonts w:eastAsia="Times New Roman"/>
                <w:w w:val="98"/>
                <w:sz w:val="24"/>
                <w:szCs w:val="24"/>
                <w:u w:val="single"/>
              </w:rPr>
              <w:t>SOC DETECTION LIMITS</w:t>
            </w:r>
          </w:p>
        </w:tc>
      </w:tr>
      <w:tr w:rsidR="00B60836" w14:paraId="2819ECA4" w14:textId="77777777" w:rsidTr="00565FBD">
        <w:trPr>
          <w:trHeight w:val="258"/>
        </w:trPr>
        <w:tc>
          <w:tcPr>
            <w:tcW w:w="4580" w:type="dxa"/>
            <w:vAlign w:val="bottom"/>
          </w:tcPr>
          <w:p w14:paraId="2819ECA1" w14:textId="58F37AC0" w:rsidR="00B60836" w:rsidRDefault="00B60836">
            <w:r w:rsidRPr="00B60836">
              <w:rPr>
                <w:rFonts w:eastAsia="Times New Roman"/>
                <w:w w:val="98"/>
                <w:sz w:val="24"/>
                <w:szCs w:val="24"/>
                <w:u w:val="single"/>
              </w:rPr>
              <w:t>Contaminant</w:t>
            </w:r>
          </w:p>
        </w:tc>
        <w:tc>
          <w:tcPr>
            <w:tcW w:w="2100" w:type="dxa"/>
            <w:tcBorders>
              <w:left w:val="nil"/>
            </w:tcBorders>
            <w:vAlign w:val="bottom"/>
          </w:tcPr>
          <w:p w14:paraId="2819ECA3" w14:textId="61C5C1E3" w:rsidR="00B60836" w:rsidRPr="00565FBD" w:rsidRDefault="00B60836" w:rsidP="00565FBD">
            <w:pPr>
              <w:rPr>
                <w:sz w:val="20"/>
                <w:szCs w:val="20"/>
                <w:u w:val="single"/>
              </w:rPr>
            </w:pPr>
            <w:r w:rsidRPr="00565FBD">
              <w:rPr>
                <w:rFonts w:eastAsia="Times New Roman"/>
                <w:w w:val="98"/>
                <w:sz w:val="24"/>
                <w:szCs w:val="24"/>
                <w:u w:val="single"/>
              </w:rPr>
              <w:t>Detection Limit mg/l</w:t>
            </w:r>
          </w:p>
        </w:tc>
      </w:tr>
      <w:tr w:rsidR="004647B9" w14:paraId="2819ECA7" w14:textId="77777777" w:rsidTr="00B60836">
        <w:trPr>
          <w:trHeight w:val="545"/>
        </w:trPr>
        <w:tc>
          <w:tcPr>
            <w:tcW w:w="4580" w:type="dxa"/>
            <w:vAlign w:val="bottom"/>
          </w:tcPr>
          <w:p w14:paraId="2819ECA5" w14:textId="77777777" w:rsidR="004647B9" w:rsidRDefault="00E2436F">
            <w:pPr>
              <w:rPr>
                <w:sz w:val="20"/>
                <w:szCs w:val="20"/>
              </w:rPr>
            </w:pPr>
            <w:r>
              <w:rPr>
                <w:rFonts w:eastAsia="Times New Roman"/>
                <w:sz w:val="24"/>
                <w:szCs w:val="24"/>
              </w:rPr>
              <w:t>Alachlor</w:t>
            </w:r>
          </w:p>
        </w:tc>
        <w:tc>
          <w:tcPr>
            <w:tcW w:w="2100" w:type="dxa"/>
            <w:vAlign w:val="bottom"/>
          </w:tcPr>
          <w:p w14:paraId="2819ECA6" w14:textId="77777777" w:rsidR="004647B9" w:rsidRDefault="00E2436F">
            <w:pPr>
              <w:ind w:left="20"/>
              <w:rPr>
                <w:sz w:val="20"/>
                <w:szCs w:val="20"/>
              </w:rPr>
            </w:pPr>
            <w:r>
              <w:rPr>
                <w:rFonts w:eastAsia="Times New Roman"/>
                <w:sz w:val="24"/>
                <w:szCs w:val="24"/>
              </w:rPr>
              <w:t>0.0002</w:t>
            </w:r>
          </w:p>
        </w:tc>
      </w:tr>
      <w:tr w:rsidR="004647B9" w14:paraId="2819ECAA" w14:textId="77777777">
        <w:trPr>
          <w:trHeight w:val="278"/>
        </w:trPr>
        <w:tc>
          <w:tcPr>
            <w:tcW w:w="4580" w:type="dxa"/>
            <w:vAlign w:val="bottom"/>
          </w:tcPr>
          <w:p w14:paraId="2819ECA8" w14:textId="77777777" w:rsidR="004647B9" w:rsidRDefault="00E2436F">
            <w:pPr>
              <w:rPr>
                <w:sz w:val="20"/>
                <w:szCs w:val="20"/>
              </w:rPr>
            </w:pPr>
            <w:r>
              <w:rPr>
                <w:rFonts w:eastAsia="Times New Roman"/>
                <w:sz w:val="24"/>
                <w:szCs w:val="24"/>
              </w:rPr>
              <w:t>Aldicarb</w:t>
            </w:r>
          </w:p>
        </w:tc>
        <w:tc>
          <w:tcPr>
            <w:tcW w:w="2100" w:type="dxa"/>
            <w:vAlign w:val="bottom"/>
          </w:tcPr>
          <w:p w14:paraId="2819ECA9" w14:textId="77777777" w:rsidR="004647B9" w:rsidRDefault="00E2436F">
            <w:pPr>
              <w:ind w:left="20"/>
              <w:rPr>
                <w:sz w:val="20"/>
                <w:szCs w:val="20"/>
              </w:rPr>
            </w:pPr>
            <w:r>
              <w:rPr>
                <w:rFonts w:eastAsia="Times New Roman"/>
                <w:sz w:val="24"/>
                <w:szCs w:val="24"/>
              </w:rPr>
              <w:t>0.0005</w:t>
            </w:r>
          </w:p>
        </w:tc>
      </w:tr>
      <w:tr w:rsidR="004647B9" w14:paraId="2819ECAD" w14:textId="77777777">
        <w:trPr>
          <w:trHeight w:val="281"/>
        </w:trPr>
        <w:tc>
          <w:tcPr>
            <w:tcW w:w="4580" w:type="dxa"/>
            <w:vAlign w:val="bottom"/>
          </w:tcPr>
          <w:p w14:paraId="2819ECAB" w14:textId="77777777" w:rsidR="004647B9" w:rsidRDefault="00E2436F">
            <w:pPr>
              <w:rPr>
                <w:sz w:val="20"/>
                <w:szCs w:val="20"/>
              </w:rPr>
            </w:pPr>
            <w:r>
              <w:rPr>
                <w:rFonts w:eastAsia="Times New Roman"/>
                <w:sz w:val="24"/>
                <w:szCs w:val="24"/>
              </w:rPr>
              <w:t>Aldicarb sulfoxide</w:t>
            </w:r>
          </w:p>
        </w:tc>
        <w:tc>
          <w:tcPr>
            <w:tcW w:w="2100" w:type="dxa"/>
            <w:vAlign w:val="bottom"/>
          </w:tcPr>
          <w:p w14:paraId="2819ECAC" w14:textId="77777777" w:rsidR="004647B9" w:rsidRDefault="00E2436F">
            <w:pPr>
              <w:ind w:left="20"/>
              <w:rPr>
                <w:sz w:val="20"/>
                <w:szCs w:val="20"/>
              </w:rPr>
            </w:pPr>
            <w:r>
              <w:rPr>
                <w:rFonts w:eastAsia="Times New Roman"/>
                <w:sz w:val="24"/>
                <w:szCs w:val="24"/>
              </w:rPr>
              <w:t>0.0005</w:t>
            </w:r>
          </w:p>
        </w:tc>
      </w:tr>
      <w:tr w:rsidR="004647B9" w14:paraId="2819ECB0" w14:textId="77777777">
        <w:trPr>
          <w:trHeight w:val="278"/>
        </w:trPr>
        <w:tc>
          <w:tcPr>
            <w:tcW w:w="4580" w:type="dxa"/>
            <w:vAlign w:val="bottom"/>
          </w:tcPr>
          <w:p w14:paraId="2819ECAE" w14:textId="77777777" w:rsidR="004647B9" w:rsidRDefault="00E2436F">
            <w:pPr>
              <w:rPr>
                <w:sz w:val="20"/>
                <w:szCs w:val="20"/>
              </w:rPr>
            </w:pPr>
            <w:r>
              <w:rPr>
                <w:rFonts w:eastAsia="Times New Roman"/>
                <w:sz w:val="24"/>
                <w:szCs w:val="24"/>
              </w:rPr>
              <w:t>Aldicarb sulfone</w:t>
            </w:r>
          </w:p>
        </w:tc>
        <w:tc>
          <w:tcPr>
            <w:tcW w:w="2100" w:type="dxa"/>
            <w:vAlign w:val="bottom"/>
          </w:tcPr>
          <w:p w14:paraId="2819ECAF" w14:textId="77777777" w:rsidR="004647B9" w:rsidRDefault="00E2436F">
            <w:pPr>
              <w:ind w:left="20"/>
              <w:rPr>
                <w:sz w:val="20"/>
                <w:szCs w:val="20"/>
              </w:rPr>
            </w:pPr>
            <w:r>
              <w:rPr>
                <w:rFonts w:eastAsia="Times New Roman"/>
                <w:sz w:val="24"/>
                <w:szCs w:val="24"/>
              </w:rPr>
              <w:t>0.0008</w:t>
            </w:r>
          </w:p>
        </w:tc>
      </w:tr>
      <w:tr w:rsidR="004647B9" w14:paraId="2819ECB3" w14:textId="77777777">
        <w:trPr>
          <w:trHeight w:val="281"/>
        </w:trPr>
        <w:tc>
          <w:tcPr>
            <w:tcW w:w="4580" w:type="dxa"/>
            <w:vAlign w:val="bottom"/>
          </w:tcPr>
          <w:p w14:paraId="2819ECB1" w14:textId="77777777" w:rsidR="004647B9" w:rsidRDefault="00E2436F">
            <w:pPr>
              <w:rPr>
                <w:sz w:val="20"/>
                <w:szCs w:val="20"/>
              </w:rPr>
            </w:pPr>
            <w:r>
              <w:rPr>
                <w:rFonts w:eastAsia="Times New Roman"/>
                <w:sz w:val="24"/>
                <w:szCs w:val="24"/>
              </w:rPr>
              <w:t>Atrazine</w:t>
            </w:r>
          </w:p>
        </w:tc>
        <w:tc>
          <w:tcPr>
            <w:tcW w:w="2100" w:type="dxa"/>
            <w:vAlign w:val="bottom"/>
          </w:tcPr>
          <w:p w14:paraId="2819ECB2" w14:textId="77777777" w:rsidR="004647B9" w:rsidRDefault="00E2436F">
            <w:pPr>
              <w:ind w:left="20"/>
              <w:rPr>
                <w:sz w:val="20"/>
                <w:szCs w:val="20"/>
              </w:rPr>
            </w:pPr>
            <w:r>
              <w:rPr>
                <w:rFonts w:eastAsia="Times New Roman"/>
                <w:sz w:val="24"/>
                <w:szCs w:val="24"/>
              </w:rPr>
              <w:t>0.0001</w:t>
            </w:r>
          </w:p>
        </w:tc>
      </w:tr>
      <w:tr w:rsidR="004647B9" w14:paraId="2819ECB6" w14:textId="77777777">
        <w:trPr>
          <w:trHeight w:val="278"/>
        </w:trPr>
        <w:tc>
          <w:tcPr>
            <w:tcW w:w="4580" w:type="dxa"/>
            <w:vAlign w:val="bottom"/>
          </w:tcPr>
          <w:p w14:paraId="2819ECB4" w14:textId="77777777" w:rsidR="004647B9" w:rsidRDefault="00E2436F">
            <w:pPr>
              <w:rPr>
                <w:sz w:val="20"/>
                <w:szCs w:val="20"/>
              </w:rPr>
            </w:pPr>
            <w:r>
              <w:rPr>
                <w:rFonts w:eastAsia="Times New Roman"/>
                <w:sz w:val="24"/>
                <w:szCs w:val="24"/>
              </w:rPr>
              <w:t>Benzo(a)pyrene</w:t>
            </w:r>
          </w:p>
        </w:tc>
        <w:tc>
          <w:tcPr>
            <w:tcW w:w="2100" w:type="dxa"/>
            <w:vAlign w:val="bottom"/>
          </w:tcPr>
          <w:p w14:paraId="2819ECB5" w14:textId="77777777" w:rsidR="004647B9" w:rsidRDefault="00E2436F">
            <w:pPr>
              <w:ind w:left="20"/>
              <w:rPr>
                <w:sz w:val="20"/>
                <w:szCs w:val="20"/>
              </w:rPr>
            </w:pPr>
            <w:r>
              <w:rPr>
                <w:rFonts w:eastAsia="Times New Roman"/>
                <w:sz w:val="24"/>
                <w:szCs w:val="24"/>
              </w:rPr>
              <w:t>0.00002</w:t>
            </w:r>
          </w:p>
        </w:tc>
      </w:tr>
      <w:tr w:rsidR="004647B9" w14:paraId="2819ECB9" w14:textId="77777777">
        <w:trPr>
          <w:trHeight w:val="281"/>
        </w:trPr>
        <w:tc>
          <w:tcPr>
            <w:tcW w:w="4580" w:type="dxa"/>
            <w:vAlign w:val="bottom"/>
          </w:tcPr>
          <w:p w14:paraId="2819ECB7" w14:textId="77777777" w:rsidR="004647B9" w:rsidRDefault="00E2436F">
            <w:pPr>
              <w:rPr>
                <w:sz w:val="20"/>
                <w:szCs w:val="20"/>
              </w:rPr>
            </w:pPr>
            <w:r>
              <w:rPr>
                <w:rFonts w:eastAsia="Times New Roman"/>
                <w:sz w:val="24"/>
                <w:szCs w:val="24"/>
              </w:rPr>
              <w:t>Carbofuran</w:t>
            </w:r>
          </w:p>
        </w:tc>
        <w:tc>
          <w:tcPr>
            <w:tcW w:w="2100" w:type="dxa"/>
            <w:vAlign w:val="bottom"/>
          </w:tcPr>
          <w:p w14:paraId="2819ECB8" w14:textId="77777777" w:rsidR="004647B9" w:rsidRDefault="00E2436F">
            <w:pPr>
              <w:ind w:left="20"/>
              <w:rPr>
                <w:sz w:val="20"/>
                <w:szCs w:val="20"/>
              </w:rPr>
            </w:pPr>
            <w:r>
              <w:rPr>
                <w:rFonts w:eastAsia="Times New Roman"/>
                <w:sz w:val="24"/>
                <w:szCs w:val="24"/>
              </w:rPr>
              <w:t>0.0009</w:t>
            </w:r>
          </w:p>
        </w:tc>
      </w:tr>
      <w:tr w:rsidR="004647B9" w14:paraId="2819ECBC" w14:textId="77777777">
        <w:trPr>
          <w:trHeight w:val="278"/>
        </w:trPr>
        <w:tc>
          <w:tcPr>
            <w:tcW w:w="4580" w:type="dxa"/>
            <w:vAlign w:val="bottom"/>
          </w:tcPr>
          <w:p w14:paraId="2819ECBA" w14:textId="77777777" w:rsidR="004647B9" w:rsidRDefault="00E2436F">
            <w:pPr>
              <w:rPr>
                <w:sz w:val="20"/>
                <w:szCs w:val="20"/>
              </w:rPr>
            </w:pPr>
            <w:r>
              <w:rPr>
                <w:rFonts w:eastAsia="Times New Roman"/>
                <w:sz w:val="24"/>
                <w:szCs w:val="24"/>
              </w:rPr>
              <w:t>Chlordane</w:t>
            </w:r>
          </w:p>
        </w:tc>
        <w:tc>
          <w:tcPr>
            <w:tcW w:w="2100" w:type="dxa"/>
            <w:vAlign w:val="bottom"/>
          </w:tcPr>
          <w:p w14:paraId="2819ECBB" w14:textId="77777777" w:rsidR="004647B9" w:rsidRDefault="00E2436F">
            <w:pPr>
              <w:ind w:left="20"/>
              <w:rPr>
                <w:sz w:val="20"/>
                <w:szCs w:val="20"/>
              </w:rPr>
            </w:pPr>
            <w:r>
              <w:rPr>
                <w:rFonts w:eastAsia="Times New Roman"/>
                <w:sz w:val="24"/>
                <w:szCs w:val="24"/>
              </w:rPr>
              <w:t>0.0002</w:t>
            </w:r>
          </w:p>
        </w:tc>
      </w:tr>
      <w:tr w:rsidR="004647B9" w14:paraId="2819ECBF" w14:textId="77777777">
        <w:trPr>
          <w:trHeight w:val="281"/>
        </w:trPr>
        <w:tc>
          <w:tcPr>
            <w:tcW w:w="4580" w:type="dxa"/>
            <w:vAlign w:val="bottom"/>
          </w:tcPr>
          <w:p w14:paraId="2819ECBD" w14:textId="77777777" w:rsidR="004647B9" w:rsidRDefault="00E2436F">
            <w:pPr>
              <w:rPr>
                <w:sz w:val="20"/>
                <w:szCs w:val="20"/>
              </w:rPr>
            </w:pPr>
            <w:r>
              <w:rPr>
                <w:rFonts w:eastAsia="Times New Roman"/>
                <w:sz w:val="24"/>
                <w:szCs w:val="24"/>
              </w:rPr>
              <w:t>Dalapon</w:t>
            </w:r>
          </w:p>
        </w:tc>
        <w:tc>
          <w:tcPr>
            <w:tcW w:w="2100" w:type="dxa"/>
            <w:vAlign w:val="bottom"/>
          </w:tcPr>
          <w:p w14:paraId="2819ECBE" w14:textId="77777777" w:rsidR="004647B9" w:rsidRDefault="00E2436F">
            <w:pPr>
              <w:ind w:left="20"/>
              <w:rPr>
                <w:sz w:val="20"/>
                <w:szCs w:val="20"/>
              </w:rPr>
            </w:pPr>
            <w:r>
              <w:rPr>
                <w:rFonts w:eastAsia="Times New Roman"/>
                <w:sz w:val="24"/>
                <w:szCs w:val="24"/>
              </w:rPr>
              <w:t>0.001</w:t>
            </w:r>
          </w:p>
        </w:tc>
      </w:tr>
      <w:tr w:rsidR="004647B9" w14:paraId="2819ECC2" w14:textId="77777777">
        <w:trPr>
          <w:trHeight w:val="278"/>
        </w:trPr>
        <w:tc>
          <w:tcPr>
            <w:tcW w:w="4580" w:type="dxa"/>
            <w:vAlign w:val="bottom"/>
          </w:tcPr>
          <w:p w14:paraId="2819ECC0" w14:textId="77777777" w:rsidR="004647B9" w:rsidRDefault="00E2436F">
            <w:pPr>
              <w:rPr>
                <w:sz w:val="20"/>
                <w:szCs w:val="20"/>
              </w:rPr>
            </w:pPr>
            <w:r>
              <w:rPr>
                <w:rFonts w:eastAsia="Times New Roman"/>
                <w:sz w:val="24"/>
                <w:szCs w:val="24"/>
              </w:rPr>
              <w:t>Dibromochloropropane (DBCP)</w:t>
            </w:r>
          </w:p>
        </w:tc>
        <w:tc>
          <w:tcPr>
            <w:tcW w:w="2100" w:type="dxa"/>
            <w:vAlign w:val="bottom"/>
          </w:tcPr>
          <w:p w14:paraId="2819ECC1" w14:textId="77777777" w:rsidR="004647B9" w:rsidRDefault="00E2436F">
            <w:pPr>
              <w:ind w:left="20"/>
              <w:rPr>
                <w:sz w:val="20"/>
                <w:szCs w:val="20"/>
              </w:rPr>
            </w:pPr>
            <w:r>
              <w:rPr>
                <w:rFonts w:eastAsia="Times New Roman"/>
                <w:sz w:val="24"/>
                <w:szCs w:val="24"/>
              </w:rPr>
              <w:t>0.00002</w:t>
            </w:r>
          </w:p>
        </w:tc>
      </w:tr>
      <w:tr w:rsidR="004647B9" w14:paraId="2819ECC5" w14:textId="77777777">
        <w:trPr>
          <w:trHeight w:val="281"/>
        </w:trPr>
        <w:tc>
          <w:tcPr>
            <w:tcW w:w="4580" w:type="dxa"/>
            <w:vAlign w:val="bottom"/>
          </w:tcPr>
          <w:p w14:paraId="2819ECC3" w14:textId="77777777" w:rsidR="004647B9" w:rsidRDefault="00E2436F">
            <w:pPr>
              <w:rPr>
                <w:sz w:val="20"/>
                <w:szCs w:val="20"/>
              </w:rPr>
            </w:pPr>
            <w:r>
              <w:rPr>
                <w:rFonts w:eastAsia="Times New Roman"/>
                <w:sz w:val="24"/>
                <w:szCs w:val="24"/>
              </w:rPr>
              <w:t>Di (2-ethythexyl) adipate</w:t>
            </w:r>
          </w:p>
        </w:tc>
        <w:tc>
          <w:tcPr>
            <w:tcW w:w="2100" w:type="dxa"/>
            <w:vAlign w:val="bottom"/>
          </w:tcPr>
          <w:p w14:paraId="2819ECC4" w14:textId="77777777" w:rsidR="004647B9" w:rsidRDefault="00E2436F">
            <w:pPr>
              <w:ind w:left="20"/>
              <w:rPr>
                <w:sz w:val="20"/>
                <w:szCs w:val="20"/>
              </w:rPr>
            </w:pPr>
            <w:r>
              <w:rPr>
                <w:rFonts w:eastAsia="Times New Roman"/>
                <w:sz w:val="24"/>
                <w:szCs w:val="24"/>
              </w:rPr>
              <w:t>0.0006</w:t>
            </w:r>
          </w:p>
        </w:tc>
      </w:tr>
      <w:tr w:rsidR="004647B9" w14:paraId="2819ECC8" w14:textId="77777777">
        <w:trPr>
          <w:trHeight w:val="278"/>
        </w:trPr>
        <w:tc>
          <w:tcPr>
            <w:tcW w:w="4580" w:type="dxa"/>
            <w:vAlign w:val="bottom"/>
          </w:tcPr>
          <w:p w14:paraId="2819ECC6" w14:textId="77777777" w:rsidR="004647B9" w:rsidRDefault="00E2436F">
            <w:pPr>
              <w:rPr>
                <w:sz w:val="20"/>
                <w:szCs w:val="20"/>
              </w:rPr>
            </w:pPr>
            <w:r>
              <w:rPr>
                <w:rFonts w:eastAsia="Times New Roman"/>
                <w:sz w:val="24"/>
                <w:szCs w:val="24"/>
              </w:rPr>
              <w:t>Di (2-ethylhexyl) phthalate</w:t>
            </w:r>
          </w:p>
        </w:tc>
        <w:tc>
          <w:tcPr>
            <w:tcW w:w="2100" w:type="dxa"/>
            <w:vAlign w:val="bottom"/>
          </w:tcPr>
          <w:p w14:paraId="2819ECC7" w14:textId="77777777" w:rsidR="004647B9" w:rsidRDefault="00E2436F">
            <w:pPr>
              <w:ind w:left="20"/>
              <w:rPr>
                <w:sz w:val="20"/>
                <w:szCs w:val="20"/>
              </w:rPr>
            </w:pPr>
            <w:r>
              <w:rPr>
                <w:rFonts w:eastAsia="Times New Roman"/>
                <w:sz w:val="24"/>
                <w:szCs w:val="24"/>
              </w:rPr>
              <w:t>0.0006</w:t>
            </w:r>
          </w:p>
        </w:tc>
      </w:tr>
      <w:tr w:rsidR="004647B9" w14:paraId="2819ECCB" w14:textId="77777777">
        <w:trPr>
          <w:trHeight w:val="281"/>
        </w:trPr>
        <w:tc>
          <w:tcPr>
            <w:tcW w:w="4580" w:type="dxa"/>
            <w:vAlign w:val="bottom"/>
          </w:tcPr>
          <w:p w14:paraId="2819ECC9" w14:textId="77777777" w:rsidR="004647B9" w:rsidRDefault="00E2436F">
            <w:pPr>
              <w:rPr>
                <w:sz w:val="20"/>
                <w:szCs w:val="20"/>
              </w:rPr>
            </w:pPr>
            <w:r>
              <w:rPr>
                <w:rFonts w:eastAsia="Times New Roman"/>
                <w:sz w:val="24"/>
                <w:szCs w:val="24"/>
              </w:rPr>
              <w:t>Dinoseb</w:t>
            </w:r>
          </w:p>
        </w:tc>
        <w:tc>
          <w:tcPr>
            <w:tcW w:w="2100" w:type="dxa"/>
            <w:vAlign w:val="bottom"/>
          </w:tcPr>
          <w:p w14:paraId="2819ECCA" w14:textId="77777777" w:rsidR="004647B9" w:rsidRDefault="00E2436F">
            <w:pPr>
              <w:ind w:left="20"/>
              <w:rPr>
                <w:sz w:val="20"/>
                <w:szCs w:val="20"/>
              </w:rPr>
            </w:pPr>
            <w:r>
              <w:rPr>
                <w:rFonts w:eastAsia="Times New Roman"/>
                <w:sz w:val="24"/>
                <w:szCs w:val="24"/>
              </w:rPr>
              <w:t>0.0002</w:t>
            </w:r>
          </w:p>
        </w:tc>
      </w:tr>
      <w:tr w:rsidR="004647B9" w14:paraId="2819ECCE" w14:textId="77777777">
        <w:trPr>
          <w:trHeight w:val="278"/>
        </w:trPr>
        <w:tc>
          <w:tcPr>
            <w:tcW w:w="4580" w:type="dxa"/>
            <w:vAlign w:val="bottom"/>
          </w:tcPr>
          <w:p w14:paraId="2819ECCC" w14:textId="77777777" w:rsidR="004647B9" w:rsidRDefault="00E2436F">
            <w:pPr>
              <w:rPr>
                <w:sz w:val="20"/>
                <w:szCs w:val="20"/>
              </w:rPr>
            </w:pPr>
            <w:r>
              <w:rPr>
                <w:rFonts w:eastAsia="Times New Roman"/>
                <w:sz w:val="24"/>
                <w:szCs w:val="24"/>
              </w:rPr>
              <w:t>Diquat</w:t>
            </w:r>
          </w:p>
        </w:tc>
        <w:tc>
          <w:tcPr>
            <w:tcW w:w="2100" w:type="dxa"/>
            <w:vAlign w:val="bottom"/>
          </w:tcPr>
          <w:p w14:paraId="2819ECCD" w14:textId="77777777" w:rsidR="004647B9" w:rsidRDefault="00E2436F">
            <w:pPr>
              <w:ind w:left="20"/>
              <w:rPr>
                <w:sz w:val="20"/>
                <w:szCs w:val="20"/>
              </w:rPr>
            </w:pPr>
            <w:r>
              <w:rPr>
                <w:rFonts w:eastAsia="Times New Roman"/>
                <w:sz w:val="24"/>
                <w:szCs w:val="24"/>
              </w:rPr>
              <w:t>0.0004</w:t>
            </w:r>
          </w:p>
        </w:tc>
      </w:tr>
      <w:tr w:rsidR="004647B9" w14:paraId="2819ECD1" w14:textId="77777777">
        <w:trPr>
          <w:trHeight w:val="281"/>
        </w:trPr>
        <w:tc>
          <w:tcPr>
            <w:tcW w:w="4580" w:type="dxa"/>
            <w:vAlign w:val="bottom"/>
          </w:tcPr>
          <w:p w14:paraId="2819ECCF" w14:textId="77777777" w:rsidR="004647B9" w:rsidRDefault="00E2436F">
            <w:pPr>
              <w:rPr>
                <w:sz w:val="20"/>
                <w:szCs w:val="20"/>
              </w:rPr>
            </w:pPr>
            <w:r>
              <w:rPr>
                <w:rFonts w:eastAsia="Times New Roman"/>
                <w:sz w:val="24"/>
                <w:szCs w:val="24"/>
              </w:rPr>
              <w:t>2,4-D</w:t>
            </w:r>
          </w:p>
        </w:tc>
        <w:tc>
          <w:tcPr>
            <w:tcW w:w="2100" w:type="dxa"/>
            <w:vAlign w:val="bottom"/>
          </w:tcPr>
          <w:p w14:paraId="2819ECD0" w14:textId="77777777" w:rsidR="004647B9" w:rsidRDefault="00E2436F">
            <w:pPr>
              <w:ind w:left="20"/>
              <w:rPr>
                <w:sz w:val="20"/>
                <w:szCs w:val="20"/>
              </w:rPr>
            </w:pPr>
            <w:r>
              <w:rPr>
                <w:rFonts w:eastAsia="Times New Roman"/>
                <w:sz w:val="24"/>
                <w:szCs w:val="24"/>
              </w:rPr>
              <w:t>0.0001</w:t>
            </w:r>
          </w:p>
        </w:tc>
      </w:tr>
      <w:tr w:rsidR="004647B9" w14:paraId="2819ECD4" w14:textId="77777777">
        <w:trPr>
          <w:trHeight w:val="278"/>
        </w:trPr>
        <w:tc>
          <w:tcPr>
            <w:tcW w:w="4580" w:type="dxa"/>
            <w:vAlign w:val="bottom"/>
          </w:tcPr>
          <w:p w14:paraId="2819ECD2" w14:textId="77777777" w:rsidR="004647B9" w:rsidRDefault="00E2436F">
            <w:pPr>
              <w:rPr>
                <w:sz w:val="20"/>
                <w:szCs w:val="20"/>
              </w:rPr>
            </w:pPr>
            <w:r>
              <w:rPr>
                <w:rFonts w:eastAsia="Times New Roman"/>
                <w:sz w:val="24"/>
                <w:szCs w:val="24"/>
              </w:rPr>
              <w:t>Endothall</w:t>
            </w:r>
          </w:p>
        </w:tc>
        <w:tc>
          <w:tcPr>
            <w:tcW w:w="2100" w:type="dxa"/>
            <w:vAlign w:val="bottom"/>
          </w:tcPr>
          <w:p w14:paraId="2819ECD3" w14:textId="77777777" w:rsidR="004647B9" w:rsidRDefault="00E2436F">
            <w:pPr>
              <w:ind w:left="20"/>
              <w:rPr>
                <w:sz w:val="20"/>
                <w:szCs w:val="20"/>
              </w:rPr>
            </w:pPr>
            <w:r>
              <w:rPr>
                <w:rFonts w:eastAsia="Times New Roman"/>
                <w:sz w:val="24"/>
                <w:szCs w:val="24"/>
              </w:rPr>
              <w:t>0.009</w:t>
            </w:r>
          </w:p>
        </w:tc>
      </w:tr>
      <w:tr w:rsidR="004647B9" w14:paraId="2819ECD7" w14:textId="77777777">
        <w:trPr>
          <w:trHeight w:val="281"/>
        </w:trPr>
        <w:tc>
          <w:tcPr>
            <w:tcW w:w="4580" w:type="dxa"/>
            <w:vAlign w:val="bottom"/>
          </w:tcPr>
          <w:p w14:paraId="2819ECD5" w14:textId="77777777" w:rsidR="004647B9" w:rsidRDefault="00E2436F">
            <w:pPr>
              <w:rPr>
                <w:sz w:val="20"/>
                <w:szCs w:val="20"/>
              </w:rPr>
            </w:pPr>
            <w:r>
              <w:rPr>
                <w:rFonts w:eastAsia="Times New Roman"/>
                <w:sz w:val="24"/>
                <w:szCs w:val="24"/>
              </w:rPr>
              <w:t>Endrin</w:t>
            </w:r>
          </w:p>
        </w:tc>
        <w:tc>
          <w:tcPr>
            <w:tcW w:w="2100" w:type="dxa"/>
            <w:vAlign w:val="bottom"/>
          </w:tcPr>
          <w:p w14:paraId="2819ECD6" w14:textId="77777777" w:rsidR="004647B9" w:rsidRDefault="00E2436F">
            <w:pPr>
              <w:ind w:left="20"/>
              <w:rPr>
                <w:sz w:val="20"/>
                <w:szCs w:val="20"/>
              </w:rPr>
            </w:pPr>
            <w:r>
              <w:rPr>
                <w:rFonts w:eastAsia="Times New Roman"/>
                <w:sz w:val="24"/>
                <w:szCs w:val="24"/>
              </w:rPr>
              <w:t>0.00001</w:t>
            </w:r>
          </w:p>
        </w:tc>
      </w:tr>
      <w:tr w:rsidR="004647B9" w14:paraId="2819ECDA" w14:textId="77777777">
        <w:trPr>
          <w:trHeight w:val="278"/>
        </w:trPr>
        <w:tc>
          <w:tcPr>
            <w:tcW w:w="4580" w:type="dxa"/>
            <w:vAlign w:val="bottom"/>
          </w:tcPr>
          <w:p w14:paraId="2819ECD8" w14:textId="77777777" w:rsidR="004647B9" w:rsidRDefault="00E2436F">
            <w:pPr>
              <w:rPr>
                <w:sz w:val="20"/>
                <w:szCs w:val="20"/>
              </w:rPr>
            </w:pPr>
            <w:r>
              <w:rPr>
                <w:rFonts w:eastAsia="Times New Roman"/>
                <w:sz w:val="24"/>
                <w:szCs w:val="24"/>
              </w:rPr>
              <w:t>Ethylene dibromide (EDB)</w:t>
            </w:r>
          </w:p>
        </w:tc>
        <w:tc>
          <w:tcPr>
            <w:tcW w:w="2100" w:type="dxa"/>
            <w:vAlign w:val="bottom"/>
          </w:tcPr>
          <w:p w14:paraId="2819ECD9" w14:textId="77777777" w:rsidR="004647B9" w:rsidRDefault="00E2436F">
            <w:pPr>
              <w:ind w:left="20"/>
              <w:rPr>
                <w:sz w:val="20"/>
                <w:szCs w:val="20"/>
              </w:rPr>
            </w:pPr>
            <w:r>
              <w:rPr>
                <w:rFonts w:eastAsia="Times New Roman"/>
                <w:sz w:val="24"/>
                <w:szCs w:val="24"/>
              </w:rPr>
              <w:t>0.00001</w:t>
            </w:r>
          </w:p>
        </w:tc>
      </w:tr>
      <w:tr w:rsidR="004647B9" w14:paraId="2819ECDD" w14:textId="77777777">
        <w:trPr>
          <w:trHeight w:val="281"/>
        </w:trPr>
        <w:tc>
          <w:tcPr>
            <w:tcW w:w="4580" w:type="dxa"/>
            <w:vAlign w:val="bottom"/>
          </w:tcPr>
          <w:p w14:paraId="2819ECDB" w14:textId="77777777" w:rsidR="004647B9" w:rsidRDefault="00E2436F">
            <w:pPr>
              <w:rPr>
                <w:sz w:val="20"/>
                <w:szCs w:val="20"/>
              </w:rPr>
            </w:pPr>
            <w:r>
              <w:rPr>
                <w:rFonts w:eastAsia="Times New Roman"/>
                <w:sz w:val="24"/>
                <w:szCs w:val="24"/>
              </w:rPr>
              <w:t>Glyphosate</w:t>
            </w:r>
          </w:p>
        </w:tc>
        <w:tc>
          <w:tcPr>
            <w:tcW w:w="2100" w:type="dxa"/>
            <w:vAlign w:val="bottom"/>
          </w:tcPr>
          <w:p w14:paraId="2819ECDC" w14:textId="77777777" w:rsidR="004647B9" w:rsidRDefault="00E2436F">
            <w:pPr>
              <w:ind w:left="20"/>
              <w:rPr>
                <w:sz w:val="20"/>
                <w:szCs w:val="20"/>
              </w:rPr>
            </w:pPr>
            <w:r>
              <w:rPr>
                <w:rFonts w:eastAsia="Times New Roman"/>
                <w:sz w:val="24"/>
                <w:szCs w:val="24"/>
              </w:rPr>
              <w:t>0.006</w:t>
            </w:r>
          </w:p>
        </w:tc>
      </w:tr>
      <w:tr w:rsidR="004647B9" w14:paraId="2819ECE0" w14:textId="77777777">
        <w:trPr>
          <w:trHeight w:val="278"/>
        </w:trPr>
        <w:tc>
          <w:tcPr>
            <w:tcW w:w="4580" w:type="dxa"/>
            <w:vAlign w:val="bottom"/>
          </w:tcPr>
          <w:p w14:paraId="2819ECDE" w14:textId="77777777" w:rsidR="004647B9" w:rsidRDefault="00E2436F">
            <w:pPr>
              <w:rPr>
                <w:sz w:val="20"/>
                <w:szCs w:val="20"/>
              </w:rPr>
            </w:pPr>
            <w:r>
              <w:rPr>
                <w:rFonts w:eastAsia="Times New Roman"/>
                <w:sz w:val="24"/>
                <w:szCs w:val="24"/>
              </w:rPr>
              <w:t>Heptachlor</w:t>
            </w:r>
          </w:p>
        </w:tc>
        <w:tc>
          <w:tcPr>
            <w:tcW w:w="2100" w:type="dxa"/>
            <w:vAlign w:val="bottom"/>
          </w:tcPr>
          <w:p w14:paraId="2819ECDF" w14:textId="77777777" w:rsidR="004647B9" w:rsidRDefault="00E2436F">
            <w:pPr>
              <w:ind w:left="20"/>
              <w:rPr>
                <w:sz w:val="20"/>
                <w:szCs w:val="20"/>
              </w:rPr>
            </w:pPr>
            <w:r>
              <w:rPr>
                <w:rFonts w:eastAsia="Times New Roman"/>
                <w:sz w:val="24"/>
                <w:szCs w:val="24"/>
              </w:rPr>
              <w:t>0.00004</w:t>
            </w:r>
          </w:p>
        </w:tc>
      </w:tr>
      <w:tr w:rsidR="004647B9" w14:paraId="2819ECE3" w14:textId="77777777">
        <w:trPr>
          <w:trHeight w:val="281"/>
        </w:trPr>
        <w:tc>
          <w:tcPr>
            <w:tcW w:w="4580" w:type="dxa"/>
            <w:vAlign w:val="bottom"/>
          </w:tcPr>
          <w:p w14:paraId="2819ECE1" w14:textId="77777777" w:rsidR="004647B9" w:rsidRDefault="00E2436F">
            <w:pPr>
              <w:rPr>
                <w:sz w:val="20"/>
                <w:szCs w:val="20"/>
              </w:rPr>
            </w:pPr>
            <w:r>
              <w:rPr>
                <w:rFonts w:eastAsia="Times New Roman"/>
                <w:sz w:val="24"/>
                <w:szCs w:val="24"/>
              </w:rPr>
              <w:t>Heptachlor epoxide</w:t>
            </w:r>
          </w:p>
        </w:tc>
        <w:tc>
          <w:tcPr>
            <w:tcW w:w="2100" w:type="dxa"/>
            <w:vAlign w:val="bottom"/>
          </w:tcPr>
          <w:p w14:paraId="2819ECE2" w14:textId="77777777" w:rsidR="004647B9" w:rsidRDefault="00E2436F">
            <w:pPr>
              <w:ind w:left="20"/>
              <w:rPr>
                <w:sz w:val="20"/>
                <w:szCs w:val="20"/>
              </w:rPr>
            </w:pPr>
            <w:r>
              <w:rPr>
                <w:rFonts w:eastAsia="Times New Roman"/>
                <w:sz w:val="24"/>
                <w:szCs w:val="24"/>
              </w:rPr>
              <w:t>0.00002</w:t>
            </w:r>
          </w:p>
        </w:tc>
      </w:tr>
      <w:tr w:rsidR="004647B9" w14:paraId="2819ECE6" w14:textId="77777777">
        <w:trPr>
          <w:trHeight w:val="278"/>
        </w:trPr>
        <w:tc>
          <w:tcPr>
            <w:tcW w:w="4580" w:type="dxa"/>
            <w:vAlign w:val="bottom"/>
          </w:tcPr>
          <w:p w14:paraId="2819ECE4" w14:textId="77777777" w:rsidR="004647B9" w:rsidRDefault="00E2436F">
            <w:pPr>
              <w:rPr>
                <w:sz w:val="20"/>
                <w:szCs w:val="20"/>
              </w:rPr>
            </w:pPr>
            <w:r>
              <w:rPr>
                <w:rFonts w:eastAsia="Times New Roman"/>
                <w:sz w:val="24"/>
                <w:szCs w:val="24"/>
              </w:rPr>
              <w:t>Hexachlorobenzene</w:t>
            </w:r>
          </w:p>
        </w:tc>
        <w:tc>
          <w:tcPr>
            <w:tcW w:w="2100" w:type="dxa"/>
            <w:vAlign w:val="bottom"/>
          </w:tcPr>
          <w:p w14:paraId="2819ECE5" w14:textId="77777777" w:rsidR="004647B9" w:rsidRDefault="00E2436F">
            <w:pPr>
              <w:ind w:left="20"/>
              <w:rPr>
                <w:sz w:val="20"/>
                <w:szCs w:val="20"/>
              </w:rPr>
            </w:pPr>
            <w:r>
              <w:rPr>
                <w:rFonts w:eastAsia="Times New Roman"/>
                <w:sz w:val="24"/>
                <w:szCs w:val="24"/>
              </w:rPr>
              <w:t>0.0001</w:t>
            </w:r>
          </w:p>
        </w:tc>
      </w:tr>
      <w:tr w:rsidR="004647B9" w14:paraId="2819ECE9" w14:textId="77777777">
        <w:trPr>
          <w:trHeight w:val="281"/>
        </w:trPr>
        <w:tc>
          <w:tcPr>
            <w:tcW w:w="4580" w:type="dxa"/>
            <w:vAlign w:val="bottom"/>
          </w:tcPr>
          <w:p w14:paraId="2819ECE7" w14:textId="77777777" w:rsidR="004647B9" w:rsidRDefault="00E2436F">
            <w:pPr>
              <w:rPr>
                <w:sz w:val="20"/>
                <w:szCs w:val="20"/>
              </w:rPr>
            </w:pPr>
            <w:r>
              <w:rPr>
                <w:rFonts w:eastAsia="Times New Roman"/>
                <w:sz w:val="24"/>
                <w:szCs w:val="24"/>
              </w:rPr>
              <w:t>Hexachlorocyclopentadiene</w:t>
            </w:r>
          </w:p>
        </w:tc>
        <w:tc>
          <w:tcPr>
            <w:tcW w:w="2100" w:type="dxa"/>
            <w:vAlign w:val="bottom"/>
          </w:tcPr>
          <w:p w14:paraId="2819ECE8" w14:textId="77777777" w:rsidR="004647B9" w:rsidRDefault="00E2436F">
            <w:pPr>
              <w:ind w:left="20"/>
              <w:rPr>
                <w:sz w:val="20"/>
                <w:szCs w:val="20"/>
              </w:rPr>
            </w:pPr>
            <w:r>
              <w:rPr>
                <w:rFonts w:eastAsia="Times New Roman"/>
                <w:sz w:val="24"/>
                <w:szCs w:val="24"/>
              </w:rPr>
              <w:t>0.0001</w:t>
            </w:r>
          </w:p>
        </w:tc>
      </w:tr>
      <w:tr w:rsidR="004647B9" w14:paraId="2819ECEC" w14:textId="77777777">
        <w:trPr>
          <w:trHeight w:val="278"/>
        </w:trPr>
        <w:tc>
          <w:tcPr>
            <w:tcW w:w="4580" w:type="dxa"/>
            <w:vAlign w:val="bottom"/>
          </w:tcPr>
          <w:p w14:paraId="2819ECEA" w14:textId="77777777" w:rsidR="004647B9" w:rsidRDefault="00E2436F">
            <w:pPr>
              <w:rPr>
                <w:sz w:val="20"/>
                <w:szCs w:val="20"/>
              </w:rPr>
            </w:pPr>
            <w:r>
              <w:rPr>
                <w:rFonts w:eastAsia="Times New Roman"/>
                <w:sz w:val="24"/>
                <w:szCs w:val="24"/>
              </w:rPr>
              <w:t>Lindane</w:t>
            </w:r>
          </w:p>
        </w:tc>
        <w:tc>
          <w:tcPr>
            <w:tcW w:w="2100" w:type="dxa"/>
            <w:vAlign w:val="bottom"/>
          </w:tcPr>
          <w:p w14:paraId="2819ECEB" w14:textId="77777777" w:rsidR="004647B9" w:rsidRDefault="00E2436F">
            <w:pPr>
              <w:ind w:left="20"/>
              <w:rPr>
                <w:sz w:val="20"/>
                <w:szCs w:val="20"/>
              </w:rPr>
            </w:pPr>
            <w:r>
              <w:rPr>
                <w:rFonts w:eastAsia="Times New Roman"/>
                <w:sz w:val="24"/>
                <w:szCs w:val="24"/>
              </w:rPr>
              <w:t>0.00002</w:t>
            </w:r>
          </w:p>
        </w:tc>
      </w:tr>
      <w:tr w:rsidR="004647B9" w14:paraId="2819ECEF" w14:textId="77777777">
        <w:trPr>
          <w:trHeight w:val="281"/>
        </w:trPr>
        <w:tc>
          <w:tcPr>
            <w:tcW w:w="4580" w:type="dxa"/>
            <w:vAlign w:val="bottom"/>
          </w:tcPr>
          <w:p w14:paraId="2819ECED" w14:textId="77777777" w:rsidR="004647B9" w:rsidRDefault="00E2436F">
            <w:pPr>
              <w:rPr>
                <w:sz w:val="20"/>
                <w:szCs w:val="20"/>
              </w:rPr>
            </w:pPr>
            <w:r>
              <w:rPr>
                <w:rFonts w:eastAsia="Times New Roman"/>
                <w:sz w:val="24"/>
                <w:szCs w:val="24"/>
              </w:rPr>
              <w:t>Methoxychlor</w:t>
            </w:r>
          </w:p>
        </w:tc>
        <w:tc>
          <w:tcPr>
            <w:tcW w:w="2100" w:type="dxa"/>
            <w:vAlign w:val="bottom"/>
          </w:tcPr>
          <w:p w14:paraId="2819ECEE" w14:textId="77777777" w:rsidR="004647B9" w:rsidRDefault="00E2436F">
            <w:pPr>
              <w:ind w:left="20"/>
              <w:rPr>
                <w:sz w:val="20"/>
                <w:szCs w:val="20"/>
              </w:rPr>
            </w:pPr>
            <w:r>
              <w:rPr>
                <w:rFonts w:eastAsia="Times New Roman"/>
                <w:sz w:val="24"/>
                <w:szCs w:val="24"/>
              </w:rPr>
              <w:t>0.0001</w:t>
            </w:r>
          </w:p>
        </w:tc>
      </w:tr>
      <w:tr w:rsidR="004647B9" w14:paraId="2819ECF2" w14:textId="77777777">
        <w:trPr>
          <w:trHeight w:val="278"/>
        </w:trPr>
        <w:tc>
          <w:tcPr>
            <w:tcW w:w="4580" w:type="dxa"/>
            <w:vAlign w:val="bottom"/>
          </w:tcPr>
          <w:p w14:paraId="2819ECF0" w14:textId="77777777" w:rsidR="004647B9" w:rsidRDefault="00E2436F">
            <w:pPr>
              <w:rPr>
                <w:sz w:val="20"/>
                <w:szCs w:val="20"/>
              </w:rPr>
            </w:pPr>
            <w:r>
              <w:rPr>
                <w:rFonts w:eastAsia="Times New Roman"/>
                <w:sz w:val="24"/>
                <w:szCs w:val="24"/>
              </w:rPr>
              <w:t>Oxamyl</w:t>
            </w:r>
          </w:p>
        </w:tc>
        <w:tc>
          <w:tcPr>
            <w:tcW w:w="2100" w:type="dxa"/>
            <w:vAlign w:val="bottom"/>
          </w:tcPr>
          <w:p w14:paraId="2819ECF1" w14:textId="77777777" w:rsidR="004647B9" w:rsidRDefault="00E2436F">
            <w:pPr>
              <w:ind w:left="20"/>
              <w:rPr>
                <w:sz w:val="20"/>
                <w:szCs w:val="20"/>
              </w:rPr>
            </w:pPr>
            <w:r>
              <w:rPr>
                <w:rFonts w:eastAsia="Times New Roman"/>
                <w:sz w:val="24"/>
                <w:szCs w:val="24"/>
              </w:rPr>
              <w:t>0.002</w:t>
            </w:r>
          </w:p>
        </w:tc>
      </w:tr>
      <w:tr w:rsidR="004647B9" w14:paraId="2819ECF5" w14:textId="77777777">
        <w:trPr>
          <w:trHeight w:val="281"/>
        </w:trPr>
        <w:tc>
          <w:tcPr>
            <w:tcW w:w="4580" w:type="dxa"/>
            <w:vAlign w:val="bottom"/>
          </w:tcPr>
          <w:p w14:paraId="2819ECF3" w14:textId="77777777" w:rsidR="004647B9" w:rsidRDefault="00E2436F">
            <w:pPr>
              <w:rPr>
                <w:sz w:val="20"/>
                <w:szCs w:val="20"/>
              </w:rPr>
            </w:pPr>
            <w:r>
              <w:rPr>
                <w:rFonts w:eastAsia="Times New Roman"/>
                <w:sz w:val="24"/>
                <w:szCs w:val="24"/>
              </w:rPr>
              <w:t>Picloram</w:t>
            </w:r>
          </w:p>
        </w:tc>
        <w:tc>
          <w:tcPr>
            <w:tcW w:w="2100" w:type="dxa"/>
            <w:vAlign w:val="bottom"/>
          </w:tcPr>
          <w:p w14:paraId="2819ECF4" w14:textId="77777777" w:rsidR="004647B9" w:rsidRDefault="00E2436F">
            <w:pPr>
              <w:ind w:left="20"/>
              <w:rPr>
                <w:sz w:val="20"/>
                <w:szCs w:val="20"/>
              </w:rPr>
            </w:pPr>
            <w:r>
              <w:rPr>
                <w:rFonts w:eastAsia="Times New Roman"/>
                <w:sz w:val="24"/>
                <w:szCs w:val="24"/>
              </w:rPr>
              <w:t>0.0001</w:t>
            </w:r>
          </w:p>
        </w:tc>
      </w:tr>
      <w:tr w:rsidR="004647B9" w14:paraId="2819ECF8" w14:textId="77777777" w:rsidTr="009C7547">
        <w:trPr>
          <w:trHeight w:val="278"/>
        </w:trPr>
        <w:tc>
          <w:tcPr>
            <w:tcW w:w="4580" w:type="dxa"/>
            <w:vAlign w:val="bottom"/>
          </w:tcPr>
          <w:p w14:paraId="2819ECF6" w14:textId="2BFBD01E" w:rsidR="004647B9" w:rsidRDefault="00E2436F" w:rsidP="00465DBF">
            <w:pPr>
              <w:rPr>
                <w:sz w:val="20"/>
                <w:szCs w:val="20"/>
              </w:rPr>
            </w:pPr>
            <w:r>
              <w:rPr>
                <w:rFonts w:eastAsia="Times New Roman"/>
                <w:sz w:val="24"/>
                <w:szCs w:val="24"/>
              </w:rPr>
              <w:t>Polychlorinated biphenyls</w:t>
            </w:r>
            <w:r w:rsidR="00465DBF">
              <w:rPr>
                <w:rFonts w:eastAsia="Times New Roman"/>
                <w:sz w:val="24"/>
                <w:szCs w:val="24"/>
              </w:rPr>
              <w:t xml:space="preserve"> </w:t>
            </w:r>
            <w:r w:rsidR="009C7547">
              <w:rPr>
                <w:rFonts w:eastAsia="Times New Roman"/>
                <w:sz w:val="24"/>
                <w:szCs w:val="24"/>
              </w:rPr>
              <w:t>(PCBs) (as decachlorobiphenyl)</w:t>
            </w:r>
          </w:p>
        </w:tc>
        <w:tc>
          <w:tcPr>
            <w:tcW w:w="2100" w:type="dxa"/>
          </w:tcPr>
          <w:p w14:paraId="2819ECF7" w14:textId="77777777" w:rsidR="004647B9" w:rsidRDefault="00E2436F" w:rsidP="009C7547">
            <w:pPr>
              <w:ind w:left="20"/>
              <w:rPr>
                <w:sz w:val="20"/>
                <w:szCs w:val="20"/>
              </w:rPr>
            </w:pPr>
            <w:r>
              <w:rPr>
                <w:rFonts w:eastAsia="Times New Roman"/>
                <w:sz w:val="24"/>
                <w:szCs w:val="24"/>
              </w:rPr>
              <w:t>0.0001</w:t>
            </w:r>
          </w:p>
        </w:tc>
      </w:tr>
      <w:tr w:rsidR="004647B9" w14:paraId="2819ECFF" w14:textId="77777777">
        <w:trPr>
          <w:trHeight w:val="278"/>
        </w:trPr>
        <w:tc>
          <w:tcPr>
            <w:tcW w:w="4580" w:type="dxa"/>
            <w:vAlign w:val="bottom"/>
          </w:tcPr>
          <w:p w14:paraId="2819ECFD" w14:textId="77777777" w:rsidR="004647B9" w:rsidRDefault="00E2436F">
            <w:pPr>
              <w:rPr>
                <w:sz w:val="20"/>
                <w:szCs w:val="20"/>
              </w:rPr>
            </w:pPr>
            <w:r>
              <w:rPr>
                <w:rFonts w:eastAsia="Times New Roman"/>
                <w:sz w:val="24"/>
                <w:szCs w:val="24"/>
              </w:rPr>
              <w:t>Pentachlorophenol</w:t>
            </w:r>
          </w:p>
        </w:tc>
        <w:tc>
          <w:tcPr>
            <w:tcW w:w="2100" w:type="dxa"/>
            <w:vAlign w:val="bottom"/>
          </w:tcPr>
          <w:p w14:paraId="2819ECFE" w14:textId="77777777" w:rsidR="004647B9" w:rsidRDefault="00E2436F">
            <w:pPr>
              <w:ind w:left="20"/>
              <w:rPr>
                <w:sz w:val="20"/>
                <w:szCs w:val="20"/>
              </w:rPr>
            </w:pPr>
            <w:r>
              <w:rPr>
                <w:rFonts w:eastAsia="Times New Roman"/>
                <w:sz w:val="24"/>
                <w:szCs w:val="24"/>
              </w:rPr>
              <w:t>0.00004</w:t>
            </w:r>
          </w:p>
        </w:tc>
      </w:tr>
      <w:tr w:rsidR="004647B9" w14:paraId="2819ED02" w14:textId="77777777">
        <w:trPr>
          <w:trHeight w:val="281"/>
        </w:trPr>
        <w:tc>
          <w:tcPr>
            <w:tcW w:w="4580" w:type="dxa"/>
            <w:vAlign w:val="bottom"/>
          </w:tcPr>
          <w:p w14:paraId="2819ED00" w14:textId="77777777" w:rsidR="004647B9" w:rsidRDefault="00E2436F">
            <w:pPr>
              <w:rPr>
                <w:sz w:val="20"/>
                <w:szCs w:val="20"/>
              </w:rPr>
            </w:pPr>
            <w:r>
              <w:rPr>
                <w:rFonts w:eastAsia="Times New Roman"/>
                <w:sz w:val="24"/>
                <w:szCs w:val="24"/>
              </w:rPr>
              <w:t>Simazine</w:t>
            </w:r>
          </w:p>
        </w:tc>
        <w:tc>
          <w:tcPr>
            <w:tcW w:w="2100" w:type="dxa"/>
            <w:vAlign w:val="bottom"/>
          </w:tcPr>
          <w:p w14:paraId="2819ED01" w14:textId="77777777" w:rsidR="004647B9" w:rsidRDefault="00E2436F">
            <w:pPr>
              <w:ind w:left="20"/>
              <w:rPr>
                <w:sz w:val="20"/>
                <w:szCs w:val="20"/>
              </w:rPr>
            </w:pPr>
            <w:r>
              <w:rPr>
                <w:rFonts w:eastAsia="Times New Roman"/>
                <w:sz w:val="24"/>
                <w:szCs w:val="24"/>
              </w:rPr>
              <w:t>0.00007</w:t>
            </w:r>
          </w:p>
        </w:tc>
      </w:tr>
      <w:tr w:rsidR="004647B9" w14:paraId="2819ED05" w14:textId="77777777">
        <w:trPr>
          <w:trHeight w:val="278"/>
        </w:trPr>
        <w:tc>
          <w:tcPr>
            <w:tcW w:w="4580" w:type="dxa"/>
            <w:vAlign w:val="bottom"/>
          </w:tcPr>
          <w:p w14:paraId="2819ED03" w14:textId="77777777" w:rsidR="004647B9" w:rsidRDefault="00E2436F">
            <w:pPr>
              <w:rPr>
                <w:sz w:val="20"/>
                <w:szCs w:val="20"/>
              </w:rPr>
            </w:pPr>
            <w:r>
              <w:rPr>
                <w:rFonts w:eastAsia="Times New Roman"/>
                <w:sz w:val="24"/>
                <w:szCs w:val="24"/>
              </w:rPr>
              <w:t>Toxaphene</w:t>
            </w:r>
          </w:p>
        </w:tc>
        <w:tc>
          <w:tcPr>
            <w:tcW w:w="2100" w:type="dxa"/>
            <w:vAlign w:val="bottom"/>
          </w:tcPr>
          <w:p w14:paraId="2819ED04" w14:textId="77777777" w:rsidR="004647B9" w:rsidRDefault="00E2436F">
            <w:pPr>
              <w:ind w:left="20"/>
              <w:rPr>
                <w:sz w:val="20"/>
                <w:szCs w:val="20"/>
              </w:rPr>
            </w:pPr>
            <w:r>
              <w:rPr>
                <w:rFonts w:eastAsia="Times New Roman"/>
                <w:sz w:val="24"/>
                <w:szCs w:val="24"/>
              </w:rPr>
              <w:t>0.001</w:t>
            </w:r>
          </w:p>
        </w:tc>
      </w:tr>
      <w:tr w:rsidR="004647B9" w14:paraId="2819ED08" w14:textId="77777777">
        <w:trPr>
          <w:trHeight w:val="281"/>
        </w:trPr>
        <w:tc>
          <w:tcPr>
            <w:tcW w:w="4580" w:type="dxa"/>
            <w:vAlign w:val="bottom"/>
          </w:tcPr>
          <w:p w14:paraId="2819ED06" w14:textId="77777777" w:rsidR="004647B9" w:rsidRDefault="00E2436F">
            <w:pPr>
              <w:rPr>
                <w:sz w:val="20"/>
                <w:szCs w:val="20"/>
              </w:rPr>
            </w:pPr>
            <w:r>
              <w:rPr>
                <w:rFonts w:eastAsia="Times New Roman"/>
                <w:sz w:val="24"/>
                <w:szCs w:val="24"/>
              </w:rPr>
              <w:t>2,3,7,8-TCDD (Dioxin)</w:t>
            </w:r>
          </w:p>
        </w:tc>
        <w:tc>
          <w:tcPr>
            <w:tcW w:w="2100" w:type="dxa"/>
            <w:vAlign w:val="bottom"/>
          </w:tcPr>
          <w:p w14:paraId="2819ED07" w14:textId="77777777" w:rsidR="004647B9" w:rsidRDefault="00E2436F">
            <w:pPr>
              <w:ind w:left="20"/>
              <w:rPr>
                <w:sz w:val="20"/>
                <w:szCs w:val="20"/>
              </w:rPr>
            </w:pPr>
            <w:r>
              <w:rPr>
                <w:rFonts w:eastAsia="Times New Roman"/>
                <w:sz w:val="24"/>
                <w:szCs w:val="24"/>
              </w:rPr>
              <w:t>0.000000005</w:t>
            </w:r>
          </w:p>
        </w:tc>
      </w:tr>
      <w:tr w:rsidR="004647B9" w14:paraId="2819ED0B" w14:textId="77777777">
        <w:trPr>
          <w:trHeight w:val="312"/>
        </w:trPr>
        <w:tc>
          <w:tcPr>
            <w:tcW w:w="4580" w:type="dxa"/>
            <w:vAlign w:val="bottom"/>
          </w:tcPr>
          <w:p w14:paraId="2819ED09" w14:textId="77777777" w:rsidR="004647B9" w:rsidRDefault="00E2436F">
            <w:pPr>
              <w:rPr>
                <w:sz w:val="20"/>
                <w:szCs w:val="20"/>
              </w:rPr>
            </w:pPr>
            <w:r>
              <w:rPr>
                <w:rFonts w:eastAsia="Times New Roman"/>
                <w:sz w:val="24"/>
                <w:szCs w:val="24"/>
              </w:rPr>
              <w:t>2,4,5-TP (Silvex)</w:t>
            </w:r>
          </w:p>
        </w:tc>
        <w:tc>
          <w:tcPr>
            <w:tcW w:w="2100" w:type="dxa"/>
            <w:vAlign w:val="bottom"/>
          </w:tcPr>
          <w:p w14:paraId="2819ED0A" w14:textId="77777777" w:rsidR="004647B9" w:rsidRDefault="00E2436F">
            <w:pPr>
              <w:ind w:left="20"/>
              <w:rPr>
                <w:sz w:val="20"/>
                <w:szCs w:val="20"/>
              </w:rPr>
            </w:pPr>
            <w:r>
              <w:rPr>
                <w:rFonts w:eastAsia="Times New Roman"/>
                <w:sz w:val="24"/>
                <w:szCs w:val="24"/>
              </w:rPr>
              <w:t>0.0002</w:t>
            </w:r>
          </w:p>
        </w:tc>
      </w:tr>
    </w:tbl>
    <w:p w14:paraId="2819ED0C" w14:textId="77777777" w:rsidR="004647B9" w:rsidRDefault="004647B9">
      <w:pPr>
        <w:sectPr w:rsidR="004647B9" w:rsidSect="00EF630C">
          <w:pgSz w:w="12240" w:h="20180"/>
          <w:pgMar w:top="708" w:right="1440" w:bottom="1440" w:left="600" w:header="0" w:footer="0" w:gutter="0"/>
          <w:cols w:space="720" w:equalWidth="0">
            <w:col w:w="10200"/>
          </w:cols>
        </w:sectPr>
      </w:pPr>
    </w:p>
    <w:p w14:paraId="2819ED0D" w14:textId="77777777" w:rsidR="004647B9" w:rsidRDefault="00E2436F">
      <w:pPr>
        <w:tabs>
          <w:tab w:val="left" w:pos="160"/>
        </w:tabs>
        <w:jc w:val="center"/>
        <w:rPr>
          <w:sz w:val="20"/>
          <w:szCs w:val="20"/>
        </w:rPr>
      </w:pPr>
      <w:bookmarkStart w:id="102" w:name="page104"/>
      <w:bookmarkEnd w:id="10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D0E" w14:textId="77777777" w:rsidR="004647B9" w:rsidRDefault="004647B9" w:rsidP="00465DBF">
      <w:pPr>
        <w:rPr>
          <w:sz w:val="20"/>
          <w:szCs w:val="20"/>
        </w:rPr>
      </w:pPr>
    </w:p>
    <w:p w14:paraId="2819ED0F" w14:textId="77777777" w:rsidR="004647B9" w:rsidRDefault="004647B9" w:rsidP="00465DBF">
      <w:pPr>
        <w:rPr>
          <w:sz w:val="20"/>
          <w:szCs w:val="20"/>
        </w:rPr>
      </w:pPr>
    </w:p>
    <w:p w14:paraId="2819ED10" w14:textId="77777777" w:rsidR="004647B9" w:rsidRDefault="00E2436F" w:rsidP="00465DBF">
      <w:pPr>
        <w:tabs>
          <w:tab w:val="left" w:pos="940"/>
        </w:tabs>
        <w:rPr>
          <w:sz w:val="20"/>
          <w:szCs w:val="20"/>
        </w:rPr>
      </w:pPr>
      <w:r>
        <w:rPr>
          <w:rFonts w:eastAsia="Times New Roman"/>
          <w:sz w:val="24"/>
          <w:szCs w:val="24"/>
        </w:rPr>
        <w:t>22.07A:</w:t>
      </w:r>
      <w:r>
        <w:rPr>
          <w:sz w:val="20"/>
          <w:szCs w:val="20"/>
        </w:rPr>
        <w:tab/>
      </w:r>
      <w:r>
        <w:rPr>
          <w:rFonts w:eastAsia="Times New Roman"/>
          <w:sz w:val="23"/>
          <w:szCs w:val="23"/>
        </w:rPr>
        <w:t>continued</w:t>
      </w:r>
    </w:p>
    <w:p w14:paraId="2819ED11" w14:textId="77777777" w:rsidR="004647B9" w:rsidRDefault="004647B9" w:rsidP="00465DBF">
      <w:pPr>
        <w:rPr>
          <w:sz w:val="20"/>
          <w:szCs w:val="20"/>
        </w:rPr>
      </w:pPr>
    </w:p>
    <w:p w14:paraId="2819ED12" w14:textId="77777777" w:rsidR="004647B9" w:rsidRDefault="00E2436F" w:rsidP="00465DBF">
      <w:pPr>
        <w:numPr>
          <w:ilvl w:val="0"/>
          <w:numId w:val="252"/>
        </w:numPr>
        <w:tabs>
          <w:tab w:val="left" w:pos="1794"/>
        </w:tabs>
        <w:ind w:left="1200"/>
        <w:jc w:val="both"/>
        <w:rPr>
          <w:rFonts w:eastAsia="Times New Roman"/>
          <w:sz w:val="24"/>
          <w:szCs w:val="24"/>
        </w:rPr>
      </w:pPr>
      <w:r>
        <w:rPr>
          <w:rFonts w:eastAsia="Times New Roman"/>
          <w:sz w:val="24"/>
          <w:szCs w:val="24"/>
          <w:u w:val="single"/>
        </w:rPr>
        <w:t>SYNTHETIC ORGANIC BATs</w:t>
      </w:r>
      <w:r>
        <w:rPr>
          <w:rFonts w:eastAsia="Times New Roman"/>
          <w:sz w:val="24"/>
          <w:szCs w:val="24"/>
        </w:rPr>
        <w:t>. The EPA Administrator, pursuant to the federal Safe Drinking Water Act, § 1412, has identified as indicated in the Table below either granular activated carbon (GAC), packed tower aeration (PTA), or oxidation (OX) as the best technology, treatment technique, or other means available for achieving compliance with the maximum contaminant level for organic contaminants identified in 310 CMR 22.07A(1):</w:t>
      </w:r>
    </w:p>
    <w:p w14:paraId="2819ED13" w14:textId="77777777" w:rsidR="004647B9" w:rsidRPr="00465DBF" w:rsidRDefault="004647B9" w:rsidP="00465DBF">
      <w:pPr>
        <w:rPr>
          <w:sz w:val="24"/>
          <w:szCs w:val="24"/>
        </w:rPr>
      </w:pPr>
    </w:p>
    <w:p w14:paraId="2819ED14" w14:textId="77777777" w:rsidR="004647B9" w:rsidRDefault="00E2436F">
      <w:pPr>
        <w:ind w:left="1200"/>
        <w:rPr>
          <w:sz w:val="20"/>
          <w:szCs w:val="20"/>
        </w:rPr>
      </w:pPr>
      <w:r>
        <w:rPr>
          <w:rFonts w:eastAsia="Times New Roman"/>
          <w:sz w:val="24"/>
          <w:szCs w:val="24"/>
        </w:rPr>
        <w:t>BAT FOR ORGANIC CONTAMINANTS LISTED IN 310 CMR 22.07A(1)</w:t>
      </w:r>
    </w:p>
    <w:tbl>
      <w:tblPr>
        <w:tblW w:w="0" w:type="auto"/>
        <w:tblInd w:w="1440" w:type="dxa"/>
        <w:tblLayout w:type="fixed"/>
        <w:tblCellMar>
          <w:left w:w="0" w:type="dxa"/>
          <w:right w:w="0" w:type="dxa"/>
        </w:tblCellMar>
        <w:tblLook w:val="04A0" w:firstRow="1" w:lastRow="0" w:firstColumn="1" w:lastColumn="0" w:noHBand="0" w:noVBand="1"/>
      </w:tblPr>
      <w:tblGrid>
        <w:gridCol w:w="2020"/>
        <w:gridCol w:w="3460"/>
        <w:gridCol w:w="860"/>
        <w:gridCol w:w="740"/>
        <w:gridCol w:w="760"/>
      </w:tblGrid>
      <w:tr w:rsidR="00EE4000" w14:paraId="2819ED1C" w14:textId="77777777" w:rsidTr="00EE4000">
        <w:trPr>
          <w:trHeight w:val="276"/>
        </w:trPr>
        <w:tc>
          <w:tcPr>
            <w:tcW w:w="2020" w:type="dxa"/>
            <w:vAlign w:val="bottom"/>
          </w:tcPr>
          <w:p w14:paraId="2819ED16" w14:textId="77777777" w:rsidR="00EE4000" w:rsidRPr="00EE4000" w:rsidRDefault="00EE4000">
            <w:pPr>
              <w:rPr>
                <w:sz w:val="20"/>
                <w:szCs w:val="20"/>
                <w:u w:val="single"/>
              </w:rPr>
            </w:pPr>
            <w:r w:rsidRPr="00EE4000">
              <w:rPr>
                <w:rFonts w:eastAsia="Times New Roman"/>
                <w:sz w:val="24"/>
                <w:szCs w:val="24"/>
                <w:u w:val="single"/>
              </w:rPr>
              <w:t>CAS #</w:t>
            </w:r>
          </w:p>
        </w:tc>
        <w:tc>
          <w:tcPr>
            <w:tcW w:w="3460" w:type="dxa"/>
            <w:vAlign w:val="bottom"/>
          </w:tcPr>
          <w:p w14:paraId="2819ED17" w14:textId="77777777" w:rsidR="00EE4000" w:rsidRPr="00EE4000" w:rsidRDefault="00EE4000">
            <w:pPr>
              <w:rPr>
                <w:sz w:val="20"/>
                <w:szCs w:val="20"/>
                <w:u w:val="single"/>
              </w:rPr>
            </w:pPr>
            <w:r w:rsidRPr="00EE4000">
              <w:rPr>
                <w:rFonts w:eastAsia="Times New Roman"/>
                <w:sz w:val="24"/>
                <w:szCs w:val="24"/>
                <w:u w:val="single"/>
              </w:rPr>
              <w:t>Chemical</w:t>
            </w:r>
          </w:p>
        </w:tc>
        <w:tc>
          <w:tcPr>
            <w:tcW w:w="860" w:type="dxa"/>
            <w:vAlign w:val="center"/>
          </w:tcPr>
          <w:p w14:paraId="2819ED18" w14:textId="77777777" w:rsidR="00EE4000" w:rsidRPr="00EE4000" w:rsidRDefault="00EE4000" w:rsidP="00EE4000">
            <w:pPr>
              <w:jc w:val="center"/>
              <w:rPr>
                <w:sz w:val="20"/>
                <w:szCs w:val="20"/>
                <w:u w:val="single"/>
              </w:rPr>
            </w:pPr>
            <w:r w:rsidRPr="00EE4000">
              <w:rPr>
                <w:rFonts w:eastAsia="Times New Roman"/>
                <w:w w:val="98"/>
                <w:sz w:val="24"/>
                <w:szCs w:val="24"/>
                <w:u w:val="single"/>
              </w:rPr>
              <w:t>GAC</w:t>
            </w:r>
          </w:p>
        </w:tc>
        <w:tc>
          <w:tcPr>
            <w:tcW w:w="740" w:type="dxa"/>
            <w:vAlign w:val="center"/>
          </w:tcPr>
          <w:p w14:paraId="2819ED19" w14:textId="77777777" w:rsidR="00EE4000" w:rsidRPr="00EE4000" w:rsidRDefault="00EE4000" w:rsidP="00EE4000">
            <w:pPr>
              <w:jc w:val="center"/>
              <w:rPr>
                <w:sz w:val="20"/>
                <w:szCs w:val="20"/>
                <w:u w:val="single"/>
              </w:rPr>
            </w:pPr>
            <w:r w:rsidRPr="00EE4000">
              <w:rPr>
                <w:rFonts w:eastAsia="Times New Roman"/>
                <w:w w:val="96"/>
                <w:sz w:val="24"/>
                <w:szCs w:val="24"/>
                <w:u w:val="single"/>
              </w:rPr>
              <w:t>PTA</w:t>
            </w:r>
          </w:p>
        </w:tc>
        <w:tc>
          <w:tcPr>
            <w:tcW w:w="760" w:type="dxa"/>
            <w:vAlign w:val="center"/>
          </w:tcPr>
          <w:p w14:paraId="2819ED1A" w14:textId="77777777" w:rsidR="00EE4000" w:rsidRPr="00EE4000" w:rsidRDefault="00EE4000" w:rsidP="00EE4000">
            <w:pPr>
              <w:jc w:val="center"/>
              <w:rPr>
                <w:sz w:val="20"/>
                <w:szCs w:val="20"/>
                <w:u w:val="single"/>
              </w:rPr>
            </w:pPr>
            <w:r w:rsidRPr="00EE4000">
              <w:rPr>
                <w:rFonts w:eastAsia="Times New Roman"/>
                <w:w w:val="92"/>
                <w:sz w:val="24"/>
                <w:szCs w:val="24"/>
                <w:u w:val="single"/>
              </w:rPr>
              <w:t>OX</w:t>
            </w:r>
          </w:p>
        </w:tc>
      </w:tr>
      <w:tr w:rsidR="00EE4000" w14:paraId="2819ED33" w14:textId="77777777" w:rsidTr="00EE4000">
        <w:trPr>
          <w:trHeight w:val="264"/>
        </w:trPr>
        <w:tc>
          <w:tcPr>
            <w:tcW w:w="2020" w:type="dxa"/>
            <w:vAlign w:val="bottom"/>
          </w:tcPr>
          <w:p w14:paraId="2819ED29" w14:textId="77777777" w:rsidR="00EE4000" w:rsidRDefault="00EE4000">
            <w:pPr>
              <w:spacing w:line="264" w:lineRule="exact"/>
              <w:rPr>
                <w:sz w:val="20"/>
                <w:szCs w:val="20"/>
              </w:rPr>
            </w:pPr>
            <w:r>
              <w:rPr>
                <w:rFonts w:eastAsia="Times New Roman"/>
                <w:sz w:val="24"/>
                <w:szCs w:val="24"/>
              </w:rPr>
              <w:t>15972-60-8</w:t>
            </w:r>
          </w:p>
        </w:tc>
        <w:tc>
          <w:tcPr>
            <w:tcW w:w="3460" w:type="dxa"/>
            <w:vAlign w:val="bottom"/>
          </w:tcPr>
          <w:p w14:paraId="2819ED2B" w14:textId="29B6B503" w:rsidR="00EE4000" w:rsidRDefault="00EE4000">
            <w:r>
              <w:rPr>
                <w:rFonts w:eastAsia="Times New Roman"/>
                <w:sz w:val="24"/>
                <w:szCs w:val="24"/>
              </w:rPr>
              <w:t>Alachlor</w:t>
            </w:r>
          </w:p>
        </w:tc>
        <w:tc>
          <w:tcPr>
            <w:tcW w:w="860" w:type="dxa"/>
            <w:vAlign w:val="center"/>
          </w:tcPr>
          <w:p w14:paraId="2819ED2D" w14:textId="77777777" w:rsidR="00EE4000" w:rsidRDefault="00EE4000" w:rsidP="00EE4000">
            <w:pPr>
              <w:spacing w:line="264" w:lineRule="exact"/>
              <w:jc w:val="center"/>
              <w:rPr>
                <w:sz w:val="20"/>
                <w:szCs w:val="20"/>
              </w:rPr>
            </w:pPr>
            <w:r>
              <w:rPr>
                <w:rFonts w:eastAsia="Times New Roman"/>
                <w:sz w:val="24"/>
                <w:szCs w:val="24"/>
              </w:rPr>
              <w:t>X</w:t>
            </w:r>
          </w:p>
        </w:tc>
        <w:tc>
          <w:tcPr>
            <w:tcW w:w="740" w:type="dxa"/>
            <w:vAlign w:val="center"/>
          </w:tcPr>
          <w:p w14:paraId="2819ED2F" w14:textId="77777777" w:rsidR="00EE4000" w:rsidRDefault="00EE4000" w:rsidP="00EE4000">
            <w:pPr>
              <w:jc w:val="center"/>
            </w:pPr>
          </w:p>
        </w:tc>
        <w:tc>
          <w:tcPr>
            <w:tcW w:w="760" w:type="dxa"/>
            <w:vAlign w:val="center"/>
          </w:tcPr>
          <w:p w14:paraId="2819ED31" w14:textId="77777777" w:rsidR="00EE4000" w:rsidRDefault="00EE4000" w:rsidP="00EE4000">
            <w:pPr>
              <w:jc w:val="center"/>
            </w:pPr>
          </w:p>
        </w:tc>
      </w:tr>
      <w:tr w:rsidR="00EE4000" w14:paraId="2819ED3C" w14:textId="77777777" w:rsidTr="00EE4000">
        <w:trPr>
          <w:trHeight w:val="281"/>
        </w:trPr>
        <w:tc>
          <w:tcPr>
            <w:tcW w:w="2020" w:type="dxa"/>
            <w:vAlign w:val="bottom"/>
          </w:tcPr>
          <w:p w14:paraId="2819ED34" w14:textId="77777777" w:rsidR="00EE4000" w:rsidRDefault="00EE4000">
            <w:pPr>
              <w:rPr>
                <w:sz w:val="20"/>
                <w:szCs w:val="20"/>
              </w:rPr>
            </w:pPr>
            <w:r>
              <w:rPr>
                <w:rFonts w:eastAsia="Times New Roman"/>
                <w:sz w:val="24"/>
                <w:szCs w:val="24"/>
              </w:rPr>
              <w:t>116-06-3</w:t>
            </w:r>
          </w:p>
        </w:tc>
        <w:tc>
          <w:tcPr>
            <w:tcW w:w="3460" w:type="dxa"/>
            <w:vAlign w:val="bottom"/>
          </w:tcPr>
          <w:p w14:paraId="2819ED35" w14:textId="77777777" w:rsidR="00EE4000" w:rsidRDefault="00EE4000">
            <w:pPr>
              <w:rPr>
                <w:sz w:val="20"/>
                <w:szCs w:val="20"/>
              </w:rPr>
            </w:pPr>
            <w:r>
              <w:rPr>
                <w:rFonts w:eastAsia="Times New Roman"/>
                <w:sz w:val="24"/>
                <w:szCs w:val="24"/>
              </w:rPr>
              <w:t>Aldicarb</w:t>
            </w:r>
          </w:p>
        </w:tc>
        <w:tc>
          <w:tcPr>
            <w:tcW w:w="860" w:type="dxa"/>
            <w:vAlign w:val="center"/>
          </w:tcPr>
          <w:p w14:paraId="2819ED36"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38" w14:textId="77777777" w:rsidR="00EE4000" w:rsidRDefault="00EE4000" w:rsidP="00EE4000">
            <w:pPr>
              <w:jc w:val="center"/>
              <w:rPr>
                <w:sz w:val="24"/>
                <w:szCs w:val="24"/>
              </w:rPr>
            </w:pPr>
          </w:p>
        </w:tc>
        <w:tc>
          <w:tcPr>
            <w:tcW w:w="760" w:type="dxa"/>
            <w:vAlign w:val="center"/>
          </w:tcPr>
          <w:p w14:paraId="2819ED3A" w14:textId="77777777" w:rsidR="00EE4000" w:rsidRDefault="00EE4000" w:rsidP="00EE4000">
            <w:pPr>
              <w:jc w:val="center"/>
              <w:rPr>
                <w:sz w:val="24"/>
                <w:szCs w:val="24"/>
              </w:rPr>
            </w:pPr>
          </w:p>
        </w:tc>
      </w:tr>
      <w:tr w:rsidR="00EE4000" w14:paraId="2819ED45" w14:textId="77777777" w:rsidTr="00EE4000">
        <w:trPr>
          <w:trHeight w:val="278"/>
        </w:trPr>
        <w:tc>
          <w:tcPr>
            <w:tcW w:w="2020" w:type="dxa"/>
            <w:vAlign w:val="bottom"/>
          </w:tcPr>
          <w:p w14:paraId="2819ED3D" w14:textId="77777777" w:rsidR="00EE4000" w:rsidRDefault="00EE4000">
            <w:pPr>
              <w:rPr>
                <w:sz w:val="20"/>
                <w:szCs w:val="20"/>
              </w:rPr>
            </w:pPr>
            <w:r>
              <w:rPr>
                <w:rFonts w:eastAsia="Times New Roman"/>
                <w:sz w:val="24"/>
                <w:szCs w:val="24"/>
              </w:rPr>
              <w:t>1646-88-4</w:t>
            </w:r>
          </w:p>
        </w:tc>
        <w:tc>
          <w:tcPr>
            <w:tcW w:w="3460" w:type="dxa"/>
            <w:vAlign w:val="bottom"/>
          </w:tcPr>
          <w:p w14:paraId="2819ED3E" w14:textId="77777777" w:rsidR="00EE4000" w:rsidRDefault="00EE4000">
            <w:pPr>
              <w:rPr>
                <w:sz w:val="20"/>
                <w:szCs w:val="20"/>
              </w:rPr>
            </w:pPr>
            <w:r>
              <w:rPr>
                <w:rFonts w:eastAsia="Times New Roman"/>
                <w:sz w:val="24"/>
                <w:szCs w:val="24"/>
              </w:rPr>
              <w:t>Aldicarb sulfone</w:t>
            </w:r>
          </w:p>
        </w:tc>
        <w:tc>
          <w:tcPr>
            <w:tcW w:w="860" w:type="dxa"/>
            <w:vAlign w:val="center"/>
          </w:tcPr>
          <w:p w14:paraId="2819ED40" w14:textId="77777777" w:rsidR="00EE4000" w:rsidRDefault="00EE4000" w:rsidP="00EE4000">
            <w:pPr>
              <w:jc w:val="center"/>
              <w:rPr>
                <w:sz w:val="24"/>
                <w:szCs w:val="24"/>
              </w:rPr>
            </w:pPr>
          </w:p>
        </w:tc>
        <w:tc>
          <w:tcPr>
            <w:tcW w:w="740" w:type="dxa"/>
            <w:vAlign w:val="center"/>
          </w:tcPr>
          <w:p w14:paraId="2819ED41"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D43" w14:textId="77777777" w:rsidR="00EE4000" w:rsidRDefault="00EE4000" w:rsidP="00EE4000">
            <w:pPr>
              <w:jc w:val="center"/>
              <w:rPr>
                <w:sz w:val="24"/>
                <w:szCs w:val="24"/>
              </w:rPr>
            </w:pPr>
          </w:p>
        </w:tc>
      </w:tr>
      <w:tr w:rsidR="00EE4000" w14:paraId="2819ED4E" w14:textId="77777777" w:rsidTr="00EE4000">
        <w:trPr>
          <w:trHeight w:val="281"/>
        </w:trPr>
        <w:tc>
          <w:tcPr>
            <w:tcW w:w="2020" w:type="dxa"/>
            <w:vAlign w:val="bottom"/>
          </w:tcPr>
          <w:p w14:paraId="2819ED46" w14:textId="77777777" w:rsidR="00EE4000" w:rsidRDefault="00EE4000">
            <w:pPr>
              <w:rPr>
                <w:sz w:val="20"/>
                <w:szCs w:val="20"/>
              </w:rPr>
            </w:pPr>
            <w:r>
              <w:rPr>
                <w:rFonts w:eastAsia="Times New Roman"/>
                <w:sz w:val="24"/>
                <w:szCs w:val="24"/>
              </w:rPr>
              <w:t>1646-87-3</w:t>
            </w:r>
          </w:p>
        </w:tc>
        <w:tc>
          <w:tcPr>
            <w:tcW w:w="3460" w:type="dxa"/>
            <w:vAlign w:val="bottom"/>
          </w:tcPr>
          <w:p w14:paraId="2819ED47" w14:textId="77777777" w:rsidR="00EE4000" w:rsidRDefault="00EE4000">
            <w:pPr>
              <w:rPr>
                <w:sz w:val="20"/>
                <w:szCs w:val="20"/>
              </w:rPr>
            </w:pPr>
            <w:r>
              <w:rPr>
                <w:rFonts w:eastAsia="Times New Roman"/>
                <w:sz w:val="24"/>
                <w:szCs w:val="24"/>
              </w:rPr>
              <w:t>Aldicarb sulfoxide</w:t>
            </w:r>
          </w:p>
        </w:tc>
        <w:tc>
          <w:tcPr>
            <w:tcW w:w="860" w:type="dxa"/>
            <w:vAlign w:val="center"/>
          </w:tcPr>
          <w:p w14:paraId="2819ED49" w14:textId="77777777" w:rsidR="00EE4000" w:rsidRDefault="00EE4000" w:rsidP="00EE4000">
            <w:pPr>
              <w:jc w:val="center"/>
              <w:rPr>
                <w:sz w:val="24"/>
                <w:szCs w:val="24"/>
              </w:rPr>
            </w:pPr>
          </w:p>
        </w:tc>
        <w:tc>
          <w:tcPr>
            <w:tcW w:w="740" w:type="dxa"/>
            <w:vAlign w:val="center"/>
          </w:tcPr>
          <w:p w14:paraId="2819ED4A"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D4C" w14:textId="77777777" w:rsidR="00EE4000" w:rsidRDefault="00EE4000" w:rsidP="00EE4000">
            <w:pPr>
              <w:jc w:val="center"/>
              <w:rPr>
                <w:sz w:val="24"/>
                <w:szCs w:val="24"/>
              </w:rPr>
            </w:pPr>
          </w:p>
        </w:tc>
      </w:tr>
      <w:tr w:rsidR="00EE4000" w14:paraId="2819ED57" w14:textId="77777777" w:rsidTr="00EE4000">
        <w:trPr>
          <w:trHeight w:val="278"/>
        </w:trPr>
        <w:tc>
          <w:tcPr>
            <w:tcW w:w="2020" w:type="dxa"/>
            <w:vAlign w:val="bottom"/>
          </w:tcPr>
          <w:p w14:paraId="2819ED4F" w14:textId="77777777" w:rsidR="00EE4000" w:rsidRDefault="00EE4000">
            <w:pPr>
              <w:rPr>
                <w:sz w:val="20"/>
                <w:szCs w:val="20"/>
              </w:rPr>
            </w:pPr>
            <w:r>
              <w:rPr>
                <w:rFonts w:eastAsia="Times New Roman"/>
                <w:sz w:val="24"/>
                <w:szCs w:val="24"/>
              </w:rPr>
              <w:t>1912-24-9</w:t>
            </w:r>
          </w:p>
        </w:tc>
        <w:tc>
          <w:tcPr>
            <w:tcW w:w="3460" w:type="dxa"/>
            <w:vAlign w:val="bottom"/>
          </w:tcPr>
          <w:p w14:paraId="2819ED50" w14:textId="77777777" w:rsidR="00EE4000" w:rsidRDefault="00EE4000">
            <w:pPr>
              <w:rPr>
                <w:sz w:val="20"/>
                <w:szCs w:val="20"/>
              </w:rPr>
            </w:pPr>
            <w:r>
              <w:rPr>
                <w:rFonts w:eastAsia="Times New Roman"/>
                <w:sz w:val="24"/>
                <w:szCs w:val="24"/>
              </w:rPr>
              <w:t>Atrazine</w:t>
            </w:r>
          </w:p>
        </w:tc>
        <w:tc>
          <w:tcPr>
            <w:tcW w:w="860" w:type="dxa"/>
            <w:vAlign w:val="center"/>
          </w:tcPr>
          <w:p w14:paraId="2819ED51"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53" w14:textId="77777777" w:rsidR="00EE4000" w:rsidRDefault="00EE4000" w:rsidP="00EE4000">
            <w:pPr>
              <w:jc w:val="center"/>
              <w:rPr>
                <w:sz w:val="24"/>
                <w:szCs w:val="24"/>
              </w:rPr>
            </w:pPr>
          </w:p>
        </w:tc>
        <w:tc>
          <w:tcPr>
            <w:tcW w:w="760" w:type="dxa"/>
            <w:vAlign w:val="center"/>
          </w:tcPr>
          <w:p w14:paraId="2819ED55" w14:textId="77777777" w:rsidR="00EE4000" w:rsidRDefault="00EE4000" w:rsidP="00EE4000">
            <w:pPr>
              <w:jc w:val="center"/>
              <w:rPr>
                <w:sz w:val="24"/>
                <w:szCs w:val="24"/>
              </w:rPr>
            </w:pPr>
          </w:p>
        </w:tc>
      </w:tr>
      <w:tr w:rsidR="00EE4000" w14:paraId="2819ED60" w14:textId="77777777" w:rsidTr="00EE4000">
        <w:trPr>
          <w:trHeight w:val="281"/>
        </w:trPr>
        <w:tc>
          <w:tcPr>
            <w:tcW w:w="2020" w:type="dxa"/>
            <w:vAlign w:val="bottom"/>
          </w:tcPr>
          <w:p w14:paraId="2819ED58" w14:textId="77777777" w:rsidR="00EE4000" w:rsidRDefault="00EE4000">
            <w:pPr>
              <w:rPr>
                <w:sz w:val="20"/>
                <w:szCs w:val="20"/>
              </w:rPr>
            </w:pPr>
            <w:r>
              <w:rPr>
                <w:rFonts w:eastAsia="Times New Roman"/>
                <w:sz w:val="24"/>
                <w:szCs w:val="24"/>
              </w:rPr>
              <w:t>50-32-8</w:t>
            </w:r>
          </w:p>
        </w:tc>
        <w:tc>
          <w:tcPr>
            <w:tcW w:w="3460" w:type="dxa"/>
            <w:vAlign w:val="bottom"/>
          </w:tcPr>
          <w:p w14:paraId="2819ED59" w14:textId="77777777" w:rsidR="00EE4000" w:rsidRDefault="00EE4000">
            <w:pPr>
              <w:rPr>
                <w:sz w:val="20"/>
                <w:szCs w:val="20"/>
              </w:rPr>
            </w:pPr>
            <w:r>
              <w:rPr>
                <w:rFonts w:eastAsia="Times New Roman"/>
                <w:sz w:val="24"/>
                <w:szCs w:val="24"/>
              </w:rPr>
              <w:t>Benzo[a)pyrene</w:t>
            </w:r>
          </w:p>
        </w:tc>
        <w:tc>
          <w:tcPr>
            <w:tcW w:w="860" w:type="dxa"/>
            <w:vAlign w:val="center"/>
          </w:tcPr>
          <w:p w14:paraId="2819ED5A"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5C" w14:textId="77777777" w:rsidR="00EE4000" w:rsidRDefault="00EE4000" w:rsidP="00EE4000">
            <w:pPr>
              <w:jc w:val="center"/>
              <w:rPr>
                <w:sz w:val="24"/>
                <w:szCs w:val="24"/>
              </w:rPr>
            </w:pPr>
          </w:p>
        </w:tc>
        <w:tc>
          <w:tcPr>
            <w:tcW w:w="760" w:type="dxa"/>
            <w:vAlign w:val="center"/>
          </w:tcPr>
          <w:p w14:paraId="2819ED5E" w14:textId="77777777" w:rsidR="00EE4000" w:rsidRDefault="00EE4000" w:rsidP="00EE4000">
            <w:pPr>
              <w:jc w:val="center"/>
              <w:rPr>
                <w:sz w:val="24"/>
                <w:szCs w:val="24"/>
              </w:rPr>
            </w:pPr>
          </w:p>
        </w:tc>
      </w:tr>
      <w:tr w:rsidR="00EE4000" w14:paraId="2819ED69" w14:textId="77777777" w:rsidTr="00EE4000">
        <w:trPr>
          <w:trHeight w:val="278"/>
        </w:trPr>
        <w:tc>
          <w:tcPr>
            <w:tcW w:w="2020" w:type="dxa"/>
            <w:vAlign w:val="bottom"/>
          </w:tcPr>
          <w:p w14:paraId="2819ED61" w14:textId="77777777" w:rsidR="00EE4000" w:rsidRDefault="00EE4000">
            <w:pPr>
              <w:rPr>
                <w:sz w:val="20"/>
                <w:szCs w:val="20"/>
              </w:rPr>
            </w:pPr>
            <w:r>
              <w:rPr>
                <w:rFonts w:eastAsia="Times New Roman"/>
                <w:sz w:val="24"/>
                <w:szCs w:val="24"/>
              </w:rPr>
              <w:t>1563-66-2</w:t>
            </w:r>
          </w:p>
        </w:tc>
        <w:tc>
          <w:tcPr>
            <w:tcW w:w="3460" w:type="dxa"/>
            <w:vAlign w:val="bottom"/>
          </w:tcPr>
          <w:p w14:paraId="2819ED62" w14:textId="77777777" w:rsidR="00EE4000" w:rsidRDefault="00EE4000">
            <w:pPr>
              <w:rPr>
                <w:sz w:val="20"/>
                <w:szCs w:val="20"/>
              </w:rPr>
            </w:pPr>
            <w:r>
              <w:rPr>
                <w:rFonts w:eastAsia="Times New Roman"/>
                <w:sz w:val="24"/>
                <w:szCs w:val="24"/>
              </w:rPr>
              <w:t>Carbofuran</w:t>
            </w:r>
          </w:p>
        </w:tc>
        <w:tc>
          <w:tcPr>
            <w:tcW w:w="860" w:type="dxa"/>
            <w:vAlign w:val="center"/>
          </w:tcPr>
          <w:p w14:paraId="2819ED64" w14:textId="77777777" w:rsidR="00EE4000" w:rsidRDefault="00EE4000" w:rsidP="00EE4000">
            <w:pPr>
              <w:jc w:val="center"/>
              <w:rPr>
                <w:sz w:val="24"/>
                <w:szCs w:val="24"/>
              </w:rPr>
            </w:pPr>
          </w:p>
        </w:tc>
        <w:tc>
          <w:tcPr>
            <w:tcW w:w="740" w:type="dxa"/>
            <w:vAlign w:val="center"/>
          </w:tcPr>
          <w:p w14:paraId="2819ED65"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D67" w14:textId="77777777" w:rsidR="00EE4000" w:rsidRDefault="00EE4000" w:rsidP="00EE4000">
            <w:pPr>
              <w:jc w:val="center"/>
              <w:rPr>
                <w:sz w:val="24"/>
                <w:szCs w:val="24"/>
              </w:rPr>
            </w:pPr>
          </w:p>
        </w:tc>
      </w:tr>
      <w:tr w:rsidR="00EE4000" w14:paraId="2819ED72" w14:textId="77777777" w:rsidTr="00EE4000">
        <w:trPr>
          <w:trHeight w:val="281"/>
        </w:trPr>
        <w:tc>
          <w:tcPr>
            <w:tcW w:w="2020" w:type="dxa"/>
            <w:vAlign w:val="bottom"/>
          </w:tcPr>
          <w:p w14:paraId="2819ED6A" w14:textId="77777777" w:rsidR="00EE4000" w:rsidRDefault="00EE4000">
            <w:pPr>
              <w:rPr>
                <w:sz w:val="20"/>
                <w:szCs w:val="20"/>
              </w:rPr>
            </w:pPr>
            <w:r>
              <w:rPr>
                <w:rFonts w:eastAsia="Times New Roman"/>
                <w:sz w:val="24"/>
                <w:szCs w:val="24"/>
              </w:rPr>
              <w:t>57-74-9</w:t>
            </w:r>
          </w:p>
        </w:tc>
        <w:tc>
          <w:tcPr>
            <w:tcW w:w="3460" w:type="dxa"/>
            <w:vAlign w:val="bottom"/>
          </w:tcPr>
          <w:p w14:paraId="2819ED6B" w14:textId="77777777" w:rsidR="00EE4000" w:rsidRDefault="00EE4000">
            <w:pPr>
              <w:rPr>
                <w:sz w:val="20"/>
                <w:szCs w:val="20"/>
              </w:rPr>
            </w:pPr>
            <w:r>
              <w:rPr>
                <w:rFonts w:eastAsia="Times New Roman"/>
                <w:sz w:val="24"/>
                <w:szCs w:val="24"/>
              </w:rPr>
              <w:t>Chlordane</w:t>
            </w:r>
          </w:p>
        </w:tc>
        <w:tc>
          <w:tcPr>
            <w:tcW w:w="860" w:type="dxa"/>
            <w:vAlign w:val="center"/>
          </w:tcPr>
          <w:p w14:paraId="2819ED6C"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6E" w14:textId="77777777" w:rsidR="00EE4000" w:rsidRDefault="00EE4000" w:rsidP="00EE4000">
            <w:pPr>
              <w:jc w:val="center"/>
              <w:rPr>
                <w:sz w:val="24"/>
                <w:szCs w:val="24"/>
              </w:rPr>
            </w:pPr>
          </w:p>
        </w:tc>
        <w:tc>
          <w:tcPr>
            <w:tcW w:w="760" w:type="dxa"/>
            <w:vAlign w:val="center"/>
          </w:tcPr>
          <w:p w14:paraId="2819ED70" w14:textId="77777777" w:rsidR="00EE4000" w:rsidRDefault="00EE4000" w:rsidP="00EE4000">
            <w:pPr>
              <w:jc w:val="center"/>
              <w:rPr>
                <w:sz w:val="24"/>
                <w:szCs w:val="24"/>
              </w:rPr>
            </w:pPr>
          </w:p>
        </w:tc>
      </w:tr>
      <w:tr w:rsidR="00EE4000" w14:paraId="2819ED7B" w14:textId="77777777" w:rsidTr="00EE4000">
        <w:trPr>
          <w:trHeight w:val="278"/>
        </w:trPr>
        <w:tc>
          <w:tcPr>
            <w:tcW w:w="2020" w:type="dxa"/>
            <w:vAlign w:val="bottom"/>
          </w:tcPr>
          <w:p w14:paraId="2819ED73" w14:textId="77777777" w:rsidR="00EE4000" w:rsidRDefault="00EE4000">
            <w:pPr>
              <w:rPr>
                <w:sz w:val="20"/>
                <w:szCs w:val="20"/>
              </w:rPr>
            </w:pPr>
            <w:r>
              <w:rPr>
                <w:rFonts w:eastAsia="Times New Roman"/>
                <w:sz w:val="24"/>
                <w:szCs w:val="24"/>
              </w:rPr>
              <w:t>75-99-0</w:t>
            </w:r>
          </w:p>
        </w:tc>
        <w:tc>
          <w:tcPr>
            <w:tcW w:w="3460" w:type="dxa"/>
            <w:vAlign w:val="bottom"/>
          </w:tcPr>
          <w:p w14:paraId="2819ED74" w14:textId="77777777" w:rsidR="00EE4000" w:rsidRDefault="00EE4000">
            <w:pPr>
              <w:rPr>
                <w:sz w:val="20"/>
                <w:szCs w:val="20"/>
              </w:rPr>
            </w:pPr>
            <w:r>
              <w:rPr>
                <w:rFonts w:eastAsia="Times New Roman"/>
                <w:sz w:val="24"/>
                <w:szCs w:val="24"/>
              </w:rPr>
              <w:t>Dalapon</w:t>
            </w:r>
          </w:p>
        </w:tc>
        <w:tc>
          <w:tcPr>
            <w:tcW w:w="860" w:type="dxa"/>
            <w:vAlign w:val="center"/>
          </w:tcPr>
          <w:p w14:paraId="2819ED75"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77" w14:textId="77777777" w:rsidR="00EE4000" w:rsidRDefault="00EE4000" w:rsidP="00EE4000">
            <w:pPr>
              <w:jc w:val="center"/>
              <w:rPr>
                <w:sz w:val="24"/>
                <w:szCs w:val="24"/>
              </w:rPr>
            </w:pPr>
          </w:p>
        </w:tc>
        <w:tc>
          <w:tcPr>
            <w:tcW w:w="760" w:type="dxa"/>
            <w:vAlign w:val="center"/>
          </w:tcPr>
          <w:p w14:paraId="2819ED79" w14:textId="77777777" w:rsidR="00EE4000" w:rsidRDefault="00EE4000" w:rsidP="00EE4000">
            <w:pPr>
              <w:jc w:val="center"/>
              <w:rPr>
                <w:sz w:val="24"/>
                <w:szCs w:val="24"/>
              </w:rPr>
            </w:pPr>
          </w:p>
        </w:tc>
      </w:tr>
      <w:tr w:rsidR="00EE4000" w14:paraId="2819ED83" w14:textId="77777777" w:rsidTr="00EE4000">
        <w:trPr>
          <w:trHeight w:val="281"/>
        </w:trPr>
        <w:tc>
          <w:tcPr>
            <w:tcW w:w="2020" w:type="dxa"/>
            <w:vAlign w:val="bottom"/>
          </w:tcPr>
          <w:p w14:paraId="2819ED7C" w14:textId="77777777" w:rsidR="00EE4000" w:rsidRDefault="00EE4000">
            <w:pPr>
              <w:rPr>
                <w:sz w:val="20"/>
                <w:szCs w:val="20"/>
              </w:rPr>
            </w:pPr>
            <w:r>
              <w:rPr>
                <w:rFonts w:eastAsia="Times New Roman"/>
                <w:sz w:val="24"/>
                <w:szCs w:val="24"/>
              </w:rPr>
              <w:t>96-12-8</w:t>
            </w:r>
          </w:p>
        </w:tc>
        <w:tc>
          <w:tcPr>
            <w:tcW w:w="3460" w:type="dxa"/>
            <w:vAlign w:val="bottom"/>
          </w:tcPr>
          <w:p w14:paraId="2819ED7D" w14:textId="77777777" w:rsidR="00EE4000" w:rsidRDefault="00EE4000">
            <w:pPr>
              <w:rPr>
                <w:sz w:val="20"/>
                <w:szCs w:val="20"/>
              </w:rPr>
            </w:pPr>
            <w:r>
              <w:rPr>
                <w:rFonts w:eastAsia="Times New Roman"/>
                <w:sz w:val="24"/>
                <w:szCs w:val="24"/>
              </w:rPr>
              <w:t>Dibromochloropropane (DBCP)</w:t>
            </w:r>
          </w:p>
        </w:tc>
        <w:tc>
          <w:tcPr>
            <w:tcW w:w="860" w:type="dxa"/>
            <w:vAlign w:val="center"/>
          </w:tcPr>
          <w:p w14:paraId="2819ED7E"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7F"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D81" w14:textId="77777777" w:rsidR="00EE4000" w:rsidRDefault="00EE4000" w:rsidP="00EE4000">
            <w:pPr>
              <w:jc w:val="center"/>
              <w:rPr>
                <w:sz w:val="24"/>
                <w:szCs w:val="24"/>
              </w:rPr>
            </w:pPr>
          </w:p>
        </w:tc>
      </w:tr>
      <w:tr w:rsidR="00EE4000" w14:paraId="2819ED8C" w14:textId="77777777" w:rsidTr="00EE4000">
        <w:trPr>
          <w:trHeight w:val="278"/>
        </w:trPr>
        <w:tc>
          <w:tcPr>
            <w:tcW w:w="2020" w:type="dxa"/>
            <w:vAlign w:val="bottom"/>
          </w:tcPr>
          <w:p w14:paraId="2819ED84" w14:textId="77777777" w:rsidR="00EE4000" w:rsidRDefault="00EE4000">
            <w:pPr>
              <w:rPr>
                <w:sz w:val="20"/>
                <w:szCs w:val="20"/>
              </w:rPr>
            </w:pPr>
            <w:r>
              <w:rPr>
                <w:rFonts w:eastAsia="Times New Roman"/>
                <w:sz w:val="24"/>
                <w:szCs w:val="24"/>
              </w:rPr>
              <w:t>75-09-2</w:t>
            </w:r>
          </w:p>
        </w:tc>
        <w:tc>
          <w:tcPr>
            <w:tcW w:w="3460" w:type="dxa"/>
            <w:vAlign w:val="bottom"/>
          </w:tcPr>
          <w:p w14:paraId="2819ED85" w14:textId="77777777" w:rsidR="00EE4000" w:rsidRDefault="00EE4000">
            <w:pPr>
              <w:rPr>
                <w:sz w:val="20"/>
                <w:szCs w:val="20"/>
              </w:rPr>
            </w:pPr>
            <w:r>
              <w:rPr>
                <w:rFonts w:eastAsia="Times New Roman"/>
                <w:sz w:val="24"/>
                <w:szCs w:val="24"/>
              </w:rPr>
              <w:t>Dichloreomethane</w:t>
            </w:r>
          </w:p>
        </w:tc>
        <w:tc>
          <w:tcPr>
            <w:tcW w:w="860" w:type="dxa"/>
            <w:vAlign w:val="center"/>
          </w:tcPr>
          <w:p w14:paraId="2819ED87" w14:textId="77777777" w:rsidR="00EE4000" w:rsidRDefault="00EE4000" w:rsidP="00EE4000">
            <w:pPr>
              <w:jc w:val="center"/>
              <w:rPr>
                <w:sz w:val="24"/>
                <w:szCs w:val="24"/>
              </w:rPr>
            </w:pPr>
          </w:p>
        </w:tc>
        <w:tc>
          <w:tcPr>
            <w:tcW w:w="740" w:type="dxa"/>
            <w:vAlign w:val="center"/>
          </w:tcPr>
          <w:p w14:paraId="2819ED88"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D8A" w14:textId="77777777" w:rsidR="00EE4000" w:rsidRDefault="00EE4000" w:rsidP="00EE4000">
            <w:pPr>
              <w:jc w:val="center"/>
              <w:rPr>
                <w:sz w:val="24"/>
                <w:szCs w:val="24"/>
              </w:rPr>
            </w:pPr>
          </w:p>
        </w:tc>
      </w:tr>
      <w:tr w:rsidR="00EE4000" w14:paraId="2819ED94" w14:textId="77777777" w:rsidTr="00EE4000">
        <w:trPr>
          <w:trHeight w:val="281"/>
        </w:trPr>
        <w:tc>
          <w:tcPr>
            <w:tcW w:w="2020" w:type="dxa"/>
            <w:vAlign w:val="bottom"/>
          </w:tcPr>
          <w:p w14:paraId="2819ED8D" w14:textId="77777777" w:rsidR="00EE4000" w:rsidRDefault="00EE4000">
            <w:pPr>
              <w:rPr>
                <w:sz w:val="20"/>
                <w:szCs w:val="20"/>
              </w:rPr>
            </w:pPr>
            <w:r>
              <w:rPr>
                <w:rFonts w:eastAsia="Times New Roman"/>
                <w:sz w:val="24"/>
                <w:szCs w:val="24"/>
              </w:rPr>
              <w:t>103-23-1</w:t>
            </w:r>
          </w:p>
        </w:tc>
        <w:tc>
          <w:tcPr>
            <w:tcW w:w="3460" w:type="dxa"/>
            <w:vAlign w:val="bottom"/>
          </w:tcPr>
          <w:p w14:paraId="2819ED8E" w14:textId="77777777" w:rsidR="00EE4000" w:rsidRDefault="00EE4000">
            <w:pPr>
              <w:rPr>
                <w:sz w:val="20"/>
                <w:szCs w:val="20"/>
              </w:rPr>
            </w:pPr>
            <w:r>
              <w:rPr>
                <w:rFonts w:eastAsia="Times New Roman"/>
                <w:sz w:val="24"/>
                <w:szCs w:val="24"/>
              </w:rPr>
              <w:t>Di (2-ethylhexyl) adipate</w:t>
            </w:r>
          </w:p>
        </w:tc>
        <w:tc>
          <w:tcPr>
            <w:tcW w:w="860" w:type="dxa"/>
            <w:vAlign w:val="center"/>
          </w:tcPr>
          <w:p w14:paraId="2819ED8F"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90"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D92" w14:textId="77777777" w:rsidR="00EE4000" w:rsidRDefault="00EE4000" w:rsidP="00EE4000">
            <w:pPr>
              <w:jc w:val="center"/>
              <w:rPr>
                <w:sz w:val="24"/>
                <w:szCs w:val="24"/>
              </w:rPr>
            </w:pPr>
          </w:p>
        </w:tc>
      </w:tr>
      <w:tr w:rsidR="00EE4000" w14:paraId="2819ED9D" w14:textId="77777777" w:rsidTr="00EE4000">
        <w:trPr>
          <w:trHeight w:val="278"/>
        </w:trPr>
        <w:tc>
          <w:tcPr>
            <w:tcW w:w="2020" w:type="dxa"/>
            <w:vAlign w:val="bottom"/>
          </w:tcPr>
          <w:p w14:paraId="2819ED95" w14:textId="77777777" w:rsidR="00EE4000" w:rsidRDefault="00EE4000">
            <w:pPr>
              <w:rPr>
                <w:sz w:val="20"/>
                <w:szCs w:val="20"/>
              </w:rPr>
            </w:pPr>
            <w:r>
              <w:rPr>
                <w:rFonts w:eastAsia="Times New Roman"/>
                <w:sz w:val="24"/>
                <w:szCs w:val="24"/>
              </w:rPr>
              <w:t>117-81-7</w:t>
            </w:r>
          </w:p>
        </w:tc>
        <w:tc>
          <w:tcPr>
            <w:tcW w:w="3460" w:type="dxa"/>
            <w:vAlign w:val="bottom"/>
          </w:tcPr>
          <w:p w14:paraId="2819ED96" w14:textId="77777777" w:rsidR="00EE4000" w:rsidRDefault="00EE4000">
            <w:pPr>
              <w:rPr>
                <w:sz w:val="20"/>
                <w:szCs w:val="20"/>
              </w:rPr>
            </w:pPr>
            <w:r>
              <w:rPr>
                <w:rFonts w:eastAsia="Times New Roman"/>
                <w:sz w:val="24"/>
                <w:szCs w:val="24"/>
              </w:rPr>
              <w:t>Di (2-ethylhexyl) phthalate</w:t>
            </w:r>
          </w:p>
        </w:tc>
        <w:tc>
          <w:tcPr>
            <w:tcW w:w="860" w:type="dxa"/>
            <w:vAlign w:val="center"/>
          </w:tcPr>
          <w:p w14:paraId="2819ED97"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99" w14:textId="77777777" w:rsidR="00EE4000" w:rsidRDefault="00EE4000" w:rsidP="00EE4000">
            <w:pPr>
              <w:jc w:val="center"/>
              <w:rPr>
                <w:sz w:val="24"/>
                <w:szCs w:val="24"/>
              </w:rPr>
            </w:pPr>
          </w:p>
        </w:tc>
        <w:tc>
          <w:tcPr>
            <w:tcW w:w="760" w:type="dxa"/>
            <w:vAlign w:val="center"/>
          </w:tcPr>
          <w:p w14:paraId="2819ED9B" w14:textId="77777777" w:rsidR="00EE4000" w:rsidRDefault="00EE4000" w:rsidP="00EE4000">
            <w:pPr>
              <w:jc w:val="center"/>
              <w:rPr>
                <w:sz w:val="24"/>
                <w:szCs w:val="24"/>
              </w:rPr>
            </w:pPr>
          </w:p>
        </w:tc>
      </w:tr>
      <w:tr w:rsidR="00EE4000" w14:paraId="2819EDA6" w14:textId="77777777" w:rsidTr="00EE4000">
        <w:trPr>
          <w:trHeight w:val="281"/>
        </w:trPr>
        <w:tc>
          <w:tcPr>
            <w:tcW w:w="2020" w:type="dxa"/>
            <w:vAlign w:val="bottom"/>
          </w:tcPr>
          <w:p w14:paraId="2819ED9E" w14:textId="77777777" w:rsidR="00EE4000" w:rsidRDefault="00EE4000">
            <w:pPr>
              <w:rPr>
                <w:sz w:val="20"/>
                <w:szCs w:val="20"/>
              </w:rPr>
            </w:pPr>
            <w:r>
              <w:rPr>
                <w:rFonts w:eastAsia="Times New Roman"/>
                <w:sz w:val="24"/>
                <w:szCs w:val="24"/>
              </w:rPr>
              <w:t>88-85-7</w:t>
            </w:r>
          </w:p>
        </w:tc>
        <w:tc>
          <w:tcPr>
            <w:tcW w:w="3460" w:type="dxa"/>
            <w:vAlign w:val="bottom"/>
          </w:tcPr>
          <w:p w14:paraId="2819ED9F" w14:textId="77777777" w:rsidR="00EE4000" w:rsidRDefault="00EE4000">
            <w:pPr>
              <w:rPr>
                <w:sz w:val="20"/>
                <w:szCs w:val="20"/>
              </w:rPr>
            </w:pPr>
            <w:r>
              <w:rPr>
                <w:rFonts w:eastAsia="Times New Roman"/>
                <w:sz w:val="24"/>
                <w:szCs w:val="24"/>
              </w:rPr>
              <w:t>Dinoseb</w:t>
            </w:r>
          </w:p>
        </w:tc>
        <w:tc>
          <w:tcPr>
            <w:tcW w:w="860" w:type="dxa"/>
            <w:vAlign w:val="center"/>
          </w:tcPr>
          <w:p w14:paraId="2819EDA0"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A2" w14:textId="77777777" w:rsidR="00EE4000" w:rsidRDefault="00EE4000" w:rsidP="00EE4000">
            <w:pPr>
              <w:jc w:val="center"/>
              <w:rPr>
                <w:sz w:val="24"/>
                <w:szCs w:val="24"/>
              </w:rPr>
            </w:pPr>
          </w:p>
        </w:tc>
        <w:tc>
          <w:tcPr>
            <w:tcW w:w="760" w:type="dxa"/>
            <w:vAlign w:val="center"/>
          </w:tcPr>
          <w:p w14:paraId="2819EDA4" w14:textId="77777777" w:rsidR="00EE4000" w:rsidRDefault="00EE4000" w:rsidP="00EE4000">
            <w:pPr>
              <w:jc w:val="center"/>
              <w:rPr>
                <w:sz w:val="24"/>
                <w:szCs w:val="24"/>
              </w:rPr>
            </w:pPr>
          </w:p>
        </w:tc>
      </w:tr>
      <w:tr w:rsidR="00EE4000" w14:paraId="2819EDAF" w14:textId="77777777" w:rsidTr="00EE4000">
        <w:trPr>
          <w:trHeight w:val="278"/>
        </w:trPr>
        <w:tc>
          <w:tcPr>
            <w:tcW w:w="2020" w:type="dxa"/>
            <w:vAlign w:val="bottom"/>
          </w:tcPr>
          <w:p w14:paraId="2819EDA7" w14:textId="77777777" w:rsidR="00EE4000" w:rsidRDefault="00EE4000">
            <w:pPr>
              <w:rPr>
                <w:sz w:val="20"/>
                <w:szCs w:val="20"/>
              </w:rPr>
            </w:pPr>
            <w:r>
              <w:rPr>
                <w:rFonts w:eastAsia="Times New Roman"/>
                <w:sz w:val="24"/>
                <w:szCs w:val="24"/>
              </w:rPr>
              <w:t>85-00-7</w:t>
            </w:r>
          </w:p>
        </w:tc>
        <w:tc>
          <w:tcPr>
            <w:tcW w:w="3460" w:type="dxa"/>
            <w:vAlign w:val="bottom"/>
          </w:tcPr>
          <w:p w14:paraId="2819EDA8" w14:textId="77777777" w:rsidR="00EE4000" w:rsidRDefault="00EE4000">
            <w:pPr>
              <w:rPr>
                <w:sz w:val="20"/>
                <w:szCs w:val="20"/>
              </w:rPr>
            </w:pPr>
            <w:r>
              <w:rPr>
                <w:rFonts w:eastAsia="Times New Roman"/>
                <w:sz w:val="24"/>
                <w:szCs w:val="24"/>
              </w:rPr>
              <w:t>Diquat</w:t>
            </w:r>
          </w:p>
        </w:tc>
        <w:tc>
          <w:tcPr>
            <w:tcW w:w="860" w:type="dxa"/>
            <w:vAlign w:val="center"/>
          </w:tcPr>
          <w:p w14:paraId="2819EDA9"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AB" w14:textId="77777777" w:rsidR="00EE4000" w:rsidRDefault="00EE4000" w:rsidP="00EE4000">
            <w:pPr>
              <w:jc w:val="center"/>
              <w:rPr>
                <w:sz w:val="24"/>
                <w:szCs w:val="24"/>
              </w:rPr>
            </w:pPr>
          </w:p>
        </w:tc>
        <w:tc>
          <w:tcPr>
            <w:tcW w:w="760" w:type="dxa"/>
            <w:vAlign w:val="center"/>
          </w:tcPr>
          <w:p w14:paraId="2819EDAD" w14:textId="77777777" w:rsidR="00EE4000" w:rsidRDefault="00EE4000" w:rsidP="00EE4000">
            <w:pPr>
              <w:jc w:val="center"/>
              <w:rPr>
                <w:sz w:val="24"/>
                <w:szCs w:val="24"/>
              </w:rPr>
            </w:pPr>
          </w:p>
        </w:tc>
      </w:tr>
      <w:tr w:rsidR="00EE4000" w14:paraId="2819EDB9" w14:textId="77777777" w:rsidTr="00EE4000">
        <w:trPr>
          <w:trHeight w:val="281"/>
        </w:trPr>
        <w:tc>
          <w:tcPr>
            <w:tcW w:w="2020" w:type="dxa"/>
            <w:vAlign w:val="bottom"/>
          </w:tcPr>
          <w:p w14:paraId="2819EDB0" w14:textId="77777777" w:rsidR="00EE4000" w:rsidRDefault="00EE4000">
            <w:pPr>
              <w:rPr>
                <w:sz w:val="20"/>
                <w:szCs w:val="20"/>
              </w:rPr>
            </w:pPr>
            <w:r>
              <w:rPr>
                <w:rFonts w:eastAsia="Times New Roman"/>
                <w:sz w:val="24"/>
                <w:szCs w:val="24"/>
              </w:rPr>
              <w:t>94-75-7</w:t>
            </w:r>
          </w:p>
        </w:tc>
        <w:tc>
          <w:tcPr>
            <w:tcW w:w="3460" w:type="dxa"/>
            <w:vAlign w:val="bottom"/>
          </w:tcPr>
          <w:p w14:paraId="2819EDB1" w14:textId="77777777" w:rsidR="00EE4000" w:rsidRDefault="00EE4000">
            <w:pPr>
              <w:rPr>
                <w:sz w:val="20"/>
                <w:szCs w:val="20"/>
              </w:rPr>
            </w:pPr>
            <w:r>
              <w:rPr>
                <w:rFonts w:eastAsia="Times New Roman"/>
                <w:sz w:val="24"/>
                <w:szCs w:val="24"/>
              </w:rPr>
              <w:t>2,4-D</w:t>
            </w:r>
          </w:p>
        </w:tc>
        <w:tc>
          <w:tcPr>
            <w:tcW w:w="860" w:type="dxa"/>
            <w:vAlign w:val="center"/>
          </w:tcPr>
          <w:p w14:paraId="2819EDB3"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B5" w14:textId="77777777" w:rsidR="00EE4000" w:rsidRDefault="00EE4000" w:rsidP="00EE4000">
            <w:pPr>
              <w:jc w:val="center"/>
              <w:rPr>
                <w:sz w:val="24"/>
                <w:szCs w:val="24"/>
              </w:rPr>
            </w:pPr>
          </w:p>
        </w:tc>
        <w:tc>
          <w:tcPr>
            <w:tcW w:w="760" w:type="dxa"/>
            <w:vAlign w:val="center"/>
          </w:tcPr>
          <w:p w14:paraId="2819EDB7" w14:textId="77777777" w:rsidR="00EE4000" w:rsidRDefault="00EE4000" w:rsidP="00EE4000">
            <w:pPr>
              <w:jc w:val="center"/>
              <w:rPr>
                <w:sz w:val="24"/>
                <w:szCs w:val="24"/>
              </w:rPr>
            </w:pPr>
          </w:p>
        </w:tc>
      </w:tr>
      <w:tr w:rsidR="00EE4000" w14:paraId="2819EDC2" w14:textId="77777777" w:rsidTr="00EE4000">
        <w:trPr>
          <w:trHeight w:val="278"/>
        </w:trPr>
        <w:tc>
          <w:tcPr>
            <w:tcW w:w="2020" w:type="dxa"/>
            <w:vAlign w:val="bottom"/>
          </w:tcPr>
          <w:p w14:paraId="2819EDBA" w14:textId="77777777" w:rsidR="00EE4000" w:rsidRDefault="00EE4000">
            <w:pPr>
              <w:rPr>
                <w:sz w:val="20"/>
                <w:szCs w:val="20"/>
              </w:rPr>
            </w:pPr>
            <w:r>
              <w:rPr>
                <w:rFonts w:eastAsia="Times New Roman"/>
                <w:sz w:val="24"/>
                <w:szCs w:val="24"/>
              </w:rPr>
              <w:t>72-20-8</w:t>
            </w:r>
          </w:p>
        </w:tc>
        <w:tc>
          <w:tcPr>
            <w:tcW w:w="3460" w:type="dxa"/>
            <w:vAlign w:val="bottom"/>
          </w:tcPr>
          <w:p w14:paraId="2819EDBB" w14:textId="77777777" w:rsidR="00EE4000" w:rsidRDefault="00EE4000">
            <w:pPr>
              <w:rPr>
                <w:sz w:val="20"/>
                <w:szCs w:val="20"/>
              </w:rPr>
            </w:pPr>
            <w:r>
              <w:rPr>
                <w:rFonts w:eastAsia="Times New Roman"/>
                <w:sz w:val="24"/>
                <w:szCs w:val="24"/>
              </w:rPr>
              <w:t>Endrin</w:t>
            </w:r>
          </w:p>
        </w:tc>
        <w:tc>
          <w:tcPr>
            <w:tcW w:w="860" w:type="dxa"/>
            <w:vAlign w:val="center"/>
          </w:tcPr>
          <w:p w14:paraId="2819EDBC"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BE" w14:textId="77777777" w:rsidR="00EE4000" w:rsidRDefault="00EE4000" w:rsidP="00EE4000">
            <w:pPr>
              <w:jc w:val="center"/>
              <w:rPr>
                <w:sz w:val="24"/>
                <w:szCs w:val="24"/>
              </w:rPr>
            </w:pPr>
          </w:p>
        </w:tc>
        <w:tc>
          <w:tcPr>
            <w:tcW w:w="760" w:type="dxa"/>
            <w:vAlign w:val="center"/>
          </w:tcPr>
          <w:p w14:paraId="2819EDC0" w14:textId="77777777" w:rsidR="00EE4000" w:rsidRDefault="00EE4000" w:rsidP="00EE4000">
            <w:pPr>
              <w:jc w:val="center"/>
              <w:rPr>
                <w:sz w:val="24"/>
                <w:szCs w:val="24"/>
              </w:rPr>
            </w:pPr>
          </w:p>
        </w:tc>
      </w:tr>
      <w:tr w:rsidR="00EE4000" w14:paraId="2819EDCB" w14:textId="77777777" w:rsidTr="00EE4000">
        <w:trPr>
          <w:trHeight w:val="281"/>
        </w:trPr>
        <w:tc>
          <w:tcPr>
            <w:tcW w:w="2020" w:type="dxa"/>
            <w:vAlign w:val="bottom"/>
          </w:tcPr>
          <w:p w14:paraId="2819EDC3" w14:textId="77777777" w:rsidR="00EE4000" w:rsidRDefault="00EE4000">
            <w:pPr>
              <w:rPr>
                <w:sz w:val="20"/>
                <w:szCs w:val="20"/>
              </w:rPr>
            </w:pPr>
            <w:r>
              <w:rPr>
                <w:rFonts w:eastAsia="Times New Roman"/>
                <w:sz w:val="24"/>
                <w:szCs w:val="24"/>
              </w:rPr>
              <w:t>145-73-3</w:t>
            </w:r>
          </w:p>
        </w:tc>
        <w:tc>
          <w:tcPr>
            <w:tcW w:w="3460" w:type="dxa"/>
            <w:vAlign w:val="bottom"/>
          </w:tcPr>
          <w:p w14:paraId="2819EDC4" w14:textId="77777777" w:rsidR="00EE4000" w:rsidRDefault="00EE4000">
            <w:pPr>
              <w:rPr>
                <w:sz w:val="20"/>
                <w:szCs w:val="20"/>
              </w:rPr>
            </w:pPr>
            <w:r>
              <w:rPr>
                <w:rFonts w:eastAsia="Times New Roman"/>
                <w:sz w:val="24"/>
                <w:szCs w:val="24"/>
              </w:rPr>
              <w:t>Endothall</w:t>
            </w:r>
          </w:p>
        </w:tc>
        <w:tc>
          <w:tcPr>
            <w:tcW w:w="860" w:type="dxa"/>
            <w:vAlign w:val="center"/>
          </w:tcPr>
          <w:p w14:paraId="2819EDC5"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C7" w14:textId="77777777" w:rsidR="00EE4000" w:rsidRDefault="00EE4000" w:rsidP="00EE4000">
            <w:pPr>
              <w:jc w:val="center"/>
              <w:rPr>
                <w:sz w:val="24"/>
                <w:szCs w:val="24"/>
              </w:rPr>
            </w:pPr>
          </w:p>
        </w:tc>
        <w:tc>
          <w:tcPr>
            <w:tcW w:w="760" w:type="dxa"/>
            <w:vAlign w:val="center"/>
          </w:tcPr>
          <w:p w14:paraId="2819EDC9" w14:textId="77777777" w:rsidR="00EE4000" w:rsidRDefault="00EE4000" w:rsidP="00EE4000">
            <w:pPr>
              <w:jc w:val="center"/>
              <w:rPr>
                <w:sz w:val="24"/>
                <w:szCs w:val="24"/>
              </w:rPr>
            </w:pPr>
          </w:p>
        </w:tc>
      </w:tr>
      <w:tr w:rsidR="00EE4000" w14:paraId="2819EDD3" w14:textId="77777777" w:rsidTr="00EE4000">
        <w:trPr>
          <w:trHeight w:val="278"/>
        </w:trPr>
        <w:tc>
          <w:tcPr>
            <w:tcW w:w="2020" w:type="dxa"/>
            <w:vAlign w:val="bottom"/>
          </w:tcPr>
          <w:p w14:paraId="2819EDCC" w14:textId="77777777" w:rsidR="00EE4000" w:rsidRDefault="00EE4000">
            <w:pPr>
              <w:rPr>
                <w:sz w:val="20"/>
                <w:szCs w:val="20"/>
              </w:rPr>
            </w:pPr>
            <w:r>
              <w:rPr>
                <w:rFonts w:eastAsia="Times New Roman"/>
                <w:sz w:val="24"/>
                <w:szCs w:val="24"/>
              </w:rPr>
              <w:t>106-93-4</w:t>
            </w:r>
          </w:p>
        </w:tc>
        <w:tc>
          <w:tcPr>
            <w:tcW w:w="3460" w:type="dxa"/>
            <w:vAlign w:val="bottom"/>
          </w:tcPr>
          <w:p w14:paraId="2819EDCD" w14:textId="77777777" w:rsidR="00EE4000" w:rsidRDefault="00EE4000">
            <w:pPr>
              <w:rPr>
                <w:sz w:val="20"/>
                <w:szCs w:val="20"/>
              </w:rPr>
            </w:pPr>
            <w:r>
              <w:rPr>
                <w:rFonts w:eastAsia="Times New Roman"/>
                <w:sz w:val="24"/>
                <w:szCs w:val="24"/>
              </w:rPr>
              <w:t>Ethylene Dibromide (EDB)</w:t>
            </w:r>
          </w:p>
        </w:tc>
        <w:tc>
          <w:tcPr>
            <w:tcW w:w="860" w:type="dxa"/>
            <w:vAlign w:val="center"/>
          </w:tcPr>
          <w:p w14:paraId="2819EDCE"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CF"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DD1" w14:textId="77777777" w:rsidR="00EE4000" w:rsidRDefault="00EE4000" w:rsidP="00EE4000">
            <w:pPr>
              <w:jc w:val="center"/>
              <w:rPr>
                <w:sz w:val="24"/>
                <w:szCs w:val="24"/>
              </w:rPr>
            </w:pPr>
          </w:p>
        </w:tc>
      </w:tr>
      <w:tr w:rsidR="00EE4000" w14:paraId="2819EDDC" w14:textId="77777777" w:rsidTr="00EE4000">
        <w:trPr>
          <w:trHeight w:val="281"/>
        </w:trPr>
        <w:tc>
          <w:tcPr>
            <w:tcW w:w="2020" w:type="dxa"/>
            <w:vAlign w:val="bottom"/>
          </w:tcPr>
          <w:p w14:paraId="2819EDD4" w14:textId="77777777" w:rsidR="00EE4000" w:rsidRDefault="00EE4000">
            <w:pPr>
              <w:rPr>
                <w:sz w:val="20"/>
                <w:szCs w:val="20"/>
              </w:rPr>
            </w:pPr>
            <w:r>
              <w:rPr>
                <w:rFonts w:eastAsia="Times New Roman"/>
                <w:sz w:val="24"/>
                <w:szCs w:val="24"/>
              </w:rPr>
              <w:t>1071-583-6</w:t>
            </w:r>
          </w:p>
        </w:tc>
        <w:tc>
          <w:tcPr>
            <w:tcW w:w="3460" w:type="dxa"/>
            <w:vAlign w:val="bottom"/>
          </w:tcPr>
          <w:p w14:paraId="2819EDD5" w14:textId="77777777" w:rsidR="00EE4000" w:rsidRDefault="00EE4000">
            <w:pPr>
              <w:rPr>
                <w:sz w:val="20"/>
                <w:szCs w:val="20"/>
              </w:rPr>
            </w:pPr>
            <w:r>
              <w:rPr>
                <w:rFonts w:eastAsia="Times New Roman"/>
                <w:sz w:val="24"/>
                <w:szCs w:val="24"/>
              </w:rPr>
              <w:t>Glyphosate</w:t>
            </w:r>
          </w:p>
        </w:tc>
        <w:tc>
          <w:tcPr>
            <w:tcW w:w="860" w:type="dxa"/>
            <w:vAlign w:val="center"/>
          </w:tcPr>
          <w:p w14:paraId="2819EDD7" w14:textId="77777777" w:rsidR="00EE4000" w:rsidRDefault="00EE4000" w:rsidP="00EE4000">
            <w:pPr>
              <w:jc w:val="center"/>
              <w:rPr>
                <w:sz w:val="24"/>
                <w:szCs w:val="24"/>
              </w:rPr>
            </w:pPr>
          </w:p>
        </w:tc>
        <w:tc>
          <w:tcPr>
            <w:tcW w:w="740" w:type="dxa"/>
            <w:vAlign w:val="center"/>
          </w:tcPr>
          <w:p w14:paraId="2819EDD9" w14:textId="77777777" w:rsidR="00EE4000" w:rsidRDefault="00EE4000" w:rsidP="00EE4000">
            <w:pPr>
              <w:jc w:val="center"/>
              <w:rPr>
                <w:sz w:val="24"/>
                <w:szCs w:val="24"/>
              </w:rPr>
            </w:pPr>
          </w:p>
        </w:tc>
        <w:tc>
          <w:tcPr>
            <w:tcW w:w="760" w:type="dxa"/>
            <w:vAlign w:val="center"/>
          </w:tcPr>
          <w:p w14:paraId="2819EDDA" w14:textId="77777777" w:rsidR="00EE4000" w:rsidRDefault="00EE4000" w:rsidP="00EE4000">
            <w:pPr>
              <w:jc w:val="center"/>
              <w:rPr>
                <w:sz w:val="20"/>
                <w:szCs w:val="20"/>
              </w:rPr>
            </w:pPr>
            <w:r>
              <w:rPr>
                <w:rFonts w:eastAsia="Times New Roman"/>
                <w:sz w:val="24"/>
                <w:szCs w:val="24"/>
              </w:rPr>
              <w:t>X</w:t>
            </w:r>
          </w:p>
        </w:tc>
      </w:tr>
      <w:tr w:rsidR="00EE4000" w14:paraId="2819EDE5" w14:textId="77777777" w:rsidTr="00EE4000">
        <w:trPr>
          <w:trHeight w:val="278"/>
        </w:trPr>
        <w:tc>
          <w:tcPr>
            <w:tcW w:w="2020" w:type="dxa"/>
            <w:vAlign w:val="bottom"/>
          </w:tcPr>
          <w:p w14:paraId="2819EDDD" w14:textId="77777777" w:rsidR="00EE4000" w:rsidRDefault="00EE4000">
            <w:pPr>
              <w:rPr>
                <w:sz w:val="20"/>
                <w:szCs w:val="20"/>
              </w:rPr>
            </w:pPr>
            <w:r>
              <w:rPr>
                <w:rFonts w:eastAsia="Times New Roman"/>
                <w:sz w:val="24"/>
                <w:szCs w:val="24"/>
              </w:rPr>
              <w:t>76-44-8</w:t>
            </w:r>
          </w:p>
        </w:tc>
        <w:tc>
          <w:tcPr>
            <w:tcW w:w="3460" w:type="dxa"/>
            <w:vAlign w:val="bottom"/>
          </w:tcPr>
          <w:p w14:paraId="2819EDDE" w14:textId="77777777" w:rsidR="00EE4000" w:rsidRDefault="00EE4000">
            <w:pPr>
              <w:rPr>
                <w:sz w:val="20"/>
                <w:szCs w:val="20"/>
              </w:rPr>
            </w:pPr>
            <w:r>
              <w:rPr>
                <w:rFonts w:eastAsia="Times New Roman"/>
                <w:sz w:val="24"/>
                <w:szCs w:val="24"/>
              </w:rPr>
              <w:t>Heptachlor</w:t>
            </w:r>
          </w:p>
        </w:tc>
        <w:tc>
          <w:tcPr>
            <w:tcW w:w="860" w:type="dxa"/>
            <w:vAlign w:val="center"/>
          </w:tcPr>
          <w:p w14:paraId="2819EDDF"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E1" w14:textId="77777777" w:rsidR="00EE4000" w:rsidRDefault="00EE4000" w:rsidP="00EE4000">
            <w:pPr>
              <w:jc w:val="center"/>
              <w:rPr>
                <w:sz w:val="24"/>
                <w:szCs w:val="24"/>
              </w:rPr>
            </w:pPr>
          </w:p>
        </w:tc>
        <w:tc>
          <w:tcPr>
            <w:tcW w:w="760" w:type="dxa"/>
            <w:vAlign w:val="center"/>
          </w:tcPr>
          <w:p w14:paraId="2819EDE3" w14:textId="77777777" w:rsidR="00EE4000" w:rsidRDefault="00EE4000" w:rsidP="00EE4000">
            <w:pPr>
              <w:jc w:val="center"/>
              <w:rPr>
                <w:sz w:val="24"/>
                <w:szCs w:val="24"/>
              </w:rPr>
            </w:pPr>
          </w:p>
        </w:tc>
      </w:tr>
      <w:tr w:rsidR="00EE4000" w14:paraId="2819EDEE" w14:textId="77777777" w:rsidTr="00EE4000">
        <w:trPr>
          <w:trHeight w:val="281"/>
        </w:trPr>
        <w:tc>
          <w:tcPr>
            <w:tcW w:w="2020" w:type="dxa"/>
            <w:vAlign w:val="bottom"/>
          </w:tcPr>
          <w:p w14:paraId="2819EDE6" w14:textId="77777777" w:rsidR="00EE4000" w:rsidRDefault="00EE4000">
            <w:pPr>
              <w:rPr>
                <w:sz w:val="20"/>
                <w:szCs w:val="20"/>
              </w:rPr>
            </w:pPr>
            <w:r>
              <w:rPr>
                <w:rFonts w:eastAsia="Times New Roman"/>
                <w:sz w:val="24"/>
                <w:szCs w:val="24"/>
              </w:rPr>
              <w:t>1024-57-3</w:t>
            </w:r>
          </w:p>
        </w:tc>
        <w:tc>
          <w:tcPr>
            <w:tcW w:w="3460" w:type="dxa"/>
            <w:vAlign w:val="bottom"/>
          </w:tcPr>
          <w:p w14:paraId="2819EDE7" w14:textId="77777777" w:rsidR="00EE4000" w:rsidRDefault="00EE4000">
            <w:pPr>
              <w:rPr>
                <w:sz w:val="20"/>
                <w:szCs w:val="20"/>
              </w:rPr>
            </w:pPr>
            <w:r>
              <w:rPr>
                <w:rFonts w:eastAsia="Times New Roman"/>
                <w:sz w:val="24"/>
                <w:szCs w:val="24"/>
              </w:rPr>
              <w:t>Heptachlor epoxide</w:t>
            </w:r>
          </w:p>
        </w:tc>
        <w:tc>
          <w:tcPr>
            <w:tcW w:w="860" w:type="dxa"/>
            <w:vAlign w:val="center"/>
          </w:tcPr>
          <w:p w14:paraId="2819EDE8"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EA" w14:textId="77777777" w:rsidR="00EE4000" w:rsidRDefault="00EE4000" w:rsidP="00EE4000">
            <w:pPr>
              <w:jc w:val="center"/>
              <w:rPr>
                <w:sz w:val="24"/>
                <w:szCs w:val="24"/>
              </w:rPr>
            </w:pPr>
          </w:p>
        </w:tc>
        <w:tc>
          <w:tcPr>
            <w:tcW w:w="760" w:type="dxa"/>
            <w:vAlign w:val="center"/>
          </w:tcPr>
          <w:p w14:paraId="2819EDEC" w14:textId="77777777" w:rsidR="00EE4000" w:rsidRDefault="00EE4000" w:rsidP="00EE4000">
            <w:pPr>
              <w:jc w:val="center"/>
              <w:rPr>
                <w:sz w:val="24"/>
                <w:szCs w:val="24"/>
              </w:rPr>
            </w:pPr>
          </w:p>
        </w:tc>
      </w:tr>
      <w:tr w:rsidR="00EE4000" w14:paraId="2819EDF7" w14:textId="77777777" w:rsidTr="00EE4000">
        <w:trPr>
          <w:trHeight w:val="278"/>
        </w:trPr>
        <w:tc>
          <w:tcPr>
            <w:tcW w:w="2020" w:type="dxa"/>
            <w:vAlign w:val="bottom"/>
          </w:tcPr>
          <w:p w14:paraId="2819EDEF" w14:textId="77777777" w:rsidR="00EE4000" w:rsidRDefault="00EE4000">
            <w:pPr>
              <w:rPr>
                <w:sz w:val="20"/>
                <w:szCs w:val="20"/>
              </w:rPr>
            </w:pPr>
            <w:r>
              <w:rPr>
                <w:rFonts w:eastAsia="Times New Roman"/>
                <w:sz w:val="24"/>
                <w:szCs w:val="24"/>
              </w:rPr>
              <w:t>118-74-1</w:t>
            </w:r>
          </w:p>
        </w:tc>
        <w:tc>
          <w:tcPr>
            <w:tcW w:w="3460" w:type="dxa"/>
            <w:vAlign w:val="bottom"/>
          </w:tcPr>
          <w:p w14:paraId="2819EDF0" w14:textId="77777777" w:rsidR="00EE4000" w:rsidRDefault="00EE4000">
            <w:pPr>
              <w:rPr>
                <w:sz w:val="20"/>
                <w:szCs w:val="20"/>
              </w:rPr>
            </w:pPr>
            <w:r>
              <w:rPr>
                <w:rFonts w:eastAsia="Times New Roman"/>
                <w:sz w:val="24"/>
                <w:szCs w:val="24"/>
              </w:rPr>
              <w:t>Hexachlorobenzene</w:t>
            </w:r>
          </w:p>
        </w:tc>
        <w:tc>
          <w:tcPr>
            <w:tcW w:w="860" w:type="dxa"/>
            <w:vAlign w:val="center"/>
          </w:tcPr>
          <w:p w14:paraId="2819EDF1"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F3" w14:textId="77777777" w:rsidR="00EE4000" w:rsidRDefault="00EE4000" w:rsidP="00EE4000">
            <w:pPr>
              <w:jc w:val="center"/>
              <w:rPr>
                <w:sz w:val="24"/>
                <w:szCs w:val="24"/>
              </w:rPr>
            </w:pPr>
          </w:p>
        </w:tc>
        <w:tc>
          <w:tcPr>
            <w:tcW w:w="760" w:type="dxa"/>
            <w:vAlign w:val="center"/>
          </w:tcPr>
          <w:p w14:paraId="2819EDF5" w14:textId="77777777" w:rsidR="00EE4000" w:rsidRDefault="00EE4000" w:rsidP="00EE4000">
            <w:pPr>
              <w:jc w:val="center"/>
              <w:rPr>
                <w:sz w:val="24"/>
                <w:szCs w:val="24"/>
              </w:rPr>
            </w:pPr>
          </w:p>
        </w:tc>
      </w:tr>
      <w:tr w:rsidR="00EE4000" w14:paraId="2819EDFF" w14:textId="77777777" w:rsidTr="00EE4000">
        <w:trPr>
          <w:trHeight w:val="281"/>
        </w:trPr>
        <w:tc>
          <w:tcPr>
            <w:tcW w:w="2020" w:type="dxa"/>
            <w:vAlign w:val="bottom"/>
          </w:tcPr>
          <w:p w14:paraId="2819EDF8" w14:textId="77777777" w:rsidR="00EE4000" w:rsidRDefault="00EE4000">
            <w:pPr>
              <w:rPr>
                <w:sz w:val="20"/>
                <w:szCs w:val="20"/>
              </w:rPr>
            </w:pPr>
            <w:r>
              <w:rPr>
                <w:rFonts w:eastAsia="Times New Roman"/>
                <w:sz w:val="24"/>
                <w:szCs w:val="24"/>
              </w:rPr>
              <w:t>77-47-3</w:t>
            </w:r>
          </w:p>
        </w:tc>
        <w:tc>
          <w:tcPr>
            <w:tcW w:w="3460" w:type="dxa"/>
            <w:vAlign w:val="bottom"/>
          </w:tcPr>
          <w:p w14:paraId="2819EDF9" w14:textId="77777777" w:rsidR="00EE4000" w:rsidRDefault="00EE4000">
            <w:pPr>
              <w:rPr>
                <w:sz w:val="20"/>
                <w:szCs w:val="20"/>
              </w:rPr>
            </w:pPr>
            <w:r>
              <w:rPr>
                <w:rFonts w:eastAsia="Times New Roman"/>
                <w:sz w:val="24"/>
                <w:szCs w:val="24"/>
              </w:rPr>
              <w:t>Hexachlorocyclopentadiene</w:t>
            </w:r>
          </w:p>
        </w:tc>
        <w:tc>
          <w:tcPr>
            <w:tcW w:w="860" w:type="dxa"/>
            <w:vAlign w:val="center"/>
          </w:tcPr>
          <w:p w14:paraId="2819EDFA"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DFB"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DFD" w14:textId="77777777" w:rsidR="00EE4000" w:rsidRDefault="00EE4000" w:rsidP="00EE4000">
            <w:pPr>
              <w:jc w:val="center"/>
              <w:rPr>
                <w:sz w:val="24"/>
                <w:szCs w:val="24"/>
              </w:rPr>
            </w:pPr>
          </w:p>
        </w:tc>
      </w:tr>
      <w:tr w:rsidR="00EE4000" w14:paraId="2819EE08" w14:textId="77777777" w:rsidTr="00EE4000">
        <w:trPr>
          <w:trHeight w:val="278"/>
        </w:trPr>
        <w:tc>
          <w:tcPr>
            <w:tcW w:w="2020" w:type="dxa"/>
            <w:vAlign w:val="bottom"/>
          </w:tcPr>
          <w:p w14:paraId="2819EE00" w14:textId="77777777" w:rsidR="00EE4000" w:rsidRDefault="00EE4000">
            <w:pPr>
              <w:rPr>
                <w:sz w:val="20"/>
                <w:szCs w:val="20"/>
              </w:rPr>
            </w:pPr>
            <w:r>
              <w:rPr>
                <w:rFonts w:eastAsia="Times New Roman"/>
                <w:sz w:val="24"/>
                <w:szCs w:val="24"/>
              </w:rPr>
              <w:t>58-89-9</w:t>
            </w:r>
          </w:p>
        </w:tc>
        <w:tc>
          <w:tcPr>
            <w:tcW w:w="3460" w:type="dxa"/>
            <w:vAlign w:val="bottom"/>
          </w:tcPr>
          <w:p w14:paraId="2819EE01" w14:textId="77777777" w:rsidR="00EE4000" w:rsidRDefault="00EE4000">
            <w:pPr>
              <w:rPr>
                <w:sz w:val="20"/>
                <w:szCs w:val="20"/>
              </w:rPr>
            </w:pPr>
            <w:r>
              <w:rPr>
                <w:rFonts w:eastAsia="Times New Roman"/>
                <w:sz w:val="24"/>
                <w:szCs w:val="24"/>
              </w:rPr>
              <w:t>Lindane</w:t>
            </w:r>
          </w:p>
        </w:tc>
        <w:tc>
          <w:tcPr>
            <w:tcW w:w="860" w:type="dxa"/>
            <w:vAlign w:val="center"/>
          </w:tcPr>
          <w:p w14:paraId="2819EE02"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E04" w14:textId="77777777" w:rsidR="00EE4000" w:rsidRDefault="00EE4000" w:rsidP="00EE4000">
            <w:pPr>
              <w:jc w:val="center"/>
              <w:rPr>
                <w:sz w:val="24"/>
                <w:szCs w:val="24"/>
              </w:rPr>
            </w:pPr>
          </w:p>
        </w:tc>
        <w:tc>
          <w:tcPr>
            <w:tcW w:w="760" w:type="dxa"/>
            <w:vAlign w:val="center"/>
          </w:tcPr>
          <w:p w14:paraId="2819EE06" w14:textId="77777777" w:rsidR="00EE4000" w:rsidRDefault="00EE4000" w:rsidP="00EE4000">
            <w:pPr>
              <w:jc w:val="center"/>
              <w:rPr>
                <w:sz w:val="24"/>
                <w:szCs w:val="24"/>
              </w:rPr>
            </w:pPr>
          </w:p>
        </w:tc>
      </w:tr>
      <w:tr w:rsidR="00EE4000" w14:paraId="2819EE11" w14:textId="77777777" w:rsidTr="00EE4000">
        <w:trPr>
          <w:trHeight w:val="281"/>
        </w:trPr>
        <w:tc>
          <w:tcPr>
            <w:tcW w:w="2020" w:type="dxa"/>
            <w:vAlign w:val="bottom"/>
          </w:tcPr>
          <w:p w14:paraId="2819EE09" w14:textId="77777777" w:rsidR="00EE4000" w:rsidRDefault="00EE4000">
            <w:pPr>
              <w:rPr>
                <w:sz w:val="20"/>
                <w:szCs w:val="20"/>
              </w:rPr>
            </w:pPr>
            <w:r>
              <w:rPr>
                <w:rFonts w:eastAsia="Times New Roman"/>
                <w:sz w:val="24"/>
                <w:szCs w:val="24"/>
              </w:rPr>
              <w:t>72-43-5</w:t>
            </w:r>
          </w:p>
        </w:tc>
        <w:tc>
          <w:tcPr>
            <w:tcW w:w="3460" w:type="dxa"/>
            <w:vAlign w:val="bottom"/>
          </w:tcPr>
          <w:p w14:paraId="2819EE0A" w14:textId="77777777" w:rsidR="00EE4000" w:rsidRDefault="00EE4000">
            <w:pPr>
              <w:rPr>
                <w:sz w:val="20"/>
                <w:szCs w:val="20"/>
              </w:rPr>
            </w:pPr>
            <w:r>
              <w:rPr>
                <w:rFonts w:eastAsia="Times New Roman"/>
                <w:sz w:val="24"/>
                <w:szCs w:val="24"/>
              </w:rPr>
              <w:t>Methoxychlor</w:t>
            </w:r>
          </w:p>
        </w:tc>
        <w:tc>
          <w:tcPr>
            <w:tcW w:w="860" w:type="dxa"/>
            <w:vAlign w:val="center"/>
          </w:tcPr>
          <w:p w14:paraId="2819EE0B"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E0D" w14:textId="77777777" w:rsidR="00EE4000" w:rsidRDefault="00EE4000" w:rsidP="00EE4000">
            <w:pPr>
              <w:jc w:val="center"/>
              <w:rPr>
                <w:sz w:val="24"/>
                <w:szCs w:val="24"/>
              </w:rPr>
            </w:pPr>
          </w:p>
        </w:tc>
        <w:tc>
          <w:tcPr>
            <w:tcW w:w="760" w:type="dxa"/>
            <w:vAlign w:val="center"/>
          </w:tcPr>
          <w:p w14:paraId="2819EE0F" w14:textId="77777777" w:rsidR="00EE4000" w:rsidRDefault="00EE4000" w:rsidP="00EE4000">
            <w:pPr>
              <w:jc w:val="center"/>
              <w:rPr>
                <w:sz w:val="24"/>
                <w:szCs w:val="24"/>
              </w:rPr>
            </w:pPr>
          </w:p>
        </w:tc>
      </w:tr>
      <w:tr w:rsidR="00EE4000" w14:paraId="2819EE1A" w14:textId="77777777" w:rsidTr="00EE4000">
        <w:trPr>
          <w:trHeight w:val="278"/>
        </w:trPr>
        <w:tc>
          <w:tcPr>
            <w:tcW w:w="2020" w:type="dxa"/>
            <w:vAlign w:val="bottom"/>
          </w:tcPr>
          <w:p w14:paraId="2819EE12" w14:textId="77777777" w:rsidR="00EE4000" w:rsidRDefault="00EE4000">
            <w:pPr>
              <w:rPr>
                <w:sz w:val="20"/>
                <w:szCs w:val="20"/>
              </w:rPr>
            </w:pPr>
            <w:r>
              <w:rPr>
                <w:rFonts w:eastAsia="Times New Roman"/>
                <w:sz w:val="24"/>
                <w:szCs w:val="24"/>
              </w:rPr>
              <w:t>1336-36-3</w:t>
            </w:r>
          </w:p>
        </w:tc>
        <w:tc>
          <w:tcPr>
            <w:tcW w:w="3460" w:type="dxa"/>
            <w:vAlign w:val="bottom"/>
          </w:tcPr>
          <w:p w14:paraId="2819EE13" w14:textId="164E0D8D" w:rsidR="00EE4000" w:rsidRDefault="00EE4000">
            <w:pPr>
              <w:rPr>
                <w:sz w:val="20"/>
                <w:szCs w:val="20"/>
              </w:rPr>
            </w:pPr>
            <w:r>
              <w:rPr>
                <w:rFonts w:eastAsia="Times New Roman"/>
                <w:sz w:val="24"/>
                <w:szCs w:val="24"/>
              </w:rPr>
              <w:t>Polychlorinated biphenyls (PCB)</w:t>
            </w:r>
          </w:p>
        </w:tc>
        <w:tc>
          <w:tcPr>
            <w:tcW w:w="860" w:type="dxa"/>
            <w:vAlign w:val="center"/>
          </w:tcPr>
          <w:p w14:paraId="2819EE15" w14:textId="77777777" w:rsidR="00EE4000" w:rsidRDefault="00EE4000" w:rsidP="00EE4000">
            <w:pPr>
              <w:jc w:val="center"/>
              <w:rPr>
                <w:sz w:val="24"/>
                <w:szCs w:val="24"/>
              </w:rPr>
            </w:pPr>
          </w:p>
        </w:tc>
        <w:tc>
          <w:tcPr>
            <w:tcW w:w="740" w:type="dxa"/>
            <w:vAlign w:val="center"/>
          </w:tcPr>
          <w:p w14:paraId="2819EE16" w14:textId="77777777" w:rsidR="00EE4000" w:rsidRDefault="00EE4000" w:rsidP="00EE4000">
            <w:pPr>
              <w:jc w:val="center"/>
              <w:rPr>
                <w:sz w:val="20"/>
                <w:szCs w:val="20"/>
              </w:rPr>
            </w:pPr>
            <w:r>
              <w:rPr>
                <w:rFonts w:eastAsia="Times New Roman"/>
                <w:sz w:val="24"/>
                <w:szCs w:val="24"/>
              </w:rPr>
              <w:t>X</w:t>
            </w:r>
          </w:p>
        </w:tc>
        <w:tc>
          <w:tcPr>
            <w:tcW w:w="760" w:type="dxa"/>
            <w:vAlign w:val="center"/>
          </w:tcPr>
          <w:p w14:paraId="2819EE18" w14:textId="77777777" w:rsidR="00EE4000" w:rsidRDefault="00EE4000" w:rsidP="00EE4000">
            <w:pPr>
              <w:jc w:val="center"/>
              <w:rPr>
                <w:sz w:val="24"/>
                <w:szCs w:val="24"/>
              </w:rPr>
            </w:pPr>
          </w:p>
        </w:tc>
      </w:tr>
      <w:tr w:rsidR="00EE4000" w14:paraId="2819EE23" w14:textId="77777777" w:rsidTr="00EE4000">
        <w:trPr>
          <w:trHeight w:val="312"/>
        </w:trPr>
        <w:tc>
          <w:tcPr>
            <w:tcW w:w="2020" w:type="dxa"/>
            <w:vAlign w:val="bottom"/>
          </w:tcPr>
          <w:p w14:paraId="2819EE1B" w14:textId="77777777" w:rsidR="00EE4000" w:rsidRDefault="00EE4000">
            <w:pPr>
              <w:rPr>
                <w:sz w:val="20"/>
                <w:szCs w:val="20"/>
              </w:rPr>
            </w:pPr>
            <w:r>
              <w:rPr>
                <w:rFonts w:eastAsia="Times New Roman"/>
                <w:sz w:val="24"/>
                <w:szCs w:val="24"/>
              </w:rPr>
              <w:t>23135-22-0</w:t>
            </w:r>
          </w:p>
        </w:tc>
        <w:tc>
          <w:tcPr>
            <w:tcW w:w="3460" w:type="dxa"/>
            <w:vAlign w:val="bottom"/>
          </w:tcPr>
          <w:p w14:paraId="2819EE1C" w14:textId="77777777" w:rsidR="00EE4000" w:rsidRDefault="00EE4000">
            <w:pPr>
              <w:rPr>
                <w:sz w:val="20"/>
                <w:szCs w:val="20"/>
              </w:rPr>
            </w:pPr>
            <w:r>
              <w:rPr>
                <w:rFonts w:eastAsia="Times New Roman"/>
                <w:sz w:val="24"/>
                <w:szCs w:val="24"/>
              </w:rPr>
              <w:t>Oxamyl (Vydate)</w:t>
            </w:r>
          </w:p>
        </w:tc>
        <w:tc>
          <w:tcPr>
            <w:tcW w:w="860" w:type="dxa"/>
            <w:vAlign w:val="center"/>
          </w:tcPr>
          <w:p w14:paraId="2819EE1D" w14:textId="77777777" w:rsidR="00EE4000" w:rsidRDefault="00EE4000" w:rsidP="00EE4000">
            <w:pPr>
              <w:jc w:val="center"/>
              <w:rPr>
                <w:sz w:val="20"/>
                <w:szCs w:val="20"/>
              </w:rPr>
            </w:pPr>
            <w:r>
              <w:rPr>
                <w:rFonts w:eastAsia="Times New Roman"/>
                <w:sz w:val="24"/>
                <w:szCs w:val="24"/>
              </w:rPr>
              <w:t>X</w:t>
            </w:r>
          </w:p>
        </w:tc>
        <w:tc>
          <w:tcPr>
            <w:tcW w:w="740" w:type="dxa"/>
            <w:vAlign w:val="center"/>
          </w:tcPr>
          <w:p w14:paraId="2819EE1F" w14:textId="77777777" w:rsidR="00EE4000" w:rsidRDefault="00EE4000" w:rsidP="00EE4000">
            <w:pPr>
              <w:jc w:val="center"/>
              <w:rPr>
                <w:sz w:val="24"/>
                <w:szCs w:val="24"/>
              </w:rPr>
            </w:pPr>
          </w:p>
        </w:tc>
        <w:tc>
          <w:tcPr>
            <w:tcW w:w="760" w:type="dxa"/>
            <w:vAlign w:val="center"/>
          </w:tcPr>
          <w:p w14:paraId="2819EE21" w14:textId="77777777" w:rsidR="00EE4000" w:rsidRDefault="00EE4000" w:rsidP="00EE4000">
            <w:pPr>
              <w:jc w:val="center"/>
              <w:rPr>
                <w:sz w:val="24"/>
                <w:szCs w:val="24"/>
              </w:rPr>
            </w:pPr>
          </w:p>
        </w:tc>
      </w:tr>
    </w:tbl>
    <w:p w14:paraId="2819EE24" w14:textId="77777777" w:rsidR="004647B9" w:rsidRDefault="004647B9">
      <w:pPr>
        <w:sectPr w:rsidR="004647B9" w:rsidSect="00EF630C">
          <w:pgSz w:w="12240" w:h="20180"/>
          <w:pgMar w:top="708" w:right="1440" w:bottom="1440" w:left="600" w:header="0" w:footer="0" w:gutter="0"/>
          <w:cols w:space="720" w:equalWidth="0">
            <w:col w:w="10200"/>
          </w:cols>
        </w:sectPr>
      </w:pPr>
    </w:p>
    <w:p w14:paraId="2819EE25" w14:textId="77777777" w:rsidR="004647B9" w:rsidRDefault="00E2436F">
      <w:pPr>
        <w:tabs>
          <w:tab w:val="left" w:pos="160"/>
        </w:tabs>
        <w:jc w:val="center"/>
        <w:rPr>
          <w:sz w:val="20"/>
          <w:szCs w:val="20"/>
        </w:rPr>
      </w:pPr>
      <w:bookmarkStart w:id="103" w:name="page105"/>
      <w:bookmarkEnd w:id="10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E26" w14:textId="77777777" w:rsidR="004647B9" w:rsidRDefault="004647B9" w:rsidP="00465DBF">
      <w:pPr>
        <w:rPr>
          <w:sz w:val="20"/>
          <w:szCs w:val="20"/>
        </w:rPr>
      </w:pPr>
    </w:p>
    <w:p w14:paraId="2819EE27" w14:textId="77777777" w:rsidR="004647B9" w:rsidRDefault="004647B9" w:rsidP="00465DBF">
      <w:pPr>
        <w:rPr>
          <w:sz w:val="20"/>
          <w:szCs w:val="20"/>
        </w:rPr>
      </w:pPr>
    </w:p>
    <w:p w14:paraId="2819EE28" w14:textId="77777777" w:rsidR="004647B9" w:rsidRDefault="00E2436F" w:rsidP="00465DBF">
      <w:pPr>
        <w:tabs>
          <w:tab w:val="left" w:pos="940"/>
        </w:tabs>
        <w:rPr>
          <w:sz w:val="20"/>
          <w:szCs w:val="20"/>
        </w:rPr>
      </w:pPr>
      <w:r>
        <w:rPr>
          <w:rFonts w:eastAsia="Times New Roman"/>
          <w:sz w:val="24"/>
          <w:szCs w:val="24"/>
        </w:rPr>
        <w:t>22.07A:</w:t>
      </w:r>
      <w:r>
        <w:rPr>
          <w:sz w:val="20"/>
          <w:szCs w:val="20"/>
        </w:rPr>
        <w:tab/>
      </w:r>
      <w:r>
        <w:rPr>
          <w:rFonts w:eastAsia="Times New Roman"/>
          <w:sz w:val="23"/>
          <w:szCs w:val="23"/>
        </w:rPr>
        <w:t>continued</w:t>
      </w:r>
    </w:p>
    <w:p w14:paraId="2819EE29" w14:textId="77777777" w:rsidR="004647B9" w:rsidRDefault="004647B9" w:rsidP="00465DBF">
      <w:pPr>
        <w:rPr>
          <w:sz w:val="20"/>
          <w:szCs w:val="20"/>
        </w:rPr>
      </w:pPr>
    </w:p>
    <w:p w14:paraId="2819EE2A" w14:textId="77777777" w:rsidR="004647B9" w:rsidRDefault="00E2436F">
      <w:pPr>
        <w:ind w:right="-59"/>
        <w:jc w:val="center"/>
        <w:rPr>
          <w:sz w:val="20"/>
          <w:szCs w:val="20"/>
        </w:rPr>
      </w:pPr>
      <w:r>
        <w:rPr>
          <w:rFonts w:eastAsia="Times New Roman"/>
          <w:sz w:val="24"/>
          <w:szCs w:val="24"/>
        </w:rPr>
        <w:t>BAT FOR ORGANIC CONTAMINANTS LISTED IN 310 CMR 22.07A(1)</w:t>
      </w:r>
    </w:p>
    <w:tbl>
      <w:tblPr>
        <w:tblW w:w="0" w:type="auto"/>
        <w:tblInd w:w="1440" w:type="dxa"/>
        <w:tblLayout w:type="fixed"/>
        <w:tblCellMar>
          <w:left w:w="0" w:type="dxa"/>
          <w:right w:w="0" w:type="dxa"/>
        </w:tblCellMar>
        <w:tblLook w:val="04A0" w:firstRow="1" w:lastRow="0" w:firstColumn="1" w:lastColumn="0" w:noHBand="0" w:noVBand="1"/>
      </w:tblPr>
      <w:tblGrid>
        <w:gridCol w:w="2020"/>
        <w:gridCol w:w="3020"/>
        <w:gridCol w:w="1300"/>
        <w:gridCol w:w="750"/>
        <w:gridCol w:w="749"/>
      </w:tblGrid>
      <w:tr w:rsidR="00E643FB" w14:paraId="2819EE30" w14:textId="77777777" w:rsidTr="00E33030">
        <w:trPr>
          <w:trHeight w:val="276"/>
        </w:trPr>
        <w:tc>
          <w:tcPr>
            <w:tcW w:w="2020" w:type="dxa"/>
            <w:vAlign w:val="bottom"/>
          </w:tcPr>
          <w:p w14:paraId="2819EE2C" w14:textId="77777777" w:rsidR="00E643FB" w:rsidRPr="00E643FB" w:rsidRDefault="00E643FB">
            <w:pPr>
              <w:rPr>
                <w:sz w:val="20"/>
                <w:szCs w:val="20"/>
                <w:u w:val="single"/>
              </w:rPr>
            </w:pPr>
            <w:r w:rsidRPr="00E643FB">
              <w:rPr>
                <w:rFonts w:eastAsia="Times New Roman"/>
                <w:sz w:val="24"/>
                <w:szCs w:val="24"/>
                <w:u w:val="single"/>
              </w:rPr>
              <w:t>CAS #</w:t>
            </w:r>
          </w:p>
        </w:tc>
        <w:tc>
          <w:tcPr>
            <w:tcW w:w="3020" w:type="dxa"/>
            <w:vAlign w:val="bottom"/>
          </w:tcPr>
          <w:p w14:paraId="2819EE2D" w14:textId="77777777" w:rsidR="00E643FB" w:rsidRPr="00E643FB" w:rsidRDefault="00E643FB">
            <w:pPr>
              <w:rPr>
                <w:sz w:val="20"/>
                <w:szCs w:val="20"/>
                <w:u w:val="single"/>
              </w:rPr>
            </w:pPr>
            <w:r w:rsidRPr="00E643FB">
              <w:rPr>
                <w:rFonts w:eastAsia="Times New Roman"/>
                <w:sz w:val="24"/>
                <w:szCs w:val="24"/>
                <w:u w:val="single"/>
              </w:rPr>
              <w:t>Chemical</w:t>
            </w:r>
          </w:p>
        </w:tc>
        <w:tc>
          <w:tcPr>
            <w:tcW w:w="1300" w:type="dxa"/>
            <w:vAlign w:val="center"/>
          </w:tcPr>
          <w:p w14:paraId="2819EE2E" w14:textId="77777777" w:rsidR="00E643FB" w:rsidRPr="00E643FB" w:rsidRDefault="00E643FB" w:rsidP="00E33030">
            <w:pPr>
              <w:jc w:val="center"/>
              <w:rPr>
                <w:sz w:val="20"/>
                <w:szCs w:val="20"/>
                <w:u w:val="single"/>
              </w:rPr>
            </w:pPr>
            <w:r w:rsidRPr="00E643FB">
              <w:rPr>
                <w:rFonts w:eastAsia="Times New Roman"/>
                <w:w w:val="98"/>
                <w:sz w:val="24"/>
                <w:szCs w:val="24"/>
                <w:u w:val="single"/>
              </w:rPr>
              <w:t>GAC</w:t>
            </w:r>
          </w:p>
        </w:tc>
        <w:tc>
          <w:tcPr>
            <w:tcW w:w="750" w:type="dxa"/>
            <w:vAlign w:val="center"/>
          </w:tcPr>
          <w:p w14:paraId="3BF4223C" w14:textId="40054C85" w:rsidR="00E643FB" w:rsidRPr="00E643FB" w:rsidRDefault="00E643FB" w:rsidP="00E33030">
            <w:pPr>
              <w:jc w:val="center"/>
              <w:rPr>
                <w:sz w:val="20"/>
                <w:szCs w:val="20"/>
                <w:u w:val="single"/>
              </w:rPr>
            </w:pPr>
            <w:r w:rsidRPr="00E643FB">
              <w:rPr>
                <w:rFonts w:eastAsia="Times New Roman"/>
                <w:w w:val="97"/>
                <w:sz w:val="24"/>
                <w:szCs w:val="24"/>
                <w:u w:val="single"/>
              </w:rPr>
              <w:t>PT</w:t>
            </w:r>
            <w:r>
              <w:rPr>
                <w:rFonts w:eastAsia="Times New Roman"/>
                <w:w w:val="97"/>
                <w:sz w:val="24"/>
                <w:szCs w:val="24"/>
                <w:u w:val="single"/>
              </w:rPr>
              <w:t>A</w:t>
            </w:r>
          </w:p>
        </w:tc>
        <w:tc>
          <w:tcPr>
            <w:tcW w:w="749" w:type="dxa"/>
            <w:vAlign w:val="center"/>
          </w:tcPr>
          <w:p w14:paraId="2819EE2F" w14:textId="58DD6B4F" w:rsidR="00E643FB" w:rsidRPr="00E643FB" w:rsidRDefault="00E643FB" w:rsidP="00E33030">
            <w:pPr>
              <w:jc w:val="center"/>
              <w:rPr>
                <w:sz w:val="24"/>
                <w:szCs w:val="24"/>
                <w:u w:val="single"/>
              </w:rPr>
            </w:pPr>
            <w:r>
              <w:rPr>
                <w:sz w:val="24"/>
                <w:szCs w:val="24"/>
                <w:u w:val="single"/>
              </w:rPr>
              <w:t>OX</w:t>
            </w:r>
          </w:p>
        </w:tc>
      </w:tr>
      <w:tr w:rsidR="00E643FB" w14:paraId="2819EE43" w14:textId="77777777" w:rsidTr="00E33030">
        <w:trPr>
          <w:trHeight w:val="545"/>
        </w:trPr>
        <w:tc>
          <w:tcPr>
            <w:tcW w:w="2020" w:type="dxa"/>
            <w:vAlign w:val="bottom"/>
          </w:tcPr>
          <w:p w14:paraId="2819EE3C" w14:textId="77777777" w:rsidR="00E643FB" w:rsidRDefault="00E643FB">
            <w:pPr>
              <w:rPr>
                <w:sz w:val="20"/>
                <w:szCs w:val="20"/>
              </w:rPr>
            </w:pPr>
            <w:r>
              <w:rPr>
                <w:rFonts w:eastAsia="Times New Roman"/>
                <w:sz w:val="24"/>
                <w:szCs w:val="24"/>
              </w:rPr>
              <w:t>87-86-5</w:t>
            </w:r>
          </w:p>
        </w:tc>
        <w:tc>
          <w:tcPr>
            <w:tcW w:w="3020" w:type="dxa"/>
            <w:vAlign w:val="bottom"/>
          </w:tcPr>
          <w:p w14:paraId="2819EE3D" w14:textId="77777777" w:rsidR="00E643FB" w:rsidRDefault="00E643FB">
            <w:pPr>
              <w:rPr>
                <w:sz w:val="20"/>
                <w:szCs w:val="20"/>
              </w:rPr>
            </w:pPr>
            <w:r>
              <w:rPr>
                <w:rFonts w:eastAsia="Times New Roman"/>
                <w:sz w:val="24"/>
                <w:szCs w:val="24"/>
              </w:rPr>
              <w:t>Pentachlorophenol</w:t>
            </w:r>
          </w:p>
        </w:tc>
        <w:tc>
          <w:tcPr>
            <w:tcW w:w="1300" w:type="dxa"/>
            <w:vAlign w:val="center"/>
          </w:tcPr>
          <w:p w14:paraId="2819EE3E" w14:textId="77777777" w:rsidR="00E643FB" w:rsidRDefault="00E643FB" w:rsidP="00E33030">
            <w:pPr>
              <w:jc w:val="center"/>
              <w:rPr>
                <w:sz w:val="20"/>
                <w:szCs w:val="20"/>
              </w:rPr>
            </w:pPr>
            <w:r>
              <w:rPr>
                <w:rFonts w:eastAsia="Times New Roman"/>
                <w:sz w:val="24"/>
                <w:szCs w:val="24"/>
              </w:rPr>
              <w:t>X</w:t>
            </w:r>
          </w:p>
        </w:tc>
        <w:tc>
          <w:tcPr>
            <w:tcW w:w="750" w:type="dxa"/>
            <w:vAlign w:val="center"/>
          </w:tcPr>
          <w:p w14:paraId="2819EE40" w14:textId="77777777" w:rsidR="00E643FB" w:rsidRDefault="00E643FB" w:rsidP="00E33030">
            <w:pPr>
              <w:jc w:val="center"/>
              <w:rPr>
                <w:sz w:val="24"/>
                <w:szCs w:val="24"/>
              </w:rPr>
            </w:pPr>
          </w:p>
        </w:tc>
        <w:tc>
          <w:tcPr>
            <w:tcW w:w="749" w:type="dxa"/>
            <w:vAlign w:val="center"/>
          </w:tcPr>
          <w:p w14:paraId="2819EE42" w14:textId="77777777" w:rsidR="00E643FB" w:rsidRDefault="00E643FB" w:rsidP="00E33030">
            <w:pPr>
              <w:jc w:val="center"/>
              <w:rPr>
                <w:sz w:val="24"/>
                <w:szCs w:val="24"/>
              </w:rPr>
            </w:pPr>
          </w:p>
        </w:tc>
      </w:tr>
      <w:tr w:rsidR="00E643FB" w14:paraId="2819EE4B" w14:textId="77777777" w:rsidTr="00E33030">
        <w:trPr>
          <w:trHeight w:val="278"/>
        </w:trPr>
        <w:tc>
          <w:tcPr>
            <w:tcW w:w="2020" w:type="dxa"/>
            <w:vAlign w:val="bottom"/>
          </w:tcPr>
          <w:p w14:paraId="2819EE44" w14:textId="77777777" w:rsidR="00E643FB" w:rsidRDefault="00E643FB">
            <w:pPr>
              <w:rPr>
                <w:sz w:val="20"/>
                <w:szCs w:val="20"/>
              </w:rPr>
            </w:pPr>
            <w:r>
              <w:rPr>
                <w:rFonts w:eastAsia="Times New Roman"/>
                <w:sz w:val="24"/>
                <w:szCs w:val="24"/>
              </w:rPr>
              <w:t>1918-02-1</w:t>
            </w:r>
          </w:p>
        </w:tc>
        <w:tc>
          <w:tcPr>
            <w:tcW w:w="3020" w:type="dxa"/>
            <w:vAlign w:val="bottom"/>
          </w:tcPr>
          <w:p w14:paraId="2819EE45" w14:textId="77777777" w:rsidR="00E643FB" w:rsidRDefault="00E643FB">
            <w:pPr>
              <w:rPr>
                <w:sz w:val="20"/>
                <w:szCs w:val="20"/>
              </w:rPr>
            </w:pPr>
            <w:r>
              <w:rPr>
                <w:rFonts w:eastAsia="Times New Roman"/>
                <w:sz w:val="24"/>
                <w:szCs w:val="24"/>
              </w:rPr>
              <w:t>Picloram</w:t>
            </w:r>
          </w:p>
        </w:tc>
        <w:tc>
          <w:tcPr>
            <w:tcW w:w="1300" w:type="dxa"/>
            <w:vAlign w:val="center"/>
          </w:tcPr>
          <w:p w14:paraId="2819EE46" w14:textId="77777777" w:rsidR="00E643FB" w:rsidRDefault="00E643FB" w:rsidP="00E33030">
            <w:pPr>
              <w:jc w:val="center"/>
              <w:rPr>
                <w:sz w:val="20"/>
                <w:szCs w:val="20"/>
              </w:rPr>
            </w:pPr>
            <w:r>
              <w:rPr>
                <w:rFonts w:eastAsia="Times New Roman"/>
                <w:sz w:val="24"/>
                <w:szCs w:val="24"/>
              </w:rPr>
              <w:t>X</w:t>
            </w:r>
          </w:p>
        </w:tc>
        <w:tc>
          <w:tcPr>
            <w:tcW w:w="750" w:type="dxa"/>
            <w:vAlign w:val="center"/>
          </w:tcPr>
          <w:p w14:paraId="2819EE48" w14:textId="77777777" w:rsidR="00E643FB" w:rsidRDefault="00E643FB" w:rsidP="00E33030">
            <w:pPr>
              <w:jc w:val="center"/>
              <w:rPr>
                <w:sz w:val="24"/>
                <w:szCs w:val="24"/>
              </w:rPr>
            </w:pPr>
          </w:p>
        </w:tc>
        <w:tc>
          <w:tcPr>
            <w:tcW w:w="749" w:type="dxa"/>
            <w:vAlign w:val="center"/>
          </w:tcPr>
          <w:p w14:paraId="2819EE4A" w14:textId="77777777" w:rsidR="00E643FB" w:rsidRDefault="00E643FB" w:rsidP="00E33030">
            <w:pPr>
              <w:jc w:val="center"/>
              <w:rPr>
                <w:sz w:val="24"/>
                <w:szCs w:val="24"/>
              </w:rPr>
            </w:pPr>
          </w:p>
        </w:tc>
      </w:tr>
      <w:tr w:rsidR="00E643FB" w14:paraId="2819EE53" w14:textId="77777777" w:rsidTr="00E33030">
        <w:trPr>
          <w:trHeight w:val="281"/>
        </w:trPr>
        <w:tc>
          <w:tcPr>
            <w:tcW w:w="2020" w:type="dxa"/>
            <w:vAlign w:val="bottom"/>
          </w:tcPr>
          <w:p w14:paraId="2819EE4C" w14:textId="77777777" w:rsidR="00E643FB" w:rsidRDefault="00E643FB">
            <w:pPr>
              <w:rPr>
                <w:sz w:val="20"/>
                <w:szCs w:val="20"/>
              </w:rPr>
            </w:pPr>
            <w:r>
              <w:rPr>
                <w:rFonts w:eastAsia="Times New Roman"/>
                <w:sz w:val="24"/>
                <w:szCs w:val="24"/>
              </w:rPr>
              <w:t>93-72-1</w:t>
            </w:r>
          </w:p>
        </w:tc>
        <w:tc>
          <w:tcPr>
            <w:tcW w:w="3020" w:type="dxa"/>
            <w:vAlign w:val="bottom"/>
          </w:tcPr>
          <w:p w14:paraId="2819EE4D" w14:textId="77777777" w:rsidR="00E643FB" w:rsidRDefault="00E643FB">
            <w:pPr>
              <w:rPr>
                <w:sz w:val="20"/>
                <w:szCs w:val="20"/>
              </w:rPr>
            </w:pPr>
            <w:r>
              <w:rPr>
                <w:rFonts w:eastAsia="Times New Roman"/>
                <w:sz w:val="24"/>
                <w:szCs w:val="24"/>
              </w:rPr>
              <w:t>2,4,5-TP (Silvex)</w:t>
            </w:r>
          </w:p>
        </w:tc>
        <w:tc>
          <w:tcPr>
            <w:tcW w:w="1300" w:type="dxa"/>
            <w:vAlign w:val="center"/>
          </w:tcPr>
          <w:p w14:paraId="2819EE4E" w14:textId="77777777" w:rsidR="00E643FB" w:rsidRDefault="00E643FB" w:rsidP="00E33030">
            <w:pPr>
              <w:jc w:val="center"/>
              <w:rPr>
                <w:sz w:val="20"/>
                <w:szCs w:val="20"/>
              </w:rPr>
            </w:pPr>
            <w:r>
              <w:rPr>
                <w:rFonts w:eastAsia="Times New Roman"/>
                <w:sz w:val="24"/>
                <w:szCs w:val="24"/>
              </w:rPr>
              <w:t>X</w:t>
            </w:r>
          </w:p>
        </w:tc>
        <w:tc>
          <w:tcPr>
            <w:tcW w:w="750" w:type="dxa"/>
            <w:vAlign w:val="center"/>
          </w:tcPr>
          <w:p w14:paraId="2819EE50" w14:textId="77777777" w:rsidR="00E643FB" w:rsidRDefault="00E643FB" w:rsidP="00E33030">
            <w:pPr>
              <w:jc w:val="center"/>
              <w:rPr>
                <w:sz w:val="24"/>
                <w:szCs w:val="24"/>
              </w:rPr>
            </w:pPr>
          </w:p>
        </w:tc>
        <w:tc>
          <w:tcPr>
            <w:tcW w:w="749" w:type="dxa"/>
            <w:vAlign w:val="center"/>
          </w:tcPr>
          <w:p w14:paraId="2819EE52" w14:textId="77777777" w:rsidR="00E643FB" w:rsidRDefault="00E643FB" w:rsidP="00E33030">
            <w:pPr>
              <w:jc w:val="center"/>
              <w:rPr>
                <w:sz w:val="24"/>
                <w:szCs w:val="24"/>
              </w:rPr>
            </w:pPr>
          </w:p>
        </w:tc>
      </w:tr>
      <w:tr w:rsidR="00E643FB" w14:paraId="2819EE5B" w14:textId="77777777" w:rsidTr="00E33030">
        <w:trPr>
          <w:trHeight w:val="278"/>
        </w:trPr>
        <w:tc>
          <w:tcPr>
            <w:tcW w:w="2020" w:type="dxa"/>
            <w:vAlign w:val="bottom"/>
          </w:tcPr>
          <w:p w14:paraId="2819EE54" w14:textId="77777777" w:rsidR="00E643FB" w:rsidRDefault="00E643FB">
            <w:pPr>
              <w:rPr>
                <w:sz w:val="20"/>
                <w:szCs w:val="20"/>
              </w:rPr>
            </w:pPr>
            <w:r>
              <w:rPr>
                <w:rFonts w:eastAsia="Times New Roman"/>
                <w:sz w:val="24"/>
                <w:szCs w:val="24"/>
              </w:rPr>
              <w:t>122-34-9</w:t>
            </w:r>
          </w:p>
        </w:tc>
        <w:tc>
          <w:tcPr>
            <w:tcW w:w="3020" w:type="dxa"/>
            <w:vAlign w:val="bottom"/>
          </w:tcPr>
          <w:p w14:paraId="2819EE55" w14:textId="77777777" w:rsidR="00E643FB" w:rsidRDefault="00E643FB">
            <w:pPr>
              <w:rPr>
                <w:sz w:val="20"/>
                <w:szCs w:val="20"/>
              </w:rPr>
            </w:pPr>
            <w:r>
              <w:rPr>
                <w:rFonts w:eastAsia="Times New Roman"/>
                <w:sz w:val="24"/>
                <w:szCs w:val="24"/>
              </w:rPr>
              <w:t>Simazine</w:t>
            </w:r>
          </w:p>
        </w:tc>
        <w:tc>
          <w:tcPr>
            <w:tcW w:w="1300" w:type="dxa"/>
            <w:vAlign w:val="center"/>
          </w:tcPr>
          <w:p w14:paraId="2819EE56" w14:textId="77777777" w:rsidR="00E643FB" w:rsidRDefault="00E643FB" w:rsidP="00E33030">
            <w:pPr>
              <w:jc w:val="center"/>
              <w:rPr>
                <w:sz w:val="20"/>
                <w:szCs w:val="20"/>
              </w:rPr>
            </w:pPr>
            <w:r>
              <w:rPr>
                <w:rFonts w:eastAsia="Times New Roman"/>
                <w:sz w:val="24"/>
                <w:szCs w:val="24"/>
              </w:rPr>
              <w:t>X</w:t>
            </w:r>
          </w:p>
        </w:tc>
        <w:tc>
          <w:tcPr>
            <w:tcW w:w="750" w:type="dxa"/>
            <w:vAlign w:val="center"/>
          </w:tcPr>
          <w:p w14:paraId="2819EE58" w14:textId="77777777" w:rsidR="00E643FB" w:rsidRDefault="00E643FB" w:rsidP="00E33030">
            <w:pPr>
              <w:jc w:val="center"/>
              <w:rPr>
                <w:sz w:val="24"/>
                <w:szCs w:val="24"/>
              </w:rPr>
            </w:pPr>
          </w:p>
        </w:tc>
        <w:tc>
          <w:tcPr>
            <w:tcW w:w="749" w:type="dxa"/>
            <w:vAlign w:val="center"/>
          </w:tcPr>
          <w:p w14:paraId="2819EE5A" w14:textId="77777777" w:rsidR="00E643FB" w:rsidRDefault="00E643FB" w:rsidP="00E33030">
            <w:pPr>
              <w:jc w:val="center"/>
              <w:rPr>
                <w:sz w:val="24"/>
                <w:szCs w:val="24"/>
              </w:rPr>
            </w:pPr>
          </w:p>
        </w:tc>
      </w:tr>
      <w:tr w:rsidR="00E643FB" w14:paraId="2819EE60" w14:textId="77777777" w:rsidTr="00E33030">
        <w:trPr>
          <w:trHeight w:val="281"/>
        </w:trPr>
        <w:tc>
          <w:tcPr>
            <w:tcW w:w="2020" w:type="dxa"/>
            <w:vAlign w:val="bottom"/>
          </w:tcPr>
          <w:p w14:paraId="2819EE5C" w14:textId="77777777" w:rsidR="00E643FB" w:rsidRDefault="00E643FB">
            <w:pPr>
              <w:rPr>
                <w:sz w:val="20"/>
                <w:szCs w:val="20"/>
              </w:rPr>
            </w:pPr>
            <w:r>
              <w:rPr>
                <w:rFonts w:eastAsia="Times New Roman"/>
                <w:sz w:val="24"/>
                <w:szCs w:val="24"/>
              </w:rPr>
              <w:t>120-82-1</w:t>
            </w:r>
          </w:p>
        </w:tc>
        <w:tc>
          <w:tcPr>
            <w:tcW w:w="3020" w:type="dxa"/>
            <w:vAlign w:val="bottom"/>
          </w:tcPr>
          <w:p w14:paraId="2819EE5D" w14:textId="77777777" w:rsidR="00E643FB" w:rsidRDefault="00E643FB">
            <w:pPr>
              <w:rPr>
                <w:sz w:val="20"/>
                <w:szCs w:val="20"/>
              </w:rPr>
            </w:pPr>
            <w:r>
              <w:rPr>
                <w:rFonts w:eastAsia="Times New Roman"/>
                <w:sz w:val="24"/>
                <w:szCs w:val="24"/>
              </w:rPr>
              <w:t>1,2,4-Trichlorobenzene</w:t>
            </w:r>
          </w:p>
        </w:tc>
        <w:tc>
          <w:tcPr>
            <w:tcW w:w="1300" w:type="dxa"/>
            <w:vAlign w:val="center"/>
          </w:tcPr>
          <w:p w14:paraId="2819EE5E" w14:textId="77777777" w:rsidR="00E643FB" w:rsidRDefault="00E643FB" w:rsidP="00E33030">
            <w:pPr>
              <w:jc w:val="center"/>
              <w:rPr>
                <w:sz w:val="20"/>
                <w:szCs w:val="20"/>
              </w:rPr>
            </w:pPr>
            <w:r>
              <w:rPr>
                <w:rFonts w:eastAsia="Times New Roman"/>
                <w:sz w:val="24"/>
                <w:szCs w:val="24"/>
              </w:rPr>
              <w:t>X</w:t>
            </w:r>
          </w:p>
        </w:tc>
        <w:tc>
          <w:tcPr>
            <w:tcW w:w="750" w:type="dxa"/>
            <w:vAlign w:val="center"/>
          </w:tcPr>
          <w:p w14:paraId="251127ED" w14:textId="77777777" w:rsidR="00E643FB" w:rsidRDefault="00E643FB" w:rsidP="00E33030">
            <w:pPr>
              <w:jc w:val="center"/>
              <w:rPr>
                <w:sz w:val="20"/>
                <w:szCs w:val="20"/>
              </w:rPr>
            </w:pPr>
            <w:r>
              <w:rPr>
                <w:rFonts w:eastAsia="Times New Roman"/>
                <w:sz w:val="24"/>
                <w:szCs w:val="24"/>
              </w:rPr>
              <w:t>X</w:t>
            </w:r>
          </w:p>
        </w:tc>
        <w:tc>
          <w:tcPr>
            <w:tcW w:w="749" w:type="dxa"/>
            <w:vAlign w:val="center"/>
          </w:tcPr>
          <w:p w14:paraId="2819EE5F" w14:textId="07034F98" w:rsidR="00E643FB" w:rsidRDefault="00E643FB" w:rsidP="00E33030">
            <w:pPr>
              <w:jc w:val="center"/>
              <w:rPr>
                <w:sz w:val="20"/>
                <w:szCs w:val="20"/>
              </w:rPr>
            </w:pPr>
          </w:p>
        </w:tc>
      </w:tr>
      <w:tr w:rsidR="00E643FB" w14:paraId="2819EE65" w14:textId="77777777" w:rsidTr="00E33030">
        <w:trPr>
          <w:trHeight w:val="278"/>
        </w:trPr>
        <w:tc>
          <w:tcPr>
            <w:tcW w:w="2020" w:type="dxa"/>
            <w:vAlign w:val="bottom"/>
          </w:tcPr>
          <w:p w14:paraId="2819EE61" w14:textId="77777777" w:rsidR="00E643FB" w:rsidRDefault="00E643FB">
            <w:pPr>
              <w:rPr>
                <w:sz w:val="20"/>
                <w:szCs w:val="20"/>
              </w:rPr>
            </w:pPr>
            <w:r>
              <w:rPr>
                <w:rFonts w:eastAsia="Times New Roman"/>
                <w:sz w:val="24"/>
                <w:szCs w:val="24"/>
              </w:rPr>
              <w:t>79-00-5</w:t>
            </w:r>
          </w:p>
        </w:tc>
        <w:tc>
          <w:tcPr>
            <w:tcW w:w="3020" w:type="dxa"/>
            <w:vAlign w:val="bottom"/>
          </w:tcPr>
          <w:p w14:paraId="2819EE62" w14:textId="77777777" w:rsidR="00E643FB" w:rsidRDefault="00E643FB">
            <w:pPr>
              <w:rPr>
                <w:sz w:val="20"/>
                <w:szCs w:val="20"/>
              </w:rPr>
            </w:pPr>
            <w:r>
              <w:rPr>
                <w:rFonts w:eastAsia="Times New Roman"/>
                <w:sz w:val="24"/>
                <w:szCs w:val="24"/>
              </w:rPr>
              <w:t>1,1,2-Trichloroethane</w:t>
            </w:r>
          </w:p>
        </w:tc>
        <w:tc>
          <w:tcPr>
            <w:tcW w:w="1300" w:type="dxa"/>
            <w:vAlign w:val="center"/>
          </w:tcPr>
          <w:p w14:paraId="2819EE63" w14:textId="77777777" w:rsidR="00E643FB" w:rsidRDefault="00E643FB" w:rsidP="00E33030">
            <w:pPr>
              <w:jc w:val="center"/>
              <w:rPr>
                <w:sz w:val="20"/>
                <w:szCs w:val="20"/>
              </w:rPr>
            </w:pPr>
            <w:r>
              <w:rPr>
                <w:rFonts w:eastAsia="Times New Roman"/>
                <w:sz w:val="24"/>
                <w:szCs w:val="24"/>
              </w:rPr>
              <w:t>X</w:t>
            </w:r>
          </w:p>
        </w:tc>
        <w:tc>
          <w:tcPr>
            <w:tcW w:w="750" w:type="dxa"/>
            <w:vAlign w:val="center"/>
          </w:tcPr>
          <w:p w14:paraId="5FF03357" w14:textId="77777777" w:rsidR="00E643FB" w:rsidRDefault="00E643FB" w:rsidP="00E33030">
            <w:pPr>
              <w:jc w:val="center"/>
              <w:rPr>
                <w:sz w:val="20"/>
                <w:szCs w:val="20"/>
              </w:rPr>
            </w:pPr>
            <w:r>
              <w:rPr>
                <w:rFonts w:eastAsia="Times New Roman"/>
                <w:sz w:val="24"/>
                <w:szCs w:val="24"/>
              </w:rPr>
              <w:t>X</w:t>
            </w:r>
          </w:p>
        </w:tc>
        <w:tc>
          <w:tcPr>
            <w:tcW w:w="749" w:type="dxa"/>
            <w:vAlign w:val="center"/>
          </w:tcPr>
          <w:p w14:paraId="2819EE64" w14:textId="5548ABB5" w:rsidR="00E643FB" w:rsidRDefault="00E643FB" w:rsidP="00E33030">
            <w:pPr>
              <w:jc w:val="center"/>
              <w:rPr>
                <w:sz w:val="20"/>
                <w:szCs w:val="20"/>
              </w:rPr>
            </w:pPr>
          </w:p>
        </w:tc>
      </w:tr>
      <w:tr w:rsidR="00E643FB" w14:paraId="2819EE6D" w14:textId="77777777" w:rsidTr="00E33030">
        <w:trPr>
          <w:trHeight w:val="281"/>
        </w:trPr>
        <w:tc>
          <w:tcPr>
            <w:tcW w:w="2020" w:type="dxa"/>
            <w:vAlign w:val="bottom"/>
          </w:tcPr>
          <w:p w14:paraId="2819EE66" w14:textId="77777777" w:rsidR="00E643FB" w:rsidRDefault="00E643FB">
            <w:pPr>
              <w:rPr>
                <w:sz w:val="20"/>
                <w:szCs w:val="20"/>
              </w:rPr>
            </w:pPr>
            <w:r>
              <w:rPr>
                <w:rFonts w:eastAsia="Times New Roman"/>
                <w:sz w:val="24"/>
                <w:szCs w:val="24"/>
              </w:rPr>
              <w:t>1746-01-6</w:t>
            </w:r>
          </w:p>
        </w:tc>
        <w:tc>
          <w:tcPr>
            <w:tcW w:w="3020" w:type="dxa"/>
            <w:vAlign w:val="bottom"/>
          </w:tcPr>
          <w:p w14:paraId="2819EE67" w14:textId="77777777" w:rsidR="00E643FB" w:rsidRDefault="00E643FB">
            <w:pPr>
              <w:rPr>
                <w:sz w:val="20"/>
                <w:szCs w:val="20"/>
              </w:rPr>
            </w:pPr>
            <w:r>
              <w:rPr>
                <w:rFonts w:eastAsia="Times New Roman"/>
                <w:sz w:val="24"/>
                <w:szCs w:val="24"/>
              </w:rPr>
              <w:t>2,3,7,8-TCDD(Dioxin)</w:t>
            </w:r>
          </w:p>
        </w:tc>
        <w:tc>
          <w:tcPr>
            <w:tcW w:w="1300" w:type="dxa"/>
            <w:vAlign w:val="center"/>
          </w:tcPr>
          <w:p w14:paraId="2819EE68" w14:textId="77777777" w:rsidR="00E643FB" w:rsidRDefault="00E643FB" w:rsidP="00E33030">
            <w:pPr>
              <w:jc w:val="center"/>
              <w:rPr>
                <w:sz w:val="20"/>
                <w:szCs w:val="20"/>
              </w:rPr>
            </w:pPr>
            <w:r>
              <w:rPr>
                <w:rFonts w:eastAsia="Times New Roman"/>
                <w:sz w:val="24"/>
                <w:szCs w:val="24"/>
              </w:rPr>
              <w:t>X</w:t>
            </w:r>
          </w:p>
        </w:tc>
        <w:tc>
          <w:tcPr>
            <w:tcW w:w="750" w:type="dxa"/>
            <w:vAlign w:val="center"/>
          </w:tcPr>
          <w:p w14:paraId="2819EE6A" w14:textId="77777777" w:rsidR="00E643FB" w:rsidRDefault="00E643FB" w:rsidP="00E33030">
            <w:pPr>
              <w:jc w:val="center"/>
              <w:rPr>
                <w:sz w:val="24"/>
                <w:szCs w:val="24"/>
              </w:rPr>
            </w:pPr>
          </w:p>
        </w:tc>
        <w:tc>
          <w:tcPr>
            <w:tcW w:w="749" w:type="dxa"/>
            <w:vAlign w:val="center"/>
          </w:tcPr>
          <w:p w14:paraId="2819EE6C" w14:textId="77777777" w:rsidR="00E643FB" w:rsidRDefault="00E643FB" w:rsidP="00E33030">
            <w:pPr>
              <w:jc w:val="center"/>
              <w:rPr>
                <w:sz w:val="24"/>
                <w:szCs w:val="24"/>
              </w:rPr>
            </w:pPr>
          </w:p>
        </w:tc>
      </w:tr>
      <w:tr w:rsidR="00E643FB" w14:paraId="2819EE72" w14:textId="77777777" w:rsidTr="00E33030">
        <w:trPr>
          <w:trHeight w:val="312"/>
        </w:trPr>
        <w:tc>
          <w:tcPr>
            <w:tcW w:w="2020" w:type="dxa"/>
            <w:vAlign w:val="bottom"/>
          </w:tcPr>
          <w:p w14:paraId="2819EE6E" w14:textId="77777777" w:rsidR="00E643FB" w:rsidRDefault="00E643FB">
            <w:pPr>
              <w:rPr>
                <w:sz w:val="20"/>
                <w:szCs w:val="20"/>
              </w:rPr>
            </w:pPr>
            <w:r>
              <w:rPr>
                <w:rFonts w:eastAsia="Times New Roman"/>
                <w:sz w:val="24"/>
                <w:szCs w:val="24"/>
              </w:rPr>
              <w:t>8001-35-2</w:t>
            </w:r>
          </w:p>
        </w:tc>
        <w:tc>
          <w:tcPr>
            <w:tcW w:w="3020" w:type="dxa"/>
            <w:vAlign w:val="bottom"/>
          </w:tcPr>
          <w:p w14:paraId="2819EE6F" w14:textId="77777777" w:rsidR="00E643FB" w:rsidRDefault="00E643FB">
            <w:pPr>
              <w:rPr>
                <w:sz w:val="20"/>
                <w:szCs w:val="20"/>
              </w:rPr>
            </w:pPr>
            <w:r>
              <w:rPr>
                <w:rFonts w:eastAsia="Times New Roman"/>
                <w:sz w:val="24"/>
                <w:szCs w:val="24"/>
              </w:rPr>
              <w:t>Toxaphene</w:t>
            </w:r>
          </w:p>
        </w:tc>
        <w:tc>
          <w:tcPr>
            <w:tcW w:w="1300" w:type="dxa"/>
            <w:vAlign w:val="center"/>
          </w:tcPr>
          <w:p w14:paraId="2819EE70" w14:textId="77777777" w:rsidR="00E643FB" w:rsidRDefault="00E643FB" w:rsidP="00E33030">
            <w:pPr>
              <w:jc w:val="center"/>
              <w:rPr>
                <w:sz w:val="20"/>
                <w:szCs w:val="20"/>
              </w:rPr>
            </w:pPr>
            <w:r>
              <w:rPr>
                <w:rFonts w:eastAsia="Times New Roman"/>
                <w:sz w:val="24"/>
                <w:szCs w:val="24"/>
              </w:rPr>
              <w:t>X</w:t>
            </w:r>
          </w:p>
        </w:tc>
        <w:tc>
          <w:tcPr>
            <w:tcW w:w="750" w:type="dxa"/>
            <w:vAlign w:val="center"/>
          </w:tcPr>
          <w:p w14:paraId="7C5C5282" w14:textId="77777777" w:rsidR="00E643FB" w:rsidRDefault="00E643FB" w:rsidP="00E33030">
            <w:pPr>
              <w:jc w:val="center"/>
              <w:rPr>
                <w:sz w:val="20"/>
                <w:szCs w:val="20"/>
              </w:rPr>
            </w:pPr>
            <w:r>
              <w:rPr>
                <w:rFonts w:eastAsia="Times New Roman"/>
                <w:sz w:val="24"/>
                <w:szCs w:val="24"/>
              </w:rPr>
              <w:t>X</w:t>
            </w:r>
          </w:p>
        </w:tc>
        <w:tc>
          <w:tcPr>
            <w:tcW w:w="749" w:type="dxa"/>
            <w:vAlign w:val="center"/>
          </w:tcPr>
          <w:p w14:paraId="2819EE71" w14:textId="611EF9A6" w:rsidR="00E643FB" w:rsidRDefault="00E643FB" w:rsidP="00E33030">
            <w:pPr>
              <w:jc w:val="center"/>
              <w:rPr>
                <w:sz w:val="20"/>
                <w:szCs w:val="20"/>
              </w:rPr>
            </w:pPr>
          </w:p>
        </w:tc>
      </w:tr>
    </w:tbl>
    <w:p w14:paraId="2819EE73" w14:textId="77777777" w:rsidR="004647B9" w:rsidRPr="00465DBF" w:rsidRDefault="004647B9" w:rsidP="00465DBF">
      <w:pPr>
        <w:rPr>
          <w:sz w:val="24"/>
          <w:szCs w:val="24"/>
        </w:rPr>
      </w:pPr>
    </w:p>
    <w:p w14:paraId="2819EE74" w14:textId="1994CB19" w:rsidR="004647B9" w:rsidRPr="001F1ECC" w:rsidRDefault="00E2436F" w:rsidP="00465DBF">
      <w:pPr>
        <w:numPr>
          <w:ilvl w:val="0"/>
          <w:numId w:val="253"/>
        </w:numPr>
        <w:tabs>
          <w:tab w:val="left" w:pos="1787"/>
        </w:tabs>
        <w:ind w:left="1200"/>
        <w:jc w:val="both"/>
        <w:rPr>
          <w:rFonts w:eastAsia="Times New Roman"/>
          <w:sz w:val="24"/>
          <w:szCs w:val="24"/>
        </w:rPr>
      </w:pPr>
      <w:r>
        <w:rPr>
          <w:rFonts w:eastAsia="Times New Roman"/>
          <w:sz w:val="24"/>
          <w:szCs w:val="24"/>
          <w:u w:val="single"/>
        </w:rPr>
        <w:t>New Systems/Sources</w:t>
      </w:r>
      <w:r>
        <w:rPr>
          <w:rFonts w:eastAsia="Times New Roman"/>
          <w:sz w:val="24"/>
          <w:szCs w:val="24"/>
        </w:rPr>
        <w:t>. Each new supplier of water or supplier of water that uses a new source of water that begins operation after January 22, 2004</w:t>
      </w:r>
      <w:r w:rsidR="00A012EF">
        <w:rPr>
          <w:rFonts w:eastAsia="Times New Roman"/>
          <w:sz w:val="24"/>
          <w:szCs w:val="24"/>
        </w:rPr>
        <w:t>,</w:t>
      </w:r>
      <w:r>
        <w:rPr>
          <w:rFonts w:eastAsia="Times New Roman"/>
          <w:sz w:val="24"/>
          <w:szCs w:val="24"/>
        </w:rPr>
        <w:t xml:space="preserve"> must demonstrate compliance with the MCL within a period of time specified by the Department. The supplier of water must also comply with the initial sampling frequencies specified by the Department to ensure a system </w:t>
      </w:r>
      <w:r w:rsidRPr="001F1ECC">
        <w:rPr>
          <w:rFonts w:eastAsia="Times New Roman"/>
          <w:sz w:val="24"/>
          <w:szCs w:val="24"/>
        </w:rPr>
        <w:t>can demonstrate compliance with the MCL. Routine and increased monitoring frequencies shall be conducted in accordance with the requirements in 310 CMR 22.07A.</w:t>
      </w:r>
    </w:p>
    <w:p w14:paraId="2819EE75" w14:textId="77777777" w:rsidR="004647B9" w:rsidRPr="001F1ECC" w:rsidRDefault="004647B9" w:rsidP="00A012EF">
      <w:pPr>
        <w:rPr>
          <w:sz w:val="24"/>
          <w:szCs w:val="24"/>
        </w:rPr>
      </w:pPr>
    </w:p>
    <w:p w14:paraId="2819EE76" w14:textId="77777777" w:rsidR="004647B9" w:rsidRPr="001F1ECC" w:rsidRDefault="00E2436F" w:rsidP="00A012EF">
      <w:pPr>
        <w:tabs>
          <w:tab w:val="left" w:pos="920"/>
        </w:tabs>
        <w:rPr>
          <w:sz w:val="24"/>
          <w:szCs w:val="24"/>
        </w:rPr>
      </w:pPr>
      <w:r w:rsidRPr="001F1ECC">
        <w:rPr>
          <w:rFonts w:eastAsia="Times New Roman"/>
          <w:sz w:val="24"/>
          <w:szCs w:val="24"/>
          <w:u w:val="single"/>
        </w:rPr>
        <w:t>22.07B:</w:t>
      </w:r>
      <w:r w:rsidRPr="001F1ECC">
        <w:rPr>
          <w:sz w:val="24"/>
          <w:szCs w:val="24"/>
        </w:rPr>
        <w:tab/>
      </w:r>
      <w:r w:rsidRPr="001F1ECC">
        <w:rPr>
          <w:rFonts w:eastAsia="Times New Roman"/>
          <w:sz w:val="24"/>
          <w:szCs w:val="24"/>
          <w:u w:val="single"/>
        </w:rPr>
        <w:t>Maximum Contaminant Levels (MCLs) for Volatile Organic Compounds (VOC)</w:t>
      </w:r>
    </w:p>
    <w:p w14:paraId="2819EE77" w14:textId="77777777" w:rsidR="004647B9" w:rsidRPr="001F1ECC" w:rsidRDefault="004647B9" w:rsidP="00A012EF">
      <w:pPr>
        <w:rPr>
          <w:sz w:val="24"/>
          <w:szCs w:val="24"/>
        </w:rPr>
      </w:pPr>
    </w:p>
    <w:p w14:paraId="2819EE78" w14:textId="77777777" w:rsidR="004647B9" w:rsidRPr="001F1ECC" w:rsidRDefault="00E2436F" w:rsidP="00A012EF">
      <w:pPr>
        <w:numPr>
          <w:ilvl w:val="0"/>
          <w:numId w:val="254"/>
        </w:numPr>
        <w:tabs>
          <w:tab w:val="left" w:pos="1819"/>
        </w:tabs>
        <w:ind w:left="1200"/>
        <w:rPr>
          <w:rFonts w:eastAsia="Times New Roman"/>
          <w:sz w:val="24"/>
          <w:szCs w:val="24"/>
        </w:rPr>
      </w:pPr>
      <w:r w:rsidRPr="001F1ECC">
        <w:rPr>
          <w:rFonts w:eastAsia="Times New Roman"/>
          <w:sz w:val="24"/>
          <w:szCs w:val="24"/>
          <w:u w:val="single"/>
        </w:rPr>
        <w:t>Volatile Organic MCLs</w:t>
      </w:r>
      <w:r w:rsidRPr="001F1ECC">
        <w:rPr>
          <w:rFonts w:eastAsia="Times New Roman"/>
          <w:sz w:val="24"/>
          <w:szCs w:val="24"/>
        </w:rPr>
        <w:t>. The following maximum contaminant levels for organic contaminants apply to community and non-transient, non-community water systems.</w:t>
      </w:r>
    </w:p>
    <w:p w14:paraId="2819EE79" w14:textId="77777777" w:rsidR="004647B9" w:rsidRPr="00A012EF" w:rsidRDefault="004647B9" w:rsidP="00A012EF">
      <w:pPr>
        <w:rPr>
          <w:sz w:val="24"/>
          <w:szCs w:val="24"/>
        </w:rPr>
      </w:pPr>
    </w:p>
    <w:tbl>
      <w:tblPr>
        <w:tblW w:w="0" w:type="auto"/>
        <w:tblInd w:w="1200" w:type="dxa"/>
        <w:tblLayout w:type="fixed"/>
        <w:tblCellMar>
          <w:left w:w="0" w:type="dxa"/>
          <w:right w:w="0" w:type="dxa"/>
        </w:tblCellMar>
        <w:tblLook w:val="04A0" w:firstRow="1" w:lastRow="0" w:firstColumn="1" w:lastColumn="0" w:noHBand="0" w:noVBand="1"/>
      </w:tblPr>
      <w:tblGrid>
        <w:gridCol w:w="1700"/>
        <w:gridCol w:w="3720"/>
        <w:gridCol w:w="2220"/>
      </w:tblGrid>
      <w:tr w:rsidR="00E33030" w14:paraId="2819EE7E" w14:textId="77777777" w:rsidTr="00E33030">
        <w:trPr>
          <w:trHeight w:val="276"/>
        </w:trPr>
        <w:tc>
          <w:tcPr>
            <w:tcW w:w="1700" w:type="dxa"/>
            <w:vAlign w:val="center"/>
          </w:tcPr>
          <w:p w14:paraId="2819EE7B" w14:textId="77777777" w:rsidR="00E33030" w:rsidRPr="00E33030" w:rsidRDefault="00E33030" w:rsidP="00E33030">
            <w:pPr>
              <w:jc w:val="center"/>
              <w:rPr>
                <w:sz w:val="20"/>
                <w:szCs w:val="20"/>
                <w:u w:val="single"/>
              </w:rPr>
            </w:pPr>
            <w:r w:rsidRPr="00E33030">
              <w:rPr>
                <w:rFonts w:eastAsia="Times New Roman"/>
                <w:sz w:val="24"/>
                <w:szCs w:val="24"/>
                <w:u w:val="single"/>
              </w:rPr>
              <w:t>CAS No.</w:t>
            </w:r>
          </w:p>
        </w:tc>
        <w:tc>
          <w:tcPr>
            <w:tcW w:w="3720" w:type="dxa"/>
            <w:vAlign w:val="center"/>
          </w:tcPr>
          <w:p w14:paraId="2819EE7C" w14:textId="77777777" w:rsidR="00E33030" w:rsidRPr="00E33030" w:rsidRDefault="00E33030" w:rsidP="00E33030">
            <w:pPr>
              <w:ind w:left="100"/>
              <w:rPr>
                <w:sz w:val="20"/>
                <w:szCs w:val="20"/>
                <w:u w:val="single"/>
              </w:rPr>
            </w:pPr>
            <w:r w:rsidRPr="00E33030">
              <w:rPr>
                <w:rFonts w:eastAsia="Times New Roman"/>
                <w:sz w:val="24"/>
                <w:szCs w:val="24"/>
                <w:u w:val="single"/>
              </w:rPr>
              <w:t>Contaminant</w:t>
            </w:r>
          </w:p>
        </w:tc>
        <w:tc>
          <w:tcPr>
            <w:tcW w:w="2220" w:type="dxa"/>
            <w:vAlign w:val="center"/>
          </w:tcPr>
          <w:p w14:paraId="2819EE7D" w14:textId="77777777" w:rsidR="00E33030" w:rsidRPr="00E33030" w:rsidRDefault="00E33030" w:rsidP="00E33030">
            <w:pPr>
              <w:jc w:val="center"/>
              <w:rPr>
                <w:sz w:val="20"/>
                <w:szCs w:val="20"/>
                <w:u w:val="single"/>
              </w:rPr>
            </w:pPr>
            <w:r w:rsidRPr="00E33030">
              <w:rPr>
                <w:rFonts w:eastAsia="Times New Roman"/>
                <w:w w:val="96"/>
                <w:sz w:val="24"/>
                <w:szCs w:val="24"/>
                <w:u w:val="single"/>
              </w:rPr>
              <w:t>MCL (mg/l)</w:t>
            </w:r>
          </w:p>
        </w:tc>
      </w:tr>
      <w:tr w:rsidR="00E33030" w14:paraId="2819EE8D" w14:textId="77777777" w:rsidTr="00E33030">
        <w:trPr>
          <w:trHeight w:val="264"/>
        </w:trPr>
        <w:tc>
          <w:tcPr>
            <w:tcW w:w="1700" w:type="dxa"/>
            <w:vAlign w:val="bottom"/>
          </w:tcPr>
          <w:p w14:paraId="2819EE89" w14:textId="7D96A2C3" w:rsidR="00E33030" w:rsidRDefault="00E33030">
            <w:r>
              <w:rPr>
                <w:rFonts w:eastAsia="Times New Roman"/>
                <w:sz w:val="24"/>
                <w:szCs w:val="24"/>
              </w:rPr>
              <w:t>(a)  75-01-4</w:t>
            </w:r>
          </w:p>
        </w:tc>
        <w:tc>
          <w:tcPr>
            <w:tcW w:w="3715" w:type="dxa"/>
            <w:vAlign w:val="bottom"/>
          </w:tcPr>
          <w:p w14:paraId="2819EE8B" w14:textId="77777777" w:rsidR="00E33030" w:rsidRDefault="00E33030">
            <w:pPr>
              <w:spacing w:line="264" w:lineRule="exact"/>
              <w:rPr>
                <w:sz w:val="20"/>
                <w:szCs w:val="20"/>
              </w:rPr>
            </w:pPr>
            <w:r>
              <w:rPr>
                <w:rFonts w:eastAsia="Times New Roman"/>
                <w:sz w:val="24"/>
                <w:szCs w:val="24"/>
              </w:rPr>
              <w:t>Vinyl chloride</w:t>
            </w:r>
          </w:p>
        </w:tc>
        <w:tc>
          <w:tcPr>
            <w:tcW w:w="2220" w:type="dxa"/>
            <w:vAlign w:val="bottom"/>
          </w:tcPr>
          <w:p w14:paraId="2819EE8C" w14:textId="77777777" w:rsidR="00E33030" w:rsidRDefault="00E33030" w:rsidP="00E33030">
            <w:pPr>
              <w:spacing w:line="264" w:lineRule="exact"/>
              <w:ind w:left="792"/>
              <w:rPr>
                <w:sz w:val="20"/>
                <w:szCs w:val="20"/>
              </w:rPr>
            </w:pPr>
            <w:r>
              <w:rPr>
                <w:rFonts w:eastAsia="Times New Roman"/>
                <w:sz w:val="24"/>
                <w:szCs w:val="24"/>
              </w:rPr>
              <w:t>0.002</w:t>
            </w:r>
          </w:p>
        </w:tc>
      </w:tr>
      <w:tr w:rsidR="00E33030" w14:paraId="2819EE92" w14:textId="77777777" w:rsidTr="00E33030">
        <w:trPr>
          <w:trHeight w:val="278"/>
        </w:trPr>
        <w:tc>
          <w:tcPr>
            <w:tcW w:w="1700" w:type="dxa"/>
            <w:vAlign w:val="bottom"/>
          </w:tcPr>
          <w:p w14:paraId="2819EE8E" w14:textId="77777777" w:rsidR="00E33030" w:rsidRDefault="00E33030">
            <w:pPr>
              <w:rPr>
                <w:sz w:val="20"/>
                <w:szCs w:val="20"/>
              </w:rPr>
            </w:pPr>
            <w:r>
              <w:rPr>
                <w:rFonts w:eastAsia="Times New Roman"/>
                <w:sz w:val="24"/>
                <w:szCs w:val="24"/>
              </w:rPr>
              <w:t>(b)  71-43-2</w:t>
            </w:r>
          </w:p>
        </w:tc>
        <w:tc>
          <w:tcPr>
            <w:tcW w:w="3715" w:type="dxa"/>
            <w:vAlign w:val="bottom"/>
          </w:tcPr>
          <w:p w14:paraId="2819EE90" w14:textId="77777777" w:rsidR="00E33030" w:rsidRDefault="00E33030">
            <w:pPr>
              <w:rPr>
                <w:sz w:val="20"/>
                <w:szCs w:val="20"/>
              </w:rPr>
            </w:pPr>
            <w:r>
              <w:rPr>
                <w:rFonts w:eastAsia="Times New Roman"/>
                <w:sz w:val="24"/>
                <w:szCs w:val="24"/>
              </w:rPr>
              <w:t>Benzene</w:t>
            </w:r>
          </w:p>
        </w:tc>
        <w:tc>
          <w:tcPr>
            <w:tcW w:w="2220" w:type="dxa"/>
            <w:vAlign w:val="bottom"/>
          </w:tcPr>
          <w:p w14:paraId="2819EE91" w14:textId="77777777" w:rsidR="00E33030" w:rsidRDefault="00E33030" w:rsidP="00E33030">
            <w:pPr>
              <w:ind w:left="792"/>
              <w:rPr>
                <w:sz w:val="20"/>
                <w:szCs w:val="20"/>
              </w:rPr>
            </w:pPr>
            <w:r>
              <w:rPr>
                <w:rFonts w:eastAsia="Times New Roman"/>
                <w:sz w:val="24"/>
                <w:szCs w:val="24"/>
              </w:rPr>
              <w:t>0.005</w:t>
            </w:r>
          </w:p>
        </w:tc>
      </w:tr>
      <w:tr w:rsidR="00E33030" w14:paraId="2819EE97" w14:textId="77777777" w:rsidTr="00E33030">
        <w:trPr>
          <w:trHeight w:val="281"/>
        </w:trPr>
        <w:tc>
          <w:tcPr>
            <w:tcW w:w="1700" w:type="dxa"/>
            <w:vAlign w:val="bottom"/>
          </w:tcPr>
          <w:p w14:paraId="2819EE93" w14:textId="77777777" w:rsidR="00E33030" w:rsidRDefault="00E33030">
            <w:pPr>
              <w:rPr>
                <w:sz w:val="20"/>
                <w:szCs w:val="20"/>
              </w:rPr>
            </w:pPr>
            <w:r>
              <w:rPr>
                <w:rFonts w:eastAsia="Times New Roman"/>
                <w:sz w:val="24"/>
                <w:szCs w:val="24"/>
              </w:rPr>
              <w:t>(c)  56-23-5</w:t>
            </w:r>
          </w:p>
        </w:tc>
        <w:tc>
          <w:tcPr>
            <w:tcW w:w="3715" w:type="dxa"/>
            <w:vAlign w:val="bottom"/>
          </w:tcPr>
          <w:p w14:paraId="2819EE95" w14:textId="77777777" w:rsidR="00E33030" w:rsidRDefault="00E33030">
            <w:pPr>
              <w:rPr>
                <w:sz w:val="20"/>
                <w:szCs w:val="20"/>
              </w:rPr>
            </w:pPr>
            <w:r>
              <w:rPr>
                <w:rFonts w:eastAsia="Times New Roman"/>
                <w:sz w:val="24"/>
                <w:szCs w:val="24"/>
              </w:rPr>
              <w:t>Carbon tetrachloride</w:t>
            </w:r>
          </w:p>
        </w:tc>
        <w:tc>
          <w:tcPr>
            <w:tcW w:w="2220" w:type="dxa"/>
            <w:vAlign w:val="bottom"/>
          </w:tcPr>
          <w:p w14:paraId="2819EE96" w14:textId="77777777" w:rsidR="00E33030" w:rsidRDefault="00E33030" w:rsidP="00E33030">
            <w:pPr>
              <w:ind w:left="792"/>
              <w:rPr>
                <w:sz w:val="20"/>
                <w:szCs w:val="20"/>
              </w:rPr>
            </w:pPr>
            <w:r>
              <w:rPr>
                <w:rFonts w:eastAsia="Times New Roman"/>
                <w:sz w:val="24"/>
                <w:szCs w:val="24"/>
              </w:rPr>
              <w:t>0.005</w:t>
            </w:r>
          </w:p>
        </w:tc>
      </w:tr>
      <w:tr w:rsidR="00E33030" w14:paraId="2819EE9C" w14:textId="77777777" w:rsidTr="00E33030">
        <w:trPr>
          <w:trHeight w:val="278"/>
        </w:trPr>
        <w:tc>
          <w:tcPr>
            <w:tcW w:w="1700" w:type="dxa"/>
            <w:vAlign w:val="bottom"/>
          </w:tcPr>
          <w:p w14:paraId="2819EE98" w14:textId="77777777" w:rsidR="00E33030" w:rsidRDefault="00E33030">
            <w:pPr>
              <w:rPr>
                <w:sz w:val="20"/>
                <w:szCs w:val="20"/>
              </w:rPr>
            </w:pPr>
            <w:r>
              <w:rPr>
                <w:rFonts w:eastAsia="Times New Roman"/>
                <w:sz w:val="24"/>
                <w:szCs w:val="24"/>
              </w:rPr>
              <w:t>(d)  107-06-2</w:t>
            </w:r>
          </w:p>
        </w:tc>
        <w:tc>
          <w:tcPr>
            <w:tcW w:w="3715" w:type="dxa"/>
            <w:vAlign w:val="bottom"/>
          </w:tcPr>
          <w:p w14:paraId="2819EE9A" w14:textId="77777777" w:rsidR="00E33030" w:rsidRDefault="00E33030">
            <w:pPr>
              <w:rPr>
                <w:sz w:val="20"/>
                <w:szCs w:val="20"/>
              </w:rPr>
            </w:pPr>
            <w:r>
              <w:rPr>
                <w:rFonts w:eastAsia="Times New Roman"/>
                <w:sz w:val="24"/>
                <w:szCs w:val="24"/>
              </w:rPr>
              <w:t>1,2-Dichloroethane</w:t>
            </w:r>
          </w:p>
        </w:tc>
        <w:tc>
          <w:tcPr>
            <w:tcW w:w="2220" w:type="dxa"/>
            <w:vAlign w:val="bottom"/>
          </w:tcPr>
          <w:p w14:paraId="2819EE9B" w14:textId="77777777" w:rsidR="00E33030" w:rsidRDefault="00E33030" w:rsidP="00E33030">
            <w:pPr>
              <w:ind w:left="792"/>
              <w:rPr>
                <w:sz w:val="20"/>
                <w:szCs w:val="20"/>
              </w:rPr>
            </w:pPr>
            <w:r>
              <w:rPr>
                <w:rFonts w:eastAsia="Times New Roman"/>
                <w:sz w:val="24"/>
                <w:szCs w:val="24"/>
              </w:rPr>
              <w:t>0.005</w:t>
            </w:r>
          </w:p>
        </w:tc>
      </w:tr>
      <w:tr w:rsidR="00E33030" w14:paraId="2819EEA1" w14:textId="77777777" w:rsidTr="00E33030">
        <w:trPr>
          <w:trHeight w:val="281"/>
        </w:trPr>
        <w:tc>
          <w:tcPr>
            <w:tcW w:w="1700" w:type="dxa"/>
            <w:vAlign w:val="bottom"/>
          </w:tcPr>
          <w:p w14:paraId="2819EE9D" w14:textId="77777777" w:rsidR="00E33030" w:rsidRDefault="00E33030">
            <w:pPr>
              <w:rPr>
                <w:sz w:val="20"/>
                <w:szCs w:val="20"/>
              </w:rPr>
            </w:pPr>
            <w:r>
              <w:rPr>
                <w:rFonts w:eastAsia="Times New Roman"/>
                <w:sz w:val="24"/>
                <w:szCs w:val="24"/>
              </w:rPr>
              <w:t>(e)  79-01-6</w:t>
            </w:r>
          </w:p>
        </w:tc>
        <w:tc>
          <w:tcPr>
            <w:tcW w:w="3715" w:type="dxa"/>
            <w:vAlign w:val="bottom"/>
          </w:tcPr>
          <w:p w14:paraId="2819EE9F" w14:textId="77777777" w:rsidR="00E33030" w:rsidRDefault="00E33030">
            <w:pPr>
              <w:rPr>
                <w:sz w:val="20"/>
                <w:szCs w:val="20"/>
              </w:rPr>
            </w:pPr>
            <w:r>
              <w:rPr>
                <w:rFonts w:eastAsia="Times New Roman"/>
                <w:sz w:val="24"/>
                <w:szCs w:val="24"/>
              </w:rPr>
              <w:t>Trichloroethylene</w:t>
            </w:r>
          </w:p>
        </w:tc>
        <w:tc>
          <w:tcPr>
            <w:tcW w:w="2220" w:type="dxa"/>
            <w:vAlign w:val="bottom"/>
          </w:tcPr>
          <w:p w14:paraId="2819EEA0" w14:textId="77777777" w:rsidR="00E33030" w:rsidRDefault="00E33030" w:rsidP="00E33030">
            <w:pPr>
              <w:ind w:left="792"/>
              <w:rPr>
                <w:sz w:val="20"/>
                <w:szCs w:val="20"/>
              </w:rPr>
            </w:pPr>
            <w:r>
              <w:rPr>
                <w:rFonts w:eastAsia="Times New Roman"/>
                <w:sz w:val="24"/>
                <w:szCs w:val="24"/>
              </w:rPr>
              <w:t>0.005</w:t>
            </w:r>
          </w:p>
        </w:tc>
      </w:tr>
      <w:tr w:rsidR="00E33030" w14:paraId="2819EEA6" w14:textId="77777777" w:rsidTr="00E33030">
        <w:trPr>
          <w:trHeight w:val="278"/>
        </w:trPr>
        <w:tc>
          <w:tcPr>
            <w:tcW w:w="1700" w:type="dxa"/>
            <w:vAlign w:val="bottom"/>
          </w:tcPr>
          <w:p w14:paraId="2819EEA2" w14:textId="77777777" w:rsidR="00E33030" w:rsidRDefault="00E33030">
            <w:pPr>
              <w:rPr>
                <w:sz w:val="20"/>
                <w:szCs w:val="20"/>
              </w:rPr>
            </w:pPr>
            <w:r>
              <w:rPr>
                <w:rFonts w:eastAsia="Times New Roman"/>
                <w:sz w:val="24"/>
                <w:szCs w:val="24"/>
              </w:rPr>
              <w:t>(f)  106-46-7</w:t>
            </w:r>
          </w:p>
        </w:tc>
        <w:tc>
          <w:tcPr>
            <w:tcW w:w="3715" w:type="dxa"/>
            <w:vAlign w:val="bottom"/>
          </w:tcPr>
          <w:p w14:paraId="2819EEA4" w14:textId="77777777" w:rsidR="00E33030" w:rsidRDefault="00E33030">
            <w:pPr>
              <w:rPr>
                <w:sz w:val="20"/>
                <w:szCs w:val="20"/>
              </w:rPr>
            </w:pPr>
            <w:r>
              <w:rPr>
                <w:rFonts w:eastAsia="Times New Roman"/>
                <w:sz w:val="24"/>
                <w:szCs w:val="24"/>
              </w:rPr>
              <w:t>para-Dichlorobenzene</w:t>
            </w:r>
          </w:p>
        </w:tc>
        <w:tc>
          <w:tcPr>
            <w:tcW w:w="2220" w:type="dxa"/>
            <w:vAlign w:val="bottom"/>
          </w:tcPr>
          <w:p w14:paraId="2819EEA5" w14:textId="77777777" w:rsidR="00E33030" w:rsidRDefault="00E33030" w:rsidP="00E33030">
            <w:pPr>
              <w:ind w:left="792"/>
              <w:rPr>
                <w:sz w:val="20"/>
                <w:szCs w:val="20"/>
              </w:rPr>
            </w:pPr>
            <w:r>
              <w:rPr>
                <w:rFonts w:eastAsia="Times New Roman"/>
                <w:sz w:val="24"/>
                <w:szCs w:val="24"/>
              </w:rPr>
              <w:t>0.005</w:t>
            </w:r>
          </w:p>
        </w:tc>
      </w:tr>
      <w:tr w:rsidR="00E33030" w14:paraId="2819EEAB" w14:textId="77777777" w:rsidTr="00E33030">
        <w:trPr>
          <w:trHeight w:val="281"/>
        </w:trPr>
        <w:tc>
          <w:tcPr>
            <w:tcW w:w="1700" w:type="dxa"/>
            <w:vAlign w:val="bottom"/>
          </w:tcPr>
          <w:p w14:paraId="2819EEA7" w14:textId="77777777" w:rsidR="00E33030" w:rsidRDefault="00E33030">
            <w:pPr>
              <w:rPr>
                <w:sz w:val="20"/>
                <w:szCs w:val="20"/>
              </w:rPr>
            </w:pPr>
            <w:r>
              <w:rPr>
                <w:rFonts w:eastAsia="Times New Roman"/>
                <w:sz w:val="24"/>
                <w:szCs w:val="24"/>
              </w:rPr>
              <w:t>(g)  75-35-4</w:t>
            </w:r>
          </w:p>
        </w:tc>
        <w:tc>
          <w:tcPr>
            <w:tcW w:w="3715" w:type="dxa"/>
            <w:vAlign w:val="bottom"/>
          </w:tcPr>
          <w:p w14:paraId="2819EEA9" w14:textId="77777777" w:rsidR="00E33030" w:rsidRDefault="00E33030">
            <w:pPr>
              <w:rPr>
                <w:sz w:val="20"/>
                <w:szCs w:val="20"/>
              </w:rPr>
            </w:pPr>
            <w:r>
              <w:rPr>
                <w:rFonts w:eastAsia="Times New Roman"/>
                <w:sz w:val="24"/>
                <w:szCs w:val="24"/>
              </w:rPr>
              <w:t>1,1-Dichloroethylene</w:t>
            </w:r>
          </w:p>
        </w:tc>
        <w:tc>
          <w:tcPr>
            <w:tcW w:w="2220" w:type="dxa"/>
            <w:vAlign w:val="bottom"/>
          </w:tcPr>
          <w:p w14:paraId="2819EEAA" w14:textId="77777777" w:rsidR="00E33030" w:rsidRDefault="00E33030" w:rsidP="00E33030">
            <w:pPr>
              <w:ind w:left="792"/>
              <w:rPr>
                <w:sz w:val="20"/>
                <w:szCs w:val="20"/>
              </w:rPr>
            </w:pPr>
            <w:r>
              <w:rPr>
                <w:rFonts w:eastAsia="Times New Roman"/>
                <w:sz w:val="24"/>
                <w:szCs w:val="24"/>
              </w:rPr>
              <w:t>0.007</w:t>
            </w:r>
          </w:p>
        </w:tc>
      </w:tr>
      <w:tr w:rsidR="00E33030" w14:paraId="2819EEB0" w14:textId="77777777" w:rsidTr="00E33030">
        <w:trPr>
          <w:trHeight w:val="278"/>
        </w:trPr>
        <w:tc>
          <w:tcPr>
            <w:tcW w:w="1700" w:type="dxa"/>
            <w:vAlign w:val="bottom"/>
          </w:tcPr>
          <w:p w14:paraId="2819EEAC" w14:textId="77777777" w:rsidR="00E33030" w:rsidRDefault="00E33030">
            <w:pPr>
              <w:rPr>
                <w:sz w:val="20"/>
                <w:szCs w:val="20"/>
              </w:rPr>
            </w:pPr>
            <w:r>
              <w:rPr>
                <w:rFonts w:eastAsia="Times New Roman"/>
                <w:sz w:val="24"/>
                <w:szCs w:val="24"/>
              </w:rPr>
              <w:t>(h)  71-55-6</w:t>
            </w:r>
          </w:p>
        </w:tc>
        <w:tc>
          <w:tcPr>
            <w:tcW w:w="3715" w:type="dxa"/>
            <w:vAlign w:val="bottom"/>
          </w:tcPr>
          <w:p w14:paraId="2819EEAE" w14:textId="77777777" w:rsidR="00E33030" w:rsidRDefault="00E33030">
            <w:pPr>
              <w:rPr>
                <w:sz w:val="20"/>
                <w:szCs w:val="20"/>
              </w:rPr>
            </w:pPr>
            <w:r>
              <w:rPr>
                <w:rFonts w:eastAsia="Times New Roman"/>
                <w:sz w:val="24"/>
                <w:szCs w:val="24"/>
              </w:rPr>
              <w:t>1,1,1-Trichloroethane</w:t>
            </w:r>
          </w:p>
        </w:tc>
        <w:tc>
          <w:tcPr>
            <w:tcW w:w="2220" w:type="dxa"/>
            <w:vAlign w:val="bottom"/>
          </w:tcPr>
          <w:p w14:paraId="2819EEAF" w14:textId="77777777" w:rsidR="00E33030" w:rsidRDefault="00E33030" w:rsidP="00E33030">
            <w:pPr>
              <w:ind w:left="792"/>
              <w:rPr>
                <w:sz w:val="20"/>
                <w:szCs w:val="20"/>
              </w:rPr>
            </w:pPr>
            <w:r>
              <w:rPr>
                <w:rFonts w:eastAsia="Times New Roman"/>
                <w:sz w:val="24"/>
                <w:szCs w:val="24"/>
              </w:rPr>
              <w:t>0.2</w:t>
            </w:r>
          </w:p>
        </w:tc>
      </w:tr>
      <w:tr w:rsidR="00E33030" w14:paraId="2819EEB5" w14:textId="77777777" w:rsidTr="00E33030">
        <w:trPr>
          <w:trHeight w:val="281"/>
        </w:trPr>
        <w:tc>
          <w:tcPr>
            <w:tcW w:w="1700" w:type="dxa"/>
            <w:vAlign w:val="bottom"/>
          </w:tcPr>
          <w:p w14:paraId="2819EEB1" w14:textId="77777777" w:rsidR="00E33030" w:rsidRDefault="00E33030">
            <w:pPr>
              <w:rPr>
                <w:sz w:val="20"/>
                <w:szCs w:val="20"/>
              </w:rPr>
            </w:pPr>
            <w:r>
              <w:rPr>
                <w:rFonts w:eastAsia="Times New Roman"/>
                <w:sz w:val="24"/>
                <w:szCs w:val="24"/>
              </w:rPr>
              <w:t>(i)  156-59-2</w:t>
            </w:r>
          </w:p>
        </w:tc>
        <w:tc>
          <w:tcPr>
            <w:tcW w:w="3715" w:type="dxa"/>
            <w:vAlign w:val="bottom"/>
          </w:tcPr>
          <w:p w14:paraId="2819EEB3" w14:textId="77777777" w:rsidR="00E33030" w:rsidRDefault="00E33030">
            <w:pPr>
              <w:rPr>
                <w:sz w:val="20"/>
                <w:szCs w:val="20"/>
              </w:rPr>
            </w:pPr>
            <w:r>
              <w:rPr>
                <w:rFonts w:eastAsia="Times New Roman"/>
                <w:sz w:val="24"/>
                <w:szCs w:val="24"/>
              </w:rPr>
              <w:t>cis-1,2-Dichloroethylene</w:t>
            </w:r>
          </w:p>
        </w:tc>
        <w:tc>
          <w:tcPr>
            <w:tcW w:w="2220" w:type="dxa"/>
            <w:vAlign w:val="bottom"/>
          </w:tcPr>
          <w:p w14:paraId="2819EEB4" w14:textId="77777777" w:rsidR="00E33030" w:rsidRDefault="00E33030" w:rsidP="00E33030">
            <w:pPr>
              <w:ind w:left="792"/>
              <w:rPr>
                <w:sz w:val="20"/>
                <w:szCs w:val="20"/>
              </w:rPr>
            </w:pPr>
            <w:r>
              <w:rPr>
                <w:rFonts w:eastAsia="Times New Roman"/>
                <w:sz w:val="24"/>
                <w:szCs w:val="24"/>
              </w:rPr>
              <w:t>0.07</w:t>
            </w:r>
          </w:p>
        </w:tc>
      </w:tr>
      <w:tr w:rsidR="00E33030" w14:paraId="2819EEBA" w14:textId="77777777" w:rsidTr="00E33030">
        <w:trPr>
          <w:trHeight w:val="278"/>
        </w:trPr>
        <w:tc>
          <w:tcPr>
            <w:tcW w:w="1700" w:type="dxa"/>
            <w:vAlign w:val="bottom"/>
          </w:tcPr>
          <w:p w14:paraId="2819EEB6" w14:textId="77777777" w:rsidR="00E33030" w:rsidRDefault="00E33030">
            <w:pPr>
              <w:rPr>
                <w:sz w:val="20"/>
                <w:szCs w:val="20"/>
              </w:rPr>
            </w:pPr>
            <w:r>
              <w:rPr>
                <w:rFonts w:eastAsia="Times New Roman"/>
                <w:sz w:val="24"/>
                <w:szCs w:val="24"/>
              </w:rPr>
              <w:t>(j)  78-87-5</w:t>
            </w:r>
          </w:p>
        </w:tc>
        <w:tc>
          <w:tcPr>
            <w:tcW w:w="3715" w:type="dxa"/>
            <w:vAlign w:val="bottom"/>
          </w:tcPr>
          <w:p w14:paraId="2819EEB8" w14:textId="77777777" w:rsidR="00E33030" w:rsidRDefault="00E33030">
            <w:pPr>
              <w:rPr>
                <w:sz w:val="20"/>
                <w:szCs w:val="20"/>
              </w:rPr>
            </w:pPr>
            <w:r>
              <w:rPr>
                <w:rFonts w:eastAsia="Times New Roman"/>
                <w:sz w:val="24"/>
                <w:szCs w:val="24"/>
              </w:rPr>
              <w:t>1,2-Dichloropropane</w:t>
            </w:r>
          </w:p>
        </w:tc>
        <w:tc>
          <w:tcPr>
            <w:tcW w:w="2220" w:type="dxa"/>
            <w:vAlign w:val="bottom"/>
          </w:tcPr>
          <w:p w14:paraId="2819EEB9" w14:textId="77777777" w:rsidR="00E33030" w:rsidRDefault="00E33030" w:rsidP="00E33030">
            <w:pPr>
              <w:ind w:left="792"/>
              <w:rPr>
                <w:sz w:val="20"/>
                <w:szCs w:val="20"/>
              </w:rPr>
            </w:pPr>
            <w:r>
              <w:rPr>
                <w:rFonts w:eastAsia="Times New Roman"/>
                <w:sz w:val="24"/>
                <w:szCs w:val="24"/>
              </w:rPr>
              <w:t>0.005</w:t>
            </w:r>
          </w:p>
        </w:tc>
      </w:tr>
      <w:tr w:rsidR="00E33030" w14:paraId="2819EEBF" w14:textId="77777777" w:rsidTr="00E33030">
        <w:trPr>
          <w:trHeight w:val="281"/>
        </w:trPr>
        <w:tc>
          <w:tcPr>
            <w:tcW w:w="1700" w:type="dxa"/>
            <w:vAlign w:val="bottom"/>
          </w:tcPr>
          <w:p w14:paraId="2819EEBB" w14:textId="77777777" w:rsidR="00E33030" w:rsidRDefault="00E33030">
            <w:pPr>
              <w:rPr>
                <w:sz w:val="20"/>
                <w:szCs w:val="20"/>
              </w:rPr>
            </w:pPr>
            <w:r>
              <w:rPr>
                <w:rFonts w:eastAsia="Times New Roman"/>
                <w:sz w:val="24"/>
                <w:szCs w:val="24"/>
              </w:rPr>
              <w:t>(k)  100-41-4</w:t>
            </w:r>
          </w:p>
        </w:tc>
        <w:tc>
          <w:tcPr>
            <w:tcW w:w="3715" w:type="dxa"/>
            <w:vAlign w:val="bottom"/>
          </w:tcPr>
          <w:p w14:paraId="2819EEBD" w14:textId="77777777" w:rsidR="00E33030" w:rsidRDefault="00E33030">
            <w:pPr>
              <w:rPr>
                <w:sz w:val="20"/>
                <w:szCs w:val="20"/>
              </w:rPr>
            </w:pPr>
            <w:r>
              <w:rPr>
                <w:rFonts w:eastAsia="Times New Roman"/>
                <w:sz w:val="24"/>
                <w:szCs w:val="24"/>
              </w:rPr>
              <w:t>Ethylbenzene</w:t>
            </w:r>
          </w:p>
        </w:tc>
        <w:tc>
          <w:tcPr>
            <w:tcW w:w="2220" w:type="dxa"/>
            <w:vAlign w:val="bottom"/>
          </w:tcPr>
          <w:p w14:paraId="2819EEBE" w14:textId="77777777" w:rsidR="00E33030" w:rsidRDefault="00E33030" w:rsidP="00E33030">
            <w:pPr>
              <w:ind w:left="792"/>
              <w:rPr>
                <w:sz w:val="20"/>
                <w:szCs w:val="20"/>
              </w:rPr>
            </w:pPr>
            <w:r>
              <w:rPr>
                <w:rFonts w:eastAsia="Times New Roman"/>
                <w:sz w:val="24"/>
                <w:szCs w:val="24"/>
              </w:rPr>
              <w:t>0.7</w:t>
            </w:r>
          </w:p>
        </w:tc>
      </w:tr>
      <w:tr w:rsidR="00E33030" w14:paraId="2819EEC4" w14:textId="77777777" w:rsidTr="00E33030">
        <w:trPr>
          <w:trHeight w:val="278"/>
        </w:trPr>
        <w:tc>
          <w:tcPr>
            <w:tcW w:w="1700" w:type="dxa"/>
            <w:vAlign w:val="bottom"/>
          </w:tcPr>
          <w:p w14:paraId="2819EEC0" w14:textId="77777777" w:rsidR="00E33030" w:rsidRDefault="00E33030">
            <w:pPr>
              <w:rPr>
                <w:sz w:val="20"/>
                <w:szCs w:val="20"/>
              </w:rPr>
            </w:pPr>
            <w:r>
              <w:rPr>
                <w:rFonts w:eastAsia="Times New Roman"/>
                <w:sz w:val="24"/>
                <w:szCs w:val="24"/>
              </w:rPr>
              <w:t>(l)  108-90-7</w:t>
            </w:r>
          </w:p>
        </w:tc>
        <w:tc>
          <w:tcPr>
            <w:tcW w:w="3715" w:type="dxa"/>
            <w:vAlign w:val="bottom"/>
          </w:tcPr>
          <w:p w14:paraId="2819EEC2" w14:textId="77777777" w:rsidR="00E33030" w:rsidRDefault="00E33030">
            <w:pPr>
              <w:rPr>
                <w:sz w:val="20"/>
                <w:szCs w:val="20"/>
              </w:rPr>
            </w:pPr>
            <w:r>
              <w:rPr>
                <w:rFonts w:eastAsia="Times New Roman"/>
                <w:sz w:val="24"/>
                <w:szCs w:val="24"/>
              </w:rPr>
              <w:t>Monochlorobenzene</w:t>
            </w:r>
          </w:p>
        </w:tc>
        <w:tc>
          <w:tcPr>
            <w:tcW w:w="2220" w:type="dxa"/>
            <w:vAlign w:val="bottom"/>
          </w:tcPr>
          <w:p w14:paraId="2819EEC3" w14:textId="77777777" w:rsidR="00E33030" w:rsidRDefault="00E33030" w:rsidP="00E33030">
            <w:pPr>
              <w:ind w:left="792"/>
              <w:rPr>
                <w:sz w:val="20"/>
                <w:szCs w:val="20"/>
              </w:rPr>
            </w:pPr>
            <w:r>
              <w:rPr>
                <w:rFonts w:eastAsia="Times New Roman"/>
                <w:sz w:val="24"/>
                <w:szCs w:val="24"/>
              </w:rPr>
              <w:t>0.1</w:t>
            </w:r>
          </w:p>
        </w:tc>
      </w:tr>
      <w:tr w:rsidR="00E33030" w14:paraId="2819EEC9" w14:textId="77777777" w:rsidTr="00E33030">
        <w:trPr>
          <w:trHeight w:val="281"/>
        </w:trPr>
        <w:tc>
          <w:tcPr>
            <w:tcW w:w="1700" w:type="dxa"/>
            <w:vAlign w:val="bottom"/>
          </w:tcPr>
          <w:p w14:paraId="2819EEC5" w14:textId="77777777" w:rsidR="00E33030" w:rsidRDefault="00E33030">
            <w:pPr>
              <w:rPr>
                <w:sz w:val="20"/>
                <w:szCs w:val="20"/>
              </w:rPr>
            </w:pPr>
            <w:r>
              <w:rPr>
                <w:rFonts w:eastAsia="Times New Roman"/>
                <w:sz w:val="24"/>
                <w:szCs w:val="24"/>
              </w:rPr>
              <w:t>(m)  95-50-1</w:t>
            </w:r>
          </w:p>
        </w:tc>
        <w:tc>
          <w:tcPr>
            <w:tcW w:w="3715" w:type="dxa"/>
            <w:vAlign w:val="bottom"/>
          </w:tcPr>
          <w:p w14:paraId="2819EEC7" w14:textId="77777777" w:rsidR="00E33030" w:rsidRDefault="00E33030">
            <w:pPr>
              <w:rPr>
                <w:sz w:val="20"/>
                <w:szCs w:val="20"/>
              </w:rPr>
            </w:pPr>
            <w:r>
              <w:rPr>
                <w:rFonts w:eastAsia="Times New Roman"/>
                <w:sz w:val="24"/>
                <w:szCs w:val="24"/>
              </w:rPr>
              <w:t>o-Dichlorobenzene</w:t>
            </w:r>
          </w:p>
        </w:tc>
        <w:tc>
          <w:tcPr>
            <w:tcW w:w="2220" w:type="dxa"/>
            <w:vAlign w:val="bottom"/>
          </w:tcPr>
          <w:p w14:paraId="2819EEC8" w14:textId="77777777" w:rsidR="00E33030" w:rsidRDefault="00E33030" w:rsidP="00E33030">
            <w:pPr>
              <w:ind w:left="792"/>
              <w:rPr>
                <w:sz w:val="20"/>
                <w:szCs w:val="20"/>
              </w:rPr>
            </w:pPr>
            <w:r>
              <w:rPr>
                <w:rFonts w:eastAsia="Times New Roman"/>
                <w:sz w:val="24"/>
                <w:szCs w:val="24"/>
              </w:rPr>
              <w:t>0.6</w:t>
            </w:r>
          </w:p>
        </w:tc>
      </w:tr>
      <w:tr w:rsidR="00E33030" w14:paraId="2819EECE" w14:textId="77777777" w:rsidTr="00E33030">
        <w:trPr>
          <w:trHeight w:val="278"/>
        </w:trPr>
        <w:tc>
          <w:tcPr>
            <w:tcW w:w="1700" w:type="dxa"/>
            <w:vAlign w:val="bottom"/>
          </w:tcPr>
          <w:p w14:paraId="2819EECA" w14:textId="77777777" w:rsidR="00E33030" w:rsidRDefault="00E33030">
            <w:pPr>
              <w:rPr>
                <w:sz w:val="20"/>
                <w:szCs w:val="20"/>
              </w:rPr>
            </w:pPr>
            <w:r>
              <w:rPr>
                <w:rFonts w:eastAsia="Times New Roman"/>
                <w:sz w:val="24"/>
                <w:szCs w:val="24"/>
              </w:rPr>
              <w:t>(n)  100-42-5</w:t>
            </w:r>
          </w:p>
        </w:tc>
        <w:tc>
          <w:tcPr>
            <w:tcW w:w="3715" w:type="dxa"/>
            <w:vAlign w:val="bottom"/>
          </w:tcPr>
          <w:p w14:paraId="2819EECC" w14:textId="77777777" w:rsidR="00E33030" w:rsidRDefault="00E33030">
            <w:pPr>
              <w:rPr>
                <w:sz w:val="20"/>
                <w:szCs w:val="20"/>
              </w:rPr>
            </w:pPr>
            <w:r>
              <w:rPr>
                <w:rFonts w:eastAsia="Times New Roman"/>
                <w:sz w:val="24"/>
                <w:szCs w:val="24"/>
              </w:rPr>
              <w:t>Styrene</w:t>
            </w:r>
          </w:p>
        </w:tc>
        <w:tc>
          <w:tcPr>
            <w:tcW w:w="2220" w:type="dxa"/>
            <w:vAlign w:val="bottom"/>
          </w:tcPr>
          <w:p w14:paraId="2819EECD" w14:textId="77777777" w:rsidR="00E33030" w:rsidRDefault="00E33030" w:rsidP="00E33030">
            <w:pPr>
              <w:ind w:left="792"/>
              <w:rPr>
                <w:sz w:val="20"/>
                <w:szCs w:val="20"/>
              </w:rPr>
            </w:pPr>
            <w:r>
              <w:rPr>
                <w:rFonts w:eastAsia="Times New Roman"/>
                <w:sz w:val="24"/>
                <w:szCs w:val="24"/>
              </w:rPr>
              <w:t>0.1</w:t>
            </w:r>
          </w:p>
        </w:tc>
      </w:tr>
      <w:tr w:rsidR="00E33030" w14:paraId="2819EED3" w14:textId="77777777" w:rsidTr="00E33030">
        <w:trPr>
          <w:trHeight w:val="281"/>
        </w:trPr>
        <w:tc>
          <w:tcPr>
            <w:tcW w:w="1700" w:type="dxa"/>
            <w:vAlign w:val="bottom"/>
          </w:tcPr>
          <w:p w14:paraId="2819EECF" w14:textId="77777777" w:rsidR="00E33030" w:rsidRDefault="00E33030">
            <w:pPr>
              <w:rPr>
                <w:sz w:val="20"/>
                <w:szCs w:val="20"/>
              </w:rPr>
            </w:pPr>
            <w:r>
              <w:rPr>
                <w:rFonts w:eastAsia="Times New Roman"/>
                <w:sz w:val="24"/>
                <w:szCs w:val="24"/>
              </w:rPr>
              <w:t>(o)  127-18-4</w:t>
            </w:r>
          </w:p>
        </w:tc>
        <w:tc>
          <w:tcPr>
            <w:tcW w:w="3715" w:type="dxa"/>
            <w:vAlign w:val="bottom"/>
          </w:tcPr>
          <w:p w14:paraId="2819EED1" w14:textId="77777777" w:rsidR="00E33030" w:rsidRDefault="00E33030">
            <w:pPr>
              <w:rPr>
                <w:sz w:val="20"/>
                <w:szCs w:val="20"/>
              </w:rPr>
            </w:pPr>
            <w:r>
              <w:rPr>
                <w:rFonts w:eastAsia="Times New Roman"/>
                <w:sz w:val="24"/>
                <w:szCs w:val="24"/>
              </w:rPr>
              <w:t>Tetrachloroethylene</w:t>
            </w:r>
          </w:p>
        </w:tc>
        <w:tc>
          <w:tcPr>
            <w:tcW w:w="2220" w:type="dxa"/>
            <w:vAlign w:val="bottom"/>
          </w:tcPr>
          <w:p w14:paraId="2819EED2" w14:textId="77777777" w:rsidR="00E33030" w:rsidRDefault="00E33030" w:rsidP="00E33030">
            <w:pPr>
              <w:ind w:left="792"/>
              <w:rPr>
                <w:sz w:val="20"/>
                <w:szCs w:val="20"/>
              </w:rPr>
            </w:pPr>
            <w:r>
              <w:rPr>
                <w:rFonts w:eastAsia="Times New Roman"/>
                <w:sz w:val="24"/>
                <w:szCs w:val="24"/>
              </w:rPr>
              <w:t>0.005</w:t>
            </w:r>
          </w:p>
        </w:tc>
      </w:tr>
      <w:tr w:rsidR="00E33030" w14:paraId="2819EED8" w14:textId="77777777" w:rsidTr="00E33030">
        <w:trPr>
          <w:trHeight w:val="278"/>
        </w:trPr>
        <w:tc>
          <w:tcPr>
            <w:tcW w:w="1700" w:type="dxa"/>
            <w:vAlign w:val="bottom"/>
          </w:tcPr>
          <w:p w14:paraId="2819EED4" w14:textId="77777777" w:rsidR="00E33030" w:rsidRDefault="00E33030">
            <w:pPr>
              <w:rPr>
                <w:sz w:val="20"/>
                <w:szCs w:val="20"/>
              </w:rPr>
            </w:pPr>
            <w:r>
              <w:rPr>
                <w:rFonts w:eastAsia="Times New Roman"/>
                <w:sz w:val="24"/>
                <w:szCs w:val="24"/>
              </w:rPr>
              <w:t>(p)  108-88-3</w:t>
            </w:r>
          </w:p>
        </w:tc>
        <w:tc>
          <w:tcPr>
            <w:tcW w:w="3715" w:type="dxa"/>
            <w:vAlign w:val="bottom"/>
          </w:tcPr>
          <w:p w14:paraId="2819EED6" w14:textId="77777777" w:rsidR="00E33030" w:rsidRDefault="00E33030">
            <w:pPr>
              <w:rPr>
                <w:sz w:val="20"/>
                <w:szCs w:val="20"/>
              </w:rPr>
            </w:pPr>
            <w:r>
              <w:rPr>
                <w:rFonts w:eastAsia="Times New Roman"/>
                <w:sz w:val="24"/>
                <w:szCs w:val="24"/>
              </w:rPr>
              <w:t>Toluene</w:t>
            </w:r>
          </w:p>
        </w:tc>
        <w:tc>
          <w:tcPr>
            <w:tcW w:w="2220" w:type="dxa"/>
            <w:vAlign w:val="bottom"/>
          </w:tcPr>
          <w:p w14:paraId="2819EED7" w14:textId="77777777" w:rsidR="00E33030" w:rsidRDefault="00E33030" w:rsidP="00E33030">
            <w:pPr>
              <w:ind w:left="792"/>
              <w:rPr>
                <w:sz w:val="20"/>
                <w:szCs w:val="20"/>
              </w:rPr>
            </w:pPr>
            <w:r>
              <w:rPr>
                <w:rFonts w:eastAsia="Times New Roman"/>
                <w:sz w:val="24"/>
                <w:szCs w:val="24"/>
              </w:rPr>
              <w:t>1</w:t>
            </w:r>
          </w:p>
        </w:tc>
      </w:tr>
      <w:tr w:rsidR="00E33030" w14:paraId="2819EEDD" w14:textId="77777777" w:rsidTr="00E33030">
        <w:trPr>
          <w:trHeight w:val="281"/>
        </w:trPr>
        <w:tc>
          <w:tcPr>
            <w:tcW w:w="1700" w:type="dxa"/>
            <w:vAlign w:val="bottom"/>
          </w:tcPr>
          <w:p w14:paraId="2819EED9" w14:textId="77777777" w:rsidR="00E33030" w:rsidRDefault="00E33030">
            <w:pPr>
              <w:rPr>
                <w:sz w:val="20"/>
                <w:szCs w:val="20"/>
              </w:rPr>
            </w:pPr>
            <w:r>
              <w:rPr>
                <w:rFonts w:eastAsia="Times New Roman"/>
                <w:sz w:val="24"/>
                <w:szCs w:val="24"/>
              </w:rPr>
              <w:t>(q)  156-60-5</w:t>
            </w:r>
          </w:p>
        </w:tc>
        <w:tc>
          <w:tcPr>
            <w:tcW w:w="3715" w:type="dxa"/>
            <w:vAlign w:val="bottom"/>
          </w:tcPr>
          <w:p w14:paraId="2819EEDB" w14:textId="77777777" w:rsidR="00E33030" w:rsidRDefault="00E33030">
            <w:pPr>
              <w:rPr>
                <w:sz w:val="20"/>
                <w:szCs w:val="20"/>
              </w:rPr>
            </w:pPr>
            <w:r>
              <w:rPr>
                <w:rFonts w:eastAsia="Times New Roman"/>
                <w:sz w:val="24"/>
                <w:szCs w:val="24"/>
              </w:rPr>
              <w:t>trans-1,2-Dichloroethylene</w:t>
            </w:r>
          </w:p>
        </w:tc>
        <w:tc>
          <w:tcPr>
            <w:tcW w:w="2220" w:type="dxa"/>
            <w:vAlign w:val="bottom"/>
          </w:tcPr>
          <w:p w14:paraId="2819EEDC" w14:textId="77777777" w:rsidR="00E33030" w:rsidRDefault="00E33030" w:rsidP="00E33030">
            <w:pPr>
              <w:ind w:left="792"/>
              <w:rPr>
                <w:sz w:val="20"/>
                <w:szCs w:val="20"/>
              </w:rPr>
            </w:pPr>
            <w:r>
              <w:rPr>
                <w:rFonts w:eastAsia="Times New Roman"/>
                <w:sz w:val="24"/>
                <w:szCs w:val="24"/>
              </w:rPr>
              <w:t>0.1</w:t>
            </w:r>
          </w:p>
        </w:tc>
      </w:tr>
      <w:tr w:rsidR="00E33030" w14:paraId="2819EEE2" w14:textId="77777777" w:rsidTr="00E33030">
        <w:trPr>
          <w:trHeight w:val="278"/>
        </w:trPr>
        <w:tc>
          <w:tcPr>
            <w:tcW w:w="1700" w:type="dxa"/>
            <w:vAlign w:val="bottom"/>
          </w:tcPr>
          <w:p w14:paraId="2819EEDE" w14:textId="77777777" w:rsidR="00E33030" w:rsidRDefault="00E33030">
            <w:pPr>
              <w:rPr>
                <w:sz w:val="20"/>
                <w:szCs w:val="20"/>
              </w:rPr>
            </w:pPr>
            <w:r>
              <w:rPr>
                <w:rFonts w:eastAsia="Times New Roman"/>
                <w:sz w:val="24"/>
                <w:szCs w:val="24"/>
              </w:rPr>
              <w:t>(r)  1330-20-7</w:t>
            </w:r>
          </w:p>
        </w:tc>
        <w:tc>
          <w:tcPr>
            <w:tcW w:w="3715" w:type="dxa"/>
            <w:vAlign w:val="bottom"/>
          </w:tcPr>
          <w:p w14:paraId="2819EEE0" w14:textId="77777777" w:rsidR="00E33030" w:rsidRDefault="00E33030">
            <w:pPr>
              <w:rPr>
                <w:sz w:val="20"/>
                <w:szCs w:val="20"/>
              </w:rPr>
            </w:pPr>
            <w:r>
              <w:rPr>
                <w:rFonts w:eastAsia="Times New Roman"/>
                <w:sz w:val="24"/>
                <w:szCs w:val="24"/>
              </w:rPr>
              <w:t>Xylenes (total)</w:t>
            </w:r>
          </w:p>
        </w:tc>
        <w:tc>
          <w:tcPr>
            <w:tcW w:w="2220" w:type="dxa"/>
            <w:vAlign w:val="bottom"/>
          </w:tcPr>
          <w:p w14:paraId="2819EEE1" w14:textId="77777777" w:rsidR="00E33030" w:rsidRDefault="00E33030" w:rsidP="00E33030">
            <w:pPr>
              <w:ind w:left="792"/>
              <w:rPr>
                <w:sz w:val="20"/>
                <w:szCs w:val="20"/>
              </w:rPr>
            </w:pPr>
            <w:r>
              <w:rPr>
                <w:rFonts w:eastAsia="Times New Roman"/>
                <w:sz w:val="24"/>
                <w:szCs w:val="24"/>
              </w:rPr>
              <w:t>10</w:t>
            </w:r>
          </w:p>
        </w:tc>
      </w:tr>
      <w:tr w:rsidR="00E33030" w14:paraId="2819EEE7" w14:textId="77777777" w:rsidTr="00E33030">
        <w:trPr>
          <w:trHeight w:val="281"/>
        </w:trPr>
        <w:tc>
          <w:tcPr>
            <w:tcW w:w="1700" w:type="dxa"/>
            <w:vAlign w:val="bottom"/>
          </w:tcPr>
          <w:p w14:paraId="2819EEE3" w14:textId="77777777" w:rsidR="00E33030" w:rsidRDefault="00E33030">
            <w:pPr>
              <w:rPr>
                <w:sz w:val="20"/>
                <w:szCs w:val="20"/>
              </w:rPr>
            </w:pPr>
            <w:r>
              <w:rPr>
                <w:rFonts w:eastAsia="Times New Roman"/>
                <w:sz w:val="24"/>
                <w:szCs w:val="24"/>
              </w:rPr>
              <w:t>(s)  75-09-2</w:t>
            </w:r>
          </w:p>
        </w:tc>
        <w:tc>
          <w:tcPr>
            <w:tcW w:w="3715" w:type="dxa"/>
            <w:vAlign w:val="bottom"/>
          </w:tcPr>
          <w:p w14:paraId="2819EEE5" w14:textId="77777777" w:rsidR="00E33030" w:rsidRDefault="00E33030">
            <w:pPr>
              <w:rPr>
                <w:sz w:val="20"/>
                <w:szCs w:val="20"/>
              </w:rPr>
            </w:pPr>
            <w:r>
              <w:rPr>
                <w:rFonts w:eastAsia="Times New Roman"/>
                <w:sz w:val="24"/>
                <w:szCs w:val="24"/>
              </w:rPr>
              <w:t>Dichloromethane</w:t>
            </w:r>
          </w:p>
        </w:tc>
        <w:tc>
          <w:tcPr>
            <w:tcW w:w="2220" w:type="dxa"/>
            <w:vAlign w:val="bottom"/>
          </w:tcPr>
          <w:p w14:paraId="2819EEE6" w14:textId="77777777" w:rsidR="00E33030" w:rsidRDefault="00E33030" w:rsidP="00E33030">
            <w:pPr>
              <w:ind w:left="792"/>
              <w:rPr>
                <w:sz w:val="20"/>
                <w:szCs w:val="20"/>
              </w:rPr>
            </w:pPr>
            <w:r>
              <w:rPr>
                <w:rFonts w:eastAsia="Times New Roman"/>
                <w:sz w:val="24"/>
                <w:szCs w:val="24"/>
              </w:rPr>
              <w:t>0.005</w:t>
            </w:r>
          </w:p>
        </w:tc>
      </w:tr>
      <w:tr w:rsidR="00E33030" w14:paraId="2819EEEC" w14:textId="77777777" w:rsidTr="00E33030">
        <w:trPr>
          <w:trHeight w:val="278"/>
        </w:trPr>
        <w:tc>
          <w:tcPr>
            <w:tcW w:w="1700" w:type="dxa"/>
            <w:vAlign w:val="bottom"/>
          </w:tcPr>
          <w:p w14:paraId="2819EEE8" w14:textId="77777777" w:rsidR="00E33030" w:rsidRDefault="00E33030">
            <w:pPr>
              <w:rPr>
                <w:sz w:val="20"/>
                <w:szCs w:val="20"/>
              </w:rPr>
            </w:pPr>
            <w:r>
              <w:rPr>
                <w:rFonts w:eastAsia="Times New Roman"/>
                <w:sz w:val="24"/>
                <w:szCs w:val="24"/>
              </w:rPr>
              <w:t>(t)  120-82-1</w:t>
            </w:r>
          </w:p>
        </w:tc>
        <w:tc>
          <w:tcPr>
            <w:tcW w:w="3715" w:type="dxa"/>
            <w:vAlign w:val="bottom"/>
          </w:tcPr>
          <w:p w14:paraId="2819EEEA" w14:textId="77777777" w:rsidR="00E33030" w:rsidRDefault="00E33030">
            <w:pPr>
              <w:rPr>
                <w:sz w:val="20"/>
                <w:szCs w:val="20"/>
              </w:rPr>
            </w:pPr>
            <w:r>
              <w:rPr>
                <w:rFonts w:eastAsia="Times New Roman"/>
                <w:sz w:val="24"/>
                <w:szCs w:val="24"/>
              </w:rPr>
              <w:t>1,2,4-Trichlorobenzene</w:t>
            </w:r>
          </w:p>
        </w:tc>
        <w:tc>
          <w:tcPr>
            <w:tcW w:w="2220" w:type="dxa"/>
            <w:vAlign w:val="bottom"/>
          </w:tcPr>
          <w:p w14:paraId="2819EEEB" w14:textId="77777777" w:rsidR="00E33030" w:rsidRDefault="00E33030" w:rsidP="00E33030">
            <w:pPr>
              <w:ind w:left="792"/>
              <w:rPr>
                <w:sz w:val="20"/>
                <w:szCs w:val="20"/>
              </w:rPr>
            </w:pPr>
            <w:r>
              <w:rPr>
                <w:rFonts w:eastAsia="Times New Roman"/>
                <w:sz w:val="24"/>
                <w:szCs w:val="24"/>
              </w:rPr>
              <w:t>0.07</w:t>
            </w:r>
          </w:p>
        </w:tc>
      </w:tr>
      <w:tr w:rsidR="00E33030" w14:paraId="2819EEF1" w14:textId="77777777" w:rsidTr="00E33030">
        <w:trPr>
          <w:trHeight w:val="312"/>
        </w:trPr>
        <w:tc>
          <w:tcPr>
            <w:tcW w:w="1700" w:type="dxa"/>
            <w:vAlign w:val="bottom"/>
          </w:tcPr>
          <w:p w14:paraId="2819EEED" w14:textId="77777777" w:rsidR="00E33030" w:rsidRDefault="00E33030">
            <w:pPr>
              <w:rPr>
                <w:sz w:val="20"/>
                <w:szCs w:val="20"/>
              </w:rPr>
            </w:pPr>
            <w:r>
              <w:rPr>
                <w:rFonts w:eastAsia="Times New Roman"/>
                <w:sz w:val="24"/>
                <w:szCs w:val="24"/>
              </w:rPr>
              <w:t>(u)  79-00-5</w:t>
            </w:r>
          </w:p>
        </w:tc>
        <w:tc>
          <w:tcPr>
            <w:tcW w:w="3715" w:type="dxa"/>
            <w:vAlign w:val="bottom"/>
          </w:tcPr>
          <w:p w14:paraId="2819EEEF" w14:textId="77777777" w:rsidR="00E33030" w:rsidRDefault="00E33030">
            <w:pPr>
              <w:rPr>
                <w:sz w:val="20"/>
                <w:szCs w:val="20"/>
              </w:rPr>
            </w:pPr>
            <w:r>
              <w:rPr>
                <w:rFonts w:eastAsia="Times New Roman"/>
                <w:sz w:val="24"/>
                <w:szCs w:val="24"/>
              </w:rPr>
              <w:t>1,1,2-Trichloroethane</w:t>
            </w:r>
          </w:p>
        </w:tc>
        <w:tc>
          <w:tcPr>
            <w:tcW w:w="2220" w:type="dxa"/>
            <w:vAlign w:val="bottom"/>
          </w:tcPr>
          <w:p w14:paraId="2819EEF0" w14:textId="77777777" w:rsidR="00E33030" w:rsidRDefault="00E33030" w:rsidP="00E33030">
            <w:pPr>
              <w:ind w:left="792"/>
              <w:rPr>
                <w:sz w:val="20"/>
                <w:szCs w:val="20"/>
              </w:rPr>
            </w:pPr>
            <w:r>
              <w:rPr>
                <w:rFonts w:eastAsia="Times New Roman"/>
                <w:sz w:val="24"/>
                <w:szCs w:val="24"/>
              </w:rPr>
              <w:t>0.005</w:t>
            </w:r>
          </w:p>
        </w:tc>
      </w:tr>
    </w:tbl>
    <w:p w14:paraId="2819EEF2" w14:textId="77777777" w:rsidR="004647B9" w:rsidRPr="00A012EF" w:rsidRDefault="004647B9">
      <w:pPr>
        <w:spacing w:line="247" w:lineRule="exact"/>
        <w:rPr>
          <w:sz w:val="24"/>
          <w:szCs w:val="24"/>
        </w:rPr>
      </w:pPr>
    </w:p>
    <w:p w14:paraId="2819EEF3" w14:textId="77777777" w:rsidR="004647B9" w:rsidRPr="001F1ECC" w:rsidRDefault="00E2436F" w:rsidP="00A012EF">
      <w:pPr>
        <w:numPr>
          <w:ilvl w:val="0"/>
          <w:numId w:val="255"/>
        </w:numPr>
        <w:tabs>
          <w:tab w:val="left" w:pos="1615"/>
        </w:tabs>
        <w:ind w:left="1200"/>
        <w:jc w:val="both"/>
        <w:rPr>
          <w:rFonts w:eastAsia="Times New Roman"/>
          <w:sz w:val="24"/>
          <w:szCs w:val="24"/>
        </w:rPr>
      </w:pPr>
      <w:r w:rsidRPr="001F1ECC">
        <w:rPr>
          <w:rFonts w:eastAsia="Times New Roman"/>
          <w:sz w:val="24"/>
          <w:szCs w:val="24"/>
          <w:u w:val="single"/>
        </w:rPr>
        <w:t>VOC Sampling Requirements</w:t>
      </w:r>
      <w:r w:rsidRPr="001F1ECC">
        <w:rPr>
          <w:rFonts w:eastAsia="Times New Roman"/>
          <w:sz w:val="24"/>
          <w:szCs w:val="24"/>
        </w:rPr>
        <w:t>. Beginning with the initial compliance period analysis of the contaminants listed in 310 CMR 22.07B(1) for the purpose of determining compliance with the maximum contaminant level the monitoring shall be conducted as follows:</w:t>
      </w:r>
    </w:p>
    <w:p w14:paraId="2819EEF5" w14:textId="77777777" w:rsidR="004647B9" w:rsidRPr="001F1ECC" w:rsidRDefault="00E2436F" w:rsidP="00A012EF">
      <w:pPr>
        <w:numPr>
          <w:ilvl w:val="1"/>
          <w:numId w:val="255"/>
        </w:numPr>
        <w:tabs>
          <w:tab w:val="left" w:pos="1946"/>
        </w:tabs>
        <w:ind w:left="1560" w:hanging="5"/>
        <w:jc w:val="both"/>
        <w:rPr>
          <w:rFonts w:eastAsia="Times New Roman"/>
          <w:sz w:val="24"/>
          <w:szCs w:val="24"/>
        </w:rPr>
      </w:pPr>
      <w:r w:rsidRPr="001F1ECC">
        <w:rPr>
          <w:rFonts w:eastAsia="Times New Roman"/>
          <w:sz w:val="24"/>
          <w:szCs w:val="24"/>
          <w:u w:val="single"/>
        </w:rPr>
        <w:t>VOC Ground Water Monitoring Protocols</w:t>
      </w:r>
      <w:r w:rsidRPr="001F1ECC">
        <w:rPr>
          <w:rFonts w:eastAsia="Times New Roman"/>
          <w:sz w:val="24"/>
          <w:szCs w:val="24"/>
        </w:rPr>
        <w:t>. Groundwater systems shall take a minimum of one sample at every entry point to the distribution system which is representative of each well after treatment (sampling point). If conditions warrant, the Department may designate additional sampling points within the distribution system or at the consumer's tap which more accurately determines consumer exposure. Each sample must be taken at the same sampling point unless the Department determine that conditions make another sampling point more representative of each source, treatment plant, or within the distribution system.</w:t>
      </w:r>
    </w:p>
    <w:p w14:paraId="2819EEF6" w14:textId="77777777" w:rsidR="004647B9" w:rsidRDefault="004647B9">
      <w:pPr>
        <w:sectPr w:rsidR="004647B9" w:rsidSect="00EF630C">
          <w:pgSz w:w="12240" w:h="20180"/>
          <w:pgMar w:top="708" w:right="1440" w:bottom="1440" w:left="600" w:header="0" w:footer="0" w:gutter="0"/>
          <w:cols w:space="720" w:equalWidth="0">
            <w:col w:w="10200"/>
          </w:cols>
        </w:sectPr>
      </w:pPr>
    </w:p>
    <w:p w14:paraId="2819EEF7" w14:textId="77777777" w:rsidR="004647B9" w:rsidRDefault="00E2436F">
      <w:pPr>
        <w:tabs>
          <w:tab w:val="left" w:pos="160"/>
        </w:tabs>
        <w:jc w:val="center"/>
        <w:rPr>
          <w:sz w:val="20"/>
          <w:szCs w:val="20"/>
        </w:rPr>
      </w:pPr>
      <w:bookmarkStart w:id="104" w:name="page106"/>
      <w:bookmarkEnd w:id="10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EF8" w14:textId="77777777" w:rsidR="004647B9" w:rsidRDefault="004647B9" w:rsidP="00A30460">
      <w:pPr>
        <w:rPr>
          <w:sz w:val="20"/>
          <w:szCs w:val="20"/>
        </w:rPr>
      </w:pPr>
    </w:p>
    <w:p w14:paraId="2819EEF9" w14:textId="77777777" w:rsidR="004647B9" w:rsidRDefault="004647B9" w:rsidP="00A30460">
      <w:pPr>
        <w:rPr>
          <w:sz w:val="20"/>
          <w:szCs w:val="20"/>
        </w:rPr>
      </w:pPr>
    </w:p>
    <w:p w14:paraId="2819EEFA" w14:textId="77777777" w:rsidR="004647B9" w:rsidRDefault="00E2436F" w:rsidP="00A30460">
      <w:pPr>
        <w:tabs>
          <w:tab w:val="left" w:pos="920"/>
        </w:tabs>
        <w:rPr>
          <w:sz w:val="20"/>
          <w:szCs w:val="20"/>
        </w:rPr>
      </w:pPr>
      <w:r>
        <w:rPr>
          <w:rFonts w:eastAsia="Times New Roman"/>
          <w:sz w:val="24"/>
          <w:szCs w:val="24"/>
        </w:rPr>
        <w:t>22.07B:</w:t>
      </w:r>
      <w:r>
        <w:rPr>
          <w:rFonts w:eastAsia="Times New Roman"/>
          <w:sz w:val="24"/>
          <w:szCs w:val="24"/>
        </w:rPr>
        <w:tab/>
        <w:t>continued</w:t>
      </w:r>
    </w:p>
    <w:p w14:paraId="2819EEFB" w14:textId="77777777" w:rsidR="004647B9" w:rsidRDefault="004647B9" w:rsidP="00A30460">
      <w:pPr>
        <w:rPr>
          <w:sz w:val="20"/>
          <w:szCs w:val="20"/>
        </w:rPr>
      </w:pPr>
    </w:p>
    <w:p w14:paraId="2819EEFC" w14:textId="77777777" w:rsidR="004647B9" w:rsidRDefault="00E2436F" w:rsidP="00A30460">
      <w:pPr>
        <w:numPr>
          <w:ilvl w:val="1"/>
          <w:numId w:val="256"/>
        </w:numPr>
        <w:tabs>
          <w:tab w:val="left" w:pos="2128"/>
        </w:tabs>
        <w:ind w:left="1560" w:hanging="5"/>
        <w:jc w:val="both"/>
        <w:rPr>
          <w:rFonts w:eastAsia="Times New Roman"/>
          <w:sz w:val="24"/>
          <w:szCs w:val="24"/>
        </w:rPr>
      </w:pPr>
      <w:r>
        <w:rPr>
          <w:rFonts w:eastAsia="Times New Roman"/>
          <w:sz w:val="24"/>
          <w:szCs w:val="24"/>
          <w:u w:val="single"/>
        </w:rPr>
        <w:t>VOC Surface Water Monitoring Protocols</w:t>
      </w:r>
      <w:r>
        <w:rPr>
          <w:rFonts w:eastAsia="Times New Roman"/>
          <w:sz w:val="24"/>
          <w:szCs w:val="24"/>
        </w:rPr>
        <w:t>. Surface water systems (or combined surface/ground) shall take a minimum of one sample at points in the distribution system that are representative of each source or at each entry point to the distribution system after treatment (sampling point). If conditions warrant, the Department may designate additional sampling points within the distribution system or at the consumer's tap which more accurately determines consumer exposure. Each sample must be taken at the same sampling point unless conditions make another sampling point more representative of each source, treatment plant, or within the distribution system.</w:t>
      </w:r>
    </w:p>
    <w:p w14:paraId="2819EEFE" w14:textId="77777777" w:rsidR="004647B9" w:rsidRDefault="00E2436F" w:rsidP="00A30460">
      <w:pPr>
        <w:numPr>
          <w:ilvl w:val="1"/>
          <w:numId w:val="256"/>
        </w:numPr>
        <w:tabs>
          <w:tab w:val="left" w:pos="1961"/>
        </w:tabs>
        <w:ind w:left="1560" w:hanging="5"/>
        <w:jc w:val="both"/>
        <w:rPr>
          <w:rFonts w:eastAsia="Times New Roman"/>
          <w:sz w:val="24"/>
          <w:szCs w:val="24"/>
        </w:rPr>
      </w:pPr>
      <w:r>
        <w:rPr>
          <w:rFonts w:eastAsia="Times New Roman"/>
          <w:sz w:val="24"/>
          <w:szCs w:val="24"/>
          <w:u w:val="single"/>
        </w:rPr>
        <w:t>Multiple Sources</w:t>
      </w:r>
      <w:r>
        <w:rPr>
          <w:rFonts w:eastAsia="Times New Roman"/>
          <w:sz w:val="24"/>
          <w:szCs w:val="24"/>
        </w:rPr>
        <w:t>. If the system draws water from more than one source and the sources are combined before distribution, the system must sample at an entry point to the distribution system during periods of normal operating conditions (</w:t>
      </w:r>
      <w:r>
        <w:rPr>
          <w:rFonts w:eastAsia="Times New Roman"/>
          <w:i/>
          <w:iCs/>
          <w:sz w:val="24"/>
          <w:szCs w:val="24"/>
        </w:rPr>
        <w:t>i.e</w:t>
      </w:r>
      <w:r>
        <w:rPr>
          <w:rFonts w:eastAsia="Times New Roman"/>
          <w:sz w:val="24"/>
          <w:szCs w:val="24"/>
        </w:rPr>
        <w:t>., when water representative of all sources is being used).</w:t>
      </w:r>
    </w:p>
    <w:p w14:paraId="2819EEFF" w14:textId="77777777" w:rsidR="004647B9" w:rsidRDefault="00E2436F" w:rsidP="00A30460">
      <w:pPr>
        <w:numPr>
          <w:ilvl w:val="1"/>
          <w:numId w:val="256"/>
        </w:numPr>
        <w:tabs>
          <w:tab w:val="left" w:pos="1970"/>
        </w:tabs>
        <w:ind w:left="1560" w:hanging="5"/>
        <w:jc w:val="both"/>
        <w:rPr>
          <w:rFonts w:eastAsia="Times New Roman"/>
          <w:sz w:val="24"/>
          <w:szCs w:val="24"/>
        </w:rPr>
      </w:pPr>
      <w:r>
        <w:rPr>
          <w:rFonts w:eastAsia="Times New Roman"/>
          <w:sz w:val="24"/>
          <w:szCs w:val="24"/>
          <w:u w:val="single"/>
        </w:rPr>
        <w:t>Initial VOCs Sampling Frequency</w:t>
      </w:r>
      <w:r>
        <w:rPr>
          <w:rFonts w:eastAsia="Times New Roman"/>
          <w:sz w:val="24"/>
          <w:szCs w:val="24"/>
        </w:rPr>
        <w:t>. Each community and non-transient non-community water system shall take four consecutive quarterly samples for each contaminant listed in 310 CMR 22.07B(1) during each compliance period, beginning in the initial compliance period.</w:t>
      </w:r>
    </w:p>
    <w:p w14:paraId="2819EF00" w14:textId="55B8332D" w:rsidR="004647B9" w:rsidRDefault="004B4910" w:rsidP="00A30460">
      <w:pPr>
        <w:numPr>
          <w:ilvl w:val="1"/>
          <w:numId w:val="256"/>
        </w:numPr>
        <w:tabs>
          <w:tab w:val="left" w:pos="2126"/>
        </w:tabs>
        <w:ind w:left="1560" w:hanging="5"/>
        <w:jc w:val="both"/>
        <w:rPr>
          <w:rFonts w:eastAsia="Times New Roman"/>
          <w:sz w:val="24"/>
          <w:szCs w:val="24"/>
        </w:rPr>
      </w:pPr>
      <w:r>
        <w:rPr>
          <w:rFonts w:eastAsia="Times New Roman"/>
          <w:sz w:val="24"/>
          <w:szCs w:val="24"/>
          <w:u w:val="single"/>
        </w:rPr>
        <w:t xml:space="preserve">Previously Collected </w:t>
      </w:r>
      <w:r w:rsidR="00E2436F">
        <w:rPr>
          <w:rFonts w:eastAsia="Times New Roman"/>
          <w:sz w:val="24"/>
          <w:szCs w:val="24"/>
          <w:u w:val="single"/>
        </w:rPr>
        <w:t>VOC Data with No Detects - Reduced Monitoring</w:t>
      </w:r>
      <w:r w:rsidR="00E2436F">
        <w:rPr>
          <w:rFonts w:eastAsia="Times New Roman"/>
          <w:sz w:val="24"/>
          <w:szCs w:val="24"/>
        </w:rPr>
        <w:t xml:space="preserve">. If the initial monitoring for contaminants listed in 310 CMR 22.07B(1) as allowed in 310 CMR 22.07B(10), has been completed by December 31, 1992, and the system did not exceed the detection levels in 310 CMR 22.07B(4) </w:t>
      </w:r>
      <w:r w:rsidR="00563013">
        <w:rPr>
          <w:rFonts w:eastAsia="Times New Roman"/>
          <w:sz w:val="24"/>
          <w:szCs w:val="24"/>
        </w:rPr>
        <w:t xml:space="preserve">for </w:t>
      </w:r>
      <w:r w:rsidR="00E2436F">
        <w:rPr>
          <w:rFonts w:eastAsia="Times New Roman"/>
          <w:sz w:val="24"/>
          <w:szCs w:val="24"/>
        </w:rPr>
        <w:t xml:space="preserve">any contaminant listed in 310 CMR 22.07B(1), then each ground and surface water system shall take one sample annually beginning with the initial </w:t>
      </w:r>
      <w:r w:rsidR="00CA0E0B">
        <w:rPr>
          <w:rFonts w:eastAsia="Times New Roman"/>
          <w:sz w:val="24"/>
          <w:szCs w:val="24"/>
        </w:rPr>
        <w:t>C</w:t>
      </w:r>
      <w:r w:rsidR="00E2436F">
        <w:rPr>
          <w:rFonts w:eastAsia="Times New Roman"/>
          <w:sz w:val="24"/>
          <w:szCs w:val="24"/>
        </w:rPr>
        <w:t xml:space="preserve">ompliance </w:t>
      </w:r>
      <w:r w:rsidR="00CA0E0B">
        <w:rPr>
          <w:rFonts w:eastAsia="Times New Roman"/>
          <w:sz w:val="24"/>
          <w:szCs w:val="24"/>
        </w:rPr>
        <w:t>P</w:t>
      </w:r>
      <w:r w:rsidR="00E2436F">
        <w:rPr>
          <w:rFonts w:eastAsia="Times New Roman"/>
          <w:sz w:val="24"/>
          <w:szCs w:val="24"/>
        </w:rPr>
        <w:t>eriod.</w:t>
      </w:r>
    </w:p>
    <w:p w14:paraId="2819EF02" w14:textId="77777777" w:rsidR="004647B9" w:rsidRDefault="00E2436F" w:rsidP="00A30460">
      <w:pPr>
        <w:numPr>
          <w:ilvl w:val="1"/>
          <w:numId w:val="256"/>
        </w:numPr>
        <w:tabs>
          <w:tab w:val="left" w:pos="1937"/>
        </w:tabs>
        <w:ind w:left="1560" w:hanging="5"/>
        <w:jc w:val="both"/>
        <w:rPr>
          <w:rFonts w:eastAsia="Times New Roman"/>
          <w:sz w:val="24"/>
          <w:szCs w:val="24"/>
        </w:rPr>
      </w:pPr>
      <w:r>
        <w:rPr>
          <w:rFonts w:eastAsia="Times New Roman"/>
          <w:sz w:val="24"/>
          <w:szCs w:val="24"/>
          <w:u w:val="single"/>
        </w:rPr>
        <w:t>Reduced VOC Sampling - Annually</w:t>
      </w:r>
      <w:r>
        <w:rPr>
          <w:rFonts w:eastAsia="Times New Roman"/>
          <w:sz w:val="24"/>
          <w:szCs w:val="24"/>
        </w:rPr>
        <w:t>. Groundwater and surface water systems which do not detect one of the contaminants listed in 310 CMR 22.07B(1) after conducting the initial round of monitoring required in 310 CMR 22.07B(2)(a) and (b) shall take one sample annually.</w:t>
      </w:r>
    </w:p>
    <w:p w14:paraId="2819EF03" w14:textId="77777777" w:rsidR="004647B9" w:rsidRDefault="004647B9" w:rsidP="00A30460">
      <w:pPr>
        <w:rPr>
          <w:rFonts w:eastAsia="Times New Roman"/>
          <w:sz w:val="24"/>
          <w:szCs w:val="24"/>
        </w:rPr>
      </w:pPr>
    </w:p>
    <w:p w14:paraId="2819EF04" w14:textId="77777777" w:rsidR="004647B9" w:rsidRPr="001F1ECC" w:rsidRDefault="00E2436F" w:rsidP="00A30460">
      <w:pPr>
        <w:numPr>
          <w:ilvl w:val="0"/>
          <w:numId w:val="257"/>
        </w:numPr>
        <w:tabs>
          <w:tab w:val="left" w:pos="1595"/>
        </w:tabs>
        <w:ind w:left="1200"/>
        <w:jc w:val="both"/>
        <w:rPr>
          <w:rFonts w:eastAsia="Times New Roman"/>
          <w:sz w:val="24"/>
          <w:szCs w:val="24"/>
        </w:rPr>
      </w:pPr>
      <w:r w:rsidRPr="001F1ECC">
        <w:rPr>
          <w:rFonts w:eastAsia="Times New Roman"/>
          <w:sz w:val="24"/>
          <w:szCs w:val="24"/>
          <w:u w:val="single"/>
        </w:rPr>
        <w:t>VOC Sampling Waivers</w:t>
      </w:r>
      <w:r w:rsidRPr="001F1ECC">
        <w:rPr>
          <w:rFonts w:eastAsia="Times New Roman"/>
          <w:sz w:val="24"/>
          <w:szCs w:val="24"/>
        </w:rPr>
        <w:t xml:space="preserve">. Each community and non-transient non-community system which does not detect a contaminant listed in 310 CMR 22.07B(1) may apply to the Department for a waiver from the requirements of 310 CMR 22.07B(2)(d), (f) and (10) after completing the initial monitoring. (For the purposes of 310 CMR 22.07B, detection is defined as </w:t>
      </w:r>
      <w:r w:rsidRPr="001F1ECC">
        <w:rPr>
          <w:rFonts w:eastAsia="Times New Roman"/>
          <w:sz w:val="24"/>
          <w:szCs w:val="24"/>
          <w:u w:val="single"/>
        </w:rPr>
        <w:t>&gt;</w:t>
      </w:r>
      <w:r w:rsidRPr="001F1ECC">
        <w:rPr>
          <w:rFonts w:eastAsia="Times New Roman"/>
          <w:sz w:val="24"/>
          <w:szCs w:val="24"/>
        </w:rPr>
        <w:t>0.0005 mg/l.) A waiver shall be effective for no more than three years (one compliance period).</w:t>
      </w:r>
    </w:p>
    <w:p w14:paraId="2819EF06" w14:textId="77777777" w:rsidR="004647B9" w:rsidRPr="001F1ECC" w:rsidRDefault="00E2436F" w:rsidP="00A30460">
      <w:pPr>
        <w:numPr>
          <w:ilvl w:val="1"/>
          <w:numId w:val="257"/>
        </w:numPr>
        <w:tabs>
          <w:tab w:val="left" w:pos="1997"/>
        </w:tabs>
        <w:ind w:left="1560" w:hanging="5"/>
        <w:rPr>
          <w:rFonts w:eastAsia="Times New Roman"/>
          <w:sz w:val="24"/>
          <w:szCs w:val="24"/>
        </w:rPr>
      </w:pPr>
      <w:r w:rsidRPr="001F1ECC">
        <w:rPr>
          <w:rFonts w:eastAsia="Times New Roman"/>
          <w:sz w:val="24"/>
          <w:szCs w:val="24"/>
          <w:u w:val="single"/>
        </w:rPr>
        <w:t>Basis of a VOC Sampling Waiver</w:t>
      </w:r>
      <w:r w:rsidRPr="001F1ECC">
        <w:rPr>
          <w:rFonts w:eastAsia="Times New Roman"/>
          <w:sz w:val="24"/>
          <w:szCs w:val="24"/>
        </w:rPr>
        <w:t>. A Department may grant a waiver after evaluating the following factor(s):</w:t>
      </w:r>
    </w:p>
    <w:p w14:paraId="2819EF07" w14:textId="77777777" w:rsidR="004647B9" w:rsidRPr="001F1ECC" w:rsidRDefault="00E2436F" w:rsidP="00A30460">
      <w:pPr>
        <w:numPr>
          <w:ilvl w:val="2"/>
          <w:numId w:val="257"/>
        </w:numPr>
        <w:tabs>
          <w:tab w:val="left" w:pos="2431"/>
        </w:tabs>
        <w:ind w:left="1920" w:hanging="5"/>
        <w:jc w:val="both"/>
        <w:rPr>
          <w:rFonts w:eastAsia="Times New Roman"/>
          <w:sz w:val="24"/>
          <w:szCs w:val="24"/>
        </w:rPr>
      </w:pPr>
      <w:r w:rsidRPr="001F1ECC">
        <w:rPr>
          <w:rFonts w:eastAsia="Times New Roman"/>
          <w:sz w:val="24"/>
          <w:szCs w:val="24"/>
        </w:rPr>
        <w:t>Knowledge of previous use (including transport, storage, or disposal) of the contaminant within the watershed or zone of influence of the system. If a determination by the State reveals no previous use of the contaminant within the watershed or Zone II or IWPA, a waiver may be granted.</w:t>
      </w:r>
    </w:p>
    <w:p w14:paraId="2819EF08" w14:textId="77777777" w:rsidR="004647B9" w:rsidRPr="001F1ECC" w:rsidRDefault="00E2436F" w:rsidP="00A30460">
      <w:pPr>
        <w:numPr>
          <w:ilvl w:val="2"/>
          <w:numId w:val="257"/>
        </w:numPr>
        <w:tabs>
          <w:tab w:val="left" w:pos="2280"/>
        </w:tabs>
        <w:ind w:left="1920" w:hanging="5"/>
        <w:rPr>
          <w:rFonts w:eastAsia="Times New Roman"/>
          <w:sz w:val="24"/>
          <w:szCs w:val="24"/>
        </w:rPr>
      </w:pPr>
      <w:r w:rsidRPr="001F1ECC">
        <w:rPr>
          <w:rFonts w:eastAsia="Times New Roman"/>
          <w:sz w:val="24"/>
          <w:szCs w:val="24"/>
        </w:rPr>
        <w:t>If previous use of the contaminant is unknown or it has been used previously, then the following factors shall be used to determine whether a waiver is granted.</w:t>
      </w:r>
    </w:p>
    <w:p w14:paraId="2819EF09" w14:textId="77777777" w:rsidR="004647B9" w:rsidRPr="001F1ECC" w:rsidRDefault="00E2436F" w:rsidP="00A30460">
      <w:pPr>
        <w:numPr>
          <w:ilvl w:val="3"/>
          <w:numId w:val="257"/>
        </w:numPr>
        <w:tabs>
          <w:tab w:val="left" w:pos="2620"/>
        </w:tabs>
        <w:ind w:left="2620" w:hanging="345"/>
        <w:rPr>
          <w:rFonts w:eastAsia="Times New Roman"/>
          <w:sz w:val="24"/>
          <w:szCs w:val="24"/>
        </w:rPr>
      </w:pPr>
      <w:r w:rsidRPr="001F1ECC">
        <w:rPr>
          <w:rFonts w:eastAsia="Times New Roman"/>
          <w:sz w:val="24"/>
          <w:szCs w:val="24"/>
        </w:rPr>
        <w:t>Previous analytical results.</w:t>
      </w:r>
    </w:p>
    <w:p w14:paraId="2819EF0B" w14:textId="77777777" w:rsidR="004647B9" w:rsidRPr="001F1ECC" w:rsidRDefault="00E2436F" w:rsidP="00A30460">
      <w:pPr>
        <w:numPr>
          <w:ilvl w:val="3"/>
          <w:numId w:val="257"/>
        </w:numPr>
        <w:tabs>
          <w:tab w:val="left" w:pos="2798"/>
        </w:tabs>
        <w:ind w:left="2280" w:hanging="5"/>
        <w:jc w:val="both"/>
        <w:rPr>
          <w:rFonts w:eastAsia="Times New Roman"/>
          <w:sz w:val="24"/>
          <w:szCs w:val="24"/>
        </w:rPr>
      </w:pPr>
      <w:r w:rsidRPr="001F1ECC">
        <w:rPr>
          <w:rFonts w:eastAsia="Times New Roman"/>
          <w:sz w:val="24"/>
          <w:szCs w:val="24"/>
        </w:rPr>
        <w:t>The proximity of the system to a potential point or non-point source of contamination. Point sources include spills and leaks of chemicals at or near a water treatment facility or at manufacturing, distribution, or storage facilities, or from hazardous and municipal waste landfills and other waste handling or treatment facilities.</w:t>
      </w:r>
    </w:p>
    <w:p w14:paraId="2819EF0D" w14:textId="77777777" w:rsidR="004647B9" w:rsidRPr="001F1ECC" w:rsidRDefault="00E2436F" w:rsidP="00A30460">
      <w:pPr>
        <w:numPr>
          <w:ilvl w:val="3"/>
          <w:numId w:val="257"/>
        </w:numPr>
        <w:tabs>
          <w:tab w:val="left" w:pos="2620"/>
        </w:tabs>
        <w:ind w:left="2620" w:hanging="345"/>
        <w:rPr>
          <w:rFonts w:eastAsia="Times New Roman"/>
          <w:sz w:val="24"/>
          <w:szCs w:val="24"/>
        </w:rPr>
      </w:pPr>
      <w:r w:rsidRPr="001F1ECC">
        <w:rPr>
          <w:rFonts w:eastAsia="Times New Roman"/>
          <w:sz w:val="24"/>
          <w:szCs w:val="24"/>
        </w:rPr>
        <w:t>The environmental persistence and transport of the contaminants.</w:t>
      </w:r>
    </w:p>
    <w:p w14:paraId="2819EF11" w14:textId="7DA5FA4A" w:rsidR="004647B9" w:rsidRPr="001F1ECC" w:rsidRDefault="00E2436F" w:rsidP="00A67A4E">
      <w:pPr>
        <w:numPr>
          <w:ilvl w:val="3"/>
          <w:numId w:val="257"/>
        </w:numPr>
        <w:tabs>
          <w:tab w:val="left" w:pos="2640"/>
        </w:tabs>
        <w:ind w:left="2275"/>
        <w:rPr>
          <w:rFonts w:eastAsia="Times New Roman"/>
          <w:sz w:val="24"/>
          <w:szCs w:val="24"/>
        </w:rPr>
      </w:pPr>
      <w:r w:rsidRPr="001F1ECC">
        <w:rPr>
          <w:rFonts w:eastAsia="Times New Roman"/>
          <w:sz w:val="24"/>
          <w:szCs w:val="24"/>
        </w:rPr>
        <w:t>The number of persons served by the public water system and the proximity of</w:t>
      </w:r>
      <w:r w:rsidR="001F1ECC">
        <w:rPr>
          <w:rFonts w:eastAsia="Times New Roman"/>
          <w:sz w:val="24"/>
          <w:szCs w:val="24"/>
        </w:rPr>
        <w:t xml:space="preserve"> a </w:t>
      </w:r>
      <w:r w:rsidRPr="001F1ECC">
        <w:rPr>
          <w:rFonts w:eastAsia="Times New Roman"/>
          <w:sz w:val="24"/>
          <w:szCs w:val="24"/>
        </w:rPr>
        <w:t>smaller system to a larger system.</w:t>
      </w:r>
    </w:p>
    <w:p w14:paraId="2819EF13" w14:textId="77777777" w:rsidR="004647B9" w:rsidRDefault="00E2436F" w:rsidP="00A30460">
      <w:pPr>
        <w:numPr>
          <w:ilvl w:val="3"/>
          <w:numId w:val="258"/>
        </w:numPr>
        <w:tabs>
          <w:tab w:val="left" w:pos="2634"/>
        </w:tabs>
        <w:ind w:left="2280" w:hanging="5"/>
        <w:jc w:val="both"/>
        <w:rPr>
          <w:rFonts w:eastAsia="Times New Roman"/>
          <w:sz w:val="24"/>
          <w:szCs w:val="24"/>
        </w:rPr>
      </w:pPr>
      <w:r w:rsidRPr="001F1ECC">
        <w:rPr>
          <w:rFonts w:eastAsia="Times New Roman"/>
          <w:sz w:val="24"/>
          <w:szCs w:val="24"/>
        </w:rPr>
        <w:t>How well the water source is protected against contamination, such as whether it is a surface or groundwater system and other protective measures considered relevant by the Department. Groundwater systems must consider factors such as depth of the well, the type of soil, and wellhead protection. Surface water systems must consider watershed protection</w:t>
      </w:r>
      <w:r>
        <w:rPr>
          <w:rFonts w:eastAsia="Times New Roman"/>
          <w:sz w:val="24"/>
          <w:szCs w:val="24"/>
        </w:rPr>
        <w:t>.</w:t>
      </w:r>
    </w:p>
    <w:p w14:paraId="2819EF14" w14:textId="77777777" w:rsidR="004647B9" w:rsidRDefault="004647B9">
      <w:pPr>
        <w:sectPr w:rsidR="004647B9" w:rsidSect="00EF630C">
          <w:pgSz w:w="12240" w:h="20180"/>
          <w:pgMar w:top="708" w:right="1440" w:bottom="1440" w:left="600" w:header="0" w:footer="0" w:gutter="0"/>
          <w:cols w:space="720" w:equalWidth="0">
            <w:col w:w="10200"/>
          </w:cols>
        </w:sectPr>
      </w:pPr>
    </w:p>
    <w:p w14:paraId="2819EF15" w14:textId="77777777" w:rsidR="004647B9" w:rsidRDefault="00E2436F">
      <w:pPr>
        <w:tabs>
          <w:tab w:val="left" w:pos="160"/>
        </w:tabs>
        <w:jc w:val="center"/>
        <w:rPr>
          <w:sz w:val="20"/>
          <w:szCs w:val="20"/>
        </w:rPr>
      </w:pPr>
      <w:bookmarkStart w:id="105" w:name="page107"/>
      <w:bookmarkEnd w:id="10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F16" w14:textId="77777777" w:rsidR="004647B9" w:rsidRDefault="004647B9" w:rsidP="00A67A4E">
      <w:pPr>
        <w:rPr>
          <w:sz w:val="20"/>
          <w:szCs w:val="20"/>
        </w:rPr>
      </w:pPr>
    </w:p>
    <w:p w14:paraId="2819EF17" w14:textId="77777777" w:rsidR="004647B9" w:rsidRDefault="004647B9" w:rsidP="00A67A4E">
      <w:pPr>
        <w:rPr>
          <w:sz w:val="20"/>
          <w:szCs w:val="20"/>
        </w:rPr>
      </w:pPr>
    </w:p>
    <w:p w14:paraId="2819EF18" w14:textId="77777777" w:rsidR="004647B9" w:rsidRDefault="00E2436F" w:rsidP="00A67A4E">
      <w:pPr>
        <w:tabs>
          <w:tab w:val="left" w:pos="920"/>
        </w:tabs>
        <w:rPr>
          <w:sz w:val="20"/>
          <w:szCs w:val="20"/>
        </w:rPr>
      </w:pPr>
      <w:r>
        <w:rPr>
          <w:rFonts w:eastAsia="Times New Roman"/>
          <w:sz w:val="24"/>
          <w:szCs w:val="24"/>
        </w:rPr>
        <w:t>22.07B:</w:t>
      </w:r>
      <w:r>
        <w:rPr>
          <w:rFonts w:eastAsia="Times New Roman"/>
          <w:sz w:val="24"/>
          <w:szCs w:val="24"/>
        </w:rPr>
        <w:tab/>
        <w:t>continued</w:t>
      </w:r>
    </w:p>
    <w:p w14:paraId="2819EF19" w14:textId="77777777" w:rsidR="004647B9" w:rsidRDefault="004647B9" w:rsidP="00A67A4E">
      <w:pPr>
        <w:rPr>
          <w:sz w:val="20"/>
          <w:szCs w:val="20"/>
        </w:rPr>
      </w:pPr>
    </w:p>
    <w:p w14:paraId="2819EF1A" w14:textId="77777777" w:rsidR="004647B9" w:rsidRPr="001F1ECC" w:rsidRDefault="00E2436F" w:rsidP="00A67A4E">
      <w:pPr>
        <w:numPr>
          <w:ilvl w:val="1"/>
          <w:numId w:val="259"/>
        </w:numPr>
        <w:tabs>
          <w:tab w:val="left" w:pos="2164"/>
        </w:tabs>
        <w:ind w:left="1560" w:hanging="5"/>
        <w:jc w:val="both"/>
        <w:rPr>
          <w:rFonts w:eastAsia="Times New Roman"/>
          <w:sz w:val="24"/>
          <w:szCs w:val="24"/>
        </w:rPr>
      </w:pPr>
      <w:r w:rsidRPr="001F1ECC">
        <w:rPr>
          <w:rFonts w:eastAsia="Times New Roman"/>
          <w:sz w:val="24"/>
          <w:szCs w:val="24"/>
          <w:u w:val="single"/>
        </w:rPr>
        <w:t>VOC Waiver Requirements for GW Systems</w:t>
      </w:r>
      <w:r w:rsidRPr="001F1ECC">
        <w:rPr>
          <w:rFonts w:eastAsia="Times New Roman"/>
          <w:sz w:val="24"/>
          <w:szCs w:val="24"/>
        </w:rPr>
        <w:t>. As a condition of the waiver a groundwater system must take one sample at each sampling point during the time the waiver is effective (</w:t>
      </w:r>
      <w:r w:rsidRPr="001F1ECC">
        <w:rPr>
          <w:rFonts w:eastAsia="Times New Roman"/>
          <w:i/>
          <w:iCs/>
          <w:sz w:val="24"/>
          <w:szCs w:val="24"/>
        </w:rPr>
        <w:t>i.e</w:t>
      </w:r>
      <w:r w:rsidRPr="001F1ECC">
        <w:rPr>
          <w:rFonts w:eastAsia="Times New Roman"/>
          <w:sz w:val="24"/>
          <w:szCs w:val="24"/>
        </w:rPr>
        <w:t>., one sample during one compliance period or three years) and update its vulnerability assessment considering the factors listed in 310 CMR 22.07B(3)(a). Based on this vulnerability assessment the Department must reconfirm that the system is non-vulnerable. If the Department does not make this reconfirmation within three years of the initial determination, then the waiver is invalidated and the system is required to sample annually as specified in 310 CMR 22.07B(10)(a).</w:t>
      </w:r>
    </w:p>
    <w:p w14:paraId="2819EF1C" w14:textId="77777777" w:rsidR="004647B9" w:rsidRPr="001F1ECC" w:rsidRDefault="00E2436F" w:rsidP="00A67A4E">
      <w:pPr>
        <w:numPr>
          <w:ilvl w:val="1"/>
          <w:numId w:val="259"/>
        </w:numPr>
        <w:tabs>
          <w:tab w:val="left" w:pos="1978"/>
        </w:tabs>
        <w:ind w:left="1560" w:hanging="5"/>
        <w:jc w:val="both"/>
        <w:rPr>
          <w:rFonts w:eastAsia="Times New Roman"/>
          <w:sz w:val="24"/>
          <w:szCs w:val="24"/>
        </w:rPr>
      </w:pPr>
      <w:r w:rsidRPr="001F1ECC">
        <w:rPr>
          <w:rFonts w:eastAsia="Times New Roman"/>
          <w:sz w:val="24"/>
          <w:szCs w:val="24"/>
          <w:u w:val="single"/>
        </w:rPr>
        <w:t>VOC Waiver Requirements for SW Systems</w:t>
      </w:r>
      <w:r w:rsidRPr="001F1ECC">
        <w:rPr>
          <w:rFonts w:eastAsia="Times New Roman"/>
          <w:sz w:val="24"/>
          <w:szCs w:val="24"/>
        </w:rPr>
        <w:t>. Each community and non-transient non-community surface water system which does not detect a contaminant listed in 310 CMR 22.07B(1) may apply to the Department for a waiver from the requirements of 310 CMR</w:t>
      </w:r>
    </w:p>
    <w:p w14:paraId="2819EF1D" w14:textId="77777777" w:rsidR="004647B9" w:rsidRPr="001F1ECC" w:rsidRDefault="00E2436F" w:rsidP="00A67A4E">
      <w:pPr>
        <w:ind w:left="1560"/>
        <w:jc w:val="both"/>
        <w:rPr>
          <w:rFonts w:eastAsia="Times New Roman"/>
          <w:sz w:val="24"/>
          <w:szCs w:val="24"/>
        </w:rPr>
      </w:pPr>
      <w:r w:rsidRPr="001F1ECC">
        <w:rPr>
          <w:rFonts w:eastAsia="Times New Roman"/>
          <w:sz w:val="24"/>
          <w:szCs w:val="24"/>
        </w:rPr>
        <w:t>22.07B(2)(a) after completing the initial monitoring. Systems meeting this criteria must be determined by the Department to be non-vulnerable based on a vulnerability assessment during each compliance period. Each system receiving a waiver shall sample at the frequency specified by the Department.</w:t>
      </w:r>
    </w:p>
    <w:p w14:paraId="2819EF1E" w14:textId="77777777" w:rsidR="004647B9" w:rsidRPr="001F1ECC" w:rsidRDefault="004647B9" w:rsidP="00A67A4E">
      <w:pPr>
        <w:rPr>
          <w:rFonts w:eastAsia="Times New Roman"/>
          <w:sz w:val="24"/>
          <w:szCs w:val="24"/>
        </w:rPr>
      </w:pPr>
    </w:p>
    <w:p w14:paraId="2819EF1F" w14:textId="77777777" w:rsidR="004647B9" w:rsidRPr="001F1ECC" w:rsidRDefault="00E2436F" w:rsidP="00A67A4E">
      <w:pPr>
        <w:numPr>
          <w:ilvl w:val="0"/>
          <w:numId w:val="260"/>
        </w:numPr>
        <w:tabs>
          <w:tab w:val="left" w:pos="1660"/>
        </w:tabs>
        <w:ind w:left="1660" w:hanging="460"/>
        <w:rPr>
          <w:rFonts w:eastAsia="Times New Roman"/>
          <w:sz w:val="24"/>
          <w:szCs w:val="24"/>
        </w:rPr>
      </w:pPr>
      <w:r w:rsidRPr="001F1ECC">
        <w:rPr>
          <w:rFonts w:eastAsia="Times New Roman"/>
          <w:sz w:val="24"/>
          <w:szCs w:val="24"/>
          <w:u w:val="single"/>
        </w:rPr>
        <w:t>Detection of a VOC</w:t>
      </w:r>
      <w:r w:rsidRPr="001F1ECC">
        <w:rPr>
          <w:rFonts w:eastAsia="Times New Roman"/>
          <w:sz w:val="24"/>
          <w:szCs w:val="24"/>
        </w:rPr>
        <w:t>.</w:t>
      </w:r>
    </w:p>
    <w:p w14:paraId="2819EF21" w14:textId="77777777" w:rsidR="004647B9" w:rsidRPr="001F1ECC" w:rsidRDefault="00E2436F" w:rsidP="00A67A4E">
      <w:pPr>
        <w:numPr>
          <w:ilvl w:val="1"/>
          <w:numId w:val="260"/>
        </w:numPr>
        <w:tabs>
          <w:tab w:val="left" w:pos="2004"/>
        </w:tabs>
        <w:ind w:left="1560" w:hanging="5"/>
        <w:rPr>
          <w:rFonts w:eastAsia="Times New Roman"/>
          <w:sz w:val="24"/>
          <w:szCs w:val="24"/>
        </w:rPr>
      </w:pPr>
      <w:r w:rsidRPr="001F1ECC">
        <w:rPr>
          <w:rFonts w:eastAsia="Times New Roman"/>
          <w:sz w:val="24"/>
          <w:szCs w:val="24"/>
        </w:rPr>
        <w:t>If a contaminant listed in 310 CMR 22.07B(1) is detected at a level exceeding 0.0005 mg/l in any sample, then:</w:t>
      </w:r>
    </w:p>
    <w:p w14:paraId="2819EF23" w14:textId="77777777" w:rsidR="004647B9" w:rsidRPr="001F1ECC" w:rsidRDefault="00E2436F" w:rsidP="00A67A4E">
      <w:pPr>
        <w:numPr>
          <w:ilvl w:val="2"/>
          <w:numId w:val="260"/>
        </w:numPr>
        <w:tabs>
          <w:tab w:val="left" w:pos="2287"/>
        </w:tabs>
        <w:ind w:left="1920" w:hanging="5"/>
        <w:jc w:val="both"/>
        <w:rPr>
          <w:rFonts w:eastAsia="Times New Roman"/>
          <w:sz w:val="24"/>
          <w:szCs w:val="24"/>
        </w:rPr>
      </w:pPr>
      <w:r w:rsidRPr="001F1ECC">
        <w:rPr>
          <w:rFonts w:eastAsia="Times New Roman"/>
          <w:sz w:val="24"/>
          <w:szCs w:val="24"/>
        </w:rPr>
        <w:t>The system shall report to the Department within seven days and shall monitor for the contaminants listed in 310 CMR 22.07B quarterly at each sampling point which resulted in a detection.</w:t>
      </w:r>
    </w:p>
    <w:p w14:paraId="2819EF25" w14:textId="77777777" w:rsidR="004647B9" w:rsidRPr="001F1ECC" w:rsidRDefault="00E2436F" w:rsidP="00A67A4E">
      <w:pPr>
        <w:numPr>
          <w:ilvl w:val="2"/>
          <w:numId w:val="260"/>
        </w:numPr>
        <w:tabs>
          <w:tab w:val="left" w:pos="2340"/>
        </w:tabs>
        <w:ind w:left="2340" w:hanging="425"/>
        <w:rPr>
          <w:rFonts w:eastAsia="Times New Roman"/>
          <w:sz w:val="24"/>
          <w:szCs w:val="24"/>
        </w:rPr>
      </w:pPr>
      <w:r w:rsidRPr="001F1ECC">
        <w:rPr>
          <w:rFonts w:eastAsia="Times New Roman"/>
          <w:sz w:val="24"/>
          <w:szCs w:val="24"/>
        </w:rPr>
        <w:t>The Department may decrease the quarterly monitoring requirement specified in</w:t>
      </w:r>
    </w:p>
    <w:p w14:paraId="2819EF26" w14:textId="77777777" w:rsidR="004647B9" w:rsidRPr="001F1ECC" w:rsidRDefault="00E2436F" w:rsidP="00A67A4E">
      <w:pPr>
        <w:numPr>
          <w:ilvl w:val="2"/>
          <w:numId w:val="261"/>
        </w:numPr>
        <w:tabs>
          <w:tab w:val="left" w:pos="2366"/>
        </w:tabs>
        <w:ind w:left="1920" w:hanging="5"/>
        <w:jc w:val="both"/>
        <w:rPr>
          <w:rFonts w:eastAsia="Times New Roman"/>
          <w:sz w:val="24"/>
          <w:szCs w:val="24"/>
        </w:rPr>
      </w:pPr>
      <w:r w:rsidRPr="001F1ECC">
        <w:rPr>
          <w:rFonts w:eastAsia="Times New Roman"/>
          <w:sz w:val="24"/>
          <w:szCs w:val="24"/>
        </w:rPr>
        <w:t>CMR 22.07B(4)(a)1. provided it has determined that the system is reliably and consistently below the maximum contaminant level. In no case shall the Department make this determination unless a groundwater system takes a minimum of two quarterly samples and a surface water system takes a minimum of four quarterly samples.</w:t>
      </w:r>
    </w:p>
    <w:p w14:paraId="2819EF27" w14:textId="77777777" w:rsidR="004647B9" w:rsidRPr="001F1ECC" w:rsidRDefault="00E2436F" w:rsidP="00A67A4E">
      <w:pPr>
        <w:numPr>
          <w:ilvl w:val="2"/>
          <w:numId w:val="262"/>
        </w:numPr>
        <w:tabs>
          <w:tab w:val="left" w:pos="2287"/>
        </w:tabs>
        <w:ind w:left="1920" w:hanging="5"/>
        <w:jc w:val="both"/>
        <w:rPr>
          <w:rFonts w:eastAsia="Times New Roman"/>
          <w:sz w:val="24"/>
          <w:szCs w:val="24"/>
        </w:rPr>
      </w:pPr>
      <w:r w:rsidRPr="001F1ECC">
        <w:rPr>
          <w:rFonts w:eastAsia="Times New Roman"/>
          <w:sz w:val="24"/>
          <w:szCs w:val="24"/>
        </w:rPr>
        <w:t>If the Department determines that the system is reliably and consistently below the MCL, the Department may allow the system to monitor annually. Systems which monitor annually must monitor during the quarter(s) which previously yielded the highest analytical result or as specified by the Department.</w:t>
      </w:r>
    </w:p>
    <w:p w14:paraId="2819EF29" w14:textId="77777777" w:rsidR="004647B9" w:rsidRPr="001F1ECC" w:rsidRDefault="00E2436F" w:rsidP="00A67A4E">
      <w:pPr>
        <w:numPr>
          <w:ilvl w:val="1"/>
          <w:numId w:val="263"/>
        </w:numPr>
        <w:tabs>
          <w:tab w:val="left" w:pos="2016"/>
        </w:tabs>
        <w:ind w:left="1560" w:hanging="5"/>
        <w:rPr>
          <w:rFonts w:eastAsia="Times New Roman"/>
          <w:sz w:val="24"/>
          <w:szCs w:val="24"/>
        </w:rPr>
      </w:pPr>
      <w:r w:rsidRPr="001F1ECC">
        <w:rPr>
          <w:rFonts w:eastAsia="Times New Roman"/>
          <w:sz w:val="24"/>
          <w:szCs w:val="24"/>
          <w:u w:val="single"/>
        </w:rPr>
        <w:t>Detection of a VOC Other than Those Listed in 310 CMR 22.07B(1)</w:t>
      </w:r>
      <w:r w:rsidRPr="001F1ECC">
        <w:rPr>
          <w:rFonts w:eastAsia="Times New Roman"/>
          <w:sz w:val="24"/>
          <w:szCs w:val="24"/>
        </w:rPr>
        <w:t>. Systems which detect any VOC contaminants at any level shall report the results to the Department.</w:t>
      </w:r>
    </w:p>
    <w:p w14:paraId="2819EF2B" w14:textId="77777777" w:rsidR="004647B9" w:rsidRDefault="00E2436F" w:rsidP="00A67A4E">
      <w:pPr>
        <w:numPr>
          <w:ilvl w:val="1"/>
          <w:numId w:val="263"/>
        </w:numPr>
        <w:tabs>
          <w:tab w:val="left" w:pos="2177"/>
        </w:tabs>
        <w:ind w:left="1560" w:hanging="5"/>
        <w:jc w:val="both"/>
        <w:rPr>
          <w:rFonts w:eastAsia="Times New Roman"/>
          <w:sz w:val="24"/>
          <w:szCs w:val="24"/>
        </w:rPr>
      </w:pPr>
      <w:r>
        <w:rPr>
          <w:rFonts w:eastAsia="Times New Roman"/>
          <w:sz w:val="24"/>
          <w:szCs w:val="24"/>
          <w:u w:val="single"/>
        </w:rPr>
        <w:t>VOCs Reliably and Consistently below the MCL</w:t>
      </w:r>
      <w:r>
        <w:rPr>
          <w:rFonts w:eastAsia="Times New Roman"/>
          <w:sz w:val="24"/>
          <w:szCs w:val="24"/>
        </w:rPr>
        <w:t>. Systems which violate the requirements of 310 CMR 22.07B(1), as determined by 310 CMR 22.07B(7), must monitor quarterly. After a minimum of four consecutive quarterly samples which show the system is in compliance as specified in 310 CMR 22.07B(7) the system demonstration and the Department determines that the system is reliably and consistently below the maximum contaminant level, the system may monitor at the frequency and time specified in 310 CMR 22.07B(4)(a)3.</w:t>
      </w:r>
    </w:p>
    <w:p w14:paraId="2819EF2C" w14:textId="77777777" w:rsidR="004647B9" w:rsidRDefault="004647B9" w:rsidP="00A67A4E">
      <w:pPr>
        <w:rPr>
          <w:rFonts w:eastAsia="Times New Roman"/>
          <w:sz w:val="24"/>
          <w:szCs w:val="24"/>
        </w:rPr>
      </w:pPr>
    </w:p>
    <w:p w14:paraId="2819EF2D" w14:textId="77777777" w:rsidR="004647B9" w:rsidRDefault="00E2436F" w:rsidP="00A67A4E">
      <w:pPr>
        <w:numPr>
          <w:ilvl w:val="0"/>
          <w:numId w:val="264"/>
        </w:numPr>
        <w:tabs>
          <w:tab w:val="left" w:pos="1725"/>
        </w:tabs>
        <w:ind w:left="1200"/>
        <w:jc w:val="both"/>
        <w:rPr>
          <w:rFonts w:eastAsia="Times New Roman"/>
          <w:sz w:val="24"/>
          <w:szCs w:val="24"/>
        </w:rPr>
      </w:pPr>
      <w:r>
        <w:rPr>
          <w:rFonts w:eastAsia="Times New Roman"/>
          <w:sz w:val="24"/>
          <w:szCs w:val="24"/>
          <w:u w:val="single"/>
        </w:rPr>
        <w:t>VOC Confirmation Samples</w:t>
      </w:r>
      <w:r>
        <w:rPr>
          <w:rFonts w:eastAsia="Times New Roman"/>
          <w:sz w:val="24"/>
          <w:szCs w:val="24"/>
        </w:rPr>
        <w:t>. The Department may require a confirmation sample for positive or negative results. The results of the confirmation sample must be averaged with the first sampling result and the average is used for the compliance determination as specified by 310 CMR 22.07B(7). The Department has the discretion to delete results of obvious sampling errors from this calculation.</w:t>
      </w:r>
    </w:p>
    <w:p w14:paraId="2819EF2E" w14:textId="77777777" w:rsidR="004647B9" w:rsidRDefault="004647B9" w:rsidP="00A67A4E">
      <w:pPr>
        <w:rPr>
          <w:rFonts w:eastAsia="Times New Roman"/>
          <w:sz w:val="24"/>
          <w:szCs w:val="24"/>
        </w:rPr>
      </w:pPr>
    </w:p>
    <w:p w14:paraId="2819EF2F" w14:textId="1005B920" w:rsidR="004647B9" w:rsidRDefault="00E2436F" w:rsidP="00A67A4E">
      <w:pPr>
        <w:numPr>
          <w:ilvl w:val="0"/>
          <w:numId w:val="264"/>
        </w:numPr>
        <w:tabs>
          <w:tab w:val="left" w:pos="1689"/>
        </w:tabs>
        <w:ind w:left="1200"/>
        <w:jc w:val="both"/>
        <w:rPr>
          <w:rFonts w:eastAsia="Times New Roman"/>
          <w:sz w:val="24"/>
          <w:szCs w:val="24"/>
        </w:rPr>
      </w:pPr>
      <w:r>
        <w:rPr>
          <w:rFonts w:eastAsia="Times New Roman"/>
          <w:sz w:val="24"/>
          <w:szCs w:val="24"/>
          <w:u w:val="single"/>
        </w:rPr>
        <w:t>VOC Composite Samples</w:t>
      </w:r>
      <w:r>
        <w:rPr>
          <w:rFonts w:eastAsia="Times New Roman"/>
          <w:sz w:val="24"/>
          <w:szCs w:val="24"/>
        </w:rPr>
        <w:t>. The total number of samples a system must analyze may be reduced, with the Department's approval, by the compositing of samples. Composite samples from a maximum of five sampling points are allowed, provided that the detection limit of the method used for analysis is less than one-fifth of the MCL and none of the samples to be composited are representative of multiple sources. Compositing of samples must be done in the laboratory and analyzed within 14 days of sample collection. Compositing of sources with previous detections exceeding the detection limit is not allowed, unless otherwise authorized by the Department. If duplicates of the original samples taken from each sampling point used in the composit</w:t>
      </w:r>
      <w:r w:rsidR="00A0298E">
        <w:rPr>
          <w:rFonts w:eastAsia="Times New Roman"/>
          <w:sz w:val="24"/>
          <w:szCs w:val="24"/>
        </w:rPr>
        <w:t>e</w:t>
      </w:r>
      <w:r>
        <w:rPr>
          <w:rFonts w:eastAsia="Times New Roman"/>
          <w:sz w:val="24"/>
          <w:szCs w:val="24"/>
        </w:rPr>
        <w:t xml:space="preserve"> sample are available, the system may use these instead of resampling. The duplicates must be analyzed and the results reported to the Department within 14 days after completing analys</w:t>
      </w:r>
      <w:r w:rsidR="005B0452">
        <w:rPr>
          <w:rFonts w:eastAsia="Times New Roman"/>
          <w:sz w:val="24"/>
          <w:szCs w:val="24"/>
        </w:rPr>
        <w:t>i</w:t>
      </w:r>
      <w:r>
        <w:rPr>
          <w:rFonts w:eastAsia="Times New Roman"/>
          <w:sz w:val="24"/>
          <w:szCs w:val="24"/>
        </w:rPr>
        <w:t>s of the composite sample, provided the holding time of the sample has not been exceeded.</w:t>
      </w:r>
    </w:p>
    <w:p w14:paraId="2819EF30" w14:textId="77777777" w:rsidR="004647B9" w:rsidRDefault="004647B9">
      <w:pPr>
        <w:sectPr w:rsidR="004647B9" w:rsidSect="00EF630C">
          <w:pgSz w:w="12240" w:h="20180"/>
          <w:pgMar w:top="708" w:right="1440" w:bottom="1440" w:left="600" w:header="0" w:footer="0" w:gutter="0"/>
          <w:cols w:space="720" w:equalWidth="0">
            <w:col w:w="10200"/>
          </w:cols>
        </w:sectPr>
      </w:pPr>
    </w:p>
    <w:p w14:paraId="2819EF31" w14:textId="77777777" w:rsidR="004647B9" w:rsidRDefault="00E2436F">
      <w:pPr>
        <w:tabs>
          <w:tab w:val="left" w:pos="160"/>
        </w:tabs>
        <w:jc w:val="center"/>
        <w:rPr>
          <w:sz w:val="20"/>
          <w:szCs w:val="20"/>
        </w:rPr>
      </w:pPr>
      <w:bookmarkStart w:id="106" w:name="page108"/>
      <w:bookmarkEnd w:id="10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F32" w14:textId="77777777" w:rsidR="004647B9" w:rsidRDefault="004647B9" w:rsidP="00A67A4E">
      <w:pPr>
        <w:rPr>
          <w:sz w:val="20"/>
          <w:szCs w:val="20"/>
        </w:rPr>
      </w:pPr>
    </w:p>
    <w:p w14:paraId="2819EF33" w14:textId="77777777" w:rsidR="004647B9" w:rsidRDefault="004647B9" w:rsidP="00A67A4E">
      <w:pPr>
        <w:rPr>
          <w:sz w:val="20"/>
          <w:szCs w:val="20"/>
        </w:rPr>
      </w:pPr>
    </w:p>
    <w:p w14:paraId="2819EF34" w14:textId="77777777" w:rsidR="004647B9" w:rsidRPr="00A67A4E" w:rsidRDefault="00E2436F" w:rsidP="00A67A4E">
      <w:pPr>
        <w:tabs>
          <w:tab w:val="left" w:pos="920"/>
        </w:tabs>
        <w:rPr>
          <w:sz w:val="24"/>
          <w:szCs w:val="24"/>
        </w:rPr>
      </w:pPr>
      <w:r w:rsidRPr="00A67A4E">
        <w:rPr>
          <w:rFonts w:eastAsia="Times New Roman"/>
          <w:sz w:val="24"/>
          <w:szCs w:val="24"/>
        </w:rPr>
        <w:t>22.07B:</w:t>
      </w:r>
      <w:r w:rsidRPr="00A67A4E">
        <w:rPr>
          <w:rFonts w:eastAsia="Times New Roman"/>
          <w:sz w:val="24"/>
          <w:szCs w:val="24"/>
        </w:rPr>
        <w:tab/>
        <w:t>continued</w:t>
      </w:r>
    </w:p>
    <w:p w14:paraId="2819EF35" w14:textId="77777777" w:rsidR="004647B9" w:rsidRDefault="004647B9" w:rsidP="00A67A4E">
      <w:pPr>
        <w:rPr>
          <w:sz w:val="20"/>
          <w:szCs w:val="20"/>
        </w:rPr>
      </w:pPr>
    </w:p>
    <w:p w14:paraId="2819EF36" w14:textId="15265BBE" w:rsidR="004647B9" w:rsidRPr="004822DD" w:rsidRDefault="00E2436F" w:rsidP="00A67A4E">
      <w:pPr>
        <w:numPr>
          <w:ilvl w:val="1"/>
          <w:numId w:val="265"/>
        </w:numPr>
        <w:tabs>
          <w:tab w:val="left" w:pos="1968"/>
        </w:tabs>
        <w:ind w:left="1560" w:hanging="5"/>
        <w:jc w:val="both"/>
        <w:rPr>
          <w:rFonts w:eastAsia="Times New Roman"/>
          <w:sz w:val="24"/>
          <w:szCs w:val="24"/>
        </w:rPr>
      </w:pPr>
      <w:r w:rsidRPr="004822DD">
        <w:rPr>
          <w:rFonts w:eastAsia="Times New Roman"/>
          <w:sz w:val="24"/>
          <w:szCs w:val="24"/>
        </w:rPr>
        <w:t xml:space="preserve">If the concentration in the composite sample is </w:t>
      </w:r>
      <w:r w:rsidR="0052734F">
        <w:rPr>
          <w:rFonts w:eastAsia="Arial"/>
          <w:sz w:val="24"/>
          <w:szCs w:val="24"/>
        </w:rPr>
        <w:t>≥</w:t>
      </w:r>
      <w:r w:rsidRPr="004822DD">
        <w:rPr>
          <w:rFonts w:eastAsia="Times New Roman"/>
          <w:sz w:val="24"/>
          <w:szCs w:val="24"/>
        </w:rPr>
        <w:t>0.0005 mg/l for any contaminant listed in 310 CMR 22.07B(1), then a follow-up sample must be taken and analyzed within 14 days from each sampling point included in the composite.</w:t>
      </w:r>
    </w:p>
    <w:p w14:paraId="2819EF38" w14:textId="77777777" w:rsidR="004647B9" w:rsidRPr="004822DD" w:rsidRDefault="00E2436F" w:rsidP="00A67A4E">
      <w:pPr>
        <w:numPr>
          <w:ilvl w:val="1"/>
          <w:numId w:val="265"/>
        </w:numPr>
        <w:tabs>
          <w:tab w:val="left" w:pos="2142"/>
        </w:tabs>
        <w:ind w:left="1560" w:hanging="5"/>
        <w:jc w:val="both"/>
        <w:rPr>
          <w:rFonts w:eastAsia="Times New Roman"/>
          <w:sz w:val="24"/>
          <w:szCs w:val="24"/>
        </w:rPr>
      </w:pPr>
      <w:r w:rsidRPr="004822DD">
        <w:rPr>
          <w:rFonts w:eastAsia="Times New Roman"/>
          <w:sz w:val="24"/>
          <w:szCs w:val="24"/>
        </w:rPr>
        <w:t>If duplicates of the original sample taken from each sampling point used in the composite are available, the system may use these instead of resampling. The duplicate must be analyzed and the results reported to the Department within 14 days of collection.</w:t>
      </w:r>
    </w:p>
    <w:p w14:paraId="2819EF3A" w14:textId="1D91BA36" w:rsidR="004647B9" w:rsidRPr="004822DD" w:rsidRDefault="00E2436F" w:rsidP="00A67A4E">
      <w:pPr>
        <w:numPr>
          <w:ilvl w:val="1"/>
          <w:numId w:val="265"/>
        </w:numPr>
        <w:tabs>
          <w:tab w:val="left" w:pos="2042"/>
        </w:tabs>
        <w:ind w:left="1560" w:hanging="5"/>
        <w:jc w:val="both"/>
        <w:rPr>
          <w:rFonts w:eastAsia="Times New Roman"/>
          <w:sz w:val="24"/>
          <w:szCs w:val="24"/>
        </w:rPr>
      </w:pPr>
      <w:r w:rsidRPr="004822DD">
        <w:rPr>
          <w:rFonts w:eastAsia="Times New Roman"/>
          <w:sz w:val="24"/>
          <w:szCs w:val="24"/>
        </w:rPr>
        <w:t xml:space="preserve">Compositing will be permitted at sampling points within a single system, unless the population served by the system is </w:t>
      </w:r>
      <w:r w:rsidR="00DF53CB">
        <w:rPr>
          <w:rFonts w:eastAsia="Arial"/>
          <w:sz w:val="24"/>
          <w:szCs w:val="24"/>
        </w:rPr>
        <w:t>≤</w:t>
      </w:r>
      <w:r w:rsidRPr="004822DD">
        <w:rPr>
          <w:rFonts w:eastAsia="Times New Roman"/>
          <w:sz w:val="24"/>
          <w:szCs w:val="24"/>
        </w:rPr>
        <w:t xml:space="preserve">3,300 persons. In systems serving </w:t>
      </w:r>
      <w:r w:rsidR="00DF53CB">
        <w:rPr>
          <w:rFonts w:eastAsia="Arial"/>
          <w:sz w:val="24"/>
          <w:szCs w:val="24"/>
        </w:rPr>
        <w:t>≤</w:t>
      </w:r>
      <w:r w:rsidRPr="004822DD">
        <w:rPr>
          <w:rFonts w:eastAsia="Times New Roman"/>
          <w:sz w:val="24"/>
          <w:szCs w:val="24"/>
        </w:rPr>
        <w:t>3,300 persons, compositing is permitted with the Department's approval among different systems provided the five-sample limit is maintained.</w:t>
      </w:r>
    </w:p>
    <w:p w14:paraId="2819EF3C" w14:textId="77777777" w:rsidR="004647B9" w:rsidRPr="004822DD" w:rsidRDefault="00E2436F" w:rsidP="00A67A4E">
      <w:pPr>
        <w:numPr>
          <w:ilvl w:val="1"/>
          <w:numId w:val="265"/>
        </w:numPr>
        <w:tabs>
          <w:tab w:val="left" w:pos="2020"/>
        </w:tabs>
        <w:ind w:left="2020" w:hanging="465"/>
        <w:rPr>
          <w:rFonts w:eastAsia="Times New Roman"/>
          <w:sz w:val="24"/>
          <w:szCs w:val="24"/>
        </w:rPr>
      </w:pPr>
      <w:r w:rsidRPr="004822DD">
        <w:rPr>
          <w:rFonts w:eastAsia="Times New Roman"/>
          <w:sz w:val="24"/>
          <w:szCs w:val="24"/>
        </w:rPr>
        <w:t>Compositing samples prior to GC analysis.</w:t>
      </w:r>
    </w:p>
    <w:p w14:paraId="2819EF3D" w14:textId="77777777" w:rsidR="004647B9" w:rsidRPr="004822DD" w:rsidRDefault="00E2436F" w:rsidP="00A67A4E">
      <w:pPr>
        <w:numPr>
          <w:ilvl w:val="2"/>
          <w:numId w:val="265"/>
        </w:numPr>
        <w:tabs>
          <w:tab w:val="left" w:pos="2287"/>
        </w:tabs>
        <w:ind w:left="1920" w:hanging="5"/>
        <w:jc w:val="both"/>
        <w:rPr>
          <w:rFonts w:eastAsia="Times New Roman"/>
          <w:sz w:val="24"/>
          <w:szCs w:val="24"/>
        </w:rPr>
      </w:pPr>
      <w:r w:rsidRPr="004822DD">
        <w:rPr>
          <w:rFonts w:eastAsia="Times New Roman"/>
          <w:sz w:val="24"/>
          <w:szCs w:val="24"/>
        </w:rPr>
        <w:t>Add 5 ml or equal larger amounts of each sample (up to five samples are allowed) to a 25 ml glass syringe. Special precautions must be made to maintain zero headspace in the syringe.</w:t>
      </w:r>
    </w:p>
    <w:p w14:paraId="2819EF3F" w14:textId="77777777" w:rsidR="004647B9" w:rsidRPr="004822DD" w:rsidRDefault="00E2436F" w:rsidP="007737E1">
      <w:pPr>
        <w:numPr>
          <w:ilvl w:val="2"/>
          <w:numId w:val="265"/>
        </w:numPr>
        <w:tabs>
          <w:tab w:val="left" w:pos="2240"/>
        </w:tabs>
        <w:ind w:left="1915"/>
        <w:rPr>
          <w:rFonts w:eastAsia="Times New Roman"/>
          <w:sz w:val="24"/>
          <w:szCs w:val="24"/>
        </w:rPr>
      </w:pPr>
      <w:r w:rsidRPr="004822DD">
        <w:rPr>
          <w:rFonts w:eastAsia="Times New Roman"/>
          <w:sz w:val="24"/>
          <w:szCs w:val="24"/>
        </w:rPr>
        <w:t>The samples must be cooled at 4°C during this step to minimize volatilization losses.</w:t>
      </w:r>
    </w:p>
    <w:p w14:paraId="2819EF41" w14:textId="77777777" w:rsidR="004647B9" w:rsidRPr="004822DD" w:rsidRDefault="00E2436F" w:rsidP="00A67A4E">
      <w:pPr>
        <w:numPr>
          <w:ilvl w:val="2"/>
          <w:numId w:val="265"/>
        </w:numPr>
        <w:tabs>
          <w:tab w:val="left" w:pos="2280"/>
        </w:tabs>
        <w:ind w:left="2280" w:hanging="365"/>
        <w:rPr>
          <w:rFonts w:eastAsia="Times New Roman"/>
          <w:sz w:val="24"/>
          <w:szCs w:val="24"/>
        </w:rPr>
      </w:pPr>
      <w:r w:rsidRPr="004822DD">
        <w:rPr>
          <w:rFonts w:eastAsia="Times New Roman"/>
          <w:sz w:val="24"/>
          <w:szCs w:val="24"/>
        </w:rPr>
        <w:t>Mix well and draw out a 5-ml aliquot for analysis.</w:t>
      </w:r>
    </w:p>
    <w:p w14:paraId="2819EF42" w14:textId="77777777" w:rsidR="004647B9" w:rsidRPr="004822DD" w:rsidRDefault="00E2436F" w:rsidP="007737E1">
      <w:pPr>
        <w:numPr>
          <w:ilvl w:val="2"/>
          <w:numId w:val="265"/>
        </w:numPr>
        <w:tabs>
          <w:tab w:val="left" w:pos="2260"/>
        </w:tabs>
        <w:ind w:left="1915"/>
        <w:rPr>
          <w:rFonts w:eastAsia="Times New Roman"/>
          <w:sz w:val="24"/>
          <w:szCs w:val="24"/>
        </w:rPr>
      </w:pPr>
      <w:r w:rsidRPr="004822DD">
        <w:rPr>
          <w:rFonts w:eastAsia="Times New Roman"/>
          <w:sz w:val="24"/>
          <w:szCs w:val="24"/>
        </w:rPr>
        <w:t>Follow sample introduction, purging, and desorption steps described in the method.</w:t>
      </w:r>
    </w:p>
    <w:p w14:paraId="2819EF44" w14:textId="77777777" w:rsidR="004647B9" w:rsidRPr="004822DD" w:rsidRDefault="00E2436F" w:rsidP="00A67A4E">
      <w:pPr>
        <w:numPr>
          <w:ilvl w:val="2"/>
          <w:numId w:val="265"/>
        </w:numPr>
        <w:tabs>
          <w:tab w:val="left" w:pos="2294"/>
        </w:tabs>
        <w:ind w:left="1920" w:hanging="5"/>
        <w:rPr>
          <w:rFonts w:eastAsia="Times New Roman"/>
          <w:sz w:val="24"/>
          <w:szCs w:val="24"/>
        </w:rPr>
      </w:pPr>
      <w:r w:rsidRPr="004822DD">
        <w:rPr>
          <w:rFonts w:eastAsia="Times New Roman"/>
          <w:sz w:val="24"/>
          <w:szCs w:val="24"/>
        </w:rPr>
        <w:t>If less than five samples are used for compositing, a proportionately small syringe may be used.</w:t>
      </w:r>
    </w:p>
    <w:p w14:paraId="2819EF46" w14:textId="77777777" w:rsidR="004647B9" w:rsidRPr="004822DD" w:rsidRDefault="00E2436F" w:rsidP="00A67A4E">
      <w:pPr>
        <w:numPr>
          <w:ilvl w:val="1"/>
          <w:numId w:val="265"/>
        </w:numPr>
        <w:tabs>
          <w:tab w:val="left" w:pos="2000"/>
        </w:tabs>
        <w:ind w:left="2000" w:hanging="445"/>
        <w:rPr>
          <w:rFonts w:eastAsia="Times New Roman"/>
          <w:sz w:val="24"/>
          <w:szCs w:val="24"/>
        </w:rPr>
      </w:pPr>
      <w:r w:rsidRPr="004822DD">
        <w:rPr>
          <w:rFonts w:eastAsia="Times New Roman"/>
          <w:sz w:val="24"/>
          <w:szCs w:val="24"/>
        </w:rPr>
        <w:t>Compositing samples prior to GC/MS analysis.</w:t>
      </w:r>
    </w:p>
    <w:p w14:paraId="2819EF47" w14:textId="77777777" w:rsidR="004647B9" w:rsidRPr="004822DD" w:rsidRDefault="00E2436F" w:rsidP="00A67A4E">
      <w:pPr>
        <w:numPr>
          <w:ilvl w:val="2"/>
          <w:numId w:val="265"/>
        </w:numPr>
        <w:tabs>
          <w:tab w:val="left" w:pos="2278"/>
        </w:tabs>
        <w:ind w:left="1920" w:hanging="5"/>
        <w:jc w:val="both"/>
        <w:rPr>
          <w:rFonts w:eastAsia="Times New Roman"/>
          <w:sz w:val="24"/>
          <w:szCs w:val="24"/>
        </w:rPr>
      </w:pPr>
      <w:r w:rsidRPr="004822DD">
        <w:rPr>
          <w:rFonts w:eastAsia="Times New Roman"/>
          <w:sz w:val="24"/>
          <w:szCs w:val="24"/>
        </w:rPr>
        <w:t>Inject 5-ml or equal larger amounts of each aqueous sample (up to five samples are allowed) into a 25-ml purging device using the sample introduction technique described in the method.</w:t>
      </w:r>
    </w:p>
    <w:p w14:paraId="2819EF49" w14:textId="77777777" w:rsidR="004647B9" w:rsidRPr="004822DD" w:rsidRDefault="00E2436F" w:rsidP="00A67A4E">
      <w:pPr>
        <w:numPr>
          <w:ilvl w:val="2"/>
          <w:numId w:val="265"/>
        </w:numPr>
        <w:tabs>
          <w:tab w:val="left" w:pos="2280"/>
        </w:tabs>
        <w:ind w:left="2280" w:hanging="365"/>
        <w:rPr>
          <w:rFonts w:eastAsia="Times New Roman"/>
          <w:sz w:val="24"/>
          <w:szCs w:val="24"/>
        </w:rPr>
      </w:pPr>
      <w:r w:rsidRPr="004822DD">
        <w:rPr>
          <w:rFonts w:eastAsia="Times New Roman"/>
          <w:sz w:val="24"/>
          <w:szCs w:val="24"/>
        </w:rPr>
        <w:t>The total volume of the sample in the purging device must be 25 ml.</w:t>
      </w:r>
    </w:p>
    <w:p w14:paraId="2819EF4A" w14:textId="77777777" w:rsidR="004647B9" w:rsidRPr="004822DD" w:rsidRDefault="00E2436F" w:rsidP="00A67A4E">
      <w:pPr>
        <w:numPr>
          <w:ilvl w:val="2"/>
          <w:numId w:val="265"/>
        </w:numPr>
        <w:tabs>
          <w:tab w:val="left" w:pos="2280"/>
        </w:tabs>
        <w:ind w:left="2280" w:hanging="365"/>
        <w:rPr>
          <w:rFonts w:eastAsia="Times New Roman"/>
          <w:sz w:val="24"/>
          <w:szCs w:val="24"/>
        </w:rPr>
      </w:pPr>
      <w:r w:rsidRPr="004822DD">
        <w:rPr>
          <w:rFonts w:eastAsia="Times New Roman"/>
          <w:sz w:val="24"/>
          <w:szCs w:val="24"/>
        </w:rPr>
        <w:t>Purge and desorb as described in the method.</w:t>
      </w:r>
    </w:p>
    <w:p w14:paraId="2819EF4B" w14:textId="77777777" w:rsidR="004647B9" w:rsidRDefault="004647B9" w:rsidP="00A67A4E">
      <w:pPr>
        <w:rPr>
          <w:rFonts w:eastAsia="Times New Roman"/>
          <w:sz w:val="24"/>
          <w:szCs w:val="24"/>
        </w:rPr>
      </w:pPr>
    </w:p>
    <w:p w14:paraId="2819EF4C" w14:textId="77777777" w:rsidR="004647B9" w:rsidRPr="004822DD" w:rsidRDefault="00E2436F" w:rsidP="00A67A4E">
      <w:pPr>
        <w:numPr>
          <w:ilvl w:val="0"/>
          <w:numId w:val="266"/>
        </w:numPr>
        <w:tabs>
          <w:tab w:val="left" w:pos="1603"/>
        </w:tabs>
        <w:ind w:left="1200"/>
        <w:jc w:val="both"/>
        <w:rPr>
          <w:rFonts w:eastAsia="Times New Roman"/>
          <w:sz w:val="24"/>
          <w:szCs w:val="24"/>
        </w:rPr>
      </w:pPr>
      <w:r w:rsidRPr="004822DD">
        <w:rPr>
          <w:rFonts w:eastAsia="Times New Roman"/>
          <w:sz w:val="24"/>
          <w:szCs w:val="24"/>
          <w:u w:val="single"/>
        </w:rPr>
        <w:t>VOC Compliance Calculations</w:t>
      </w:r>
      <w:r w:rsidRPr="004822DD">
        <w:rPr>
          <w:rFonts w:eastAsia="Times New Roman"/>
          <w:sz w:val="24"/>
          <w:szCs w:val="24"/>
        </w:rPr>
        <w:t>. Compliance with 310 CMR 22.07B(1) shall be determined based on the analytical results obtained at each sampling point. If one sampling point is in violation of an MCL, the system is in violation of the MCL.</w:t>
      </w:r>
    </w:p>
    <w:p w14:paraId="2819EF4E" w14:textId="77777777" w:rsidR="004647B9" w:rsidRPr="004822DD" w:rsidRDefault="00E2436F" w:rsidP="00A67A4E">
      <w:pPr>
        <w:numPr>
          <w:ilvl w:val="1"/>
          <w:numId w:val="266"/>
        </w:numPr>
        <w:tabs>
          <w:tab w:val="left" w:pos="1956"/>
        </w:tabs>
        <w:ind w:left="1560" w:hanging="5"/>
        <w:rPr>
          <w:rFonts w:eastAsia="Times New Roman"/>
          <w:sz w:val="24"/>
          <w:szCs w:val="24"/>
        </w:rPr>
      </w:pPr>
      <w:r w:rsidRPr="004822DD">
        <w:rPr>
          <w:rFonts w:eastAsia="Times New Roman"/>
          <w:sz w:val="24"/>
          <w:szCs w:val="24"/>
          <w:u w:val="single"/>
        </w:rPr>
        <w:t>Greater than Annual</w:t>
      </w:r>
      <w:r w:rsidRPr="004822DD">
        <w:rPr>
          <w:rFonts w:eastAsia="Times New Roman"/>
          <w:sz w:val="24"/>
          <w:szCs w:val="24"/>
        </w:rPr>
        <w:t>. For systems monitoring more than once per year, compliance with the MCL is determined by a running annual average at each sampling point.</w:t>
      </w:r>
    </w:p>
    <w:p w14:paraId="2819EF50" w14:textId="77777777" w:rsidR="004647B9" w:rsidRPr="004822DD" w:rsidRDefault="00E2436F" w:rsidP="00A67A4E">
      <w:pPr>
        <w:numPr>
          <w:ilvl w:val="1"/>
          <w:numId w:val="266"/>
        </w:numPr>
        <w:tabs>
          <w:tab w:val="left" w:pos="1984"/>
        </w:tabs>
        <w:ind w:left="1560" w:hanging="5"/>
        <w:jc w:val="both"/>
        <w:rPr>
          <w:rFonts w:eastAsia="Times New Roman"/>
          <w:sz w:val="24"/>
          <w:szCs w:val="24"/>
        </w:rPr>
      </w:pPr>
      <w:r w:rsidRPr="004822DD">
        <w:rPr>
          <w:rFonts w:eastAsia="Times New Roman"/>
          <w:sz w:val="24"/>
          <w:szCs w:val="24"/>
          <w:u w:val="single"/>
        </w:rPr>
        <w:t>Annually or Less</w:t>
      </w:r>
      <w:r w:rsidRPr="004822DD">
        <w:rPr>
          <w:rFonts w:eastAsia="Times New Roman"/>
          <w:sz w:val="24"/>
          <w:szCs w:val="24"/>
        </w:rPr>
        <w:t>. Each supplier of water monitoring annually or less frequently whose sample result exceeds the MCL must begin quarterly sampling. The system will not be considered in violation of the MCL until it has completed one year of quarterly sampling.</w:t>
      </w:r>
    </w:p>
    <w:p w14:paraId="2819EF51" w14:textId="77777777" w:rsidR="004647B9" w:rsidRPr="004822DD" w:rsidRDefault="00E2436F" w:rsidP="00A67A4E">
      <w:pPr>
        <w:numPr>
          <w:ilvl w:val="1"/>
          <w:numId w:val="266"/>
        </w:numPr>
        <w:tabs>
          <w:tab w:val="left" w:pos="2018"/>
        </w:tabs>
        <w:ind w:left="1560" w:hanging="5"/>
        <w:rPr>
          <w:rFonts w:eastAsia="Times New Roman"/>
          <w:sz w:val="24"/>
          <w:szCs w:val="24"/>
        </w:rPr>
      </w:pPr>
      <w:r w:rsidRPr="004822DD">
        <w:rPr>
          <w:rFonts w:eastAsia="Times New Roman"/>
          <w:sz w:val="24"/>
          <w:szCs w:val="24"/>
        </w:rPr>
        <w:t>If any sample result will cause the running annual average to exceed the MCL at any sampling point, the system is out of compliance with the MCL immediately.</w:t>
      </w:r>
    </w:p>
    <w:p w14:paraId="2819EF53" w14:textId="77777777" w:rsidR="004647B9" w:rsidRPr="004822DD" w:rsidRDefault="00E2436F" w:rsidP="00A67A4E">
      <w:pPr>
        <w:numPr>
          <w:ilvl w:val="1"/>
          <w:numId w:val="266"/>
        </w:numPr>
        <w:tabs>
          <w:tab w:val="left" w:pos="2020"/>
        </w:tabs>
        <w:ind w:left="1560" w:hanging="5"/>
        <w:rPr>
          <w:rFonts w:eastAsia="Times New Roman"/>
          <w:sz w:val="24"/>
          <w:szCs w:val="24"/>
        </w:rPr>
      </w:pPr>
      <w:r w:rsidRPr="004822DD">
        <w:rPr>
          <w:rFonts w:eastAsia="Times New Roman"/>
          <w:sz w:val="24"/>
          <w:szCs w:val="24"/>
        </w:rPr>
        <w:t>If a supplier of water fails to collect the required number of samples, compliance will be based on the total number of samples collected.</w:t>
      </w:r>
    </w:p>
    <w:p w14:paraId="2819EF55" w14:textId="77777777" w:rsidR="004647B9" w:rsidRPr="004822DD" w:rsidRDefault="00E2436F" w:rsidP="00A67A4E">
      <w:pPr>
        <w:numPr>
          <w:ilvl w:val="1"/>
          <w:numId w:val="266"/>
        </w:numPr>
        <w:tabs>
          <w:tab w:val="left" w:pos="1954"/>
        </w:tabs>
        <w:ind w:left="1560" w:hanging="5"/>
        <w:rPr>
          <w:rFonts w:eastAsia="Times New Roman"/>
          <w:sz w:val="24"/>
          <w:szCs w:val="24"/>
        </w:rPr>
      </w:pPr>
      <w:r w:rsidRPr="004822DD">
        <w:rPr>
          <w:rFonts w:eastAsia="Times New Roman"/>
          <w:sz w:val="24"/>
          <w:szCs w:val="24"/>
        </w:rPr>
        <w:t>If a sample result is less than the detection limit, zero will be used to calculate the annual average.</w:t>
      </w:r>
    </w:p>
    <w:p w14:paraId="2819EF57" w14:textId="77777777" w:rsidR="004647B9" w:rsidRPr="004822DD" w:rsidRDefault="00E2436F" w:rsidP="00A67A4E">
      <w:pPr>
        <w:numPr>
          <w:ilvl w:val="1"/>
          <w:numId w:val="266"/>
        </w:numPr>
        <w:tabs>
          <w:tab w:val="left" w:pos="2014"/>
        </w:tabs>
        <w:ind w:left="1560" w:hanging="5"/>
        <w:jc w:val="both"/>
        <w:rPr>
          <w:rFonts w:eastAsia="Times New Roman"/>
          <w:sz w:val="24"/>
          <w:szCs w:val="24"/>
        </w:rPr>
      </w:pPr>
      <w:r w:rsidRPr="004822DD">
        <w:rPr>
          <w:rFonts w:eastAsia="Times New Roman"/>
          <w:sz w:val="24"/>
          <w:szCs w:val="24"/>
          <w:u w:val="single"/>
        </w:rPr>
        <w:t>Enforcement</w:t>
      </w:r>
      <w:r w:rsidRPr="004822DD">
        <w:rPr>
          <w:rFonts w:eastAsia="Times New Roman"/>
          <w:sz w:val="24"/>
          <w:szCs w:val="24"/>
        </w:rPr>
        <w:t>. The Department has the authority to determine compliance or initiate enforcement action based upon analytical results and other information compiled by their sanctioned representatives and agencies.</w:t>
      </w:r>
    </w:p>
    <w:p w14:paraId="2819EF5B" w14:textId="5853EBE9" w:rsidR="004647B9" w:rsidRPr="004822DD" w:rsidRDefault="00E2436F" w:rsidP="00A67A4E">
      <w:pPr>
        <w:numPr>
          <w:ilvl w:val="1"/>
          <w:numId w:val="266"/>
        </w:numPr>
        <w:tabs>
          <w:tab w:val="left" w:pos="1980"/>
        </w:tabs>
        <w:ind w:left="1560"/>
        <w:rPr>
          <w:rFonts w:eastAsia="Times New Roman"/>
          <w:sz w:val="24"/>
          <w:szCs w:val="24"/>
        </w:rPr>
      </w:pPr>
      <w:r w:rsidRPr="004822DD">
        <w:rPr>
          <w:rFonts w:eastAsia="Times New Roman"/>
          <w:sz w:val="24"/>
          <w:szCs w:val="24"/>
          <w:u w:val="single"/>
        </w:rPr>
        <w:t>Average Exceeding VOC MCLs</w:t>
      </w:r>
      <w:r w:rsidRPr="004822DD">
        <w:rPr>
          <w:rFonts w:eastAsia="Times New Roman"/>
          <w:sz w:val="24"/>
          <w:szCs w:val="24"/>
        </w:rPr>
        <w:t>. When the average of four analyses made pursuant to</w:t>
      </w:r>
      <w:r w:rsidR="004822DD">
        <w:rPr>
          <w:rFonts w:eastAsia="Times New Roman"/>
          <w:sz w:val="24"/>
          <w:szCs w:val="24"/>
        </w:rPr>
        <w:t xml:space="preserve"> </w:t>
      </w:r>
      <w:r w:rsidRPr="004822DD">
        <w:rPr>
          <w:rFonts w:eastAsia="Times New Roman"/>
          <w:sz w:val="24"/>
          <w:szCs w:val="24"/>
        </w:rPr>
        <w:t>310 CMR 22.07B(4), rounded to the same number of significant figures as the maximum contaminant level for the substance in question, exceeds the maximum contaminant level, the supplier of water shall report to the Department pursuant to 310 CMR 22.15 and give notice to the public pursuant to 310 CMR 22.16. Monitoring after public notification shall be at a frequency designated by the Department and shall continue until the maximum contaminant level has not been exceeded in two successive samples or until a monitoring schedule as condition to variance, exemption or enforcement action shall become effective.</w:t>
      </w:r>
    </w:p>
    <w:p w14:paraId="2819EF5C" w14:textId="77777777" w:rsidR="004647B9" w:rsidRDefault="004647B9">
      <w:pPr>
        <w:sectPr w:rsidR="004647B9" w:rsidSect="00EF630C">
          <w:pgSz w:w="12240" w:h="20180"/>
          <w:pgMar w:top="708" w:right="1440" w:bottom="1440" w:left="600" w:header="0" w:footer="0" w:gutter="0"/>
          <w:cols w:space="720" w:equalWidth="0">
            <w:col w:w="10200"/>
          </w:cols>
        </w:sectPr>
      </w:pPr>
    </w:p>
    <w:p w14:paraId="2819EF5D" w14:textId="77777777" w:rsidR="004647B9" w:rsidRDefault="00E2436F">
      <w:pPr>
        <w:tabs>
          <w:tab w:val="left" w:pos="160"/>
        </w:tabs>
        <w:jc w:val="center"/>
        <w:rPr>
          <w:sz w:val="20"/>
          <w:szCs w:val="20"/>
        </w:rPr>
      </w:pPr>
      <w:bookmarkStart w:id="107" w:name="page109"/>
      <w:bookmarkEnd w:id="10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F5E" w14:textId="77777777" w:rsidR="004647B9" w:rsidRDefault="004647B9" w:rsidP="00FC4F8A">
      <w:pPr>
        <w:rPr>
          <w:sz w:val="20"/>
          <w:szCs w:val="20"/>
        </w:rPr>
      </w:pPr>
    </w:p>
    <w:p w14:paraId="2819EF5F" w14:textId="77777777" w:rsidR="004647B9" w:rsidRDefault="004647B9" w:rsidP="00FC4F8A">
      <w:pPr>
        <w:rPr>
          <w:sz w:val="20"/>
          <w:szCs w:val="20"/>
        </w:rPr>
      </w:pPr>
    </w:p>
    <w:p w14:paraId="2819EF60" w14:textId="77777777" w:rsidR="004647B9" w:rsidRDefault="00E2436F" w:rsidP="00FC4F8A">
      <w:pPr>
        <w:tabs>
          <w:tab w:val="left" w:pos="920"/>
        </w:tabs>
        <w:rPr>
          <w:sz w:val="20"/>
          <w:szCs w:val="20"/>
        </w:rPr>
      </w:pPr>
      <w:r>
        <w:rPr>
          <w:rFonts w:eastAsia="Times New Roman"/>
          <w:sz w:val="24"/>
          <w:szCs w:val="24"/>
        </w:rPr>
        <w:t>22.07B:</w:t>
      </w:r>
      <w:r>
        <w:rPr>
          <w:rFonts w:eastAsia="Times New Roman"/>
          <w:sz w:val="24"/>
          <w:szCs w:val="24"/>
        </w:rPr>
        <w:tab/>
        <w:t>continued</w:t>
      </w:r>
    </w:p>
    <w:p w14:paraId="2819EF61" w14:textId="77777777" w:rsidR="004647B9" w:rsidRDefault="004647B9" w:rsidP="00FC4F8A">
      <w:pPr>
        <w:rPr>
          <w:sz w:val="20"/>
          <w:szCs w:val="20"/>
        </w:rPr>
      </w:pPr>
    </w:p>
    <w:p w14:paraId="2819EF62" w14:textId="77777777" w:rsidR="004647B9" w:rsidRPr="004822DD" w:rsidRDefault="00E2436F" w:rsidP="00FC4F8A">
      <w:pPr>
        <w:numPr>
          <w:ilvl w:val="0"/>
          <w:numId w:val="267"/>
        </w:numPr>
        <w:tabs>
          <w:tab w:val="left" w:pos="1689"/>
        </w:tabs>
        <w:ind w:left="1200"/>
        <w:jc w:val="both"/>
        <w:rPr>
          <w:rFonts w:eastAsia="Times New Roman"/>
          <w:sz w:val="24"/>
          <w:szCs w:val="24"/>
        </w:rPr>
      </w:pPr>
      <w:r w:rsidRPr="004822DD">
        <w:rPr>
          <w:rFonts w:eastAsia="Times New Roman"/>
          <w:sz w:val="24"/>
          <w:szCs w:val="24"/>
          <w:u w:val="single"/>
        </w:rPr>
        <w:t>VOC Analytical Methods</w:t>
      </w:r>
      <w:r w:rsidRPr="004822DD">
        <w:rPr>
          <w:rFonts w:eastAsia="Times New Roman"/>
          <w:sz w:val="24"/>
          <w:szCs w:val="24"/>
        </w:rPr>
        <w:t>. Analysis for the contaminants listed in 310 CMR 22.07B(1) shall be conducted using the following EPA methods or their equivalent as approved by EPA.</w:t>
      </w:r>
    </w:p>
    <w:p w14:paraId="2819EF63" w14:textId="77777777" w:rsidR="004647B9" w:rsidRDefault="004647B9" w:rsidP="00FC4F8A">
      <w:pPr>
        <w:rPr>
          <w:sz w:val="20"/>
          <w:szCs w:val="20"/>
        </w:rPr>
      </w:pPr>
    </w:p>
    <w:tbl>
      <w:tblPr>
        <w:tblW w:w="0" w:type="auto"/>
        <w:tblInd w:w="1130" w:type="dxa"/>
        <w:tblLayout w:type="fixed"/>
        <w:tblCellMar>
          <w:left w:w="0" w:type="dxa"/>
          <w:right w:w="0" w:type="dxa"/>
        </w:tblCellMar>
        <w:tblLook w:val="04A0" w:firstRow="1" w:lastRow="0" w:firstColumn="1" w:lastColumn="0" w:noHBand="0" w:noVBand="1"/>
      </w:tblPr>
      <w:tblGrid>
        <w:gridCol w:w="4780"/>
        <w:gridCol w:w="4040"/>
      </w:tblGrid>
      <w:tr w:rsidR="004647B9" w14:paraId="2819EF66" w14:textId="77777777">
        <w:trPr>
          <w:trHeight w:val="276"/>
        </w:trPr>
        <w:tc>
          <w:tcPr>
            <w:tcW w:w="4780" w:type="dxa"/>
            <w:tcBorders>
              <w:top w:val="single" w:sz="8" w:space="0" w:color="auto"/>
              <w:left w:val="single" w:sz="8" w:space="0" w:color="auto"/>
              <w:bottom w:val="single" w:sz="8" w:space="0" w:color="auto"/>
              <w:right w:val="single" w:sz="8" w:space="0" w:color="auto"/>
            </w:tcBorders>
            <w:vAlign w:val="bottom"/>
          </w:tcPr>
          <w:p w14:paraId="2819EF64" w14:textId="77777777" w:rsidR="004647B9" w:rsidRDefault="00E2436F">
            <w:pPr>
              <w:ind w:left="100"/>
              <w:rPr>
                <w:sz w:val="20"/>
                <w:szCs w:val="20"/>
              </w:rPr>
            </w:pPr>
            <w:r>
              <w:rPr>
                <w:rFonts w:eastAsia="Times New Roman"/>
                <w:sz w:val="24"/>
                <w:szCs w:val="24"/>
              </w:rPr>
              <w:t>Contaminant</w:t>
            </w:r>
          </w:p>
        </w:tc>
        <w:tc>
          <w:tcPr>
            <w:tcW w:w="4040" w:type="dxa"/>
            <w:tcBorders>
              <w:top w:val="single" w:sz="8" w:space="0" w:color="auto"/>
              <w:bottom w:val="single" w:sz="8" w:space="0" w:color="auto"/>
              <w:right w:val="single" w:sz="8" w:space="0" w:color="auto"/>
            </w:tcBorders>
            <w:vAlign w:val="bottom"/>
          </w:tcPr>
          <w:p w14:paraId="2819EF65" w14:textId="77777777" w:rsidR="004647B9" w:rsidRDefault="00E2436F">
            <w:pPr>
              <w:ind w:left="100"/>
              <w:rPr>
                <w:sz w:val="20"/>
                <w:szCs w:val="20"/>
              </w:rPr>
            </w:pPr>
            <w:r>
              <w:rPr>
                <w:rFonts w:eastAsia="Times New Roman"/>
                <w:sz w:val="24"/>
                <w:szCs w:val="24"/>
              </w:rPr>
              <w:t>EPA Method</w:t>
            </w:r>
          </w:p>
        </w:tc>
      </w:tr>
      <w:tr w:rsidR="004647B9" w14:paraId="2819EF69" w14:textId="77777777">
        <w:trPr>
          <w:trHeight w:val="263"/>
        </w:trPr>
        <w:tc>
          <w:tcPr>
            <w:tcW w:w="4780" w:type="dxa"/>
            <w:tcBorders>
              <w:left w:val="single" w:sz="8" w:space="0" w:color="auto"/>
              <w:bottom w:val="single" w:sz="8" w:space="0" w:color="auto"/>
              <w:right w:val="single" w:sz="8" w:space="0" w:color="auto"/>
            </w:tcBorders>
            <w:vAlign w:val="bottom"/>
          </w:tcPr>
          <w:p w14:paraId="2819EF67" w14:textId="77777777" w:rsidR="004647B9" w:rsidRDefault="00E2436F">
            <w:pPr>
              <w:spacing w:line="263" w:lineRule="exact"/>
              <w:ind w:left="100"/>
              <w:rPr>
                <w:sz w:val="20"/>
                <w:szCs w:val="20"/>
              </w:rPr>
            </w:pPr>
            <w:r>
              <w:rPr>
                <w:rFonts w:eastAsia="Times New Roman"/>
                <w:sz w:val="24"/>
                <w:szCs w:val="24"/>
              </w:rPr>
              <w:t>Benzene</w:t>
            </w:r>
          </w:p>
        </w:tc>
        <w:tc>
          <w:tcPr>
            <w:tcW w:w="4040" w:type="dxa"/>
            <w:tcBorders>
              <w:bottom w:val="single" w:sz="8" w:space="0" w:color="auto"/>
              <w:right w:val="single" w:sz="8" w:space="0" w:color="auto"/>
            </w:tcBorders>
            <w:vAlign w:val="bottom"/>
          </w:tcPr>
          <w:p w14:paraId="2819EF68" w14:textId="77777777" w:rsidR="004647B9" w:rsidRDefault="00E2436F">
            <w:pPr>
              <w:spacing w:line="263" w:lineRule="exact"/>
              <w:ind w:left="100"/>
              <w:rPr>
                <w:sz w:val="20"/>
                <w:szCs w:val="20"/>
              </w:rPr>
            </w:pPr>
            <w:r>
              <w:rPr>
                <w:rFonts w:eastAsia="Times New Roman"/>
                <w:sz w:val="24"/>
                <w:szCs w:val="24"/>
              </w:rPr>
              <w:t>502.2, 524.2</w:t>
            </w:r>
          </w:p>
        </w:tc>
      </w:tr>
      <w:tr w:rsidR="004647B9" w14:paraId="2819EF6C" w14:textId="77777777">
        <w:trPr>
          <w:trHeight w:val="263"/>
        </w:trPr>
        <w:tc>
          <w:tcPr>
            <w:tcW w:w="4780" w:type="dxa"/>
            <w:tcBorders>
              <w:left w:val="single" w:sz="8" w:space="0" w:color="auto"/>
              <w:bottom w:val="single" w:sz="8" w:space="0" w:color="auto"/>
              <w:right w:val="single" w:sz="8" w:space="0" w:color="auto"/>
            </w:tcBorders>
            <w:vAlign w:val="bottom"/>
          </w:tcPr>
          <w:p w14:paraId="2819EF6A" w14:textId="77777777" w:rsidR="004647B9" w:rsidRDefault="00E2436F">
            <w:pPr>
              <w:spacing w:line="263" w:lineRule="exact"/>
              <w:ind w:left="100"/>
              <w:rPr>
                <w:sz w:val="20"/>
                <w:szCs w:val="20"/>
              </w:rPr>
            </w:pPr>
            <w:r>
              <w:rPr>
                <w:rFonts w:eastAsia="Times New Roman"/>
                <w:sz w:val="24"/>
                <w:szCs w:val="24"/>
              </w:rPr>
              <w:t>Carbon tetrachloride</w:t>
            </w:r>
          </w:p>
        </w:tc>
        <w:tc>
          <w:tcPr>
            <w:tcW w:w="4040" w:type="dxa"/>
            <w:tcBorders>
              <w:bottom w:val="single" w:sz="8" w:space="0" w:color="auto"/>
              <w:right w:val="single" w:sz="8" w:space="0" w:color="auto"/>
            </w:tcBorders>
            <w:vAlign w:val="bottom"/>
          </w:tcPr>
          <w:p w14:paraId="2819EF6B" w14:textId="77777777" w:rsidR="004647B9" w:rsidRDefault="00E2436F">
            <w:pPr>
              <w:spacing w:line="263" w:lineRule="exact"/>
              <w:ind w:left="100"/>
              <w:rPr>
                <w:sz w:val="20"/>
                <w:szCs w:val="20"/>
              </w:rPr>
            </w:pPr>
            <w:r>
              <w:rPr>
                <w:rFonts w:eastAsia="Times New Roman"/>
                <w:sz w:val="24"/>
                <w:szCs w:val="24"/>
              </w:rPr>
              <w:t>502.2, 524.2, 551.1</w:t>
            </w:r>
          </w:p>
        </w:tc>
      </w:tr>
      <w:tr w:rsidR="004647B9" w14:paraId="2819EF6F" w14:textId="77777777">
        <w:trPr>
          <w:trHeight w:val="263"/>
        </w:trPr>
        <w:tc>
          <w:tcPr>
            <w:tcW w:w="4780" w:type="dxa"/>
            <w:tcBorders>
              <w:left w:val="single" w:sz="8" w:space="0" w:color="auto"/>
              <w:bottom w:val="single" w:sz="8" w:space="0" w:color="auto"/>
              <w:right w:val="single" w:sz="8" w:space="0" w:color="auto"/>
            </w:tcBorders>
            <w:vAlign w:val="bottom"/>
          </w:tcPr>
          <w:p w14:paraId="2819EF6D" w14:textId="77777777" w:rsidR="004647B9" w:rsidRDefault="00E2436F">
            <w:pPr>
              <w:spacing w:line="263" w:lineRule="exact"/>
              <w:ind w:left="100"/>
              <w:rPr>
                <w:sz w:val="20"/>
                <w:szCs w:val="20"/>
              </w:rPr>
            </w:pPr>
            <w:r>
              <w:rPr>
                <w:rFonts w:eastAsia="Times New Roman"/>
                <w:sz w:val="24"/>
                <w:szCs w:val="24"/>
              </w:rPr>
              <w:t>Chlorobenzene</w:t>
            </w:r>
          </w:p>
        </w:tc>
        <w:tc>
          <w:tcPr>
            <w:tcW w:w="4040" w:type="dxa"/>
            <w:tcBorders>
              <w:bottom w:val="single" w:sz="8" w:space="0" w:color="auto"/>
              <w:right w:val="single" w:sz="8" w:space="0" w:color="auto"/>
            </w:tcBorders>
            <w:vAlign w:val="bottom"/>
          </w:tcPr>
          <w:p w14:paraId="2819EF6E" w14:textId="77777777" w:rsidR="004647B9" w:rsidRDefault="00E2436F">
            <w:pPr>
              <w:spacing w:line="263" w:lineRule="exact"/>
              <w:ind w:left="100"/>
              <w:rPr>
                <w:sz w:val="20"/>
                <w:szCs w:val="20"/>
              </w:rPr>
            </w:pPr>
            <w:r>
              <w:rPr>
                <w:rFonts w:eastAsia="Times New Roman"/>
                <w:sz w:val="24"/>
                <w:szCs w:val="24"/>
              </w:rPr>
              <w:t>502.2, 524.2</w:t>
            </w:r>
          </w:p>
        </w:tc>
      </w:tr>
      <w:tr w:rsidR="004647B9" w14:paraId="2819EF72" w14:textId="77777777">
        <w:trPr>
          <w:trHeight w:val="263"/>
        </w:trPr>
        <w:tc>
          <w:tcPr>
            <w:tcW w:w="4780" w:type="dxa"/>
            <w:tcBorders>
              <w:left w:val="single" w:sz="8" w:space="0" w:color="auto"/>
              <w:bottom w:val="single" w:sz="8" w:space="0" w:color="auto"/>
              <w:right w:val="single" w:sz="8" w:space="0" w:color="auto"/>
            </w:tcBorders>
            <w:vAlign w:val="bottom"/>
          </w:tcPr>
          <w:p w14:paraId="2819EF70" w14:textId="77777777" w:rsidR="004647B9" w:rsidRDefault="00E2436F">
            <w:pPr>
              <w:spacing w:line="263" w:lineRule="exact"/>
              <w:ind w:left="100"/>
              <w:rPr>
                <w:sz w:val="20"/>
                <w:szCs w:val="20"/>
              </w:rPr>
            </w:pPr>
            <w:r>
              <w:rPr>
                <w:rFonts w:eastAsia="Times New Roman"/>
                <w:sz w:val="24"/>
                <w:szCs w:val="24"/>
              </w:rPr>
              <w:t>1,2-Dichlorobenzene</w:t>
            </w:r>
          </w:p>
        </w:tc>
        <w:tc>
          <w:tcPr>
            <w:tcW w:w="4040" w:type="dxa"/>
            <w:tcBorders>
              <w:bottom w:val="single" w:sz="8" w:space="0" w:color="auto"/>
              <w:right w:val="single" w:sz="8" w:space="0" w:color="auto"/>
            </w:tcBorders>
            <w:vAlign w:val="bottom"/>
          </w:tcPr>
          <w:p w14:paraId="2819EF71" w14:textId="77777777" w:rsidR="004647B9" w:rsidRDefault="00E2436F">
            <w:pPr>
              <w:spacing w:line="263" w:lineRule="exact"/>
              <w:ind w:left="100"/>
              <w:rPr>
                <w:sz w:val="20"/>
                <w:szCs w:val="20"/>
              </w:rPr>
            </w:pPr>
            <w:r>
              <w:rPr>
                <w:rFonts w:eastAsia="Times New Roman"/>
                <w:sz w:val="24"/>
                <w:szCs w:val="24"/>
              </w:rPr>
              <w:t>502.2, 524.2</w:t>
            </w:r>
          </w:p>
        </w:tc>
      </w:tr>
      <w:tr w:rsidR="004647B9" w14:paraId="2819EF75" w14:textId="77777777">
        <w:trPr>
          <w:trHeight w:val="263"/>
        </w:trPr>
        <w:tc>
          <w:tcPr>
            <w:tcW w:w="4780" w:type="dxa"/>
            <w:tcBorders>
              <w:left w:val="single" w:sz="8" w:space="0" w:color="auto"/>
              <w:bottom w:val="single" w:sz="8" w:space="0" w:color="auto"/>
              <w:right w:val="single" w:sz="8" w:space="0" w:color="auto"/>
            </w:tcBorders>
            <w:vAlign w:val="bottom"/>
          </w:tcPr>
          <w:p w14:paraId="2819EF73" w14:textId="77777777" w:rsidR="004647B9" w:rsidRDefault="00E2436F">
            <w:pPr>
              <w:spacing w:line="263" w:lineRule="exact"/>
              <w:ind w:left="100"/>
              <w:rPr>
                <w:sz w:val="20"/>
                <w:szCs w:val="20"/>
              </w:rPr>
            </w:pPr>
            <w:r>
              <w:rPr>
                <w:rFonts w:eastAsia="Times New Roman"/>
                <w:sz w:val="24"/>
                <w:szCs w:val="24"/>
              </w:rPr>
              <w:t>1,4- Dichlorobenzene</w:t>
            </w:r>
          </w:p>
        </w:tc>
        <w:tc>
          <w:tcPr>
            <w:tcW w:w="4040" w:type="dxa"/>
            <w:tcBorders>
              <w:bottom w:val="single" w:sz="8" w:space="0" w:color="auto"/>
              <w:right w:val="single" w:sz="8" w:space="0" w:color="auto"/>
            </w:tcBorders>
            <w:vAlign w:val="bottom"/>
          </w:tcPr>
          <w:p w14:paraId="2819EF74" w14:textId="77777777" w:rsidR="004647B9" w:rsidRDefault="00E2436F">
            <w:pPr>
              <w:spacing w:line="263" w:lineRule="exact"/>
              <w:ind w:left="80"/>
              <w:rPr>
                <w:sz w:val="20"/>
                <w:szCs w:val="20"/>
              </w:rPr>
            </w:pPr>
            <w:r>
              <w:rPr>
                <w:rFonts w:eastAsia="Times New Roman"/>
                <w:sz w:val="24"/>
                <w:szCs w:val="24"/>
              </w:rPr>
              <w:t>502.2, 524.2</w:t>
            </w:r>
          </w:p>
        </w:tc>
      </w:tr>
      <w:tr w:rsidR="004647B9" w14:paraId="2819EF78" w14:textId="77777777">
        <w:trPr>
          <w:trHeight w:val="263"/>
        </w:trPr>
        <w:tc>
          <w:tcPr>
            <w:tcW w:w="4780" w:type="dxa"/>
            <w:tcBorders>
              <w:left w:val="single" w:sz="8" w:space="0" w:color="auto"/>
              <w:bottom w:val="single" w:sz="8" w:space="0" w:color="auto"/>
              <w:right w:val="single" w:sz="8" w:space="0" w:color="auto"/>
            </w:tcBorders>
            <w:vAlign w:val="bottom"/>
          </w:tcPr>
          <w:p w14:paraId="2819EF76" w14:textId="77777777" w:rsidR="004647B9" w:rsidRDefault="00E2436F">
            <w:pPr>
              <w:spacing w:line="263" w:lineRule="exact"/>
              <w:ind w:left="100"/>
              <w:rPr>
                <w:sz w:val="20"/>
                <w:szCs w:val="20"/>
              </w:rPr>
            </w:pPr>
            <w:r>
              <w:rPr>
                <w:rFonts w:eastAsia="Times New Roman"/>
                <w:sz w:val="24"/>
                <w:szCs w:val="24"/>
              </w:rPr>
              <w:t>1,2- Dichloroethane</w:t>
            </w:r>
          </w:p>
        </w:tc>
        <w:tc>
          <w:tcPr>
            <w:tcW w:w="4040" w:type="dxa"/>
            <w:tcBorders>
              <w:bottom w:val="single" w:sz="8" w:space="0" w:color="auto"/>
              <w:right w:val="single" w:sz="8" w:space="0" w:color="auto"/>
            </w:tcBorders>
            <w:vAlign w:val="bottom"/>
          </w:tcPr>
          <w:p w14:paraId="2819EF77" w14:textId="77777777" w:rsidR="004647B9" w:rsidRDefault="00E2436F">
            <w:pPr>
              <w:spacing w:line="263" w:lineRule="exact"/>
              <w:ind w:left="100"/>
              <w:rPr>
                <w:sz w:val="20"/>
                <w:szCs w:val="20"/>
              </w:rPr>
            </w:pPr>
            <w:r>
              <w:rPr>
                <w:rFonts w:eastAsia="Times New Roman"/>
                <w:sz w:val="24"/>
                <w:szCs w:val="24"/>
              </w:rPr>
              <w:t>502.2, 524.2</w:t>
            </w:r>
          </w:p>
        </w:tc>
      </w:tr>
      <w:tr w:rsidR="004647B9" w14:paraId="2819EF7B" w14:textId="77777777">
        <w:trPr>
          <w:trHeight w:val="263"/>
        </w:trPr>
        <w:tc>
          <w:tcPr>
            <w:tcW w:w="4780" w:type="dxa"/>
            <w:tcBorders>
              <w:left w:val="single" w:sz="8" w:space="0" w:color="auto"/>
              <w:bottom w:val="single" w:sz="8" w:space="0" w:color="auto"/>
              <w:right w:val="single" w:sz="8" w:space="0" w:color="auto"/>
            </w:tcBorders>
            <w:vAlign w:val="bottom"/>
          </w:tcPr>
          <w:p w14:paraId="2819EF79" w14:textId="77777777" w:rsidR="004647B9" w:rsidRDefault="00E2436F">
            <w:pPr>
              <w:spacing w:line="263" w:lineRule="exact"/>
              <w:ind w:left="100"/>
              <w:rPr>
                <w:sz w:val="20"/>
                <w:szCs w:val="20"/>
              </w:rPr>
            </w:pPr>
            <w:r>
              <w:rPr>
                <w:rFonts w:eastAsia="Times New Roman"/>
                <w:sz w:val="24"/>
                <w:szCs w:val="24"/>
              </w:rPr>
              <w:t>cis-Dichloroethylene</w:t>
            </w:r>
          </w:p>
        </w:tc>
        <w:tc>
          <w:tcPr>
            <w:tcW w:w="4040" w:type="dxa"/>
            <w:tcBorders>
              <w:bottom w:val="single" w:sz="8" w:space="0" w:color="auto"/>
              <w:right w:val="single" w:sz="8" w:space="0" w:color="auto"/>
            </w:tcBorders>
            <w:vAlign w:val="bottom"/>
          </w:tcPr>
          <w:p w14:paraId="2819EF7A" w14:textId="77777777" w:rsidR="004647B9" w:rsidRDefault="00E2436F">
            <w:pPr>
              <w:spacing w:line="263" w:lineRule="exact"/>
              <w:ind w:left="100"/>
              <w:rPr>
                <w:sz w:val="20"/>
                <w:szCs w:val="20"/>
              </w:rPr>
            </w:pPr>
            <w:r>
              <w:rPr>
                <w:rFonts w:eastAsia="Times New Roman"/>
                <w:sz w:val="24"/>
                <w:szCs w:val="24"/>
              </w:rPr>
              <w:t>502.2, 524.2</w:t>
            </w:r>
          </w:p>
        </w:tc>
      </w:tr>
      <w:tr w:rsidR="004647B9" w14:paraId="2819EF7E" w14:textId="77777777">
        <w:trPr>
          <w:trHeight w:val="263"/>
        </w:trPr>
        <w:tc>
          <w:tcPr>
            <w:tcW w:w="4780" w:type="dxa"/>
            <w:tcBorders>
              <w:left w:val="single" w:sz="8" w:space="0" w:color="auto"/>
              <w:bottom w:val="single" w:sz="8" w:space="0" w:color="auto"/>
              <w:right w:val="single" w:sz="8" w:space="0" w:color="auto"/>
            </w:tcBorders>
            <w:vAlign w:val="bottom"/>
          </w:tcPr>
          <w:p w14:paraId="2819EF7C" w14:textId="77777777" w:rsidR="004647B9" w:rsidRDefault="00E2436F">
            <w:pPr>
              <w:spacing w:line="263" w:lineRule="exact"/>
              <w:ind w:left="100"/>
              <w:rPr>
                <w:sz w:val="20"/>
                <w:szCs w:val="20"/>
              </w:rPr>
            </w:pPr>
            <w:r>
              <w:rPr>
                <w:rFonts w:eastAsia="Times New Roman"/>
                <w:sz w:val="24"/>
                <w:szCs w:val="24"/>
              </w:rPr>
              <w:t>trans- Dichloroethylene</w:t>
            </w:r>
          </w:p>
        </w:tc>
        <w:tc>
          <w:tcPr>
            <w:tcW w:w="4040" w:type="dxa"/>
            <w:tcBorders>
              <w:bottom w:val="single" w:sz="8" w:space="0" w:color="auto"/>
              <w:right w:val="single" w:sz="8" w:space="0" w:color="auto"/>
            </w:tcBorders>
            <w:vAlign w:val="bottom"/>
          </w:tcPr>
          <w:p w14:paraId="2819EF7D"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1" w14:textId="77777777">
        <w:trPr>
          <w:trHeight w:val="263"/>
        </w:trPr>
        <w:tc>
          <w:tcPr>
            <w:tcW w:w="4780" w:type="dxa"/>
            <w:tcBorders>
              <w:left w:val="single" w:sz="8" w:space="0" w:color="auto"/>
              <w:bottom w:val="single" w:sz="8" w:space="0" w:color="auto"/>
              <w:right w:val="single" w:sz="8" w:space="0" w:color="auto"/>
            </w:tcBorders>
            <w:vAlign w:val="bottom"/>
          </w:tcPr>
          <w:p w14:paraId="2819EF7F" w14:textId="77777777" w:rsidR="004647B9" w:rsidRDefault="00E2436F">
            <w:pPr>
              <w:spacing w:line="263" w:lineRule="exact"/>
              <w:ind w:left="100"/>
              <w:rPr>
                <w:sz w:val="20"/>
                <w:szCs w:val="20"/>
              </w:rPr>
            </w:pPr>
            <w:r>
              <w:rPr>
                <w:rFonts w:eastAsia="Times New Roman"/>
                <w:sz w:val="24"/>
                <w:szCs w:val="24"/>
              </w:rPr>
              <w:t>Dichloromethane</w:t>
            </w:r>
          </w:p>
        </w:tc>
        <w:tc>
          <w:tcPr>
            <w:tcW w:w="4040" w:type="dxa"/>
            <w:tcBorders>
              <w:bottom w:val="single" w:sz="8" w:space="0" w:color="auto"/>
              <w:right w:val="single" w:sz="8" w:space="0" w:color="auto"/>
            </w:tcBorders>
            <w:vAlign w:val="bottom"/>
          </w:tcPr>
          <w:p w14:paraId="2819EF80"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4" w14:textId="77777777">
        <w:trPr>
          <w:trHeight w:val="263"/>
        </w:trPr>
        <w:tc>
          <w:tcPr>
            <w:tcW w:w="4780" w:type="dxa"/>
            <w:tcBorders>
              <w:left w:val="single" w:sz="8" w:space="0" w:color="auto"/>
              <w:bottom w:val="single" w:sz="8" w:space="0" w:color="auto"/>
              <w:right w:val="single" w:sz="8" w:space="0" w:color="auto"/>
            </w:tcBorders>
            <w:vAlign w:val="bottom"/>
          </w:tcPr>
          <w:p w14:paraId="2819EF82" w14:textId="77777777" w:rsidR="004647B9" w:rsidRDefault="00E2436F">
            <w:pPr>
              <w:spacing w:line="263" w:lineRule="exact"/>
              <w:ind w:left="100"/>
              <w:rPr>
                <w:sz w:val="20"/>
                <w:szCs w:val="20"/>
              </w:rPr>
            </w:pPr>
            <w:r>
              <w:rPr>
                <w:rFonts w:eastAsia="Times New Roman"/>
                <w:sz w:val="24"/>
                <w:szCs w:val="24"/>
              </w:rPr>
              <w:t>1,2-Dichloropropane</w:t>
            </w:r>
          </w:p>
        </w:tc>
        <w:tc>
          <w:tcPr>
            <w:tcW w:w="4040" w:type="dxa"/>
            <w:tcBorders>
              <w:bottom w:val="single" w:sz="8" w:space="0" w:color="auto"/>
              <w:right w:val="single" w:sz="8" w:space="0" w:color="auto"/>
            </w:tcBorders>
            <w:vAlign w:val="bottom"/>
          </w:tcPr>
          <w:p w14:paraId="2819EF83"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7" w14:textId="77777777">
        <w:trPr>
          <w:trHeight w:val="263"/>
        </w:trPr>
        <w:tc>
          <w:tcPr>
            <w:tcW w:w="4780" w:type="dxa"/>
            <w:tcBorders>
              <w:left w:val="single" w:sz="8" w:space="0" w:color="auto"/>
              <w:bottom w:val="single" w:sz="8" w:space="0" w:color="auto"/>
              <w:right w:val="single" w:sz="8" w:space="0" w:color="auto"/>
            </w:tcBorders>
            <w:vAlign w:val="bottom"/>
          </w:tcPr>
          <w:p w14:paraId="2819EF85" w14:textId="77777777" w:rsidR="004647B9" w:rsidRDefault="00E2436F">
            <w:pPr>
              <w:spacing w:line="263" w:lineRule="exact"/>
              <w:ind w:left="100"/>
              <w:rPr>
                <w:sz w:val="20"/>
                <w:szCs w:val="20"/>
              </w:rPr>
            </w:pPr>
            <w:r>
              <w:rPr>
                <w:rFonts w:eastAsia="Times New Roman"/>
                <w:sz w:val="24"/>
                <w:szCs w:val="24"/>
              </w:rPr>
              <w:t>Ethylbenzene</w:t>
            </w:r>
          </w:p>
        </w:tc>
        <w:tc>
          <w:tcPr>
            <w:tcW w:w="4040" w:type="dxa"/>
            <w:tcBorders>
              <w:bottom w:val="single" w:sz="8" w:space="0" w:color="auto"/>
              <w:right w:val="single" w:sz="8" w:space="0" w:color="auto"/>
            </w:tcBorders>
            <w:vAlign w:val="bottom"/>
          </w:tcPr>
          <w:p w14:paraId="2819EF86"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A" w14:textId="77777777">
        <w:trPr>
          <w:trHeight w:val="263"/>
        </w:trPr>
        <w:tc>
          <w:tcPr>
            <w:tcW w:w="4780" w:type="dxa"/>
            <w:tcBorders>
              <w:left w:val="single" w:sz="8" w:space="0" w:color="auto"/>
              <w:bottom w:val="single" w:sz="8" w:space="0" w:color="auto"/>
              <w:right w:val="single" w:sz="8" w:space="0" w:color="auto"/>
            </w:tcBorders>
            <w:vAlign w:val="bottom"/>
          </w:tcPr>
          <w:p w14:paraId="2819EF88" w14:textId="77777777" w:rsidR="004647B9" w:rsidRDefault="00E2436F">
            <w:pPr>
              <w:spacing w:line="263" w:lineRule="exact"/>
              <w:ind w:left="100"/>
              <w:rPr>
                <w:sz w:val="20"/>
                <w:szCs w:val="20"/>
              </w:rPr>
            </w:pPr>
            <w:r>
              <w:rPr>
                <w:rFonts w:eastAsia="Times New Roman"/>
                <w:sz w:val="24"/>
                <w:szCs w:val="24"/>
              </w:rPr>
              <w:t>Styrene</w:t>
            </w:r>
          </w:p>
        </w:tc>
        <w:tc>
          <w:tcPr>
            <w:tcW w:w="4040" w:type="dxa"/>
            <w:tcBorders>
              <w:bottom w:val="single" w:sz="8" w:space="0" w:color="auto"/>
              <w:right w:val="single" w:sz="8" w:space="0" w:color="auto"/>
            </w:tcBorders>
            <w:vAlign w:val="bottom"/>
          </w:tcPr>
          <w:p w14:paraId="2819EF89"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D" w14:textId="77777777">
        <w:trPr>
          <w:trHeight w:val="263"/>
        </w:trPr>
        <w:tc>
          <w:tcPr>
            <w:tcW w:w="4780" w:type="dxa"/>
            <w:tcBorders>
              <w:left w:val="single" w:sz="8" w:space="0" w:color="auto"/>
              <w:bottom w:val="single" w:sz="8" w:space="0" w:color="auto"/>
              <w:right w:val="single" w:sz="8" w:space="0" w:color="auto"/>
            </w:tcBorders>
            <w:vAlign w:val="bottom"/>
          </w:tcPr>
          <w:p w14:paraId="2819EF8B" w14:textId="77777777" w:rsidR="004647B9" w:rsidRDefault="00E2436F">
            <w:pPr>
              <w:spacing w:line="263" w:lineRule="exact"/>
              <w:ind w:left="100"/>
              <w:rPr>
                <w:sz w:val="20"/>
                <w:szCs w:val="20"/>
              </w:rPr>
            </w:pPr>
            <w:r>
              <w:rPr>
                <w:rFonts w:eastAsia="Times New Roman"/>
                <w:sz w:val="24"/>
                <w:szCs w:val="24"/>
              </w:rPr>
              <w:t>Tetrachloroethylene</w:t>
            </w:r>
          </w:p>
        </w:tc>
        <w:tc>
          <w:tcPr>
            <w:tcW w:w="4040" w:type="dxa"/>
            <w:tcBorders>
              <w:bottom w:val="single" w:sz="8" w:space="0" w:color="auto"/>
              <w:right w:val="single" w:sz="8" w:space="0" w:color="auto"/>
            </w:tcBorders>
            <w:vAlign w:val="bottom"/>
          </w:tcPr>
          <w:p w14:paraId="2819EF8C" w14:textId="77777777" w:rsidR="004647B9" w:rsidRDefault="00E2436F">
            <w:pPr>
              <w:spacing w:line="263" w:lineRule="exact"/>
              <w:ind w:left="100"/>
              <w:rPr>
                <w:sz w:val="20"/>
                <w:szCs w:val="20"/>
              </w:rPr>
            </w:pPr>
            <w:r>
              <w:rPr>
                <w:rFonts w:eastAsia="Times New Roman"/>
                <w:sz w:val="24"/>
                <w:szCs w:val="24"/>
              </w:rPr>
              <w:t>502.2, 524.2, 551.1</w:t>
            </w:r>
          </w:p>
        </w:tc>
      </w:tr>
      <w:tr w:rsidR="004647B9" w14:paraId="2819EF90" w14:textId="77777777">
        <w:trPr>
          <w:trHeight w:val="263"/>
        </w:trPr>
        <w:tc>
          <w:tcPr>
            <w:tcW w:w="4780" w:type="dxa"/>
            <w:tcBorders>
              <w:left w:val="single" w:sz="8" w:space="0" w:color="auto"/>
              <w:bottom w:val="single" w:sz="8" w:space="0" w:color="auto"/>
              <w:right w:val="single" w:sz="8" w:space="0" w:color="auto"/>
            </w:tcBorders>
            <w:vAlign w:val="bottom"/>
          </w:tcPr>
          <w:p w14:paraId="2819EF8E" w14:textId="77777777" w:rsidR="004647B9" w:rsidRDefault="00E2436F">
            <w:pPr>
              <w:spacing w:line="263" w:lineRule="exact"/>
              <w:ind w:left="100"/>
              <w:rPr>
                <w:sz w:val="20"/>
                <w:szCs w:val="20"/>
              </w:rPr>
            </w:pPr>
            <w:r>
              <w:rPr>
                <w:rFonts w:eastAsia="Times New Roman"/>
                <w:sz w:val="24"/>
                <w:szCs w:val="24"/>
              </w:rPr>
              <w:t>1,1,1-Trichlorobenzene</w:t>
            </w:r>
          </w:p>
        </w:tc>
        <w:tc>
          <w:tcPr>
            <w:tcW w:w="4040" w:type="dxa"/>
            <w:tcBorders>
              <w:bottom w:val="single" w:sz="8" w:space="0" w:color="auto"/>
              <w:right w:val="single" w:sz="8" w:space="0" w:color="auto"/>
            </w:tcBorders>
            <w:vAlign w:val="bottom"/>
          </w:tcPr>
          <w:p w14:paraId="2819EF8F" w14:textId="77777777" w:rsidR="004647B9" w:rsidRDefault="00E2436F">
            <w:pPr>
              <w:spacing w:line="263" w:lineRule="exact"/>
              <w:ind w:left="100"/>
              <w:rPr>
                <w:sz w:val="20"/>
                <w:szCs w:val="20"/>
              </w:rPr>
            </w:pPr>
            <w:r>
              <w:rPr>
                <w:rFonts w:eastAsia="Times New Roman"/>
                <w:sz w:val="24"/>
                <w:szCs w:val="24"/>
              </w:rPr>
              <w:t>502.2, 524.2, 551.1</w:t>
            </w:r>
          </w:p>
        </w:tc>
      </w:tr>
      <w:tr w:rsidR="004647B9" w14:paraId="2819EF93" w14:textId="77777777">
        <w:trPr>
          <w:trHeight w:val="263"/>
        </w:trPr>
        <w:tc>
          <w:tcPr>
            <w:tcW w:w="4780" w:type="dxa"/>
            <w:tcBorders>
              <w:left w:val="single" w:sz="8" w:space="0" w:color="auto"/>
              <w:bottom w:val="single" w:sz="8" w:space="0" w:color="auto"/>
              <w:right w:val="single" w:sz="8" w:space="0" w:color="auto"/>
            </w:tcBorders>
            <w:vAlign w:val="bottom"/>
          </w:tcPr>
          <w:p w14:paraId="2819EF91" w14:textId="77777777" w:rsidR="004647B9" w:rsidRDefault="00E2436F">
            <w:pPr>
              <w:spacing w:line="263" w:lineRule="exact"/>
              <w:ind w:left="100"/>
              <w:rPr>
                <w:sz w:val="20"/>
                <w:szCs w:val="20"/>
              </w:rPr>
            </w:pPr>
            <w:r>
              <w:rPr>
                <w:rFonts w:eastAsia="Times New Roman"/>
                <w:sz w:val="24"/>
                <w:szCs w:val="24"/>
              </w:rPr>
              <w:t>Trichloroethylene</w:t>
            </w:r>
          </w:p>
        </w:tc>
        <w:tc>
          <w:tcPr>
            <w:tcW w:w="4040" w:type="dxa"/>
            <w:tcBorders>
              <w:bottom w:val="single" w:sz="8" w:space="0" w:color="auto"/>
              <w:right w:val="single" w:sz="8" w:space="0" w:color="auto"/>
            </w:tcBorders>
            <w:vAlign w:val="bottom"/>
          </w:tcPr>
          <w:p w14:paraId="2819EF92" w14:textId="77777777" w:rsidR="004647B9" w:rsidRDefault="00E2436F">
            <w:pPr>
              <w:spacing w:line="263" w:lineRule="exact"/>
              <w:ind w:left="100"/>
              <w:rPr>
                <w:sz w:val="20"/>
                <w:szCs w:val="20"/>
              </w:rPr>
            </w:pPr>
            <w:r>
              <w:rPr>
                <w:rFonts w:eastAsia="Times New Roman"/>
                <w:sz w:val="24"/>
                <w:szCs w:val="24"/>
              </w:rPr>
              <w:t>502.2, 524.2, 551.1</w:t>
            </w:r>
          </w:p>
        </w:tc>
      </w:tr>
      <w:tr w:rsidR="004647B9" w14:paraId="2819EF96" w14:textId="77777777">
        <w:trPr>
          <w:trHeight w:val="263"/>
        </w:trPr>
        <w:tc>
          <w:tcPr>
            <w:tcW w:w="4780" w:type="dxa"/>
            <w:tcBorders>
              <w:left w:val="single" w:sz="8" w:space="0" w:color="auto"/>
              <w:bottom w:val="single" w:sz="8" w:space="0" w:color="auto"/>
              <w:right w:val="single" w:sz="8" w:space="0" w:color="auto"/>
            </w:tcBorders>
            <w:vAlign w:val="bottom"/>
          </w:tcPr>
          <w:p w14:paraId="2819EF94" w14:textId="77777777" w:rsidR="004647B9" w:rsidRDefault="00E2436F">
            <w:pPr>
              <w:spacing w:line="263" w:lineRule="exact"/>
              <w:ind w:left="100"/>
              <w:rPr>
                <w:sz w:val="20"/>
                <w:szCs w:val="20"/>
              </w:rPr>
            </w:pPr>
            <w:r>
              <w:rPr>
                <w:rFonts w:eastAsia="Times New Roman"/>
                <w:sz w:val="24"/>
                <w:szCs w:val="24"/>
              </w:rPr>
              <w:t>Toluene</w:t>
            </w:r>
          </w:p>
        </w:tc>
        <w:tc>
          <w:tcPr>
            <w:tcW w:w="4040" w:type="dxa"/>
            <w:tcBorders>
              <w:bottom w:val="single" w:sz="8" w:space="0" w:color="auto"/>
              <w:right w:val="single" w:sz="8" w:space="0" w:color="auto"/>
            </w:tcBorders>
            <w:vAlign w:val="bottom"/>
          </w:tcPr>
          <w:p w14:paraId="2819EF95" w14:textId="77777777" w:rsidR="004647B9" w:rsidRDefault="00E2436F">
            <w:pPr>
              <w:spacing w:line="263" w:lineRule="exact"/>
              <w:ind w:left="100"/>
              <w:rPr>
                <w:sz w:val="20"/>
                <w:szCs w:val="20"/>
              </w:rPr>
            </w:pPr>
            <w:r>
              <w:rPr>
                <w:rFonts w:eastAsia="Times New Roman"/>
                <w:sz w:val="24"/>
                <w:szCs w:val="24"/>
              </w:rPr>
              <w:t>502.2, 524.2</w:t>
            </w:r>
          </w:p>
        </w:tc>
      </w:tr>
      <w:tr w:rsidR="004647B9" w14:paraId="2819EF99" w14:textId="77777777">
        <w:trPr>
          <w:trHeight w:val="263"/>
        </w:trPr>
        <w:tc>
          <w:tcPr>
            <w:tcW w:w="4780" w:type="dxa"/>
            <w:tcBorders>
              <w:left w:val="single" w:sz="8" w:space="0" w:color="auto"/>
              <w:bottom w:val="single" w:sz="8" w:space="0" w:color="auto"/>
              <w:right w:val="single" w:sz="8" w:space="0" w:color="auto"/>
            </w:tcBorders>
            <w:vAlign w:val="bottom"/>
          </w:tcPr>
          <w:p w14:paraId="2819EF97" w14:textId="77777777" w:rsidR="004647B9" w:rsidRDefault="00E2436F">
            <w:pPr>
              <w:spacing w:line="263" w:lineRule="exact"/>
              <w:ind w:left="100"/>
              <w:rPr>
                <w:sz w:val="20"/>
                <w:szCs w:val="20"/>
              </w:rPr>
            </w:pPr>
            <w:r>
              <w:rPr>
                <w:rFonts w:eastAsia="Times New Roman"/>
                <w:sz w:val="24"/>
                <w:szCs w:val="24"/>
              </w:rPr>
              <w:t>1,2,4-Trichlorobenzene</w:t>
            </w:r>
          </w:p>
        </w:tc>
        <w:tc>
          <w:tcPr>
            <w:tcW w:w="4040" w:type="dxa"/>
            <w:tcBorders>
              <w:bottom w:val="single" w:sz="8" w:space="0" w:color="auto"/>
              <w:right w:val="single" w:sz="8" w:space="0" w:color="auto"/>
            </w:tcBorders>
            <w:vAlign w:val="bottom"/>
          </w:tcPr>
          <w:p w14:paraId="2819EF98" w14:textId="77777777" w:rsidR="004647B9" w:rsidRDefault="00E2436F">
            <w:pPr>
              <w:spacing w:line="263" w:lineRule="exact"/>
              <w:ind w:left="100"/>
              <w:rPr>
                <w:sz w:val="20"/>
                <w:szCs w:val="20"/>
              </w:rPr>
            </w:pPr>
            <w:r>
              <w:rPr>
                <w:rFonts w:eastAsia="Times New Roman"/>
                <w:sz w:val="24"/>
                <w:szCs w:val="24"/>
              </w:rPr>
              <w:t>502.2, 524.2</w:t>
            </w:r>
          </w:p>
        </w:tc>
      </w:tr>
      <w:tr w:rsidR="004647B9" w14:paraId="2819EF9C" w14:textId="77777777">
        <w:trPr>
          <w:trHeight w:val="263"/>
        </w:trPr>
        <w:tc>
          <w:tcPr>
            <w:tcW w:w="4780" w:type="dxa"/>
            <w:tcBorders>
              <w:left w:val="single" w:sz="8" w:space="0" w:color="auto"/>
              <w:bottom w:val="single" w:sz="8" w:space="0" w:color="auto"/>
              <w:right w:val="single" w:sz="8" w:space="0" w:color="auto"/>
            </w:tcBorders>
            <w:vAlign w:val="bottom"/>
          </w:tcPr>
          <w:p w14:paraId="2819EF9A" w14:textId="77777777" w:rsidR="004647B9" w:rsidRDefault="00E2436F">
            <w:pPr>
              <w:spacing w:line="263" w:lineRule="exact"/>
              <w:ind w:left="100"/>
              <w:rPr>
                <w:sz w:val="20"/>
                <w:szCs w:val="20"/>
              </w:rPr>
            </w:pPr>
            <w:r>
              <w:rPr>
                <w:rFonts w:eastAsia="Times New Roman"/>
                <w:sz w:val="24"/>
                <w:szCs w:val="24"/>
              </w:rPr>
              <w:t>1,1-Dichloroethylene</w:t>
            </w:r>
          </w:p>
        </w:tc>
        <w:tc>
          <w:tcPr>
            <w:tcW w:w="4040" w:type="dxa"/>
            <w:tcBorders>
              <w:bottom w:val="single" w:sz="8" w:space="0" w:color="auto"/>
              <w:right w:val="single" w:sz="8" w:space="0" w:color="auto"/>
            </w:tcBorders>
            <w:vAlign w:val="bottom"/>
          </w:tcPr>
          <w:p w14:paraId="2819EF9B" w14:textId="77777777" w:rsidR="004647B9" w:rsidRDefault="00E2436F">
            <w:pPr>
              <w:spacing w:line="263" w:lineRule="exact"/>
              <w:ind w:left="80"/>
              <w:rPr>
                <w:sz w:val="20"/>
                <w:szCs w:val="20"/>
              </w:rPr>
            </w:pPr>
            <w:r>
              <w:rPr>
                <w:rFonts w:eastAsia="Times New Roman"/>
                <w:sz w:val="24"/>
                <w:szCs w:val="24"/>
              </w:rPr>
              <w:t>502.2, 524.2</w:t>
            </w:r>
          </w:p>
        </w:tc>
      </w:tr>
      <w:tr w:rsidR="004647B9" w14:paraId="2819EF9F" w14:textId="77777777">
        <w:trPr>
          <w:trHeight w:val="263"/>
        </w:trPr>
        <w:tc>
          <w:tcPr>
            <w:tcW w:w="4780" w:type="dxa"/>
            <w:tcBorders>
              <w:left w:val="single" w:sz="8" w:space="0" w:color="auto"/>
              <w:bottom w:val="single" w:sz="8" w:space="0" w:color="auto"/>
              <w:right w:val="single" w:sz="8" w:space="0" w:color="auto"/>
            </w:tcBorders>
            <w:vAlign w:val="bottom"/>
          </w:tcPr>
          <w:p w14:paraId="2819EF9D" w14:textId="77777777" w:rsidR="004647B9" w:rsidRDefault="00E2436F">
            <w:pPr>
              <w:spacing w:line="263" w:lineRule="exact"/>
              <w:ind w:left="100"/>
              <w:rPr>
                <w:sz w:val="20"/>
                <w:szCs w:val="20"/>
              </w:rPr>
            </w:pPr>
            <w:r>
              <w:rPr>
                <w:rFonts w:eastAsia="Times New Roman"/>
                <w:sz w:val="24"/>
                <w:szCs w:val="24"/>
              </w:rPr>
              <w:t>1,1,2-Trichloroethane</w:t>
            </w:r>
          </w:p>
        </w:tc>
        <w:tc>
          <w:tcPr>
            <w:tcW w:w="4040" w:type="dxa"/>
            <w:tcBorders>
              <w:bottom w:val="single" w:sz="8" w:space="0" w:color="auto"/>
              <w:right w:val="single" w:sz="8" w:space="0" w:color="auto"/>
            </w:tcBorders>
            <w:vAlign w:val="bottom"/>
          </w:tcPr>
          <w:p w14:paraId="2819EF9E" w14:textId="77777777" w:rsidR="004647B9" w:rsidRDefault="00E2436F">
            <w:pPr>
              <w:spacing w:line="263" w:lineRule="exact"/>
              <w:ind w:left="100"/>
              <w:rPr>
                <w:sz w:val="20"/>
                <w:szCs w:val="20"/>
              </w:rPr>
            </w:pPr>
            <w:r>
              <w:rPr>
                <w:rFonts w:eastAsia="Times New Roman"/>
                <w:sz w:val="24"/>
                <w:szCs w:val="24"/>
              </w:rPr>
              <w:t>502.2, 524.2</w:t>
            </w:r>
          </w:p>
        </w:tc>
      </w:tr>
      <w:tr w:rsidR="004647B9" w14:paraId="2819EFA2" w14:textId="77777777">
        <w:trPr>
          <w:trHeight w:val="263"/>
        </w:trPr>
        <w:tc>
          <w:tcPr>
            <w:tcW w:w="4780" w:type="dxa"/>
            <w:tcBorders>
              <w:left w:val="single" w:sz="8" w:space="0" w:color="auto"/>
              <w:bottom w:val="single" w:sz="8" w:space="0" w:color="auto"/>
              <w:right w:val="single" w:sz="8" w:space="0" w:color="auto"/>
            </w:tcBorders>
            <w:vAlign w:val="bottom"/>
          </w:tcPr>
          <w:p w14:paraId="2819EFA0" w14:textId="77777777" w:rsidR="004647B9" w:rsidRDefault="00E2436F">
            <w:pPr>
              <w:spacing w:line="263" w:lineRule="exact"/>
              <w:ind w:left="100"/>
              <w:rPr>
                <w:sz w:val="20"/>
                <w:szCs w:val="20"/>
              </w:rPr>
            </w:pPr>
            <w:r>
              <w:rPr>
                <w:rFonts w:eastAsia="Times New Roman"/>
                <w:sz w:val="24"/>
                <w:szCs w:val="24"/>
              </w:rPr>
              <w:t>Vinyl chloride</w:t>
            </w:r>
          </w:p>
        </w:tc>
        <w:tc>
          <w:tcPr>
            <w:tcW w:w="4040" w:type="dxa"/>
            <w:tcBorders>
              <w:bottom w:val="single" w:sz="8" w:space="0" w:color="auto"/>
              <w:right w:val="single" w:sz="8" w:space="0" w:color="auto"/>
            </w:tcBorders>
            <w:vAlign w:val="bottom"/>
          </w:tcPr>
          <w:p w14:paraId="2819EFA1" w14:textId="77777777" w:rsidR="004647B9" w:rsidRDefault="00E2436F">
            <w:pPr>
              <w:spacing w:line="263" w:lineRule="exact"/>
              <w:ind w:left="100"/>
              <w:rPr>
                <w:sz w:val="20"/>
                <w:szCs w:val="20"/>
              </w:rPr>
            </w:pPr>
            <w:r>
              <w:rPr>
                <w:rFonts w:eastAsia="Times New Roman"/>
                <w:sz w:val="24"/>
                <w:szCs w:val="24"/>
              </w:rPr>
              <w:t>502.2, 524.2</w:t>
            </w:r>
          </w:p>
        </w:tc>
      </w:tr>
      <w:tr w:rsidR="004647B9" w14:paraId="2819EFA5" w14:textId="77777777">
        <w:trPr>
          <w:trHeight w:val="263"/>
        </w:trPr>
        <w:tc>
          <w:tcPr>
            <w:tcW w:w="4780" w:type="dxa"/>
            <w:tcBorders>
              <w:left w:val="single" w:sz="8" w:space="0" w:color="auto"/>
              <w:bottom w:val="single" w:sz="8" w:space="0" w:color="auto"/>
              <w:right w:val="single" w:sz="8" w:space="0" w:color="auto"/>
            </w:tcBorders>
            <w:vAlign w:val="bottom"/>
          </w:tcPr>
          <w:p w14:paraId="2819EFA3" w14:textId="77777777" w:rsidR="004647B9" w:rsidRDefault="00E2436F">
            <w:pPr>
              <w:spacing w:line="263" w:lineRule="exact"/>
              <w:ind w:left="100"/>
              <w:rPr>
                <w:sz w:val="20"/>
                <w:szCs w:val="20"/>
              </w:rPr>
            </w:pPr>
            <w:r>
              <w:rPr>
                <w:rFonts w:eastAsia="Times New Roman"/>
                <w:sz w:val="24"/>
                <w:szCs w:val="24"/>
              </w:rPr>
              <w:t>Xylenes(total)</w:t>
            </w:r>
          </w:p>
        </w:tc>
        <w:tc>
          <w:tcPr>
            <w:tcW w:w="4040" w:type="dxa"/>
            <w:tcBorders>
              <w:bottom w:val="single" w:sz="8" w:space="0" w:color="auto"/>
              <w:right w:val="single" w:sz="8" w:space="0" w:color="auto"/>
            </w:tcBorders>
            <w:vAlign w:val="bottom"/>
          </w:tcPr>
          <w:p w14:paraId="2819EFA4" w14:textId="77777777" w:rsidR="004647B9" w:rsidRDefault="00E2436F">
            <w:pPr>
              <w:spacing w:line="263" w:lineRule="exact"/>
              <w:ind w:left="100"/>
              <w:rPr>
                <w:sz w:val="20"/>
                <w:szCs w:val="20"/>
              </w:rPr>
            </w:pPr>
            <w:r>
              <w:rPr>
                <w:rFonts w:eastAsia="Times New Roman"/>
                <w:sz w:val="24"/>
                <w:szCs w:val="24"/>
              </w:rPr>
              <w:t>502.2, 524.2</w:t>
            </w:r>
          </w:p>
        </w:tc>
      </w:tr>
    </w:tbl>
    <w:p w14:paraId="2819EFA6" w14:textId="77777777" w:rsidR="004647B9" w:rsidRPr="00FC4F8A" w:rsidRDefault="004647B9" w:rsidP="00FC4F8A">
      <w:pPr>
        <w:rPr>
          <w:sz w:val="24"/>
          <w:szCs w:val="24"/>
        </w:rPr>
      </w:pPr>
    </w:p>
    <w:p w14:paraId="2819EFA7" w14:textId="5333BA1A" w:rsidR="004647B9" w:rsidRDefault="00E2436F" w:rsidP="00FC4F8A">
      <w:pPr>
        <w:numPr>
          <w:ilvl w:val="1"/>
          <w:numId w:val="268"/>
        </w:numPr>
        <w:tabs>
          <w:tab w:val="left" w:pos="1956"/>
        </w:tabs>
        <w:ind w:left="1560" w:hanging="5"/>
        <w:rPr>
          <w:rFonts w:eastAsia="Times New Roman"/>
          <w:sz w:val="24"/>
          <w:szCs w:val="24"/>
        </w:rPr>
      </w:pPr>
      <w:r>
        <w:rPr>
          <w:rFonts w:eastAsia="Times New Roman"/>
          <w:sz w:val="24"/>
          <w:szCs w:val="24"/>
        </w:rPr>
        <w:t xml:space="preserve">Method 502.2 is in </w:t>
      </w:r>
      <w:r>
        <w:rPr>
          <w:rFonts w:eastAsia="Times New Roman"/>
          <w:i/>
          <w:iCs/>
          <w:sz w:val="24"/>
          <w:szCs w:val="24"/>
        </w:rPr>
        <w:t>Methods for the Determination of Organic Compounds in Drinking</w:t>
      </w:r>
      <w:r>
        <w:rPr>
          <w:rFonts w:eastAsia="Times New Roman"/>
          <w:sz w:val="24"/>
          <w:szCs w:val="24"/>
        </w:rPr>
        <w:t xml:space="preserve"> </w:t>
      </w:r>
      <w:r>
        <w:rPr>
          <w:rFonts w:eastAsia="Times New Roman"/>
          <w:i/>
          <w:iCs/>
          <w:sz w:val="24"/>
          <w:szCs w:val="24"/>
        </w:rPr>
        <w:t>Water</w:t>
      </w:r>
      <w:r>
        <w:rPr>
          <w:rFonts w:eastAsia="Times New Roman"/>
          <w:sz w:val="24"/>
          <w:szCs w:val="24"/>
        </w:rPr>
        <w:t>, EPA-600/4-88-039, December 1988, Revised, July 1991.</w:t>
      </w:r>
    </w:p>
    <w:p w14:paraId="2819EFA9" w14:textId="16902F26" w:rsidR="004647B9" w:rsidRDefault="00E2436F" w:rsidP="00FC4F8A">
      <w:pPr>
        <w:numPr>
          <w:ilvl w:val="1"/>
          <w:numId w:val="268"/>
        </w:numPr>
        <w:tabs>
          <w:tab w:val="left" w:pos="1958"/>
        </w:tabs>
        <w:ind w:left="1560" w:hanging="5"/>
        <w:rPr>
          <w:rFonts w:eastAsia="Times New Roman"/>
          <w:sz w:val="24"/>
          <w:szCs w:val="24"/>
        </w:rPr>
      </w:pPr>
      <w:r>
        <w:rPr>
          <w:rFonts w:eastAsia="Times New Roman"/>
          <w:sz w:val="24"/>
          <w:szCs w:val="24"/>
        </w:rPr>
        <w:t xml:space="preserve">Method 524.2 is in </w:t>
      </w:r>
      <w:r>
        <w:rPr>
          <w:rFonts w:eastAsia="Times New Roman"/>
          <w:i/>
          <w:iCs/>
          <w:sz w:val="24"/>
          <w:szCs w:val="24"/>
        </w:rPr>
        <w:t>Methods for the Determination of Organic Compounds in Drinking</w:t>
      </w:r>
      <w:r>
        <w:rPr>
          <w:rFonts w:eastAsia="Times New Roman"/>
          <w:sz w:val="24"/>
          <w:szCs w:val="24"/>
        </w:rPr>
        <w:t xml:space="preserve"> </w:t>
      </w:r>
      <w:r>
        <w:rPr>
          <w:rFonts w:eastAsia="Times New Roman"/>
          <w:i/>
          <w:iCs/>
          <w:sz w:val="24"/>
          <w:szCs w:val="24"/>
        </w:rPr>
        <w:t>Water - Supplement III</w:t>
      </w:r>
      <w:r>
        <w:rPr>
          <w:rFonts w:eastAsia="Times New Roman"/>
          <w:sz w:val="24"/>
          <w:szCs w:val="24"/>
        </w:rPr>
        <w:t>, EPA/600/R-95/131, August 1995.</w:t>
      </w:r>
    </w:p>
    <w:p w14:paraId="2819EFAB" w14:textId="77777777" w:rsidR="004647B9" w:rsidRDefault="00E2436F" w:rsidP="00FC4F8A">
      <w:pPr>
        <w:numPr>
          <w:ilvl w:val="1"/>
          <w:numId w:val="268"/>
        </w:numPr>
        <w:tabs>
          <w:tab w:val="left" w:pos="1982"/>
        </w:tabs>
        <w:ind w:left="1560" w:hanging="5"/>
        <w:jc w:val="both"/>
        <w:rPr>
          <w:rFonts w:eastAsia="Times New Roman"/>
          <w:sz w:val="24"/>
          <w:szCs w:val="24"/>
        </w:rPr>
      </w:pPr>
      <w:r>
        <w:rPr>
          <w:rFonts w:eastAsia="Times New Roman"/>
          <w:sz w:val="24"/>
          <w:szCs w:val="24"/>
        </w:rPr>
        <w:t>Method 551.1 is in Methods for the Determination of Organic Compounds in Drinking Water –Supplement III, EPA/600/R-95-131, August 1995 and can be used to measure carbon tetrachloride, tetrachloroethylene, 1,1,1-trichloroethane, 1,1,2-trichloroethane, and trichloroethylene.</w:t>
      </w:r>
    </w:p>
    <w:p w14:paraId="2819EFAC" w14:textId="77777777" w:rsidR="004647B9" w:rsidRDefault="004647B9" w:rsidP="00FC4F8A">
      <w:pPr>
        <w:rPr>
          <w:rFonts w:eastAsia="Times New Roman"/>
          <w:sz w:val="24"/>
          <w:szCs w:val="24"/>
        </w:rPr>
      </w:pPr>
    </w:p>
    <w:p w14:paraId="2819EFAD" w14:textId="77777777" w:rsidR="004647B9" w:rsidRDefault="00E2436F" w:rsidP="00FC4F8A">
      <w:pPr>
        <w:numPr>
          <w:ilvl w:val="0"/>
          <w:numId w:val="269"/>
        </w:numPr>
        <w:tabs>
          <w:tab w:val="left" w:pos="1847"/>
        </w:tabs>
        <w:ind w:left="1200"/>
        <w:rPr>
          <w:rFonts w:eastAsia="Times New Roman"/>
          <w:sz w:val="24"/>
          <w:szCs w:val="24"/>
        </w:rPr>
      </w:pPr>
      <w:r>
        <w:rPr>
          <w:rFonts w:eastAsia="Times New Roman"/>
          <w:sz w:val="24"/>
          <w:szCs w:val="24"/>
          <w:u w:val="single"/>
        </w:rPr>
        <w:t>Maximum Contaminant Levels (MCLs) for Volatile Organic Compounds (VOC)</w:t>
      </w:r>
      <w:r>
        <w:rPr>
          <w:rFonts w:eastAsia="Times New Roman"/>
          <w:sz w:val="24"/>
          <w:szCs w:val="24"/>
        </w:rPr>
        <w:t>. (Reserved)</w:t>
      </w:r>
    </w:p>
    <w:p w14:paraId="2819EFAE" w14:textId="77777777" w:rsidR="004647B9" w:rsidRDefault="004647B9" w:rsidP="00FC4F8A">
      <w:pPr>
        <w:rPr>
          <w:rFonts w:eastAsia="Times New Roman"/>
          <w:sz w:val="24"/>
          <w:szCs w:val="24"/>
        </w:rPr>
      </w:pPr>
    </w:p>
    <w:p w14:paraId="2819EFAF" w14:textId="25FA148D" w:rsidR="004647B9" w:rsidRDefault="004B4910" w:rsidP="00FC4F8A">
      <w:pPr>
        <w:numPr>
          <w:ilvl w:val="0"/>
          <w:numId w:val="269"/>
        </w:numPr>
        <w:tabs>
          <w:tab w:val="left" w:pos="1718"/>
        </w:tabs>
        <w:ind w:left="1200"/>
        <w:jc w:val="both"/>
        <w:rPr>
          <w:rFonts w:eastAsia="Times New Roman"/>
          <w:sz w:val="24"/>
          <w:szCs w:val="24"/>
        </w:rPr>
      </w:pPr>
      <w:r>
        <w:rPr>
          <w:rFonts w:eastAsia="Times New Roman"/>
          <w:sz w:val="24"/>
          <w:szCs w:val="24"/>
          <w:u w:val="single"/>
        </w:rPr>
        <w:t xml:space="preserve">Previously Collected </w:t>
      </w:r>
      <w:r w:rsidR="00E2436F">
        <w:rPr>
          <w:rFonts w:eastAsia="Times New Roman"/>
          <w:sz w:val="24"/>
          <w:szCs w:val="24"/>
          <w:u w:val="single"/>
        </w:rPr>
        <w:t>VOC Data</w:t>
      </w:r>
      <w:r w:rsidR="00E2436F">
        <w:rPr>
          <w:rFonts w:eastAsia="Times New Roman"/>
          <w:sz w:val="24"/>
          <w:szCs w:val="24"/>
        </w:rPr>
        <w:t xml:space="preserve">. The Department may allow the use of monitoring data collected after January 1, 1988, for purposes of </w:t>
      </w:r>
      <w:r w:rsidR="009C1542">
        <w:rPr>
          <w:rFonts w:eastAsia="Times New Roman"/>
          <w:sz w:val="24"/>
          <w:szCs w:val="24"/>
        </w:rPr>
        <w:t xml:space="preserve">initial monitoring </w:t>
      </w:r>
      <w:r w:rsidR="00E2436F">
        <w:rPr>
          <w:rFonts w:eastAsia="Times New Roman"/>
          <w:sz w:val="24"/>
          <w:szCs w:val="24"/>
        </w:rPr>
        <w:t>compliance. If the data are generally consistent with the other requirements in 310 CMR 22.07B, the Department may use these data (</w:t>
      </w:r>
      <w:r w:rsidR="00E2436F">
        <w:rPr>
          <w:rFonts w:eastAsia="Times New Roman"/>
          <w:i/>
          <w:iCs/>
          <w:sz w:val="24"/>
          <w:szCs w:val="24"/>
        </w:rPr>
        <w:t>i.e</w:t>
      </w:r>
      <w:r w:rsidR="00E2436F">
        <w:rPr>
          <w:rFonts w:eastAsia="Times New Roman"/>
          <w:sz w:val="24"/>
          <w:szCs w:val="24"/>
        </w:rPr>
        <w:t xml:space="preserve">., a single sample rather than four quarterly samples) to satisfy the initial monitoring requirement of 310 CMR 22.07B(2)(d). Systems which use </w:t>
      </w:r>
      <w:r>
        <w:rPr>
          <w:rFonts w:eastAsia="Times New Roman"/>
          <w:sz w:val="24"/>
          <w:szCs w:val="24"/>
        </w:rPr>
        <w:t>previously collected</w:t>
      </w:r>
      <w:r w:rsidR="00E2436F">
        <w:rPr>
          <w:rFonts w:eastAsia="Times New Roman"/>
          <w:sz w:val="24"/>
          <w:szCs w:val="24"/>
        </w:rPr>
        <w:t xml:space="preserve"> samples and did not detect any contaminants listed in 310 CMR 22.07B(1) shall begin monitoring annually in accordance with 310 CMR 22.07B(2)(e) beginning with the initial </w:t>
      </w:r>
      <w:r w:rsidR="00543FEF">
        <w:rPr>
          <w:rFonts w:eastAsia="Times New Roman"/>
          <w:sz w:val="24"/>
          <w:szCs w:val="24"/>
        </w:rPr>
        <w:t>C</w:t>
      </w:r>
      <w:r w:rsidR="00E2436F">
        <w:rPr>
          <w:rFonts w:eastAsia="Times New Roman"/>
          <w:sz w:val="24"/>
          <w:szCs w:val="24"/>
        </w:rPr>
        <w:t xml:space="preserve">ompliance </w:t>
      </w:r>
      <w:r w:rsidR="00543FEF">
        <w:rPr>
          <w:rFonts w:eastAsia="Times New Roman"/>
          <w:sz w:val="24"/>
          <w:szCs w:val="24"/>
        </w:rPr>
        <w:t>P</w:t>
      </w:r>
      <w:r w:rsidR="00E2436F">
        <w:rPr>
          <w:rFonts w:eastAsia="Times New Roman"/>
          <w:sz w:val="24"/>
          <w:szCs w:val="24"/>
        </w:rPr>
        <w:t>eriod.</w:t>
      </w:r>
    </w:p>
    <w:p w14:paraId="2819EFB0" w14:textId="77777777" w:rsidR="004647B9" w:rsidRDefault="004647B9" w:rsidP="00FC4F8A">
      <w:pPr>
        <w:rPr>
          <w:rFonts w:eastAsia="Times New Roman"/>
          <w:sz w:val="24"/>
          <w:szCs w:val="24"/>
        </w:rPr>
      </w:pPr>
    </w:p>
    <w:p w14:paraId="2819EFB1" w14:textId="77777777" w:rsidR="004647B9" w:rsidRDefault="00E2436F" w:rsidP="00FC4F8A">
      <w:pPr>
        <w:numPr>
          <w:ilvl w:val="0"/>
          <w:numId w:val="269"/>
        </w:numPr>
        <w:tabs>
          <w:tab w:val="left" w:pos="1845"/>
        </w:tabs>
        <w:ind w:left="1200"/>
        <w:rPr>
          <w:rFonts w:eastAsia="Times New Roman"/>
          <w:sz w:val="24"/>
          <w:szCs w:val="24"/>
        </w:rPr>
      </w:pPr>
      <w:r>
        <w:rPr>
          <w:rFonts w:eastAsia="Times New Roman"/>
          <w:sz w:val="24"/>
          <w:szCs w:val="24"/>
          <w:u w:val="single"/>
        </w:rPr>
        <w:t>Increased VOC Sampling</w:t>
      </w:r>
      <w:r>
        <w:rPr>
          <w:rFonts w:eastAsia="Times New Roman"/>
          <w:sz w:val="24"/>
          <w:szCs w:val="24"/>
        </w:rPr>
        <w:t>. The Department may increase required monitoring where necessary to detect variations within the system.</w:t>
      </w:r>
    </w:p>
    <w:p w14:paraId="2819EFB2" w14:textId="77777777" w:rsidR="004647B9" w:rsidRDefault="004647B9" w:rsidP="00FC4F8A">
      <w:pPr>
        <w:rPr>
          <w:rFonts w:eastAsia="Times New Roman"/>
          <w:sz w:val="24"/>
          <w:szCs w:val="24"/>
        </w:rPr>
      </w:pPr>
    </w:p>
    <w:p w14:paraId="2819EFB3" w14:textId="77777777" w:rsidR="004647B9" w:rsidRDefault="00E2436F" w:rsidP="00FC4F8A">
      <w:pPr>
        <w:numPr>
          <w:ilvl w:val="0"/>
          <w:numId w:val="269"/>
        </w:numPr>
        <w:tabs>
          <w:tab w:val="left" w:pos="1737"/>
        </w:tabs>
        <w:ind w:left="1200"/>
        <w:rPr>
          <w:rFonts w:eastAsia="Times New Roman"/>
          <w:sz w:val="24"/>
          <w:szCs w:val="24"/>
        </w:rPr>
      </w:pPr>
      <w:r>
        <w:rPr>
          <w:rFonts w:eastAsia="Times New Roman"/>
          <w:sz w:val="24"/>
          <w:szCs w:val="24"/>
          <w:u w:val="single"/>
        </w:rPr>
        <w:t>VOC Sampling Schedules</w:t>
      </w:r>
      <w:r>
        <w:rPr>
          <w:rFonts w:eastAsia="Times New Roman"/>
          <w:sz w:val="24"/>
          <w:szCs w:val="24"/>
        </w:rPr>
        <w:t>. Each public water system shall monitor at the time designated by the Department within each compliance period.</w:t>
      </w:r>
    </w:p>
    <w:p w14:paraId="2819EFB4" w14:textId="2C718791" w:rsidR="004647B9" w:rsidRPr="006E2471" w:rsidRDefault="004647B9" w:rsidP="006A06E3">
      <w:pPr>
        <w:rPr>
          <w:sz w:val="24"/>
          <w:szCs w:val="24"/>
        </w:rPr>
      </w:pPr>
    </w:p>
    <w:p w14:paraId="2819EFB5" w14:textId="77777777" w:rsidR="004647B9" w:rsidRPr="006E2471" w:rsidRDefault="004647B9" w:rsidP="006A06E3">
      <w:pPr>
        <w:rPr>
          <w:sz w:val="24"/>
          <w:szCs w:val="24"/>
        </w:rPr>
        <w:sectPr w:rsidR="004647B9" w:rsidRPr="006E2471" w:rsidSect="00EF630C">
          <w:pgSz w:w="12240" w:h="20180"/>
          <w:pgMar w:top="708" w:right="1440" w:bottom="1440" w:left="600" w:header="0" w:footer="0" w:gutter="0"/>
          <w:cols w:space="720" w:equalWidth="0">
            <w:col w:w="10200"/>
          </w:cols>
        </w:sectPr>
      </w:pPr>
    </w:p>
    <w:p w14:paraId="2819EFB6" w14:textId="77777777" w:rsidR="004647B9" w:rsidRDefault="00E2436F">
      <w:pPr>
        <w:tabs>
          <w:tab w:val="left" w:pos="160"/>
        </w:tabs>
        <w:jc w:val="center"/>
        <w:rPr>
          <w:sz w:val="20"/>
          <w:szCs w:val="20"/>
        </w:rPr>
      </w:pPr>
      <w:bookmarkStart w:id="108" w:name="page110"/>
      <w:bookmarkEnd w:id="10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EFB7" w14:textId="77777777" w:rsidR="004647B9" w:rsidRDefault="004647B9" w:rsidP="006E2471">
      <w:pPr>
        <w:rPr>
          <w:sz w:val="20"/>
          <w:szCs w:val="20"/>
        </w:rPr>
      </w:pPr>
    </w:p>
    <w:p w14:paraId="2819EFB8" w14:textId="77777777" w:rsidR="004647B9" w:rsidRDefault="004647B9" w:rsidP="006E2471">
      <w:pPr>
        <w:rPr>
          <w:sz w:val="20"/>
          <w:szCs w:val="20"/>
        </w:rPr>
      </w:pPr>
    </w:p>
    <w:p w14:paraId="2819EFB9" w14:textId="77777777" w:rsidR="004647B9" w:rsidRDefault="00E2436F" w:rsidP="006E2471">
      <w:pPr>
        <w:tabs>
          <w:tab w:val="left" w:pos="920"/>
        </w:tabs>
        <w:rPr>
          <w:sz w:val="20"/>
          <w:szCs w:val="20"/>
        </w:rPr>
      </w:pPr>
      <w:r>
        <w:rPr>
          <w:rFonts w:eastAsia="Times New Roman"/>
          <w:sz w:val="24"/>
          <w:szCs w:val="24"/>
        </w:rPr>
        <w:t>22.07B:</w:t>
      </w:r>
      <w:r>
        <w:rPr>
          <w:rFonts w:eastAsia="Times New Roman"/>
          <w:sz w:val="24"/>
          <w:szCs w:val="24"/>
        </w:rPr>
        <w:tab/>
        <w:t>continued</w:t>
      </w:r>
    </w:p>
    <w:p w14:paraId="2819EFBA" w14:textId="77777777" w:rsidR="004647B9" w:rsidRDefault="004647B9" w:rsidP="006E2471">
      <w:pPr>
        <w:rPr>
          <w:sz w:val="20"/>
          <w:szCs w:val="20"/>
        </w:rPr>
      </w:pPr>
    </w:p>
    <w:p w14:paraId="2819EFBB" w14:textId="77777777" w:rsidR="004647B9" w:rsidRDefault="00E2436F" w:rsidP="006E2471">
      <w:pPr>
        <w:numPr>
          <w:ilvl w:val="0"/>
          <w:numId w:val="270"/>
        </w:numPr>
        <w:tabs>
          <w:tab w:val="left" w:pos="1809"/>
        </w:tabs>
        <w:ind w:left="1200"/>
        <w:jc w:val="both"/>
        <w:rPr>
          <w:rFonts w:eastAsia="Times New Roman"/>
          <w:sz w:val="24"/>
          <w:szCs w:val="24"/>
        </w:rPr>
      </w:pPr>
      <w:r>
        <w:rPr>
          <w:rFonts w:eastAsia="Times New Roman"/>
          <w:sz w:val="24"/>
          <w:szCs w:val="24"/>
          <w:u w:val="single"/>
        </w:rPr>
        <w:t>Consecutive System Monitoring</w:t>
      </w:r>
      <w:r>
        <w:rPr>
          <w:rFonts w:eastAsia="Times New Roman"/>
          <w:sz w:val="24"/>
          <w:szCs w:val="24"/>
        </w:rPr>
        <w:t>. Public water systems that obtain water from another public water system are exempt from conducting compliance monitoring for the purchased portion of the system for the volatile organic chemicals under 310 CMR 22.07B, provided that the system from which the water is obtained has conducted the analyses required under 310 CMR 22.07B, unless otherwise specified by the Department.</w:t>
      </w:r>
    </w:p>
    <w:p w14:paraId="2819EFBC" w14:textId="77777777" w:rsidR="004647B9" w:rsidRDefault="004647B9" w:rsidP="006E2471">
      <w:pPr>
        <w:rPr>
          <w:rFonts w:eastAsia="Times New Roman"/>
          <w:sz w:val="24"/>
          <w:szCs w:val="24"/>
        </w:rPr>
      </w:pPr>
    </w:p>
    <w:p w14:paraId="2819EFBD" w14:textId="77777777" w:rsidR="004647B9" w:rsidRDefault="00E2436F" w:rsidP="006E2471">
      <w:pPr>
        <w:numPr>
          <w:ilvl w:val="0"/>
          <w:numId w:val="270"/>
        </w:numPr>
        <w:tabs>
          <w:tab w:val="left" w:pos="1723"/>
        </w:tabs>
        <w:ind w:left="1200"/>
        <w:jc w:val="both"/>
        <w:rPr>
          <w:rFonts w:eastAsia="Times New Roman"/>
          <w:sz w:val="24"/>
          <w:szCs w:val="24"/>
        </w:rPr>
      </w:pPr>
      <w:r>
        <w:rPr>
          <w:rFonts w:eastAsia="Times New Roman"/>
          <w:sz w:val="24"/>
          <w:szCs w:val="24"/>
          <w:u w:val="single"/>
        </w:rPr>
        <w:t>Volatile Organic BATs</w:t>
      </w:r>
      <w:r>
        <w:rPr>
          <w:rFonts w:eastAsia="Times New Roman"/>
          <w:sz w:val="24"/>
          <w:szCs w:val="24"/>
        </w:rPr>
        <w:t>. The Department hereby identifies as indicated in the Table below either granular activated carbon (GAC), packed tower aeration (PTA), or both as the best technology, treatment technique, or other means available for achieving compliance with the maximum contaminant level for organic contaminants identified in 310 CMR 22.07B(1):</w:t>
      </w:r>
    </w:p>
    <w:p w14:paraId="2819EFBE" w14:textId="77777777" w:rsidR="004647B9" w:rsidRDefault="004647B9" w:rsidP="006E2471">
      <w:pPr>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1580"/>
        <w:gridCol w:w="4180"/>
        <w:gridCol w:w="2020"/>
        <w:gridCol w:w="440"/>
      </w:tblGrid>
      <w:tr w:rsidR="00E33030" w14:paraId="2819EFC5" w14:textId="77777777" w:rsidTr="00E33030">
        <w:trPr>
          <w:trHeight w:val="276"/>
        </w:trPr>
        <w:tc>
          <w:tcPr>
            <w:tcW w:w="8220" w:type="dxa"/>
            <w:gridSpan w:val="4"/>
            <w:vAlign w:val="center"/>
          </w:tcPr>
          <w:p w14:paraId="2819EFC4" w14:textId="59612814" w:rsidR="00E33030" w:rsidRDefault="00E33030" w:rsidP="00E33030">
            <w:pPr>
              <w:jc w:val="center"/>
              <w:rPr>
                <w:sz w:val="23"/>
                <w:szCs w:val="23"/>
              </w:rPr>
            </w:pPr>
            <w:r>
              <w:rPr>
                <w:rFonts w:eastAsia="Times New Roman"/>
                <w:w w:val="99"/>
                <w:sz w:val="24"/>
                <w:szCs w:val="24"/>
              </w:rPr>
              <w:t>BAT FOR ORGANIC CONTAMINANTS</w:t>
            </w:r>
          </w:p>
        </w:tc>
      </w:tr>
      <w:tr w:rsidR="004647B9" w14:paraId="2819EFCA" w14:textId="77777777" w:rsidTr="00E33030">
        <w:trPr>
          <w:trHeight w:val="275"/>
        </w:trPr>
        <w:tc>
          <w:tcPr>
            <w:tcW w:w="1580" w:type="dxa"/>
            <w:vAlign w:val="bottom"/>
          </w:tcPr>
          <w:p w14:paraId="2819EFC6" w14:textId="77777777" w:rsidR="004647B9" w:rsidRPr="00E33030" w:rsidRDefault="00E2436F">
            <w:pPr>
              <w:rPr>
                <w:sz w:val="20"/>
                <w:szCs w:val="20"/>
                <w:u w:val="single"/>
              </w:rPr>
            </w:pPr>
            <w:r w:rsidRPr="00E33030">
              <w:rPr>
                <w:rFonts w:eastAsia="Times New Roman"/>
                <w:sz w:val="24"/>
                <w:szCs w:val="24"/>
                <w:u w:val="single"/>
              </w:rPr>
              <w:t>CAS #</w:t>
            </w:r>
          </w:p>
        </w:tc>
        <w:tc>
          <w:tcPr>
            <w:tcW w:w="4180" w:type="dxa"/>
            <w:vAlign w:val="bottom"/>
          </w:tcPr>
          <w:p w14:paraId="2819EFC7" w14:textId="77777777" w:rsidR="004647B9" w:rsidRPr="00E33030" w:rsidRDefault="00E2436F">
            <w:pPr>
              <w:rPr>
                <w:sz w:val="20"/>
                <w:szCs w:val="20"/>
                <w:u w:val="single"/>
              </w:rPr>
            </w:pPr>
            <w:r w:rsidRPr="00E33030">
              <w:rPr>
                <w:rFonts w:eastAsia="Times New Roman"/>
                <w:sz w:val="24"/>
                <w:szCs w:val="24"/>
                <w:u w:val="single"/>
              </w:rPr>
              <w:t>Chemical</w:t>
            </w:r>
          </w:p>
        </w:tc>
        <w:tc>
          <w:tcPr>
            <w:tcW w:w="2020" w:type="dxa"/>
            <w:vAlign w:val="center"/>
          </w:tcPr>
          <w:p w14:paraId="2819EFC8" w14:textId="77777777" w:rsidR="004647B9" w:rsidRPr="00E33030" w:rsidRDefault="00E2436F" w:rsidP="00E33030">
            <w:pPr>
              <w:jc w:val="center"/>
              <w:rPr>
                <w:sz w:val="20"/>
                <w:szCs w:val="20"/>
                <w:u w:val="single"/>
              </w:rPr>
            </w:pPr>
            <w:r w:rsidRPr="00E33030">
              <w:rPr>
                <w:rFonts w:eastAsia="Times New Roman"/>
                <w:sz w:val="24"/>
                <w:szCs w:val="24"/>
                <w:u w:val="single"/>
              </w:rPr>
              <w:t>GAC</w:t>
            </w:r>
          </w:p>
        </w:tc>
        <w:tc>
          <w:tcPr>
            <w:tcW w:w="440" w:type="dxa"/>
            <w:vAlign w:val="center"/>
          </w:tcPr>
          <w:p w14:paraId="2819EFC9" w14:textId="77777777" w:rsidR="004647B9" w:rsidRPr="00E33030" w:rsidRDefault="00E2436F" w:rsidP="00E33030">
            <w:pPr>
              <w:jc w:val="center"/>
              <w:rPr>
                <w:sz w:val="20"/>
                <w:szCs w:val="20"/>
                <w:u w:val="single"/>
              </w:rPr>
            </w:pPr>
            <w:r w:rsidRPr="00E33030">
              <w:rPr>
                <w:rFonts w:eastAsia="Times New Roman"/>
                <w:w w:val="92"/>
                <w:sz w:val="24"/>
                <w:szCs w:val="24"/>
                <w:u w:val="single"/>
              </w:rPr>
              <w:t>PTA</w:t>
            </w:r>
          </w:p>
        </w:tc>
      </w:tr>
      <w:tr w:rsidR="00E33030" w14:paraId="2819EFD2" w14:textId="77777777" w:rsidTr="00E33030">
        <w:trPr>
          <w:trHeight w:val="247"/>
        </w:trPr>
        <w:tc>
          <w:tcPr>
            <w:tcW w:w="1580" w:type="dxa"/>
            <w:vAlign w:val="bottom"/>
          </w:tcPr>
          <w:p w14:paraId="2819EFCC" w14:textId="7E9ACF4A" w:rsidR="00E33030" w:rsidRDefault="00E33030" w:rsidP="00E33030">
            <w:pPr>
              <w:spacing w:line="248" w:lineRule="exact"/>
              <w:rPr>
                <w:sz w:val="20"/>
                <w:szCs w:val="20"/>
              </w:rPr>
            </w:pPr>
            <w:r>
              <w:rPr>
                <w:rFonts w:eastAsia="Times New Roman"/>
                <w:w w:val="96"/>
                <w:sz w:val="24"/>
                <w:szCs w:val="24"/>
              </w:rPr>
              <w:t>71-43-</w:t>
            </w:r>
            <w:r>
              <w:rPr>
                <w:rFonts w:eastAsia="Times New Roman"/>
                <w:w w:val="82"/>
                <w:sz w:val="24"/>
                <w:szCs w:val="24"/>
              </w:rPr>
              <w:t>2</w:t>
            </w:r>
          </w:p>
        </w:tc>
        <w:tc>
          <w:tcPr>
            <w:tcW w:w="4180" w:type="dxa"/>
            <w:vAlign w:val="bottom"/>
          </w:tcPr>
          <w:p w14:paraId="2819EFCE" w14:textId="4534C4FC" w:rsidR="00E33030" w:rsidRDefault="00E33030">
            <w:pPr>
              <w:rPr>
                <w:sz w:val="21"/>
                <w:szCs w:val="21"/>
              </w:rPr>
            </w:pPr>
            <w:r>
              <w:rPr>
                <w:rFonts w:eastAsia="Times New Roman"/>
                <w:sz w:val="24"/>
                <w:szCs w:val="24"/>
              </w:rPr>
              <w:t>Benzene</w:t>
            </w:r>
          </w:p>
        </w:tc>
        <w:tc>
          <w:tcPr>
            <w:tcW w:w="2020" w:type="dxa"/>
            <w:vAlign w:val="center"/>
          </w:tcPr>
          <w:p w14:paraId="2819EFD0" w14:textId="6ED8175A" w:rsidR="00E33030" w:rsidRDefault="00E33030" w:rsidP="00E33030">
            <w:pPr>
              <w:jc w:val="center"/>
              <w:rPr>
                <w:sz w:val="21"/>
                <w:szCs w:val="21"/>
              </w:rPr>
            </w:pPr>
            <w:r>
              <w:rPr>
                <w:rFonts w:eastAsia="Times New Roman"/>
                <w:sz w:val="24"/>
                <w:szCs w:val="24"/>
              </w:rPr>
              <w:t>X</w:t>
            </w:r>
          </w:p>
        </w:tc>
        <w:tc>
          <w:tcPr>
            <w:tcW w:w="440" w:type="dxa"/>
            <w:vAlign w:val="center"/>
          </w:tcPr>
          <w:p w14:paraId="2819EFD1" w14:textId="77777777" w:rsidR="00E33030" w:rsidRDefault="00E33030" w:rsidP="00E33030">
            <w:pPr>
              <w:spacing w:line="248" w:lineRule="exact"/>
              <w:jc w:val="center"/>
              <w:rPr>
                <w:sz w:val="20"/>
                <w:szCs w:val="20"/>
              </w:rPr>
            </w:pPr>
            <w:r>
              <w:rPr>
                <w:rFonts w:eastAsia="Times New Roman"/>
                <w:sz w:val="24"/>
                <w:szCs w:val="24"/>
              </w:rPr>
              <w:t>X</w:t>
            </w:r>
          </w:p>
        </w:tc>
      </w:tr>
      <w:tr w:rsidR="004647B9" w14:paraId="2819EFD7" w14:textId="77777777" w:rsidTr="00E33030">
        <w:trPr>
          <w:trHeight w:val="271"/>
        </w:trPr>
        <w:tc>
          <w:tcPr>
            <w:tcW w:w="1580" w:type="dxa"/>
            <w:vAlign w:val="bottom"/>
          </w:tcPr>
          <w:p w14:paraId="2819EFD3" w14:textId="77777777" w:rsidR="004647B9" w:rsidRDefault="00E2436F">
            <w:pPr>
              <w:spacing w:line="271" w:lineRule="exact"/>
              <w:rPr>
                <w:sz w:val="20"/>
                <w:szCs w:val="20"/>
              </w:rPr>
            </w:pPr>
            <w:r>
              <w:rPr>
                <w:rFonts w:eastAsia="Times New Roman"/>
                <w:sz w:val="24"/>
                <w:szCs w:val="24"/>
              </w:rPr>
              <w:t>56-23-5</w:t>
            </w:r>
          </w:p>
        </w:tc>
        <w:tc>
          <w:tcPr>
            <w:tcW w:w="4180" w:type="dxa"/>
            <w:vAlign w:val="bottom"/>
          </w:tcPr>
          <w:p w14:paraId="2819EFD4" w14:textId="77777777" w:rsidR="004647B9" w:rsidRDefault="00E2436F">
            <w:pPr>
              <w:spacing w:line="271" w:lineRule="exact"/>
              <w:rPr>
                <w:sz w:val="20"/>
                <w:szCs w:val="20"/>
              </w:rPr>
            </w:pPr>
            <w:r>
              <w:rPr>
                <w:rFonts w:eastAsia="Times New Roman"/>
                <w:sz w:val="24"/>
                <w:szCs w:val="24"/>
              </w:rPr>
              <w:t>Carbon tetrachloride</w:t>
            </w:r>
          </w:p>
        </w:tc>
        <w:tc>
          <w:tcPr>
            <w:tcW w:w="2020" w:type="dxa"/>
            <w:vAlign w:val="center"/>
          </w:tcPr>
          <w:p w14:paraId="2819EFD5"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D6"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EFDC" w14:textId="77777777" w:rsidTr="00E33030">
        <w:trPr>
          <w:trHeight w:val="271"/>
        </w:trPr>
        <w:tc>
          <w:tcPr>
            <w:tcW w:w="1580" w:type="dxa"/>
            <w:vAlign w:val="bottom"/>
          </w:tcPr>
          <w:p w14:paraId="2819EFD8" w14:textId="77777777" w:rsidR="004647B9" w:rsidRDefault="00E2436F">
            <w:pPr>
              <w:spacing w:line="271" w:lineRule="exact"/>
              <w:rPr>
                <w:sz w:val="20"/>
                <w:szCs w:val="20"/>
              </w:rPr>
            </w:pPr>
            <w:r>
              <w:rPr>
                <w:rFonts w:eastAsia="Times New Roman"/>
                <w:sz w:val="24"/>
                <w:szCs w:val="24"/>
              </w:rPr>
              <w:t>95-50-1</w:t>
            </w:r>
          </w:p>
        </w:tc>
        <w:tc>
          <w:tcPr>
            <w:tcW w:w="4180" w:type="dxa"/>
            <w:vAlign w:val="bottom"/>
          </w:tcPr>
          <w:p w14:paraId="2819EFD9" w14:textId="77777777" w:rsidR="004647B9" w:rsidRDefault="00E2436F">
            <w:pPr>
              <w:spacing w:line="271" w:lineRule="exact"/>
              <w:rPr>
                <w:sz w:val="20"/>
                <w:szCs w:val="20"/>
              </w:rPr>
            </w:pPr>
            <w:r>
              <w:rPr>
                <w:rFonts w:eastAsia="Times New Roman"/>
                <w:sz w:val="24"/>
                <w:szCs w:val="24"/>
              </w:rPr>
              <w:t>o-Dichlorobenzene</w:t>
            </w:r>
          </w:p>
        </w:tc>
        <w:tc>
          <w:tcPr>
            <w:tcW w:w="2020" w:type="dxa"/>
            <w:vAlign w:val="center"/>
          </w:tcPr>
          <w:p w14:paraId="2819EFDA"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DB"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EFE1" w14:textId="77777777" w:rsidTr="00E33030">
        <w:trPr>
          <w:trHeight w:val="271"/>
        </w:trPr>
        <w:tc>
          <w:tcPr>
            <w:tcW w:w="1580" w:type="dxa"/>
            <w:vAlign w:val="bottom"/>
          </w:tcPr>
          <w:p w14:paraId="2819EFDD" w14:textId="77777777" w:rsidR="004647B9" w:rsidRDefault="00E2436F">
            <w:pPr>
              <w:spacing w:line="271" w:lineRule="exact"/>
              <w:rPr>
                <w:sz w:val="20"/>
                <w:szCs w:val="20"/>
              </w:rPr>
            </w:pPr>
            <w:r>
              <w:rPr>
                <w:rFonts w:eastAsia="Times New Roman"/>
                <w:sz w:val="24"/>
                <w:szCs w:val="24"/>
              </w:rPr>
              <w:t>107-06-2</w:t>
            </w:r>
          </w:p>
        </w:tc>
        <w:tc>
          <w:tcPr>
            <w:tcW w:w="4180" w:type="dxa"/>
            <w:vAlign w:val="bottom"/>
          </w:tcPr>
          <w:p w14:paraId="2819EFDE" w14:textId="77777777" w:rsidR="004647B9" w:rsidRDefault="00E2436F">
            <w:pPr>
              <w:spacing w:line="271" w:lineRule="exact"/>
              <w:rPr>
                <w:sz w:val="20"/>
                <w:szCs w:val="20"/>
              </w:rPr>
            </w:pPr>
            <w:r>
              <w:rPr>
                <w:rFonts w:eastAsia="Times New Roman"/>
                <w:sz w:val="24"/>
                <w:szCs w:val="24"/>
              </w:rPr>
              <w:t>1,2-Dichloroethane</w:t>
            </w:r>
          </w:p>
        </w:tc>
        <w:tc>
          <w:tcPr>
            <w:tcW w:w="2020" w:type="dxa"/>
            <w:vAlign w:val="center"/>
          </w:tcPr>
          <w:p w14:paraId="2819EFDF"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E0"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EFE6" w14:textId="77777777" w:rsidTr="00E33030">
        <w:trPr>
          <w:trHeight w:val="271"/>
        </w:trPr>
        <w:tc>
          <w:tcPr>
            <w:tcW w:w="1580" w:type="dxa"/>
            <w:vAlign w:val="bottom"/>
          </w:tcPr>
          <w:p w14:paraId="2819EFE2" w14:textId="77777777" w:rsidR="004647B9" w:rsidRDefault="00E2436F">
            <w:pPr>
              <w:spacing w:line="271" w:lineRule="exact"/>
              <w:rPr>
                <w:sz w:val="20"/>
                <w:szCs w:val="20"/>
              </w:rPr>
            </w:pPr>
            <w:r>
              <w:rPr>
                <w:rFonts w:eastAsia="Times New Roman"/>
                <w:sz w:val="24"/>
                <w:szCs w:val="24"/>
              </w:rPr>
              <w:t>156-59-2</w:t>
            </w:r>
          </w:p>
        </w:tc>
        <w:tc>
          <w:tcPr>
            <w:tcW w:w="4180" w:type="dxa"/>
            <w:vAlign w:val="bottom"/>
          </w:tcPr>
          <w:p w14:paraId="2819EFE3" w14:textId="77777777" w:rsidR="004647B9" w:rsidRDefault="00E2436F">
            <w:pPr>
              <w:spacing w:line="271" w:lineRule="exact"/>
              <w:rPr>
                <w:sz w:val="20"/>
                <w:szCs w:val="20"/>
              </w:rPr>
            </w:pPr>
            <w:r>
              <w:rPr>
                <w:rFonts w:eastAsia="Times New Roman"/>
                <w:sz w:val="24"/>
                <w:szCs w:val="24"/>
              </w:rPr>
              <w:t>cis-1,2-Dichloroethylene</w:t>
            </w:r>
          </w:p>
        </w:tc>
        <w:tc>
          <w:tcPr>
            <w:tcW w:w="2020" w:type="dxa"/>
            <w:vAlign w:val="center"/>
          </w:tcPr>
          <w:p w14:paraId="2819EFE4"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E5"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EFEB" w14:textId="77777777" w:rsidTr="00E33030">
        <w:trPr>
          <w:trHeight w:val="271"/>
        </w:trPr>
        <w:tc>
          <w:tcPr>
            <w:tcW w:w="1580" w:type="dxa"/>
            <w:vAlign w:val="bottom"/>
          </w:tcPr>
          <w:p w14:paraId="2819EFE7" w14:textId="77777777" w:rsidR="004647B9" w:rsidRDefault="00E2436F">
            <w:pPr>
              <w:spacing w:line="271" w:lineRule="exact"/>
              <w:rPr>
                <w:sz w:val="20"/>
                <w:szCs w:val="20"/>
              </w:rPr>
            </w:pPr>
            <w:r>
              <w:rPr>
                <w:rFonts w:eastAsia="Times New Roman"/>
                <w:sz w:val="24"/>
                <w:szCs w:val="24"/>
              </w:rPr>
              <w:t>156-60-5</w:t>
            </w:r>
          </w:p>
        </w:tc>
        <w:tc>
          <w:tcPr>
            <w:tcW w:w="4180" w:type="dxa"/>
            <w:vAlign w:val="bottom"/>
          </w:tcPr>
          <w:p w14:paraId="2819EFE8" w14:textId="77777777" w:rsidR="004647B9" w:rsidRDefault="00E2436F">
            <w:pPr>
              <w:spacing w:line="271" w:lineRule="exact"/>
              <w:rPr>
                <w:sz w:val="20"/>
                <w:szCs w:val="20"/>
              </w:rPr>
            </w:pPr>
            <w:r>
              <w:rPr>
                <w:rFonts w:eastAsia="Times New Roman"/>
                <w:sz w:val="24"/>
                <w:szCs w:val="24"/>
              </w:rPr>
              <w:t>trans-1,2-Dichloroethylene</w:t>
            </w:r>
          </w:p>
        </w:tc>
        <w:tc>
          <w:tcPr>
            <w:tcW w:w="2020" w:type="dxa"/>
            <w:vAlign w:val="center"/>
          </w:tcPr>
          <w:p w14:paraId="2819EFE9"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EA"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EFF0" w14:textId="77777777" w:rsidTr="00E33030">
        <w:trPr>
          <w:trHeight w:val="271"/>
        </w:trPr>
        <w:tc>
          <w:tcPr>
            <w:tcW w:w="1580" w:type="dxa"/>
            <w:vAlign w:val="bottom"/>
          </w:tcPr>
          <w:p w14:paraId="2819EFEC" w14:textId="77777777" w:rsidR="004647B9" w:rsidRDefault="00E2436F">
            <w:pPr>
              <w:spacing w:line="271" w:lineRule="exact"/>
              <w:rPr>
                <w:sz w:val="20"/>
                <w:szCs w:val="20"/>
              </w:rPr>
            </w:pPr>
            <w:r>
              <w:rPr>
                <w:rFonts w:eastAsia="Times New Roman"/>
                <w:sz w:val="24"/>
                <w:szCs w:val="24"/>
              </w:rPr>
              <w:t>75-35-4</w:t>
            </w:r>
          </w:p>
        </w:tc>
        <w:tc>
          <w:tcPr>
            <w:tcW w:w="4180" w:type="dxa"/>
            <w:vAlign w:val="bottom"/>
          </w:tcPr>
          <w:p w14:paraId="2819EFED" w14:textId="77777777" w:rsidR="004647B9" w:rsidRDefault="00E2436F">
            <w:pPr>
              <w:spacing w:line="271" w:lineRule="exact"/>
              <w:rPr>
                <w:sz w:val="20"/>
                <w:szCs w:val="20"/>
              </w:rPr>
            </w:pPr>
            <w:r>
              <w:rPr>
                <w:rFonts w:eastAsia="Times New Roman"/>
                <w:sz w:val="24"/>
                <w:szCs w:val="24"/>
              </w:rPr>
              <w:t>1,1-Dichloroethylene</w:t>
            </w:r>
          </w:p>
        </w:tc>
        <w:tc>
          <w:tcPr>
            <w:tcW w:w="2020" w:type="dxa"/>
            <w:vAlign w:val="center"/>
          </w:tcPr>
          <w:p w14:paraId="2819EFEE"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EF"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EFF5" w14:textId="77777777" w:rsidTr="00E33030">
        <w:trPr>
          <w:trHeight w:val="271"/>
        </w:trPr>
        <w:tc>
          <w:tcPr>
            <w:tcW w:w="1580" w:type="dxa"/>
            <w:vAlign w:val="bottom"/>
          </w:tcPr>
          <w:p w14:paraId="2819EFF1" w14:textId="77777777" w:rsidR="004647B9" w:rsidRDefault="00E2436F">
            <w:pPr>
              <w:spacing w:line="271" w:lineRule="exact"/>
              <w:rPr>
                <w:sz w:val="20"/>
                <w:szCs w:val="20"/>
              </w:rPr>
            </w:pPr>
            <w:r>
              <w:rPr>
                <w:rFonts w:eastAsia="Times New Roman"/>
                <w:sz w:val="24"/>
                <w:szCs w:val="24"/>
              </w:rPr>
              <w:t>78-87-5</w:t>
            </w:r>
          </w:p>
        </w:tc>
        <w:tc>
          <w:tcPr>
            <w:tcW w:w="4180" w:type="dxa"/>
            <w:vAlign w:val="bottom"/>
          </w:tcPr>
          <w:p w14:paraId="2819EFF2" w14:textId="77777777" w:rsidR="004647B9" w:rsidRDefault="00E2436F">
            <w:pPr>
              <w:spacing w:line="271" w:lineRule="exact"/>
              <w:rPr>
                <w:sz w:val="20"/>
                <w:szCs w:val="20"/>
              </w:rPr>
            </w:pPr>
            <w:r>
              <w:rPr>
                <w:rFonts w:eastAsia="Times New Roman"/>
                <w:sz w:val="24"/>
                <w:szCs w:val="24"/>
              </w:rPr>
              <w:t>1,2-Dichloropropane</w:t>
            </w:r>
          </w:p>
        </w:tc>
        <w:tc>
          <w:tcPr>
            <w:tcW w:w="2020" w:type="dxa"/>
            <w:vAlign w:val="center"/>
          </w:tcPr>
          <w:p w14:paraId="2819EFF3"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F4"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EFFA" w14:textId="77777777" w:rsidTr="00E33030">
        <w:trPr>
          <w:trHeight w:val="271"/>
        </w:trPr>
        <w:tc>
          <w:tcPr>
            <w:tcW w:w="1580" w:type="dxa"/>
            <w:vAlign w:val="bottom"/>
          </w:tcPr>
          <w:p w14:paraId="2819EFF6" w14:textId="77777777" w:rsidR="004647B9" w:rsidRDefault="00E2436F">
            <w:pPr>
              <w:spacing w:line="271" w:lineRule="exact"/>
              <w:rPr>
                <w:sz w:val="20"/>
                <w:szCs w:val="20"/>
              </w:rPr>
            </w:pPr>
            <w:r>
              <w:rPr>
                <w:rFonts w:eastAsia="Times New Roman"/>
                <w:sz w:val="24"/>
                <w:szCs w:val="24"/>
              </w:rPr>
              <w:t>100-41-4</w:t>
            </w:r>
          </w:p>
        </w:tc>
        <w:tc>
          <w:tcPr>
            <w:tcW w:w="4180" w:type="dxa"/>
            <w:vAlign w:val="bottom"/>
          </w:tcPr>
          <w:p w14:paraId="2819EFF7" w14:textId="77777777" w:rsidR="004647B9" w:rsidRDefault="00E2436F">
            <w:pPr>
              <w:spacing w:line="271" w:lineRule="exact"/>
              <w:rPr>
                <w:sz w:val="20"/>
                <w:szCs w:val="20"/>
              </w:rPr>
            </w:pPr>
            <w:r>
              <w:rPr>
                <w:rFonts w:eastAsia="Times New Roman"/>
                <w:sz w:val="24"/>
                <w:szCs w:val="24"/>
              </w:rPr>
              <w:t>Ethylbenzene</w:t>
            </w:r>
          </w:p>
        </w:tc>
        <w:tc>
          <w:tcPr>
            <w:tcW w:w="2020" w:type="dxa"/>
            <w:vAlign w:val="center"/>
          </w:tcPr>
          <w:p w14:paraId="2819EFF8"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F9"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EFFF" w14:textId="77777777" w:rsidTr="00E33030">
        <w:trPr>
          <w:trHeight w:val="271"/>
        </w:trPr>
        <w:tc>
          <w:tcPr>
            <w:tcW w:w="1580" w:type="dxa"/>
            <w:vAlign w:val="bottom"/>
          </w:tcPr>
          <w:p w14:paraId="2819EFFB" w14:textId="77777777" w:rsidR="004647B9" w:rsidRDefault="00E2436F">
            <w:pPr>
              <w:spacing w:line="271" w:lineRule="exact"/>
              <w:rPr>
                <w:sz w:val="20"/>
                <w:szCs w:val="20"/>
              </w:rPr>
            </w:pPr>
            <w:r>
              <w:rPr>
                <w:rFonts w:eastAsia="Times New Roman"/>
                <w:sz w:val="24"/>
                <w:szCs w:val="24"/>
              </w:rPr>
              <w:t>108-90-7</w:t>
            </w:r>
          </w:p>
        </w:tc>
        <w:tc>
          <w:tcPr>
            <w:tcW w:w="4180" w:type="dxa"/>
            <w:vAlign w:val="bottom"/>
          </w:tcPr>
          <w:p w14:paraId="2819EFFC" w14:textId="77777777" w:rsidR="004647B9" w:rsidRDefault="00E2436F">
            <w:pPr>
              <w:spacing w:line="271" w:lineRule="exact"/>
              <w:rPr>
                <w:sz w:val="20"/>
                <w:szCs w:val="20"/>
              </w:rPr>
            </w:pPr>
            <w:r>
              <w:rPr>
                <w:rFonts w:eastAsia="Times New Roman"/>
                <w:sz w:val="24"/>
                <w:szCs w:val="24"/>
              </w:rPr>
              <w:t>Monochlorobenzene</w:t>
            </w:r>
          </w:p>
        </w:tc>
        <w:tc>
          <w:tcPr>
            <w:tcW w:w="2020" w:type="dxa"/>
            <w:vAlign w:val="center"/>
          </w:tcPr>
          <w:p w14:paraId="2819EFFD"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EFFE"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F004" w14:textId="77777777" w:rsidTr="00E33030">
        <w:trPr>
          <w:trHeight w:val="271"/>
        </w:trPr>
        <w:tc>
          <w:tcPr>
            <w:tcW w:w="1580" w:type="dxa"/>
            <w:vAlign w:val="bottom"/>
          </w:tcPr>
          <w:p w14:paraId="2819F000" w14:textId="77777777" w:rsidR="004647B9" w:rsidRDefault="00E2436F">
            <w:pPr>
              <w:spacing w:line="271" w:lineRule="exact"/>
              <w:rPr>
                <w:sz w:val="20"/>
                <w:szCs w:val="20"/>
              </w:rPr>
            </w:pPr>
            <w:r>
              <w:rPr>
                <w:rFonts w:eastAsia="Times New Roman"/>
                <w:sz w:val="24"/>
                <w:szCs w:val="24"/>
              </w:rPr>
              <w:t>106-46-7</w:t>
            </w:r>
          </w:p>
        </w:tc>
        <w:tc>
          <w:tcPr>
            <w:tcW w:w="4180" w:type="dxa"/>
            <w:vAlign w:val="bottom"/>
          </w:tcPr>
          <w:p w14:paraId="2819F001" w14:textId="77777777" w:rsidR="004647B9" w:rsidRDefault="00E2436F">
            <w:pPr>
              <w:spacing w:line="271" w:lineRule="exact"/>
              <w:rPr>
                <w:sz w:val="20"/>
                <w:szCs w:val="20"/>
              </w:rPr>
            </w:pPr>
            <w:r>
              <w:rPr>
                <w:rFonts w:eastAsia="Times New Roman"/>
                <w:sz w:val="24"/>
                <w:szCs w:val="24"/>
              </w:rPr>
              <w:t>para-Dichlorobenzene</w:t>
            </w:r>
          </w:p>
        </w:tc>
        <w:tc>
          <w:tcPr>
            <w:tcW w:w="2020" w:type="dxa"/>
            <w:vAlign w:val="center"/>
          </w:tcPr>
          <w:p w14:paraId="2819F002"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F003"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F009" w14:textId="77777777" w:rsidTr="00E33030">
        <w:trPr>
          <w:trHeight w:val="271"/>
        </w:trPr>
        <w:tc>
          <w:tcPr>
            <w:tcW w:w="1580" w:type="dxa"/>
            <w:vAlign w:val="bottom"/>
          </w:tcPr>
          <w:p w14:paraId="2819F005" w14:textId="77777777" w:rsidR="004647B9" w:rsidRDefault="00E2436F">
            <w:pPr>
              <w:spacing w:line="271" w:lineRule="exact"/>
              <w:rPr>
                <w:sz w:val="20"/>
                <w:szCs w:val="20"/>
              </w:rPr>
            </w:pPr>
            <w:r>
              <w:rPr>
                <w:rFonts w:eastAsia="Times New Roman"/>
                <w:sz w:val="24"/>
                <w:szCs w:val="24"/>
              </w:rPr>
              <w:t>100-42-5</w:t>
            </w:r>
          </w:p>
        </w:tc>
        <w:tc>
          <w:tcPr>
            <w:tcW w:w="4180" w:type="dxa"/>
            <w:vAlign w:val="bottom"/>
          </w:tcPr>
          <w:p w14:paraId="2819F006" w14:textId="77777777" w:rsidR="004647B9" w:rsidRDefault="00E2436F">
            <w:pPr>
              <w:spacing w:line="271" w:lineRule="exact"/>
              <w:rPr>
                <w:sz w:val="20"/>
                <w:szCs w:val="20"/>
              </w:rPr>
            </w:pPr>
            <w:r>
              <w:rPr>
                <w:rFonts w:eastAsia="Times New Roman"/>
                <w:sz w:val="24"/>
                <w:szCs w:val="24"/>
              </w:rPr>
              <w:t>Styrene</w:t>
            </w:r>
          </w:p>
        </w:tc>
        <w:tc>
          <w:tcPr>
            <w:tcW w:w="2020" w:type="dxa"/>
            <w:vAlign w:val="center"/>
          </w:tcPr>
          <w:p w14:paraId="2819F007"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F008"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F00E" w14:textId="77777777" w:rsidTr="00E33030">
        <w:trPr>
          <w:trHeight w:val="271"/>
        </w:trPr>
        <w:tc>
          <w:tcPr>
            <w:tcW w:w="1580" w:type="dxa"/>
            <w:vAlign w:val="bottom"/>
          </w:tcPr>
          <w:p w14:paraId="2819F00A" w14:textId="77777777" w:rsidR="004647B9" w:rsidRDefault="00E2436F">
            <w:pPr>
              <w:spacing w:line="271" w:lineRule="exact"/>
              <w:rPr>
                <w:sz w:val="20"/>
                <w:szCs w:val="20"/>
              </w:rPr>
            </w:pPr>
            <w:r>
              <w:rPr>
                <w:rFonts w:eastAsia="Times New Roman"/>
                <w:sz w:val="24"/>
                <w:szCs w:val="24"/>
              </w:rPr>
              <w:t>127-18-4</w:t>
            </w:r>
          </w:p>
        </w:tc>
        <w:tc>
          <w:tcPr>
            <w:tcW w:w="4180" w:type="dxa"/>
            <w:vAlign w:val="bottom"/>
          </w:tcPr>
          <w:p w14:paraId="2819F00B" w14:textId="77777777" w:rsidR="004647B9" w:rsidRDefault="00E2436F">
            <w:pPr>
              <w:spacing w:line="271" w:lineRule="exact"/>
              <w:rPr>
                <w:sz w:val="20"/>
                <w:szCs w:val="20"/>
              </w:rPr>
            </w:pPr>
            <w:r>
              <w:rPr>
                <w:rFonts w:eastAsia="Times New Roman"/>
                <w:sz w:val="24"/>
                <w:szCs w:val="24"/>
              </w:rPr>
              <w:t>Tetrachloroethylene</w:t>
            </w:r>
          </w:p>
        </w:tc>
        <w:tc>
          <w:tcPr>
            <w:tcW w:w="2020" w:type="dxa"/>
            <w:vAlign w:val="center"/>
          </w:tcPr>
          <w:p w14:paraId="2819F00C"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F00D"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F013" w14:textId="77777777" w:rsidTr="00E33030">
        <w:trPr>
          <w:trHeight w:val="271"/>
        </w:trPr>
        <w:tc>
          <w:tcPr>
            <w:tcW w:w="1580" w:type="dxa"/>
            <w:vAlign w:val="bottom"/>
          </w:tcPr>
          <w:p w14:paraId="2819F00F" w14:textId="77777777" w:rsidR="004647B9" w:rsidRDefault="00E2436F">
            <w:pPr>
              <w:spacing w:line="271" w:lineRule="exact"/>
              <w:rPr>
                <w:sz w:val="20"/>
                <w:szCs w:val="20"/>
              </w:rPr>
            </w:pPr>
            <w:r>
              <w:rPr>
                <w:rFonts w:eastAsia="Times New Roman"/>
                <w:sz w:val="24"/>
                <w:szCs w:val="24"/>
              </w:rPr>
              <w:t>71-55-6</w:t>
            </w:r>
          </w:p>
        </w:tc>
        <w:tc>
          <w:tcPr>
            <w:tcW w:w="4180" w:type="dxa"/>
            <w:vAlign w:val="bottom"/>
          </w:tcPr>
          <w:p w14:paraId="2819F010" w14:textId="77777777" w:rsidR="004647B9" w:rsidRDefault="00E2436F">
            <w:pPr>
              <w:spacing w:line="271" w:lineRule="exact"/>
              <w:rPr>
                <w:sz w:val="20"/>
                <w:szCs w:val="20"/>
              </w:rPr>
            </w:pPr>
            <w:r>
              <w:rPr>
                <w:rFonts w:eastAsia="Times New Roman"/>
                <w:sz w:val="24"/>
                <w:szCs w:val="24"/>
              </w:rPr>
              <w:t>1,1,1-Trichloroethane</w:t>
            </w:r>
          </w:p>
        </w:tc>
        <w:tc>
          <w:tcPr>
            <w:tcW w:w="2020" w:type="dxa"/>
            <w:vAlign w:val="center"/>
          </w:tcPr>
          <w:p w14:paraId="2819F011"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F012"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F018" w14:textId="77777777" w:rsidTr="00E33030">
        <w:trPr>
          <w:trHeight w:val="271"/>
        </w:trPr>
        <w:tc>
          <w:tcPr>
            <w:tcW w:w="1580" w:type="dxa"/>
            <w:vAlign w:val="bottom"/>
          </w:tcPr>
          <w:p w14:paraId="2819F014" w14:textId="77777777" w:rsidR="004647B9" w:rsidRDefault="00E2436F">
            <w:pPr>
              <w:spacing w:line="271" w:lineRule="exact"/>
              <w:rPr>
                <w:sz w:val="20"/>
                <w:szCs w:val="20"/>
              </w:rPr>
            </w:pPr>
            <w:r>
              <w:rPr>
                <w:rFonts w:eastAsia="Times New Roman"/>
                <w:sz w:val="24"/>
                <w:szCs w:val="24"/>
              </w:rPr>
              <w:t>79-01-6</w:t>
            </w:r>
          </w:p>
        </w:tc>
        <w:tc>
          <w:tcPr>
            <w:tcW w:w="4180" w:type="dxa"/>
            <w:vAlign w:val="bottom"/>
          </w:tcPr>
          <w:p w14:paraId="2819F015" w14:textId="77777777" w:rsidR="004647B9" w:rsidRDefault="00E2436F">
            <w:pPr>
              <w:spacing w:line="271" w:lineRule="exact"/>
              <w:rPr>
                <w:sz w:val="20"/>
                <w:szCs w:val="20"/>
              </w:rPr>
            </w:pPr>
            <w:r>
              <w:rPr>
                <w:rFonts w:eastAsia="Times New Roman"/>
                <w:sz w:val="24"/>
                <w:szCs w:val="24"/>
              </w:rPr>
              <w:t>Trichloroethylene</w:t>
            </w:r>
          </w:p>
        </w:tc>
        <w:tc>
          <w:tcPr>
            <w:tcW w:w="2020" w:type="dxa"/>
            <w:vAlign w:val="center"/>
          </w:tcPr>
          <w:p w14:paraId="2819F016"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F017" w14:textId="77777777" w:rsidR="004647B9" w:rsidRDefault="00E2436F" w:rsidP="00E33030">
            <w:pPr>
              <w:spacing w:line="271" w:lineRule="exact"/>
              <w:jc w:val="center"/>
              <w:rPr>
                <w:sz w:val="20"/>
                <w:szCs w:val="20"/>
              </w:rPr>
            </w:pPr>
            <w:r>
              <w:rPr>
                <w:rFonts w:eastAsia="Times New Roman"/>
                <w:sz w:val="24"/>
                <w:szCs w:val="24"/>
              </w:rPr>
              <w:t>X</w:t>
            </w:r>
          </w:p>
        </w:tc>
      </w:tr>
      <w:tr w:rsidR="004647B9" w14:paraId="2819F01D" w14:textId="77777777" w:rsidTr="00E33030">
        <w:trPr>
          <w:trHeight w:val="271"/>
        </w:trPr>
        <w:tc>
          <w:tcPr>
            <w:tcW w:w="1580" w:type="dxa"/>
            <w:vAlign w:val="bottom"/>
          </w:tcPr>
          <w:p w14:paraId="2819F019" w14:textId="77777777" w:rsidR="004647B9" w:rsidRDefault="00E2436F">
            <w:pPr>
              <w:spacing w:line="271" w:lineRule="exact"/>
              <w:rPr>
                <w:sz w:val="20"/>
                <w:szCs w:val="20"/>
              </w:rPr>
            </w:pPr>
            <w:r>
              <w:rPr>
                <w:rFonts w:eastAsia="Times New Roman"/>
                <w:sz w:val="24"/>
                <w:szCs w:val="24"/>
              </w:rPr>
              <w:t>108-88-3</w:t>
            </w:r>
          </w:p>
        </w:tc>
        <w:tc>
          <w:tcPr>
            <w:tcW w:w="4180" w:type="dxa"/>
            <w:vAlign w:val="bottom"/>
          </w:tcPr>
          <w:p w14:paraId="2819F01A" w14:textId="77777777" w:rsidR="004647B9" w:rsidRDefault="00E2436F">
            <w:pPr>
              <w:spacing w:line="271" w:lineRule="exact"/>
              <w:rPr>
                <w:sz w:val="20"/>
                <w:szCs w:val="20"/>
              </w:rPr>
            </w:pPr>
            <w:r>
              <w:rPr>
                <w:rFonts w:eastAsia="Times New Roman"/>
                <w:sz w:val="24"/>
                <w:szCs w:val="24"/>
              </w:rPr>
              <w:t>Toluene</w:t>
            </w:r>
          </w:p>
        </w:tc>
        <w:tc>
          <w:tcPr>
            <w:tcW w:w="2020" w:type="dxa"/>
            <w:vAlign w:val="center"/>
          </w:tcPr>
          <w:p w14:paraId="2819F01B" w14:textId="77777777" w:rsidR="004647B9" w:rsidRDefault="00E2436F" w:rsidP="00E33030">
            <w:pPr>
              <w:spacing w:line="271" w:lineRule="exact"/>
              <w:jc w:val="center"/>
              <w:rPr>
                <w:sz w:val="20"/>
                <w:szCs w:val="20"/>
              </w:rPr>
            </w:pPr>
            <w:r>
              <w:rPr>
                <w:rFonts w:eastAsia="Times New Roman"/>
                <w:sz w:val="24"/>
                <w:szCs w:val="24"/>
              </w:rPr>
              <w:t>X</w:t>
            </w:r>
          </w:p>
        </w:tc>
        <w:tc>
          <w:tcPr>
            <w:tcW w:w="440" w:type="dxa"/>
            <w:vAlign w:val="center"/>
          </w:tcPr>
          <w:p w14:paraId="2819F01C" w14:textId="77777777" w:rsidR="004647B9" w:rsidRDefault="00E2436F" w:rsidP="00E33030">
            <w:pPr>
              <w:spacing w:line="271" w:lineRule="exact"/>
              <w:jc w:val="center"/>
              <w:rPr>
                <w:sz w:val="20"/>
                <w:szCs w:val="20"/>
              </w:rPr>
            </w:pPr>
            <w:r>
              <w:rPr>
                <w:rFonts w:eastAsia="Times New Roman"/>
                <w:sz w:val="24"/>
                <w:szCs w:val="24"/>
              </w:rPr>
              <w:t>X</w:t>
            </w:r>
          </w:p>
        </w:tc>
      </w:tr>
      <w:tr w:rsidR="00E33030" w14:paraId="2819F023" w14:textId="77777777" w:rsidTr="00E33030">
        <w:trPr>
          <w:trHeight w:val="271"/>
        </w:trPr>
        <w:tc>
          <w:tcPr>
            <w:tcW w:w="1580" w:type="dxa"/>
            <w:vAlign w:val="bottom"/>
          </w:tcPr>
          <w:p w14:paraId="2819F01E" w14:textId="77777777" w:rsidR="00E33030" w:rsidRDefault="00E33030">
            <w:pPr>
              <w:spacing w:line="271" w:lineRule="exact"/>
              <w:rPr>
                <w:sz w:val="20"/>
                <w:szCs w:val="20"/>
              </w:rPr>
            </w:pPr>
            <w:r>
              <w:rPr>
                <w:rFonts w:eastAsia="Times New Roman"/>
                <w:sz w:val="24"/>
                <w:szCs w:val="24"/>
              </w:rPr>
              <w:t>75-01-4</w:t>
            </w:r>
          </w:p>
        </w:tc>
        <w:tc>
          <w:tcPr>
            <w:tcW w:w="4180" w:type="dxa"/>
            <w:vAlign w:val="bottom"/>
          </w:tcPr>
          <w:p w14:paraId="2819F01F" w14:textId="77777777" w:rsidR="00E33030" w:rsidRDefault="00E33030">
            <w:pPr>
              <w:spacing w:line="271" w:lineRule="exact"/>
              <w:rPr>
                <w:sz w:val="20"/>
                <w:szCs w:val="20"/>
              </w:rPr>
            </w:pPr>
            <w:r>
              <w:rPr>
                <w:rFonts w:eastAsia="Times New Roman"/>
                <w:sz w:val="24"/>
                <w:szCs w:val="24"/>
              </w:rPr>
              <w:t>Vinyl chloride</w:t>
            </w:r>
          </w:p>
        </w:tc>
        <w:tc>
          <w:tcPr>
            <w:tcW w:w="2020" w:type="dxa"/>
            <w:vAlign w:val="center"/>
          </w:tcPr>
          <w:p w14:paraId="2819F021" w14:textId="77777777" w:rsidR="00E33030" w:rsidRDefault="00E33030" w:rsidP="00E33030">
            <w:pPr>
              <w:jc w:val="center"/>
              <w:rPr>
                <w:sz w:val="23"/>
                <w:szCs w:val="23"/>
              </w:rPr>
            </w:pPr>
          </w:p>
        </w:tc>
        <w:tc>
          <w:tcPr>
            <w:tcW w:w="440" w:type="dxa"/>
            <w:vAlign w:val="center"/>
          </w:tcPr>
          <w:p w14:paraId="2819F022" w14:textId="77777777" w:rsidR="00E33030" w:rsidRDefault="00E33030" w:rsidP="00E33030">
            <w:pPr>
              <w:spacing w:line="271" w:lineRule="exact"/>
              <w:jc w:val="center"/>
              <w:rPr>
                <w:sz w:val="20"/>
                <w:szCs w:val="20"/>
              </w:rPr>
            </w:pPr>
            <w:r>
              <w:rPr>
                <w:rFonts w:eastAsia="Times New Roman"/>
                <w:sz w:val="24"/>
                <w:szCs w:val="24"/>
              </w:rPr>
              <w:t>X</w:t>
            </w:r>
          </w:p>
        </w:tc>
      </w:tr>
      <w:tr w:rsidR="004647B9" w14:paraId="2819F028" w14:textId="77777777" w:rsidTr="00E33030">
        <w:trPr>
          <w:trHeight w:val="312"/>
        </w:trPr>
        <w:tc>
          <w:tcPr>
            <w:tcW w:w="1580" w:type="dxa"/>
            <w:vAlign w:val="bottom"/>
          </w:tcPr>
          <w:p w14:paraId="2819F024" w14:textId="77777777" w:rsidR="004647B9" w:rsidRDefault="00E2436F">
            <w:pPr>
              <w:rPr>
                <w:sz w:val="20"/>
                <w:szCs w:val="20"/>
              </w:rPr>
            </w:pPr>
            <w:r>
              <w:rPr>
                <w:rFonts w:eastAsia="Times New Roman"/>
                <w:sz w:val="24"/>
                <w:szCs w:val="24"/>
              </w:rPr>
              <w:t>1330-20-7</w:t>
            </w:r>
          </w:p>
        </w:tc>
        <w:tc>
          <w:tcPr>
            <w:tcW w:w="4180" w:type="dxa"/>
            <w:vAlign w:val="bottom"/>
          </w:tcPr>
          <w:p w14:paraId="2819F025" w14:textId="77777777" w:rsidR="004647B9" w:rsidRDefault="00E2436F">
            <w:pPr>
              <w:rPr>
                <w:sz w:val="20"/>
                <w:szCs w:val="20"/>
              </w:rPr>
            </w:pPr>
            <w:r>
              <w:rPr>
                <w:rFonts w:eastAsia="Times New Roman"/>
                <w:sz w:val="24"/>
                <w:szCs w:val="24"/>
              </w:rPr>
              <w:t>Xylene</w:t>
            </w:r>
          </w:p>
        </w:tc>
        <w:tc>
          <w:tcPr>
            <w:tcW w:w="2020" w:type="dxa"/>
            <w:vAlign w:val="center"/>
          </w:tcPr>
          <w:p w14:paraId="2819F026" w14:textId="77777777" w:rsidR="004647B9" w:rsidRDefault="00E2436F" w:rsidP="00E33030">
            <w:pPr>
              <w:jc w:val="center"/>
              <w:rPr>
                <w:sz w:val="20"/>
                <w:szCs w:val="20"/>
              </w:rPr>
            </w:pPr>
            <w:r>
              <w:rPr>
                <w:rFonts w:eastAsia="Times New Roman"/>
                <w:sz w:val="24"/>
                <w:szCs w:val="24"/>
              </w:rPr>
              <w:t>X</w:t>
            </w:r>
          </w:p>
        </w:tc>
        <w:tc>
          <w:tcPr>
            <w:tcW w:w="440" w:type="dxa"/>
            <w:vAlign w:val="center"/>
          </w:tcPr>
          <w:p w14:paraId="2819F027" w14:textId="77777777" w:rsidR="004647B9" w:rsidRDefault="00E2436F" w:rsidP="00E33030">
            <w:pPr>
              <w:jc w:val="center"/>
              <w:rPr>
                <w:sz w:val="20"/>
                <w:szCs w:val="20"/>
              </w:rPr>
            </w:pPr>
            <w:r>
              <w:rPr>
                <w:rFonts w:eastAsia="Times New Roman"/>
                <w:sz w:val="24"/>
                <w:szCs w:val="24"/>
              </w:rPr>
              <w:t>X</w:t>
            </w:r>
          </w:p>
        </w:tc>
      </w:tr>
    </w:tbl>
    <w:p w14:paraId="2819F029" w14:textId="77777777" w:rsidR="004647B9" w:rsidRPr="006E2471" w:rsidRDefault="004647B9" w:rsidP="006E2471">
      <w:pPr>
        <w:rPr>
          <w:sz w:val="24"/>
          <w:szCs w:val="24"/>
        </w:rPr>
      </w:pPr>
    </w:p>
    <w:p w14:paraId="2819F02A" w14:textId="2ADECCA5" w:rsidR="004647B9" w:rsidRPr="006A06E3" w:rsidRDefault="00E2436F" w:rsidP="006E2471">
      <w:pPr>
        <w:numPr>
          <w:ilvl w:val="0"/>
          <w:numId w:val="271"/>
        </w:numPr>
        <w:tabs>
          <w:tab w:val="left" w:pos="1802"/>
        </w:tabs>
        <w:ind w:left="1200"/>
        <w:jc w:val="both"/>
        <w:rPr>
          <w:rFonts w:eastAsia="Times New Roman"/>
          <w:sz w:val="24"/>
          <w:szCs w:val="24"/>
        </w:rPr>
      </w:pPr>
      <w:r w:rsidRPr="006A06E3">
        <w:rPr>
          <w:rFonts w:eastAsia="Times New Roman"/>
          <w:sz w:val="24"/>
          <w:szCs w:val="24"/>
          <w:u w:val="single"/>
        </w:rPr>
        <w:t>New Systems/Sources</w:t>
      </w:r>
      <w:r w:rsidRPr="006A06E3">
        <w:rPr>
          <w:rFonts w:eastAsia="Times New Roman"/>
          <w:sz w:val="24"/>
          <w:szCs w:val="24"/>
        </w:rPr>
        <w:t>. Each new supplier of water or supplier of water that use a new source of water that begin operation after January 22, 2004</w:t>
      </w:r>
      <w:r w:rsidR="006E2471">
        <w:rPr>
          <w:rFonts w:eastAsia="Times New Roman"/>
          <w:sz w:val="24"/>
          <w:szCs w:val="24"/>
        </w:rPr>
        <w:t>,</w:t>
      </w:r>
      <w:r w:rsidRPr="006A06E3">
        <w:rPr>
          <w:rFonts w:eastAsia="Times New Roman"/>
          <w:sz w:val="24"/>
          <w:szCs w:val="24"/>
        </w:rPr>
        <w:t xml:space="preserve"> must demonstrate compliance with the MCL within a period of time specified by the Department. The supplier of water must also comply with the initial sampling frequencies specified by the Department to ensure a system can demonstrate compliance with the MCL. Routine and increased monitoring frequencies shall be conducted in accordance with the requirements in 310 CMR 22.07B.</w:t>
      </w:r>
    </w:p>
    <w:p w14:paraId="2819F02B" w14:textId="77777777" w:rsidR="004647B9" w:rsidRPr="006A06E3" w:rsidRDefault="004647B9" w:rsidP="006E2471">
      <w:pPr>
        <w:rPr>
          <w:sz w:val="24"/>
          <w:szCs w:val="24"/>
        </w:rPr>
      </w:pPr>
    </w:p>
    <w:p w14:paraId="2819F02C" w14:textId="77777777" w:rsidR="004647B9" w:rsidRPr="006A06E3" w:rsidRDefault="00E2436F" w:rsidP="006E2471">
      <w:pPr>
        <w:tabs>
          <w:tab w:val="left" w:pos="920"/>
        </w:tabs>
        <w:rPr>
          <w:sz w:val="24"/>
          <w:szCs w:val="24"/>
        </w:rPr>
      </w:pPr>
      <w:r w:rsidRPr="006A06E3">
        <w:rPr>
          <w:rFonts w:eastAsia="Times New Roman"/>
          <w:sz w:val="24"/>
          <w:szCs w:val="24"/>
          <w:u w:val="single"/>
        </w:rPr>
        <w:t>22.07C:</w:t>
      </w:r>
      <w:r w:rsidRPr="006A06E3">
        <w:rPr>
          <w:sz w:val="24"/>
          <w:szCs w:val="24"/>
        </w:rPr>
        <w:tab/>
      </w:r>
      <w:r w:rsidRPr="006A06E3">
        <w:rPr>
          <w:rFonts w:eastAsia="Times New Roman"/>
          <w:sz w:val="24"/>
          <w:szCs w:val="24"/>
          <w:u w:val="single"/>
        </w:rPr>
        <w:t>Unregulated Inorganic and Organic Chemicals Special Monitoring</w:t>
      </w:r>
    </w:p>
    <w:p w14:paraId="2819F02D" w14:textId="77777777" w:rsidR="004647B9" w:rsidRPr="006A06E3" w:rsidRDefault="004647B9" w:rsidP="006E2471">
      <w:pPr>
        <w:rPr>
          <w:sz w:val="24"/>
          <w:szCs w:val="24"/>
        </w:rPr>
      </w:pPr>
    </w:p>
    <w:p w14:paraId="2819F02E" w14:textId="77777777" w:rsidR="004647B9" w:rsidRPr="006A06E3" w:rsidRDefault="00E2436F" w:rsidP="006E2471">
      <w:pPr>
        <w:numPr>
          <w:ilvl w:val="0"/>
          <w:numId w:val="272"/>
        </w:numPr>
        <w:tabs>
          <w:tab w:val="left" w:pos="1797"/>
        </w:tabs>
        <w:ind w:left="1200"/>
        <w:rPr>
          <w:rFonts w:eastAsia="Times New Roman"/>
          <w:sz w:val="24"/>
          <w:szCs w:val="24"/>
        </w:rPr>
      </w:pPr>
      <w:r w:rsidRPr="006A06E3">
        <w:rPr>
          <w:rFonts w:eastAsia="Times New Roman"/>
          <w:sz w:val="24"/>
          <w:szCs w:val="24"/>
          <w:u w:val="single"/>
        </w:rPr>
        <w:t>Monitoring for Unregulated Organic and Inorganic Contaminants</w:t>
      </w:r>
      <w:r w:rsidRPr="006A06E3">
        <w:rPr>
          <w:rFonts w:eastAsia="Times New Roman"/>
          <w:sz w:val="24"/>
          <w:szCs w:val="24"/>
        </w:rPr>
        <w:t>. The Monitoring frequency for the contaminants listed in 310 CMR 22.07C(5), (7) and (8) shall be as follows.</w:t>
      </w:r>
    </w:p>
    <w:p w14:paraId="2819F030" w14:textId="77777777" w:rsidR="004647B9" w:rsidRPr="006A06E3" w:rsidRDefault="00E2436F" w:rsidP="006E2471">
      <w:pPr>
        <w:numPr>
          <w:ilvl w:val="1"/>
          <w:numId w:val="272"/>
        </w:numPr>
        <w:tabs>
          <w:tab w:val="left" w:pos="2000"/>
        </w:tabs>
        <w:ind w:left="2000" w:hanging="445"/>
        <w:rPr>
          <w:rFonts w:eastAsia="Times New Roman"/>
          <w:sz w:val="24"/>
          <w:szCs w:val="24"/>
        </w:rPr>
      </w:pPr>
      <w:r w:rsidRPr="006A06E3">
        <w:rPr>
          <w:rFonts w:eastAsia="Times New Roman"/>
          <w:sz w:val="24"/>
          <w:szCs w:val="24"/>
          <w:u w:val="single"/>
        </w:rPr>
        <w:t>Sampling for Synthetic Organic Contaminants</w:t>
      </w:r>
      <w:r w:rsidRPr="006A06E3">
        <w:rPr>
          <w:rFonts w:eastAsia="Times New Roman"/>
          <w:sz w:val="24"/>
          <w:szCs w:val="24"/>
        </w:rPr>
        <w:t>. Reserved.</w:t>
      </w:r>
    </w:p>
    <w:p w14:paraId="2819F031" w14:textId="77777777" w:rsidR="004647B9" w:rsidRPr="006A06E3" w:rsidRDefault="00E2436F" w:rsidP="006E2471">
      <w:pPr>
        <w:numPr>
          <w:ilvl w:val="1"/>
          <w:numId w:val="272"/>
        </w:numPr>
        <w:tabs>
          <w:tab w:val="left" w:pos="2020"/>
        </w:tabs>
        <w:ind w:left="2020" w:hanging="465"/>
        <w:rPr>
          <w:rFonts w:eastAsia="Times New Roman"/>
          <w:sz w:val="24"/>
          <w:szCs w:val="24"/>
        </w:rPr>
      </w:pPr>
      <w:r w:rsidRPr="006A06E3">
        <w:rPr>
          <w:rFonts w:eastAsia="Times New Roman"/>
          <w:sz w:val="24"/>
          <w:szCs w:val="24"/>
          <w:u w:val="single"/>
        </w:rPr>
        <w:t>Sampling for Inorganic Contaminants</w:t>
      </w:r>
      <w:r w:rsidRPr="006A06E3">
        <w:rPr>
          <w:rFonts w:eastAsia="Times New Roman"/>
          <w:sz w:val="24"/>
          <w:szCs w:val="24"/>
        </w:rPr>
        <w:t>. Reserved.</w:t>
      </w:r>
    </w:p>
    <w:p w14:paraId="2819F032" w14:textId="77777777" w:rsidR="004647B9" w:rsidRDefault="00E2436F" w:rsidP="006E2471">
      <w:pPr>
        <w:numPr>
          <w:ilvl w:val="1"/>
          <w:numId w:val="272"/>
        </w:numPr>
        <w:tabs>
          <w:tab w:val="left" w:pos="2090"/>
        </w:tabs>
        <w:ind w:left="1560" w:hanging="5"/>
        <w:jc w:val="both"/>
        <w:rPr>
          <w:rFonts w:eastAsia="Times New Roman"/>
          <w:sz w:val="24"/>
          <w:szCs w:val="24"/>
        </w:rPr>
      </w:pPr>
      <w:r w:rsidRPr="006A06E3">
        <w:rPr>
          <w:rFonts w:eastAsia="Times New Roman"/>
          <w:sz w:val="24"/>
          <w:szCs w:val="24"/>
          <w:u w:val="single"/>
        </w:rPr>
        <w:t>Sampling for Volatile Organic Contaminants</w:t>
      </w:r>
      <w:r w:rsidRPr="006A06E3">
        <w:rPr>
          <w:rFonts w:eastAsia="Times New Roman"/>
          <w:sz w:val="24"/>
          <w:szCs w:val="24"/>
        </w:rPr>
        <w:t>. Each community and non-transient non-community water system shall take one sample at each sampling point for each contaminant listed in 310 CMR 22.07C(5) and report the results to the Department. Monitoring shall be completed at the same time as routine VOC sampling in accordance with 310 CMR 22.07B</w:t>
      </w:r>
      <w:r>
        <w:rPr>
          <w:rFonts w:eastAsia="Times New Roman"/>
          <w:sz w:val="24"/>
          <w:szCs w:val="24"/>
        </w:rPr>
        <w:t>.</w:t>
      </w:r>
    </w:p>
    <w:p w14:paraId="2819F033" w14:textId="77777777" w:rsidR="004647B9" w:rsidRDefault="004647B9">
      <w:pPr>
        <w:sectPr w:rsidR="004647B9" w:rsidSect="00EF630C">
          <w:pgSz w:w="12240" w:h="20180"/>
          <w:pgMar w:top="708" w:right="1440" w:bottom="1440" w:left="600" w:header="0" w:footer="0" w:gutter="0"/>
          <w:cols w:space="720" w:equalWidth="0">
            <w:col w:w="10200"/>
          </w:cols>
        </w:sectPr>
      </w:pPr>
    </w:p>
    <w:p w14:paraId="2819F034" w14:textId="77777777" w:rsidR="004647B9" w:rsidRDefault="00E2436F">
      <w:pPr>
        <w:tabs>
          <w:tab w:val="left" w:pos="160"/>
        </w:tabs>
        <w:jc w:val="center"/>
        <w:rPr>
          <w:sz w:val="20"/>
          <w:szCs w:val="20"/>
        </w:rPr>
      </w:pPr>
      <w:bookmarkStart w:id="109" w:name="page111"/>
      <w:bookmarkEnd w:id="10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035" w14:textId="77777777" w:rsidR="004647B9" w:rsidRDefault="004647B9" w:rsidP="006E2471">
      <w:pPr>
        <w:rPr>
          <w:sz w:val="20"/>
          <w:szCs w:val="20"/>
        </w:rPr>
      </w:pPr>
    </w:p>
    <w:p w14:paraId="2819F036" w14:textId="77777777" w:rsidR="004647B9" w:rsidRDefault="004647B9" w:rsidP="006E2471">
      <w:pPr>
        <w:rPr>
          <w:sz w:val="20"/>
          <w:szCs w:val="20"/>
        </w:rPr>
      </w:pPr>
    </w:p>
    <w:p w14:paraId="2819F037" w14:textId="77777777" w:rsidR="004647B9" w:rsidRPr="006E2471" w:rsidRDefault="00E2436F" w:rsidP="006E2471">
      <w:pPr>
        <w:tabs>
          <w:tab w:val="left" w:pos="920"/>
        </w:tabs>
        <w:rPr>
          <w:sz w:val="24"/>
          <w:szCs w:val="24"/>
        </w:rPr>
      </w:pPr>
      <w:r w:rsidRPr="006E2471">
        <w:rPr>
          <w:rFonts w:eastAsia="Times New Roman"/>
          <w:sz w:val="24"/>
          <w:szCs w:val="24"/>
        </w:rPr>
        <w:t>22.07C:</w:t>
      </w:r>
      <w:r w:rsidRPr="006E2471">
        <w:rPr>
          <w:rFonts w:eastAsia="Times New Roman"/>
          <w:sz w:val="24"/>
          <w:szCs w:val="24"/>
        </w:rPr>
        <w:tab/>
        <w:t>continued</w:t>
      </w:r>
    </w:p>
    <w:p w14:paraId="2819F038" w14:textId="77777777" w:rsidR="004647B9" w:rsidRDefault="004647B9" w:rsidP="006E2471">
      <w:pPr>
        <w:rPr>
          <w:sz w:val="20"/>
          <w:szCs w:val="20"/>
        </w:rPr>
      </w:pPr>
    </w:p>
    <w:p w14:paraId="2819F039" w14:textId="77777777" w:rsidR="004647B9" w:rsidRPr="006A06E3" w:rsidRDefault="00E2436F" w:rsidP="006E2471">
      <w:pPr>
        <w:numPr>
          <w:ilvl w:val="0"/>
          <w:numId w:val="273"/>
        </w:numPr>
        <w:tabs>
          <w:tab w:val="left" w:pos="1660"/>
        </w:tabs>
        <w:ind w:left="1200"/>
        <w:rPr>
          <w:rFonts w:eastAsia="Times New Roman"/>
          <w:sz w:val="24"/>
          <w:szCs w:val="24"/>
        </w:rPr>
      </w:pPr>
      <w:r w:rsidRPr="006A06E3">
        <w:rPr>
          <w:rFonts w:eastAsia="Times New Roman"/>
          <w:sz w:val="24"/>
          <w:szCs w:val="24"/>
          <w:u w:val="single"/>
        </w:rPr>
        <w:t>Sampling Locations</w:t>
      </w:r>
      <w:r w:rsidRPr="006A06E3">
        <w:rPr>
          <w:rFonts w:eastAsia="Times New Roman"/>
          <w:sz w:val="24"/>
          <w:szCs w:val="24"/>
        </w:rPr>
        <w:t>. The sampling for the contaminants listed in 310 CMR 22.07C shall be conducted as follows:</w:t>
      </w:r>
    </w:p>
    <w:p w14:paraId="2819F03B" w14:textId="77777777" w:rsidR="004647B9" w:rsidRPr="006A06E3" w:rsidRDefault="00E2436F" w:rsidP="006E2471">
      <w:pPr>
        <w:numPr>
          <w:ilvl w:val="1"/>
          <w:numId w:val="273"/>
        </w:numPr>
        <w:tabs>
          <w:tab w:val="left" w:pos="1968"/>
        </w:tabs>
        <w:ind w:left="1560" w:hanging="5"/>
        <w:jc w:val="both"/>
        <w:rPr>
          <w:rFonts w:eastAsia="Times New Roman"/>
          <w:sz w:val="24"/>
          <w:szCs w:val="24"/>
        </w:rPr>
      </w:pPr>
      <w:r w:rsidRPr="006A06E3">
        <w:rPr>
          <w:rFonts w:eastAsia="Times New Roman"/>
          <w:sz w:val="24"/>
          <w:szCs w:val="24"/>
          <w:u w:val="single"/>
        </w:rPr>
        <w:t>Ground Water Sampling Protocols</w:t>
      </w:r>
      <w:r w:rsidRPr="006A06E3">
        <w:rPr>
          <w:rFonts w:eastAsia="Times New Roman"/>
          <w:sz w:val="24"/>
          <w:szCs w:val="24"/>
        </w:rPr>
        <w:t>. Groundwater systems shall take a minimum of one sample at every entry point to the distribution system which is representative of each well after treatment (sampling point). Each sample shall be taken at the same sampling point unless conditions make another sampling point more representative of each source or treatment plant.</w:t>
      </w:r>
    </w:p>
    <w:p w14:paraId="2819F03D" w14:textId="77777777" w:rsidR="004647B9" w:rsidRPr="006A06E3" w:rsidRDefault="00E2436F" w:rsidP="006E2471">
      <w:pPr>
        <w:numPr>
          <w:ilvl w:val="1"/>
          <w:numId w:val="273"/>
        </w:numPr>
        <w:tabs>
          <w:tab w:val="left" w:pos="2027"/>
        </w:tabs>
        <w:ind w:left="1560" w:hanging="5"/>
        <w:jc w:val="both"/>
        <w:rPr>
          <w:rFonts w:eastAsia="Times New Roman"/>
          <w:sz w:val="24"/>
          <w:szCs w:val="24"/>
        </w:rPr>
      </w:pPr>
      <w:r w:rsidRPr="006A06E3">
        <w:rPr>
          <w:rFonts w:eastAsia="Times New Roman"/>
          <w:sz w:val="24"/>
          <w:szCs w:val="24"/>
          <w:u w:val="single"/>
        </w:rPr>
        <w:t>Surface Water Sampling Protocols</w:t>
      </w:r>
      <w:r w:rsidRPr="006A06E3">
        <w:rPr>
          <w:rFonts w:eastAsia="Times New Roman"/>
          <w:sz w:val="24"/>
          <w:szCs w:val="24"/>
        </w:rPr>
        <w:t>. Surface water systems including, but not limited to surface water systems with a combination of surface and ground sources shall take a minimum of one sample at points in the distribution system that are representative of each source or at each entry point to the distribution system after treatment (sampling point). Each sample shall be taken at the same sampling point unless conditions make another sampling point more representative of each source or treatment plant.</w:t>
      </w:r>
    </w:p>
    <w:p w14:paraId="2819F03F" w14:textId="77777777" w:rsidR="004647B9" w:rsidRPr="006A06E3" w:rsidRDefault="00E2436F" w:rsidP="006E2471">
      <w:pPr>
        <w:numPr>
          <w:ilvl w:val="1"/>
          <w:numId w:val="273"/>
        </w:numPr>
        <w:tabs>
          <w:tab w:val="left" w:pos="1961"/>
        </w:tabs>
        <w:ind w:left="1560" w:hanging="5"/>
        <w:jc w:val="both"/>
        <w:rPr>
          <w:rFonts w:eastAsia="Times New Roman"/>
          <w:sz w:val="24"/>
          <w:szCs w:val="24"/>
        </w:rPr>
      </w:pPr>
      <w:r w:rsidRPr="006A06E3">
        <w:rPr>
          <w:rFonts w:eastAsia="Times New Roman"/>
          <w:sz w:val="24"/>
          <w:szCs w:val="24"/>
          <w:u w:val="single"/>
        </w:rPr>
        <w:t>Multiple Sources</w:t>
      </w:r>
      <w:r w:rsidRPr="006A06E3">
        <w:rPr>
          <w:rFonts w:eastAsia="Times New Roman"/>
          <w:sz w:val="24"/>
          <w:szCs w:val="24"/>
        </w:rPr>
        <w:t>. If the system draws water from more than one source and the sources are combined before distribution, the system shall sample at an entry point to the distribution system during periods of normal operating conditions (</w:t>
      </w:r>
      <w:r w:rsidRPr="006A06E3">
        <w:rPr>
          <w:rFonts w:eastAsia="Times New Roman"/>
          <w:i/>
          <w:iCs/>
          <w:sz w:val="24"/>
          <w:szCs w:val="24"/>
        </w:rPr>
        <w:t>i.e</w:t>
      </w:r>
      <w:r w:rsidRPr="006A06E3">
        <w:rPr>
          <w:rFonts w:eastAsia="Times New Roman"/>
          <w:sz w:val="24"/>
          <w:szCs w:val="24"/>
        </w:rPr>
        <w:t>., when water representative of all sources is being used).</w:t>
      </w:r>
    </w:p>
    <w:p w14:paraId="2819F040" w14:textId="77777777" w:rsidR="004647B9" w:rsidRPr="006A06E3" w:rsidRDefault="00E2436F" w:rsidP="006E2471">
      <w:pPr>
        <w:numPr>
          <w:ilvl w:val="1"/>
          <w:numId w:val="273"/>
        </w:numPr>
        <w:tabs>
          <w:tab w:val="left" w:pos="2113"/>
        </w:tabs>
        <w:ind w:left="1560" w:hanging="5"/>
        <w:rPr>
          <w:rFonts w:eastAsia="Times New Roman"/>
          <w:sz w:val="24"/>
          <w:szCs w:val="24"/>
        </w:rPr>
      </w:pPr>
      <w:r w:rsidRPr="006A06E3">
        <w:rPr>
          <w:rFonts w:eastAsia="Times New Roman"/>
          <w:sz w:val="24"/>
          <w:szCs w:val="24"/>
          <w:u w:val="single"/>
        </w:rPr>
        <w:t>Confirmation Sampling</w:t>
      </w:r>
      <w:r w:rsidRPr="006A06E3">
        <w:rPr>
          <w:rFonts w:eastAsia="Times New Roman"/>
          <w:sz w:val="24"/>
          <w:szCs w:val="24"/>
        </w:rPr>
        <w:t>. The Department may require a confirmation sample for positive or negative results.</w:t>
      </w:r>
    </w:p>
    <w:p w14:paraId="2819F041" w14:textId="77777777" w:rsidR="004647B9" w:rsidRPr="006A06E3" w:rsidRDefault="00E2436F" w:rsidP="006E2471">
      <w:pPr>
        <w:numPr>
          <w:ilvl w:val="1"/>
          <w:numId w:val="273"/>
        </w:numPr>
        <w:tabs>
          <w:tab w:val="left" w:pos="1939"/>
        </w:tabs>
        <w:ind w:left="1560" w:hanging="5"/>
        <w:jc w:val="both"/>
        <w:rPr>
          <w:rFonts w:eastAsia="Times New Roman"/>
          <w:sz w:val="24"/>
          <w:szCs w:val="24"/>
        </w:rPr>
      </w:pPr>
      <w:r w:rsidRPr="006A06E3">
        <w:rPr>
          <w:rFonts w:eastAsia="Times New Roman"/>
          <w:sz w:val="24"/>
          <w:szCs w:val="24"/>
          <w:u w:val="single"/>
        </w:rPr>
        <w:t>Composite Sampling</w:t>
      </w:r>
      <w:r w:rsidRPr="006A06E3">
        <w:rPr>
          <w:rFonts w:eastAsia="Times New Roman"/>
          <w:sz w:val="24"/>
          <w:szCs w:val="24"/>
        </w:rPr>
        <w:t xml:space="preserve">. The Department may reduce the total number of samples a system shall analyze by allowing the use of compositing. Composite samples from a maximum of five sampling points are allowed, provided that the detection limit of the method used for analysis is less than one-fifth of the MCL. Compositing of samples shall be done in the laboratory and the composite sample shall be analyzed within 14 days of collection and comply with 310 CMR 22.07B(6)(a) through (e). If the population served by the system is &gt;3,300 persons, then compositing may only be permitted by the Department at sampling points within a single system. In systems serving </w:t>
      </w:r>
      <w:r w:rsidRPr="006A06E3">
        <w:rPr>
          <w:rFonts w:eastAsia="Times New Roman"/>
          <w:sz w:val="24"/>
          <w:szCs w:val="24"/>
          <w:u w:val="single"/>
        </w:rPr>
        <w:t>&lt;</w:t>
      </w:r>
      <w:r w:rsidRPr="006A06E3">
        <w:rPr>
          <w:rFonts w:eastAsia="Times New Roman"/>
          <w:sz w:val="24"/>
          <w:szCs w:val="24"/>
        </w:rPr>
        <w:t>3,300 persons, the Department may permit compositing among different systems provided the five-sample limit is maintained.</w:t>
      </w:r>
    </w:p>
    <w:p w14:paraId="2819F042" w14:textId="77777777" w:rsidR="004647B9" w:rsidRPr="006E2471" w:rsidRDefault="004647B9" w:rsidP="006E2471">
      <w:pPr>
        <w:rPr>
          <w:rFonts w:eastAsia="Times New Roman"/>
          <w:sz w:val="24"/>
          <w:szCs w:val="24"/>
        </w:rPr>
      </w:pPr>
    </w:p>
    <w:p w14:paraId="2819F043" w14:textId="77777777" w:rsidR="004647B9" w:rsidRPr="006A06E3" w:rsidRDefault="00E2436F" w:rsidP="006E2471">
      <w:pPr>
        <w:numPr>
          <w:ilvl w:val="0"/>
          <w:numId w:val="273"/>
        </w:numPr>
        <w:tabs>
          <w:tab w:val="left" w:pos="1660"/>
        </w:tabs>
        <w:ind w:left="1660" w:hanging="460"/>
        <w:rPr>
          <w:rFonts w:eastAsia="Times New Roman"/>
          <w:sz w:val="24"/>
          <w:szCs w:val="24"/>
        </w:rPr>
      </w:pPr>
      <w:r w:rsidRPr="006A06E3">
        <w:rPr>
          <w:rFonts w:eastAsia="Times New Roman"/>
          <w:sz w:val="24"/>
          <w:szCs w:val="24"/>
          <w:u w:val="single"/>
        </w:rPr>
        <w:t>Unregulated Inorganic and Organic Chemical Special Monitoring</w:t>
      </w:r>
      <w:r w:rsidRPr="006A06E3">
        <w:rPr>
          <w:rFonts w:eastAsia="Times New Roman"/>
          <w:sz w:val="24"/>
          <w:szCs w:val="24"/>
        </w:rPr>
        <w:t>. (Reserved)</w:t>
      </w:r>
    </w:p>
    <w:p w14:paraId="2819F044" w14:textId="77777777" w:rsidR="004647B9" w:rsidRPr="006A06E3" w:rsidRDefault="004647B9" w:rsidP="006E2471">
      <w:pPr>
        <w:rPr>
          <w:rFonts w:eastAsia="Times New Roman"/>
          <w:sz w:val="24"/>
          <w:szCs w:val="24"/>
        </w:rPr>
      </w:pPr>
    </w:p>
    <w:p w14:paraId="2819F046" w14:textId="7C81CCA2" w:rsidR="004647B9" w:rsidRPr="00875F94" w:rsidRDefault="00E2436F">
      <w:pPr>
        <w:numPr>
          <w:ilvl w:val="0"/>
          <w:numId w:val="273"/>
        </w:numPr>
        <w:tabs>
          <w:tab w:val="left" w:pos="1631"/>
        </w:tabs>
        <w:ind w:left="1200"/>
        <w:jc w:val="both"/>
        <w:rPr>
          <w:rFonts w:eastAsia="Times New Roman"/>
          <w:sz w:val="24"/>
          <w:szCs w:val="24"/>
        </w:rPr>
      </w:pPr>
      <w:r w:rsidRPr="00875F94">
        <w:rPr>
          <w:rFonts w:eastAsia="Times New Roman"/>
          <w:sz w:val="24"/>
          <w:szCs w:val="24"/>
          <w:u w:val="single"/>
        </w:rPr>
        <w:t>Sampling Waivers</w:t>
      </w:r>
      <w:r w:rsidRPr="00875F94">
        <w:rPr>
          <w:rFonts w:eastAsia="Times New Roman"/>
          <w:sz w:val="24"/>
          <w:szCs w:val="24"/>
        </w:rPr>
        <w:t>. Each community and non-transient non-community water system may apply to the Department for a waiver from the requirements of 310 CMR 22.07C(1)(a), (b) and</w:t>
      </w:r>
      <w:r w:rsidR="00875F94" w:rsidRPr="00875F94">
        <w:rPr>
          <w:rFonts w:eastAsia="Times New Roman"/>
          <w:sz w:val="24"/>
          <w:szCs w:val="24"/>
        </w:rPr>
        <w:t xml:space="preserve"> </w:t>
      </w:r>
      <w:r w:rsidRPr="00875F94">
        <w:rPr>
          <w:rFonts w:eastAsia="Times New Roman"/>
          <w:sz w:val="24"/>
          <w:szCs w:val="24"/>
        </w:rPr>
        <w:t>(c).</w:t>
      </w:r>
    </w:p>
    <w:p w14:paraId="2819F048" w14:textId="77777777" w:rsidR="004647B9" w:rsidRPr="006A06E3" w:rsidRDefault="00E2436F" w:rsidP="006E2471">
      <w:pPr>
        <w:ind w:left="1200" w:firstLine="355"/>
        <w:jc w:val="both"/>
        <w:rPr>
          <w:rFonts w:eastAsia="Times New Roman"/>
          <w:sz w:val="24"/>
          <w:szCs w:val="24"/>
        </w:rPr>
      </w:pPr>
      <w:r w:rsidRPr="006A06E3">
        <w:rPr>
          <w:rFonts w:eastAsia="Times New Roman"/>
          <w:sz w:val="24"/>
          <w:szCs w:val="24"/>
          <w:u w:val="single"/>
        </w:rPr>
        <w:t>Basis of Sampling Waivers</w:t>
      </w:r>
      <w:r w:rsidRPr="006A06E3">
        <w:rPr>
          <w:rFonts w:eastAsia="Times New Roman"/>
          <w:sz w:val="24"/>
          <w:szCs w:val="24"/>
        </w:rPr>
        <w:t>. The Department may grant a waiver for the monitoring requirement of 310 CMR 22.07C(5) based on the criteria specified in 310 CMR 22.07B(3)(a). Waivers for monitoring requirements of 310 CMR 22.07C(7) are based on the criteria specified in 310 CMR 22.07A(4). The Department may grant a waiver from the requirement of 310 CMR 22.07C(8) if previous analytical results indicate contamination would not occur, provided this data was collected after January 1, 1990.</w:t>
      </w:r>
    </w:p>
    <w:p w14:paraId="2819F049" w14:textId="77777777" w:rsidR="004647B9" w:rsidRPr="006A06E3" w:rsidRDefault="004647B9" w:rsidP="006E2471">
      <w:pPr>
        <w:rPr>
          <w:rFonts w:eastAsia="Times New Roman"/>
          <w:sz w:val="24"/>
          <w:szCs w:val="24"/>
        </w:rPr>
      </w:pPr>
    </w:p>
    <w:p w14:paraId="2819F04A" w14:textId="77777777" w:rsidR="004647B9" w:rsidRPr="006A06E3" w:rsidRDefault="00E2436F" w:rsidP="006E2471">
      <w:pPr>
        <w:numPr>
          <w:ilvl w:val="0"/>
          <w:numId w:val="273"/>
        </w:numPr>
        <w:tabs>
          <w:tab w:val="left" w:pos="1660"/>
        </w:tabs>
        <w:ind w:left="1660" w:hanging="460"/>
        <w:rPr>
          <w:rFonts w:eastAsia="Times New Roman"/>
          <w:sz w:val="24"/>
          <w:szCs w:val="24"/>
        </w:rPr>
      </w:pPr>
      <w:r w:rsidRPr="006A06E3">
        <w:rPr>
          <w:rFonts w:eastAsia="Times New Roman"/>
          <w:sz w:val="24"/>
          <w:szCs w:val="24"/>
          <w:u w:val="single"/>
        </w:rPr>
        <w:t>Unregulated VOC Contaminants</w:t>
      </w:r>
      <w:r w:rsidRPr="006A06E3">
        <w:rPr>
          <w:rFonts w:eastAsia="Times New Roman"/>
          <w:sz w:val="24"/>
          <w:szCs w:val="24"/>
        </w:rPr>
        <w:t>. Methyl tert-butyl ether (MTBE)</w:t>
      </w:r>
    </w:p>
    <w:p w14:paraId="2819F04B" w14:textId="77777777" w:rsidR="004647B9" w:rsidRPr="006A06E3" w:rsidRDefault="004647B9" w:rsidP="006E2471">
      <w:pPr>
        <w:rPr>
          <w:rFonts w:eastAsia="Times New Roman"/>
          <w:sz w:val="24"/>
          <w:szCs w:val="24"/>
        </w:rPr>
      </w:pPr>
    </w:p>
    <w:p w14:paraId="2819F04C" w14:textId="77777777" w:rsidR="004647B9" w:rsidRPr="006A06E3" w:rsidRDefault="00E2436F" w:rsidP="006E2471">
      <w:pPr>
        <w:numPr>
          <w:ilvl w:val="0"/>
          <w:numId w:val="273"/>
        </w:numPr>
        <w:tabs>
          <w:tab w:val="left" w:pos="1861"/>
        </w:tabs>
        <w:ind w:left="1200"/>
        <w:jc w:val="both"/>
        <w:rPr>
          <w:rFonts w:eastAsia="Times New Roman"/>
          <w:sz w:val="24"/>
          <w:szCs w:val="24"/>
        </w:rPr>
      </w:pPr>
      <w:r w:rsidRPr="006A06E3">
        <w:rPr>
          <w:rFonts w:eastAsia="Times New Roman"/>
          <w:sz w:val="24"/>
          <w:szCs w:val="24"/>
          <w:u w:val="single"/>
        </w:rPr>
        <w:t>EPA Analytical Methods for Unregulated VOC Contaminants</w:t>
      </w:r>
      <w:r w:rsidRPr="006A06E3">
        <w:rPr>
          <w:rFonts w:eastAsia="Times New Roman"/>
          <w:sz w:val="24"/>
          <w:szCs w:val="24"/>
        </w:rPr>
        <w:t>. Analysis for the contaminants listed in 310 CMR 22.07C(5) shall be conducted using the recommended EPA methods at 310 CMR 22.07B(8).</w:t>
      </w:r>
    </w:p>
    <w:p w14:paraId="2819F04D" w14:textId="77777777" w:rsidR="004647B9" w:rsidRPr="006A06E3" w:rsidRDefault="004647B9" w:rsidP="006E2471">
      <w:pPr>
        <w:rPr>
          <w:rFonts w:eastAsia="Times New Roman"/>
          <w:sz w:val="24"/>
          <w:szCs w:val="24"/>
        </w:rPr>
      </w:pPr>
    </w:p>
    <w:p w14:paraId="2819F04E" w14:textId="682EAE01" w:rsidR="004647B9" w:rsidRPr="001854B1" w:rsidRDefault="00E2436F" w:rsidP="006E2471">
      <w:pPr>
        <w:numPr>
          <w:ilvl w:val="0"/>
          <w:numId w:val="273"/>
        </w:numPr>
        <w:tabs>
          <w:tab w:val="left" w:pos="1861"/>
        </w:tabs>
        <w:ind w:left="1200"/>
        <w:jc w:val="both"/>
        <w:rPr>
          <w:rFonts w:eastAsia="Times New Roman"/>
          <w:sz w:val="24"/>
          <w:szCs w:val="24"/>
          <w:u w:val="single"/>
        </w:rPr>
      </w:pPr>
      <w:r w:rsidRPr="00854233">
        <w:rPr>
          <w:rFonts w:eastAsia="Times New Roman"/>
          <w:sz w:val="24"/>
          <w:szCs w:val="24"/>
          <w:u w:val="single"/>
        </w:rPr>
        <w:t>Unregulated Synthetic Organic Contaminants and Analytical Methods</w:t>
      </w:r>
      <w:r w:rsidRPr="001854B1">
        <w:rPr>
          <w:rFonts w:eastAsia="Times New Roman"/>
          <w:sz w:val="24"/>
          <w:szCs w:val="24"/>
          <w:u w:val="single"/>
        </w:rPr>
        <w:t>.</w:t>
      </w:r>
      <w:r w:rsidR="00854233" w:rsidRPr="001854B1">
        <w:rPr>
          <w:rFonts w:eastAsia="Times New Roman"/>
          <w:sz w:val="24"/>
          <w:szCs w:val="24"/>
        </w:rPr>
        <w:t xml:space="preserve"> 1,4-Dioxane: EPA Method 522: </w:t>
      </w:r>
      <w:r w:rsidR="00854233" w:rsidRPr="006F16CD">
        <w:rPr>
          <w:rFonts w:eastAsia="Times New Roman"/>
          <w:i/>
          <w:iCs/>
          <w:sz w:val="24"/>
          <w:szCs w:val="24"/>
        </w:rPr>
        <w:t>Determination of 1,4-Dioxane in Drinking Water by Solid Phase Extraction (SPE) and Gas Chromatography/Mass Spectrometry (GC/MS) with Selected Ion Monitoring (SIM)</w:t>
      </w:r>
      <w:r w:rsidR="00854233" w:rsidRPr="001854B1">
        <w:rPr>
          <w:rFonts w:eastAsia="Times New Roman"/>
          <w:sz w:val="24"/>
          <w:szCs w:val="24"/>
        </w:rPr>
        <w:t>, EPA/600/R-08/101, Version 1.0, September 2008.</w:t>
      </w:r>
    </w:p>
    <w:p w14:paraId="2819F04F" w14:textId="77777777" w:rsidR="004647B9" w:rsidRPr="006A06E3" w:rsidRDefault="004647B9" w:rsidP="006E2471">
      <w:pPr>
        <w:rPr>
          <w:rFonts w:eastAsia="Times New Roman"/>
          <w:sz w:val="24"/>
          <w:szCs w:val="24"/>
        </w:rPr>
      </w:pPr>
    </w:p>
    <w:p w14:paraId="2819F050" w14:textId="77777777" w:rsidR="004647B9" w:rsidRPr="006A06E3" w:rsidRDefault="00E2436F" w:rsidP="006E2471">
      <w:pPr>
        <w:numPr>
          <w:ilvl w:val="0"/>
          <w:numId w:val="273"/>
        </w:numPr>
        <w:tabs>
          <w:tab w:val="left" w:pos="1660"/>
        </w:tabs>
        <w:ind w:left="1660" w:hanging="460"/>
        <w:rPr>
          <w:rFonts w:eastAsia="Times New Roman"/>
          <w:sz w:val="24"/>
          <w:szCs w:val="24"/>
        </w:rPr>
      </w:pPr>
      <w:r w:rsidRPr="006A06E3">
        <w:rPr>
          <w:rFonts w:eastAsia="Times New Roman"/>
          <w:sz w:val="24"/>
          <w:szCs w:val="24"/>
          <w:u w:val="single"/>
        </w:rPr>
        <w:t>Unregulated Inorganic Contaminants and Analytical Methods</w:t>
      </w:r>
      <w:r w:rsidRPr="006A06E3">
        <w:rPr>
          <w:rFonts w:eastAsia="Times New Roman"/>
          <w:sz w:val="24"/>
          <w:szCs w:val="24"/>
        </w:rPr>
        <w:t>. Reserved.</w:t>
      </w:r>
    </w:p>
    <w:p w14:paraId="2819F051" w14:textId="77777777" w:rsidR="004647B9" w:rsidRPr="006A06E3" w:rsidRDefault="004647B9" w:rsidP="006E2471">
      <w:pPr>
        <w:rPr>
          <w:rFonts w:eastAsia="Times New Roman"/>
          <w:sz w:val="24"/>
          <w:szCs w:val="24"/>
        </w:rPr>
      </w:pPr>
    </w:p>
    <w:p w14:paraId="2819F052" w14:textId="77777777" w:rsidR="004647B9" w:rsidRPr="006A06E3" w:rsidRDefault="00E2436F" w:rsidP="006E2471">
      <w:pPr>
        <w:numPr>
          <w:ilvl w:val="0"/>
          <w:numId w:val="273"/>
        </w:numPr>
        <w:tabs>
          <w:tab w:val="left" w:pos="1613"/>
        </w:tabs>
        <w:ind w:left="1200"/>
        <w:jc w:val="both"/>
        <w:rPr>
          <w:rFonts w:eastAsia="Times New Roman"/>
          <w:sz w:val="24"/>
          <w:szCs w:val="24"/>
        </w:rPr>
      </w:pPr>
      <w:r w:rsidRPr="006A06E3">
        <w:rPr>
          <w:rFonts w:eastAsia="Times New Roman"/>
          <w:sz w:val="24"/>
          <w:szCs w:val="24"/>
          <w:u w:val="single"/>
        </w:rPr>
        <w:t>Repeat Monitoring</w:t>
      </w:r>
      <w:r w:rsidRPr="006A06E3">
        <w:rPr>
          <w:rFonts w:eastAsia="Times New Roman"/>
          <w:sz w:val="24"/>
          <w:szCs w:val="24"/>
        </w:rPr>
        <w:t>. All community and non-transient, non-community water systems shall repeat the monitoring for contaminants listed in 310 CMR 22.07C(5) no less frequently than every three years or in accordance with the sampling frequencies in 310 CMR 22.07(B).</w:t>
      </w:r>
    </w:p>
    <w:p w14:paraId="2819F053" w14:textId="77777777" w:rsidR="004647B9" w:rsidRPr="006A06E3" w:rsidRDefault="004647B9">
      <w:pPr>
        <w:rPr>
          <w:sz w:val="24"/>
          <w:szCs w:val="24"/>
        </w:rPr>
        <w:sectPr w:rsidR="004647B9" w:rsidRPr="006A06E3" w:rsidSect="00EF630C">
          <w:pgSz w:w="12240" w:h="20180"/>
          <w:pgMar w:top="708" w:right="1440" w:bottom="1440" w:left="600" w:header="0" w:footer="0" w:gutter="0"/>
          <w:cols w:space="720" w:equalWidth="0">
            <w:col w:w="10200"/>
          </w:cols>
        </w:sectPr>
      </w:pPr>
    </w:p>
    <w:p w14:paraId="2819F054" w14:textId="77777777" w:rsidR="004647B9" w:rsidRPr="006A06E3" w:rsidRDefault="004647B9">
      <w:pPr>
        <w:spacing w:line="228" w:lineRule="exact"/>
        <w:rPr>
          <w:sz w:val="24"/>
          <w:szCs w:val="24"/>
        </w:rPr>
      </w:pPr>
    </w:p>
    <w:p w14:paraId="2819F055" w14:textId="77777777" w:rsidR="004647B9" w:rsidRPr="006A06E3" w:rsidRDefault="00E2436F" w:rsidP="00563A54">
      <w:pPr>
        <w:numPr>
          <w:ilvl w:val="0"/>
          <w:numId w:val="274"/>
        </w:numPr>
        <w:tabs>
          <w:tab w:val="left" w:pos="1780"/>
        </w:tabs>
        <w:ind w:left="1780" w:hanging="580"/>
        <w:rPr>
          <w:rFonts w:eastAsia="Times New Roman"/>
          <w:sz w:val="24"/>
          <w:szCs w:val="24"/>
        </w:rPr>
      </w:pPr>
      <w:r w:rsidRPr="006A06E3">
        <w:rPr>
          <w:rFonts w:eastAsia="Times New Roman"/>
          <w:sz w:val="24"/>
          <w:szCs w:val="24"/>
          <w:u w:val="single"/>
        </w:rPr>
        <w:t>Unregulated Inorganic and Organic Chemical Special Monitoring</w:t>
      </w:r>
      <w:r w:rsidRPr="006A06E3">
        <w:rPr>
          <w:rFonts w:eastAsia="Times New Roman"/>
          <w:sz w:val="24"/>
          <w:szCs w:val="24"/>
        </w:rPr>
        <w:t>. (Reserved)</w:t>
      </w:r>
    </w:p>
    <w:p w14:paraId="2819F056" w14:textId="77777777" w:rsidR="004647B9" w:rsidRDefault="004647B9">
      <w:pPr>
        <w:sectPr w:rsidR="004647B9" w:rsidSect="00EF630C">
          <w:type w:val="continuous"/>
          <w:pgSz w:w="12240" w:h="20180"/>
          <w:pgMar w:top="708" w:right="1440" w:bottom="1440" w:left="600" w:header="0" w:footer="0" w:gutter="0"/>
          <w:cols w:space="720" w:equalWidth="0">
            <w:col w:w="10200"/>
          </w:cols>
        </w:sectPr>
      </w:pPr>
    </w:p>
    <w:p w14:paraId="2819F057" w14:textId="77777777" w:rsidR="004647B9" w:rsidRDefault="00E2436F">
      <w:pPr>
        <w:tabs>
          <w:tab w:val="left" w:pos="160"/>
        </w:tabs>
        <w:jc w:val="center"/>
        <w:rPr>
          <w:sz w:val="20"/>
          <w:szCs w:val="20"/>
        </w:rPr>
      </w:pPr>
      <w:bookmarkStart w:id="110" w:name="page112"/>
      <w:bookmarkEnd w:id="11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058" w14:textId="77777777" w:rsidR="004647B9" w:rsidRDefault="004647B9" w:rsidP="003E40F7">
      <w:pPr>
        <w:rPr>
          <w:sz w:val="20"/>
          <w:szCs w:val="20"/>
        </w:rPr>
      </w:pPr>
    </w:p>
    <w:p w14:paraId="2819F059" w14:textId="77777777" w:rsidR="004647B9" w:rsidRDefault="004647B9" w:rsidP="003E40F7">
      <w:pPr>
        <w:rPr>
          <w:sz w:val="20"/>
          <w:szCs w:val="20"/>
        </w:rPr>
      </w:pPr>
    </w:p>
    <w:p w14:paraId="2819F05A" w14:textId="77777777" w:rsidR="004647B9" w:rsidRPr="003E40F7" w:rsidRDefault="00E2436F" w:rsidP="003E40F7">
      <w:pPr>
        <w:tabs>
          <w:tab w:val="left" w:pos="920"/>
        </w:tabs>
        <w:rPr>
          <w:sz w:val="24"/>
          <w:szCs w:val="24"/>
        </w:rPr>
      </w:pPr>
      <w:r w:rsidRPr="003E40F7">
        <w:rPr>
          <w:rFonts w:eastAsia="Times New Roman"/>
          <w:sz w:val="24"/>
          <w:szCs w:val="24"/>
        </w:rPr>
        <w:t>22.07C:</w:t>
      </w:r>
      <w:r w:rsidRPr="003E40F7">
        <w:rPr>
          <w:rFonts w:eastAsia="Times New Roman"/>
          <w:sz w:val="24"/>
          <w:szCs w:val="24"/>
        </w:rPr>
        <w:tab/>
        <w:t>continued</w:t>
      </w:r>
    </w:p>
    <w:p w14:paraId="2819F05B" w14:textId="77777777" w:rsidR="004647B9" w:rsidRDefault="004647B9" w:rsidP="003E40F7">
      <w:pPr>
        <w:rPr>
          <w:sz w:val="20"/>
          <w:szCs w:val="20"/>
        </w:rPr>
      </w:pPr>
    </w:p>
    <w:p w14:paraId="2819F05C" w14:textId="77777777" w:rsidR="004647B9" w:rsidRPr="00DD373C" w:rsidRDefault="00E2436F" w:rsidP="003E40F7">
      <w:pPr>
        <w:numPr>
          <w:ilvl w:val="0"/>
          <w:numId w:val="275"/>
        </w:numPr>
        <w:tabs>
          <w:tab w:val="left" w:pos="1860"/>
        </w:tabs>
        <w:ind w:left="1200"/>
        <w:jc w:val="both"/>
        <w:rPr>
          <w:rFonts w:eastAsia="Times New Roman"/>
          <w:sz w:val="24"/>
          <w:szCs w:val="24"/>
        </w:rPr>
      </w:pPr>
      <w:r w:rsidRPr="00DD373C">
        <w:rPr>
          <w:rFonts w:eastAsia="Times New Roman"/>
          <w:sz w:val="24"/>
          <w:szCs w:val="24"/>
        </w:rPr>
        <w:t xml:space="preserve">Analysis under 310 CMR 22.07C shall be conducted by laboratories approved under 310 CMR 42.00: </w:t>
      </w:r>
      <w:r w:rsidRPr="00DD373C">
        <w:rPr>
          <w:rFonts w:eastAsia="Times New Roman"/>
          <w:i/>
          <w:iCs/>
          <w:sz w:val="24"/>
          <w:szCs w:val="24"/>
        </w:rPr>
        <w:t>Certification and Operation of Environmental Analysis Laboratories</w:t>
      </w:r>
      <w:r w:rsidRPr="00DD373C">
        <w:rPr>
          <w:rFonts w:eastAsia="Times New Roman"/>
          <w:sz w:val="24"/>
          <w:szCs w:val="24"/>
        </w:rPr>
        <w:t xml:space="preserve"> using the recommended EPA methods listed at 310 CMR 22.07A(10).</w:t>
      </w:r>
    </w:p>
    <w:p w14:paraId="2819F05D" w14:textId="77777777" w:rsidR="004647B9" w:rsidRPr="00DD373C" w:rsidRDefault="004647B9" w:rsidP="003E40F7">
      <w:pPr>
        <w:rPr>
          <w:sz w:val="24"/>
          <w:szCs w:val="24"/>
        </w:rPr>
      </w:pPr>
    </w:p>
    <w:p w14:paraId="2819F05E" w14:textId="77777777" w:rsidR="004647B9" w:rsidRPr="00DD373C" w:rsidRDefault="00E2436F" w:rsidP="003E40F7">
      <w:pPr>
        <w:tabs>
          <w:tab w:val="left" w:pos="940"/>
        </w:tabs>
        <w:rPr>
          <w:sz w:val="24"/>
          <w:szCs w:val="24"/>
        </w:rPr>
      </w:pPr>
      <w:r w:rsidRPr="00DD373C">
        <w:rPr>
          <w:rFonts w:eastAsia="Times New Roman"/>
          <w:sz w:val="24"/>
          <w:szCs w:val="24"/>
          <w:u w:val="single"/>
        </w:rPr>
        <w:t>22.07D:</w:t>
      </w:r>
      <w:r w:rsidRPr="00DD373C">
        <w:rPr>
          <w:sz w:val="24"/>
          <w:szCs w:val="24"/>
        </w:rPr>
        <w:tab/>
      </w:r>
      <w:r w:rsidRPr="00DD373C">
        <w:rPr>
          <w:rFonts w:eastAsia="Times New Roman"/>
          <w:sz w:val="24"/>
          <w:szCs w:val="24"/>
          <w:u w:val="single"/>
        </w:rPr>
        <w:t>Secondary Chemical Standards</w:t>
      </w:r>
    </w:p>
    <w:p w14:paraId="2819F05F" w14:textId="77777777" w:rsidR="004647B9" w:rsidRPr="00DD373C" w:rsidRDefault="004647B9" w:rsidP="003E40F7">
      <w:pPr>
        <w:rPr>
          <w:sz w:val="24"/>
          <w:szCs w:val="24"/>
        </w:rPr>
      </w:pPr>
    </w:p>
    <w:p w14:paraId="2819F060" w14:textId="77777777" w:rsidR="004647B9" w:rsidRPr="00DD373C" w:rsidRDefault="00E2436F" w:rsidP="003E40F7">
      <w:pPr>
        <w:numPr>
          <w:ilvl w:val="0"/>
          <w:numId w:val="276"/>
        </w:numPr>
        <w:tabs>
          <w:tab w:val="left" w:pos="1674"/>
        </w:tabs>
        <w:ind w:left="1200"/>
        <w:rPr>
          <w:rFonts w:eastAsia="Times New Roman"/>
          <w:sz w:val="24"/>
          <w:szCs w:val="24"/>
        </w:rPr>
      </w:pPr>
      <w:r w:rsidRPr="00DD373C">
        <w:rPr>
          <w:rFonts w:eastAsia="Times New Roman"/>
          <w:sz w:val="24"/>
          <w:szCs w:val="24"/>
          <w:u w:val="single"/>
        </w:rPr>
        <w:t>Secondary Contaminants</w:t>
      </w:r>
      <w:r w:rsidRPr="00DD373C">
        <w:rPr>
          <w:rFonts w:eastAsia="Times New Roman"/>
          <w:sz w:val="24"/>
          <w:szCs w:val="24"/>
        </w:rPr>
        <w:t>. The following contaminant levels apply to every public water systems:</w:t>
      </w:r>
    </w:p>
    <w:tbl>
      <w:tblPr>
        <w:tblW w:w="0" w:type="auto"/>
        <w:tblInd w:w="1560" w:type="dxa"/>
        <w:tblLayout w:type="fixed"/>
        <w:tblCellMar>
          <w:left w:w="0" w:type="dxa"/>
          <w:right w:w="0" w:type="dxa"/>
        </w:tblCellMar>
        <w:tblLook w:val="04A0" w:firstRow="1" w:lastRow="0" w:firstColumn="1" w:lastColumn="0" w:noHBand="0" w:noVBand="1"/>
      </w:tblPr>
      <w:tblGrid>
        <w:gridCol w:w="4320"/>
        <w:gridCol w:w="4280"/>
      </w:tblGrid>
      <w:tr w:rsidR="00E33030" w14:paraId="2819F064" w14:textId="77777777" w:rsidTr="0000791C">
        <w:trPr>
          <w:trHeight w:val="246"/>
        </w:trPr>
        <w:tc>
          <w:tcPr>
            <w:tcW w:w="4320" w:type="dxa"/>
            <w:vAlign w:val="bottom"/>
          </w:tcPr>
          <w:p w14:paraId="2819F062" w14:textId="77777777" w:rsidR="00E33030" w:rsidRPr="00E33030" w:rsidRDefault="00E33030" w:rsidP="00E33030">
            <w:pPr>
              <w:spacing w:line="245" w:lineRule="exact"/>
              <w:ind w:left="288"/>
              <w:rPr>
                <w:sz w:val="20"/>
                <w:szCs w:val="20"/>
                <w:u w:val="single"/>
              </w:rPr>
            </w:pPr>
            <w:r w:rsidRPr="00E33030">
              <w:rPr>
                <w:rFonts w:eastAsia="Times New Roman"/>
                <w:sz w:val="24"/>
                <w:szCs w:val="24"/>
                <w:u w:val="single"/>
              </w:rPr>
              <w:t>Contaminant</w:t>
            </w:r>
          </w:p>
        </w:tc>
        <w:tc>
          <w:tcPr>
            <w:tcW w:w="4280" w:type="dxa"/>
            <w:vAlign w:val="center"/>
          </w:tcPr>
          <w:p w14:paraId="2819F063" w14:textId="77777777" w:rsidR="00E33030" w:rsidRPr="00E33030" w:rsidRDefault="00E33030" w:rsidP="0000791C">
            <w:pPr>
              <w:spacing w:line="245" w:lineRule="exact"/>
              <w:ind w:left="1800"/>
              <w:rPr>
                <w:sz w:val="20"/>
                <w:szCs w:val="20"/>
                <w:u w:val="single"/>
              </w:rPr>
            </w:pPr>
            <w:r w:rsidRPr="00E33030">
              <w:rPr>
                <w:rFonts w:eastAsia="Times New Roman"/>
                <w:sz w:val="24"/>
                <w:szCs w:val="24"/>
                <w:u w:val="single"/>
              </w:rPr>
              <w:t>Secondary MCL</w:t>
            </w:r>
          </w:p>
        </w:tc>
      </w:tr>
      <w:tr w:rsidR="00791C03" w14:paraId="2819F069" w14:textId="77777777" w:rsidTr="00791C03">
        <w:trPr>
          <w:trHeight w:val="264"/>
        </w:trPr>
        <w:tc>
          <w:tcPr>
            <w:tcW w:w="4320" w:type="dxa"/>
            <w:vAlign w:val="bottom"/>
          </w:tcPr>
          <w:p w14:paraId="2819F066" w14:textId="55E80947" w:rsidR="00791C03" w:rsidRDefault="00791C03" w:rsidP="00E33030">
            <w:pPr>
              <w:spacing w:line="264" w:lineRule="exact"/>
              <w:rPr>
                <w:sz w:val="20"/>
                <w:szCs w:val="20"/>
              </w:rPr>
            </w:pPr>
            <w:r>
              <w:rPr>
                <w:rFonts w:eastAsia="Times New Roman"/>
                <w:sz w:val="24"/>
                <w:szCs w:val="24"/>
              </w:rPr>
              <w:t>(a) Aluminum</w:t>
            </w:r>
          </w:p>
        </w:tc>
        <w:tc>
          <w:tcPr>
            <w:tcW w:w="4280" w:type="dxa"/>
            <w:vAlign w:val="center"/>
          </w:tcPr>
          <w:p w14:paraId="2819F068" w14:textId="7B011D21" w:rsidR="00791C03" w:rsidRDefault="00791C03" w:rsidP="00791C03">
            <w:pPr>
              <w:ind w:left="1800"/>
            </w:pPr>
            <w:r>
              <w:rPr>
                <w:rFonts w:eastAsia="Times New Roman"/>
                <w:sz w:val="24"/>
                <w:szCs w:val="24"/>
              </w:rPr>
              <w:t>0.05 to 0.2 mg/l</w:t>
            </w:r>
          </w:p>
        </w:tc>
      </w:tr>
      <w:tr w:rsidR="004647B9" w14:paraId="2819F06C" w14:textId="77777777" w:rsidTr="0000791C">
        <w:trPr>
          <w:trHeight w:val="278"/>
        </w:trPr>
        <w:tc>
          <w:tcPr>
            <w:tcW w:w="4320" w:type="dxa"/>
            <w:vAlign w:val="bottom"/>
          </w:tcPr>
          <w:p w14:paraId="2819F06A" w14:textId="77777777" w:rsidR="004647B9" w:rsidRDefault="00E2436F">
            <w:pPr>
              <w:rPr>
                <w:sz w:val="20"/>
                <w:szCs w:val="20"/>
              </w:rPr>
            </w:pPr>
            <w:r>
              <w:rPr>
                <w:rFonts w:eastAsia="Times New Roman"/>
                <w:sz w:val="24"/>
                <w:szCs w:val="24"/>
              </w:rPr>
              <w:t>(b) Chloride</w:t>
            </w:r>
          </w:p>
        </w:tc>
        <w:tc>
          <w:tcPr>
            <w:tcW w:w="4280" w:type="dxa"/>
            <w:vAlign w:val="center"/>
          </w:tcPr>
          <w:p w14:paraId="2819F06B" w14:textId="77777777" w:rsidR="004647B9" w:rsidRDefault="00E2436F" w:rsidP="0000791C">
            <w:pPr>
              <w:ind w:left="1800"/>
              <w:rPr>
                <w:sz w:val="20"/>
                <w:szCs w:val="20"/>
              </w:rPr>
            </w:pPr>
            <w:r>
              <w:rPr>
                <w:rFonts w:eastAsia="Times New Roman"/>
                <w:sz w:val="24"/>
                <w:szCs w:val="24"/>
              </w:rPr>
              <w:t>250 mg/l</w:t>
            </w:r>
          </w:p>
        </w:tc>
      </w:tr>
      <w:tr w:rsidR="004647B9" w14:paraId="2819F06F" w14:textId="77777777" w:rsidTr="0000791C">
        <w:trPr>
          <w:trHeight w:val="281"/>
        </w:trPr>
        <w:tc>
          <w:tcPr>
            <w:tcW w:w="4320" w:type="dxa"/>
            <w:vAlign w:val="bottom"/>
          </w:tcPr>
          <w:p w14:paraId="2819F06D" w14:textId="77777777" w:rsidR="004647B9" w:rsidRDefault="00E2436F">
            <w:pPr>
              <w:rPr>
                <w:sz w:val="20"/>
                <w:szCs w:val="20"/>
              </w:rPr>
            </w:pPr>
            <w:r>
              <w:rPr>
                <w:rFonts w:eastAsia="Times New Roman"/>
                <w:sz w:val="24"/>
                <w:szCs w:val="24"/>
              </w:rPr>
              <w:t>(c) Color</w:t>
            </w:r>
          </w:p>
        </w:tc>
        <w:tc>
          <w:tcPr>
            <w:tcW w:w="4280" w:type="dxa"/>
            <w:vAlign w:val="center"/>
          </w:tcPr>
          <w:p w14:paraId="2819F06E" w14:textId="77777777" w:rsidR="004647B9" w:rsidRDefault="00E2436F" w:rsidP="0000791C">
            <w:pPr>
              <w:ind w:left="1800"/>
              <w:rPr>
                <w:sz w:val="20"/>
                <w:szCs w:val="20"/>
              </w:rPr>
            </w:pPr>
            <w:r>
              <w:rPr>
                <w:rFonts w:eastAsia="Times New Roman"/>
                <w:sz w:val="24"/>
                <w:szCs w:val="24"/>
              </w:rPr>
              <w:t>15 Color Units</w:t>
            </w:r>
          </w:p>
        </w:tc>
      </w:tr>
      <w:tr w:rsidR="004647B9" w14:paraId="2819F072" w14:textId="77777777" w:rsidTr="0000791C">
        <w:trPr>
          <w:trHeight w:val="278"/>
        </w:trPr>
        <w:tc>
          <w:tcPr>
            <w:tcW w:w="4320" w:type="dxa"/>
            <w:vAlign w:val="bottom"/>
          </w:tcPr>
          <w:p w14:paraId="2819F070" w14:textId="77777777" w:rsidR="004647B9" w:rsidRDefault="00E2436F">
            <w:pPr>
              <w:rPr>
                <w:sz w:val="20"/>
                <w:szCs w:val="20"/>
              </w:rPr>
            </w:pPr>
            <w:r>
              <w:rPr>
                <w:rFonts w:eastAsia="Times New Roman"/>
                <w:sz w:val="24"/>
                <w:szCs w:val="24"/>
              </w:rPr>
              <w:t>(d) Copper</w:t>
            </w:r>
          </w:p>
        </w:tc>
        <w:tc>
          <w:tcPr>
            <w:tcW w:w="4280" w:type="dxa"/>
            <w:vAlign w:val="center"/>
          </w:tcPr>
          <w:p w14:paraId="2819F071" w14:textId="77777777" w:rsidR="004647B9" w:rsidRDefault="00E2436F" w:rsidP="0000791C">
            <w:pPr>
              <w:ind w:left="1800"/>
              <w:rPr>
                <w:sz w:val="20"/>
                <w:szCs w:val="20"/>
              </w:rPr>
            </w:pPr>
            <w:r>
              <w:rPr>
                <w:rFonts w:eastAsia="Times New Roman"/>
                <w:sz w:val="24"/>
                <w:szCs w:val="24"/>
              </w:rPr>
              <w:t>1 mg/l</w:t>
            </w:r>
          </w:p>
        </w:tc>
      </w:tr>
      <w:tr w:rsidR="004647B9" w14:paraId="2819F075" w14:textId="77777777" w:rsidTr="0000791C">
        <w:trPr>
          <w:trHeight w:val="281"/>
        </w:trPr>
        <w:tc>
          <w:tcPr>
            <w:tcW w:w="4320" w:type="dxa"/>
            <w:vAlign w:val="bottom"/>
          </w:tcPr>
          <w:p w14:paraId="2819F073" w14:textId="77777777" w:rsidR="004647B9" w:rsidRDefault="00E2436F">
            <w:pPr>
              <w:rPr>
                <w:sz w:val="20"/>
                <w:szCs w:val="20"/>
              </w:rPr>
            </w:pPr>
            <w:r>
              <w:rPr>
                <w:rFonts w:eastAsia="Times New Roman"/>
                <w:sz w:val="24"/>
                <w:szCs w:val="24"/>
              </w:rPr>
              <w:t>(e) Corrosivity</w:t>
            </w:r>
          </w:p>
        </w:tc>
        <w:tc>
          <w:tcPr>
            <w:tcW w:w="4280" w:type="dxa"/>
            <w:vAlign w:val="center"/>
          </w:tcPr>
          <w:p w14:paraId="2819F074" w14:textId="77777777" w:rsidR="004647B9" w:rsidRDefault="00E2436F" w:rsidP="0000791C">
            <w:pPr>
              <w:ind w:left="1800"/>
              <w:rPr>
                <w:sz w:val="20"/>
                <w:szCs w:val="20"/>
              </w:rPr>
            </w:pPr>
            <w:r>
              <w:rPr>
                <w:rFonts w:eastAsia="Times New Roman"/>
                <w:sz w:val="24"/>
                <w:szCs w:val="24"/>
              </w:rPr>
              <w:t>Non-corrosive</w:t>
            </w:r>
          </w:p>
        </w:tc>
      </w:tr>
      <w:tr w:rsidR="004647B9" w14:paraId="2819F078" w14:textId="77777777" w:rsidTr="0000791C">
        <w:trPr>
          <w:trHeight w:val="278"/>
        </w:trPr>
        <w:tc>
          <w:tcPr>
            <w:tcW w:w="4320" w:type="dxa"/>
            <w:vAlign w:val="bottom"/>
          </w:tcPr>
          <w:p w14:paraId="2819F076" w14:textId="05F33061" w:rsidR="004647B9" w:rsidRDefault="00E2436F">
            <w:pPr>
              <w:rPr>
                <w:sz w:val="20"/>
                <w:szCs w:val="20"/>
              </w:rPr>
            </w:pPr>
            <w:r>
              <w:rPr>
                <w:rFonts w:eastAsia="Times New Roman"/>
                <w:sz w:val="24"/>
                <w:szCs w:val="24"/>
              </w:rPr>
              <w:t>(f) Fluoride</w:t>
            </w:r>
          </w:p>
        </w:tc>
        <w:tc>
          <w:tcPr>
            <w:tcW w:w="4280" w:type="dxa"/>
            <w:vAlign w:val="center"/>
          </w:tcPr>
          <w:p w14:paraId="2819F077" w14:textId="77777777" w:rsidR="004647B9" w:rsidRDefault="00E2436F" w:rsidP="0000791C">
            <w:pPr>
              <w:ind w:left="1800"/>
              <w:rPr>
                <w:sz w:val="20"/>
                <w:szCs w:val="20"/>
              </w:rPr>
            </w:pPr>
            <w:r>
              <w:rPr>
                <w:rFonts w:eastAsia="Times New Roman"/>
                <w:sz w:val="24"/>
                <w:szCs w:val="24"/>
              </w:rPr>
              <w:t>2.0 mg/l</w:t>
            </w:r>
          </w:p>
        </w:tc>
      </w:tr>
      <w:tr w:rsidR="004647B9" w14:paraId="2819F07B" w14:textId="77777777" w:rsidTr="0000791C">
        <w:trPr>
          <w:trHeight w:val="281"/>
        </w:trPr>
        <w:tc>
          <w:tcPr>
            <w:tcW w:w="4320" w:type="dxa"/>
            <w:vAlign w:val="bottom"/>
          </w:tcPr>
          <w:p w14:paraId="2819F079" w14:textId="77777777" w:rsidR="004647B9" w:rsidRDefault="00E2436F">
            <w:pPr>
              <w:rPr>
                <w:sz w:val="20"/>
                <w:szCs w:val="20"/>
              </w:rPr>
            </w:pPr>
            <w:r>
              <w:rPr>
                <w:rFonts w:eastAsia="Times New Roman"/>
                <w:sz w:val="24"/>
                <w:szCs w:val="24"/>
              </w:rPr>
              <w:t>(g) Foaming Agents</w:t>
            </w:r>
          </w:p>
        </w:tc>
        <w:tc>
          <w:tcPr>
            <w:tcW w:w="4280" w:type="dxa"/>
            <w:vAlign w:val="center"/>
          </w:tcPr>
          <w:p w14:paraId="2819F07A" w14:textId="77777777" w:rsidR="004647B9" w:rsidRDefault="00E2436F" w:rsidP="0000791C">
            <w:pPr>
              <w:ind w:left="1800"/>
              <w:rPr>
                <w:sz w:val="20"/>
                <w:szCs w:val="20"/>
              </w:rPr>
            </w:pPr>
            <w:r>
              <w:rPr>
                <w:rFonts w:eastAsia="Times New Roman"/>
                <w:sz w:val="24"/>
                <w:szCs w:val="24"/>
              </w:rPr>
              <w:t>0.5 mg/l</w:t>
            </w:r>
          </w:p>
        </w:tc>
      </w:tr>
      <w:tr w:rsidR="004647B9" w14:paraId="2819F07E" w14:textId="77777777" w:rsidTr="0000791C">
        <w:trPr>
          <w:trHeight w:val="278"/>
        </w:trPr>
        <w:tc>
          <w:tcPr>
            <w:tcW w:w="4320" w:type="dxa"/>
            <w:vAlign w:val="bottom"/>
          </w:tcPr>
          <w:p w14:paraId="2819F07C" w14:textId="77777777" w:rsidR="004647B9" w:rsidRDefault="00E2436F">
            <w:pPr>
              <w:rPr>
                <w:sz w:val="20"/>
                <w:szCs w:val="20"/>
              </w:rPr>
            </w:pPr>
            <w:r>
              <w:rPr>
                <w:rFonts w:eastAsia="Times New Roman"/>
                <w:sz w:val="24"/>
                <w:szCs w:val="24"/>
              </w:rPr>
              <w:t>(h) Iron</w:t>
            </w:r>
          </w:p>
        </w:tc>
        <w:tc>
          <w:tcPr>
            <w:tcW w:w="4280" w:type="dxa"/>
            <w:vAlign w:val="center"/>
          </w:tcPr>
          <w:p w14:paraId="2819F07D" w14:textId="77777777" w:rsidR="004647B9" w:rsidRDefault="00E2436F" w:rsidP="0000791C">
            <w:pPr>
              <w:ind w:left="1800"/>
              <w:rPr>
                <w:sz w:val="20"/>
                <w:szCs w:val="20"/>
              </w:rPr>
            </w:pPr>
            <w:r>
              <w:rPr>
                <w:rFonts w:eastAsia="Times New Roman"/>
                <w:sz w:val="24"/>
                <w:szCs w:val="24"/>
              </w:rPr>
              <w:t>0.3 mg/l</w:t>
            </w:r>
          </w:p>
        </w:tc>
      </w:tr>
      <w:tr w:rsidR="004647B9" w14:paraId="2819F081" w14:textId="77777777" w:rsidTr="0000791C">
        <w:trPr>
          <w:trHeight w:val="281"/>
        </w:trPr>
        <w:tc>
          <w:tcPr>
            <w:tcW w:w="4320" w:type="dxa"/>
            <w:vAlign w:val="bottom"/>
          </w:tcPr>
          <w:p w14:paraId="2819F07F" w14:textId="5D93B3D5" w:rsidR="004647B9" w:rsidRDefault="00E2436F">
            <w:pPr>
              <w:rPr>
                <w:sz w:val="20"/>
                <w:szCs w:val="20"/>
              </w:rPr>
            </w:pPr>
            <w:r>
              <w:rPr>
                <w:rFonts w:eastAsia="Times New Roman"/>
                <w:sz w:val="24"/>
                <w:szCs w:val="24"/>
              </w:rPr>
              <w:t>(i) Manganese</w:t>
            </w:r>
          </w:p>
        </w:tc>
        <w:tc>
          <w:tcPr>
            <w:tcW w:w="4280" w:type="dxa"/>
            <w:vAlign w:val="center"/>
          </w:tcPr>
          <w:p w14:paraId="2819F080" w14:textId="77777777" w:rsidR="004647B9" w:rsidRDefault="00E2436F" w:rsidP="0000791C">
            <w:pPr>
              <w:ind w:left="1800"/>
              <w:rPr>
                <w:sz w:val="20"/>
                <w:szCs w:val="20"/>
              </w:rPr>
            </w:pPr>
            <w:r>
              <w:rPr>
                <w:rFonts w:eastAsia="Times New Roman"/>
                <w:sz w:val="24"/>
                <w:szCs w:val="24"/>
              </w:rPr>
              <w:t>0.05 mg/l</w:t>
            </w:r>
          </w:p>
        </w:tc>
      </w:tr>
      <w:tr w:rsidR="004647B9" w14:paraId="2819F084" w14:textId="77777777" w:rsidTr="0000791C">
        <w:trPr>
          <w:trHeight w:val="278"/>
        </w:trPr>
        <w:tc>
          <w:tcPr>
            <w:tcW w:w="4320" w:type="dxa"/>
            <w:vAlign w:val="bottom"/>
          </w:tcPr>
          <w:p w14:paraId="2819F082" w14:textId="77777777" w:rsidR="004647B9" w:rsidRDefault="00E2436F">
            <w:pPr>
              <w:rPr>
                <w:sz w:val="20"/>
                <w:szCs w:val="20"/>
              </w:rPr>
            </w:pPr>
            <w:r>
              <w:rPr>
                <w:rFonts w:eastAsia="Times New Roman"/>
                <w:sz w:val="24"/>
                <w:szCs w:val="24"/>
              </w:rPr>
              <w:t>(j) Odor</w:t>
            </w:r>
          </w:p>
        </w:tc>
        <w:tc>
          <w:tcPr>
            <w:tcW w:w="4280" w:type="dxa"/>
            <w:vAlign w:val="center"/>
          </w:tcPr>
          <w:p w14:paraId="2819F083" w14:textId="77777777" w:rsidR="004647B9" w:rsidRDefault="00E2436F" w:rsidP="0000791C">
            <w:pPr>
              <w:ind w:left="1800"/>
              <w:rPr>
                <w:sz w:val="20"/>
                <w:szCs w:val="20"/>
              </w:rPr>
            </w:pPr>
            <w:r>
              <w:rPr>
                <w:rFonts w:eastAsia="Times New Roman"/>
                <w:w w:val="98"/>
                <w:sz w:val="24"/>
                <w:szCs w:val="24"/>
              </w:rPr>
              <w:t>3 Threshold Unit Number</w:t>
            </w:r>
          </w:p>
        </w:tc>
      </w:tr>
      <w:tr w:rsidR="004647B9" w14:paraId="2819F087" w14:textId="77777777" w:rsidTr="0000791C">
        <w:trPr>
          <w:trHeight w:val="281"/>
        </w:trPr>
        <w:tc>
          <w:tcPr>
            <w:tcW w:w="4320" w:type="dxa"/>
            <w:vAlign w:val="bottom"/>
          </w:tcPr>
          <w:p w14:paraId="2819F085" w14:textId="77777777" w:rsidR="004647B9" w:rsidRDefault="00E2436F">
            <w:pPr>
              <w:rPr>
                <w:sz w:val="20"/>
                <w:szCs w:val="20"/>
              </w:rPr>
            </w:pPr>
            <w:r>
              <w:rPr>
                <w:rFonts w:eastAsia="Times New Roman"/>
                <w:sz w:val="24"/>
                <w:szCs w:val="24"/>
              </w:rPr>
              <w:t>(k) pH</w:t>
            </w:r>
          </w:p>
        </w:tc>
        <w:tc>
          <w:tcPr>
            <w:tcW w:w="4280" w:type="dxa"/>
            <w:vAlign w:val="center"/>
          </w:tcPr>
          <w:p w14:paraId="2819F086" w14:textId="77777777" w:rsidR="004647B9" w:rsidRDefault="00E2436F" w:rsidP="0000791C">
            <w:pPr>
              <w:ind w:left="1800"/>
              <w:rPr>
                <w:sz w:val="20"/>
                <w:szCs w:val="20"/>
              </w:rPr>
            </w:pPr>
            <w:r>
              <w:rPr>
                <w:rFonts w:eastAsia="Times New Roman"/>
                <w:sz w:val="24"/>
                <w:szCs w:val="24"/>
              </w:rPr>
              <w:t>6.5 – 8.5</w:t>
            </w:r>
          </w:p>
        </w:tc>
      </w:tr>
      <w:tr w:rsidR="004647B9" w14:paraId="2819F08A" w14:textId="77777777" w:rsidTr="0000791C">
        <w:trPr>
          <w:trHeight w:val="278"/>
        </w:trPr>
        <w:tc>
          <w:tcPr>
            <w:tcW w:w="4320" w:type="dxa"/>
            <w:vAlign w:val="bottom"/>
          </w:tcPr>
          <w:p w14:paraId="2819F088" w14:textId="0666CDDF" w:rsidR="004647B9" w:rsidRDefault="00E2436F">
            <w:pPr>
              <w:rPr>
                <w:sz w:val="20"/>
                <w:szCs w:val="20"/>
              </w:rPr>
            </w:pPr>
            <w:r>
              <w:rPr>
                <w:rFonts w:eastAsia="Times New Roman"/>
                <w:sz w:val="24"/>
                <w:szCs w:val="24"/>
              </w:rPr>
              <w:t>(l) Silver</w:t>
            </w:r>
          </w:p>
        </w:tc>
        <w:tc>
          <w:tcPr>
            <w:tcW w:w="4280" w:type="dxa"/>
            <w:vAlign w:val="center"/>
          </w:tcPr>
          <w:p w14:paraId="2819F089" w14:textId="77777777" w:rsidR="004647B9" w:rsidRDefault="00E2436F" w:rsidP="0000791C">
            <w:pPr>
              <w:ind w:left="1800"/>
              <w:rPr>
                <w:sz w:val="20"/>
                <w:szCs w:val="20"/>
              </w:rPr>
            </w:pPr>
            <w:r>
              <w:rPr>
                <w:rFonts w:eastAsia="Times New Roman"/>
                <w:sz w:val="24"/>
                <w:szCs w:val="24"/>
              </w:rPr>
              <w:t>0.10 mg/l</w:t>
            </w:r>
          </w:p>
        </w:tc>
      </w:tr>
      <w:tr w:rsidR="004647B9" w14:paraId="2819F08D" w14:textId="77777777" w:rsidTr="0000791C">
        <w:trPr>
          <w:trHeight w:val="281"/>
        </w:trPr>
        <w:tc>
          <w:tcPr>
            <w:tcW w:w="4320" w:type="dxa"/>
            <w:vAlign w:val="bottom"/>
          </w:tcPr>
          <w:p w14:paraId="2819F08B" w14:textId="77777777" w:rsidR="004647B9" w:rsidRDefault="00E2436F">
            <w:pPr>
              <w:rPr>
                <w:sz w:val="20"/>
                <w:szCs w:val="20"/>
              </w:rPr>
            </w:pPr>
            <w:r>
              <w:rPr>
                <w:rFonts w:eastAsia="Times New Roman"/>
                <w:sz w:val="24"/>
                <w:szCs w:val="24"/>
              </w:rPr>
              <w:t>(m) Sulfate</w:t>
            </w:r>
          </w:p>
        </w:tc>
        <w:tc>
          <w:tcPr>
            <w:tcW w:w="4280" w:type="dxa"/>
            <w:vAlign w:val="center"/>
          </w:tcPr>
          <w:p w14:paraId="2819F08C" w14:textId="77777777" w:rsidR="004647B9" w:rsidRDefault="00E2436F" w:rsidP="0000791C">
            <w:pPr>
              <w:ind w:left="1800"/>
              <w:rPr>
                <w:sz w:val="20"/>
                <w:szCs w:val="20"/>
              </w:rPr>
            </w:pPr>
            <w:r>
              <w:rPr>
                <w:rFonts w:eastAsia="Times New Roman"/>
                <w:sz w:val="24"/>
                <w:szCs w:val="24"/>
              </w:rPr>
              <w:t>250 mg/l</w:t>
            </w:r>
          </w:p>
        </w:tc>
      </w:tr>
      <w:tr w:rsidR="004647B9" w14:paraId="2819F090" w14:textId="77777777" w:rsidTr="0000791C">
        <w:trPr>
          <w:trHeight w:val="278"/>
        </w:trPr>
        <w:tc>
          <w:tcPr>
            <w:tcW w:w="4320" w:type="dxa"/>
            <w:vAlign w:val="bottom"/>
          </w:tcPr>
          <w:p w14:paraId="2819F08E" w14:textId="77777777" w:rsidR="004647B9" w:rsidRDefault="00E2436F">
            <w:pPr>
              <w:rPr>
                <w:sz w:val="20"/>
                <w:szCs w:val="20"/>
              </w:rPr>
            </w:pPr>
            <w:r>
              <w:rPr>
                <w:rFonts w:eastAsia="Times New Roman"/>
                <w:sz w:val="24"/>
                <w:szCs w:val="24"/>
              </w:rPr>
              <w:t>(n) Total Dissolved Solids</w:t>
            </w:r>
          </w:p>
        </w:tc>
        <w:tc>
          <w:tcPr>
            <w:tcW w:w="4280" w:type="dxa"/>
            <w:vAlign w:val="center"/>
          </w:tcPr>
          <w:p w14:paraId="2819F08F" w14:textId="77777777" w:rsidR="004647B9" w:rsidRDefault="00E2436F" w:rsidP="0000791C">
            <w:pPr>
              <w:ind w:left="1800"/>
              <w:rPr>
                <w:sz w:val="20"/>
                <w:szCs w:val="20"/>
              </w:rPr>
            </w:pPr>
            <w:r>
              <w:rPr>
                <w:rFonts w:eastAsia="Times New Roman"/>
                <w:sz w:val="24"/>
                <w:szCs w:val="24"/>
              </w:rPr>
              <w:t>500 mg/l</w:t>
            </w:r>
          </w:p>
        </w:tc>
      </w:tr>
      <w:tr w:rsidR="004647B9" w14:paraId="2819F093" w14:textId="77777777" w:rsidTr="0000791C">
        <w:trPr>
          <w:trHeight w:val="312"/>
        </w:trPr>
        <w:tc>
          <w:tcPr>
            <w:tcW w:w="4320" w:type="dxa"/>
            <w:vAlign w:val="bottom"/>
          </w:tcPr>
          <w:p w14:paraId="2819F091" w14:textId="30F48F2C" w:rsidR="004647B9" w:rsidRDefault="00E2436F">
            <w:pPr>
              <w:rPr>
                <w:sz w:val="20"/>
                <w:szCs w:val="20"/>
              </w:rPr>
            </w:pPr>
            <w:r>
              <w:rPr>
                <w:rFonts w:eastAsia="Times New Roman"/>
                <w:sz w:val="24"/>
                <w:szCs w:val="24"/>
              </w:rPr>
              <w:t>(o) Zinc</w:t>
            </w:r>
          </w:p>
        </w:tc>
        <w:tc>
          <w:tcPr>
            <w:tcW w:w="4280" w:type="dxa"/>
            <w:vAlign w:val="center"/>
          </w:tcPr>
          <w:p w14:paraId="2819F092" w14:textId="77777777" w:rsidR="004647B9" w:rsidRDefault="00E2436F" w:rsidP="0000791C">
            <w:pPr>
              <w:ind w:left="1800"/>
              <w:rPr>
                <w:sz w:val="20"/>
                <w:szCs w:val="20"/>
              </w:rPr>
            </w:pPr>
            <w:r>
              <w:rPr>
                <w:rFonts w:eastAsia="Times New Roman"/>
                <w:sz w:val="24"/>
                <w:szCs w:val="24"/>
              </w:rPr>
              <w:t>5 mg/l</w:t>
            </w:r>
          </w:p>
        </w:tc>
      </w:tr>
    </w:tbl>
    <w:p w14:paraId="2819F094" w14:textId="77777777" w:rsidR="004647B9" w:rsidRPr="003E40F7" w:rsidRDefault="004647B9" w:rsidP="003E40F7">
      <w:pPr>
        <w:rPr>
          <w:sz w:val="24"/>
          <w:szCs w:val="24"/>
        </w:rPr>
      </w:pPr>
    </w:p>
    <w:p w14:paraId="2819F095" w14:textId="77777777" w:rsidR="004647B9" w:rsidRPr="00DD373C" w:rsidRDefault="00E2436F" w:rsidP="003E40F7">
      <w:pPr>
        <w:numPr>
          <w:ilvl w:val="0"/>
          <w:numId w:val="277"/>
        </w:numPr>
        <w:tabs>
          <w:tab w:val="left" w:pos="1646"/>
        </w:tabs>
        <w:ind w:left="1200"/>
        <w:rPr>
          <w:rFonts w:eastAsia="Times New Roman"/>
          <w:sz w:val="24"/>
          <w:szCs w:val="24"/>
        </w:rPr>
      </w:pPr>
      <w:r w:rsidRPr="00DD373C">
        <w:rPr>
          <w:rFonts w:eastAsia="Times New Roman"/>
          <w:sz w:val="24"/>
          <w:szCs w:val="24"/>
          <w:u w:val="single"/>
        </w:rPr>
        <w:t>Monitoring for Secondary Contaminants</w:t>
      </w:r>
      <w:r w:rsidRPr="00DD373C">
        <w:rPr>
          <w:rFonts w:eastAsia="Times New Roman"/>
          <w:sz w:val="24"/>
          <w:szCs w:val="24"/>
        </w:rPr>
        <w:t>. The monitoring frequency for the contaminants listed in 310 CMR 22.07D(1) is at the discretion of the Department.</w:t>
      </w:r>
    </w:p>
    <w:p w14:paraId="2819F096" w14:textId="77777777" w:rsidR="004647B9" w:rsidRPr="00DD373C" w:rsidRDefault="004647B9" w:rsidP="003E40F7">
      <w:pPr>
        <w:rPr>
          <w:rFonts w:eastAsia="Times New Roman"/>
          <w:sz w:val="24"/>
          <w:szCs w:val="24"/>
        </w:rPr>
      </w:pPr>
    </w:p>
    <w:p w14:paraId="2819F097" w14:textId="77777777" w:rsidR="004647B9" w:rsidRPr="00DD373C" w:rsidRDefault="00E2436F" w:rsidP="003E40F7">
      <w:pPr>
        <w:numPr>
          <w:ilvl w:val="0"/>
          <w:numId w:val="277"/>
        </w:numPr>
        <w:tabs>
          <w:tab w:val="left" w:pos="1663"/>
        </w:tabs>
        <w:ind w:left="1200"/>
        <w:jc w:val="both"/>
        <w:rPr>
          <w:rFonts w:eastAsia="Times New Roman"/>
          <w:sz w:val="24"/>
          <w:szCs w:val="24"/>
        </w:rPr>
      </w:pPr>
      <w:r w:rsidRPr="00DD373C">
        <w:rPr>
          <w:rFonts w:eastAsia="Times New Roman"/>
          <w:sz w:val="24"/>
          <w:szCs w:val="24"/>
          <w:u w:val="single"/>
        </w:rPr>
        <w:t>Exceeding a Secondary Maximum Contaminant Level</w:t>
      </w:r>
      <w:r w:rsidRPr="00DD373C">
        <w:rPr>
          <w:rFonts w:eastAsia="Times New Roman"/>
          <w:sz w:val="24"/>
          <w:szCs w:val="24"/>
        </w:rPr>
        <w:t>. If the Department finds based on a health evaluation by the Department's Office of Research and Standards, that an SMCL exceedance, acting alone or in combination with other contaminants, poses an unacceptable health risk to consumers, the public water system shall take all actions necessary to reduce the SMCL concentrations to levels the Department deems safe by the deadline specified by the Department. Such public water system shall also monitor the water and provide public notice as directed by the Department and notify the Department in writing of its proposed actions.</w:t>
      </w:r>
    </w:p>
    <w:p w14:paraId="2819F098" w14:textId="77777777" w:rsidR="004647B9" w:rsidRPr="00DD373C" w:rsidRDefault="004647B9" w:rsidP="003E40F7">
      <w:pPr>
        <w:rPr>
          <w:rFonts w:eastAsia="Times New Roman"/>
          <w:sz w:val="24"/>
          <w:szCs w:val="24"/>
        </w:rPr>
      </w:pPr>
    </w:p>
    <w:p w14:paraId="2819F099" w14:textId="77777777" w:rsidR="004647B9" w:rsidRPr="00DD373C" w:rsidRDefault="00E2436F" w:rsidP="003E40F7">
      <w:pPr>
        <w:numPr>
          <w:ilvl w:val="0"/>
          <w:numId w:val="277"/>
        </w:numPr>
        <w:tabs>
          <w:tab w:val="left" w:pos="1854"/>
        </w:tabs>
        <w:ind w:left="1200"/>
        <w:rPr>
          <w:rFonts w:eastAsia="Times New Roman"/>
          <w:sz w:val="24"/>
          <w:szCs w:val="24"/>
        </w:rPr>
      </w:pPr>
      <w:r w:rsidRPr="00DD373C">
        <w:rPr>
          <w:rFonts w:eastAsia="Times New Roman"/>
          <w:sz w:val="24"/>
          <w:szCs w:val="24"/>
        </w:rPr>
        <w:t>The analytical methods for Secondary Contaminants are available in the Federal Register/Vol.72, No. 47/March 12, 2007.</w:t>
      </w:r>
    </w:p>
    <w:p w14:paraId="2819F09A" w14:textId="77777777" w:rsidR="004647B9" w:rsidRPr="00DD373C" w:rsidRDefault="004647B9" w:rsidP="003E40F7">
      <w:pPr>
        <w:rPr>
          <w:sz w:val="24"/>
          <w:szCs w:val="24"/>
        </w:rPr>
      </w:pPr>
    </w:p>
    <w:p w14:paraId="2819F09B" w14:textId="77777777" w:rsidR="004647B9" w:rsidRPr="00DD373C" w:rsidRDefault="00E2436F" w:rsidP="003E40F7">
      <w:pPr>
        <w:tabs>
          <w:tab w:val="left" w:pos="920"/>
        </w:tabs>
        <w:rPr>
          <w:sz w:val="24"/>
          <w:szCs w:val="24"/>
        </w:rPr>
      </w:pPr>
      <w:r w:rsidRPr="00DD373C">
        <w:rPr>
          <w:rFonts w:eastAsia="Times New Roman"/>
          <w:sz w:val="24"/>
          <w:szCs w:val="24"/>
          <w:u w:val="single"/>
        </w:rPr>
        <w:t>22.07E:</w:t>
      </w:r>
      <w:r w:rsidRPr="00DD373C">
        <w:rPr>
          <w:sz w:val="24"/>
          <w:szCs w:val="24"/>
        </w:rPr>
        <w:tab/>
      </w:r>
      <w:r w:rsidRPr="00DD373C">
        <w:rPr>
          <w:rFonts w:eastAsia="Times New Roman"/>
          <w:sz w:val="24"/>
          <w:szCs w:val="24"/>
          <w:u w:val="single"/>
        </w:rPr>
        <w:t>Disinfection Byproducts, Disinfectant Residuals and Disinfection Byproduct Precursors</w:t>
      </w:r>
    </w:p>
    <w:p w14:paraId="2819F09C" w14:textId="77777777" w:rsidR="004647B9" w:rsidRPr="00DD373C" w:rsidRDefault="004647B9" w:rsidP="003E40F7">
      <w:pPr>
        <w:rPr>
          <w:sz w:val="24"/>
          <w:szCs w:val="24"/>
        </w:rPr>
      </w:pPr>
    </w:p>
    <w:p w14:paraId="2819F09D" w14:textId="77777777" w:rsidR="004647B9" w:rsidRPr="00DD373C" w:rsidRDefault="00E2436F" w:rsidP="003E40F7">
      <w:pPr>
        <w:numPr>
          <w:ilvl w:val="0"/>
          <w:numId w:val="278"/>
        </w:numPr>
        <w:tabs>
          <w:tab w:val="left" w:pos="1658"/>
        </w:tabs>
        <w:ind w:left="1200"/>
        <w:jc w:val="both"/>
        <w:rPr>
          <w:rFonts w:eastAsia="Times New Roman"/>
          <w:sz w:val="24"/>
          <w:szCs w:val="24"/>
        </w:rPr>
      </w:pPr>
      <w:r w:rsidRPr="00DD373C">
        <w:rPr>
          <w:rFonts w:eastAsia="Times New Roman"/>
          <w:sz w:val="24"/>
          <w:szCs w:val="24"/>
          <w:u w:val="single"/>
        </w:rPr>
        <w:t>MCLs for Disinfection Byproducts</w:t>
      </w:r>
      <w:r w:rsidRPr="00DD373C">
        <w:rPr>
          <w:rFonts w:eastAsia="Times New Roman"/>
          <w:sz w:val="24"/>
          <w:szCs w:val="24"/>
        </w:rPr>
        <w:t>. The Maximum Contaminant Levels for Disinfection byproducts of 310 CMR 22.07E apply only to Community Water Systems and Non-transient Non-community Water Systems which add a chemical Disinfectant (oxidant) to the water in any part of the drinking water treatment process. The MCLs are as follows:</w:t>
      </w:r>
    </w:p>
    <w:p w14:paraId="2819F09E" w14:textId="77777777" w:rsidR="004647B9" w:rsidRPr="003E40F7" w:rsidRDefault="004647B9">
      <w:pPr>
        <w:spacing w:line="230" w:lineRule="exact"/>
        <w:rPr>
          <w:sz w:val="24"/>
          <w:szCs w:val="24"/>
        </w:rPr>
      </w:pPr>
    </w:p>
    <w:tbl>
      <w:tblPr>
        <w:tblW w:w="0" w:type="auto"/>
        <w:tblInd w:w="1560" w:type="dxa"/>
        <w:tblLayout w:type="fixed"/>
        <w:tblCellMar>
          <w:left w:w="0" w:type="dxa"/>
          <w:right w:w="0" w:type="dxa"/>
        </w:tblCellMar>
        <w:tblLook w:val="04A0" w:firstRow="1" w:lastRow="0" w:firstColumn="1" w:lastColumn="0" w:noHBand="0" w:noVBand="1"/>
      </w:tblPr>
      <w:tblGrid>
        <w:gridCol w:w="4580"/>
        <w:gridCol w:w="1200"/>
      </w:tblGrid>
      <w:tr w:rsidR="004647B9" w14:paraId="2819F0A1" w14:textId="77777777">
        <w:trPr>
          <w:trHeight w:val="276"/>
        </w:trPr>
        <w:tc>
          <w:tcPr>
            <w:tcW w:w="4580" w:type="dxa"/>
            <w:vAlign w:val="bottom"/>
          </w:tcPr>
          <w:p w14:paraId="2819F09F" w14:textId="77777777" w:rsidR="004647B9" w:rsidRPr="0000791C" w:rsidRDefault="00E2436F">
            <w:pPr>
              <w:rPr>
                <w:sz w:val="20"/>
                <w:szCs w:val="20"/>
                <w:u w:val="single"/>
              </w:rPr>
            </w:pPr>
            <w:r w:rsidRPr="0000791C">
              <w:rPr>
                <w:rFonts w:eastAsia="Times New Roman"/>
                <w:sz w:val="24"/>
                <w:szCs w:val="24"/>
                <w:u w:val="single"/>
              </w:rPr>
              <w:t>Disinfection Byproduct</w:t>
            </w:r>
          </w:p>
        </w:tc>
        <w:tc>
          <w:tcPr>
            <w:tcW w:w="1200" w:type="dxa"/>
            <w:vAlign w:val="bottom"/>
          </w:tcPr>
          <w:p w14:paraId="2819F0A0" w14:textId="77777777" w:rsidR="004647B9" w:rsidRPr="0000791C" w:rsidRDefault="00E2436F">
            <w:pPr>
              <w:rPr>
                <w:sz w:val="20"/>
                <w:szCs w:val="20"/>
                <w:u w:val="single"/>
              </w:rPr>
            </w:pPr>
            <w:r w:rsidRPr="0000791C">
              <w:rPr>
                <w:rFonts w:eastAsia="Times New Roman"/>
                <w:w w:val="99"/>
                <w:sz w:val="24"/>
                <w:szCs w:val="24"/>
                <w:u w:val="single"/>
              </w:rPr>
              <w:t>MCL (mg/l)</w:t>
            </w:r>
          </w:p>
        </w:tc>
      </w:tr>
      <w:tr w:rsidR="0000791C" w14:paraId="2819F0A6" w14:textId="77777777" w:rsidTr="0000791C">
        <w:trPr>
          <w:trHeight w:val="264"/>
        </w:trPr>
        <w:tc>
          <w:tcPr>
            <w:tcW w:w="4580" w:type="dxa"/>
            <w:vAlign w:val="bottom"/>
          </w:tcPr>
          <w:p w14:paraId="2819F0A3" w14:textId="71285492" w:rsidR="0000791C" w:rsidRDefault="0000791C" w:rsidP="0000791C">
            <w:pPr>
              <w:spacing w:line="264" w:lineRule="exact"/>
              <w:rPr>
                <w:sz w:val="20"/>
                <w:szCs w:val="20"/>
              </w:rPr>
            </w:pPr>
            <w:r>
              <w:rPr>
                <w:rFonts w:eastAsia="Times New Roman"/>
                <w:sz w:val="24"/>
                <w:szCs w:val="24"/>
              </w:rPr>
              <w:t>Total Trihalomethanes (TTHM)</w:t>
            </w:r>
          </w:p>
        </w:tc>
        <w:tc>
          <w:tcPr>
            <w:tcW w:w="1195" w:type="dxa"/>
            <w:vAlign w:val="bottom"/>
          </w:tcPr>
          <w:p w14:paraId="2819F0A4" w14:textId="77777777" w:rsidR="0000791C" w:rsidRDefault="0000791C">
            <w:pPr>
              <w:spacing w:line="264" w:lineRule="exact"/>
              <w:ind w:left="280"/>
              <w:rPr>
                <w:sz w:val="20"/>
                <w:szCs w:val="20"/>
              </w:rPr>
            </w:pPr>
            <w:r>
              <w:rPr>
                <w:rFonts w:eastAsia="Times New Roman"/>
                <w:sz w:val="24"/>
                <w:szCs w:val="24"/>
              </w:rPr>
              <w:t>0.080</w:t>
            </w:r>
          </w:p>
        </w:tc>
      </w:tr>
      <w:tr w:rsidR="0000791C" w14:paraId="2819F0AA" w14:textId="77777777" w:rsidTr="0000791C">
        <w:trPr>
          <w:trHeight w:val="278"/>
        </w:trPr>
        <w:tc>
          <w:tcPr>
            <w:tcW w:w="4580" w:type="dxa"/>
            <w:vAlign w:val="bottom"/>
          </w:tcPr>
          <w:p w14:paraId="2819F0A7" w14:textId="31255670" w:rsidR="0000791C" w:rsidRDefault="0000791C">
            <w:pPr>
              <w:rPr>
                <w:sz w:val="20"/>
                <w:szCs w:val="20"/>
              </w:rPr>
            </w:pPr>
            <w:r>
              <w:rPr>
                <w:rFonts w:eastAsia="Times New Roman"/>
                <w:sz w:val="24"/>
                <w:szCs w:val="24"/>
              </w:rPr>
              <w:t xml:space="preserve">Haloacetic Acids </w:t>
            </w:r>
            <w:r w:rsidR="00206700">
              <w:rPr>
                <w:rFonts w:eastAsia="Times New Roman"/>
                <w:sz w:val="24"/>
                <w:szCs w:val="24"/>
              </w:rPr>
              <w:t>(</w:t>
            </w:r>
            <w:r>
              <w:rPr>
                <w:rFonts w:eastAsia="Times New Roman"/>
                <w:sz w:val="24"/>
                <w:szCs w:val="24"/>
              </w:rPr>
              <w:t>Five) (HAA5)</w:t>
            </w:r>
          </w:p>
        </w:tc>
        <w:tc>
          <w:tcPr>
            <w:tcW w:w="1195" w:type="dxa"/>
            <w:vAlign w:val="bottom"/>
          </w:tcPr>
          <w:p w14:paraId="2819F0A8" w14:textId="77777777" w:rsidR="0000791C" w:rsidRDefault="0000791C">
            <w:pPr>
              <w:ind w:left="280"/>
              <w:rPr>
                <w:sz w:val="20"/>
                <w:szCs w:val="20"/>
              </w:rPr>
            </w:pPr>
            <w:r>
              <w:rPr>
                <w:rFonts w:eastAsia="Times New Roman"/>
                <w:sz w:val="24"/>
                <w:szCs w:val="24"/>
              </w:rPr>
              <w:t>0.060</w:t>
            </w:r>
          </w:p>
        </w:tc>
      </w:tr>
      <w:tr w:rsidR="0000791C" w14:paraId="2819F0AE" w14:textId="77777777" w:rsidTr="0000791C">
        <w:trPr>
          <w:trHeight w:val="281"/>
        </w:trPr>
        <w:tc>
          <w:tcPr>
            <w:tcW w:w="4580" w:type="dxa"/>
            <w:vAlign w:val="bottom"/>
          </w:tcPr>
          <w:p w14:paraId="2819F0AB" w14:textId="77777777" w:rsidR="0000791C" w:rsidRDefault="0000791C">
            <w:pPr>
              <w:rPr>
                <w:sz w:val="20"/>
                <w:szCs w:val="20"/>
              </w:rPr>
            </w:pPr>
            <w:r>
              <w:rPr>
                <w:rFonts w:eastAsia="Times New Roman"/>
                <w:sz w:val="24"/>
                <w:szCs w:val="24"/>
              </w:rPr>
              <w:t>Bromate</w:t>
            </w:r>
          </w:p>
        </w:tc>
        <w:tc>
          <w:tcPr>
            <w:tcW w:w="1195" w:type="dxa"/>
            <w:vAlign w:val="bottom"/>
          </w:tcPr>
          <w:p w14:paraId="2819F0AC" w14:textId="77777777" w:rsidR="0000791C" w:rsidRDefault="0000791C">
            <w:pPr>
              <w:ind w:left="280"/>
              <w:rPr>
                <w:sz w:val="20"/>
                <w:szCs w:val="20"/>
              </w:rPr>
            </w:pPr>
            <w:r>
              <w:rPr>
                <w:rFonts w:eastAsia="Times New Roman"/>
                <w:sz w:val="24"/>
                <w:szCs w:val="24"/>
              </w:rPr>
              <w:t>0.010</w:t>
            </w:r>
          </w:p>
        </w:tc>
      </w:tr>
      <w:tr w:rsidR="0000791C" w14:paraId="2819F0B2" w14:textId="77777777" w:rsidTr="0000791C">
        <w:trPr>
          <w:trHeight w:val="312"/>
        </w:trPr>
        <w:tc>
          <w:tcPr>
            <w:tcW w:w="4580" w:type="dxa"/>
            <w:vAlign w:val="bottom"/>
          </w:tcPr>
          <w:p w14:paraId="2819F0AF" w14:textId="77777777" w:rsidR="0000791C" w:rsidRDefault="0000791C">
            <w:pPr>
              <w:rPr>
                <w:sz w:val="20"/>
                <w:szCs w:val="20"/>
              </w:rPr>
            </w:pPr>
            <w:r>
              <w:rPr>
                <w:rFonts w:eastAsia="Times New Roman"/>
                <w:sz w:val="24"/>
                <w:szCs w:val="24"/>
              </w:rPr>
              <w:t>Chlorite</w:t>
            </w:r>
          </w:p>
        </w:tc>
        <w:tc>
          <w:tcPr>
            <w:tcW w:w="1195" w:type="dxa"/>
            <w:vAlign w:val="bottom"/>
          </w:tcPr>
          <w:p w14:paraId="2819F0B0" w14:textId="77777777" w:rsidR="0000791C" w:rsidRDefault="0000791C">
            <w:pPr>
              <w:ind w:left="280"/>
              <w:rPr>
                <w:sz w:val="20"/>
                <w:szCs w:val="20"/>
              </w:rPr>
            </w:pPr>
            <w:r>
              <w:rPr>
                <w:rFonts w:eastAsia="Times New Roman"/>
                <w:sz w:val="24"/>
                <w:szCs w:val="24"/>
              </w:rPr>
              <w:t>1.0</w:t>
            </w:r>
          </w:p>
        </w:tc>
      </w:tr>
    </w:tbl>
    <w:p w14:paraId="2819F0B3" w14:textId="77777777" w:rsidR="004647B9" w:rsidRPr="003E40F7" w:rsidRDefault="004647B9" w:rsidP="003E40F7">
      <w:pPr>
        <w:rPr>
          <w:sz w:val="24"/>
          <w:szCs w:val="24"/>
        </w:rPr>
      </w:pPr>
    </w:p>
    <w:p w14:paraId="2819F0B4" w14:textId="77777777" w:rsidR="004647B9" w:rsidRDefault="00E2436F" w:rsidP="003E40F7">
      <w:pPr>
        <w:ind w:left="1200"/>
        <w:jc w:val="both"/>
        <w:rPr>
          <w:sz w:val="20"/>
          <w:szCs w:val="20"/>
        </w:rPr>
      </w:pPr>
      <w:r>
        <w:rPr>
          <w:rFonts w:eastAsia="Times New Roman"/>
          <w:sz w:val="24"/>
          <w:szCs w:val="24"/>
        </w:rPr>
        <w:t>Total Trihalomethanes are the sum of the concentrations of bromodichloromethane, dibromochloromethane, tribromomethane (bromoform) and trichloromethane (chloroform) expressed in milligrams per liter (mg/l). Haloacetic acids are the sum of the concentrations of monochloroacetic acid, dichloroacetic acid, trichloroacetic acid, monobromoacetic acid and dibromoacetic acid expressed in milligrams per liter (mg/l).</w:t>
      </w:r>
    </w:p>
    <w:p w14:paraId="2819F0B5" w14:textId="77777777" w:rsidR="004647B9" w:rsidRDefault="004647B9">
      <w:pPr>
        <w:sectPr w:rsidR="004647B9" w:rsidSect="00EF630C">
          <w:pgSz w:w="12240" w:h="20180"/>
          <w:pgMar w:top="708" w:right="1440" w:bottom="1440" w:left="600" w:header="0" w:footer="0" w:gutter="0"/>
          <w:cols w:space="720" w:equalWidth="0">
            <w:col w:w="10200"/>
          </w:cols>
        </w:sectPr>
      </w:pPr>
    </w:p>
    <w:p w14:paraId="2819F0B6" w14:textId="77777777" w:rsidR="004647B9" w:rsidRDefault="00E2436F">
      <w:pPr>
        <w:tabs>
          <w:tab w:val="left" w:pos="160"/>
        </w:tabs>
        <w:jc w:val="center"/>
        <w:rPr>
          <w:sz w:val="20"/>
          <w:szCs w:val="20"/>
        </w:rPr>
      </w:pPr>
      <w:bookmarkStart w:id="111" w:name="page113"/>
      <w:bookmarkEnd w:id="11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0B7" w14:textId="77777777" w:rsidR="004647B9" w:rsidRDefault="004647B9" w:rsidP="003E40F7">
      <w:pPr>
        <w:rPr>
          <w:sz w:val="20"/>
          <w:szCs w:val="20"/>
        </w:rPr>
      </w:pPr>
    </w:p>
    <w:p w14:paraId="2819F0B8" w14:textId="77777777" w:rsidR="004647B9" w:rsidRDefault="004647B9" w:rsidP="003E40F7">
      <w:pPr>
        <w:rPr>
          <w:sz w:val="20"/>
          <w:szCs w:val="20"/>
        </w:rPr>
      </w:pPr>
    </w:p>
    <w:p w14:paraId="2819F0B9" w14:textId="77777777" w:rsidR="004647B9" w:rsidRPr="003E40F7" w:rsidRDefault="00E2436F" w:rsidP="003E40F7">
      <w:pPr>
        <w:tabs>
          <w:tab w:val="left" w:pos="920"/>
        </w:tabs>
        <w:rPr>
          <w:sz w:val="24"/>
          <w:szCs w:val="24"/>
        </w:rPr>
      </w:pPr>
      <w:r w:rsidRPr="003E40F7">
        <w:rPr>
          <w:rFonts w:eastAsia="Times New Roman"/>
          <w:sz w:val="24"/>
          <w:szCs w:val="24"/>
        </w:rPr>
        <w:t>22.07E:</w:t>
      </w:r>
      <w:r w:rsidRPr="003E40F7">
        <w:rPr>
          <w:sz w:val="24"/>
          <w:szCs w:val="24"/>
        </w:rPr>
        <w:tab/>
      </w:r>
      <w:r w:rsidRPr="003E40F7">
        <w:rPr>
          <w:rFonts w:eastAsia="Times New Roman"/>
          <w:sz w:val="24"/>
          <w:szCs w:val="24"/>
        </w:rPr>
        <w:t>continued</w:t>
      </w:r>
    </w:p>
    <w:p w14:paraId="2819F0BA" w14:textId="77777777" w:rsidR="004647B9" w:rsidRPr="003E40F7" w:rsidRDefault="004647B9" w:rsidP="003E40F7">
      <w:pPr>
        <w:rPr>
          <w:sz w:val="20"/>
          <w:szCs w:val="20"/>
        </w:rPr>
      </w:pPr>
    </w:p>
    <w:p w14:paraId="2819F0BB" w14:textId="77777777" w:rsidR="004647B9" w:rsidRPr="00DD373C" w:rsidRDefault="00E2436F" w:rsidP="003E40F7">
      <w:pPr>
        <w:numPr>
          <w:ilvl w:val="0"/>
          <w:numId w:val="279"/>
        </w:numPr>
        <w:tabs>
          <w:tab w:val="left" w:pos="1992"/>
        </w:tabs>
        <w:ind w:left="1560" w:hanging="5"/>
        <w:jc w:val="both"/>
        <w:rPr>
          <w:rFonts w:eastAsia="Times New Roman"/>
          <w:sz w:val="24"/>
          <w:szCs w:val="24"/>
        </w:rPr>
      </w:pPr>
      <w:r w:rsidRPr="00DD373C">
        <w:rPr>
          <w:rFonts w:eastAsia="Times New Roman"/>
          <w:sz w:val="24"/>
          <w:szCs w:val="24"/>
          <w:u w:val="single"/>
        </w:rPr>
        <w:t>Compliance Dates for CWSs and NTNCWSs</w:t>
      </w:r>
      <w:r w:rsidRPr="00DD373C">
        <w:rPr>
          <w:rFonts w:eastAsia="Times New Roman"/>
          <w:sz w:val="24"/>
          <w:szCs w:val="24"/>
        </w:rPr>
        <w:t>. Surface Water and Groundwater under the Direct Influence of Surface Water systems serving 10,000 or more persons must comply with 310 CMR 22.07E(1) beginning January 1, 2002. Surface Water and Groundwater under the Direct Influence of Surface Water systems serving fewer than 10,000 persons and systems using only groundwater not under the direct influence of surface water must comply with 310 CMR 22.07E(1) beginning January 1, 2004.</w:t>
      </w:r>
    </w:p>
    <w:p w14:paraId="2819F0BD" w14:textId="77777777" w:rsidR="004647B9" w:rsidRPr="00DD373C" w:rsidRDefault="00E2436F" w:rsidP="003E40F7">
      <w:pPr>
        <w:numPr>
          <w:ilvl w:val="0"/>
          <w:numId w:val="279"/>
        </w:numPr>
        <w:tabs>
          <w:tab w:val="left" w:pos="2020"/>
        </w:tabs>
        <w:ind w:left="2020" w:hanging="465"/>
        <w:rPr>
          <w:rFonts w:eastAsia="Times New Roman"/>
          <w:sz w:val="24"/>
          <w:szCs w:val="24"/>
        </w:rPr>
      </w:pPr>
      <w:r w:rsidRPr="00DD373C">
        <w:rPr>
          <w:rFonts w:eastAsia="Times New Roman"/>
          <w:sz w:val="24"/>
          <w:szCs w:val="24"/>
          <w:u w:val="single"/>
        </w:rPr>
        <w:t>TTHM and HAA5 - RAA Compliance</w:t>
      </w:r>
      <w:r w:rsidRPr="00DD373C">
        <w:rPr>
          <w:rFonts w:eastAsia="Times New Roman"/>
          <w:sz w:val="24"/>
          <w:szCs w:val="24"/>
        </w:rPr>
        <w:t>.</w:t>
      </w:r>
    </w:p>
    <w:p w14:paraId="2819F0BF" w14:textId="77777777" w:rsidR="004647B9" w:rsidRPr="00DD373C" w:rsidRDefault="00E2436F" w:rsidP="003E40F7">
      <w:pPr>
        <w:ind w:left="1560" w:firstLine="360"/>
        <w:jc w:val="both"/>
        <w:rPr>
          <w:sz w:val="24"/>
          <w:szCs w:val="24"/>
        </w:rPr>
      </w:pPr>
      <w:r w:rsidRPr="00DD373C">
        <w:rPr>
          <w:rFonts w:eastAsia="Times New Roman"/>
          <w:sz w:val="24"/>
          <w:szCs w:val="24"/>
          <w:u w:val="single"/>
        </w:rPr>
        <w:t>Compliance Dates</w:t>
      </w:r>
      <w:r w:rsidRPr="00DD373C">
        <w:rPr>
          <w:rFonts w:eastAsia="Times New Roman"/>
          <w:sz w:val="24"/>
          <w:szCs w:val="24"/>
        </w:rPr>
        <w:t>. Surface Water and Groundwater under the Direct Influence of Surface Water systems serving 10,000 or more persons must comply with 310 CMR 22.07E(1)(b) beginning January 1, 2002. Surface Water systems and Groundwater under the Direct Influence of Surface Water systems serving fewer than 10,000 persons and systems using only groundwater not under the direct influence of surface water must comply with 310 CMR 22.07E(1)(b) beginning January 1, 2004. All systems must comply with these MCLs until the date specified for Disinfection byproduct compliance in 310 CMR 22.07F(7).</w:t>
      </w:r>
    </w:p>
    <w:p w14:paraId="2819F0C0" w14:textId="77777777" w:rsidR="004647B9" w:rsidRPr="00DD373C" w:rsidRDefault="00E2436F" w:rsidP="003E40F7">
      <w:pPr>
        <w:numPr>
          <w:ilvl w:val="0"/>
          <w:numId w:val="280"/>
        </w:numPr>
        <w:tabs>
          <w:tab w:val="left" w:pos="2000"/>
        </w:tabs>
        <w:ind w:left="2000" w:hanging="445"/>
        <w:rPr>
          <w:rFonts w:eastAsia="Times New Roman"/>
          <w:sz w:val="24"/>
          <w:szCs w:val="24"/>
        </w:rPr>
      </w:pPr>
      <w:r w:rsidRPr="00DD373C">
        <w:rPr>
          <w:rFonts w:eastAsia="Times New Roman"/>
          <w:sz w:val="24"/>
          <w:szCs w:val="24"/>
          <w:u w:val="single"/>
        </w:rPr>
        <w:t>Stage 2 Disinfection Byproducts – LRAA Compliance</w:t>
      </w:r>
      <w:r w:rsidRPr="00DD373C">
        <w:rPr>
          <w:rFonts w:eastAsia="Times New Roman"/>
          <w:sz w:val="24"/>
          <w:szCs w:val="24"/>
        </w:rPr>
        <w:t>.</w:t>
      </w:r>
    </w:p>
    <w:p w14:paraId="2819F0C1" w14:textId="77777777" w:rsidR="004647B9" w:rsidRPr="00DD373C" w:rsidRDefault="00E2436F" w:rsidP="003E40F7">
      <w:pPr>
        <w:ind w:left="1560" w:firstLine="360"/>
        <w:jc w:val="both"/>
        <w:rPr>
          <w:sz w:val="24"/>
          <w:szCs w:val="24"/>
        </w:rPr>
      </w:pPr>
      <w:r w:rsidRPr="00DD373C">
        <w:rPr>
          <w:rFonts w:eastAsia="Times New Roman"/>
          <w:sz w:val="24"/>
          <w:szCs w:val="24"/>
          <w:u w:val="single"/>
        </w:rPr>
        <w:t>Compliance Dates</w:t>
      </w:r>
      <w:r w:rsidRPr="00DD373C">
        <w:rPr>
          <w:rFonts w:eastAsia="Times New Roman"/>
          <w:sz w:val="24"/>
          <w:szCs w:val="24"/>
        </w:rPr>
        <w:t>. The MCLs required under 310 CMR 22.07F for TTHM and HAA5 must be complied with as a Locational Running Annual Average at each monitoring location beginning the date specified for compliance in 310 CMR 22.07F(7)(c).</w:t>
      </w:r>
    </w:p>
    <w:p w14:paraId="2819F0C2" w14:textId="77777777" w:rsidR="004647B9" w:rsidRPr="00DD373C" w:rsidRDefault="004647B9" w:rsidP="003E40F7">
      <w:pPr>
        <w:rPr>
          <w:sz w:val="24"/>
          <w:szCs w:val="24"/>
        </w:rPr>
      </w:pPr>
    </w:p>
    <w:p w14:paraId="2819F0C3" w14:textId="77777777" w:rsidR="004647B9" w:rsidRPr="00DD373C" w:rsidRDefault="00E2436F" w:rsidP="003E40F7">
      <w:pPr>
        <w:numPr>
          <w:ilvl w:val="0"/>
          <w:numId w:val="281"/>
        </w:numPr>
        <w:tabs>
          <w:tab w:val="left" w:pos="1710"/>
        </w:tabs>
        <w:ind w:left="1200"/>
        <w:jc w:val="both"/>
        <w:rPr>
          <w:rFonts w:eastAsia="Times New Roman"/>
          <w:sz w:val="24"/>
          <w:szCs w:val="24"/>
        </w:rPr>
      </w:pPr>
      <w:r w:rsidRPr="00DD373C">
        <w:rPr>
          <w:rFonts w:eastAsia="Times New Roman"/>
          <w:sz w:val="24"/>
          <w:szCs w:val="24"/>
          <w:u w:val="single"/>
        </w:rPr>
        <w:t>MRDLs for Disinfectant Residuals</w:t>
      </w:r>
      <w:r w:rsidRPr="00DD373C">
        <w:rPr>
          <w:rFonts w:eastAsia="Times New Roman"/>
          <w:sz w:val="24"/>
          <w:szCs w:val="24"/>
        </w:rPr>
        <w:t>. The maximum residual Disinfectant levels for the Disinfectant residuals of 310 CMR 22.07E apply to Community Water Systems and Non-transient Non-community Water Systems which add a chemical Disinfectant (oxidant) to the water in any part of the drinking water treatment process. In addition, the maximum residual Disinfectant level for chlorine dioxide applies to Transient Non-community Water Systems using chlorine dioxide as a Disinfectant or oxidant. The MRDLs are as follows:</w:t>
      </w:r>
    </w:p>
    <w:p w14:paraId="2819F0C4" w14:textId="77777777" w:rsidR="004647B9" w:rsidRPr="005C3082" w:rsidRDefault="004647B9" w:rsidP="005C3082">
      <w:pPr>
        <w:rPr>
          <w:sz w:val="24"/>
          <w:szCs w:val="24"/>
        </w:rPr>
      </w:pPr>
    </w:p>
    <w:tbl>
      <w:tblPr>
        <w:tblW w:w="0" w:type="auto"/>
        <w:tblInd w:w="1560" w:type="dxa"/>
        <w:tblLayout w:type="fixed"/>
        <w:tblCellMar>
          <w:left w:w="0" w:type="dxa"/>
          <w:right w:w="0" w:type="dxa"/>
        </w:tblCellMar>
        <w:tblLook w:val="04A0" w:firstRow="1" w:lastRow="0" w:firstColumn="1" w:lastColumn="0" w:noHBand="0" w:noVBand="1"/>
      </w:tblPr>
      <w:tblGrid>
        <w:gridCol w:w="6000"/>
        <w:gridCol w:w="1460"/>
      </w:tblGrid>
      <w:tr w:rsidR="00DD1E78" w:rsidRPr="00240BAE" w14:paraId="2819F0C7" w14:textId="77777777" w:rsidTr="00240BAE">
        <w:trPr>
          <w:trHeight w:val="276"/>
        </w:trPr>
        <w:tc>
          <w:tcPr>
            <w:tcW w:w="6000" w:type="dxa"/>
            <w:vAlign w:val="bottom"/>
          </w:tcPr>
          <w:p w14:paraId="2819F0C5" w14:textId="77777777" w:rsidR="004647B9" w:rsidRPr="00240BAE" w:rsidRDefault="00E2436F">
            <w:pPr>
              <w:rPr>
                <w:sz w:val="20"/>
                <w:szCs w:val="20"/>
                <w:u w:val="single"/>
              </w:rPr>
            </w:pPr>
            <w:r w:rsidRPr="00240BAE">
              <w:rPr>
                <w:rFonts w:eastAsia="Times New Roman"/>
                <w:sz w:val="24"/>
                <w:szCs w:val="24"/>
                <w:u w:val="single"/>
              </w:rPr>
              <w:t>Disinfectant Residual</w:t>
            </w:r>
          </w:p>
        </w:tc>
        <w:tc>
          <w:tcPr>
            <w:tcW w:w="1460" w:type="dxa"/>
            <w:vAlign w:val="bottom"/>
          </w:tcPr>
          <w:p w14:paraId="2819F0C6" w14:textId="77777777" w:rsidR="004647B9" w:rsidRPr="00240BAE" w:rsidRDefault="00E2436F">
            <w:pPr>
              <w:rPr>
                <w:rFonts w:eastAsia="Times New Roman"/>
                <w:sz w:val="24"/>
                <w:szCs w:val="24"/>
              </w:rPr>
            </w:pPr>
            <w:r w:rsidRPr="00240BAE">
              <w:rPr>
                <w:rFonts w:eastAsia="Times New Roman"/>
                <w:sz w:val="24"/>
                <w:szCs w:val="24"/>
              </w:rPr>
              <w:t>MRDL (mg/l)</w:t>
            </w:r>
          </w:p>
        </w:tc>
      </w:tr>
      <w:tr w:rsidR="00DD1E78" w:rsidRPr="00240BAE" w14:paraId="2819F0CC" w14:textId="77777777" w:rsidTr="00240BAE">
        <w:trPr>
          <w:trHeight w:val="267"/>
        </w:trPr>
        <w:tc>
          <w:tcPr>
            <w:tcW w:w="6000" w:type="dxa"/>
            <w:vAlign w:val="bottom"/>
          </w:tcPr>
          <w:p w14:paraId="2819F0CA" w14:textId="0759E4CC" w:rsidR="0000791C" w:rsidRPr="00703CD5" w:rsidRDefault="0000791C" w:rsidP="0000791C">
            <w:pPr>
              <w:spacing w:line="267" w:lineRule="exact"/>
              <w:rPr>
                <w:sz w:val="20"/>
                <w:szCs w:val="20"/>
              </w:rPr>
            </w:pPr>
            <w:r w:rsidRPr="00240BAE">
              <w:rPr>
                <w:rFonts w:eastAsia="Times New Roman"/>
                <w:sz w:val="24"/>
                <w:szCs w:val="24"/>
              </w:rPr>
              <w:t>Chlorine</w:t>
            </w:r>
            <w:r w:rsidR="002E4E22">
              <w:rPr>
                <w:rFonts w:eastAsia="Times New Roman"/>
                <w:sz w:val="24"/>
                <w:szCs w:val="24"/>
              </w:rPr>
              <w:t xml:space="preserve">   </w:t>
            </w:r>
            <w:r w:rsidR="00703CD5">
              <w:rPr>
                <w:rFonts w:eastAsia="Times New Roman"/>
                <w:sz w:val="24"/>
                <w:szCs w:val="24"/>
              </w:rPr>
              <w:t xml:space="preserve"> </w:t>
            </w:r>
          </w:p>
        </w:tc>
        <w:tc>
          <w:tcPr>
            <w:tcW w:w="1460" w:type="dxa"/>
            <w:vAlign w:val="bottom"/>
          </w:tcPr>
          <w:p w14:paraId="2819F0CB" w14:textId="0EA5D190" w:rsidR="0000791C" w:rsidRPr="00240BAE" w:rsidRDefault="00D25BAC" w:rsidP="00240BAE">
            <w:pPr>
              <w:rPr>
                <w:rFonts w:eastAsia="Times New Roman"/>
                <w:sz w:val="24"/>
                <w:szCs w:val="24"/>
              </w:rPr>
            </w:pPr>
            <w:r w:rsidRPr="00240BAE">
              <w:rPr>
                <w:rFonts w:eastAsia="Times New Roman"/>
                <w:sz w:val="24"/>
                <w:szCs w:val="24"/>
              </w:rPr>
              <w:t>4.</w:t>
            </w:r>
            <w:r w:rsidR="00647429" w:rsidRPr="00240BAE">
              <w:rPr>
                <w:rFonts w:eastAsia="Times New Roman"/>
                <w:sz w:val="24"/>
                <w:szCs w:val="24"/>
              </w:rPr>
              <w:t>0 (as Cl</w:t>
            </w:r>
            <w:r w:rsidR="00647429" w:rsidRPr="00240BAE">
              <w:rPr>
                <w:rFonts w:eastAsia="Times New Roman"/>
                <w:sz w:val="24"/>
                <w:szCs w:val="24"/>
                <w:vertAlign w:val="subscript"/>
              </w:rPr>
              <w:t>2</w:t>
            </w:r>
            <w:r w:rsidR="00647429" w:rsidRPr="00240BAE">
              <w:rPr>
                <w:rFonts w:eastAsia="Times New Roman"/>
                <w:sz w:val="24"/>
                <w:szCs w:val="24"/>
              </w:rPr>
              <w:t>).</w:t>
            </w:r>
          </w:p>
        </w:tc>
      </w:tr>
      <w:tr w:rsidR="00DD1E78" w:rsidRPr="00240BAE" w14:paraId="2819F0D0" w14:textId="77777777" w:rsidTr="00240BAE">
        <w:trPr>
          <w:trHeight w:val="266"/>
        </w:trPr>
        <w:tc>
          <w:tcPr>
            <w:tcW w:w="6000" w:type="dxa"/>
            <w:vAlign w:val="bottom"/>
          </w:tcPr>
          <w:p w14:paraId="2819F0CE" w14:textId="2FACB16A" w:rsidR="0000791C" w:rsidRPr="00703CD5" w:rsidRDefault="0000791C" w:rsidP="0000791C">
            <w:pPr>
              <w:spacing w:line="266" w:lineRule="exact"/>
              <w:rPr>
                <w:sz w:val="20"/>
                <w:szCs w:val="20"/>
              </w:rPr>
            </w:pPr>
            <w:r w:rsidRPr="00240BAE">
              <w:rPr>
                <w:rFonts w:eastAsia="Times New Roman"/>
                <w:sz w:val="24"/>
                <w:szCs w:val="24"/>
              </w:rPr>
              <w:t>Chloramines</w:t>
            </w:r>
            <w:r w:rsidR="00703CD5">
              <w:rPr>
                <w:rFonts w:eastAsia="Times New Roman"/>
                <w:sz w:val="24"/>
                <w:szCs w:val="24"/>
              </w:rPr>
              <w:t xml:space="preserve">   </w:t>
            </w:r>
          </w:p>
        </w:tc>
        <w:tc>
          <w:tcPr>
            <w:tcW w:w="1460" w:type="dxa"/>
            <w:vAlign w:val="bottom"/>
          </w:tcPr>
          <w:p w14:paraId="2819F0CF" w14:textId="3F4885C3" w:rsidR="0000791C" w:rsidRPr="00240BAE" w:rsidRDefault="00D85DE8">
            <w:pPr>
              <w:rPr>
                <w:rFonts w:eastAsia="Times New Roman"/>
                <w:sz w:val="24"/>
                <w:szCs w:val="24"/>
              </w:rPr>
            </w:pPr>
            <w:r>
              <w:rPr>
                <w:rFonts w:eastAsia="Times New Roman"/>
                <w:sz w:val="24"/>
                <w:szCs w:val="24"/>
              </w:rPr>
              <w:t>4.0 (as Cl</w:t>
            </w:r>
            <w:r w:rsidRPr="00D85DE8">
              <w:rPr>
                <w:rFonts w:eastAsia="Times New Roman"/>
                <w:sz w:val="24"/>
                <w:szCs w:val="24"/>
                <w:vertAlign w:val="subscript"/>
              </w:rPr>
              <w:t>2</w:t>
            </w:r>
            <w:r>
              <w:rPr>
                <w:rFonts w:eastAsia="Times New Roman"/>
                <w:sz w:val="24"/>
                <w:szCs w:val="24"/>
              </w:rPr>
              <w:t>).</w:t>
            </w:r>
          </w:p>
        </w:tc>
      </w:tr>
      <w:tr w:rsidR="00DD1E78" w:rsidRPr="00240BAE" w14:paraId="2819F0D3" w14:textId="77777777" w:rsidTr="00240BAE">
        <w:trPr>
          <w:trHeight w:val="312"/>
        </w:trPr>
        <w:tc>
          <w:tcPr>
            <w:tcW w:w="6000" w:type="dxa"/>
            <w:vAlign w:val="bottom"/>
          </w:tcPr>
          <w:p w14:paraId="2819F0D1" w14:textId="77777777" w:rsidR="004647B9" w:rsidRPr="00240BAE" w:rsidRDefault="00E2436F">
            <w:pPr>
              <w:rPr>
                <w:sz w:val="20"/>
                <w:szCs w:val="20"/>
              </w:rPr>
            </w:pPr>
            <w:r w:rsidRPr="00240BAE">
              <w:rPr>
                <w:rFonts w:eastAsia="Times New Roman"/>
                <w:sz w:val="24"/>
                <w:szCs w:val="24"/>
              </w:rPr>
              <w:t>Chlorine dioxide</w:t>
            </w:r>
          </w:p>
        </w:tc>
        <w:tc>
          <w:tcPr>
            <w:tcW w:w="1460" w:type="dxa"/>
            <w:vAlign w:val="bottom"/>
          </w:tcPr>
          <w:p w14:paraId="2819F0D2" w14:textId="77777777" w:rsidR="004647B9" w:rsidRPr="00240BAE" w:rsidRDefault="00E2436F">
            <w:pPr>
              <w:rPr>
                <w:rFonts w:eastAsia="Times New Roman"/>
                <w:sz w:val="24"/>
                <w:szCs w:val="24"/>
              </w:rPr>
            </w:pPr>
            <w:r w:rsidRPr="00240BAE">
              <w:rPr>
                <w:rFonts w:eastAsia="Times New Roman"/>
                <w:sz w:val="24"/>
                <w:szCs w:val="24"/>
              </w:rPr>
              <w:t>0.8 (as ClO</w:t>
            </w:r>
            <w:r w:rsidRPr="00D85DE8">
              <w:rPr>
                <w:rFonts w:eastAsia="Times New Roman"/>
                <w:sz w:val="24"/>
                <w:szCs w:val="24"/>
                <w:vertAlign w:val="subscript"/>
              </w:rPr>
              <w:t>2</w:t>
            </w:r>
            <w:r w:rsidRPr="00240BAE">
              <w:rPr>
                <w:rFonts w:eastAsia="Times New Roman"/>
                <w:sz w:val="24"/>
                <w:szCs w:val="24"/>
              </w:rPr>
              <w:t>).</w:t>
            </w:r>
          </w:p>
        </w:tc>
      </w:tr>
    </w:tbl>
    <w:p w14:paraId="2819F0D4" w14:textId="77777777" w:rsidR="004647B9" w:rsidRPr="005C3082" w:rsidRDefault="004647B9" w:rsidP="005C3082">
      <w:pPr>
        <w:rPr>
          <w:sz w:val="24"/>
          <w:szCs w:val="24"/>
        </w:rPr>
      </w:pPr>
    </w:p>
    <w:p w14:paraId="2819F0D5" w14:textId="77777777" w:rsidR="004647B9" w:rsidRPr="00343F4E" w:rsidRDefault="00E2436F" w:rsidP="005C3082">
      <w:pPr>
        <w:ind w:left="1200" w:firstLine="355"/>
        <w:jc w:val="both"/>
        <w:rPr>
          <w:sz w:val="24"/>
          <w:szCs w:val="24"/>
        </w:rPr>
      </w:pPr>
      <w:r w:rsidRPr="00343F4E">
        <w:rPr>
          <w:rFonts w:eastAsia="Times New Roman"/>
          <w:sz w:val="24"/>
          <w:szCs w:val="24"/>
        </w:rPr>
        <w:t>Notwithstanding the MRDLs in 310 CMR 22.07E(2), systems may increase residual Disinfectant levels in the Distribution System of chlorine or chloramines (but not chlorine dioxide) to a level and for a time necessary to protect public health, to address specific microbiological contamination problems caused by circumstances including, but not limited to, distribution line breaks, storm run-off events, source water contamination events, or cross connection events.</w:t>
      </w:r>
    </w:p>
    <w:p w14:paraId="2819F0D6" w14:textId="77777777" w:rsidR="004647B9" w:rsidRPr="00343F4E" w:rsidRDefault="004647B9" w:rsidP="005C3082">
      <w:pPr>
        <w:rPr>
          <w:sz w:val="24"/>
          <w:szCs w:val="24"/>
        </w:rPr>
      </w:pPr>
    </w:p>
    <w:p w14:paraId="2819F0D7" w14:textId="77777777" w:rsidR="004647B9" w:rsidRPr="00343F4E" w:rsidRDefault="00E2436F" w:rsidP="005C3082">
      <w:pPr>
        <w:numPr>
          <w:ilvl w:val="0"/>
          <w:numId w:val="282"/>
        </w:numPr>
        <w:tabs>
          <w:tab w:val="left" w:pos="1660"/>
        </w:tabs>
        <w:ind w:left="1660" w:hanging="460"/>
        <w:rPr>
          <w:rFonts w:eastAsia="Times New Roman"/>
          <w:sz w:val="24"/>
          <w:szCs w:val="24"/>
        </w:rPr>
      </w:pPr>
      <w:r w:rsidRPr="00343F4E">
        <w:rPr>
          <w:rFonts w:eastAsia="Times New Roman"/>
          <w:sz w:val="24"/>
          <w:szCs w:val="24"/>
          <w:u w:val="single"/>
        </w:rPr>
        <w:t>Compliance Dates</w:t>
      </w:r>
      <w:r w:rsidRPr="00343F4E">
        <w:rPr>
          <w:rFonts w:eastAsia="Times New Roman"/>
          <w:sz w:val="24"/>
          <w:szCs w:val="24"/>
        </w:rPr>
        <w:t>.</w:t>
      </w:r>
    </w:p>
    <w:p w14:paraId="2819F0D9" w14:textId="77777777" w:rsidR="004647B9" w:rsidRPr="00343F4E" w:rsidRDefault="00E2436F" w:rsidP="005C3082">
      <w:pPr>
        <w:numPr>
          <w:ilvl w:val="1"/>
          <w:numId w:val="282"/>
        </w:numPr>
        <w:tabs>
          <w:tab w:val="left" w:pos="1980"/>
        </w:tabs>
        <w:ind w:left="1560" w:hanging="5"/>
        <w:jc w:val="both"/>
        <w:rPr>
          <w:rFonts w:eastAsia="Times New Roman"/>
          <w:sz w:val="24"/>
          <w:szCs w:val="24"/>
        </w:rPr>
      </w:pPr>
      <w:r w:rsidRPr="00343F4E">
        <w:rPr>
          <w:rFonts w:eastAsia="Times New Roman"/>
          <w:sz w:val="24"/>
          <w:szCs w:val="24"/>
        </w:rPr>
        <w:t>Each Supplier of Water who uses a Surface Water Source or groundwater source under the direct influence of surface water that serves 10,000 or more persons shall comply with the requirements of 310 CMR 22.07E beginning January 1, 2002.</w:t>
      </w:r>
    </w:p>
    <w:p w14:paraId="2819F0DA" w14:textId="77777777" w:rsidR="004647B9" w:rsidRPr="00343F4E" w:rsidRDefault="00E2436F" w:rsidP="005C3082">
      <w:pPr>
        <w:numPr>
          <w:ilvl w:val="1"/>
          <w:numId w:val="282"/>
        </w:numPr>
        <w:tabs>
          <w:tab w:val="left" w:pos="1987"/>
        </w:tabs>
        <w:ind w:left="1560" w:hanging="5"/>
        <w:jc w:val="both"/>
        <w:rPr>
          <w:rFonts w:eastAsia="Times New Roman"/>
          <w:sz w:val="24"/>
          <w:szCs w:val="24"/>
        </w:rPr>
      </w:pPr>
      <w:r w:rsidRPr="00343F4E">
        <w:rPr>
          <w:rFonts w:eastAsia="Times New Roman"/>
          <w:sz w:val="24"/>
          <w:szCs w:val="24"/>
        </w:rPr>
        <w:t>Each Supplier of Water who uses a Surface Water Source or groundwater source under the direct influence of surface water that serves fewer than 10,000 persons and each Supplier of Water who uses only a groundwater source not under the direct influence of surface water shall comply with the requirements of 310 CMR 22.07E beginning January 1, 2004.</w:t>
      </w:r>
    </w:p>
    <w:p w14:paraId="2819F0DC" w14:textId="77777777" w:rsidR="004647B9" w:rsidRPr="00343F4E" w:rsidRDefault="00E2436F" w:rsidP="005C3082">
      <w:pPr>
        <w:numPr>
          <w:ilvl w:val="1"/>
          <w:numId w:val="282"/>
        </w:numPr>
        <w:tabs>
          <w:tab w:val="left" w:pos="2119"/>
        </w:tabs>
        <w:ind w:left="1560" w:hanging="5"/>
        <w:jc w:val="both"/>
        <w:rPr>
          <w:rFonts w:eastAsia="Times New Roman"/>
          <w:sz w:val="24"/>
          <w:szCs w:val="24"/>
        </w:rPr>
      </w:pPr>
      <w:r w:rsidRPr="00343F4E">
        <w:rPr>
          <w:rFonts w:eastAsia="Times New Roman"/>
          <w:sz w:val="24"/>
          <w:szCs w:val="24"/>
        </w:rPr>
        <w:t>Each Supplier of Water that plans to install granular activated carbon (GAC) or membrane technology to comply with the MCLs in 310 CMR 22.07E(1) may apply to the Department for an extension of up to 24 months past the dates in 310 CMR 22.07E(3)(a) and (b), but not beyond December 31, 2003. In granting the extension, the Department will require the system to issue public notice in accordance with 310 CMR 22.16. The notice shall include the length of the extension, the mandatory health effects language for Disinfection byproducts and the anticipated schedule for the construction and implementation of the new treatment processes. The Department may also require the Supplier of Water to perform an engineering study to optimize the current treatment processes to minimize the formation of Disinfection byproducts during the period of the extension.</w:t>
      </w:r>
    </w:p>
    <w:p w14:paraId="2819F0DD" w14:textId="77777777" w:rsidR="004647B9" w:rsidRDefault="004647B9">
      <w:pPr>
        <w:sectPr w:rsidR="004647B9" w:rsidSect="00EF630C">
          <w:pgSz w:w="12240" w:h="20180"/>
          <w:pgMar w:top="708" w:right="1440" w:bottom="1440" w:left="600" w:header="0" w:footer="0" w:gutter="0"/>
          <w:cols w:space="720" w:equalWidth="0">
            <w:col w:w="10200"/>
          </w:cols>
        </w:sectPr>
      </w:pPr>
    </w:p>
    <w:p w14:paraId="2819F0DE" w14:textId="77777777" w:rsidR="004647B9" w:rsidRDefault="00E2436F">
      <w:pPr>
        <w:tabs>
          <w:tab w:val="left" w:pos="160"/>
        </w:tabs>
        <w:jc w:val="center"/>
        <w:rPr>
          <w:sz w:val="20"/>
          <w:szCs w:val="20"/>
        </w:rPr>
      </w:pPr>
      <w:bookmarkStart w:id="112" w:name="page114"/>
      <w:bookmarkEnd w:id="11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0DF" w14:textId="77777777" w:rsidR="004647B9" w:rsidRDefault="004647B9" w:rsidP="005C3082">
      <w:pPr>
        <w:rPr>
          <w:sz w:val="20"/>
          <w:szCs w:val="20"/>
        </w:rPr>
      </w:pPr>
    </w:p>
    <w:p w14:paraId="2819F0E0" w14:textId="77777777" w:rsidR="004647B9" w:rsidRDefault="004647B9" w:rsidP="005C3082">
      <w:pPr>
        <w:rPr>
          <w:sz w:val="20"/>
          <w:szCs w:val="20"/>
        </w:rPr>
      </w:pPr>
    </w:p>
    <w:p w14:paraId="2819F0E1" w14:textId="77777777" w:rsidR="004647B9" w:rsidRPr="005C3082" w:rsidRDefault="00E2436F" w:rsidP="005C3082">
      <w:pPr>
        <w:tabs>
          <w:tab w:val="left" w:pos="920"/>
        </w:tabs>
        <w:rPr>
          <w:sz w:val="24"/>
          <w:szCs w:val="24"/>
        </w:rPr>
      </w:pPr>
      <w:r w:rsidRPr="005C3082">
        <w:rPr>
          <w:rFonts w:eastAsia="Times New Roman"/>
          <w:sz w:val="24"/>
          <w:szCs w:val="24"/>
        </w:rPr>
        <w:t>22.07E:</w:t>
      </w:r>
      <w:r w:rsidRPr="005C3082">
        <w:rPr>
          <w:sz w:val="24"/>
          <w:szCs w:val="24"/>
        </w:rPr>
        <w:tab/>
      </w:r>
      <w:r w:rsidRPr="005C3082">
        <w:rPr>
          <w:rFonts w:eastAsia="Times New Roman"/>
          <w:sz w:val="24"/>
          <w:szCs w:val="24"/>
        </w:rPr>
        <w:t>continued</w:t>
      </w:r>
    </w:p>
    <w:p w14:paraId="2819F0E2" w14:textId="77777777" w:rsidR="004647B9" w:rsidRDefault="004647B9" w:rsidP="005C3082">
      <w:pPr>
        <w:rPr>
          <w:sz w:val="20"/>
          <w:szCs w:val="20"/>
        </w:rPr>
      </w:pPr>
    </w:p>
    <w:p w14:paraId="2819F0E3" w14:textId="77777777" w:rsidR="004647B9" w:rsidRDefault="00E2436F" w:rsidP="005C3082">
      <w:pPr>
        <w:numPr>
          <w:ilvl w:val="0"/>
          <w:numId w:val="283"/>
        </w:numPr>
        <w:tabs>
          <w:tab w:val="left" w:pos="1660"/>
        </w:tabs>
        <w:ind w:left="1660" w:hanging="460"/>
        <w:rPr>
          <w:rFonts w:eastAsia="Times New Roman"/>
          <w:sz w:val="24"/>
          <w:szCs w:val="24"/>
        </w:rPr>
      </w:pPr>
      <w:r>
        <w:rPr>
          <w:rFonts w:eastAsia="Times New Roman"/>
          <w:sz w:val="24"/>
          <w:szCs w:val="24"/>
          <w:u w:val="single"/>
        </w:rPr>
        <w:t>Disinfection Byproducts BATs</w:t>
      </w:r>
      <w:r>
        <w:rPr>
          <w:rFonts w:eastAsia="Times New Roman"/>
          <w:sz w:val="24"/>
          <w:szCs w:val="24"/>
        </w:rPr>
        <w:t>.</w:t>
      </w:r>
    </w:p>
    <w:p w14:paraId="2819F0E5" w14:textId="77777777" w:rsidR="004647B9" w:rsidRDefault="00E2436F" w:rsidP="005C3082">
      <w:pPr>
        <w:numPr>
          <w:ilvl w:val="1"/>
          <w:numId w:val="283"/>
        </w:numPr>
        <w:tabs>
          <w:tab w:val="left" w:pos="1997"/>
        </w:tabs>
        <w:ind w:left="1560" w:hanging="5"/>
        <w:jc w:val="both"/>
        <w:rPr>
          <w:rFonts w:eastAsia="Times New Roman"/>
          <w:sz w:val="24"/>
          <w:szCs w:val="24"/>
        </w:rPr>
      </w:pPr>
      <w:r>
        <w:rPr>
          <w:rFonts w:eastAsia="Times New Roman"/>
          <w:sz w:val="24"/>
          <w:szCs w:val="24"/>
        </w:rPr>
        <w:t>The EPA Administrator, pursuant to the federal Safe Drinking Water Act, § 1412 has identified the following as the best technology, Treatment Techniques, or other means available for achieving compliance with the Maximum Contaminant Levels for Disinfection byproducts identified in of 310 CMR 22.07E(1):</w:t>
      </w:r>
    </w:p>
    <w:p w14:paraId="2819F0E6" w14:textId="77777777" w:rsidR="004647B9" w:rsidRPr="005C3082" w:rsidRDefault="004647B9" w:rsidP="005C3082">
      <w:pPr>
        <w:rPr>
          <w:sz w:val="24"/>
          <w:szCs w:val="24"/>
        </w:rPr>
      </w:pPr>
    </w:p>
    <w:tbl>
      <w:tblPr>
        <w:tblW w:w="0" w:type="auto"/>
        <w:tblInd w:w="1560" w:type="dxa"/>
        <w:tblLayout w:type="fixed"/>
        <w:tblCellMar>
          <w:left w:w="0" w:type="dxa"/>
          <w:right w:w="0" w:type="dxa"/>
        </w:tblCellMar>
        <w:tblLook w:val="04A0" w:firstRow="1" w:lastRow="0" w:firstColumn="1" w:lastColumn="0" w:noHBand="0" w:noVBand="1"/>
      </w:tblPr>
      <w:tblGrid>
        <w:gridCol w:w="2240"/>
        <w:gridCol w:w="280"/>
        <w:gridCol w:w="6120"/>
      </w:tblGrid>
      <w:tr w:rsidR="0000791C" w14:paraId="2819F0EB" w14:textId="77777777" w:rsidTr="0000791C">
        <w:trPr>
          <w:trHeight w:val="276"/>
        </w:trPr>
        <w:tc>
          <w:tcPr>
            <w:tcW w:w="2240" w:type="dxa"/>
            <w:vAlign w:val="bottom"/>
          </w:tcPr>
          <w:p w14:paraId="2819F0E7" w14:textId="77777777" w:rsidR="0000791C" w:rsidRPr="0000791C" w:rsidRDefault="0000791C">
            <w:pPr>
              <w:rPr>
                <w:sz w:val="20"/>
                <w:szCs w:val="20"/>
                <w:u w:val="single"/>
              </w:rPr>
            </w:pPr>
            <w:r w:rsidRPr="0000791C">
              <w:rPr>
                <w:rFonts w:eastAsia="Times New Roman"/>
                <w:w w:val="98"/>
                <w:sz w:val="24"/>
                <w:szCs w:val="24"/>
                <w:u w:val="single"/>
              </w:rPr>
              <w:t>Disinfection Byproduct</w:t>
            </w:r>
          </w:p>
        </w:tc>
        <w:tc>
          <w:tcPr>
            <w:tcW w:w="280" w:type="dxa"/>
            <w:vAlign w:val="bottom"/>
          </w:tcPr>
          <w:p w14:paraId="2819F0E8" w14:textId="77777777" w:rsidR="0000791C" w:rsidRPr="0000791C" w:rsidRDefault="0000791C">
            <w:pPr>
              <w:rPr>
                <w:sz w:val="23"/>
                <w:szCs w:val="23"/>
                <w:u w:val="single"/>
              </w:rPr>
            </w:pPr>
          </w:p>
        </w:tc>
        <w:tc>
          <w:tcPr>
            <w:tcW w:w="6120" w:type="dxa"/>
            <w:vAlign w:val="bottom"/>
          </w:tcPr>
          <w:p w14:paraId="2819F0EA" w14:textId="3438AC2F" w:rsidR="0000791C" w:rsidRPr="0000791C" w:rsidRDefault="0000791C">
            <w:pPr>
              <w:rPr>
                <w:sz w:val="23"/>
                <w:szCs w:val="23"/>
                <w:u w:val="single"/>
              </w:rPr>
            </w:pPr>
            <w:r w:rsidRPr="0000791C">
              <w:rPr>
                <w:rFonts w:eastAsia="Times New Roman"/>
                <w:w w:val="98"/>
                <w:sz w:val="24"/>
                <w:szCs w:val="24"/>
                <w:u w:val="single"/>
              </w:rPr>
              <w:t>Best Available Technology</w:t>
            </w:r>
          </w:p>
        </w:tc>
      </w:tr>
      <w:tr w:rsidR="004647B9" w14:paraId="2819F0EF" w14:textId="77777777" w:rsidTr="002F6F1A">
        <w:trPr>
          <w:trHeight w:val="509"/>
        </w:trPr>
        <w:tc>
          <w:tcPr>
            <w:tcW w:w="2240" w:type="dxa"/>
            <w:vAlign w:val="center"/>
          </w:tcPr>
          <w:p w14:paraId="2819F0EC" w14:textId="77777777" w:rsidR="004647B9" w:rsidRDefault="00E2436F" w:rsidP="002F6F1A">
            <w:pPr>
              <w:jc w:val="center"/>
              <w:rPr>
                <w:sz w:val="20"/>
                <w:szCs w:val="20"/>
              </w:rPr>
            </w:pPr>
            <w:r>
              <w:rPr>
                <w:rFonts w:eastAsia="Times New Roman"/>
                <w:sz w:val="24"/>
                <w:szCs w:val="24"/>
              </w:rPr>
              <w:t>TTHM</w:t>
            </w:r>
          </w:p>
        </w:tc>
        <w:tc>
          <w:tcPr>
            <w:tcW w:w="280" w:type="dxa"/>
            <w:vAlign w:val="bottom"/>
          </w:tcPr>
          <w:p w14:paraId="2819F0ED" w14:textId="77777777" w:rsidR="004647B9" w:rsidRDefault="004647B9">
            <w:pPr>
              <w:rPr>
                <w:sz w:val="24"/>
                <w:szCs w:val="24"/>
              </w:rPr>
            </w:pPr>
          </w:p>
        </w:tc>
        <w:tc>
          <w:tcPr>
            <w:tcW w:w="6120" w:type="dxa"/>
            <w:vAlign w:val="bottom"/>
          </w:tcPr>
          <w:p w14:paraId="2819F0EE" w14:textId="036A6212" w:rsidR="004647B9" w:rsidRDefault="00E2436F">
            <w:pPr>
              <w:rPr>
                <w:sz w:val="20"/>
                <w:szCs w:val="20"/>
              </w:rPr>
            </w:pPr>
            <w:r>
              <w:rPr>
                <w:rFonts w:eastAsia="Times New Roman"/>
                <w:sz w:val="24"/>
                <w:szCs w:val="24"/>
              </w:rPr>
              <w:t>Enhanced Coagulation or Enhanced Softening or GAC10, with</w:t>
            </w:r>
            <w:r w:rsidR="0000791C">
              <w:rPr>
                <w:rFonts w:eastAsia="Times New Roman"/>
                <w:sz w:val="24"/>
                <w:szCs w:val="24"/>
              </w:rPr>
              <w:t xml:space="preserve"> chlorine as the primary and residual Disinfectant.</w:t>
            </w:r>
          </w:p>
        </w:tc>
      </w:tr>
      <w:tr w:rsidR="004647B9" w14:paraId="2819F0F7" w14:textId="77777777" w:rsidTr="002F6F1A">
        <w:trPr>
          <w:trHeight w:val="269"/>
        </w:trPr>
        <w:tc>
          <w:tcPr>
            <w:tcW w:w="2240" w:type="dxa"/>
            <w:vAlign w:val="center"/>
          </w:tcPr>
          <w:p w14:paraId="2819F0F4" w14:textId="77777777" w:rsidR="004647B9" w:rsidRDefault="00E2436F" w:rsidP="002F6F1A">
            <w:pPr>
              <w:spacing w:line="268" w:lineRule="exact"/>
              <w:jc w:val="center"/>
              <w:rPr>
                <w:sz w:val="20"/>
                <w:szCs w:val="20"/>
              </w:rPr>
            </w:pPr>
            <w:r>
              <w:rPr>
                <w:rFonts w:eastAsia="Times New Roman"/>
                <w:sz w:val="24"/>
                <w:szCs w:val="24"/>
              </w:rPr>
              <w:t>HAA5</w:t>
            </w:r>
          </w:p>
        </w:tc>
        <w:tc>
          <w:tcPr>
            <w:tcW w:w="280" w:type="dxa"/>
            <w:vAlign w:val="bottom"/>
          </w:tcPr>
          <w:p w14:paraId="2819F0F5" w14:textId="77777777" w:rsidR="004647B9" w:rsidRDefault="004647B9">
            <w:pPr>
              <w:rPr>
                <w:sz w:val="23"/>
                <w:szCs w:val="23"/>
              </w:rPr>
            </w:pPr>
          </w:p>
        </w:tc>
        <w:tc>
          <w:tcPr>
            <w:tcW w:w="6120" w:type="dxa"/>
            <w:vAlign w:val="bottom"/>
          </w:tcPr>
          <w:p w14:paraId="2819F0F6" w14:textId="08BB0EDE" w:rsidR="004647B9" w:rsidRDefault="00E2436F">
            <w:pPr>
              <w:spacing w:line="268" w:lineRule="exact"/>
              <w:rPr>
                <w:sz w:val="20"/>
                <w:szCs w:val="20"/>
              </w:rPr>
            </w:pPr>
            <w:r>
              <w:rPr>
                <w:rFonts w:eastAsia="Times New Roman"/>
                <w:sz w:val="24"/>
                <w:szCs w:val="24"/>
              </w:rPr>
              <w:t>Enhanced Coagulation or Enhanced Softening or GAC10, with</w:t>
            </w:r>
            <w:r w:rsidR="0000791C">
              <w:rPr>
                <w:rFonts w:eastAsia="Times New Roman"/>
                <w:sz w:val="24"/>
                <w:szCs w:val="24"/>
              </w:rPr>
              <w:t xml:space="preserve"> chlorine as the primary and residual Disinfectant.</w:t>
            </w:r>
          </w:p>
        </w:tc>
      </w:tr>
      <w:tr w:rsidR="004647B9" w14:paraId="2819F0FF" w14:textId="77777777" w:rsidTr="002F6F1A">
        <w:trPr>
          <w:trHeight w:val="269"/>
        </w:trPr>
        <w:tc>
          <w:tcPr>
            <w:tcW w:w="2240" w:type="dxa"/>
            <w:vAlign w:val="center"/>
          </w:tcPr>
          <w:p w14:paraId="2819F0FC" w14:textId="77777777" w:rsidR="004647B9" w:rsidRDefault="00E2436F" w:rsidP="002F6F1A">
            <w:pPr>
              <w:spacing w:line="268" w:lineRule="exact"/>
              <w:jc w:val="center"/>
              <w:rPr>
                <w:sz w:val="20"/>
                <w:szCs w:val="20"/>
              </w:rPr>
            </w:pPr>
            <w:r>
              <w:rPr>
                <w:rFonts w:eastAsia="Times New Roman"/>
                <w:sz w:val="24"/>
                <w:szCs w:val="24"/>
              </w:rPr>
              <w:t>Bromate</w:t>
            </w:r>
          </w:p>
        </w:tc>
        <w:tc>
          <w:tcPr>
            <w:tcW w:w="280" w:type="dxa"/>
            <w:vAlign w:val="bottom"/>
          </w:tcPr>
          <w:p w14:paraId="2819F0FD" w14:textId="77777777" w:rsidR="004647B9" w:rsidRDefault="004647B9">
            <w:pPr>
              <w:rPr>
                <w:sz w:val="23"/>
                <w:szCs w:val="23"/>
              </w:rPr>
            </w:pPr>
          </w:p>
        </w:tc>
        <w:tc>
          <w:tcPr>
            <w:tcW w:w="6120" w:type="dxa"/>
            <w:vAlign w:val="bottom"/>
          </w:tcPr>
          <w:p w14:paraId="2819F0FE" w14:textId="65E5962B" w:rsidR="004647B9" w:rsidRDefault="00E2436F">
            <w:pPr>
              <w:spacing w:line="268" w:lineRule="exact"/>
              <w:rPr>
                <w:sz w:val="20"/>
                <w:szCs w:val="20"/>
              </w:rPr>
            </w:pPr>
            <w:r>
              <w:rPr>
                <w:rFonts w:eastAsia="Times New Roman"/>
                <w:sz w:val="24"/>
                <w:szCs w:val="24"/>
              </w:rPr>
              <w:t>Control of ozone treatment process to reduce production of</w:t>
            </w:r>
            <w:r w:rsidR="0000791C">
              <w:rPr>
                <w:rFonts w:eastAsia="Times New Roman"/>
                <w:sz w:val="24"/>
                <w:szCs w:val="24"/>
              </w:rPr>
              <w:t xml:space="preserve"> bromate.</w:t>
            </w:r>
          </w:p>
        </w:tc>
      </w:tr>
      <w:tr w:rsidR="004647B9" w14:paraId="2819F107" w14:textId="77777777" w:rsidTr="002F6F1A">
        <w:trPr>
          <w:trHeight w:val="269"/>
        </w:trPr>
        <w:tc>
          <w:tcPr>
            <w:tcW w:w="2240" w:type="dxa"/>
            <w:vAlign w:val="center"/>
          </w:tcPr>
          <w:p w14:paraId="2819F104" w14:textId="77777777" w:rsidR="004647B9" w:rsidRDefault="00E2436F" w:rsidP="002F6F1A">
            <w:pPr>
              <w:spacing w:line="268" w:lineRule="exact"/>
              <w:jc w:val="center"/>
              <w:rPr>
                <w:sz w:val="20"/>
                <w:szCs w:val="20"/>
              </w:rPr>
            </w:pPr>
            <w:r>
              <w:rPr>
                <w:rFonts w:eastAsia="Times New Roman"/>
                <w:sz w:val="24"/>
                <w:szCs w:val="24"/>
              </w:rPr>
              <w:t>Chlorite</w:t>
            </w:r>
          </w:p>
        </w:tc>
        <w:tc>
          <w:tcPr>
            <w:tcW w:w="280" w:type="dxa"/>
            <w:vAlign w:val="bottom"/>
          </w:tcPr>
          <w:p w14:paraId="2819F105" w14:textId="77777777" w:rsidR="004647B9" w:rsidRDefault="004647B9">
            <w:pPr>
              <w:rPr>
                <w:sz w:val="23"/>
                <w:szCs w:val="23"/>
              </w:rPr>
            </w:pPr>
          </w:p>
        </w:tc>
        <w:tc>
          <w:tcPr>
            <w:tcW w:w="6120" w:type="dxa"/>
            <w:vAlign w:val="bottom"/>
          </w:tcPr>
          <w:p w14:paraId="2819F106" w14:textId="3000AB1A" w:rsidR="004647B9" w:rsidRDefault="00E2436F">
            <w:pPr>
              <w:spacing w:line="268" w:lineRule="exact"/>
              <w:rPr>
                <w:sz w:val="20"/>
                <w:szCs w:val="20"/>
              </w:rPr>
            </w:pPr>
            <w:r>
              <w:rPr>
                <w:rFonts w:eastAsia="Times New Roman"/>
                <w:w w:val="96"/>
                <w:sz w:val="24"/>
                <w:szCs w:val="24"/>
              </w:rPr>
              <w:t>Control of treatment processes to reduce Disinfectant demand and</w:t>
            </w:r>
            <w:r w:rsidR="0000791C">
              <w:rPr>
                <w:rFonts w:eastAsia="Times New Roman"/>
                <w:w w:val="96"/>
                <w:sz w:val="24"/>
                <w:szCs w:val="24"/>
              </w:rPr>
              <w:t xml:space="preserve"> control of Disinfection treatment processes to reduce Disinfectant </w:t>
            </w:r>
            <w:r w:rsidR="0000791C">
              <w:rPr>
                <w:rFonts w:eastAsia="Times New Roman"/>
                <w:sz w:val="24"/>
                <w:szCs w:val="24"/>
              </w:rPr>
              <w:t>levels.</w:t>
            </w:r>
          </w:p>
        </w:tc>
      </w:tr>
    </w:tbl>
    <w:p w14:paraId="2819F110" w14:textId="77777777" w:rsidR="004647B9" w:rsidRPr="005C3082" w:rsidRDefault="004647B9" w:rsidP="005C3082">
      <w:pPr>
        <w:rPr>
          <w:sz w:val="24"/>
          <w:szCs w:val="24"/>
        </w:rPr>
      </w:pPr>
    </w:p>
    <w:p w14:paraId="2819F111" w14:textId="77777777" w:rsidR="004647B9" w:rsidRDefault="00E2436F" w:rsidP="005C3082">
      <w:pPr>
        <w:numPr>
          <w:ilvl w:val="0"/>
          <w:numId w:val="284"/>
        </w:numPr>
        <w:tabs>
          <w:tab w:val="left" w:pos="2027"/>
        </w:tabs>
        <w:ind w:left="1560" w:hanging="5"/>
        <w:jc w:val="both"/>
        <w:rPr>
          <w:rFonts w:eastAsia="Times New Roman"/>
          <w:sz w:val="24"/>
          <w:szCs w:val="24"/>
        </w:rPr>
      </w:pPr>
      <w:r>
        <w:rPr>
          <w:rFonts w:eastAsia="Times New Roman"/>
          <w:sz w:val="24"/>
          <w:szCs w:val="24"/>
        </w:rPr>
        <w:t>The EPA Administrator, pursuant to the federal Safe Drinking Water Act, § 1412, 40 CFR 141, hereby identifies the following as the best technology, Treatment Techniques, or other means available for achieving compliance with the Maximum Contaminant Levels for TTHM and HAA5 identified in 310 CMR 22.07E(1) for all systems that disinfect their source water:</w:t>
      </w:r>
    </w:p>
    <w:p w14:paraId="2819F112" w14:textId="77777777" w:rsidR="004647B9" w:rsidRPr="005C3082" w:rsidRDefault="004647B9" w:rsidP="005C3082">
      <w:pPr>
        <w:rPr>
          <w:sz w:val="24"/>
          <w:szCs w:val="24"/>
        </w:rPr>
      </w:pPr>
    </w:p>
    <w:tbl>
      <w:tblPr>
        <w:tblW w:w="8729" w:type="dxa"/>
        <w:tblInd w:w="1570" w:type="dxa"/>
        <w:tblLayout w:type="fixed"/>
        <w:tblCellMar>
          <w:left w:w="0" w:type="dxa"/>
          <w:right w:w="0" w:type="dxa"/>
        </w:tblCellMar>
        <w:tblLook w:val="04A0" w:firstRow="1" w:lastRow="0" w:firstColumn="1" w:lastColumn="0" w:noHBand="0" w:noVBand="1"/>
      </w:tblPr>
      <w:tblGrid>
        <w:gridCol w:w="3700"/>
        <w:gridCol w:w="5029"/>
      </w:tblGrid>
      <w:tr w:rsidR="004647B9" w14:paraId="2819F115" w14:textId="77777777" w:rsidTr="00346420">
        <w:trPr>
          <w:trHeight w:val="348"/>
        </w:trPr>
        <w:tc>
          <w:tcPr>
            <w:tcW w:w="3700" w:type="dxa"/>
            <w:tcBorders>
              <w:top w:val="single" w:sz="8" w:space="0" w:color="auto"/>
              <w:left w:val="single" w:sz="8" w:space="0" w:color="auto"/>
              <w:bottom w:val="single" w:sz="8" w:space="0" w:color="auto"/>
              <w:right w:val="single" w:sz="8" w:space="0" w:color="auto"/>
            </w:tcBorders>
            <w:vAlign w:val="bottom"/>
          </w:tcPr>
          <w:p w14:paraId="2819F113" w14:textId="77777777" w:rsidR="004647B9" w:rsidRDefault="00E2436F">
            <w:pPr>
              <w:ind w:left="80"/>
              <w:rPr>
                <w:sz w:val="20"/>
                <w:szCs w:val="20"/>
              </w:rPr>
            </w:pPr>
            <w:r>
              <w:rPr>
                <w:rFonts w:eastAsia="Times New Roman"/>
                <w:sz w:val="24"/>
                <w:szCs w:val="24"/>
              </w:rPr>
              <w:t>Disinfection byproduct</w:t>
            </w:r>
          </w:p>
        </w:tc>
        <w:tc>
          <w:tcPr>
            <w:tcW w:w="5029" w:type="dxa"/>
            <w:tcBorders>
              <w:top w:val="single" w:sz="8" w:space="0" w:color="auto"/>
              <w:bottom w:val="single" w:sz="8" w:space="0" w:color="auto"/>
              <w:right w:val="single" w:sz="8" w:space="0" w:color="auto"/>
            </w:tcBorders>
            <w:vAlign w:val="bottom"/>
          </w:tcPr>
          <w:p w14:paraId="2819F114" w14:textId="77777777" w:rsidR="004647B9" w:rsidRDefault="00E2436F">
            <w:pPr>
              <w:rPr>
                <w:sz w:val="20"/>
                <w:szCs w:val="20"/>
              </w:rPr>
            </w:pPr>
            <w:r>
              <w:rPr>
                <w:rFonts w:eastAsia="Times New Roman"/>
                <w:sz w:val="24"/>
                <w:szCs w:val="24"/>
              </w:rPr>
              <w:t>Best Available Technology</w:t>
            </w:r>
          </w:p>
        </w:tc>
      </w:tr>
      <w:tr w:rsidR="002F6F1A" w14:paraId="387943C5" w14:textId="77777777" w:rsidTr="00B02780">
        <w:trPr>
          <w:trHeight w:val="348"/>
        </w:trPr>
        <w:tc>
          <w:tcPr>
            <w:tcW w:w="3700" w:type="dxa"/>
            <w:tcBorders>
              <w:top w:val="single" w:sz="8" w:space="0" w:color="auto"/>
              <w:left w:val="single" w:sz="8" w:space="0" w:color="auto"/>
              <w:bottom w:val="single" w:sz="8" w:space="0" w:color="auto"/>
              <w:right w:val="single" w:sz="8" w:space="0" w:color="auto"/>
            </w:tcBorders>
            <w:vAlign w:val="center"/>
          </w:tcPr>
          <w:p w14:paraId="4B9B228B" w14:textId="0F1EF59B" w:rsidR="002F6F1A" w:rsidRDefault="0002269F" w:rsidP="00B02780">
            <w:pPr>
              <w:ind w:left="80"/>
              <w:rPr>
                <w:rFonts w:eastAsia="Times New Roman"/>
                <w:sz w:val="24"/>
                <w:szCs w:val="24"/>
              </w:rPr>
            </w:pPr>
            <w:r>
              <w:rPr>
                <w:rFonts w:eastAsia="Times New Roman"/>
                <w:sz w:val="23"/>
                <w:szCs w:val="23"/>
              </w:rPr>
              <w:t xml:space="preserve">Total Trihalomethanes (TTHM) and Haloacetic Acids </w:t>
            </w:r>
            <w:r w:rsidR="00204963">
              <w:rPr>
                <w:rFonts w:eastAsia="Times New Roman"/>
                <w:sz w:val="23"/>
                <w:szCs w:val="23"/>
              </w:rPr>
              <w:t>(</w:t>
            </w:r>
            <w:r>
              <w:rPr>
                <w:rFonts w:eastAsia="Times New Roman"/>
                <w:sz w:val="23"/>
                <w:szCs w:val="23"/>
              </w:rPr>
              <w:t>Five) (HAA5).</w:t>
            </w:r>
          </w:p>
        </w:tc>
        <w:tc>
          <w:tcPr>
            <w:tcW w:w="5029" w:type="dxa"/>
            <w:tcBorders>
              <w:top w:val="single" w:sz="8" w:space="0" w:color="auto"/>
              <w:bottom w:val="single" w:sz="8" w:space="0" w:color="auto"/>
              <w:right w:val="single" w:sz="8" w:space="0" w:color="auto"/>
            </w:tcBorders>
            <w:vAlign w:val="bottom"/>
          </w:tcPr>
          <w:p w14:paraId="1989045E" w14:textId="0FEE19D0" w:rsidR="002F6F1A" w:rsidRDefault="0002269F" w:rsidP="00B02780">
            <w:pPr>
              <w:spacing w:line="245" w:lineRule="auto"/>
              <w:jc w:val="both"/>
              <w:rPr>
                <w:rFonts w:eastAsia="Times New Roman"/>
                <w:sz w:val="24"/>
                <w:szCs w:val="24"/>
              </w:rPr>
            </w:pPr>
            <w:r>
              <w:rPr>
                <w:rFonts w:eastAsia="Times New Roman"/>
                <w:sz w:val="23"/>
                <w:szCs w:val="23"/>
              </w:rPr>
              <w:t xml:space="preserve">Enhanced Coagulation or Enhanced Softening, plus GAC10; or nanofiltration with a molecular weight cutoff </w:t>
            </w:r>
            <w:r w:rsidR="00346420">
              <w:rPr>
                <w:rFonts w:eastAsia="Times New Roman"/>
                <w:sz w:val="23"/>
                <w:szCs w:val="23"/>
              </w:rPr>
              <w:t>≤1000 Daltons; or GAC20</w:t>
            </w:r>
          </w:p>
        </w:tc>
      </w:tr>
    </w:tbl>
    <w:p w14:paraId="7809AF1E" w14:textId="77777777" w:rsidR="00346420" w:rsidRDefault="00346420" w:rsidP="005C3082">
      <w:pPr>
        <w:tabs>
          <w:tab w:val="left" w:pos="2069"/>
        </w:tabs>
        <w:ind w:left="1555"/>
        <w:jc w:val="both"/>
        <w:rPr>
          <w:rFonts w:eastAsia="Times New Roman"/>
          <w:sz w:val="23"/>
          <w:szCs w:val="23"/>
        </w:rPr>
      </w:pPr>
    </w:p>
    <w:p w14:paraId="4D60F0B4" w14:textId="174186D2" w:rsidR="004647B9" w:rsidRPr="00016A09" w:rsidRDefault="00E2436F" w:rsidP="005C3082">
      <w:pPr>
        <w:numPr>
          <w:ilvl w:val="0"/>
          <w:numId w:val="284"/>
        </w:numPr>
        <w:tabs>
          <w:tab w:val="left" w:pos="2027"/>
        </w:tabs>
        <w:ind w:left="1560" w:hanging="5"/>
        <w:jc w:val="both"/>
        <w:rPr>
          <w:rFonts w:eastAsia="Times New Roman"/>
          <w:sz w:val="24"/>
          <w:szCs w:val="24"/>
        </w:rPr>
      </w:pPr>
      <w:r w:rsidRPr="00343F4E">
        <w:rPr>
          <w:rFonts w:eastAsia="Times New Roman"/>
          <w:sz w:val="24"/>
          <w:szCs w:val="24"/>
        </w:rPr>
        <w:t>The EPA Administrator, pursuant to the federal Safe Drinking Water Act, § 1412, 40 CFR 141, hereby identifies the following as the best technology, Treatment Techniques, or other means available for achieving compliance with the Maximum Contaminant Levels for TTHM and HAA5 identified in 310 CMR 22.07E(1) for consecutive systems and applies only to the disinfected water that consecutive systems buy or otherwise receive:</w:t>
      </w:r>
    </w:p>
    <w:p w14:paraId="44FDA221" w14:textId="77777777" w:rsidR="00701594" w:rsidRDefault="00701594" w:rsidP="005C3082"/>
    <w:tbl>
      <w:tblPr>
        <w:tblStyle w:val="TableGrid"/>
        <w:tblW w:w="0" w:type="auto"/>
        <w:tblInd w:w="16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80"/>
        <w:gridCol w:w="4890"/>
      </w:tblGrid>
      <w:tr w:rsidR="00701594" w14:paraId="110A10F9" w14:textId="77777777" w:rsidTr="00825F06">
        <w:tc>
          <w:tcPr>
            <w:tcW w:w="3480" w:type="dxa"/>
          </w:tcPr>
          <w:p w14:paraId="2E2C07D4" w14:textId="02E1C2B7" w:rsidR="00701594" w:rsidRDefault="00701594" w:rsidP="00825F06">
            <w:r>
              <w:rPr>
                <w:rFonts w:eastAsia="Times New Roman"/>
                <w:sz w:val="24"/>
                <w:szCs w:val="24"/>
              </w:rPr>
              <w:t>Disinfection Byproduct</w:t>
            </w:r>
          </w:p>
        </w:tc>
        <w:tc>
          <w:tcPr>
            <w:tcW w:w="4890" w:type="dxa"/>
          </w:tcPr>
          <w:p w14:paraId="6A351240" w14:textId="03D5F8E5" w:rsidR="00701594" w:rsidRDefault="00701594" w:rsidP="00825F06">
            <w:r>
              <w:rPr>
                <w:rFonts w:eastAsia="Times New Roman"/>
                <w:sz w:val="24"/>
                <w:szCs w:val="24"/>
              </w:rPr>
              <w:t>Best Available Technology</w:t>
            </w:r>
          </w:p>
        </w:tc>
      </w:tr>
      <w:tr w:rsidR="00CE63B4" w14:paraId="42899642" w14:textId="77777777" w:rsidTr="00825F06">
        <w:tc>
          <w:tcPr>
            <w:tcW w:w="3480" w:type="dxa"/>
            <w:vMerge w:val="restart"/>
            <w:vAlign w:val="center"/>
          </w:tcPr>
          <w:p w14:paraId="4A39CD44" w14:textId="31C0FF15" w:rsidR="00CE63B4" w:rsidRDefault="00CE63B4" w:rsidP="00825F06">
            <w:pPr>
              <w:spacing w:line="248" w:lineRule="auto"/>
            </w:pPr>
            <w:r>
              <w:rPr>
                <w:rFonts w:eastAsia="Times New Roman"/>
                <w:sz w:val="24"/>
                <w:szCs w:val="24"/>
              </w:rPr>
              <w:t xml:space="preserve">Total Trihalomethanes (TTHM) and Haloacetic Acids </w:t>
            </w:r>
            <w:r w:rsidR="008810A7">
              <w:rPr>
                <w:rFonts w:eastAsia="Times New Roman"/>
                <w:sz w:val="24"/>
                <w:szCs w:val="24"/>
              </w:rPr>
              <w:t>(</w:t>
            </w:r>
            <w:r>
              <w:rPr>
                <w:rFonts w:eastAsia="Times New Roman"/>
                <w:sz w:val="24"/>
                <w:szCs w:val="24"/>
              </w:rPr>
              <w:t>Five) (HAA5)</w:t>
            </w:r>
            <w:r w:rsidR="00825F06">
              <w:rPr>
                <w:rFonts w:eastAsia="Times New Roman"/>
                <w:sz w:val="24"/>
                <w:szCs w:val="24"/>
              </w:rPr>
              <w:t>.</w:t>
            </w:r>
          </w:p>
        </w:tc>
        <w:tc>
          <w:tcPr>
            <w:tcW w:w="4890" w:type="dxa"/>
          </w:tcPr>
          <w:p w14:paraId="26847502" w14:textId="355F5E94" w:rsidR="00CE63B4" w:rsidRDefault="00CE63B4" w:rsidP="00825F06">
            <w:pPr>
              <w:spacing w:line="252" w:lineRule="auto"/>
              <w:ind w:right="320"/>
            </w:pPr>
            <w:r w:rsidRPr="00701594">
              <w:rPr>
                <w:rFonts w:eastAsia="Times New Roman"/>
                <w:sz w:val="24"/>
                <w:szCs w:val="24"/>
              </w:rPr>
              <w:t xml:space="preserve">Systems serving </w:t>
            </w:r>
            <w:r w:rsidRPr="00701594">
              <w:rPr>
                <w:rFonts w:eastAsia="Times New Roman"/>
                <w:sz w:val="24"/>
                <w:szCs w:val="24"/>
                <w:u w:val="single"/>
              </w:rPr>
              <w:t>&gt;</w:t>
            </w:r>
            <w:r w:rsidRPr="00701594">
              <w:rPr>
                <w:rFonts w:eastAsia="Times New Roman"/>
                <w:sz w:val="24"/>
                <w:szCs w:val="24"/>
              </w:rPr>
              <w:t>10,000: Improved Distribution System and storage tank management to reduce residence time, plus the use of chloramines for disinfectant residual maintenance</w:t>
            </w:r>
          </w:p>
        </w:tc>
      </w:tr>
      <w:tr w:rsidR="00CE63B4" w14:paraId="63069846" w14:textId="77777777" w:rsidTr="00825F06">
        <w:tc>
          <w:tcPr>
            <w:tcW w:w="3480" w:type="dxa"/>
            <w:vMerge/>
          </w:tcPr>
          <w:p w14:paraId="4403A0B6" w14:textId="77777777" w:rsidR="00CE63B4" w:rsidRDefault="00CE63B4" w:rsidP="00701594">
            <w:pPr>
              <w:spacing w:line="248" w:lineRule="auto"/>
              <w:ind w:left="1640"/>
              <w:rPr>
                <w:rFonts w:eastAsia="Times New Roman"/>
                <w:sz w:val="24"/>
                <w:szCs w:val="24"/>
              </w:rPr>
            </w:pPr>
          </w:p>
        </w:tc>
        <w:tc>
          <w:tcPr>
            <w:tcW w:w="4890" w:type="dxa"/>
          </w:tcPr>
          <w:p w14:paraId="5A394B32" w14:textId="7258912D" w:rsidR="00CE63B4" w:rsidRPr="00701594" w:rsidRDefault="00CE63B4" w:rsidP="00825F06">
            <w:pPr>
              <w:spacing w:line="248" w:lineRule="auto"/>
              <w:ind w:right="320"/>
              <w:rPr>
                <w:rFonts w:eastAsia="Times New Roman"/>
                <w:sz w:val="24"/>
                <w:szCs w:val="24"/>
              </w:rPr>
            </w:pPr>
            <w:r w:rsidRPr="00701594">
              <w:rPr>
                <w:rFonts w:eastAsia="Times New Roman"/>
                <w:sz w:val="24"/>
                <w:szCs w:val="24"/>
              </w:rPr>
              <w:t>Systems serving &lt;10,000: Improved Distribution System and storage tank management to reduce residence time.</w:t>
            </w:r>
          </w:p>
        </w:tc>
      </w:tr>
    </w:tbl>
    <w:p w14:paraId="2819F11C" w14:textId="1AFF08B4" w:rsidR="00701594" w:rsidRDefault="00701594">
      <w:pPr>
        <w:sectPr w:rsidR="00701594" w:rsidSect="00EF630C">
          <w:pgSz w:w="12240" w:h="20180"/>
          <w:pgMar w:top="708" w:right="1440" w:bottom="1440" w:left="600" w:header="0" w:footer="0" w:gutter="0"/>
          <w:cols w:space="720" w:equalWidth="0">
            <w:col w:w="10200"/>
          </w:cols>
        </w:sectPr>
      </w:pPr>
    </w:p>
    <w:p w14:paraId="2819F130" w14:textId="77777777" w:rsidR="004647B9" w:rsidRDefault="00E2436F" w:rsidP="005C3082">
      <w:pPr>
        <w:numPr>
          <w:ilvl w:val="0"/>
          <w:numId w:val="286"/>
        </w:numPr>
        <w:tabs>
          <w:tab w:val="left" w:pos="1768"/>
        </w:tabs>
        <w:ind w:left="1200"/>
        <w:jc w:val="both"/>
        <w:rPr>
          <w:rFonts w:eastAsia="Times New Roman"/>
          <w:sz w:val="24"/>
          <w:szCs w:val="24"/>
        </w:rPr>
      </w:pPr>
      <w:r>
        <w:rPr>
          <w:rFonts w:eastAsia="Times New Roman"/>
          <w:sz w:val="24"/>
          <w:szCs w:val="24"/>
          <w:u w:val="single"/>
        </w:rPr>
        <w:t>Disinfectant Residuals BATs</w:t>
      </w:r>
      <w:r>
        <w:rPr>
          <w:rFonts w:eastAsia="Times New Roman"/>
          <w:sz w:val="24"/>
          <w:szCs w:val="24"/>
        </w:rPr>
        <w:t>. The EPA Administrator, pursuant to the federal Safe Drinking Water Act, § 1412, 40 CMR 141, has identified the control of treatment processes to reduce Disinfectant demand and the control of Disinfection treatment processes to reduce Disinfectant levels as the best technology, Treatment Techniques, or other means available for achieving compliance with the maximum residual Disinfectant levels for Disinfectant residuals identified in 310 CMR 22.07E(2).</w:t>
      </w:r>
    </w:p>
    <w:p w14:paraId="2819F131" w14:textId="77777777" w:rsidR="004647B9" w:rsidRDefault="004647B9" w:rsidP="005C3082">
      <w:pPr>
        <w:rPr>
          <w:rFonts w:eastAsia="Times New Roman"/>
          <w:sz w:val="24"/>
          <w:szCs w:val="24"/>
        </w:rPr>
      </w:pPr>
    </w:p>
    <w:p w14:paraId="2819F132" w14:textId="77777777" w:rsidR="004647B9" w:rsidRPr="0046319B" w:rsidRDefault="00E2436F" w:rsidP="005C3082">
      <w:pPr>
        <w:numPr>
          <w:ilvl w:val="0"/>
          <w:numId w:val="286"/>
        </w:numPr>
        <w:tabs>
          <w:tab w:val="left" w:pos="1660"/>
        </w:tabs>
        <w:ind w:left="1660" w:hanging="460"/>
        <w:rPr>
          <w:rFonts w:eastAsia="Times New Roman"/>
          <w:sz w:val="24"/>
          <w:szCs w:val="24"/>
        </w:rPr>
      </w:pPr>
      <w:r w:rsidRPr="0046319B">
        <w:rPr>
          <w:rFonts w:eastAsia="Times New Roman"/>
          <w:sz w:val="24"/>
          <w:szCs w:val="24"/>
          <w:u w:val="single"/>
        </w:rPr>
        <w:t>Analytical Requirements</w:t>
      </w:r>
      <w:r w:rsidRPr="0046319B">
        <w:rPr>
          <w:rFonts w:eastAsia="Times New Roman"/>
          <w:sz w:val="24"/>
          <w:szCs w:val="24"/>
        </w:rPr>
        <w:t>.</w:t>
      </w:r>
    </w:p>
    <w:p w14:paraId="2819F136" w14:textId="7234EE81" w:rsidR="004647B9" w:rsidRPr="0046319B" w:rsidRDefault="00E2436F" w:rsidP="005C3082">
      <w:pPr>
        <w:numPr>
          <w:ilvl w:val="1"/>
          <w:numId w:val="286"/>
        </w:numPr>
        <w:tabs>
          <w:tab w:val="left" w:pos="2013"/>
        </w:tabs>
        <w:ind w:left="1560"/>
        <w:jc w:val="both"/>
        <w:rPr>
          <w:rFonts w:eastAsia="Times New Roman"/>
          <w:sz w:val="24"/>
          <w:szCs w:val="24"/>
        </w:rPr>
      </w:pPr>
      <w:r w:rsidRPr="0046319B">
        <w:rPr>
          <w:rFonts w:eastAsia="Times New Roman"/>
          <w:sz w:val="24"/>
          <w:szCs w:val="24"/>
        </w:rPr>
        <w:t>Each Supplier of Water shall use only the analytical method(s) specified in 310 CMR 22.07E(6), or their equivalent as otherwise approved by EPA for monitoring under 310 CMR</w:t>
      </w:r>
      <w:r w:rsidR="0046319B" w:rsidRPr="0046319B">
        <w:rPr>
          <w:rFonts w:eastAsia="Times New Roman"/>
          <w:sz w:val="24"/>
          <w:szCs w:val="24"/>
        </w:rPr>
        <w:t xml:space="preserve"> </w:t>
      </w:r>
      <w:r w:rsidRPr="0046319B">
        <w:rPr>
          <w:rFonts w:eastAsia="Times New Roman"/>
          <w:sz w:val="24"/>
          <w:szCs w:val="24"/>
        </w:rPr>
        <w:t>22.07E and 22.07F, to demonstrate compliance with the requirements of 310 CMR 22.07E and 22.07F. These methods are effective for compliance monitoring as of February 16, 1999 unless a different effective date is specified in 310 CMR 22.07E(6) or by the Department.</w:t>
      </w:r>
    </w:p>
    <w:p w14:paraId="2819F137" w14:textId="77777777" w:rsidR="004647B9" w:rsidRDefault="004647B9">
      <w:pPr>
        <w:sectPr w:rsidR="004647B9" w:rsidSect="00EF630C">
          <w:type w:val="continuous"/>
          <w:pgSz w:w="12240" w:h="20180"/>
          <w:pgMar w:top="708" w:right="1440" w:bottom="1440" w:left="600" w:header="0" w:footer="0" w:gutter="0"/>
          <w:cols w:space="720" w:equalWidth="0">
            <w:col w:w="10200"/>
          </w:cols>
        </w:sectPr>
      </w:pPr>
    </w:p>
    <w:p w14:paraId="2819F138" w14:textId="77777777" w:rsidR="004647B9" w:rsidRDefault="00E2436F">
      <w:pPr>
        <w:tabs>
          <w:tab w:val="left" w:pos="160"/>
        </w:tabs>
        <w:jc w:val="center"/>
        <w:rPr>
          <w:sz w:val="20"/>
          <w:szCs w:val="20"/>
        </w:rPr>
      </w:pPr>
      <w:bookmarkStart w:id="113" w:name="page115"/>
      <w:bookmarkEnd w:id="11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139" w14:textId="77777777" w:rsidR="004647B9" w:rsidRDefault="004647B9" w:rsidP="00ED16AF">
      <w:pPr>
        <w:rPr>
          <w:sz w:val="20"/>
          <w:szCs w:val="20"/>
        </w:rPr>
      </w:pPr>
    </w:p>
    <w:p w14:paraId="2819F13A" w14:textId="77777777" w:rsidR="004647B9" w:rsidRDefault="004647B9" w:rsidP="00ED16AF">
      <w:pPr>
        <w:rPr>
          <w:sz w:val="20"/>
          <w:szCs w:val="20"/>
        </w:rPr>
      </w:pPr>
    </w:p>
    <w:p w14:paraId="2819F13B" w14:textId="77777777" w:rsidR="004647B9" w:rsidRPr="00ED16AF" w:rsidRDefault="00E2436F" w:rsidP="00ED16AF">
      <w:pPr>
        <w:tabs>
          <w:tab w:val="left" w:pos="920"/>
        </w:tabs>
        <w:rPr>
          <w:sz w:val="24"/>
          <w:szCs w:val="24"/>
        </w:rPr>
      </w:pPr>
      <w:r w:rsidRPr="00ED16AF">
        <w:rPr>
          <w:rFonts w:eastAsia="Times New Roman"/>
          <w:sz w:val="24"/>
          <w:szCs w:val="24"/>
        </w:rPr>
        <w:t>22.07E:</w:t>
      </w:r>
      <w:r w:rsidRPr="00ED16AF">
        <w:rPr>
          <w:sz w:val="24"/>
          <w:szCs w:val="24"/>
        </w:rPr>
        <w:tab/>
      </w:r>
      <w:r w:rsidRPr="00ED16AF">
        <w:rPr>
          <w:rFonts w:eastAsia="Times New Roman"/>
          <w:sz w:val="24"/>
          <w:szCs w:val="24"/>
        </w:rPr>
        <w:t>continued</w:t>
      </w:r>
    </w:p>
    <w:p w14:paraId="2819F13C" w14:textId="77777777" w:rsidR="004647B9" w:rsidRDefault="004647B9" w:rsidP="00ED16AF">
      <w:pPr>
        <w:rPr>
          <w:sz w:val="20"/>
          <w:szCs w:val="20"/>
        </w:rPr>
      </w:pPr>
    </w:p>
    <w:p w14:paraId="2819F13D" w14:textId="116DFB94" w:rsidR="004647B9" w:rsidRDefault="00E2436F" w:rsidP="00ED16AF">
      <w:pPr>
        <w:numPr>
          <w:ilvl w:val="0"/>
          <w:numId w:val="287"/>
        </w:numPr>
        <w:tabs>
          <w:tab w:val="left" w:pos="2005"/>
        </w:tabs>
        <w:ind w:left="1560" w:hanging="5"/>
        <w:jc w:val="both"/>
        <w:rPr>
          <w:rFonts w:eastAsia="Times New Roman"/>
          <w:sz w:val="23"/>
          <w:szCs w:val="23"/>
        </w:rPr>
      </w:pPr>
      <w:r w:rsidRPr="00343F4E">
        <w:rPr>
          <w:rFonts w:eastAsia="Times New Roman"/>
          <w:sz w:val="24"/>
          <w:szCs w:val="24"/>
        </w:rPr>
        <w:t xml:space="preserve">The methods described in 310 CMR 22.07E(6)(c) through (e) are contained within the following documents: EPA Method 552.1 is in </w:t>
      </w:r>
      <w:r w:rsidRPr="00343F4E">
        <w:rPr>
          <w:rFonts w:eastAsia="Times New Roman"/>
          <w:i/>
          <w:iCs/>
          <w:sz w:val="24"/>
          <w:szCs w:val="24"/>
        </w:rPr>
        <w:t>Methods for the Determination of Organic</w:t>
      </w:r>
      <w:r w:rsidRPr="00343F4E">
        <w:rPr>
          <w:rFonts w:eastAsia="Times New Roman"/>
          <w:sz w:val="24"/>
          <w:szCs w:val="24"/>
        </w:rPr>
        <w:t xml:space="preserve"> </w:t>
      </w:r>
      <w:r w:rsidRPr="00343F4E">
        <w:rPr>
          <w:rFonts w:eastAsia="Times New Roman"/>
          <w:i/>
          <w:iCs/>
          <w:sz w:val="24"/>
          <w:szCs w:val="24"/>
        </w:rPr>
        <w:t>Compounds in Drinking Water - Supplement II</w:t>
      </w:r>
      <w:r w:rsidRPr="00343F4E">
        <w:rPr>
          <w:rFonts w:eastAsia="Times New Roman"/>
          <w:sz w:val="24"/>
          <w:szCs w:val="24"/>
        </w:rPr>
        <w:t>, USEPA, August 1992, EPA/600/R-92/129</w:t>
      </w:r>
      <w:r w:rsidRPr="00343F4E">
        <w:rPr>
          <w:rFonts w:eastAsia="Times New Roman"/>
          <w:i/>
          <w:iCs/>
          <w:sz w:val="24"/>
          <w:szCs w:val="24"/>
        </w:rPr>
        <w:t xml:space="preserve"> </w:t>
      </w:r>
      <w:r w:rsidRPr="00343F4E">
        <w:rPr>
          <w:rFonts w:eastAsia="Times New Roman"/>
          <w:sz w:val="24"/>
          <w:szCs w:val="24"/>
        </w:rPr>
        <w:t xml:space="preserve">(available through the National Technical Information Service (NTIS), PB92-207703). EPA Methods 502.2, 524.2, 551.1, and 552.2 are in </w:t>
      </w:r>
      <w:r w:rsidRPr="00343F4E">
        <w:rPr>
          <w:rFonts w:eastAsia="Times New Roman"/>
          <w:i/>
          <w:iCs/>
          <w:sz w:val="24"/>
          <w:szCs w:val="24"/>
        </w:rPr>
        <w:t>Methods for the Determination of Organic</w:t>
      </w:r>
      <w:r w:rsidRPr="00343F4E">
        <w:rPr>
          <w:rFonts w:eastAsia="Times New Roman"/>
          <w:sz w:val="24"/>
          <w:szCs w:val="24"/>
        </w:rPr>
        <w:t xml:space="preserve"> </w:t>
      </w:r>
      <w:r w:rsidRPr="00343F4E">
        <w:rPr>
          <w:rFonts w:eastAsia="Times New Roman"/>
          <w:i/>
          <w:iCs/>
          <w:sz w:val="24"/>
          <w:szCs w:val="24"/>
        </w:rPr>
        <w:t>Compounds in Drinking Water - Supplement III</w:t>
      </w:r>
      <w:r w:rsidRPr="00343F4E">
        <w:rPr>
          <w:rFonts w:eastAsia="Times New Roman"/>
          <w:sz w:val="24"/>
          <w:szCs w:val="24"/>
        </w:rPr>
        <w:t>, USEPA, August 1995, EPA/600/R-95/131</w:t>
      </w:r>
      <w:r w:rsidRPr="00343F4E">
        <w:rPr>
          <w:rFonts w:eastAsia="Times New Roman"/>
          <w:i/>
          <w:iCs/>
          <w:sz w:val="24"/>
          <w:szCs w:val="24"/>
        </w:rPr>
        <w:t xml:space="preserve"> </w:t>
      </w:r>
      <w:r w:rsidRPr="00343F4E">
        <w:rPr>
          <w:rFonts w:eastAsia="Times New Roman"/>
          <w:sz w:val="24"/>
          <w:szCs w:val="24"/>
        </w:rPr>
        <w:t xml:space="preserve">(available through the NTIS, PB95- 261616). EPA Method 300.0 is in </w:t>
      </w:r>
      <w:r w:rsidRPr="00343F4E">
        <w:rPr>
          <w:rFonts w:eastAsia="Times New Roman"/>
          <w:i/>
          <w:iCs/>
          <w:sz w:val="24"/>
          <w:szCs w:val="24"/>
        </w:rPr>
        <w:t>Methods for the</w:t>
      </w:r>
      <w:r w:rsidRPr="00343F4E">
        <w:rPr>
          <w:rFonts w:eastAsia="Times New Roman"/>
          <w:sz w:val="24"/>
          <w:szCs w:val="24"/>
        </w:rPr>
        <w:t xml:space="preserve"> </w:t>
      </w:r>
      <w:r w:rsidRPr="00343F4E">
        <w:rPr>
          <w:rFonts w:eastAsia="Times New Roman"/>
          <w:i/>
          <w:iCs/>
          <w:sz w:val="24"/>
          <w:szCs w:val="24"/>
        </w:rPr>
        <w:t>Determination of Inorganic Substances in Environmental Samples</w:t>
      </w:r>
      <w:r w:rsidRPr="00343F4E">
        <w:rPr>
          <w:rFonts w:eastAsia="Times New Roman"/>
          <w:sz w:val="24"/>
          <w:szCs w:val="24"/>
        </w:rPr>
        <w:t>, USEPA, August 1993,</w:t>
      </w:r>
      <w:r w:rsidRPr="00343F4E">
        <w:rPr>
          <w:rFonts w:eastAsia="Times New Roman"/>
          <w:i/>
          <w:iCs/>
          <w:sz w:val="24"/>
          <w:szCs w:val="24"/>
        </w:rPr>
        <w:t xml:space="preserve"> </w:t>
      </w:r>
      <w:r w:rsidRPr="00343F4E">
        <w:rPr>
          <w:rFonts w:eastAsia="Times New Roman"/>
          <w:sz w:val="24"/>
          <w:szCs w:val="24"/>
        </w:rPr>
        <w:t xml:space="preserve">EPA/600/R-93/100 (available through the NTIS, PB94-121811). EPA Methods 300.1 and 321.8 are in Methods for the Determination of Organic and Inorganic Compounds in Drinking Water, Volume 1, USEPA, August 2000, EPA 815-R-00-014 (available through NTIS, PB2000-106981. EPA Method 317.0, Revision 2.0, </w:t>
      </w:r>
      <w:r w:rsidRPr="00343F4E">
        <w:rPr>
          <w:rFonts w:eastAsia="Times New Roman"/>
          <w:i/>
          <w:iCs/>
          <w:sz w:val="24"/>
          <w:szCs w:val="24"/>
        </w:rPr>
        <w:t>Determination of Inorganic</w:t>
      </w:r>
      <w:r w:rsidRPr="00343F4E">
        <w:rPr>
          <w:rFonts w:eastAsia="Times New Roman"/>
          <w:sz w:val="24"/>
          <w:szCs w:val="24"/>
        </w:rPr>
        <w:t xml:space="preserve"> </w:t>
      </w:r>
      <w:r w:rsidRPr="00343F4E">
        <w:rPr>
          <w:rFonts w:eastAsia="Times New Roman"/>
          <w:i/>
          <w:iCs/>
          <w:sz w:val="24"/>
          <w:szCs w:val="24"/>
        </w:rPr>
        <w:t>Oxyhalide Disinfection By-products in Drinking Water Using Ion Chromatography Incorporating the Addition of a Postcolumn Reagent for Trace Bromate Analysis, USEPA, July 2001, EPA 815-B-01-001, EPA Method 326.0, Revision 1.0, Determination of Inorganic Oxyhalide Disinfection By-products in Drinking Water Using Ion Chromatography Incorporating the Addition of a Suppressor Acidified Postcolumn Reagent for Trace Bromate Analysis</w:t>
      </w:r>
      <w:r w:rsidRPr="00343F4E">
        <w:rPr>
          <w:rFonts w:eastAsia="Times New Roman"/>
          <w:sz w:val="24"/>
          <w:szCs w:val="24"/>
        </w:rPr>
        <w:t>, USEPA, June 2002, EPA 815—R-03-007, EPA Method 327.0, Revision 1.1,</w:t>
      </w:r>
      <w:r w:rsidRPr="00343F4E">
        <w:rPr>
          <w:rFonts w:eastAsia="Times New Roman"/>
          <w:i/>
          <w:iCs/>
          <w:sz w:val="24"/>
          <w:szCs w:val="24"/>
        </w:rPr>
        <w:t xml:space="preserve"> </w:t>
      </w:r>
      <w:r w:rsidRPr="00343F4E">
        <w:rPr>
          <w:rFonts w:eastAsia="Times New Roman"/>
          <w:sz w:val="24"/>
          <w:szCs w:val="24"/>
        </w:rPr>
        <w:t xml:space="preserve">“Determination of Chlorine Dioxide and Chlorite Ion in Drinking Water Using Lissamine Green B and Horseradish Peroxidase with Detection by Visible Spectrophotometry”, USEPA, May 2005, EPA 815-R-05-008 and EPA Method 552.3, Revision 1.0, “Determination of Haloacetic Acids and Dalapon in Drinking Water by Liquid-liquid Microextraction, Derivatization, and Gas Chromatography with Electron Capture Detection,“ USEPA, July 2003, EPA-815-B-03-002 can be accessed and downloaded directly </w:t>
      </w:r>
      <w:r w:rsidR="00455D9E">
        <w:rPr>
          <w:rFonts w:eastAsia="Times New Roman"/>
          <w:sz w:val="24"/>
          <w:szCs w:val="24"/>
        </w:rPr>
        <w:t xml:space="preserve">from </w:t>
      </w:r>
      <w:r w:rsidR="00BF67BC">
        <w:rPr>
          <w:rFonts w:eastAsia="Times New Roman"/>
          <w:sz w:val="24"/>
          <w:szCs w:val="24"/>
        </w:rPr>
        <w:t xml:space="preserve">the </w:t>
      </w:r>
      <w:r w:rsidR="001A24EF">
        <w:rPr>
          <w:rFonts w:eastAsia="Times New Roman"/>
          <w:sz w:val="24"/>
          <w:szCs w:val="24"/>
        </w:rPr>
        <w:t>National Service Center for Environmental Publications</w:t>
      </w:r>
      <w:r w:rsidR="00D9362E">
        <w:rPr>
          <w:rFonts w:eastAsia="Times New Roman"/>
          <w:sz w:val="24"/>
          <w:szCs w:val="24"/>
        </w:rPr>
        <w:t xml:space="preserve"> (NSCEP)</w:t>
      </w:r>
      <w:r w:rsidRPr="00343F4E">
        <w:rPr>
          <w:rFonts w:eastAsia="Times New Roman"/>
          <w:sz w:val="24"/>
          <w:szCs w:val="24"/>
        </w:rPr>
        <w:t xml:space="preserve">. EPA Method 415.3, Revision 1.1, “Determination of Total Organic Carbon and Specific UV Absorbance at 254 nm in Source Water and Drinking Water”, USEPA, February 2005, EPA/600/R-05/055 can be accessed and downloaded directly </w:t>
      </w:r>
      <w:r w:rsidR="001F7F29">
        <w:rPr>
          <w:rFonts w:eastAsia="Times New Roman"/>
          <w:sz w:val="24"/>
          <w:szCs w:val="24"/>
        </w:rPr>
        <w:t>from NSCEP</w:t>
      </w:r>
      <w:r w:rsidRPr="00343F4E">
        <w:rPr>
          <w:rFonts w:eastAsia="Times New Roman"/>
          <w:sz w:val="24"/>
          <w:szCs w:val="24"/>
        </w:rPr>
        <w:t>. Standard Methods 4500–Cl D, 4500–Cl E, 4500–Cl F, 4500–Cl G, 4500–Cl H, 4500–Cl I, 4500–ClO2 D, 4500–ClO2 E, 6251 B, and 5910 B shall be followed in accordance with Standard Methods for the Examination of Water and Wastewater, 19</w:t>
      </w:r>
      <w:r w:rsidRPr="00343F4E">
        <w:rPr>
          <w:rFonts w:eastAsia="Times New Roman"/>
          <w:sz w:val="24"/>
          <w:szCs w:val="24"/>
          <w:vertAlign w:val="superscript"/>
        </w:rPr>
        <w:t>th</w:t>
      </w:r>
      <w:r w:rsidRPr="00343F4E">
        <w:rPr>
          <w:rFonts w:eastAsia="Times New Roman"/>
          <w:sz w:val="24"/>
          <w:szCs w:val="24"/>
        </w:rPr>
        <w:t xml:space="preserve"> or 20</w:t>
      </w:r>
      <w:r w:rsidRPr="00343F4E">
        <w:rPr>
          <w:rFonts w:eastAsia="Times New Roman"/>
          <w:sz w:val="24"/>
          <w:szCs w:val="24"/>
          <w:vertAlign w:val="superscript"/>
        </w:rPr>
        <w:t>th</w:t>
      </w:r>
      <w:r w:rsidRPr="00343F4E">
        <w:rPr>
          <w:rFonts w:eastAsia="Times New Roman"/>
          <w:sz w:val="24"/>
          <w:szCs w:val="24"/>
        </w:rPr>
        <w:t xml:space="preserve"> Editions, American Public Health Association, 1995 and 1998, respectively. The cited methods published in either edition may be used. Standard Methods 5310 B, 5310 C, and 5310 D shall be followed in accordance with the Supplement to the 19</w:t>
      </w:r>
      <w:r w:rsidRPr="00343F4E">
        <w:rPr>
          <w:rFonts w:eastAsia="Times New Roman"/>
          <w:sz w:val="24"/>
          <w:szCs w:val="24"/>
          <w:vertAlign w:val="superscript"/>
        </w:rPr>
        <w:t>th</w:t>
      </w:r>
      <w:r w:rsidRPr="00343F4E">
        <w:rPr>
          <w:rFonts w:eastAsia="Times New Roman"/>
          <w:sz w:val="24"/>
          <w:szCs w:val="24"/>
        </w:rPr>
        <w:t xml:space="preserve"> Edition of Standard Methods for the Examination of Water and Wastewater, or the Standard Methods for the Examination of Water and Wastewater, 20</w:t>
      </w:r>
      <w:r w:rsidRPr="00343F4E">
        <w:rPr>
          <w:rFonts w:eastAsia="Times New Roman"/>
          <w:sz w:val="24"/>
          <w:szCs w:val="24"/>
          <w:vertAlign w:val="superscript"/>
        </w:rPr>
        <w:t>th</w:t>
      </w:r>
      <w:r>
        <w:rPr>
          <w:rFonts w:eastAsia="Times New Roman"/>
          <w:sz w:val="23"/>
          <w:szCs w:val="23"/>
        </w:rPr>
        <w:t xml:space="preserve"> Edition, American Public Health Association, </w:t>
      </w:r>
      <w:r w:rsidRPr="00AF58DC">
        <w:rPr>
          <w:rFonts w:eastAsia="Times New Roman"/>
          <w:sz w:val="24"/>
          <w:szCs w:val="24"/>
        </w:rPr>
        <w:t xml:space="preserve">1996 and 1998, respectively. The cited methods published in either edition may be used. Copies may be obtained from the American Public Health Association, 1015 Fifteenth Street, NW., Washington, DC 20005. Standard Methods 4500–Cl D–00, 4500–Cl E–00, 4500–Cl F–00, 4500–Cl G–00, 4500–Cl H–00, 4500–Cl I–00, 4500–ClO2 E–00, 6251 B–94, 5310 B–00, 5310 C–00, 5310 D–00 and 5910 B–00 are available </w:t>
      </w:r>
      <w:r w:rsidR="00874C43" w:rsidRPr="00AF58DC">
        <w:rPr>
          <w:rFonts w:eastAsia="Times New Roman"/>
          <w:sz w:val="24"/>
          <w:szCs w:val="24"/>
        </w:rPr>
        <w:t>from</w:t>
      </w:r>
      <w:r w:rsidR="00006B50" w:rsidRPr="00AF58DC">
        <w:rPr>
          <w:rFonts w:eastAsia="Times New Roman"/>
          <w:sz w:val="24"/>
          <w:szCs w:val="24"/>
        </w:rPr>
        <w:t xml:space="preserve"> Standard Methods </w:t>
      </w:r>
      <w:r w:rsidR="00874C43" w:rsidRPr="00AF58DC">
        <w:rPr>
          <w:rFonts w:eastAsia="Times New Roman"/>
          <w:sz w:val="24"/>
          <w:szCs w:val="24"/>
        </w:rPr>
        <w:t xml:space="preserve">Online </w:t>
      </w:r>
      <w:r w:rsidRPr="00AF58DC">
        <w:rPr>
          <w:rFonts w:eastAsia="Times New Roman"/>
          <w:sz w:val="24"/>
          <w:szCs w:val="24"/>
        </w:rPr>
        <w:t>or at EPA’s Water Docket. The year in which each method was approved by the Standard Methods Committee is designated by the last two digits in the method number. The methods listed are the only Online versions that are IBR-approved. ASTM Methods D 1253–86 and D 1253–86 (Reapproved 1996) shall be followed in accordance with the Annual Book of ASTM Standards, Volume 11.01, American Society for Testing and Materials International, 1996 or any ASTM edition containing the IBR-approved version of the method may be used. ASTM Method D1253–03 shall be followed in accordance with the Annual Book of ASTM Standards, Volume 11.01, American Society for Testing and Materials International, 2004 or any ASTM edition containing the IBR-approved version of the method may be used. ASTM Method D 6581–00 shall be followed in accordance with the Annual Book of ASTM Standards, Volume 11.01, American Society for Testing and Materials International, 2001 or any ASTM edition containing the IBR-approved version of the method may be used; copies may be obtained from the American Society for Testing and Materials International, 100 Barr Harbor Drive, West Conshohocken, PA 19428-2959.</w:t>
      </w:r>
    </w:p>
    <w:p w14:paraId="2819F13E" w14:textId="6D635965" w:rsidR="004647B9" w:rsidRPr="00ED16AF" w:rsidRDefault="004647B9" w:rsidP="00343F4E">
      <w:pPr>
        <w:rPr>
          <w:rFonts w:eastAsia="Times New Roman"/>
          <w:sz w:val="24"/>
          <w:szCs w:val="24"/>
        </w:rPr>
      </w:pPr>
    </w:p>
    <w:p w14:paraId="2819F13F" w14:textId="176976B3" w:rsidR="00343F4E" w:rsidRDefault="00343F4E">
      <w:r>
        <w:br w:type="page"/>
      </w:r>
    </w:p>
    <w:p w14:paraId="43FB6002" w14:textId="77777777" w:rsidR="004647B9" w:rsidRDefault="004647B9" w:rsidP="00343F4E">
      <w:pPr>
        <w:sectPr w:rsidR="004647B9" w:rsidSect="00EF630C">
          <w:pgSz w:w="12240" w:h="20180"/>
          <w:pgMar w:top="708" w:right="1440" w:bottom="1440" w:left="600" w:header="0" w:footer="0" w:gutter="0"/>
          <w:cols w:space="720" w:equalWidth="0">
            <w:col w:w="10200"/>
          </w:cols>
        </w:sectPr>
      </w:pPr>
    </w:p>
    <w:p w14:paraId="2819F140" w14:textId="77777777" w:rsidR="004647B9" w:rsidRDefault="00E2436F" w:rsidP="00343F4E">
      <w:pPr>
        <w:tabs>
          <w:tab w:val="left" w:pos="160"/>
        </w:tabs>
        <w:ind w:right="100"/>
        <w:jc w:val="center"/>
        <w:rPr>
          <w:sz w:val="20"/>
          <w:szCs w:val="20"/>
        </w:rPr>
      </w:pPr>
      <w:bookmarkStart w:id="114" w:name="page116"/>
      <w:bookmarkEnd w:id="11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141" w14:textId="77777777" w:rsidR="004647B9" w:rsidRDefault="004647B9" w:rsidP="00ED16AF">
      <w:pPr>
        <w:rPr>
          <w:sz w:val="20"/>
          <w:szCs w:val="20"/>
        </w:rPr>
      </w:pPr>
    </w:p>
    <w:p w14:paraId="2819F142" w14:textId="77777777" w:rsidR="004647B9" w:rsidRDefault="004647B9" w:rsidP="00ED16AF">
      <w:pPr>
        <w:rPr>
          <w:sz w:val="20"/>
          <w:szCs w:val="20"/>
        </w:rPr>
      </w:pPr>
    </w:p>
    <w:p w14:paraId="2819F143" w14:textId="77777777" w:rsidR="004647B9" w:rsidRPr="00ED16AF" w:rsidRDefault="00E2436F" w:rsidP="00ED16AF">
      <w:pPr>
        <w:tabs>
          <w:tab w:val="left" w:pos="920"/>
        </w:tabs>
        <w:rPr>
          <w:sz w:val="24"/>
          <w:szCs w:val="24"/>
        </w:rPr>
      </w:pPr>
      <w:r w:rsidRPr="00ED16AF">
        <w:rPr>
          <w:rFonts w:eastAsia="Times New Roman"/>
          <w:sz w:val="24"/>
          <w:szCs w:val="24"/>
        </w:rPr>
        <w:t>22.07E:</w:t>
      </w:r>
      <w:r w:rsidRPr="00ED16AF">
        <w:rPr>
          <w:sz w:val="24"/>
          <w:szCs w:val="24"/>
        </w:rPr>
        <w:tab/>
      </w:r>
      <w:r w:rsidRPr="00ED16AF">
        <w:rPr>
          <w:rFonts w:eastAsia="Times New Roman"/>
          <w:sz w:val="24"/>
          <w:szCs w:val="24"/>
        </w:rPr>
        <w:t>continued</w:t>
      </w:r>
    </w:p>
    <w:p w14:paraId="2819F144" w14:textId="77777777" w:rsidR="004647B9" w:rsidRDefault="004647B9" w:rsidP="00ED16AF">
      <w:pPr>
        <w:rPr>
          <w:sz w:val="20"/>
          <w:szCs w:val="20"/>
        </w:rPr>
      </w:pPr>
    </w:p>
    <w:p w14:paraId="2819F145" w14:textId="77777777" w:rsidR="004647B9" w:rsidRDefault="00E2436F" w:rsidP="00ED16AF">
      <w:pPr>
        <w:numPr>
          <w:ilvl w:val="0"/>
          <w:numId w:val="288"/>
        </w:numPr>
        <w:tabs>
          <w:tab w:val="left" w:pos="2000"/>
        </w:tabs>
        <w:ind w:left="2000" w:hanging="445"/>
        <w:rPr>
          <w:rFonts w:eastAsia="Times New Roman"/>
          <w:sz w:val="24"/>
          <w:szCs w:val="24"/>
        </w:rPr>
      </w:pPr>
      <w:r>
        <w:rPr>
          <w:rFonts w:eastAsia="Times New Roman"/>
          <w:sz w:val="24"/>
          <w:szCs w:val="24"/>
          <w:u w:val="single"/>
        </w:rPr>
        <w:t>Disinfection Byproducts</w:t>
      </w:r>
      <w:r>
        <w:rPr>
          <w:rFonts w:eastAsia="Times New Roman"/>
          <w:sz w:val="24"/>
          <w:szCs w:val="24"/>
        </w:rPr>
        <w:t>.</w:t>
      </w:r>
    </w:p>
    <w:p w14:paraId="2819F147" w14:textId="77777777" w:rsidR="004647B9" w:rsidRDefault="00E2436F" w:rsidP="00ED16AF">
      <w:pPr>
        <w:numPr>
          <w:ilvl w:val="1"/>
          <w:numId w:val="288"/>
        </w:numPr>
        <w:tabs>
          <w:tab w:val="left" w:pos="2294"/>
        </w:tabs>
        <w:ind w:left="1920" w:right="100" w:hanging="5"/>
        <w:rPr>
          <w:rFonts w:eastAsia="Times New Roman"/>
          <w:sz w:val="24"/>
          <w:szCs w:val="24"/>
        </w:rPr>
      </w:pPr>
      <w:r>
        <w:rPr>
          <w:rFonts w:eastAsia="Times New Roman"/>
          <w:sz w:val="24"/>
          <w:szCs w:val="24"/>
        </w:rPr>
        <w:t>Each Supplier of Water shall measure Disinfection byproducts by the methods (as modified by the footnotes) listed in the following table:</w:t>
      </w:r>
    </w:p>
    <w:p w14:paraId="2819F148" w14:textId="77777777" w:rsidR="004647B9" w:rsidRPr="00ED16AF" w:rsidRDefault="004647B9" w:rsidP="00ED16AF">
      <w:pPr>
        <w:rPr>
          <w:sz w:val="24"/>
          <w:szCs w:val="24"/>
        </w:rPr>
      </w:pPr>
    </w:p>
    <w:p w14:paraId="2819F149" w14:textId="5F071C83" w:rsidR="004647B9" w:rsidRDefault="00E2436F" w:rsidP="00ED16AF">
      <w:pPr>
        <w:ind w:left="420"/>
        <w:rPr>
          <w:rFonts w:eastAsia="Times New Roman"/>
          <w:sz w:val="24"/>
          <w:szCs w:val="24"/>
        </w:rPr>
      </w:pPr>
      <w:r>
        <w:rPr>
          <w:rFonts w:eastAsia="Times New Roman"/>
          <w:sz w:val="24"/>
          <w:szCs w:val="24"/>
        </w:rPr>
        <w:t>APPROVED METHODS FOR DISNFECTION BYPRODUCT COMPLIANCE MONITORING</w:t>
      </w:r>
    </w:p>
    <w:p w14:paraId="2EDDC7CD" w14:textId="0D46C0C4" w:rsidR="00025635" w:rsidRDefault="00025635" w:rsidP="00ED16AF">
      <w:pPr>
        <w:ind w:left="420"/>
        <w:rPr>
          <w:rFonts w:eastAsia="Times New Roman"/>
          <w:sz w:val="24"/>
          <w:szCs w:val="24"/>
        </w:rPr>
      </w:pPr>
    </w:p>
    <w:tbl>
      <w:tblPr>
        <w:tblStyle w:val="TableGrid"/>
        <w:tblW w:w="10350" w:type="dxa"/>
        <w:tblInd w:w="85" w:type="dxa"/>
        <w:tblLook w:val="04A0" w:firstRow="1" w:lastRow="0" w:firstColumn="1" w:lastColumn="0" w:noHBand="0" w:noVBand="1"/>
      </w:tblPr>
      <w:tblGrid>
        <w:gridCol w:w="3514"/>
        <w:gridCol w:w="1800"/>
        <w:gridCol w:w="1858"/>
        <w:gridCol w:w="1468"/>
        <w:gridCol w:w="1710"/>
      </w:tblGrid>
      <w:tr w:rsidR="003D10BA" w14:paraId="5164C6F2" w14:textId="77777777" w:rsidTr="00F9573F">
        <w:tc>
          <w:tcPr>
            <w:tcW w:w="3514" w:type="dxa"/>
            <w:tcBorders>
              <w:top w:val="single" w:sz="8" w:space="0" w:color="auto"/>
              <w:left w:val="single" w:sz="8" w:space="0" w:color="auto"/>
              <w:bottom w:val="single" w:sz="8" w:space="0" w:color="auto"/>
              <w:right w:val="single" w:sz="8" w:space="0" w:color="auto"/>
            </w:tcBorders>
            <w:vAlign w:val="center"/>
          </w:tcPr>
          <w:p w14:paraId="6F653696" w14:textId="507740A4" w:rsidR="003D10BA" w:rsidRDefault="003D10BA" w:rsidP="00F9573F">
            <w:pPr>
              <w:rPr>
                <w:rFonts w:eastAsia="Times New Roman"/>
                <w:sz w:val="24"/>
                <w:szCs w:val="24"/>
              </w:rPr>
            </w:pPr>
            <w:r>
              <w:rPr>
                <w:rFonts w:eastAsia="Times New Roman"/>
                <w:sz w:val="24"/>
                <w:szCs w:val="24"/>
              </w:rPr>
              <w:t>Contaminant and methodology</w:t>
            </w:r>
            <w:r>
              <w:rPr>
                <w:rFonts w:eastAsia="Times New Roman"/>
                <w:sz w:val="27"/>
                <w:szCs w:val="27"/>
                <w:vertAlign w:val="superscript"/>
              </w:rPr>
              <w:t>1</w:t>
            </w:r>
          </w:p>
        </w:tc>
        <w:tc>
          <w:tcPr>
            <w:tcW w:w="1800" w:type="dxa"/>
            <w:tcBorders>
              <w:top w:val="single" w:sz="8" w:space="0" w:color="auto"/>
              <w:left w:val="single" w:sz="8" w:space="0" w:color="auto"/>
              <w:bottom w:val="single" w:sz="8" w:space="0" w:color="auto"/>
              <w:right w:val="single" w:sz="8" w:space="0" w:color="auto"/>
            </w:tcBorders>
            <w:vAlign w:val="center"/>
          </w:tcPr>
          <w:p w14:paraId="18EC0969" w14:textId="4A857F4D" w:rsidR="003D10BA" w:rsidRDefault="003D10BA" w:rsidP="00F9573F">
            <w:pPr>
              <w:rPr>
                <w:rFonts w:eastAsia="Times New Roman"/>
                <w:sz w:val="24"/>
                <w:szCs w:val="24"/>
              </w:rPr>
            </w:pPr>
            <w:r>
              <w:rPr>
                <w:rFonts w:eastAsia="Times New Roman"/>
                <w:sz w:val="24"/>
                <w:szCs w:val="24"/>
              </w:rPr>
              <w:t>EPA method</w:t>
            </w:r>
          </w:p>
        </w:tc>
        <w:tc>
          <w:tcPr>
            <w:tcW w:w="1858" w:type="dxa"/>
            <w:tcBorders>
              <w:top w:val="single" w:sz="8" w:space="0" w:color="auto"/>
              <w:left w:val="single" w:sz="8" w:space="0" w:color="auto"/>
              <w:bottom w:val="single" w:sz="8" w:space="0" w:color="auto"/>
              <w:right w:val="single" w:sz="8" w:space="0" w:color="auto"/>
            </w:tcBorders>
            <w:vAlign w:val="center"/>
          </w:tcPr>
          <w:p w14:paraId="3231D0CB" w14:textId="345D246A" w:rsidR="003D10BA" w:rsidRDefault="003D10BA" w:rsidP="00F9573F">
            <w:pPr>
              <w:rPr>
                <w:rFonts w:eastAsia="Times New Roman"/>
                <w:sz w:val="24"/>
                <w:szCs w:val="24"/>
              </w:rPr>
            </w:pPr>
            <w:r>
              <w:rPr>
                <w:rFonts w:eastAsia="Times New Roman"/>
                <w:w w:val="98"/>
                <w:sz w:val="24"/>
                <w:szCs w:val="24"/>
              </w:rPr>
              <w:t>Standard Method</w:t>
            </w:r>
          </w:p>
        </w:tc>
        <w:tc>
          <w:tcPr>
            <w:tcW w:w="1468" w:type="dxa"/>
            <w:tcBorders>
              <w:top w:val="single" w:sz="8" w:space="0" w:color="auto"/>
              <w:left w:val="single" w:sz="8" w:space="0" w:color="auto"/>
              <w:bottom w:val="single" w:sz="8" w:space="0" w:color="auto"/>
              <w:right w:val="single" w:sz="8" w:space="0" w:color="auto"/>
            </w:tcBorders>
            <w:vAlign w:val="center"/>
          </w:tcPr>
          <w:p w14:paraId="3C23D8CF" w14:textId="720D677C" w:rsidR="003D10BA" w:rsidRDefault="003D10BA" w:rsidP="00F9573F">
            <w:pPr>
              <w:rPr>
                <w:rFonts w:eastAsia="Times New Roman"/>
                <w:sz w:val="24"/>
                <w:szCs w:val="24"/>
              </w:rPr>
            </w:pPr>
            <w:r>
              <w:rPr>
                <w:rFonts w:eastAsia="Times New Roman"/>
                <w:sz w:val="24"/>
                <w:szCs w:val="24"/>
              </w:rPr>
              <w:t>SM online</w:t>
            </w:r>
            <w:r>
              <w:rPr>
                <w:rFonts w:eastAsia="Times New Roman"/>
                <w:sz w:val="27"/>
                <w:szCs w:val="27"/>
                <w:vertAlign w:val="superscript"/>
              </w:rPr>
              <w:t>9</w:t>
            </w:r>
          </w:p>
        </w:tc>
        <w:tc>
          <w:tcPr>
            <w:tcW w:w="1710" w:type="dxa"/>
            <w:tcBorders>
              <w:top w:val="single" w:sz="8" w:space="0" w:color="auto"/>
              <w:left w:val="single" w:sz="8" w:space="0" w:color="auto"/>
              <w:bottom w:val="single" w:sz="8" w:space="0" w:color="auto"/>
              <w:right w:val="single" w:sz="8" w:space="0" w:color="auto"/>
            </w:tcBorders>
            <w:vAlign w:val="center"/>
          </w:tcPr>
          <w:p w14:paraId="4641479A" w14:textId="78593E74" w:rsidR="003D10BA" w:rsidRDefault="003D10BA" w:rsidP="00F9573F">
            <w:pPr>
              <w:rPr>
                <w:rFonts w:eastAsia="Times New Roman"/>
                <w:sz w:val="24"/>
                <w:szCs w:val="24"/>
              </w:rPr>
            </w:pPr>
            <w:r>
              <w:rPr>
                <w:rFonts w:eastAsia="Times New Roman"/>
                <w:sz w:val="23"/>
                <w:szCs w:val="23"/>
              </w:rPr>
              <w:t>ASTM method</w:t>
            </w:r>
            <w:r>
              <w:rPr>
                <w:rFonts w:eastAsia="Times New Roman"/>
                <w:sz w:val="26"/>
                <w:szCs w:val="26"/>
                <w:vertAlign w:val="superscript"/>
              </w:rPr>
              <w:t>3</w:t>
            </w:r>
          </w:p>
        </w:tc>
      </w:tr>
      <w:tr w:rsidR="00B6208D" w14:paraId="7F8B4110" w14:textId="77777777" w:rsidTr="00F9573F">
        <w:tc>
          <w:tcPr>
            <w:tcW w:w="3514" w:type="dxa"/>
            <w:tcBorders>
              <w:top w:val="single" w:sz="8" w:space="0" w:color="auto"/>
              <w:left w:val="single" w:sz="8" w:space="0" w:color="auto"/>
              <w:bottom w:val="nil"/>
              <w:right w:val="single" w:sz="8" w:space="0" w:color="auto"/>
            </w:tcBorders>
            <w:vAlign w:val="center"/>
          </w:tcPr>
          <w:p w14:paraId="22311040" w14:textId="258E1FCD" w:rsidR="003D10BA" w:rsidRPr="00453184" w:rsidRDefault="003D10BA" w:rsidP="00F9573F">
            <w:pPr>
              <w:rPr>
                <w:rFonts w:eastAsia="Times New Roman"/>
                <w:sz w:val="18"/>
                <w:szCs w:val="18"/>
              </w:rPr>
            </w:pPr>
            <w:r w:rsidRPr="00453184">
              <w:rPr>
                <w:rFonts w:eastAsia="Times New Roman"/>
                <w:sz w:val="18"/>
                <w:szCs w:val="18"/>
              </w:rPr>
              <w:t>TTHM</w:t>
            </w:r>
          </w:p>
        </w:tc>
        <w:tc>
          <w:tcPr>
            <w:tcW w:w="1800" w:type="dxa"/>
            <w:tcBorders>
              <w:top w:val="single" w:sz="8" w:space="0" w:color="auto"/>
              <w:left w:val="single" w:sz="8" w:space="0" w:color="auto"/>
              <w:bottom w:val="nil"/>
              <w:right w:val="single" w:sz="8" w:space="0" w:color="auto"/>
            </w:tcBorders>
            <w:vAlign w:val="center"/>
          </w:tcPr>
          <w:p w14:paraId="4F493506" w14:textId="77777777" w:rsidR="003D10BA" w:rsidRDefault="003D10BA" w:rsidP="00F9573F">
            <w:pPr>
              <w:rPr>
                <w:rFonts w:eastAsia="Times New Roman"/>
                <w:sz w:val="24"/>
                <w:szCs w:val="24"/>
              </w:rPr>
            </w:pPr>
          </w:p>
        </w:tc>
        <w:tc>
          <w:tcPr>
            <w:tcW w:w="1858" w:type="dxa"/>
            <w:tcBorders>
              <w:top w:val="single" w:sz="8" w:space="0" w:color="auto"/>
              <w:left w:val="single" w:sz="8" w:space="0" w:color="auto"/>
              <w:bottom w:val="nil"/>
              <w:right w:val="single" w:sz="8" w:space="0" w:color="auto"/>
            </w:tcBorders>
            <w:vAlign w:val="center"/>
          </w:tcPr>
          <w:p w14:paraId="468415D9" w14:textId="77777777" w:rsidR="003D10BA" w:rsidRDefault="003D10BA"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54470A89" w14:textId="77777777" w:rsidR="003D10BA" w:rsidRDefault="003D10BA"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446C0867" w14:textId="77777777" w:rsidR="003D10BA" w:rsidRDefault="003D10BA" w:rsidP="00F9573F">
            <w:pPr>
              <w:rPr>
                <w:rFonts w:eastAsia="Times New Roman"/>
                <w:sz w:val="24"/>
                <w:szCs w:val="24"/>
              </w:rPr>
            </w:pPr>
          </w:p>
        </w:tc>
      </w:tr>
      <w:tr w:rsidR="00B6208D" w14:paraId="60788F85" w14:textId="77777777" w:rsidTr="00F9573F">
        <w:tc>
          <w:tcPr>
            <w:tcW w:w="3514" w:type="dxa"/>
            <w:tcBorders>
              <w:top w:val="nil"/>
              <w:left w:val="single" w:sz="8" w:space="0" w:color="auto"/>
              <w:bottom w:val="nil"/>
              <w:right w:val="single" w:sz="8" w:space="0" w:color="auto"/>
            </w:tcBorders>
            <w:vAlign w:val="center"/>
          </w:tcPr>
          <w:p w14:paraId="1C4C075D" w14:textId="66B4FF0F" w:rsidR="003D10BA" w:rsidRPr="00453184" w:rsidRDefault="003D10BA" w:rsidP="00F9573F">
            <w:pPr>
              <w:ind w:left="720"/>
              <w:rPr>
                <w:rFonts w:eastAsia="Times New Roman"/>
                <w:sz w:val="18"/>
                <w:szCs w:val="18"/>
              </w:rPr>
            </w:pPr>
            <w:r w:rsidRPr="00453184">
              <w:rPr>
                <w:rFonts w:eastAsia="Times New Roman"/>
                <w:sz w:val="18"/>
                <w:szCs w:val="18"/>
              </w:rPr>
              <w:t>P&amp;T/GC/ElCD&amp; PID</w:t>
            </w:r>
          </w:p>
        </w:tc>
        <w:tc>
          <w:tcPr>
            <w:tcW w:w="1800" w:type="dxa"/>
            <w:tcBorders>
              <w:top w:val="nil"/>
              <w:left w:val="single" w:sz="8" w:space="0" w:color="auto"/>
              <w:bottom w:val="nil"/>
              <w:right w:val="single" w:sz="8" w:space="0" w:color="auto"/>
            </w:tcBorders>
            <w:vAlign w:val="center"/>
          </w:tcPr>
          <w:p w14:paraId="2BC33AB3" w14:textId="1D3D8D13" w:rsidR="003D10BA" w:rsidRPr="00453184" w:rsidRDefault="003D10BA" w:rsidP="00F9573F">
            <w:pPr>
              <w:rPr>
                <w:rFonts w:eastAsia="Times New Roman"/>
                <w:sz w:val="18"/>
                <w:szCs w:val="18"/>
              </w:rPr>
            </w:pPr>
            <w:r w:rsidRPr="00453184">
              <w:rPr>
                <w:rFonts w:eastAsia="Times New Roman"/>
                <w:sz w:val="18"/>
                <w:szCs w:val="18"/>
              </w:rPr>
              <w:t>502.2</w:t>
            </w:r>
            <w:r w:rsidRPr="00453184">
              <w:rPr>
                <w:rFonts w:eastAsia="Times New Roman"/>
                <w:sz w:val="18"/>
                <w:szCs w:val="18"/>
                <w:vertAlign w:val="superscript"/>
              </w:rPr>
              <w:t>4</w:t>
            </w:r>
          </w:p>
        </w:tc>
        <w:tc>
          <w:tcPr>
            <w:tcW w:w="1858" w:type="dxa"/>
            <w:tcBorders>
              <w:top w:val="nil"/>
              <w:left w:val="single" w:sz="8" w:space="0" w:color="auto"/>
              <w:bottom w:val="nil"/>
              <w:right w:val="single" w:sz="8" w:space="0" w:color="auto"/>
            </w:tcBorders>
            <w:vAlign w:val="center"/>
          </w:tcPr>
          <w:p w14:paraId="7BAFBC8A" w14:textId="77777777" w:rsidR="003D10BA" w:rsidRDefault="003D10BA"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1FE10055" w14:textId="77777777" w:rsidR="003D10BA" w:rsidRDefault="003D10BA"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15D67CA5" w14:textId="77777777" w:rsidR="003D10BA" w:rsidRDefault="003D10BA" w:rsidP="00F9573F">
            <w:pPr>
              <w:rPr>
                <w:rFonts w:eastAsia="Times New Roman"/>
                <w:sz w:val="24"/>
                <w:szCs w:val="24"/>
              </w:rPr>
            </w:pPr>
          </w:p>
        </w:tc>
      </w:tr>
      <w:tr w:rsidR="00B6208D" w14:paraId="27BE4143" w14:textId="77777777" w:rsidTr="00F9573F">
        <w:tc>
          <w:tcPr>
            <w:tcW w:w="3514" w:type="dxa"/>
            <w:tcBorders>
              <w:top w:val="nil"/>
              <w:left w:val="single" w:sz="8" w:space="0" w:color="auto"/>
              <w:bottom w:val="nil"/>
              <w:right w:val="single" w:sz="8" w:space="0" w:color="auto"/>
            </w:tcBorders>
            <w:vAlign w:val="center"/>
          </w:tcPr>
          <w:p w14:paraId="0C26C965" w14:textId="48A9CE7F" w:rsidR="003D10BA" w:rsidRPr="00453184" w:rsidRDefault="003D10BA" w:rsidP="00F9573F">
            <w:pPr>
              <w:ind w:left="720"/>
              <w:rPr>
                <w:rFonts w:eastAsia="Times New Roman"/>
                <w:sz w:val="18"/>
                <w:szCs w:val="18"/>
              </w:rPr>
            </w:pPr>
            <w:r w:rsidRPr="00453184">
              <w:rPr>
                <w:rFonts w:eastAsia="Times New Roman"/>
                <w:sz w:val="18"/>
                <w:szCs w:val="18"/>
              </w:rPr>
              <w:t>P&amp;T/GC/MS</w:t>
            </w:r>
          </w:p>
        </w:tc>
        <w:tc>
          <w:tcPr>
            <w:tcW w:w="1800" w:type="dxa"/>
            <w:tcBorders>
              <w:top w:val="nil"/>
              <w:left w:val="single" w:sz="8" w:space="0" w:color="auto"/>
              <w:bottom w:val="nil"/>
              <w:right w:val="single" w:sz="8" w:space="0" w:color="auto"/>
            </w:tcBorders>
            <w:vAlign w:val="center"/>
          </w:tcPr>
          <w:p w14:paraId="4708E6A2" w14:textId="4F1E75F2" w:rsidR="003D10BA" w:rsidRPr="00453184" w:rsidRDefault="003D10BA" w:rsidP="00F9573F">
            <w:pPr>
              <w:rPr>
                <w:rFonts w:eastAsia="Times New Roman"/>
                <w:sz w:val="18"/>
                <w:szCs w:val="18"/>
              </w:rPr>
            </w:pPr>
            <w:r w:rsidRPr="00453184">
              <w:rPr>
                <w:rFonts w:eastAsia="Times New Roman"/>
                <w:sz w:val="18"/>
                <w:szCs w:val="18"/>
              </w:rPr>
              <w:t>524.2, 524.3</w:t>
            </w:r>
            <w:r w:rsidRPr="00453184">
              <w:rPr>
                <w:rFonts w:eastAsia="Times New Roman"/>
                <w:sz w:val="18"/>
                <w:szCs w:val="18"/>
                <w:vertAlign w:val="superscript"/>
              </w:rPr>
              <w:t>10</w:t>
            </w:r>
            <w:r w:rsidRPr="00453184">
              <w:rPr>
                <w:rFonts w:eastAsia="Times New Roman"/>
                <w:sz w:val="18"/>
                <w:szCs w:val="18"/>
              </w:rPr>
              <w:t>,</w:t>
            </w:r>
            <w:r w:rsidR="00F33FDD">
              <w:rPr>
                <w:rFonts w:eastAsia="Times New Roman"/>
                <w:sz w:val="18"/>
                <w:szCs w:val="18"/>
              </w:rPr>
              <w:t xml:space="preserve"> 524.4</w:t>
            </w:r>
            <w:r w:rsidR="00F33FDD" w:rsidRPr="00F33FDD">
              <w:rPr>
                <w:rFonts w:eastAsia="Times New Roman"/>
                <w:sz w:val="18"/>
                <w:szCs w:val="18"/>
                <w:vertAlign w:val="superscript"/>
              </w:rPr>
              <w:t>15</w:t>
            </w:r>
          </w:p>
        </w:tc>
        <w:tc>
          <w:tcPr>
            <w:tcW w:w="1858" w:type="dxa"/>
            <w:tcBorders>
              <w:top w:val="nil"/>
              <w:left w:val="single" w:sz="8" w:space="0" w:color="auto"/>
              <w:bottom w:val="nil"/>
              <w:right w:val="single" w:sz="8" w:space="0" w:color="auto"/>
            </w:tcBorders>
            <w:vAlign w:val="center"/>
          </w:tcPr>
          <w:p w14:paraId="3B849E82" w14:textId="77777777" w:rsidR="003D10BA" w:rsidRDefault="003D10BA"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9C1A9E8" w14:textId="77777777" w:rsidR="003D10BA" w:rsidRDefault="003D10BA"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45A00A77" w14:textId="77777777" w:rsidR="003D10BA" w:rsidRDefault="003D10BA" w:rsidP="00F9573F">
            <w:pPr>
              <w:rPr>
                <w:rFonts w:eastAsia="Times New Roman"/>
                <w:sz w:val="24"/>
                <w:szCs w:val="24"/>
              </w:rPr>
            </w:pPr>
          </w:p>
        </w:tc>
      </w:tr>
      <w:tr w:rsidR="00B6208D" w14:paraId="21CD9C4E" w14:textId="77777777" w:rsidTr="00F9573F">
        <w:tc>
          <w:tcPr>
            <w:tcW w:w="3514" w:type="dxa"/>
            <w:tcBorders>
              <w:top w:val="nil"/>
              <w:left w:val="single" w:sz="8" w:space="0" w:color="auto"/>
              <w:bottom w:val="single" w:sz="8" w:space="0" w:color="auto"/>
              <w:right w:val="single" w:sz="8" w:space="0" w:color="auto"/>
            </w:tcBorders>
            <w:vAlign w:val="center"/>
          </w:tcPr>
          <w:p w14:paraId="48DA6C80" w14:textId="3563B521" w:rsidR="003D10BA" w:rsidRPr="00453184" w:rsidRDefault="003D10BA" w:rsidP="00F9573F">
            <w:pPr>
              <w:ind w:left="720"/>
              <w:rPr>
                <w:rFonts w:eastAsia="Times New Roman"/>
                <w:sz w:val="18"/>
                <w:szCs w:val="18"/>
              </w:rPr>
            </w:pPr>
            <w:r w:rsidRPr="00453184">
              <w:rPr>
                <w:rFonts w:eastAsia="Times New Roman"/>
                <w:sz w:val="18"/>
                <w:szCs w:val="18"/>
              </w:rPr>
              <w:t>LLE/GC/ECD</w:t>
            </w:r>
          </w:p>
        </w:tc>
        <w:tc>
          <w:tcPr>
            <w:tcW w:w="1800" w:type="dxa"/>
            <w:tcBorders>
              <w:top w:val="nil"/>
              <w:left w:val="single" w:sz="8" w:space="0" w:color="auto"/>
              <w:bottom w:val="single" w:sz="8" w:space="0" w:color="auto"/>
              <w:right w:val="single" w:sz="8" w:space="0" w:color="auto"/>
            </w:tcBorders>
            <w:vAlign w:val="center"/>
          </w:tcPr>
          <w:p w14:paraId="7E813713" w14:textId="1F7855BD" w:rsidR="003D10BA" w:rsidRPr="00453184" w:rsidRDefault="003D10BA" w:rsidP="00F9573F">
            <w:pPr>
              <w:rPr>
                <w:rFonts w:eastAsia="Times New Roman"/>
                <w:sz w:val="18"/>
                <w:szCs w:val="18"/>
              </w:rPr>
            </w:pPr>
            <w:r w:rsidRPr="00453184">
              <w:rPr>
                <w:rFonts w:eastAsia="Times New Roman"/>
                <w:sz w:val="18"/>
                <w:szCs w:val="18"/>
              </w:rPr>
              <w:t>551.1</w:t>
            </w:r>
          </w:p>
        </w:tc>
        <w:tc>
          <w:tcPr>
            <w:tcW w:w="1858" w:type="dxa"/>
            <w:tcBorders>
              <w:top w:val="nil"/>
              <w:left w:val="single" w:sz="8" w:space="0" w:color="auto"/>
              <w:bottom w:val="single" w:sz="8" w:space="0" w:color="auto"/>
              <w:right w:val="single" w:sz="8" w:space="0" w:color="auto"/>
            </w:tcBorders>
            <w:vAlign w:val="center"/>
          </w:tcPr>
          <w:p w14:paraId="3E2AC62B" w14:textId="77777777" w:rsidR="003D10BA" w:rsidRDefault="003D10BA" w:rsidP="00F9573F">
            <w:pPr>
              <w:rPr>
                <w:rFonts w:eastAsia="Times New Roman"/>
                <w:sz w:val="24"/>
                <w:szCs w:val="24"/>
              </w:rPr>
            </w:pPr>
          </w:p>
        </w:tc>
        <w:tc>
          <w:tcPr>
            <w:tcW w:w="1468" w:type="dxa"/>
            <w:tcBorders>
              <w:top w:val="nil"/>
              <w:left w:val="single" w:sz="8" w:space="0" w:color="auto"/>
              <w:bottom w:val="single" w:sz="8" w:space="0" w:color="auto"/>
              <w:right w:val="single" w:sz="8" w:space="0" w:color="auto"/>
            </w:tcBorders>
            <w:vAlign w:val="center"/>
          </w:tcPr>
          <w:p w14:paraId="0A01399D" w14:textId="77777777" w:rsidR="003D10BA" w:rsidRDefault="003D10BA" w:rsidP="00F9573F">
            <w:pPr>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6C0BF547" w14:textId="77777777" w:rsidR="003D10BA" w:rsidRDefault="003D10BA" w:rsidP="00F9573F">
            <w:pPr>
              <w:rPr>
                <w:rFonts w:eastAsia="Times New Roman"/>
                <w:sz w:val="24"/>
                <w:szCs w:val="24"/>
              </w:rPr>
            </w:pPr>
          </w:p>
        </w:tc>
      </w:tr>
      <w:tr w:rsidR="00C07341" w14:paraId="2528D0FE" w14:textId="77777777" w:rsidTr="00F9573F">
        <w:tc>
          <w:tcPr>
            <w:tcW w:w="3514" w:type="dxa"/>
            <w:tcBorders>
              <w:top w:val="single" w:sz="8" w:space="0" w:color="auto"/>
              <w:left w:val="single" w:sz="8" w:space="0" w:color="auto"/>
              <w:bottom w:val="nil"/>
              <w:right w:val="single" w:sz="8" w:space="0" w:color="auto"/>
            </w:tcBorders>
            <w:vAlign w:val="center"/>
          </w:tcPr>
          <w:p w14:paraId="30CFD4BB" w14:textId="2252A0F9" w:rsidR="00C07341" w:rsidRPr="00453184" w:rsidRDefault="00C07341" w:rsidP="00F9573F">
            <w:pPr>
              <w:rPr>
                <w:rFonts w:eastAsia="Times New Roman"/>
                <w:sz w:val="18"/>
                <w:szCs w:val="18"/>
              </w:rPr>
            </w:pPr>
            <w:r>
              <w:rPr>
                <w:rFonts w:eastAsia="Times New Roman"/>
                <w:sz w:val="18"/>
                <w:szCs w:val="18"/>
              </w:rPr>
              <w:t>HAA5</w:t>
            </w:r>
          </w:p>
        </w:tc>
        <w:tc>
          <w:tcPr>
            <w:tcW w:w="1800" w:type="dxa"/>
            <w:tcBorders>
              <w:top w:val="single" w:sz="8" w:space="0" w:color="auto"/>
              <w:left w:val="single" w:sz="8" w:space="0" w:color="auto"/>
              <w:bottom w:val="nil"/>
              <w:right w:val="single" w:sz="8" w:space="0" w:color="auto"/>
            </w:tcBorders>
            <w:vAlign w:val="center"/>
          </w:tcPr>
          <w:p w14:paraId="3020D6F6" w14:textId="77777777" w:rsidR="00C07341" w:rsidRPr="00453184" w:rsidRDefault="00C07341" w:rsidP="00F9573F">
            <w:pPr>
              <w:rPr>
                <w:rFonts w:eastAsia="Times New Roman"/>
                <w:sz w:val="18"/>
                <w:szCs w:val="18"/>
              </w:rPr>
            </w:pPr>
          </w:p>
        </w:tc>
        <w:tc>
          <w:tcPr>
            <w:tcW w:w="1858" w:type="dxa"/>
            <w:tcBorders>
              <w:top w:val="single" w:sz="8" w:space="0" w:color="auto"/>
              <w:left w:val="single" w:sz="8" w:space="0" w:color="auto"/>
              <w:bottom w:val="nil"/>
              <w:right w:val="single" w:sz="8" w:space="0" w:color="auto"/>
            </w:tcBorders>
            <w:vAlign w:val="center"/>
          </w:tcPr>
          <w:p w14:paraId="76E36AB7" w14:textId="77777777" w:rsidR="00C07341" w:rsidRDefault="00C07341"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0D81D609" w14:textId="77777777" w:rsidR="00C07341" w:rsidRDefault="00C07341"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48FCCBF2" w14:textId="77777777" w:rsidR="00C07341" w:rsidRDefault="00C07341" w:rsidP="00F9573F">
            <w:pPr>
              <w:rPr>
                <w:rFonts w:eastAsia="Times New Roman"/>
                <w:sz w:val="24"/>
                <w:szCs w:val="24"/>
              </w:rPr>
            </w:pPr>
          </w:p>
        </w:tc>
      </w:tr>
      <w:tr w:rsidR="00C07341" w14:paraId="6BF0DC80" w14:textId="77777777" w:rsidTr="00F9573F">
        <w:tc>
          <w:tcPr>
            <w:tcW w:w="3514" w:type="dxa"/>
            <w:tcBorders>
              <w:top w:val="nil"/>
              <w:left w:val="single" w:sz="8" w:space="0" w:color="auto"/>
              <w:bottom w:val="nil"/>
              <w:right w:val="single" w:sz="8" w:space="0" w:color="auto"/>
            </w:tcBorders>
            <w:vAlign w:val="center"/>
          </w:tcPr>
          <w:p w14:paraId="00BE4E97" w14:textId="1C105174" w:rsidR="00C07341" w:rsidRPr="00453184" w:rsidRDefault="00C07341" w:rsidP="00F9573F">
            <w:pPr>
              <w:ind w:left="720"/>
              <w:rPr>
                <w:rFonts w:eastAsia="Times New Roman"/>
                <w:sz w:val="18"/>
                <w:szCs w:val="18"/>
              </w:rPr>
            </w:pPr>
            <w:r>
              <w:rPr>
                <w:rFonts w:eastAsia="Times New Roman"/>
                <w:sz w:val="18"/>
                <w:szCs w:val="18"/>
              </w:rPr>
              <w:t>LLE (diazomethane)/GC/ECD</w:t>
            </w:r>
          </w:p>
        </w:tc>
        <w:tc>
          <w:tcPr>
            <w:tcW w:w="1800" w:type="dxa"/>
            <w:tcBorders>
              <w:top w:val="nil"/>
              <w:left w:val="single" w:sz="8" w:space="0" w:color="auto"/>
              <w:bottom w:val="nil"/>
              <w:right w:val="single" w:sz="8" w:space="0" w:color="auto"/>
            </w:tcBorders>
            <w:vAlign w:val="center"/>
          </w:tcPr>
          <w:p w14:paraId="1FD99F3E" w14:textId="05FFD4B7" w:rsidR="00C07341" w:rsidRPr="00453184" w:rsidRDefault="00C07341" w:rsidP="00F9573F">
            <w:pPr>
              <w:rPr>
                <w:rFonts w:eastAsia="Times New Roman"/>
                <w:sz w:val="18"/>
                <w:szCs w:val="18"/>
              </w:rPr>
            </w:pPr>
          </w:p>
        </w:tc>
        <w:tc>
          <w:tcPr>
            <w:tcW w:w="1858" w:type="dxa"/>
            <w:tcBorders>
              <w:top w:val="nil"/>
              <w:left w:val="single" w:sz="8" w:space="0" w:color="auto"/>
              <w:bottom w:val="nil"/>
              <w:right w:val="single" w:sz="8" w:space="0" w:color="auto"/>
            </w:tcBorders>
            <w:vAlign w:val="center"/>
          </w:tcPr>
          <w:p w14:paraId="7ABEE3B0" w14:textId="72BDD72F" w:rsidR="00C07341" w:rsidRDefault="00C07341" w:rsidP="00F9573F">
            <w:pPr>
              <w:rPr>
                <w:rFonts w:eastAsia="Times New Roman"/>
                <w:sz w:val="24"/>
                <w:szCs w:val="24"/>
              </w:rPr>
            </w:pPr>
            <w:r>
              <w:rPr>
                <w:rFonts w:eastAsia="Times New Roman"/>
                <w:sz w:val="18"/>
                <w:szCs w:val="18"/>
              </w:rPr>
              <w:t>6251 B</w:t>
            </w:r>
          </w:p>
        </w:tc>
        <w:tc>
          <w:tcPr>
            <w:tcW w:w="1468" w:type="dxa"/>
            <w:tcBorders>
              <w:top w:val="nil"/>
              <w:left w:val="single" w:sz="8" w:space="0" w:color="auto"/>
              <w:bottom w:val="nil"/>
              <w:right w:val="single" w:sz="8" w:space="0" w:color="auto"/>
            </w:tcBorders>
            <w:vAlign w:val="center"/>
          </w:tcPr>
          <w:p w14:paraId="3D02BB17" w14:textId="77777777" w:rsidR="00A479E6" w:rsidRDefault="001E2346" w:rsidP="00F9573F">
            <w:pPr>
              <w:rPr>
                <w:rFonts w:eastAsia="Times New Roman"/>
                <w:sz w:val="18"/>
                <w:szCs w:val="18"/>
              </w:rPr>
            </w:pPr>
            <w:r w:rsidRPr="0049642F">
              <w:rPr>
                <w:rFonts w:eastAsia="Times New Roman"/>
                <w:sz w:val="18"/>
                <w:szCs w:val="18"/>
              </w:rPr>
              <w:t>6251 B-94</w:t>
            </w:r>
          </w:p>
          <w:p w14:paraId="0831DE4D" w14:textId="6242F01F" w:rsidR="00C07341" w:rsidRPr="0049642F" w:rsidRDefault="00233C49" w:rsidP="00F9573F">
            <w:pPr>
              <w:rPr>
                <w:rFonts w:eastAsia="Times New Roman"/>
                <w:sz w:val="18"/>
                <w:szCs w:val="18"/>
              </w:rPr>
            </w:pPr>
            <w:r>
              <w:rPr>
                <w:rFonts w:eastAsia="Times New Roman"/>
                <w:sz w:val="18"/>
                <w:szCs w:val="18"/>
              </w:rPr>
              <w:t>6251 B-07</w:t>
            </w:r>
          </w:p>
        </w:tc>
        <w:tc>
          <w:tcPr>
            <w:tcW w:w="1710" w:type="dxa"/>
            <w:tcBorders>
              <w:top w:val="nil"/>
              <w:left w:val="single" w:sz="8" w:space="0" w:color="auto"/>
              <w:bottom w:val="nil"/>
              <w:right w:val="single" w:sz="8" w:space="0" w:color="auto"/>
            </w:tcBorders>
            <w:vAlign w:val="center"/>
          </w:tcPr>
          <w:p w14:paraId="7C29D582" w14:textId="77777777" w:rsidR="00C07341" w:rsidRDefault="00C07341" w:rsidP="00F9573F">
            <w:pPr>
              <w:rPr>
                <w:rFonts w:eastAsia="Times New Roman"/>
                <w:sz w:val="24"/>
                <w:szCs w:val="24"/>
              </w:rPr>
            </w:pPr>
          </w:p>
        </w:tc>
      </w:tr>
      <w:tr w:rsidR="00C07341" w14:paraId="1995C13F" w14:textId="77777777" w:rsidTr="00F9573F">
        <w:tc>
          <w:tcPr>
            <w:tcW w:w="3514" w:type="dxa"/>
            <w:tcBorders>
              <w:top w:val="nil"/>
              <w:left w:val="single" w:sz="8" w:space="0" w:color="auto"/>
              <w:bottom w:val="nil"/>
              <w:right w:val="single" w:sz="8" w:space="0" w:color="auto"/>
            </w:tcBorders>
            <w:vAlign w:val="center"/>
          </w:tcPr>
          <w:p w14:paraId="74DD3A29" w14:textId="77F52047" w:rsidR="00C07341" w:rsidRPr="00453184" w:rsidRDefault="00C07341" w:rsidP="00F9573F">
            <w:pPr>
              <w:ind w:left="720"/>
              <w:rPr>
                <w:rFonts w:eastAsia="Times New Roman"/>
                <w:sz w:val="18"/>
                <w:szCs w:val="18"/>
              </w:rPr>
            </w:pPr>
            <w:r>
              <w:rPr>
                <w:rFonts w:eastAsia="Times New Roman"/>
                <w:sz w:val="18"/>
                <w:szCs w:val="18"/>
              </w:rPr>
              <w:t>SPE (acidic methanol)/GC/ECD</w:t>
            </w:r>
          </w:p>
        </w:tc>
        <w:tc>
          <w:tcPr>
            <w:tcW w:w="1800" w:type="dxa"/>
            <w:tcBorders>
              <w:top w:val="nil"/>
              <w:left w:val="single" w:sz="8" w:space="0" w:color="auto"/>
              <w:bottom w:val="nil"/>
              <w:right w:val="single" w:sz="8" w:space="0" w:color="auto"/>
            </w:tcBorders>
            <w:vAlign w:val="center"/>
          </w:tcPr>
          <w:p w14:paraId="660D2E8E" w14:textId="11E44DE4" w:rsidR="00C07341" w:rsidRPr="00453184" w:rsidRDefault="00C07341" w:rsidP="00F9573F">
            <w:pPr>
              <w:rPr>
                <w:rFonts w:eastAsia="Times New Roman"/>
                <w:sz w:val="18"/>
                <w:szCs w:val="18"/>
              </w:rPr>
            </w:pPr>
            <w:r>
              <w:rPr>
                <w:rFonts w:eastAsia="Times New Roman"/>
                <w:sz w:val="18"/>
                <w:szCs w:val="18"/>
              </w:rPr>
              <w:t>552.1</w:t>
            </w:r>
            <w:r w:rsidRPr="009A0E88">
              <w:rPr>
                <w:rFonts w:eastAsia="Times New Roman"/>
                <w:sz w:val="18"/>
                <w:szCs w:val="18"/>
                <w:vertAlign w:val="superscript"/>
              </w:rPr>
              <w:t>5</w:t>
            </w:r>
          </w:p>
        </w:tc>
        <w:tc>
          <w:tcPr>
            <w:tcW w:w="1858" w:type="dxa"/>
            <w:tcBorders>
              <w:top w:val="nil"/>
              <w:left w:val="single" w:sz="8" w:space="0" w:color="auto"/>
              <w:bottom w:val="nil"/>
              <w:right w:val="single" w:sz="8" w:space="0" w:color="auto"/>
            </w:tcBorders>
            <w:vAlign w:val="center"/>
          </w:tcPr>
          <w:p w14:paraId="22BFDA93" w14:textId="77777777" w:rsidR="00C07341" w:rsidRDefault="00C07341"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3530FCD7" w14:textId="77777777" w:rsidR="00C07341" w:rsidRDefault="00C07341"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336089DD" w14:textId="77777777" w:rsidR="00C07341" w:rsidRDefault="00C07341" w:rsidP="00F9573F">
            <w:pPr>
              <w:rPr>
                <w:rFonts w:eastAsia="Times New Roman"/>
                <w:sz w:val="24"/>
                <w:szCs w:val="24"/>
              </w:rPr>
            </w:pPr>
          </w:p>
        </w:tc>
      </w:tr>
      <w:tr w:rsidR="00C07341" w14:paraId="03BD9536" w14:textId="77777777" w:rsidTr="00F9573F">
        <w:tc>
          <w:tcPr>
            <w:tcW w:w="3514" w:type="dxa"/>
            <w:tcBorders>
              <w:top w:val="nil"/>
              <w:left w:val="single" w:sz="8" w:space="0" w:color="auto"/>
              <w:bottom w:val="nil"/>
              <w:right w:val="single" w:sz="8" w:space="0" w:color="auto"/>
            </w:tcBorders>
            <w:vAlign w:val="center"/>
          </w:tcPr>
          <w:p w14:paraId="0831C8DF" w14:textId="7E8CCE4F" w:rsidR="00C07341" w:rsidRPr="00453184" w:rsidRDefault="00C07341" w:rsidP="00F9573F">
            <w:pPr>
              <w:ind w:left="720"/>
              <w:rPr>
                <w:rFonts w:eastAsia="Times New Roman"/>
                <w:sz w:val="18"/>
                <w:szCs w:val="18"/>
              </w:rPr>
            </w:pPr>
            <w:r>
              <w:rPr>
                <w:rFonts w:eastAsia="Times New Roman"/>
                <w:sz w:val="18"/>
                <w:szCs w:val="18"/>
              </w:rPr>
              <w:t>LLE (acidic methanol)/GC/ECD</w:t>
            </w:r>
          </w:p>
        </w:tc>
        <w:tc>
          <w:tcPr>
            <w:tcW w:w="1800" w:type="dxa"/>
            <w:tcBorders>
              <w:top w:val="nil"/>
              <w:left w:val="single" w:sz="8" w:space="0" w:color="auto"/>
              <w:bottom w:val="nil"/>
              <w:right w:val="single" w:sz="8" w:space="0" w:color="auto"/>
            </w:tcBorders>
            <w:vAlign w:val="center"/>
          </w:tcPr>
          <w:p w14:paraId="78F3B7CC" w14:textId="7AD3AC86" w:rsidR="00C07341" w:rsidRPr="00453184" w:rsidRDefault="00C07341" w:rsidP="00F9573F">
            <w:pPr>
              <w:rPr>
                <w:rFonts w:eastAsia="Times New Roman"/>
                <w:sz w:val="18"/>
                <w:szCs w:val="18"/>
              </w:rPr>
            </w:pPr>
            <w:r>
              <w:rPr>
                <w:rFonts w:eastAsia="Times New Roman"/>
                <w:sz w:val="18"/>
                <w:szCs w:val="18"/>
              </w:rPr>
              <w:t>552.2, 552.3</w:t>
            </w:r>
          </w:p>
        </w:tc>
        <w:tc>
          <w:tcPr>
            <w:tcW w:w="1858" w:type="dxa"/>
            <w:tcBorders>
              <w:top w:val="nil"/>
              <w:left w:val="single" w:sz="8" w:space="0" w:color="auto"/>
              <w:bottom w:val="nil"/>
              <w:right w:val="single" w:sz="8" w:space="0" w:color="auto"/>
            </w:tcBorders>
            <w:vAlign w:val="center"/>
          </w:tcPr>
          <w:p w14:paraId="38DF146E" w14:textId="77777777" w:rsidR="00C07341" w:rsidRDefault="00C07341"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11F9B99" w14:textId="77777777" w:rsidR="00C07341" w:rsidRDefault="00C07341"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14A11C0B" w14:textId="77777777" w:rsidR="00C07341" w:rsidRDefault="00C07341" w:rsidP="00F9573F">
            <w:pPr>
              <w:rPr>
                <w:rFonts w:eastAsia="Times New Roman"/>
                <w:sz w:val="24"/>
                <w:szCs w:val="24"/>
              </w:rPr>
            </w:pPr>
          </w:p>
        </w:tc>
      </w:tr>
      <w:tr w:rsidR="00A479E6" w14:paraId="7F7A42DE" w14:textId="77777777" w:rsidTr="00F9573F">
        <w:tc>
          <w:tcPr>
            <w:tcW w:w="3514" w:type="dxa"/>
            <w:tcBorders>
              <w:top w:val="nil"/>
              <w:left w:val="single" w:sz="8" w:space="0" w:color="auto"/>
              <w:bottom w:val="single" w:sz="8" w:space="0" w:color="auto"/>
              <w:right w:val="single" w:sz="8" w:space="0" w:color="auto"/>
            </w:tcBorders>
            <w:vAlign w:val="center"/>
          </w:tcPr>
          <w:p w14:paraId="6CD55A7F" w14:textId="5ACFAEE2" w:rsidR="00A479E6" w:rsidRDefault="00A479E6" w:rsidP="00F9573F">
            <w:pPr>
              <w:ind w:left="720"/>
              <w:rPr>
                <w:rFonts w:eastAsia="Times New Roman"/>
                <w:sz w:val="18"/>
                <w:szCs w:val="18"/>
              </w:rPr>
            </w:pPr>
            <w:r>
              <w:rPr>
                <w:rFonts w:eastAsia="Times New Roman"/>
                <w:sz w:val="18"/>
                <w:szCs w:val="18"/>
              </w:rPr>
              <w:t>Ion Chromatography Electrospray Ionization Tandem Mass Spectrometry (IC-ESI-MS/MS)</w:t>
            </w:r>
          </w:p>
        </w:tc>
        <w:tc>
          <w:tcPr>
            <w:tcW w:w="1800" w:type="dxa"/>
            <w:tcBorders>
              <w:top w:val="nil"/>
              <w:left w:val="single" w:sz="8" w:space="0" w:color="auto"/>
              <w:bottom w:val="single" w:sz="8" w:space="0" w:color="auto"/>
              <w:right w:val="single" w:sz="8" w:space="0" w:color="auto"/>
            </w:tcBorders>
            <w:vAlign w:val="center"/>
          </w:tcPr>
          <w:p w14:paraId="4FFDA43C" w14:textId="2672728A" w:rsidR="00A479E6" w:rsidRDefault="00A479E6" w:rsidP="00F9573F">
            <w:pPr>
              <w:rPr>
                <w:rFonts w:eastAsia="Times New Roman"/>
                <w:sz w:val="18"/>
                <w:szCs w:val="18"/>
              </w:rPr>
            </w:pPr>
            <w:r>
              <w:rPr>
                <w:rFonts w:eastAsia="Times New Roman"/>
                <w:sz w:val="18"/>
                <w:szCs w:val="18"/>
              </w:rPr>
              <w:t>557</w:t>
            </w:r>
          </w:p>
        </w:tc>
        <w:tc>
          <w:tcPr>
            <w:tcW w:w="1858" w:type="dxa"/>
            <w:tcBorders>
              <w:top w:val="nil"/>
              <w:left w:val="single" w:sz="8" w:space="0" w:color="auto"/>
              <w:bottom w:val="single" w:sz="8" w:space="0" w:color="auto"/>
              <w:right w:val="single" w:sz="8" w:space="0" w:color="auto"/>
            </w:tcBorders>
            <w:vAlign w:val="center"/>
          </w:tcPr>
          <w:p w14:paraId="5092736E" w14:textId="77777777" w:rsidR="00A479E6" w:rsidRDefault="00A479E6" w:rsidP="00F9573F">
            <w:pPr>
              <w:rPr>
                <w:rFonts w:eastAsia="Times New Roman"/>
                <w:sz w:val="24"/>
                <w:szCs w:val="24"/>
              </w:rPr>
            </w:pPr>
          </w:p>
        </w:tc>
        <w:tc>
          <w:tcPr>
            <w:tcW w:w="1468" w:type="dxa"/>
            <w:tcBorders>
              <w:top w:val="nil"/>
              <w:left w:val="single" w:sz="8" w:space="0" w:color="auto"/>
              <w:bottom w:val="single" w:sz="8" w:space="0" w:color="auto"/>
              <w:right w:val="single" w:sz="8" w:space="0" w:color="auto"/>
            </w:tcBorders>
            <w:vAlign w:val="center"/>
          </w:tcPr>
          <w:p w14:paraId="1D631070" w14:textId="77777777" w:rsidR="00A479E6" w:rsidRDefault="00A479E6" w:rsidP="00F9573F">
            <w:pPr>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7C7A6B7B" w14:textId="77777777" w:rsidR="00A479E6" w:rsidRDefault="00A479E6" w:rsidP="00F9573F">
            <w:pPr>
              <w:rPr>
                <w:rFonts w:eastAsia="Times New Roman"/>
                <w:sz w:val="24"/>
                <w:szCs w:val="24"/>
              </w:rPr>
            </w:pPr>
          </w:p>
        </w:tc>
      </w:tr>
      <w:tr w:rsidR="009235FE" w14:paraId="7F88BAEE" w14:textId="77777777" w:rsidTr="00F9573F">
        <w:tc>
          <w:tcPr>
            <w:tcW w:w="3514" w:type="dxa"/>
            <w:tcBorders>
              <w:top w:val="single" w:sz="8" w:space="0" w:color="auto"/>
              <w:left w:val="single" w:sz="8" w:space="0" w:color="auto"/>
              <w:bottom w:val="nil"/>
              <w:right w:val="single" w:sz="8" w:space="0" w:color="auto"/>
            </w:tcBorders>
            <w:vAlign w:val="center"/>
          </w:tcPr>
          <w:p w14:paraId="3949FEE2" w14:textId="475B81EA" w:rsidR="009235FE" w:rsidRDefault="009235FE" w:rsidP="00F9573F">
            <w:pPr>
              <w:rPr>
                <w:rFonts w:eastAsia="Times New Roman"/>
                <w:sz w:val="18"/>
                <w:szCs w:val="18"/>
              </w:rPr>
            </w:pPr>
            <w:r>
              <w:rPr>
                <w:rFonts w:eastAsia="Times New Roman"/>
                <w:sz w:val="18"/>
                <w:szCs w:val="18"/>
              </w:rPr>
              <w:t>Bromate</w:t>
            </w:r>
          </w:p>
        </w:tc>
        <w:tc>
          <w:tcPr>
            <w:tcW w:w="1800" w:type="dxa"/>
            <w:tcBorders>
              <w:top w:val="single" w:sz="8" w:space="0" w:color="auto"/>
              <w:left w:val="single" w:sz="8" w:space="0" w:color="auto"/>
              <w:bottom w:val="nil"/>
              <w:right w:val="single" w:sz="8" w:space="0" w:color="auto"/>
            </w:tcBorders>
            <w:vAlign w:val="center"/>
          </w:tcPr>
          <w:p w14:paraId="66C3E7AF" w14:textId="77777777" w:rsidR="009235FE" w:rsidRDefault="009235FE" w:rsidP="00F9573F">
            <w:pPr>
              <w:rPr>
                <w:rFonts w:eastAsia="Times New Roman"/>
                <w:sz w:val="18"/>
                <w:szCs w:val="18"/>
              </w:rPr>
            </w:pPr>
          </w:p>
        </w:tc>
        <w:tc>
          <w:tcPr>
            <w:tcW w:w="1858" w:type="dxa"/>
            <w:tcBorders>
              <w:top w:val="single" w:sz="8" w:space="0" w:color="auto"/>
              <w:left w:val="single" w:sz="8" w:space="0" w:color="auto"/>
              <w:bottom w:val="nil"/>
              <w:right w:val="single" w:sz="8" w:space="0" w:color="auto"/>
            </w:tcBorders>
            <w:vAlign w:val="center"/>
          </w:tcPr>
          <w:p w14:paraId="049C1EA3" w14:textId="77777777" w:rsidR="009235FE" w:rsidRDefault="009235FE"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74500291" w14:textId="77777777" w:rsidR="009235FE" w:rsidRDefault="009235FE"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3C7F6D16" w14:textId="77777777" w:rsidR="009235FE" w:rsidRDefault="009235FE" w:rsidP="00F9573F">
            <w:pPr>
              <w:rPr>
                <w:rFonts w:eastAsia="Times New Roman"/>
                <w:sz w:val="24"/>
                <w:szCs w:val="24"/>
              </w:rPr>
            </w:pPr>
          </w:p>
        </w:tc>
      </w:tr>
      <w:tr w:rsidR="009A60B3" w14:paraId="07EBD2F6" w14:textId="77777777" w:rsidTr="00F9573F">
        <w:tc>
          <w:tcPr>
            <w:tcW w:w="3514" w:type="dxa"/>
            <w:tcBorders>
              <w:top w:val="nil"/>
              <w:left w:val="single" w:sz="8" w:space="0" w:color="auto"/>
              <w:bottom w:val="nil"/>
              <w:right w:val="single" w:sz="8" w:space="0" w:color="auto"/>
            </w:tcBorders>
            <w:vAlign w:val="center"/>
          </w:tcPr>
          <w:p w14:paraId="28EE61C1" w14:textId="706E5AEB" w:rsidR="009A60B3" w:rsidRDefault="009A60B3" w:rsidP="00F9573F">
            <w:pPr>
              <w:ind w:left="720"/>
              <w:rPr>
                <w:rFonts w:eastAsia="Times New Roman"/>
                <w:sz w:val="18"/>
                <w:szCs w:val="18"/>
              </w:rPr>
            </w:pPr>
            <w:r>
              <w:rPr>
                <w:rFonts w:eastAsia="Times New Roman"/>
                <w:sz w:val="18"/>
                <w:szCs w:val="18"/>
              </w:rPr>
              <w:t>Ion chromatography</w:t>
            </w:r>
          </w:p>
        </w:tc>
        <w:tc>
          <w:tcPr>
            <w:tcW w:w="1800" w:type="dxa"/>
            <w:tcBorders>
              <w:top w:val="nil"/>
              <w:left w:val="single" w:sz="8" w:space="0" w:color="auto"/>
              <w:bottom w:val="nil"/>
              <w:right w:val="single" w:sz="8" w:space="0" w:color="auto"/>
            </w:tcBorders>
            <w:vAlign w:val="center"/>
          </w:tcPr>
          <w:p w14:paraId="5C28F5C3" w14:textId="54A2D2A5" w:rsidR="009A60B3" w:rsidRDefault="009A60B3" w:rsidP="00F9573F">
            <w:pPr>
              <w:rPr>
                <w:rFonts w:eastAsia="Times New Roman"/>
                <w:sz w:val="18"/>
                <w:szCs w:val="18"/>
              </w:rPr>
            </w:pPr>
            <w:r>
              <w:rPr>
                <w:rFonts w:eastAsia="Times New Roman"/>
                <w:sz w:val="18"/>
                <w:szCs w:val="18"/>
              </w:rPr>
              <w:t>300.1, 302.0</w:t>
            </w:r>
            <w:r w:rsidRPr="009A0E88">
              <w:rPr>
                <w:rFonts w:eastAsia="Times New Roman"/>
                <w:sz w:val="18"/>
                <w:szCs w:val="18"/>
                <w:vertAlign w:val="superscript"/>
              </w:rPr>
              <w:t>6,</w:t>
            </w:r>
            <w:r>
              <w:rPr>
                <w:rFonts w:eastAsia="Times New Roman"/>
                <w:sz w:val="24"/>
                <w:szCs w:val="24"/>
                <w:vertAlign w:val="superscript"/>
              </w:rPr>
              <w:t xml:space="preserve"> </w:t>
            </w:r>
            <w:r w:rsidRPr="009A0E88">
              <w:rPr>
                <w:rFonts w:eastAsia="Times New Roman"/>
                <w:sz w:val="18"/>
                <w:szCs w:val="18"/>
                <w:vertAlign w:val="superscript"/>
              </w:rPr>
              <w:t>13</w:t>
            </w:r>
          </w:p>
        </w:tc>
        <w:tc>
          <w:tcPr>
            <w:tcW w:w="1858" w:type="dxa"/>
            <w:tcBorders>
              <w:top w:val="nil"/>
              <w:left w:val="single" w:sz="8" w:space="0" w:color="auto"/>
              <w:bottom w:val="nil"/>
              <w:right w:val="single" w:sz="8" w:space="0" w:color="auto"/>
            </w:tcBorders>
            <w:vAlign w:val="center"/>
          </w:tcPr>
          <w:p w14:paraId="2A693313" w14:textId="77777777" w:rsidR="009A60B3" w:rsidRDefault="009A60B3"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20D935B3" w14:textId="77777777" w:rsidR="009A60B3" w:rsidRDefault="009A60B3"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47EDC6AE" w14:textId="77777777" w:rsidR="009A60B3" w:rsidRDefault="009A60B3" w:rsidP="00F9573F">
            <w:pPr>
              <w:rPr>
                <w:rFonts w:eastAsia="Times New Roman"/>
                <w:sz w:val="24"/>
                <w:szCs w:val="24"/>
              </w:rPr>
            </w:pPr>
          </w:p>
        </w:tc>
      </w:tr>
      <w:tr w:rsidR="009A60B3" w14:paraId="5D51E980" w14:textId="77777777" w:rsidTr="00F9573F">
        <w:tc>
          <w:tcPr>
            <w:tcW w:w="3514" w:type="dxa"/>
            <w:tcBorders>
              <w:top w:val="nil"/>
              <w:left w:val="single" w:sz="8" w:space="0" w:color="auto"/>
              <w:bottom w:val="nil"/>
              <w:right w:val="single" w:sz="8" w:space="0" w:color="auto"/>
            </w:tcBorders>
            <w:vAlign w:val="center"/>
          </w:tcPr>
          <w:p w14:paraId="54223C09" w14:textId="0FE2523D" w:rsidR="009A60B3" w:rsidRDefault="009A60B3" w:rsidP="00F9573F">
            <w:pPr>
              <w:ind w:left="720"/>
              <w:rPr>
                <w:rFonts w:eastAsia="Times New Roman"/>
                <w:sz w:val="18"/>
                <w:szCs w:val="18"/>
              </w:rPr>
            </w:pPr>
            <w:r>
              <w:rPr>
                <w:rFonts w:eastAsia="Times New Roman"/>
                <w:sz w:val="18"/>
                <w:szCs w:val="18"/>
              </w:rPr>
              <w:t>Ion chromatography &amp; post column reaction</w:t>
            </w:r>
          </w:p>
        </w:tc>
        <w:tc>
          <w:tcPr>
            <w:tcW w:w="1800" w:type="dxa"/>
            <w:tcBorders>
              <w:top w:val="nil"/>
              <w:left w:val="single" w:sz="8" w:space="0" w:color="auto"/>
              <w:bottom w:val="nil"/>
              <w:right w:val="single" w:sz="8" w:space="0" w:color="auto"/>
            </w:tcBorders>
            <w:vAlign w:val="center"/>
          </w:tcPr>
          <w:p w14:paraId="40660C4C" w14:textId="706B340A" w:rsidR="009A60B3" w:rsidRDefault="009A60B3" w:rsidP="00F9573F">
            <w:pPr>
              <w:rPr>
                <w:rFonts w:eastAsia="Times New Roman"/>
                <w:sz w:val="18"/>
                <w:szCs w:val="18"/>
              </w:rPr>
            </w:pPr>
            <w:r>
              <w:rPr>
                <w:rFonts w:eastAsia="Times New Roman"/>
                <w:sz w:val="18"/>
                <w:szCs w:val="18"/>
              </w:rPr>
              <w:t>317.0 Rev. 2.0</w:t>
            </w:r>
            <w:r w:rsidRPr="009A0E88">
              <w:rPr>
                <w:rFonts w:eastAsia="Times New Roman"/>
                <w:sz w:val="18"/>
                <w:szCs w:val="18"/>
                <w:vertAlign w:val="superscript"/>
              </w:rPr>
              <w:t>6</w:t>
            </w:r>
            <w:r>
              <w:rPr>
                <w:rFonts w:eastAsia="Times New Roman"/>
                <w:sz w:val="18"/>
                <w:szCs w:val="18"/>
              </w:rPr>
              <w:t>, 326.0</w:t>
            </w:r>
            <w:r w:rsidRPr="009A0E88">
              <w:rPr>
                <w:rFonts w:eastAsia="Times New Roman"/>
                <w:sz w:val="18"/>
                <w:szCs w:val="18"/>
                <w:vertAlign w:val="superscript"/>
              </w:rPr>
              <w:t>6</w:t>
            </w:r>
          </w:p>
        </w:tc>
        <w:tc>
          <w:tcPr>
            <w:tcW w:w="1858" w:type="dxa"/>
            <w:tcBorders>
              <w:top w:val="nil"/>
              <w:left w:val="single" w:sz="8" w:space="0" w:color="auto"/>
              <w:bottom w:val="nil"/>
              <w:right w:val="single" w:sz="8" w:space="0" w:color="auto"/>
            </w:tcBorders>
            <w:vAlign w:val="center"/>
          </w:tcPr>
          <w:p w14:paraId="25F29016" w14:textId="77777777" w:rsidR="009A60B3" w:rsidRDefault="009A60B3"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58E529D" w14:textId="77777777" w:rsidR="009A60B3" w:rsidRDefault="009A60B3"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20043AD6" w14:textId="77777777" w:rsidR="009A60B3" w:rsidRDefault="009A60B3" w:rsidP="00F9573F">
            <w:pPr>
              <w:rPr>
                <w:rFonts w:eastAsia="Times New Roman"/>
                <w:sz w:val="24"/>
                <w:szCs w:val="24"/>
              </w:rPr>
            </w:pPr>
          </w:p>
        </w:tc>
      </w:tr>
      <w:tr w:rsidR="009235FE" w14:paraId="69F8D799" w14:textId="77777777" w:rsidTr="00F9573F">
        <w:tc>
          <w:tcPr>
            <w:tcW w:w="3514" w:type="dxa"/>
            <w:tcBorders>
              <w:top w:val="nil"/>
              <w:left w:val="single" w:sz="8" w:space="0" w:color="auto"/>
              <w:bottom w:val="nil"/>
              <w:right w:val="single" w:sz="8" w:space="0" w:color="auto"/>
            </w:tcBorders>
            <w:vAlign w:val="center"/>
          </w:tcPr>
          <w:p w14:paraId="078DB268" w14:textId="0553B96D" w:rsidR="009235FE" w:rsidRDefault="006551AE" w:rsidP="00F9573F">
            <w:pPr>
              <w:ind w:left="720"/>
              <w:rPr>
                <w:rFonts w:eastAsia="Times New Roman"/>
                <w:sz w:val="18"/>
                <w:szCs w:val="18"/>
              </w:rPr>
            </w:pPr>
            <w:r>
              <w:rPr>
                <w:rFonts w:eastAsia="Times New Roman"/>
                <w:sz w:val="18"/>
                <w:szCs w:val="18"/>
              </w:rPr>
              <w:t>IC/ICP-MS</w:t>
            </w:r>
          </w:p>
        </w:tc>
        <w:tc>
          <w:tcPr>
            <w:tcW w:w="1800" w:type="dxa"/>
            <w:tcBorders>
              <w:top w:val="nil"/>
              <w:left w:val="single" w:sz="8" w:space="0" w:color="auto"/>
              <w:bottom w:val="nil"/>
              <w:right w:val="single" w:sz="8" w:space="0" w:color="auto"/>
            </w:tcBorders>
            <w:vAlign w:val="center"/>
          </w:tcPr>
          <w:p w14:paraId="6201EE3C" w14:textId="70F6191F" w:rsidR="009235FE" w:rsidRDefault="006551AE" w:rsidP="00F9573F">
            <w:pPr>
              <w:rPr>
                <w:rFonts w:eastAsia="Times New Roman"/>
                <w:sz w:val="18"/>
                <w:szCs w:val="18"/>
              </w:rPr>
            </w:pPr>
            <w:r>
              <w:rPr>
                <w:rFonts w:eastAsia="Times New Roman"/>
                <w:sz w:val="18"/>
                <w:szCs w:val="18"/>
              </w:rPr>
              <w:t>321.8</w:t>
            </w:r>
            <w:r w:rsidRPr="009A0E88">
              <w:rPr>
                <w:rFonts w:eastAsia="Times New Roman"/>
                <w:sz w:val="18"/>
                <w:szCs w:val="18"/>
                <w:vertAlign w:val="superscript"/>
              </w:rPr>
              <w:t>6, 7</w:t>
            </w:r>
          </w:p>
        </w:tc>
        <w:tc>
          <w:tcPr>
            <w:tcW w:w="1858" w:type="dxa"/>
            <w:tcBorders>
              <w:top w:val="nil"/>
              <w:left w:val="single" w:sz="8" w:space="0" w:color="auto"/>
              <w:bottom w:val="nil"/>
              <w:right w:val="single" w:sz="8" w:space="0" w:color="auto"/>
            </w:tcBorders>
            <w:vAlign w:val="center"/>
          </w:tcPr>
          <w:p w14:paraId="7F1D654F" w14:textId="77777777" w:rsidR="009235FE" w:rsidRDefault="009235FE"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25C48F06" w14:textId="77777777" w:rsidR="009235FE" w:rsidRDefault="009235FE"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00AF8E75" w14:textId="77777777" w:rsidR="009235FE" w:rsidRDefault="009235FE" w:rsidP="00F9573F">
            <w:pPr>
              <w:rPr>
                <w:rFonts w:eastAsia="Times New Roman"/>
                <w:sz w:val="24"/>
                <w:szCs w:val="24"/>
              </w:rPr>
            </w:pPr>
          </w:p>
        </w:tc>
      </w:tr>
      <w:tr w:rsidR="00CD4BAB" w14:paraId="6FF99A56" w14:textId="77777777" w:rsidTr="00F9573F">
        <w:tc>
          <w:tcPr>
            <w:tcW w:w="3514" w:type="dxa"/>
            <w:tcBorders>
              <w:top w:val="nil"/>
              <w:left w:val="single" w:sz="8" w:space="0" w:color="auto"/>
              <w:bottom w:val="nil"/>
              <w:right w:val="single" w:sz="8" w:space="0" w:color="auto"/>
            </w:tcBorders>
            <w:vAlign w:val="center"/>
          </w:tcPr>
          <w:p w14:paraId="7398862F" w14:textId="083C44CF" w:rsidR="00CD4BAB" w:rsidRDefault="00CD4BAB" w:rsidP="00F9573F">
            <w:pPr>
              <w:ind w:left="720"/>
              <w:rPr>
                <w:rFonts w:eastAsia="Times New Roman"/>
                <w:sz w:val="18"/>
                <w:szCs w:val="18"/>
              </w:rPr>
            </w:pPr>
            <w:r>
              <w:rPr>
                <w:rFonts w:eastAsia="Times New Roman"/>
                <w:sz w:val="18"/>
                <w:szCs w:val="18"/>
              </w:rPr>
              <w:t>Ion Chromatography Electrospray Ionization Tandem Mass Spectrometry (IC-ESI-MS/MS)</w:t>
            </w:r>
          </w:p>
        </w:tc>
        <w:tc>
          <w:tcPr>
            <w:tcW w:w="1800" w:type="dxa"/>
            <w:tcBorders>
              <w:top w:val="nil"/>
              <w:left w:val="single" w:sz="8" w:space="0" w:color="auto"/>
              <w:bottom w:val="nil"/>
              <w:right w:val="single" w:sz="8" w:space="0" w:color="auto"/>
            </w:tcBorders>
            <w:vAlign w:val="center"/>
          </w:tcPr>
          <w:p w14:paraId="3D60A19A" w14:textId="37610AEB" w:rsidR="00CD4BAB" w:rsidRPr="00A8227D" w:rsidRDefault="00A8227D" w:rsidP="00F9573F">
            <w:pPr>
              <w:rPr>
                <w:rFonts w:eastAsia="Times New Roman"/>
                <w:sz w:val="18"/>
                <w:szCs w:val="18"/>
              </w:rPr>
            </w:pPr>
            <w:r w:rsidRPr="00A8227D">
              <w:rPr>
                <w:rFonts w:eastAsia="Times New Roman"/>
                <w:sz w:val="18"/>
                <w:szCs w:val="18"/>
              </w:rPr>
              <w:t>557</w:t>
            </w:r>
            <w:r w:rsidRPr="00A8227D">
              <w:rPr>
                <w:rFonts w:eastAsia="Times New Roman"/>
                <w:sz w:val="18"/>
                <w:szCs w:val="18"/>
                <w:vertAlign w:val="superscript"/>
              </w:rPr>
              <w:t>6, 12</w:t>
            </w:r>
          </w:p>
        </w:tc>
        <w:tc>
          <w:tcPr>
            <w:tcW w:w="1858" w:type="dxa"/>
            <w:tcBorders>
              <w:top w:val="nil"/>
              <w:left w:val="single" w:sz="8" w:space="0" w:color="auto"/>
              <w:bottom w:val="nil"/>
              <w:right w:val="single" w:sz="8" w:space="0" w:color="auto"/>
            </w:tcBorders>
            <w:vAlign w:val="center"/>
          </w:tcPr>
          <w:p w14:paraId="3F245368" w14:textId="77777777" w:rsidR="00CD4BAB" w:rsidRDefault="00CD4BAB"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FA09B0A" w14:textId="77777777" w:rsidR="00CD4BAB" w:rsidRDefault="00CD4BAB"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7F68BBCD" w14:textId="77777777" w:rsidR="00CD4BAB" w:rsidRDefault="00CD4BAB" w:rsidP="00F9573F">
            <w:pPr>
              <w:rPr>
                <w:rFonts w:eastAsia="Times New Roman"/>
                <w:sz w:val="24"/>
                <w:szCs w:val="24"/>
              </w:rPr>
            </w:pPr>
          </w:p>
        </w:tc>
      </w:tr>
      <w:tr w:rsidR="00A8227D" w14:paraId="3F499C39" w14:textId="77777777" w:rsidTr="00F9573F">
        <w:tc>
          <w:tcPr>
            <w:tcW w:w="3514" w:type="dxa"/>
            <w:tcBorders>
              <w:top w:val="nil"/>
              <w:left w:val="single" w:sz="8" w:space="0" w:color="auto"/>
              <w:bottom w:val="nil"/>
              <w:right w:val="single" w:sz="8" w:space="0" w:color="auto"/>
            </w:tcBorders>
            <w:vAlign w:val="center"/>
          </w:tcPr>
          <w:p w14:paraId="1E5CDD13" w14:textId="267FFFC5" w:rsidR="00A8227D" w:rsidRDefault="00A8227D" w:rsidP="00F9573F">
            <w:pPr>
              <w:ind w:left="720"/>
              <w:rPr>
                <w:rFonts w:eastAsia="Times New Roman"/>
                <w:sz w:val="18"/>
                <w:szCs w:val="18"/>
              </w:rPr>
            </w:pPr>
            <w:r>
              <w:rPr>
                <w:rFonts w:eastAsia="Times New Roman"/>
                <w:sz w:val="18"/>
                <w:szCs w:val="18"/>
              </w:rPr>
              <w:t>Chemically Suppressed Ion Chromatography</w:t>
            </w:r>
          </w:p>
        </w:tc>
        <w:tc>
          <w:tcPr>
            <w:tcW w:w="1800" w:type="dxa"/>
            <w:tcBorders>
              <w:top w:val="nil"/>
              <w:left w:val="single" w:sz="8" w:space="0" w:color="auto"/>
              <w:bottom w:val="nil"/>
              <w:right w:val="single" w:sz="8" w:space="0" w:color="auto"/>
            </w:tcBorders>
            <w:vAlign w:val="center"/>
          </w:tcPr>
          <w:p w14:paraId="6B99F3F2" w14:textId="77777777" w:rsidR="00A8227D" w:rsidRPr="00A8227D" w:rsidRDefault="00A8227D" w:rsidP="00F9573F">
            <w:pPr>
              <w:rPr>
                <w:rFonts w:eastAsia="Times New Roman"/>
                <w:sz w:val="18"/>
                <w:szCs w:val="18"/>
              </w:rPr>
            </w:pPr>
          </w:p>
        </w:tc>
        <w:tc>
          <w:tcPr>
            <w:tcW w:w="1858" w:type="dxa"/>
            <w:tcBorders>
              <w:top w:val="nil"/>
              <w:left w:val="single" w:sz="8" w:space="0" w:color="auto"/>
              <w:bottom w:val="nil"/>
              <w:right w:val="single" w:sz="8" w:space="0" w:color="auto"/>
            </w:tcBorders>
            <w:vAlign w:val="center"/>
          </w:tcPr>
          <w:p w14:paraId="0C308726" w14:textId="77777777" w:rsidR="00A8227D" w:rsidRDefault="00A8227D"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3CBD7693" w14:textId="77777777" w:rsidR="00A8227D" w:rsidRDefault="00A8227D"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4B7AC0F7" w14:textId="1D56D6DB" w:rsidR="00A8227D" w:rsidRPr="00A8227D" w:rsidRDefault="00A8227D" w:rsidP="00F9573F">
            <w:pPr>
              <w:rPr>
                <w:rFonts w:eastAsia="Times New Roman"/>
                <w:sz w:val="18"/>
                <w:szCs w:val="18"/>
              </w:rPr>
            </w:pPr>
            <w:r w:rsidRPr="00A8227D">
              <w:rPr>
                <w:rFonts w:eastAsia="Times New Roman"/>
                <w:sz w:val="18"/>
                <w:szCs w:val="18"/>
              </w:rPr>
              <w:t>D 6581-08 A</w:t>
            </w:r>
          </w:p>
        </w:tc>
      </w:tr>
      <w:tr w:rsidR="00A8227D" w14:paraId="3083330D" w14:textId="77777777" w:rsidTr="00F9573F">
        <w:tc>
          <w:tcPr>
            <w:tcW w:w="3514" w:type="dxa"/>
            <w:tcBorders>
              <w:top w:val="nil"/>
              <w:left w:val="single" w:sz="8" w:space="0" w:color="auto"/>
              <w:bottom w:val="single" w:sz="8" w:space="0" w:color="auto"/>
              <w:right w:val="single" w:sz="8" w:space="0" w:color="auto"/>
            </w:tcBorders>
            <w:vAlign w:val="center"/>
          </w:tcPr>
          <w:p w14:paraId="01AD30D9" w14:textId="0B0173A1" w:rsidR="00A8227D" w:rsidRDefault="00A8227D" w:rsidP="00F9573F">
            <w:pPr>
              <w:ind w:left="720"/>
              <w:rPr>
                <w:rFonts w:eastAsia="Times New Roman"/>
                <w:sz w:val="18"/>
                <w:szCs w:val="18"/>
              </w:rPr>
            </w:pPr>
            <w:r>
              <w:rPr>
                <w:rFonts w:eastAsia="Times New Roman"/>
                <w:sz w:val="18"/>
                <w:szCs w:val="18"/>
              </w:rPr>
              <w:t>Electrolytically Suppressed Ion Chromatography</w:t>
            </w:r>
          </w:p>
        </w:tc>
        <w:tc>
          <w:tcPr>
            <w:tcW w:w="1800" w:type="dxa"/>
            <w:tcBorders>
              <w:top w:val="nil"/>
              <w:left w:val="single" w:sz="8" w:space="0" w:color="auto"/>
              <w:bottom w:val="single" w:sz="8" w:space="0" w:color="auto"/>
              <w:right w:val="single" w:sz="8" w:space="0" w:color="auto"/>
            </w:tcBorders>
            <w:vAlign w:val="center"/>
          </w:tcPr>
          <w:p w14:paraId="6C379B6B" w14:textId="77777777" w:rsidR="00A8227D" w:rsidRPr="00A8227D" w:rsidRDefault="00A8227D" w:rsidP="00F9573F">
            <w:pPr>
              <w:rPr>
                <w:rFonts w:eastAsia="Times New Roman"/>
                <w:sz w:val="18"/>
                <w:szCs w:val="18"/>
              </w:rPr>
            </w:pPr>
          </w:p>
        </w:tc>
        <w:tc>
          <w:tcPr>
            <w:tcW w:w="1858" w:type="dxa"/>
            <w:tcBorders>
              <w:top w:val="nil"/>
              <w:left w:val="single" w:sz="8" w:space="0" w:color="auto"/>
              <w:bottom w:val="single" w:sz="8" w:space="0" w:color="auto"/>
              <w:right w:val="single" w:sz="8" w:space="0" w:color="auto"/>
            </w:tcBorders>
            <w:vAlign w:val="center"/>
          </w:tcPr>
          <w:p w14:paraId="2C52469E" w14:textId="77777777" w:rsidR="00A8227D" w:rsidRDefault="00A8227D" w:rsidP="00F9573F">
            <w:pPr>
              <w:rPr>
                <w:rFonts w:eastAsia="Times New Roman"/>
                <w:sz w:val="24"/>
                <w:szCs w:val="24"/>
              </w:rPr>
            </w:pPr>
          </w:p>
        </w:tc>
        <w:tc>
          <w:tcPr>
            <w:tcW w:w="1468" w:type="dxa"/>
            <w:tcBorders>
              <w:top w:val="nil"/>
              <w:left w:val="single" w:sz="8" w:space="0" w:color="auto"/>
              <w:bottom w:val="single" w:sz="8" w:space="0" w:color="auto"/>
              <w:right w:val="single" w:sz="8" w:space="0" w:color="auto"/>
            </w:tcBorders>
            <w:vAlign w:val="center"/>
          </w:tcPr>
          <w:p w14:paraId="6B6BF7C8" w14:textId="77777777" w:rsidR="00A8227D" w:rsidRDefault="00A8227D" w:rsidP="00F9573F">
            <w:pPr>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280DB270" w14:textId="65CFCFFE" w:rsidR="00A8227D" w:rsidRPr="00A8227D" w:rsidRDefault="00A8227D" w:rsidP="00F9573F">
            <w:pPr>
              <w:rPr>
                <w:rFonts w:eastAsia="Times New Roman"/>
                <w:sz w:val="18"/>
                <w:szCs w:val="18"/>
              </w:rPr>
            </w:pPr>
            <w:r>
              <w:rPr>
                <w:rFonts w:eastAsia="Times New Roman"/>
                <w:sz w:val="18"/>
                <w:szCs w:val="18"/>
              </w:rPr>
              <w:t>D 6581-08 B</w:t>
            </w:r>
          </w:p>
        </w:tc>
      </w:tr>
      <w:tr w:rsidR="00F12994" w14:paraId="6B3CF905" w14:textId="77777777" w:rsidTr="00F9573F">
        <w:tc>
          <w:tcPr>
            <w:tcW w:w="3514" w:type="dxa"/>
            <w:tcBorders>
              <w:top w:val="single" w:sz="8" w:space="0" w:color="auto"/>
              <w:left w:val="single" w:sz="8" w:space="0" w:color="auto"/>
              <w:bottom w:val="nil"/>
              <w:right w:val="single" w:sz="8" w:space="0" w:color="auto"/>
            </w:tcBorders>
            <w:vAlign w:val="center"/>
          </w:tcPr>
          <w:p w14:paraId="201AAF0F" w14:textId="654434AD" w:rsidR="00F12994" w:rsidRDefault="00F12994" w:rsidP="00F9573F">
            <w:pPr>
              <w:rPr>
                <w:rFonts w:eastAsia="Times New Roman"/>
                <w:sz w:val="18"/>
                <w:szCs w:val="18"/>
              </w:rPr>
            </w:pPr>
            <w:r>
              <w:rPr>
                <w:rFonts w:eastAsia="Times New Roman"/>
                <w:sz w:val="18"/>
                <w:szCs w:val="18"/>
              </w:rPr>
              <w:t>Chlorite</w:t>
            </w:r>
          </w:p>
        </w:tc>
        <w:tc>
          <w:tcPr>
            <w:tcW w:w="1800" w:type="dxa"/>
            <w:tcBorders>
              <w:top w:val="single" w:sz="8" w:space="0" w:color="auto"/>
              <w:left w:val="single" w:sz="8" w:space="0" w:color="auto"/>
              <w:bottom w:val="nil"/>
              <w:right w:val="single" w:sz="8" w:space="0" w:color="auto"/>
            </w:tcBorders>
            <w:vAlign w:val="center"/>
          </w:tcPr>
          <w:p w14:paraId="3ABA96EF" w14:textId="77777777" w:rsidR="00F12994" w:rsidRPr="00A8227D" w:rsidRDefault="00F12994" w:rsidP="00F9573F">
            <w:pPr>
              <w:rPr>
                <w:rFonts w:eastAsia="Times New Roman"/>
                <w:sz w:val="18"/>
                <w:szCs w:val="18"/>
              </w:rPr>
            </w:pPr>
          </w:p>
        </w:tc>
        <w:tc>
          <w:tcPr>
            <w:tcW w:w="1858" w:type="dxa"/>
            <w:tcBorders>
              <w:top w:val="single" w:sz="8" w:space="0" w:color="auto"/>
              <w:left w:val="single" w:sz="8" w:space="0" w:color="auto"/>
              <w:bottom w:val="nil"/>
              <w:right w:val="single" w:sz="8" w:space="0" w:color="auto"/>
            </w:tcBorders>
            <w:vAlign w:val="center"/>
          </w:tcPr>
          <w:p w14:paraId="233D296A" w14:textId="77777777" w:rsidR="00F12994" w:rsidRDefault="00F12994"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7C6A9222" w14:textId="77777777" w:rsidR="00F12994" w:rsidRDefault="00F12994"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1F751F42" w14:textId="77777777" w:rsidR="00F12994" w:rsidRDefault="00F12994" w:rsidP="00F9573F">
            <w:pPr>
              <w:rPr>
                <w:rFonts w:eastAsia="Times New Roman"/>
                <w:sz w:val="18"/>
                <w:szCs w:val="18"/>
              </w:rPr>
            </w:pPr>
          </w:p>
        </w:tc>
      </w:tr>
      <w:tr w:rsidR="00F12994" w14:paraId="30873E10" w14:textId="77777777" w:rsidTr="00F9573F">
        <w:tc>
          <w:tcPr>
            <w:tcW w:w="3514" w:type="dxa"/>
            <w:tcBorders>
              <w:top w:val="nil"/>
              <w:left w:val="single" w:sz="8" w:space="0" w:color="auto"/>
              <w:bottom w:val="nil"/>
              <w:right w:val="single" w:sz="8" w:space="0" w:color="auto"/>
            </w:tcBorders>
            <w:vAlign w:val="center"/>
          </w:tcPr>
          <w:p w14:paraId="17675F44" w14:textId="747573AB" w:rsidR="00F12994" w:rsidRDefault="00F12994" w:rsidP="00F9573F">
            <w:pPr>
              <w:ind w:left="720"/>
              <w:rPr>
                <w:rFonts w:eastAsia="Times New Roman"/>
                <w:sz w:val="18"/>
                <w:szCs w:val="18"/>
              </w:rPr>
            </w:pPr>
            <w:r>
              <w:rPr>
                <w:rFonts w:eastAsia="Times New Roman"/>
                <w:sz w:val="18"/>
                <w:szCs w:val="18"/>
              </w:rPr>
              <w:t>Amperometric titration</w:t>
            </w:r>
          </w:p>
        </w:tc>
        <w:tc>
          <w:tcPr>
            <w:tcW w:w="1800" w:type="dxa"/>
            <w:tcBorders>
              <w:top w:val="nil"/>
              <w:left w:val="single" w:sz="8" w:space="0" w:color="auto"/>
              <w:bottom w:val="nil"/>
              <w:right w:val="single" w:sz="8" w:space="0" w:color="auto"/>
            </w:tcBorders>
            <w:vAlign w:val="center"/>
          </w:tcPr>
          <w:p w14:paraId="73BE6381" w14:textId="77777777" w:rsidR="00F12994" w:rsidRPr="00A8227D" w:rsidRDefault="00F12994" w:rsidP="00F9573F">
            <w:pPr>
              <w:rPr>
                <w:rFonts w:eastAsia="Times New Roman"/>
                <w:sz w:val="18"/>
                <w:szCs w:val="18"/>
              </w:rPr>
            </w:pPr>
          </w:p>
        </w:tc>
        <w:tc>
          <w:tcPr>
            <w:tcW w:w="1858" w:type="dxa"/>
            <w:tcBorders>
              <w:top w:val="nil"/>
              <w:left w:val="single" w:sz="8" w:space="0" w:color="auto"/>
              <w:bottom w:val="nil"/>
              <w:right w:val="single" w:sz="8" w:space="0" w:color="auto"/>
            </w:tcBorders>
            <w:vAlign w:val="center"/>
          </w:tcPr>
          <w:p w14:paraId="69FC47B8" w14:textId="34F3E7BB" w:rsidR="00F12994" w:rsidRPr="00D728C3" w:rsidRDefault="00F12994" w:rsidP="00F9573F">
            <w:pPr>
              <w:rPr>
                <w:rFonts w:eastAsia="Times New Roman"/>
                <w:sz w:val="18"/>
                <w:szCs w:val="18"/>
              </w:rPr>
            </w:pPr>
            <w:r w:rsidRPr="00D728C3">
              <w:rPr>
                <w:rFonts w:eastAsia="Times New Roman"/>
                <w:sz w:val="18"/>
                <w:szCs w:val="18"/>
              </w:rPr>
              <w:t>4500-ClO</w:t>
            </w:r>
            <w:r w:rsidRPr="00D728C3">
              <w:rPr>
                <w:rFonts w:eastAsia="Times New Roman"/>
                <w:sz w:val="18"/>
                <w:szCs w:val="18"/>
                <w:vertAlign w:val="subscript"/>
              </w:rPr>
              <w:t>2</w:t>
            </w:r>
            <w:r w:rsidRPr="00D728C3">
              <w:rPr>
                <w:rFonts w:eastAsia="Times New Roman"/>
                <w:sz w:val="18"/>
                <w:szCs w:val="18"/>
              </w:rPr>
              <w:t xml:space="preserve"> E</w:t>
            </w:r>
            <w:r w:rsidR="00D728C3" w:rsidRPr="00D728C3">
              <w:rPr>
                <w:rFonts w:eastAsia="Times New Roman"/>
                <w:sz w:val="18"/>
                <w:szCs w:val="18"/>
                <w:vertAlign w:val="superscript"/>
              </w:rPr>
              <w:t>11</w:t>
            </w:r>
          </w:p>
        </w:tc>
        <w:tc>
          <w:tcPr>
            <w:tcW w:w="1468" w:type="dxa"/>
            <w:tcBorders>
              <w:top w:val="nil"/>
              <w:left w:val="single" w:sz="8" w:space="0" w:color="auto"/>
              <w:bottom w:val="nil"/>
              <w:right w:val="single" w:sz="8" w:space="0" w:color="auto"/>
            </w:tcBorders>
            <w:vAlign w:val="center"/>
          </w:tcPr>
          <w:p w14:paraId="0E58416D" w14:textId="01534766" w:rsidR="00F12994" w:rsidRPr="00D728C3" w:rsidRDefault="00D728C3" w:rsidP="00F9573F">
            <w:pPr>
              <w:rPr>
                <w:rFonts w:eastAsia="Times New Roman"/>
                <w:sz w:val="18"/>
                <w:szCs w:val="18"/>
              </w:rPr>
            </w:pPr>
            <w:r w:rsidRPr="00D728C3">
              <w:rPr>
                <w:rFonts w:eastAsia="Times New Roman"/>
                <w:sz w:val="18"/>
                <w:szCs w:val="18"/>
              </w:rPr>
              <w:t>4500-ClO</w:t>
            </w:r>
            <w:r w:rsidRPr="00D728C3">
              <w:rPr>
                <w:rFonts w:eastAsia="Times New Roman"/>
                <w:sz w:val="18"/>
                <w:szCs w:val="18"/>
                <w:vertAlign w:val="subscript"/>
              </w:rPr>
              <w:t>2</w:t>
            </w:r>
            <w:r w:rsidRPr="00D728C3">
              <w:rPr>
                <w:rFonts w:eastAsia="Times New Roman"/>
                <w:sz w:val="18"/>
                <w:szCs w:val="18"/>
              </w:rPr>
              <w:t xml:space="preserve"> E-00</w:t>
            </w:r>
            <w:r w:rsidR="00207EB4" w:rsidRPr="00207EB4">
              <w:rPr>
                <w:rFonts w:eastAsia="Times New Roman"/>
                <w:sz w:val="18"/>
                <w:szCs w:val="18"/>
                <w:vertAlign w:val="superscript"/>
              </w:rPr>
              <w:t>8</w:t>
            </w:r>
          </w:p>
        </w:tc>
        <w:tc>
          <w:tcPr>
            <w:tcW w:w="1710" w:type="dxa"/>
            <w:tcBorders>
              <w:top w:val="nil"/>
              <w:left w:val="single" w:sz="8" w:space="0" w:color="auto"/>
              <w:bottom w:val="nil"/>
              <w:right w:val="single" w:sz="8" w:space="0" w:color="auto"/>
            </w:tcBorders>
            <w:vAlign w:val="center"/>
          </w:tcPr>
          <w:p w14:paraId="6AD2B56E" w14:textId="77777777" w:rsidR="00F12994" w:rsidRDefault="00F12994" w:rsidP="00F9573F">
            <w:pPr>
              <w:rPr>
                <w:rFonts w:eastAsia="Times New Roman"/>
                <w:sz w:val="18"/>
                <w:szCs w:val="18"/>
              </w:rPr>
            </w:pPr>
          </w:p>
        </w:tc>
      </w:tr>
      <w:tr w:rsidR="00F12994" w14:paraId="5D88513C" w14:textId="77777777" w:rsidTr="00F9573F">
        <w:tc>
          <w:tcPr>
            <w:tcW w:w="3514" w:type="dxa"/>
            <w:tcBorders>
              <w:top w:val="nil"/>
              <w:left w:val="single" w:sz="8" w:space="0" w:color="auto"/>
              <w:bottom w:val="nil"/>
              <w:right w:val="single" w:sz="8" w:space="0" w:color="auto"/>
            </w:tcBorders>
            <w:vAlign w:val="center"/>
          </w:tcPr>
          <w:p w14:paraId="16EB661C" w14:textId="15A9E69D" w:rsidR="00F12994" w:rsidRDefault="00207EB4" w:rsidP="00F9573F">
            <w:pPr>
              <w:ind w:left="720"/>
              <w:rPr>
                <w:rFonts w:eastAsia="Times New Roman"/>
                <w:sz w:val="18"/>
                <w:szCs w:val="18"/>
              </w:rPr>
            </w:pPr>
            <w:r>
              <w:rPr>
                <w:rFonts w:eastAsia="Times New Roman"/>
                <w:sz w:val="18"/>
                <w:szCs w:val="18"/>
              </w:rPr>
              <w:t>Spectrophotometry</w:t>
            </w:r>
          </w:p>
        </w:tc>
        <w:tc>
          <w:tcPr>
            <w:tcW w:w="1800" w:type="dxa"/>
            <w:tcBorders>
              <w:top w:val="nil"/>
              <w:left w:val="single" w:sz="8" w:space="0" w:color="auto"/>
              <w:bottom w:val="nil"/>
              <w:right w:val="single" w:sz="8" w:space="0" w:color="auto"/>
            </w:tcBorders>
            <w:vAlign w:val="center"/>
          </w:tcPr>
          <w:p w14:paraId="5FB90315" w14:textId="711BD275" w:rsidR="00F12994" w:rsidRPr="00A8227D" w:rsidRDefault="00207EB4" w:rsidP="00F9573F">
            <w:pPr>
              <w:rPr>
                <w:rFonts w:eastAsia="Times New Roman"/>
                <w:sz w:val="18"/>
                <w:szCs w:val="18"/>
              </w:rPr>
            </w:pPr>
            <w:r>
              <w:rPr>
                <w:rFonts w:eastAsia="Times New Roman"/>
                <w:sz w:val="18"/>
                <w:szCs w:val="18"/>
              </w:rPr>
              <w:t>327.0 Rev 1.1</w:t>
            </w:r>
            <w:r w:rsidR="00580AF8" w:rsidRPr="00580AF8">
              <w:rPr>
                <w:rFonts w:eastAsia="Times New Roman"/>
                <w:sz w:val="18"/>
                <w:szCs w:val="18"/>
                <w:vertAlign w:val="superscript"/>
              </w:rPr>
              <w:t>8</w:t>
            </w:r>
          </w:p>
        </w:tc>
        <w:tc>
          <w:tcPr>
            <w:tcW w:w="1858" w:type="dxa"/>
            <w:tcBorders>
              <w:top w:val="nil"/>
              <w:left w:val="single" w:sz="8" w:space="0" w:color="auto"/>
              <w:bottom w:val="nil"/>
              <w:right w:val="single" w:sz="8" w:space="0" w:color="auto"/>
            </w:tcBorders>
            <w:vAlign w:val="center"/>
          </w:tcPr>
          <w:p w14:paraId="57B81E56" w14:textId="77777777" w:rsidR="00F12994" w:rsidRDefault="00F12994"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4D709DB0" w14:textId="77777777" w:rsidR="00F12994" w:rsidRDefault="00F12994"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745E379C" w14:textId="77777777" w:rsidR="00F12994" w:rsidRDefault="00F12994" w:rsidP="00F9573F">
            <w:pPr>
              <w:rPr>
                <w:rFonts w:eastAsia="Times New Roman"/>
                <w:sz w:val="18"/>
                <w:szCs w:val="18"/>
              </w:rPr>
            </w:pPr>
          </w:p>
        </w:tc>
      </w:tr>
      <w:tr w:rsidR="00F12994" w14:paraId="635078AE" w14:textId="77777777" w:rsidTr="00F9573F">
        <w:tc>
          <w:tcPr>
            <w:tcW w:w="3514" w:type="dxa"/>
            <w:tcBorders>
              <w:top w:val="nil"/>
              <w:left w:val="single" w:sz="8" w:space="0" w:color="auto"/>
              <w:bottom w:val="nil"/>
              <w:right w:val="single" w:sz="8" w:space="0" w:color="auto"/>
            </w:tcBorders>
            <w:vAlign w:val="center"/>
          </w:tcPr>
          <w:p w14:paraId="570DAE18" w14:textId="196A42B1" w:rsidR="00F12994" w:rsidRDefault="00580AF8" w:rsidP="00F9573F">
            <w:pPr>
              <w:ind w:left="720"/>
              <w:rPr>
                <w:rFonts w:eastAsia="Times New Roman"/>
                <w:sz w:val="18"/>
                <w:szCs w:val="18"/>
              </w:rPr>
            </w:pPr>
            <w:r>
              <w:rPr>
                <w:rFonts w:eastAsia="Times New Roman"/>
                <w:sz w:val="18"/>
                <w:szCs w:val="18"/>
              </w:rPr>
              <w:t>Ion chromatography</w:t>
            </w:r>
          </w:p>
        </w:tc>
        <w:tc>
          <w:tcPr>
            <w:tcW w:w="1800" w:type="dxa"/>
            <w:tcBorders>
              <w:top w:val="nil"/>
              <w:left w:val="single" w:sz="8" w:space="0" w:color="auto"/>
              <w:bottom w:val="nil"/>
              <w:right w:val="single" w:sz="8" w:space="0" w:color="auto"/>
            </w:tcBorders>
            <w:vAlign w:val="center"/>
          </w:tcPr>
          <w:p w14:paraId="42DCABDB" w14:textId="6BC421CE" w:rsidR="00F12994" w:rsidRPr="00A8227D" w:rsidRDefault="00580AF8" w:rsidP="00F9573F">
            <w:pPr>
              <w:rPr>
                <w:rFonts w:eastAsia="Times New Roman"/>
                <w:sz w:val="18"/>
                <w:szCs w:val="18"/>
              </w:rPr>
            </w:pPr>
            <w:r>
              <w:rPr>
                <w:rFonts w:eastAsia="Times New Roman"/>
                <w:sz w:val="18"/>
                <w:szCs w:val="18"/>
              </w:rPr>
              <w:t>300.0, 300.1, 317.0 Rev 2.0, 326.0</w:t>
            </w:r>
          </w:p>
        </w:tc>
        <w:tc>
          <w:tcPr>
            <w:tcW w:w="1858" w:type="dxa"/>
            <w:tcBorders>
              <w:top w:val="nil"/>
              <w:left w:val="single" w:sz="8" w:space="0" w:color="auto"/>
              <w:bottom w:val="nil"/>
              <w:right w:val="single" w:sz="8" w:space="0" w:color="auto"/>
            </w:tcBorders>
            <w:vAlign w:val="center"/>
          </w:tcPr>
          <w:p w14:paraId="26B9C1EF" w14:textId="77777777" w:rsidR="00F12994" w:rsidRDefault="00F12994"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3F51AB57" w14:textId="77777777" w:rsidR="00F12994" w:rsidRDefault="00F12994"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3B270751" w14:textId="3F4FCE4A" w:rsidR="00F12994" w:rsidRDefault="006076B6" w:rsidP="00F9573F">
            <w:pPr>
              <w:rPr>
                <w:rFonts w:eastAsia="Times New Roman"/>
                <w:sz w:val="18"/>
                <w:szCs w:val="18"/>
              </w:rPr>
            </w:pPr>
            <w:r>
              <w:rPr>
                <w:rFonts w:eastAsia="Times New Roman"/>
                <w:sz w:val="18"/>
                <w:szCs w:val="18"/>
              </w:rPr>
              <w:t>D 6581-00</w:t>
            </w:r>
            <w:r w:rsidR="006F5580" w:rsidRPr="006F5580">
              <w:rPr>
                <w:rFonts w:eastAsia="Times New Roman"/>
                <w:sz w:val="18"/>
                <w:szCs w:val="18"/>
                <w:vertAlign w:val="superscript"/>
              </w:rPr>
              <w:t>3</w:t>
            </w:r>
          </w:p>
        </w:tc>
      </w:tr>
      <w:tr w:rsidR="006F5580" w14:paraId="40908544" w14:textId="77777777" w:rsidTr="00F9573F">
        <w:tc>
          <w:tcPr>
            <w:tcW w:w="3514" w:type="dxa"/>
            <w:tcBorders>
              <w:top w:val="nil"/>
              <w:left w:val="single" w:sz="8" w:space="0" w:color="auto"/>
              <w:bottom w:val="nil"/>
              <w:right w:val="single" w:sz="8" w:space="0" w:color="auto"/>
            </w:tcBorders>
            <w:vAlign w:val="center"/>
          </w:tcPr>
          <w:p w14:paraId="6FC862ED" w14:textId="7235E83B" w:rsidR="006F5580" w:rsidRDefault="006F5580" w:rsidP="00F9573F">
            <w:pPr>
              <w:ind w:left="720"/>
              <w:rPr>
                <w:rFonts w:eastAsia="Times New Roman"/>
                <w:sz w:val="18"/>
                <w:szCs w:val="18"/>
              </w:rPr>
            </w:pPr>
            <w:r>
              <w:rPr>
                <w:rFonts w:eastAsia="Times New Roman"/>
                <w:sz w:val="18"/>
                <w:szCs w:val="18"/>
              </w:rPr>
              <w:t>Chemically Suppressed Ion Chromatography</w:t>
            </w:r>
          </w:p>
        </w:tc>
        <w:tc>
          <w:tcPr>
            <w:tcW w:w="1800" w:type="dxa"/>
            <w:tcBorders>
              <w:top w:val="nil"/>
              <w:left w:val="single" w:sz="8" w:space="0" w:color="auto"/>
              <w:bottom w:val="nil"/>
              <w:right w:val="single" w:sz="8" w:space="0" w:color="auto"/>
            </w:tcBorders>
            <w:vAlign w:val="center"/>
          </w:tcPr>
          <w:p w14:paraId="75881229" w14:textId="77777777" w:rsidR="006F5580" w:rsidRDefault="006F5580" w:rsidP="00F9573F">
            <w:pPr>
              <w:rPr>
                <w:rFonts w:eastAsia="Times New Roman"/>
                <w:sz w:val="18"/>
                <w:szCs w:val="18"/>
              </w:rPr>
            </w:pPr>
          </w:p>
        </w:tc>
        <w:tc>
          <w:tcPr>
            <w:tcW w:w="1858" w:type="dxa"/>
            <w:tcBorders>
              <w:top w:val="nil"/>
              <w:left w:val="single" w:sz="8" w:space="0" w:color="auto"/>
              <w:bottom w:val="nil"/>
              <w:right w:val="single" w:sz="8" w:space="0" w:color="auto"/>
            </w:tcBorders>
            <w:vAlign w:val="center"/>
          </w:tcPr>
          <w:p w14:paraId="002D96AD" w14:textId="77777777" w:rsidR="006F5580" w:rsidRDefault="006F5580"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FFA0DFD" w14:textId="77777777" w:rsidR="006F5580" w:rsidRDefault="006F5580"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66F78404" w14:textId="5344F85C" w:rsidR="006F5580" w:rsidRDefault="006F5580" w:rsidP="00F9573F">
            <w:pPr>
              <w:rPr>
                <w:rFonts w:eastAsia="Times New Roman"/>
                <w:sz w:val="18"/>
                <w:szCs w:val="18"/>
              </w:rPr>
            </w:pPr>
            <w:r w:rsidRPr="00A8227D">
              <w:rPr>
                <w:rFonts w:eastAsia="Times New Roman"/>
                <w:sz w:val="18"/>
                <w:szCs w:val="18"/>
              </w:rPr>
              <w:t>D 6581-08 A</w:t>
            </w:r>
            <w:r w:rsidRPr="006F5580">
              <w:rPr>
                <w:rFonts w:eastAsia="Times New Roman"/>
                <w:sz w:val="18"/>
                <w:szCs w:val="18"/>
                <w:vertAlign w:val="superscript"/>
              </w:rPr>
              <w:t>14</w:t>
            </w:r>
          </w:p>
        </w:tc>
      </w:tr>
      <w:tr w:rsidR="006F5580" w14:paraId="22C4BD6A" w14:textId="77777777" w:rsidTr="00F9573F">
        <w:tc>
          <w:tcPr>
            <w:tcW w:w="3514" w:type="dxa"/>
            <w:tcBorders>
              <w:top w:val="nil"/>
              <w:left w:val="single" w:sz="8" w:space="0" w:color="auto"/>
              <w:bottom w:val="single" w:sz="8" w:space="0" w:color="auto"/>
              <w:right w:val="single" w:sz="8" w:space="0" w:color="auto"/>
            </w:tcBorders>
            <w:vAlign w:val="center"/>
          </w:tcPr>
          <w:p w14:paraId="38F4B2AD" w14:textId="191B093C" w:rsidR="006F5580" w:rsidRDefault="006F5580" w:rsidP="00F9573F">
            <w:pPr>
              <w:ind w:left="720"/>
              <w:rPr>
                <w:rFonts w:eastAsia="Times New Roman"/>
                <w:sz w:val="18"/>
                <w:szCs w:val="18"/>
              </w:rPr>
            </w:pPr>
            <w:r>
              <w:rPr>
                <w:rFonts w:eastAsia="Times New Roman"/>
                <w:sz w:val="18"/>
                <w:szCs w:val="18"/>
              </w:rPr>
              <w:t>Electrolytically Suppressed Ion Chromatography</w:t>
            </w:r>
          </w:p>
        </w:tc>
        <w:tc>
          <w:tcPr>
            <w:tcW w:w="1800" w:type="dxa"/>
            <w:tcBorders>
              <w:top w:val="nil"/>
              <w:left w:val="single" w:sz="8" w:space="0" w:color="auto"/>
              <w:bottom w:val="single" w:sz="8" w:space="0" w:color="auto"/>
              <w:right w:val="single" w:sz="8" w:space="0" w:color="auto"/>
            </w:tcBorders>
            <w:vAlign w:val="center"/>
          </w:tcPr>
          <w:p w14:paraId="1E777B41" w14:textId="77777777" w:rsidR="006F5580" w:rsidRDefault="006F5580" w:rsidP="00F9573F">
            <w:pPr>
              <w:rPr>
                <w:rFonts w:eastAsia="Times New Roman"/>
                <w:sz w:val="18"/>
                <w:szCs w:val="18"/>
              </w:rPr>
            </w:pPr>
          </w:p>
        </w:tc>
        <w:tc>
          <w:tcPr>
            <w:tcW w:w="1858" w:type="dxa"/>
            <w:tcBorders>
              <w:top w:val="nil"/>
              <w:left w:val="single" w:sz="8" w:space="0" w:color="auto"/>
              <w:bottom w:val="single" w:sz="8" w:space="0" w:color="auto"/>
              <w:right w:val="single" w:sz="8" w:space="0" w:color="auto"/>
            </w:tcBorders>
            <w:vAlign w:val="center"/>
          </w:tcPr>
          <w:p w14:paraId="68C02F5F" w14:textId="77777777" w:rsidR="006F5580" w:rsidRDefault="006F5580" w:rsidP="00F9573F">
            <w:pPr>
              <w:rPr>
                <w:rFonts w:eastAsia="Times New Roman"/>
                <w:sz w:val="24"/>
                <w:szCs w:val="24"/>
              </w:rPr>
            </w:pPr>
          </w:p>
        </w:tc>
        <w:tc>
          <w:tcPr>
            <w:tcW w:w="1468" w:type="dxa"/>
            <w:tcBorders>
              <w:top w:val="nil"/>
              <w:left w:val="single" w:sz="8" w:space="0" w:color="auto"/>
              <w:bottom w:val="single" w:sz="8" w:space="0" w:color="auto"/>
              <w:right w:val="single" w:sz="8" w:space="0" w:color="auto"/>
            </w:tcBorders>
            <w:vAlign w:val="center"/>
          </w:tcPr>
          <w:p w14:paraId="2FE649A5" w14:textId="77777777" w:rsidR="006F5580" w:rsidRDefault="006F5580" w:rsidP="00F9573F">
            <w:pPr>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30A41BA1" w14:textId="3F70A5C4" w:rsidR="006F5580" w:rsidRDefault="006F5580" w:rsidP="00F9573F">
            <w:pPr>
              <w:rPr>
                <w:rFonts w:eastAsia="Times New Roman"/>
                <w:sz w:val="18"/>
                <w:szCs w:val="18"/>
              </w:rPr>
            </w:pPr>
            <w:r>
              <w:rPr>
                <w:rFonts w:eastAsia="Times New Roman"/>
                <w:sz w:val="18"/>
                <w:szCs w:val="18"/>
              </w:rPr>
              <w:t>D 6581-08 B</w:t>
            </w:r>
            <w:r w:rsidRPr="006F5580">
              <w:rPr>
                <w:rFonts w:eastAsia="Times New Roman"/>
                <w:sz w:val="18"/>
                <w:szCs w:val="18"/>
                <w:vertAlign w:val="superscript"/>
              </w:rPr>
              <w:t>14</w:t>
            </w:r>
          </w:p>
        </w:tc>
      </w:tr>
      <w:tr w:rsidR="008F75BA" w14:paraId="58A15F57" w14:textId="77777777" w:rsidTr="00F9573F">
        <w:tc>
          <w:tcPr>
            <w:tcW w:w="3514" w:type="dxa"/>
            <w:tcBorders>
              <w:top w:val="single" w:sz="8" w:space="0" w:color="auto"/>
              <w:left w:val="single" w:sz="8" w:space="0" w:color="auto"/>
              <w:bottom w:val="nil"/>
              <w:right w:val="single" w:sz="8" w:space="0" w:color="auto"/>
            </w:tcBorders>
            <w:vAlign w:val="center"/>
          </w:tcPr>
          <w:p w14:paraId="471CDFA6" w14:textId="55A9937E" w:rsidR="008F75BA" w:rsidRDefault="008F75BA" w:rsidP="00F9573F">
            <w:pPr>
              <w:ind w:left="720" w:hanging="720"/>
              <w:rPr>
                <w:rFonts w:eastAsia="Times New Roman"/>
                <w:sz w:val="18"/>
                <w:szCs w:val="18"/>
              </w:rPr>
            </w:pPr>
            <w:r>
              <w:rPr>
                <w:rFonts w:eastAsia="Times New Roman"/>
                <w:sz w:val="18"/>
                <w:szCs w:val="18"/>
              </w:rPr>
              <w:t>Chlorite – daily monitoring as prescribed in 310 CMR 22.07E(7)(b)2.a.i</w:t>
            </w:r>
          </w:p>
        </w:tc>
        <w:tc>
          <w:tcPr>
            <w:tcW w:w="1800" w:type="dxa"/>
            <w:tcBorders>
              <w:top w:val="single" w:sz="8" w:space="0" w:color="auto"/>
              <w:left w:val="single" w:sz="8" w:space="0" w:color="auto"/>
              <w:bottom w:val="nil"/>
              <w:right w:val="single" w:sz="8" w:space="0" w:color="auto"/>
            </w:tcBorders>
            <w:vAlign w:val="center"/>
          </w:tcPr>
          <w:p w14:paraId="39BCB175" w14:textId="77777777" w:rsidR="008F75BA" w:rsidRDefault="008F75BA" w:rsidP="00F9573F">
            <w:pPr>
              <w:rPr>
                <w:rFonts w:eastAsia="Times New Roman"/>
                <w:sz w:val="18"/>
                <w:szCs w:val="18"/>
              </w:rPr>
            </w:pPr>
          </w:p>
        </w:tc>
        <w:tc>
          <w:tcPr>
            <w:tcW w:w="1858" w:type="dxa"/>
            <w:tcBorders>
              <w:top w:val="single" w:sz="8" w:space="0" w:color="auto"/>
              <w:left w:val="single" w:sz="8" w:space="0" w:color="auto"/>
              <w:bottom w:val="nil"/>
              <w:right w:val="single" w:sz="8" w:space="0" w:color="auto"/>
            </w:tcBorders>
            <w:vAlign w:val="center"/>
          </w:tcPr>
          <w:p w14:paraId="16F09A4A" w14:textId="77777777" w:rsidR="008F75BA" w:rsidRDefault="008F75BA"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275BD8FC" w14:textId="77777777" w:rsidR="008F75BA" w:rsidRDefault="008F75BA"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099FF5B2" w14:textId="77777777" w:rsidR="008F75BA" w:rsidRDefault="008F75BA" w:rsidP="00F9573F">
            <w:pPr>
              <w:rPr>
                <w:rFonts w:eastAsia="Times New Roman"/>
                <w:sz w:val="18"/>
                <w:szCs w:val="18"/>
              </w:rPr>
            </w:pPr>
          </w:p>
        </w:tc>
      </w:tr>
      <w:tr w:rsidR="008F75BA" w14:paraId="2411EB62" w14:textId="77777777" w:rsidTr="00F9573F">
        <w:tc>
          <w:tcPr>
            <w:tcW w:w="3514" w:type="dxa"/>
            <w:tcBorders>
              <w:top w:val="nil"/>
              <w:left w:val="single" w:sz="8" w:space="0" w:color="auto"/>
              <w:bottom w:val="single" w:sz="8" w:space="0" w:color="auto"/>
              <w:right w:val="single" w:sz="8" w:space="0" w:color="auto"/>
            </w:tcBorders>
            <w:vAlign w:val="center"/>
          </w:tcPr>
          <w:p w14:paraId="64D5E951" w14:textId="67AE8B3F" w:rsidR="008F75BA" w:rsidRDefault="008F75BA" w:rsidP="00F9573F">
            <w:pPr>
              <w:ind w:left="720"/>
              <w:rPr>
                <w:rFonts w:eastAsia="Times New Roman"/>
                <w:sz w:val="18"/>
                <w:szCs w:val="18"/>
              </w:rPr>
            </w:pPr>
            <w:r>
              <w:rPr>
                <w:rFonts w:eastAsia="Times New Roman"/>
                <w:sz w:val="18"/>
                <w:szCs w:val="18"/>
              </w:rPr>
              <w:t>Amperometric Titration</w:t>
            </w:r>
          </w:p>
        </w:tc>
        <w:tc>
          <w:tcPr>
            <w:tcW w:w="1800" w:type="dxa"/>
            <w:tcBorders>
              <w:top w:val="nil"/>
              <w:left w:val="single" w:sz="8" w:space="0" w:color="auto"/>
              <w:bottom w:val="single" w:sz="8" w:space="0" w:color="auto"/>
              <w:right w:val="single" w:sz="8" w:space="0" w:color="auto"/>
            </w:tcBorders>
            <w:vAlign w:val="center"/>
          </w:tcPr>
          <w:p w14:paraId="7D64A34F" w14:textId="77777777" w:rsidR="008F75BA" w:rsidRDefault="008F75BA" w:rsidP="00F9573F">
            <w:pPr>
              <w:ind w:left="720"/>
              <w:rPr>
                <w:rFonts w:eastAsia="Times New Roman"/>
                <w:sz w:val="18"/>
                <w:szCs w:val="18"/>
              </w:rPr>
            </w:pPr>
          </w:p>
        </w:tc>
        <w:tc>
          <w:tcPr>
            <w:tcW w:w="1858" w:type="dxa"/>
            <w:tcBorders>
              <w:top w:val="nil"/>
              <w:left w:val="single" w:sz="8" w:space="0" w:color="auto"/>
              <w:bottom w:val="single" w:sz="8" w:space="0" w:color="auto"/>
              <w:right w:val="single" w:sz="8" w:space="0" w:color="auto"/>
            </w:tcBorders>
            <w:vAlign w:val="center"/>
          </w:tcPr>
          <w:p w14:paraId="18DA1A91" w14:textId="2E268DB2" w:rsidR="008F75BA" w:rsidRPr="008F75BA" w:rsidRDefault="008F75BA" w:rsidP="00F9573F">
            <w:pPr>
              <w:rPr>
                <w:rFonts w:eastAsia="Times New Roman"/>
                <w:sz w:val="18"/>
                <w:szCs w:val="18"/>
              </w:rPr>
            </w:pPr>
            <w:r w:rsidRPr="008F75BA">
              <w:rPr>
                <w:rFonts w:eastAsia="Times New Roman"/>
                <w:sz w:val="18"/>
                <w:szCs w:val="18"/>
              </w:rPr>
              <w:t>4500-ClO</w:t>
            </w:r>
            <w:r w:rsidRPr="008F75BA">
              <w:rPr>
                <w:rFonts w:eastAsia="Times New Roman"/>
                <w:sz w:val="18"/>
                <w:szCs w:val="18"/>
                <w:vertAlign w:val="subscript"/>
              </w:rPr>
              <w:t>2</w:t>
            </w:r>
            <w:r w:rsidRPr="008F75BA">
              <w:rPr>
                <w:rFonts w:eastAsia="Times New Roman"/>
                <w:sz w:val="18"/>
                <w:szCs w:val="18"/>
              </w:rPr>
              <w:t xml:space="preserve"> E</w:t>
            </w:r>
            <w:r w:rsidRPr="008F75BA">
              <w:rPr>
                <w:rFonts w:eastAsia="Times New Roman"/>
                <w:sz w:val="18"/>
                <w:szCs w:val="18"/>
                <w:vertAlign w:val="superscript"/>
              </w:rPr>
              <w:t>11</w:t>
            </w:r>
          </w:p>
        </w:tc>
        <w:tc>
          <w:tcPr>
            <w:tcW w:w="1468" w:type="dxa"/>
            <w:tcBorders>
              <w:top w:val="nil"/>
              <w:left w:val="single" w:sz="8" w:space="0" w:color="auto"/>
              <w:bottom w:val="single" w:sz="8" w:space="0" w:color="auto"/>
              <w:right w:val="single" w:sz="8" w:space="0" w:color="auto"/>
            </w:tcBorders>
            <w:vAlign w:val="center"/>
          </w:tcPr>
          <w:p w14:paraId="0239F2BD" w14:textId="77777777" w:rsidR="008F75BA" w:rsidRDefault="008F75BA" w:rsidP="00F9573F">
            <w:pPr>
              <w:ind w:left="720"/>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0421E9C5" w14:textId="77777777" w:rsidR="008F75BA" w:rsidRDefault="008F75BA" w:rsidP="00F9573F">
            <w:pPr>
              <w:ind w:left="720"/>
              <w:rPr>
                <w:rFonts w:eastAsia="Times New Roman"/>
                <w:sz w:val="18"/>
                <w:szCs w:val="18"/>
              </w:rPr>
            </w:pPr>
          </w:p>
        </w:tc>
      </w:tr>
    </w:tbl>
    <w:p w14:paraId="6E5DE901" w14:textId="23C0C859" w:rsidR="00025635" w:rsidRDefault="00025635">
      <w:pPr>
        <w:ind w:left="420"/>
        <w:rPr>
          <w:rFonts w:eastAsia="Times New Roman"/>
          <w:sz w:val="24"/>
          <w:szCs w:val="24"/>
        </w:rPr>
      </w:pPr>
    </w:p>
    <w:p w14:paraId="2819F24D" w14:textId="77777777" w:rsidR="004647B9" w:rsidRDefault="00E2436F" w:rsidP="00ED16AF">
      <w:pPr>
        <w:numPr>
          <w:ilvl w:val="0"/>
          <w:numId w:val="289"/>
        </w:numPr>
        <w:tabs>
          <w:tab w:val="left" w:pos="480"/>
        </w:tabs>
        <w:ind w:left="480" w:right="100" w:hanging="480"/>
        <w:jc w:val="both"/>
        <w:rPr>
          <w:rFonts w:eastAsia="Times New Roman"/>
          <w:sz w:val="24"/>
          <w:szCs w:val="24"/>
          <w:vertAlign w:val="superscript"/>
        </w:rPr>
      </w:pPr>
      <w:r>
        <w:rPr>
          <w:rFonts w:eastAsia="Times New Roman"/>
        </w:rPr>
        <w:t>P&amp;T = purge and trap; GC = gas chromatography; ElCD = electrolytic conductivity detector; PID= photoionization detector; MS = mass spectrometer; LLE = liquid/liquid extraction; ECD = electron capture detector; SPE = solid phase extraction; IC = ion chromatography, ICP-MS=inductively coupled plasma/mass spectrometer.</w:t>
      </w:r>
    </w:p>
    <w:p w14:paraId="2819F24F" w14:textId="77777777" w:rsidR="004647B9" w:rsidRDefault="00E2436F" w:rsidP="00ED16AF">
      <w:pPr>
        <w:numPr>
          <w:ilvl w:val="0"/>
          <w:numId w:val="289"/>
        </w:numPr>
        <w:tabs>
          <w:tab w:val="left" w:pos="480"/>
        </w:tabs>
        <w:ind w:left="480" w:right="100" w:hanging="480"/>
        <w:rPr>
          <w:rFonts w:eastAsia="Times New Roman"/>
          <w:sz w:val="24"/>
          <w:szCs w:val="24"/>
          <w:vertAlign w:val="superscript"/>
        </w:rPr>
      </w:pPr>
      <w:r>
        <w:rPr>
          <w:rFonts w:eastAsia="Times New Roman"/>
        </w:rPr>
        <w:t>19</w:t>
      </w:r>
      <w:r>
        <w:rPr>
          <w:rFonts w:eastAsia="Times New Roman"/>
          <w:vertAlign w:val="superscript"/>
        </w:rPr>
        <w:t>th</w:t>
      </w:r>
      <w:r>
        <w:rPr>
          <w:rFonts w:eastAsia="Times New Roman"/>
        </w:rPr>
        <w:t xml:space="preserve"> and 20</w:t>
      </w:r>
      <w:r>
        <w:rPr>
          <w:rFonts w:eastAsia="Times New Roman"/>
          <w:vertAlign w:val="superscript"/>
        </w:rPr>
        <w:t>th</w:t>
      </w:r>
      <w:r>
        <w:rPr>
          <w:rFonts w:eastAsia="Times New Roman"/>
        </w:rPr>
        <w:t xml:space="preserve"> editions of Standard Methods for the Examination of Water and Wastewater, 1995 and 1998, respectively, American Public Health Association; either of these editions may be used.</w:t>
      </w:r>
    </w:p>
    <w:p w14:paraId="2819F251" w14:textId="77777777" w:rsidR="004647B9" w:rsidRDefault="00E2436F" w:rsidP="00ED16AF">
      <w:pPr>
        <w:numPr>
          <w:ilvl w:val="0"/>
          <w:numId w:val="289"/>
        </w:numPr>
        <w:tabs>
          <w:tab w:val="left" w:pos="480"/>
        </w:tabs>
        <w:ind w:left="480" w:hanging="480"/>
        <w:rPr>
          <w:rFonts w:eastAsia="Times New Roman"/>
          <w:sz w:val="24"/>
          <w:szCs w:val="24"/>
          <w:vertAlign w:val="superscript"/>
        </w:rPr>
      </w:pPr>
      <w:r>
        <w:rPr>
          <w:rFonts w:eastAsia="Times New Roman"/>
        </w:rPr>
        <w:t>Annual Book of ASTM Standards, 2001 or any year containing the cited version of the method, Vol 11.01.</w:t>
      </w:r>
    </w:p>
    <w:p w14:paraId="2819F252" w14:textId="77777777" w:rsidR="004647B9" w:rsidRDefault="00E2436F" w:rsidP="00ED16AF">
      <w:pPr>
        <w:numPr>
          <w:ilvl w:val="0"/>
          <w:numId w:val="289"/>
        </w:numPr>
        <w:tabs>
          <w:tab w:val="left" w:pos="480"/>
        </w:tabs>
        <w:ind w:left="480" w:hanging="480"/>
        <w:rPr>
          <w:rFonts w:eastAsia="Times New Roman"/>
          <w:sz w:val="24"/>
          <w:szCs w:val="24"/>
          <w:vertAlign w:val="superscript"/>
        </w:rPr>
      </w:pPr>
      <w:r>
        <w:rPr>
          <w:rFonts w:eastAsia="Times New Roman"/>
        </w:rPr>
        <w:t>If TTHMs are the only analytes being measured in the sample, then a PID is not required.</w:t>
      </w:r>
    </w:p>
    <w:p w14:paraId="2819F253" w14:textId="77777777" w:rsidR="004647B9" w:rsidRDefault="004647B9">
      <w:pPr>
        <w:sectPr w:rsidR="004647B9" w:rsidSect="00EF630C">
          <w:type w:val="continuous"/>
          <w:pgSz w:w="12240" w:h="20180"/>
          <w:pgMar w:top="708" w:right="1340" w:bottom="1440" w:left="600" w:header="0" w:footer="0" w:gutter="0"/>
          <w:cols w:space="720" w:equalWidth="0">
            <w:col w:w="10300"/>
          </w:cols>
        </w:sectPr>
      </w:pPr>
    </w:p>
    <w:p w14:paraId="2819F254" w14:textId="77777777" w:rsidR="004647B9" w:rsidRDefault="00E2436F">
      <w:pPr>
        <w:tabs>
          <w:tab w:val="left" w:pos="160"/>
        </w:tabs>
        <w:ind w:right="19"/>
        <w:jc w:val="center"/>
        <w:rPr>
          <w:sz w:val="20"/>
          <w:szCs w:val="20"/>
        </w:rPr>
      </w:pPr>
      <w:bookmarkStart w:id="115" w:name="page117"/>
      <w:bookmarkEnd w:id="11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255" w14:textId="77777777" w:rsidR="004647B9" w:rsidRDefault="004647B9" w:rsidP="004E75AE">
      <w:pPr>
        <w:rPr>
          <w:sz w:val="20"/>
          <w:szCs w:val="20"/>
        </w:rPr>
      </w:pPr>
    </w:p>
    <w:p w14:paraId="2819F256" w14:textId="77777777" w:rsidR="004647B9" w:rsidRDefault="004647B9" w:rsidP="004E75AE">
      <w:pPr>
        <w:rPr>
          <w:sz w:val="20"/>
          <w:szCs w:val="20"/>
        </w:rPr>
      </w:pPr>
    </w:p>
    <w:p w14:paraId="2819F257" w14:textId="77777777" w:rsidR="004647B9" w:rsidRDefault="00E2436F" w:rsidP="004E75AE">
      <w:pPr>
        <w:tabs>
          <w:tab w:val="left" w:pos="921"/>
        </w:tabs>
        <w:ind w:left="1"/>
        <w:rPr>
          <w:sz w:val="20"/>
          <w:szCs w:val="20"/>
        </w:rPr>
      </w:pPr>
      <w:r>
        <w:rPr>
          <w:rFonts w:eastAsia="Times New Roman"/>
          <w:sz w:val="24"/>
          <w:szCs w:val="24"/>
        </w:rPr>
        <w:t>22.07E:</w:t>
      </w:r>
      <w:r>
        <w:rPr>
          <w:sz w:val="20"/>
          <w:szCs w:val="20"/>
        </w:rPr>
        <w:tab/>
      </w:r>
      <w:r>
        <w:rPr>
          <w:rFonts w:eastAsia="Times New Roman"/>
          <w:sz w:val="23"/>
          <w:szCs w:val="23"/>
        </w:rPr>
        <w:t>continued</w:t>
      </w:r>
    </w:p>
    <w:p w14:paraId="2819F258" w14:textId="77777777" w:rsidR="004647B9" w:rsidRDefault="004647B9" w:rsidP="004E75AE">
      <w:pPr>
        <w:sectPr w:rsidR="004647B9" w:rsidSect="00EF630C">
          <w:pgSz w:w="12240" w:h="20180"/>
          <w:pgMar w:top="708" w:right="1420" w:bottom="1440" w:left="599" w:header="0" w:footer="0" w:gutter="0"/>
          <w:cols w:space="720" w:equalWidth="0">
            <w:col w:w="10221"/>
          </w:cols>
        </w:sectPr>
      </w:pPr>
    </w:p>
    <w:p w14:paraId="2819F267" w14:textId="77777777" w:rsidR="004647B9" w:rsidRDefault="004647B9" w:rsidP="004E75AE">
      <w:pPr>
        <w:rPr>
          <w:sz w:val="20"/>
          <w:szCs w:val="20"/>
        </w:rPr>
      </w:pPr>
    </w:p>
    <w:p w14:paraId="2819F268" w14:textId="77777777" w:rsidR="004647B9" w:rsidRPr="00D6201B" w:rsidRDefault="00E2436F" w:rsidP="00D6201B">
      <w:pPr>
        <w:numPr>
          <w:ilvl w:val="0"/>
          <w:numId w:val="289"/>
        </w:numPr>
        <w:tabs>
          <w:tab w:val="left" w:pos="480"/>
        </w:tabs>
        <w:ind w:left="480" w:hanging="480"/>
        <w:rPr>
          <w:rFonts w:eastAsia="Times New Roman"/>
        </w:rPr>
      </w:pPr>
      <w:r w:rsidRPr="00BB56DC">
        <w:rPr>
          <w:rFonts w:eastAsia="Times New Roman"/>
        </w:rPr>
        <w:t>The samples must be extracted within 14 days of sample collection.</w:t>
      </w:r>
    </w:p>
    <w:p w14:paraId="2819F26A" w14:textId="77777777" w:rsidR="004647B9" w:rsidRPr="00D6201B" w:rsidRDefault="00E2436F" w:rsidP="00D6201B">
      <w:pPr>
        <w:numPr>
          <w:ilvl w:val="0"/>
          <w:numId w:val="289"/>
        </w:numPr>
        <w:tabs>
          <w:tab w:val="left" w:pos="480"/>
        </w:tabs>
        <w:ind w:left="480" w:hanging="480"/>
        <w:rPr>
          <w:rFonts w:eastAsia="Times New Roman"/>
        </w:rPr>
      </w:pPr>
      <w:r w:rsidRPr="00BB56DC">
        <w:rPr>
          <w:rFonts w:eastAsia="Times New Roman"/>
        </w:rPr>
        <w:t>Ion chromatography &amp; post column reaction or IC/ICP-MS must be used for monitoring of bromate for purposes of demonstrating eligibility of reduced monitoring, as prescribed in 310 CMR 22.07E(7)(b)3.b.</w:t>
      </w:r>
    </w:p>
    <w:p w14:paraId="2819F26B" w14:textId="77777777" w:rsidR="004647B9" w:rsidRPr="00D6201B" w:rsidRDefault="00E2436F" w:rsidP="00D6201B">
      <w:pPr>
        <w:numPr>
          <w:ilvl w:val="0"/>
          <w:numId w:val="289"/>
        </w:numPr>
        <w:tabs>
          <w:tab w:val="left" w:pos="480"/>
        </w:tabs>
        <w:ind w:left="480" w:hanging="480"/>
        <w:rPr>
          <w:rFonts w:eastAsia="Times New Roman"/>
        </w:rPr>
      </w:pPr>
      <w:r w:rsidRPr="00BB56DC">
        <w:rPr>
          <w:rFonts w:eastAsia="Times New Roman"/>
        </w:rPr>
        <w:t>Samples must be preserved at the time of sampling with 50 mg ethylenediamine (EDA)/L of sample and must be analyzed within 28 days.</w:t>
      </w:r>
    </w:p>
    <w:p w14:paraId="2819F26D" w14:textId="77777777" w:rsidR="004647B9" w:rsidRPr="00D6201B" w:rsidRDefault="00E2436F" w:rsidP="00D6201B">
      <w:pPr>
        <w:numPr>
          <w:ilvl w:val="0"/>
          <w:numId w:val="289"/>
        </w:numPr>
        <w:tabs>
          <w:tab w:val="left" w:pos="480"/>
        </w:tabs>
        <w:ind w:left="480" w:hanging="480"/>
        <w:rPr>
          <w:rFonts w:eastAsia="Times New Roman"/>
        </w:rPr>
      </w:pPr>
      <w:r w:rsidRPr="00BB56DC">
        <w:rPr>
          <w:rFonts w:eastAsia="Times New Roman"/>
        </w:rPr>
        <w:t>Amperometric titration may be used for routine daily monitoring of chlorite at the entrance to the Distribution System, as prescribed in 310 CMR 22.07E(7)(b)2.a.i. Ion chromatography shall be used for routine monthly monitoring of chlorite and additional monitoring of chlorite in the Distribution System, as prescribed in 310 CMR 22.07E(7)(b)2.a.ii. and (b)2.b.</w:t>
      </w:r>
    </w:p>
    <w:p w14:paraId="2819F26F" w14:textId="57BD2966" w:rsidR="004647B9" w:rsidRPr="00E6316F" w:rsidRDefault="00E2436F" w:rsidP="00D6201B">
      <w:pPr>
        <w:numPr>
          <w:ilvl w:val="0"/>
          <w:numId w:val="289"/>
        </w:numPr>
        <w:tabs>
          <w:tab w:val="left" w:pos="480"/>
        </w:tabs>
        <w:ind w:left="480" w:hanging="480"/>
        <w:rPr>
          <w:rFonts w:eastAsia="Times New Roman"/>
        </w:rPr>
      </w:pPr>
      <w:r w:rsidRPr="00E6316F">
        <w:rPr>
          <w:rFonts w:eastAsia="Times New Roman"/>
        </w:rPr>
        <w:t>The Standard Methods Online version that is approved is indicated by the last two digits in the method number which is the year of approval by the Standard Method Committee.</w:t>
      </w:r>
    </w:p>
    <w:p w14:paraId="2819F273" w14:textId="3F5BD414" w:rsidR="004647B9" w:rsidRPr="00E6316F" w:rsidRDefault="00E2436F" w:rsidP="004E75AE">
      <w:pPr>
        <w:numPr>
          <w:ilvl w:val="0"/>
          <w:numId w:val="290"/>
        </w:numPr>
        <w:tabs>
          <w:tab w:val="left" w:pos="481"/>
        </w:tabs>
        <w:ind w:left="481" w:right="20" w:hanging="480"/>
        <w:jc w:val="both"/>
        <w:rPr>
          <w:rFonts w:eastAsia="Times New Roman"/>
        </w:rPr>
      </w:pPr>
      <w:r w:rsidRPr="00E6316F">
        <w:rPr>
          <w:rFonts w:eastAsia="Times New Roman"/>
        </w:rPr>
        <w:t xml:space="preserve">EPA Method 524.3, Version 1.0 </w:t>
      </w:r>
      <w:r w:rsidRPr="00E6316F">
        <w:rPr>
          <w:rFonts w:eastAsia="Times New Roman"/>
          <w:i/>
          <w:iCs/>
        </w:rPr>
        <w:t>Measurement of Purgeable Organic Compounds in Water by Capillary Column</w:t>
      </w:r>
      <w:r w:rsidRPr="00E6316F">
        <w:rPr>
          <w:rFonts w:eastAsia="Times New Roman"/>
        </w:rPr>
        <w:t xml:space="preserve"> </w:t>
      </w:r>
      <w:r w:rsidRPr="00E6316F">
        <w:rPr>
          <w:rFonts w:eastAsia="Times New Roman"/>
          <w:i/>
          <w:iCs/>
        </w:rPr>
        <w:t>Gas Chromatography/Mass Spectrometry</w:t>
      </w:r>
      <w:r w:rsidRPr="00E6316F">
        <w:rPr>
          <w:rFonts w:eastAsia="Times New Roman"/>
        </w:rPr>
        <w:t xml:space="preserve">, June 2009. EPA 815-B-09-009. Available </w:t>
      </w:r>
      <w:r w:rsidR="003D6697" w:rsidRPr="00E6316F">
        <w:rPr>
          <w:rFonts w:eastAsia="Times New Roman"/>
        </w:rPr>
        <w:t>from</w:t>
      </w:r>
      <w:r w:rsidR="005D2D23" w:rsidRPr="00E6316F">
        <w:rPr>
          <w:rFonts w:eastAsia="Times New Roman"/>
        </w:rPr>
        <w:t xml:space="preserve"> </w:t>
      </w:r>
      <w:r w:rsidR="003D6697" w:rsidRPr="00E6316F">
        <w:rPr>
          <w:rFonts w:eastAsia="Times New Roman"/>
        </w:rPr>
        <w:t>N</w:t>
      </w:r>
      <w:r w:rsidR="00880AAE" w:rsidRPr="00E6316F">
        <w:rPr>
          <w:rFonts w:eastAsia="Times New Roman"/>
        </w:rPr>
        <w:t>SCEP</w:t>
      </w:r>
      <w:r w:rsidRPr="00E6316F">
        <w:rPr>
          <w:rFonts w:eastAsia="Times New Roman"/>
        </w:rPr>
        <w:t>.</w:t>
      </w:r>
    </w:p>
    <w:p w14:paraId="2819F274" w14:textId="77777777" w:rsidR="004647B9" w:rsidRPr="00E6316F" w:rsidRDefault="00E2436F" w:rsidP="004E75AE">
      <w:pPr>
        <w:numPr>
          <w:ilvl w:val="0"/>
          <w:numId w:val="290"/>
        </w:numPr>
        <w:tabs>
          <w:tab w:val="left" w:pos="481"/>
        </w:tabs>
        <w:ind w:left="481" w:right="20" w:hanging="481"/>
        <w:rPr>
          <w:rFonts w:eastAsia="Times New Roman"/>
          <w:sz w:val="24"/>
          <w:szCs w:val="24"/>
          <w:vertAlign w:val="superscript"/>
        </w:rPr>
      </w:pPr>
      <w:r w:rsidRPr="00E6316F">
        <w:rPr>
          <w:rFonts w:eastAsia="Times New Roman"/>
        </w:rPr>
        <w:t>Standard Methods for the Examination of Water and Wastewater, 21</w:t>
      </w:r>
      <w:r w:rsidRPr="00E6316F">
        <w:rPr>
          <w:rFonts w:eastAsia="Times New Roman"/>
          <w:vertAlign w:val="superscript"/>
        </w:rPr>
        <w:t>st</w:t>
      </w:r>
      <w:r w:rsidRPr="00E6316F">
        <w:rPr>
          <w:rFonts w:eastAsia="Times New Roman"/>
        </w:rPr>
        <w:t xml:space="preserve"> edition (2005). Available from American Public Health Association, 800 I Street, NW., Washington, DC 20001-3710.</w:t>
      </w:r>
    </w:p>
    <w:p w14:paraId="2819F276" w14:textId="017ADCEA" w:rsidR="004647B9" w:rsidRPr="00E6316F" w:rsidRDefault="00E2436F" w:rsidP="004E75AE">
      <w:pPr>
        <w:numPr>
          <w:ilvl w:val="0"/>
          <w:numId w:val="290"/>
        </w:numPr>
        <w:tabs>
          <w:tab w:val="left" w:pos="481"/>
        </w:tabs>
        <w:ind w:left="481" w:right="20" w:hanging="480"/>
        <w:jc w:val="both"/>
        <w:rPr>
          <w:rFonts w:eastAsia="Times New Roman"/>
        </w:rPr>
      </w:pPr>
      <w:r w:rsidRPr="00E6316F">
        <w:rPr>
          <w:rFonts w:eastAsia="Times New Roman"/>
        </w:rPr>
        <w:t xml:space="preserve">EPA Method 557. </w:t>
      </w:r>
      <w:r w:rsidRPr="00E6316F">
        <w:rPr>
          <w:rFonts w:eastAsia="Times New Roman"/>
          <w:i/>
          <w:iCs/>
        </w:rPr>
        <w:t>Determination of Haloacetic Acids, Bromate, and Dalapon in Drinking Water by Ion</w:t>
      </w:r>
      <w:r w:rsidRPr="00E6316F">
        <w:rPr>
          <w:rFonts w:eastAsia="Times New Roman"/>
        </w:rPr>
        <w:t xml:space="preserve"> </w:t>
      </w:r>
      <w:r w:rsidRPr="00E6316F">
        <w:rPr>
          <w:rFonts w:eastAsia="Times New Roman"/>
          <w:i/>
          <w:iCs/>
        </w:rPr>
        <w:t>Chromatography Electrospray Ionization Tandem Mass Spectrometry (IC-ESI-MS/MS)</w:t>
      </w:r>
      <w:r w:rsidRPr="00E6316F">
        <w:rPr>
          <w:rFonts w:eastAsia="Times New Roman"/>
        </w:rPr>
        <w:t>, August 2009. EPA</w:t>
      </w:r>
      <w:r w:rsidRPr="00E6316F">
        <w:rPr>
          <w:rFonts w:eastAsia="Times New Roman"/>
          <w:i/>
          <w:iCs/>
        </w:rPr>
        <w:t xml:space="preserve"> </w:t>
      </w:r>
      <w:r w:rsidRPr="00E6316F">
        <w:rPr>
          <w:rFonts w:eastAsia="Times New Roman"/>
        </w:rPr>
        <w:t xml:space="preserve">815-B-09-012. Available </w:t>
      </w:r>
      <w:r w:rsidR="00256AAE" w:rsidRPr="00E6316F">
        <w:rPr>
          <w:rFonts w:eastAsia="Times New Roman"/>
        </w:rPr>
        <w:t>from NSCEP</w:t>
      </w:r>
      <w:r w:rsidRPr="00E6316F">
        <w:rPr>
          <w:rFonts w:eastAsia="Times New Roman"/>
        </w:rPr>
        <w:t>.</w:t>
      </w:r>
    </w:p>
    <w:p w14:paraId="2819F278" w14:textId="6BAFFB82" w:rsidR="004647B9" w:rsidRPr="00E6316F" w:rsidRDefault="00E2436F" w:rsidP="004E75AE">
      <w:pPr>
        <w:numPr>
          <w:ilvl w:val="0"/>
          <w:numId w:val="290"/>
        </w:numPr>
        <w:tabs>
          <w:tab w:val="left" w:pos="481"/>
        </w:tabs>
        <w:ind w:left="481" w:right="20" w:hanging="479"/>
        <w:jc w:val="both"/>
        <w:rPr>
          <w:rFonts w:eastAsia="Times New Roman"/>
        </w:rPr>
      </w:pPr>
      <w:r w:rsidRPr="00E6316F">
        <w:rPr>
          <w:rFonts w:eastAsia="Times New Roman"/>
        </w:rPr>
        <w:t xml:space="preserve">EPA Method 302.0. </w:t>
      </w:r>
      <w:r w:rsidRPr="00E6316F">
        <w:rPr>
          <w:rFonts w:eastAsia="Times New Roman"/>
          <w:i/>
          <w:iCs/>
        </w:rPr>
        <w:t>Determination of Bromate in Drinking Waters using Two-dimensional Ion Chromatography</w:t>
      </w:r>
      <w:r w:rsidRPr="00E6316F">
        <w:rPr>
          <w:rFonts w:eastAsia="Times New Roman"/>
        </w:rPr>
        <w:t xml:space="preserve"> </w:t>
      </w:r>
      <w:r w:rsidRPr="00E6316F">
        <w:rPr>
          <w:rFonts w:eastAsia="Times New Roman"/>
          <w:i/>
          <w:iCs/>
        </w:rPr>
        <w:t>with Suppressed Conductivity Detection</w:t>
      </w:r>
      <w:r w:rsidRPr="00E6316F">
        <w:rPr>
          <w:rFonts w:eastAsia="Times New Roman"/>
        </w:rPr>
        <w:t xml:space="preserve">, September 2009. EPA 815-B-09-014. Available </w:t>
      </w:r>
      <w:r w:rsidR="009C680A" w:rsidRPr="00E6316F">
        <w:rPr>
          <w:rFonts w:eastAsia="Times New Roman"/>
        </w:rPr>
        <w:t>from NSCEP</w:t>
      </w:r>
      <w:r w:rsidRPr="00E6316F">
        <w:rPr>
          <w:rFonts w:eastAsia="Times New Roman"/>
        </w:rPr>
        <w:t>.</w:t>
      </w:r>
    </w:p>
    <w:p w14:paraId="2819F279" w14:textId="04D564AA" w:rsidR="004647B9" w:rsidRPr="00E6316F" w:rsidRDefault="00E2436F" w:rsidP="004E75AE">
      <w:pPr>
        <w:numPr>
          <w:ilvl w:val="0"/>
          <w:numId w:val="290"/>
        </w:numPr>
        <w:tabs>
          <w:tab w:val="left" w:pos="481"/>
        </w:tabs>
        <w:ind w:left="481" w:right="20" w:hanging="480"/>
        <w:rPr>
          <w:rFonts w:eastAsia="Times New Roman"/>
        </w:rPr>
      </w:pPr>
      <w:r w:rsidRPr="00E6316F">
        <w:rPr>
          <w:rFonts w:eastAsia="Times New Roman"/>
        </w:rPr>
        <w:t>Available from ASTM International, 100 Barr Harbor Drive, West Conshohocken, PA 19428-2959. The methods listed are the only alternative versions that may be used.</w:t>
      </w:r>
    </w:p>
    <w:p w14:paraId="2819F27B" w14:textId="2605BAEE" w:rsidR="004647B9" w:rsidRPr="00E6316F" w:rsidRDefault="00E2436F" w:rsidP="004E75AE">
      <w:pPr>
        <w:numPr>
          <w:ilvl w:val="0"/>
          <w:numId w:val="290"/>
        </w:numPr>
        <w:tabs>
          <w:tab w:val="left" w:pos="481"/>
        </w:tabs>
        <w:ind w:left="481" w:right="20" w:hanging="479"/>
        <w:jc w:val="both"/>
        <w:rPr>
          <w:rFonts w:eastAsia="Times New Roman"/>
        </w:rPr>
      </w:pPr>
      <w:r w:rsidRPr="00E6316F">
        <w:rPr>
          <w:rFonts w:eastAsia="Times New Roman"/>
        </w:rPr>
        <w:t xml:space="preserve">EPA Method 524.4, Version 1.0. </w:t>
      </w:r>
      <w:r w:rsidRPr="00E6316F">
        <w:rPr>
          <w:rFonts w:eastAsia="Times New Roman"/>
          <w:i/>
          <w:iCs/>
        </w:rPr>
        <w:t>Measurement of Purgeable Organic Compounds in Water by Gas</w:t>
      </w:r>
      <w:r w:rsidRPr="00E6316F">
        <w:rPr>
          <w:rFonts w:eastAsia="Times New Roman"/>
        </w:rPr>
        <w:t xml:space="preserve"> </w:t>
      </w:r>
      <w:r w:rsidRPr="00E6316F">
        <w:rPr>
          <w:rFonts w:eastAsia="Times New Roman"/>
          <w:i/>
          <w:iCs/>
        </w:rPr>
        <w:t>Chromatography/Mass Spectrometry using Nitrogen Purge Gas</w:t>
      </w:r>
      <w:r w:rsidRPr="00E6316F">
        <w:rPr>
          <w:rFonts w:eastAsia="Times New Roman"/>
        </w:rPr>
        <w:t xml:space="preserve">, May 2013. EPA 815-R-13-002. Available </w:t>
      </w:r>
      <w:r w:rsidR="00D1259D" w:rsidRPr="00E6316F">
        <w:rPr>
          <w:rFonts w:eastAsia="Times New Roman"/>
        </w:rPr>
        <w:t>from NSCEP</w:t>
      </w:r>
      <w:r w:rsidRPr="00E6316F">
        <w:rPr>
          <w:rFonts w:eastAsia="Times New Roman"/>
        </w:rPr>
        <w:t>.</w:t>
      </w:r>
    </w:p>
    <w:p w14:paraId="2819F27C" w14:textId="77777777" w:rsidR="004647B9" w:rsidRPr="004649A2" w:rsidRDefault="004647B9" w:rsidP="004649A2">
      <w:pPr>
        <w:rPr>
          <w:rFonts w:eastAsia="Times New Roman"/>
          <w:sz w:val="24"/>
          <w:szCs w:val="24"/>
        </w:rPr>
      </w:pPr>
    </w:p>
    <w:p w14:paraId="2819F27D" w14:textId="77777777" w:rsidR="004647B9" w:rsidRDefault="00E2436F" w:rsidP="004649A2">
      <w:pPr>
        <w:numPr>
          <w:ilvl w:val="2"/>
          <w:numId w:val="290"/>
        </w:numPr>
        <w:tabs>
          <w:tab w:val="left" w:pos="2260"/>
        </w:tabs>
        <w:ind w:left="1921" w:right="20" w:hanging="5"/>
        <w:jc w:val="both"/>
        <w:rPr>
          <w:rFonts w:eastAsia="Times New Roman"/>
          <w:sz w:val="24"/>
          <w:szCs w:val="24"/>
        </w:rPr>
      </w:pPr>
      <w:r>
        <w:rPr>
          <w:rFonts w:eastAsia="Times New Roman"/>
          <w:sz w:val="24"/>
          <w:szCs w:val="24"/>
        </w:rPr>
        <w:t>Analysis under 310 CMR 22.07E(6) for Disinfection byproducts shall be conducted by laboratories that have received certification by EPA or the Department, except as specified under 310 CMR 22.07E(6)(c)3.</w:t>
      </w:r>
    </w:p>
    <w:p w14:paraId="2819F27F" w14:textId="77777777" w:rsidR="004647B9" w:rsidRDefault="00E2436F" w:rsidP="004649A2">
      <w:pPr>
        <w:numPr>
          <w:ilvl w:val="2"/>
          <w:numId w:val="290"/>
        </w:numPr>
        <w:tabs>
          <w:tab w:val="left" w:pos="2260"/>
        </w:tabs>
        <w:ind w:left="1921" w:right="20" w:hanging="5"/>
        <w:rPr>
          <w:rFonts w:eastAsia="Times New Roman"/>
          <w:sz w:val="24"/>
          <w:szCs w:val="24"/>
        </w:rPr>
      </w:pPr>
      <w:r>
        <w:rPr>
          <w:rFonts w:eastAsia="Times New Roman"/>
          <w:sz w:val="24"/>
          <w:szCs w:val="24"/>
        </w:rPr>
        <w:t>A party approved by EPA or the Department shall measure daily chlorite samples at the entrance to the Distribution System.</w:t>
      </w:r>
    </w:p>
    <w:p w14:paraId="2819F280" w14:textId="77777777" w:rsidR="004647B9" w:rsidRDefault="004647B9" w:rsidP="004649A2">
      <w:pPr>
        <w:rPr>
          <w:rFonts w:eastAsia="Times New Roman"/>
          <w:sz w:val="24"/>
          <w:szCs w:val="24"/>
        </w:rPr>
      </w:pPr>
    </w:p>
    <w:p w14:paraId="2819F281" w14:textId="77777777" w:rsidR="004647B9" w:rsidRDefault="00E2436F" w:rsidP="004649A2">
      <w:pPr>
        <w:numPr>
          <w:ilvl w:val="1"/>
          <w:numId w:val="290"/>
        </w:numPr>
        <w:tabs>
          <w:tab w:val="left" w:pos="2021"/>
        </w:tabs>
        <w:ind w:left="2021" w:hanging="465"/>
        <w:rPr>
          <w:rFonts w:eastAsia="Times New Roman"/>
          <w:sz w:val="24"/>
          <w:szCs w:val="24"/>
        </w:rPr>
      </w:pPr>
      <w:r>
        <w:rPr>
          <w:rFonts w:eastAsia="Times New Roman"/>
          <w:sz w:val="24"/>
          <w:szCs w:val="24"/>
          <w:u w:val="single"/>
        </w:rPr>
        <w:t>Disinfectant Residuals</w:t>
      </w:r>
      <w:r>
        <w:rPr>
          <w:rFonts w:eastAsia="Times New Roman"/>
          <w:sz w:val="24"/>
          <w:szCs w:val="24"/>
        </w:rPr>
        <w:t>.</w:t>
      </w:r>
    </w:p>
    <w:p w14:paraId="2819F283" w14:textId="77777777" w:rsidR="004647B9" w:rsidRDefault="00E2436F" w:rsidP="004649A2">
      <w:pPr>
        <w:numPr>
          <w:ilvl w:val="2"/>
          <w:numId w:val="291"/>
        </w:numPr>
        <w:tabs>
          <w:tab w:val="left" w:pos="2288"/>
        </w:tabs>
        <w:ind w:left="1921" w:right="20" w:hanging="5"/>
        <w:jc w:val="both"/>
        <w:rPr>
          <w:rFonts w:eastAsia="Times New Roman"/>
          <w:sz w:val="24"/>
          <w:szCs w:val="24"/>
        </w:rPr>
      </w:pPr>
      <w:r>
        <w:rPr>
          <w:rFonts w:eastAsia="Times New Roman"/>
          <w:sz w:val="24"/>
          <w:szCs w:val="24"/>
        </w:rPr>
        <w:t>Each Supplier of Water shall measure the Residual Disinfectant Concentration for free chlorine, combined chlorine (chloramines), and chlorine dioxide by the methods listed in the following table:</w:t>
      </w:r>
    </w:p>
    <w:p w14:paraId="2819F284" w14:textId="461D7E04" w:rsidR="004647B9" w:rsidRPr="004649A2" w:rsidRDefault="004647B9" w:rsidP="00BB56DC">
      <w:pPr>
        <w:rPr>
          <w:rFonts w:eastAsia="Times New Roman"/>
          <w:sz w:val="24"/>
          <w:szCs w:val="24"/>
        </w:rPr>
      </w:pPr>
    </w:p>
    <w:p w14:paraId="2819F285" w14:textId="77777777" w:rsidR="004647B9" w:rsidRPr="004649A2" w:rsidRDefault="004647B9" w:rsidP="00BB56DC">
      <w:pPr>
        <w:sectPr w:rsidR="004647B9" w:rsidRPr="004649A2" w:rsidSect="00EF630C">
          <w:type w:val="continuous"/>
          <w:pgSz w:w="12240" w:h="20180"/>
          <w:pgMar w:top="708" w:right="1420" w:bottom="1440" w:left="599" w:header="0" w:footer="0" w:gutter="0"/>
          <w:cols w:space="720" w:equalWidth="0">
            <w:col w:w="10221"/>
          </w:cols>
        </w:sectPr>
      </w:pPr>
    </w:p>
    <w:p w14:paraId="2819F286" w14:textId="77777777" w:rsidR="004647B9" w:rsidRDefault="00E2436F">
      <w:pPr>
        <w:tabs>
          <w:tab w:val="left" w:pos="2860"/>
        </w:tabs>
        <w:ind w:left="1680"/>
        <w:rPr>
          <w:sz w:val="20"/>
          <w:szCs w:val="20"/>
        </w:rPr>
      </w:pPr>
      <w:bookmarkStart w:id="116" w:name="page118"/>
      <w:bookmarkEnd w:id="11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287" w14:textId="77777777" w:rsidR="004647B9" w:rsidRDefault="004647B9" w:rsidP="004649A2">
      <w:pPr>
        <w:rPr>
          <w:sz w:val="20"/>
          <w:szCs w:val="20"/>
        </w:rPr>
      </w:pPr>
    </w:p>
    <w:p w14:paraId="2819F288" w14:textId="77777777" w:rsidR="004647B9" w:rsidRDefault="004647B9" w:rsidP="004649A2">
      <w:pPr>
        <w:rPr>
          <w:sz w:val="20"/>
          <w:szCs w:val="20"/>
        </w:rPr>
      </w:pPr>
    </w:p>
    <w:p w14:paraId="2819F289" w14:textId="77777777" w:rsidR="004647B9" w:rsidRPr="004649A2" w:rsidRDefault="00E2436F" w:rsidP="004649A2">
      <w:pPr>
        <w:tabs>
          <w:tab w:val="left" w:pos="920"/>
        </w:tabs>
        <w:rPr>
          <w:sz w:val="24"/>
          <w:szCs w:val="24"/>
        </w:rPr>
      </w:pPr>
      <w:r w:rsidRPr="004649A2">
        <w:rPr>
          <w:rFonts w:eastAsia="Times New Roman"/>
          <w:sz w:val="24"/>
          <w:szCs w:val="24"/>
        </w:rPr>
        <w:t>22.07E:</w:t>
      </w:r>
      <w:r w:rsidRPr="004649A2">
        <w:rPr>
          <w:sz w:val="24"/>
          <w:szCs w:val="24"/>
        </w:rPr>
        <w:tab/>
      </w:r>
      <w:r w:rsidRPr="004649A2">
        <w:rPr>
          <w:rFonts w:eastAsia="Times New Roman"/>
          <w:sz w:val="24"/>
          <w:szCs w:val="24"/>
        </w:rPr>
        <w:t>continued</w:t>
      </w:r>
    </w:p>
    <w:p w14:paraId="2819F28A" w14:textId="77777777" w:rsidR="004647B9" w:rsidRDefault="004647B9" w:rsidP="004649A2">
      <w:pPr>
        <w:rPr>
          <w:sz w:val="20"/>
          <w:szCs w:val="20"/>
        </w:rPr>
      </w:pPr>
    </w:p>
    <w:tbl>
      <w:tblPr>
        <w:tblW w:w="11180" w:type="dxa"/>
        <w:tblLayout w:type="fixed"/>
        <w:tblCellMar>
          <w:left w:w="0" w:type="dxa"/>
          <w:right w:w="0" w:type="dxa"/>
        </w:tblCellMar>
        <w:tblLook w:val="04A0" w:firstRow="1" w:lastRow="0" w:firstColumn="1" w:lastColumn="0" w:noHBand="0" w:noVBand="1"/>
      </w:tblPr>
      <w:tblGrid>
        <w:gridCol w:w="2920"/>
        <w:gridCol w:w="1360"/>
        <w:gridCol w:w="980"/>
        <w:gridCol w:w="820"/>
        <w:gridCol w:w="1080"/>
        <w:gridCol w:w="900"/>
        <w:gridCol w:w="1440"/>
        <w:gridCol w:w="1000"/>
        <w:gridCol w:w="680"/>
      </w:tblGrid>
      <w:tr w:rsidR="0066257B" w14:paraId="2819F299" w14:textId="77777777" w:rsidTr="0066257B">
        <w:trPr>
          <w:trHeight w:val="312"/>
        </w:trPr>
        <w:tc>
          <w:tcPr>
            <w:tcW w:w="2920" w:type="dxa"/>
            <w:vMerge w:val="restart"/>
            <w:tcBorders>
              <w:top w:val="single" w:sz="8" w:space="0" w:color="auto"/>
              <w:left w:val="single" w:sz="8" w:space="0" w:color="auto"/>
              <w:right w:val="single" w:sz="8" w:space="0" w:color="auto"/>
            </w:tcBorders>
            <w:vAlign w:val="center"/>
          </w:tcPr>
          <w:p w14:paraId="2819F291" w14:textId="02BEB1AF" w:rsidR="0066257B" w:rsidRDefault="0066257B" w:rsidP="00AB6E6E">
            <w:pPr>
              <w:jc w:val="center"/>
              <w:rPr>
                <w:sz w:val="24"/>
                <w:szCs w:val="24"/>
              </w:rPr>
            </w:pPr>
            <w:r>
              <w:rPr>
                <w:rFonts w:eastAsia="Times New Roman"/>
              </w:rPr>
              <w:t>Methodology</w:t>
            </w:r>
          </w:p>
        </w:tc>
        <w:tc>
          <w:tcPr>
            <w:tcW w:w="1360" w:type="dxa"/>
            <w:vMerge w:val="restart"/>
            <w:tcBorders>
              <w:top w:val="single" w:sz="8" w:space="0" w:color="auto"/>
              <w:right w:val="single" w:sz="8" w:space="0" w:color="auto"/>
            </w:tcBorders>
            <w:vAlign w:val="bottom"/>
          </w:tcPr>
          <w:p w14:paraId="2819F292" w14:textId="32F570A4" w:rsidR="0066257B" w:rsidRDefault="0066257B" w:rsidP="00237879">
            <w:pPr>
              <w:jc w:val="center"/>
              <w:rPr>
                <w:sz w:val="20"/>
                <w:szCs w:val="20"/>
              </w:rPr>
            </w:pPr>
            <w:r>
              <w:rPr>
                <w:rFonts w:eastAsia="Times New Roman"/>
              </w:rPr>
              <w:t>Standard Method (19</w:t>
            </w:r>
            <w:r>
              <w:rPr>
                <w:rFonts w:eastAsia="Times New Roman"/>
                <w:vertAlign w:val="superscript"/>
              </w:rPr>
              <w:t>th</w:t>
            </w:r>
            <w:r>
              <w:rPr>
                <w:rFonts w:eastAsia="Times New Roman"/>
              </w:rPr>
              <w:t xml:space="preserve">, </w:t>
            </w:r>
            <w:r>
              <w:rPr>
                <w:rFonts w:eastAsia="Times New Roman"/>
                <w:w w:val="91"/>
              </w:rPr>
              <w:t>20</w:t>
            </w:r>
            <w:r>
              <w:rPr>
                <w:rFonts w:eastAsia="Times New Roman"/>
                <w:w w:val="91"/>
                <w:vertAlign w:val="superscript"/>
              </w:rPr>
              <w:t>th</w:t>
            </w:r>
            <w:r>
              <w:rPr>
                <w:rFonts w:eastAsia="Times New Roman"/>
                <w:w w:val="91"/>
              </w:rPr>
              <w:t xml:space="preserve"> or 21</w:t>
            </w:r>
            <w:r>
              <w:rPr>
                <w:rFonts w:eastAsia="Times New Roman"/>
                <w:w w:val="91"/>
                <w:vertAlign w:val="superscript"/>
              </w:rPr>
              <w:t xml:space="preserve">st </w:t>
            </w:r>
            <w:r>
              <w:rPr>
                <w:rFonts w:eastAsia="Times New Roman"/>
              </w:rPr>
              <w:t>editions)</w:t>
            </w:r>
          </w:p>
        </w:tc>
        <w:tc>
          <w:tcPr>
            <w:tcW w:w="980" w:type="dxa"/>
            <w:vMerge w:val="restart"/>
            <w:tcBorders>
              <w:top w:val="single" w:sz="8" w:space="0" w:color="auto"/>
              <w:right w:val="single" w:sz="8" w:space="0" w:color="auto"/>
            </w:tcBorders>
            <w:vAlign w:val="center"/>
          </w:tcPr>
          <w:p w14:paraId="2819F293" w14:textId="0B81CD88" w:rsidR="0066257B" w:rsidRDefault="0066257B" w:rsidP="00237879">
            <w:pPr>
              <w:jc w:val="center"/>
              <w:rPr>
                <w:sz w:val="20"/>
                <w:szCs w:val="20"/>
              </w:rPr>
            </w:pPr>
            <w:r>
              <w:rPr>
                <w:rFonts w:eastAsia="Times New Roman"/>
              </w:rPr>
              <w:t>SM Online</w:t>
            </w:r>
            <w:r>
              <w:rPr>
                <w:rFonts w:eastAsia="Times New Roman"/>
                <w:vertAlign w:val="superscript"/>
              </w:rPr>
              <w:t>2</w:t>
            </w:r>
          </w:p>
        </w:tc>
        <w:tc>
          <w:tcPr>
            <w:tcW w:w="820" w:type="dxa"/>
            <w:vMerge w:val="restart"/>
            <w:tcBorders>
              <w:top w:val="single" w:sz="8" w:space="0" w:color="auto"/>
              <w:right w:val="single" w:sz="8" w:space="0" w:color="auto"/>
            </w:tcBorders>
            <w:vAlign w:val="center"/>
          </w:tcPr>
          <w:p w14:paraId="2819F294" w14:textId="06B37CCC" w:rsidR="0066257B" w:rsidRDefault="0066257B" w:rsidP="00237879">
            <w:pPr>
              <w:jc w:val="center"/>
              <w:rPr>
                <w:sz w:val="20"/>
                <w:szCs w:val="20"/>
              </w:rPr>
            </w:pPr>
            <w:r>
              <w:rPr>
                <w:rFonts w:eastAsia="Times New Roman"/>
              </w:rPr>
              <w:t xml:space="preserve">EPA </w:t>
            </w:r>
            <w:r>
              <w:rPr>
                <w:rFonts w:eastAsia="Times New Roman"/>
                <w:w w:val="99"/>
              </w:rPr>
              <w:t>method</w:t>
            </w:r>
          </w:p>
        </w:tc>
        <w:tc>
          <w:tcPr>
            <w:tcW w:w="1080" w:type="dxa"/>
            <w:vMerge w:val="restart"/>
            <w:tcBorders>
              <w:top w:val="single" w:sz="8" w:space="0" w:color="auto"/>
              <w:right w:val="single" w:sz="8" w:space="0" w:color="auto"/>
            </w:tcBorders>
            <w:vAlign w:val="center"/>
          </w:tcPr>
          <w:p w14:paraId="2819F295" w14:textId="1E16196A" w:rsidR="0066257B" w:rsidRDefault="0066257B" w:rsidP="00237879">
            <w:pPr>
              <w:jc w:val="center"/>
              <w:rPr>
                <w:sz w:val="20"/>
                <w:szCs w:val="20"/>
              </w:rPr>
            </w:pPr>
            <w:r>
              <w:rPr>
                <w:rFonts w:eastAsia="Times New Roman"/>
                <w:w w:val="98"/>
              </w:rPr>
              <w:t xml:space="preserve">ASTM </w:t>
            </w:r>
            <w:r>
              <w:rPr>
                <w:rFonts w:eastAsia="Times New Roman"/>
                <w:w w:val="99"/>
              </w:rPr>
              <w:t>Method</w:t>
            </w:r>
          </w:p>
        </w:tc>
        <w:tc>
          <w:tcPr>
            <w:tcW w:w="4020" w:type="dxa"/>
            <w:gridSpan w:val="4"/>
            <w:vMerge w:val="restart"/>
            <w:tcBorders>
              <w:top w:val="single" w:sz="8" w:space="0" w:color="auto"/>
              <w:right w:val="single" w:sz="8" w:space="0" w:color="auto"/>
            </w:tcBorders>
            <w:vAlign w:val="center"/>
          </w:tcPr>
          <w:p w14:paraId="2819F297" w14:textId="446BDA26" w:rsidR="0066257B" w:rsidRDefault="0066257B" w:rsidP="00AB6E6E">
            <w:pPr>
              <w:ind w:left="200"/>
              <w:jc w:val="center"/>
              <w:rPr>
                <w:sz w:val="20"/>
                <w:szCs w:val="20"/>
              </w:rPr>
            </w:pPr>
            <w:r>
              <w:rPr>
                <w:rFonts w:eastAsia="Times New Roman"/>
              </w:rPr>
              <w:t>Residual Measured</w:t>
            </w:r>
            <w:r>
              <w:rPr>
                <w:rFonts w:eastAsia="Times New Roman"/>
                <w:vertAlign w:val="superscript"/>
              </w:rPr>
              <w:t>1</w:t>
            </w:r>
          </w:p>
        </w:tc>
      </w:tr>
      <w:tr w:rsidR="0066257B" w14:paraId="2819F2A5" w14:textId="77777777" w:rsidTr="0066257B">
        <w:trPr>
          <w:trHeight w:val="230"/>
        </w:trPr>
        <w:tc>
          <w:tcPr>
            <w:tcW w:w="2920" w:type="dxa"/>
            <w:vMerge/>
            <w:tcBorders>
              <w:left w:val="single" w:sz="8" w:space="0" w:color="auto"/>
              <w:right w:val="single" w:sz="8" w:space="0" w:color="auto"/>
            </w:tcBorders>
            <w:vAlign w:val="bottom"/>
          </w:tcPr>
          <w:p w14:paraId="2819F29A" w14:textId="460E0F8A" w:rsidR="0066257B" w:rsidRDefault="0066257B">
            <w:pPr>
              <w:ind w:left="880"/>
              <w:rPr>
                <w:sz w:val="20"/>
                <w:szCs w:val="20"/>
              </w:rPr>
            </w:pPr>
          </w:p>
        </w:tc>
        <w:tc>
          <w:tcPr>
            <w:tcW w:w="1360" w:type="dxa"/>
            <w:vMerge/>
            <w:tcBorders>
              <w:right w:val="single" w:sz="8" w:space="0" w:color="auto"/>
            </w:tcBorders>
            <w:vAlign w:val="bottom"/>
          </w:tcPr>
          <w:p w14:paraId="2819F29B" w14:textId="29F8E714" w:rsidR="0066257B" w:rsidRDefault="0066257B" w:rsidP="00347FE4">
            <w:pPr>
              <w:jc w:val="center"/>
              <w:rPr>
                <w:sz w:val="20"/>
                <w:szCs w:val="20"/>
              </w:rPr>
            </w:pPr>
          </w:p>
        </w:tc>
        <w:tc>
          <w:tcPr>
            <w:tcW w:w="980" w:type="dxa"/>
            <w:vMerge/>
            <w:tcBorders>
              <w:right w:val="single" w:sz="8" w:space="0" w:color="auto"/>
            </w:tcBorders>
            <w:vAlign w:val="bottom"/>
          </w:tcPr>
          <w:p w14:paraId="2819F29C" w14:textId="62C152AC" w:rsidR="0066257B" w:rsidRDefault="0066257B" w:rsidP="00347FE4">
            <w:pPr>
              <w:spacing w:line="241" w:lineRule="exact"/>
              <w:ind w:left="140"/>
              <w:rPr>
                <w:sz w:val="16"/>
                <w:szCs w:val="16"/>
              </w:rPr>
            </w:pPr>
          </w:p>
        </w:tc>
        <w:tc>
          <w:tcPr>
            <w:tcW w:w="820" w:type="dxa"/>
            <w:vMerge/>
            <w:tcBorders>
              <w:right w:val="single" w:sz="8" w:space="0" w:color="auto"/>
            </w:tcBorders>
            <w:vAlign w:val="bottom"/>
          </w:tcPr>
          <w:p w14:paraId="2819F29D" w14:textId="6D45FC66" w:rsidR="0066257B" w:rsidRDefault="0066257B" w:rsidP="00347FE4">
            <w:pPr>
              <w:spacing w:line="241" w:lineRule="exact"/>
              <w:jc w:val="center"/>
              <w:rPr>
                <w:sz w:val="16"/>
                <w:szCs w:val="16"/>
              </w:rPr>
            </w:pPr>
          </w:p>
        </w:tc>
        <w:tc>
          <w:tcPr>
            <w:tcW w:w="1080" w:type="dxa"/>
            <w:vMerge/>
            <w:tcBorders>
              <w:right w:val="single" w:sz="8" w:space="0" w:color="auto"/>
            </w:tcBorders>
            <w:vAlign w:val="bottom"/>
          </w:tcPr>
          <w:p w14:paraId="2819F29E" w14:textId="00F5EC5A" w:rsidR="0066257B" w:rsidRDefault="0066257B" w:rsidP="00347FE4">
            <w:pPr>
              <w:spacing w:line="241" w:lineRule="exact"/>
              <w:jc w:val="center"/>
              <w:rPr>
                <w:sz w:val="16"/>
                <w:szCs w:val="16"/>
              </w:rPr>
            </w:pPr>
          </w:p>
        </w:tc>
        <w:tc>
          <w:tcPr>
            <w:tcW w:w="4020" w:type="dxa"/>
            <w:gridSpan w:val="4"/>
            <w:vMerge/>
            <w:tcBorders>
              <w:bottom w:val="single" w:sz="8" w:space="0" w:color="auto"/>
              <w:right w:val="single" w:sz="8" w:space="0" w:color="auto"/>
            </w:tcBorders>
            <w:vAlign w:val="bottom"/>
          </w:tcPr>
          <w:p w14:paraId="2819F2A3" w14:textId="77777777" w:rsidR="0066257B" w:rsidRDefault="0066257B">
            <w:pPr>
              <w:rPr>
                <w:sz w:val="16"/>
                <w:szCs w:val="16"/>
              </w:rPr>
            </w:pPr>
          </w:p>
        </w:tc>
      </w:tr>
      <w:tr w:rsidR="0066257B" w14:paraId="2819F2B0" w14:textId="77777777" w:rsidTr="0066257B">
        <w:trPr>
          <w:trHeight w:val="241"/>
        </w:trPr>
        <w:tc>
          <w:tcPr>
            <w:tcW w:w="2920" w:type="dxa"/>
            <w:vMerge/>
            <w:tcBorders>
              <w:left w:val="single" w:sz="8" w:space="0" w:color="auto"/>
              <w:right w:val="single" w:sz="8" w:space="0" w:color="auto"/>
            </w:tcBorders>
            <w:vAlign w:val="bottom"/>
          </w:tcPr>
          <w:p w14:paraId="2819F2A6" w14:textId="77777777" w:rsidR="0066257B" w:rsidRDefault="0066257B">
            <w:pPr>
              <w:rPr>
                <w:sz w:val="20"/>
                <w:szCs w:val="20"/>
              </w:rPr>
            </w:pPr>
          </w:p>
        </w:tc>
        <w:tc>
          <w:tcPr>
            <w:tcW w:w="1360" w:type="dxa"/>
            <w:vMerge/>
            <w:tcBorders>
              <w:right w:val="single" w:sz="8" w:space="0" w:color="auto"/>
            </w:tcBorders>
            <w:vAlign w:val="bottom"/>
          </w:tcPr>
          <w:p w14:paraId="2819F2A7" w14:textId="3DEDA0E2" w:rsidR="0066257B" w:rsidRDefault="0066257B" w:rsidP="00347FE4">
            <w:pPr>
              <w:jc w:val="center"/>
              <w:rPr>
                <w:sz w:val="20"/>
                <w:szCs w:val="20"/>
              </w:rPr>
            </w:pPr>
          </w:p>
        </w:tc>
        <w:tc>
          <w:tcPr>
            <w:tcW w:w="980" w:type="dxa"/>
            <w:vMerge/>
            <w:tcBorders>
              <w:right w:val="single" w:sz="8" w:space="0" w:color="auto"/>
            </w:tcBorders>
            <w:vAlign w:val="bottom"/>
          </w:tcPr>
          <w:p w14:paraId="2819F2A8" w14:textId="1EF30F63" w:rsidR="0066257B" w:rsidRDefault="0066257B">
            <w:pPr>
              <w:spacing w:line="241" w:lineRule="exact"/>
              <w:ind w:left="140"/>
              <w:rPr>
                <w:sz w:val="20"/>
                <w:szCs w:val="20"/>
              </w:rPr>
            </w:pPr>
          </w:p>
        </w:tc>
        <w:tc>
          <w:tcPr>
            <w:tcW w:w="820" w:type="dxa"/>
            <w:vMerge/>
            <w:tcBorders>
              <w:right w:val="single" w:sz="8" w:space="0" w:color="auto"/>
            </w:tcBorders>
            <w:vAlign w:val="bottom"/>
          </w:tcPr>
          <w:p w14:paraId="2819F2A9" w14:textId="56AC751A" w:rsidR="0066257B" w:rsidRDefault="0066257B">
            <w:pPr>
              <w:spacing w:line="241" w:lineRule="exact"/>
              <w:jc w:val="center"/>
              <w:rPr>
                <w:sz w:val="20"/>
                <w:szCs w:val="20"/>
              </w:rPr>
            </w:pPr>
          </w:p>
        </w:tc>
        <w:tc>
          <w:tcPr>
            <w:tcW w:w="1080" w:type="dxa"/>
            <w:vMerge/>
            <w:tcBorders>
              <w:right w:val="single" w:sz="8" w:space="0" w:color="auto"/>
            </w:tcBorders>
            <w:vAlign w:val="bottom"/>
          </w:tcPr>
          <w:p w14:paraId="2819F2AA" w14:textId="37E4D407" w:rsidR="0066257B" w:rsidRDefault="0066257B">
            <w:pPr>
              <w:spacing w:line="241" w:lineRule="exact"/>
              <w:jc w:val="center"/>
              <w:rPr>
                <w:sz w:val="20"/>
                <w:szCs w:val="20"/>
              </w:rPr>
            </w:pPr>
          </w:p>
        </w:tc>
        <w:tc>
          <w:tcPr>
            <w:tcW w:w="900" w:type="dxa"/>
            <w:vMerge w:val="restart"/>
            <w:tcBorders>
              <w:right w:val="single" w:sz="8" w:space="0" w:color="auto"/>
            </w:tcBorders>
            <w:vAlign w:val="center"/>
          </w:tcPr>
          <w:p w14:paraId="2819F2AB" w14:textId="77777777" w:rsidR="0066257B" w:rsidRDefault="0066257B" w:rsidP="00AB6E6E">
            <w:pPr>
              <w:jc w:val="center"/>
              <w:rPr>
                <w:sz w:val="20"/>
                <w:szCs w:val="20"/>
              </w:rPr>
            </w:pPr>
            <w:r>
              <w:rPr>
                <w:rFonts w:eastAsia="Times New Roman"/>
                <w:w w:val="97"/>
              </w:rPr>
              <w:t>Free C1</w:t>
            </w:r>
            <w:r>
              <w:rPr>
                <w:rFonts w:eastAsia="Times New Roman"/>
                <w:w w:val="97"/>
                <w:vertAlign w:val="subscript"/>
              </w:rPr>
              <w:t>2</w:t>
            </w:r>
          </w:p>
        </w:tc>
        <w:tc>
          <w:tcPr>
            <w:tcW w:w="1440" w:type="dxa"/>
            <w:vMerge w:val="restart"/>
            <w:tcBorders>
              <w:right w:val="single" w:sz="8" w:space="0" w:color="auto"/>
            </w:tcBorders>
            <w:vAlign w:val="center"/>
          </w:tcPr>
          <w:p w14:paraId="2819F2AC" w14:textId="77777777" w:rsidR="0066257B" w:rsidRDefault="0066257B" w:rsidP="00AB6E6E">
            <w:pPr>
              <w:jc w:val="center"/>
              <w:rPr>
                <w:sz w:val="20"/>
                <w:szCs w:val="20"/>
              </w:rPr>
            </w:pPr>
            <w:r>
              <w:rPr>
                <w:rFonts w:eastAsia="Times New Roman"/>
                <w:w w:val="98"/>
              </w:rPr>
              <w:t>Combined C1</w:t>
            </w:r>
            <w:r>
              <w:rPr>
                <w:rFonts w:eastAsia="Times New Roman"/>
                <w:w w:val="98"/>
                <w:vertAlign w:val="subscript"/>
              </w:rPr>
              <w:t>2</w:t>
            </w:r>
          </w:p>
        </w:tc>
        <w:tc>
          <w:tcPr>
            <w:tcW w:w="1000" w:type="dxa"/>
            <w:vMerge w:val="restart"/>
            <w:tcBorders>
              <w:bottom w:val="single" w:sz="8" w:space="0" w:color="auto"/>
              <w:right w:val="single" w:sz="8" w:space="0" w:color="auto"/>
            </w:tcBorders>
            <w:vAlign w:val="center"/>
          </w:tcPr>
          <w:p w14:paraId="2819F2AD" w14:textId="77777777" w:rsidR="0066257B" w:rsidRDefault="0066257B" w:rsidP="00AB6E6E">
            <w:pPr>
              <w:ind w:right="60"/>
              <w:jc w:val="center"/>
              <w:rPr>
                <w:sz w:val="20"/>
                <w:szCs w:val="20"/>
              </w:rPr>
            </w:pPr>
            <w:r>
              <w:rPr>
                <w:rFonts w:eastAsia="Times New Roman"/>
              </w:rPr>
              <w:t>Total C1</w:t>
            </w:r>
            <w:r>
              <w:rPr>
                <w:rFonts w:eastAsia="Times New Roman"/>
                <w:vertAlign w:val="subscript"/>
              </w:rPr>
              <w:t>2</w:t>
            </w:r>
          </w:p>
        </w:tc>
        <w:tc>
          <w:tcPr>
            <w:tcW w:w="680" w:type="dxa"/>
            <w:vMerge w:val="restart"/>
            <w:tcBorders>
              <w:right w:val="single" w:sz="8" w:space="0" w:color="auto"/>
            </w:tcBorders>
            <w:vAlign w:val="center"/>
          </w:tcPr>
          <w:p w14:paraId="2819F2AE" w14:textId="050C7983" w:rsidR="0066257B" w:rsidRDefault="0066257B" w:rsidP="00AB6E6E">
            <w:pPr>
              <w:jc w:val="center"/>
              <w:rPr>
                <w:sz w:val="20"/>
                <w:szCs w:val="20"/>
              </w:rPr>
            </w:pPr>
            <w:r>
              <w:rPr>
                <w:rFonts w:eastAsia="Times New Roman"/>
                <w:w w:val="89"/>
              </w:rPr>
              <w:t>C1O</w:t>
            </w:r>
            <w:r>
              <w:rPr>
                <w:rFonts w:eastAsia="Times New Roman"/>
                <w:w w:val="89"/>
                <w:vertAlign w:val="subscript"/>
              </w:rPr>
              <w:t>2</w:t>
            </w:r>
          </w:p>
        </w:tc>
      </w:tr>
      <w:tr w:rsidR="0066257B" w14:paraId="2819F2BB" w14:textId="77777777" w:rsidTr="0066257B">
        <w:trPr>
          <w:trHeight w:val="174"/>
        </w:trPr>
        <w:tc>
          <w:tcPr>
            <w:tcW w:w="2920" w:type="dxa"/>
            <w:vMerge/>
            <w:tcBorders>
              <w:left w:val="single" w:sz="8" w:space="0" w:color="auto"/>
              <w:right w:val="single" w:sz="8" w:space="0" w:color="auto"/>
            </w:tcBorders>
            <w:vAlign w:val="bottom"/>
          </w:tcPr>
          <w:p w14:paraId="2819F2B1" w14:textId="77777777" w:rsidR="0066257B" w:rsidRDefault="0066257B">
            <w:pPr>
              <w:rPr>
                <w:sz w:val="15"/>
                <w:szCs w:val="15"/>
              </w:rPr>
            </w:pPr>
          </w:p>
        </w:tc>
        <w:tc>
          <w:tcPr>
            <w:tcW w:w="1360" w:type="dxa"/>
            <w:vMerge/>
            <w:tcBorders>
              <w:right w:val="single" w:sz="8" w:space="0" w:color="auto"/>
            </w:tcBorders>
            <w:vAlign w:val="bottom"/>
          </w:tcPr>
          <w:p w14:paraId="2819F2B2" w14:textId="1243869C" w:rsidR="0066257B" w:rsidRDefault="0066257B">
            <w:pPr>
              <w:jc w:val="center"/>
              <w:rPr>
                <w:sz w:val="20"/>
                <w:szCs w:val="20"/>
              </w:rPr>
            </w:pPr>
          </w:p>
        </w:tc>
        <w:tc>
          <w:tcPr>
            <w:tcW w:w="980" w:type="dxa"/>
            <w:vMerge/>
            <w:tcBorders>
              <w:right w:val="single" w:sz="8" w:space="0" w:color="auto"/>
            </w:tcBorders>
            <w:vAlign w:val="bottom"/>
          </w:tcPr>
          <w:p w14:paraId="2819F2B3" w14:textId="77777777" w:rsidR="0066257B" w:rsidRDefault="0066257B">
            <w:pPr>
              <w:rPr>
                <w:sz w:val="15"/>
                <w:szCs w:val="15"/>
              </w:rPr>
            </w:pPr>
          </w:p>
        </w:tc>
        <w:tc>
          <w:tcPr>
            <w:tcW w:w="820" w:type="dxa"/>
            <w:vMerge/>
            <w:tcBorders>
              <w:right w:val="single" w:sz="8" w:space="0" w:color="auto"/>
            </w:tcBorders>
            <w:vAlign w:val="bottom"/>
          </w:tcPr>
          <w:p w14:paraId="2819F2B4" w14:textId="77777777" w:rsidR="0066257B" w:rsidRDefault="0066257B">
            <w:pPr>
              <w:rPr>
                <w:sz w:val="15"/>
                <w:szCs w:val="15"/>
              </w:rPr>
            </w:pPr>
          </w:p>
        </w:tc>
        <w:tc>
          <w:tcPr>
            <w:tcW w:w="1080" w:type="dxa"/>
            <w:vMerge/>
            <w:tcBorders>
              <w:right w:val="single" w:sz="8" w:space="0" w:color="auto"/>
            </w:tcBorders>
            <w:vAlign w:val="bottom"/>
          </w:tcPr>
          <w:p w14:paraId="2819F2B5" w14:textId="77777777" w:rsidR="0066257B" w:rsidRDefault="0066257B">
            <w:pPr>
              <w:rPr>
                <w:sz w:val="15"/>
                <w:szCs w:val="15"/>
              </w:rPr>
            </w:pPr>
          </w:p>
        </w:tc>
        <w:tc>
          <w:tcPr>
            <w:tcW w:w="900" w:type="dxa"/>
            <w:vMerge/>
            <w:tcBorders>
              <w:right w:val="single" w:sz="8" w:space="0" w:color="auto"/>
            </w:tcBorders>
            <w:vAlign w:val="bottom"/>
          </w:tcPr>
          <w:p w14:paraId="2819F2B6" w14:textId="77777777" w:rsidR="0066257B" w:rsidRDefault="0066257B">
            <w:pPr>
              <w:rPr>
                <w:sz w:val="15"/>
                <w:szCs w:val="15"/>
              </w:rPr>
            </w:pPr>
          </w:p>
        </w:tc>
        <w:tc>
          <w:tcPr>
            <w:tcW w:w="1440" w:type="dxa"/>
            <w:vMerge/>
            <w:tcBorders>
              <w:right w:val="single" w:sz="8" w:space="0" w:color="auto"/>
            </w:tcBorders>
            <w:vAlign w:val="bottom"/>
          </w:tcPr>
          <w:p w14:paraId="2819F2B7" w14:textId="77777777" w:rsidR="0066257B" w:rsidRDefault="0066257B">
            <w:pPr>
              <w:rPr>
                <w:sz w:val="15"/>
                <w:szCs w:val="15"/>
              </w:rPr>
            </w:pPr>
          </w:p>
        </w:tc>
        <w:tc>
          <w:tcPr>
            <w:tcW w:w="1000" w:type="dxa"/>
            <w:vMerge/>
            <w:tcBorders>
              <w:bottom w:val="single" w:sz="8" w:space="0" w:color="auto"/>
              <w:right w:val="single" w:sz="8" w:space="0" w:color="auto"/>
            </w:tcBorders>
            <w:vAlign w:val="bottom"/>
          </w:tcPr>
          <w:p w14:paraId="2819F2B8" w14:textId="77777777" w:rsidR="0066257B" w:rsidRDefault="0066257B">
            <w:pPr>
              <w:rPr>
                <w:sz w:val="15"/>
                <w:szCs w:val="15"/>
              </w:rPr>
            </w:pPr>
          </w:p>
        </w:tc>
        <w:tc>
          <w:tcPr>
            <w:tcW w:w="680" w:type="dxa"/>
            <w:vMerge/>
            <w:tcBorders>
              <w:right w:val="single" w:sz="8" w:space="0" w:color="auto"/>
            </w:tcBorders>
            <w:vAlign w:val="bottom"/>
          </w:tcPr>
          <w:p w14:paraId="2819F2B9" w14:textId="77777777" w:rsidR="0066257B" w:rsidRDefault="0066257B">
            <w:pPr>
              <w:rPr>
                <w:sz w:val="15"/>
                <w:szCs w:val="15"/>
              </w:rPr>
            </w:pPr>
          </w:p>
        </w:tc>
      </w:tr>
      <w:tr w:rsidR="0066257B" w14:paraId="2819F2C7" w14:textId="77777777" w:rsidTr="0066257B">
        <w:trPr>
          <w:trHeight w:val="106"/>
        </w:trPr>
        <w:tc>
          <w:tcPr>
            <w:tcW w:w="2920" w:type="dxa"/>
            <w:vMerge/>
            <w:tcBorders>
              <w:left w:val="single" w:sz="8" w:space="0" w:color="auto"/>
              <w:bottom w:val="single" w:sz="8" w:space="0" w:color="auto"/>
              <w:right w:val="single" w:sz="8" w:space="0" w:color="auto"/>
            </w:tcBorders>
            <w:vAlign w:val="bottom"/>
          </w:tcPr>
          <w:p w14:paraId="2819F2BC" w14:textId="77777777" w:rsidR="0066257B" w:rsidRDefault="0066257B">
            <w:pPr>
              <w:rPr>
                <w:sz w:val="9"/>
                <w:szCs w:val="9"/>
              </w:rPr>
            </w:pPr>
          </w:p>
        </w:tc>
        <w:tc>
          <w:tcPr>
            <w:tcW w:w="1360" w:type="dxa"/>
            <w:vMerge/>
            <w:tcBorders>
              <w:bottom w:val="single" w:sz="8" w:space="0" w:color="auto"/>
              <w:right w:val="single" w:sz="8" w:space="0" w:color="auto"/>
            </w:tcBorders>
            <w:vAlign w:val="bottom"/>
          </w:tcPr>
          <w:p w14:paraId="2819F2BD" w14:textId="77777777" w:rsidR="0066257B" w:rsidRDefault="0066257B">
            <w:pPr>
              <w:rPr>
                <w:sz w:val="9"/>
                <w:szCs w:val="9"/>
              </w:rPr>
            </w:pPr>
          </w:p>
        </w:tc>
        <w:tc>
          <w:tcPr>
            <w:tcW w:w="980" w:type="dxa"/>
            <w:vMerge/>
            <w:tcBorders>
              <w:bottom w:val="single" w:sz="8" w:space="0" w:color="auto"/>
              <w:right w:val="single" w:sz="8" w:space="0" w:color="auto"/>
            </w:tcBorders>
            <w:vAlign w:val="bottom"/>
          </w:tcPr>
          <w:p w14:paraId="2819F2BE" w14:textId="77777777" w:rsidR="0066257B" w:rsidRDefault="0066257B">
            <w:pPr>
              <w:rPr>
                <w:sz w:val="9"/>
                <w:szCs w:val="9"/>
              </w:rPr>
            </w:pPr>
          </w:p>
        </w:tc>
        <w:tc>
          <w:tcPr>
            <w:tcW w:w="820" w:type="dxa"/>
            <w:vMerge/>
            <w:tcBorders>
              <w:bottom w:val="single" w:sz="8" w:space="0" w:color="auto"/>
              <w:right w:val="single" w:sz="8" w:space="0" w:color="auto"/>
            </w:tcBorders>
            <w:vAlign w:val="bottom"/>
          </w:tcPr>
          <w:p w14:paraId="2819F2BF" w14:textId="77777777" w:rsidR="0066257B" w:rsidRDefault="0066257B">
            <w:pPr>
              <w:rPr>
                <w:sz w:val="9"/>
                <w:szCs w:val="9"/>
              </w:rPr>
            </w:pPr>
          </w:p>
        </w:tc>
        <w:tc>
          <w:tcPr>
            <w:tcW w:w="1080" w:type="dxa"/>
            <w:vMerge/>
            <w:tcBorders>
              <w:bottom w:val="single" w:sz="8" w:space="0" w:color="auto"/>
              <w:right w:val="single" w:sz="8" w:space="0" w:color="auto"/>
            </w:tcBorders>
            <w:vAlign w:val="bottom"/>
          </w:tcPr>
          <w:p w14:paraId="2819F2C0" w14:textId="77777777" w:rsidR="0066257B" w:rsidRDefault="0066257B">
            <w:pPr>
              <w:rPr>
                <w:sz w:val="9"/>
                <w:szCs w:val="9"/>
              </w:rPr>
            </w:pPr>
          </w:p>
        </w:tc>
        <w:tc>
          <w:tcPr>
            <w:tcW w:w="900" w:type="dxa"/>
            <w:vMerge/>
            <w:tcBorders>
              <w:bottom w:val="single" w:sz="8" w:space="0" w:color="auto"/>
              <w:right w:val="single" w:sz="8" w:space="0" w:color="auto"/>
            </w:tcBorders>
            <w:vAlign w:val="bottom"/>
          </w:tcPr>
          <w:p w14:paraId="2819F2C1" w14:textId="77777777" w:rsidR="0066257B" w:rsidRDefault="0066257B">
            <w:pPr>
              <w:rPr>
                <w:sz w:val="9"/>
                <w:szCs w:val="9"/>
              </w:rPr>
            </w:pPr>
          </w:p>
        </w:tc>
        <w:tc>
          <w:tcPr>
            <w:tcW w:w="1440" w:type="dxa"/>
            <w:vMerge/>
            <w:tcBorders>
              <w:bottom w:val="single" w:sz="8" w:space="0" w:color="auto"/>
              <w:right w:val="single" w:sz="8" w:space="0" w:color="auto"/>
            </w:tcBorders>
            <w:vAlign w:val="bottom"/>
          </w:tcPr>
          <w:p w14:paraId="2819F2C2" w14:textId="77777777" w:rsidR="0066257B" w:rsidRDefault="0066257B">
            <w:pPr>
              <w:rPr>
                <w:sz w:val="9"/>
                <w:szCs w:val="9"/>
              </w:rPr>
            </w:pPr>
          </w:p>
        </w:tc>
        <w:tc>
          <w:tcPr>
            <w:tcW w:w="1000" w:type="dxa"/>
            <w:vMerge/>
            <w:tcBorders>
              <w:bottom w:val="single" w:sz="8" w:space="0" w:color="auto"/>
              <w:right w:val="single" w:sz="8" w:space="0" w:color="auto"/>
            </w:tcBorders>
            <w:vAlign w:val="bottom"/>
          </w:tcPr>
          <w:p w14:paraId="2819F2C4" w14:textId="77777777" w:rsidR="0066257B" w:rsidRDefault="0066257B">
            <w:pPr>
              <w:rPr>
                <w:sz w:val="9"/>
                <w:szCs w:val="9"/>
              </w:rPr>
            </w:pPr>
          </w:p>
        </w:tc>
        <w:tc>
          <w:tcPr>
            <w:tcW w:w="680" w:type="dxa"/>
            <w:vMerge/>
            <w:tcBorders>
              <w:left w:val="single" w:sz="8" w:space="0" w:color="auto"/>
              <w:bottom w:val="single" w:sz="8" w:space="0" w:color="auto"/>
              <w:right w:val="single" w:sz="8" w:space="0" w:color="auto"/>
            </w:tcBorders>
            <w:vAlign w:val="bottom"/>
          </w:tcPr>
          <w:p w14:paraId="2819F2C5" w14:textId="77777777" w:rsidR="0066257B" w:rsidRDefault="0066257B">
            <w:pPr>
              <w:rPr>
                <w:sz w:val="9"/>
                <w:szCs w:val="9"/>
              </w:rPr>
            </w:pPr>
          </w:p>
        </w:tc>
      </w:tr>
      <w:tr w:rsidR="0066257B" w14:paraId="2819F2D3" w14:textId="77777777" w:rsidTr="00912BE7">
        <w:trPr>
          <w:trHeight w:val="246"/>
        </w:trPr>
        <w:tc>
          <w:tcPr>
            <w:tcW w:w="2920" w:type="dxa"/>
            <w:vMerge w:val="restart"/>
            <w:tcBorders>
              <w:left w:val="single" w:sz="8" w:space="0" w:color="auto"/>
              <w:right w:val="single" w:sz="8" w:space="0" w:color="auto"/>
            </w:tcBorders>
            <w:vAlign w:val="center"/>
          </w:tcPr>
          <w:p w14:paraId="2819F2C8" w14:textId="77777777" w:rsidR="0066257B" w:rsidRDefault="0066257B" w:rsidP="00912BE7">
            <w:pPr>
              <w:spacing w:line="245" w:lineRule="exact"/>
              <w:rPr>
                <w:sz w:val="20"/>
                <w:szCs w:val="20"/>
              </w:rPr>
            </w:pPr>
            <w:r>
              <w:rPr>
                <w:rFonts w:eastAsia="Times New Roman"/>
              </w:rPr>
              <w:t>Amperometric Titration</w:t>
            </w:r>
          </w:p>
        </w:tc>
        <w:tc>
          <w:tcPr>
            <w:tcW w:w="1360" w:type="dxa"/>
            <w:vMerge w:val="restart"/>
            <w:tcBorders>
              <w:right w:val="single" w:sz="8" w:space="0" w:color="auto"/>
            </w:tcBorders>
            <w:vAlign w:val="center"/>
          </w:tcPr>
          <w:p w14:paraId="2819F2C9" w14:textId="77777777" w:rsidR="0066257B" w:rsidRDefault="0066257B" w:rsidP="00912BE7">
            <w:pPr>
              <w:spacing w:line="245" w:lineRule="exact"/>
              <w:jc w:val="center"/>
              <w:rPr>
                <w:sz w:val="20"/>
                <w:szCs w:val="20"/>
              </w:rPr>
            </w:pPr>
            <w:r>
              <w:rPr>
                <w:rFonts w:eastAsia="Times New Roman"/>
              </w:rPr>
              <w:t>4500-Cl D</w:t>
            </w:r>
          </w:p>
        </w:tc>
        <w:tc>
          <w:tcPr>
            <w:tcW w:w="980" w:type="dxa"/>
            <w:vMerge w:val="restart"/>
            <w:tcBorders>
              <w:right w:val="single" w:sz="8" w:space="0" w:color="auto"/>
            </w:tcBorders>
            <w:vAlign w:val="center"/>
          </w:tcPr>
          <w:p w14:paraId="2819F2CA" w14:textId="7C1E3F06" w:rsidR="0066257B" w:rsidRDefault="0066257B" w:rsidP="00912BE7">
            <w:pPr>
              <w:spacing w:line="245" w:lineRule="exact"/>
              <w:jc w:val="center"/>
              <w:rPr>
                <w:sz w:val="20"/>
                <w:szCs w:val="20"/>
              </w:rPr>
            </w:pPr>
            <w:r>
              <w:rPr>
                <w:rFonts w:eastAsia="Times New Roman"/>
              </w:rPr>
              <w:t>4500-Cl D-00</w:t>
            </w:r>
          </w:p>
        </w:tc>
        <w:tc>
          <w:tcPr>
            <w:tcW w:w="820" w:type="dxa"/>
            <w:vMerge w:val="restart"/>
            <w:tcBorders>
              <w:right w:val="single" w:sz="8" w:space="0" w:color="auto"/>
            </w:tcBorders>
            <w:vAlign w:val="center"/>
          </w:tcPr>
          <w:p w14:paraId="2819F2CB" w14:textId="77777777" w:rsidR="0066257B" w:rsidRDefault="0066257B" w:rsidP="00912BE7">
            <w:pPr>
              <w:jc w:val="center"/>
              <w:rPr>
                <w:sz w:val="21"/>
                <w:szCs w:val="21"/>
              </w:rPr>
            </w:pPr>
          </w:p>
        </w:tc>
        <w:tc>
          <w:tcPr>
            <w:tcW w:w="1080" w:type="dxa"/>
            <w:vMerge w:val="restart"/>
            <w:tcBorders>
              <w:right w:val="single" w:sz="8" w:space="0" w:color="auto"/>
            </w:tcBorders>
            <w:vAlign w:val="center"/>
          </w:tcPr>
          <w:p w14:paraId="43E7DF9A" w14:textId="77777777" w:rsidR="00B44C4F" w:rsidRDefault="0066257B" w:rsidP="00912BE7">
            <w:pPr>
              <w:spacing w:line="245" w:lineRule="exact"/>
              <w:jc w:val="center"/>
              <w:rPr>
                <w:rFonts w:eastAsia="Times New Roman"/>
              </w:rPr>
            </w:pPr>
            <w:r>
              <w:rPr>
                <w:rFonts w:eastAsia="Times New Roman"/>
                <w:w w:val="99"/>
              </w:rPr>
              <w:t xml:space="preserve">D 1253-86 </w:t>
            </w:r>
            <w:r>
              <w:rPr>
                <w:rFonts w:eastAsia="Times New Roman"/>
              </w:rPr>
              <w:t>(96), 03</w:t>
            </w:r>
          </w:p>
          <w:p w14:paraId="2819F2CC" w14:textId="3D1E0663" w:rsidR="0066257B" w:rsidRDefault="0066257B" w:rsidP="00912BE7">
            <w:pPr>
              <w:spacing w:line="245" w:lineRule="exact"/>
              <w:jc w:val="center"/>
              <w:rPr>
                <w:sz w:val="20"/>
                <w:szCs w:val="20"/>
              </w:rPr>
            </w:pPr>
            <w:r>
              <w:rPr>
                <w:rFonts w:eastAsia="Times New Roman"/>
              </w:rPr>
              <w:t>D</w:t>
            </w:r>
            <w:r w:rsidR="00F30855">
              <w:rPr>
                <w:rFonts w:eastAsia="Times New Roman"/>
              </w:rPr>
              <w:t xml:space="preserve"> </w:t>
            </w:r>
            <w:r w:rsidR="00F30855">
              <w:rPr>
                <w:rFonts w:eastAsia="Times New Roman"/>
                <w:w w:val="99"/>
              </w:rPr>
              <w:t>1253-08</w:t>
            </w:r>
            <w:r w:rsidR="00F30855">
              <w:rPr>
                <w:rFonts w:eastAsia="Times New Roman"/>
                <w:w w:val="99"/>
                <w:vertAlign w:val="superscript"/>
              </w:rPr>
              <w:t>4</w:t>
            </w:r>
          </w:p>
        </w:tc>
        <w:tc>
          <w:tcPr>
            <w:tcW w:w="900" w:type="dxa"/>
            <w:vMerge w:val="restart"/>
            <w:tcBorders>
              <w:right w:val="single" w:sz="8" w:space="0" w:color="auto"/>
            </w:tcBorders>
            <w:vAlign w:val="center"/>
          </w:tcPr>
          <w:p w14:paraId="2819F2CD" w14:textId="77777777" w:rsidR="0066257B" w:rsidRPr="00912BE7" w:rsidRDefault="0066257B" w:rsidP="00912BE7">
            <w:pPr>
              <w:spacing w:line="245" w:lineRule="exact"/>
              <w:jc w:val="center"/>
              <w:rPr>
                <w:sz w:val="24"/>
                <w:szCs w:val="24"/>
              </w:rPr>
            </w:pPr>
            <w:r w:rsidRPr="00912BE7">
              <w:rPr>
                <w:rFonts w:eastAsia="Times New Roman"/>
                <w:sz w:val="24"/>
                <w:szCs w:val="24"/>
              </w:rPr>
              <w:t>X</w:t>
            </w:r>
          </w:p>
        </w:tc>
        <w:tc>
          <w:tcPr>
            <w:tcW w:w="1440" w:type="dxa"/>
            <w:vMerge w:val="restart"/>
            <w:tcBorders>
              <w:right w:val="single" w:sz="8" w:space="0" w:color="auto"/>
            </w:tcBorders>
            <w:vAlign w:val="center"/>
          </w:tcPr>
          <w:p w14:paraId="2819F2CE" w14:textId="77777777" w:rsidR="0066257B" w:rsidRPr="00912BE7" w:rsidRDefault="0066257B" w:rsidP="00912BE7">
            <w:pPr>
              <w:spacing w:line="245" w:lineRule="exact"/>
              <w:jc w:val="center"/>
              <w:rPr>
                <w:sz w:val="24"/>
                <w:szCs w:val="24"/>
              </w:rPr>
            </w:pPr>
            <w:r w:rsidRPr="00912BE7">
              <w:rPr>
                <w:rFonts w:eastAsia="Times New Roman"/>
                <w:sz w:val="24"/>
                <w:szCs w:val="24"/>
              </w:rPr>
              <w:t>X</w:t>
            </w:r>
          </w:p>
        </w:tc>
        <w:tc>
          <w:tcPr>
            <w:tcW w:w="1000" w:type="dxa"/>
            <w:vMerge w:val="restart"/>
            <w:tcBorders>
              <w:top w:val="single" w:sz="8" w:space="0" w:color="auto"/>
              <w:right w:val="single" w:sz="8" w:space="0" w:color="auto"/>
            </w:tcBorders>
            <w:vAlign w:val="center"/>
          </w:tcPr>
          <w:p w14:paraId="2819F2D0" w14:textId="5306E53B" w:rsidR="0066257B" w:rsidRPr="00912BE7" w:rsidRDefault="0066257B" w:rsidP="00912BE7">
            <w:pPr>
              <w:jc w:val="center"/>
              <w:rPr>
                <w:sz w:val="24"/>
                <w:szCs w:val="24"/>
              </w:rPr>
            </w:pPr>
            <w:r w:rsidRPr="00912BE7">
              <w:rPr>
                <w:rFonts w:eastAsia="Times New Roman"/>
                <w:sz w:val="24"/>
                <w:szCs w:val="24"/>
              </w:rPr>
              <w:t>X</w:t>
            </w:r>
          </w:p>
        </w:tc>
        <w:tc>
          <w:tcPr>
            <w:tcW w:w="680" w:type="dxa"/>
            <w:vMerge w:val="restart"/>
            <w:tcBorders>
              <w:right w:val="single" w:sz="8" w:space="0" w:color="auto"/>
            </w:tcBorders>
            <w:vAlign w:val="center"/>
          </w:tcPr>
          <w:p w14:paraId="2819F2D1" w14:textId="77777777" w:rsidR="0066257B" w:rsidRPr="00912BE7" w:rsidRDefault="0066257B" w:rsidP="00912BE7">
            <w:pPr>
              <w:jc w:val="center"/>
              <w:rPr>
                <w:sz w:val="24"/>
                <w:szCs w:val="24"/>
              </w:rPr>
            </w:pPr>
          </w:p>
        </w:tc>
      </w:tr>
      <w:tr w:rsidR="0066257B" w14:paraId="2819F2DF" w14:textId="77777777" w:rsidTr="00912BE7">
        <w:trPr>
          <w:trHeight w:val="269"/>
        </w:trPr>
        <w:tc>
          <w:tcPr>
            <w:tcW w:w="2920" w:type="dxa"/>
            <w:vMerge/>
            <w:tcBorders>
              <w:left w:val="single" w:sz="8" w:space="0" w:color="auto"/>
              <w:right w:val="single" w:sz="8" w:space="0" w:color="auto"/>
            </w:tcBorders>
            <w:vAlign w:val="center"/>
          </w:tcPr>
          <w:p w14:paraId="2819F2D4" w14:textId="77777777" w:rsidR="0066257B" w:rsidRDefault="0066257B" w:rsidP="00912BE7">
            <w:pPr>
              <w:rPr>
                <w:sz w:val="23"/>
                <w:szCs w:val="23"/>
              </w:rPr>
            </w:pPr>
          </w:p>
        </w:tc>
        <w:tc>
          <w:tcPr>
            <w:tcW w:w="1360" w:type="dxa"/>
            <w:vMerge/>
            <w:tcBorders>
              <w:right w:val="single" w:sz="8" w:space="0" w:color="auto"/>
            </w:tcBorders>
            <w:vAlign w:val="center"/>
          </w:tcPr>
          <w:p w14:paraId="2819F2D5" w14:textId="77777777" w:rsidR="0066257B" w:rsidRDefault="0066257B" w:rsidP="00912BE7">
            <w:pPr>
              <w:jc w:val="center"/>
              <w:rPr>
                <w:sz w:val="23"/>
                <w:szCs w:val="23"/>
              </w:rPr>
            </w:pPr>
          </w:p>
        </w:tc>
        <w:tc>
          <w:tcPr>
            <w:tcW w:w="980" w:type="dxa"/>
            <w:vMerge/>
            <w:tcBorders>
              <w:right w:val="single" w:sz="8" w:space="0" w:color="auto"/>
            </w:tcBorders>
            <w:vAlign w:val="center"/>
          </w:tcPr>
          <w:p w14:paraId="2819F2D6" w14:textId="0B47A565" w:rsidR="0066257B" w:rsidRDefault="0066257B" w:rsidP="00912BE7">
            <w:pPr>
              <w:jc w:val="center"/>
              <w:rPr>
                <w:sz w:val="20"/>
                <w:szCs w:val="20"/>
              </w:rPr>
            </w:pPr>
          </w:p>
        </w:tc>
        <w:tc>
          <w:tcPr>
            <w:tcW w:w="820" w:type="dxa"/>
            <w:vMerge/>
            <w:tcBorders>
              <w:right w:val="single" w:sz="8" w:space="0" w:color="auto"/>
            </w:tcBorders>
            <w:vAlign w:val="center"/>
          </w:tcPr>
          <w:p w14:paraId="2819F2D7" w14:textId="77777777" w:rsidR="0066257B" w:rsidRDefault="0066257B" w:rsidP="00912BE7">
            <w:pPr>
              <w:jc w:val="center"/>
              <w:rPr>
                <w:sz w:val="23"/>
                <w:szCs w:val="23"/>
              </w:rPr>
            </w:pPr>
          </w:p>
        </w:tc>
        <w:tc>
          <w:tcPr>
            <w:tcW w:w="1080" w:type="dxa"/>
            <w:vMerge/>
            <w:tcBorders>
              <w:right w:val="single" w:sz="8" w:space="0" w:color="auto"/>
            </w:tcBorders>
            <w:vAlign w:val="center"/>
          </w:tcPr>
          <w:p w14:paraId="2819F2D8" w14:textId="026599FA" w:rsidR="0066257B" w:rsidRDefault="0066257B" w:rsidP="00912BE7">
            <w:pPr>
              <w:jc w:val="center"/>
              <w:rPr>
                <w:sz w:val="20"/>
                <w:szCs w:val="20"/>
              </w:rPr>
            </w:pPr>
          </w:p>
        </w:tc>
        <w:tc>
          <w:tcPr>
            <w:tcW w:w="900" w:type="dxa"/>
            <w:vMerge/>
            <w:tcBorders>
              <w:right w:val="single" w:sz="8" w:space="0" w:color="auto"/>
            </w:tcBorders>
            <w:vAlign w:val="center"/>
          </w:tcPr>
          <w:p w14:paraId="2819F2D9" w14:textId="77777777" w:rsidR="0066257B" w:rsidRPr="00912BE7" w:rsidRDefault="0066257B" w:rsidP="00912BE7">
            <w:pPr>
              <w:jc w:val="center"/>
              <w:rPr>
                <w:sz w:val="24"/>
                <w:szCs w:val="24"/>
              </w:rPr>
            </w:pPr>
          </w:p>
        </w:tc>
        <w:tc>
          <w:tcPr>
            <w:tcW w:w="1440" w:type="dxa"/>
            <w:vMerge/>
            <w:tcBorders>
              <w:right w:val="single" w:sz="8" w:space="0" w:color="auto"/>
            </w:tcBorders>
            <w:vAlign w:val="center"/>
          </w:tcPr>
          <w:p w14:paraId="2819F2DA" w14:textId="77777777" w:rsidR="0066257B" w:rsidRPr="00912BE7" w:rsidRDefault="0066257B" w:rsidP="00912BE7">
            <w:pPr>
              <w:jc w:val="center"/>
              <w:rPr>
                <w:sz w:val="24"/>
                <w:szCs w:val="24"/>
              </w:rPr>
            </w:pPr>
          </w:p>
        </w:tc>
        <w:tc>
          <w:tcPr>
            <w:tcW w:w="1000" w:type="dxa"/>
            <w:vMerge/>
            <w:tcBorders>
              <w:right w:val="single" w:sz="8" w:space="0" w:color="auto"/>
            </w:tcBorders>
            <w:vAlign w:val="center"/>
          </w:tcPr>
          <w:p w14:paraId="2819F2DC" w14:textId="77777777" w:rsidR="0066257B" w:rsidRPr="00912BE7" w:rsidRDefault="0066257B" w:rsidP="00912BE7">
            <w:pPr>
              <w:jc w:val="center"/>
              <w:rPr>
                <w:sz w:val="24"/>
                <w:szCs w:val="24"/>
              </w:rPr>
            </w:pPr>
          </w:p>
        </w:tc>
        <w:tc>
          <w:tcPr>
            <w:tcW w:w="680" w:type="dxa"/>
            <w:vMerge/>
            <w:tcBorders>
              <w:left w:val="single" w:sz="8" w:space="0" w:color="auto"/>
              <w:right w:val="single" w:sz="8" w:space="0" w:color="auto"/>
            </w:tcBorders>
            <w:vAlign w:val="center"/>
          </w:tcPr>
          <w:p w14:paraId="2819F2DD" w14:textId="77777777" w:rsidR="0066257B" w:rsidRPr="00912BE7" w:rsidRDefault="0066257B" w:rsidP="00912BE7">
            <w:pPr>
              <w:jc w:val="center"/>
              <w:rPr>
                <w:sz w:val="24"/>
                <w:szCs w:val="24"/>
              </w:rPr>
            </w:pPr>
          </w:p>
        </w:tc>
      </w:tr>
      <w:tr w:rsidR="0066257B" w14:paraId="2819F2EA" w14:textId="77777777" w:rsidTr="00912BE7">
        <w:trPr>
          <w:trHeight w:val="285"/>
        </w:trPr>
        <w:tc>
          <w:tcPr>
            <w:tcW w:w="2920" w:type="dxa"/>
            <w:vMerge w:val="restart"/>
            <w:tcBorders>
              <w:left w:val="single" w:sz="8" w:space="0" w:color="auto"/>
              <w:right w:val="single" w:sz="8" w:space="0" w:color="auto"/>
            </w:tcBorders>
            <w:vAlign w:val="center"/>
          </w:tcPr>
          <w:p w14:paraId="2819F2E0" w14:textId="1F656E24" w:rsidR="0066257B" w:rsidRDefault="0066257B" w:rsidP="00912BE7">
            <w:pPr>
              <w:rPr>
                <w:sz w:val="20"/>
                <w:szCs w:val="20"/>
              </w:rPr>
            </w:pPr>
            <w:r>
              <w:rPr>
                <w:rFonts w:eastAsia="Times New Roman"/>
              </w:rPr>
              <w:t>Low Level Amperometric Titration</w:t>
            </w:r>
          </w:p>
        </w:tc>
        <w:tc>
          <w:tcPr>
            <w:tcW w:w="1360" w:type="dxa"/>
            <w:vMerge w:val="restart"/>
            <w:tcBorders>
              <w:right w:val="single" w:sz="8" w:space="0" w:color="auto"/>
            </w:tcBorders>
            <w:vAlign w:val="center"/>
          </w:tcPr>
          <w:p w14:paraId="2819F2E1" w14:textId="77777777" w:rsidR="0066257B" w:rsidRDefault="0066257B" w:rsidP="00912BE7">
            <w:pPr>
              <w:jc w:val="center"/>
              <w:rPr>
                <w:sz w:val="20"/>
                <w:szCs w:val="20"/>
              </w:rPr>
            </w:pPr>
            <w:r>
              <w:rPr>
                <w:rFonts w:eastAsia="Times New Roman"/>
              </w:rPr>
              <w:t>4500-Cl E</w:t>
            </w:r>
          </w:p>
        </w:tc>
        <w:tc>
          <w:tcPr>
            <w:tcW w:w="980" w:type="dxa"/>
            <w:vMerge w:val="restart"/>
            <w:tcBorders>
              <w:right w:val="single" w:sz="8" w:space="0" w:color="auto"/>
            </w:tcBorders>
            <w:vAlign w:val="center"/>
          </w:tcPr>
          <w:p w14:paraId="2819F2E2" w14:textId="64667737" w:rsidR="0066257B" w:rsidRDefault="0066257B" w:rsidP="00912BE7">
            <w:pPr>
              <w:jc w:val="center"/>
              <w:rPr>
                <w:sz w:val="20"/>
                <w:szCs w:val="20"/>
              </w:rPr>
            </w:pPr>
            <w:r>
              <w:rPr>
                <w:rFonts w:eastAsia="Times New Roman"/>
              </w:rPr>
              <w:t>4500-Cl E-00</w:t>
            </w:r>
          </w:p>
        </w:tc>
        <w:tc>
          <w:tcPr>
            <w:tcW w:w="820" w:type="dxa"/>
            <w:vMerge w:val="restart"/>
            <w:tcBorders>
              <w:right w:val="single" w:sz="8" w:space="0" w:color="auto"/>
            </w:tcBorders>
            <w:vAlign w:val="center"/>
          </w:tcPr>
          <w:p w14:paraId="2819F2E3" w14:textId="77777777" w:rsidR="0066257B" w:rsidRDefault="0066257B" w:rsidP="00912BE7">
            <w:pPr>
              <w:jc w:val="center"/>
              <w:rPr>
                <w:sz w:val="24"/>
                <w:szCs w:val="24"/>
              </w:rPr>
            </w:pPr>
          </w:p>
        </w:tc>
        <w:tc>
          <w:tcPr>
            <w:tcW w:w="1080" w:type="dxa"/>
            <w:vMerge w:val="restart"/>
            <w:tcBorders>
              <w:right w:val="single" w:sz="8" w:space="0" w:color="auto"/>
            </w:tcBorders>
            <w:vAlign w:val="center"/>
          </w:tcPr>
          <w:p w14:paraId="2819F2E4" w14:textId="1E163758" w:rsidR="0066257B" w:rsidRDefault="0066257B" w:rsidP="00912BE7">
            <w:pPr>
              <w:jc w:val="center"/>
              <w:rPr>
                <w:sz w:val="20"/>
                <w:szCs w:val="20"/>
              </w:rPr>
            </w:pPr>
          </w:p>
        </w:tc>
        <w:tc>
          <w:tcPr>
            <w:tcW w:w="900" w:type="dxa"/>
            <w:vMerge w:val="restart"/>
            <w:tcBorders>
              <w:right w:val="single" w:sz="8" w:space="0" w:color="auto"/>
            </w:tcBorders>
            <w:vAlign w:val="center"/>
          </w:tcPr>
          <w:p w14:paraId="2819F2E5" w14:textId="77777777" w:rsidR="0066257B" w:rsidRPr="00912BE7" w:rsidRDefault="0066257B" w:rsidP="00912BE7">
            <w:pPr>
              <w:jc w:val="center"/>
              <w:rPr>
                <w:sz w:val="24"/>
                <w:szCs w:val="24"/>
              </w:rPr>
            </w:pPr>
          </w:p>
        </w:tc>
        <w:tc>
          <w:tcPr>
            <w:tcW w:w="1440" w:type="dxa"/>
            <w:vMerge w:val="restart"/>
            <w:tcBorders>
              <w:right w:val="single" w:sz="8" w:space="0" w:color="auto"/>
            </w:tcBorders>
            <w:vAlign w:val="center"/>
          </w:tcPr>
          <w:p w14:paraId="2819F2E6" w14:textId="77777777" w:rsidR="0066257B" w:rsidRPr="00912BE7" w:rsidRDefault="0066257B" w:rsidP="00912BE7">
            <w:pPr>
              <w:jc w:val="center"/>
              <w:rPr>
                <w:sz w:val="24"/>
                <w:szCs w:val="24"/>
              </w:rPr>
            </w:pPr>
          </w:p>
        </w:tc>
        <w:tc>
          <w:tcPr>
            <w:tcW w:w="1000" w:type="dxa"/>
            <w:vMerge w:val="restart"/>
            <w:tcBorders>
              <w:right w:val="single" w:sz="8" w:space="0" w:color="auto"/>
            </w:tcBorders>
            <w:vAlign w:val="center"/>
          </w:tcPr>
          <w:p w14:paraId="2819F2E7" w14:textId="77777777" w:rsidR="0066257B" w:rsidRPr="00912BE7" w:rsidRDefault="0066257B" w:rsidP="00912BE7">
            <w:pPr>
              <w:jc w:val="center"/>
              <w:rPr>
                <w:sz w:val="24"/>
                <w:szCs w:val="24"/>
              </w:rPr>
            </w:pPr>
            <w:r w:rsidRPr="00912BE7">
              <w:rPr>
                <w:rFonts w:eastAsia="Times New Roman"/>
                <w:sz w:val="24"/>
                <w:szCs w:val="24"/>
              </w:rPr>
              <w:t>X</w:t>
            </w:r>
          </w:p>
        </w:tc>
        <w:tc>
          <w:tcPr>
            <w:tcW w:w="680" w:type="dxa"/>
            <w:vMerge w:val="restart"/>
            <w:tcBorders>
              <w:right w:val="single" w:sz="8" w:space="0" w:color="auto"/>
            </w:tcBorders>
            <w:vAlign w:val="center"/>
          </w:tcPr>
          <w:p w14:paraId="2819F2E8" w14:textId="77777777" w:rsidR="0066257B" w:rsidRPr="00912BE7" w:rsidRDefault="0066257B" w:rsidP="00912BE7">
            <w:pPr>
              <w:jc w:val="center"/>
              <w:rPr>
                <w:sz w:val="24"/>
                <w:szCs w:val="24"/>
              </w:rPr>
            </w:pPr>
          </w:p>
        </w:tc>
      </w:tr>
      <w:tr w:rsidR="0066257B" w14:paraId="2819F2F5" w14:textId="77777777" w:rsidTr="00912BE7">
        <w:trPr>
          <w:trHeight w:val="250"/>
        </w:trPr>
        <w:tc>
          <w:tcPr>
            <w:tcW w:w="2920" w:type="dxa"/>
            <w:vMerge/>
            <w:tcBorders>
              <w:left w:val="single" w:sz="8" w:space="0" w:color="auto"/>
              <w:right w:val="single" w:sz="8" w:space="0" w:color="auto"/>
            </w:tcBorders>
            <w:vAlign w:val="center"/>
          </w:tcPr>
          <w:p w14:paraId="2819F2EB" w14:textId="77777777" w:rsidR="0066257B" w:rsidRDefault="0066257B" w:rsidP="00912BE7">
            <w:pPr>
              <w:rPr>
                <w:sz w:val="21"/>
                <w:szCs w:val="21"/>
              </w:rPr>
            </w:pPr>
          </w:p>
        </w:tc>
        <w:tc>
          <w:tcPr>
            <w:tcW w:w="1360" w:type="dxa"/>
            <w:vMerge/>
            <w:tcBorders>
              <w:right w:val="single" w:sz="8" w:space="0" w:color="auto"/>
            </w:tcBorders>
            <w:vAlign w:val="center"/>
          </w:tcPr>
          <w:p w14:paraId="2819F2EC" w14:textId="77777777" w:rsidR="0066257B" w:rsidRDefault="0066257B" w:rsidP="00912BE7">
            <w:pPr>
              <w:jc w:val="center"/>
              <w:rPr>
                <w:sz w:val="21"/>
                <w:szCs w:val="21"/>
              </w:rPr>
            </w:pPr>
          </w:p>
        </w:tc>
        <w:tc>
          <w:tcPr>
            <w:tcW w:w="980" w:type="dxa"/>
            <w:vMerge/>
            <w:tcBorders>
              <w:right w:val="single" w:sz="8" w:space="0" w:color="auto"/>
            </w:tcBorders>
            <w:vAlign w:val="center"/>
          </w:tcPr>
          <w:p w14:paraId="2819F2ED" w14:textId="77777777" w:rsidR="0066257B" w:rsidRDefault="0066257B" w:rsidP="00912BE7">
            <w:pPr>
              <w:jc w:val="center"/>
              <w:rPr>
                <w:sz w:val="21"/>
                <w:szCs w:val="21"/>
              </w:rPr>
            </w:pPr>
          </w:p>
        </w:tc>
        <w:tc>
          <w:tcPr>
            <w:tcW w:w="820" w:type="dxa"/>
            <w:vMerge/>
            <w:tcBorders>
              <w:right w:val="single" w:sz="8" w:space="0" w:color="auto"/>
            </w:tcBorders>
            <w:vAlign w:val="center"/>
          </w:tcPr>
          <w:p w14:paraId="2819F2EE" w14:textId="77777777" w:rsidR="0066257B" w:rsidRDefault="0066257B" w:rsidP="00912BE7">
            <w:pPr>
              <w:jc w:val="center"/>
              <w:rPr>
                <w:sz w:val="21"/>
                <w:szCs w:val="21"/>
              </w:rPr>
            </w:pPr>
          </w:p>
        </w:tc>
        <w:tc>
          <w:tcPr>
            <w:tcW w:w="1080" w:type="dxa"/>
            <w:vMerge/>
            <w:tcBorders>
              <w:right w:val="single" w:sz="8" w:space="0" w:color="auto"/>
            </w:tcBorders>
            <w:vAlign w:val="center"/>
          </w:tcPr>
          <w:p w14:paraId="2819F2EF" w14:textId="77777777" w:rsidR="0066257B" w:rsidRDefault="0066257B" w:rsidP="00912BE7">
            <w:pPr>
              <w:jc w:val="center"/>
              <w:rPr>
                <w:sz w:val="21"/>
                <w:szCs w:val="21"/>
              </w:rPr>
            </w:pPr>
          </w:p>
        </w:tc>
        <w:tc>
          <w:tcPr>
            <w:tcW w:w="900" w:type="dxa"/>
            <w:vMerge/>
            <w:tcBorders>
              <w:right w:val="single" w:sz="8" w:space="0" w:color="auto"/>
            </w:tcBorders>
            <w:vAlign w:val="center"/>
          </w:tcPr>
          <w:p w14:paraId="2819F2F0" w14:textId="77777777" w:rsidR="0066257B" w:rsidRPr="00912BE7" w:rsidRDefault="0066257B" w:rsidP="00912BE7">
            <w:pPr>
              <w:jc w:val="center"/>
              <w:rPr>
                <w:sz w:val="24"/>
                <w:szCs w:val="24"/>
              </w:rPr>
            </w:pPr>
          </w:p>
        </w:tc>
        <w:tc>
          <w:tcPr>
            <w:tcW w:w="1440" w:type="dxa"/>
            <w:vMerge/>
            <w:tcBorders>
              <w:right w:val="single" w:sz="8" w:space="0" w:color="auto"/>
            </w:tcBorders>
            <w:vAlign w:val="center"/>
          </w:tcPr>
          <w:p w14:paraId="2819F2F1" w14:textId="77777777" w:rsidR="0066257B" w:rsidRPr="00912BE7" w:rsidRDefault="0066257B" w:rsidP="00912BE7">
            <w:pPr>
              <w:jc w:val="center"/>
              <w:rPr>
                <w:sz w:val="24"/>
                <w:szCs w:val="24"/>
              </w:rPr>
            </w:pPr>
          </w:p>
        </w:tc>
        <w:tc>
          <w:tcPr>
            <w:tcW w:w="1000" w:type="dxa"/>
            <w:vMerge/>
            <w:tcBorders>
              <w:right w:val="single" w:sz="8" w:space="0" w:color="auto"/>
            </w:tcBorders>
            <w:vAlign w:val="center"/>
          </w:tcPr>
          <w:p w14:paraId="2819F2F2" w14:textId="77777777" w:rsidR="0066257B" w:rsidRPr="00912BE7" w:rsidRDefault="0066257B" w:rsidP="00912BE7">
            <w:pPr>
              <w:jc w:val="center"/>
              <w:rPr>
                <w:sz w:val="24"/>
                <w:szCs w:val="24"/>
              </w:rPr>
            </w:pPr>
          </w:p>
        </w:tc>
        <w:tc>
          <w:tcPr>
            <w:tcW w:w="680" w:type="dxa"/>
            <w:vMerge/>
            <w:tcBorders>
              <w:right w:val="single" w:sz="8" w:space="0" w:color="auto"/>
            </w:tcBorders>
            <w:vAlign w:val="center"/>
          </w:tcPr>
          <w:p w14:paraId="2819F2F3" w14:textId="77777777" w:rsidR="0066257B" w:rsidRPr="00912BE7" w:rsidRDefault="0066257B" w:rsidP="00912BE7">
            <w:pPr>
              <w:jc w:val="center"/>
              <w:rPr>
                <w:sz w:val="24"/>
                <w:szCs w:val="24"/>
              </w:rPr>
            </w:pPr>
          </w:p>
        </w:tc>
      </w:tr>
      <w:tr w:rsidR="0066257B" w14:paraId="2819F30C" w14:textId="77777777" w:rsidTr="00912BE7">
        <w:trPr>
          <w:trHeight w:val="251"/>
        </w:trPr>
        <w:tc>
          <w:tcPr>
            <w:tcW w:w="2920" w:type="dxa"/>
            <w:tcBorders>
              <w:left w:val="single" w:sz="8" w:space="0" w:color="auto"/>
              <w:right w:val="single" w:sz="8" w:space="0" w:color="auto"/>
            </w:tcBorders>
            <w:vAlign w:val="center"/>
          </w:tcPr>
          <w:p w14:paraId="2819F302" w14:textId="77777777" w:rsidR="0066257B" w:rsidRDefault="0066257B" w:rsidP="00912BE7">
            <w:pPr>
              <w:spacing w:line="251" w:lineRule="exact"/>
              <w:rPr>
                <w:sz w:val="20"/>
                <w:szCs w:val="20"/>
              </w:rPr>
            </w:pPr>
            <w:r>
              <w:rPr>
                <w:rFonts w:eastAsia="Times New Roman"/>
              </w:rPr>
              <w:t>DPD Ferrous Titrimetric</w:t>
            </w:r>
          </w:p>
        </w:tc>
        <w:tc>
          <w:tcPr>
            <w:tcW w:w="1360" w:type="dxa"/>
            <w:tcBorders>
              <w:right w:val="single" w:sz="8" w:space="0" w:color="auto"/>
            </w:tcBorders>
            <w:vAlign w:val="center"/>
          </w:tcPr>
          <w:p w14:paraId="2819F303" w14:textId="77777777" w:rsidR="0066257B" w:rsidRDefault="0066257B" w:rsidP="00912BE7">
            <w:pPr>
              <w:spacing w:line="251" w:lineRule="exact"/>
              <w:jc w:val="center"/>
              <w:rPr>
                <w:sz w:val="20"/>
                <w:szCs w:val="20"/>
              </w:rPr>
            </w:pPr>
            <w:r>
              <w:rPr>
                <w:rFonts w:eastAsia="Times New Roman"/>
              </w:rPr>
              <w:t>4500-Cl F</w:t>
            </w:r>
          </w:p>
        </w:tc>
        <w:tc>
          <w:tcPr>
            <w:tcW w:w="980" w:type="dxa"/>
            <w:tcBorders>
              <w:right w:val="single" w:sz="8" w:space="0" w:color="auto"/>
            </w:tcBorders>
            <w:vAlign w:val="center"/>
          </w:tcPr>
          <w:p w14:paraId="2819F304" w14:textId="5BEAB9ED" w:rsidR="0066257B" w:rsidRDefault="0066257B" w:rsidP="00912BE7">
            <w:pPr>
              <w:spacing w:line="251" w:lineRule="exact"/>
              <w:jc w:val="center"/>
              <w:rPr>
                <w:sz w:val="20"/>
                <w:szCs w:val="20"/>
              </w:rPr>
            </w:pPr>
            <w:r>
              <w:rPr>
                <w:rFonts w:eastAsia="Times New Roman"/>
              </w:rPr>
              <w:t>4500-Cl F-00</w:t>
            </w:r>
          </w:p>
        </w:tc>
        <w:tc>
          <w:tcPr>
            <w:tcW w:w="820" w:type="dxa"/>
            <w:tcBorders>
              <w:right w:val="single" w:sz="8" w:space="0" w:color="auto"/>
            </w:tcBorders>
            <w:vAlign w:val="center"/>
          </w:tcPr>
          <w:p w14:paraId="2819F305" w14:textId="77777777" w:rsidR="0066257B" w:rsidRDefault="0066257B" w:rsidP="00912BE7">
            <w:pPr>
              <w:jc w:val="center"/>
              <w:rPr>
                <w:sz w:val="21"/>
                <w:szCs w:val="21"/>
              </w:rPr>
            </w:pPr>
          </w:p>
        </w:tc>
        <w:tc>
          <w:tcPr>
            <w:tcW w:w="1080" w:type="dxa"/>
            <w:tcBorders>
              <w:right w:val="single" w:sz="8" w:space="0" w:color="auto"/>
            </w:tcBorders>
            <w:vAlign w:val="center"/>
          </w:tcPr>
          <w:p w14:paraId="2819F306" w14:textId="77777777" w:rsidR="0066257B" w:rsidRDefault="0066257B" w:rsidP="00912BE7">
            <w:pPr>
              <w:jc w:val="center"/>
              <w:rPr>
                <w:sz w:val="21"/>
                <w:szCs w:val="21"/>
              </w:rPr>
            </w:pPr>
          </w:p>
        </w:tc>
        <w:tc>
          <w:tcPr>
            <w:tcW w:w="900" w:type="dxa"/>
            <w:tcBorders>
              <w:right w:val="single" w:sz="8" w:space="0" w:color="auto"/>
            </w:tcBorders>
            <w:vAlign w:val="center"/>
          </w:tcPr>
          <w:p w14:paraId="2819F307"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440" w:type="dxa"/>
            <w:tcBorders>
              <w:right w:val="single" w:sz="8" w:space="0" w:color="auto"/>
            </w:tcBorders>
            <w:vAlign w:val="center"/>
          </w:tcPr>
          <w:p w14:paraId="2819F308"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000" w:type="dxa"/>
            <w:tcBorders>
              <w:right w:val="single" w:sz="8" w:space="0" w:color="auto"/>
            </w:tcBorders>
            <w:vAlign w:val="center"/>
          </w:tcPr>
          <w:p w14:paraId="2819F309"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680" w:type="dxa"/>
            <w:tcBorders>
              <w:right w:val="single" w:sz="8" w:space="0" w:color="auto"/>
            </w:tcBorders>
            <w:vAlign w:val="center"/>
          </w:tcPr>
          <w:p w14:paraId="2819F30A" w14:textId="77777777" w:rsidR="0066257B" w:rsidRPr="00912BE7" w:rsidRDefault="0066257B" w:rsidP="00912BE7">
            <w:pPr>
              <w:jc w:val="center"/>
              <w:rPr>
                <w:sz w:val="24"/>
                <w:szCs w:val="24"/>
              </w:rPr>
            </w:pPr>
          </w:p>
        </w:tc>
      </w:tr>
      <w:tr w:rsidR="0066257B" w14:paraId="2819F323" w14:textId="77777777" w:rsidTr="00912BE7">
        <w:trPr>
          <w:trHeight w:val="251"/>
        </w:trPr>
        <w:tc>
          <w:tcPr>
            <w:tcW w:w="2920" w:type="dxa"/>
            <w:tcBorders>
              <w:left w:val="single" w:sz="8" w:space="0" w:color="auto"/>
              <w:right w:val="single" w:sz="8" w:space="0" w:color="auto"/>
            </w:tcBorders>
            <w:vAlign w:val="center"/>
          </w:tcPr>
          <w:p w14:paraId="2819F319" w14:textId="77777777" w:rsidR="0066257B" w:rsidRDefault="0066257B" w:rsidP="00912BE7">
            <w:pPr>
              <w:spacing w:line="251" w:lineRule="exact"/>
              <w:rPr>
                <w:sz w:val="20"/>
                <w:szCs w:val="20"/>
              </w:rPr>
            </w:pPr>
            <w:r>
              <w:rPr>
                <w:rFonts w:eastAsia="Times New Roman"/>
              </w:rPr>
              <w:t>DPD Colorimetric</w:t>
            </w:r>
          </w:p>
        </w:tc>
        <w:tc>
          <w:tcPr>
            <w:tcW w:w="1360" w:type="dxa"/>
            <w:tcBorders>
              <w:right w:val="single" w:sz="8" w:space="0" w:color="auto"/>
            </w:tcBorders>
            <w:vAlign w:val="center"/>
          </w:tcPr>
          <w:p w14:paraId="2819F31A" w14:textId="77777777" w:rsidR="0066257B" w:rsidRDefault="0066257B" w:rsidP="00912BE7">
            <w:pPr>
              <w:spacing w:line="251" w:lineRule="exact"/>
              <w:jc w:val="center"/>
              <w:rPr>
                <w:sz w:val="20"/>
                <w:szCs w:val="20"/>
              </w:rPr>
            </w:pPr>
            <w:r>
              <w:rPr>
                <w:rFonts w:eastAsia="Times New Roman"/>
              </w:rPr>
              <w:t>4500-Cl G</w:t>
            </w:r>
          </w:p>
        </w:tc>
        <w:tc>
          <w:tcPr>
            <w:tcW w:w="980" w:type="dxa"/>
            <w:tcBorders>
              <w:right w:val="single" w:sz="8" w:space="0" w:color="auto"/>
            </w:tcBorders>
            <w:vAlign w:val="center"/>
          </w:tcPr>
          <w:p w14:paraId="2819F31B" w14:textId="0DFEC56E" w:rsidR="0066257B" w:rsidRDefault="0066257B" w:rsidP="00912BE7">
            <w:pPr>
              <w:spacing w:line="251" w:lineRule="exact"/>
              <w:jc w:val="center"/>
              <w:rPr>
                <w:sz w:val="20"/>
                <w:szCs w:val="20"/>
              </w:rPr>
            </w:pPr>
            <w:r>
              <w:rPr>
                <w:rFonts w:eastAsia="Times New Roman"/>
              </w:rPr>
              <w:t>4500-Cl G-00</w:t>
            </w:r>
          </w:p>
        </w:tc>
        <w:tc>
          <w:tcPr>
            <w:tcW w:w="820" w:type="dxa"/>
            <w:tcBorders>
              <w:right w:val="single" w:sz="8" w:space="0" w:color="auto"/>
            </w:tcBorders>
            <w:vAlign w:val="center"/>
          </w:tcPr>
          <w:p w14:paraId="2819F31C" w14:textId="77777777" w:rsidR="0066257B" w:rsidRDefault="0066257B" w:rsidP="00912BE7">
            <w:pPr>
              <w:jc w:val="center"/>
              <w:rPr>
                <w:sz w:val="21"/>
                <w:szCs w:val="21"/>
              </w:rPr>
            </w:pPr>
          </w:p>
        </w:tc>
        <w:tc>
          <w:tcPr>
            <w:tcW w:w="1080" w:type="dxa"/>
            <w:tcBorders>
              <w:right w:val="single" w:sz="8" w:space="0" w:color="auto"/>
            </w:tcBorders>
            <w:vAlign w:val="center"/>
          </w:tcPr>
          <w:p w14:paraId="2819F31D" w14:textId="77777777" w:rsidR="0066257B" w:rsidRDefault="0066257B" w:rsidP="00912BE7">
            <w:pPr>
              <w:jc w:val="center"/>
              <w:rPr>
                <w:sz w:val="21"/>
                <w:szCs w:val="21"/>
              </w:rPr>
            </w:pPr>
          </w:p>
        </w:tc>
        <w:tc>
          <w:tcPr>
            <w:tcW w:w="900" w:type="dxa"/>
            <w:tcBorders>
              <w:right w:val="single" w:sz="8" w:space="0" w:color="auto"/>
            </w:tcBorders>
            <w:vAlign w:val="center"/>
          </w:tcPr>
          <w:p w14:paraId="2819F31E"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440" w:type="dxa"/>
            <w:tcBorders>
              <w:right w:val="single" w:sz="8" w:space="0" w:color="auto"/>
            </w:tcBorders>
            <w:vAlign w:val="center"/>
          </w:tcPr>
          <w:p w14:paraId="2819F31F"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000" w:type="dxa"/>
            <w:tcBorders>
              <w:right w:val="single" w:sz="8" w:space="0" w:color="auto"/>
            </w:tcBorders>
            <w:vAlign w:val="center"/>
          </w:tcPr>
          <w:p w14:paraId="2819F320"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680" w:type="dxa"/>
            <w:tcBorders>
              <w:right w:val="single" w:sz="8" w:space="0" w:color="auto"/>
            </w:tcBorders>
            <w:vAlign w:val="center"/>
          </w:tcPr>
          <w:p w14:paraId="2819F321" w14:textId="77777777" w:rsidR="0066257B" w:rsidRPr="00912BE7" w:rsidRDefault="0066257B" w:rsidP="00912BE7">
            <w:pPr>
              <w:jc w:val="center"/>
              <w:rPr>
                <w:sz w:val="24"/>
                <w:szCs w:val="24"/>
              </w:rPr>
            </w:pPr>
          </w:p>
        </w:tc>
      </w:tr>
      <w:tr w:rsidR="0066257B" w14:paraId="2819F33B" w14:textId="77777777" w:rsidTr="00912BE7">
        <w:trPr>
          <w:trHeight w:val="251"/>
        </w:trPr>
        <w:tc>
          <w:tcPr>
            <w:tcW w:w="2920" w:type="dxa"/>
            <w:tcBorders>
              <w:left w:val="single" w:sz="8" w:space="0" w:color="auto"/>
              <w:right w:val="single" w:sz="8" w:space="0" w:color="auto"/>
            </w:tcBorders>
            <w:vAlign w:val="center"/>
          </w:tcPr>
          <w:p w14:paraId="2819F330" w14:textId="77777777" w:rsidR="0066257B" w:rsidRDefault="0066257B" w:rsidP="00912BE7">
            <w:pPr>
              <w:spacing w:line="251" w:lineRule="exact"/>
              <w:rPr>
                <w:sz w:val="20"/>
                <w:szCs w:val="20"/>
              </w:rPr>
            </w:pPr>
            <w:r>
              <w:rPr>
                <w:rFonts w:eastAsia="Times New Roman"/>
              </w:rPr>
              <w:t>Syringaldazine (FACTS)</w:t>
            </w:r>
          </w:p>
        </w:tc>
        <w:tc>
          <w:tcPr>
            <w:tcW w:w="1360" w:type="dxa"/>
            <w:tcBorders>
              <w:right w:val="single" w:sz="8" w:space="0" w:color="auto"/>
            </w:tcBorders>
            <w:vAlign w:val="center"/>
          </w:tcPr>
          <w:p w14:paraId="2819F331" w14:textId="77777777" w:rsidR="0066257B" w:rsidRDefault="0066257B" w:rsidP="00912BE7">
            <w:pPr>
              <w:spacing w:line="251" w:lineRule="exact"/>
              <w:jc w:val="center"/>
              <w:rPr>
                <w:sz w:val="20"/>
                <w:szCs w:val="20"/>
              </w:rPr>
            </w:pPr>
            <w:r>
              <w:rPr>
                <w:rFonts w:eastAsia="Times New Roman"/>
              </w:rPr>
              <w:t>4500-Cl H</w:t>
            </w:r>
          </w:p>
        </w:tc>
        <w:tc>
          <w:tcPr>
            <w:tcW w:w="980" w:type="dxa"/>
            <w:tcBorders>
              <w:right w:val="single" w:sz="8" w:space="0" w:color="auto"/>
            </w:tcBorders>
            <w:vAlign w:val="center"/>
          </w:tcPr>
          <w:p w14:paraId="2819F332" w14:textId="1024756D" w:rsidR="0066257B" w:rsidRDefault="0066257B" w:rsidP="00912BE7">
            <w:pPr>
              <w:spacing w:line="251" w:lineRule="exact"/>
              <w:jc w:val="center"/>
              <w:rPr>
                <w:sz w:val="20"/>
                <w:szCs w:val="20"/>
              </w:rPr>
            </w:pPr>
            <w:r>
              <w:rPr>
                <w:rFonts w:eastAsia="Times New Roman"/>
              </w:rPr>
              <w:t>4500-Cl H-00</w:t>
            </w:r>
          </w:p>
        </w:tc>
        <w:tc>
          <w:tcPr>
            <w:tcW w:w="820" w:type="dxa"/>
            <w:tcBorders>
              <w:right w:val="single" w:sz="8" w:space="0" w:color="auto"/>
            </w:tcBorders>
            <w:vAlign w:val="center"/>
          </w:tcPr>
          <w:p w14:paraId="2819F333" w14:textId="77777777" w:rsidR="0066257B" w:rsidRDefault="0066257B" w:rsidP="00912BE7">
            <w:pPr>
              <w:jc w:val="center"/>
              <w:rPr>
                <w:sz w:val="21"/>
                <w:szCs w:val="21"/>
              </w:rPr>
            </w:pPr>
          </w:p>
        </w:tc>
        <w:tc>
          <w:tcPr>
            <w:tcW w:w="1080" w:type="dxa"/>
            <w:tcBorders>
              <w:right w:val="single" w:sz="8" w:space="0" w:color="auto"/>
            </w:tcBorders>
            <w:vAlign w:val="center"/>
          </w:tcPr>
          <w:p w14:paraId="2819F334" w14:textId="77777777" w:rsidR="0066257B" w:rsidRDefault="0066257B" w:rsidP="00912BE7">
            <w:pPr>
              <w:jc w:val="center"/>
              <w:rPr>
                <w:sz w:val="21"/>
                <w:szCs w:val="21"/>
              </w:rPr>
            </w:pPr>
          </w:p>
        </w:tc>
        <w:tc>
          <w:tcPr>
            <w:tcW w:w="900" w:type="dxa"/>
            <w:tcBorders>
              <w:right w:val="single" w:sz="8" w:space="0" w:color="auto"/>
            </w:tcBorders>
            <w:vAlign w:val="center"/>
          </w:tcPr>
          <w:p w14:paraId="2819F335"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440" w:type="dxa"/>
            <w:tcBorders>
              <w:right w:val="single" w:sz="8" w:space="0" w:color="auto"/>
            </w:tcBorders>
            <w:vAlign w:val="center"/>
          </w:tcPr>
          <w:p w14:paraId="2819F336"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38" w14:textId="77777777" w:rsidR="0066257B" w:rsidRPr="00912BE7" w:rsidRDefault="0066257B" w:rsidP="00912BE7">
            <w:pPr>
              <w:jc w:val="center"/>
              <w:rPr>
                <w:sz w:val="24"/>
                <w:szCs w:val="24"/>
              </w:rPr>
            </w:pPr>
          </w:p>
        </w:tc>
        <w:tc>
          <w:tcPr>
            <w:tcW w:w="680" w:type="dxa"/>
            <w:tcBorders>
              <w:right w:val="single" w:sz="8" w:space="0" w:color="auto"/>
            </w:tcBorders>
            <w:vAlign w:val="center"/>
          </w:tcPr>
          <w:p w14:paraId="2819F339" w14:textId="77777777" w:rsidR="0066257B" w:rsidRPr="00912BE7" w:rsidRDefault="0066257B" w:rsidP="00912BE7">
            <w:pPr>
              <w:jc w:val="center"/>
              <w:rPr>
                <w:sz w:val="24"/>
                <w:szCs w:val="24"/>
              </w:rPr>
            </w:pPr>
          </w:p>
        </w:tc>
      </w:tr>
      <w:tr w:rsidR="0066257B" w14:paraId="2819F352" w14:textId="77777777" w:rsidTr="00912BE7">
        <w:trPr>
          <w:trHeight w:val="251"/>
        </w:trPr>
        <w:tc>
          <w:tcPr>
            <w:tcW w:w="2920" w:type="dxa"/>
            <w:tcBorders>
              <w:left w:val="single" w:sz="8" w:space="0" w:color="auto"/>
              <w:right w:val="single" w:sz="8" w:space="0" w:color="auto"/>
            </w:tcBorders>
            <w:vAlign w:val="center"/>
          </w:tcPr>
          <w:p w14:paraId="2819F348" w14:textId="77777777" w:rsidR="0066257B" w:rsidRDefault="0066257B" w:rsidP="00912BE7">
            <w:pPr>
              <w:spacing w:line="251" w:lineRule="exact"/>
              <w:rPr>
                <w:sz w:val="20"/>
                <w:szCs w:val="20"/>
              </w:rPr>
            </w:pPr>
            <w:r>
              <w:rPr>
                <w:rFonts w:eastAsia="Times New Roman"/>
              </w:rPr>
              <w:t>Iodometric Electrode</w:t>
            </w:r>
          </w:p>
        </w:tc>
        <w:tc>
          <w:tcPr>
            <w:tcW w:w="1360" w:type="dxa"/>
            <w:tcBorders>
              <w:right w:val="single" w:sz="8" w:space="0" w:color="auto"/>
            </w:tcBorders>
            <w:vAlign w:val="center"/>
          </w:tcPr>
          <w:p w14:paraId="2819F349" w14:textId="77777777" w:rsidR="0066257B" w:rsidRDefault="0066257B" w:rsidP="00912BE7">
            <w:pPr>
              <w:spacing w:line="251" w:lineRule="exact"/>
              <w:jc w:val="center"/>
              <w:rPr>
                <w:sz w:val="20"/>
                <w:szCs w:val="20"/>
              </w:rPr>
            </w:pPr>
            <w:r>
              <w:rPr>
                <w:rFonts w:eastAsia="Times New Roman"/>
              </w:rPr>
              <w:t>4500-Cl I</w:t>
            </w:r>
          </w:p>
        </w:tc>
        <w:tc>
          <w:tcPr>
            <w:tcW w:w="980" w:type="dxa"/>
            <w:tcBorders>
              <w:right w:val="single" w:sz="8" w:space="0" w:color="auto"/>
            </w:tcBorders>
            <w:vAlign w:val="center"/>
          </w:tcPr>
          <w:p w14:paraId="2819F34A" w14:textId="162AAA2B" w:rsidR="0066257B" w:rsidRDefault="0066257B" w:rsidP="00912BE7">
            <w:pPr>
              <w:spacing w:line="251" w:lineRule="exact"/>
              <w:jc w:val="center"/>
              <w:rPr>
                <w:sz w:val="20"/>
                <w:szCs w:val="20"/>
              </w:rPr>
            </w:pPr>
            <w:r>
              <w:rPr>
                <w:rFonts w:eastAsia="Times New Roman"/>
              </w:rPr>
              <w:t>4500-Cl I-00</w:t>
            </w:r>
          </w:p>
        </w:tc>
        <w:tc>
          <w:tcPr>
            <w:tcW w:w="820" w:type="dxa"/>
            <w:tcBorders>
              <w:right w:val="single" w:sz="8" w:space="0" w:color="auto"/>
            </w:tcBorders>
            <w:vAlign w:val="center"/>
          </w:tcPr>
          <w:p w14:paraId="2819F34B" w14:textId="77777777" w:rsidR="0066257B" w:rsidRDefault="0066257B" w:rsidP="00912BE7">
            <w:pPr>
              <w:jc w:val="center"/>
              <w:rPr>
                <w:sz w:val="21"/>
                <w:szCs w:val="21"/>
              </w:rPr>
            </w:pPr>
          </w:p>
        </w:tc>
        <w:tc>
          <w:tcPr>
            <w:tcW w:w="1080" w:type="dxa"/>
            <w:tcBorders>
              <w:right w:val="single" w:sz="8" w:space="0" w:color="auto"/>
            </w:tcBorders>
            <w:vAlign w:val="center"/>
          </w:tcPr>
          <w:p w14:paraId="2819F34C" w14:textId="77777777" w:rsidR="0066257B" w:rsidRDefault="0066257B" w:rsidP="00912BE7">
            <w:pPr>
              <w:jc w:val="center"/>
              <w:rPr>
                <w:sz w:val="21"/>
                <w:szCs w:val="21"/>
              </w:rPr>
            </w:pPr>
          </w:p>
        </w:tc>
        <w:tc>
          <w:tcPr>
            <w:tcW w:w="900" w:type="dxa"/>
            <w:tcBorders>
              <w:right w:val="single" w:sz="8" w:space="0" w:color="auto"/>
            </w:tcBorders>
            <w:vAlign w:val="center"/>
          </w:tcPr>
          <w:p w14:paraId="2819F34D" w14:textId="77777777" w:rsidR="0066257B" w:rsidRPr="00912BE7" w:rsidRDefault="0066257B" w:rsidP="00912BE7">
            <w:pPr>
              <w:jc w:val="center"/>
              <w:rPr>
                <w:sz w:val="24"/>
                <w:szCs w:val="24"/>
              </w:rPr>
            </w:pPr>
          </w:p>
        </w:tc>
        <w:tc>
          <w:tcPr>
            <w:tcW w:w="1440" w:type="dxa"/>
            <w:tcBorders>
              <w:right w:val="single" w:sz="8" w:space="0" w:color="auto"/>
            </w:tcBorders>
            <w:vAlign w:val="center"/>
          </w:tcPr>
          <w:p w14:paraId="2819F34E"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4F"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680" w:type="dxa"/>
            <w:tcBorders>
              <w:right w:val="single" w:sz="8" w:space="0" w:color="auto"/>
            </w:tcBorders>
            <w:vAlign w:val="center"/>
          </w:tcPr>
          <w:p w14:paraId="2819F350" w14:textId="77777777" w:rsidR="0066257B" w:rsidRPr="00912BE7" w:rsidRDefault="0066257B" w:rsidP="00912BE7">
            <w:pPr>
              <w:jc w:val="center"/>
              <w:rPr>
                <w:sz w:val="24"/>
                <w:szCs w:val="24"/>
              </w:rPr>
            </w:pPr>
          </w:p>
        </w:tc>
      </w:tr>
      <w:tr w:rsidR="0066257B" w14:paraId="2819F36A" w14:textId="77777777" w:rsidTr="00912BE7">
        <w:trPr>
          <w:trHeight w:val="287"/>
        </w:trPr>
        <w:tc>
          <w:tcPr>
            <w:tcW w:w="2920" w:type="dxa"/>
            <w:tcBorders>
              <w:left w:val="single" w:sz="8" w:space="0" w:color="auto"/>
              <w:right w:val="single" w:sz="8" w:space="0" w:color="auto"/>
            </w:tcBorders>
            <w:vAlign w:val="center"/>
          </w:tcPr>
          <w:p w14:paraId="2819F35F" w14:textId="77777777" w:rsidR="0066257B" w:rsidRDefault="0066257B" w:rsidP="00912BE7">
            <w:pPr>
              <w:rPr>
                <w:sz w:val="20"/>
                <w:szCs w:val="20"/>
              </w:rPr>
            </w:pPr>
            <w:r>
              <w:rPr>
                <w:rFonts w:eastAsia="Times New Roman"/>
              </w:rPr>
              <w:t>DPD</w:t>
            </w:r>
          </w:p>
        </w:tc>
        <w:tc>
          <w:tcPr>
            <w:tcW w:w="1360" w:type="dxa"/>
            <w:tcBorders>
              <w:right w:val="single" w:sz="8" w:space="0" w:color="auto"/>
            </w:tcBorders>
            <w:vAlign w:val="center"/>
          </w:tcPr>
          <w:p w14:paraId="2819F360" w14:textId="6481F974" w:rsidR="0066257B" w:rsidRDefault="0066257B" w:rsidP="00912BE7">
            <w:pPr>
              <w:jc w:val="center"/>
              <w:rPr>
                <w:sz w:val="20"/>
                <w:szCs w:val="20"/>
              </w:rPr>
            </w:pPr>
            <w:r>
              <w:rPr>
                <w:rFonts w:eastAsia="Times New Roman"/>
              </w:rPr>
              <w:t>4500-ClO</w:t>
            </w:r>
            <w:r>
              <w:rPr>
                <w:rFonts w:eastAsia="Times New Roman"/>
                <w:vertAlign w:val="subscript"/>
              </w:rPr>
              <w:t>2</w:t>
            </w:r>
            <w:r>
              <w:rPr>
                <w:rFonts w:eastAsia="Times New Roman"/>
              </w:rPr>
              <w:t xml:space="preserve"> D</w:t>
            </w:r>
          </w:p>
        </w:tc>
        <w:tc>
          <w:tcPr>
            <w:tcW w:w="980" w:type="dxa"/>
            <w:tcBorders>
              <w:right w:val="single" w:sz="8" w:space="0" w:color="auto"/>
            </w:tcBorders>
            <w:vAlign w:val="center"/>
          </w:tcPr>
          <w:p w14:paraId="2819F361" w14:textId="77777777" w:rsidR="0066257B" w:rsidRDefault="0066257B" w:rsidP="00912BE7">
            <w:pPr>
              <w:jc w:val="center"/>
              <w:rPr>
                <w:sz w:val="24"/>
                <w:szCs w:val="24"/>
              </w:rPr>
            </w:pPr>
          </w:p>
        </w:tc>
        <w:tc>
          <w:tcPr>
            <w:tcW w:w="820" w:type="dxa"/>
            <w:tcBorders>
              <w:right w:val="single" w:sz="8" w:space="0" w:color="auto"/>
            </w:tcBorders>
            <w:vAlign w:val="center"/>
          </w:tcPr>
          <w:p w14:paraId="2819F362" w14:textId="77777777" w:rsidR="0066257B" w:rsidRDefault="0066257B" w:rsidP="00912BE7">
            <w:pPr>
              <w:jc w:val="center"/>
              <w:rPr>
                <w:sz w:val="24"/>
                <w:szCs w:val="24"/>
              </w:rPr>
            </w:pPr>
          </w:p>
        </w:tc>
        <w:tc>
          <w:tcPr>
            <w:tcW w:w="1080" w:type="dxa"/>
            <w:tcBorders>
              <w:right w:val="single" w:sz="8" w:space="0" w:color="auto"/>
            </w:tcBorders>
            <w:vAlign w:val="center"/>
          </w:tcPr>
          <w:p w14:paraId="2819F363" w14:textId="77777777" w:rsidR="0066257B" w:rsidRDefault="0066257B" w:rsidP="00912BE7">
            <w:pPr>
              <w:jc w:val="center"/>
              <w:rPr>
                <w:sz w:val="24"/>
                <w:szCs w:val="24"/>
              </w:rPr>
            </w:pPr>
          </w:p>
        </w:tc>
        <w:tc>
          <w:tcPr>
            <w:tcW w:w="900" w:type="dxa"/>
            <w:tcBorders>
              <w:right w:val="single" w:sz="8" w:space="0" w:color="auto"/>
            </w:tcBorders>
            <w:vAlign w:val="center"/>
          </w:tcPr>
          <w:p w14:paraId="2819F364" w14:textId="77777777" w:rsidR="0066257B" w:rsidRPr="00912BE7" w:rsidRDefault="0066257B" w:rsidP="00912BE7">
            <w:pPr>
              <w:jc w:val="center"/>
              <w:rPr>
                <w:sz w:val="24"/>
                <w:szCs w:val="24"/>
              </w:rPr>
            </w:pPr>
          </w:p>
        </w:tc>
        <w:tc>
          <w:tcPr>
            <w:tcW w:w="1440" w:type="dxa"/>
            <w:tcBorders>
              <w:right w:val="single" w:sz="8" w:space="0" w:color="auto"/>
            </w:tcBorders>
            <w:vAlign w:val="center"/>
          </w:tcPr>
          <w:p w14:paraId="2819F365"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67" w14:textId="77777777" w:rsidR="0066257B" w:rsidRPr="00912BE7" w:rsidRDefault="0066257B" w:rsidP="00912BE7">
            <w:pPr>
              <w:jc w:val="center"/>
              <w:rPr>
                <w:sz w:val="24"/>
                <w:szCs w:val="24"/>
              </w:rPr>
            </w:pPr>
          </w:p>
        </w:tc>
        <w:tc>
          <w:tcPr>
            <w:tcW w:w="680" w:type="dxa"/>
            <w:tcBorders>
              <w:right w:val="single" w:sz="8" w:space="0" w:color="auto"/>
            </w:tcBorders>
            <w:vAlign w:val="center"/>
          </w:tcPr>
          <w:p w14:paraId="2819F368" w14:textId="77777777" w:rsidR="0066257B" w:rsidRPr="00912BE7" w:rsidRDefault="0066257B" w:rsidP="00912BE7">
            <w:pPr>
              <w:spacing w:line="251" w:lineRule="exact"/>
              <w:jc w:val="center"/>
              <w:rPr>
                <w:rFonts w:eastAsia="Times New Roman"/>
                <w:sz w:val="24"/>
                <w:szCs w:val="24"/>
              </w:rPr>
            </w:pPr>
            <w:r w:rsidRPr="00912BE7">
              <w:rPr>
                <w:rFonts w:eastAsia="Times New Roman"/>
                <w:sz w:val="24"/>
                <w:szCs w:val="24"/>
              </w:rPr>
              <w:t>X</w:t>
            </w:r>
          </w:p>
        </w:tc>
      </w:tr>
      <w:tr w:rsidR="0066257B" w14:paraId="2819F376" w14:textId="77777777" w:rsidTr="00912BE7">
        <w:trPr>
          <w:trHeight w:val="249"/>
        </w:trPr>
        <w:tc>
          <w:tcPr>
            <w:tcW w:w="2920" w:type="dxa"/>
            <w:tcBorders>
              <w:left w:val="single" w:sz="8" w:space="0" w:color="auto"/>
              <w:right w:val="single" w:sz="8" w:space="0" w:color="auto"/>
            </w:tcBorders>
            <w:vAlign w:val="center"/>
          </w:tcPr>
          <w:p w14:paraId="2819F36B" w14:textId="77777777" w:rsidR="0066257B" w:rsidRDefault="0066257B" w:rsidP="00912BE7">
            <w:pPr>
              <w:spacing w:line="248" w:lineRule="exact"/>
              <w:rPr>
                <w:sz w:val="20"/>
                <w:szCs w:val="20"/>
              </w:rPr>
            </w:pPr>
            <w:r>
              <w:rPr>
                <w:rFonts w:eastAsia="Times New Roman"/>
              </w:rPr>
              <w:t>Amperometric Method II</w:t>
            </w:r>
          </w:p>
        </w:tc>
        <w:tc>
          <w:tcPr>
            <w:tcW w:w="1360" w:type="dxa"/>
            <w:tcBorders>
              <w:right w:val="single" w:sz="8" w:space="0" w:color="auto"/>
            </w:tcBorders>
            <w:vAlign w:val="center"/>
          </w:tcPr>
          <w:p w14:paraId="2819F36C" w14:textId="694BBF35" w:rsidR="0066257B" w:rsidRDefault="0066257B" w:rsidP="00912BE7">
            <w:pPr>
              <w:spacing w:line="248" w:lineRule="exact"/>
              <w:jc w:val="center"/>
              <w:rPr>
                <w:sz w:val="20"/>
                <w:szCs w:val="20"/>
              </w:rPr>
            </w:pPr>
            <w:r>
              <w:rPr>
                <w:rFonts w:eastAsia="Times New Roman"/>
              </w:rPr>
              <w:t>4500-ClO</w:t>
            </w:r>
            <w:r>
              <w:rPr>
                <w:rFonts w:eastAsia="Times New Roman"/>
                <w:vertAlign w:val="subscript"/>
              </w:rPr>
              <w:t>2</w:t>
            </w:r>
            <w:r>
              <w:rPr>
                <w:rFonts w:eastAsia="Times New Roman"/>
              </w:rPr>
              <w:t xml:space="preserve"> E</w:t>
            </w:r>
          </w:p>
        </w:tc>
        <w:tc>
          <w:tcPr>
            <w:tcW w:w="980" w:type="dxa"/>
            <w:tcBorders>
              <w:right w:val="single" w:sz="8" w:space="0" w:color="auto"/>
            </w:tcBorders>
            <w:vAlign w:val="center"/>
          </w:tcPr>
          <w:p w14:paraId="2819F36D" w14:textId="0F8889BA" w:rsidR="0066257B" w:rsidRDefault="0066257B" w:rsidP="00912BE7">
            <w:pPr>
              <w:spacing w:line="248" w:lineRule="exact"/>
              <w:jc w:val="center"/>
              <w:rPr>
                <w:sz w:val="20"/>
                <w:szCs w:val="20"/>
              </w:rPr>
            </w:pPr>
            <w:r>
              <w:rPr>
                <w:rFonts w:eastAsia="Times New Roman"/>
              </w:rPr>
              <w:t>4500-Cl</w:t>
            </w:r>
            <w:r w:rsidR="002668F3">
              <w:rPr>
                <w:rFonts w:eastAsia="Times New Roman"/>
              </w:rPr>
              <w:t xml:space="preserve"> O</w:t>
            </w:r>
            <w:r w:rsidR="002668F3">
              <w:rPr>
                <w:rFonts w:eastAsia="Times New Roman"/>
                <w:vertAlign w:val="subscript"/>
              </w:rPr>
              <w:t>2</w:t>
            </w:r>
            <w:r w:rsidR="002668F3">
              <w:rPr>
                <w:rFonts w:eastAsia="Times New Roman"/>
              </w:rPr>
              <w:t xml:space="preserve"> E-00</w:t>
            </w:r>
          </w:p>
        </w:tc>
        <w:tc>
          <w:tcPr>
            <w:tcW w:w="820" w:type="dxa"/>
            <w:tcBorders>
              <w:right w:val="single" w:sz="8" w:space="0" w:color="auto"/>
            </w:tcBorders>
            <w:vAlign w:val="center"/>
          </w:tcPr>
          <w:p w14:paraId="2819F36E" w14:textId="77777777" w:rsidR="0066257B" w:rsidRDefault="0066257B" w:rsidP="00912BE7">
            <w:pPr>
              <w:jc w:val="center"/>
              <w:rPr>
                <w:sz w:val="21"/>
                <w:szCs w:val="21"/>
              </w:rPr>
            </w:pPr>
          </w:p>
        </w:tc>
        <w:tc>
          <w:tcPr>
            <w:tcW w:w="1080" w:type="dxa"/>
            <w:tcBorders>
              <w:right w:val="single" w:sz="8" w:space="0" w:color="auto"/>
            </w:tcBorders>
            <w:vAlign w:val="center"/>
          </w:tcPr>
          <w:p w14:paraId="2819F36F" w14:textId="77777777" w:rsidR="0066257B" w:rsidRDefault="0066257B" w:rsidP="00912BE7">
            <w:pPr>
              <w:jc w:val="center"/>
              <w:rPr>
                <w:sz w:val="21"/>
                <w:szCs w:val="21"/>
              </w:rPr>
            </w:pPr>
          </w:p>
        </w:tc>
        <w:tc>
          <w:tcPr>
            <w:tcW w:w="900" w:type="dxa"/>
            <w:tcBorders>
              <w:right w:val="single" w:sz="8" w:space="0" w:color="auto"/>
            </w:tcBorders>
            <w:vAlign w:val="center"/>
          </w:tcPr>
          <w:p w14:paraId="2819F370" w14:textId="77777777" w:rsidR="0066257B" w:rsidRPr="00912BE7" w:rsidRDefault="0066257B" w:rsidP="00912BE7">
            <w:pPr>
              <w:jc w:val="center"/>
              <w:rPr>
                <w:sz w:val="24"/>
                <w:szCs w:val="24"/>
              </w:rPr>
            </w:pPr>
          </w:p>
        </w:tc>
        <w:tc>
          <w:tcPr>
            <w:tcW w:w="1440" w:type="dxa"/>
            <w:tcBorders>
              <w:right w:val="single" w:sz="8" w:space="0" w:color="auto"/>
            </w:tcBorders>
            <w:vAlign w:val="center"/>
          </w:tcPr>
          <w:p w14:paraId="2819F371"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73" w14:textId="77777777" w:rsidR="0066257B" w:rsidRPr="00912BE7" w:rsidRDefault="0066257B" w:rsidP="00912BE7">
            <w:pPr>
              <w:jc w:val="center"/>
              <w:rPr>
                <w:sz w:val="24"/>
                <w:szCs w:val="24"/>
              </w:rPr>
            </w:pPr>
          </w:p>
        </w:tc>
        <w:tc>
          <w:tcPr>
            <w:tcW w:w="680" w:type="dxa"/>
            <w:tcBorders>
              <w:right w:val="single" w:sz="8" w:space="0" w:color="auto"/>
            </w:tcBorders>
            <w:vAlign w:val="center"/>
          </w:tcPr>
          <w:p w14:paraId="2819F374" w14:textId="77777777" w:rsidR="0066257B" w:rsidRPr="00912BE7" w:rsidRDefault="0066257B" w:rsidP="00912BE7">
            <w:pPr>
              <w:spacing w:line="248" w:lineRule="exact"/>
              <w:jc w:val="center"/>
              <w:rPr>
                <w:sz w:val="24"/>
                <w:szCs w:val="24"/>
              </w:rPr>
            </w:pPr>
            <w:r w:rsidRPr="00912BE7">
              <w:rPr>
                <w:rFonts w:eastAsia="Times New Roman"/>
                <w:sz w:val="24"/>
                <w:szCs w:val="24"/>
              </w:rPr>
              <w:t>X</w:t>
            </w:r>
          </w:p>
        </w:tc>
      </w:tr>
      <w:tr w:rsidR="002668F3" w14:paraId="2819F382" w14:textId="77777777" w:rsidTr="00912BE7">
        <w:trPr>
          <w:trHeight w:val="545"/>
        </w:trPr>
        <w:tc>
          <w:tcPr>
            <w:tcW w:w="2920" w:type="dxa"/>
            <w:tcBorders>
              <w:left w:val="single" w:sz="8" w:space="0" w:color="auto"/>
              <w:right w:val="single" w:sz="8" w:space="0" w:color="auto"/>
            </w:tcBorders>
            <w:vAlign w:val="center"/>
          </w:tcPr>
          <w:p w14:paraId="2819F377" w14:textId="5D17B47E" w:rsidR="002668F3" w:rsidRDefault="002668F3" w:rsidP="00912BE7">
            <w:pPr>
              <w:rPr>
                <w:sz w:val="20"/>
                <w:szCs w:val="20"/>
              </w:rPr>
            </w:pPr>
            <w:r>
              <w:rPr>
                <w:rFonts w:eastAsia="Times New Roman"/>
              </w:rPr>
              <w:t>Lissamine Green Spectrophotometric</w:t>
            </w:r>
          </w:p>
        </w:tc>
        <w:tc>
          <w:tcPr>
            <w:tcW w:w="1360" w:type="dxa"/>
            <w:tcBorders>
              <w:right w:val="single" w:sz="8" w:space="0" w:color="auto"/>
            </w:tcBorders>
            <w:vAlign w:val="center"/>
          </w:tcPr>
          <w:p w14:paraId="2819F378" w14:textId="77777777" w:rsidR="002668F3" w:rsidRDefault="002668F3" w:rsidP="00912BE7">
            <w:pPr>
              <w:jc w:val="center"/>
              <w:rPr>
                <w:sz w:val="24"/>
                <w:szCs w:val="24"/>
              </w:rPr>
            </w:pPr>
          </w:p>
        </w:tc>
        <w:tc>
          <w:tcPr>
            <w:tcW w:w="980" w:type="dxa"/>
            <w:tcBorders>
              <w:right w:val="single" w:sz="8" w:space="0" w:color="auto"/>
            </w:tcBorders>
            <w:vAlign w:val="center"/>
          </w:tcPr>
          <w:p w14:paraId="2819F379" w14:textId="04186384" w:rsidR="002668F3" w:rsidRDefault="002668F3" w:rsidP="00912BE7">
            <w:pPr>
              <w:jc w:val="center"/>
              <w:rPr>
                <w:sz w:val="20"/>
                <w:szCs w:val="20"/>
              </w:rPr>
            </w:pPr>
          </w:p>
        </w:tc>
        <w:tc>
          <w:tcPr>
            <w:tcW w:w="820" w:type="dxa"/>
            <w:tcBorders>
              <w:right w:val="single" w:sz="8" w:space="0" w:color="auto"/>
            </w:tcBorders>
            <w:vAlign w:val="center"/>
          </w:tcPr>
          <w:p w14:paraId="2819F37A" w14:textId="14921EE8" w:rsidR="002668F3" w:rsidRDefault="002668F3" w:rsidP="00912BE7">
            <w:pPr>
              <w:jc w:val="center"/>
              <w:rPr>
                <w:sz w:val="20"/>
                <w:szCs w:val="20"/>
              </w:rPr>
            </w:pPr>
            <w:r>
              <w:rPr>
                <w:rFonts w:eastAsia="Times New Roman"/>
              </w:rPr>
              <w:t xml:space="preserve">327.0 </w:t>
            </w:r>
            <w:r>
              <w:rPr>
                <w:rFonts w:eastAsia="Times New Roman"/>
                <w:w w:val="99"/>
              </w:rPr>
              <w:t>Rev 1.1</w:t>
            </w:r>
          </w:p>
        </w:tc>
        <w:tc>
          <w:tcPr>
            <w:tcW w:w="1080" w:type="dxa"/>
            <w:tcBorders>
              <w:right w:val="single" w:sz="8" w:space="0" w:color="auto"/>
            </w:tcBorders>
            <w:vAlign w:val="center"/>
          </w:tcPr>
          <w:p w14:paraId="2819F37B" w14:textId="77777777" w:rsidR="002668F3" w:rsidRDefault="002668F3" w:rsidP="00912BE7">
            <w:pPr>
              <w:jc w:val="center"/>
              <w:rPr>
                <w:sz w:val="24"/>
                <w:szCs w:val="24"/>
              </w:rPr>
            </w:pPr>
          </w:p>
        </w:tc>
        <w:tc>
          <w:tcPr>
            <w:tcW w:w="900" w:type="dxa"/>
            <w:tcBorders>
              <w:right w:val="single" w:sz="8" w:space="0" w:color="auto"/>
            </w:tcBorders>
            <w:vAlign w:val="center"/>
          </w:tcPr>
          <w:p w14:paraId="2819F37C" w14:textId="77777777" w:rsidR="002668F3" w:rsidRPr="00912BE7" w:rsidRDefault="002668F3" w:rsidP="00912BE7">
            <w:pPr>
              <w:jc w:val="center"/>
              <w:rPr>
                <w:sz w:val="24"/>
                <w:szCs w:val="24"/>
              </w:rPr>
            </w:pPr>
          </w:p>
        </w:tc>
        <w:tc>
          <w:tcPr>
            <w:tcW w:w="1440" w:type="dxa"/>
            <w:tcBorders>
              <w:right w:val="single" w:sz="8" w:space="0" w:color="auto"/>
            </w:tcBorders>
            <w:vAlign w:val="center"/>
          </w:tcPr>
          <w:p w14:paraId="2819F37D" w14:textId="77777777" w:rsidR="002668F3" w:rsidRPr="00912BE7" w:rsidRDefault="002668F3" w:rsidP="00912BE7">
            <w:pPr>
              <w:jc w:val="center"/>
              <w:rPr>
                <w:sz w:val="24"/>
                <w:szCs w:val="24"/>
              </w:rPr>
            </w:pPr>
          </w:p>
        </w:tc>
        <w:tc>
          <w:tcPr>
            <w:tcW w:w="1000" w:type="dxa"/>
            <w:tcBorders>
              <w:right w:val="single" w:sz="8" w:space="0" w:color="auto"/>
            </w:tcBorders>
            <w:vAlign w:val="center"/>
          </w:tcPr>
          <w:p w14:paraId="2819F37F" w14:textId="77777777" w:rsidR="002668F3" w:rsidRPr="00912BE7" w:rsidRDefault="002668F3" w:rsidP="00912BE7">
            <w:pPr>
              <w:jc w:val="center"/>
              <w:rPr>
                <w:sz w:val="24"/>
                <w:szCs w:val="24"/>
              </w:rPr>
            </w:pPr>
          </w:p>
        </w:tc>
        <w:tc>
          <w:tcPr>
            <w:tcW w:w="680" w:type="dxa"/>
            <w:tcBorders>
              <w:right w:val="single" w:sz="8" w:space="0" w:color="auto"/>
            </w:tcBorders>
            <w:vAlign w:val="center"/>
          </w:tcPr>
          <w:p w14:paraId="2819F380" w14:textId="77777777" w:rsidR="002668F3" w:rsidRPr="00912BE7" w:rsidRDefault="002668F3" w:rsidP="00912BE7">
            <w:pPr>
              <w:jc w:val="center"/>
              <w:rPr>
                <w:sz w:val="24"/>
                <w:szCs w:val="24"/>
              </w:rPr>
            </w:pPr>
            <w:r w:rsidRPr="00912BE7">
              <w:rPr>
                <w:rFonts w:eastAsia="Times New Roman"/>
                <w:sz w:val="24"/>
                <w:szCs w:val="24"/>
              </w:rPr>
              <w:t>X</w:t>
            </w:r>
          </w:p>
        </w:tc>
      </w:tr>
      <w:tr w:rsidR="0066257B" w14:paraId="2819F3A5" w14:textId="77777777" w:rsidTr="00912BE7">
        <w:trPr>
          <w:trHeight w:val="260"/>
        </w:trPr>
        <w:tc>
          <w:tcPr>
            <w:tcW w:w="2920" w:type="dxa"/>
            <w:tcBorders>
              <w:left w:val="single" w:sz="8" w:space="0" w:color="auto"/>
              <w:right w:val="single" w:sz="8" w:space="0" w:color="auto"/>
            </w:tcBorders>
            <w:vAlign w:val="center"/>
          </w:tcPr>
          <w:p w14:paraId="2819F39B" w14:textId="4A988E32" w:rsidR="0066257B" w:rsidRDefault="0066257B" w:rsidP="00912BE7">
            <w:pPr>
              <w:rPr>
                <w:sz w:val="20"/>
                <w:szCs w:val="20"/>
              </w:rPr>
            </w:pPr>
            <w:r>
              <w:rPr>
                <w:rFonts w:eastAsia="Times New Roman"/>
              </w:rPr>
              <w:t>Amperometric Sensor -</w:t>
            </w:r>
            <w:r w:rsidR="00DF1D56">
              <w:rPr>
                <w:rFonts w:eastAsia="Times New Roman"/>
              </w:rPr>
              <w:t xml:space="preserve"> ChloroSense</w:t>
            </w:r>
            <w:r w:rsidR="00DF1D56">
              <w:rPr>
                <w:rFonts w:eastAsia="Times New Roman"/>
                <w:vertAlign w:val="superscript"/>
              </w:rPr>
              <w:t>5</w:t>
            </w:r>
          </w:p>
        </w:tc>
        <w:tc>
          <w:tcPr>
            <w:tcW w:w="1360" w:type="dxa"/>
            <w:tcBorders>
              <w:right w:val="single" w:sz="8" w:space="0" w:color="auto"/>
            </w:tcBorders>
            <w:vAlign w:val="center"/>
          </w:tcPr>
          <w:p w14:paraId="2819F39C" w14:textId="77777777" w:rsidR="0066257B" w:rsidRDefault="0066257B" w:rsidP="00912BE7">
            <w:pPr>
              <w:jc w:val="center"/>
            </w:pPr>
          </w:p>
        </w:tc>
        <w:tc>
          <w:tcPr>
            <w:tcW w:w="980" w:type="dxa"/>
            <w:tcBorders>
              <w:right w:val="single" w:sz="8" w:space="0" w:color="auto"/>
            </w:tcBorders>
            <w:vAlign w:val="center"/>
          </w:tcPr>
          <w:p w14:paraId="2819F39D" w14:textId="77777777" w:rsidR="0066257B" w:rsidRDefault="0066257B" w:rsidP="00912BE7">
            <w:pPr>
              <w:jc w:val="center"/>
            </w:pPr>
          </w:p>
        </w:tc>
        <w:tc>
          <w:tcPr>
            <w:tcW w:w="820" w:type="dxa"/>
            <w:tcBorders>
              <w:right w:val="single" w:sz="8" w:space="0" w:color="auto"/>
            </w:tcBorders>
            <w:vAlign w:val="center"/>
          </w:tcPr>
          <w:p w14:paraId="2819F39E" w14:textId="77777777" w:rsidR="0066257B" w:rsidRDefault="0066257B" w:rsidP="00912BE7">
            <w:pPr>
              <w:jc w:val="center"/>
            </w:pPr>
          </w:p>
        </w:tc>
        <w:tc>
          <w:tcPr>
            <w:tcW w:w="1080" w:type="dxa"/>
            <w:tcBorders>
              <w:right w:val="single" w:sz="8" w:space="0" w:color="auto"/>
            </w:tcBorders>
            <w:vAlign w:val="center"/>
          </w:tcPr>
          <w:p w14:paraId="2819F39F" w14:textId="77777777" w:rsidR="0066257B" w:rsidRDefault="0066257B" w:rsidP="00912BE7">
            <w:pPr>
              <w:jc w:val="center"/>
            </w:pPr>
          </w:p>
        </w:tc>
        <w:tc>
          <w:tcPr>
            <w:tcW w:w="900" w:type="dxa"/>
            <w:tcBorders>
              <w:right w:val="single" w:sz="8" w:space="0" w:color="auto"/>
            </w:tcBorders>
            <w:vAlign w:val="center"/>
          </w:tcPr>
          <w:p w14:paraId="2819F3A0" w14:textId="77777777" w:rsidR="0066257B" w:rsidRPr="00912BE7" w:rsidRDefault="0066257B" w:rsidP="00912BE7">
            <w:pPr>
              <w:jc w:val="center"/>
              <w:rPr>
                <w:sz w:val="24"/>
                <w:szCs w:val="24"/>
              </w:rPr>
            </w:pPr>
            <w:r w:rsidRPr="00912BE7">
              <w:rPr>
                <w:rFonts w:eastAsia="Times New Roman"/>
                <w:sz w:val="24"/>
                <w:szCs w:val="24"/>
              </w:rPr>
              <w:t>X</w:t>
            </w:r>
          </w:p>
        </w:tc>
        <w:tc>
          <w:tcPr>
            <w:tcW w:w="1440" w:type="dxa"/>
            <w:tcBorders>
              <w:right w:val="single" w:sz="8" w:space="0" w:color="auto"/>
            </w:tcBorders>
            <w:vAlign w:val="center"/>
          </w:tcPr>
          <w:p w14:paraId="2819F3A1"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A2" w14:textId="77777777" w:rsidR="0066257B" w:rsidRPr="00912BE7" w:rsidRDefault="0066257B" w:rsidP="00912BE7">
            <w:pPr>
              <w:jc w:val="center"/>
              <w:rPr>
                <w:sz w:val="24"/>
                <w:szCs w:val="24"/>
              </w:rPr>
            </w:pPr>
            <w:r w:rsidRPr="00912BE7">
              <w:rPr>
                <w:rFonts w:eastAsia="Times New Roman"/>
                <w:sz w:val="24"/>
                <w:szCs w:val="24"/>
              </w:rPr>
              <w:t>X</w:t>
            </w:r>
          </w:p>
        </w:tc>
        <w:tc>
          <w:tcPr>
            <w:tcW w:w="680" w:type="dxa"/>
            <w:tcBorders>
              <w:right w:val="single" w:sz="8" w:space="0" w:color="auto"/>
            </w:tcBorders>
            <w:vAlign w:val="center"/>
          </w:tcPr>
          <w:p w14:paraId="2819F3A3" w14:textId="77777777" w:rsidR="0066257B" w:rsidRPr="00912BE7" w:rsidRDefault="0066257B" w:rsidP="00912BE7">
            <w:pPr>
              <w:jc w:val="center"/>
              <w:rPr>
                <w:sz w:val="24"/>
                <w:szCs w:val="24"/>
              </w:rPr>
            </w:pPr>
          </w:p>
        </w:tc>
      </w:tr>
      <w:tr w:rsidR="002668F3" w14:paraId="2819F3BD" w14:textId="77777777" w:rsidTr="00912BE7">
        <w:trPr>
          <w:trHeight w:val="270"/>
        </w:trPr>
        <w:tc>
          <w:tcPr>
            <w:tcW w:w="2920" w:type="dxa"/>
            <w:tcBorders>
              <w:left w:val="single" w:sz="8" w:space="0" w:color="auto"/>
              <w:bottom w:val="single" w:sz="8" w:space="0" w:color="auto"/>
              <w:right w:val="single" w:sz="8" w:space="0" w:color="auto"/>
            </w:tcBorders>
            <w:vAlign w:val="center"/>
          </w:tcPr>
          <w:p w14:paraId="2819F3B2" w14:textId="77777777" w:rsidR="002668F3" w:rsidRDefault="002668F3" w:rsidP="00912BE7">
            <w:pPr>
              <w:rPr>
                <w:sz w:val="20"/>
                <w:szCs w:val="20"/>
              </w:rPr>
            </w:pPr>
            <w:r>
              <w:rPr>
                <w:rFonts w:eastAsia="Times New Roman"/>
              </w:rPr>
              <w:t>On-line Chlorine Analyzer</w:t>
            </w:r>
          </w:p>
        </w:tc>
        <w:tc>
          <w:tcPr>
            <w:tcW w:w="1360" w:type="dxa"/>
            <w:tcBorders>
              <w:bottom w:val="single" w:sz="8" w:space="0" w:color="auto"/>
              <w:right w:val="single" w:sz="8" w:space="0" w:color="auto"/>
            </w:tcBorders>
            <w:vAlign w:val="center"/>
          </w:tcPr>
          <w:p w14:paraId="2819F3B3" w14:textId="77777777" w:rsidR="002668F3" w:rsidRDefault="002668F3" w:rsidP="00912BE7">
            <w:pPr>
              <w:jc w:val="center"/>
              <w:rPr>
                <w:sz w:val="23"/>
                <w:szCs w:val="23"/>
              </w:rPr>
            </w:pPr>
          </w:p>
        </w:tc>
        <w:tc>
          <w:tcPr>
            <w:tcW w:w="980" w:type="dxa"/>
            <w:tcBorders>
              <w:bottom w:val="single" w:sz="8" w:space="0" w:color="auto"/>
              <w:right w:val="single" w:sz="8" w:space="0" w:color="auto"/>
            </w:tcBorders>
            <w:vAlign w:val="center"/>
          </w:tcPr>
          <w:p w14:paraId="2819F3B4" w14:textId="77777777" w:rsidR="002668F3" w:rsidRDefault="002668F3" w:rsidP="00912BE7">
            <w:pPr>
              <w:jc w:val="center"/>
              <w:rPr>
                <w:sz w:val="23"/>
                <w:szCs w:val="23"/>
              </w:rPr>
            </w:pPr>
          </w:p>
        </w:tc>
        <w:tc>
          <w:tcPr>
            <w:tcW w:w="820" w:type="dxa"/>
            <w:tcBorders>
              <w:bottom w:val="single" w:sz="8" w:space="0" w:color="auto"/>
              <w:right w:val="single" w:sz="8" w:space="0" w:color="auto"/>
            </w:tcBorders>
            <w:vAlign w:val="center"/>
          </w:tcPr>
          <w:p w14:paraId="2819F3B5" w14:textId="77777777" w:rsidR="002668F3" w:rsidRDefault="002668F3" w:rsidP="00912BE7">
            <w:pPr>
              <w:jc w:val="center"/>
              <w:rPr>
                <w:sz w:val="20"/>
                <w:szCs w:val="20"/>
              </w:rPr>
            </w:pPr>
            <w:r>
              <w:rPr>
                <w:rFonts w:eastAsia="Times New Roman"/>
              </w:rPr>
              <w:t>334.0</w:t>
            </w:r>
            <w:r w:rsidRPr="00EE6AB1">
              <w:rPr>
                <w:rFonts w:eastAsia="Times New Roman"/>
                <w:vertAlign w:val="superscript"/>
              </w:rPr>
              <w:t>6</w:t>
            </w:r>
          </w:p>
        </w:tc>
        <w:tc>
          <w:tcPr>
            <w:tcW w:w="1080" w:type="dxa"/>
            <w:tcBorders>
              <w:bottom w:val="single" w:sz="8" w:space="0" w:color="auto"/>
              <w:right w:val="single" w:sz="8" w:space="0" w:color="auto"/>
            </w:tcBorders>
            <w:vAlign w:val="center"/>
          </w:tcPr>
          <w:p w14:paraId="2819F3B6" w14:textId="77777777" w:rsidR="002668F3" w:rsidRDefault="002668F3" w:rsidP="00912BE7">
            <w:pPr>
              <w:jc w:val="center"/>
              <w:rPr>
                <w:sz w:val="23"/>
                <w:szCs w:val="23"/>
              </w:rPr>
            </w:pPr>
          </w:p>
        </w:tc>
        <w:tc>
          <w:tcPr>
            <w:tcW w:w="900" w:type="dxa"/>
            <w:tcBorders>
              <w:bottom w:val="single" w:sz="8" w:space="0" w:color="auto"/>
              <w:right w:val="single" w:sz="8" w:space="0" w:color="auto"/>
            </w:tcBorders>
            <w:vAlign w:val="center"/>
          </w:tcPr>
          <w:p w14:paraId="2819F3B7" w14:textId="77777777" w:rsidR="002668F3" w:rsidRPr="00912BE7" w:rsidRDefault="002668F3" w:rsidP="00912BE7">
            <w:pPr>
              <w:jc w:val="center"/>
              <w:rPr>
                <w:sz w:val="24"/>
                <w:szCs w:val="24"/>
              </w:rPr>
            </w:pPr>
            <w:r w:rsidRPr="00912BE7">
              <w:rPr>
                <w:rFonts w:eastAsia="Times New Roman"/>
                <w:sz w:val="24"/>
                <w:szCs w:val="24"/>
              </w:rPr>
              <w:t>X</w:t>
            </w:r>
          </w:p>
        </w:tc>
        <w:tc>
          <w:tcPr>
            <w:tcW w:w="1440" w:type="dxa"/>
            <w:tcBorders>
              <w:bottom w:val="single" w:sz="8" w:space="0" w:color="auto"/>
              <w:right w:val="single" w:sz="8" w:space="0" w:color="auto"/>
            </w:tcBorders>
            <w:vAlign w:val="center"/>
          </w:tcPr>
          <w:p w14:paraId="2819F3B8" w14:textId="77777777" w:rsidR="002668F3" w:rsidRPr="00912BE7" w:rsidRDefault="002668F3" w:rsidP="00912BE7">
            <w:pPr>
              <w:jc w:val="center"/>
              <w:rPr>
                <w:sz w:val="24"/>
                <w:szCs w:val="24"/>
              </w:rPr>
            </w:pPr>
          </w:p>
        </w:tc>
        <w:tc>
          <w:tcPr>
            <w:tcW w:w="1000" w:type="dxa"/>
            <w:tcBorders>
              <w:bottom w:val="single" w:sz="8" w:space="0" w:color="auto"/>
              <w:right w:val="single" w:sz="8" w:space="0" w:color="auto"/>
            </w:tcBorders>
            <w:vAlign w:val="center"/>
          </w:tcPr>
          <w:p w14:paraId="2819F3BA" w14:textId="3D556F14" w:rsidR="002668F3" w:rsidRPr="00912BE7" w:rsidRDefault="002668F3" w:rsidP="00912BE7">
            <w:pPr>
              <w:jc w:val="center"/>
              <w:rPr>
                <w:sz w:val="24"/>
                <w:szCs w:val="24"/>
              </w:rPr>
            </w:pPr>
            <w:r w:rsidRPr="00912BE7">
              <w:rPr>
                <w:rFonts w:eastAsia="Times New Roman"/>
                <w:sz w:val="24"/>
                <w:szCs w:val="24"/>
              </w:rPr>
              <w:t>X</w:t>
            </w:r>
          </w:p>
        </w:tc>
        <w:tc>
          <w:tcPr>
            <w:tcW w:w="680" w:type="dxa"/>
            <w:tcBorders>
              <w:bottom w:val="single" w:sz="8" w:space="0" w:color="auto"/>
              <w:right w:val="single" w:sz="8" w:space="0" w:color="auto"/>
            </w:tcBorders>
            <w:vAlign w:val="center"/>
          </w:tcPr>
          <w:p w14:paraId="2819F3BB" w14:textId="77777777" w:rsidR="002668F3" w:rsidRPr="00912BE7" w:rsidRDefault="002668F3" w:rsidP="00912BE7">
            <w:pPr>
              <w:jc w:val="center"/>
              <w:rPr>
                <w:sz w:val="24"/>
                <w:szCs w:val="24"/>
              </w:rPr>
            </w:pPr>
          </w:p>
        </w:tc>
      </w:tr>
    </w:tbl>
    <w:p w14:paraId="2819F3BE" w14:textId="77777777" w:rsidR="004647B9" w:rsidRDefault="004647B9" w:rsidP="00CB09F3">
      <w:pPr>
        <w:rPr>
          <w:sz w:val="20"/>
          <w:szCs w:val="20"/>
        </w:rPr>
      </w:pPr>
    </w:p>
    <w:p w14:paraId="2819F3BF" w14:textId="77777777" w:rsidR="004647B9" w:rsidRDefault="004647B9" w:rsidP="00CB09F3">
      <w:pPr>
        <w:sectPr w:rsidR="004647B9" w:rsidSect="00EF630C">
          <w:pgSz w:w="12240" w:h="20180"/>
          <w:pgMar w:top="708" w:right="460" w:bottom="1440" w:left="600" w:header="0" w:footer="0" w:gutter="0"/>
          <w:cols w:space="720" w:equalWidth="0">
            <w:col w:w="11180"/>
          </w:cols>
        </w:sectPr>
      </w:pPr>
    </w:p>
    <w:p w14:paraId="2819F3C8" w14:textId="77777777" w:rsidR="004647B9" w:rsidRPr="00620A64" w:rsidRDefault="00E2436F" w:rsidP="00CB09F3">
      <w:pPr>
        <w:pStyle w:val="ListParagraph"/>
        <w:numPr>
          <w:ilvl w:val="0"/>
          <w:numId w:val="951"/>
        </w:numPr>
        <w:ind w:right="980"/>
        <w:jc w:val="both"/>
        <w:rPr>
          <w:sz w:val="24"/>
          <w:szCs w:val="24"/>
        </w:rPr>
      </w:pPr>
      <w:r w:rsidRPr="00620A64">
        <w:rPr>
          <w:rFonts w:eastAsia="Times New Roman"/>
          <w:sz w:val="24"/>
          <w:szCs w:val="24"/>
        </w:rPr>
        <w:t>X indicates method is approved for measuring specified Disinfectant residual. Free chlorine or total chlorine may be measured for demonstrating compliance with the chlorine MRDL and combined chlorine, or total chlorine may be measured for demonstrating compliance with the chloramine MRDL.</w:t>
      </w:r>
    </w:p>
    <w:p w14:paraId="2819F3CA" w14:textId="77777777" w:rsidR="004647B9" w:rsidRPr="006520DC" w:rsidRDefault="004647B9" w:rsidP="00CB09F3">
      <w:pPr>
        <w:rPr>
          <w:sz w:val="24"/>
          <w:szCs w:val="24"/>
        </w:rPr>
        <w:sectPr w:rsidR="004647B9" w:rsidRPr="006520DC" w:rsidSect="00EF630C">
          <w:type w:val="continuous"/>
          <w:pgSz w:w="12240" w:h="20180"/>
          <w:pgMar w:top="708" w:right="460" w:bottom="1440" w:left="600" w:header="0" w:footer="0" w:gutter="0"/>
          <w:cols w:space="420"/>
        </w:sectPr>
      </w:pPr>
    </w:p>
    <w:p w14:paraId="2819F3DA" w14:textId="3A325D2B" w:rsidR="004647B9" w:rsidRPr="00BC63E5" w:rsidRDefault="00E2436F" w:rsidP="00CB09F3">
      <w:pPr>
        <w:pStyle w:val="ListParagraph"/>
        <w:numPr>
          <w:ilvl w:val="0"/>
          <w:numId w:val="951"/>
        </w:numPr>
        <w:rPr>
          <w:rFonts w:eastAsia="Times New Roman"/>
          <w:sz w:val="24"/>
          <w:szCs w:val="24"/>
        </w:rPr>
      </w:pPr>
      <w:r w:rsidRPr="00BC63E5">
        <w:rPr>
          <w:rFonts w:eastAsia="Times New Roman"/>
          <w:sz w:val="24"/>
          <w:szCs w:val="24"/>
        </w:rPr>
        <w:t>The Standard Methods Online version that is approved is indicated by the last two digits in the method number which is the year of approval by the Standard Method Committee.</w:t>
      </w:r>
    </w:p>
    <w:p w14:paraId="2819F3DC" w14:textId="711B5B00" w:rsidR="004647B9" w:rsidRPr="00BC63E5" w:rsidRDefault="00E2436F" w:rsidP="00CB09F3">
      <w:pPr>
        <w:pStyle w:val="ListParagraph"/>
        <w:numPr>
          <w:ilvl w:val="0"/>
          <w:numId w:val="951"/>
        </w:numPr>
        <w:rPr>
          <w:sz w:val="24"/>
          <w:szCs w:val="24"/>
        </w:rPr>
      </w:pPr>
      <w:r w:rsidRPr="00BC63E5">
        <w:rPr>
          <w:rFonts w:eastAsia="Times New Roman"/>
          <w:sz w:val="24"/>
          <w:szCs w:val="24"/>
        </w:rPr>
        <w:t>Cl</w:t>
      </w:r>
      <w:r w:rsidRPr="00BC63E5">
        <w:rPr>
          <w:rFonts w:eastAsia="Times New Roman"/>
          <w:sz w:val="24"/>
          <w:szCs w:val="24"/>
          <w:vertAlign w:val="subscript"/>
        </w:rPr>
        <w:t>2</w:t>
      </w:r>
      <w:r w:rsidRPr="00BC63E5">
        <w:rPr>
          <w:rFonts w:eastAsia="Times New Roman"/>
          <w:sz w:val="24"/>
          <w:szCs w:val="24"/>
        </w:rPr>
        <w:t xml:space="preserve"> = Chlorine, ClO</w:t>
      </w:r>
      <w:r w:rsidRPr="00BC63E5">
        <w:rPr>
          <w:rFonts w:eastAsia="Times New Roman"/>
          <w:sz w:val="24"/>
          <w:szCs w:val="24"/>
          <w:vertAlign w:val="subscript"/>
        </w:rPr>
        <w:t>2</w:t>
      </w:r>
      <w:r w:rsidRPr="00BC63E5">
        <w:rPr>
          <w:rFonts w:eastAsia="Times New Roman"/>
          <w:sz w:val="24"/>
          <w:szCs w:val="24"/>
        </w:rPr>
        <w:t xml:space="preserve"> = Chlorine Dioxide.</w:t>
      </w:r>
    </w:p>
    <w:p w14:paraId="2819F3DD" w14:textId="119C22DC" w:rsidR="004647B9" w:rsidRPr="00BC63E5" w:rsidRDefault="00E2436F" w:rsidP="00CB09F3">
      <w:pPr>
        <w:pStyle w:val="ListParagraph"/>
        <w:numPr>
          <w:ilvl w:val="0"/>
          <w:numId w:val="951"/>
        </w:numPr>
        <w:ind w:right="980"/>
        <w:jc w:val="both"/>
        <w:rPr>
          <w:rFonts w:eastAsia="Times New Roman"/>
          <w:sz w:val="24"/>
          <w:szCs w:val="24"/>
        </w:rPr>
      </w:pPr>
      <w:r w:rsidRPr="00BC63E5">
        <w:rPr>
          <w:rFonts w:eastAsia="Times New Roman"/>
          <w:sz w:val="24"/>
          <w:szCs w:val="24"/>
        </w:rPr>
        <w:t>Available from ASTM International, 100 Barr Harbor Drive, West Conshohocken, PA 19428-2959</w:t>
      </w:r>
      <w:hyperlink w:history="1"/>
      <w:r w:rsidRPr="00BC63E5">
        <w:rPr>
          <w:rFonts w:eastAsia="Times New Roman"/>
          <w:sz w:val="24"/>
          <w:szCs w:val="24"/>
        </w:rPr>
        <w:t>. The methods listed are the only alternative versions that may be used.</w:t>
      </w:r>
    </w:p>
    <w:p w14:paraId="2819F3DF" w14:textId="3C2CE48B" w:rsidR="004647B9" w:rsidRPr="00BC63E5" w:rsidRDefault="00E2436F" w:rsidP="00CB09F3">
      <w:pPr>
        <w:pStyle w:val="ListParagraph"/>
        <w:numPr>
          <w:ilvl w:val="0"/>
          <w:numId w:val="951"/>
        </w:numPr>
        <w:rPr>
          <w:rFonts w:eastAsia="Times New Roman"/>
          <w:sz w:val="24"/>
          <w:szCs w:val="24"/>
        </w:rPr>
      </w:pPr>
      <w:r w:rsidRPr="00BC63E5">
        <w:rPr>
          <w:rFonts w:eastAsia="Times New Roman"/>
          <w:sz w:val="24"/>
          <w:szCs w:val="24"/>
        </w:rPr>
        <w:t xml:space="preserve">ChloroSense. </w:t>
      </w:r>
      <w:r w:rsidRPr="00BC63E5">
        <w:rPr>
          <w:rFonts w:eastAsia="Times New Roman"/>
          <w:i/>
          <w:iCs/>
          <w:sz w:val="24"/>
          <w:szCs w:val="24"/>
        </w:rPr>
        <w:t>Measurement of Free and Total Chlorine in Drinking Water by Palintest ChloroSense</w:t>
      </w:r>
      <w:r w:rsidRPr="00BC63E5">
        <w:rPr>
          <w:rFonts w:eastAsia="Times New Roman"/>
          <w:sz w:val="24"/>
          <w:szCs w:val="24"/>
        </w:rPr>
        <w:t xml:space="preserve">, September 2009. Available </w:t>
      </w:r>
      <w:r w:rsidR="00C55B81" w:rsidRPr="00BC63E5">
        <w:rPr>
          <w:rFonts w:eastAsia="Times New Roman"/>
          <w:sz w:val="24"/>
          <w:szCs w:val="24"/>
        </w:rPr>
        <w:t>on the N</w:t>
      </w:r>
      <w:r w:rsidR="00A36383" w:rsidRPr="00BC63E5">
        <w:rPr>
          <w:rFonts w:eastAsia="Times New Roman"/>
          <w:sz w:val="24"/>
          <w:szCs w:val="24"/>
        </w:rPr>
        <w:t>ational Environmental Methods Index</w:t>
      </w:r>
      <w:r w:rsidR="00CF195B" w:rsidRPr="00BC63E5">
        <w:rPr>
          <w:rFonts w:eastAsia="Times New Roman"/>
          <w:sz w:val="24"/>
          <w:szCs w:val="24"/>
        </w:rPr>
        <w:t xml:space="preserve"> </w:t>
      </w:r>
      <w:r w:rsidRPr="00BC63E5">
        <w:rPr>
          <w:rFonts w:eastAsia="Times New Roman"/>
          <w:sz w:val="24"/>
          <w:szCs w:val="24"/>
        </w:rPr>
        <w:t>or from Palintest Ltd, 21 Kenton Lands Road, P.O. Box 18395, Erlanger, KY 41018.</w:t>
      </w:r>
    </w:p>
    <w:p w14:paraId="2E1A6DD0" w14:textId="4B35A9C7" w:rsidR="00BB56DC" w:rsidRPr="00BC63E5" w:rsidRDefault="00E2436F" w:rsidP="00CB09F3">
      <w:pPr>
        <w:pStyle w:val="ListParagraph"/>
        <w:numPr>
          <w:ilvl w:val="0"/>
          <w:numId w:val="951"/>
        </w:numPr>
        <w:rPr>
          <w:rFonts w:eastAsia="Times New Roman"/>
          <w:sz w:val="24"/>
          <w:szCs w:val="24"/>
        </w:rPr>
      </w:pPr>
      <w:r w:rsidRPr="00BC63E5">
        <w:rPr>
          <w:rFonts w:eastAsia="Times New Roman"/>
          <w:sz w:val="24"/>
          <w:szCs w:val="24"/>
        </w:rPr>
        <w:t xml:space="preserve">EPA Method 334.0. </w:t>
      </w:r>
      <w:r w:rsidRPr="00BC63E5">
        <w:rPr>
          <w:rFonts w:eastAsia="Times New Roman"/>
          <w:i/>
          <w:iCs/>
          <w:sz w:val="24"/>
          <w:szCs w:val="24"/>
        </w:rPr>
        <w:t>Determination of Residual Chlorine in Drinking Water Using an On-Line Chlorine</w:t>
      </w:r>
      <w:r w:rsidRPr="00BC63E5">
        <w:rPr>
          <w:rFonts w:eastAsia="Times New Roman"/>
          <w:sz w:val="24"/>
          <w:szCs w:val="24"/>
        </w:rPr>
        <w:t xml:space="preserve"> </w:t>
      </w:r>
      <w:r w:rsidRPr="00BC63E5">
        <w:rPr>
          <w:rFonts w:eastAsia="Times New Roman"/>
          <w:i/>
          <w:iCs/>
          <w:sz w:val="24"/>
          <w:szCs w:val="24"/>
        </w:rPr>
        <w:t>Analyzer</w:t>
      </w:r>
      <w:r w:rsidRPr="00BC63E5">
        <w:rPr>
          <w:rFonts w:eastAsia="Times New Roman"/>
          <w:sz w:val="24"/>
          <w:szCs w:val="24"/>
        </w:rPr>
        <w:t xml:space="preserve">, August 2009. EPA 815-B-09-013. Available </w:t>
      </w:r>
      <w:r w:rsidR="006631C2" w:rsidRPr="00BC63E5">
        <w:rPr>
          <w:rFonts w:eastAsia="Times New Roman"/>
          <w:sz w:val="24"/>
          <w:szCs w:val="24"/>
        </w:rPr>
        <w:t>from NSCEP</w:t>
      </w:r>
      <w:r w:rsidRPr="00BC63E5">
        <w:rPr>
          <w:rFonts w:eastAsia="Times New Roman"/>
          <w:sz w:val="24"/>
          <w:szCs w:val="24"/>
        </w:rPr>
        <w:t>.</w:t>
      </w:r>
    </w:p>
    <w:p w14:paraId="183BD32B" w14:textId="435EFCF0" w:rsidR="009A7DDB" w:rsidRPr="00BC63E5" w:rsidRDefault="009A7DDB" w:rsidP="00CB09F3">
      <w:pPr>
        <w:rPr>
          <w:sz w:val="20"/>
          <w:szCs w:val="20"/>
        </w:rPr>
        <w:sectPr w:rsidR="009A7DDB" w:rsidRPr="00BC63E5" w:rsidSect="00EF630C">
          <w:type w:val="continuous"/>
          <w:pgSz w:w="12240" w:h="20180"/>
          <w:pgMar w:top="708" w:right="460" w:bottom="1440" w:left="600" w:header="0" w:footer="0" w:gutter="0"/>
          <w:cols w:space="420"/>
        </w:sectPr>
      </w:pPr>
    </w:p>
    <w:p w14:paraId="2819F3E3" w14:textId="77777777" w:rsidR="004647B9" w:rsidRPr="00B07FBF" w:rsidRDefault="004647B9" w:rsidP="00CB09F3">
      <w:pPr>
        <w:rPr>
          <w:sz w:val="24"/>
          <w:szCs w:val="24"/>
        </w:rPr>
      </w:pPr>
    </w:p>
    <w:p w14:paraId="2819F3E4" w14:textId="3B060DC3" w:rsidR="004647B9" w:rsidRPr="005132C6" w:rsidRDefault="00E2436F" w:rsidP="00CB09F3">
      <w:pPr>
        <w:numPr>
          <w:ilvl w:val="0"/>
          <w:numId w:val="952"/>
        </w:numPr>
        <w:tabs>
          <w:tab w:val="left" w:pos="2250"/>
        </w:tabs>
        <w:ind w:left="1890" w:right="980"/>
        <w:jc w:val="both"/>
        <w:rPr>
          <w:rFonts w:eastAsia="Times New Roman"/>
          <w:sz w:val="24"/>
          <w:szCs w:val="24"/>
        </w:rPr>
      </w:pPr>
      <w:r w:rsidRPr="005132C6">
        <w:rPr>
          <w:rFonts w:eastAsia="Times New Roman"/>
          <w:sz w:val="24"/>
          <w:szCs w:val="24"/>
        </w:rPr>
        <w:t>Each Supplier of Wate</w:t>
      </w:r>
      <w:r w:rsidR="009A7DDB" w:rsidRPr="005132C6">
        <w:rPr>
          <w:rFonts w:eastAsia="Times New Roman"/>
          <w:sz w:val="24"/>
          <w:szCs w:val="24"/>
        </w:rPr>
        <w:t xml:space="preserve">r </w:t>
      </w:r>
      <w:r w:rsidRPr="005132C6">
        <w:rPr>
          <w:rFonts w:eastAsia="Times New Roman"/>
          <w:sz w:val="24"/>
          <w:szCs w:val="24"/>
        </w:rPr>
        <w:t>may also measure Residual Disinfectant Concentrations for chlorine, chloramines, and chlorine dioxide by using digital meter versions of DPD colorimetric test kits. Suppliers serving less than or equal to 3,300 persons may use non-digital meter DPD colorimetric test kits.</w:t>
      </w:r>
    </w:p>
    <w:p w14:paraId="2819F3E5" w14:textId="77777777" w:rsidR="004647B9" w:rsidRDefault="00E2436F" w:rsidP="00CB09F3">
      <w:pPr>
        <w:numPr>
          <w:ilvl w:val="0"/>
          <w:numId w:val="952"/>
        </w:numPr>
        <w:tabs>
          <w:tab w:val="left" w:pos="2250"/>
          <w:tab w:val="left" w:pos="2430"/>
        </w:tabs>
        <w:ind w:left="1890" w:right="980"/>
        <w:jc w:val="both"/>
        <w:rPr>
          <w:rFonts w:eastAsia="Times New Roman"/>
          <w:sz w:val="24"/>
          <w:szCs w:val="24"/>
        </w:rPr>
      </w:pPr>
      <w:r>
        <w:rPr>
          <w:rFonts w:eastAsia="Times New Roman"/>
          <w:sz w:val="24"/>
          <w:szCs w:val="24"/>
        </w:rPr>
        <w:t>The Department approves all laboratory personnel (both in-house and at Department certified laboratories) as well as certified operators to conduct measurements of Residual Disinfectant Concentrations. All parties conducting these measurements shall be approved by the Department and shall be trained in the relevant methodology and/or the use of the relevant equipment and shall follow procedures outlines by the manufacturer of that equipment.</w:t>
      </w:r>
    </w:p>
    <w:p w14:paraId="2819F3E7" w14:textId="77777777" w:rsidR="004647B9" w:rsidRDefault="00E2436F" w:rsidP="00CB09F3">
      <w:pPr>
        <w:numPr>
          <w:ilvl w:val="0"/>
          <w:numId w:val="292"/>
        </w:numPr>
        <w:tabs>
          <w:tab w:val="left" w:pos="1570"/>
        </w:tabs>
        <w:ind w:left="1080" w:right="980" w:hanging="5"/>
        <w:jc w:val="both"/>
        <w:rPr>
          <w:rFonts w:eastAsia="Times New Roman"/>
          <w:sz w:val="24"/>
          <w:szCs w:val="24"/>
        </w:rPr>
      </w:pPr>
      <w:r>
        <w:rPr>
          <w:rFonts w:eastAsia="Times New Roman"/>
          <w:sz w:val="24"/>
          <w:szCs w:val="24"/>
          <w:u w:val="single"/>
        </w:rPr>
        <w:t>Additional Analytical Methods</w:t>
      </w:r>
      <w:r>
        <w:rPr>
          <w:rFonts w:eastAsia="Times New Roman"/>
          <w:sz w:val="24"/>
          <w:szCs w:val="24"/>
        </w:rPr>
        <w:t>. Each Supplier of Water who is required to analyze parameters not included in 310 CMR 22.07E(6)(c) and (d) shall use the following methods. A party approved by the Department as per 310 CMR 22.07E(6)(d)3. shall measure these parameters.</w:t>
      </w:r>
    </w:p>
    <w:p w14:paraId="2819F3E8" w14:textId="77777777" w:rsidR="004647B9" w:rsidRDefault="004647B9">
      <w:pPr>
        <w:sectPr w:rsidR="004647B9" w:rsidSect="00EF630C">
          <w:type w:val="continuous"/>
          <w:pgSz w:w="12240" w:h="20180"/>
          <w:pgMar w:top="708" w:right="460" w:bottom="1440" w:left="600" w:header="0" w:footer="0" w:gutter="0"/>
          <w:cols w:space="420"/>
        </w:sectPr>
      </w:pPr>
    </w:p>
    <w:p w14:paraId="2819F3E9" w14:textId="77777777" w:rsidR="004647B9" w:rsidRPr="00FF3BD4" w:rsidRDefault="00E2436F" w:rsidP="00FF3BD4">
      <w:pPr>
        <w:tabs>
          <w:tab w:val="left" w:pos="160"/>
        </w:tabs>
        <w:jc w:val="center"/>
        <w:rPr>
          <w:sz w:val="24"/>
          <w:szCs w:val="24"/>
        </w:rPr>
      </w:pPr>
      <w:bookmarkStart w:id="117" w:name="page119"/>
      <w:bookmarkEnd w:id="117"/>
      <w:r w:rsidRPr="00FF3BD4">
        <w:rPr>
          <w:rFonts w:eastAsia="Times New Roman"/>
          <w:sz w:val="24"/>
          <w:szCs w:val="24"/>
        </w:rPr>
        <w:lastRenderedPageBreak/>
        <w:t>310 CMR:</w:t>
      </w:r>
      <w:r w:rsidRPr="00FF3BD4">
        <w:rPr>
          <w:sz w:val="24"/>
          <w:szCs w:val="24"/>
        </w:rPr>
        <w:tab/>
      </w:r>
      <w:r w:rsidRPr="00FF3BD4">
        <w:rPr>
          <w:rFonts w:eastAsia="Times New Roman"/>
          <w:sz w:val="24"/>
          <w:szCs w:val="24"/>
        </w:rPr>
        <w:t>DEPARTMENT OF ENVIRONMENTAL PROTECTION</w:t>
      </w:r>
    </w:p>
    <w:p w14:paraId="2819F3EA" w14:textId="77777777" w:rsidR="004647B9" w:rsidRPr="00B07FBF" w:rsidRDefault="004647B9" w:rsidP="00FF3BD4">
      <w:pPr>
        <w:rPr>
          <w:sz w:val="20"/>
          <w:szCs w:val="20"/>
        </w:rPr>
      </w:pPr>
    </w:p>
    <w:p w14:paraId="2819F3EB" w14:textId="77777777" w:rsidR="004647B9" w:rsidRPr="00B07FBF" w:rsidRDefault="004647B9" w:rsidP="00FF3BD4">
      <w:pPr>
        <w:rPr>
          <w:sz w:val="20"/>
          <w:szCs w:val="20"/>
        </w:rPr>
      </w:pPr>
    </w:p>
    <w:p w14:paraId="2819F3EC" w14:textId="77777777" w:rsidR="004647B9" w:rsidRPr="00FF3BD4" w:rsidRDefault="00E2436F" w:rsidP="00FF3BD4">
      <w:pPr>
        <w:tabs>
          <w:tab w:val="left" w:pos="920"/>
        </w:tabs>
        <w:rPr>
          <w:sz w:val="24"/>
          <w:szCs w:val="24"/>
        </w:rPr>
      </w:pPr>
      <w:r w:rsidRPr="00FF3BD4">
        <w:rPr>
          <w:rFonts w:eastAsia="Times New Roman"/>
          <w:sz w:val="24"/>
          <w:szCs w:val="24"/>
        </w:rPr>
        <w:t>22.07E:</w:t>
      </w:r>
      <w:r w:rsidRPr="00FF3BD4">
        <w:rPr>
          <w:sz w:val="24"/>
          <w:szCs w:val="24"/>
        </w:rPr>
        <w:tab/>
      </w:r>
      <w:r w:rsidRPr="00FF3BD4">
        <w:rPr>
          <w:rFonts w:eastAsia="Times New Roman"/>
          <w:sz w:val="24"/>
          <w:szCs w:val="24"/>
        </w:rPr>
        <w:t>continued</w:t>
      </w:r>
    </w:p>
    <w:p w14:paraId="2819F3ED" w14:textId="77777777" w:rsidR="004647B9" w:rsidRPr="00B07FBF" w:rsidRDefault="004647B9" w:rsidP="00FF3BD4">
      <w:pPr>
        <w:rPr>
          <w:sz w:val="20"/>
          <w:szCs w:val="20"/>
        </w:rPr>
      </w:pPr>
    </w:p>
    <w:p w14:paraId="2819F3EE" w14:textId="77777777" w:rsidR="004647B9" w:rsidRPr="00FF3BD4" w:rsidRDefault="00E2436F" w:rsidP="00971CD2">
      <w:pPr>
        <w:numPr>
          <w:ilvl w:val="2"/>
          <w:numId w:val="293"/>
        </w:numPr>
        <w:tabs>
          <w:tab w:val="left" w:pos="2260"/>
        </w:tabs>
        <w:ind w:left="2261" w:hanging="346"/>
        <w:rPr>
          <w:rFonts w:eastAsia="Times New Roman"/>
          <w:sz w:val="24"/>
          <w:szCs w:val="24"/>
        </w:rPr>
      </w:pPr>
      <w:r w:rsidRPr="00FF3BD4">
        <w:rPr>
          <w:rFonts w:eastAsia="Times New Roman"/>
          <w:sz w:val="24"/>
          <w:szCs w:val="24"/>
          <w:u w:val="single"/>
        </w:rPr>
        <w:t>Alkalinity</w:t>
      </w:r>
      <w:r w:rsidRPr="00FF3BD4">
        <w:rPr>
          <w:rFonts w:eastAsia="Times New Roman"/>
          <w:sz w:val="24"/>
          <w:szCs w:val="24"/>
        </w:rPr>
        <w:t>. All methods allowed in 310 CMR 22.06B(10) for measuring alkalinity.</w:t>
      </w:r>
    </w:p>
    <w:p w14:paraId="2819F3F0" w14:textId="32B69D7E" w:rsidR="004647B9" w:rsidRPr="00FF3BD4" w:rsidRDefault="00E2436F" w:rsidP="00300C5D">
      <w:pPr>
        <w:numPr>
          <w:ilvl w:val="2"/>
          <w:numId w:val="293"/>
        </w:numPr>
        <w:tabs>
          <w:tab w:val="left" w:pos="2261"/>
        </w:tabs>
        <w:ind w:left="1915"/>
        <w:rPr>
          <w:rFonts w:eastAsia="Times New Roman"/>
          <w:sz w:val="24"/>
          <w:szCs w:val="24"/>
        </w:rPr>
      </w:pPr>
      <w:r w:rsidRPr="00FF3BD4">
        <w:rPr>
          <w:rFonts w:eastAsia="Times New Roman"/>
          <w:sz w:val="24"/>
          <w:szCs w:val="24"/>
          <w:u w:val="single"/>
        </w:rPr>
        <w:t>Bromide</w:t>
      </w:r>
      <w:r w:rsidRPr="00FF3BD4">
        <w:rPr>
          <w:rFonts w:eastAsia="Times New Roman"/>
          <w:sz w:val="24"/>
          <w:szCs w:val="24"/>
        </w:rPr>
        <w:t>. EPA Methods 300.0, 300.1, 317.0 Revision 2.0, 326.0, or ASTM D</w:t>
      </w:r>
      <w:r w:rsidR="00300C5D">
        <w:rPr>
          <w:rFonts w:eastAsia="Times New Roman"/>
          <w:sz w:val="24"/>
          <w:szCs w:val="24"/>
        </w:rPr>
        <w:t xml:space="preserve"> 6581-00.</w:t>
      </w:r>
    </w:p>
    <w:p w14:paraId="2819F3F2" w14:textId="77777777" w:rsidR="004647B9" w:rsidRPr="00FF3BD4" w:rsidRDefault="00E2436F" w:rsidP="00300C5D">
      <w:pPr>
        <w:numPr>
          <w:ilvl w:val="2"/>
          <w:numId w:val="293"/>
        </w:numPr>
        <w:tabs>
          <w:tab w:val="left" w:pos="2261"/>
        </w:tabs>
        <w:ind w:left="1920" w:hanging="5"/>
        <w:jc w:val="both"/>
        <w:rPr>
          <w:rFonts w:eastAsia="Times New Roman"/>
          <w:sz w:val="24"/>
          <w:szCs w:val="24"/>
        </w:rPr>
      </w:pPr>
      <w:r w:rsidRPr="00FF3BD4">
        <w:rPr>
          <w:rFonts w:eastAsia="Times New Roman"/>
          <w:sz w:val="24"/>
          <w:szCs w:val="24"/>
          <w:u w:val="single"/>
        </w:rPr>
        <w:t>Total Organic Carbon (TOC)</w:t>
      </w:r>
      <w:r w:rsidRPr="00FF3BD4">
        <w:rPr>
          <w:rFonts w:eastAsia="Times New Roman"/>
          <w:sz w:val="24"/>
          <w:szCs w:val="24"/>
        </w:rPr>
        <w:t>. Standard Method 5310 B (High-Temperature Combustion Method) or 5310 B-00 (High-temperature Combustion Method) or Standard Method 5310 C or 5310 C-00 (Persulfate-ultraviolet or Heated-persulfate Oxidation Method) or Standard Method 5310 D or 5310 D-00 (Wet-oxidation Method) or EPA Method 415.3 Revision 1.1or Revision 1.2. Inorganic carbon must be removed from the samples prior to analysis. TOC samples may not be filtered prior to analysis. TOC samples shall either be analyzed or shall be acidified at the time of sample collection to achieve pH less than or equal to 2.0 with minimal addition of the acid specified in the method or by the instrument manufacturer. Acidified TOC samples shall be analyzed within 28 days.</w:t>
      </w:r>
    </w:p>
    <w:p w14:paraId="2819F3F4" w14:textId="77777777" w:rsidR="004647B9" w:rsidRPr="00FF3BD4" w:rsidRDefault="00E2436F" w:rsidP="00300C5D">
      <w:pPr>
        <w:numPr>
          <w:ilvl w:val="2"/>
          <w:numId w:val="293"/>
        </w:numPr>
        <w:tabs>
          <w:tab w:val="left" w:pos="2261"/>
        </w:tabs>
        <w:ind w:left="1920" w:hanging="5"/>
        <w:jc w:val="both"/>
        <w:rPr>
          <w:rFonts w:eastAsia="Times New Roman"/>
          <w:sz w:val="24"/>
          <w:szCs w:val="24"/>
        </w:rPr>
      </w:pPr>
      <w:r w:rsidRPr="00FF3BD4">
        <w:rPr>
          <w:rFonts w:eastAsia="Times New Roman"/>
          <w:sz w:val="24"/>
          <w:szCs w:val="24"/>
          <w:u w:val="single"/>
        </w:rPr>
        <w:t>Specific Ultraviolet Absorbance (SUVA)</w:t>
      </w:r>
      <w:r w:rsidRPr="00FF3BD4">
        <w:rPr>
          <w:rFonts w:eastAsia="Times New Roman"/>
          <w:sz w:val="24"/>
          <w:szCs w:val="24"/>
        </w:rPr>
        <w:t>. SUVA is equal to the UV absorption at 254nm (UV254) (measured in m-1 divided by the dissolved organic carbon (DOC) concentration (measured as mg/l). In order to determine SUVA, it is necessary to separately measure UV254 and DOC. When determining SUVA, systems shall use the methods stipulated in 310 CMR 22.07E(6)(e)4.a. to measure DOC and the method stipulated in 310 CMR 22.07E(6)(e)4.b. to measure UV254. SUVA shall be determined on water prior to the addition of Disinfectants/oxidants by the system. DOC and UV254 samples used to determine a SUVA value shall be taken at the same time and at the same location.</w:t>
      </w:r>
    </w:p>
    <w:p w14:paraId="2819F3F6" w14:textId="77777777" w:rsidR="004647B9" w:rsidRPr="00FF3BD4" w:rsidRDefault="00E2436F" w:rsidP="00563A54">
      <w:pPr>
        <w:numPr>
          <w:ilvl w:val="3"/>
          <w:numId w:val="293"/>
        </w:numPr>
        <w:tabs>
          <w:tab w:val="left" w:pos="2711"/>
        </w:tabs>
        <w:ind w:left="2280" w:hanging="5"/>
        <w:jc w:val="both"/>
        <w:rPr>
          <w:rFonts w:eastAsia="Times New Roman"/>
          <w:sz w:val="24"/>
          <w:szCs w:val="24"/>
        </w:rPr>
      </w:pPr>
      <w:r w:rsidRPr="00FF3BD4">
        <w:rPr>
          <w:rFonts w:eastAsia="Times New Roman"/>
          <w:sz w:val="24"/>
          <w:szCs w:val="24"/>
          <w:u w:val="single"/>
        </w:rPr>
        <w:t>Dissolved Organic Carbon (DOC)</w:t>
      </w:r>
      <w:r w:rsidRPr="00FF3BD4">
        <w:rPr>
          <w:rFonts w:eastAsia="Times New Roman"/>
          <w:sz w:val="24"/>
          <w:szCs w:val="24"/>
        </w:rPr>
        <w:t>. Standard Method 5310 B or 5310 B-00 (High-temperature Combustion Method) or Standard Method 5310 C or 5310 C-00 (Persulfate-ultraviolet or Heated-Persulfate Oxidation Method) or Standard Method 5310 D or 5310 D-00 (Wet-oxidation Method) or EPA Method 415.3 Revision 1.1 or Revision 1.2. DOC samples shall be filtered through a 0.45 µm pore-diameter filter as soon as practical after sampling, not to exceed 48 hours. After Filtration, DOC samples shall be acidified to achieve pH less than or equal to 2.0 with minimal addition of the acid specified in the method or by the instrument manufacturer. Acidified DOC samples shall be analyzed within 28 days of sample collection. Inorganic carbon must be removed from the sample prior to analysis. Water passed through the filter prior to Filtration of the sample shall serve as the filtered blank. This filtered blank shall be analyzed using procedures identical to those used for analysis of the samples and shall meet the following criteria: DOC &lt; 0.5 mg/L. Acidified DOC samples shall be analyzed within 28 days of sample collection.</w:t>
      </w:r>
    </w:p>
    <w:p w14:paraId="2819F3F8" w14:textId="77777777" w:rsidR="004647B9" w:rsidRPr="00FF3BD4" w:rsidRDefault="00E2436F" w:rsidP="00971CD2">
      <w:pPr>
        <w:numPr>
          <w:ilvl w:val="3"/>
          <w:numId w:val="293"/>
        </w:numPr>
        <w:tabs>
          <w:tab w:val="left" w:pos="2647"/>
        </w:tabs>
        <w:ind w:left="2280" w:hanging="5"/>
        <w:jc w:val="both"/>
        <w:rPr>
          <w:rFonts w:eastAsia="Times New Roman"/>
          <w:sz w:val="24"/>
          <w:szCs w:val="24"/>
        </w:rPr>
      </w:pPr>
      <w:r w:rsidRPr="00FF3BD4">
        <w:rPr>
          <w:rFonts w:eastAsia="Times New Roman"/>
          <w:sz w:val="24"/>
          <w:szCs w:val="24"/>
          <w:u w:val="single"/>
        </w:rPr>
        <w:t>Ultraviolet Absorption at 254 nm (UV254)</w:t>
      </w:r>
      <w:r w:rsidRPr="00FF3BD4">
        <w:rPr>
          <w:rFonts w:eastAsia="Times New Roman"/>
          <w:sz w:val="24"/>
          <w:szCs w:val="24"/>
        </w:rPr>
        <w:t>. Standard Method 5910 B or 5910 B-00 (Ultraviolet Absorption Method) or EPA Method 415.3 Revision 1.1 or Revision 1.2. UV absorption shall be measured at 253.7 nm (may be rounded off to 254 nm). Prior to analysis, UV254 samples shall be filtered through a 0.45 µm pore-diameter filter. The pH of UV254 samples may not be adjusted. Samples shall be analyzed as soon as practical after sampling, not to exceed 48 hours.</w:t>
      </w:r>
    </w:p>
    <w:p w14:paraId="2819F3FA" w14:textId="77777777" w:rsidR="004647B9" w:rsidRPr="00FF3BD4" w:rsidRDefault="00E2436F" w:rsidP="00300C5D">
      <w:pPr>
        <w:numPr>
          <w:ilvl w:val="2"/>
          <w:numId w:val="293"/>
        </w:numPr>
        <w:tabs>
          <w:tab w:val="left" w:pos="2261"/>
        </w:tabs>
        <w:ind w:left="2280" w:hanging="365"/>
        <w:rPr>
          <w:rFonts w:eastAsia="Times New Roman"/>
          <w:sz w:val="24"/>
          <w:szCs w:val="24"/>
        </w:rPr>
      </w:pPr>
      <w:r w:rsidRPr="00FF3BD4">
        <w:rPr>
          <w:rFonts w:eastAsia="Times New Roman"/>
          <w:sz w:val="24"/>
          <w:szCs w:val="24"/>
        </w:rPr>
        <w:t>pH. All methods allowed in 310 CMR 22.06B(10) for measuring pH.</w:t>
      </w:r>
    </w:p>
    <w:p w14:paraId="2819F3FB" w14:textId="77777777" w:rsidR="004647B9" w:rsidRPr="00FF3BD4" w:rsidRDefault="00E2436F" w:rsidP="00300C5D">
      <w:pPr>
        <w:numPr>
          <w:ilvl w:val="2"/>
          <w:numId w:val="293"/>
        </w:numPr>
        <w:tabs>
          <w:tab w:val="left" w:pos="2261"/>
        </w:tabs>
        <w:ind w:left="1920" w:hanging="5"/>
        <w:rPr>
          <w:rFonts w:eastAsia="Times New Roman"/>
          <w:sz w:val="24"/>
          <w:szCs w:val="24"/>
        </w:rPr>
      </w:pPr>
      <w:r w:rsidRPr="00FF3BD4">
        <w:rPr>
          <w:rFonts w:eastAsia="Times New Roman"/>
          <w:sz w:val="24"/>
          <w:szCs w:val="24"/>
          <w:u w:val="single"/>
        </w:rPr>
        <w:t>Magnesium</w:t>
      </w:r>
      <w:r w:rsidRPr="00FF3BD4">
        <w:rPr>
          <w:rFonts w:eastAsia="Times New Roman"/>
          <w:sz w:val="24"/>
          <w:szCs w:val="24"/>
        </w:rPr>
        <w:t>. All methods allowed in 310 CMR 22.06B(10)(a) for measuring magnesium.</w:t>
      </w:r>
    </w:p>
    <w:p w14:paraId="2819F3FC" w14:textId="77777777" w:rsidR="004647B9" w:rsidRPr="00FF3BD4" w:rsidRDefault="004647B9" w:rsidP="00FD55C9">
      <w:pPr>
        <w:rPr>
          <w:rFonts w:eastAsia="Times New Roman"/>
          <w:sz w:val="24"/>
          <w:szCs w:val="24"/>
        </w:rPr>
      </w:pPr>
    </w:p>
    <w:p w14:paraId="2819F3FD" w14:textId="77777777" w:rsidR="004647B9" w:rsidRPr="00FF3BD4" w:rsidRDefault="00E2436F" w:rsidP="00563A54">
      <w:pPr>
        <w:numPr>
          <w:ilvl w:val="0"/>
          <w:numId w:val="294"/>
        </w:numPr>
        <w:tabs>
          <w:tab w:val="left" w:pos="1660"/>
        </w:tabs>
        <w:ind w:left="1660" w:hanging="460"/>
        <w:rPr>
          <w:rFonts w:eastAsia="Times New Roman"/>
          <w:sz w:val="24"/>
          <w:szCs w:val="24"/>
        </w:rPr>
      </w:pPr>
      <w:r w:rsidRPr="00FF3BD4">
        <w:rPr>
          <w:rFonts w:eastAsia="Times New Roman"/>
          <w:sz w:val="24"/>
          <w:szCs w:val="24"/>
          <w:u w:val="single"/>
        </w:rPr>
        <w:t>Monitoring Requirements</w:t>
      </w:r>
      <w:r w:rsidRPr="00FF3BD4">
        <w:rPr>
          <w:rFonts w:eastAsia="Times New Roman"/>
          <w:sz w:val="24"/>
          <w:szCs w:val="24"/>
        </w:rPr>
        <w:t>.</w:t>
      </w:r>
    </w:p>
    <w:p w14:paraId="2819F3FF" w14:textId="77777777" w:rsidR="004647B9" w:rsidRPr="00FF3BD4" w:rsidRDefault="00E2436F" w:rsidP="00563A54">
      <w:pPr>
        <w:numPr>
          <w:ilvl w:val="1"/>
          <w:numId w:val="294"/>
        </w:numPr>
        <w:tabs>
          <w:tab w:val="left" w:pos="2000"/>
        </w:tabs>
        <w:ind w:left="2000" w:hanging="445"/>
        <w:rPr>
          <w:rFonts w:eastAsia="Times New Roman"/>
          <w:sz w:val="24"/>
          <w:szCs w:val="24"/>
        </w:rPr>
      </w:pPr>
      <w:r w:rsidRPr="00FF3BD4">
        <w:rPr>
          <w:rFonts w:eastAsia="Times New Roman"/>
          <w:sz w:val="24"/>
          <w:szCs w:val="24"/>
          <w:u w:val="single"/>
        </w:rPr>
        <w:t>General Requirements</w:t>
      </w:r>
      <w:r w:rsidRPr="00FF3BD4">
        <w:rPr>
          <w:rFonts w:eastAsia="Times New Roman"/>
          <w:sz w:val="24"/>
          <w:szCs w:val="24"/>
        </w:rPr>
        <w:t>.</w:t>
      </w:r>
    </w:p>
    <w:p w14:paraId="2819F400" w14:textId="77777777" w:rsidR="004647B9" w:rsidRPr="00FF3BD4" w:rsidRDefault="00E2436F" w:rsidP="00563A54">
      <w:pPr>
        <w:numPr>
          <w:ilvl w:val="2"/>
          <w:numId w:val="294"/>
        </w:numPr>
        <w:tabs>
          <w:tab w:val="left" w:pos="2280"/>
        </w:tabs>
        <w:ind w:left="2280" w:hanging="365"/>
        <w:rPr>
          <w:rFonts w:eastAsia="Times New Roman"/>
          <w:sz w:val="24"/>
          <w:szCs w:val="24"/>
        </w:rPr>
      </w:pPr>
      <w:r w:rsidRPr="00FF3BD4">
        <w:rPr>
          <w:rFonts w:eastAsia="Times New Roman"/>
          <w:sz w:val="24"/>
          <w:szCs w:val="24"/>
        </w:rPr>
        <w:t>Each Supplier of Water shall take all samples during normal operating conditions.</w:t>
      </w:r>
    </w:p>
    <w:p w14:paraId="2819F401" w14:textId="77777777" w:rsidR="004647B9" w:rsidRPr="00FF3BD4" w:rsidRDefault="00E2436F" w:rsidP="00563A54">
      <w:pPr>
        <w:numPr>
          <w:ilvl w:val="2"/>
          <w:numId w:val="294"/>
        </w:numPr>
        <w:tabs>
          <w:tab w:val="left" w:pos="2251"/>
        </w:tabs>
        <w:ind w:left="1920" w:hanging="5"/>
        <w:jc w:val="both"/>
        <w:rPr>
          <w:rFonts w:eastAsia="Times New Roman"/>
          <w:sz w:val="24"/>
          <w:szCs w:val="24"/>
        </w:rPr>
      </w:pPr>
      <w:r w:rsidRPr="00FF3BD4">
        <w:rPr>
          <w:rFonts w:eastAsia="Times New Roman"/>
          <w:sz w:val="24"/>
          <w:szCs w:val="24"/>
        </w:rPr>
        <w:t>For the purpose of determining the minimum number of required TTHM and HAA5 samples, the Department may allow multiple wells drawing water from the same aquifer but entering the Distribution System at different locations to be considered one treatment plant. Upon written request from a Supplier of Water, the Department will make this determination based on the following criteria:</w:t>
      </w:r>
    </w:p>
    <w:p w14:paraId="2819F403" w14:textId="77777777" w:rsidR="004647B9" w:rsidRPr="00FF3BD4" w:rsidRDefault="00E2436F" w:rsidP="00971CD2">
      <w:pPr>
        <w:numPr>
          <w:ilvl w:val="3"/>
          <w:numId w:val="294"/>
        </w:numPr>
        <w:tabs>
          <w:tab w:val="left" w:pos="2641"/>
        </w:tabs>
        <w:ind w:left="2280" w:hanging="5"/>
        <w:rPr>
          <w:rFonts w:eastAsia="Times New Roman"/>
          <w:sz w:val="24"/>
          <w:szCs w:val="24"/>
        </w:rPr>
      </w:pPr>
      <w:r w:rsidRPr="00FF3BD4">
        <w:rPr>
          <w:rFonts w:eastAsia="Times New Roman"/>
          <w:sz w:val="24"/>
          <w:szCs w:val="24"/>
        </w:rPr>
        <w:t>The wells must be shown to be in the same aquifer using Department GIS and USGS information.</w:t>
      </w:r>
    </w:p>
    <w:p w14:paraId="2819F405" w14:textId="77777777" w:rsidR="004647B9" w:rsidRPr="00FF3BD4" w:rsidRDefault="00E2436F" w:rsidP="00971CD2">
      <w:pPr>
        <w:numPr>
          <w:ilvl w:val="3"/>
          <w:numId w:val="294"/>
        </w:numPr>
        <w:tabs>
          <w:tab w:val="left" w:pos="2635"/>
        </w:tabs>
        <w:ind w:left="2280" w:hanging="5"/>
        <w:jc w:val="both"/>
        <w:rPr>
          <w:rFonts w:eastAsia="Times New Roman"/>
          <w:sz w:val="24"/>
          <w:szCs w:val="24"/>
        </w:rPr>
      </w:pPr>
      <w:r w:rsidRPr="00FF3BD4">
        <w:rPr>
          <w:rFonts w:eastAsia="Times New Roman"/>
          <w:sz w:val="24"/>
          <w:szCs w:val="24"/>
        </w:rPr>
        <w:t>The wells must be treated in the same fashion or with processes that can be shown to be equivalent with respect to the potential to form Disinfection byproducts.</w:t>
      </w:r>
    </w:p>
    <w:p w14:paraId="2819F407" w14:textId="77777777" w:rsidR="004647B9" w:rsidRPr="00FF3BD4" w:rsidRDefault="00E2436F" w:rsidP="00971CD2">
      <w:pPr>
        <w:numPr>
          <w:ilvl w:val="3"/>
          <w:numId w:val="294"/>
        </w:numPr>
        <w:tabs>
          <w:tab w:val="left" w:pos="2635"/>
        </w:tabs>
        <w:ind w:left="2280" w:hanging="5"/>
        <w:rPr>
          <w:rFonts w:eastAsia="Times New Roman"/>
          <w:sz w:val="24"/>
          <w:szCs w:val="24"/>
        </w:rPr>
      </w:pPr>
      <w:r w:rsidRPr="00FF3BD4">
        <w:rPr>
          <w:rFonts w:eastAsia="Times New Roman"/>
          <w:sz w:val="24"/>
          <w:szCs w:val="24"/>
        </w:rPr>
        <w:lastRenderedPageBreak/>
        <w:t>TOC samples from each well under consideration, taken during August, must have comparable results.</w:t>
      </w:r>
    </w:p>
    <w:p w14:paraId="2819F408" w14:textId="77777777" w:rsidR="004647B9" w:rsidRDefault="004647B9">
      <w:pPr>
        <w:sectPr w:rsidR="004647B9" w:rsidSect="00EF630C">
          <w:pgSz w:w="12240" w:h="20180"/>
          <w:pgMar w:top="708" w:right="1440" w:bottom="1440" w:left="600" w:header="0" w:footer="0" w:gutter="0"/>
          <w:cols w:space="720" w:equalWidth="0">
            <w:col w:w="10200"/>
          </w:cols>
        </w:sectPr>
      </w:pPr>
    </w:p>
    <w:p w14:paraId="2819F409" w14:textId="77777777" w:rsidR="004647B9" w:rsidRDefault="00E2436F">
      <w:pPr>
        <w:tabs>
          <w:tab w:val="left" w:pos="160"/>
        </w:tabs>
        <w:jc w:val="center"/>
        <w:rPr>
          <w:sz w:val="20"/>
          <w:szCs w:val="20"/>
        </w:rPr>
      </w:pPr>
      <w:bookmarkStart w:id="118" w:name="page120"/>
      <w:bookmarkEnd w:id="11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40A" w14:textId="77777777" w:rsidR="004647B9" w:rsidRDefault="004647B9" w:rsidP="00453EB0">
      <w:pPr>
        <w:rPr>
          <w:sz w:val="20"/>
          <w:szCs w:val="20"/>
        </w:rPr>
      </w:pPr>
    </w:p>
    <w:p w14:paraId="2819F40B" w14:textId="77777777" w:rsidR="004647B9" w:rsidRDefault="004647B9" w:rsidP="00453EB0">
      <w:pPr>
        <w:rPr>
          <w:sz w:val="20"/>
          <w:szCs w:val="20"/>
        </w:rPr>
      </w:pPr>
    </w:p>
    <w:p w14:paraId="2819F40C" w14:textId="77777777" w:rsidR="004647B9" w:rsidRPr="00453EB0" w:rsidRDefault="00E2436F" w:rsidP="00453EB0">
      <w:pPr>
        <w:tabs>
          <w:tab w:val="left" w:pos="920"/>
        </w:tabs>
        <w:rPr>
          <w:sz w:val="24"/>
          <w:szCs w:val="24"/>
        </w:rPr>
      </w:pPr>
      <w:r w:rsidRPr="00453EB0">
        <w:rPr>
          <w:rFonts w:eastAsia="Times New Roman"/>
          <w:sz w:val="24"/>
          <w:szCs w:val="24"/>
        </w:rPr>
        <w:t>22.07E:</w:t>
      </w:r>
      <w:r w:rsidRPr="00453EB0">
        <w:rPr>
          <w:sz w:val="24"/>
          <w:szCs w:val="24"/>
        </w:rPr>
        <w:tab/>
      </w:r>
      <w:r w:rsidRPr="00453EB0">
        <w:rPr>
          <w:rFonts w:eastAsia="Times New Roman"/>
          <w:sz w:val="24"/>
          <w:szCs w:val="24"/>
        </w:rPr>
        <w:t>continued</w:t>
      </w:r>
    </w:p>
    <w:p w14:paraId="2819F40D" w14:textId="77777777" w:rsidR="004647B9" w:rsidRDefault="004647B9" w:rsidP="00453EB0">
      <w:pPr>
        <w:rPr>
          <w:sz w:val="20"/>
          <w:szCs w:val="20"/>
        </w:rPr>
      </w:pPr>
    </w:p>
    <w:p w14:paraId="2819F40E" w14:textId="77777777" w:rsidR="004647B9" w:rsidRDefault="00E2436F" w:rsidP="00453EB0">
      <w:pPr>
        <w:numPr>
          <w:ilvl w:val="1"/>
          <w:numId w:val="295"/>
        </w:numPr>
        <w:tabs>
          <w:tab w:val="left" w:pos="2388"/>
        </w:tabs>
        <w:ind w:left="1920" w:hanging="5"/>
        <w:rPr>
          <w:rFonts w:eastAsia="Times New Roman"/>
          <w:sz w:val="24"/>
          <w:szCs w:val="24"/>
        </w:rPr>
      </w:pPr>
      <w:r>
        <w:rPr>
          <w:rFonts w:eastAsia="Times New Roman"/>
          <w:sz w:val="24"/>
          <w:szCs w:val="24"/>
        </w:rPr>
        <w:t>Each Supplier of Water shall monitor in accordance with the monitoring plan required under 310 CMR 22.07E(7)(f).</w:t>
      </w:r>
    </w:p>
    <w:p w14:paraId="2819F410" w14:textId="2A8C8D59" w:rsidR="004647B9" w:rsidRDefault="00E2436F" w:rsidP="00453EB0">
      <w:pPr>
        <w:numPr>
          <w:ilvl w:val="1"/>
          <w:numId w:val="295"/>
        </w:numPr>
        <w:tabs>
          <w:tab w:val="left" w:pos="2420"/>
        </w:tabs>
        <w:ind w:left="1915"/>
        <w:rPr>
          <w:rFonts w:eastAsia="Times New Roman"/>
          <w:sz w:val="24"/>
          <w:szCs w:val="24"/>
        </w:rPr>
      </w:pPr>
      <w:r>
        <w:rPr>
          <w:rFonts w:eastAsia="Times New Roman"/>
          <w:sz w:val="24"/>
          <w:szCs w:val="24"/>
        </w:rPr>
        <w:t>Each Supplier of Water may use only data collected under the provisions of</w:t>
      </w:r>
      <w:r w:rsidR="00453EB0">
        <w:rPr>
          <w:rFonts w:eastAsia="Times New Roman"/>
          <w:sz w:val="24"/>
          <w:szCs w:val="24"/>
        </w:rPr>
        <w:t xml:space="preserve"> 310 CMR 22.07E to qualify for reduced monitoring.</w:t>
      </w:r>
    </w:p>
    <w:p w14:paraId="2819F412" w14:textId="77777777" w:rsidR="004647B9" w:rsidRDefault="00E2436F" w:rsidP="00453EB0">
      <w:pPr>
        <w:numPr>
          <w:ilvl w:val="1"/>
          <w:numId w:val="297"/>
        </w:numPr>
        <w:tabs>
          <w:tab w:val="left" w:pos="2474"/>
        </w:tabs>
        <w:ind w:left="1920" w:hanging="5"/>
        <w:rPr>
          <w:rFonts w:eastAsia="Times New Roman"/>
          <w:sz w:val="24"/>
          <w:szCs w:val="24"/>
        </w:rPr>
      </w:pPr>
      <w:r>
        <w:rPr>
          <w:rFonts w:eastAsia="Times New Roman"/>
          <w:sz w:val="24"/>
          <w:szCs w:val="24"/>
        </w:rPr>
        <w:t>Each Supplier of Water who qualifies for reduced monitoring shall obtain Department approval prior to altering sampling practices.</w:t>
      </w:r>
    </w:p>
    <w:p w14:paraId="2819F414" w14:textId="77777777" w:rsidR="004647B9" w:rsidRDefault="00E2436F" w:rsidP="00453EB0">
      <w:pPr>
        <w:numPr>
          <w:ilvl w:val="1"/>
          <w:numId w:val="297"/>
        </w:numPr>
        <w:tabs>
          <w:tab w:val="left" w:pos="2256"/>
        </w:tabs>
        <w:ind w:left="1920" w:hanging="5"/>
        <w:rPr>
          <w:rFonts w:eastAsia="Times New Roman"/>
          <w:sz w:val="24"/>
          <w:szCs w:val="24"/>
        </w:rPr>
      </w:pPr>
      <w:r>
        <w:rPr>
          <w:rFonts w:eastAsia="Times New Roman"/>
          <w:sz w:val="24"/>
          <w:szCs w:val="24"/>
        </w:rPr>
        <w:t>Systems must collect both TTHM and HAA5 samples at the same frequency at each monitoring location.</w:t>
      </w:r>
    </w:p>
    <w:p w14:paraId="2819F416" w14:textId="77777777" w:rsidR="004647B9" w:rsidRDefault="00E2436F" w:rsidP="00453EB0">
      <w:pPr>
        <w:numPr>
          <w:ilvl w:val="0"/>
          <w:numId w:val="298"/>
        </w:numPr>
        <w:tabs>
          <w:tab w:val="left" w:pos="2020"/>
        </w:tabs>
        <w:ind w:left="2020" w:hanging="465"/>
        <w:rPr>
          <w:rFonts w:eastAsia="Times New Roman"/>
          <w:sz w:val="24"/>
          <w:szCs w:val="24"/>
        </w:rPr>
      </w:pPr>
      <w:r>
        <w:rPr>
          <w:rFonts w:eastAsia="Times New Roman"/>
          <w:sz w:val="24"/>
          <w:szCs w:val="24"/>
          <w:u w:val="single"/>
        </w:rPr>
        <w:t>Monitoring Requirements for Disinfection Byproducts</w:t>
      </w:r>
      <w:r>
        <w:rPr>
          <w:rFonts w:eastAsia="Times New Roman"/>
          <w:sz w:val="24"/>
          <w:szCs w:val="24"/>
        </w:rPr>
        <w:t>.</w:t>
      </w:r>
    </w:p>
    <w:p w14:paraId="2819F417" w14:textId="77777777" w:rsidR="004647B9" w:rsidRDefault="00E2436F" w:rsidP="00453EB0">
      <w:pPr>
        <w:numPr>
          <w:ilvl w:val="1"/>
          <w:numId w:val="298"/>
        </w:numPr>
        <w:tabs>
          <w:tab w:val="left" w:pos="2280"/>
        </w:tabs>
        <w:ind w:left="2280" w:hanging="365"/>
        <w:rPr>
          <w:rFonts w:eastAsia="Times New Roman"/>
          <w:sz w:val="24"/>
          <w:szCs w:val="24"/>
        </w:rPr>
      </w:pPr>
      <w:r>
        <w:rPr>
          <w:rFonts w:eastAsia="Times New Roman"/>
          <w:sz w:val="24"/>
          <w:szCs w:val="24"/>
          <w:u w:val="single"/>
        </w:rPr>
        <w:t>TTHM and HAA5</w:t>
      </w:r>
      <w:r>
        <w:rPr>
          <w:rFonts w:eastAsia="Times New Roman"/>
          <w:sz w:val="24"/>
          <w:szCs w:val="24"/>
        </w:rPr>
        <w:t>.</w:t>
      </w:r>
    </w:p>
    <w:p w14:paraId="2819F418" w14:textId="79075392" w:rsidR="004647B9" w:rsidRPr="00D21E3C" w:rsidRDefault="00E2436F" w:rsidP="00453EB0">
      <w:pPr>
        <w:pStyle w:val="ListParagraph"/>
        <w:numPr>
          <w:ilvl w:val="0"/>
          <w:numId w:val="1029"/>
        </w:numPr>
        <w:tabs>
          <w:tab w:val="left" w:pos="2610"/>
        </w:tabs>
        <w:ind w:left="2275" w:firstLine="0"/>
        <w:rPr>
          <w:rFonts w:eastAsia="Times New Roman"/>
          <w:sz w:val="24"/>
          <w:szCs w:val="24"/>
        </w:rPr>
      </w:pPr>
      <w:r w:rsidRPr="00D21E3C">
        <w:rPr>
          <w:rFonts w:eastAsia="Times New Roman"/>
          <w:sz w:val="24"/>
          <w:szCs w:val="24"/>
          <w:u w:val="single"/>
        </w:rPr>
        <w:t>Routine Monitoring</w:t>
      </w:r>
      <w:r w:rsidRPr="00D21E3C">
        <w:rPr>
          <w:rFonts w:eastAsia="Times New Roman"/>
          <w:sz w:val="24"/>
          <w:szCs w:val="24"/>
        </w:rPr>
        <w:t>. Each Supplier of Water shall monitor at the frequency indicated in the following table:</w:t>
      </w:r>
    </w:p>
    <w:p w14:paraId="2819F41A" w14:textId="77777777" w:rsidR="004647B9" w:rsidRDefault="00E2436F" w:rsidP="00453EB0">
      <w:pPr>
        <w:jc w:val="center"/>
        <w:rPr>
          <w:rFonts w:eastAsia="Times New Roman"/>
          <w:sz w:val="24"/>
          <w:szCs w:val="24"/>
        </w:rPr>
      </w:pPr>
      <w:r>
        <w:rPr>
          <w:rFonts w:eastAsia="Times New Roman"/>
          <w:sz w:val="24"/>
          <w:szCs w:val="24"/>
        </w:rPr>
        <w:t>Routine Monitoring Frequency for TTHM and HAA5</w:t>
      </w:r>
    </w:p>
    <w:p w14:paraId="2819F41B" w14:textId="77777777" w:rsidR="004647B9" w:rsidRDefault="004647B9">
      <w:pPr>
        <w:spacing w:line="1"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2940"/>
        <w:gridCol w:w="3140"/>
        <w:gridCol w:w="4080"/>
      </w:tblGrid>
      <w:tr w:rsidR="00DB1B78" w14:paraId="2819F420" w14:textId="77777777" w:rsidTr="0087351B">
        <w:trPr>
          <w:trHeight w:val="543"/>
        </w:trPr>
        <w:tc>
          <w:tcPr>
            <w:tcW w:w="2940" w:type="dxa"/>
            <w:tcBorders>
              <w:top w:val="single" w:sz="8" w:space="0" w:color="auto"/>
              <w:bottom w:val="single" w:sz="8" w:space="0" w:color="auto"/>
              <w:right w:val="single" w:sz="8" w:space="0" w:color="auto"/>
            </w:tcBorders>
            <w:vAlign w:val="center"/>
          </w:tcPr>
          <w:p w14:paraId="2819F41D" w14:textId="2557DD56" w:rsidR="00DB1B78" w:rsidRDefault="00DB1B78" w:rsidP="0087351B">
            <w:pPr>
              <w:jc w:val="center"/>
              <w:rPr>
                <w:sz w:val="18"/>
                <w:szCs w:val="18"/>
              </w:rPr>
            </w:pPr>
            <w:r>
              <w:rPr>
                <w:rFonts w:eastAsia="Times New Roman"/>
                <w:sz w:val="24"/>
                <w:szCs w:val="24"/>
              </w:rPr>
              <w:t>Type of system</w:t>
            </w:r>
          </w:p>
        </w:tc>
        <w:tc>
          <w:tcPr>
            <w:tcW w:w="3140" w:type="dxa"/>
            <w:tcBorders>
              <w:top w:val="single" w:sz="8" w:space="0" w:color="auto"/>
              <w:left w:val="single" w:sz="8" w:space="0" w:color="auto"/>
              <w:bottom w:val="single" w:sz="8" w:space="0" w:color="auto"/>
              <w:right w:val="single" w:sz="8" w:space="0" w:color="auto"/>
            </w:tcBorders>
            <w:vAlign w:val="center"/>
          </w:tcPr>
          <w:p w14:paraId="578F1D4B" w14:textId="77777777" w:rsidR="004D60D7" w:rsidRDefault="00DB1B78" w:rsidP="0087351B">
            <w:pPr>
              <w:spacing w:line="214" w:lineRule="exact"/>
              <w:jc w:val="center"/>
              <w:rPr>
                <w:rFonts w:eastAsia="Times New Roman"/>
                <w:sz w:val="24"/>
                <w:szCs w:val="24"/>
              </w:rPr>
            </w:pPr>
            <w:r>
              <w:rPr>
                <w:rFonts w:eastAsia="Times New Roman"/>
                <w:sz w:val="24"/>
                <w:szCs w:val="24"/>
              </w:rPr>
              <w:t>Minimum monitoring</w:t>
            </w:r>
          </w:p>
          <w:p w14:paraId="2819F41E" w14:textId="2863B870" w:rsidR="00DB1B78" w:rsidRDefault="00DB1B78" w:rsidP="0087351B">
            <w:pPr>
              <w:spacing w:line="214" w:lineRule="exact"/>
              <w:jc w:val="center"/>
              <w:rPr>
                <w:sz w:val="20"/>
                <w:szCs w:val="20"/>
              </w:rPr>
            </w:pPr>
            <w:r>
              <w:rPr>
                <w:rFonts w:eastAsia="Times New Roman"/>
                <w:sz w:val="24"/>
                <w:szCs w:val="24"/>
              </w:rPr>
              <w:t>frequency</w:t>
            </w:r>
          </w:p>
        </w:tc>
        <w:tc>
          <w:tcPr>
            <w:tcW w:w="4080" w:type="dxa"/>
            <w:tcBorders>
              <w:top w:val="single" w:sz="8" w:space="0" w:color="auto"/>
              <w:bottom w:val="single" w:sz="8" w:space="0" w:color="auto"/>
            </w:tcBorders>
            <w:vAlign w:val="center"/>
          </w:tcPr>
          <w:p w14:paraId="2819F41F" w14:textId="07B3A333" w:rsidR="00DB1B78" w:rsidRDefault="00DB1B78" w:rsidP="0087351B">
            <w:pPr>
              <w:spacing w:line="214" w:lineRule="exact"/>
              <w:jc w:val="center"/>
              <w:rPr>
                <w:sz w:val="20"/>
                <w:szCs w:val="20"/>
              </w:rPr>
            </w:pPr>
            <w:r>
              <w:rPr>
                <w:rFonts w:eastAsia="Times New Roman"/>
                <w:sz w:val="24"/>
                <w:szCs w:val="24"/>
              </w:rPr>
              <w:t>Sample location in the Distribution System</w:t>
            </w:r>
          </w:p>
        </w:tc>
      </w:tr>
      <w:tr w:rsidR="00252899" w14:paraId="2819F42A" w14:textId="77777777" w:rsidTr="00231A81">
        <w:trPr>
          <w:trHeight w:val="2854"/>
        </w:trPr>
        <w:tc>
          <w:tcPr>
            <w:tcW w:w="2940" w:type="dxa"/>
            <w:tcBorders>
              <w:top w:val="single" w:sz="8" w:space="0" w:color="auto"/>
              <w:bottom w:val="single" w:sz="8" w:space="0" w:color="auto"/>
              <w:right w:val="single" w:sz="8" w:space="0" w:color="auto"/>
            </w:tcBorders>
          </w:tcPr>
          <w:p w14:paraId="2819F427" w14:textId="31083434" w:rsidR="00252899" w:rsidRDefault="00252899" w:rsidP="0087351B">
            <w:pPr>
              <w:ind w:left="144"/>
              <w:rPr>
                <w:sz w:val="18"/>
                <w:szCs w:val="18"/>
              </w:rPr>
            </w:pPr>
            <w:r>
              <w:rPr>
                <w:rFonts w:eastAsia="Times New Roman"/>
                <w:sz w:val="24"/>
                <w:szCs w:val="24"/>
              </w:rPr>
              <w:t>Systems using Surface Water or Groundwater Under the Direct Influence of Surface Water serving at least 10,000 persons.</w:t>
            </w:r>
          </w:p>
        </w:tc>
        <w:tc>
          <w:tcPr>
            <w:tcW w:w="3140" w:type="dxa"/>
            <w:tcBorders>
              <w:top w:val="single" w:sz="8" w:space="0" w:color="auto"/>
              <w:bottom w:val="single" w:sz="8" w:space="0" w:color="auto"/>
              <w:right w:val="single" w:sz="8" w:space="0" w:color="auto"/>
            </w:tcBorders>
          </w:tcPr>
          <w:p w14:paraId="2819F428" w14:textId="10230C0E" w:rsidR="00252899" w:rsidRDefault="00252899" w:rsidP="0087351B">
            <w:pPr>
              <w:spacing w:line="217" w:lineRule="exact"/>
              <w:ind w:left="144"/>
              <w:rPr>
                <w:sz w:val="20"/>
                <w:szCs w:val="20"/>
              </w:rPr>
            </w:pPr>
            <w:r>
              <w:rPr>
                <w:rFonts w:eastAsia="Times New Roman"/>
                <w:sz w:val="24"/>
                <w:szCs w:val="24"/>
              </w:rPr>
              <w:t>Four water samples per quarter per treatment plant.</w:t>
            </w:r>
          </w:p>
        </w:tc>
        <w:tc>
          <w:tcPr>
            <w:tcW w:w="4080" w:type="dxa"/>
            <w:tcBorders>
              <w:top w:val="single" w:sz="8" w:space="0" w:color="auto"/>
              <w:bottom w:val="single" w:sz="8" w:space="0" w:color="auto"/>
            </w:tcBorders>
          </w:tcPr>
          <w:p w14:paraId="2819F429" w14:textId="5B441A95" w:rsidR="00252899" w:rsidRDefault="00252899" w:rsidP="0087351B">
            <w:pPr>
              <w:ind w:left="144"/>
              <w:rPr>
                <w:sz w:val="20"/>
                <w:szCs w:val="20"/>
              </w:rPr>
            </w:pPr>
            <w:r>
              <w:rPr>
                <w:rFonts w:eastAsia="Times New Roman"/>
                <w:sz w:val="24"/>
                <w:szCs w:val="24"/>
              </w:rPr>
              <w:t>At least 25% of all samples collected each quarter at locations representing maximum residence time. Remaining samples taken at locations representative of at least average residence time in the Distribution System and representing the entire Distribution System, taking into account number of persons served, different sources of water, and different treatment methods.</w:t>
            </w:r>
            <w:r>
              <w:rPr>
                <w:rFonts w:eastAsia="Times New Roman"/>
                <w:sz w:val="27"/>
                <w:szCs w:val="27"/>
                <w:vertAlign w:val="superscript"/>
              </w:rPr>
              <w:t>1</w:t>
            </w:r>
          </w:p>
        </w:tc>
      </w:tr>
      <w:tr w:rsidR="00946D41" w14:paraId="612B43D3" w14:textId="77777777" w:rsidTr="00231A81">
        <w:trPr>
          <w:trHeight w:val="1414"/>
        </w:trPr>
        <w:tc>
          <w:tcPr>
            <w:tcW w:w="2940" w:type="dxa"/>
            <w:tcBorders>
              <w:top w:val="single" w:sz="8" w:space="0" w:color="auto"/>
              <w:bottom w:val="single" w:sz="8" w:space="0" w:color="auto"/>
              <w:right w:val="single" w:sz="8" w:space="0" w:color="auto"/>
            </w:tcBorders>
          </w:tcPr>
          <w:p w14:paraId="40FCA4F6" w14:textId="2D1D39E3" w:rsidR="00946D41" w:rsidRPr="00D612B0" w:rsidRDefault="00D612B0" w:rsidP="0087351B">
            <w:pPr>
              <w:spacing w:line="232" w:lineRule="auto"/>
              <w:ind w:left="144"/>
              <w:rPr>
                <w:sz w:val="20"/>
                <w:szCs w:val="20"/>
              </w:rPr>
            </w:pPr>
            <w:r>
              <w:rPr>
                <w:rFonts w:eastAsia="Times New Roman"/>
                <w:sz w:val="24"/>
                <w:szCs w:val="24"/>
              </w:rPr>
              <w:t>Systems using Surface Water or Groundwater Under the Direct Influence of Surface Water serving from 500 to 9,999 persons.</w:t>
            </w:r>
          </w:p>
        </w:tc>
        <w:tc>
          <w:tcPr>
            <w:tcW w:w="3140" w:type="dxa"/>
            <w:tcBorders>
              <w:top w:val="single" w:sz="8" w:space="0" w:color="auto"/>
              <w:bottom w:val="single" w:sz="8" w:space="0" w:color="auto"/>
              <w:right w:val="single" w:sz="8" w:space="0" w:color="auto"/>
            </w:tcBorders>
          </w:tcPr>
          <w:p w14:paraId="37514211" w14:textId="39179C46" w:rsidR="00946D41" w:rsidRDefault="00D612B0" w:rsidP="0087351B">
            <w:pPr>
              <w:spacing w:line="231" w:lineRule="auto"/>
              <w:ind w:left="144"/>
              <w:rPr>
                <w:rFonts w:eastAsia="Times New Roman"/>
                <w:sz w:val="24"/>
                <w:szCs w:val="24"/>
              </w:rPr>
            </w:pPr>
            <w:r>
              <w:rPr>
                <w:rFonts w:eastAsia="Times New Roman"/>
                <w:sz w:val="24"/>
                <w:szCs w:val="24"/>
              </w:rPr>
              <w:t>One water sample per quarter per treatment plant.</w:t>
            </w:r>
          </w:p>
        </w:tc>
        <w:tc>
          <w:tcPr>
            <w:tcW w:w="4080" w:type="dxa"/>
            <w:tcBorders>
              <w:top w:val="single" w:sz="8" w:space="0" w:color="auto"/>
              <w:bottom w:val="single" w:sz="8" w:space="0" w:color="auto"/>
            </w:tcBorders>
          </w:tcPr>
          <w:p w14:paraId="436051B4" w14:textId="73EBC473" w:rsidR="00946D41" w:rsidRDefault="00D612B0" w:rsidP="0087351B">
            <w:pPr>
              <w:spacing w:line="218" w:lineRule="auto"/>
              <w:ind w:left="144"/>
              <w:rPr>
                <w:rFonts w:eastAsia="Times New Roman"/>
                <w:sz w:val="24"/>
                <w:szCs w:val="24"/>
              </w:rPr>
            </w:pPr>
            <w:r>
              <w:rPr>
                <w:rFonts w:eastAsia="Times New Roman"/>
                <w:sz w:val="24"/>
                <w:szCs w:val="24"/>
              </w:rPr>
              <w:t>Locations representing maximum residence time.</w:t>
            </w:r>
            <w:r>
              <w:rPr>
                <w:rFonts w:eastAsia="Times New Roman"/>
                <w:sz w:val="27"/>
                <w:szCs w:val="27"/>
                <w:vertAlign w:val="superscript"/>
              </w:rPr>
              <w:t>1</w:t>
            </w:r>
          </w:p>
        </w:tc>
      </w:tr>
      <w:tr w:rsidR="00946D41" w14:paraId="7759ABB0" w14:textId="77777777" w:rsidTr="00946D41">
        <w:trPr>
          <w:trHeight w:val="1675"/>
        </w:trPr>
        <w:tc>
          <w:tcPr>
            <w:tcW w:w="2940" w:type="dxa"/>
            <w:tcBorders>
              <w:top w:val="single" w:sz="8" w:space="0" w:color="auto"/>
              <w:bottom w:val="single" w:sz="8" w:space="0" w:color="auto"/>
              <w:right w:val="single" w:sz="8" w:space="0" w:color="auto"/>
            </w:tcBorders>
          </w:tcPr>
          <w:p w14:paraId="73740F69" w14:textId="55378501" w:rsidR="00946D41" w:rsidRDefault="00AF2C49" w:rsidP="0087351B">
            <w:pPr>
              <w:spacing w:line="234" w:lineRule="auto"/>
              <w:ind w:left="144"/>
              <w:rPr>
                <w:rFonts w:eastAsia="Times New Roman"/>
                <w:sz w:val="24"/>
                <w:szCs w:val="24"/>
              </w:rPr>
            </w:pPr>
            <w:r>
              <w:rPr>
                <w:rFonts w:eastAsia="Times New Roman"/>
                <w:sz w:val="24"/>
                <w:szCs w:val="24"/>
              </w:rPr>
              <w:t>Systems using Surface Water or Groundwater Under the Direct Influence of Surface Water serving fewer than 500 persons.</w:t>
            </w:r>
          </w:p>
        </w:tc>
        <w:tc>
          <w:tcPr>
            <w:tcW w:w="3140" w:type="dxa"/>
            <w:tcBorders>
              <w:top w:val="single" w:sz="8" w:space="0" w:color="auto"/>
              <w:bottom w:val="single" w:sz="8" w:space="0" w:color="auto"/>
              <w:right w:val="single" w:sz="8" w:space="0" w:color="auto"/>
            </w:tcBorders>
          </w:tcPr>
          <w:p w14:paraId="468036D7" w14:textId="441A185D" w:rsidR="00946D41" w:rsidRDefault="00AF2C49" w:rsidP="0087351B">
            <w:pPr>
              <w:spacing w:line="285" w:lineRule="auto"/>
              <w:ind w:left="144"/>
              <w:rPr>
                <w:rFonts w:eastAsia="Times New Roman"/>
                <w:sz w:val="24"/>
                <w:szCs w:val="24"/>
              </w:rPr>
            </w:pPr>
            <w:r>
              <w:rPr>
                <w:rFonts w:eastAsia="Times New Roman"/>
                <w:sz w:val="23"/>
                <w:szCs w:val="23"/>
              </w:rPr>
              <w:t>One sample per year per treatment plant during August.</w:t>
            </w:r>
          </w:p>
        </w:tc>
        <w:tc>
          <w:tcPr>
            <w:tcW w:w="4080" w:type="dxa"/>
            <w:tcBorders>
              <w:top w:val="single" w:sz="8" w:space="0" w:color="auto"/>
              <w:bottom w:val="single" w:sz="8" w:space="0" w:color="auto"/>
            </w:tcBorders>
          </w:tcPr>
          <w:p w14:paraId="3FC4AE26" w14:textId="29100D29" w:rsidR="00946D41" w:rsidRPr="00AF2C49" w:rsidRDefault="00AF2C49" w:rsidP="0087351B">
            <w:pPr>
              <w:spacing w:line="233" w:lineRule="auto"/>
              <w:ind w:left="144"/>
              <w:rPr>
                <w:sz w:val="20"/>
                <w:szCs w:val="20"/>
              </w:rPr>
            </w:pPr>
            <w:r>
              <w:rPr>
                <w:rFonts w:eastAsia="Times New Roman"/>
                <w:sz w:val="24"/>
                <w:szCs w:val="24"/>
              </w:rPr>
              <w:t>Locations representing maximum residence time.</w:t>
            </w:r>
            <w:r>
              <w:rPr>
                <w:rFonts w:eastAsia="Times New Roman"/>
                <w:sz w:val="27"/>
                <w:szCs w:val="27"/>
                <w:vertAlign w:val="superscript"/>
              </w:rPr>
              <w:t>1</w:t>
            </w:r>
            <w:r>
              <w:rPr>
                <w:rFonts w:eastAsia="Times New Roman"/>
                <w:sz w:val="24"/>
                <w:szCs w:val="24"/>
              </w:rPr>
              <w:t xml:space="preserve"> If the sample (or average of annual samples, if more than one sample is taken) exceeds the MCL, the system shall increase monitoring to one sample per treatment plant per quarter, taken at a point reflecting the maximum residence time in the Distribution System, until the system meets reduced monitoring criteria in 310 CMR 22.07E(7)(b)1.d.</w:t>
            </w:r>
          </w:p>
        </w:tc>
      </w:tr>
      <w:tr w:rsidR="00946D41" w14:paraId="76045373" w14:textId="77777777" w:rsidTr="00946D41">
        <w:trPr>
          <w:trHeight w:val="1675"/>
        </w:trPr>
        <w:tc>
          <w:tcPr>
            <w:tcW w:w="2940" w:type="dxa"/>
            <w:tcBorders>
              <w:top w:val="single" w:sz="8" w:space="0" w:color="auto"/>
              <w:bottom w:val="single" w:sz="8" w:space="0" w:color="auto"/>
              <w:right w:val="single" w:sz="8" w:space="0" w:color="auto"/>
            </w:tcBorders>
          </w:tcPr>
          <w:p w14:paraId="04D4B42F" w14:textId="155EC913" w:rsidR="00946D41" w:rsidRPr="00AF2C49" w:rsidRDefault="00AF2C49" w:rsidP="0087351B">
            <w:pPr>
              <w:spacing w:line="239" w:lineRule="auto"/>
              <w:ind w:left="144"/>
              <w:rPr>
                <w:sz w:val="20"/>
                <w:szCs w:val="20"/>
              </w:rPr>
            </w:pPr>
            <w:r>
              <w:rPr>
                <w:rFonts w:eastAsia="Times New Roman"/>
                <w:sz w:val="24"/>
                <w:szCs w:val="24"/>
              </w:rPr>
              <w:t>Systems using only groundwater not under direct influence of surface water using chemical Disinfectant and serving at least 10,000 persons.</w:t>
            </w:r>
          </w:p>
        </w:tc>
        <w:tc>
          <w:tcPr>
            <w:tcW w:w="3140" w:type="dxa"/>
            <w:tcBorders>
              <w:top w:val="single" w:sz="8" w:space="0" w:color="auto"/>
              <w:bottom w:val="single" w:sz="8" w:space="0" w:color="auto"/>
              <w:right w:val="single" w:sz="8" w:space="0" w:color="auto"/>
            </w:tcBorders>
          </w:tcPr>
          <w:p w14:paraId="6F11235F" w14:textId="5752166F" w:rsidR="00946D41" w:rsidRDefault="00AF2C49" w:rsidP="0087351B">
            <w:pPr>
              <w:spacing w:line="237" w:lineRule="auto"/>
              <w:ind w:left="144"/>
              <w:rPr>
                <w:rFonts w:eastAsia="Times New Roman"/>
                <w:sz w:val="24"/>
                <w:szCs w:val="24"/>
              </w:rPr>
            </w:pPr>
            <w:r>
              <w:rPr>
                <w:rFonts w:eastAsia="Times New Roman"/>
                <w:sz w:val="24"/>
                <w:szCs w:val="24"/>
              </w:rPr>
              <w:t>One water sample per quarter per treatment plant.</w:t>
            </w:r>
            <w:r>
              <w:rPr>
                <w:rFonts w:eastAsia="Times New Roman"/>
                <w:sz w:val="27"/>
                <w:szCs w:val="27"/>
                <w:vertAlign w:val="superscript"/>
              </w:rPr>
              <w:t>2</w:t>
            </w:r>
          </w:p>
        </w:tc>
        <w:tc>
          <w:tcPr>
            <w:tcW w:w="4080" w:type="dxa"/>
            <w:tcBorders>
              <w:top w:val="single" w:sz="8" w:space="0" w:color="auto"/>
              <w:bottom w:val="single" w:sz="8" w:space="0" w:color="auto"/>
            </w:tcBorders>
          </w:tcPr>
          <w:p w14:paraId="7F86EB78" w14:textId="4DB62DFC" w:rsidR="00946D41" w:rsidRPr="005D4865" w:rsidRDefault="005D4865" w:rsidP="0087351B">
            <w:pPr>
              <w:spacing w:line="222" w:lineRule="auto"/>
              <w:ind w:left="144"/>
              <w:rPr>
                <w:sz w:val="20"/>
                <w:szCs w:val="20"/>
              </w:rPr>
            </w:pPr>
            <w:r>
              <w:rPr>
                <w:rFonts w:eastAsia="Times New Roman"/>
                <w:sz w:val="24"/>
                <w:szCs w:val="24"/>
              </w:rPr>
              <w:t>Locations representing maximum residence time.</w:t>
            </w:r>
            <w:r>
              <w:rPr>
                <w:rFonts w:eastAsia="Times New Roman"/>
                <w:sz w:val="27"/>
                <w:szCs w:val="27"/>
                <w:vertAlign w:val="superscript"/>
              </w:rPr>
              <w:t>1</w:t>
            </w:r>
          </w:p>
        </w:tc>
      </w:tr>
      <w:tr w:rsidR="00946D41" w14:paraId="79CB7BBD" w14:textId="77777777" w:rsidTr="00092779">
        <w:trPr>
          <w:trHeight w:val="2125"/>
        </w:trPr>
        <w:tc>
          <w:tcPr>
            <w:tcW w:w="2940" w:type="dxa"/>
            <w:tcBorders>
              <w:top w:val="single" w:sz="8" w:space="0" w:color="auto"/>
              <w:bottom w:val="single" w:sz="8" w:space="0" w:color="auto"/>
              <w:right w:val="single" w:sz="8" w:space="0" w:color="auto"/>
            </w:tcBorders>
          </w:tcPr>
          <w:p w14:paraId="01EACB2E" w14:textId="44941242" w:rsidR="00946D41" w:rsidRPr="00141198" w:rsidRDefault="00141198" w:rsidP="0087351B">
            <w:pPr>
              <w:spacing w:line="234" w:lineRule="auto"/>
              <w:ind w:left="144"/>
              <w:rPr>
                <w:sz w:val="20"/>
                <w:szCs w:val="20"/>
              </w:rPr>
            </w:pPr>
            <w:r>
              <w:rPr>
                <w:rFonts w:eastAsia="Times New Roman"/>
                <w:sz w:val="24"/>
                <w:szCs w:val="24"/>
              </w:rPr>
              <w:t>Systems using only groundwater not under direct influence of surface water using chemical Disinfectant and serving fewer than 10,000 persons.</w:t>
            </w:r>
          </w:p>
        </w:tc>
        <w:tc>
          <w:tcPr>
            <w:tcW w:w="3140" w:type="dxa"/>
            <w:tcBorders>
              <w:top w:val="single" w:sz="8" w:space="0" w:color="auto"/>
              <w:bottom w:val="single" w:sz="8" w:space="0" w:color="auto"/>
              <w:right w:val="single" w:sz="8" w:space="0" w:color="auto"/>
            </w:tcBorders>
          </w:tcPr>
          <w:p w14:paraId="27815E9B" w14:textId="33957966" w:rsidR="00946D41" w:rsidRPr="00141198" w:rsidRDefault="00141198" w:rsidP="0087351B">
            <w:pPr>
              <w:spacing w:line="235" w:lineRule="auto"/>
              <w:ind w:left="144"/>
              <w:rPr>
                <w:sz w:val="20"/>
                <w:szCs w:val="20"/>
              </w:rPr>
            </w:pPr>
            <w:r>
              <w:rPr>
                <w:rFonts w:eastAsia="Times New Roman"/>
                <w:sz w:val="24"/>
                <w:szCs w:val="24"/>
              </w:rPr>
              <w:t>One sample per year per treatment plant during August.</w:t>
            </w:r>
            <w:r>
              <w:rPr>
                <w:rFonts w:eastAsia="Times New Roman"/>
                <w:sz w:val="27"/>
                <w:szCs w:val="27"/>
                <w:vertAlign w:val="superscript"/>
              </w:rPr>
              <w:t>2</w:t>
            </w:r>
          </w:p>
        </w:tc>
        <w:tc>
          <w:tcPr>
            <w:tcW w:w="4080" w:type="dxa"/>
            <w:tcBorders>
              <w:top w:val="single" w:sz="8" w:space="0" w:color="auto"/>
              <w:bottom w:val="single" w:sz="8" w:space="0" w:color="auto"/>
            </w:tcBorders>
          </w:tcPr>
          <w:p w14:paraId="2917314F" w14:textId="11550C8C" w:rsidR="00946D41" w:rsidRDefault="00141198" w:rsidP="0087351B">
            <w:pPr>
              <w:spacing w:line="233" w:lineRule="auto"/>
              <w:ind w:left="144"/>
              <w:rPr>
                <w:rFonts w:eastAsia="Times New Roman"/>
                <w:sz w:val="24"/>
                <w:szCs w:val="24"/>
              </w:rPr>
            </w:pPr>
            <w:r>
              <w:rPr>
                <w:rFonts w:eastAsia="Times New Roman"/>
                <w:sz w:val="24"/>
                <w:szCs w:val="24"/>
              </w:rPr>
              <w:t>Locations representing maximum residence time.</w:t>
            </w:r>
            <w:r>
              <w:rPr>
                <w:rFonts w:eastAsia="Times New Roman"/>
                <w:sz w:val="27"/>
                <w:szCs w:val="27"/>
                <w:vertAlign w:val="superscript"/>
              </w:rPr>
              <w:t>1</w:t>
            </w:r>
            <w:r>
              <w:rPr>
                <w:rFonts w:eastAsia="Times New Roman"/>
                <w:sz w:val="24"/>
                <w:szCs w:val="24"/>
              </w:rPr>
              <w:t xml:space="preserve"> If the sample (or average of annual samples, if more than one sample is taken) exceeds the MCL, the system shall increase monitoring to one sample per treatment plant per quarter, taken at a point reflecting the maximum residence time in the Distribution System, until the system meets reduced monitoring criteria in 310 CMR 22.07E(7)(b)1.d.</w:t>
            </w:r>
          </w:p>
        </w:tc>
      </w:tr>
    </w:tbl>
    <w:p w14:paraId="2819F459" w14:textId="7BF4FDD1" w:rsidR="004647B9" w:rsidRDefault="00E2436F">
      <w:pPr>
        <w:spacing w:line="20" w:lineRule="exact"/>
        <w:rPr>
          <w:sz w:val="20"/>
          <w:szCs w:val="20"/>
        </w:rPr>
      </w:pPr>
      <w:r>
        <w:rPr>
          <w:noProof/>
          <w:sz w:val="20"/>
          <w:szCs w:val="20"/>
        </w:rPr>
        <mc:AlternateContent>
          <mc:Choice Requires="wps">
            <w:drawing>
              <wp:anchor distT="0" distB="0" distL="114300" distR="114300" simplePos="0" relativeHeight="251658241" behindDoc="1" locked="0" layoutInCell="0" allowOverlap="1" wp14:anchorId="281A79C3" wp14:editId="0A57BC25">
                <wp:simplePos x="0" y="0"/>
                <wp:positionH relativeFrom="column">
                  <wp:posOffset>1872615</wp:posOffset>
                </wp:positionH>
                <wp:positionV relativeFrom="paragraph">
                  <wp:posOffset>-5080</wp:posOffset>
                </wp:positionV>
                <wp:extent cx="1998345" cy="0"/>
                <wp:effectExtent l="0" t="0" r="0" b="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8345" cy="4763"/>
                        </a:xfrm>
                        <a:prstGeom prst="line">
                          <a:avLst/>
                        </a:prstGeom>
                        <a:solidFill>
                          <a:srgbClr val="FFFFFF"/>
                        </a:solidFill>
                        <a:ln w="10668">
                          <a:solidFill>
                            <a:srgbClr val="000000"/>
                          </a:solidFill>
                          <a:miter lim="800000"/>
                          <a:headEnd/>
                          <a:tailEnd/>
                        </a:ln>
                      </wps:spPr>
                      <wps:bodyPr/>
                    </wps:wsp>
                  </a:graphicData>
                </a:graphic>
              </wp:anchor>
            </w:drawing>
          </mc:Choice>
          <mc:Fallback>
            <w:pict>
              <v:line w14:anchorId="04E3479F" id="Straight Connector 94" o:spid="_x0000_s1026" style="position:absolute;z-index:-251658239;visibility:visible;mso-wrap-style:square;mso-wrap-distance-left:9pt;mso-wrap-distance-top:0;mso-wrap-distance-right:9pt;mso-wrap-distance-bottom:0;mso-position-horizontal:absolute;mso-position-horizontal-relative:text;mso-position-vertical:absolute;mso-position-vertical-relative:text" from="147.45pt,-.4pt" to="304.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" o:allowincell="f" filled="t" strokeweight=".84pt">
                <v:stroke joinstyle="miter"/>
                <o:lock v:ext="edit" shapetype="f"/>
              </v:line>
            </w:pict>
          </mc:Fallback>
        </mc:AlternateContent>
      </w:r>
      <w:r>
        <w:rPr>
          <w:noProof/>
          <w:sz w:val="20"/>
          <w:szCs w:val="20"/>
        </w:rPr>
        <mc:AlternateContent>
          <mc:Choice Requires="wps">
            <w:drawing>
              <wp:anchor distT="0" distB="0" distL="114300" distR="114300" simplePos="0" relativeHeight="251658242" behindDoc="1" locked="0" layoutInCell="0" allowOverlap="1" wp14:anchorId="281A79C7" wp14:editId="62D97DE1">
                <wp:simplePos x="0" y="0"/>
                <wp:positionH relativeFrom="column">
                  <wp:posOffset>3872230</wp:posOffset>
                </wp:positionH>
                <wp:positionV relativeFrom="paragraph">
                  <wp:posOffset>-5080</wp:posOffset>
                </wp:positionV>
                <wp:extent cx="2602865" cy="0"/>
                <wp:effectExtent l="0" t="0" r="0" b="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02865" cy="4763"/>
                        </a:xfrm>
                        <a:prstGeom prst="line">
                          <a:avLst/>
                        </a:prstGeom>
                        <a:solidFill>
                          <a:srgbClr val="FFFFFF"/>
                        </a:solidFill>
                        <a:ln w="10668">
                          <a:solidFill>
                            <a:srgbClr val="000000"/>
                          </a:solidFill>
                          <a:miter lim="800000"/>
                          <a:headEnd/>
                          <a:tailEnd/>
                        </a:ln>
                      </wps:spPr>
                      <wps:bodyPr/>
                    </wps:wsp>
                  </a:graphicData>
                </a:graphic>
              </wp:anchor>
            </w:drawing>
          </mc:Choice>
          <mc:Fallback>
            <w:pict>
              <v:line w14:anchorId="2BD5E0B4" id="Straight Connector 96" o:spid="_x0000_s1026" style="position:absolute;z-index:-251658238;visibility:visible;mso-wrap-style:square;mso-wrap-distance-left:9pt;mso-wrap-distance-top:0;mso-wrap-distance-right:9pt;mso-wrap-distance-bottom:0;mso-position-horizontal:absolute;mso-position-horizontal-relative:text;mso-position-vertical:absolute;mso-position-vertical-relative:text" from="304.9pt,-.4pt" to="509.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" o:allowincell="f" filled="t" strokeweight=".84pt">
                <v:stroke joinstyle="miter"/>
                <o:lock v:ext="edit" shapetype="f"/>
              </v:line>
            </w:pict>
          </mc:Fallback>
        </mc:AlternateContent>
      </w:r>
    </w:p>
    <w:p w14:paraId="2819F45A" w14:textId="77777777" w:rsidR="004647B9" w:rsidRDefault="004647B9">
      <w:pPr>
        <w:sectPr w:rsidR="004647B9" w:rsidSect="00EF630C">
          <w:pgSz w:w="12240" w:h="20180"/>
          <w:pgMar w:top="708" w:right="1440" w:bottom="1440" w:left="600" w:header="0" w:footer="0" w:gutter="0"/>
          <w:cols w:space="720" w:equalWidth="0">
            <w:col w:w="10200"/>
          </w:cols>
        </w:sectPr>
      </w:pPr>
    </w:p>
    <w:p w14:paraId="2819F48E" w14:textId="77777777" w:rsidR="004647B9" w:rsidRPr="00453EB0" w:rsidRDefault="004647B9">
      <w:pPr>
        <w:spacing w:line="200" w:lineRule="exact"/>
        <w:rPr>
          <w:sz w:val="24"/>
          <w:szCs w:val="24"/>
        </w:rPr>
      </w:pPr>
    </w:p>
    <w:p w14:paraId="2819F493" w14:textId="77777777" w:rsidR="004647B9" w:rsidRPr="00453EB0" w:rsidRDefault="004647B9">
      <w:pPr>
        <w:rPr>
          <w:sz w:val="24"/>
          <w:szCs w:val="24"/>
        </w:rPr>
        <w:sectPr w:rsidR="004647B9" w:rsidRPr="00453EB0" w:rsidSect="00EF630C">
          <w:type w:val="continuous"/>
          <w:pgSz w:w="12240" w:h="20180"/>
          <w:pgMar w:top="708" w:right="1440" w:bottom="1440" w:left="600" w:header="0" w:footer="0" w:gutter="0"/>
          <w:cols w:num="3" w:space="720" w:equalWidth="0">
            <w:col w:w="2720" w:space="340"/>
            <w:col w:w="2940" w:space="200"/>
            <w:col w:w="4000"/>
          </w:cols>
        </w:sectPr>
      </w:pPr>
    </w:p>
    <w:p w14:paraId="2819F496" w14:textId="77777777" w:rsidR="004647B9" w:rsidRDefault="00E2436F">
      <w:pPr>
        <w:tabs>
          <w:tab w:val="left" w:pos="160"/>
        </w:tabs>
        <w:jc w:val="center"/>
        <w:rPr>
          <w:sz w:val="20"/>
          <w:szCs w:val="20"/>
        </w:rPr>
      </w:pPr>
      <w:bookmarkStart w:id="119" w:name="page121"/>
      <w:bookmarkEnd w:id="11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497" w14:textId="77777777" w:rsidR="004647B9" w:rsidRPr="00453EB0" w:rsidRDefault="004647B9" w:rsidP="00453EB0">
      <w:pPr>
        <w:rPr>
          <w:rFonts w:eastAsia="Times New Roman"/>
          <w:sz w:val="20"/>
          <w:szCs w:val="20"/>
        </w:rPr>
      </w:pPr>
    </w:p>
    <w:p w14:paraId="2819F498" w14:textId="77777777" w:rsidR="004647B9" w:rsidRPr="00453EB0" w:rsidRDefault="004647B9" w:rsidP="00453EB0">
      <w:pPr>
        <w:rPr>
          <w:rFonts w:eastAsia="Times New Roman"/>
          <w:sz w:val="20"/>
          <w:szCs w:val="20"/>
        </w:rPr>
      </w:pPr>
    </w:p>
    <w:p w14:paraId="2819F499" w14:textId="77777777" w:rsidR="004647B9" w:rsidRDefault="00E2436F" w:rsidP="00453EB0">
      <w:pPr>
        <w:tabs>
          <w:tab w:val="left" w:pos="920"/>
        </w:tabs>
        <w:rPr>
          <w:sz w:val="20"/>
          <w:szCs w:val="20"/>
        </w:rPr>
      </w:pPr>
      <w:r>
        <w:rPr>
          <w:rFonts w:eastAsia="Times New Roman"/>
          <w:sz w:val="24"/>
          <w:szCs w:val="24"/>
        </w:rPr>
        <w:t>22.07E:</w:t>
      </w:r>
      <w:r>
        <w:rPr>
          <w:sz w:val="20"/>
          <w:szCs w:val="20"/>
        </w:rPr>
        <w:tab/>
      </w:r>
      <w:r>
        <w:rPr>
          <w:rFonts w:eastAsia="Times New Roman"/>
          <w:sz w:val="23"/>
          <w:szCs w:val="23"/>
        </w:rPr>
        <w:t>continued</w:t>
      </w:r>
    </w:p>
    <w:p w14:paraId="2819F49A" w14:textId="77777777" w:rsidR="004647B9" w:rsidRDefault="004647B9" w:rsidP="00453EB0">
      <w:pPr>
        <w:sectPr w:rsidR="004647B9" w:rsidSect="00EF630C">
          <w:pgSz w:w="12240" w:h="20180"/>
          <w:pgMar w:top="708" w:right="1440" w:bottom="1148" w:left="600" w:header="0" w:footer="0" w:gutter="0"/>
          <w:cols w:space="720" w:equalWidth="0">
            <w:col w:w="10200"/>
          </w:cols>
        </w:sectPr>
      </w:pPr>
    </w:p>
    <w:p w14:paraId="2819F49B" w14:textId="77777777" w:rsidR="004647B9" w:rsidRPr="00453EB0" w:rsidRDefault="004647B9" w:rsidP="00453EB0">
      <w:pPr>
        <w:rPr>
          <w:rFonts w:eastAsia="Times New Roman"/>
          <w:sz w:val="20"/>
          <w:szCs w:val="20"/>
        </w:rPr>
      </w:pPr>
    </w:p>
    <w:p w14:paraId="724BE804" w14:textId="77777777" w:rsidR="00921314" w:rsidRPr="00453EB0" w:rsidRDefault="00921314" w:rsidP="00453EB0">
      <w:pPr>
        <w:rPr>
          <w:rFonts w:eastAsia="Times New Roman"/>
          <w:sz w:val="20"/>
          <w:szCs w:val="20"/>
        </w:rPr>
        <w:sectPr w:rsidR="00921314" w:rsidRPr="00453EB0" w:rsidSect="00EF630C">
          <w:type w:val="continuous"/>
          <w:pgSz w:w="12240" w:h="20180"/>
          <w:pgMar w:top="708" w:right="1440" w:bottom="1148" w:left="600" w:header="0" w:footer="0" w:gutter="0"/>
          <w:cols w:num="2" w:space="720" w:equalWidth="0">
            <w:col w:w="80" w:space="400"/>
            <w:col w:w="9720"/>
          </w:cols>
        </w:sectPr>
      </w:pPr>
    </w:p>
    <w:p w14:paraId="2819F4A5" w14:textId="77777777" w:rsidR="004647B9" w:rsidRPr="00910AAE" w:rsidRDefault="00E2436F" w:rsidP="00453EB0">
      <w:pPr>
        <w:pStyle w:val="ListParagraph"/>
        <w:numPr>
          <w:ilvl w:val="0"/>
          <w:numId w:val="953"/>
        </w:numPr>
        <w:ind w:left="360"/>
        <w:jc w:val="both"/>
        <w:rPr>
          <w:rFonts w:eastAsia="Times New Roman"/>
          <w:sz w:val="24"/>
          <w:szCs w:val="24"/>
        </w:rPr>
      </w:pPr>
      <w:r w:rsidRPr="00AF25E2">
        <w:rPr>
          <w:rFonts w:eastAsia="Times New Roman"/>
          <w:sz w:val="24"/>
          <w:szCs w:val="24"/>
        </w:rPr>
        <w:t>If a system elects to sample more frequently than the minimum required, at least 25% of all samples collected each quarter (including those taken in excess of the required frequency) shall be taken at locations that represent the maximum residence time of the water in the Distribution System. The remaining samples shall be taken at locations representative of at least average residence time in the Distribution System.</w:t>
      </w:r>
    </w:p>
    <w:p w14:paraId="2819F4A7" w14:textId="14FABAEB" w:rsidR="004647B9" w:rsidRPr="00D72AA5" w:rsidRDefault="00E2436F" w:rsidP="00453EB0">
      <w:pPr>
        <w:pStyle w:val="ListParagraph"/>
        <w:numPr>
          <w:ilvl w:val="0"/>
          <w:numId w:val="953"/>
        </w:numPr>
        <w:ind w:left="360"/>
        <w:jc w:val="both"/>
        <w:rPr>
          <w:sz w:val="24"/>
          <w:szCs w:val="24"/>
        </w:rPr>
      </w:pPr>
      <w:r w:rsidRPr="00D72AA5">
        <w:rPr>
          <w:rFonts w:eastAsia="Times New Roman"/>
          <w:sz w:val="24"/>
          <w:szCs w:val="24"/>
        </w:rPr>
        <w:t>Multiple wells drawing water from a single aquifer may be considered one treatment plant for</w:t>
      </w:r>
      <w:r w:rsidR="00D72AA5">
        <w:rPr>
          <w:rFonts w:eastAsia="Times New Roman"/>
          <w:sz w:val="24"/>
          <w:szCs w:val="24"/>
        </w:rPr>
        <w:t xml:space="preserve"> </w:t>
      </w:r>
      <w:r w:rsidRPr="00D72AA5">
        <w:rPr>
          <w:rFonts w:eastAsia="Times New Roman"/>
          <w:sz w:val="24"/>
          <w:szCs w:val="24"/>
        </w:rPr>
        <w:t>determining the minimum number of samples required, with prior Department approval in accordance with criteria developed under 310 CMR 22.07E(7)(a)2.</w:t>
      </w:r>
    </w:p>
    <w:p w14:paraId="34F2CBED" w14:textId="77777777" w:rsidR="0077002C" w:rsidRDefault="0077002C" w:rsidP="00453EB0">
      <w:pPr>
        <w:rPr>
          <w:rFonts w:eastAsia="Times New Roman"/>
          <w:sz w:val="24"/>
          <w:szCs w:val="24"/>
        </w:rPr>
        <w:sectPr w:rsidR="0077002C" w:rsidSect="00EF630C">
          <w:type w:val="continuous"/>
          <w:pgSz w:w="12240" w:h="20180"/>
          <w:pgMar w:top="708" w:right="1440" w:bottom="1148" w:left="600" w:header="0" w:footer="0" w:gutter="0"/>
          <w:cols w:space="720" w:equalWidth="0">
            <w:col w:w="10200"/>
          </w:cols>
        </w:sectPr>
      </w:pPr>
    </w:p>
    <w:p w14:paraId="2819F4A8" w14:textId="17E7DC15" w:rsidR="004647B9" w:rsidRPr="00921314" w:rsidRDefault="004647B9" w:rsidP="00453EB0">
      <w:pPr>
        <w:rPr>
          <w:rFonts w:eastAsia="Times New Roman"/>
          <w:sz w:val="24"/>
          <w:szCs w:val="24"/>
        </w:rPr>
      </w:pPr>
    </w:p>
    <w:p w14:paraId="7235BB5C" w14:textId="164BD648" w:rsidR="00FB105B" w:rsidRPr="008D6283" w:rsidRDefault="00E2436F" w:rsidP="00453EB0">
      <w:pPr>
        <w:numPr>
          <w:ilvl w:val="0"/>
          <w:numId w:val="299"/>
        </w:numPr>
        <w:tabs>
          <w:tab w:val="left" w:pos="2610"/>
        </w:tabs>
        <w:ind w:left="2275"/>
        <w:rPr>
          <w:rFonts w:eastAsia="Times New Roman"/>
          <w:sz w:val="24"/>
          <w:szCs w:val="24"/>
        </w:rPr>
        <w:sectPr w:rsidR="00FB105B" w:rsidRPr="008D6283" w:rsidSect="00EF630C">
          <w:type w:val="continuous"/>
          <w:pgSz w:w="12240" w:h="20180"/>
          <w:pgMar w:top="708" w:right="1440" w:bottom="1148" w:left="600" w:header="0" w:footer="0" w:gutter="0"/>
          <w:cols w:space="720" w:equalWidth="0">
            <w:col w:w="10200"/>
          </w:cols>
        </w:sectPr>
      </w:pPr>
      <w:r w:rsidRPr="008D6283">
        <w:rPr>
          <w:rFonts w:eastAsia="Times New Roman"/>
          <w:sz w:val="24"/>
          <w:szCs w:val="24"/>
        </w:rPr>
        <w:t>A Supplier of Water may reduce monitoring, except as otherwise provided, in accordance with the following table:</w:t>
      </w:r>
    </w:p>
    <w:p w14:paraId="2819F4A9" w14:textId="23D30A10" w:rsidR="004647B9" w:rsidRPr="00921314" w:rsidRDefault="004647B9" w:rsidP="00563A54">
      <w:pPr>
        <w:numPr>
          <w:ilvl w:val="0"/>
          <w:numId w:val="299"/>
        </w:numPr>
        <w:tabs>
          <w:tab w:val="left" w:pos="2182"/>
        </w:tabs>
        <w:spacing w:line="263" w:lineRule="auto"/>
        <w:ind w:left="1800" w:hanging="5"/>
        <w:rPr>
          <w:rFonts w:eastAsia="Times New Roman"/>
          <w:sz w:val="24"/>
          <w:szCs w:val="24"/>
        </w:rPr>
      </w:pPr>
    </w:p>
    <w:p w14:paraId="2819F4AA" w14:textId="2169B1E2" w:rsidR="004647B9" w:rsidRPr="00921314" w:rsidRDefault="004647B9">
      <w:pPr>
        <w:spacing w:line="197" w:lineRule="exact"/>
        <w:rPr>
          <w:rFonts w:eastAsia="Times New Roman"/>
          <w:sz w:val="24"/>
          <w:szCs w:val="24"/>
        </w:rPr>
      </w:pPr>
    </w:p>
    <w:p w14:paraId="3D25D748" w14:textId="77777777" w:rsidR="00F25F84" w:rsidRDefault="00F25F84" w:rsidP="00B67F17">
      <w:pPr>
        <w:spacing w:line="256" w:lineRule="auto"/>
        <w:ind w:right="2480" w:firstLine="10"/>
        <w:jc w:val="center"/>
        <w:rPr>
          <w:rFonts w:eastAsia="Times New Roman"/>
          <w:sz w:val="24"/>
          <w:szCs w:val="24"/>
        </w:rPr>
        <w:sectPr w:rsidR="00F25F84" w:rsidSect="00EF630C">
          <w:type w:val="continuous"/>
          <w:pgSz w:w="12240" w:h="20180"/>
          <w:pgMar w:top="708" w:right="1440" w:bottom="1148" w:left="600" w:header="0" w:footer="0" w:gutter="0"/>
          <w:cols w:num="2" w:space="720" w:equalWidth="0">
            <w:col w:w="80" w:space="400"/>
            <w:col w:w="9720"/>
          </w:cols>
        </w:sectPr>
      </w:pPr>
    </w:p>
    <w:p w14:paraId="02AD5FD2" w14:textId="0C8A9FEC" w:rsidR="00B67F17" w:rsidRPr="00921314" w:rsidRDefault="00E2436F" w:rsidP="00F25F84">
      <w:pPr>
        <w:spacing w:line="256" w:lineRule="auto"/>
        <w:ind w:firstLine="10"/>
        <w:jc w:val="center"/>
        <w:rPr>
          <w:rFonts w:eastAsia="Times New Roman"/>
          <w:sz w:val="24"/>
          <w:szCs w:val="24"/>
        </w:rPr>
      </w:pPr>
      <w:r w:rsidRPr="00921314">
        <w:rPr>
          <w:rFonts w:eastAsia="Times New Roman"/>
          <w:sz w:val="24"/>
          <w:szCs w:val="24"/>
        </w:rPr>
        <w:t>Reduced Monitoring Frequency for TTHM and HAA5</w:t>
      </w:r>
    </w:p>
    <w:p w14:paraId="2506BAD3" w14:textId="77777777" w:rsidR="00F15E5B" w:rsidRDefault="00F15E5B">
      <w:pPr>
        <w:spacing w:line="256" w:lineRule="auto"/>
        <w:ind w:right="2480"/>
        <w:rPr>
          <w:rFonts w:eastAsia="Times New Roman"/>
          <w:sz w:val="24"/>
          <w:szCs w:val="24"/>
        </w:rPr>
        <w:sectPr w:rsidR="00F15E5B" w:rsidSect="00EF630C">
          <w:type w:val="continuous"/>
          <w:pgSz w:w="12240" w:h="20180"/>
          <w:pgMar w:top="708" w:right="1440" w:bottom="1148" w:left="600" w:header="0" w:footer="0" w:gutter="0"/>
          <w:cols w:space="720" w:equalWidth="0">
            <w:col w:w="10200"/>
          </w:cols>
        </w:sectPr>
      </w:pPr>
    </w:p>
    <w:tbl>
      <w:tblPr>
        <w:tblStyle w:val="TableGrid"/>
        <w:tblW w:w="0" w:type="auto"/>
        <w:tblInd w:w="-5" w:type="dxa"/>
        <w:tblBorders>
          <w:top w:val="single" w:sz="8" w:space="0" w:color="auto"/>
          <w:left w:val="none" w:sz="0" w:space="0" w:color="auto"/>
          <w:bottom w:val="single" w:sz="8" w:space="0" w:color="auto"/>
          <w:right w:val="none" w:sz="0" w:space="0" w:color="auto"/>
          <w:insideH w:val="single" w:sz="8" w:space="0" w:color="auto"/>
          <w:insideV w:val="single" w:sz="8" w:space="0" w:color="auto"/>
        </w:tblBorders>
        <w:tblLook w:val="04A0" w:firstRow="1" w:lastRow="0" w:firstColumn="1" w:lastColumn="0" w:noHBand="0" w:noVBand="1"/>
      </w:tblPr>
      <w:tblGrid>
        <w:gridCol w:w="2907"/>
        <w:gridCol w:w="3213"/>
        <w:gridCol w:w="4075"/>
      </w:tblGrid>
      <w:tr w:rsidR="00F6099B" w14:paraId="54AC1DA7" w14:textId="77777777" w:rsidTr="00402352">
        <w:tc>
          <w:tcPr>
            <w:tcW w:w="2907" w:type="dxa"/>
            <w:vAlign w:val="center"/>
          </w:tcPr>
          <w:p w14:paraId="14B4788E" w14:textId="3252940E" w:rsidR="00F15E5B" w:rsidRDefault="00F15E5B" w:rsidP="005A37D0">
            <w:pPr>
              <w:spacing w:line="256" w:lineRule="auto"/>
              <w:jc w:val="center"/>
              <w:rPr>
                <w:rFonts w:eastAsia="Times New Roman"/>
                <w:sz w:val="24"/>
                <w:szCs w:val="24"/>
              </w:rPr>
            </w:pPr>
            <w:r>
              <w:rPr>
                <w:rFonts w:eastAsia="Times New Roman"/>
                <w:sz w:val="24"/>
                <w:szCs w:val="24"/>
              </w:rPr>
              <w:t>If you are a . . .</w:t>
            </w:r>
          </w:p>
        </w:tc>
        <w:tc>
          <w:tcPr>
            <w:tcW w:w="3213" w:type="dxa"/>
            <w:vAlign w:val="center"/>
          </w:tcPr>
          <w:p w14:paraId="6A81AF02" w14:textId="497C76CF" w:rsidR="00F15E5B" w:rsidRDefault="00F15E5B" w:rsidP="00402352">
            <w:pPr>
              <w:tabs>
                <w:tab w:val="left" w:pos="3660"/>
                <w:tab w:val="left" w:pos="7560"/>
              </w:tabs>
              <w:rPr>
                <w:rFonts w:eastAsia="Times New Roman"/>
                <w:sz w:val="24"/>
                <w:szCs w:val="24"/>
              </w:rPr>
            </w:pPr>
            <w:r>
              <w:rPr>
                <w:rFonts w:eastAsia="Times New Roman"/>
                <w:sz w:val="24"/>
                <w:szCs w:val="24"/>
              </w:rPr>
              <w:t>You may reduce monitoring if you have monitored at</w:t>
            </w:r>
            <w:r w:rsidR="001F7705">
              <w:rPr>
                <w:rFonts w:eastAsia="Times New Roman"/>
                <w:sz w:val="24"/>
                <w:szCs w:val="24"/>
              </w:rPr>
              <w:t xml:space="preserve"> </w:t>
            </w:r>
            <w:r>
              <w:rPr>
                <w:rFonts w:eastAsia="Times New Roman"/>
                <w:sz w:val="24"/>
                <w:szCs w:val="24"/>
              </w:rPr>
              <w:t>least one year and your . .</w:t>
            </w:r>
          </w:p>
        </w:tc>
        <w:tc>
          <w:tcPr>
            <w:tcW w:w="4075" w:type="dxa"/>
            <w:vAlign w:val="center"/>
          </w:tcPr>
          <w:p w14:paraId="0C23CE40" w14:textId="06A90E47" w:rsidR="00F15E5B" w:rsidRDefault="00F15E5B" w:rsidP="005A37D0">
            <w:pPr>
              <w:spacing w:line="256" w:lineRule="auto"/>
              <w:jc w:val="center"/>
              <w:rPr>
                <w:rFonts w:eastAsia="Times New Roman"/>
                <w:sz w:val="24"/>
                <w:szCs w:val="24"/>
              </w:rPr>
            </w:pPr>
            <w:r>
              <w:rPr>
                <w:rFonts w:eastAsia="Times New Roman"/>
                <w:sz w:val="23"/>
                <w:szCs w:val="23"/>
              </w:rPr>
              <w:t>To this level</w:t>
            </w:r>
          </w:p>
        </w:tc>
      </w:tr>
      <w:tr w:rsidR="00534F62" w14:paraId="56835E6B" w14:textId="77777777" w:rsidTr="005168DF">
        <w:tc>
          <w:tcPr>
            <w:tcW w:w="2907" w:type="dxa"/>
          </w:tcPr>
          <w:p w14:paraId="69FA768B" w14:textId="335AE023" w:rsidR="00F15E5B" w:rsidRDefault="00F15E5B" w:rsidP="005A37D0">
            <w:pPr>
              <w:rPr>
                <w:rFonts w:eastAsia="Times New Roman"/>
                <w:sz w:val="24"/>
                <w:szCs w:val="24"/>
              </w:rPr>
            </w:pPr>
            <w:r>
              <w:rPr>
                <w:rFonts w:eastAsia="Times New Roman"/>
                <w:sz w:val="24"/>
                <w:szCs w:val="24"/>
              </w:rPr>
              <w:t xml:space="preserve">System using Surface Water or Groundwater Under the Direct Influence of Surface Water serving at least 10,000 persons which has a source water annual average TOC level, before any treatment, </w:t>
            </w:r>
            <w:r w:rsidR="00E159C3">
              <w:rPr>
                <w:rFonts w:eastAsia="Times New Roman"/>
                <w:sz w:val="24"/>
                <w:szCs w:val="24"/>
              </w:rPr>
              <w:t>≤</w:t>
            </w:r>
            <w:r>
              <w:rPr>
                <w:rFonts w:eastAsia="Times New Roman"/>
                <w:sz w:val="24"/>
                <w:szCs w:val="24"/>
              </w:rPr>
              <w:t>4.0 mg/l.</w:t>
            </w:r>
          </w:p>
        </w:tc>
        <w:tc>
          <w:tcPr>
            <w:tcW w:w="3213" w:type="dxa"/>
          </w:tcPr>
          <w:p w14:paraId="48A29B65" w14:textId="6686E69E" w:rsidR="00F15E5B" w:rsidRDefault="001F7705" w:rsidP="005A37D0">
            <w:pPr>
              <w:rPr>
                <w:rFonts w:eastAsia="Times New Roman"/>
                <w:sz w:val="24"/>
                <w:szCs w:val="24"/>
              </w:rPr>
            </w:pPr>
            <w:r>
              <w:rPr>
                <w:rFonts w:eastAsia="Times New Roman"/>
                <w:sz w:val="24"/>
                <w:szCs w:val="24"/>
              </w:rPr>
              <w:t xml:space="preserve">TTHM annual average </w:t>
            </w:r>
            <w:r>
              <w:rPr>
                <w:rFonts w:ascii="Arial" w:eastAsia="Arial" w:hAnsi="Arial" w:cs="Arial"/>
                <w:sz w:val="24"/>
                <w:szCs w:val="24"/>
              </w:rPr>
              <w:t>≤</w:t>
            </w:r>
            <w:r w:rsidR="00E159C3">
              <w:rPr>
                <w:rFonts w:ascii="Arial" w:eastAsia="Arial" w:hAnsi="Arial" w:cs="Arial"/>
                <w:sz w:val="24"/>
                <w:szCs w:val="24"/>
              </w:rPr>
              <w:t xml:space="preserve"> </w:t>
            </w:r>
            <w:r>
              <w:rPr>
                <w:rFonts w:eastAsia="Times New Roman"/>
                <w:sz w:val="24"/>
                <w:szCs w:val="24"/>
              </w:rPr>
              <w:t xml:space="preserve">0.040 mg/l and HAA5 annual average </w:t>
            </w:r>
            <w:r w:rsidR="00E159C3">
              <w:rPr>
                <w:rFonts w:eastAsia="Times New Roman"/>
                <w:sz w:val="24"/>
                <w:szCs w:val="24"/>
              </w:rPr>
              <w:t>≤</w:t>
            </w:r>
            <w:r>
              <w:rPr>
                <w:rFonts w:eastAsia="Times New Roman"/>
                <w:sz w:val="24"/>
                <w:szCs w:val="24"/>
              </w:rPr>
              <w:t xml:space="preserve"> 0.030 mg/l.</w:t>
            </w:r>
          </w:p>
        </w:tc>
        <w:tc>
          <w:tcPr>
            <w:tcW w:w="4075" w:type="dxa"/>
          </w:tcPr>
          <w:p w14:paraId="213056EC" w14:textId="4D04A9DA" w:rsidR="00F15E5B" w:rsidRDefault="00E159C3" w:rsidP="005A37D0">
            <w:pPr>
              <w:rPr>
                <w:rFonts w:eastAsia="Times New Roman"/>
                <w:sz w:val="24"/>
                <w:szCs w:val="24"/>
              </w:rPr>
            </w:pPr>
            <w:r>
              <w:rPr>
                <w:rFonts w:eastAsia="Times New Roman"/>
                <w:sz w:val="24"/>
                <w:szCs w:val="24"/>
              </w:rPr>
              <w:t>One sample per treatment plant per quarter at Distribution System location reflecting maximum residence time.</w:t>
            </w:r>
          </w:p>
        </w:tc>
      </w:tr>
      <w:tr w:rsidR="00534F62" w14:paraId="69B17BB0" w14:textId="77777777" w:rsidTr="005168DF">
        <w:tc>
          <w:tcPr>
            <w:tcW w:w="2907" w:type="dxa"/>
          </w:tcPr>
          <w:p w14:paraId="08CA220A" w14:textId="678B9B94" w:rsidR="00F15E5B" w:rsidRDefault="00D003FB" w:rsidP="005A37D0">
            <w:pPr>
              <w:rPr>
                <w:rFonts w:eastAsia="Times New Roman"/>
                <w:sz w:val="24"/>
                <w:szCs w:val="24"/>
              </w:rPr>
            </w:pPr>
            <w:r>
              <w:rPr>
                <w:rFonts w:eastAsia="Times New Roman"/>
                <w:sz w:val="24"/>
                <w:szCs w:val="24"/>
              </w:rPr>
              <w:t>System using Surface Water or Groundwater under the Direct Influence of Surface Water serving from 500 to 9,999 persons which has a source water annual average TOC level, before any treatment, ≤ 4.0 mg/l.</w:t>
            </w:r>
          </w:p>
        </w:tc>
        <w:tc>
          <w:tcPr>
            <w:tcW w:w="3213" w:type="dxa"/>
          </w:tcPr>
          <w:p w14:paraId="4D889414" w14:textId="467A79BB" w:rsidR="00F15E5B" w:rsidRDefault="00A31791" w:rsidP="005A37D0">
            <w:pPr>
              <w:rPr>
                <w:rFonts w:eastAsia="Times New Roman"/>
                <w:sz w:val="24"/>
                <w:szCs w:val="24"/>
              </w:rPr>
            </w:pPr>
            <w:r>
              <w:rPr>
                <w:rFonts w:eastAsia="Times New Roman"/>
                <w:sz w:val="24"/>
                <w:szCs w:val="24"/>
              </w:rPr>
              <w:t>TTHM annual average ≤</w:t>
            </w:r>
            <w:r>
              <w:rPr>
                <w:rFonts w:ascii="Arial" w:eastAsia="Arial" w:hAnsi="Arial" w:cs="Arial"/>
                <w:sz w:val="24"/>
                <w:szCs w:val="24"/>
              </w:rPr>
              <w:t xml:space="preserve"> </w:t>
            </w:r>
            <w:r>
              <w:rPr>
                <w:rFonts w:eastAsia="Times New Roman"/>
                <w:sz w:val="24"/>
                <w:szCs w:val="24"/>
              </w:rPr>
              <w:t>0.040 mg/l and HAA5 annual average ≤ 0.030 mg/l.</w:t>
            </w:r>
          </w:p>
        </w:tc>
        <w:tc>
          <w:tcPr>
            <w:tcW w:w="4075" w:type="dxa"/>
          </w:tcPr>
          <w:p w14:paraId="0BA590D2" w14:textId="2CA459BC" w:rsidR="00F15E5B" w:rsidRDefault="00A31791" w:rsidP="005A37D0">
            <w:pPr>
              <w:rPr>
                <w:rFonts w:eastAsia="Times New Roman"/>
                <w:sz w:val="24"/>
                <w:szCs w:val="24"/>
              </w:rPr>
            </w:pPr>
            <w:r>
              <w:rPr>
                <w:rFonts w:eastAsia="Times New Roman"/>
                <w:sz w:val="24"/>
                <w:szCs w:val="24"/>
              </w:rPr>
              <w:t>One sample per treatment plant per year at Distribution System location reflecting maximum residence time during August. NOTE: Any system using Surface Water or Groundwater under the Direct Influence of Surface Water serving fewer than 500 persons may not reduce its monitoring to less than one sample per treatment plant per year.</w:t>
            </w:r>
          </w:p>
        </w:tc>
      </w:tr>
      <w:tr w:rsidR="00534F62" w14:paraId="06E55E59" w14:textId="77777777" w:rsidTr="005168DF">
        <w:tc>
          <w:tcPr>
            <w:tcW w:w="2907" w:type="dxa"/>
          </w:tcPr>
          <w:p w14:paraId="58E30001" w14:textId="0A264FE5" w:rsidR="00F15E5B" w:rsidRPr="00254860" w:rsidRDefault="00254860" w:rsidP="005A37D0">
            <w:pPr>
              <w:rPr>
                <w:sz w:val="20"/>
                <w:szCs w:val="20"/>
              </w:rPr>
            </w:pPr>
            <w:r>
              <w:rPr>
                <w:rFonts w:eastAsia="Times New Roman"/>
                <w:sz w:val="24"/>
                <w:szCs w:val="24"/>
              </w:rPr>
              <w:t>System using only groundwater not under direct influence of surface water using chemical Disinfectant and serving at least 10,000 persons.</w:t>
            </w:r>
          </w:p>
        </w:tc>
        <w:tc>
          <w:tcPr>
            <w:tcW w:w="3213" w:type="dxa"/>
          </w:tcPr>
          <w:p w14:paraId="178403E0" w14:textId="05DF8BC6" w:rsidR="00F15E5B" w:rsidRPr="00254860" w:rsidRDefault="00254860" w:rsidP="005A37D0">
            <w:pPr>
              <w:rPr>
                <w:sz w:val="20"/>
                <w:szCs w:val="20"/>
              </w:rPr>
            </w:pPr>
            <w:r>
              <w:rPr>
                <w:rFonts w:eastAsia="Times New Roman"/>
                <w:sz w:val="24"/>
                <w:szCs w:val="24"/>
              </w:rPr>
              <w:t>TTHM annual average ≤ 0.040 mg/l and HAA5 annual average ≤ 0.030 mg/l.</w:t>
            </w:r>
          </w:p>
        </w:tc>
        <w:tc>
          <w:tcPr>
            <w:tcW w:w="4075" w:type="dxa"/>
          </w:tcPr>
          <w:p w14:paraId="3E95763A" w14:textId="3EE1736B" w:rsidR="00F15E5B" w:rsidRPr="00254860" w:rsidRDefault="00254860" w:rsidP="005A37D0">
            <w:pPr>
              <w:rPr>
                <w:sz w:val="20"/>
                <w:szCs w:val="20"/>
              </w:rPr>
            </w:pPr>
            <w:r>
              <w:rPr>
                <w:rFonts w:eastAsia="Times New Roman"/>
                <w:sz w:val="24"/>
                <w:szCs w:val="24"/>
              </w:rPr>
              <w:t>One sample per treatment plant per year at Distribution System location reflecting maximum residence time during August.</w:t>
            </w:r>
          </w:p>
        </w:tc>
      </w:tr>
      <w:tr w:rsidR="00534F62" w14:paraId="51DE14E4" w14:textId="77777777" w:rsidTr="005168DF">
        <w:trPr>
          <w:trHeight w:val="2009"/>
        </w:trPr>
        <w:tc>
          <w:tcPr>
            <w:tcW w:w="2907" w:type="dxa"/>
          </w:tcPr>
          <w:p w14:paraId="2861368E" w14:textId="78F06EE1" w:rsidR="00F15E5B" w:rsidRPr="009359D3" w:rsidRDefault="009359D3" w:rsidP="005A37D0">
            <w:pPr>
              <w:rPr>
                <w:sz w:val="20"/>
                <w:szCs w:val="20"/>
              </w:rPr>
            </w:pPr>
            <w:r>
              <w:rPr>
                <w:rFonts w:eastAsia="Times New Roman"/>
                <w:sz w:val="24"/>
                <w:szCs w:val="24"/>
              </w:rPr>
              <w:t>System using only groundwater not under direct influence of surface water using chemical Disinfectant and serving fewer than 10,000 persons.</w:t>
            </w:r>
          </w:p>
        </w:tc>
        <w:tc>
          <w:tcPr>
            <w:tcW w:w="3213" w:type="dxa"/>
          </w:tcPr>
          <w:p w14:paraId="34769E3C" w14:textId="2C3309D7" w:rsidR="00F15E5B" w:rsidRDefault="009359D3" w:rsidP="005A37D0">
            <w:pPr>
              <w:rPr>
                <w:rFonts w:eastAsia="Times New Roman"/>
                <w:sz w:val="24"/>
                <w:szCs w:val="24"/>
              </w:rPr>
            </w:pPr>
            <w:r>
              <w:rPr>
                <w:rFonts w:eastAsia="Times New Roman"/>
                <w:sz w:val="24"/>
                <w:szCs w:val="24"/>
              </w:rPr>
              <w:t xml:space="preserve">TTHM annual average ≤ 0.040 mg/l and HAA5 annual average ≤ 0.030 mg/l for two consecutive years OR TTHM annual average </w:t>
            </w:r>
            <w:r w:rsidR="00CC39D9">
              <w:rPr>
                <w:rFonts w:eastAsia="Times New Roman"/>
                <w:sz w:val="24"/>
                <w:szCs w:val="24"/>
              </w:rPr>
              <w:t xml:space="preserve">≤ </w:t>
            </w:r>
            <w:r>
              <w:rPr>
                <w:rFonts w:eastAsia="Times New Roman"/>
                <w:sz w:val="24"/>
                <w:szCs w:val="24"/>
              </w:rPr>
              <w:t xml:space="preserve">0.020 mg/l and HAA5 annual average </w:t>
            </w:r>
            <w:r w:rsidR="00CC39D9">
              <w:rPr>
                <w:rFonts w:eastAsia="Times New Roman"/>
                <w:sz w:val="24"/>
                <w:szCs w:val="24"/>
              </w:rPr>
              <w:t>≤</w:t>
            </w:r>
            <w:r>
              <w:rPr>
                <w:rFonts w:eastAsia="Times New Roman"/>
                <w:sz w:val="24"/>
                <w:szCs w:val="24"/>
              </w:rPr>
              <w:t xml:space="preserve"> 0.015 mg/l for one year.</w:t>
            </w:r>
          </w:p>
        </w:tc>
        <w:tc>
          <w:tcPr>
            <w:tcW w:w="4075" w:type="dxa"/>
          </w:tcPr>
          <w:p w14:paraId="45A12390" w14:textId="77777777" w:rsidR="00F15E5B" w:rsidRDefault="00F15E5B" w:rsidP="005A37D0">
            <w:pPr>
              <w:rPr>
                <w:rFonts w:eastAsia="Times New Roman"/>
                <w:sz w:val="24"/>
                <w:szCs w:val="24"/>
              </w:rPr>
            </w:pPr>
          </w:p>
        </w:tc>
      </w:tr>
    </w:tbl>
    <w:p w14:paraId="2819F4F0" w14:textId="77777777" w:rsidR="004647B9" w:rsidRDefault="004647B9" w:rsidP="00620D9C">
      <w:pPr>
        <w:rPr>
          <w:rFonts w:eastAsia="Times New Roman"/>
          <w:sz w:val="24"/>
          <w:szCs w:val="24"/>
        </w:rPr>
      </w:pPr>
    </w:p>
    <w:p w14:paraId="2819F4F1" w14:textId="77777777" w:rsidR="004647B9" w:rsidRDefault="004647B9">
      <w:pPr>
        <w:sectPr w:rsidR="004647B9" w:rsidSect="00EF630C">
          <w:type w:val="continuous"/>
          <w:pgSz w:w="12240" w:h="20180"/>
          <w:pgMar w:top="708" w:right="1440" w:bottom="1148" w:left="600" w:header="0" w:footer="0" w:gutter="0"/>
          <w:cols w:space="720"/>
        </w:sectPr>
      </w:pPr>
    </w:p>
    <w:p w14:paraId="2819F506" w14:textId="386F56CE" w:rsidR="004647B9" w:rsidRDefault="00E2436F" w:rsidP="00620D9C">
      <w:pPr>
        <w:numPr>
          <w:ilvl w:val="0"/>
          <w:numId w:val="300"/>
        </w:numPr>
        <w:tabs>
          <w:tab w:val="left" w:pos="2610"/>
        </w:tabs>
        <w:ind w:left="2275"/>
        <w:jc w:val="both"/>
        <w:rPr>
          <w:rFonts w:eastAsia="Times New Roman"/>
          <w:sz w:val="24"/>
          <w:szCs w:val="24"/>
        </w:rPr>
      </w:pPr>
      <w:r>
        <w:rPr>
          <w:rFonts w:eastAsia="Times New Roman"/>
          <w:sz w:val="24"/>
          <w:szCs w:val="24"/>
          <w:u w:val="single"/>
        </w:rPr>
        <w:t>Monitoring Requirements for Source Water TOC</w:t>
      </w:r>
      <w:r>
        <w:rPr>
          <w:rFonts w:eastAsia="Times New Roman"/>
          <w:sz w:val="24"/>
          <w:szCs w:val="24"/>
        </w:rPr>
        <w:t xml:space="preserve">. In order to qualify for reduced monitoring for TTHM and HAA5 under 310 CMR 22.07E(7)(b)1.b, Surface Water and Groundwater Under the Direct Influence of Surface Water systems not monitoring under the provisions of 310 CMR 22.07E(7)(d) must take monthly TOC samples every 30 days at a location prior to any treatment, beginning April 1, 2008 or earlier, if specified by the Department. In addition to meeting other criteria for reduced monitoring in 310 CMR 22.07E(7)(b)1.b., the source water TOC Running Annual Average must be </w:t>
      </w:r>
      <w:r w:rsidR="001B0A21">
        <w:rPr>
          <w:rFonts w:eastAsia="Times New Roman"/>
          <w:sz w:val="24"/>
          <w:szCs w:val="24"/>
        </w:rPr>
        <w:t xml:space="preserve">≤ </w:t>
      </w:r>
      <w:r>
        <w:rPr>
          <w:rFonts w:eastAsia="Times New Roman"/>
          <w:sz w:val="24"/>
          <w:szCs w:val="24"/>
        </w:rPr>
        <w:t>4.0 mg/L (based on the most recent four quarters of monitoring) on a continuing basis at each treatment plant to reduce or remain on reduced monitoring for TTHM and HAA5. Once qualified for reduced monitoring for TTHM and HAA5 under 310 CMR 22.07E(7)(b)1.b., a system may reduce source water TOC monitoring to quarterly TOC samples taken every 90 days at a location prior to any treatment.</w:t>
      </w:r>
    </w:p>
    <w:p w14:paraId="2819F507" w14:textId="77777777" w:rsidR="004647B9" w:rsidRDefault="004647B9">
      <w:pPr>
        <w:sectPr w:rsidR="004647B9" w:rsidSect="00EF630C">
          <w:type w:val="continuous"/>
          <w:pgSz w:w="12240" w:h="20180"/>
          <w:pgMar w:top="708" w:right="1440" w:bottom="1148" w:left="600" w:header="0" w:footer="0" w:gutter="0"/>
          <w:cols w:space="720"/>
        </w:sectPr>
      </w:pPr>
    </w:p>
    <w:p w14:paraId="2819F508" w14:textId="77777777" w:rsidR="004647B9" w:rsidRDefault="00E2436F">
      <w:pPr>
        <w:tabs>
          <w:tab w:val="left" w:pos="160"/>
        </w:tabs>
        <w:jc w:val="center"/>
        <w:rPr>
          <w:sz w:val="20"/>
          <w:szCs w:val="20"/>
        </w:rPr>
      </w:pPr>
      <w:bookmarkStart w:id="120" w:name="page122"/>
      <w:bookmarkEnd w:id="12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509" w14:textId="77777777" w:rsidR="004647B9" w:rsidRDefault="004647B9" w:rsidP="005806FB">
      <w:pPr>
        <w:rPr>
          <w:sz w:val="20"/>
          <w:szCs w:val="20"/>
        </w:rPr>
      </w:pPr>
    </w:p>
    <w:p w14:paraId="2819F50A" w14:textId="77777777" w:rsidR="004647B9" w:rsidRDefault="004647B9" w:rsidP="005806FB">
      <w:pPr>
        <w:rPr>
          <w:sz w:val="20"/>
          <w:szCs w:val="20"/>
        </w:rPr>
      </w:pPr>
    </w:p>
    <w:p w14:paraId="2819F50B" w14:textId="77777777" w:rsidR="004647B9" w:rsidRPr="005806FB" w:rsidRDefault="00E2436F" w:rsidP="005806FB">
      <w:pPr>
        <w:tabs>
          <w:tab w:val="left" w:pos="920"/>
        </w:tabs>
        <w:rPr>
          <w:sz w:val="24"/>
          <w:szCs w:val="24"/>
        </w:rPr>
      </w:pPr>
      <w:r w:rsidRPr="005806FB">
        <w:rPr>
          <w:rFonts w:eastAsia="Times New Roman"/>
          <w:sz w:val="24"/>
          <w:szCs w:val="24"/>
        </w:rPr>
        <w:t>22.07E:</w:t>
      </w:r>
      <w:r w:rsidRPr="005806FB">
        <w:rPr>
          <w:sz w:val="24"/>
          <w:szCs w:val="24"/>
        </w:rPr>
        <w:tab/>
      </w:r>
      <w:r w:rsidRPr="005806FB">
        <w:rPr>
          <w:rFonts w:eastAsia="Times New Roman"/>
          <w:sz w:val="24"/>
          <w:szCs w:val="24"/>
        </w:rPr>
        <w:t>continued</w:t>
      </w:r>
    </w:p>
    <w:p w14:paraId="2819F50C" w14:textId="77777777" w:rsidR="004647B9" w:rsidRDefault="004647B9" w:rsidP="005806FB">
      <w:pPr>
        <w:rPr>
          <w:sz w:val="20"/>
          <w:szCs w:val="20"/>
        </w:rPr>
      </w:pPr>
    </w:p>
    <w:p w14:paraId="2819F50D" w14:textId="77777777" w:rsidR="004647B9" w:rsidRPr="00D72AA5" w:rsidRDefault="00E2436F" w:rsidP="005806FB">
      <w:pPr>
        <w:numPr>
          <w:ilvl w:val="1"/>
          <w:numId w:val="301"/>
        </w:numPr>
        <w:tabs>
          <w:tab w:val="left" w:pos="2657"/>
        </w:tabs>
        <w:ind w:left="2275"/>
        <w:jc w:val="both"/>
        <w:rPr>
          <w:rFonts w:eastAsia="Times New Roman"/>
          <w:sz w:val="24"/>
          <w:szCs w:val="24"/>
        </w:rPr>
      </w:pPr>
      <w:r w:rsidRPr="00D72AA5">
        <w:rPr>
          <w:rFonts w:eastAsia="Times New Roman"/>
          <w:sz w:val="24"/>
          <w:szCs w:val="24"/>
        </w:rPr>
        <w:t>Each Supplier of Water on a reduced monitoring schedule may remain on that reduced schedule as long as the average of all samples taken in the year (for systems which shall monitor quarterly) or the result of the sample (for systems which shall monitor no more frequently than annually) is no more than 0.060 mg/l and 0.045 mg/l for TTHM and HAA5, respectively. Systems that do not meet these levels shall resume monitoring at the frequency identified in 310 CMR 22.07E(7)(b)1.a. (minimum monitoring frequency column) in the quarter immediately following the monitoring period in which the system exceeds 0.060 mg/l or 0.045 mg/l for TTHM or HAA5, respectively. For each Supplier of Water using groundwater not under the direct influence of surface water and serving fewer than 10,000 people, if either the TTHM annual average is &gt; 0.080 mg/l or the HAA5 annual average is &gt; 0.060 mg/l, the system shall go to increased monitoring identified in 310 CMR 22.07E(7)(b)1.a. (sample location in the Distribution System column) in the quarter immediately following the monitoring period in which the system exceeds 0.080 mg/l or 0.060 mg/l for TTHM or HAA5 respectively.</w:t>
      </w:r>
    </w:p>
    <w:p w14:paraId="2819F50F" w14:textId="77777777" w:rsidR="004647B9" w:rsidRPr="00D72AA5" w:rsidRDefault="00E2436F" w:rsidP="005806FB">
      <w:pPr>
        <w:numPr>
          <w:ilvl w:val="1"/>
          <w:numId w:val="301"/>
        </w:numPr>
        <w:tabs>
          <w:tab w:val="left" w:pos="2569"/>
        </w:tabs>
        <w:ind w:left="2280" w:hanging="5"/>
        <w:jc w:val="both"/>
        <w:rPr>
          <w:rFonts w:eastAsia="Times New Roman"/>
          <w:sz w:val="24"/>
          <w:szCs w:val="24"/>
        </w:rPr>
      </w:pPr>
      <w:r w:rsidRPr="00D72AA5">
        <w:rPr>
          <w:rFonts w:eastAsia="Times New Roman"/>
          <w:sz w:val="24"/>
          <w:szCs w:val="24"/>
        </w:rPr>
        <w:t>Each Supplier of Water on increased monitoring may return to routine monitoring if after at least one year of monitoring their TTHM annual average is 0.060 mg/l and their HAA5 annual average is 0.045 mg/l.</w:t>
      </w:r>
    </w:p>
    <w:p w14:paraId="2819F510" w14:textId="77777777" w:rsidR="004647B9" w:rsidRPr="00D72AA5" w:rsidRDefault="00E2436F" w:rsidP="005806FB">
      <w:pPr>
        <w:numPr>
          <w:ilvl w:val="1"/>
          <w:numId w:val="301"/>
        </w:numPr>
        <w:tabs>
          <w:tab w:val="left" w:pos="2658"/>
        </w:tabs>
        <w:ind w:left="2280" w:hanging="5"/>
        <w:rPr>
          <w:rFonts w:eastAsia="Times New Roman"/>
          <w:sz w:val="24"/>
          <w:szCs w:val="24"/>
        </w:rPr>
      </w:pPr>
      <w:r w:rsidRPr="00D72AA5">
        <w:rPr>
          <w:rFonts w:eastAsia="Times New Roman"/>
          <w:sz w:val="24"/>
          <w:szCs w:val="24"/>
        </w:rPr>
        <w:t>The Department may return a Supplier of Water to routine monitoring at the Department's discretion.</w:t>
      </w:r>
    </w:p>
    <w:p w14:paraId="2819F512" w14:textId="77777777" w:rsidR="004647B9" w:rsidRPr="00D72AA5" w:rsidRDefault="00E2436F" w:rsidP="005806FB">
      <w:pPr>
        <w:numPr>
          <w:ilvl w:val="0"/>
          <w:numId w:val="302"/>
        </w:numPr>
        <w:tabs>
          <w:tab w:val="left" w:pos="2287"/>
        </w:tabs>
        <w:ind w:left="1920" w:hanging="5"/>
        <w:jc w:val="both"/>
        <w:rPr>
          <w:rFonts w:eastAsia="Times New Roman"/>
          <w:sz w:val="24"/>
          <w:szCs w:val="24"/>
        </w:rPr>
      </w:pPr>
      <w:r w:rsidRPr="00D72AA5">
        <w:rPr>
          <w:rFonts w:eastAsia="Times New Roman"/>
          <w:sz w:val="24"/>
          <w:szCs w:val="24"/>
          <w:u w:val="single"/>
        </w:rPr>
        <w:t>Chlorite</w:t>
      </w:r>
      <w:r w:rsidRPr="00D72AA5">
        <w:rPr>
          <w:rFonts w:eastAsia="Times New Roman"/>
          <w:sz w:val="24"/>
          <w:szCs w:val="24"/>
        </w:rPr>
        <w:t>. An owner or operator of Community and Non-transient Non-community Water Systems using chlorine dioxide, for Disinfection or oxidation, shall conduct monitoring for chlorite.</w:t>
      </w:r>
    </w:p>
    <w:p w14:paraId="2819F514" w14:textId="77777777" w:rsidR="004647B9" w:rsidRPr="00D72AA5" w:rsidRDefault="00E2436F" w:rsidP="005806FB">
      <w:pPr>
        <w:numPr>
          <w:ilvl w:val="1"/>
          <w:numId w:val="302"/>
        </w:numPr>
        <w:tabs>
          <w:tab w:val="left" w:pos="2620"/>
        </w:tabs>
        <w:ind w:left="2620" w:hanging="345"/>
        <w:rPr>
          <w:rFonts w:eastAsia="Times New Roman"/>
          <w:sz w:val="24"/>
          <w:szCs w:val="24"/>
        </w:rPr>
      </w:pPr>
      <w:r w:rsidRPr="00D72AA5">
        <w:rPr>
          <w:rFonts w:eastAsia="Times New Roman"/>
          <w:sz w:val="24"/>
          <w:szCs w:val="24"/>
          <w:u w:val="single"/>
        </w:rPr>
        <w:t>Routine Monitoring</w:t>
      </w:r>
      <w:r w:rsidRPr="00D72AA5">
        <w:rPr>
          <w:rFonts w:eastAsia="Times New Roman"/>
          <w:sz w:val="24"/>
          <w:szCs w:val="24"/>
        </w:rPr>
        <w:t>.</w:t>
      </w:r>
    </w:p>
    <w:p w14:paraId="2819F515" w14:textId="77777777" w:rsidR="004647B9" w:rsidRPr="00D72AA5" w:rsidRDefault="00E2436F" w:rsidP="005806FB">
      <w:pPr>
        <w:numPr>
          <w:ilvl w:val="2"/>
          <w:numId w:val="302"/>
        </w:numPr>
        <w:tabs>
          <w:tab w:val="left" w:pos="2990"/>
        </w:tabs>
        <w:ind w:left="2640" w:hanging="5"/>
        <w:jc w:val="both"/>
        <w:rPr>
          <w:rFonts w:eastAsia="Times New Roman"/>
          <w:sz w:val="24"/>
          <w:szCs w:val="24"/>
        </w:rPr>
      </w:pPr>
      <w:r w:rsidRPr="00D72AA5">
        <w:rPr>
          <w:rFonts w:eastAsia="Times New Roman"/>
          <w:sz w:val="24"/>
          <w:szCs w:val="24"/>
          <w:u w:val="single"/>
        </w:rPr>
        <w:t>Daily Monitoring</w:t>
      </w:r>
      <w:r w:rsidRPr="00D72AA5">
        <w:rPr>
          <w:rFonts w:eastAsia="Times New Roman"/>
          <w:sz w:val="24"/>
          <w:szCs w:val="24"/>
        </w:rPr>
        <w:t>. Each Supplier of Water shall take daily samples at the entrance to the Distribution System. For any daily sample that exceeds the chlorite MCL, the supplier shall take additional samples in the Distribution System the following day at the locations required by 310 CMR 22.07E(7)(b)2.b. in addition to the sample required at the entrance to the Distribution System.</w:t>
      </w:r>
    </w:p>
    <w:p w14:paraId="2819F517" w14:textId="77777777" w:rsidR="004647B9" w:rsidRPr="00D72AA5" w:rsidRDefault="00E2436F" w:rsidP="005806FB">
      <w:pPr>
        <w:numPr>
          <w:ilvl w:val="2"/>
          <w:numId w:val="302"/>
        </w:numPr>
        <w:tabs>
          <w:tab w:val="left" w:pos="3021"/>
        </w:tabs>
        <w:ind w:left="2640" w:hanging="5"/>
        <w:jc w:val="both"/>
        <w:rPr>
          <w:rFonts w:eastAsia="Times New Roman"/>
          <w:sz w:val="24"/>
          <w:szCs w:val="24"/>
        </w:rPr>
      </w:pPr>
      <w:r w:rsidRPr="00D72AA5">
        <w:rPr>
          <w:rFonts w:eastAsia="Times New Roman"/>
          <w:sz w:val="24"/>
          <w:szCs w:val="24"/>
          <w:u w:val="single"/>
        </w:rPr>
        <w:t>Monthly Monitoring</w:t>
      </w:r>
      <w:r w:rsidRPr="00D72AA5">
        <w:rPr>
          <w:rFonts w:eastAsia="Times New Roman"/>
          <w:sz w:val="24"/>
          <w:szCs w:val="24"/>
        </w:rPr>
        <w:t>. Each Supplier of Water shall take a three-sample set each month in the Distribution System. The supplier shall take one sample at each of the following locations: near the first customer, at a location representative of average residence time, and at a location reflecting maximum</w:t>
      </w:r>
      <w:r>
        <w:rPr>
          <w:rFonts w:eastAsia="Times New Roman"/>
          <w:sz w:val="24"/>
          <w:szCs w:val="24"/>
        </w:rPr>
        <w:t xml:space="preserve"> residence time in the Distribution System. Any additional routine sampling </w:t>
      </w:r>
      <w:r w:rsidRPr="00D72AA5">
        <w:rPr>
          <w:rFonts w:eastAsia="Times New Roman"/>
          <w:sz w:val="24"/>
          <w:szCs w:val="24"/>
        </w:rPr>
        <w:t>shall be conducted in the same manner (as three-sample sets, at the specified locations). Each Supplier of Water may use the results of additional monitoring conducted under 310 CMR 22.07E(7)(b)2.b. to meet the requirement for monitoring in 310 CMR 22.07E(7)(b)2.a.ii.</w:t>
      </w:r>
    </w:p>
    <w:p w14:paraId="2819F519" w14:textId="77777777" w:rsidR="004647B9" w:rsidRPr="00D72AA5" w:rsidRDefault="00E2436F" w:rsidP="005806FB">
      <w:pPr>
        <w:numPr>
          <w:ilvl w:val="1"/>
          <w:numId w:val="302"/>
        </w:numPr>
        <w:tabs>
          <w:tab w:val="left" w:pos="2698"/>
        </w:tabs>
        <w:ind w:left="2280" w:hanging="5"/>
        <w:jc w:val="both"/>
        <w:rPr>
          <w:rFonts w:eastAsia="Times New Roman"/>
          <w:sz w:val="24"/>
          <w:szCs w:val="24"/>
        </w:rPr>
      </w:pPr>
      <w:r w:rsidRPr="00D72AA5">
        <w:rPr>
          <w:rFonts w:eastAsia="Times New Roman"/>
          <w:sz w:val="24"/>
          <w:szCs w:val="24"/>
          <w:u w:val="single"/>
        </w:rPr>
        <w:t>Additional Monitoring</w:t>
      </w:r>
      <w:r w:rsidRPr="00D72AA5">
        <w:rPr>
          <w:rFonts w:eastAsia="Times New Roman"/>
          <w:sz w:val="24"/>
          <w:szCs w:val="24"/>
        </w:rPr>
        <w:t>. On each day following a routine sample monitoring result that exceeds the chlorite MCL at the entrance to the Distribution System, the Supplier of Water is required to take three chlorite Distribution System samples at the following locations: as close to the first customer as possible, in a location representative of average residence time, and as close to the end of the Distribution System as possible (reflecting maximum residence time in the Distribution System).</w:t>
      </w:r>
    </w:p>
    <w:p w14:paraId="2819F51B" w14:textId="77777777" w:rsidR="004647B9" w:rsidRPr="00D72AA5" w:rsidRDefault="00E2436F" w:rsidP="005806FB">
      <w:pPr>
        <w:numPr>
          <w:ilvl w:val="1"/>
          <w:numId w:val="302"/>
        </w:numPr>
        <w:tabs>
          <w:tab w:val="left" w:pos="2620"/>
        </w:tabs>
        <w:ind w:left="2620" w:hanging="345"/>
        <w:rPr>
          <w:rFonts w:eastAsia="Times New Roman"/>
          <w:sz w:val="24"/>
          <w:szCs w:val="24"/>
        </w:rPr>
      </w:pPr>
      <w:r w:rsidRPr="00D72AA5">
        <w:rPr>
          <w:rFonts w:eastAsia="Times New Roman"/>
          <w:sz w:val="24"/>
          <w:szCs w:val="24"/>
          <w:u w:val="single"/>
        </w:rPr>
        <w:t>Reduced Monitoring</w:t>
      </w:r>
      <w:r w:rsidRPr="00D72AA5">
        <w:rPr>
          <w:rFonts w:eastAsia="Times New Roman"/>
          <w:sz w:val="24"/>
          <w:szCs w:val="24"/>
        </w:rPr>
        <w:t>.</w:t>
      </w:r>
    </w:p>
    <w:p w14:paraId="2819F51C" w14:textId="77777777" w:rsidR="004647B9" w:rsidRPr="00D72AA5" w:rsidRDefault="00E2436F" w:rsidP="005806FB">
      <w:pPr>
        <w:numPr>
          <w:ilvl w:val="2"/>
          <w:numId w:val="302"/>
        </w:numPr>
        <w:tabs>
          <w:tab w:val="left" w:pos="2983"/>
        </w:tabs>
        <w:ind w:left="2640" w:hanging="5"/>
        <w:rPr>
          <w:rFonts w:eastAsia="Times New Roman"/>
          <w:sz w:val="24"/>
          <w:szCs w:val="24"/>
        </w:rPr>
      </w:pPr>
      <w:r w:rsidRPr="00D72AA5">
        <w:rPr>
          <w:rFonts w:eastAsia="Times New Roman"/>
          <w:sz w:val="24"/>
          <w:szCs w:val="24"/>
        </w:rPr>
        <w:t>Chlorite monitoring at the entrance to the Distribution System required by 310 CMR 22.07E(7)(b)2.a.i. may not be reduced.</w:t>
      </w:r>
    </w:p>
    <w:p w14:paraId="2819F51E" w14:textId="77777777" w:rsidR="004647B9" w:rsidRPr="00D72AA5" w:rsidRDefault="00E2436F" w:rsidP="005806FB">
      <w:pPr>
        <w:numPr>
          <w:ilvl w:val="2"/>
          <w:numId w:val="302"/>
        </w:numPr>
        <w:tabs>
          <w:tab w:val="left" w:pos="3144"/>
        </w:tabs>
        <w:ind w:left="2640" w:hanging="5"/>
        <w:jc w:val="both"/>
        <w:rPr>
          <w:rFonts w:eastAsia="Times New Roman"/>
          <w:sz w:val="24"/>
          <w:szCs w:val="24"/>
        </w:rPr>
      </w:pPr>
      <w:r w:rsidRPr="00D72AA5">
        <w:rPr>
          <w:rFonts w:eastAsia="Times New Roman"/>
          <w:sz w:val="24"/>
          <w:szCs w:val="24"/>
        </w:rPr>
        <w:t>Chlorite monitoring in the Distribution System required by 310 CMR 22.07E(7)(b)2.a.ii. may be reduced to one three-sample set per quarter after one year of monitoring where no individual chlorite sample taken in the Distribution System under 310 CMR 22.07E(7)(b)2.a.ii. has exceeded the chlorite MCL and the supplier has not been required to conduct monitoring under 310 CMR 22.07E(7)(b)2.b. The supplier may remain on the reduced monitoring schedule until either any of the three individual chlorite samples taken quarterly in the Distribution System under 310 CMR 22.07E(b)2.a.ii. exceeds the chlorite MCL or the system is required to conduct monitoring under 310 CMR 22.07E(7)(b)2.b., at which time the supplier shall revert to routine monitoring.</w:t>
      </w:r>
    </w:p>
    <w:p w14:paraId="2819F51F" w14:textId="77777777" w:rsidR="004647B9" w:rsidRDefault="004647B9">
      <w:pPr>
        <w:sectPr w:rsidR="004647B9" w:rsidSect="00EF630C">
          <w:pgSz w:w="12240" w:h="20180"/>
          <w:pgMar w:top="708" w:right="1440" w:bottom="1440" w:left="600" w:header="0" w:footer="0" w:gutter="0"/>
          <w:cols w:space="720"/>
        </w:sectPr>
      </w:pPr>
    </w:p>
    <w:p w14:paraId="2819F520" w14:textId="77777777" w:rsidR="004647B9" w:rsidRDefault="00E2436F">
      <w:pPr>
        <w:tabs>
          <w:tab w:val="left" w:pos="160"/>
        </w:tabs>
        <w:jc w:val="center"/>
        <w:rPr>
          <w:sz w:val="20"/>
          <w:szCs w:val="20"/>
        </w:rPr>
      </w:pPr>
      <w:bookmarkStart w:id="121" w:name="page123"/>
      <w:bookmarkEnd w:id="12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521" w14:textId="77777777" w:rsidR="004647B9" w:rsidRDefault="004647B9" w:rsidP="00EE07E5">
      <w:pPr>
        <w:rPr>
          <w:sz w:val="20"/>
          <w:szCs w:val="20"/>
        </w:rPr>
      </w:pPr>
    </w:p>
    <w:p w14:paraId="2819F522" w14:textId="77777777" w:rsidR="004647B9" w:rsidRDefault="004647B9" w:rsidP="00EE07E5">
      <w:pPr>
        <w:rPr>
          <w:sz w:val="20"/>
          <w:szCs w:val="20"/>
        </w:rPr>
      </w:pPr>
    </w:p>
    <w:p w14:paraId="2819F523" w14:textId="77777777" w:rsidR="004647B9" w:rsidRPr="00EE07E5" w:rsidRDefault="00E2436F" w:rsidP="00EE07E5">
      <w:pPr>
        <w:tabs>
          <w:tab w:val="left" w:pos="920"/>
        </w:tabs>
        <w:rPr>
          <w:sz w:val="24"/>
          <w:szCs w:val="24"/>
        </w:rPr>
      </w:pPr>
      <w:r w:rsidRPr="00EE07E5">
        <w:rPr>
          <w:rFonts w:eastAsia="Times New Roman"/>
          <w:sz w:val="24"/>
          <w:szCs w:val="24"/>
        </w:rPr>
        <w:t>22.07E:</w:t>
      </w:r>
      <w:r w:rsidRPr="00EE07E5">
        <w:rPr>
          <w:sz w:val="24"/>
          <w:szCs w:val="24"/>
        </w:rPr>
        <w:tab/>
      </w:r>
      <w:r w:rsidRPr="00EE07E5">
        <w:rPr>
          <w:rFonts w:eastAsia="Times New Roman"/>
          <w:sz w:val="24"/>
          <w:szCs w:val="24"/>
        </w:rPr>
        <w:t>continued</w:t>
      </w:r>
    </w:p>
    <w:p w14:paraId="2819F524" w14:textId="77777777" w:rsidR="004647B9" w:rsidRDefault="004647B9" w:rsidP="00EE07E5">
      <w:pPr>
        <w:rPr>
          <w:sz w:val="20"/>
          <w:szCs w:val="20"/>
        </w:rPr>
      </w:pPr>
    </w:p>
    <w:p w14:paraId="2819F525" w14:textId="77777777" w:rsidR="004647B9" w:rsidRDefault="00E2436F" w:rsidP="00EE07E5">
      <w:pPr>
        <w:numPr>
          <w:ilvl w:val="1"/>
          <w:numId w:val="303"/>
        </w:numPr>
        <w:tabs>
          <w:tab w:val="left" w:pos="2280"/>
        </w:tabs>
        <w:ind w:left="2280" w:hanging="365"/>
        <w:rPr>
          <w:rFonts w:eastAsia="Times New Roman"/>
          <w:sz w:val="24"/>
          <w:szCs w:val="24"/>
        </w:rPr>
      </w:pPr>
      <w:r>
        <w:rPr>
          <w:rFonts w:eastAsia="Times New Roman"/>
          <w:sz w:val="24"/>
          <w:szCs w:val="24"/>
          <w:u w:val="single"/>
        </w:rPr>
        <w:t>Bromate</w:t>
      </w:r>
      <w:r>
        <w:rPr>
          <w:rFonts w:eastAsia="Times New Roman"/>
          <w:sz w:val="24"/>
          <w:szCs w:val="24"/>
        </w:rPr>
        <w:t>.</w:t>
      </w:r>
    </w:p>
    <w:p w14:paraId="2819F527" w14:textId="77777777" w:rsidR="004647B9" w:rsidRDefault="00E2436F" w:rsidP="00EE07E5">
      <w:pPr>
        <w:numPr>
          <w:ilvl w:val="2"/>
          <w:numId w:val="303"/>
        </w:numPr>
        <w:tabs>
          <w:tab w:val="left" w:pos="2706"/>
        </w:tabs>
        <w:ind w:left="2280" w:hanging="5"/>
        <w:jc w:val="both"/>
        <w:rPr>
          <w:rFonts w:eastAsia="Times New Roman"/>
          <w:sz w:val="24"/>
          <w:szCs w:val="24"/>
        </w:rPr>
      </w:pPr>
      <w:r>
        <w:rPr>
          <w:rFonts w:eastAsia="Times New Roman"/>
          <w:sz w:val="24"/>
          <w:szCs w:val="24"/>
          <w:u w:val="single"/>
        </w:rPr>
        <w:t>Routine Monitoring</w:t>
      </w:r>
      <w:r>
        <w:rPr>
          <w:rFonts w:eastAsia="Times New Roman"/>
          <w:sz w:val="24"/>
          <w:szCs w:val="24"/>
        </w:rPr>
        <w:t>. Community and Non-transient Non-community Water Systems using ozone, for Disinfection or oxidation, shall take one sample per month for each treatment plant in the system using ozone. Each Supplier of Water shall take samples monthly at the entrance to the Distribution System while the ozonation system is operating under normal conditions.</w:t>
      </w:r>
    </w:p>
    <w:p w14:paraId="2819F529" w14:textId="77777777" w:rsidR="004647B9" w:rsidRDefault="00E2436F" w:rsidP="00EE07E5">
      <w:pPr>
        <w:numPr>
          <w:ilvl w:val="2"/>
          <w:numId w:val="303"/>
        </w:numPr>
        <w:tabs>
          <w:tab w:val="left" w:pos="2640"/>
        </w:tabs>
        <w:ind w:left="2640" w:hanging="365"/>
        <w:rPr>
          <w:rFonts w:eastAsia="Times New Roman"/>
          <w:sz w:val="24"/>
          <w:szCs w:val="24"/>
        </w:rPr>
      </w:pPr>
      <w:r>
        <w:rPr>
          <w:rFonts w:eastAsia="Times New Roman"/>
          <w:sz w:val="24"/>
          <w:szCs w:val="24"/>
          <w:u w:val="single"/>
        </w:rPr>
        <w:t>Reduced Monitoring</w:t>
      </w:r>
      <w:r>
        <w:rPr>
          <w:rFonts w:eastAsia="Times New Roman"/>
          <w:sz w:val="24"/>
          <w:szCs w:val="24"/>
        </w:rPr>
        <w:t>.</w:t>
      </w:r>
    </w:p>
    <w:p w14:paraId="2819F52A" w14:textId="77777777" w:rsidR="004647B9" w:rsidRDefault="00E2436F" w:rsidP="00EE07E5">
      <w:pPr>
        <w:numPr>
          <w:ilvl w:val="3"/>
          <w:numId w:val="303"/>
        </w:numPr>
        <w:tabs>
          <w:tab w:val="left" w:pos="2932"/>
        </w:tabs>
        <w:ind w:left="2640" w:hanging="5"/>
        <w:jc w:val="both"/>
        <w:rPr>
          <w:rFonts w:eastAsia="Times New Roman"/>
          <w:sz w:val="24"/>
          <w:szCs w:val="24"/>
        </w:rPr>
      </w:pPr>
      <w:r>
        <w:rPr>
          <w:rFonts w:eastAsia="Times New Roman"/>
          <w:sz w:val="24"/>
          <w:szCs w:val="24"/>
        </w:rPr>
        <w:t xml:space="preserve">Until March 31, 2009, each Supplier of Water who is required to analyze for bromate may reduce monitoring from monthly to quarterly, if the system demonstrates that the average source water bromide concentration is less than 0.05 mg/l based upon representative monthly bromide measurements for one year. The Supplier of Water may remain on reduced bromate monitoring until the Running Annual Average source water bromide concentration, computed quarterly, is equal to or greater than 0.05 mg/l based upon representative monthly measurements. If the Running Annual Average source water bromide concentration is </w:t>
      </w:r>
      <w:r>
        <w:rPr>
          <w:rFonts w:eastAsia="Times New Roman"/>
          <w:sz w:val="24"/>
          <w:szCs w:val="24"/>
          <w:u w:val="single"/>
        </w:rPr>
        <w:t>&gt;</w:t>
      </w:r>
      <w:r>
        <w:rPr>
          <w:rFonts w:eastAsia="Times New Roman"/>
          <w:sz w:val="24"/>
          <w:szCs w:val="24"/>
        </w:rPr>
        <w:t>0.05 mg/l, the Supplier of Water shall resume routine monitoring required by 310 CMR 22.07E(7)(b)3.a. in the following month.</w:t>
      </w:r>
    </w:p>
    <w:p w14:paraId="2819F52C" w14:textId="378F723E" w:rsidR="004647B9" w:rsidRDefault="00E2436F" w:rsidP="00EE07E5">
      <w:pPr>
        <w:numPr>
          <w:ilvl w:val="3"/>
          <w:numId w:val="303"/>
        </w:numPr>
        <w:tabs>
          <w:tab w:val="left" w:pos="3078"/>
        </w:tabs>
        <w:ind w:left="2640" w:hanging="5"/>
        <w:jc w:val="both"/>
        <w:rPr>
          <w:rFonts w:eastAsia="Times New Roman"/>
          <w:sz w:val="24"/>
          <w:szCs w:val="24"/>
        </w:rPr>
      </w:pPr>
      <w:r>
        <w:rPr>
          <w:rFonts w:eastAsia="Times New Roman"/>
          <w:sz w:val="24"/>
          <w:szCs w:val="24"/>
        </w:rPr>
        <w:t xml:space="preserve">Beginning April 1, 2009, each Supplier of Water may no longer use the provisions of 310 CMR 22.07E(7)(b)3.b.i. to qualify for reduced monitoring. A Supplier of Water required to analyze for bromate may reduce monitoring from monthly to quarterly, if the system's Running Annual Average bromate concentration is </w:t>
      </w:r>
      <w:r w:rsidR="0009502B">
        <w:rPr>
          <w:rFonts w:eastAsia="Times New Roman"/>
          <w:sz w:val="24"/>
          <w:szCs w:val="24"/>
        </w:rPr>
        <w:t xml:space="preserve">≤ </w:t>
      </w:r>
      <w:r>
        <w:rPr>
          <w:rFonts w:eastAsia="Times New Roman"/>
          <w:sz w:val="24"/>
          <w:szCs w:val="24"/>
        </w:rPr>
        <w:t>0.0025 mg/L based on monthly bromate measurements under 310 CMR 22.07E(7)(b)3.a. for the most recent four quarters, with samples analyzed using Method 302.0, 317.0 Revision 2.0, 326.0, 321.8 or 557. If a Supplier of Water has qualified for reduced bromate monitoring under 310 CMR 22.07E(7)(b)3.b.i. that Supplier of Water may remain on reduced monitoring as long as the Running Annual Average of quarterly bromate samples is 0.0025 mg/L based on samples analyzed using Method 302.0, 317.0 Revision 2.0, 326.0, 321.8 or 557. If the Running Annual Average bromate concentration is &gt;0.0025 mg/L, the Supplier of Water must resume routine monitoring required by 310 CMR 22.07E(7)(b)3.a.</w:t>
      </w:r>
    </w:p>
    <w:p w14:paraId="2819F52E" w14:textId="77777777" w:rsidR="004647B9" w:rsidRDefault="00E2436F" w:rsidP="00EE07E5">
      <w:pPr>
        <w:numPr>
          <w:ilvl w:val="0"/>
          <w:numId w:val="304"/>
        </w:numPr>
        <w:tabs>
          <w:tab w:val="left" w:pos="2000"/>
        </w:tabs>
        <w:ind w:left="2000" w:hanging="445"/>
        <w:rPr>
          <w:rFonts w:eastAsia="Times New Roman"/>
          <w:sz w:val="24"/>
          <w:szCs w:val="24"/>
        </w:rPr>
      </w:pPr>
      <w:r>
        <w:rPr>
          <w:rFonts w:eastAsia="Times New Roman"/>
          <w:sz w:val="24"/>
          <w:szCs w:val="24"/>
          <w:u w:val="single"/>
        </w:rPr>
        <w:t>Monitoring Requirements for Disinfectant Residuals</w:t>
      </w:r>
      <w:r>
        <w:rPr>
          <w:rFonts w:eastAsia="Times New Roman"/>
          <w:sz w:val="24"/>
          <w:szCs w:val="24"/>
        </w:rPr>
        <w:t>.</w:t>
      </w:r>
    </w:p>
    <w:p w14:paraId="2819F52F" w14:textId="77777777" w:rsidR="004647B9" w:rsidRDefault="00E2436F" w:rsidP="00EE07E5">
      <w:pPr>
        <w:numPr>
          <w:ilvl w:val="1"/>
          <w:numId w:val="304"/>
        </w:numPr>
        <w:tabs>
          <w:tab w:val="left" w:pos="2280"/>
        </w:tabs>
        <w:ind w:left="2280" w:hanging="365"/>
        <w:rPr>
          <w:rFonts w:eastAsia="Times New Roman"/>
          <w:sz w:val="24"/>
          <w:szCs w:val="24"/>
        </w:rPr>
      </w:pPr>
      <w:r>
        <w:rPr>
          <w:rFonts w:eastAsia="Times New Roman"/>
          <w:sz w:val="24"/>
          <w:szCs w:val="24"/>
          <w:u w:val="single"/>
        </w:rPr>
        <w:t>Chlorine and Chloramines</w:t>
      </w:r>
      <w:r>
        <w:rPr>
          <w:rFonts w:eastAsia="Times New Roman"/>
          <w:sz w:val="24"/>
          <w:szCs w:val="24"/>
        </w:rPr>
        <w:t>.</w:t>
      </w:r>
    </w:p>
    <w:p w14:paraId="2819F530" w14:textId="77777777" w:rsidR="004647B9" w:rsidRDefault="00E2436F" w:rsidP="00EE07E5">
      <w:pPr>
        <w:numPr>
          <w:ilvl w:val="2"/>
          <w:numId w:val="304"/>
        </w:numPr>
        <w:tabs>
          <w:tab w:val="left" w:pos="2706"/>
        </w:tabs>
        <w:ind w:left="2280" w:hanging="5"/>
        <w:jc w:val="both"/>
        <w:rPr>
          <w:rFonts w:eastAsia="Times New Roman"/>
          <w:sz w:val="24"/>
          <w:szCs w:val="24"/>
        </w:rPr>
      </w:pPr>
      <w:r>
        <w:rPr>
          <w:rFonts w:eastAsia="Times New Roman"/>
          <w:sz w:val="24"/>
          <w:szCs w:val="24"/>
          <w:u w:val="single"/>
        </w:rPr>
        <w:t>Routine Monitoring</w:t>
      </w:r>
      <w:r>
        <w:rPr>
          <w:rFonts w:eastAsia="Times New Roman"/>
          <w:sz w:val="24"/>
          <w:szCs w:val="24"/>
        </w:rPr>
        <w:t xml:space="preserve">. Community and Non-transient Non-community Water Systems that use chlorine or chloramines shall measure the residual Disinfectant level in the Distribution System at the same point in the Distribution System and at the same time as total coliforms are sampled, as specified in 310 CMR 22.05. Each Supplier of Water who uses a Surface Water Source or groundwater source under the direct influence of surface water may use the results of Residual Disinfectant Concentration sampling conducted under 310 CMR 22.20A(5)(b)6. for unfiltered systems or 310 CMR 22.20A(5)(c)3. for systems which filter, in </w:t>
      </w:r>
      <w:r>
        <w:rPr>
          <w:rFonts w:eastAsia="Times New Roman"/>
          <w:i/>
          <w:iCs/>
          <w:sz w:val="24"/>
          <w:szCs w:val="24"/>
        </w:rPr>
        <w:t>lieu</w:t>
      </w:r>
      <w:r>
        <w:rPr>
          <w:rFonts w:eastAsia="Times New Roman"/>
          <w:sz w:val="24"/>
          <w:szCs w:val="24"/>
        </w:rPr>
        <w:t xml:space="preserve"> of taking separate samples.</w:t>
      </w:r>
    </w:p>
    <w:p w14:paraId="2819F532" w14:textId="77777777" w:rsidR="004647B9" w:rsidRDefault="00E2436F" w:rsidP="00EE07E5">
      <w:pPr>
        <w:numPr>
          <w:ilvl w:val="2"/>
          <w:numId w:val="304"/>
        </w:numPr>
        <w:tabs>
          <w:tab w:val="left" w:pos="2700"/>
        </w:tabs>
        <w:ind w:left="2700" w:hanging="425"/>
        <w:rPr>
          <w:rFonts w:eastAsia="Times New Roman"/>
          <w:sz w:val="24"/>
          <w:szCs w:val="24"/>
        </w:rPr>
      </w:pPr>
      <w:r>
        <w:rPr>
          <w:rFonts w:eastAsia="Times New Roman"/>
          <w:sz w:val="24"/>
          <w:szCs w:val="24"/>
          <w:u w:val="single"/>
        </w:rPr>
        <w:t>Reduced Monitoring</w:t>
      </w:r>
      <w:r>
        <w:rPr>
          <w:rFonts w:eastAsia="Times New Roman"/>
          <w:sz w:val="24"/>
          <w:szCs w:val="24"/>
        </w:rPr>
        <w:t>. Monitoring may not be reduced.</w:t>
      </w:r>
    </w:p>
    <w:p w14:paraId="2819F533" w14:textId="77777777" w:rsidR="004647B9" w:rsidRDefault="00E2436F" w:rsidP="00EE07E5">
      <w:pPr>
        <w:numPr>
          <w:ilvl w:val="1"/>
          <w:numId w:val="304"/>
        </w:numPr>
        <w:tabs>
          <w:tab w:val="left" w:pos="2280"/>
        </w:tabs>
        <w:ind w:left="2280" w:hanging="365"/>
        <w:rPr>
          <w:rFonts w:eastAsia="Times New Roman"/>
          <w:sz w:val="24"/>
          <w:szCs w:val="24"/>
        </w:rPr>
      </w:pPr>
      <w:r>
        <w:rPr>
          <w:rFonts w:eastAsia="Times New Roman"/>
          <w:sz w:val="24"/>
          <w:szCs w:val="24"/>
          <w:u w:val="single"/>
        </w:rPr>
        <w:t>Chlorine Dioxide</w:t>
      </w:r>
      <w:r>
        <w:rPr>
          <w:rFonts w:eastAsia="Times New Roman"/>
          <w:sz w:val="24"/>
          <w:szCs w:val="24"/>
        </w:rPr>
        <w:t>.</w:t>
      </w:r>
    </w:p>
    <w:p w14:paraId="2819F534" w14:textId="77777777" w:rsidR="004647B9" w:rsidRDefault="00E2436F" w:rsidP="00EE07E5">
      <w:pPr>
        <w:numPr>
          <w:ilvl w:val="2"/>
          <w:numId w:val="304"/>
        </w:numPr>
        <w:tabs>
          <w:tab w:val="left" w:pos="2576"/>
        </w:tabs>
        <w:ind w:left="2280" w:hanging="5"/>
        <w:jc w:val="both"/>
        <w:rPr>
          <w:rFonts w:eastAsia="Times New Roman"/>
          <w:sz w:val="24"/>
          <w:szCs w:val="24"/>
        </w:rPr>
      </w:pPr>
      <w:r>
        <w:rPr>
          <w:rFonts w:eastAsia="Times New Roman"/>
          <w:sz w:val="24"/>
          <w:szCs w:val="24"/>
          <w:u w:val="single"/>
        </w:rPr>
        <w:t>Routine Monitoring</w:t>
      </w:r>
      <w:r>
        <w:rPr>
          <w:rFonts w:eastAsia="Times New Roman"/>
          <w:sz w:val="24"/>
          <w:szCs w:val="24"/>
        </w:rPr>
        <w:t>. Community, Non-transient Non-community, and Transient Non-community Water Systems that use chlorine dioxide for Disinfection or oxidation shall take daily samples at the entrance to the Distribution System. For any daily sample that exceeds the MRDL, the supplier shall take samples in the Distribution System the following day at the locations required by 310 CMR 22.07E(7)(c)2.b., in addition to the sample required at the entrance to the Distribution System.</w:t>
      </w:r>
    </w:p>
    <w:p w14:paraId="2819F535" w14:textId="77777777" w:rsidR="004647B9" w:rsidRDefault="004647B9">
      <w:pPr>
        <w:sectPr w:rsidR="004647B9" w:rsidSect="00EF630C">
          <w:pgSz w:w="12240" w:h="20180"/>
          <w:pgMar w:top="708" w:right="1440" w:bottom="1440" w:left="600" w:header="0" w:footer="0" w:gutter="0"/>
          <w:cols w:space="720"/>
        </w:sectPr>
      </w:pPr>
    </w:p>
    <w:p w14:paraId="2819F536" w14:textId="77777777" w:rsidR="004647B9" w:rsidRDefault="00E2436F">
      <w:pPr>
        <w:tabs>
          <w:tab w:val="left" w:pos="160"/>
        </w:tabs>
        <w:jc w:val="center"/>
        <w:rPr>
          <w:sz w:val="20"/>
          <w:szCs w:val="20"/>
        </w:rPr>
      </w:pPr>
      <w:bookmarkStart w:id="122" w:name="page124"/>
      <w:bookmarkEnd w:id="12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537" w14:textId="77777777" w:rsidR="004647B9" w:rsidRDefault="004647B9" w:rsidP="00EE07E5">
      <w:pPr>
        <w:rPr>
          <w:sz w:val="20"/>
          <w:szCs w:val="20"/>
        </w:rPr>
      </w:pPr>
    </w:p>
    <w:p w14:paraId="2819F538" w14:textId="77777777" w:rsidR="004647B9" w:rsidRDefault="004647B9" w:rsidP="00EE07E5">
      <w:pPr>
        <w:rPr>
          <w:sz w:val="20"/>
          <w:szCs w:val="20"/>
        </w:rPr>
      </w:pPr>
    </w:p>
    <w:p w14:paraId="2819F539" w14:textId="77777777" w:rsidR="004647B9" w:rsidRPr="00EE07E5" w:rsidRDefault="00E2436F" w:rsidP="00EE07E5">
      <w:pPr>
        <w:tabs>
          <w:tab w:val="left" w:pos="920"/>
        </w:tabs>
        <w:rPr>
          <w:sz w:val="24"/>
          <w:szCs w:val="24"/>
        </w:rPr>
      </w:pPr>
      <w:r w:rsidRPr="00EE07E5">
        <w:rPr>
          <w:rFonts w:eastAsia="Times New Roman"/>
          <w:sz w:val="24"/>
          <w:szCs w:val="24"/>
        </w:rPr>
        <w:t>22.07E:</w:t>
      </w:r>
      <w:r w:rsidRPr="00EE07E5">
        <w:rPr>
          <w:sz w:val="24"/>
          <w:szCs w:val="24"/>
        </w:rPr>
        <w:tab/>
      </w:r>
      <w:r w:rsidRPr="00EE07E5">
        <w:rPr>
          <w:rFonts w:eastAsia="Times New Roman"/>
          <w:sz w:val="24"/>
          <w:szCs w:val="24"/>
        </w:rPr>
        <w:t>continued</w:t>
      </w:r>
    </w:p>
    <w:p w14:paraId="2819F53A" w14:textId="77777777" w:rsidR="004647B9" w:rsidRDefault="004647B9" w:rsidP="00EE07E5">
      <w:pPr>
        <w:rPr>
          <w:sz w:val="20"/>
          <w:szCs w:val="20"/>
        </w:rPr>
      </w:pPr>
    </w:p>
    <w:p w14:paraId="2819F53F" w14:textId="1544B759" w:rsidR="004647B9" w:rsidRPr="00D72AA5" w:rsidRDefault="00E2436F" w:rsidP="00EE07E5">
      <w:pPr>
        <w:numPr>
          <w:ilvl w:val="2"/>
          <w:numId w:val="305"/>
        </w:numPr>
        <w:tabs>
          <w:tab w:val="left" w:pos="2698"/>
        </w:tabs>
        <w:ind w:left="2280" w:hanging="5"/>
        <w:jc w:val="both"/>
        <w:rPr>
          <w:rFonts w:eastAsia="Times New Roman"/>
          <w:sz w:val="24"/>
          <w:szCs w:val="24"/>
        </w:rPr>
      </w:pPr>
      <w:r w:rsidRPr="00D72AA5">
        <w:rPr>
          <w:rFonts w:eastAsia="Times New Roman"/>
          <w:sz w:val="24"/>
          <w:szCs w:val="24"/>
          <w:u w:val="single"/>
        </w:rPr>
        <w:t>Additional Monitoring</w:t>
      </w:r>
      <w:r w:rsidRPr="00D72AA5">
        <w:rPr>
          <w:rFonts w:eastAsia="Times New Roman"/>
          <w:sz w:val="24"/>
          <w:szCs w:val="24"/>
        </w:rPr>
        <w:t>. On each day following a routine sample monitoring result that exceeds the MRDL, the supplier is required to take three chlorine dioxide Distribution System samples. If chlorine dioxide or chloramines are used to maintain</w:t>
      </w:r>
      <w:r w:rsidR="00D72AA5">
        <w:rPr>
          <w:rFonts w:eastAsia="Times New Roman"/>
          <w:sz w:val="24"/>
          <w:szCs w:val="24"/>
        </w:rPr>
        <w:t xml:space="preserve"> a </w:t>
      </w:r>
      <w:r w:rsidRPr="00D72AA5">
        <w:rPr>
          <w:rFonts w:eastAsia="Times New Roman"/>
          <w:sz w:val="24"/>
          <w:szCs w:val="24"/>
        </w:rPr>
        <w:t>Disinfectant residual in the Distribution System, or if chlorine is used to maintain</w:t>
      </w:r>
      <w:r w:rsidR="00D72AA5">
        <w:rPr>
          <w:rFonts w:eastAsia="Times New Roman"/>
          <w:sz w:val="24"/>
          <w:szCs w:val="24"/>
        </w:rPr>
        <w:t xml:space="preserve"> a </w:t>
      </w:r>
      <w:r w:rsidRPr="00D72AA5">
        <w:rPr>
          <w:rFonts w:eastAsia="Times New Roman"/>
          <w:sz w:val="24"/>
          <w:szCs w:val="24"/>
        </w:rPr>
        <w:t>Disinfectant residual in the Distribution System and there are no Disinfection addition points after the entrance to the Distribution System (</w:t>
      </w:r>
      <w:r w:rsidRPr="00D72AA5">
        <w:rPr>
          <w:rFonts w:eastAsia="Times New Roman"/>
          <w:i/>
          <w:iCs/>
          <w:sz w:val="24"/>
          <w:szCs w:val="24"/>
        </w:rPr>
        <w:t>i.e</w:t>
      </w:r>
      <w:r w:rsidRPr="00D72AA5">
        <w:rPr>
          <w:rFonts w:eastAsia="Times New Roman"/>
          <w:sz w:val="24"/>
          <w:szCs w:val="24"/>
        </w:rPr>
        <w:t>., no booster chlorination), the supplier shall take three samples as close to the first customer as possible, at intervals of at least six hours. If chlorine is used to maintain a Disinfectant residual in the Distribution System and there are one or more Disinfection addition points after the entrance to the Distribution System (</w:t>
      </w:r>
      <w:r w:rsidRPr="00D72AA5">
        <w:rPr>
          <w:rFonts w:eastAsia="Times New Roman"/>
          <w:i/>
          <w:iCs/>
          <w:sz w:val="24"/>
          <w:szCs w:val="24"/>
        </w:rPr>
        <w:t>i.e</w:t>
      </w:r>
      <w:r w:rsidRPr="00D72AA5">
        <w:rPr>
          <w:rFonts w:eastAsia="Times New Roman"/>
          <w:sz w:val="24"/>
          <w:szCs w:val="24"/>
        </w:rPr>
        <w:t>., booster chlorination), the supplier shall take one sample at each of the following locations: as close to the first customer as possible, in a location representative of average residence time, and as close to the end of the Distribution System as possible (reflecting maximum residence time in the Distribution System).</w:t>
      </w:r>
    </w:p>
    <w:p w14:paraId="2819F541" w14:textId="77777777" w:rsidR="004647B9" w:rsidRPr="00D72AA5" w:rsidRDefault="00E2436F" w:rsidP="00EE07E5">
      <w:pPr>
        <w:numPr>
          <w:ilvl w:val="2"/>
          <w:numId w:val="306"/>
        </w:numPr>
        <w:tabs>
          <w:tab w:val="left" w:pos="2680"/>
        </w:tabs>
        <w:ind w:left="2680" w:hanging="405"/>
        <w:rPr>
          <w:rFonts w:eastAsia="Times New Roman"/>
          <w:sz w:val="24"/>
          <w:szCs w:val="24"/>
        </w:rPr>
      </w:pPr>
      <w:r w:rsidRPr="00D72AA5">
        <w:rPr>
          <w:rFonts w:eastAsia="Times New Roman"/>
          <w:sz w:val="24"/>
          <w:szCs w:val="24"/>
          <w:u w:val="single"/>
        </w:rPr>
        <w:t>Reduced Monitoring</w:t>
      </w:r>
      <w:r w:rsidRPr="00D72AA5">
        <w:rPr>
          <w:rFonts w:eastAsia="Times New Roman"/>
          <w:sz w:val="24"/>
          <w:szCs w:val="24"/>
        </w:rPr>
        <w:t>. Chlorine dioxide monitoring may not be reduced.</w:t>
      </w:r>
    </w:p>
    <w:p w14:paraId="2819F542" w14:textId="77777777" w:rsidR="004647B9" w:rsidRPr="00D72AA5" w:rsidRDefault="00E2436F" w:rsidP="00EE07E5">
      <w:pPr>
        <w:numPr>
          <w:ilvl w:val="0"/>
          <w:numId w:val="307"/>
        </w:numPr>
        <w:tabs>
          <w:tab w:val="left" w:pos="2020"/>
        </w:tabs>
        <w:ind w:left="2020" w:hanging="465"/>
        <w:rPr>
          <w:rFonts w:eastAsia="Times New Roman"/>
          <w:sz w:val="24"/>
          <w:szCs w:val="24"/>
        </w:rPr>
      </w:pPr>
      <w:r w:rsidRPr="00D72AA5">
        <w:rPr>
          <w:rFonts w:eastAsia="Times New Roman"/>
          <w:sz w:val="24"/>
          <w:szCs w:val="24"/>
          <w:u w:val="single"/>
        </w:rPr>
        <w:t>Monitoring Requirements for Disinfection Byproduct Precursors (DBPP)</w:t>
      </w:r>
      <w:r w:rsidRPr="00D72AA5">
        <w:rPr>
          <w:rFonts w:eastAsia="Times New Roman"/>
          <w:sz w:val="24"/>
          <w:szCs w:val="24"/>
        </w:rPr>
        <w:t>.</w:t>
      </w:r>
    </w:p>
    <w:p w14:paraId="2819F545" w14:textId="04F8F92C" w:rsidR="004647B9" w:rsidRPr="00F94AD3" w:rsidRDefault="00E2436F" w:rsidP="00EE07E5">
      <w:pPr>
        <w:numPr>
          <w:ilvl w:val="1"/>
          <w:numId w:val="307"/>
        </w:numPr>
        <w:tabs>
          <w:tab w:val="left" w:pos="2287"/>
        </w:tabs>
        <w:ind w:left="1920" w:hanging="5"/>
        <w:jc w:val="both"/>
        <w:rPr>
          <w:rFonts w:eastAsia="Times New Roman"/>
          <w:sz w:val="24"/>
          <w:szCs w:val="24"/>
        </w:rPr>
      </w:pPr>
      <w:r w:rsidRPr="00D72AA5">
        <w:rPr>
          <w:rFonts w:eastAsia="Times New Roman"/>
          <w:sz w:val="24"/>
          <w:szCs w:val="24"/>
          <w:u w:val="single"/>
        </w:rPr>
        <w:t>Routine Monitoring</w:t>
      </w:r>
      <w:r w:rsidRPr="00D72AA5">
        <w:rPr>
          <w:rFonts w:eastAsia="Times New Roman"/>
          <w:sz w:val="24"/>
          <w:szCs w:val="24"/>
        </w:rPr>
        <w:t>. Each Supplier of Water who uses a Surface Water Source or groundwater source under the direct influence of surface water which use conventional Filtration treatment (as defined in 310 CMR 22.02) shall monitor each treatment plant for TOC no later than the point of combined filter effluent Turbidity monitoring and representative of the treated water. Each Supplier of Water required to monitor under</w:t>
      </w:r>
      <w:r w:rsidR="00D72AA5">
        <w:rPr>
          <w:rFonts w:eastAsia="Times New Roman"/>
          <w:sz w:val="24"/>
          <w:szCs w:val="24"/>
        </w:rPr>
        <w:t xml:space="preserve"> 310 </w:t>
      </w:r>
      <w:r w:rsidRPr="00D72AA5">
        <w:rPr>
          <w:rFonts w:eastAsia="Times New Roman"/>
          <w:sz w:val="24"/>
          <w:szCs w:val="24"/>
        </w:rPr>
        <w:t xml:space="preserve">CMR 22.07E(7)(d)1. shall also monitor for TOC in the source water prior to any treatment at the same time as monitoring for TOC in the treated water. The source water TOC sample may be taken at an earlier time than the treated water TOC sample where </w:t>
      </w:r>
      <w:r w:rsidRPr="00F94AD3">
        <w:rPr>
          <w:rFonts w:eastAsia="Times New Roman"/>
          <w:sz w:val="24"/>
          <w:szCs w:val="24"/>
        </w:rPr>
        <w:t>the difference between the two sampling times is equal to the time it takes the water to pass through the treatment processes. These samples (source water and treated water) are referred to as paired samples. At the same time as the source water sample is taken, the Supplier of Water shall monitor for alkalinity in the source water prior to any treatment. Each Supplier of Water shall take one paired sample and one source water alkalinity sample per month per plant at a time representative of normal operating conditions and influent water quality.</w:t>
      </w:r>
    </w:p>
    <w:p w14:paraId="2819F547" w14:textId="07502517" w:rsidR="004647B9" w:rsidRPr="00F94AD3" w:rsidRDefault="00AD51BD" w:rsidP="00EE07E5">
      <w:pPr>
        <w:numPr>
          <w:ilvl w:val="1"/>
          <w:numId w:val="308"/>
        </w:numPr>
        <w:tabs>
          <w:tab w:val="left" w:pos="2273"/>
        </w:tabs>
        <w:ind w:left="1920" w:hanging="5"/>
        <w:jc w:val="both"/>
        <w:rPr>
          <w:rFonts w:eastAsia="Times New Roman"/>
          <w:sz w:val="24"/>
          <w:szCs w:val="24"/>
        </w:rPr>
      </w:pPr>
      <w:r w:rsidRPr="00F94AD3">
        <w:rPr>
          <w:rFonts w:eastAsia="Times New Roman"/>
          <w:sz w:val="24"/>
          <w:szCs w:val="24"/>
          <w:u w:val="single"/>
        </w:rPr>
        <w:t xml:space="preserve"> </w:t>
      </w:r>
      <w:r w:rsidR="00E2436F" w:rsidRPr="00F94AD3">
        <w:rPr>
          <w:rFonts w:eastAsia="Times New Roman"/>
          <w:sz w:val="24"/>
          <w:szCs w:val="24"/>
          <w:u w:val="single"/>
        </w:rPr>
        <w:t>Reduced Monitoring</w:t>
      </w:r>
      <w:r w:rsidR="00E2436F" w:rsidRPr="00F94AD3">
        <w:rPr>
          <w:rFonts w:eastAsia="Times New Roman"/>
          <w:sz w:val="24"/>
          <w:szCs w:val="24"/>
        </w:rPr>
        <w:t>. Each Supplier of Water who uses a Surface Water Source or groundwater source under the direct influence of surface water with an average treated water TOC of less than 2.0 mg/l for two consecutive years, or less than 1.0 mg/l for one year, may reduce monitoring for both TOC and alkalinity to one paired sample and one source water alkalinity sample per plant per quarter. The Supplier of Water shall revert to routine monitoring in the month following the quarter when the annual average treated water TOC is &gt; 2.0 mg/l.</w:t>
      </w:r>
    </w:p>
    <w:p w14:paraId="2819F549" w14:textId="77777777" w:rsidR="004647B9" w:rsidRPr="00F94AD3" w:rsidRDefault="00E2436F" w:rsidP="00EE07E5">
      <w:pPr>
        <w:numPr>
          <w:ilvl w:val="0"/>
          <w:numId w:val="309"/>
        </w:numPr>
        <w:tabs>
          <w:tab w:val="left" w:pos="2004"/>
        </w:tabs>
        <w:ind w:left="1560" w:hanging="5"/>
        <w:jc w:val="both"/>
        <w:rPr>
          <w:rFonts w:eastAsia="Times New Roman"/>
          <w:sz w:val="24"/>
          <w:szCs w:val="24"/>
        </w:rPr>
      </w:pPr>
      <w:r w:rsidRPr="00F94AD3">
        <w:rPr>
          <w:rFonts w:eastAsia="Times New Roman"/>
          <w:sz w:val="24"/>
          <w:szCs w:val="24"/>
          <w:u w:val="single"/>
        </w:rPr>
        <w:t>Bromide</w:t>
      </w:r>
      <w:r w:rsidRPr="00F94AD3">
        <w:rPr>
          <w:rFonts w:eastAsia="Times New Roman"/>
          <w:sz w:val="24"/>
          <w:szCs w:val="24"/>
        </w:rPr>
        <w:t>. Each Supplier of Water who is required to analyze for bromate may reduce bromate monitoring from monthly to once per quarter, if the Supplier of Water demonstrates that the average source water bromide concentration is &lt; 0.05 mg/l based upon representative monthly measurements for one year. The Supplier of Water shall continue bromide monitoring to remain on reduced bromate monitoring.</w:t>
      </w:r>
    </w:p>
    <w:p w14:paraId="2819F54B" w14:textId="77777777" w:rsidR="004647B9" w:rsidRPr="00F94AD3" w:rsidRDefault="00E2436F" w:rsidP="00EE07E5">
      <w:pPr>
        <w:numPr>
          <w:ilvl w:val="0"/>
          <w:numId w:val="309"/>
        </w:numPr>
        <w:tabs>
          <w:tab w:val="left" w:pos="1956"/>
        </w:tabs>
        <w:ind w:left="1560" w:hanging="5"/>
        <w:jc w:val="both"/>
        <w:rPr>
          <w:rFonts w:eastAsia="Times New Roman"/>
          <w:sz w:val="24"/>
          <w:szCs w:val="24"/>
        </w:rPr>
      </w:pPr>
      <w:r w:rsidRPr="00F94AD3">
        <w:rPr>
          <w:rFonts w:eastAsia="Times New Roman"/>
          <w:sz w:val="24"/>
          <w:szCs w:val="24"/>
          <w:u w:val="single"/>
        </w:rPr>
        <w:t>Monitoring Plans</w:t>
      </w:r>
      <w:r w:rsidRPr="00F94AD3">
        <w:rPr>
          <w:rFonts w:eastAsia="Times New Roman"/>
          <w:sz w:val="24"/>
          <w:szCs w:val="24"/>
        </w:rPr>
        <w:t>. Each Supplier of Water who is required to monitor under 310 CMR 22.07E shall develop and implement a monitoring plan. The Supplier of Water shall maintain the plan and make it available for inspection by the Department and the general public no later than 30 days following the applicable compliance dates in 310 CMR 22.07E(3). Each Supplier of Water who uses a Surface Water Source or groundwater source under the direct influence of surface water that serves more than 3,300 people shall submit a copy of the monitoring plan to the Department no later than the date of the first report required under 310 CMR 22.07E(9). The Department may also require the plan to be submitted by any other supplier. After review, the Department may require changes in any plan elements. The plan shall include at least the following elements.</w:t>
      </w:r>
    </w:p>
    <w:p w14:paraId="2819F54D" w14:textId="77777777" w:rsidR="004647B9" w:rsidRPr="00F94AD3" w:rsidRDefault="00E2436F" w:rsidP="00EE07E5">
      <w:pPr>
        <w:numPr>
          <w:ilvl w:val="1"/>
          <w:numId w:val="309"/>
        </w:numPr>
        <w:tabs>
          <w:tab w:val="left" w:pos="2261"/>
        </w:tabs>
        <w:ind w:left="1920" w:hanging="5"/>
        <w:rPr>
          <w:rFonts w:eastAsia="Times New Roman"/>
          <w:sz w:val="24"/>
          <w:szCs w:val="24"/>
        </w:rPr>
      </w:pPr>
      <w:r w:rsidRPr="00F94AD3">
        <w:rPr>
          <w:rFonts w:eastAsia="Times New Roman"/>
          <w:sz w:val="24"/>
          <w:szCs w:val="24"/>
        </w:rPr>
        <w:t>Specific locations and schedules for collecting samples for any parameters included in 310 CMR 22.07E(7).</w:t>
      </w:r>
    </w:p>
    <w:p w14:paraId="2819F54F" w14:textId="77777777" w:rsidR="004647B9" w:rsidRPr="00F94AD3" w:rsidRDefault="00E2436F" w:rsidP="00EE07E5">
      <w:pPr>
        <w:numPr>
          <w:ilvl w:val="1"/>
          <w:numId w:val="309"/>
        </w:numPr>
        <w:tabs>
          <w:tab w:val="left" w:pos="2345"/>
        </w:tabs>
        <w:ind w:left="1920" w:hanging="5"/>
        <w:rPr>
          <w:rFonts w:eastAsia="Times New Roman"/>
          <w:sz w:val="24"/>
          <w:szCs w:val="24"/>
        </w:rPr>
      </w:pPr>
      <w:r w:rsidRPr="00F94AD3">
        <w:rPr>
          <w:rFonts w:eastAsia="Times New Roman"/>
          <w:sz w:val="24"/>
          <w:szCs w:val="24"/>
        </w:rPr>
        <w:t>How the system will calculate compliance with MCLs, MRDLs, and Treatment Techniques.</w:t>
      </w:r>
    </w:p>
    <w:p w14:paraId="2819F551" w14:textId="77777777" w:rsidR="004647B9" w:rsidRDefault="00E2436F" w:rsidP="00EE07E5">
      <w:pPr>
        <w:numPr>
          <w:ilvl w:val="1"/>
          <w:numId w:val="309"/>
        </w:numPr>
        <w:tabs>
          <w:tab w:val="left" w:pos="2374"/>
        </w:tabs>
        <w:ind w:left="1920" w:hanging="5"/>
        <w:jc w:val="both"/>
        <w:rPr>
          <w:rFonts w:eastAsia="Times New Roman"/>
          <w:sz w:val="24"/>
          <w:szCs w:val="24"/>
        </w:rPr>
      </w:pPr>
      <w:r w:rsidRPr="00F94AD3">
        <w:rPr>
          <w:rFonts w:eastAsia="Times New Roman"/>
          <w:sz w:val="24"/>
          <w:szCs w:val="24"/>
        </w:rPr>
        <w:t>If approved for monitoring as a consecutive system, or if providing water to a consecutive system, under the provisions of 310 CMR 22.12, the sampling plan shall reflect the entire Distribution System</w:t>
      </w:r>
      <w:r>
        <w:rPr>
          <w:rFonts w:eastAsia="Times New Roman"/>
          <w:sz w:val="24"/>
          <w:szCs w:val="24"/>
        </w:rPr>
        <w:t>.</w:t>
      </w:r>
    </w:p>
    <w:p w14:paraId="2819F552" w14:textId="77777777" w:rsidR="004647B9" w:rsidRDefault="004647B9">
      <w:pPr>
        <w:sectPr w:rsidR="004647B9" w:rsidSect="00EF630C">
          <w:pgSz w:w="12240" w:h="20180"/>
          <w:pgMar w:top="708" w:right="1440" w:bottom="1440" w:left="600" w:header="0" w:footer="0" w:gutter="0"/>
          <w:cols w:space="720"/>
        </w:sectPr>
      </w:pPr>
    </w:p>
    <w:p w14:paraId="2819F553" w14:textId="77777777" w:rsidR="004647B9" w:rsidRDefault="00E2436F">
      <w:pPr>
        <w:tabs>
          <w:tab w:val="left" w:pos="160"/>
        </w:tabs>
        <w:jc w:val="center"/>
        <w:rPr>
          <w:sz w:val="20"/>
          <w:szCs w:val="20"/>
        </w:rPr>
      </w:pPr>
      <w:bookmarkStart w:id="123" w:name="page125"/>
      <w:bookmarkEnd w:id="12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554" w14:textId="77777777" w:rsidR="004647B9" w:rsidRDefault="004647B9" w:rsidP="009A0BA9">
      <w:pPr>
        <w:rPr>
          <w:sz w:val="20"/>
          <w:szCs w:val="20"/>
        </w:rPr>
      </w:pPr>
    </w:p>
    <w:p w14:paraId="2819F555" w14:textId="77777777" w:rsidR="004647B9" w:rsidRDefault="004647B9" w:rsidP="009A0BA9">
      <w:pPr>
        <w:rPr>
          <w:sz w:val="20"/>
          <w:szCs w:val="20"/>
        </w:rPr>
      </w:pPr>
    </w:p>
    <w:p w14:paraId="2819F556" w14:textId="77777777" w:rsidR="004647B9" w:rsidRPr="009A0BA9" w:rsidRDefault="00E2436F" w:rsidP="009A0BA9">
      <w:pPr>
        <w:tabs>
          <w:tab w:val="left" w:pos="920"/>
        </w:tabs>
        <w:rPr>
          <w:sz w:val="24"/>
          <w:szCs w:val="24"/>
        </w:rPr>
      </w:pPr>
      <w:r w:rsidRPr="009A0BA9">
        <w:rPr>
          <w:rFonts w:eastAsia="Times New Roman"/>
          <w:sz w:val="24"/>
          <w:szCs w:val="24"/>
        </w:rPr>
        <w:t>22.07E:</w:t>
      </w:r>
      <w:r w:rsidRPr="009A0BA9">
        <w:rPr>
          <w:sz w:val="24"/>
          <w:szCs w:val="24"/>
        </w:rPr>
        <w:tab/>
      </w:r>
      <w:r w:rsidRPr="009A0BA9">
        <w:rPr>
          <w:rFonts w:eastAsia="Times New Roman"/>
          <w:sz w:val="24"/>
          <w:szCs w:val="24"/>
        </w:rPr>
        <w:t>continued</w:t>
      </w:r>
    </w:p>
    <w:p w14:paraId="2819F557" w14:textId="77777777" w:rsidR="004647B9" w:rsidRDefault="004647B9" w:rsidP="009A0BA9">
      <w:pPr>
        <w:rPr>
          <w:sz w:val="20"/>
          <w:szCs w:val="20"/>
        </w:rPr>
      </w:pPr>
    </w:p>
    <w:p w14:paraId="2819F558" w14:textId="77777777" w:rsidR="004647B9" w:rsidRDefault="00E2436F" w:rsidP="009A0BA9">
      <w:pPr>
        <w:numPr>
          <w:ilvl w:val="2"/>
          <w:numId w:val="310"/>
        </w:numPr>
        <w:tabs>
          <w:tab w:val="left" w:pos="2280"/>
        </w:tabs>
        <w:ind w:left="2280" w:hanging="365"/>
        <w:rPr>
          <w:rFonts w:eastAsia="Times New Roman"/>
          <w:sz w:val="24"/>
          <w:szCs w:val="24"/>
        </w:rPr>
      </w:pPr>
      <w:r>
        <w:rPr>
          <w:rFonts w:eastAsia="Times New Roman"/>
          <w:sz w:val="24"/>
          <w:szCs w:val="24"/>
        </w:rPr>
        <w:t>Name, signature and title of system representative and date of signature.</w:t>
      </w:r>
    </w:p>
    <w:p w14:paraId="2819F55A" w14:textId="77777777" w:rsidR="004647B9" w:rsidRDefault="00E2436F" w:rsidP="009A0BA9">
      <w:pPr>
        <w:numPr>
          <w:ilvl w:val="2"/>
          <w:numId w:val="310"/>
        </w:numPr>
        <w:tabs>
          <w:tab w:val="left" w:pos="2280"/>
        </w:tabs>
        <w:ind w:left="2280" w:hanging="365"/>
        <w:rPr>
          <w:rFonts w:eastAsia="Times New Roman"/>
          <w:sz w:val="24"/>
          <w:szCs w:val="24"/>
        </w:rPr>
      </w:pPr>
      <w:r>
        <w:rPr>
          <w:rFonts w:eastAsia="Times New Roman"/>
          <w:sz w:val="24"/>
          <w:szCs w:val="24"/>
        </w:rPr>
        <w:t>System name and system PWSID No.</w:t>
      </w:r>
    </w:p>
    <w:p w14:paraId="2819F55B" w14:textId="77777777" w:rsidR="004647B9" w:rsidRDefault="004647B9" w:rsidP="009A0BA9">
      <w:pPr>
        <w:rPr>
          <w:rFonts w:eastAsia="Times New Roman"/>
          <w:sz w:val="24"/>
          <w:szCs w:val="24"/>
        </w:rPr>
      </w:pPr>
    </w:p>
    <w:p w14:paraId="2819F55C" w14:textId="77777777" w:rsidR="004647B9" w:rsidRDefault="00E2436F" w:rsidP="009A0BA9">
      <w:pPr>
        <w:numPr>
          <w:ilvl w:val="0"/>
          <w:numId w:val="311"/>
        </w:numPr>
        <w:tabs>
          <w:tab w:val="left" w:pos="1660"/>
        </w:tabs>
        <w:ind w:left="1660" w:hanging="460"/>
        <w:rPr>
          <w:rFonts w:eastAsia="Times New Roman"/>
          <w:sz w:val="24"/>
          <w:szCs w:val="24"/>
        </w:rPr>
      </w:pPr>
      <w:r>
        <w:rPr>
          <w:rFonts w:eastAsia="Times New Roman"/>
          <w:sz w:val="24"/>
          <w:szCs w:val="24"/>
          <w:u w:val="single"/>
        </w:rPr>
        <w:t>Compliance Requirements</w:t>
      </w:r>
      <w:r>
        <w:rPr>
          <w:rFonts w:eastAsia="Times New Roman"/>
          <w:sz w:val="24"/>
          <w:szCs w:val="24"/>
        </w:rPr>
        <w:t>.</w:t>
      </w:r>
    </w:p>
    <w:p w14:paraId="2819F55E" w14:textId="77777777" w:rsidR="004647B9" w:rsidRDefault="00E2436F" w:rsidP="009A0BA9">
      <w:pPr>
        <w:numPr>
          <w:ilvl w:val="1"/>
          <w:numId w:val="311"/>
        </w:numPr>
        <w:tabs>
          <w:tab w:val="left" w:pos="2000"/>
        </w:tabs>
        <w:ind w:left="2000" w:hanging="445"/>
        <w:rPr>
          <w:rFonts w:eastAsia="Times New Roman"/>
          <w:sz w:val="24"/>
          <w:szCs w:val="24"/>
        </w:rPr>
      </w:pPr>
      <w:r>
        <w:rPr>
          <w:rFonts w:eastAsia="Times New Roman"/>
          <w:sz w:val="24"/>
          <w:szCs w:val="24"/>
          <w:u w:val="single"/>
        </w:rPr>
        <w:t>General Requirements</w:t>
      </w:r>
      <w:r>
        <w:rPr>
          <w:rFonts w:eastAsia="Times New Roman"/>
          <w:sz w:val="24"/>
          <w:szCs w:val="24"/>
        </w:rPr>
        <w:t>.</w:t>
      </w:r>
    </w:p>
    <w:p w14:paraId="2819F55F" w14:textId="77777777" w:rsidR="004647B9" w:rsidRDefault="00E2436F" w:rsidP="009A0BA9">
      <w:pPr>
        <w:numPr>
          <w:ilvl w:val="2"/>
          <w:numId w:val="311"/>
        </w:numPr>
        <w:tabs>
          <w:tab w:val="left" w:pos="2285"/>
        </w:tabs>
        <w:ind w:left="1920" w:hanging="5"/>
        <w:jc w:val="both"/>
        <w:rPr>
          <w:rFonts w:eastAsia="Times New Roman"/>
          <w:sz w:val="24"/>
          <w:szCs w:val="24"/>
        </w:rPr>
      </w:pPr>
      <w:r>
        <w:rPr>
          <w:rFonts w:eastAsia="Times New Roman"/>
          <w:sz w:val="24"/>
          <w:szCs w:val="24"/>
        </w:rPr>
        <w:t>Where compliance is based on a Running Annual Average of monthly or quarterly samples or averages and the system fails to monitor for TTHM, HAA5, or bromate, this failure to monitor will be treated as a monitoring violation for the entire period covered by the annual average. Where compliance is based on a Running Annual Average of monthly or quarterly samples or averages and the supplier's failure to monitor makes it impossible to determine compliance with MRDLs for chlorine and chloramines, this failure to monitor will be treated as a monitoring violation for the entire period covered by the annual average.</w:t>
      </w:r>
    </w:p>
    <w:p w14:paraId="2819F561" w14:textId="77777777" w:rsidR="004647B9" w:rsidRDefault="00E2436F" w:rsidP="009A0BA9">
      <w:pPr>
        <w:numPr>
          <w:ilvl w:val="2"/>
          <w:numId w:val="311"/>
        </w:numPr>
        <w:tabs>
          <w:tab w:val="left" w:pos="2287"/>
        </w:tabs>
        <w:ind w:left="1920" w:hanging="5"/>
        <w:jc w:val="both"/>
        <w:rPr>
          <w:rFonts w:eastAsia="Times New Roman"/>
          <w:sz w:val="24"/>
          <w:szCs w:val="24"/>
        </w:rPr>
      </w:pPr>
      <w:r>
        <w:rPr>
          <w:rFonts w:eastAsia="Times New Roman"/>
          <w:sz w:val="24"/>
          <w:szCs w:val="24"/>
        </w:rPr>
        <w:t>All samples taken and analyzed under the provisions of 310 CMR 22.07E shall be included in determining compliance, even if that number is greater than the minimum required.</w:t>
      </w:r>
    </w:p>
    <w:p w14:paraId="2819F562" w14:textId="77777777" w:rsidR="004647B9" w:rsidRDefault="00E2436F" w:rsidP="009A0BA9">
      <w:pPr>
        <w:numPr>
          <w:ilvl w:val="2"/>
          <w:numId w:val="311"/>
        </w:numPr>
        <w:tabs>
          <w:tab w:val="left" w:pos="2323"/>
        </w:tabs>
        <w:ind w:left="1920" w:hanging="5"/>
        <w:jc w:val="both"/>
        <w:rPr>
          <w:rFonts w:eastAsia="Times New Roman"/>
          <w:sz w:val="24"/>
          <w:szCs w:val="24"/>
        </w:rPr>
      </w:pPr>
      <w:r>
        <w:rPr>
          <w:rFonts w:eastAsia="Times New Roman"/>
          <w:sz w:val="24"/>
          <w:szCs w:val="24"/>
        </w:rPr>
        <w:t>If, during the first year of monitoring under 310 CMR 22.07E(7), any individual quarter's average will cause the Running Annual Average of that system to exceed the MCL for Total Trihalomethanes, Haloacetic Acids (Five), or bromate; or the MRDL for chlorine or chloramine, the system is out of compliance at the end of that quarter.</w:t>
      </w:r>
    </w:p>
    <w:p w14:paraId="2819F564" w14:textId="77777777" w:rsidR="004647B9" w:rsidRDefault="00E2436F" w:rsidP="009A0BA9">
      <w:pPr>
        <w:numPr>
          <w:ilvl w:val="1"/>
          <w:numId w:val="311"/>
        </w:numPr>
        <w:tabs>
          <w:tab w:val="left" w:pos="2020"/>
        </w:tabs>
        <w:ind w:left="2020" w:hanging="465"/>
        <w:rPr>
          <w:rFonts w:eastAsia="Times New Roman"/>
          <w:sz w:val="24"/>
          <w:szCs w:val="24"/>
        </w:rPr>
      </w:pPr>
      <w:r>
        <w:rPr>
          <w:rFonts w:eastAsia="Times New Roman"/>
          <w:sz w:val="24"/>
          <w:szCs w:val="24"/>
          <w:u w:val="single"/>
        </w:rPr>
        <w:t>Disinfection Byproducts</w:t>
      </w:r>
      <w:r>
        <w:rPr>
          <w:rFonts w:eastAsia="Times New Roman"/>
          <w:sz w:val="24"/>
          <w:szCs w:val="24"/>
        </w:rPr>
        <w:t>.</w:t>
      </w:r>
    </w:p>
    <w:p w14:paraId="2819F565" w14:textId="77777777" w:rsidR="004647B9" w:rsidRDefault="00E2436F" w:rsidP="009A0BA9">
      <w:pPr>
        <w:numPr>
          <w:ilvl w:val="2"/>
          <w:numId w:val="311"/>
        </w:numPr>
        <w:tabs>
          <w:tab w:val="left" w:pos="2280"/>
        </w:tabs>
        <w:ind w:left="2280" w:hanging="365"/>
        <w:rPr>
          <w:rFonts w:eastAsia="Times New Roman"/>
          <w:sz w:val="24"/>
          <w:szCs w:val="24"/>
        </w:rPr>
      </w:pPr>
      <w:r>
        <w:rPr>
          <w:rFonts w:eastAsia="Times New Roman"/>
          <w:sz w:val="24"/>
          <w:szCs w:val="24"/>
        </w:rPr>
        <w:t>TTHM and HAA5.</w:t>
      </w:r>
    </w:p>
    <w:p w14:paraId="2819F566" w14:textId="77777777" w:rsidR="004647B9" w:rsidRDefault="00E2436F" w:rsidP="009A0BA9">
      <w:pPr>
        <w:numPr>
          <w:ilvl w:val="3"/>
          <w:numId w:val="311"/>
        </w:numPr>
        <w:tabs>
          <w:tab w:val="left" w:pos="2692"/>
        </w:tabs>
        <w:ind w:left="2280" w:hanging="5"/>
        <w:jc w:val="both"/>
        <w:rPr>
          <w:rFonts w:eastAsia="Times New Roman"/>
          <w:sz w:val="24"/>
          <w:szCs w:val="24"/>
        </w:rPr>
      </w:pPr>
      <w:r>
        <w:rPr>
          <w:rFonts w:eastAsia="Times New Roman"/>
          <w:sz w:val="24"/>
          <w:szCs w:val="24"/>
        </w:rPr>
        <w:t>For each Supplier of Water monitoring quarterly, compliance with MCLs in 310 CMR 22.07E(1) shall be based on a running annual arithmetic average, computed quarterly, of quarterly arithmetic averages of all samples collected by the supplier as prescribed by 310 CMR 22.07E(7)(b)1.</w:t>
      </w:r>
    </w:p>
    <w:p w14:paraId="2819F568" w14:textId="77777777" w:rsidR="004647B9" w:rsidRPr="00F94AD3" w:rsidRDefault="00E2436F" w:rsidP="009A0BA9">
      <w:pPr>
        <w:numPr>
          <w:ilvl w:val="3"/>
          <w:numId w:val="311"/>
        </w:numPr>
        <w:tabs>
          <w:tab w:val="left" w:pos="2582"/>
        </w:tabs>
        <w:ind w:left="2280" w:hanging="5"/>
        <w:jc w:val="both"/>
        <w:rPr>
          <w:rFonts w:eastAsia="Times New Roman"/>
          <w:sz w:val="24"/>
          <w:szCs w:val="24"/>
        </w:rPr>
      </w:pPr>
      <w:r>
        <w:rPr>
          <w:rFonts w:eastAsia="Times New Roman"/>
          <w:sz w:val="24"/>
          <w:szCs w:val="24"/>
        </w:rPr>
        <w:t xml:space="preserve">For each Supplier of Water monitoring less frequently than quarterly, the supplier demonstrates MCL compliance if the average of samples taken that year under the provisions of 310 CMR 22.07E(7)(b)1. does not exceed the MCLs in 310 CMR 22.07E(1). If the average of these samples exceeds the MCL, the supplier shall increase monitoring to once per quarter per treatment plant and such a system is not in violation of the MCL until it has completed one year of quarterly monitoring, unless the result of fewer than four quarters of monitoring will cause </w:t>
      </w:r>
      <w:r w:rsidRPr="00F94AD3">
        <w:rPr>
          <w:rFonts w:eastAsia="Times New Roman"/>
          <w:sz w:val="24"/>
          <w:szCs w:val="24"/>
        </w:rPr>
        <w:t>the Running Annual Average to exceed the MCL, in which case the Supplier of Water is in violation at the end of that quarter. Each Supplier of Water who is required to increase monitoring frequency to quarterly monitoring shall calculate compliance by including the sample which triggered the increased monitoring plus the following three quarters of monitoring.</w:t>
      </w:r>
    </w:p>
    <w:p w14:paraId="2819F56A" w14:textId="77777777" w:rsidR="004647B9" w:rsidRPr="00F94AD3" w:rsidRDefault="00E2436F" w:rsidP="009A0BA9">
      <w:pPr>
        <w:numPr>
          <w:ilvl w:val="3"/>
          <w:numId w:val="311"/>
        </w:numPr>
        <w:tabs>
          <w:tab w:val="left" w:pos="2713"/>
        </w:tabs>
        <w:ind w:left="2280" w:hanging="5"/>
        <w:jc w:val="both"/>
        <w:rPr>
          <w:rFonts w:eastAsia="Times New Roman"/>
          <w:sz w:val="24"/>
          <w:szCs w:val="24"/>
        </w:rPr>
      </w:pPr>
      <w:r w:rsidRPr="00F94AD3">
        <w:rPr>
          <w:rFonts w:eastAsia="Times New Roman"/>
          <w:sz w:val="24"/>
          <w:szCs w:val="24"/>
        </w:rPr>
        <w:t>If the running annual arithmetic average of quarterly averages covering any consecutive four-quarter period exceeds the MCL, the Supplier of Water is in violation of the MCL and shall notify the public pursuant to 310 CMR 22.16, in addition to reporting to the Department pursuant to 310 CMR 22.07E(9).</w:t>
      </w:r>
    </w:p>
    <w:p w14:paraId="2819F56C" w14:textId="77777777" w:rsidR="004647B9" w:rsidRPr="00F94AD3" w:rsidRDefault="00E2436F" w:rsidP="009A0BA9">
      <w:pPr>
        <w:numPr>
          <w:ilvl w:val="3"/>
          <w:numId w:val="311"/>
        </w:numPr>
        <w:tabs>
          <w:tab w:val="left" w:pos="2618"/>
        </w:tabs>
        <w:ind w:left="2280" w:hanging="5"/>
        <w:jc w:val="both"/>
        <w:rPr>
          <w:rFonts w:eastAsia="Times New Roman"/>
          <w:sz w:val="24"/>
          <w:szCs w:val="24"/>
        </w:rPr>
      </w:pPr>
      <w:r w:rsidRPr="00F94AD3">
        <w:rPr>
          <w:rFonts w:eastAsia="Times New Roman"/>
          <w:sz w:val="24"/>
          <w:szCs w:val="24"/>
        </w:rPr>
        <w:t>If a Supplier of Water fails to complete four consecutive quarters of monitoring, compliance with the MCL for the last four-quarter Compliance Period shall be based on an average of the available data.</w:t>
      </w:r>
    </w:p>
    <w:p w14:paraId="2819F56E" w14:textId="77777777" w:rsidR="004647B9" w:rsidRPr="00F94AD3" w:rsidRDefault="00E2436F" w:rsidP="009A0BA9">
      <w:pPr>
        <w:numPr>
          <w:ilvl w:val="2"/>
          <w:numId w:val="311"/>
        </w:numPr>
        <w:tabs>
          <w:tab w:val="left" w:pos="2381"/>
        </w:tabs>
        <w:ind w:left="1920" w:hanging="5"/>
        <w:jc w:val="both"/>
        <w:rPr>
          <w:rFonts w:eastAsia="Times New Roman"/>
          <w:sz w:val="24"/>
          <w:szCs w:val="24"/>
        </w:rPr>
      </w:pPr>
      <w:r w:rsidRPr="00F94AD3">
        <w:rPr>
          <w:rFonts w:eastAsia="Times New Roman"/>
          <w:sz w:val="24"/>
          <w:szCs w:val="24"/>
          <w:u w:val="single"/>
        </w:rPr>
        <w:t>Bromate</w:t>
      </w:r>
      <w:r w:rsidRPr="00F94AD3">
        <w:rPr>
          <w:rFonts w:eastAsia="Times New Roman"/>
          <w:sz w:val="24"/>
          <w:szCs w:val="24"/>
        </w:rPr>
        <w:t>. Compliance shall be based on a running annual arithmetic average, computed quarterly, of monthly samples (or, for months in which the Supplier of Water takes more than one sample, the average of all samples taken during the month) collected by the Supplier of Water as prescribed by 310 CMR 22.07E(7)(b)3. If the average of samples covering any consecutive four-quarter period exceeds the MCL, the system is in violation of the MCL and shall notify the public pursuant to 310 CMR 22.16, in addition to reporting to the Department pursuant to 310 CMR 22.07E(9). If a Supplier of Water fails to complete 12 consecutive months of monitoring, compliance with the MCL for the last four-quarter Compliance Period shall be based on an average of the available data.</w:t>
      </w:r>
    </w:p>
    <w:p w14:paraId="2819F570" w14:textId="77777777" w:rsidR="004647B9" w:rsidRPr="00F94AD3" w:rsidRDefault="00E2436F" w:rsidP="009A0BA9">
      <w:pPr>
        <w:numPr>
          <w:ilvl w:val="2"/>
          <w:numId w:val="311"/>
        </w:numPr>
        <w:tabs>
          <w:tab w:val="left" w:pos="2263"/>
        </w:tabs>
        <w:ind w:left="1920" w:hanging="5"/>
        <w:jc w:val="both"/>
        <w:rPr>
          <w:rFonts w:eastAsia="Times New Roman"/>
          <w:sz w:val="24"/>
          <w:szCs w:val="24"/>
        </w:rPr>
      </w:pPr>
      <w:r w:rsidRPr="00F94AD3">
        <w:rPr>
          <w:rFonts w:eastAsia="Times New Roman"/>
          <w:sz w:val="24"/>
          <w:szCs w:val="24"/>
          <w:u w:val="single"/>
        </w:rPr>
        <w:t>Chlorite</w:t>
      </w:r>
      <w:r w:rsidRPr="00F94AD3">
        <w:rPr>
          <w:rFonts w:eastAsia="Times New Roman"/>
          <w:sz w:val="24"/>
          <w:szCs w:val="24"/>
        </w:rPr>
        <w:t>. Compliance shall be based on an arithmetic average of each three-sample set taken in the Distribution System as prescribed by 310 CMR 22.07E(7)(b)2.a.ii. and b. If the arithmetic average of any three-sample set exceeds the MCL, the supplier is in violation of the MCL and shall notify the public pursuant to 310 CMR 22.16, in addition to reporting to the Department pursuant to 310 CMR 22.07E(9).</w:t>
      </w:r>
    </w:p>
    <w:p w14:paraId="2819F571" w14:textId="77777777" w:rsidR="004647B9" w:rsidRDefault="004647B9">
      <w:pPr>
        <w:sectPr w:rsidR="004647B9" w:rsidSect="00EF630C">
          <w:pgSz w:w="12240" w:h="20180"/>
          <w:pgMar w:top="708" w:right="1440" w:bottom="1440" w:left="600" w:header="0" w:footer="0" w:gutter="0"/>
          <w:cols w:space="720"/>
        </w:sectPr>
      </w:pPr>
    </w:p>
    <w:p w14:paraId="2819F572" w14:textId="77777777" w:rsidR="004647B9" w:rsidRDefault="00E2436F">
      <w:pPr>
        <w:tabs>
          <w:tab w:val="left" w:pos="160"/>
        </w:tabs>
        <w:jc w:val="center"/>
        <w:rPr>
          <w:sz w:val="20"/>
          <w:szCs w:val="20"/>
        </w:rPr>
      </w:pPr>
      <w:bookmarkStart w:id="124" w:name="page126"/>
      <w:bookmarkEnd w:id="12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573" w14:textId="77777777" w:rsidR="004647B9" w:rsidRDefault="004647B9" w:rsidP="009A0BA9">
      <w:pPr>
        <w:rPr>
          <w:sz w:val="20"/>
          <w:szCs w:val="20"/>
        </w:rPr>
      </w:pPr>
    </w:p>
    <w:p w14:paraId="2819F574" w14:textId="77777777" w:rsidR="004647B9" w:rsidRDefault="004647B9" w:rsidP="009A0BA9">
      <w:pPr>
        <w:rPr>
          <w:sz w:val="20"/>
          <w:szCs w:val="20"/>
        </w:rPr>
      </w:pPr>
    </w:p>
    <w:p w14:paraId="2819F575" w14:textId="77777777" w:rsidR="004647B9" w:rsidRPr="009A0BA9" w:rsidRDefault="00E2436F" w:rsidP="009A0BA9">
      <w:pPr>
        <w:tabs>
          <w:tab w:val="left" w:pos="920"/>
        </w:tabs>
        <w:rPr>
          <w:sz w:val="24"/>
          <w:szCs w:val="24"/>
        </w:rPr>
      </w:pPr>
      <w:r w:rsidRPr="009A0BA9">
        <w:rPr>
          <w:rFonts w:eastAsia="Times New Roman"/>
          <w:sz w:val="24"/>
          <w:szCs w:val="24"/>
        </w:rPr>
        <w:t>22.07E:</w:t>
      </w:r>
      <w:r w:rsidRPr="009A0BA9">
        <w:rPr>
          <w:sz w:val="24"/>
          <w:szCs w:val="24"/>
        </w:rPr>
        <w:tab/>
      </w:r>
      <w:r w:rsidRPr="009A0BA9">
        <w:rPr>
          <w:rFonts w:eastAsia="Times New Roman"/>
          <w:sz w:val="24"/>
          <w:szCs w:val="24"/>
        </w:rPr>
        <w:t>continued</w:t>
      </w:r>
    </w:p>
    <w:p w14:paraId="2819F576" w14:textId="77777777" w:rsidR="004647B9" w:rsidRDefault="004647B9" w:rsidP="009A0BA9">
      <w:pPr>
        <w:rPr>
          <w:sz w:val="20"/>
          <w:szCs w:val="20"/>
        </w:rPr>
      </w:pPr>
    </w:p>
    <w:p w14:paraId="2819F577" w14:textId="77777777" w:rsidR="004647B9" w:rsidRPr="00F94AD3" w:rsidRDefault="00E2436F" w:rsidP="009A0BA9">
      <w:pPr>
        <w:numPr>
          <w:ilvl w:val="0"/>
          <w:numId w:val="312"/>
        </w:numPr>
        <w:tabs>
          <w:tab w:val="left" w:pos="2000"/>
        </w:tabs>
        <w:ind w:left="2000" w:hanging="445"/>
        <w:rPr>
          <w:rFonts w:eastAsia="Times New Roman"/>
          <w:sz w:val="24"/>
          <w:szCs w:val="24"/>
        </w:rPr>
      </w:pPr>
      <w:r w:rsidRPr="00F94AD3">
        <w:rPr>
          <w:rFonts w:eastAsia="Times New Roman"/>
          <w:sz w:val="24"/>
          <w:szCs w:val="24"/>
          <w:u w:val="single"/>
        </w:rPr>
        <w:t>Disinfectant Residuals</w:t>
      </w:r>
      <w:r w:rsidRPr="00F94AD3">
        <w:rPr>
          <w:rFonts w:eastAsia="Times New Roman"/>
          <w:sz w:val="24"/>
          <w:szCs w:val="24"/>
        </w:rPr>
        <w:t>.</w:t>
      </w:r>
    </w:p>
    <w:p w14:paraId="2819F579" w14:textId="77777777" w:rsidR="004647B9" w:rsidRPr="00F94AD3" w:rsidRDefault="00E2436F" w:rsidP="009A0BA9">
      <w:pPr>
        <w:numPr>
          <w:ilvl w:val="1"/>
          <w:numId w:val="312"/>
        </w:numPr>
        <w:tabs>
          <w:tab w:val="left" w:pos="2280"/>
        </w:tabs>
        <w:ind w:left="2280" w:hanging="365"/>
        <w:rPr>
          <w:rFonts w:eastAsia="Times New Roman"/>
          <w:sz w:val="24"/>
          <w:szCs w:val="24"/>
        </w:rPr>
      </w:pPr>
      <w:r w:rsidRPr="00F94AD3">
        <w:rPr>
          <w:rFonts w:eastAsia="Times New Roman"/>
          <w:sz w:val="24"/>
          <w:szCs w:val="24"/>
          <w:u w:val="single"/>
        </w:rPr>
        <w:t>Chlorine and Chloramines</w:t>
      </w:r>
      <w:r w:rsidRPr="00F94AD3">
        <w:rPr>
          <w:rFonts w:eastAsia="Times New Roman"/>
          <w:sz w:val="24"/>
          <w:szCs w:val="24"/>
        </w:rPr>
        <w:t>.</w:t>
      </w:r>
    </w:p>
    <w:p w14:paraId="2819F57A" w14:textId="77777777" w:rsidR="004647B9" w:rsidRPr="00F94AD3" w:rsidRDefault="00E2436F" w:rsidP="009A0BA9">
      <w:pPr>
        <w:numPr>
          <w:ilvl w:val="2"/>
          <w:numId w:val="312"/>
        </w:numPr>
        <w:tabs>
          <w:tab w:val="left" w:pos="2658"/>
        </w:tabs>
        <w:ind w:left="2280" w:hanging="5"/>
        <w:jc w:val="both"/>
        <w:rPr>
          <w:rFonts w:eastAsia="Times New Roman"/>
          <w:sz w:val="24"/>
          <w:szCs w:val="24"/>
        </w:rPr>
      </w:pPr>
      <w:r w:rsidRPr="00F94AD3">
        <w:rPr>
          <w:rFonts w:eastAsia="Times New Roman"/>
          <w:sz w:val="24"/>
          <w:szCs w:val="24"/>
        </w:rPr>
        <w:t>Compliance shall be based on a running annual arithmetic average, computed quarterly, of monthly averages of all samples collected by the Supplier of Water under 310 CMR 22.07E(7)(c)1. If the average covering any consecutive four-quarter period exceeds the MRDL, the supplier is in violation of the MRDL and shall notify the public pursuant to 310 CMR 22.16, in addition to reporting to the Department pursuant to 310 CMR 22.07E(9).</w:t>
      </w:r>
    </w:p>
    <w:p w14:paraId="2819F57C" w14:textId="77777777" w:rsidR="004647B9" w:rsidRPr="00F94AD3" w:rsidRDefault="00E2436F" w:rsidP="009A0BA9">
      <w:pPr>
        <w:numPr>
          <w:ilvl w:val="2"/>
          <w:numId w:val="312"/>
        </w:numPr>
        <w:tabs>
          <w:tab w:val="left" w:pos="2647"/>
        </w:tabs>
        <w:ind w:left="2280" w:hanging="5"/>
        <w:jc w:val="both"/>
        <w:rPr>
          <w:rFonts w:eastAsia="Times New Roman"/>
          <w:sz w:val="24"/>
          <w:szCs w:val="24"/>
        </w:rPr>
      </w:pPr>
      <w:r w:rsidRPr="00F94AD3">
        <w:rPr>
          <w:rFonts w:eastAsia="Times New Roman"/>
          <w:sz w:val="24"/>
          <w:szCs w:val="24"/>
        </w:rPr>
        <w:t>In cases where the Supplier of Water switches between the use of chlorine and chloramines for residual Disinfection during the year, compliance shall be determined by including together all monitoring results of both chlorine and chloramines in calculating compliance. Reports submitted pursuant to 310 CMR 22.07E(9) shall clearly indicate which residual Disinfectant was analyzed for each sample.</w:t>
      </w:r>
    </w:p>
    <w:p w14:paraId="2819F57E" w14:textId="77777777" w:rsidR="004647B9" w:rsidRPr="00F94AD3" w:rsidRDefault="00E2436F" w:rsidP="009A0BA9">
      <w:pPr>
        <w:numPr>
          <w:ilvl w:val="1"/>
          <w:numId w:val="312"/>
        </w:numPr>
        <w:tabs>
          <w:tab w:val="left" w:pos="2280"/>
        </w:tabs>
        <w:ind w:left="2280" w:hanging="365"/>
        <w:rPr>
          <w:rFonts w:eastAsia="Times New Roman"/>
          <w:sz w:val="24"/>
          <w:szCs w:val="24"/>
        </w:rPr>
      </w:pPr>
      <w:r w:rsidRPr="00F94AD3">
        <w:rPr>
          <w:rFonts w:eastAsia="Times New Roman"/>
          <w:sz w:val="24"/>
          <w:szCs w:val="24"/>
          <w:u w:val="single"/>
        </w:rPr>
        <w:t>Chlorine Dioxide</w:t>
      </w:r>
      <w:r w:rsidRPr="00F94AD3">
        <w:rPr>
          <w:rFonts w:eastAsia="Times New Roman"/>
          <w:sz w:val="24"/>
          <w:szCs w:val="24"/>
        </w:rPr>
        <w:t>.</w:t>
      </w:r>
    </w:p>
    <w:p w14:paraId="2819F57F" w14:textId="77777777" w:rsidR="004647B9" w:rsidRPr="00F94AD3" w:rsidRDefault="00E2436F" w:rsidP="009A0BA9">
      <w:pPr>
        <w:numPr>
          <w:ilvl w:val="2"/>
          <w:numId w:val="312"/>
        </w:numPr>
        <w:tabs>
          <w:tab w:val="left" w:pos="2706"/>
        </w:tabs>
        <w:ind w:left="2280" w:hanging="5"/>
        <w:jc w:val="both"/>
        <w:rPr>
          <w:rFonts w:eastAsia="Times New Roman"/>
          <w:sz w:val="24"/>
          <w:szCs w:val="24"/>
        </w:rPr>
      </w:pPr>
      <w:r w:rsidRPr="00F94AD3">
        <w:rPr>
          <w:rFonts w:eastAsia="Times New Roman"/>
          <w:sz w:val="24"/>
          <w:szCs w:val="24"/>
          <w:u w:val="single"/>
        </w:rPr>
        <w:t>Acute Violations</w:t>
      </w:r>
      <w:r w:rsidRPr="00F94AD3">
        <w:rPr>
          <w:rFonts w:eastAsia="Times New Roman"/>
          <w:sz w:val="24"/>
          <w:szCs w:val="24"/>
        </w:rPr>
        <w:t>. Compliance shall be based on consecutive daily samples collected by the system under 310 CMR 22.07E(7)(c)2. If any daily sample taken at the entrance to the Distribution System exceeds the MRDL, and on the following day one (or more) of the three samples taken in the Distribution System exceed the MRDL, the supplier is in violation of the MRDL and shall take immediate corrective action to lower the level of chlorine dioxide below the MRDL and shall notify the public pursuant to the procedures for acute health risks in 310 CMR 22.16 in addition to reporting to the Department pursuant to 310 CMR 22.07E(9). Failure to take samples in the Distribution System the day following an exceedance of the chlorine dioxide MRDL at the entrance to the Distribution System will also be considered an MRDL violation and the supplier shall notify the public of the violation in accordance with the provisions for acute violations under 310 CMR 22.16 in addition to reporting to the Department pursuant to 310 CMR 22.07E(9).</w:t>
      </w:r>
    </w:p>
    <w:p w14:paraId="2819F581" w14:textId="77777777" w:rsidR="004647B9" w:rsidRPr="00F94AD3" w:rsidRDefault="00E2436F" w:rsidP="009A0BA9">
      <w:pPr>
        <w:numPr>
          <w:ilvl w:val="2"/>
          <w:numId w:val="312"/>
        </w:numPr>
        <w:tabs>
          <w:tab w:val="left" w:pos="2640"/>
        </w:tabs>
        <w:ind w:left="2280" w:hanging="5"/>
        <w:jc w:val="both"/>
        <w:rPr>
          <w:rFonts w:eastAsia="Times New Roman"/>
          <w:sz w:val="24"/>
          <w:szCs w:val="24"/>
        </w:rPr>
      </w:pPr>
      <w:r w:rsidRPr="00F94AD3">
        <w:rPr>
          <w:rFonts w:eastAsia="Times New Roman"/>
          <w:sz w:val="24"/>
          <w:szCs w:val="24"/>
          <w:u w:val="single"/>
        </w:rPr>
        <w:t>Nonacute Violations</w:t>
      </w:r>
      <w:r w:rsidRPr="00F94AD3">
        <w:rPr>
          <w:rFonts w:eastAsia="Times New Roman"/>
          <w:sz w:val="24"/>
          <w:szCs w:val="24"/>
        </w:rPr>
        <w:t>. Compliance shall be based on consecutive daily samples collected by the Supplier of Water under 310 CMR 22.07E(7)(c)2. If any two consecutive daily samples taken at the entrance to the Distribution System exceed the MRDL and all Distribution System samples taken are below the MRDL, the supplier is in violation of the MRDL and shall take corrective action to lower the level of chlorine dioxide below the MRDL at the point of sampling and will notify the public pursuant to the procedures for nonacute health risks in 310 CMR 22.16 in addition to reporting to the Department pursuant to 310 CMR 22.07E(9). Failure to monitor at the entrance to the Distribution System the day following an exceedance of the chlorine dioxide MRDL at the entrance to the Distribution System is also an MRDL violation and the supplier shall notify the public of the violation in accordance with the provisions for nonacute violations under 310 CMR 22.16 in addition to reporting to the Department pursuant to 310 CMR 22.07E(9).</w:t>
      </w:r>
    </w:p>
    <w:p w14:paraId="2819F583" w14:textId="77777777" w:rsidR="004647B9" w:rsidRPr="00F94AD3" w:rsidRDefault="00E2436F" w:rsidP="009A0BA9">
      <w:pPr>
        <w:numPr>
          <w:ilvl w:val="0"/>
          <w:numId w:val="312"/>
        </w:numPr>
        <w:tabs>
          <w:tab w:val="left" w:pos="2142"/>
        </w:tabs>
        <w:ind w:left="1560" w:hanging="5"/>
        <w:jc w:val="both"/>
        <w:rPr>
          <w:rFonts w:eastAsia="Times New Roman"/>
          <w:sz w:val="24"/>
          <w:szCs w:val="24"/>
        </w:rPr>
      </w:pPr>
      <w:r w:rsidRPr="00F94AD3">
        <w:rPr>
          <w:rFonts w:eastAsia="Times New Roman"/>
          <w:sz w:val="24"/>
          <w:szCs w:val="24"/>
          <w:u w:val="single"/>
        </w:rPr>
        <w:t>Disinfection Byproduct Precursors (DBPP)</w:t>
      </w:r>
      <w:r w:rsidRPr="00F94AD3">
        <w:rPr>
          <w:rFonts w:eastAsia="Times New Roman"/>
          <w:sz w:val="24"/>
          <w:szCs w:val="24"/>
        </w:rPr>
        <w:t>. Compliance shall be determined as specified by 310 CMR 22.07E(10)(c). Each Supplier of Water may begin monitoring to determine whether Step 1 TOC removals can be met 12 months prior to the compliance date for the system. This monitoring is not required and failure to monitor during this period is not a violation. However, any Supplier of Water who does not monitor during this period, and then determines in the first 12 months after the compliance date that they are not able to meet the Step 1 requirements in 310 CMR 22.07E(10)(b)2. and shall therefore apply for alternate minimum TOC removal (Step 2) requirements, are not eligible for retroactive approval of alternate minimum TOC removal (Step 2) requirements as allowed pursuant to 310 CMR 22.07E(10)(b)3. and are in violation. A Supplier of Water may apply for alternate minimum TOC removal (Step 2) requirements any time after the compliance date. For each suppliers of water who is required to meet Step 1 TOC removals, if the value calculated under 310 CMR 22.07E(10)(c)1.d. is less than 1.00, the system is in violation of the Treatment Technique requirements and shall notify the public pursuant to 310 CMR 22.16, in addition to reporting to the Department pursuant to 310 CMR 22.07E(9).</w:t>
      </w:r>
    </w:p>
    <w:p w14:paraId="2819F584" w14:textId="77777777" w:rsidR="004647B9" w:rsidRDefault="004647B9">
      <w:pPr>
        <w:sectPr w:rsidR="004647B9" w:rsidSect="00EF630C">
          <w:pgSz w:w="12240" w:h="20180"/>
          <w:pgMar w:top="708" w:right="1440" w:bottom="1440" w:left="600" w:header="0" w:footer="0" w:gutter="0"/>
          <w:cols w:space="720"/>
        </w:sectPr>
      </w:pPr>
    </w:p>
    <w:p w14:paraId="2819F585" w14:textId="77777777" w:rsidR="004647B9" w:rsidRDefault="00E2436F">
      <w:pPr>
        <w:tabs>
          <w:tab w:val="left" w:pos="160"/>
        </w:tabs>
        <w:jc w:val="center"/>
        <w:rPr>
          <w:sz w:val="20"/>
          <w:szCs w:val="20"/>
        </w:rPr>
      </w:pPr>
      <w:bookmarkStart w:id="125" w:name="page127"/>
      <w:bookmarkEnd w:id="12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586" w14:textId="77777777" w:rsidR="004647B9" w:rsidRDefault="004647B9" w:rsidP="009A0BA9">
      <w:pPr>
        <w:rPr>
          <w:sz w:val="20"/>
          <w:szCs w:val="20"/>
        </w:rPr>
      </w:pPr>
    </w:p>
    <w:p w14:paraId="2819F587" w14:textId="77777777" w:rsidR="004647B9" w:rsidRDefault="004647B9" w:rsidP="009A0BA9">
      <w:pPr>
        <w:rPr>
          <w:sz w:val="20"/>
          <w:szCs w:val="20"/>
        </w:rPr>
      </w:pPr>
    </w:p>
    <w:p w14:paraId="2819F588" w14:textId="77777777" w:rsidR="004647B9" w:rsidRPr="009A0BA9" w:rsidRDefault="00E2436F" w:rsidP="009A0BA9">
      <w:pPr>
        <w:tabs>
          <w:tab w:val="left" w:pos="920"/>
        </w:tabs>
        <w:rPr>
          <w:sz w:val="24"/>
          <w:szCs w:val="24"/>
        </w:rPr>
      </w:pPr>
      <w:r w:rsidRPr="009A0BA9">
        <w:rPr>
          <w:rFonts w:eastAsia="Times New Roman"/>
          <w:sz w:val="24"/>
          <w:szCs w:val="24"/>
        </w:rPr>
        <w:t>22.07E:</w:t>
      </w:r>
      <w:r w:rsidRPr="009A0BA9">
        <w:rPr>
          <w:sz w:val="24"/>
          <w:szCs w:val="24"/>
        </w:rPr>
        <w:tab/>
      </w:r>
      <w:r w:rsidRPr="009A0BA9">
        <w:rPr>
          <w:rFonts w:eastAsia="Times New Roman"/>
          <w:sz w:val="24"/>
          <w:szCs w:val="24"/>
        </w:rPr>
        <w:t>continued</w:t>
      </w:r>
    </w:p>
    <w:p w14:paraId="2819F589" w14:textId="77777777" w:rsidR="004647B9" w:rsidRDefault="004647B9" w:rsidP="009A0BA9">
      <w:pPr>
        <w:rPr>
          <w:sz w:val="20"/>
          <w:szCs w:val="20"/>
        </w:rPr>
      </w:pPr>
    </w:p>
    <w:p w14:paraId="2819F58A" w14:textId="77777777" w:rsidR="004647B9" w:rsidRPr="00F94AD3" w:rsidRDefault="00E2436F" w:rsidP="009A0BA9">
      <w:pPr>
        <w:numPr>
          <w:ilvl w:val="0"/>
          <w:numId w:val="313"/>
        </w:numPr>
        <w:tabs>
          <w:tab w:val="left" w:pos="1660"/>
        </w:tabs>
        <w:ind w:left="1660" w:hanging="460"/>
        <w:rPr>
          <w:rFonts w:eastAsia="Times New Roman"/>
          <w:sz w:val="24"/>
          <w:szCs w:val="24"/>
        </w:rPr>
      </w:pPr>
      <w:r w:rsidRPr="00F94AD3">
        <w:rPr>
          <w:rFonts w:eastAsia="Times New Roman"/>
          <w:sz w:val="24"/>
          <w:szCs w:val="24"/>
          <w:u w:val="single"/>
        </w:rPr>
        <w:t>Reporting and Recordkeeping Requirements</w:t>
      </w:r>
      <w:r w:rsidRPr="00F94AD3">
        <w:rPr>
          <w:rFonts w:eastAsia="Times New Roman"/>
          <w:sz w:val="24"/>
          <w:szCs w:val="24"/>
        </w:rPr>
        <w:t>.</w:t>
      </w:r>
    </w:p>
    <w:p w14:paraId="2819F58C" w14:textId="77777777" w:rsidR="004647B9" w:rsidRPr="00F94AD3" w:rsidRDefault="00E2436F" w:rsidP="009A0BA9">
      <w:pPr>
        <w:numPr>
          <w:ilvl w:val="1"/>
          <w:numId w:val="313"/>
        </w:numPr>
        <w:tabs>
          <w:tab w:val="left" w:pos="2028"/>
        </w:tabs>
        <w:ind w:left="1560" w:hanging="5"/>
        <w:jc w:val="both"/>
        <w:rPr>
          <w:rFonts w:eastAsia="Times New Roman"/>
          <w:sz w:val="24"/>
          <w:szCs w:val="24"/>
        </w:rPr>
      </w:pPr>
      <w:r w:rsidRPr="00F94AD3">
        <w:rPr>
          <w:rFonts w:eastAsia="Times New Roman"/>
          <w:sz w:val="24"/>
          <w:szCs w:val="24"/>
        </w:rPr>
        <w:t>Each Supplier of Water who is required to sample quarterly or more frequently shall report to the Department within ten days after the end of each quarter in which samples were collected, notwithstanding the provisions of 310 CMR 22.15. Each Supplier of Water who is required to sample less frequently than quarterly shall report to the Department within ten days after the end of each monitoring period in which samples were collected.</w:t>
      </w:r>
    </w:p>
    <w:p w14:paraId="2819F58D" w14:textId="5118B067" w:rsidR="004647B9" w:rsidRPr="00F94AD3" w:rsidRDefault="00E2436F" w:rsidP="009A0BA9">
      <w:pPr>
        <w:numPr>
          <w:ilvl w:val="1"/>
          <w:numId w:val="313"/>
        </w:numPr>
        <w:tabs>
          <w:tab w:val="left" w:pos="1977"/>
        </w:tabs>
        <w:ind w:left="1560" w:hanging="5"/>
        <w:rPr>
          <w:rFonts w:eastAsia="Times New Roman"/>
          <w:sz w:val="24"/>
          <w:szCs w:val="24"/>
        </w:rPr>
      </w:pPr>
      <w:r w:rsidRPr="00F94AD3">
        <w:rPr>
          <w:rFonts w:eastAsia="Times New Roman"/>
          <w:sz w:val="24"/>
          <w:szCs w:val="24"/>
          <w:u w:val="single"/>
        </w:rPr>
        <w:t>Disinfection Byproducts</w:t>
      </w:r>
      <w:r w:rsidRPr="00F94AD3">
        <w:rPr>
          <w:rFonts w:eastAsia="Times New Roman"/>
          <w:sz w:val="24"/>
          <w:szCs w:val="24"/>
        </w:rPr>
        <w:t>. Each Supplier of Water shall report the information specified in the following table:</w:t>
      </w:r>
    </w:p>
    <w:p w14:paraId="3B343357" w14:textId="77777777" w:rsidR="00385508" w:rsidRDefault="00385508" w:rsidP="00385508">
      <w:pPr>
        <w:tabs>
          <w:tab w:val="left" w:pos="1977"/>
        </w:tabs>
        <w:spacing w:line="232" w:lineRule="auto"/>
        <w:rPr>
          <w:rFonts w:eastAsia="Times New Roman"/>
          <w:sz w:val="24"/>
          <w:szCs w:val="24"/>
        </w:rPr>
      </w:pPr>
    </w:p>
    <w:p w14:paraId="2819F58E" w14:textId="5C0EC97F" w:rsidR="00C7669D" w:rsidRDefault="00C7669D">
      <w:pPr>
        <w:sectPr w:rsidR="00C7669D" w:rsidSect="00EF630C">
          <w:pgSz w:w="12240" w:h="20180"/>
          <w:pgMar w:top="708" w:right="1440" w:bottom="1440" w:left="600" w:header="0" w:footer="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3505"/>
        <w:gridCol w:w="6685"/>
      </w:tblGrid>
      <w:tr w:rsidR="00C7669D" w14:paraId="338328DE" w14:textId="77777777" w:rsidTr="008B5F22">
        <w:tc>
          <w:tcPr>
            <w:tcW w:w="3505" w:type="dxa"/>
            <w:tcBorders>
              <w:top w:val="single" w:sz="8" w:space="0" w:color="auto"/>
              <w:bottom w:val="single" w:sz="8" w:space="0" w:color="auto"/>
            </w:tcBorders>
            <w:vAlign w:val="center"/>
          </w:tcPr>
          <w:p w14:paraId="03E8ABDD" w14:textId="37E0477C" w:rsidR="00C7669D" w:rsidRDefault="00C7669D" w:rsidP="008B5F22">
            <w:pPr>
              <w:spacing w:line="234" w:lineRule="exact"/>
              <w:jc w:val="center"/>
              <w:rPr>
                <w:sz w:val="20"/>
                <w:szCs w:val="20"/>
              </w:rPr>
            </w:pPr>
            <w:r>
              <w:rPr>
                <w:rFonts w:eastAsia="Times New Roman"/>
                <w:sz w:val="24"/>
                <w:szCs w:val="24"/>
              </w:rPr>
              <w:t>If you are a...</w:t>
            </w:r>
          </w:p>
        </w:tc>
        <w:tc>
          <w:tcPr>
            <w:tcW w:w="6685" w:type="dxa"/>
            <w:tcBorders>
              <w:top w:val="single" w:sz="8" w:space="0" w:color="auto"/>
              <w:bottom w:val="single" w:sz="8" w:space="0" w:color="auto"/>
            </w:tcBorders>
            <w:vAlign w:val="center"/>
          </w:tcPr>
          <w:p w14:paraId="1015E872" w14:textId="288692D6" w:rsidR="00C7669D" w:rsidRDefault="00C7669D" w:rsidP="008B5F22">
            <w:pPr>
              <w:jc w:val="center"/>
              <w:rPr>
                <w:sz w:val="20"/>
                <w:szCs w:val="20"/>
              </w:rPr>
            </w:pPr>
            <w:r>
              <w:rPr>
                <w:rFonts w:eastAsia="Times New Roman"/>
                <w:sz w:val="24"/>
                <w:szCs w:val="24"/>
              </w:rPr>
              <w:t>You shall report...</w:t>
            </w:r>
            <w:r>
              <w:rPr>
                <w:rFonts w:eastAsia="Times New Roman"/>
                <w:sz w:val="27"/>
                <w:szCs w:val="27"/>
                <w:vertAlign w:val="superscript"/>
              </w:rPr>
              <w:t>1</w:t>
            </w:r>
          </w:p>
        </w:tc>
      </w:tr>
      <w:tr w:rsidR="00C7669D" w14:paraId="783EF0EF" w14:textId="77777777" w:rsidTr="008B5F22">
        <w:tc>
          <w:tcPr>
            <w:tcW w:w="3505" w:type="dxa"/>
            <w:tcBorders>
              <w:top w:val="single" w:sz="8" w:space="0" w:color="auto"/>
            </w:tcBorders>
          </w:tcPr>
          <w:p w14:paraId="49C3A31E" w14:textId="7D5FE780" w:rsidR="00C7669D" w:rsidRPr="00C7669D" w:rsidRDefault="00C7669D" w:rsidP="00563A54">
            <w:pPr>
              <w:numPr>
                <w:ilvl w:val="0"/>
                <w:numId w:val="314"/>
              </w:numPr>
              <w:tabs>
                <w:tab w:val="left" w:pos="460"/>
              </w:tabs>
              <w:spacing w:line="249" w:lineRule="auto"/>
              <w:ind w:right="180"/>
              <w:rPr>
                <w:rFonts w:eastAsia="Times New Roman"/>
                <w:sz w:val="23"/>
                <w:szCs w:val="23"/>
              </w:rPr>
            </w:pPr>
            <w:r>
              <w:rPr>
                <w:rFonts w:eastAsia="Times New Roman"/>
                <w:sz w:val="23"/>
                <w:szCs w:val="23"/>
              </w:rPr>
              <w:t>System monitoring for TTHM and HAA5 under the requirements of 310 CMR 22.07E(7)(b) on a quarterly or more frequent basis.</w:t>
            </w:r>
          </w:p>
        </w:tc>
        <w:tc>
          <w:tcPr>
            <w:tcW w:w="6685" w:type="dxa"/>
            <w:tcBorders>
              <w:top w:val="single" w:sz="8" w:space="0" w:color="auto"/>
            </w:tcBorders>
          </w:tcPr>
          <w:p w14:paraId="60731C10" w14:textId="77777777" w:rsidR="00C7669D" w:rsidRDefault="00C7669D" w:rsidP="00E07899">
            <w:pPr>
              <w:rPr>
                <w:sz w:val="20"/>
                <w:szCs w:val="20"/>
              </w:rPr>
            </w:pPr>
            <w:r>
              <w:rPr>
                <w:rFonts w:eastAsia="Times New Roman"/>
                <w:sz w:val="24"/>
                <w:szCs w:val="24"/>
              </w:rPr>
              <w:t>a. The number of samples taken during the last quarter.</w:t>
            </w:r>
          </w:p>
          <w:p w14:paraId="0F6EECC3" w14:textId="77777777" w:rsidR="00C7669D" w:rsidRDefault="00C7669D" w:rsidP="00E07899">
            <w:pPr>
              <w:ind w:right="240"/>
              <w:rPr>
                <w:sz w:val="20"/>
                <w:szCs w:val="20"/>
              </w:rPr>
            </w:pPr>
            <w:r>
              <w:rPr>
                <w:rFonts w:eastAsia="Times New Roman"/>
                <w:sz w:val="24"/>
                <w:szCs w:val="24"/>
              </w:rPr>
              <w:t>b. The location, date, and result of each sample taken during the last quarter.</w:t>
            </w:r>
          </w:p>
          <w:p w14:paraId="4FBAF4E7" w14:textId="77777777" w:rsidR="00C7669D" w:rsidRDefault="00C7669D" w:rsidP="00E07899">
            <w:pPr>
              <w:ind w:right="180"/>
              <w:rPr>
                <w:rFonts w:eastAsia="Times New Roman"/>
                <w:sz w:val="24"/>
                <w:szCs w:val="24"/>
              </w:rPr>
            </w:pPr>
            <w:r>
              <w:rPr>
                <w:rFonts w:eastAsia="Times New Roman"/>
                <w:sz w:val="24"/>
                <w:szCs w:val="24"/>
              </w:rPr>
              <w:t>c. The arithmetic average of all samples taken in the last quarter.</w:t>
            </w:r>
          </w:p>
          <w:p w14:paraId="35B1F420" w14:textId="77777777" w:rsidR="009664B1" w:rsidRDefault="00C7669D" w:rsidP="00E07899">
            <w:pPr>
              <w:ind w:right="180"/>
              <w:rPr>
                <w:rFonts w:eastAsia="Times New Roman"/>
                <w:sz w:val="24"/>
                <w:szCs w:val="24"/>
              </w:rPr>
            </w:pPr>
            <w:r>
              <w:rPr>
                <w:rFonts w:eastAsia="Times New Roman"/>
                <w:sz w:val="24"/>
                <w:szCs w:val="24"/>
              </w:rPr>
              <w:t>d. The annual arithmetic average of the quarterly arithmetic averages of 310 CMR 22.07(9)(b)1.c. for the last four quarters.</w:t>
            </w:r>
          </w:p>
          <w:p w14:paraId="715580E6" w14:textId="28573C53" w:rsidR="00C7669D" w:rsidRDefault="00C7669D" w:rsidP="00E07899">
            <w:pPr>
              <w:ind w:right="180"/>
              <w:rPr>
                <w:sz w:val="20"/>
                <w:szCs w:val="20"/>
              </w:rPr>
            </w:pPr>
            <w:r>
              <w:rPr>
                <w:rFonts w:eastAsia="Times New Roman"/>
                <w:sz w:val="24"/>
                <w:szCs w:val="24"/>
              </w:rPr>
              <w:t>e. Whether, based on 310 CMR 22.07E(8)(b)1., the MCL was violated.</w:t>
            </w:r>
          </w:p>
        </w:tc>
      </w:tr>
      <w:tr w:rsidR="00C7669D" w14:paraId="01BFFFD0" w14:textId="77777777" w:rsidTr="008B5F22">
        <w:tc>
          <w:tcPr>
            <w:tcW w:w="3505" w:type="dxa"/>
          </w:tcPr>
          <w:p w14:paraId="21AE0AEB" w14:textId="63E91CDD" w:rsidR="00C7669D" w:rsidRPr="00C7669D" w:rsidRDefault="00C7669D" w:rsidP="00563A54">
            <w:pPr>
              <w:numPr>
                <w:ilvl w:val="0"/>
                <w:numId w:val="314"/>
              </w:numPr>
              <w:tabs>
                <w:tab w:val="left" w:pos="460"/>
              </w:tabs>
              <w:ind w:right="180"/>
              <w:rPr>
                <w:rFonts w:eastAsia="Times New Roman"/>
                <w:sz w:val="24"/>
                <w:szCs w:val="24"/>
              </w:rPr>
            </w:pPr>
            <w:r>
              <w:rPr>
                <w:rFonts w:eastAsia="Times New Roman"/>
                <w:sz w:val="24"/>
                <w:szCs w:val="24"/>
              </w:rPr>
              <w:t>System monitoring for TTHM and HAA5 under the requirements of 310 CMR 22.07E(7)(b) less frequently than quarterly (but at least annually).</w:t>
            </w:r>
          </w:p>
        </w:tc>
        <w:tc>
          <w:tcPr>
            <w:tcW w:w="6685" w:type="dxa"/>
          </w:tcPr>
          <w:p w14:paraId="3E118679" w14:textId="77777777" w:rsidR="009664B1" w:rsidRDefault="009664B1" w:rsidP="009664B1">
            <w:pPr>
              <w:rPr>
                <w:sz w:val="20"/>
                <w:szCs w:val="20"/>
              </w:rPr>
            </w:pPr>
            <w:r>
              <w:rPr>
                <w:rFonts w:eastAsia="Times New Roman"/>
                <w:sz w:val="24"/>
                <w:szCs w:val="24"/>
              </w:rPr>
              <w:t>a. The number of samples taken during the last year.</w:t>
            </w:r>
          </w:p>
          <w:p w14:paraId="7B2AFEF5" w14:textId="77777777" w:rsidR="009664B1" w:rsidRDefault="009664B1" w:rsidP="009664B1">
            <w:pPr>
              <w:spacing w:line="232" w:lineRule="auto"/>
              <w:ind w:right="240"/>
              <w:rPr>
                <w:sz w:val="20"/>
                <w:szCs w:val="20"/>
              </w:rPr>
            </w:pPr>
            <w:r>
              <w:rPr>
                <w:rFonts w:eastAsia="Times New Roman"/>
                <w:sz w:val="24"/>
                <w:szCs w:val="24"/>
              </w:rPr>
              <w:t>b. The location, date, and result of each sample taken during the last monitoring period.</w:t>
            </w:r>
          </w:p>
          <w:p w14:paraId="1F03F5E8" w14:textId="77777777" w:rsidR="009664B1" w:rsidRDefault="009664B1" w:rsidP="009664B1">
            <w:pPr>
              <w:spacing w:line="233" w:lineRule="auto"/>
              <w:ind w:right="220"/>
              <w:rPr>
                <w:rFonts w:eastAsia="Times New Roman"/>
                <w:sz w:val="24"/>
                <w:szCs w:val="24"/>
              </w:rPr>
            </w:pPr>
            <w:r>
              <w:rPr>
                <w:rFonts w:eastAsia="Times New Roman"/>
                <w:sz w:val="24"/>
                <w:szCs w:val="24"/>
              </w:rPr>
              <w:t>c. The arithmetic average of all samples taken over the last year.</w:t>
            </w:r>
          </w:p>
          <w:p w14:paraId="2CE5AA38" w14:textId="41D18C66" w:rsidR="00C7669D" w:rsidRDefault="009664B1" w:rsidP="009664B1">
            <w:pPr>
              <w:spacing w:line="233" w:lineRule="auto"/>
              <w:ind w:right="220"/>
              <w:rPr>
                <w:sz w:val="20"/>
                <w:szCs w:val="20"/>
              </w:rPr>
            </w:pPr>
            <w:r>
              <w:rPr>
                <w:rFonts w:eastAsia="Times New Roman"/>
                <w:sz w:val="24"/>
                <w:szCs w:val="24"/>
              </w:rPr>
              <w:t>d. Whether, based on 310 CMR 22.07E(8)(b)1., the MCL was violated.</w:t>
            </w:r>
          </w:p>
        </w:tc>
      </w:tr>
      <w:tr w:rsidR="00C7669D" w14:paraId="29517A82" w14:textId="77777777" w:rsidTr="00E07899">
        <w:tc>
          <w:tcPr>
            <w:tcW w:w="3505" w:type="dxa"/>
          </w:tcPr>
          <w:p w14:paraId="3DC57D65" w14:textId="5C7A687B" w:rsidR="00C7669D" w:rsidRPr="00C7669D" w:rsidRDefault="00C7669D" w:rsidP="00E07899">
            <w:pPr>
              <w:numPr>
                <w:ilvl w:val="0"/>
                <w:numId w:val="314"/>
              </w:numPr>
              <w:tabs>
                <w:tab w:val="left" w:pos="460"/>
              </w:tabs>
              <w:spacing w:line="253" w:lineRule="auto"/>
              <w:ind w:right="180"/>
              <w:rPr>
                <w:rFonts w:eastAsia="Times New Roman"/>
                <w:sz w:val="23"/>
                <w:szCs w:val="23"/>
              </w:rPr>
            </w:pPr>
            <w:r>
              <w:rPr>
                <w:rFonts w:eastAsia="Times New Roman"/>
                <w:sz w:val="23"/>
                <w:szCs w:val="23"/>
              </w:rPr>
              <w:t>System monitoring for TTHM and HAA5 under the requirements of 310 CMR 22.07E(7)(b) less frequently than annually.</w:t>
            </w:r>
          </w:p>
        </w:tc>
        <w:tc>
          <w:tcPr>
            <w:tcW w:w="6685" w:type="dxa"/>
          </w:tcPr>
          <w:p w14:paraId="11DADF96" w14:textId="77777777" w:rsidR="005C39E3" w:rsidRDefault="005C39E3" w:rsidP="005C39E3">
            <w:pPr>
              <w:rPr>
                <w:sz w:val="20"/>
                <w:szCs w:val="20"/>
              </w:rPr>
            </w:pPr>
            <w:r>
              <w:rPr>
                <w:rFonts w:eastAsia="Times New Roman"/>
                <w:sz w:val="24"/>
                <w:szCs w:val="24"/>
              </w:rPr>
              <w:t>a. The location, date, and result of the last sample taken.</w:t>
            </w:r>
          </w:p>
          <w:p w14:paraId="5C685353" w14:textId="1823A72C" w:rsidR="00C7669D" w:rsidRDefault="005C39E3" w:rsidP="005C39E3">
            <w:pPr>
              <w:spacing w:line="232" w:lineRule="auto"/>
              <w:ind w:right="420"/>
              <w:rPr>
                <w:sz w:val="20"/>
                <w:szCs w:val="20"/>
              </w:rPr>
            </w:pPr>
            <w:r>
              <w:rPr>
                <w:rFonts w:eastAsia="Times New Roman"/>
                <w:sz w:val="24"/>
                <w:szCs w:val="24"/>
              </w:rPr>
              <w:t>b. Whether, based on 310 CMR 22.07E(8)(b)1., the MCL was violated.</w:t>
            </w:r>
          </w:p>
        </w:tc>
      </w:tr>
      <w:tr w:rsidR="00C7669D" w14:paraId="7140AA4F" w14:textId="77777777" w:rsidTr="00D55AD6">
        <w:tc>
          <w:tcPr>
            <w:tcW w:w="3505" w:type="dxa"/>
            <w:tcBorders>
              <w:bottom w:val="single" w:sz="8" w:space="0" w:color="auto"/>
            </w:tcBorders>
          </w:tcPr>
          <w:p w14:paraId="35D5A186" w14:textId="5B0BD5B7" w:rsidR="00C7669D" w:rsidRPr="00C7669D" w:rsidRDefault="00C7669D" w:rsidP="00563A54">
            <w:pPr>
              <w:numPr>
                <w:ilvl w:val="0"/>
                <w:numId w:val="314"/>
              </w:numPr>
              <w:tabs>
                <w:tab w:val="left" w:pos="460"/>
              </w:tabs>
              <w:spacing w:line="237" w:lineRule="auto"/>
              <w:rPr>
                <w:rFonts w:eastAsia="Times New Roman"/>
                <w:sz w:val="24"/>
                <w:szCs w:val="24"/>
              </w:rPr>
            </w:pPr>
            <w:r>
              <w:rPr>
                <w:rFonts w:eastAsia="Times New Roman"/>
                <w:sz w:val="24"/>
                <w:szCs w:val="24"/>
              </w:rPr>
              <w:t>System monitoring for chlorite under the requirements of 310 CMR 22.07E(7)(b)</w:t>
            </w:r>
          </w:p>
        </w:tc>
        <w:tc>
          <w:tcPr>
            <w:tcW w:w="6685" w:type="dxa"/>
            <w:tcBorders>
              <w:bottom w:val="single" w:sz="8" w:space="0" w:color="auto"/>
            </w:tcBorders>
          </w:tcPr>
          <w:p w14:paraId="71E85362" w14:textId="77777777" w:rsidR="00E72BAE" w:rsidRDefault="00E72BAE" w:rsidP="00E07899">
            <w:pPr>
              <w:ind w:right="360"/>
              <w:rPr>
                <w:sz w:val="20"/>
                <w:szCs w:val="20"/>
              </w:rPr>
            </w:pPr>
            <w:r>
              <w:rPr>
                <w:rFonts w:eastAsia="Times New Roman"/>
                <w:sz w:val="24"/>
                <w:szCs w:val="24"/>
              </w:rPr>
              <w:t>a. The number of entry point samples taken each month for the last three months.</w:t>
            </w:r>
          </w:p>
          <w:p w14:paraId="7EC6F8CB" w14:textId="77777777" w:rsidR="00E72BAE" w:rsidRDefault="00E72BAE" w:rsidP="00E07899">
            <w:pPr>
              <w:ind w:right="200"/>
              <w:rPr>
                <w:sz w:val="20"/>
                <w:szCs w:val="20"/>
              </w:rPr>
            </w:pPr>
            <w:r>
              <w:rPr>
                <w:rFonts w:eastAsia="Times New Roman"/>
                <w:sz w:val="24"/>
                <w:szCs w:val="24"/>
              </w:rPr>
              <w:t>b. The location, date, and result of each sample (both entry point and Distribution System) taken during the last quarter.</w:t>
            </w:r>
          </w:p>
          <w:p w14:paraId="63075493" w14:textId="77777777" w:rsidR="00E72BAE" w:rsidRDefault="00E72BAE" w:rsidP="00E07899">
            <w:pPr>
              <w:ind w:right="200"/>
              <w:rPr>
                <w:sz w:val="20"/>
                <w:szCs w:val="20"/>
              </w:rPr>
            </w:pPr>
            <w:r>
              <w:rPr>
                <w:rFonts w:eastAsia="Times New Roman"/>
                <w:sz w:val="24"/>
                <w:szCs w:val="24"/>
              </w:rPr>
              <w:t>c. For each month in the reporting period, the arithmetic average of all samples taken in each three sample set taken in the Distribution System.</w:t>
            </w:r>
          </w:p>
          <w:p w14:paraId="5FA2526B" w14:textId="244C9C08" w:rsidR="00C7669D" w:rsidRDefault="00E72BAE" w:rsidP="00E07899">
            <w:pPr>
              <w:ind w:right="420"/>
              <w:jc w:val="both"/>
              <w:rPr>
                <w:sz w:val="20"/>
                <w:szCs w:val="20"/>
              </w:rPr>
            </w:pPr>
            <w:r>
              <w:rPr>
                <w:rFonts w:eastAsia="Times New Roman"/>
                <w:sz w:val="24"/>
                <w:szCs w:val="24"/>
              </w:rPr>
              <w:t>d. Whether, based on 310 CMR 22.07E(8)(b)3., the MCL was violated, in which month, and how many times it was violated each month.</w:t>
            </w:r>
          </w:p>
        </w:tc>
      </w:tr>
      <w:tr w:rsidR="00C7669D" w14:paraId="0BDC8469" w14:textId="77777777" w:rsidTr="00D55AD6">
        <w:tc>
          <w:tcPr>
            <w:tcW w:w="3505" w:type="dxa"/>
            <w:tcBorders>
              <w:top w:val="single" w:sz="8" w:space="0" w:color="auto"/>
              <w:bottom w:val="single" w:sz="8" w:space="0" w:color="auto"/>
            </w:tcBorders>
          </w:tcPr>
          <w:p w14:paraId="58D297ED" w14:textId="20BF41C1" w:rsidR="00C7669D" w:rsidRDefault="00C7669D" w:rsidP="00563A54">
            <w:pPr>
              <w:numPr>
                <w:ilvl w:val="0"/>
                <w:numId w:val="315"/>
              </w:numPr>
              <w:tabs>
                <w:tab w:val="left" w:pos="460"/>
              </w:tabs>
              <w:spacing w:line="248" w:lineRule="auto"/>
              <w:rPr>
                <w:sz w:val="20"/>
                <w:szCs w:val="20"/>
              </w:rPr>
            </w:pPr>
            <w:r>
              <w:rPr>
                <w:rFonts w:eastAsia="Times New Roman"/>
                <w:sz w:val="24"/>
                <w:szCs w:val="24"/>
              </w:rPr>
              <w:t>System monitoring for bromate under the requirements of 310 CMR 22.07E(7)(b).</w:t>
            </w:r>
          </w:p>
        </w:tc>
        <w:tc>
          <w:tcPr>
            <w:tcW w:w="6685" w:type="dxa"/>
            <w:tcBorders>
              <w:top w:val="single" w:sz="8" w:space="0" w:color="auto"/>
              <w:bottom w:val="single" w:sz="8" w:space="0" w:color="auto"/>
            </w:tcBorders>
          </w:tcPr>
          <w:p w14:paraId="5156F50E" w14:textId="77777777" w:rsidR="00E72BAE" w:rsidRDefault="00E72BAE" w:rsidP="00E07899">
            <w:pPr>
              <w:rPr>
                <w:sz w:val="20"/>
                <w:szCs w:val="20"/>
              </w:rPr>
            </w:pPr>
            <w:r>
              <w:rPr>
                <w:rFonts w:eastAsia="Times New Roman"/>
                <w:sz w:val="24"/>
                <w:szCs w:val="24"/>
              </w:rPr>
              <w:t>a. The number of samples taken during the last quarter.</w:t>
            </w:r>
          </w:p>
          <w:p w14:paraId="4AA46704" w14:textId="77777777" w:rsidR="00E72BAE" w:rsidRDefault="00E72BAE" w:rsidP="00E07899">
            <w:pPr>
              <w:ind w:right="240"/>
              <w:rPr>
                <w:sz w:val="20"/>
                <w:szCs w:val="20"/>
              </w:rPr>
            </w:pPr>
            <w:r>
              <w:rPr>
                <w:rFonts w:eastAsia="Times New Roman"/>
                <w:sz w:val="24"/>
                <w:szCs w:val="24"/>
              </w:rPr>
              <w:t>b. The location, date, and result of each sample taken during the last quarter.</w:t>
            </w:r>
          </w:p>
          <w:p w14:paraId="435D6736" w14:textId="77777777" w:rsidR="00E72BAE" w:rsidRDefault="00E72BAE" w:rsidP="00E07899">
            <w:pPr>
              <w:ind w:right="300"/>
              <w:rPr>
                <w:sz w:val="20"/>
                <w:szCs w:val="20"/>
              </w:rPr>
            </w:pPr>
            <w:r>
              <w:rPr>
                <w:rFonts w:eastAsia="Times New Roman"/>
                <w:sz w:val="24"/>
                <w:szCs w:val="24"/>
              </w:rPr>
              <w:t>c. The arithmetic average of the monthly arithmetic averages of all samples taken in the last year.</w:t>
            </w:r>
          </w:p>
          <w:p w14:paraId="221B496C" w14:textId="163111BA" w:rsidR="00C7669D" w:rsidRDefault="00E72BAE" w:rsidP="00E07899">
            <w:pPr>
              <w:ind w:right="420"/>
              <w:rPr>
                <w:sz w:val="20"/>
                <w:szCs w:val="20"/>
              </w:rPr>
            </w:pPr>
            <w:r>
              <w:rPr>
                <w:rFonts w:eastAsia="Times New Roman"/>
                <w:sz w:val="24"/>
                <w:szCs w:val="24"/>
              </w:rPr>
              <w:t>d. Whether, based on 310 CMR 22.07E(8)(b)2., the MCL was violated.</w:t>
            </w:r>
          </w:p>
        </w:tc>
      </w:tr>
    </w:tbl>
    <w:p w14:paraId="2819F5CF" w14:textId="77777777" w:rsidR="004647B9" w:rsidRDefault="00E2436F" w:rsidP="00563A54">
      <w:pPr>
        <w:numPr>
          <w:ilvl w:val="0"/>
          <w:numId w:val="316"/>
        </w:numPr>
        <w:tabs>
          <w:tab w:val="left" w:pos="140"/>
        </w:tabs>
        <w:spacing w:line="204" w:lineRule="auto"/>
        <w:ind w:left="140" w:hanging="140"/>
        <w:rPr>
          <w:rFonts w:eastAsia="Times New Roman"/>
          <w:sz w:val="28"/>
          <w:szCs w:val="28"/>
          <w:vertAlign w:val="superscript"/>
        </w:rPr>
      </w:pPr>
      <w:r>
        <w:rPr>
          <w:rFonts w:eastAsia="Times New Roman"/>
        </w:rPr>
        <w:t>The Department may choose to perform calculations and determine whether the MCL was violated.</w:t>
      </w:r>
    </w:p>
    <w:p w14:paraId="2819F5D0" w14:textId="77777777" w:rsidR="004647B9" w:rsidRDefault="004647B9">
      <w:pPr>
        <w:sectPr w:rsidR="004647B9" w:rsidSect="00EF630C">
          <w:type w:val="continuous"/>
          <w:pgSz w:w="12240" w:h="20180"/>
          <w:pgMar w:top="708" w:right="1440" w:bottom="1440" w:left="600" w:header="0" w:footer="0" w:gutter="0"/>
          <w:cols w:space="720"/>
        </w:sectPr>
      </w:pPr>
    </w:p>
    <w:p w14:paraId="2819F5D1" w14:textId="77777777" w:rsidR="004647B9" w:rsidRDefault="00E2436F">
      <w:pPr>
        <w:tabs>
          <w:tab w:val="left" w:pos="160"/>
        </w:tabs>
        <w:jc w:val="center"/>
        <w:rPr>
          <w:sz w:val="20"/>
          <w:szCs w:val="20"/>
        </w:rPr>
      </w:pPr>
      <w:bookmarkStart w:id="126" w:name="page128"/>
      <w:bookmarkEnd w:id="12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5D2" w14:textId="77777777" w:rsidR="004647B9" w:rsidRDefault="004647B9" w:rsidP="00E07899">
      <w:pPr>
        <w:rPr>
          <w:sz w:val="20"/>
          <w:szCs w:val="20"/>
        </w:rPr>
      </w:pPr>
    </w:p>
    <w:p w14:paraId="2819F5D3" w14:textId="77777777" w:rsidR="004647B9" w:rsidRDefault="004647B9" w:rsidP="00E07899">
      <w:pPr>
        <w:rPr>
          <w:sz w:val="20"/>
          <w:szCs w:val="20"/>
        </w:rPr>
      </w:pPr>
    </w:p>
    <w:p w14:paraId="2819F5D4" w14:textId="77777777" w:rsidR="004647B9" w:rsidRPr="00E07899" w:rsidRDefault="00E2436F" w:rsidP="00E07899">
      <w:pPr>
        <w:tabs>
          <w:tab w:val="left" w:pos="920"/>
        </w:tabs>
        <w:rPr>
          <w:sz w:val="24"/>
          <w:szCs w:val="24"/>
        </w:rPr>
      </w:pPr>
      <w:r w:rsidRPr="00E07899">
        <w:rPr>
          <w:rFonts w:eastAsia="Times New Roman"/>
          <w:sz w:val="24"/>
          <w:szCs w:val="24"/>
        </w:rPr>
        <w:t>22.07E:</w:t>
      </w:r>
      <w:r w:rsidRPr="00E07899">
        <w:rPr>
          <w:sz w:val="24"/>
          <w:szCs w:val="24"/>
        </w:rPr>
        <w:tab/>
      </w:r>
      <w:r w:rsidRPr="00E07899">
        <w:rPr>
          <w:rFonts w:eastAsia="Times New Roman"/>
          <w:sz w:val="24"/>
          <w:szCs w:val="24"/>
        </w:rPr>
        <w:t>continued</w:t>
      </w:r>
    </w:p>
    <w:p w14:paraId="2819F5D5" w14:textId="77777777" w:rsidR="004647B9" w:rsidRDefault="004647B9" w:rsidP="00E07899">
      <w:pPr>
        <w:rPr>
          <w:sz w:val="20"/>
          <w:szCs w:val="20"/>
        </w:rPr>
      </w:pPr>
    </w:p>
    <w:p w14:paraId="2819F5D6" w14:textId="65C0C8D6" w:rsidR="004647B9" w:rsidRDefault="00E2436F" w:rsidP="00E07899">
      <w:pPr>
        <w:numPr>
          <w:ilvl w:val="0"/>
          <w:numId w:val="317"/>
        </w:numPr>
        <w:tabs>
          <w:tab w:val="left" w:pos="2076"/>
        </w:tabs>
        <w:ind w:left="1560" w:hanging="5"/>
        <w:rPr>
          <w:rFonts w:eastAsia="Times New Roman"/>
          <w:sz w:val="24"/>
          <w:szCs w:val="24"/>
        </w:rPr>
      </w:pPr>
      <w:r>
        <w:rPr>
          <w:rFonts w:eastAsia="Times New Roman"/>
          <w:sz w:val="24"/>
          <w:szCs w:val="24"/>
          <w:u w:val="single"/>
        </w:rPr>
        <w:t>Disinfectants</w:t>
      </w:r>
      <w:r>
        <w:rPr>
          <w:rFonts w:eastAsia="Times New Roman"/>
          <w:sz w:val="24"/>
          <w:szCs w:val="24"/>
        </w:rPr>
        <w:t>. Each Supplier of Water shall report the information specified in the following table:</w:t>
      </w:r>
    </w:p>
    <w:p w14:paraId="2FE5B9DF" w14:textId="77777777" w:rsidR="008B5F22" w:rsidRDefault="008B5F22" w:rsidP="00E07899">
      <w:pPr>
        <w:tabs>
          <w:tab w:val="left" w:pos="2076"/>
        </w:tabs>
        <w:rPr>
          <w:rFonts w:eastAsia="Times New Roman"/>
          <w:sz w:val="24"/>
          <w:szCs w:val="24"/>
        </w:rPr>
      </w:pPr>
    </w:p>
    <w:p w14:paraId="2819F5D7" w14:textId="77777777" w:rsidR="004647B9" w:rsidRDefault="004647B9" w:rsidP="00E07899">
      <w:pPr>
        <w:sectPr w:rsidR="004647B9" w:rsidSect="00EF630C">
          <w:pgSz w:w="12240" w:h="20180"/>
          <w:pgMar w:top="708" w:right="1440" w:bottom="1440" w:left="600" w:header="0" w:footer="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3505"/>
        <w:gridCol w:w="6685"/>
      </w:tblGrid>
      <w:tr w:rsidR="008B5F22" w14:paraId="798F4836" w14:textId="77777777" w:rsidTr="00E37F68">
        <w:tc>
          <w:tcPr>
            <w:tcW w:w="3505" w:type="dxa"/>
            <w:tcBorders>
              <w:top w:val="single" w:sz="8" w:space="0" w:color="auto"/>
              <w:bottom w:val="single" w:sz="8" w:space="0" w:color="auto"/>
            </w:tcBorders>
          </w:tcPr>
          <w:p w14:paraId="28BEE33D" w14:textId="6EF6F556" w:rsidR="008B5F22" w:rsidRDefault="008B5F22" w:rsidP="00E37F68">
            <w:pPr>
              <w:ind w:left="100"/>
              <w:jc w:val="center"/>
              <w:rPr>
                <w:sz w:val="20"/>
                <w:szCs w:val="20"/>
              </w:rPr>
            </w:pPr>
            <w:r>
              <w:rPr>
                <w:rFonts w:eastAsia="Times New Roman"/>
                <w:sz w:val="24"/>
                <w:szCs w:val="24"/>
              </w:rPr>
              <w:t>If you are a...</w:t>
            </w:r>
          </w:p>
        </w:tc>
        <w:tc>
          <w:tcPr>
            <w:tcW w:w="6685" w:type="dxa"/>
            <w:tcBorders>
              <w:top w:val="single" w:sz="8" w:space="0" w:color="auto"/>
              <w:bottom w:val="single" w:sz="8" w:space="0" w:color="auto"/>
            </w:tcBorders>
          </w:tcPr>
          <w:p w14:paraId="3E2055FB" w14:textId="31C8448F" w:rsidR="008B5F22" w:rsidRDefault="00E37F68" w:rsidP="00E37F68">
            <w:pPr>
              <w:ind w:right="100"/>
              <w:jc w:val="center"/>
              <w:rPr>
                <w:sz w:val="20"/>
                <w:szCs w:val="20"/>
              </w:rPr>
            </w:pPr>
            <w:r>
              <w:rPr>
                <w:rFonts w:eastAsia="Times New Roman"/>
                <w:sz w:val="24"/>
                <w:szCs w:val="24"/>
              </w:rPr>
              <w:t>You shall report...</w:t>
            </w:r>
            <w:r>
              <w:rPr>
                <w:rFonts w:eastAsia="Times New Roman"/>
                <w:sz w:val="27"/>
                <w:szCs w:val="27"/>
                <w:vertAlign w:val="superscript"/>
              </w:rPr>
              <w:t>1</w:t>
            </w:r>
          </w:p>
        </w:tc>
      </w:tr>
      <w:tr w:rsidR="008B5F22" w14:paraId="4FCD68CE" w14:textId="77777777" w:rsidTr="00E37F68">
        <w:tc>
          <w:tcPr>
            <w:tcW w:w="3505" w:type="dxa"/>
            <w:tcBorders>
              <w:top w:val="single" w:sz="8" w:space="0" w:color="auto"/>
              <w:bottom w:val="single" w:sz="8" w:space="0" w:color="auto"/>
            </w:tcBorders>
          </w:tcPr>
          <w:p w14:paraId="08D22B25" w14:textId="5F91EB8F" w:rsidR="008B5F22" w:rsidRPr="00D55AD6" w:rsidRDefault="00D55AD6" w:rsidP="00563A54">
            <w:pPr>
              <w:numPr>
                <w:ilvl w:val="0"/>
                <w:numId w:val="318"/>
              </w:numPr>
              <w:tabs>
                <w:tab w:val="left" w:pos="340"/>
              </w:tabs>
              <w:rPr>
                <w:rFonts w:eastAsia="Times New Roman"/>
                <w:sz w:val="23"/>
                <w:szCs w:val="23"/>
              </w:rPr>
            </w:pPr>
            <w:r>
              <w:rPr>
                <w:rFonts w:eastAsia="Times New Roman"/>
                <w:sz w:val="23"/>
                <w:szCs w:val="23"/>
              </w:rPr>
              <w:t>System monitoring for chlorine or chloramines under the requirements of 310 CMR 22.07E(7)(c).</w:t>
            </w:r>
          </w:p>
        </w:tc>
        <w:tc>
          <w:tcPr>
            <w:tcW w:w="6685" w:type="dxa"/>
            <w:tcBorders>
              <w:top w:val="single" w:sz="8" w:space="0" w:color="auto"/>
              <w:bottom w:val="single" w:sz="8" w:space="0" w:color="auto"/>
            </w:tcBorders>
          </w:tcPr>
          <w:p w14:paraId="592CA743" w14:textId="77777777" w:rsidR="00E37F68" w:rsidRDefault="00E37F68" w:rsidP="00E37F68">
            <w:pPr>
              <w:ind w:right="460"/>
              <w:rPr>
                <w:sz w:val="20"/>
                <w:szCs w:val="20"/>
              </w:rPr>
            </w:pPr>
            <w:r>
              <w:rPr>
                <w:rFonts w:eastAsia="Times New Roman"/>
                <w:sz w:val="24"/>
                <w:szCs w:val="24"/>
              </w:rPr>
              <w:t>a. The number of samples taken during each month of the last quarter.</w:t>
            </w:r>
          </w:p>
          <w:p w14:paraId="21198E6F" w14:textId="77777777" w:rsidR="00E37F68" w:rsidRDefault="00E37F68" w:rsidP="00E37F68">
            <w:pPr>
              <w:ind w:right="360"/>
              <w:rPr>
                <w:sz w:val="20"/>
                <w:szCs w:val="20"/>
              </w:rPr>
            </w:pPr>
            <w:r>
              <w:rPr>
                <w:rFonts w:eastAsia="Times New Roman"/>
                <w:sz w:val="24"/>
                <w:szCs w:val="24"/>
              </w:rPr>
              <w:t>b. The monthly arithmetic average of all samples taken in each month for the last 12 months.</w:t>
            </w:r>
          </w:p>
          <w:p w14:paraId="1C2CCB16" w14:textId="77777777" w:rsidR="00E37F68" w:rsidRDefault="00E37F68" w:rsidP="00E37F68">
            <w:pPr>
              <w:ind w:right="200"/>
              <w:rPr>
                <w:sz w:val="20"/>
                <w:szCs w:val="20"/>
              </w:rPr>
            </w:pPr>
            <w:r>
              <w:rPr>
                <w:rFonts w:eastAsia="Times New Roman"/>
                <w:sz w:val="24"/>
                <w:szCs w:val="24"/>
              </w:rPr>
              <w:t>c. The arithmetic average of the monthly averages for the last 12 months.</w:t>
            </w:r>
          </w:p>
          <w:p w14:paraId="01CDD0BC" w14:textId="5DCBE7F8" w:rsidR="008B5F22" w:rsidRDefault="00E37F68" w:rsidP="00E37F68">
            <w:pPr>
              <w:ind w:right="260"/>
              <w:rPr>
                <w:sz w:val="20"/>
                <w:szCs w:val="20"/>
              </w:rPr>
            </w:pPr>
            <w:r>
              <w:rPr>
                <w:rFonts w:eastAsia="Times New Roman"/>
                <w:sz w:val="24"/>
                <w:szCs w:val="24"/>
              </w:rPr>
              <w:t>d. Whether, based on 310 CMR 22.07E(8)(c)1., the MRDL was violated.</w:t>
            </w:r>
          </w:p>
        </w:tc>
      </w:tr>
      <w:tr w:rsidR="008B5F22" w14:paraId="1D6E6FE9" w14:textId="77777777" w:rsidTr="00E07899">
        <w:tc>
          <w:tcPr>
            <w:tcW w:w="3505" w:type="dxa"/>
            <w:tcBorders>
              <w:top w:val="single" w:sz="8" w:space="0" w:color="auto"/>
              <w:bottom w:val="single" w:sz="8" w:space="0" w:color="auto"/>
            </w:tcBorders>
          </w:tcPr>
          <w:p w14:paraId="163A7CA2" w14:textId="77C3643C" w:rsidR="008B5F22" w:rsidRPr="00E37F68" w:rsidRDefault="00D55AD6" w:rsidP="00E07899">
            <w:pPr>
              <w:numPr>
                <w:ilvl w:val="0"/>
                <w:numId w:val="319"/>
              </w:numPr>
              <w:tabs>
                <w:tab w:val="left" w:pos="340"/>
              </w:tabs>
              <w:ind w:right="260"/>
              <w:rPr>
                <w:rFonts w:eastAsia="Times New Roman"/>
                <w:sz w:val="23"/>
                <w:szCs w:val="23"/>
              </w:rPr>
            </w:pPr>
            <w:r>
              <w:rPr>
                <w:rFonts w:eastAsia="Times New Roman"/>
                <w:sz w:val="23"/>
                <w:szCs w:val="23"/>
              </w:rPr>
              <w:t>System monitoring for chlorine dioxide under the requirements of</w:t>
            </w:r>
            <w:r w:rsidR="00E37F68">
              <w:rPr>
                <w:rFonts w:eastAsia="Times New Roman"/>
                <w:sz w:val="23"/>
                <w:szCs w:val="23"/>
              </w:rPr>
              <w:t xml:space="preserve"> 310 </w:t>
            </w:r>
            <w:r w:rsidRPr="00E37F68">
              <w:rPr>
                <w:rFonts w:eastAsia="Times New Roman"/>
                <w:sz w:val="24"/>
                <w:szCs w:val="24"/>
              </w:rPr>
              <w:t>CMR 22.07E(7)(c).</w:t>
            </w:r>
          </w:p>
        </w:tc>
        <w:tc>
          <w:tcPr>
            <w:tcW w:w="6685" w:type="dxa"/>
            <w:tcBorders>
              <w:top w:val="single" w:sz="8" w:space="0" w:color="auto"/>
              <w:bottom w:val="single" w:sz="8" w:space="0" w:color="auto"/>
            </w:tcBorders>
          </w:tcPr>
          <w:p w14:paraId="2E301AED" w14:textId="77777777" w:rsidR="00E37F68" w:rsidRDefault="00E37F68" w:rsidP="00E37F68">
            <w:pPr>
              <w:ind w:right="380"/>
              <w:rPr>
                <w:sz w:val="20"/>
                <w:szCs w:val="20"/>
              </w:rPr>
            </w:pPr>
            <w:r>
              <w:rPr>
                <w:rFonts w:eastAsia="Times New Roman"/>
                <w:sz w:val="24"/>
                <w:szCs w:val="24"/>
              </w:rPr>
              <w:t>a. The dates, results, and locations of samples taken during the last quarter.</w:t>
            </w:r>
          </w:p>
          <w:p w14:paraId="0685C30E" w14:textId="77777777" w:rsidR="00E37F68" w:rsidRDefault="00E37F68" w:rsidP="00E37F68">
            <w:pPr>
              <w:ind w:right="260"/>
              <w:rPr>
                <w:sz w:val="20"/>
                <w:szCs w:val="20"/>
              </w:rPr>
            </w:pPr>
            <w:r>
              <w:rPr>
                <w:rFonts w:eastAsia="Times New Roman"/>
                <w:sz w:val="24"/>
                <w:szCs w:val="24"/>
              </w:rPr>
              <w:t>b. Whether, based on 310 CMR 22.07E(8)(c)2., the MRDL was violated.</w:t>
            </w:r>
          </w:p>
          <w:p w14:paraId="5CCC1C81" w14:textId="4C5CC25C" w:rsidR="008B5F22" w:rsidRDefault="00E37F68" w:rsidP="00E37F68">
            <w:pPr>
              <w:ind w:right="420"/>
              <w:rPr>
                <w:sz w:val="20"/>
                <w:szCs w:val="20"/>
              </w:rPr>
            </w:pPr>
            <w:r>
              <w:rPr>
                <w:rFonts w:eastAsia="Times New Roman"/>
                <w:sz w:val="24"/>
                <w:szCs w:val="24"/>
              </w:rPr>
              <w:t>c. Whether the MRDL was exceeded in any two consecutive daily samples and whether the resulting violation was acute or nonacute.</w:t>
            </w:r>
          </w:p>
        </w:tc>
      </w:tr>
    </w:tbl>
    <w:p w14:paraId="0950A3E7" w14:textId="75B7FB0A" w:rsidR="008B5F22" w:rsidRPr="00F94AD3" w:rsidRDefault="00E37F68" w:rsidP="00E07899">
      <w:pPr>
        <w:numPr>
          <w:ilvl w:val="0"/>
          <w:numId w:val="320"/>
        </w:numPr>
        <w:tabs>
          <w:tab w:val="left" w:pos="480"/>
        </w:tabs>
        <w:rPr>
          <w:rFonts w:eastAsia="Times New Roman"/>
          <w:sz w:val="24"/>
          <w:szCs w:val="24"/>
          <w:vertAlign w:val="superscript"/>
        </w:rPr>
      </w:pPr>
      <w:r w:rsidRPr="00F94AD3">
        <w:rPr>
          <w:rFonts w:eastAsia="Times New Roman"/>
          <w:sz w:val="24"/>
          <w:szCs w:val="24"/>
        </w:rPr>
        <w:t>The Department may choose to perform calculations and determine whether the MRDL was exceeded or violated.</w:t>
      </w:r>
    </w:p>
    <w:p w14:paraId="1F95B420" w14:textId="77777777" w:rsidR="00FD5C78" w:rsidRPr="00F94AD3" w:rsidRDefault="00FD5C78" w:rsidP="00E07899">
      <w:pPr>
        <w:tabs>
          <w:tab w:val="left" w:pos="1995"/>
        </w:tabs>
        <w:ind w:left="1555"/>
        <w:rPr>
          <w:rFonts w:eastAsia="Times New Roman"/>
          <w:sz w:val="24"/>
          <w:szCs w:val="24"/>
        </w:rPr>
      </w:pPr>
    </w:p>
    <w:p w14:paraId="2819F5FC" w14:textId="2A604F57" w:rsidR="004647B9" w:rsidRPr="00F94AD3" w:rsidRDefault="00E2436F" w:rsidP="00E07899">
      <w:pPr>
        <w:numPr>
          <w:ilvl w:val="1"/>
          <w:numId w:val="320"/>
        </w:numPr>
        <w:tabs>
          <w:tab w:val="left" w:pos="1995"/>
        </w:tabs>
        <w:ind w:left="1560" w:hanging="5"/>
        <w:rPr>
          <w:rFonts w:eastAsia="Times New Roman"/>
          <w:sz w:val="24"/>
          <w:szCs w:val="24"/>
        </w:rPr>
      </w:pPr>
      <w:r w:rsidRPr="00F94AD3">
        <w:rPr>
          <w:rFonts w:eastAsia="Times New Roman"/>
          <w:sz w:val="24"/>
          <w:szCs w:val="24"/>
          <w:u w:val="single"/>
        </w:rPr>
        <w:t>Disinfection Byproduct Precursors and Enhanced Coagulation or Enhanced Softening</w:t>
      </w:r>
      <w:r w:rsidRPr="00F94AD3">
        <w:rPr>
          <w:rFonts w:eastAsia="Times New Roman"/>
          <w:sz w:val="24"/>
          <w:szCs w:val="24"/>
        </w:rPr>
        <w:t>. Each Supplier of Water shall report the information specified in the following table:</w:t>
      </w:r>
    </w:p>
    <w:p w14:paraId="4BD08044" w14:textId="77777777" w:rsidR="00FD5C78" w:rsidRDefault="00FD5C78" w:rsidP="00E07899">
      <w:pPr>
        <w:tabs>
          <w:tab w:val="left" w:pos="1995"/>
        </w:tabs>
        <w:rPr>
          <w:rFonts w:eastAsia="Times New Roman"/>
          <w:sz w:val="23"/>
          <w:szCs w:val="23"/>
        </w:rPr>
      </w:pPr>
    </w:p>
    <w:p w14:paraId="2819F5FD" w14:textId="77777777" w:rsidR="004647B9" w:rsidRDefault="004647B9" w:rsidP="00E07899">
      <w:pPr>
        <w:sectPr w:rsidR="004647B9" w:rsidSect="00EF630C">
          <w:type w:val="continuous"/>
          <w:pgSz w:w="12240" w:h="20180"/>
          <w:pgMar w:top="708" w:right="1440" w:bottom="1440" w:left="600" w:header="0" w:footer="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3690"/>
        <w:gridCol w:w="6500"/>
      </w:tblGrid>
      <w:tr w:rsidR="00FD5C78" w14:paraId="1E4467BB" w14:textId="77777777" w:rsidTr="005D07E7">
        <w:tc>
          <w:tcPr>
            <w:tcW w:w="3690" w:type="dxa"/>
            <w:tcBorders>
              <w:top w:val="single" w:sz="8" w:space="0" w:color="auto"/>
              <w:bottom w:val="single" w:sz="8" w:space="0" w:color="auto"/>
            </w:tcBorders>
            <w:vAlign w:val="center"/>
          </w:tcPr>
          <w:p w14:paraId="4B25AE06" w14:textId="76256C6A" w:rsidR="00FD5C78" w:rsidRDefault="00FD5C78" w:rsidP="00A5087F">
            <w:pPr>
              <w:ind w:left="120"/>
              <w:jc w:val="center"/>
              <w:rPr>
                <w:sz w:val="20"/>
                <w:szCs w:val="20"/>
              </w:rPr>
            </w:pPr>
            <w:r>
              <w:rPr>
                <w:rFonts w:eastAsia="Times New Roman"/>
                <w:sz w:val="24"/>
                <w:szCs w:val="24"/>
              </w:rPr>
              <w:t>If you are a . . .</w:t>
            </w:r>
          </w:p>
        </w:tc>
        <w:tc>
          <w:tcPr>
            <w:tcW w:w="6500" w:type="dxa"/>
            <w:tcBorders>
              <w:top w:val="single" w:sz="8" w:space="0" w:color="auto"/>
              <w:bottom w:val="single" w:sz="8" w:space="0" w:color="auto"/>
            </w:tcBorders>
            <w:vAlign w:val="center"/>
          </w:tcPr>
          <w:p w14:paraId="7F91FA83" w14:textId="4B4CA10C" w:rsidR="00FD5C78" w:rsidRDefault="00FD5C78" w:rsidP="00A5087F">
            <w:pPr>
              <w:ind w:right="80"/>
              <w:jc w:val="center"/>
              <w:rPr>
                <w:sz w:val="20"/>
                <w:szCs w:val="20"/>
              </w:rPr>
            </w:pPr>
            <w:r>
              <w:rPr>
                <w:rFonts w:eastAsia="Times New Roman"/>
                <w:sz w:val="24"/>
                <w:szCs w:val="24"/>
              </w:rPr>
              <w:t>You shall report . . .</w:t>
            </w:r>
            <w:r>
              <w:rPr>
                <w:rFonts w:eastAsia="Times New Roman"/>
                <w:sz w:val="27"/>
                <w:szCs w:val="27"/>
                <w:vertAlign w:val="superscript"/>
              </w:rPr>
              <w:t>1</w:t>
            </w:r>
          </w:p>
        </w:tc>
      </w:tr>
      <w:tr w:rsidR="00FD5C78" w14:paraId="25D979B4" w14:textId="77777777" w:rsidTr="005D07E7">
        <w:tc>
          <w:tcPr>
            <w:tcW w:w="3690" w:type="dxa"/>
            <w:tcBorders>
              <w:top w:val="single" w:sz="8" w:space="0" w:color="auto"/>
              <w:bottom w:val="single" w:sz="8" w:space="0" w:color="auto"/>
            </w:tcBorders>
          </w:tcPr>
          <w:p w14:paraId="414C3964" w14:textId="2161F978" w:rsidR="00FD5C78" w:rsidRPr="00AD07CC" w:rsidRDefault="00FD5C78" w:rsidP="00563A54">
            <w:pPr>
              <w:numPr>
                <w:ilvl w:val="0"/>
                <w:numId w:val="321"/>
              </w:numPr>
              <w:tabs>
                <w:tab w:val="left" w:pos="340"/>
              </w:tabs>
              <w:spacing w:line="237" w:lineRule="auto"/>
              <w:rPr>
                <w:rFonts w:eastAsia="Times New Roman"/>
                <w:sz w:val="24"/>
                <w:szCs w:val="24"/>
              </w:rPr>
            </w:pPr>
            <w:r>
              <w:rPr>
                <w:rFonts w:eastAsia="Times New Roman"/>
                <w:sz w:val="24"/>
                <w:szCs w:val="24"/>
              </w:rPr>
              <w:t>System monitoring monthly or quarterly for TOC under the requirements of 310 CMR</w:t>
            </w:r>
            <w:r w:rsidR="00AD07CC">
              <w:rPr>
                <w:rFonts w:eastAsia="Times New Roman"/>
                <w:sz w:val="24"/>
                <w:szCs w:val="24"/>
              </w:rPr>
              <w:t xml:space="preserve"> </w:t>
            </w:r>
            <w:r w:rsidRPr="00AD07CC">
              <w:rPr>
                <w:rFonts w:eastAsia="Times New Roman"/>
                <w:sz w:val="23"/>
                <w:szCs w:val="23"/>
              </w:rPr>
              <w:t xml:space="preserve">22.07E(7)(d) and required to meet the Enhanced Coagulation or Enhanced Softening requirements in </w:t>
            </w:r>
            <w:r w:rsidRPr="00AD07CC">
              <w:rPr>
                <w:rFonts w:eastAsia="Times New Roman"/>
                <w:sz w:val="24"/>
                <w:szCs w:val="24"/>
              </w:rPr>
              <w:t>310 CMR 22.07E(10)(b)2. or (b)3.</w:t>
            </w:r>
          </w:p>
        </w:tc>
        <w:tc>
          <w:tcPr>
            <w:tcW w:w="6500" w:type="dxa"/>
            <w:tcBorders>
              <w:top w:val="single" w:sz="8" w:space="0" w:color="auto"/>
              <w:bottom w:val="single" w:sz="8" w:space="0" w:color="auto"/>
            </w:tcBorders>
          </w:tcPr>
          <w:p w14:paraId="25BC7E30" w14:textId="77777777" w:rsidR="0067671E" w:rsidRDefault="0067671E" w:rsidP="00E07899">
            <w:pPr>
              <w:rPr>
                <w:sz w:val="20"/>
                <w:szCs w:val="20"/>
              </w:rPr>
            </w:pPr>
            <w:r>
              <w:rPr>
                <w:rFonts w:eastAsia="Times New Roman"/>
                <w:sz w:val="24"/>
                <w:szCs w:val="24"/>
              </w:rPr>
              <w:t>a. The number of paired (source water and treated water) samples taken during the last quarter.</w:t>
            </w:r>
          </w:p>
          <w:p w14:paraId="4B41CD9B" w14:textId="77777777" w:rsidR="0067671E" w:rsidRDefault="0067671E" w:rsidP="00E07899">
            <w:pPr>
              <w:rPr>
                <w:sz w:val="20"/>
                <w:szCs w:val="20"/>
              </w:rPr>
            </w:pPr>
            <w:r>
              <w:rPr>
                <w:rFonts w:eastAsia="Times New Roman"/>
                <w:sz w:val="24"/>
                <w:szCs w:val="24"/>
              </w:rPr>
              <w:t>b. The location, date, and result of each paired sample and associated alkalinity taken during the last quarter.</w:t>
            </w:r>
          </w:p>
          <w:p w14:paraId="6F8203FA" w14:textId="77777777" w:rsidR="0067671E" w:rsidRDefault="0067671E" w:rsidP="00E07899">
            <w:pPr>
              <w:rPr>
                <w:sz w:val="20"/>
                <w:szCs w:val="20"/>
              </w:rPr>
            </w:pPr>
            <w:r>
              <w:rPr>
                <w:rFonts w:eastAsia="Times New Roman"/>
                <w:sz w:val="24"/>
                <w:szCs w:val="24"/>
              </w:rPr>
              <w:t>c. For each month in the reporting period that paired samples were taken, the arithmetic average of the percent reduction of TOC for each paired sample and the required TOC percent removal.</w:t>
            </w:r>
          </w:p>
          <w:p w14:paraId="3BDA81A8" w14:textId="77777777" w:rsidR="0067671E" w:rsidRDefault="0067671E" w:rsidP="00E07899">
            <w:pPr>
              <w:rPr>
                <w:sz w:val="20"/>
                <w:szCs w:val="20"/>
              </w:rPr>
            </w:pPr>
            <w:r>
              <w:rPr>
                <w:rFonts w:eastAsia="Times New Roman"/>
                <w:sz w:val="24"/>
                <w:szCs w:val="24"/>
              </w:rPr>
              <w:t>d. Calculations for determining compliance with the TOC percent removal requirements, as provided in 310 CMR 22.07E(10)(c)1.</w:t>
            </w:r>
          </w:p>
          <w:p w14:paraId="24427D9B" w14:textId="2F24CC08" w:rsidR="00FD5C78" w:rsidRDefault="0067671E" w:rsidP="00E07899">
            <w:pPr>
              <w:rPr>
                <w:sz w:val="20"/>
                <w:szCs w:val="20"/>
              </w:rPr>
            </w:pPr>
            <w:r>
              <w:rPr>
                <w:rFonts w:eastAsia="Times New Roman"/>
                <w:sz w:val="24"/>
                <w:szCs w:val="24"/>
              </w:rPr>
              <w:t>e. Whether the system is in compliance with the Enhanced Coagulation or Enhanced Softening percent removal requirements in 310 CMR 22.07E(10)(b) for the last four quarters.</w:t>
            </w:r>
          </w:p>
        </w:tc>
      </w:tr>
    </w:tbl>
    <w:p w14:paraId="759295EE" w14:textId="6ADA2473" w:rsidR="00FD5C78" w:rsidRPr="00F94AD3" w:rsidRDefault="00AD07CC" w:rsidP="00E07899">
      <w:pPr>
        <w:numPr>
          <w:ilvl w:val="0"/>
          <w:numId w:val="916"/>
        </w:numPr>
        <w:tabs>
          <w:tab w:val="left" w:pos="140"/>
        </w:tabs>
        <w:rPr>
          <w:rFonts w:eastAsia="Times New Roman"/>
          <w:sz w:val="24"/>
          <w:szCs w:val="24"/>
        </w:rPr>
      </w:pPr>
      <w:r w:rsidRPr="00F94AD3">
        <w:rPr>
          <w:rFonts w:eastAsia="Times New Roman"/>
          <w:sz w:val="24"/>
          <w:szCs w:val="24"/>
        </w:rPr>
        <w:t>The Department may choose to perform calculations and determine whether the Treatment Technique was met.</w:t>
      </w:r>
    </w:p>
    <w:p w14:paraId="2819F606" w14:textId="102DEA36" w:rsidR="004647B9" w:rsidRDefault="004647B9" w:rsidP="00E07899">
      <w:pPr>
        <w:rPr>
          <w:sz w:val="20"/>
          <w:szCs w:val="20"/>
        </w:rPr>
      </w:pPr>
    </w:p>
    <w:p w14:paraId="2819F622" w14:textId="6D398D19" w:rsidR="004647B9" w:rsidRDefault="004647B9" w:rsidP="00E07899">
      <w:pPr>
        <w:sectPr w:rsidR="004647B9" w:rsidSect="00EF630C">
          <w:type w:val="continuous"/>
          <w:pgSz w:w="12240" w:h="20180"/>
          <w:pgMar w:top="708" w:right="1440" w:bottom="1440" w:left="600" w:header="0" w:footer="0" w:gutter="0"/>
          <w:cols w:space="720"/>
        </w:sectPr>
      </w:pPr>
    </w:p>
    <w:p w14:paraId="2819F623" w14:textId="77777777" w:rsidR="004647B9" w:rsidRDefault="00E2436F">
      <w:pPr>
        <w:tabs>
          <w:tab w:val="left" w:pos="160"/>
        </w:tabs>
        <w:jc w:val="center"/>
        <w:rPr>
          <w:sz w:val="20"/>
          <w:szCs w:val="20"/>
        </w:rPr>
      </w:pPr>
      <w:bookmarkStart w:id="127" w:name="page129"/>
      <w:bookmarkEnd w:id="12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624" w14:textId="77777777" w:rsidR="004647B9" w:rsidRDefault="004647B9" w:rsidP="00E07899">
      <w:pPr>
        <w:rPr>
          <w:sz w:val="20"/>
          <w:szCs w:val="20"/>
        </w:rPr>
      </w:pPr>
    </w:p>
    <w:p w14:paraId="2819F625" w14:textId="77777777" w:rsidR="004647B9" w:rsidRDefault="004647B9" w:rsidP="00E07899">
      <w:pPr>
        <w:rPr>
          <w:sz w:val="20"/>
          <w:szCs w:val="20"/>
        </w:rPr>
      </w:pPr>
    </w:p>
    <w:p w14:paraId="2819F626" w14:textId="77777777" w:rsidR="004647B9" w:rsidRPr="00E07899" w:rsidRDefault="00E2436F" w:rsidP="00E07899">
      <w:pPr>
        <w:tabs>
          <w:tab w:val="left" w:pos="1000"/>
        </w:tabs>
        <w:ind w:left="100"/>
        <w:rPr>
          <w:sz w:val="24"/>
          <w:szCs w:val="24"/>
        </w:rPr>
      </w:pPr>
      <w:r w:rsidRPr="00E07899">
        <w:rPr>
          <w:rFonts w:eastAsia="Times New Roman"/>
          <w:sz w:val="24"/>
          <w:szCs w:val="24"/>
        </w:rPr>
        <w:t>22.07E:</w:t>
      </w:r>
      <w:r w:rsidRPr="00E07899">
        <w:rPr>
          <w:rFonts w:eastAsia="Times New Roman"/>
          <w:sz w:val="24"/>
          <w:szCs w:val="24"/>
        </w:rPr>
        <w:tab/>
        <w:t>continued</w:t>
      </w:r>
    </w:p>
    <w:p w14:paraId="2819F627" w14:textId="77777777" w:rsidR="004647B9" w:rsidRPr="00E07899" w:rsidRDefault="004647B9" w:rsidP="00E07899">
      <w:pPr>
        <w:rPr>
          <w:sz w:val="24"/>
          <w:szCs w:val="24"/>
        </w:rPr>
        <w:sectPr w:rsidR="004647B9" w:rsidRPr="00E07899" w:rsidSect="00EF630C">
          <w:pgSz w:w="12240" w:h="20180"/>
          <w:pgMar w:top="708" w:right="1440" w:bottom="1440" w:left="600" w:header="0" w:footer="0" w:gutter="0"/>
          <w:cols w:space="720"/>
        </w:sectPr>
      </w:pPr>
    </w:p>
    <w:p w14:paraId="2819F628" w14:textId="1C408D3C" w:rsidR="004647B9" w:rsidRDefault="004647B9" w:rsidP="00E07899">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3600"/>
        <w:gridCol w:w="6590"/>
      </w:tblGrid>
      <w:tr w:rsidR="005D07E7" w14:paraId="0E573785" w14:textId="77777777" w:rsidTr="001F260F">
        <w:tc>
          <w:tcPr>
            <w:tcW w:w="3600" w:type="dxa"/>
            <w:tcBorders>
              <w:top w:val="single" w:sz="8" w:space="0" w:color="auto"/>
              <w:bottom w:val="single" w:sz="8" w:space="0" w:color="auto"/>
            </w:tcBorders>
            <w:vAlign w:val="center"/>
          </w:tcPr>
          <w:p w14:paraId="4055B380" w14:textId="74464118" w:rsidR="005D07E7" w:rsidRDefault="005D07E7" w:rsidP="00CD3743">
            <w:pPr>
              <w:jc w:val="center"/>
              <w:rPr>
                <w:sz w:val="20"/>
                <w:szCs w:val="20"/>
              </w:rPr>
            </w:pPr>
            <w:r>
              <w:rPr>
                <w:rFonts w:eastAsia="Times New Roman"/>
                <w:sz w:val="24"/>
                <w:szCs w:val="24"/>
              </w:rPr>
              <w:t>If you are a . . .</w:t>
            </w:r>
          </w:p>
        </w:tc>
        <w:tc>
          <w:tcPr>
            <w:tcW w:w="6590" w:type="dxa"/>
            <w:tcBorders>
              <w:top w:val="single" w:sz="8" w:space="0" w:color="auto"/>
              <w:bottom w:val="single" w:sz="8" w:space="0" w:color="auto"/>
            </w:tcBorders>
            <w:vAlign w:val="center"/>
          </w:tcPr>
          <w:p w14:paraId="32D41C87" w14:textId="4474926D" w:rsidR="005D07E7" w:rsidRDefault="00CD3743" w:rsidP="00CD3743">
            <w:pPr>
              <w:jc w:val="center"/>
              <w:rPr>
                <w:sz w:val="20"/>
                <w:szCs w:val="20"/>
              </w:rPr>
            </w:pPr>
            <w:r>
              <w:rPr>
                <w:rFonts w:eastAsia="Times New Roman"/>
                <w:sz w:val="24"/>
                <w:szCs w:val="24"/>
              </w:rPr>
              <w:t>You shall report . . .</w:t>
            </w:r>
            <w:r>
              <w:rPr>
                <w:rFonts w:eastAsia="Times New Roman"/>
                <w:sz w:val="27"/>
                <w:szCs w:val="27"/>
                <w:vertAlign w:val="superscript"/>
              </w:rPr>
              <w:t>1</w:t>
            </w:r>
          </w:p>
        </w:tc>
      </w:tr>
      <w:tr w:rsidR="005D07E7" w14:paraId="3E94E6AB" w14:textId="77777777" w:rsidTr="001F260F">
        <w:tc>
          <w:tcPr>
            <w:tcW w:w="3600" w:type="dxa"/>
            <w:tcBorders>
              <w:top w:val="single" w:sz="8" w:space="0" w:color="auto"/>
              <w:bottom w:val="single" w:sz="8" w:space="0" w:color="auto"/>
            </w:tcBorders>
          </w:tcPr>
          <w:p w14:paraId="42F99FF0" w14:textId="0A38500F" w:rsidR="005D07E7" w:rsidRPr="00CD3743" w:rsidRDefault="00CD3743" w:rsidP="00563A54">
            <w:pPr>
              <w:numPr>
                <w:ilvl w:val="0"/>
                <w:numId w:val="322"/>
              </w:numPr>
              <w:tabs>
                <w:tab w:val="left" w:pos="340"/>
              </w:tabs>
              <w:spacing w:line="232" w:lineRule="auto"/>
              <w:rPr>
                <w:rFonts w:eastAsia="Times New Roman"/>
                <w:sz w:val="24"/>
                <w:szCs w:val="24"/>
              </w:rPr>
            </w:pPr>
            <w:r w:rsidRPr="00CD3743">
              <w:rPr>
                <w:rFonts w:eastAsia="Times New Roman"/>
                <w:sz w:val="24"/>
                <w:szCs w:val="24"/>
              </w:rPr>
              <w:t>System monitoring monthly or quarterly for TOC under the requirements of Sec. 310 CMR 22.07E(7)(d) and meeting one or more of the alternative compliance criteria in 310 CMR</w:t>
            </w:r>
            <w:r>
              <w:rPr>
                <w:rFonts w:eastAsia="Times New Roman"/>
                <w:sz w:val="24"/>
                <w:szCs w:val="24"/>
              </w:rPr>
              <w:t xml:space="preserve"> 22.07E(10)(a)2. or (a)3.</w:t>
            </w:r>
          </w:p>
        </w:tc>
        <w:tc>
          <w:tcPr>
            <w:tcW w:w="6590" w:type="dxa"/>
            <w:tcBorders>
              <w:top w:val="single" w:sz="8" w:space="0" w:color="auto"/>
              <w:bottom w:val="single" w:sz="8" w:space="0" w:color="auto"/>
            </w:tcBorders>
          </w:tcPr>
          <w:p w14:paraId="21161507" w14:textId="77777777" w:rsidR="00CD3743" w:rsidRDefault="00CD3743" w:rsidP="00E07899">
            <w:pPr>
              <w:rPr>
                <w:rFonts w:eastAsia="Times New Roman"/>
                <w:sz w:val="24"/>
                <w:szCs w:val="24"/>
              </w:rPr>
            </w:pPr>
            <w:r>
              <w:rPr>
                <w:rFonts w:eastAsia="Times New Roman"/>
                <w:sz w:val="24"/>
                <w:szCs w:val="24"/>
              </w:rPr>
              <w:t>a. The alternative compliance criterion that the system is using.</w:t>
            </w:r>
          </w:p>
          <w:p w14:paraId="73557C40" w14:textId="77777777" w:rsidR="00CD3743" w:rsidRDefault="00CD3743" w:rsidP="00E07899">
            <w:pPr>
              <w:rPr>
                <w:rFonts w:eastAsia="Times New Roman"/>
                <w:sz w:val="24"/>
                <w:szCs w:val="24"/>
              </w:rPr>
            </w:pPr>
            <w:r>
              <w:rPr>
                <w:rFonts w:eastAsia="Times New Roman"/>
                <w:sz w:val="24"/>
                <w:szCs w:val="24"/>
              </w:rPr>
              <w:t>b. The number of paired samples taken during the last quarter.</w:t>
            </w:r>
          </w:p>
          <w:p w14:paraId="09B87FD6" w14:textId="6C722DD7" w:rsidR="00CD3743" w:rsidRDefault="00CD3743" w:rsidP="00E07899">
            <w:pPr>
              <w:rPr>
                <w:sz w:val="20"/>
                <w:szCs w:val="20"/>
              </w:rPr>
            </w:pPr>
            <w:r>
              <w:rPr>
                <w:rFonts w:eastAsia="Times New Roman"/>
                <w:sz w:val="24"/>
                <w:szCs w:val="24"/>
              </w:rPr>
              <w:t>c. The location, date, and result of each paired sample and associated alkalinity taken during the last quarter.</w:t>
            </w:r>
          </w:p>
          <w:p w14:paraId="3A51E5B4" w14:textId="77777777" w:rsidR="00CD3743" w:rsidRDefault="00CD3743" w:rsidP="00E07899">
            <w:pPr>
              <w:rPr>
                <w:sz w:val="20"/>
                <w:szCs w:val="20"/>
              </w:rPr>
            </w:pPr>
            <w:r>
              <w:rPr>
                <w:rFonts w:eastAsia="Times New Roman"/>
                <w:sz w:val="24"/>
                <w:szCs w:val="24"/>
              </w:rPr>
              <w:t>d. The running annual arithmetic average based on monthly averages (or quarterly samples) of source water TOC for systems meeting a criterion in 310 CMR 22.07E(10)(a)2.a. or (a)2.c. or of treated water TOC for systems meeting the criterion in 310 CMR 22.07E(10)(a)2.b.</w:t>
            </w:r>
          </w:p>
          <w:p w14:paraId="7C0C6AD0" w14:textId="77777777" w:rsidR="00CD3743" w:rsidRDefault="00CD3743" w:rsidP="00E07899">
            <w:pPr>
              <w:rPr>
                <w:sz w:val="20"/>
                <w:szCs w:val="20"/>
              </w:rPr>
            </w:pPr>
            <w:r>
              <w:rPr>
                <w:rFonts w:eastAsia="Times New Roman"/>
                <w:sz w:val="24"/>
                <w:szCs w:val="24"/>
              </w:rPr>
              <w:t>e. The running annual arithmetic average based on monthly averages (or quarterly samples) of source water SUVA for systems meeting the criterion in 310 CMR 22.07E(10)(a)2.e. or of treated water SUVA for systems meeting the criterion in 310 CMR 22.07E(10)(a)2.f.</w:t>
            </w:r>
          </w:p>
          <w:p w14:paraId="2B013356" w14:textId="77777777" w:rsidR="00CD3743" w:rsidRDefault="00CD3743" w:rsidP="00E07899">
            <w:pPr>
              <w:rPr>
                <w:sz w:val="20"/>
                <w:szCs w:val="20"/>
              </w:rPr>
            </w:pPr>
            <w:r>
              <w:rPr>
                <w:rFonts w:eastAsia="Times New Roman"/>
                <w:sz w:val="24"/>
                <w:szCs w:val="24"/>
              </w:rPr>
              <w:t>f. The Running Annual Average of source water alkalinity for systems meeting the criterion in 310 CMR 22.07E(10)(a)2.c. and of treated water alkalinity for systems meeting the criterion in 310 CMR 22.07E(10)(a)3.a.</w:t>
            </w:r>
          </w:p>
          <w:p w14:paraId="7671E96E" w14:textId="77777777" w:rsidR="00CD3743" w:rsidRDefault="00CD3743" w:rsidP="00E07899">
            <w:pPr>
              <w:jc w:val="both"/>
              <w:rPr>
                <w:sz w:val="20"/>
                <w:szCs w:val="20"/>
              </w:rPr>
            </w:pPr>
            <w:r>
              <w:rPr>
                <w:rFonts w:eastAsia="Times New Roman"/>
                <w:sz w:val="24"/>
                <w:szCs w:val="24"/>
              </w:rPr>
              <w:t>g. The Running Annual Average for both TTHM and HAA5 for systems meeting the criterion in 310 CMR 22.07E(10)(a)2.c. or (a)2.d.</w:t>
            </w:r>
          </w:p>
          <w:p w14:paraId="0B1521D7" w14:textId="77777777" w:rsidR="00CD3743" w:rsidRDefault="00CD3743" w:rsidP="00E07899">
            <w:pPr>
              <w:jc w:val="both"/>
              <w:rPr>
                <w:sz w:val="20"/>
                <w:szCs w:val="20"/>
              </w:rPr>
            </w:pPr>
            <w:r>
              <w:rPr>
                <w:rFonts w:eastAsia="Times New Roman"/>
                <w:sz w:val="24"/>
                <w:szCs w:val="24"/>
              </w:rPr>
              <w:t>h. The Running Annual Average of the amount of magnesium hardness removal (as CaCO</w:t>
            </w:r>
            <w:r>
              <w:rPr>
                <w:rFonts w:eastAsia="Times New Roman"/>
                <w:sz w:val="27"/>
                <w:szCs w:val="27"/>
                <w:vertAlign w:val="subscript"/>
              </w:rPr>
              <w:t>3</w:t>
            </w:r>
            <w:r>
              <w:rPr>
                <w:rFonts w:eastAsia="Times New Roman"/>
                <w:sz w:val="24"/>
                <w:szCs w:val="24"/>
              </w:rPr>
              <w:t>, in mg/l) for systems meeting the criterion in 310 CMR 22.07E(10)(a)3.b.</w:t>
            </w:r>
          </w:p>
          <w:p w14:paraId="7D79A3FC" w14:textId="12D3DA50" w:rsidR="005D07E7" w:rsidRDefault="00CD3743" w:rsidP="00E07899">
            <w:pPr>
              <w:rPr>
                <w:sz w:val="20"/>
                <w:szCs w:val="20"/>
              </w:rPr>
            </w:pPr>
            <w:r>
              <w:rPr>
                <w:rFonts w:eastAsia="Times New Roman"/>
                <w:sz w:val="24"/>
                <w:szCs w:val="24"/>
              </w:rPr>
              <w:t>i. Whether the system is in compliance with the particular alternative compliance criterion in 310 CMR 22.07E(10)(a)2. or (a)3.</w:t>
            </w:r>
          </w:p>
        </w:tc>
      </w:tr>
    </w:tbl>
    <w:p w14:paraId="2819F642" w14:textId="77777777" w:rsidR="004647B9" w:rsidRDefault="004647B9" w:rsidP="00E07899">
      <w:pPr>
        <w:rPr>
          <w:sz w:val="20"/>
          <w:szCs w:val="20"/>
        </w:rPr>
      </w:pPr>
    </w:p>
    <w:p w14:paraId="2819F643" w14:textId="77777777" w:rsidR="004647B9" w:rsidRDefault="004647B9">
      <w:pPr>
        <w:sectPr w:rsidR="004647B9" w:rsidSect="00EF630C">
          <w:type w:val="continuous"/>
          <w:pgSz w:w="12240" w:h="20180"/>
          <w:pgMar w:top="708" w:right="1440" w:bottom="1440" w:left="600" w:header="0" w:footer="0" w:gutter="0"/>
          <w:cols w:space="720"/>
        </w:sectPr>
      </w:pPr>
    </w:p>
    <w:p w14:paraId="2819F644" w14:textId="77777777" w:rsidR="004647B9" w:rsidRDefault="00E2436F" w:rsidP="00E07899">
      <w:pPr>
        <w:numPr>
          <w:ilvl w:val="0"/>
          <w:numId w:val="323"/>
        </w:numPr>
        <w:tabs>
          <w:tab w:val="left" w:pos="480"/>
        </w:tabs>
        <w:ind w:left="480" w:hanging="480"/>
        <w:rPr>
          <w:rFonts w:eastAsia="Times New Roman"/>
          <w:sz w:val="28"/>
          <w:szCs w:val="28"/>
          <w:vertAlign w:val="superscript"/>
        </w:rPr>
      </w:pPr>
      <w:r>
        <w:rPr>
          <w:rFonts w:eastAsia="Times New Roman"/>
          <w:sz w:val="24"/>
          <w:szCs w:val="24"/>
        </w:rPr>
        <w:t>The Department may choose to perform calculations and determine whether the Treatment Technique was met.</w:t>
      </w:r>
    </w:p>
    <w:p w14:paraId="4D7C8AA3" w14:textId="77777777" w:rsidR="001F260F" w:rsidRPr="001F260F" w:rsidRDefault="001F260F" w:rsidP="00E07899">
      <w:pPr>
        <w:tabs>
          <w:tab w:val="left" w:pos="1780"/>
        </w:tabs>
        <w:rPr>
          <w:rFonts w:eastAsia="Times New Roman"/>
          <w:sz w:val="24"/>
          <w:szCs w:val="24"/>
        </w:rPr>
      </w:pPr>
    </w:p>
    <w:p w14:paraId="2819F646" w14:textId="5292315C" w:rsidR="004647B9" w:rsidRDefault="00E2436F" w:rsidP="00E07899">
      <w:pPr>
        <w:numPr>
          <w:ilvl w:val="1"/>
          <w:numId w:val="323"/>
        </w:numPr>
        <w:tabs>
          <w:tab w:val="left" w:pos="1780"/>
        </w:tabs>
        <w:ind w:left="1780" w:hanging="580"/>
        <w:rPr>
          <w:rFonts w:eastAsia="Times New Roman"/>
          <w:sz w:val="24"/>
          <w:szCs w:val="24"/>
        </w:rPr>
      </w:pPr>
      <w:r>
        <w:rPr>
          <w:rFonts w:eastAsia="Times New Roman"/>
          <w:sz w:val="24"/>
          <w:szCs w:val="24"/>
          <w:u w:val="single"/>
        </w:rPr>
        <w:t>Treatment Technique for Control of Disinfection Byproduct (DBP) Precursors</w:t>
      </w:r>
      <w:r>
        <w:rPr>
          <w:rFonts w:eastAsia="Times New Roman"/>
          <w:sz w:val="24"/>
          <w:szCs w:val="24"/>
        </w:rPr>
        <w:t>.</w:t>
      </w:r>
    </w:p>
    <w:p w14:paraId="2819F648" w14:textId="517C9310" w:rsidR="004647B9" w:rsidRDefault="00267A71" w:rsidP="00E07899">
      <w:pPr>
        <w:numPr>
          <w:ilvl w:val="2"/>
          <w:numId w:val="323"/>
        </w:numPr>
        <w:tabs>
          <w:tab w:val="left" w:pos="2000"/>
        </w:tabs>
        <w:ind w:left="2000" w:hanging="445"/>
        <w:rPr>
          <w:rFonts w:eastAsia="Times New Roman"/>
          <w:sz w:val="24"/>
          <w:szCs w:val="24"/>
        </w:rPr>
      </w:pPr>
      <w:r>
        <w:rPr>
          <w:rFonts w:eastAsia="Times New Roman"/>
          <w:sz w:val="24"/>
          <w:szCs w:val="24"/>
          <w:u w:val="single"/>
        </w:rPr>
        <w:t>A</w:t>
      </w:r>
      <w:r w:rsidR="00E2436F">
        <w:rPr>
          <w:rFonts w:eastAsia="Times New Roman"/>
          <w:sz w:val="24"/>
          <w:szCs w:val="24"/>
          <w:u w:val="single"/>
        </w:rPr>
        <w:t>pplicability</w:t>
      </w:r>
      <w:r w:rsidR="00E2436F">
        <w:rPr>
          <w:rFonts w:eastAsia="Times New Roman"/>
          <w:sz w:val="24"/>
          <w:szCs w:val="24"/>
        </w:rPr>
        <w:t>.</w:t>
      </w:r>
    </w:p>
    <w:p w14:paraId="2819F649" w14:textId="67B837AE" w:rsidR="004647B9" w:rsidRDefault="00E2436F" w:rsidP="00E07899">
      <w:pPr>
        <w:numPr>
          <w:ilvl w:val="3"/>
          <w:numId w:val="323"/>
        </w:numPr>
        <w:tabs>
          <w:tab w:val="left" w:pos="2316"/>
        </w:tabs>
        <w:ind w:left="1920" w:hanging="5"/>
        <w:jc w:val="both"/>
        <w:rPr>
          <w:rFonts w:eastAsia="Times New Roman"/>
          <w:sz w:val="24"/>
          <w:szCs w:val="24"/>
        </w:rPr>
      </w:pPr>
      <w:r>
        <w:rPr>
          <w:rFonts w:eastAsia="Times New Roman"/>
          <w:sz w:val="24"/>
          <w:szCs w:val="24"/>
        </w:rPr>
        <w:t>Each Supplier of Water who uses a Surface Water Source or groundwater source under the direct influence of surface water using conventional Filtration treatment (as defined in 310 CMR 22.02) shall operate with Enhanced Coagulation or Enhanced Softening to achieve the TOC percent removal levels specified in 310 CMR</w:t>
      </w:r>
      <w:r w:rsidR="00E07899">
        <w:rPr>
          <w:rFonts w:eastAsia="Times New Roman"/>
          <w:sz w:val="24"/>
          <w:szCs w:val="24"/>
        </w:rPr>
        <w:t xml:space="preserve"> 22</w:t>
      </w:r>
      <w:r w:rsidR="00124FCA">
        <w:rPr>
          <w:rFonts w:eastAsia="Times New Roman"/>
          <w:sz w:val="24"/>
          <w:szCs w:val="24"/>
        </w:rPr>
        <w:t>.07E(10)(b) unless the supplier meets at least one of the alternative compliance criteria listed in 310 CMR 22.07E(10)(a)2. or 3.</w:t>
      </w:r>
    </w:p>
    <w:p w14:paraId="2819F64D" w14:textId="77777777" w:rsidR="004647B9" w:rsidRDefault="00E2436F" w:rsidP="00E07899">
      <w:pPr>
        <w:numPr>
          <w:ilvl w:val="3"/>
          <w:numId w:val="325"/>
        </w:numPr>
        <w:tabs>
          <w:tab w:val="left" w:pos="2244"/>
        </w:tabs>
        <w:ind w:left="1920" w:hanging="5"/>
        <w:jc w:val="both"/>
        <w:rPr>
          <w:rFonts w:eastAsia="Times New Roman"/>
          <w:sz w:val="24"/>
          <w:szCs w:val="24"/>
        </w:rPr>
      </w:pPr>
      <w:r>
        <w:rPr>
          <w:rFonts w:eastAsia="Times New Roman"/>
          <w:sz w:val="24"/>
          <w:szCs w:val="24"/>
          <w:u w:val="single"/>
        </w:rPr>
        <w:t>Alternative Compliance Criteria for Enhanced Coagulation and Enhanced Softening Systems</w:t>
      </w:r>
      <w:r>
        <w:rPr>
          <w:rFonts w:eastAsia="Times New Roman"/>
          <w:sz w:val="24"/>
          <w:szCs w:val="24"/>
        </w:rPr>
        <w:t xml:space="preserve">. Each Supplier of Water who uses a Surface Water Source or groundwater source under the direct influence of surface water using conventional Filtration treatment may use the alternative compliance criteria in 310 CMR 22.07E(10)(a)2.a. through f. to comply with 310 CMR 22.07E(10) in </w:t>
      </w:r>
      <w:r>
        <w:rPr>
          <w:rFonts w:eastAsia="Times New Roman"/>
          <w:i/>
          <w:iCs/>
          <w:sz w:val="24"/>
          <w:szCs w:val="24"/>
        </w:rPr>
        <w:t>lieu</w:t>
      </w:r>
      <w:r>
        <w:rPr>
          <w:rFonts w:eastAsia="Times New Roman"/>
          <w:sz w:val="24"/>
          <w:szCs w:val="24"/>
        </w:rPr>
        <w:t xml:space="preserve"> of complying with 310 CMR 22.07E(10)(b). Each Supplier of Water shall still comply with monitoring requirements in 310 CMR 22.07E(7)(d).</w:t>
      </w:r>
    </w:p>
    <w:p w14:paraId="2819F64F" w14:textId="77777777" w:rsidR="004647B9" w:rsidRDefault="00E2436F" w:rsidP="00E07899">
      <w:pPr>
        <w:numPr>
          <w:ilvl w:val="4"/>
          <w:numId w:val="325"/>
        </w:numPr>
        <w:tabs>
          <w:tab w:val="left" w:pos="2764"/>
        </w:tabs>
        <w:ind w:left="2280" w:hanging="5"/>
        <w:jc w:val="both"/>
        <w:rPr>
          <w:rFonts w:eastAsia="Times New Roman"/>
          <w:sz w:val="24"/>
          <w:szCs w:val="24"/>
        </w:rPr>
      </w:pPr>
      <w:r>
        <w:rPr>
          <w:rFonts w:eastAsia="Times New Roman"/>
          <w:sz w:val="24"/>
          <w:szCs w:val="24"/>
        </w:rPr>
        <w:t>The supplier's source water TOC level, measured according to 310 CMR 22.07E(6)(e)3., is less than 2.0 mg/l, calculated quarterly as a Running Annual Average.</w:t>
      </w:r>
    </w:p>
    <w:p w14:paraId="2819F651" w14:textId="77777777" w:rsidR="004647B9" w:rsidRDefault="00E2436F" w:rsidP="00E07899">
      <w:pPr>
        <w:numPr>
          <w:ilvl w:val="4"/>
          <w:numId w:val="325"/>
        </w:numPr>
        <w:tabs>
          <w:tab w:val="left" w:pos="2762"/>
        </w:tabs>
        <w:ind w:left="2280" w:hanging="5"/>
        <w:jc w:val="both"/>
        <w:rPr>
          <w:rFonts w:eastAsia="Times New Roman"/>
          <w:sz w:val="24"/>
          <w:szCs w:val="24"/>
        </w:rPr>
      </w:pPr>
      <w:r>
        <w:rPr>
          <w:rFonts w:eastAsia="Times New Roman"/>
          <w:sz w:val="24"/>
          <w:szCs w:val="24"/>
        </w:rPr>
        <w:t>The supplier's treated water TOC level, measured according to 310 CMR 22.07E(6)(e)3., is less than 2.0 mg/l, calculated quarterly as a Running Annual Average.</w:t>
      </w:r>
    </w:p>
    <w:p w14:paraId="2819F652" w14:textId="77777777" w:rsidR="004647B9" w:rsidRDefault="004647B9">
      <w:pPr>
        <w:sectPr w:rsidR="004647B9" w:rsidSect="00EF630C">
          <w:type w:val="continuous"/>
          <w:pgSz w:w="12240" w:h="20180"/>
          <w:pgMar w:top="708" w:right="1440" w:bottom="1440" w:left="600" w:header="0" w:footer="0" w:gutter="0"/>
          <w:cols w:space="720"/>
        </w:sectPr>
      </w:pPr>
    </w:p>
    <w:p w14:paraId="2819F653" w14:textId="77777777" w:rsidR="004647B9" w:rsidRDefault="00E2436F">
      <w:pPr>
        <w:tabs>
          <w:tab w:val="left" w:pos="160"/>
        </w:tabs>
        <w:jc w:val="center"/>
        <w:rPr>
          <w:sz w:val="20"/>
          <w:szCs w:val="20"/>
        </w:rPr>
      </w:pPr>
      <w:bookmarkStart w:id="128" w:name="page130"/>
      <w:bookmarkEnd w:id="12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654" w14:textId="77777777" w:rsidR="004647B9" w:rsidRDefault="004647B9" w:rsidP="00334EED">
      <w:pPr>
        <w:rPr>
          <w:sz w:val="20"/>
          <w:szCs w:val="20"/>
        </w:rPr>
      </w:pPr>
    </w:p>
    <w:p w14:paraId="2819F655" w14:textId="77777777" w:rsidR="004647B9" w:rsidRDefault="004647B9" w:rsidP="00334EED">
      <w:pPr>
        <w:rPr>
          <w:sz w:val="20"/>
          <w:szCs w:val="20"/>
        </w:rPr>
      </w:pPr>
    </w:p>
    <w:p w14:paraId="2819F656" w14:textId="77777777" w:rsidR="004647B9" w:rsidRDefault="00E2436F" w:rsidP="00334EED">
      <w:pPr>
        <w:tabs>
          <w:tab w:val="left" w:pos="920"/>
        </w:tabs>
        <w:rPr>
          <w:sz w:val="20"/>
          <w:szCs w:val="20"/>
        </w:rPr>
      </w:pPr>
      <w:r>
        <w:rPr>
          <w:rFonts w:eastAsia="Times New Roman"/>
          <w:sz w:val="24"/>
          <w:szCs w:val="24"/>
        </w:rPr>
        <w:t>22.07E:</w:t>
      </w:r>
      <w:r>
        <w:rPr>
          <w:sz w:val="20"/>
          <w:szCs w:val="20"/>
        </w:rPr>
        <w:tab/>
      </w:r>
      <w:r>
        <w:rPr>
          <w:rFonts w:eastAsia="Times New Roman"/>
          <w:sz w:val="23"/>
          <w:szCs w:val="23"/>
        </w:rPr>
        <w:t>continued</w:t>
      </w:r>
    </w:p>
    <w:p w14:paraId="2819F657" w14:textId="77777777" w:rsidR="004647B9" w:rsidRDefault="004647B9" w:rsidP="00334EED">
      <w:pPr>
        <w:rPr>
          <w:sz w:val="20"/>
          <w:szCs w:val="20"/>
        </w:rPr>
      </w:pPr>
    </w:p>
    <w:p w14:paraId="2819F658" w14:textId="77777777" w:rsidR="004647B9" w:rsidRPr="00F94AD3" w:rsidRDefault="00E2436F" w:rsidP="00334EED">
      <w:pPr>
        <w:numPr>
          <w:ilvl w:val="2"/>
          <w:numId w:val="326"/>
        </w:numPr>
        <w:tabs>
          <w:tab w:val="left" w:pos="2764"/>
        </w:tabs>
        <w:ind w:left="2280" w:hanging="5"/>
        <w:jc w:val="both"/>
        <w:rPr>
          <w:rFonts w:eastAsia="Times New Roman"/>
          <w:sz w:val="24"/>
          <w:szCs w:val="24"/>
        </w:rPr>
      </w:pPr>
      <w:r w:rsidRPr="00F94AD3">
        <w:rPr>
          <w:rFonts w:eastAsia="Times New Roman"/>
          <w:sz w:val="24"/>
          <w:szCs w:val="24"/>
        </w:rPr>
        <w:t>The supplier's source water TOC level, measured according to 310 CMR 22.07E(6)(e)3., is less than 4.0 mg/l, calculated quarterly as a Running Annual Average; the source water alkalinity, measured according to 310 CMR 22.07E(6)(e)1., is greater than 60 mg/l (as CaCO</w:t>
      </w:r>
      <w:r w:rsidRPr="00F94AD3">
        <w:rPr>
          <w:rFonts w:eastAsia="Times New Roman"/>
          <w:sz w:val="24"/>
          <w:szCs w:val="24"/>
          <w:vertAlign w:val="subscript"/>
        </w:rPr>
        <w:t>3</w:t>
      </w:r>
      <w:r w:rsidRPr="00F94AD3">
        <w:rPr>
          <w:rFonts w:eastAsia="Times New Roman"/>
          <w:sz w:val="24"/>
          <w:szCs w:val="24"/>
        </w:rPr>
        <w:t>), calculated quarterly as a Running Annual Average; and either the TTHM and HAA5 Running Annual Averages are no greater than 0.040 mg/l and 0.030 mg/l, respectively; or prior to the effective date for compliance in 310 CMR 22.07E(3), the supplier has made a clear and irrevocable financial commitment not later than the effective date for compliance in 310 CMR 22.07E(3), to use technologies that will limit the levels of TTHM and HAA5 to no more than 0.040 mg/l and 0.030 mg/l, respectively. The Supplier of Water shall submit evidence of a clear and irrevocable financial commitment, in addition to a schedule containing milestones and periodic progress reports for installation and operation of appropriate technologies, to the Department for approval not later than the effective date for compliance in 310 CMR 22.07E(3). These technologies shall be installed and operating not later than June 30, 2005. Failure to install and operate these technologies by the date in the approved schedule will constitute a violation of 310 CMR 22.00.</w:t>
      </w:r>
    </w:p>
    <w:p w14:paraId="2819F65A" w14:textId="77777777" w:rsidR="004647B9" w:rsidRPr="00F94AD3" w:rsidRDefault="00E2436F" w:rsidP="00334EED">
      <w:pPr>
        <w:numPr>
          <w:ilvl w:val="2"/>
          <w:numId w:val="326"/>
        </w:numPr>
        <w:tabs>
          <w:tab w:val="left" w:pos="2597"/>
        </w:tabs>
        <w:ind w:left="2280" w:hanging="5"/>
        <w:jc w:val="both"/>
        <w:rPr>
          <w:rFonts w:eastAsia="Times New Roman"/>
          <w:sz w:val="24"/>
          <w:szCs w:val="24"/>
        </w:rPr>
      </w:pPr>
      <w:r w:rsidRPr="00F94AD3">
        <w:rPr>
          <w:rFonts w:eastAsia="Times New Roman"/>
          <w:sz w:val="24"/>
          <w:szCs w:val="24"/>
        </w:rPr>
        <w:t>The TTHM and HAA5 Running Annual Averages are no greater than 0.040 mg/l and 0.030 mg/l, respectively, and the system uses only chlorine for primary Disinfection and maintenance of a residual in the Distribution System.</w:t>
      </w:r>
    </w:p>
    <w:p w14:paraId="2819F65B" w14:textId="77777777" w:rsidR="004647B9" w:rsidRPr="00F94AD3" w:rsidRDefault="00E2436F" w:rsidP="00334EED">
      <w:pPr>
        <w:numPr>
          <w:ilvl w:val="2"/>
          <w:numId w:val="326"/>
        </w:numPr>
        <w:tabs>
          <w:tab w:val="left" w:pos="2591"/>
        </w:tabs>
        <w:ind w:left="2280" w:hanging="5"/>
        <w:jc w:val="both"/>
        <w:rPr>
          <w:rFonts w:eastAsia="Times New Roman"/>
          <w:sz w:val="24"/>
          <w:szCs w:val="24"/>
        </w:rPr>
      </w:pPr>
      <w:r w:rsidRPr="00F94AD3">
        <w:rPr>
          <w:rFonts w:eastAsia="Times New Roman"/>
          <w:sz w:val="24"/>
          <w:szCs w:val="24"/>
        </w:rPr>
        <w:t>The supplier's source water SUVA, prior to any treatment and measured monthly according to 310 CMR 22.07E(6)(e)4., is less than or equal to 2.0 l/mg-m, calculated quarterly as a Running Annual Average.</w:t>
      </w:r>
    </w:p>
    <w:p w14:paraId="2819F65F" w14:textId="63A3C3D9" w:rsidR="004647B9" w:rsidRPr="00CE2673" w:rsidRDefault="00E2436F" w:rsidP="00334EED">
      <w:pPr>
        <w:numPr>
          <w:ilvl w:val="2"/>
          <w:numId w:val="326"/>
        </w:numPr>
        <w:tabs>
          <w:tab w:val="left" w:pos="2580"/>
        </w:tabs>
        <w:ind w:left="2280"/>
        <w:rPr>
          <w:rFonts w:eastAsia="Times New Roman"/>
          <w:sz w:val="24"/>
          <w:szCs w:val="24"/>
        </w:rPr>
      </w:pPr>
      <w:r w:rsidRPr="00F94AD3">
        <w:rPr>
          <w:rFonts w:eastAsia="Times New Roman"/>
          <w:sz w:val="24"/>
          <w:szCs w:val="24"/>
        </w:rPr>
        <w:t>The supplier's finished water SUVA, measured monthly according to 310 CMR</w:t>
      </w:r>
      <w:r w:rsidR="00CE2673">
        <w:rPr>
          <w:rFonts w:eastAsia="Times New Roman"/>
          <w:sz w:val="24"/>
          <w:szCs w:val="24"/>
        </w:rPr>
        <w:t xml:space="preserve"> </w:t>
      </w:r>
      <w:r w:rsidRPr="00CE2673">
        <w:rPr>
          <w:rFonts w:eastAsia="Times New Roman"/>
          <w:sz w:val="24"/>
          <w:szCs w:val="24"/>
        </w:rPr>
        <w:t>22.07E(6)(e)4., is less than or equal to 2.0 l/mg-m, calculated quarterly as a Running Annual Average.</w:t>
      </w:r>
    </w:p>
    <w:p w14:paraId="2819F661" w14:textId="2ACEDD68" w:rsidR="004647B9" w:rsidRPr="00F94AD3" w:rsidRDefault="00E2436F" w:rsidP="00334EED">
      <w:pPr>
        <w:numPr>
          <w:ilvl w:val="1"/>
          <w:numId w:val="327"/>
        </w:numPr>
        <w:tabs>
          <w:tab w:val="left" w:pos="2258"/>
        </w:tabs>
        <w:ind w:left="1920" w:hanging="5"/>
        <w:jc w:val="both"/>
        <w:rPr>
          <w:rFonts w:eastAsia="Times New Roman"/>
          <w:sz w:val="24"/>
          <w:szCs w:val="24"/>
        </w:rPr>
      </w:pPr>
      <w:r w:rsidRPr="00F94AD3">
        <w:rPr>
          <w:rFonts w:eastAsia="Times New Roman"/>
          <w:sz w:val="24"/>
          <w:szCs w:val="24"/>
          <w:u w:val="single"/>
        </w:rPr>
        <w:t>Additional Alternative Compliance Criteria for Enhanced Softening Systems</w:t>
      </w:r>
      <w:r w:rsidRPr="00F94AD3">
        <w:rPr>
          <w:rFonts w:eastAsia="Times New Roman"/>
          <w:sz w:val="24"/>
          <w:szCs w:val="24"/>
        </w:rPr>
        <w:t xml:space="preserve">. Each Supplier of Water who practices Enhanced Softening who cannot achieve the TOC removals required by 310 CMR 22.07E(10)(b)2. may use the alternative compliance criteria in 310 CMR 22.07E(10)(a)3.a. and b. in </w:t>
      </w:r>
      <w:r w:rsidRPr="00F94AD3">
        <w:rPr>
          <w:rFonts w:eastAsia="Times New Roman"/>
          <w:i/>
          <w:iCs/>
          <w:sz w:val="24"/>
          <w:szCs w:val="24"/>
        </w:rPr>
        <w:t>lieu</w:t>
      </w:r>
      <w:r w:rsidRPr="00F94AD3">
        <w:rPr>
          <w:rFonts w:eastAsia="Times New Roman"/>
          <w:sz w:val="24"/>
          <w:szCs w:val="24"/>
        </w:rPr>
        <w:t xml:space="preserve"> of complying with 310 CMR</w:t>
      </w:r>
      <w:r w:rsidR="00054ACC">
        <w:rPr>
          <w:rFonts w:eastAsia="Times New Roman"/>
          <w:sz w:val="24"/>
          <w:szCs w:val="24"/>
        </w:rPr>
        <w:t xml:space="preserve"> 22.07E(10)(b). </w:t>
      </w:r>
      <w:r w:rsidR="00054ACC" w:rsidRPr="00F94AD3">
        <w:rPr>
          <w:rFonts w:eastAsia="Times New Roman"/>
          <w:sz w:val="24"/>
          <w:szCs w:val="24"/>
        </w:rPr>
        <w:t>Each Supplier of Water shall still comply with monitoring requirements in 310 CMR 22.07E(7)(d).</w:t>
      </w:r>
    </w:p>
    <w:p w14:paraId="2819F665" w14:textId="77777777" w:rsidR="004647B9" w:rsidRPr="00F94AD3" w:rsidRDefault="00E2436F" w:rsidP="00334EED">
      <w:pPr>
        <w:numPr>
          <w:ilvl w:val="2"/>
          <w:numId w:val="328"/>
        </w:numPr>
        <w:tabs>
          <w:tab w:val="left" w:pos="2598"/>
        </w:tabs>
        <w:ind w:left="2280" w:hanging="5"/>
        <w:jc w:val="both"/>
        <w:rPr>
          <w:rFonts w:eastAsia="Times New Roman"/>
          <w:sz w:val="24"/>
          <w:szCs w:val="24"/>
        </w:rPr>
      </w:pPr>
      <w:r w:rsidRPr="00F94AD3">
        <w:rPr>
          <w:rFonts w:eastAsia="Times New Roman"/>
          <w:sz w:val="24"/>
          <w:szCs w:val="24"/>
        </w:rPr>
        <w:t>Softening that results in lowering the treated water alkalinity to less than 60 mg/l (as CaCO</w:t>
      </w:r>
      <w:r w:rsidRPr="00F94AD3">
        <w:rPr>
          <w:rFonts w:eastAsia="Times New Roman"/>
          <w:sz w:val="24"/>
          <w:szCs w:val="24"/>
          <w:vertAlign w:val="subscript"/>
        </w:rPr>
        <w:t>3</w:t>
      </w:r>
      <w:r w:rsidRPr="00F94AD3">
        <w:rPr>
          <w:rFonts w:eastAsia="Times New Roman"/>
          <w:sz w:val="24"/>
          <w:szCs w:val="24"/>
        </w:rPr>
        <w:t>), measured monthly according to 310 CMR 22.07E(6)(e)1. and calculated quarterly as a Running Annual Average.</w:t>
      </w:r>
    </w:p>
    <w:p w14:paraId="2819F666" w14:textId="77777777" w:rsidR="004647B9" w:rsidRDefault="00E2436F" w:rsidP="00334EED">
      <w:pPr>
        <w:numPr>
          <w:ilvl w:val="2"/>
          <w:numId w:val="328"/>
        </w:numPr>
        <w:tabs>
          <w:tab w:val="left" w:pos="2662"/>
        </w:tabs>
        <w:ind w:left="2280" w:hanging="5"/>
        <w:jc w:val="both"/>
        <w:rPr>
          <w:rFonts w:eastAsia="Times New Roman"/>
          <w:sz w:val="24"/>
          <w:szCs w:val="24"/>
        </w:rPr>
      </w:pPr>
      <w:r w:rsidRPr="00F94AD3">
        <w:rPr>
          <w:rFonts w:eastAsia="Times New Roman"/>
          <w:sz w:val="24"/>
          <w:szCs w:val="24"/>
        </w:rPr>
        <w:t>Softening that results in removing at least 10 mg/l of magnesium hardness (as CaCO</w:t>
      </w:r>
      <w:r w:rsidRPr="00F94AD3">
        <w:rPr>
          <w:rFonts w:eastAsia="Times New Roman"/>
          <w:sz w:val="24"/>
          <w:szCs w:val="24"/>
          <w:vertAlign w:val="subscript"/>
        </w:rPr>
        <w:t>3</w:t>
      </w:r>
      <w:r w:rsidRPr="00F94AD3">
        <w:rPr>
          <w:rFonts w:eastAsia="Times New Roman"/>
          <w:sz w:val="24"/>
          <w:szCs w:val="24"/>
        </w:rPr>
        <w:t>), measured monthly according to 310 CMR 22.07E(6)(e)6. and calculated</w:t>
      </w:r>
      <w:r>
        <w:rPr>
          <w:rFonts w:eastAsia="Times New Roman"/>
          <w:sz w:val="24"/>
          <w:szCs w:val="24"/>
        </w:rPr>
        <w:t xml:space="preserve"> quarterly as an annual running average.</w:t>
      </w:r>
    </w:p>
    <w:p w14:paraId="2819F668" w14:textId="77777777" w:rsidR="004647B9" w:rsidRDefault="00E2436F" w:rsidP="00334EED">
      <w:pPr>
        <w:numPr>
          <w:ilvl w:val="0"/>
          <w:numId w:val="329"/>
        </w:numPr>
        <w:tabs>
          <w:tab w:val="left" w:pos="2020"/>
        </w:tabs>
        <w:ind w:left="2020" w:hanging="465"/>
        <w:rPr>
          <w:rFonts w:eastAsia="Times New Roman"/>
          <w:sz w:val="24"/>
          <w:szCs w:val="24"/>
        </w:rPr>
      </w:pPr>
      <w:r>
        <w:rPr>
          <w:rFonts w:eastAsia="Times New Roman"/>
          <w:sz w:val="24"/>
          <w:szCs w:val="24"/>
          <w:u w:val="single"/>
        </w:rPr>
        <w:t>Enhanced Coagulation and Enhanced Softening Performance Requirements</w:t>
      </w:r>
      <w:r>
        <w:rPr>
          <w:rFonts w:eastAsia="Times New Roman"/>
          <w:sz w:val="24"/>
          <w:szCs w:val="24"/>
        </w:rPr>
        <w:t>.</w:t>
      </w:r>
    </w:p>
    <w:p w14:paraId="2819F669" w14:textId="77777777" w:rsidR="004647B9" w:rsidRDefault="00E2436F" w:rsidP="00334EED">
      <w:pPr>
        <w:numPr>
          <w:ilvl w:val="1"/>
          <w:numId w:val="329"/>
        </w:numPr>
        <w:tabs>
          <w:tab w:val="left" w:pos="2340"/>
        </w:tabs>
        <w:ind w:left="2340" w:hanging="425"/>
        <w:rPr>
          <w:rFonts w:eastAsia="Times New Roman"/>
          <w:sz w:val="24"/>
          <w:szCs w:val="24"/>
        </w:rPr>
      </w:pPr>
      <w:r>
        <w:rPr>
          <w:rFonts w:eastAsia="Times New Roman"/>
          <w:sz w:val="24"/>
          <w:szCs w:val="24"/>
        </w:rPr>
        <w:t>Each Supplier of Water shall achieve the percent reduction of TOC specified in</w:t>
      </w:r>
    </w:p>
    <w:p w14:paraId="2819F66A" w14:textId="77777777" w:rsidR="004647B9" w:rsidRDefault="00E2436F" w:rsidP="00334EED">
      <w:pPr>
        <w:numPr>
          <w:ilvl w:val="1"/>
          <w:numId w:val="330"/>
        </w:numPr>
        <w:tabs>
          <w:tab w:val="left" w:pos="2348"/>
        </w:tabs>
        <w:ind w:left="1920" w:hanging="5"/>
        <w:jc w:val="both"/>
        <w:rPr>
          <w:rFonts w:eastAsia="Times New Roman"/>
          <w:sz w:val="24"/>
          <w:szCs w:val="24"/>
        </w:rPr>
      </w:pPr>
      <w:r>
        <w:rPr>
          <w:rFonts w:eastAsia="Times New Roman"/>
          <w:sz w:val="24"/>
          <w:szCs w:val="24"/>
        </w:rPr>
        <w:t>CMR 22.07E(10)(b)2. between the source water and the combined filter effluent, unless the Department approves the supplier's request for alternate minimum TOC removal (Step 2) requirements under 310 CMR 22.07E(10)(b)3.</w:t>
      </w:r>
    </w:p>
    <w:p w14:paraId="2819F66C" w14:textId="22F2EEA7" w:rsidR="004647B9" w:rsidRDefault="00E2436F" w:rsidP="00334EED">
      <w:pPr>
        <w:numPr>
          <w:ilvl w:val="1"/>
          <w:numId w:val="331"/>
        </w:numPr>
        <w:tabs>
          <w:tab w:val="left" w:pos="2302"/>
        </w:tabs>
        <w:ind w:left="1920" w:hanging="5"/>
        <w:jc w:val="both"/>
        <w:rPr>
          <w:rFonts w:eastAsia="Times New Roman"/>
          <w:sz w:val="24"/>
          <w:szCs w:val="24"/>
        </w:rPr>
      </w:pPr>
      <w:r>
        <w:rPr>
          <w:rFonts w:eastAsia="Times New Roman"/>
          <w:sz w:val="24"/>
          <w:szCs w:val="24"/>
        </w:rPr>
        <w:t>Required Step 1 TOC reductions, indicated in the following table, are based upon specified source water parameters measured in accordance with 310 CMR 22.07E(6)(e). Each Supplier of Water who practices softening is required to meet the Step 1 TOC reductions in the far-right column (Source water alkalinity &gt;120 mg/l) for the specified source water TOC:</w:t>
      </w:r>
    </w:p>
    <w:p w14:paraId="2819F66D" w14:textId="77777777" w:rsidR="004647B9" w:rsidRPr="00054ACC" w:rsidRDefault="004647B9">
      <w:pPr>
        <w:spacing w:line="238" w:lineRule="exact"/>
        <w:rPr>
          <w:sz w:val="24"/>
          <w:szCs w:val="24"/>
        </w:rPr>
      </w:pPr>
    </w:p>
    <w:p w14:paraId="2819F66F" w14:textId="0D69DDB8" w:rsidR="004647B9" w:rsidRDefault="004647B9">
      <w:pPr>
        <w:spacing w:line="20" w:lineRule="exact"/>
        <w:rPr>
          <w:sz w:val="20"/>
          <w:szCs w:val="20"/>
        </w:rPr>
      </w:pPr>
    </w:p>
    <w:tbl>
      <w:tblPr>
        <w:tblW w:w="8810" w:type="dxa"/>
        <w:tblInd w:w="1430" w:type="dxa"/>
        <w:tblLayout w:type="fixed"/>
        <w:tblCellMar>
          <w:left w:w="0" w:type="dxa"/>
          <w:right w:w="0" w:type="dxa"/>
        </w:tblCellMar>
        <w:tblLook w:val="04A0" w:firstRow="1" w:lastRow="0" w:firstColumn="1" w:lastColumn="0" w:noHBand="0" w:noVBand="1"/>
      </w:tblPr>
      <w:tblGrid>
        <w:gridCol w:w="2700"/>
        <w:gridCol w:w="1660"/>
        <w:gridCol w:w="2200"/>
        <w:gridCol w:w="2220"/>
        <w:gridCol w:w="30"/>
      </w:tblGrid>
      <w:tr w:rsidR="00267A71" w14:paraId="178A96D0" w14:textId="77777777" w:rsidTr="009C4A30">
        <w:trPr>
          <w:trHeight w:val="277"/>
        </w:trPr>
        <w:tc>
          <w:tcPr>
            <w:tcW w:w="8780" w:type="dxa"/>
            <w:gridSpan w:val="4"/>
            <w:tcBorders>
              <w:top w:val="single" w:sz="8" w:space="0" w:color="auto"/>
              <w:left w:val="single" w:sz="8" w:space="0" w:color="auto"/>
              <w:bottom w:val="single" w:sz="8" w:space="0" w:color="auto"/>
              <w:right w:val="single" w:sz="8" w:space="0" w:color="auto"/>
            </w:tcBorders>
            <w:vAlign w:val="center"/>
          </w:tcPr>
          <w:p w14:paraId="4730A968" w14:textId="34AD2AA6" w:rsidR="00267A71" w:rsidRPr="00267A71" w:rsidRDefault="00267A71" w:rsidP="009C4A30">
            <w:pPr>
              <w:spacing w:line="235" w:lineRule="auto"/>
              <w:jc w:val="center"/>
              <w:rPr>
                <w:sz w:val="20"/>
                <w:szCs w:val="20"/>
              </w:rPr>
            </w:pPr>
            <w:r>
              <w:rPr>
                <w:rFonts w:eastAsia="Times New Roman"/>
                <w:sz w:val="24"/>
                <w:szCs w:val="24"/>
              </w:rPr>
              <w:t>Step 1 Required Removal of TOC by Enhanced Coagulation and Enhanced Softening for Systems Using Surface Water or Groundwater Under the Direct Influence of Surface Water and Using Conventional Treatment</w:t>
            </w:r>
            <w:r>
              <w:rPr>
                <w:rFonts w:eastAsia="Times New Roman"/>
                <w:sz w:val="27"/>
                <w:szCs w:val="27"/>
                <w:vertAlign w:val="superscript"/>
              </w:rPr>
              <w:t>1,2</w:t>
            </w:r>
          </w:p>
        </w:tc>
        <w:tc>
          <w:tcPr>
            <w:tcW w:w="30" w:type="dxa"/>
            <w:vAlign w:val="bottom"/>
          </w:tcPr>
          <w:p w14:paraId="30DFDF69" w14:textId="77777777" w:rsidR="00267A71" w:rsidRDefault="00267A71">
            <w:pPr>
              <w:rPr>
                <w:sz w:val="1"/>
                <w:szCs w:val="1"/>
              </w:rPr>
            </w:pPr>
          </w:p>
        </w:tc>
      </w:tr>
      <w:tr w:rsidR="004647B9" w14:paraId="2819F673" w14:textId="77777777" w:rsidTr="009C4A30">
        <w:trPr>
          <w:trHeight w:val="277"/>
        </w:trPr>
        <w:tc>
          <w:tcPr>
            <w:tcW w:w="2700" w:type="dxa"/>
            <w:vMerge w:val="restart"/>
            <w:tcBorders>
              <w:top w:val="single" w:sz="8" w:space="0" w:color="auto"/>
              <w:left w:val="single" w:sz="8" w:space="0" w:color="auto"/>
              <w:right w:val="single" w:sz="8" w:space="0" w:color="auto"/>
            </w:tcBorders>
            <w:vAlign w:val="center"/>
          </w:tcPr>
          <w:p w14:paraId="2819F670" w14:textId="77777777" w:rsidR="004647B9" w:rsidRDefault="00E2436F" w:rsidP="009C4A30">
            <w:pPr>
              <w:jc w:val="center"/>
              <w:rPr>
                <w:sz w:val="20"/>
                <w:szCs w:val="20"/>
              </w:rPr>
            </w:pPr>
            <w:r>
              <w:rPr>
                <w:rFonts w:eastAsia="Times New Roman"/>
                <w:sz w:val="24"/>
                <w:szCs w:val="24"/>
              </w:rPr>
              <w:t>Source-water TOC, mg/l</w:t>
            </w:r>
          </w:p>
        </w:tc>
        <w:tc>
          <w:tcPr>
            <w:tcW w:w="6080" w:type="dxa"/>
            <w:gridSpan w:val="3"/>
            <w:tcBorders>
              <w:top w:val="single" w:sz="8" w:space="0" w:color="auto"/>
              <w:bottom w:val="single" w:sz="8" w:space="0" w:color="auto"/>
              <w:right w:val="single" w:sz="8" w:space="0" w:color="auto"/>
            </w:tcBorders>
            <w:vAlign w:val="center"/>
          </w:tcPr>
          <w:p w14:paraId="2819F671" w14:textId="77777777" w:rsidR="004647B9" w:rsidRDefault="00E2436F" w:rsidP="009C4A30">
            <w:pPr>
              <w:spacing w:line="276" w:lineRule="exact"/>
              <w:jc w:val="center"/>
              <w:rPr>
                <w:sz w:val="20"/>
                <w:szCs w:val="20"/>
              </w:rPr>
            </w:pPr>
            <w:r>
              <w:rPr>
                <w:rFonts w:eastAsia="Times New Roman"/>
                <w:sz w:val="24"/>
                <w:szCs w:val="24"/>
              </w:rPr>
              <w:t>Source-water alkalinity, mg/l as CaCO</w:t>
            </w:r>
            <w:r>
              <w:rPr>
                <w:rFonts w:eastAsia="Times New Roman"/>
                <w:sz w:val="27"/>
                <w:szCs w:val="27"/>
                <w:vertAlign w:val="subscript"/>
              </w:rPr>
              <w:t>3</w:t>
            </w:r>
          </w:p>
        </w:tc>
        <w:tc>
          <w:tcPr>
            <w:tcW w:w="30" w:type="dxa"/>
            <w:vAlign w:val="bottom"/>
          </w:tcPr>
          <w:p w14:paraId="2819F672" w14:textId="77777777" w:rsidR="004647B9" w:rsidRDefault="004647B9">
            <w:pPr>
              <w:rPr>
                <w:sz w:val="1"/>
                <w:szCs w:val="1"/>
              </w:rPr>
            </w:pPr>
          </w:p>
        </w:tc>
      </w:tr>
      <w:tr w:rsidR="004647B9" w14:paraId="2819F679" w14:textId="77777777" w:rsidTr="00DC77B5">
        <w:trPr>
          <w:trHeight w:val="266"/>
        </w:trPr>
        <w:tc>
          <w:tcPr>
            <w:tcW w:w="2700" w:type="dxa"/>
            <w:vMerge/>
            <w:tcBorders>
              <w:left w:val="single" w:sz="8" w:space="0" w:color="auto"/>
              <w:bottom w:val="single" w:sz="8" w:space="0" w:color="auto"/>
              <w:right w:val="single" w:sz="8" w:space="0" w:color="auto"/>
            </w:tcBorders>
            <w:vAlign w:val="bottom"/>
          </w:tcPr>
          <w:p w14:paraId="2819F674" w14:textId="77777777" w:rsidR="004647B9" w:rsidRDefault="004647B9">
            <w:pPr>
              <w:rPr>
                <w:sz w:val="23"/>
                <w:szCs w:val="23"/>
              </w:rPr>
            </w:pPr>
          </w:p>
        </w:tc>
        <w:tc>
          <w:tcPr>
            <w:tcW w:w="1660" w:type="dxa"/>
            <w:tcBorders>
              <w:bottom w:val="single" w:sz="8" w:space="0" w:color="auto"/>
              <w:right w:val="single" w:sz="8" w:space="0" w:color="auto"/>
            </w:tcBorders>
            <w:vAlign w:val="center"/>
          </w:tcPr>
          <w:p w14:paraId="2819F675" w14:textId="77777777" w:rsidR="004647B9" w:rsidRDefault="00E2436F" w:rsidP="00DC77B5">
            <w:pPr>
              <w:spacing w:line="265" w:lineRule="exact"/>
              <w:jc w:val="center"/>
              <w:rPr>
                <w:sz w:val="20"/>
                <w:szCs w:val="20"/>
              </w:rPr>
            </w:pPr>
            <w:r>
              <w:rPr>
                <w:rFonts w:eastAsia="Times New Roman"/>
                <w:w w:val="99"/>
                <w:sz w:val="24"/>
                <w:szCs w:val="24"/>
              </w:rPr>
              <w:t>0-60</w:t>
            </w:r>
          </w:p>
        </w:tc>
        <w:tc>
          <w:tcPr>
            <w:tcW w:w="2200" w:type="dxa"/>
            <w:tcBorders>
              <w:bottom w:val="single" w:sz="8" w:space="0" w:color="auto"/>
              <w:right w:val="single" w:sz="8" w:space="0" w:color="auto"/>
            </w:tcBorders>
            <w:vAlign w:val="center"/>
          </w:tcPr>
          <w:p w14:paraId="2819F676" w14:textId="77777777" w:rsidR="004647B9" w:rsidRDefault="00E2436F" w:rsidP="00DC77B5">
            <w:pPr>
              <w:spacing w:line="265" w:lineRule="exact"/>
              <w:jc w:val="center"/>
              <w:rPr>
                <w:sz w:val="20"/>
                <w:szCs w:val="20"/>
              </w:rPr>
            </w:pPr>
            <w:r>
              <w:rPr>
                <w:rFonts w:eastAsia="Times New Roman"/>
                <w:sz w:val="24"/>
                <w:szCs w:val="24"/>
              </w:rPr>
              <w:t>&gt; 60-120</w:t>
            </w:r>
          </w:p>
        </w:tc>
        <w:tc>
          <w:tcPr>
            <w:tcW w:w="2220" w:type="dxa"/>
            <w:tcBorders>
              <w:bottom w:val="single" w:sz="8" w:space="0" w:color="auto"/>
              <w:right w:val="single" w:sz="8" w:space="0" w:color="auto"/>
            </w:tcBorders>
            <w:vAlign w:val="center"/>
          </w:tcPr>
          <w:p w14:paraId="2819F677" w14:textId="77777777" w:rsidR="004647B9" w:rsidRDefault="00E2436F" w:rsidP="00DC77B5">
            <w:pPr>
              <w:spacing w:line="266" w:lineRule="exact"/>
              <w:jc w:val="center"/>
              <w:rPr>
                <w:sz w:val="20"/>
                <w:szCs w:val="20"/>
              </w:rPr>
            </w:pPr>
            <w:r>
              <w:rPr>
                <w:rFonts w:eastAsia="Times New Roman"/>
                <w:w w:val="95"/>
                <w:sz w:val="24"/>
                <w:szCs w:val="24"/>
              </w:rPr>
              <w:t>&gt; 120</w:t>
            </w:r>
            <w:r>
              <w:rPr>
                <w:rFonts w:eastAsia="Times New Roman"/>
                <w:w w:val="95"/>
                <w:sz w:val="27"/>
                <w:szCs w:val="27"/>
                <w:vertAlign w:val="superscript"/>
              </w:rPr>
              <w:t>3</w:t>
            </w:r>
          </w:p>
        </w:tc>
        <w:tc>
          <w:tcPr>
            <w:tcW w:w="30" w:type="dxa"/>
            <w:vAlign w:val="bottom"/>
          </w:tcPr>
          <w:p w14:paraId="2819F678" w14:textId="77777777" w:rsidR="004647B9" w:rsidRDefault="004647B9">
            <w:pPr>
              <w:rPr>
                <w:sz w:val="1"/>
                <w:szCs w:val="1"/>
              </w:rPr>
            </w:pPr>
          </w:p>
        </w:tc>
      </w:tr>
      <w:tr w:rsidR="004647B9" w14:paraId="2819F67F" w14:textId="77777777" w:rsidTr="00DC77B5">
        <w:trPr>
          <w:trHeight w:val="268"/>
        </w:trPr>
        <w:tc>
          <w:tcPr>
            <w:tcW w:w="2700" w:type="dxa"/>
            <w:tcBorders>
              <w:left w:val="single" w:sz="8" w:space="0" w:color="auto"/>
              <w:bottom w:val="single" w:sz="8" w:space="0" w:color="auto"/>
              <w:right w:val="single" w:sz="8" w:space="0" w:color="auto"/>
            </w:tcBorders>
            <w:vAlign w:val="center"/>
          </w:tcPr>
          <w:p w14:paraId="2819F67A" w14:textId="77777777" w:rsidR="004647B9" w:rsidRDefault="00E2436F" w:rsidP="00DC77B5">
            <w:pPr>
              <w:spacing w:line="268" w:lineRule="exact"/>
              <w:ind w:left="864"/>
              <w:rPr>
                <w:sz w:val="20"/>
                <w:szCs w:val="20"/>
              </w:rPr>
            </w:pPr>
            <w:r>
              <w:rPr>
                <w:rFonts w:eastAsia="Times New Roman"/>
                <w:sz w:val="24"/>
                <w:szCs w:val="24"/>
              </w:rPr>
              <w:t>&gt;2.0-4.0</w:t>
            </w:r>
          </w:p>
        </w:tc>
        <w:tc>
          <w:tcPr>
            <w:tcW w:w="1660" w:type="dxa"/>
            <w:tcBorders>
              <w:bottom w:val="single" w:sz="8" w:space="0" w:color="auto"/>
              <w:right w:val="single" w:sz="8" w:space="0" w:color="auto"/>
            </w:tcBorders>
            <w:vAlign w:val="center"/>
          </w:tcPr>
          <w:p w14:paraId="2819F67B" w14:textId="77777777" w:rsidR="004647B9" w:rsidRDefault="00E2436F" w:rsidP="00DC77B5">
            <w:pPr>
              <w:spacing w:line="268" w:lineRule="exact"/>
              <w:jc w:val="center"/>
              <w:rPr>
                <w:sz w:val="20"/>
                <w:szCs w:val="20"/>
              </w:rPr>
            </w:pPr>
            <w:r>
              <w:rPr>
                <w:rFonts w:eastAsia="Times New Roman"/>
                <w:w w:val="99"/>
                <w:sz w:val="24"/>
                <w:szCs w:val="24"/>
              </w:rPr>
              <w:t>35.0 %</w:t>
            </w:r>
          </w:p>
        </w:tc>
        <w:tc>
          <w:tcPr>
            <w:tcW w:w="2200" w:type="dxa"/>
            <w:tcBorders>
              <w:bottom w:val="single" w:sz="8" w:space="0" w:color="auto"/>
              <w:right w:val="single" w:sz="8" w:space="0" w:color="auto"/>
            </w:tcBorders>
            <w:vAlign w:val="center"/>
          </w:tcPr>
          <w:p w14:paraId="2819F67C" w14:textId="77777777" w:rsidR="004647B9" w:rsidRDefault="00E2436F" w:rsidP="00DC77B5">
            <w:pPr>
              <w:spacing w:line="268" w:lineRule="exact"/>
              <w:jc w:val="center"/>
              <w:rPr>
                <w:sz w:val="20"/>
                <w:szCs w:val="20"/>
              </w:rPr>
            </w:pPr>
            <w:r>
              <w:rPr>
                <w:rFonts w:eastAsia="Times New Roman"/>
                <w:w w:val="99"/>
                <w:sz w:val="24"/>
                <w:szCs w:val="24"/>
              </w:rPr>
              <w:t>25.0 %</w:t>
            </w:r>
          </w:p>
        </w:tc>
        <w:tc>
          <w:tcPr>
            <w:tcW w:w="2220" w:type="dxa"/>
            <w:tcBorders>
              <w:bottom w:val="single" w:sz="8" w:space="0" w:color="auto"/>
              <w:right w:val="single" w:sz="8" w:space="0" w:color="auto"/>
            </w:tcBorders>
            <w:vAlign w:val="center"/>
          </w:tcPr>
          <w:p w14:paraId="2819F67D" w14:textId="77777777" w:rsidR="004647B9" w:rsidRDefault="00E2436F" w:rsidP="00DC77B5">
            <w:pPr>
              <w:spacing w:line="268" w:lineRule="exact"/>
              <w:jc w:val="center"/>
              <w:rPr>
                <w:sz w:val="20"/>
                <w:szCs w:val="20"/>
              </w:rPr>
            </w:pPr>
            <w:r>
              <w:rPr>
                <w:rFonts w:eastAsia="Times New Roman"/>
                <w:w w:val="99"/>
                <w:sz w:val="24"/>
                <w:szCs w:val="24"/>
              </w:rPr>
              <w:t>15.0 %</w:t>
            </w:r>
          </w:p>
        </w:tc>
        <w:tc>
          <w:tcPr>
            <w:tcW w:w="30" w:type="dxa"/>
            <w:vAlign w:val="bottom"/>
          </w:tcPr>
          <w:p w14:paraId="2819F67E" w14:textId="77777777" w:rsidR="004647B9" w:rsidRDefault="004647B9">
            <w:pPr>
              <w:rPr>
                <w:sz w:val="1"/>
                <w:szCs w:val="1"/>
              </w:rPr>
            </w:pPr>
          </w:p>
        </w:tc>
      </w:tr>
      <w:tr w:rsidR="004647B9" w14:paraId="2819F685" w14:textId="77777777" w:rsidTr="00DC77B5">
        <w:trPr>
          <w:trHeight w:val="287"/>
        </w:trPr>
        <w:tc>
          <w:tcPr>
            <w:tcW w:w="2700" w:type="dxa"/>
            <w:tcBorders>
              <w:left w:val="single" w:sz="8" w:space="0" w:color="auto"/>
              <w:bottom w:val="single" w:sz="8" w:space="0" w:color="auto"/>
              <w:right w:val="single" w:sz="8" w:space="0" w:color="auto"/>
            </w:tcBorders>
            <w:vAlign w:val="center"/>
          </w:tcPr>
          <w:p w14:paraId="2819F680" w14:textId="77777777" w:rsidR="004647B9" w:rsidRDefault="00E2436F" w:rsidP="00DC77B5">
            <w:pPr>
              <w:ind w:left="864"/>
              <w:rPr>
                <w:sz w:val="20"/>
                <w:szCs w:val="20"/>
              </w:rPr>
            </w:pPr>
            <w:r>
              <w:rPr>
                <w:rFonts w:eastAsia="Times New Roman"/>
                <w:sz w:val="24"/>
                <w:szCs w:val="24"/>
              </w:rPr>
              <w:t>&gt;4.0-8.0</w:t>
            </w:r>
          </w:p>
        </w:tc>
        <w:tc>
          <w:tcPr>
            <w:tcW w:w="1660" w:type="dxa"/>
            <w:tcBorders>
              <w:bottom w:val="single" w:sz="8" w:space="0" w:color="auto"/>
              <w:right w:val="single" w:sz="8" w:space="0" w:color="auto"/>
            </w:tcBorders>
            <w:vAlign w:val="center"/>
          </w:tcPr>
          <w:p w14:paraId="2819F681" w14:textId="77777777" w:rsidR="004647B9" w:rsidRDefault="00E2436F" w:rsidP="00DC77B5">
            <w:pPr>
              <w:jc w:val="center"/>
              <w:rPr>
                <w:sz w:val="20"/>
                <w:szCs w:val="20"/>
              </w:rPr>
            </w:pPr>
            <w:r>
              <w:rPr>
                <w:rFonts w:eastAsia="Times New Roman"/>
                <w:w w:val="99"/>
                <w:sz w:val="24"/>
                <w:szCs w:val="24"/>
              </w:rPr>
              <w:t>45.0 %</w:t>
            </w:r>
          </w:p>
        </w:tc>
        <w:tc>
          <w:tcPr>
            <w:tcW w:w="2200" w:type="dxa"/>
            <w:tcBorders>
              <w:bottom w:val="single" w:sz="8" w:space="0" w:color="auto"/>
              <w:right w:val="single" w:sz="8" w:space="0" w:color="auto"/>
            </w:tcBorders>
            <w:vAlign w:val="center"/>
          </w:tcPr>
          <w:p w14:paraId="2819F682" w14:textId="77777777" w:rsidR="004647B9" w:rsidRDefault="00E2436F" w:rsidP="00DC77B5">
            <w:pPr>
              <w:jc w:val="center"/>
              <w:rPr>
                <w:sz w:val="20"/>
                <w:szCs w:val="20"/>
              </w:rPr>
            </w:pPr>
            <w:r>
              <w:rPr>
                <w:rFonts w:eastAsia="Times New Roman"/>
                <w:w w:val="99"/>
                <w:sz w:val="24"/>
                <w:szCs w:val="24"/>
              </w:rPr>
              <w:t>35.0 %</w:t>
            </w:r>
          </w:p>
        </w:tc>
        <w:tc>
          <w:tcPr>
            <w:tcW w:w="2220" w:type="dxa"/>
            <w:tcBorders>
              <w:bottom w:val="single" w:sz="8" w:space="0" w:color="auto"/>
              <w:right w:val="single" w:sz="8" w:space="0" w:color="auto"/>
            </w:tcBorders>
            <w:vAlign w:val="center"/>
          </w:tcPr>
          <w:p w14:paraId="2819F683" w14:textId="77777777" w:rsidR="004647B9" w:rsidRDefault="00E2436F" w:rsidP="00DC77B5">
            <w:pPr>
              <w:jc w:val="center"/>
              <w:rPr>
                <w:sz w:val="20"/>
                <w:szCs w:val="20"/>
              </w:rPr>
            </w:pPr>
            <w:r>
              <w:rPr>
                <w:rFonts w:eastAsia="Times New Roman"/>
                <w:w w:val="99"/>
                <w:sz w:val="24"/>
                <w:szCs w:val="24"/>
              </w:rPr>
              <w:t>25.0 %</w:t>
            </w:r>
          </w:p>
        </w:tc>
        <w:tc>
          <w:tcPr>
            <w:tcW w:w="30" w:type="dxa"/>
            <w:vAlign w:val="bottom"/>
          </w:tcPr>
          <w:p w14:paraId="2819F684" w14:textId="77777777" w:rsidR="004647B9" w:rsidRDefault="004647B9">
            <w:pPr>
              <w:rPr>
                <w:sz w:val="1"/>
                <w:szCs w:val="1"/>
              </w:rPr>
            </w:pPr>
          </w:p>
        </w:tc>
      </w:tr>
      <w:tr w:rsidR="004647B9" w14:paraId="2819F68B" w14:textId="77777777" w:rsidTr="00DC77B5">
        <w:trPr>
          <w:trHeight w:val="266"/>
        </w:trPr>
        <w:tc>
          <w:tcPr>
            <w:tcW w:w="2700" w:type="dxa"/>
            <w:tcBorders>
              <w:left w:val="single" w:sz="8" w:space="0" w:color="auto"/>
              <w:bottom w:val="single" w:sz="8" w:space="0" w:color="auto"/>
              <w:right w:val="single" w:sz="8" w:space="0" w:color="auto"/>
            </w:tcBorders>
            <w:vAlign w:val="center"/>
          </w:tcPr>
          <w:p w14:paraId="2819F686" w14:textId="77777777" w:rsidR="004647B9" w:rsidRDefault="00E2436F" w:rsidP="00DC77B5">
            <w:pPr>
              <w:spacing w:line="265" w:lineRule="exact"/>
              <w:ind w:left="864"/>
              <w:rPr>
                <w:sz w:val="20"/>
                <w:szCs w:val="20"/>
              </w:rPr>
            </w:pPr>
            <w:r>
              <w:rPr>
                <w:rFonts w:eastAsia="Times New Roman"/>
                <w:sz w:val="24"/>
                <w:szCs w:val="24"/>
              </w:rPr>
              <w:t>&gt;8.0</w:t>
            </w:r>
          </w:p>
        </w:tc>
        <w:tc>
          <w:tcPr>
            <w:tcW w:w="1660" w:type="dxa"/>
            <w:tcBorders>
              <w:bottom w:val="single" w:sz="8" w:space="0" w:color="auto"/>
              <w:right w:val="single" w:sz="8" w:space="0" w:color="auto"/>
            </w:tcBorders>
            <w:vAlign w:val="center"/>
          </w:tcPr>
          <w:p w14:paraId="2819F687" w14:textId="77777777" w:rsidR="004647B9" w:rsidRDefault="00E2436F" w:rsidP="00DC77B5">
            <w:pPr>
              <w:spacing w:line="265" w:lineRule="exact"/>
              <w:jc w:val="center"/>
              <w:rPr>
                <w:sz w:val="20"/>
                <w:szCs w:val="20"/>
              </w:rPr>
            </w:pPr>
            <w:r>
              <w:rPr>
                <w:rFonts w:eastAsia="Times New Roman"/>
                <w:w w:val="99"/>
                <w:sz w:val="24"/>
                <w:szCs w:val="24"/>
              </w:rPr>
              <w:t>50.0 %</w:t>
            </w:r>
          </w:p>
        </w:tc>
        <w:tc>
          <w:tcPr>
            <w:tcW w:w="2200" w:type="dxa"/>
            <w:tcBorders>
              <w:bottom w:val="single" w:sz="8" w:space="0" w:color="auto"/>
              <w:right w:val="single" w:sz="8" w:space="0" w:color="auto"/>
            </w:tcBorders>
            <w:vAlign w:val="center"/>
          </w:tcPr>
          <w:p w14:paraId="2819F688" w14:textId="77777777" w:rsidR="004647B9" w:rsidRDefault="00E2436F" w:rsidP="00DC77B5">
            <w:pPr>
              <w:spacing w:line="265" w:lineRule="exact"/>
              <w:jc w:val="center"/>
              <w:rPr>
                <w:sz w:val="20"/>
                <w:szCs w:val="20"/>
              </w:rPr>
            </w:pPr>
            <w:r>
              <w:rPr>
                <w:rFonts w:eastAsia="Times New Roman"/>
                <w:w w:val="99"/>
                <w:sz w:val="24"/>
                <w:szCs w:val="24"/>
              </w:rPr>
              <w:t>40.0 %</w:t>
            </w:r>
          </w:p>
        </w:tc>
        <w:tc>
          <w:tcPr>
            <w:tcW w:w="2220" w:type="dxa"/>
            <w:tcBorders>
              <w:bottom w:val="single" w:sz="8" w:space="0" w:color="auto"/>
              <w:right w:val="single" w:sz="8" w:space="0" w:color="auto"/>
            </w:tcBorders>
            <w:vAlign w:val="center"/>
          </w:tcPr>
          <w:p w14:paraId="2819F689" w14:textId="77777777" w:rsidR="004647B9" w:rsidRDefault="00E2436F" w:rsidP="00DC77B5">
            <w:pPr>
              <w:spacing w:line="265" w:lineRule="exact"/>
              <w:jc w:val="center"/>
              <w:rPr>
                <w:sz w:val="20"/>
                <w:szCs w:val="20"/>
              </w:rPr>
            </w:pPr>
            <w:r>
              <w:rPr>
                <w:rFonts w:eastAsia="Times New Roman"/>
                <w:w w:val="99"/>
                <w:sz w:val="24"/>
                <w:szCs w:val="24"/>
              </w:rPr>
              <w:t>30.0 %</w:t>
            </w:r>
          </w:p>
        </w:tc>
        <w:tc>
          <w:tcPr>
            <w:tcW w:w="30" w:type="dxa"/>
            <w:vAlign w:val="bottom"/>
          </w:tcPr>
          <w:p w14:paraId="2819F68A" w14:textId="77777777" w:rsidR="004647B9" w:rsidRDefault="004647B9">
            <w:pPr>
              <w:rPr>
                <w:sz w:val="1"/>
                <w:szCs w:val="1"/>
              </w:rPr>
            </w:pPr>
          </w:p>
        </w:tc>
      </w:tr>
    </w:tbl>
    <w:p w14:paraId="2819F68C" w14:textId="77777777" w:rsidR="004647B9" w:rsidRPr="00054ACC" w:rsidRDefault="004647B9" w:rsidP="00054ACC">
      <w:pPr>
        <w:rPr>
          <w:sz w:val="24"/>
          <w:szCs w:val="24"/>
        </w:rPr>
      </w:pPr>
    </w:p>
    <w:p w14:paraId="2819F68D" w14:textId="77777777" w:rsidR="004647B9" w:rsidRPr="000F26B7" w:rsidRDefault="00E2436F" w:rsidP="000F26B7">
      <w:pPr>
        <w:pStyle w:val="ListParagraph"/>
        <w:numPr>
          <w:ilvl w:val="0"/>
          <w:numId w:val="1099"/>
        </w:numPr>
        <w:ind w:left="720" w:hanging="720"/>
        <w:rPr>
          <w:rFonts w:eastAsia="Times New Roman"/>
          <w:sz w:val="24"/>
          <w:szCs w:val="24"/>
        </w:rPr>
      </w:pPr>
      <w:r>
        <w:rPr>
          <w:rFonts w:eastAsia="Times New Roman"/>
          <w:sz w:val="24"/>
          <w:szCs w:val="24"/>
        </w:rPr>
        <w:t>Systems meeting at least one of the conditions in 310 CMR 22.07E(10)(a)2. are not required to operate with Enhanced Coagulation.</w:t>
      </w:r>
    </w:p>
    <w:p w14:paraId="2819F68E" w14:textId="77777777" w:rsidR="004647B9" w:rsidRDefault="004647B9" w:rsidP="00054ACC">
      <w:pPr>
        <w:sectPr w:rsidR="004647B9" w:rsidSect="00EF630C">
          <w:pgSz w:w="12240" w:h="20180"/>
          <w:pgMar w:top="708" w:right="1440" w:bottom="1440" w:left="600" w:header="0" w:footer="0" w:gutter="0"/>
          <w:cols w:space="720"/>
        </w:sectPr>
      </w:pPr>
    </w:p>
    <w:p w14:paraId="2819F68F" w14:textId="77777777" w:rsidR="004647B9" w:rsidRDefault="00E2436F">
      <w:pPr>
        <w:tabs>
          <w:tab w:val="left" w:pos="160"/>
        </w:tabs>
        <w:jc w:val="center"/>
        <w:rPr>
          <w:sz w:val="20"/>
          <w:szCs w:val="20"/>
        </w:rPr>
      </w:pPr>
      <w:bookmarkStart w:id="129" w:name="page131"/>
      <w:bookmarkEnd w:id="12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690" w14:textId="77777777" w:rsidR="004647B9" w:rsidRDefault="004647B9" w:rsidP="00054ACC">
      <w:pPr>
        <w:rPr>
          <w:sz w:val="20"/>
          <w:szCs w:val="20"/>
        </w:rPr>
      </w:pPr>
    </w:p>
    <w:p w14:paraId="2819F691" w14:textId="77777777" w:rsidR="004647B9" w:rsidRDefault="004647B9" w:rsidP="00054ACC">
      <w:pPr>
        <w:rPr>
          <w:sz w:val="20"/>
          <w:szCs w:val="20"/>
        </w:rPr>
      </w:pPr>
    </w:p>
    <w:p w14:paraId="2819F692" w14:textId="77777777" w:rsidR="004647B9" w:rsidRPr="00054ACC" w:rsidRDefault="00E2436F" w:rsidP="00054ACC">
      <w:pPr>
        <w:tabs>
          <w:tab w:val="left" w:pos="920"/>
        </w:tabs>
        <w:rPr>
          <w:sz w:val="24"/>
          <w:szCs w:val="24"/>
        </w:rPr>
      </w:pPr>
      <w:r w:rsidRPr="00054ACC">
        <w:rPr>
          <w:rFonts w:eastAsia="Times New Roman"/>
          <w:sz w:val="24"/>
          <w:szCs w:val="24"/>
        </w:rPr>
        <w:t>22.07E:</w:t>
      </w:r>
      <w:r w:rsidRPr="00054ACC">
        <w:rPr>
          <w:sz w:val="24"/>
          <w:szCs w:val="24"/>
        </w:rPr>
        <w:tab/>
      </w:r>
      <w:r w:rsidRPr="00054ACC">
        <w:rPr>
          <w:rFonts w:eastAsia="Times New Roman"/>
          <w:sz w:val="24"/>
          <w:szCs w:val="24"/>
        </w:rPr>
        <w:t>continued</w:t>
      </w:r>
    </w:p>
    <w:p w14:paraId="2819F693" w14:textId="77777777" w:rsidR="004647B9" w:rsidRPr="00054ACC" w:rsidRDefault="004647B9" w:rsidP="00054ACC">
      <w:pPr>
        <w:rPr>
          <w:sz w:val="24"/>
          <w:szCs w:val="24"/>
        </w:rPr>
        <w:sectPr w:rsidR="004647B9" w:rsidRPr="00054ACC" w:rsidSect="00EF630C">
          <w:pgSz w:w="12240" w:h="20180"/>
          <w:pgMar w:top="708" w:right="1440" w:bottom="1440" w:left="600" w:header="0" w:footer="0" w:gutter="0"/>
          <w:cols w:space="720"/>
        </w:sectPr>
      </w:pPr>
    </w:p>
    <w:p w14:paraId="2819F694" w14:textId="77777777" w:rsidR="004647B9" w:rsidRDefault="004647B9" w:rsidP="00054ACC">
      <w:pPr>
        <w:rPr>
          <w:sz w:val="20"/>
          <w:szCs w:val="20"/>
        </w:rPr>
      </w:pPr>
    </w:p>
    <w:p w14:paraId="2819F69A" w14:textId="77777777" w:rsidR="004647B9" w:rsidRPr="00CE2673" w:rsidRDefault="00E2436F" w:rsidP="000F26B7">
      <w:pPr>
        <w:pStyle w:val="ListParagraph"/>
        <w:numPr>
          <w:ilvl w:val="0"/>
          <w:numId w:val="1099"/>
        </w:numPr>
        <w:ind w:left="720" w:hanging="720"/>
        <w:rPr>
          <w:sz w:val="24"/>
          <w:szCs w:val="24"/>
        </w:rPr>
      </w:pPr>
      <w:r w:rsidRPr="00CE2673">
        <w:rPr>
          <w:rFonts w:eastAsia="Times New Roman"/>
          <w:sz w:val="24"/>
          <w:szCs w:val="24"/>
        </w:rPr>
        <w:t>Softening systems meeting one of the alternative compliance criteria in 310 CMR 22.07E(10)(a)3. are not required to operate with Enhanced Softening.</w:t>
      </w:r>
    </w:p>
    <w:p w14:paraId="2819F69B" w14:textId="77777777" w:rsidR="004647B9" w:rsidRPr="00CE2673" w:rsidRDefault="00E2436F" w:rsidP="000F26B7">
      <w:pPr>
        <w:pStyle w:val="ListParagraph"/>
        <w:numPr>
          <w:ilvl w:val="0"/>
          <w:numId w:val="1099"/>
        </w:numPr>
        <w:rPr>
          <w:sz w:val="24"/>
          <w:szCs w:val="24"/>
        </w:rPr>
      </w:pPr>
      <w:r w:rsidRPr="00CE2673">
        <w:rPr>
          <w:rFonts w:eastAsia="Times New Roman"/>
          <w:sz w:val="24"/>
          <w:szCs w:val="24"/>
        </w:rPr>
        <w:t>Systems practicing softening shall meet the TOC removal requirements in this column.</w:t>
      </w:r>
    </w:p>
    <w:p w14:paraId="2819F69C" w14:textId="77777777" w:rsidR="004647B9" w:rsidRPr="00CE2673" w:rsidRDefault="004647B9" w:rsidP="00054ACC">
      <w:pPr>
        <w:rPr>
          <w:sz w:val="24"/>
          <w:szCs w:val="24"/>
        </w:rPr>
      </w:pPr>
    </w:p>
    <w:p w14:paraId="2819F69F" w14:textId="440267DA" w:rsidR="004647B9" w:rsidRPr="00CE2673" w:rsidRDefault="00E2436F" w:rsidP="00054ACC">
      <w:pPr>
        <w:numPr>
          <w:ilvl w:val="0"/>
          <w:numId w:val="333"/>
        </w:numPr>
        <w:tabs>
          <w:tab w:val="left" w:pos="1860"/>
        </w:tabs>
        <w:ind w:left="1440"/>
        <w:jc w:val="both"/>
        <w:rPr>
          <w:rFonts w:eastAsia="Times New Roman"/>
          <w:sz w:val="24"/>
          <w:szCs w:val="24"/>
        </w:rPr>
      </w:pPr>
      <w:r w:rsidRPr="00CE2673">
        <w:rPr>
          <w:rFonts w:eastAsia="Times New Roman"/>
          <w:sz w:val="24"/>
          <w:szCs w:val="24"/>
        </w:rPr>
        <w:t>Each Supplier of Water who uses a Surface Water Source or groundwater source under the direct influence of surface water using conventional treatment that cannot achieve the Step 1 TOC removals required by 310 CMR 22.07E(10)(b)2. due to water quality parameters or operational constraints shall apply to the Department, within three months of failure to achieve the TOC removals required by 310 CMR 22.07E(10)(b)2., for approval of alternative minimum TOC (Step 2) removal requirements. If the Department approves the alternative minimum TOC removal (Step 2) requirements, the Department may make those requirements retroactive for the purposes of determining compliance. Until the Department approves the alternate minimum TOC removal (Step 2) requirements, the supplier shall meet the Step 1 TOC removals contained in</w:t>
      </w:r>
      <w:r w:rsidR="007A2CA6" w:rsidRPr="00CE2673">
        <w:rPr>
          <w:rFonts w:eastAsia="Times New Roman"/>
          <w:sz w:val="24"/>
          <w:szCs w:val="24"/>
        </w:rPr>
        <w:t xml:space="preserve"> </w:t>
      </w:r>
      <w:r w:rsidR="005C291C" w:rsidRPr="00CE2673">
        <w:rPr>
          <w:rFonts w:eastAsia="Times New Roman"/>
          <w:sz w:val="24"/>
          <w:szCs w:val="24"/>
        </w:rPr>
        <w:t xml:space="preserve">310 </w:t>
      </w:r>
      <w:r w:rsidRPr="00CE2673">
        <w:rPr>
          <w:rFonts w:eastAsia="Times New Roman"/>
          <w:sz w:val="24"/>
          <w:szCs w:val="24"/>
        </w:rPr>
        <w:t>CMR 22.07E(10)(b)2.</w:t>
      </w:r>
    </w:p>
    <w:p w14:paraId="2819F6A2" w14:textId="6047792C" w:rsidR="004647B9" w:rsidRPr="00CE2673" w:rsidRDefault="00E2436F" w:rsidP="00054ACC">
      <w:pPr>
        <w:numPr>
          <w:ilvl w:val="0"/>
          <w:numId w:val="334"/>
        </w:numPr>
        <w:tabs>
          <w:tab w:val="left" w:pos="1747"/>
        </w:tabs>
        <w:ind w:left="1440" w:hanging="5"/>
        <w:jc w:val="both"/>
        <w:rPr>
          <w:rFonts w:eastAsia="Times New Roman"/>
          <w:sz w:val="24"/>
          <w:szCs w:val="24"/>
        </w:rPr>
      </w:pPr>
      <w:r w:rsidRPr="00CE2673">
        <w:rPr>
          <w:rFonts w:eastAsia="Times New Roman"/>
          <w:sz w:val="24"/>
          <w:szCs w:val="24"/>
          <w:u w:val="single"/>
        </w:rPr>
        <w:t>Alternate Minimum TOC Removal (Step 2) Requirements</w:t>
      </w:r>
      <w:r w:rsidRPr="00CE2673">
        <w:rPr>
          <w:rFonts w:eastAsia="Times New Roman"/>
          <w:sz w:val="24"/>
          <w:szCs w:val="24"/>
        </w:rPr>
        <w:t>. Applications made to the Department by a Supplier of Water who practices Enhanced Coagulation for approval of alternate minimum TOC removal (Step 2) requirements under 310 CMR 22.07E(10)(b)3. shall include, at a minimum, results of bench- or pilot-scale testing conducted under</w:t>
      </w:r>
      <w:r w:rsidR="00CE2673" w:rsidRPr="00CE2673">
        <w:rPr>
          <w:rFonts w:eastAsia="Times New Roman"/>
          <w:sz w:val="24"/>
          <w:szCs w:val="24"/>
        </w:rPr>
        <w:t xml:space="preserve"> 310 </w:t>
      </w:r>
      <w:r w:rsidRPr="00CE2673">
        <w:rPr>
          <w:rFonts w:eastAsia="Times New Roman"/>
          <w:sz w:val="24"/>
          <w:szCs w:val="24"/>
        </w:rPr>
        <w:t>CMR 22.07E(10)(b)4.a. The submitted bench- or pilot-scale testing shall be used to determine the alternate Enhanced Coagulation level.</w:t>
      </w:r>
    </w:p>
    <w:p w14:paraId="2819F6A6" w14:textId="3BEB92CF" w:rsidR="004647B9" w:rsidRPr="00CE2673" w:rsidRDefault="00E2436F" w:rsidP="00054ACC">
      <w:pPr>
        <w:ind w:left="1800"/>
        <w:jc w:val="both"/>
        <w:rPr>
          <w:sz w:val="24"/>
          <w:szCs w:val="24"/>
        </w:rPr>
      </w:pPr>
      <w:r w:rsidRPr="00CE2673">
        <w:rPr>
          <w:rFonts w:eastAsia="Times New Roman"/>
          <w:sz w:val="24"/>
          <w:szCs w:val="24"/>
        </w:rPr>
        <w:t>a. Alternate Enhanced Coagulation level is defined as Coagulation at a coagulant dose and pH as determined by the method described in 310 CMR 22.07E(10)(b)4.a.</w:t>
      </w:r>
      <w:r w:rsidR="00054ACC">
        <w:rPr>
          <w:rFonts w:eastAsia="Times New Roman"/>
          <w:sz w:val="24"/>
          <w:szCs w:val="24"/>
        </w:rPr>
        <w:t xml:space="preserve"> </w:t>
      </w:r>
      <w:r w:rsidRPr="00CE2673">
        <w:rPr>
          <w:rFonts w:eastAsia="Times New Roman"/>
          <w:sz w:val="24"/>
          <w:szCs w:val="24"/>
        </w:rPr>
        <w:t>through e. such that an incremental addition of 10 mg/l of alum (or an equivalent amount of ferric salt) results in a TOC removal of 0.3 mg/l. The percent removal of TOC at this point on the "TOC removal versus coagulant dose"' curve is then defined as the minimum TOC removal required for the system. After the Department approves this minimum requirement, it shall supersede the minimum TOC removal, which is required by the table in 310 CMR 22.07E(10)(b)2. This minimum requirement will be effective until such time as the Department approves a new value based on the results of a new bench- and pilot-scale test. Failure to achieve Department-set alternative minimum TOC removal levels is a violation of 310 MR 22.00.</w:t>
      </w:r>
    </w:p>
    <w:p w14:paraId="2819F6A8" w14:textId="6EB14188" w:rsidR="004647B9" w:rsidRPr="00CE2673" w:rsidRDefault="00E2436F" w:rsidP="00774CA9">
      <w:pPr>
        <w:numPr>
          <w:ilvl w:val="0"/>
          <w:numId w:val="335"/>
        </w:numPr>
        <w:tabs>
          <w:tab w:val="left" w:pos="2174"/>
        </w:tabs>
        <w:ind w:left="1800" w:hanging="5"/>
        <w:jc w:val="both"/>
        <w:rPr>
          <w:rFonts w:eastAsia="Times New Roman"/>
          <w:sz w:val="24"/>
          <w:szCs w:val="24"/>
        </w:rPr>
      </w:pPr>
      <w:r w:rsidRPr="00CE2673">
        <w:rPr>
          <w:rFonts w:eastAsia="Times New Roman"/>
          <w:sz w:val="24"/>
          <w:szCs w:val="24"/>
        </w:rPr>
        <w:t>The Supplier of Water shall conduct bench- or pilot-scale testing of Enhanced Coagulation using representative water samples and adding ten mg/l increments of alum (or equivalent amounts of ferric salt) until the pH is reduced to a level less than or equal to the Enhanced Coagulation Step 2 target pH shown in the following table:</w:t>
      </w:r>
    </w:p>
    <w:p w14:paraId="212BF88B" w14:textId="2EEAA2F8" w:rsidR="00CD2BE3" w:rsidRPr="00054ACC" w:rsidRDefault="00CD2BE3" w:rsidP="00054ACC">
      <w:pPr>
        <w:tabs>
          <w:tab w:val="left" w:pos="2174"/>
        </w:tabs>
        <w:jc w:val="both"/>
        <w:rPr>
          <w:rFonts w:eastAsia="Times New Roman"/>
          <w:sz w:val="24"/>
          <w:szCs w:val="24"/>
        </w:rPr>
      </w:pPr>
    </w:p>
    <w:tbl>
      <w:tblPr>
        <w:tblStyle w:val="TableGrid"/>
        <w:tblW w:w="0" w:type="auto"/>
        <w:tblInd w:w="31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80"/>
        <w:gridCol w:w="1620"/>
      </w:tblGrid>
      <w:tr w:rsidR="00CD2BE3" w14:paraId="50CBDF46" w14:textId="77777777" w:rsidTr="00403F20">
        <w:tc>
          <w:tcPr>
            <w:tcW w:w="4500" w:type="dxa"/>
            <w:gridSpan w:val="2"/>
            <w:vAlign w:val="center"/>
          </w:tcPr>
          <w:p w14:paraId="70AA4FFF" w14:textId="35221966" w:rsidR="00CD2BE3" w:rsidRDefault="00CD2BE3" w:rsidP="00403F20">
            <w:pPr>
              <w:jc w:val="center"/>
              <w:rPr>
                <w:rFonts w:eastAsia="Times New Roman"/>
                <w:sz w:val="23"/>
                <w:szCs w:val="23"/>
              </w:rPr>
            </w:pPr>
            <w:r>
              <w:rPr>
                <w:rFonts w:eastAsia="Times New Roman"/>
                <w:sz w:val="23"/>
                <w:szCs w:val="23"/>
              </w:rPr>
              <w:t>Enhanced Coagulation Step 2 Target pH</w:t>
            </w:r>
          </w:p>
        </w:tc>
      </w:tr>
      <w:tr w:rsidR="00CD2BE3" w14:paraId="14926BFE" w14:textId="77777777" w:rsidTr="00403F20">
        <w:tc>
          <w:tcPr>
            <w:tcW w:w="2880" w:type="dxa"/>
            <w:vAlign w:val="center"/>
          </w:tcPr>
          <w:p w14:paraId="3841612A" w14:textId="29460EB3" w:rsidR="00CD2BE3" w:rsidRDefault="00CD2BE3" w:rsidP="00403F20">
            <w:pPr>
              <w:tabs>
                <w:tab w:val="left" w:pos="2174"/>
              </w:tabs>
              <w:spacing w:line="243" w:lineRule="auto"/>
              <w:jc w:val="center"/>
              <w:rPr>
                <w:rFonts w:eastAsia="Times New Roman"/>
                <w:sz w:val="23"/>
                <w:szCs w:val="23"/>
              </w:rPr>
            </w:pPr>
            <w:r>
              <w:rPr>
                <w:rFonts w:eastAsia="Times New Roman"/>
                <w:sz w:val="24"/>
                <w:szCs w:val="24"/>
              </w:rPr>
              <w:t>Alkalinity (mg/l as CaCO</w:t>
            </w:r>
            <w:r>
              <w:rPr>
                <w:rFonts w:eastAsia="Times New Roman"/>
                <w:sz w:val="27"/>
                <w:szCs w:val="27"/>
                <w:vertAlign w:val="subscript"/>
              </w:rPr>
              <w:t>3</w:t>
            </w:r>
            <w:r>
              <w:rPr>
                <w:rFonts w:eastAsia="Times New Roman"/>
                <w:sz w:val="24"/>
                <w:szCs w:val="24"/>
              </w:rPr>
              <w:t>)</w:t>
            </w:r>
          </w:p>
        </w:tc>
        <w:tc>
          <w:tcPr>
            <w:tcW w:w="1620" w:type="dxa"/>
            <w:vAlign w:val="center"/>
          </w:tcPr>
          <w:p w14:paraId="3F394ED7" w14:textId="6EC7F193" w:rsidR="00CD2BE3" w:rsidRDefault="00403F20" w:rsidP="00403F20">
            <w:pPr>
              <w:tabs>
                <w:tab w:val="left" w:pos="2174"/>
              </w:tabs>
              <w:spacing w:line="243" w:lineRule="auto"/>
              <w:jc w:val="center"/>
              <w:rPr>
                <w:rFonts w:eastAsia="Times New Roman"/>
                <w:sz w:val="23"/>
                <w:szCs w:val="23"/>
              </w:rPr>
            </w:pPr>
            <w:r>
              <w:rPr>
                <w:rFonts w:eastAsia="Times New Roman"/>
                <w:sz w:val="23"/>
                <w:szCs w:val="23"/>
              </w:rPr>
              <w:t>Target pH</w:t>
            </w:r>
          </w:p>
        </w:tc>
      </w:tr>
      <w:tr w:rsidR="00CD2BE3" w14:paraId="54CD3E46" w14:textId="77777777" w:rsidTr="00403F20">
        <w:tc>
          <w:tcPr>
            <w:tcW w:w="2880" w:type="dxa"/>
            <w:vAlign w:val="center"/>
          </w:tcPr>
          <w:p w14:paraId="5045B99A" w14:textId="28A64914" w:rsidR="00CD2BE3" w:rsidRDefault="00403F20" w:rsidP="00403F20">
            <w:pPr>
              <w:spacing w:line="228" w:lineRule="auto"/>
              <w:jc w:val="center"/>
              <w:rPr>
                <w:rFonts w:eastAsia="Times New Roman"/>
                <w:sz w:val="23"/>
                <w:szCs w:val="23"/>
              </w:rPr>
            </w:pPr>
            <w:r>
              <w:rPr>
                <w:rFonts w:eastAsia="Times New Roman"/>
                <w:sz w:val="24"/>
                <w:szCs w:val="24"/>
              </w:rPr>
              <w:t>0-60</w:t>
            </w:r>
          </w:p>
        </w:tc>
        <w:tc>
          <w:tcPr>
            <w:tcW w:w="1620" w:type="dxa"/>
            <w:vAlign w:val="center"/>
          </w:tcPr>
          <w:p w14:paraId="1DEE29FB" w14:textId="162DD93E" w:rsidR="00CD2BE3" w:rsidRDefault="00403F20" w:rsidP="00403F20">
            <w:pPr>
              <w:jc w:val="center"/>
              <w:rPr>
                <w:rFonts w:eastAsia="Times New Roman"/>
                <w:sz w:val="23"/>
                <w:szCs w:val="23"/>
              </w:rPr>
            </w:pPr>
            <w:r>
              <w:rPr>
                <w:rFonts w:eastAsia="Times New Roman"/>
                <w:sz w:val="23"/>
                <w:szCs w:val="23"/>
              </w:rPr>
              <w:t>5.5</w:t>
            </w:r>
          </w:p>
        </w:tc>
      </w:tr>
      <w:tr w:rsidR="00CD2BE3" w14:paraId="71AE5737" w14:textId="77777777" w:rsidTr="00403F20">
        <w:tc>
          <w:tcPr>
            <w:tcW w:w="2880" w:type="dxa"/>
            <w:vAlign w:val="center"/>
          </w:tcPr>
          <w:p w14:paraId="60DAF731" w14:textId="4A5B71CE" w:rsidR="00CD2BE3" w:rsidRDefault="00403F20" w:rsidP="00403F20">
            <w:pPr>
              <w:jc w:val="center"/>
              <w:rPr>
                <w:rFonts w:eastAsia="Times New Roman"/>
                <w:sz w:val="23"/>
                <w:szCs w:val="23"/>
              </w:rPr>
            </w:pPr>
            <w:r>
              <w:rPr>
                <w:rFonts w:eastAsia="Times New Roman"/>
                <w:sz w:val="24"/>
                <w:szCs w:val="24"/>
              </w:rPr>
              <w:t>&gt;60-120</w:t>
            </w:r>
          </w:p>
        </w:tc>
        <w:tc>
          <w:tcPr>
            <w:tcW w:w="1620" w:type="dxa"/>
            <w:vAlign w:val="center"/>
          </w:tcPr>
          <w:p w14:paraId="4B4A04FE" w14:textId="019AAE8A" w:rsidR="00CD2BE3" w:rsidRDefault="00403F20" w:rsidP="00403F20">
            <w:pPr>
              <w:tabs>
                <w:tab w:val="left" w:pos="2174"/>
              </w:tabs>
              <w:spacing w:line="243" w:lineRule="auto"/>
              <w:jc w:val="center"/>
              <w:rPr>
                <w:rFonts w:eastAsia="Times New Roman"/>
                <w:sz w:val="23"/>
                <w:szCs w:val="23"/>
              </w:rPr>
            </w:pPr>
            <w:r>
              <w:rPr>
                <w:rFonts w:eastAsia="Times New Roman"/>
                <w:sz w:val="23"/>
                <w:szCs w:val="23"/>
              </w:rPr>
              <w:t>6.3</w:t>
            </w:r>
          </w:p>
        </w:tc>
      </w:tr>
      <w:tr w:rsidR="00CD2BE3" w14:paraId="069BA742" w14:textId="77777777" w:rsidTr="00403F20">
        <w:tc>
          <w:tcPr>
            <w:tcW w:w="2880" w:type="dxa"/>
            <w:vAlign w:val="center"/>
          </w:tcPr>
          <w:p w14:paraId="4854DC1B" w14:textId="4105A36A" w:rsidR="00CD2BE3" w:rsidRDefault="00403F20" w:rsidP="00403F20">
            <w:pPr>
              <w:jc w:val="center"/>
              <w:rPr>
                <w:rFonts w:eastAsia="Times New Roman"/>
                <w:sz w:val="23"/>
                <w:szCs w:val="23"/>
              </w:rPr>
            </w:pPr>
            <w:r>
              <w:rPr>
                <w:rFonts w:eastAsia="Times New Roman"/>
                <w:sz w:val="23"/>
                <w:szCs w:val="23"/>
              </w:rPr>
              <w:t>&gt;120-240</w:t>
            </w:r>
          </w:p>
        </w:tc>
        <w:tc>
          <w:tcPr>
            <w:tcW w:w="1620" w:type="dxa"/>
            <w:vAlign w:val="center"/>
          </w:tcPr>
          <w:p w14:paraId="7A8CCCD9" w14:textId="63C63A17" w:rsidR="00CD2BE3" w:rsidRDefault="00403F20" w:rsidP="00403F20">
            <w:pPr>
              <w:tabs>
                <w:tab w:val="left" w:pos="2174"/>
              </w:tabs>
              <w:spacing w:line="243" w:lineRule="auto"/>
              <w:jc w:val="center"/>
              <w:rPr>
                <w:rFonts w:eastAsia="Times New Roman"/>
                <w:sz w:val="23"/>
                <w:szCs w:val="23"/>
              </w:rPr>
            </w:pPr>
            <w:r>
              <w:rPr>
                <w:rFonts w:eastAsia="Times New Roman"/>
                <w:sz w:val="23"/>
                <w:szCs w:val="23"/>
              </w:rPr>
              <w:t>7.0</w:t>
            </w:r>
          </w:p>
        </w:tc>
      </w:tr>
      <w:tr w:rsidR="00CD2BE3" w14:paraId="21BC3D64" w14:textId="77777777" w:rsidTr="00403F20">
        <w:tc>
          <w:tcPr>
            <w:tcW w:w="2880" w:type="dxa"/>
            <w:vAlign w:val="center"/>
          </w:tcPr>
          <w:p w14:paraId="1C6C3D5C" w14:textId="60BD3936" w:rsidR="00CD2BE3" w:rsidRDefault="00403F20" w:rsidP="00403F20">
            <w:pPr>
              <w:jc w:val="center"/>
              <w:rPr>
                <w:rFonts w:eastAsia="Times New Roman"/>
                <w:sz w:val="23"/>
                <w:szCs w:val="23"/>
              </w:rPr>
            </w:pPr>
            <w:r>
              <w:rPr>
                <w:rFonts w:eastAsia="Times New Roman"/>
                <w:sz w:val="24"/>
                <w:szCs w:val="24"/>
              </w:rPr>
              <w:t>&gt;240</w:t>
            </w:r>
          </w:p>
        </w:tc>
        <w:tc>
          <w:tcPr>
            <w:tcW w:w="1620" w:type="dxa"/>
            <w:vAlign w:val="center"/>
          </w:tcPr>
          <w:p w14:paraId="7F7AB69A" w14:textId="17D7C5E7" w:rsidR="00CD2BE3" w:rsidRDefault="00403F20" w:rsidP="00403F20">
            <w:pPr>
              <w:tabs>
                <w:tab w:val="left" w:pos="2174"/>
              </w:tabs>
              <w:spacing w:line="243" w:lineRule="auto"/>
              <w:jc w:val="center"/>
              <w:rPr>
                <w:rFonts w:eastAsia="Times New Roman"/>
                <w:sz w:val="23"/>
                <w:szCs w:val="23"/>
              </w:rPr>
            </w:pPr>
            <w:r>
              <w:rPr>
                <w:rFonts w:eastAsia="Times New Roman"/>
                <w:sz w:val="23"/>
                <w:szCs w:val="23"/>
              </w:rPr>
              <w:t>7.5</w:t>
            </w:r>
          </w:p>
        </w:tc>
      </w:tr>
    </w:tbl>
    <w:p w14:paraId="7A7ADFF4" w14:textId="56EE8801" w:rsidR="00CD2BE3" w:rsidRDefault="00CD2BE3" w:rsidP="00054ACC">
      <w:pPr>
        <w:tabs>
          <w:tab w:val="left" w:pos="2174"/>
        </w:tabs>
        <w:jc w:val="both"/>
        <w:rPr>
          <w:rFonts w:eastAsia="Times New Roman"/>
          <w:sz w:val="23"/>
          <w:szCs w:val="23"/>
        </w:rPr>
      </w:pPr>
    </w:p>
    <w:p w14:paraId="2819F6C7" w14:textId="77777777" w:rsidR="004647B9" w:rsidRDefault="00E2436F" w:rsidP="00774CA9">
      <w:pPr>
        <w:numPr>
          <w:ilvl w:val="0"/>
          <w:numId w:val="336"/>
        </w:numPr>
        <w:tabs>
          <w:tab w:val="left" w:pos="2174"/>
        </w:tabs>
        <w:ind w:left="1800"/>
        <w:jc w:val="both"/>
        <w:rPr>
          <w:rFonts w:eastAsia="Times New Roman"/>
          <w:sz w:val="24"/>
          <w:szCs w:val="24"/>
        </w:rPr>
      </w:pPr>
      <w:r>
        <w:rPr>
          <w:rFonts w:eastAsia="Times New Roman"/>
          <w:sz w:val="24"/>
          <w:szCs w:val="24"/>
        </w:rPr>
        <w:t>For waters with alkalinities of less than 60 mg/l for which addition of small amounts of alum coagulant (or the equivalent addition of ferric salts) drives the pH below 5.5 before significant TOC removal occurs, the Supplier of Water shall add chemicals necessary to maintain the pH between 5.3 and 5.7 in samples until the TOC removal of 0.3 mg/l per 10 mg/l alum added (or an equivalent amount of ferric salt) is reached.</w:t>
      </w:r>
    </w:p>
    <w:p w14:paraId="2819F6C8" w14:textId="77777777" w:rsidR="004647B9" w:rsidRDefault="00E2436F" w:rsidP="00774CA9">
      <w:pPr>
        <w:numPr>
          <w:ilvl w:val="0"/>
          <w:numId w:val="336"/>
        </w:numPr>
        <w:tabs>
          <w:tab w:val="left" w:pos="2174"/>
        </w:tabs>
        <w:ind w:left="1800"/>
        <w:jc w:val="both"/>
        <w:rPr>
          <w:rFonts w:eastAsia="Times New Roman"/>
          <w:sz w:val="24"/>
          <w:szCs w:val="24"/>
        </w:rPr>
      </w:pPr>
      <w:r>
        <w:rPr>
          <w:rFonts w:eastAsia="Times New Roman"/>
          <w:sz w:val="24"/>
          <w:szCs w:val="24"/>
        </w:rPr>
        <w:t>The Supplier of Water may operate the system at any coagulant dose or pH necessary (consistent with 310 CMR 22.00 requirements) to achieve the minimum TOC percent removal approved under 310 CMR 22.07E(10)(b)3.</w:t>
      </w:r>
    </w:p>
    <w:p w14:paraId="2819F6C9" w14:textId="77777777" w:rsidR="004647B9" w:rsidRDefault="00E2436F" w:rsidP="00774CA9">
      <w:pPr>
        <w:numPr>
          <w:ilvl w:val="0"/>
          <w:numId w:val="336"/>
        </w:numPr>
        <w:tabs>
          <w:tab w:val="left" w:pos="2174"/>
        </w:tabs>
        <w:ind w:left="1800"/>
        <w:jc w:val="both"/>
        <w:rPr>
          <w:rFonts w:eastAsia="Times New Roman"/>
          <w:sz w:val="24"/>
          <w:szCs w:val="24"/>
        </w:rPr>
      </w:pPr>
      <w:r>
        <w:rPr>
          <w:rFonts w:eastAsia="Times New Roman"/>
          <w:sz w:val="24"/>
          <w:szCs w:val="24"/>
        </w:rPr>
        <w:t>If the TOC removal is consistently less than 0.3 mg/l of TOC per ten mg/l of incremental alum dose at all dosages of alum (or equivalent doses of ferric salt), the water will be deemed to contain TOC not amenable to Enhanced Coagulation. The Supplier of Water may then apply to the Department for a waiver of Enhanced Coagulation requirements.</w:t>
      </w:r>
    </w:p>
    <w:p w14:paraId="2819F6CA" w14:textId="77777777" w:rsidR="004647B9" w:rsidRDefault="004647B9">
      <w:pPr>
        <w:sectPr w:rsidR="004647B9" w:rsidSect="00EF630C">
          <w:type w:val="continuous"/>
          <w:pgSz w:w="12240" w:h="20180"/>
          <w:pgMar w:top="708" w:right="1440" w:bottom="1440" w:left="600" w:header="0" w:footer="0" w:gutter="0"/>
          <w:cols w:space="720"/>
        </w:sectPr>
      </w:pPr>
    </w:p>
    <w:p w14:paraId="2819F6CB" w14:textId="77777777" w:rsidR="004647B9" w:rsidRDefault="00E2436F">
      <w:pPr>
        <w:tabs>
          <w:tab w:val="left" w:pos="160"/>
        </w:tabs>
        <w:jc w:val="center"/>
        <w:rPr>
          <w:sz w:val="20"/>
          <w:szCs w:val="20"/>
        </w:rPr>
      </w:pPr>
      <w:bookmarkStart w:id="130" w:name="page132"/>
      <w:bookmarkEnd w:id="13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6CC" w14:textId="77777777" w:rsidR="004647B9" w:rsidRDefault="004647B9" w:rsidP="00054ACC">
      <w:pPr>
        <w:rPr>
          <w:sz w:val="20"/>
          <w:szCs w:val="20"/>
        </w:rPr>
      </w:pPr>
    </w:p>
    <w:p w14:paraId="2819F6CD" w14:textId="77777777" w:rsidR="004647B9" w:rsidRDefault="004647B9" w:rsidP="00054ACC">
      <w:pPr>
        <w:rPr>
          <w:sz w:val="20"/>
          <w:szCs w:val="20"/>
        </w:rPr>
      </w:pPr>
    </w:p>
    <w:p w14:paraId="2819F6CE" w14:textId="77777777" w:rsidR="004647B9" w:rsidRDefault="00E2436F" w:rsidP="00054ACC">
      <w:pPr>
        <w:tabs>
          <w:tab w:val="left" w:pos="920"/>
        </w:tabs>
        <w:rPr>
          <w:sz w:val="20"/>
          <w:szCs w:val="20"/>
        </w:rPr>
      </w:pPr>
      <w:r>
        <w:rPr>
          <w:rFonts w:eastAsia="Times New Roman"/>
          <w:sz w:val="24"/>
          <w:szCs w:val="24"/>
        </w:rPr>
        <w:t>22.07E:</w:t>
      </w:r>
      <w:r>
        <w:rPr>
          <w:sz w:val="20"/>
          <w:szCs w:val="20"/>
        </w:rPr>
        <w:tab/>
      </w:r>
      <w:r>
        <w:rPr>
          <w:rFonts w:eastAsia="Times New Roman"/>
          <w:sz w:val="23"/>
          <w:szCs w:val="23"/>
        </w:rPr>
        <w:t>continued</w:t>
      </w:r>
    </w:p>
    <w:p w14:paraId="2819F6CF" w14:textId="77777777" w:rsidR="004647B9" w:rsidRDefault="004647B9" w:rsidP="00054ACC">
      <w:pPr>
        <w:rPr>
          <w:sz w:val="20"/>
          <w:szCs w:val="20"/>
        </w:rPr>
      </w:pPr>
    </w:p>
    <w:p w14:paraId="2819F6D0" w14:textId="77777777" w:rsidR="004647B9" w:rsidRPr="00CE2673" w:rsidRDefault="00E2436F" w:rsidP="00054ACC">
      <w:pPr>
        <w:numPr>
          <w:ilvl w:val="0"/>
          <w:numId w:val="337"/>
        </w:numPr>
        <w:tabs>
          <w:tab w:val="left" w:pos="2000"/>
        </w:tabs>
        <w:ind w:left="2000" w:hanging="445"/>
        <w:rPr>
          <w:rFonts w:eastAsia="Times New Roman"/>
          <w:sz w:val="24"/>
          <w:szCs w:val="24"/>
        </w:rPr>
      </w:pPr>
      <w:r w:rsidRPr="00CE2673">
        <w:rPr>
          <w:rFonts w:eastAsia="Times New Roman"/>
          <w:sz w:val="24"/>
          <w:szCs w:val="24"/>
          <w:u w:val="single"/>
        </w:rPr>
        <w:t>Compliance Calculations</w:t>
      </w:r>
      <w:r w:rsidRPr="00CE2673">
        <w:rPr>
          <w:rFonts w:eastAsia="Times New Roman"/>
          <w:sz w:val="24"/>
          <w:szCs w:val="24"/>
        </w:rPr>
        <w:t>.</w:t>
      </w:r>
    </w:p>
    <w:p w14:paraId="2819F6D5" w14:textId="24194AB2" w:rsidR="004647B9" w:rsidRPr="00CE2673" w:rsidRDefault="00E2436F" w:rsidP="00054ACC">
      <w:pPr>
        <w:numPr>
          <w:ilvl w:val="1"/>
          <w:numId w:val="337"/>
        </w:numPr>
        <w:tabs>
          <w:tab w:val="left" w:pos="2316"/>
        </w:tabs>
        <w:ind w:left="1920"/>
        <w:jc w:val="both"/>
        <w:rPr>
          <w:rFonts w:eastAsia="Times New Roman"/>
          <w:sz w:val="24"/>
          <w:szCs w:val="24"/>
        </w:rPr>
      </w:pPr>
      <w:r w:rsidRPr="00CE2673">
        <w:rPr>
          <w:rFonts w:eastAsia="Times New Roman"/>
          <w:sz w:val="24"/>
          <w:szCs w:val="24"/>
        </w:rPr>
        <w:t>Each Supplier of Water who uses a Surface Water Source or groundwater source under the direct influence of surface water other than those identified in 310 CMR</w:t>
      </w:r>
      <w:r w:rsidR="00671D84" w:rsidRPr="00CE2673">
        <w:rPr>
          <w:rFonts w:eastAsia="Times New Roman"/>
          <w:sz w:val="24"/>
          <w:szCs w:val="24"/>
        </w:rPr>
        <w:t xml:space="preserve"> 22.</w:t>
      </w:r>
      <w:r w:rsidRPr="00CE2673">
        <w:rPr>
          <w:rFonts w:eastAsia="Times New Roman"/>
          <w:sz w:val="24"/>
          <w:szCs w:val="24"/>
        </w:rPr>
        <w:t>07E(10)(a)2. or 3. shall comply with requirements contained in 310 CMR</w:t>
      </w:r>
      <w:r w:rsidR="00042D9E" w:rsidRPr="00CE2673">
        <w:rPr>
          <w:rFonts w:eastAsia="Times New Roman"/>
          <w:sz w:val="24"/>
          <w:szCs w:val="24"/>
        </w:rPr>
        <w:t xml:space="preserve"> </w:t>
      </w:r>
      <w:r w:rsidRPr="00CE2673">
        <w:rPr>
          <w:rFonts w:eastAsia="Times New Roman"/>
          <w:sz w:val="24"/>
          <w:szCs w:val="24"/>
        </w:rPr>
        <w:t>22.07E(10)(b)2. or 3. Each Supplier of Water shall calculate compliance quarterly, beginning after the system has collected 12 months of data, by determining an annual average using the following method:</w:t>
      </w:r>
    </w:p>
    <w:p w14:paraId="2819F6D7" w14:textId="77777777" w:rsidR="004647B9" w:rsidRPr="00CE2673" w:rsidRDefault="00E2436F" w:rsidP="00997B86">
      <w:pPr>
        <w:numPr>
          <w:ilvl w:val="2"/>
          <w:numId w:val="338"/>
        </w:numPr>
        <w:tabs>
          <w:tab w:val="left" w:pos="2621"/>
        </w:tabs>
        <w:ind w:left="2275" w:right="29"/>
        <w:rPr>
          <w:rFonts w:eastAsia="Times New Roman"/>
          <w:sz w:val="24"/>
          <w:szCs w:val="24"/>
        </w:rPr>
      </w:pPr>
      <w:r w:rsidRPr="00CE2673">
        <w:rPr>
          <w:rFonts w:eastAsia="Times New Roman"/>
          <w:sz w:val="24"/>
          <w:szCs w:val="24"/>
        </w:rPr>
        <w:t>Determine actual monthly TOC percent removal, equal to: (1-(treated water TOC/source water TOC)) x 100</w:t>
      </w:r>
    </w:p>
    <w:p w14:paraId="2819F6D9" w14:textId="77777777" w:rsidR="004647B9" w:rsidRPr="00CE2673" w:rsidRDefault="00E2436F" w:rsidP="00054ACC">
      <w:pPr>
        <w:numPr>
          <w:ilvl w:val="2"/>
          <w:numId w:val="338"/>
        </w:numPr>
        <w:tabs>
          <w:tab w:val="left" w:pos="2640"/>
        </w:tabs>
        <w:ind w:left="2280" w:hanging="5"/>
        <w:rPr>
          <w:rFonts w:eastAsia="Times New Roman"/>
          <w:sz w:val="24"/>
          <w:szCs w:val="24"/>
        </w:rPr>
      </w:pPr>
      <w:r w:rsidRPr="00CE2673">
        <w:rPr>
          <w:rFonts w:eastAsia="Times New Roman"/>
          <w:sz w:val="24"/>
          <w:szCs w:val="24"/>
        </w:rPr>
        <w:t>Determine the required monthly TOC percent removal (from either the table in 310 CMR 22.07E(10)(b)2. or 3.).</w:t>
      </w:r>
    </w:p>
    <w:p w14:paraId="2819F6DB" w14:textId="77777777" w:rsidR="004647B9" w:rsidRPr="00CE2673" w:rsidRDefault="00E2436F" w:rsidP="00054ACC">
      <w:pPr>
        <w:numPr>
          <w:ilvl w:val="2"/>
          <w:numId w:val="338"/>
        </w:numPr>
        <w:tabs>
          <w:tab w:val="left" w:pos="2720"/>
        </w:tabs>
        <w:ind w:left="2280" w:hanging="5"/>
        <w:rPr>
          <w:rFonts w:eastAsia="Times New Roman"/>
          <w:sz w:val="24"/>
          <w:szCs w:val="24"/>
        </w:rPr>
      </w:pPr>
      <w:r w:rsidRPr="00CE2673">
        <w:rPr>
          <w:rFonts w:eastAsia="Times New Roman"/>
          <w:sz w:val="24"/>
          <w:szCs w:val="24"/>
        </w:rPr>
        <w:t>Divide the value in 310 CMR 22.07E(10)(c)1.a. by the value in 310 CMR 22.07E(10)(c)1.b.</w:t>
      </w:r>
    </w:p>
    <w:p w14:paraId="2819F6DD" w14:textId="77777777" w:rsidR="004647B9" w:rsidRPr="00CE2673" w:rsidRDefault="00E2436F" w:rsidP="00054ACC">
      <w:pPr>
        <w:numPr>
          <w:ilvl w:val="2"/>
          <w:numId w:val="338"/>
        </w:numPr>
        <w:tabs>
          <w:tab w:val="left" w:pos="2654"/>
        </w:tabs>
        <w:ind w:left="2280" w:hanging="5"/>
        <w:rPr>
          <w:rFonts w:eastAsia="Times New Roman"/>
          <w:sz w:val="24"/>
          <w:szCs w:val="24"/>
        </w:rPr>
      </w:pPr>
      <w:r w:rsidRPr="00CE2673">
        <w:rPr>
          <w:rFonts w:eastAsia="Times New Roman"/>
          <w:sz w:val="24"/>
          <w:szCs w:val="24"/>
        </w:rPr>
        <w:t>Add together the results of 310 CMR 22.07E(10)(c)1.c. for the last 12 months and divide by 12.</w:t>
      </w:r>
    </w:p>
    <w:p w14:paraId="2819F6DF" w14:textId="77777777" w:rsidR="004647B9" w:rsidRPr="00CE2673" w:rsidRDefault="00E2436F" w:rsidP="00054ACC">
      <w:pPr>
        <w:numPr>
          <w:ilvl w:val="2"/>
          <w:numId w:val="338"/>
        </w:numPr>
        <w:tabs>
          <w:tab w:val="left" w:pos="2706"/>
        </w:tabs>
        <w:ind w:left="2280" w:hanging="5"/>
        <w:rPr>
          <w:rFonts w:eastAsia="Times New Roman"/>
          <w:sz w:val="24"/>
          <w:szCs w:val="24"/>
        </w:rPr>
      </w:pPr>
      <w:r w:rsidRPr="00CE2673">
        <w:rPr>
          <w:rFonts w:eastAsia="Times New Roman"/>
          <w:sz w:val="24"/>
          <w:szCs w:val="24"/>
        </w:rPr>
        <w:t>If the value calculated in 310 CMR 22.07E(10)(c)1.d. is less than 1.00, the supplier is not in compliance with the TOC percent removal requirements.</w:t>
      </w:r>
    </w:p>
    <w:p w14:paraId="2819F6E1" w14:textId="77777777" w:rsidR="004647B9" w:rsidRPr="00CE2673" w:rsidRDefault="00E2436F" w:rsidP="00054ACC">
      <w:pPr>
        <w:numPr>
          <w:ilvl w:val="1"/>
          <w:numId w:val="339"/>
        </w:numPr>
        <w:tabs>
          <w:tab w:val="left" w:pos="2362"/>
        </w:tabs>
        <w:ind w:left="1920" w:hanging="5"/>
        <w:jc w:val="both"/>
        <w:rPr>
          <w:rFonts w:eastAsia="Times New Roman"/>
          <w:sz w:val="24"/>
          <w:szCs w:val="24"/>
        </w:rPr>
      </w:pPr>
      <w:r w:rsidRPr="00CE2673">
        <w:rPr>
          <w:rFonts w:eastAsia="Times New Roman"/>
          <w:sz w:val="24"/>
          <w:szCs w:val="24"/>
        </w:rPr>
        <w:t xml:space="preserve">Each Supplier of Water may use the provisions in 310 CMR 22.07E(10)(c)2.a. through e. in </w:t>
      </w:r>
      <w:r w:rsidRPr="00CE2673">
        <w:rPr>
          <w:rFonts w:eastAsia="Times New Roman"/>
          <w:i/>
          <w:iCs/>
          <w:sz w:val="24"/>
          <w:szCs w:val="24"/>
        </w:rPr>
        <w:t>lieu</w:t>
      </w:r>
      <w:r w:rsidRPr="00CE2673">
        <w:rPr>
          <w:rFonts w:eastAsia="Times New Roman"/>
          <w:sz w:val="24"/>
          <w:szCs w:val="24"/>
        </w:rPr>
        <w:t xml:space="preserve"> of the calculations in 310 CMR 22.07E(10)(c)1.a. through e to determine compliance with TOC percent removal requirements.</w:t>
      </w:r>
    </w:p>
    <w:p w14:paraId="2819F6E4" w14:textId="712ED4BC" w:rsidR="004647B9" w:rsidRPr="00CE2673" w:rsidRDefault="00E2436F" w:rsidP="00054ACC">
      <w:pPr>
        <w:numPr>
          <w:ilvl w:val="2"/>
          <w:numId w:val="339"/>
        </w:numPr>
        <w:tabs>
          <w:tab w:val="left" w:pos="2670"/>
        </w:tabs>
        <w:ind w:left="2280"/>
        <w:jc w:val="both"/>
        <w:rPr>
          <w:rFonts w:eastAsia="Times New Roman"/>
          <w:sz w:val="24"/>
          <w:szCs w:val="24"/>
        </w:rPr>
      </w:pPr>
      <w:r w:rsidRPr="00CE2673">
        <w:rPr>
          <w:rFonts w:eastAsia="Times New Roman"/>
          <w:sz w:val="24"/>
          <w:szCs w:val="24"/>
        </w:rPr>
        <w:t xml:space="preserve">In any month that the Supplier of Water's treated or source water TOC level, measured according to 310 CMR 22.07E(6)(e)3., is less than 2.0 mg/l, the supplier may assign a monthly value of 1.0 (in </w:t>
      </w:r>
      <w:r w:rsidRPr="00CE2673">
        <w:rPr>
          <w:rFonts w:eastAsia="Times New Roman"/>
          <w:i/>
          <w:iCs/>
          <w:sz w:val="24"/>
          <w:szCs w:val="24"/>
        </w:rPr>
        <w:t>lieu</w:t>
      </w:r>
      <w:r w:rsidRPr="00CE2673">
        <w:rPr>
          <w:rFonts w:eastAsia="Times New Roman"/>
          <w:sz w:val="24"/>
          <w:szCs w:val="24"/>
        </w:rPr>
        <w:t xml:space="preserve"> of the value calculated in 310 CMR 22.07E(10)(c)1.c.) when calculating compliance under the provisions of 310 CMR</w:t>
      </w:r>
      <w:r w:rsidR="00CE2673">
        <w:rPr>
          <w:rFonts w:eastAsia="Times New Roman"/>
          <w:sz w:val="24"/>
          <w:szCs w:val="24"/>
        </w:rPr>
        <w:t xml:space="preserve"> </w:t>
      </w:r>
      <w:r w:rsidRPr="00CE2673">
        <w:rPr>
          <w:rFonts w:eastAsia="Times New Roman"/>
          <w:sz w:val="24"/>
          <w:szCs w:val="24"/>
        </w:rPr>
        <w:t>22.07E(10)(c)1.</w:t>
      </w:r>
    </w:p>
    <w:p w14:paraId="2819F6E5" w14:textId="77777777" w:rsidR="004647B9" w:rsidRPr="00CE2673" w:rsidRDefault="00E2436F" w:rsidP="00054ACC">
      <w:pPr>
        <w:numPr>
          <w:ilvl w:val="2"/>
          <w:numId w:val="339"/>
        </w:numPr>
        <w:tabs>
          <w:tab w:val="left" w:pos="2712"/>
        </w:tabs>
        <w:ind w:left="2280" w:hanging="5"/>
        <w:jc w:val="both"/>
        <w:rPr>
          <w:rFonts w:eastAsia="Times New Roman"/>
          <w:sz w:val="24"/>
          <w:szCs w:val="24"/>
        </w:rPr>
      </w:pPr>
      <w:r w:rsidRPr="00CE2673">
        <w:rPr>
          <w:rFonts w:eastAsia="Times New Roman"/>
          <w:sz w:val="24"/>
          <w:szCs w:val="24"/>
        </w:rPr>
        <w:t>In any month that a Supplier of Water practicing softening removes at least 10 mg/l of magnesium hardness (as CaCO</w:t>
      </w:r>
      <w:r w:rsidRPr="00CE2673">
        <w:rPr>
          <w:rFonts w:eastAsia="Times New Roman"/>
          <w:sz w:val="24"/>
          <w:szCs w:val="24"/>
          <w:vertAlign w:val="subscript"/>
        </w:rPr>
        <w:t>3</w:t>
      </w:r>
      <w:r w:rsidRPr="00CE2673">
        <w:rPr>
          <w:rFonts w:eastAsia="Times New Roman"/>
          <w:sz w:val="24"/>
          <w:szCs w:val="24"/>
        </w:rPr>
        <w:t xml:space="preserve">), the supplier may assign a monthly value of 1.0 (in </w:t>
      </w:r>
      <w:r w:rsidRPr="00CE2673">
        <w:rPr>
          <w:rFonts w:eastAsia="Times New Roman"/>
          <w:i/>
          <w:iCs/>
          <w:sz w:val="24"/>
          <w:szCs w:val="24"/>
        </w:rPr>
        <w:t>lieu</w:t>
      </w:r>
      <w:r w:rsidRPr="00CE2673">
        <w:rPr>
          <w:rFonts w:eastAsia="Times New Roman"/>
          <w:sz w:val="24"/>
          <w:szCs w:val="24"/>
        </w:rPr>
        <w:t xml:space="preserve"> of the value calculated in 310 CMR 22.07E(10)(c)1.c.) when calculating compliance under the provisions of 310 CMR 22.07E(10)(c)1.</w:t>
      </w:r>
    </w:p>
    <w:p w14:paraId="2819F6E7" w14:textId="525A9983" w:rsidR="004647B9" w:rsidRPr="00CE2673" w:rsidRDefault="00E2436F" w:rsidP="00054ACC">
      <w:pPr>
        <w:numPr>
          <w:ilvl w:val="2"/>
          <w:numId w:val="339"/>
        </w:numPr>
        <w:tabs>
          <w:tab w:val="left" w:pos="2627"/>
        </w:tabs>
        <w:ind w:left="2280" w:hanging="5"/>
        <w:jc w:val="both"/>
        <w:rPr>
          <w:rFonts w:eastAsia="Times New Roman"/>
          <w:sz w:val="24"/>
          <w:szCs w:val="24"/>
        </w:rPr>
      </w:pPr>
      <w:r w:rsidRPr="00CE2673">
        <w:rPr>
          <w:rFonts w:eastAsia="Times New Roman"/>
          <w:sz w:val="24"/>
          <w:szCs w:val="24"/>
        </w:rPr>
        <w:t xml:space="preserve">In any month that the supplier's source water SUVA, prior to any treatment and measured according to 310 CMR 22.07E(6)(e)4., is </w:t>
      </w:r>
      <w:r w:rsidR="00671D84" w:rsidRPr="00CE2673">
        <w:rPr>
          <w:rFonts w:eastAsia="Arial"/>
          <w:sz w:val="24"/>
          <w:szCs w:val="24"/>
        </w:rPr>
        <w:t>≤</w:t>
      </w:r>
      <w:r w:rsidRPr="00CE2673">
        <w:rPr>
          <w:rFonts w:eastAsia="Times New Roman"/>
          <w:sz w:val="24"/>
          <w:szCs w:val="24"/>
        </w:rPr>
        <w:t xml:space="preserve"> 2.0 l/mg-m, the supplier may assign a monthly value of 1.0 (in </w:t>
      </w:r>
      <w:r w:rsidRPr="00CE2673">
        <w:rPr>
          <w:rFonts w:eastAsia="Times New Roman"/>
          <w:i/>
          <w:iCs/>
          <w:sz w:val="24"/>
          <w:szCs w:val="24"/>
        </w:rPr>
        <w:t>lieu</w:t>
      </w:r>
      <w:r w:rsidRPr="00CE2673">
        <w:rPr>
          <w:rFonts w:eastAsia="Times New Roman"/>
          <w:sz w:val="24"/>
          <w:szCs w:val="24"/>
        </w:rPr>
        <w:t xml:space="preserve"> of the value calculated in 310 CMR 22.07E(10)(c)1.c.) when calculating compliance under the provisions of 310 CMR</w:t>
      </w:r>
      <w:r w:rsidR="00EE195C">
        <w:rPr>
          <w:rFonts w:eastAsia="Times New Roman"/>
          <w:sz w:val="24"/>
          <w:szCs w:val="24"/>
        </w:rPr>
        <w:t xml:space="preserve"> 22.07E(10)(c)1.</w:t>
      </w:r>
    </w:p>
    <w:p w14:paraId="2819F6EA" w14:textId="3BC0C167" w:rsidR="004647B9" w:rsidRPr="00CE2673" w:rsidRDefault="00E2436F" w:rsidP="00054ACC">
      <w:pPr>
        <w:numPr>
          <w:ilvl w:val="2"/>
          <w:numId w:val="339"/>
        </w:numPr>
        <w:tabs>
          <w:tab w:val="left" w:pos="2734"/>
        </w:tabs>
        <w:ind w:left="2280" w:hanging="5"/>
        <w:jc w:val="both"/>
        <w:rPr>
          <w:rFonts w:eastAsia="Times New Roman"/>
          <w:sz w:val="24"/>
          <w:szCs w:val="24"/>
        </w:rPr>
      </w:pPr>
      <w:r w:rsidRPr="00CE2673">
        <w:rPr>
          <w:rFonts w:eastAsia="Times New Roman"/>
          <w:sz w:val="24"/>
          <w:szCs w:val="24"/>
        </w:rPr>
        <w:t xml:space="preserve">In any month that the Supplier of Water's finished water SUVA, measured according to 310 CMR 22.07E(6)(e)4., is </w:t>
      </w:r>
      <w:r w:rsidR="00671D84" w:rsidRPr="00CE2673">
        <w:rPr>
          <w:rFonts w:eastAsia="Arial"/>
          <w:sz w:val="24"/>
          <w:szCs w:val="24"/>
        </w:rPr>
        <w:t>≤</w:t>
      </w:r>
      <w:r w:rsidRPr="00CE2673">
        <w:rPr>
          <w:rFonts w:eastAsia="Times New Roman"/>
          <w:sz w:val="24"/>
          <w:szCs w:val="24"/>
        </w:rPr>
        <w:t xml:space="preserve"> 2.0 l/mg-m, the supplier may assign a monthly value of 1.0 (in </w:t>
      </w:r>
      <w:r w:rsidRPr="00CE2673">
        <w:rPr>
          <w:rFonts w:eastAsia="Times New Roman"/>
          <w:i/>
          <w:iCs/>
          <w:sz w:val="24"/>
          <w:szCs w:val="24"/>
        </w:rPr>
        <w:t>lieu</w:t>
      </w:r>
      <w:r w:rsidRPr="00CE2673">
        <w:rPr>
          <w:rFonts w:eastAsia="Times New Roman"/>
          <w:sz w:val="24"/>
          <w:szCs w:val="24"/>
        </w:rPr>
        <w:t xml:space="preserve"> of the value calculated in 310 CMR 22.07E(10)(c)1.c.) when calculating compliance under the provisions of 310 CMR 22.07E(10)(c)1.</w:t>
      </w:r>
    </w:p>
    <w:p w14:paraId="2819F6EC" w14:textId="77777777" w:rsidR="004647B9" w:rsidRPr="00CE2673" w:rsidRDefault="00E2436F" w:rsidP="00054ACC">
      <w:pPr>
        <w:numPr>
          <w:ilvl w:val="2"/>
          <w:numId w:val="339"/>
        </w:numPr>
        <w:tabs>
          <w:tab w:val="left" w:pos="2677"/>
        </w:tabs>
        <w:ind w:left="2280" w:hanging="5"/>
        <w:jc w:val="both"/>
        <w:rPr>
          <w:rFonts w:eastAsia="Times New Roman"/>
          <w:sz w:val="24"/>
          <w:szCs w:val="24"/>
        </w:rPr>
      </w:pPr>
      <w:r w:rsidRPr="00CE2673">
        <w:rPr>
          <w:rFonts w:eastAsia="Times New Roman"/>
          <w:sz w:val="24"/>
          <w:szCs w:val="24"/>
        </w:rPr>
        <w:t>In any month that a Supplier of Water practicing Enhanced Softening lowers alkalinity below 60 mg/l (as CaCO</w:t>
      </w:r>
      <w:r w:rsidRPr="00CE2673">
        <w:rPr>
          <w:rFonts w:eastAsia="Times New Roman"/>
          <w:sz w:val="24"/>
          <w:szCs w:val="24"/>
          <w:vertAlign w:val="subscript"/>
        </w:rPr>
        <w:t>3</w:t>
      </w:r>
      <w:r w:rsidRPr="00CE2673">
        <w:rPr>
          <w:rFonts w:eastAsia="Times New Roman"/>
          <w:sz w:val="24"/>
          <w:szCs w:val="24"/>
        </w:rPr>
        <w:t xml:space="preserve">), the supplier may assign a monthly value of 1.0 (in </w:t>
      </w:r>
      <w:r w:rsidRPr="00CE2673">
        <w:rPr>
          <w:rFonts w:eastAsia="Times New Roman"/>
          <w:i/>
          <w:iCs/>
          <w:sz w:val="24"/>
          <w:szCs w:val="24"/>
        </w:rPr>
        <w:t>lieu</w:t>
      </w:r>
      <w:r w:rsidRPr="00CE2673">
        <w:rPr>
          <w:rFonts w:eastAsia="Times New Roman"/>
          <w:sz w:val="24"/>
          <w:szCs w:val="24"/>
        </w:rPr>
        <w:t xml:space="preserve"> of the value calculated in 310 CMR 22.07E(10)(c)1.c.) when calculating compliance under the provisions of 310 CMR 22.07E(10)(c)1.</w:t>
      </w:r>
    </w:p>
    <w:p w14:paraId="2819F6EE" w14:textId="77777777" w:rsidR="004647B9" w:rsidRPr="00CE2673" w:rsidRDefault="00E2436F" w:rsidP="00054ACC">
      <w:pPr>
        <w:numPr>
          <w:ilvl w:val="1"/>
          <w:numId w:val="339"/>
        </w:numPr>
        <w:tabs>
          <w:tab w:val="left" w:pos="2316"/>
        </w:tabs>
        <w:ind w:left="1920" w:hanging="5"/>
        <w:jc w:val="both"/>
        <w:rPr>
          <w:rFonts w:eastAsia="Times New Roman"/>
          <w:sz w:val="24"/>
          <w:szCs w:val="24"/>
        </w:rPr>
      </w:pPr>
      <w:r w:rsidRPr="00CE2673">
        <w:rPr>
          <w:rFonts w:eastAsia="Times New Roman"/>
          <w:sz w:val="24"/>
          <w:szCs w:val="24"/>
        </w:rPr>
        <w:t>Each Supplier of Water who uses a Surface Water Source or groundwater source under the direct influence of surface water using conventional treatment may also comply with the requirements of 310 CMR 22.07E(10) by meeting the criteria in 310 CMR 22.07E(10)(a)2. or 3.</w:t>
      </w:r>
    </w:p>
    <w:p w14:paraId="2819F6F0" w14:textId="7BFC57FE" w:rsidR="004647B9" w:rsidRPr="00CE2673" w:rsidRDefault="00E2436F" w:rsidP="00054ACC">
      <w:pPr>
        <w:numPr>
          <w:ilvl w:val="0"/>
          <w:numId w:val="340"/>
        </w:numPr>
        <w:tabs>
          <w:tab w:val="left" w:pos="2112"/>
        </w:tabs>
        <w:ind w:left="1560" w:hanging="5"/>
        <w:jc w:val="both"/>
        <w:rPr>
          <w:rFonts w:eastAsia="Times New Roman"/>
          <w:sz w:val="24"/>
          <w:szCs w:val="24"/>
        </w:rPr>
      </w:pPr>
      <w:r w:rsidRPr="00CE2673">
        <w:rPr>
          <w:rFonts w:eastAsia="Times New Roman"/>
          <w:sz w:val="24"/>
          <w:szCs w:val="24"/>
          <w:u w:val="single"/>
        </w:rPr>
        <w:t>Treatment Technique Requirements for DBP Precursors</w:t>
      </w:r>
      <w:r w:rsidRPr="00CE2673">
        <w:rPr>
          <w:rFonts w:eastAsia="Times New Roman"/>
          <w:sz w:val="24"/>
          <w:szCs w:val="24"/>
        </w:rPr>
        <w:t xml:space="preserve">. The EPA Administrator identifies the following as Treatment Techniques to control the level of Disinfection byproduct precursors in drinking water treatment and Distribution Systems: </w:t>
      </w:r>
      <w:r w:rsidR="00186550" w:rsidRPr="00CE2673">
        <w:rPr>
          <w:rFonts w:eastAsia="Times New Roman"/>
          <w:sz w:val="24"/>
          <w:szCs w:val="24"/>
        </w:rPr>
        <w:t xml:space="preserve"> </w:t>
      </w:r>
      <w:r w:rsidRPr="00CE2673">
        <w:rPr>
          <w:rFonts w:eastAsia="Times New Roman"/>
          <w:sz w:val="24"/>
          <w:szCs w:val="24"/>
        </w:rPr>
        <w:t>For a Supplier of Water who uses a Surface Water Source or groundwater source under the direct influence of surface water that uses conventional treatment, Enhanced Coagulation or Enhanced Softening.</w:t>
      </w:r>
    </w:p>
    <w:p w14:paraId="2819F6F1" w14:textId="77777777" w:rsidR="004647B9" w:rsidRDefault="004647B9">
      <w:pPr>
        <w:sectPr w:rsidR="004647B9" w:rsidSect="00EF630C">
          <w:pgSz w:w="12240" w:h="20180"/>
          <w:pgMar w:top="708" w:right="1440" w:bottom="1440" w:left="600" w:header="0" w:footer="0" w:gutter="0"/>
          <w:cols w:space="720"/>
        </w:sectPr>
      </w:pPr>
    </w:p>
    <w:p w14:paraId="2819F6F2" w14:textId="77777777" w:rsidR="004647B9" w:rsidRDefault="00E2436F">
      <w:pPr>
        <w:tabs>
          <w:tab w:val="left" w:pos="160"/>
        </w:tabs>
        <w:jc w:val="center"/>
        <w:rPr>
          <w:sz w:val="20"/>
          <w:szCs w:val="20"/>
        </w:rPr>
      </w:pPr>
      <w:bookmarkStart w:id="131" w:name="page133"/>
      <w:bookmarkEnd w:id="13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6F3" w14:textId="77777777" w:rsidR="004647B9" w:rsidRDefault="004647B9" w:rsidP="00EE195C">
      <w:pPr>
        <w:rPr>
          <w:sz w:val="20"/>
          <w:szCs w:val="20"/>
        </w:rPr>
      </w:pPr>
    </w:p>
    <w:p w14:paraId="2819F6F4" w14:textId="77777777" w:rsidR="004647B9" w:rsidRDefault="004647B9" w:rsidP="00EE195C">
      <w:pPr>
        <w:rPr>
          <w:sz w:val="20"/>
          <w:szCs w:val="20"/>
        </w:rPr>
      </w:pPr>
    </w:p>
    <w:p w14:paraId="2819F6F5" w14:textId="77777777" w:rsidR="004647B9" w:rsidRPr="00CE2673" w:rsidRDefault="00E2436F" w:rsidP="00EE195C">
      <w:pPr>
        <w:tabs>
          <w:tab w:val="left" w:pos="901"/>
        </w:tabs>
        <w:ind w:left="1"/>
        <w:rPr>
          <w:sz w:val="24"/>
          <w:szCs w:val="24"/>
        </w:rPr>
      </w:pPr>
      <w:r w:rsidRPr="00CE2673">
        <w:rPr>
          <w:rFonts w:eastAsia="Times New Roman"/>
          <w:sz w:val="24"/>
          <w:szCs w:val="24"/>
          <w:u w:val="single"/>
        </w:rPr>
        <w:t>22.07F:</w:t>
      </w:r>
      <w:r w:rsidRPr="00CE2673">
        <w:rPr>
          <w:sz w:val="24"/>
          <w:szCs w:val="24"/>
        </w:rPr>
        <w:tab/>
      </w:r>
      <w:r w:rsidRPr="00CE2673">
        <w:rPr>
          <w:rFonts w:eastAsia="Times New Roman"/>
          <w:sz w:val="24"/>
          <w:szCs w:val="24"/>
          <w:u w:val="single"/>
        </w:rPr>
        <w:t>Stage 2 Disinfection Byproducts Requirements (DBPR)</w:t>
      </w:r>
    </w:p>
    <w:p w14:paraId="2819F6F6" w14:textId="77777777" w:rsidR="004647B9" w:rsidRPr="00EE195C" w:rsidRDefault="004647B9" w:rsidP="00EE195C">
      <w:pPr>
        <w:rPr>
          <w:sz w:val="20"/>
          <w:szCs w:val="20"/>
        </w:rPr>
      </w:pPr>
    </w:p>
    <w:p w14:paraId="2819F6F7" w14:textId="77777777" w:rsidR="004647B9" w:rsidRPr="00CE2673" w:rsidRDefault="00E2436F" w:rsidP="00EE195C">
      <w:pPr>
        <w:numPr>
          <w:ilvl w:val="0"/>
          <w:numId w:val="341"/>
        </w:numPr>
        <w:tabs>
          <w:tab w:val="left" w:pos="1661"/>
        </w:tabs>
        <w:ind w:left="1661" w:hanging="460"/>
        <w:rPr>
          <w:rFonts w:eastAsia="Times New Roman"/>
          <w:sz w:val="24"/>
          <w:szCs w:val="24"/>
        </w:rPr>
      </w:pPr>
      <w:r w:rsidRPr="00CE2673">
        <w:rPr>
          <w:rFonts w:eastAsia="Times New Roman"/>
          <w:sz w:val="24"/>
          <w:szCs w:val="24"/>
          <w:u w:val="single"/>
        </w:rPr>
        <w:t>Initial Distribution System Evaluations</w:t>
      </w:r>
      <w:r w:rsidRPr="00CE2673">
        <w:rPr>
          <w:rFonts w:eastAsia="Times New Roman"/>
          <w:sz w:val="24"/>
          <w:szCs w:val="24"/>
        </w:rPr>
        <w:t>.</w:t>
      </w:r>
    </w:p>
    <w:p w14:paraId="2819F6F9" w14:textId="77777777" w:rsidR="004647B9" w:rsidRPr="00CE2673" w:rsidRDefault="00E2436F" w:rsidP="00EE195C">
      <w:pPr>
        <w:numPr>
          <w:ilvl w:val="1"/>
          <w:numId w:val="341"/>
        </w:numPr>
        <w:tabs>
          <w:tab w:val="left" w:pos="1976"/>
        </w:tabs>
        <w:ind w:left="1561" w:hanging="5"/>
        <w:jc w:val="both"/>
        <w:rPr>
          <w:rFonts w:eastAsia="Times New Roman"/>
          <w:sz w:val="24"/>
          <w:szCs w:val="24"/>
        </w:rPr>
      </w:pPr>
      <w:r w:rsidRPr="00CE2673">
        <w:rPr>
          <w:rFonts w:eastAsia="Times New Roman"/>
          <w:sz w:val="24"/>
          <w:szCs w:val="24"/>
          <w:u w:val="single"/>
        </w:rPr>
        <w:t>General Requirements</w:t>
      </w:r>
      <w:r w:rsidRPr="00CE2673">
        <w:rPr>
          <w:rFonts w:eastAsia="Times New Roman"/>
          <w:sz w:val="24"/>
          <w:szCs w:val="24"/>
        </w:rPr>
        <w:t>. The requirements of 310 CMR 22.07F(1) through (6) establish monitoring and other requirements for identifying Stage 2 DBPR compliance monitoring locations under 310 CMR 22.07(F) for determining compliance with Maximum Contaminant Levels for Total Trihalomethanes (TTHM) and Haloacetic Acids (Five) (HAA5). The Supplier of Water must use an Initial Distribution System Evaluation (IDSE) to determine locations with representative high TTHM and HAA5 concentrations throughout their Distribution System. IDSEs are used in conjunction with, but separate from, compliance monitoring required by 310 CMR 22.07E, to identify and select compliance monitoring locations under 310 CMR 22.07F(6).</w:t>
      </w:r>
    </w:p>
    <w:p w14:paraId="2819F6FB" w14:textId="77777777" w:rsidR="004647B9" w:rsidRPr="00CE2673" w:rsidRDefault="00E2436F" w:rsidP="00EE195C">
      <w:pPr>
        <w:numPr>
          <w:ilvl w:val="1"/>
          <w:numId w:val="341"/>
        </w:numPr>
        <w:tabs>
          <w:tab w:val="left" w:pos="2200"/>
        </w:tabs>
        <w:ind w:left="1561" w:hanging="5"/>
        <w:jc w:val="both"/>
        <w:rPr>
          <w:rFonts w:eastAsia="Times New Roman"/>
          <w:sz w:val="24"/>
          <w:szCs w:val="24"/>
        </w:rPr>
      </w:pPr>
      <w:r w:rsidRPr="00CE2673">
        <w:rPr>
          <w:rFonts w:eastAsia="Times New Roman"/>
          <w:sz w:val="24"/>
          <w:szCs w:val="24"/>
          <w:u w:val="single"/>
        </w:rPr>
        <w:t>Applicability</w:t>
      </w:r>
      <w:r w:rsidRPr="00CE2673">
        <w:rPr>
          <w:rFonts w:eastAsia="Times New Roman"/>
          <w:sz w:val="24"/>
          <w:szCs w:val="24"/>
        </w:rPr>
        <w:t>. For Community Water Systems that use a primary or residual Disinfectant other than ultraviolet light or deliver water that has been treated with a primary or residual Disinfectant other than ultraviolet light; or a Non-transient Non-community Water System that serves at least 10,000 people and uses a primary or residual Disinfectant other than ultraviolet light or delivers water that has been treated with a primary or residual Disinfectant other than ultraviolet light.</w:t>
      </w:r>
    </w:p>
    <w:p w14:paraId="2819F6FD" w14:textId="77777777" w:rsidR="004647B9" w:rsidRPr="00CE2673" w:rsidRDefault="00E2436F" w:rsidP="00EE195C">
      <w:pPr>
        <w:numPr>
          <w:ilvl w:val="1"/>
          <w:numId w:val="341"/>
        </w:numPr>
        <w:tabs>
          <w:tab w:val="left" w:pos="2001"/>
        </w:tabs>
        <w:ind w:left="2001" w:hanging="445"/>
        <w:rPr>
          <w:rFonts w:eastAsia="Times New Roman"/>
          <w:sz w:val="24"/>
          <w:szCs w:val="24"/>
        </w:rPr>
      </w:pPr>
      <w:r w:rsidRPr="00CE2673">
        <w:rPr>
          <w:rFonts w:eastAsia="Times New Roman"/>
          <w:sz w:val="24"/>
          <w:szCs w:val="24"/>
          <w:u w:val="single"/>
        </w:rPr>
        <w:t>Schedule</w:t>
      </w:r>
      <w:r w:rsidRPr="00CE2673">
        <w:rPr>
          <w:rFonts w:eastAsia="Times New Roman"/>
          <w:sz w:val="24"/>
          <w:szCs w:val="24"/>
        </w:rPr>
        <w:t>.</w:t>
      </w:r>
    </w:p>
    <w:p w14:paraId="2819F6FE" w14:textId="77777777" w:rsidR="004647B9" w:rsidRPr="00CE2673" w:rsidRDefault="00E2436F" w:rsidP="00EE195C">
      <w:pPr>
        <w:numPr>
          <w:ilvl w:val="2"/>
          <w:numId w:val="341"/>
        </w:numPr>
        <w:tabs>
          <w:tab w:val="left" w:pos="2296"/>
        </w:tabs>
        <w:ind w:left="1921" w:hanging="5"/>
        <w:rPr>
          <w:rFonts w:eastAsia="Times New Roman"/>
          <w:sz w:val="24"/>
          <w:szCs w:val="24"/>
        </w:rPr>
      </w:pPr>
      <w:r w:rsidRPr="00CE2673">
        <w:rPr>
          <w:rFonts w:eastAsia="Times New Roman"/>
          <w:sz w:val="24"/>
          <w:szCs w:val="24"/>
        </w:rPr>
        <w:t>Each Supplier of Water must comply with the requirements of the schedule in the table in 310 CMR 22.20F(1)(c).</w:t>
      </w:r>
    </w:p>
    <w:p w14:paraId="2819F6FF" w14:textId="77777777" w:rsidR="004647B9" w:rsidRPr="00080D37" w:rsidRDefault="004647B9" w:rsidP="00EE195C">
      <w:pPr>
        <w:rPr>
          <w:sz w:val="24"/>
          <w:szCs w:val="24"/>
        </w:rPr>
      </w:pPr>
    </w:p>
    <w:p w14:paraId="2819F700" w14:textId="77777777" w:rsidR="004647B9" w:rsidRDefault="00E2436F" w:rsidP="00EE195C">
      <w:pPr>
        <w:jc w:val="center"/>
        <w:rPr>
          <w:sz w:val="20"/>
          <w:szCs w:val="20"/>
        </w:rPr>
      </w:pPr>
      <w:r>
        <w:rPr>
          <w:rFonts w:eastAsia="Times New Roman"/>
          <w:sz w:val="24"/>
          <w:szCs w:val="24"/>
        </w:rPr>
        <w:t>TABLE 1 – 310 CMR 22.07F</w:t>
      </w:r>
    </w:p>
    <w:p w14:paraId="2819F702" w14:textId="77777777" w:rsidR="004647B9" w:rsidRDefault="00E2436F" w:rsidP="00EE195C">
      <w:pPr>
        <w:jc w:val="center"/>
        <w:rPr>
          <w:sz w:val="20"/>
          <w:szCs w:val="20"/>
        </w:rPr>
      </w:pPr>
      <w:r>
        <w:rPr>
          <w:rFonts w:eastAsia="Times New Roman"/>
          <w:sz w:val="24"/>
          <w:szCs w:val="24"/>
        </w:rPr>
        <w:t>INITIAL DISTRIBUTION SYSTEM EVALUATION SCHEDULE</w:t>
      </w:r>
    </w:p>
    <w:p w14:paraId="2819F703" w14:textId="77777777" w:rsidR="004647B9" w:rsidRPr="00080D37" w:rsidRDefault="004647B9" w:rsidP="00EE195C">
      <w:pPr>
        <w:rPr>
          <w:sz w:val="24"/>
          <w:szCs w:val="24"/>
        </w:rPr>
      </w:pPr>
    </w:p>
    <w:tbl>
      <w:tblPr>
        <w:tblW w:w="10160" w:type="dxa"/>
        <w:tblInd w:w="51" w:type="dxa"/>
        <w:tblLayout w:type="fixed"/>
        <w:tblCellMar>
          <w:left w:w="0" w:type="dxa"/>
          <w:right w:w="0" w:type="dxa"/>
        </w:tblCellMar>
        <w:tblLook w:val="04A0" w:firstRow="1" w:lastRow="0" w:firstColumn="1" w:lastColumn="0" w:noHBand="0" w:noVBand="1"/>
      </w:tblPr>
      <w:tblGrid>
        <w:gridCol w:w="2340"/>
        <w:gridCol w:w="20"/>
        <w:gridCol w:w="3400"/>
        <w:gridCol w:w="20"/>
        <w:gridCol w:w="2140"/>
        <w:gridCol w:w="2240"/>
      </w:tblGrid>
      <w:tr w:rsidR="00B34550" w14:paraId="2819F709" w14:textId="77777777" w:rsidTr="005E5962">
        <w:trPr>
          <w:trHeight w:val="1378"/>
        </w:trPr>
        <w:tc>
          <w:tcPr>
            <w:tcW w:w="2360" w:type="dxa"/>
            <w:gridSpan w:val="2"/>
            <w:tcBorders>
              <w:top w:val="single" w:sz="8" w:space="0" w:color="auto"/>
              <w:left w:val="single" w:sz="8" w:space="0" w:color="auto"/>
              <w:bottom w:val="single" w:sz="8" w:space="0" w:color="auto"/>
              <w:right w:val="single" w:sz="8" w:space="0" w:color="auto"/>
            </w:tcBorders>
          </w:tcPr>
          <w:p w14:paraId="2819F705" w14:textId="5D14728A" w:rsidR="00B34550" w:rsidRDefault="00B34550" w:rsidP="00A30D08">
            <w:pPr>
              <w:rPr>
                <w:sz w:val="23"/>
                <w:szCs w:val="23"/>
              </w:rPr>
            </w:pPr>
            <w:r>
              <w:rPr>
                <w:rFonts w:eastAsia="Times New Roman"/>
                <w:sz w:val="18"/>
                <w:szCs w:val="18"/>
              </w:rPr>
              <w:t>If you serve this population</w:t>
            </w:r>
          </w:p>
        </w:tc>
        <w:tc>
          <w:tcPr>
            <w:tcW w:w="3400" w:type="dxa"/>
            <w:tcBorders>
              <w:top w:val="single" w:sz="8" w:space="0" w:color="auto"/>
              <w:left w:val="single" w:sz="8" w:space="0" w:color="auto"/>
              <w:bottom w:val="single" w:sz="8" w:space="0" w:color="auto"/>
              <w:right w:val="single" w:sz="8" w:space="0" w:color="auto"/>
            </w:tcBorders>
          </w:tcPr>
          <w:p w14:paraId="2819F706" w14:textId="43A3BB49" w:rsidR="00B34550" w:rsidRDefault="00B34550" w:rsidP="00A30D08">
            <w:pPr>
              <w:rPr>
                <w:sz w:val="20"/>
                <w:szCs w:val="20"/>
              </w:rPr>
            </w:pPr>
            <w:r>
              <w:rPr>
                <w:rFonts w:eastAsia="Times New Roman"/>
                <w:sz w:val="18"/>
                <w:szCs w:val="18"/>
              </w:rPr>
              <w:t>Supplier of water must submit their standard monitoring plan or system specific study plan</w:t>
            </w:r>
            <w:r>
              <w:rPr>
                <w:rFonts w:eastAsia="Times New Roman"/>
                <w:sz w:val="24"/>
                <w:szCs w:val="24"/>
                <w:vertAlign w:val="superscript"/>
              </w:rPr>
              <w:t>1</w:t>
            </w:r>
            <w:r>
              <w:rPr>
                <w:rFonts w:eastAsia="Times New Roman"/>
                <w:sz w:val="18"/>
                <w:szCs w:val="18"/>
              </w:rPr>
              <w:t xml:space="preserve"> or 40/30 certification</w:t>
            </w:r>
            <w:r>
              <w:rPr>
                <w:rFonts w:eastAsia="Times New Roman"/>
                <w:sz w:val="24"/>
                <w:szCs w:val="24"/>
                <w:vertAlign w:val="superscript"/>
              </w:rPr>
              <w:t xml:space="preserve">2 </w:t>
            </w:r>
            <w:r>
              <w:rPr>
                <w:rFonts w:eastAsia="Times New Roman"/>
                <w:sz w:val="18"/>
                <w:szCs w:val="18"/>
              </w:rPr>
              <w:t>to the Department by or receive very small system waiver from the Department</w:t>
            </w:r>
          </w:p>
        </w:tc>
        <w:tc>
          <w:tcPr>
            <w:tcW w:w="2160" w:type="dxa"/>
            <w:gridSpan w:val="2"/>
            <w:tcBorders>
              <w:top w:val="single" w:sz="8" w:space="0" w:color="auto"/>
              <w:bottom w:val="single" w:sz="8" w:space="0" w:color="auto"/>
              <w:right w:val="single" w:sz="8" w:space="0" w:color="auto"/>
            </w:tcBorders>
          </w:tcPr>
          <w:p w14:paraId="2819F707" w14:textId="37F7883C" w:rsidR="00B34550" w:rsidRDefault="00B34550" w:rsidP="00A30D08">
            <w:pPr>
              <w:rPr>
                <w:sz w:val="20"/>
                <w:szCs w:val="20"/>
              </w:rPr>
            </w:pPr>
            <w:r>
              <w:rPr>
                <w:rFonts w:eastAsia="Times New Roman"/>
                <w:sz w:val="18"/>
                <w:szCs w:val="18"/>
              </w:rPr>
              <w:t>Supplier of water must complete their standard monitoring or system specific study by</w:t>
            </w:r>
          </w:p>
        </w:tc>
        <w:tc>
          <w:tcPr>
            <w:tcW w:w="2240" w:type="dxa"/>
            <w:tcBorders>
              <w:top w:val="single" w:sz="8" w:space="0" w:color="auto"/>
              <w:bottom w:val="single" w:sz="8" w:space="0" w:color="auto"/>
              <w:right w:val="single" w:sz="8" w:space="0" w:color="auto"/>
            </w:tcBorders>
          </w:tcPr>
          <w:p w14:paraId="2819F708" w14:textId="3A493D6F" w:rsidR="00B34550" w:rsidRDefault="00B34550" w:rsidP="00A30D08">
            <w:pPr>
              <w:rPr>
                <w:sz w:val="20"/>
                <w:szCs w:val="20"/>
              </w:rPr>
            </w:pPr>
            <w:r>
              <w:rPr>
                <w:rFonts w:eastAsia="Times New Roman"/>
                <w:sz w:val="18"/>
                <w:szCs w:val="18"/>
              </w:rPr>
              <w:t>Supplier of water must submit their IDSE report to the Department by</w:t>
            </w:r>
            <w:r>
              <w:rPr>
                <w:rFonts w:eastAsia="Times New Roman"/>
                <w:sz w:val="24"/>
                <w:szCs w:val="24"/>
                <w:vertAlign w:val="superscript"/>
              </w:rPr>
              <w:t>3</w:t>
            </w:r>
          </w:p>
        </w:tc>
      </w:tr>
      <w:tr w:rsidR="00A30D08" w14:paraId="2F4EDC7A" w14:textId="77777777" w:rsidTr="005E5962">
        <w:trPr>
          <w:trHeight w:val="532"/>
        </w:trPr>
        <w:tc>
          <w:tcPr>
            <w:tcW w:w="10160" w:type="dxa"/>
            <w:gridSpan w:val="6"/>
            <w:tcBorders>
              <w:top w:val="single" w:sz="8" w:space="0" w:color="auto"/>
              <w:left w:val="single" w:sz="8" w:space="0" w:color="auto"/>
              <w:bottom w:val="single" w:sz="8" w:space="0" w:color="auto"/>
              <w:right w:val="single" w:sz="8" w:space="0" w:color="auto"/>
            </w:tcBorders>
          </w:tcPr>
          <w:p w14:paraId="60DA3C79" w14:textId="1F9B11A9" w:rsidR="00A30D08" w:rsidRDefault="00A30D08" w:rsidP="00B34550">
            <w:pPr>
              <w:ind w:left="40"/>
              <w:rPr>
                <w:rFonts w:eastAsia="Times New Roman"/>
                <w:sz w:val="18"/>
                <w:szCs w:val="18"/>
              </w:rPr>
            </w:pPr>
            <w:r>
              <w:rPr>
                <w:rFonts w:eastAsia="Times New Roman"/>
                <w:sz w:val="18"/>
                <w:szCs w:val="18"/>
              </w:rPr>
              <w:t>Systems that are not part of a Combined Distribution System and systems that serve the largest population in the Combined Distribution System</w:t>
            </w:r>
          </w:p>
        </w:tc>
      </w:tr>
      <w:tr w:rsidR="005E5962" w14:paraId="2819F729" w14:textId="77777777" w:rsidTr="005E5962">
        <w:trPr>
          <w:trHeight w:val="257"/>
        </w:trPr>
        <w:tc>
          <w:tcPr>
            <w:tcW w:w="2340" w:type="dxa"/>
            <w:tcBorders>
              <w:left w:val="single" w:sz="8" w:space="0" w:color="auto"/>
              <w:bottom w:val="single" w:sz="8" w:space="0" w:color="auto"/>
              <w:right w:val="single" w:sz="8" w:space="0" w:color="auto"/>
            </w:tcBorders>
            <w:vAlign w:val="center"/>
          </w:tcPr>
          <w:p w14:paraId="2819F724" w14:textId="305059CF" w:rsidR="005E5962" w:rsidRDefault="005E5962" w:rsidP="005E5962">
            <w:pPr>
              <w:ind w:left="40"/>
              <w:rPr>
                <w:sz w:val="20"/>
                <w:szCs w:val="20"/>
              </w:rPr>
            </w:pPr>
            <w:r>
              <w:rPr>
                <w:rFonts w:eastAsia="Times New Roman"/>
                <w:sz w:val="18"/>
                <w:szCs w:val="18"/>
              </w:rPr>
              <w:t xml:space="preserve">a. </w:t>
            </w:r>
            <w:r>
              <w:rPr>
                <w:rFonts w:ascii="Arial" w:eastAsia="Arial" w:hAnsi="Arial" w:cs="Arial"/>
                <w:sz w:val="19"/>
                <w:szCs w:val="19"/>
              </w:rPr>
              <w:t>≥</w:t>
            </w:r>
            <w:r>
              <w:rPr>
                <w:rFonts w:eastAsia="Times New Roman"/>
                <w:sz w:val="18"/>
                <w:szCs w:val="18"/>
              </w:rPr>
              <w:t>100,000</w:t>
            </w:r>
          </w:p>
        </w:tc>
        <w:tc>
          <w:tcPr>
            <w:tcW w:w="3440" w:type="dxa"/>
            <w:gridSpan w:val="3"/>
            <w:tcBorders>
              <w:top w:val="single" w:sz="8" w:space="0" w:color="auto"/>
              <w:bottom w:val="single" w:sz="8" w:space="0" w:color="auto"/>
              <w:right w:val="single" w:sz="8" w:space="0" w:color="auto"/>
            </w:tcBorders>
            <w:vAlign w:val="center"/>
          </w:tcPr>
          <w:p w14:paraId="2819F726" w14:textId="0CE87846" w:rsidR="005E5962" w:rsidRDefault="005E5962" w:rsidP="005E5962">
            <w:pPr>
              <w:jc w:val="center"/>
            </w:pPr>
            <w:r>
              <w:rPr>
                <w:rFonts w:eastAsia="Times New Roman"/>
                <w:sz w:val="18"/>
                <w:szCs w:val="18"/>
              </w:rPr>
              <w:t>October 1, 2006</w:t>
            </w:r>
          </w:p>
        </w:tc>
        <w:tc>
          <w:tcPr>
            <w:tcW w:w="2140" w:type="dxa"/>
            <w:tcBorders>
              <w:top w:val="single" w:sz="8" w:space="0" w:color="auto"/>
              <w:bottom w:val="single" w:sz="8" w:space="0" w:color="auto"/>
              <w:right w:val="single" w:sz="8" w:space="0" w:color="auto"/>
            </w:tcBorders>
            <w:vAlign w:val="center"/>
          </w:tcPr>
          <w:p w14:paraId="2819F727" w14:textId="77777777" w:rsidR="005E5962" w:rsidRDefault="005E5962" w:rsidP="005E5962">
            <w:pPr>
              <w:jc w:val="center"/>
              <w:rPr>
                <w:sz w:val="20"/>
                <w:szCs w:val="20"/>
              </w:rPr>
            </w:pPr>
            <w:r>
              <w:rPr>
                <w:rFonts w:eastAsia="Times New Roman"/>
                <w:sz w:val="18"/>
                <w:szCs w:val="18"/>
              </w:rPr>
              <w:t>September 30, 2008</w:t>
            </w:r>
          </w:p>
        </w:tc>
        <w:tc>
          <w:tcPr>
            <w:tcW w:w="2240" w:type="dxa"/>
            <w:tcBorders>
              <w:bottom w:val="single" w:sz="8" w:space="0" w:color="auto"/>
              <w:right w:val="single" w:sz="8" w:space="0" w:color="auto"/>
            </w:tcBorders>
            <w:vAlign w:val="center"/>
          </w:tcPr>
          <w:p w14:paraId="2819F728" w14:textId="77777777" w:rsidR="005E5962" w:rsidRDefault="005E5962" w:rsidP="005E5962">
            <w:pPr>
              <w:jc w:val="center"/>
              <w:rPr>
                <w:sz w:val="20"/>
                <w:szCs w:val="20"/>
              </w:rPr>
            </w:pPr>
            <w:r>
              <w:rPr>
                <w:rFonts w:eastAsia="Times New Roman"/>
                <w:sz w:val="18"/>
                <w:szCs w:val="18"/>
              </w:rPr>
              <w:t>January 1, 2009</w:t>
            </w:r>
          </w:p>
        </w:tc>
      </w:tr>
      <w:tr w:rsidR="005E5962" w14:paraId="2819F72F" w14:textId="77777777" w:rsidTr="005E5962">
        <w:trPr>
          <w:trHeight w:val="268"/>
        </w:trPr>
        <w:tc>
          <w:tcPr>
            <w:tcW w:w="2340" w:type="dxa"/>
            <w:tcBorders>
              <w:top w:val="single" w:sz="8" w:space="0" w:color="auto"/>
              <w:left w:val="single" w:sz="8" w:space="0" w:color="auto"/>
              <w:bottom w:val="single" w:sz="8" w:space="0" w:color="auto"/>
              <w:right w:val="single" w:sz="8" w:space="0" w:color="auto"/>
            </w:tcBorders>
            <w:vAlign w:val="center"/>
          </w:tcPr>
          <w:p w14:paraId="2819F72A" w14:textId="77777777" w:rsidR="005E5962" w:rsidRDefault="005E5962" w:rsidP="005E5962">
            <w:pPr>
              <w:ind w:left="40"/>
              <w:rPr>
                <w:sz w:val="20"/>
                <w:szCs w:val="20"/>
              </w:rPr>
            </w:pPr>
            <w:r>
              <w:rPr>
                <w:rFonts w:eastAsia="Times New Roman"/>
                <w:sz w:val="18"/>
                <w:szCs w:val="18"/>
              </w:rPr>
              <w:t>b. 50,000-99,999</w:t>
            </w:r>
          </w:p>
        </w:tc>
        <w:tc>
          <w:tcPr>
            <w:tcW w:w="3440" w:type="dxa"/>
            <w:gridSpan w:val="3"/>
            <w:tcBorders>
              <w:top w:val="single" w:sz="8" w:space="0" w:color="auto"/>
              <w:bottom w:val="single" w:sz="8" w:space="0" w:color="auto"/>
              <w:right w:val="single" w:sz="8" w:space="0" w:color="auto"/>
            </w:tcBorders>
            <w:vAlign w:val="center"/>
          </w:tcPr>
          <w:p w14:paraId="2819F72C" w14:textId="3F5BFE47" w:rsidR="005E5962" w:rsidRDefault="005E5962" w:rsidP="005E5962">
            <w:pPr>
              <w:jc w:val="center"/>
              <w:rPr>
                <w:sz w:val="23"/>
                <w:szCs w:val="23"/>
              </w:rPr>
            </w:pPr>
            <w:r>
              <w:rPr>
                <w:rFonts w:eastAsia="Times New Roman"/>
                <w:sz w:val="18"/>
                <w:szCs w:val="18"/>
              </w:rPr>
              <w:t>April 1, 2007</w:t>
            </w:r>
          </w:p>
        </w:tc>
        <w:tc>
          <w:tcPr>
            <w:tcW w:w="2140" w:type="dxa"/>
            <w:tcBorders>
              <w:top w:val="single" w:sz="8" w:space="0" w:color="auto"/>
              <w:bottom w:val="single" w:sz="8" w:space="0" w:color="auto"/>
              <w:right w:val="single" w:sz="8" w:space="0" w:color="auto"/>
            </w:tcBorders>
            <w:vAlign w:val="center"/>
          </w:tcPr>
          <w:p w14:paraId="2819F72D" w14:textId="77777777" w:rsidR="005E5962" w:rsidRDefault="005E5962" w:rsidP="005E5962">
            <w:pPr>
              <w:jc w:val="center"/>
              <w:rPr>
                <w:sz w:val="20"/>
                <w:szCs w:val="20"/>
              </w:rPr>
            </w:pPr>
            <w:r>
              <w:rPr>
                <w:rFonts w:eastAsia="Times New Roman"/>
                <w:sz w:val="18"/>
                <w:szCs w:val="18"/>
              </w:rPr>
              <w:t>March 31, 2009</w:t>
            </w:r>
          </w:p>
        </w:tc>
        <w:tc>
          <w:tcPr>
            <w:tcW w:w="2240" w:type="dxa"/>
            <w:tcBorders>
              <w:top w:val="single" w:sz="8" w:space="0" w:color="auto"/>
              <w:bottom w:val="single" w:sz="8" w:space="0" w:color="auto"/>
              <w:right w:val="single" w:sz="8" w:space="0" w:color="auto"/>
            </w:tcBorders>
            <w:vAlign w:val="center"/>
          </w:tcPr>
          <w:p w14:paraId="2819F72E" w14:textId="77777777" w:rsidR="005E5962" w:rsidRDefault="005E5962" w:rsidP="005E5962">
            <w:pPr>
              <w:jc w:val="center"/>
              <w:rPr>
                <w:sz w:val="20"/>
                <w:szCs w:val="20"/>
              </w:rPr>
            </w:pPr>
            <w:r>
              <w:rPr>
                <w:rFonts w:eastAsia="Times New Roman"/>
                <w:sz w:val="18"/>
                <w:szCs w:val="18"/>
              </w:rPr>
              <w:t>July 1, 2009</w:t>
            </w:r>
          </w:p>
        </w:tc>
      </w:tr>
      <w:tr w:rsidR="005E5962" w14:paraId="2819F73B" w14:textId="77777777" w:rsidTr="005E5962">
        <w:trPr>
          <w:trHeight w:val="253"/>
        </w:trPr>
        <w:tc>
          <w:tcPr>
            <w:tcW w:w="2340" w:type="dxa"/>
            <w:tcBorders>
              <w:top w:val="single" w:sz="8" w:space="0" w:color="auto"/>
              <w:left w:val="single" w:sz="8" w:space="0" w:color="auto"/>
              <w:bottom w:val="single" w:sz="8" w:space="0" w:color="auto"/>
              <w:right w:val="single" w:sz="8" w:space="0" w:color="auto"/>
            </w:tcBorders>
            <w:vAlign w:val="center"/>
          </w:tcPr>
          <w:p w14:paraId="2819F736" w14:textId="77777777" w:rsidR="005E5962" w:rsidRDefault="005E5962" w:rsidP="005E5962">
            <w:pPr>
              <w:ind w:left="40"/>
              <w:rPr>
                <w:sz w:val="20"/>
                <w:szCs w:val="20"/>
              </w:rPr>
            </w:pPr>
            <w:r>
              <w:rPr>
                <w:rFonts w:eastAsia="Times New Roman"/>
                <w:sz w:val="18"/>
                <w:szCs w:val="18"/>
              </w:rPr>
              <w:t>c. 10,000-49,999</w:t>
            </w:r>
          </w:p>
        </w:tc>
        <w:tc>
          <w:tcPr>
            <w:tcW w:w="3440" w:type="dxa"/>
            <w:gridSpan w:val="3"/>
            <w:tcBorders>
              <w:top w:val="single" w:sz="8" w:space="0" w:color="auto"/>
              <w:bottom w:val="single" w:sz="8" w:space="0" w:color="auto"/>
              <w:right w:val="single" w:sz="8" w:space="0" w:color="auto"/>
            </w:tcBorders>
            <w:vAlign w:val="center"/>
          </w:tcPr>
          <w:p w14:paraId="2819F738" w14:textId="3279CF25" w:rsidR="005E5962" w:rsidRDefault="005E5962" w:rsidP="005E5962">
            <w:pPr>
              <w:jc w:val="center"/>
              <w:rPr>
                <w:sz w:val="21"/>
                <w:szCs w:val="21"/>
              </w:rPr>
            </w:pPr>
            <w:r>
              <w:rPr>
                <w:rFonts w:eastAsia="Times New Roman"/>
                <w:sz w:val="18"/>
                <w:szCs w:val="18"/>
              </w:rPr>
              <w:t>October 1, 2007</w:t>
            </w:r>
          </w:p>
        </w:tc>
        <w:tc>
          <w:tcPr>
            <w:tcW w:w="2140" w:type="dxa"/>
            <w:tcBorders>
              <w:top w:val="single" w:sz="8" w:space="0" w:color="auto"/>
              <w:bottom w:val="single" w:sz="8" w:space="0" w:color="auto"/>
              <w:right w:val="single" w:sz="8" w:space="0" w:color="auto"/>
            </w:tcBorders>
            <w:vAlign w:val="center"/>
          </w:tcPr>
          <w:p w14:paraId="2819F739" w14:textId="77777777" w:rsidR="005E5962" w:rsidRDefault="005E5962" w:rsidP="005E5962">
            <w:pPr>
              <w:jc w:val="center"/>
              <w:rPr>
                <w:sz w:val="20"/>
                <w:szCs w:val="20"/>
              </w:rPr>
            </w:pPr>
            <w:r>
              <w:rPr>
                <w:rFonts w:eastAsia="Times New Roman"/>
                <w:sz w:val="18"/>
                <w:szCs w:val="18"/>
              </w:rPr>
              <w:t>September 30, 2009</w:t>
            </w:r>
          </w:p>
        </w:tc>
        <w:tc>
          <w:tcPr>
            <w:tcW w:w="2240" w:type="dxa"/>
            <w:tcBorders>
              <w:top w:val="single" w:sz="8" w:space="0" w:color="auto"/>
              <w:bottom w:val="single" w:sz="8" w:space="0" w:color="auto"/>
              <w:right w:val="single" w:sz="8" w:space="0" w:color="auto"/>
            </w:tcBorders>
            <w:vAlign w:val="center"/>
          </w:tcPr>
          <w:p w14:paraId="2819F73A" w14:textId="77777777" w:rsidR="005E5962" w:rsidRDefault="005E5962" w:rsidP="005E5962">
            <w:pPr>
              <w:jc w:val="center"/>
              <w:rPr>
                <w:sz w:val="20"/>
                <w:szCs w:val="20"/>
              </w:rPr>
            </w:pPr>
            <w:r>
              <w:rPr>
                <w:rFonts w:eastAsia="Times New Roman"/>
                <w:sz w:val="18"/>
                <w:szCs w:val="18"/>
              </w:rPr>
              <w:t>January 1, 2010</w:t>
            </w:r>
          </w:p>
        </w:tc>
      </w:tr>
      <w:tr w:rsidR="005E5962" w14:paraId="2819F741" w14:textId="77777777" w:rsidTr="005E5962">
        <w:trPr>
          <w:trHeight w:val="266"/>
        </w:trPr>
        <w:tc>
          <w:tcPr>
            <w:tcW w:w="2340" w:type="dxa"/>
            <w:tcBorders>
              <w:left w:val="single" w:sz="8" w:space="0" w:color="auto"/>
              <w:bottom w:val="single" w:sz="8" w:space="0" w:color="auto"/>
              <w:right w:val="single" w:sz="8" w:space="0" w:color="auto"/>
            </w:tcBorders>
            <w:vAlign w:val="center"/>
          </w:tcPr>
          <w:p w14:paraId="2819F73C" w14:textId="54168B61" w:rsidR="005E5962" w:rsidRDefault="005E5962" w:rsidP="005E5962">
            <w:pPr>
              <w:ind w:left="40"/>
              <w:rPr>
                <w:sz w:val="20"/>
                <w:szCs w:val="20"/>
              </w:rPr>
            </w:pPr>
            <w:r>
              <w:rPr>
                <w:rFonts w:eastAsia="Times New Roman"/>
                <w:sz w:val="18"/>
                <w:szCs w:val="18"/>
              </w:rPr>
              <w:t>d. &lt; 10,000 (CWS Only)</w:t>
            </w:r>
          </w:p>
        </w:tc>
        <w:tc>
          <w:tcPr>
            <w:tcW w:w="3440" w:type="dxa"/>
            <w:gridSpan w:val="3"/>
            <w:tcBorders>
              <w:bottom w:val="single" w:sz="8" w:space="0" w:color="auto"/>
              <w:right w:val="single" w:sz="8" w:space="0" w:color="auto"/>
            </w:tcBorders>
            <w:vAlign w:val="center"/>
          </w:tcPr>
          <w:p w14:paraId="2819F73E" w14:textId="7E897A33" w:rsidR="005E5962" w:rsidRDefault="005E5962" w:rsidP="005E5962">
            <w:pPr>
              <w:jc w:val="center"/>
              <w:rPr>
                <w:sz w:val="23"/>
                <w:szCs w:val="23"/>
              </w:rPr>
            </w:pPr>
            <w:r>
              <w:rPr>
                <w:rFonts w:eastAsia="Times New Roman"/>
                <w:sz w:val="18"/>
                <w:szCs w:val="18"/>
              </w:rPr>
              <w:t>April 1, 2008</w:t>
            </w:r>
          </w:p>
        </w:tc>
        <w:tc>
          <w:tcPr>
            <w:tcW w:w="2140" w:type="dxa"/>
            <w:tcBorders>
              <w:bottom w:val="single" w:sz="8" w:space="0" w:color="auto"/>
              <w:right w:val="single" w:sz="8" w:space="0" w:color="auto"/>
            </w:tcBorders>
            <w:vAlign w:val="center"/>
          </w:tcPr>
          <w:p w14:paraId="2819F73F" w14:textId="77777777" w:rsidR="005E5962" w:rsidRDefault="005E5962" w:rsidP="005E5962">
            <w:pPr>
              <w:jc w:val="center"/>
              <w:rPr>
                <w:sz w:val="20"/>
                <w:szCs w:val="20"/>
              </w:rPr>
            </w:pPr>
            <w:r>
              <w:rPr>
                <w:rFonts w:eastAsia="Times New Roman"/>
                <w:sz w:val="18"/>
                <w:szCs w:val="18"/>
              </w:rPr>
              <w:t>March 31, 2010</w:t>
            </w:r>
          </w:p>
        </w:tc>
        <w:tc>
          <w:tcPr>
            <w:tcW w:w="2240" w:type="dxa"/>
            <w:tcBorders>
              <w:bottom w:val="single" w:sz="8" w:space="0" w:color="auto"/>
              <w:right w:val="single" w:sz="8" w:space="0" w:color="auto"/>
            </w:tcBorders>
            <w:vAlign w:val="center"/>
          </w:tcPr>
          <w:p w14:paraId="2819F740" w14:textId="77777777" w:rsidR="005E5962" w:rsidRDefault="005E5962" w:rsidP="005E5962">
            <w:pPr>
              <w:jc w:val="center"/>
              <w:rPr>
                <w:sz w:val="20"/>
                <w:szCs w:val="20"/>
              </w:rPr>
            </w:pPr>
            <w:r>
              <w:rPr>
                <w:rFonts w:eastAsia="Times New Roman"/>
                <w:sz w:val="18"/>
                <w:szCs w:val="18"/>
              </w:rPr>
              <w:t>July 1, 2010</w:t>
            </w:r>
          </w:p>
        </w:tc>
      </w:tr>
      <w:tr w:rsidR="005E5962" w14:paraId="2819F74B" w14:textId="77777777" w:rsidTr="005E5962">
        <w:trPr>
          <w:trHeight w:val="246"/>
        </w:trPr>
        <w:tc>
          <w:tcPr>
            <w:tcW w:w="10160" w:type="dxa"/>
            <w:gridSpan w:val="6"/>
            <w:tcBorders>
              <w:top w:val="single" w:sz="8" w:space="0" w:color="auto"/>
              <w:left w:val="single" w:sz="8" w:space="0" w:color="auto"/>
              <w:bottom w:val="single" w:sz="8" w:space="0" w:color="auto"/>
              <w:right w:val="single" w:sz="8" w:space="0" w:color="auto"/>
            </w:tcBorders>
            <w:vAlign w:val="center"/>
          </w:tcPr>
          <w:p w14:paraId="2819F74A" w14:textId="41A26B1A" w:rsidR="005E5962" w:rsidRDefault="005E5962" w:rsidP="005E5962">
            <w:pPr>
              <w:jc w:val="center"/>
              <w:rPr>
                <w:sz w:val="21"/>
                <w:szCs w:val="21"/>
              </w:rPr>
            </w:pPr>
            <w:r>
              <w:rPr>
                <w:rFonts w:eastAsia="Times New Roman"/>
                <w:sz w:val="18"/>
                <w:szCs w:val="18"/>
              </w:rPr>
              <w:t>Other systems that are part of a Combined Distribution System</w:t>
            </w:r>
          </w:p>
        </w:tc>
      </w:tr>
      <w:tr w:rsidR="005E5962" w14:paraId="2819F757" w14:textId="77777777" w:rsidTr="005E5962">
        <w:trPr>
          <w:trHeight w:val="1135"/>
        </w:trPr>
        <w:tc>
          <w:tcPr>
            <w:tcW w:w="2340" w:type="dxa"/>
            <w:tcBorders>
              <w:top w:val="single" w:sz="8" w:space="0" w:color="auto"/>
              <w:left w:val="single" w:sz="8" w:space="0" w:color="auto"/>
              <w:bottom w:val="single" w:sz="8" w:space="0" w:color="auto"/>
              <w:right w:val="single" w:sz="8" w:space="0" w:color="auto"/>
            </w:tcBorders>
          </w:tcPr>
          <w:p w14:paraId="2819F752" w14:textId="771AFEE3" w:rsidR="005E5962" w:rsidRDefault="005E5962" w:rsidP="005E5962">
            <w:pPr>
              <w:rPr>
                <w:sz w:val="20"/>
                <w:szCs w:val="20"/>
              </w:rPr>
            </w:pPr>
            <w:r>
              <w:rPr>
                <w:rFonts w:eastAsia="Times New Roman"/>
                <w:sz w:val="18"/>
                <w:szCs w:val="18"/>
              </w:rPr>
              <w:t>e. Wholesale System or consecutive system</w:t>
            </w:r>
          </w:p>
        </w:tc>
        <w:tc>
          <w:tcPr>
            <w:tcW w:w="3440" w:type="dxa"/>
            <w:gridSpan w:val="3"/>
            <w:tcBorders>
              <w:top w:val="single" w:sz="8" w:space="0" w:color="auto"/>
              <w:bottom w:val="single" w:sz="8" w:space="0" w:color="auto"/>
              <w:right w:val="single" w:sz="8" w:space="0" w:color="auto"/>
            </w:tcBorders>
          </w:tcPr>
          <w:p w14:paraId="2819F754" w14:textId="6079F623" w:rsidR="005E5962" w:rsidRDefault="005E5962" w:rsidP="005E5962">
            <w:pPr>
              <w:rPr>
                <w:sz w:val="21"/>
                <w:szCs w:val="21"/>
              </w:rPr>
            </w:pPr>
            <w:r>
              <w:rPr>
                <w:rFonts w:eastAsia="Times New Roman"/>
                <w:sz w:val="18"/>
                <w:szCs w:val="18"/>
              </w:rPr>
              <w:t>--at the same time as the system with the earliest compliance date in the Combined Distribution System</w:t>
            </w:r>
          </w:p>
        </w:tc>
        <w:tc>
          <w:tcPr>
            <w:tcW w:w="2140" w:type="dxa"/>
            <w:tcBorders>
              <w:top w:val="single" w:sz="8" w:space="0" w:color="auto"/>
              <w:bottom w:val="single" w:sz="8" w:space="0" w:color="auto"/>
              <w:right w:val="single" w:sz="8" w:space="0" w:color="auto"/>
            </w:tcBorders>
          </w:tcPr>
          <w:p w14:paraId="2819F755" w14:textId="093895FF" w:rsidR="005E5962" w:rsidRDefault="005E5962" w:rsidP="005E5962">
            <w:pPr>
              <w:rPr>
                <w:sz w:val="20"/>
                <w:szCs w:val="20"/>
              </w:rPr>
            </w:pPr>
            <w:r>
              <w:rPr>
                <w:rFonts w:eastAsia="Times New Roman"/>
                <w:sz w:val="18"/>
                <w:szCs w:val="18"/>
              </w:rPr>
              <w:t>--at the same time as the system with the earliest compliance date in the Combined Distribution System</w:t>
            </w:r>
          </w:p>
        </w:tc>
        <w:tc>
          <w:tcPr>
            <w:tcW w:w="2240" w:type="dxa"/>
            <w:tcBorders>
              <w:top w:val="single" w:sz="8" w:space="0" w:color="auto"/>
              <w:bottom w:val="single" w:sz="8" w:space="0" w:color="auto"/>
              <w:right w:val="single" w:sz="8" w:space="0" w:color="auto"/>
            </w:tcBorders>
          </w:tcPr>
          <w:p w14:paraId="2819F756" w14:textId="376243BC" w:rsidR="005E5962" w:rsidRDefault="005E5962" w:rsidP="005E5962">
            <w:pPr>
              <w:rPr>
                <w:sz w:val="20"/>
                <w:szCs w:val="20"/>
              </w:rPr>
            </w:pPr>
            <w:r>
              <w:rPr>
                <w:rFonts w:eastAsia="Times New Roman"/>
                <w:sz w:val="18"/>
                <w:szCs w:val="18"/>
              </w:rPr>
              <w:t>--at the same time as the system with the earliest compliance date in the Combined Distribution System</w:t>
            </w:r>
          </w:p>
        </w:tc>
      </w:tr>
    </w:tbl>
    <w:p w14:paraId="2819F770" w14:textId="77777777" w:rsidR="004647B9" w:rsidRDefault="004647B9" w:rsidP="00080D37">
      <w:pPr>
        <w:rPr>
          <w:sz w:val="20"/>
          <w:szCs w:val="20"/>
        </w:rPr>
      </w:pPr>
    </w:p>
    <w:p w14:paraId="2819F772" w14:textId="59C9B1A4" w:rsidR="004647B9" w:rsidRPr="00CE2673" w:rsidRDefault="00E2436F" w:rsidP="00080D37">
      <w:pPr>
        <w:numPr>
          <w:ilvl w:val="0"/>
          <w:numId w:val="342"/>
        </w:numPr>
        <w:tabs>
          <w:tab w:val="left" w:pos="481"/>
        </w:tabs>
        <w:ind w:left="481" w:hanging="480"/>
        <w:jc w:val="both"/>
        <w:rPr>
          <w:sz w:val="24"/>
          <w:szCs w:val="24"/>
        </w:rPr>
      </w:pPr>
      <w:r w:rsidRPr="00CE2673">
        <w:rPr>
          <w:rFonts w:eastAsia="Times New Roman"/>
          <w:sz w:val="24"/>
          <w:szCs w:val="24"/>
        </w:rPr>
        <w:t>If, within 12 months after the date identified in this column, the Department does not approve the Supplier of Water’s plan or notify them that it has not yet completed its review, the Supplier of Water</w:t>
      </w:r>
      <w:r w:rsidR="005E5962" w:rsidRPr="00CE2673">
        <w:rPr>
          <w:rFonts w:eastAsia="Times New Roman"/>
          <w:sz w:val="24"/>
          <w:szCs w:val="24"/>
        </w:rPr>
        <w:t xml:space="preserve"> </w:t>
      </w:r>
      <w:r w:rsidRPr="00CE2673">
        <w:rPr>
          <w:rFonts w:eastAsia="Times New Roman"/>
          <w:sz w:val="24"/>
          <w:szCs w:val="24"/>
        </w:rPr>
        <w:t>may consider the plan that was submitted as approved.</w:t>
      </w:r>
    </w:p>
    <w:p w14:paraId="2819F775" w14:textId="6984940B" w:rsidR="004647B9" w:rsidRPr="00CE2673" w:rsidRDefault="00E2436F" w:rsidP="00DF4A0D">
      <w:pPr>
        <w:numPr>
          <w:ilvl w:val="0"/>
          <w:numId w:val="343"/>
        </w:numPr>
        <w:tabs>
          <w:tab w:val="left" w:pos="481"/>
        </w:tabs>
        <w:ind w:left="475" w:hanging="475"/>
        <w:rPr>
          <w:sz w:val="24"/>
          <w:szCs w:val="24"/>
        </w:rPr>
      </w:pPr>
      <w:r w:rsidRPr="00CE2673">
        <w:rPr>
          <w:rFonts w:eastAsia="Times New Roman"/>
          <w:sz w:val="24"/>
          <w:szCs w:val="24"/>
        </w:rPr>
        <w:t>The Supplier of Water must implement that plan and they must complete standard monitoring or a</w:t>
      </w:r>
      <w:r w:rsidR="005E5962" w:rsidRPr="00CE2673">
        <w:rPr>
          <w:rFonts w:eastAsia="Times New Roman"/>
          <w:sz w:val="24"/>
          <w:szCs w:val="24"/>
        </w:rPr>
        <w:t xml:space="preserve"> </w:t>
      </w:r>
      <w:r w:rsidRPr="00CE2673">
        <w:rPr>
          <w:rFonts w:eastAsia="Times New Roman"/>
          <w:sz w:val="24"/>
          <w:szCs w:val="24"/>
        </w:rPr>
        <w:t>system specific study no later than the date identified in the third column. The supplier of water must submit their 40/30 certification under 310 CMR 22.20F(4) by the date indicated.</w:t>
      </w:r>
    </w:p>
    <w:p w14:paraId="2819F777" w14:textId="77777777" w:rsidR="004647B9" w:rsidRDefault="00E2436F" w:rsidP="00DF4A0D">
      <w:pPr>
        <w:numPr>
          <w:ilvl w:val="0"/>
          <w:numId w:val="344"/>
        </w:numPr>
        <w:tabs>
          <w:tab w:val="left" w:pos="481"/>
        </w:tabs>
        <w:ind w:left="475" w:hanging="475"/>
        <w:jc w:val="both"/>
        <w:rPr>
          <w:rFonts w:eastAsia="Times New Roman"/>
          <w:sz w:val="28"/>
          <w:szCs w:val="28"/>
          <w:vertAlign w:val="superscript"/>
        </w:rPr>
      </w:pPr>
      <w:r w:rsidRPr="00CE2673">
        <w:rPr>
          <w:rFonts w:eastAsia="Times New Roman"/>
          <w:sz w:val="24"/>
          <w:szCs w:val="24"/>
        </w:rPr>
        <w:t>If, within three months after the date identified in this column (nine months after the date identified in this column if the Supplier of Water must comply on the schedule in 310 CMR 22.07F(1)(c)1.c., the Department does not approve their IDSE report or notify them that it has not yet completed its review, the Supplier of Water may consider the report that was submitted as approved and must implement the recommended monitoring in 310 CMR 22.07F as required</w:t>
      </w:r>
      <w:r>
        <w:rPr>
          <w:rFonts w:eastAsia="Times New Roman"/>
          <w:sz w:val="24"/>
          <w:szCs w:val="24"/>
        </w:rPr>
        <w:t>.</w:t>
      </w:r>
    </w:p>
    <w:p w14:paraId="2819F778" w14:textId="77777777" w:rsidR="004647B9" w:rsidRDefault="004647B9" w:rsidP="00080D37">
      <w:pPr>
        <w:sectPr w:rsidR="004647B9" w:rsidSect="00EF630C">
          <w:pgSz w:w="12240" w:h="20180"/>
          <w:pgMar w:top="708" w:right="1440" w:bottom="1440" w:left="599" w:header="0" w:footer="0" w:gutter="0"/>
          <w:cols w:space="720"/>
        </w:sectPr>
      </w:pPr>
    </w:p>
    <w:p w14:paraId="2819F779" w14:textId="77777777" w:rsidR="004647B9" w:rsidRDefault="00E2436F">
      <w:pPr>
        <w:tabs>
          <w:tab w:val="left" w:pos="160"/>
        </w:tabs>
        <w:jc w:val="center"/>
        <w:rPr>
          <w:sz w:val="20"/>
          <w:szCs w:val="20"/>
        </w:rPr>
      </w:pPr>
      <w:bookmarkStart w:id="132" w:name="page134"/>
      <w:bookmarkEnd w:id="13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77A" w14:textId="77777777" w:rsidR="004647B9" w:rsidRDefault="004647B9" w:rsidP="00080D37">
      <w:pPr>
        <w:rPr>
          <w:sz w:val="20"/>
          <w:szCs w:val="20"/>
        </w:rPr>
      </w:pPr>
    </w:p>
    <w:p w14:paraId="2819F77B" w14:textId="77777777" w:rsidR="004647B9" w:rsidRDefault="004647B9" w:rsidP="00080D37">
      <w:pPr>
        <w:rPr>
          <w:sz w:val="20"/>
          <w:szCs w:val="20"/>
        </w:rPr>
      </w:pPr>
    </w:p>
    <w:p w14:paraId="2819F77C"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77D" w14:textId="77777777" w:rsidR="004647B9" w:rsidRDefault="004647B9" w:rsidP="00080D37">
      <w:pPr>
        <w:rPr>
          <w:sz w:val="20"/>
          <w:szCs w:val="20"/>
        </w:rPr>
      </w:pPr>
    </w:p>
    <w:p w14:paraId="2819F77E" w14:textId="77777777" w:rsidR="004647B9" w:rsidRPr="00CE2673" w:rsidRDefault="00E2436F" w:rsidP="00080D37">
      <w:pPr>
        <w:numPr>
          <w:ilvl w:val="2"/>
          <w:numId w:val="345"/>
        </w:numPr>
        <w:tabs>
          <w:tab w:val="left" w:pos="2302"/>
        </w:tabs>
        <w:ind w:left="1920" w:hanging="5"/>
        <w:jc w:val="both"/>
        <w:rPr>
          <w:rFonts w:eastAsia="Times New Roman"/>
          <w:sz w:val="24"/>
          <w:szCs w:val="24"/>
        </w:rPr>
      </w:pPr>
      <w:r w:rsidRPr="00CE2673">
        <w:rPr>
          <w:rFonts w:eastAsia="Times New Roman"/>
          <w:sz w:val="24"/>
          <w:szCs w:val="24"/>
        </w:rPr>
        <w:t>For the purpose of the schedule in 310 CMR 22.07F(1)(c)1., the Department may determine that the Combined Distribution System does not include certain consecutive systems based on factors such as receiving water from a Wholesale System only on an Emergency basis or receiving only a small percentage and small volume of water from a Wholesale System. The Department may also determine that the Combined Distribution System does not include certain Wholesale Systems based on factors such as delivering water to a consecutive system only on an Emergency basis or delivering only a small percentage and small volume of water to a consecutive system.</w:t>
      </w:r>
    </w:p>
    <w:p w14:paraId="2819F77F" w14:textId="77777777" w:rsidR="004647B9" w:rsidRPr="00CE2673" w:rsidRDefault="00E2436F" w:rsidP="00080D37">
      <w:pPr>
        <w:numPr>
          <w:ilvl w:val="1"/>
          <w:numId w:val="346"/>
        </w:numPr>
        <w:tabs>
          <w:tab w:val="left" w:pos="2020"/>
        </w:tabs>
        <w:ind w:left="1560" w:hanging="5"/>
        <w:jc w:val="both"/>
        <w:rPr>
          <w:rFonts w:eastAsia="Times New Roman"/>
          <w:sz w:val="24"/>
          <w:szCs w:val="24"/>
        </w:rPr>
      </w:pPr>
      <w:r w:rsidRPr="00CE2673">
        <w:rPr>
          <w:rFonts w:eastAsia="Times New Roman"/>
          <w:sz w:val="24"/>
          <w:szCs w:val="24"/>
        </w:rPr>
        <w:t>The Supplier of Water must conduct standard monitoring that meets the requirements in 310 CMR 22.20F(2), or a system specific study that meets the requirements in 310 CMR 22.07F(3), or certify to the Department that they meet 40/30 certification criteria under 310 CMR 22.20F(4), or qualify for a very small system waiver under 310 CMR 22.07F(5).</w:t>
      </w:r>
    </w:p>
    <w:p w14:paraId="2819F781" w14:textId="77777777" w:rsidR="004647B9" w:rsidRPr="00CE2673" w:rsidRDefault="00E2436F" w:rsidP="00080D37">
      <w:pPr>
        <w:numPr>
          <w:ilvl w:val="2"/>
          <w:numId w:val="346"/>
        </w:numPr>
        <w:tabs>
          <w:tab w:val="left" w:pos="2287"/>
        </w:tabs>
        <w:ind w:left="1920" w:hanging="5"/>
        <w:jc w:val="both"/>
        <w:rPr>
          <w:rFonts w:eastAsia="Times New Roman"/>
          <w:sz w:val="24"/>
          <w:szCs w:val="24"/>
        </w:rPr>
      </w:pPr>
      <w:r w:rsidRPr="00CE2673">
        <w:rPr>
          <w:rFonts w:eastAsia="Times New Roman"/>
          <w:sz w:val="24"/>
          <w:szCs w:val="24"/>
        </w:rPr>
        <w:t>The Supplier of Water must have taken the full complement of routine TTHM and HAA5 compliance samples required of a system with their population and source water under 310 CMR 22.07E (or they must have taken the full complement of reduced TTHM and HAA5 compliance samples required of a system with their population and source water under 310 CMR 22.07E if they meet reduced monitoring criteria under 310 CMR 22.07E) during the period specified in 310 CMR 22.07F(4)(a) to meet the 40/30 certification criteria in 310 CMR 22.07F(4). The Supplier of Water must have taken TTHM and HAA5 samples under 310 CMR 22.07E(6) and (7) to be eligible for the very small system waiver in 310 CMR 22.07F(5).</w:t>
      </w:r>
    </w:p>
    <w:p w14:paraId="2819F783" w14:textId="77777777" w:rsidR="004647B9" w:rsidRPr="00CE2673" w:rsidRDefault="00E2436F" w:rsidP="00080D37">
      <w:pPr>
        <w:numPr>
          <w:ilvl w:val="2"/>
          <w:numId w:val="346"/>
        </w:numPr>
        <w:tabs>
          <w:tab w:val="left" w:pos="2352"/>
        </w:tabs>
        <w:ind w:left="1920" w:hanging="5"/>
        <w:jc w:val="both"/>
        <w:rPr>
          <w:rFonts w:eastAsia="Times New Roman"/>
          <w:sz w:val="24"/>
          <w:szCs w:val="24"/>
        </w:rPr>
      </w:pPr>
      <w:r w:rsidRPr="00CE2673">
        <w:rPr>
          <w:rFonts w:eastAsia="Times New Roman"/>
          <w:sz w:val="24"/>
          <w:szCs w:val="24"/>
        </w:rPr>
        <w:t>If the Supplier of Water has not taken the required samples, they must conduct standard monitoring that meets the requirements in 310 CMR 22.07F(2), or a system specific study that meets the requirements in 310 CMR 22.07F(3).</w:t>
      </w:r>
    </w:p>
    <w:p w14:paraId="2819F784" w14:textId="77777777" w:rsidR="004647B9" w:rsidRPr="00CE2673" w:rsidRDefault="00E2436F" w:rsidP="00080D37">
      <w:pPr>
        <w:numPr>
          <w:ilvl w:val="1"/>
          <w:numId w:val="346"/>
        </w:numPr>
        <w:tabs>
          <w:tab w:val="left" w:pos="2049"/>
        </w:tabs>
        <w:ind w:left="1560" w:hanging="5"/>
        <w:jc w:val="both"/>
        <w:rPr>
          <w:rFonts w:eastAsia="Times New Roman"/>
          <w:sz w:val="24"/>
          <w:szCs w:val="24"/>
        </w:rPr>
      </w:pPr>
      <w:r w:rsidRPr="00CE2673">
        <w:rPr>
          <w:rFonts w:eastAsia="Times New Roman"/>
          <w:sz w:val="24"/>
          <w:szCs w:val="24"/>
        </w:rPr>
        <w:t>The Supplier of Water must use only the analytical methods specified in 310 CMR 22.07E(6), or otherwise approved by EPA for monitoring under 310 CMR 22.07F, to demonstrate compliance with the requirements of 310 CMR 22.07F.</w:t>
      </w:r>
    </w:p>
    <w:p w14:paraId="2819F788" w14:textId="32E89237" w:rsidR="004647B9" w:rsidRPr="00F73D7B" w:rsidRDefault="00E2436F" w:rsidP="00080D37">
      <w:pPr>
        <w:numPr>
          <w:ilvl w:val="1"/>
          <w:numId w:val="346"/>
        </w:numPr>
        <w:tabs>
          <w:tab w:val="left" w:pos="2049"/>
        </w:tabs>
        <w:ind w:left="1560"/>
        <w:jc w:val="both"/>
        <w:rPr>
          <w:rFonts w:eastAsia="Times New Roman"/>
          <w:sz w:val="24"/>
          <w:szCs w:val="24"/>
        </w:rPr>
      </w:pPr>
      <w:r w:rsidRPr="00F73D7B">
        <w:rPr>
          <w:rFonts w:eastAsia="Times New Roman"/>
          <w:sz w:val="24"/>
          <w:szCs w:val="24"/>
        </w:rPr>
        <w:t>IDSE results will not be used for the purpose of determining compliance with MCLs in</w:t>
      </w:r>
      <w:r w:rsidR="00F73D7B">
        <w:rPr>
          <w:rFonts w:eastAsia="Times New Roman"/>
          <w:sz w:val="24"/>
          <w:szCs w:val="24"/>
        </w:rPr>
        <w:t xml:space="preserve"> </w:t>
      </w:r>
      <w:r w:rsidRPr="00F73D7B">
        <w:rPr>
          <w:rFonts w:eastAsia="Times New Roman"/>
          <w:sz w:val="24"/>
          <w:szCs w:val="24"/>
        </w:rPr>
        <w:t>310 CMR 22.07E(1).</w:t>
      </w:r>
    </w:p>
    <w:p w14:paraId="2819F789" w14:textId="77777777" w:rsidR="004647B9" w:rsidRPr="00080D37" w:rsidRDefault="004647B9" w:rsidP="00080D37">
      <w:pPr>
        <w:rPr>
          <w:rFonts w:eastAsia="Times New Roman"/>
          <w:sz w:val="24"/>
          <w:szCs w:val="24"/>
        </w:rPr>
      </w:pPr>
    </w:p>
    <w:p w14:paraId="2819F78A" w14:textId="77777777" w:rsidR="004647B9" w:rsidRPr="00F73D7B" w:rsidRDefault="00E2436F" w:rsidP="00080D37">
      <w:pPr>
        <w:numPr>
          <w:ilvl w:val="0"/>
          <w:numId w:val="347"/>
        </w:numPr>
        <w:tabs>
          <w:tab w:val="left" w:pos="1660"/>
        </w:tabs>
        <w:ind w:left="1660" w:hanging="460"/>
        <w:rPr>
          <w:rFonts w:eastAsia="Times New Roman"/>
          <w:sz w:val="24"/>
          <w:szCs w:val="24"/>
        </w:rPr>
      </w:pPr>
      <w:r w:rsidRPr="00F73D7B">
        <w:rPr>
          <w:rFonts w:eastAsia="Times New Roman"/>
          <w:sz w:val="24"/>
          <w:szCs w:val="24"/>
          <w:u w:val="single"/>
        </w:rPr>
        <w:t>Standard Monitoring</w:t>
      </w:r>
      <w:r w:rsidRPr="00F73D7B">
        <w:rPr>
          <w:rFonts w:eastAsia="Times New Roman"/>
          <w:sz w:val="24"/>
          <w:szCs w:val="24"/>
        </w:rPr>
        <w:t>.</w:t>
      </w:r>
    </w:p>
    <w:p w14:paraId="2819F78C" w14:textId="77777777" w:rsidR="004647B9" w:rsidRPr="00F73D7B" w:rsidRDefault="00E2436F" w:rsidP="00080D37">
      <w:pPr>
        <w:numPr>
          <w:ilvl w:val="1"/>
          <w:numId w:val="347"/>
        </w:numPr>
        <w:tabs>
          <w:tab w:val="left" w:pos="1984"/>
        </w:tabs>
        <w:ind w:left="1560" w:hanging="5"/>
        <w:jc w:val="both"/>
        <w:rPr>
          <w:rFonts w:eastAsia="Times New Roman"/>
          <w:sz w:val="24"/>
          <w:szCs w:val="24"/>
        </w:rPr>
      </w:pPr>
      <w:r w:rsidRPr="00F73D7B">
        <w:rPr>
          <w:rFonts w:eastAsia="Times New Roman"/>
          <w:sz w:val="24"/>
          <w:szCs w:val="24"/>
          <w:u w:val="single"/>
        </w:rPr>
        <w:t>Standard Monitoring Plan</w:t>
      </w:r>
      <w:r w:rsidRPr="00F73D7B">
        <w:rPr>
          <w:rFonts w:eastAsia="Times New Roman"/>
          <w:sz w:val="24"/>
          <w:szCs w:val="24"/>
        </w:rPr>
        <w:t>. The standard monitoring plan must comply with 310 CMR 22.07F(2)(a)1. through 4. The Supplier of Water must prepare and submit their standard monitoring plan to the Department according to the schedule in 310 CMR 22.07F(1)(c).</w:t>
      </w:r>
    </w:p>
    <w:p w14:paraId="2819F78D" w14:textId="77777777" w:rsidR="004647B9" w:rsidRPr="00F73D7B" w:rsidRDefault="00E2436F" w:rsidP="00080D37">
      <w:pPr>
        <w:numPr>
          <w:ilvl w:val="2"/>
          <w:numId w:val="347"/>
        </w:numPr>
        <w:tabs>
          <w:tab w:val="left" w:pos="2340"/>
        </w:tabs>
        <w:ind w:left="1920" w:hanging="5"/>
        <w:jc w:val="both"/>
        <w:rPr>
          <w:rFonts w:eastAsia="Times New Roman"/>
          <w:sz w:val="24"/>
          <w:szCs w:val="24"/>
        </w:rPr>
      </w:pPr>
      <w:r w:rsidRPr="00F73D7B">
        <w:rPr>
          <w:rFonts w:eastAsia="Times New Roman"/>
          <w:sz w:val="24"/>
          <w:szCs w:val="24"/>
        </w:rPr>
        <w:t>The standard monitoring plan must include a schematic of the Supplier of Water's Distribution System (including Distribution System entry points and their sources, and storage facilities), with notes indicating locations and dates of all projected standard monitoring, and all projected compliance monitoring required under 310 CMR 22.07E.</w:t>
      </w:r>
    </w:p>
    <w:p w14:paraId="2819F78F" w14:textId="77777777" w:rsidR="004647B9" w:rsidRPr="00F73D7B" w:rsidRDefault="00E2436F" w:rsidP="00080D37">
      <w:pPr>
        <w:numPr>
          <w:ilvl w:val="2"/>
          <w:numId w:val="347"/>
        </w:numPr>
        <w:tabs>
          <w:tab w:val="left" w:pos="2359"/>
        </w:tabs>
        <w:ind w:left="1920" w:hanging="5"/>
        <w:jc w:val="both"/>
        <w:rPr>
          <w:rFonts w:eastAsia="Times New Roman"/>
          <w:sz w:val="24"/>
          <w:szCs w:val="24"/>
        </w:rPr>
      </w:pPr>
      <w:r w:rsidRPr="00F73D7B">
        <w:rPr>
          <w:rFonts w:eastAsia="Times New Roman"/>
          <w:sz w:val="24"/>
          <w:szCs w:val="24"/>
        </w:rPr>
        <w:t>The standard monitoring plan must include justification of standard monitoring location selection and a summary of data relied on to justify standard monitoring location selection.</w:t>
      </w:r>
    </w:p>
    <w:p w14:paraId="2819F791" w14:textId="77777777" w:rsidR="004647B9" w:rsidRPr="00F73D7B" w:rsidRDefault="00E2436F" w:rsidP="00080D37">
      <w:pPr>
        <w:numPr>
          <w:ilvl w:val="2"/>
          <w:numId w:val="347"/>
        </w:numPr>
        <w:tabs>
          <w:tab w:val="left" w:pos="2294"/>
        </w:tabs>
        <w:ind w:left="1920" w:hanging="5"/>
        <w:jc w:val="both"/>
        <w:rPr>
          <w:rFonts w:eastAsia="Times New Roman"/>
          <w:sz w:val="24"/>
          <w:szCs w:val="24"/>
        </w:rPr>
      </w:pPr>
      <w:r w:rsidRPr="00F73D7B">
        <w:rPr>
          <w:rFonts w:eastAsia="Times New Roman"/>
          <w:sz w:val="24"/>
          <w:szCs w:val="24"/>
        </w:rPr>
        <w:t>The standard monitoring plan must specify the population served and system type (Surface Water or Groundwater under the Direct Influence of Surface Water or Groundwater).</w:t>
      </w:r>
    </w:p>
    <w:p w14:paraId="2819F792" w14:textId="77777777" w:rsidR="004647B9" w:rsidRPr="00F73D7B" w:rsidRDefault="00E2436F" w:rsidP="00080D37">
      <w:pPr>
        <w:numPr>
          <w:ilvl w:val="2"/>
          <w:numId w:val="347"/>
        </w:numPr>
        <w:tabs>
          <w:tab w:val="left" w:pos="2237"/>
        </w:tabs>
        <w:ind w:left="1920" w:hanging="5"/>
        <w:jc w:val="both"/>
        <w:rPr>
          <w:rFonts w:eastAsia="Times New Roman"/>
          <w:sz w:val="24"/>
          <w:szCs w:val="24"/>
        </w:rPr>
      </w:pPr>
      <w:r w:rsidRPr="00F73D7B">
        <w:rPr>
          <w:rFonts w:eastAsia="Times New Roman"/>
          <w:sz w:val="24"/>
          <w:szCs w:val="24"/>
        </w:rPr>
        <w:t>The Supplier of Water must retain a complete copy of their standard monitoring plan submitted under 310 CMR 22.07F(2)(a), including any Department modification of the standard monitoring plan, for as long as the Supplier of Water is required to retain their IDSE report under 310 CMR 22.07(2)(c)4.</w:t>
      </w:r>
    </w:p>
    <w:p w14:paraId="2819F794" w14:textId="77777777" w:rsidR="004647B9" w:rsidRPr="00F73D7B" w:rsidRDefault="00E2436F" w:rsidP="00080D37">
      <w:pPr>
        <w:numPr>
          <w:ilvl w:val="1"/>
          <w:numId w:val="347"/>
        </w:numPr>
        <w:tabs>
          <w:tab w:val="left" w:pos="2020"/>
        </w:tabs>
        <w:ind w:left="2020" w:hanging="465"/>
        <w:rPr>
          <w:rFonts w:eastAsia="Times New Roman"/>
          <w:sz w:val="24"/>
          <w:szCs w:val="24"/>
        </w:rPr>
      </w:pPr>
      <w:r w:rsidRPr="00F73D7B">
        <w:rPr>
          <w:rFonts w:eastAsia="Times New Roman"/>
          <w:sz w:val="24"/>
          <w:szCs w:val="24"/>
          <w:u w:val="single"/>
        </w:rPr>
        <w:t>Standard Monitoring</w:t>
      </w:r>
      <w:r w:rsidRPr="00F73D7B">
        <w:rPr>
          <w:rFonts w:eastAsia="Times New Roman"/>
          <w:sz w:val="24"/>
          <w:szCs w:val="24"/>
        </w:rPr>
        <w:t>.</w:t>
      </w:r>
    </w:p>
    <w:p w14:paraId="2819F795" w14:textId="77777777" w:rsidR="004647B9" w:rsidRPr="00F73D7B" w:rsidRDefault="00E2436F" w:rsidP="00080D37">
      <w:pPr>
        <w:numPr>
          <w:ilvl w:val="2"/>
          <w:numId w:val="347"/>
        </w:numPr>
        <w:tabs>
          <w:tab w:val="left" w:pos="2431"/>
        </w:tabs>
        <w:ind w:left="1920" w:hanging="5"/>
        <w:jc w:val="both"/>
        <w:rPr>
          <w:rFonts w:eastAsia="Times New Roman"/>
          <w:sz w:val="24"/>
          <w:szCs w:val="24"/>
        </w:rPr>
      </w:pPr>
      <w:r w:rsidRPr="00F73D7B">
        <w:rPr>
          <w:rFonts w:eastAsia="Times New Roman"/>
          <w:sz w:val="24"/>
          <w:szCs w:val="24"/>
        </w:rPr>
        <w:t>The Supplier of Water must monitor as indicated in the table in 310 CMR 22.07F(2)(b)1. The supplier must collect Dual Sample Sets at each monitoring location. One sample in the Dual Sample Set must be analyzed for TTHM. The other sample in the Dual Sample Set must be analyzed for HAA5. The Supplier of Water must conduct one monitoring period during the peak historical month for TTHM levels or HAA5 levels or the month of warmest water temperature. The Supplier of Water must review available compliance, study, or operational data to determine the peak historical month for TTHM or HAA5 levels or warmest water temperature.</w:t>
      </w:r>
    </w:p>
    <w:p w14:paraId="2819F796" w14:textId="77777777" w:rsidR="004647B9" w:rsidRDefault="004647B9">
      <w:pPr>
        <w:sectPr w:rsidR="004647B9" w:rsidSect="00EF630C">
          <w:pgSz w:w="12240" w:h="20180"/>
          <w:pgMar w:top="708" w:right="1440" w:bottom="1440" w:left="600" w:header="0" w:footer="0" w:gutter="0"/>
          <w:cols w:space="720"/>
        </w:sectPr>
      </w:pPr>
    </w:p>
    <w:p w14:paraId="2819F797" w14:textId="77777777" w:rsidR="004647B9" w:rsidRDefault="00E2436F">
      <w:pPr>
        <w:tabs>
          <w:tab w:val="left" w:pos="2860"/>
        </w:tabs>
        <w:ind w:left="1680"/>
        <w:rPr>
          <w:sz w:val="20"/>
          <w:szCs w:val="20"/>
        </w:rPr>
      </w:pPr>
      <w:bookmarkStart w:id="133" w:name="page135"/>
      <w:bookmarkEnd w:id="13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798" w14:textId="77777777" w:rsidR="004647B9" w:rsidRDefault="004647B9" w:rsidP="00080D37">
      <w:pPr>
        <w:rPr>
          <w:sz w:val="20"/>
          <w:szCs w:val="20"/>
        </w:rPr>
      </w:pPr>
    </w:p>
    <w:p w14:paraId="2819F799" w14:textId="77777777" w:rsidR="004647B9" w:rsidRDefault="004647B9" w:rsidP="00080D37">
      <w:pPr>
        <w:rPr>
          <w:sz w:val="20"/>
          <w:szCs w:val="20"/>
        </w:rPr>
      </w:pPr>
    </w:p>
    <w:p w14:paraId="2819F79A"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79B" w14:textId="77777777" w:rsidR="004647B9" w:rsidRDefault="004647B9" w:rsidP="00080D37">
      <w:pPr>
        <w:rPr>
          <w:sz w:val="20"/>
          <w:szCs w:val="20"/>
        </w:rPr>
      </w:pPr>
    </w:p>
    <w:p w14:paraId="2819F79C" w14:textId="77777777" w:rsidR="004647B9" w:rsidRDefault="00E2436F" w:rsidP="00080D37">
      <w:pPr>
        <w:ind w:left="3660"/>
        <w:rPr>
          <w:sz w:val="20"/>
          <w:szCs w:val="20"/>
        </w:rPr>
      </w:pPr>
      <w:r>
        <w:rPr>
          <w:rFonts w:eastAsia="Times New Roman"/>
          <w:sz w:val="24"/>
          <w:szCs w:val="24"/>
        </w:rPr>
        <w:t>TABLE 2 – 310 CMR 22.07F</w:t>
      </w:r>
    </w:p>
    <w:p w14:paraId="2819F79E" w14:textId="77777777" w:rsidR="004647B9" w:rsidRDefault="00E2436F" w:rsidP="00080D37">
      <w:pPr>
        <w:ind w:left="3660"/>
        <w:rPr>
          <w:sz w:val="20"/>
          <w:szCs w:val="20"/>
        </w:rPr>
      </w:pPr>
      <w:r>
        <w:rPr>
          <w:rFonts w:eastAsia="Times New Roman"/>
          <w:sz w:val="24"/>
          <w:szCs w:val="24"/>
        </w:rPr>
        <w:t>STANDARD MONITORING</w:t>
      </w:r>
    </w:p>
    <w:p w14:paraId="2819F79F" w14:textId="77777777" w:rsidR="004647B9" w:rsidRPr="00080D37" w:rsidRDefault="004647B9" w:rsidP="00080D37">
      <w:pPr>
        <w:rPr>
          <w:sz w:val="24"/>
          <w:szCs w:val="24"/>
        </w:rPr>
      </w:pPr>
    </w:p>
    <w:tbl>
      <w:tblPr>
        <w:tblW w:w="10620" w:type="dxa"/>
        <w:tblInd w:w="50" w:type="dxa"/>
        <w:tblLayout w:type="fixed"/>
        <w:tblCellMar>
          <w:left w:w="0" w:type="dxa"/>
          <w:right w:w="0" w:type="dxa"/>
        </w:tblCellMar>
        <w:tblLook w:val="04A0" w:firstRow="1" w:lastRow="0" w:firstColumn="1" w:lastColumn="0" w:noHBand="0" w:noVBand="1"/>
      </w:tblPr>
      <w:tblGrid>
        <w:gridCol w:w="1540"/>
        <w:gridCol w:w="1800"/>
        <w:gridCol w:w="1440"/>
        <w:gridCol w:w="1260"/>
        <w:gridCol w:w="1080"/>
        <w:gridCol w:w="980"/>
        <w:gridCol w:w="1280"/>
        <w:gridCol w:w="1240"/>
      </w:tblGrid>
      <w:tr w:rsidR="00933BEF" w14:paraId="2819F7A8" w14:textId="77777777" w:rsidTr="00933BEF">
        <w:trPr>
          <w:trHeight w:val="349"/>
        </w:trPr>
        <w:tc>
          <w:tcPr>
            <w:tcW w:w="1540" w:type="dxa"/>
            <w:vMerge w:val="restart"/>
            <w:tcBorders>
              <w:top w:val="single" w:sz="8" w:space="0" w:color="auto"/>
              <w:left w:val="single" w:sz="8" w:space="0" w:color="auto"/>
              <w:right w:val="single" w:sz="8" w:space="0" w:color="auto"/>
            </w:tcBorders>
            <w:vAlign w:val="center"/>
          </w:tcPr>
          <w:p w14:paraId="2819F7A0" w14:textId="4AD32A53" w:rsidR="00933BEF" w:rsidRDefault="00933BEF" w:rsidP="00155E35">
            <w:pPr>
              <w:ind w:left="40"/>
              <w:rPr>
                <w:sz w:val="24"/>
                <w:szCs w:val="24"/>
              </w:rPr>
            </w:pPr>
            <w:r>
              <w:rPr>
                <w:rFonts w:eastAsia="Times New Roman"/>
                <w:sz w:val="18"/>
                <w:szCs w:val="18"/>
              </w:rPr>
              <w:t>Source water type</w:t>
            </w:r>
          </w:p>
        </w:tc>
        <w:tc>
          <w:tcPr>
            <w:tcW w:w="1800" w:type="dxa"/>
            <w:vMerge w:val="restart"/>
            <w:tcBorders>
              <w:top w:val="single" w:sz="8" w:space="0" w:color="auto"/>
              <w:right w:val="single" w:sz="8" w:space="0" w:color="auto"/>
            </w:tcBorders>
            <w:vAlign w:val="center"/>
          </w:tcPr>
          <w:p w14:paraId="2819F7A2" w14:textId="5121EF9E" w:rsidR="00933BEF" w:rsidRDefault="00933BEF" w:rsidP="00F01593">
            <w:pPr>
              <w:ind w:right="50"/>
              <w:jc w:val="center"/>
              <w:rPr>
                <w:sz w:val="24"/>
                <w:szCs w:val="24"/>
              </w:rPr>
            </w:pPr>
            <w:r>
              <w:rPr>
                <w:rFonts w:eastAsia="Times New Roman"/>
                <w:sz w:val="18"/>
                <w:szCs w:val="18"/>
              </w:rPr>
              <w:t>Population size category</w:t>
            </w:r>
          </w:p>
        </w:tc>
        <w:tc>
          <w:tcPr>
            <w:tcW w:w="1440" w:type="dxa"/>
            <w:vMerge w:val="restart"/>
            <w:tcBorders>
              <w:top w:val="single" w:sz="8" w:space="0" w:color="auto"/>
              <w:left w:val="single" w:sz="8" w:space="0" w:color="auto"/>
              <w:right w:val="single" w:sz="8" w:space="0" w:color="auto"/>
            </w:tcBorders>
            <w:vAlign w:val="center"/>
          </w:tcPr>
          <w:p w14:paraId="2819F7A3" w14:textId="1A0E8671" w:rsidR="00933BEF" w:rsidRDefault="00933BEF" w:rsidP="00F01593">
            <w:pPr>
              <w:jc w:val="center"/>
              <w:rPr>
                <w:sz w:val="20"/>
                <w:szCs w:val="20"/>
              </w:rPr>
            </w:pPr>
            <w:r>
              <w:rPr>
                <w:rFonts w:eastAsia="Times New Roman"/>
                <w:sz w:val="18"/>
                <w:szCs w:val="18"/>
              </w:rPr>
              <w:t>Monitoring periods and frequency of sampling</w:t>
            </w:r>
          </w:p>
        </w:tc>
        <w:tc>
          <w:tcPr>
            <w:tcW w:w="5840" w:type="dxa"/>
            <w:gridSpan w:val="5"/>
            <w:vMerge w:val="restart"/>
            <w:tcBorders>
              <w:top w:val="single" w:sz="8" w:space="0" w:color="auto"/>
              <w:right w:val="single" w:sz="8" w:space="0" w:color="auto"/>
            </w:tcBorders>
            <w:vAlign w:val="center"/>
          </w:tcPr>
          <w:p w14:paraId="2819F7A6" w14:textId="71C74B67" w:rsidR="00933BEF" w:rsidRDefault="00933BEF" w:rsidP="00F01593">
            <w:pPr>
              <w:jc w:val="center"/>
              <w:rPr>
                <w:sz w:val="24"/>
                <w:szCs w:val="24"/>
              </w:rPr>
            </w:pPr>
            <w:r>
              <w:rPr>
                <w:rFonts w:eastAsia="Times New Roman"/>
                <w:sz w:val="18"/>
                <w:szCs w:val="18"/>
              </w:rPr>
              <w:t>Distribution System monitoring locations</w:t>
            </w:r>
            <w:r>
              <w:rPr>
                <w:rFonts w:eastAsia="Times New Roman"/>
                <w:sz w:val="24"/>
                <w:szCs w:val="24"/>
                <w:vertAlign w:val="superscript"/>
              </w:rPr>
              <w:t>1</w:t>
            </w:r>
          </w:p>
        </w:tc>
      </w:tr>
      <w:tr w:rsidR="00933BEF" w14:paraId="2819F7B5" w14:textId="77777777" w:rsidTr="00933BEF">
        <w:trPr>
          <w:trHeight w:val="80"/>
        </w:trPr>
        <w:tc>
          <w:tcPr>
            <w:tcW w:w="1540" w:type="dxa"/>
            <w:vMerge/>
            <w:tcBorders>
              <w:left w:val="single" w:sz="8" w:space="0" w:color="auto"/>
              <w:right w:val="single" w:sz="8" w:space="0" w:color="auto"/>
            </w:tcBorders>
            <w:vAlign w:val="bottom"/>
          </w:tcPr>
          <w:p w14:paraId="2819F7A9" w14:textId="50447E9F" w:rsidR="00933BEF" w:rsidRDefault="00933BEF" w:rsidP="00347FE4">
            <w:pPr>
              <w:ind w:left="40"/>
              <w:rPr>
                <w:sz w:val="6"/>
                <w:szCs w:val="6"/>
              </w:rPr>
            </w:pPr>
          </w:p>
        </w:tc>
        <w:tc>
          <w:tcPr>
            <w:tcW w:w="1800" w:type="dxa"/>
            <w:vMerge/>
            <w:tcBorders>
              <w:right w:val="single" w:sz="8" w:space="0" w:color="auto"/>
            </w:tcBorders>
            <w:vAlign w:val="bottom"/>
          </w:tcPr>
          <w:p w14:paraId="2819F7AB" w14:textId="5B0ACAA0" w:rsidR="00933BEF" w:rsidRDefault="00933BEF" w:rsidP="00347FE4">
            <w:pPr>
              <w:ind w:right="30"/>
              <w:jc w:val="center"/>
              <w:rPr>
                <w:sz w:val="20"/>
                <w:szCs w:val="20"/>
              </w:rPr>
            </w:pPr>
          </w:p>
        </w:tc>
        <w:tc>
          <w:tcPr>
            <w:tcW w:w="1440" w:type="dxa"/>
            <w:vMerge/>
            <w:tcBorders>
              <w:left w:val="single" w:sz="8" w:space="0" w:color="auto"/>
              <w:right w:val="single" w:sz="8" w:space="0" w:color="auto"/>
            </w:tcBorders>
            <w:vAlign w:val="bottom"/>
          </w:tcPr>
          <w:p w14:paraId="2819F7AC" w14:textId="466F4E13" w:rsidR="00933BEF" w:rsidRDefault="00933BEF" w:rsidP="00347FE4">
            <w:pPr>
              <w:jc w:val="center"/>
              <w:rPr>
                <w:sz w:val="20"/>
                <w:szCs w:val="20"/>
              </w:rPr>
            </w:pPr>
          </w:p>
        </w:tc>
        <w:tc>
          <w:tcPr>
            <w:tcW w:w="5840" w:type="dxa"/>
            <w:gridSpan w:val="5"/>
            <w:vMerge/>
            <w:tcBorders>
              <w:bottom w:val="single" w:sz="8" w:space="0" w:color="auto"/>
              <w:right w:val="single" w:sz="8" w:space="0" w:color="auto"/>
            </w:tcBorders>
            <w:vAlign w:val="bottom"/>
          </w:tcPr>
          <w:p w14:paraId="2819F7B3" w14:textId="77777777" w:rsidR="00933BEF" w:rsidRDefault="00933BEF">
            <w:pPr>
              <w:rPr>
                <w:sz w:val="6"/>
                <w:szCs w:val="6"/>
              </w:rPr>
            </w:pPr>
          </w:p>
        </w:tc>
      </w:tr>
      <w:tr w:rsidR="00933BEF" w14:paraId="2819F7C1" w14:textId="77777777" w:rsidTr="004E5104">
        <w:trPr>
          <w:trHeight w:val="230"/>
        </w:trPr>
        <w:tc>
          <w:tcPr>
            <w:tcW w:w="1540" w:type="dxa"/>
            <w:vMerge/>
            <w:tcBorders>
              <w:left w:val="single" w:sz="8" w:space="0" w:color="auto"/>
              <w:right w:val="single" w:sz="8" w:space="0" w:color="auto"/>
            </w:tcBorders>
            <w:vAlign w:val="bottom"/>
          </w:tcPr>
          <w:p w14:paraId="2819F7B6" w14:textId="36A04A05" w:rsidR="00933BEF" w:rsidRDefault="00933BEF">
            <w:pPr>
              <w:ind w:left="40"/>
              <w:rPr>
                <w:sz w:val="20"/>
                <w:szCs w:val="20"/>
              </w:rPr>
            </w:pPr>
          </w:p>
        </w:tc>
        <w:tc>
          <w:tcPr>
            <w:tcW w:w="1800" w:type="dxa"/>
            <w:vMerge/>
            <w:tcBorders>
              <w:right w:val="single" w:sz="8" w:space="0" w:color="auto"/>
            </w:tcBorders>
            <w:vAlign w:val="bottom"/>
          </w:tcPr>
          <w:p w14:paraId="2819F7B8" w14:textId="508825B8" w:rsidR="00933BEF" w:rsidRDefault="00933BEF" w:rsidP="00347FE4">
            <w:pPr>
              <w:ind w:right="30"/>
              <w:jc w:val="center"/>
              <w:rPr>
                <w:sz w:val="14"/>
                <w:szCs w:val="14"/>
              </w:rPr>
            </w:pPr>
          </w:p>
        </w:tc>
        <w:tc>
          <w:tcPr>
            <w:tcW w:w="1440" w:type="dxa"/>
            <w:vMerge/>
            <w:tcBorders>
              <w:left w:val="single" w:sz="8" w:space="0" w:color="auto"/>
              <w:right w:val="single" w:sz="8" w:space="0" w:color="auto"/>
            </w:tcBorders>
            <w:vAlign w:val="bottom"/>
          </w:tcPr>
          <w:p w14:paraId="2819F7B9" w14:textId="5C502422" w:rsidR="00933BEF" w:rsidRDefault="00933BEF" w:rsidP="00347FE4">
            <w:pPr>
              <w:jc w:val="center"/>
              <w:rPr>
                <w:sz w:val="14"/>
                <w:szCs w:val="14"/>
              </w:rPr>
            </w:pPr>
          </w:p>
        </w:tc>
        <w:tc>
          <w:tcPr>
            <w:tcW w:w="1260" w:type="dxa"/>
            <w:vMerge w:val="restart"/>
            <w:tcBorders>
              <w:right w:val="single" w:sz="8" w:space="0" w:color="auto"/>
            </w:tcBorders>
            <w:vAlign w:val="center"/>
          </w:tcPr>
          <w:p w14:paraId="2819F7BB" w14:textId="62101199" w:rsidR="00933BEF" w:rsidRDefault="00933BEF" w:rsidP="00F01593">
            <w:pPr>
              <w:ind w:left="10"/>
              <w:jc w:val="center"/>
              <w:rPr>
                <w:sz w:val="14"/>
                <w:szCs w:val="14"/>
              </w:rPr>
            </w:pPr>
            <w:r>
              <w:rPr>
                <w:rFonts w:eastAsia="Times New Roman"/>
                <w:sz w:val="18"/>
                <w:szCs w:val="18"/>
              </w:rPr>
              <w:t>Total per monitoring period</w:t>
            </w:r>
          </w:p>
        </w:tc>
        <w:tc>
          <w:tcPr>
            <w:tcW w:w="1080" w:type="dxa"/>
            <w:vMerge w:val="restart"/>
            <w:tcBorders>
              <w:left w:val="single" w:sz="8" w:space="0" w:color="auto"/>
              <w:right w:val="single" w:sz="8" w:space="0" w:color="auto"/>
            </w:tcBorders>
            <w:vAlign w:val="center"/>
          </w:tcPr>
          <w:p w14:paraId="2819F7BC" w14:textId="768FA17E" w:rsidR="00933BEF" w:rsidRDefault="00933BEF" w:rsidP="00F01593">
            <w:pPr>
              <w:jc w:val="center"/>
              <w:rPr>
                <w:sz w:val="20"/>
                <w:szCs w:val="20"/>
              </w:rPr>
            </w:pPr>
            <w:r>
              <w:rPr>
                <w:rFonts w:eastAsia="Times New Roman"/>
                <w:sz w:val="18"/>
                <w:szCs w:val="18"/>
              </w:rPr>
              <w:t>Near entry points</w:t>
            </w:r>
          </w:p>
        </w:tc>
        <w:tc>
          <w:tcPr>
            <w:tcW w:w="980" w:type="dxa"/>
            <w:vMerge w:val="restart"/>
            <w:tcBorders>
              <w:right w:val="single" w:sz="8" w:space="0" w:color="auto"/>
            </w:tcBorders>
            <w:vAlign w:val="center"/>
          </w:tcPr>
          <w:p w14:paraId="2819F7BD" w14:textId="7960F22C" w:rsidR="00933BEF" w:rsidRDefault="00933BEF" w:rsidP="00F01593">
            <w:pPr>
              <w:jc w:val="center"/>
              <w:rPr>
                <w:sz w:val="20"/>
                <w:szCs w:val="20"/>
              </w:rPr>
            </w:pPr>
            <w:r>
              <w:rPr>
                <w:rFonts w:eastAsia="Times New Roman"/>
                <w:sz w:val="18"/>
                <w:szCs w:val="18"/>
              </w:rPr>
              <w:t>Average residence Time</w:t>
            </w:r>
          </w:p>
        </w:tc>
        <w:tc>
          <w:tcPr>
            <w:tcW w:w="1280" w:type="dxa"/>
            <w:vMerge w:val="restart"/>
            <w:tcBorders>
              <w:right w:val="single" w:sz="8" w:space="0" w:color="auto"/>
            </w:tcBorders>
            <w:vAlign w:val="center"/>
          </w:tcPr>
          <w:p w14:paraId="2819F7BE" w14:textId="440A3131" w:rsidR="00933BEF" w:rsidRDefault="00933BEF" w:rsidP="00F01593">
            <w:pPr>
              <w:ind w:right="40"/>
              <w:jc w:val="center"/>
              <w:rPr>
                <w:sz w:val="20"/>
                <w:szCs w:val="20"/>
              </w:rPr>
            </w:pPr>
            <w:r>
              <w:rPr>
                <w:rFonts w:eastAsia="Times New Roman"/>
                <w:sz w:val="18"/>
                <w:szCs w:val="18"/>
              </w:rPr>
              <w:t>High TTHM locations</w:t>
            </w:r>
          </w:p>
        </w:tc>
        <w:tc>
          <w:tcPr>
            <w:tcW w:w="1240" w:type="dxa"/>
            <w:vMerge w:val="restart"/>
            <w:tcBorders>
              <w:bottom w:val="single" w:sz="8" w:space="0" w:color="auto"/>
              <w:right w:val="single" w:sz="8" w:space="0" w:color="auto"/>
            </w:tcBorders>
            <w:vAlign w:val="center"/>
          </w:tcPr>
          <w:p w14:paraId="2819F7BF" w14:textId="09640A15" w:rsidR="00933BEF" w:rsidRDefault="00933BEF" w:rsidP="00F01593">
            <w:pPr>
              <w:jc w:val="center"/>
              <w:rPr>
                <w:sz w:val="20"/>
                <w:szCs w:val="20"/>
              </w:rPr>
            </w:pPr>
            <w:r>
              <w:rPr>
                <w:rFonts w:eastAsia="Times New Roman"/>
                <w:sz w:val="18"/>
                <w:szCs w:val="18"/>
              </w:rPr>
              <w:t>High HAA5 locations</w:t>
            </w:r>
          </w:p>
        </w:tc>
      </w:tr>
      <w:tr w:rsidR="00933BEF" w14:paraId="2819F7CD" w14:textId="77777777" w:rsidTr="004E5104">
        <w:trPr>
          <w:trHeight w:val="119"/>
        </w:trPr>
        <w:tc>
          <w:tcPr>
            <w:tcW w:w="1540" w:type="dxa"/>
            <w:vMerge/>
            <w:tcBorders>
              <w:left w:val="single" w:sz="8" w:space="0" w:color="auto"/>
              <w:right w:val="single" w:sz="8" w:space="0" w:color="auto"/>
            </w:tcBorders>
            <w:vAlign w:val="bottom"/>
          </w:tcPr>
          <w:p w14:paraId="2819F7C2" w14:textId="77777777" w:rsidR="00933BEF" w:rsidRDefault="00933BEF">
            <w:pPr>
              <w:rPr>
                <w:sz w:val="10"/>
                <w:szCs w:val="10"/>
              </w:rPr>
            </w:pPr>
          </w:p>
        </w:tc>
        <w:tc>
          <w:tcPr>
            <w:tcW w:w="1800" w:type="dxa"/>
            <w:vMerge/>
            <w:tcBorders>
              <w:right w:val="single" w:sz="8" w:space="0" w:color="auto"/>
            </w:tcBorders>
            <w:vAlign w:val="bottom"/>
          </w:tcPr>
          <w:p w14:paraId="2819F7C4" w14:textId="5825F970" w:rsidR="00933BEF" w:rsidRDefault="00933BEF">
            <w:pPr>
              <w:ind w:right="30"/>
              <w:jc w:val="center"/>
              <w:rPr>
                <w:sz w:val="20"/>
                <w:szCs w:val="20"/>
              </w:rPr>
            </w:pPr>
          </w:p>
        </w:tc>
        <w:tc>
          <w:tcPr>
            <w:tcW w:w="1440" w:type="dxa"/>
            <w:vMerge/>
            <w:tcBorders>
              <w:left w:val="single" w:sz="8" w:space="0" w:color="auto"/>
              <w:right w:val="single" w:sz="8" w:space="0" w:color="auto"/>
            </w:tcBorders>
            <w:vAlign w:val="bottom"/>
          </w:tcPr>
          <w:p w14:paraId="2819F7C5" w14:textId="56C9F9E3" w:rsidR="00933BEF" w:rsidRDefault="00933BEF" w:rsidP="00347FE4">
            <w:pPr>
              <w:jc w:val="center"/>
              <w:rPr>
                <w:sz w:val="20"/>
                <w:szCs w:val="20"/>
              </w:rPr>
            </w:pPr>
          </w:p>
        </w:tc>
        <w:tc>
          <w:tcPr>
            <w:tcW w:w="1260" w:type="dxa"/>
            <w:vMerge/>
            <w:tcBorders>
              <w:right w:val="single" w:sz="8" w:space="0" w:color="auto"/>
            </w:tcBorders>
            <w:vAlign w:val="bottom"/>
          </w:tcPr>
          <w:p w14:paraId="2819F7C7" w14:textId="3AE2C2FF" w:rsidR="00933BEF" w:rsidRDefault="00933BEF" w:rsidP="00347FE4">
            <w:pPr>
              <w:rPr>
                <w:sz w:val="10"/>
                <w:szCs w:val="10"/>
              </w:rPr>
            </w:pPr>
          </w:p>
        </w:tc>
        <w:tc>
          <w:tcPr>
            <w:tcW w:w="1080" w:type="dxa"/>
            <w:vMerge/>
            <w:tcBorders>
              <w:left w:val="single" w:sz="8" w:space="0" w:color="auto"/>
              <w:right w:val="single" w:sz="8" w:space="0" w:color="auto"/>
            </w:tcBorders>
            <w:vAlign w:val="bottom"/>
          </w:tcPr>
          <w:p w14:paraId="2819F7C8" w14:textId="62F3D121" w:rsidR="00933BEF" w:rsidRDefault="00933BEF" w:rsidP="00347FE4">
            <w:pPr>
              <w:jc w:val="center"/>
              <w:rPr>
                <w:sz w:val="10"/>
                <w:szCs w:val="10"/>
              </w:rPr>
            </w:pPr>
          </w:p>
        </w:tc>
        <w:tc>
          <w:tcPr>
            <w:tcW w:w="980" w:type="dxa"/>
            <w:vMerge/>
            <w:tcBorders>
              <w:right w:val="single" w:sz="8" w:space="0" w:color="auto"/>
            </w:tcBorders>
            <w:vAlign w:val="bottom"/>
          </w:tcPr>
          <w:p w14:paraId="2819F7C9" w14:textId="21703C61" w:rsidR="00933BEF" w:rsidRDefault="00933BEF" w:rsidP="00347FE4">
            <w:pPr>
              <w:jc w:val="center"/>
              <w:rPr>
                <w:sz w:val="10"/>
                <w:szCs w:val="10"/>
              </w:rPr>
            </w:pPr>
          </w:p>
        </w:tc>
        <w:tc>
          <w:tcPr>
            <w:tcW w:w="1280" w:type="dxa"/>
            <w:vMerge/>
            <w:tcBorders>
              <w:right w:val="single" w:sz="8" w:space="0" w:color="auto"/>
            </w:tcBorders>
            <w:vAlign w:val="bottom"/>
          </w:tcPr>
          <w:p w14:paraId="2819F7CA" w14:textId="4983D55E" w:rsidR="00933BEF" w:rsidRDefault="00933BEF" w:rsidP="00347FE4">
            <w:pPr>
              <w:ind w:right="40"/>
              <w:jc w:val="center"/>
              <w:rPr>
                <w:sz w:val="10"/>
                <w:szCs w:val="10"/>
              </w:rPr>
            </w:pPr>
          </w:p>
        </w:tc>
        <w:tc>
          <w:tcPr>
            <w:tcW w:w="1240" w:type="dxa"/>
            <w:vMerge/>
            <w:tcBorders>
              <w:bottom w:val="single" w:sz="8" w:space="0" w:color="auto"/>
              <w:right w:val="single" w:sz="8" w:space="0" w:color="auto"/>
            </w:tcBorders>
            <w:vAlign w:val="bottom"/>
          </w:tcPr>
          <w:p w14:paraId="2819F7CB" w14:textId="07E7F74D" w:rsidR="00933BEF" w:rsidRDefault="00933BEF" w:rsidP="00347FE4">
            <w:pPr>
              <w:jc w:val="center"/>
              <w:rPr>
                <w:sz w:val="10"/>
                <w:szCs w:val="10"/>
              </w:rPr>
            </w:pPr>
          </w:p>
        </w:tc>
      </w:tr>
      <w:tr w:rsidR="00933BEF" w14:paraId="2819F7D9" w14:textId="77777777" w:rsidTr="004E5104">
        <w:trPr>
          <w:trHeight w:val="147"/>
        </w:trPr>
        <w:tc>
          <w:tcPr>
            <w:tcW w:w="1540" w:type="dxa"/>
            <w:vMerge/>
            <w:tcBorders>
              <w:left w:val="single" w:sz="8" w:space="0" w:color="auto"/>
              <w:right w:val="single" w:sz="8" w:space="0" w:color="auto"/>
            </w:tcBorders>
            <w:vAlign w:val="bottom"/>
          </w:tcPr>
          <w:p w14:paraId="2819F7CE" w14:textId="77777777" w:rsidR="00933BEF" w:rsidRDefault="00933BEF">
            <w:pPr>
              <w:rPr>
                <w:sz w:val="12"/>
                <w:szCs w:val="12"/>
              </w:rPr>
            </w:pPr>
          </w:p>
        </w:tc>
        <w:tc>
          <w:tcPr>
            <w:tcW w:w="1800" w:type="dxa"/>
            <w:vMerge/>
            <w:tcBorders>
              <w:right w:val="single" w:sz="8" w:space="0" w:color="auto"/>
            </w:tcBorders>
            <w:vAlign w:val="bottom"/>
          </w:tcPr>
          <w:p w14:paraId="2819F7D0" w14:textId="77777777" w:rsidR="00933BEF" w:rsidRDefault="00933BEF">
            <w:pPr>
              <w:rPr>
                <w:sz w:val="12"/>
                <w:szCs w:val="12"/>
              </w:rPr>
            </w:pPr>
          </w:p>
        </w:tc>
        <w:tc>
          <w:tcPr>
            <w:tcW w:w="1440" w:type="dxa"/>
            <w:vMerge/>
            <w:tcBorders>
              <w:left w:val="single" w:sz="8" w:space="0" w:color="auto"/>
              <w:right w:val="single" w:sz="8" w:space="0" w:color="auto"/>
            </w:tcBorders>
            <w:vAlign w:val="bottom"/>
          </w:tcPr>
          <w:p w14:paraId="2819F7D1" w14:textId="1A656C3A" w:rsidR="00933BEF" w:rsidRDefault="00933BEF" w:rsidP="00347FE4">
            <w:pPr>
              <w:jc w:val="center"/>
              <w:rPr>
                <w:sz w:val="12"/>
                <w:szCs w:val="12"/>
              </w:rPr>
            </w:pPr>
          </w:p>
        </w:tc>
        <w:tc>
          <w:tcPr>
            <w:tcW w:w="1260" w:type="dxa"/>
            <w:vMerge/>
            <w:tcBorders>
              <w:right w:val="single" w:sz="8" w:space="0" w:color="auto"/>
            </w:tcBorders>
            <w:vAlign w:val="bottom"/>
          </w:tcPr>
          <w:p w14:paraId="2819F7D3" w14:textId="03655EBA" w:rsidR="00933BEF" w:rsidRDefault="00933BEF" w:rsidP="00347FE4">
            <w:pPr>
              <w:rPr>
                <w:sz w:val="12"/>
                <w:szCs w:val="12"/>
              </w:rPr>
            </w:pPr>
          </w:p>
        </w:tc>
        <w:tc>
          <w:tcPr>
            <w:tcW w:w="1080" w:type="dxa"/>
            <w:vMerge/>
            <w:tcBorders>
              <w:left w:val="single" w:sz="8" w:space="0" w:color="auto"/>
              <w:right w:val="single" w:sz="8" w:space="0" w:color="auto"/>
            </w:tcBorders>
            <w:vAlign w:val="bottom"/>
          </w:tcPr>
          <w:p w14:paraId="2819F7D4" w14:textId="3C8644BE" w:rsidR="00933BEF" w:rsidRDefault="00933BEF" w:rsidP="00347FE4">
            <w:pPr>
              <w:jc w:val="center"/>
              <w:rPr>
                <w:sz w:val="12"/>
                <w:szCs w:val="12"/>
              </w:rPr>
            </w:pPr>
          </w:p>
        </w:tc>
        <w:tc>
          <w:tcPr>
            <w:tcW w:w="980" w:type="dxa"/>
            <w:vMerge/>
            <w:tcBorders>
              <w:right w:val="single" w:sz="8" w:space="0" w:color="auto"/>
            </w:tcBorders>
            <w:vAlign w:val="bottom"/>
          </w:tcPr>
          <w:p w14:paraId="2819F7D5" w14:textId="4CF60983" w:rsidR="00933BEF" w:rsidRDefault="00933BEF" w:rsidP="00347FE4">
            <w:pPr>
              <w:jc w:val="center"/>
              <w:rPr>
                <w:sz w:val="20"/>
                <w:szCs w:val="20"/>
              </w:rPr>
            </w:pPr>
          </w:p>
        </w:tc>
        <w:tc>
          <w:tcPr>
            <w:tcW w:w="1280" w:type="dxa"/>
            <w:vMerge/>
            <w:tcBorders>
              <w:right w:val="single" w:sz="8" w:space="0" w:color="auto"/>
            </w:tcBorders>
            <w:vAlign w:val="bottom"/>
          </w:tcPr>
          <w:p w14:paraId="2819F7D6" w14:textId="41F55E93" w:rsidR="00933BEF" w:rsidRDefault="00933BEF" w:rsidP="00347FE4">
            <w:pPr>
              <w:ind w:right="40"/>
              <w:jc w:val="center"/>
              <w:rPr>
                <w:sz w:val="12"/>
                <w:szCs w:val="12"/>
              </w:rPr>
            </w:pPr>
          </w:p>
        </w:tc>
        <w:tc>
          <w:tcPr>
            <w:tcW w:w="1240" w:type="dxa"/>
            <w:vMerge/>
            <w:tcBorders>
              <w:bottom w:val="single" w:sz="8" w:space="0" w:color="auto"/>
              <w:right w:val="single" w:sz="8" w:space="0" w:color="auto"/>
            </w:tcBorders>
            <w:vAlign w:val="bottom"/>
          </w:tcPr>
          <w:p w14:paraId="2819F7D7" w14:textId="5298B964" w:rsidR="00933BEF" w:rsidRDefault="00933BEF" w:rsidP="00347FE4">
            <w:pPr>
              <w:jc w:val="center"/>
              <w:rPr>
                <w:sz w:val="12"/>
                <w:szCs w:val="12"/>
              </w:rPr>
            </w:pPr>
          </w:p>
        </w:tc>
      </w:tr>
      <w:tr w:rsidR="00933BEF" w14:paraId="2819F7E5" w14:textId="77777777" w:rsidTr="004E5104">
        <w:trPr>
          <w:trHeight w:val="86"/>
        </w:trPr>
        <w:tc>
          <w:tcPr>
            <w:tcW w:w="1540" w:type="dxa"/>
            <w:vMerge/>
            <w:tcBorders>
              <w:left w:val="single" w:sz="8" w:space="0" w:color="auto"/>
              <w:right w:val="single" w:sz="8" w:space="0" w:color="auto"/>
            </w:tcBorders>
            <w:vAlign w:val="bottom"/>
          </w:tcPr>
          <w:p w14:paraId="2819F7DA" w14:textId="77777777" w:rsidR="00933BEF" w:rsidRDefault="00933BEF">
            <w:pPr>
              <w:rPr>
                <w:sz w:val="7"/>
                <w:szCs w:val="7"/>
              </w:rPr>
            </w:pPr>
          </w:p>
        </w:tc>
        <w:tc>
          <w:tcPr>
            <w:tcW w:w="1800" w:type="dxa"/>
            <w:vMerge/>
            <w:tcBorders>
              <w:right w:val="single" w:sz="8" w:space="0" w:color="auto"/>
            </w:tcBorders>
            <w:vAlign w:val="bottom"/>
          </w:tcPr>
          <w:p w14:paraId="2819F7DC" w14:textId="77777777" w:rsidR="00933BEF" w:rsidRDefault="00933BEF">
            <w:pPr>
              <w:rPr>
                <w:sz w:val="7"/>
                <w:szCs w:val="7"/>
              </w:rPr>
            </w:pPr>
          </w:p>
        </w:tc>
        <w:tc>
          <w:tcPr>
            <w:tcW w:w="1440" w:type="dxa"/>
            <w:vMerge/>
            <w:tcBorders>
              <w:left w:val="single" w:sz="8" w:space="0" w:color="auto"/>
              <w:right w:val="single" w:sz="8" w:space="0" w:color="auto"/>
            </w:tcBorders>
            <w:vAlign w:val="bottom"/>
          </w:tcPr>
          <w:p w14:paraId="2819F7DD" w14:textId="372197C4" w:rsidR="00933BEF" w:rsidRDefault="00933BEF">
            <w:pPr>
              <w:jc w:val="center"/>
              <w:rPr>
                <w:sz w:val="20"/>
                <w:szCs w:val="20"/>
              </w:rPr>
            </w:pPr>
          </w:p>
        </w:tc>
        <w:tc>
          <w:tcPr>
            <w:tcW w:w="1260" w:type="dxa"/>
            <w:vMerge/>
            <w:tcBorders>
              <w:right w:val="single" w:sz="8" w:space="0" w:color="auto"/>
            </w:tcBorders>
            <w:vAlign w:val="bottom"/>
          </w:tcPr>
          <w:p w14:paraId="2819F7DF" w14:textId="07F92521" w:rsidR="00933BEF" w:rsidRDefault="00933BEF" w:rsidP="00347FE4">
            <w:pPr>
              <w:rPr>
                <w:sz w:val="7"/>
                <w:szCs w:val="7"/>
              </w:rPr>
            </w:pPr>
          </w:p>
        </w:tc>
        <w:tc>
          <w:tcPr>
            <w:tcW w:w="1080" w:type="dxa"/>
            <w:vMerge/>
            <w:tcBorders>
              <w:left w:val="single" w:sz="8" w:space="0" w:color="auto"/>
              <w:right w:val="single" w:sz="8" w:space="0" w:color="auto"/>
            </w:tcBorders>
            <w:vAlign w:val="bottom"/>
          </w:tcPr>
          <w:p w14:paraId="2819F7E0" w14:textId="4E149FB5" w:rsidR="00933BEF" w:rsidRDefault="00933BEF">
            <w:pPr>
              <w:jc w:val="center"/>
              <w:rPr>
                <w:sz w:val="20"/>
                <w:szCs w:val="20"/>
              </w:rPr>
            </w:pPr>
          </w:p>
        </w:tc>
        <w:tc>
          <w:tcPr>
            <w:tcW w:w="980" w:type="dxa"/>
            <w:vMerge/>
            <w:tcBorders>
              <w:right w:val="single" w:sz="8" w:space="0" w:color="auto"/>
            </w:tcBorders>
            <w:vAlign w:val="bottom"/>
          </w:tcPr>
          <w:p w14:paraId="2819F7E1" w14:textId="4DDCC321" w:rsidR="00933BEF" w:rsidRDefault="00933BEF" w:rsidP="00347FE4">
            <w:pPr>
              <w:jc w:val="center"/>
              <w:rPr>
                <w:sz w:val="7"/>
                <w:szCs w:val="7"/>
              </w:rPr>
            </w:pPr>
          </w:p>
        </w:tc>
        <w:tc>
          <w:tcPr>
            <w:tcW w:w="1280" w:type="dxa"/>
            <w:vMerge/>
            <w:tcBorders>
              <w:right w:val="single" w:sz="8" w:space="0" w:color="auto"/>
            </w:tcBorders>
            <w:vAlign w:val="bottom"/>
          </w:tcPr>
          <w:p w14:paraId="2819F7E2" w14:textId="75615818" w:rsidR="00933BEF" w:rsidRDefault="00933BEF">
            <w:pPr>
              <w:ind w:right="40"/>
              <w:jc w:val="center"/>
              <w:rPr>
                <w:sz w:val="20"/>
                <w:szCs w:val="20"/>
              </w:rPr>
            </w:pPr>
          </w:p>
        </w:tc>
        <w:tc>
          <w:tcPr>
            <w:tcW w:w="1240" w:type="dxa"/>
            <w:vMerge/>
            <w:tcBorders>
              <w:bottom w:val="single" w:sz="8" w:space="0" w:color="auto"/>
              <w:right w:val="single" w:sz="8" w:space="0" w:color="auto"/>
            </w:tcBorders>
            <w:vAlign w:val="bottom"/>
          </w:tcPr>
          <w:p w14:paraId="2819F7E3" w14:textId="3421B3EB" w:rsidR="00933BEF" w:rsidRDefault="00933BEF">
            <w:pPr>
              <w:jc w:val="center"/>
              <w:rPr>
                <w:sz w:val="20"/>
                <w:szCs w:val="20"/>
              </w:rPr>
            </w:pPr>
          </w:p>
        </w:tc>
      </w:tr>
      <w:tr w:rsidR="00933BEF" w14:paraId="2819F7F1" w14:textId="77777777" w:rsidTr="004E5104">
        <w:trPr>
          <w:trHeight w:val="182"/>
        </w:trPr>
        <w:tc>
          <w:tcPr>
            <w:tcW w:w="1540" w:type="dxa"/>
            <w:vMerge/>
            <w:tcBorders>
              <w:left w:val="single" w:sz="8" w:space="0" w:color="auto"/>
              <w:right w:val="single" w:sz="8" w:space="0" w:color="auto"/>
            </w:tcBorders>
            <w:vAlign w:val="bottom"/>
          </w:tcPr>
          <w:p w14:paraId="2819F7E6" w14:textId="77777777" w:rsidR="00933BEF" w:rsidRDefault="00933BEF">
            <w:pPr>
              <w:rPr>
                <w:sz w:val="15"/>
                <w:szCs w:val="15"/>
              </w:rPr>
            </w:pPr>
          </w:p>
        </w:tc>
        <w:tc>
          <w:tcPr>
            <w:tcW w:w="1800" w:type="dxa"/>
            <w:vMerge/>
            <w:tcBorders>
              <w:right w:val="single" w:sz="8" w:space="0" w:color="auto"/>
            </w:tcBorders>
            <w:vAlign w:val="bottom"/>
          </w:tcPr>
          <w:p w14:paraId="2819F7E8" w14:textId="77777777" w:rsidR="00933BEF" w:rsidRDefault="00933BEF">
            <w:pPr>
              <w:rPr>
                <w:sz w:val="15"/>
                <w:szCs w:val="15"/>
              </w:rPr>
            </w:pPr>
          </w:p>
        </w:tc>
        <w:tc>
          <w:tcPr>
            <w:tcW w:w="1440" w:type="dxa"/>
            <w:vMerge/>
            <w:tcBorders>
              <w:left w:val="single" w:sz="8" w:space="0" w:color="auto"/>
              <w:right w:val="single" w:sz="8" w:space="0" w:color="auto"/>
            </w:tcBorders>
            <w:vAlign w:val="bottom"/>
          </w:tcPr>
          <w:p w14:paraId="2819F7E9" w14:textId="77777777" w:rsidR="00933BEF" w:rsidRDefault="00933BEF">
            <w:pPr>
              <w:rPr>
                <w:sz w:val="15"/>
                <w:szCs w:val="15"/>
              </w:rPr>
            </w:pPr>
          </w:p>
        </w:tc>
        <w:tc>
          <w:tcPr>
            <w:tcW w:w="1260" w:type="dxa"/>
            <w:vMerge/>
            <w:tcBorders>
              <w:right w:val="single" w:sz="8" w:space="0" w:color="auto"/>
            </w:tcBorders>
            <w:vAlign w:val="bottom"/>
          </w:tcPr>
          <w:p w14:paraId="2819F7EB" w14:textId="27BA9806" w:rsidR="00933BEF" w:rsidRDefault="00933BEF">
            <w:pPr>
              <w:rPr>
                <w:sz w:val="15"/>
                <w:szCs w:val="15"/>
              </w:rPr>
            </w:pPr>
          </w:p>
        </w:tc>
        <w:tc>
          <w:tcPr>
            <w:tcW w:w="1080" w:type="dxa"/>
            <w:vMerge/>
            <w:tcBorders>
              <w:left w:val="single" w:sz="8" w:space="0" w:color="auto"/>
              <w:right w:val="single" w:sz="8" w:space="0" w:color="auto"/>
            </w:tcBorders>
            <w:vAlign w:val="bottom"/>
          </w:tcPr>
          <w:p w14:paraId="2819F7EC" w14:textId="77777777" w:rsidR="00933BEF" w:rsidRDefault="00933BEF">
            <w:pPr>
              <w:rPr>
                <w:sz w:val="15"/>
                <w:szCs w:val="15"/>
              </w:rPr>
            </w:pPr>
          </w:p>
        </w:tc>
        <w:tc>
          <w:tcPr>
            <w:tcW w:w="980" w:type="dxa"/>
            <w:vMerge/>
            <w:tcBorders>
              <w:right w:val="single" w:sz="8" w:space="0" w:color="auto"/>
            </w:tcBorders>
            <w:vAlign w:val="bottom"/>
          </w:tcPr>
          <w:p w14:paraId="2819F7ED" w14:textId="22F54B95" w:rsidR="00933BEF" w:rsidRDefault="00933BEF">
            <w:pPr>
              <w:jc w:val="center"/>
              <w:rPr>
                <w:sz w:val="20"/>
                <w:szCs w:val="20"/>
              </w:rPr>
            </w:pPr>
          </w:p>
        </w:tc>
        <w:tc>
          <w:tcPr>
            <w:tcW w:w="1280" w:type="dxa"/>
            <w:vMerge/>
            <w:tcBorders>
              <w:right w:val="single" w:sz="8" w:space="0" w:color="auto"/>
            </w:tcBorders>
            <w:vAlign w:val="bottom"/>
          </w:tcPr>
          <w:p w14:paraId="2819F7EE" w14:textId="77777777" w:rsidR="00933BEF" w:rsidRDefault="00933BEF">
            <w:pPr>
              <w:rPr>
                <w:sz w:val="15"/>
                <w:szCs w:val="15"/>
              </w:rPr>
            </w:pPr>
          </w:p>
        </w:tc>
        <w:tc>
          <w:tcPr>
            <w:tcW w:w="1240" w:type="dxa"/>
            <w:vMerge/>
            <w:tcBorders>
              <w:bottom w:val="single" w:sz="8" w:space="0" w:color="auto"/>
              <w:right w:val="single" w:sz="8" w:space="0" w:color="auto"/>
            </w:tcBorders>
            <w:vAlign w:val="bottom"/>
          </w:tcPr>
          <w:p w14:paraId="2819F7EF" w14:textId="77777777" w:rsidR="00933BEF" w:rsidRDefault="00933BEF">
            <w:pPr>
              <w:rPr>
                <w:sz w:val="15"/>
                <w:szCs w:val="15"/>
              </w:rPr>
            </w:pPr>
          </w:p>
        </w:tc>
      </w:tr>
      <w:tr w:rsidR="00933BEF" w14:paraId="2819F7FE" w14:textId="77777777" w:rsidTr="001F780D">
        <w:trPr>
          <w:trHeight w:val="89"/>
        </w:trPr>
        <w:tc>
          <w:tcPr>
            <w:tcW w:w="1540" w:type="dxa"/>
            <w:vMerge/>
            <w:tcBorders>
              <w:left w:val="single" w:sz="8" w:space="0" w:color="auto"/>
              <w:bottom w:val="single" w:sz="8" w:space="0" w:color="auto"/>
              <w:right w:val="single" w:sz="8" w:space="0" w:color="auto"/>
            </w:tcBorders>
            <w:vAlign w:val="bottom"/>
          </w:tcPr>
          <w:p w14:paraId="2819F7F2" w14:textId="77777777" w:rsidR="00933BEF" w:rsidRDefault="00933BEF">
            <w:pPr>
              <w:rPr>
                <w:sz w:val="7"/>
                <w:szCs w:val="7"/>
              </w:rPr>
            </w:pPr>
          </w:p>
        </w:tc>
        <w:tc>
          <w:tcPr>
            <w:tcW w:w="1800" w:type="dxa"/>
            <w:vMerge/>
            <w:tcBorders>
              <w:bottom w:val="single" w:sz="8" w:space="0" w:color="auto"/>
              <w:right w:val="single" w:sz="8" w:space="0" w:color="auto"/>
            </w:tcBorders>
            <w:vAlign w:val="bottom"/>
          </w:tcPr>
          <w:p w14:paraId="2819F7F4" w14:textId="77777777" w:rsidR="00933BEF" w:rsidRDefault="00933BEF">
            <w:pPr>
              <w:rPr>
                <w:sz w:val="7"/>
                <w:szCs w:val="7"/>
              </w:rPr>
            </w:pPr>
          </w:p>
        </w:tc>
        <w:tc>
          <w:tcPr>
            <w:tcW w:w="1440" w:type="dxa"/>
            <w:vMerge/>
            <w:tcBorders>
              <w:left w:val="single" w:sz="8" w:space="0" w:color="auto"/>
              <w:bottom w:val="single" w:sz="8" w:space="0" w:color="auto"/>
              <w:right w:val="single" w:sz="8" w:space="0" w:color="auto"/>
            </w:tcBorders>
            <w:vAlign w:val="bottom"/>
          </w:tcPr>
          <w:p w14:paraId="2819F7F5" w14:textId="77777777" w:rsidR="00933BEF" w:rsidRDefault="00933BEF">
            <w:pPr>
              <w:rPr>
                <w:sz w:val="7"/>
                <w:szCs w:val="7"/>
              </w:rPr>
            </w:pPr>
          </w:p>
        </w:tc>
        <w:tc>
          <w:tcPr>
            <w:tcW w:w="1260" w:type="dxa"/>
            <w:vMerge/>
            <w:tcBorders>
              <w:bottom w:val="single" w:sz="8" w:space="0" w:color="auto"/>
              <w:right w:val="single" w:sz="8" w:space="0" w:color="auto"/>
            </w:tcBorders>
            <w:vAlign w:val="bottom"/>
          </w:tcPr>
          <w:p w14:paraId="2819F7F7" w14:textId="77777777" w:rsidR="00933BEF" w:rsidRDefault="00933BEF">
            <w:pPr>
              <w:rPr>
                <w:sz w:val="7"/>
                <w:szCs w:val="7"/>
              </w:rPr>
            </w:pPr>
          </w:p>
        </w:tc>
        <w:tc>
          <w:tcPr>
            <w:tcW w:w="1080" w:type="dxa"/>
            <w:vMerge/>
            <w:tcBorders>
              <w:left w:val="single" w:sz="8" w:space="0" w:color="auto"/>
              <w:bottom w:val="single" w:sz="8" w:space="0" w:color="auto"/>
              <w:right w:val="single" w:sz="8" w:space="0" w:color="auto"/>
            </w:tcBorders>
            <w:vAlign w:val="bottom"/>
          </w:tcPr>
          <w:p w14:paraId="2819F7F8" w14:textId="77777777" w:rsidR="00933BEF" w:rsidRDefault="00933BEF">
            <w:pPr>
              <w:rPr>
                <w:sz w:val="7"/>
                <w:szCs w:val="7"/>
              </w:rPr>
            </w:pPr>
          </w:p>
        </w:tc>
        <w:tc>
          <w:tcPr>
            <w:tcW w:w="980" w:type="dxa"/>
            <w:vMerge/>
            <w:tcBorders>
              <w:bottom w:val="single" w:sz="8" w:space="0" w:color="auto"/>
              <w:right w:val="single" w:sz="8" w:space="0" w:color="auto"/>
            </w:tcBorders>
            <w:vAlign w:val="bottom"/>
          </w:tcPr>
          <w:p w14:paraId="2819F7F9" w14:textId="77777777" w:rsidR="00933BEF" w:rsidRDefault="00933BEF">
            <w:pPr>
              <w:rPr>
                <w:sz w:val="7"/>
                <w:szCs w:val="7"/>
              </w:rPr>
            </w:pPr>
          </w:p>
        </w:tc>
        <w:tc>
          <w:tcPr>
            <w:tcW w:w="1280" w:type="dxa"/>
            <w:vMerge/>
            <w:tcBorders>
              <w:bottom w:val="single" w:sz="8" w:space="0" w:color="auto"/>
              <w:right w:val="single" w:sz="8" w:space="0" w:color="auto"/>
            </w:tcBorders>
            <w:vAlign w:val="bottom"/>
          </w:tcPr>
          <w:p w14:paraId="2819F7FB" w14:textId="77777777" w:rsidR="00933BEF" w:rsidRDefault="00933BEF">
            <w:pPr>
              <w:rPr>
                <w:sz w:val="7"/>
                <w:szCs w:val="7"/>
              </w:rPr>
            </w:pPr>
          </w:p>
        </w:tc>
        <w:tc>
          <w:tcPr>
            <w:tcW w:w="1240" w:type="dxa"/>
            <w:vMerge/>
            <w:tcBorders>
              <w:left w:val="single" w:sz="8" w:space="0" w:color="auto"/>
              <w:bottom w:val="single" w:sz="8" w:space="0" w:color="auto"/>
              <w:right w:val="single" w:sz="8" w:space="0" w:color="auto"/>
            </w:tcBorders>
            <w:vAlign w:val="bottom"/>
          </w:tcPr>
          <w:p w14:paraId="2819F7FC" w14:textId="77777777" w:rsidR="00933BEF" w:rsidRDefault="00933BEF">
            <w:pPr>
              <w:rPr>
                <w:sz w:val="7"/>
                <w:szCs w:val="7"/>
              </w:rPr>
            </w:pPr>
          </w:p>
        </w:tc>
      </w:tr>
      <w:tr w:rsidR="001F780D" w14:paraId="2819F80A" w14:textId="77777777" w:rsidTr="001F780D">
        <w:trPr>
          <w:trHeight w:val="1409"/>
        </w:trPr>
        <w:tc>
          <w:tcPr>
            <w:tcW w:w="1540" w:type="dxa"/>
            <w:vMerge w:val="restart"/>
            <w:tcBorders>
              <w:top w:val="single" w:sz="8" w:space="0" w:color="auto"/>
              <w:left w:val="single" w:sz="8" w:space="0" w:color="auto"/>
              <w:right w:val="single" w:sz="8" w:space="0" w:color="auto"/>
            </w:tcBorders>
          </w:tcPr>
          <w:p w14:paraId="2819F7FF" w14:textId="198CDE2D" w:rsidR="001F780D" w:rsidRDefault="001F780D" w:rsidP="001F780D">
            <w:pPr>
              <w:ind w:left="40"/>
              <w:rPr>
                <w:sz w:val="20"/>
                <w:szCs w:val="20"/>
              </w:rPr>
            </w:pPr>
            <w:r>
              <w:rPr>
                <w:rFonts w:eastAsia="Times New Roman"/>
                <w:sz w:val="18"/>
                <w:szCs w:val="18"/>
              </w:rPr>
              <w:t>Surface Water and Groundwater under the Direct Influence of Surface Water</w:t>
            </w:r>
          </w:p>
        </w:tc>
        <w:tc>
          <w:tcPr>
            <w:tcW w:w="1800" w:type="dxa"/>
            <w:tcBorders>
              <w:top w:val="single" w:sz="8" w:space="0" w:color="auto"/>
              <w:bottom w:val="single" w:sz="8" w:space="0" w:color="auto"/>
              <w:right w:val="single" w:sz="8" w:space="0" w:color="auto"/>
            </w:tcBorders>
            <w:vAlign w:val="center"/>
          </w:tcPr>
          <w:p w14:paraId="2819F800" w14:textId="43AC0093" w:rsidR="001F780D" w:rsidRDefault="001F780D" w:rsidP="002D62C9">
            <w:pPr>
              <w:rPr>
                <w:sz w:val="20"/>
                <w:szCs w:val="20"/>
              </w:rPr>
            </w:pPr>
            <w:r>
              <w:rPr>
                <w:rFonts w:eastAsia="Times New Roman"/>
                <w:sz w:val="18"/>
                <w:szCs w:val="18"/>
              </w:rPr>
              <w:t>&lt;500 consecutive systems</w:t>
            </w:r>
          </w:p>
        </w:tc>
        <w:tc>
          <w:tcPr>
            <w:tcW w:w="1440" w:type="dxa"/>
            <w:tcBorders>
              <w:top w:val="single" w:sz="8" w:space="0" w:color="auto"/>
              <w:bottom w:val="single" w:sz="8" w:space="0" w:color="auto"/>
              <w:right w:val="single" w:sz="8" w:space="0" w:color="auto"/>
            </w:tcBorders>
            <w:vAlign w:val="center"/>
          </w:tcPr>
          <w:p w14:paraId="2819F801" w14:textId="76839DC0" w:rsidR="001F780D" w:rsidRDefault="001F780D" w:rsidP="00517A52">
            <w:pPr>
              <w:jc w:val="center"/>
              <w:rPr>
                <w:sz w:val="20"/>
                <w:szCs w:val="20"/>
              </w:rPr>
            </w:pPr>
            <w:r>
              <w:rPr>
                <w:rFonts w:eastAsia="Times New Roman"/>
                <w:sz w:val="18"/>
                <w:szCs w:val="18"/>
              </w:rPr>
              <w:t>One (during peak historical month)</w:t>
            </w:r>
            <w:r>
              <w:rPr>
                <w:rFonts w:eastAsia="Times New Roman"/>
                <w:sz w:val="24"/>
                <w:szCs w:val="24"/>
                <w:vertAlign w:val="superscript"/>
              </w:rPr>
              <w:t>2</w:t>
            </w:r>
          </w:p>
        </w:tc>
        <w:tc>
          <w:tcPr>
            <w:tcW w:w="1260" w:type="dxa"/>
            <w:tcBorders>
              <w:top w:val="single" w:sz="8" w:space="0" w:color="auto"/>
              <w:bottom w:val="single" w:sz="8" w:space="0" w:color="auto"/>
              <w:right w:val="single" w:sz="8" w:space="0" w:color="auto"/>
            </w:tcBorders>
            <w:vAlign w:val="center"/>
          </w:tcPr>
          <w:p w14:paraId="2819F803" w14:textId="4F0549BF" w:rsidR="001F780D" w:rsidRDefault="001F780D" w:rsidP="00517A52">
            <w:pPr>
              <w:jc w:val="center"/>
            </w:pPr>
            <w:r>
              <w:rPr>
                <w:rFonts w:eastAsia="Times New Roman"/>
                <w:sz w:val="18"/>
                <w:szCs w:val="18"/>
              </w:rPr>
              <w:t>2</w:t>
            </w:r>
          </w:p>
        </w:tc>
        <w:tc>
          <w:tcPr>
            <w:tcW w:w="1080" w:type="dxa"/>
            <w:tcBorders>
              <w:top w:val="single" w:sz="8" w:space="0" w:color="auto"/>
              <w:left w:val="single" w:sz="8" w:space="0" w:color="auto"/>
              <w:bottom w:val="single" w:sz="8" w:space="0" w:color="auto"/>
              <w:right w:val="single" w:sz="8" w:space="0" w:color="auto"/>
            </w:tcBorders>
            <w:vAlign w:val="center"/>
          </w:tcPr>
          <w:p w14:paraId="2819F804" w14:textId="77777777" w:rsidR="001F780D" w:rsidRDefault="001F780D" w:rsidP="00517A52">
            <w:pPr>
              <w:jc w:val="center"/>
              <w:rPr>
                <w:sz w:val="20"/>
                <w:szCs w:val="20"/>
              </w:rPr>
            </w:pPr>
            <w:r>
              <w:rPr>
                <w:rFonts w:eastAsia="Times New Roman"/>
                <w:w w:val="88"/>
                <w:sz w:val="18"/>
                <w:szCs w:val="18"/>
              </w:rPr>
              <w:t>1</w:t>
            </w:r>
          </w:p>
        </w:tc>
        <w:tc>
          <w:tcPr>
            <w:tcW w:w="980" w:type="dxa"/>
            <w:tcBorders>
              <w:top w:val="single" w:sz="8" w:space="0" w:color="auto"/>
              <w:bottom w:val="single" w:sz="8" w:space="0" w:color="auto"/>
              <w:right w:val="single" w:sz="8" w:space="0" w:color="auto"/>
            </w:tcBorders>
            <w:vAlign w:val="center"/>
          </w:tcPr>
          <w:p w14:paraId="2819F805" w14:textId="77777777" w:rsidR="001F780D" w:rsidRDefault="001F780D" w:rsidP="00517A52">
            <w:pPr>
              <w:jc w:val="center"/>
              <w:rPr>
                <w:sz w:val="20"/>
                <w:szCs w:val="20"/>
              </w:rPr>
            </w:pPr>
            <w:r>
              <w:rPr>
                <w:rFonts w:eastAsia="Times New Roman"/>
                <w:sz w:val="18"/>
                <w:szCs w:val="18"/>
              </w:rPr>
              <w:t>.........</w:t>
            </w:r>
          </w:p>
        </w:tc>
        <w:tc>
          <w:tcPr>
            <w:tcW w:w="1280" w:type="dxa"/>
            <w:tcBorders>
              <w:top w:val="single" w:sz="8" w:space="0" w:color="auto"/>
              <w:bottom w:val="single" w:sz="8" w:space="0" w:color="auto"/>
              <w:right w:val="single" w:sz="8" w:space="0" w:color="auto"/>
            </w:tcBorders>
            <w:vAlign w:val="center"/>
          </w:tcPr>
          <w:p w14:paraId="2819F807" w14:textId="6925FC4A" w:rsidR="001F780D" w:rsidRDefault="001F780D" w:rsidP="00517A52">
            <w:pPr>
              <w:jc w:val="center"/>
            </w:pPr>
            <w:r>
              <w:rPr>
                <w:rFonts w:eastAsia="Times New Roman"/>
                <w:w w:val="88"/>
                <w:sz w:val="18"/>
                <w:szCs w:val="18"/>
              </w:rPr>
              <w:t>1</w:t>
            </w:r>
          </w:p>
        </w:tc>
        <w:tc>
          <w:tcPr>
            <w:tcW w:w="1240" w:type="dxa"/>
            <w:tcBorders>
              <w:top w:val="single" w:sz="8" w:space="0" w:color="auto"/>
              <w:left w:val="single" w:sz="8" w:space="0" w:color="auto"/>
              <w:bottom w:val="single" w:sz="8" w:space="0" w:color="auto"/>
              <w:right w:val="single" w:sz="8" w:space="0" w:color="auto"/>
            </w:tcBorders>
            <w:vAlign w:val="center"/>
          </w:tcPr>
          <w:p w14:paraId="2819F808" w14:textId="577AC609" w:rsidR="001F780D" w:rsidRDefault="001F780D" w:rsidP="00517A52">
            <w:pPr>
              <w:jc w:val="center"/>
            </w:pPr>
            <w:r>
              <w:rPr>
                <w:rFonts w:eastAsia="Times New Roman"/>
                <w:sz w:val="18"/>
                <w:szCs w:val="18"/>
              </w:rPr>
              <w:t>.........</w:t>
            </w:r>
          </w:p>
        </w:tc>
      </w:tr>
      <w:tr w:rsidR="001F780D" w14:paraId="2819F849" w14:textId="77777777" w:rsidTr="001F780D">
        <w:trPr>
          <w:trHeight w:val="547"/>
        </w:trPr>
        <w:tc>
          <w:tcPr>
            <w:tcW w:w="1540" w:type="dxa"/>
            <w:vMerge/>
            <w:tcBorders>
              <w:left w:val="single" w:sz="8" w:space="0" w:color="auto"/>
              <w:right w:val="single" w:sz="8" w:space="0" w:color="auto"/>
            </w:tcBorders>
            <w:vAlign w:val="bottom"/>
          </w:tcPr>
          <w:p w14:paraId="2819F83E" w14:textId="77777777" w:rsidR="001F780D" w:rsidRDefault="001F780D"/>
        </w:tc>
        <w:tc>
          <w:tcPr>
            <w:tcW w:w="1800" w:type="dxa"/>
            <w:tcBorders>
              <w:top w:val="single" w:sz="8" w:space="0" w:color="auto"/>
              <w:bottom w:val="single" w:sz="8" w:space="0" w:color="auto"/>
              <w:right w:val="single" w:sz="8" w:space="0" w:color="auto"/>
            </w:tcBorders>
            <w:vAlign w:val="center"/>
          </w:tcPr>
          <w:p w14:paraId="2819F83F" w14:textId="4A5161A7" w:rsidR="001F780D" w:rsidRDefault="001F780D" w:rsidP="002D62C9">
            <w:pPr>
              <w:rPr>
                <w:sz w:val="20"/>
                <w:szCs w:val="20"/>
              </w:rPr>
            </w:pPr>
            <w:r>
              <w:rPr>
                <w:rFonts w:eastAsia="Times New Roman"/>
                <w:sz w:val="18"/>
                <w:szCs w:val="18"/>
              </w:rPr>
              <w:t>&lt;500 non-consecutive systems</w:t>
            </w:r>
          </w:p>
        </w:tc>
        <w:tc>
          <w:tcPr>
            <w:tcW w:w="1440" w:type="dxa"/>
            <w:tcBorders>
              <w:top w:val="single" w:sz="8" w:space="0" w:color="auto"/>
              <w:bottom w:val="single" w:sz="8" w:space="0" w:color="auto"/>
              <w:right w:val="single" w:sz="8" w:space="0" w:color="auto"/>
            </w:tcBorders>
            <w:vAlign w:val="center"/>
          </w:tcPr>
          <w:p w14:paraId="2819F840" w14:textId="77777777" w:rsidR="001F780D" w:rsidRDefault="001F780D" w:rsidP="00517A52">
            <w:pPr>
              <w:jc w:val="center"/>
              <w:rPr>
                <w:sz w:val="20"/>
                <w:szCs w:val="20"/>
              </w:rPr>
            </w:pPr>
            <w:r>
              <w:rPr>
                <w:rFonts w:eastAsia="Times New Roman"/>
                <w:sz w:val="18"/>
                <w:szCs w:val="18"/>
              </w:rPr>
              <w:t>.........</w:t>
            </w:r>
          </w:p>
        </w:tc>
        <w:tc>
          <w:tcPr>
            <w:tcW w:w="1260" w:type="dxa"/>
            <w:tcBorders>
              <w:top w:val="single" w:sz="8" w:space="0" w:color="auto"/>
              <w:bottom w:val="single" w:sz="8" w:space="0" w:color="auto"/>
              <w:right w:val="single" w:sz="8" w:space="0" w:color="auto"/>
            </w:tcBorders>
            <w:vAlign w:val="center"/>
          </w:tcPr>
          <w:p w14:paraId="2819F842" w14:textId="1D1BFCB8" w:rsidR="001F780D" w:rsidRDefault="001F780D" w:rsidP="00517A52">
            <w:pPr>
              <w:jc w:val="center"/>
            </w:pPr>
            <w:r>
              <w:rPr>
                <w:rFonts w:eastAsia="Times New Roman"/>
                <w:sz w:val="18"/>
                <w:szCs w:val="18"/>
              </w:rPr>
              <w:t>2</w:t>
            </w:r>
          </w:p>
        </w:tc>
        <w:tc>
          <w:tcPr>
            <w:tcW w:w="1080" w:type="dxa"/>
            <w:tcBorders>
              <w:top w:val="single" w:sz="8" w:space="0" w:color="auto"/>
              <w:left w:val="single" w:sz="8" w:space="0" w:color="auto"/>
              <w:bottom w:val="single" w:sz="8" w:space="0" w:color="auto"/>
              <w:right w:val="single" w:sz="8" w:space="0" w:color="auto"/>
            </w:tcBorders>
            <w:vAlign w:val="center"/>
          </w:tcPr>
          <w:p w14:paraId="2819F843" w14:textId="77777777" w:rsidR="001F780D" w:rsidRDefault="001F780D" w:rsidP="00517A52">
            <w:pPr>
              <w:jc w:val="center"/>
              <w:rPr>
                <w:sz w:val="20"/>
                <w:szCs w:val="20"/>
              </w:rPr>
            </w:pPr>
            <w:r>
              <w:rPr>
                <w:rFonts w:eastAsia="Times New Roman"/>
                <w:sz w:val="18"/>
                <w:szCs w:val="18"/>
              </w:rPr>
              <w:t>.........</w:t>
            </w:r>
          </w:p>
        </w:tc>
        <w:tc>
          <w:tcPr>
            <w:tcW w:w="980" w:type="dxa"/>
            <w:tcBorders>
              <w:top w:val="single" w:sz="8" w:space="0" w:color="auto"/>
              <w:bottom w:val="single" w:sz="8" w:space="0" w:color="auto"/>
              <w:right w:val="single" w:sz="8" w:space="0" w:color="auto"/>
            </w:tcBorders>
            <w:vAlign w:val="center"/>
          </w:tcPr>
          <w:p w14:paraId="2819F844" w14:textId="77777777" w:rsidR="001F780D" w:rsidRDefault="001F780D" w:rsidP="00517A52">
            <w:pPr>
              <w:jc w:val="center"/>
              <w:rPr>
                <w:sz w:val="20"/>
                <w:szCs w:val="20"/>
              </w:rPr>
            </w:pPr>
            <w:r>
              <w:rPr>
                <w:rFonts w:eastAsia="Times New Roman"/>
                <w:sz w:val="18"/>
                <w:szCs w:val="18"/>
              </w:rPr>
              <w:t>.........</w:t>
            </w:r>
          </w:p>
        </w:tc>
        <w:tc>
          <w:tcPr>
            <w:tcW w:w="1280" w:type="dxa"/>
            <w:tcBorders>
              <w:top w:val="single" w:sz="8" w:space="0" w:color="auto"/>
              <w:bottom w:val="single" w:sz="8" w:space="0" w:color="auto"/>
              <w:right w:val="single" w:sz="8" w:space="0" w:color="auto"/>
            </w:tcBorders>
            <w:vAlign w:val="center"/>
          </w:tcPr>
          <w:p w14:paraId="2819F846" w14:textId="109A5282" w:rsidR="001F780D" w:rsidRDefault="001F780D" w:rsidP="00517A52">
            <w:pPr>
              <w:jc w:val="center"/>
            </w:pPr>
            <w:r>
              <w:rPr>
                <w:rFonts w:eastAsia="Times New Roman"/>
                <w:w w:val="88"/>
                <w:sz w:val="18"/>
                <w:szCs w:val="18"/>
              </w:rPr>
              <w:t>1</w:t>
            </w:r>
          </w:p>
        </w:tc>
        <w:tc>
          <w:tcPr>
            <w:tcW w:w="1240" w:type="dxa"/>
            <w:tcBorders>
              <w:top w:val="single" w:sz="8" w:space="0" w:color="auto"/>
              <w:left w:val="single" w:sz="8" w:space="0" w:color="auto"/>
              <w:bottom w:val="single" w:sz="8" w:space="0" w:color="auto"/>
              <w:right w:val="single" w:sz="8" w:space="0" w:color="auto"/>
            </w:tcBorders>
            <w:vAlign w:val="center"/>
          </w:tcPr>
          <w:p w14:paraId="2819F847" w14:textId="77777777" w:rsidR="001F780D" w:rsidRDefault="001F780D" w:rsidP="00517A52">
            <w:pPr>
              <w:jc w:val="center"/>
              <w:rPr>
                <w:sz w:val="20"/>
                <w:szCs w:val="20"/>
              </w:rPr>
            </w:pPr>
            <w:r>
              <w:rPr>
                <w:rFonts w:eastAsia="Times New Roman"/>
                <w:w w:val="88"/>
                <w:sz w:val="18"/>
                <w:szCs w:val="18"/>
              </w:rPr>
              <w:t>1</w:t>
            </w:r>
          </w:p>
        </w:tc>
      </w:tr>
      <w:tr w:rsidR="001F780D" w14:paraId="2819F861" w14:textId="77777777" w:rsidTr="001F780D">
        <w:trPr>
          <w:trHeight w:val="547"/>
        </w:trPr>
        <w:tc>
          <w:tcPr>
            <w:tcW w:w="1540" w:type="dxa"/>
            <w:vMerge/>
            <w:tcBorders>
              <w:left w:val="single" w:sz="8" w:space="0" w:color="auto"/>
              <w:right w:val="single" w:sz="8" w:space="0" w:color="auto"/>
            </w:tcBorders>
            <w:vAlign w:val="bottom"/>
          </w:tcPr>
          <w:p w14:paraId="2819F856" w14:textId="77777777" w:rsidR="001F780D" w:rsidRDefault="001F780D"/>
        </w:tc>
        <w:tc>
          <w:tcPr>
            <w:tcW w:w="1800" w:type="dxa"/>
            <w:tcBorders>
              <w:top w:val="single" w:sz="8" w:space="0" w:color="auto"/>
              <w:bottom w:val="single" w:sz="8" w:space="0" w:color="auto"/>
              <w:right w:val="single" w:sz="8" w:space="0" w:color="auto"/>
            </w:tcBorders>
            <w:vAlign w:val="center"/>
          </w:tcPr>
          <w:p w14:paraId="2819F857" w14:textId="2DE066B1" w:rsidR="001F780D" w:rsidRDefault="001F780D" w:rsidP="002D62C9">
            <w:pPr>
              <w:rPr>
                <w:sz w:val="20"/>
                <w:szCs w:val="20"/>
              </w:rPr>
            </w:pPr>
            <w:r>
              <w:rPr>
                <w:rFonts w:eastAsia="Times New Roman"/>
                <w:sz w:val="18"/>
                <w:szCs w:val="18"/>
              </w:rPr>
              <w:t>500-3,300 consecutive systems</w:t>
            </w:r>
          </w:p>
        </w:tc>
        <w:tc>
          <w:tcPr>
            <w:tcW w:w="1440" w:type="dxa"/>
            <w:tcBorders>
              <w:top w:val="single" w:sz="8" w:space="0" w:color="auto"/>
              <w:bottom w:val="single" w:sz="8" w:space="0" w:color="auto"/>
              <w:right w:val="single" w:sz="8" w:space="0" w:color="auto"/>
            </w:tcBorders>
            <w:vAlign w:val="center"/>
          </w:tcPr>
          <w:p w14:paraId="2819F858" w14:textId="118430A6" w:rsidR="001F780D" w:rsidRDefault="001F780D" w:rsidP="00517A52">
            <w:pPr>
              <w:jc w:val="center"/>
              <w:rPr>
                <w:sz w:val="20"/>
                <w:szCs w:val="20"/>
              </w:rPr>
            </w:pPr>
            <w:r>
              <w:rPr>
                <w:rFonts w:eastAsia="Times New Roman"/>
                <w:sz w:val="18"/>
                <w:szCs w:val="18"/>
              </w:rPr>
              <w:t>Four (every 90 days)</w:t>
            </w:r>
          </w:p>
        </w:tc>
        <w:tc>
          <w:tcPr>
            <w:tcW w:w="1260" w:type="dxa"/>
            <w:tcBorders>
              <w:top w:val="single" w:sz="8" w:space="0" w:color="auto"/>
              <w:bottom w:val="single" w:sz="8" w:space="0" w:color="auto"/>
              <w:right w:val="single" w:sz="8" w:space="0" w:color="auto"/>
            </w:tcBorders>
            <w:vAlign w:val="center"/>
          </w:tcPr>
          <w:p w14:paraId="2819F85A" w14:textId="2C561DE9" w:rsidR="001F780D" w:rsidRDefault="001F780D" w:rsidP="00517A52">
            <w:pPr>
              <w:jc w:val="center"/>
            </w:pPr>
            <w:r>
              <w:rPr>
                <w:rFonts w:eastAsia="Times New Roman"/>
                <w:sz w:val="18"/>
                <w:szCs w:val="18"/>
              </w:rPr>
              <w:t>2</w:t>
            </w:r>
          </w:p>
        </w:tc>
        <w:tc>
          <w:tcPr>
            <w:tcW w:w="1080" w:type="dxa"/>
            <w:tcBorders>
              <w:top w:val="single" w:sz="8" w:space="0" w:color="auto"/>
              <w:left w:val="single" w:sz="8" w:space="0" w:color="auto"/>
              <w:bottom w:val="single" w:sz="8" w:space="0" w:color="auto"/>
              <w:right w:val="single" w:sz="8" w:space="0" w:color="auto"/>
            </w:tcBorders>
            <w:vAlign w:val="center"/>
          </w:tcPr>
          <w:p w14:paraId="2819F85B" w14:textId="77777777" w:rsidR="001F780D" w:rsidRDefault="001F780D" w:rsidP="00517A52">
            <w:pPr>
              <w:jc w:val="center"/>
              <w:rPr>
                <w:sz w:val="20"/>
                <w:szCs w:val="20"/>
              </w:rPr>
            </w:pPr>
            <w:r>
              <w:rPr>
                <w:rFonts w:eastAsia="Times New Roman"/>
                <w:w w:val="88"/>
                <w:sz w:val="18"/>
                <w:szCs w:val="18"/>
              </w:rPr>
              <w:t>1</w:t>
            </w:r>
          </w:p>
        </w:tc>
        <w:tc>
          <w:tcPr>
            <w:tcW w:w="980" w:type="dxa"/>
            <w:tcBorders>
              <w:top w:val="single" w:sz="8" w:space="0" w:color="auto"/>
              <w:bottom w:val="single" w:sz="8" w:space="0" w:color="auto"/>
              <w:right w:val="single" w:sz="8" w:space="0" w:color="auto"/>
            </w:tcBorders>
            <w:vAlign w:val="center"/>
          </w:tcPr>
          <w:p w14:paraId="2819F85C" w14:textId="77777777" w:rsidR="001F780D" w:rsidRDefault="001F780D" w:rsidP="00517A52">
            <w:pPr>
              <w:jc w:val="center"/>
              <w:rPr>
                <w:sz w:val="20"/>
                <w:szCs w:val="20"/>
              </w:rPr>
            </w:pPr>
            <w:r>
              <w:rPr>
                <w:rFonts w:eastAsia="Times New Roman"/>
                <w:sz w:val="18"/>
                <w:szCs w:val="18"/>
              </w:rPr>
              <w:t>.........</w:t>
            </w:r>
          </w:p>
        </w:tc>
        <w:tc>
          <w:tcPr>
            <w:tcW w:w="1280" w:type="dxa"/>
            <w:tcBorders>
              <w:top w:val="single" w:sz="8" w:space="0" w:color="auto"/>
              <w:bottom w:val="single" w:sz="8" w:space="0" w:color="auto"/>
              <w:right w:val="single" w:sz="8" w:space="0" w:color="auto"/>
            </w:tcBorders>
            <w:vAlign w:val="center"/>
          </w:tcPr>
          <w:p w14:paraId="2819F85E" w14:textId="2BC40678" w:rsidR="001F780D" w:rsidRDefault="001F780D" w:rsidP="00517A52">
            <w:pPr>
              <w:jc w:val="center"/>
            </w:pPr>
            <w:r>
              <w:rPr>
                <w:rFonts w:eastAsia="Times New Roman"/>
                <w:w w:val="88"/>
                <w:sz w:val="18"/>
                <w:szCs w:val="18"/>
              </w:rPr>
              <w:t>1</w:t>
            </w:r>
          </w:p>
        </w:tc>
        <w:tc>
          <w:tcPr>
            <w:tcW w:w="1240" w:type="dxa"/>
            <w:tcBorders>
              <w:top w:val="single" w:sz="8" w:space="0" w:color="auto"/>
              <w:left w:val="single" w:sz="8" w:space="0" w:color="auto"/>
              <w:bottom w:val="single" w:sz="8" w:space="0" w:color="auto"/>
              <w:right w:val="single" w:sz="8" w:space="0" w:color="auto"/>
            </w:tcBorders>
            <w:vAlign w:val="center"/>
          </w:tcPr>
          <w:p w14:paraId="2819F85F" w14:textId="1D40A4C6" w:rsidR="001F780D" w:rsidRDefault="001F780D" w:rsidP="00517A52">
            <w:pPr>
              <w:jc w:val="center"/>
            </w:pPr>
            <w:r>
              <w:rPr>
                <w:rFonts w:eastAsia="Times New Roman"/>
                <w:sz w:val="18"/>
                <w:szCs w:val="18"/>
              </w:rPr>
              <w:t>.........</w:t>
            </w:r>
          </w:p>
        </w:tc>
      </w:tr>
      <w:tr w:rsidR="001F780D" w14:paraId="2819F879" w14:textId="77777777" w:rsidTr="001F780D">
        <w:trPr>
          <w:trHeight w:val="816"/>
        </w:trPr>
        <w:tc>
          <w:tcPr>
            <w:tcW w:w="1540" w:type="dxa"/>
            <w:vMerge/>
            <w:tcBorders>
              <w:left w:val="single" w:sz="8" w:space="0" w:color="auto"/>
              <w:right w:val="single" w:sz="8" w:space="0" w:color="auto"/>
            </w:tcBorders>
            <w:vAlign w:val="bottom"/>
          </w:tcPr>
          <w:p w14:paraId="2819F86E" w14:textId="77777777" w:rsidR="001F780D" w:rsidRDefault="001F780D"/>
        </w:tc>
        <w:tc>
          <w:tcPr>
            <w:tcW w:w="1800" w:type="dxa"/>
            <w:tcBorders>
              <w:top w:val="single" w:sz="8" w:space="0" w:color="auto"/>
              <w:bottom w:val="single" w:sz="8" w:space="0" w:color="auto"/>
              <w:right w:val="single" w:sz="8" w:space="0" w:color="auto"/>
            </w:tcBorders>
            <w:vAlign w:val="center"/>
          </w:tcPr>
          <w:p w14:paraId="2819F86F" w14:textId="117ABD13" w:rsidR="001F780D" w:rsidRDefault="001F780D" w:rsidP="002D62C9">
            <w:pPr>
              <w:rPr>
                <w:sz w:val="20"/>
                <w:szCs w:val="20"/>
              </w:rPr>
            </w:pPr>
            <w:r>
              <w:rPr>
                <w:rFonts w:eastAsia="Times New Roman"/>
                <w:sz w:val="18"/>
                <w:szCs w:val="18"/>
              </w:rPr>
              <w:t>500-3,300 non-consecutive systems</w:t>
            </w:r>
          </w:p>
        </w:tc>
        <w:tc>
          <w:tcPr>
            <w:tcW w:w="1440" w:type="dxa"/>
            <w:tcBorders>
              <w:top w:val="single" w:sz="8" w:space="0" w:color="auto"/>
              <w:bottom w:val="single" w:sz="8" w:space="0" w:color="auto"/>
              <w:right w:val="single" w:sz="8" w:space="0" w:color="auto"/>
            </w:tcBorders>
            <w:vAlign w:val="center"/>
          </w:tcPr>
          <w:p w14:paraId="2819F870" w14:textId="77777777" w:rsidR="001F780D" w:rsidRDefault="001F780D" w:rsidP="002D62C9">
            <w:pPr>
              <w:jc w:val="center"/>
              <w:rPr>
                <w:sz w:val="20"/>
                <w:szCs w:val="20"/>
              </w:rPr>
            </w:pPr>
            <w:r>
              <w:rPr>
                <w:rFonts w:eastAsia="Times New Roman"/>
                <w:sz w:val="18"/>
                <w:szCs w:val="18"/>
              </w:rPr>
              <w:t>.........</w:t>
            </w:r>
          </w:p>
        </w:tc>
        <w:tc>
          <w:tcPr>
            <w:tcW w:w="1260" w:type="dxa"/>
            <w:tcBorders>
              <w:top w:val="single" w:sz="8" w:space="0" w:color="auto"/>
              <w:bottom w:val="single" w:sz="8" w:space="0" w:color="auto"/>
              <w:right w:val="single" w:sz="8" w:space="0" w:color="auto"/>
            </w:tcBorders>
            <w:vAlign w:val="center"/>
          </w:tcPr>
          <w:p w14:paraId="2819F872" w14:textId="68491CB0" w:rsidR="001F780D" w:rsidRDefault="001F780D" w:rsidP="002D62C9">
            <w:pPr>
              <w:jc w:val="center"/>
            </w:pPr>
            <w:r>
              <w:rPr>
                <w:rFonts w:eastAsia="Times New Roman"/>
                <w:sz w:val="18"/>
                <w:szCs w:val="18"/>
              </w:rPr>
              <w:t>2</w:t>
            </w:r>
          </w:p>
        </w:tc>
        <w:tc>
          <w:tcPr>
            <w:tcW w:w="1080" w:type="dxa"/>
            <w:tcBorders>
              <w:top w:val="single" w:sz="8" w:space="0" w:color="auto"/>
              <w:left w:val="single" w:sz="8" w:space="0" w:color="auto"/>
              <w:bottom w:val="single" w:sz="8" w:space="0" w:color="auto"/>
              <w:right w:val="single" w:sz="8" w:space="0" w:color="auto"/>
            </w:tcBorders>
            <w:vAlign w:val="center"/>
          </w:tcPr>
          <w:p w14:paraId="2819F873" w14:textId="77777777" w:rsidR="001F780D" w:rsidRDefault="001F780D" w:rsidP="002D62C9">
            <w:pPr>
              <w:jc w:val="center"/>
              <w:rPr>
                <w:sz w:val="20"/>
                <w:szCs w:val="20"/>
              </w:rPr>
            </w:pPr>
            <w:r>
              <w:rPr>
                <w:rFonts w:eastAsia="Times New Roman"/>
                <w:sz w:val="18"/>
                <w:szCs w:val="18"/>
              </w:rPr>
              <w:t>.........</w:t>
            </w:r>
          </w:p>
        </w:tc>
        <w:tc>
          <w:tcPr>
            <w:tcW w:w="980" w:type="dxa"/>
            <w:tcBorders>
              <w:top w:val="single" w:sz="8" w:space="0" w:color="auto"/>
              <w:bottom w:val="single" w:sz="8" w:space="0" w:color="auto"/>
              <w:right w:val="single" w:sz="8" w:space="0" w:color="auto"/>
            </w:tcBorders>
            <w:vAlign w:val="center"/>
          </w:tcPr>
          <w:p w14:paraId="2819F874" w14:textId="77777777" w:rsidR="001F780D" w:rsidRDefault="001F780D" w:rsidP="002D62C9">
            <w:pPr>
              <w:jc w:val="center"/>
              <w:rPr>
                <w:sz w:val="20"/>
                <w:szCs w:val="20"/>
              </w:rPr>
            </w:pPr>
            <w:r>
              <w:rPr>
                <w:rFonts w:eastAsia="Times New Roman"/>
                <w:sz w:val="18"/>
                <w:szCs w:val="18"/>
              </w:rPr>
              <w:t>.........</w:t>
            </w:r>
          </w:p>
        </w:tc>
        <w:tc>
          <w:tcPr>
            <w:tcW w:w="1280" w:type="dxa"/>
            <w:tcBorders>
              <w:top w:val="single" w:sz="8" w:space="0" w:color="auto"/>
              <w:bottom w:val="single" w:sz="8" w:space="0" w:color="auto"/>
              <w:right w:val="single" w:sz="8" w:space="0" w:color="auto"/>
            </w:tcBorders>
            <w:vAlign w:val="center"/>
          </w:tcPr>
          <w:p w14:paraId="2819F876" w14:textId="7D79F956" w:rsidR="001F780D" w:rsidRDefault="001F780D" w:rsidP="002D62C9">
            <w:pPr>
              <w:jc w:val="center"/>
            </w:pPr>
            <w:r>
              <w:rPr>
                <w:rFonts w:eastAsia="Times New Roman"/>
                <w:w w:val="88"/>
                <w:sz w:val="18"/>
                <w:szCs w:val="18"/>
              </w:rPr>
              <w:t>1</w:t>
            </w:r>
          </w:p>
        </w:tc>
        <w:tc>
          <w:tcPr>
            <w:tcW w:w="1240" w:type="dxa"/>
            <w:tcBorders>
              <w:top w:val="single" w:sz="8" w:space="0" w:color="auto"/>
              <w:left w:val="single" w:sz="8" w:space="0" w:color="auto"/>
              <w:bottom w:val="single" w:sz="8" w:space="0" w:color="auto"/>
              <w:right w:val="single" w:sz="8" w:space="0" w:color="auto"/>
            </w:tcBorders>
            <w:vAlign w:val="center"/>
          </w:tcPr>
          <w:p w14:paraId="2819F877" w14:textId="77777777" w:rsidR="001F780D" w:rsidRDefault="001F780D" w:rsidP="002D62C9">
            <w:pPr>
              <w:jc w:val="center"/>
              <w:rPr>
                <w:sz w:val="20"/>
                <w:szCs w:val="20"/>
              </w:rPr>
            </w:pPr>
            <w:r>
              <w:rPr>
                <w:rFonts w:eastAsia="Times New Roman"/>
                <w:w w:val="88"/>
                <w:sz w:val="18"/>
                <w:szCs w:val="18"/>
              </w:rPr>
              <w:t>1</w:t>
            </w:r>
          </w:p>
        </w:tc>
      </w:tr>
      <w:tr w:rsidR="001F780D" w14:paraId="2819F89D" w14:textId="77777777" w:rsidTr="001F780D">
        <w:trPr>
          <w:trHeight w:val="259"/>
        </w:trPr>
        <w:tc>
          <w:tcPr>
            <w:tcW w:w="1540" w:type="dxa"/>
            <w:vMerge/>
            <w:tcBorders>
              <w:left w:val="single" w:sz="8" w:space="0" w:color="auto"/>
              <w:right w:val="single" w:sz="8" w:space="0" w:color="auto"/>
            </w:tcBorders>
            <w:vAlign w:val="center"/>
          </w:tcPr>
          <w:p w14:paraId="2819F892" w14:textId="77777777" w:rsidR="001F780D" w:rsidRDefault="001F780D" w:rsidP="00517A52"/>
        </w:tc>
        <w:tc>
          <w:tcPr>
            <w:tcW w:w="1800" w:type="dxa"/>
            <w:tcBorders>
              <w:top w:val="single" w:sz="8" w:space="0" w:color="auto"/>
              <w:bottom w:val="single" w:sz="8" w:space="0" w:color="auto"/>
              <w:right w:val="single" w:sz="8" w:space="0" w:color="auto"/>
            </w:tcBorders>
            <w:vAlign w:val="center"/>
          </w:tcPr>
          <w:p w14:paraId="2819F893" w14:textId="77777777" w:rsidR="001F780D" w:rsidRDefault="001F780D" w:rsidP="002D62C9">
            <w:pPr>
              <w:rPr>
                <w:sz w:val="20"/>
                <w:szCs w:val="20"/>
              </w:rPr>
            </w:pPr>
            <w:r>
              <w:rPr>
                <w:rFonts w:eastAsia="Times New Roman"/>
                <w:sz w:val="18"/>
                <w:szCs w:val="18"/>
              </w:rPr>
              <w:t>3,301-9,999</w:t>
            </w:r>
          </w:p>
        </w:tc>
        <w:tc>
          <w:tcPr>
            <w:tcW w:w="1440" w:type="dxa"/>
            <w:tcBorders>
              <w:top w:val="single" w:sz="8" w:space="0" w:color="auto"/>
              <w:bottom w:val="single" w:sz="8" w:space="0" w:color="auto"/>
              <w:right w:val="single" w:sz="8" w:space="0" w:color="auto"/>
            </w:tcBorders>
            <w:vAlign w:val="center"/>
          </w:tcPr>
          <w:p w14:paraId="2819F894" w14:textId="77777777" w:rsidR="001F780D" w:rsidRDefault="001F780D" w:rsidP="002D62C9">
            <w:pPr>
              <w:jc w:val="center"/>
              <w:rPr>
                <w:sz w:val="20"/>
                <w:szCs w:val="20"/>
              </w:rPr>
            </w:pPr>
            <w:r>
              <w:rPr>
                <w:rFonts w:eastAsia="Times New Roman"/>
                <w:sz w:val="18"/>
                <w:szCs w:val="18"/>
              </w:rPr>
              <w:t>.........</w:t>
            </w:r>
          </w:p>
        </w:tc>
        <w:tc>
          <w:tcPr>
            <w:tcW w:w="1260" w:type="dxa"/>
            <w:tcBorders>
              <w:top w:val="single" w:sz="8" w:space="0" w:color="auto"/>
              <w:bottom w:val="single" w:sz="8" w:space="0" w:color="auto"/>
              <w:right w:val="single" w:sz="8" w:space="0" w:color="auto"/>
            </w:tcBorders>
            <w:vAlign w:val="center"/>
          </w:tcPr>
          <w:p w14:paraId="2819F896" w14:textId="315FC6A6" w:rsidR="001F780D" w:rsidRDefault="001F780D" w:rsidP="002D62C9">
            <w:pPr>
              <w:jc w:val="center"/>
            </w:pPr>
            <w:r>
              <w:rPr>
                <w:rFonts w:eastAsia="Times New Roman"/>
                <w:sz w:val="18"/>
                <w:szCs w:val="18"/>
              </w:rPr>
              <w:t>4</w:t>
            </w:r>
          </w:p>
        </w:tc>
        <w:tc>
          <w:tcPr>
            <w:tcW w:w="1080" w:type="dxa"/>
            <w:tcBorders>
              <w:top w:val="single" w:sz="8" w:space="0" w:color="auto"/>
              <w:bottom w:val="single" w:sz="8" w:space="0" w:color="auto"/>
              <w:right w:val="single" w:sz="8" w:space="0" w:color="auto"/>
            </w:tcBorders>
            <w:vAlign w:val="center"/>
          </w:tcPr>
          <w:p w14:paraId="2819F897" w14:textId="77777777" w:rsidR="001F780D" w:rsidRDefault="001F780D" w:rsidP="002D62C9">
            <w:pPr>
              <w:jc w:val="center"/>
              <w:rPr>
                <w:sz w:val="20"/>
                <w:szCs w:val="20"/>
              </w:rPr>
            </w:pPr>
            <w:r>
              <w:rPr>
                <w:rFonts w:eastAsia="Times New Roman"/>
                <w:sz w:val="18"/>
                <w:szCs w:val="18"/>
              </w:rPr>
              <w:t>.........</w:t>
            </w:r>
          </w:p>
        </w:tc>
        <w:tc>
          <w:tcPr>
            <w:tcW w:w="980" w:type="dxa"/>
            <w:tcBorders>
              <w:top w:val="single" w:sz="8" w:space="0" w:color="auto"/>
              <w:bottom w:val="single" w:sz="8" w:space="0" w:color="auto"/>
              <w:right w:val="single" w:sz="8" w:space="0" w:color="auto"/>
            </w:tcBorders>
            <w:vAlign w:val="center"/>
          </w:tcPr>
          <w:p w14:paraId="2819F898" w14:textId="77777777" w:rsidR="001F780D" w:rsidRDefault="001F780D" w:rsidP="002D62C9">
            <w:pPr>
              <w:jc w:val="center"/>
              <w:rPr>
                <w:sz w:val="20"/>
                <w:szCs w:val="20"/>
              </w:rPr>
            </w:pPr>
            <w:r>
              <w:rPr>
                <w:rFonts w:eastAsia="Times New Roman"/>
                <w:sz w:val="18"/>
                <w:szCs w:val="18"/>
              </w:rPr>
              <w:t>1</w:t>
            </w:r>
          </w:p>
        </w:tc>
        <w:tc>
          <w:tcPr>
            <w:tcW w:w="1280" w:type="dxa"/>
            <w:tcBorders>
              <w:top w:val="single" w:sz="8" w:space="0" w:color="auto"/>
              <w:bottom w:val="single" w:sz="8" w:space="0" w:color="auto"/>
              <w:right w:val="single" w:sz="8" w:space="0" w:color="auto"/>
            </w:tcBorders>
            <w:vAlign w:val="center"/>
          </w:tcPr>
          <w:p w14:paraId="2819F89A" w14:textId="66D1DECA" w:rsidR="001F780D" w:rsidRDefault="001F780D" w:rsidP="002D62C9">
            <w:pPr>
              <w:jc w:val="center"/>
            </w:pPr>
            <w:r>
              <w:rPr>
                <w:rFonts w:eastAsia="Times New Roman"/>
                <w:w w:val="88"/>
                <w:sz w:val="18"/>
                <w:szCs w:val="18"/>
              </w:rPr>
              <w:t>2</w:t>
            </w:r>
          </w:p>
        </w:tc>
        <w:tc>
          <w:tcPr>
            <w:tcW w:w="1240" w:type="dxa"/>
            <w:tcBorders>
              <w:top w:val="single" w:sz="8" w:space="0" w:color="auto"/>
              <w:bottom w:val="single" w:sz="8" w:space="0" w:color="auto"/>
              <w:right w:val="single" w:sz="8" w:space="0" w:color="auto"/>
            </w:tcBorders>
            <w:vAlign w:val="center"/>
          </w:tcPr>
          <w:p w14:paraId="2819F89B" w14:textId="77777777" w:rsidR="001F780D" w:rsidRDefault="001F780D" w:rsidP="002D62C9">
            <w:pPr>
              <w:jc w:val="center"/>
              <w:rPr>
                <w:sz w:val="20"/>
                <w:szCs w:val="20"/>
              </w:rPr>
            </w:pPr>
            <w:r>
              <w:rPr>
                <w:rFonts w:eastAsia="Times New Roman"/>
                <w:w w:val="88"/>
                <w:sz w:val="18"/>
                <w:szCs w:val="18"/>
              </w:rPr>
              <w:t>1</w:t>
            </w:r>
          </w:p>
        </w:tc>
      </w:tr>
      <w:tr w:rsidR="001F780D" w14:paraId="2819F8A9" w14:textId="77777777" w:rsidTr="001F780D">
        <w:trPr>
          <w:trHeight w:val="527"/>
        </w:trPr>
        <w:tc>
          <w:tcPr>
            <w:tcW w:w="1540" w:type="dxa"/>
            <w:vMerge/>
            <w:tcBorders>
              <w:left w:val="single" w:sz="8" w:space="0" w:color="auto"/>
              <w:right w:val="single" w:sz="8" w:space="0" w:color="auto"/>
            </w:tcBorders>
            <w:vAlign w:val="center"/>
          </w:tcPr>
          <w:p w14:paraId="2819F89E" w14:textId="77777777" w:rsidR="001F780D" w:rsidRDefault="001F780D" w:rsidP="00517A52"/>
        </w:tc>
        <w:tc>
          <w:tcPr>
            <w:tcW w:w="1800" w:type="dxa"/>
            <w:tcBorders>
              <w:top w:val="single" w:sz="8" w:space="0" w:color="auto"/>
              <w:bottom w:val="single" w:sz="8" w:space="0" w:color="auto"/>
              <w:right w:val="single" w:sz="8" w:space="0" w:color="auto"/>
            </w:tcBorders>
            <w:vAlign w:val="center"/>
          </w:tcPr>
          <w:p w14:paraId="2819F89F" w14:textId="77777777" w:rsidR="001F780D" w:rsidRDefault="001F780D" w:rsidP="00517A52">
            <w:pPr>
              <w:rPr>
                <w:sz w:val="20"/>
                <w:szCs w:val="20"/>
              </w:rPr>
            </w:pPr>
            <w:r>
              <w:rPr>
                <w:rFonts w:eastAsia="Times New Roman"/>
                <w:sz w:val="18"/>
                <w:szCs w:val="18"/>
              </w:rPr>
              <w:t>10,000-49,999</w:t>
            </w:r>
          </w:p>
        </w:tc>
        <w:tc>
          <w:tcPr>
            <w:tcW w:w="1440" w:type="dxa"/>
            <w:tcBorders>
              <w:top w:val="single" w:sz="8" w:space="0" w:color="auto"/>
              <w:bottom w:val="single" w:sz="8" w:space="0" w:color="auto"/>
              <w:right w:val="single" w:sz="8" w:space="0" w:color="auto"/>
            </w:tcBorders>
            <w:vAlign w:val="center"/>
          </w:tcPr>
          <w:p w14:paraId="2819F8A0" w14:textId="6A2836A7" w:rsidR="001F780D" w:rsidRDefault="001F780D" w:rsidP="00517A52">
            <w:pPr>
              <w:jc w:val="center"/>
              <w:rPr>
                <w:sz w:val="20"/>
                <w:szCs w:val="20"/>
              </w:rPr>
            </w:pPr>
            <w:r>
              <w:rPr>
                <w:rFonts w:eastAsia="Times New Roman"/>
                <w:w w:val="99"/>
                <w:sz w:val="18"/>
                <w:szCs w:val="18"/>
              </w:rPr>
              <w:t xml:space="preserve">Six </w:t>
            </w:r>
            <w:r>
              <w:rPr>
                <w:rFonts w:eastAsia="Times New Roman"/>
                <w:sz w:val="18"/>
                <w:szCs w:val="18"/>
              </w:rPr>
              <w:t>(every 60 days)</w:t>
            </w:r>
          </w:p>
        </w:tc>
        <w:tc>
          <w:tcPr>
            <w:tcW w:w="1260" w:type="dxa"/>
            <w:tcBorders>
              <w:top w:val="single" w:sz="8" w:space="0" w:color="auto"/>
              <w:bottom w:val="single" w:sz="8" w:space="0" w:color="auto"/>
              <w:right w:val="single" w:sz="8" w:space="0" w:color="auto"/>
            </w:tcBorders>
            <w:vAlign w:val="center"/>
          </w:tcPr>
          <w:p w14:paraId="2819F8A2" w14:textId="671E0156" w:rsidR="001F780D" w:rsidRDefault="001F780D" w:rsidP="00517A52">
            <w:pPr>
              <w:jc w:val="center"/>
            </w:pPr>
            <w:r>
              <w:rPr>
                <w:rFonts w:eastAsia="Times New Roman"/>
                <w:sz w:val="18"/>
                <w:szCs w:val="18"/>
              </w:rPr>
              <w:t>8</w:t>
            </w:r>
          </w:p>
        </w:tc>
        <w:tc>
          <w:tcPr>
            <w:tcW w:w="1080" w:type="dxa"/>
            <w:tcBorders>
              <w:top w:val="single" w:sz="8" w:space="0" w:color="auto"/>
              <w:left w:val="single" w:sz="8" w:space="0" w:color="auto"/>
              <w:bottom w:val="single" w:sz="8" w:space="0" w:color="auto"/>
              <w:right w:val="single" w:sz="8" w:space="0" w:color="auto"/>
            </w:tcBorders>
            <w:vAlign w:val="center"/>
          </w:tcPr>
          <w:p w14:paraId="2819F8A3" w14:textId="77777777" w:rsidR="001F780D" w:rsidRDefault="001F780D" w:rsidP="00517A52">
            <w:pPr>
              <w:jc w:val="center"/>
              <w:rPr>
                <w:sz w:val="20"/>
                <w:szCs w:val="20"/>
              </w:rPr>
            </w:pPr>
            <w:r>
              <w:rPr>
                <w:rFonts w:eastAsia="Times New Roman"/>
                <w:w w:val="88"/>
                <w:sz w:val="18"/>
                <w:szCs w:val="18"/>
              </w:rPr>
              <w:t>1</w:t>
            </w:r>
          </w:p>
        </w:tc>
        <w:tc>
          <w:tcPr>
            <w:tcW w:w="980" w:type="dxa"/>
            <w:tcBorders>
              <w:top w:val="single" w:sz="8" w:space="0" w:color="auto"/>
              <w:bottom w:val="single" w:sz="8" w:space="0" w:color="auto"/>
              <w:right w:val="single" w:sz="8" w:space="0" w:color="auto"/>
            </w:tcBorders>
            <w:vAlign w:val="center"/>
          </w:tcPr>
          <w:p w14:paraId="2819F8A4" w14:textId="77777777" w:rsidR="001F780D" w:rsidRDefault="001F780D" w:rsidP="00517A52">
            <w:pPr>
              <w:jc w:val="center"/>
              <w:rPr>
                <w:sz w:val="20"/>
                <w:szCs w:val="20"/>
              </w:rPr>
            </w:pPr>
            <w:r>
              <w:rPr>
                <w:rFonts w:eastAsia="Times New Roman"/>
                <w:sz w:val="18"/>
                <w:szCs w:val="18"/>
              </w:rPr>
              <w:t>2</w:t>
            </w:r>
          </w:p>
        </w:tc>
        <w:tc>
          <w:tcPr>
            <w:tcW w:w="1280" w:type="dxa"/>
            <w:tcBorders>
              <w:top w:val="single" w:sz="8" w:space="0" w:color="auto"/>
              <w:bottom w:val="single" w:sz="8" w:space="0" w:color="auto"/>
              <w:right w:val="single" w:sz="8" w:space="0" w:color="auto"/>
            </w:tcBorders>
            <w:vAlign w:val="center"/>
          </w:tcPr>
          <w:p w14:paraId="2819F8A6" w14:textId="0408418A" w:rsidR="001F780D" w:rsidRDefault="001F780D" w:rsidP="00517A52">
            <w:pPr>
              <w:jc w:val="center"/>
            </w:pPr>
            <w:r>
              <w:rPr>
                <w:rFonts w:eastAsia="Times New Roman"/>
                <w:w w:val="88"/>
                <w:sz w:val="18"/>
                <w:szCs w:val="18"/>
              </w:rPr>
              <w:t>3</w:t>
            </w:r>
          </w:p>
        </w:tc>
        <w:tc>
          <w:tcPr>
            <w:tcW w:w="1240" w:type="dxa"/>
            <w:tcBorders>
              <w:top w:val="single" w:sz="8" w:space="0" w:color="auto"/>
              <w:left w:val="single" w:sz="8" w:space="0" w:color="auto"/>
              <w:bottom w:val="single" w:sz="8" w:space="0" w:color="auto"/>
              <w:right w:val="single" w:sz="8" w:space="0" w:color="auto"/>
            </w:tcBorders>
            <w:vAlign w:val="center"/>
          </w:tcPr>
          <w:p w14:paraId="2819F8A7" w14:textId="77777777" w:rsidR="001F780D" w:rsidRDefault="001F780D" w:rsidP="00517A52">
            <w:pPr>
              <w:jc w:val="center"/>
              <w:rPr>
                <w:sz w:val="20"/>
                <w:szCs w:val="20"/>
              </w:rPr>
            </w:pPr>
            <w:r>
              <w:rPr>
                <w:rFonts w:eastAsia="Times New Roman"/>
                <w:w w:val="88"/>
                <w:sz w:val="18"/>
                <w:szCs w:val="18"/>
              </w:rPr>
              <w:t>2</w:t>
            </w:r>
          </w:p>
        </w:tc>
      </w:tr>
      <w:tr w:rsidR="001F780D" w14:paraId="2819F8C2" w14:textId="77777777" w:rsidTr="001F780D">
        <w:trPr>
          <w:trHeight w:val="261"/>
        </w:trPr>
        <w:tc>
          <w:tcPr>
            <w:tcW w:w="1540" w:type="dxa"/>
            <w:vMerge/>
            <w:tcBorders>
              <w:left w:val="single" w:sz="8" w:space="0" w:color="auto"/>
              <w:right w:val="single" w:sz="8" w:space="0" w:color="auto"/>
            </w:tcBorders>
            <w:vAlign w:val="center"/>
          </w:tcPr>
          <w:p w14:paraId="2819F8B7" w14:textId="77777777" w:rsidR="001F780D" w:rsidRDefault="001F780D" w:rsidP="00517A52"/>
        </w:tc>
        <w:tc>
          <w:tcPr>
            <w:tcW w:w="1800" w:type="dxa"/>
            <w:tcBorders>
              <w:top w:val="single" w:sz="8" w:space="0" w:color="auto"/>
              <w:bottom w:val="single" w:sz="8" w:space="0" w:color="auto"/>
              <w:right w:val="single" w:sz="8" w:space="0" w:color="auto"/>
            </w:tcBorders>
            <w:vAlign w:val="center"/>
          </w:tcPr>
          <w:p w14:paraId="2819F8B8" w14:textId="77777777" w:rsidR="001F780D" w:rsidRDefault="001F780D" w:rsidP="00517A52">
            <w:pPr>
              <w:rPr>
                <w:sz w:val="20"/>
                <w:szCs w:val="20"/>
              </w:rPr>
            </w:pPr>
            <w:r>
              <w:rPr>
                <w:rFonts w:eastAsia="Times New Roman"/>
                <w:sz w:val="18"/>
                <w:szCs w:val="18"/>
              </w:rPr>
              <w:t>50,000-249,999</w:t>
            </w:r>
          </w:p>
        </w:tc>
        <w:tc>
          <w:tcPr>
            <w:tcW w:w="1440" w:type="dxa"/>
            <w:tcBorders>
              <w:top w:val="single" w:sz="8" w:space="0" w:color="auto"/>
              <w:bottom w:val="single" w:sz="8" w:space="0" w:color="auto"/>
              <w:right w:val="single" w:sz="8" w:space="0" w:color="auto"/>
            </w:tcBorders>
            <w:vAlign w:val="center"/>
          </w:tcPr>
          <w:p w14:paraId="2819F8B9" w14:textId="77777777" w:rsidR="001F780D" w:rsidRDefault="001F780D" w:rsidP="00517A52">
            <w:pPr>
              <w:jc w:val="center"/>
              <w:rPr>
                <w:sz w:val="20"/>
                <w:szCs w:val="20"/>
              </w:rPr>
            </w:pPr>
            <w:r>
              <w:rPr>
                <w:rFonts w:eastAsia="Times New Roman"/>
                <w:sz w:val="18"/>
                <w:szCs w:val="18"/>
              </w:rPr>
              <w:t>.........</w:t>
            </w:r>
          </w:p>
        </w:tc>
        <w:tc>
          <w:tcPr>
            <w:tcW w:w="1260" w:type="dxa"/>
            <w:tcBorders>
              <w:top w:val="single" w:sz="8" w:space="0" w:color="auto"/>
              <w:bottom w:val="single" w:sz="8" w:space="0" w:color="auto"/>
              <w:right w:val="single" w:sz="8" w:space="0" w:color="auto"/>
            </w:tcBorders>
            <w:vAlign w:val="center"/>
          </w:tcPr>
          <w:p w14:paraId="2819F8BB" w14:textId="72793DF8" w:rsidR="001F780D" w:rsidRDefault="001F780D" w:rsidP="00517A52">
            <w:pPr>
              <w:jc w:val="center"/>
            </w:pPr>
            <w:r>
              <w:rPr>
                <w:rFonts w:eastAsia="Times New Roman"/>
                <w:w w:val="99"/>
                <w:sz w:val="18"/>
                <w:szCs w:val="18"/>
              </w:rPr>
              <w:t>16</w:t>
            </w:r>
          </w:p>
        </w:tc>
        <w:tc>
          <w:tcPr>
            <w:tcW w:w="1080" w:type="dxa"/>
            <w:tcBorders>
              <w:top w:val="single" w:sz="8" w:space="0" w:color="auto"/>
              <w:bottom w:val="single" w:sz="8" w:space="0" w:color="auto"/>
              <w:right w:val="single" w:sz="8" w:space="0" w:color="auto"/>
            </w:tcBorders>
            <w:vAlign w:val="center"/>
          </w:tcPr>
          <w:p w14:paraId="2819F8BC" w14:textId="77777777" w:rsidR="001F780D" w:rsidRDefault="001F780D" w:rsidP="00517A52">
            <w:pPr>
              <w:jc w:val="center"/>
              <w:rPr>
                <w:sz w:val="20"/>
                <w:szCs w:val="20"/>
              </w:rPr>
            </w:pPr>
            <w:r>
              <w:rPr>
                <w:rFonts w:eastAsia="Times New Roman"/>
                <w:w w:val="88"/>
                <w:sz w:val="18"/>
                <w:szCs w:val="18"/>
              </w:rPr>
              <w:t>3</w:t>
            </w:r>
          </w:p>
        </w:tc>
        <w:tc>
          <w:tcPr>
            <w:tcW w:w="980" w:type="dxa"/>
            <w:tcBorders>
              <w:top w:val="single" w:sz="8" w:space="0" w:color="auto"/>
              <w:bottom w:val="single" w:sz="8" w:space="0" w:color="auto"/>
              <w:right w:val="single" w:sz="8" w:space="0" w:color="auto"/>
            </w:tcBorders>
            <w:vAlign w:val="center"/>
          </w:tcPr>
          <w:p w14:paraId="2819F8BD" w14:textId="77777777" w:rsidR="001F780D" w:rsidRDefault="001F780D" w:rsidP="00517A52">
            <w:pPr>
              <w:jc w:val="center"/>
              <w:rPr>
                <w:sz w:val="20"/>
                <w:szCs w:val="20"/>
              </w:rPr>
            </w:pPr>
            <w:r>
              <w:rPr>
                <w:rFonts w:eastAsia="Times New Roman"/>
                <w:sz w:val="18"/>
                <w:szCs w:val="18"/>
              </w:rPr>
              <w:t>4</w:t>
            </w:r>
          </w:p>
        </w:tc>
        <w:tc>
          <w:tcPr>
            <w:tcW w:w="1280" w:type="dxa"/>
            <w:tcBorders>
              <w:top w:val="single" w:sz="8" w:space="0" w:color="auto"/>
              <w:bottom w:val="single" w:sz="8" w:space="0" w:color="auto"/>
              <w:right w:val="single" w:sz="8" w:space="0" w:color="auto"/>
            </w:tcBorders>
            <w:vAlign w:val="center"/>
          </w:tcPr>
          <w:p w14:paraId="2819F8BF" w14:textId="3D8C2ECF" w:rsidR="001F780D" w:rsidRDefault="001F780D" w:rsidP="00517A52">
            <w:pPr>
              <w:jc w:val="center"/>
            </w:pPr>
            <w:r>
              <w:rPr>
                <w:rFonts w:eastAsia="Times New Roman"/>
                <w:w w:val="88"/>
                <w:sz w:val="18"/>
                <w:szCs w:val="18"/>
              </w:rPr>
              <w:t>5</w:t>
            </w:r>
          </w:p>
        </w:tc>
        <w:tc>
          <w:tcPr>
            <w:tcW w:w="1240" w:type="dxa"/>
            <w:tcBorders>
              <w:top w:val="single" w:sz="8" w:space="0" w:color="auto"/>
              <w:bottom w:val="single" w:sz="8" w:space="0" w:color="auto"/>
              <w:right w:val="single" w:sz="8" w:space="0" w:color="auto"/>
            </w:tcBorders>
            <w:vAlign w:val="center"/>
          </w:tcPr>
          <w:p w14:paraId="2819F8C0" w14:textId="77777777" w:rsidR="001F780D" w:rsidRDefault="001F780D" w:rsidP="00517A52">
            <w:pPr>
              <w:jc w:val="center"/>
              <w:rPr>
                <w:sz w:val="20"/>
                <w:szCs w:val="20"/>
              </w:rPr>
            </w:pPr>
            <w:r>
              <w:rPr>
                <w:rFonts w:eastAsia="Times New Roman"/>
                <w:w w:val="88"/>
                <w:sz w:val="18"/>
                <w:szCs w:val="18"/>
              </w:rPr>
              <w:t>4</w:t>
            </w:r>
          </w:p>
        </w:tc>
      </w:tr>
      <w:tr w:rsidR="001F780D" w14:paraId="2819F8CE" w14:textId="77777777" w:rsidTr="001F780D">
        <w:trPr>
          <w:trHeight w:val="259"/>
        </w:trPr>
        <w:tc>
          <w:tcPr>
            <w:tcW w:w="1540" w:type="dxa"/>
            <w:vMerge/>
            <w:tcBorders>
              <w:left w:val="single" w:sz="8" w:space="0" w:color="auto"/>
              <w:right w:val="single" w:sz="8" w:space="0" w:color="auto"/>
            </w:tcBorders>
            <w:vAlign w:val="center"/>
          </w:tcPr>
          <w:p w14:paraId="2819F8C3" w14:textId="77777777" w:rsidR="001F780D" w:rsidRDefault="001F780D" w:rsidP="00517A52"/>
        </w:tc>
        <w:tc>
          <w:tcPr>
            <w:tcW w:w="1800" w:type="dxa"/>
            <w:tcBorders>
              <w:bottom w:val="single" w:sz="8" w:space="0" w:color="auto"/>
              <w:right w:val="single" w:sz="8" w:space="0" w:color="auto"/>
            </w:tcBorders>
            <w:vAlign w:val="center"/>
          </w:tcPr>
          <w:p w14:paraId="2819F8C4" w14:textId="77777777" w:rsidR="001F780D" w:rsidRDefault="001F780D" w:rsidP="00517A52">
            <w:pPr>
              <w:rPr>
                <w:sz w:val="20"/>
                <w:szCs w:val="20"/>
              </w:rPr>
            </w:pPr>
            <w:r>
              <w:rPr>
                <w:rFonts w:eastAsia="Times New Roman"/>
                <w:sz w:val="18"/>
                <w:szCs w:val="18"/>
              </w:rPr>
              <w:t>250,000-999,999</w:t>
            </w:r>
          </w:p>
        </w:tc>
        <w:tc>
          <w:tcPr>
            <w:tcW w:w="1440" w:type="dxa"/>
            <w:tcBorders>
              <w:bottom w:val="single" w:sz="8" w:space="0" w:color="auto"/>
              <w:right w:val="single" w:sz="8" w:space="0" w:color="auto"/>
            </w:tcBorders>
            <w:vAlign w:val="center"/>
          </w:tcPr>
          <w:p w14:paraId="2819F8C5" w14:textId="77777777" w:rsidR="001F780D" w:rsidRDefault="001F780D" w:rsidP="00517A52">
            <w:pPr>
              <w:jc w:val="center"/>
              <w:rPr>
                <w:sz w:val="20"/>
                <w:szCs w:val="20"/>
              </w:rPr>
            </w:pPr>
            <w:r>
              <w:rPr>
                <w:rFonts w:eastAsia="Times New Roman"/>
                <w:sz w:val="18"/>
                <w:szCs w:val="18"/>
              </w:rPr>
              <w:t>.........</w:t>
            </w:r>
          </w:p>
        </w:tc>
        <w:tc>
          <w:tcPr>
            <w:tcW w:w="1260" w:type="dxa"/>
            <w:tcBorders>
              <w:bottom w:val="single" w:sz="8" w:space="0" w:color="auto"/>
              <w:right w:val="single" w:sz="8" w:space="0" w:color="auto"/>
            </w:tcBorders>
            <w:vAlign w:val="center"/>
          </w:tcPr>
          <w:p w14:paraId="2819F8C7" w14:textId="1F7ED478" w:rsidR="001F780D" w:rsidRDefault="001F780D" w:rsidP="00517A52">
            <w:pPr>
              <w:jc w:val="center"/>
            </w:pPr>
            <w:r>
              <w:rPr>
                <w:rFonts w:eastAsia="Times New Roman"/>
                <w:w w:val="99"/>
                <w:sz w:val="18"/>
                <w:szCs w:val="18"/>
              </w:rPr>
              <w:t>24</w:t>
            </w:r>
          </w:p>
        </w:tc>
        <w:tc>
          <w:tcPr>
            <w:tcW w:w="1080" w:type="dxa"/>
            <w:tcBorders>
              <w:bottom w:val="single" w:sz="8" w:space="0" w:color="auto"/>
              <w:right w:val="single" w:sz="8" w:space="0" w:color="auto"/>
            </w:tcBorders>
            <w:vAlign w:val="center"/>
          </w:tcPr>
          <w:p w14:paraId="2819F8C8" w14:textId="77777777" w:rsidR="001F780D" w:rsidRDefault="001F780D" w:rsidP="00517A52">
            <w:pPr>
              <w:jc w:val="center"/>
              <w:rPr>
                <w:sz w:val="20"/>
                <w:szCs w:val="20"/>
              </w:rPr>
            </w:pPr>
            <w:r>
              <w:rPr>
                <w:rFonts w:eastAsia="Times New Roman"/>
                <w:w w:val="88"/>
                <w:sz w:val="18"/>
                <w:szCs w:val="18"/>
              </w:rPr>
              <w:t>4</w:t>
            </w:r>
          </w:p>
        </w:tc>
        <w:tc>
          <w:tcPr>
            <w:tcW w:w="980" w:type="dxa"/>
            <w:tcBorders>
              <w:bottom w:val="single" w:sz="8" w:space="0" w:color="auto"/>
              <w:right w:val="single" w:sz="8" w:space="0" w:color="auto"/>
            </w:tcBorders>
            <w:vAlign w:val="center"/>
          </w:tcPr>
          <w:p w14:paraId="2819F8C9" w14:textId="77777777" w:rsidR="001F780D" w:rsidRDefault="001F780D" w:rsidP="00517A52">
            <w:pPr>
              <w:jc w:val="center"/>
              <w:rPr>
                <w:sz w:val="20"/>
                <w:szCs w:val="20"/>
              </w:rPr>
            </w:pPr>
            <w:r>
              <w:rPr>
                <w:rFonts w:eastAsia="Times New Roman"/>
                <w:sz w:val="18"/>
                <w:szCs w:val="18"/>
              </w:rPr>
              <w:t>6</w:t>
            </w:r>
          </w:p>
        </w:tc>
        <w:tc>
          <w:tcPr>
            <w:tcW w:w="1280" w:type="dxa"/>
            <w:tcBorders>
              <w:bottom w:val="single" w:sz="8" w:space="0" w:color="auto"/>
              <w:right w:val="single" w:sz="8" w:space="0" w:color="auto"/>
            </w:tcBorders>
            <w:vAlign w:val="center"/>
          </w:tcPr>
          <w:p w14:paraId="2819F8CB" w14:textId="41278773" w:rsidR="001F780D" w:rsidRDefault="001F780D" w:rsidP="00517A52">
            <w:pPr>
              <w:jc w:val="center"/>
            </w:pPr>
            <w:r>
              <w:rPr>
                <w:rFonts w:eastAsia="Times New Roman"/>
                <w:w w:val="88"/>
                <w:sz w:val="18"/>
                <w:szCs w:val="18"/>
              </w:rPr>
              <w:t>8</w:t>
            </w:r>
          </w:p>
        </w:tc>
        <w:tc>
          <w:tcPr>
            <w:tcW w:w="1240" w:type="dxa"/>
            <w:tcBorders>
              <w:bottom w:val="single" w:sz="8" w:space="0" w:color="auto"/>
              <w:right w:val="single" w:sz="8" w:space="0" w:color="auto"/>
            </w:tcBorders>
            <w:vAlign w:val="center"/>
          </w:tcPr>
          <w:p w14:paraId="2819F8CC" w14:textId="77777777" w:rsidR="001F780D" w:rsidRDefault="001F780D" w:rsidP="00517A52">
            <w:pPr>
              <w:jc w:val="center"/>
              <w:rPr>
                <w:sz w:val="20"/>
                <w:szCs w:val="20"/>
              </w:rPr>
            </w:pPr>
            <w:r>
              <w:rPr>
                <w:rFonts w:eastAsia="Times New Roman"/>
                <w:w w:val="88"/>
                <w:sz w:val="18"/>
                <w:szCs w:val="18"/>
              </w:rPr>
              <w:t>6</w:t>
            </w:r>
          </w:p>
        </w:tc>
      </w:tr>
      <w:tr w:rsidR="001F780D" w14:paraId="2819F8DA" w14:textId="77777777" w:rsidTr="001F780D">
        <w:trPr>
          <w:trHeight w:val="261"/>
        </w:trPr>
        <w:tc>
          <w:tcPr>
            <w:tcW w:w="1540" w:type="dxa"/>
            <w:vMerge/>
            <w:tcBorders>
              <w:left w:val="single" w:sz="8" w:space="0" w:color="auto"/>
              <w:right w:val="single" w:sz="8" w:space="0" w:color="auto"/>
            </w:tcBorders>
            <w:vAlign w:val="center"/>
          </w:tcPr>
          <w:p w14:paraId="2819F8CF" w14:textId="77777777" w:rsidR="001F780D" w:rsidRDefault="001F780D" w:rsidP="00517A52"/>
        </w:tc>
        <w:tc>
          <w:tcPr>
            <w:tcW w:w="1800" w:type="dxa"/>
            <w:tcBorders>
              <w:bottom w:val="single" w:sz="8" w:space="0" w:color="auto"/>
              <w:right w:val="single" w:sz="8" w:space="0" w:color="auto"/>
            </w:tcBorders>
            <w:vAlign w:val="center"/>
          </w:tcPr>
          <w:p w14:paraId="2819F8D0" w14:textId="77777777" w:rsidR="001F780D" w:rsidRDefault="001F780D" w:rsidP="00517A52">
            <w:pPr>
              <w:rPr>
                <w:sz w:val="20"/>
                <w:szCs w:val="20"/>
              </w:rPr>
            </w:pPr>
            <w:r>
              <w:rPr>
                <w:rFonts w:eastAsia="Times New Roman"/>
                <w:sz w:val="18"/>
                <w:szCs w:val="18"/>
              </w:rPr>
              <w:t>1,000,000-4,999,999</w:t>
            </w:r>
          </w:p>
        </w:tc>
        <w:tc>
          <w:tcPr>
            <w:tcW w:w="1440" w:type="dxa"/>
            <w:tcBorders>
              <w:bottom w:val="single" w:sz="8" w:space="0" w:color="auto"/>
              <w:right w:val="single" w:sz="8" w:space="0" w:color="auto"/>
            </w:tcBorders>
            <w:vAlign w:val="center"/>
          </w:tcPr>
          <w:p w14:paraId="2819F8D1" w14:textId="77777777" w:rsidR="001F780D" w:rsidRDefault="001F780D" w:rsidP="00517A52">
            <w:pPr>
              <w:jc w:val="center"/>
              <w:rPr>
                <w:sz w:val="20"/>
                <w:szCs w:val="20"/>
              </w:rPr>
            </w:pPr>
            <w:r>
              <w:rPr>
                <w:rFonts w:eastAsia="Times New Roman"/>
                <w:sz w:val="18"/>
                <w:szCs w:val="18"/>
              </w:rPr>
              <w:t>.........</w:t>
            </w:r>
          </w:p>
        </w:tc>
        <w:tc>
          <w:tcPr>
            <w:tcW w:w="1260" w:type="dxa"/>
            <w:tcBorders>
              <w:bottom w:val="single" w:sz="8" w:space="0" w:color="auto"/>
              <w:right w:val="single" w:sz="8" w:space="0" w:color="auto"/>
            </w:tcBorders>
            <w:vAlign w:val="center"/>
          </w:tcPr>
          <w:p w14:paraId="2819F8D3" w14:textId="66D75E57" w:rsidR="001F780D" w:rsidRDefault="001F780D" w:rsidP="00517A52">
            <w:pPr>
              <w:jc w:val="center"/>
            </w:pPr>
            <w:r>
              <w:rPr>
                <w:rFonts w:eastAsia="Times New Roman"/>
                <w:w w:val="99"/>
                <w:sz w:val="18"/>
                <w:szCs w:val="18"/>
              </w:rPr>
              <w:t>32</w:t>
            </w:r>
          </w:p>
        </w:tc>
        <w:tc>
          <w:tcPr>
            <w:tcW w:w="1080" w:type="dxa"/>
            <w:tcBorders>
              <w:bottom w:val="single" w:sz="8" w:space="0" w:color="auto"/>
              <w:right w:val="single" w:sz="8" w:space="0" w:color="auto"/>
            </w:tcBorders>
            <w:vAlign w:val="center"/>
          </w:tcPr>
          <w:p w14:paraId="2819F8D4" w14:textId="77777777" w:rsidR="001F780D" w:rsidRDefault="001F780D" w:rsidP="00517A52">
            <w:pPr>
              <w:jc w:val="center"/>
              <w:rPr>
                <w:sz w:val="20"/>
                <w:szCs w:val="20"/>
              </w:rPr>
            </w:pPr>
            <w:r>
              <w:rPr>
                <w:rFonts w:eastAsia="Times New Roman"/>
                <w:w w:val="88"/>
                <w:sz w:val="18"/>
                <w:szCs w:val="18"/>
              </w:rPr>
              <w:t>6</w:t>
            </w:r>
          </w:p>
        </w:tc>
        <w:tc>
          <w:tcPr>
            <w:tcW w:w="980" w:type="dxa"/>
            <w:tcBorders>
              <w:bottom w:val="single" w:sz="8" w:space="0" w:color="auto"/>
              <w:right w:val="single" w:sz="8" w:space="0" w:color="auto"/>
            </w:tcBorders>
            <w:vAlign w:val="center"/>
          </w:tcPr>
          <w:p w14:paraId="2819F8D5" w14:textId="77777777" w:rsidR="001F780D" w:rsidRDefault="001F780D" w:rsidP="00517A52">
            <w:pPr>
              <w:jc w:val="center"/>
              <w:rPr>
                <w:sz w:val="20"/>
                <w:szCs w:val="20"/>
              </w:rPr>
            </w:pPr>
            <w:r>
              <w:rPr>
                <w:rFonts w:eastAsia="Times New Roman"/>
                <w:sz w:val="18"/>
                <w:szCs w:val="18"/>
              </w:rPr>
              <w:t>8</w:t>
            </w:r>
          </w:p>
        </w:tc>
        <w:tc>
          <w:tcPr>
            <w:tcW w:w="1280" w:type="dxa"/>
            <w:tcBorders>
              <w:bottom w:val="single" w:sz="8" w:space="0" w:color="auto"/>
              <w:right w:val="single" w:sz="8" w:space="0" w:color="auto"/>
            </w:tcBorders>
            <w:vAlign w:val="center"/>
          </w:tcPr>
          <w:p w14:paraId="2819F8D7" w14:textId="759EB0F6" w:rsidR="001F780D" w:rsidRDefault="001F780D" w:rsidP="00517A52">
            <w:pPr>
              <w:jc w:val="center"/>
            </w:pPr>
            <w:r>
              <w:rPr>
                <w:rFonts w:eastAsia="Times New Roman"/>
                <w:sz w:val="18"/>
                <w:szCs w:val="18"/>
              </w:rPr>
              <w:t>10</w:t>
            </w:r>
          </w:p>
        </w:tc>
        <w:tc>
          <w:tcPr>
            <w:tcW w:w="1240" w:type="dxa"/>
            <w:tcBorders>
              <w:bottom w:val="single" w:sz="8" w:space="0" w:color="auto"/>
              <w:right w:val="single" w:sz="8" w:space="0" w:color="auto"/>
            </w:tcBorders>
            <w:vAlign w:val="center"/>
          </w:tcPr>
          <w:p w14:paraId="2819F8D8" w14:textId="77777777" w:rsidR="001F780D" w:rsidRDefault="001F780D" w:rsidP="00517A52">
            <w:pPr>
              <w:jc w:val="center"/>
              <w:rPr>
                <w:sz w:val="20"/>
                <w:szCs w:val="20"/>
              </w:rPr>
            </w:pPr>
            <w:r>
              <w:rPr>
                <w:rFonts w:eastAsia="Times New Roman"/>
                <w:w w:val="88"/>
                <w:sz w:val="18"/>
                <w:szCs w:val="18"/>
              </w:rPr>
              <w:t>8</w:t>
            </w:r>
          </w:p>
        </w:tc>
      </w:tr>
      <w:tr w:rsidR="001F780D" w14:paraId="2819F8E6" w14:textId="77777777" w:rsidTr="003C5DFC">
        <w:trPr>
          <w:trHeight w:val="234"/>
        </w:trPr>
        <w:tc>
          <w:tcPr>
            <w:tcW w:w="1540" w:type="dxa"/>
            <w:vMerge/>
            <w:tcBorders>
              <w:left w:val="single" w:sz="8" w:space="0" w:color="auto"/>
              <w:bottom w:val="single" w:sz="8" w:space="0" w:color="auto"/>
              <w:right w:val="single" w:sz="8" w:space="0" w:color="auto"/>
            </w:tcBorders>
            <w:vAlign w:val="center"/>
          </w:tcPr>
          <w:p w14:paraId="2819F8DB" w14:textId="77777777" w:rsidR="001F780D" w:rsidRDefault="001F780D" w:rsidP="00517A52">
            <w:pPr>
              <w:rPr>
                <w:sz w:val="20"/>
                <w:szCs w:val="20"/>
              </w:rPr>
            </w:pPr>
          </w:p>
        </w:tc>
        <w:tc>
          <w:tcPr>
            <w:tcW w:w="1800" w:type="dxa"/>
            <w:tcBorders>
              <w:top w:val="single" w:sz="8" w:space="0" w:color="auto"/>
              <w:bottom w:val="single" w:sz="8" w:space="0" w:color="auto"/>
              <w:right w:val="single" w:sz="8" w:space="0" w:color="auto"/>
            </w:tcBorders>
            <w:vAlign w:val="center"/>
          </w:tcPr>
          <w:p w14:paraId="2819F8DC" w14:textId="77777777" w:rsidR="001F780D" w:rsidRDefault="001F780D" w:rsidP="00517A52">
            <w:pPr>
              <w:rPr>
                <w:sz w:val="20"/>
                <w:szCs w:val="20"/>
              </w:rPr>
            </w:pPr>
            <w:r>
              <w:rPr>
                <w:rFonts w:eastAsia="Times New Roman"/>
                <w:sz w:val="18"/>
                <w:szCs w:val="18"/>
              </w:rPr>
              <w:t>&gt;5,000,000</w:t>
            </w:r>
          </w:p>
        </w:tc>
        <w:tc>
          <w:tcPr>
            <w:tcW w:w="1440" w:type="dxa"/>
            <w:tcBorders>
              <w:top w:val="single" w:sz="8" w:space="0" w:color="auto"/>
              <w:bottom w:val="single" w:sz="8" w:space="0" w:color="auto"/>
              <w:right w:val="single" w:sz="8" w:space="0" w:color="auto"/>
            </w:tcBorders>
            <w:vAlign w:val="center"/>
          </w:tcPr>
          <w:p w14:paraId="2819F8DD" w14:textId="77777777" w:rsidR="001F780D" w:rsidRDefault="001F780D" w:rsidP="00517A52">
            <w:pPr>
              <w:jc w:val="center"/>
              <w:rPr>
                <w:sz w:val="20"/>
                <w:szCs w:val="20"/>
              </w:rPr>
            </w:pPr>
            <w:r>
              <w:rPr>
                <w:rFonts w:eastAsia="Times New Roman"/>
                <w:sz w:val="18"/>
                <w:szCs w:val="18"/>
              </w:rPr>
              <w:t>.........</w:t>
            </w:r>
          </w:p>
        </w:tc>
        <w:tc>
          <w:tcPr>
            <w:tcW w:w="1260" w:type="dxa"/>
            <w:tcBorders>
              <w:top w:val="single" w:sz="8" w:space="0" w:color="auto"/>
              <w:bottom w:val="single" w:sz="8" w:space="0" w:color="auto"/>
              <w:right w:val="single" w:sz="8" w:space="0" w:color="auto"/>
            </w:tcBorders>
            <w:vAlign w:val="center"/>
          </w:tcPr>
          <w:p w14:paraId="2819F8DF" w14:textId="5C7288C3" w:rsidR="001F780D" w:rsidRDefault="001F780D" w:rsidP="00517A52">
            <w:pPr>
              <w:jc w:val="center"/>
              <w:rPr>
                <w:sz w:val="20"/>
                <w:szCs w:val="20"/>
              </w:rPr>
            </w:pPr>
            <w:r>
              <w:rPr>
                <w:rFonts w:eastAsia="Times New Roman"/>
                <w:w w:val="99"/>
                <w:sz w:val="18"/>
                <w:szCs w:val="18"/>
              </w:rPr>
              <w:t>40</w:t>
            </w:r>
          </w:p>
        </w:tc>
        <w:tc>
          <w:tcPr>
            <w:tcW w:w="1080" w:type="dxa"/>
            <w:tcBorders>
              <w:top w:val="single" w:sz="8" w:space="0" w:color="auto"/>
              <w:bottom w:val="single" w:sz="8" w:space="0" w:color="auto"/>
              <w:right w:val="single" w:sz="8" w:space="0" w:color="auto"/>
            </w:tcBorders>
            <w:vAlign w:val="center"/>
          </w:tcPr>
          <w:p w14:paraId="2819F8E0" w14:textId="77777777" w:rsidR="001F780D" w:rsidRDefault="001F780D" w:rsidP="00517A52">
            <w:pPr>
              <w:jc w:val="center"/>
              <w:rPr>
                <w:sz w:val="20"/>
                <w:szCs w:val="20"/>
              </w:rPr>
            </w:pPr>
            <w:r>
              <w:rPr>
                <w:rFonts w:eastAsia="Times New Roman"/>
                <w:w w:val="88"/>
                <w:sz w:val="18"/>
                <w:szCs w:val="18"/>
              </w:rPr>
              <w:t>8</w:t>
            </w:r>
          </w:p>
        </w:tc>
        <w:tc>
          <w:tcPr>
            <w:tcW w:w="980" w:type="dxa"/>
            <w:tcBorders>
              <w:top w:val="single" w:sz="8" w:space="0" w:color="auto"/>
              <w:bottom w:val="single" w:sz="8" w:space="0" w:color="auto"/>
              <w:right w:val="single" w:sz="8" w:space="0" w:color="auto"/>
            </w:tcBorders>
            <w:vAlign w:val="center"/>
          </w:tcPr>
          <w:p w14:paraId="2819F8E1" w14:textId="77777777" w:rsidR="001F780D" w:rsidRDefault="001F780D" w:rsidP="00517A52">
            <w:pPr>
              <w:jc w:val="center"/>
              <w:rPr>
                <w:sz w:val="20"/>
                <w:szCs w:val="20"/>
              </w:rPr>
            </w:pPr>
            <w:r>
              <w:rPr>
                <w:rFonts w:eastAsia="Times New Roman"/>
                <w:w w:val="99"/>
                <w:sz w:val="18"/>
                <w:szCs w:val="18"/>
              </w:rPr>
              <w:t>10</w:t>
            </w:r>
          </w:p>
        </w:tc>
        <w:tc>
          <w:tcPr>
            <w:tcW w:w="1280" w:type="dxa"/>
            <w:tcBorders>
              <w:top w:val="single" w:sz="8" w:space="0" w:color="auto"/>
              <w:bottom w:val="single" w:sz="8" w:space="0" w:color="auto"/>
              <w:right w:val="single" w:sz="8" w:space="0" w:color="auto"/>
            </w:tcBorders>
            <w:vAlign w:val="center"/>
          </w:tcPr>
          <w:p w14:paraId="2819F8E3" w14:textId="75A5B42A" w:rsidR="001F780D" w:rsidRDefault="001F780D" w:rsidP="00517A52">
            <w:pPr>
              <w:jc w:val="center"/>
              <w:rPr>
                <w:sz w:val="20"/>
                <w:szCs w:val="20"/>
              </w:rPr>
            </w:pPr>
            <w:r>
              <w:rPr>
                <w:rFonts w:eastAsia="Times New Roman"/>
                <w:sz w:val="18"/>
                <w:szCs w:val="18"/>
              </w:rPr>
              <w:t>12</w:t>
            </w:r>
          </w:p>
        </w:tc>
        <w:tc>
          <w:tcPr>
            <w:tcW w:w="1240" w:type="dxa"/>
            <w:tcBorders>
              <w:top w:val="single" w:sz="8" w:space="0" w:color="auto"/>
              <w:bottom w:val="single" w:sz="8" w:space="0" w:color="auto"/>
              <w:right w:val="single" w:sz="8" w:space="0" w:color="auto"/>
            </w:tcBorders>
            <w:vAlign w:val="center"/>
          </w:tcPr>
          <w:p w14:paraId="2819F8E4" w14:textId="77777777" w:rsidR="001F780D" w:rsidRDefault="001F780D" w:rsidP="00517A52">
            <w:pPr>
              <w:jc w:val="center"/>
              <w:rPr>
                <w:sz w:val="20"/>
                <w:szCs w:val="20"/>
              </w:rPr>
            </w:pPr>
            <w:r>
              <w:rPr>
                <w:rFonts w:eastAsia="Times New Roman"/>
                <w:sz w:val="18"/>
                <w:szCs w:val="18"/>
              </w:rPr>
              <w:t>10</w:t>
            </w:r>
          </w:p>
        </w:tc>
      </w:tr>
      <w:tr w:rsidR="001F780D" w14:paraId="2819F8FF" w14:textId="77777777" w:rsidTr="003C5DFC">
        <w:trPr>
          <w:trHeight w:val="532"/>
        </w:trPr>
        <w:tc>
          <w:tcPr>
            <w:tcW w:w="1540" w:type="dxa"/>
            <w:vMerge w:val="restart"/>
            <w:tcBorders>
              <w:top w:val="single" w:sz="8" w:space="0" w:color="auto"/>
              <w:left w:val="single" w:sz="8" w:space="0" w:color="auto"/>
              <w:bottom w:val="single" w:sz="8" w:space="0" w:color="auto"/>
              <w:right w:val="single" w:sz="8" w:space="0" w:color="auto"/>
            </w:tcBorders>
          </w:tcPr>
          <w:p w14:paraId="2819F8F4" w14:textId="77777777" w:rsidR="001F780D" w:rsidRDefault="001F780D" w:rsidP="001F780D">
            <w:pPr>
              <w:ind w:left="40"/>
              <w:rPr>
                <w:sz w:val="20"/>
                <w:szCs w:val="20"/>
              </w:rPr>
            </w:pPr>
            <w:r>
              <w:rPr>
                <w:rFonts w:eastAsia="Times New Roman"/>
                <w:sz w:val="18"/>
                <w:szCs w:val="18"/>
              </w:rPr>
              <w:t>Groundwater</w:t>
            </w:r>
          </w:p>
        </w:tc>
        <w:tc>
          <w:tcPr>
            <w:tcW w:w="1800" w:type="dxa"/>
            <w:tcBorders>
              <w:top w:val="single" w:sz="8" w:space="0" w:color="auto"/>
              <w:bottom w:val="single" w:sz="8" w:space="0" w:color="auto"/>
              <w:right w:val="single" w:sz="8" w:space="0" w:color="auto"/>
            </w:tcBorders>
            <w:vAlign w:val="center"/>
          </w:tcPr>
          <w:p w14:paraId="2819F8F5" w14:textId="37ECD22D" w:rsidR="001F780D" w:rsidRDefault="001F780D" w:rsidP="00FA13C8">
            <w:pPr>
              <w:rPr>
                <w:sz w:val="20"/>
                <w:szCs w:val="20"/>
              </w:rPr>
            </w:pPr>
            <w:r>
              <w:rPr>
                <w:rFonts w:eastAsia="Times New Roman"/>
                <w:sz w:val="18"/>
                <w:szCs w:val="18"/>
              </w:rPr>
              <w:t>&lt;500 consecutive systems</w:t>
            </w:r>
          </w:p>
        </w:tc>
        <w:tc>
          <w:tcPr>
            <w:tcW w:w="1440" w:type="dxa"/>
            <w:tcBorders>
              <w:top w:val="single" w:sz="8" w:space="0" w:color="auto"/>
              <w:bottom w:val="single" w:sz="8" w:space="0" w:color="auto"/>
              <w:right w:val="single" w:sz="8" w:space="0" w:color="auto"/>
            </w:tcBorders>
            <w:vAlign w:val="center"/>
          </w:tcPr>
          <w:p w14:paraId="2819F8F6" w14:textId="38A5DA02" w:rsidR="001F780D" w:rsidRDefault="001F780D" w:rsidP="00FA13C8">
            <w:pPr>
              <w:jc w:val="center"/>
              <w:rPr>
                <w:sz w:val="20"/>
                <w:szCs w:val="20"/>
              </w:rPr>
            </w:pPr>
            <w:r>
              <w:rPr>
                <w:rFonts w:eastAsia="Times New Roman"/>
                <w:sz w:val="18"/>
                <w:szCs w:val="18"/>
              </w:rPr>
              <w:t>One (during peak historical month)</w:t>
            </w:r>
            <w:r>
              <w:rPr>
                <w:rFonts w:eastAsia="Times New Roman"/>
                <w:sz w:val="24"/>
                <w:szCs w:val="24"/>
                <w:vertAlign w:val="superscript"/>
              </w:rPr>
              <w:t>2</w:t>
            </w:r>
          </w:p>
        </w:tc>
        <w:tc>
          <w:tcPr>
            <w:tcW w:w="1260" w:type="dxa"/>
            <w:tcBorders>
              <w:top w:val="single" w:sz="8" w:space="0" w:color="auto"/>
              <w:bottom w:val="single" w:sz="8" w:space="0" w:color="auto"/>
              <w:right w:val="single" w:sz="8" w:space="0" w:color="auto"/>
            </w:tcBorders>
            <w:vAlign w:val="center"/>
          </w:tcPr>
          <w:p w14:paraId="2819F8F8" w14:textId="3E5DBEB9" w:rsidR="001F780D" w:rsidRDefault="001F780D" w:rsidP="00517A52">
            <w:pPr>
              <w:jc w:val="center"/>
              <w:rPr>
                <w:sz w:val="20"/>
                <w:szCs w:val="20"/>
              </w:rPr>
            </w:pPr>
            <w:r>
              <w:rPr>
                <w:rFonts w:eastAsia="Times New Roman"/>
                <w:sz w:val="18"/>
                <w:szCs w:val="18"/>
              </w:rPr>
              <w:t>2</w:t>
            </w:r>
          </w:p>
        </w:tc>
        <w:tc>
          <w:tcPr>
            <w:tcW w:w="1080" w:type="dxa"/>
            <w:tcBorders>
              <w:top w:val="single" w:sz="8" w:space="0" w:color="auto"/>
              <w:left w:val="single" w:sz="8" w:space="0" w:color="auto"/>
              <w:bottom w:val="single" w:sz="8" w:space="0" w:color="auto"/>
              <w:right w:val="single" w:sz="8" w:space="0" w:color="auto"/>
            </w:tcBorders>
            <w:vAlign w:val="center"/>
          </w:tcPr>
          <w:p w14:paraId="2819F8F9" w14:textId="77777777" w:rsidR="001F780D" w:rsidRDefault="001F780D" w:rsidP="00517A52">
            <w:pPr>
              <w:jc w:val="center"/>
              <w:rPr>
                <w:sz w:val="20"/>
                <w:szCs w:val="20"/>
              </w:rPr>
            </w:pPr>
            <w:r>
              <w:rPr>
                <w:rFonts w:eastAsia="Times New Roman"/>
                <w:w w:val="88"/>
                <w:sz w:val="18"/>
                <w:szCs w:val="18"/>
              </w:rPr>
              <w:t>1</w:t>
            </w:r>
          </w:p>
        </w:tc>
        <w:tc>
          <w:tcPr>
            <w:tcW w:w="980" w:type="dxa"/>
            <w:tcBorders>
              <w:top w:val="single" w:sz="8" w:space="0" w:color="auto"/>
              <w:bottom w:val="single" w:sz="8" w:space="0" w:color="auto"/>
              <w:right w:val="single" w:sz="8" w:space="0" w:color="auto"/>
            </w:tcBorders>
            <w:vAlign w:val="center"/>
          </w:tcPr>
          <w:p w14:paraId="2819F8FA" w14:textId="77777777" w:rsidR="001F780D" w:rsidRDefault="001F780D" w:rsidP="00517A52">
            <w:pPr>
              <w:jc w:val="center"/>
              <w:rPr>
                <w:sz w:val="20"/>
                <w:szCs w:val="20"/>
              </w:rPr>
            </w:pPr>
            <w:r>
              <w:rPr>
                <w:rFonts w:eastAsia="Times New Roman"/>
                <w:sz w:val="18"/>
                <w:szCs w:val="18"/>
              </w:rPr>
              <w:t>.........</w:t>
            </w:r>
          </w:p>
        </w:tc>
        <w:tc>
          <w:tcPr>
            <w:tcW w:w="1280" w:type="dxa"/>
            <w:tcBorders>
              <w:top w:val="single" w:sz="8" w:space="0" w:color="auto"/>
              <w:bottom w:val="single" w:sz="8" w:space="0" w:color="auto"/>
              <w:right w:val="single" w:sz="8" w:space="0" w:color="auto"/>
            </w:tcBorders>
            <w:vAlign w:val="center"/>
          </w:tcPr>
          <w:p w14:paraId="2819F8FC" w14:textId="395C669E" w:rsidR="001F780D" w:rsidRDefault="001F780D" w:rsidP="00517A52">
            <w:pPr>
              <w:jc w:val="center"/>
              <w:rPr>
                <w:sz w:val="20"/>
                <w:szCs w:val="20"/>
              </w:rPr>
            </w:pPr>
            <w:r>
              <w:rPr>
                <w:rFonts w:eastAsia="Times New Roman"/>
                <w:w w:val="88"/>
                <w:sz w:val="18"/>
                <w:szCs w:val="18"/>
              </w:rPr>
              <w:t>1</w:t>
            </w:r>
          </w:p>
        </w:tc>
        <w:tc>
          <w:tcPr>
            <w:tcW w:w="1240" w:type="dxa"/>
            <w:tcBorders>
              <w:top w:val="single" w:sz="8" w:space="0" w:color="auto"/>
              <w:left w:val="single" w:sz="8" w:space="0" w:color="auto"/>
              <w:bottom w:val="single" w:sz="8" w:space="0" w:color="auto"/>
              <w:right w:val="single" w:sz="8" w:space="0" w:color="auto"/>
            </w:tcBorders>
            <w:vAlign w:val="center"/>
          </w:tcPr>
          <w:p w14:paraId="2819F8FD" w14:textId="77777777" w:rsidR="001F780D" w:rsidRDefault="001F780D" w:rsidP="00517A52">
            <w:pPr>
              <w:jc w:val="center"/>
              <w:rPr>
                <w:sz w:val="20"/>
                <w:szCs w:val="20"/>
              </w:rPr>
            </w:pPr>
          </w:p>
        </w:tc>
      </w:tr>
      <w:tr w:rsidR="003C5DFC" w14:paraId="2819F917" w14:textId="77777777" w:rsidTr="003C5DFC">
        <w:trPr>
          <w:trHeight w:val="816"/>
        </w:trPr>
        <w:tc>
          <w:tcPr>
            <w:tcW w:w="1540" w:type="dxa"/>
            <w:vMerge/>
            <w:tcBorders>
              <w:left w:val="single" w:sz="8" w:space="0" w:color="auto"/>
              <w:bottom w:val="single" w:sz="8" w:space="0" w:color="auto"/>
              <w:right w:val="single" w:sz="8" w:space="0" w:color="auto"/>
            </w:tcBorders>
            <w:vAlign w:val="center"/>
          </w:tcPr>
          <w:p w14:paraId="2819F90C" w14:textId="77777777" w:rsidR="003C5DFC" w:rsidRDefault="003C5DFC" w:rsidP="00517A52"/>
        </w:tc>
        <w:tc>
          <w:tcPr>
            <w:tcW w:w="1800" w:type="dxa"/>
            <w:tcBorders>
              <w:top w:val="single" w:sz="8" w:space="0" w:color="auto"/>
              <w:bottom w:val="single" w:sz="8" w:space="0" w:color="auto"/>
              <w:right w:val="single" w:sz="8" w:space="0" w:color="auto"/>
            </w:tcBorders>
            <w:vAlign w:val="center"/>
          </w:tcPr>
          <w:p w14:paraId="2819F90D" w14:textId="52230955" w:rsidR="003C5DFC" w:rsidRDefault="003C5DFC" w:rsidP="003C5DFC">
            <w:pPr>
              <w:rPr>
                <w:sz w:val="20"/>
                <w:szCs w:val="20"/>
              </w:rPr>
            </w:pPr>
            <w:r>
              <w:rPr>
                <w:rFonts w:eastAsia="Times New Roman"/>
                <w:sz w:val="18"/>
                <w:szCs w:val="18"/>
              </w:rPr>
              <w:t>&lt;500 non-consecutive systems</w:t>
            </w:r>
          </w:p>
        </w:tc>
        <w:tc>
          <w:tcPr>
            <w:tcW w:w="1440" w:type="dxa"/>
            <w:tcBorders>
              <w:top w:val="single" w:sz="8" w:space="0" w:color="auto"/>
              <w:bottom w:val="single" w:sz="8" w:space="0" w:color="auto"/>
              <w:right w:val="single" w:sz="8" w:space="0" w:color="auto"/>
            </w:tcBorders>
            <w:vAlign w:val="center"/>
          </w:tcPr>
          <w:p w14:paraId="2819F90E" w14:textId="77777777" w:rsidR="003C5DFC" w:rsidRDefault="003C5DFC" w:rsidP="00517A52">
            <w:pPr>
              <w:jc w:val="center"/>
              <w:rPr>
                <w:sz w:val="20"/>
                <w:szCs w:val="20"/>
              </w:rPr>
            </w:pPr>
            <w:r>
              <w:rPr>
                <w:rFonts w:eastAsia="Times New Roman"/>
                <w:sz w:val="18"/>
                <w:szCs w:val="18"/>
              </w:rPr>
              <w:t>.........</w:t>
            </w:r>
          </w:p>
        </w:tc>
        <w:tc>
          <w:tcPr>
            <w:tcW w:w="1260" w:type="dxa"/>
            <w:tcBorders>
              <w:top w:val="single" w:sz="8" w:space="0" w:color="auto"/>
              <w:bottom w:val="single" w:sz="8" w:space="0" w:color="auto"/>
              <w:right w:val="single" w:sz="8" w:space="0" w:color="auto"/>
            </w:tcBorders>
            <w:vAlign w:val="center"/>
          </w:tcPr>
          <w:p w14:paraId="2819F910" w14:textId="592EFDED" w:rsidR="003C5DFC" w:rsidRDefault="003C5DFC" w:rsidP="00517A52">
            <w:pPr>
              <w:jc w:val="center"/>
            </w:pPr>
            <w:r>
              <w:rPr>
                <w:rFonts w:eastAsia="Times New Roman"/>
                <w:sz w:val="18"/>
                <w:szCs w:val="18"/>
              </w:rPr>
              <w:t>2</w:t>
            </w:r>
          </w:p>
        </w:tc>
        <w:tc>
          <w:tcPr>
            <w:tcW w:w="1080" w:type="dxa"/>
            <w:tcBorders>
              <w:top w:val="single" w:sz="8" w:space="0" w:color="auto"/>
              <w:left w:val="single" w:sz="8" w:space="0" w:color="auto"/>
              <w:bottom w:val="single" w:sz="8" w:space="0" w:color="auto"/>
              <w:right w:val="single" w:sz="8" w:space="0" w:color="auto"/>
            </w:tcBorders>
            <w:vAlign w:val="center"/>
          </w:tcPr>
          <w:p w14:paraId="2819F911" w14:textId="77777777" w:rsidR="003C5DFC" w:rsidRDefault="003C5DFC" w:rsidP="00517A52">
            <w:pPr>
              <w:jc w:val="center"/>
              <w:rPr>
                <w:sz w:val="20"/>
                <w:szCs w:val="20"/>
              </w:rPr>
            </w:pPr>
            <w:r>
              <w:rPr>
                <w:rFonts w:eastAsia="Times New Roman"/>
                <w:sz w:val="18"/>
                <w:szCs w:val="18"/>
              </w:rPr>
              <w:t>.........</w:t>
            </w:r>
          </w:p>
        </w:tc>
        <w:tc>
          <w:tcPr>
            <w:tcW w:w="980" w:type="dxa"/>
            <w:tcBorders>
              <w:top w:val="single" w:sz="8" w:space="0" w:color="auto"/>
              <w:bottom w:val="single" w:sz="8" w:space="0" w:color="auto"/>
              <w:right w:val="single" w:sz="8" w:space="0" w:color="auto"/>
            </w:tcBorders>
            <w:vAlign w:val="center"/>
          </w:tcPr>
          <w:p w14:paraId="2819F912" w14:textId="77777777" w:rsidR="003C5DFC" w:rsidRDefault="003C5DFC" w:rsidP="00517A52">
            <w:pPr>
              <w:jc w:val="center"/>
              <w:rPr>
                <w:sz w:val="20"/>
                <w:szCs w:val="20"/>
              </w:rPr>
            </w:pPr>
            <w:r>
              <w:rPr>
                <w:rFonts w:eastAsia="Times New Roman"/>
                <w:sz w:val="18"/>
                <w:szCs w:val="18"/>
              </w:rPr>
              <w:t>.........</w:t>
            </w:r>
          </w:p>
        </w:tc>
        <w:tc>
          <w:tcPr>
            <w:tcW w:w="1280" w:type="dxa"/>
            <w:tcBorders>
              <w:top w:val="single" w:sz="8" w:space="0" w:color="auto"/>
              <w:bottom w:val="single" w:sz="8" w:space="0" w:color="auto"/>
              <w:right w:val="single" w:sz="8" w:space="0" w:color="auto"/>
            </w:tcBorders>
            <w:vAlign w:val="center"/>
          </w:tcPr>
          <w:p w14:paraId="2819F914" w14:textId="1BCB4DF8" w:rsidR="003C5DFC" w:rsidRDefault="003C5DFC" w:rsidP="00517A52">
            <w:pPr>
              <w:jc w:val="center"/>
            </w:pPr>
            <w:r>
              <w:rPr>
                <w:rFonts w:eastAsia="Times New Roman"/>
                <w:w w:val="88"/>
                <w:sz w:val="18"/>
                <w:szCs w:val="18"/>
              </w:rPr>
              <w:t>1</w:t>
            </w:r>
          </w:p>
        </w:tc>
        <w:tc>
          <w:tcPr>
            <w:tcW w:w="1240" w:type="dxa"/>
            <w:tcBorders>
              <w:top w:val="single" w:sz="8" w:space="0" w:color="auto"/>
              <w:left w:val="single" w:sz="8" w:space="0" w:color="auto"/>
              <w:bottom w:val="single" w:sz="8" w:space="0" w:color="auto"/>
              <w:right w:val="single" w:sz="8" w:space="0" w:color="auto"/>
            </w:tcBorders>
            <w:vAlign w:val="center"/>
          </w:tcPr>
          <w:p w14:paraId="2819F915" w14:textId="77777777" w:rsidR="003C5DFC" w:rsidRDefault="003C5DFC" w:rsidP="00517A52">
            <w:pPr>
              <w:jc w:val="center"/>
              <w:rPr>
                <w:sz w:val="20"/>
                <w:szCs w:val="20"/>
              </w:rPr>
            </w:pPr>
            <w:r>
              <w:rPr>
                <w:rFonts w:eastAsia="Times New Roman"/>
                <w:w w:val="88"/>
                <w:sz w:val="18"/>
                <w:szCs w:val="18"/>
              </w:rPr>
              <w:t>1</w:t>
            </w:r>
          </w:p>
        </w:tc>
      </w:tr>
      <w:tr w:rsidR="003C5DFC" w14:paraId="2819F93B" w14:textId="77777777" w:rsidTr="003C5DFC">
        <w:trPr>
          <w:trHeight w:val="548"/>
        </w:trPr>
        <w:tc>
          <w:tcPr>
            <w:tcW w:w="1540" w:type="dxa"/>
            <w:vMerge/>
            <w:tcBorders>
              <w:left w:val="single" w:sz="8" w:space="0" w:color="auto"/>
              <w:bottom w:val="single" w:sz="8" w:space="0" w:color="auto"/>
              <w:right w:val="single" w:sz="8" w:space="0" w:color="auto"/>
            </w:tcBorders>
            <w:vAlign w:val="center"/>
          </w:tcPr>
          <w:p w14:paraId="2819F930" w14:textId="77777777" w:rsidR="003C5DFC" w:rsidRDefault="003C5DFC" w:rsidP="00517A52"/>
        </w:tc>
        <w:tc>
          <w:tcPr>
            <w:tcW w:w="1800" w:type="dxa"/>
            <w:tcBorders>
              <w:top w:val="single" w:sz="8" w:space="0" w:color="auto"/>
              <w:bottom w:val="single" w:sz="8" w:space="0" w:color="auto"/>
              <w:right w:val="single" w:sz="8" w:space="0" w:color="auto"/>
            </w:tcBorders>
            <w:vAlign w:val="center"/>
          </w:tcPr>
          <w:p w14:paraId="2819F931" w14:textId="77777777" w:rsidR="003C5DFC" w:rsidRDefault="003C5DFC" w:rsidP="00517A52">
            <w:pPr>
              <w:rPr>
                <w:sz w:val="20"/>
                <w:szCs w:val="20"/>
              </w:rPr>
            </w:pPr>
            <w:r>
              <w:rPr>
                <w:rFonts w:eastAsia="Times New Roman"/>
                <w:sz w:val="18"/>
                <w:szCs w:val="18"/>
              </w:rPr>
              <w:t>500-9,999</w:t>
            </w:r>
          </w:p>
        </w:tc>
        <w:tc>
          <w:tcPr>
            <w:tcW w:w="1440" w:type="dxa"/>
            <w:tcBorders>
              <w:top w:val="single" w:sz="8" w:space="0" w:color="auto"/>
              <w:bottom w:val="single" w:sz="8" w:space="0" w:color="auto"/>
              <w:right w:val="single" w:sz="8" w:space="0" w:color="auto"/>
            </w:tcBorders>
            <w:vAlign w:val="center"/>
          </w:tcPr>
          <w:p w14:paraId="2819F932" w14:textId="6F406D20" w:rsidR="003C5DFC" w:rsidRDefault="003C5DFC" w:rsidP="003C5DFC">
            <w:pPr>
              <w:jc w:val="center"/>
              <w:rPr>
                <w:sz w:val="20"/>
                <w:szCs w:val="20"/>
              </w:rPr>
            </w:pPr>
            <w:r>
              <w:rPr>
                <w:rFonts w:eastAsia="Times New Roman"/>
                <w:sz w:val="18"/>
                <w:szCs w:val="18"/>
              </w:rPr>
              <w:t>Four (every 90 days)</w:t>
            </w:r>
          </w:p>
        </w:tc>
        <w:tc>
          <w:tcPr>
            <w:tcW w:w="1260" w:type="dxa"/>
            <w:tcBorders>
              <w:top w:val="single" w:sz="8" w:space="0" w:color="auto"/>
              <w:bottom w:val="single" w:sz="8" w:space="0" w:color="auto"/>
              <w:right w:val="single" w:sz="8" w:space="0" w:color="auto"/>
            </w:tcBorders>
            <w:vAlign w:val="center"/>
          </w:tcPr>
          <w:p w14:paraId="2819F934" w14:textId="70FFBA10" w:rsidR="003C5DFC" w:rsidRDefault="003C5DFC" w:rsidP="00517A52">
            <w:pPr>
              <w:jc w:val="center"/>
            </w:pPr>
            <w:r>
              <w:rPr>
                <w:rFonts w:eastAsia="Times New Roman"/>
                <w:sz w:val="18"/>
                <w:szCs w:val="18"/>
              </w:rPr>
              <w:t>2</w:t>
            </w:r>
          </w:p>
        </w:tc>
        <w:tc>
          <w:tcPr>
            <w:tcW w:w="1080" w:type="dxa"/>
            <w:tcBorders>
              <w:top w:val="single" w:sz="8" w:space="0" w:color="auto"/>
              <w:left w:val="single" w:sz="8" w:space="0" w:color="auto"/>
              <w:bottom w:val="single" w:sz="8" w:space="0" w:color="auto"/>
              <w:right w:val="single" w:sz="8" w:space="0" w:color="auto"/>
            </w:tcBorders>
            <w:vAlign w:val="center"/>
          </w:tcPr>
          <w:p w14:paraId="2819F935" w14:textId="77777777" w:rsidR="003C5DFC" w:rsidRDefault="003C5DFC" w:rsidP="00517A52">
            <w:pPr>
              <w:jc w:val="center"/>
              <w:rPr>
                <w:sz w:val="20"/>
                <w:szCs w:val="20"/>
              </w:rPr>
            </w:pPr>
            <w:r>
              <w:rPr>
                <w:rFonts w:eastAsia="Times New Roman"/>
                <w:sz w:val="18"/>
                <w:szCs w:val="18"/>
              </w:rPr>
              <w:t>.........</w:t>
            </w:r>
          </w:p>
        </w:tc>
        <w:tc>
          <w:tcPr>
            <w:tcW w:w="980" w:type="dxa"/>
            <w:tcBorders>
              <w:top w:val="single" w:sz="8" w:space="0" w:color="auto"/>
              <w:bottom w:val="single" w:sz="8" w:space="0" w:color="auto"/>
              <w:right w:val="single" w:sz="8" w:space="0" w:color="auto"/>
            </w:tcBorders>
            <w:vAlign w:val="center"/>
          </w:tcPr>
          <w:p w14:paraId="2819F936" w14:textId="77777777" w:rsidR="003C5DFC" w:rsidRDefault="003C5DFC" w:rsidP="00517A52">
            <w:pPr>
              <w:jc w:val="center"/>
              <w:rPr>
                <w:sz w:val="20"/>
                <w:szCs w:val="20"/>
              </w:rPr>
            </w:pPr>
            <w:r>
              <w:rPr>
                <w:rFonts w:eastAsia="Times New Roman"/>
                <w:sz w:val="18"/>
                <w:szCs w:val="18"/>
              </w:rPr>
              <w:t>.........</w:t>
            </w:r>
          </w:p>
        </w:tc>
        <w:tc>
          <w:tcPr>
            <w:tcW w:w="1280" w:type="dxa"/>
            <w:tcBorders>
              <w:top w:val="single" w:sz="8" w:space="0" w:color="auto"/>
              <w:bottom w:val="single" w:sz="8" w:space="0" w:color="auto"/>
              <w:right w:val="single" w:sz="8" w:space="0" w:color="auto"/>
            </w:tcBorders>
            <w:vAlign w:val="center"/>
          </w:tcPr>
          <w:p w14:paraId="2819F938" w14:textId="30AD6EF2" w:rsidR="003C5DFC" w:rsidRDefault="003C5DFC" w:rsidP="00517A52">
            <w:pPr>
              <w:jc w:val="center"/>
            </w:pPr>
            <w:r>
              <w:rPr>
                <w:rFonts w:eastAsia="Times New Roman"/>
                <w:w w:val="88"/>
                <w:sz w:val="18"/>
                <w:szCs w:val="18"/>
              </w:rPr>
              <w:t>1</w:t>
            </w:r>
          </w:p>
        </w:tc>
        <w:tc>
          <w:tcPr>
            <w:tcW w:w="1240" w:type="dxa"/>
            <w:tcBorders>
              <w:top w:val="single" w:sz="8" w:space="0" w:color="auto"/>
              <w:left w:val="single" w:sz="8" w:space="0" w:color="auto"/>
              <w:bottom w:val="single" w:sz="8" w:space="0" w:color="auto"/>
              <w:right w:val="single" w:sz="8" w:space="0" w:color="auto"/>
            </w:tcBorders>
            <w:vAlign w:val="center"/>
          </w:tcPr>
          <w:p w14:paraId="2819F939" w14:textId="77777777" w:rsidR="003C5DFC" w:rsidRDefault="003C5DFC" w:rsidP="00517A52">
            <w:pPr>
              <w:jc w:val="center"/>
              <w:rPr>
                <w:sz w:val="20"/>
                <w:szCs w:val="20"/>
              </w:rPr>
            </w:pPr>
            <w:r>
              <w:rPr>
                <w:rFonts w:eastAsia="Times New Roman"/>
                <w:w w:val="88"/>
                <w:sz w:val="18"/>
                <w:szCs w:val="18"/>
              </w:rPr>
              <w:t>1</w:t>
            </w:r>
          </w:p>
        </w:tc>
      </w:tr>
      <w:tr w:rsidR="003C5DFC" w14:paraId="2819F954" w14:textId="77777777" w:rsidTr="003C5DFC">
        <w:trPr>
          <w:trHeight w:val="259"/>
        </w:trPr>
        <w:tc>
          <w:tcPr>
            <w:tcW w:w="1540" w:type="dxa"/>
            <w:vMerge/>
            <w:tcBorders>
              <w:left w:val="single" w:sz="8" w:space="0" w:color="auto"/>
              <w:bottom w:val="single" w:sz="8" w:space="0" w:color="auto"/>
              <w:right w:val="single" w:sz="8" w:space="0" w:color="auto"/>
            </w:tcBorders>
            <w:vAlign w:val="center"/>
          </w:tcPr>
          <w:p w14:paraId="2819F949" w14:textId="77777777" w:rsidR="003C5DFC" w:rsidRDefault="003C5DFC" w:rsidP="00517A52"/>
        </w:tc>
        <w:tc>
          <w:tcPr>
            <w:tcW w:w="1800" w:type="dxa"/>
            <w:tcBorders>
              <w:top w:val="single" w:sz="8" w:space="0" w:color="auto"/>
              <w:bottom w:val="single" w:sz="8" w:space="0" w:color="auto"/>
              <w:right w:val="single" w:sz="8" w:space="0" w:color="auto"/>
            </w:tcBorders>
            <w:vAlign w:val="center"/>
          </w:tcPr>
          <w:p w14:paraId="2819F94A" w14:textId="77777777" w:rsidR="003C5DFC" w:rsidRDefault="003C5DFC" w:rsidP="00517A52">
            <w:pPr>
              <w:rPr>
                <w:sz w:val="20"/>
                <w:szCs w:val="20"/>
              </w:rPr>
            </w:pPr>
            <w:r>
              <w:rPr>
                <w:rFonts w:eastAsia="Times New Roman"/>
                <w:sz w:val="18"/>
                <w:szCs w:val="18"/>
              </w:rPr>
              <w:t>10,000-99,999</w:t>
            </w:r>
          </w:p>
        </w:tc>
        <w:tc>
          <w:tcPr>
            <w:tcW w:w="1440" w:type="dxa"/>
            <w:tcBorders>
              <w:top w:val="single" w:sz="8" w:space="0" w:color="auto"/>
              <w:bottom w:val="single" w:sz="8" w:space="0" w:color="auto"/>
              <w:right w:val="single" w:sz="8" w:space="0" w:color="auto"/>
            </w:tcBorders>
            <w:vAlign w:val="center"/>
          </w:tcPr>
          <w:p w14:paraId="2819F94B" w14:textId="77777777" w:rsidR="003C5DFC" w:rsidRDefault="003C5DFC" w:rsidP="00517A52">
            <w:pPr>
              <w:jc w:val="center"/>
              <w:rPr>
                <w:sz w:val="20"/>
                <w:szCs w:val="20"/>
              </w:rPr>
            </w:pPr>
            <w:r>
              <w:rPr>
                <w:rFonts w:eastAsia="Times New Roman"/>
                <w:sz w:val="18"/>
                <w:szCs w:val="18"/>
              </w:rPr>
              <w:t>.........</w:t>
            </w:r>
          </w:p>
        </w:tc>
        <w:tc>
          <w:tcPr>
            <w:tcW w:w="1260" w:type="dxa"/>
            <w:tcBorders>
              <w:top w:val="single" w:sz="8" w:space="0" w:color="auto"/>
              <w:bottom w:val="single" w:sz="8" w:space="0" w:color="auto"/>
              <w:right w:val="single" w:sz="8" w:space="0" w:color="auto"/>
            </w:tcBorders>
            <w:vAlign w:val="center"/>
          </w:tcPr>
          <w:p w14:paraId="2819F94D" w14:textId="433975BA" w:rsidR="003C5DFC" w:rsidRDefault="003C5DFC" w:rsidP="00517A52">
            <w:pPr>
              <w:jc w:val="center"/>
            </w:pPr>
            <w:r>
              <w:rPr>
                <w:rFonts w:eastAsia="Times New Roman"/>
                <w:sz w:val="18"/>
                <w:szCs w:val="18"/>
              </w:rPr>
              <w:t>6</w:t>
            </w:r>
          </w:p>
        </w:tc>
        <w:tc>
          <w:tcPr>
            <w:tcW w:w="1080" w:type="dxa"/>
            <w:tcBorders>
              <w:top w:val="single" w:sz="8" w:space="0" w:color="auto"/>
              <w:bottom w:val="single" w:sz="8" w:space="0" w:color="auto"/>
              <w:right w:val="single" w:sz="8" w:space="0" w:color="auto"/>
            </w:tcBorders>
            <w:vAlign w:val="center"/>
          </w:tcPr>
          <w:p w14:paraId="2819F94E" w14:textId="77777777" w:rsidR="003C5DFC" w:rsidRDefault="003C5DFC" w:rsidP="00517A52">
            <w:pPr>
              <w:jc w:val="center"/>
              <w:rPr>
                <w:sz w:val="20"/>
                <w:szCs w:val="20"/>
              </w:rPr>
            </w:pPr>
            <w:r>
              <w:rPr>
                <w:rFonts w:eastAsia="Times New Roman"/>
                <w:w w:val="88"/>
                <w:sz w:val="18"/>
                <w:szCs w:val="18"/>
              </w:rPr>
              <w:t>1</w:t>
            </w:r>
          </w:p>
        </w:tc>
        <w:tc>
          <w:tcPr>
            <w:tcW w:w="980" w:type="dxa"/>
            <w:tcBorders>
              <w:top w:val="single" w:sz="8" w:space="0" w:color="auto"/>
              <w:bottom w:val="single" w:sz="8" w:space="0" w:color="auto"/>
              <w:right w:val="single" w:sz="8" w:space="0" w:color="auto"/>
            </w:tcBorders>
            <w:vAlign w:val="center"/>
          </w:tcPr>
          <w:p w14:paraId="2819F94F" w14:textId="77777777" w:rsidR="003C5DFC" w:rsidRDefault="003C5DFC" w:rsidP="00517A52">
            <w:pPr>
              <w:jc w:val="center"/>
            </w:pPr>
          </w:p>
        </w:tc>
        <w:tc>
          <w:tcPr>
            <w:tcW w:w="1280" w:type="dxa"/>
            <w:tcBorders>
              <w:top w:val="single" w:sz="8" w:space="0" w:color="auto"/>
              <w:bottom w:val="single" w:sz="8" w:space="0" w:color="auto"/>
              <w:right w:val="single" w:sz="8" w:space="0" w:color="auto"/>
            </w:tcBorders>
            <w:vAlign w:val="center"/>
          </w:tcPr>
          <w:p w14:paraId="2819F951" w14:textId="4EFEDA7E" w:rsidR="003C5DFC" w:rsidRDefault="003C5DFC" w:rsidP="00517A52">
            <w:pPr>
              <w:jc w:val="center"/>
            </w:pPr>
            <w:r>
              <w:rPr>
                <w:rFonts w:eastAsia="Times New Roman"/>
                <w:w w:val="88"/>
                <w:sz w:val="18"/>
                <w:szCs w:val="18"/>
              </w:rPr>
              <w:t>2</w:t>
            </w:r>
          </w:p>
        </w:tc>
        <w:tc>
          <w:tcPr>
            <w:tcW w:w="1240" w:type="dxa"/>
            <w:tcBorders>
              <w:top w:val="single" w:sz="8" w:space="0" w:color="auto"/>
              <w:bottom w:val="single" w:sz="8" w:space="0" w:color="auto"/>
              <w:right w:val="single" w:sz="8" w:space="0" w:color="auto"/>
            </w:tcBorders>
            <w:vAlign w:val="center"/>
          </w:tcPr>
          <w:p w14:paraId="2819F952" w14:textId="77777777" w:rsidR="003C5DFC" w:rsidRDefault="003C5DFC" w:rsidP="00517A52">
            <w:pPr>
              <w:jc w:val="center"/>
              <w:rPr>
                <w:sz w:val="20"/>
                <w:szCs w:val="20"/>
              </w:rPr>
            </w:pPr>
            <w:r>
              <w:rPr>
                <w:rFonts w:eastAsia="Times New Roman"/>
                <w:w w:val="88"/>
                <w:sz w:val="18"/>
                <w:szCs w:val="18"/>
              </w:rPr>
              <w:t>2</w:t>
            </w:r>
          </w:p>
        </w:tc>
      </w:tr>
      <w:tr w:rsidR="003C5DFC" w14:paraId="2819F960" w14:textId="77777777" w:rsidTr="003C5DFC">
        <w:trPr>
          <w:trHeight w:val="261"/>
        </w:trPr>
        <w:tc>
          <w:tcPr>
            <w:tcW w:w="1540" w:type="dxa"/>
            <w:vMerge/>
            <w:tcBorders>
              <w:left w:val="single" w:sz="8" w:space="0" w:color="auto"/>
              <w:bottom w:val="single" w:sz="8" w:space="0" w:color="auto"/>
              <w:right w:val="single" w:sz="8" w:space="0" w:color="auto"/>
            </w:tcBorders>
            <w:vAlign w:val="center"/>
          </w:tcPr>
          <w:p w14:paraId="2819F955" w14:textId="77777777" w:rsidR="003C5DFC" w:rsidRDefault="003C5DFC" w:rsidP="00517A52"/>
        </w:tc>
        <w:tc>
          <w:tcPr>
            <w:tcW w:w="1800" w:type="dxa"/>
            <w:tcBorders>
              <w:bottom w:val="single" w:sz="8" w:space="0" w:color="auto"/>
              <w:right w:val="single" w:sz="8" w:space="0" w:color="auto"/>
            </w:tcBorders>
            <w:vAlign w:val="center"/>
          </w:tcPr>
          <w:p w14:paraId="2819F956" w14:textId="77777777" w:rsidR="003C5DFC" w:rsidRDefault="003C5DFC" w:rsidP="00517A52">
            <w:pPr>
              <w:rPr>
                <w:sz w:val="20"/>
                <w:szCs w:val="20"/>
              </w:rPr>
            </w:pPr>
            <w:r>
              <w:rPr>
                <w:rFonts w:eastAsia="Times New Roman"/>
                <w:sz w:val="18"/>
                <w:szCs w:val="18"/>
              </w:rPr>
              <w:t>100,000-499,999</w:t>
            </w:r>
          </w:p>
        </w:tc>
        <w:tc>
          <w:tcPr>
            <w:tcW w:w="1440" w:type="dxa"/>
            <w:tcBorders>
              <w:bottom w:val="single" w:sz="8" w:space="0" w:color="auto"/>
              <w:right w:val="single" w:sz="8" w:space="0" w:color="auto"/>
            </w:tcBorders>
            <w:vAlign w:val="center"/>
          </w:tcPr>
          <w:p w14:paraId="2819F957" w14:textId="77777777" w:rsidR="003C5DFC" w:rsidRDefault="003C5DFC" w:rsidP="00517A52">
            <w:pPr>
              <w:jc w:val="center"/>
              <w:rPr>
                <w:sz w:val="20"/>
                <w:szCs w:val="20"/>
              </w:rPr>
            </w:pPr>
            <w:r>
              <w:rPr>
                <w:rFonts w:eastAsia="Times New Roman"/>
                <w:sz w:val="18"/>
                <w:szCs w:val="18"/>
              </w:rPr>
              <w:t>.........</w:t>
            </w:r>
          </w:p>
        </w:tc>
        <w:tc>
          <w:tcPr>
            <w:tcW w:w="1260" w:type="dxa"/>
            <w:tcBorders>
              <w:bottom w:val="single" w:sz="8" w:space="0" w:color="auto"/>
              <w:right w:val="single" w:sz="8" w:space="0" w:color="auto"/>
            </w:tcBorders>
            <w:vAlign w:val="center"/>
          </w:tcPr>
          <w:p w14:paraId="2819F959" w14:textId="661CE771" w:rsidR="003C5DFC" w:rsidRDefault="003C5DFC" w:rsidP="00517A52">
            <w:pPr>
              <w:jc w:val="center"/>
            </w:pPr>
            <w:r>
              <w:rPr>
                <w:rFonts w:eastAsia="Times New Roman"/>
                <w:sz w:val="18"/>
                <w:szCs w:val="18"/>
              </w:rPr>
              <w:t>8</w:t>
            </w:r>
          </w:p>
        </w:tc>
        <w:tc>
          <w:tcPr>
            <w:tcW w:w="1080" w:type="dxa"/>
            <w:tcBorders>
              <w:bottom w:val="single" w:sz="8" w:space="0" w:color="auto"/>
              <w:right w:val="single" w:sz="8" w:space="0" w:color="auto"/>
            </w:tcBorders>
            <w:vAlign w:val="center"/>
          </w:tcPr>
          <w:p w14:paraId="2819F95A" w14:textId="77777777" w:rsidR="003C5DFC" w:rsidRDefault="003C5DFC" w:rsidP="00517A52">
            <w:pPr>
              <w:jc w:val="center"/>
              <w:rPr>
                <w:sz w:val="20"/>
                <w:szCs w:val="20"/>
              </w:rPr>
            </w:pPr>
            <w:r>
              <w:rPr>
                <w:rFonts w:eastAsia="Times New Roman"/>
                <w:w w:val="88"/>
                <w:sz w:val="18"/>
                <w:szCs w:val="18"/>
              </w:rPr>
              <w:t>1</w:t>
            </w:r>
          </w:p>
        </w:tc>
        <w:tc>
          <w:tcPr>
            <w:tcW w:w="980" w:type="dxa"/>
            <w:tcBorders>
              <w:bottom w:val="single" w:sz="8" w:space="0" w:color="auto"/>
              <w:right w:val="single" w:sz="8" w:space="0" w:color="auto"/>
            </w:tcBorders>
            <w:vAlign w:val="center"/>
          </w:tcPr>
          <w:p w14:paraId="2819F95B" w14:textId="77777777" w:rsidR="003C5DFC" w:rsidRDefault="003C5DFC" w:rsidP="00517A52">
            <w:pPr>
              <w:jc w:val="center"/>
            </w:pPr>
          </w:p>
        </w:tc>
        <w:tc>
          <w:tcPr>
            <w:tcW w:w="1280" w:type="dxa"/>
            <w:tcBorders>
              <w:bottom w:val="single" w:sz="8" w:space="0" w:color="auto"/>
              <w:right w:val="single" w:sz="8" w:space="0" w:color="auto"/>
            </w:tcBorders>
            <w:vAlign w:val="center"/>
          </w:tcPr>
          <w:p w14:paraId="2819F95D" w14:textId="1AD0B8E0" w:rsidR="003C5DFC" w:rsidRDefault="003C5DFC" w:rsidP="00517A52">
            <w:pPr>
              <w:jc w:val="center"/>
            </w:pPr>
            <w:r>
              <w:rPr>
                <w:rFonts w:eastAsia="Times New Roman"/>
                <w:w w:val="88"/>
                <w:sz w:val="18"/>
                <w:szCs w:val="18"/>
              </w:rPr>
              <w:t>3</w:t>
            </w:r>
          </w:p>
        </w:tc>
        <w:tc>
          <w:tcPr>
            <w:tcW w:w="1240" w:type="dxa"/>
            <w:tcBorders>
              <w:bottom w:val="single" w:sz="8" w:space="0" w:color="auto"/>
              <w:right w:val="single" w:sz="8" w:space="0" w:color="auto"/>
            </w:tcBorders>
            <w:vAlign w:val="center"/>
          </w:tcPr>
          <w:p w14:paraId="2819F95E" w14:textId="77777777" w:rsidR="003C5DFC" w:rsidRDefault="003C5DFC" w:rsidP="00517A52">
            <w:pPr>
              <w:jc w:val="center"/>
              <w:rPr>
                <w:sz w:val="20"/>
                <w:szCs w:val="20"/>
              </w:rPr>
            </w:pPr>
            <w:r>
              <w:rPr>
                <w:rFonts w:eastAsia="Times New Roman"/>
                <w:w w:val="88"/>
                <w:sz w:val="18"/>
                <w:szCs w:val="18"/>
              </w:rPr>
              <w:t>3</w:t>
            </w:r>
          </w:p>
        </w:tc>
      </w:tr>
      <w:tr w:rsidR="003C5DFC" w14:paraId="2819F96C" w14:textId="77777777" w:rsidTr="003C5DFC">
        <w:trPr>
          <w:trHeight w:val="234"/>
        </w:trPr>
        <w:tc>
          <w:tcPr>
            <w:tcW w:w="1540" w:type="dxa"/>
            <w:vMerge/>
            <w:tcBorders>
              <w:left w:val="single" w:sz="8" w:space="0" w:color="auto"/>
              <w:bottom w:val="single" w:sz="8" w:space="0" w:color="auto"/>
              <w:right w:val="single" w:sz="8" w:space="0" w:color="auto"/>
            </w:tcBorders>
            <w:vAlign w:val="center"/>
          </w:tcPr>
          <w:p w14:paraId="2819F961" w14:textId="77777777" w:rsidR="003C5DFC" w:rsidRDefault="003C5DFC" w:rsidP="00517A52">
            <w:pPr>
              <w:rPr>
                <w:sz w:val="20"/>
                <w:szCs w:val="20"/>
              </w:rPr>
            </w:pPr>
          </w:p>
        </w:tc>
        <w:tc>
          <w:tcPr>
            <w:tcW w:w="1800" w:type="dxa"/>
            <w:tcBorders>
              <w:top w:val="single" w:sz="8" w:space="0" w:color="auto"/>
              <w:bottom w:val="single" w:sz="8" w:space="0" w:color="auto"/>
              <w:right w:val="single" w:sz="8" w:space="0" w:color="auto"/>
            </w:tcBorders>
            <w:vAlign w:val="center"/>
          </w:tcPr>
          <w:p w14:paraId="2819F962" w14:textId="77777777" w:rsidR="003C5DFC" w:rsidRDefault="003C5DFC" w:rsidP="00517A52">
            <w:pPr>
              <w:rPr>
                <w:sz w:val="20"/>
                <w:szCs w:val="20"/>
              </w:rPr>
            </w:pPr>
            <w:r>
              <w:rPr>
                <w:rFonts w:eastAsia="Times New Roman"/>
                <w:sz w:val="18"/>
                <w:szCs w:val="18"/>
              </w:rPr>
              <w:t>&gt;500,000</w:t>
            </w:r>
          </w:p>
        </w:tc>
        <w:tc>
          <w:tcPr>
            <w:tcW w:w="1440" w:type="dxa"/>
            <w:tcBorders>
              <w:top w:val="single" w:sz="8" w:space="0" w:color="auto"/>
              <w:bottom w:val="single" w:sz="8" w:space="0" w:color="auto"/>
              <w:right w:val="single" w:sz="8" w:space="0" w:color="auto"/>
            </w:tcBorders>
            <w:vAlign w:val="center"/>
          </w:tcPr>
          <w:p w14:paraId="2819F963" w14:textId="77777777" w:rsidR="003C5DFC" w:rsidRDefault="003C5DFC" w:rsidP="00517A52">
            <w:pPr>
              <w:jc w:val="center"/>
              <w:rPr>
                <w:sz w:val="20"/>
                <w:szCs w:val="20"/>
              </w:rPr>
            </w:pPr>
            <w:r>
              <w:rPr>
                <w:rFonts w:eastAsia="Times New Roman"/>
                <w:sz w:val="18"/>
                <w:szCs w:val="18"/>
              </w:rPr>
              <w:t>.........</w:t>
            </w:r>
          </w:p>
        </w:tc>
        <w:tc>
          <w:tcPr>
            <w:tcW w:w="1260" w:type="dxa"/>
            <w:tcBorders>
              <w:top w:val="single" w:sz="8" w:space="0" w:color="auto"/>
              <w:bottom w:val="single" w:sz="8" w:space="0" w:color="auto"/>
              <w:right w:val="single" w:sz="8" w:space="0" w:color="auto"/>
            </w:tcBorders>
            <w:vAlign w:val="center"/>
          </w:tcPr>
          <w:p w14:paraId="2819F965" w14:textId="6F7D3E23" w:rsidR="003C5DFC" w:rsidRDefault="003C5DFC" w:rsidP="00517A52">
            <w:pPr>
              <w:jc w:val="center"/>
              <w:rPr>
                <w:sz w:val="20"/>
                <w:szCs w:val="20"/>
              </w:rPr>
            </w:pPr>
            <w:r>
              <w:rPr>
                <w:rFonts w:eastAsia="Times New Roman"/>
                <w:w w:val="99"/>
                <w:sz w:val="18"/>
                <w:szCs w:val="18"/>
              </w:rPr>
              <w:t>12</w:t>
            </w:r>
          </w:p>
        </w:tc>
        <w:tc>
          <w:tcPr>
            <w:tcW w:w="1080" w:type="dxa"/>
            <w:tcBorders>
              <w:top w:val="single" w:sz="8" w:space="0" w:color="auto"/>
              <w:bottom w:val="single" w:sz="8" w:space="0" w:color="auto"/>
              <w:right w:val="single" w:sz="8" w:space="0" w:color="auto"/>
            </w:tcBorders>
            <w:vAlign w:val="center"/>
          </w:tcPr>
          <w:p w14:paraId="2819F966" w14:textId="77777777" w:rsidR="003C5DFC" w:rsidRDefault="003C5DFC" w:rsidP="00517A52">
            <w:pPr>
              <w:jc w:val="center"/>
              <w:rPr>
                <w:sz w:val="20"/>
                <w:szCs w:val="20"/>
              </w:rPr>
            </w:pPr>
            <w:r>
              <w:rPr>
                <w:rFonts w:eastAsia="Times New Roman"/>
                <w:w w:val="88"/>
                <w:sz w:val="18"/>
                <w:szCs w:val="18"/>
              </w:rPr>
              <w:t>2</w:t>
            </w:r>
          </w:p>
        </w:tc>
        <w:tc>
          <w:tcPr>
            <w:tcW w:w="980" w:type="dxa"/>
            <w:tcBorders>
              <w:top w:val="single" w:sz="8" w:space="0" w:color="auto"/>
              <w:bottom w:val="single" w:sz="8" w:space="0" w:color="auto"/>
              <w:right w:val="single" w:sz="8" w:space="0" w:color="auto"/>
            </w:tcBorders>
            <w:vAlign w:val="center"/>
          </w:tcPr>
          <w:p w14:paraId="2819F967" w14:textId="77777777" w:rsidR="003C5DFC" w:rsidRDefault="003C5DFC" w:rsidP="00517A52">
            <w:pPr>
              <w:jc w:val="center"/>
              <w:rPr>
                <w:sz w:val="20"/>
                <w:szCs w:val="20"/>
              </w:rPr>
            </w:pPr>
          </w:p>
        </w:tc>
        <w:tc>
          <w:tcPr>
            <w:tcW w:w="1280" w:type="dxa"/>
            <w:tcBorders>
              <w:top w:val="single" w:sz="8" w:space="0" w:color="auto"/>
              <w:bottom w:val="single" w:sz="8" w:space="0" w:color="auto"/>
              <w:right w:val="single" w:sz="8" w:space="0" w:color="auto"/>
            </w:tcBorders>
            <w:vAlign w:val="center"/>
          </w:tcPr>
          <w:p w14:paraId="2819F969" w14:textId="5CEEF3EA" w:rsidR="003C5DFC" w:rsidRDefault="003C5DFC" w:rsidP="00517A52">
            <w:pPr>
              <w:jc w:val="center"/>
              <w:rPr>
                <w:sz w:val="20"/>
                <w:szCs w:val="20"/>
              </w:rPr>
            </w:pPr>
            <w:r>
              <w:rPr>
                <w:rFonts w:eastAsia="Times New Roman"/>
                <w:w w:val="88"/>
                <w:sz w:val="18"/>
                <w:szCs w:val="18"/>
              </w:rPr>
              <w:t>4</w:t>
            </w:r>
          </w:p>
        </w:tc>
        <w:tc>
          <w:tcPr>
            <w:tcW w:w="1240" w:type="dxa"/>
            <w:tcBorders>
              <w:top w:val="single" w:sz="8" w:space="0" w:color="auto"/>
              <w:bottom w:val="single" w:sz="8" w:space="0" w:color="auto"/>
              <w:right w:val="single" w:sz="8" w:space="0" w:color="auto"/>
            </w:tcBorders>
            <w:vAlign w:val="center"/>
          </w:tcPr>
          <w:p w14:paraId="2819F96A" w14:textId="77777777" w:rsidR="003C5DFC" w:rsidRDefault="003C5DFC" w:rsidP="00517A52">
            <w:pPr>
              <w:jc w:val="center"/>
              <w:rPr>
                <w:sz w:val="20"/>
                <w:szCs w:val="20"/>
              </w:rPr>
            </w:pPr>
            <w:r>
              <w:rPr>
                <w:rFonts w:eastAsia="Times New Roman"/>
                <w:w w:val="88"/>
                <w:sz w:val="18"/>
                <w:szCs w:val="18"/>
              </w:rPr>
              <w:t>4</w:t>
            </w:r>
          </w:p>
        </w:tc>
      </w:tr>
    </w:tbl>
    <w:p w14:paraId="2819F97A" w14:textId="77777777" w:rsidR="004647B9" w:rsidRDefault="004647B9" w:rsidP="00080D37">
      <w:pPr>
        <w:rPr>
          <w:sz w:val="20"/>
          <w:szCs w:val="20"/>
        </w:rPr>
      </w:pPr>
    </w:p>
    <w:p w14:paraId="2819F97B" w14:textId="77777777" w:rsidR="004647B9" w:rsidRDefault="004647B9" w:rsidP="00080D37">
      <w:pPr>
        <w:sectPr w:rsidR="004647B9" w:rsidSect="00EF630C">
          <w:pgSz w:w="12240" w:h="20180"/>
          <w:pgMar w:top="708" w:right="1000" w:bottom="1440" w:left="600" w:header="0" w:footer="0" w:gutter="0"/>
          <w:cols w:space="720"/>
        </w:sectPr>
      </w:pPr>
    </w:p>
    <w:p w14:paraId="2819F982" w14:textId="77777777" w:rsidR="004647B9" w:rsidRPr="00770B5B" w:rsidRDefault="00E2436F" w:rsidP="00080D37">
      <w:pPr>
        <w:pStyle w:val="ListParagraph"/>
        <w:numPr>
          <w:ilvl w:val="0"/>
          <w:numId w:val="917"/>
        </w:numPr>
        <w:ind w:right="440"/>
        <w:rPr>
          <w:sz w:val="20"/>
          <w:szCs w:val="20"/>
        </w:rPr>
      </w:pPr>
      <w:r w:rsidRPr="00770B5B">
        <w:rPr>
          <w:rFonts w:eastAsia="Times New Roman"/>
          <w:sz w:val="24"/>
          <w:szCs w:val="24"/>
        </w:rPr>
        <w:t>A Dual Sample Set (</w:t>
      </w:r>
      <w:r w:rsidRPr="00770B5B">
        <w:rPr>
          <w:rFonts w:eastAsia="Times New Roman"/>
          <w:i/>
          <w:iCs/>
          <w:sz w:val="24"/>
          <w:szCs w:val="24"/>
        </w:rPr>
        <w:t>i.e</w:t>
      </w:r>
      <w:r w:rsidRPr="00770B5B">
        <w:rPr>
          <w:rFonts w:eastAsia="Times New Roman"/>
          <w:sz w:val="24"/>
          <w:szCs w:val="24"/>
        </w:rPr>
        <w:t>., a TTHM and an HAA5 sample) must be taken at each monitoring location during each monitoring period.</w:t>
      </w:r>
    </w:p>
    <w:p w14:paraId="2819F984" w14:textId="77777777" w:rsidR="004647B9" w:rsidRPr="00770B5B" w:rsidRDefault="00E2436F" w:rsidP="00080D37">
      <w:pPr>
        <w:pStyle w:val="ListParagraph"/>
        <w:numPr>
          <w:ilvl w:val="0"/>
          <w:numId w:val="917"/>
        </w:numPr>
        <w:ind w:right="440"/>
        <w:rPr>
          <w:sz w:val="20"/>
          <w:szCs w:val="20"/>
        </w:rPr>
      </w:pPr>
      <w:r w:rsidRPr="00770B5B">
        <w:rPr>
          <w:rFonts w:eastAsia="Times New Roman"/>
          <w:sz w:val="24"/>
          <w:szCs w:val="24"/>
        </w:rPr>
        <w:t>The peak historical month is the month with the highest TTHM or HAA5 levels or the warmest water temperature.</w:t>
      </w:r>
    </w:p>
    <w:p w14:paraId="2819F985" w14:textId="77777777" w:rsidR="004647B9" w:rsidRPr="00080D37" w:rsidRDefault="004647B9" w:rsidP="00080D37">
      <w:pPr>
        <w:rPr>
          <w:sz w:val="24"/>
          <w:szCs w:val="24"/>
        </w:rPr>
      </w:pPr>
    </w:p>
    <w:p w14:paraId="2819F986" w14:textId="77777777" w:rsidR="004647B9" w:rsidRDefault="00E2436F" w:rsidP="00080D37">
      <w:pPr>
        <w:numPr>
          <w:ilvl w:val="1"/>
          <w:numId w:val="348"/>
        </w:numPr>
        <w:tabs>
          <w:tab w:val="left" w:pos="1915"/>
        </w:tabs>
        <w:ind w:left="1440" w:right="440" w:hanging="5"/>
        <w:jc w:val="both"/>
        <w:rPr>
          <w:rFonts w:eastAsia="Times New Roman"/>
          <w:sz w:val="24"/>
          <w:szCs w:val="24"/>
        </w:rPr>
      </w:pPr>
      <w:r>
        <w:rPr>
          <w:rFonts w:eastAsia="Times New Roman"/>
          <w:sz w:val="24"/>
          <w:szCs w:val="24"/>
        </w:rPr>
        <w:t>The Supplier of Water must take samples at locations other than the existing monitoring locations required in 310 CMR 22.07E. Monitoring locations must be distributed throughout the Distribution System.</w:t>
      </w:r>
    </w:p>
    <w:p w14:paraId="2819F988" w14:textId="77777777" w:rsidR="004647B9" w:rsidRDefault="00E2436F" w:rsidP="00080D37">
      <w:pPr>
        <w:numPr>
          <w:ilvl w:val="1"/>
          <w:numId w:val="348"/>
        </w:numPr>
        <w:tabs>
          <w:tab w:val="left" w:pos="1802"/>
        </w:tabs>
        <w:ind w:left="1440" w:right="440" w:hanging="5"/>
        <w:jc w:val="both"/>
        <w:rPr>
          <w:rFonts w:eastAsia="Times New Roman"/>
          <w:sz w:val="24"/>
          <w:szCs w:val="24"/>
        </w:rPr>
      </w:pPr>
      <w:r>
        <w:rPr>
          <w:rFonts w:eastAsia="Times New Roman"/>
          <w:sz w:val="24"/>
          <w:szCs w:val="24"/>
        </w:rPr>
        <w:t>If the number of entry points to the Distribution System is fewer than the specified number of entry point monitoring locations, excess entry point samples must be replaced equally at high TTHM and HAA5 locations. If there is an odd extra location number, the Supplier of Water must take a sample at a high TTHM location. If the number of entry points to the Distribution System is more than the specified number of entry point monitoring locations, the Supplier of Water must take samples at entry points to the Distribution System having the highest annual water flows.</w:t>
      </w:r>
    </w:p>
    <w:p w14:paraId="2819F98A" w14:textId="77777777" w:rsidR="004647B9" w:rsidRDefault="00E2436F" w:rsidP="00080D37">
      <w:pPr>
        <w:numPr>
          <w:ilvl w:val="1"/>
          <w:numId w:val="348"/>
        </w:numPr>
        <w:tabs>
          <w:tab w:val="left" w:pos="1901"/>
        </w:tabs>
        <w:ind w:left="1440" w:right="440" w:hanging="5"/>
        <w:rPr>
          <w:rFonts w:eastAsia="Times New Roman"/>
          <w:sz w:val="24"/>
          <w:szCs w:val="24"/>
        </w:rPr>
      </w:pPr>
      <w:r>
        <w:rPr>
          <w:rFonts w:eastAsia="Times New Roman"/>
          <w:sz w:val="24"/>
          <w:szCs w:val="24"/>
        </w:rPr>
        <w:t>The Supplier of Water's monitoring under 310 CMR 22.07F(2)(b) may not be reduced under the provisions of 310 CMR 22.12.</w:t>
      </w:r>
    </w:p>
    <w:p w14:paraId="2819F98C" w14:textId="77777777" w:rsidR="004647B9" w:rsidRDefault="00E2436F" w:rsidP="00080D37">
      <w:pPr>
        <w:numPr>
          <w:ilvl w:val="0"/>
          <w:numId w:val="349"/>
        </w:numPr>
        <w:tabs>
          <w:tab w:val="left" w:pos="1495"/>
        </w:tabs>
        <w:ind w:left="1080" w:right="440" w:hanging="5"/>
        <w:jc w:val="both"/>
        <w:rPr>
          <w:rFonts w:eastAsia="Times New Roman"/>
          <w:sz w:val="24"/>
          <w:szCs w:val="24"/>
        </w:rPr>
      </w:pPr>
      <w:r>
        <w:rPr>
          <w:rFonts w:eastAsia="Times New Roman"/>
          <w:sz w:val="24"/>
          <w:szCs w:val="24"/>
          <w:u w:val="single"/>
        </w:rPr>
        <w:t>IDSE Report</w:t>
      </w:r>
      <w:r>
        <w:rPr>
          <w:rFonts w:eastAsia="Times New Roman"/>
          <w:sz w:val="24"/>
          <w:szCs w:val="24"/>
        </w:rPr>
        <w:t>. The Supplier of Water's IDSE report must include the elements required in 310 CMR 22.07F(2)(c)1. through 4. The Supplier of Water must submit their IDSE report to the Department according to the schedule in 310 CMR 22.07F(1)(c).</w:t>
      </w:r>
    </w:p>
    <w:p w14:paraId="2819F98D" w14:textId="77777777" w:rsidR="004647B9" w:rsidRDefault="004647B9">
      <w:pPr>
        <w:sectPr w:rsidR="004647B9" w:rsidSect="00EF630C">
          <w:type w:val="continuous"/>
          <w:pgSz w:w="12240" w:h="20180"/>
          <w:pgMar w:top="708" w:right="1000" w:bottom="1440" w:left="600" w:header="0" w:footer="0" w:gutter="0"/>
          <w:cols w:space="720"/>
        </w:sectPr>
      </w:pPr>
    </w:p>
    <w:p w14:paraId="2819F98E" w14:textId="77777777" w:rsidR="004647B9" w:rsidRDefault="00E2436F">
      <w:pPr>
        <w:tabs>
          <w:tab w:val="left" w:pos="160"/>
        </w:tabs>
        <w:jc w:val="center"/>
        <w:rPr>
          <w:sz w:val="20"/>
          <w:szCs w:val="20"/>
        </w:rPr>
      </w:pPr>
      <w:bookmarkStart w:id="134" w:name="page136"/>
      <w:bookmarkEnd w:id="13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98F" w14:textId="77777777" w:rsidR="004647B9" w:rsidRDefault="004647B9" w:rsidP="00080D37">
      <w:pPr>
        <w:rPr>
          <w:sz w:val="20"/>
          <w:szCs w:val="20"/>
        </w:rPr>
      </w:pPr>
    </w:p>
    <w:p w14:paraId="2819F990" w14:textId="77777777" w:rsidR="004647B9" w:rsidRDefault="004647B9" w:rsidP="00080D37">
      <w:pPr>
        <w:rPr>
          <w:sz w:val="20"/>
          <w:szCs w:val="20"/>
        </w:rPr>
      </w:pPr>
    </w:p>
    <w:p w14:paraId="2819F991"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992" w14:textId="77777777" w:rsidR="004647B9" w:rsidRDefault="004647B9" w:rsidP="00080D37">
      <w:pPr>
        <w:rPr>
          <w:sz w:val="20"/>
          <w:szCs w:val="20"/>
        </w:rPr>
      </w:pPr>
    </w:p>
    <w:p w14:paraId="2819F993" w14:textId="77777777" w:rsidR="004647B9" w:rsidRPr="00F73D7B" w:rsidRDefault="00E2436F" w:rsidP="00080D37">
      <w:pPr>
        <w:numPr>
          <w:ilvl w:val="2"/>
          <w:numId w:val="350"/>
        </w:numPr>
        <w:tabs>
          <w:tab w:val="left" w:pos="2280"/>
        </w:tabs>
        <w:ind w:left="1920" w:hanging="5"/>
        <w:jc w:val="both"/>
        <w:rPr>
          <w:rFonts w:eastAsia="Times New Roman"/>
          <w:sz w:val="24"/>
          <w:szCs w:val="24"/>
        </w:rPr>
      </w:pPr>
      <w:r w:rsidRPr="00F73D7B">
        <w:rPr>
          <w:rFonts w:eastAsia="Times New Roman"/>
          <w:sz w:val="24"/>
          <w:szCs w:val="24"/>
        </w:rPr>
        <w:t>The Supplier of Water's IDSE report must include all TTHM and HAA5 analytical results from compliance monitoring under 310 CMR 22.07E and all standard monitoring conducted during the period of the IDSE as individual analytical results and LRAAs presented in a tabular or spreadsheet format acceptable to the Department. If changed from their standard monitoring plan submitted under 310 CMR 22.07F(2)(a), the Supplier of Water's report must also include a schematic of their Distribution System, the population served, and system type (Surface Water or Groundwater under the Direct Influence of Surface Water or Groundwater).</w:t>
      </w:r>
    </w:p>
    <w:p w14:paraId="2819F995" w14:textId="77777777" w:rsidR="004647B9" w:rsidRPr="00F73D7B" w:rsidRDefault="00E2436F" w:rsidP="00080D37">
      <w:pPr>
        <w:numPr>
          <w:ilvl w:val="2"/>
          <w:numId w:val="350"/>
        </w:numPr>
        <w:tabs>
          <w:tab w:val="left" w:pos="2273"/>
        </w:tabs>
        <w:ind w:left="1920" w:hanging="5"/>
        <w:rPr>
          <w:rFonts w:eastAsia="Times New Roman"/>
          <w:sz w:val="24"/>
          <w:szCs w:val="24"/>
        </w:rPr>
      </w:pPr>
      <w:r w:rsidRPr="00F73D7B">
        <w:rPr>
          <w:rFonts w:eastAsia="Times New Roman"/>
          <w:sz w:val="24"/>
          <w:szCs w:val="24"/>
        </w:rPr>
        <w:t>The Supplier of Water's IDSE report must include an explanation of any deviations from their approved standard monitoring plan.</w:t>
      </w:r>
    </w:p>
    <w:p w14:paraId="2819F997" w14:textId="77777777" w:rsidR="004647B9" w:rsidRPr="00F73D7B" w:rsidRDefault="00E2436F" w:rsidP="00080D37">
      <w:pPr>
        <w:numPr>
          <w:ilvl w:val="2"/>
          <w:numId w:val="350"/>
        </w:numPr>
        <w:tabs>
          <w:tab w:val="left" w:pos="2230"/>
        </w:tabs>
        <w:ind w:left="1920" w:hanging="5"/>
        <w:rPr>
          <w:rFonts w:eastAsia="Times New Roman"/>
          <w:sz w:val="24"/>
          <w:szCs w:val="24"/>
        </w:rPr>
      </w:pPr>
      <w:r w:rsidRPr="00F73D7B">
        <w:rPr>
          <w:rFonts w:eastAsia="Times New Roman"/>
          <w:sz w:val="24"/>
          <w:szCs w:val="24"/>
        </w:rPr>
        <w:t>The Supplier of Water must recommend and justify compliance monitoring locations under 310 CMR 22.07F and timing based on the protocol in 310 CMR 22.07F(6).</w:t>
      </w:r>
    </w:p>
    <w:p w14:paraId="2819F999" w14:textId="77777777" w:rsidR="004647B9" w:rsidRPr="00F73D7B" w:rsidRDefault="00E2436F" w:rsidP="00080D37">
      <w:pPr>
        <w:numPr>
          <w:ilvl w:val="2"/>
          <w:numId w:val="350"/>
        </w:numPr>
        <w:tabs>
          <w:tab w:val="left" w:pos="2287"/>
        </w:tabs>
        <w:ind w:left="1920" w:hanging="5"/>
        <w:jc w:val="both"/>
        <w:rPr>
          <w:rFonts w:eastAsia="Times New Roman"/>
          <w:sz w:val="24"/>
          <w:szCs w:val="24"/>
        </w:rPr>
      </w:pPr>
      <w:r w:rsidRPr="00F73D7B">
        <w:rPr>
          <w:rFonts w:eastAsia="Times New Roman"/>
          <w:sz w:val="24"/>
          <w:szCs w:val="24"/>
        </w:rPr>
        <w:t>The Supplier of Water must retain a complete copy of their IDSE report submitted under 310 CMR 22.07F(2)(c) for ten years after the date that they submitted their report. If the Department modifies the monitoring requirements of 310 CMR 22.07F that the Supplier of Water recommended in their IDSE report or if the Department approves alternative monitoring locations, the Supplier of Water must keep a copy of the Department's notification on file for ten years after the date of the Department's notification. The Supplier of Water must make the IDSE report and any Department notification available for review by the Department or the public.</w:t>
      </w:r>
    </w:p>
    <w:p w14:paraId="2819F99A" w14:textId="77777777" w:rsidR="004647B9" w:rsidRPr="00F73D7B" w:rsidRDefault="004647B9" w:rsidP="00080D37">
      <w:pPr>
        <w:rPr>
          <w:rFonts w:eastAsia="Times New Roman"/>
          <w:sz w:val="24"/>
          <w:szCs w:val="24"/>
        </w:rPr>
      </w:pPr>
    </w:p>
    <w:p w14:paraId="2819F99B" w14:textId="77777777" w:rsidR="004647B9" w:rsidRPr="00F73D7B" w:rsidRDefault="00E2436F" w:rsidP="00080D37">
      <w:pPr>
        <w:numPr>
          <w:ilvl w:val="0"/>
          <w:numId w:val="351"/>
        </w:numPr>
        <w:tabs>
          <w:tab w:val="left" w:pos="1660"/>
        </w:tabs>
        <w:ind w:left="1660" w:hanging="460"/>
        <w:rPr>
          <w:rFonts w:eastAsia="Times New Roman"/>
          <w:sz w:val="24"/>
          <w:szCs w:val="24"/>
        </w:rPr>
      </w:pPr>
      <w:r w:rsidRPr="00F73D7B">
        <w:rPr>
          <w:rFonts w:eastAsia="Times New Roman"/>
          <w:sz w:val="24"/>
          <w:szCs w:val="24"/>
          <w:u w:val="single"/>
        </w:rPr>
        <w:t>System Specific Studies</w:t>
      </w:r>
      <w:r w:rsidRPr="00F73D7B">
        <w:rPr>
          <w:rFonts w:eastAsia="Times New Roman"/>
          <w:sz w:val="24"/>
          <w:szCs w:val="24"/>
        </w:rPr>
        <w:t>.</w:t>
      </w:r>
    </w:p>
    <w:p w14:paraId="2819F99D" w14:textId="77777777" w:rsidR="004647B9" w:rsidRPr="00F73D7B" w:rsidRDefault="00E2436F" w:rsidP="00080D37">
      <w:pPr>
        <w:numPr>
          <w:ilvl w:val="1"/>
          <w:numId w:val="351"/>
        </w:numPr>
        <w:tabs>
          <w:tab w:val="left" w:pos="2006"/>
        </w:tabs>
        <w:ind w:left="1560" w:hanging="5"/>
        <w:jc w:val="both"/>
        <w:rPr>
          <w:rFonts w:eastAsia="Times New Roman"/>
          <w:sz w:val="24"/>
          <w:szCs w:val="24"/>
        </w:rPr>
      </w:pPr>
      <w:r w:rsidRPr="00F73D7B">
        <w:rPr>
          <w:rFonts w:eastAsia="Times New Roman"/>
          <w:sz w:val="24"/>
          <w:szCs w:val="24"/>
          <w:u w:val="single"/>
        </w:rPr>
        <w:t>System Specific Study Plan</w:t>
      </w:r>
      <w:r w:rsidRPr="00F73D7B">
        <w:rPr>
          <w:rFonts w:eastAsia="Times New Roman"/>
          <w:sz w:val="24"/>
          <w:szCs w:val="24"/>
        </w:rPr>
        <w:t>. The Supplier of Water's system specific study plan must be based on either existing monitoring results as required under 310 CMR 22.07F(3)(a)1. or modeling as required under 310 CMR 22.07F(3)(a)2. The Supplier of Water must prepare and submit their system specific study plan to the Department according to the schedule in 310 CMR 22.07F(1)(c).</w:t>
      </w:r>
    </w:p>
    <w:p w14:paraId="2819F9A2" w14:textId="25F65594" w:rsidR="004647B9" w:rsidRPr="00F73D7B" w:rsidRDefault="00E2436F" w:rsidP="00080D37">
      <w:pPr>
        <w:numPr>
          <w:ilvl w:val="2"/>
          <w:numId w:val="351"/>
        </w:numPr>
        <w:tabs>
          <w:tab w:val="left" w:pos="2330"/>
        </w:tabs>
        <w:ind w:left="1920"/>
        <w:jc w:val="both"/>
        <w:rPr>
          <w:rFonts w:eastAsia="Times New Roman"/>
          <w:sz w:val="24"/>
          <w:szCs w:val="24"/>
        </w:rPr>
      </w:pPr>
      <w:r w:rsidRPr="00F73D7B">
        <w:rPr>
          <w:rFonts w:eastAsia="Times New Roman"/>
          <w:sz w:val="24"/>
          <w:szCs w:val="24"/>
          <w:u w:val="single"/>
        </w:rPr>
        <w:t>Existing Monitoring Results</w:t>
      </w:r>
      <w:r w:rsidRPr="00F73D7B">
        <w:rPr>
          <w:rFonts w:eastAsia="Times New Roman"/>
          <w:sz w:val="24"/>
          <w:szCs w:val="24"/>
        </w:rPr>
        <w:t>. The Supplier of Water may comply by submitting monitoring results collected before they are required to begin monitoring under 310 CMR</w:t>
      </w:r>
      <w:r w:rsidR="00F73D7B">
        <w:rPr>
          <w:rFonts w:eastAsia="Times New Roman"/>
          <w:sz w:val="24"/>
          <w:szCs w:val="24"/>
        </w:rPr>
        <w:t xml:space="preserve"> 22.</w:t>
      </w:r>
      <w:r w:rsidRPr="00F73D7B">
        <w:rPr>
          <w:rFonts w:eastAsia="Times New Roman"/>
          <w:sz w:val="24"/>
          <w:szCs w:val="24"/>
        </w:rPr>
        <w:t>07F(1)(c).  The monitoring results and analysis must meet the criteria in 310 CMR</w:t>
      </w:r>
      <w:r w:rsidR="00F73D7B">
        <w:rPr>
          <w:rFonts w:eastAsia="Times New Roman"/>
          <w:sz w:val="24"/>
          <w:szCs w:val="24"/>
        </w:rPr>
        <w:t xml:space="preserve"> </w:t>
      </w:r>
      <w:r w:rsidRPr="00F73D7B">
        <w:rPr>
          <w:rFonts w:eastAsia="Times New Roman"/>
          <w:sz w:val="24"/>
          <w:szCs w:val="24"/>
        </w:rPr>
        <w:t>22.07F(3)(a)1.a and b.</w:t>
      </w:r>
    </w:p>
    <w:p w14:paraId="2819F9A3" w14:textId="77777777" w:rsidR="004647B9" w:rsidRPr="00F73D7B" w:rsidRDefault="00E2436F" w:rsidP="00080D37">
      <w:pPr>
        <w:ind w:left="2280"/>
        <w:rPr>
          <w:rFonts w:eastAsia="Times New Roman"/>
          <w:sz w:val="24"/>
          <w:szCs w:val="24"/>
        </w:rPr>
      </w:pPr>
      <w:r w:rsidRPr="00F73D7B">
        <w:rPr>
          <w:rFonts w:eastAsia="Times New Roman"/>
          <w:sz w:val="24"/>
          <w:szCs w:val="24"/>
        </w:rPr>
        <w:t xml:space="preserve">a.  </w:t>
      </w:r>
      <w:r w:rsidRPr="00F73D7B">
        <w:rPr>
          <w:rFonts w:eastAsia="Times New Roman"/>
          <w:sz w:val="24"/>
          <w:szCs w:val="24"/>
          <w:u w:val="single"/>
        </w:rPr>
        <w:t>Minimum Requirements</w:t>
      </w:r>
      <w:r w:rsidRPr="00F73D7B">
        <w:rPr>
          <w:rFonts w:eastAsia="Times New Roman"/>
          <w:sz w:val="24"/>
          <w:szCs w:val="24"/>
        </w:rPr>
        <w:t>.</w:t>
      </w:r>
    </w:p>
    <w:p w14:paraId="2819F9A4" w14:textId="77777777" w:rsidR="004647B9" w:rsidRDefault="00E2436F" w:rsidP="00080D37">
      <w:pPr>
        <w:numPr>
          <w:ilvl w:val="4"/>
          <w:numId w:val="352"/>
        </w:numPr>
        <w:tabs>
          <w:tab w:val="left" w:pos="2947"/>
        </w:tabs>
        <w:ind w:left="2640" w:hanging="5"/>
        <w:jc w:val="both"/>
        <w:rPr>
          <w:rFonts w:eastAsia="Times New Roman"/>
          <w:sz w:val="24"/>
          <w:szCs w:val="24"/>
        </w:rPr>
      </w:pPr>
      <w:r w:rsidRPr="00F73D7B">
        <w:rPr>
          <w:rFonts w:eastAsia="Times New Roman"/>
          <w:sz w:val="24"/>
          <w:szCs w:val="24"/>
        </w:rPr>
        <w:t>TTHM and HAA5 results must be based on samples collected and analyzed</w:t>
      </w:r>
      <w:r>
        <w:rPr>
          <w:rFonts w:eastAsia="Times New Roman"/>
          <w:sz w:val="24"/>
          <w:szCs w:val="24"/>
        </w:rPr>
        <w:t xml:space="preserve"> in accordance with 310 CMR 22.07E(6). Samples must be collected no earlier than five years prior to the study plan submission date.</w:t>
      </w:r>
    </w:p>
    <w:p w14:paraId="2819F9A6" w14:textId="77777777" w:rsidR="004647B9" w:rsidRDefault="00E2436F" w:rsidP="00080D37">
      <w:pPr>
        <w:numPr>
          <w:ilvl w:val="4"/>
          <w:numId w:val="352"/>
        </w:numPr>
        <w:tabs>
          <w:tab w:val="left" w:pos="2992"/>
        </w:tabs>
        <w:ind w:left="2640" w:hanging="5"/>
        <w:jc w:val="both"/>
        <w:rPr>
          <w:rFonts w:eastAsia="Times New Roman"/>
          <w:sz w:val="24"/>
          <w:szCs w:val="24"/>
        </w:rPr>
      </w:pPr>
      <w:r>
        <w:rPr>
          <w:rFonts w:eastAsia="Times New Roman"/>
          <w:sz w:val="24"/>
          <w:szCs w:val="24"/>
        </w:rPr>
        <w:t>The monitoring locations and frequency must meet the conditions identified in 310 CMR 22.07F(3)(a)1.a.ii. Each location must be sampled once during the peak historical month for TTHM levels or HAA5 levels or the month of warmest water temperature for every 12 months of data submitted for that location. Monitoring results must include all monitoring results required under 310 CMR 22.07E plus additional monitoring results as necessary to meet minimum sample requirements.</w:t>
      </w:r>
    </w:p>
    <w:p w14:paraId="2819F9A7" w14:textId="77777777" w:rsidR="004647B9" w:rsidRDefault="004647B9">
      <w:pPr>
        <w:sectPr w:rsidR="004647B9" w:rsidSect="00EF630C">
          <w:pgSz w:w="12240" w:h="20180"/>
          <w:pgMar w:top="708" w:right="1440" w:bottom="1440" w:left="600" w:header="0" w:footer="0" w:gutter="0"/>
          <w:cols w:space="720"/>
        </w:sectPr>
      </w:pPr>
    </w:p>
    <w:p w14:paraId="2819F9A8" w14:textId="77777777" w:rsidR="004647B9" w:rsidRDefault="00E2436F">
      <w:pPr>
        <w:tabs>
          <w:tab w:val="left" w:pos="160"/>
        </w:tabs>
        <w:jc w:val="center"/>
        <w:rPr>
          <w:sz w:val="20"/>
          <w:szCs w:val="20"/>
        </w:rPr>
      </w:pPr>
      <w:bookmarkStart w:id="135" w:name="page137"/>
      <w:bookmarkEnd w:id="13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9A9" w14:textId="77777777" w:rsidR="004647B9" w:rsidRDefault="004647B9" w:rsidP="00080D37">
      <w:pPr>
        <w:rPr>
          <w:sz w:val="20"/>
          <w:szCs w:val="20"/>
        </w:rPr>
      </w:pPr>
    </w:p>
    <w:p w14:paraId="2819F9AA" w14:textId="77777777" w:rsidR="004647B9" w:rsidRDefault="004647B9" w:rsidP="00080D37">
      <w:pPr>
        <w:rPr>
          <w:sz w:val="20"/>
          <w:szCs w:val="20"/>
        </w:rPr>
      </w:pPr>
    </w:p>
    <w:p w14:paraId="2819F9AB"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9AC" w14:textId="77777777" w:rsidR="004647B9" w:rsidRDefault="004647B9" w:rsidP="00080D37">
      <w:pPr>
        <w:rPr>
          <w:sz w:val="20"/>
          <w:szCs w:val="20"/>
        </w:rPr>
      </w:pPr>
    </w:p>
    <w:p w14:paraId="2819F9AD" w14:textId="77777777" w:rsidR="004647B9" w:rsidRDefault="00E2436F" w:rsidP="00080D37">
      <w:pPr>
        <w:jc w:val="center"/>
        <w:rPr>
          <w:sz w:val="20"/>
          <w:szCs w:val="20"/>
        </w:rPr>
      </w:pPr>
      <w:r>
        <w:rPr>
          <w:rFonts w:eastAsia="Times New Roman"/>
          <w:sz w:val="24"/>
          <w:szCs w:val="24"/>
        </w:rPr>
        <w:t>TABLE 3 – 310 CMR 22.07F</w:t>
      </w:r>
    </w:p>
    <w:p w14:paraId="2819F9AF" w14:textId="77777777" w:rsidR="004647B9" w:rsidRDefault="00E2436F" w:rsidP="00080D37">
      <w:pPr>
        <w:jc w:val="center"/>
        <w:rPr>
          <w:sz w:val="20"/>
          <w:szCs w:val="20"/>
        </w:rPr>
      </w:pPr>
      <w:r>
        <w:rPr>
          <w:rFonts w:eastAsia="Times New Roman"/>
          <w:sz w:val="24"/>
          <w:szCs w:val="24"/>
        </w:rPr>
        <w:t>EXISTING MONITORING RESULTS REQUIRED</w:t>
      </w:r>
    </w:p>
    <w:p w14:paraId="2819F9B0" w14:textId="77777777" w:rsidR="004647B9" w:rsidRPr="00080D37" w:rsidRDefault="004647B9" w:rsidP="00080D37">
      <w:pPr>
        <w:rPr>
          <w:sz w:val="24"/>
          <w:szCs w:val="24"/>
        </w:rPr>
      </w:pPr>
    </w:p>
    <w:tbl>
      <w:tblPr>
        <w:tblW w:w="0" w:type="auto"/>
        <w:tblInd w:w="670" w:type="dxa"/>
        <w:tblLayout w:type="fixed"/>
        <w:tblCellMar>
          <w:left w:w="0" w:type="dxa"/>
          <w:right w:w="0" w:type="dxa"/>
        </w:tblCellMar>
        <w:tblLook w:val="04A0" w:firstRow="1" w:lastRow="0" w:firstColumn="1" w:lastColumn="0" w:noHBand="0" w:noVBand="1"/>
      </w:tblPr>
      <w:tblGrid>
        <w:gridCol w:w="2240"/>
        <w:gridCol w:w="2200"/>
        <w:gridCol w:w="2220"/>
        <w:gridCol w:w="1100"/>
        <w:gridCol w:w="1120"/>
      </w:tblGrid>
      <w:tr w:rsidR="002B7DCF" w14:paraId="2819F9B6" w14:textId="77777777" w:rsidTr="007F2263">
        <w:trPr>
          <w:trHeight w:val="265"/>
        </w:trPr>
        <w:tc>
          <w:tcPr>
            <w:tcW w:w="2240" w:type="dxa"/>
            <w:vMerge w:val="restart"/>
            <w:tcBorders>
              <w:top w:val="single" w:sz="8" w:space="0" w:color="auto"/>
              <w:left w:val="single" w:sz="8" w:space="0" w:color="auto"/>
              <w:right w:val="single" w:sz="8" w:space="0" w:color="auto"/>
            </w:tcBorders>
          </w:tcPr>
          <w:p w14:paraId="2819F9B1" w14:textId="77777777" w:rsidR="002B7DCF" w:rsidRDefault="002B7DCF" w:rsidP="00770B5B">
            <w:pPr>
              <w:jc w:val="center"/>
              <w:rPr>
                <w:sz w:val="20"/>
                <w:szCs w:val="20"/>
              </w:rPr>
            </w:pPr>
            <w:r>
              <w:rPr>
                <w:rFonts w:eastAsia="Times New Roman"/>
                <w:sz w:val="18"/>
                <w:szCs w:val="18"/>
              </w:rPr>
              <w:t>System Type</w:t>
            </w:r>
          </w:p>
        </w:tc>
        <w:tc>
          <w:tcPr>
            <w:tcW w:w="2200" w:type="dxa"/>
            <w:vMerge w:val="restart"/>
            <w:tcBorders>
              <w:top w:val="single" w:sz="8" w:space="0" w:color="auto"/>
              <w:right w:val="single" w:sz="8" w:space="0" w:color="auto"/>
            </w:tcBorders>
          </w:tcPr>
          <w:p w14:paraId="2819F9B2" w14:textId="77777777" w:rsidR="002B7DCF" w:rsidRDefault="002B7DCF" w:rsidP="007F2263">
            <w:pPr>
              <w:jc w:val="center"/>
              <w:rPr>
                <w:sz w:val="20"/>
                <w:szCs w:val="20"/>
              </w:rPr>
            </w:pPr>
            <w:r>
              <w:rPr>
                <w:rFonts w:eastAsia="Times New Roman"/>
                <w:sz w:val="18"/>
                <w:szCs w:val="18"/>
              </w:rPr>
              <w:t>Population size category</w:t>
            </w:r>
          </w:p>
        </w:tc>
        <w:tc>
          <w:tcPr>
            <w:tcW w:w="2220" w:type="dxa"/>
            <w:vMerge w:val="restart"/>
            <w:tcBorders>
              <w:top w:val="single" w:sz="8" w:space="0" w:color="auto"/>
              <w:bottom w:val="single" w:sz="8" w:space="0" w:color="auto"/>
              <w:right w:val="single" w:sz="8" w:space="0" w:color="auto"/>
            </w:tcBorders>
          </w:tcPr>
          <w:p w14:paraId="2819F9B3" w14:textId="6F76C8F2" w:rsidR="002B7DCF" w:rsidRDefault="002B7DCF" w:rsidP="00770B5B">
            <w:pPr>
              <w:jc w:val="center"/>
              <w:rPr>
                <w:sz w:val="20"/>
                <w:szCs w:val="20"/>
              </w:rPr>
            </w:pPr>
            <w:r>
              <w:rPr>
                <w:rFonts w:eastAsia="Times New Roman"/>
                <w:sz w:val="18"/>
                <w:szCs w:val="18"/>
              </w:rPr>
              <w:t>Number of monitoring locations</w:t>
            </w:r>
          </w:p>
        </w:tc>
        <w:tc>
          <w:tcPr>
            <w:tcW w:w="2220" w:type="dxa"/>
            <w:gridSpan w:val="2"/>
            <w:vMerge w:val="restart"/>
            <w:tcBorders>
              <w:top w:val="single" w:sz="8" w:space="0" w:color="auto"/>
              <w:right w:val="single" w:sz="8" w:space="0" w:color="auto"/>
            </w:tcBorders>
          </w:tcPr>
          <w:p w14:paraId="2819F9B4" w14:textId="77777777" w:rsidR="002B7DCF" w:rsidRDefault="002B7DCF" w:rsidP="00770B5B">
            <w:pPr>
              <w:ind w:left="144"/>
              <w:jc w:val="center"/>
              <w:rPr>
                <w:sz w:val="20"/>
                <w:szCs w:val="20"/>
              </w:rPr>
            </w:pPr>
            <w:r>
              <w:rPr>
                <w:rFonts w:eastAsia="Times New Roman"/>
                <w:sz w:val="18"/>
                <w:szCs w:val="18"/>
              </w:rPr>
              <w:t>Number of samples</w:t>
            </w:r>
          </w:p>
        </w:tc>
      </w:tr>
      <w:tr w:rsidR="002B7DCF" w14:paraId="2819F9C2" w14:textId="77777777" w:rsidTr="00770B5B">
        <w:trPr>
          <w:trHeight w:val="52"/>
        </w:trPr>
        <w:tc>
          <w:tcPr>
            <w:tcW w:w="2240" w:type="dxa"/>
            <w:vMerge/>
            <w:tcBorders>
              <w:left w:val="single" w:sz="8" w:space="0" w:color="auto"/>
              <w:right w:val="single" w:sz="8" w:space="0" w:color="auto"/>
            </w:tcBorders>
            <w:vAlign w:val="bottom"/>
          </w:tcPr>
          <w:p w14:paraId="2819F9B7" w14:textId="77777777" w:rsidR="002B7DCF" w:rsidRDefault="002B7DCF">
            <w:pPr>
              <w:rPr>
                <w:sz w:val="4"/>
                <w:szCs w:val="4"/>
              </w:rPr>
            </w:pPr>
          </w:p>
        </w:tc>
        <w:tc>
          <w:tcPr>
            <w:tcW w:w="2200" w:type="dxa"/>
            <w:vMerge/>
            <w:tcBorders>
              <w:right w:val="single" w:sz="8" w:space="0" w:color="auto"/>
            </w:tcBorders>
            <w:vAlign w:val="bottom"/>
          </w:tcPr>
          <w:p w14:paraId="2819F9BD" w14:textId="77777777" w:rsidR="002B7DCF" w:rsidRDefault="002B7DCF">
            <w:pPr>
              <w:rPr>
                <w:sz w:val="4"/>
                <w:szCs w:val="4"/>
              </w:rPr>
            </w:pPr>
          </w:p>
        </w:tc>
        <w:tc>
          <w:tcPr>
            <w:tcW w:w="2220" w:type="dxa"/>
            <w:vMerge/>
            <w:tcBorders>
              <w:left w:val="single" w:sz="8" w:space="0" w:color="auto"/>
              <w:bottom w:val="single" w:sz="8" w:space="0" w:color="auto"/>
              <w:right w:val="single" w:sz="8" w:space="0" w:color="auto"/>
            </w:tcBorders>
            <w:vAlign w:val="bottom"/>
          </w:tcPr>
          <w:p w14:paraId="2819F9BE" w14:textId="77CD7D52" w:rsidR="002B7DCF" w:rsidRDefault="002B7DCF">
            <w:pPr>
              <w:jc w:val="center"/>
              <w:rPr>
                <w:sz w:val="20"/>
                <w:szCs w:val="20"/>
              </w:rPr>
            </w:pPr>
          </w:p>
        </w:tc>
        <w:tc>
          <w:tcPr>
            <w:tcW w:w="2220" w:type="dxa"/>
            <w:gridSpan w:val="2"/>
            <w:vMerge/>
            <w:tcBorders>
              <w:bottom w:val="single" w:sz="8" w:space="0" w:color="auto"/>
              <w:right w:val="single" w:sz="8" w:space="0" w:color="auto"/>
            </w:tcBorders>
            <w:vAlign w:val="bottom"/>
          </w:tcPr>
          <w:p w14:paraId="2819F9C0" w14:textId="77777777" w:rsidR="002B7DCF" w:rsidRDefault="002B7DCF">
            <w:pPr>
              <w:rPr>
                <w:sz w:val="4"/>
                <w:szCs w:val="4"/>
              </w:rPr>
            </w:pPr>
          </w:p>
        </w:tc>
      </w:tr>
      <w:tr w:rsidR="002B7DCF" w14:paraId="2819F9CE" w14:textId="77777777" w:rsidTr="002B7DCF">
        <w:trPr>
          <w:trHeight w:val="258"/>
        </w:trPr>
        <w:tc>
          <w:tcPr>
            <w:tcW w:w="2240" w:type="dxa"/>
            <w:vMerge/>
            <w:tcBorders>
              <w:left w:val="single" w:sz="8" w:space="0" w:color="auto"/>
              <w:bottom w:val="single" w:sz="8" w:space="0" w:color="auto"/>
              <w:right w:val="single" w:sz="8" w:space="0" w:color="auto"/>
            </w:tcBorders>
            <w:vAlign w:val="bottom"/>
          </w:tcPr>
          <w:p w14:paraId="2819F9C3" w14:textId="77777777" w:rsidR="002B7DCF" w:rsidRDefault="002B7DCF"/>
        </w:tc>
        <w:tc>
          <w:tcPr>
            <w:tcW w:w="2200" w:type="dxa"/>
            <w:vMerge/>
            <w:tcBorders>
              <w:bottom w:val="single" w:sz="8" w:space="0" w:color="auto"/>
              <w:right w:val="single" w:sz="8" w:space="0" w:color="auto"/>
            </w:tcBorders>
            <w:vAlign w:val="bottom"/>
          </w:tcPr>
          <w:p w14:paraId="2819F9C9" w14:textId="77777777" w:rsidR="002B7DCF" w:rsidRDefault="002B7DCF"/>
        </w:tc>
        <w:tc>
          <w:tcPr>
            <w:tcW w:w="2220" w:type="dxa"/>
            <w:vMerge/>
            <w:tcBorders>
              <w:left w:val="single" w:sz="8" w:space="0" w:color="auto"/>
              <w:bottom w:val="single" w:sz="8" w:space="0" w:color="auto"/>
              <w:right w:val="single" w:sz="8" w:space="0" w:color="auto"/>
            </w:tcBorders>
            <w:vAlign w:val="bottom"/>
          </w:tcPr>
          <w:p w14:paraId="2819F9CA" w14:textId="77777777" w:rsidR="002B7DCF" w:rsidRDefault="002B7DCF"/>
        </w:tc>
        <w:tc>
          <w:tcPr>
            <w:tcW w:w="1100" w:type="dxa"/>
            <w:tcBorders>
              <w:bottom w:val="single" w:sz="8" w:space="0" w:color="auto"/>
              <w:right w:val="single" w:sz="8" w:space="0" w:color="auto"/>
            </w:tcBorders>
            <w:vAlign w:val="bottom"/>
          </w:tcPr>
          <w:p w14:paraId="2819F9CB" w14:textId="77777777" w:rsidR="002B7DCF" w:rsidRDefault="002B7DCF">
            <w:pPr>
              <w:ind w:left="260"/>
              <w:rPr>
                <w:sz w:val="20"/>
                <w:szCs w:val="20"/>
              </w:rPr>
            </w:pPr>
            <w:r>
              <w:rPr>
                <w:rFonts w:eastAsia="Times New Roman"/>
                <w:sz w:val="18"/>
                <w:szCs w:val="18"/>
              </w:rPr>
              <w:t>TTHM</w:t>
            </w:r>
          </w:p>
        </w:tc>
        <w:tc>
          <w:tcPr>
            <w:tcW w:w="1120" w:type="dxa"/>
            <w:tcBorders>
              <w:bottom w:val="single" w:sz="8" w:space="0" w:color="auto"/>
              <w:right w:val="single" w:sz="8" w:space="0" w:color="auto"/>
            </w:tcBorders>
            <w:vAlign w:val="bottom"/>
          </w:tcPr>
          <w:p w14:paraId="2819F9CC" w14:textId="77777777" w:rsidR="002B7DCF" w:rsidRDefault="002B7DCF">
            <w:pPr>
              <w:jc w:val="center"/>
              <w:rPr>
                <w:sz w:val="20"/>
                <w:szCs w:val="20"/>
              </w:rPr>
            </w:pPr>
            <w:r>
              <w:rPr>
                <w:rFonts w:eastAsia="Times New Roman"/>
                <w:sz w:val="18"/>
                <w:szCs w:val="18"/>
              </w:rPr>
              <w:t>HAA5</w:t>
            </w:r>
          </w:p>
        </w:tc>
      </w:tr>
      <w:tr w:rsidR="002B7DCF" w14:paraId="2819F9D5" w14:textId="77777777" w:rsidTr="002B7DCF">
        <w:trPr>
          <w:trHeight w:val="256"/>
        </w:trPr>
        <w:tc>
          <w:tcPr>
            <w:tcW w:w="2240" w:type="dxa"/>
            <w:vMerge w:val="restart"/>
            <w:tcBorders>
              <w:top w:val="single" w:sz="8" w:space="0" w:color="auto"/>
              <w:left w:val="single" w:sz="8" w:space="0" w:color="auto"/>
              <w:bottom w:val="single" w:sz="8" w:space="0" w:color="auto"/>
              <w:right w:val="single" w:sz="8" w:space="0" w:color="auto"/>
            </w:tcBorders>
          </w:tcPr>
          <w:p w14:paraId="2819F9CF" w14:textId="6B30F882" w:rsidR="002B7DCF" w:rsidRDefault="002B7DCF" w:rsidP="007F2263">
            <w:pPr>
              <w:ind w:left="40"/>
              <w:rPr>
                <w:sz w:val="20"/>
                <w:szCs w:val="20"/>
              </w:rPr>
            </w:pPr>
            <w:r>
              <w:rPr>
                <w:rFonts w:eastAsia="Times New Roman"/>
                <w:sz w:val="18"/>
                <w:szCs w:val="18"/>
              </w:rPr>
              <w:t>Surface and Groundwater under the Direct Influence of Surface Water</w:t>
            </w:r>
          </w:p>
        </w:tc>
        <w:tc>
          <w:tcPr>
            <w:tcW w:w="2200" w:type="dxa"/>
            <w:vMerge w:val="restart"/>
            <w:tcBorders>
              <w:right w:val="single" w:sz="8" w:space="0" w:color="auto"/>
            </w:tcBorders>
            <w:vAlign w:val="center"/>
          </w:tcPr>
          <w:p w14:paraId="2819F9D0" w14:textId="77777777" w:rsidR="002B7DCF" w:rsidRDefault="002B7DCF" w:rsidP="007F2263">
            <w:pPr>
              <w:jc w:val="center"/>
              <w:rPr>
                <w:sz w:val="20"/>
                <w:szCs w:val="20"/>
              </w:rPr>
            </w:pPr>
            <w:r>
              <w:rPr>
                <w:rFonts w:eastAsia="Times New Roman"/>
                <w:sz w:val="18"/>
                <w:szCs w:val="18"/>
              </w:rPr>
              <w:t>&lt;500</w:t>
            </w:r>
          </w:p>
        </w:tc>
        <w:tc>
          <w:tcPr>
            <w:tcW w:w="2220" w:type="dxa"/>
            <w:vMerge w:val="restart"/>
            <w:tcBorders>
              <w:top w:val="single" w:sz="8" w:space="0" w:color="auto"/>
              <w:bottom w:val="single" w:sz="8" w:space="0" w:color="auto"/>
              <w:right w:val="single" w:sz="8" w:space="0" w:color="auto"/>
            </w:tcBorders>
            <w:vAlign w:val="center"/>
          </w:tcPr>
          <w:p w14:paraId="2819F9D1" w14:textId="77777777" w:rsidR="002B7DCF" w:rsidRDefault="002B7DCF" w:rsidP="007F2263">
            <w:pPr>
              <w:jc w:val="center"/>
              <w:rPr>
                <w:sz w:val="20"/>
                <w:szCs w:val="20"/>
              </w:rPr>
            </w:pPr>
            <w:r>
              <w:rPr>
                <w:rFonts w:eastAsia="Times New Roman"/>
                <w:sz w:val="18"/>
                <w:szCs w:val="18"/>
              </w:rPr>
              <w:t>3</w:t>
            </w:r>
          </w:p>
        </w:tc>
        <w:tc>
          <w:tcPr>
            <w:tcW w:w="1100" w:type="dxa"/>
            <w:vMerge w:val="restart"/>
            <w:tcBorders>
              <w:right w:val="single" w:sz="8" w:space="0" w:color="auto"/>
            </w:tcBorders>
            <w:vAlign w:val="center"/>
          </w:tcPr>
          <w:p w14:paraId="2819F9D2" w14:textId="77777777" w:rsidR="002B7DCF" w:rsidRDefault="002B7DCF" w:rsidP="007F2263">
            <w:pPr>
              <w:jc w:val="center"/>
              <w:rPr>
                <w:sz w:val="20"/>
                <w:szCs w:val="20"/>
              </w:rPr>
            </w:pPr>
            <w:r>
              <w:rPr>
                <w:rFonts w:eastAsia="Times New Roman"/>
                <w:sz w:val="18"/>
                <w:szCs w:val="18"/>
              </w:rPr>
              <w:t>3</w:t>
            </w:r>
          </w:p>
        </w:tc>
        <w:tc>
          <w:tcPr>
            <w:tcW w:w="1120" w:type="dxa"/>
            <w:vMerge w:val="restart"/>
            <w:tcBorders>
              <w:right w:val="single" w:sz="8" w:space="0" w:color="auto"/>
            </w:tcBorders>
            <w:vAlign w:val="center"/>
          </w:tcPr>
          <w:p w14:paraId="2819F9D3" w14:textId="77777777" w:rsidR="002B7DCF" w:rsidRDefault="002B7DCF" w:rsidP="007F2263">
            <w:pPr>
              <w:jc w:val="center"/>
              <w:rPr>
                <w:sz w:val="20"/>
                <w:szCs w:val="20"/>
              </w:rPr>
            </w:pPr>
            <w:r>
              <w:rPr>
                <w:rFonts w:eastAsia="Times New Roman"/>
                <w:sz w:val="18"/>
                <w:szCs w:val="18"/>
              </w:rPr>
              <w:t>3</w:t>
            </w:r>
          </w:p>
        </w:tc>
      </w:tr>
      <w:tr w:rsidR="002B7DCF" w14:paraId="2819F9E1" w14:textId="77777777" w:rsidTr="002B7DCF">
        <w:trPr>
          <w:trHeight w:val="266"/>
        </w:trPr>
        <w:tc>
          <w:tcPr>
            <w:tcW w:w="2240" w:type="dxa"/>
            <w:vMerge/>
            <w:tcBorders>
              <w:left w:val="single" w:sz="8" w:space="0" w:color="auto"/>
              <w:bottom w:val="single" w:sz="8" w:space="0" w:color="auto"/>
              <w:right w:val="single" w:sz="8" w:space="0" w:color="auto"/>
            </w:tcBorders>
            <w:vAlign w:val="bottom"/>
          </w:tcPr>
          <w:p w14:paraId="2819F9D6" w14:textId="04546AF2" w:rsidR="002B7DCF" w:rsidRDefault="002B7DCF" w:rsidP="00347FE4">
            <w:pPr>
              <w:ind w:left="40"/>
              <w:rPr>
                <w:sz w:val="20"/>
                <w:szCs w:val="20"/>
              </w:rPr>
            </w:pPr>
          </w:p>
        </w:tc>
        <w:tc>
          <w:tcPr>
            <w:tcW w:w="2200" w:type="dxa"/>
            <w:vMerge/>
            <w:tcBorders>
              <w:right w:val="single" w:sz="8" w:space="0" w:color="auto"/>
            </w:tcBorders>
            <w:vAlign w:val="center"/>
          </w:tcPr>
          <w:p w14:paraId="2819F9DC" w14:textId="77777777" w:rsidR="002B7DCF" w:rsidRDefault="002B7DCF" w:rsidP="007F2263">
            <w:pPr>
              <w:jc w:val="center"/>
              <w:rPr>
                <w:sz w:val="23"/>
                <w:szCs w:val="23"/>
              </w:rPr>
            </w:pPr>
          </w:p>
        </w:tc>
        <w:tc>
          <w:tcPr>
            <w:tcW w:w="2220" w:type="dxa"/>
            <w:vMerge/>
            <w:tcBorders>
              <w:left w:val="single" w:sz="8" w:space="0" w:color="auto"/>
              <w:bottom w:val="single" w:sz="8" w:space="0" w:color="auto"/>
              <w:right w:val="single" w:sz="8" w:space="0" w:color="auto"/>
            </w:tcBorders>
            <w:vAlign w:val="center"/>
          </w:tcPr>
          <w:p w14:paraId="2819F9DD" w14:textId="77777777" w:rsidR="002B7DCF" w:rsidRDefault="002B7DCF" w:rsidP="007F2263">
            <w:pPr>
              <w:jc w:val="center"/>
              <w:rPr>
                <w:sz w:val="23"/>
                <w:szCs w:val="23"/>
              </w:rPr>
            </w:pPr>
          </w:p>
        </w:tc>
        <w:tc>
          <w:tcPr>
            <w:tcW w:w="1100" w:type="dxa"/>
            <w:vMerge/>
            <w:tcBorders>
              <w:right w:val="single" w:sz="8" w:space="0" w:color="auto"/>
            </w:tcBorders>
            <w:vAlign w:val="center"/>
          </w:tcPr>
          <w:p w14:paraId="2819F9DE" w14:textId="77777777" w:rsidR="002B7DCF" w:rsidRDefault="002B7DCF" w:rsidP="007F2263">
            <w:pPr>
              <w:jc w:val="center"/>
              <w:rPr>
                <w:sz w:val="23"/>
                <w:szCs w:val="23"/>
              </w:rPr>
            </w:pPr>
          </w:p>
        </w:tc>
        <w:tc>
          <w:tcPr>
            <w:tcW w:w="1120" w:type="dxa"/>
            <w:vMerge/>
            <w:tcBorders>
              <w:right w:val="single" w:sz="8" w:space="0" w:color="auto"/>
            </w:tcBorders>
            <w:vAlign w:val="center"/>
          </w:tcPr>
          <w:p w14:paraId="2819F9DF" w14:textId="77777777" w:rsidR="002B7DCF" w:rsidRDefault="002B7DCF" w:rsidP="007F2263">
            <w:pPr>
              <w:jc w:val="center"/>
              <w:rPr>
                <w:sz w:val="23"/>
                <w:szCs w:val="23"/>
              </w:rPr>
            </w:pPr>
          </w:p>
        </w:tc>
      </w:tr>
      <w:tr w:rsidR="002B7DCF" w14:paraId="2819F9ED" w14:textId="77777777" w:rsidTr="002B7DCF">
        <w:trPr>
          <w:trHeight w:val="274"/>
        </w:trPr>
        <w:tc>
          <w:tcPr>
            <w:tcW w:w="2240" w:type="dxa"/>
            <w:vMerge/>
            <w:tcBorders>
              <w:left w:val="single" w:sz="8" w:space="0" w:color="auto"/>
              <w:bottom w:val="single" w:sz="8" w:space="0" w:color="auto"/>
              <w:right w:val="single" w:sz="8" w:space="0" w:color="auto"/>
            </w:tcBorders>
            <w:vAlign w:val="bottom"/>
          </w:tcPr>
          <w:p w14:paraId="2819F9E2" w14:textId="73458819" w:rsidR="002B7DCF" w:rsidRDefault="002B7DCF">
            <w:pPr>
              <w:ind w:left="40"/>
              <w:rPr>
                <w:sz w:val="20"/>
                <w:szCs w:val="20"/>
              </w:rPr>
            </w:pPr>
          </w:p>
        </w:tc>
        <w:tc>
          <w:tcPr>
            <w:tcW w:w="2200" w:type="dxa"/>
            <w:vMerge/>
            <w:tcBorders>
              <w:bottom w:val="single" w:sz="8" w:space="0" w:color="auto"/>
              <w:right w:val="single" w:sz="8" w:space="0" w:color="auto"/>
            </w:tcBorders>
            <w:vAlign w:val="center"/>
          </w:tcPr>
          <w:p w14:paraId="2819F9E8" w14:textId="77777777" w:rsidR="002B7DCF" w:rsidRDefault="002B7DCF" w:rsidP="007F2263">
            <w:pPr>
              <w:jc w:val="center"/>
              <w:rPr>
                <w:sz w:val="23"/>
                <w:szCs w:val="23"/>
              </w:rPr>
            </w:pPr>
          </w:p>
        </w:tc>
        <w:tc>
          <w:tcPr>
            <w:tcW w:w="2220" w:type="dxa"/>
            <w:vMerge/>
            <w:tcBorders>
              <w:left w:val="single" w:sz="8" w:space="0" w:color="auto"/>
              <w:bottom w:val="single" w:sz="8" w:space="0" w:color="auto"/>
              <w:right w:val="single" w:sz="8" w:space="0" w:color="auto"/>
            </w:tcBorders>
            <w:vAlign w:val="center"/>
          </w:tcPr>
          <w:p w14:paraId="2819F9E9" w14:textId="77777777" w:rsidR="002B7DCF" w:rsidRDefault="002B7DCF" w:rsidP="007F2263">
            <w:pPr>
              <w:jc w:val="center"/>
              <w:rPr>
                <w:sz w:val="23"/>
                <w:szCs w:val="23"/>
              </w:rPr>
            </w:pPr>
          </w:p>
        </w:tc>
        <w:tc>
          <w:tcPr>
            <w:tcW w:w="1100" w:type="dxa"/>
            <w:vMerge/>
            <w:tcBorders>
              <w:bottom w:val="single" w:sz="8" w:space="0" w:color="auto"/>
              <w:right w:val="single" w:sz="8" w:space="0" w:color="auto"/>
            </w:tcBorders>
            <w:vAlign w:val="center"/>
          </w:tcPr>
          <w:p w14:paraId="2819F9EA" w14:textId="77777777" w:rsidR="002B7DCF" w:rsidRDefault="002B7DCF" w:rsidP="007F2263">
            <w:pPr>
              <w:jc w:val="center"/>
              <w:rPr>
                <w:sz w:val="23"/>
                <w:szCs w:val="23"/>
              </w:rPr>
            </w:pPr>
          </w:p>
        </w:tc>
        <w:tc>
          <w:tcPr>
            <w:tcW w:w="1120" w:type="dxa"/>
            <w:vMerge/>
            <w:tcBorders>
              <w:bottom w:val="single" w:sz="8" w:space="0" w:color="auto"/>
              <w:right w:val="single" w:sz="8" w:space="0" w:color="auto"/>
            </w:tcBorders>
            <w:vAlign w:val="center"/>
          </w:tcPr>
          <w:p w14:paraId="2819F9EB" w14:textId="77777777" w:rsidR="002B7DCF" w:rsidRDefault="002B7DCF" w:rsidP="007F2263">
            <w:pPr>
              <w:jc w:val="center"/>
              <w:rPr>
                <w:sz w:val="23"/>
                <w:szCs w:val="23"/>
              </w:rPr>
            </w:pPr>
          </w:p>
        </w:tc>
      </w:tr>
      <w:tr w:rsidR="002B7DCF" w14:paraId="2819F9F4" w14:textId="77777777" w:rsidTr="002B7DCF">
        <w:trPr>
          <w:trHeight w:val="258"/>
        </w:trPr>
        <w:tc>
          <w:tcPr>
            <w:tcW w:w="2240" w:type="dxa"/>
            <w:vMerge/>
            <w:tcBorders>
              <w:left w:val="single" w:sz="8" w:space="0" w:color="auto"/>
              <w:bottom w:val="single" w:sz="8" w:space="0" w:color="auto"/>
              <w:right w:val="single" w:sz="8" w:space="0" w:color="auto"/>
            </w:tcBorders>
            <w:vAlign w:val="bottom"/>
          </w:tcPr>
          <w:p w14:paraId="2819F9EE" w14:textId="77777777" w:rsidR="002B7DCF" w:rsidRDefault="002B7DCF"/>
        </w:tc>
        <w:tc>
          <w:tcPr>
            <w:tcW w:w="2200" w:type="dxa"/>
            <w:tcBorders>
              <w:bottom w:val="single" w:sz="8" w:space="0" w:color="auto"/>
              <w:right w:val="single" w:sz="8" w:space="0" w:color="auto"/>
            </w:tcBorders>
            <w:vAlign w:val="center"/>
          </w:tcPr>
          <w:p w14:paraId="2819F9EF" w14:textId="545E914D" w:rsidR="002B7DCF" w:rsidRDefault="002B7DCF" w:rsidP="007F2263">
            <w:pPr>
              <w:jc w:val="center"/>
              <w:rPr>
                <w:sz w:val="20"/>
                <w:szCs w:val="20"/>
              </w:rPr>
            </w:pPr>
            <w:r>
              <w:rPr>
                <w:rFonts w:eastAsia="Times New Roman"/>
                <w:sz w:val="18"/>
                <w:szCs w:val="18"/>
              </w:rPr>
              <w:t>500 - 3,300</w:t>
            </w:r>
          </w:p>
        </w:tc>
        <w:tc>
          <w:tcPr>
            <w:tcW w:w="2220" w:type="dxa"/>
            <w:tcBorders>
              <w:bottom w:val="single" w:sz="8" w:space="0" w:color="auto"/>
              <w:right w:val="single" w:sz="8" w:space="0" w:color="auto"/>
            </w:tcBorders>
            <w:vAlign w:val="center"/>
          </w:tcPr>
          <w:p w14:paraId="2819F9F0" w14:textId="77777777" w:rsidR="002B7DCF" w:rsidRDefault="002B7DCF" w:rsidP="007F2263">
            <w:pPr>
              <w:jc w:val="center"/>
              <w:rPr>
                <w:sz w:val="20"/>
                <w:szCs w:val="20"/>
              </w:rPr>
            </w:pPr>
            <w:r>
              <w:rPr>
                <w:rFonts w:eastAsia="Times New Roman"/>
                <w:sz w:val="18"/>
                <w:szCs w:val="18"/>
              </w:rPr>
              <w:t>3</w:t>
            </w:r>
          </w:p>
        </w:tc>
        <w:tc>
          <w:tcPr>
            <w:tcW w:w="1100" w:type="dxa"/>
            <w:tcBorders>
              <w:bottom w:val="single" w:sz="8" w:space="0" w:color="auto"/>
              <w:right w:val="single" w:sz="8" w:space="0" w:color="auto"/>
            </w:tcBorders>
            <w:vAlign w:val="center"/>
          </w:tcPr>
          <w:p w14:paraId="2819F9F1" w14:textId="77777777" w:rsidR="002B7DCF" w:rsidRDefault="002B7DCF" w:rsidP="007F2263">
            <w:pPr>
              <w:jc w:val="center"/>
              <w:rPr>
                <w:sz w:val="20"/>
                <w:szCs w:val="20"/>
              </w:rPr>
            </w:pPr>
            <w:r>
              <w:rPr>
                <w:rFonts w:eastAsia="Times New Roman"/>
                <w:sz w:val="18"/>
                <w:szCs w:val="18"/>
              </w:rPr>
              <w:t>9</w:t>
            </w:r>
          </w:p>
        </w:tc>
        <w:tc>
          <w:tcPr>
            <w:tcW w:w="1120" w:type="dxa"/>
            <w:tcBorders>
              <w:bottom w:val="single" w:sz="8" w:space="0" w:color="auto"/>
              <w:right w:val="single" w:sz="8" w:space="0" w:color="auto"/>
            </w:tcBorders>
            <w:vAlign w:val="center"/>
          </w:tcPr>
          <w:p w14:paraId="2819F9F2" w14:textId="77777777" w:rsidR="002B7DCF" w:rsidRDefault="002B7DCF" w:rsidP="007F2263">
            <w:pPr>
              <w:jc w:val="center"/>
              <w:rPr>
                <w:sz w:val="20"/>
                <w:szCs w:val="20"/>
              </w:rPr>
            </w:pPr>
            <w:r>
              <w:rPr>
                <w:rFonts w:eastAsia="Times New Roman"/>
                <w:sz w:val="18"/>
                <w:szCs w:val="18"/>
              </w:rPr>
              <w:t>9</w:t>
            </w:r>
          </w:p>
        </w:tc>
      </w:tr>
      <w:tr w:rsidR="002B7DCF" w14:paraId="2819F9FC" w14:textId="77777777" w:rsidTr="002B7DCF">
        <w:trPr>
          <w:trHeight w:val="259"/>
        </w:trPr>
        <w:tc>
          <w:tcPr>
            <w:tcW w:w="2240" w:type="dxa"/>
            <w:vMerge/>
            <w:tcBorders>
              <w:left w:val="single" w:sz="8" w:space="0" w:color="auto"/>
              <w:bottom w:val="single" w:sz="8" w:space="0" w:color="auto"/>
              <w:right w:val="single" w:sz="8" w:space="0" w:color="auto"/>
            </w:tcBorders>
            <w:vAlign w:val="bottom"/>
          </w:tcPr>
          <w:p w14:paraId="2819F9F5" w14:textId="77777777" w:rsidR="002B7DCF" w:rsidRDefault="002B7DCF"/>
        </w:tc>
        <w:tc>
          <w:tcPr>
            <w:tcW w:w="2200" w:type="dxa"/>
            <w:tcBorders>
              <w:bottom w:val="single" w:sz="8" w:space="0" w:color="auto"/>
              <w:right w:val="single" w:sz="8" w:space="0" w:color="auto"/>
            </w:tcBorders>
            <w:vAlign w:val="center"/>
          </w:tcPr>
          <w:p w14:paraId="2819F9F7" w14:textId="76B7FD07" w:rsidR="002B7DCF" w:rsidRDefault="002B7DCF" w:rsidP="002B7DCF">
            <w:pPr>
              <w:jc w:val="center"/>
              <w:rPr>
                <w:sz w:val="20"/>
                <w:szCs w:val="20"/>
              </w:rPr>
            </w:pPr>
            <w:r>
              <w:rPr>
                <w:rFonts w:eastAsia="Times New Roman"/>
                <w:sz w:val="18"/>
                <w:szCs w:val="18"/>
              </w:rPr>
              <w:t>3,301 - 9,999</w:t>
            </w:r>
          </w:p>
        </w:tc>
        <w:tc>
          <w:tcPr>
            <w:tcW w:w="2220" w:type="dxa"/>
            <w:tcBorders>
              <w:bottom w:val="single" w:sz="8" w:space="0" w:color="auto"/>
              <w:right w:val="single" w:sz="8" w:space="0" w:color="auto"/>
            </w:tcBorders>
            <w:vAlign w:val="center"/>
          </w:tcPr>
          <w:p w14:paraId="2819F9F8" w14:textId="77777777" w:rsidR="002B7DCF" w:rsidRDefault="002B7DCF" w:rsidP="007F2263">
            <w:pPr>
              <w:jc w:val="center"/>
              <w:rPr>
                <w:sz w:val="20"/>
                <w:szCs w:val="20"/>
              </w:rPr>
            </w:pPr>
            <w:r>
              <w:rPr>
                <w:rFonts w:eastAsia="Times New Roman"/>
                <w:sz w:val="18"/>
                <w:szCs w:val="18"/>
              </w:rPr>
              <w:t>6</w:t>
            </w:r>
          </w:p>
        </w:tc>
        <w:tc>
          <w:tcPr>
            <w:tcW w:w="1100" w:type="dxa"/>
            <w:tcBorders>
              <w:bottom w:val="single" w:sz="8" w:space="0" w:color="auto"/>
              <w:right w:val="single" w:sz="8" w:space="0" w:color="auto"/>
            </w:tcBorders>
            <w:vAlign w:val="center"/>
          </w:tcPr>
          <w:p w14:paraId="2819F9F9" w14:textId="77777777" w:rsidR="002B7DCF" w:rsidRDefault="002B7DCF" w:rsidP="007F2263">
            <w:pPr>
              <w:jc w:val="center"/>
              <w:rPr>
                <w:sz w:val="20"/>
                <w:szCs w:val="20"/>
              </w:rPr>
            </w:pPr>
            <w:r>
              <w:rPr>
                <w:rFonts w:eastAsia="Times New Roman"/>
                <w:w w:val="99"/>
                <w:sz w:val="18"/>
                <w:szCs w:val="18"/>
              </w:rPr>
              <w:t>36</w:t>
            </w:r>
          </w:p>
        </w:tc>
        <w:tc>
          <w:tcPr>
            <w:tcW w:w="1120" w:type="dxa"/>
            <w:tcBorders>
              <w:bottom w:val="single" w:sz="8" w:space="0" w:color="auto"/>
              <w:right w:val="single" w:sz="8" w:space="0" w:color="auto"/>
            </w:tcBorders>
            <w:vAlign w:val="center"/>
          </w:tcPr>
          <w:p w14:paraId="2819F9FA" w14:textId="77777777" w:rsidR="002B7DCF" w:rsidRDefault="002B7DCF" w:rsidP="007F2263">
            <w:pPr>
              <w:jc w:val="center"/>
              <w:rPr>
                <w:sz w:val="20"/>
                <w:szCs w:val="20"/>
              </w:rPr>
            </w:pPr>
            <w:r>
              <w:rPr>
                <w:rFonts w:eastAsia="Times New Roman"/>
                <w:w w:val="99"/>
                <w:sz w:val="18"/>
                <w:szCs w:val="18"/>
              </w:rPr>
              <w:t>36</w:t>
            </w:r>
          </w:p>
        </w:tc>
      </w:tr>
      <w:tr w:rsidR="002B7DCF" w14:paraId="2819FA03" w14:textId="77777777" w:rsidTr="002B7DCF">
        <w:trPr>
          <w:trHeight w:val="262"/>
        </w:trPr>
        <w:tc>
          <w:tcPr>
            <w:tcW w:w="2240" w:type="dxa"/>
            <w:vMerge/>
            <w:tcBorders>
              <w:left w:val="single" w:sz="8" w:space="0" w:color="auto"/>
              <w:bottom w:val="single" w:sz="8" w:space="0" w:color="auto"/>
              <w:right w:val="single" w:sz="8" w:space="0" w:color="auto"/>
            </w:tcBorders>
            <w:vAlign w:val="bottom"/>
          </w:tcPr>
          <w:p w14:paraId="2819F9FD" w14:textId="77777777" w:rsidR="002B7DCF" w:rsidRDefault="002B7DCF"/>
        </w:tc>
        <w:tc>
          <w:tcPr>
            <w:tcW w:w="2200" w:type="dxa"/>
            <w:tcBorders>
              <w:bottom w:val="single" w:sz="8" w:space="0" w:color="auto"/>
              <w:right w:val="single" w:sz="8" w:space="0" w:color="auto"/>
            </w:tcBorders>
            <w:vAlign w:val="center"/>
          </w:tcPr>
          <w:p w14:paraId="2819F9FE" w14:textId="77777777" w:rsidR="002B7DCF" w:rsidRDefault="002B7DCF" w:rsidP="007F2263">
            <w:pPr>
              <w:jc w:val="center"/>
              <w:rPr>
                <w:sz w:val="20"/>
                <w:szCs w:val="20"/>
              </w:rPr>
            </w:pPr>
            <w:r>
              <w:rPr>
                <w:rFonts w:eastAsia="Times New Roman"/>
                <w:sz w:val="18"/>
                <w:szCs w:val="18"/>
              </w:rPr>
              <w:t>10,000 – 49,999</w:t>
            </w:r>
          </w:p>
        </w:tc>
        <w:tc>
          <w:tcPr>
            <w:tcW w:w="2220" w:type="dxa"/>
            <w:tcBorders>
              <w:bottom w:val="single" w:sz="8" w:space="0" w:color="auto"/>
              <w:right w:val="single" w:sz="8" w:space="0" w:color="auto"/>
            </w:tcBorders>
            <w:vAlign w:val="center"/>
          </w:tcPr>
          <w:p w14:paraId="2819F9FF" w14:textId="77777777" w:rsidR="002B7DCF" w:rsidRDefault="002B7DCF" w:rsidP="007F2263">
            <w:pPr>
              <w:jc w:val="center"/>
              <w:rPr>
                <w:sz w:val="20"/>
                <w:szCs w:val="20"/>
              </w:rPr>
            </w:pPr>
            <w:r>
              <w:rPr>
                <w:rFonts w:eastAsia="Times New Roman"/>
                <w:w w:val="99"/>
                <w:sz w:val="18"/>
                <w:szCs w:val="18"/>
              </w:rPr>
              <w:t>12</w:t>
            </w:r>
          </w:p>
        </w:tc>
        <w:tc>
          <w:tcPr>
            <w:tcW w:w="1100" w:type="dxa"/>
            <w:tcBorders>
              <w:bottom w:val="single" w:sz="8" w:space="0" w:color="auto"/>
              <w:right w:val="single" w:sz="8" w:space="0" w:color="auto"/>
            </w:tcBorders>
            <w:vAlign w:val="center"/>
          </w:tcPr>
          <w:p w14:paraId="2819FA00" w14:textId="77777777" w:rsidR="002B7DCF" w:rsidRDefault="002B7DCF" w:rsidP="007F2263">
            <w:pPr>
              <w:jc w:val="center"/>
              <w:rPr>
                <w:sz w:val="20"/>
                <w:szCs w:val="20"/>
              </w:rPr>
            </w:pPr>
            <w:r>
              <w:rPr>
                <w:rFonts w:eastAsia="Times New Roman"/>
                <w:w w:val="99"/>
                <w:sz w:val="18"/>
                <w:szCs w:val="18"/>
              </w:rPr>
              <w:t>72</w:t>
            </w:r>
          </w:p>
        </w:tc>
        <w:tc>
          <w:tcPr>
            <w:tcW w:w="1120" w:type="dxa"/>
            <w:tcBorders>
              <w:bottom w:val="single" w:sz="8" w:space="0" w:color="auto"/>
              <w:right w:val="single" w:sz="8" w:space="0" w:color="auto"/>
            </w:tcBorders>
            <w:vAlign w:val="center"/>
          </w:tcPr>
          <w:p w14:paraId="2819FA01" w14:textId="77777777" w:rsidR="002B7DCF" w:rsidRDefault="002B7DCF" w:rsidP="007F2263">
            <w:pPr>
              <w:jc w:val="center"/>
              <w:rPr>
                <w:sz w:val="20"/>
                <w:szCs w:val="20"/>
              </w:rPr>
            </w:pPr>
            <w:r>
              <w:rPr>
                <w:rFonts w:eastAsia="Times New Roman"/>
                <w:w w:val="99"/>
                <w:sz w:val="18"/>
                <w:szCs w:val="18"/>
              </w:rPr>
              <w:t>72</w:t>
            </w:r>
          </w:p>
        </w:tc>
      </w:tr>
      <w:tr w:rsidR="002B7DCF" w14:paraId="2819FA0A" w14:textId="77777777" w:rsidTr="002B7DCF">
        <w:trPr>
          <w:trHeight w:val="257"/>
        </w:trPr>
        <w:tc>
          <w:tcPr>
            <w:tcW w:w="2240" w:type="dxa"/>
            <w:vMerge/>
            <w:tcBorders>
              <w:left w:val="single" w:sz="8" w:space="0" w:color="auto"/>
              <w:bottom w:val="single" w:sz="8" w:space="0" w:color="auto"/>
              <w:right w:val="single" w:sz="8" w:space="0" w:color="auto"/>
            </w:tcBorders>
            <w:vAlign w:val="bottom"/>
          </w:tcPr>
          <w:p w14:paraId="2819FA04" w14:textId="77777777" w:rsidR="002B7DCF" w:rsidRDefault="002B7DCF"/>
        </w:tc>
        <w:tc>
          <w:tcPr>
            <w:tcW w:w="2200" w:type="dxa"/>
            <w:tcBorders>
              <w:bottom w:val="single" w:sz="8" w:space="0" w:color="auto"/>
              <w:right w:val="single" w:sz="8" w:space="0" w:color="auto"/>
            </w:tcBorders>
            <w:vAlign w:val="center"/>
          </w:tcPr>
          <w:p w14:paraId="2819FA05" w14:textId="53794588" w:rsidR="002B7DCF" w:rsidRDefault="002B7DCF" w:rsidP="007F2263">
            <w:pPr>
              <w:jc w:val="center"/>
              <w:rPr>
                <w:sz w:val="20"/>
                <w:szCs w:val="20"/>
              </w:rPr>
            </w:pPr>
            <w:r>
              <w:rPr>
                <w:rFonts w:eastAsia="Times New Roman"/>
                <w:sz w:val="18"/>
                <w:szCs w:val="18"/>
              </w:rPr>
              <w:t>50,000 - 249,999</w:t>
            </w:r>
          </w:p>
        </w:tc>
        <w:tc>
          <w:tcPr>
            <w:tcW w:w="2220" w:type="dxa"/>
            <w:tcBorders>
              <w:bottom w:val="single" w:sz="8" w:space="0" w:color="auto"/>
              <w:right w:val="single" w:sz="8" w:space="0" w:color="auto"/>
            </w:tcBorders>
            <w:vAlign w:val="center"/>
          </w:tcPr>
          <w:p w14:paraId="2819FA06" w14:textId="77777777" w:rsidR="002B7DCF" w:rsidRDefault="002B7DCF" w:rsidP="007F2263">
            <w:pPr>
              <w:jc w:val="center"/>
              <w:rPr>
                <w:sz w:val="20"/>
                <w:szCs w:val="20"/>
              </w:rPr>
            </w:pPr>
            <w:r>
              <w:rPr>
                <w:rFonts w:eastAsia="Times New Roman"/>
                <w:w w:val="99"/>
                <w:sz w:val="18"/>
                <w:szCs w:val="18"/>
              </w:rPr>
              <w:t>24</w:t>
            </w:r>
          </w:p>
        </w:tc>
        <w:tc>
          <w:tcPr>
            <w:tcW w:w="1100" w:type="dxa"/>
            <w:tcBorders>
              <w:bottom w:val="single" w:sz="8" w:space="0" w:color="auto"/>
              <w:right w:val="single" w:sz="8" w:space="0" w:color="auto"/>
            </w:tcBorders>
            <w:vAlign w:val="center"/>
          </w:tcPr>
          <w:p w14:paraId="2819FA07" w14:textId="77777777" w:rsidR="002B7DCF" w:rsidRDefault="002B7DCF" w:rsidP="007F2263">
            <w:pPr>
              <w:jc w:val="center"/>
              <w:rPr>
                <w:sz w:val="20"/>
                <w:szCs w:val="20"/>
              </w:rPr>
            </w:pPr>
            <w:r>
              <w:rPr>
                <w:rFonts w:eastAsia="Times New Roman"/>
                <w:sz w:val="18"/>
                <w:szCs w:val="18"/>
              </w:rPr>
              <w:t>144</w:t>
            </w:r>
          </w:p>
        </w:tc>
        <w:tc>
          <w:tcPr>
            <w:tcW w:w="1120" w:type="dxa"/>
            <w:tcBorders>
              <w:bottom w:val="single" w:sz="8" w:space="0" w:color="auto"/>
              <w:right w:val="single" w:sz="8" w:space="0" w:color="auto"/>
            </w:tcBorders>
            <w:vAlign w:val="center"/>
          </w:tcPr>
          <w:p w14:paraId="2819FA08" w14:textId="77777777" w:rsidR="002B7DCF" w:rsidRDefault="002B7DCF" w:rsidP="007F2263">
            <w:pPr>
              <w:jc w:val="center"/>
              <w:rPr>
                <w:sz w:val="20"/>
                <w:szCs w:val="20"/>
              </w:rPr>
            </w:pPr>
            <w:r>
              <w:rPr>
                <w:rFonts w:eastAsia="Times New Roman"/>
                <w:sz w:val="18"/>
                <w:szCs w:val="18"/>
              </w:rPr>
              <w:t>144</w:t>
            </w:r>
          </w:p>
        </w:tc>
      </w:tr>
      <w:tr w:rsidR="002B7DCF" w14:paraId="2819FA12" w14:textId="77777777" w:rsidTr="002B7DCF">
        <w:trPr>
          <w:trHeight w:val="261"/>
        </w:trPr>
        <w:tc>
          <w:tcPr>
            <w:tcW w:w="2240" w:type="dxa"/>
            <w:vMerge/>
            <w:tcBorders>
              <w:left w:val="single" w:sz="8" w:space="0" w:color="auto"/>
              <w:bottom w:val="single" w:sz="8" w:space="0" w:color="auto"/>
              <w:right w:val="single" w:sz="8" w:space="0" w:color="auto"/>
            </w:tcBorders>
            <w:vAlign w:val="bottom"/>
          </w:tcPr>
          <w:p w14:paraId="2819FA0B" w14:textId="77777777" w:rsidR="002B7DCF" w:rsidRDefault="002B7DCF"/>
        </w:tc>
        <w:tc>
          <w:tcPr>
            <w:tcW w:w="2200" w:type="dxa"/>
            <w:tcBorders>
              <w:bottom w:val="single" w:sz="8" w:space="0" w:color="auto"/>
              <w:right w:val="single" w:sz="8" w:space="0" w:color="auto"/>
            </w:tcBorders>
            <w:vAlign w:val="center"/>
          </w:tcPr>
          <w:p w14:paraId="2819FA0D" w14:textId="7884E3D8" w:rsidR="002B7DCF" w:rsidRDefault="002B7DCF" w:rsidP="002B7DCF">
            <w:pPr>
              <w:jc w:val="center"/>
              <w:rPr>
                <w:sz w:val="20"/>
                <w:szCs w:val="20"/>
              </w:rPr>
            </w:pPr>
            <w:r>
              <w:rPr>
                <w:rFonts w:eastAsia="Times New Roman"/>
                <w:sz w:val="18"/>
                <w:szCs w:val="18"/>
              </w:rPr>
              <w:t>250,000 - 999,999</w:t>
            </w:r>
          </w:p>
        </w:tc>
        <w:tc>
          <w:tcPr>
            <w:tcW w:w="2220" w:type="dxa"/>
            <w:tcBorders>
              <w:bottom w:val="single" w:sz="8" w:space="0" w:color="auto"/>
              <w:right w:val="single" w:sz="8" w:space="0" w:color="auto"/>
            </w:tcBorders>
            <w:vAlign w:val="center"/>
          </w:tcPr>
          <w:p w14:paraId="2819FA0E" w14:textId="77777777" w:rsidR="002B7DCF" w:rsidRDefault="002B7DCF" w:rsidP="007F2263">
            <w:pPr>
              <w:jc w:val="center"/>
              <w:rPr>
                <w:sz w:val="20"/>
                <w:szCs w:val="20"/>
              </w:rPr>
            </w:pPr>
            <w:r>
              <w:rPr>
                <w:rFonts w:eastAsia="Times New Roman"/>
                <w:w w:val="99"/>
                <w:sz w:val="18"/>
                <w:szCs w:val="18"/>
              </w:rPr>
              <w:t>36</w:t>
            </w:r>
          </w:p>
        </w:tc>
        <w:tc>
          <w:tcPr>
            <w:tcW w:w="1100" w:type="dxa"/>
            <w:tcBorders>
              <w:bottom w:val="single" w:sz="8" w:space="0" w:color="auto"/>
              <w:right w:val="single" w:sz="8" w:space="0" w:color="auto"/>
            </w:tcBorders>
            <w:vAlign w:val="center"/>
          </w:tcPr>
          <w:p w14:paraId="2819FA0F" w14:textId="77777777" w:rsidR="002B7DCF" w:rsidRDefault="002B7DCF" w:rsidP="007F2263">
            <w:pPr>
              <w:jc w:val="center"/>
              <w:rPr>
                <w:sz w:val="20"/>
                <w:szCs w:val="20"/>
              </w:rPr>
            </w:pPr>
            <w:r>
              <w:rPr>
                <w:rFonts w:eastAsia="Times New Roman"/>
                <w:sz w:val="18"/>
                <w:szCs w:val="18"/>
              </w:rPr>
              <w:t>216</w:t>
            </w:r>
          </w:p>
        </w:tc>
        <w:tc>
          <w:tcPr>
            <w:tcW w:w="1120" w:type="dxa"/>
            <w:tcBorders>
              <w:bottom w:val="single" w:sz="8" w:space="0" w:color="auto"/>
              <w:right w:val="single" w:sz="8" w:space="0" w:color="auto"/>
            </w:tcBorders>
            <w:vAlign w:val="center"/>
          </w:tcPr>
          <w:p w14:paraId="2819FA10" w14:textId="77777777" w:rsidR="002B7DCF" w:rsidRDefault="002B7DCF" w:rsidP="007F2263">
            <w:pPr>
              <w:jc w:val="center"/>
              <w:rPr>
                <w:sz w:val="20"/>
                <w:szCs w:val="20"/>
              </w:rPr>
            </w:pPr>
            <w:r>
              <w:rPr>
                <w:rFonts w:eastAsia="Times New Roman"/>
                <w:sz w:val="18"/>
                <w:szCs w:val="18"/>
              </w:rPr>
              <w:t>216</w:t>
            </w:r>
          </w:p>
        </w:tc>
      </w:tr>
      <w:tr w:rsidR="002B7DCF" w14:paraId="2819FA1A" w14:textId="77777777" w:rsidTr="002B7DCF">
        <w:trPr>
          <w:trHeight w:val="261"/>
        </w:trPr>
        <w:tc>
          <w:tcPr>
            <w:tcW w:w="2240" w:type="dxa"/>
            <w:vMerge/>
            <w:tcBorders>
              <w:left w:val="single" w:sz="8" w:space="0" w:color="auto"/>
              <w:bottom w:val="single" w:sz="8" w:space="0" w:color="auto"/>
              <w:right w:val="single" w:sz="8" w:space="0" w:color="auto"/>
            </w:tcBorders>
            <w:vAlign w:val="bottom"/>
          </w:tcPr>
          <w:p w14:paraId="2819FA13" w14:textId="77777777" w:rsidR="002B7DCF" w:rsidRDefault="002B7DCF"/>
        </w:tc>
        <w:tc>
          <w:tcPr>
            <w:tcW w:w="2200" w:type="dxa"/>
            <w:tcBorders>
              <w:bottom w:val="single" w:sz="8" w:space="0" w:color="auto"/>
              <w:right w:val="single" w:sz="8" w:space="0" w:color="auto"/>
            </w:tcBorders>
            <w:vAlign w:val="center"/>
          </w:tcPr>
          <w:p w14:paraId="2819FA15" w14:textId="475351ED" w:rsidR="002B7DCF" w:rsidRDefault="002B7DCF" w:rsidP="002B7DCF">
            <w:pPr>
              <w:jc w:val="center"/>
              <w:rPr>
                <w:sz w:val="20"/>
                <w:szCs w:val="20"/>
              </w:rPr>
            </w:pPr>
            <w:r>
              <w:rPr>
                <w:rFonts w:eastAsia="Times New Roman"/>
                <w:sz w:val="18"/>
                <w:szCs w:val="18"/>
              </w:rPr>
              <w:t>1,000,000 - 4,999,999</w:t>
            </w:r>
          </w:p>
        </w:tc>
        <w:tc>
          <w:tcPr>
            <w:tcW w:w="2220" w:type="dxa"/>
            <w:tcBorders>
              <w:bottom w:val="single" w:sz="8" w:space="0" w:color="auto"/>
              <w:right w:val="single" w:sz="8" w:space="0" w:color="auto"/>
            </w:tcBorders>
            <w:vAlign w:val="center"/>
          </w:tcPr>
          <w:p w14:paraId="2819FA16" w14:textId="77777777" w:rsidR="002B7DCF" w:rsidRDefault="002B7DCF" w:rsidP="007F2263">
            <w:pPr>
              <w:jc w:val="center"/>
              <w:rPr>
                <w:sz w:val="20"/>
                <w:szCs w:val="20"/>
              </w:rPr>
            </w:pPr>
            <w:r>
              <w:rPr>
                <w:rFonts w:eastAsia="Times New Roman"/>
                <w:w w:val="99"/>
                <w:sz w:val="18"/>
                <w:szCs w:val="18"/>
              </w:rPr>
              <w:t>48</w:t>
            </w:r>
          </w:p>
        </w:tc>
        <w:tc>
          <w:tcPr>
            <w:tcW w:w="1100" w:type="dxa"/>
            <w:tcBorders>
              <w:bottom w:val="single" w:sz="8" w:space="0" w:color="auto"/>
              <w:right w:val="single" w:sz="8" w:space="0" w:color="auto"/>
            </w:tcBorders>
            <w:vAlign w:val="center"/>
          </w:tcPr>
          <w:p w14:paraId="2819FA17" w14:textId="77777777" w:rsidR="002B7DCF" w:rsidRDefault="002B7DCF" w:rsidP="007F2263">
            <w:pPr>
              <w:jc w:val="center"/>
              <w:rPr>
                <w:sz w:val="20"/>
                <w:szCs w:val="20"/>
              </w:rPr>
            </w:pPr>
            <w:r>
              <w:rPr>
                <w:rFonts w:eastAsia="Times New Roman"/>
                <w:sz w:val="18"/>
                <w:szCs w:val="18"/>
              </w:rPr>
              <w:t>288</w:t>
            </w:r>
          </w:p>
        </w:tc>
        <w:tc>
          <w:tcPr>
            <w:tcW w:w="1120" w:type="dxa"/>
            <w:tcBorders>
              <w:bottom w:val="single" w:sz="8" w:space="0" w:color="auto"/>
              <w:right w:val="single" w:sz="8" w:space="0" w:color="auto"/>
            </w:tcBorders>
            <w:vAlign w:val="center"/>
          </w:tcPr>
          <w:p w14:paraId="2819FA18" w14:textId="77777777" w:rsidR="002B7DCF" w:rsidRDefault="002B7DCF" w:rsidP="007F2263">
            <w:pPr>
              <w:jc w:val="center"/>
              <w:rPr>
                <w:sz w:val="20"/>
                <w:szCs w:val="20"/>
              </w:rPr>
            </w:pPr>
            <w:r>
              <w:rPr>
                <w:rFonts w:eastAsia="Times New Roman"/>
                <w:sz w:val="18"/>
                <w:szCs w:val="18"/>
              </w:rPr>
              <w:t>288</w:t>
            </w:r>
          </w:p>
        </w:tc>
      </w:tr>
      <w:tr w:rsidR="002B7DCF" w14:paraId="2819FA21" w14:textId="77777777" w:rsidTr="00497B9E">
        <w:trPr>
          <w:trHeight w:val="232"/>
        </w:trPr>
        <w:tc>
          <w:tcPr>
            <w:tcW w:w="2240" w:type="dxa"/>
            <w:vMerge/>
            <w:tcBorders>
              <w:left w:val="single" w:sz="8" w:space="0" w:color="auto"/>
              <w:bottom w:val="single" w:sz="8" w:space="0" w:color="auto"/>
              <w:right w:val="single" w:sz="8" w:space="0" w:color="auto"/>
            </w:tcBorders>
            <w:vAlign w:val="bottom"/>
          </w:tcPr>
          <w:p w14:paraId="2819FA1B" w14:textId="77777777" w:rsidR="002B7DCF" w:rsidRDefault="002B7DCF">
            <w:pPr>
              <w:rPr>
                <w:sz w:val="20"/>
                <w:szCs w:val="20"/>
              </w:rPr>
            </w:pPr>
          </w:p>
        </w:tc>
        <w:tc>
          <w:tcPr>
            <w:tcW w:w="2200" w:type="dxa"/>
            <w:tcBorders>
              <w:top w:val="single" w:sz="8" w:space="0" w:color="auto"/>
              <w:bottom w:val="single" w:sz="8" w:space="0" w:color="auto"/>
              <w:right w:val="single" w:sz="8" w:space="0" w:color="auto"/>
            </w:tcBorders>
            <w:vAlign w:val="center"/>
          </w:tcPr>
          <w:p w14:paraId="2819FA1C" w14:textId="77777777" w:rsidR="002B7DCF" w:rsidRDefault="002B7DCF" w:rsidP="007F2263">
            <w:pPr>
              <w:jc w:val="center"/>
              <w:rPr>
                <w:sz w:val="20"/>
                <w:szCs w:val="20"/>
              </w:rPr>
            </w:pPr>
            <w:r>
              <w:rPr>
                <w:rFonts w:eastAsia="Times New Roman"/>
                <w:sz w:val="18"/>
                <w:szCs w:val="18"/>
              </w:rPr>
              <w:t>&gt;5,000,000</w:t>
            </w:r>
          </w:p>
        </w:tc>
        <w:tc>
          <w:tcPr>
            <w:tcW w:w="2220" w:type="dxa"/>
            <w:tcBorders>
              <w:top w:val="single" w:sz="8" w:space="0" w:color="auto"/>
              <w:bottom w:val="single" w:sz="8" w:space="0" w:color="auto"/>
              <w:right w:val="single" w:sz="8" w:space="0" w:color="auto"/>
            </w:tcBorders>
            <w:vAlign w:val="center"/>
          </w:tcPr>
          <w:p w14:paraId="2819FA1D" w14:textId="77777777" w:rsidR="002B7DCF" w:rsidRDefault="002B7DCF" w:rsidP="007F2263">
            <w:pPr>
              <w:jc w:val="center"/>
              <w:rPr>
                <w:sz w:val="20"/>
                <w:szCs w:val="20"/>
              </w:rPr>
            </w:pPr>
            <w:r>
              <w:rPr>
                <w:rFonts w:eastAsia="Times New Roman"/>
                <w:w w:val="99"/>
                <w:sz w:val="18"/>
                <w:szCs w:val="18"/>
              </w:rPr>
              <w:t>60</w:t>
            </w:r>
          </w:p>
        </w:tc>
        <w:tc>
          <w:tcPr>
            <w:tcW w:w="1100" w:type="dxa"/>
            <w:tcBorders>
              <w:top w:val="single" w:sz="8" w:space="0" w:color="auto"/>
              <w:bottom w:val="single" w:sz="8" w:space="0" w:color="auto"/>
              <w:right w:val="single" w:sz="8" w:space="0" w:color="auto"/>
            </w:tcBorders>
            <w:vAlign w:val="center"/>
          </w:tcPr>
          <w:p w14:paraId="2819FA1E" w14:textId="77777777" w:rsidR="002B7DCF" w:rsidRDefault="002B7DCF" w:rsidP="007F2263">
            <w:pPr>
              <w:jc w:val="center"/>
              <w:rPr>
                <w:sz w:val="20"/>
                <w:szCs w:val="20"/>
              </w:rPr>
            </w:pPr>
            <w:r>
              <w:rPr>
                <w:rFonts w:eastAsia="Times New Roman"/>
                <w:sz w:val="18"/>
                <w:szCs w:val="18"/>
              </w:rPr>
              <w:t>360</w:t>
            </w:r>
          </w:p>
        </w:tc>
        <w:tc>
          <w:tcPr>
            <w:tcW w:w="1120" w:type="dxa"/>
            <w:tcBorders>
              <w:top w:val="single" w:sz="8" w:space="0" w:color="auto"/>
              <w:bottom w:val="single" w:sz="8" w:space="0" w:color="auto"/>
              <w:right w:val="single" w:sz="8" w:space="0" w:color="auto"/>
            </w:tcBorders>
            <w:vAlign w:val="center"/>
          </w:tcPr>
          <w:p w14:paraId="2819FA1F" w14:textId="77777777" w:rsidR="002B7DCF" w:rsidRDefault="002B7DCF" w:rsidP="007F2263">
            <w:pPr>
              <w:jc w:val="center"/>
              <w:rPr>
                <w:sz w:val="20"/>
                <w:szCs w:val="20"/>
              </w:rPr>
            </w:pPr>
            <w:r>
              <w:rPr>
                <w:rFonts w:eastAsia="Times New Roman"/>
                <w:sz w:val="18"/>
                <w:szCs w:val="18"/>
              </w:rPr>
              <w:t>360</w:t>
            </w:r>
          </w:p>
        </w:tc>
      </w:tr>
      <w:tr w:rsidR="00622193" w14:paraId="2819FA39" w14:textId="77777777" w:rsidTr="00497B9E">
        <w:trPr>
          <w:trHeight w:val="289"/>
        </w:trPr>
        <w:tc>
          <w:tcPr>
            <w:tcW w:w="2240" w:type="dxa"/>
            <w:vMerge w:val="restart"/>
            <w:tcBorders>
              <w:top w:val="single" w:sz="8" w:space="0" w:color="auto"/>
              <w:left w:val="single" w:sz="8" w:space="0" w:color="auto"/>
              <w:bottom w:val="single" w:sz="8" w:space="0" w:color="auto"/>
              <w:right w:val="single" w:sz="8" w:space="0" w:color="auto"/>
            </w:tcBorders>
          </w:tcPr>
          <w:p w14:paraId="2819FA2E" w14:textId="77777777" w:rsidR="00622193" w:rsidRDefault="00622193" w:rsidP="002B7DCF">
            <w:pPr>
              <w:ind w:left="40"/>
              <w:rPr>
                <w:sz w:val="20"/>
                <w:szCs w:val="20"/>
              </w:rPr>
            </w:pPr>
            <w:r>
              <w:rPr>
                <w:rFonts w:eastAsia="Times New Roman"/>
                <w:sz w:val="18"/>
                <w:szCs w:val="18"/>
              </w:rPr>
              <w:t>Groundwater</w:t>
            </w:r>
          </w:p>
        </w:tc>
        <w:tc>
          <w:tcPr>
            <w:tcW w:w="2200" w:type="dxa"/>
            <w:tcBorders>
              <w:top w:val="single" w:sz="8" w:space="0" w:color="auto"/>
              <w:bottom w:val="single" w:sz="8" w:space="0" w:color="auto"/>
              <w:right w:val="single" w:sz="8" w:space="0" w:color="auto"/>
            </w:tcBorders>
            <w:vAlign w:val="center"/>
          </w:tcPr>
          <w:p w14:paraId="2819FA34" w14:textId="0D2EF508" w:rsidR="00622193" w:rsidRDefault="00622193" w:rsidP="007F2263">
            <w:pPr>
              <w:jc w:val="center"/>
              <w:rPr>
                <w:sz w:val="21"/>
                <w:szCs w:val="21"/>
              </w:rPr>
            </w:pPr>
            <w:r>
              <w:rPr>
                <w:rFonts w:eastAsia="Times New Roman"/>
                <w:sz w:val="18"/>
                <w:szCs w:val="18"/>
              </w:rPr>
              <w:t>&lt;500</w:t>
            </w:r>
          </w:p>
        </w:tc>
        <w:tc>
          <w:tcPr>
            <w:tcW w:w="2220" w:type="dxa"/>
            <w:tcBorders>
              <w:top w:val="single" w:sz="8" w:space="0" w:color="auto"/>
              <w:left w:val="single" w:sz="8" w:space="0" w:color="auto"/>
              <w:bottom w:val="single" w:sz="8" w:space="0" w:color="auto"/>
              <w:right w:val="single" w:sz="8" w:space="0" w:color="auto"/>
            </w:tcBorders>
            <w:vAlign w:val="center"/>
          </w:tcPr>
          <w:p w14:paraId="2819FA35" w14:textId="1D963506" w:rsidR="00622193" w:rsidRDefault="00622193" w:rsidP="007F2263">
            <w:pPr>
              <w:jc w:val="center"/>
              <w:rPr>
                <w:sz w:val="21"/>
                <w:szCs w:val="21"/>
              </w:rPr>
            </w:pPr>
            <w:r>
              <w:rPr>
                <w:rFonts w:eastAsia="Times New Roman"/>
                <w:sz w:val="18"/>
                <w:szCs w:val="18"/>
              </w:rPr>
              <w:t>3</w:t>
            </w:r>
          </w:p>
        </w:tc>
        <w:tc>
          <w:tcPr>
            <w:tcW w:w="1100" w:type="dxa"/>
            <w:tcBorders>
              <w:top w:val="single" w:sz="8" w:space="0" w:color="auto"/>
              <w:bottom w:val="single" w:sz="8" w:space="0" w:color="auto"/>
              <w:right w:val="single" w:sz="8" w:space="0" w:color="auto"/>
            </w:tcBorders>
            <w:vAlign w:val="center"/>
          </w:tcPr>
          <w:p w14:paraId="2819FA36" w14:textId="7F523F2C" w:rsidR="00622193" w:rsidRDefault="00622193" w:rsidP="007F2263">
            <w:pPr>
              <w:jc w:val="center"/>
              <w:rPr>
                <w:sz w:val="21"/>
                <w:szCs w:val="21"/>
              </w:rPr>
            </w:pPr>
            <w:r>
              <w:rPr>
                <w:rFonts w:eastAsia="Times New Roman"/>
                <w:sz w:val="18"/>
                <w:szCs w:val="18"/>
              </w:rPr>
              <w:t>3</w:t>
            </w:r>
          </w:p>
        </w:tc>
        <w:tc>
          <w:tcPr>
            <w:tcW w:w="1120" w:type="dxa"/>
            <w:tcBorders>
              <w:top w:val="single" w:sz="8" w:space="0" w:color="auto"/>
              <w:bottom w:val="single" w:sz="8" w:space="0" w:color="auto"/>
              <w:right w:val="single" w:sz="8" w:space="0" w:color="auto"/>
            </w:tcBorders>
            <w:vAlign w:val="center"/>
          </w:tcPr>
          <w:p w14:paraId="2819FA37" w14:textId="66779EE6" w:rsidR="00622193" w:rsidRDefault="00622193" w:rsidP="007F2263">
            <w:pPr>
              <w:jc w:val="center"/>
              <w:rPr>
                <w:sz w:val="21"/>
                <w:szCs w:val="21"/>
              </w:rPr>
            </w:pPr>
            <w:r>
              <w:rPr>
                <w:rFonts w:eastAsia="Times New Roman"/>
                <w:sz w:val="18"/>
                <w:szCs w:val="18"/>
              </w:rPr>
              <w:t>3</w:t>
            </w:r>
          </w:p>
        </w:tc>
      </w:tr>
      <w:tr w:rsidR="002B7DCF" w14:paraId="2819FA47" w14:textId="77777777" w:rsidTr="00497B9E">
        <w:trPr>
          <w:trHeight w:val="257"/>
        </w:trPr>
        <w:tc>
          <w:tcPr>
            <w:tcW w:w="2240" w:type="dxa"/>
            <w:vMerge/>
            <w:tcBorders>
              <w:left w:val="single" w:sz="8" w:space="0" w:color="auto"/>
              <w:bottom w:val="single" w:sz="8" w:space="0" w:color="auto"/>
              <w:right w:val="single" w:sz="8" w:space="0" w:color="auto"/>
            </w:tcBorders>
            <w:vAlign w:val="bottom"/>
          </w:tcPr>
          <w:p w14:paraId="2819FA41" w14:textId="77777777" w:rsidR="002B7DCF" w:rsidRDefault="002B7DCF"/>
        </w:tc>
        <w:tc>
          <w:tcPr>
            <w:tcW w:w="2200" w:type="dxa"/>
            <w:tcBorders>
              <w:top w:val="single" w:sz="8" w:space="0" w:color="auto"/>
              <w:bottom w:val="single" w:sz="8" w:space="0" w:color="auto"/>
              <w:right w:val="single" w:sz="8" w:space="0" w:color="auto"/>
            </w:tcBorders>
            <w:vAlign w:val="center"/>
          </w:tcPr>
          <w:p w14:paraId="2819FA42" w14:textId="3F5FBB34" w:rsidR="002B7DCF" w:rsidRDefault="002B7DCF" w:rsidP="007F2263">
            <w:pPr>
              <w:jc w:val="center"/>
              <w:rPr>
                <w:sz w:val="20"/>
                <w:szCs w:val="20"/>
              </w:rPr>
            </w:pPr>
            <w:r>
              <w:rPr>
                <w:rFonts w:eastAsia="Times New Roman"/>
                <w:sz w:val="18"/>
                <w:szCs w:val="18"/>
              </w:rPr>
              <w:t>500</w:t>
            </w:r>
            <w:r w:rsidR="00622193">
              <w:rPr>
                <w:rFonts w:eastAsia="Times New Roman"/>
                <w:sz w:val="18"/>
                <w:szCs w:val="18"/>
              </w:rPr>
              <w:t xml:space="preserve"> </w:t>
            </w:r>
            <w:r>
              <w:rPr>
                <w:rFonts w:eastAsia="Times New Roman"/>
                <w:sz w:val="18"/>
                <w:szCs w:val="18"/>
              </w:rPr>
              <w:t>-</w:t>
            </w:r>
            <w:r w:rsidR="00622193">
              <w:rPr>
                <w:rFonts w:eastAsia="Times New Roman"/>
                <w:sz w:val="18"/>
                <w:szCs w:val="18"/>
              </w:rPr>
              <w:t xml:space="preserve"> </w:t>
            </w:r>
            <w:r>
              <w:rPr>
                <w:rFonts w:eastAsia="Times New Roman"/>
                <w:sz w:val="18"/>
                <w:szCs w:val="18"/>
              </w:rPr>
              <w:t>9,999</w:t>
            </w:r>
          </w:p>
        </w:tc>
        <w:tc>
          <w:tcPr>
            <w:tcW w:w="2220" w:type="dxa"/>
            <w:tcBorders>
              <w:top w:val="single" w:sz="8" w:space="0" w:color="auto"/>
              <w:bottom w:val="single" w:sz="8" w:space="0" w:color="auto"/>
              <w:right w:val="single" w:sz="8" w:space="0" w:color="auto"/>
            </w:tcBorders>
            <w:vAlign w:val="center"/>
          </w:tcPr>
          <w:p w14:paraId="2819FA43" w14:textId="77777777" w:rsidR="002B7DCF" w:rsidRDefault="002B7DCF" w:rsidP="007F2263">
            <w:pPr>
              <w:jc w:val="center"/>
              <w:rPr>
                <w:sz w:val="20"/>
                <w:szCs w:val="20"/>
              </w:rPr>
            </w:pPr>
            <w:r>
              <w:rPr>
                <w:rFonts w:eastAsia="Times New Roman"/>
                <w:sz w:val="18"/>
                <w:szCs w:val="18"/>
              </w:rPr>
              <w:t>3</w:t>
            </w:r>
          </w:p>
        </w:tc>
        <w:tc>
          <w:tcPr>
            <w:tcW w:w="1100" w:type="dxa"/>
            <w:tcBorders>
              <w:top w:val="single" w:sz="8" w:space="0" w:color="auto"/>
              <w:bottom w:val="single" w:sz="8" w:space="0" w:color="auto"/>
              <w:right w:val="single" w:sz="8" w:space="0" w:color="auto"/>
            </w:tcBorders>
            <w:vAlign w:val="center"/>
          </w:tcPr>
          <w:p w14:paraId="2819FA44" w14:textId="77777777" w:rsidR="002B7DCF" w:rsidRDefault="002B7DCF" w:rsidP="007F2263">
            <w:pPr>
              <w:jc w:val="center"/>
              <w:rPr>
                <w:sz w:val="20"/>
                <w:szCs w:val="20"/>
              </w:rPr>
            </w:pPr>
            <w:r>
              <w:rPr>
                <w:rFonts w:eastAsia="Times New Roman"/>
                <w:sz w:val="18"/>
                <w:szCs w:val="18"/>
              </w:rPr>
              <w:t>9</w:t>
            </w:r>
          </w:p>
        </w:tc>
        <w:tc>
          <w:tcPr>
            <w:tcW w:w="1120" w:type="dxa"/>
            <w:tcBorders>
              <w:top w:val="single" w:sz="8" w:space="0" w:color="auto"/>
              <w:bottom w:val="single" w:sz="8" w:space="0" w:color="auto"/>
              <w:right w:val="single" w:sz="8" w:space="0" w:color="auto"/>
            </w:tcBorders>
            <w:vAlign w:val="center"/>
          </w:tcPr>
          <w:p w14:paraId="2819FA45" w14:textId="77777777" w:rsidR="002B7DCF" w:rsidRDefault="002B7DCF" w:rsidP="007F2263">
            <w:pPr>
              <w:jc w:val="center"/>
              <w:rPr>
                <w:sz w:val="20"/>
                <w:szCs w:val="20"/>
              </w:rPr>
            </w:pPr>
            <w:r>
              <w:rPr>
                <w:rFonts w:eastAsia="Times New Roman"/>
                <w:sz w:val="18"/>
                <w:szCs w:val="18"/>
              </w:rPr>
              <w:t>9</w:t>
            </w:r>
          </w:p>
        </w:tc>
      </w:tr>
      <w:tr w:rsidR="00497B9E" w14:paraId="2819FA4F" w14:textId="77777777" w:rsidTr="00497B9E">
        <w:trPr>
          <w:trHeight w:val="261"/>
        </w:trPr>
        <w:tc>
          <w:tcPr>
            <w:tcW w:w="2240" w:type="dxa"/>
            <w:vMerge/>
            <w:tcBorders>
              <w:left w:val="single" w:sz="8" w:space="0" w:color="auto"/>
              <w:bottom w:val="single" w:sz="8" w:space="0" w:color="auto"/>
              <w:right w:val="single" w:sz="8" w:space="0" w:color="auto"/>
            </w:tcBorders>
            <w:vAlign w:val="bottom"/>
          </w:tcPr>
          <w:p w14:paraId="2819FA48" w14:textId="77777777" w:rsidR="00497B9E" w:rsidRDefault="00497B9E"/>
        </w:tc>
        <w:tc>
          <w:tcPr>
            <w:tcW w:w="2200" w:type="dxa"/>
            <w:tcBorders>
              <w:bottom w:val="single" w:sz="8" w:space="0" w:color="auto"/>
              <w:right w:val="single" w:sz="8" w:space="0" w:color="auto"/>
            </w:tcBorders>
            <w:vAlign w:val="center"/>
          </w:tcPr>
          <w:p w14:paraId="2819FA4A" w14:textId="56425EFD" w:rsidR="00497B9E" w:rsidRDefault="00497B9E" w:rsidP="00497B9E">
            <w:pPr>
              <w:jc w:val="center"/>
              <w:rPr>
                <w:sz w:val="20"/>
                <w:szCs w:val="20"/>
              </w:rPr>
            </w:pPr>
            <w:r>
              <w:rPr>
                <w:rFonts w:eastAsia="Times New Roman"/>
                <w:sz w:val="18"/>
                <w:szCs w:val="18"/>
              </w:rPr>
              <w:t>10,000 - 99,999</w:t>
            </w:r>
          </w:p>
        </w:tc>
        <w:tc>
          <w:tcPr>
            <w:tcW w:w="2220" w:type="dxa"/>
            <w:tcBorders>
              <w:bottom w:val="single" w:sz="8" w:space="0" w:color="auto"/>
              <w:right w:val="single" w:sz="8" w:space="0" w:color="auto"/>
            </w:tcBorders>
            <w:vAlign w:val="center"/>
          </w:tcPr>
          <w:p w14:paraId="2819FA4B" w14:textId="77777777" w:rsidR="00497B9E" w:rsidRDefault="00497B9E" w:rsidP="007F2263">
            <w:pPr>
              <w:jc w:val="center"/>
              <w:rPr>
                <w:sz w:val="20"/>
                <w:szCs w:val="20"/>
              </w:rPr>
            </w:pPr>
            <w:r>
              <w:rPr>
                <w:rFonts w:eastAsia="Times New Roman"/>
                <w:w w:val="99"/>
                <w:sz w:val="18"/>
                <w:szCs w:val="18"/>
              </w:rPr>
              <w:t>12</w:t>
            </w:r>
          </w:p>
        </w:tc>
        <w:tc>
          <w:tcPr>
            <w:tcW w:w="1100" w:type="dxa"/>
            <w:tcBorders>
              <w:bottom w:val="single" w:sz="8" w:space="0" w:color="auto"/>
              <w:right w:val="single" w:sz="8" w:space="0" w:color="auto"/>
            </w:tcBorders>
            <w:vAlign w:val="center"/>
          </w:tcPr>
          <w:p w14:paraId="2819FA4C" w14:textId="77777777" w:rsidR="00497B9E" w:rsidRDefault="00497B9E" w:rsidP="007F2263">
            <w:pPr>
              <w:jc w:val="center"/>
              <w:rPr>
                <w:sz w:val="20"/>
                <w:szCs w:val="20"/>
              </w:rPr>
            </w:pPr>
            <w:r>
              <w:rPr>
                <w:rFonts w:eastAsia="Times New Roman"/>
                <w:w w:val="99"/>
                <w:sz w:val="18"/>
                <w:szCs w:val="18"/>
              </w:rPr>
              <w:t>48</w:t>
            </w:r>
          </w:p>
        </w:tc>
        <w:tc>
          <w:tcPr>
            <w:tcW w:w="1120" w:type="dxa"/>
            <w:tcBorders>
              <w:bottom w:val="single" w:sz="8" w:space="0" w:color="auto"/>
              <w:right w:val="single" w:sz="8" w:space="0" w:color="auto"/>
            </w:tcBorders>
            <w:vAlign w:val="center"/>
          </w:tcPr>
          <w:p w14:paraId="2819FA4D" w14:textId="77777777" w:rsidR="00497B9E" w:rsidRDefault="00497B9E" w:rsidP="007F2263">
            <w:pPr>
              <w:jc w:val="center"/>
              <w:rPr>
                <w:sz w:val="20"/>
                <w:szCs w:val="20"/>
              </w:rPr>
            </w:pPr>
            <w:r>
              <w:rPr>
                <w:rFonts w:eastAsia="Times New Roman"/>
                <w:w w:val="99"/>
                <w:sz w:val="18"/>
                <w:szCs w:val="18"/>
              </w:rPr>
              <w:t>48</w:t>
            </w:r>
          </w:p>
        </w:tc>
      </w:tr>
      <w:tr w:rsidR="00497B9E" w14:paraId="2819FA57" w14:textId="77777777" w:rsidTr="00497B9E">
        <w:trPr>
          <w:trHeight w:val="261"/>
        </w:trPr>
        <w:tc>
          <w:tcPr>
            <w:tcW w:w="2240" w:type="dxa"/>
            <w:vMerge/>
            <w:tcBorders>
              <w:left w:val="single" w:sz="8" w:space="0" w:color="auto"/>
              <w:bottom w:val="single" w:sz="8" w:space="0" w:color="auto"/>
              <w:right w:val="single" w:sz="8" w:space="0" w:color="auto"/>
            </w:tcBorders>
            <w:vAlign w:val="bottom"/>
          </w:tcPr>
          <w:p w14:paraId="2819FA50" w14:textId="77777777" w:rsidR="00497B9E" w:rsidRDefault="00497B9E"/>
        </w:tc>
        <w:tc>
          <w:tcPr>
            <w:tcW w:w="2200" w:type="dxa"/>
            <w:tcBorders>
              <w:bottom w:val="single" w:sz="8" w:space="0" w:color="auto"/>
              <w:right w:val="single" w:sz="8" w:space="0" w:color="auto"/>
            </w:tcBorders>
            <w:vAlign w:val="center"/>
          </w:tcPr>
          <w:p w14:paraId="2819FA52" w14:textId="67030077" w:rsidR="00497B9E" w:rsidRDefault="00497B9E" w:rsidP="00497B9E">
            <w:pPr>
              <w:jc w:val="center"/>
              <w:rPr>
                <w:sz w:val="20"/>
                <w:szCs w:val="20"/>
              </w:rPr>
            </w:pPr>
            <w:r>
              <w:rPr>
                <w:rFonts w:eastAsia="Times New Roman"/>
                <w:sz w:val="18"/>
                <w:szCs w:val="18"/>
              </w:rPr>
              <w:t>100,000 - 499,999</w:t>
            </w:r>
          </w:p>
        </w:tc>
        <w:tc>
          <w:tcPr>
            <w:tcW w:w="2220" w:type="dxa"/>
            <w:tcBorders>
              <w:bottom w:val="single" w:sz="8" w:space="0" w:color="auto"/>
              <w:right w:val="single" w:sz="8" w:space="0" w:color="auto"/>
            </w:tcBorders>
            <w:vAlign w:val="center"/>
          </w:tcPr>
          <w:p w14:paraId="2819FA53" w14:textId="77777777" w:rsidR="00497B9E" w:rsidRDefault="00497B9E" w:rsidP="007F2263">
            <w:pPr>
              <w:jc w:val="center"/>
              <w:rPr>
                <w:sz w:val="20"/>
                <w:szCs w:val="20"/>
              </w:rPr>
            </w:pPr>
            <w:r>
              <w:rPr>
                <w:rFonts w:eastAsia="Times New Roman"/>
                <w:w w:val="99"/>
                <w:sz w:val="18"/>
                <w:szCs w:val="18"/>
              </w:rPr>
              <w:t>18</w:t>
            </w:r>
          </w:p>
        </w:tc>
        <w:tc>
          <w:tcPr>
            <w:tcW w:w="1100" w:type="dxa"/>
            <w:tcBorders>
              <w:bottom w:val="single" w:sz="8" w:space="0" w:color="auto"/>
              <w:right w:val="single" w:sz="8" w:space="0" w:color="auto"/>
            </w:tcBorders>
            <w:vAlign w:val="center"/>
          </w:tcPr>
          <w:p w14:paraId="2819FA54" w14:textId="77777777" w:rsidR="00497B9E" w:rsidRDefault="00497B9E" w:rsidP="007F2263">
            <w:pPr>
              <w:jc w:val="center"/>
              <w:rPr>
                <w:sz w:val="20"/>
                <w:szCs w:val="20"/>
              </w:rPr>
            </w:pPr>
            <w:r>
              <w:rPr>
                <w:rFonts w:eastAsia="Times New Roman"/>
                <w:w w:val="99"/>
                <w:sz w:val="18"/>
                <w:szCs w:val="18"/>
              </w:rPr>
              <w:t>72</w:t>
            </w:r>
          </w:p>
        </w:tc>
        <w:tc>
          <w:tcPr>
            <w:tcW w:w="1120" w:type="dxa"/>
            <w:tcBorders>
              <w:bottom w:val="single" w:sz="8" w:space="0" w:color="auto"/>
              <w:right w:val="single" w:sz="8" w:space="0" w:color="auto"/>
            </w:tcBorders>
            <w:vAlign w:val="center"/>
          </w:tcPr>
          <w:p w14:paraId="2819FA55" w14:textId="77777777" w:rsidR="00497B9E" w:rsidRDefault="00497B9E" w:rsidP="007F2263">
            <w:pPr>
              <w:jc w:val="center"/>
              <w:rPr>
                <w:sz w:val="20"/>
                <w:szCs w:val="20"/>
              </w:rPr>
            </w:pPr>
            <w:r>
              <w:rPr>
                <w:rFonts w:eastAsia="Times New Roman"/>
                <w:w w:val="99"/>
                <w:sz w:val="18"/>
                <w:szCs w:val="18"/>
              </w:rPr>
              <w:t>72</w:t>
            </w:r>
          </w:p>
        </w:tc>
      </w:tr>
      <w:tr w:rsidR="00497B9E" w14:paraId="2819FA5E" w14:textId="77777777" w:rsidTr="00497B9E">
        <w:trPr>
          <w:trHeight w:val="252"/>
        </w:trPr>
        <w:tc>
          <w:tcPr>
            <w:tcW w:w="2240" w:type="dxa"/>
            <w:vMerge/>
            <w:tcBorders>
              <w:left w:val="single" w:sz="8" w:space="0" w:color="auto"/>
              <w:bottom w:val="single" w:sz="8" w:space="0" w:color="auto"/>
              <w:right w:val="single" w:sz="8" w:space="0" w:color="auto"/>
            </w:tcBorders>
            <w:vAlign w:val="bottom"/>
          </w:tcPr>
          <w:p w14:paraId="2819FA58" w14:textId="77777777" w:rsidR="00497B9E" w:rsidRDefault="00497B9E">
            <w:pPr>
              <w:rPr>
                <w:sz w:val="20"/>
                <w:szCs w:val="20"/>
              </w:rPr>
            </w:pPr>
          </w:p>
        </w:tc>
        <w:tc>
          <w:tcPr>
            <w:tcW w:w="2200" w:type="dxa"/>
            <w:tcBorders>
              <w:top w:val="single" w:sz="8" w:space="0" w:color="auto"/>
              <w:bottom w:val="single" w:sz="8" w:space="0" w:color="auto"/>
              <w:right w:val="single" w:sz="8" w:space="0" w:color="auto"/>
            </w:tcBorders>
            <w:vAlign w:val="center"/>
          </w:tcPr>
          <w:p w14:paraId="2819FA59" w14:textId="77777777" w:rsidR="00497B9E" w:rsidRDefault="00497B9E" w:rsidP="007F2263">
            <w:pPr>
              <w:jc w:val="center"/>
              <w:rPr>
                <w:sz w:val="20"/>
                <w:szCs w:val="20"/>
              </w:rPr>
            </w:pPr>
            <w:r>
              <w:rPr>
                <w:rFonts w:eastAsia="Times New Roman"/>
                <w:sz w:val="18"/>
                <w:szCs w:val="18"/>
              </w:rPr>
              <w:t>&gt;500,000</w:t>
            </w:r>
          </w:p>
        </w:tc>
        <w:tc>
          <w:tcPr>
            <w:tcW w:w="2220" w:type="dxa"/>
            <w:tcBorders>
              <w:top w:val="single" w:sz="8" w:space="0" w:color="auto"/>
              <w:bottom w:val="single" w:sz="8" w:space="0" w:color="auto"/>
              <w:right w:val="single" w:sz="8" w:space="0" w:color="auto"/>
            </w:tcBorders>
            <w:vAlign w:val="center"/>
          </w:tcPr>
          <w:p w14:paraId="2819FA5A" w14:textId="77777777" w:rsidR="00497B9E" w:rsidRDefault="00497B9E" w:rsidP="007F2263">
            <w:pPr>
              <w:jc w:val="center"/>
              <w:rPr>
                <w:sz w:val="20"/>
                <w:szCs w:val="20"/>
              </w:rPr>
            </w:pPr>
            <w:r>
              <w:rPr>
                <w:rFonts w:eastAsia="Times New Roman"/>
                <w:w w:val="99"/>
                <w:sz w:val="18"/>
                <w:szCs w:val="18"/>
              </w:rPr>
              <w:t>24</w:t>
            </w:r>
          </w:p>
        </w:tc>
        <w:tc>
          <w:tcPr>
            <w:tcW w:w="1100" w:type="dxa"/>
            <w:tcBorders>
              <w:top w:val="single" w:sz="8" w:space="0" w:color="auto"/>
              <w:bottom w:val="single" w:sz="8" w:space="0" w:color="auto"/>
              <w:right w:val="single" w:sz="8" w:space="0" w:color="auto"/>
            </w:tcBorders>
            <w:vAlign w:val="center"/>
          </w:tcPr>
          <w:p w14:paraId="2819FA5B" w14:textId="77777777" w:rsidR="00497B9E" w:rsidRDefault="00497B9E" w:rsidP="007F2263">
            <w:pPr>
              <w:jc w:val="center"/>
              <w:rPr>
                <w:sz w:val="20"/>
                <w:szCs w:val="20"/>
              </w:rPr>
            </w:pPr>
            <w:r>
              <w:rPr>
                <w:rFonts w:eastAsia="Times New Roman"/>
                <w:w w:val="99"/>
                <w:sz w:val="18"/>
                <w:szCs w:val="18"/>
              </w:rPr>
              <w:t>96</w:t>
            </w:r>
          </w:p>
        </w:tc>
        <w:tc>
          <w:tcPr>
            <w:tcW w:w="1120" w:type="dxa"/>
            <w:tcBorders>
              <w:top w:val="single" w:sz="8" w:space="0" w:color="auto"/>
              <w:bottom w:val="single" w:sz="8" w:space="0" w:color="auto"/>
              <w:right w:val="single" w:sz="8" w:space="0" w:color="auto"/>
            </w:tcBorders>
            <w:vAlign w:val="center"/>
          </w:tcPr>
          <w:p w14:paraId="2819FA5C" w14:textId="77777777" w:rsidR="00497B9E" w:rsidRDefault="00497B9E" w:rsidP="007F2263">
            <w:pPr>
              <w:jc w:val="center"/>
              <w:rPr>
                <w:sz w:val="20"/>
                <w:szCs w:val="20"/>
              </w:rPr>
            </w:pPr>
            <w:r>
              <w:rPr>
                <w:rFonts w:eastAsia="Times New Roman"/>
                <w:w w:val="99"/>
                <w:sz w:val="18"/>
                <w:szCs w:val="18"/>
              </w:rPr>
              <w:t>96</w:t>
            </w:r>
          </w:p>
        </w:tc>
      </w:tr>
    </w:tbl>
    <w:p w14:paraId="2819FA6B" w14:textId="77777777" w:rsidR="004647B9" w:rsidRPr="00F73D7B" w:rsidRDefault="004647B9" w:rsidP="00080D37">
      <w:pPr>
        <w:rPr>
          <w:sz w:val="24"/>
          <w:szCs w:val="24"/>
        </w:rPr>
      </w:pPr>
    </w:p>
    <w:p w14:paraId="2819FA6C" w14:textId="77777777" w:rsidR="004647B9" w:rsidRPr="00F73D7B" w:rsidRDefault="00E2436F" w:rsidP="00080D37">
      <w:pPr>
        <w:numPr>
          <w:ilvl w:val="1"/>
          <w:numId w:val="353"/>
        </w:numPr>
        <w:tabs>
          <w:tab w:val="left" w:pos="2642"/>
        </w:tabs>
        <w:ind w:left="2280" w:hanging="5"/>
        <w:rPr>
          <w:rFonts w:eastAsia="Times New Roman"/>
          <w:sz w:val="24"/>
          <w:szCs w:val="24"/>
        </w:rPr>
      </w:pPr>
      <w:r w:rsidRPr="00F73D7B">
        <w:rPr>
          <w:rFonts w:eastAsia="Times New Roman"/>
          <w:sz w:val="24"/>
          <w:szCs w:val="24"/>
          <w:u w:val="single"/>
        </w:rPr>
        <w:t>Reporting Monitoring Results</w:t>
      </w:r>
      <w:r w:rsidRPr="00F73D7B">
        <w:rPr>
          <w:rFonts w:eastAsia="Times New Roman"/>
          <w:sz w:val="24"/>
          <w:szCs w:val="24"/>
        </w:rPr>
        <w:t>. The Supplier of Water must report the following information:</w:t>
      </w:r>
    </w:p>
    <w:p w14:paraId="2819FA6E" w14:textId="77777777" w:rsidR="004647B9" w:rsidRPr="00F73D7B" w:rsidRDefault="00E2436F" w:rsidP="00080D37">
      <w:pPr>
        <w:numPr>
          <w:ilvl w:val="2"/>
          <w:numId w:val="353"/>
        </w:numPr>
        <w:tabs>
          <w:tab w:val="left" w:pos="2889"/>
        </w:tabs>
        <w:ind w:left="2640" w:hanging="5"/>
        <w:jc w:val="both"/>
        <w:rPr>
          <w:rFonts w:eastAsia="Times New Roman"/>
          <w:sz w:val="24"/>
          <w:szCs w:val="24"/>
        </w:rPr>
      </w:pPr>
      <w:r w:rsidRPr="00F73D7B">
        <w:rPr>
          <w:rFonts w:eastAsia="Times New Roman"/>
          <w:sz w:val="24"/>
          <w:szCs w:val="24"/>
        </w:rPr>
        <w:t>The Supplier of Water must report previously collected monitoring results and certify that the reported monitoring results include all compliance and non-compliance results generated during the time period beginning with the first reported result and ending with the most recent results required under 310 CMR 22.07E.</w:t>
      </w:r>
    </w:p>
    <w:p w14:paraId="2819FA70" w14:textId="77777777" w:rsidR="004647B9" w:rsidRPr="00F73D7B" w:rsidRDefault="00E2436F" w:rsidP="00080D37">
      <w:pPr>
        <w:numPr>
          <w:ilvl w:val="2"/>
          <w:numId w:val="353"/>
        </w:numPr>
        <w:tabs>
          <w:tab w:val="left" w:pos="3021"/>
        </w:tabs>
        <w:ind w:left="2640" w:hanging="5"/>
        <w:jc w:val="both"/>
        <w:rPr>
          <w:rFonts w:eastAsia="Times New Roman"/>
          <w:sz w:val="24"/>
          <w:szCs w:val="24"/>
        </w:rPr>
      </w:pPr>
      <w:r w:rsidRPr="00F73D7B">
        <w:rPr>
          <w:rFonts w:eastAsia="Times New Roman"/>
          <w:sz w:val="24"/>
          <w:szCs w:val="24"/>
        </w:rPr>
        <w:t>The Supplier of Water must certify that the samples were representative of the entire Distribution System and that treatment, and Distribution System have not changed significantly since the samples were collected.</w:t>
      </w:r>
    </w:p>
    <w:p w14:paraId="2819FA71" w14:textId="77777777" w:rsidR="004647B9" w:rsidRPr="00F73D7B" w:rsidRDefault="00E2436F" w:rsidP="00080D37">
      <w:pPr>
        <w:numPr>
          <w:ilvl w:val="2"/>
          <w:numId w:val="353"/>
        </w:numPr>
        <w:tabs>
          <w:tab w:val="left" w:pos="3066"/>
        </w:tabs>
        <w:ind w:left="2640" w:hanging="5"/>
        <w:jc w:val="both"/>
        <w:rPr>
          <w:rFonts w:eastAsia="Times New Roman"/>
          <w:sz w:val="24"/>
          <w:szCs w:val="24"/>
        </w:rPr>
      </w:pPr>
      <w:r w:rsidRPr="00F73D7B">
        <w:rPr>
          <w:rFonts w:eastAsia="Times New Roman"/>
          <w:sz w:val="24"/>
          <w:szCs w:val="24"/>
        </w:rPr>
        <w:t>The Supplier of Water's study monitoring plan must include a schematic of their Distribution System (including Distribution System entry points and their sources, and storage facilities), with notes indicating the locations and dates of all completed or planned system specific study monitoring.</w:t>
      </w:r>
    </w:p>
    <w:p w14:paraId="2819FA73" w14:textId="77777777" w:rsidR="004647B9" w:rsidRPr="00F73D7B" w:rsidRDefault="00E2436F" w:rsidP="00080D37">
      <w:pPr>
        <w:numPr>
          <w:ilvl w:val="2"/>
          <w:numId w:val="353"/>
        </w:numPr>
        <w:tabs>
          <w:tab w:val="left" w:pos="3218"/>
        </w:tabs>
        <w:ind w:left="2640" w:hanging="5"/>
        <w:jc w:val="both"/>
        <w:rPr>
          <w:rFonts w:eastAsia="Times New Roman"/>
          <w:sz w:val="24"/>
          <w:szCs w:val="24"/>
        </w:rPr>
      </w:pPr>
      <w:r w:rsidRPr="00F73D7B">
        <w:rPr>
          <w:rFonts w:eastAsia="Times New Roman"/>
          <w:sz w:val="24"/>
          <w:szCs w:val="24"/>
        </w:rPr>
        <w:t>The Supplier of Water's system specific study plan must specify the population served and system type (Surface Water or Groundwater under the Direct Influence of Surface Water or Groundwater)</w:t>
      </w:r>
    </w:p>
    <w:p w14:paraId="2819FA75" w14:textId="77777777" w:rsidR="004647B9" w:rsidRPr="00F73D7B" w:rsidRDefault="00E2436F" w:rsidP="00080D37">
      <w:pPr>
        <w:numPr>
          <w:ilvl w:val="2"/>
          <w:numId w:val="353"/>
        </w:numPr>
        <w:tabs>
          <w:tab w:val="left" w:pos="3002"/>
        </w:tabs>
        <w:ind w:left="2640" w:hanging="5"/>
        <w:jc w:val="both"/>
        <w:rPr>
          <w:rFonts w:eastAsia="Times New Roman"/>
          <w:sz w:val="24"/>
          <w:szCs w:val="24"/>
        </w:rPr>
      </w:pPr>
      <w:r w:rsidRPr="00F73D7B">
        <w:rPr>
          <w:rFonts w:eastAsia="Times New Roman"/>
          <w:sz w:val="24"/>
          <w:szCs w:val="24"/>
        </w:rPr>
        <w:t>The Supplier of Water must retain a complete copy of their system specific study plan submitted under 310 CMR 22.07F(3)(a)1., including any Department modification of their system specific study plan, for as long as they are required to retain their IDSE report under 310 CMR 22.07F(3)(b)7.</w:t>
      </w:r>
    </w:p>
    <w:p w14:paraId="2819FA77" w14:textId="77777777" w:rsidR="004647B9" w:rsidRPr="00F73D7B" w:rsidRDefault="00E2436F" w:rsidP="00080D37">
      <w:pPr>
        <w:numPr>
          <w:ilvl w:val="2"/>
          <w:numId w:val="353"/>
        </w:numPr>
        <w:tabs>
          <w:tab w:val="left" w:pos="3074"/>
        </w:tabs>
        <w:ind w:left="2640" w:hanging="5"/>
        <w:jc w:val="both"/>
        <w:rPr>
          <w:rFonts w:eastAsia="Times New Roman"/>
          <w:sz w:val="24"/>
          <w:szCs w:val="24"/>
        </w:rPr>
      </w:pPr>
      <w:r w:rsidRPr="00F73D7B">
        <w:rPr>
          <w:rFonts w:eastAsia="Times New Roman"/>
          <w:sz w:val="24"/>
          <w:szCs w:val="24"/>
        </w:rPr>
        <w:t>If the Supplier of Water submits previously collected data that fully meets the number of samples required under 310CMR 22.07F(3)(a)1.a.ii. and the Department rejects some of the data, the Supplier of Water must either conduct additional monitoring to replace rejected data on a schedule the Department approves or conduct standard monitoring under 310 CMR 22.07F(2).</w:t>
      </w:r>
    </w:p>
    <w:p w14:paraId="2819FA78" w14:textId="77777777" w:rsidR="004647B9" w:rsidRPr="00F73D7B" w:rsidRDefault="00E2436F" w:rsidP="00080D37">
      <w:pPr>
        <w:numPr>
          <w:ilvl w:val="0"/>
          <w:numId w:val="354"/>
        </w:numPr>
        <w:tabs>
          <w:tab w:val="left" w:pos="2345"/>
        </w:tabs>
        <w:ind w:left="1920" w:hanging="5"/>
        <w:jc w:val="both"/>
        <w:rPr>
          <w:rFonts w:eastAsia="Times New Roman"/>
          <w:sz w:val="24"/>
          <w:szCs w:val="24"/>
        </w:rPr>
      </w:pPr>
      <w:r w:rsidRPr="00F73D7B">
        <w:rPr>
          <w:rFonts w:eastAsia="Times New Roman"/>
          <w:sz w:val="24"/>
          <w:szCs w:val="24"/>
          <w:u w:val="single"/>
        </w:rPr>
        <w:t>Modeling</w:t>
      </w:r>
      <w:r w:rsidRPr="00F73D7B">
        <w:rPr>
          <w:rFonts w:eastAsia="Times New Roman"/>
          <w:sz w:val="24"/>
          <w:szCs w:val="24"/>
        </w:rPr>
        <w:t>. The Supplier of Water may comply through analysis of an extended period simulation hydraulic model. The extended period simulation hydraulic model and analysis must meet the criteria in 310 CMR 22.07F(3)(a)2.</w:t>
      </w:r>
    </w:p>
    <w:p w14:paraId="2819FA7A" w14:textId="77777777" w:rsidR="004647B9" w:rsidRPr="00F73D7B" w:rsidRDefault="00E2436F" w:rsidP="00080D37">
      <w:pPr>
        <w:numPr>
          <w:ilvl w:val="1"/>
          <w:numId w:val="354"/>
        </w:numPr>
        <w:tabs>
          <w:tab w:val="left" w:pos="2620"/>
        </w:tabs>
        <w:ind w:left="2620" w:hanging="345"/>
        <w:rPr>
          <w:rFonts w:eastAsia="Times New Roman"/>
          <w:sz w:val="24"/>
          <w:szCs w:val="24"/>
        </w:rPr>
      </w:pPr>
      <w:r w:rsidRPr="00F73D7B">
        <w:rPr>
          <w:rFonts w:eastAsia="Times New Roman"/>
          <w:sz w:val="24"/>
          <w:szCs w:val="24"/>
          <w:u w:val="single"/>
        </w:rPr>
        <w:t>Minimum Requirements</w:t>
      </w:r>
      <w:r w:rsidRPr="00F73D7B">
        <w:rPr>
          <w:rFonts w:eastAsia="Times New Roman"/>
          <w:sz w:val="24"/>
          <w:szCs w:val="24"/>
        </w:rPr>
        <w:t>.</w:t>
      </w:r>
    </w:p>
    <w:p w14:paraId="2819FA7B" w14:textId="77777777" w:rsidR="004647B9" w:rsidRDefault="00E2436F" w:rsidP="00080D37">
      <w:pPr>
        <w:numPr>
          <w:ilvl w:val="2"/>
          <w:numId w:val="354"/>
        </w:numPr>
        <w:tabs>
          <w:tab w:val="left" w:pos="3148"/>
        </w:tabs>
        <w:ind w:left="2640" w:hanging="5"/>
        <w:rPr>
          <w:rFonts w:eastAsia="Times New Roman"/>
          <w:sz w:val="24"/>
          <w:szCs w:val="24"/>
        </w:rPr>
      </w:pPr>
      <w:r w:rsidRPr="00F73D7B">
        <w:rPr>
          <w:rFonts w:eastAsia="Times New Roman"/>
          <w:sz w:val="24"/>
          <w:szCs w:val="24"/>
        </w:rPr>
        <w:t>The model must simulate 24-hour variation in demand and show a</w:t>
      </w:r>
      <w:r>
        <w:rPr>
          <w:rFonts w:eastAsia="Times New Roman"/>
          <w:sz w:val="24"/>
          <w:szCs w:val="24"/>
        </w:rPr>
        <w:t xml:space="preserve"> consistently repeating 24 hour pattern of residence time.</w:t>
      </w:r>
    </w:p>
    <w:p w14:paraId="2819FA7D" w14:textId="77777777" w:rsidR="004647B9" w:rsidRDefault="00E2436F" w:rsidP="00080D37">
      <w:pPr>
        <w:numPr>
          <w:ilvl w:val="2"/>
          <w:numId w:val="354"/>
        </w:numPr>
        <w:tabs>
          <w:tab w:val="left" w:pos="3154"/>
        </w:tabs>
        <w:ind w:left="2640" w:hanging="5"/>
        <w:rPr>
          <w:rFonts w:eastAsia="Times New Roman"/>
          <w:sz w:val="24"/>
          <w:szCs w:val="24"/>
        </w:rPr>
      </w:pPr>
      <w:r>
        <w:rPr>
          <w:rFonts w:eastAsia="Times New Roman"/>
          <w:sz w:val="24"/>
          <w:szCs w:val="24"/>
        </w:rPr>
        <w:t>The model must represent the criteria listed in 310 CMR 22.07F(3)(a)2.a.ii.(A) through (I).</w:t>
      </w:r>
    </w:p>
    <w:p w14:paraId="2819FA7F" w14:textId="77777777" w:rsidR="004647B9" w:rsidRDefault="00E2436F" w:rsidP="00080D37">
      <w:pPr>
        <w:numPr>
          <w:ilvl w:val="3"/>
          <w:numId w:val="354"/>
        </w:numPr>
        <w:tabs>
          <w:tab w:val="left" w:pos="3500"/>
        </w:tabs>
        <w:ind w:left="3500" w:hanging="505"/>
        <w:rPr>
          <w:rFonts w:eastAsia="Times New Roman"/>
          <w:sz w:val="24"/>
          <w:szCs w:val="24"/>
        </w:rPr>
      </w:pPr>
      <w:r>
        <w:rPr>
          <w:rFonts w:eastAsia="Times New Roman"/>
          <w:sz w:val="24"/>
          <w:szCs w:val="24"/>
        </w:rPr>
        <w:t>75% of pipe volume;</w:t>
      </w:r>
    </w:p>
    <w:p w14:paraId="2819FA80" w14:textId="77777777" w:rsidR="004647B9" w:rsidRDefault="00E2436F" w:rsidP="00080D37">
      <w:pPr>
        <w:numPr>
          <w:ilvl w:val="3"/>
          <w:numId w:val="354"/>
        </w:numPr>
        <w:tabs>
          <w:tab w:val="left" w:pos="3500"/>
        </w:tabs>
        <w:ind w:left="3500" w:hanging="505"/>
        <w:rPr>
          <w:rFonts w:eastAsia="Times New Roman"/>
          <w:sz w:val="24"/>
          <w:szCs w:val="24"/>
        </w:rPr>
      </w:pPr>
      <w:r>
        <w:rPr>
          <w:rFonts w:eastAsia="Times New Roman"/>
          <w:sz w:val="24"/>
          <w:szCs w:val="24"/>
        </w:rPr>
        <w:t>50% of pipe length;</w:t>
      </w:r>
    </w:p>
    <w:p w14:paraId="2819FA81" w14:textId="77777777" w:rsidR="004647B9" w:rsidRDefault="00E2436F" w:rsidP="00080D37">
      <w:pPr>
        <w:numPr>
          <w:ilvl w:val="3"/>
          <w:numId w:val="354"/>
        </w:numPr>
        <w:tabs>
          <w:tab w:val="left" w:pos="3500"/>
        </w:tabs>
        <w:ind w:left="3500" w:hanging="505"/>
        <w:rPr>
          <w:rFonts w:eastAsia="Times New Roman"/>
          <w:sz w:val="24"/>
          <w:szCs w:val="24"/>
        </w:rPr>
      </w:pPr>
      <w:r>
        <w:rPr>
          <w:rFonts w:eastAsia="Times New Roman"/>
          <w:sz w:val="24"/>
          <w:szCs w:val="24"/>
        </w:rPr>
        <w:t>All pressure zones;</w:t>
      </w:r>
    </w:p>
    <w:p w14:paraId="2819FA82" w14:textId="77777777" w:rsidR="004647B9" w:rsidRDefault="004647B9">
      <w:pPr>
        <w:sectPr w:rsidR="004647B9" w:rsidSect="00EF630C">
          <w:pgSz w:w="12240" w:h="20180"/>
          <w:pgMar w:top="708" w:right="1440" w:bottom="1440" w:left="600" w:header="0" w:footer="0" w:gutter="0"/>
          <w:cols w:space="720"/>
        </w:sectPr>
      </w:pPr>
    </w:p>
    <w:p w14:paraId="2819FA83" w14:textId="77777777" w:rsidR="004647B9" w:rsidRDefault="00E2436F">
      <w:pPr>
        <w:tabs>
          <w:tab w:val="left" w:pos="160"/>
        </w:tabs>
        <w:jc w:val="center"/>
        <w:rPr>
          <w:sz w:val="20"/>
          <w:szCs w:val="20"/>
        </w:rPr>
      </w:pPr>
      <w:bookmarkStart w:id="136" w:name="page138"/>
      <w:bookmarkEnd w:id="13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A84" w14:textId="77777777" w:rsidR="004647B9" w:rsidRDefault="004647B9" w:rsidP="00080D37">
      <w:pPr>
        <w:rPr>
          <w:sz w:val="20"/>
          <w:szCs w:val="20"/>
        </w:rPr>
      </w:pPr>
    </w:p>
    <w:p w14:paraId="2819FA85" w14:textId="77777777" w:rsidR="004647B9" w:rsidRDefault="004647B9" w:rsidP="00080D37">
      <w:pPr>
        <w:rPr>
          <w:sz w:val="20"/>
          <w:szCs w:val="20"/>
        </w:rPr>
      </w:pPr>
    </w:p>
    <w:p w14:paraId="2819FA86"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A87" w14:textId="77777777" w:rsidR="004647B9" w:rsidRDefault="004647B9" w:rsidP="00080D37">
      <w:pPr>
        <w:rPr>
          <w:sz w:val="20"/>
          <w:szCs w:val="20"/>
        </w:rPr>
      </w:pPr>
    </w:p>
    <w:p w14:paraId="2819FA88" w14:textId="77777777" w:rsidR="004647B9" w:rsidRPr="00F73D7B" w:rsidRDefault="00E2436F" w:rsidP="00080D37">
      <w:pPr>
        <w:numPr>
          <w:ilvl w:val="2"/>
          <w:numId w:val="355"/>
        </w:numPr>
        <w:tabs>
          <w:tab w:val="left" w:pos="3500"/>
        </w:tabs>
        <w:ind w:left="3500" w:hanging="505"/>
        <w:rPr>
          <w:rFonts w:eastAsia="Times New Roman"/>
          <w:sz w:val="24"/>
          <w:szCs w:val="24"/>
        </w:rPr>
      </w:pPr>
      <w:r w:rsidRPr="00F73D7B">
        <w:rPr>
          <w:rFonts w:eastAsia="Times New Roman"/>
          <w:sz w:val="24"/>
          <w:szCs w:val="24"/>
        </w:rPr>
        <w:t>All 12-inch diameter and larger pipes;</w:t>
      </w:r>
    </w:p>
    <w:p w14:paraId="2819FA8A" w14:textId="77777777" w:rsidR="004647B9" w:rsidRPr="00F73D7B" w:rsidRDefault="00E2436F" w:rsidP="00080D37">
      <w:pPr>
        <w:numPr>
          <w:ilvl w:val="2"/>
          <w:numId w:val="355"/>
        </w:numPr>
        <w:tabs>
          <w:tab w:val="left" w:pos="3508"/>
        </w:tabs>
        <w:ind w:left="3000" w:hanging="5"/>
        <w:jc w:val="both"/>
        <w:rPr>
          <w:rFonts w:eastAsia="Times New Roman"/>
          <w:sz w:val="24"/>
          <w:szCs w:val="24"/>
        </w:rPr>
      </w:pPr>
      <w:r w:rsidRPr="00F73D7B">
        <w:rPr>
          <w:rFonts w:eastAsia="Times New Roman"/>
          <w:sz w:val="24"/>
          <w:szCs w:val="24"/>
        </w:rPr>
        <w:t>All eight-inch and larger pipes that connect pressure zones, influence zones from different sources, storage facilities, major demand areas, pumps, and control valves, or are known or expected to be significant conveyors of water;</w:t>
      </w:r>
    </w:p>
    <w:p w14:paraId="2819FA8C" w14:textId="77777777" w:rsidR="004647B9" w:rsidRPr="00F73D7B" w:rsidRDefault="00E2436F" w:rsidP="00080D37">
      <w:pPr>
        <w:numPr>
          <w:ilvl w:val="2"/>
          <w:numId w:val="355"/>
        </w:numPr>
        <w:tabs>
          <w:tab w:val="left" w:pos="3442"/>
        </w:tabs>
        <w:ind w:left="3000" w:hanging="5"/>
        <w:rPr>
          <w:rFonts w:eastAsia="Times New Roman"/>
          <w:sz w:val="24"/>
          <w:szCs w:val="24"/>
        </w:rPr>
      </w:pPr>
      <w:r w:rsidRPr="00F73D7B">
        <w:rPr>
          <w:rFonts w:eastAsia="Times New Roman"/>
          <w:sz w:val="24"/>
          <w:szCs w:val="24"/>
        </w:rPr>
        <w:t>All six-inch and larger pipes that connect remote areas of a Distribution System to the main portion of the system;</w:t>
      </w:r>
    </w:p>
    <w:p w14:paraId="2819FA90" w14:textId="5A6A61E4" w:rsidR="004647B9" w:rsidRPr="00E96E93" w:rsidRDefault="00E2436F" w:rsidP="00080D37">
      <w:pPr>
        <w:numPr>
          <w:ilvl w:val="2"/>
          <w:numId w:val="355"/>
        </w:numPr>
        <w:tabs>
          <w:tab w:val="left" w:pos="3460"/>
        </w:tabs>
        <w:ind w:left="3000"/>
        <w:rPr>
          <w:rFonts w:eastAsia="Times New Roman"/>
          <w:sz w:val="24"/>
          <w:szCs w:val="24"/>
        </w:rPr>
      </w:pPr>
      <w:r w:rsidRPr="00F73D7B">
        <w:rPr>
          <w:rFonts w:eastAsia="Times New Roman"/>
          <w:sz w:val="24"/>
          <w:szCs w:val="24"/>
        </w:rPr>
        <w:t>All storage facilities with standard operations represented in the model;</w:t>
      </w:r>
      <w:r w:rsidR="00E96E93">
        <w:rPr>
          <w:rFonts w:eastAsia="Times New Roman"/>
          <w:sz w:val="24"/>
          <w:szCs w:val="24"/>
        </w:rPr>
        <w:t xml:space="preserve"> </w:t>
      </w:r>
      <w:r w:rsidRPr="00E96E93">
        <w:rPr>
          <w:rFonts w:eastAsia="Times New Roman"/>
          <w:sz w:val="24"/>
          <w:szCs w:val="24"/>
        </w:rPr>
        <w:t>and</w:t>
      </w:r>
    </w:p>
    <w:p w14:paraId="2819FA91" w14:textId="77777777" w:rsidR="004647B9" w:rsidRPr="00F73D7B" w:rsidRDefault="00E2436F" w:rsidP="00080D37">
      <w:pPr>
        <w:numPr>
          <w:ilvl w:val="2"/>
          <w:numId w:val="355"/>
        </w:numPr>
        <w:tabs>
          <w:tab w:val="left" w:pos="3500"/>
        </w:tabs>
        <w:ind w:left="3500" w:hanging="505"/>
        <w:rPr>
          <w:rFonts w:eastAsia="Times New Roman"/>
          <w:sz w:val="24"/>
          <w:szCs w:val="24"/>
        </w:rPr>
      </w:pPr>
      <w:r w:rsidRPr="00F73D7B">
        <w:rPr>
          <w:rFonts w:eastAsia="Times New Roman"/>
          <w:sz w:val="24"/>
          <w:szCs w:val="24"/>
        </w:rPr>
        <w:t>All active pump stations with controls represented in the model; and</w:t>
      </w:r>
    </w:p>
    <w:p w14:paraId="2819FA92" w14:textId="77777777" w:rsidR="004647B9" w:rsidRPr="00F73D7B" w:rsidRDefault="00E2436F" w:rsidP="00080D37">
      <w:pPr>
        <w:numPr>
          <w:ilvl w:val="2"/>
          <w:numId w:val="355"/>
        </w:numPr>
        <w:tabs>
          <w:tab w:val="left" w:pos="3420"/>
        </w:tabs>
        <w:ind w:left="3420" w:hanging="425"/>
        <w:rPr>
          <w:rFonts w:eastAsia="Times New Roman"/>
          <w:sz w:val="24"/>
          <w:szCs w:val="24"/>
        </w:rPr>
      </w:pPr>
      <w:r w:rsidRPr="00F73D7B">
        <w:rPr>
          <w:rFonts w:eastAsia="Times New Roman"/>
          <w:sz w:val="24"/>
          <w:szCs w:val="24"/>
        </w:rPr>
        <w:t>All active control valves.</w:t>
      </w:r>
    </w:p>
    <w:p w14:paraId="2819FA93" w14:textId="77777777" w:rsidR="004647B9" w:rsidRPr="00F73D7B" w:rsidRDefault="00E2436F" w:rsidP="00080D37">
      <w:pPr>
        <w:numPr>
          <w:ilvl w:val="1"/>
          <w:numId w:val="356"/>
        </w:numPr>
        <w:tabs>
          <w:tab w:val="left" w:pos="3145"/>
        </w:tabs>
        <w:ind w:left="2640" w:hanging="5"/>
        <w:jc w:val="both"/>
        <w:rPr>
          <w:rFonts w:eastAsia="Times New Roman"/>
          <w:sz w:val="24"/>
          <w:szCs w:val="24"/>
        </w:rPr>
      </w:pPr>
      <w:r w:rsidRPr="00F73D7B">
        <w:rPr>
          <w:rFonts w:eastAsia="Times New Roman"/>
          <w:sz w:val="24"/>
          <w:szCs w:val="24"/>
        </w:rPr>
        <w:t>The model must be calibrated, or have calibration plans, for the current configuration of the Distribution System during the period of high TTHM formation potential. All storage facilities must be evaluated as part of the calibration process. All required calibration must be completed no later than 12 months after plan submission.</w:t>
      </w:r>
    </w:p>
    <w:p w14:paraId="2819FA95" w14:textId="77777777" w:rsidR="004647B9" w:rsidRPr="00F73D7B" w:rsidRDefault="00E2436F" w:rsidP="00080D37">
      <w:pPr>
        <w:ind w:left="2280"/>
        <w:rPr>
          <w:rFonts w:eastAsia="Times New Roman"/>
          <w:sz w:val="24"/>
          <w:szCs w:val="24"/>
        </w:rPr>
      </w:pPr>
      <w:r w:rsidRPr="00F73D7B">
        <w:rPr>
          <w:rFonts w:eastAsia="Times New Roman"/>
          <w:sz w:val="24"/>
          <w:szCs w:val="24"/>
        </w:rPr>
        <w:t xml:space="preserve">b. </w:t>
      </w:r>
      <w:r w:rsidRPr="00F73D7B">
        <w:rPr>
          <w:rFonts w:eastAsia="Times New Roman"/>
          <w:sz w:val="24"/>
          <w:szCs w:val="24"/>
          <w:u w:val="single"/>
        </w:rPr>
        <w:t>Reporting Modeling</w:t>
      </w:r>
      <w:r w:rsidRPr="00F73D7B">
        <w:rPr>
          <w:rFonts w:eastAsia="Times New Roman"/>
          <w:sz w:val="24"/>
          <w:szCs w:val="24"/>
        </w:rPr>
        <w:t>. The Supplier of Water's system specific study plan must include the information in 310 CMR 22.07F(3)(a)2.b.</w:t>
      </w:r>
    </w:p>
    <w:p w14:paraId="2819FA97" w14:textId="76373300" w:rsidR="004647B9" w:rsidRPr="00F73D7B" w:rsidRDefault="00E2436F" w:rsidP="00080D37">
      <w:pPr>
        <w:numPr>
          <w:ilvl w:val="1"/>
          <w:numId w:val="357"/>
        </w:numPr>
        <w:tabs>
          <w:tab w:val="left" w:pos="2900"/>
        </w:tabs>
        <w:ind w:left="2635"/>
        <w:rPr>
          <w:rFonts w:eastAsia="Times New Roman"/>
          <w:sz w:val="24"/>
          <w:szCs w:val="24"/>
        </w:rPr>
      </w:pPr>
      <w:r w:rsidRPr="00F73D7B">
        <w:rPr>
          <w:rFonts w:eastAsia="Times New Roman"/>
          <w:sz w:val="24"/>
          <w:szCs w:val="24"/>
        </w:rPr>
        <w:t>Tabular or spreadsheet data demonstrating that the model meets requirements</w:t>
      </w:r>
      <w:r w:rsidR="00080D37">
        <w:rPr>
          <w:rFonts w:eastAsia="Times New Roman"/>
          <w:sz w:val="24"/>
          <w:szCs w:val="24"/>
        </w:rPr>
        <w:t xml:space="preserve"> </w:t>
      </w:r>
      <w:r w:rsidR="00080D37" w:rsidRPr="00F73D7B">
        <w:rPr>
          <w:rFonts w:eastAsia="Times New Roman"/>
          <w:sz w:val="24"/>
          <w:szCs w:val="24"/>
        </w:rPr>
        <w:t>in 310 CMR 22.07F(3)(a)2.a.ii</w:t>
      </w:r>
      <w:r w:rsidR="00080D37">
        <w:rPr>
          <w:rFonts w:eastAsia="Times New Roman"/>
          <w:sz w:val="24"/>
          <w:szCs w:val="24"/>
        </w:rPr>
        <w:t>.</w:t>
      </w:r>
    </w:p>
    <w:p w14:paraId="2819FA99" w14:textId="77777777" w:rsidR="004647B9" w:rsidRPr="00F73D7B" w:rsidRDefault="00E2436F" w:rsidP="00080D37">
      <w:pPr>
        <w:numPr>
          <w:ilvl w:val="2"/>
          <w:numId w:val="358"/>
        </w:numPr>
        <w:tabs>
          <w:tab w:val="left" w:pos="3065"/>
        </w:tabs>
        <w:ind w:left="2640" w:hanging="5"/>
        <w:jc w:val="both"/>
        <w:rPr>
          <w:rFonts w:eastAsia="Times New Roman"/>
          <w:sz w:val="24"/>
          <w:szCs w:val="24"/>
        </w:rPr>
      </w:pPr>
      <w:r w:rsidRPr="00F73D7B">
        <w:rPr>
          <w:rFonts w:eastAsia="Times New Roman"/>
          <w:sz w:val="24"/>
          <w:szCs w:val="24"/>
        </w:rPr>
        <w:t>A description of all calibration activities undertaken, and if calibration is complete, a graph of predicted tank levels versus measured tank levels for the storage facility with the highest residence time in each pressure zone, and a time series graph of the residence time at the longest residence time storage facility in the Distribution System showing the predictions for the entire simulation period (</w:t>
      </w:r>
      <w:r w:rsidRPr="00F73D7B">
        <w:rPr>
          <w:rFonts w:eastAsia="Times New Roman"/>
          <w:i/>
          <w:iCs/>
          <w:sz w:val="24"/>
          <w:szCs w:val="24"/>
        </w:rPr>
        <w:t>i.e</w:t>
      </w:r>
      <w:r w:rsidRPr="00F73D7B">
        <w:rPr>
          <w:rFonts w:eastAsia="Times New Roman"/>
          <w:sz w:val="24"/>
          <w:szCs w:val="24"/>
        </w:rPr>
        <w:t>., from time zero until the time it takes to for the model to reach a consistently repeating pattern of residence time).</w:t>
      </w:r>
    </w:p>
    <w:p w14:paraId="2819FA9B" w14:textId="77777777" w:rsidR="004647B9" w:rsidRPr="00E96E93" w:rsidRDefault="00E2436F" w:rsidP="00080D37">
      <w:pPr>
        <w:numPr>
          <w:ilvl w:val="2"/>
          <w:numId w:val="358"/>
        </w:numPr>
        <w:tabs>
          <w:tab w:val="left" w:pos="3307"/>
        </w:tabs>
        <w:ind w:left="2640" w:hanging="5"/>
        <w:rPr>
          <w:rFonts w:eastAsia="Times New Roman"/>
          <w:sz w:val="24"/>
          <w:szCs w:val="24"/>
        </w:rPr>
      </w:pPr>
      <w:r w:rsidRPr="00E96E93">
        <w:rPr>
          <w:rFonts w:eastAsia="Times New Roman"/>
          <w:sz w:val="24"/>
          <w:szCs w:val="24"/>
        </w:rPr>
        <w:t>Model output showing preliminary 24-hour average residence time predictions throughout the Distribution System.</w:t>
      </w:r>
    </w:p>
    <w:p w14:paraId="2819FA9D" w14:textId="77777777" w:rsidR="004647B9" w:rsidRPr="00E96E93" w:rsidRDefault="00E2436F" w:rsidP="00080D37">
      <w:pPr>
        <w:numPr>
          <w:ilvl w:val="2"/>
          <w:numId w:val="358"/>
        </w:numPr>
        <w:tabs>
          <w:tab w:val="left" w:pos="3103"/>
        </w:tabs>
        <w:ind w:left="2640" w:hanging="5"/>
        <w:jc w:val="both"/>
        <w:rPr>
          <w:rFonts w:eastAsia="Times New Roman"/>
          <w:sz w:val="24"/>
          <w:szCs w:val="24"/>
        </w:rPr>
      </w:pPr>
      <w:r w:rsidRPr="00E96E93">
        <w:rPr>
          <w:rFonts w:eastAsia="Times New Roman"/>
          <w:sz w:val="24"/>
          <w:szCs w:val="24"/>
        </w:rPr>
        <w:t>Timing and number of samples representative of the Distribution System planned for at least one monitoring period of TTHM and HAA5 dual sample monitoring at a number of locations no less than would be required for the system under standard monitoring in 310 CMR 22.07F(2) during the historical month of high TTHM. These samples must be taken at locations other than existing compliance monitoring locations under 310 CMR 22.07E.</w:t>
      </w:r>
    </w:p>
    <w:p w14:paraId="2819FA9F" w14:textId="77777777" w:rsidR="004647B9" w:rsidRPr="00E96E93" w:rsidRDefault="00E2436F" w:rsidP="00080D37">
      <w:pPr>
        <w:numPr>
          <w:ilvl w:val="2"/>
          <w:numId w:val="358"/>
        </w:numPr>
        <w:tabs>
          <w:tab w:val="left" w:pos="3086"/>
        </w:tabs>
        <w:ind w:left="2640" w:hanging="5"/>
        <w:rPr>
          <w:rFonts w:eastAsia="Times New Roman"/>
          <w:sz w:val="24"/>
          <w:szCs w:val="24"/>
        </w:rPr>
      </w:pPr>
      <w:r w:rsidRPr="00E96E93">
        <w:rPr>
          <w:rFonts w:eastAsia="Times New Roman"/>
          <w:sz w:val="24"/>
          <w:szCs w:val="24"/>
        </w:rPr>
        <w:t>Description of how all requirements will be completed no later than 12 months after the Supplier of Water submits their system specific study plan.</w:t>
      </w:r>
    </w:p>
    <w:p w14:paraId="2819FAA1" w14:textId="77777777" w:rsidR="004647B9" w:rsidRPr="00E96E93" w:rsidRDefault="00E2436F" w:rsidP="00080D37">
      <w:pPr>
        <w:numPr>
          <w:ilvl w:val="2"/>
          <w:numId w:val="358"/>
        </w:numPr>
        <w:tabs>
          <w:tab w:val="left" w:pos="3225"/>
        </w:tabs>
        <w:ind w:left="2640" w:hanging="5"/>
        <w:jc w:val="both"/>
        <w:rPr>
          <w:rFonts w:eastAsia="Times New Roman"/>
          <w:sz w:val="24"/>
          <w:szCs w:val="24"/>
        </w:rPr>
      </w:pPr>
      <w:r w:rsidRPr="00E96E93">
        <w:rPr>
          <w:rFonts w:eastAsia="Times New Roman"/>
          <w:sz w:val="24"/>
          <w:szCs w:val="24"/>
        </w:rPr>
        <w:t>Schematic of the Supplier of Water's Distribution System (including Distribution System entry points and their sources, and storage facilities), with notes indicating the locations and dates of all completed system specific study monitoring (if calibration is complete) and all compliance monitoring required under 310 CMR 22.07E.</w:t>
      </w:r>
    </w:p>
    <w:p w14:paraId="2819FAA3" w14:textId="77777777" w:rsidR="004647B9" w:rsidRPr="00E96E93" w:rsidRDefault="00E2436F" w:rsidP="00080D37">
      <w:pPr>
        <w:numPr>
          <w:ilvl w:val="2"/>
          <w:numId w:val="358"/>
        </w:numPr>
        <w:tabs>
          <w:tab w:val="left" w:pos="3097"/>
        </w:tabs>
        <w:ind w:left="2640" w:hanging="5"/>
        <w:rPr>
          <w:rFonts w:eastAsia="Times New Roman"/>
          <w:sz w:val="24"/>
          <w:szCs w:val="24"/>
        </w:rPr>
      </w:pPr>
      <w:r w:rsidRPr="00E96E93">
        <w:rPr>
          <w:rFonts w:eastAsia="Times New Roman"/>
          <w:sz w:val="24"/>
          <w:szCs w:val="24"/>
        </w:rPr>
        <w:t>Population served and system type (Surface Water and Groundwater Under the Direct Influence of Surface Water or Groundwater).</w:t>
      </w:r>
    </w:p>
    <w:p w14:paraId="2819FAA5" w14:textId="77777777" w:rsidR="004647B9" w:rsidRPr="00E96E93" w:rsidRDefault="00E2436F" w:rsidP="00080D37">
      <w:pPr>
        <w:numPr>
          <w:ilvl w:val="2"/>
          <w:numId w:val="358"/>
        </w:numPr>
        <w:tabs>
          <w:tab w:val="left" w:pos="3168"/>
        </w:tabs>
        <w:ind w:left="2640" w:hanging="5"/>
        <w:jc w:val="both"/>
        <w:rPr>
          <w:rFonts w:eastAsia="Times New Roman"/>
          <w:sz w:val="24"/>
          <w:szCs w:val="24"/>
        </w:rPr>
      </w:pPr>
      <w:r w:rsidRPr="00E96E93">
        <w:rPr>
          <w:rFonts w:eastAsia="Times New Roman"/>
          <w:sz w:val="24"/>
          <w:szCs w:val="24"/>
        </w:rPr>
        <w:t>The Supplier of Water must retain a complete copy of their system specific study plan submitted under 310 CMR 22.07F(3)(a)2., including any Department modification of the system specific study plan, for as long as the Supplier of Water is required to retain their IDSE report under 310 CMR 22.07F(3)(b)7.</w:t>
      </w:r>
    </w:p>
    <w:p w14:paraId="2819FAA7" w14:textId="77777777" w:rsidR="004647B9" w:rsidRPr="00E96E93" w:rsidRDefault="00E2436F" w:rsidP="00080D37">
      <w:pPr>
        <w:numPr>
          <w:ilvl w:val="1"/>
          <w:numId w:val="359"/>
        </w:numPr>
        <w:tabs>
          <w:tab w:val="left" w:pos="2807"/>
        </w:tabs>
        <w:ind w:left="2280" w:hanging="5"/>
        <w:jc w:val="both"/>
        <w:rPr>
          <w:rFonts w:eastAsia="Times New Roman"/>
          <w:sz w:val="24"/>
          <w:szCs w:val="24"/>
        </w:rPr>
      </w:pPr>
      <w:r w:rsidRPr="00E96E93">
        <w:rPr>
          <w:rFonts w:eastAsia="Times New Roman"/>
          <w:sz w:val="24"/>
          <w:szCs w:val="24"/>
        </w:rPr>
        <w:t>If the Supplier of Water submits a model that does not fully meet the requirements under 310 CMR 22.07F(3)(a)2., the Supplier of Water must correct the deficiencies and respond to Department inquiries concerning the model. If the Supplier of Water fails to correct deficiencies or respond to inquiries to the Department's satisfaction, they must conduct standard monitoring under 310 CMR 22.07F(2).</w:t>
      </w:r>
    </w:p>
    <w:p w14:paraId="2819FAA9" w14:textId="77777777" w:rsidR="004647B9" w:rsidRPr="00E96E93" w:rsidRDefault="00E2436F" w:rsidP="00080D37">
      <w:pPr>
        <w:numPr>
          <w:ilvl w:val="0"/>
          <w:numId w:val="360"/>
        </w:numPr>
        <w:tabs>
          <w:tab w:val="left" w:pos="1991"/>
        </w:tabs>
        <w:ind w:left="1560" w:hanging="5"/>
        <w:jc w:val="both"/>
        <w:rPr>
          <w:rFonts w:eastAsia="Times New Roman"/>
          <w:sz w:val="24"/>
          <w:szCs w:val="24"/>
        </w:rPr>
      </w:pPr>
      <w:r w:rsidRPr="00E96E93">
        <w:rPr>
          <w:rFonts w:eastAsia="Times New Roman"/>
          <w:sz w:val="24"/>
          <w:szCs w:val="24"/>
          <w:u w:val="single"/>
        </w:rPr>
        <w:t>IDSE Report</w:t>
      </w:r>
      <w:r w:rsidRPr="00E96E93">
        <w:rPr>
          <w:rFonts w:eastAsia="Times New Roman"/>
          <w:sz w:val="24"/>
          <w:szCs w:val="24"/>
        </w:rPr>
        <w:t>. The Supplier of Water's IDSE report must include the elements required in 310 CMR 22.07F(3)(b)1. through 6. The Supplier of Water must submit their IDSE report according to the schedule in 310 CMR 22.07F(1)(c).</w:t>
      </w:r>
    </w:p>
    <w:p w14:paraId="2819FAAA" w14:textId="77777777" w:rsidR="004647B9" w:rsidRDefault="004647B9">
      <w:pPr>
        <w:sectPr w:rsidR="004647B9" w:rsidSect="00EF630C">
          <w:pgSz w:w="12240" w:h="20180"/>
          <w:pgMar w:top="708" w:right="1440" w:bottom="1440" w:left="600" w:header="0" w:footer="0" w:gutter="0"/>
          <w:cols w:space="720"/>
        </w:sectPr>
      </w:pPr>
    </w:p>
    <w:p w14:paraId="2819FAAB" w14:textId="77777777" w:rsidR="004647B9" w:rsidRDefault="00E2436F">
      <w:pPr>
        <w:tabs>
          <w:tab w:val="left" w:pos="160"/>
        </w:tabs>
        <w:jc w:val="center"/>
        <w:rPr>
          <w:sz w:val="20"/>
          <w:szCs w:val="20"/>
        </w:rPr>
      </w:pPr>
      <w:bookmarkStart w:id="137" w:name="page139"/>
      <w:bookmarkEnd w:id="13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AAC" w14:textId="77777777" w:rsidR="004647B9" w:rsidRDefault="004647B9" w:rsidP="00080D37">
      <w:pPr>
        <w:rPr>
          <w:sz w:val="20"/>
          <w:szCs w:val="20"/>
        </w:rPr>
      </w:pPr>
    </w:p>
    <w:p w14:paraId="2819FAAD" w14:textId="77777777" w:rsidR="004647B9" w:rsidRDefault="004647B9" w:rsidP="00080D37">
      <w:pPr>
        <w:rPr>
          <w:sz w:val="20"/>
          <w:szCs w:val="20"/>
        </w:rPr>
      </w:pPr>
    </w:p>
    <w:p w14:paraId="2819FAAE"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AAF" w14:textId="77777777" w:rsidR="004647B9" w:rsidRDefault="004647B9" w:rsidP="00080D37">
      <w:pPr>
        <w:rPr>
          <w:sz w:val="20"/>
          <w:szCs w:val="20"/>
        </w:rPr>
      </w:pPr>
    </w:p>
    <w:p w14:paraId="2819FAB0" w14:textId="77777777" w:rsidR="004647B9" w:rsidRPr="00E96E93" w:rsidRDefault="00E2436F" w:rsidP="00080D37">
      <w:pPr>
        <w:numPr>
          <w:ilvl w:val="2"/>
          <w:numId w:val="361"/>
        </w:numPr>
        <w:tabs>
          <w:tab w:val="left" w:pos="2280"/>
        </w:tabs>
        <w:ind w:left="1920" w:hanging="5"/>
        <w:jc w:val="both"/>
        <w:rPr>
          <w:rFonts w:eastAsia="Times New Roman"/>
          <w:sz w:val="24"/>
          <w:szCs w:val="24"/>
        </w:rPr>
      </w:pPr>
      <w:r w:rsidRPr="00E96E93">
        <w:rPr>
          <w:rFonts w:eastAsia="Times New Roman"/>
          <w:sz w:val="24"/>
          <w:szCs w:val="24"/>
        </w:rPr>
        <w:t>The Supplier of Water's IDSE report must include all TTHM and HAA5 analytical results from monitoring required under 310 CMR 22.07E and all system specific study monitoring conducted during the period of the system specific study presented in a tabular or spreadsheet format acceptable to the Department. If changed from the Supplier of Water's system specific study plan submitted under 310 CMR 22.07F(3)(a), their IDSE report must also include a schematic of their Distribution System, the population served, and system type (Surface Water and Groundwater under the Direct Influence of Surface Water or Groundwater).</w:t>
      </w:r>
    </w:p>
    <w:p w14:paraId="2819FAB2" w14:textId="77777777" w:rsidR="004647B9" w:rsidRPr="00E96E93" w:rsidRDefault="00E2436F" w:rsidP="00080D37">
      <w:pPr>
        <w:numPr>
          <w:ilvl w:val="2"/>
          <w:numId w:val="361"/>
        </w:numPr>
        <w:tabs>
          <w:tab w:val="left" w:pos="2222"/>
        </w:tabs>
        <w:ind w:left="1920" w:hanging="5"/>
        <w:jc w:val="both"/>
        <w:rPr>
          <w:rFonts w:eastAsia="Times New Roman"/>
          <w:sz w:val="24"/>
          <w:szCs w:val="24"/>
        </w:rPr>
      </w:pPr>
      <w:r w:rsidRPr="00E96E93">
        <w:rPr>
          <w:rFonts w:eastAsia="Times New Roman"/>
          <w:sz w:val="24"/>
          <w:szCs w:val="24"/>
        </w:rPr>
        <w:t>If the Supplier of Water used the modeling provision under 310 CMR 22.07F(3)(a)2., they must include final information for the elements described in 310 CMR 22.07F(3)(a)2.b., and a 24-hour time series graph of residence time for each compliance monitoring location selected in 310 CMR 22.07F.</w:t>
      </w:r>
    </w:p>
    <w:p w14:paraId="2819FAB4" w14:textId="77777777" w:rsidR="004647B9" w:rsidRPr="00E96E93" w:rsidRDefault="00E2436F" w:rsidP="00080D37">
      <w:pPr>
        <w:numPr>
          <w:ilvl w:val="2"/>
          <w:numId w:val="361"/>
        </w:numPr>
        <w:tabs>
          <w:tab w:val="left" w:pos="2230"/>
        </w:tabs>
        <w:ind w:left="1920" w:hanging="5"/>
        <w:rPr>
          <w:rFonts w:eastAsia="Times New Roman"/>
          <w:sz w:val="24"/>
          <w:szCs w:val="24"/>
        </w:rPr>
      </w:pPr>
      <w:r w:rsidRPr="00E96E93">
        <w:rPr>
          <w:rFonts w:eastAsia="Times New Roman"/>
          <w:sz w:val="24"/>
          <w:szCs w:val="24"/>
        </w:rPr>
        <w:t>The Supplier of Water must recommend and justify compliance monitoring locations in 310 CMR 22.07F and timing based on the protocol in 310 CMR 22.07(6).</w:t>
      </w:r>
    </w:p>
    <w:p w14:paraId="2819FAB6" w14:textId="77777777" w:rsidR="004647B9" w:rsidRPr="00E96E93" w:rsidRDefault="00E2436F" w:rsidP="00080D37">
      <w:pPr>
        <w:numPr>
          <w:ilvl w:val="2"/>
          <w:numId w:val="361"/>
        </w:numPr>
        <w:tabs>
          <w:tab w:val="left" w:pos="2273"/>
        </w:tabs>
        <w:ind w:left="1920" w:hanging="5"/>
        <w:rPr>
          <w:rFonts w:eastAsia="Times New Roman"/>
          <w:sz w:val="24"/>
          <w:szCs w:val="24"/>
        </w:rPr>
      </w:pPr>
      <w:r w:rsidRPr="00E96E93">
        <w:rPr>
          <w:rFonts w:eastAsia="Times New Roman"/>
          <w:sz w:val="24"/>
          <w:szCs w:val="24"/>
        </w:rPr>
        <w:t>The Supplier of Water's IDSE report must include an explanation of any deviations from their approved system specific study plan.</w:t>
      </w:r>
    </w:p>
    <w:p w14:paraId="2819FABA" w14:textId="7E7D663C" w:rsidR="004647B9" w:rsidRPr="00E96E93" w:rsidRDefault="00E2436F" w:rsidP="00080D37">
      <w:pPr>
        <w:numPr>
          <w:ilvl w:val="2"/>
          <w:numId w:val="361"/>
        </w:numPr>
        <w:tabs>
          <w:tab w:val="left" w:pos="2244"/>
        </w:tabs>
        <w:ind w:left="1915"/>
        <w:jc w:val="both"/>
        <w:rPr>
          <w:rFonts w:eastAsia="Times New Roman"/>
          <w:sz w:val="24"/>
          <w:szCs w:val="24"/>
        </w:rPr>
      </w:pPr>
      <w:r w:rsidRPr="00E96E93">
        <w:rPr>
          <w:rFonts w:eastAsia="Times New Roman"/>
          <w:sz w:val="24"/>
          <w:szCs w:val="24"/>
        </w:rPr>
        <w:t>The Supplier of Water's IDSE report must include the basis (analytical and modeling results) and justification they used to select the recommended monitoring locations in</w:t>
      </w:r>
      <w:r w:rsidR="00E96E93">
        <w:rPr>
          <w:rFonts w:eastAsia="Times New Roman"/>
          <w:sz w:val="24"/>
          <w:szCs w:val="24"/>
        </w:rPr>
        <w:t xml:space="preserve"> 310 </w:t>
      </w:r>
      <w:r w:rsidRPr="00E96E93">
        <w:rPr>
          <w:rFonts w:eastAsia="Times New Roman"/>
          <w:sz w:val="24"/>
          <w:szCs w:val="24"/>
        </w:rPr>
        <w:t>CMR 22.07F(6).</w:t>
      </w:r>
    </w:p>
    <w:p w14:paraId="2819FABB" w14:textId="77777777" w:rsidR="004647B9" w:rsidRPr="00E96E93" w:rsidRDefault="00E2436F" w:rsidP="00080D37">
      <w:pPr>
        <w:numPr>
          <w:ilvl w:val="2"/>
          <w:numId w:val="361"/>
        </w:numPr>
        <w:tabs>
          <w:tab w:val="left" w:pos="2266"/>
        </w:tabs>
        <w:ind w:left="1915"/>
        <w:jc w:val="both"/>
        <w:rPr>
          <w:rFonts w:eastAsia="Times New Roman"/>
          <w:sz w:val="24"/>
          <w:szCs w:val="24"/>
        </w:rPr>
      </w:pPr>
      <w:r w:rsidRPr="00E96E93">
        <w:rPr>
          <w:rFonts w:eastAsia="Times New Roman"/>
          <w:sz w:val="24"/>
          <w:szCs w:val="24"/>
        </w:rPr>
        <w:t>The Supplier of Water may submit their IDSE report in lieu of their system specific study plan on the schedule identified in 310 CMR 22.07F(1)(c) for submission of the system specific study plan if they believe that they have the necessary information by the time that the system specific study plan is due. If the Supplier of Water elects this approach, their IDSE report must also include all information required under 310 CMR 22.07F(3)(a).</w:t>
      </w:r>
    </w:p>
    <w:p w14:paraId="2819FABD" w14:textId="77777777" w:rsidR="004647B9" w:rsidRPr="00E96E93" w:rsidRDefault="00E2436F" w:rsidP="00080D37">
      <w:pPr>
        <w:numPr>
          <w:ilvl w:val="2"/>
          <w:numId w:val="361"/>
        </w:numPr>
        <w:tabs>
          <w:tab w:val="left" w:pos="2244"/>
        </w:tabs>
        <w:ind w:left="1915"/>
        <w:jc w:val="both"/>
        <w:rPr>
          <w:rFonts w:eastAsia="Times New Roman"/>
          <w:sz w:val="24"/>
          <w:szCs w:val="24"/>
        </w:rPr>
      </w:pPr>
      <w:r w:rsidRPr="00E96E93">
        <w:rPr>
          <w:rFonts w:eastAsia="Times New Roman"/>
          <w:sz w:val="24"/>
          <w:szCs w:val="24"/>
        </w:rPr>
        <w:t>The Supplier of Water must retain a complete copy of their IDSE report submitted under 310 CMR 22.07F(3)(b) for ten years after the date that they submitted their IDSE report. If the Department modifies the monitoring requirements in 310 CMR 22.07F that the Supplier of Water recommended in their IDSE report or if the Department approves alternative monitoring locations, the Supplier of Water must keep a copy of the Department's notification on file for ten years after the date of the Department's notification. The Supplier of Water must make the IDSE report and any Department notification available for review by the Department or the public.</w:t>
      </w:r>
    </w:p>
    <w:p w14:paraId="2819FABE" w14:textId="77777777" w:rsidR="004647B9" w:rsidRDefault="004647B9" w:rsidP="00080D37">
      <w:pPr>
        <w:rPr>
          <w:rFonts w:eastAsia="Times New Roman"/>
          <w:sz w:val="24"/>
          <w:szCs w:val="24"/>
        </w:rPr>
      </w:pPr>
    </w:p>
    <w:p w14:paraId="2819FABF" w14:textId="77777777" w:rsidR="004647B9" w:rsidRDefault="00E2436F" w:rsidP="00080D37">
      <w:pPr>
        <w:numPr>
          <w:ilvl w:val="0"/>
          <w:numId w:val="363"/>
        </w:numPr>
        <w:tabs>
          <w:tab w:val="left" w:pos="1660"/>
        </w:tabs>
        <w:ind w:left="1660" w:hanging="460"/>
        <w:rPr>
          <w:rFonts w:eastAsia="Times New Roman"/>
          <w:sz w:val="24"/>
          <w:szCs w:val="24"/>
        </w:rPr>
      </w:pPr>
      <w:r>
        <w:rPr>
          <w:rFonts w:eastAsia="Times New Roman"/>
          <w:sz w:val="24"/>
          <w:szCs w:val="24"/>
          <w:u w:val="single"/>
        </w:rPr>
        <w:t>40/30 Certification</w:t>
      </w:r>
      <w:r>
        <w:rPr>
          <w:rFonts w:eastAsia="Times New Roman"/>
          <w:sz w:val="24"/>
          <w:szCs w:val="24"/>
        </w:rPr>
        <w:t>.</w:t>
      </w:r>
    </w:p>
    <w:p w14:paraId="2819FAC1" w14:textId="77777777" w:rsidR="004647B9" w:rsidRDefault="00E2436F" w:rsidP="00080D37">
      <w:pPr>
        <w:numPr>
          <w:ilvl w:val="1"/>
          <w:numId w:val="363"/>
        </w:numPr>
        <w:tabs>
          <w:tab w:val="left" w:pos="2062"/>
        </w:tabs>
        <w:ind w:left="1560" w:hanging="5"/>
        <w:jc w:val="both"/>
        <w:rPr>
          <w:rFonts w:eastAsia="Times New Roman"/>
          <w:sz w:val="24"/>
          <w:szCs w:val="24"/>
        </w:rPr>
      </w:pPr>
      <w:r>
        <w:rPr>
          <w:rFonts w:eastAsia="Times New Roman"/>
          <w:sz w:val="24"/>
          <w:szCs w:val="24"/>
          <w:u w:val="single"/>
        </w:rPr>
        <w:t>Eligibility</w:t>
      </w:r>
      <w:r>
        <w:rPr>
          <w:rFonts w:eastAsia="Times New Roman"/>
          <w:sz w:val="24"/>
          <w:szCs w:val="24"/>
        </w:rPr>
        <w:t>. The Supplier of Water is eligible for 40/30 certification if they had no TTHM or HAA5 monitoring violations under 310 CMR 22.07E and no individual sample exceeded 0.040 mg/L for TTHM or 0.030 mg/L for HAA5 during an eight consecutive calendar quarter period beginning no earlier than the date specified in 310 CMR 22.07F(4)(a).</w:t>
      </w:r>
    </w:p>
    <w:p w14:paraId="2819FAC2" w14:textId="77777777" w:rsidR="004647B9" w:rsidRPr="00080D37" w:rsidRDefault="004647B9" w:rsidP="00080D37">
      <w:pPr>
        <w:rPr>
          <w:sz w:val="24"/>
          <w:szCs w:val="24"/>
        </w:rPr>
      </w:pPr>
    </w:p>
    <w:p w14:paraId="2819FAC3" w14:textId="77777777" w:rsidR="004647B9" w:rsidRDefault="00E2436F" w:rsidP="00080D37">
      <w:pPr>
        <w:jc w:val="center"/>
        <w:rPr>
          <w:sz w:val="20"/>
          <w:szCs w:val="20"/>
        </w:rPr>
      </w:pPr>
      <w:r>
        <w:rPr>
          <w:rFonts w:eastAsia="Times New Roman"/>
          <w:sz w:val="24"/>
          <w:szCs w:val="24"/>
        </w:rPr>
        <w:t>TABLE 4 – 310 CMR 22.07F</w:t>
      </w:r>
    </w:p>
    <w:p w14:paraId="2819FAC5" w14:textId="77777777" w:rsidR="004647B9" w:rsidRDefault="00E2436F" w:rsidP="00080D37">
      <w:pPr>
        <w:jc w:val="center"/>
        <w:rPr>
          <w:sz w:val="20"/>
          <w:szCs w:val="20"/>
        </w:rPr>
      </w:pPr>
      <w:r>
        <w:rPr>
          <w:rFonts w:eastAsia="Times New Roman"/>
          <w:sz w:val="24"/>
          <w:szCs w:val="24"/>
        </w:rPr>
        <w:t>40/30 CERTIFICATION SCHEDULE</w:t>
      </w:r>
    </w:p>
    <w:p w14:paraId="2819FAC6" w14:textId="77777777" w:rsidR="004647B9" w:rsidRPr="00080D37" w:rsidRDefault="004647B9" w:rsidP="00080D37">
      <w:pPr>
        <w:rPr>
          <w:sz w:val="24"/>
          <w:szCs w:val="24"/>
        </w:rPr>
      </w:pPr>
    </w:p>
    <w:tbl>
      <w:tblPr>
        <w:tblW w:w="0" w:type="auto"/>
        <w:tblInd w:w="1090" w:type="dxa"/>
        <w:tblLayout w:type="fixed"/>
        <w:tblCellMar>
          <w:left w:w="0" w:type="dxa"/>
          <w:right w:w="0" w:type="dxa"/>
        </w:tblCellMar>
        <w:tblLook w:val="04A0" w:firstRow="1" w:lastRow="0" w:firstColumn="1" w:lastColumn="0" w:noHBand="0" w:noVBand="1"/>
      </w:tblPr>
      <w:tblGrid>
        <w:gridCol w:w="3740"/>
        <w:gridCol w:w="5140"/>
      </w:tblGrid>
      <w:tr w:rsidR="00497B9E" w14:paraId="2819FAC9" w14:textId="77777777" w:rsidTr="00883280">
        <w:trPr>
          <w:trHeight w:val="1096"/>
        </w:trPr>
        <w:tc>
          <w:tcPr>
            <w:tcW w:w="3740" w:type="dxa"/>
            <w:tcBorders>
              <w:top w:val="single" w:sz="8" w:space="0" w:color="auto"/>
              <w:left w:val="single" w:sz="8" w:space="0" w:color="auto"/>
              <w:bottom w:val="single" w:sz="8" w:space="0" w:color="auto"/>
              <w:right w:val="single" w:sz="8" w:space="0" w:color="auto"/>
            </w:tcBorders>
          </w:tcPr>
          <w:p w14:paraId="2819FAC7" w14:textId="77777777" w:rsidR="00497B9E" w:rsidRDefault="00497B9E" w:rsidP="00883280">
            <w:pPr>
              <w:ind w:left="40"/>
              <w:rPr>
                <w:sz w:val="20"/>
                <w:szCs w:val="20"/>
              </w:rPr>
            </w:pPr>
            <w:r>
              <w:rPr>
                <w:rFonts w:eastAsia="Times New Roman"/>
                <w:sz w:val="24"/>
                <w:szCs w:val="24"/>
              </w:rPr>
              <w:t>If your 40/30 certification is due</w:t>
            </w:r>
          </w:p>
        </w:tc>
        <w:tc>
          <w:tcPr>
            <w:tcW w:w="5140" w:type="dxa"/>
            <w:tcBorders>
              <w:top w:val="single" w:sz="8" w:space="0" w:color="auto"/>
              <w:bottom w:val="single" w:sz="8" w:space="0" w:color="auto"/>
              <w:right w:val="single" w:sz="8" w:space="0" w:color="auto"/>
            </w:tcBorders>
          </w:tcPr>
          <w:p w14:paraId="2819FAC8" w14:textId="2B618EF0" w:rsidR="00497B9E" w:rsidRDefault="00497B9E" w:rsidP="00883280">
            <w:pPr>
              <w:ind w:left="20"/>
              <w:rPr>
                <w:sz w:val="20"/>
                <w:szCs w:val="20"/>
              </w:rPr>
            </w:pPr>
            <w:r>
              <w:rPr>
                <w:rFonts w:eastAsia="Times New Roman"/>
                <w:sz w:val="24"/>
                <w:szCs w:val="24"/>
              </w:rPr>
              <w:t>Then your eligibility for 40/30 certification is based</w:t>
            </w:r>
            <w:r w:rsidR="00883280">
              <w:rPr>
                <w:rFonts w:eastAsia="Times New Roman"/>
                <w:sz w:val="24"/>
                <w:szCs w:val="24"/>
              </w:rPr>
              <w:t xml:space="preserve"> </w:t>
            </w:r>
            <w:r>
              <w:rPr>
                <w:rFonts w:eastAsia="Times New Roman"/>
                <w:sz w:val="24"/>
                <w:szCs w:val="24"/>
              </w:rPr>
              <w:t>on eight consecutive calendar quarters of</w:t>
            </w:r>
            <w:r w:rsidR="00883280">
              <w:rPr>
                <w:rFonts w:eastAsia="Times New Roman"/>
                <w:sz w:val="24"/>
                <w:szCs w:val="24"/>
              </w:rPr>
              <w:t xml:space="preserve"> </w:t>
            </w:r>
            <w:r>
              <w:rPr>
                <w:rFonts w:eastAsia="Times New Roman"/>
                <w:sz w:val="24"/>
                <w:szCs w:val="24"/>
              </w:rPr>
              <w:t>compliance monitoring results under 310 CMR</w:t>
            </w:r>
            <w:r w:rsidR="00883280">
              <w:rPr>
                <w:rFonts w:eastAsia="Times New Roman"/>
                <w:sz w:val="24"/>
                <w:szCs w:val="24"/>
              </w:rPr>
              <w:t xml:space="preserve"> </w:t>
            </w:r>
            <w:r>
              <w:rPr>
                <w:rFonts w:eastAsia="Times New Roman"/>
                <w:sz w:val="24"/>
                <w:szCs w:val="24"/>
              </w:rPr>
              <w:t>22.07E beginning no earlier than</w:t>
            </w:r>
            <w:r>
              <w:rPr>
                <w:rFonts w:eastAsia="Times New Roman"/>
                <w:sz w:val="27"/>
                <w:szCs w:val="27"/>
                <w:vertAlign w:val="superscript"/>
              </w:rPr>
              <w:t>1</w:t>
            </w:r>
          </w:p>
        </w:tc>
      </w:tr>
      <w:tr w:rsidR="00883280" w14:paraId="2819FAD9" w14:textId="77777777" w:rsidTr="00883280">
        <w:trPr>
          <w:trHeight w:val="432"/>
        </w:trPr>
        <w:tc>
          <w:tcPr>
            <w:tcW w:w="3740" w:type="dxa"/>
            <w:tcBorders>
              <w:top w:val="single" w:sz="8" w:space="0" w:color="auto"/>
              <w:left w:val="single" w:sz="8" w:space="0" w:color="auto"/>
              <w:bottom w:val="single" w:sz="8" w:space="0" w:color="auto"/>
              <w:right w:val="single" w:sz="8" w:space="0" w:color="auto"/>
            </w:tcBorders>
            <w:vAlign w:val="center"/>
          </w:tcPr>
          <w:p w14:paraId="2819FAD7" w14:textId="079A412E" w:rsidR="00883280" w:rsidRPr="00AD0F7C" w:rsidRDefault="00883280" w:rsidP="00563A54">
            <w:pPr>
              <w:pStyle w:val="ListParagraph"/>
              <w:numPr>
                <w:ilvl w:val="0"/>
                <w:numId w:val="918"/>
              </w:numPr>
              <w:rPr>
                <w:sz w:val="20"/>
                <w:szCs w:val="20"/>
              </w:rPr>
            </w:pPr>
            <w:r w:rsidRPr="00AD0F7C">
              <w:rPr>
                <w:rFonts w:eastAsia="Times New Roman"/>
                <w:sz w:val="24"/>
                <w:szCs w:val="24"/>
              </w:rPr>
              <w:t>October 1, 2006</w:t>
            </w:r>
          </w:p>
        </w:tc>
        <w:tc>
          <w:tcPr>
            <w:tcW w:w="5140" w:type="dxa"/>
            <w:tcBorders>
              <w:top w:val="single" w:sz="8" w:space="0" w:color="auto"/>
              <w:left w:val="single" w:sz="8" w:space="0" w:color="auto"/>
              <w:bottom w:val="single" w:sz="8" w:space="0" w:color="auto"/>
              <w:right w:val="single" w:sz="8" w:space="0" w:color="auto"/>
            </w:tcBorders>
            <w:vAlign w:val="center"/>
          </w:tcPr>
          <w:p w14:paraId="2819FAD8" w14:textId="77777777" w:rsidR="00883280" w:rsidRDefault="00883280" w:rsidP="00883280">
            <w:pPr>
              <w:ind w:left="20"/>
              <w:jc w:val="center"/>
              <w:rPr>
                <w:sz w:val="20"/>
                <w:szCs w:val="20"/>
              </w:rPr>
            </w:pPr>
            <w:r>
              <w:rPr>
                <w:rFonts w:eastAsia="Times New Roman"/>
                <w:sz w:val="24"/>
                <w:szCs w:val="24"/>
              </w:rPr>
              <w:t>January 2004</w:t>
            </w:r>
          </w:p>
        </w:tc>
      </w:tr>
      <w:tr w:rsidR="00883280" w14:paraId="2819FAE1" w14:textId="77777777" w:rsidTr="00883280">
        <w:trPr>
          <w:trHeight w:val="432"/>
        </w:trPr>
        <w:tc>
          <w:tcPr>
            <w:tcW w:w="3740" w:type="dxa"/>
            <w:tcBorders>
              <w:top w:val="single" w:sz="8" w:space="0" w:color="auto"/>
              <w:left w:val="single" w:sz="8" w:space="0" w:color="auto"/>
              <w:bottom w:val="single" w:sz="8" w:space="0" w:color="auto"/>
              <w:right w:val="single" w:sz="8" w:space="0" w:color="auto"/>
            </w:tcBorders>
            <w:vAlign w:val="center"/>
          </w:tcPr>
          <w:p w14:paraId="2819FADF" w14:textId="1D670C11" w:rsidR="00883280" w:rsidRPr="00AD0F7C" w:rsidRDefault="00883280" w:rsidP="00563A54">
            <w:pPr>
              <w:pStyle w:val="ListParagraph"/>
              <w:numPr>
                <w:ilvl w:val="0"/>
                <w:numId w:val="918"/>
              </w:numPr>
              <w:rPr>
                <w:sz w:val="20"/>
                <w:szCs w:val="20"/>
              </w:rPr>
            </w:pPr>
            <w:r w:rsidRPr="00AD0F7C">
              <w:rPr>
                <w:rFonts w:eastAsia="Times New Roman"/>
                <w:sz w:val="24"/>
                <w:szCs w:val="24"/>
              </w:rPr>
              <w:t>April 1, 2007</w:t>
            </w:r>
          </w:p>
        </w:tc>
        <w:tc>
          <w:tcPr>
            <w:tcW w:w="5140" w:type="dxa"/>
            <w:tcBorders>
              <w:top w:val="single" w:sz="8" w:space="0" w:color="auto"/>
              <w:left w:val="single" w:sz="8" w:space="0" w:color="auto"/>
              <w:bottom w:val="single" w:sz="8" w:space="0" w:color="auto"/>
              <w:right w:val="single" w:sz="8" w:space="0" w:color="auto"/>
            </w:tcBorders>
            <w:vAlign w:val="center"/>
          </w:tcPr>
          <w:p w14:paraId="2819FAE0" w14:textId="77777777" w:rsidR="00883280" w:rsidRDefault="00883280" w:rsidP="00883280">
            <w:pPr>
              <w:ind w:left="20"/>
              <w:jc w:val="center"/>
              <w:rPr>
                <w:sz w:val="20"/>
                <w:szCs w:val="20"/>
              </w:rPr>
            </w:pPr>
            <w:r>
              <w:rPr>
                <w:rFonts w:eastAsia="Times New Roman"/>
                <w:sz w:val="24"/>
                <w:szCs w:val="24"/>
              </w:rPr>
              <w:t>January 2004</w:t>
            </w:r>
          </w:p>
        </w:tc>
      </w:tr>
      <w:tr w:rsidR="00AD0F7C" w14:paraId="2819FAE9" w14:textId="77777777" w:rsidTr="00883280">
        <w:trPr>
          <w:trHeight w:val="432"/>
        </w:trPr>
        <w:tc>
          <w:tcPr>
            <w:tcW w:w="3740" w:type="dxa"/>
            <w:tcBorders>
              <w:top w:val="single" w:sz="8" w:space="0" w:color="auto"/>
              <w:left w:val="single" w:sz="8" w:space="0" w:color="auto"/>
              <w:bottom w:val="single" w:sz="8" w:space="0" w:color="auto"/>
              <w:right w:val="single" w:sz="8" w:space="0" w:color="auto"/>
            </w:tcBorders>
            <w:vAlign w:val="center"/>
          </w:tcPr>
          <w:p w14:paraId="2819FAE7" w14:textId="7B5B65A8" w:rsidR="00AD0F7C" w:rsidRPr="00AD0F7C" w:rsidRDefault="00AD0F7C" w:rsidP="00563A54">
            <w:pPr>
              <w:pStyle w:val="ListParagraph"/>
              <w:numPr>
                <w:ilvl w:val="0"/>
                <w:numId w:val="918"/>
              </w:numPr>
              <w:spacing w:line="260" w:lineRule="exact"/>
              <w:rPr>
                <w:sz w:val="20"/>
                <w:szCs w:val="20"/>
              </w:rPr>
            </w:pPr>
            <w:r w:rsidRPr="00AD0F7C">
              <w:rPr>
                <w:rFonts w:eastAsia="Times New Roman"/>
                <w:sz w:val="24"/>
                <w:szCs w:val="24"/>
              </w:rPr>
              <w:t>October 1, 2007</w:t>
            </w:r>
          </w:p>
        </w:tc>
        <w:tc>
          <w:tcPr>
            <w:tcW w:w="5140" w:type="dxa"/>
            <w:tcBorders>
              <w:top w:val="single" w:sz="8" w:space="0" w:color="auto"/>
              <w:bottom w:val="single" w:sz="8" w:space="0" w:color="auto"/>
              <w:right w:val="single" w:sz="8" w:space="0" w:color="auto"/>
            </w:tcBorders>
            <w:vAlign w:val="center"/>
          </w:tcPr>
          <w:p w14:paraId="2819FAE8" w14:textId="77777777" w:rsidR="00AD0F7C" w:rsidRDefault="00AD0F7C" w:rsidP="00883280">
            <w:pPr>
              <w:spacing w:line="260" w:lineRule="exact"/>
              <w:ind w:left="20"/>
              <w:jc w:val="center"/>
              <w:rPr>
                <w:sz w:val="20"/>
                <w:szCs w:val="20"/>
              </w:rPr>
            </w:pPr>
            <w:r>
              <w:rPr>
                <w:rFonts w:eastAsia="Times New Roman"/>
                <w:sz w:val="24"/>
                <w:szCs w:val="24"/>
              </w:rPr>
              <w:t>January 2005</w:t>
            </w:r>
          </w:p>
        </w:tc>
      </w:tr>
      <w:tr w:rsidR="00AD0F7C" w14:paraId="2819FAED" w14:textId="77777777" w:rsidTr="00883280">
        <w:trPr>
          <w:trHeight w:val="432"/>
        </w:trPr>
        <w:tc>
          <w:tcPr>
            <w:tcW w:w="3740" w:type="dxa"/>
            <w:tcBorders>
              <w:left w:val="single" w:sz="8" w:space="0" w:color="auto"/>
              <w:bottom w:val="single" w:sz="8" w:space="0" w:color="auto"/>
              <w:right w:val="single" w:sz="8" w:space="0" w:color="auto"/>
            </w:tcBorders>
            <w:vAlign w:val="center"/>
          </w:tcPr>
          <w:p w14:paraId="2819FAEB" w14:textId="58071CAB" w:rsidR="00AD0F7C" w:rsidRPr="00AD0F7C" w:rsidRDefault="00AD0F7C" w:rsidP="00563A54">
            <w:pPr>
              <w:pStyle w:val="ListParagraph"/>
              <w:numPr>
                <w:ilvl w:val="0"/>
                <w:numId w:val="918"/>
              </w:numPr>
              <w:spacing w:line="258" w:lineRule="exact"/>
              <w:rPr>
                <w:sz w:val="20"/>
                <w:szCs w:val="20"/>
              </w:rPr>
            </w:pPr>
            <w:r w:rsidRPr="00AD0F7C">
              <w:rPr>
                <w:rFonts w:eastAsia="Times New Roman"/>
                <w:sz w:val="24"/>
                <w:szCs w:val="24"/>
              </w:rPr>
              <w:t>April 1, 2008</w:t>
            </w:r>
          </w:p>
        </w:tc>
        <w:tc>
          <w:tcPr>
            <w:tcW w:w="5140" w:type="dxa"/>
            <w:tcBorders>
              <w:bottom w:val="single" w:sz="8" w:space="0" w:color="auto"/>
              <w:right w:val="single" w:sz="8" w:space="0" w:color="auto"/>
            </w:tcBorders>
            <w:vAlign w:val="center"/>
          </w:tcPr>
          <w:p w14:paraId="2819FAEC" w14:textId="77777777" w:rsidR="00AD0F7C" w:rsidRDefault="00AD0F7C" w:rsidP="00883280">
            <w:pPr>
              <w:spacing w:line="258" w:lineRule="exact"/>
              <w:ind w:left="20"/>
              <w:jc w:val="center"/>
              <w:rPr>
                <w:sz w:val="20"/>
                <w:szCs w:val="20"/>
              </w:rPr>
            </w:pPr>
            <w:r>
              <w:rPr>
                <w:rFonts w:eastAsia="Times New Roman"/>
                <w:sz w:val="24"/>
                <w:szCs w:val="24"/>
              </w:rPr>
              <w:t>January 2005</w:t>
            </w:r>
          </w:p>
        </w:tc>
      </w:tr>
    </w:tbl>
    <w:p w14:paraId="2819FAEE" w14:textId="77777777" w:rsidR="004647B9" w:rsidRDefault="004647B9" w:rsidP="00080D37">
      <w:pPr>
        <w:rPr>
          <w:sz w:val="20"/>
          <w:szCs w:val="20"/>
        </w:rPr>
      </w:pPr>
    </w:p>
    <w:p w14:paraId="2819FAEF" w14:textId="77777777" w:rsidR="004647B9" w:rsidRDefault="004647B9" w:rsidP="00080D37">
      <w:pPr>
        <w:sectPr w:rsidR="004647B9" w:rsidSect="00EF630C">
          <w:pgSz w:w="12240" w:h="20180"/>
          <w:pgMar w:top="708" w:right="1440" w:bottom="1440" w:left="600" w:header="0" w:footer="0" w:gutter="0"/>
          <w:cols w:space="720"/>
        </w:sectPr>
      </w:pPr>
    </w:p>
    <w:p w14:paraId="2819FAF1" w14:textId="77777777" w:rsidR="004647B9" w:rsidRDefault="00E2436F" w:rsidP="00080D37">
      <w:pPr>
        <w:numPr>
          <w:ilvl w:val="0"/>
          <w:numId w:val="364"/>
        </w:numPr>
        <w:tabs>
          <w:tab w:val="left" w:pos="480"/>
        </w:tabs>
        <w:ind w:left="480" w:hanging="480"/>
        <w:jc w:val="both"/>
        <w:rPr>
          <w:rFonts w:eastAsia="Times New Roman"/>
          <w:sz w:val="27"/>
          <w:szCs w:val="27"/>
          <w:vertAlign w:val="superscript"/>
        </w:rPr>
      </w:pPr>
      <w:r w:rsidRPr="00E96E93">
        <w:rPr>
          <w:rFonts w:eastAsia="Times New Roman"/>
          <w:sz w:val="24"/>
          <w:szCs w:val="24"/>
        </w:rPr>
        <w:t>Unless the Supplier of Water is on reduced monitoring under 310 CMR 22.07E and was not required to monitor during the specified period. If they did not monitor during the specified period, they must base their eligibility on compliance samples taken during the 12 months preceding the specified period</w:t>
      </w:r>
      <w:r>
        <w:rPr>
          <w:rFonts w:eastAsia="Times New Roman"/>
          <w:sz w:val="23"/>
          <w:szCs w:val="23"/>
        </w:rPr>
        <w:t>.</w:t>
      </w:r>
    </w:p>
    <w:p w14:paraId="2819FAF2" w14:textId="77777777" w:rsidR="004647B9" w:rsidRDefault="004647B9" w:rsidP="00080D37">
      <w:pPr>
        <w:sectPr w:rsidR="004647B9" w:rsidSect="00EF630C">
          <w:type w:val="continuous"/>
          <w:pgSz w:w="12240" w:h="20180"/>
          <w:pgMar w:top="708" w:right="1440" w:bottom="1440" w:left="600" w:header="0" w:footer="0" w:gutter="0"/>
          <w:cols w:space="720"/>
        </w:sectPr>
      </w:pPr>
    </w:p>
    <w:p w14:paraId="2819FAF3" w14:textId="77777777" w:rsidR="004647B9" w:rsidRDefault="00E2436F">
      <w:pPr>
        <w:tabs>
          <w:tab w:val="left" w:pos="160"/>
        </w:tabs>
        <w:jc w:val="center"/>
        <w:rPr>
          <w:sz w:val="20"/>
          <w:szCs w:val="20"/>
        </w:rPr>
      </w:pPr>
      <w:bookmarkStart w:id="138" w:name="page140"/>
      <w:bookmarkEnd w:id="13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AF4" w14:textId="77777777" w:rsidR="004647B9" w:rsidRDefault="004647B9" w:rsidP="00080D37">
      <w:pPr>
        <w:rPr>
          <w:sz w:val="20"/>
          <w:szCs w:val="20"/>
        </w:rPr>
      </w:pPr>
    </w:p>
    <w:p w14:paraId="2819FAF5" w14:textId="77777777" w:rsidR="004647B9" w:rsidRDefault="004647B9" w:rsidP="00080D37">
      <w:pPr>
        <w:rPr>
          <w:sz w:val="20"/>
          <w:szCs w:val="20"/>
        </w:rPr>
      </w:pPr>
    </w:p>
    <w:p w14:paraId="2819FAF6"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AF7" w14:textId="77777777" w:rsidR="004647B9" w:rsidRDefault="004647B9" w:rsidP="00080D37">
      <w:pPr>
        <w:rPr>
          <w:sz w:val="20"/>
          <w:szCs w:val="20"/>
        </w:rPr>
      </w:pPr>
    </w:p>
    <w:p w14:paraId="2819FAF8" w14:textId="77777777" w:rsidR="004647B9" w:rsidRDefault="00E2436F" w:rsidP="00080D37">
      <w:pPr>
        <w:numPr>
          <w:ilvl w:val="1"/>
          <w:numId w:val="365"/>
        </w:numPr>
        <w:tabs>
          <w:tab w:val="left" w:pos="2020"/>
        </w:tabs>
        <w:ind w:left="2020" w:hanging="465"/>
        <w:rPr>
          <w:rFonts w:eastAsia="Times New Roman"/>
          <w:sz w:val="24"/>
          <w:szCs w:val="24"/>
        </w:rPr>
      </w:pPr>
      <w:r>
        <w:rPr>
          <w:rFonts w:eastAsia="Times New Roman"/>
          <w:sz w:val="24"/>
          <w:szCs w:val="24"/>
          <w:u w:val="single"/>
        </w:rPr>
        <w:t>40/30 Certification</w:t>
      </w:r>
      <w:r>
        <w:rPr>
          <w:rFonts w:eastAsia="Times New Roman"/>
          <w:sz w:val="24"/>
          <w:szCs w:val="24"/>
        </w:rPr>
        <w:t>.</w:t>
      </w:r>
    </w:p>
    <w:p w14:paraId="2819FAFC" w14:textId="2F345764" w:rsidR="004647B9" w:rsidRPr="00470F73" w:rsidRDefault="00E2436F" w:rsidP="00080D37">
      <w:pPr>
        <w:numPr>
          <w:ilvl w:val="2"/>
          <w:numId w:val="366"/>
        </w:numPr>
        <w:tabs>
          <w:tab w:val="left" w:pos="2230"/>
        </w:tabs>
        <w:ind w:left="1915"/>
        <w:jc w:val="both"/>
        <w:rPr>
          <w:rFonts w:eastAsia="Times New Roman"/>
          <w:sz w:val="24"/>
          <w:szCs w:val="24"/>
        </w:rPr>
      </w:pPr>
      <w:r w:rsidRPr="00470F73">
        <w:rPr>
          <w:rFonts w:eastAsia="Times New Roman"/>
          <w:sz w:val="24"/>
          <w:szCs w:val="24"/>
        </w:rPr>
        <w:t>The Supplier of Water must certify to the Department that every individual compliance sample taken under 310 CMR 22.07E during the periods specified in</w:t>
      </w:r>
      <w:r w:rsidR="00883280" w:rsidRPr="00470F73">
        <w:rPr>
          <w:rFonts w:eastAsia="Times New Roman"/>
          <w:sz w:val="24"/>
          <w:szCs w:val="24"/>
        </w:rPr>
        <w:t xml:space="preserve"> 310 </w:t>
      </w:r>
      <w:r w:rsidRPr="00470F73">
        <w:rPr>
          <w:rFonts w:eastAsia="Times New Roman"/>
          <w:sz w:val="24"/>
          <w:szCs w:val="24"/>
        </w:rPr>
        <w:t>CMR 22.07F(4)(a) were &lt; 0.040 mg/L for TTHM and &lt; 0.030 mg/L for HAA5, and that they have not had any TTHM or HAA5 monitoring violations during the period specified in 310 CMR 22.07F(4)(a).</w:t>
      </w:r>
    </w:p>
    <w:p w14:paraId="2819FAFD" w14:textId="77777777" w:rsidR="004647B9" w:rsidRDefault="00E2436F" w:rsidP="00080D37">
      <w:pPr>
        <w:numPr>
          <w:ilvl w:val="2"/>
          <w:numId w:val="366"/>
        </w:numPr>
        <w:tabs>
          <w:tab w:val="left" w:pos="2230"/>
        </w:tabs>
        <w:ind w:left="1920" w:hanging="5"/>
        <w:jc w:val="both"/>
        <w:rPr>
          <w:rFonts w:eastAsia="Times New Roman"/>
          <w:sz w:val="24"/>
          <w:szCs w:val="24"/>
        </w:rPr>
      </w:pPr>
      <w:r>
        <w:rPr>
          <w:rFonts w:eastAsia="Times New Roman"/>
          <w:sz w:val="24"/>
          <w:szCs w:val="24"/>
        </w:rPr>
        <w:t>The Department may require the Supplier of Water to submit compliance monitoring results, Distribution System schematics, and/or recommended compliance monitoring locations as required in 310 CMR 22.07F in addition to their certification. If the Supplier of Water fails to submit the requested information, the Department may require standard monitoring under 310 CMR 22.07F(2) or a system specific study under 310 CMR 22.07F(3).</w:t>
      </w:r>
    </w:p>
    <w:p w14:paraId="2819FAFF" w14:textId="77777777" w:rsidR="004647B9" w:rsidRDefault="00E2436F" w:rsidP="00080D37">
      <w:pPr>
        <w:numPr>
          <w:ilvl w:val="2"/>
          <w:numId w:val="366"/>
        </w:numPr>
        <w:tabs>
          <w:tab w:val="left" w:pos="2251"/>
        </w:tabs>
        <w:ind w:left="1920" w:hanging="5"/>
        <w:jc w:val="both"/>
        <w:rPr>
          <w:rFonts w:eastAsia="Times New Roman"/>
          <w:sz w:val="24"/>
          <w:szCs w:val="24"/>
        </w:rPr>
      </w:pPr>
      <w:r>
        <w:rPr>
          <w:rFonts w:eastAsia="Times New Roman"/>
          <w:sz w:val="24"/>
          <w:szCs w:val="24"/>
        </w:rPr>
        <w:t>The Department may still require standard monitoring under 310 CMR 22.07F(2) or a system specific study under 310 CMR 22.07F(3) even if the Supplier of Water meets the criteria in 310 CMR 22.07F(4)(a).</w:t>
      </w:r>
    </w:p>
    <w:p w14:paraId="2819FB01" w14:textId="77777777" w:rsidR="004647B9" w:rsidRDefault="00E2436F" w:rsidP="00080D37">
      <w:pPr>
        <w:numPr>
          <w:ilvl w:val="2"/>
          <w:numId w:val="366"/>
        </w:numPr>
        <w:tabs>
          <w:tab w:val="left" w:pos="2287"/>
        </w:tabs>
        <w:ind w:left="1920" w:hanging="5"/>
        <w:jc w:val="both"/>
        <w:rPr>
          <w:rFonts w:eastAsia="Times New Roman"/>
          <w:sz w:val="24"/>
          <w:szCs w:val="24"/>
        </w:rPr>
      </w:pPr>
      <w:r>
        <w:rPr>
          <w:rFonts w:eastAsia="Times New Roman"/>
          <w:sz w:val="24"/>
          <w:szCs w:val="24"/>
        </w:rPr>
        <w:t>The Supplier of Water must retain a complete copy of their certification submitted under 310 CMR 22.07F(4)(b) for ten years after the date that they submitted their certification. The Supplier of Water must make the certification, all data upon which the certification is based, and any Department notification available for review by the Department or the public.</w:t>
      </w:r>
    </w:p>
    <w:p w14:paraId="2819FB02" w14:textId="77777777" w:rsidR="004647B9" w:rsidRDefault="004647B9" w:rsidP="00080D37">
      <w:pPr>
        <w:rPr>
          <w:rFonts w:eastAsia="Times New Roman"/>
          <w:sz w:val="24"/>
          <w:szCs w:val="24"/>
        </w:rPr>
      </w:pPr>
    </w:p>
    <w:p w14:paraId="2819FB03" w14:textId="77777777" w:rsidR="004647B9" w:rsidRDefault="00E2436F" w:rsidP="00080D37">
      <w:pPr>
        <w:numPr>
          <w:ilvl w:val="0"/>
          <w:numId w:val="367"/>
        </w:numPr>
        <w:tabs>
          <w:tab w:val="left" w:pos="1660"/>
        </w:tabs>
        <w:ind w:left="1660" w:hanging="460"/>
        <w:rPr>
          <w:rFonts w:eastAsia="Times New Roman"/>
          <w:sz w:val="24"/>
          <w:szCs w:val="24"/>
        </w:rPr>
      </w:pPr>
      <w:r>
        <w:rPr>
          <w:rFonts w:eastAsia="Times New Roman"/>
          <w:sz w:val="24"/>
          <w:szCs w:val="24"/>
          <w:u w:val="single"/>
        </w:rPr>
        <w:t>Very Small System Waivers</w:t>
      </w:r>
      <w:r>
        <w:rPr>
          <w:rFonts w:eastAsia="Times New Roman"/>
          <w:sz w:val="24"/>
          <w:szCs w:val="24"/>
        </w:rPr>
        <w:t>.</w:t>
      </w:r>
    </w:p>
    <w:p w14:paraId="2819FB05" w14:textId="77777777" w:rsidR="004647B9" w:rsidRDefault="00E2436F" w:rsidP="00080D37">
      <w:pPr>
        <w:numPr>
          <w:ilvl w:val="1"/>
          <w:numId w:val="367"/>
        </w:numPr>
        <w:tabs>
          <w:tab w:val="left" w:pos="1951"/>
        </w:tabs>
        <w:ind w:left="1560" w:hanging="5"/>
        <w:jc w:val="both"/>
        <w:rPr>
          <w:rFonts w:eastAsia="Times New Roman"/>
          <w:sz w:val="24"/>
          <w:szCs w:val="24"/>
        </w:rPr>
      </w:pPr>
      <w:r>
        <w:rPr>
          <w:rFonts w:eastAsia="Times New Roman"/>
          <w:sz w:val="24"/>
          <w:szCs w:val="24"/>
        </w:rPr>
        <w:t>If the Supplier of Water serves fewer than 500 people and it has taken TTHM and HAA5 samples under 310 CMR 22.07E, the Supplier of Water is not required to comply with 310 CMR 22.07F(1) unless the Department notifies the Supplier of Water that it must conduct standard monitoring under 310 CMR 22.07F(2) or a system specific study under 310 CMR 22.07F(3).</w:t>
      </w:r>
    </w:p>
    <w:p w14:paraId="2819FB07" w14:textId="77777777" w:rsidR="004647B9" w:rsidRDefault="00E2436F" w:rsidP="00080D37">
      <w:pPr>
        <w:numPr>
          <w:ilvl w:val="1"/>
          <w:numId w:val="367"/>
        </w:numPr>
        <w:tabs>
          <w:tab w:val="left" w:pos="2064"/>
        </w:tabs>
        <w:ind w:left="1560" w:hanging="5"/>
        <w:jc w:val="both"/>
        <w:rPr>
          <w:rFonts w:eastAsia="Times New Roman"/>
          <w:sz w:val="24"/>
          <w:szCs w:val="24"/>
        </w:rPr>
      </w:pPr>
      <w:r>
        <w:rPr>
          <w:rFonts w:eastAsia="Times New Roman"/>
          <w:sz w:val="24"/>
          <w:szCs w:val="24"/>
        </w:rPr>
        <w:t>If the Supplier of Water has not taken TTHM and HAA5 samples under 310 CMR 22.07E or if the Department notifies the Supplier of Water that it must comply with 310 CMR 22.07F(1), the Supplier of Water must conduct standard monitoring under 310 CMR 22.07F(2) or a system specific study under 310 CMR 22.07F(3).</w:t>
      </w:r>
    </w:p>
    <w:p w14:paraId="2819FB08" w14:textId="77777777" w:rsidR="004647B9" w:rsidRDefault="004647B9" w:rsidP="00080D37">
      <w:pPr>
        <w:rPr>
          <w:rFonts w:eastAsia="Times New Roman"/>
          <w:sz w:val="24"/>
          <w:szCs w:val="24"/>
        </w:rPr>
      </w:pPr>
    </w:p>
    <w:p w14:paraId="2819FB09" w14:textId="77777777" w:rsidR="004647B9" w:rsidRDefault="00E2436F" w:rsidP="00080D37">
      <w:pPr>
        <w:numPr>
          <w:ilvl w:val="0"/>
          <w:numId w:val="367"/>
        </w:numPr>
        <w:tabs>
          <w:tab w:val="left" w:pos="1660"/>
        </w:tabs>
        <w:ind w:left="1660" w:hanging="460"/>
        <w:rPr>
          <w:rFonts w:eastAsia="Times New Roman"/>
          <w:sz w:val="24"/>
          <w:szCs w:val="24"/>
        </w:rPr>
      </w:pPr>
      <w:r>
        <w:rPr>
          <w:rFonts w:eastAsia="Times New Roman"/>
          <w:sz w:val="24"/>
          <w:szCs w:val="24"/>
          <w:u w:val="single"/>
        </w:rPr>
        <w:t>Compliance Monitoring Location Recommendations</w:t>
      </w:r>
      <w:r>
        <w:rPr>
          <w:rFonts w:eastAsia="Times New Roman"/>
          <w:sz w:val="24"/>
          <w:szCs w:val="24"/>
        </w:rPr>
        <w:t>.</w:t>
      </w:r>
    </w:p>
    <w:p w14:paraId="2819FB0B" w14:textId="77777777" w:rsidR="004647B9" w:rsidRDefault="00E2436F" w:rsidP="00080D37">
      <w:pPr>
        <w:numPr>
          <w:ilvl w:val="1"/>
          <w:numId w:val="367"/>
        </w:numPr>
        <w:tabs>
          <w:tab w:val="left" w:pos="2170"/>
        </w:tabs>
        <w:ind w:left="1560" w:hanging="5"/>
        <w:jc w:val="both"/>
        <w:rPr>
          <w:rFonts w:eastAsia="Times New Roman"/>
          <w:sz w:val="24"/>
          <w:szCs w:val="24"/>
        </w:rPr>
      </w:pPr>
      <w:r>
        <w:rPr>
          <w:rFonts w:eastAsia="Times New Roman"/>
          <w:sz w:val="24"/>
          <w:szCs w:val="24"/>
        </w:rPr>
        <w:t>The Supplier of Water's IDSE report must include their recommendations and justification for where and during what month(s) TTHM and HAA5 monitoring required under 310 CMR 22.07F(8) should be conducted. They must base their recommendations on the criteria in 310 CMR 22.07F(6)(b) through (e).</w:t>
      </w:r>
    </w:p>
    <w:p w14:paraId="2819FB0D" w14:textId="77777777" w:rsidR="004647B9" w:rsidRDefault="00E2436F" w:rsidP="00080D37">
      <w:pPr>
        <w:numPr>
          <w:ilvl w:val="1"/>
          <w:numId w:val="367"/>
        </w:numPr>
        <w:tabs>
          <w:tab w:val="left" w:pos="2005"/>
        </w:tabs>
        <w:ind w:left="1560" w:hanging="5"/>
        <w:jc w:val="both"/>
        <w:rPr>
          <w:rFonts w:eastAsia="Times New Roman"/>
          <w:sz w:val="24"/>
          <w:szCs w:val="24"/>
        </w:rPr>
      </w:pPr>
      <w:r>
        <w:rPr>
          <w:rFonts w:eastAsia="Times New Roman"/>
          <w:sz w:val="24"/>
          <w:szCs w:val="24"/>
        </w:rPr>
        <w:t>The Supplier of Water must select the number of monitoring locations specified in the table in 310 CMR 22.07F(6)(b). The Supplier of Water will use these recommended locations as routine compliance monitoring locations under 310 CMR 22.07F, unless the Department requires different or additional locations. The Supplier of Water should distribute locations throughout the Distribution System to the extent possible.</w:t>
      </w:r>
    </w:p>
    <w:p w14:paraId="2819FB0E" w14:textId="77777777" w:rsidR="004647B9" w:rsidRDefault="004647B9">
      <w:pPr>
        <w:sectPr w:rsidR="004647B9" w:rsidSect="00EF630C">
          <w:pgSz w:w="12240" w:h="20180"/>
          <w:pgMar w:top="708" w:right="1440" w:bottom="1440" w:left="600" w:header="0" w:footer="0" w:gutter="0"/>
          <w:cols w:space="720"/>
        </w:sectPr>
      </w:pPr>
    </w:p>
    <w:p w14:paraId="2819FB0F" w14:textId="77777777" w:rsidR="004647B9" w:rsidRDefault="00E2436F">
      <w:pPr>
        <w:tabs>
          <w:tab w:val="left" w:pos="160"/>
        </w:tabs>
        <w:ind w:right="20"/>
        <w:jc w:val="center"/>
        <w:rPr>
          <w:sz w:val="20"/>
          <w:szCs w:val="20"/>
        </w:rPr>
      </w:pPr>
      <w:bookmarkStart w:id="139" w:name="page141"/>
      <w:bookmarkEnd w:id="13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B10" w14:textId="77777777" w:rsidR="004647B9" w:rsidRDefault="004647B9" w:rsidP="00080D37">
      <w:pPr>
        <w:rPr>
          <w:sz w:val="20"/>
          <w:szCs w:val="20"/>
        </w:rPr>
      </w:pPr>
    </w:p>
    <w:p w14:paraId="2819FB11" w14:textId="77777777" w:rsidR="004647B9" w:rsidRDefault="004647B9" w:rsidP="00080D37">
      <w:pPr>
        <w:rPr>
          <w:sz w:val="20"/>
          <w:szCs w:val="20"/>
        </w:rPr>
      </w:pPr>
    </w:p>
    <w:p w14:paraId="2819FB12"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B13" w14:textId="77777777" w:rsidR="004647B9" w:rsidRDefault="004647B9" w:rsidP="00080D37">
      <w:pPr>
        <w:rPr>
          <w:sz w:val="20"/>
          <w:szCs w:val="20"/>
        </w:rPr>
      </w:pPr>
    </w:p>
    <w:p w14:paraId="2819FB14" w14:textId="77777777" w:rsidR="004647B9" w:rsidRDefault="00E2436F" w:rsidP="00080D37">
      <w:pPr>
        <w:ind w:right="20"/>
        <w:jc w:val="center"/>
        <w:rPr>
          <w:sz w:val="20"/>
          <w:szCs w:val="20"/>
        </w:rPr>
      </w:pPr>
      <w:r>
        <w:rPr>
          <w:rFonts w:eastAsia="Times New Roman"/>
          <w:sz w:val="24"/>
          <w:szCs w:val="24"/>
        </w:rPr>
        <w:t>TABLE 5 – 310 CMR 22.07F</w:t>
      </w:r>
    </w:p>
    <w:p w14:paraId="2819FB16" w14:textId="77777777" w:rsidR="004647B9" w:rsidRDefault="00E2436F" w:rsidP="00080D37">
      <w:pPr>
        <w:ind w:right="20"/>
        <w:jc w:val="center"/>
        <w:rPr>
          <w:sz w:val="20"/>
          <w:szCs w:val="20"/>
        </w:rPr>
      </w:pPr>
      <w:r>
        <w:rPr>
          <w:rFonts w:eastAsia="Times New Roman"/>
          <w:sz w:val="24"/>
          <w:szCs w:val="24"/>
        </w:rPr>
        <w:t>DISTRIBUTION SYSTEM MONITORING LOCATIONS</w:t>
      </w:r>
    </w:p>
    <w:p w14:paraId="2819FB17" w14:textId="77777777" w:rsidR="004647B9" w:rsidRDefault="004647B9" w:rsidP="00080D37">
      <w:pPr>
        <w:sectPr w:rsidR="004647B9" w:rsidSect="00EF630C">
          <w:pgSz w:w="12240" w:h="20180"/>
          <w:pgMar w:top="708" w:right="1420" w:bottom="1440" w:left="600" w:header="0" w:footer="0" w:gutter="0"/>
          <w:cols w:space="720"/>
        </w:sectPr>
      </w:pPr>
    </w:p>
    <w:p w14:paraId="2819FB3C" w14:textId="77777777" w:rsidR="004647B9" w:rsidRDefault="004647B9" w:rsidP="00080D37">
      <w:pPr>
        <w:rPr>
          <w:sz w:val="20"/>
          <w:szCs w:val="20"/>
        </w:rPr>
      </w:pPr>
    </w:p>
    <w:p w14:paraId="2819FB3D" w14:textId="77777777" w:rsidR="004647B9" w:rsidRDefault="004647B9">
      <w:pPr>
        <w:spacing w:line="1" w:lineRule="exact"/>
        <w:rPr>
          <w:sz w:val="1"/>
          <w:szCs w:val="1"/>
        </w:rPr>
      </w:pPr>
    </w:p>
    <w:tbl>
      <w:tblPr>
        <w:tblW w:w="0" w:type="auto"/>
        <w:tblInd w:w="10" w:type="dxa"/>
        <w:tblLayout w:type="fixed"/>
        <w:tblCellMar>
          <w:left w:w="0" w:type="dxa"/>
          <w:right w:w="0" w:type="dxa"/>
        </w:tblCellMar>
        <w:tblLook w:val="04A0" w:firstRow="1" w:lastRow="0" w:firstColumn="1" w:lastColumn="0" w:noHBand="0" w:noVBand="1"/>
      </w:tblPr>
      <w:tblGrid>
        <w:gridCol w:w="1760"/>
        <w:gridCol w:w="1800"/>
        <w:gridCol w:w="1260"/>
        <w:gridCol w:w="1260"/>
        <w:gridCol w:w="1000"/>
        <w:gridCol w:w="900"/>
        <w:gridCol w:w="1620"/>
      </w:tblGrid>
      <w:tr w:rsidR="00396CF7" w14:paraId="2819FB47" w14:textId="77777777" w:rsidTr="001C1729">
        <w:trPr>
          <w:trHeight w:val="266"/>
        </w:trPr>
        <w:tc>
          <w:tcPr>
            <w:tcW w:w="4820" w:type="dxa"/>
            <w:gridSpan w:val="3"/>
            <w:tcBorders>
              <w:top w:val="single" w:sz="8" w:space="0" w:color="auto"/>
              <w:left w:val="single" w:sz="8" w:space="0" w:color="auto"/>
              <w:right w:val="single" w:sz="8" w:space="0" w:color="auto"/>
            </w:tcBorders>
            <w:vAlign w:val="bottom"/>
          </w:tcPr>
          <w:p w14:paraId="2819FB45" w14:textId="77777777" w:rsidR="00396CF7" w:rsidRDefault="00396CF7">
            <w:pPr>
              <w:rPr>
                <w:sz w:val="23"/>
                <w:szCs w:val="23"/>
              </w:rPr>
            </w:pPr>
          </w:p>
        </w:tc>
        <w:tc>
          <w:tcPr>
            <w:tcW w:w="4780" w:type="dxa"/>
            <w:gridSpan w:val="4"/>
            <w:tcBorders>
              <w:top w:val="single" w:sz="8" w:space="0" w:color="auto"/>
              <w:right w:val="single" w:sz="8" w:space="0" w:color="auto"/>
            </w:tcBorders>
            <w:vAlign w:val="bottom"/>
          </w:tcPr>
          <w:p w14:paraId="2819FB46" w14:textId="77777777" w:rsidR="00396CF7" w:rsidRDefault="00396CF7">
            <w:pPr>
              <w:ind w:left="780"/>
              <w:rPr>
                <w:sz w:val="20"/>
                <w:szCs w:val="20"/>
              </w:rPr>
            </w:pPr>
            <w:r>
              <w:rPr>
                <w:rFonts w:eastAsia="Times New Roman"/>
                <w:sz w:val="18"/>
                <w:szCs w:val="18"/>
              </w:rPr>
              <w:t>Distribution System monitoring location</w:t>
            </w:r>
          </w:p>
        </w:tc>
      </w:tr>
      <w:tr w:rsidR="001C1729" w14:paraId="2819FB4F" w14:textId="77777777" w:rsidTr="001C1729">
        <w:trPr>
          <w:trHeight w:val="1100"/>
        </w:trPr>
        <w:tc>
          <w:tcPr>
            <w:tcW w:w="1760" w:type="dxa"/>
            <w:tcBorders>
              <w:left w:val="single" w:sz="8" w:space="0" w:color="auto"/>
              <w:bottom w:val="single" w:sz="8" w:space="0" w:color="auto"/>
              <w:right w:val="single" w:sz="8" w:space="0" w:color="auto"/>
            </w:tcBorders>
          </w:tcPr>
          <w:p w14:paraId="2819FB48" w14:textId="77777777" w:rsidR="001C1729" w:rsidRDefault="001C1729" w:rsidP="00396CF7">
            <w:pPr>
              <w:ind w:left="160"/>
              <w:jc w:val="center"/>
              <w:rPr>
                <w:sz w:val="20"/>
                <w:szCs w:val="20"/>
              </w:rPr>
            </w:pPr>
            <w:r>
              <w:rPr>
                <w:rFonts w:eastAsia="Times New Roman"/>
                <w:sz w:val="18"/>
                <w:szCs w:val="18"/>
              </w:rPr>
              <w:t>Source water type</w:t>
            </w:r>
          </w:p>
        </w:tc>
        <w:tc>
          <w:tcPr>
            <w:tcW w:w="1800" w:type="dxa"/>
            <w:tcBorders>
              <w:bottom w:val="single" w:sz="8" w:space="0" w:color="auto"/>
              <w:right w:val="single" w:sz="8" w:space="0" w:color="auto"/>
            </w:tcBorders>
          </w:tcPr>
          <w:p w14:paraId="2819FB49" w14:textId="34377C9E" w:rsidR="001C1729" w:rsidRDefault="001C1729" w:rsidP="00396CF7">
            <w:pPr>
              <w:jc w:val="center"/>
              <w:rPr>
                <w:sz w:val="20"/>
                <w:szCs w:val="20"/>
              </w:rPr>
            </w:pPr>
            <w:r>
              <w:rPr>
                <w:rFonts w:eastAsia="Times New Roman"/>
                <w:sz w:val="18"/>
                <w:szCs w:val="18"/>
              </w:rPr>
              <w:t>Population size category</w:t>
            </w:r>
          </w:p>
        </w:tc>
        <w:tc>
          <w:tcPr>
            <w:tcW w:w="1260" w:type="dxa"/>
            <w:tcBorders>
              <w:bottom w:val="single" w:sz="8" w:space="0" w:color="auto"/>
              <w:right w:val="single" w:sz="8" w:space="0" w:color="auto"/>
            </w:tcBorders>
          </w:tcPr>
          <w:p w14:paraId="2819FB4A" w14:textId="66F1E14D" w:rsidR="001C1729" w:rsidRDefault="001C1729" w:rsidP="00396CF7">
            <w:pPr>
              <w:jc w:val="center"/>
              <w:rPr>
                <w:sz w:val="20"/>
                <w:szCs w:val="20"/>
              </w:rPr>
            </w:pPr>
            <w:r>
              <w:rPr>
                <w:rFonts w:eastAsia="Times New Roman"/>
                <w:sz w:val="18"/>
                <w:szCs w:val="18"/>
              </w:rPr>
              <w:t>Monitoring frequency</w:t>
            </w:r>
            <w:r>
              <w:rPr>
                <w:rFonts w:eastAsia="Times New Roman"/>
                <w:sz w:val="24"/>
                <w:szCs w:val="24"/>
                <w:vertAlign w:val="superscript"/>
              </w:rPr>
              <w:t>1</w:t>
            </w:r>
          </w:p>
        </w:tc>
        <w:tc>
          <w:tcPr>
            <w:tcW w:w="1260" w:type="dxa"/>
            <w:tcBorders>
              <w:bottom w:val="single" w:sz="8" w:space="0" w:color="auto"/>
              <w:right w:val="single" w:sz="8" w:space="0" w:color="auto"/>
            </w:tcBorders>
          </w:tcPr>
          <w:p w14:paraId="2819FB4B" w14:textId="2A14DF2A" w:rsidR="001C1729" w:rsidRDefault="001C1729" w:rsidP="00396CF7">
            <w:pPr>
              <w:jc w:val="center"/>
              <w:rPr>
                <w:sz w:val="20"/>
                <w:szCs w:val="20"/>
              </w:rPr>
            </w:pPr>
            <w:r>
              <w:rPr>
                <w:rFonts w:eastAsia="Times New Roman"/>
                <w:sz w:val="18"/>
                <w:szCs w:val="18"/>
              </w:rPr>
              <w:t>Total per monitoring period</w:t>
            </w:r>
            <w:r>
              <w:rPr>
                <w:rFonts w:eastAsia="Times New Roman"/>
                <w:sz w:val="24"/>
                <w:szCs w:val="24"/>
                <w:vertAlign w:val="superscript"/>
              </w:rPr>
              <w:t>2</w:t>
            </w:r>
          </w:p>
        </w:tc>
        <w:tc>
          <w:tcPr>
            <w:tcW w:w="1000" w:type="dxa"/>
            <w:tcBorders>
              <w:bottom w:val="single" w:sz="8" w:space="0" w:color="auto"/>
              <w:right w:val="single" w:sz="8" w:space="0" w:color="auto"/>
            </w:tcBorders>
          </w:tcPr>
          <w:p w14:paraId="2819FB4C" w14:textId="600157A4" w:rsidR="001C1729" w:rsidRDefault="001C1729" w:rsidP="001C1729">
            <w:pPr>
              <w:jc w:val="center"/>
              <w:rPr>
                <w:sz w:val="20"/>
                <w:szCs w:val="20"/>
              </w:rPr>
            </w:pPr>
            <w:r>
              <w:rPr>
                <w:rFonts w:eastAsia="Times New Roman"/>
                <w:sz w:val="18"/>
                <w:szCs w:val="18"/>
              </w:rPr>
              <w:t>Highest TTHM locations</w:t>
            </w:r>
          </w:p>
        </w:tc>
        <w:tc>
          <w:tcPr>
            <w:tcW w:w="900" w:type="dxa"/>
            <w:tcBorders>
              <w:bottom w:val="single" w:sz="8" w:space="0" w:color="auto"/>
              <w:right w:val="single" w:sz="8" w:space="0" w:color="auto"/>
            </w:tcBorders>
          </w:tcPr>
          <w:p w14:paraId="2819FB4D" w14:textId="2976B00B" w:rsidR="001C1729" w:rsidRDefault="001C1729" w:rsidP="001C1729">
            <w:pPr>
              <w:jc w:val="center"/>
              <w:rPr>
                <w:sz w:val="20"/>
                <w:szCs w:val="20"/>
              </w:rPr>
            </w:pPr>
            <w:r>
              <w:rPr>
                <w:rFonts w:eastAsia="Times New Roman"/>
                <w:sz w:val="18"/>
                <w:szCs w:val="18"/>
              </w:rPr>
              <w:t>Highest HAA5 locations</w:t>
            </w:r>
          </w:p>
        </w:tc>
        <w:tc>
          <w:tcPr>
            <w:tcW w:w="1620" w:type="dxa"/>
            <w:tcBorders>
              <w:bottom w:val="single" w:sz="8" w:space="0" w:color="auto"/>
              <w:right w:val="single" w:sz="8" w:space="0" w:color="auto"/>
            </w:tcBorders>
          </w:tcPr>
          <w:p w14:paraId="2819FB4E" w14:textId="67F4B8F8" w:rsidR="001C1729" w:rsidRDefault="001C1729" w:rsidP="001C1729">
            <w:pPr>
              <w:jc w:val="center"/>
              <w:rPr>
                <w:sz w:val="20"/>
                <w:szCs w:val="20"/>
              </w:rPr>
            </w:pPr>
            <w:r>
              <w:rPr>
                <w:rFonts w:eastAsia="Times New Roman"/>
                <w:sz w:val="18"/>
                <w:szCs w:val="18"/>
              </w:rPr>
              <w:t>Existing compliance locations under 310 CMR 22.07E</w:t>
            </w:r>
          </w:p>
        </w:tc>
      </w:tr>
      <w:tr w:rsidR="001C1729" w14:paraId="2819FB7C" w14:textId="77777777" w:rsidTr="001C1729">
        <w:trPr>
          <w:trHeight w:val="259"/>
        </w:trPr>
        <w:tc>
          <w:tcPr>
            <w:tcW w:w="1760" w:type="dxa"/>
            <w:vMerge w:val="restart"/>
            <w:tcBorders>
              <w:top w:val="single" w:sz="8" w:space="0" w:color="auto"/>
              <w:left w:val="single" w:sz="8" w:space="0" w:color="auto"/>
              <w:right w:val="single" w:sz="8" w:space="0" w:color="auto"/>
            </w:tcBorders>
          </w:tcPr>
          <w:p w14:paraId="2819FB75" w14:textId="12FC0843" w:rsidR="001C1729" w:rsidRDefault="001C1729" w:rsidP="001C1729">
            <w:pPr>
              <w:ind w:left="20"/>
              <w:rPr>
                <w:sz w:val="20"/>
                <w:szCs w:val="20"/>
              </w:rPr>
            </w:pPr>
            <w:r>
              <w:rPr>
                <w:rFonts w:eastAsia="Times New Roman"/>
                <w:sz w:val="18"/>
                <w:szCs w:val="18"/>
              </w:rPr>
              <w:t>Surface or Groundwater under the Direct Influence of Surface Water</w:t>
            </w:r>
          </w:p>
        </w:tc>
        <w:tc>
          <w:tcPr>
            <w:tcW w:w="1800" w:type="dxa"/>
            <w:tcBorders>
              <w:top w:val="single" w:sz="8" w:space="0" w:color="auto"/>
              <w:bottom w:val="single" w:sz="8" w:space="0" w:color="auto"/>
              <w:right w:val="single" w:sz="8" w:space="0" w:color="auto"/>
            </w:tcBorders>
            <w:vAlign w:val="center"/>
          </w:tcPr>
          <w:p w14:paraId="2819FB76" w14:textId="77777777" w:rsidR="001C1729" w:rsidRDefault="001C1729" w:rsidP="001C1729">
            <w:pPr>
              <w:jc w:val="center"/>
              <w:rPr>
                <w:sz w:val="20"/>
                <w:szCs w:val="20"/>
              </w:rPr>
            </w:pPr>
            <w:r>
              <w:rPr>
                <w:rFonts w:eastAsia="Times New Roman"/>
                <w:sz w:val="18"/>
                <w:szCs w:val="18"/>
              </w:rPr>
              <w:t>&lt;500</w:t>
            </w:r>
          </w:p>
        </w:tc>
        <w:tc>
          <w:tcPr>
            <w:tcW w:w="1260" w:type="dxa"/>
            <w:tcBorders>
              <w:top w:val="single" w:sz="8" w:space="0" w:color="auto"/>
              <w:bottom w:val="single" w:sz="8" w:space="0" w:color="auto"/>
              <w:right w:val="single" w:sz="8" w:space="0" w:color="auto"/>
            </w:tcBorders>
            <w:vAlign w:val="center"/>
          </w:tcPr>
          <w:p w14:paraId="2819FB77" w14:textId="77777777" w:rsidR="001C1729" w:rsidRDefault="001C1729" w:rsidP="001C1729">
            <w:pPr>
              <w:jc w:val="center"/>
              <w:rPr>
                <w:sz w:val="20"/>
                <w:szCs w:val="20"/>
              </w:rPr>
            </w:pPr>
            <w:r>
              <w:rPr>
                <w:rFonts w:eastAsia="Times New Roman"/>
                <w:sz w:val="18"/>
                <w:szCs w:val="18"/>
              </w:rPr>
              <w:t>Per year</w:t>
            </w:r>
          </w:p>
        </w:tc>
        <w:tc>
          <w:tcPr>
            <w:tcW w:w="1260" w:type="dxa"/>
            <w:tcBorders>
              <w:top w:val="single" w:sz="8" w:space="0" w:color="auto"/>
              <w:bottom w:val="single" w:sz="8" w:space="0" w:color="auto"/>
              <w:right w:val="single" w:sz="8" w:space="0" w:color="auto"/>
            </w:tcBorders>
            <w:vAlign w:val="center"/>
          </w:tcPr>
          <w:p w14:paraId="2819FB78" w14:textId="77777777" w:rsidR="001C1729" w:rsidRDefault="001C1729" w:rsidP="001C1729">
            <w:pPr>
              <w:jc w:val="center"/>
              <w:rPr>
                <w:sz w:val="20"/>
                <w:szCs w:val="20"/>
              </w:rPr>
            </w:pPr>
            <w:r>
              <w:rPr>
                <w:rFonts w:eastAsia="Times New Roman"/>
                <w:w w:val="88"/>
                <w:sz w:val="18"/>
                <w:szCs w:val="18"/>
              </w:rPr>
              <w:t>2</w:t>
            </w:r>
          </w:p>
        </w:tc>
        <w:tc>
          <w:tcPr>
            <w:tcW w:w="1000" w:type="dxa"/>
            <w:tcBorders>
              <w:top w:val="single" w:sz="8" w:space="0" w:color="auto"/>
              <w:bottom w:val="single" w:sz="8" w:space="0" w:color="auto"/>
              <w:right w:val="single" w:sz="8" w:space="0" w:color="auto"/>
            </w:tcBorders>
            <w:vAlign w:val="center"/>
          </w:tcPr>
          <w:p w14:paraId="2819FB79" w14:textId="77777777" w:rsidR="001C1729" w:rsidRDefault="001C1729" w:rsidP="001C1729">
            <w:pPr>
              <w:jc w:val="center"/>
              <w:rPr>
                <w:sz w:val="20"/>
                <w:szCs w:val="20"/>
              </w:rPr>
            </w:pPr>
            <w:r>
              <w:rPr>
                <w:rFonts w:eastAsia="Times New Roman"/>
                <w:sz w:val="18"/>
                <w:szCs w:val="18"/>
              </w:rPr>
              <w:t>1</w:t>
            </w:r>
          </w:p>
        </w:tc>
        <w:tc>
          <w:tcPr>
            <w:tcW w:w="900" w:type="dxa"/>
            <w:tcBorders>
              <w:top w:val="single" w:sz="8" w:space="0" w:color="auto"/>
              <w:bottom w:val="single" w:sz="8" w:space="0" w:color="auto"/>
              <w:right w:val="single" w:sz="8" w:space="0" w:color="auto"/>
            </w:tcBorders>
            <w:vAlign w:val="center"/>
          </w:tcPr>
          <w:p w14:paraId="2819FB7A" w14:textId="77777777" w:rsidR="001C1729" w:rsidRDefault="001C1729" w:rsidP="001C1729">
            <w:pPr>
              <w:jc w:val="center"/>
              <w:rPr>
                <w:sz w:val="20"/>
                <w:szCs w:val="20"/>
              </w:rPr>
            </w:pPr>
            <w:r>
              <w:rPr>
                <w:rFonts w:eastAsia="Times New Roman"/>
                <w:sz w:val="18"/>
                <w:szCs w:val="18"/>
              </w:rPr>
              <w:t>1</w:t>
            </w:r>
          </w:p>
        </w:tc>
        <w:tc>
          <w:tcPr>
            <w:tcW w:w="1620" w:type="dxa"/>
            <w:tcBorders>
              <w:top w:val="single" w:sz="8" w:space="0" w:color="auto"/>
              <w:bottom w:val="single" w:sz="8" w:space="0" w:color="auto"/>
              <w:right w:val="single" w:sz="8" w:space="0" w:color="auto"/>
            </w:tcBorders>
            <w:vAlign w:val="center"/>
          </w:tcPr>
          <w:p w14:paraId="2819FB7B" w14:textId="77777777" w:rsidR="001C1729" w:rsidRDefault="001C1729" w:rsidP="001C1729">
            <w:pPr>
              <w:jc w:val="center"/>
              <w:rPr>
                <w:sz w:val="20"/>
                <w:szCs w:val="20"/>
              </w:rPr>
            </w:pPr>
            <w:r>
              <w:rPr>
                <w:rFonts w:eastAsia="Times New Roman"/>
                <w:sz w:val="18"/>
                <w:szCs w:val="18"/>
              </w:rPr>
              <w:t>...........</w:t>
            </w:r>
          </w:p>
        </w:tc>
      </w:tr>
      <w:tr w:rsidR="001C1729" w14:paraId="2819FBAB" w14:textId="77777777" w:rsidTr="001C1729">
        <w:trPr>
          <w:trHeight w:val="263"/>
        </w:trPr>
        <w:tc>
          <w:tcPr>
            <w:tcW w:w="1760" w:type="dxa"/>
            <w:vMerge/>
            <w:tcBorders>
              <w:left w:val="single" w:sz="8" w:space="0" w:color="auto"/>
              <w:right w:val="single" w:sz="8" w:space="0" w:color="auto"/>
            </w:tcBorders>
            <w:vAlign w:val="bottom"/>
          </w:tcPr>
          <w:p w14:paraId="2819FBA4" w14:textId="77777777" w:rsidR="001C1729" w:rsidRDefault="001C1729"/>
        </w:tc>
        <w:tc>
          <w:tcPr>
            <w:tcW w:w="1800" w:type="dxa"/>
            <w:tcBorders>
              <w:top w:val="single" w:sz="8" w:space="0" w:color="auto"/>
              <w:bottom w:val="single" w:sz="8" w:space="0" w:color="auto"/>
              <w:right w:val="single" w:sz="8" w:space="0" w:color="auto"/>
            </w:tcBorders>
            <w:vAlign w:val="center"/>
          </w:tcPr>
          <w:p w14:paraId="2819FBA5" w14:textId="77777777" w:rsidR="001C1729" w:rsidRDefault="001C1729" w:rsidP="001C1729">
            <w:pPr>
              <w:jc w:val="center"/>
              <w:rPr>
                <w:sz w:val="20"/>
                <w:szCs w:val="20"/>
              </w:rPr>
            </w:pPr>
            <w:r>
              <w:rPr>
                <w:rFonts w:eastAsia="Times New Roman"/>
                <w:sz w:val="18"/>
                <w:szCs w:val="18"/>
              </w:rPr>
              <w:t>500-3,300</w:t>
            </w:r>
          </w:p>
        </w:tc>
        <w:tc>
          <w:tcPr>
            <w:tcW w:w="1260" w:type="dxa"/>
            <w:tcBorders>
              <w:top w:val="single" w:sz="8" w:space="0" w:color="auto"/>
              <w:bottom w:val="single" w:sz="8" w:space="0" w:color="auto"/>
              <w:right w:val="single" w:sz="8" w:space="0" w:color="auto"/>
            </w:tcBorders>
            <w:vAlign w:val="center"/>
          </w:tcPr>
          <w:p w14:paraId="2819FBA6" w14:textId="77777777" w:rsidR="001C1729" w:rsidRDefault="001C1729" w:rsidP="001C1729">
            <w:pPr>
              <w:jc w:val="center"/>
              <w:rPr>
                <w:sz w:val="20"/>
                <w:szCs w:val="20"/>
              </w:rPr>
            </w:pPr>
            <w:r>
              <w:rPr>
                <w:rFonts w:eastAsia="Times New Roman"/>
                <w:sz w:val="18"/>
                <w:szCs w:val="18"/>
              </w:rPr>
              <w:t>Per quarter</w:t>
            </w:r>
          </w:p>
        </w:tc>
        <w:tc>
          <w:tcPr>
            <w:tcW w:w="1260" w:type="dxa"/>
            <w:tcBorders>
              <w:top w:val="single" w:sz="8" w:space="0" w:color="auto"/>
              <w:bottom w:val="single" w:sz="8" w:space="0" w:color="auto"/>
              <w:right w:val="single" w:sz="8" w:space="0" w:color="auto"/>
            </w:tcBorders>
            <w:vAlign w:val="center"/>
          </w:tcPr>
          <w:p w14:paraId="2819FBA7" w14:textId="77777777" w:rsidR="001C1729" w:rsidRDefault="001C1729" w:rsidP="001C1729">
            <w:pPr>
              <w:jc w:val="center"/>
              <w:rPr>
                <w:sz w:val="20"/>
                <w:szCs w:val="20"/>
              </w:rPr>
            </w:pPr>
            <w:r>
              <w:rPr>
                <w:rFonts w:eastAsia="Times New Roman"/>
                <w:w w:val="88"/>
                <w:sz w:val="18"/>
                <w:szCs w:val="18"/>
              </w:rPr>
              <w:t>2</w:t>
            </w:r>
          </w:p>
        </w:tc>
        <w:tc>
          <w:tcPr>
            <w:tcW w:w="1000" w:type="dxa"/>
            <w:tcBorders>
              <w:top w:val="single" w:sz="8" w:space="0" w:color="auto"/>
              <w:bottom w:val="single" w:sz="8" w:space="0" w:color="auto"/>
              <w:right w:val="single" w:sz="8" w:space="0" w:color="auto"/>
            </w:tcBorders>
            <w:vAlign w:val="center"/>
          </w:tcPr>
          <w:p w14:paraId="2819FBA8" w14:textId="77777777" w:rsidR="001C1729" w:rsidRDefault="001C1729" w:rsidP="001C1729">
            <w:pPr>
              <w:jc w:val="center"/>
              <w:rPr>
                <w:sz w:val="20"/>
                <w:szCs w:val="20"/>
              </w:rPr>
            </w:pPr>
            <w:r>
              <w:rPr>
                <w:rFonts w:eastAsia="Times New Roman"/>
                <w:sz w:val="18"/>
                <w:szCs w:val="18"/>
              </w:rPr>
              <w:t>1</w:t>
            </w:r>
          </w:p>
        </w:tc>
        <w:tc>
          <w:tcPr>
            <w:tcW w:w="900" w:type="dxa"/>
            <w:tcBorders>
              <w:top w:val="single" w:sz="8" w:space="0" w:color="auto"/>
              <w:bottom w:val="single" w:sz="8" w:space="0" w:color="auto"/>
              <w:right w:val="single" w:sz="8" w:space="0" w:color="auto"/>
            </w:tcBorders>
            <w:vAlign w:val="center"/>
          </w:tcPr>
          <w:p w14:paraId="2819FBA9" w14:textId="77777777" w:rsidR="001C1729" w:rsidRDefault="001C1729" w:rsidP="001C1729">
            <w:pPr>
              <w:jc w:val="center"/>
              <w:rPr>
                <w:sz w:val="20"/>
                <w:szCs w:val="20"/>
              </w:rPr>
            </w:pPr>
            <w:r>
              <w:rPr>
                <w:rFonts w:eastAsia="Times New Roman"/>
                <w:sz w:val="18"/>
                <w:szCs w:val="18"/>
              </w:rPr>
              <w:t>1</w:t>
            </w:r>
          </w:p>
        </w:tc>
        <w:tc>
          <w:tcPr>
            <w:tcW w:w="1620" w:type="dxa"/>
            <w:tcBorders>
              <w:top w:val="single" w:sz="8" w:space="0" w:color="auto"/>
              <w:bottom w:val="single" w:sz="8" w:space="0" w:color="auto"/>
              <w:right w:val="single" w:sz="8" w:space="0" w:color="auto"/>
            </w:tcBorders>
            <w:vAlign w:val="center"/>
          </w:tcPr>
          <w:p w14:paraId="2819FBAA" w14:textId="77777777" w:rsidR="001C1729" w:rsidRDefault="001C1729" w:rsidP="001C1729">
            <w:pPr>
              <w:jc w:val="center"/>
            </w:pPr>
          </w:p>
        </w:tc>
      </w:tr>
      <w:tr w:rsidR="001C1729" w14:paraId="2819FBB4" w14:textId="77777777" w:rsidTr="00347FE4">
        <w:trPr>
          <w:trHeight w:val="259"/>
        </w:trPr>
        <w:tc>
          <w:tcPr>
            <w:tcW w:w="1760" w:type="dxa"/>
            <w:vMerge/>
            <w:tcBorders>
              <w:left w:val="single" w:sz="8" w:space="0" w:color="auto"/>
              <w:right w:val="single" w:sz="8" w:space="0" w:color="auto"/>
            </w:tcBorders>
            <w:vAlign w:val="bottom"/>
          </w:tcPr>
          <w:p w14:paraId="2819FBAC" w14:textId="77777777" w:rsidR="001C1729" w:rsidRDefault="001C1729"/>
        </w:tc>
        <w:tc>
          <w:tcPr>
            <w:tcW w:w="1800" w:type="dxa"/>
            <w:tcBorders>
              <w:bottom w:val="single" w:sz="8" w:space="0" w:color="auto"/>
              <w:right w:val="single" w:sz="8" w:space="0" w:color="auto"/>
            </w:tcBorders>
            <w:vAlign w:val="center"/>
          </w:tcPr>
          <w:p w14:paraId="2819FBAE" w14:textId="7581D068" w:rsidR="001C1729" w:rsidRDefault="001C1729" w:rsidP="001C1729">
            <w:pPr>
              <w:jc w:val="center"/>
              <w:rPr>
                <w:sz w:val="20"/>
                <w:szCs w:val="20"/>
              </w:rPr>
            </w:pPr>
            <w:r>
              <w:rPr>
                <w:rFonts w:eastAsia="Times New Roman"/>
                <w:sz w:val="18"/>
                <w:szCs w:val="18"/>
              </w:rPr>
              <w:t>3,301 - 9,999</w:t>
            </w:r>
          </w:p>
        </w:tc>
        <w:tc>
          <w:tcPr>
            <w:tcW w:w="1260" w:type="dxa"/>
            <w:tcBorders>
              <w:bottom w:val="single" w:sz="8" w:space="0" w:color="auto"/>
              <w:right w:val="single" w:sz="8" w:space="0" w:color="auto"/>
            </w:tcBorders>
            <w:vAlign w:val="center"/>
          </w:tcPr>
          <w:p w14:paraId="2819FBAF" w14:textId="77777777" w:rsidR="001C1729" w:rsidRDefault="001C1729" w:rsidP="001C1729">
            <w:pPr>
              <w:jc w:val="center"/>
              <w:rPr>
                <w:sz w:val="20"/>
                <w:szCs w:val="20"/>
              </w:rPr>
            </w:pPr>
            <w:r>
              <w:rPr>
                <w:rFonts w:eastAsia="Times New Roman"/>
                <w:sz w:val="18"/>
                <w:szCs w:val="18"/>
              </w:rPr>
              <w:t>Per quarter</w:t>
            </w:r>
          </w:p>
        </w:tc>
        <w:tc>
          <w:tcPr>
            <w:tcW w:w="1260" w:type="dxa"/>
            <w:tcBorders>
              <w:bottom w:val="single" w:sz="8" w:space="0" w:color="auto"/>
              <w:right w:val="single" w:sz="8" w:space="0" w:color="auto"/>
            </w:tcBorders>
            <w:vAlign w:val="center"/>
          </w:tcPr>
          <w:p w14:paraId="2819FBB0" w14:textId="77777777" w:rsidR="001C1729" w:rsidRDefault="001C1729" w:rsidP="001C1729">
            <w:pPr>
              <w:jc w:val="center"/>
              <w:rPr>
                <w:sz w:val="20"/>
                <w:szCs w:val="20"/>
              </w:rPr>
            </w:pPr>
            <w:r>
              <w:rPr>
                <w:rFonts w:eastAsia="Times New Roman"/>
                <w:w w:val="88"/>
                <w:sz w:val="18"/>
                <w:szCs w:val="18"/>
              </w:rPr>
              <w:t>2</w:t>
            </w:r>
          </w:p>
        </w:tc>
        <w:tc>
          <w:tcPr>
            <w:tcW w:w="1000" w:type="dxa"/>
            <w:tcBorders>
              <w:bottom w:val="single" w:sz="8" w:space="0" w:color="auto"/>
              <w:right w:val="single" w:sz="8" w:space="0" w:color="auto"/>
            </w:tcBorders>
            <w:vAlign w:val="center"/>
          </w:tcPr>
          <w:p w14:paraId="2819FBB1" w14:textId="77777777" w:rsidR="001C1729" w:rsidRDefault="001C1729" w:rsidP="001C1729">
            <w:pPr>
              <w:jc w:val="center"/>
              <w:rPr>
                <w:sz w:val="20"/>
                <w:szCs w:val="20"/>
              </w:rPr>
            </w:pPr>
            <w:r>
              <w:rPr>
                <w:rFonts w:eastAsia="Times New Roman"/>
                <w:sz w:val="18"/>
                <w:szCs w:val="18"/>
              </w:rPr>
              <w:t>1</w:t>
            </w:r>
          </w:p>
        </w:tc>
        <w:tc>
          <w:tcPr>
            <w:tcW w:w="900" w:type="dxa"/>
            <w:tcBorders>
              <w:bottom w:val="single" w:sz="8" w:space="0" w:color="auto"/>
              <w:right w:val="single" w:sz="8" w:space="0" w:color="auto"/>
            </w:tcBorders>
            <w:vAlign w:val="center"/>
          </w:tcPr>
          <w:p w14:paraId="2819FBB2" w14:textId="77777777" w:rsidR="001C1729" w:rsidRDefault="001C1729" w:rsidP="001C1729">
            <w:pPr>
              <w:jc w:val="center"/>
              <w:rPr>
                <w:sz w:val="20"/>
                <w:szCs w:val="20"/>
              </w:rPr>
            </w:pPr>
            <w:r>
              <w:rPr>
                <w:rFonts w:eastAsia="Times New Roman"/>
                <w:sz w:val="18"/>
                <w:szCs w:val="18"/>
              </w:rPr>
              <w:t>1</w:t>
            </w:r>
          </w:p>
        </w:tc>
        <w:tc>
          <w:tcPr>
            <w:tcW w:w="1620" w:type="dxa"/>
            <w:tcBorders>
              <w:bottom w:val="single" w:sz="8" w:space="0" w:color="auto"/>
              <w:right w:val="single" w:sz="8" w:space="0" w:color="auto"/>
            </w:tcBorders>
            <w:vAlign w:val="center"/>
          </w:tcPr>
          <w:p w14:paraId="2819FBB3" w14:textId="77777777" w:rsidR="001C1729" w:rsidRDefault="001C1729" w:rsidP="001C1729">
            <w:pPr>
              <w:jc w:val="center"/>
              <w:rPr>
                <w:sz w:val="20"/>
                <w:szCs w:val="20"/>
              </w:rPr>
            </w:pPr>
            <w:r>
              <w:rPr>
                <w:rFonts w:eastAsia="Times New Roman"/>
                <w:sz w:val="18"/>
                <w:szCs w:val="18"/>
              </w:rPr>
              <w:t>...........</w:t>
            </w:r>
          </w:p>
        </w:tc>
      </w:tr>
      <w:tr w:rsidR="001C1729" w14:paraId="2819FBBD" w14:textId="77777777" w:rsidTr="00347FE4">
        <w:trPr>
          <w:trHeight w:val="261"/>
        </w:trPr>
        <w:tc>
          <w:tcPr>
            <w:tcW w:w="1760" w:type="dxa"/>
            <w:vMerge/>
            <w:tcBorders>
              <w:left w:val="single" w:sz="8" w:space="0" w:color="auto"/>
              <w:right w:val="single" w:sz="8" w:space="0" w:color="auto"/>
            </w:tcBorders>
            <w:vAlign w:val="bottom"/>
          </w:tcPr>
          <w:p w14:paraId="2819FBB5" w14:textId="77777777" w:rsidR="001C1729" w:rsidRDefault="001C1729"/>
        </w:tc>
        <w:tc>
          <w:tcPr>
            <w:tcW w:w="1800" w:type="dxa"/>
            <w:tcBorders>
              <w:bottom w:val="single" w:sz="8" w:space="0" w:color="auto"/>
              <w:right w:val="single" w:sz="8" w:space="0" w:color="auto"/>
            </w:tcBorders>
            <w:vAlign w:val="center"/>
          </w:tcPr>
          <w:p w14:paraId="2819FBB7" w14:textId="5B3FB66E" w:rsidR="001C1729" w:rsidRDefault="001C1729" w:rsidP="001C1729">
            <w:pPr>
              <w:jc w:val="center"/>
              <w:rPr>
                <w:sz w:val="20"/>
                <w:szCs w:val="20"/>
              </w:rPr>
            </w:pPr>
            <w:r>
              <w:rPr>
                <w:rFonts w:eastAsia="Times New Roman"/>
                <w:sz w:val="18"/>
                <w:szCs w:val="18"/>
              </w:rPr>
              <w:t>10,000 - 49,999</w:t>
            </w:r>
          </w:p>
        </w:tc>
        <w:tc>
          <w:tcPr>
            <w:tcW w:w="1260" w:type="dxa"/>
            <w:tcBorders>
              <w:bottom w:val="single" w:sz="8" w:space="0" w:color="auto"/>
              <w:right w:val="single" w:sz="8" w:space="0" w:color="auto"/>
            </w:tcBorders>
            <w:vAlign w:val="center"/>
          </w:tcPr>
          <w:p w14:paraId="2819FBB8" w14:textId="77777777" w:rsidR="001C1729" w:rsidRDefault="001C1729" w:rsidP="001C1729">
            <w:pPr>
              <w:jc w:val="center"/>
              <w:rPr>
                <w:sz w:val="20"/>
                <w:szCs w:val="20"/>
              </w:rPr>
            </w:pPr>
            <w:r>
              <w:rPr>
                <w:rFonts w:eastAsia="Times New Roman"/>
                <w:sz w:val="18"/>
                <w:szCs w:val="18"/>
              </w:rPr>
              <w:t>Per quarter</w:t>
            </w:r>
          </w:p>
        </w:tc>
        <w:tc>
          <w:tcPr>
            <w:tcW w:w="1260" w:type="dxa"/>
            <w:tcBorders>
              <w:bottom w:val="single" w:sz="8" w:space="0" w:color="auto"/>
              <w:right w:val="single" w:sz="8" w:space="0" w:color="auto"/>
            </w:tcBorders>
            <w:vAlign w:val="center"/>
          </w:tcPr>
          <w:p w14:paraId="2819FBB9" w14:textId="77777777" w:rsidR="001C1729" w:rsidRDefault="001C1729" w:rsidP="001C1729">
            <w:pPr>
              <w:jc w:val="center"/>
              <w:rPr>
                <w:sz w:val="20"/>
                <w:szCs w:val="20"/>
              </w:rPr>
            </w:pPr>
            <w:r>
              <w:rPr>
                <w:rFonts w:eastAsia="Times New Roman"/>
                <w:w w:val="88"/>
                <w:sz w:val="18"/>
                <w:szCs w:val="18"/>
              </w:rPr>
              <w:t>4</w:t>
            </w:r>
          </w:p>
        </w:tc>
        <w:tc>
          <w:tcPr>
            <w:tcW w:w="1000" w:type="dxa"/>
            <w:tcBorders>
              <w:bottom w:val="single" w:sz="8" w:space="0" w:color="auto"/>
              <w:right w:val="single" w:sz="8" w:space="0" w:color="auto"/>
            </w:tcBorders>
            <w:vAlign w:val="center"/>
          </w:tcPr>
          <w:p w14:paraId="2819FBBA" w14:textId="77777777" w:rsidR="001C1729" w:rsidRDefault="001C1729" w:rsidP="001C1729">
            <w:pPr>
              <w:jc w:val="center"/>
              <w:rPr>
                <w:sz w:val="20"/>
                <w:szCs w:val="20"/>
              </w:rPr>
            </w:pPr>
            <w:r>
              <w:rPr>
                <w:rFonts w:eastAsia="Times New Roman"/>
                <w:sz w:val="18"/>
                <w:szCs w:val="18"/>
              </w:rPr>
              <w:t>2</w:t>
            </w:r>
          </w:p>
        </w:tc>
        <w:tc>
          <w:tcPr>
            <w:tcW w:w="900" w:type="dxa"/>
            <w:tcBorders>
              <w:bottom w:val="single" w:sz="8" w:space="0" w:color="auto"/>
              <w:right w:val="single" w:sz="8" w:space="0" w:color="auto"/>
            </w:tcBorders>
            <w:vAlign w:val="center"/>
          </w:tcPr>
          <w:p w14:paraId="2819FBBB" w14:textId="77777777" w:rsidR="001C1729" w:rsidRDefault="001C1729" w:rsidP="001C1729">
            <w:pPr>
              <w:jc w:val="center"/>
              <w:rPr>
                <w:sz w:val="20"/>
                <w:szCs w:val="20"/>
              </w:rPr>
            </w:pPr>
            <w:r>
              <w:rPr>
                <w:rFonts w:eastAsia="Times New Roman"/>
                <w:sz w:val="18"/>
                <w:szCs w:val="18"/>
              </w:rPr>
              <w:t>1</w:t>
            </w:r>
          </w:p>
        </w:tc>
        <w:tc>
          <w:tcPr>
            <w:tcW w:w="1620" w:type="dxa"/>
            <w:tcBorders>
              <w:bottom w:val="single" w:sz="8" w:space="0" w:color="auto"/>
              <w:right w:val="single" w:sz="8" w:space="0" w:color="auto"/>
            </w:tcBorders>
            <w:vAlign w:val="center"/>
          </w:tcPr>
          <w:p w14:paraId="2819FBBC" w14:textId="77777777" w:rsidR="001C1729" w:rsidRDefault="001C1729" w:rsidP="001C1729">
            <w:pPr>
              <w:jc w:val="center"/>
              <w:rPr>
                <w:sz w:val="20"/>
                <w:szCs w:val="20"/>
              </w:rPr>
            </w:pPr>
            <w:r>
              <w:rPr>
                <w:rFonts w:eastAsia="Times New Roman"/>
                <w:sz w:val="18"/>
                <w:szCs w:val="18"/>
              </w:rPr>
              <w:t>1</w:t>
            </w:r>
          </w:p>
        </w:tc>
      </w:tr>
      <w:tr w:rsidR="001C1729" w14:paraId="2819FBC5" w14:textId="77777777" w:rsidTr="001C1729">
        <w:trPr>
          <w:trHeight w:val="259"/>
        </w:trPr>
        <w:tc>
          <w:tcPr>
            <w:tcW w:w="1760" w:type="dxa"/>
            <w:vMerge/>
            <w:tcBorders>
              <w:left w:val="single" w:sz="8" w:space="0" w:color="auto"/>
              <w:right w:val="single" w:sz="8" w:space="0" w:color="auto"/>
            </w:tcBorders>
            <w:vAlign w:val="bottom"/>
          </w:tcPr>
          <w:p w14:paraId="2819FBBE" w14:textId="77777777" w:rsidR="001C1729" w:rsidRDefault="001C1729"/>
        </w:tc>
        <w:tc>
          <w:tcPr>
            <w:tcW w:w="1800" w:type="dxa"/>
            <w:tcBorders>
              <w:bottom w:val="single" w:sz="8" w:space="0" w:color="auto"/>
              <w:right w:val="single" w:sz="8" w:space="0" w:color="auto"/>
            </w:tcBorders>
            <w:vAlign w:val="center"/>
          </w:tcPr>
          <w:p w14:paraId="2819FBBF" w14:textId="77777777" w:rsidR="001C1729" w:rsidRDefault="001C1729" w:rsidP="001C1729">
            <w:pPr>
              <w:jc w:val="center"/>
              <w:rPr>
                <w:sz w:val="20"/>
                <w:szCs w:val="20"/>
              </w:rPr>
            </w:pPr>
            <w:r>
              <w:rPr>
                <w:rFonts w:eastAsia="Times New Roman"/>
                <w:sz w:val="18"/>
                <w:szCs w:val="18"/>
              </w:rPr>
              <w:t>50,000-249,999</w:t>
            </w:r>
          </w:p>
        </w:tc>
        <w:tc>
          <w:tcPr>
            <w:tcW w:w="1260" w:type="dxa"/>
            <w:tcBorders>
              <w:bottom w:val="single" w:sz="8" w:space="0" w:color="auto"/>
              <w:right w:val="single" w:sz="8" w:space="0" w:color="auto"/>
            </w:tcBorders>
            <w:vAlign w:val="center"/>
          </w:tcPr>
          <w:p w14:paraId="2819FBC0" w14:textId="77777777" w:rsidR="001C1729" w:rsidRDefault="001C1729" w:rsidP="001C1729">
            <w:pPr>
              <w:jc w:val="center"/>
              <w:rPr>
                <w:sz w:val="20"/>
                <w:szCs w:val="20"/>
              </w:rPr>
            </w:pPr>
            <w:r>
              <w:rPr>
                <w:rFonts w:eastAsia="Times New Roman"/>
                <w:sz w:val="18"/>
                <w:szCs w:val="18"/>
              </w:rPr>
              <w:t>Per quarter</w:t>
            </w:r>
          </w:p>
        </w:tc>
        <w:tc>
          <w:tcPr>
            <w:tcW w:w="1260" w:type="dxa"/>
            <w:tcBorders>
              <w:bottom w:val="single" w:sz="8" w:space="0" w:color="auto"/>
              <w:right w:val="single" w:sz="8" w:space="0" w:color="auto"/>
            </w:tcBorders>
            <w:vAlign w:val="center"/>
          </w:tcPr>
          <w:p w14:paraId="2819FBC1" w14:textId="77777777" w:rsidR="001C1729" w:rsidRDefault="001C1729" w:rsidP="001C1729">
            <w:pPr>
              <w:jc w:val="center"/>
              <w:rPr>
                <w:sz w:val="20"/>
                <w:szCs w:val="20"/>
              </w:rPr>
            </w:pPr>
            <w:r>
              <w:rPr>
                <w:rFonts w:eastAsia="Times New Roman"/>
                <w:w w:val="88"/>
                <w:sz w:val="18"/>
                <w:szCs w:val="18"/>
              </w:rPr>
              <w:t>8</w:t>
            </w:r>
          </w:p>
        </w:tc>
        <w:tc>
          <w:tcPr>
            <w:tcW w:w="1000" w:type="dxa"/>
            <w:tcBorders>
              <w:bottom w:val="single" w:sz="8" w:space="0" w:color="auto"/>
              <w:right w:val="single" w:sz="8" w:space="0" w:color="auto"/>
            </w:tcBorders>
            <w:vAlign w:val="center"/>
          </w:tcPr>
          <w:p w14:paraId="2819FBC2" w14:textId="77777777" w:rsidR="001C1729" w:rsidRDefault="001C1729" w:rsidP="001C1729">
            <w:pPr>
              <w:jc w:val="center"/>
              <w:rPr>
                <w:sz w:val="20"/>
                <w:szCs w:val="20"/>
              </w:rPr>
            </w:pPr>
            <w:r>
              <w:rPr>
                <w:rFonts w:eastAsia="Times New Roman"/>
                <w:sz w:val="18"/>
                <w:szCs w:val="18"/>
              </w:rPr>
              <w:t>3</w:t>
            </w:r>
          </w:p>
        </w:tc>
        <w:tc>
          <w:tcPr>
            <w:tcW w:w="900" w:type="dxa"/>
            <w:tcBorders>
              <w:bottom w:val="single" w:sz="8" w:space="0" w:color="auto"/>
              <w:right w:val="single" w:sz="8" w:space="0" w:color="auto"/>
            </w:tcBorders>
            <w:vAlign w:val="center"/>
          </w:tcPr>
          <w:p w14:paraId="2819FBC3" w14:textId="77777777" w:rsidR="001C1729" w:rsidRDefault="001C1729" w:rsidP="001C1729">
            <w:pPr>
              <w:jc w:val="center"/>
              <w:rPr>
                <w:sz w:val="20"/>
                <w:szCs w:val="20"/>
              </w:rPr>
            </w:pPr>
            <w:r>
              <w:rPr>
                <w:rFonts w:eastAsia="Times New Roman"/>
                <w:sz w:val="18"/>
                <w:szCs w:val="18"/>
              </w:rPr>
              <w:t>3</w:t>
            </w:r>
          </w:p>
        </w:tc>
        <w:tc>
          <w:tcPr>
            <w:tcW w:w="1620" w:type="dxa"/>
            <w:tcBorders>
              <w:bottom w:val="single" w:sz="8" w:space="0" w:color="auto"/>
              <w:right w:val="single" w:sz="8" w:space="0" w:color="auto"/>
            </w:tcBorders>
            <w:vAlign w:val="center"/>
          </w:tcPr>
          <w:p w14:paraId="2819FBC4" w14:textId="77777777" w:rsidR="001C1729" w:rsidRDefault="001C1729" w:rsidP="001C1729">
            <w:pPr>
              <w:jc w:val="center"/>
              <w:rPr>
                <w:sz w:val="20"/>
                <w:szCs w:val="20"/>
              </w:rPr>
            </w:pPr>
            <w:r>
              <w:rPr>
                <w:rFonts w:eastAsia="Times New Roman"/>
                <w:sz w:val="18"/>
                <w:szCs w:val="18"/>
              </w:rPr>
              <w:t>2</w:t>
            </w:r>
          </w:p>
        </w:tc>
      </w:tr>
      <w:tr w:rsidR="001C1729" w14:paraId="2819FBCE" w14:textId="77777777" w:rsidTr="00347FE4">
        <w:trPr>
          <w:trHeight w:val="261"/>
        </w:trPr>
        <w:tc>
          <w:tcPr>
            <w:tcW w:w="1760" w:type="dxa"/>
            <w:vMerge/>
            <w:tcBorders>
              <w:left w:val="single" w:sz="8" w:space="0" w:color="auto"/>
              <w:right w:val="single" w:sz="8" w:space="0" w:color="auto"/>
            </w:tcBorders>
            <w:vAlign w:val="bottom"/>
          </w:tcPr>
          <w:p w14:paraId="2819FBC6" w14:textId="77777777" w:rsidR="001C1729" w:rsidRDefault="001C1729"/>
        </w:tc>
        <w:tc>
          <w:tcPr>
            <w:tcW w:w="1800" w:type="dxa"/>
            <w:tcBorders>
              <w:bottom w:val="single" w:sz="8" w:space="0" w:color="auto"/>
              <w:right w:val="single" w:sz="8" w:space="0" w:color="auto"/>
            </w:tcBorders>
            <w:vAlign w:val="center"/>
          </w:tcPr>
          <w:p w14:paraId="2819FBC8" w14:textId="2A9E1B42" w:rsidR="001C1729" w:rsidRDefault="001C1729" w:rsidP="001C1729">
            <w:pPr>
              <w:jc w:val="center"/>
              <w:rPr>
                <w:sz w:val="20"/>
                <w:szCs w:val="20"/>
              </w:rPr>
            </w:pPr>
            <w:r>
              <w:rPr>
                <w:rFonts w:eastAsia="Times New Roman"/>
                <w:sz w:val="18"/>
                <w:szCs w:val="18"/>
              </w:rPr>
              <w:t>250,000 - 999,999</w:t>
            </w:r>
          </w:p>
        </w:tc>
        <w:tc>
          <w:tcPr>
            <w:tcW w:w="1260" w:type="dxa"/>
            <w:tcBorders>
              <w:bottom w:val="single" w:sz="8" w:space="0" w:color="auto"/>
              <w:right w:val="single" w:sz="8" w:space="0" w:color="auto"/>
            </w:tcBorders>
            <w:vAlign w:val="center"/>
          </w:tcPr>
          <w:p w14:paraId="2819FBC9" w14:textId="77777777" w:rsidR="001C1729" w:rsidRDefault="001C1729" w:rsidP="001C1729">
            <w:pPr>
              <w:jc w:val="center"/>
              <w:rPr>
                <w:sz w:val="20"/>
                <w:szCs w:val="20"/>
              </w:rPr>
            </w:pPr>
            <w:r>
              <w:rPr>
                <w:rFonts w:eastAsia="Times New Roman"/>
                <w:sz w:val="18"/>
                <w:szCs w:val="18"/>
              </w:rPr>
              <w:t>Per quarter</w:t>
            </w:r>
          </w:p>
        </w:tc>
        <w:tc>
          <w:tcPr>
            <w:tcW w:w="1260" w:type="dxa"/>
            <w:tcBorders>
              <w:bottom w:val="single" w:sz="8" w:space="0" w:color="auto"/>
              <w:right w:val="single" w:sz="8" w:space="0" w:color="auto"/>
            </w:tcBorders>
            <w:vAlign w:val="center"/>
          </w:tcPr>
          <w:p w14:paraId="2819FBCA" w14:textId="77777777" w:rsidR="001C1729" w:rsidRDefault="001C1729" w:rsidP="001C1729">
            <w:pPr>
              <w:jc w:val="center"/>
              <w:rPr>
                <w:sz w:val="20"/>
                <w:szCs w:val="20"/>
              </w:rPr>
            </w:pPr>
            <w:r>
              <w:rPr>
                <w:rFonts w:eastAsia="Times New Roman"/>
                <w:sz w:val="18"/>
                <w:szCs w:val="18"/>
              </w:rPr>
              <w:t>12</w:t>
            </w:r>
          </w:p>
        </w:tc>
        <w:tc>
          <w:tcPr>
            <w:tcW w:w="1000" w:type="dxa"/>
            <w:tcBorders>
              <w:bottom w:val="single" w:sz="8" w:space="0" w:color="auto"/>
              <w:right w:val="single" w:sz="8" w:space="0" w:color="auto"/>
            </w:tcBorders>
            <w:vAlign w:val="center"/>
          </w:tcPr>
          <w:p w14:paraId="2819FBCB" w14:textId="77777777" w:rsidR="001C1729" w:rsidRDefault="001C1729" w:rsidP="001C1729">
            <w:pPr>
              <w:jc w:val="center"/>
              <w:rPr>
                <w:sz w:val="20"/>
                <w:szCs w:val="20"/>
              </w:rPr>
            </w:pPr>
            <w:r>
              <w:rPr>
                <w:rFonts w:eastAsia="Times New Roman"/>
                <w:sz w:val="18"/>
                <w:szCs w:val="18"/>
              </w:rPr>
              <w:t>5</w:t>
            </w:r>
          </w:p>
        </w:tc>
        <w:tc>
          <w:tcPr>
            <w:tcW w:w="900" w:type="dxa"/>
            <w:tcBorders>
              <w:bottom w:val="single" w:sz="8" w:space="0" w:color="auto"/>
              <w:right w:val="single" w:sz="8" w:space="0" w:color="auto"/>
            </w:tcBorders>
            <w:vAlign w:val="center"/>
          </w:tcPr>
          <w:p w14:paraId="2819FBCC" w14:textId="77777777" w:rsidR="001C1729" w:rsidRDefault="001C1729" w:rsidP="001C1729">
            <w:pPr>
              <w:jc w:val="center"/>
              <w:rPr>
                <w:sz w:val="20"/>
                <w:szCs w:val="20"/>
              </w:rPr>
            </w:pPr>
            <w:r>
              <w:rPr>
                <w:rFonts w:eastAsia="Times New Roman"/>
                <w:sz w:val="18"/>
                <w:szCs w:val="18"/>
              </w:rPr>
              <w:t>4</w:t>
            </w:r>
          </w:p>
        </w:tc>
        <w:tc>
          <w:tcPr>
            <w:tcW w:w="1620" w:type="dxa"/>
            <w:tcBorders>
              <w:bottom w:val="single" w:sz="8" w:space="0" w:color="auto"/>
              <w:right w:val="single" w:sz="8" w:space="0" w:color="auto"/>
            </w:tcBorders>
            <w:vAlign w:val="center"/>
          </w:tcPr>
          <w:p w14:paraId="2819FBCD" w14:textId="77777777" w:rsidR="001C1729" w:rsidRDefault="001C1729" w:rsidP="001C1729">
            <w:pPr>
              <w:jc w:val="center"/>
              <w:rPr>
                <w:sz w:val="20"/>
                <w:szCs w:val="20"/>
              </w:rPr>
            </w:pPr>
            <w:r>
              <w:rPr>
                <w:rFonts w:eastAsia="Times New Roman"/>
                <w:sz w:val="18"/>
                <w:szCs w:val="18"/>
              </w:rPr>
              <w:t>3</w:t>
            </w:r>
          </w:p>
        </w:tc>
      </w:tr>
      <w:tr w:rsidR="001C1729" w14:paraId="2819FBD7" w14:textId="77777777" w:rsidTr="00347FE4">
        <w:trPr>
          <w:trHeight w:val="259"/>
        </w:trPr>
        <w:tc>
          <w:tcPr>
            <w:tcW w:w="1760" w:type="dxa"/>
            <w:vMerge/>
            <w:tcBorders>
              <w:left w:val="single" w:sz="8" w:space="0" w:color="auto"/>
              <w:right w:val="single" w:sz="8" w:space="0" w:color="auto"/>
            </w:tcBorders>
            <w:vAlign w:val="bottom"/>
          </w:tcPr>
          <w:p w14:paraId="2819FBCF" w14:textId="77777777" w:rsidR="001C1729" w:rsidRDefault="001C1729"/>
        </w:tc>
        <w:tc>
          <w:tcPr>
            <w:tcW w:w="1800" w:type="dxa"/>
            <w:tcBorders>
              <w:bottom w:val="single" w:sz="8" w:space="0" w:color="auto"/>
              <w:right w:val="single" w:sz="8" w:space="0" w:color="auto"/>
            </w:tcBorders>
            <w:vAlign w:val="center"/>
          </w:tcPr>
          <w:p w14:paraId="2819FBD1" w14:textId="2C54BFA3" w:rsidR="001C1729" w:rsidRDefault="001C1729" w:rsidP="001C1729">
            <w:pPr>
              <w:jc w:val="center"/>
              <w:rPr>
                <w:sz w:val="20"/>
                <w:szCs w:val="20"/>
              </w:rPr>
            </w:pPr>
            <w:r>
              <w:rPr>
                <w:rFonts w:eastAsia="Times New Roman"/>
                <w:sz w:val="18"/>
                <w:szCs w:val="18"/>
              </w:rPr>
              <w:t>1,000,000 - 4,999,999</w:t>
            </w:r>
          </w:p>
        </w:tc>
        <w:tc>
          <w:tcPr>
            <w:tcW w:w="1260" w:type="dxa"/>
            <w:tcBorders>
              <w:bottom w:val="single" w:sz="8" w:space="0" w:color="auto"/>
              <w:right w:val="single" w:sz="8" w:space="0" w:color="auto"/>
            </w:tcBorders>
            <w:vAlign w:val="center"/>
          </w:tcPr>
          <w:p w14:paraId="2819FBD2" w14:textId="77777777" w:rsidR="001C1729" w:rsidRDefault="001C1729" w:rsidP="001C1729">
            <w:pPr>
              <w:jc w:val="center"/>
              <w:rPr>
                <w:sz w:val="20"/>
                <w:szCs w:val="20"/>
              </w:rPr>
            </w:pPr>
            <w:r>
              <w:rPr>
                <w:rFonts w:eastAsia="Times New Roman"/>
                <w:sz w:val="18"/>
                <w:szCs w:val="18"/>
              </w:rPr>
              <w:t>Per quarter</w:t>
            </w:r>
          </w:p>
        </w:tc>
        <w:tc>
          <w:tcPr>
            <w:tcW w:w="1260" w:type="dxa"/>
            <w:tcBorders>
              <w:bottom w:val="single" w:sz="8" w:space="0" w:color="auto"/>
              <w:right w:val="single" w:sz="8" w:space="0" w:color="auto"/>
            </w:tcBorders>
            <w:vAlign w:val="center"/>
          </w:tcPr>
          <w:p w14:paraId="2819FBD3" w14:textId="77777777" w:rsidR="001C1729" w:rsidRDefault="001C1729" w:rsidP="001C1729">
            <w:pPr>
              <w:jc w:val="center"/>
              <w:rPr>
                <w:sz w:val="20"/>
                <w:szCs w:val="20"/>
              </w:rPr>
            </w:pPr>
            <w:r>
              <w:rPr>
                <w:rFonts w:eastAsia="Times New Roman"/>
                <w:sz w:val="18"/>
                <w:szCs w:val="18"/>
              </w:rPr>
              <w:t>16</w:t>
            </w:r>
          </w:p>
        </w:tc>
        <w:tc>
          <w:tcPr>
            <w:tcW w:w="1000" w:type="dxa"/>
            <w:tcBorders>
              <w:bottom w:val="single" w:sz="8" w:space="0" w:color="auto"/>
              <w:right w:val="single" w:sz="8" w:space="0" w:color="auto"/>
            </w:tcBorders>
            <w:vAlign w:val="center"/>
          </w:tcPr>
          <w:p w14:paraId="2819FBD4" w14:textId="77777777" w:rsidR="001C1729" w:rsidRDefault="001C1729" w:rsidP="001C1729">
            <w:pPr>
              <w:jc w:val="center"/>
              <w:rPr>
                <w:sz w:val="20"/>
                <w:szCs w:val="20"/>
              </w:rPr>
            </w:pPr>
            <w:r>
              <w:rPr>
                <w:rFonts w:eastAsia="Times New Roman"/>
                <w:sz w:val="18"/>
                <w:szCs w:val="18"/>
              </w:rPr>
              <w:t>6</w:t>
            </w:r>
          </w:p>
        </w:tc>
        <w:tc>
          <w:tcPr>
            <w:tcW w:w="900" w:type="dxa"/>
            <w:tcBorders>
              <w:bottom w:val="single" w:sz="8" w:space="0" w:color="auto"/>
              <w:right w:val="single" w:sz="8" w:space="0" w:color="auto"/>
            </w:tcBorders>
            <w:vAlign w:val="center"/>
          </w:tcPr>
          <w:p w14:paraId="2819FBD5" w14:textId="77777777" w:rsidR="001C1729" w:rsidRDefault="001C1729" w:rsidP="001C1729">
            <w:pPr>
              <w:jc w:val="center"/>
              <w:rPr>
                <w:sz w:val="20"/>
                <w:szCs w:val="20"/>
              </w:rPr>
            </w:pPr>
            <w:r>
              <w:rPr>
                <w:rFonts w:eastAsia="Times New Roman"/>
                <w:sz w:val="18"/>
                <w:szCs w:val="18"/>
              </w:rPr>
              <w:t>6</w:t>
            </w:r>
          </w:p>
        </w:tc>
        <w:tc>
          <w:tcPr>
            <w:tcW w:w="1620" w:type="dxa"/>
            <w:tcBorders>
              <w:bottom w:val="single" w:sz="8" w:space="0" w:color="auto"/>
              <w:right w:val="single" w:sz="8" w:space="0" w:color="auto"/>
            </w:tcBorders>
            <w:vAlign w:val="center"/>
          </w:tcPr>
          <w:p w14:paraId="2819FBD6" w14:textId="77777777" w:rsidR="001C1729" w:rsidRDefault="001C1729" w:rsidP="001C1729">
            <w:pPr>
              <w:jc w:val="center"/>
              <w:rPr>
                <w:sz w:val="20"/>
                <w:szCs w:val="20"/>
              </w:rPr>
            </w:pPr>
            <w:r>
              <w:rPr>
                <w:rFonts w:eastAsia="Times New Roman"/>
                <w:sz w:val="18"/>
                <w:szCs w:val="18"/>
              </w:rPr>
              <w:t>4</w:t>
            </w:r>
          </w:p>
        </w:tc>
      </w:tr>
      <w:tr w:rsidR="001C1729" w14:paraId="2819FBDF" w14:textId="77777777" w:rsidTr="00F76540">
        <w:trPr>
          <w:trHeight w:val="264"/>
        </w:trPr>
        <w:tc>
          <w:tcPr>
            <w:tcW w:w="1760" w:type="dxa"/>
            <w:vMerge/>
            <w:tcBorders>
              <w:left w:val="single" w:sz="8" w:space="0" w:color="auto"/>
              <w:bottom w:val="single" w:sz="8" w:space="0" w:color="auto"/>
              <w:right w:val="single" w:sz="8" w:space="0" w:color="auto"/>
            </w:tcBorders>
            <w:vAlign w:val="bottom"/>
          </w:tcPr>
          <w:p w14:paraId="2819FBD8" w14:textId="77777777" w:rsidR="001C1729" w:rsidRDefault="001C1729"/>
        </w:tc>
        <w:tc>
          <w:tcPr>
            <w:tcW w:w="1800" w:type="dxa"/>
            <w:tcBorders>
              <w:bottom w:val="single" w:sz="8" w:space="0" w:color="auto"/>
              <w:right w:val="single" w:sz="8" w:space="0" w:color="auto"/>
            </w:tcBorders>
            <w:vAlign w:val="center"/>
          </w:tcPr>
          <w:p w14:paraId="2819FBD9" w14:textId="77777777" w:rsidR="001C1729" w:rsidRDefault="001C1729" w:rsidP="001C1729">
            <w:pPr>
              <w:jc w:val="center"/>
              <w:rPr>
                <w:sz w:val="20"/>
                <w:szCs w:val="20"/>
              </w:rPr>
            </w:pPr>
            <w:r>
              <w:rPr>
                <w:rFonts w:eastAsia="Times New Roman"/>
                <w:sz w:val="18"/>
                <w:szCs w:val="18"/>
              </w:rPr>
              <w:t>&gt;5,000,000</w:t>
            </w:r>
          </w:p>
        </w:tc>
        <w:tc>
          <w:tcPr>
            <w:tcW w:w="1260" w:type="dxa"/>
            <w:tcBorders>
              <w:bottom w:val="single" w:sz="8" w:space="0" w:color="auto"/>
              <w:right w:val="single" w:sz="8" w:space="0" w:color="auto"/>
            </w:tcBorders>
            <w:vAlign w:val="center"/>
          </w:tcPr>
          <w:p w14:paraId="2819FBDA" w14:textId="77777777" w:rsidR="001C1729" w:rsidRDefault="001C1729" w:rsidP="001C1729">
            <w:pPr>
              <w:jc w:val="center"/>
              <w:rPr>
                <w:sz w:val="20"/>
                <w:szCs w:val="20"/>
              </w:rPr>
            </w:pPr>
            <w:r>
              <w:rPr>
                <w:rFonts w:eastAsia="Times New Roman"/>
                <w:sz w:val="18"/>
                <w:szCs w:val="18"/>
              </w:rPr>
              <w:t>Per quarter</w:t>
            </w:r>
          </w:p>
        </w:tc>
        <w:tc>
          <w:tcPr>
            <w:tcW w:w="1260" w:type="dxa"/>
            <w:tcBorders>
              <w:bottom w:val="single" w:sz="8" w:space="0" w:color="auto"/>
              <w:right w:val="single" w:sz="8" w:space="0" w:color="auto"/>
            </w:tcBorders>
            <w:vAlign w:val="center"/>
          </w:tcPr>
          <w:p w14:paraId="2819FBDB" w14:textId="77777777" w:rsidR="001C1729" w:rsidRDefault="001C1729" w:rsidP="001C1729">
            <w:pPr>
              <w:jc w:val="center"/>
              <w:rPr>
                <w:sz w:val="20"/>
                <w:szCs w:val="20"/>
              </w:rPr>
            </w:pPr>
            <w:r>
              <w:rPr>
                <w:rFonts w:eastAsia="Times New Roman"/>
                <w:sz w:val="18"/>
                <w:szCs w:val="18"/>
              </w:rPr>
              <w:t>20</w:t>
            </w:r>
          </w:p>
        </w:tc>
        <w:tc>
          <w:tcPr>
            <w:tcW w:w="1000" w:type="dxa"/>
            <w:tcBorders>
              <w:bottom w:val="single" w:sz="8" w:space="0" w:color="auto"/>
              <w:right w:val="single" w:sz="8" w:space="0" w:color="auto"/>
            </w:tcBorders>
            <w:vAlign w:val="center"/>
          </w:tcPr>
          <w:p w14:paraId="2819FBDC" w14:textId="77777777" w:rsidR="001C1729" w:rsidRDefault="001C1729" w:rsidP="001C1729">
            <w:pPr>
              <w:jc w:val="center"/>
              <w:rPr>
                <w:sz w:val="20"/>
                <w:szCs w:val="20"/>
              </w:rPr>
            </w:pPr>
            <w:r>
              <w:rPr>
                <w:rFonts w:eastAsia="Times New Roman"/>
                <w:sz w:val="18"/>
                <w:szCs w:val="18"/>
              </w:rPr>
              <w:t>8</w:t>
            </w:r>
          </w:p>
        </w:tc>
        <w:tc>
          <w:tcPr>
            <w:tcW w:w="900" w:type="dxa"/>
            <w:tcBorders>
              <w:bottom w:val="single" w:sz="8" w:space="0" w:color="auto"/>
              <w:right w:val="single" w:sz="8" w:space="0" w:color="auto"/>
            </w:tcBorders>
            <w:vAlign w:val="center"/>
          </w:tcPr>
          <w:p w14:paraId="2819FBDD" w14:textId="77777777" w:rsidR="001C1729" w:rsidRDefault="001C1729" w:rsidP="001C1729">
            <w:pPr>
              <w:jc w:val="center"/>
              <w:rPr>
                <w:sz w:val="20"/>
                <w:szCs w:val="20"/>
              </w:rPr>
            </w:pPr>
            <w:r>
              <w:rPr>
                <w:rFonts w:eastAsia="Times New Roman"/>
                <w:sz w:val="18"/>
                <w:szCs w:val="18"/>
              </w:rPr>
              <w:t>7</w:t>
            </w:r>
          </w:p>
        </w:tc>
        <w:tc>
          <w:tcPr>
            <w:tcW w:w="1620" w:type="dxa"/>
            <w:tcBorders>
              <w:bottom w:val="single" w:sz="8" w:space="0" w:color="auto"/>
              <w:right w:val="single" w:sz="8" w:space="0" w:color="auto"/>
            </w:tcBorders>
            <w:vAlign w:val="center"/>
          </w:tcPr>
          <w:p w14:paraId="2819FBDE" w14:textId="77777777" w:rsidR="001C1729" w:rsidRDefault="001C1729" w:rsidP="001C1729">
            <w:pPr>
              <w:jc w:val="center"/>
              <w:rPr>
                <w:sz w:val="20"/>
                <w:szCs w:val="20"/>
              </w:rPr>
            </w:pPr>
            <w:r>
              <w:rPr>
                <w:rFonts w:eastAsia="Times New Roman"/>
                <w:sz w:val="18"/>
                <w:szCs w:val="18"/>
              </w:rPr>
              <w:t>5</w:t>
            </w:r>
          </w:p>
        </w:tc>
      </w:tr>
      <w:tr w:rsidR="00F76540" w14:paraId="2819FBEC" w14:textId="77777777" w:rsidTr="00F76540">
        <w:trPr>
          <w:trHeight w:val="259"/>
        </w:trPr>
        <w:tc>
          <w:tcPr>
            <w:tcW w:w="1760" w:type="dxa"/>
            <w:vMerge w:val="restart"/>
            <w:tcBorders>
              <w:top w:val="single" w:sz="8" w:space="0" w:color="auto"/>
              <w:left w:val="single" w:sz="8" w:space="0" w:color="auto"/>
              <w:bottom w:val="single" w:sz="8" w:space="0" w:color="auto"/>
              <w:right w:val="single" w:sz="8" w:space="0" w:color="auto"/>
            </w:tcBorders>
          </w:tcPr>
          <w:p w14:paraId="2819FBE0" w14:textId="77777777" w:rsidR="00F76540" w:rsidRDefault="00F76540" w:rsidP="000429F7">
            <w:pPr>
              <w:ind w:left="20"/>
              <w:rPr>
                <w:sz w:val="20"/>
                <w:szCs w:val="20"/>
              </w:rPr>
            </w:pPr>
            <w:r>
              <w:rPr>
                <w:rFonts w:eastAsia="Times New Roman"/>
                <w:sz w:val="18"/>
                <w:szCs w:val="18"/>
              </w:rPr>
              <w:t>Groundwater</w:t>
            </w:r>
          </w:p>
        </w:tc>
        <w:tc>
          <w:tcPr>
            <w:tcW w:w="1800" w:type="dxa"/>
            <w:tcBorders>
              <w:top w:val="single" w:sz="8" w:space="0" w:color="auto"/>
              <w:bottom w:val="single" w:sz="8" w:space="0" w:color="auto"/>
              <w:right w:val="single" w:sz="8" w:space="0" w:color="auto"/>
            </w:tcBorders>
            <w:vAlign w:val="center"/>
          </w:tcPr>
          <w:p w14:paraId="2819FBE6" w14:textId="4A3B06B7" w:rsidR="00F76540" w:rsidRDefault="00F76540" w:rsidP="00F76540">
            <w:pPr>
              <w:jc w:val="center"/>
            </w:pPr>
            <w:r>
              <w:rPr>
                <w:rFonts w:eastAsia="Times New Roman"/>
                <w:sz w:val="18"/>
                <w:szCs w:val="18"/>
              </w:rPr>
              <w:t>&lt;500</w:t>
            </w:r>
          </w:p>
        </w:tc>
        <w:tc>
          <w:tcPr>
            <w:tcW w:w="1260" w:type="dxa"/>
            <w:tcBorders>
              <w:top w:val="single" w:sz="8" w:space="0" w:color="auto"/>
              <w:left w:val="single" w:sz="8" w:space="0" w:color="auto"/>
              <w:bottom w:val="single" w:sz="8" w:space="0" w:color="auto"/>
              <w:right w:val="single" w:sz="8" w:space="0" w:color="auto"/>
            </w:tcBorders>
            <w:vAlign w:val="center"/>
          </w:tcPr>
          <w:p w14:paraId="2819FBE7" w14:textId="172C228D" w:rsidR="00F76540" w:rsidRDefault="00F76540" w:rsidP="00F76540">
            <w:pPr>
              <w:jc w:val="center"/>
            </w:pPr>
            <w:r>
              <w:rPr>
                <w:rFonts w:eastAsia="Times New Roman"/>
                <w:sz w:val="18"/>
                <w:szCs w:val="18"/>
              </w:rPr>
              <w:t>Per year</w:t>
            </w:r>
          </w:p>
        </w:tc>
        <w:tc>
          <w:tcPr>
            <w:tcW w:w="1260" w:type="dxa"/>
            <w:tcBorders>
              <w:top w:val="single" w:sz="8" w:space="0" w:color="auto"/>
              <w:bottom w:val="single" w:sz="8" w:space="0" w:color="auto"/>
              <w:right w:val="single" w:sz="8" w:space="0" w:color="auto"/>
            </w:tcBorders>
            <w:vAlign w:val="center"/>
          </w:tcPr>
          <w:p w14:paraId="2819FBE8" w14:textId="0CDC37D9" w:rsidR="00F76540" w:rsidRDefault="00F76540" w:rsidP="00F76540">
            <w:pPr>
              <w:jc w:val="center"/>
            </w:pPr>
            <w:r>
              <w:rPr>
                <w:rFonts w:eastAsia="Times New Roman"/>
                <w:w w:val="88"/>
                <w:sz w:val="18"/>
                <w:szCs w:val="18"/>
              </w:rPr>
              <w:t>2</w:t>
            </w:r>
          </w:p>
        </w:tc>
        <w:tc>
          <w:tcPr>
            <w:tcW w:w="1000" w:type="dxa"/>
            <w:tcBorders>
              <w:top w:val="single" w:sz="8" w:space="0" w:color="auto"/>
              <w:bottom w:val="single" w:sz="8" w:space="0" w:color="auto"/>
              <w:right w:val="single" w:sz="8" w:space="0" w:color="auto"/>
            </w:tcBorders>
            <w:vAlign w:val="center"/>
          </w:tcPr>
          <w:p w14:paraId="2819FBE9" w14:textId="44CB59BA" w:rsidR="00F76540" w:rsidRDefault="00F76540" w:rsidP="00F76540">
            <w:pPr>
              <w:jc w:val="center"/>
            </w:pPr>
            <w:r>
              <w:rPr>
                <w:rFonts w:eastAsia="Times New Roman"/>
                <w:sz w:val="18"/>
                <w:szCs w:val="18"/>
              </w:rPr>
              <w:t>1</w:t>
            </w:r>
          </w:p>
        </w:tc>
        <w:tc>
          <w:tcPr>
            <w:tcW w:w="900" w:type="dxa"/>
            <w:tcBorders>
              <w:top w:val="single" w:sz="8" w:space="0" w:color="auto"/>
              <w:bottom w:val="single" w:sz="8" w:space="0" w:color="auto"/>
              <w:right w:val="single" w:sz="8" w:space="0" w:color="auto"/>
            </w:tcBorders>
            <w:vAlign w:val="center"/>
          </w:tcPr>
          <w:p w14:paraId="2819FBEA" w14:textId="6C85EDC8" w:rsidR="00F76540" w:rsidRDefault="00F76540" w:rsidP="00F76540">
            <w:pPr>
              <w:jc w:val="center"/>
            </w:pPr>
            <w:r>
              <w:rPr>
                <w:rFonts w:eastAsia="Times New Roman"/>
                <w:sz w:val="18"/>
                <w:szCs w:val="18"/>
              </w:rPr>
              <w:t>1</w:t>
            </w:r>
          </w:p>
        </w:tc>
        <w:tc>
          <w:tcPr>
            <w:tcW w:w="1620" w:type="dxa"/>
            <w:tcBorders>
              <w:top w:val="single" w:sz="8" w:space="0" w:color="auto"/>
              <w:bottom w:val="single" w:sz="8" w:space="0" w:color="auto"/>
              <w:right w:val="single" w:sz="8" w:space="0" w:color="auto"/>
            </w:tcBorders>
            <w:vAlign w:val="center"/>
          </w:tcPr>
          <w:p w14:paraId="2819FBEB" w14:textId="77777777" w:rsidR="00F76540" w:rsidRDefault="00F76540" w:rsidP="00F76540">
            <w:pPr>
              <w:jc w:val="center"/>
            </w:pPr>
          </w:p>
        </w:tc>
      </w:tr>
      <w:tr w:rsidR="000429F7" w14:paraId="2819FBFC" w14:textId="77777777" w:rsidTr="00F76540">
        <w:trPr>
          <w:trHeight w:val="259"/>
        </w:trPr>
        <w:tc>
          <w:tcPr>
            <w:tcW w:w="1760" w:type="dxa"/>
            <w:vMerge/>
            <w:tcBorders>
              <w:left w:val="single" w:sz="8" w:space="0" w:color="auto"/>
              <w:bottom w:val="single" w:sz="8" w:space="0" w:color="auto"/>
              <w:right w:val="single" w:sz="8" w:space="0" w:color="auto"/>
            </w:tcBorders>
            <w:vAlign w:val="bottom"/>
          </w:tcPr>
          <w:p w14:paraId="2819FBF5" w14:textId="77777777" w:rsidR="000429F7" w:rsidRDefault="000429F7"/>
        </w:tc>
        <w:tc>
          <w:tcPr>
            <w:tcW w:w="1800" w:type="dxa"/>
            <w:tcBorders>
              <w:top w:val="single" w:sz="8" w:space="0" w:color="auto"/>
              <w:bottom w:val="single" w:sz="8" w:space="0" w:color="auto"/>
              <w:right w:val="single" w:sz="8" w:space="0" w:color="auto"/>
            </w:tcBorders>
            <w:vAlign w:val="center"/>
          </w:tcPr>
          <w:p w14:paraId="2819FBF6" w14:textId="77777777" w:rsidR="000429F7" w:rsidRDefault="000429F7" w:rsidP="00F76540">
            <w:pPr>
              <w:jc w:val="center"/>
              <w:rPr>
                <w:sz w:val="20"/>
                <w:szCs w:val="20"/>
              </w:rPr>
            </w:pPr>
            <w:r>
              <w:rPr>
                <w:rFonts w:eastAsia="Times New Roman"/>
                <w:sz w:val="18"/>
                <w:szCs w:val="18"/>
              </w:rPr>
              <w:t>500-9,999</w:t>
            </w:r>
          </w:p>
        </w:tc>
        <w:tc>
          <w:tcPr>
            <w:tcW w:w="1260" w:type="dxa"/>
            <w:tcBorders>
              <w:top w:val="single" w:sz="8" w:space="0" w:color="auto"/>
              <w:bottom w:val="single" w:sz="8" w:space="0" w:color="auto"/>
              <w:right w:val="single" w:sz="8" w:space="0" w:color="auto"/>
            </w:tcBorders>
            <w:vAlign w:val="center"/>
          </w:tcPr>
          <w:p w14:paraId="2819FBF7" w14:textId="77777777" w:rsidR="000429F7" w:rsidRDefault="000429F7" w:rsidP="00F76540">
            <w:pPr>
              <w:jc w:val="center"/>
              <w:rPr>
                <w:sz w:val="20"/>
                <w:szCs w:val="20"/>
              </w:rPr>
            </w:pPr>
            <w:r>
              <w:rPr>
                <w:rFonts w:eastAsia="Times New Roman"/>
                <w:sz w:val="18"/>
                <w:szCs w:val="18"/>
              </w:rPr>
              <w:t>Per year</w:t>
            </w:r>
          </w:p>
        </w:tc>
        <w:tc>
          <w:tcPr>
            <w:tcW w:w="1260" w:type="dxa"/>
            <w:tcBorders>
              <w:top w:val="single" w:sz="8" w:space="0" w:color="auto"/>
              <w:bottom w:val="single" w:sz="8" w:space="0" w:color="auto"/>
              <w:right w:val="single" w:sz="8" w:space="0" w:color="auto"/>
            </w:tcBorders>
            <w:vAlign w:val="center"/>
          </w:tcPr>
          <w:p w14:paraId="2819FBF8" w14:textId="77777777" w:rsidR="000429F7" w:rsidRDefault="000429F7" w:rsidP="00F76540">
            <w:pPr>
              <w:jc w:val="center"/>
              <w:rPr>
                <w:sz w:val="20"/>
                <w:szCs w:val="20"/>
              </w:rPr>
            </w:pPr>
            <w:r>
              <w:rPr>
                <w:rFonts w:eastAsia="Times New Roman"/>
                <w:w w:val="88"/>
                <w:sz w:val="18"/>
                <w:szCs w:val="18"/>
              </w:rPr>
              <w:t>2</w:t>
            </w:r>
          </w:p>
        </w:tc>
        <w:tc>
          <w:tcPr>
            <w:tcW w:w="1000" w:type="dxa"/>
            <w:tcBorders>
              <w:top w:val="single" w:sz="8" w:space="0" w:color="auto"/>
              <w:bottom w:val="single" w:sz="8" w:space="0" w:color="auto"/>
              <w:right w:val="single" w:sz="8" w:space="0" w:color="auto"/>
            </w:tcBorders>
            <w:vAlign w:val="center"/>
          </w:tcPr>
          <w:p w14:paraId="2819FBF9" w14:textId="77777777" w:rsidR="000429F7" w:rsidRDefault="000429F7" w:rsidP="00F76540">
            <w:pPr>
              <w:jc w:val="center"/>
              <w:rPr>
                <w:sz w:val="20"/>
                <w:szCs w:val="20"/>
              </w:rPr>
            </w:pPr>
            <w:r>
              <w:rPr>
                <w:rFonts w:eastAsia="Times New Roman"/>
                <w:sz w:val="18"/>
                <w:szCs w:val="18"/>
              </w:rPr>
              <w:t>1</w:t>
            </w:r>
          </w:p>
        </w:tc>
        <w:tc>
          <w:tcPr>
            <w:tcW w:w="900" w:type="dxa"/>
            <w:tcBorders>
              <w:top w:val="single" w:sz="8" w:space="0" w:color="auto"/>
              <w:bottom w:val="single" w:sz="8" w:space="0" w:color="auto"/>
              <w:right w:val="single" w:sz="8" w:space="0" w:color="auto"/>
            </w:tcBorders>
            <w:vAlign w:val="center"/>
          </w:tcPr>
          <w:p w14:paraId="2819FBFA" w14:textId="77777777" w:rsidR="000429F7" w:rsidRDefault="000429F7" w:rsidP="00F76540">
            <w:pPr>
              <w:jc w:val="center"/>
              <w:rPr>
                <w:sz w:val="20"/>
                <w:szCs w:val="20"/>
              </w:rPr>
            </w:pPr>
            <w:r>
              <w:rPr>
                <w:rFonts w:eastAsia="Times New Roman"/>
                <w:sz w:val="18"/>
                <w:szCs w:val="18"/>
              </w:rPr>
              <w:t>1</w:t>
            </w:r>
          </w:p>
        </w:tc>
        <w:tc>
          <w:tcPr>
            <w:tcW w:w="1620" w:type="dxa"/>
            <w:tcBorders>
              <w:top w:val="single" w:sz="8" w:space="0" w:color="auto"/>
              <w:bottom w:val="single" w:sz="8" w:space="0" w:color="auto"/>
              <w:right w:val="single" w:sz="8" w:space="0" w:color="auto"/>
            </w:tcBorders>
            <w:vAlign w:val="center"/>
          </w:tcPr>
          <w:p w14:paraId="2819FBFB" w14:textId="77777777" w:rsidR="000429F7" w:rsidRDefault="000429F7" w:rsidP="00F76540">
            <w:pPr>
              <w:jc w:val="center"/>
            </w:pPr>
          </w:p>
        </w:tc>
      </w:tr>
      <w:tr w:rsidR="00F76540" w14:paraId="2819FC05" w14:textId="77777777" w:rsidTr="00F76540">
        <w:trPr>
          <w:trHeight w:val="261"/>
        </w:trPr>
        <w:tc>
          <w:tcPr>
            <w:tcW w:w="1760" w:type="dxa"/>
            <w:vMerge/>
            <w:tcBorders>
              <w:left w:val="single" w:sz="8" w:space="0" w:color="auto"/>
              <w:bottom w:val="single" w:sz="8" w:space="0" w:color="auto"/>
              <w:right w:val="single" w:sz="8" w:space="0" w:color="auto"/>
            </w:tcBorders>
            <w:vAlign w:val="bottom"/>
          </w:tcPr>
          <w:p w14:paraId="2819FBFD" w14:textId="77777777" w:rsidR="00F76540" w:rsidRDefault="00F76540"/>
        </w:tc>
        <w:tc>
          <w:tcPr>
            <w:tcW w:w="1800" w:type="dxa"/>
            <w:tcBorders>
              <w:bottom w:val="single" w:sz="8" w:space="0" w:color="auto"/>
              <w:right w:val="single" w:sz="8" w:space="0" w:color="auto"/>
            </w:tcBorders>
            <w:vAlign w:val="center"/>
          </w:tcPr>
          <w:p w14:paraId="2819FBFF" w14:textId="4439FA6A" w:rsidR="00F76540" w:rsidRDefault="00F76540" w:rsidP="00F76540">
            <w:pPr>
              <w:jc w:val="center"/>
              <w:rPr>
                <w:sz w:val="20"/>
                <w:szCs w:val="20"/>
              </w:rPr>
            </w:pPr>
            <w:r>
              <w:rPr>
                <w:rFonts w:eastAsia="Times New Roman"/>
                <w:sz w:val="18"/>
                <w:szCs w:val="18"/>
              </w:rPr>
              <w:t>10,000 - 99,999</w:t>
            </w:r>
          </w:p>
        </w:tc>
        <w:tc>
          <w:tcPr>
            <w:tcW w:w="1260" w:type="dxa"/>
            <w:tcBorders>
              <w:bottom w:val="single" w:sz="8" w:space="0" w:color="auto"/>
              <w:right w:val="single" w:sz="8" w:space="0" w:color="auto"/>
            </w:tcBorders>
            <w:vAlign w:val="center"/>
          </w:tcPr>
          <w:p w14:paraId="2819FC00" w14:textId="77777777" w:rsidR="00F76540" w:rsidRDefault="00F76540" w:rsidP="00F76540">
            <w:pPr>
              <w:jc w:val="center"/>
              <w:rPr>
                <w:sz w:val="20"/>
                <w:szCs w:val="20"/>
              </w:rPr>
            </w:pPr>
            <w:r>
              <w:rPr>
                <w:rFonts w:eastAsia="Times New Roman"/>
                <w:sz w:val="18"/>
                <w:szCs w:val="18"/>
              </w:rPr>
              <w:t>Per quarter</w:t>
            </w:r>
          </w:p>
        </w:tc>
        <w:tc>
          <w:tcPr>
            <w:tcW w:w="1260" w:type="dxa"/>
            <w:tcBorders>
              <w:bottom w:val="single" w:sz="8" w:space="0" w:color="auto"/>
              <w:right w:val="single" w:sz="8" w:space="0" w:color="auto"/>
            </w:tcBorders>
            <w:vAlign w:val="center"/>
          </w:tcPr>
          <w:p w14:paraId="2819FC01" w14:textId="77777777" w:rsidR="00F76540" w:rsidRDefault="00F76540" w:rsidP="00F76540">
            <w:pPr>
              <w:jc w:val="center"/>
              <w:rPr>
                <w:sz w:val="20"/>
                <w:szCs w:val="20"/>
              </w:rPr>
            </w:pPr>
            <w:r>
              <w:rPr>
                <w:rFonts w:eastAsia="Times New Roman"/>
                <w:w w:val="88"/>
                <w:sz w:val="18"/>
                <w:szCs w:val="18"/>
              </w:rPr>
              <w:t>4</w:t>
            </w:r>
          </w:p>
        </w:tc>
        <w:tc>
          <w:tcPr>
            <w:tcW w:w="1000" w:type="dxa"/>
            <w:tcBorders>
              <w:bottom w:val="single" w:sz="8" w:space="0" w:color="auto"/>
              <w:right w:val="single" w:sz="8" w:space="0" w:color="auto"/>
            </w:tcBorders>
            <w:vAlign w:val="center"/>
          </w:tcPr>
          <w:p w14:paraId="2819FC02" w14:textId="77777777" w:rsidR="00F76540" w:rsidRDefault="00F76540" w:rsidP="00F76540">
            <w:pPr>
              <w:jc w:val="center"/>
              <w:rPr>
                <w:sz w:val="20"/>
                <w:szCs w:val="20"/>
              </w:rPr>
            </w:pPr>
            <w:r>
              <w:rPr>
                <w:rFonts w:eastAsia="Times New Roman"/>
                <w:sz w:val="18"/>
                <w:szCs w:val="18"/>
              </w:rPr>
              <w:t>2</w:t>
            </w:r>
          </w:p>
        </w:tc>
        <w:tc>
          <w:tcPr>
            <w:tcW w:w="900" w:type="dxa"/>
            <w:tcBorders>
              <w:bottom w:val="single" w:sz="8" w:space="0" w:color="auto"/>
              <w:right w:val="single" w:sz="8" w:space="0" w:color="auto"/>
            </w:tcBorders>
            <w:vAlign w:val="center"/>
          </w:tcPr>
          <w:p w14:paraId="2819FC03" w14:textId="77777777" w:rsidR="00F76540" w:rsidRDefault="00F76540" w:rsidP="00F76540">
            <w:pPr>
              <w:jc w:val="center"/>
              <w:rPr>
                <w:sz w:val="20"/>
                <w:szCs w:val="20"/>
              </w:rPr>
            </w:pPr>
            <w:r>
              <w:rPr>
                <w:rFonts w:eastAsia="Times New Roman"/>
                <w:sz w:val="18"/>
                <w:szCs w:val="18"/>
              </w:rPr>
              <w:t>1</w:t>
            </w:r>
          </w:p>
        </w:tc>
        <w:tc>
          <w:tcPr>
            <w:tcW w:w="1620" w:type="dxa"/>
            <w:tcBorders>
              <w:bottom w:val="single" w:sz="8" w:space="0" w:color="auto"/>
              <w:right w:val="single" w:sz="8" w:space="0" w:color="auto"/>
            </w:tcBorders>
            <w:vAlign w:val="center"/>
          </w:tcPr>
          <w:p w14:paraId="2819FC04" w14:textId="77777777" w:rsidR="00F76540" w:rsidRDefault="00F76540" w:rsidP="00F76540">
            <w:pPr>
              <w:jc w:val="center"/>
              <w:rPr>
                <w:sz w:val="20"/>
                <w:szCs w:val="20"/>
              </w:rPr>
            </w:pPr>
            <w:r>
              <w:rPr>
                <w:rFonts w:eastAsia="Times New Roman"/>
                <w:sz w:val="18"/>
                <w:szCs w:val="18"/>
              </w:rPr>
              <w:t>1</w:t>
            </w:r>
          </w:p>
        </w:tc>
      </w:tr>
      <w:tr w:rsidR="00F76540" w14:paraId="2819FC0E" w14:textId="77777777" w:rsidTr="00F76540">
        <w:trPr>
          <w:trHeight w:val="259"/>
        </w:trPr>
        <w:tc>
          <w:tcPr>
            <w:tcW w:w="1760" w:type="dxa"/>
            <w:vMerge/>
            <w:tcBorders>
              <w:left w:val="single" w:sz="8" w:space="0" w:color="auto"/>
              <w:bottom w:val="single" w:sz="8" w:space="0" w:color="auto"/>
              <w:right w:val="single" w:sz="8" w:space="0" w:color="auto"/>
            </w:tcBorders>
            <w:vAlign w:val="bottom"/>
          </w:tcPr>
          <w:p w14:paraId="2819FC06" w14:textId="77777777" w:rsidR="00F76540" w:rsidRDefault="00F76540"/>
        </w:tc>
        <w:tc>
          <w:tcPr>
            <w:tcW w:w="1800" w:type="dxa"/>
            <w:tcBorders>
              <w:bottom w:val="single" w:sz="8" w:space="0" w:color="auto"/>
              <w:right w:val="single" w:sz="8" w:space="0" w:color="auto"/>
            </w:tcBorders>
            <w:vAlign w:val="center"/>
          </w:tcPr>
          <w:p w14:paraId="2819FC08" w14:textId="20E4118B" w:rsidR="00F76540" w:rsidRDefault="00F76540" w:rsidP="00F76540">
            <w:pPr>
              <w:jc w:val="center"/>
              <w:rPr>
                <w:sz w:val="20"/>
                <w:szCs w:val="20"/>
              </w:rPr>
            </w:pPr>
            <w:r>
              <w:rPr>
                <w:rFonts w:eastAsia="Times New Roman"/>
                <w:sz w:val="18"/>
                <w:szCs w:val="18"/>
              </w:rPr>
              <w:t>100,000 - 499,999</w:t>
            </w:r>
          </w:p>
        </w:tc>
        <w:tc>
          <w:tcPr>
            <w:tcW w:w="1260" w:type="dxa"/>
            <w:tcBorders>
              <w:bottom w:val="single" w:sz="8" w:space="0" w:color="auto"/>
              <w:right w:val="single" w:sz="8" w:space="0" w:color="auto"/>
            </w:tcBorders>
            <w:vAlign w:val="center"/>
          </w:tcPr>
          <w:p w14:paraId="2819FC09" w14:textId="77777777" w:rsidR="00F76540" w:rsidRDefault="00F76540" w:rsidP="00F76540">
            <w:pPr>
              <w:jc w:val="center"/>
              <w:rPr>
                <w:sz w:val="20"/>
                <w:szCs w:val="20"/>
              </w:rPr>
            </w:pPr>
            <w:r>
              <w:rPr>
                <w:rFonts w:eastAsia="Times New Roman"/>
                <w:sz w:val="18"/>
                <w:szCs w:val="18"/>
              </w:rPr>
              <w:t>Per quarter</w:t>
            </w:r>
          </w:p>
        </w:tc>
        <w:tc>
          <w:tcPr>
            <w:tcW w:w="1260" w:type="dxa"/>
            <w:tcBorders>
              <w:bottom w:val="single" w:sz="8" w:space="0" w:color="auto"/>
              <w:right w:val="single" w:sz="8" w:space="0" w:color="auto"/>
            </w:tcBorders>
            <w:vAlign w:val="center"/>
          </w:tcPr>
          <w:p w14:paraId="2819FC0A" w14:textId="77777777" w:rsidR="00F76540" w:rsidRDefault="00F76540" w:rsidP="00F76540">
            <w:pPr>
              <w:jc w:val="center"/>
              <w:rPr>
                <w:sz w:val="20"/>
                <w:szCs w:val="20"/>
              </w:rPr>
            </w:pPr>
            <w:r>
              <w:rPr>
                <w:rFonts w:eastAsia="Times New Roman"/>
                <w:w w:val="88"/>
                <w:sz w:val="18"/>
                <w:szCs w:val="18"/>
              </w:rPr>
              <w:t>6</w:t>
            </w:r>
          </w:p>
        </w:tc>
        <w:tc>
          <w:tcPr>
            <w:tcW w:w="1000" w:type="dxa"/>
            <w:tcBorders>
              <w:bottom w:val="single" w:sz="8" w:space="0" w:color="auto"/>
              <w:right w:val="single" w:sz="8" w:space="0" w:color="auto"/>
            </w:tcBorders>
            <w:vAlign w:val="center"/>
          </w:tcPr>
          <w:p w14:paraId="2819FC0B" w14:textId="77777777" w:rsidR="00F76540" w:rsidRDefault="00F76540" w:rsidP="00F76540">
            <w:pPr>
              <w:jc w:val="center"/>
              <w:rPr>
                <w:sz w:val="20"/>
                <w:szCs w:val="20"/>
              </w:rPr>
            </w:pPr>
            <w:r>
              <w:rPr>
                <w:rFonts w:eastAsia="Times New Roman"/>
                <w:sz w:val="18"/>
                <w:szCs w:val="18"/>
              </w:rPr>
              <w:t>3</w:t>
            </w:r>
          </w:p>
        </w:tc>
        <w:tc>
          <w:tcPr>
            <w:tcW w:w="900" w:type="dxa"/>
            <w:tcBorders>
              <w:bottom w:val="single" w:sz="8" w:space="0" w:color="auto"/>
              <w:right w:val="single" w:sz="8" w:space="0" w:color="auto"/>
            </w:tcBorders>
            <w:vAlign w:val="center"/>
          </w:tcPr>
          <w:p w14:paraId="2819FC0C" w14:textId="77777777" w:rsidR="00F76540" w:rsidRDefault="00F76540" w:rsidP="00F76540">
            <w:pPr>
              <w:jc w:val="center"/>
              <w:rPr>
                <w:sz w:val="20"/>
                <w:szCs w:val="20"/>
              </w:rPr>
            </w:pPr>
            <w:r>
              <w:rPr>
                <w:rFonts w:eastAsia="Times New Roman"/>
                <w:sz w:val="18"/>
                <w:szCs w:val="18"/>
              </w:rPr>
              <w:t>2</w:t>
            </w:r>
          </w:p>
        </w:tc>
        <w:tc>
          <w:tcPr>
            <w:tcW w:w="1620" w:type="dxa"/>
            <w:tcBorders>
              <w:bottom w:val="single" w:sz="8" w:space="0" w:color="auto"/>
              <w:right w:val="single" w:sz="8" w:space="0" w:color="auto"/>
            </w:tcBorders>
            <w:vAlign w:val="center"/>
          </w:tcPr>
          <w:p w14:paraId="2819FC0D" w14:textId="77777777" w:rsidR="00F76540" w:rsidRDefault="00F76540" w:rsidP="00F76540">
            <w:pPr>
              <w:jc w:val="center"/>
              <w:rPr>
                <w:sz w:val="20"/>
                <w:szCs w:val="20"/>
              </w:rPr>
            </w:pPr>
            <w:r>
              <w:rPr>
                <w:rFonts w:eastAsia="Times New Roman"/>
                <w:sz w:val="18"/>
                <w:szCs w:val="18"/>
              </w:rPr>
              <w:t>1</w:t>
            </w:r>
          </w:p>
        </w:tc>
      </w:tr>
      <w:tr w:rsidR="00F76540" w14:paraId="2819FC16" w14:textId="77777777" w:rsidTr="00F76540">
        <w:trPr>
          <w:trHeight w:val="248"/>
        </w:trPr>
        <w:tc>
          <w:tcPr>
            <w:tcW w:w="1760" w:type="dxa"/>
            <w:vMerge/>
            <w:tcBorders>
              <w:left w:val="single" w:sz="8" w:space="0" w:color="auto"/>
              <w:bottom w:val="single" w:sz="8" w:space="0" w:color="auto"/>
              <w:right w:val="single" w:sz="8" w:space="0" w:color="auto"/>
            </w:tcBorders>
            <w:vAlign w:val="bottom"/>
          </w:tcPr>
          <w:p w14:paraId="2819FC0F" w14:textId="77777777" w:rsidR="00F76540" w:rsidRDefault="00F76540">
            <w:pPr>
              <w:rPr>
                <w:sz w:val="19"/>
                <w:szCs w:val="19"/>
              </w:rPr>
            </w:pPr>
          </w:p>
        </w:tc>
        <w:tc>
          <w:tcPr>
            <w:tcW w:w="1800" w:type="dxa"/>
            <w:tcBorders>
              <w:top w:val="single" w:sz="8" w:space="0" w:color="auto"/>
              <w:bottom w:val="single" w:sz="8" w:space="0" w:color="auto"/>
              <w:right w:val="single" w:sz="8" w:space="0" w:color="auto"/>
            </w:tcBorders>
            <w:vAlign w:val="center"/>
          </w:tcPr>
          <w:p w14:paraId="2819FC10" w14:textId="77777777" w:rsidR="00F76540" w:rsidRDefault="00F76540" w:rsidP="00F76540">
            <w:pPr>
              <w:jc w:val="center"/>
              <w:rPr>
                <w:sz w:val="20"/>
                <w:szCs w:val="20"/>
              </w:rPr>
            </w:pPr>
            <w:r>
              <w:rPr>
                <w:rFonts w:eastAsia="Times New Roman"/>
                <w:i/>
                <w:iCs/>
                <w:sz w:val="18"/>
                <w:szCs w:val="18"/>
              </w:rPr>
              <w:t>&gt;</w:t>
            </w:r>
            <w:r>
              <w:rPr>
                <w:rFonts w:eastAsia="Times New Roman"/>
                <w:sz w:val="18"/>
                <w:szCs w:val="18"/>
              </w:rPr>
              <w:t>500,000</w:t>
            </w:r>
          </w:p>
        </w:tc>
        <w:tc>
          <w:tcPr>
            <w:tcW w:w="1260" w:type="dxa"/>
            <w:tcBorders>
              <w:top w:val="single" w:sz="8" w:space="0" w:color="auto"/>
              <w:bottom w:val="single" w:sz="8" w:space="0" w:color="auto"/>
              <w:right w:val="single" w:sz="8" w:space="0" w:color="auto"/>
            </w:tcBorders>
            <w:vAlign w:val="center"/>
          </w:tcPr>
          <w:p w14:paraId="2819FC11" w14:textId="77777777" w:rsidR="00F76540" w:rsidRDefault="00F76540" w:rsidP="00F76540">
            <w:pPr>
              <w:jc w:val="center"/>
              <w:rPr>
                <w:sz w:val="20"/>
                <w:szCs w:val="20"/>
              </w:rPr>
            </w:pPr>
            <w:r>
              <w:rPr>
                <w:rFonts w:eastAsia="Times New Roman"/>
                <w:sz w:val="18"/>
                <w:szCs w:val="18"/>
              </w:rPr>
              <w:t>Per quarter</w:t>
            </w:r>
          </w:p>
        </w:tc>
        <w:tc>
          <w:tcPr>
            <w:tcW w:w="1260" w:type="dxa"/>
            <w:tcBorders>
              <w:top w:val="single" w:sz="8" w:space="0" w:color="auto"/>
              <w:bottom w:val="single" w:sz="8" w:space="0" w:color="auto"/>
              <w:right w:val="single" w:sz="8" w:space="0" w:color="auto"/>
            </w:tcBorders>
            <w:vAlign w:val="center"/>
          </w:tcPr>
          <w:p w14:paraId="2819FC12" w14:textId="77777777" w:rsidR="00F76540" w:rsidRDefault="00F76540" w:rsidP="00F76540">
            <w:pPr>
              <w:jc w:val="center"/>
              <w:rPr>
                <w:sz w:val="20"/>
                <w:szCs w:val="20"/>
              </w:rPr>
            </w:pPr>
            <w:r>
              <w:rPr>
                <w:rFonts w:eastAsia="Times New Roman"/>
                <w:w w:val="88"/>
                <w:sz w:val="18"/>
                <w:szCs w:val="18"/>
              </w:rPr>
              <w:t>8</w:t>
            </w:r>
          </w:p>
        </w:tc>
        <w:tc>
          <w:tcPr>
            <w:tcW w:w="1000" w:type="dxa"/>
            <w:tcBorders>
              <w:top w:val="single" w:sz="8" w:space="0" w:color="auto"/>
              <w:bottom w:val="single" w:sz="8" w:space="0" w:color="auto"/>
              <w:right w:val="single" w:sz="8" w:space="0" w:color="auto"/>
            </w:tcBorders>
            <w:vAlign w:val="center"/>
          </w:tcPr>
          <w:p w14:paraId="2819FC13" w14:textId="77777777" w:rsidR="00F76540" w:rsidRDefault="00F76540" w:rsidP="00F76540">
            <w:pPr>
              <w:jc w:val="center"/>
              <w:rPr>
                <w:sz w:val="20"/>
                <w:szCs w:val="20"/>
              </w:rPr>
            </w:pPr>
            <w:r>
              <w:rPr>
                <w:rFonts w:eastAsia="Times New Roman"/>
                <w:sz w:val="18"/>
                <w:szCs w:val="18"/>
              </w:rPr>
              <w:t>3</w:t>
            </w:r>
          </w:p>
        </w:tc>
        <w:tc>
          <w:tcPr>
            <w:tcW w:w="900" w:type="dxa"/>
            <w:tcBorders>
              <w:top w:val="single" w:sz="8" w:space="0" w:color="auto"/>
              <w:bottom w:val="single" w:sz="8" w:space="0" w:color="auto"/>
              <w:right w:val="single" w:sz="8" w:space="0" w:color="auto"/>
            </w:tcBorders>
            <w:vAlign w:val="center"/>
          </w:tcPr>
          <w:p w14:paraId="2819FC14" w14:textId="77777777" w:rsidR="00F76540" w:rsidRDefault="00F76540" w:rsidP="00F76540">
            <w:pPr>
              <w:jc w:val="center"/>
              <w:rPr>
                <w:sz w:val="20"/>
                <w:szCs w:val="20"/>
              </w:rPr>
            </w:pPr>
            <w:r>
              <w:rPr>
                <w:rFonts w:eastAsia="Times New Roman"/>
                <w:sz w:val="18"/>
                <w:szCs w:val="18"/>
              </w:rPr>
              <w:t>3</w:t>
            </w:r>
          </w:p>
        </w:tc>
        <w:tc>
          <w:tcPr>
            <w:tcW w:w="1620" w:type="dxa"/>
            <w:tcBorders>
              <w:top w:val="single" w:sz="8" w:space="0" w:color="auto"/>
              <w:bottom w:val="single" w:sz="8" w:space="0" w:color="auto"/>
              <w:right w:val="single" w:sz="8" w:space="0" w:color="auto"/>
            </w:tcBorders>
            <w:vAlign w:val="center"/>
          </w:tcPr>
          <w:p w14:paraId="2819FC15" w14:textId="77777777" w:rsidR="00F76540" w:rsidRDefault="00F76540" w:rsidP="00F76540">
            <w:pPr>
              <w:jc w:val="center"/>
              <w:rPr>
                <w:sz w:val="20"/>
                <w:szCs w:val="20"/>
              </w:rPr>
            </w:pPr>
            <w:r>
              <w:rPr>
                <w:rFonts w:eastAsia="Times New Roman"/>
                <w:sz w:val="18"/>
                <w:szCs w:val="18"/>
              </w:rPr>
              <w:t>2</w:t>
            </w:r>
          </w:p>
        </w:tc>
      </w:tr>
    </w:tbl>
    <w:p w14:paraId="2819FC24" w14:textId="77777777" w:rsidR="004647B9" w:rsidRDefault="004647B9" w:rsidP="00080D37">
      <w:pPr>
        <w:rPr>
          <w:sz w:val="20"/>
          <w:szCs w:val="20"/>
        </w:rPr>
      </w:pPr>
    </w:p>
    <w:p w14:paraId="2819FC25" w14:textId="77777777" w:rsidR="004647B9" w:rsidRPr="00D5148A" w:rsidRDefault="00E2436F" w:rsidP="00080D37">
      <w:pPr>
        <w:pStyle w:val="ListParagraph"/>
        <w:numPr>
          <w:ilvl w:val="0"/>
          <w:numId w:val="919"/>
        </w:numPr>
        <w:rPr>
          <w:sz w:val="20"/>
          <w:szCs w:val="20"/>
        </w:rPr>
      </w:pPr>
      <w:r w:rsidRPr="00D5148A">
        <w:rPr>
          <w:rFonts w:eastAsia="Times New Roman"/>
          <w:sz w:val="24"/>
          <w:szCs w:val="24"/>
        </w:rPr>
        <w:t>All systems must monitor during month of highest DBP concentrations.</w:t>
      </w:r>
    </w:p>
    <w:p w14:paraId="2819FC27" w14:textId="77777777" w:rsidR="004647B9" w:rsidRPr="007E0297" w:rsidRDefault="00E2436F" w:rsidP="00080D37">
      <w:pPr>
        <w:pStyle w:val="ListParagraph"/>
        <w:numPr>
          <w:ilvl w:val="0"/>
          <w:numId w:val="919"/>
        </w:numPr>
        <w:ind w:left="720" w:hanging="720"/>
        <w:jc w:val="both"/>
        <w:rPr>
          <w:sz w:val="20"/>
          <w:szCs w:val="20"/>
        </w:rPr>
      </w:pPr>
      <w:r w:rsidRPr="007E0297">
        <w:rPr>
          <w:rFonts w:eastAsia="Times New Roman"/>
          <w:sz w:val="24"/>
          <w:szCs w:val="24"/>
        </w:rPr>
        <w:t>Systems on quarterly monitoring must take Dual Sample Sets every 90 days at each monitoring location, except for Surface Water and Groundwater under the Direct Influence of Surface Water systems serving 500-3,300. Groundwater systems serving 500 9,999 on annual monitoring must take Dual Sample Sets at each monitoring location. All other systems on annual monitoring and Surface Water and Groundwater under the Direct Influence of Surface Water systems serving 500-3,300 are required to take individual TTHM and HAA5 samples (instead of a Dual Sample Set) at the locations with the highest TTHM and HAA5 concentrations, respectively. For systems serving fewer than 500 people, only one location with a Dual Sample Set per monitoring period is needed if highest TTHM and HAA5 concentrations occur at the same location and month.</w:t>
      </w:r>
    </w:p>
    <w:p w14:paraId="2819FC28" w14:textId="77777777" w:rsidR="004647B9" w:rsidRPr="00080D37" w:rsidRDefault="004647B9" w:rsidP="00080D37">
      <w:pPr>
        <w:rPr>
          <w:sz w:val="24"/>
          <w:szCs w:val="24"/>
        </w:rPr>
      </w:pPr>
    </w:p>
    <w:p w14:paraId="2819FC29" w14:textId="77777777" w:rsidR="004647B9" w:rsidRDefault="00E2436F" w:rsidP="00080D37">
      <w:pPr>
        <w:numPr>
          <w:ilvl w:val="0"/>
          <w:numId w:val="368"/>
        </w:numPr>
        <w:tabs>
          <w:tab w:val="left" w:pos="1656"/>
        </w:tabs>
        <w:ind w:left="1260" w:right="20" w:hanging="5"/>
        <w:jc w:val="both"/>
        <w:rPr>
          <w:rFonts w:eastAsia="Times New Roman"/>
          <w:sz w:val="24"/>
          <w:szCs w:val="24"/>
        </w:rPr>
      </w:pPr>
      <w:r>
        <w:rPr>
          <w:rFonts w:eastAsia="Times New Roman"/>
          <w:sz w:val="24"/>
          <w:szCs w:val="24"/>
        </w:rPr>
        <w:t>The Supplier of Water must recommend compliance monitoring locations for 310 CMR 22.07F(6) based on standard monitoring results, system specific study results, and compliance monitoring results required under 310 CMR 22.07E. The Supplier of Water must follow the protocol in 310 CMR 22.07F(6)(c)1. through 8. If required to monitor at more than eight locations, the Supplier of Water must repeat the protocol as necessary. If the Supplier of Water does not have existing compliance monitoring results required under 310 CMR 22.07E or if they do not have enough existing compliance monitoring results required under 310 CMR 22.07E, they must repeat the protocol, skipping the provisions of 310 CMR 22.07F(6)(c)(3) and (7) as necessary, until they have identified the required total number of monitoring locations.</w:t>
      </w:r>
    </w:p>
    <w:p w14:paraId="2819FC2B" w14:textId="77777777" w:rsidR="004647B9" w:rsidRDefault="00E2436F" w:rsidP="00080D37">
      <w:pPr>
        <w:numPr>
          <w:ilvl w:val="1"/>
          <w:numId w:val="368"/>
        </w:numPr>
        <w:tabs>
          <w:tab w:val="left" w:pos="2023"/>
        </w:tabs>
        <w:ind w:left="1620" w:right="20" w:hanging="5"/>
        <w:rPr>
          <w:rFonts w:eastAsia="Times New Roman"/>
          <w:sz w:val="24"/>
          <w:szCs w:val="24"/>
        </w:rPr>
      </w:pPr>
      <w:r>
        <w:rPr>
          <w:rFonts w:eastAsia="Times New Roman"/>
          <w:sz w:val="24"/>
          <w:szCs w:val="24"/>
        </w:rPr>
        <w:t>Location with the highest TTHM LRAA not previously selected as a monitoring location under 310 CMR 22.07F.</w:t>
      </w:r>
    </w:p>
    <w:p w14:paraId="2819FC2D" w14:textId="77777777" w:rsidR="004647B9" w:rsidRDefault="00E2436F" w:rsidP="00080D37">
      <w:pPr>
        <w:numPr>
          <w:ilvl w:val="1"/>
          <w:numId w:val="368"/>
        </w:numPr>
        <w:tabs>
          <w:tab w:val="left" w:pos="2030"/>
        </w:tabs>
        <w:ind w:left="1620" w:right="20" w:hanging="5"/>
        <w:rPr>
          <w:rFonts w:eastAsia="Times New Roman"/>
          <w:sz w:val="24"/>
          <w:szCs w:val="24"/>
        </w:rPr>
      </w:pPr>
      <w:r>
        <w:rPr>
          <w:rFonts w:eastAsia="Times New Roman"/>
          <w:sz w:val="24"/>
          <w:szCs w:val="24"/>
        </w:rPr>
        <w:t>Location with the highest HAA5 LRAA not previously selected as a monitoring location under 310 CMR 22.07F.</w:t>
      </w:r>
    </w:p>
    <w:p w14:paraId="2819FC2F" w14:textId="793B0170" w:rsidR="004647B9" w:rsidRDefault="00E2436F" w:rsidP="00080D37">
      <w:pPr>
        <w:numPr>
          <w:ilvl w:val="1"/>
          <w:numId w:val="368"/>
        </w:numPr>
        <w:tabs>
          <w:tab w:val="left" w:pos="2016"/>
        </w:tabs>
        <w:ind w:left="1620" w:right="20" w:hanging="5"/>
        <w:jc w:val="both"/>
        <w:rPr>
          <w:rFonts w:eastAsia="Times New Roman"/>
          <w:sz w:val="24"/>
          <w:szCs w:val="24"/>
        </w:rPr>
      </w:pPr>
      <w:r>
        <w:rPr>
          <w:rFonts w:eastAsia="Times New Roman"/>
          <w:sz w:val="24"/>
          <w:szCs w:val="24"/>
        </w:rPr>
        <w:t>Existing average residence time compliance monitoring location (maximum residence time compliance monitoring location for groundwater systems) under</w:t>
      </w:r>
      <w:r w:rsidR="00080D37">
        <w:rPr>
          <w:rFonts w:eastAsia="Times New Roman"/>
          <w:sz w:val="24"/>
          <w:szCs w:val="24"/>
        </w:rPr>
        <w:t xml:space="preserve"> 310 CMR 22.07E with the highest HAA5 LRAA not previously selected as a monitoring location under 310 CMR 22.07F</w:t>
      </w:r>
    </w:p>
    <w:p w14:paraId="2819FC33" w14:textId="77777777" w:rsidR="004647B9" w:rsidRDefault="00E2436F" w:rsidP="00080D37">
      <w:pPr>
        <w:numPr>
          <w:ilvl w:val="1"/>
          <w:numId w:val="370"/>
        </w:numPr>
        <w:tabs>
          <w:tab w:val="left" w:pos="2023"/>
        </w:tabs>
        <w:ind w:left="1620" w:right="20" w:hanging="5"/>
        <w:rPr>
          <w:rFonts w:eastAsia="Times New Roman"/>
          <w:sz w:val="24"/>
          <w:szCs w:val="24"/>
        </w:rPr>
      </w:pPr>
      <w:r>
        <w:rPr>
          <w:rFonts w:eastAsia="Times New Roman"/>
          <w:sz w:val="24"/>
          <w:szCs w:val="24"/>
        </w:rPr>
        <w:t>Location with the highest TTHM LRAA not previously selected as a monitoring location under 310 CMR 22.07F.</w:t>
      </w:r>
    </w:p>
    <w:p w14:paraId="2819FC35" w14:textId="77777777" w:rsidR="004647B9" w:rsidRDefault="00E2436F" w:rsidP="00080D37">
      <w:pPr>
        <w:numPr>
          <w:ilvl w:val="1"/>
          <w:numId w:val="370"/>
        </w:numPr>
        <w:tabs>
          <w:tab w:val="left" w:pos="2023"/>
        </w:tabs>
        <w:ind w:left="1620" w:right="20" w:hanging="5"/>
        <w:rPr>
          <w:rFonts w:eastAsia="Times New Roman"/>
          <w:sz w:val="24"/>
          <w:szCs w:val="24"/>
        </w:rPr>
      </w:pPr>
      <w:r>
        <w:rPr>
          <w:rFonts w:eastAsia="Times New Roman"/>
          <w:sz w:val="24"/>
          <w:szCs w:val="24"/>
        </w:rPr>
        <w:t>Location with the highest TTHM LRAA not previously selected as a monitoring location under 310 CMR 22.07F.</w:t>
      </w:r>
    </w:p>
    <w:p w14:paraId="2819FC36" w14:textId="77777777" w:rsidR="004647B9" w:rsidRDefault="004647B9">
      <w:pPr>
        <w:sectPr w:rsidR="004647B9" w:rsidSect="00EF630C">
          <w:type w:val="continuous"/>
          <w:pgSz w:w="12240" w:h="20180"/>
          <w:pgMar w:top="708" w:right="1420" w:bottom="1440" w:left="600" w:header="0" w:footer="0" w:gutter="0"/>
          <w:cols w:space="720"/>
        </w:sectPr>
      </w:pPr>
    </w:p>
    <w:p w14:paraId="2819FC37" w14:textId="77777777" w:rsidR="004647B9" w:rsidRDefault="00E2436F">
      <w:pPr>
        <w:tabs>
          <w:tab w:val="left" w:pos="160"/>
        </w:tabs>
        <w:jc w:val="center"/>
        <w:rPr>
          <w:sz w:val="20"/>
          <w:szCs w:val="20"/>
        </w:rPr>
      </w:pPr>
      <w:bookmarkStart w:id="140" w:name="page142"/>
      <w:bookmarkEnd w:id="14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C38" w14:textId="77777777" w:rsidR="004647B9" w:rsidRDefault="004647B9" w:rsidP="00080D37">
      <w:pPr>
        <w:rPr>
          <w:sz w:val="20"/>
          <w:szCs w:val="20"/>
        </w:rPr>
      </w:pPr>
    </w:p>
    <w:p w14:paraId="2819FC39" w14:textId="77777777" w:rsidR="004647B9" w:rsidRDefault="004647B9" w:rsidP="00080D37">
      <w:pPr>
        <w:rPr>
          <w:sz w:val="20"/>
          <w:szCs w:val="20"/>
        </w:rPr>
      </w:pPr>
    </w:p>
    <w:p w14:paraId="2819FC3A" w14:textId="77777777" w:rsidR="004647B9" w:rsidRDefault="00E2436F" w:rsidP="00080D37">
      <w:pPr>
        <w:tabs>
          <w:tab w:val="left" w:pos="900"/>
        </w:tabs>
        <w:rPr>
          <w:sz w:val="20"/>
          <w:szCs w:val="20"/>
        </w:rPr>
      </w:pPr>
      <w:r>
        <w:rPr>
          <w:rFonts w:eastAsia="Times New Roman"/>
          <w:sz w:val="24"/>
          <w:szCs w:val="24"/>
        </w:rPr>
        <w:t>22.07F:</w:t>
      </w:r>
      <w:r>
        <w:rPr>
          <w:sz w:val="20"/>
          <w:szCs w:val="20"/>
        </w:rPr>
        <w:tab/>
      </w:r>
      <w:r>
        <w:rPr>
          <w:rFonts w:eastAsia="Times New Roman"/>
          <w:sz w:val="23"/>
          <w:szCs w:val="23"/>
        </w:rPr>
        <w:t>continued</w:t>
      </w:r>
    </w:p>
    <w:p w14:paraId="2819FC3B" w14:textId="77777777" w:rsidR="004647B9" w:rsidRDefault="004647B9" w:rsidP="00080D37">
      <w:pPr>
        <w:rPr>
          <w:sz w:val="20"/>
          <w:szCs w:val="20"/>
        </w:rPr>
      </w:pPr>
    </w:p>
    <w:p w14:paraId="2819FC3C" w14:textId="77777777" w:rsidR="004647B9" w:rsidRPr="00470F73" w:rsidRDefault="00E2436F" w:rsidP="00080D37">
      <w:pPr>
        <w:numPr>
          <w:ilvl w:val="2"/>
          <w:numId w:val="371"/>
        </w:numPr>
        <w:tabs>
          <w:tab w:val="left" w:pos="2338"/>
        </w:tabs>
        <w:ind w:left="1920" w:hanging="5"/>
        <w:rPr>
          <w:rFonts w:eastAsia="Times New Roman"/>
          <w:sz w:val="24"/>
          <w:szCs w:val="24"/>
        </w:rPr>
      </w:pPr>
      <w:r w:rsidRPr="00470F73">
        <w:rPr>
          <w:rFonts w:eastAsia="Times New Roman"/>
          <w:sz w:val="24"/>
          <w:szCs w:val="24"/>
        </w:rPr>
        <w:t>Location with the highest HAA5 LRAA not previously selected as a monitoring location under 310 CMR 22.07F.</w:t>
      </w:r>
    </w:p>
    <w:p w14:paraId="2819FC40" w14:textId="3808ABB4" w:rsidR="004647B9" w:rsidRPr="00470F73" w:rsidRDefault="00E2436F" w:rsidP="00080D37">
      <w:pPr>
        <w:numPr>
          <w:ilvl w:val="2"/>
          <w:numId w:val="371"/>
        </w:numPr>
        <w:tabs>
          <w:tab w:val="left" w:pos="2467"/>
        </w:tabs>
        <w:ind w:left="1920" w:hanging="5"/>
        <w:jc w:val="both"/>
        <w:rPr>
          <w:rFonts w:eastAsia="Times New Roman"/>
          <w:sz w:val="24"/>
          <w:szCs w:val="24"/>
        </w:rPr>
      </w:pPr>
      <w:r w:rsidRPr="00470F73">
        <w:rPr>
          <w:rFonts w:eastAsia="Times New Roman"/>
          <w:sz w:val="24"/>
          <w:szCs w:val="24"/>
        </w:rPr>
        <w:t>Existing average residence time compliance monitoring location (maximum residence time compliance monitoring location for groundwater systems) under</w:t>
      </w:r>
      <w:r w:rsidR="00470F73">
        <w:rPr>
          <w:rFonts w:eastAsia="Times New Roman"/>
          <w:sz w:val="24"/>
          <w:szCs w:val="24"/>
        </w:rPr>
        <w:t xml:space="preserve"> 310 </w:t>
      </w:r>
      <w:r w:rsidRPr="00470F73">
        <w:rPr>
          <w:rFonts w:eastAsia="Times New Roman"/>
          <w:sz w:val="24"/>
          <w:szCs w:val="24"/>
        </w:rPr>
        <w:t>CMR 22.07E with the highest TTHM LRAA not previously selected as a monitoring location under 310 CMR 22.07F.</w:t>
      </w:r>
    </w:p>
    <w:p w14:paraId="2819FC42" w14:textId="77777777" w:rsidR="004647B9" w:rsidRPr="00470F73" w:rsidRDefault="00E2436F" w:rsidP="00080D37">
      <w:pPr>
        <w:numPr>
          <w:ilvl w:val="2"/>
          <w:numId w:val="372"/>
        </w:numPr>
        <w:tabs>
          <w:tab w:val="left" w:pos="2330"/>
        </w:tabs>
        <w:ind w:left="1920" w:hanging="5"/>
        <w:rPr>
          <w:rFonts w:eastAsia="Times New Roman"/>
          <w:sz w:val="24"/>
          <w:szCs w:val="24"/>
        </w:rPr>
      </w:pPr>
      <w:r w:rsidRPr="00470F73">
        <w:rPr>
          <w:rFonts w:eastAsia="Times New Roman"/>
          <w:sz w:val="24"/>
          <w:szCs w:val="24"/>
        </w:rPr>
        <w:t>Location with the highest HAA5 LRAA not previously selected as a monitoring location under 310 CMR 22.07F.</w:t>
      </w:r>
    </w:p>
    <w:p w14:paraId="2819FC44" w14:textId="77777777" w:rsidR="004647B9" w:rsidRPr="00470F73" w:rsidRDefault="00E2436F" w:rsidP="00080D37">
      <w:pPr>
        <w:numPr>
          <w:ilvl w:val="1"/>
          <w:numId w:val="373"/>
        </w:numPr>
        <w:tabs>
          <w:tab w:val="left" w:pos="1956"/>
        </w:tabs>
        <w:ind w:left="1560" w:hanging="5"/>
        <w:jc w:val="both"/>
        <w:rPr>
          <w:rFonts w:eastAsia="Times New Roman"/>
          <w:sz w:val="24"/>
          <w:szCs w:val="24"/>
        </w:rPr>
      </w:pPr>
      <w:r w:rsidRPr="00470F73">
        <w:rPr>
          <w:rFonts w:eastAsia="Times New Roman"/>
          <w:sz w:val="24"/>
          <w:szCs w:val="24"/>
        </w:rPr>
        <w:t>The Supplier of Water may recommend locations other than those specified in 310 CMR 22.07F(6)(c) if they include a rationale for selecting other locations. If the Department approves the alternate locations, they must monitor at these locations to determine compliance under 310 CMR 22.07F.</w:t>
      </w:r>
    </w:p>
    <w:p w14:paraId="2819FC46" w14:textId="77777777" w:rsidR="004647B9" w:rsidRPr="00470F73" w:rsidRDefault="00E2436F" w:rsidP="00080D37">
      <w:pPr>
        <w:numPr>
          <w:ilvl w:val="1"/>
          <w:numId w:val="373"/>
        </w:numPr>
        <w:tabs>
          <w:tab w:val="left" w:pos="1939"/>
        </w:tabs>
        <w:ind w:left="1560" w:hanging="5"/>
        <w:jc w:val="both"/>
        <w:rPr>
          <w:rFonts w:eastAsia="Times New Roman"/>
          <w:sz w:val="24"/>
          <w:szCs w:val="24"/>
        </w:rPr>
      </w:pPr>
      <w:r w:rsidRPr="00470F73">
        <w:rPr>
          <w:rFonts w:eastAsia="Times New Roman"/>
          <w:sz w:val="24"/>
          <w:szCs w:val="24"/>
        </w:rPr>
        <w:t>The Supplier of Water's recommended schedule must include monitoring required under 310 CMR 22.07F during the peak historical month for TTHM and HAA5 concentration, unless the Department approves another month. Once the Supplier of Water has identified the peak historical month, and if they are required to conduct routine monitoring at least quarterly, they must schedule compliance monitoring required under 310 CMR 22.07F at a regular frequency of every 90 days or fewer.</w:t>
      </w:r>
    </w:p>
    <w:p w14:paraId="2819FC47" w14:textId="77777777" w:rsidR="004647B9" w:rsidRPr="00470F73" w:rsidRDefault="004647B9" w:rsidP="00080D37">
      <w:pPr>
        <w:rPr>
          <w:rFonts w:eastAsia="Times New Roman"/>
          <w:sz w:val="24"/>
          <w:szCs w:val="24"/>
        </w:rPr>
      </w:pPr>
    </w:p>
    <w:p w14:paraId="2819FC48" w14:textId="77777777" w:rsidR="004647B9" w:rsidRPr="00470F73" w:rsidRDefault="00E2436F" w:rsidP="00080D37">
      <w:pPr>
        <w:numPr>
          <w:ilvl w:val="0"/>
          <w:numId w:val="374"/>
        </w:numPr>
        <w:tabs>
          <w:tab w:val="left" w:pos="1660"/>
        </w:tabs>
        <w:ind w:left="1660" w:hanging="460"/>
        <w:rPr>
          <w:rFonts w:eastAsia="Times New Roman"/>
          <w:sz w:val="24"/>
          <w:szCs w:val="24"/>
        </w:rPr>
      </w:pPr>
      <w:r w:rsidRPr="00470F73">
        <w:rPr>
          <w:rFonts w:eastAsia="Times New Roman"/>
          <w:sz w:val="24"/>
          <w:szCs w:val="24"/>
          <w:u w:val="single"/>
        </w:rPr>
        <w:t>General Monitoring Requirements of Stage 2 Disinfection Byproducts Rule</w:t>
      </w:r>
      <w:r w:rsidRPr="00470F73">
        <w:rPr>
          <w:rFonts w:eastAsia="Times New Roman"/>
          <w:sz w:val="24"/>
          <w:szCs w:val="24"/>
        </w:rPr>
        <w:t>.</w:t>
      </w:r>
    </w:p>
    <w:p w14:paraId="2819FC4A" w14:textId="77777777" w:rsidR="004647B9" w:rsidRPr="00470F73" w:rsidRDefault="00E2436F" w:rsidP="00080D37">
      <w:pPr>
        <w:numPr>
          <w:ilvl w:val="1"/>
          <w:numId w:val="374"/>
        </w:numPr>
        <w:tabs>
          <w:tab w:val="left" w:pos="2004"/>
        </w:tabs>
        <w:ind w:left="1560" w:hanging="5"/>
        <w:jc w:val="both"/>
        <w:rPr>
          <w:rFonts w:eastAsia="Times New Roman"/>
          <w:sz w:val="24"/>
          <w:szCs w:val="24"/>
        </w:rPr>
      </w:pPr>
      <w:r w:rsidRPr="00470F73">
        <w:rPr>
          <w:rFonts w:eastAsia="Times New Roman"/>
          <w:sz w:val="24"/>
          <w:szCs w:val="24"/>
          <w:u w:val="single"/>
        </w:rPr>
        <w:t>General</w:t>
      </w:r>
      <w:r w:rsidRPr="00470F73">
        <w:rPr>
          <w:rFonts w:eastAsia="Times New Roman"/>
          <w:sz w:val="24"/>
          <w:szCs w:val="24"/>
        </w:rPr>
        <w:t>. The requirements of 310 CMR 22.07F(7) through (16) establish monitoring and other requirements for achieving compliance with Maximum Contaminant Levels based on Locational Running Annual Averages (LRAA) for Total Trihalomethanes (TTHM) and Haloacetic Acids (Five) (HAA5), and for achieving compliance with maximum residual Disinfectant residuals for chlorine and chloramine for certain consecutive systems.</w:t>
      </w:r>
    </w:p>
    <w:p w14:paraId="2819FC4C" w14:textId="77777777" w:rsidR="004647B9" w:rsidRPr="00470F73" w:rsidRDefault="00E2436F" w:rsidP="00080D37">
      <w:pPr>
        <w:numPr>
          <w:ilvl w:val="1"/>
          <w:numId w:val="374"/>
        </w:numPr>
        <w:tabs>
          <w:tab w:val="left" w:pos="1999"/>
        </w:tabs>
        <w:ind w:left="1560" w:hanging="5"/>
        <w:jc w:val="both"/>
        <w:rPr>
          <w:rFonts w:eastAsia="Times New Roman"/>
          <w:sz w:val="24"/>
          <w:szCs w:val="24"/>
        </w:rPr>
      </w:pPr>
      <w:r w:rsidRPr="00470F73">
        <w:rPr>
          <w:rFonts w:eastAsia="Times New Roman"/>
          <w:sz w:val="24"/>
          <w:szCs w:val="24"/>
          <w:u w:val="single"/>
        </w:rPr>
        <w:t>Applicability</w:t>
      </w:r>
      <w:r w:rsidRPr="00470F73">
        <w:rPr>
          <w:rFonts w:eastAsia="Times New Roman"/>
          <w:sz w:val="24"/>
          <w:szCs w:val="24"/>
        </w:rPr>
        <w:t>. The Supplier of Water is subject to these requirements if their system is a Community Water System or a Non-transient Non-community Water System that uses a primary or residual Disinfectant other than ultraviolet light or delivers water that has been treated with a primary or residual Disinfectant other than ultraviolet light.</w:t>
      </w:r>
    </w:p>
    <w:p w14:paraId="2819FC4E" w14:textId="50AEF836" w:rsidR="004647B9" w:rsidRPr="00470F73" w:rsidRDefault="00E2436F" w:rsidP="00080D37">
      <w:pPr>
        <w:numPr>
          <w:ilvl w:val="1"/>
          <w:numId w:val="374"/>
        </w:numPr>
        <w:tabs>
          <w:tab w:val="left" w:pos="2056"/>
        </w:tabs>
        <w:ind w:left="1560" w:hanging="5"/>
        <w:rPr>
          <w:rFonts w:eastAsia="Times New Roman"/>
          <w:sz w:val="24"/>
          <w:szCs w:val="24"/>
        </w:rPr>
      </w:pPr>
      <w:r w:rsidRPr="00470F73">
        <w:rPr>
          <w:rFonts w:eastAsia="Times New Roman"/>
          <w:sz w:val="24"/>
          <w:szCs w:val="24"/>
          <w:u w:val="single"/>
        </w:rPr>
        <w:t>Schedule</w:t>
      </w:r>
      <w:r w:rsidRPr="00470F73">
        <w:rPr>
          <w:rFonts w:eastAsia="Times New Roman"/>
          <w:sz w:val="24"/>
          <w:szCs w:val="24"/>
        </w:rPr>
        <w:t>. The Supplier of Water must comply with the requirements in 310 CMR 22.07F(7) on the schedule in the following table based on their system type.</w:t>
      </w:r>
    </w:p>
    <w:p w14:paraId="63751046" w14:textId="729E3821" w:rsidR="003826E3" w:rsidRDefault="003826E3" w:rsidP="00080D37">
      <w:pPr>
        <w:tabs>
          <w:tab w:val="left" w:pos="2056"/>
        </w:tabs>
        <w:ind w:left="1555"/>
        <w:rPr>
          <w:rFonts w:eastAsia="Times New Roman"/>
          <w:sz w:val="24"/>
          <w:szCs w:val="24"/>
        </w:rPr>
      </w:pPr>
    </w:p>
    <w:p w14:paraId="3ADC44CC" w14:textId="031002C9" w:rsidR="003826E3" w:rsidRDefault="003826E3" w:rsidP="00080D37">
      <w:pPr>
        <w:tabs>
          <w:tab w:val="left" w:pos="2056"/>
        </w:tabs>
        <w:jc w:val="center"/>
        <w:rPr>
          <w:rFonts w:eastAsia="Times New Roman"/>
          <w:sz w:val="24"/>
          <w:szCs w:val="24"/>
        </w:rPr>
      </w:pPr>
      <w:r>
        <w:rPr>
          <w:rFonts w:eastAsia="Times New Roman"/>
          <w:sz w:val="24"/>
          <w:szCs w:val="24"/>
        </w:rPr>
        <w:t>TABLE 6 – 310 CMR 22.07F</w:t>
      </w:r>
    </w:p>
    <w:p w14:paraId="18479138" w14:textId="0C9ACDAB" w:rsidR="003826E3" w:rsidRDefault="003826E3" w:rsidP="00080D37">
      <w:pPr>
        <w:tabs>
          <w:tab w:val="left" w:pos="2056"/>
        </w:tabs>
        <w:jc w:val="center"/>
        <w:rPr>
          <w:rFonts w:eastAsia="Times New Roman"/>
          <w:sz w:val="24"/>
          <w:szCs w:val="24"/>
        </w:rPr>
      </w:pPr>
      <w:r>
        <w:rPr>
          <w:rFonts w:eastAsia="Times New Roman"/>
          <w:sz w:val="24"/>
          <w:szCs w:val="24"/>
        </w:rPr>
        <w:t>MONITORING SCHEDULE</w:t>
      </w:r>
    </w:p>
    <w:p w14:paraId="2819FC4F" w14:textId="77777777" w:rsidR="004647B9" w:rsidRPr="00080D37" w:rsidRDefault="004647B9" w:rsidP="00080D37">
      <w:pPr>
        <w:rPr>
          <w:sz w:val="24"/>
          <w:szCs w:val="24"/>
        </w:rPr>
      </w:pPr>
    </w:p>
    <w:tbl>
      <w:tblPr>
        <w:tblW w:w="10210" w:type="dxa"/>
        <w:tblLayout w:type="fixed"/>
        <w:tblCellMar>
          <w:left w:w="0" w:type="dxa"/>
          <w:right w:w="0" w:type="dxa"/>
        </w:tblCellMar>
        <w:tblLook w:val="04A0" w:firstRow="1" w:lastRow="0" w:firstColumn="1" w:lastColumn="0" w:noHBand="0" w:noVBand="1"/>
      </w:tblPr>
      <w:tblGrid>
        <w:gridCol w:w="10"/>
        <w:gridCol w:w="3850"/>
        <w:gridCol w:w="6340"/>
        <w:gridCol w:w="10"/>
      </w:tblGrid>
      <w:tr w:rsidR="003826E3" w14:paraId="2819FC5B" w14:textId="77777777" w:rsidTr="00AD43D0">
        <w:trPr>
          <w:gridAfter w:val="1"/>
          <w:wAfter w:w="10" w:type="dxa"/>
          <w:trHeight w:val="422"/>
        </w:trPr>
        <w:tc>
          <w:tcPr>
            <w:tcW w:w="3860" w:type="dxa"/>
            <w:gridSpan w:val="2"/>
            <w:tcBorders>
              <w:top w:val="single" w:sz="8" w:space="0" w:color="auto"/>
              <w:left w:val="single" w:sz="8" w:space="0" w:color="auto"/>
              <w:bottom w:val="single" w:sz="8" w:space="0" w:color="auto"/>
              <w:right w:val="single" w:sz="8" w:space="0" w:color="auto"/>
            </w:tcBorders>
            <w:vAlign w:val="center"/>
          </w:tcPr>
          <w:p w14:paraId="2819FC59" w14:textId="77777777" w:rsidR="003826E3" w:rsidRDefault="003826E3" w:rsidP="003826E3">
            <w:pPr>
              <w:ind w:left="40"/>
              <w:rPr>
                <w:sz w:val="20"/>
                <w:szCs w:val="20"/>
              </w:rPr>
            </w:pPr>
            <w:r>
              <w:rPr>
                <w:rFonts w:eastAsia="Times New Roman"/>
                <w:sz w:val="18"/>
                <w:szCs w:val="18"/>
              </w:rPr>
              <w:t>If you are this type of system</w:t>
            </w:r>
          </w:p>
        </w:tc>
        <w:tc>
          <w:tcPr>
            <w:tcW w:w="6340" w:type="dxa"/>
            <w:tcBorders>
              <w:top w:val="single" w:sz="8" w:space="0" w:color="auto"/>
              <w:bottom w:val="single" w:sz="8" w:space="0" w:color="auto"/>
              <w:right w:val="single" w:sz="8" w:space="0" w:color="auto"/>
            </w:tcBorders>
            <w:vAlign w:val="center"/>
          </w:tcPr>
          <w:p w14:paraId="2819FC5A" w14:textId="77777777" w:rsidR="003826E3" w:rsidRDefault="003826E3" w:rsidP="003826E3">
            <w:pPr>
              <w:ind w:left="100"/>
              <w:rPr>
                <w:sz w:val="20"/>
                <w:szCs w:val="20"/>
              </w:rPr>
            </w:pPr>
            <w:r>
              <w:rPr>
                <w:rFonts w:eastAsia="Times New Roman"/>
                <w:sz w:val="18"/>
                <w:szCs w:val="18"/>
              </w:rPr>
              <w:t>You must comply with monitoring required under 310 CMR 22.07F(7) by:</w:t>
            </w:r>
            <w:r>
              <w:rPr>
                <w:rFonts w:eastAsia="Times New Roman"/>
                <w:sz w:val="24"/>
                <w:szCs w:val="24"/>
                <w:vertAlign w:val="superscript"/>
              </w:rPr>
              <w:t>1</w:t>
            </w:r>
          </w:p>
        </w:tc>
      </w:tr>
      <w:tr w:rsidR="003826E3" w14:paraId="73156CD2" w14:textId="77777777" w:rsidTr="003826E3">
        <w:trPr>
          <w:gridAfter w:val="1"/>
          <w:wAfter w:w="10" w:type="dxa"/>
          <w:trHeight w:val="422"/>
        </w:trPr>
        <w:tc>
          <w:tcPr>
            <w:tcW w:w="10200" w:type="dxa"/>
            <w:gridSpan w:val="3"/>
            <w:tcBorders>
              <w:top w:val="single" w:sz="8" w:space="0" w:color="auto"/>
              <w:left w:val="single" w:sz="8" w:space="0" w:color="auto"/>
              <w:right w:val="single" w:sz="8" w:space="0" w:color="auto"/>
            </w:tcBorders>
            <w:vAlign w:val="center"/>
          </w:tcPr>
          <w:p w14:paraId="2E043942" w14:textId="3FB90E21" w:rsidR="003826E3" w:rsidRDefault="003826E3" w:rsidP="003826E3">
            <w:pPr>
              <w:ind w:left="100"/>
              <w:rPr>
                <w:rFonts w:eastAsia="Times New Roman"/>
                <w:sz w:val="18"/>
                <w:szCs w:val="18"/>
              </w:rPr>
            </w:pPr>
            <w:r>
              <w:rPr>
                <w:rFonts w:eastAsia="Times New Roman"/>
                <w:sz w:val="18"/>
                <w:szCs w:val="18"/>
              </w:rPr>
              <w:t>Systems that are not part of a Combined Distribution System and systems that serve the largest population in the Combined Distribution System</w:t>
            </w:r>
          </w:p>
        </w:tc>
      </w:tr>
      <w:tr w:rsidR="00396C4D" w14:paraId="2819FC66" w14:textId="77777777" w:rsidTr="00AD43D0">
        <w:trPr>
          <w:gridBefore w:val="1"/>
          <w:wBefore w:w="10" w:type="dxa"/>
          <w:trHeight w:val="426"/>
        </w:trPr>
        <w:tc>
          <w:tcPr>
            <w:tcW w:w="3850" w:type="dxa"/>
            <w:tcBorders>
              <w:top w:val="single" w:sz="8" w:space="0" w:color="auto"/>
              <w:left w:val="single" w:sz="8" w:space="0" w:color="auto"/>
              <w:bottom w:val="single" w:sz="8" w:space="0" w:color="auto"/>
              <w:right w:val="single" w:sz="8" w:space="0" w:color="auto"/>
            </w:tcBorders>
            <w:vAlign w:val="center"/>
          </w:tcPr>
          <w:p w14:paraId="2819FC64" w14:textId="5ED4EAB0" w:rsidR="00396C4D" w:rsidRPr="00396C4D" w:rsidRDefault="00396C4D" w:rsidP="00563A54">
            <w:pPr>
              <w:pStyle w:val="ListParagraph"/>
              <w:numPr>
                <w:ilvl w:val="0"/>
                <w:numId w:val="920"/>
              </w:numPr>
              <w:rPr>
                <w:sz w:val="24"/>
                <w:szCs w:val="24"/>
              </w:rPr>
            </w:pPr>
            <w:r w:rsidRPr="00396C4D">
              <w:rPr>
                <w:rFonts w:eastAsia="Times New Roman"/>
                <w:sz w:val="18"/>
                <w:szCs w:val="18"/>
              </w:rPr>
              <w:t>System serving &gt; 100,000</w:t>
            </w:r>
          </w:p>
        </w:tc>
        <w:tc>
          <w:tcPr>
            <w:tcW w:w="6350" w:type="dxa"/>
            <w:gridSpan w:val="2"/>
            <w:tcBorders>
              <w:top w:val="single" w:sz="8" w:space="0" w:color="auto"/>
              <w:left w:val="single" w:sz="8" w:space="0" w:color="auto"/>
              <w:bottom w:val="single" w:sz="8" w:space="0" w:color="auto"/>
              <w:right w:val="single" w:sz="8" w:space="0" w:color="auto"/>
            </w:tcBorders>
            <w:vAlign w:val="center"/>
          </w:tcPr>
          <w:p w14:paraId="2819FC65" w14:textId="77777777" w:rsidR="00396C4D" w:rsidRDefault="00396C4D" w:rsidP="00396C4D">
            <w:pPr>
              <w:ind w:left="80"/>
              <w:rPr>
                <w:sz w:val="20"/>
                <w:szCs w:val="20"/>
              </w:rPr>
            </w:pPr>
            <w:r>
              <w:rPr>
                <w:rFonts w:eastAsia="Times New Roman"/>
                <w:sz w:val="18"/>
                <w:szCs w:val="18"/>
              </w:rPr>
              <w:t>April 1, 2012</w:t>
            </w:r>
          </w:p>
        </w:tc>
      </w:tr>
      <w:tr w:rsidR="00AD43D0" w14:paraId="2819FC71" w14:textId="77777777" w:rsidTr="00AD43D0">
        <w:trPr>
          <w:gridBefore w:val="1"/>
          <w:wBefore w:w="10" w:type="dxa"/>
          <w:trHeight w:val="424"/>
        </w:trPr>
        <w:tc>
          <w:tcPr>
            <w:tcW w:w="3850" w:type="dxa"/>
            <w:tcBorders>
              <w:top w:val="single" w:sz="8" w:space="0" w:color="auto"/>
              <w:left w:val="single" w:sz="8" w:space="0" w:color="auto"/>
              <w:bottom w:val="single" w:sz="8" w:space="0" w:color="auto"/>
              <w:right w:val="single" w:sz="8" w:space="0" w:color="auto"/>
            </w:tcBorders>
            <w:vAlign w:val="center"/>
          </w:tcPr>
          <w:p w14:paraId="2819FC6F" w14:textId="48645A67" w:rsidR="00AD43D0" w:rsidRPr="00AD43D0" w:rsidRDefault="00AD43D0" w:rsidP="00563A54">
            <w:pPr>
              <w:pStyle w:val="ListParagraph"/>
              <w:numPr>
                <w:ilvl w:val="0"/>
                <w:numId w:val="920"/>
              </w:numPr>
              <w:rPr>
                <w:sz w:val="20"/>
                <w:szCs w:val="20"/>
              </w:rPr>
            </w:pPr>
            <w:r w:rsidRPr="00AD43D0">
              <w:rPr>
                <w:rFonts w:eastAsia="Times New Roman"/>
                <w:sz w:val="18"/>
                <w:szCs w:val="18"/>
              </w:rPr>
              <w:t>System serving 50,000 99,999</w:t>
            </w:r>
          </w:p>
        </w:tc>
        <w:tc>
          <w:tcPr>
            <w:tcW w:w="6350" w:type="dxa"/>
            <w:gridSpan w:val="2"/>
            <w:tcBorders>
              <w:top w:val="single" w:sz="8" w:space="0" w:color="auto"/>
              <w:left w:val="single" w:sz="8" w:space="0" w:color="auto"/>
              <w:bottom w:val="single" w:sz="8" w:space="0" w:color="auto"/>
              <w:right w:val="single" w:sz="8" w:space="0" w:color="auto"/>
            </w:tcBorders>
            <w:vAlign w:val="center"/>
          </w:tcPr>
          <w:p w14:paraId="2819FC70" w14:textId="77777777" w:rsidR="00AD43D0" w:rsidRDefault="00AD43D0" w:rsidP="00AD43D0">
            <w:pPr>
              <w:ind w:left="80"/>
              <w:rPr>
                <w:sz w:val="20"/>
                <w:szCs w:val="20"/>
              </w:rPr>
            </w:pPr>
            <w:r>
              <w:rPr>
                <w:rFonts w:eastAsia="Times New Roman"/>
                <w:sz w:val="18"/>
                <w:szCs w:val="18"/>
              </w:rPr>
              <w:t>October 1, 2012</w:t>
            </w:r>
          </w:p>
        </w:tc>
      </w:tr>
      <w:tr w:rsidR="00AD43D0" w14:paraId="2819FC7C" w14:textId="77777777" w:rsidTr="00AD43D0">
        <w:trPr>
          <w:gridBefore w:val="1"/>
          <w:wBefore w:w="10" w:type="dxa"/>
          <w:trHeight w:val="426"/>
        </w:trPr>
        <w:tc>
          <w:tcPr>
            <w:tcW w:w="3850" w:type="dxa"/>
            <w:tcBorders>
              <w:top w:val="single" w:sz="8" w:space="0" w:color="auto"/>
              <w:left w:val="single" w:sz="8" w:space="0" w:color="auto"/>
              <w:bottom w:val="single" w:sz="8" w:space="0" w:color="auto"/>
              <w:right w:val="single" w:sz="8" w:space="0" w:color="auto"/>
            </w:tcBorders>
            <w:vAlign w:val="center"/>
          </w:tcPr>
          <w:p w14:paraId="2819FC7A" w14:textId="5C4E29AA" w:rsidR="00AD43D0" w:rsidRPr="00AD43D0" w:rsidRDefault="00AD43D0" w:rsidP="00563A54">
            <w:pPr>
              <w:pStyle w:val="ListParagraph"/>
              <w:numPr>
                <w:ilvl w:val="0"/>
                <w:numId w:val="920"/>
              </w:numPr>
              <w:rPr>
                <w:sz w:val="20"/>
                <w:szCs w:val="20"/>
              </w:rPr>
            </w:pPr>
            <w:r w:rsidRPr="00AD43D0">
              <w:rPr>
                <w:rFonts w:eastAsia="Times New Roman"/>
                <w:sz w:val="18"/>
                <w:szCs w:val="18"/>
              </w:rPr>
              <w:t>System serving 10,000 49,999</w:t>
            </w:r>
          </w:p>
        </w:tc>
        <w:tc>
          <w:tcPr>
            <w:tcW w:w="6350" w:type="dxa"/>
            <w:gridSpan w:val="2"/>
            <w:tcBorders>
              <w:top w:val="single" w:sz="8" w:space="0" w:color="auto"/>
              <w:left w:val="single" w:sz="8" w:space="0" w:color="auto"/>
              <w:bottom w:val="single" w:sz="8" w:space="0" w:color="auto"/>
              <w:right w:val="single" w:sz="8" w:space="0" w:color="auto"/>
            </w:tcBorders>
            <w:vAlign w:val="center"/>
          </w:tcPr>
          <w:p w14:paraId="2819FC7B" w14:textId="77777777" w:rsidR="00AD43D0" w:rsidRDefault="00AD43D0" w:rsidP="00AD43D0">
            <w:pPr>
              <w:ind w:left="80"/>
              <w:rPr>
                <w:sz w:val="20"/>
                <w:szCs w:val="20"/>
              </w:rPr>
            </w:pPr>
            <w:r>
              <w:rPr>
                <w:rFonts w:eastAsia="Times New Roman"/>
                <w:sz w:val="18"/>
                <w:szCs w:val="18"/>
              </w:rPr>
              <w:t>October 1, 2013</w:t>
            </w:r>
          </w:p>
        </w:tc>
      </w:tr>
      <w:tr w:rsidR="00AD43D0" w14:paraId="2819FC87" w14:textId="77777777" w:rsidTr="00AD43D0">
        <w:trPr>
          <w:gridBefore w:val="1"/>
          <w:wBefore w:w="10" w:type="dxa"/>
          <w:trHeight w:val="1227"/>
        </w:trPr>
        <w:tc>
          <w:tcPr>
            <w:tcW w:w="3850" w:type="dxa"/>
            <w:tcBorders>
              <w:top w:val="single" w:sz="8" w:space="0" w:color="auto"/>
              <w:left w:val="single" w:sz="8" w:space="0" w:color="auto"/>
              <w:bottom w:val="single" w:sz="8" w:space="0" w:color="auto"/>
              <w:right w:val="single" w:sz="8" w:space="0" w:color="auto"/>
            </w:tcBorders>
            <w:vAlign w:val="center"/>
          </w:tcPr>
          <w:p w14:paraId="2819FC85" w14:textId="32241A85" w:rsidR="00AD43D0" w:rsidRPr="00AD43D0" w:rsidRDefault="00AD43D0" w:rsidP="00563A54">
            <w:pPr>
              <w:pStyle w:val="ListParagraph"/>
              <w:numPr>
                <w:ilvl w:val="0"/>
                <w:numId w:val="920"/>
              </w:numPr>
              <w:rPr>
                <w:sz w:val="20"/>
                <w:szCs w:val="20"/>
              </w:rPr>
            </w:pPr>
            <w:r w:rsidRPr="00AD43D0">
              <w:rPr>
                <w:rFonts w:eastAsia="Times New Roman"/>
                <w:sz w:val="18"/>
                <w:szCs w:val="18"/>
              </w:rPr>
              <w:t>System serving &lt; 10,000</w:t>
            </w:r>
          </w:p>
        </w:tc>
        <w:tc>
          <w:tcPr>
            <w:tcW w:w="6350" w:type="dxa"/>
            <w:gridSpan w:val="2"/>
            <w:tcBorders>
              <w:top w:val="single" w:sz="8" w:space="0" w:color="auto"/>
              <w:left w:val="single" w:sz="8" w:space="0" w:color="auto"/>
              <w:bottom w:val="single" w:sz="8" w:space="0" w:color="auto"/>
              <w:right w:val="single" w:sz="8" w:space="0" w:color="auto"/>
            </w:tcBorders>
            <w:vAlign w:val="center"/>
          </w:tcPr>
          <w:p w14:paraId="3548C711" w14:textId="73A1E71A" w:rsidR="00AD43D0" w:rsidRDefault="00AD43D0" w:rsidP="00AD43D0">
            <w:pPr>
              <w:ind w:left="80"/>
              <w:rPr>
                <w:sz w:val="20"/>
                <w:szCs w:val="20"/>
              </w:rPr>
            </w:pPr>
            <w:r>
              <w:rPr>
                <w:rFonts w:eastAsia="Times New Roman"/>
                <w:sz w:val="18"/>
                <w:szCs w:val="18"/>
              </w:rPr>
              <w:t xml:space="preserve">October 1, 2013 if no </w:t>
            </w:r>
            <w:r>
              <w:rPr>
                <w:rFonts w:eastAsia="Times New Roman"/>
                <w:i/>
                <w:iCs/>
                <w:sz w:val="18"/>
                <w:szCs w:val="18"/>
              </w:rPr>
              <w:t>Cryptosporidium</w:t>
            </w:r>
            <w:r>
              <w:rPr>
                <w:rFonts w:eastAsia="Times New Roman"/>
                <w:sz w:val="18"/>
                <w:szCs w:val="18"/>
              </w:rPr>
              <w:t xml:space="preserve"> monitoring is required under 310 CMR 22.20G(2)(a)4. or</w:t>
            </w:r>
          </w:p>
          <w:p w14:paraId="2819FC86" w14:textId="4AB12B5C" w:rsidR="00AD43D0" w:rsidRDefault="00AD43D0" w:rsidP="00AD43D0">
            <w:pPr>
              <w:ind w:left="80"/>
              <w:rPr>
                <w:sz w:val="20"/>
                <w:szCs w:val="20"/>
              </w:rPr>
            </w:pPr>
            <w:r>
              <w:rPr>
                <w:rFonts w:eastAsia="Times New Roman"/>
                <w:sz w:val="18"/>
                <w:szCs w:val="18"/>
              </w:rPr>
              <w:t xml:space="preserve">October 1, 2014 if </w:t>
            </w:r>
            <w:r>
              <w:rPr>
                <w:rFonts w:eastAsia="Times New Roman"/>
                <w:i/>
                <w:iCs/>
                <w:sz w:val="18"/>
                <w:szCs w:val="18"/>
              </w:rPr>
              <w:t>Cryptosporidium</w:t>
            </w:r>
            <w:r>
              <w:rPr>
                <w:rFonts w:eastAsia="Times New Roman"/>
                <w:sz w:val="18"/>
                <w:szCs w:val="18"/>
              </w:rPr>
              <w:t xml:space="preserve"> monitoring is required under 310 CMR 22.20G(2)(a)4. or 310 CMR 22.20G(2)(a)6.</w:t>
            </w:r>
          </w:p>
        </w:tc>
      </w:tr>
      <w:tr w:rsidR="00AD43D0" w14:paraId="2819FCA4" w14:textId="77777777" w:rsidTr="00AD43D0">
        <w:trPr>
          <w:gridBefore w:val="1"/>
          <w:wBefore w:w="10" w:type="dxa"/>
          <w:trHeight w:val="444"/>
        </w:trPr>
        <w:tc>
          <w:tcPr>
            <w:tcW w:w="10200" w:type="dxa"/>
            <w:gridSpan w:val="3"/>
            <w:tcBorders>
              <w:top w:val="single" w:sz="8" w:space="0" w:color="auto"/>
              <w:left w:val="single" w:sz="8" w:space="0" w:color="auto"/>
              <w:bottom w:val="single" w:sz="8" w:space="0" w:color="auto"/>
              <w:right w:val="single" w:sz="8" w:space="0" w:color="auto"/>
            </w:tcBorders>
            <w:vAlign w:val="center"/>
          </w:tcPr>
          <w:p w14:paraId="2819FCA3" w14:textId="77777777" w:rsidR="00AD43D0" w:rsidRDefault="00AD43D0" w:rsidP="00AD43D0">
            <w:pPr>
              <w:ind w:left="40"/>
              <w:rPr>
                <w:sz w:val="20"/>
                <w:szCs w:val="20"/>
              </w:rPr>
            </w:pPr>
            <w:r>
              <w:rPr>
                <w:rFonts w:eastAsia="Times New Roman"/>
                <w:sz w:val="18"/>
                <w:szCs w:val="18"/>
              </w:rPr>
              <w:t>Other systems that are part of a Combined Distribution System</w:t>
            </w:r>
          </w:p>
        </w:tc>
      </w:tr>
      <w:tr w:rsidR="00AD43D0" w14:paraId="2819FCAD" w14:textId="77777777" w:rsidTr="00AD43D0">
        <w:trPr>
          <w:gridBefore w:val="1"/>
          <w:wBefore w:w="10" w:type="dxa"/>
          <w:trHeight w:val="695"/>
        </w:trPr>
        <w:tc>
          <w:tcPr>
            <w:tcW w:w="3850" w:type="dxa"/>
            <w:tcBorders>
              <w:top w:val="single" w:sz="8" w:space="0" w:color="auto"/>
              <w:left w:val="single" w:sz="8" w:space="0" w:color="auto"/>
              <w:bottom w:val="single" w:sz="8" w:space="0" w:color="auto"/>
              <w:right w:val="single" w:sz="8" w:space="0" w:color="auto"/>
            </w:tcBorders>
            <w:vAlign w:val="center"/>
          </w:tcPr>
          <w:p w14:paraId="2819FCAB" w14:textId="30CF5F24" w:rsidR="00AD43D0" w:rsidRPr="00AD43D0" w:rsidRDefault="00AD43D0" w:rsidP="00563A54">
            <w:pPr>
              <w:pStyle w:val="ListParagraph"/>
              <w:numPr>
                <w:ilvl w:val="0"/>
                <w:numId w:val="920"/>
              </w:numPr>
              <w:rPr>
                <w:sz w:val="20"/>
                <w:szCs w:val="20"/>
              </w:rPr>
            </w:pPr>
            <w:r w:rsidRPr="00AD43D0">
              <w:rPr>
                <w:rFonts w:eastAsia="Times New Roman"/>
                <w:sz w:val="18"/>
                <w:szCs w:val="18"/>
              </w:rPr>
              <w:t>Consecutive system or Wholesale System</w:t>
            </w:r>
          </w:p>
        </w:tc>
        <w:tc>
          <w:tcPr>
            <w:tcW w:w="6350" w:type="dxa"/>
            <w:gridSpan w:val="2"/>
            <w:tcBorders>
              <w:top w:val="single" w:sz="8" w:space="0" w:color="auto"/>
              <w:bottom w:val="single" w:sz="8" w:space="0" w:color="auto"/>
              <w:right w:val="single" w:sz="8" w:space="0" w:color="auto"/>
            </w:tcBorders>
            <w:vAlign w:val="center"/>
          </w:tcPr>
          <w:p w14:paraId="2819FCAC" w14:textId="0C8D1889" w:rsidR="00AD43D0" w:rsidRDefault="00AD43D0" w:rsidP="00AD43D0">
            <w:pPr>
              <w:ind w:left="80"/>
              <w:rPr>
                <w:sz w:val="20"/>
                <w:szCs w:val="20"/>
              </w:rPr>
            </w:pPr>
            <w:r>
              <w:rPr>
                <w:rFonts w:eastAsia="Times New Roman"/>
                <w:sz w:val="18"/>
                <w:szCs w:val="18"/>
              </w:rPr>
              <w:t>at the same time as the system with the earliest compliance date in the Combined Distribution System.</w:t>
            </w:r>
          </w:p>
        </w:tc>
      </w:tr>
    </w:tbl>
    <w:p w14:paraId="2819FCBC" w14:textId="77777777" w:rsidR="004647B9" w:rsidRDefault="004647B9" w:rsidP="00080D37">
      <w:pPr>
        <w:rPr>
          <w:sz w:val="20"/>
          <w:szCs w:val="20"/>
        </w:rPr>
      </w:pPr>
    </w:p>
    <w:p w14:paraId="2819FCBD" w14:textId="77777777" w:rsidR="004647B9" w:rsidRDefault="004647B9" w:rsidP="00080D37">
      <w:pPr>
        <w:sectPr w:rsidR="004647B9" w:rsidSect="00EF630C">
          <w:pgSz w:w="12240" w:h="20180"/>
          <w:pgMar w:top="708" w:right="1440" w:bottom="1440" w:left="600" w:header="0" w:footer="0" w:gutter="0"/>
          <w:cols w:space="720"/>
        </w:sectPr>
      </w:pPr>
    </w:p>
    <w:p w14:paraId="2819FCBE" w14:textId="77777777" w:rsidR="004647B9" w:rsidRDefault="004647B9" w:rsidP="00080D37">
      <w:pPr>
        <w:rPr>
          <w:sz w:val="20"/>
          <w:szCs w:val="20"/>
        </w:rPr>
      </w:pPr>
    </w:p>
    <w:p w14:paraId="2819FCBF" w14:textId="77777777" w:rsidR="004647B9" w:rsidRDefault="00E2436F" w:rsidP="00080D37">
      <w:pPr>
        <w:numPr>
          <w:ilvl w:val="0"/>
          <w:numId w:val="375"/>
        </w:numPr>
        <w:tabs>
          <w:tab w:val="left" w:pos="480"/>
        </w:tabs>
        <w:ind w:left="480" w:hanging="480"/>
        <w:rPr>
          <w:rFonts w:eastAsia="Times New Roman"/>
          <w:sz w:val="27"/>
          <w:szCs w:val="27"/>
          <w:vertAlign w:val="superscript"/>
        </w:rPr>
      </w:pPr>
      <w:r w:rsidRPr="00725838">
        <w:rPr>
          <w:rFonts w:eastAsia="Times New Roman"/>
          <w:sz w:val="24"/>
          <w:szCs w:val="24"/>
        </w:rPr>
        <w:t>The Department may grant up to an additional 24 months for compliance with MCLs and operational evaluation levels if the Supplier of Water requires capital improvements to comply with an MCL</w:t>
      </w:r>
      <w:r>
        <w:rPr>
          <w:rFonts w:eastAsia="Times New Roman"/>
          <w:sz w:val="23"/>
          <w:szCs w:val="23"/>
        </w:rPr>
        <w:t>.</w:t>
      </w:r>
    </w:p>
    <w:p w14:paraId="2819FCC0" w14:textId="77777777" w:rsidR="004647B9" w:rsidRDefault="004647B9" w:rsidP="00080D37">
      <w:pPr>
        <w:sectPr w:rsidR="004647B9" w:rsidSect="00EF630C">
          <w:type w:val="continuous"/>
          <w:pgSz w:w="12240" w:h="20180"/>
          <w:pgMar w:top="708" w:right="1440" w:bottom="1440" w:left="600" w:header="0" w:footer="0" w:gutter="0"/>
          <w:cols w:space="720"/>
        </w:sectPr>
      </w:pPr>
    </w:p>
    <w:p w14:paraId="2819FCC1" w14:textId="77777777" w:rsidR="004647B9" w:rsidRDefault="00E2436F">
      <w:pPr>
        <w:tabs>
          <w:tab w:val="left" w:pos="160"/>
        </w:tabs>
        <w:jc w:val="center"/>
        <w:rPr>
          <w:sz w:val="20"/>
          <w:szCs w:val="20"/>
        </w:rPr>
      </w:pPr>
      <w:bookmarkStart w:id="141" w:name="page143"/>
      <w:bookmarkEnd w:id="14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CC2" w14:textId="77777777" w:rsidR="004647B9" w:rsidRDefault="004647B9" w:rsidP="00080D37">
      <w:pPr>
        <w:rPr>
          <w:sz w:val="20"/>
          <w:szCs w:val="20"/>
        </w:rPr>
      </w:pPr>
    </w:p>
    <w:p w14:paraId="2819FCC3" w14:textId="77777777" w:rsidR="004647B9" w:rsidRDefault="004647B9" w:rsidP="00080D37">
      <w:pPr>
        <w:rPr>
          <w:sz w:val="20"/>
          <w:szCs w:val="20"/>
        </w:rPr>
      </w:pPr>
    </w:p>
    <w:p w14:paraId="2819FCC4" w14:textId="77777777" w:rsidR="004647B9" w:rsidRPr="00080D37" w:rsidRDefault="00E2436F" w:rsidP="00080D37">
      <w:pPr>
        <w:tabs>
          <w:tab w:val="left" w:pos="900"/>
        </w:tabs>
        <w:rPr>
          <w:sz w:val="24"/>
          <w:szCs w:val="24"/>
        </w:rPr>
      </w:pPr>
      <w:r w:rsidRPr="00080D37">
        <w:rPr>
          <w:rFonts w:eastAsia="Times New Roman"/>
          <w:sz w:val="24"/>
          <w:szCs w:val="24"/>
        </w:rPr>
        <w:t>22.07F:</w:t>
      </w:r>
      <w:r w:rsidRPr="00080D37">
        <w:rPr>
          <w:sz w:val="24"/>
          <w:szCs w:val="24"/>
        </w:rPr>
        <w:tab/>
      </w:r>
      <w:r w:rsidRPr="00080D37">
        <w:rPr>
          <w:rFonts w:eastAsia="Times New Roman"/>
          <w:sz w:val="24"/>
          <w:szCs w:val="24"/>
        </w:rPr>
        <w:t>continued</w:t>
      </w:r>
    </w:p>
    <w:p w14:paraId="2819FCC5" w14:textId="77777777" w:rsidR="004647B9" w:rsidRDefault="004647B9" w:rsidP="00080D37">
      <w:pPr>
        <w:rPr>
          <w:sz w:val="20"/>
          <w:szCs w:val="20"/>
        </w:rPr>
      </w:pPr>
    </w:p>
    <w:p w14:paraId="2819FCC6" w14:textId="77777777" w:rsidR="004647B9" w:rsidRPr="00725838" w:rsidRDefault="00E2436F" w:rsidP="00080D37">
      <w:pPr>
        <w:numPr>
          <w:ilvl w:val="2"/>
          <w:numId w:val="376"/>
        </w:numPr>
        <w:tabs>
          <w:tab w:val="left" w:pos="2532"/>
        </w:tabs>
        <w:ind w:left="1920" w:hanging="5"/>
        <w:rPr>
          <w:rFonts w:eastAsia="Times New Roman"/>
          <w:sz w:val="24"/>
          <w:szCs w:val="24"/>
        </w:rPr>
      </w:pPr>
      <w:r w:rsidRPr="00725838">
        <w:rPr>
          <w:rFonts w:eastAsia="Times New Roman"/>
          <w:sz w:val="24"/>
          <w:szCs w:val="24"/>
        </w:rPr>
        <w:t>The Supplier of Water's monitoring frequency is specified in 310 CMR 22.07F(8)(a)2.</w:t>
      </w:r>
    </w:p>
    <w:p w14:paraId="2819FCC8" w14:textId="77777777" w:rsidR="004647B9" w:rsidRPr="00725838" w:rsidRDefault="00E2436F" w:rsidP="00080D37">
      <w:pPr>
        <w:numPr>
          <w:ilvl w:val="3"/>
          <w:numId w:val="376"/>
        </w:numPr>
        <w:tabs>
          <w:tab w:val="left" w:pos="2634"/>
        </w:tabs>
        <w:ind w:left="2280" w:hanging="5"/>
        <w:jc w:val="both"/>
        <w:rPr>
          <w:rFonts w:eastAsia="Times New Roman"/>
          <w:sz w:val="24"/>
          <w:szCs w:val="24"/>
        </w:rPr>
      </w:pPr>
      <w:r w:rsidRPr="00725838">
        <w:rPr>
          <w:rFonts w:eastAsia="Times New Roman"/>
          <w:sz w:val="24"/>
          <w:szCs w:val="24"/>
        </w:rPr>
        <w:t>If the Supplier of Water is required to conduct quarterly monitoring, they must begin monitoring in the first full calendar quarter that includes the compliance date in the table in 310 CMR 22.07F(7)(c).</w:t>
      </w:r>
    </w:p>
    <w:p w14:paraId="2819FCCA" w14:textId="77777777" w:rsidR="004647B9" w:rsidRPr="00725838" w:rsidRDefault="00E2436F" w:rsidP="00080D37">
      <w:pPr>
        <w:numPr>
          <w:ilvl w:val="3"/>
          <w:numId w:val="376"/>
        </w:numPr>
        <w:tabs>
          <w:tab w:val="left" w:pos="2633"/>
        </w:tabs>
        <w:ind w:left="2280" w:hanging="5"/>
        <w:jc w:val="both"/>
        <w:rPr>
          <w:rFonts w:eastAsia="Times New Roman"/>
          <w:sz w:val="24"/>
          <w:szCs w:val="24"/>
        </w:rPr>
      </w:pPr>
      <w:r w:rsidRPr="00725838">
        <w:rPr>
          <w:rFonts w:eastAsia="Times New Roman"/>
          <w:sz w:val="24"/>
          <w:szCs w:val="24"/>
        </w:rPr>
        <w:t>If the Supplier of Water is required to conduct monitoring at a frequency that is less than quarterly, they must begin monitoring in the calendar month recommended in the IDSE report prepared under 310 CMR 22.07F(2) or (3) or the calendar month identified in the monitoring plan developed under 310 CMR 22.07F(9) no later than 12 months after the compliance date in the table in 310 CMR 22.07F(7)(c).</w:t>
      </w:r>
    </w:p>
    <w:p w14:paraId="2819FCCB" w14:textId="77777777" w:rsidR="004647B9" w:rsidRPr="00725838" w:rsidRDefault="00E2436F" w:rsidP="00080D37">
      <w:pPr>
        <w:numPr>
          <w:ilvl w:val="2"/>
          <w:numId w:val="376"/>
        </w:numPr>
        <w:tabs>
          <w:tab w:val="left" w:pos="2244"/>
        </w:tabs>
        <w:ind w:left="1920" w:hanging="5"/>
        <w:jc w:val="both"/>
        <w:rPr>
          <w:rFonts w:eastAsia="Times New Roman"/>
          <w:sz w:val="24"/>
          <w:szCs w:val="24"/>
        </w:rPr>
      </w:pPr>
      <w:r w:rsidRPr="00725838">
        <w:rPr>
          <w:rFonts w:eastAsia="Times New Roman"/>
          <w:sz w:val="24"/>
          <w:szCs w:val="24"/>
        </w:rPr>
        <w:t>If the Supplier of Water is required to conduct quarterly monitoring, they must make compliance calculations at the end of the fourth calendar quarter that follows the compliance date and at the end of each subsequent quarter (or earlier if the LRAA calculated based on fewer than four quarters of data would cause the MCL to be exceeded regardless of the monitoring results of subsequent quarters). If the Supplier of Water is required to conduct monitoring at a frequency that is less than quarterly, they must make compliance calculations beginning with the first compliance sample taken after the compliance date.</w:t>
      </w:r>
    </w:p>
    <w:p w14:paraId="2819FCCD" w14:textId="77777777" w:rsidR="004647B9" w:rsidRPr="00725838" w:rsidRDefault="00E2436F" w:rsidP="00080D37">
      <w:pPr>
        <w:numPr>
          <w:ilvl w:val="2"/>
          <w:numId w:val="376"/>
        </w:numPr>
        <w:tabs>
          <w:tab w:val="left" w:pos="2350"/>
        </w:tabs>
        <w:ind w:left="1920" w:hanging="5"/>
        <w:jc w:val="both"/>
        <w:rPr>
          <w:rFonts w:eastAsia="Times New Roman"/>
          <w:sz w:val="24"/>
          <w:szCs w:val="24"/>
        </w:rPr>
      </w:pPr>
      <w:r w:rsidRPr="00725838">
        <w:rPr>
          <w:rFonts w:eastAsia="Times New Roman"/>
          <w:sz w:val="24"/>
          <w:szCs w:val="24"/>
        </w:rPr>
        <w:t>For the purpose of the schedule in 310 CMR 22.07F(7)(c), the Department may determine that the Combined Distribution System does not include certain consecutive systems based on factors such as receiving water from a Wholesale System only on an Emergency basis or receiving only a small percentage and small volume of water from a Wholesale System. The Department may also determine that the Combined Distribution System does not include certain Wholesale Systems based on factors such as delivering water to a consecutive system only on an Emergency basis or delivering only a small percentage and small volume of water to a consecutive system.</w:t>
      </w:r>
    </w:p>
    <w:p w14:paraId="2819FCCF" w14:textId="77777777" w:rsidR="004647B9" w:rsidRPr="00725838" w:rsidRDefault="00E2436F" w:rsidP="00080D37">
      <w:pPr>
        <w:numPr>
          <w:ilvl w:val="1"/>
          <w:numId w:val="377"/>
        </w:numPr>
        <w:tabs>
          <w:tab w:val="left" w:pos="2020"/>
        </w:tabs>
        <w:ind w:left="2020" w:hanging="465"/>
        <w:rPr>
          <w:rFonts w:eastAsia="Times New Roman"/>
          <w:sz w:val="24"/>
          <w:szCs w:val="24"/>
        </w:rPr>
      </w:pPr>
      <w:r w:rsidRPr="00725838">
        <w:rPr>
          <w:rFonts w:eastAsia="Times New Roman"/>
          <w:sz w:val="24"/>
          <w:szCs w:val="24"/>
          <w:u w:val="single"/>
        </w:rPr>
        <w:t>Monitoring and Compliance</w:t>
      </w:r>
      <w:r w:rsidRPr="00725838">
        <w:rPr>
          <w:rFonts w:eastAsia="Times New Roman"/>
          <w:sz w:val="24"/>
          <w:szCs w:val="24"/>
        </w:rPr>
        <w:t>.</w:t>
      </w:r>
    </w:p>
    <w:p w14:paraId="2819FCD1" w14:textId="0AF772FF" w:rsidR="004647B9" w:rsidRPr="00725838" w:rsidRDefault="00E2436F" w:rsidP="00080D37">
      <w:pPr>
        <w:numPr>
          <w:ilvl w:val="2"/>
          <w:numId w:val="377"/>
        </w:numPr>
        <w:tabs>
          <w:tab w:val="left" w:pos="2400"/>
        </w:tabs>
        <w:ind w:left="1915" w:hanging="25"/>
        <w:rPr>
          <w:rFonts w:eastAsia="Times New Roman"/>
          <w:sz w:val="24"/>
          <w:szCs w:val="24"/>
        </w:rPr>
      </w:pPr>
      <w:r w:rsidRPr="00725838">
        <w:rPr>
          <w:rFonts w:eastAsia="Times New Roman"/>
          <w:sz w:val="24"/>
          <w:szCs w:val="24"/>
          <w:u w:val="single"/>
        </w:rPr>
        <w:t>Systems Required to Monitor Quarterly</w:t>
      </w:r>
      <w:r w:rsidRPr="00725838">
        <w:rPr>
          <w:rFonts w:eastAsia="Times New Roman"/>
          <w:sz w:val="24"/>
          <w:szCs w:val="24"/>
        </w:rPr>
        <w:t>.  To comply with MCLs required by</w:t>
      </w:r>
      <w:r w:rsidR="008A6CA6" w:rsidRPr="00725838">
        <w:rPr>
          <w:rFonts w:eastAsia="Times New Roman"/>
          <w:sz w:val="24"/>
          <w:szCs w:val="24"/>
        </w:rPr>
        <w:t xml:space="preserve"> 310 </w:t>
      </w:r>
      <w:r w:rsidRPr="00725838">
        <w:rPr>
          <w:rFonts w:eastAsia="Times New Roman"/>
          <w:sz w:val="24"/>
          <w:szCs w:val="24"/>
        </w:rPr>
        <w:t>CMR 22.07F listed in 310 CMR 22.07E(1), the Supplier of Water must calculate LRAAs for TTHM and HAA5 using monitoring results collected under 310 CMR 22.07F and determine that each LRAA does not exceed the MCL. If the Supplier of Water fails to complete four consecutive quarters of monitoring, they must calculate compliance with the MCL based on the average of the available data from the most recent four quarters. If the Supplier of Water takes more than one sample per quarter at a monitoring location, they must average all samples taken in the quarter at that location to determine a quarterly average to be used in the LRAA calculation.</w:t>
      </w:r>
    </w:p>
    <w:p w14:paraId="2819FCD3" w14:textId="77777777" w:rsidR="004647B9" w:rsidRPr="00725838" w:rsidRDefault="00E2436F" w:rsidP="00FC0A2D">
      <w:pPr>
        <w:numPr>
          <w:ilvl w:val="2"/>
          <w:numId w:val="378"/>
        </w:numPr>
        <w:tabs>
          <w:tab w:val="left" w:pos="2280"/>
        </w:tabs>
        <w:ind w:left="1915"/>
        <w:jc w:val="both"/>
        <w:rPr>
          <w:rFonts w:eastAsia="Times New Roman"/>
          <w:sz w:val="24"/>
          <w:szCs w:val="24"/>
        </w:rPr>
      </w:pPr>
      <w:r>
        <w:rPr>
          <w:rFonts w:eastAsia="Times New Roman"/>
          <w:sz w:val="24"/>
          <w:szCs w:val="24"/>
          <w:u w:val="single"/>
        </w:rPr>
        <w:t>Systems Required to Monitor Yearly or less Frequently</w:t>
      </w:r>
      <w:r>
        <w:rPr>
          <w:rFonts w:eastAsia="Times New Roman"/>
          <w:sz w:val="24"/>
          <w:szCs w:val="24"/>
        </w:rPr>
        <w:t xml:space="preserve">. To determine compliance </w:t>
      </w:r>
      <w:r w:rsidRPr="00725838">
        <w:rPr>
          <w:rFonts w:eastAsia="Times New Roman"/>
          <w:sz w:val="24"/>
          <w:szCs w:val="24"/>
        </w:rPr>
        <w:t>with MCLs required by 310 CMR 22.07F listed in 310 CMR 22.07E(1), the Supplier of Water must determine that each sample taken is less than the MCL. If any sample exceeds the MCL, they must comply with the requirements of 310 CMR 22.07F(12). If no sample exceeds the MCL, the sample result for each monitoring location is considered the LRAA for that monitoring location.</w:t>
      </w:r>
    </w:p>
    <w:p w14:paraId="2819FCD5" w14:textId="77777777" w:rsidR="004647B9" w:rsidRPr="00725838" w:rsidRDefault="00E2436F" w:rsidP="00080D37">
      <w:pPr>
        <w:numPr>
          <w:ilvl w:val="1"/>
          <w:numId w:val="379"/>
        </w:numPr>
        <w:tabs>
          <w:tab w:val="left" w:pos="1954"/>
        </w:tabs>
        <w:ind w:left="1560" w:hanging="5"/>
        <w:jc w:val="both"/>
        <w:rPr>
          <w:rFonts w:eastAsia="Times New Roman"/>
          <w:sz w:val="24"/>
          <w:szCs w:val="24"/>
        </w:rPr>
      </w:pPr>
      <w:r w:rsidRPr="00725838">
        <w:rPr>
          <w:rFonts w:eastAsia="Times New Roman"/>
          <w:sz w:val="24"/>
          <w:szCs w:val="24"/>
          <w:u w:val="single"/>
        </w:rPr>
        <w:t>Violation</w:t>
      </w:r>
      <w:r w:rsidRPr="00725838">
        <w:rPr>
          <w:rFonts w:eastAsia="Times New Roman"/>
          <w:sz w:val="24"/>
          <w:szCs w:val="24"/>
        </w:rPr>
        <w:t>. The Supplier of Water is in violation of the monitoring requirements for each quarter that a monitoring result would be used in calculating an LRAA if they fail to monitor.</w:t>
      </w:r>
    </w:p>
    <w:p w14:paraId="2819FCD6" w14:textId="77777777" w:rsidR="004647B9" w:rsidRPr="00725838" w:rsidRDefault="004647B9" w:rsidP="00080D37">
      <w:pPr>
        <w:rPr>
          <w:rFonts w:eastAsia="Times New Roman"/>
          <w:sz w:val="24"/>
          <w:szCs w:val="24"/>
        </w:rPr>
      </w:pPr>
    </w:p>
    <w:p w14:paraId="2819FCD7" w14:textId="77777777" w:rsidR="004647B9" w:rsidRPr="00725838" w:rsidRDefault="00E2436F" w:rsidP="00080D37">
      <w:pPr>
        <w:numPr>
          <w:ilvl w:val="0"/>
          <w:numId w:val="380"/>
        </w:numPr>
        <w:tabs>
          <w:tab w:val="left" w:pos="1660"/>
        </w:tabs>
        <w:ind w:left="1660" w:hanging="460"/>
        <w:rPr>
          <w:rFonts w:eastAsia="Times New Roman"/>
          <w:sz w:val="24"/>
          <w:szCs w:val="24"/>
        </w:rPr>
      </w:pPr>
      <w:r w:rsidRPr="00725838">
        <w:rPr>
          <w:rFonts w:eastAsia="Times New Roman"/>
          <w:sz w:val="24"/>
          <w:szCs w:val="24"/>
          <w:u w:val="single"/>
        </w:rPr>
        <w:t>Routine Monitoring</w:t>
      </w:r>
      <w:r w:rsidRPr="00725838">
        <w:rPr>
          <w:rFonts w:eastAsia="Times New Roman"/>
          <w:sz w:val="24"/>
          <w:szCs w:val="24"/>
        </w:rPr>
        <w:t>.</w:t>
      </w:r>
    </w:p>
    <w:p w14:paraId="2819FCD9" w14:textId="77777777" w:rsidR="004647B9" w:rsidRPr="00725838" w:rsidRDefault="00E2436F" w:rsidP="00080D37">
      <w:pPr>
        <w:numPr>
          <w:ilvl w:val="1"/>
          <w:numId w:val="380"/>
        </w:numPr>
        <w:tabs>
          <w:tab w:val="left" w:pos="2060"/>
        </w:tabs>
        <w:ind w:left="2060" w:hanging="505"/>
        <w:rPr>
          <w:rFonts w:eastAsia="Times New Roman"/>
          <w:sz w:val="24"/>
          <w:szCs w:val="24"/>
        </w:rPr>
      </w:pPr>
      <w:r w:rsidRPr="00725838">
        <w:rPr>
          <w:rFonts w:eastAsia="Times New Roman"/>
          <w:sz w:val="24"/>
          <w:szCs w:val="24"/>
          <w:u w:val="single"/>
        </w:rPr>
        <w:t>Monitoring</w:t>
      </w:r>
      <w:r w:rsidRPr="00725838">
        <w:rPr>
          <w:rFonts w:eastAsia="Times New Roman"/>
          <w:sz w:val="24"/>
          <w:szCs w:val="24"/>
        </w:rPr>
        <w:t>.</w:t>
      </w:r>
    </w:p>
    <w:p w14:paraId="2819FCDC" w14:textId="394B9B76" w:rsidR="004647B9" w:rsidRPr="00725838" w:rsidRDefault="00E2436F" w:rsidP="00FC0A2D">
      <w:pPr>
        <w:numPr>
          <w:ilvl w:val="2"/>
          <w:numId w:val="380"/>
        </w:numPr>
        <w:tabs>
          <w:tab w:val="left" w:pos="2376"/>
        </w:tabs>
        <w:ind w:left="1915"/>
        <w:jc w:val="both"/>
        <w:rPr>
          <w:rFonts w:eastAsia="Times New Roman"/>
          <w:sz w:val="24"/>
          <w:szCs w:val="24"/>
        </w:rPr>
      </w:pPr>
      <w:r w:rsidRPr="00725838">
        <w:rPr>
          <w:rFonts w:eastAsia="Times New Roman"/>
          <w:sz w:val="24"/>
          <w:szCs w:val="24"/>
        </w:rPr>
        <w:t>If the water supplier submitted an IDSE report, they must begin monitoring at the locations and months they have recommended in their IDSE report submitted under</w:t>
      </w:r>
      <w:r w:rsidR="008A6CA6" w:rsidRPr="00725838">
        <w:rPr>
          <w:rFonts w:eastAsia="Times New Roman"/>
          <w:sz w:val="24"/>
          <w:szCs w:val="24"/>
        </w:rPr>
        <w:t xml:space="preserve"> 310</w:t>
      </w:r>
      <w:r w:rsidR="008A579D" w:rsidRPr="00725838">
        <w:rPr>
          <w:rFonts w:eastAsia="Times New Roman"/>
          <w:sz w:val="24"/>
          <w:szCs w:val="24"/>
        </w:rPr>
        <w:t xml:space="preserve"> </w:t>
      </w:r>
      <w:r w:rsidRPr="00725838">
        <w:rPr>
          <w:rFonts w:eastAsia="Times New Roman"/>
          <w:sz w:val="24"/>
          <w:szCs w:val="24"/>
        </w:rPr>
        <w:t>CMR 22.07F(6) following the schedule in 310 CMR 22.07F(7)(c), unless the Department requires other locations or additional locations after its review. If the Supplier of Water submitted a 40/30 certification under 310 CMR 22.07F(4) or they qualified for a very small system waiver under 310 CMR 22.07F(5) or they are a Non-transient Non-community Water System serving &lt; 10,000, they must monitor at the location(s) and dates identified in their monitoring plan in 310 CMR 22.07E(7)(f) updated as required by 310 CMR 22.07F(9).</w:t>
      </w:r>
    </w:p>
    <w:p w14:paraId="2819FCDE" w14:textId="77777777" w:rsidR="004647B9" w:rsidRPr="00725838" w:rsidRDefault="00E2436F" w:rsidP="00D13B58">
      <w:pPr>
        <w:numPr>
          <w:ilvl w:val="2"/>
          <w:numId w:val="381"/>
        </w:numPr>
        <w:tabs>
          <w:tab w:val="left" w:pos="2378"/>
        </w:tabs>
        <w:ind w:left="1915"/>
        <w:rPr>
          <w:rFonts w:eastAsia="Times New Roman"/>
          <w:sz w:val="24"/>
          <w:szCs w:val="24"/>
        </w:rPr>
      </w:pPr>
      <w:r w:rsidRPr="00725838">
        <w:rPr>
          <w:rFonts w:eastAsia="Times New Roman"/>
          <w:sz w:val="24"/>
          <w:szCs w:val="24"/>
        </w:rPr>
        <w:t>The Supplier of Water must monitor at no fewer than the number of locations identified in 310 CMR 22.07F(8)(a)2.</w:t>
      </w:r>
    </w:p>
    <w:p w14:paraId="2819FCDF" w14:textId="77777777" w:rsidR="004647B9" w:rsidRDefault="004647B9">
      <w:pPr>
        <w:sectPr w:rsidR="004647B9" w:rsidSect="00EF630C">
          <w:pgSz w:w="12240" w:h="20180"/>
          <w:pgMar w:top="708" w:right="1440" w:bottom="1440" w:left="600" w:header="0" w:footer="0" w:gutter="0"/>
          <w:cols w:space="720"/>
        </w:sectPr>
      </w:pPr>
    </w:p>
    <w:p w14:paraId="2819FCE0" w14:textId="77777777" w:rsidR="004647B9" w:rsidRDefault="00E2436F">
      <w:pPr>
        <w:tabs>
          <w:tab w:val="left" w:pos="160"/>
        </w:tabs>
        <w:jc w:val="center"/>
        <w:rPr>
          <w:sz w:val="20"/>
          <w:szCs w:val="20"/>
        </w:rPr>
      </w:pPr>
      <w:bookmarkStart w:id="142" w:name="page144"/>
      <w:bookmarkEnd w:id="14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CE1" w14:textId="77777777" w:rsidR="004647B9" w:rsidRDefault="004647B9" w:rsidP="00D13B58">
      <w:pPr>
        <w:rPr>
          <w:sz w:val="20"/>
          <w:szCs w:val="20"/>
        </w:rPr>
      </w:pPr>
    </w:p>
    <w:p w14:paraId="2819FCE2" w14:textId="77777777" w:rsidR="004647B9" w:rsidRDefault="004647B9" w:rsidP="00D13B58">
      <w:pPr>
        <w:rPr>
          <w:sz w:val="20"/>
          <w:szCs w:val="20"/>
        </w:rPr>
      </w:pPr>
    </w:p>
    <w:p w14:paraId="2819FCE3" w14:textId="77777777" w:rsidR="004647B9" w:rsidRPr="00D13B58" w:rsidRDefault="00E2436F" w:rsidP="00D13B58">
      <w:pPr>
        <w:tabs>
          <w:tab w:val="left" w:pos="900"/>
        </w:tabs>
        <w:rPr>
          <w:sz w:val="24"/>
          <w:szCs w:val="24"/>
        </w:rPr>
      </w:pPr>
      <w:r w:rsidRPr="00D13B58">
        <w:rPr>
          <w:rFonts w:eastAsia="Times New Roman"/>
          <w:sz w:val="24"/>
          <w:szCs w:val="24"/>
        </w:rPr>
        <w:t>22.07F:</w:t>
      </w:r>
      <w:r w:rsidRPr="00D13B58">
        <w:rPr>
          <w:sz w:val="24"/>
          <w:szCs w:val="24"/>
        </w:rPr>
        <w:tab/>
      </w:r>
      <w:r w:rsidRPr="00D13B58">
        <w:rPr>
          <w:rFonts w:eastAsia="Times New Roman"/>
          <w:sz w:val="24"/>
          <w:szCs w:val="24"/>
        </w:rPr>
        <w:t>continued</w:t>
      </w:r>
    </w:p>
    <w:p w14:paraId="2819FCE4" w14:textId="77777777" w:rsidR="004647B9" w:rsidRDefault="004647B9" w:rsidP="00D13B58">
      <w:pPr>
        <w:rPr>
          <w:sz w:val="20"/>
          <w:szCs w:val="20"/>
        </w:rPr>
      </w:pPr>
    </w:p>
    <w:p w14:paraId="2819FCE5" w14:textId="77777777" w:rsidR="004647B9" w:rsidRDefault="00E2436F" w:rsidP="00D13B58">
      <w:pPr>
        <w:jc w:val="center"/>
        <w:rPr>
          <w:sz w:val="20"/>
          <w:szCs w:val="20"/>
        </w:rPr>
      </w:pPr>
      <w:r>
        <w:rPr>
          <w:rFonts w:eastAsia="Times New Roman"/>
          <w:sz w:val="24"/>
          <w:szCs w:val="24"/>
        </w:rPr>
        <w:t>TABLE 7 – 310 CMR 22.07F</w:t>
      </w:r>
    </w:p>
    <w:p w14:paraId="2819FCE7" w14:textId="77777777" w:rsidR="004647B9" w:rsidRDefault="00E2436F" w:rsidP="00D13B58">
      <w:pPr>
        <w:jc w:val="center"/>
        <w:rPr>
          <w:sz w:val="20"/>
          <w:szCs w:val="20"/>
        </w:rPr>
      </w:pPr>
      <w:r>
        <w:rPr>
          <w:rFonts w:eastAsia="Times New Roman"/>
          <w:sz w:val="24"/>
          <w:szCs w:val="24"/>
        </w:rPr>
        <w:t>ROUTINE MONITORING FREQUENCY</w:t>
      </w:r>
    </w:p>
    <w:p w14:paraId="2819FCE8" w14:textId="77777777" w:rsidR="004647B9" w:rsidRDefault="004647B9" w:rsidP="00D13B58">
      <w:pPr>
        <w:sectPr w:rsidR="004647B9" w:rsidSect="00EF630C">
          <w:pgSz w:w="12240" w:h="20180"/>
          <w:pgMar w:top="708" w:right="1440" w:bottom="1440" w:left="600" w:header="0" w:footer="0" w:gutter="0"/>
          <w:cols w:space="720"/>
        </w:sectPr>
      </w:pPr>
    </w:p>
    <w:p w14:paraId="2819FD09" w14:textId="77777777" w:rsidR="004647B9" w:rsidRPr="00D13B58" w:rsidRDefault="004647B9" w:rsidP="00D13B58">
      <w:pPr>
        <w:rPr>
          <w:sz w:val="24"/>
          <w:szCs w:val="24"/>
        </w:rPr>
      </w:pPr>
    </w:p>
    <w:p w14:paraId="2819FD0A" w14:textId="77777777" w:rsidR="004647B9" w:rsidRDefault="004647B9" w:rsidP="00D13B58">
      <w:pPr>
        <w:rPr>
          <w:sz w:val="1"/>
          <w:szCs w:val="1"/>
        </w:rPr>
      </w:pPr>
    </w:p>
    <w:tbl>
      <w:tblPr>
        <w:tblW w:w="0" w:type="auto"/>
        <w:tblInd w:w="610" w:type="dxa"/>
        <w:tblLayout w:type="fixed"/>
        <w:tblCellMar>
          <w:left w:w="0" w:type="dxa"/>
          <w:right w:w="0" w:type="dxa"/>
        </w:tblCellMar>
        <w:tblLook w:val="04A0" w:firstRow="1" w:lastRow="0" w:firstColumn="1" w:lastColumn="0" w:noHBand="0" w:noVBand="1"/>
      </w:tblPr>
      <w:tblGrid>
        <w:gridCol w:w="2660"/>
        <w:gridCol w:w="2160"/>
        <w:gridCol w:w="1980"/>
        <w:gridCol w:w="2080"/>
      </w:tblGrid>
      <w:tr w:rsidR="008A579D" w14:paraId="2819FD10" w14:textId="77777777" w:rsidTr="008A579D">
        <w:trPr>
          <w:trHeight w:val="265"/>
        </w:trPr>
        <w:tc>
          <w:tcPr>
            <w:tcW w:w="2660" w:type="dxa"/>
            <w:vMerge w:val="restart"/>
            <w:tcBorders>
              <w:top w:val="single" w:sz="8" w:space="0" w:color="auto"/>
              <w:left w:val="single" w:sz="8" w:space="0" w:color="auto"/>
              <w:right w:val="single" w:sz="8" w:space="0" w:color="auto"/>
            </w:tcBorders>
          </w:tcPr>
          <w:p w14:paraId="2819FD0B" w14:textId="7B6AA84B" w:rsidR="008A579D" w:rsidRDefault="008A579D" w:rsidP="00D13B58">
            <w:pPr>
              <w:jc w:val="center"/>
              <w:rPr>
                <w:sz w:val="20"/>
                <w:szCs w:val="20"/>
              </w:rPr>
            </w:pPr>
            <w:r>
              <w:rPr>
                <w:rFonts w:eastAsia="Times New Roman"/>
                <w:sz w:val="18"/>
                <w:szCs w:val="18"/>
              </w:rPr>
              <w:t>Source Water Type</w:t>
            </w:r>
          </w:p>
        </w:tc>
        <w:tc>
          <w:tcPr>
            <w:tcW w:w="2160" w:type="dxa"/>
            <w:vMerge w:val="restart"/>
            <w:tcBorders>
              <w:top w:val="single" w:sz="8" w:space="0" w:color="auto"/>
              <w:right w:val="single" w:sz="8" w:space="0" w:color="auto"/>
            </w:tcBorders>
          </w:tcPr>
          <w:p w14:paraId="2819FD0C" w14:textId="77777777" w:rsidR="008A579D" w:rsidRDefault="008A579D" w:rsidP="00D13B58">
            <w:pPr>
              <w:ind w:left="40"/>
              <w:jc w:val="center"/>
              <w:rPr>
                <w:sz w:val="20"/>
                <w:szCs w:val="20"/>
              </w:rPr>
            </w:pPr>
            <w:r>
              <w:rPr>
                <w:rFonts w:eastAsia="Times New Roman"/>
                <w:sz w:val="18"/>
                <w:szCs w:val="18"/>
              </w:rPr>
              <w:t>Population Size Category</w:t>
            </w:r>
          </w:p>
        </w:tc>
        <w:tc>
          <w:tcPr>
            <w:tcW w:w="1980" w:type="dxa"/>
            <w:vMerge w:val="restart"/>
            <w:tcBorders>
              <w:top w:val="single" w:sz="8" w:space="0" w:color="auto"/>
              <w:bottom w:val="single" w:sz="8" w:space="0" w:color="auto"/>
              <w:right w:val="single" w:sz="8" w:space="0" w:color="auto"/>
            </w:tcBorders>
          </w:tcPr>
          <w:p w14:paraId="2819FD0D" w14:textId="58016F62" w:rsidR="008A579D" w:rsidRDefault="008A579D" w:rsidP="00D13B58">
            <w:pPr>
              <w:jc w:val="center"/>
              <w:rPr>
                <w:sz w:val="20"/>
                <w:szCs w:val="20"/>
              </w:rPr>
            </w:pPr>
            <w:r>
              <w:rPr>
                <w:rFonts w:eastAsia="Times New Roman"/>
                <w:sz w:val="18"/>
                <w:szCs w:val="18"/>
              </w:rPr>
              <w:t>Monitoring Frequency</w:t>
            </w:r>
            <w:r w:rsidRPr="008A579D">
              <w:rPr>
                <w:rFonts w:eastAsia="Times New Roman"/>
                <w:w w:val="99"/>
                <w:sz w:val="18"/>
                <w:szCs w:val="18"/>
                <w:vertAlign w:val="superscript"/>
              </w:rPr>
              <w:t>1</w:t>
            </w:r>
          </w:p>
        </w:tc>
        <w:tc>
          <w:tcPr>
            <w:tcW w:w="2080" w:type="dxa"/>
            <w:vMerge w:val="restart"/>
            <w:tcBorders>
              <w:top w:val="single" w:sz="8" w:space="0" w:color="auto"/>
              <w:right w:val="single" w:sz="8" w:space="0" w:color="auto"/>
            </w:tcBorders>
          </w:tcPr>
          <w:p w14:paraId="2819FD0E" w14:textId="6B6A5DC8" w:rsidR="008A579D" w:rsidRDefault="008A579D" w:rsidP="00D13B58">
            <w:pPr>
              <w:jc w:val="center"/>
              <w:rPr>
                <w:sz w:val="20"/>
                <w:szCs w:val="20"/>
              </w:rPr>
            </w:pPr>
            <w:r>
              <w:rPr>
                <w:rFonts w:eastAsia="Times New Roman"/>
                <w:sz w:val="18"/>
                <w:szCs w:val="18"/>
              </w:rPr>
              <w:t>Distribution System monitoring location total per monitoring period</w:t>
            </w:r>
            <w:r>
              <w:rPr>
                <w:rFonts w:eastAsia="Times New Roman"/>
                <w:sz w:val="24"/>
                <w:szCs w:val="24"/>
                <w:vertAlign w:val="superscript"/>
              </w:rPr>
              <w:t>2</w:t>
            </w:r>
          </w:p>
        </w:tc>
      </w:tr>
      <w:tr w:rsidR="008A579D" w14:paraId="2819FD1B" w14:textId="77777777" w:rsidTr="008A579D">
        <w:trPr>
          <w:trHeight w:val="169"/>
        </w:trPr>
        <w:tc>
          <w:tcPr>
            <w:tcW w:w="2660" w:type="dxa"/>
            <w:vMerge/>
            <w:tcBorders>
              <w:left w:val="single" w:sz="8" w:space="0" w:color="auto"/>
              <w:right w:val="single" w:sz="8" w:space="0" w:color="auto"/>
            </w:tcBorders>
            <w:vAlign w:val="bottom"/>
          </w:tcPr>
          <w:p w14:paraId="2819FD11" w14:textId="77777777" w:rsidR="008A579D" w:rsidRDefault="008A579D" w:rsidP="00D13B58">
            <w:pPr>
              <w:rPr>
                <w:sz w:val="14"/>
                <w:szCs w:val="14"/>
              </w:rPr>
            </w:pPr>
          </w:p>
        </w:tc>
        <w:tc>
          <w:tcPr>
            <w:tcW w:w="2160" w:type="dxa"/>
            <w:vMerge/>
            <w:tcBorders>
              <w:right w:val="single" w:sz="8" w:space="0" w:color="auto"/>
            </w:tcBorders>
            <w:vAlign w:val="bottom"/>
          </w:tcPr>
          <w:p w14:paraId="2819FD17" w14:textId="77777777" w:rsidR="008A579D" w:rsidRDefault="008A579D" w:rsidP="00D13B58">
            <w:pPr>
              <w:rPr>
                <w:sz w:val="14"/>
                <w:szCs w:val="14"/>
              </w:rPr>
            </w:pPr>
          </w:p>
        </w:tc>
        <w:tc>
          <w:tcPr>
            <w:tcW w:w="1980" w:type="dxa"/>
            <w:vMerge/>
            <w:tcBorders>
              <w:left w:val="single" w:sz="8" w:space="0" w:color="auto"/>
              <w:bottom w:val="single" w:sz="8" w:space="0" w:color="auto"/>
              <w:right w:val="single" w:sz="8" w:space="0" w:color="auto"/>
            </w:tcBorders>
            <w:vAlign w:val="bottom"/>
          </w:tcPr>
          <w:p w14:paraId="2819FD18" w14:textId="75D516B3" w:rsidR="008A579D" w:rsidRDefault="008A579D" w:rsidP="00D13B58">
            <w:pPr>
              <w:jc w:val="center"/>
              <w:rPr>
                <w:sz w:val="20"/>
                <w:szCs w:val="20"/>
              </w:rPr>
            </w:pPr>
          </w:p>
        </w:tc>
        <w:tc>
          <w:tcPr>
            <w:tcW w:w="2080" w:type="dxa"/>
            <w:vMerge/>
            <w:tcBorders>
              <w:right w:val="single" w:sz="8" w:space="0" w:color="auto"/>
            </w:tcBorders>
            <w:vAlign w:val="bottom"/>
          </w:tcPr>
          <w:p w14:paraId="2819FD19" w14:textId="02CDD641" w:rsidR="008A579D" w:rsidRDefault="008A579D" w:rsidP="00D13B58">
            <w:pPr>
              <w:jc w:val="center"/>
              <w:rPr>
                <w:sz w:val="20"/>
                <w:szCs w:val="20"/>
              </w:rPr>
            </w:pPr>
          </w:p>
        </w:tc>
      </w:tr>
      <w:tr w:rsidR="008A579D" w14:paraId="2819FD26" w14:textId="77777777" w:rsidTr="008A579D">
        <w:trPr>
          <w:trHeight w:val="97"/>
        </w:trPr>
        <w:tc>
          <w:tcPr>
            <w:tcW w:w="2660" w:type="dxa"/>
            <w:vMerge/>
            <w:tcBorders>
              <w:left w:val="single" w:sz="8" w:space="0" w:color="auto"/>
              <w:right w:val="single" w:sz="8" w:space="0" w:color="auto"/>
            </w:tcBorders>
            <w:vAlign w:val="bottom"/>
          </w:tcPr>
          <w:p w14:paraId="2819FD1C" w14:textId="77777777" w:rsidR="008A579D" w:rsidRDefault="008A579D" w:rsidP="00D13B58">
            <w:pPr>
              <w:rPr>
                <w:sz w:val="8"/>
                <w:szCs w:val="8"/>
              </w:rPr>
            </w:pPr>
          </w:p>
        </w:tc>
        <w:tc>
          <w:tcPr>
            <w:tcW w:w="2160" w:type="dxa"/>
            <w:vMerge/>
            <w:tcBorders>
              <w:right w:val="single" w:sz="8" w:space="0" w:color="auto"/>
            </w:tcBorders>
            <w:vAlign w:val="bottom"/>
          </w:tcPr>
          <w:p w14:paraId="2819FD22" w14:textId="77777777" w:rsidR="008A579D" w:rsidRDefault="008A579D" w:rsidP="00D13B58">
            <w:pPr>
              <w:rPr>
                <w:sz w:val="8"/>
                <w:szCs w:val="8"/>
              </w:rPr>
            </w:pPr>
          </w:p>
        </w:tc>
        <w:tc>
          <w:tcPr>
            <w:tcW w:w="1980" w:type="dxa"/>
            <w:vMerge/>
            <w:tcBorders>
              <w:left w:val="single" w:sz="8" w:space="0" w:color="auto"/>
              <w:bottom w:val="single" w:sz="8" w:space="0" w:color="auto"/>
              <w:right w:val="single" w:sz="8" w:space="0" w:color="auto"/>
            </w:tcBorders>
            <w:vAlign w:val="bottom"/>
          </w:tcPr>
          <w:p w14:paraId="2819FD23" w14:textId="77777777" w:rsidR="008A579D" w:rsidRDefault="008A579D" w:rsidP="00D13B58">
            <w:pPr>
              <w:rPr>
                <w:sz w:val="8"/>
                <w:szCs w:val="8"/>
              </w:rPr>
            </w:pPr>
          </w:p>
        </w:tc>
        <w:tc>
          <w:tcPr>
            <w:tcW w:w="2080" w:type="dxa"/>
            <w:vMerge/>
            <w:tcBorders>
              <w:right w:val="single" w:sz="8" w:space="0" w:color="auto"/>
            </w:tcBorders>
            <w:vAlign w:val="bottom"/>
          </w:tcPr>
          <w:p w14:paraId="2819FD24" w14:textId="7D65A0FB" w:rsidR="008A579D" w:rsidRDefault="008A579D" w:rsidP="00D13B58">
            <w:pPr>
              <w:jc w:val="center"/>
              <w:rPr>
                <w:sz w:val="8"/>
                <w:szCs w:val="8"/>
              </w:rPr>
            </w:pPr>
          </w:p>
        </w:tc>
      </w:tr>
      <w:tr w:rsidR="008A579D" w14:paraId="2819FD31" w14:textId="77777777" w:rsidTr="008A579D">
        <w:trPr>
          <w:trHeight w:val="272"/>
        </w:trPr>
        <w:tc>
          <w:tcPr>
            <w:tcW w:w="2660" w:type="dxa"/>
            <w:vMerge/>
            <w:tcBorders>
              <w:left w:val="single" w:sz="8" w:space="0" w:color="auto"/>
              <w:bottom w:val="single" w:sz="8" w:space="0" w:color="auto"/>
              <w:right w:val="single" w:sz="8" w:space="0" w:color="auto"/>
            </w:tcBorders>
            <w:vAlign w:val="bottom"/>
          </w:tcPr>
          <w:p w14:paraId="2819FD27" w14:textId="77777777" w:rsidR="008A579D" w:rsidRDefault="008A579D" w:rsidP="00D13B58">
            <w:pPr>
              <w:rPr>
                <w:sz w:val="23"/>
                <w:szCs w:val="23"/>
              </w:rPr>
            </w:pPr>
          </w:p>
        </w:tc>
        <w:tc>
          <w:tcPr>
            <w:tcW w:w="2160" w:type="dxa"/>
            <w:vMerge/>
            <w:tcBorders>
              <w:bottom w:val="single" w:sz="8" w:space="0" w:color="auto"/>
              <w:right w:val="single" w:sz="8" w:space="0" w:color="auto"/>
            </w:tcBorders>
            <w:vAlign w:val="bottom"/>
          </w:tcPr>
          <w:p w14:paraId="2819FD2D" w14:textId="77777777" w:rsidR="008A579D" w:rsidRDefault="008A579D" w:rsidP="00D13B58">
            <w:pPr>
              <w:rPr>
                <w:sz w:val="23"/>
                <w:szCs w:val="23"/>
              </w:rPr>
            </w:pPr>
          </w:p>
        </w:tc>
        <w:tc>
          <w:tcPr>
            <w:tcW w:w="1980" w:type="dxa"/>
            <w:vMerge/>
            <w:tcBorders>
              <w:left w:val="single" w:sz="8" w:space="0" w:color="auto"/>
              <w:bottom w:val="single" w:sz="8" w:space="0" w:color="auto"/>
              <w:right w:val="single" w:sz="8" w:space="0" w:color="auto"/>
            </w:tcBorders>
            <w:vAlign w:val="bottom"/>
          </w:tcPr>
          <w:p w14:paraId="2819FD2E" w14:textId="77777777" w:rsidR="008A579D" w:rsidRDefault="008A579D" w:rsidP="00D13B58">
            <w:pPr>
              <w:rPr>
                <w:sz w:val="23"/>
                <w:szCs w:val="23"/>
              </w:rPr>
            </w:pPr>
          </w:p>
        </w:tc>
        <w:tc>
          <w:tcPr>
            <w:tcW w:w="2080" w:type="dxa"/>
            <w:vMerge/>
            <w:tcBorders>
              <w:bottom w:val="single" w:sz="8" w:space="0" w:color="auto"/>
              <w:right w:val="single" w:sz="8" w:space="0" w:color="auto"/>
            </w:tcBorders>
            <w:vAlign w:val="bottom"/>
          </w:tcPr>
          <w:p w14:paraId="2819FD2F" w14:textId="3C331DFC" w:rsidR="008A579D" w:rsidRDefault="008A579D" w:rsidP="00D13B58">
            <w:pPr>
              <w:jc w:val="center"/>
              <w:rPr>
                <w:sz w:val="20"/>
                <w:szCs w:val="20"/>
              </w:rPr>
            </w:pPr>
          </w:p>
        </w:tc>
      </w:tr>
      <w:tr w:rsidR="008A579D" w14:paraId="2819FD37" w14:textId="77777777" w:rsidTr="008A579D">
        <w:trPr>
          <w:trHeight w:val="255"/>
        </w:trPr>
        <w:tc>
          <w:tcPr>
            <w:tcW w:w="2660" w:type="dxa"/>
            <w:vMerge w:val="restart"/>
            <w:tcBorders>
              <w:left w:val="single" w:sz="8" w:space="0" w:color="auto"/>
              <w:right w:val="single" w:sz="8" w:space="0" w:color="auto"/>
            </w:tcBorders>
          </w:tcPr>
          <w:p w14:paraId="2819FD32" w14:textId="7CED916F" w:rsidR="008A579D" w:rsidRDefault="008A579D" w:rsidP="00D13B58">
            <w:pPr>
              <w:ind w:left="40"/>
              <w:rPr>
                <w:sz w:val="20"/>
                <w:szCs w:val="20"/>
              </w:rPr>
            </w:pPr>
            <w:r>
              <w:rPr>
                <w:rFonts w:eastAsia="Times New Roman"/>
                <w:sz w:val="18"/>
                <w:szCs w:val="18"/>
              </w:rPr>
              <w:t>Surface Water and Groundwater under the Direct Influence of Surface Water</w:t>
            </w:r>
          </w:p>
        </w:tc>
        <w:tc>
          <w:tcPr>
            <w:tcW w:w="2160" w:type="dxa"/>
            <w:vMerge w:val="restart"/>
            <w:tcBorders>
              <w:right w:val="single" w:sz="8" w:space="0" w:color="auto"/>
            </w:tcBorders>
            <w:vAlign w:val="center"/>
          </w:tcPr>
          <w:p w14:paraId="2819FD33" w14:textId="77777777" w:rsidR="008A579D" w:rsidRDefault="008A579D" w:rsidP="00D13B58">
            <w:pPr>
              <w:jc w:val="center"/>
              <w:rPr>
                <w:sz w:val="20"/>
                <w:szCs w:val="20"/>
              </w:rPr>
            </w:pPr>
            <w:r>
              <w:rPr>
                <w:rFonts w:eastAsia="Times New Roman"/>
                <w:sz w:val="18"/>
                <w:szCs w:val="18"/>
              </w:rPr>
              <w:t>&lt;500</w:t>
            </w:r>
          </w:p>
        </w:tc>
        <w:tc>
          <w:tcPr>
            <w:tcW w:w="1980" w:type="dxa"/>
            <w:vMerge w:val="restart"/>
            <w:tcBorders>
              <w:top w:val="single" w:sz="8" w:space="0" w:color="auto"/>
              <w:bottom w:val="single" w:sz="8" w:space="0" w:color="auto"/>
              <w:right w:val="single" w:sz="8" w:space="0" w:color="auto"/>
            </w:tcBorders>
            <w:vAlign w:val="center"/>
          </w:tcPr>
          <w:p w14:paraId="2819FD34" w14:textId="77777777" w:rsidR="008A579D" w:rsidRDefault="008A579D" w:rsidP="00D13B58">
            <w:pPr>
              <w:jc w:val="center"/>
              <w:rPr>
                <w:sz w:val="20"/>
                <w:szCs w:val="20"/>
              </w:rPr>
            </w:pPr>
            <w:r>
              <w:rPr>
                <w:rFonts w:eastAsia="Times New Roman"/>
                <w:sz w:val="18"/>
                <w:szCs w:val="18"/>
              </w:rPr>
              <w:t>Per year</w:t>
            </w:r>
          </w:p>
        </w:tc>
        <w:tc>
          <w:tcPr>
            <w:tcW w:w="2080" w:type="dxa"/>
            <w:vMerge w:val="restart"/>
            <w:tcBorders>
              <w:right w:val="single" w:sz="8" w:space="0" w:color="auto"/>
            </w:tcBorders>
            <w:vAlign w:val="center"/>
          </w:tcPr>
          <w:p w14:paraId="2819FD35" w14:textId="77777777" w:rsidR="008A579D" w:rsidRDefault="008A579D" w:rsidP="00D13B58">
            <w:pPr>
              <w:jc w:val="center"/>
              <w:rPr>
                <w:sz w:val="20"/>
                <w:szCs w:val="20"/>
              </w:rPr>
            </w:pPr>
            <w:r>
              <w:rPr>
                <w:rFonts w:eastAsia="Times New Roman"/>
                <w:sz w:val="18"/>
                <w:szCs w:val="18"/>
              </w:rPr>
              <w:t>2</w:t>
            </w:r>
          </w:p>
        </w:tc>
      </w:tr>
      <w:tr w:rsidR="008A579D" w14:paraId="2819FD42" w14:textId="77777777" w:rsidTr="008A579D">
        <w:trPr>
          <w:trHeight w:val="269"/>
        </w:trPr>
        <w:tc>
          <w:tcPr>
            <w:tcW w:w="2660" w:type="dxa"/>
            <w:vMerge/>
            <w:tcBorders>
              <w:left w:val="single" w:sz="8" w:space="0" w:color="auto"/>
              <w:right w:val="single" w:sz="8" w:space="0" w:color="auto"/>
            </w:tcBorders>
            <w:vAlign w:val="bottom"/>
          </w:tcPr>
          <w:p w14:paraId="2819FD38" w14:textId="7C20365F" w:rsidR="008A579D" w:rsidRDefault="008A579D" w:rsidP="00D13B58">
            <w:pPr>
              <w:ind w:left="40"/>
              <w:rPr>
                <w:sz w:val="20"/>
                <w:szCs w:val="20"/>
              </w:rPr>
            </w:pPr>
          </w:p>
        </w:tc>
        <w:tc>
          <w:tcPr>
            <w:tcW w:w="2160" w:type="dxa"/>
            <w:vMerge/>
            <w:tcBorders>
              <w:right w:val="single" w:sz="8" w:space="0" w:color="auto"/>
            </w:tcBorders>
            <w:vAlign w:val="bottom"/>
          </w:tcPr>
          <w:p w14:paraId="2819FD3E" w14:textId="77777777" w:rsidR="008A579D" w:rsidRDefault="008A579D" w:rsidP="00D13B58">
            <w:pPr>
              <w:jc w:val="center"/>
              <w:rPr>
                <w:sz w:val="23"/>
                <w:szCs w:val="23"/>
              </w:rPr>
            </w:pPr>
          </w:p>
        </w:tc>
        <w:tc>
          <w:tcPr>
            <w:tcW w:w="1980" w:type="dxa"/>
            <w:vMerge/>
            <w:tcBorders>
              <w:left w:val="single" w:sz="8" w:space="0" w:color="auto"/>
              <w:bottom w:val="single" w:sz="8" w:space="0" w:color="auto"/>
              <w:right w:val="single" w:sz="8" w:space="0" w:color="auto"/>
            </w:tcBorders>
            <w:vAlign w:val="center"/>
          </w:tcPr>
          <w:p w14:paraId="2819FD3F" w14:textId="77777777" w:rsidR="008A579D" w:rsidRDefault="008A579D" w:rsidP="00D13B58">
            <w:pPr>
              <w:jc w:val="center"/>
              <w:rPr>
                <w:sz w:val="23"/>
                <w:szCs w:val="23"/>
              </w:rPr>
            </w:pPr>
          </w:p>
        </w:tc>
        <w:tc>
          <w:tcPr>
            <w:tcW w:w="2080" w:type="dxa"/>
            <w:vMerge/>
            <w:tcBorders>
              <w:right w:val="single" w:sz="8" w:space="0" w:color="auto"/>
            </w:tcBorders>
            <w:vAlign w:val="center"/>
          </w:tcPr>
          <w:p w14:paraId="2819FD40" w14:textId="77777777" w:rsidR="008A579D" w:rsidRDefault="008A579D" w:rsidP="00D13B58">
            <w:pPr>
              <w:jc w:val="center"/>
              <w:rPr>
                <w:sz w:val="23"/>
                <w:szCs w:val="23"/>
              </w:rPr>
            </w:pPr>
          </w:p>
        </w:tc>
      </w:tr>
      <w:tr w:rsidR="008A579D" w14:paraId="2819FD4D" w14:textId="77777777" w:rsidTr="008A579D">
        <w:trPr>
          <w:trHeight w:val="272"/>
        </w:trPr>
        <w:tc>
          <w:tcPr>
            <w:tcW w:w="2660" w:type="dxa"/>
            <w:vMerge/>
            <w:tcBorders>
              <w:left w:val="single" w:sz="8" w:space="0" w:color="auto"/>
              <w:right w:val="single" w:sz="8" w:space="0" w:color="auto"/>
            </w:tcBorders>
            <w:vAlign w:val="bottom"/>
          </w:tcPr>
          <w:p w14:paraId="2819FD43" w14:textId="16B3EEAD" w:rsidR="008A579D" w:rsidRDefault="008A579D" w:rsidP="00D13B58">
            <w:pPr>
              <w:ind w:left="40"/>
              <w:rPr>
                <w:sz w:val="20"/>
                <w:szCs w:val="20"/>
              </w:rPr>
            </w:pPr>
          </w:p>
        </w:tc>
        <w:tc>
          <w:tcPr>
            <w:tcW w:w="2160" w:type="dxa"/>
            <w:vMerge/>
            <w:tcBorders>
              <w:bottom w:val="single" w:sz="8" w:space="0" w:color="auto"/>
              <w:right w:val="single" w:sz="8" w:space="0" w:color="auto"/>
            </w:tcBorders>
            <w:vAlign w:val="bottom"/>
          </w:tcPr>
          <w:p w14:paraId="2819FD49" w14:textId="77777777" w:rsidR="008A579D" w:rsidRDefault="008A579D" w:rsidP="00D13B58">
            <w:pPr>
              <w:jc w:val="center"/>
              <w:rPr>
                <w:sz w:val="23"/>
                <w:szCs w:val="23"/>
              </w:rPr>
            </w:pPr>
          </w:p>
        </w:tc>
        <w:tc>
          <w:tcPr>
            <w:tcW w:w="1980" w:type="dxa"/>
            <w:vMerge/>
            <w:tcBorders>
              <w:left w:val="single" w:sz="8" w:space="0" w:color="auto"/>
              <w:bottom w:val="single" w:sz="8" w:space="0" w:color="auto"/>
              <w:right w:val="single" w:sz="8" w:space="0" w:color="auto"/>
            </w:tcBorders>
            <w:vAlign w:val="center"/>
          </w:tcPr>
          <w:p w14:paraId="2819FD4A" w14:textId="77777777" w:rsidR="008A579D" w:rsidRDefault="008A579D" w:rsidP="00D13B58">
            <w:pPr>
              <w:jc w:val="center"/>
              <w:rPr>
                <w:sz w:val="23"/>
                <w:szCs w:val="23"/>
              </w:rPr>
            </w:pPr>
          </w:p>
        </w:tc>
        <w:tc>
          <w:tcPr>
            <w:tcW w:w="2080" w:type="dxa"/>
            <w:vMerge/>
            <w:tcBorders>
              <w:bottom w:val="single" w:sz="8" w:space="0" w:color="auto"/>
              <w:right w:val="single" w:sz="8" w:space="0" w:color="auto"/>
            </w:tcBorders>
            <w:vAlign w:val="center"/>
          </w:tcPr>
          <w:p w14:paraId="2819FD4B" w14:textId="77777777" w:rsidR="008A579D" w:rsidRDefault="008A579D" w:rsidP="00D13B58">
            <w:pPr>
              <w:jc w:val="center"/>
              <w:rPr>
                <w:sz w:val="23"/>
                <w:szCs w:val="23"/>
              </w:rPr>
            </w:pPr>
          </w:p>
        </w:tc>
      </w:tr>
      <w:tr w:rsidR="008A579D" w14:paraId="2819FD53" w14:textId="77777777" w:rsidTr="00347FE4">
        <w:trPr>
          <w:trHeight w:val="259"/>
        </w:trPr>
        <w:tc>
          <w:tcPr>
            <w:tcW w:w="2660" w:type="dxa"/>
            <w:vMerge/>
            <w:tcBorders>
              <w:left w:val="single" w:sz="8" w:space="0" w:color="auto"/>
              <w:right w:val="single" w:sz="8" w:space="0" w:color="auto"/>
            </w:tcBorders>
            <w:vAlign w:val="bottom"/>
          </w:tcPr>
          <w:p w14:paraId="2819FD4E" w14:textId="77777777" w:rsidR="008A579D" w:rsidRDefault="008A579D" w:rsidP="00D13B58"/>
        </w:tc>
        <w:tc>
          <w:tcPr>
            <w:tcW w:w="2160" w:type="dxa"/>
            <w:tcBorders>
              <w:bottom w:val="single" w:sz="8" w:space="0" w:color="auto"/>
              <w:right w:val="single" w:sz="8" w:space="0" w:color="auto"/>
            </w:tcBorders>
            <w:vAlign w:val="center"/>
          </w:tcPr>
          <w:p w14:paraId="2819FD4F" w14:textId="60E235C5" w:rsidR="008A579D" w:rsidRDefault="008A579D" w:rsidP="00D13B58">
            <w:pPr>
              <w:jc w:val="center"/>
              <w:rPr>
                <w:sz w:val="20"/>
                <w:szCs w:val="20"/>
              </w:rPr>
            </w:pPr>
            <w:r>
              <w:rPr>
                <w:rFonts w:eastAsia="Times New Roman"/>
                <w:sz w:val="18"/>
                <w:szCs w:val="18"/>
              </w:rPr>
              <w:t>500 - 3,300</w:t>
            </w:r>
          </w:p>
        </w:tc>
        <w:tc>
          <w:tcPr>
            <w:tcW w:w="1980" w:type="dxa"/>
            <w:tcBorders>
              <w:bottom w:val="single" w:sz="8" w:space="0" w:color="auto"/>
              <w:right w:val="single" w:sz="8" w:space="0" w:color="auto"/>
            </w:tcBorders>
            <w:vAlign w:val="center"/>
          </w:tcPr>
          <w:p w14:paraId="2819FD50"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51" w14:textId="77777777" w:rsidR="008A579D" w:rsidRDefault="008A579D" w:rsidP="00D13B58">
            <w:pPr>
              <w:jc w:val="center"/>
              <w:rPr>
                <w:sz w:val="20"/>
                <w:szCs w:val="20"/>
              </w:rPr>
            </w:pPr>
            <w:r>
              <w:rPr>
                <w:rFonts w:eastAsia="Times New Roman"/>
                <w:sz w:val="18"/>
                <w:szCs w:val="18"/>
              </w:rPr>
              <w:t>2</w:t>
            </w:r>
          </w:p>
        </w:tc>
      </w:tr>
      <w:tr w:rsidR="008A579D" w14:paraId="2819FD5A" w14:textId="77777777" w:rsidTr="008A579D">
        <w:trPr>
          <w:trHeight w:val="261"/>
        </w:trPr>
        <w:tc>
          <w:tcPr>
            <w:tcW w:w="2660" w:type="dxa"/>
            <w:vMerge/>
            <w:tcBorders>
              <w:left w:val="single" w:sz="8" w:space="0" w:color="auto"/>
              <w:right w:val="single" w:sz="8" w:space="0" w:color="auto"/>
            </w:tcBorders>
            <w:vAlign w:val="bottom"/>
          </w:tcPr>
          <w:p w14:paraId="2819FD54" w14:textId="77777777" w:rsidR="008A579D" w:rsidRDefault="008A579D" w:rsidP="00D13B58"/>
        </w:tc>
        <w:tc>
          <w:tcPr>
            <w:tcW w:w="2160" w:type="dxa"/>
            <w:tcBorders>
              <w:bottom w:val="single" w:sz="8" w:space="0" w:color="auto"/>
              <w:right w:val="single" w:sz="8" w:space="0" w:color="auto"/>
            </w:tcBorders>
            <w:vAlign w:val="center"/>
          </w:tcPr>
          <w:p w14:paraId="2819FD56" w14:textId="626AE928" w:rsidR="008A579D" w:rsidRDefault="008A579D" w:rsidP="00D13B58">
            <w:pPr>
              <w:jc w:val="center"/>
              <w:rPr>
                <w:sz w:val="20"/>
                <w:szCs w:val="20"/>
              </w:rPr>
            </w:pPr>
            <w:r>
              <w:rPr>
                <w:rFonts w:eastAsia="Times New Roman"/>
                <w:sz w:val="18"/>
                <w:szCs w:val="18"/>
              </w:rPr>
              <w:t>3,301 - 9,999</w:t>
            </w:r>
          </w:p>
        </w:tc>
        <w:tc>
          <w:tcPr>
            <w:tcW w:w="1980" w:type="dxa"/>
            <w:tcBorders>
              <w:bottom w:val="single" w:sz="8" w:space="0" w:color="auto"/>
              <w:right w:val="single" w:sz="8" w:space="0" w:color="auto"/>
            </w:tcBorders>
            <w:vAlign w:val="center"/>
          </w:tcPr>
          <w:p w14:paraId="2819FD57"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58" w14:textId="77777777" w:rsidR="008A579D" w:rsidRDefault="008A579D" w:rsidP="00D13B58">
            <w:pPr>
              <w:jc w:val="center"/>
              <w:rPr>
                <w:sz w:val="20"/>
                <w:szCs w:val="20"/>
              </w:rPr>
            </w:pPr>
            <w:r>
              <w:rPr>
                <w:rFonts w:eastAsia="Times New Roman"/>
                <w:sz w:val="18"/>
                <w:szCs w:val="18"/>
              </w:rPr>
              <w:t>2</w:t>
            </w:r>
          </w:p>
        </w:tc>
      </w:tr>
      <w:tr w:rsidR="008A579D" w14:paraId="2819FD61" w14:textId="77777777" w:rsidTr="008A579D">
        <w:trPr>
          <w:trHeight w:val="259"/>
        </w:trPr>
        <w:tc>
          <w:tcPr>
            <w:tcW w:w="2660" w:type="dxa"/>
            <w:vMerge/>
            <w:tcBorders>
              <w:left w:val="single" w:sz="8" w:space="0" w:color="auto"/>
              <w:right w:val="single" w:sz="8" w:space="0" w:color="auto"/>
            </w:tcBorders>
            <w:vAlign w:val="bottom"/>
          </w:tcPr>
          <w:p w14:paraId="2819FD5B" w14:textId="77777777" w:rsidR="008A579D" w:rsidRDefault="008A579D" w:rsidP="00D13B58"/>
        </w:tc>
        <w:tc>
          <w:tcPr>
            <w:tcW w:w="2160" w:type="dxa"/>
            <w:tcBorders>
              <w:bottom w:val="single" w:sz="8" w:space="0" w:color="auto"/>
              <w:right w:val="single" w:sz="8" w:space="0" w:color="auto"/>
            </w:tcBorders>
            <w:vAlign w:val="center"/>
          </w:tcPr>
          <w:p w14:paraId="2819FD5D" w14:textId="7324E2F0" w:rsidR="008A579D" w:rsidRDefault="008A579D" w:rsidP="00D13B58">
            <w:pPr>
              <w:jc w:val="center"/>
              <w:rPr>
                <w:sz w:val="20"/>
                <w:szCs w:val="20"/>
              </w:rPr>
            </w:pPr>
            <w:r>
              <w:rPr>
                <w:rFonts w:eastAsia="Times New Roman"/>
                <w:sz w:val="18"/>
                <w:szCs w:val="18"/>
              </w:rPr>
              <w:t>10,000 - 49,999</w:t>
            </w:r>
          </w:p>
        </w:tc>
        <w:tc>
          <w:tcPr>
            <w:tcW w:w="1980" w:type="dxa"/>
            <w:tcBorders>
              <w:bottom w:val="single" w:sz="8" w:space="0" w:color="auto"/>
              <w:right w:val="single" w:sz="8" w:space="0" w:color="auto"/>
            </w:tcBorders>
            <w:vAlign w:val="center"/>
          </w:tcPr>
          <w:p w14:paraId="2819FD5E"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5F" w14:textId="77777777" w:rsidR="008A579D" w:rsidRDefault="008A579D" w:rsidP="00D13B58">
            <w:pPr>
              <w:jc w:val="center"/>
              <w:rPr>
                <w:sz w:val="20"/>
                <w:szCs w:val="20"/>
              </w:rPr>
            </w:pPr>
            <w:r>
              <w:rPr>
                <w:rFonts w:eastAsia="Times New Roman"/>
                <w:sz w:val="18"/>
                <w:szCs w:val="18"/>
              </w:rPr>
              <w:t>4</w:t>
            </w:r>
          </w:p>
        </w:tc>
      </w:tr>
      <w:tr w:rsidR="008A579D" w14:paraId="2819FD67" w14:textId="77777777" w:rsidTr="00347FE4">
        <w:trPr>
          <w:trHeight w:val="261"/>
        </w:trPr>
        <w:tc>
          <w:tcPr>
            <w:tcW w:w="2660" w:type="dxa"/>
            <w:vMerge/>
            <w:tcBorders>
              <w:left w:val="single" w:sz="8" w:space="0" w:color="auto"/>
              <w:right w:val="single" w:sz="8" w:space="0" w:color="auto"/>
            </w:tcBorders>
            <w:vAlign w:val="bottom"/>
          </w:tcPr>
          <w:p w14:paraId="2819FD62" w14:textId="77777777" w:rsidR="008A579D" w:rsidRDefault="008A579D" w:rsidP="00D13B58"/>
        </w:tc>
        <w:tc>
          <w:tcPr>
            <w:tcW w:w="2160" w:type="dxa"/>
            <w:tcBorders>
              <w:bottom w:val="single" w:sz="8" w:space="0" w:color="auto"/>
              <w:right w:val="single" w:sz="8" w:space="0" w:color="auto"/>
            </w:tcBorders>
            <w:vAlign w:val="center"/>
          </w:tcPr>
          <w:p w14:paraId="2819FD63" w14:textId="7E70BCE6" w:rsidR="008A579D" w:rsidRDefault="008A579D" w:rsidP="00D13B58">
            <w:pPr>
              <w:jc w:val="center"/>
              <w:rPr>
                <w:sz w:val="20"/>
                <w:szCs w:val="20"/>
              </w:rPr>
            </w:pPr>
            <w:r>
              <w:rPr>
                <w:rFonts w:eastAsia="Times New Roman"/>
                <w:sz w:val="18"/>
                <w:szCs w:val="18"/>
              </w:rPr>
              <w:t>50,000 - 249,999</w:t>
            </w:r>
          </w:p>
        </w:tc>
        <w:tc>
          <w:tcPr>
            <w:tcW w:w="1980" w:type="dxa"/>
            <w:tcBorders>
              <w:bottom w:val="single" w:sz="8" w:space="0" w:color="auto"/>
              <w:right w:val="single" w:sz="8" w:space="0" w:color="auto"/>
            </w:tcBorders>
            <w:vAlign w:val="center"/>
          </w:tcPr>
          <w:p w14:paraId="2819FD64"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65" w14:textId="77777777" w:rsidR="008A579D" w:rsidRDefault="008A579D" w:rsidP="00D13B58">
            <w:pPr>
              <w:jc w:val="center"/>
              <w:rPr>
                <w:sz w:val="20"/>
                <w:szCs w:val="20"/>
              </w:rPr>
            </w:pPr>
            <w:r>
              <w:rPr>
                <w:rFonts w:eastAsia="Times New Roman"/>
                <w:sz w:val="18"/>
                <w:szCs w:val="18"/>
              </w:rPr>
              <w:t>8</w:t>
            </w:r>
          </w:p>
        </w:tc>
      </w:tr>
      <w:tr w:rsidR="008A579D" w14:paraId="2819FD6E" w14:textId="77777777" w:rsidTr="008A579D">
        <w:trPr>
          <w:trHeight w:val="259"/>
        </w:trPr>
        <w:tc>
          <w:tcPr>
            <w:tcW w:w="2660" w:type="dxa"/>
            <w:vMerge/>
            <w:tcBorders>
              <w:left w:val="single" w:sz="8" w:space="0" w:color="auto"/>
              <w:right w:val="single" w:sz="8" w:space="0" w:color="auto"/>
            </w:tcBorders>
            <w:vAlign w:val="bottom"/>
          </w:tcPr>
          <w:p w14:paraId="2819FD68" w14:textId="77777777" w:rsidR="008A579D" w:rsidRDefault="008A579D" w:rsidP="00D13B58"/>
        </w:tc>
        <w:tc>
          <w:tcPr>
            <w:tcW w:w="2160" w:type="dxa"/>
            <w:tcBorders>
              <w:bottom w:val="single" w:sz="8" w:space="0" w:color="auto"/>
              <w:right w:val="single" w:sz="8" w:space="0" w:color="auto"/>
            </w:tcBorders>
            <w:vAlign w:val="center"/>
          </w:tcPr>
          <w:p w14:paraId="2819FD6A" w14:textId="3CF79643" w:rsidR="008A579D" w:rsidRDefault="008A579D" w:rsidP="00D13B58">
            <w:pPr>
              <w:jc w:val="center"/>
              <w:rPr>
                <w:sz w:val="20"/>
                <w:szCs w:val="20"/>
              </w:rPr>
            </w:pPr>
            <w:r>
              <w:rPr>
                <w:rFonts w:eastAsia="Times New Roman"/>
                <w:sz w:val="18"/>
                <w:szCs w:val="18"/>
              </w:rPr>
              <w:t>250,000 - 999,999</w:t>
            </w:r>
          </w:p>
        </w:tc>
        <w:tc>
          <w:tcPr>
            <w:tcW w:w="1980" w:type="dxa"/>
            <w:tcBorders>
              <w:bottom w:val="single" w:sz="8" w:space="0" w:color="auto"/>
              <w:right w:val="single" w:sz="8" w:space="0" w:color="auto"/>
            </w:tcBorders>
            <w:vAlign w:val="center"/>
          </w:tcPr>
          <w:p w14:paraId="2819FD6B"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6C" w14:textId="77777777" w:rsidR="008A579D" w:rsidRDefault="008A579D" w:rsidP="00D13B58">
            <w:pPr>
              <w:jc w:val="center"/>
              <w:rPr>
                <w:sz w:val="20"/>
                <w:szCs w:val="20"/>
              </w:rPr>
            </w:pPr>
            <w:r>
              <w:rPr>
                <w:rFonts w:eastAsia="Times New Roman"/>
                <w:w w:val="99"/>
                <w:sz w:val="18"/>
                <w:szCs w:val="18"/>
              </w:rPr>
              <w:t>12</w:t>
            </w:r>
          </w:p>
        </w:tc>
      </w:tr>
      <w:tr w:rsidR="008A579D" w14:paraId="2819FD75" w14:textId="77777777" w:rsidTr="008A579D">
        <w:trPr>
          <w:trHeight w:val="261"/>
        </w:trPr>
        <w:tc>
          <w:tcPr>
            <w:tcW w:w="2660" w:type="dxa"/>
            <w:vMerge/>
            <w:tcBorders>
              <w:left w:val="single" w:sz="8" w:space="0" w:color="auto"/>
              <w:right w:val="single" w:sz="8" w:space="0" w:color="auto"/>
            </w:tcBorders>
            <w:vAlign w:val="bottom"/>
          </w:tcPr>
          <w:p w14:paraId="2819FD6F" w14:textId="77777777" w:rsidR="008A579D" w:rsidRDefault="008A579D" w:rsidP="00D13B58"/>
        </w:tc>
        <w:tc>
          <w:tcPr>
            <w:tcW w:w="2160" w:type="dxa"/>
            <w:tcBorders>
              <w:bottom w:val="single" w:sz="8" w:space="0" w:color="auto"/>
              <w:right w:val="single" w:sz="8" w:space="0" w:color="auto"/>
            </w:tcBorders>
            <w:vAlign w:val="center"/>
          </w:tcPr>
          <w:p w14:paraId="2819FD71" w14:textId="56226A7A" w:rsidR="008A579D" w:rsidRDefault="008A579D" w:rsidP="00D13B58">
            <w:pPr>
              <w:jc w:val="center"/>
              <w:rPr>
                <w:sz w:val="20"/>
                <w:szCs w:val="20"/>
              </w:rPr>
            </w:pPr>
            <w:r>
              <w:rPr>
                <w:rFonts w:eastAsia="Times New Roman"/>
                <w:sz w:val="18"/>
                <w:szCs w:val="18"/>
              </w:rPr>
              <w:t>1,000,000 - 4,999,999</w:t>
            </w:r>
          </w:p>
        </w:tc>
        <w:tc>
          <w:tcPr>
            <w:tcW w:w="1980" w:type="dxa"/>
            <w:tcBorders>
              <w:bottom w:val="single" w:sz="8" w:space="0" w:color="auto"/>
              <w:right w:val="single" w:sz="8" w:space="0" w:color="auto"/>
            </w:tcBorders>
            <w:vAlign w:val="center"/>
          </w:tcPr>
          <w:p w14:paraId="2819FD72"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73" w14:textId="77777777" w:rsidR="008A579D" w:rsidRDefault="008A579D" w:rsidP="00D13B58">
            <w:pPr>
              <w:jc w:val="center"/>
              <w:rPr>
                <w:sz w:val="20"/>
                <w:szCs w:val="20"/>
              </w:rPr>
            </w:pPr>
            <w:r>
              <w:rPr>
                <w:rFonts w:eastAsia="Times New Roman"/>
                <w:w w:val="99"/>
                <w:sz w:val="18"/>
                <w:szCs w:val="18"/>
              </w:rPr>
              <w:t>16</w:t>
            </w:r>
          </w:p>
        </w:tc>
      </w:tr>
      <w:tr w:rsidR="008A579D" w14:paraId="2819FD7B" w14:textId="77777777" w:rsidTr="008A579D">
        <w:trPr>
          <w:trHeight w:val="234"/>
        </w:trPr>
        <w:tc>
          <w:tcPr>
            <w:tcW w:w="2660" w:type="dxa"/>
            <w:vMerge/>
            <w:tcBorders>
              <w:left w:val="single" w:sz="8" w:space="0" w:color="auto"/>
              <w:right w:val="single" w:sz="8" w:space="0" w:color="auto"/>
            </w:tcBorders>
            <w:vAlign w:val="bottom"/>
          </w:tcPr>
          <w:p w14:paraId="2819FD76" w14:textId="77777777" w:rsidR="008A579D" w:rsidRDefault="008A579D" w:rsidP="00D13B58">
            <w:pPr>
              <w:rPr>
                <w:sz w:val="20"/>
                <w:szCs w:val="20"/>
              </w:rPr>
            </w:pPr>
          </w:p>
        </w:tc>
        <w:tc>
          <w:tcPr>
            <w:tcW w:w="2160" w:type="dxa"/>
            <w:vMerge w:val="restart"/>
            <w:tcBorders>
              <w:right w:val="single" w:sz="8" w:space="0" w:color="auto"/>
            </w:tcBorders>
            <w:vAlign w:val="center"/>
          </w:tcPr>
          <w:p w14:paraId="2819FD77" w14:textId="77777777" w:rsidR="008A579D" w:rsidRDefault="008A579D" w:rsidP="00D13B58">
            <w:pPr>
              <w:jc w:val="center"/>
              <w:rPr>
                <w:sz w:val="20"/>
                <w:szCs w:val="20"/>
              </w:rPr>
            </w:pPr>
            <w:r>
              <w:rPr>
                <w:rFonts w:eastAsia="Times New Roman"/>
                <w:sz w:val="18"/>
                <w:szCs w:val="18"/>
              </w:rPr>
              <w:t>&gt;5,000,000</w:t>
            </w:r>
          </w:p>
        </w:tc>
        <w:tc>
          <w:tcPr>
            <w:tcW w:w="1980" w:type="dxa"/>
            <w:vMerge w:val="restart"/>
            <w:tcBorders>
              <w:right w:val="single" w:sz="8" w:space="0" w:color="auto"/>
            </w:tcBorders>
            <w:vAlign w:val="center"/>
          </w:tcPr>
          <w:p w14:paraId="2819FD78" w14:textId="77777777" w:rsidR="008A579D" w:rsidRDefault="008A579D" w:rsidP="00D13B58">
            <w:pPr>
              <w:jc w:val="center"/>
              <w:rPr>
                <w:sz w:val="20"/>
                <w:szCs w:val="20"/>
              </w:rPr>
            </w:pPr>
            <w:r>
              <w:rPr>
                <w:rFonts w:eastAsia="Times New Roman"/>
                <w:sz w:val="18"/>
                <w:szCs w:val="18"/>
              </w:rPr>
              <w:t>Per quarter</w:t>
            </w:r>
          </w:p>
        </w:tc>
        <w:tc>
          <w:tcPr>
            <w:tcW w:w="2080" w:type="dxa"/>
            <w:vMerge w:val="restart"/>
            <w:tcBorders>
              <w:right w:val="single" w:sz="8" w:space="0" w:color="auto"/>
            </w:tcBorders>
            <w:vAlign w:val="center"/>
          </w:tcPr>
          <w:p w14:paraId="2819FD79" w14:textId="77777777" w:rsidR="008A579D" w:rsidRDefault="008A579D" w:rsidP="00D13B58">
            <w:pPr>
              <w:jc w:val="center"/>
              <w:rPr>
                <w:sz w:val="20"/>
                <w:szCs w:val="20"/>
              </w:rPr>
            </w:pPr>
            <w:r>
              <w:rPr>
                <w:rFonts w:eastAsia="Times New Roman"/>
                <w:w w:val="99"/>
                <w:sz w:val="18"/>
                <w:szCs w:val="18"/>
              </w:rPr>
              <w:t>20</w:t>
            </w:r>
          </w:p>
        </w:tc>
      </w:tr>
      <w:tr w:rsidR="008A579D" w14:paraId="2819FD86" w14:textId="77777777" w:rsidTr="00347FE4">
        <w:trPr>
          <w:trHeight w:val="20"/>
        </w:trPr>
        <w:tc>
          <w:tcPr>
            <w:tcW w:w="2660" w:type="dxa"/>
            <w:vMerge/>
            <w:tcBorders>
              <w:left w:val="single" w:sz="8" w:space="0" w:color="auto"/>
              <w:bottom w:val="single" w:sz="8" w:space="0" w:color="auto"/>
              <w:right w:val="single" w:sz="8" w:space="0" w:color="auto"/>
            </w:tcBorders>
            <w:vAlign w:val="bottom"/>
          </w:tcPr>
          <w:p w14:paraId="2819FD7C" w14:textId="77777777" w:rsidR="008A579D" w:rsidRDefault="008A579D" w:rsidP="00D13B58">
            <w:pPr>
              <w:rPr>
                <w:sz w:val="1"/>
                <w:szCs w:val="1"/>
              </w:rPr>
            </w:pPr>
          </w:p>
        </w:tc>
        <w:tc>
          <w:tcPr>
            <w:tcW w:w="2160" w:type="dxa"/>
            <w:vMerge/>
            <w:tcBorders>
              <w:bottom w:val="single" w:sz="8" w:space="0" w:color="auto"/>
            </w:tcBorders>
            <w:vAlign w:val="bottom"/>
          </w:tcPr>
          <w:p w14:paraId="2819FD82" w14:textId="77777777" w:rsidR="008A579D" w:rsidRDefault="008A579D" w:rsidP="00D13B58">
            <w:pPr>
              <w:jc w:val="center"/>
              <w:rPr>
                <w:sz w:val="1"/>
                <w:szCs w:val="1"/>
              </w:rPr>
            </w:pPr>
          </w:p>
        </w:tc>
        <w:tc>
          <w:tcPr>
            <w:tcW w:w="1980" w:type="dxa"/>
            <w:vMerge/>
            <w:tcBorders>
              <w:bottom w:val="single" w:sz="8" w:space="0" w:color="auto"/>
              <w:right w:val="single" w:sz="8" w:space="0" w:color="auto"/>
            </w:tcBorders>
            <w:vAlign w:val="center"/>
          </w:tcPr>
          <w:p w14:paraId="2819FD83" w14:textId="77777777" w:rsidR="008A579D" w:rsidRDefault="008A579D" w:rsidP="00D13B58">
            <w:pPr>
              <w:jc w:val="center"/>
              <w:rPr>
                <w:sz w:val="1"/>
                <w:szCs w:val="1"/>
              </w:rPr>
            </w:pPr>
          </w:p>
        </w:tc>
        <w:tc>
          <w:tcPr>
            <w:tcW w:w="2080" w:type="dxa"/>
            <w:vMerge/>
            <w:tcBorders>
              <w:bottom w:val="single" w:sz="8" w:space="0" w:color="auto"/>
              <w:right w:val="single" w:sz="8" w:space="0" w:color="auto"/>
            </w:tcBorders>
            <w:vAlign w:val="center"/>
          </w:tcPr>
          <w:p w14:paraId="2819FD84" w14:textId="77777777" w:rsidR="008A579D" w:rsidRDefault="008A579D" w:rsidP="00D13B58">
            <w:pPr>
              <w:jc w:val="center"/>
              <w:rPr>
                <w:sz w:val="1"/>
                <w:szCs w:val="1"/>
              </w:rPr>
            </w:pPr>
          </w:p>
        </w:tc>
      </w:tr>
      <w:tr w:rsidR="008A579D" w14:paraId="2819FD91" w14:textId="77777777" w:rsidTr="00347FE4">
        <w:trPr>
          <w:trHeight w:val="245"/>
        </w:trPr>
        <w:tc>
          <w:tcPr>
            <w:tcW w:w="2660" w:type="dxa"/>
            <w:vMerge w:val="restart"/>
            <w:tcBorders>
              <w:left w:val="single" w:sz="8" w:space="0" w:color="auto"/>
              <w:right w:val="single" w:sz="8" w:space="0" w:color="auto"/>
            </w:tcBorders>
          </w:tcPr>
          <w:p w14:paraId="2819FD87" w14:textId="77777777" w:rsidR="008A579D" w:rsidRDefault="008A579D" w:rsidP="00D13B58">
            <w:pPr>
              <w:ind w:left="40"/>
              <w:rPr>
                <w:sz w:val="20"/>
                <w:szCs w:val="20"/>
              </w:rPr>
            </w:pPr>
            <w:r>
              <w:rPr>
                <w:rFonts w:eastAsia="Times New Roman"/>
                <w:sz w:val="18"/>
                <w:szCs w:val="18"/>
              </w:rPr>
              <w:t>Groundwater</w:t>
            </w:r>
          </w:p>
        </w:tc>
        <w:tc>
          <w:tcPr>
            <w:tcW w:w="2160" w:type="dxa"/>
            <w:vMerge w:val="restart"/>
            <w:tcBorders>
              <w:right w:val="single" w:sz="8" w:space="0" w:color="auto"/>
            </w:tcBorders>
            <w:vAlign w:val="center"/>
          </w:tcPr>
          <w:p w14:paraId="2819FD8D" w14:textId="4CE65136" w:rsidR="008A579D" w:rsidRDefault="008A579D" w:rsidP="00D13B58">
            <w:pPr>
              <w:jc w:val="center"/>
              <w:rPr>
                <w:sz w:val="21"/>
                <w:szCs w:val="21"/>
              </w:rPr>
            </w:pPr>
            <w:r>
              <w:rPr>
                <w:rFonts w:eastAsia="Times New Roman"/>
                <w:sz w:val="18"/>
                <w:szCs w:val="18"/>
              </w:rPr>
              <w:t>&lt;500</w:t>
            </w:r>
          </w:p>
        </w:tc>
        <w:tc>
          <w:tcPr>
            <w:tcW w:w="1980" w:type="dxa"/>
            <w:vMerge w:val="restart"/>
            <w:tcBorders>
              <w:left w:val="single" w:sz="8" w:space="0" w:color="auto"/>
              <w:right w:val="single" w:sz="8" w:space="0" w:color="auto"/>
            </w:tcBorders>
            <w:vAlign w:val="center"/>
          </w:tcPr>
          <w:p w14:paraId="2819FD8E" w14:textId="1E3FEFA8" w:rsidR="008A579D" w:rsidRDefault="008A579D" w:rsidP="00D13B58">
            <w:pPr>
              <w:jc w:val="center"/>
              <w:rPr>
                <w:sz w:val="21"/>
                <w:szCs w:val="21"/>
              </w:rPr>
            </w:pPr>
            <w:r>
              <w:rPr>
                <w:rFonts w:eastAsia="Times New Roman"/>
                <w:sz w:val="18"/>
                <w:szCs w:val="18"/>
              </w:rPr>
              <w:t>Per year</w:t>
            </w:r>
          </w:p>
        </w:tc>
        <w:tc>
          <w:tcPr>
            <w:tcW w:w="2080" w:type="dxa"/>
            <w:vMerge w:val="restart"/>
            <w:tcBorders>
              <w:right w:val="single" w:sz="8" w:space="0" w:color="auto"/>
            </w:tcBorders>
            <w:vAlign w:val="center"/>
          </w:tcPr>
          <w:p w14:paraId="2819FD8F" w14:textId="088CB916" w:rsidR="008A579D" w:rsidRDefault="008A579D" w:rsidP="00D13B58">
            <w:pPr>
              <w:jc w:val="center"/>
              <w:rPr>
                <w:sz w:val="21"/>
                <w:szCs w:val="21"/>
              </w:rPr>
            </w:pPr>
            <w:r>
              <w:rPr>
                <w:rFonts w:eastAsia="Times New Roman"/>
                <w:sz w:val="18"/>
                <w:szCs w:val="18"/>
              </w:rPr>
              <w:t>2</w:t>
            </w:r>
          </w:p>
        </w:tc>
      </w:tr>
      <w:tr w:rsidR="008A579D" w14:paraId="2819FD97" w14:textId="77777777" w:rsidTr="00347FE4">
        <w:trPr>
          <w:trHeight w:val="259"/>
        </w:trPr>
        <w:tc>
          <w:tcPr>
            <w:tcW w:w="2660" w:type="dxa"/>
            <w:vMerge/>
            <w:tcBorders>
              <w:left w:val="single" w:sz="8" w:space="0" w:color="auto"/>
              <w:right w:val="single" w:sz="8" w:space="0" w:color="auto"/>
            </w:tcBorders>
            <w:vAlign w:val="bottom"/>
          </w:tcPr>
          <w:p w14:paraId="2819FD92" w14:textId="77777777" w:rsidR="008A579D" w:rsidRDefault="008A579D" w:rsidP="00D13B58"/>
        </w:tc>
        <w:tc>
          <w:tcPr>
            <w:tcW w:w="2160" w:type="dxa"/>
            <w:vMerge/>
            <w:tcBorders>
              <w:bottom w:val="single" w:sz="8" w:space="0" w:color="auto"/>
              <w:right w:val="single" w:sz="8" w:space="0" w:color="auto"/>
            </w:tcBorders>
            <w:vAlign w:val="center"/>
          </w:tcPr>
          <w:p w14:paraId="2819FD93" w14:textId="5EB8D711" w:rsidR="008A579D" w:rsidRDefault="008A579D" w:rsidP="00D13B58">
            <w:pPr>
              <w:jc w:val="center"/>
              <w:rPr>
                <w:sz w:val="20"/>
                <w:szCs w:val="20"/>
              </w:rPr>
            </w:pPr>
          </w:p>
        </w:tc>
        <w:tc>
          <w:tcPr>
            <w:tcW w:w="1980" w:type="dxa"/>
            <w:vMerge/>
            <w:tcBorders>
              <w:left w:val="single" w:sz="8" w:space="0" w:color="auto"/>
              <w:bottom w:val="single" w:sz="8" w:space="0" w:color="auto"/>
              <w:right w:val="single" w:sz="8" w:space="0" w:color="auto"/>
            </w:tcBorders>
            <w:vAlign w:val="center"/>
          </w:tcPr>
          <w:p w14:paraId="2819FD94" w14:textId="35A86711" w:rsidR="008A579D" w:rsidRDefault="008A579D" w:rsidP="00D13B58">
            <w:pPr>
              <w:jc w:val="center"/>
              <w:rPr>
                <w:sz w:val="20"/>
                <w:szCs w:val="20"/>
              </w:rPr>
            </w:pPr>
          </w:p>
        </w:tc>
        <w:tc>
          <w:tcPr>
            <w:tcW w:w="2080" w:type="dxa"/>
            <w:vMerge/>
            <w:tcBorders>
              <w:bottom w:val="single" w:sz="8" w:space="0" w:color="auto"/>
              <w:right w:val="single" w:sz="8" w:space="0" w:color="auto"/>
            </w:tcBorders>
            <w:vAlign w:val="center"/>
          </w:tcPr>
          <w:p w14:paraId="2819FD95" w14:textId="63D23CDD" w:rsidR="008A579D" w:rsidRDefault="008A579D" w:rsidP="00D13B58">
            <w:pPr>
              <w:jc w:val="center"/>
              <w:rPr>
                <w:sz w:val="20"/>
                <w:szCs w:val="20"/>
              </w:rPr>
            </w:pPr>
          </w:p>
        </w:tc>
      </w:tr>
      <w:tr w:rsidR="008A579D" w14:paraId="2819FD9D" w14:textId="77777777" w:rsidTr="008A579D">
        <w:trPr>
          <w:trHeight w:val="261"/>
        </w:trPr>
        <w:tc>
          <w:tcPr>
            <w:tcW w:w="2660" w:type="dxa"/>
            <w:vMerge/>
            <w:tcBorders>
              <w:left w:val="single" w:sz="8" w:space="0" w:color="auto"/>
              <w:right w:val="single" w:sz="8" w:space="0" w:color="auto"/>
            </w:tcBorders>
            <w:vAlign w:val="bottom"/>
          </w:tcPr>
          <w:p w14:paraId="2819FD98" w14:textId="77777777" w:rsidR="008A579D" w:rsidRDefault="008A579D" w:rsidP="00D13B58"/>
        </w:tc>
        <w:tc>
          <w:tcPr>
            <w:tcW w:w="2160" w:type="dxa"/>
            <w:tcBorders>
              <w:bottom w:val="single" w:sz="8" w:space="0" w:color="auto"/>
              <w:right w:val="single" w:sz="8" w:space="0" w:color="auto"/>
            </w:tcBorders>
            <w:vAlign w:val="center"/>
          </w:tcPr>
          <w:p w14:paraId="2819FD99" w14:textId="77777777" w:rsidR="008A579D" w:rsidRDefault="008A579D" w:rsidP="00D13B58">
            <w:pPr>
              <w:jc w:val="center"/>
              <w:rPr>
                <w:sz w:val="20"/>
                <w:szCs w:val="20"/>
              </w:rPr>
            </w:pPr>
            <w:r>
              <w:rPr>
                <w:rFonts w:eastAsia="Times New Roman"/>
                <w:sz w:val="18"/>
                <w:szCs w:val="18"/>
              </w:rPr>
              <w:t>500-9,999</w:t>
            </w:r>
          </w:p>
        </w:tc>
        <w:tc>
          <w:tcPr>
            <w:tcW w:w="1980" w:type="dxa"/>
            <w:tcBorders>
              <w:bottom w:val="single" w:sz="8" w:space="0" w:color="auto"/>
              <w:right w:val="single" w:sz="8" w:space="0" w:color="auto"/>
            </w:tcBorders>
            <w:vAlign w:val="center"/>
          </w:tcPr>
          <w:p w14:paraId="2819FD9A" w14:textId="77777777" w:rsidR="008A579D" w:rsidRDefault="008A579D" w:rsidP="00D13B58">
            <w:pPr>
              <w:jc w:val="center"/>
              <w:rPr>
                <w:sz w:val="20"/>
                <w:szCs w:val="20"/>
              </w:rPr>
            </w:pPr>
            <w:r>
              <w:rPr>
                <w:rFonts w:eastAsia="Times New Roman"/>
                <w:sz w:val="18"/>
                <w:szCs w:val="18"/>
              </w:rPr>
              <w:t>Per year</w:t>
            </w:r>
          </w:p>
        </w:tc>
        <w:tc>
          <w:tcPr>
            <w:tcW w:w="2080" w:type="dxa"/>
            <w:tcBorders>
              <w:bottom w:val="single" w:sz="8" w:space="0" w:color="auto"/>
              <w:right w:val="single" w:sz="8" w:space="0" w:color="auto"/>
            </w:tcBorders>
            <w:vAlign w:val="center"/>
          </w:tcPr>
          <w:p w14:paraId="2819FD9B" w14:textId="77777777" w:rsidR="008A579D" w:rsidRDefault="008A579D" w:rsidP="00D13B58">
            <w:pPr>
              <w:jc w:val="center"/>
              <w:rPr>
                <w:sz w:val="20"/>
                <w:szCs w:val="20"/>
              </w:rPr>
            </w:pPr>
            <w:r>
              <w:rPr>
                <w:rFonts w:eastAsia="Times New Roman"/>
                <w:sz w:val="18"/>
                <w:szCs w:val="18"/>
              </w:rPr>
              <w:t>2</w:t>
            </w:r>
          </w:p>
        </w:tc>
      </w:tr>
      <w:tr w:rsidR="008A579D" w14:paraId="2819FDA4" w14:textId="77777777" w:rsidTr="00347FE4">
        <w:trPr>
          <w:trHeight w:val="259"/>
        </w:trPr>
        <w:tc>
          <w:tcPr>
            <w:tcW w:w="2660" w:type="dxa"/>
            <w:vMerge/>
            <w:tcBorders>
              <w:left w:val="single" w:sz="8" w:space="0" w:color="auto"/>
              <w:right w:val="single" w:sz="8" w:space="0" w:color="auto"/>
            </w:tcBorders>
            <w:vAlign w:val="bottom"/>
          </w:tcPr>
          <w:p w14:paraId="2819FD9E" w14:textId="77777777" w:rsidR="008A579D" w:rsidRDefault="008A579D" w:rsidP="00D13B58"/>
        </w:tc>
        <w:tc>
          <w:tcPr>
            <w:tcW w:w="2160" w:type="dxa"/>
            <w:tcBorders>
              <w:bottom w:val="single" w:sz="8" w:space="0" w:color="auto"/>
              <w:right w:val="single" w:sz="8" w:space="0" w:color="auto"/>
            </w:tcBorders>
            <w:vAlign w:val="center"/>
          </w:tcPr>
          <w:p w14:paraId="2819FDA0" w14:textId="66F1FCB3" w:rsidR="008A579D" w:rsidRDefault="008A579D" w:rsidP="00D13B58">
            <w:pPr>
              <w:jc w:val="center"/>
              <w:rPr>
                <w:sz w:val="20"/>
                <w:szCs w:val="20"/>
              </w:rPr>
            </w:pPr>
            <w:r>
              <w:rPr>
                <w:rFonts w:eastAsia="Times New Roman"/>
                <w:sz w:val="18"/>
                <w:szCs w:val="18"/>
              </w:rPr>
              <w:t>10,000 - 99,999</w:t>
            </w:r>
          </w:p>
        </w:tc>
        <w:tc>
          <w:tcPr>
            <w:tcW w:w="1980" w:type="dxa"/>
            <w:tcBorders>
              <w:bottom w:val="single" w:sz="8" w:space="0" w:color="auto"/>
              <w:right w:val="single" w:sz="8" w:space="0" w:color="auto"/>
            </w:tcBorders>
            <w:vAlign w:val="center"/>
          </w:tcPr>
          <w:p w14:paraId="2819FDA1"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A2" w14:textId="77777777" w:rsidR="008A579D" w:rsidRDefault="008A579D" w:rsidP="00D13B58">
            <w:pPr>
              <w:jc w:val="center"/>
              <w:rPr>
                <w:sz w:val="20"/>
                <w:szCs w:val="20"/>
              </w:rPr>
            </w:pPr>
            <w:r>
              <w:rPr>
                <w:rFonts w:eastAsia="Times New Roman"/>
                <w:sz w:val="18"/>
                <w:szCs w:val="18"/>
              </w:rPr>
              <w:t>4</w:t>
            </w:r>
          </w:p>
        </w:tc>
      </w:tr>
      <w:tr w:rsidR="008A579D" w14:paraId="2819FDAB" w14:textId="77777777" w:rsidTr="00347FE4">
        <w:trPr>
          <w:trHeight w:val="261"/>
        </w:trPr>
        <w:tc>
          <w:tcPr>
            <w:tcW w:w="2660" w:type="dxa"/>
            <w:vMerge/>
            <w:tcBorders>
              <w:left w:val="single" w:sz="8" w:space="0" w:color="auto"/>
              <w:right w:val="single" w:sz="8" w:space="0" w:color="auto"/>
            </w:tcBorders>
            <w:vAlign w:val="bottom"/>
          </w:tcPr>
          <w:p w14:paraId="2819FDA5" w14:textId="77777777" w:rsidR="008A579D" w:rsidRDefault="008A579D" w:rsidP="00D13B58"/>
        </w:tc>
        <w:tc>
          <w:tcPr>
            <w:tcW w:w="2160" w:type="dxa"/>
            <w:tcBorders>
              <w:bottom w:val="single" w:sz="8" w:space="0" w:color="auto"/>
              <w:right w:val="single" w:sz="8" w:space="0" w:color="auto"/>
            </w:tcBorders>
            <w:vAlign w:val="center"/>
          </w:tcPr>
          <w:p w14:paraId="2819FDA7" w14:textId="0663A4E0" w:rsidR="008A579D" w:rsidRDefault="008A579D" w:rsidP="00D13B58">
            <w:pPr>
              <w:jc w:val="center"/>
              <w:rPr>
                <w:sz w:val="20"/>
                <w:szCs w:val="20"/>
              </w:rPr>
            </w:pPr>
            <w:r>
              <w:rPr>
                <w:rFonts w:eastAsia="Times New Roman"/>
                <w:sz w:val="18"/>
                <w:szCs w:val="18"/>
              </w:rPr>
              <w:t>100,000 - 499,999</w:t>
            </w:r>
          </w:p>
        </w:tc>
        <w:tc>
          <w:tcPr>
            <w:tcW w:w="1980" w:type="dxa"/>
            <w:tcBorders>
              <w:bottom w:val="single" w:sz="8" w:space="0" w:color="auto"/>
              <w:right w:val="single" w:sz="8" w:space="0" w:color="auto"/>
            </w:tcBorders>
            <w:vAlign w:val="center"/>
          </w:tcPr>
          <w:p w14:paraId="2819FDA8"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A9" w14:textId="77777777" w:rsidR="008A579D" w:rsidRDefault="008A579D" w:rsidP="00D13B58">
            <w:pPr>
              <w:jc w:val="center"/>
              <w:rPr>
                <w:sz w:val="20"/>
                <w:szCs w:val="20"/>
              </w:rPr>
            </w:pPr>
            <w:r>
              <w:rPr>
                <w:rFonts w:eastAsia="Times New Roman"/>
                <w:sz w:val="18"/>
                <w:szCs w:val="18"/>
              </w:rPr>
              <w:t>6</w:t>
            </w:r>
          </w:p>
        </w:tc>
      </w:tr>
      <w:tr w:rsidR="008A579D" w14:paraId="2819FDB1" w14:textId="77777777" w:rsidTr="008A579D">
        <w:trPr>
          <w:trHeight w:val="262"/>
        </w:trPr>
        <w:tc>
          <w:tcPr>
            <w:tcW w:w="2660" w:type="dxa"/>
            <w:vMerge/>
            <w:tcBorders>
              <w:left w:val="single" w:sz="8" w:space="0" w:color="auto"/>
              <w:bottom w:val="single" w:sz="8" w:space="0" w:color="auto"/>
              <w:right w:val="single" w:sz="8" w:space="0" w:color="auto"/>
            </w:tcBorders>
            <w:vAlign w:val="bottom"/>
          </w:tcPr>
          <w:p w14:paraId="2819FDAC" w14:textId="77777777" w:rsidR="008A579D" w:rsidRDefault="008A579D" w:rsidP="00D13B58"/>
        </w:tc>
        <w:tc>
          <w:tcPr>
            <w:tcW w:w="2160" w:type="dxa"/>
            <w:tcBorders>
              <w:bottom w:val="single" w:sz="8" w:space="0" w:color="auto"/>
              <w:right w:val="single" w:sz="8" w:space="0" w:color="auto"/>
            </w:tcBorders>
            <w:vAlign w:val="center"/>
          </w:tcPr>
          <w:p w14:paraId="2819FDAD" w14:textId="77777777" w:rsidR="008A579D" w:rsidRDefault="008A579D" w:rsidP="00D13B58">
            <w:pPr>
              <w:jc w:val="center"/>
              <w:rPr>
                <w:sz w:val="20"/>
                <w:szCs w:val="20"/>
              </w:rPr>
            </w:pPr>
            <w:r>
              <w:rPr>
                <w:rFonts w:eastAsia="Times New Roman"/>
                <w:sz w:val="18"/>
                <w:szCs w:val="18"/>
              </w:rPr>
              <w:t>&gt;500,000</w:t>
            </w:r>
          </w:p>
        </w:tc>
        <w:tc>
          <w:tcPr>
            <w:tcW w:w="1980" w:type="dxa"/>
            <w:tcBorders>
              <w:bottom w:val="single" w:sz="8" w:space="0" w:color="auto"/>
              <w:right w:val="single" w:sz="8" w:space="0" w:color="auto"/>
            </w:tcBorders>
            <w:vAlign w:val="center"/>
          </w:tcPr>
          <w:p w14:paraId="2819FDAE" w14:textId="77777777" w:rsidR="008A579D" w:rsidRDefault="008A579D" w:rsidP="00D13B58">
            <w:pPr>
              <w:jc w:val="center"/>
              <w:rPr>
                <w:sz w:val="20"/>
                <w:szCs w:val="20"/>
              </w:rPr>
            </w:pPr>
            <w:r>
              <w:rPr>
                <w:rFonts w:eastAsia="Times New Roman"/>
                <w:sz w:val="18"/>
                <w:szCs w:val="18"/>
              </w:rPr>
              <w:t>Per quarter</w:t>
            </w:r>
          </w:p>
        </w:tc>
        <w:tc>
          <w:tcPr>
            <w:tcW w:w="2080" w:type="dxa"/>
            <w:tcBorders>
              <w:bottom w:val="single" w:sz="8" w:space="0" w:color="auto"/>
              <w:right w:val="single" w:sz="8" w:space="0" w:color="auto"/>
            </w:tcBorders>
            <w:vAlign w:val="center"/>
          </w:tcPr>
          <w:p w14:paraId="2819FDAF" w14:textId="77777777" w:rsidR="008A579D" w:rsidRDefault="008A579D" w:rsidP="00D13B58">
            <w:pPr>
              <w:jc w:val="center"/>
              <w:rPr>
                <w:sz w:val="20"/>
                <w:szCs w:val="20"/>
              </w:rPr>
            </w:pPr>
            <w:r>
              <w:rPr>
                <w:rFonts w:eastAsia="Times New Roman"/>
                <w:sz w:val="18"/>
                <w:szCs w:val="18"/>
              </w:rPr>
              <w:t>8</w:t>
            </w:r>
          </w:p>
        </w:tc>
      </w:tr>
    </w:tbl>
    <w:p w14:paraId="2819FDB2" w14:textId="77777777" w:rsidR="004647B9" w:rsidRPr="00D13B58" w:rsidRDefault="004647B9" w:rsidP="00D13B58">
      <w:pPr>
        <w:rPr>
          <w:sz w:val="24"/>
          <w:szCs w:val="24"/>
        </w:rPr>
      </w:pPr>
    </w:p>
    <w:p w14:paraId="2819FDB3" w14:textId="77777777" w:rsidR="004647B9" w:rsidRPr="00725838" w:rsidRDefault="00E2436F" w:rsidP="00D13B58">
      <w:pPr>
        <w:pStyle w:val="ListParagraph"/>
        <w:numPr>
          <w:ilvl w:val="0"/>
          <w:numId w:val="921"/>
        </w:numPr>
        <w:rPr>
          <w:sz w:val="24"/>
          <w:szCs w:val="24"/>
        </w:rPr>
      </w:pPr>
      <w:r w:rsidRPr="00725838">
        <w:rPr>
          <w:rFonts w:eastAsia="Times New Roman"/>
          <w:sz w:val="24"/>
          <w:szCs w:val="24"/>
        </w:rPr>
        <w:t>All systems must monitor during month of highest DBP concentrations.</w:t>
      </w:r>
    </w:p>
    <w:p w14:paraId="2819FDB5" w14:textId="77777777" w:rsidR="004647B9" w:rsidRPr="00725838" w:rsidRDefault="00E2436F" w:rsidP="00D13B58">
      <w:pPr>
        <w:pStyle w:val="ListParagraph"/>
        <w:numPr>
          <w:ilvl w:val="0"/>
          <w:numId w:val="921"/>
        </w:numPr>
        <w:ind w:left="720" w:hanging="720"/>
        <w:jc w:val="both"/>
        <w:rPr>
          <w:sz w:val="24"/>
          <w:szCs w:val="24"/>
        </w:rPr>
      </w:pPr>
      <w:r w:rsidRPr="00725838">
        <w:rPr>
          <w:rFonts w:eastAsia="Times New Roman"/>
          <w:sz w:val="24"/>
          <w:szCs w:val="24"/>
        </w:rPr>
        <w:t>Systems on quarterly monitoring must take Dual Sample Sets every 90 days at each monitoring location, except for systems using Surface Water or Groundwater under the Direct Influence of Surface Water systems and serving 500-3,300. Groundwater systems serving 500-9,999 on annual monitoring must take Dual Sample Sets at each monitoring location. All other systems on annual monitoring and systems using Surface Water or groundwater systems under the direct influence of surface water systems serving 500-3,300 are required to take individual TTHM and HAA5 samples (instead of a Dual Sample Set) at the locations with the highest TTHM and HAA5 concentrations, respectively. For systems serving fewer than 500 people, only one location with a Dual Sample Set per monitoring period is needed if highest TTHM and HAA5 concentrations occur at the same location and month.</w:t>
      </w:r>
    </w:p>
    <w:p w14:paraId="2819FDB6" w14:textId="77777777" w:rsidR="004647B9" w:rsidRPr="00D13B58" w:rsidRDefault="004647B9" w:rsidP="00D13B58">
      <w:pPr>
        <w:rPr>
          <w:sz w:val="24"/>
          <w:szCs w:val="24"/>
        </w:rPr>
      </w:pPr>
    </w:p>
    <w:p w14:paraId="2819FDB7" w14:textId="77777777" w:rsidR="004647B9" w:rsidRPr="00725838" w:rsidRDefault="00E2436F" w:rsidP="00FC0A2D">
      <w:pPr>
        <w:numPr>
          <w:ilvl w:val="2"/>
          <w:numId w:val="382"/>
        </w:numPr>
        <w:tabs>
          <w:tab w:val="left" w:pos="2376"/>
        </w:tabs>
        <w:ind w:left="1915"/>
        <w:jc w:val="both"/>
        <w:rPr>
          <w:rFonts w:eastAsia="Times New Roman"/>
          <w:sz w:val="24"/>
          <w:szCs w:val="24"/>
        </w:rPr>
      </w:pPr>
      <w:r w:rsidRPr="00725838">
        <w:rPr>
          <w:rFonts w:eastAsia="Times New Roman"/>
          <w:sz w:val="24"/>
          <w:szCs w:val="24"/>
        </w:rPr>
        <w:t>If the Supplier of Water is an undisinfected system that begins using a Disinfectant other than UV light after the dates in 310 CMR 22.07F(1) for complying with the Initial Distribution System Evaluation requirements, they must consult with the Department to identify compliance monitoring locations for 310 CMR 22.07F(8). The Supplier of Water must then develop a monitoring plan under 310 CMR 22.07F(9) that includes those monitoring locations.</w:t>
      </w:r>
    </w:p>
    <w:p w14:paraId="2819FDB9" w14:textId="77777777" w:rsidR="004647B9" w:rsidRPr="00725838" w:rsidRDefault="00E2436F" w:rsidP="00D13B58">
      <w:pPr>
        <w:numPr>
          <w:ilvl w:val="1"/>
          <w:numId w:val="383"/>
        </w:numPr>
        <w:tabs>
          <w:tab w:val="left" w:pos="1576"/>
        </w:tabs>
        <w:ind w:left="1080" w:hanging="5"/>
        <w:jc w:val="both"/>
        <w:rPr>
          <w:rFonts w:eastAsia="Times New Roman"/>
          <w:sz w:val="24"/>
          <w:szCs w:val="24"/>
        </w:rPr>
      </w:pPr>
      <w:r w:rsidRPr="00725838">
        <w:rPr>
          <w:rFonts w:eastAsia="Times New Roman"/>
          <w:sz w:val="24"/>
          <w:szCs w:val="24"/>
          <w:u w:val="single"/>
        </w:rPr>
        <w:t>Analytical Methods</w:t>
      </w:r>
      <w:r w:rsidRPr="00725838">
        <w:rPr>
          <w:rFonts w:eastAsia="Times New Roman"/>
          <w:sz w:val="24"/>
          <w:szCs w:val="24"/>
        </w:rPr>
        <w:t>. The Supplier of Water must use an approved method listed in 310 CMR 22.07E(6) for TTHM and HAA5 analyses in 310 CMR 22.07F(8). Analyses must be conducted by laboratories that have received certification by EPA or the Department as specified in 310 CMR 22.07E(6).</w:t>
      </w:r>
    </w:p>
    <w:p w14:paraId="2819FDBA" w14:textId="77777777" w:rsidR="004647B9" w:rsidRPr="00725838" w:rsidRDefault="004647B9" w:rsidP="00D13B58">
      <w:pPr>
        <w:rPr>
          <w:rFonts w:eastAsia="Times New Roman"/>
          <w:sz w:val="24"/>
          <w:szCs w:val="24"/>
        </w:rPr>
      </w:pPr>
    </w:p>
    <w:p w14:paraId="2819FDBB" w14:textId="77777777" w:rsidR="004647B9" w:rsidRPr="00725838" w:rsidRDefault="00E2436F" w:rsidP="00D13B58">
      <w:pPr>
        <w:numPr>
          <w:ilvl w:val="0"/>
          <w:numId w:val="384"/>
        </w:numPr>
        <w:tabs>
          <w:tab w:val="left" w:pos="1180"/>
        </w:tabs>
        <w:ind w:left="1180" w:hanging="460"/>
        <w:rPr>
          <w:rFonts w:eastAsia="Times New Roman"/>
          <w:sz w:val="24"/>
          <w:szCs w:val="24"/>
        </w:rPr>
      </w:pPr>
      <w:r w:rsidRPr="00725838">
        <w:rPr>
          <w:rFonts w:eastAsia="Times New Roman"/>
          <w:sz w:val="24"/>
          <w:szCs w:val="24"/>
          <w:u w:val="single"/>
        </w:rPr>
        <w:t>Monitoring Plan</w:t>
      </w:r>
      <w:r w:rsidRPr="00725838">
        <w:rPr>
          <w:rFonts w:eastAsia="Times New Roman"/>
          <w:sz w:val="24"/>
          <w:szCs w:val="24"/>
        </w:rPr>
        <w:t>.</w:t>
      </w:r>
    </w:p>
    <w:p w14:paraId="2819FDBD" w14:textId="77777777" w:rsidR="004647B9" w:rsidRPr="00725838" w:rsidRDefault="00E2436F" w:rsidP="00D13B58">
      <w:pPr>
        <w:numPr>
          <w:ilvl w:val="1"/>
          <w:numId w:val="384"/>
        </w:numPr>
        <w:tabs>
          <w:tab w:val="left" w:pos="1440"/>
        </w:tabs>
        <w:ind w:left="1440" w:hanging="365"/>
        <w:jc w:val="both"/>
        <w:rPr>
          <w:rFonts w:eastAsia="Times New Roman"/>
          <w:sz w:val="24"/>
          <w:szCs w:val="24"/>
        </w:rPr>
      </w:pPr>
      <w:r w:rsidRPr="00725838">
        <w:rPr>
          <w:rFonts w:eastAsia="Times New Roman"/>
          <w:sz w:val="24"/>
          <w:szCs w:val="24"/>
        </w:rPr>
        <w:t>1. The Supplier of Water must develop and implement a monitoring plan to be kept on file for Department and public review. The monitoring plan must contain the elements in 310 CMR 22.07F(9)(a)1.a. through d. and be completed no later than the date the Supplier of Water conducts their initial monitoring under 310 CMR 22.07F(8).</w:t>
      </w:r>
    </w:p>
    <w:p w14:paraId="2819FDBF" w14:textId="77777777" w:rsidR="004647B9" w:rsidRPr="00725838" w:rsidRDefault="00E2436F" w:rsidP="00D13B58">
      <w:pPr>
        <w:numPr>
          <w:ilvl w:val="3"/>
          <w:numId w:val="384"/>
        </w:numPr>
        <w:tabs>
          <w:tab w:val="left" w:pos="2140"/>
        </w:tabs>
        <w:ind w:left="2140" w:hanging="345"/>
        <w:rPr>
          <w:rFonts w:eastAsia="Times New Roman"/>
          <w:sz w:val="24"/>
          <w:szCs w:val="24"/>
        </w:rPr>
      </w:pPr>
      <w:r w:rsidRPr="00725838">
        <w:rPr>
          <w:rFonts w:eastAsia="Times New Roman"/>
          <w:sz w:val="24"/>
          <w:szCs w:val="24"/>
        </w:rPr>
        <w:t>Monitoring locations;</w:t>
      </w:r>
    </w:p>
    <w:p w14:paraId="2819FDC0" w14:textId="77777777" w:rsidR="004647B9" w:rsidRPr="00725838" w:rsidRDefault="00E2436F" w:rsidP="00D13B58">
      <w:pPr>
        <w:numPr>
          <w:ilvl w:val="3"/>
          <w:numId w:val="384"/>
        </w:numPr>
        <w:tabs>
          <w:tab w:val="left" w:pos="2160"/>
        </w:tabs>
        <w:ind w:left="2160" w:hanging="365"/>
        <w:rPr>
          <w:rFonts w:eastAsia="Times New Roman"/>
          <w:sz w:val="24"/>
          <w:szCs w:val="24"/>
        </w:rPr>
      </w:pPr>
      <w:r w:rsidRPr="00725838">
        <w:rPr>
          <w:rFonts w:eastAsia="Times New Roman"/>
          <w:sz w:val="24"/>
          <w:szCs w:val="24"/>
        </w:rPr>
        <w:t>Monitoring dates;</w:t>
      </w:r>
    </w:p>
    <w:p w14:paraId="2819FDC1" w14:textId="77777777" w:rsidR="004647B9" w:rsidRPr="00725838" w:rsidRDefault="00E2436F" w:rsidP="00D13B58">
      <w:pPr>
        <w:numPr>
          <w:ilvl w:val="3"/>
          <w:numId w:val="384"/>
        </w:numPr>
        <w:tabs>
          <w:tab w:val="left" w:pos="2140"/>
        </w:tabs>
        <w:ind w:left="2140" w:hanging="345"/>
        <w:rPr>
          <w:rFonts w:eastAsia="Times New Roman"/>
          <w:sz w:val="24"/>
          <w:szCs w:val="24"/>
        </w:rPr>
      </w:pPr>
      <w:r w:rsidRPr="00725838">
        <w:rPr>
          <w:rFonts w:eastAsia="Times New Roman"/>
          <w:sz w:val="24"/>
          <w:szCs w:val="24"/>
        </w:rPr>
        <w:t>Compliance calculation procedures; and</w:t>
      </w:r>
    </w:p>
    <w:p w14:paraId="2819FDC2" w14:textId="77777777" w:rsidR="004647B9" w:rsidRPr="00725838" w:rsidRDefault="00E2436F" w:rsidP="00D13B58">
      <w:pPr>
        <w:numPr>
          <w:ilvl w:val="3"/>
          <w:numId w:val="384"/>
        </w:numPr>
        <w:tabs>
          <w:tab w:val="left" w:pos="2148"/>
        </w:tabs>
        <w:ind w:left="1800" w:hanging="5"/>
        <w:rPr>
          <w:rFonts w:eastAsia="Times New Roman"/>
          <w:sz w:val="24"/>
          <w:szCs w:val="24"/>
        </w:rPr>
      </w:pPr>
      <w:r w:rsidRPr="00725838">
        <w:rPr>
          <w:rFonts w:eastAsia="Times New Roman"/>
          <w:sz w:val="24"/>
          <w:szCs w:val="24"/>
        </w:rPr>
        <w:t>Monitoring plans for any other systems in the Combined Distribution System if the Department has reduced monitoring requirements.</w:t>
      </w:r>
    </w:p>
    <w:p w14:paraId="2819FDC3" w14:textId="2A18CFF7" w:rsidR="006D2B94" w:rsidRDefault="006D2B94">
      <w:r>
        <w:br w:type="page"/>
      </w:r>
    </w:p>
    <w:p w14:paraId="2819FDC4" w14:textId="77777777" w:rsidR="004647B9" w:rsidRDefault="00E2436F">
      <w:pPr>
        <w:tabs>
          <w:tab w:val="left" w:pos="160"/>
        </w:tabs>
        <w:jc w:val="center"/>
        <w:rPr>
          <w:sz w:val="20"/>
          <w:szCs w:val="20"/>
        </w:rPr>
      </w:pPr>
      <w:bookmarkStart w:id="143" w:name="page145"/>
      <w:bookmarkEnd w:id="14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DC5" w14:textId="77777777" w:rsidR="004647B9" w:rsidRDefault="004647B9" w:rsidP="00FC0A2D">
      <w:pPr>
        <w:rPr>
          <w:sz w:val="20"/>
          <w:szCs w:val="20"/>
        </w:rPr>
      </w:pPr>
    </w:p>
    <w:p w14:paraId="2819FDC6" w14:textId="77777777" w:rsidR="004647B9" w:rsidRDefault="004647B9" w:rsidP="00FC0A2D">
      <w:pPr>
        <w:rPr>
          <w:sz w:val="20"/>
          <w:szCs w:val="20"/>
        </w:rPr>
      </w:pPr>
    </w:p>
    <w:p w14:paraId="2819FDC7" w14:textId="77777777" w:rsidR="004647B9" w:rsidRPr="00FC0A2D" w:rsidRDefault="00E2436F" w:rsidP="00FC0A2D">
      <w:pPr>
        <w:tabs>
          <w:tab w:val="left" w:pos="900"/>
        </w:tabs>
        <w:rPr>
          <w:sz w:val="24"/>
          <w:szCs w:val="24"/>
        </w:rPr>
      </w:pPr>
      <w:r w:rsidRPr="00FC0A2D">
        <w:rPr>
          <w:rFonts w:eastAsia="Times New Roman"/>
          <w:sz w:val="24"/>
          <w:szCs w:val="24"/>
        </w:rPr>
        <w:t>22.07F:</w:t>
      </w:r>
      <w:r w:rsidRPr="00FC0A2D">
        <w:rPr>
          <w:sz w:val="24"/>
          <w:szCs w:val="24"/>
        </w:rPr>
        <w:tab/>
      </w:r>
      <w:r w:rsidRPr="00FC0A2D">
        <w:rPr>
          <w:rFonts w:eastAsia="Times New Roman"/>
          <w:sz w:val="24"/>
          <w:szCs w:val="24"/>
        </w:rPr>
        <w:t>continued</w:t>
      </w:r>
    </w:p>
    <w:p w14:paraId="2819FDC8" w14:textId="77777777" w:rsidR="004647B9" w:rsidRDefault="004647B9" w:rsidP="00FC0A2D">
      <w:pPr>
        <w:rPr>
          <w:sz w:val="20"/>
          <w:szCs w:val="20"/>
        </w:rPr>
      </w:pPr>
    </w:p>
    <w:p w14:paraId="2819FDCF" w14:textId="6BC148B3" w:rsidR="004647B9" w:rsidRPr="001E5B25" w:rsidRDefault="00E2436F" w:rsidP="008C7492">
      <w:pPr>
        <w:numPr>
          <w:ilvl w:val="2"/>
          <w:numId w:val="385"/>
        </w:numPr>
        <w:tabs>
          <w:tab w:val="left" w:pos="2320"/>
        </w:tabs>
        <w:ind w:left="1915"/>
        <w:jc w:val="both"/>
        <w:rPr>
          <w:rFonts w:eastAsia="Times New Roman"/>
          <w:sz w:val="24"/>
          <w:szCs w:val="24"/>
        </w:rPr>
      </w:pPr>
      <w:r w:rsidRPr="001E5B25">
        <w:rPr>
          <w:rFonts w:eastAsia="Times New Roman"/>
          <w:sz w:val="24"/>
          <w:szCs w:val="24"/>
        </w:rPr>
        <w:t>If the Supplier of Water was not required to submit an IDSE report under either</w:t>
      </w:r>
      <w:r w:rsidR="001E5B25" w:rsidRPr="001E5B25">
        <w:rPr>
          <w:rFonts w:eastAsia="Times New Roman"/>
          <w:sz w:val="24"/>
          <w:szCs w:val="24"/>
        </w:rPr>
        <w:t xml:space="preserve"> 310 </w:t>
      </w:r>
      <w:r w:rsidRPr="001E5B25">
        <w:rPr>
          <w:rFonts w:eastAsia="Times New Roman"/>
          <w:sz w:val="24"/>
          <w:szCs w:val="24"/>
        </w:rPr>
        <w:t>CMR 22.07F(2) or (3), and they do not have sufficient monitoring locations required under 310 CMR 22.07E to identify the required number of compliance monitoring locations indicated in 310 CMR 22.07F(6)(b), they must identify additional locations by alternating selection of locations representing high TTHM levels and high HAA5 levels until the required number of compliance monitoring locations have been identified. They must also provide the rationale for identifying the locations as having high levels of TTHM or HAA5. If the Supplier of Water has more monitoring locations required under</w:t>
      </w:r>
      <w:r w:rsidR="001E5B25" w:rsidRPr="001E5B25">
        <w:rPr>
          <w:rFonts w:eastAsia="Times New Roman"/>
          <w:sz w:val="24"/>
          <w:szCs w:val="24"/>
        </w:rPr>
        <w:t xml:space="preserve"> 310 </w:t>
      </w:r>
      <w:r w:rsidRPr="001E5B25">
        <w:rPr>
          <w:rFonts w:eastAsia="Times New Roman"/>
          <w:sz w:val="24"/>
          <w:szCs w:val="24"/>
        </w:rPr>
        <w:t>CMR 22.07E than required for compliance monitoring in 310 CMR 22.07F(6)(b), they must identify which locations they will use for compliance monitoring under</w:t>
      </w:r>
      <w:r w:rsidR="001E5B25" w:rsidRPr="001E5B25">
        <w:rPr>
          <w:rFonts w:eastAsia="Times New Roman"/>
          <w:sz w:val="24"/>
          <w:szCs w:val="24"/>
        </w:rPr>
        <w:t xml:space="preserve"> 310 </w:t>
      </w:r>
      <w:r w:rsidRPr="001E5B25">
        <w:rPr>
          <w:rFonts w:eastAsia="Times New Roman"/>
          <w:sz w:val="24"/>
          <w:szCs w:val="24"/>
        </w:rPr>
        <w:t>CMR 22.07F(8) by alternating selection of locations representing high TTHM levels and high HAA5 levels until the required number of compliance monitoring locations under 310 CMR 22.07F(8) have been identified.</w:t>
      </w:r>
    </w:p>
    <w:p w14:paraId="2819FDD1" w14:textId="77777777" w:rsidR="004647B9" w:rsidRDefault="00E2436F" w:rsidP="00FC0A2D">
      <w:pPr>
        <w:numPr>
          <w:ilvl w:val="1"/>
          <w:numId w:val="386"/>
        </w:numPr>
        <w:tabs>
          <w:tab w:val="left" w:pos="1977"/>
        </w:tabs>
        <w:ind w:left="1560" w:hanging="5"/>
        <w:jc w:val="both"/>
        <w:rPr>
          <w:rFonts w:eastAsia="Times New Roman"/>
          <w:sz w:val="24"/>
          <w:szCs w:val="24"/>
        </w:rPr>
      </w:pPr>
      <w:r>
        <w:rPr>
          <w:rFonts w:eastAsia="Times New Roman"/>
          <w:sz w:val="24"/>
          <w:szCs w:val="24"/>
        </w:rPr>
        <w:t>If the Supplier of Water is a Surface Water or a Groundwater under the Direct Influence of Surface Water serving &gt; 3,300 people, they must submit a copy of their monitoring plan to the Department prior to the date they conduct their initial monitoring under 310 CMR 22.07F(8), unless their IDSE report submitted under 310 CMR 22.07F(2) contains all the information required by 310 CMR 22.07F(9).</w:t>
      </w:r>
    </w:p>
    <w:p w14:paraId="2819FDD3" w14:textId="77777777" w:rsidR="004647B9" w:rsidRPr="001E5B25" w:rsidRDefault="00E2436F" w:rsidP="00FC0A2D">
      <w:pPr>
        <w:numPr>
          <w:ilvl w:val="1"/>
          <w:numId w:val="386"/>
        </w:numPr>
        <w:tabs>
          <w:tab w:val="left" w:pos="1977"/>
        </w:tabs>
        <w:ind w:left="1560" w:hanging="5"/>
        <w:jc w:val="both"/>
        <w:rPr>
          <w:rFonts w:eastAsia="Times New Roman"/>
          <w:sz w:val="24"/>
          <w:szCs w:val="24"/>
        </w:rPr>
      </w:pPr>
      <w:r w:rsidRPr="001E5B25">
        <w:rPr>
          <w:rFonts w:eastAsia="Times New Roman"/>
          <w:sz w:val="24"/>
          <w:szCs w:val="24"/>
        </w:rPr>
        <w:t>The Supplier of Water may revise their monitoring plan to reflect changes in treatment, Distribution System operations and layout (including new service areas), or other factors that may affect TTHM or HAA5 formation, or for Department-approved reasons, after consultation with the Department regarding the need for changes and the appropriateness of changes. If the Supplier of Water changes monitoring locations, they must replace existing compliance monitoring locations with the lowest LRAA with new locations that reflect the current Distribution System locations with expected high TTHM or HAA5 levels. The Department may also require modifications in their monitoring plan. If they are a Surface Water or Groundwater under the Direct Influence of Surface Water system serving &gt; 3,300 people, they must submit a copy of their modified monitoring plan to the Department prior to the date they are required to comply with the revised monitoring plan.</w:t>
      </w:r>
    </w:p>
    <w:p w14:paraId="2819FDD4" w14:textId="77777777" w:rsidR="004647B9" w:rsidRPr="00FC0A2D" w:rsidRDefault="004647B9" w:rsidP="00FC0A2D">
      <w:pPr>
        <w:rPr>
          <w:rFonts w:eastAsia="Times New Roman"/>
          <w:sz w:val="24"/>
          <w:szCs w:val="24"/>
        </w:rPr>
      </w:pPr>
    </w:p>
    <w:p w14:paraId="2819FDD5" w14:textId="77777777" w:rsidR="004647B9" w:rsidRPr="00725838" w:rsidRDefault="00E2436F" w:rsidP="00FC0A2D">
      <w:pPr>
        <w:numPr>
          <w:ilvl w:val="0"/>
          <w:numId w:val="387"/>
        </w:numPr>
        <w:tabs>
          <w:tab w:val="left" w:pos="1780"/>
        </w:tabs>
        <w:ind w:left="1780" w:hanging="580"/>
        <w:rPr>
          <w:rFonts w:eastAsia="Times New Roman"/>
          <w:sz w:val="24"/>
          <w:szCs w:val="24"/>
        </w:rPr>
      </w:pPr>
      <w:r w:rsidRPr="00725838">
        <w:rPr>
          <w:rFonts w:eastAsia="Times New Roman"/>
          <w:sz w:val="24"/>
          <w:szCs w:val="24"/>
          <w:u w:val="single"/>
        </w:rPr>
        <w:t>Reduced Monitoring</w:t>
      </w:r>
      <w:r w:rsidRPr="00725838">
        <w:rPr>
          <w:rFonts w:eastAsia="Times New Roman"/>
          <w:sz w:val="24"/>
          <w:szCs w:val="24"/>
        </w:rPr>
        <w:t>.</w:t>
      </w:r>
    </w:p>
    <w:p w14:paraId="2819FDD7" w14:textId="77777777" w:rsidR="004647B9" w:rsidRPr="00725838" w:rsidRDefault="00E2436F" w:rsidP="00FC0A2D">
      <w:pPr>
        <w:numPr>
          <w:ilvl w:val="1"/>
          <w:numId w:val="387"/>
        </w:numPr>
        <w:tabs>
          <w:tab w:val="left" w:pos="2064"/>
        </w:tabs>
        <w:ind w:left="1560" w:hanging="5"/>
        <w:jc w:val="both"/>
        <w:rPr>
          <w:rFonts w:eastAsia="Times New Roman"/>
          <w:sz w:val="24"/>
          <w:szCs w:val="24"/>
        </w:rPr>
      </w:pPr>
      <w:r w:rsidRPr="00725838">
        <w:rPr>
          <w:rFonts w:eastAsia="Times New Roman"/>
          <w:sz w:val="24"/>
          <w:szCs w:val="24"/>
        </w:rPr>
        <w:t xml:space="preserve">The Supplier of Water may reduce monitoring to the level specified in the table in 310 CMR 22.07F(10)(a) any time the LRAA is </w:t>
      </w:r>
      <w:r w:rsidRPr="00725838">
        <w:rPr>
          <w:rFonts w:eastAsia="Times New Roman"/>
          <w:sz w:val="24"/>
          <w:szCs w:val="24"/>
          <w:u w:val="single"/>
        </w:rPr>
        <w:t>&lt;</w:t>
      </w:r>
      <w:r w:rsidRPr="00725838">
        <w:rPr>
          <w:rFonts w:eastAsia="Times New Roman"/>
          <w:sz w:val="24"/>
          <w:szCs w:val="24"/>
        </w:rPr>
        <w:t xml:space="preserve"> 0.040 mg/L for TTHM and </w:t>
      </w:r>
      <w:r w:rsidRPr="00725838">
        <w:rPr>
          <w:rFonts w:eastAsia="Times New Roman"/>
          <w:sz w:val="24"/>
          <w:szCs w:val="24"/>
          <w:u w:val="single"/>
        </w:rPr>
        <w:t>&lt;</w:t>
      </w:r>
      <w:r w:rsidRPr="00725838">
        <w:rPr>
          <w:rFonts w:eastAsia="Times New Roman"/>
          <w:sz w:val="24"/>
          <w:szCs w:val="24"/>
        </w:rPr>
        <w:t xml:space="preserve"> 0.030mg/L for HAA5 at all monitoring locations. They may only use data collected under the provisions of 310 CMR 22.07E or 22.07F to qualify for reduced monitoring. In addition, the source water annual average TOC level, before any treatment, must be </w:t>
      </w:r>
      <w:r w:rsidRPr="00725838">
        <w:rPr>
          <w:rFonts w:eastAsia="Times New Roman"/>
          <w:sz w:val="24"/>
          <w:szCs w:val="24"/>
          <w:u w:val="single"/>
        </w:rPr>
        <w:t>&lt;</w:t>
      </w:r>
      <w:r w:rsidRPr="00725838">
        <w:rPr>
          <w:rFonts w:eastAsia="Times New Roman"/>
          <w:sz w:val="24"/>
          <w:szCs w:val="24"/>
        </w:rPr>
        <w:t xml:space="preserve"> 4.0 mg/L at each treatment plant treating Surface Water or Groundwater Under the Direct Influence of Surface Water, based on monitoring conducted under 310 CMR 22.07E(7)(b)1.c. or (d).</w:t>
      </w:r>
    </w:p>
    <w:p w14:paraId="2819FDD8" w14:textId="46E1DBC3" w:rsidR="006D2B94" w:rsidRDefault="006D2B94" w:rsidP="00FC0A2D">
      <w:r>
        <w:br w:type="page"/>
      </w:r>
    </w:p>
    <w:p w14:paraId="2819FDD9" w14:textId="77777777" w:rsidR="004647B9" w:rsidRDefault="00E2436F">
      <w:pPr>
        <w:tabs>
          <w:tab w:val="left" w:pos="160"/>
        </w:tabs>
        <w:jc w:val="center"/>
        <w:rPr>
          <w:sz w:val="20"/>
          <w:szCs w:val="20"/>
        </w:rPr>
      </w:pPr>
      <w:bookmarkStart w:id="144" w:name="page146"/>
      <w:bookmarkEnd w:id="14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DDA" w14:textId="77777777" w:rsidR="004647B9" w:rsidRDefault="004647B9" w:rsidP="008C7492">
      <w:pPr>
        <w:rPr>
          <w:sz w:val="20"/>
          <w:szCs w:val="20"/>
        </w:rPr>
      </w:pPr>
    </w:p>
    <w:p w14:paraId="2819FDDB" w14:textId="77777777" w:rsidR="004647B9" w:rsidRDefault="004647B9" w:rsidP="008C7492">
      <w:pPr>
        <w:rPr>
          <w:sz w:val="20"/>
          <w:szCs w:val="20"/>
        </w:rPr>
      </w:pPr>
    </w:p>
    <w:p w14:paraId="2819FDDC" w14:textId="77777777" w:rsidR="004647B9" w:rsidRPr="008C7492" w:rsidRDefault="00E2436F" w:rsidP="008C7492">
      <w:pPr>
        <w:tabs>
          <w:tab w:val="left" w:pos="900"/>
        </w:tabs>
        <w:rPr>
          <w:sz w:val="24"/>
          <w:szCs w:val="24"/>
        </w:rPr>
      </w:pPr>
      <w:r w:rsidRPr="008C7492">
        <w:rPr>
          <w:rFonts w:eastAsia="Times New Roman"/>
          <w:sz w:val="24"/>
          <w:szCs w:val="24"/>
        </w:rPr>
        <w:t>22.07F:</w:t>
      </w:r>
      <w:r w:rsidRPr="008C7492">
        <w:rPr>
          <w:sz w:val="24"/>
          <w:szCs w:val="24"/>
        </w:rPr>
        <w:tab/>
      </w:r>
      <w:r w:rsidRPr="008C7492">
        <w:rPr>
          <w:rFonts w:eastAsia="Times New Roman"/>
          <w:sz w:val="24"/>
          <w:szCs w:val="24"/>
        </w:rPr>
        <w:t>continued</w:t>
      </w:r>
    </w:p>
    <w:p w14:paraId="2819FDDD" w14:textId="77777777" w:rsidR="004647B9" w:rsidRDefault="004647B9" w:rsidP="008C7492">
      <w:pPr>
        <w:rPr>
          <w:sz w:val="20"/>
          <w:szCs w:val="20"/>
        </w:rPr>
      </w:pPr>
    </w:p>
    <w:p w14:paraId="2819FDDE" w14:textId="77777777" w:rsidR="004647B9" w:rsidRDefault="00E2436F" w:rsidP="008C7492">
      <w:pPr>
        <w:jc w:val="center"/>
        <w:rPr>
          <w:sz w:val="20"/>
          <w:szCs w:val="20"/>
        </w:rPr>
      </w:pPr>
      <w:r>
        <w:rPr>
          <w:rFonts w:eastAsia="Times New Roman"/>
          <w:sz w:val="24"/>
          <w:szCs w:val="24"/>
        </w:rPr>
        <w:t>TABLE 8 – 310 CMR 22.07F</w:t>
      </w:r>
    </w:p>
    <w:p w14:paraId="2819FDE0" w14:textId="297A21F5" w:rsidR="004647B9" w:rsidRDefault="00E2436F" w:rsidP="008C7492">
      <w:pPr>
        <w:jc w:val="center"/>
        <w:rPr>
          <w:sz w:val="20"/>
          <w:szCs w:val="20"/>
        </w:rPr>
      </w:pPr>
      <w:r>
        <w:rPr>
          <w:rFonts w:eastAsia="Times New Roman"/>
          <w:sz w:val="24"/>
          <w:szCs w:val="24"/>
        </w:rPr>
        <w:t>REDUCED MONITORNG FREQUENCY AND LOCATION</w:t>
      </w:r>
    </w:p>
    <w:p w14:paraId="2819FDE1" w14:textId="77777777" w:rsidR="004647B9" w:rsidRPr="008C7492" w:rsidRDefault="004647B9" w:rsidP="008C7492">
      <w:pPr>
        <w:rPr>
          <w:sz w:val="24"/>
          <w:szCs w:val="24"/>
        </w:rPr>
      </w:pPr>
    </w:p>
    <w:tbl>
      <w:tblPr>
        <w:tblW w:w="10170" w:type="dxa"/>
        <w:tblInd w:w="80" w:type="dxa"/>
        <w:tblLayout w:type="fixed"/>
        <w:tblCellMar>
          <w:left w:w="0" w:type="dxa"/>
          <w:right w:w="0" w:type="dxa"/>
        </w:tblCellMar>
        <w:tblLook w:val="04A0" w:firstRow="1" w:lastRow="0" w:firstColumn="1" w:lastColumn="0" w:noHBand="0" w:noVBand="1"/>
      </w:tblPr>
      <w:tblGrid>
        <w:gridCol w:w="3060"/>
        <w:gridCol w:w="1800"/>
        <w:gridCol w:w="1080"/>
        <w:gridCol w:w="4230"/>
      </w:tblGrid>
      <w:tr w:rsidR="00510964" w14:paraId="2819FDE6" w14:textId="77777777" w:rsidTr="00F64D59">
        <w:trPr>
          <w:trHeight w:val="557"/>
        </w:trPr>
        <w:tc>
          <w:tcPr>
            <w:tcW w:w="3060" w:type="dxa"/>
            <w:tcBorders>
              <w:top w:val="single" w:sz="8" w:space="0" w:color="auto"/>
              <w:left w:val="single" w:sz="8" w:space="0" w:color="auto"/>
              <w:bottom w:val="single" w:sz="8" w:space="0" w:color="auto"/>
              <w:right w:val="single" w:sz="8" w:space="0" w:color="auto"/>
            </w:tcBorders>
            <w:vAlign w:val="center"/>
          </w:tcPr>
          <w:p w14:paraId="2819FDE2" w14:textId="77777777" w:rsidR="00510964" w:rsidRDefault="00510964" w:rsidP="00510964">
            <w:pPr>
              <w:jc w:val="center"/>
              <w:rPr>
                <w:sz w:val="20"/>
                <w:szCs w:val="20"/>
              </w:rPr>
            </w:pPr>
            <w:r>
              <w:rPr>
                <w:rFonts w:eastAsia="Times New Roman"/>
                <w:sz w:val="18"/>
                <w:szCs w:val="18"/>
              </w:rPr>
              <w:t>Source water type</w:t>
            </w:r>
          </w:p>
        </w:tc>
        <w:tc>
          <w:tcPr>
            <w:tcW w:w="1800" w:type="dxa"/>
            <w:tcBorders>
              <w:top w:val="single" w:sz="8" w:space="0" w:color="auto"/>
              <w:bottom w:val="single" w:sz="8" w:space="0" w:color="auto"/>
              <w:right w:val="single" w:sz="8" w:space="0" w:color="auto"/>
            </w:tcBorders>
            <w:vAlign w:val="center"/>
          </w:tcPr>
          <w:p w14:paraId="2819FDE3" w14:textId="575B3079" w:rsidR="00510964" w:rsidRDefault="00510964" w:rsidP="00510964">
            <w:pPr>
              <w:jc w:val="center"/>
              <w:rPr>
                <w:sz w:val="20"/>
                <w:szCs w:val="20"/>
              </w:rPr>
            </w:pPr>
            <w:r>
              <w:rPr>
                <w:rFonts w:eastAsia="Times New Roman"/>
                <w:sz w:val="18"/>
                <w:szCs w:val="18"/>
              </w:rPr>
              <w:t>Population size category</w:t>
            </w:r>
          </w:p>
        </w:tc>
        <w:tc>
          <w:tcPr>
            <w:tcW w:w="1080" w:type="dxa"/>
            <w:tcBorders>
              <w:top w:val="single" w:sz="8" w:space="0" w:color="auto"/>
              <w:bottom w:val="single" w:sz="8" w:space="0" w:color="auto"/>
              <w:right w:val="single" w:sz="8" w:space="0" w:color="auto"/>
            </w:tcBorders>
            <w:vAlign w:val="center"/>
          </w:tcPr>
          <w:p w14:paraId="2819FDE4" w14:textId="537177C1" w:rsidR="00510964" w:rsidRDefault="00510964" w:rsidP="00510964">
            <w:pPr>
              <w:jc w:val="center"/>
              <w:rPr>
                <w:sz w:val="20"/>
                <w:szCs w:val="20"/>
              </w:rPr>
            </w:pPr>
            <w:r>
              <w:rPr>
                <w:rFonts w:eastAsia="Times New Roman"/>
                <w:sz w:val="18"/>
                <w:szCs w:val="18"/>
              </w:rPr>
              <w:t>Monitoring frequency</w:t>
            </w:r>
            <w:r>
              <w:rPr>
                <w:rFonts w:eastAsia="Times New Roman"/>
                <w:sz w:val="24"/>
                <w:szCs w:val="24"/>
                <w:vertAlign w:val="superscript"/>
              </w:rPr>
              <w:t>1</w:t>
            </w:r>
          </w:p>
        </w:tc>
        <w:tc>
          <w:tcPr>
            <w:tcW w:w="4230" w:type="dxa"/>
            <w:tcBorders>
              <w:top w:val="single" w:sz="8" w:space="0" w:color="auto"/>
              <w:bottom w:val="single" w:sz="8" w:space="0" w:color="auto"/>
              <w:right w:val="single" w:sz="8" w:space="0" w:color="auto"/>
            </w:tcBorders>
            <w:vAlign w:val="center"/>
          </w:tcPr>
          <w:p w14:paraId="2819FDE5" w14:textId="4D06240B" w:rsidR="00510964" w:rsidRDefault="00510964" w:rsidP="00510964">
            <w:pPr>
              <w:ind w:left="40"/>
              <w:jc w:val="center"/>
              <w:rPr>
                <w:sz w:val="20"/>
                <w:szCs w:val="20"/>
              </w:rPr>
            </w:pPr>
            <w:r>
              <w:rPr>
                <w:rFonts w:eastAsia="Times New Roman"/>
                <w:sz w:val="18"/>
                <w:szCs w:val="18"/>
              </w:rPr>
              <w:t>Distribution System monitoring location per monitoring period</w:t>
            </w:r>
          </w:p>
        </w:tc>
      </w:tr>
      <w:tr w:rsidR="00510964" w14:paraId="2819FDF0" w14:textId="77777777" w:rsidTr="00F64D59">
        <w:trPr>
          <w:trHeight w:val="548"/>
        </w:trPr>
        <w:tc>
          <w:tcPr>
            <w:tcW w:w="3060" w:type="dxa"/>
            <w:vMerge w:val="restart"/>
            <w:tcBorders>
              <w:top w:val="single" w:sz="8" w:space="0" w:color="auto"/>
              <w:left w:val="single" w:sz="8" w:space="0" w:color="auto"/>
              <w:bottom w:val="single" w:sz="8" w:space="0" w:color="auto"/>
              <w:right w:val="single" w:sz="8" w:space="0" w:color="auto"/>
            </w:tcBorders>
          </w:tcPr>
          <w:p w14:paraId="2819FDEC" w14:textId="33655A51" w:rsidR="00510964" w:rsidRDefault="00510964" w:rsidP="00510964">
            <w:pPr>
              <w:ind w:left="40"/>
              <w:rPr>
                <w:sz w:val="20"/>
                <w:szCs w:val="20"/>
              </w:rPr>
            </w:pPr>
            <w:r>
              <w:rPr>
                <w:rFonts w:eastAsia="Times New Roman"/>
                <w:sz w:val="18"/>
                <w:szCs w:val="18"/>
              </w:rPr>
              <w:t>Surface Water or Groundwater under the Influence of Surface Water</w:t>
            </w:r>
          </w:p>
        </w:tc>
        <w:tc>
          <w:tcPr>
            <w:tcW w:w="1800" w:type="dxa"/>
            <w:tcBorders>
              <w:top w:val="single" w:sz="8" w:space="0" w:color="auto"/>
              <w:bottom w:val="single" w:sz="8" w:space="0" w:color="auto"/>
              <w:right w:val="single" w:sz="8" w:space="0" w:color="auto"/>
            </w:tcBorders>
            <w:vAlign w:val="center"/>
          </w:tcPr>
          <w:p w14:paraId="2819FDED" w14:textId="77777777" w:rsidR="00510964" w:rsidRDefault="00510964" w:rsidP="00510964">
            <w:pPr>
              <w:jc w:val="center"/>
              <w:rPr>
                <w:sz w:val="20"/>
                <w:szCs w:val="20"/>
              </w:rPr>
            </w:pPr>
            <w:r>
              <w:rPr>
                <w:rFonts w:eastAsia="Times New Roman"/>
                <w:sz w:val="18"/>
                <w:szCs w:val="18"/>
              </w:rPr>
              <w:t>&lt;500</w:t>
            </w:r>
          </w:p>
        </w:tc>
        <w:tc>
          <w:tcPr>
            <w:tcW w:w="1080" w:type="dxa"/>
            <w:tcBorders>
              <w:top w:val="single" w:sz="8" w:space="0" w:color="auto"/>
              <w:bottom w:val="single" w:sz="8" w:space="0" w:color="auto"/>
              <w:right w:val="single" w:sz="8" w:space="0" w:color="auto"/>
            </w:tcBorders>
            <w:vAlign w:val="center"/>
          </w:tcPr>
          <w:p w14:paraId="2819FDEE" w14:textId="77777777" w:rsidR="00510964" w:rsidRDefault="00510964" w:rsidP="00510964">
            <w:pPr>
              <w:jc w:val="center"/>
              <w:rPr>
                <w:sz w:val="20"/>
                <w:szCs w:val="20"/>
              </w:rPr>
            </w:pPr>
            <w:r>
              <w:rPr>
                <w:rFonts w:eastAsia="Times New Roman"/>
                <w:sz w:val="18"/>
                <w:szCs w:val="18"/>
              </w:rPr>
              <w:t>...................</w:t>
            </w:r>
          </w:p>
        </w:tc>
        <w:tc>
          <w:tcPr>
            <w:tcW w:w="4230" w:type="dxa"/>
            <w:tcBorders>
              <w:top w:val="single" w:sz="8" w:space="0" w:color="auto"/>
              <w:bottom w:val="single" w:sz="8" w:space="0" w:color="auto"/>
              <w:right w:val="single" w:sz="8" w:space="0" w:color="auto"/>
            </w:tcBorders>
            <w:vAlign w:val="center"/>
          </w:tcPr>
          <w:p w14:paraId="2819FDEF" w14:textId="77777777" w:rsidR="00510964" w:rsidRDefault="00510964" w:rsidP="00510964">
            <w:pPr>
              <w:ind w:left="40"/>
              <w:rPr>
                <w:sz w:val="20"/>
                <w:szCs w:val="20"/>
              </w:rPr>
            </w:pPr>
            <w:r>
              <w:rPr>
                <w:rFonts w:eastAsia="Times New Roman"/>
                <w:sz w:val="18"/>
                <w:szCs w:val="18"/>
              </w:rPr>
              <w:t>Monitoring may not be reduced.</w:t>
            </w:r>
          </w:p>
        </w:tc>
      </w:tr>
      <w:tr w:rsidR="00510964" w14:paraId="2819FE1C" w14:textId="77777777" w:rsidTr="00F64D59">
        <w:trPr>
          <w:trHeight w:val="1297"/>
        </w:trPr>
        <w:tc>
          <w:tcPr>
            <w:tcW w:w="3060" w:type="dxa"/>
            <w:vMerge/>
            <w:tcBorders>
              <w:left w:val="single" w:sz="8" w:space="0" w:color="auto"/>
              <w:bottom w:val="single" w:sz="8" w:space="0" w:color="auto"/>
              <w:right w:val="single" w:sz="8" w:space="0" w:color="auto"/>
            </w:tcBorders>
          </w:tcPr>
          <w:p w14:paraId="3E1DC445" w14:textId="77777777" w:rsidR="00510964" w:rsidRDefault="00510964">
            <w:pPr>
              <w:ind w:right="430"/>
              <w:jc w:val="right"/>
              <w:rPr>
                <w:rFonts w:eastAsia="Times New Roman"/>
                <w:sz w:val="18"/>
                <w:szCs w:val="18"/>
              </w:rPr>
            </w:pPr>
          </w:p>
        </w:tc>
        <w:tc>
          <w:tcPr>
            <w:tcW w:w="1800" w:type="dxa"/>
            <w:tcBorders>
              <w:top w:val="single" w:sz="8" w:space="0" w:color="auto"/>
              <w:left w:val="single" w:sz="8" w:space="0" w:color="auto"/>
              <w:bottom w:val="single" w:sz="8" w:space="0" w:color="auto"/>
              <w:right w:val="single" w:sz="8" w:space="0" w:color="auto"/>
            </w:tcBorders>
            <w:vAlign w:val="center"/>
          </w:tcPr>
          <w:p w14:paraId="2819FE18" w14:textId="08D3BD9C" w:rsidR="00510964" w:rsidRDefault="00510964" w:rsidP="00510964">
            <w:pPr>
              <w:ind w:right="144"/>
              <w:jc w:val="center"/>
              <w:rPr>
                <w:sz w:val="20"/>
                <w:szCs w:val="20"/>
              </w:rPr>
            </w:pPr>
            <w:r>
              <w:rPr>
                <w:rFonts w:eastAsia="Times New Roman"/>
                <w:sz w:val="18"/>
                <w:szCs w:val="18"/>
              </w:rPr>
              <w:t>500-3,300</w:t>
            </w:r>
          </w:p>
        </w:tc>
        <w:tc>
          <w:tcPr>
            <w:tcW w:w="1080" w:type="dxa"/>
            <w:tcBorders>
              <w:top w:val="single" w:sz="8" w:space="0" w:color="auto"/>
              <w:bottom w:val="single" w:sz="8" w:space="0" w:color="auto"/>
              <w:right w:val="single" w:sz="8" w:space="0" w:color="auto"/>
            </w:tcBorders>
            <w:vAlign w:val="center"/>
          </w:tcPr>
          <w:p w14:paraId="2819FE19" w14:textId="77777777" w:rsidR="00510964" w:rsidRDefault="00510964" w:rsidP="00510964">
            <w:pPr>
              <w:jc w:val="center"/>
              <w:rPr>
                <w:sz w:val="20"/>
                <w:szCs w:val="20"/>
              </w:rPr>
            </w:pPr>
            <w:r>
              <w:rPr>
                <w:rFonts w:eastAsia="Times New Roman"/>
                <w:sz w:val="18"/>
                <w:szCs w:val="18"/>
              </w:rPr>
              <w:t>Per year</w:t>
            </w:r>
          </w:p>
        </w:tc>
        <w:tc>
          <w:tcPr>
            <w:tcW w:w="4230" w:type="dxa"/>
            <w:tcBorders>
              <w:top w:val="single" w:sz="8" w:space="0" w:color="auto"/>
              <w:bottom w:val="single" w:sz="8" w:space="0" w:color="auto"/>
              <w:right w:val="single" w:sz="8" w:space="0" w:color="auto"/>
            </w:tcBorders>
          </w:tcPr>
          <w:p w14:paraId="2819FE1B" w14:textId="706FA799" w:rsidR="00510964" w:rsidRDefault="00510964" w:rsidP="00946048">
            <w:pPr>
              <w:ind w:left="40"/>
              <w:rPr>
                <w:sz w:val="20"/>
                <w:szCs w:val="20"/>
              </w:rPr>
            </w:pPr>
            <w:r>
              <w:rPr>
                <w:rFonts w:eastAsia="Times New Roman"/>
                <w:sz w:val="18"/>
                <w:szCs w:val="18"/>
              </w:rPr>
              <w:t>1</w:t>
            </w:r>
            <w:r w:rsidR="00946048">
              <w:rPr>
                <w:rFonts w:eastAsia="Times New Roman"/>
                <w:sz w:val="18"/>
                <w:szCs w:val="18"/>
              </w:rPr>
              <w:t xml:space="preserve"> </w:t>
            </w:r>
            <w:r>
              <w:rPr>
                <w:rFonts w:eastAsia="Times New Roman"/>
                <w:sz w:val="18"/>
                <w:szCs w:val="18"/>
              </w:rPr>
              <w:t>TTHM and 1 HAA5 sample:  one at the location</w:t>
            </w:r>
            <w:r w:rsidR="00946048">
              <w:rPr>
                <w:rFonts w:eastAsia="Times New Roman"/>
                <w:sz w:val="18"/>
                <w:szCs w:val="18"/>
              </w:rPr>
              <w:t xml:space="preserve"> </w:t>
            </w:r>
            <w:r>
              <w:rPr>
                <w:rFonts w:eastAsia="Times New Roman"/>
                <w:sz w:val="18"/>
                <w:szCs w:val="18"/>
              </w:rPr>
              <w:t>and during the quarter with the highest TTHM</w:t>
            </w:r>
            <w:r w:rsidR="00946048">
              <w:rPr>
                <w:rFonts w:eastAsia="Times New Roman"/>
                <w:sz w:val="18"/>
                <w:szCs w:val="18"/>
              </w:rPr>
              <w:t xml:space="preserve"> </w:t>
            </w:r>
            <w:r>
              <w:rPr>
                <w:rFonts w:eastAsia="Times New Roman"/>
                <w:sz w:val="18"/>
                <w:szCs w:val="18"/>
              </w:rPr>
              <w:t>single measurement, one at the location and during</w:t>
            </w:r>
            <w:r w:rsidR="00946048">
              <w:rPr>
                <w:rFonts w:eastAsia="Times New Roman"/>
                <w:sz w:val="18"/>
                <w:szCs w:val="18"/>
              </w:rPr>
              <w:t xml:space="preserve"> </w:t>
            </w:r>
            <w:r>
              <w:rPr>
                <w:rFonts w:eastAsia="Times New Roman"/>
                <w:sz w:val="18"/>
                <w:szCs w:val="18"/>
              </w:rPr>
              <w:t>the quarter with the highest HAA5 single</w:t>
            </w:r>
            <w:r w:rsidR="00946048">
              <w:rPr>
                <w:rFonts w:eastAsia="Times New Roman"/>
                <w:sz w:val="18"/>
                <w:szCs w:val="18"/>
              </w:rPr>
              <w:t xml:space="preserve"> </w:t>
            </w:r>
            <w:r>
              <w:rPr>
                <w:rFonts w:eastAsia="Times New Roman"/>
                <w:sz w:val="18"/>
                <w:szCs w:val="18"/>
              </w:rPr>
              <w:t>measurement; 1 Dual Sample Set per year if the</w:t>
            </w:r>
            <w:r w:rsidR="00946048">
              <w:rPr>
                <w:rFonts w:eastAsia="Times New Roman"/>
                <w:sz w:val="18"/>
                <w:szCs w:val="18"/>
              </w:rPr>
              <w:t xml:space="preserve"> </w:t>
            </w:r>
            <w:r>
              <w:rPr>
                <w:rFonts w:eastAsia="Times New Roman"/>
                <w:sz w:val="18"/>
                <w:szCs w:val="18"/>
              </w:rPr>
              <w:t>highest TTHM and HAA5 measurements occurred</w:t>
            </w:r>
            <w:r w:rsidR="00946048">
              <w:rPr>
                <w:rFonts w:eastAsia="Times New Roman"/>
                <w:sz w:val="18"/>
                <w:szCs w:val="18"/>
              </w:rPr>
              <w:t xml:space="preserve"> </w:t>
            </w:r>
            <w:r>
              <w:rPr>
                <w:rFonts w:eastAsia="Times New Roman"/>
                <w:sz w:val="18"/>
                <w:szCs w:val="18"/>
              </w:rPr>
              <w:t>at the same location and quarter.</w:t>
            </w:r>
          </w:p>
        </w:tc>
      </w:tr>
      <w:tr w:rsidR="00946048" w14:paraId="2819FE40" w14:textId="77777777" w:rsidTr="00F64D59">
        <w:trPr>
          <w:trHeight w:val="892"/>
        </w:trPr>
        <w:tc>
          <w:tcPr>
            <w:tcW w:w="3060" w:type="dxa"/>
            <w:vMerge/>
            <w:tcBorders>
              <w:left w:val="single" w:sz="8" w:space="0" w:color="auto"/>
              <w:bottom w:val="single" w:sz="8" w:space="0" w:color="auto"/>
              <w:right w:val="single" w:sz="8" w:space="0" w:color="auto"/>
            </w:tcBorders>
          </w:tcPr>
          <w:p w14:paraId="7BEA09B7" w14:textId="77777777" w:rsidR="00946048" w:rsidRDefault="00946048">
            <w:pPr>
              <w:jc w:val="right"/>
              <w:rPr>
                <w:rFonts w:eastAsia="Times New Roman"/>
                <w:sz w:val="18"/>
                <w:szCs w:val="18"/>
              </w:rPr>
            </w:pPr>
          </w:p>
        </w:tc>
        <w:tc>
          <w:tcPr>
            <w:tcW w:w="1800" w:type="dxa"/>
            <w:tcBorders>
              <w:top w:val="single" w:sz="8" w:space="0" w:color="auto"/>
              <w:left w:val="single" w:sz="8" w:space="0" w:color="auto"/>
              <w:right w:val="single" w:sz="8" w:space="0" w:color="auto"/>
            </w:tcBorders>
            <w:vAlign w:val="center"/>
          </w:tcPr>
          <w:p w14:paraId="2819FE3C" w14:textId="1946F766" w:rsidR="00946048" w:rsidRDefault="00946048" w:rsidP="00946048">
            <w:pPr>
              <w:jc w:val="center"/>
              <w:rPr>
                <w:sz w:val="20"/>
                <w:szCs w:val="20"/>
              </w:rPr>
            </w:pPr>
            <w:r>
              <w:rPr>
                <w:rFonts w:eastAsia="Times New Roman"/>
                <w:sz w:val="18"/>
                <w:szCs w:val="18"/>
              </w:rPr>
              <w:t>3,301 - 9,999</w:t>
            </w:r>
          </w:p>
        </w:tc>
        <w:tc>
          <w:tcPr>
            <w:tcW w:w="1080" w:type="dxa"/>
            <w:tcBorders>
              <w:top w:val="single" w:sz="8" w:space="0" w:color="auto"/>
              <w:left w:val="single" w:sz="8" w:space="0" w:color="auto"/>
              <w:right w:val="single" w:sz="8" w:space="0" w:color="auto"/>
            </w:tcBorders>
            <w:vAlign w:val="center"/>
          </w:tcPr>
          <w:p w14:paraId="2819FE3D" w14:textId="77777777" w:rsidR="00946048" w:rsidRDefault="00946048" w:rsidP="00510964">
            <w:pPr>
              <w:jc w:val="center"/>
              <w:rPr>
                <w:sz w:val="20"/>
                <w:szCs w:val="20"/>
              </w:rPr>
            </w:pPr>
            <w:r>
              <w:rPr>
                <w:rFonts w:eastAsia="Times New Roman"/>
                <w:sz w:val="18"/>
                <w:szCs w:val="18"/>
              </w:rPr>
              <w:t>Per year</w:t>
            </w:r>
          </w:p>
        </w:tc>
        <w:tc>
          <w:tcPr>
            <w:tcW w:w="4230" w:type="dxa"/>
            <w:tcBorders>
              <w:top w:val="single" w:sz="8" w:space="0" w:color="auto"/>
              <w:bottom w:val="single" w:sz="8" w:space="0" w:color="auto"/>
              <w:right w:val="single" w:sz="8" w:space="0" w:color="auto"/>
            </w:tcBorders>
          </w:tcPr>
          <w:p w14:paraId="2819FE3F" w14:textId="55508DEF" w:rsidR="00946048" w:rsidRDefault="00946048" w:rsidP="00946048">
            <w:pPr>
              <w:rPr>
                <w:sz w:val="20"/>
                <w:szCs w:val="20"/>
              </w:rPr>
            </w:pPr>
            <w:r>
              <w:rPr>
                <w:rFonts w:eastAsia="Times New Roman"/>
                <w:sz w:val="18"/>
                <w:szCs w:val="18"/>
              </w:rPr>
              <w:t>2 Dual Sample Sets: one at the location and during the quarter with the highest TTHM single measurement, one at the location and during the quarter with the highest HAA5 single measurement.</w:t>
            </w:r>
          </w:p>
        </w:tc>
      </w:tr>
      <w:tr w:rsidR="00946048" w14:paraId="2819FE55" w14:textId="77777777" w:rsidTr="00F64D59">
        <w:trPr>
          <w:trHeight w:val="424"/>
        </w:trPr>
        <w:tc>
          <w:tcPr>
            <w:tcW w:w="3060" w:type="dxa"/>
            <w:vMerge/>
            <w:tcBorders>
              <w:left w:val="single" w:sz="8" w:space="0" w:color="auto"/>
              <w:bottom w:val="single" w:sz="8" w:space="0" w:color="auto"/>
              <w:right w:val="single" w:sz="8" w:space="0" w:color="auto"/>
            </w:tcBorders>
          </w:tcPr>
          <w:p w14:paraId="57573456" w14:textId="77777777" w:rsidR="00946048" w:rsidRDefault="00946048">
            <w:pPr>
              <w:jc w:val="right"/>
              <w:rPr>
                <w:rFonts w:eastAsia="Times New Roman"/>
                <w:sz w:val="18"/>
                <w:szCs w:val="18"/>
              </w:rPr>
            </w:pPr>
          </w:p>
        </w:tc>
        <w:tc>
          <w:tcPr>
            <w:tcW w:w="1800" w:type="dxa"/>
            <w:tcBorders>
              <w:top w:val="single" w:sz="8" w:space="0" w:color="auto"/>
              <w:left w:val="single" w:sz="8" w:space="0" w:color="auto"/>
              <w:right w:val="single" w:sz="8" w:space="0" w:color="auto"/>
            </w:tcBorders>
            <w:vAlign w:val="center"/>
          </w:tcPr>
          <w:p w14:paraId="2819FE51" w14:textId="4158F6CF" w:rsidR="00946048" w:rsidRDefault="00946048" w:rsidP="00946048">
            <w:pPr>
              <w:jc w:val="center"/>
              <w:rPr>
                <w:sz w:val="20"/>
                <w:szCs w:val="20"/>
              </w:rPr>
            </w:pPr>
            <w:r>
              <w:rPr>
                <w:rFonts w:eastAsia="Times New Roman"/>
                <w:sz w:val="18"/>
                <w:szCs w:val="18"/>
              </w:rPr>
              <w:t>10,000 - 49,999</w:t>
            </w:r>
          </w:p>
        </w:tc>
        <w:tc>
          <w:tcPr>
            <w:tcW w:w="1080" w:type="dxa"/>
            <w:tcBorders>
              <w:top w:val="single" w:sz="8" w:space="0" w:color="auto"/>
              <w:left w:val="single" w:sz="8" w:space="0" w:color="auto"/>
              <w:bottom w:val="single" w:sz="8" w:space="0" w:color="auto"/>
              <w:right w:val="single" w:sz="8" w:space="0" w:color="auto"/>
            </w:tcBorders>
            <w:vAlign w:val="center"/>
          </w:tcPr>
          <w:p w14:paraId="2819FE52" w14:textId="77777777" w:rsidR="00946048" w:rsidRDefault="00946048" w:rsidP="00510964">
            <w:pPr>
              <w:jc w:val="center"/>
              <w:rPr>
                <w:sz w:val="20"/>
                <w:szCs w:val="20"/>
              </w:rPr>
            </w:pPr>
            <w:r>
              <w:rPr>
                <w:rFonts w:eastAsia="Times New Roman"/>
                <w:sz w:val="18"/>
                <w:szCs w:val="18"/>
              </w:rPr>
              <w:t>Per quarter</w:t>
            </w:r>
          </w:p>
        </w:tc>
        <w:tc>
          <w:tcPr>
            <w:tcW w:w="4230" w:type="dxa"/>
            <w:tcBorders>
              <w:top w:val="single" w:sz="8" w:space="0" w:color="auto"/>
              <w:bottom w:val="single" w:sz="8" w:space="0" w:color="auto"/>
              <w:right w:val="single" w:sz="8" w:space="0" w:color="auto"/>
            </w:tcBorders>
          </w:tcPr>
          <w:p w14:paraId="2819FE54" w14:textId="69948427" w:rsidR="00946048" w:rsidRDefault="00946048" w:rsidP="00946048">
            <w:pPr>
              <w:tabs>
                <w:tab w:val="left" w:pos="1250"/>
              </w:tabs>
              <w:ind w:left="40"/>
              <w:rPr>
                <w:sz w:val="20"/>
                <w:szCs w:val="20"/>
              </w:rPr>
            </w:pPr>
            <w:r>
              <w:rPr>
                <w:rFonts w:eastAsia="Times New Roman"/>
                <w:sz w:val="18"/>
                <w:szCs w:val="18"/>
              </w:rPr>
              <w:t>2 Dual Sample Sets at the locations with the highest TTHM and highest HAA5 LRAAs.</w:t>
            </w:r>
          </w:p>
        </w:tc>
      </w:tr>
      <w:tr w:rsidR="00946048" w14:paraId="2819FE5F" w14:textId="77777777" w:rsidTr="00F64D59">
        <w:trPr>
          <w:trHeight w:val="424"/>
        </w:trPr>
        <w:tc>
          <w:tcPr>
            <w:tcW w:w="3060" w:type="dxa"/>
            <w:vMerge/>
            <w:tcBorders>
              <w:left w:val="single" w:sz="8" w:space="0" w:color="auto"/>
              <w:bottom w:val="single" w:sz="8" w:space="0" w:color="auto"/>
              <w:right w:val="single" w:sz="8" w:space="0" w:color="auto"/>
            </w:tcBorders>
          </w:tcPr>
          <w:p w14:paraId="1CB41963" w14:textId="77777777" w:rsidR="00946048" w:rsidRDefault="00946048">
            <w:pPr>
              <w:ind w:right="190"/>
              <w:jc w:val="right"/>
              <w:rPr>
                <w:rFonts w:eastAsia="Times New Roman"/>
                <w:sz w:val="18"/>
                <w:szCs w:val="18"/>
              </w:rPr>
            </w:pPr>
          </w:p>
        </w:tc>
        <w:tc>
          <w:tcPr>
            <w:tcW w:w="1800" w:type="dxa"/>
            <w:tcBorders>
              <w:top w:val="single" w:sz="8" w:space="0" w:color="auto"/>
              <w:left w:val="single" w:sz="8" w:space="0" w:color="auto"/>
              <w:right w:val="single" w:sz="8" w:space="0" w:color="auto"/>
            </w:tcBorders>
            <w:vAlign w:val="center"/>
          </w:tcPr>
          <w:p w14:paraId="2819FE5B" w14:textId="52877A6C" w:rsidR="00946048" w:rsidRDefault="00946048" w:rsidP="00510964">
            <w:pPr>
              <w:ind w:right="190"/>
              <w:jc w:val="center"/>
              <w:rPr>
                <w:sz w:val="20"/>
                <w:szCs w:val="20"/>
              </w:rPr>
            </w:pPr>
            <w:r>
              <w:rPr>
                <w:rFonts w:eastAsia="Times New Roman"/>
                <w:sz w:val="18"/>
                <w:szCs w:val="18"/>
              </w:rPr>
              <w:t>50,000 - 249,999</w:t>
            </w:r>
          </w:p>
        </w:tc>
        <w:tc>
          <w:tcPr>
            <w:tcW w:w="1080" w:type="dxa"/>
            <w:tcBorders>
              <w:top w:val="single" w:sz="8" w:space="0" w:color="auto"/>
              <w:right w:val="single" w:sz="8" w:space="0" w:color="auto"/>
            </w:tcBorders>
            <w:vAlign w:val="center"/>
          </w:tcPr>
          <w:p w14:paraId="2819FE5C" w14:textId="77777777" w:rsidR="00946048" w:rsidRDefault="00946048" w:rsidP="00510964">
            <w:pPr>
              <w:jc w:val="center"/>
              <w:rPr>
                <w:sz w:val="20"/>
                <w:szCs w:val="20"/>
              </w:rPr>
            </w:pPr>
            <w:r>
              <w:rPr>
                <w:rFonts w:eastAsia="Times New Roman"/>
                <w:sz w:val="18"/>
                <w:szCs w:val="18"/>
              </w:rPr>
              <w:t>Per quarter</w:t>
            </w:r>
          </w:p>
        </w:tc>
        <w:tc>
          <w:tcPr>
            <w:tcW w:w="4230" w:type="dxa"/>
            <w:tcBorders>
              <w:top w:val="single" w:sz="8" w:space="0" w:color="auto"/>
              <w:bottom w:val="single" w:sz="8" w:space="0" w:color="auto"/>
              <w:right w:val="single" w:sz="8" w:space="0" w:color="auto"/>
            </w:tcBorders>
          </w:tcPr>
          <w:p w14:paraId="2819FE5E" w14:textId="7CB1D056" w:rsidR="00946048" w:rsidRDefault="00946048" w:rsidP="00946048">
            <w:pPr>
              <w:ind w:left="40"/>
              <w:rPr>
                <w:sz w:val="20"/>
                <w:szCs w:val="20"/>
              </w:rPr>
            </w:pPr>
            <w:r>
              <w:rPr>
                <w:rFonts w:eastAsia="Times New Roman"/>
                <w:sz w:val="18"/>
                <w:szCs w:val="18"/>
              </w:rPr>
              <w:t>4 Dual Sample Sets at the locations with the two highest TTHM and two highest HAA5 LRAAs.</w:t>
            </w:r>
          </w:p>
        </w:tc>
      </w:tr>
      <w:tr w:rsidR="00946048" w14:paraId="2819FE6A" w14:textId="77777777" w:rsidTr="00F64D59">
        <w:trPr>
          <w:trHeight w:val="442"/>
        </w:trPr>
        <w:tc>
          <w:tcPr>
            <w:tcW w:w="3060" w:type="dxa"/>
            <w:vMerge/>
            <w:tcBorders>
              <w:left w:val="single" w:sz="8" w:space="0" w:color="auto"/>
              <w:bottom w:val="single" w:sz="8" w:space="0" w:color="auto"/>
              <w:right w:val="single" w:sz="8" w:space="0" w:color="auto"/>
            </w:tcBorders>
          </w:tcPr>
          <w:p w14:paraId="74B18E22" w14:textId="77777777" w:rsidR="00946048" w:rsidRDefault="00946048">
            <w:pPr>
              <w:jc w:val="right"/>
              <w:rPr>
                <w:rFonts w:eastAsia="Times New Roman"/>
                <w:sz w:val="18"/>
                <w:szCs w:val="18"/>
              </w:rPr>
            </w:pPr>
          </w:p>
        </w:tc>
        <w:tc>
          <w:tcPr>
            <w:tcW w:w="1800" w:type="dxa"/>
            <w:tcBorders>
              <w:top w:val="single" w:sz="8" w:space="0" w:color="auto"/>
              <w:left w:val="single" w:sz="8" w:space="0" w:color="auto"/>
              <w:bottom w:val="single" w:sz="8" w:space="0" w:color="auto"/>
              <w:right w:val="single" w:sz="8" w:space="0" w:color="auto"/>
            </w:tcBorders>
            <w:vAlign w:val="center"/>
          </w:tcPr>
          <w:p w14:paraId="2819FE66" w14:textId="7B832C61" w:rsidR="00946048" w:rsidRDefault="00946048" w:rsidP="00946048">
            <w:pPr>
              <w:jc w:val="center"/>
              <w:rPr>
                <w:sz w:val="20"/>
                <w:szCs w:val="20"/>
              </w:rPr>
            </w:pPr>
            <w:r>
              <w:rPr>
                <w:rFonts w:eastAsia="Times New Roman"/>
                <w:sz w:val="18"/>
                <w:szCs w:val="18"/>
              </w:rPr>
              <w:t>250,000 - 999,999</w:t>
            </w:r>
          </w:p>
        </w:tc>
        <w:tc>
          <w:tcPr>
            <w:tcW w:w="1080" w:type="dxa"/>
            <w:tcBorders>
              <w:top w:val="single" w:sz="8" w:space="0" w:color="auto"/>
              <w:left w:val="single" w:sz="8" w:space="0" w:color="auto"/>
              <w:bottom w:val="single" w:sz="8" w:space="0" w:color="auto"/>
              <w:right w:val="single" w:sz="8" w:space="0" w:color="auto"/>
            </w:tcBorders>
            <w:vAlign w:val="center"/>
          </w:tcPr>
          <w:p w14:paraId="2819FE67" w14:textId="77777777" w:rsidR="00946048" w:rsidRDefault="00946048" w:rsidP="00510964">
            <w:pPr>
              <w:jc w:val="center"/>
              <w:rPr>
                <w:sz w:val="20"/>
                <w:szCs w:val="20"/>
              </w:rPr>
            </w:pPr>
            <w:r>
              <w:rPr>
                <w:rFonts w:eastAsia="Times New Roman"/>
                <w:sz w:val="18"/>
                <w:szCs w:val="18"/>
              </w:rPr>
              <w:t>Per quarter</w:t>
            </w:r>
          </w:p>
        </w:tc>
        <w:tc>
          <w:tcPr>
            <w:tcW w:w="4230" w:type="dxa"/>
            <w:tcBorders>
              <w:top w:val="single" w:sz="8" w:space="0" w:color="auto"/>
              <w:bottom w:val="single" w:sz="8" w:space="0" w:color="auto"/>
              <w:right w:val="single" w:sz="8" w:space="0" w:color="auto"/>
            </w:tcBorders>
          </w:tcPr>
          <w:p w14:paraId="2819FE69" w14:textId="4DEA272A" w:rsidR="00946048" w:rsidRDefault="00946048" w:rsidP="00946048">
            <w:pPr>
              <w:ind w:left="40"/>
              <w:rPr>
                <w:sz w:val="20"/>
                <w:szCs w:val="20"/>
              </w:rPr>
            </w:pPr>
            <w:r>
              <w:rPr>
                <w:rFonts w:eastAsia="Times New Roman"/>
                <w:sz w:val="18"/>
                <w:szCs w:val="18"/>
              </w:rPr>
              <w:t>6 Dual Sample Sets at the locations with the three highest TTHM and three highest HAA5 LRAAs.</w:t>
            </w:r>
          </w:p>
        </w:tc>
      </w:tr>
      <w:tr w:rsidR="00F64D59" w14:paraId="2819FE75" w14:textId="77777777" w:rsidTr="00B115E0">
        <w:trPr>
          <w:trHeight w:val="424"/>
        </w:trPr>
        <w:tc>
          <w:tcPr>
            <w:tcW w:w="3060" w:type="dxa"/>
            <w:vMerge/>
            <w:tcBorders>
              <w:left w:val="single" w:sz="8" w:space="0" w:color="auto"/>
              <w:bottom w:val="single" w:sz="8" w:space="0" w:color="auto"/>
              <w:right w:val="single" w:sz="8" w:space="0" w:color="auto"/>
            </w:tcBorders>
          </w:tcPr>
          <w:p w14:paraId="333141AD" w14:textId="77777777" w:rsidR="00F64D59" w:rsidRDefault="00F64D59">
            <w:pPr>
              <w:jc w:val="right"/>
              <w:rPr>
                <w:rFonts w:eastAsia="Times New Roman"/>
                <w:sz w:val="18"/>
                <w:szCs w:val="18"/>
              </w:rPr>
            </w:pPr>
          </w:p>
        </w:tc>
        <w:tc>
          <w:tcPr>
            <w:tcW w:w="1800" w:type="dxa"/>
            <w:tcBorders>
              <w:top w:val="single" w:sz="8" w:space="0" w:color="auto"/>
              <w:left w:val="single" w:sz="8" w:space="0" w:color="auto"/>
              <w:bottom w:val="single" w:sz="8" w:space="0" w:color="auto"/>
              <w:right w:val="single" w:sz="8" w:space="0" w:color="auto"/>
            </w:tcBorders>
            <w:vAlign w:val="center"/>
          </w:tcPr>
          <w:p w14:paraId="2819FE71" w14:textId="67AE5050" w:rsidR="00F64D59" w:rsidRDefault="00F64D59" w:rsidP="00946048">
            <w:pPr>
              <w:jc w:val="center"/>
              <w:rPr>
                <w:sz w:val="20"/>
                <w:szCs w:val="20"/>
              </w:rPr>
            </w:pPr>
            <w:r>
              <w:rPr>
                <w:rFonts w:eastAsia="Times New Roman"/>
                <w:sz w:val="18"/>
                <w:szCs w:val="18"/>
              </w:rPr>
              <w:t>1,000,000 - 4,999,999</w:t>
            </w:r>
          </w:p>
        </w:tc>
        <w:tc>
          <w:tcPr>
            <w:tcW w:w="1080" w:type="dxa"/>
            <w:tcBorders>
              <w:top w:val="single" w:sz="8" w:space="0" w:color="auto"/>
              <w:left w:val="single" w:sz="8" w:space="0" w:color="auto"/>
              <w:bottom w:val="single" w:sz="8" w:space="0" w:color="auto"/>
              <w:right w:val="single" w:sz="8" w:space="0" w:color="auto"/>
            </w:tcBorders>
            <w:vAlign w:val="center"/>
          </w:tcPr>
          <w:p w14:paraId="2819FE72" w14:textId="77777777" w:rsidR="00F64D59" w:rsidRDefault="00F64D59" w:rsidP="00510964">
            <w:pPr>
              <w:jc w:val="center"/>
              <w:rPr>
                <w:sz w:val="20"/>
                <w:szCs w:val="20"/>
              </w:rPr>
            </w:pPr>
            <w:r>
              <w:rPr>
                <w:rFonts w:eastAsia="Times New Roman"/>
                <w:sz w:val="18"/>
                <w:szCs w:val="18"/>
              </w:rPr>
              <w:t>Per quarter</w:t>
            </w:r>
          </w:p>
        </w:tc>
        <w:tc>
          <w:tcPr>
            <w:tcW w:w="4230" w:type="dxa"/>
            <w:tcBorders>
              <w:top w:val="single" w:sz="8" w:space="0" w:color="auto"/>
              <w:bottom w:val="single" w:sz="8" w:space="0" w:color="auto"/>
              <w:right w:val="single" w:sz="8" w:space="0" w:color="auto"/>
            </w:tcBorders>
          </w:tcPr>
          <w:p w14:paraId="2819FE74" w14:textId="155846D4" w:rsidR="00F64D59" w:rsidRDefault="00F64D59" w:rsidP="00F64D59">
            <w:pPr>
              <w:ind w:left="40"/>
              <w:rPr>
                <w:sz w:val="20"/>
                <w:szCs w:val="20"/>
              </w:rPr>
            </w:pPr>
            <w:r>
              <w:rPr>
                <w:rFonts w:eastAsia="Times New Roman"/>
                <w:sz w:val="18"/>
                <w:szCs w:val="18"/>
              </w:rPr>
              <w:t>8 Dual Sample Sets at the locations with the four highest TTHM and four highest HAA5 LRAAs.</w:t>
            </w:r>
          </w:p>
        </w:tc>
      </w:tr>
      <w:tr w:rsidR="00B115E0" w14:paraId="2819FE86" w14:textId="77777777" w:rsidTr="00B115E0">
        <w:trPr>
          <w:trHeight w:val="1324"/>
        </w:trPr>
        <w:tc>
          <w:tcPr>
            <w:tcW w:w="3060" w:type="dxa"/>
            <w:vMerge w:val="restart"/>
            <w:tcBorders>
              <w:top w:val="single" w:sz="8" w:space="0" w:color="auto"/>
              <w:left w:val="single" w:sz="8" w:space="0" w:color="auto"/>
              <w:bottom w:val="single" w:sz="8" w:space="0" w:color="auto"/>
              <w:right w:val="single" w:sz="8" w:space="0" w:color="auto"/>
            </w:tcBorders>
          </w:tcPr>
          <w:p w14:paraId="2F5CAC18" w14:textId="5CFBB780" w:rsidR="00B115E0" w:rsidRDefault="00B115E0" w:rsidP="00510964">
            <w:pPr>
              <w:rPr>
                <w:rFonts w:eastAsia="Times New Roman"/>
                <w:sz w:val="18"/>
                <w:szCs w:val="18"/>
              </w:rPr>
            </w:pPr>
            <w:r>
              <w:rPr>
                <w:rFonts w:eastAsia="Times New Roman"/>
                <w:sz w:val="18"/>
                <w:szCs w:val="18"/>
              </w:rPr>
              <w:t>Groundwater</w:t>
            </w:r>
          </w:p>
        </w:tc>
        <w:tc>
          <w:tcPr>
            <w:tcW w:w="1800" w:type="dxa"/>
            <w:tcBorders>
              <w:top w:val="single" w:sz="8" w:space="0" w:color="auto"/>
              <w:left w:val="single" w:sz="8" w:space="0" w:color="auto"/>
              <w:bottom w:val="single" w:sz="8" w:space="0" w:color="auto"/>
              <w:right w:val="single" w:sz="8" w:space="0" w:color="auto"/>
            </w:tcBorders>
            <w:vAlign w:val="center"/>
          </w:tcPr>
          <w:p w14:paraId="2819FE83" w14:textId="2BD1EC22" w:rsidR="00B115E0" w:rsidRDefault="00B115E0" w:rsidP="00510964">
            <w:pPr>
              <w:jc w:val="center"/>
              <w:rPr>
                <w:sz w:val="20"/>
                <w:szCs w:val="20"/>
              </w:rPr>
            </w:pPr>
            <w:r>
              <w:rPr>
                <w:rFonts w:eastAsia="Times New Roman"/>
                <w:sz w:val="18"/>
                <w:szCs w:val="18"/>
              </w:rPr>
              <w:t>&lt;500</w:t>
            </w:r>
          </w:p>
        </w:tc>
        <w:tc>
          <w:tcPr>
            <w:tcW w:w="1080" w:type="dxa"/>
            <w:tcBorders>
              <w:top w:val="single" w:sz="8" w:space="0" w:color="auto"/>
              <w:bottom w:val="single" w:sz="8" w:space="0" w:color="auto"/>
              <w:right w:val="single" w:sz="8" w:space="0" w:color="auto"/>
            </w:tcBorders>
            <w:vAlign w:val="center"/>
          </w:tcPr>
          <w:p w14:paraId="2819FE84" w14:textId="395D874D" w:rsidR="00B115E0" w:rsidRDefault="00B115E0" w:rsidP="00F64D59">
            <w:pPr>
              <w:jc w:val="center"/>
              <w:rPr>
                <w:sz w:val="20"/>
                <w:szCs w:val="20"/>
              </w:rPr>
            </w:pPr>
            <w:r>
              <w:rPr>
                <w:rFonts w:eastAsia="Times New Roman"/>
                <w:sz w:val="18"/>
                <w:szCs w:val="18"/>
              </w:rPr>
              <w:t>Every third year</w:t>
            </w:r>
          </w:p>
        </w:tc>
        <w:tc>
          <w:tcPr>
            <w:tcW w:w="4230" w:type="dxa"/>
            <w:tcBorders>
              <w:top w:val="single" w:sz="8" w:space="0" w:color="auto"/>
              <w:bottom w:val="single" w:sz="8" w:space="0" w:color="auto"/>
              <w:right w:val="single" w:sz="8" w:space="0" w:color="auto"/>
            </w:tcBorders>
          </w:tcPr>
          <w:p w14:paraId="2819FE85" w14:textId="30CA2827" w:rsidR="00B115E0" w:rsidRDefault="00B115E0" w:rsidP="00B115E0">
            <w:pPr>
              <w:ind w:left="40"/>
              <w:rPr>
                <w:sz w:val="20"/>
                <w:szCs w:val="20"/>
              </w:rPr>
            </w:pPr>
            <w:r>
              <w:rPr>
                <w:rFonts w:eastAsia="Times New Roman"/>
                <w:sz w:val="18"/>
                <w:szCs w:val="18"/>
              </w:rPr>
              <w:t>1 TTHM and 1 HAA5 sample:  one at the location and during the quarter with the highest TTHM single measurement, one at the location and during the quarter with the highest HAA5 single measurement; 1 Dual Sample Set per year if the highest TTHM and HAA5 measurements occurred at the same location and quarter.</w:t>
            </w:r>
          </w:p>
        </w:tc>
      </w:tr>
      <w:tr w:rsidR="00B115E0" w14:paraId="2819FEA2" w14:textId="77777777" w:rsidTr="00B115E0">
        <w:trPr>
          <w:trHeight w:val="1342"/>
        </w:trPr>
        <w:tc>
          <w:tcPr>
            <w:tcW w:w="3060" w:type="dxa"/>
            <w:vMerge/>
            <w:tcBorders>
              <w:left w:val="single" w:sz="8" w:space="0" w:color="auto"/>
              <w:bottom w:val="single" w:sz="8" w:space="0" w:color="auto"/>
              <w:right w:val="single" w:sz="8" w:space="0" w:color="auto"/>
            </w:tcBorders>
          </w:tcPr>
          <w:p w14:paraId="18FD82AB" w14:textId="77777777" w:rsidR="00B115E0" w:rsidRDefault="00B115E0">
            <w:pPr>
              <w:jc w:val="center"/>
              <w:rPr>
                <w:rFonts w:eastAsia="Times New Roman"/>
                <w:sz w:val="18"/>
                <w:szCs w:val="18"/>
              </w:rPr>
            </w:pPr>
          </w:p>
        </w:tc>
        <w:tc>
          <w:tcPr>
            <w:tcW w:w="1800" w:type="dxa"/>
            <w:tcBorders>
              <w:top w:val="single" w:sz="8" w:space="0" w:color="auto"/>
              <w:left w:val="single" w:sz="8" w:space="0" w:color="auto"/>
              <w:bottom w:val="single" w:sz="8" w:space="0" w:color="auto"/>
              <w:right w:val="single" w:sz="8" w:space="0" w:color="auto"/>
            </w:tcBorders>
            <w:vAlign w:val="center"/>
          </w:tcPr>
          <w:p w14:paraId="2819FE9F" w14:textId="374D2845" w:rsidR="00B115E0" w:rsidRDefault="00B115E0" w:rsidP="00510964">
            <w:pPr>
              <w:jc w:val="center"/>
              <w:rPr>
                <w:sz w:val="20"/>
                <w:szCs w:val="20"/>
              </w:rPr>
            </w:pPr>
            <w:r>
              <w:rPr>
                <w:rFonts w:eastAsia="Times New Roman"/>
                <w:sz w:val="18"/>
                <w:szCs w:val="18"/>
              </w:rPr>
              <w:t>500 - 9,999</w:t>
            </w:r>
          </w:p>
        </w:tc>
        <w:tc>
          <w:tcPr>
            <w:tcW w:w="1080" w:type="dxa"/>
            <w:tcBorders>
              <w:top w:val="single" w:sz="8" w:space="0" w:color="auto"/>
              <w:bottom w:val="single" w:sz="8" w:space="0" w:color="auto"/>
              <w:right w:val="single" w:sz="8" w:space="0" w:color="auto"/>
            </w:tcBorders>
            <w:vAlign w:val="center"/>
          </w:tcPr>
          <w:p w14:paraId="2819FEA0" w14:textId="77777777" w:rsidR="00B115E0" w:rsidRDefault="00B115E0" w:rsidP="00510964">
            <w:pPr>
              <w:jc w:val="center"/>
              <w:rPr>
                <w:sz w:val="20"/>
                <w:szCs w:val="20"/>
              </w:rPr>
            </w:pPr>
            <w:r>
              <w:rPr>
                <w:rFonts w:eastAsia="Times New Roman"/>
                <w:sz w:val="18"/>
                <w:szCs w:val="18"/>
              </w:rPr>
              <w:t>Per year</w:t>
            </w:r>
          </w:p>
        </w:tc>
        <w:tc>
          <w:tcPr>
            <w:tcW w:w="4230" w:type="dxa"/>
            <w:tcBorders>
              <w:top w:val="single" w:sz="8" w:space="0" w:color="auto"/>
              <w:bottom w:val="single" w:sz="8" w:space="0" w:color="auto"/>
              <w:right w:val="single" w:sz="8" w:space="0" w:color="auto"/>
            </w:tcBorders>
          </w:tcPr>
          <w:p w14:paraId="2819FEA1" w14:textId="0644FB20" w:rsidR="00B115E0" w:rsidRDefault="00B115E0" w:rsidP="00B115E0">
            <w:pPr>
              <w:ind w:left="40"/>
              <w:rPr>
                <w:sz w:val="20"/>
                <w:szCs w:val="20"/>
              </w:rPr>
            </w:pPr>
            <w:r>
              <w:rPr>
                <w:rFonts w:eastAsia="Times New Roman"/>
                <w:sz w:val="18"/>
                <w:szCs w:val="18"/>
              </w:rPr>
              <w:t>1 TTHM and 1 HAA5 sample:  one at the location and during the quarter with the highest TTHM single measurement, one at the location and during the quarter with the highest HAA5 single measurement; 1 Dual Sample Set per year if the highest TTHM and HAA5 measurements occurred at the same location and quarter.</w:t>
            </w:r>
          </w:p>
        </w:tc>
      </w:tr>
      <w:tr w:rsidR="00B115E0" w14:paraId="2819FEBE" w14:textId="77777777" w:rsidTr="00B115E0">
        <w:trPr>
          <w:trHeight w:val="874"/>
        </w:trPr>
        <w:tc>
          <w:tcPr>
            <w:tcW w:w="3060" w:type="dxa"/>
            <w:vMerge/>
            <w:tcBorders>
              <w:left w:val="single" w:sz="8" w:space="0" w:color="auto"/>
              <w:bottom w:val="single" w:sz="8" w:space="0" w:color="auto"/>
              <w:right w:val="single" w:sz="8" w:space="0" w:color="auto"/>
            </w:tcBorders>
          </w:tcPr>
          <w:p w14:paraId="5281D892" w14:textId="77777777" w:rsidR="00B115E0" w:rsidRDefault="00B115E0">
            <w:pPr>
              <w:jc w:val="center"/>
              <w:rPr>
                <w:rFonts w:eastAsia="Times New Roman"/>
                <w:sz w:val="18"/>
                <w:szCs w:val="18"/>
              </w:rPr>
            </w:pPr>
          </w:p>
        </w:tc>
        <w:tc>
          <w:tcPr>
            <w:tcW w:w="1800" w:type="dxa"/>
            <w:tcBorders>
              <w:top w:val="single" w:sz="8" w:space="0" w:color="auto"/>
              <w:left w:val="single" w:sz="8" w:space="0" w:color="auto"/>
              <w:bottom w:val="single" w:sz="8" w:space="0" w:color="auto"/>
              <w:right w:val="single" w:sz="8" w:space="0" w:color="auto"/>
            </w:tcBorders>
            <w:vAlign w:val="center"/>
          </w:tcPr>
          <w:p w14:paraId="2819FEBB" w14:textId="05A14C8E" w:rsidR="00B115E0" w:rsidRDefault="00B115E0" w:rsidP="00510964">
            <w:pPr>
              <w:jc w:val="center"/>
              <w:rPr>
                <w:sz w:val="20"/>
                <w:szCs w:val="20"/>
              </w:rPr>
            </w:pPr>
            <w:r>
              <w:rPr>
                <w:rFonts w:eastAsia="Times New Roman"/>
                <w:sz w:val="18"/>
                <w:szCs w:val="18"/>
              </w:rPr>
              <w:t>10,000 - 99,999</w:t>
            </w:r>
          </w:p>
        </w:tc>
        <w:tc>
          <w:tcPr>
            <w:tcW w:w="1080" w:type="dxa"/>
            <w:tcBorders>
              <w:top w:val="single" w:sz="8" w:space="0" w:color="auto"/>
              <w:bottom w:val="single" w:sz="8" w:space="0" w:color="auto"/>
              <w:right w:val="single" w:sz="8" w:space="0" w:color="auto"/>
            </w:tcBorders>
            <w:vAlign w:val="center"/>
          </w:tcPr>
          <w:p w14:paraId="2819FEBC" w14:textId="77777777" w:rsidR="00B115E0" w:rsidRDefault="00B115E0" w:rsidP="00510964">
            <w:pPr>
              <w:jc w:val="center"/>
              <w:rPr>
                <w:sz w:val="20"/>
                <w:szCs w:val="20"/>
              </w:rPr>
            </w:pPr>
            <w:r>
              <w:rPr>
                <w:rFonts w:eastAsia="Times New Roman"/>
                <w:sz w:val="18"/>
                <w:szCs w:val="18"/>
              </w:rPr>
              <w:t>Per year</w:t>
            </w:r>
          </w:p>
        </w:tc>
        <w:tc>
          <w:tcPr>
            <w:tcW w:w="4230" w:type="dxa"/>
            <w:tcBorders>
              <w:top w:val="single" w:sz="8" w:space="0" w:color="auto"/>
              <w:bottom w:val="single" w:sz="8" w:space="0" w:color="auto"/>
              <w:right w:val="single" w:sz="8" w:space="0" w:color="auto"/>
            </w:tcBorders>
          </w:tcPr>
          <w:p w14:paraId="2819FEBD" w14:textId="6732AEF3" w:rsidR="00B115E0" w:rsidRDefault="00B115E0" w:rsidP="00B115E0">
            <w:pPr>
              <w:ind w:left="40"/>
              <w:rPr>
                <w:sz w:val="20"/>
                <w:szCs w:val="20"/>
              </w:rPr>
            </w:pPr>
            <w:r>
              <w:rPr>
                <w:rFonts w:eastAsia="Times New Roman"/>
                <w:sz w:val="18"/>
                <w:szCs w:val="18"/>
              </w:rPr>
              <w:t>2 Dual Sample Sets: one at the location and during the quarter with the highest TTHM single measurement, one at the location and during the quarter with the highest HAA5 single measurement.</w:t>
            </w:r>
          </w:p>
        </w:tc>
      </w:tr>
      <w:tr w:rsidR="00B115E0" w14:paraId="2819FECE" w14:textId="77777777" w:rsidTr="00B115E0">
        <w:trPr>
          <w:trHeight w:val="546"/>
        </w:trPr>
        <w:tc>
          <w:tcPr>
            <w:tcW w:w="3060" w:type="dxa"/>
            <w:vMerge/>
            <w:tcBorders>
              <w:left w:val="single" w:sz="8" w:space="0" w:color="auto"/>
              <w:bottom w:val="single" w:sz="8" w:space="0" w:color="auto"/>
              <w:right w:val="single" w:sz="8" w:space="0" w:color="auto"/>
            </w:tcBorders>
          </w:tcPr>
          <w:p w14:paraId="08C41B61" w14:textId="77777777" w:rsidR="00B115E0" w:rsidRDefault="00B115E0">
            <w:pPr>
              <w:jc w:val="center"/>
              <w:rPr>
                <w:rFonts w:eastAsia="Times New Roman"/>
                <w:sz w:val="18"/>
                <w:szCs w:val="18"/>
              </w:rPr>
            </w:pPr>
          </w:p>
        </w:tc>
        <w:tc>
          <w:tcPr>
            <w:tcW w:w="1800" w:type="dxa"/>
            <w:tcBorders>
              <w:top w:val="single" w:sz="8" w:space="0" w:color="auto"/>
              <w:left w:val="single" w:sz="8" w:space="0" w:color="auto"/>
              <w:bottom w:val="single" w:sz="8" w:space="0" w:color="auto"/>
              <w:right w:val="single" w:sz="8" w:space="0" w:color="auto"/>
            </w:tcBorders>
            <w:vAlign w:val="center"/>
          </w:tcPr>
          <w:p w14:paraId="2819FECB" w14:textId="1AFB6EEF" w:rsidR="00B115E0" w:rsidRDefault="00B115E0" w:rsidP="00510964">
            <w:pPr>
              <w:jc w:val="center"/>
              <w:rPr>
                <w:sz w:val="20"/>
                <w:szCs w:val="20"/>
              </w:rPr>
            </w:pPr>
            <w:r>
              <w:rPr>
                <w:rFonts w:eastAsia="Times New Roman"/>
                <w:sz w:val="18"/>
                <w:szCs w:val="18"/>
              </w:rPr>
              <w:t>100,000 - 499,999</w:t>
            </w:r>
          </w:p>
        </w:tc>
        <w:tc>
          <w:tcPr>
            <w:tcW w:w="1080" w:type="dxa"/>
            <w:tcBorders>
              <w:top w:val="single" w:sz="8" w:space="0" w:color="auto"/>
              <w:bottom w:val="single" w:sz="8" w:space="0" w:color="auto"/>
              <w:right w:val="single" w:sz="8" w:space="0" w:color="auto"/>
            </w:tcBorders>
            <w:vAlign w:val="center"/>
          </w:tcPr>
          <w:p w14:paraId="2819FECC" w14:textId="77777777" w:rsidR="00B115E0" w:rsidRDefault="00B115E0" w:rsidP="00510964">
            <w:pPr>
              <w:jc w:val="center"/>
              <w:rPr>
                <w:sz w:val="20"/>
                <w:szCs w:val="20"/>
              </w:rPr>
            </w:pPr>
            <w:r>
              <w:rPr>
                <w:rFonts w:eastAsia="Times New Roman"/>
                <w:sz w:val="18"/>
                <w:szCs w:val="18"/>
              </w:rPr>
              <w:t>Per quarter</w:t>
            </w:r>
          </w:p>
        </w:tc>
        <w:tc>
          <w:tcPr>
            <w:tcW w:w="4230" w:type="dxa"/>
            <w:tcBorders>
              <w:top w:val="single" w:sz="8" w:space="0" w:color="auto"/>
              <w:bottom w:val="single" w:sz="8" w:space="0" w:color="auto"/>
              <w:right w:val="single" w:sz="8" w:space="0" w:color="auto"/>
            </w:tcBorders>
          </w:tcPr>
          <w:p w14:paraId="2819FECD" w14:textId="1B5B0428" w:rsidR="00B115E0" w:rsidRDefault="00B115E0" w:rsidP="00B115E0">
            <w:pPr>
              <w:ind w:left="40"/>
              <w:rPr>
                <w:sz w:val="20"/>
                <w:szCs w:val="20"/>
              </w:rPr>
            </w:pPr>
            <w:r>
              <w:rPr>
                <w:rFonts w:eastAsia="Times New Roman"/>
                <w:sz w:val="18"/>
                <w:szCs w:val="18"/>
              </w:rPr>
              <w:t>2 Dual Sample Sets at the locations with the highest TTHM and highest HAA5 LRAAs.</w:t>
            </w:r>
          </w:p>
        </w:tc>
      </w:tr>
      <w:tr w:rsidR="00B115E0" w14:paraId="1EE3D7DD" w14:textId="77777777" w:rsidTr="00B115E0">
        <w:trPr>
          <w:trHeight w:val="546"/>
        </w:trPr>
        <w:tc>
          <w:tcPr>
            <w:tcW w:w="3060" w:type="dxa"/>
            <w:vMerge/>
            <w:tcBorders>
              <w:left w:val="single" w:sz="8" w:space="0" w:color="auto"/>
              <w:bottom w:val="single" w:sz="8" w:space="0" w:color="auto"/>
              <w:right w:val="single" w:sz="8" w:space="0" w:color="auto"/>
            </w:tcBorders>
          </w:tcPr>
          <w:p w14:paraId="277ED4E3" w14:textId="77777777" w:rsidR="00B115E0" w:rsidRDefault="00B115E0">
            <w:pPr>
              <w:jc w:val="center"/>
              <w:rPr>
                <w:rFonts w:eastAsia="Times New Roman"/>
                <w:sz w:val="18"/>
                <w:szCs w:val="18"/>
              </w:rPr>
            </w:pPr>
          </w:p>
        </w:tc>
        <w:tc>
          <w:tcPr>
            <w:tcW w:w="1800" w:type="dxa"/>
            <w:tcBorders>
              <w:top w:val="single" w:sz="8" w:space="0" w:color="auto"/>
              <w:left w:val="single" w:sz="8" w:space="0" w:color="auto"/>
              <w:bottom w:val="single" w:sz="8" w:space="0" w:color="auto"/>
              <w:right w:val="single" w:sz="8" w:space="0" w:color="auto"/>
            </w:tcBorders>
            <w:vAlign w:val="center"/>
          </w:tcPr>
          <w:p w14:paraId="47B9CAED" w14:textId="136CACEA" w:rsidR="00B115E0" w:rsidRDefault="00B115E0" w:rsidP="00510964">
            <w:pPr>
              <w:jc w:val="center"/>
              <w:rPr>
                <w:rFonts w:eastAsia="Times New Roman"/>
                <w:sz w:val="18"/>
                <w:szCs w:val="18"/>
              </w:rPr>
            </w:pPr>
            <w:r>
              <w:rPr>
                <w:rFonts w:eastAsia="Times New Roman"/>
                <w:sz w:val="18"/>
                <w:szCs w:val="18"/>
                <w:u w:val="single"/>
              </w:rPr>
              <w:t>&gt;</w:t>
            </w:r>
            <w:r>
              <w:rPr>
                <w:rFonts w:eastAsia="Times New Roman"/>
                <w:sz w:val="18"/>
                <w:szCs w:val="18"/>
              </w:rPr>
              <w:t>500,000</w:t>
            </w:r>
          </w:p>
        </w:tc>
        <w:tc>
          <w:tcPr>
            <w:tcW w:w="1080" w:type="dxa"/>
            <w:tcBorders>
              <w:top w:val="single" w:sz="8" w:space="0" w:color="auto"/>
              <w:bottom w:val="single" w:sz="8" w:space="0" w:color="auto"/>
              <w:right w:val="single" w:sz="8" w:space="0" w:color="auto"/>
            </w:tcBorders>
            <w:vAlign w:val="center"/>
          </w:tcPr>
          <w:p w14:paraId="3DAAC45C" w14:textId="18F226E1" w:rsidR="00B115E0" w:rsidRDefault="00B115E0" w:rsidP="00510964">
            <w:pPr>
              <w:jc w:val="center"/>
              <w:rPr>
                <w:rFonts w:eastAsia="Times New Roman"/>
                <w:sz w:val="18"/>
                <w:szCs w:val="18"/>
              </w:rPr>
            </w:pPr>
            <w:r>
              <w:rPr>
                <w:rFonts w:eastAsia="Times New Roman"/>
                <w:sz w:val="18"/>
                <w:szCs w:val="18"/>
              </w:rPr>
              <w:t>Per quarter</w:t>
            </w:r>
          </w:p>
        </w:tc>
        <w:tc>
          <w:tcPr>
            <w:tcW w:w="4230" w:type="dxa"/>
            <w:tcBorders>
              <w:top w:val="single" w:sz="8" w:space="0" w:color="auto"/>
              <w:bottom w:val="single" w:sz="8" w:space="0" w:color="auto"/>
              <w:right w:val="single" w:sz="8" w:space="0" w:color="auto"/>
            </w:tcBorders>
          </w:tcPr>
          <w:p w14:paraId="5B3BC43A" w14:textId="33926ACD" w:rsidR="00B115E0" w:rsidRDefault="00B115E0" w:rsidP="00B115E0">
            <w:pPr>
              <w:ind w:left="40"/>
              <w:rPr>
                <w:rFonts w:eastAsia="Times New Roman"/>
                <w:sz w:val="18"/>
                <w:szCs w:val="18"/>
              </w:rPr>
            </w:pPr>
            <w:r>
              <w:rPr>
                <w:rFonts w:eastAsia="Times New Roman"/>
                <w:sz w:val="18"/>
                <w:szCs w:val="18"/>
              </w:rPr>
              <w:t>4 Dual Sample Sets at the locations with the two highest TTHM and two highest HAA5 LRAAs.</w:t>
            </w:r>
          </w:p>
        </w:tc>
      </w:tr>
    </w:tbl>
    <w:p w14:paraId="24D9AA1A" w14:textId="77777777" w:rsidR="00422812" w:rsidRDefault="00422812" w:rsidP="008C7492"/>
    <w:p w14:paraId="2819FED8" w14:textId="46397210" w:rsidR="00422812" w:rsidRDefault="00422812" w:rsidP="008C7492">
      <w:pPr>
        <w:sectPr w:rsidR="00422812" w:rsidSect="00EF630C">
          <w:type w:val="continuous"/>
          <w:pgSz w:w="12240" w:h="20180"/>
          <w:pgMar w:top="708" w:right="1440" w:bottom="1440" w:left="600" w:header="0" w:footer="0" w:gutter="0"/>
          <w:cols w:space="720"/>
        </w:sectPr>
      </w:pPr>
    </w:p>
    <w:p w14:paraId="2819FED9" w14:textId="6213DD98" w:rsidR="004647B9" w:rsidRPr="00422812" w:rsidRDefault="00E2436F" w:rsidP="008C7492">
      <w:pPr>
        <w:numPr>
          <w:ilvl w:val="0"/>
          <w:numId w:val="388"/>
        </w:numPr>
        <w:tabs>
          <w:tab w:val="left" w:pos="480"/>
        </w:tabs>
        <w:ind w:left="480" w:hanging="479"/>
        <w:rPr>
          <w:rFonts w:eastAsia="Times New Roman"/>
          <w:sz w:val="27"/>
          <w:szCs w:val="27"/>
          <w:vertAlign w:val="superscript"/>
        </w:rPr>
      </w:pPr>
      <w:r w:rsidRPr="00725838">
        <w:rPr>
          <w:rFonts w:eastAsia="Times New Roman"/>
          <w:sz w:val="24"/>
          <w:szCs w:val="24"/>
        </w:rPr>
        <w:t>Systems on quarterly monitoring must take Dual Sample Sets every 90 days</w:t>
      </w:r>
      <w:r w:rsidRPr="00422812">
        <w:rPr>
          <w:rFonts w:eastAsia="Times New Roman"/>
          <w:sz w:val="23"/>
          <w:szCs w:val="23"/>
        </w:rPr>
        <w:t>.</w:t>
      </w:r>
    </w:p>
    <w:p w14:paraId="2819FEDA" w14:textId="77777777" w:rsidR="004647B9" w:rsidRDefault="004647B9" w:rsidP="008C7492">
      <w:pPr>
        <w:sectPr w:rsidR="004647B9" w:rsidSect="00EF630C">
          <w:type w:val="continuous"/>
          <w:pgSz w:w="12240" w:h="20180"/>
          <w:pgMar w:top="708" w:right="1440" w:bottom="1440" w:left="600" w:header="0" w:footer="0" w:gutter="0"/>
          <w:cols w:space="720"/>
        </w:sectPr>
      </w:pPr>
    </w:p>
    <w:p w14:paraId="2819FEDB" w14:textId="77777777" w:rsidR="004647B9" w:rsidRPr="000B3E23" w:rsidRDefault="00E2436F" w:rsidP="000B3E23">
      <w:pPr>
        <w:tabs>
          <w:tab w:val="left" w:pos="160"/>
        </w:tabs>
        <w:jc w:val="center"/>
        <w:rPr>
          <w:sz w:val="24"/>
          <w:szCs w:val="24"/>
        </w:rPr>
      </w:pPr>
      <w:bookmarkStart w:id="145" w:name="page147"/>
      <w:bookmarkEnd w:id="145"/>
      <w:r w:rsidRPr="000B3E23">
        <w:rPr>
          <w:rFonts w:eastAsia="Times New Roman"/>
          <w:sz w:val="24"/>
          <w:szCs w:val="24"/>
        </w:rPr>
        <w:lastRenderedPageBreak/>
        <w:t>310 CMR:</w:t>
      </w:r>
      <w:r w:rsidRPr="000B3E23">
        <w:rPr>
          <w:sz w:val="24"/>
          <w:szCs w:val="24"/>
        </w:rPr>
        <w:tab/>
      </w:r>
      <w:r w:rsidRPr="000B3E23">
        <w:rPr>
          <w:rFonts w:eastAsia="Times New Roman"/>
          <w:sz w:val="24"/>
          <w:szCs w:val="24"/>
        </w:rPr>
        <w:t>DEPARTMENT OF ENVIRONMENTAL PROTECTION</w:t>
      </w:r>
    </w:p>
    <w:p w14:paraId="2819FEDC" w14:textId="77777777" w:rsidR="004647B9" w:rsidRPr="008C7492" w:rsidRDefault="004647B9" w:rsidP="008C7492">
      <w:pPr>
        <w:rPr>
          <w:sz w:val="20"/>
          <w:szCs w:val="20"/>
        </w:rPr>
      </w:pPr>
    </w:p>
    <w:p w14:paraId="2819FEDD" w14:textId="77777777" w:rsidR="004647B9" w:rsidRPr="008C7492" w:rsidRDefault="004647B9" w:rsidP="008C7492">
      <w:pPr>
        <w:rPr>
          <w:sz w:val="20"/>
          <w:szCs w:val="20"/>
        </w:rPr>
      </w:pPr>
    </w:p>
    <w:p w14:paraId="2819FEDE" w14:textId="77777777" w:rsidR="004647B9" w:rsidRPr="000B3E23" w:rsidRDefault="00E2436F" w:rsidP="008C7492">
      <w:pPr>
        <w:tabs>
          <w:tab w:val="left" w:pos="900"/>
        </w:tabs>
        <w:rPr>
          <w:sz w:val="24"/>
          <w:szCs w:val="24"/>
        </w:rPr>
      </w:pPr>
      <w:r w:rsidRPr="000B3E23">
        <w:rPr>
          <w:rFonts w:eastAsia="Times New Roman"/>
          <w:sz w:val="24"/>
          <w:szCs w:val="24"/>
        </w:rPr>
        <w:t>22.07F:</w:t>
      </w:r>
      <w:r w:rsidRPr="000B3E23">
        <w:rPr>
          <w:sz w:val="24"/>
          <w:szCs w:val="24"/>
        </w:rPr>
        <w:tab/>
      </w:r>
      <w:r w:rsidRPr="000B3E23">
        <w:rPr>
          <w:rFonts w:eastAsia="Times New Roman"/>
          <w:sz w:val="24"/>
          <w:szCs w:val="24"/>
        </w:rPr>
        <w:t>continued</w:t>
      </w:r>
    </w:p>
    <w:p w14:paraId="2819FEDF" w14:textId="77777777" w:rsidR="004647B9" w:rsidRPr="008C7492" w:rsidRDefault="004647B9" w:rsidP="008C7492">
      <w:pPr>
        <w:rPr>
          <w:sz w:val="20"/>
          <w:szCs w:val="20"/>
        </w:rPr>
      </w:pPr>
    </w:p>
    <w:p w14:paraId="2819FEE0" w14:textId="77777777" w:rsidR="004647B9" w:rsidRPr="000B3E23" w:rsidRDefault="00E2436F" w:rsidP="008C7492">
      <w:pPr>
        <w:numPr>
          <w:ilvl w:val="1"/>
          <w:numId w:val="389"/>
        </w:numPr>
        <w:tabs>
          <w:tab w:val="left" w:pos="1984"/>
        </w:tabs>
        <w:ind w:left="1555"/>
        <w:jc w:val="both"/>
        <w:rPr>
          <w:rFonts w:eastAsia="Times New Roman"/>
          <w:sz w:val="24"/>
          <w:szCs w:val="24"/>
        </w:rPr>
      </w:pPr>
      <w:r w:rsidRPr="000B3E23">
        <w:rPr>
          <w:rFonts w:eastAsia="Times New Roman"/>
          <w:sz w:val="24"/>
          <w:szCs w:val="24"/>
        </w:rPr>
        <w:t xml:space="preserve">The Supplier of Water may remain on reduced monitoring as long as the TTHM LRAA </w:t>
      </w:r>
      <w:r w:rsidRPr="000B3E23">
        <w:rPr>
          <w:rFonts w:eastAsia="Times New Roman"/>
          <w:sz w:val="24"/>
          <w:szCs w:val="24"/>
          <w:u w:val="single"/>
        </w:rPr>
        <w:t>&lt;</w:t>
      </w:r>
      <w:r w:rsidRPr="000B3E23">
        <w:rPr>
          <w:rFonts w:eastAsia="Times New Roman"/>
          <w:sz w:val="24"/>
          <w:szCs w:val="24"/>
        </w:rPr>
        <w:t xml:space="preserve"> 0.040 mg/L and the HAA5 LRAA </w:t>
      </w:r>
      <w:r w:rsidRPr="000B3E23">
        <w:rPr>
          <w:rFonts w:eastAsia="Times New Roman"/>
          <w:sz w:val="24"/>
          <w:szCs w:val="24"/>
          <w:u w:val="single"/>
        </w:rPr>
        <w:t>&lt;</w:t>
      </w:r>
      <w:r w:rsidRPr="000B3E23">
        <w:rPr>
          <w:rFonts w:eastAsia="Times New Roman"/>
          <w:sz w:val="24"/>
          <w:szCs w:val="24"/>
        </w:rPr>
        <w:t xml:space="preserve"> 0.030 mg/L at each monitoring location (for systems with quarterly reduced monitoring) or each TTHM sample </w:t>
      </w:r>
      <w:r w:rsidRPr="000B3E23">
        <w:rPr>
          <w:rFonts w:eastAsia="Times New Roman"/>
          <w:sz w:val="24"/>
          <w:szCs w:val="24"/>
          <w:u w:val="single"/>
        </w:rPr>
        <w:t>&lt;</w:t>
      </w:r>
      <w:r w:rsidRPr="000B3E23">
        <w:rPr>
          <w:rFonts w:eastAsia="Times New Roman"/>
          <w:sz w:val="24"/>
          <w:szCs w:val="24"/>
        </w:rPr>
        <w:t xml:space="preserve"> 0.060 mg/L and each HAA5 sample </w:t>
      </w:r>
      <w:r w:rsidRPr="000B3E23">
        <w:rPr>
          <w:rFonts w:eastAsia="Times New Roman"/>
          <w:sz w:val="24"/>
          <w:szCs w:val="24"/>
          <w:u w:val="single"/>
        </w:rPr>
        <w:t>&lt;</w:t>
      </w:r>
      <w:r w:rsidRPr="000B3E23">
        <w:rPr>
          <w:rFonts w:eastAsia="Times New Roman"/>
          <w:sz w:val="24"/>
          <w:szCs w:val="24"/>
        </w:rPr>
        <w:t xml:space="preserve"> 0.045 mg/L (for systems with annual or less frequent monitoring). In addition, the source water annual average TOC level, before any treatment, must be </w:t>
      </w:r>
      <w:r w:rsidRPr="000B3E23">
        <w:rPr>
          <w:rFonts w:eastAsia="Times New Roman"/>
          <w:sz w:val="24"/>
          <w:szCs w:val="24"/>
          <w:u w:val="single"/>
        </w:rPr>
        <w:t>&lt;</w:t>
      </w:r>
      <w:r w:rsidRPr="000B3E23">
        <w:rPr>
          <w:rFonts w:eastAsia="Times New Roman"/>
          <w:sz w:val="24"/>
          <w:szCs w:val="24"/>
        </w:rPr>
        <w:t xml:space="preserve"> 4.0 mg/L at each treatment plant treating Surface Water or Groundwater under the Direct Influence of Surface Water, based on monitoring conducted under either 310 CMR 22.07E(7)(b)1.c. or (d).</w:t>
      </w:r>
    </w:p>
    <w:p w14:paraId="2819FEE2" w14:textId="77777777" w:rsidR="004647B9" w:rsidRPr="000B3E23" w:rsidRDefault="00E2436F" w:rsidP="008C7492">
      <w:pPr>
        <w:numPr>
          <w:ilvl w:val="1"/>
          <w:numId w:val="389"/>
        </w:numPr>
        <w:tabs>
          <w:tab w:val="left" w:pos="1987"/>
        </w:tabs>
        <w:ind w:left="1555"/>
        <w:jc w:val="both"/>
        <w:rPr>
          <w:rFonts w:eastAsia="Times New Roman"/>
          <w:sz w:val="24"/>
          <w:szCs w:val="24"/>
        </w:rPr>
      </w:pPr>
      <w:r w:rsidRPr="000B3E23">
        <w:rPr>
          <w:rFonts w:eastAsia="Times New Roman"/>
          <w:sz w:val="24"/>
          <w:szCs w:val="24"/>
        </w:rPr>
        <w:t>If the LRAA based on quarterly monitoring at any monitoring location exceeds either 0.040 mg/L for TTHM or 0.030 mg/L for HAA5 or if the annual (or less frequent) sample at any location exceeds either 0.060 mg/L for TTHM or 0.045 mg/L for HAA5, or if the source water annual average TOC level, before any treatment, &gt;4.0 mg/L at any treatment plant treating Surface Water or Groundwater Under the Direct Influence of Surface Water, the Supplier of Water must resume routine monitoring under 310 CMR 22.07F(8) or begin increased monitoring if 310 CMR 22.07F(12) applies.</w:t>
      </w:r>
    </w:p>
    <w:p w14:paraId="2819FEE4" w14:textId="77777777" w:rsidR="004647B9" w:rsidRPr="000B3E23" w:rsidRDefault="00E2436F" w:rsidP="008C7492">
      <w:pPr>
        <w:numPr>
          <w:ilvl w:val="1"/>
          <w:numId w:val="389"/>
        </w:numPr>
        <w:tabs>
          <w:tab w:val="left" w:pos="1987"/>
        </w:tabs>
        <w:ind w:left="1555"/>
        <w:rPr>
          <w:rFonts w:eastAsia="Times New Roman"/>
          <w:sz w:val="24"/>
          <w:szCs w:val="24"/>
        </w:rPr>
      </w:pPr>
      <w:r w:rsidRPr="000B3E23">
        <w:rPr>
          <w:rFonts w:eastAsia="Times New Roman"/>
          <w:sz w:val="24"/>
          <w:szCs w:val="24"/>
        </w:rPr>
        <w:t>The Department may return the Supplier of Water to routine monitoring at the Department's discretion.</w:t>
      </w:r>
    </w:p>
    <w:p w14:paraId="2819FEE5" w14:textId="77777777" w:rsidR="004647B9" w:rsidRPr="000B3E23" w:rsidRDefault="004647B9" w:rsidP="008C7492">
      <w:pPr>
        <w:rPr>
          <w:rFonts w:eastAsia="Times New Roman"/>
          <w:sz w:val="24"/>
          <w:szCs w:val="24"/>
        </w:rPr>
      </w:pPr>
    </w:p>
    <w:p w14:paraId="2819FEE6" w14:textId="046638D6" w:rsidR="004647B9" w:rsidRPr="000B3E23" w:rsidRDefault="00E2436F" w:rsidP="008C7492">
      <w:pPr>
        <w:numPr>
          <w:ilvl w:val="0"/>
          <w:numId w:val="390"/>
        </w:numPr>
        <w:tabs>
          <w:tab w:val="left" w:pos="1786"/>
        </w:tabs>
        <w:ind w:left="1195"/>
        <w:jc w:val="both"/>
        <w:rPr>
          <w:rFonts w:eastAsia="Times New Roman"/>
          <w:sz w:val="24"/>
          <w:szCs w:val="24"/>
        </w:rPr>
      </w:pPr>
      <w:r w:rsidRPr="000B3E23">
        <w:rPr>
          <w:rFonts w:eastAsia="Times New Roman"/>
          <w:sz w:val="24"/>
          <w:szCs w:val="24"/>
          <w:u w:val="single"/>
        </w:rPr>
        <w:t>Additional Requirements for Consecutive Systems</w:t>
      </w:r>
      <w:r w:rsidRPr="000B3E23">
        <w:rPr>
          <w:rFonts w:eastAsia="Times New Roman"/>
          <w:sz w:val="24"/>
          <w:szCs w:val="24"/>
        </w:rPr>
        <w:t>. If the Supplier of Water is a consecutive system that does not add a Disinfectant but delivers water that has been treated with a primary or residual Disinfectant other than ultraviolet light, they must comply with analytical and monitoring requirements for chlorine and chloramines in 310 CMR 22.07E(6)(c) and</w:t>
      </w:r>
      <w:r w:rsidR="00541289">
        <w:rPr>
          <w:rFonts w:eastAsia="Times New Roman"/>
          <w:sz w:val="24"/>
          <w:szCs w:val="24"/>
        </w:rPr>
        <w:t xml:space="preserve"> </w:t>
      </w:r>
      <w:r w:rsidRPr="000B3E23">
        <w:rPr>
          <w:rFonts w:eastAsia="Times New Roman"/>
          <w:sz w:val="24"/>
          <w:szCs w:val="24"/>
        </w:rPr>
        <w:t>(7)(c)1. and the compliance requirements in 310 CMR 22.07E(8)(c)1. beginning April 1, 2009, unless required earlier by the Department, and report monitoring results under 310 CMR 22.07E(9)(c).</w:t>
      </w:r>
    </w:p>
    <w:p w14:paraId="2819FEE7" w14:textId="77777777" w:rsidR="004647B9" w:rsidRPr="000B3E23" w:rsidRDefault="004647B9" w:rsidP="008C7492">
      <w:pPr>
        <w:rPr>
          <w:rFonts w:eastAsia="Times New Roman"/>
          <w:sz w:val="24"/>
          <w:szCs w:val="24"/>
        </w:rPr>
      </w:pPr>
    </w:p>
    <w:p w14:paraId="2819FEE8" w14:textId="77777777" w:rsidR="004647B9" w:rsidRPr="000B3E23" w:rsidRDefault="00E2436F" w:rsidP="008C7492">
      <w:pPr>
        <w:numPr>
          <w:ilvl w:val="0"/>
          <w:numId w:val="390"/>
        </w:numPr>
        <w:tabs>
          <w:tab w:val="left" w:pos="1780"/>
        </w:tabs>
        <w:ind w:left="1771" w:hanging="576"/>
        <w:rPr>
          <w:rFonts w:eastAsia="Times New Roman"/>
          <w:sz w:val="24"/>
          <w:szCs w:val="24"/>
        </w:rPr>
      </w:pPr>
      <w:r w:rsidRPr="000B3E23">
        <w:rPr>
          <w:rFonts w:eastAsia="Times New Roman"/>
          <w:sz w:val="24"/>
          <w:szCs w:val="24"/>
          <w:u w:val="single"/>
        </w:rPr>
        <w:t>Conditions Requiring Increased Monitoring</w:t>
      </w:r>
      <w:r w:rsidRPr="000B3E23">
        <w:rPr>
          <w:rFonts w:eastAsia="Times New Roman"/>
          <w:sz w:val="24"/>
          <w:szCs w:val="24"/>
        </w:rPr>
        <w:t>.</w:t>
      </w:r>
    </w:p>
    <w:p w14:paraId="2819FEEA" w14:textId="77777777" w:rsidR="004647B9" w:rsidRPr="000B3E23" w:rsidRDefault="00E2436F" w:rsidP="008C7492">
      <w:pPr>
        <w:numPr>
          <w:ilvl w:val="1"/>
          <w:numId w:val="390"/>
        </w:numPr>
        <w:tabs>
          <w:tab w:val="left" w:pos="2006"/>
        </w:tabs>
        <w:ind w:left="1560" w:hanging="5"/>
        <w:jc w:val="both"/>
        <w:rPr>
          <w:rFonts w:eastAsia="Times New Roman"/>
          <w:sz w:val="24"/>
          <w:szCs w:val="24"/>
        </w:rPr>
      </w:pPr>
      <w:r w:rsidRPr="000B3E23">
        <w:rPr>
          <w:rFonts w:eastAsia="Times New Roman"/>
          <w:sz w:val="24"/>
          <w:szCs w:val="24"/>
        </w:rPr>
        <w:t>If the Supplier of Water is required to monitor at a particular location annually or less frequently than annually under 310 CMR 22.07F(8) or (10), they must increase monitoring to Dual Sample Sets once per quarter (taken every 90 days) at all locations if a TTHM sample is &gt;0.080 mg/L or a HAA5 sample is &gt;0.060 mg/L at any location.</w:t>
      </w:r>
    </w:p>
    <w:p w14:paraId="2819FEEC" w14:textId="77777777" w:rsidR="004647B9" w:rsidRPr="000B3E23" w:rsidRDefault="00E2436F" w:rsidP="008C7492">
      <w:pPr>
        <w:numPr>
          <w:ilvl w:val="1"/>
          <w:numId w:val="390"/>
        </w:numPr>
        <w:tabs>
          <w:tab w:val="left" w:pos="1998"/>
        </w:tabs>
        <w:ind w:left="1560" w:hanging="5"/>
        <w:jc w:val="both"/>
        <w:rPr>
          <w:rFonts w:eastAsia="Times New Roman"/>
          <w:sz w:val="24"/>
          <w:szCs w:val="24"/>
        </w:rPr>
      </w:pPr>
      <w:r w:rsidRPr="000B3E23">
        <w:rPr>
          <w:rFonts w:eastAsia="Times New Roman"/>
          <w:sz w:val="24"/>
          <w:szCs w:val="24"/>
        </w:rPr>
        <w:t>The Supplier of Water is in violation of the MCL when the LRAA exceeds the Stage 2 Disinfection Byproducts MCLs in 310 CMR 22.07E(1), calculated based on four consecutive quarters of monitoring (or the LRAA calculated based on fewer than four quarters of data if the MCL would be exceeded regardless of the monitoring results of subsequent quarters). The Supplier of Water is in violation of the monitoring requirements for each quarter that a monitoring result would be used in calculating an LRAA if they fail to monitor.</w:t>
      </w:r>
    </w:p>
    <w:p w14:paraId="2819FEEE" w14:textId="77777777" w:rsidR="004647B9" w:rsidRPr="000B3E23" w:rsidRDefault="00E2436F" w:rsidP="008C7492">
      <w:pPr>
        <w:numPr>
          <w:ilvl w:val="1"/>
          <w:numId w:val="390"/>
        </w:numPr>
        <w:tabs>
          <w:tab w:val="left" w:pos="2066"/>
        </w:tabs>
        <w:ind w:left="1560" w:hanging="5"/>
        <w:jc w:val="both"/>
        <w:rPr>
          <w:rFonts w:eastAsia="Times New Roman"/>
          <w:sz w:val="24"/>
          <w:szCs w:val="24"/>
        </w:rPr>
      </w:pPr>
      <w:r w:rsidRPr="000B3E23">
        <w:rPr>
          <w:rFonts w:eastAsia="Times New Roman"/>
          <w:sz w:val="24"/>
          <w:szCs w:val="24"/>
        </w:rPr>
        <w:t xml:space="preserve">The Supplier of Water may return to routine monitoring once they have conducted increased monitoring for at least four consecutive quarters and the LRAA for every monitoring location is </w:t>
      </w:r>
      <w:r w:rsidRPr="000B3E23">
        <w:rPr>
          <w:rFonts w:eastAsia="Times New Roman"/>
          <w:sz w:val="24"/>
          <w:szCs w:val="24"/>
          <w:u w:val="single"/>
        </w:rPr>
        <w:t>&lt;</w:t>
      </w:r>
      <w:r w:rsidRPr="000B3E23">
        <w:rPr>
          <w:rFonts w:eastAsia="Times New Roman"/>
          <w:sz w:val="24"/>
          <w:szCs w:val="24"/>
        </w:rPr>
        <w:t xml:space="preserve"> 0.060 mg/L for TTHM and </w:t>
      </w:r>
      <w:r w:rsidRPr="000B3E23">
        <w:rPr>
          <w:rFonts w:eastAsia="Times New Roman"/>
          <w:sz w:val="24"/>
          <w:szCs w:val="24"/>
          <w:u w:val="single"/>
        </w:rPr>
        <w:t>&lt;</w:t>
      </w:r>
      <w:r w:rsidRPr="000B3E23">
        <w:rPr>
          <w:rFonts w:eastAsia="Times New Roman"/>
          <w:sz w:val="24"/>
          <w:szCs w:val="24"/>
        </w:rPr>
        <w:t xml:space="preserve"> 0.045 mg/L for HAA5.</w:t>
      </w:r>
    </w:p>
    <w:p w14:paraId="2819FEEF" w14:textId="77777777" w:rsidR="004647B9" w:rsidRPr="000B3E23" w:rsidRDefault="004647B9" w:rsidP="008C7492">
      <w:pPr>
        <w:rPr>
          <w:rFonts w:eastAsia="Times New Roman"/>
          <w:sz w:val="24"/>
          <w:szCs w:val="24"/>
        </w:rPr>
      </w:pPr>
    </w:p>
    <w:p w14:paraId="2819FEF0" w14:textId="77777777" w:rsidR="004647B9" w:rsidRPr="000B3E23" w:rsidRDefault="00E2436F" w:rsidP="008C7492">
      <w:pPr>
        <w:numPr>
          <w:ilvl w:val="0"/>
          <w:numId w:val="390"/>
        </w:numPr>
        <w:tabs>
          <w:tab w:val="left" w:pos="1780"/>
        </w:tabs>
        <w:ind w:left="1771" w:hanging="576"/>
        <w:rPr>
          <w:rFonts w:eastAsia="Times New Roman"/>
          <w:sz w:val="24"/>
          <w:szCs w:val="24"/>
        </w:rPr>
      </w:pPr>
      <w:r w:rsidRPr="000B3E23">
        <w:rPr>
          <w:rFonts w:eastAsia="Times New Roman"/>
          <w:sz w:val="24"/>
          <w:szCs w:val="24"/>
          <w:u w:val="single"/>
        </w:rPr>
        <w:t>Operational Evaluation Levels</w:t>
      </w:r>
      <w:r w:rsidRPr="000B3E23">
        <w:rPr>
          <w:rFonts w:eastAsia="Times New Roman"/>
          <w:sz w:val="24"/>
          <w:szCs w:val="24"/>
        </w:rPr>
        <w:t>.</w:t>
      </w:r>
    </w:p>
    <w:p w14:paraId="2819FEF2" w14:textId="77777777" w:rsidR="004647B9" w:rsidRPr="000B3E23" w:rsidRDefault="00E2436F" w:rsidP="008C7492">
      <w:pPr>
        <w:numPr>
          <w:ilvl w:val="1"/>
          <w:numId w:val="390"/>
        </w:numPr>
        <w:tabs>
          <w:tab w:val="left" w:pos="1982"/>
        </w:tabs>
        <w:ind w:left="1560" w:hanging="5"/>
        <w:jc w:val="both"/>
        <w:rPr>
          <w:rFonts w:eastAsia="Times New Roman"/>
          <w:sz w:val="24"/>
          <w:szCs w:val="24"/>
        </w:rPr>
      </w:pPr>
      <w:r w:rsidRPr="000B3E23">
        <w:rPr>
          <w:rFonts w:eastAsia="Times New Roman"/>
          <w:sz w:val="24"/>
          <w:szCs w:val="24"/>
        </w:rPr>
        <w:t>The Supplier of Water has exceeded the operational evaluation level at any monitoring location where the sum of the two previous quarters' TTHM results plus twice the current quarter's TTHM result, divided by four to determine an average, exceeds 0.080 mg/L, or where the sum of the two previous quarters' HAA5 results plus twice the current quarter's HAA5 result, divided by four to determine an average, exceeds 0.060 mg/L.</w:t>
      </w:r>
    </w:p>
    <w:p w14:paraId="2819FEF4" w14:textId="77777777" w:rsidR="004647B9" w:rsidRPr="000B3E23" w:rsidRDefault="00E2436F" w:rsidP="008C7492">
      <w:pPr>
        <w:numPr>
          <w:ilvl w:val="1"/>
          <w:numId w:val="390"/>
        </w:numPr>
        <w:tabs>
          <w:tab w:val="left" w:pos="1920"/>
        </w:tabs>
        <w:ind w:left="1920" w:hanging="365"/>
        <w:jc w:val="both"/>
        <w:rPr>
          <w:rFonts w:eastAsia="Times New Roman"/>
          <w:sz w:val="24"/>
          <w:szCs w:val="24"/>
        </w:rPr>
      </w:pPr>
      <w:r w:rsidRPr="000B3E23">
        <w:rPr>
          <w:rFonts w:eastAsia="Times New Roman"/>
          <w:sz w:val="24"/>
          <w:szCs w:val="24"/>
        </w:rPr>
        <w:t>1. If the Supplier of Water exceeds the operational evaluation level, they must conduct an operational evaluation and submit a written report of the evaluation to the Department no later than 90 days after being notified of the analytical result that causes them to exceed the operational evaluation level. The written report must be made available to the public upon request.</w:t>
      </w:r>
    </w:p>
    <w:p w14:paraId="2819FEF6" w14:textId="77777777" w:rsidR="004647B9" w:rsidRPr="000B3E23" w:rsidRDefault="00E2436F" w:rsidP="008C7492">
      <w:pPr>
        <w:numPr>
          <w:ilvl w:val="2"/>
          <w:numId w:val="390"/>
        </w:numPr>
        <w:tabs>
          <w:tab w:val="left" w:pos="2318"/>
        </w:tabs>
        <w:ind w:left="1915"/>
        <w:jc w:val="both"/>
        <w:rPr>
          <w:rFonts w:eastAsia="Times New Roman"/>
          <w:sz w:val="24"/>
          <w:szCs w:val="24"/>
        </w:rPr>
      </w:pPr>
      <w:r w:rsidRPr="000B3E23">
        <w:rPr>
          <w:rFonts w:eastAsia="Times New Roman"/>
          <w:sz w:val="24"/>
          <w:szCs w:val="24"/>
        </w:rPr>
        <w:t>The Supplier of Water's operational evaluation must include an examination of system treatment and distribution operational practices, including storage tank operations, excess storage capacity, Distribution System flushing, changes in sources or source water quality, and treatment changes or problems that may contribute to TTHM and HAA5 formation and what steps could be considered to minimize future exceedences.</w:t>
      </w:r>
    </w:p>
    <w:p w14:paraId="2819FEF8" w14:textId="3FA366FD" w:rsidR="004647B9" w:rsidRPr="000B3E23" w:rsidRDefault="00E2436F" w:rsidP="008C7492">
      <w:pPr>
        <w:ind w:left="2280"/>
        <w:jc w:val="both"/>
        <w:rPr>
          <w:rFonts w:eastAsia="Times New Roman"/>
          <w:sz w:val="24"/>
          <w:szCs w:val="24"/>
        </w:rPr>
      </w:pPr>
      <w:r w:rsidRPr="000B3E23">
        <w:rPr>
          <w:rFonts w:eastAsia="Times New Roman"/>
          <w:sz w:val="24"/>
          <w:szCs w:val="24"/>
        </w:rPr>
        <w:lastRenderedPageBreak/>
        <w:t>a. The Supplier of Water may request and the Department may allow them to limit the scope of their evaluation if they are able to identify the cause of the operational evaluation level exceedance.</w:t>
      </w:r>
    </w:p>
    <w:p w14:paraId="2819FEF9" w14:textId="77777777" w:rsidR="004647B9" w:rsidRDefault="004647B9">
      <w:pPr>
        <w:sectPr w:rsidR="004647B9" w:rsidSect="00EF630C">
          <w:pgSz w:w="12240" w:h="20180"/>
          <w:pgMar w:top="708" w:right="1440" w:bottom="1440" w:left="600" w:header="0" w:footer="0" w:gutter="0"/>
          <w:cols w:space="720"/>
        </w:sectPr>
      </w:pPr>
    </w:p>
    <w:p w14:paraId="2819FEFA" w14:textId="77777777" w:rsidR="004647B9" w:rsidRDefault="00E2436F">
      <w:pPr>
        <w:tabs>
          <w:tab w:val="left" w:pos="160"/>
        </w:tabs>
        <w:jc w:val="center"/>
        <w:rPr>
          <w:sz w:val="20"/>
          <w:szCs w:val="20"/>
        </w:rPr>
      </w:pPr>
      <w:bookmarkStart w:id="146" w:name="page148"/>
      <w:bookmarkEnd w:id="14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EFB" w14:textId="77777777" w:rsidR="004647B9" w:rsidRDefault="004647B9" w:rsidP="007737DA">
      <w:pPr>
        <w:rPr>
          <w:sz w:val="20"/>
          <w:szCs w:val="20"/>
        </w:rPr>
      </w:pPr>
    </w:p>
    <w:p w14:paraId="2819FEFC" w14:textId="77777777" w:rsidR="004647B9" w:rsidRDefault="004647B9" w:rsidP="007737DA">
      <w:pPr>
        <w:rPr>
          <w:sz w:val="20"/>
          <w:szCs w:val="20"/>
        </w:rPr>
      </w:pPr>
    </w:p>
    <w:p w14:paraId="2819FEFD" w14:textId="77777777" w:rsidR="004647B9" w:rsidRPr="00490366" w:rsidRDefault="00E2436F" w:rsidP="007737DA">
      <w:pPr>
        <w:tabs>
          <w:tab w:val="left" w:pos="900"/>
        </w:tabs>
        <w:rPr>
          <w:sz w:val="24"/>
          <w:szCs w:val="24"/>
        </w:rPr>
      </w:pPr>
      <w:r w:rsidRPr="00490366">
        <w:rPr>
          <w:rFonts w:eastAsia="Times New Roman"/>
          <w:sz w:val="24"/>
          <w:szCs w:val="24"/>
        </w:rPr>
        <w:t>22.07F:</w:t>
      </w:r>
      <w:r w:rsidRPr="00490366">
        <w:rPr>
          <w:sz w:val="24"/>
          <w:szCs w:val="24"/>
        </w:rPr>
        <w:tab/>
      </w:r>
      <w:r w:rsidRPr="00490366">
        <w:rPr>
          <w:rFonts w:eastAsia="Times New Roman"/>
          <w:sz w:val="24"/>
          <w:szCs w:val="24"/>
        </w:rPr>
        <w:t>continued</w:t>
      </w:r>
    </w:p>
    <w:p w14:paraId="2819FEFE" w14:textId="77777777" w:rsidR="004647B9" w:rsidRDefault="004647B9" w:rsidP="007737DA">
      <w:pPr>
        <w:rPr>
          <w:sz w:val="20"/>
          <w:szCs w:val="20"/>
        </w:rPr>
      </w:pPr>
    </w:p>
    <w:p w14:paraId="2819FEFF" w14:textId="77777777" w:rsidR="004647B9" w:rsidRPr="00B276F4" w:rsidRDefault="00E2436F" w:rsidP="007737DA">
      <w:pPr>
        <w:numPr>
          <w:ilvl w:val="3"/>
          <w:numId w:val="391"/>
        </w:numPr>
        <w:tabs>
          <w:tab w:val="left" w:pos="2690"/>
        </w:tabs>
        <w:ind w:left="2280" w:hanging="5"/>
        <w:jc w:val="both"/>
        <w:rPr>
          <w:rFonts w:eastAsia="Times New Roman"/>
          <w:sz w:val="24"/>
          <w:szCs w:val="24"/>
        </w:rPr>
      </w:pPr>
      <w:r w:rsidRPr="00B276F4">
        <w:rPr>
          <w:rFonts w:eastAsia="Times New Roman"/>
          <w:sz w:val="24"/>
          <w:szCs w:val="24"/>
        </w:rPr>
        <w:t>The Supplier of Water's request to limit the scope of the evaluation does not extend the schedule in 310 CMR 22.07F(13)(b)1. for submitting the written report. The Department must approve this limited scope of evaluation in writing and the Supplier of Water must keep that approval with the completed report.</w:t>
      </w:r>
    </w:p>
    <w:p w14:paraId="2819FF00" w14:textId="77777777" w:rsidR="004647B9" w:rsidRPr="00B276F4" w:rsidRDefault="004647B9" w:rsidP="007737DA">
      <w:pPr>
        <w:rPr>
          <w:rFonts w:eastAsia="Times New Roman"/>
          <w:sz w:val="24"/>
          <w:szCs w:val="24"/>
        </w:rPr>
      </w:pPr>
    </w:p>
    <w:p w14:paraId="2819FF01" w14:textId="64BF0D3C" w:rsidR="004647B9" w:rsidRPr="00B276F4" w:rsidRDefault="00E2436F" w:rsidP="007737DA">
      <w:pPr>
        <w:numPr>
          <w:ilvl w:val="0"/>
          <w:numId w:val="392"/>
        </w:numPr>
        <w:tabs>
          <w:tab w:val="left" w:pos="1721"/>
        </w:tabs>
        <w:ind w:left="1195"/>
        <w:jc w:val="both"/>
        <w:rPr>
          <w:rFonts w:eastAsia="Times New Roman"/>
          <w:sz w:val="24"/>
          <w:szCs w:val="24"/>
        </w:rPr>
      </w:pPr>
      <w:r w:rsidRPr="002B0F7E">
        <w:rPr>
          <w:rFonts w:eastAsia="Times New Roman"/>
          <w:sz w:val="24"/>
          <w:szCs w:val="24"/>
          <w:u w:val="single"/>
        </w:rPr>
        <w:t>Requirements for Remaining</w:t>
      </w:r>
      <w:r w:rsidRPr="00B276F4">
        <w:rPr>
          <w:rFonts w:eastAsia="Times New Roman"/>
          <w:sz w:val="24"/>
          <w:szCs w:val="24"/>
          <w:u w:val="single"/>
        </w:rPr>
        <w:t xml:space="preserve"> on Reduced TTHM and HAA5 Monitoring Based on Results Required under 310 CMR 22.07E</w:t>
      </w:r>
      <w:r w:rsidRPr="00B276F4">
        <w:rPr>
          <w:rFonts w:eastAsia="Times New Roman"/>
          <w:sz w:val="24"/>
          <w:szCs w:val="24"/>
        </w:rPr>
        <w:t>. The Supplier of Water may remain on reduced monitoring after the dates identified in 310 CMR 22.07F(7)(c) for compliance with 310 CMR 22.07F only if they qualify for a 40/30 certification under 310 CMR 22.07F(4) or have received a very small system waiver under 310 CMR 22.07F(5), plus they meet the reduced monitoring criteria in 310 CMR 22.07F(10)(a), and they do not change or add monitoring locations from those used for compliance monitoring under 310 CMR 22.07E. If the Supplier of Water's monitoring locations under 310 CMR 22.07F differ from their monitoring locations under 310 CMR 22.07E, they may not remain on reduced monitoring after the dates identified in 310 CMR 22.07F(7)(c) for compliance with 310 CMR 22.07F.</w:t>
      </w:r>
    </w:p>
    <w:p w14:paraId="2819FF02" w14:textId="77777777" w:rsidR="004647B9" w:rsidRPr="00B276F4" w:rsidRDefault="004647B9" w:rsidP="007737DA">
      <w:pPr>
        <w:rPr>
          <w:rFonts w:eastAsia="Times New Roman"/>
          <w:sz w:val="24"/>
          <w:szCs w:val="24"/>
        </w:rPr>
      </w:pPr>
    </w:p>
    <w:p w14:paraId="2819FF03" w14:textId="77777777" w:rsidR="004647B9" w:rsidRPr="00B276F4" w:rsidRDefault="00E2436F" w:rsidP="007737DA">
      <w:pPr>
        <w:numPr>
          <w:ilvl w:val="0"/>
          <w:numId w:val="392"/>
        </w:numPr>
        <w:tabs>
          <w:tab w:val="left" w:pos="1728"/>
        </w:tabs>
        <w:ind w:left="1195"/>
        <w:jc w:val="both"/>
        <w:rPr>
          <w:rFonts w:eastAsia="Times New Roman"/>
          <w:sz w:val="24"/>
          <w:szCs w:val="24"/>
        </w:rPr>
      </w:pPr>
      <w:r w:rsidRPr="00B276F4">
        <w:rPr>
          <w:rFonts w:eastAsia="Times New Roman"/>
          <w:sz w:val="24"/>
          <w:szCs w:val="24"/>
        </w:rPr>
        <w:t>Requirements for Remaining on Increased TTHM and HAA5 Monitoring Based on Results Required under 310 CMR 22.07E. If the Supplier of Water was on increased monitoring under 310 CMR 22.07E(7)(b)1., they must remain on increased monitoring until they qualify for a return to routine monitoring under 310 CMR 22.07F(12)(c). The Supplier of Water must conduct increased monitoring under 310 CMR 22.07F(12) at the monitoring locations in the monitoring plan developed under 310 CMR 22.07F(9) beginning at the date identified in 310 CMR 22.07F(7)(c) for compliance with 310 CMR 22.07F and remain on increased monitoring until they qualify for a return to routine monitoring under 310 CMR 22.07F(12)(c).</w:t>
      </w:r>
    </w:p>
    <w:p w14:paraId="2819FF04" w14:textId="77777777" w:rsidR="004647B9" w:rsidRPr="00B276F4" w:rsidRDefault="004647B9" w:rsidP="007737DA">
      <w:pPr>
        <w:rPr>
          <w:rFonts w:eastAsia="Times New Roman"/>
          <w:sz w:val="24"/>
          <w:szCs w:val="24"/>
        </w:rPr>
      </w:pPr>
    </w:p>
    <w:p w14:paraId="2819FF05" w14:textId="77777777" w:rsidR="004647B9" w:rsidRPr="00B276F4" w:rsidRDefault="00E2436F" w:rsidP="007737DA">
      <w:pPr>
        <w:numPr>
          <w:ilvl w:val="0"/>
          <w:numId w:val="392"/>
        </w:numPr>
        <w:tabs>
          <w:tab w:val="left" w:pos="1780"/>
        </w:tabs>
        <w:ind w:left="1780" w:hanging="580"/>
        <w:rPr>
          <w:rFonts w:eastAsia="Times New Roman"/>
          <w:sz w:val="24"/>
          <w:szCs w:val="24"/>
        </w:rPr>
      </w:pPr>
      <w:r w:rsidRPr="00B276F4">
        <w:rPr>
          <w:rFonts w:eastAsia="Times New Roman"/>
          <w:sz w:val="24"/>
          <w:szCs w:val="24"/>
          <w:u w:val="single"/>
        </w:rPr>
        <w:t>Reporting and Recordkeeping Requirements</w:t>
      </w:r>
      <w:r w:rsidRPr="00B276F4">
        <w:rPr>
          <w:rFonts w:eastAsia="Times New Roman"/>
          <w:sz w:val="24"/>
          <w:szCs w:val="24"/>
        </w:rPr>
        <w:t>.</w:t>
      </w:r>
    </w:p>
    <w:p w14:paraId="2819FF07" w14:textId="77777777" w:rsidR="004647B9" w:rsidRPr="00B276F4" w:rsidRDefault="00E2436F" w:rsidP="007737DA">
      <w:pPr>
        <w:numPr>
          <w:ilvl w:val="1"/>
          <w:numId w:val="392"/>
        </w:numPr>
        <w:tabs>
          <w:tab w:val="left" w:pos="2000"/>
        </w:tabs>
        <w:ind w:left="2000" w:hanging="445"/>
        <w:rPr>
          <w:rFonts w:eastAsia="Times New Roman"/>
          <w:sz w:val="24"/>
          <w:szCs w:val="24"/>
        </w:rPr>
      </w:pPr>
      <w:r w:rsidRPr="00B276F4">
        <w:rPr>
          <w:rFonts w:eastAsia="Times New Roman"/>
          <w:sz w:val="24"/>
          <w:szCs w:val="24"/>
          <w:u w:val="single"/>
        </w:rPr>
        <w:t>Reporting</w:t>
      </w:r>
      <w:r w:rsidRPr="00B276F4">
        <w:rPr>
          <w:rFonts w:eastAsia="Times New Roman"/>
          <w:sz w:val="24"/>
          <w:szCs w:val="24"/>
        </w:rPr>
        <w:t>.</w:t>
      </w:r>
    </w:p>
    <w:p w14:paraId="2819FF08" w14:textId="77777777" w:rsidR="004647B9" w:rsidRPr="00B276F4" w:rsidRDefault="00E2436F" w:rsidP="007737DA">
      <w:pPr>
        <w:numPr>
          <w:ilvl w:val="2"/>
          <w:numId w:val="392"/>
        </w:numPr>
        <w:tabs>
          <w:tab w:val="left" w:pos="2314"/>
        </w:tabs>
        <w:ind w:left="1920" w:hanging="5"/>
        <w:jc w:val="both"/>
        <w:rPr>
          <w:rFonts w:eastAsia="Times New Roman"/>
          <w:sz w:val="24"/>
          <w:szCs w:val="24"/>
        </w:rPr>
      </w:pPr>
      <w:r w:rsidRPr="00B276F4">
        <w:rPr>
          <w:rFonts w:eastAsia="Times New Roman"/>
          <w:sz w:val="24"/>
          <w:szCs w:val="24"/>
        </w:rPr>
        <w:t>The Supplier of Water must report the following information for each monitoring location to the Department within ten days of the end of any quarter in which monitoring is required:</w:t>
      </w:r>
    </w:p>
    <w:p w14:paraId="2819FF09" w14:textId="77777777" w:rsidR="004647B9" w:rsidRPr="00B276F4" w:rsidRDefault="00E2436F" w:rsidP="007737DA">
      <w:pPr>
        <w:numPr>
          <w:ilvl w:val="3"/>
          <w:numId w:val="392"/>
        </w:numPr>
        <w:tabs>
          <w:tab w:val="left" w:pos="2620"/>
        </w:tabs>
        <w:ind w:left="2620" w:hanging="345"/>
        <w:rPr>
          <w:rFonts w:eastAsia="Times New Roman"/>
          <w:sz w:val="24"/>
          <w:szCs w:val="24"/>
        </w:rPr>
      </w:pPr>
      <w:r w:rsidRPr="00B276F4">
        <w:rPr>
          <w:rFonts w:eastAsia="Times New Roman"/>
          <w:sz w:val="24"/>
          <w:szCs w:val="24"/>
        </w:rPr>
        <w:t>Number of samples taken during the last quarter.</w:t>
      </w:r>
    </w:p>
    <w:p w14:paraId="2819FF0A" w14:textId="77777777" w:rsidR="004647B9" w:rsidRPr="00B276F4" w:rsidRDefault="00E2436F" w:rsidP="007737DA">
      <w:pPr>
        <w:numPr>
          <w:ilvl w:val="3"/>
          <w:numId w:val="392"/>
        </w:numPr>
        <w:tabs>
          <w:tab w:val="left" w:pos="2640"/>
        </w:tabs>
        <w:ind w:left="2635" w:hanging="360"/>
        <w:rPr>
          <w:rFonts w:eastAsia="Times New Roman"/>
          <w:sz w:val="24"/>
          <w:szCs w:val="24"/>
        </w:rPr>
      </w:pPr>
      <w:r w:rsidRPr="00B276F4">
        <w:rPr>
          <w:rFonts w:eastAsia="Times New Roman"/>
          <w:sz w:val="24"/>
          <w:szCs w:val="24"/>
        </w:rPr>
        <w:t>Date and results of each sample taken during the last quarter.</w:t>
      </w:r>
    </w:p>
    <w:p w14:paraId="2819FF0B" w14:textId="77777777" w:rsidR="004647B9" w:rsidRPr="00B276F4" w:rsidRDefault="00E2436F" w:rsidP="007737DA">
      <w:pPr>
        <w:numPr>
          <w:ilvl w:val="3"/>
          <w:numId w:val="392"/>
        </w:numPr>
        <w:tabs>
          <w:tab w:val="left" w:pos="2635"/>
        </w:tabs>
        <w:ind w:left="2275"/>
        <w:jc w:val="both"/>
        <w:rPr>
          <w:rFonts w:eastAsia="Times New Roman"/>
          <w:sz w:val="24"/>
          <w:szCs w:val="24"/>
        </w:rPr>
      </w:pPr>
      <w:r w:rsidRPr="00B276F4">
        <w:rPr>
          <w:rFonts w:eastAsia="Times New Roman"/>
          <w:sz w:val="24"/>
          <w:szCs w:val="24"/>
        </w:rPr>
        <w:t>Arithmetic average of quarterly results for the last four quarters for each monitoring location (LRAA), beginning at the end of the fourth calendar quarter that follows the compliance date and at the end of each subsequent quarter. If the LRAA calculated based on fewer than four quarters of data would cause the MCL to be exceeded regardless of the monitoring results of subsequent quarters, they must report this information to the Department as part of the first report due following the compliance date or anytime thereafter that this determination is made. If the Supplier of Water is required to conduct monitoring at a frequency that is less than quarterly, they must make compliance calculations beginning with the first compliance sample taken after the compliance date, unless they are required to conduct increased monitoring under 310 CMR 22.07F(12).</w:t>
      </w:r>
    </w:p>
    <w:p w14:paraId="2819FF0D" w14:textId="77777777" w:rsidR="004647B9" w:rsidRPr="00B276F4" w:rsidRDefault="00E2436F" w:rsidP="007737DA">
      <w:pPr>
        <w:numPr>
          <w:ilvl w:val="3"/>
          <w:numId w:val="392"/>
        </w:numPr>
        <w:tabs>
          <w:tab w:val="left" w:pos="2635"/>
        </w:tabs>
        <w:ind w:left="2275"/>
        <w:rPr>
          <w:rFonts w:eastAsia="Times New Roman"/>
          <w:sz w:val="24"/>
          <w:szCs w:val="24"/>
        </w:rPr>
      </w:pPr>
      <w:r w:rsidRPr="00B276F4">
        <w:rPr>
          <w:rFonts w:eastAsia="Times New Roman"/>
          <w:sz w:val="24"/>
          <w:szCs w:val="24"/>
        </w:rPr>
        <w:t>Whether, based on 310 CMR 22.07E(1) and 22.07F, the MCL was violated at any monitoring location.</w:t>
      </w:r>
    </w:p>
    <w:p w14:paraId="2819FF0F" w14:textId="77777777" w:rsidR="004647B9" w:rsidRPr="00B276F4" w:rsidRDefault="00E2436F" w:rsidP="007737DA">
      <w:pPr>
        <w:numPr>
          <w:ilvl w:val="3"/>
          <w:numId w:val="392"/>
        </w:numPr>
        <w:tabs>
          <w:tab w:val="left" w:pos="2635"/>
        </w:tabs>
        <w:ind w:left="2275"/>
        <w:rPr>
          <w:rFonts w:eastAsia="Times New Roman"/>
          <w:sz w:val="24"/>
          <w:szCs w:val="24"/>
        </w:rPr>
      </w:pPr>
      <w:r w:rsidRPr="00B276F4">
        <w:rPr>
          <w:rFonts w:eastAsia="Times New Roman"/>
          <w:sz w:val="24"/>
          <w:szCs w:val="24"/>
        </w:rPr>
        <w:t>Any operational evaluation levels that were exceeded during the quarter and, if so, the location and date, and the calculated TTHM and HAA5 levels.</w:t>
      </w:r>
    </w:p>
    <w:p w14:paraId="2819FF11" w14:textId="77777777" w:rsidR="004647B9" w:rsidRPr="00B276F4" w:rsidRDefault="00E2436F" w:rsidP="007737DA">
      <w:pPr>
        <w:numPr>
          <w:ilvl w:val="2"/>
          <w:numId w:val="392"/>
        </w:numPr>
        <w:tabs>
          <w:tab w:val="left" w:pos="2395"/>
        </w:tabs>
        <w:ind w:left="1920" w:hanging="5"/>
        <w:jc w:val="both"/>
        <w:rPr>
          <w:rFonts w:eastAsia="Times New Roman"/>
          <w:sz w:val="24"/>
          <w:szCs w:val="24"/>
        </w:rPr>
      </w:pPr>
      <w:r w:rsidRPr="00B276F4">
        <w:rPr>
          <w:rFonts w:eastAsia="Times New Roman"/>
          <w:sz w:val="24"/>
          <w:szCs w:val="24"/>
        </w:rPr>
        <w:t>If the Supplier of Water is a Surface Water or Groundwater under the Direct Influence of Surface Water system seeking to qualify for or remain on reduced TTHM/HAA5 monitoring, they must report the following source water TOC information for each treatment plant that treats Surface Water or Groundwater under the Direct Influence of Surface Water to the Department within ten days of the end of any quarter in which monitoring is required:</w:t>
      </w:r>
    </w:p>
    <w:p w14:paraId="2819FF13" w14:textId="77777777" w:rsidR="004647B9" w:rsidRPr="00B276F4" w:rsidRDefault="00E2436F" w:rsidP="00E2081A">
      <w:pPr>
        <w:numPr>
          <w:ilvl w:val="3"/>
          <w:numId w:val="392"/>
        </w:numPr>
        <w:tabs>
          <w:tab w:val="left" w:pos="2600"/>
        </w:tabs>
        <w:ind w:left="2275"/>
        <w:rPr>
          <w:rFonts w:eastAsia="Times New Roman"/>
          <w:sz w:val="24"/>
          <w:szCs w:val="24"/>
        </w:rPr>
      </w:pPr>
      <w:r w:rsidRPr="00B276F4">
        <w:rPr>
          <w:rFonts w:eastAsia="Times New Roman"/>
          <w:sz w:val="24"/>
          <w:szCs w:val="24"/>
        </w:rPr>
        <w:t>The number of source water TOC samples taken each month during last quarter.</w:t>
      </w:r>
    </w:p>
    <w:p w14:paraId="2819FF15" w14:textId="77777777" w:rsidR="004647B9" w:rsidRPr="00B276F4" w:rsidRDefault="00E2436F" w:rsidP="007737DA">
      <w:pPr>
        <w:numPr>
          <w:ilvl w:val="3"/>
          <w:numId w:val="392"/>
        </w:numPr>
        <w:tabs>
          <w:tab w:val="left" w:pos="2640"/>
        </w:tabs>
        <w:ind w:left="2640" w:hanging="365"/>
        <w:rPr>
          <w:rFonts w:eastAsia="Times New Roman"/>
          <w:sz w:val="24"/>
          <w:szCs w:val="24"/>
        </w:rPr>
      </w:pPr>
      <w:r w:rsidRPr="00B276F4">
        <w:rPr>
          <w:rFonts w:eastAsia="Times New Roman"/>
          <w:sz w:val="24"/>
          <w:szCs w:val="24"/>
        </w:rPr>
        <w:t>The date and result of each sample taken during last quarter.</w:t>
      </w:r>
    </w:p>
    <w:p w14:paraId="2819FF16" w14:textId="77777777" w:rsidR="004647B9" w:rsidRPr="00B276F4" w:rsidRDefault="00E2436F" w:rsidP="007737DA">
      <w:pPr>
        <w:numPr>
          <w:ilvl w:val="3"/>
          <w:numId w:val="392"/>
        </w:numPr>
        <w:tabs>
          <w:tab w:val="left" w:pos="2616"/>
        </w:tabs>
        <w:ind w:left="2280" w:hanging="5"/>
        <w:rPr>
          <w:rFonts w:eastAsia="Times New Roman"/>
          <w:sz w:val="24"/>
          <w:szCs w:val="24"/>
        </w:rPr>
      </w:pPr>
      <w:r w:rsidRPr="00B276F4">
        <w:rPr>
          <w:rFonts w:eastAsia="Times New Roman"/>
          <w:sz w:val="24"/>
          <w:szCs w:val="24"/>
        </w:rPr>
        <w:t>The quarterly average of monthly samples taken during last quarter or the result of the quarterly sample.</w:t>
      </w:r>
    </w:p>
    <w:p w14:paraId="2819FF18" w14:textId="77777777" w:rsidR="004647B9" w:rsidRPr="00B276F4" w:rsidRDefault="00E2436F" w:rsidP="007737DA">
      <w:pPr>
        <w:numPr>
          <w:ilvl w:val="3"/>
          <w:numId w:val="392"/>
        </w:numPr>
        <w:tabs>
          <w:tab w:val="left" w:pos="2654"/>
        </w:tabs>
        <w:ind w:left="2280" w:hanging="5"/>
        <w:rPr>
          <w:rFonts w:eastAsia="Times New Roman"/>
          <w:sz w:val="24"/>
          <w:szCs w:val="24"/>
        </w:rPr>
      </w:pPr>
      <w:r w:rsidRPr="00B276F4">
        <w:rPr>
          <w:rFonts w:eastAsia="Times New Roman"/>
          <w:sz w:val="24"/>
          <w:szCs w:val="24"/>
        </w:rPr>
        <w:lastRenderedPageBreak/>
        <w:t>The Running Annual Average (RAA) of quarterly averages from the past four quarters.</w:t>
      </w:r>
    </w:p>
    <w:p w14:paraId="2819FF1A" w14:textId="77777777" w:rsidR="004647B9" w:rsidRPr="00B276F4" w:rsidRDefault="00E2436F" w:rsidP="007737DA">
      <w:pPr>
        <w:numPr>
          <w:ilvl w:val="3"/>
          <w:numId w:val="392"/>
        </w:numPr>
        <w:tabs>
          <w:tab w:val="left" w:pos="2620"/>
        </w:tabs>
        <w:ind w:left="2620" w:hanging="345"/>
        <w:rPr>
          <w:rFonts w:eastAsia="Times New Roman"/>
          <w:sz w:val="24"/>
          <w:szCs w:val="24"/>
        </w:rPr>
      </w:pPr>
      <w:r w:rsidRPr="00B276F4">
        <w:rPr>
          <w:rFonts w:eastAsia="Times New Roman"/>
          <w:sz w:val="24"/>
          <w:szCs w:val="24"/>
        </w:rPr>
        <w:t>Whether the RAA exceeded 4.0 mg/L.</w:t>
      </w:r>
    </w:p>
    <w:p w14:paraId="2819FF1B" w14:textId="77777777" w:rsidR="004647B9" w:rsidRDefault="004647B9">
      <w:pPr>
        <w:sectPr w:rsidR="004647B9" w:rsidSect="00EF630C">
          <w:pgSz w:w="12240" w:h="20180"/>
          <w:pgMar w:top="708" w:right="1440" w:bottom="1440" w:left="600" w:header="0" w:footer="0" w:gutter="0"/>
          <w:cols w:space="720"/>
        </w:sectPr>
      </w:pPr>
    </w:p>
    <w:p w14:paraId="2819FF1C" w14:textId="77777777" w:rsidR="004647B9" w:rsidRPr="001B644C" w:rsidRDefault="00E2436F">
      <w:pPr>
        <w:tabs>
          <w:tab w:val="left" w:pos="160"/>
        </w:tabs>
        <w:jc w:val="center"/>
        <w:rPr>
          <w:sz w:val="24"/>
          <w:szCs w:val="24"/>
        </w:rPr>
      </w:pPr>
      <w:bookmarkStart w:id="147" w:name="page149"/>
      <w:bookmarkEnd w:id="147"/>
      <w:r w:rsidRPr="001B644C">
        <w:rPr>
          <w:rFonts w:eastAsia="Times New Roman"/>
          <w:sz w:val="24"/>
          <w:szCs w:val="24"/>
        </w:rPr>
        <w:lastRenderedPageBreak/>
        <w:t>310 CMR:</w:t>
      </w:r>
      <w:r w:rsidRPr="001B644C">
        <w:rPr>
          <w:sz w:val="24"/>
          <w:szCs w:val="24"/>
        </w:rPr>
        <w:tab/>
      </w:r>
      <w:r w:rsidRPr="001B644C">
        <w:rPr>
          <w:rFonts w:eastAsia="Times New Roman"/>
          <w:sz w:val="24"/>
          <w:szCs w:val="24"/>
        </w:rPr>
        <w:t>DEPARTMENT OF ENVIRONMENTAL PROTECTION</w:t>
      </w:r>
    </w:p>
    <w:p w14:paraId="2819FF1D" w14:textId="77777777" w:rsidR="004647B9" w:rsidRPr="007737DA" w:rsidRDefault="004647B9" w:rsidP="008B529C">
      <w:pPr>
        <w:rPr>
          <w:sz w:val="20"/>
          <w:szCs w:val="20"/>
        </w:rPr>
      </w:pPr>
    </w:p>
    <w:p w14:paraId="2819FF1E" w14:textId="77777777" w:rsidR="004647B9" w:rsidRDefault="004647B9" w:rsidP="008B529C">
      <w:pPr>
        <w:rPr>
          <w:sz w:val="20"/>
          <w:szCs w:val="20"/>
        </w:rPr>
      </w:pPr>
    </w:p>
    <w:p w14:paraId="2819FF1F" w14:textId="77777777" w:rsidR="004647B9" w:rsidRPr="001B644C" w:rsidRDefault="00E2436F" w:rsidP="008B529C">
      <w:pPr>
        <w:tabs>
          <w:tab w:val="left" w:pos="900"/>
        </w:tabs>
        <w:rPr>
          <w:sz w:val="24"/>
          <w:szCs w:val="24"/>
        </w:rPr>
      </w:pPr>
      <w:r w:rsidRPr="001B644C">
        <w:rPr>
          <w:rFonts w:eastAsia="Times New Roman"/>
          <w:sz w:val="24"/>
          <w:szCs w:val="24"/>
        </w:rPr>
        <w:t>22.07F:</w:t>
      </w:r>
      <w:r w:rsidRPr="001B644C">
        <w:rPr>
          <w:sz w:val="24"/>
          <w:szCs w:val="24"/>
        </w:rPr>
        <w:tab/>
      </w:r>
      <w:r w:rsidRPr="001B644C">
        <w:rPr>
          <w:rFonts w:eastAsia="Times New Roman"/>
          <w:sz w:val="24"/>
          <w:szCs w:val="24"/>
        </w:rPr>
        <w:t>continued</w:t>
      </w:r>
    </w:p>
    <w:p w14:paraId="2819FF20" w14:textId="77777777" w:rsidR="004647B9" w:rsidRPr="007737DA" w:rsidRDefault="004647B9" w:rsidP="008B529C">
      <w:pPr>
        <w:rPr>
          <w:sz w:val="20"/>
          <w:szCs w:val="20"/>
        </w:rPr>
      </w:pPr>
    </w:p>
    <w:p w14:paraId="2819FF21" w14:textId="77777777" w:rsidR="004647B9" w:rsidRPr="001B644C" w:rsidRDefault="00E2436F" w:rsidP="008B529C">
      <w:pPr>
        <w:numPr>
          <w:ilvl w:val="1"/>
          <w:numId w:val="393"/>
        </w:numPr>
        <w:tabs>
          <w:tab w:val="left" w:pos="2215"/>
        </w:tabs>
        <w:ind w:left="1920" w:hanging="5"/>
        <w:jc w:val="both"/>
        <w:rPr>
          <w:rFonts w:eastAsia="Times New Roman"/>
          <w:sz w:val="24"/>
          <w:szCs w:val="24"/>
        </w:rPr>
      </w:pPr>
      <w:r w:rsidRPr="001B644C">
        <w:rPr>
          <w:rFonts w:eastAsia="Times New Roman"/>
          <w:sz w:val="24"/>
          <w:szCs w:val="24"/>
        </w:rPr>
        <w:t xml:space="preserve">The Department may choose to perform calculations and determine whether the MCL was exceeded or the system is eligible for reduced monitoring in </w:t>
      </w:r>
      <w:r w:rsidRPr="001B644C">
        <w:rPr>
          <w:rFonts w:eastAsia="Times New Roman"/>
          <w:i/>
          <w:iCs/>
          <w:sz w:val="24"/>
          <w:szCs w:val="24"/>
        </w:rPr>
        <w:t>lieu</w:t>
      </w:r>
      <w:r w:rsidRPr="001B644C">
        <w:rPr>
          <w:rFonts w:eastAsia="Times New Roman"/>
          <w:sz w:val="24"/>
          <w:szCs w:val="24"/>
        </w:rPr>
        <w:t xml:space="preserve"> of having the system report that information.</w:t>
      </w:r>
    </w:p>
    <w:p w14:paraId="2819FF25" w14:textId="14EC4E6F" w:rsidR="004647B9" w:rsidRPr="001B644C" w:rsidRDefault="00E2436F" w:rsidP="008B529C">
      <w:pPr>
        <w:numPr>
          <w:ilvl w:val="0"/>
          <w:numId w:val="394"/>
        </w:numPr>
        <w:tabs>
          <w:tab w:val="left" w:pos="2160"/>
        </w:tabs>
        <w:ind w:left="1555"/>
        <w:rPr>
          <w:rFonts w:eastAsia="Times New Roman"/>
          <w:sz w:val="24"/>
          <w:szCs w:val="24"/>
        </w:rPr>
      </w:pPr>
      <w:r w:rsidRPr="001B644C">
        <w:rPr>
          <w:rFonts w:eastAsia="Times New Roman"/>
          <w:sz w:val="24"/>
          <w:szCs w:val="24"/>
          <w:u w:val="single"/>
        </w:rPr>
        <w:t>Recordkeeping</w:t>
      </w:r>
      <w:r w:rsidRPr="001B644C">
        <w:rPr>
          <w:rFonts w:eastAsia="Times New Roman"/>
          <w:sz w:val="24"/>
          <w:szCs w:val="24"/>
        </w:rPr>
        <w:t>. The Supplier of Water must retain any monitoring plans required under</w:t>
      </w:r>
      <w:r w:rsidR="00221E07" w:rsidRPr="001B644C">
        <w:rPr>
          <w:rFonts w:eastAsia="Times New Roman"/>
          <w:sz w:val="24"/>
          <w:szCs w:val="24"/>
        </w:rPr>
        <w:t xml:space="preserve"> </w:t>
      </w:r>
      <w:r w:rsidRPr="001B644C">
        <w:rPr>
          <w:rFonts w:eastAsia="Times New Roman"/>
          <w:sz w:val="24"/>
          <w:szCs w:val="24"/>
        </w:rPr>
        <w:t>310 CMR 22.07F and their monitoring results as required by 310 CMR 22.07E(8).</w:t>
      </w:r>
    </w:p>
    <w:p w14:paraId="4889B4DE" w14:textId="29A62D79" w:rsidR="000B048D" w:rsidRPr="001B644C" w:rsidRDefault="000B048D" w:rsidP="008B529C">
      <w:pPr>
        <w:tabs>
          <w:tab w:val="left" w:pos="1960"/>
        </w:tabs>
        <w:rPr>
          <w:rFonts w:eastAsia="Times New Roman"/>
          <w:sz w:val="24"/>
          <w:szCs w:val="24"/>
        </w:rPr>
      </w:pPr>
    </w:p>
    <w:p w14:paraId="2F0DDA99" w14:textId="725534F0" w:rsidR="001E76FD" w:rsidRPr="001B644C" w:rsidRDefault="001E76FD" w:rsidP="008B529C">
      <w:pPr>
        <w:tabs>
          <w:tab w:val="left" w:pos="901"/>
        </w:tabs>
        <w:ind w:left="1"/>
        <w:rPr>
          <w:rFonts w:eastAsia="Times New Roman"/>
          <w:sz w:val="24"/>
          <w:szCs w:val="24"/>
          <w:u w:val="single"/>
        </w:rPr>
      </w:pPr>
      <w:r w:rsidRPr="001B644C">
        <w:rPr>
          <w:rFonts w:eastAsia="Times New Roman"/>
          <w:sz w:val="24"/>
          <w:szCs w:val="24"/>
          <w:u w:val="single"/>
        </w:rPr>
        <w:t>22.07G: Per- and Polyfluoroalkyl Substances (PFAS) Monitoring and Analytical Requirements</w:t>
      </w:r>
    </w:p>
    <w:p w14:paraId="49DCC297" w14:textId="77777777" w:rsidR="00DD005F" w:rsidRPr="001B644C" w:rsidRDefault="00DD005F" w:rsidP="008B529C">
      <w:pPr>
        <w:tabs>
          <w:tab w:val="left" w:pos="901"/>
        </w:tabs>
        <w:ind w:left="1"/>
        <w:rPr>
          <w:rFonts w:eastAsia="Times New Roman"/>
          <w:sz w:val="24"/>
          <w:szCs w:val="24"/>
          <w:u w:val="single"/>
        </w:rPr>
      </w:pPr>
    </w:p>
    <w:p w14:paraId="62561FD7" w14:textId="627F5FB9" w:rsidR="001E76FD" w:rsidRPr="001B644C" w:rsidRDefault="001E76FD" w:rsidP="008B529C">
      <w:pPr>
        <w:numPr>
          <w:ilvl w:val="0"/>
          <w:numId w:val="969"/>
        </w:numPr>
        <w:tabs>
          <w:tab w:val="left" w:pos="1440"/>
        </w:tabs>
        <w:ind w:left="1008"/>
        <w:rPr>
          <w:rFonts w:eastAsia="Times New Roman"/>
          <w:sz w:val="24"/>
          <w:szCs w:val="24"/>
          <w:u w:val="single"/>
        </w:rPr>
      </w:pPr>
      <w:r w:rsidRPr="001B644C">
        <w:rPr>
          <w:rFonts w:eastAsia="Times New Roman"/>
          <w:sz w:val="24"/>
          <w:szCs w:val="24"/>
          <w:u w:val="single"/>
        </w:rPr>
        <w:t>General Applicability.</w:t>
      </w:r>
      <w:r w:rsidRPr="001B644C">
        <w:rPr>
          <w:rFonts w:eastAsia="Times New Roman"/>
          <w:sz w:val="24"/>
          <w:szCs w:val="24"/>
        </w:rPr>
        <w:t xml:space="preserve"> Every Supplier of Water operating a Community Water System or</w:t>
      </w:r>
      <w:r w:rsidR="00563A54" w:rsidRPr="001B644C">
        <w:rPr>
          <w:rFonts w:eastAsia="Times New Roman"/>
          <w:sz w:val="24"/>
          <w:szCs w:val="24"/>
        </w:rPr>
        <w:t xml:space="preserve"> </w:t>
      </w:r>
      <w:r w:rsidRPr="001B644C">
        <w:rPr>
          <w:rFonts w:eastAsia="Times New Roman"/>
          <w:sz w:val="24"/>
          <w:szCs w:val="24"/>
        </w:rPr>
        <w:t>Non-transient, Non-community Water System shall be subject to 310 CMR 22.07G(3) through</w:t>
      </w:r>
      <w:r w:rsidR="00563A54" w:rsidRPr="001B644C">
        <w:rPr>
          <w:rFonts w:eastAsia="Times New Roman"/>
          <w:sz w:val="24"/>
          <w:szCs w:val="24"/>
        </w:rPr>
        <w:t xml:space="preserve"> </w:t>
      </w:r>
      <w:r w:rsidRPr="001B644C">
        <w:rPr>
          <w:rFonts w:eastAsia="Times New Roman"/>
          <w:sz w:val="24"/>
          <w:szCs w:val="24"/>
        </w:rPr>
        <w:t>(17).</w:t>
      </w:r>
    </w:p>
    <w:p w14:paraId="705F6BFE" w14:textId="77777777" w:rsidR="00DD0DBA" w:rsidRPr="001B644C" w:rsidRDefault="00DD0DBA" w:rsidP="008B529C">
      <w:pPr>
        <w:tabs>
          <w:tab w:val="left" w:pos="1710"/>
        </w:tabs>
        <w:rPr>
          <w:rFonts w:eastAsia="Times New Roman"/>
          <w:sz w:val="24"/>
          <w:szCs w:val="24"/>
          <w:u w:val="single"/>
        </w:rPr>
      </w:pPr>
    </w:p>
    <w:p w14:paraId="6A6786EC" w14:textId="4D027004" w:rsidR="008F3373" w:rsidRPr="001B644C" w:rsidRDefault="001E76FD" w:rsidP="008B529C">
      <w:pPr>
        <w:numPr>
          <w:ilvl w:val="0"/>
          <w:numId w:val="969"/>
        </w:numPr>
        <w:tabs>
          <w:tab w:val="left" w:pos="1440"/>
        </w:tabs>
        <w:ind w:left="1008"/>
        <w:rPr>
          <w:rFonts w:eastAsia="Times New Roman"/>
          <w:sz w:val="24"/>
          <w:szCs w:val="24"/>
          <w:u w:val="single"/>
        </w:rPr>
      </w:pPr>
      <w:r w:rsidRPr="001B644C">
        <w:rPr>
          <w:rFonts w:eastAsia="Times New Roman"/>
          <w:sz w:val="24"/>
          <w:szCs w:val="24"/>
          <w:u w:val="single"/>
        </w:rPr>
        <w:t>Special Applicability for Transient, Non-community Water Systems.</w:t>
      </w:r>
      <w:r w:rsidRPr="001B644C">
        <w:rPr>
          <w:rFonts w:eastAsia="Times New Roman"/>
          <w:sz w:val="24"/>
          <w:szCs w:val="24"/>
        </w:rPr>
        <w:t xml:space="preserve"> Every Supplier of</w:t>
      </w:r>
      <w:r w:rsidR="00DD0DBA" w:rsidRPr="001B644C">
        <w:rPr>
          <w:rFonts w:eastAsia="Times New Roman"/>
          <w:sz w:val="24"/>
          <w:szCs w:val="24"/>
        </w:rPr>
        <w:t xml:space="preserve"> </w:t>
      </w:r>
      <w:r w:rsidRPr="001B644C">
        <w:rPr>
          <w:rFonts w:eastAsia="Times New Roman"/>
          <w:sz w:val="24"/>
          <w:szCs w:val="24"/>
        </w:rPr>
        <w:t>Water operating a Transient, Non-community Water System shall collect, analyze and report the</w:t>
      </w:r>
      <w:r w:rsidR="00DD0DBA" w:rsidRPr="001B644C">
        <w:rPr>
          <w:rFonts w:eastAsia="Times New Roman"/>
          <w:sz w:val="24"/>
          <w:szCs w:val="24"/>
        </w:rPr>
        <w:t xml:space="preserve"> </w:t>
      </w:r>
      <w:r w:rsidRPr="001B644C">
        <w:rPr>
          <w:rFonts w:eastAsia="Times New Roman"/>
          <w:sz w:val="24"/>
          <w:szCs w:val="24"/>
        </w:rPr>
        <w:t>results of one sample from each Sampling Point, or alternate sampling location required by the</w:t>
      </w:r>
      <w:r w:rsidR="00DD0DBA" w:rsidRPr="001B644C">
        <w:rPr>
          <w:rFonts w:eastAsia="Times New Roman"/>
          <w:sz w:val="24"/>
          <w:szCs w:val="24"/>
        </w:rPr>
        <w:t xml:space="preserve"> </w:t>
      </w:r>
      <w:r w:rsidRPr="001B644C">
        <w:rPr>
          <w:rFonts w:eastAsia="Times New Roman"/>
          <w:sz w:val="24"/>
          <w:szCs w:val="24"/>
        </w:rPr>
        <w:t>Department pursuant to 310 CMR 22.07G(4)(a) or (b), no later than September 30, 2022. All</w:t>
      </w:r>
      <w:r w:rsidR="00DD0DBA" w:rsidRPr="001B644C">
        <w:rPr>
          <w:rFonts w:eastAsia="Times New Roman"/>
          <w:sz w:val="24"/>
          <w:szCs w:val="24"/>
        </w:rPr>
        <w:t xml:space="preserve"> </w:t>
      </w:r>
      <w:r w:rsidRPr="001B644C">
        <w:rPr>
          <w:rFonts w:eastAsia="Times New Roman"/>
          <w:sz w:val="24"/>
          <w:szCs w:val="24"/>
        </w:rPr>
        <w:t>such monitoring shall be performed in compliance with the provisions addressing monitoring</w:t>
      </w:r>
      <w:r w:rsidR="00DD0DBA" w:rsidRPr="001B644C">
        <w:rPr>
          <w:rFonts w:eastAsia="Times New Roman"/>
          <w:sz w:val="24"/>
          <w:szCs w:val="24"/>
        </w:rPr>
        <w:t xml:space="preserve"> </w:t>
      </w:r>
      <w:r w:rsidRPr="001B644C">
        <w:rPr>
          <w:rFonts w:eastAsia="Times New Roman"/>
          <w:sz w:val="24"/>
          <w:szCs w:val="24"/>
        </w:rPr>
        <w:t>protocols, invalidation of PFAS samples, PFAS analytical requirements, PFAS reporting</w:t>
      </w:r>
      <w:r w:rsidR="00DD0DBA" w:rsidRPr="001B644C">
        <w:rPr>
          <w:rFonts w:eastAsia="Times New Roman"/>
          <w:sz w:val="24"/>
          <w:szCs w:val="24"/>
        </w:rPr>
        <w:t xml:space="preserve"> </w:t>
      </w:r>
      <w:r w:rsidRPr="001B644C">
        <w:rPr>
          <w:rFonts w:eastAsia="Times New Roman"/>
          <w:sz w:val="24"/>
          <w:szCs w:val="24"/>
        </w:rPr>
        <w:t>requirements, PFAS6 minimum reporting levels and electronic filing requirement set forth in</w:t>
      </w:r>
      <w:r w:rsidR="00DD0DBA" w:rsidRPr="001B644C">
        <w:rPr>
          <w:rFonts w:eastAsia="Times New Roman"/>
          <w:sz w:val="24"/>
          <w:szCs w:val="24"/>
        </w:rPr>
        <w:t xml:space="preserve"> </w:t>
      </w:r>
      <w:r w:rsidRPr="001B644C">
        <w:rPr>
          <w:rFonts w:eastAsia="Times New Roman"/>
          <w:sz w:val="24"/>
          <w:szCs w:val="24"/>
        </w:rPr>
        <w:t>310 CMR 22.07G(4), (9), (12), (13), (16) and (17).</w:t>
      </w:r>
    </w:p>
    <w:p w14:paraId="20B00DBD" w14:textId="77777777" w:rsidR="008F3373" w:rsidRPr="001B644C" w:rsidRDefault="008F3373" w:rsidP="008B529C">
      <w:pPr>
        <w:pStyle w:val="ListParagraph"/>
        <w:ind w:left="0"/>
        <w:rPr>
          <w:sz w:val="24"/>
          <w:szCs w:val="24"/>
        </w:rPr>
      </w:pPr>
    </w:p>
    <w:p w14:paraId="000CADC3" w14:textId="4C7672D2" w:rsidR="001E76FD" w:rsidRPr="001B644C" w:rsidRDefault="001E76FD" w:rsidP="008B529C">
      <w:pPr>
        <w:numPr>
          <w:ilvl w:val="0"/>
          <w:numId w:val="969"/>
        </w:numPr>
        <w:tabs>
          <w:tab w:val="left" w:pos="1440"/>
        </w:tabs>
        <w:ind w:left="1008"/>
        <w:rPr>
          <w:rFonts w:eastAsia="Times New Roman"/>
          <w:sz w:val="24"/>
          <w:szCs w:val="24"/>
          <w:u w:val="single"/>
        </w:rPr>
      </w:pPr>
      <w:r w:rsidRPr="001B644C">
        <w:rPr>
          <w:sz w:val="24"/>
          <w:szCs w:val="24"/>
          <w:u w:val="single"/>
        </w:rPr>
        <w:t>Per- and Polyfluoroalkyl Substances</w:t>
      </w:r>
      <w:r w:rsidRPr="001B644C">
        <w:rPr>
          <w:sz w:val="24"/>
          <w:szCs w:val="24"/>
        </w:rPr>
        <w:t>.</w:t>
      </w:r>
    </w:p>
    <w:p w14:paraId="0172D3A2" w14:textId="05A03AC8" w:rsidR="001E76FD" w:rsidRPr="001B644C" w:rsidRDefault="001E76FD" w:rsidP="008B529C">
      <w:pPr>
        <w:pStyle w:val="ListParagraph"/>
        <w:numPr>
          <w:ilvl w:val="1"/>
          <w:numId w:val="970"/>
        </w:numPr>
        <w:tabs>
          <w:tab w:val="left" w:pos="1800"/>
        </w:tabs>
        <w:autoSpaceDE w:val="0"/>
        <w:autoSpaceDN w:val="0"/>
        <w:adjustRightInd w:val="0"/>
        <w:ind w:left="1296" w:firstLine="0"/>
        <w:rPr>
          <w:sz w:val="24"/>
          <w:szCs w:val="24"/>
        </w:rPr>
      </w:pPr>
      <w:r w:rsidRPr="001B644C">
        <w:rPr>
          <w:sz w:val="24"/>
          <w:szCs w:val="24"/>
          <w:u w:val="single"/>
        </w:rPr>
        <w:t>PFAS</w:t>
      </w:r>
      <w:r w:rsidRPr="001B644C">
        <w:rPr>
          <w:sz w:val="24"/>
          <w:szCs w:val="24"/>
        </w:rPr>
        <w:t>. PFAS shall mean per- and polyfluoroalkyl substances.</w:t>
      </w:r>
    </w:p>
    <w:p w14:paraId="6D5109DB" w14:textId="5FE49715" w:rsidR="001E76FD" w:rsidRPr="001B644C" w:rsidRDefault="001E76FD" w:rsidP="008B529C">
      <w:pPr>
        <w:pStyle w:val="ListParagraph"/>
        <w:numPr>
          <w:ilvl w:val="1"/>
          <w:numId w:val="970"/>
        </w:numPr>
        <w:tabs>
          <w:tab w:val="left" w:pos="1800"/>
        </w:tabs>
        <w:autoSpaceDE w:val="0"/>
        <w:autoSpaceDN w:val="0"/>
        <w:adjustRightInd w:val="0"/>
        <w:ind w:left="1296" w:firstLine="0"/>
        <w:rPr>
          <w:sz w:val="24"/>
          <w:szCs w:val="24"/>
        </w:rPr>
      </w:pPr>
      <w:r w:rsidRPr="001B644C">
        <w:rPr>
          <w:sz w:val="24"/>
          <w:szCs w:val="24"/>
          <w:u w:val="single"/>
        </w:rPr>
        <w:t>PFAS Detection</w:t>
      </w:r>
      <w:r w:rsidRPr="001B644C">
        <w:rPr>
          <w:sz w:val="24"/>
          <w:szCs w:val="24"/>
        </w:rPr>
        <w:t>. PFAS Detection shall mean a concentration of any PFAS measured</w:t>
      </w:r>
      <w:r w:rsidR="008F3373" w:rsidRPr="001B644C">
        <w:rPr>
          <w:sz w:val="24"/>
          <w:szCs w:val="24"/>
        </w:rPr>
        <w:t xml:space="preserve"> </w:t>
      </w:r>
      <w:r w:rsidRPr="001B644C">
        <w:rPr>
          <w:sz w:val="24"/>
          <w:szCs w:val="24"/>
        </w:rPr>
        <w:t>in accordance with 310 CMR 22.07G(12) which is greater than or equal to the analytical</w:t>
      </w:r>
      <w:r w:rsidR="008F3373" w:rsidRPr="001B644C">
        <w:rPr>
          <w:sz w:val="24"/>
          <w:szCs w:val="24"/>
        </w:rPr>
        <w:t xml:space="preserve"> </w:t>
      </w:r>
      <w:r w:rsidRPr="001B644C">
        <w:rPr>
          <w:sz w:val="24"/>
          <w:szCs w:val="24"/>
        </w:rPr>
        <w:t>laboratory's applicable Minimum Reporting Level (or MRL).</w:t>
      </w:r>
    </w:p>
    <w:p w14:paraId="254B3D7C" w14:textId="4F71F2B7" w:rsidR="001E76FD" w:rsidRPr="001B644C" w:rsidRDefault="001E76FD" w:rsidP="008B529C">
      <w:pPr>
        <w:pStyle w:val="ListParagraph"/>
        <w:numPr>
          <w:ilvl w:val="1"/>
          <w:numId w:val="970"/>
        </w:numPr>
        <w:tabs>
          <w:tab w:val="left" w:pos="1800"/>
        </w:tabs>
        <w:autoSpaceDE w:val="0"/>
        <w:autoSpaceDN w:val="0"/>
        <w:adjustRightInd w:val="0"/>
        <w:ind w:left="1296" w:firstLine="0"/>
        <w:rPr>
          <w:sz w:val="24"/>
          <w:szCs w:val="24"/>
        </w:rPr>
      </w:pPr>
      <w:r w:rsidRPr="001B644C">
        <w:rPr>
          <w:sz w:val="24"/>
          <w:szCs w:val="24"/>
          <w:u w:val="single"/>
        </w:rPr>
        <w:t>PFAS6</w:t>
      </w:r>
      <w:r w:rsidRPr="001B644C">
        <w:rPr>
          <w:sz w:val="24"/>
          <w:szCs w:val="24"/>
        </w:rPr>
        <w:t>. PFAS6 shall mean the sum of the concentrations of the six contaminants listed</w:t>
      </w:r>
      <w:r w:rsidR="00052B17" w:rsidRPr="001B644C">
        <w:rPr>
          <w:sz w:val="24"/>
          <w:szCs w:val="24"/>
        </w:rPr>
        <w:t xml:space="preserve"> </w:t>
      </w:r>
      <w:r w:rsidRPr="001B644C">
        <w:rPr>
          <w:sz w:val="24"/>
          <w:szCs w:val="24"/>
        </w:rPr>
        <w:t>in the following table:</w:t>
      </w:r>
    </w:p>
    <w:p w14:paraId="617948BF" w14:textId="77777777" w:rsidR="00052B17" w:rsidRPr="00A70455" w:rsidRDefault="00052B17" w:rsidP="008B529C">
      <w:pPr>
        <w:autoSpaceDE w:val="0"/>
        <w:autoSpaceDN w:val="0"/>
        <w:adjustRightInd w:val="0"/>
        <w:rPr>
          <w:sz w:val="24"/>
          <w:szCs w:val="24"/>
        </w:rPr>
      </w:pPr>
    </w:p>
    <w:tbl>
      <w:tblPr>
        <w:tblStyle w:val="TableGrid"/>
        <w:tblW w:w="0" w:type="auto"/>
        <w:tblInd w:w="1165" w:type="dxa"/>
        <w:tblLook w:val="04A0" w:firstRow="1" w:lastRow="0" w:firstColumn="1" w:lastColumn="0" w:noHBand="0" w:noVBand="1"/>
      </w:tblPr>
      <w:tblGrid>
        <w:gridCol w:w="1710"/>
        <w:gridCol w:w="5130"/>
      </w:tblGrid>
      <w:tr w:rsidR="00052B17" w:rsidRPr="002B0F7E" w14:paraId="43075A48" w14:textId="77777777" w:rsidTr="00052B17">
        <w:tc>
          <w:tcPr>
            <w:tcW w:w="1710" w:type="dxa"/>
          </w:tcPr>
          <w:p w14:paraId="009A49A0" w14:textId="77777777" w:rsidR="00052B17" w:rsidRPr="00A70455" w:rsidRDefault="00052B17" w:rsidP="008B529C">
            <w:pPr>
              <w:autoSpaceDE w:val="0"/>
              <w:autoSpaceDN w:val="0"/>
              <w:adjustRightInd w:val="0"/>
              <w:rPr>
                <w:b/>
                <w:bCs/>
                <w:sz w:val="24"/>
                <w:szCs w:val="24"/>
              </w:rPr>
            </w:pPr>
            <w:r w:rsidRPr="00A70455">
              <w:rPr>
                <w:b/>
                <w:bCs/>
                <w:sz w:val="24"/>
                <w:szCs w:val="24"/>
              </w:rPr>
              <w:t>CAS No.</w:t>
            </w:r>
          </w:p>
        </w:tc>
        <w:tc>
          <w:tcPr>
            <w:tcW w:w="5130" w:type="dxa"/>
          </w:tcPr>
          <w:p w14:paraId="3A073EF7" w14:textId="77777777" w:rsidR="00052B17" w:rsidRPr="00A70455" w:rsidRDefault="00052B17" w:rsidP="008B529C">
            <w:pPr>
              <w:autoSpaceDE w:val="0"/>
              <w:autoSpaceDN w:val="0"/>
              <w:adjustRightInd w:val="0"/>
              <w:rPr>
                <w:b/>
                <w:bCs/>
                <w:sz w:val="24"/>
                <w:szCs w:val="24"/>
              </w:rPr>
            </w:pPr>
            <w:r w:rsidRPr="00A70455">
              <w:rPr>
                <w:b/>
                <w:bCs/>
                <w:sz w:val="24"/>
                <w:szCs w:val="24"/>
              </w:rPr>
              <w:t>Contaminant</w:t>
            </w:r>
          </w:p>
        </w:tc>
      </w:tr>
      <w:tr w:rsidR="00052B17" w:rsidRPr="002B0F7E" w14:paraId="2390AD95" w14:textId="77777777" w:rsidTr="00052B17">
        <w:tc>
          <w:tcPr>
            <w:tcW w:w="1710" w:type="dxa"/>
          </w:tcPr>
          <w:p w14:paraId="0C1F4537" w14:textId="77777777" w:rsidR="00052B17" w:rsidRPr="00A70455" w:rsidRDefault="00052B17" w:rsidP="008B529C">
            <w:pPr>
              <w:autoSpaceDE w:val="0"/>
              <w:autoSpaceDN w:val="0"/>
              <w:adjustRightInd w:val="0"/>
              <w:rPr>
                <w:sz w:val="24"/>
                <w:szCs w:val="24"/>
              </w:rPr>
            </w:pPr>
            <w:r w:rsidRPr="00A70455">
              <w:rPr>
                <w:sz w:val="24"/>
                <w:szCs w:val="24"/>
              </w:rPr>
              <w:t>1763-23-1</w:t>
            </w:r>
          </w:p>
        </w:tc>
        <w:tc>
          <w:tcPr>
            <w:tcW w:w="5130" w:type="dxa"/>
          </w:tcPr>
          <w:p w14:paraId="26AF0648" w14:textId="77777777" w:rsidR="00052B17" w:rsidRPr="00A70455" w:rsidRDefault="00052B17" w:rsidP="008B529C">
            <w:pPr>
              <w:autoSpaceDE w:val="0"/>
              <w:autoSpaceDN w:val="0"/>
              <w:adjustRightInd w:val="0"/>
              <w:rPr>
                <w:sz w:val="24"/>
                <w:szCs w:val="24"/>
              </w:rPr>
            </w:pPr>
            <w:r w:rsidRPr="00A70455">
              <w:rPr>
                <w:sz w:val="24"/>
                <w:szCs w:val="24"/>
              </w:rPr>
              <w:t>Perfluorooctane Sulfonic Acid (PFOS)</w:t>
            </w:r>
          </w:p>
        </w:tc>
      </w:tr>
      <w:tr w:rsidR="00052B17" w:rsidRPr="002B0F7E" w14:paraId="725D4B09" w14:textId="77777777" w:rsidTr="00052B17">
        <w:tc>
          <w:tcPr>
            <w:tcW w:w="1710" w:type="dxa"/>
          </w:tcPr>
          <w:p w14:paraId="005FF42A" w14:textId="77777777" w:rsidR="00052B17" w:rsidRPr="00A70455" w:rsidRDefault="00052B17" w:rsidP="008B529C">
            <w:pPr>
              <w:autoSpaceDE w:val="0"/>
              <w:autoSpaceDN w:val="0"/>
              <w:adjustRightInd w:val="0"/>
              <w:rPr>
                <w:sz w:val="24"/>
                <w:szCs w:val="24"/>
              </w:rPr>
            </w:pPr>
            <w:r w:rsidRPr="00A70455">
              <w:rPr>
                <w:sz w:val="24"/>
                <w:szCs w:val="24"/>
              </w:rPr>
              <w:t>335-67-1</w:t>
            </w:r>
          </w:p>
        </w:tc>
        <w:tc>
          <w:tcPr>
            <w:tcW w:w="5130" w:type="dxa"/>
          </w:tcPr>
          <w:p w14:paraId="7C26AA39" w14:textId="77777777" w:rsidR="00052B17" w:rsidRPr="00A70455" w:rsidRDefault="00052B17" w:rsidP="008B529C">
            <w:pPr>
              <w:autoSpaceDE w:val="0"/>
              <w:autoSpaceDN w:val="0"/>
              <w:adjustRightInd w:val="0"/>
              <w:rPr>
                <w:sz w:val="24"/>
                <w:szCs w:val="24"/>
              </w:rPr>
            </w:pPr>
            <w:r w:rsidRPr="00A70455">
              <w:rPr>
                <w:sz w:val="24"/>
                <w:szCs w:val="24"/>
              </w:rPr>
              <w:t>Perfluorooctanoic Acid (PFOA)</w:t>
            </w:r>
          </w:p>
        </w:tc>
      </w:tr>
      <w:tr w:rsidR="00052B17" w:rsidRPr="002B0F7E" w14:paraId="287F39F7" w14:textId="77777777" w:rsidTr="00052B17">
        <w:tc>
          <w:tcPr>
            <w:tcW w:w="1710" w:type="dxa"/>
          </w:tcPr>
          <w:p w14:paraId="001489F1" w14:textId="77777777" w:rsidR="00052B17" w:rsidRPr="00A70455" w:rsidRDefault="00052B17" w:rsidP="008B529C">
            <w:pPr>
              <w:autoSpaceDE w:val="0"/>
              <w:autoSpaceDN w:val="0"/>
              <w:adjustRightInd w:val="0"/>
              <w:rPr>
                <w:sz w:val="24"/>
                <w:szCs w:val="24"/>
              </w:rPr>
            </w:pPr>
            <w:r w:rsidRPr="00A70455">
              <w:rPr>
                <w:sz w:val="24"/>
                <w:szCs w:val="24"/>
              </w:rPr>
              <w:t>355-46-4</w:t>
            </w:r>
          </w:p>
        </w:tc>
        <w:tc>
          <w:tcPr>
            <w:tcW w:w="5130" w:type="dxa"/>
          </w:tcPr>
          <w:p w14:paraId="2EFC84CB" w14:textId="77777777" w:rsidR="00052B17" w:rsidRPr="00A70455" w:rsidRDefault="00052B17" w:rsidP="008B529C">
            <w:pPr>
              <w:autoSpaceDE w:val="0"/>
              <w:autoSpaceDN w:val="0"/>
              <w:adjustRightInd w:val="0"/>
              <w:rPr>
                <w:sz w:val="24"/>
                <w:szCs w:val="24"/>
              </w:rPr>
            </w:pPr>
            <w:r w:rsidRPr="00A70455">
              <w:rPr>
                <w:sz w:val="24"/>
                <w:szCs w:val="24"/>
              </w:rPr>
              <w:t>Perfluorohexane Sulfonic Acid (PFHxS)</w:t>
            </w:r>
          </w:p>
        </w:tc>
      </w:tr>
      <w:tr w:rsidR="00052B17" w:rsidRPr="002B0F7E" w14:paraId="7AD564A4" w14:textId="77777777" w:rsidTr="00052B17">
        <w:tc>
          <w:tcPr>
            <w:tcW w:w="1710" w:type="dxa"/>
          </w:tcPr>
          <w:p w14:paraId="33DF6E28" w14:textId="77777777" w:rsidR="00052B17" w:rsidRPr="00A70455" w:rsidRDefault="00052B17" w:rsidP="008B529C">
            <w:pPr>
              <w:autoSpaceDE w:val="0"/>
              <w:autoSpaceDN w:val="0"/>
              <w:adjustRightInd w:val="0"/>
              <w:rPr>
                <w:sz w:val="24"/>
                <w:szCs w:val="24"/>
              </w:rPr>
            </w:pPr>
            <w:r w:rsidRPr="00A70455">
              <w:rPr>
                <w:sz w:val="24"/>
                <w:szCs w:val="24"/>
              </w:rPr>
              <w:t>375-95-1</w:t>
            </w:r>
          </w:p>
        </w:tc>
        <w:tc>
          <w:tcPr>
            <w:tcW w:w="5130" w:type="dxa"/>
          </w:tcPr>
          <w:p w14:paraId="1D91BB91" w14:textId="77777777" w:rsidR="00052B17" w:rsidRPr="00A70455" w:rsidRDefault="00052B17" w:rsidP="008B529C">
            <w:pPr>
              <w:autoSpaceDE w:val="0"/>
              <w:autoSpaceDN w:val="0"/>
              <w:adjustRightInd w:val="0"/>
              <w:rPr>
                <w:sz w:val="24"/>
                <w:szCs w:val="24"/>
              </w:rPr>
            </w:pPr>
            <w:r w:rsidRPr="00A70455">
              <w:rPr>
                <w:sz w:val="24"/>
                <w:szCs w:val="24"/>
              </w:rPr>
              <w:t>Perfluorononanoic Acid (PFNA)</w:t>
            </w:r>
          </w:p>
        </w:tc>
      </w:tr>
      <w:tr w:rsidR="00052B17" w:rsidRPr="002B0F7E" w14:paraId="52189961" w14:textId="77777777" w:rsidTr="00052B17">
        <w:tc>
          <w:tcPr>
            <w:tcW w:w="1710" w:type="dxa"/>
          </w:tcPr>
          <w:p w14:paraId="6782E5E8" w14:textId="77777777" w:rsidR="00052B17" w:rsidRPr="00A70455" w:rsidRDefault="00052B17" w:rsidP="008B529C">
            <w:pPr>
              <w:autoSpaceDE w:val="0"/>
              <w:autoSpaceDN w:val="0"/>
              <w:adjustRightInd w:val="0"/>
              <w:rPr>
                <w:sz w:val="24"/>
                <w:szCs w:val="24"/>
              </w:rPr>
            </w:pPr>
            <w:r w:rsidRPr="00A70455">
              <w:rPr>
                <w:sz w:val="24"/>
                <w:szCs w:val="24"/>
              </w:rPr>
              <w:t>375-85-9</w:t>
            </w:r>
          </w:p>
        </w:tc>
        <w:tc>
          <w:tcPr>
            <w:tcW w:w="5130" w:type="dxa"/>
          </w:tcPr>
          <w:p w14:paraId="23BAD8B7" w14:textId="77777777" w:rsidR="00052B17" w:rsidRPr="00A70455" w:rsidRDefault="00052B17" w:rsidP="008B529C">
            <w:pPr>
              <w:autoSpaceDE w:val="0"/>
              <w:autoSpaceDN w:val="0"/>
              <w:adjustRightInd w:val="0"/>
              <w:rPr>
                <w:sz w:val="24"/>
                <w:szCs w:val="24"/>
              </w:rPr>
            </w:pPr>
            <w:r w:rsidRPr="00A70455">
              <w:rPr>
                <w:sz w:val="24"/>
                <w:szCs w:val="24"/>
              </w:rPr>
              <w:t>Perfluoroheptanoic Acid (PFHpA)</w:t>
            </w:r>
          </w:p>
        </w:tc>
      </w:tr>
      <w:tr w:rsidR="00052B17" w:rsidRPr="002B0F7E" w14:paraId="20F88F3D" w14:textId="77777777" w:rsidTr="00052B17">
        <w:tc>
          <w:tcPr>
            <w:tcW w:w="1710" w:type="dxa"/>
          </w:tcPr>
          <w:p w14:paraId="14C10139" w14:textId="77777777" w:rsidR="00052B17" w:rsidRPr="00A70455" w:rsidRDefault="00052B17" w:rsidP="008B529C">
            <w:pPr>
              <w:autoSpaceDE w:val="0"/>
              <w:autoSpaceDN w:val="0"/>
              <w:adjustRightInd w:val="0"/>
              <w:rPr>
                <w:sz w:val="24"/>
                <w:szCs w:val="24"/>
              </w:rPr>
            </w:pPr>
            <w:r w:rsidRPr="00A70455">
              <w:rPr>
                <w:sz w:val="24"/>
                <w:szCs w:val="24"/>
              </w:rPr>
              <w:t>335-76-2</w:t>
            </w:r>
          </w:p>
        </w:tc>
        <w:tc>
          <w:tcPr>
            <w:tcW w:w="5130" w:type="dxa"/>
          </w:tcPr>
          <w:p w14:paraId="4B589929" w14:textId="77777777" w:rsidR="00052B17" w:rsidRPr="00A70455" w:rsidRDefault="00052B17" w:rsidP="008B529C">
            <w:pPr>
              <w:autoSpaceDE w:val="0"/>
              <w:autoSpaceDN w:val="0"/>
              <w:adjustRightInd w:val="0"/>
              <w:rPr>
                <w:sz w:val="24"/>
                <w:szCs w:val="24"/>
              </w:rPr>
            </w:pPr>
            <w:r w:rsidRPr="00A70455">
              <w:rPr>
                <w:sz w:val="24"/>
                <w:szCs w:val="24"/>
              </w:rPr>
              <w:t>Perfluorodecanoic Acid (PFDA)</w:t>
            </w:r>
          </w:p>
        </w:tc>
      </w:tr>
    </w:tbl>
    <w:p w14:paraId="21B6C35C" w14:textId="77777777" w:rsidR="008E1A36" w:rsidRPr="00A70455" w:rsidRDefault="008E1A36" w:rsidP="003640E3">
      <w:pPr>
        <w:autoSpaceDE w:val="0"/>
        <w:autoSpaceDN w:val="0"/>
        <w:adjustRightInd w:val="0"/>
        <w:rPr>
          <w:sz w:val="24"/>
          <w:szCs w:val="24"/>
        </w:rPr>
      </w:pPr>
    </w:p>
    <w:p w14:paraId="1A28F930" w14:textId="4ADBAB63" w:rsidR="001E76FD" w:rsidRPr="00A70455" w:rsidRDefault="001E76FD" w:rsidP="008B529C">
      <w:pPr>
        <w:pStyle w:val="ListParagraph"/>
        <w:numPr>
          <w:ilvl w:val="1"/>
          <w:numId w:val="970"/>
        </w:numPr>
        <w:tabs>
          <w:tab w:val="left" w:pos="1800"/>
        </w:tabs>
        <w:autoSpaceDE w:val="0"/>
        <w:autoSpaceDN w:val="0"/>
        <w:adjustRightInd w:val="0"/>
        <w:ind w:left="1296" w:firstLine="0"/>
        <w:rPr>
          <w:sz w:val="24"/>
          <w:szCs w:val="24"/>
          <w:u w:val="single"/>
        </w:rPr>
      </w:pPr>
      <w:r w:rsidRPr="00A70455">
        <w:rPr>
          <w:sz w:val="24"/>
          <w:szCs w:val="24"/>
          <w:u w:val="single"/>
        </w:rPr>
        <w:t>PFAS6 Maximum Contaminant Level</w:t>
      </w:r>
      <w:r w:rsidRPr="00A70455">
        <w:rPr>
          <w:sz w:val="24"/>
          <w:szCs w:val="24"/>
        </w:rPr>
        <w:t>. The PFAS6 Maximum Contaminant Level</w:t>
      </w:r>
      <w:r w:rsidR="008E1A36" w:rsidRPr="00A70455">
        <w:rPr>
          <w:sz w:val="24"/>
          <w:szCs w:val="24"/>
        </w:rPr>
        <w:t xml:space="preserve"> </w:t>
      </w:r>
      <w:r w:rsidRPr="00A70455">
        <w:rPr>
          <w:sz w:val="24"/>
          <w:szCs w:val="24"/>
        </w:rPr>
        <w:t>(MCL) shall be 0.000020 milligrams per liter (mg/l) or 20 nanograms per liter (ng/l).</w:t>
      </w:r>
    </w:p>
    <w:p w14:paraId="45A9B951" w14:textId="4F663F38" w:rsidR="001E76FD" w:rsidRPr="00A70455" w:rsidRDefault="001E76FD" w:rsidP="008B529C">
      <w:pPr>
        <w:pStyle w:val="ListParagraph"/>
        <w:numPr>
          <w:ilvl w:val="1"/>
          <w:numId w:val="970"/>
        </w:numPr>
        <w:tabs>
          <w:tab w:val="left" w:pos="1800"/>
        </w:tabs>
        <w:autoSpaceDE w:val="0"/>
        <w:autoSpaceDN w:val="0"/>
        <w:adjustRightInd w:val="0"/>
        <w:ind w:left="1296" w:firstLine="0"/>
        <w:rPr>
          <w:sz w:val="24"/>
          <w:szCs w:val="24"/>
          <w:u w:val="single"/>
        </w:rPr>
      </w:pPr>
      <w:r w:rsidRPr="00A70455">
        <w:rPr>
          <w:sz w:val="24"/>
          <w:szCs w:val="24"/>
          <w:u w:val="single"/>
        </w:rPr>
        <w:t>Review of PFAS and Drinking Water</w:t>
      </w:r>
      <w:r w:rsidRPr="00D1374B">
        <w:rPr>
          <w:sz w:val="24"/>
          <w:szCs w:val="24"/>
        </w:rPr>
        <w:t>.</w:t>
      </w:r>
      <w:r w:rsidRPr="00A70455">
        <w:rPr>
          <w:sz w:val="24"/>
          <w:szCs w:val="24"/>
        </w:rPr>
        <w:t xml:space="preserve"> Not later than December 31, 2023, and once</w:t>
      </w:r>
      <w:r w:rsidR="0052671C" w:rsidRPr="00A70455">
        <w:rPr>
          <w:sz w:val="24"/>
          <w:szCs w:val="24"/>
        </w:rPr>
        <w:t xml:space="preserve"> </w:t>
      </w:r>
      <w:r w:rsidRPr="00A70455">
        <w:rPr>
          <w:sz w:val="24"/>
          <w:szCs w:val="24"/>
        </w:rPr>
        <w:t>every three years thereafter, the Department shall perform a review of relevant developments</w:t>
      </w:r>
      <w:r w:rsidR="0052671C" w:rsidRPr="00A70455">
        <w:rPr>
          <w:sz w:val="24"/>
          <w:szCs w:val="24"/>
        </w:rPr>
        <w:t xml:space="preserve"> </w:t>
      </w:r>
      <w:r w:rsidRPr="00A70455">
        <w:rPr>
          <w:sz w:val="24"/>
          <w:szCs w:val="24"/>
        </w:rPr>
        <w:t>in the science, assessment and regulation of PFAS in drinking water for the purpose of</w:t>
      </w:r>
      <w:r w:rsidR="0052671C" w:rsidRPr="00A70455">
        <w:rPr>
          <w:sz w:val="24"/>
          <w:szCs w:val="24"/>
        </w:rPr>
        <w:t xml:space="preserve"> </w:t>
      </w:r>
      <w:r w:rsidRPr="00A70455">
        <w:rPr>
          <w:sz w:val="24"/>
          <w:szCs w:val="24"/>
        </w:rPr>
        <w:t>evaluating whether to amend 310 CMR 22.07G(3) in light of any advancements in analytical</w:t>
      </w:r>
      <w:r w:rsidR="0052671C" w:rsidRPr="00A70455">
        <w:rPr>
          <w:sz w:val="24"/>
          <w:szCs w:val="24"/>
        </w:rPr>
        <w:t xml:space="preserve"> </w:t>
      </w:r>
      <w:r w:rsidRPr="00A70455">
        <w:rPr>
          <w:sz w:val="24"/>
          <w:szCs w:val="24"/>
        </w:rPr>
        <w:t>or treatment technology, toxicology and/or any other relevant information. Information about</w:t>
      </w:r>
      <w:r w:rsidR="0052671C" w:rsidRPr="00A70455">
        <w:rPr>
          <w:sz w:val="24"/>
          <w:szCs w:val="24"/>
        </w:rPr>
        <w:t xml:space="preserve"> </w:t>
      </w:r>
      <w:r w:rsidRPr="00A70455">
        <w:rPr>
          <w:sz w:val="24"/>
          <w:szCs w:val="24"/>
        </w:rPr>
        <w:t>this review shall be made available to the public.</w:t>
      </w:r>
    </w:p>
    <w:p w14:paraId="20941AD1" w14:textId="77777777" w:rsidR="001B644C" w:rsidRPr="00A70455" w:rsidRDefault="001B644C" w:rsidP="008B529C">
      <w:pPr>
        <w:autoSpaceDE w:val="0"/>
        <w:autoSpaceDN w:val="0"/>
        <w:adjustRightInd w:val="0"/>
        <w:rPr>
          <w:sz w:val="24"/>
          <w:szCs w:val="24"/>
          <w:u w:val="single"/>
        </w:rPr>
      </w:pPr>
    </w:p>
    <w:p w14:paraId="318FD55B" w14:textId="45BB7124" w:rsidR="001E76FD" w:rsidRPr="002B0F7E" w:rsidRDefault="001E76FD" w:rsidP="008B529C">
      <w:pPr>
        <w:numPr>
          <w:ilvl w:val="0"/>
          <w:numId w:val="969"/>
        </w:numPr>
        <w:tabs>
          <w:tab w:val="left" w:pos="1440"/>
        </w:tabs>
        <w:ind w:left="1008"/>
        <w:rPr>
          <w:rFonts w:eastAsia="Times New Roman"/>
          <w:sz w:val="24"/>
          <w:szCs w:val="24"/>
          <w:u w:val="single"/>
        </w:rPr>
      </w:pPr>
      <w:r w:rsidRPr="002B0F7E">
        <w:rPr>
          <w:rFonts w:eastAsia="Times New Roman"/>
          <w:sz w:val="24"/>
          <w:szCs w:val="24"/>
          <w:u w:val="single"/>
        </w:rPr>
        <w:t>Monitoring Protocols</w:t>
      </w:r>
      <w:r w:rsidRPr="002B0F7E">
        <w:rPr>
          <w:rFonts w:eastAsia="Times New Roman"/>
          <w:sz w:val="24"/>
          <w:szCs w:val="24"/>
        </w:rPr>
        <w:t>. For the purpose of determining compliance with the PFAS6 MCL</w:t>
      </w:r>
      <w:r w:rsidR="001B644C" w:rsidRPr="002B0F7E">
        <w:rPr>
          <w:rFonts w:eastAsia="Times New Roman"/>
          <w:sz w:val="24"/>
          <w:szCs w:val="24"/>
        </w:rPr>
        <w:t xml:space="preserve"> </w:t>
      </w:r>
      <w:r w:rsidRPr="002B0F7E">
        <w:rPr>
          <w:rFonts w:eastAsia="Times New Roman"/>
          <w:sz w:val="24"/>
          <w:szCs w:val="24"/>
        </w:rPr>
        <w:t>set forth in 310 CMR 22.07G(3)(d), monitoring shall be conducted as follows:</w:t>
      </w:r>
    </w:p>
    <w:p w14:paraId="5B7EE571" w14:textId="4661DF19" w:rsidR="001B644C" w:rsidRPr="00012C37" w:rsidRDefault="001E76FD" w:rsidP="008B529C">
      <w:pPr>
        <w:pStyle w:val="ListParagraph"/>
        <w:numPr>
          <w:ilvl w:val="0"/>
          <w:numId w:val="971"/>
        </w:numPr>
        <w:tabs>
          <w:tab w:val="left" w:pos="1800"/>
        </w:tabs>
        <w:autoSpaceDE w:val="0"/>
        <w:autoSpaceDN w:val="0"/>
        <w:adjustRightInd w:val="0"/>
        <w:ind w:left="1296" w:firstLine="0"/>
        <w:rPr>
          <w:sz w:val="24"/>
          <w:szCs w:val="24"/>
        </w:rPr>
      </w:pPr>
      <w:r w:rsidRPr="00012C37">
        <w:rPr>
          <w:sz w:val="24"/>
          <w:szCs w:val="24"/>
          <w:u w:val="single"/>
        </w:rPr>
        <w:t>Single Source Entry Points</w:t>
      </w:r>
      <w:r w:rsidRPr="00012C37">
        <w:rPr>
          <w:sz w:val="24"/>
          <w:szCs w:val="24"/>
        </w:rPr>
        <w:t>. Each Public Water System that draws water from a single</w:t>
      </w:r>
      <w:r w:rsidR="001B644C" w:rsidRPr="00012C37">
        <w:rPr>
          <w:sz w:val="24"/>
          <w:szCs w:val="24"/>
        </w:rPr>
        <w:t xml:space="preserve"> </w:t>
      </w:r>
      <w:r w:rsidRPr="00012C37">
        <w:rPr>
          <w:sz w:val="24"/>
          <w:szCs w:val="24"/>
        </w:rPr>
        <w:t>source shall take a minimum of one sample at every entry point to the Distribution System</w:t>
      </w:r>
      <w:r w:rsidR="001B644C" w:rsidRPr="00012C37">
        <w:rPr>
          <w:sz w:val="24"/>
          <w:szCs w:val="24"/>
        </w:rPr>
        <w:t xml:space="preserve"> </w:t>
      </w:r>
      <w:r w:rsidRPr="00012C37">
        <w:rPr>
          <w:sz w:val="24"/>
          <w:szCs w:val="24"/>
        </w:rPr>
        <w:t>which is representative of each of its sources after treatment (Sampling Point). Each sample</w:t>
      </w:r>
      <w:r w:rsidR="001B644C" w:rsidRPr="00012C37">
        <w:rPr>
          <w:sz w:val="24"/>
          <w:szCs w:val="24"/>
        </w:rPr>
        <w:t xml:space="preserve"> </w:t>
      </w:r>
      <w:r w:rsidRPr="00012C37">
        <w:rPr>
          <w:sz w:val="24"/>
          <w:szCs w:val="24"/>
        </w:rPr>
        <w:t>shall be taken at the same Sampling Point, unless the Department determines, based upon</w:t>
      </w:r>
      <w:r w:rsidR="001B644C" w:rsidRPr="00012C37">
        <w:rPr>
          <w:sz w:val="24"/>
          <w:szCs w:val="24"/>
        </w:rPr>
        <w:t xml:space="preserve"> </w:t>
      </w:r>
      <w:r w:rsidRPr="00012C37">
        <w:rPr>
          <w:sz w:val="24"/>
          <w:szCs w:val="24"/>
        </w:rPr>
        <w:t>local conditions (</w:t>
      </w:r>
      <w:r w:rsidRPr="00D61A1D">
        <w:rPr>
          <w:i/>
          <w:iCs/>
          <w:sz w:val="24"/>
          <w:szCs w:val="24"/>
        </w:rPr>
        <w:t>e.g</w:t>
      </w:r>
      <w:r w:rsidRPr="00012C37">
        <w:rPr>
          <w:sz w:val="24"/>
          <w:szCs w:val="24"/>
        </w:rPr>
        <w:t>., facility design), that an alternate sampling location(s) would be more</w:t>
      </w:r>
      <w:r w:rsidR="001B644C" w:rsidRPr="00012C37">
        <w:rPr>
          <w:sz w:val="24"/>
          <w:szCs w:val="24"/>
        </w:rPr>
        <w:t xml:space="preserve"> </w:t>
      </w:r>
      <w:r w:rsidRPr="00012C37">
        <w:rPr>
          <w:sz w:val="24"/>
          <w:szCs w:val="24"/>
        </w:rPr>
        <w:t>representative of each source or treatment plant.</w:t>
      </w:r>
    </w:p>
    <w:p w14:paraId="3D84DFDD" w14:textId="77777777" w:rsidR="001B644C" w:rsidRPr="00012C37" w:rsidRDefault="001B644C" w:rsidP="008B529C">
      <w:pPr>
        <w:rPr>
          <w:sz w:val="24"/>
          <w:szCs w:val="24"/>
        </w:rPr>
      </w:pPr>
      <w:r w:rsidRPr="00012C37">
        <w:rPr>
          <w:sz w:val="24"/>
          <w:szCs w:val="24"/>
        </w:rPr>
        <w:br w:type="page"/>
      </w:r>
    </w:p>
    <w:p w14:paraId="2E350BE0" w14:textId="440603BA" w:rsidR="001E76FD" w:rsidRPr="001B644C" w:rsidRDefault="001E76FD" w:rsidP="005C5526">
      <w:pPr>
        <w:autoSpaceDE w:val="0"/>
        <w:autoSpaceDN w:val="0"/>
        <w:adjustRightInd w:val="0"/>
        <w:jc w:val="center"/>
        <w:rPr>
          <w:sz w:val="24"/>
          <w:szCs w:val="24"/>
        </w:rPr>
      </w:pPr>
      <w:r w:rsidRPr="001B644C">
        <w:rPr>
          <w:sz w:val="24"/>
          <w:szCs w:val="24"/>
        </w:rPr>
        <w:lastRenderedPageBreak/>
        <w:t>310 CMR: DEPARTMENT OF ENVIRONMENTAL PROTECTION</w:t>
      </w:r>
    </w:p>
    <w:p w14:paraId="35C9C911" w14:textId="2448C814" w:rsidR="001B644C" w:rsidRPr="003640E3" w:rsidRDefault="001B644C" w:rsidP="003640E3">
      <w:pPr>
        <w:autoSpaceDE w:val="0"/>
        <w:autoSpaceDN w:val="0"/>
        <w:adjustRightInd w:val="0"/>
        <w:rPr>
          <w:sz w:val="20"/>
          <w:szCs w:val="20"/>
        </w:rPr>
      </w:pPr>
    </w:p>
    <w:p w14:paraId="173063D0" w14:textId="77777777" w:rsidR="001B644C" w:rsidRPr="003640E3" w:rsidRDefault="001B644C" w:rsidP="003640E3">
      <w:pPr>
        <w:autoSpaceDE w:val="0"/>
        <w:autoSpaceDN w:val="0"/>
        <w:adjustRightInd w:val="0"/>
        <w:rPr>
          <w:sz w:val="20"/>
          <w:szCs w:val="20"/>
        </w:rPr>
      </w:pPr>
    </w:p>
    <w:p w14:paraId="44155276" w14:textId="19336A7E" w:rsidR="001E76FD" w:rsidRPr="001B644C" w:rsidRDefault="001E76FD" w:rsidP="003640E3">
      <w:pPr>
        <w:autoSpaceDE w:val="0"/>
        <w:autoSpaceDN w:val="0"/>
        <w:adjustRightInd w:val="0"/>
        <w:rPr>
          <w:sz w:val="24"/>
          <w:szCs w:val="24"/>
        </w:rPr>
      </w:pPr>
      <w:r w:rsidRPr="001B644C">
        <w:rPr>
          <w:sz w:val="24"/>
          <w:szCs w:val="24"/>
        </w:rPr>
        <w:t>22.07G: continued</w:t>
      </w:r>
    </w:p>
    <w:p w14:paraId="64892B07" w14:textId="77777777" w:rsidR="001B644C" w:rsidRPr="003640E3" w:rsidRDefault="001B644C" w:rsidP="003640E3">
      <w:pPr>
        <w:autoSpaceDE w:val="0"/>
        <w:autoSpaceDN w:val="0"/>
        <w:adjustRightInd w:val="0"/>
        <w:rPr>
          <w:sz w:val="20"/>
          <w:szCs w:val="20"/>
        </w:rPr>
      </w:pPr>
    </w:p>
    <w:p w14:paraId="4C1DF3FC" w14:textId="4017F47D" w:rsidR="001E76FD" w:rsidRPr="00414FE3" w:rsidRDefault="001E76FD" w:rsidP="003640E3">
      <w:pPr>
        <w:pStyle w:val="ListParagraph"/>
        <w:numPr>
          <w:ilvl w:val="0"/>
          <w:numId w:val="971"/>
        </w:numPr>
        <w:tabs>
          <w:tab w:val="left" w:pos="1800"/>
        </w:tabs>
        <w:autoSpaceDE w:val="0"/>
        <w:autoSpaceDN w:val="0"/>
        <w:adjustRightInd w:val="0"/>
        <w:ind w:left="1296" w:firstLine="0"/>
        <w:rPr>
          <w:sz w:val="24"/>
          <w:szCs w:val="24"/>
        </w:rPr>
      </w:pPr>
      <w:r w:rsidRPr="005F14BC">
        <w:rPr>
          <w:sz w:val="24"/>
          <w:szCs w:val="24"/>
          <w:u w:val="single"/>
        </w:rPr>
        <w:t>Multiple Source Entry Points</w:t>
      </w:r>
      <w:r w:rsidRPr="00414FE3">
        <w:rPr>
          <w:sz w:val="24"/>
          <w:szCs w:val="24"/>
        </w:rPr>
        <w:t>. Any Public Water System that draws water from more</w:t>
      </w:r>
      <w:r w:rsidR="00414FE3" w:rsidRPr="00414FE3">
        <w:rPr>
          <w:sz w:val="24"/>
          <w:szCs w:val="24"/>
        </w:rPr>
        <w:t xml:space="preserve"> </w:t>
      </w:r>
      <w:r w:rsidRPr="00414FE3">
        <w:rPr>
          <w:sz w:val="24"/>
          <w:szCs w:val="24"/>
        </w:rPr>
        <w:t>than one source, where the sources are combined before distribution, shall sample at every</w:t>
      </w:r>
      <w:r w:rsidR="00414FE3" w:rsidRPr="00414FE3">
        <w:rPr>
          <w:sz w:val="24"/>
          <w:szCs w:val="24"/>
        </w:rPr>
        <w:t xml:space="preserve"> </w:t>
      </w:r>
      <w:r w:rsidRPr="00414FE3">
        <w:rPr>
          <w:sz w:val="24"/>
          <w:szCs w:val="24"/>
        </w:rPr>
        <w:t>entry point to the Distribution System which is representative of all such combined sources</w:t>
      </w:r>
      <w:r w:rsidR="00414FE3" w:rsidRPr="00414FE3">
        <w:rPr>
          <w:sz w:val="24"/>
          <w:szCs w:val="24"/>
        </w:rPr>
        <w:t xml:space="preserve"> </w:t>
      </w:r>
      <w:r w:rsidRPr="00414FE3">
        <w:rPr>
          <w:sz w:val="24"/>
          <w:szCs w:val="24"/>
        </w:rPr>
        <w:t>after treatment (Sampling Point) during periods of normal operating conditions (</w:t>
      </w:r>
      <w:r w:rsidRPr="00414FE3">
        <w:rPr>
          <w:i/>
          <w:iCs/>
          <w:sz w:val="24"/>
          <w:szCs w:val="24"/>
        </w:rPr>
        <w:t>i.e</w:t>
      </w:r>
      <w:r w:rsidRPr="00414FE3">
        <w:rPr>
          <w:sz w:val="24"/>
          <w:szCs w:val="24"/>
        </w:rPr>
        <w:t>., when</w:t>
      </w:r>
      <w:r w:rsidR="00414FE3" w:rsidRPr="00414FE3">
        <w:rPr>
          <w:sz w:val="24"/>
          <w:szCs w:val="24"/>
        </w:rPr>
        <w:t xml:space="preserve"> </w:t>
      </w:r>
      <w:r w:rsidRPr="00414FE3">
        <w:rPr>
          <w:sz w:val="24"/>
          <w:szCs w:val="24"/>
        </w:rPr>
        <w:t>water representative of all sources is being used). If all sources are not operated</w:t>
      </w:r>
      <w:r w:rsidR="00414FE3" w:rsidRPr="00414FE3">
        <w:rPr>
          <w:sz w:val="24"/>
          <w:szCs w:val="24"/>
        </w:rPr>
        <w:t xml:space="preserve"> </w:t>
      </w:r>
      <w:r w:rsidRPr="00414FE3">
        <w:rPr>
          <w:sz w:val="24"/>
          <w:szCs w:val="24"/>
        </w:rPr>
        <w:t>simultaneously under normal operating conditions, then additional samples shall be collected</w:t>
      </w:r>
      <w:r w:rsidR="00414FE3" w:rsidRPr="00414FE3">
        <w:rPr>
          <w:sz w:val="24"/>
          <w:szCs w:val="24"/>
        </w:rPr>
        <w:t xml:space="preserve"> </w:t>
      </w:r>
      <w:r w:rsidRPr="00414FE3">
        <w:rPr>
          <w:sz w:val="24"/>
          <w:szCs w:val="24"/>
        </w:rPr>
        <w:t>representing each source that is operated alone and/or each combination of sources that are</w:t>
      </w:r>
      <w:r w:rsidR="00414FE3" w:rsidRPr="00414FE3">
        <w:rPr>
          <w:sz w:val="24"/>
          <w:szCs w:val="24"/>
        </w:rPr>
        <w:t xml:space="preserve"> </w:t>
      </w:r>
      <w:r w:rsidRPr="00414FE3">
        <w:rPr>
          <w:sz w:val="24"/>
          <w:szCs w:val="24"/>
        </w:rPr>
        <w:t>operated together. Each sample shall be taken at the same Sampling Point unless the</w:t>
      </w:r>
      <w:r w:rsidR="00414FE3" w:rsidRPr="00414FE3">
        <w:rPr>
          <w:sz w:val="24"/>
          <w:szCs w:val="24"/>
        </w:rPr>
        <w:t xml:space="preserve"> </w:t>
      </w:r>
      <w:r w:rsidRPr="00414FE3">
        <w:rPr>
          <w:sz w:val="24"/>
          <w:szCs w:val="24"/>
        </w:rPr>
        <w:t>Department determines, based upon local conditions (</w:t>
      </w:r>
      <w:r w:rsidRPr="00414FE3">
        <w:rPr>
          <w:i/>
          <w:iCs/>
          <w:sz w:val="24"/>
          <w:szCs w:val="24"/>
        </w:rPr>
        <w:t>e.g</w:t>
      </w:r>
      <w:r w:rsidRPr="00414FE3">
        <w:rPr>
          <w:sz w:val="24"/>
          <w:szCs w:val="24"/>
        </w:rPr>
        <w:t>., facility design), that an alternate</w:t>
      </w:r>
      <w:r w:rsidR="00414FE3" w:rsidRPr="00414FE3">
        <w:rPr>
          <w:sz w:val="24"/>
          <w:szCs w:val="24"/>
        </w:rPr>
        <w:t xml:space="preserve"> </w:t>
      </w:r>
      <w:r w:rsidRPr="00414FE3">
        <w:rPr>
          <w:sz w:val="24"/>
          <w:szCs w:val="24"/>
        </w:rPr>
        <w:t>sampling location(s) would be more representative of each source or treatment plant.</w:t>
      </w:r>
    </w:p>
    <w:p w14:paraId="72D7808D" w14:textId="0C2A19C4" w:rsidR="001E76FD" w:rsidRDefault="001E76FD" w:rsidP="003640E3">
      <w:pPr>
        <w:pStyle w:val="ListParagraph"/>
        <w:numPr>
          <w:ilvl w:val="0"/>
          <w:numId w:val="971"/>
        </w:numPr>
        <w:tabs>
          <w:tab w:val="left" w:pos="1800"/>
        </w:tabs>
        <w:autoSpaceDE w:val="0"/>
        <w:autoSpaceDN w:val="0"/>
        <w:adjustRightInd w:val="0"/>
        <w:ind w:left="1296" w:firstLine="0"/>
        <w:rPr>
          <w:sz w:val="24"/>
          <w:szCs w:val="24"/>
        </w:rPr>
      </w:pPr>
      <w:r w:rsidRPr="005F14BC">
        <w:rPr>
          <w:sz w:val="24"/>
          <w:szCs w:val="24"/>
          <w:u w:val="single"/>
        </w:rPr>
        <w:t>Consecutive Systems</w:t>
      </w:r>
      <w:r w:rsidRPr="006C3E5E">
        <w:rPr>
          <w:sz w:val="24"/>
          <w:szCs w:val="24"/>
        </w:rPr>
        <w:t>. Unless required by the Department to evaluate PFAS levels,</w:t>
      </w:r>
      <w:r w:rsidR="006C3E5E" w:rsidRPr="006C3E5E">
        <w:rPr>
          <w:sz w:val="24"/>
          <w:szCs w:val="24"/>
        </w:rPr>
        <w:t xml:space="preserve"> </w:t>
      </w:r>
      <w:r w:rsidRPr="006C3E5E">
        <w:rPr>
          <w:sz w:val="24"/>
          <w:szCs w:val="24"/>
        </w:rPr>
        <w:t>each Consecutive Public Water System shall be exempt from conducting compliance</w:t>
      </w:r>
      <w:r w:rsidR="006C3E5E" w:rsidRPr="006C3E5E">
        <w:rPr>
          <w:sz w:val="24"/>
          <w:szCs w:val="24"/>
        </w:rPr>
        <w:t xml:space="preserve"> </w:t>
      </w:r>
      <w:r w:rsidRPr="006C3E5E">
        <w:rPr>
          <w:sz w:val="24"/>
          <w:szCs w:val="24"/>
        </w:rPr>
        <w:t>monitoring for PFAS under 310 CMR 22.07G for its purchased portion of water, provided</w:t>
      </w:r>
      <w:r w:rsidR="006C3E5E" w:rsidRPr="006C3E5E">
        <w:rPr>
          <w:sz w:val="24"/>
          <w:szCs w:val="24"/>
        </w:rPr>
        <w:t xml:space="preserve"> </w:t>
      </w:r>
      <w:r w:rsidRPr="006C3E5E">
        <w:rPr>
          <w:sz w:val="24"/>
          <w:szCs w:val="24"/>
        </w:rPr>
        <w:t>that the Public Water System from which the water is obtained has conducted the monitoring</w:t>
      </w:r>
      <w:r w:rsidR="006C3E5E" w:rsidRPr="006C3E5E">
        <w:rPr>
          <w:sz w:val="24"/>
          <w:szCs w:val="24"/>
        </w:rPr>
        <w:t xml:space="preserve"> </w:t>
      </w:r>
      <w:r w:rsidRPr="006C3E5E">
        <w:rPr>
          <w:sz w:val="24"/>
          <w:szCs w:val="24"/>
        </w:rPr>
        <w:t>required under 310 CMR 22.07G.</w:t>
      </w:r>
    </w:p>
    <w:p w14:paraId="1B0E0618" w14:textId="77777777" w:rsidR="00675AFC" w:rsidRPr="00675AFC" w:rsidRDefault="00675AFC" w:rsidP="006F1E45">
      <w:pPr>
        <w:autoSpaceDE w:val="0"/>
        <w:autoSpaceDN w:val="0"/>
        <w:adjustRightInd w:val="0"/>
        <w:rPr>
          <w:sz w:val="24"/>
          <w:szCs w:val="24"/>
        </w:rPr>
      </w:pPr>
    </w:p>
    <w:p w14:paraId="506B9B21" w14:textId="17DB862E" w:rsidR="001E76FD" w:rsidRPr="00FA4906" w:rsidRDefault="001E76FD" w:rsidP="003640E3">
      <w:pPr>
        <w:pStyle w:val="ListParagraph"/>
        <w:numPr>
          <w:ilvl w:val="0"/>
          <w:numId w:val="976"/>
        </w:numPr>
        <w:tabs>
          <w:tab w:val="left" w:pos="1440"/>
        </w:tabs>
        <w:autoSpaceDE w:val="0"/>
        <w:autoSpaceDN w:val="0"/>
        <w:adjustRightInd w:val="0"/>
        <w:ind w:left="1008" w:firstLine="0"/>
        <w:rPr>
          <w:rFonts w:eastAsia="Times New Roman"/>
          <w:sz w:val="24"/>
          <w:szCs w:val="24"/>
          <w:u w:val="single"/>
        </w:rPr>
      </w:pPr>
      <w:r w:rsidRPr="00FA4906">
        <w:rPr>
          <w:rFonts w:eastAsia="Times New Roman"/>
          <w:sz w:val="24"/>
          <w:szCs w:val="24"/>
          <w:u w:val="single"/>
        </w:rPr>
        <w:t>Initial Monitoring.</w:t>
      </w:r>
    </w:p>
    <w:p w14:paraId="0077A397" w14:textId="30B64396" w:rsidR="001E76FD" w:rsidRPr="006C3E5E" w:rsidRDefault="001E76FD" w:rsidP="003640E3">
      <w:pPr>
        <w:pStyle w:val="ListParagraph"/>
        <w:numPr>
          <w:ilvl w:val="0"/>
          <w:numId w:val="972"/>
        </w:numPr>
        <w:tabs>
          <w:tab w:val="left" w:pos="1800"/>
        </w:tabs>
        <w:autoSpaceDE w:val="0"/>
        <w:autoSpaceDN w:val="0"/>
        <w:adjustRightInd w:val="0"/>
        <w:ind w:left="1296" w:firstLine="0"/>
        <w:rPr>
          <w:sz w:val="24"/>
          <w:szCs w:val="24"/>
        </w:rPr>
      </w:pPr>
      <w:r w:rsidRPr="00E02391">
        <w:rPr>
          <w:sz w:val="24"/>
          <w:szCs w:val="24"/>
          <w:u w:val="single"/>
        </w:rPr>
        <w:t>Applicability</w:t>
      </w:r>
      <w:r w:rsidRPr="006C3E5E">
        <w:rPr>
          <w:sz w:val="24"/>
          <w:szCs w:val="24"/>
        </w:rPr>
        <w:t>. 310 CMR 22.07G(5) shall apply to each Sampling Point, or alternate</w:t>
      </w:r>
      <w:r w:rsidR="006C3E5E" w:rsidRPr="006C3E5E">
        <w:rPr>
          <w:sz w:val="24"/>
          <w:szCs w:val="24"/>
        </w:rPr>
        <w:t xml:space="preserve"> </w:t>
      </w:r>
      <w:r w:rsidRPr="006C3E5E">
        <w:rPr>
          <w:sz w:val="24"/>
          <w:szCs w:val="24"/>
        </w:rPr>
        <w:t>sampling location required by the Department pursuant to 310 CMR 22.07G(4)(a) or (b),</w:t>
      </w:r>
      <w:r w:rsidR="006C3E5E" w:rsidRPr="006C3E5E">
        <w:rPr>
          <w:sz w:val="24"/>
          <w:szCs w:val="24"/>
        </w:rPr>
        <w:t xml:space="preserve"> </w:t>
      </w:r>
      <w:r w:rsidRPr="006C3E5E">
        <w:rPr>
          <w:sz w:val="24"/>
          <w:szCs w:val="24"/>
        </w:rPr>
        <w:t>where:</w:t>
      </w:r>
    </w:p>
    <w:p w14:paraId="08CB98E6" w14:textId="49B7AFA2" w:rsidR="001E76FD" w:rsidRPr="00280EB4" w:rsidRDefault="001E76FD" w:rsidP="00280EB4">
      <w:pPr>
        <w:pStyle w:val="ListParagraph"/>
        <w:numPr>
          <w:ilvl w:val="1"/>
          <w:numId w:val="973"/>
        </w:numPr>
        <w:tabs>
          <w:tab w:val="left" w:pos="2160"/>
        </w:tabs>
        <w:autoSpaceDE w:val="0"/>
        <w:autoSpaceDN w:val="0"/>
        <w:adjustRightInd w:val="0"/>
        <w:ind w:left="1710" w:firstLine="0"/>
        <w:rPr>
          <w:sz w:val="24"/>
          <w:szCs w:val="24"/>
        </w:rPr>
      </w:pPr>
      <w:r w:rsidRPr="00280EB4">
        <w:rPr>
          <w:sz w:val="24"/>
          <w:szCs w:val="24"/>
        </w:rPr>
        <w:t>there have been no PFAS Detections;</w:t>
      </w:r>
    </w:p>
    <w:p w14:paraId="5FF9B64D" w14:textId="3636B80A" w:rsidR="009F7AED" w:rsidRPr="005F14BC" w:rsidRDefault="009F7AED" w:rsidP="008B5014">
      <w:pPr>
        <w:pStyle w:val="ListParagraph"/>
        <w:numPr>
          <w:ilvl w:val="1"/>
          <w:numId w:val="973"/>
        </w:numPr>
        <w:autoSpaceDE w:val="0"/>
        <w:autoSpaceDN w:val="0"/>
        <w:adjustRightInd w:val="0"/>
        <w:ind w:left="1714" w:firstLine="0"/>
        <w:rPr>
          <w:sz w:val="24"/>
          <w:szCs w:val="24"/>
        </w:rPr>
      </w:pPr>
      <w:r w:rsidRPr="002F08E9">
        <w:rPr>
          <w:sz w:val="24"/>
          <w:szCs w:val="24"/>
        </w:rPr>
        <w:t xml:space="preserve">there has been </w:t>
      </w:r>
      <w:r w:rsidRPr="00551F9C">
        <w:rPr>
          <w:sz w:val="24"/>
          <w:szCs w:val="24"/>
        </w:rPr>
        <w:t>a</w:t>
      </w:r>
      <w:r w:rsidRPr="002F08E9">
        <w:rPr>
          <w:sz w:val="24"/>
          <w:szCs w:val="24"/>
        </w:rPr>
        <w:t xml:space="preserve"> PFAS Detection, but the average of the PFAS6 in such detection and of PFAS6 in an associated Confirmatory Sample is less than or equal to 0.000010 mg</w:t>
      </w:r>
      <w:r>
        <w:rPr>
          <w:sz w:val="24"/>
          <w:szCs w:val="24"/>
        </w:rPr>
        <w:t>/l</w:t>
      </w:r>
      <w:r w:rsidR="00081E1F">
        <w:rPr>
          <w:sz w:val="24"/>
          <w:szCs w:val="24"/>
        </w:rPr>
        <w:t>; or</w:t>
      </w:r>
    </w:p>
    <w:p w14:paraId="15A55D61" w14:textId="1E2500AD" w:rsidR="00431C60" w:rsidRDefault="001E76FD" w:rsidP="008B5014">
      <w:pPr>
        <w:pStyle w:val="ListParagraph"/>
        <w:numPr>
          <w:ilvl w:val="1"/>
          <w:numId w:val="973"/>
        </w:numPr>
        <w:autoSpaceDE w:val="0"/>
        <w:autoSpaceDN w:val="0"/>
        <w:adjustRightInd w:val="0"/>
        <w:ind w:left="1714" w:firstLine="0"/>
        <w:rPr>
          <w:sz w:val="24"/>
          <w:szCs w:val="24"/>
        </w:rPr>
      </w:pPr>
      <w:r w:rsidRPr="00E82A9C">
        <w:rPr>
          <w:sz w:val="24"/>
          <w:szCs w:val="24"/>
        </w:rPr>
        <w:t xml:space="preserve">subsequent </w:t>
      </w:r>
      <w:r w:rsidRPr="005F14BC">
        <w:rPr>
          <w:sz w:val="24"/>
          <w:szCs w:val="24"/>
        </w:rPr>
        <w:t>to a PFAS Detection described in 310 CMR 22.07G(5)(a)2., there have</w:t>
      </w:r>
      <w:r w:rsidR="005F14BC" w:rsidRPr="005F14BC">
        <w:rPr>
          <w:sz w:val="24"/>
          <w:szCs w:val="24"/>
        </w:rPr>
        <w:t xml:space="preserve"> </w:t>
      </w:r>
      <w:r w:rsidRPr="005F14BC">
        <w:rPr>
          <w:sz w:val="24"/>
          <w:szCs w:val="24"/>
        </w:rPr>
        <w:t>been no PFAS Detection(s) where PFAS6 as determined for such detections is greater</w:t>
      </w:r>
      <w:r w:rsidR="005F14BC" w:rsidRPr="005F14BC">
        <w:rPr>
          <w:sz w:val="24"/>
          <w:szCs w:val="24"/>
        </w:rPr>
        <w:t xml:space="preserve"> </w:t>
      </w:r>
      <w:r w:rsidRPr="005F14BC">
        <w:rPr>
          <w:sz w:val="24"/>
          <w:szCs w:val="24"/>
        </w:rPr>
        <w:t>than 0.000010 mg/l</w:t>
      </w:r>
      <w:r w:rsidR="00D0597E">
        <w:rPr>
          <w:sz w:val="24"/>
          <w:szCs w:val="24"/>
        </w:rPr>
        <w:t>.</w:t>
      </w:r>
    </w:p>
    <w:p w14:paraId="2588379A" w14:textId="7A1098EF" w:rsidR="001E76FD" w:rsidRPr="001B644C" w:rsidRDefault="001E76FD" w:rsidP="003640E3">
      <w:pPr>
        <w:pStyle w:val="ListParagraph"/>
        <w:numPr>
          <w:ilvl w:val="0"/>
          <w:numId w:val="972"/>
        </w:numPr>
        <w:tabs>
          <w:tab w:val="left" w:pos="1800"/>
        </w:tabs>
        <w:autoSpaceDE w:val="0"/>
        <w:autoSpaceDN w:val="0"/>
        <w:adjustRightInd w:val="0"/>
        <w:ind w:left="1296" w:firstLine="0"/>
        <w:rPr>
          <w:sz w:val="24"/>
          <w:szCs w:val="24"/>
        </w:rPr>
      </w:pPr>
      <w:r w:rsidRPr="00E02391">
        <w:rPr>
          <w:sz w:val="24"/>
          <w:szCs w:val="24"/>
          <w:u w:val="single"/>
        </w:rPr>
        <w:t>Frequency and Timing</w:t>
      </w:r>
      <w:r w:rsidRPr="001B644C">
        <w:rPr>
          <w:sz w:val="24"/>
          <w:szCs w:val="24"/>
        </w:rPr>
        <w:t>.</w:t>
      </w:r>
    </w:p>
    <w:p w14:paraId="7E91FFB5" w14:textId="54B60526" w:rsidR="001E76FD" w:rsidRPr="00E02391" w:rsidRDefault="001E76FD" w:rsidP="003640E3">
      <w:pPr>
        <w:pStyle w:val="ListParagraph"/>
        <w:numPr>
          <w:ilvl w:val="0"/>
          <w:numId w:val="974"/>
        </w:numPr>
        <w:tabs>
          <w:tab w:val="left" w:pos="2160"/>
        </w:tabs>
        <w:autoSpaceDE w:val="0"/>
        <w:autoSpaceDN w:val="0"/>
        <w:adjustRightInd w:val="0"/>
        <w:ind w:left="1728" w:firstLine="0"/>
        <w:rPr>
          <w:sz w:val="24"/>
          <w:szCs w:val="24"/>
        </w:rPr>
      </w:pPr>
      <w:r w:rsidRPr="00E02391">
        <w:rPr>
          <w:sz w:val="24"/>
          <w:szCs w:val="24"/>
        </w:rPr>
        <w:t>Except as provided in 310 CMR 22.07G(5)(b)2. or 3., for each such location required</w:t>
      </w:r>
      <w:r w:rsidR="00E02391" w:rsidRPr="00E02391">
        <w:rPr>
          <w:sz w:val="24"/>
          <w:szCs w:val="24"/>
        </w:rPr>
        <w:t xml:space="preserve"> </w:t>
      </w:r>
      <w:r w:rsidRPr="00E02391">
        <w:rPr>
          <w:sz w:val="24"/>
          <w:szCs w:val="24"/>
        </w:rPr>
        <w:t>to be sampled pursuant to 310 CMR 22.07G(5), four consecutive quarterly samples shall</w:t>
      </w:r>
      <w:r w:rsidR="00E02391" w:rsidRPr="00E02391">
        <w:rPr>
          <w:sz w:val="24"/>
          <w:szCs w:val="24"/>
        </w:rPr>
        <w:t xml:space="preserve"> </w:t>
      </w:r>
      <w:r w:rsidRPr="00E02391">
        <w:rPr>
          <w:sz w:val="24"/>
          <w:szCs w:val="24"/>
        </w:rPr>
        <w:t>be collected and each such sample shall be analyzed for PFAS in accordance with</w:t>
      </w:r>
      <w:r w:rsidR="00E02391" w:rsidRPr="00E02391">
        <w:rPr>
          <w:sz w:val="24"/>
          <w:szCs w:val="24"/>
        </w:rPr>
        <w:t xml:space="preserve"> </w:t>
      </w:r>
      <w:r w:rsidRPr="00E02391">
        <w:rPr>
          <w:sz w:val="24"/>
          <w:szCs w:val="24"/>
        </w:rPr>
        <w:t>310 CMR 22.07G(12). Each sample shall be collected the first month of every quarter</w:t>
      </w:r>
      <w:r w:rsidR="00E02391" w:rsidRPr="00E02391">
        <w:rPr>
          <w:sz w:val="24"/>
          <w:szCs w:val="24"/>
        </w:rPr>
        <w:t xml:space="preserve"> </w:t>
      </w:r>
      <w:r w:rsidRPr="00E02391">
        <w:rPr>
          <w:sz w:val="24"/>
          <w:szCs w:val="24"/>
        </w:rPr>
        <w:t>during initial monitoring. A Supplier of Water serving the specified population shall</w:t>
      </w:r>
      <w:r w:rsidR="00E02391" w:rsidRPr="00E02391">
        <w:rPr>
          <w:sz w:val="24"/>
          <w:szCs w:val="24"/>
        </w:rPr>
        <w:t xml:space="preserve"> </w:t>
      </w:r>
      <w:r w:rsidRPr="00E02391">
        <w:rPr>
          <w:sz w:val="24"/>
          <w:szCs w:val="24"/>
        </w:rPr>
        <w:t>commence initial monitoring on the date set forth in 310 CMR 22.07G(5)(b)1.a.</w:t>
      </w:r>
      <w:r w:rsidR="00E02391" w:rsidRPr="00E02391">
        <w:rPr>
          <w:sz w:val="24"/>
          <w:szCs w:val="24"/>
        </w:rPr>
        <w:t xml:space="preserve"> </w:t>
      </w:r>
      <w:r w:rsidRPr="00E02391">
        <w:rPr>
          <w:sz w:val="24"/>
          <w:szCs w:val="24"/>
        </w:rPr>
        <w:t>through c.:</w:t>
      </w:r>
    </w:p>
    <w:p w14:paraId="420BB53F" w14:textId="40C08A8C" w:rsidR="001E76FD" w:rsidRPr="002F4AC5" w:rsidRDefault="001E76FD" w:rsidP="003640E3">
      <w:pPr>
        <w:pStyle w:val="ListParagraph"/>
        <w:numPr>
          <w:ilvl w:val="1"/>
          <w:numId w:val="975"/>
        </w:numPr>
        <w:tabs>
          <w:tab w:val="left" w:pos="2610"/>
        </w:tabs>
        <w:autoSpaceDE w:val="0"/>
        <w:autoSpaceDN w:val="0"/>
        <w:adjustRightInd w:val="0"/>
        <w:ind w:left="2275" w:firstLine="0"/>
        <w:rPr>
          <w:sz w:val="24"/>
          <w:szCs w:val="24"/>
        </w:rPr>
      </w:pPr>
      <w:r w:rsidRPr="002F4AC5">
        <w:rPr>
          <w:sz w:val="24"/>
          <w:szCs w:val="24"/>
        </w:rPr>
        <w:t>greater than 50,000 individuals, January 1, 2021;</w:t>
      </w:r>
    </w:p>
    <w:p w14:paraId="4974CE3F" w14:textId="1E8E55B4" w:rsidR="001E76FD" w:rsidRPr="00FA4906" w:rsidRDefault="001E76FD" w:rsidP="003640E3">
      <w:pPr>
        <w:pStyle w:val="ListParagraph"/>
        <w:numPr>
          <w:ilvl w:val="0"/>
          <w:numId w:val="975"/>
        </w:numPr>
        <w:tabs>
          <w:tab w:val="left" w:pos="2610"/>
        </w:tabs>
        <w:autoSpaceDE w:val="0"/>
        <w:autoSpaceDN w:val="0"/>
        <w:adjustRightInd w:val="0"/>
        <w:ind w:left="2275" w:firstLine="0"/>
        <w:rPr>
          <w:sz w:val="24"/>
          <w:szCs w:val="24"/>
        </w:rPr>
      </w:pPr>
      <w:r w:rsidRPr="00FA4906">
        <w:rPr>
          <w:sz w:val="24"/>
          <w:szCs w:val="24"/>
        </w:rPr>
        <w:t>50,000 individuals or fewer, but greater than 10,000 individuals, April 1, 2021;</w:t>
      </w:r>
      <w:r w:rsidR="00FA4906" w:rsidRPr="00FA4906">
        <w:rPr>
          <w:sz w:val="24"/>
          <w:szCs w:val="24"/>
        </w:rPr>
        <w:t xml:space="preserve"> </w:t>
      </w:r>
      <w:r w:rsidRPr="00FA4906">
        <w:rPr>
          <w:sz w:val="24"/>
          <w:szCs w:val="24"/>
        </w:rPr>
        <w:t>or</w:t>
      </w:r>
    </w:p>
    <w:p w14:paraId="21191D48" w14:textId="4D3EB886" w:rsidR="001E76FD" w:rsidRPr="002F4AC5" w:rsidRDefault="001E76FD" w:rsidP="003640E3">
      <w:pPr>
        <w:pStyle w:val="ListParagraph"/>
        <w:numPr>
          <w:ilvl w:val="0"/>
          <w:numId w:val="975"/>
        </w:numPr>
        <w:tabs>
          <w:tab w:val="left" w:pos="2610"/>
        </w:tabs>
        <w:autoSpaceDE w:val="0"/>
        <w:autoSpaceDN w:val="0"/>
        <w:adjustRightInd w:val="0"/>
        <w:ind w:left="2275" w:firstLine="0"/>
        <w:rPr>
          <w:sz w:val="24"/>
          <w:szCs w:val="24"/>
        </w:rPr>
      </w:pPr>
      <w:r w:rsidRPr="002F4AC5">
        <w:rPr>
          <w:sz w:val="24"/>
          <w:szCs w:val="24"/>
        </w:rPr>
        <w:t>10,000 or fewer individuals, October 1, 2021.</w:t>
      </w:r>
    </w:p>
    <w:p w14:paraId="755C2993" w14:textId="4489C6F0" w:rsidR="001E76FD" w:rsidRPr="002F4AC5" w:rsidRDefault="001E76FD" w:rsidP="003640E3">
      <w:pPr>
        <w:pStyle w:val="ListParagraph"/>
        <w:numPr>
          <w:ilvl w:val="0"/>
          <w:numId w:val="974"/>
        </w:numPr>
        <w:tabs>
          <w:tab w:val="left" w:pos="2160"/>
        </w:tabs>
        <w:autoSpaceDE w:val="0"/>
        <w:autoSpaceDN w:val="0"/>
        <w:adjustRightInd w:val="0"/>
        <w:ind w:left="1728" w:firstLine="0"/>
        <w:rPr>
          <w:sz w:val="24"/>
          <w:szCs w:val="24"/>
        </w:rPr>
      </w:pPr>
      <w:r w:rsidRPr="002F4AC5">
        <w:rPr>
          <w:sz w:val="24"/>
          <w:szCs w:val="24"/>
        </w:rPr>
        <w:t>If a Supplier of Water meets any of the following conditions after the applicable</w:t>
      </w:r>
      <w:r w:rsidR="002F4AC5" w:rsidRPr="002F4AC5">
        <w:rPr>
          <w:sz w:val="24"/>
          <w:szCs w:val="24"/>
        </w:rPr>
        <w:t xml:space="preserve"> </w:t>
      </w:r>
      <w:r w:rsidRPr="002F4AC5">
        <w:rPr>
          <w:sz w:val="24"/>
          <w:szCs w:val="24"/>
        </w:rPr>
        <w:t>commencement date described in 310 CMR 22.07G(5)(b)1., it shall commence initial</w:t>
      </w:r>
      <w:r w:rsidR="002F4AC5" w:rsidRPr="002F4AC5">
        <w:rPr>
          <w:sz w:val="24"/>
          <w:szCs w:val="24"/>
        </w:rPr>
        <w:t xml:space="preserve"> </w:t>
      </w:r>
      <w:r w:rsidRPr="002F4AC5">
        <w:rPr>
          <w:sz w:val="24"/>
          <w:szCs w:val="24"/>
        </w:rPr>
        <w:t>monitoring of such locations within the first full calendar quarter of delivering water to</w:t>
      </w:r>
      <w:r w:rsidR="002F4AC5" w:rsidRPr="002F4AC5">
        <w:rPr>
          <w:sz w:val="24"/>
          <w:szCs w:val="24"/>
        </w:rPr>
        <w:t xml:space="preserve"> </w:t>
      </w:r>
      <w:r w:rsidRPr="002F4AC5">
        <w:rPr>
          <w:sz w:val="24"/>
          <w:szCs w:val="24"/>
        </w:rPr>
        <w:t>the public:</w:t>
      </w:r>
    </w:p>
    <w:p w14:paraId="6BB3D380" w14:textId="6FCCDF67" w:rsidR="001E76FD" w:rsidRPr="001B644C" w:rsidRDefault="001E76FD" w:rsidP="003640E3">
      <w:pPr>
        <w:pStyle w:val="ListParagraph"/>
        <w:numPr>
          <w:ilvl w:val="1"/>
          <w:numId w:val="975"/>
        </w:numPr>
        <w:tabs>
          <w:tab w:val="left" w:pos="2610"/>
        </w:tabs>
        <w:autoSpaceDE w:val="0"/>
        <w:autoSpaceDN w:val="0"/>
        <w:adjustRightInd w:val="0"/>
        <w:ind w:left="2275" w:firstLine="0"/>
        <w:rPr>
          <w:sz w:val="24"/>
          <w:szCs w:val="24"/>
        </w:rPr>
      </w:pPr>
      <w:r w:rsidRPr="001B644C">
        <w:rPr>
          <w:sz w:val="24"/>
          <w:szCs w:val="24"/>
        </w:rPr>
        <w:t>begins operation of a new Public Water System; or</w:t>
      </w:r>
    </w:p>
    <w:p w14:paraId="6CC5D34D" w14:textId="3A5E7947" w:rsidR="001E76FD" w:rsidRPr="001B644C" w:rsidRDefault="001E76FD" w:rsidP="003640E3">
      <w:pPr>
        <w:pStyle w:val="ListParagraph"/>
        <w:numPr>
          <w:ilvl w:val="1"/>
          <w:numId w:val="975"/>
        </w:numPr>
        <w:tabs>
          <w:tab w:val="left" w:pos="2610"/>
        </w:tabs>
        <w:autoSpaceDE w:val="0"/>
        <w:autoSpaceDN w:val="0"/>
        <w:adjustRightInd w:val="0"/>
        <w:ind w:left="2275" w:firstLine="0"/>
        <w:rPr>
          <w:sz w:val="24"/>
          <w:szCs w:val="24"/>
        </w:rPr>
      </w:pPr>
      <w:r w:rsidRPr="001B644C">
        <w:rPr>
          <w:sz w:val="24"/>
          <w:szCs w:val="24"/>
        </w:rPr>
        <w:t>puts a New Source on-line.</w:t>
      </w:r>
    </w:p>
    <w:p w14:paraId="4E960B7D" w14:textId="1BEF2D12" w:rsidR="009C535D" w:rsidRPr="00FA4906" w:rsidRDefault="001E76FD" w:rsidP="003640E3">
      <w:pPr>
        <w:pStyle w:val="ListParagraph"/>
        <w:numPr>
          <w:ilvl w:val="0"/>
          <w:numId w:val="974"/>
        </w:numPr>
        <w:tabs>
          <w:tab w:val="left" w:pos="2160"/>
        </w:tabs>
        <w:autoSpaceDE w:val="0"/>
        <w:autoSpaceDN w:val="0"/>
        <w:adjustRightInd w:val="0"/>
        <w:ind w:left="1728" w:firstLine="0"/>
        <w:rPr>
          <w:sz w:val="24"/>
          <w:szCs w:val="24"/>
        </w:rPr>
      </w:pPr>
      <w:r w:rsidRPr="00FA4906">
        <w:rPr>
          <w:sz w:val="24"/>
          <w:szCs w:val="24"/>
        </w:rPr>
        <w:t>If a Supplier of Water reactivates an existing source or opens a Seasonal System after</w:t>
      </w:r>
      <w:r w:rsidR="00FA4906" w:rsidRPr="00FA4906">
        <w:rPr>
          <w:sz w:val="24"/>
          <w:szCs w:val="24"/>
        </w:rPr>
        <w:t xml:space="preserve"> </w:t>
      </w:r>
      <w:r w:rsidRPr="00FA4906">
        <w:rPr>
          <w:sz w:val="24"/>
          <w:szCs w:val="24"/>
        </w:rPr>
        <w:t>the applicable commencement date described in 310 CMR 22.07G(5)(b)1., it shall</w:t>
      </w:r>
      <w:r w:rsidR="00FA4906" w:rsidRPr="00FA4906">
        <w:rPr>
          <w:sz w:val="24"/>
          <w:szCs w:val="24"/>
        </w:rPr>
        <w:t xml:space="preserve"> </w:t>
      </w:r>
      <w:r w:rsidRPr="00FA4906">
        <w:rPr>
          <w:sz w:val="24"/>
          <w:szCs w:val="24"/>
        </w:rPr>
        <w:t>commence initial monitoring of such locations within the first month of delivering water</w:t>
      </w:r>
      <w:r w:rsidR="00FA4906" w:rsidRPr="00FA4906">
        <w:rPr>
          <w:sz w:val="24"/>
          <w:szCs w:val="24"/>
        </w:rPr>
        <w:t xml:space="preserve"> </w:t>
      </w:r>
      <w:r w:rsidRPr="00FA4906">
        <w:rPr>
          <w:sz w:val="24"/>
          <w:szCs w:val="24"/>
        </w:rPr>
        <w:t>to the public.</w:t>
      </w:r>
    </w:p>
    <w:p w14:paraId="6E76ACB0" w14:textId="25111670" w:rsidR="001E76FD" w:rsidRPr="00FA4906" w:rsidRDefault="001E76FD" w:rsidP="003640E3">
      <w:pPr>
        <w:pStyle w:val="ListParagraph"/>
        <w:numPr>
          <w:ilvl w:val="0"/>
          <w:numId w:val="972"/>
        </w:numPr>
        <w:tabs>
          <w:tab w:val="left" w:pos="1800"/>
        </w:tabs>
        <w:autoSpaceDE w:val="0"/>
        <w:autoSpaceDN w:val="0"/>
        <w:adjustRightInd w:val="0"/>
        <w:ind w:left="1296" w:firstLine="0"/>
        <w:rPr>
          <w:sz w:val="24"/>
          <w:szCs w:val="24"/>
          <w:u w:val="single"/>
        </w:rPr>
      </w:pPr>
      <w:r w:rsidRPr="00FA4906">
        <w:rPr>
          <w:sz w:val="24"/>
          <w:szCs w:val="24"/>
          <w:u w:val="single"/>
        </w:rPr>
        <w:t>Waivers</w:t>
      </w:r>
      <w:r w:rsidRPr="00FA4906">
        <w:rPr>
          <w:sz w:val="24"/>
          <w:szCs w:val="24"/>
        </w:rPr>
        <w:t>. Any Public Water System subject to 310 CMR 22.07G(5), all of whose</w:t>
      </w:r>
      <w:r w:rsidR="00FA4906" w:rsidRPr="00FA4906">
        <w:rPr>
          <w:sz w:val="24"/>
          <w:szCs w:val="24"/>
        </w:rPr>
        <w:t xml:space="preserve"> </w:t>
      </w:r>
      <w:r w:rsidRPr="00FA4906">
        <w:rPr>
          <w:sz w:val="24"/>
          <w:szCs w:val="24"/>
        </w:rPr>
        <w:t>analytical results for the first two quarters of monitoring described in 310 CMR 22.07G(5)(b)</w:t>
      </w:r>
      <w:r w:rsidR="00FA4906" w:rsidRPr="00FA4906">
        <w:rPr>
          <w:sz w:val="24"/>
          <w:szCs w:val="24"/>
        </w:rPr>
        <w:t xml:space="preserve"> </w:t>
      </w:r>
      <w:r w:rsidRPr="00FA4906">
        <w:rPr>
          <w:sz w:val="24"/>
          <w:szCs w:val="24"/>
        </w:rPr>
        <w:t>are below the applicable MRLs, may submit a written request to waive the third and fourth</w:t>
      </w:r>
      <w:r w:rsidR="00FA4906" w:rsidRPr="00FA4906">
        <w:rPr>
          <w:sz w:val="24"/>
          <w:szCs w:val="24"/>
        </w:rPr>
        <w:t xml:space="preserve"> </w:t>
      </w:r>
      <w:r w:rsidRPr="00FA4906">
        <w:rPr>
          <w:sz w:val="24"/>
          <w:szCs w:val="24"/>
        </w:rPr>
        <w:t>quarters of such monitoring, subject to the Department's written approval based upon a</w:t>
      </w:r>
      <w:r w:rsidR="00FA4906" w:rsidRPr="00FA4906">
        <w:rPr>
          <w:sz w:val="24"/>
          <w:szCs w:val="24"/>
        </w:rPr>
        <w:t xml:space="preserve"> </w:t>
      </w:r>
      <w:r w:rsidRPr="00FA4906">
        <w:rPr>
          <w:sz w:val="24"/>
          <w:szCs w:val="24"/>
        </w:rPr>
        <w:t>determination that there is no known or suspected PFAS contamination in the vicinity of the</w:t>
      </w:r>
      <w:r w:rsidR="00FA4906" w:rsidRPr="00FA4906">
        <w:rPr>
          <w:sz w:val="24"/>
          <w:szCs w:val="24"/>
        </w:rPr>
        <w:t xml:space="preserve"> </w:t>
      </w:r>
      <w:r w:rsidRPr="00FA4906">
        <w:rPr>
          <w:sz w:val="24"/>
          <w:szCs w:val="24"/>
        </w:rPr>
        <w:t>Public Water System or its sources of water.</w:t>
      </w:r>
    </w:p>
    <w:p w14:paraId="1B968315" w14:textId="77777777" w:rsidR="00FA4906" w:rsidRPr="00F97FB2" w:rsidRDefault="00FA4906" w:rsidP="003640E3">
      <w:pPr>
        <w:tabs>
          <w:tab w:val="left" w:pos="1710"/>
        </w:tabs>
        <w:autoSpaceDE w:val="0"/>
        <w:autoSpaceDN w:val="0"/>
        <w:adjustRightInd w:val="0"/>
        <w:ind w:left="1195"/>
        <w:rPr>
          <w:rFonts w:eastAsia="Times New Roman"/>
          <w:sz w:val="24"/>
          <w:szCs w:val="24"/>
        </w:rPr>
      </w:pPr>
    </w:p>
    <w:p w14:paraId="59CBCA75" w14:textId="41094CCC" w:rsidR="001E76FD" w:rsidRDefault="001E76FD" w:rsidP="003640E3">
      <w:pPr>
        <w:pStyle w:val="ListParagraph"/>
        <w:numPr>
          <w:ilvl w:val="0"/>
          <w:numId w:val="976"/>
        </w:numPr>
        <w:tabs>
          <w:tab w:val="left" w:pos="1440"/>
        </w:tabs>
        <w:autoSpaceDE w:val="0"/>
        <w:autoSpaceDN w:val="0"/>
        <w:adjustRightInd w:val="0"/>
        <w:ind w:left="1008" w:firstLine="0"/>
        <w:rPr>
          <w:rFonts w:eastAsia="Times New Roman"/>
          <w:sz w:val="24"/>
          <w:szCs w:val="24"/>
          <w:u w:val="single"/>
        </w:rPr>
      </w:pPr>
      <w:r w:rsidRPr="00B04A78">
        <w:rPr>
          <w:rFonts w:eastAsia="Times New Roman"/>
          <w:sz w:val="24"/>
          <w:szCs w:val="24"/>
          <w:u w:val="single"/>
        </w:rPr>
        <w:t>Routine Monitoring.</w:t>
      </w:r>
    </w:p>
    <w:p w14:paraId="0DD99D3F" w14:textId="440E684D" w:rsidR="005C5526" w:rsidRPr="00A430EC" w:rsidRDefault="003D32CB" w:rsidP="006A6ABC">
      <w:pPr>
        <w:pStyle w:val="ListParagraph"/>
        <w:numPr>
          <w:ilvl w:val="0"/>
          <w:numId w:val="1082"/>
        </w:numPr>
        <w:tabs>
          <w:tab w:val="left" w:pos="1440"/>
          <w:tab w:val="left" w:pos="2160"/>
        </w:tabs>
        <w:autoSpaceDE w:val="0"/>
        <w:autoSpaceDN w:val="0"/>
        <w:adjustRightInd w:val="0"/>
        <w:ind w:left="1555" w:firstLine="0"/>
        <w:rPr>
          <w:sz w:val="24"/>
          <w:szCs w:val="24"/>
        </w:rPr>
      </w:pPr>
      <w:r w:rsidRPr="00A430EC">
        <w:rPr>
          <w:sz w:val="24"/>
          <w:szCs w:val="24"/>
          <w:u w:val="single"/>
        </w:rPr>
        <w:t>Applicability</w:t>
      </w:r>
      <w:r w:rsidRPr="00A430EC">
        <w:rPr>
          <w:sz w:val="24"/>
          <w:szCs w:val="24"/>
        </w:rPr>
        <w:t xml:space="preserve">. 310 CMR 22.07G(6) shall apply to any Sampling Point, or alternate sampling location required by the Department pursuant to 310 CMR 22.07G(4)(a) or (b), </w:t>
      </w:r>
      <w:r w:rsidRPr="00A430EC">
        <w:rPr>
          <w:sz w:val="24"/>
          <w:szCs w:val="24"/>
        </w:rPr>
        <w:lastRenderedPageBreak/>
        <w:t>at which</w:t>
      </w:r>
      <w:r w:rsidR="00A430EC">
        <w:rPr>
          <w:sz w:val="24"/>
          <w:szCs w:val="24"/>
        </w:rPr>
        <w:t xml:space="preserve"> </w:t>
      </w:r>
      <w:r w:rsidR="001E76FD" w:rsidRPr="00A430EC">
        <w:rPr>
          <w:sz w:val="24"/>
          <w:szCs w:val="24"/>
        </w:rPr>
        <w:t>there are no PFAS Detections during initial monitoring</w:t>
      </w:r>
      <w:r w:rsidR="006C29F9" w:rsidRPr="00A430EC">
        <w:rPr>
          <w:sz w:val="24"/>
          <w:szCs w:val="24"/>
        </w:rPr>
        <w:t xml:space="preserve"> or</w:t>
      </w:r>
      <w:r w:rsidR="00A430EC">
        <w:rPr>
          <w:sz w:val="24"/>
          <w:szCs w:val="24"/>
        </w:rPr>
        <w:t xml:space="preserve"> </w:t>
      </w:r>
      <w:r w:rsidR="001E76FD" w:rsidRPr="00A430EC">
        <w:rPr>
          <w:sz w:val="24"/>
          <w:szCs w:val="24"/>
        </w:rPr>
        <w:t>during three years of annual</w:t>
      </w:r>
      <w:r w:rsidR="005C5526" w:rsidRPr="00A430EC">
        <w:rPr>
          <w:sz w:val="24"/>
          <w:szCs w:val="24"/>
        </w:rPr>
        <w:t xml:space="preserve"> </w:t>
      </w:r>
      <w:r w:rsidR="001E76FD" w:rsidRPr="00A430EC">
        <w:rPr>
          <w:sz w:val="24"/>
          <w:szCs w:val="24"/>
        </w:rPr>
        <w:t>monitoring.</w:t>
      </w:r>
      <w:r w:rsidR="005C5526" w:rsidRPr="00A430EC">
        <w:rPr>
          <w:sz w:val="24"/>
          <w:szCs w:val="24"/>
        </w:rPr>
        <w:br w:type="page"/>
      </w:r>
    </w:p>
    <w:p w14:paraId="1E212F91" w14:textId="04624E57" w:rsidR="001E76FD" w:rsidRPr="00012C37" w:rsidRDefault="001E76FD" w:rsidP="00143EDF">
      <w:pPr>
        <w:autoSpaceDE w:val="0"/>
        <w:autoSpaceDN w:val="0"/>
        <w:adjustRightInd w:val="0"/>
        <w:jc w:val="center"/>
        <w:rPr>
          <w:sz w:val="24"/>
          <w:szCs w:val="24"/>
        </w:rPr>
      </w:pPr>
      <w:r w:rsidRPr="00012C37">
        <w:rPr>
          <w:sz w:val="24"/>
          <w:szCs w:val="24"/>
        </w:rPr>
        <w:lastRenderedPageBreak/>
        <w:t>310 CMR: DEPARTMENT OF ENVIRONMENTAL PROTECTION</w:t>
      </w:r>
    </w:p>
    <w:p w14:paraId="1CB105D5" w14:textId="6F4AF7FA" w:rsidR="00143EDF" w:rsidRDefault="00143EDF" w:rsidP="00143EDF">
      <w:pPr>
        <w:autoSpaceDE w:val="0"/>
        <w:autoSpaceDN w:val="0"/>
        <w:adjustRightInd w:val="0"/>
        <w:rPr>
          <w:sz w:val="20"/>
          <w:szCs w:val="20"/>
        </w:rPr>
      </w:pPr>
    </w:p>
    <w:p w14:paraId="2A183339" w14:textId="77777777" w:rsidR="00A430EC" w:rsidRPr="00143EDF" w:rsidRDefault="00A430EC" w:rsidP="00143EDF">
      <w:pPr>
        <w:autoSpaceDE w:val="0"/>
        <w:autoSpaceDN w:val="0"/>
        <w:adjustRightInd w:val="0"/>
        <w:rPr>
          <w:sz w:val="20"/>
          <w:szCs w:val="20"/>
        </w:rPr>
      </w:pPr>
    </w:p>
    <w:p w14:paraId="7A2A869E" w14:textId="5EC5D5BD" w:rsidR="001E76FD" w:rsidRPr="00012C37" w:rsidRDefault="001E76FD" w:rsidP="00143EDF">
      <w:pPr>
        <w:autoSpaceDE w:val="0"/>
        <w:autoSpaceDN w:val="0"/>
        <w:adjustRightInd w:val="0"/>
        <w:rPr>
          <w:sz w:val="24"/>
          <w:szCs w:val="24"/>
        </w:rPr>
      </w:pPr>
      <w:r w:rsidRPr="00012C37">
        <w:rPr>
          <w:sz w:val="24"/>
          <w:szCs w:val="24"/>
        </w:rPr>
        <w:t>22.07G: continued</w:t>
      </w:r>
    </w:p>
    <w:p w14:paraId="66A59BA9" w14:textId="77777777" w:rsidR="005C5526" w:rsidRPr="00143EDF" w:rsidRDefault="005C5526" w:rsidP="00143EDF">
      <w:pPr>
        <w:autoSpaceDE w:val="0"/>
        <w:autoSpaceDN w:val="0"/>
        <w:adjustRightInd w:val="0"/>
        <w:rPr>
          <w:sz w:val="20"/>
          <w:szCs w:val="20"/>
        </w:rPr>
      </w:pPr>
    </w:p>
    <w:p w14:paraId="2982445E" w14:textId="4C9FE92C" w:rsidR="001E76FD" w:rsidRPr="00012C37" w:rsidRDefault="001E76FD" w:rsidP="00143EDF">
      <w:pPr>
        <w:pStyle w:val="ListParagraph"/>
        <w:numPr>
          <w:ilvl w:val="0"/>
          <w:numId w:val="978"/>
        </w:numPr>
        <w:tabs>
          <w:tab w:val="left" w:pos="1584"/>
        </w:tabs>
        <w:autoSpaceDE w:val="0"/>
        <w:autoSpaceDN w:val="0"/>
        <w:adjustRightInd w:val="0"/>
        <w:ind w:left="1152" w:firstLine="0"/>
        <w:rPr>
          <w:sz w:val="24"/>
          <w:szCs w:val="24"/>
        </w:rPr>
      </w:pPr>
      <w:r w:rsidRPr="00012C37">
        <w:rPr>
          <w:sz w:val="24"/>
          <w:szCs w:val="24"/>
          <w:u w:val="single"/>
        </w:rPr>
        <w:t>Frequency and Timing</w:t>
      </w:r>
      <w:r w:rsidRPr="00012C37">
        <w:rPr>
          <w:sz w:val="24"/>
          <w:szCs w:val="24"/>
        </w:rPr>
        <w:t>. A Public Water System may reduce the monitoring frequency</w:t>
      </w:r>
      <w:r w:rsidR="005C5526" w:rsidRPr="00012C37">
        <w:rPr>
          <w:sz w:val="24"/>
          <w:szCs w:val="24"/>
        </w:rPr>
        <w:t xml:space="preserve"> </w:t>
      </w:r>
      <w:r w:rsidRPr="00012C37">
        <w:rPr>
          <w:sz w:val="24"/>
          <w:szCs w:val="24"/>
        </w:rPr>
        <w:t>for such locations in each subsequent Compliance Period to the following number of quarters</w:t>
      </w:r>
      <w:r w:rsidR="005C5526" w:rsidRPr="00012C37">
        <w:rPr>
          <w:sz w:val="24"/>
          <w:szCs w:val="24"/>
        </w:rPr>
        <w:t xml:space="preserve"> </w:t>
      </w:r>
      <w:r w:rsidRPr="00012C37">
        <w:rPr>
          <w:sz w:val="24"/>
          <w:szCs w:val="24"/>
        </w:rPr>
        <w:t>all within any one calendar year, the selection of which quarters shall be subject to the</w:t>
      </w:r>
      <w:r w:rsidR="005C5526" w:rsidRPr="00012C37">
        <w:rPr>
          <w:sz w:val="24"/>
          <w:szCs w:val="24"/>
        </w:rPr>
        <w:t xml:space="preserve"> </w:t>
      </w:r>
      <w:r w:rsidRPr="00012C37">
        <w:rPr>
          <w:sz w:val="24"/>
          <w:szCs w:val="24"/>
        </w:rPr>
        <w:t>Department's prior written approval:</w:t>
      </w:r>
    </w:p>
    <w:p w14:paraId="6FB7F7B2" w14:textId="66B8993D" w:rsidR="001E76FD" w:rsidRPr="00012C37" w:rsidRDefault="001E76FD" w:rsidP="00143EDF">
      <w:pPr>
        <w:pStyle w:val="ListParagraph"/>
        <w:numPr>
          <w:ilvl w:val="0"/>
          <w:numId w:val="979"/>
        </w:numPr>
        <w:tabs>
          <w:tab w:val="left" w:pos="2016"/>
        </w:tabs>
        <w:autoSpaceDE w:val="0"/>
        <w:autoSpaceDN w:val="0"/>
        <w:adjustRightInd w:val="0"/>
        <w:ind w:left="1728" w:firstLine="0"/>
        <w:rPr>
          <w:sz w:val="24"/>
          <w:szCs w:val="24"/>
        </w:rPr>
      </w:pPr>
      <w:r w:rsidRPr="00012C37">
        <w:rPr>
          <w:sz w:val="24"/>
          <w:szCs w:val="24"/>
        </w:rPr>
        <w:t>if serving more than 3,300 individuals, to a minimum of one sample taken in the first</w:t>
      </w:r>
      <w:r w:rsidR="006F3944" w:rsidRPr="00012C37">
        <w:rPr>
          <w:sz w:val="24"/>
          <w:szCs w:val="24"/>
        </w:rPr>
        <w:t xml:space="preserve"> </w:t>
      </w:r>
      <w:r w:rsidRPr="00012C37">
        <w:rPr>
          <w:sz w:val="24"/>
          <w:szCs w:val="24"/>
        </w:rPr>
        <w:t>month of any two selected quarters; or</w:t>
      </w:r>
    </w:p>
    <w:p w14:paraId="2CE02D80" w14:textId="0AB39024" w:rsidR="001E76FD" w:rsidRPr="00012C37" w:rsidRDefault="001E76FD" w:rsidP="00143EDF">
      <w:pPr>
        <w:pStyle w:val="ListParagraph"/>
        <w:numPr>
          <w:ilvl w:val="0"/>
          <w:numId w:val="979"/>
        </w:numPr>
        <w:tabs>
          <w:tab w:val="left" w:pos="2016"/>
        </w:tabs>
        <w:autoSpaceDE w:val="0"/>
        <w:autoSpaceDN w:val="0"/>
        <w:adjustRightInd w:val="0"/>
        <w:ind w:left="1728" w:firstLine="0"/>
        <w:rPr>
          <w:sz w:val="24"/>
          <w:szCs w:val="24"/>
        </w:rPr>
      </w:pPr>
      <w:r w:rsidRPr="00012C37">
        <w:rPr>
          <w:sz w:val="24"/>
          <w:szCs w:val="24"/>
        </w:rPr>
        <w:t>if serving fewer than or equal to 3,300 individuals, to a minimum of one sample</w:t>
      </w:r>
      <w:r w:rsidR="006F3944" w:rsidRPr="00012C37">
        <w:rPr>
          <w:sz w:val="24"/>
          <w:szCs w:val="24"/>
        </w:rPr>
        <w:t xml:space="preserve"> </w:t>
      </w:r>
      <w:r w:rsidRPr="00012C37">
        <w:rPr>
          <w:sz w:val="24"/>
          <w:szCs w:val="24"/>
        </w:rPr>
        <w:t>taken in the first month of any one selected quarter.</w:t>
      </w:r>
    </w:p>
    <w:p w14:paraId="2F3E482A" w14:textId="243210A8" w:rsidR="001E76FD" w:rsidRPr="00012C37" w:rsidRDefault="001E76FD" w:rsidP="00143EDF">
      <w:pPr>
        <w:pStyle w:val="ListParagraph"/>
        <w:numPr>
          <w:ilvl w:val="0"/>
          <w:numId w:val="978"/>
        </w:numPr>
        <w:tabs>
          <w:tab w:val="left" w:pos="1584"/>
        </w:tabs>
        <w:autoSpaceDE w:val="0"/>
        <w:autoSpaceDN w:val="0"/>
        <w:adjustRightInd w:val="0"/>
        <w:ind w:left="1152" w:firstLine="0"/>
        <w:rPr>
          <w:sz w:val="24"/>
          <w:szCs w:val="24"/>
        </w:rPr>
      </w:pPr>
      <w:r w:rsidRPr="00012C37">
        <w:rPr>
          <w:sz w:val="24"/>
          <w:szCs w:val="24"/>
          <w:u w:val="single"/>
        </w:rPr>
        <w:t>Waivers</w:t>
      </w:r>
      <w:r w:rsidRPr="00012C37">
        <w:rPr>
          <w:sz w:val="24"/>
          <w:szCs w:val="24"/>
        </w:rPr>
        <w:t>.</w:t>
      </w:r>
    </w:p>
    <w:p w14:paraId="7E4B7644" w14:textId="59CDC59E" w:rsidR="001E76FD" w:rsidRPr="00012C37" w:rsidRDefault="001E76FD" w:rsidP="00143EDF">
      <w:pPr>
        <w:pStyle w:val="ListParagraph"/>
        <w:numPr>
          <w:ilvl w:val="0"/>
          <w:numId w:val="981"/>
        </w:numPr>
        <w:tabs>
          <w:tab w:val="left" w:pos="2016"/>
        </w:tabs>
        <w:autoSpaceDE w:val="0"/>
        <w:autoSpaceDN w:val="0"/>
        <w:adjustRightInd w:val="0"/>
        <w:ind w:left="1728" w:firstLine="0"/>
        <w:rPr>
          <w:sz w:val="24"/>
          <w:szCs w:val="24"/>
        </w:rPr>
      </w:pPr>
      <w:r w:rsidRPr="00012C37">
        <w:rPr>
          <w:sz w:val="24"/>
          <w:szCs w:val="24"/>
          <w:u w:val="single"/>
        </w:rPr>
        <w:t>Eligibility and Duration</w:t>
      </w:r>
      <w:r w:rsidRPr="00012C37">
        <w:rPr>
          <w:sz w:val="24"/>
          <w:szCs w:val="24"/>
        </w:rPr>
        <w:t>. Commencing January 1, 2023, any Supplier of Water</w:t>
      </w:r>
      <w:r w:rsidR="004F06B5" w:rsidRPr="00012C37">
        <w:rPr>
          <w:sz w:val="24"/>
          <w:szCs w:val="24"/>
        </w:rPr>
        <w:t xml:space="preserve"> </w:t>
      </w:r>
      <w:r w:rsidRPr="00012C37">
        <w:rPr>
          <w:sz w:val="24"/>
          <w:szCs w:val="24"/>
        </w:rPr>
        <w:t>subject to 310 CMR 22.07G(6) may submit a written request to the Department for a</w:t>
      </w:r>
      <w:r w:rsidR="004F06B5" w:rsidRPr="00012C37">
        <w:rPr>
          <w:sz w:val="24"/>
          <w:szCs w:val="24"/>
        </w:rPr>
        <w:t xml:space="preserve"> </w:t>
      </w:r>
      <w:r w:rsidRPr="00012C37">
        <w:rPr>
          <w:sz w:val="24"/>
          <w:szCs w:val="24"/>
        </w:rPr>
        <w:t>waiver from the monitoring requirements set forth in 310 CMR 22.07G(6)(b)1. or 2. for</w:t>
      </w:r>
      <w:r w:rsidR="004F06B5" w:rsidRPr="00012C37">
        <w:rPr>
          <w:sz w:val="24"/>
          <w:szCs w:val="24"/>
        </w:rPr>
        <w:t xml:space="preserve"> </w:t>
      </w:r>
      <w:r w:rsidRPr="00012C37">
        <w:rPr>
          <w:sz w:val="24"/>
          <w:szCs w:val="24"/>
        </w:rPr>
        <w:t>up to a single Compliance Period. A Supplier of Water may reapply to the Department</w:t>
      </w:r>
      <w:r w:rsidR="004F06B5" w:rsidRPr="00012C37">
        <w:rPr>
          <w:sz w:val="24"/>
          <w:szCs w:val="24"/>
        </w:rPr>
        <w:t xml:space="preserve"> </w:t>
      </w:r>
      <w:r w:rsidRPr="00012C37">
        <w:rPr>
          <w:sz w:val="24"/>
          <w:szCs w:val="24"/>
        </w:rPr>
        <w:t>for a waiver for each successive Compliance Period, provided however that sampling</w:t>
      </w:r>
      <w:r w:rsidR="00812BE5" w:rsidRPr="00012C37">
        <w:rPr>
          <w:sz w:val="24"/>
          <w:szCs w:val="24"/>
        </w:rPr>
        <w:t xml:space="preserve"> </w:t>
      </w:r>
      <w:r w:rsidRPr="00012C37">
        <w:rPr>
          <w:sz w:val="24"/>
          <w:szCs w:val="24"/>
        </w:rPr>
        <w:t>shall occur at least once during the first Compliance Period of each successive</w:t>
      </w:r>
      <w:r w:rsidR="00812BE5" w:rsidRPr="00012C37">
        <w:rPr>
          <w:sz w:val="24"/>
          <w:szCs w:val="24"/>
        </w:rPr>
        <w:t xml:space="preserve"> </w:t>
      </w:r>
      <w:r w:rsidRPr="00012C37">
        <w:rPr>
          <w:sz w:val="24"/>
          <w:szCs w:val="24"/>
        </w:rPr>
        <w:t>Compliance Cycle.</w:t>
      </w:r>
    </w:p>
    <w:p w14:paraId="2AFDFB3B" w14:textId="5A70FAD2" w:rsidR="001E76FD" w:rsidRPr="00012C37" w:rsidRDefault="001E76FD" w:rsidP="00143EDF">
      <w:pPr>
        <w:pStyle w:val="ListParagraph"/>
        <w:numPr>
          <w:ilvl w:val="0"/>
          <w:numId w:val="981"/>
        </w:numPr>
        <w:tabs>
          <w:tab w:val="left" w:pos="2016"/>
        </w:tabs>
        <w:autoSpaceDE w:val="0"/>
        <w:autoSpaceDN w:val="0"/>
        <w:adjustRightInd w:val="0"/>
        <w:ind w:left="1728" w:firstLine="0"/>
        <w:rPr>
          <w:sz w:val="24"/>
          <w:szCs w:val="24"/>
        </w:rPr>
      </w:pPr>
      <w:r w:rsidRPr="00012C37">
        <w:rPr>
          <w:sz w:val="24"/>
          <w:szCs w:val="24"/>
          <w:u w:val="single"/>
        </w:rPr>
        <w:t>Application</w:t>
      </w:r>
      <w:r w:rsidRPr="00012C37">
        <w:rPr>
          <w:sz w:val="24"/>
          <w:szCs w:val="24"/>
        </w:rPr>
        <w:t xml:space="preserve">. Each waiver request made pursuant to 310 CMR 22.07G(6)(c)1. </w:t>
      </w:r>
      <w:r w:rsidR="00A91F07">
        <w:rPr>
          <w:sz w:val="24"/>
          <w:szCs w:val="24"/>
        </w:rPr>
        <w:t>s</w:t>
      </w:r>
      <w:r w:rsidRPr="00012C37">
        <w:rPr>
          <w:sz w:val="24"/>
          <w:szCs w:val="24"/>
        </w:rPr>
        <w:t>hall</w:t>
      </w:r>
      <w:r w:rsidR="00812BE5" w:rsidRPr="00012C37">
        <w:rPr>
          <w:sz w:val="24"/>
          <w:szCs w:val="24"/>
        </w:rPr>
        <w:t xml:space="preserve"> </w:t>
      </w:r>
      <w:r w:rsidRPr="00012C37">
        <w:rPr>
          <w:sz w:val="24"/>
          <w:szCs w:val="24"/>
        </w:rPr>
        <w:t>include a description of land uses (both current and prior) within the Watershed, Zone</w:t>
      </w:r>
      <w:r w:rsidR="00812BE5" w:rsidRPr="00012C37">
        <w:rPr>
          <w:sz w:val="24"/>
          <w:szCs w:val="24"/>
        </w:rPr>
        <w:t xml:space="preserve"> </w:t>
      </w:r>
      <w:r w:rsidRPr="00012C37">
        <w:rPr>
          <w:sz w:val="24"/>
          <w:szCs w:val="24"/>
        </w:rPr>
        <w:t>II or IWPA, that may potentially contribute PFAS to the Public Water System's source(s)</w:t>
      </w:r>
      <w:r w:rsidR="00812BE5" w:rsidRPr="00012C37">
        <w:rPr>
          <w:sz w:val="24"/>
          <w:szCs w:val="24"/>
        </w:rPr>
        <w:t xml:space="preserve"> </w:t>
      </w:r>
      <w:r w:rsidRPr="00012C37">
        <w:rPr>
          <w:sz w:val="24"/>
          <w:szCs w:val="24"/>
        </w:rPr>
        <w:t>of water supply including, without limitation, all known manufacture, storage, use or</w:t>
      </w:r>
      <w:r w:rsidR="00812BE5" w:rsidRPr="00012C37">
        <w:rPr>
          <w:sz w:val="24"/>
          <w:szCs w:val="24"/>
        </w:rPr>
        <w:t xml:space="preserve"> </w:t>
      </w:r>
      <w:r w:rsidRPr="00012C37">
        <w:rPr>
          <w:sz w:val="24"/>
          <w:szCs w:val="24"/>
        </w:rPr>
        <w:t>disposal of PFAS or PFAS containing materials.</w:t>
      </w:r>
    </w:p>
    <w:p w14:paraId="3847B62B" w14:textId="73410B6C" w:rsidR="001E76FD" w:rsidRPr="00012C37" w:rsidRDefault="001E76FD" w:rsidP="00143EDF">
      <w:pPr>
        <w:pStyle w:val="ListParagraph"/>
        <w:numPr>
          <w:ilvl w:val="0"/>
          <w:numId w:val="981"/>
        </w:numPr>
        <w:tabs>
          <w:tab w:val="left" w:pos="2016"/>
        </w:tabs>
        <w:autoSpaceDE w:val="0"/>
        <w:autoSpaceDN w:val="0"/>
        <w:adjustRightInd w:val="0"/>
        <w:ind w:left="1728" w:firstLine="0"/>
        <w:rPr>
          <w:sz w:val="24"/>
          <w:szCs w:val="24"/>
        </w:rPr>
      </w:pPr>
      <w:r w:rsidRPr="00012C37">
        <w:rPr>
          <w:sz w:val="24"/>
          <w:szCs w:val="24"/>
          <w:u w:val="single"/>
        </w:rPr>
        <w:t>Basis</w:t>
      </w:r>
      <w:r w:rsidRPr="00012C37">
        <w:rPr>
          <w:sz w:val="24"/>
          <w:szCs w:val="24"/>
        </w:rPr>
        <w:t>. Approval of a waiver request made pursuant to 310 CMR 22.07G(6)(c)1. shall</w:t>
      </w:r>
      <w:r w:rsidR="00812BE5" w:rsidRPr="00012C37">
        <w:rPr>
          <w:sz w:val="24"/>
          <w:szCs w:val="24"/>
        </w:rPr>
        <w:t xml:space="preserve"> </w:t>
      </w:r>
      <w:r w:rsidRPr="00012C37">
        <w:rPr>
          <w:sz w:val="24"/>
          <w:szCs w:val="24"/>
        </w:rPr>
        <w:t>be subject to the Department's written determination that there is no reason to suspect</w:t>
      </w:r>
      <w:r w:rsidR="00812BE5" w:rsidRPr="00012C37">
        <w:rPr>
          <w:sz w:val="24"/>
          <w:szCs w:val="24"/>
        </w:rPr>
        <w:t xml:space="preserve"> </w:t>
      </w:r>
      <w:r w:rsidRPr="00012C37">
        <w:rPr>
          <w:sz w:val="24"/>
          <w:szCs w:val="24"/>
        </w:rPr>
        <w:t>PFAS contamination in the vicinity of the Public Water System or its sources of water.</w:t>
      </w:r>
      <w:r w:rsidR="00812BE5" w:rsidRPr="00012C37">
        <w:rPr>
          <w:sz w:val="24"/>
          <w:szCs w:val="24"/>
        </w:rPr>
        <w:t xml:space="preserve"> </w:t>
      </w:r>
      <w:r w:rsidRPr="00012C37">
        <w:rPr>
          <w:sz w:val="24"/>
          <w:szCs w:val="24"/>
        </w:rPr>
        <w:t>Such determination shall be based on the information submitted pursuant to 310 CMR</w:t>
      </w:r>
      <w:r w:rsidR="00812BE5" w:rsidRPr="00012C37">
        <w:rPr>
          <w:sz w:val="24"/>
          <w:szCs w:val="24"/>
        </w:rPr>
        <w:t xml:space="preserve"> </w:t>
      </w:r>
      <w:r w:rsidRPr="00012C37">
        <w:rPr>
          <w:sz w:val="24"/>
          <w:szCs w:val="24"/>
        </w:rPr>
        <w:t>22.07G(6)(c)2. and any other relevant information known to the Department including,</w:t>
      </w:r>
      <w:r w:rsidR="00812BE5" w:rsidRPr="00012C37">
        <w:rPr>
          <w:sz w:val="24"/>
          <w:szCs w:val="24"/>
        </w:rPr>
        <w:t xml:space="preserve"> </w:t>
      </w:r>
      <w:r w:rsidRPr="00012C37">
        <w:rPr>
          <w:sz w:val="24"/>
          <w:szCs w:val="24"/>
        </w:rPr>
        <w:t>without limitation, the following factors:</w:t>
      </w:r>
    </w:p>
    <w:p w14:paraId="32245648" w14:textId="2B37562F" w:rsidR="001E76FD" w:rsidRPr="00012C37" w:rsidRDefault="001E76FD" w:rsidP="00143EDF">
      <w:pPr>
        <w:pStyle w:val="ListParagraph"/>
        <w:numPr>
          <w:ilvl w:val="1"/>
          <w:numId w:val="982"/>
        </w:numPr>
        <w:tabs>
          <w:tab w:val="left" w:pos="2304"/>
        </w:tabs>
        <w:autoSpaceDE w:val="0"/>
        <w:autoSpaceDN w:val="0"/>
        <w:adjustRightInd w:val="0"/>
        <w:ind w:left="2016" w:firstLine="0"/>
        <w:rPr>
          <w:sz w:val="24"/>
          <w:szCs w:val="24"/>
        </w:rPr>
      </w:pPr>
      <w:r w:rsidRPr="00012C37">
        <w:rPr>
          <w:sz w:val="24"/>
          <w:szCs w:val="24"/>
        </w:rPr>
        <w:t>previous analytical results;</w:t>
      </w:r>
    </w:p>
    <w:p w14:paraId="3311BBAA" w14:textId="65654574" w:rsidR="001E76FD" w:rsidRPr="00012C37" w:rsidRDefault="001E76FD" w:rsidP="00143EDF">
      <w:pPr>
        <w:pStyle w:val="ListParagraph"/>
        <w:numPr>
          <w:ilvl w:val="1"/>
          <w:numId w:val="982"/>
        </w:numPr>
        <w:tabs>
          <w:tab w:val="left" w:pos="2304"/>
        </w:tabs>
        <w:autoSpaceDE w:val="0"/>
        <w:autoSpaceDN w:val="0"/>
        <w:adjustRightInd w:val="0"/>
        <w:ind w:left="2016" w:firstLine="0"/>
        <w:rPr>
          <w:sz w:val="24"/>
          <w:szCs w:val="24"/>
        </w:rPr>
      </w:pPr>
      <w:r w:rsidRPr="00012C37">
        <w:rPr>
          <w:sz w:val="24"/>
          <w:szCs w:val="24"/>
        </w:rPr>
        <w:t>proximity of the Public Water System or its sources of water to potential sources</w:t>
      </w:r>
      <w:r w:rsidR="00997A81" w:rsidRPr="00012C37">
        <w:rPr>
          <w:sz w:val="24"/>
          <w:szCs w:val="24"/>
        </w:rPr>
        <w:t xml:space="preserve"> </w:t>
      </w:r>
      <w:r w:rsidRPr="00012C37">
        <w:rPr>
          <w:sz w:val="24"/>
          <w:szCs w:val="24"/>
        </w:rPr>
        <w:t>of contamination including but not limited to manufacturing, distribution, or storage</w:t>
      </w:r>
      <w:r w:rsidR="00997A81" w:rsidRPr="00012C37">
        <w:rPr>
          <w:sz w:val="24"/>
          <w:szCs w:val="24"/>
        </w:rPr>
        <w:t xml:space="preserve"> </w:t>
      </w:r>
      <w:r w:rsidRPr="00012C37">
        <w:rPr>
          <w:sz w:val="24"/>
          <w:szCs w:val="24"/>
        </w:rPr>
        <w:t>facilities; hazardous and solid waste landfills and other waste handling or treatment</w:t>
      </w:r>
      <w:r w:rsidR="00997A81" w:rsidRPr="00012C37">
        <w:rPr>
          <w:sz w:val="24"/>
          <w:szCs w:val="24"/>
        </w:rPr>
        <w:t xml:space="preserve"> </w:t>
      </w:r>
      <w:r w:rsidRPr="00012C37">
        <w:rPr>
          <w:sz w:val="24"/>
          <w:szCs w:val="24"/>
        </w:rPr>
        <w:t>facilities; locations where fires are known to have been extinguished with aqueous</w:t>
      </w:r>
      <w:r w:rsidR="00997A81" w:rsidRPr="00012C37">
        <w:rPr>
          <w:sz w:val="24"/>
          <w:szCs w:val="24"/>
        </w:rPr>
        <w:t xml:space="preserve"> </w:t>
      </w:r>
      <w:r w:rsidRPr="00012C37">
        <w:rPr>
          <w:sz w:val="24"/>
          <w:szCs w:val="24"/>
        </w:rPr>
        <w:t>film forming foam; wastewater treatment plants; airports; current and former military</w:t>
      </w:r>
      <w:r w:rsidR="00997A81" w:rsidRPr="00012C37">
        <w:rPr>
          <w:sz w:val="24"/>
          <w:szCs w:val="24"/>
        </w:rPr>
        <w:t xml:space="preserve"> </w:t>
      </w:r>
      <w:r w:rsidRPr="00012C37">
        <w:rPr>
          <w:sz w:val="24"/>
          <w:szCs w:val="24"/>
        </w:rPr>
        <w:t>bases; facilities where fire training occurs; and areas where the application of</w:t>
      </w:r>
      <w:r w:rsidR="00997A81" w:rsidRPr="00012C37">
        <w:rPr>
          <w:sz w:val="24"/>
          <w:szCs w:val="24"/>
        </w:rPr>
        <w:t xml:space="preserve"> </w:t>
      </w:r>
      <w:r w:rsidRPr="00012C37">
        <w:rPr>
          <w:sz w:val="24"/>
          <w:szCs w:val="24"/>
        </w:rPr>
        <w:t>bio-solids occurs;</w:t>
      </w:r>
    </w:p>
    <w:p w14:paraId="0ACACF93" w14:textId="166058D1" w:rsidR="001E76FD" w:rsidRPr="00012C37" w:rsidRDefault="001E76FD" w:rsidP="00143EDF">
      <w:pPr>
        <w:pStyle w:val="ListParagraph"/>
        <w:numPr>
          <w:ilvl w:val="1"/>
          <w:numId w:val="982"/>
        </w:numPr>
        <w:tabs>
          <w:tab w:val="left" w:pos="2304"/>
        </w:tabs>
        <w:autoSpaceDE w:val="0"/>
        <w:autoSpaceDN w:val="0"/>
        <w:adjustRightInd w:val="0"/>
        <w:ind w:left="2016" w:firstLine="0"/>
        <w:rPr>
          <w:sz w:val="24"/>
          <w:szCs w:val="24"/>
        </w:rPr>
      </w:pPr>
      <w:r w:rsidRPr="00012C37">
        <w:rPr>
          <w:sz w:val="24"/>
          <w:szCs w:val="24"/>
        </w:rPr>
        <w:t>proximity of the Public Water System or its sources of water to known spills or</w:t>
      </w:r>
      <w:r w:rsidR="00997A81" w:rsidRPr="00012C37">
        <w:rPr>
          <w:sz w:val="24"/>
          <w:szCs w:val="24"/>
        </w:rPr>
        <w:t xml:space="preserve"> </w:t>
      </w:r>
      <w:r w:rsidRPr="00012C37">
        <w:rPr>
          <w:sz w:val="24"/>
          <w:szCs w:val="24"/>
        </w:rPr>
        <w:t>leaks of chemicals including, but not limited to, any release, site or disposal site as</w:t>
      </w:r>
      <w:r w:rsidR="00997A81" w:rsidRPr="00012C37">
        <w:rPr>
          <w:sz w:val="24"/>
          <w:szCs w:val="24"/>
        </w:rPr>
        <w:t xml:space="preserve"> </w:t>
      </w:r>
      <w:r w:rsidRPr="00012C37">
        <w:rPr>
          <w:sz w:val="24"/>
          <w:szCs w:val="24"/>
        </w:rPr>
        <w:t>defined under 310 CMR 40.0000: Massachusetts Contingency Plan;</w:t>
      </w:r>
    </w:p>
    <w:p w14:paraId="2189E257" w14:textId="6E49E5E4" w:rsidR="001E76FD" w:rsidRPr="00012C37" w:rsidRDefault="001E76FD" w:rsidP="00143EDF">
      <w:pPr>
        <w:pStyle w:val="ListParagraph"/>
        <w:numPr>
          <w:ilvl w:val="1"/>
          <w:numId w:val="982"/>
        </w:numPr>
        <w:tabs>
          <w:tab w:val="left" w:pos="2304"/>
        </w:tabs>
        <w:autoSpaceDE w:val="0"/>
        <w:autoSpaceDN w:val="0"/>
        <w:adjustRightInd w:val="0"/>
        <w:ind w:left="2016" w:firstLine="0"/>
        <w:rPr>
          <w:sz w:val="24"/>
          <w:szCs w:val="24"/>
        </w:rPr>
      </w:pPr>
      <w:r w:rsidRPr="00012C37">
        <w:rPr>
          <w:sz w:val="24"/>
          <w:szCs w:val="24"/>
        </w:rPr>
        <w:t>environmental persistence and transport of PFAS;</w:t>
      </w:r>
    </w:p>
    <w:p w14:paraId="604169C4" w14:textId="08A0A57D" w:rsidR="001E76FD" w:rsidRPr="00012C37" w:rsidRDefault="001E76FD" w:rsidP="00143EDF">
      <w:pPr>
        <w:pStyle w:val="ListParagraph"/>
        <w:numPr>
          <w:ilvl w:val="1"/>
          <w:numId w:val="982"/>
        </w:numPr>
        <w:tabs>
          <w:tab w:val="left" w:pos="2304"/>
        </w:tabs>
        <w:autoSpaceDE w:val="0"/>
        <w:autoSpaceDN w:val="0"/>
        <w:adjustRightInd w:val="0"/>
        <w:ind w:left="2016" w:firstLine="0"/>
        <w:rPr>
          <w:sz w:val="24"/>
          <w:szCs w:val="24"/>
        </w:rPr>
      </w:pPr>
      <w:r w:rsidRPr="00012C37">
        <w:rPr>
          <w:sz w:val="24"/>
          <w:szCs w:val="24"/>
        </w:rPr>
        <w:t>how well the source(s) of water supply is protected against contamination due to</w:t>
      </w:r>
      <w:r w:rsidR="00997A81" w:rsidRPr="00012C37">
        <w:rPr>
          <w:sz w:val="24"/>
          <w:szCs w:val="24"/>
        </w:rPr>
        <w:t xml:space="preserve"> </w:t>
      </w:r>
      <w:r w:rsidRPr="00012C37">
        <w:rPr>
          <w:sz w:val="24"/>
          <w:szCs w:val="24"/>
        </w:rPr>
        <w:t>such factors as the depth of the well, the type of soil, the integrity of the well casing,</w:t>
      </w:r>
      <w:r w:rsidR="00997A81" w:rsidRPr="00012C37">
        <w:rPr>
          <w:sz w:val="24"/>
          <w:szCs w:val="24"/>
        </w:rPr>
        <w:t xml:space="preserve"> </w:t>
      </w:r>
      <w:r w:rsidRPr="00012C37">
        <w:rPr>
          <w:sz w:val="24"/>
          <w:szCs w:val="24"/>
        </w:rPr>
        <w:t>and other relevant protective measures;</w:t>
      </w:r>
    </w:p>
    <w:p w14:paraId="48837B90" w14:textId="2FE3849C" w:rsidR="001E76FD" w:rsidRPr="00012C37" w:rsidRDefault="001E76FD" w:rsidP="00143EDF">
      <w:pPr>
        <w:pStyle w:val="ListParagraph"/>
        <w:numPr>
          <w:ilvl w:val="1"/>
          <w:numId w:val="982"/>
        </w:numPr>
        <w:tabs>
          <w:tab w:val="left" w:pos="2304"/>
        </w:tabs>
        <w:autoSpaceDE w:val="0"/>
        <w:autoSpaceDN w:val="0"/>
        <w:adjustRightInd w:val="0"/>
        <w:ind w:left="2016" w:firstLine="0"/>
        <w:rPr>
          <w:sz w:val="24"/>
          <w:szCs w:val="24"/>
        </w:rPr>
      </w:pPr>
      <w:r w:rsidRPr="00012C37">
        <w:rPr>
          <w:sz w:val="24"/>
          <w:szCs w:val="24"/>
        </w:rPr>
        <w:t>completed remediation activities that removed sources of PFAS;</w:t>
      </w:r>
    </w:p>
    <w:p w14:paraId="77282AB6" w14:textId="46246C8E" w:rsidR="001E76FD" w:rsidRPr="00012C37" w:rsidRDefault="001E76FD" w:rsidP="00143EDF">
      <w:pPr>
        <w:pStyle w:val="ListParagraph"/>
        <w:numPr>
          <w:ilvl w:val="1"/>
          <w:numId w:val="982"/>
        </w:numPr>
        <w:tabs>
          <w:tab w:val="left" w:pos="2304"/>
        </w:tabs>
        <w:autoSpaceDE w:val="0"/>
        <w:autoSpaceDN w:val="0"/>
        <w:adjustRightInd w:val="0"/>
        <w:ind w:left="2016" w:firstLine="0"/>
        <w:rPr>
          <w:sz w:val="24"/>
          <w:szCs w:val="24"/>
        </w:rPr>
      </w:pPr>
      <w:r w:rsidRPr="00012C37">
        <w:rPr>
          <w:sz w:val="24"/>
          <w:szCs w:val="24"/>
        </w:rPr>
        <w:t>source operations (e.g., manifold or seasonal sources, blending, flow rates); and</w:t>
      </w:r>
    </w:p>
    <w:p w14:paraId="7CBB19C7" w14:textId="53B87D7F" w:rsidR="001E76FD" w:rsidRPr="00012C37" w:rsidRDefault="001E76FD" w:rsidP="00143EDF">
      <w:pPr>
        <w:pStyle w:val="ListParagraph"/>
        <w:numPr>
          <w:ilvl w:val="1"/>
          <w:numId w:val="982"/>
        </w:numPr>
        <w:tabs>
          <w:tab w:val="left" w:pos="2304"/>
        </w:tabs>
        <w:autoSpaceDE w:val="0"/>
        <w:autoSpaceDN w:val="0"/>
        <w:adjustRightInd w:val="0"/>
        <w:ind w:left="2016" w:firstLine="0"/>
        <w:rPr>
          <w:sz w:val="24"/>
          <w:szCs w:val="24"/>
        </w:rPr>
      </w:pPr>
      <w:r w:rsidRPr="00012C37">
        <w:rPr>
          <w:sz w:val="24"/>
          <w:szCs w:val="24"/>
        </w:rPr>
        <w:t>use of existing treatment processes which have the potential to reduce PFAS</w:t>
      </w:r>
      <w:r w:rsidR="00310B72" w:rsidRPr="00012C37">
        <w:rPr>
          <w:sz w:val="24"/>
          <w:szCs w:val="24"/>
        </w:rPr>
        <w:t xml:space="preserve"> </w:t>
      </w:r>
      <w:r w:rsidRPr="00012C37">
        <w:rPr>
          <w:sz w:val="24"/>
          <w:szCs w:val="24"/>
        </w:rPr>
        <w:t>concentrations in the finished water.</w:t>
      </w:r>
    </w:p>
    <w:p w14:paraId="67B34162" w14:textId="77777777" w:rsidR="00310B72" w:rsidRPr="00012C37" w:rsidRDefault="00310B72" w:rsidP="00143EDF">
      <w:pPr>
        <w:tabs>
          <w:tab w:val="left" w:pos="2610"/>
        </w:tabs>
        <w:autoSpaceDE w:val="0"/>
        <w:autoSpaceDN w:val="0"/>
        <w:adjustRightInd w:val="0"/>
        <w:rPr>
          <w:sz w:val="24"/>
          <w:szCs w:val="24"/>
        </w:rPr>
      </w:pPr>
    </w:p>
    <w:p w14:paraId="30D8D9EF" w14:textId="361BD897" w:rsidR="001E76FD" w:rsidRPr="00012C37" w:rsidRDefault="001E76FD" w:rsidP="00143EDF">
      <w:pPr>
        <w:pStyle w:val="ListParagraph"/>
        <w:numPr>
          <w:ilvl w:val="0"/>
          <w:numId w:val="983"/>
        </w:numPr>
        <w:tabs>
          <w:tab w:val="left" w:pos="1440"/>
        </w:tabs>
        <w:autoSpaceDE w:val="0"/>
        <w:autoSpaceDN w:val="0"/>
        <w:adjustRightInd w:val="0"/>
        <w:ind w:left="1008" w:firstLine="0"/>
        <w:rPr>
          <w:sz w:val="24"/>
          <w:szCs w:val="24"/>
        </w:rPr>
      </w:pPr>
      <w:r w:rsidRPr="00012C37">
        <w:rPr>
          <w:sz w:val="24"/>
          <w:szCs w:val="24"/>
          <w:u w:val="single"/>
        </w:rPr>
        <w:t>PFAS Detections</w:t>
      </w:r>
      <w:r w:rsidRPr="00012C37">
        <w:rPr>
          <w:sz w:val="24"/>
          <w:szCs w:val="24"/>
        </w:rPr>
        <w:t>.</w:t>
      </w:r>
    </w:p>
    <w:p w14:paraId="088A182A" w14:textId="1C4FAA98" w:rsidR="001E76FD" w:rsidRPr="00875754" w:rsidRDefault="001E76FD" w:rsidP="006A6ABC">
      <w:pPr>
        <w:pStyle w:val="ListParagraph"/>
        <w:numPr>
          <w:ilvl w:val="1"/>
          <w:numId w:val="984"/>
        </w:numPr>
        <w:tabs>
          <w:tab w:val="left" w:pos="1584"/>
        </w:tabs>
        <w:autoSpaceDE w:val="0"/>
        <w:autoSpaceDN w:val="0"/>
        <w:adjustRightInd w:val="0"/>
        <w:ind w:left="1152" w:firstLine="0"/>
        <w:rPr>
          <w:sz w:val="24"/>
          <w:szCs w:val="24"/>
        </w:rPr>
      </w:pPr>
      <w:r w:rsidRPr="00875754">
        <w:rPr>
          <w:sz w:val="24"/>
          <w:szCs w:val="24"/>
          <w:u w:val="single"/>
        </w:rPr>
        <w:t>Applicability</w:t>
      </w:r>
      <w:r w:rsidRPr="00875754">
        <w:rPr>
          <w:sz w:val="24"/>
          <w:szCs w:val="24"/>
        </w:rPr>
        <w:t>. 310 CMR 22.07G(7) shall apply to any Sampling Point, or alternate</w:t>
      </w:r>
      <w:r w:rsidR="00875754" w:rsidRPr="00875754">
        <w:rPr>
          <w:sz w:val="24"/>
          <w:szCs w:val="24"/>
        </w:rPr>
        <w:t xml:space="preserve"> </w:t>
      </w:r>
      <w:r w:rsidRPr="00875754">
        <w:rPr>
          <w:sz w:val="24"/>
          <w:szCs w:val="24"/>
        </w:rPr>
        <w:t>sampling location required by the Department pursuant to 310 CMR 22.07G(4)(a) or (b),</w:t>
      </w:r>
      <w:r w:rsidR="00875754" w:rsidRPr="00875754">
        <w:rPr>
          <w:sz w:val="24"/>
          <w:szCs w:val="24"/>
        </w:rPr>
        <w:t xml:space="preserve"> </w:t>
      </w:r>
      <w:r w:rsidRPr="00875754">
        <w:rPr>
          <w:sz w:val="24"/>
          <w:szCs w:val="24"/>
        </w:rPr>
        <w:t>following:</w:t>
      </w:r>
    </w:p>
    <w:p w14:paraId="34CDC100" w14:textId="22D00408" w:rsidR="001E76FD" w:rsidRPr="00012C37" w:rsidRDefault="001E76FD" w:rsidP="00143EDF">
      <w:pPr>
        <w:pStyle w:val="ListParagraph"/>
        <w:numPr>
          <w:ilvl w:val="0"/>
          <w:numId w:val="985"/>
        </w:numPr>
        <w:tabs>
          <w:tab w:val="left" w:pos="2016"/>
          <w:tab w:val="left" w:pos="2160"/>
        </w:tabs>
        <w:autoSpaceDE w:val="0"/>
        <w:autoSpaceDN w:val="0"/>
        <w:adjustRightInd w:val="0"/>
        <w:ind w:left="1728" w:firstLine="0"/>
        <w:rPr>
          <w:sz w:val="24"/>
          <w:szCs w:val="24"/>
        </w:rPr>
      </w:pPr>
      <w:r w:rsidRPr="00012C37">
        <w:rPr>
          <w:sz w:val="24"/>
          <w:szCs w:val="24"/>
        </w:rPr>
        <w:t>the first PFAS Detection during either initial or routine monitoring;</w:t>
      </w:r>
    </w:p>
    <w:p w14:paraId="31347D81" w14:textId="06830E3E" w:rsidR="001E76FD" w:rsidRPr="00012C37" w:rsidRDefault="001E76FD" w:rsidP="00143EDF">
      <w:pPr>
        <w:pStyle w:val="ListParagraph"/>
        <w:numPr>
          <w:ilvl w:val="0"/>
          <w:numId w:val="985"/>
        </w:numPr>
        <w:tabs>
          <w:tab w:val="left" w:pos="2016"/>
          <w:tab w:val="left" w:pos="2160"/>
        </w:tabs>
        <w:autoSpaceDE w:val="0"/>
        <w:autoSpaceDN w:val="0"/>
        <w:adjustRightInd w:val="0"/>
        <w:ind w:left="1728" w:firstLine="0"/>
        <w:rPr>
          <w:sz w:val="24"/>
          <w:szCs w:val="24"/>
        </w:rPr>
      </w:pPr>
      <w:r w:rsidRPr="00012C37">
        <w:rPr>
          <w:sz w:val="24"/>
          <w:szCs w:val="24"/>
        </w:rPr>
        <w:t>the second or later PFAS Detection during initial monitoring where PFAS6 as</w:t>
      </w:r>
      <w:r w:rsidR="00B62395" w:rsidRPr="00012C37">
        <w:rPr>
          <w:sz w:val="24"/>
          <w:szCs w:val="24"/>
        </w:rPr>
        <w:t xml:space="preserve"> </w:t>
      </w:r>
      <w:r w:rsidRPr="00012C37">
        <w:rPr>
          <w:sz w:val="24"/>
          <w:szCs w:val="24"/>
        </w:rPr>
        <w:t>determined for such second or later detection is greater than 0.000010 mg/l;</w:t>
      </w:r>
    </w:p>
    <w:p w14:paraId="162975C5" w14:textId="16DE6A04" w:rsidR="001E76FD" w:rsidRPr="00012C37" w:rsidRDefault="001E76FD" w:rsidP="00143EDF">
      <w:pPr>
        <w:pStyle w:val="ListParagraph"/>
        <w:numPr>
          <w:ilvl w:val="0"/>
          <w:numId w:val="985"/>
        </w:numPr>
        <w:tabs>
          <w:tab w:val="left" w:pos="2016"/>
          <w:tab w:val="left" w:pos="2160"/>
        </w:tabs>
        <w:autoSpaceDE w:val="0"/>
        <w:autoSpaceDN w:val="0"/>
        <w:adjustRightInd w:val="0"/>
        <w:ind w:left="1728" w:firstLine="0"/>
        <w:rPr>
          <w:sz w:val="24"/>
          <w:szCs w:val="24"/>
        </w:rPr>
      </w:pPr>
      <w:r w:rsidRPr="00012C37">
        <w:rPr>
          <w:sz w:val="24"/>
          <w:szCs w:val="24"/>
        </w:rPr>
        <w:t>the second or later PFAS Detection during routine monitoring where PFAS6 as</w:t>
      </w:r>
      <w:r w:rsidR="00B62395" w:rsidRPr="00012C37">
        <w:rPr>
          <w:sz w:val="24"/>
          <w:szCs w:val="24"/>
        </w:rPr>
        <w:t xml:space="preserve"> </w:t>
      </w:r>
      <w:r w:rsidRPr="00012C37">
        <w:rPr>
          <w:sz w:val="24"/>
          <w:szCs w:val="24"/>
        </w:rPr>
        <w:t>determined for such second or later detection is greater than 0.000010 mg/l, unless the</w:t>
      </w:r>
      <w:r w:rsidR="00B62395" w:rsidRPr="00012C37">
        <w:rPr>
          <w:sz w:val="24"/>
          <w:szCs w:val="24"/>
        </w:rPr>
        <w:t xml:space="preserve"> </w:t>
      </w:r>
      <w:r w:rsidRPr="00012C37">
        <w:rPr>
          <w:sz w:val="24"/>
          <w:szCs w:val="24"/>
        </w:rPr>
        <w:t>Department determines in writing that such location is Reliably and Consistently Below</w:t>
      </w:r>
      <w:r w:rsidR="00B62395" w:rsidRPr="00012C37">
        <w:rPr>
          <w:sz w:val="24"/>
          <w:szCs w:val="24"/>
        </w:rPr>
        <w:t xml:space="preserve"> </w:t>
      </w:r>
      <w:r w:rsidRPr="00012C37">
        <w:rPr>
          <w:sz w:val="24"/>
          <w:szCs w:val="24"/>
        </w:rPr>
        <w:t>the MCL; or</w:t>
      </w:r>
    </w:p>
    <w:p w14:paraId="107DD7B8" w14:textId="440C497C" w:rsidR="001E76FD" w:rsidRPr="00012C37" w:rsidRDefault="001E76FD" w:rsidP="00143EDF">
      <w:pPr>
        <w:pStyle w:val="ListParagraph"/>
        <w:numPr>
          <w:ilvl w:val="0"/>
          <w:numId w:val="985"/>
        </w:numPr>
        <w:tabs>
          <w:tab w:val="left" w:pos="2016"/>
          <w:tab w:val="left" w:pos="2160"/>
        </w:tabs>
        <w:autoSpaceDE w:val="0"/>
        <w:autoSpaceDN w:val="0"/>
        <w:adjustRightInd w:val="0"/>
        <w:ind w:left="1728" w:firstLine="0"/>
        <w:rPr>
          <w:sz w:val="24"/>
          <w:szCs w:val="24"/>
        </w:rPr>
      </w:pPr>
      <w:r w:rsidRPr="00012C37">
        <w:rPr>
          <w:sz w:val="24"/>
          <w:szCs w:val="24"/>
        </w:rPr>
        <w:lastRenderedPageBreak/>
        <w:t>the receipt by the Department of an analytical result during quarterly or annual</w:t>
      </w:r>
      <w:r w:rsidR="00B62395" w:rsidRPr="00012C37">
        <w:rPr>
          <w:sz w:val="24"/>
          <w:szCs w:val="24"/>
        </w:rPr>
        <w:t xml:space="preserve"> </w:t>
      </w:r>
      <w:r w:rsidRPr="00012C37">
        <w:rPr>
          <w:sz w:val="24"/>
          <w:szCs w:val="24"/>
        </w:rPr>
        <w:t>monitoring which the Department determines is outside the historic range of PFAS</w:t>
      </w:r>
      <w:r w:rsidR="00B62395" w:rsidRPr="00012C37">
        <w:rPr>
          <w:sz w:val="24"/>
          <w:szCs w:val="24"/>
        </w:rPr>
        <w:t xml:space="preserve"> </w:t>
      </w:r>
      <w:r w:rsidRPr="00012C37">
        <w:rPr>
          <w:sz w:val="24"/>
          <w:szCs w:val="24"/>
        </w:rPr>
        <w:t>results.</w:t>
      </w:r>
    </w:p>
    <w:p w14:paraId="3A6AD544" w14:textId="66F20A67" w:rsidR="00FA46BD" w:rsidRPr="00012C37" w:rsidRDefault="001E76FD" w:rsidP="00143EDF">
      <w:pPr>
        <w:pStyle w:val="ListParagraph"/>
        <w:numPr>
          <w:ilvl w:val="1"/>
          <w:numId w:val="984"/>
        </w:numPr>
        <w:tabs>
          <w:tab w:val="left" w:pos="1584"/>
        </w:tabs>
        <w:autoSpaceDE w:val="0"/>
        <w:autoSpaceDN w:val="0"/>
        <w:adjustRightInd w:val="0"/>
        <w:ind w:left="1152" w:firstLine="0"/>
        <w:rPr>
          <w:sz w:val="24"/>
          <w:szCs w:val="24"/>
        </w:rPr>
      </w:pPr>
      <w:r w:rsidRPr="00012C37">
        <w:rPr>
          <w:sz w:val="24"/>
          <w:szCs w:val="24"/>
          <w:u w:val="single"/>
        </w:rPr>
        <w:t>Reporting</w:t>
      </w:r>
      <w:r w:rsidRPr="00012C37">
        <w:rPr>
          <w:sz w:val="24"/>
          <w:szCs w:val="24"/>
        </w:rPr>
        <w:t>. Any PFAS Detection described in 310 CMR 22.07G(7)(a)1., 2., or 3. shall</w:t>
      </w:r>
      <w:r w:rsidR="00B62395" w:rsidRPr="00012C37">
        <w:rPr>
          <w:sz w:val="24"/>
          <w:szCs w:val="24"/>
        </w:rPr>
        <w:t xml:space="preserve"> </w:t>
      </w:r>
      <w:r w:rsidRPr="00012C37">
        <w:rPr>
          <w:sz w:val="24"/>
          <w:szCs w:val="24"/>
        </w:rPr>
        <w:t>be reported to the Department within seven days of receipt of such result from the laboratory.</w:t>
      </w:r>
      <w:r w:rsidR="00FA46BD" w:rsidRPr="00012C37">
        <w:rPr>
          <w:sz w:val="24"/>
          <w:szCs w:val="24"/>
        </w:rPr>
        <w:br w:type="page"/>
      </w:r>
    </w:p>
    <w:p w14:paraId="1BB9A32A" w14:textId="642B147C" w:rsidR="001E76FD" w:rsidRPr="007656CB" w:rsidRDefault="001E76FD" w:rsidP="007656CB">
      <w:pPr>
        <w:autoSpaceDE w:val="0"/>
        <w:autoSpaceDN w:val="0"/>
        <w:adjustRightInd w:val="0"/>
        <w:jc w:val="center"/>
        <w:rPr>
          <w:sz w:val="24"/>
          <w:szCs w:val="24"/>
        </w:rPr>
      </w:pPr>
      <w:r w:rsidRPr="007656CB">
        <w:rPr>
          <w:sz w:val="24"/>
          <w:szCs w:val="24"/>
        </w:rPr>
        <w:lastRenderedPageBreak/>
        <w:t>310 CMR: DEPARTMENT OF ENVIRONMENTAL PROTECTION</w:t>
      </w:r>
    </w:p>
    <w:p w14:paraId="63BDB954" w14:textId="007BB505" w:rsidR="00FA46BD" w:rsidRPr="00143EDF" w:rsidRDefault="00FA46BD" w:rsidP="00143EDF">
      <w:pPr>
        <w:autoSpaceDE w:val="0"/>
        <w:autoSpaceDN w:val="0"/>
        <w:adjustRightInd w:val="0"/>
        <w:rPr>
          <w:sz w:val="20"/>
          <w:szCs w:val="20"/>
        </w:rPr>
      </w:pPr>
    </w:p>
    <w:p w14:paraId="24DC2AB4" w14:textId="77777777" w:rsidR="00FA46BD" w:rsidRPr="00143EDF" w:rsidRDefault="00FA46BD" w:rsidP="00143EDF">
      <w:pPr>
        <w:autoSpaceDE w:val="0"/>
        <w:autoSpaceDN w:val="0"/>
        <w:adjustRightInd w:val="0"/>
        <w:rPr>
          <w:sz w:val="20"/>
          <w:szCs w:val="20"/>
        </w:rPr>
      </w:pPr>
    </w:p>
    <w:p w14:paraId="3BB5543B" w14:textId="2D5F0379" w:rsidR="001E76FD" w:rsidRPr="007656CB" w:rsidRDefault="001E76FD" w:rsidP="00143EDF">
      <w:pPr>
        <w:autoSpaceDE w:val="0"/>
        <w:autoSpaceDN w:val="0"/>
        <w:adjustRightInd w:val="0"/>
        <w:rPr>
          <w:sz w:val="24"/>
          <w:szCs w:val="24"/>
        </w:rPr>
      </w:pPr>
      <w:r w:rsidRPr="007656CB">
        <w:rPr>
          <w:sz w:val="24"/>
          <w:szCs w:val="24"/>
        </w:rPr>
        <w:t>22.07G: continued</w:t>
      </w:r>
    </w:p>
    <w:p w14:paraId="31151442" w14:textId="77777777" w:rsidR="00FA46BD" w:rsidRPr="00143EDF" w:rsidRDefault="00FA46BD" w:rsidP="001A2A48">
      <w:pPr>
        <w:autoSpaceDE w:val="0"/>
        <w:autoSpaceDN w:val="0"/>
        <w:adjustRightInd w:val="0"/>
        <w:rPr>
          <w:sz w:val="20"/>
          <w:szCs w:val="20"/>
        </w:rPr>
      </w:pPr>
    </w:p>
    <w:p w14:paraId="14FE27C9" w14:textId="5AEA0D3C" w:rsidR="001E76FD" w:rsidRPr="007656CB" w:rsidRDefault="001E76FD" w:rsidP="00143EDF">
      <w:pPr>
        <w:pStyle w:val="ListParagraph"/>
        <w:numPr>
          <w:ilvl w:val="0"/>
          <w:numId w:val="986"/>
        </w:numPr>
        <w:tabs>
          <w:tab w:val="left" w:pos="1584"/>
        </w:tabs>
        <w:autoSpaceDE w:val="0"/>
        <w:autoSpaceDN w:val="0"/>
        <w:adjustRightInd w:val="0"/>
        <w:ind w:left="1152" w:firstLine="0"/>
        <w:rPr>
          <w:sz w:val="24"/>
          <w:szCs w:val="24"/>
        </w:rPr>
      </w:pPr>
      <w:r w:rsidRPr="007656CB">
        <w:rPr>
          <w:sz w:val="24"/>
          <w:szCs w:val="24"/>
          <w:u w:val="single"/>
        </w:rPr>
        <w:t>Confirmatory Sampling</w:t>
      </w:r>
      <w:r w:rsidRPr="007656CB">
        <w:rPr>
          <w:sz w:val="24"/>
          <w:szCs w:val="24"/>
        </w:rPr>
        <w:t>. The Supplier of Water shall obtain a Confirmatory Sample for</w:t>
      </w:r>
      <w:r w:rsidR="00FA46BD" w:rsidRPr="007656CB">
        <w:rPr>
          <w:sz w:val="24"/>
          <w:szCs w:val="24"/>
        </w:rPr>
        <w:t xml:space="preserve"> </w:t>
      </w:r>
      <w:r w:rsidRPr="007656CB">
        <w:rPr>
          <w:sz w:val="24"/>
          <w:szCs w:val="24"/>
        </w:rPr>
        <w:t>any analytical result described in 310 CMR 22.07G(7)(a), as soon as possible after receipt</w:t>
      </w:r>
      <w:r w:rsidR="00FA46BD" w:rsidRPr="007656CB">
        <w:rPr>
          <w:sz w:val="24"/>
          <w:szCs w:val="24"/>
        </w:rPr>
        <w:t xml:space="preserve"> </w:t>
      </w:r>
      <w:r w:rsidRPr="007656CB">
        <w:rPr>
          <w:sz w:val="24"/>
          <w:szCs w:val="24"/>
        </w:rPr>
        <w:t>of such result from the laboratory or notification from the Department, as applicable, and no</w:t>
      </w:r>
      <w:r w:rsidR="00FA46BD" w:rsidRPr="007656CB">
        <w:rPr>
          <w:sz w:val="24"/>
          <w:szCs w:val="24"/>
        </w:rPr>
        <w:t xml:space="preserve"> </w:t>
      </w:r>
      <w:r w:rsidRPr="007656CB">
        <w:rPr>
          <w:sz w:val="24"/>
          <w:szCs w:val="24"/>
        </w:rPr>
        <w:t>later than two weeks from such date. Provided, however, a Supplier of Water may request</w:t>
      </w:r>
      <w:r w:rsidR="00FA46BD" w:rsidRPr="007656CB">
        <w:rPr>
          <w:sz w:val="24"/>
          <w:szCs w:val="24"/>
        </w:rPr>
        <w:t xml:space="preserve"> </w:t>
      </w:r>
      <w:r w:rsidRPr="007656CB">
        <w:rPr>
          <w:sz w:val="24"/>
          <w:szCs w:val="24"/>
        </w:rPr>
        <w:t>a one-time extension not to exceed two weeks for obtaining such Confirmatory Sample,</w:t>
      </w:r>
      <w:r w:rsidR="00FA46BD" w:rsidRPr="007656CB">
        <w:rPr>
          <w:sz w:val="24"/>
          <w:szCs w:val="24"/>
        </w:rPr>
        <w:t xml:space="preserve"> </w:t>
      </w:r>
      <w:r w:rsidRPr="007656CB">
        <w:rPr>
          <w:sz w:val="24"/>
          <w:szCs w:val="24"/>
        </w:rPr>
        <w:t>using a form specified by the Department, upon a demonstration of need due to</w:t>
      </w:r>
      <w:r w:rsidR="00FA46BD" w:rsidRPr="007656CB">
        <w:rPr>
          <w:sz w:val="24"/>
          <w:szCs w:val="24"/>
        </w:rPr>
        <w:t xml:space="preserve"> </w:t>
      </w:r>
      <w:r w:rsidRPr="007656CB">
        <w:rPr>
          <w:sz w:val="24"/>
          <w:szCs w:val="24"/>
        </w:rPr>
        <w:t>circumstances beyond its control (</w:t>
      </w:r>
      <w:r w:rsidRPr="007656CB">
        <w:rPr>
          <w:i/>
          <w:iCs/>
          <w:sz w:val="24"/>
          <w:szCs w:val="24"/>
        </w:rPr>
        <w:t>e.g</w:t>
      </w:r>
      <w:r w:rsidRPr="007656CB">
        <w:rPr>
          <w:sz w:val="24"/>
          <w:szCs w:val="24"/>
        </w:rPr>
        <w:t xml:space="preserve">., system design, </w:t>
      </w:r>
      <w:r w:rsidRPr="007656CB">
        <w:rPr>
          <w:i/>
          <w:iCs/>
          <w:sz w:val="24"/>
          <w:szCs w:val="24"/>
        </w:rPr>
        <w:t>etc</w:t>
      </w:r>
      <w:r w:rsidRPr="007656CB">
        <w:rPr>
          <w:sz w:val="24"/>
          <w:szCs w:val="24"/>
        </w:rPr>
        <w:t>.) to the satisfaction of and at the</w:t>
      </w:r>
      <w:r w:rsidR="00FA46BD" w:rsidRPr="007656CB">
        <w:rPr>
          <w:sz w:val="24"/>
          <w:szCs w:val="24"/>
        </w:rPr>
        <w:t xml:space="preserve"> </w:t>
      </w:r>
      <w:r w:rsidRPr="007656CB">
        <w:rPr>
          <w:sz w:val="24"/>
          <w:szCs w:val="24"/>
        </w:rPr>
        <w:t>sole discretion of the Department.</w:t>
      </w:r>
    </w:p>
    <w:p w14:paraId="2D992698" w14:textId="00C017B4" w:rsidR="00FE5D5E" w:rsidRPr="00EF1AF7" w:rsidRDefault="001E76FD" w:rsidP="00EF1AF7">
      <w:pPr>
        <w:pStyle w:val="ListParagraph"/>
        <w:numPr>
          <w:ilvl w:val="0"/>
          <w:numId w:val="986"/>
        </w:numPr>
        <w:tabs>
          <w:tab w:val="left" w:pos="1584"/>
        </w:tabs>
        <w:autoSpaceDE w:val="0"/>
        <w:autoSpaceDN w:val="0"/>
        <w:adjustRightInd w:val="0"/>
        <w:ind w:left="1152" w:firstLine="0"/>
        <w:rPr>
          <w:sz w:val="24"/>
          <w:szCs w:val="24"/>
          <w:u w:val="single"/>
        </w:rPr>
      </w:pPr>
      <w:r w:rsidRPr="00144AA4">
        <w:rPr>
          <w:sz w:val="24"/>
          <w:szCs w:val="24"/>
          <w:u w:val="single"/>
        </w:rPr>
        <w:t>Source Sampling</w:t>
      </w:r>
      <w:r w:rsidRPr="00EF1AF7">
        <w:rPr>
          <w:sz w:val="24"/>
          <w:szCs w:val="24"/>
        </w:rPr>
        <w:t>. If a PFAS Detection described in 310 CMR 22.07G(7)(a)1., 2. or 3.</w:t>
      </w:r>
      <w:r w:rsidR="009719CE" w:rsidRPr="00EF1AF7">
        <w:rPr>
          <w:sz w:val="24"/>
          <w:szCs w:val="24"/>
        </w:rPr>
        <w:t xml:space="preserve"> </w:t>
      </w:r>
      <w:r w:rsidRPr="00EF1AF7">
        <w:rPr>
          <w:sz w:val="24"/>
          <w:szCs w:val="24"/>
        </w:rPr>
        <w:t>represents multiple sources, then samples representing the individual source water shall also</w:t>
      </w:r>
      <w:r w:rsidR="009719CE" w:rsidRPr="00EF1AF7">
        <w:rPr>
          <w:sz w:val="24"/>
          <w:szCs w:val="24"/>
        </w:rPr>
        <w:t xml:space="preserve"> </w:t>
      </w:r>
      <w:r w:rsidRPr="00EF1AF7">
        <w:rPr>
          <w:sz w:val="24"/>
          <w:szCs w:val="24"/>
        </w:rPr>
        <w:t>be collected and analyzed for PFAS.</w:t>
      </w:r>
    </w:p>
    <w:p w14:paraId="61B99852" w14:textId="50E99E30" w:rsidR="001E76FD" w:rsidRPr="007656CB" w:rsidRDefault="001E76FD" w:rsidP="00143EDF">
      <w:pPr>
        <w:pStyle w:val="ListParagraph"/>
        <w:numPr>
          <w:ilvl w:val="0"/>
          <w:numId w:val="986"/>
        </w:numPr>
        <w:tabs>
          <w:tab w:val="left" w:pos="1584"/>
        </w:tabs>
        <w:autoSpaceDE w:val="0"/>
        <w:autoSpaceDN w:val="0"/>
        <w:adjustRightInd w:val="0"/>
        <w:ind w:left="1152" w:firstLine="0"/>
        <w:rPr>
          <w:sz w:val="24"/>
          <w:szCs w:val="24"/>
        </w:rPr>
      </w:pPr>
      <w:r w:rsidRPr="007656CB">
        <w:rPr>
          <w:sz w:val="24"/>
          <w:szCs w:val="24"/>
          <w:u w:val="single"/>
        </w:rPr>
        <w:t>Public Education</w:t>
      </w:r>
      <w:r w:rsidRPr="007656CB">
        <w:rPr>
          <w:sz w:val="24"/>
          <w:szCs w:val="24"/>
        </w:rPr>
        <w:t>. Any Supplier of Water subject to 310 CMR 22.07G(7), where there</w:t>
      </w:r>
      <w:r w:rsidR="009719CE" w:rsidRPr="007656CB">
        <w:rPr>
          <w:sz w:val="24"/>
          <w:szCs w:val="24"/>
        </w:rPr>
        <w:t xml:space="preserve"> </w:t>
      </w:r>
      <w:r w:rsidRPr="007656CB">
        <w:rPr>
          <w:sz w:val="24"/>
          <w:szCs w:val="24"/>
        </w:rPr>
        <w:t>has been a PFAS Detection and the average of such detection and an associated Confirmatory</w:t>
      </w:r>
      <w:r w:rsidR="009719CE" w:rsidRPr="007656CB">
        <w:rPr>
          <w:sz w:val="24"/>
          <w:szCs w:val="24"/>
        </w:rPr>
        <w:t xml:space="preserve"> </w:t>
      </w:r>
      <w:r w:rsidRPr="007656CB">
        <w:rPr>
          <w:sz w:val="24"/>
          <w:szCs w:val="24"/>
        </w:rPr>
        <w:t>Sample exceeds the PFAS6 MCL, shall provide public education materials regarding the</w:t>
      </w:r>
      <w:r w:rsidR="009719CE" w:rsidRPr="007656CB">
        <w:rPr>
          <w:sz w:val="24"/>
          <w:szCs w:val="24"/>
        </w:rPr>
        <w:t xml:space="preserve"> </w:t>
      </w:r>
      <w:r w:rsidRPr="007656CB">
        <w:rPr>
          <w:sz w:val="24"/>
          <w:szCs w:val="24"/>
        </w:rPr>
        <w:t>exceedance in accordance with the following requirements:</w:t>
      </w:r>
    </w:p>
    <w:p w14:paraId="14E359E9" w14:textId="6915F501" w:rsidR="002D5791" w:rsidRDefault="001E76FD" w:rsidP="0052406B">
      <w:pPr>
        <w:pStyle w:val="ListParagraph"/>
        <w:numPr>
          <w:ilvl w:val="3"/>
          <w:numId w:val="1093"/>
        </w:numPr>
        <w:tabs>
          <w:tab w:val="left" w:pos="1584"/>
        </w:tabs>
        <w:autoSpaceDE w:val="0"/>
        <w:autoSpaceDN w:val="0"/>
        <w:adjustRightInd w:val="0"/>
        <w:ind w:left="1728" w:firstLine="0"/>
        <w:rPr>
          <w:sz w:val="24"/>
          <w:szCs w:val="24"/>
        </w:rPr>
      </w:pPr>
      <w:r w:rsidRPr="002D5791">
        <w:rPr>
          <w:sz w:val="24"/>
          <w:szCs w:val="24"/>
        </w:rPr>
        <w:t>notice of the exceedance shall be provided using materials approved by the</w:t>
      </w:r>
      <w:r w:rsidR="009719CE" w:rsidRPr="002D5791">
        <w:rPr>
          <w:sz w:val="24"/>
          <w:szCs w:val="24"/>
        </w:rPr>
        <w:t xml:space="preserve"> </w:t>
      </w:r>
      <w:r w:rsidRPr="002D5791">
        <w:rPr>
          <w:sz w:val="24"/>
          <w:szCs w:val="24"/>
        </w:rPr>
        <w:t>Department;</w:t>
      </w:r>
    </w:p>
    <w:p w14:paraId="045631FC" w14:textId="31649A47" w:rsidR="00275972" w:rsidRPr="00824E2B" w:rsidRDefault="001E76FD" w:rsidP="0052406B">
      <w:pPr>
        <w:pStyle w:val="ListParagraph"/>
        <w:numPr>
          <w:ilvl w:val="3"/>
          <w:numId w:val="1093"/>
        </w:numPr>
        <w:tabs>
          <w:tab w:val="left" w:pos="1584"/>
        </w:tabs>
        <w:autoSpaceDE w:val="0"/>
        <w:autoSpaceDN w:val="0"/>
        <w:adjustRightInd w:val="0"/>
        <w:ind w:left="1728" w:firstLine="0"/>
        <w:rPr>
          <w:sz w:val="24"/>
          <w:szCs w:val="24"/>
        </w:rPr>
      </w:pPr>
      <w:r w:rsidRPr="00824E2B">
        <w:rPr>
          <w:sz w:val="24"/>
          <w:szCs w:val="24"/>
        </w:rPr>
        <w:t>such materials shall be provided to all persons served by the affected Public Water</w:t>
      </w:r>
      <w:r w:rsidR="00794068" w:rsidRPr="00824E2B">
        <w:rPr>
          <w:sz w:val="24"/>
          <w:szCs w:val="24"/>
        </w:rPr>
        <w:t xml:space="preserve"> </w:t>
      </w:r>
      <w:r w:rsidRPr="00824E2B">
        <w:rPr>
          <w:sz w:val="24"/>
          <w:szCs w:val="24"/>
        </w:rPr>
        <w:t>System, including without limitation consumers who do not receive water bills;</w:t>
      </w:r>
    </w:p>
    <w:p w14:paraId="5381CD13" w14:textId="59B06C13" w:rsidR="001E76FD" w:rsidRPr="007656CB" w:rsidRDefault="36BAC8D7" w:rsidP="0052406B">
      <w:pPr>
        <w:pStyle w:val="ListParagraph"/>
        <w:numPr>
          <w:ilvl w:val="3"/>
          <w:numId w:val="1093"/>
        </w:numPr>
        <w:tabs>
          <w:tab w:val="left" w:pos="1584"/>
        </w:tabs>
        <w:autoSpaceDE w:val="0"/>
        <w:autoSpaceDN w:val="0"/>
        <w:adjustRightInd w:val="0"/>
        <w:ind w:left="1728" w:firstLine="0"/>
        <w:rPr>
          <w:sz w:val="24"/>
          <w:szCs w:val="24"/>
        </w:rPr>
      </w:pPr>
      <w:r w:rsidRPr="37768BFB">
        <w:rPr>
          <w:sz w:val="24"/>
          <w:szCs w:val="24"/>
        </w:rPr>
        <w:t>such materials shall be provided as soon as practical and no later than 30 days after</w:t>
      </w:r>
      <w:r w:rsidR="20DE89EF" w:rsidRPr="37768BFB">
        <w:rPr>
          <w:sz w:val="24"/>
          <w:szCs w:val="24"/>
        </w:rPr>
        <w:t xml:space="preserve"> </w:t>
      </w:r>
      <w:r w:rsidRPr="37768BFB">
        <w:rPr>
          <w:sz w:val="24"/>
          <w:szCs w:val="24"/>
        </w:rPr>
        <w:t>receipt of Confirmatory Sample results from the laboratory;</w:t>
      </w:r>
    </w:p>
    <w:p w14:paraId="35A53436" w14:textId="10068377" w:rsidR="001E76FD" w:rsidRPr="007656CB" w:rsidRDefault="00777C19" w:rsidP="0052406B">
      <w:pPr>
        <w:pStyle w:val="ListParagraph"/>
        <w:numPr>
          <w:ilvl w:val="3"/>
          <w:numId w:val="1093"/>
        </w:numPr>
        <w:tabs>
          <w:tab w:val="left" w:pos="1584"/>
        </w:tabs>
        <w:autoSpaceDE w:val="0"/>
        <w:autoSpaceDN w:val="0"/>
        <w:adjustRightInd w:val="0"/>
        <w:ind w:left="1728" w:firstLine="0"/>
        <w:rPr>
          <w:sz w:val="24"/>
          <w:szCs w:val="24"/>
        </w:rPr>
      </w:pPr>
      <w:r>
        <w:rPr>
          <w:sz w:val="24"/>
          <w:szCs w:val="24"/>
        </w:rPr>
        <w:t>for</w:t>
      </w:r>
      <w:r w:rsidR="36BAC8D7" w:rsidRPr="6DBBAD7E">
        <w:rPr>
          <w:sz w:val="24"/>
          <w:szCs w:val="24"/>
        </w:rPr>
        <w:t xml:space="preserve"> any </w:t>
      </w:r>
      <w:r>
        <w:rPr>
          <w:sz w:val="24"/>
          <w:szCs w:val="24"/>
        </w:rPr>
        <w:t>Public Water System</w:t>
      </w:r>
      <w:r w:rsidR="36BAC8D7" w:rsidRPr="6DBBAD7E">
        <w:rPr>
          <w:sz w:val="24"/>
          <w:szCs w:val="24"/>
        </w:rPr>
        <w:t xml:space="preserve"> where such Supplier of Water's consumers </w:t>
      </w:r>
      <w:r>
        <w:rPr>
          <w:sz w:val="24"/>
          <w:szCs w:val="24"/>
        </w:rPr>
        <w:t>reside in any census tract</w:t>
      </w:r>
      <w:r w:rsidR="00D52017">
        <w:rPr>
          <w:sz w:val="24"/>
          <w:szCs w:val="24"/>
        </w:rPr>
        <w:t xml:space="preserve"> with</w:t>
      </w:r>
      <w:r w:rsidR="007D45CC" w:rsidRPr="6DBBAD7E">
        <w:rPr>
          <w:sz w:val="24"/>
          <w:szCs w:val="24"/>
        </w:rPr>
        <w:t xml:space="preserve"> a minimum of either 5% or 1000 residents who </w:t>
      </w:r>
      <w:r w:rsidR="00D52017">
        <w:rPr>
          <w:sz w:val="24"/>
          <w:szCs w:val="24"/>
        </w:rPr>
        <w:t xml:space="preserve">lack English </w:t>
      </w:r>
      <w:r w:rsidR="007D45CC" w:rsidRPr="6DBBAD7E">
        <w:rPr>
          <w:sz w:val="24"/>
          <w:szCs w:val="24"/>
        </w:rPr>
        <w:t>language</w:t>
      </w:r>
      <w:r w:rsidR="00D52017">
        <w:rPr>
          <w:sz w:val="24"/>
          <w:szCs w:val="24"/>
        </w:rPr>
        <w:t xml:space="preserve"> proficiency</w:t>
      </w:r>
      <w:r w:rsidR="007D45CC" w:rsidRPr="6DBBAD7E">
        <w:rPr>
          <w:sz w:val="24"/>
          <w:szCs w:val="24"/>
        </w:rPr>
        <w:t>, such</w:t>
      </w:r>
      <w:r w:rsidR="00CD7D3C" w:rsidRPr="6DBBAD7E">
        <w:rPr>
          <w:sz w:val="24"/>
          <w:szCs w:val="24"/>
        </w:rPr>
        <w:t xml:space="preserve"> </w:t>
      </w:r>
      <w:r w:rsidR="00D52017">
        <w:rPr>
          <w:sz w:val="24"/>
          <w:szCs w:val="24"/>
        </w:rPr>
        <w:t xml:space="preserve">public education </w:t>
      </w:r>
      <w:r w:rsidR="00CD7D3C" w:rsidRPr="6DBBAD7E">
        <w:rPr>
          <w:sz w:val="24"/>
          <w:szCs w:val="24"/>
        </w:rPr>
        <w:t>materials shall contain information in the language(s) appropriate for each such group of residents regarding the importance of the notice</w:t>
      </w:r>
      <w:r w:rsidR="002661CD">
        <w:rPr>
          <w:sz w:val="24"/>
          <w:szCs w:val="24"/>
        </w:rPr>
        <w:t xml:space="preserve"> and that it should be translated</w:t>
      </w:r>
      <w:r w:rsidR="00CD7D3C" w:rsidRPr="6DBBAD7E">
        <w:rPr>
          <w:sz w:val="24"/>
          <w:szCs w:val="24"/>
        </w:rPr>
        <w:t xml:space="preserve">. If </w:t>
      </w:r>
      <w:r w:rsidR="002661CD">
        <w:rPr>
          <w:sz w:val="24"/>
          <w:szCs w:val="24"/>
        </w:rPr>
        <w:t>the service area of a Public Water System</w:t>
      </w:r>
      <w:r w:rsidR="00CD7D3C" w:rsidRPr="6DBBAD7E">
        <w:rPr>
          <w:sz w:val="24"/>
          <w:szCs w:val="24"/>
        </w:rPr>
        <w:t xml:space="preserve"> includes </w:t>
      </w:r>
      <w:r w:rsidR="002661CD">
        <w:rPr>
          <w:sz w:val="24"/>
          <w:szCs w:val="24"/>
        </w:rPr>
        <w:t>some or all</w:t>
      </w:r>
      <w:r w:rsidR="009B3AAE">
        <w:rPr>
          <w:sz w:val="24"/>
          <w:szCs w:val="24"/>
        </w:rPr>
        <w:t xml:space="preserve"> of any census tract with </w:t>
      </w:r>
      <w:r w:rsidR="00CD7D3C" w:rsidRPr="6DBBAD7E">
        <w:rPr>
          <w:sz w:val="24"/>
          <w:szCs w:val="24"/>
        </w:rPr>
        <w:t xml:space="preserve">a minimum of 25% </w:t>
      </w:r>
      <w:r w:rsidR="009B3AAE">
        <w:rPr>
          <w:sz w:val="24"/>
          <w:szCs w:val="24"/>
        </w:rPr>
        <w:t>of</w:t>
      </w:r>
      <w:r w:rsidR="00CD7D3C" w:rsidRPr="6DBBAD7E">
        <w:rPr>
          <w:sz w:val="24"/>
          <w:szCs w:val="24"/>
        </w:rPr>
        <w:t xml:space="preserve"> residents who </w:t>
      </w:r>
      <w:r w:rsidR="009B3AAE">
        <w:rPr>
          <w:sz w:val="24"/>
          <w:szCs w:val="24"/>
        </w:rPr>
        <w:t>lack English</w:t>
      </w:r>
      <w:r w:rsidR="00CD7D3C" w:rsidRPr="6DBBAD7E">
        <w:rPr>
          <w:sz w:val="24"/>
          <w:szCs w:val="24"/>
        </w:rPr>
        <w:t xml:space="preserve"> language</w:t>
      </w:r>
      <w:r w:rsidR="009B3AAE">
        <w:rPr>
          <w:sz w:val="24"/>
          <w:szCs w:val="24"/>
        </w:rPr>
        <w:t xml:space="preserve"> proficiency</w:t>
      </w:r>
      <w:r w:rsidR="00CD7D3C" w:rsidRPr="6DBBAD7E">
        <w:rPr>
          <w:sz w:val="24"/>
          <w:szCs w:val="24"/>
        </w:rPr>
        <w:t xml:space="preserve">, then such </w:t>
      </w:r>
      <w:r w:rsidR="009B3AAE">
        <w:rPr>
          <w:sz w:val="24"/>
          <w:szCs w:val="24"/>
        </w:rPr>
        <w:t xml:space="preserve">public education </w:t>
      </w:r>
      <w:r w:rsidR="00CD7D3C" w:rsidRPr="6DBBAD7E">
        <w:rPr>
          <w:sz w:val="24"/>
          <w:szCs w:val="24"/>
        </w:rPr>
        <w:t xml:space="preserve">materials shall also contain a statement in the appropriate language(s) for each such group of residents which includes a telephone number or address where those residents may contact the affected Public Water System to obtain a translated copy of the </w:t>
      </w:r>
      <w:r w:rsidR="00087FE8">
        <w:rPr>
          <w:sz w:val="24"/>
          <w:szCs w:val="24"/>
        </w:rPr>
        <w:t xml:space="preserve">public education </w:t>
      </w:r>
      <w:r w:rsidR="00CD7D3C" w:rsidRPr="6DBBAD7E">
        <w:rPr>
          <w:sz w:val="24"/>
          <w:szCs w:val="24"/>
        </w:rPr>
        <w:t>materials or assistance in the appropriate language(s)</w:t>
      </w:r>
      <w:r w:rsidR="001C3FC6" w:rsidRPr="6DBBAD7E">
        <w:rPr>
          <w:sz w:val="24"/>
          <w:szCs w:val="24"/>
        </w:rPr>
        <w:t>;</w:t>
      </w:r>
    </w:p>
    <w:p w14:paraId="360EAFCE" w14:textId="0E7BD851" w:rsidR="001E76FD" w:rsidRPr="007656CB" w:rsidRDefault="001E76FD" w:rsidP="00952766">
      <w:pPr>
        <w:pStyle w:val="ListParagraph"/>
        <w:numPr>
          <w:ilvl w:val="0"/>
          <w:numId w:val="1097"/>
        </w:numPr>
        <w:tabs>
          <w:tab w:val="left" w:pos="2430"/>
        </w:tabs>
        <w:autoSpaceDE w:val="0"/>
        <w:autoSpaceDN w:val="0"/>
        <w:adjustRightInd w:val="0"/>
        <w:ind w:left="2016" w:firstLine="0"/>
        <w:rPr>
          <w:sz w:val="24"/>
          <w:szCs w:val="24"/>
        </w:rPr>
      </w:pPr>
    </w:p>
    <w:p w14:paraId="21DE9C94" w14:textId="4A73F159" w:rsidR="001E76FD" w:rsidRPr="007656CB" w:rsidRDefault="36BAC8D7" w:rsidP="0052406B">
      <w:pPr>
        <w:pStyle w:val="ListParagraph"/>
        <w:numPr>
          <w:ilvl w:val="3"/>
          <w:numId w:val="1093"/>
        </w:numPr>
        <w:tabs>
          <w:tab w:val="left" w:pos="1584"/>
        </w:tabs>
        <w:autoSpaceDE w:val="0"/>
        <w:autoSpaceDN w:val="0"/>
        <w:adjustRightInd w:val="0"/>
        <w:ind w:left="1728" w:firstLine="0"/>
        <w:rPr>
          <w:sz w:val="24"/>
          <w:szCs w:val="24"/>
        </w:rPr>
      </w:pPr>
      <w:r w:rsidRPr="37768BFB">
        <w:rPr>
          <w:sz w:val="24"/>
          <w:szCs w:val="24"/>
        </w:rPr>
        <w:t>such materials shall be provided by mail and/or other method approved by the</w:t>
      </w:r>
      <w:r w:rsidR="7E4A1009" w:rsidRPr="37768BFB">
        <w:rPr>
          <w:sz w:val="24"/>
          <w:szCs w:val="24"/>
        </w:rPr>
        <w:t xml:space="preserve"> </w:t>
      </w:r>
      <w:r w:rsidRPr="37768BFB">
        <w:rPr>
          <w:sz w:val="24"/>
          <w:szCs w:val="24"/>
        </w:rPr>
        <w:t>Department (e.g., a Non-transient Non-community Water System may be permitted to</w:t>
      </w:r>
      <w:r w:rsidR="7E4A1009" w:rsidRPr="37768BFB">
        <w:rPr>
          <w:sz w:val="24"/>
          <w:szCs w:val="24"/>
        </w:rPr>
        <w:t xml:space="preserve"> </w:t>
      </w:r>
      <w:r w:rsidRPr="37768BFB">
        <w:rPr>
          <w:sz w:val="24"/>
          <w:szCs w:val="24"/>
        </w:rPr>
        <w:t>post the materials in one or more conspicuous locations in the facility for a minimum</w:t>
      </w:r>
      <w:r w:rsidR="7E4A1009" w:rsidRPr="37768BFB">
        <w:rPr>
          <w:sz w:val="24"/>
          <w:szCs w:val="24"/>
        </w:rPr>
        <w:t xml:space="preserve"> </w:t>
      </w:r>
      <w:r w:rsidRPr="37768BFB">
        <w:rPr>
          <w:sz w:val="24"/>
          <w:szCs w:val="24"/>
        </w:rPr>
        <w:t>number of days);</w:t>
      </w:r>
    </w:p>
    <w:p w14:paraId="1222FF71" w14:textId="105E0831" w:rsidR="001E76FD" w:rsidRPr="007656CB" w:rsidRDefault="36BAC8D7" w:rsidP="0052406B">
      <w:pPr>
        <w:pStyle w:val="ListParagraph"/>
        <w:numPr>
          <w:ilvl w:val="3"/>
          <w:numId w:val="1093"/>
        </w:numPr>
        <w:tabs>
          <w:tab w:val="left" w:pos="1584"/>
        </w:tabs>
        <w:autoSpaceDE w:val="0"/>
        <w:autoSpaceDN w:val="0"/>
        <w:adjustRightInd w:val="0"/>
        <w:ind w:left="1728" w:firstLine="0"/>
        <w:rPr>
          <w:sz w:val="24"/>
          <w:szCs w:val="24"/>
        </w:rPr>
      </w:pPr>
      <w:r w:rsidRPr="37768BFB">
        <w:rPr>
          <w:sz w:val="24"/>
          <w:szCs w:val="24"/>
        </w:rPr>
        <w:t>such materials shall include all results from both the PFAS Detection and the</w:t>
      </w:r>
      <w:r w:rsidR="44089D05" w:rsidRPr="37768BFB">
        <w:rPr>
          <w:sz w:val="24"/>
          <w:szCs w:val="24"/>
        </w:rPr>
        <w:t xml:space="preserve"> </w:t>
      </w:r>
      <w:r w:rsidRPr="37768BFB">
        <w:rPr>
          <w:sz w:val="24"/>
          <w:szCs w:val="24"/>
        </w:rPr>
        <w:t>Confirmatory Sample; the average PFAS6 concentration of the samples; the PFAS6</w:t>
      </w:r>
      <w:r w:rsidR="44089D05" w:rsidRPr="37768BFB">
        <w:rPr>
          <w:sz w:val="24"/>
          <w:szCs w:val="24"/>
        </w:rPr>
        <w:t xml:space="preserve"> </w:t>
      </w:r>
      <w:r w:rsidRPr="37768BFB">
        <w:rPr>
          <w:sz w:val="24"/>
          <w:szCs w:val="24"/>
        </w:rPr>
        <w:t>MCL as provided in 310 CMR 22.07G(3)(d) and the definition of MCL as provided in</w:t>
      </w:r>
      <w:r w:rsidR="44089D05" w:rsidRPr="37768BFB">
        <w:rPr>
          <w:sz w:val="24"/>
          <w:szCs w:val="24"/>
        </w:rPr>
        <w:t xml:space="preserve"> </w:t>
      </w:r>
      <w:r w:rsidRPr="37768BFB">
        <w:rPr>
          <w:sz w:val="24"/>
          <w:szCs w:val="24"/>
        </w:rPr>
        <w:t>310 CMR 22.02(1); an explanation of the health effects of PFAS6; steps consumers can</w:t>
      </w:r>
      <w:r w:rsidR="44089D05" w:rsidRPr="37768BFB">
        <w:rPr>
          <w:sz w:val="24"/>
          <w:szCs w:val="24"/>
        </w:rPr>
        <w:t xml:space="preserve"> </w:t>
      </w:r>
      <w:r w:rsidRPr="37768BFB">
        <w:rPr>
          <w:sz w:val="24"/>
          <w:szCs w:val="24"/>
        </w:rPr>
        <w:t>take to reduce exposure to PFAS in drinking water; and contact information for the</w:t>
      </w:r>
      <w:r w:rsidR="44089D05" w:rsidRPr="37768BFB">
        <w:rPr>
          <w:sz w:val="24"/>
          <w:szCs w:val="24"/>
        </w:rPr>
        <w:t xml:space="preserve"> </w:t>
      </w:r>
      <w:r w:rsidRPr="37768BFB">
        <w:rPr>
          <w:sz w:val="24"/>
          <w:szCs w:val="24"/>
        </w:rPr>
        <w:t>Supplier of Water;</w:t>
      </w:r>
    </w:p>
    <w:p w14:paraId="7AE39132" w14:textId="51BF51CB" w:rsidR="001E76FD" w:rsidRPr="007656CB" w:rsidRDefault="36BAC8D7" w:rsidP="0052406B">
      <w:pPr>
        <w:pStyle w:val="ListParagraph"/>
        <w:numPr>
          <w:ilvl w:val="3"/>
          <w:numId w:val="1093"/>
        </w:numPr>
        <w:tabs>
          <w:tab w:val="left" w:pos="1584"/>
        </w:tabs>
        <w:autoSpaceDE w:val="0"/>
        <w:autoSpaceDN w:val="0"/>
        <w:adjustRightInd w:val="0"/>
        <w:ind w:left="1728" w:firstLine="0"/>
        <w:rPr>
          <w:sz w:val="24"/>
          <w:szCs w:val="24"/>
        </w:rPr>
      </w:pPr>
      <w:r w:rsidRPr="37768BFB">
        <w:rPr>
          <w:sz w:val="24"/>
          <w:szCs w:val="24"/>
        </w:rPr>
        <w:t>until either the Public Water System obtains a monitoring result at or below the</w:t>
      </w:r>
      <w:r w:rsidR="44089D05" w:rsidRPr="37768BFB">
        <w:rPr>
          <w:sz w:val="24"/>
          <w:szCs w:val="24"/>
        </w:rPr>
        <w:t xml:space="preserve"> </w:t>
      </w:r>
      <w:r w:rsidRPr="37768BFB">
        <w:rPr>
          <w:sz w:val="24"/>
          <w:szCs w:val="24"/>
        </w:rPr>
        <w:t>PFAS6 MCL at such locations as described in 310 CMR 22.07G(7)(a) or the Supplier</w:t>
      </w:r>
      <w:r w:rsidR="44089D05" w:rsidRPr="37768BFB">
        <w:rPr>
          <w:sz w:val="24"/>
          <w:szCs w:val="24"/>
        </w:rPr>
        <w:t xml:space="preserve"> </w:t>
      </w:r>
      <w:r w:rsidRPr="37768BFB">
        <w:rPr>
          <w:sz w:val="24"/>
          <w:szCs w:val="24"/>
        </w:rPr>
        <w:t>of Water takes the contaminated source(s) off-line:</w:t>
      </w:r>
    </w:p>
    <w:p w14:paraId="07461EA2" w14:textId="5FBC327C" w:rsidR="001E76FD" w:rsidRPr="007656CB" w:rsidRDefault="001E76FD" w:rsidP="00746839">
      <w:pPr>
        <w:pStyle w:val="ListParagraph"/>
        <w:numPr>
          <w:ilvl w:val="3"/>
          <w:numId w:val="1098"/>
        </w:numPr>
        <w:tabs>
          <w:tab w:val="left" w:pos="2430"/>
        </w:tabs>
        <w:autoSpaceDE w:val="0"/>
        <w:autoSpaceDN w:val="0"/>
        <w:adjustRightInd w:val="0"/>
        <w:ind w:left="2016" w:firstLine="0"/>
        <w:rPr>
          <w:sz w:val="24"/>
          <w:szCs w:val="24"/>
        </w:rPr>
      </w:pPr>
      <w:r w:rsidRPr="007656CB">
        <w:rPr>
          <w:sz w:val="24"/>
          <w:szCs w:val="24"/>
        </w:rPr>
        <w:t>if such materials were mailed, updated materials shall be re-mailed quarterly;</w:t>
      </w:r>
    </w:p>
    <w:p w14:paraId="50538E23" w14:textId="5D3F935A" w:rsidR="001E76FD" w:rsidRPr="007656CB" w:rsidRDefault="001E76FD" w:rsidP="00746839">
      <w:pPr>
        <w:pStyle w:val="ListParagraph"/>
        <w:numPr>
          <w:ilvl w:val="3"/>
          <w:numId w:val="1098"/>
        </w:numPr>
        <w:tabs>
          <w:tab w:val="left" w:pos="2430"/>
        </w:tabs>
        <w:autoSpaceDE w:val="0"/>
        <w:autoSpaceDN w:val="0"/>
        <w:adjustRightInd w:val="0"/>
        <w:ind w:left="2016" w:firstLine="0"/>
        <w:rPr>
          <w:sz w:val="24"/>
          <w:szCs w:val="24"/>
        </w:rPr>
      </w:pPr>
      <w:r w:rsidRPr="007656CB">
        <w:rPr>
          <w:sz w:val="24"/>
          <w:szCs w:val="24"/>
        </w:rPr>
        <w:t>if such materials were posted, for an approved minimum number of days, updated</w:t>
      </w:r>
      <w:r w:rsidR="00E418AF" w:rsidRPr="007656CB">
        <w:rPr>
          <w:sz w:val="24"/>
          <w:szCs w:val="24"/>
        </w:rPr>
        <w:t xml:space="preserve"> </w:t>
      </w:r>
      <w:r w:rsidRPr="007656CB">
        <w:rPr>
          <w:sz w:val="24"/>
          <w:szCs w:val="24"/>
        </w:rPr>
        <w:t>materials shall be re-posted quarterly for the same minimum number of days;</w:t>
      </w:r>
    </w:p>
    <w:p w14:paraId="534DD3EA" w14:textId="47587811" w:rsidR="001E76FD" w:rsidRPr="007656CB" w:rsidRDefault="001E76FD" w:rsidP="00746839">
      <w:pPr>
        <w:pStyle w:val="ListParagraph"/>
        <w:numPr>
          <w:ilvl w:val="3"/>
          <w:numId w:val="1098"/>
        </w:numPr>
        <w:tabs>
          <w:tab w:val="left" w:pos="2430"/>
        </w:tabs>
        <w:autoSpaceDE w:val="0"/>
        <w:autoSpaceDN w:val="0"/>
        <w:adjustRightInd w:val="0"/>
        <w:ind w:left="2016" w:firstLine="0"/>
        <w:rPr>
          <w:sz w:val="24"/>
          <w:szCs w:val="24"/>
        </w:rPr>
      </w:pPr>
      <w:r w:rsidRPr="007656CB">
        <w:rPr>
          <w:sz w:val="24"/>
          <w:szCs w:val="24"/>
        </w:rPr>
        <w:t>if such materials were published in a local newspaper, updated materials shall be</w:t>
      </w:r>
      <w:r w:rsidR="00E418AF" w:rsidRPr="007656CB">
        <w:rPr>
          <w:sz w:val="24"/>
          <w:szCs w:val="24"/>
        </w:rPr>
        <w:t xml:space="preserve"> </w:t>
      </w:r>
      <w:r w:rsidRPr="007656CB">
        <w:rPr>
          <w:sz w:val="24"/>
          <w:szCs w:val="24"/>
        </w:rPr>
        <w:t>re-published quarterly; and/or</w:t>
      </w:r>
    </w:p>
    <w:p w14:paraId="615E4D13" w14:textId="414B1E9A" w:rsidR="001E76FD" w:rsidRPr="007656CB" w:rsidRDefault="001E76FD" w:rsidP="00746839">
      <w:pPr>
        <w:pStyle w:val="ListParagraph"/>
        <w:numPr>
          <w:ilvl w:val="3"/>
          <w:numId w:val="1098"/>
        </w:numPr>
        <w:tabs>
          <w:tab w:val="left" w:pos="2430"/>
        </w:tabs>
        <w:autoSpaceDE w:val="0"/>
        <w:autoSpaceDN w:val="0"/>
        <w:adjustRightInd w:val="0"/>
        <w:ind w:left="2016" w:firstLine="0"/>
        <w:rPr>
          <w:sz w:val="24"/>
          <w:szCs w:val="24"/>
        </w:rPr>
      </w:pPr>
      <w:r w:rsidRPr="007656CB">
        <w:rPr>
          <w:sz w:val="24"/>
          <w:szCs w:val="24"/>
        </w:rPr>
        <w:t>if such materials were provided by other Department-approved methods, updated</w:t>
      </w:r>
      <w:r w:rsidR="00E418AF" w:rsidRPr="007656CB">
        <w:rPr>
          <w:sz w:val="24"/>
          <w:szCs w:val="24"/>
        </w:rPr>
        <w:t xml:space="preserve"> </w:t>
      </w:r>
      <w:r w:rsidRPr="007656CB">
        <w:rPr>
          <w:sz w:val="24"/>
          <w:szCs w:val="24"/>
        </w:rPr>
        <w:t>materials shall be provided quarterly by the same methods; and</w:t>
      </w:r>
    </w:p>
    <w:p w14:paraId="012DBF91" w14:textId="322D6DBF" w:rsidR="001E76FD" w:rsidRPr="007656CB" w:rsidRDefault="36BAC8D7" w:rsidP="0052406B">
      <w:pPr>
        <w:pStyle w:val="ListParagraph"/>
        <w:numPr>
          <w:ilvl w:val="3"/>
          <w:numId w:val="1093"/>
        </w:numPr>
        <w:tabs>
          <w:tab w:val="left" w:pos="1584"/>
        </w:tabs>
        <w:autoSpaceDE w:val="0"/>
        <w:autoSpaceDN w:val="0"/>
        <w:adjustRightInd w:val="0"/>
        <w:ind w:left="1728" w:firstLine="0"/>
        <w:rPr>
          <w:sz w:val="24"/>
          <w:szCs w:val="24"/>
        </w:rPr>
      </w:pPr>
      <w:r w:rsidRPr="37768BFB">
        <w:rPr>
          <w:sz w:val="24"/>
          <w:szCs w:val="24"/>
        </w:rPr>
        <w:t>a copy of such materials shall be submitted to the Department upon initial and each</w:t>
      </w:r>
      <w:r w:rsidR="44089D05" w:rsidRPr="37768BFB">
        <w:rPr>
          <w:sz w:val="24"/>
          <w:szCs w:val="24"/>
        </w:rPr>
        <w:t xml:space="preserve"> </w:t>
      </w:r>
      <w:r w:rsidRPr="37768BFB">
        <w:rPr>
          <w:sz w:val="24"/>
          <w:szCs w:val="24"/>
        </w:rPr>
        <w:t>subsequent issuance if required by 310 CMR 22.07G(7)(e)7. along with a written</w:t>
      </w:r>
      <w:r w:rsidR="44089D05" w:rsidRPr="37768BFB">
        <w:rPr>
          <w:sz w:val="24"/>
          <w:szCs w:val="24"/>
        </w:rPr>
        <w:t xml:space="preserve"> </w:t>
      </w:r>
      <w:r w:rsidRPr="37768BFB">
        <w:rPr>
          <w:sz w:val="24"/>
          <w:szCs w:val="24"/>
        </w:rPr>
        <w:t>certification by the Supplier of Water that the materials have been distributed in</w:t>
      </w:r>
      <w:r w:rsidR="44089D05" w:rsidRPr="37768BFB">
        <w:rPr>
          <w:sz w:val="24"/>
          <w:szCs w:val="24"/>
        </w:rPr>
        <w:t xml:space="preserve"> </w:t>
      </w:r>
      <w:r w:rsidRPr="37768BFB">
        <w:rPr>
          <w:sz w:val="24"/>
          <w:szCs w:val="24"/>
        </w:rPr>
        <w:t>compliance with 310 CMR 22.07G(7)(e)1. through 6.</w:t>
      </w:r>
    </w:p>
    <w:p w14:paraId="15DEC7D3" w14:textId="77777777" w:rsidR="0027490F" w:rsidRPr="00C37F9F" w:rsidRDefault="0027490F" w:rsidP="00C37F9F">
      <w:pPr>
        <w:tabs>
          <w:tab w:val="left" w:pos="1440"/>
        </w:tabs>
        <w:autoSpaceDE w:val="0"/>
        <w:autoSpaceDN w:val="0"/>
        <w:adjustRightInd w:val="0"/>
        <w:ind w:left="1008"/>
        <w:rPr>
          <w:sz w:val="24"/>
          <w:szCs w:val="24"/>
        </w:rPr>
      </w:pPr>
    </w:p>
    <w:p w14:paraId="531ADEF0" w14:textId="624996CA" w:rsidR="001E76FD" w:rsidRPr="007656CB" w:rsidRDefault="001E76FD" w:rsidP="00C37F9F">
      <w:pPr>
        <w:pStyle w:val="ListParagraph"/>
        <w:numPr>
          <w:ilvl w:val="0"/>
          <w:numId w:val="991"/>
        </w:numPr>
        <w:tabs>
          <w:tab w:val="left" w:pos="1440"/>
        </w:tabs>
        <w:autoSpaceDE w:val="0"/>
        <w:autoSpaceDN w:val="0"/>
        <w:adjustRightInd w:val="0"/>
        <w:ind w:left="1008" w:firstLine="0"/>
        <w:rPr>
          <w:sz w:val="24"/>
          <w:szCs w:val="24"/>
          <w:u w:val="single"/>
        </w:rPr>
      </w:pPr>
      <w:r w:rsidRPr="007656CB">
        <w:rPr>
          <w:sz w:val="24"/>
          <w:szCs w:val="24"/>
          <w:u w:val="single"/>
        </w:rPr>
        <w:t>Increased Monitoring Frequency Following PFAS Detection.</w:t>
      </w:r>
    </w:p>
    <w:p w14:paraId="19F7C51C" w14:textId="1700F8CF" w:rsidR="007656CB" w:rsidRPr="007656CB" w:rsidRDefault="001E76FD" w:rsidP="00C37F9F">
      <w:pPr>
        <w:pStyle w:val="ListParagraph"/>
        <w:numPr>
          <w:ilvl w:val="0"/>
          <w:numId w:val="992"/>
        </w:numPr>
        <w:tabs>
          <w:tab w:val="left" w:pos="1584"/>
        </w:tabs>
        <w:autoSpaceDE w:val="0"/>
        <w:autoSpaceDN w:val="0"/>
        <w:adjustRightInd w:val="0"/>
        <w:ind w:left="1152" w:firstLine="0"/>
        <w:rPr>
          <w:sz w:val="24"/>
          <w:szCs w:val="24"/>
        </w:rPr>
      </w:pPr>
      <w:r w:rsidRPr="007656CB">
        <w:rPr>
          <w:sz w:val="24"/>
          <w:szCs w:val="24"/>
          <w:u w:val="single"/>
        </w:rPr>
        <w:lastRenderedPageBreak/>
        <w:t>Applicability</w:t>
      </w:r>
      <w:r w:rsidRPr="007656CB">
        <w:rPr>
          <w:sz w:val="24"/>
          <w:szCs w:val="24"/>
        </w:rPr>
        <w:t>. 310 CMR 22.07G(8) shall apply to each Sampling Point, or alternate</w:t>
      </w:r>
      <w:r w:rsidR="007656CB" w:rsidRPr="007656CB">
        <w:rPr>
          <w:sz w:val="24"/>
          <w:szCs w:val="24"/>
        </w:rPr>
        <w:t xml:space="preserve"> </w:t>
      </w:r>
      <w:r w:rsidRPr="007656CB">
        <w:rPr>
          <w:sz w:val="24"/>
          <w:szCs w:val="24"/>
        </w:rPr>
        <w:t>sampling location required by the Department pursuant to 310 CMR 22.07G(4)(a) or (b), at</w:t>
      </w:r>
      <w:r w:rsidR="007656CB" w:rsidRPr="007656CB">
        <w:rPr>
          <w:sz w:val="24"/>
          <w:szCs w:val="24"/>
        </w:rPr>
        <w:t xml:space="preserve"> </w:t>
      </w:r>
      <w:r w:rsidRPr="007656CB">
        <w:rPr>
          <w:sz w:val="24"/>
          <w:szCs w:val="24"/>
        </w:rPr>
        <w:t>which there has been a PFAS Detection.</w:t>
      </w:r>
      <w:r w:rsidR="007656CB" w:rsidRPr="007656CB">
        <w:rPr>
          <w:sz w:val="24"/>
          <w:szCs w:val="24"/>
        </w:rPr>
        <w:br w:type="page"/>
      </w:r>
    </w:p>
    <w:p w14:paraId="4F6FD5C7" w14:textId="60702BEB" w:rsidR="001E76FD" w:rsidRPr="007656CB" w:rsidRDefault="001E76FD" w:rsidP="00871BC1">
      <w:pPr>
        <w:autoSpaceDE w:val="0"/>
        <w:autoSpaceDN w:val="0"/>
        <w:adjustRightInd w:val="0"/>
        <w:jc w:val="center"/>
        <w:rPr>
          <w:sz w:val="24"/>
          <w:szCs w:val="24"/>
        </w:rPr>
      </w:pPr>
      <w:r w:rsidRPr="007656CB">
        <w:rPr>
          <w:sz w:val="24"/>
          <w:szCs w:val="24"/>
        </w:rPr>
        <w:lastRenderedPageBreak/>
        <w:t>310 CMR: DEPARTMENT OF ENVIRONMENTAL PROTECTION</w:t>
      </w:r>
    </w:p>
    <w:p w14:paraId="4A51C8F0" w14:textId="3E966E9D" w:rsidR="007656CB" w:rsidRPr="008D41B1" w:rsidRDefault="007656CB" w:rsidP="008D41B1">
      <w:pPr>
        <w:autoSpaceDE w:val="0"/>
        <w:autoSpaceDN w:val="0"/>
        <w:adjustRightInd w:val="0"/>
        <w:rPr>
          <w:sz w:val="20"/>
          <w:szCs w:val="20"/>
        </w:rPr>
      </w:pPr>
    </w:p>
    <w:p w14:paraId="2C1E4531" w14:textId="77777777" w:rsidR="007656CB" w:rsidRPr="008D41B1" w:rsidRDefault="007656CB" w:rsidP="008D41B1">
      <w:pPr>
        <w:autoSpaceDE w:val="0"/>
        <w:autoSpaceDN w:val="0"/>
        <w:adjustRightInd w:val="0"/>
        <w:rPr>
          <w:sz w:val="20"/>
          <w:szCs w:val="20"/>
        </w:rPr>
      </w:pPr>
    </w:p>
    <w:p w14:paraId="10691FCB" w14:textId="20513F92" w:rsidR="001E76FD" w:rsidRPr="007656CB" w:rsidRDefault="001E76FD" w:rsidP="008D41B1">
      <w:pPr>
        <w:autoSpaceDE w:val="0"/>
        <w:autoSpaceDN w:val="0"/>
        <w:adjustRightInd w:val="0"/>
        <w:rPr>
          <w:sz w:val="24"/>
          <w:szCs w:val="24"/>
        </w:rPr>
      </w:pPr>
      <w:r w:rsidRPr="007656CB">
        <w:rPr>
          <w:sz w:val="24"/>
          <w:szCs w:val="24"/>
        </w:rPr>
        <w:t>22.07G: continued</w:t>
      </w:r>
    </w:p>
    <w:p w14:paraId="6800848D" w14:textId="77777777" w:rsidR="007656CB" w:rsidRPr="008D41B1" w:rsidRDefault="007656CB" w:rsidP="008D41B1">
      <w:pPr>
        <w:autoSpaceDE w:val="0"/>
        <w:autoSpaceDN w:val="0"/>
        <w:adjustRightInd w:val="0"/>
        <w:rPr>
          <w:sz w:val="20"/>
          <w:szCs w:val="20"/>
        </w:rPr>
      </w:pPr>
    </w:p>
    <w:p w14:paraId="2BF56E49" w14:textId="6FE3427A" w:rsidR="001E76FD" w:rsidRPr="007656CB" w:rsidRDefault="001E76FD" w:rsidP="00402F65">
      <w:pPr>
        <w:pStyle w:val="ListParagraph"/>
        <w:numPr>
          <w:ilvl w:val="0"/>
          <w:numId w:val="992"/>
        </w:numPr>
        <w:tabs>
          <w:tab w:val="left" w:pos="1584"/>
        </w:tabs>
        <w:autoSpaceDE w:val="0"/>
        <w:autoSpaceDN w:val="0"/>
        <w:adjustRightInd w:val="0"/>
        <w:ind w:left="1152" w:firstLine="0"/>
        <w:rPr>
          <w:sz w:val="24"/>
          <w:szCs w:val="24"/>
        </w:rPr>
      </w:pPr>
      <w:r w:rsidRPr="0056150B">
        <w:rPr>
          <w:sz w:val="24"/>
          <w:szCs w:val="24"/>
          <w:u w:val="single"/>
        </w:rPr>
        <w:t>Monthly Monitoring</w:t>
      </w:r>
      <w:r w:rsidRPr="007656CB">
        <w:rPr>
          <w:sz w:val="24"/>
          <w:szCs w:val="24"/>
        </w:rPr>
        <w:t>.</w:t>
      </w:r>
    </w:p>
    <w:p w14:paraId="1AAE1F5D" w14:textId="4FD52E76" w:rsidR="001E76FD" w:rsidRPr="007656CB" w:rsidRDefault="001E76FD" w:rsidP="00BF5822">
      <w:pPr>
        <w:pStyle w:val="ListParagraph"/>
        <w:numPr>
          <w:ilvl w:val="0"/>
          <w:numId w:val="993"/>
        </w:numPr>
        <w:tabs>
          <w:tab w:val="left" w:pos="2016"/>
        </w:tabs>
        <w:autoSpaceDE w:val="0"/>
        <w:autoSpaceDN w:val="0"/>
        <w:adjustRightInd w:val="0"/>
        <w:ind w:left="1728" w:firstLine="0"/>
        <w:rPr>
          <w:sz w:val="24"/>
          <w:szCs w:val="24"/>
        </w:rPr>
      </w:pPr>
      <w:r w:rsidRPr="007656CB">
        <w:rPr>
          <w:sz w:val="24"/>
          <w:szCs w:val="24"/>
        </w:rPr>
        <w:t>Except as provided in 310 CMR 22.07G(8)(b)2., a Supplier of Water shall monitor</w:t>
      </w:r>
      <w:r w:rsidR="007656CB" w:rsidRPr="007656CB">
        <w:rPr>
          <w:sz w:val="24"/>
          <w:szCs w:val="24"/>
        </w:rPr>
        <w:t xml:space="preserve"> </w:t>
      </w:r>
      <w:r w:rsidRPr="007656CB">
        <w:rPr>
          <w:sz w:val="24"/>
          <w:szCs w:val="24"/>
        </w:rPr>
        <w:t>such locations on a monthly basis to determine compliance with the PFAS6 MCL as per</w:t>
      </w:r>
      <w:r w:rsidR="007656CB" w:rsidRPr="007656CB">
        <w:rPr>
          <w:sz w:val="24"/>
          <w:szCs w:val="24"/>
        </w:rPr>
        <w:t xml:space="preserve"> </w:t>
      </w:r>
      <w:r w:rsidRPr="007656CB">
        <w:rPr>
          <w:sz w:val="24"/>
          <w:szCs w:val="24"/>
        </w:rPr>
        <w:t>310 CMR 22.07G(10), if:</w:t>
      </w:r>
    </w:p>
    <w:p w14:paraId="096F9FEE" w14:textId="1AE0407D" w:rsidR="001E76FD" w:rsidRPr="00FF4540" w:rsidRDefault="001E76FD" w:rsidP="00BF5822">
      <w:pPr>
        <w:pStyle w:val="ListParagraph"/>
        <w:numPr>
          <w:ilvl w:val="0"/>
          <w:numId w:val="994"/>
        </w:numPr>
        <w:tabs>
          <w:tab w:val="left" w:pos="2304"/>
        </w:tabs>
        <w:autoSpaceDE w:val="0"/>
        <w:autoSpaceDN w:val="0"/>
        <w:adjustRightInd w:val="0"/>
        <w:ind w:left="2016" w:firstLine="0"/>
        <w:rPr>
          <w:sz w:val="24"/>
          <w:szCs w:val="24"/>
        </w:rPr>
      </w:pPr>
      <w:r w:rsidRPr="00FF4540">
        <w:rPr>
          <w:sz w:val="24"/>
          <w:szCs w:val="24"/>
        </w:rPr>
        <w:t>there has been a PFAS Detection and the average of PFAS6 in such detection and</w:t>
      </w:r>
      <w:r w:rsidR="00FF4540" w:rsidRPr="00FF4540">
        <w:rPr>
          <w:sz w:val="24"/>
          <w:szCs w:val="24"/>
        </w:rPr>
        <w:t xml:space="preserve"> </w:t>
      </w:r>
      <w:r w:rsidRPr="00FF4540">
        <w:rPr>
          <w:sz w:val="24"/>
          <w:szCs w:val="24"/>
        </w:rPr>
        <w:t>of PFAS6 in an associated Confirmatory Sample is greater than 0.000010 mg/l; or</w:t>
      </w:r>
    </w:p>
    <w:p w14:paraId="195882BA" w14:textId="418828F0" w:rsidR="001E76FD" w:rsidRPr="00FF4540" w:rsidRDefault="001E76FD" w:rsidP="00BF5822">
      <w:pPr>
        <w:pStyle w:val="ListParagraph"/>
        <w:numPr>
          <w:ilvl w:val="0"/>
          <w:numId w:val="994"/>
        </w:numPr>
        <w:tabs>
          <w:tab w:val="left" w:pos="2304"/>
        </w:tabs>
        <w:autoSpaceDE w:val="0"/>
        <w:autoSpaceDN w:val="0"/>
        <w:adjustRightInd w:val="0"/>
        <w:ind w:left="2016" w:firstLine="0"/>
        <w:rPr>
          <w:sz w:val="24"/>
          <w:szCs w:val="24"/>
        </w:rPr>
      </w:pPr>
      <w:r w:rsidRPr="00FF4540">
        <w:rPr>
          <w:sz w:val="24"/>
          <w:szCs w:val="24"/>
        </w:rPr>
        <w:t>the Department determines in writing that a location subject to quarterly or annual</w:t>
      </w:r>
      <w:r w:rsidR="00FF4540" w:rsidRPr="00FF4540">
        <w:rPr>
          <w:sz w:val="24"/>
          <w:szCs w:val="24"/>
        </w:rPr>
        <w:t xml:space="preserve"> </w:t>
      </w:r>
      <w:r w:rsidRPr="00FF4540">
        <w:rPr>
          <w:sz w:val="24"/>
          <w:szCs w:val="24"/>
        </w:rPr>
        <w:t>monitoring is no longer Reliably and Consistently Below the MCL.</w:t>
      </w:r>
    </w:p>
    <w:p w14:paraId="2A00D88D" w14:textId="25E9891D" w:rsidR="001E76FD" w:rsidRPr="00FF4540" w:rsidRDefault="36BAC8D7" w:rsidP="00BF5822">
      <w:pPr>
        <w:pStyle w:val="ListParagraph"/>
        <w:numPr>
          <w:ilvl w:val="0"/>
          <w:numId w:val="993"/>
        </w:numPr>
        <w:tabs>
          <w:tab w:val="left" w:pos="2016"/>
        </w:tabs>
        <w:autoSpaceDE w:val="0"/>
        <w:autoSpaceDN w:val="0"/>
        <w:adjustRightInd w:val="0"/>
        <w:ind w:left="1728" w:firstLine="0"/>
        <w:rPr>
          <w:sz w:val="24"/>
          <w:szCs w:val="24"/>
        </w:rPr>
      </w:pPr>
      <w:r w:rsidRPr="37768BFB">
        <w:rPr>
          <w:sz w:val="24"/>
          <w:szCs w:val="24"/>
        </w:rPr>
        <w:t>After completing the first quarter of monthly monitoring pursuant to 310 CMR</w:t>
      </w:r>
      <w:r w:rsidR="01906D67" w:rsidRPr="37768BFB">
        <w:rPr>
          <w:sz w:val="24"/>
          <w:szCs w:val="24"/>
        </w:rPr>
        <w:t xml:space="preserve"> </w:t>
      </w:r>
      <w:r w:rsidRPr="37768BFB">
        <w:rPr>
          <w:sz w:val="24"/>
          <w:szCs w:val="24"/>
        </w:rPr>
        <w:t>22.07G(8)(b)1., a Supplier of Water who is in violation of the PFAS6 MCL, determined</w:t>
      </w:r>
      <w:r w:rsidR="01906D67" w:rsidRPr="37768BFB">
        <w:rPr>
          <w:sz w:val="24"/>
          <w:szCs w:val="24"/>
        </w:rPr>
        <w:t xml:space="preserve"> </w:t>
      </w:r>
      <w:r w:rsidRPr="37768BFB">
        <w:rPr>
          <w:sz w:val="24"/>
          <w:szCs w:val="24"/>
        </w:rPr>
        <w:t>as per 310 CMR 22.07G(10), may request written approval from the Department to use</w:t>
      </w:r>
      <w:r w:rsidR="01906D67" w:rsidRPr="37768BFB">
        <w:rPr>
          <w:sz w:val="24"/>
          <w:szCs w:val="24"/>
        </w:rPr>
        <w:t xml:space="preserve"> </w:t>
      </w:r>
      <w:r w:rsidRPr="37768BFB">
        <w:rPr>
          <w:sz w:val="24"/>
          <w:szCs w:val="24"/>
        </w:rPr>
        <w:t>the results from a single sample taken in the first month of each subsequent quarter to</w:t>
      </w:r>
      <w:r w:rsidR="01906D67" w:rsidRPr="37768BFB">
        <w:rPr>
          <w:sz w:val="24"/>
          <w:szCs w:val="24"/>
        </w:rPr>
        <w:t xml:space="preserve"> </w:t>
      </w:r>
      <w:r w:rsidRPr="37768BFB">
        <w:rPr>
          <w:sz w:val="24"/>
          <w:szCs w:val="24"/>
        </w:rPr>
        <w:t>determine compliance with the PFAS6 MCL rather than using the average of the three</w:t>
      </w:r>
      <w:r w:rsidR="01906D67" w:rsidRPr="37768BFB">
        <w:rPr>
          <w:sz w:val="24"/>
          <w:szCs w:val="24"/>
        </w:rPr>
        <w:t xml:space="preserve"> </w:t>
      </w:r>
      <w:r w:rsidRPr="37768BFB">
        <w:rPr>
          <w:sz w:val="24"/>
          <w:szCs w:val="24"/>
        </w:rPr>
        <w:t>monthly samples otherwise required, subject to the following:</w:t>
      </w:r>
    </w:p>
    <w:p w14:paraId="78EB16D1" w14:textId="77777777" w:rsidR="008E0C5A" w:rsidRDefault="001E76FD" w:rsidP="00BF5822">
      <w:pPr>
        <w:pStyle w:val="ListParagraph"/>
        <w:numPr>
          <w:ilvl w:val="0"/>
          <w:numId w:val="995"/>
        </w:numPr>
        <w:tabs>
          <w:tab w:val="left" w:pos="2304"/>
        </w:tabs>
        <w:autoSpaceDE w:val="0"/>
        <w:autoSpaceDN w:val="0"/>
        <w:adjustRightInd w:val="0"/>
        <w:ind w:left="2016" w:firstLine="0"/>
        <w:rPr>
          <w:sz w:val="24"/>
          <w:szCs w:val="24"/>
        </w:rPr>
      </w:pPr>
      <w:r w:rsidRPr="008E0C5A">
        <w:rPr>
          <w:sz w:val="24"/>
          <w:szCs w:val="24"/>
        </w:rPr>
        <w:t>upon such written approval, if any such single sample alone exceeds the PFAS6</w:t>
      </w:r>
      <w:r w:rsidR="00FF4540" w:rsidRPr="008E0C5A">
        <w:rPr>
          <w:sz w:val="24"/>
          <w:szCs w:val="24"/>
        </w:rPr>
        <w:t xml:space="preserve"> </w:t>
      </w:r>
      <w:r w:rsidRPr="008E0C5A">
        <w:rPr>
          <w:sz w:val="24"/>
          <w:szCs w:val="24"/>
        </w:rPr>
        <w:t>MCL, such Supplier of Water shall be in violation of the PFAS6 MCL immediately</w:t>
      </w:r>
      <w:r w:rsidR="00FF4540" w:rsidRPr="008E0C5A">
        <w:rPr>
          <w:sz w:val="24"/>
          <w:szCs w:val="24"/>
        </w:rPr>
        <w:t xml:space="preserve"> </w:t>
      </w:r>
      <w:r w:rsidRPr="008E0C5A">
        <w:rPr>
          <w:sz w:val="24"/>
          <w:szCs w:val="24"/>
        </w:rPr>
        <w:t>and shall provide public notice in accordance with 310 CMR 22.16; and</w:t>
      </w:r>
      <w:r w:rsidR="008E0C5A" w:rsidRPr="008E0C5A">
        <w:rPr>
          <w:sz w:val="24"/>
          <w:szCs w:val="24"/>
        </w:rPr>
        <w:t xml:space="preserve"> </w:t>
      </w:r>
    </w:p>
    <w:p w14:paraId="65D59B75" w14:textId="193748A8" w:rsidR="001E76FD" w:rsidRPr="008E0C5A" w:rsidRDefault="001E76FD" w:rsidP="00BF5822">
      <w:pPr>
        <w:pStyle w:val="ListParagraph"/>
        <w:numPr>
          <w:ilvl w:val="0"/>
          <w:numId w:val="995"/>
        </w:numPr>
        <w:tabs>
          <w:tab w:val="left" w:pos="2304"/>
        </w:tabs>
        <w:autoSpaceDE w:val="0"/>
        <w:autoSpaceDN w:val="0"/>
        <w:adjustRightInd w:val="0"/>
        <w:ind w:left="2016" w:firstLine="0"/>
        <w:rPr>
          <w:sz w:val="24"/>
          <w:szCs w:val="24"/>
        </w:rPr>
      </w:pPr>
      <w:r w:rsidRPr="008E0C5A">
        <w:rPr>
          <w:sz w:val="24"/>
          <w:szCs w:val="24"/>
        </w:rPr>
        <w:t>if any such single sample is less than or equal to the PFAS6 MCL, then such</w:t>
      </w:r>
      <w:r w:rsidR="00FF4540" w:rsidRPr="008E0C5A">
        <w:rPr>
          <w:sz w:val="24"/>
          <w:szCs w:val="24"/>
        </w:rPr>
        <w:t xml:space="preserve"> </w:t>
      </w:r>
      <w:r w:rsidRPr="008E0C5A">
        <w:rPr>
          <w:sz w:val="24"/>
          <w:szCs w:val="24"/>
        </w:rPr>
        <w:t>Supplier of Water shall continue monthly monitoring during the remaining two</w:t>
      </w:r>
      <w:r w:rsidR="00FF4540" w:rsidRPr="008E0C5A">
        <w:rPr>
          <w:sz w:val="24"/>
          <w:szCs w:val="24"/>
        </w:rPr>
        <w:t xml:space="preserve"> </w:t>
      </w:r>
      <w:r w:rsidRPr="008E0C5A">
        <w:rPr>
          <w:sz w:val="24"/>
          <w:szCs w:val="24"/>
        </w:rPr>
        <w:t>months of the quarter and compliance with the PFAS6 MCL shall be determined as</w:t>
      </w:r>
      <w:r w:rsidR="00940C08" w:rsidRPr="008E0C5A">
        <w:rPr>
          <w:sz w:val="24"/>
          <w:szCs w:val="24"/>
        </w:rPr>
        <w:t xml:space="preserve"> </w:t>
      </w:r>
      <w:r w:rsidRPr="008E0C5A">
        <w:rPr>
          <w:sz w:val="24"/>
          <w:szCs w:val="24"/>
        </w:rPr>
        <w:t>per 310 CMR 22.07G(10).</w:t>
      </w:r>
    </w:p>
    <w:p w14:paraId="4C36B71F" w14:textId="77777777" w:rsidR="00402F65" w:rsidRDefault="00A07940" w:rsidP="00402F65">
      <w:pPr>
        <w:pStyle w:val="ListParagraph"/>
        <w:numPr>
          <w:ilvl w:val="0"/>
          <w:numId w:val="992"/>
        </w:numPr>
        <w:tabs>
          <w:tab w:val="left" w:pos="1584"/>
        </w:tabs>
        <w:autoSpaceDE w:val="0"/>
        <w:autoSpaceDN w:val="0"/>
        <w:adjustRightInd w:val="0"/>
        <w:ind w:left="1152" w:firstLine="0"/>
        <w:rPr>
          <w:sz w:val="24"/>
          <w:szCs w:val="24"/>
        </w:rPr>
      </w:pPr>
      <w:r w:rsidRPr="00402F65">
        <w:rPr>
          <w:sz w:val="24"/>
          <w:szCs w:val="24"/>
          <w:u w:val="single"/>
        </w:rPr>
        <w:t>Quarterly Monitoring</w:t>
      </w:r>
      <w:r w:rsidRPr="00402F65">
        <w:rPr>
          <w:sz w:val="24"/>
          <w:szCs w:val="24"/>
        </w:rPr>
        <w:t>.</w:t>
      </w:r>
      <w:r w:rsidR="00DC1517" w:rsidRPr="00402F65">
        <w:rPr>
          <w:sz w:val="24"/>
          <w:szCs w:val="24"/>
        </w:rPr>
        <w:t xml:space="preserve">  </w:t>
      </w:r>
      <w:r w:rsidR="007F265F" w:rsidRPr="00402F65">
        <w:rPr>
          <w:sz w:val="24"/>
          <w:szCs w:val="24"/>
        </w:rPr>
        <w:t>If any such location has had PFAS treatment installed and the Department determines in writing that such location is Reliably and Consistently Below the MCL, then the Supplier of Water shall monitor that location in the first month of each quarter</w:t>
      </w:r>
      <w:r w:rsidR="00AC56A5" w:rsidRPr="00402F65">
        <w:rPr>
          <w:sz w:val="24"/>
          <w:szCs w:val="24"/>
        </w:rPr>
        <w:t>.</w:t>
      </w:r>
    </w:p>
    <w:p w14:paraId="364C0C17" w14:textId="214E198B" w:rsidR="001E76FD" w:rsidRPr="00402F65" w:rsidRDefault="001E76FD" w:rsidP="00402F65">
      <w:pPr>
        <w:pStyle w:val="ListParagraph"/>
        <w:numPr>
          <w:ilvl w:val="0"/>
          <w:numId w:val="992"/>
        </w:numPr>
        <w:tabs>
          <w:tab w:val="left" w:pos="1584"/>
        </w:tabs>
        <w:autoSpaceDE w:val="0"/>
        <w:autoSpaceDN w:val="0"/>
        <w:adjustRightInd w:val="0"/>
        <w:ind w:left="1152" w:firstLine="0"/>
        <w:rPr>
          <w:sz w:val="24"/>
          <w:szCs w:val="24"/>
        </w:rPr>
      </w:pPr>
      <w:r w:rsidRPr="00402F65">
        <w:rPr>
          <w:sz w:val="24"/>
          <w:szCs w:val="24"/>
          <w:u w:val="single"/>
        </w:rPr>
        <w:t>Annual Monitoring</w:t>
      </w:r>
      <w:r w:rsidRPr="00402F65">
        <w:rPr>
          <w:sz w:val="24"/>
          <w:szCs w:val="24"/>
        </w:rPr>
        <w:t>. A Supplier of Water shall monitor such locations on an annual</w:t>
      </w:r>
      <w:r w:rsidR="00B94672" w:rsidRPr="00402F65">
        <w:rPr>
          <w:sz w:val="24"/>
          <w:szCs w:val="24"/>
        </w:rPr>
        <w:t xml:space="preserve"> </w:t>
      </w:r>
      <w:r w:rsidRPr="00402F65">
        <w:rPr>
          <w:sz w:val="24"/>
          <w:szCs w:val="24"/>
        </w:rPr>
        <w:t>basis during the first month of the calendar quarter that previously yielded the highest</w:t>
      </w:r>
      <w:r w:rsidR="00B94672" w:rsidRPr="00402F65">
        <w:rPr>
          <w:sz w:val="24"/>
          <w:szCs w:val="24"/>
        </w:rPr>
        <w:t xml:space="preserve"> </w:t>
      </w:r>
      <w:r w:rsidRPr="00402F65">
        <w:rPr>
          <w:sz w:val="24"/>
          <w:szCs w:val="24"/>
        </w:rPr>
        <w:t>analytical result. A Supplier of Water shall conduct this annual monitoring if:</w:t>
      </w:r>
    </w:p>
    <w:p w14:paraId="1E78976A" w14:textId="151EE0F1" w:rsidR="001E76FD" w:rsidRPr="00B94672" w:rsidRDefault="001E76FD" w:rsidP="00402F65">
      <w:pPr>
        <w:pStyle w:val="ListParagraph"/>
        <w:numPr>
          <w:ilvl w:val="0"/>
          <w:numId w:val="996"/>
        </w:numPr>
        <w:tabs>
          <w:tab w:val="left" w:pos="2016"/>
        </w:tabs>
        <w:autoSpaceDE w:val="0"/>
        <w:autoSpaceDN w:val="0"/>
        <w:adjustRightInd w:val="0"/>
        <w:ind w:left="1728" w:firstLine="0"/>
        <w:rPr>
          <w:sz w:val="24"/>
          <w:szCs w:val="24"/>
        </w:rPr>
      </w:pPr>
      <w:r w:rsidRPr="00B94672">
        <w:rPr>
          <w:sz w:val="24"/>
          <w:szCs w:val="24"/>
        </w:rPr>
        <w:t>all of the following are true:</w:t>
      </w:r>
    </w:p>
    <w:p w14:paraId="506EDE9F" w14:textId="6E9A3C4E" w:rsidR="001E76FD" w:rsidRPr="00B94672" w:rsidRDefault="001E76FD" w:rsidP="00402F65">
      <w:pPr>
        <w:pStyle w:val="ListParagraph"/>
        <w:numPr>
          <w:ilvl w:val="0"/>
          <w:numId w:val="997"/>
        </w:numPr>
        <w:tabs>
          <w:tab w:val="left" w:pos="2304"/>
        </w:tabs>
        <w:autoSpaceDE w:val="0"/>
        <w:autoSpaceDN w:val="0"/>
        <w:adjustRightInd w:val="0"/>
        <w:ind w:left="2016" w:firstLine="0"/>
        <w:rPr>
          <w:sz w:val="24"/>
          <w:szCs w:val="24"/>
        </w:rPr>
      </w:pPr>
      <w:r w:rsidRPr="00B94672">
        <w:rPr>
          <w:sz w:val="24"/>
          <w:szCs w:val="24"/>
        </w:rPr>
        <w:t>all four quarters of initial monitoring</w:t>
      </w:r>
      <w:r w:rsidR="00402F65">
        <w:rPr>
          <w:sz w:val="24"/>
          <w:szCs w:val="24"/>
        </w:rPr>
        <w:t xml:space="preserve"> </w:t>
      </w:r>
      <w:r w:rsidRPr="00B94672">
        <w:rPr>
          <w:sz w:val="24"/>
          <w:szCs w:val="24"/>
        </w:rPr>
        <w:t>pursuant to 310 CMR 22.07G(5)(a) have</w:t>
      </w:r>
      <w:r w:rsidR="00B94672" w:rsidRPr="00B94672">
        <w:rPr>
          <w:sz w:val="24"/>
          <w:szCs w:val="24"/>
        </w:rPr>
        <w:t xml:space="preserve"> </w:t>
      </w:r>
      <w:r w:rsidRPr="00B94672">
        <w:rPr>
          <w:sz w:val="24"/>
          <w:szCs w:val="24"/>
        </w:rPr>
        <w:t>been completed;</w:t>
      </w:r>
    </w:p>
    <w:p w14:paraId="5915D840" w14:textId="71ED8AFA" w:rsidR="001E76FD" w:rsidRPr="00FF35A3" w:rsidRDefault="001E76FD" w:rsidP="00402F65">
      <w:pPr>
        <w:pStyle w:val="ListParagraph"/>
        <w:numPr>
          <w:ilvl w:val="0"/>
          <w:numId w:val="997"/>
        </w:numPr>
        <w:tabs>
          <w:tab w:val="left" w:pos="2304"/>
        </w:tabs>
        <w:autoSpaceDE w:val="0"/>
        <w:autoSpaceDN w:val="0"/>
        <w:adjustRightInd w:val="0"/>
        <w:ind w:left="2016" w:firstLine="0"/>
        <w:rPr>
          <w:sz w:val="24"/>
          <w:szCs w:val="24"/>
        </w:rPr>
      </w:pPr>
      <w:r w:rsidRPr="00FF35A3">
        <w:rPr>
          <w:sz w:val="24"/>
          <w:szCs w:val="24"/>
        </w:rPr>
        <w:t>the first PFAS Detection occurred during such initial monitoring and the average</w:t>
      </w:r>
      <w:r w:rsidR="00FF35A3" w:rsidRPr="00FF35A3">
        <w:rPr>
          <w:sz w:val="24"/>
          <w:szCs w:val="24"/>
        </w:rPr>
        <w:t xml:space="preserve"> </w:t>
      </w:r>
      <w:r w:rsidRPr="00FF35A3">
        <w:rPr>
          <w:sz w:val="24"/>
          <w:szCs w:val="24"/>
        </w:rPr>
        <w:t>of PFAS6 in such detection and of PFAS6 in an associated Confirmatory Sample is</w:t>
      </w:r>
      <w:r w:rsidR="00FF35A3" w:rsidRPr="00FF35A3">
        <w:rPr>
          <w:sz w:val="24"/>
          <w:szCs w:val="24"/>
        </w:rPr>
        <w:t xml:space="preserve"> </w:t>
      </w:r>
      <w:r w:rsidRPr="00FF35A3">
        <w:rPr>
          <w:sz w:val="24"/>
          <w:szCs w:val="24"/>
        </w:rPr>
        <w:t>less than or equal to 0.000010 mg/l; and</w:t>
      </w:r>
    </w:p>
    <w:p w14:paraId="41A0DBB5" w14:textId="77777777" w:rsidR="00402F65" w:rsidRDefault="001E76FD" w:rsidP="00402F65">
      <w:pPr>
        <w:pStyle w:val="ListParagraph"/>
        <w:numPr>
          <w:ilvl w:val="0"/>
          <w:numId w:val="997"/>
        </w:numPr>
        <w:tabs>
          <w:tab w:val="left" w:pos="2304"/>
        </w:tabs>
        <w:autoSpaceDE w:val="0"/>
        <w:autoSpaceDN w:val="0"/>
        <w:adjustRightInd w:val="0"/>
        <w:ind w:left="2016" w:firstLine="0"/>
        <w:rPr>
          <w:sz w:val="24"/>
          <w:szCs w:val="24"/>
        </w:rPr>
      </w:pPr>
      <w:r w:rsidRPr="00FF35A3">
        <w:rPr>
          <w:sz w:val="24"/>
          <w:szCs w:val="24"/>
        </w:rPr>
        <w:t>for any second or later PFAS Detection occurring during such initial monitoring</w:t>
      </w:r>
      <w:r w:rsidR="00FF35A3" w:rsidRPr="00FF35A3">
        <w:rPr>
          <w:sz w:val="24"/>
          <w:szCs w:val="24"/>
        </w:rPr>
        <w:t xml:space="preserve"> </w:t>
      </w:r>
      <w:r w:rsidRPr="00FF35A3">
        <w:rPr>
          <w:sz w:val="24"/>
          <w:szCs w:val="24"/>
        </w:rPr>
        <w:t>with PFAS6 greater than 0.000010 mg/l, the average of PFAS6 in such second or</w:t>
      </w:r>
      <w:r w:rsidR="00FF35A3" w:rsidRPr="00FF35A3">
        <w:rPr>
          <w:sz w:val="24"/>
          <w:szCs w:val="24"/>
        </w:rPr>
        <w:t xml:space="preserve"> </w:t>
      </w:r>
      <w:r w:rsidRPr="00FF35A3">
        <w:rPr>
          <w:sz w:val="24"/>
          <w:szCs w:val="24"/>
        </w:rPr>
        <w:t>later detection and of PFAS6 in the Confirmatory Sample associated with each such</w:t>
      </w:r>
      <w:r w:rsidR="00FF35A3" w:rsidRPr="00FF35A3">
        <w:rPr>
          <w:sz w:val="24"/>
          <w:szCs w:val="24"/>
        </w:rPr>
        <w:t xml:space="preserve"> </w:t>
      </w:r>
      <w:r w:rsidRPr="00FF35A3">
        <w:rPr>
          <w:sz w:val="24"/>
          <w:szCs w:val="24"/>
        </w:rPr>
        <w:t>detection is less than or equal to 0.000010 mg/l;</w:t>
      </w:r>
    </w:p>
    <w:p w14:paraId="00F40B64" w14:textId="69C4E562" w:rsidR="001E76FD" w:rsidRPr="00FF35A3" w:rsidRDefault="001E76FD" w:rsidP="00402F65">
      <w:pPr>
        <w:pStyle w:val="ListParagraph"/>
        <w:numPr>
          <w:ilvl w:val="0"/>
          <w:numId w:val="1075"/>
        </w:numPr>
        <w:tabs>
          <w:tab w:val="left" w:pos="2016"/>
        </w:tabs>
        <w:autoSpaceDE w:val="0"/>
        <w:autoSpaceDN w:val="0"/>
        <w:adjustRightInd w:val="0"/>
        <w:ind w:left="1728" w:firstLine="0"/>
        <w:rPr>
          <w:sz w:val="24"/>
          <w:szCs w:val="24"/>
        </w:rPr>
      </w:pPr>
      <w:r w:rsidRPr="00FF35A3">
        <w:rPr>
          <w:sz w:val="24"/>
          <w:szCs w:val="24"/>
        </w:rPr>
        <w:t>the Department determines in writing that a location subject to monthly monitoring</w:t>
      </w:r>
      <w:r w:rsidR="00FF35A3" w:rsidRPr="00FF35A3">
        <w:rPr>
          <w:sz w:val="24"/>
          <w:szCs w:val="24"/>
        </w:rPr>
        <w:t xml:space="preserve"> </w:t>
      </w:r>
      <w:r w:rsidRPr="00FF35A3">
        <w:rPr>
          <w:sz w:val="24"/>
          <w:szCs w:val="24"/>
        </w:rPr>
        <w:t>under 310 CMR 22.07G(8)(b)</w:t>
      </w:r>
      <w:r w:rsidR="00803C34">
        <w:rPr>
          <w:sz w:val="24"/>
          <w:szCs w:val="24"/>
        </w:rPr>
        <w:t xml:space="preserve">, </w:t>
      </w:r>
      <w:r w:rsidRPr="00FF35A3">
        <w:rPr>
          <w:sz w:val="24"/>
          <w:szCs w:val="24"/>
        </w:rPr>
        <w:t>without the installation of PFAS treatment, is Reliably</w:t>
      </w:r>
      <w:r w:rsidR="00FF35A3" w:rsidRPr="00FF35A3">
        <w:rPr>
          <w:sz w:val="24"/>
          <w:szCs w:val="24"/>
        </w:rPr>
        <w:t xml:space="preserve"> </w:t>
      </w:r>
      <w:r w:rsidRPr="00FF35A3">
        <w:rPr>
          <w:sz w:val="24"/>
          <w:szCs w:val="24"/>
        </w:rPr>
        <w:t>and Consistently Below the MCL;</w:t>
      </w:r>
    </w:p>
    <w:p w14:paraId="1C02D505" w14:textId="20F1A5AC" w:rsidR="001E76FD" w:rsidRPr="00FF35A3" w:rsidRDefault="001E76FD" w:rsidP="00402F65">
      <w:pPr>
        <w:pStyle w:val="ListParagraph"/>
        <w:numPr>
          <w:ilvl w:val="0"/>
          <w:numId w:val="1075"/>
        </w:numPr>
        <w:tabs>
          <w:tab w:val="left" w:pos="2016"/>
        </w:tabs>
        <w:autoSpaceDE w:val="0"/>
        <w:autoSpaceDN w:val="0"/>
        <w:adjustRightInd w:val="0"/>
        <w:ind w:left="1728" w:firstLine="0"/>
        <w:rPr>
          <w:sz w:val="24"/>
          <w:szCs w:val="24"/>
        </w:rPr>
      </w:pPr>
      <w:r w:rsidRPr="00FF35A3">
        <w:rPr>
          <w:sz w:val="24"/>
          <w:szCs w:val="24"/>
        </w:rPr>
        <w:t>the Department determines in writing that a location subject to quarterly monitoring</w:t>
      </w:r>
      <w:r w:rsidR="00FF35A3" w:rsidRPr="00FF35A3">
        <w:rPr>
          <w:sz w:val="24"/>
          <w:szCs w:val="24"/>
        </w:rPr>
        <w:t xml:space="preserve"> </w:t>
      </w:r>
      <w:r w:rsidRPr="00FF35A3">
        <w:rPr>
          <w:sz w:val="24"/>
          <w:szCs w:val="24"/>
        </w:rPr>
        <w:t>under 310 CMR 22.07G(8)(c), taking into consideration any documentation provided by</w:t>
      </w:r>
      <w:r w:rsidR="00FF35A3" w:rsidRPr="00FF35A3">
        <w:rPr>
          <w:sz w:val="24"/>
          <w:szCs w:val="24"/>
        </w:rPr>
        <w:t xml:space="preserve"> </w:t>
      </w:r>
      <w:r w:rsidRPr="00FF35A3">
        <w:rPr>
          <w:sz w:val="24"/>
          <w:szCs w:val="24"/>
        </w:rPr>
        <w:t>such Supplier of Water and any other relevant factors, would be Reliably and</w:t>
      </w:r>
      <w:r w:rsidR="00FF35A3" w:rsidRPr="00FF35A3">
        <w:rPr>
          <w:sz w:val="24"/>
          <w:szCs w:val="24"/>
        </w:rPr>
        <w:t xml:space="preserve"> </w:t>
      </w:r>
      <w:r w:rsidRPr="00FF35A3">
        <w:rPr>
          <w:sz w:val="24"/>
          <w:szCs w:val="24"/>
        </w:rPr>
        <w:t>Consistently Below the MCL without PFAS treatment; or</w:t>
      </w:r>
    </w:p>
    <w:p w14:paraId="33B2DAF6" w14:textId="59BD865C" w:rsidR="001E76FD" w:rsidRPr="007656CB" w:rsidRDefault="001E76FD" w:rsidP="00402F65">
      <w:pPr>
        <w:pStyle w:val="ListParagraph"/>
        <w:numPr>
          <w:ilvl w:val="0"/>
          <w:numId w:val="1075"/>
        </w:numPr>
        <w:tabs>
          <w:tab w:val="left" w:pos="2016"/>
        </w:tabs>
        <w:autoSpaceDE w:val="0"/>
        <w:autoSpaceDN w:val="0"/>
        <w:adjustRightInd w:val="0"/>
        <w:ind w:left="1728" w:firstLine="0"/>
        <w:rPr>
          <w:sz w:val="24"/>
          <w:szCs w:val="24"/>
        </w:rPr>
      </w:pPr>
      <w:r w:rsidRPr="007656CB">
        <w:rPr>
          <w:sz w:val="24"/>
          <w:szCs w:val="24"/>
        </w:rPr>
        <w:t>a location subject to routine monitoring under 310 CMR 22.07G(6):</w:t>
      </w:r>
    </w:p>
    <w:p w14:paraId="31DEDB43" w14:textId="317969E9" w:rsidR="001E76FD" w:rsidRPr="00871BC1" w:rsidRDefault="001E76FD" w:rsidP="00287DA4">
      <w:pPr>
        <w:pStyle w:val="ListParagraph"/>
        <w:numPr>
          <w:ilvl w:val="0"/>
          <w:numId w:val="998"/>
        </w:numPr>
        <w:tabs>
          <w:tab w:val="left" w:pos="2304"/>
        </w:tabs>
        <w:autoSpaceDE w:val="0"/>
        <w:autoSpaceDN w:val="0"/>
        <w:adjustRightInd w:val="0"/>
        <w:ind w:left="2016" w:firstLine="0"/>
        <w:rPr>
          <w:sz w:val="24"/>
          <w:szCs w:val="24"/>
        </w:rPr>
      </w:pPr>
      <w:r w:rsidRPr="00871BC1">
        <w:rPr>
          <w:sz w:val="24"/>
          <w:szCs w:val="24"/>
        </w:rPr>
        <w:t>has its first PFAS Detection and the average of PFAS6 in such detection and of</w:t>
      </w:r>
      <w:r w:rsidR="00FF35A3" w:rsidRPr="00871BC1">
        <w:rPr>
          <w:sz w:val="24"/>
          <w:szCs w:val="24"/>
        </w:rPr>
        <w:t xml:space="preserve"> </w:t>
      </w:r>
      <w:r w:rsidRPr="00871BC1">
        <w:rPr>
          <w:sz w:val="24"/>
          <w:szCs w:val="24"/>
        </w:rPr>
        <w:t>PFAS6 in an associated Confirmatory Sample is less than or equal to 0.000010 mg/l;</w:t>
      </w:r>
      <w:r w:rsidR="00871BC1" w:rsidRPr="00871BC1">
        <w:rPr>
          <w:sz w:val="24"/>
          <w:szCs w:val="24"/>
        </w:rPr>
        <w:t xml:space="preserve"> </w:t>
      </w:r>
      <w:r w:rsidRPr="00871BC1">
        <w:rPr>
          <w:sz w:val="24"/>
          <w:szCs w:val="24"/>
        </w:rPr>
        <w:t>or</w:t>
      </w:r>
    </w:p>
    <w:p w14:paraId="648D21B8" w14:textId="750C277F" w:rsidR="001E76FD" w:rsidRDefault="001E76FD" w:rsidP="00287DA4">
      <w:pPr>
        <w:pStyle w:val="ListParagraph"/>
        <w:numPr>
          <w:ilvl w:val="0"/>
          <w:numId w:val="998"/>
        </w:numPr>
        <w:tabs>
          <w:tab w:val="left" w:pos="2304"/>
        </w:tabs>
        <w:autoSpaceDE w:val="0"/>
        <w:autoSpaceDN w:val="0"/>
        <w:adjustRightInd w:val="0"/>
        <w:ind w:left="2016" w:firstLine="0"/>
        <w:rPr>
          <w:sz w:val="24"/>
          <w:szCs w:val="24"/>
        </w:rPr>
      </w:pPr>
      <w:r w:rsidRPr="00871BC1">
        <w:rPr>
          <w:sz w:val="24"/>
          <w:szCs w:val="24"/>
        </w:rPr>
        <w:t>has a second or later PFAS Detection with a PFAS6 less than or equal to</w:t>
      </w:r>
      <w:r w:rsidR="00871BC1" w:rsidRPr="00871BC1">
        <w:rPr>
          <w:sz w:val="24"/>
          <w:szCs w:val="24"/>
        </w:rPr>
        <w:t xml:space="preserve"> </w:t>
      </w:r>
      <w:r w:rsidRPr="00871BC1">
        <w:rPr>
          <w:sz w:val="24"/>
          <w:szCs w:val="24"/>
        </w:rPr>
        <w:t>0.000010 mg/l and the Department determines in writing that such location is not</w:t>
      </w:r>
      <w:r w:rsidR="00871BC1" w:rsidRPr="00871BC1">
        <w:rPr>
          <w:sz w:val="24"/>
          <w:szCs w:val="24"/>
        </w:rPr>
        <w:t xml:space="preserve"> </w:t>
      </w:r>
      <w:r w:rsidRPr="00871BC1">
        <w:rPr>
          <w:sz w:val="24"/>
          <w:szCs w:val="24"/>
        </w:rPr>
        <w:t>Reliably and Consistently Below the MCL.</w:t>
      </w:r>
    </w:p>
    <w:p w14:paraId="6E543BCE" w14:textId="77777777" w:rsidR="00871BC1" w:rsidRPr="00871BC1" w:rsidRDefault="00871BC1" w:rsidP="008D41B1">
      <w:pPr>
        <w:tabs>
          <w:tab w:val="left" w:pos="2606"/>
        </w:tabs>
        <w:autoSpaceDE w:val="0"/>
        <w:autoSpaceDN w:val="0"/>
        <w:adjustRightInd w:val="0"/>
        <w:rPr>
          <w:sz w:val="24"/>
          <w:szCs w:val="24"/>
        </w:rPr>
      </w:pPr>
    </w:p>
    <w:p w14:paraId="50917C1F" w14:textId="380CC836" w:rsidR="00871BC1" w:rsidRPr="00871BC1" w:rsidRDefault="001E76FD" w:rsidP="00BB750B">
      <w:pPr>
        <w:pStyle w:val="ListParagraph"/>
        <w:numPr>
          <w:ilvl w:val="0"/>
          <w:numId w:val="999"/>
        </w:numPr>
        <w:tabs>
          <w:tab w:val="left" w:pos="1440"/>
        </w:tabs>
        <w:autoSpaceDE w:val="0"/>
        <w:autoSpaceDN w:val="0"/>
        <w:adjustRightInd w:val="0"/>
        <w:ind w:left="1008" w:firstLine="0"/>
        <w:rPr>
          <w:sz w:val="24"/>
          <w:szCs w:val="24"/>
        </w:rPr>
      </w:pPr>
      <w:r w:rsidRPr="00871BC1">
        <w:rPr>
          <w:sz w:val="24"/>
          <w:szCs w:val="24"/>
          <w:u w:val="single"/>
        </w:rPr>
        <w:t>Invalidation of PFAS Samples</w:t>
      </w:r>
      <w:r w:rsidRPr="00871BC1">
        <w:rPr>
          <w:sz w:val="24"/>
          <w:szCs w:val="24"/>
        </w:rPr>
        <w:t>. All PFAS results shall be subject to the Department's</w:t>
      </w:r>
      <w:r w:rsidR="00871BC1" w:rsidRPr="00871BC1">
        <w:rPr>
          <w:sz w:val="24"/>
          <w:szCs w:val="24"/>
        </w:rPr>
        <w:t xml:space="preserve"> </w:t>
      </w:r>
      <w:r w:rsidRPr="00871BC1">
        <w:rPr>
          <w:sz w:val="24"/>
          <w:szCs w:val="24"/>
        </w:rPr>
        <w:t>review and may be invalidated where the associated quality control information indicates a</w:t>
      </w:r>
      <w:r w:rsidR="00871BC1" w:rsidRPr="00871BC1">
        <w:rPr>
          <w:sz w:val="24"/>
          <w:szCs w:val="24"/>
        </w:rPr>
        <w:t xml:space="preserve"> </w:t>
      </w:r>
      <w:r w:rsidRPr="00871BC1">
        <w:rPr>
          <w:sz w:val="24"/>
          <w:szCs w:val="24"/>
        </w:rPr>
        <w:t>failure in sample collection, sample preparation or analytical measurement. Invalidated results</w:t>
      </w:r>
      <w:r w:rsidR="00871BC1" w:rsidRPr="00871BC1">
        <w:rPr>
          <w:sz w:val="24"/>
          <w:szCs w:val="24"/>
        </w:rPr>
        <w:t xml:space="preserve"> </w:t>
      </w:r>
      <w:r w:rsidRPr="00871BC1">
        <w:rPr>
          <w:sz w:val="24"/>
          <w:szCs w:val="24"/>
        </w:rPr>
        <w:t>shall not be used in determining compliance with the PFAS6 MCL established in 310 CMR</w:t>
      </w:r>
      <w:r w:rsidR="00871BC1" w:rsidRPr="00871BC1">
        <w:rPr>
          <w:sz w:val="24"/>
          <w:szCs w:val="24"/>
        </w:rPr>
        <w:t xml:space="preserve"> </w:t>
      </w:r>
      <w:r w:rsidRPr="00871BC1">
        <w:rPr>
          <w:sz w:val="24"/>
          <w:szCs w:val="24"/>
        </w:rPr>
        <w:t>22.07G(3)(d). Unless waived in writing by the Department as unnecessary (</w:t>
      </w:r>
      <w:r w:rsidRPr="00871BC1">
        <w:rPr>
          <w:i/>
          <w:iCs/>
          <w:sz w:val="24"/>
          <w:szCs w:val="24"/>
        </w:rPr>
        <w:t>e.g</w:t>
      </w:r>
      <w:r w:rsidRPr="00871BC1">
        <w:rPr>
          <w:sz w:val="24"/>
          <w:szCs w:val="24"/>
        </w:rPr>
        <w:t>., based upon the</w:t>
      </w:r>
      <w:r w:rsidR="00871BC1" w:rsidRPr="00871BC1">
        <w:rPr>
          <w:sz w:val="24"/>
          <w:szCs w:val="24"/>
        </w:rPr>
        <w:t xml:space="preserve"> </w:t>
      </w:r>
      <w:r w:rsidRPr="00871BC1">
        <w:rPr>
          <w:sz w:val="24"/>
          <w:szCs w:val="24"/>
        </w:rPr>
        <w:t>frequency of ongoing monitoring), a Supplier of Water shall collect and analyze a replacement</w:t>
      </w:r>
      <w:r w:rsidR="00871BC1" w:rsidRPr="00871BC1">
        <w:rPr>
          <w:sz w:val="24"/>
          <w:szCs w:val="24"/>
        </w:rPr>
        <w:t xml:space="preserve"> </w:t>
      </w:r>
      <w:r w:rsidRPr="00871BC1">
        <w:rPr>
          <w:sz w:val="24"/>
          <w:szCs w:val="24"/>
        </w:rPr>
        <w:t>sample for each invalidated result of a PFAS listed in 310 CMR 22.07G(3)(c).</w:t>
      </w:r>
      <w:r w:rsidR="00871BC1" w:rsidRPr="00871BC1">
        <w:rPr>
          <w:sz w:val="24"/>
          <w:szCs w:val="24"/>
        </w:rPr>
        <w:br w:type="page"/>
      </w:r>
    </w:p>
    <w:p w14:paraId="07DB4129" w14:textId="157039C6" w:rsidR="001E76FD" w:rsidRPr="004826BB" w:rsidRDefault="001E76FD" w:rsidP="004826BB">
      <w:pPr>
        <w:autoSpaceDE w:val="0"/>
        <w:autoSpaceDN w:val="0"/>
        <w:adjustRightInd w:val="0"/>
        <w:jc w:val="center"/>
        <w:rPr>
          <w:sz w:val="24"/>
          <w:szCs w:val="24"/>
        </w:rPr>
      </w:pPr>
      <w:r w:rsidRPr="004826BB">
        <w:rPr>
          <w:sz w:val="24"/>
          <w:szCs w:val="24"/>
        </w:rPr>
        <w:lastRenderedPageBreak/>
        <w:t>310 CMR: DEPARTMENT OF ENVIRONMENTAL PROTECTION</w:t>
      </w:r>
    </w:p>
    <w:p w14:paraId="0D650D37" w14:textId="78B8B7DE" w:rsidR="004826BB" w:rsidRPr="00192866" w:rsidRDefault="004826BB" w:rsidP="00192866">
      <w:pPr>
        <w:autoSpaceDE w:val="0"/>
        <w:autoSpaceDN w:val="0"/>
        <w:adjustRightInd w:val="0"/>
        <w:rPr>
          <w:sz w:val="20"/>
          <w:szCs w:val="20"/>
        </w:rPr>
      </w:pPr>
    </w:p>
    <w:p w14:paraId="6172A506" w14:textId="77777777" w:rsidR="004826BB" w:rsidRPr="00192866" w:rsidRDefault="004826BB" w:rsidP="00192866">
      <w:pPr>
        <w:autoSpaceDE w:val="0"/>
        <w:autoSpaceDN w:val="0"/>
        <w:adjustRightInd w:val="0"/>
        <w:rPr>
          <w:sz w:val="20"/>
          <w:szCs w:val="20"/>
        </w:rPr>
      </w:pPr>
    </w:p>
    <w:p w14:paraId="015F7DC4" w14:textId="0631CE3F" w:rsidR="001E76FD" w:rsidRPr="004826BB" w:rsidRDefault="001E76FD" w:rsidP="00192866">
      <w:pPr>
        <w:autoSpaceDE w:val="0"/>
        <w:autoSpaceDN w:val="0"/>
        <w:adjustRightInd w:val="0"/>
        <w:rPr>
          <w:sz w:val="24"/>
          <w:szCs w:val="24"/>
        </w:rPr>
      </w:pPr>
      <w:r w:rsidRPr="004826BB">
        <w:rPr>
          <w:sz w:val="24"/>
          <w:szCs w:val="24"/>
        </w:rPr>
        <w:t>22.07G: continued</w:t>
      </w:r>
    </w:p>
    <w:p w14:paraId="3FC1EC0D" w14:textId="77777777" w:rsidR="004826BB" w:rsidRPr="00192866" w:rsidRDefault="004826BB" w:rsidP="00192866">
      <w:pPr>
        <w:autoSpaceDE w:val="0"/>
        <w:autoSpaceDN w:val="0"/>
        <w:adjustRightInd w:val="0"/>
        <w:rPr>
          <w:sz w:val="20"/>
          <w:szCs w:val="20"/>
        </w:rPr>
      </w:pPr>
    </w:p>
    <w:p w14:paraId="52F25FCC" w14:textId="6C0BDA6B" w:rsidR="001E76FD" w:rsidRPr="004826BB" w:rsidRDefault="001E76FD" w:rsidP="00BB750B">
      <w:pPr>
        <w:pStyle w:val="ListParagraph"/>
        <w:numPr>
          <w:ilvl w:val="0"/>
          <w:numId w:val="1000"/>
        </w:numPr>
        <w:tabs>
          <w:tab w:val="left" w:pos="1440"/>
        </w:tabs>
        <w:autoSpaceDE w:val="0"/>
        <w:autoSpaceDN w:val="0"/>
        <w:adjustRightInd w:val="0"/>
        <w:ind w:left="1008" w:firstLine="0"/>
        <w:rPr>
          <w:sz w:val="24"/>
          <w:szCs w:val="24"/>
        </w:rPr>
      </w:pPr>
      <w:r w:rsidRPr="004826BB">
        <w:rPr>
          <w:sz w:val="24"/>
          <w:szCs w:val="24"/>
          <w:u w:val="single"/>
        </w:rPr>
        <w:t>PFAS6 Compliance Calculations</w:t>
      </w:r>
      <w:r w:rsidRPr="004826BB">
        <w:rPr>
          <w:sz w:val="24"/>
          <w:szCs w:val="24"/>
        </w:rPr>
        <w:t>. Compliance with the PFAS6 MCL established in</w:t>
      </w:r>
      <w:r w:rsidR="004826BB" w:rsidRPr="004826BB">
        <w:rPr>
          <w:sz w:val="24"/>
          <w:szCs w:val="24"/>
        </w:rPr>
        <w:t xml:space="preserve"> </w:t>
      </w:r>
      <w:r w:rsidRPr="004826BB">
        <w:rPr>
          <w:sz w:val="24"/>
          <w:szCs w:val="24"/>
        </w:rPr>
        <w:t>310 CMR 22.07G(3)(d) shall be determined in accordance with the requirements set forth below.</w:t>
      </w:r>
      <w:r w:rsidR="004826BB" w:rsidRPr="004826BB">
        <w:rPr>
          <w:sz w:val="24"/>
          <w:szCs w:val="24"/>
        </w:rPr>
        <w:t xml:space="preserve"> </w:t>
      </w:r>
      <w:r w:rsidRPr="004826BB">
        <w:rPr>
          <w:sz w:val="24"/>
          <w:szCs w:val="24"/>
        </w:rPr>
        <w:t>If any one sampling location is in violation, then the Public Water System shall be considered</w:t>
      </w:r>
      <w:r w:rsidR="004826BB" w:rsidRPr="004826BB">
        <w:rPr>
          <w:sz w:val="24"/>
          <w:szCs w:val="24"/>
        </w:rPr>
        <w:t xml:space="preserve"> </w:t>
      </w:r>
      <w:r w:rsidRPr="004826BB">
        <w:rPr>
          <w:sz w:val="24"/>
          <w:szCs w:val="24"/>
        </w:rPr>
        <w:t>in violation.</w:t>
      </w:r>
    </w:p>
    <w:p w14:paraId="5D8DAED8" w14:textId="6CACF937" w:rsidR="001E76FD" w:rsidRPr="0058242F" w:rsidRDefault="001E76FD" w:rsidP="00287DA4">
      <w:pPr>
        <w:pStyle w:val="ListParagraph"/>
        <w:numPr>
          <w:ilvl w:val="0"/>
          <w:numId w:val="1001"/>
        </w:numPr>
        <w:tabs>
          <w:tab w:val="left" w:pos="1584"/>
        </w:tabs>
        <w:autoSpaceDE w:val="0"/>
        <w:autoSpaceDN w:val="0"/>
        <w:adjustRightInd w:val="0"/>
        <w:ind w:left="1152" w:firstLine="0"/>
        <w:rPr>
          <w:sz w:val="24"/>
          <w:szCs w:val="24"/>
        </w:rPr>
      </w:pPr>
      <w:r w:rsidRPr="0058242F">
        <w:rPr>
          <w:sz w:val="24"/>
          <w:szCs w:val="24"/>
        </w:rPr>
        <w:t>For a Supplier of Water monitoring monthly, compliance shall be determined once per</w:t>
      </w:r>
      <w:r w:rsidR="0058242F" w:rsidRPr="0058242F">
        <w:rPr>
          <w:sz w:val="24"/>
          <w:szCs w:val="24"/>
        </w:rPr>
        <w:t xml:space="preserve"> </w:t>
      </w:r>
      <w:r w:rsidRPr="0058242F">
        <w:rPr>
          <w:sz w:val="24"/>
          <w:szCs w:val="24"/>
        </w:rPr>
        <w:t>calendar quarter:</w:t>
      </w:r>
    </w:p>
    <w:p w14:paraId="1F797E0C" w14:textId="4F1732BF" w:rsidR="001E76FD" w:rsidRPr="0058242F" w:rsidRDefault="001E76FD" w:rsidP="00287DA4">
      <w:pPr>
        <w:pStyle w:val="ListParagraph"/>
        <w:numPr>
          <w:ilvl w:val="0"/>
          <w:numId w:val="1002"/>
        </w:numPr>
        <w:tabs>
          <w:tab w:val="left" w:pos="2016"/>
        </w:tabs>
        <w:autoSpaceDE w:val="0"/>
        <w:autoSpaceDN w:val="0"/>
        <w:adjustRightInd w:val="0"/>
        <w:ind w:left="1728" w:firstLine="0"/>
        <w:rPr>
          <w:sz w:val="24"/>
          <w:szCs w:val="24"/>
        </w:rPr>
      </w:pPr>
      <w:r w:rsidRPr="0058242F">
        <w:rPr>
          <w:sz w:val="24"/>
          <w:szCs w:val="24"/>
        </w:rPr>
        <w:t>after completing a full quarter of monthly monitoring; and</w:t>
      </w:r>
    </w:p>
    <w:p w14:paraId="7729D1AE" w14:textId="64D70CCC" w:rsidR="001E76FD" w:rsidRPr="00472AE6" w:rsidRDefault="001E76FD" w:rsidP="00287DA4">
      <w:pPr>
        <w:pStyle w:val="ListParagraph"/>
        <w:numPr>
          <w:ilvl w:val="0"/>
          <w:numId w:val="1002"/>
        </w:numPr>
        <w:tabs>
          <w:tab w:val="left" w:pos="2016"/>
        </w:tabs>
        <w:autoSpaceDE w:val="0"/>
        <w:autoSpaceDN w:val="0"/>
        <w:adjustRightInd w:val="0"/>
        <w:ind w:left="1728" w:firstLine="0"/>
        <w:rPr>
          <w:sz w:val="24"/>
          <w:szCs w:val="24"/>
        </w:rPr>
      </w:pPr>
      <w:r w:rsidRPr="00472AE6">
        <w:rPr>
          <w:sz w:val="24"/>
          <w:szCs w:val="24"/>
        </w:rPr>
        <w:t>by calculating a quarterly average of that quarter's monthly compliance monitoring</w:t>
      </w:r>
      <w:r w:rsidR="00472AE6" w:rsidRPr="00472AE6">
        <w:rPr>
          <w:sz w:val="24"/>
          <w:szCs w:val="24"/>
        </w:rPr>
        <w:t xml:space="preserve"> </w:t>
      </w:r>
      <w:r w:rsidRPr="00472AE6">
        <w:rPr>
          <w:sz w:val="24"/>
          <w:szCs w:val="24"/>
        </w:rPr>
        <w:t>result(s) at each Sampling Point, or alternate sampling location required by the</w:t>
      </w:r>
      <w:r w:rsidR="00472AE6" w:rsidRPr="00472AE6">
        <w:rPr>
          <w:sz w:val="24"/>
          <w:szCs w:val="24"/>
        </w:rPr>
        <w:t xml:space="preserve"> </w:t>
      </w:r>
      <w:r w:rsidRPr="00472AE6">
        <w:rPr>
          <w:sz w:val="24"/>
          <w:szCs w:val="24"/>
        </w:rPr>
        <w:t>Department pursuant to 310 CMR 22.07G(4)(a) or (b), rounded to the same number of</w:t>
      </w:r>
      <w:r w:rsidR="00472AE6" w:rsidRPr="00472AE6">
        <w:rPr>
          <w:sz w:val="24"/>
          <w:szCs w:val="24"/>
        </w:rPr>
        <w:t xml:space="preserve"> </w:t>
      </w:r>
      <w:r w:rsidRPr="00472AE6">
        <w:rPr>
          <w:sz w:val="24"/>
          <w:szCs w:val="24"/>
        </w:rPr>
        <w:t>significant figures as the Maximum Contaminant Level.</w:t>
      </w:r>
    </w:p>
    <w:p w14:paraId="1A5E08E2" w14:textId="336D0049" w:rsidR="001E76FD" w:rsidRPr="004826BB" w:rsidRDefault="001E76FD" w:rsidP="00287DA4">
      <w:pPr>
        <w:pStyle w:val="ListParagraph"/>
        <w:numPr>
          <w:ilvl w:val="0"/>
          <w:numId w:val="1001"/>
        </w:numPr>
        <w:tabs>
          <w:tab w:val="left" w:pos="1584"/>
        </w:tabs>
        <w:autoSpaceDE w:val="0"/>
        <w:autoSpaceDN w:val="0"/>
        <w:adjustRightInd w:val="0"/>
        <w:ind w:left="1152" w:firstLine="0"/>
        <w:rPr>
          <w:sz w:val="24"/>
          <w:szCs w:val="24"/>
        </w:rPr>
      </w:pPr>
      <w:r w:rsidRPr="004826BB">
        <w:rPr>
          <w:sz w:val="24"/>
          <w:szCs w:val="24"/>
        </w:rPr>
        <w:t>The quarterly average calculation requirements are as follows:</w:t>
      </w:r>
    </w:p>
    <w:p w14:paraId="3D48D3E1" w14:textId="38625EE6" w:rsidR="001E76FD" w:rsidRPr="00623CBE" w:rsidRDefault="001E76FD" w:rsidP="00287DA4">
      <w:pPr>
        <w:pStyle w:val="ListParagraph"/>
        <w:numPr>
          <w:ilvl w:val="0"/>
          <w:numId w:val="1003"/>
        </w:numPr>
        <w:tabs>
          <w:tab w:val="left" w:pos="2016"/>
        </w:tabs>
        <w:autoSpaceDE w:val="0"/>
        <w:autoSpaceDN w:val="0"/>
        <w:adjustRightInd w:val="0"/>
        <w:ind w:left="1728" w:firstLine="0"/>
        <w:rPr>
          <w:sz w:val="24"/>
          <w:szCs w:val="24"/>
        </w:rPr>
      </w:pPr>
      <w:r w:rsidRPr="00623CBE">
        <w:rPr>
          <w:sz w:val="24"/>
          <w:szCs w:val="24"/>
        </w:rPr>
        <w:t>If multiple compliance monitoring samples are collected in any given calendar</w:t>
      </w:r>
      <w:r w:rsidR="00472AE6" w:rsidRPr="00623CBE">
        <w:rPr>
          <w:sz w:val="24"/>
          <w:szCs w:val="24"/>
        </w:rPr>
        <w:t xml:space="preserve"> </w:t>
      </w:r>
      <w:r w:rsidRPr="00623CBE">
        <w:rPr>
          <w:sz w:val="24"/>
          <w:szCs w:val="24"/>
        </w:rPr>
        <w:t>month, then the results of those samples shall be averaged in order to establish a single</w:t>
      </w:r>
      <w:r w:rsidR="00472AE6" w:rsidRPr="00623CBE">
        <w:rPr>
          <w:sz w:val="24"/>
          <w:szCs w:val="24"/>
        </w:rPr>
        <w:t xml:space="preserve"> </w:t>
      </w:r>
      <w:r w:rsidRPr="00623CBE">
        <w:rPr>
          <w:sz w:val="24"/>
          <w:szCs w:val="24"/>
        </w:rPr>
        <w:t>representative contaminant concentration for that calendar month. (An initial sample and</w:t>
      </w:r>
      <w:r w:rsidR="00472AE6" w:rsidRPr="00623CBE">
        <w:rPr>
          <w:sz w:val="24"/>
          <w:szCs w:val="24"/>
        </w:rPr>
        <w:t xml:space="preserve"> </w:t>
      </w:r>
      <w:r w:rsidRPr="00623CBE">
        <w:rPr>
          <w:sz w:val="24"/>
          <w:szCs w:val="24"/>
        </w:rPr>
        <w:t>a Confirmatory Sample collected in the same month, shall be averaged both for the</w:t>
      </w:r>
      <w:r w:rsidR="00472AE6" w:rsidRPr="00623CBE">
        <w:rPr>
          <w:sz w:val="24"/>
          <w:szCs w:val="24"/>
        </w:rPr>
        <w:t xml:space="preserve"> </w:t>
      </w:r>
      <w:r w:rsidRPr="00623CBE">
        <w:rPr>
          <w:sz w:val="24"/>
          <w:szCs w:val="24"/>
        </w:rPr>
        <w:t>purpose of determining whether additional monthly samples would be required, and for</w:t>
      </w:r>
      <w:r w:rsidR="00472AE6" w:rsidRPr="00623CBE">
        <w:rPr>
          <w:sz w:val="24"/>
          <w:szCs w:val="24"/>
        </w:rPr>
        <w:t xml:space="preserve"> </w:t>
      </w:r>
      <w:r w:rsidRPr="00623CBE">
        <w:rPr>
          <w:sz w:val="24"/>
          <w:szCs w:val="24"/>
        </w:rPr>
        <w:t>the purpose of determining the representative contaminant concentration for the first</w:t>
      </w:r>
      <w:r w:rsidR="00472AE6" w:rsidRPr="00623CBE">
        <w:rPr>
          <w:sz w:val="24"/>
          <w:szCs w:val="24"/>
        </w:rPr>
        <w:t xml:space="preserve"> </w:t>
      </w:r>
      <w:r w:rsidRPr="00623CBE">
        <w:rPr>
          <w:sz w:val="24"/>
          <w:szCs w:val="24"/>
        </w:rPr>
        <w:t>month. An initial sample and a Confirmatory Sample collected in different months shall</w:t>
      </w:r>
      <w:r w:rsidR="00472AE6" w:rsidRPr="00623CBE">
        <w:rPr>
          <w:sz w:val="24"/>
          <w:szCs w:val="24"/>
        </w:rPr>
        <w:t xml:space="preserve"> </w:t>
      </w:r>
      <w:r w:rsidRPr="00623CBE">
        <w:rPr>
          <w:sz w:val="24"/>
          <w:szCs w:val="24"/>
        </w:rPr>
        <w:t>still be averaged for the purpose of determining whether additional monthly samples</w:t>
      </w:r>
      <w:r w:rsidR="00472AE6" w:rsidRPr="00623CBE">
        <w:rPr>
          <w:sz w:val="24"/>
          <w:szCs w:val="24"/>
        </w:rPr>
        <w:t xml:space="preserve"> </w:t>
      </w:r>
      <w:r w:rsidRPr="00623CBE">
        <w:rPr>
          <w:sz w:val="24"/>
          <w:szCs w:val="24"/>
        </w:rPr>
        <w:t>would be required, but shall not be averaged for the purpose of determining the</w:t>
      </w:r>
      <w:r w:rsidR="00472AE6" w:rsidRPr="00623CBE">
        <w:rPr>
          <w:sz w:val="24"/>
          <w:szCs w:val="24"/>
        </w:rPr>
        <w:t xml:space="preserve"> </w:t>
      </w:r>
      <w:r w:rsidRPr="00623CBE">
        <w:rPr>
          <w:sz w:val="24"/>
          <w:szCs w:val="24"/>
        </w:rPr>
        <w:t>representative contaminant concentration for the first month. Instead, because the</w:t>
      </w:r>
      <w:r w:rsidR="00472AE6" w:rsidRPr="00623CBE">
        <w:rPr>
          <w:sz w:val="24"/>
          <w:szCs w:val="24"/>
        </w:rPr>
        <w:t xml:space="preserve"> </w:t>
      </w:r>
      <w:r w:rsidRPr="00623CBE">
        <w:rPr>
          <w:sz w:val="24"/>
          <w:szCs w:val="24"/>
        </w:rPr>
        <w:t>Confirmatory Sample was collected in the second month, on the one hand if no other</w:t>
      </w:r>
      <w:r w:rsidR="00623CBE" w:rsidRPr="00623CBE">
        <w:rPr>
          <w:sz w:val="24"/>
          <w:szCs w:val="24"/>
        </w:rPr>
        <w:t xml:space="preserve"> </w:t>
      </w:r>
      <w:r w:rsidRPr="00623CBE">
        <w:rPr>
          <w:sz w:val="24"/>
          <w:szCs w:val="24"/>
        </w:rPr>
        <w:t>sample was collected in the second month, then it shall serve as the second month's</w:t>
      </w:r>
      <w:r w:rsidR="00623CBE" w:rsidRPr="00623CBE">
        <w:rPr>
          <w:sz w:val="24"/>
          <w:szCs w:val="24"/>
        </w:rPr>
        <w:t xml:space="preserve"> </w:t>
      </w:r>
      <w:r w:rsidRPr="00623CBE">
        <w:rPr>
          <w:sz w:val="24"/>
          <w:szCs w:val="24"/>
        </w:rPr>
        <w:t>representative contaminant concentration. But, on the other hand if a second sample was</w:t>
      </w:r>
      <w:r w:rsidR="00623CBE" w:rsidRPr="00623CBE">
        <w:rPr>
          <w:sz w:val="24"/>
          <w:szCs w:val="24"/>
        </w:rPr>
        <w:t xml:space="preserve"> </w:t>
      </w:r>
      <w:r w:rsidRPr="00623CBE">
        <w:rPr>
          <w:sz w:val="24"/>
          <w:szCs w:val="24"/>
        </w:rPr>
        <w:t>collected during the second month, then there would be two samples collected during the</w:t>
      </w:r>
      <w:r w:rsidR="00623CBE" w:rsidRPr="00623CBE">
        <w:rPr>
          <w:sz w:val="24"/>
          <w:szCs w:val="24"/>
        </w:rPr>
        <w:t xml:space="preserve"> </w:t>
      </w:r>
      <w:r w:rsidRPr="00623CBE">
        <w:rPr>
          <w:sz w:val="24"/>
          <w:szCs w:val="24"/>
        </w:rPr>
        <w:t>second month, namely the Confirmatory Sample (for the first month's initial sample) and</w:t>
      </w:r>
      <w:r w:rsidR="00623CBE" w:rsidRPr="00623CBE">
        <w:rPr>
          <w:sz w:val="24"/>
          <w:szCs w:val="24"/>
        </w:rPr>
        <w:t xml:space="preserve"> </w:t>
      </w:r>
      <w:r w:rsidRPr="00623CBE">
        <w:rPr>
          <w:sz w:val="24"/>
          <w:szCs w:val="24"/>
        </w:rPr>
        <w:t>the second month's sample, and they shall be averaged together to determine the second</w:t>
      </w:r>
      <w:r w:rsidR="00623CBE" w:rsidRPr="00623CBE">
        <w:rPr>
          <w:sz w:val="24"/>
          <w:szCs w:val="24"/>
        </w:rPr>
        <w:t xml:space="preserve"> </w:t>
      </w:r>
      <w:r w:rsidRPr="00623CBE">
        <w:rPr>
          <w:sz w:val="24"/>
          <w:szCs w:val="24"/>
        </w:rPr>
        <w:t>month's representative contaminant concentration.)</w:t>
      </w:r>
    </w:p>
    <w:p w14:paraId="32B7EE7A" w14:textId="3E7FB3AF" w:rsidR="001E76FD" w:rsidRPr="00623CBE" w:rsidRDefault="001E76FD" w:rsidP="00287DA4">
      <w:pPr>
        <w:pStyle w:val="ListParagraph"/>
        <w:numPr>
          <w:ilvl w:val="0"/>
          <w:numId w:val="1003"/>
        </w:numPr>
        <w:tabs>
          <w:tab w:val="left" w:pos="2016"/>
        </w:tabs>
        <w:autoSpaceDE w:val="0"/>
        <w:autoSpaceDN w:val="0"/>
        <w:adjustRightInd w:val="0"/>
        <w:ind w:left="1728" w:firstLine="0"/>
        <w:rPr>
          <w:sz w:val="24"/>
          <w:szCs w:val="24"/>
        </w:rPr>
      </w:pPr>
      <w:r w:rsidRPr="00623CBE">
        <w:rPr>
          <w:sz w:val="24"/>
          <w:szCs w:val="24"/>
        </w:rPr>
        <w:t>If any Supplier of Water fails to collect the required number of samples, compliance</w:t>
      </w:r>
      <w:r w:rsidR="00623CBE" w:rsidRPr="00623CBE">
        <w:rPr>
          <w:sz w:val="24"/>
          <w:szCs w:val="24"/>
        </w:rPr>
        <w:t xml:space="preserve"> </w:t>
      </w:r>
      <w:r w:rsidRPr="00623CBE">
        <w:rPr>
          <w:sz w:val="24"/>
          <w:szCs w:val="24"/>
        </w:rPr>
        <w:t>shall be determined based on the total number of samples collected. (</w:t>
      </w:r>
      <w:r w:rsidRPr="0003657F">
        <w:rPr>
          <w:i/>
          <w:iCs/>
          <w:sz w:val="24"/>
          <w:szCs w:val="24"/>
        </w:rPr>
        <w:t>E.g</w:t>
      </w:r>
      <w:r w:rsidRPr="00623CBE">
        <w:rPr>
          <w:sz w:val="24"/>
          <w:szCs w:val="24"/>
        </w:rPr>
        <w:t>., if no samples</w:t>
      </w:r>
      <w:r w:rsidR="00623CBE" w:rsidRPr="00623CBE">
        <w:rPr>
          <w:sz w:val="24"/>
          <w:szCs w:val="24"/>
        </w:rPr>
        <w:t xml:space="preserve"> </w:t>
      </w:r>
      <w:r w:rsidRPr="00623CBE">
        <w:rPr>
          <w:sz w:val="24"/>
          <w:szCs w:val="24"/>
        </w:rPr>
        <w:t>were collected in one month, then the quarterly average would be the sum of the</w:t>
      </w:r>
      <w:r w:rsidR="00623CBE" w:rsidRPr="00623CBE">
        <w:rPr>
          <w:sz w:val="24"/>
          <w:szCs w:val="24"/>
        </w:rPr>
        <w:t xml:space="preserve"> </w:t>
      </w:r>
      <w:r w:rsidRPr="00623CBE">
        <w:rPr>
          <w:sz w:val="24"/>
          <w:szCs w:val="24"/>
        </w:rPr>
        <w:t>representative contaminant concentrations from the other two months, divided by two.)</w:t>
      </w:r>
    </w:p>
    <w:p w14:paraId="42E1B653" w14:textId="5234D6EF" w:rsidR="001E76FD" w:rsidRPr="00623CBE" w:rsidRDefault="001E76FD" w:rsidP="00287DA4">
      <w:pPr>
        <w:pStyle w:val="ListParagraph"/>
        <w:numPr>
          <w:ilvl w:val="0"/>
          <w:numId w:val="1003"/>
        </w:numPr>
        <w:tabs>
          <w:tab w:val="left" w:pos="2016"/>
        </w:tabs>
        <w:autoSpaceDE w:val="0"/>
        <w:autoSpaceDN w:val="0"/>
        <w:adjustRightInd w:val="0"/>
        <w:ind w:left="1728" w:firstLine="0"/>
        <w:rPr>
          <w:sz w:val="24"/>
          <w:szCs w:val="24"/>
        </w:rPr>
      </w:pPr>
      <w:r w:rsidRPr="00623CBE">
        <w:rPr>
          <w:sz w:val="24"/>
          <w:szCs w:val="24"/>
        </w:rPr>
        <w:t>If an analytical result is less than the MRL, then the quarterly average shall be</w:t>
      </w:r>
      <w:r w:rsidR="00623CBE" w:rsidRPr="00623CBE">
        <w:rPr>
          <w:sz w:val="24"/>
          <w:szCs w:val="24"/>
        </w:rPr>
        <w:t xml:space="preserve"> </w:t>
      </w:r>
      <w:r w:rsidRPr="00623CBE">
        <w:rPr>
          <w:sz w:val="24"/>
          <w:szCs w:val="24"/>
        </w:rPr>
        <w:t>calculated using zero as the concentration for that PFAS.</w:t>
      </w:r>
    </w:p>
    <w:p w14:paraId="3A7A8D08" w14:textId="07426CEE" w:rsidR="001E76FD" w:rsidRPr="00ED5609" w:rsidRDefault="001E76FD" w:rsidP="00287DA4">
      <w:pPr>
        <w:pStyle w:val="ListParagraph"/>
        <w:numPr>
          <w:ilvl w:val="0"/>
          <w:numId w:val="1001"/>
        </w:numPr>
        <w:tabs>
          <w:tab w:val="left" w:pos="1584"/>
        </w:tabs>
        <w:autoSpaceDE w:val="0"/>
        <w:autoSpaceDN w:val="0"/>
        <w:adjustRightInd w:val="0"/>
        <w:ind w:left="1152" w:firstLine="0"/>
        <w:rPr>
          <w:sz w:val="24"/>
          <w:szCs w:val="24"/>
        </w:rPr>
      </w:pPr>
      <w:r w:rsidRPr="00ED5609">
        <w:rPr>
          <w:sz w:val="24"/>
          <w:szCs w:val="24"/>
        </w:rPr>
        <w:t>A Supplier of Water monitoring quarterly or less frequently who detects PFAS6 within</w:t>
      </w:r>
      <w:r w:rsidR="00ED5609" w:rsidRPr="00ED5609">
        <w:rPr>
          <w:sz w:val="24"/>
          <w:szCs w:val="24"/>
        </w:rPr>
        <w:t xml:space="preserve"> </w:t>
      </w:r>
      <w:r w:rsidRPr="00ED5609">
        <w:rPr>
          <w:sz w:val="24"/>
          <w:szCs w:val="24"/>
        </w:rPr>
        <w:t>its Public Water System shall not be in violation, except as provided in 310 CMR</w:t>
      </w:r>
      <w:r w:rsidR="00ED5609" w:rsidRPr="00ED5609">
        <w:rPr>
          <w:sz w:val="24"/>
          <w:szCs w:val="24"/>
        </w:rPr>
        <w:t xml:space="preserve"> </w:t>
      </w:r>
      <w:r w:rsidRPr="00ED5609">
        <w:rPr>
          <w:sz w:val="24"/>
          <w:szCs w:val="24"/>
        </w:rPr>
        <w:t>22.07G(10)(d), until:</w:t>
      </w:r>
    </w:p>
    <w:p w14:paraId="0A814094" w14:textId="78D070DA" w:rsidR="001E76FD" w:rsidRPr="004826BB" w:rsidRDefault="001E76FD" w:rsidP="00287DA4">
      <w:pPr>
        <w:pStyle w:val="ListParagraph"/>
        <w:numPr>
          <w:ilvl w:val="0"/>
          <w:numId w:val="1004"/>
        </w:numPr>
        <w:tabs>
          <w:tab w:val="left" w:pos="2160"/>
        </w:tabs>
        <w:autoSpaceDE w:val="0"/>
        <w:autoSpaceDN w:val="0"/>
        <w:adjustRightInd w:val="0"/>
        <w:ind w:left="1728" w:firstLine="0"/>
        <w:rPr>
          <w:sz w:val="24"/>
          <w:szCs w:val="24"/>
        </w:rPr>
      </w:pPr>
      <w:r w:rsidRPr="004826BB">
        <w:rPr>
          <w:sz w:val="24"/>
          <w:szCs w:val="24"/>
        </w:rPr>
        <w:t>it has conducted monthly sampling pursuant to 310 CMR 22.07G(8)(b); and</w:t>
      </w:r>
    </w:p>
    <w:p w14:paraId="1158C863" w14:textId="45223D57" w:rsidR="001E76FD" w:rsidRPr="00ED5609" w:rsidRDefault="001E76FD" w:rsidP="00287DA4">
      <w:pPr>
        <w:pStyle w:val="ListParagraph"/>
        <w:numPr>
          <w:ilvl w:val="0"/>
          <w:numId w:val="1004"/>
        </w:numPr>
        <w:tabs>
          <w:tab w:val="left" w:pos="2160"/>
        </w:tabs>
        <w:autoSpaceDE w:val="0"/>
        <w:autoSpaceDN w:val="0"/>
        <w:adjustRightInd w:val="0"/>
        <w:ind w:left="1728" w:firstLine="0"/>
        <w:rPr>
          <w:sz w:val="24"/>
          <w:szCs w:val="24"/>
        </w:rPr>
      </w:pPr>
      <w:r w:rsidRPr="00ED5609">
        <w:rPr>
          <w:sz w:val="24"/>
          <w:szCs w:val="24"/>
        </w:rPr>
        <w:t>a calculation made in accordance with 310 CMR 22.07G(10)(a) and (b) would result</w:t>
      </w:r>
      <w:r w:rsidR="00ED5609" w:rsidRPr="00ED5609">
        <w:rPr>
          <w:sz w:val="24"/>
          <w:szCs w:val="24"/>
        </w:rPr>
        <w:t xml:space="preserve"> </w:t>
      </w:r>
      <w:r w:rsidRPr="00ED5609">
        <w:rPr>
          <w:sz w:val="24"/>
          <w:szCs w:val="24"/>
        </w:rPr>
        <w:t>in a violation.</w:t>
      </w:r>
    </w:p>
    <w:p w14:paraId="7EC13D50" w14:textId="5A051C83" w:rsidR="001E76FD" w:rsidRDefault="001E76FD" w:rsidP="00287DA4">
      <w:pPr>
        <w:pStyle w:val="ListParagraph"/>
        <w:numPr>
          <w:ilvl w:val="0"/>
          <w:numId w:val="1001"/>
        </w:numPr>
        <w:tabs>
          <w:tab w:val="left" w:pos="1584"/>
        </w:tabs>
        <w:autoSpaceDE w:val="0"/>
        <w:autoSpaceDN w:val="0"/>
        <w:adjustRightInd w:val="0"/>
        <w:ind w:left="1152" w:firstLine="0"/>
        <w:rPr>
          <w:sz w:val="24"/>
          <w:szCs w:val="24"/>
        </w:rPr>
      </w:pPr>
      <w:r w:rsidRPr="00ED5609">
        <w:rPr>
          <w:sz w:val="24"/>
          <w:szCs w:val="24"/>
        </w:rPr>
        <w:t>If any sample result would cause the quarterly average to exceed the PFAS6 MCL at any</w:t>
      </w:r>
      <w:r w:rsidR="00ED5609" w:rsidRPr="00ED5609">
        <w:rPr>
          <w:sz w:val="24"/>
          <w:szCs w:val="24"/>
        </w:rPr>
        <w:t xml:space="preserve"> </w:t>
      </w:r>
      <w:r w:rsidRPr="00ED5609">
        <w:rPr>
          <w:sz w:val="24"/>
          <w:szCs w:val="24"/>
        </w:rPr>
        <w:t>Sampling Point, or alternate sampling location required by the Department pursuant to</w:t>
      </w:r>
      <w:r w:rsidR="00ED5609" w:rsidRPr="00ED5609">
        <w:rPr>
          <w:sz w:val="24"/>
          <w:szCs w:val="24"/>
        </w:rPr>
        <w:t xml:space="preserve"> </w:t>
      </w:r>
      <w:r w:rsidRPr="00ED5609">
        <w:rPr>
          <w:sz w:val="24"/>
          <w:szCs w:val="24"/>
        </w:rPr>
        <w:t>310 CMR 22.07G(4)(a) or (b), then the Public Water System shall be in violation</w:t>
      </w:r>
      <w:r w:rsidR="00ED5609" w:rsidRPr="00ED5609">
        <w:rPr>
          <w:sz w:val="24"/>
          <w:szCs w:val="24"/>
        </w:rPr>
        <w:t xml:space="preserve"> </w:t>
      </w:r>
      <w:r w:rsidRPr="00ED5609">
        <w:rPr>
          <w:sz w:val="24"/>
          <w:szCs w:val="24"/>
        </w:rPr>
        <w:t>immediately and shall be subject to the requirements 310 CMR 22.07G(11).</w:t>
      </w:r>
    </w:p>
    <w:p w14:paraId="1123A350" w14:textId="77777777" w:rsidR="00ED5609" w:rsidRPr="00ED5609" w:rsidRDefault="00ED5609" w:rsidP="00192866">
      <w:pPr>
        <w:autoSpaceDE w:val="0"/>
        <w:autoSpaceDN w:val="0"/>
        <w:adjustRightInd w:val="0"/>
        <w:rPr>
          <w:sz w:val="24"/>
          <w:szCs w:val="24"/>
        </w:rPr>
      </w:pPr>
    </w:p>
    <w:p w14:paraId="490F0D1F" w14:textId="7200FBAA" w:rsidR="001E76FD" w:rsidRPr="00BB750B" w:rsidRDefault="001E76FD">
      <w:pPr>
        <w:pStyle w:val="ListParagraph"/>
        <w:numPr>
          <w:ilvl w:val="0"/>
          <w:numId w:val="1005"/>
        </w:numPr>
        <w:tabs>
          <w:tab w:val="left" w:pos="1440"/>
        </w:tabs>
        <w:autoSpaceDE w:val="0"/>
        <w:autoSpaceDN w:val="0"/>
        <w:adjustRightInd w:val="0"/>
        <w:ind w:left="1008" w:firstLine="0"/>
        <w:rPr>
          <w:sz w:val="24"/>
          <w:szCs w:val="24"/>
        </w:rPr>
      </w:pPr>
      <w:r w:rsidRPr="00BB750B">
        <w:rPr>
          <w:sz w:val="24"/>
          <w:szCs w:val="24"/>
          <w:u w:val="single"/>
        </w:rPr>
        <w:t>When a Quarterly Average Exceeds the PFAS6 MCL</w:t>
      </w:r>
      <w:r w:rsidRPr="00BB750B">
        <w:rPr>
          <w:sz w:val="24"/>
          <w:szCs w:val="24"/>
        </w:rPr>
        <w:t>. If a quarterly average calculated</w:t>
      </w:r>
      <w:r w:rsidR="00BB750B" w:rsidRPr="00BB750B">
        <w:rPr>
          <w:sz w:val="24"/>
          <w:szCs w:val="24"/>
        </w:rPr>
        <w:t xml:space="preserve"> </w:t>
      </w:r>
      <w:r w:rsidRPr="00BB750B">
        <w:rPr>
          <w:sz w:val="24"/>
          <w:szCs w:val="24"/>
        </w:rPr>
        <w:t>pursuant to 310 CMR 22.07G(10)(a) and (b) and rounded to the same number of significant</w:t>
      </w:r>
      <w:r w:rsidR="00BB750B" w:rsidRPr="00BB750B">
        <w:rPr>
          <w:sz w:val="24"/>
          <w:szCs w:val="24"/>
        </w:rPr>
        <w:t xml:space="preserve"> </w:t>
      </w:r>
      <w:r w:rsidRPr="00BB750B">
        <w:rPr>
          <w:sz w:val="24"/>
          <w:szCs w:val="24"/>
        </w:rPr>
        <w:t>figures as the Maximum Contaminant Level, exceeds the PFAS6 MCL, then the Supplier of</w:t>
      </w:r>
      <w:r w:rsidR="00BB750B" w:rsidRPr="00BB750B">
        <w:rPr>
          <w:sz w:val="24"/>
          <w:szCs w:val="24"/>
        </w:rPr>
        <w:t xml:space="preserve"> </w:t>
      </w:r>
      <w:r w:rsidRPr="00BB750B">
        <w:rPr>
          <w:sz w:val="24"/>
          <w:szCs w:val="24"/>
        </w:rPr>
        <w:t>Water shall:</w:t>
      </w:r>
    </w:p>
    <w:p w14:paraId="61773CF8" w14:textId="772A75D4" w:rsidR="001E76FD" w:rsidRPr="004826BB" w:rsidRDefault="001E76FD" w:rsidP="00287DA4">
      <w:pPr>
        <w:pStyle w:val="ListParagraph"/>
        <w:numPr>
          <w:ilvl w:val="0"/>
          <w:numId w:val="1006"/>
        </w:numPr>
        <w:tabs>
          <w:tab w:val="left" w:pos="1584"/>
        </w:tabs>
        <w:autoSpaceDE w:val="0"/>
        <w:autoSpaceDN w:val="0"/>
        <w:adjustRightInd w:val="0"/>
        <w:ind w:left="1152" w:firstLine="0"/>
        <w:rPr>
          <w:sz w:val="24"/>
          <w:szCs w:val="24"/>
        </w:rPr>
      </w:pPr>
      <w:r w:rsidRPr="004826BB">
        <w:rPr>
          <w:sz w:val="24"/>
          <w:szCs w:val="24"/>
        </w:rPr>
        <w:t>report to the Department in accordance with 310 CMR 22.15,</w:t>
      </w:r>
    </w:p>
    <w:p w14:paraId="366AE6B6" w14:textId="1DF747CB" w:rsidR="001E76FD" w:rsidRPr="004826BB" w:rsidRDefault="001E76FD" w:rsidP="00287DA4">
      <w:pPr>
        <w:pStyle w:val="ListParagraph"/>
        <w:numPr>
          <w:ilvl w:val="0"/>
          <w:numId w:val="1006"/>
        </w:numPr>
        <w:tabs>
          <w:tab w:val="left" w:pos="1584"/>
        </w:tabs>
        <w:autoSpaceDE w:val="0"/>
        <w:autoSpaceDN w:val="0"/>
        <w:adjustRightInd w:val="0"/>
        <w:ind w:left="1152" w:firstLine="0"/>
        <w:rPr>
          <w:sz w:val="24"/>
          <w:szCs w:val="24"/>
        </w:rPr>
      </w:pPr>
      <w:r w:rsidRPr="004826BB">
        <w:rPr>
          <w:sz w:val="24"/>
          <w:szCs w:val="24"/>
        </w:rPr>
        <w:t>provide public notice in accordance with 310 CMR 22.16, and</w:t>
      </w:r>
    </w:p>
    <w:p w14:paraId="2D24014A" w14:textId="2EFA3D7D" w:rsidR="001E76FD" w:rsidRDefault="001E76FD" w:rsidP="00287DA4">
      <w:pPr>
        <w:pStyle w:val="ListParagraph"/>
        <w:numPr>
          <w:ilvl w:val="0"/>
          <w:numId w:val="1006"/>
        </w:numPr>
        <w:tabs>
          <w:tab w:val="left" w:pos="1584"/>
        </w:tabs>
        <w:autoSpaceDE w:val="0"/>
        <w:autoSpaceDN w:val="0"/>
        <w:adjustRightInd w:val="0"/>
        <w:ind w:left="1152" w:firstLine="0"/>
        <w:rPr>
          <w:sz w:val="24"/>
          <w:szCs w:val="24"/>
        </w:rPr>
      </w:pPr>
      <w:r w:rsidRPr="00371844">
        <w:rPr>
          <w:sz w:val="24"/>
          <w:szCs w:val="24"/>
        </w:rPr>
        <w:t>comply with the requirements of 310 CMR 22.03(14) and such other applicable</w:t>
      </w:r>
      <w:r w:rsidR="00371844" w:rsidRPr="00371844">
        <w:rPr>
          <w:sz w:val="24"/>
          <w:szCs w:val="24"/>
        </w:rPr>
        <w:t xml:space="preserve"> </w:t>
      </w:r>
      <w:r w:rsidRPr="00371844">
        <w:rPr>
          <w:sz w:val="24"/>
          <w:szCs w:val="24"/>
        </w:rPr>
        <w:t>provisions of 310 CMR 22.00, as specified by the Department.</w:t>
      </w:r>
    </w:p>
    <w:p w14:paraId="5115C1D8" w14:textId="77777777" w:rsidR="00371844" w:rsidRPr="00371844" w:rsidRDefault="00371844" w:rsidP="00AD7876">
      <w:pPr>
        <w:tabs>
          <w:tab w:val="left" w:pos="1440"/>
        </w:tabs>
        <w:autoSpaceDE w:val="0"/>
        <w:autoSpaceDN w:val="0"/>
        <w:adjustRightInd w:val="0"/>
        <w:rPr>
          <w:sz w:val="24"/>
          <w:szCs w:val="24"/>
        </w:rPr>
      </w:pPr>
    </w:p>
    <w:p w14:paraId="595240E8" w14:textId="1E7CAAD9" w:rsidR="001E76FD" w:rsidRPr="00371844" w:rsidRDefault="001E76FD" w:rsidP="00192866">
      <w:pPr>
        <w:pStyle w:val="ListParagraph"/>
        <w:numPr>
          <w:ilvl w:val="0"/>
          <w:numId w:val="1005"/>
        </w:numPr>
        <w:tabs>
          <w:tab w:val="left" w:pos="1440"/>
          <w:tab w:val="left" w:pos="1714"/>
        </w:tabs>
        <w:autoSpaceDE w:val="0"/>
        <w:autoSpaceDN w:val="0"/>
        <w:adjustRightInd w:val="0"/>
        <w:ind w:left="1008" w:firstLine="0"/>
        <w:rPr>
          <w:sz w:val="24"/>
          <w:szCs w:val="24"/>
          <w:u w:val="single"/>
        </w:rPr>
      </w:pPr>
      <w:r w:rsidRPr="00371844">
        <w:rPr>
          <w:sz w:val="24"/>
          <w:szCs w:val="24"/>
          <w:u w:val="single"/>
        </w:rPr>
        <w:t>PFAS Analytical Requirements.</w:t>
      </w:r>
    </w:p>
    <w:p w14:paraId="2BD36CD3" w14:textId="40265A11" w:rsidR="001E76FD" w:rsidRPr="00366B33" w:rsidRDefault="001E76FD" w:rsidP="00287DA4">
      <w:pPr>
        <w:pStyle w:val="ListParagraph"/>
        <w:numPr>
          <w:ilvl w:val="0"/>
          <w:numId w:val="1007"/>
        </w:numPr>
        <w:tabs>
          <w:tab w:val="left" w:pos="1584"/>
        </w:tabs>
        <w:autoSpaceDE w:val="0"/>
        <w:autoSpaceDN w:val="0"/>
        <w:adjustRightInd w:val="0"/>
        <w:ind w:left="1152" w:firstLine="0"/>
        <w:rPr>
          <w:sz w:val="24"/>
          <w:szCs w:val="24"/>
        </w:rPr>
      </w:pPr>
      <w:r w:rsidRPr="001310F7">
        <w:rPr>
          <w:sz w:val="24"/>
          <w:szCs w:val="24"/>
          <w:u w:val="single"/>
        </w:rPr>
        <w:t>Methods of Analysis</w:t>
      </w:r>
      <w:r w:rsidRPr="00366B33">
        <w:rPr>
          <w:sz w:val="24"/>
          <w:szCs w:val="24"/>
        </w:rPr>
        <w:t>. Analysis for PFAS listed in 310 CMR 22.07G(3)(c) shall be</w:t>
      </w:r>
      <w:r w:rsidR="00366B33" w:rsidRPr="00366B33">
        <w:rPr>
          <w:sz w:val="24"/>
          <w:szCs w:val="24"/>
        </w:rPr>
        <w:t xml:space="preserve"> </w:t>
      </w:r>
      <w:r w:rsidRPr="00366B33">
        <w:rPr>
          <w:sz w:val="24"/>
          <w:szCs w:val="24"/>
        </w:rPr>
        <w:t xml:space="preserve">conducted using </w:t>
      </w:r>
      <w:r w:rsidR="00CC76B2">
        <w:rPr>
          <w:sz w:val="24"/>
          <w:szCs w:val="24"/>
        </w:rPr>
        <w:t>any</w:t>
      </w:r>
      <w:r w:rsidR="00CC76B2" w:rsidRPr="00366B33">
        <w:rPr>
          <w:sz w:val="24"/>
          <w:szCs w:val="24"/>
        </w:rPr>
        <w:t xml:space="preserve"> </w:t>
      </w:r>
      <w:r w:rsidRPr="00366B33">
        <w:rPr>
          <w:sz w:val="24"/>
          <w:szCs w:val="24"/>
        </w:rPr>
        <w:t>of the following EPA methods:</w:t>
      </w:r>
    </w:p>
    <w:p w14:paraId="39595C4C" w14:textId="1EC7064F" w:rsidR="00366B33" w:rsidRPr="000C2E69" w:rsidRDefault="00366B33" w:rsidP="000C2E69">
      <w:pPr>
        <w:tabs>
          <w:tab w:val="left" w:pos="2016"/>
        </w:tabs>
        <w:autoSpaceDE w:val="0"/>
        <w:autoSpaceDN w:val="0"/>
        <w:adjustRightInd w:val="0"/>
        <w:ind w:left="1728"/>
        <w:rPr>
          <w:sz w:val="24"/>
          <w:szCs w:val="24"/>
        </w:rPr>
      </w:pPr>
      <w:r w:rsidRPr="000C2E69">
        <w:rPr>
          <w:sz w:val="24"/>
          <w:szCs w:val="24"/>
        </w:rPr>
        <w:br w:type="page"/>
      </w:r>
    </w:p>
    <w:p w14:paraId="6DB422E1" w14:textId="40DA5A4E" w:rsidR="001E76FD" w:rsidRPr="00DB3294" w:rsidRDefault="001E76FD" w:rsidP="00DB3294">
      <w:pPr>
        <w:autoSpaceDE w:val="0"/>
        <w:autoSpaceDN w:val="0"/>
        <w:adjustRightInd w:val="0"/>
        <w:jc w:val="center"/>
        <w:rPr>
          <w:sz w:val="24"/>
          <w:szCs w:val="24"/>
        </w:rPr>
      </w:pPr>
      <w:r w:rsidRPr="00DB3294">
        <w:rPr>
          <w:sz w:val="24"/>
          <w:szCs w:val="24"/>
        </w:rPr>
        <w:lastRenderedPageBreak/>
        <w:t>310 CMR: DEPARTMENT OF ENVIRONMENTAL PROTECTION</w:t>
      </w:r>
    </w:p>
    <w:p w14:paraId="13C74A57" w14:textId="5F7BBA94" w:rsidR="009E5D55" w:rsidRPr="00AD7876" w:rsidRDefault="009E5D55" w:rsidP="00AD7876">
      <w:pPr>
        <w:autoSpaceDE w:val="0"/>
        <w:autoSpaceDN w:val="0"/>
        <w:adjustRightInd w:val="0"/>
        <w:rPr>
          <w:sz w:val="20"/>
          <w:szCs w:val="20"/>
        </w:rPr>
      </w:pPr>
    </w:p>
    <w:p w14:paraId="28B1AAD7" w14:textId="77777777" w:rsidR="009E5D55" w:rsidRPr="00AD7876" w:rsidRDefault="009E5D55" w:rsidP="00AD7876">
      <w:pPr>
        <w:autoSpaceDE w:val="0"/>
        <w:autoSpaceDN w:val="0"/>
        <w:adjustRightInd w:val="0"/>
        <w:rPr>
          <w:sz w:val="20"/>
          <w:szCs w:val="20"/>
        </w:rPr>
      </w:pPr>
    </w:p>
    <w:p w14:paraId="32AAFE16" w14:textId="42F3C33C" w:rsidR="001E76FD" w:rsidRPr="00DB3294" w:rsidRDefault="001E76FD" w:rsidP="00AD7876">
      <w:pPr>
        <w:autoSpaceDE w:val="0"/>
        <w:autoSpaceDN w:val="0"/>
        <w:adjustRightInd w:val="0"/>
        <w:rPr>
          <w:sz w:val="24"/>
          <w:szCs w:val="24"/>
        </w:rPr>
      </w:pPr>
      <w:r w:rsidRPr="00DB3294">
        <w:rPr>
          <w:sz w:val="24"/>
          <w:szCs w:val="24"/>
        </w:rPr>
        <w:t>22.07G: continued</w:t>
      </w:r>
    </w:p>
    <w:p w14:paraId="1C95B96E" w14:textId="77777777" w:rsidR="009E5D55" w:rsidRPr="00AD7876" w:rsidRDefault="009E5D55" w:rsidP="00AD7876">
      <w:pPr>
        <w:tabs>
          <w:tab w:val="left" w:pos="2016"/>
        </w:tabs>
        <w:autoSpaceDE w:val="0"/>
        <w:autoSpaceDN w:val="0"/>
        <w:adjustRightInd w:val="0"/>
        <w:rPr>
          <w:sz w:val="20"/>
          <w:szCs w:val="20"/>
        </w:rPr>
      </w:pPr>
    </w:p>
    <w:p w14:paraId="28D1884A" w14:textId="661E7320" w:rsidR="008D735D" w:rsidRDefault="001E76FD" w:rsidP="000C5F8E">
      <w:pPr>
        <w:pStyle w:val="ListParagraph"/>
        <w:numPr>
          <w:ilvl w:val="0"/>
          <w:numId w:val="1008"/>
        </w:numPr>
        <w:tabs>
          <w:tab w:val="left" w:pos="2016"/>
          <w:tab w:val="left" w:pos="2390"/>
        </w:tabs>
        <w:autoSpaceDE w:val="0"/>
        <w:autoSpaceDN w:val="0"/>
        <w:adjustRightInd w:val="0"/>
        <w:ind w:left="1728" w:firstLine="0"/>
        <w:rPr>
          <w:sz w:val="24"/>
          <w:szCs w:val="24"/>
        </w:rPr>
      </w:pPr>
      <w:r w:rsidRPr="00DB3294">
        <w:rPr>
          <w:sz w:val="24"/>
          <w:szCs w:val="24"/>
        </w:rPr>
        <w:t xml:space="preserve">Method 537.1. </w:t>
      </w:r>
      <w:r w:rsidRPr="00DB3294">
        <w:rPr>
          <w:i/>
          <w:iCs/>
          <w:sz w:val="24"/>
          <w:szCs w:val="24"/>
        </w:rPr>
        <w:t>U.S. Environmental Protection Agency November 2018.</w:t>
      </w:r>
      <w:r w:rsidR="009E5D55" w:rsidRPr="00DB3294">
        <w:rPr>
          <w:i/>
          <w:iCs/>
          <w:sz w:val="24"/>
          <w:szCs w:val="24"/>
        </w:rPr>
        <w:t xml:space="preserve"> </w:t>
      </w:r>
      <w:r w:rsidRPr="00DB3294">
        <w:rPr>
          <w:i/>
          <w:iCs/>
          <w:sz w:val="24"/>
          <w:szCs w:val="24"/>
        </w:rPr>
        <w:t>Determination of Selected Per- and Polyfluorinated Alkyl Substances in Drinking Water</w:t>
      </w:r>
      <w:r w:rsidR="009E5D55" w:rsidRPr="00DB3294">
        <w:rPr>
          <w:i/>
          <w:iCs/>
          <w:sz w:val="24"/>
          <w:szCs w:val="24"/>
        </w:rPr>
        <w:t xml:space="preserve"> </w:t>
      </w:r>
      <w:r w:rsidRPr="00DB3294">
        <w:rPr>
          <w:i/>
          <w:iCs/>
          <w:sz w:val="24"/>
          <w:szCs w:val="24"/>
        </w:rPr>
        <w:t>by Solid Phase Extraction and Liquid Chromatography/Tandem Mass Spectrometry</w:t>
      </w:r>
      <w:r w:rsidR="009E5D55" w:rsidRPr="00DB3294">
        <w:rPr>
          <w:i/>
          <w:iCs/>
          <w:sz w:val="24"/>
          <w:szCs w:val="24"/>
        </w:rPr>
        <w:t xml:space="preserve"> </w:t>
      </w:r>
      <w:r w:rsidRPr="00DB3294">
        <w:rPr>
          <w:i/>
          <w:iCs/>
          <w:sz w:val="24"/>
          <w:szCs w:val="24"/>
        </w:rPr>
        <w:t>(LC/MS/MS). Ver. 1.0. EPA Document #: EPA/600/R-18/352</w:t>
      </w:r>
      <w:r w:rsidR="000D40D6">
        <w:rPr>
          <w:sz w:val="24"/>
          <w:szCs w:val="24"/>
        </w:rPr>
        <w:t>;</w:t>
      </w:r>
    </w:p>
    <w:p w14:paraId="4AEF9B13" w14:textId="46C996D7" w:rsidR="001E76FD" w:rsidRDefault="008D735D" w:rsidP="000C5F8E">
      <w:pPr>
        <w:pStyle w:val="ListParagraph"/>
        <w:numPr>
          <w:ilvl w:val="0"/>
          <w:numId w:val="1008"/>
        </w:numPr>
        <w:tabs>
          <w:tab w:val="left" w:pos="2016"/>
          <w:tab w:val="left" w:pos="2390"/>
        </w:tabs>
        <w:autoSpaceDE w:val="0"/>
        <w:autoSpaceDN w:val="0"/>
        <w:adjustRightInd w:val="0"/>
        <w:ind w:left="1728" w:firstLine="0"/>
        <w:rPr>
          <w:sz w:val="24"/>
          <w:szCs w:val="24"/>
        </w:rPr>
      </w:pPr>
      <w:r w:rsidRPr="00DB3294">
        <w:rPr>
          <w:sz w:val="24"/>
          <w:szCs w:val="24"/>
        </w:rPr>
        <w:t xml:space="preserve">Method 537.1. </w:t>
      </w:r>
      <w:r w:rsidRPr="00DB3294">
        <w:rPr>
          <w:i/>
          <w:iCs/>
          <w:sz w:val="24"/>
          <w:szCs w:val="24"/>
        </w:rPr>
        <w:t xml:space="preserve">U.S. Environmental Protection Agency </w:t>
      </w:r>
      <w:r>
        <w:rPr>
          <w:i/>
          <w:iCs/>
          <w:sz w:val="24"/>
          <w:szCs w:val="24"/>
        </w:rPr>
        <w:t>March 2020</w:t>
      </w:r>
      <w:r w:rsidRPr="00DB3294">
        <w:rPr>
          <w:i/>
          <w:iCs/>
          <w:sz w:val="24"/>
          <w:szCs w:val="24"/>
        </w:rPr>
        <w:t>. Determination of Selected Per- and Polyfluorinated Alkyl Substances in Drinking Water by Solid Phase Extraction and Liquid Chromatography/Tandem Mass Spectrometry (LC/MS/MS). Ver.</w:t>
      </w:r>
      <w:r>
        <w:rPr>
          <w:i/>
          <w:iCs/>
          <w:sz w:val="24"/>
          <w:szCs w:val="24"/>
        </w:rPr>
        <w:t xml:space="preserve"> 2.0</w:t>
      </w:r>
      <w:r w:rsidRPr="00DB3294">
        <w:rPr>
          <w:i/>
          <w:iCs/>
          <w:sz w:val="24"/>
          <w:szCs w:val="24"/>
        </w:rPr>
        <w:t xml:space="preserve">. EPA Document #: </w:t>
      </w:r>
      <w:r>
        <w:rPr>
          <w:i/>
          <w:iCs/>
          <w:sz w:val="24"/>
          <w:szCs w:val="24"/>
        </w:rPr>
        <w:t>EPA/600/R-20/006;</w:t>
      </w:r>
      <w:r w:rsidR="000D40D6">
        <w:rPr>
          <w:sz w:val="24"/>
          <w:szCs w:val="24"/>
        </w:rPr>
        <w:t xml:space="preserve"> or</w:t>
      </w:r>
    </w:p>
    <w:p w14:paraId="6227C19F" w14:textId="77777777" w:rsidR="009B5DF8" w:rsidRPr="00DB3294" w:rsidRDefault="009B5DF8" w:rsidP="000C5F8E">
      <w:pPr>
        <w:pStyle w:val="ListParagraph"/>
        <w:numPr>
          <w:ilvl w:val="0"/>
          <w:numId w:val="1008"/>
        </w:numPr>
        <w:tabs>
          <w:tab w:val="left" w:pos="2016"/>
          <w:tab w:val="left" w:pos="2390"/>
        </w:tabs>
        <w:autoSpaceDE w:val="0"/>
        <w:autoSpaceDN w:val="0"/>
        <w:adjustRightInd w:val="0"/>
        <w:ind w:left="1728" w:firstLine="0"/>
        <w:rPr>
          <w:sz w:val="24"/>
          <w:szCs w:val="24"/>
        </w:rPr>
      </w:pPr>
      <w:r>
        <w:rPr>
          <w:sz w:val="24"/>
          <w:szCs w:val="24"/>
        </w:rPr>
        <w:t xml:space="preserve">Method 533. </w:t>
      </w:r>
      <w:r>
        <w:rPr>
          <w:i/>
          <w:iCs/>
          <w:sz w:val="24"/>
          <w:szCs w:val="24"/>
        </w:rPr>
        <w:t>U.S. Environmental Protection Agency November 2019. Determination of Per- and Polyfluoroalkyl Substances in Drinking Water by Isotope Dilution Anion Exchange Solid Phase Extraction and Liquid Chromatography/Tandem Mass Spectrometry. EPA Document # 815-B-19-020.</w:t>
      </w:r>
    </w:p>
    <w:p w14:paraId="2463FD29" w14:textId="2B82D8BF" w:rsidR="001E76FD" w:rsidRPr="00DB3294" w:rsidRDefault="001E76FD" w:rsidP="000C5F8E">
      <w:pPr>
        <w:pStyle w:val="ListParagraph"/>
        <w:numPr>
          <w:ilvl w:val="0"/>
          <w:numId w:val="1007"/>
        </w:numPr>
        <w:tabs>
          <w:tab w:val="left" w:pos="1584"/>
        </w:tabs>
        <w:autoSpaceDE w:val="0"/>
        <w:autoSpaceDN w:val="0"/>
        <w:adjustRightInd w:val="0"/>
        <w:ind w:left="1152" w:firstLine="0"/>
        <w:rPr>
          <w:sz w:val="24"/>
          <w:szCs w:val="24"/>
          <w:u w:val="single"/>
        </w:rPr>
      </w:pPr>
      <w:r w:rsidRPr="00DB3294">
        <w:rPr>
          <w:sz w:val="24"/>
          <w:szCs w:val="24"/>
          <w:u w:val="single"/>
        </w:rPr>
        <w:t>Scope of Analysis</w:t>
      </w:r>
      <w:r w:rsidRPr="00DB3294">
        <w:rPr>
          <w:sz w:val="24"/>
          <w:szCs w:val="24"/>
        </w:rPr>
        <w:t>. All samples analyzed pursuant to 310 CMR 22.07G shall be</w:t>
      </w:r>
      <w:r w:rsidR="001310F7" w:rsidRPr="00DB3294">
        <w:rPr>
          <w:sz w:val="24"/>
          <w:szCs w:val="24"/>
        </w:rPr>
        <w:t xml:space="preserve"> </w:t>
      </w:r>
      <w:r w:rsidRPr="00DB3294">
        <w:rPr>
          <w:sz w:val="24"/>
          <w:szCs w:val="24"/>
        </w:rPr>
        <w:t>analyzed for the full scope of PFAS covered by the method selected in 310 CMR</w:t>
      </w:r>
      <w:r w:rsidR="001310F7" w:rsidRPr="00DB3294">
        <w:rPr>
          <w:sz w:val="24"/>
          <w:szCs w:val="24"/>
        </w:rPr>
        <w:t xml:space="preserve"> </w:t>
      </w:r>
      <w:r w:rsidRPr="00DB3294">
        <w:rPr>
          <w:sz w:val="24"/>
          <w:szCs w:val="24"/>
        </w:rPr>
        <w:t>22.07G(12)(a).</w:t>
      </w:r>
    </w:p>
    <w:p w14:paraId="5CDADEE7" w14:textId="4C0BB760" w:rsidR="001310F7" w:rsidRPr="006E7E0F" w:rsidRDefault="001310F7" w:rsidP="006E7E0F">
      <w:pPr>
        <w:pStyle w:val="ListParagraph"/>
        <w:autoSpaceDE w:val="0"/>
        <w:autoSpaceDN w:val="0"/>
        <w:adjustRightInd w:val="0"/>
        <w:ind w:left="0"/>
        <w:rPr>
          <w:sz w:val="24"/>
          <w:szCs w:val="24"/>
        </w:rPr>
      </w:pPr>
    </w:p>
    <w:p w14:paraId="52A9BF65" w14:textId="3677A7D2" w:rsidR="001E76FD" w:rsidRPr="00DB3294" w:rsidRDefault="001E76FD" w:rsidP="000C5F8E">
      <w:pPr>
        <w:pStyle w:val="ListParagraph"/>
        <w:numPr>
          <w:ilvl w:val="0"/>
          <w:numId w:val="1005"/>
        </w:numPr>
        <w:tabs>
          <w:tab w:val="left" w:pos="1440"/>
        </w:tabs>
        <w:autoSpaceDE w:val="0"/>
        <w:autoSpaceDN w:val="0"/>
        <w:adjustRightInd w:val="0"/>
        <w:ind w:left="1008" w:firstLine="0"/>
        <w:rPr>
          <w:sz w:val="24"/>
          <w:szCs w:val="24"/>
          <w:u w:val="single"/>
        </w:rPr>
      </w:pPr>
      <w:r w:rsidRPr="00DB3294">
        <w:rPr>
          <w:sz w:val="24"/>
          <w:szCs w:val="24"/>
          <w:u w:val="single"/>
        </w:rPr>
        <w:t>PFAS Reporting Requirements</w:t>
      </w:r>
      <w:r w:rsidRPr="00DB3294">
        <w:rPr>
          <w:sz w:val="24"/>
          <w:szCs w:val="24"/>
        </w:rPr>
        <w:t>. All analytical results, for all PFAS within the scope of</w:t>
      </w:r>
      <w:r w:rsidR="001310F7" w:rsidRPr="00DB3294">
        <w:rPr>
          <w:sz w:val="24"/>
          <w:szCs w:val="24"/>
        </w:rPr>
        <w:t xml:space="preserve"> </w:t>
      </w:r>
      <w:r w:rsidRPr="00DB3294">
        <w:rPr>
          <w:sz w:val="24"/>
          <w:szCs w:val="24"/>
        </w:rPr>
        <w:t>the analytical method selected in 310 CMR 22.07G(12)(a), whether obtained pursuant to a</w:t>
      </w:r>
      <w:r w:rsidR="001310F7" w:rsidRPr="00DB3294">
        <w:rPr>
          <w:sz w:val="24"/>
          <w:szCs w:val="24"/>
        </w:rPr>
        <w:t xml:space="preserve"> </w:t>
      </w:r>
      <w:r w:rsidRPr="00DB3294">
        <w:rPr>
          <w:sz w:val="24"/>
          <w:szCs w:val="24"/>
        </w:rPr>
        <w:t>requirement of 310 CMR 22.00 or on a voluntary basis, shall be reported to the Department in</w:t>
      </w:r>
      <w:r w:rsidR="001310F7" w:rsidRPr="00DB3294">
        <w:rPr>
          <w:sz w:val="24"/>
          <w:szCs w:val="24"/>
        </w:rPr>
        <w:t xml:space="preserve"> </w:t>
      </w:r>
      <w:r w:rsidRPr="00DB3294">
        <w:rPr>
          <w:sz w:val="24"/>
          <w:szCs w:val="24"/>
        </w:rPr>
        <w:t>accordance with 310 CMR 22.15.</w:t>
      </w:r>
    </w:p>
    <w:p w14:paraId="753051B2" w14:textId="77777777" w:rsidR="001310F7" w:rsidRPr="006E7E0F" w:rsidRDefault="001310F7" w:rsidP="00AD7876">
      <w:pPr>
        <w:tabs>
          <w:tab w:val="left" w:pos="1714"/>
        </w:tabs>
        <w:autoSpaceDE w:val="0"/>
        <w:autoSpaceDN w:val="0"/>
        <w:adjustRightInd w:val="0"/>
        <w:rPr>
          <w:sz w:val="24"/>
          <w:szCs w:val="24"/>
        </w:rPr>
      </w:pPr>
    </w:p>
    <w:p w14:paraId="55206FB7" w14:textId="6000E803" w:rsidR="001E76FD" w:rsidRPr="00DB3294" w:rsidRDefault="001E76FD" w:rsidP="00AD7876">
      <w:pPr>
        <w:pStyle w:val="ListParagraph"/>
        <w:numPr>
          <w:ilvl w:val="0"/>
          <w:numId w:val="1005"/>
        </w:numPr>
        <w:tabs>
          <w:tab w:val="left" w:pos="1440"/>
        </w:tabs>
        <w:autoSpaceDE w:val="0"/>
        <w:autoSpaceDN w:val="0"/>
        <w:adjustRightInd w:val="0"/>
        <w:ind w:left="1008" w:firstLine="0"/>
        <w:rPr>
          <w:sz w:val="24"/>
          <w:szCs w:val="24"/>
          <w:u w:val="single"/>
        </w:rPr>
      </w:pPr>
      <w:r w:rsidRPr="00DB3294">
        <w:rPr>
          <w:sz w:val="24"/>
          <w:szCs w:val="24"/>
          <w:u w:val="single"/>
        </w:rPr>
        <w:t>Use of Previously Collected PFAS Data.</w:t>
      </w:r>
    </w:p>
    <w:p w14:paraId="7F34B9B3" w14:textId="796D9B86" w:rsidR="001E76FD" w:rsidRPr="00DB3294" w:rsidRDefault="001E76FD" w:rsidP="000C5F8E">
      <w:pPr>
        <w:pStyle w:val="ListParagraph"/>
        <w:numPr>
          <w:ilvl w:val="0"/>
          <w:numId w:val="1009"/>
        </w:numPr>
        <w:tabs>
          <w:tab w:val="left" w:pos="1584"/>
        </w:tabs>
        <w:autoSpaceDE w:val="0"/>
        <w:autoSpaceDN w:val="0"/>
        <w:adjustRightInd w:val="0"/>
        <w:ind w:left="1152" w:firstLine="0"/>
        <w:rPr>
          <w:sz w:val="24"/>
          <w:szCs w:val="24"/>
          <w:u w:val="single"/>
        </w:rPr>
      </w:pPr>
      <w:r w:rsidRPr="00DB3294">
        <w:rPr>
          <w:sz w:val="24"/>
          <w:szCs w:val="24"/>
          <w:u w:val="single"/>
        </w:rPr>
        <w:t>Eligibility</w:t>
      </w:r>
      <w:r w:rsidRPr="00DB3294">
        <w:rPr>
          <w:sz w:val="24"/>
          <w:szCs w:val="24"/>
        </w:rPr>
        <w:t>. A Supplier of Water, prior to the applicable commencement date of initial</w:t>
      </w:r>
      <w:r w:rsidR="001310F7" w:rsidRPr="00DB3294">
        <w:rPr>
          <w:sz w:val="24"/>
          <w:szCs w:val="24"/>
        </w:rPr>
        <w:t xml:space="preserve"> </w:t>
      </w:r>
      <w:r w:rsidRPr="00DB3294">
        <w:rPr>
          <w:sz w:val="24"/>
          <w:szCs w:val="24"/>
        </w:rPr>
        <w:t>monitoring specified in 310 CMR 22.07G(5)(b)1., may request the Department's written</w:t>
      </w:r>
      <w:r w:rsidR="001310F7" w:rsidRPr="00DB3294">
        <w:rPr>
          <w:sz w:val="24"/>
          <w:szCs w:val="24"/>
        </w:rPr>
        <w:t xml:space="preserve"> </w:t>
      </w:r>
      <w:r w:rsidRPr="00DB3294">
        <w:rPr>
          <w:sz w:val="24"/>
          <w:szCs w:val="24"/>
        </w:rPr>
        <w:t>approval to substitute monitoring data which was obtained during different calendar quarters</w:t>
      </w:r>
      <w:r w:rsidR="001310F7" w:rsidRPr="00DB3294">
        <w:rPr>
          <w:sz w:val="24"/>
          <w:szCs w:val="24"/>
        </w:rPr>
        <w:t xml:space="preserve"> </w:t>
      </w:r>
      <w:r w:rsidRPr="00DB3294">
        <w:rPr>
          <w:sz w:val="24"/>
          <w:szCs w:val="24"/>
        </w:rPr>
        <w:t>and prior to such commencement date for up to an equivalent number of sequential quarters</w:t>
      </w:r>
      <w:r w:rsidR="001310F7" w:rsidRPr="00DB3294">
        <w:rPr>
          <w:sz w:val="24"/>
          <w:szCs w:val="24"/>
        </w:rPr>
        <w:t xml:space="preserve"> </w:t>
      </w:r>
      <w:r w:rsidRPr="00DB3294">
        <w:rPr>
          <w:sz w:val="24"/>
          <w:szCs w:val="24"/>
        </w:rPr>
        <w:t>of initial monitoring otherwise required pursuant to 310 CMR 22.07G(5).</w:t>
      </w:r>
    </w:p>
    <w:p w14:paraId="08F7FB27" w14:textId="0F3B4BBF" w:rsidR="001E76FD" w:rsidRPr="00DB3294" w:rsidRDefault="001E76FD" w:rsidP="000C5F8E">
      <w:pPr>
        <w:pStyle w:val="ListParagraph"/>
        <w:numPr>
          <w:ilvl w:val="0"/>
          <w:numId w:val="1009"/>
        </w:numPr>
        <w:tabs>
          <w:tab w:val="left" w:pos="1584"/>
        </w:tabs>
        <w:autoSpaceDE w:val="0"/>
        <w:autoSpaceDN w:val="0"/>
        <w:adjustRightInd w:val="0"/>
        <w:ind w:left="1152" w:firstLine="0"/>
        <w:rPr>
          <w:sz w:val="24"/>
          <w:szCs w:val="24"/>
          <w:u w:val="single"/>
        </w:rPr>
      </w:pPr>
      <w:r w:rsidRPr="00DB3294">
        <w:rPr>
          <w:sz w:val="24"/>
          <w:szCs w:val="24"/>
          <w:u w:val="single"/>
        </w:rPr>
        <w:t>Basis of Approval</w:t>
      </w:r>
      <w:r w:rsidRPr="00DB3294">
        <w:rPr>
          <w:sz w:val="24"/>
          <w:szCs w:val="24"/>
        </w:rPr>
        <w:t>. Such approval shall be based upon a determination as to whether</w:t>
      </w:r>
      <w:r w:rsidR="001310F7" w:rsidRPr="00DB3294">
        <w:rPr>
          <w:sz w:val="24"/>
          <w:szCs w:val="24"/>
        </w:rPr>
        <w:t xml:space="preserve"> </w:t>
      </w:r>
      <w:r w:rsidRPr="00DB3294">
        <w:rPr>
          <w:sz w:val="24"/>
          <w:szCs w:val="24"/>
        </w:rPr>
        <w:t>the substitute monitoring data was collected and analyzed in a manner consistent with or</w:t>
      </w:r>
      <w:r w:rsidR="001310F7" w:rsidRPr="00DB3294">
        <w:rPr>
          <w:sz w:val="24"/>
          <w:szCs w:val="24"/>
        </w:rPr>
        <w:t xml:space="preserve"> </w:t>
      </w:r>
      <w:r w:rsidRPr="00DB3294">
        <w:rPr>
          <w:sz w:val="24"/>
          <w:szCs w:val="24"/>
        </w:rPr>
        <w:t>otherwise equivalent to the requirements of 310 CMR 22.07G. A Supplier of Water shall</w:t>
      </w:r>
      <w:r w:rsidR="001310F7" w:rsidRPr="00DB3294">
        <w:rPr>
          <w:sz w:val="24"/>
          <w:szCs w:val="24"/>
        </w:rPr>
        <w:t xml:space="preserve"> </w:t>
      </w:r>
      <w:r w:rsidRPr="00DB3294">
        <w:rPr>
          <w:sz w:val="24"/>
          <w:szCs w:val="24"/>
        </w:rPr>
        <w:t>notify the Department, prior to the commencement date of initial monitoring specified in</w:t>
      </w:r>
      <w:r w:rsidR="001310F7" w:rsidRPr="00DB3294">
        <w:rPr>
          <w:sz w:val="24"/>
          <w:szCs w:val="24"/>
        </w:rPr>
        <w:t xml:space="preserve"> </w:t>
      </w:r>
      <w:r w:rsidRPr="00DB3294">
        <w:rPr>
          <w:sz w:val="24"/>
          <w:szCs w:val="24"/>
        </w:rPr>
        <w:t>310 CMR 22.07G(5)(b)1., of its intention to substitute such approved monitoring data.</w:t>
      </w:r>
    </w:p>
    <w:p w14:paraId="0A797DBE" w14:textId="179B74AA" w:rsidR="001E76FD" w:rsidRPr="00DB3294" w:rsidRDefault="001E76FD" w:rsidP="000C5F8E">
      <w:pPr>
        <w:pStyle w:val="ListParagraph"/>
        <w:numPr>
          <w:ilvl w:val="0"/>
          <w:numId w:val="1009"/>
        </w:numPr>
        <w:tabs>
          <w:tab w:val="left" w:pos="1584"/>
        </w:tabs>
        <w:autoSpaceDE w:val="0"/>
        <w:autoSpaceDN w:val="0"/>
        <w:adjustRightInd w:val="0"/>
        <w:ind w:left="1152" w:firstLine="0"/>
        <w:rPr>
          <w:sz w:val="24"/>
          <w:szCs w:val="24"/>
          <w:u w:val="single"/>
        </w:rPr>
      </w:pPr>
      <w:r w:rsidRPr="00DB3294">
        <w:rPr>
          <w:sz w:val="24"/>
          <w:szCs w:val="24"/>
          <w:u w:val="single"/>
        </w:rPr>
        <w:t>Requirements following Notification</w:t>
      </w:r>
      <w:r w:rsidRPr="00DB3294">
        <w:rPr>
          <w:sz w:val="24"/>
          <w:szCs w:val="24"/>
        </w:rPr>
        <w:t>. Following the notification required by 310 CMR</w:t>
      </w:r>
      <w:r w:rsidR="001310F7" w:rsidRPr="00DB3294">
        <w:rPr>
          <w:sz w:val="24"/>
          <w:szCs w:val="24"/>
        </w:rPr>
        <w:t xml:space="preserve"> </w:t>
      </w:r>
      <w:r w:rsidRPr="00DB3294">
        <w:rPr>
          <w:sz w:val="24"/>
          <w:szCs w:val="24"/>
        </w:rPr>
        <w:t>22.07G(14)(b), such Supplier of Water shall be subject to the requirements of 310 CMR</w:t>
      </w:r>
      <w:r w:rsidR="001310F7" w:rsidRPr="00DB3294">
        <w:rPr>
          <w:sz w:val="24"/>
          <w:szCs w:val="24"/>
        </w:rPr>
        <w:t xml:space="preserve"> </w:t>
      </w:r>
      <w:r w:rsidRPr="00DB3294">
        <w:rPr>
          <w:sz w:val="24"/>
          <w:szCs w:val="24"/>
        </w:rPr>
        <w:t>22.07G, subject to any Department approved modification taking into account any actions</w:t>
      </w:r>
      <w:r w:rsidR="001310F7" w:rsidRPr="00DB3294">
        <w:rPr>
          <w:sz w:val="24"/>
          <w:szCs w:val="24"/>
        </w:rPr>
        <w:t xml:space="preserve"> </w:t>
      </w:r>
      <w:r w:rsidRPr="00DB3294">
        <w:rPr>
          <w:sz w:val="24"/>
          <w:szCs w:val="24"/>
        </w:rPr>
        <w:t>the Supplier of Water has taken in response to such substitute monitoring data (e.g., public</w:t>
      </w:r>
      <w:r w:rsidR="001310F7" w:rsidRPr="00DB3294">
        <w:rPr>
          <w:sz w:val="24"/>
          <w:szCs w:val="24"/>
        </w:rPr>
        <w:t xml:space="preserve"> </w:t>
      </w:r>
      <w:r w:rsidRPr="00DB3294">
        <w:rPr>
          <w:sz w:val="24"/>
          <w:szCs w:val="24"/>
        </w:rPr>
        <w:t>notification, installation of treatment, etc.), as if the analytical results for such approved</w:t>
      </w:r>
      <w:r w:rsidR="001310F7" w:rsidRPr="00DB3294">
        <w:rPr>
          <w:sz w:val="24"/>
          <w:szCs w:val="24"/>
        </w:rPr>
        <w:t xml:space="preserve"> </w:t>
      </w:r>
      <w:r w:rsidRPr="00DB3294">
        <w:rPr>
          <w:sz w:val="24"/>
          <w:szCs w:val="24"/>
        </w:rPr>
        <w:t>monitoring data were received on the date of such notification.</w:t>
      </w:r>
    </w:p>
    <w:p w14:paraId="41D7664A" w14:textId="77777777" w:rsidR="001310F7" w:rsidRPr="006E7E0F" w:rsidRDefault="001310F7" w:rsidP="006E7E0F">
      <w:pPr>
        <w:autoSpaceDE w:val="0"/>
        <w:autoSpaceDN w:val="0"/>
        <w:adjustRightInd w:val="0"/>
        <w:rPr>
          <w:sz w:val="24"/>
          <w:szCs w:val="24"/>
        </w:rPr>
      </w:pPr>
    </w:p>
    <w:p w14:paraId="31925DAA" w14:textId="2714E239" w:rsidR="001310F7" w:rsidRPr="00DB3294" w:rsidRDefault="001E76FD" w:rsidP="00AD7876">
      <w:pPr>
        <w:pStyle w:val="ListParagraph"/>
        <w:numPr>
          <w:ilvl w:val="0"/>
          <w:numId w:val="1005"/>
        </w:numPr>
        <w:tabs>
          <w:tab w:val="left" w:pos="1440"/>
        </w:tabs>
        <w:autoSpaceDE w:val="0"/>
        <w:autoSpaceDN w:val="0"/>
        <w:adjustRightInd w:val="0"/>
        <w:ind w:left="1008" w:firstLine="0"/>
        <w:rPr>
          <w:sz w:val="24"/>
          <w:szCs w:val="24"/>
          <w:u w:val="single"/>
        </w:rPr>
      </w:pPr>
      <w:r w:rsidRPr="00DB3294">
        <w:rPr>
          <w:sz w:val="24"/>
          <w:szCs w:val="24"/>
          <w:u w:val="single"/>
        </w:rPr>
        <w:t>Monitoring Schedules</w:t>
      </w:r>
      <w:r w:rsidRPr="00DB3294">
        <w:rPr>
          <w:sz w:val="24"/>
          <w:szCs w:val="24"/>
        </w:rPr>
        <w:t>. A Supplier of Water shall monitor its Public Water System during</w:t>
      </w:r>
      <w:r w:rsidR="001310F7" w:rsidRPr="00DB3294">
        <w:rPr>
          <w:sz w:val="24"/>
          <w:szCs w:val="24"/>
        </w:rPr>
        <w:t xml:space="preserve"> </w:t>
      </w:r>
      <w:r w:rsidRPr="00DB3294">
        <w:rPr>
          <w:sz w:val="24"/>
          <w:szCs w:val="24"/>
        </w:rPr>
        <w:t>each Compliance Period in accordance with the requirements 310 CMR 22.07G, unless</w:t>
      </w:r>
      <w:r w:rsidR="001310F7" w:rsidRPr="00DB3294">
        <w:rPr>
          <w:sz w:val="24"/>
          <w:szCs w:val="24"/>
        </w:rPr>
        <w:t xml:space="preserve"> </w:t>
      </w:r>
      <w:r w:rsidRPr="00DB3294">
        <w:rPr>
          <w:sz w:val="24"/>
          <w:szCs w:val="24"/>
        </w:rPr>
        <w:t>otherwise directed in writing by the Department based on emergency considerations, laboratory</w:t>
      </w:r>
      <w:r w:rsidR="001310F7" w:rsidRPr="00DB3294">
        <w:rPr>
          <w:sz w:val="24"/>
          <w:szCs w:val="24"/>
        </w:rPr>
        <w:t xml:space="preserve"> </w:t>
      </w:r>
      <w:r w:rsidRPr="00DB3294">
        <w:rPr>
          <w:sz w:val="24"/>
          <w:szCs w:val="24"/>
        </w:rPr>
        <w:t>capacity, and Public Water System operational considerations.</w:t>
      </w:r>
    </w:p>
    <w:p w14:paraId="457D90DF" w14:textId="65B1AFED" w:rsidR="001310F7" w:rsidRPr="00D51708" w:rsidRDefault="001310F7" w:rsidP="00AD7876">
      <w:pPr>
        <w:pStyle w:val="ListParagraph"/>
        <w:tabs>
          <w:tab w:val="left" w:pos="1584"/>
        </w:tabs>
        <w:autoSpaceDE w:val="0"/>
        <w:autoSpaceDN w:val="0"/>
        <w:adjustRightInd w:val="0"/>
        <w:ind w:left="1170"/>
        <w:rPr>
          <w:sz w:val="24"/>
          <w:szCs w:val="24"/>
        </w:rPr>
      </w:pPr>
      <w:r w:rsidRPr="00D51708">
        <w:rPr>
          <w:sz w:val="24"/>
          <w:szCs w:val="24"/>
        </w:rPr>
        <w:br w:type="page"/>
      </w:r>
    </w:p>
    <w:p w14:paraId="57200944" w14:textId="68D5DD7C" w:rsidR="001E76FD" w:rsidRPr="00012C37" w:rsidRDefault="001E76FD" w:rsidP="00DB3294">
      <w:pPr>
        <w:autoSpaceDE w:val="0"/>
        <w:autoSpaceDN w:val="0"/>
        <w:adjustRightInd w:val="0"/>
        <w:jc w:val="center"/>
        <w:rPr>
          <w:sz w:val="24"/>
          <w:szCs w:val="24"/>
        </w:rPr>
      </w:pPr>
      <w:r w:rsidRPr="00012C37">
        <w:rPr>
          <w:sz w:val="24"/>
          <w:szCs w:val="24"/>
        </w:rPr>
        <w:lastRenderedPageBreak/>
        <w:t>310 CMR: DEPARTMENT OF ENVIRONMENTAL PROTECTION</w:t>
      </w:r>
    </w:p>
    <w:p w14:paraId="6F9EBDF4" w14:textId="37EA26AA" w:rsidR="00DB3294" w:rsidRPr="006E7E0F" w:rsidRDefault="00DB3294" w:rsidP="00DB3294">
      <w:pPr>
        <w:autoSpaceDE w:val="0"/>
        <w:autoSpaceDN w:val="0"/>
        <w:adjustRightInd w:val="0"/>
        <w:rPr>
          <w:sz w:val="20"/>
          <w:szCs w:val="20"/>
        </w:rPr>
      </w:pPr>
    </w:p>
    <w:p w14:paraId="2CDA0653" w14:textId="77777777" w:rsidR="00DB3294" w:rsidRPr="006E7E0F" w:rsidRDefault="00DB3294" w:rsidP="00DB3294">
      <w:pPr>
        <w:autoSpaceDE w:val="0"/>
        <w:autoSpaceDN w:val="0"/>
        <w:adjustRightInd w:val="0"/>
        <w:rPr>
          <w:sz w:val="20"/>
          <w:szCs w:val="20"/>
        </w:rPr>
      </w:pPr>
    </w:p>
    <w:p w14:paraId="6CDC114B" w14:textId="6B6F05B0" w:rsidR="00DB3294" w:rsidRDefault="001E76FD" w:rsidP="00DB3294">
      <w:pPr>
        <w:autoSpaceDE w:val="0"/>
        <w:autoSpaceDN w:val="0"/>
        <w:adjustRightInd w:val="0"/>
        <w:rPr>
          <w:rFonts w:ascii="TimesNewRoman" w:hAnsi="TimesNewRoman" w:cs="TimesNewRoman"/>
          <w:sz w:val="24"/>
          <w:szCs w:val="24"/>
        </w:rPr>
      </w:pPr>
      <w:r w:rsidRPr="00012C37">
        <w:rPr>
          <w:sz w:val="24"/>
          <w:szCs w:val="24"/>
        </w:rPr>
        <w:t>NON-TEXT PAGE</w:t>
      </w:r>
      <w:r w:rsidR="00DB3294">
        <w:rPr>
          <w:rFonts w:ascii="TimesNewRoman" w:hAnsi="TimesNewRoman" w:cs="TimesNewRoman"/>
          <w:sz w:val="24"/>
          <w:szCs w:val="24"/>
        </w:rPr>
        <w:br w:type="page"/>
      </w:r>
    </w:p>
    <w:p w14:paraId="23583E37" w14:textId="17D60708" w:rsidR="001E76FD" w:rsidRPr="00012C37" w:rsidRDefault="001E76FD" w:rsidP="00DB3294">
      <w:pPr>
        <w:autoSpaceDE w:val="0"/>
        <w:autoSpaceDN w:val="0"/>
        <w:adjustRightInd w:val="0"/>
        <w:jc w:val="center"/>
        <w:rPr>
          <w:sz w:val="24"/>
          <w:szCs w:val="24"/>
        </w:rPr>
      </w:pPr>
      <w:r w:rsidRPr="00012C37">
        <w:rPr>
          <w:sz w:val="24"/>
          <w:szCs w:val="24"/>
        </w:rPr>
        <w:lastRenderedPageBreak/>
        <w:t>310 CMR: DEPARTMENT OF ENVIRONMENTAL PROTECTION</w:t>
      </w:r>
    </w:p>
    <w:p w14:paraId="08D88A30" w14:textId="763A0377" w:rsidR="00DB3294" w:rsidRPr="006E7E0F" w:rsidRDefault="00DB3294" w:rsidP="006E7E0F">
      <w:pPr>
        <w:autoSpaceDE w:val="0"/>
        <w:autoSpaceDN w:val="0"/>
        <w:adjustRightInd w:val="0"/>
        <w:rPr>
          <w:sz w:val="20"/>
          <w:szCs w:val="20"/>
        </w:rPr>
      </w:pPr>
    </w:p>
    <w:p w14:paraId="2AA3D6A1" w14:textId="77777777" w:rsidR="00DB3294" w:rsidRPr="006E7E0F" w:rsidRDefault="00DB3294" w:rsidP="006E7E0F">
      <w:pPr>
        <w:autoSpaceDE w:val="0"/>
        <w:autoSpaceDN w:val="0"/>
        <w:adjustRightInd w:val="0"/>
        <w:rPr>
          <w:sz w:val="20"/>
          <w:szCs w:val="20"/>
        </w:rPr>
      </w:pPr>
    </w:p>
    <w:p w14:paraId="0B577E48" w14:textId="6A6DB5A1" w:rsidR="001E76FD" w:rsidRPr="00012C37" w:rsidRDefault="001E76FD" w:rsidP="006E7E0F">
      <w:pPr>
        <w:autoSpaceDE w:val="0"/>
        <w:autoSpaceDN w:val="0"/>
        <w:adjustRightInd w:val="0"/>
        <w:rPr>
          <w:sz w:val="24"/>
          <w:szCs w:val="24"/>
        </w:rPr>
      </w:pPr>
      <w:r w:rsidRPr="00012C37">
        <w:rPr>
          <w:sz w:val="24"/>
          <w:szCs w:val="24"/>
        </w:rPr>
        <w:t>22.07G: continued</w:t>
      </w:r>
    </w:p>
    <w:p w14:paraId="0DDDC4D9" w14:textId="77777777" w:rsidR="00DB3294" w:rsidRPr="006E7E0F" w:rsidRDefault="00DB3294" w:rsidP="006E7E0F">
      <w:pPr>
        <w:autoSpaceDE w:val="0"/>
        <w:autoSpaceDN w:val="0"/>
        <w:adjustRightInd w:val="0"/>
        <w:rPr>
          <w:rFonts w:ascii="TimesNewRoman" w:hAnsi="TimesNewRoman" w:cs="TimesNewRoman"/>
          <w:sz w:val="20"/>
          <w:szCs w:val="20"/>
        </w:rPr>
      </w:pPr>
    </w:p>
    <w:p w14:paraId="403677C5" w14:textId="354CDA4D" w:rsidR="001E76FD" w:rsidRPr="00944B20" w:rsidRDefault="001E76FD" w:rsidP="006E7E0F">
      <w:pPr>
        <w:pStyle w:val="ListParagraph"/>
        <w:numPr>
          <w:ilvl w:val="0"/>
          <w:numId w:val="1005"/>
        </w:numPr>
        <w:tabs>
          <w:tab w:val="left" w:pos="1440"/>
        </w:tabs>
        <w:autoSpaceDE w:val="0"/>
        <w:autoSpaceDN w:val="0"/>
        <w:adjustRightInd w:val="0"/>
        <w:ind w:left="1008" w:firstLine="0"/>
        <w:rPr>
          <w:sz w:val="24"/>
          <w:szCs w:val="24"/>
          <w:u w:val="single"/>
        </w:rPr>
      </w:pPr>
      <w:r w:rsidRPr="00DB3294">
        <w:rPr>
          <w:sz w:val="24"/>
          <w:szCs w:val="24"/>
          <w:u w:val="single"/>
        </w:rPr>
        <w:t>PFAS6 Minimum Reporting Levels</w:t>
      </w:r>
      <w:r w:rsidRPr="00944B20">
        <w:rPr>
          <w:sz w:val="24"/>
          <w:szCs w:val="24"/>
        </w:rPr>
        <w:t>. Laboratories conducting PFAS analysis for each</w:t>
      </w:r>
      <w:r w:rsidR="00DB3294" w:rsidRPr="00944B20">
        <w:rPr>
          <w:sz w:val="24"/>
          <w:szCs w:val="24"/>
        </w:rPr>
        <w:t xml:space="preserve"> </w:t>
      </w:r>
      <w:r w:rsidRPr="00944B20">
        <w:rPr>
          <w:sz w:val="24"/>
          <w:szCs w:val="24"/>
        </w:rPr>
        <w:t>contaminant listed at 310 CMR 22.07G(3)(c) shall be capable of obtaining individual MRLs less</w:t>
      </w:r>
      <w:r w:rsidR="00DB3294" w:rsidRPr="00944B20">
        <w:rPr>
          <w:sz w:val="24"/>
          <w:szCs w:val="24"/>
        </w:rPr>
        <w:t xml:space="preserve"> </w:t>
      </w:r>
      <w:r w:rsidRPr="00944B20">
        <w:rPr>
          <w:sz w:val="24"/>
          <w:szCs w:val="24"/>
        </w:rPr>
        <w:t>than or equal to 0.0000020 mg/l or 2.0 ng/l.</w:t>
      </w:r>
    </w:p>
    <w:p w14:paraId="605F8134" w14:textId="77777777" w:rsidR="00944B20" w:rsidRPr="00944B20" w:rsidRDefault="00944B20" w:rsidP="006E7E0F">
      <w:pPr>
        <w:tabs>
          <w:tab w:val="left" w:pos="1440"/>
        </w:tabs>
        <w:autoSpaceDE w:val="0"/>
        <w:autoSpaceDN w:val="0"/>
        <w:adjustRightInd w:val="0"/>
        <w:rPr>
          <w:sz w:val="24"/>
          <w:szCs w:val="24"/>
          <w:u w:val="single"/>
        </w:rPr>
      </w:pPr>
    </w:p>
    <w:p w14:paraId="672B3207" w14:textId="3C2A13F8" w:rsidR="001E76FD" w:rsidRPr="00944B20" w:rsidRDefault="001E76FD" w:rsidP="006E7E0F">
      <w:pPr>
        <w:pStyle w:val="ListParagraph"/>
        <w:numPr>
          <w:ilvl w:val="0"/>
          <w:numId w:val="1005"/>
        </w:numPr>
        <w:tabs>
          <w:tab w:val="left" w:pos="1440"/>
        </w:tabs>
        <w:autoSpaceDE w:val="0"/>
        <w:autoSpaceDN w:val="0"/>
        <w:adjustRightInd w:val="0"/>
        <w:ind w:left="1008" w:firstLine="0"/>
        <w:rPr>
          <w:sz w:val="24"/>
          <w:szCs w:val="24"/>
          <w:u w:val="single"/>
        </w:rPr>
      </w:pPr>
      <w:r w:rsidRPr="00944B20">
        <w:rPr>
          <w:sz w:val="24"/>
          <w:szCs w:val="24"/>
          <w:u w:val="single"/>
        </w:rPr>
        <w:t>Electronic Filing Requirement</w:t>
      </w:r>
      <w:r w:rsidRPr="00944B20">
        <w:rPr>
          <w:sz w:val="24"/>
          <w:szCs w:val="24"/>
        </w:rPr>
        <w:t>. All analytical results required to be submitted to the</w:t>
      </w:r>
      <w:r w:rsidR="00944B20" w:rsidRPr="00944B20">
        <w:rPr>
          <w:sz w:val="24"/>
          <w:szCs w:val="24"/>
        </w:rPr>
        <w:t xml:space="preserve"> </w:t>
      </w:r>
      <w:r w:rsidRPr="00944B20">
        <w:rPr>
          <w:sz w:val="24"/>
          <w:szCs w:val="24"/>
        </w:rPr>
        <w:t>Department pursuant to 310 CMR 22.07G shall be made by electronic submission, in accordance</w:t>
      </w:r>
      <w:r w:rsidR="00944B20" w:rsidRPr="00944B20">
        <w:rPr>
          <w:sz w:val="24"/>
          <w:szCs w:val="24"/>
        </w:rPr>
        <w:t xml:space="preserve"> </w:t>
      </w:r>
      <w:r w:rsidRPr="00944B20">
        <w:rPr>
          <w:sz w:val="24"/>
          <w:szCs w:val="24"/>
        </w:rPr>
        <w:t>with 310 CMR 22.03(13).</w:t>
      </w:r>
    </w:p>
    <w:p w14:paraId="0CFDF8E9" w14:textId="77777777" w:rsidR="005B1FEB" w:rsidRPr="00B276F4" w:rsidRDefault="005B1FEB" w:rsidP="006E7E0F">
      <w:pPr>
        <w:rPr>
          <w:sz w:val="24"/>
          <w:szCs w:val="24"/>
        </w:rPr>
      </w:pPr>
    </w:p>
    <w:p w14:paraId="2819FF27" w14:textId="77777777" w:rsidR="004647B9" w:rsidRPr="00B276F4" w:rsidRDefault="00E2436F" w:rsidP="006E7E0F">
      <w:pPr>
        <w:ind w:right="160"/>
        <w:jc w:val="center"/>
        <w:rPr>
          <w:sz w:val="24"/>
          <w:szCs w:val="24"/>
        </w:rPr>
      </w:pPr>
      <w:r w:rsidRPr="00B276F4">
        <w:rPr>
          <w:rFonts w:eastAsia="Times New Roman"/>
          <w:sz w:val="24"/>
          <w:szCs w:val="24"/>
          <w:u w:val="single"/>
        </w:rPr>
        <w:t>22.08:  Maximum Turbidity Contaminant Levels, Monitoring Requirements and Analytical Methods for Unfiltered Systems and for Filtered Systems Not in Compliance with 310 CMR 22.20A</w:t>
      </w:r>
    </w:p>
    <w:p w14:paraId="2819FF28" w14:textId="77777777" w:rsidR="004647B9" w:rsidRPr="00B276F4" w:rsidRDefault="004647B9" w:rsidP="006E7E0F">
      <w:pPr>
        <w:rPr>
          <w:sz w:val="24"/>
          <w:szCs w:val="24"/>
        </w:rPr>
      </w:pPr>
    </w:p>
    <w:p w14:paraId="2819FF29" w14:textId="77777777" w:rsidR="004647B9" w:rsidRPr="00B276F4" w:rsidRDefault="00E2436F" w:rsidP="006E7E0F">
      <w:pPr>
        <w:numPr>
          <w:ilvl w:val="0"/>
          <w:numId w:val="395"/>
        </w:numPr>
        <w:tabs>
          <w:tab w:val="left" w:pos="1711"/>
        </w:tabs>
        <w:ind w:left="1200"/>
        <w:jc w:val="both"/>
        <w:rPr>
          <w:rFonts w:eastAsia="Times New Roman"/>
          <w:sz w:val="24"/>
          <w:szCs w:val="24"/>
        </w:rPr>
      </w:pPr>
      <w:r w:rsidRPr="00B276F4">
        <w:rPr>
          <w:rFonts w:eastAsia="Times New Roman"/>
          <w:sz w:val="24"/>
          <w:szCs w:val="24"/>
        </w:rPr>
        <w:t>The maximum contaminant level for turbidity, applicable only to public water systems which use water obtained in whole or in any part from surface water sources, shall be measured at representative entry point(s) to the distribution system, and shall be:</w:t>
      </w:r>
    </w:p>
    <w:p w14:paraId="2819FF2B" w14:textId="77777777" w:rsidR="004647B9" w:rsidRPr="00B276F4" w:rsidRDefault="00E2436F" w:rsidP="006E7E0F">
      <w:pPr>
        <w:numPr>
          <w:ilvl w:val="1"/>
          <w:numId w:val="395"/>
        </w:numPr>
        <w:tabs>
          <w:tab w:val="left" w:pos="1956"/>
        </w:tabs>
        <w:ind w:left="1560" w:hanging="5"/>
        <w:jc w:val="both"/>
        <w:rPr>
          <w:rFonts w:eastAsia="Times New Roman"/>
          <w:sz w:val="24"/>
          <w:szCs w:val="24"/>
        </w:rPr>
      </w:pPr>
      <w:r w:rsidRPr="00B276F4">
        <w:rPr>
          <w:rFonts w:eastAsia="Times New Roman"/>
          <w:sz w:val="24"/>
          <w:szCs w:val="24"/>
        </w:rPr>
        <w:t>One turbidity unit, (one NTU, Nephelometric turbidity unit) as determined by a monthly average rounded to the nearest significant whole number pursuant to 310 CMR 22.08(3) except that five or fewer turbidity units may be allowed if the supplier of water can demonstrate to the Department that the higher turbidity does not do any of the following:</w:t>
      </w:r>
    </w:p>
    <w:p w14:paraId="2819FF2D" w14:textId="77777777" w:rsidR="004647B9" w:rsidRPr="00B276F4" w:rsidRDefault="00E2436F" w:rsidP="006E7E0F">
      <w:pPr>
        <w:numPr>
          <w:ilvl w:val="2"/>
          <w:numId w:val="395"/>
        </w:numPr>
        <w:tabs>
          <w:tab w:val="left" w:pos="2280"/>
        </w:tabs>
        <w:ind w:left="2280" w:hanging="365"/>
        <w:rPr>
          <w:rFonts w:eastAsia="Times New Roman"/>
          <w:sz w:val="24"/>
          <w:szCs w:val="24"/>
        </w:rPr>
      </w:pPr>
      <w:r w:rsidRPr="00B276F4">
        <w:rPr>
          <w:rFonts w:eastAsia="Times New Roman"/>
          <w:sz w:val="24"/>
          <w:szCs w:val="24"/>
        </w:rPr>
        <w:t>Interfere with disinfection; or</w:t>
      </w:r>
    </w:p>
    <w:p w14:paraId="2819FF2E" w14:textId="77777777" w:rsidR="004647B9" w:rsidRPr="00B276F4" w:rsidRDefault="00E2436F" w:rsidP="006E7E0F">
      <w:pPr>
        <w:numPr>
          <w:ilvl w:val="2"/>
          <w:numId w:val="395"/>
        </w:numPr>
        <w:tabs>
          <w:tab w:val="left" w:pos="2302"/>
        </w:tabs>
        <w:ind w:left="1920" w:hanging="5"/>
        <w:rPr>
          <w:rFonts w:eastAsia="Times New Roman"/>
          <w:sz w:val="24"/>
          <w:szCs w:val="24"/>
        </w:rPr>
      </w:pPr>
      <w:r w:rsidRPr="00B276F4">
        <w:rPr>
          <w:rFonts w:eastAsia="Times New Roman"/>
          <w:sz w:val="24"/>
          <w:szCs w:val="24"/>
        </w:rPr>
        <w:t>Prevent maintenance of an effective disinfectant agent throughout the distribution system; or</w:t>
      </w:r>
    </w:p>
    <w:p w14:paraId="2819FF30" w14:textId="77777777" w:rsidR="004647B9" w:rsidRPr="00B276F4" w:rsidRDefault="00E2436F" w:rsidP="006E7E0F">
      <w:pPr>
        <w:numPr>
          <w:ilvl w:val="2"/>
          <w:numId w:val="395"/>
        </w:numPr>
        <w:tabs>
          <w:tab w:val="left" w:pos="2280"/>
        </w:tabs>
        <w:ind w:left="2280" w:hanging="365"/>
        <w:rPr>
          <w:rFonts w:eastAsia="Times New Roman"/>
          <w:sz w:val="24"/>
          <w:szCs w:val="24"/>
        </w:rPr>
      </w:pPr>
      <w:r w:rsidRPr="00B276F4">
        <w:rPr>
          <w:rFonts w:eastAsia="Times New Roman"/>
          <w:sz w:val="24"/>
          <w:szCs w:val="24"/>
        </w:rPr>
        <w:t>Interfere with microbiological determinations.</w:t>
      </w:r>
    </w:p>
    <w:p w14:paraId="2819FF31" w14:textId="77777777" w:rsidR="004647B9" w:rsidRPr="00B276F4" w:rsidRDefault="00E2436F" w:rsidP="006E7E0F">
      <w:pPr>
        <w:numPr>
          <w:ilvl w:val="1"/>
          <w:numId w:val="395"/>
        </w:numPr>
        <w:tabs>
          <w:tab w:val="left" w:pos="2064"/>
        </w:tabs>
        <w:ind w:left="1560" w:hanging="5"/>
        <w:rPr>
          <w:rFonts w:eastAsia="Times New Roman"/>
          <w:sz w:val="24"/>
          <w:szCs w:val="24"/>
        </w:rPr>
      </w:pPr>
      <w:r w:rsidRPr="00B276F4">
        <w:rPr>
          <w:rFonts w:eastAsia="Times New Roman"/>
          <w:sz w:val="24"/>
          <w:szCs w:val="24"/>
        </w:rPr>
        <w:t>Five turbidity units, as determined by the arithmetic mean of two consecutive daily samples pursuant to 310 CMR 22.08(3).</w:t>
      </w:r>
    </w:p>
    <w:p w14:paraId="2819FF32" w14:textId="77777777" w:rsidR="004647B9" w:rsidRPr="00B276F4" w:rsidRDefault="004647B9" w:rsidP="006E7E0F">
      <w:pPr>
        <w:rPr>
          <w:rFonts w:eastAsia="Times New Roman"/>
          <w:sz w:val="24"/>
          <w:szCs w:val="24"/>
        </w:rPr>
      </w:pPr>
    </w:p>
    <w:p w14:paraId="2819FF33" w14:textId="77777777" w:rsidR="004647B9" w:rsidRPr="00B276F4" w:rsidRDefault="00E2436F" w:rsidP="006E7E0F">
      <w:pPr>
        <w:numPr>
          <w:ilvl w:val="0"/>
          <w:numId w:val="395"/>
        </w:numPr>
        <w:tabs>
          <w:tab w:val="left" w:pos="1660"/>
        </w:tabs>
        <w:ind w:left="1660" w:hanging="460"/>
        <w:rPr>
          <w:rFonts w:eastAsia="Times New Roman"/>
          <w:sz w:val="24"/>
          <w:szCs w:val="24"/>
        </w:rPr>
      </w:pPr>
      <w:r w:rsidRPr="005543C0">
        <w:rPr>
          <w:rFonts w:eastAsia="Times New Roman"/>
          <w:sz w:val="24"/>
          <w:szCs w:val="24"/>
        </w:rPr>
        <w:t>All analyses shall be conducted in accordance with the following methods</w:t>
      </w:r>
      <w:r w:rsidRPr="00B276F4">
        <w:rPr>
          <w:rFonts w:eastAsia="Times New Roman"/>
          <w:sz w:val="24"/>
          <w:szCs w:val="24"/>
        </w:rPr>
        <w:t>:</w:t>
      </w:r>
    </w:p>
    <w:p w14:paraId="2819FF35" w14:textId="68D49CC3" w:rsidR="004647B9" w:rsidRPr="00B276F4" w:rsidRDefault="00E2436F" w:rsidP="006E7E0F">
      <w:pPr>
        <w:numPr>
          <w:ilvl w:val="1"/>
          <w:numId w:val="395"/>
        </w:numPr>
        <w:tabs>
          <w:tab w:val="left" w:pos="2004"/>
        </w:tabs>
        <w:ind w:left="1560" w:hanging="5"/>
        <w:jc w:val="both"/>
        <w:rPr>
          <w:rFonts w:eastAsia="Times New Roman"/>
          <w:sz w:val="24"/>
          <w:szCs w:val="24"/>
        </w:rPr>
      </w:pPr>
      <w:r w:rsidRPr="00B276F4">
        <w:rPr>
          <w:rFonts w:eastAsia="Times New Roman"/>
          <w:sz w:val="24"/>
          <w:szCs w:val="24"/>
        </w:rPr>
        <w:t>Nephelometric Method 2130B, "Standard Methods for the Examination of Water and Wastewater", American Public Health Association, 14</w:t>
      </w:r>
      <w:r w:rsidRPr="00B276F4">
        <w:rPr>
          <w:rFonts w:eastAsia="Times New Roman"/>
          <w:sz w:val="24"/>
          <w:szCs w:val="24"/>
          <w:vertAlign w:val="superscript"/>
        </w:rPr>
        <w:t>th</w:t>
      </w:r>
      <w:r w:rsidRPr="00B276F4">
        <w:rPr>
          <w:rFonts w:eastAsia="Times New Roman"/>
          <w:sz w:val="24"/>
          <w:szCs w:val="24"/>
        </w:rPr>
        <w:t xml:space="preserve"> Edition, pages 132-4, 18</w:t>
      </w:r>
      <w:r w:rsidRPr="00B276F4">
        <w:rPr>
          <w:rFonts w:eastAsia="Times New Roman"/>
          <w:sz w:val="24"/>
          <w:szCs w:val="24"/>
          <w:vertAlign w:val="superscript"/>
        </w:rPr>
        <w:t>th</w:t>
      </w:r>
      <w:r w:rsidRPr="00B276F4">
        <w:rPr>
          <w:rFonts w:eastAsia="Times New Roman"/>
          <w:sz w:val="24"/>
          <w:szCs w:val="24"/>
        </w:rPr>
        <w:t>, edition (1992), 19</w:t>
      </w:r>
      <w:r w:rsidRPr="00B276F4">
        <w:rPr>
          <w:rFonts w:eastAsia="Times New Roman"/>
          <w:sz w:val="24"/>
          <w:szCs w:val="24"/>
          <w:vertAlign w:val="superscript"/>
        </w:rPr>
        <w:t>th</w:t>
      </w:r>
      <w:r w:rsidRPr="00B276F4">
        <w:rPr>
          <w:rFonts w:eastAsia="Times New Roman"/>
          <w:sz w:val="24"/>
          <w:szCs w:val="24"/>
        </w:rPr>
        <w:t xml:space="preserve"> edition (1995), or 20</w:t>
      </w:r>
      <w:r w:rsidRPr="00B276F4">
        <w:rPr>
          <w:rFonts w:eastAsia="Times New Roman"/>
          <w:sz w:val="24"/>
          <w:szCs w:val="24"/>
          <w:vertAlign w:val="superscript"/>
        </w:rPr>
        <w:t>th</w:t>
      </w:r>
      <w:r w:rsidRPr="00B276F4">
        <w:rPr>
          <w:rFonts w:eastAsia="Times New Roman"/>
          <w:sz w:val="24"/>
          <w:szCs w:val="24"/>
        </w:rPr>
        <w:t xml:space="preserve"> edition (1998), American Public Health Association, 1015 Fifteenth Street, NW., Washington, DC 20005. The cited methods published in any of these three editions may be used. In addition, the following </w:t>
      </w:r>
      <w:r w:rsidR="00604AB2">
        <w:rPr>
          <w:rFonts w:eastAsia="Times New Roman"/>
          <w:sz w:val="24"/>
          <w:szCs w:val="24"/>
        </w:rPr>
        <w:t>Standard Methods O</w:t>
      </w:r>
      <w:r w:rsidRPr="00B276F4">
        <w:rPr>
          <w:rFonts w:eastAsia="Times New Roman"/>
          <w:sz w:val="24"/>
          <w:szCs w:val="24"/>
        </w:rPr>
        <w:t>nline versions may also be used: 2130 B-01, 9215 B-00, 9221 A, B, C, E-99, 9222A, B, C, D-97 and 9223 B-97. The year in which each method was approved by the Standard Methods Committee is designated by the last two digits in the method number. The methods listed are the only Online versions that may be used; or</w:t>
      </w:r>
    </w:p>
    <w:p w14:paraId="2819FF36" w14:textId="77777777" w:rsidR="004647B9" w:rsidRPr="00B276F4" w:rsidRDefault="00E2436F" w:rsidP="006E7E0F">
      <w:pPr>
        <w:numPr>
          <w:ilvl w:val="1"/>
          <w:numId w:val="395"/>
        </w:numPr>
        <w:tabs>
          <w:tab w:val="left" w:pos="2034"/>
        </w:tabs>
        <w:ind w:left="1560" w:hanging="5"/>
        <w:jc w:val="both"/>
        <w:rPr>
          <w:rFonts w:eastAsia="Times New Roman"/>
          <w:sz w:val="24"/>
          <w:szCs w:val="24"/>
        </w:rPr>
      </w:pPr>
      <w:r w:rsidRPr="00B276F4">
        <w:rPr>
          <w:rFonts w:eastAsia="Times New Roman"/>
          <w:sz w:val="24"/>
          <w:szCs w:val="24"/>
        </w:rPr>
        <w:t>Nephelometric Method, Method 180.1, "</w:t>
      </w:r>
      <w:r w:rsidRPr="00B276F4">
        <w:rPr>
          <w:rFonts w:eastAsia="Times New Roman"/>
          <w:i/>
          <w:iCs/>
          <w:sz w:val="24"/>
          <w:szCs w:val="24"/>
        </w:rPr>
        <w:t>Methods in the Determination of Inorganic</w:t>
      </w:r>
      <w:r w:rsidRPr="00B276F4">
        <w:rPr>
          <w:rFonts w:eastAsia="Times New Roman"/>
          <w:sz w:val="24"/>
          <w:szCs w:val="24"/>
        </w:rPr>
        <w:t xml:space="preserve"> </w:t>
      </w:r>
      <w:r w:rsidRPr="00B276F4">
        <w:rPr>
          <w:rFonts w:eastAsia="Times New Roman"/>
          <w:i/>
          <w:iCs/>
          <w:sz w:val="24"/>
          <w:szCs w:val="24"/>
        </w:rPr>
        <w:t>Substances in Environmental Samples</w:t>
      </w:r>
      <w:r w:rsidRPr="00B276F4">
        <w:rPr>
          <w:rFonts w:eastAsia="Times New Roman"/>
          <w:sz w:val="24"/>
          <w:szCs w:val="24"/>
        </w:rPr>
        <w:t>" EPA-600/R-93-100, August 1995, Available at</w:t>
      </w:r>
      <w:r w:rsidRPr="00B276F4">
        <w:rPr>
          <w:rFonts w:eastAsia="Times New Roman"/>
          <w:i/>
          <w:iCs/>
          <w:sz w:val="24"/>
          <w:szCs w:val="24"/>
        </w:rPr>
        <w:t xml:space="preserve"> </w:t>
      </w:r>
      <w:r w:rsidRPr="00B276F4">
        <w:rPr>
          <w:rFonts w:eastAsia="Times New Roman"/>
          <w:sz w:val="24"/>
          <w:szCs w:val="24"/>
        </w:rPr>
        <w:t>NTISPB94-121811.</w:t>
      </w:r>
    </w:p>
    <w:p w14:paraId="2819FF38" w14:textId="4FE645B2" w:rsidR="004647B9" w:rsidRPr="00B276F4" w:rsidRDefault="00E2436F" w:rsidP="006E7E0F">
      <w:pPr>
        <w:numPr>
          <w:ilvl w:val="1"/>
          <w:numId w:val="395"/>
        </w:numPr>
        <w:tabs>
          <w:tab w:val="left" w:pos="1968"/>
        </w:tabs>
        <w:ind w:left="1560" w:hanging="5"/>
        <w:rPr>
          <w:rFonts w:eastAsia="Times New Roman"/>
          <w:sz w:val="24"/>
          <w:szCs w:val="24"/>
        </w:rPr>
      </w:pPr>
      <w:r w:rsidRPr="00B276F4">
        <w:rPr>
          <w:rFonts w:eastAsia="Times New Roman"/>
          <w:sz w:val="24"/>
          <w:szCs w:val="24"/>
        </w:rPr>
        <w:t>GLI Method 2, "</w:t>
      </w:r>
      <w:r w:rsidRPr="00B276F4">
        <w:rPr>
          <w:rFonts w:eastAsia="Times New Roman"/>
          <w:i/>
          <w:iCs/>
          <w:sz w:val="24"/>
          <w:szCs w:val="24"/>
        </w:rPr>
        <w:t>Turbidity</w:t>
      </w:r>
      <w:r w:rsidRPr="00B276F4">
        <w:rPr>
          <w:rFonts w:eastAsia="Times New Roman"/>
          <w:sz w:val="24"/>
          <w:szCs w:val="24"/>
        </w:rPr>
        <w:t>" November 2, 1992, Great Lakes Instrumentation, Inc., 8855 North 55</w:t>
      </w:r>
      <w:r w:rsidRPr="00B276F4">
        <w:rPr>
          <w:rFonts w:eastAsia="Times New Roman"/>
          <w:sz w:val="24"/>
          <w:szCs w:val="24"/>
          <w:vertAlign w:val="superscript"/>
        </w:rPr>
        <w:t>th</w:t>
      </w:r>
      <w:r w:rsidRPr="00B276F4">
        <w:rPr>
          <w:rFonts w:eastAsia="Times New Roman"/>
          <w:sz w:val="24"/>
          <w:szCs w:val="24"/>
        </w:rPr>
        <w:t xml:space="preserve"> Street, Milwalkee, Wisconsin</w:t>
      </w:r>
      <w:r w:rsidR="00336461" w:rsidRPr="00B276F4">
        <w:rPr>
          <w:rFonts w:eastAsia="Times New Roman"/>
          <w:sz w:val="24"/>
          <w:szCs w:val="24"/>
        </w:rPr>
        <w:t>.</w:t>
      </w:r>
    </w:p>
    <w:p w14:paraId="2819FF39" w14:textId="77777777" w:rsidR="004647B9" w:rsidRPr="00B276F4" w:rsidRDefault="00E2436F" w:rsidP="006E7E0F">
      <w:pPr>
        <w:numPr>
          <w:ilvl w:val="1"/>
          <w:numId w:val="395"/>
        </w:numPr>
        <w:tabs>
          <w:tab w:val="left" w:pos="2002"/>
        </w:tabs>
        <w:ind w:left="1560" w:hanging="5"/>
        <w:jc w:val="both"/>
        <w:rPr>
          <w:rFonts w:eastAsia="Times New Roman"/>
          <w:sz w:val="24"/>
          <w:szCs w:val="24"/>
        </w:rPr>
      </w:pPr>
      <w:r w:rsidRPr="00B276F4">
        <w:rPr>
          <w:rFonts w:eastAsia="Times New Roman"/>
          <w:sz w:val="24"/>
          <w:szCs w:val="24"/>
        </w:rPr>
        <w:t>Hach FilterTrak Method 10133. A description of the Hach Filter Trak Method 10133, “</w:t>
      </w:r>
      <w:r w:rsidRPr="00B276F4">
        <w:rPr>
          <w:rFonts w:eastAsia="Times New Roman"/>
          <w:i/>
          <w:iCs/>
          <w:sz w:val="24"/>
          <w:szCs w:val="24"/>
        </w:rPr>
        <w:t>Determination of Turbidity by Laser Nephelometry</w:t>
      </w:r>
      <w:r w:rsidRPr="00B276F4">
        <w:rPr>
          <w:rFonts w:eastAsia="Times New Roman"/>
          <w:sz w:val="24"/>
          <w:szCs w:val="24"/>
        </w:rPr>
        <w:t>”, January 2000, Revision 2.0, can be obtained from; Hach Co., P.O. Box 389, Loveland, CO 80539-0389, telephone: 800-227-4224.</w:t>
      </w:r>
    </w:p>
    <w:p w14:paraId="2819FF3B" w14:textId="77777777" w:rsidR="004647B9" w:rsidRPr="00B276F4" w:rsidRDefault="00E2436F" w:rsidP="006E7E0F">
      <w:pPr>
        <w:numPr>
          <w:ilvl w:val="1"/>
          <w:numId w:val="395"/>
        </w:numPr>
        <w:tabs>
          <w:tab w:val="left" w:pos="2085"/>
        </w:tabs>
        <w:ind w:left="1560" w:hanging="5"/>
        <w:rPr>
          <w:rFonts w:eastAsia="Times New Roman"/>
          <w:sz w:val="24"/>
          <w:szCs w:val="24"/>
        </w:rPr>
      </w:pPr>
      <w:r w:rsidRPr="00B276F4">
        <w:rPr>
          <w:rFonts w:eastAsia="Times New Roman"/>
          <w:sz w:val="24"/>
          <w:szCs w:val="24"/>
        </w:rPr>
        <w:t>Styrene divinyl benzene beads (</w:t>
      </w:r>
      <w:r w:rsidRPr="00B276F4">
        <w:rPr>
          <w:rFonts w:eastAsia="Times New Roman"/>
          <w:i/>
          <w:iCs/>
          <w:sz w:val="24"/>
          <w:szCs w:val="24"/>
        </w:rPr>
        <w:t>e.g</w:t>
      </w:r>
      <w:r w:rsidRPr="00B276F4">
        <w:rPr>
          <w:rFonts w:eastAsia="Times New Roman"/>
          <w:sz w:val="24"/>
          <w:szCs w:val="24"/>
        </w:rPr>
        <w:t>. AMCO-AEPA-1 or equivalent) and stabilized formazin (</w:t>
      </w:r>
      <w:r w:rsidRPr="00B276F4">
        <w:rPr>
          <w:rFonts w:eastAsia="Times New Roman"/>
          <w:i/>
          <w:iCs/>
          <w:sz w:val="24"/>
          <w:szCs w:val="24"/>
        </w:rPr>
        <w:t>e.g</w:t>
      </w:r>
      <w:r w:rsidRPr="00B276F4">
        <w:rPr>
          <w:rFonts w:eastAsia="Times New Roman"/>
          <w:sz w:val="24"/>
          <w:szCs w:val="24"/>
        </w:rPr>
        <w:t>. Hach StablCal™ or equivalent) are acceptable substitutes for formazin.</w:t>
      </w:r>
    </w:p>
    <w:p w14:paraId="2819FF3C" w14:textId="77777777" w:rsidR="004647B9" w:rsidRPr="00B276F4" w:rsidRDefault="004647B9" w:rsidP="006E7E0F">
      <w:pPr>
        <w:rPr>
          <w:rFonts w:eastAsia="Times New Roman"/>
          <w:sz w:val="24"/>
          <w:szCs w:val="24"/>
        </w:rPr>
      </w:pPr>
    </w:p>
    <w:p w14:paraId="2819FF3D" w14:textId="77777777" w:rsidR="004647B9" w:rsidRPr="00B276F4" w:rsidRDefault="00E2436F" w:rsidP="006E7E0F">
      <w:pPr>
        <w:numPr>
          <w:ilvl w:val="0"/>
          <w:numId w:val="395"/>
        </w:numPr>
        <w:tabs>
          <w:tab w:val="left" w:pos="1609"/>
        </w:tabs>
        <w:ind w:left="1200"/>
        <w:rPr>
          <w:rFonts w:eastAsia="Times New Roman"/>
          <w:sz w:val="24"/>
          <w:szCs w:val="24"/>
        </w:rPr>
      </w:pPr>
      <w:r w:rsidRPr="00B276F4">
        <w:rPr>
          <w:rFonts w:eastAsia="Times New Roman"/>
          <w:sz w:val="24"/>
          <w:szCs w:val="24"/>
        </w:rPr>
        <w:t>In no event shall the frequency of sampling be less than as set forth in 310 CMR 22.08(3)(a) through (d):</w:t>
      </w:r>
    </w:p>
    <w:p w14:paraId="2819FF3F" w14:textId="77777777" w:rsidR="004647B9" w:rsidRPr="00B276F4" w:rsidRDefault="00E2436F" w:rsidP="006E7E0F">
      <w:pPr>
        <w:numPr>
          <w:ilvl w:val="1"/>
          <w:numId w:val="395"/>
        </w:numPr>
        <w:tabs>
          <w:tab w:val="left" w:pos="1970"/>
        </w:tabs>
        <w:ind w:left="1560" w:hanging="5"/>
        <w:jc w:val="both"/>
        <w:rPr>
          <w:rFonts w:eastAsia="Times New Roman"/>
          <w:sz w:val="24"/>
          <w:szCs w:val="24"/>
        </w:rPr>
      </w:pPr>
      <w:r w:rsidRPr="00B276F4">
        <w:rPr>
          <w:rFonts w:eastAsia="Times New Roman"/>
          <w:sz w:val="24"/>
          <w:szCs w:val="24"/>
        </w:rPr>
        <w:t>Community water systems subject to 310 CMR 22.08 shall commence sampling by not later than June 24, 1977 and shall take at least one sample per day thereafter. All samples shall be taken at representative entry point(s) to the distribution system.</w:t>
      </w:r>
    </w:p>
    <w:p w14:paraId="2819FF41" w14:textId="77777777" w:rsidR="004647B9" w:rsidRDefault="00E2436F" w:rsidP="006E7E0F">
      <w:pPr>
        <w:numPr>
          <w:ilvl w:val="1"/>
          <w:numId w:val="395"/>
        </w:numPr>
        <w:tabs>
          <w:tab w:val="left" w:pos="2026"/>
        </w:tabs>
        <w:ind w:left="1560" w:hanging="5"/>
        <w:jc w:val="both"/>
        <w:rPr>
          <w:rFonts w:eastAsia="Times New Roman"/>
          <w:sz w:val="24"/>
          <w:szCs w:val="24"/>
        </w:rPr>
      </w:pPr>
      <w:r w:rsidRPr="00B276F4">
        <w:rPr>
          <w:rFonts w:eastAsia="Times New Roman"/>
          <w:sz w:val="24"/>
          <w:szCs w:val="24"/>
        </w:rPr>
        <w:t>Non-community water systems subject to 310 CMR 22.08 shall commence sampling by not later than June 24, 1979 and shall take at least one sample per day thereafter. All samples shall be taken at representative entry point(s) to the distribution system</w:t>
      </w:r>
      <w:r>
        <w:rPr>
          <w:rFonts w:eastAsia="Times New Roman"/>
          <w:sz w:val="24"/>
          <w:szCs w:val="24"/>
        </w:rPr>
        <w:t>.</w:t>
      </w:r>
    </w:p>
    <w:p w14:paraId="2819FF42" w14:textId="76E1ACDE" w:rsidR="00513E58" w:rsidRDefault="00513E58" w:rsidP="006E7E0F">
      <w:pPr>
        <w:rPr>
          <w:sz w:val="20"/>
          <w:szCs w:val="20"/>
        </w:rPr>
      </w:pPr>
      <w:r>
        <w:rPr>
          <w:sz w:val="20"/>
          <w:szCs w:val="20"/>
        </w:rPr>
        <w:br w:type="page"/>
      </w:r>
    </w:p>
    <w:p w14:paraId="2819FF43" w14:textId="77777777" w:rsidR="004647B9" w:rsidRDefault="004647B9" w:rsidP="006E7E0F">
      <w:pPr>
        <w:sectPr w:rsidR="004647B9" w:rsidSect="00EF630C">
          <w:pgSz w:w="12240" w:h="20180"/>
          <w:pgMar w:top="708" w:right="1440" w:bottom="1440" w:left="600" w:header="0" w:footer="0" w:gutter="0"/>
          <w:cols w:space="720"/>
        </w:sectPr>
      </w:pPr>
    </w:p>
    <w:p w14:paraId="2819FF44" w14:textId="77777777" w:rsidR="004647B9" w:rsidRDefault="00E2436F">
      <w:pPr>
        <w:tabs>
          <w:tab w:val="left" w:pos="160"/>
        </w:tabs>
        <w:jc w:val="center"/>
        <w:rPr>
          <w:sz w:val="20"/>
          <w:szCs w:val="20"/>
        </w:rPr>
      </w:pPr>
      <w:bookmarkStart w:id="148" w:name="page150"/>
      <w:bookmarkEnd w:id="14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F45" w14:textId="77777777" w:rsidR="004647B9" w:rsidRDefault="004647B9" w:rsidP="00EC1EC0">
      <w:pPr>
        <w:rPr>
          <w:sz w:val="20"/>
          <w:szCs w:val="20"/>
        </w:rPr>
      </w:pPr>
    </w:p>
    <w:p w14:paraId="2819FF46" w14:textId="77777777" w:rsidR="004647B9" w:rsidRDefault="004647B9" w:rsidP="00EC1EC0">
      <w:pPr>
        <w:rPr>
          <w:sz w:val="20"/>
          <w:szCs w:val="20"/>
        </w:rPr>
      </w:pPr>
    </w:p>
    <w:p w14:paraId="2819FF47" w14:textId="77777777" w:rsidR="004647B9" w:rsidRDefault="00E2436F" w:rsidP="00EC1EC0">
      <w:pPr>
        <w:tabs>
          <w:tab w:val="left" w:pos="760"/>
        </w:tabs>
        <w:rPr>
          <w:sz w:val="20"/>
          <w:szCs w:val="20"/>
        </w:rPr>
      </w:pPr>
      <w:r>
        <w:rPr>
          <w:rFonts w:eastAsia="Times New Roman"/>
          <w:sz w:val="24"/>
          <w:szCs w:val="24"/>
        </w:rPr>
        <w:t>22.08:</w:t>
      </w:r>
      <w:r>
        <w:rPr>
          <w:rFonts w:eastAsia="Times New Roman"/>
          <w:sz w:val="24"/>
          <w:szCs w:val="24"/>
        </w:rPr>
        <w:tab/>
        <w:t>continued</w:t>
      </w:r>
    </w:p>
    <w:p w14:paraId="2819FF48" w14:textId="77777777" w:rsidR="004647B9" w:rsidRPr="00EC1EC0" w:rsidRDefault="004647B9" w:rsidP="00EC1EC0">
      <w:pPr>
        <w:rPr>
          <w:sz w:val="20"/>
          <w:szCs w:val="20"/>
        </w:rPr>
      </w:pPr>
    </w:p>
    <w:p w14:paraId="2819FF49" w14:textId="77777777" w:rsidR="004647B9" w:rsidRPr="00B276F4" w:rsidRDefault="00E2436F" w:rsidP="00EC1EC0">
      <w:pPr>
        <w:numPr>
          <w:ilvl w:val="1"/>
          <w:numId w:val="396"/>
        </w:numPr>
        <w:tabs>
          <w:tab w:val="left" w:pos="2004"/>
        </w:tabs>
        <w:ind w:left="1560" w:hanging="5"/>
        <w:jc w:val="both"/>
        <w:rPr>
          <w:rFonts w:eastAsia="Times New Roman"/>
          <w:sz w:val="24"/>
          <w:szCs w:val="24"/>
        </w:rPr>
      </w:pPr>
      <w:r w:rsidRPr="00B276F4">
        <w:rPr>
          <w:rFonts w:eastAsia="Times New Roman"/>
          <w:sz w:val="24"/>
          <w:szCs w:val="24"/>
        </w:rPr>
        <w:t>If the result of a turbidity analysis pursuant to 310 CMR 22.08(3)(a) and (b) indicates that the maximum contaminant level has been exceeded, the sampling and measurement shall be confirmed by resampling as soon as practicable and preferably within one hour. If the repeat sample confirms that the maximum contaminant level has been exceeded, the supplier of water shall report to the Department by the end of the next business day. The repeat sample shall be the sample used for calculating the monthly average pursuant to 310 CMR 22.08(3)(a) and (b). If the monthly average of the daily samples exceeds one turbidity unit, or if the average of two consecutive daily samples exceeds five turbidity units, the supplier of water shall notify the public pursuant to 310 CMR 22.16.</w:t>
      </w:r>
    </w:p>
    <w:p w14:paraId="2819FF4B" w14:textId="77777777" w:rsidR="004647B9" w:rsidRPr="00B276F4" w:rsidRDefault="00E2436F" w:rsidP="00EC1EC0">
      <w:pPr>
        <w:numPr>
          <w:ilvl w:val="1"/>
          <w:numId w:val="396"/>
        </w:numPr>
        <w:tabs>
          <w:tab w:val="left" w:pos="2028"/>
        </w:tabs>
        <w:ind w:left="1560" w:hanging="5"/>
        <w:jc w:val="both"/>
        <w:rPr>
          <w:rFonts w:eastAsia="Times New Roman"/>
          <w:sz w:val="24"/>
          <w:szCs w:val="24"/>
        </w:rPr>
      </w:pPr>
      <w:r w:rsidRPr="00B276F4">
        <w:rPr>
          <w:rFonts w:eastAsia="Times New Roman"/>
          <w:sz w:val="24"/>
          <w:szCs w:val="24"/>
        </w:rPr>
        <w:t>If the Department determines that a reduced sampling frequency in a non-community system will not pose a risk to public health, it can reduce the required sampling frequency. The option of reducing the turbidity frequency shall be permitted only in those public water systems that practice disinfection and which maintain an active residual disinfectant in the distribution system, and in those cases where the Department has indicated in writing that no unreasonable risk to health existed under the circumstances of this option.</w:t>
      </w:r>
    </w:p>
    <w:p w14:paraId="2819FF4C" w14:textId="77777777" w:rsidR="004647B9" w:rsidRPr="00B276F4" w:rsidRDefault="004647B9" w:rsidP="00EC1EC0">
      <w:pPr>
        <w:rPr>
          <w:rFonts w:eastAsia="Times New Roman"/>
          <w:sz w:val="24"/>
          <w:szCs w:val="24"/>
        </w:rPr>
      </w:pPr>
    </w:p>
    <w:p w14:paraId="2819FF4D" w14:textId="77777777" w:rsidR="004647B9" w:rsidRPr="00B276F4" w:rsidRDefault="00E2436F" w:rsidP="00EC1EC0">
      <w:pPr>
        <w:numPr>
          <w:ilvl w:val="0"/>
          <w:numId w:val="397"/>
        </w:numPr>
        <w:tabs>
          <w:tab w:val="left" w:pos="1667"/>
        </w:tabs>
        <w:ind w:left="1200"/>
        <w:jc w:val="both"/>
        <w:rPr>
          <w:rFonts w:eastAsia="Times New Roman"/>
          <w:sz w:val="24"/>
          <w:szCs w:val="24"/>
        </w:rPr>
      </w:pPr>
      <w:r w:rsidRPr="00B276F4">
        <w:rPr>
          <w:rFonts w:eastAsia="Times New Roman"/>
          <w:sz w:val="24"/>
          <w:szCs w:val="24"/>
        </w:rPr>
        <w:t>The requirements in 310 CMR 22.08 apply to unfiltered systems that the Department has determined in writing that filtration is required. The requirements in 310 CMR 22.08 also apply to filtered systems until such time that said systems are in compliance with 310 CMR 22.20A. The requirements for unfiltered systems that have met the criteria for avoiding filtration must comply with 310 CMR 22.20A.</w:t>
      </w:r>
    </w:p>
    <w:p w14:paraId="2819FF4E" w14:textId="77777777" w:rsidR="004647B9" w:rsidRPr="00B276F4" w:rsidRDefault="004647B9" w:rsidP="00EC1EC0">
      <w:pPr>
        <w:rPr>
          <w:sz w:val="24"/>
          <w:szCs w:val="24"/>
        </w:rPr>
      </w:pPr>
    </w:p>
    <w:p w14:paraId="2819FF4F" w14:textId="77777777" w:rsidR="004647B9" w:rsidRPr="00B276F4" w:rsidRDefault="00E2436F" w:rsidP="00EC1EC0">
      <w:pPr>
        <w:tabs>
          <w:tab w:val="left" w:pos="940"/>
        </w:tabs>
        <w:ind w:left="960" w:right="840" w:hanging="959"/>
        <w:rPr>
          <w:sz w:val="24"/>
          <w:szCs w:val="24"/>
        </w:rPr>
      </w:pPr>
      <w:r w:rsidRPr="00B276F4">
        <w:rPr>
          <w:rFonts w:eastAsia="Times New Roman"/>
          <w:sz w:val="24"/>
          <w:szCs w:val="24"/>
          <w:u w:val="single"/>
        </w:rPr>
        <w:t>22.09A:</w:t>
      </w:r>
      <w:r w:rsidRPr="00B276F4">
        <w:rPr>
          <w:rFonts w:eastAsia="Times New Roman"/>
          <w:sz w:val="24"/>
          <w:szCs w:val="24"/>
          <w:u w:val="single"/>
        </w:rPr>
        <w:tab/>
        <w:t>Maximum Radionuclide Contaminant Levels, Monitoring Requirements and Analytical Methods Effective as of December 8, 2003</w:t>
      </w:r>
    </w:p>
    <w:p w14:paraId="2819FF50" w14:textId="77777777" w:rsidR="004647B9" w:rsidRPr="00B276F4" w:rsidRDefault="004647B9" w:rsidP="00EC1EC0">
      <w:pPr>
        <w:rPr>
          <w:sz w:val="24"/>
          <w:szCs w:val="24"/>
        </w:rPr>
      </w:pPr>
    </w:p>
    <w:p w14:paraId="2819FF51" w14:textId="77777777" w:rsidR="004647B9" w:rsidRPr="00B276F4" w:rsidRDefault="00E2436F" w:rsidP="00EC1EC0">
      <w:pPr>
        <w:numPr>
          <w:ilvl w:val="0"/>
          <w:numId w:val="398"/>
        </w:numPr>
        <w:tabs>
          <w:tab w:val="left" w:pos="1653"/>
        </w:tabs>
        <w:ind w:left="1200"/>
        <w:jc w:val="both"/>
        <w:rPr>
          <w:rFonts w:eastAsia="Times New Roman"/>
          <w:sz w:val="24"/>
          <w:szCs w:val="24"/>
        </w:rPr>
      </w:pPr>
      <w:r w:rsidRPr="00B276F4">
        <w:rPr>
          <w:rFonts w:eastAsia="Times New Roman"/>
          <w:sz w:val="24"/>
          <w:szCs w:val="24"/>
          <w:u w:val="single"/>
        </w:rPr>
        <w:t>Maximum Contaminant Levels for Radionuclides</w:t>
      </w:r>
      <w:r w:rsidRPr="00B276F4">
        <w:rPr>
          <w:rFonts w:eastAsia="Times New Roman"/>
          <w:sz w:val="24"/>
          <w:szCs w:val="24"/>
        </w:rPr>
        <w:t xml:space="preserve">: The maximum contaminant levels for radionuclide contaminants of 310 CMR 22.09A apply only to community water systems. The MCLs for radionuclides are as indicated in 310 CMR 22.09A: </w:t>
      </w:r>
      <w:r w:rsidRPr="00B276F4">
        <w:rPr>
          <w:rFonts w:eastAsia="Times New Roman"/>
          <w:i/>
          <w:iCs/>
          <w:sz w:val="24"/>
          <w:szCs w:val="24"/>
        </w:rPr>
        <w:t>Table A</w:t>
      </w:r>
      <w:r w:rsidRPr="00B276F4">
        <w:rPr>
          <w:rFonts w:eastAsia="Times New Roman"/>
          <w:sz w:val="24"/>
          <w:szCs w:val="24"/>
        </w:rPr>
        <w:t>:</w:t>
      </w:r>
    </w:p>
    <w:p w14:paraId="2819FF52" w14:textId="77777777" w:rsidR="004647B9" w:rsidRPr="006A4F12" w:rsidRDefault="004647B9" w:rsidP="00EC1EC0">
      <w:pPr>
        <w:rPr>
          <w:sz w:val="24"/>
          <w:szCs w:val="24"/>
        </w:rPr>
      </w:pPr>
    </w:p>
    <w:tbl>
      <w:tblPr>
        <w:tblW w:w="9000" w:type="dxa"/>
        <w:tblInd w:w="1210" w:type="dxa"/>
        <w:tblLayout w:type="fixed"/>
        <w:tblCellMar>
          <w:left w:w="0" w:type="dxa"/>
          <w:right w:w="0" w:type="dxa"/>
        </w:tblCellMar>
        <w:tblLook w:val="04A0" w:firstRow="1" w:lastRow="0" w:firstColumn="1" w:lastColumn="0" w:noHBand="0" w:noVBand="1"/>
      </w:tblPr>
      <w:tblGrid>
        <w:gridCol w:w="6560"/>
        <w:gridCol w:w="2440"/>
      </w:tblGrid>
      <w:tr w:rsidR="00F43589" w14:paraId="6A4845AC" w14:textId="77777777" w:rsidTr="00F43589">
        <w:trPr>
          <w:trHeight w:val="276"/>
        </w:trPr>
        <w:tc>
          <w:tcPr>
            <w:tcW w:w="9000" w:type="dxa"/>
            <w:gridSpan w:val="2"/>
            <w:vMerge w:val="restart"/>
            <w:tcBorders>
              <w:top w:val="single" w:sz="8" w:space="0" w:color="auto"/>
              <w:left w:val="single" w:sz="8" w:space="0" w:color="auto"/>
              <w:right w:val="single" w:sz="8" w:space="0" w:color="auto"/>
            </w:tcBorders>
            <w:vAlign w:val="bottom"/>
          </w:tcPr>
          <w:p w14:paraId="18FADAA8" w14:textId="77777777" w:rsidR="00F43589" w:rsidRPr="00F43589" w:rsidRDefault="00F43589" w:rsidP="00F43589">
            <w:pPr>
              <w:jc w:val="center"/>
              <w:rPr>
                <w:rFonts w:eastAsia="Times New Roman"/>
                <w:sz w:val="24"/>
                <w:szCs w:val="24"/>
              </w:rPr>
            </w:pPr>
            <w:r>
              <w:rPr>
                <w:rFonts w:eastAsia="Times New Roman"/>
                <w:sz w:val="24"/>
                <w:szCs w:val="24"/>
              </w:rPr>
              <w:t>TABLE A</w:t>
            </w:r>
          </w:p>
          <w:p w14:paraId="6A45CB06" w14:textId="4BC81181" w:rsidR="00F43589" w:rsidRDefault="00F43589" w:rsidP="00F43589">
            <w:pPr>
              <w:jc w:val="center"/>
              <w:rPr>
                <w:rFonts w:eastAsia="Times New Roman"/>
                <w:w w:val="99"/>
                <w:sz w:val="24"/>
                <w:szCs w:val="24"/>
              </w:rPr>
            </w:pPr>
            <w:r>
              <w:rPr>
                <w:rFonts w:eastAsia="Times New Roman"/>
                <w:sz w:val="24"/>
                <w:szCs w:val="24"/>
              </w:rPr>
              <w:t>MAXIMUM CONTAMINANT LEVELS FOR RADIONUCLIDES</w:t>
            </w:r>
          </w:p>
        </w:tc>
      </w:tr>
      <w:tr w:rsidR="00F43589" w14:paraId="655B9ED5" w14:textId="3BC510F2" w:rsidTr="00F43589">
        <w:trPr>
          <w:trHeight w:val="262"/>
        </w:trPr>
        <w:tc>
          <w:tcPr>
            <w:tcW w:w="9000" w:type="dxa"/>
            <w:gridSpan w:val="2"/>
            <w:vMerge/>
            <w:tcBorders>
              <w:left w:val="single" w:sz="8" w:space="0" w:color="auto"/>
              <w:bottom w:val="single" w:sz="8" w:space="0" w:color="auto"/>
              <w:right w:val="single" w:sz="8" w:space="0" w:color="auto"/>
            </w:tcBorders>
            <w:vAlign w:val="bottom"/>
          </w:tcPr>
          <w:p w14:paraId="4317065B" w14:textId="77777777" w:rsidR="00F43589" w:rsidRDefault="00F43589" w:rsidP="00F43589">
            <w:pPr>
              <w:spacing w:line="262" w:lineRule="exact"/>
              <w:jc w:val="center"/>
              <w:rPr>
                <w:rFonts w:eastAsia="Times New Roman"/>
                <w:w w:val="99"/>
                <w:sz w:val="24"/>
                <w:szCs w:val="24"/>
              </w:rPr>
            </w:pPr>
          </w:p>
        </w:tc>
      </w:tr>
      <w:tr w:rsidR="00F43589" w14:paraId="2819FF59" w14:textId="77777777" w:rsidTr="00F43589">
        <w:trPr>
          <w:trHeight w:val="262"/>
        </w:trPr>
        <w:tc>
          <w:tcPr>
            <w:tcW w:w="6560" w:type="dxa"/>
            <w:tcBorders>
              <w:top w:val="single" w:sz="8" w:space="0" w:color="auto"/>
              <w:left w:val="single" w:sz="8" w:space="0" w:color="auto"/>
              <w:bottom w:val="single" w:sz="8" w:space="0" w:color="auto"/>
              <w:right w:val="single" w:sz="8" w:space="0" w:color="auto"/>
            </w:tcBorders>
            <w:vAlign w:val="bottom"/>
          </w:tcPr>
          <w:p w14:paraId="2819FF57" w14:textId="0B2AFDAD" w:rsidR="00F43589" w:rsidRDefault="00F43589" w:rsidP="00F43589">
            <w:pPr>
              <w:spacing w:line="262" w:lineRule="exact"/>
              <w:ind w:left="2660"/>
              <w:rPr>
                <w:sz w:val="20"/>
                <w:szCs w:val="20"/>
              </w:rPr>
            </w:pPr>
            <w:r>
              <w:rPr>
                <w:rFonts w:eastAsia="Times New Roman"/>
                <w:sz w:val="24"/>
                <w:szCs w:val="24"/>
              </w:rPr>
              <w:t>Contaminant</w:t>
            </w:r>
          </w:p>
        </w:tc>
        <w:tc>
          <w:tcPr>
            <w:tcW w:w="2440" w:type="dxa"/>
            <w:tcBorders>
              <w:top w:val="single" w:sz="8" w:space="0" w:color="auto"/>
              <w:bottom w:val="single" w:sz="8" w:space="0" w:color="auto"/>
              <w:right w:val="single" w:sz="8" w:space="0" w:color="auto"/>
            </w:tcBorders>
            <w:vAlign w:val="bottom"/>
          </w:tcPr>
          <w:p w14:paraId="2819FF58" w14:textId="77777777" w:rsidR="00F43589" w:rsidRDefault="00F43589" w:rsidP="00F43589">
            <w:pPr>
              <w:spacing w:line="262" w:lineRule="exact"/>
              <w:jc w:val="center"/>
              <w:rPr>
                <w:sz w:val="20"/>
                <w:szCs w:val="20"/>
              </w:rPr>
            </w:pPr>
            <w:r>
              <w:rPr>
                <w:rFonts w:eastAsia="Times New Roman"/>
                <w:w w:val="99"/>
                <w:sz w:val="24"/>
                <w:szCs w:val="24"/>
              </w:rPr>
              <w:t>MCL</w:t>
            </w:r>
          </w:p>
        </w:tc>
      </w:tr>
      <w:tr w:rsidR="00F43589" w14:paraId="2819FF5C" w14:textId="77777777" w:rsidTr="00F43589">
        <w:trPr>
          <w:trHeight w:val="266"/>
        </w:trPr>
        <w:tc>
          <w:tcPr>
            <w:tcW w:w="6560" w:type="dxa"/>
            <w:tcBorders>
              <w:left w:val="single" w:sz="8" w:space="0" w:color="auto"/>
              <w:right w:val="single" w:sz="8" w:space="0" w:color="auto"/>
            </w:tcBorders>
            <w:vAlign w:val="bottom"/>
          </w:tcPr>
          <w:p w14:paraId="2819FF5A" w14:textId="77777777" w:rsidR="00F43589" w:rsidRDefault="00F43589" w:rsidP="00F43589">
            <w:pPr>
              <w:spacing w:line="265" w:lineRule="exact"/>
              <w:ind w:left="100"/>
              <w:rPr>
                <w:sz w:val="20"/>
                <w:szCs w:val="20"/>
              </w:rPr>
            </w:pPr>
            <w:r>
              <w:rPr>
                <w:rFonts w:eastAsia="Times New Roman"/>
                <w:sz w:val="24"/>
                <w:szCs w:val="24"/>
              </w:rPr>
              <w:t>Combined radium-226 and radium-228</w:t>
            </w:r>
          </w:p>
        </w:tc>
        <w:tc>
          <w:tcPr>
            <w:tcW w:w="2440" w:type="dxa"/>
            <w:tcBorders>
              <w:right w:val="single" w:sz="8" w:space="0" w:color="auto"/>
            </w:tcBorders>
            <w:vAlign w:val="bottom"/>
          </w:tcPr>
          <w:p w14:paraId="2819FF5B" w14:textId="77777777" w:rsidR="00F43589" w:rsidRDefault="00F43589" w:rsidP="00F43589">
            <w:pPr>
              <w:spacing w:line="265" w:lineRule="exact"/>
              <w:jc w:val="center"/>
              <w:rPr>
                <w:sz w:val="20"/>
                <w:szCs w:val="20"/>
              </w:rPr>
            </w:pPr>
            <w:r>
              <w:rPr>
                <w:rFonts w:eastAsia="Times New Roman"/>
                <w:w w:val="99"/>
                <w:sz w:val="24"/>
                <w:szCs w:val="24"/>
              </w:rPr>
              <w:t>5 pCi/L</w:t>
            </w:r>
          </w:p>
        </w:tc>
      </w:tr>
      <w:tr w:rsidR="00F43589" w14:paraId="2819FF5F" w14:textId="77777777" w:rsidTr="00F43589">
        <w:trPr>
          <w:trHeight w:val="259"/>
        </w:trPr>
        <w:tc>
          <w:tcPr>
            <w:tcW w:w="6560" w:type="dxa"/>
            <w:tcBorders>
              <w:left w:val="single" w:sz="8" w:space="0" w:color="auto"/>
              <w:right w:val="single" w:sz="8" w:space="0" w:color="auto"/>
            </w:tcBorders>
            <w:vAlign w:val="bottom"/>
          </w:tcPr>
          <w:p w14:paraId="2819FF5D" w14:textId="77777777" w:rsidR="00F43589" w:rsidRDefault="00F43589" w:rsidP="00F43589">
            <w:pPr>
              <w:spacing w:line="259" w:lineRule="exact"/>
              <w:ind w:left="100"/>
              <w:rPr>
                <w:sz w:val="20"/>
                <w:szCs w:val="20"/>
              </w:rPr>
            </w:pPr>
            <w:r>
              <w:rPr>
                <w:rFonts w:eastAsia="Times New Roman"/>
                <w:sz w:val="24"/>
                <w:szCs w:val="24"/>
              </w:rPr>
              <w:t>Gross alpha particle activity (excluding radon and uranium)</w:t>
            </w:r>
          </w:p>
        </w:tc>
        <w:tc>
          <w:tcPr>
            <w:tcW w:w="2440" w:type="dxa"/>
            <w:tcBorders>
              <w:right w:val="single" w:sz="8" w:space="0" w:color="auto"/>
            </w:tcBorders>
            <w:vAlign w:val="bottom"/>
          </w:tcPr>
          <w:p w14:paraId="2819FF5E" w14:textId="77777777" w:rsidR="00F43589" w:rsidRDefault="00F43589" w:rsidP="00F43589">
            <w:pPr>
              <w:spacing w:line="259" w:lineRule="exact"/>
              <w:jc w:val="center"/>
              <w:rPr>
                <w:sz w:val="20"/>
                <w:szCs w:val="20"/>
              </w:rPr>
            </w:pPr>
            <w:r>
              <w:rPr>
                <w:rFonts w:eastAsia="Times New Roman"/>
                <w:w w:val="99"/>
                <w:sz w:val="24"/>
                <w:szCs w:val="24"/>
              </w:rPr>
              <w:t>15 pCi/L</w:t>
            </w:r>
          </w:p>
        </w:tc>
      </w:tr>
      <w:tr w:rsidR="00F43589" w14:paraId="2819FF62" w14:textId="77777777" w:rsidTr="00F43589">
        <w:trPr>
          <w:trHeight w:val="259"/>
        </w:trPr>
        <w:tc>
          <w:tcPr>
            <w:tcW w:w="6560" w:type="dxa"/>
            <w:tcBorders>
              <w:left w:val="single" w:sz="8" w:space="0" w:color="auto"/>
              <w:right w:val="single" w:sz="8" w:space="0" w:color="auto"/>
            </w:tcBorders>
            <w:vAlign w:val="bottom"/>
          </w:tcPr>
          <w:p w14:paraId="2819FF60" w14:textId="77777777" w:rsidR="00F43589" w:rsidRDefault="00F43589" w:rsidP="00F43589">
            <w:pPr>
              <w:spacing w:line="259" w:lineRule="exact"/>
              <w:ind w:left="100"/>
              <w:rPr>
                <w:sz w:val="20"/>
                <w:szCs w:val="20"/>
              </w:rPr>
            </w:pPr>
            <w:r>
              <w:rPr>
                <w:rFonts w:eastAsia="Times New Roman"/>
                <w:sz w:val="24"/>
                <w:szCs w:val="24"/>
              </w:rPr>
              <w:t>Beta particle and photon radioactivity</w:t>
            </w:r>
          </w:p>
        </w:tc>
        <w:tc>
          <w:tcPr>
            <w:tcW w:w="2440" w:type="dxa"/>
            <w:tcBorders>
              <w:right w:val="single" w:sz="8" w:space="0" w:color="auto"/>
            </w:tcBorders>
            <w:vAlign w:val="bottom"/>
          </w:tcPr>
          <w:p w14:paraId="2819FF61" w14:textId="77777777" w:rsidR="00F43589" w:rsidRDefault="00F43589" w:rsidP="00F43589">
            <w:pPr>
              <w:spacing w:line="259" w:lineRule="exact"/>
              <w:jc w:val="center"/>
              <w:rPr>
                <w:sz w:val="20"/>
                <w:szCs w:val="20"/>
              </w:rPr>
            </w:pPr>
            <w:r>
              <w:rPr>
                <w:rFonts w:eastAsia="Times New Roman"/>
                <w:sz w:val="24"/>
                <w:szCs w:val="24"/>
              </w:rPr>
              <w:t>4 mrem/year</w:t>
            </w:r>
          </w:p>
        </w:tc>
      </w:tr>
      <w:tr w:rsidR="00F43589" w14:paraId="2819FF65" w14:textId="77777777" w:rsidTr="00F43589">
        <w:trPr>
          <w:trHeight w:val="252"/>
        </w:trPr>
        <w:tc>
          <w:tcPr>
            <w:tcW w:w="6560" w:type="dxa"/>
            <w:tcBorders>
              <w:left w:val="single" w:sz="8" w:space="0" w:color="auto"/>
              <w:bottom w:val="single" w:sz="8" w:space="0" w:color="auto"/>
              <w:right w:val="single" w:sz="8" w:space="0" w:color="auto"/>
            </w:tcBorders>
            <w:vAlign w:val="bottom"/>
          </w:tcPr>
          <w:p w14:paraId="2819FF63" w14:textId="77777777" w:rsidR="00F43589" w:rsidRDefault="00F43589" w:rsidP="00F43589">
            <w:pPr>
              <w:spacing w:line="252" w:lineRule="exact"/>
              <w:ind w:left="100"/>
              <w:rPr>
                <w:sz w:val="20"/>
                <w:szCs w:val="20"/>
              </w:rPr>
            </w:pPr>
            <w:r>
              <w:rPr>
                <w:rFonts w:eastAsia="Times New Roman"/>
                <w:sz w:val="24"/>
                <w:szCs w:val="24"/>
              </w:rPr>
              <w:t>Uranium</w:t>
            </w:r>
          </w:p>
        </w:tc>
        <w:tc>
          <w:tcPr>
            <w:tcW w:w="2440" w:type="dxa"/>
            <w:tcBorders>
              <w:bottom w:val="single" w:sz="8" w:space="0" w:color="auto"/>
              <w:right w:val="single" w:sz="8" w:space="0" w:color="auto"/>
            </w:tcBorders>
            <w:vAlign w:val="bottom"/>
          </w:tcPr>
          <w:p w14:paraId="2819FF64" w14:textId="77777777" w:rsidR="00F43589" w:rsidRDefault="00F43589" w:rsidP="00F43589">
            <w:pPr>
              <w:spacing w:line="252" w:lineRule="exact"/>
              <w:jc w:val="center"/>
              <w:rPr>
                <w:sz w:val="20"/>
                <w:szCs w:val="20"/>
              </w:rPr>
            </w:pPr>
            <w:r>
              <w:rPr>
                <w:rFonts w:eastAsia="Times New Roman"/>
                <w:sz w:val="24"/>
                <w:szCs w:val="24"/>
              </w:rPr>
              <w:t>30 µg/L</w:t>
            </w:r>
          </w:p>
        </w:tc>
      </w:tr>
    </w:tbl>
    <w:p w14:paraId="2819FF66" w14:textId="77777777" w:rsidR="004647B9" w:rsidRPr="000B0408" w:rsidRDefault="004647B9" w:rsidP="000B0408">
      <w:pPr>
        <w:rPr>
          <w:sz w:val="24"/>
          <w:szCs w:val="24"/>
        </w:rPr>
      </w:pPr>
    </w:p>
    <w:p w14:paraId="2819FF67" w14:textId="77777777" w:rsidR="004647B9" w:rsidRPr="00B276F4" w:rsidRDefault="00E2436F" w:rsidP="006A4F12">
      <w:pPr>
        <w:numPr>
          <w:ilvl w:val="0"/>
          <w:numId w:val="399"/>
        </w:numPr>
        <w:tabs>
          <w:tab w:val="left" w:pos="2011"/>
        </w:tabs>
        <w:ind w:left="1560" w:hanging="5"/>
        <w:jc w:val="both"/>
        <w:rPr>
          <w:rFonts w:eastAsia="Times New Roman"/>
          <w:sz w:val="24"/>
          <w:szCs w:val="24"/>
        </w:rPr>
      </w:pPr>
      <w:r w:rsidRPr="00B276F4">
        <w:rPr>
          <w:rFonts w:eastAsia="Times New Roman"/>
          <w:sz w:val="24"/>
          <w:szCs w:val="24"/>
          <w:u w:val="single"/>
        </w:rPr>
        <w:t>MCL for Combined Radium-226 And radium-228</w:t>
      </w:r>
      <w:r w:rsidRPr="00B276F4">
        <w:rPr>
          <w:rFonts w:eastAsia="Times New Roman"/>
          <w:sz w:val="24"/>
          <w:szCs w:val="24"/>
        </w:rPr>
        <w:t>. The maximum contaminant level for combined radium-226 and radium-228 is 5 pCi/L. The combined radium-226 and radium-228 value is determined by the addition of the results of the analysis for radium-226 and the analysis for radium-228.</w:t>
      </w:r>
    </w:p>
    <w:p w14:paraId="2819FF69" w14:textId="77777777" w:rsidR="004647B9" w:rsidRPr="00B276F4" w:rsidRDefault="00E2436F" w:rsidP="006A4F12">
      <w:pPr>
        <w:numPr>
          <w:ilvl w:val="0"/>
          <w:numId w:val="399"/>
        </w:numPr>
        <w:tabs>
          <w:tab w:val="left" w:pos="2164"/>
        </w:tabs>
        <w:ind w:left="1560" w:hanging="5"/>
        <w:jc w:val="both"/>
        <w:rPr>
          <w:rFonts w:eastAsia="Times New Roman"/>
          <w:sz w:val="24"/>
          <w:szCs w:val="24"/>
        </w:rPr>
      </w:pPr>
      <w:r w:rsidRPr="00B276F4">
        <w:rPr>
          <w:rFonts w:eastAsia="Times New Roman"/>
          <w:sz w:val="24"/>
          <w:szCs w:val="24"/>
          <w:u w:val="single"/>
        </w:rPr>
        <w:t>MCL for Gross Alpha Particle Activity (Excluding Radon and Uranium)</w:t>
      </w:r>
      <w:r w:rsidRPr="00B276F4">
        <w:rPr>
          <w:rFonts w:eastAsia="Times New Roman"/>
          <w:sz w:val="24"/>
          <w:szCs w:val="24"/>
        </w:rPr>
        <w:t>. The maximum contaminant level for gross alpha particle activity (including radium-226 but excluding radon and uranium) is 15 pCi/L.</w:t>
      </w:r>
    </w:p>
    <w:p w14:paraId="2819FF6B" w14:textId="77777777" w:rsidR="004647B9" w:rsidRPr="00B276F4" w:rsidRDefault="00E2436F" w:rsidP="006A4F12">
      <w:pPr>
        <w:numPr>
          <w:ilvl w:val="0"/>
          <w:numId w:val="399"/>
        </w:numPr>
        <w:tabs>
          <w:tab w:val="left" w:pos="2000"/>
        </w:tabs>
        <w:ind w:left="2000" w:hanging="445"/>
        <w:rPr>
          <w:rFonts w:eastAsia="Times New Roman"/>
          <w:sz w:val="24"/>
          <w:szCs w:val="24"/>
        </w:rPr>
      </w:pPr>
      <w:r w:rsidRPr="00B276F4">
        <w:rPr>
          <w:rFonts w:eastAsia="Times New Roman"/>
          <w:sz w:val="24"/>
          <w:szCs w:val="24"/>
          <w:u w:val="single"/>
        </w:rPr>
        <w:t>MCL for Beta Particle and Photon Radioactivity</w:t>
      </w:r>
      <w:r w:rsidRPr="00B276F4">
        <w:rPr>
          <w:rFonts w:eastAsia="Times New Roman"/>
          <w:sz w:val="24"/>
          <w:szCs w:val="24"/>
        </w:rPr>
        <w:t>.</w:t>
      </w:r>
    </w:p>
    <w:p w14:paraId="2819FF6C" w14:textId="77777777" w:rsidR="004647B9" w:rsidRPr="00B276F4" w:rsidRDefault="00E2436F" w:rsidP="006A4F12">
      <w:pPr>
        <w:numPr>
          <w:ilvl w:val="1"/>
          <w:numId w:val="399"/>
        </w:numPr>
        <w:tabs>
          <w:tab w:val="left" w:pos="2220"/>
        </w:tabs>
        <w:ind w:left="1920" w:hanging="5"/>
        <w:jc w:val="both"/>
        <w:rPr>
          <w:rFonts w:eastAsia="Times New Roman"/>
          <w:sz w:val="24"/>
          <w:szCs w:val="24"/>
        </w:rPr>
      </w:pPr>
      <w:r w:rsidRPr="00B276F4">
        <w:rPr>
          <w:rFonts w:eastAsia="Times New Roman"/>
          <w:sz w:val="24"/>
          <w:szCs w:val="24"/>
        </w:rPr>
        <w:t>The average annual concentration of beta particle and photon radioactivity from man-made radionuclides in drinking water must not produce an annual dose equivalent to the total body or any internal organ greater than four millirem/year (mrem/year).</w:t>
      </w:r>
    </w:p>
    <w:p w14:paraId="0D974EBD" w14:textId="2AC47C68" w:rsidR="00B276F4" w:rsidRPr="003A7043" w:rsidRDefault="00E2436F">
      <w:pPr>
        <w:numPr>
          <w:ilvl w:val="1"/>
          <w:numId w:val="399"/>
        </w:numPr>
        <w:tabs>
          <w:tab w:val="left" w:pos="2258"/>
        </w:tabs>
        <w:ind w:left="1920" w:hanging="5"/>
        <w:jc w:val="both"/>
        <w:rPr>
          <w:rFonts w:eastAsia="Times New Roman"/>
          <w:sz w:val="24"/>
          <w:szCs w:val="24"/>
        </w:rPr>
      </w:pPr>
      <w:r w:rsidRPr="003A7043">
        <w:rPr>
          <w:rFonts w:eastAsia="Times New Roman"/>
          <w:sz w:val="24"/>
          <w:szCs w:val="24"/>
        </w:rPr>
        <w:t xml:space="preserve">Except for the radionuclides listed in 310 CMR 22.09A: </w:t>
      </w:r>
      <w:r w:rsidRPr="003A7043">
        <w:rPr>
          <w:rFonts w:eastAsia="Times New Roman"/>
          <w:i/>
          <w:iCs/>
          <w:sz w:val="24"/>
          <w:szCs w:val="24"/>
        </w:rPr>
        <w:t>Table B</w:t>
      </w:r>
      <w:r w:rsidRPr="003A7043">
        <w:rPr>
          <w:rFonts w:eastAsia="Times New Roman"/>
          <w:sz w:val="24"/>
          <w:szCs w:val="24"/>
        </w:rPr>
        <w:t>, the concentration of man-made radionuclides causing four mrem total body or organ dose equivalents must be calculated on the basis of two liter per day drinking water intake using the 168 hour data list in “</w:t>
      </w:r>
      <w:r w:rsidRPr="003A7043">
        <w:rPr>
          <w:rFonts w:eastAsia="Times New Roman"/>
          <w:i/>
          <w:iCs/>
          <w:sz w:val="24"/>
          <w:szCs w:val="24"/>
        </w:rPr>
        <w:t>Maximum Permissible Body Burdens and Maximum Permissible</w:t>
      </w:r>
      <w:r w:rsidRPr="003A7043">
        <w:rPr>
          <w:rFonts w:eastAsia="Times New Roman"/>
          <w:sz w:val="24"/>
          <w:szCs w:val="24"/>
        </w:rPr>
        <w:t xml:space="preserve"> </w:t>
      </w:r>
      <w:r w:rsidRPr="003A7043">
        <w:rPr>
          <w:rFonts w:eastAsia="Times New Roman"/>
          <w:i/>
          <w:iCs/>
          <w:sz w:val="24"/>
          <w:szCs w:val="24"/>
        </w:rPr>
        <w:t>Concentrations of Radionuclides in Air and in Water for Occupational Exposure</w:t>
      </w:r>
      <w:r w:rsidRPr="003A7043">
        <w:rPr>
          <w:rFonts w:eastAsia="Times New Roman"/>
          <w:sz w:val="24"/>
          <w:szCs w:val="24"/>
        </w:rPr>
        <w:t>” NBS</w:t>
      </w:r>
      <w:r w:rsidRPr="003A7043">
        <w:rPr>
          <w:rFonts w:eastAsia="Times New Roman"/>
          <w:i/>
          <w:iCs/>
          <w:sz w:val="24"/>
          <w:szCs w:val="24"/>
        </w:rPr>
        <w:t xml:space="preserve"> </w:t>
      </w:r>
      <w:r w:rsidRPr="003A7043">
        <w:rPr>
          <w:rFonts w:eastAsia="Times New Roman"/>
          <w:sz w:val="24"/>
          <w:szCs w:val="24"/>
        </w:rPr>
        <w:t>(National Bureau of Standards) Handbook 69 as amended August 1963, U.S. Department of Commerce. Copies of this document are available from the National Technical Information Service, NTIS ADA 280 282, U.S. Department of Commerce, 5285 Port Royal Road, Springfield, Virginia 22161. The toll-free number is 800–553–6847. Copies may be inspected at EPA’s Drinking Water Docket, 401 M Street, SW., Washington, DC 20460; or at the Office of the Federal Register, 800 North Capitol Street, NW., Suite 700, Washington, DC. If two or more radionuclides are present, the sum of their annual dose equivalent to the total body or to any organ shall not exceed four mrem/year.</w:t>
      </w:r>
      <w:r w:rsidR="00B276F4" w:rsidRPr="003A7043">
        <w:rPr>
          <w:rFonts w:eastAsia="Times New Roman"/>
          <w:sz w:val="24"/>
          <w:szCs w:val="24"/>
        </w:rPr>
        <w:br w:type="page"/>
      </w:r>
    </w:p>
    <w:p w14:paraId="2819FF6F" w14:textId="77777777" w:rsidR="004647B9" w:rsidRDefault="00E2436F">
      <w:pPr>
        <w:tabs>
          <w:tab w:val="left" w:pos="160"/>
        </w:tabs>
        <w:jc w:val="center"/>
        <w:rPr>
          <w:sz w:val="20"/>
          <w:szCs w:val="20"/>
        </w:rPr>
      </w:pPr>
      <w:bookmarkStart w:id="149" w:name="page151"/>
      <w:bookmarkEnd w:id="14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9FF70" w14:textId="77777777" w:rsidR="004647B9" w:rsidRDefault="004647B9" w:rsidP="003A7043">
      <w:pPr>
        <w:rPr>
          <w:sz w:val="20"/>
          <w:szCs w:val="20"/>
        </w:rPr>
      </w:pPr>
    </w:p>
    <w:p w14:paraId="2819FF71" w14:textId="77777777" w:rsidR="004647B9" w:rsidRDefault="004647B9" w:rsidP="003A7043">
      <w:pPr>
        <w:rPr>
          <w:sz w:val="20"/>
          <w:szCs w:val="20"/>
        </w:rPr>
      </w:pPr>
    </w:p>
    <w:p w14:paraId="2819FF72" w14:textId="77777777" w:rsidR="004647B9" w:rsidRPr="003A7043" w:rsidRDefault="00E2436F" w:rsidP="003A7043">
      <w:pPr>
        <w:tabs>
          <w:tab w:val="left" w:pos="940"/>
        </w:tabs>
        <w:rPr>
          <w:sz w:val="24"/>
          <w:szCs w:val="24"/>
        </w:rPr>
      </w:pPr>
      <w:r w:rsidRPr="003A7043">
        <w:rPr>
          <w:rFonts w:eastAsia="Times New Roman"/>
          <w:sz w:val="24"/>
          <w:szCs w:val="24"/>
        </w:rPr>
        <w:t>22.09A:</w:t>
      </w:r>
      <w:r w:rsidRPr="003A7043">
        <w:rPr>
          <w:sz w:val="24"/>
          <w:szCs w:val="24"/>
        </w:rPr>
        <w:tab/>
      </w:r>
      <w:r w:rsidRPr="003A7043">
        <w:rPr>
          <w:rFonts w:eastAsia="Times New Roman"/>
          <w:sz w:val="24"/>
          <w:szCs w:val="24"/>
        </w:rPr>
        <w:t>continued</w:t>
      </w:r>
    </w:p>
    <w:p w14:paraId="2819FF74" w14:textId="6FE4FF94" w:rsidR="004647B9" w:rsidRDefault="004647B9" w:rsidP="003A7043">
      <w:pPr>
        <w:rPr>
          <w:sz w:val="20"/>
          <w:szCs w:val="20"/>
        </w:rPr>
      </w:pPr>
    </w:p>
    <w:tbl>
      <w:tblPr>
        <w:tblW w:w="8720" w:type="dxa"/>
        <w:tblInd w:w="1490" w:type="dxa"/>
        <w:tblLayout w:type="fixed"/>
        <w:tblCellMar>
          <w:left w:w="0" w:type="dxa"/>
          <w:right w:w="0" w:type="dxa"/>
        </w:tblCellMar>
        <w:tblLook w:val="04A0" w:firstRow="1" w:lastRow="0" w:firstColumn="1" w:lastColumn="0" w:noHBand="0" w:noVBand="1"/>
      </w:tblPr>
      <w:tblGrid>
        <w:gridCol w:w="3080"/>
        <w:gridCol w:w="3060"/>
        <w:gridCol w:w="2580"/>
      </w:tblGrid>
      <w:tr w:rsidR="00012347" w14:paraId="06711ED9" w14:textId="77777777" w:rsidTr="006C1F79">
        <w:trPr>
          <w:trHeight w:val="275"/>
        </w:trPr>
        <w:tc>
          <w:tcPr>
            <w:tcW w:w="8720" w:type="dxa"/>
            <w:gridSpan w:val="3"/>
            <w:tcBorders>
              <w:top w:val="single" w:sz="8" w:space="0" w:color="auto"/>
              <w:left w:val="single" w:sz="8" w:space="0" w:color="auto"/>
              <w:bottom w:val="single" w:sz="8" w:space="0" w:color="auto"/>
              <w:right w:val="single" w:sz="8" w:space="0" w:color="auto"/>
            </w:tcBorders>
            <w:vAlign w:val="center"/>
          </w:tcPr>
          <w:p w14:paraId="421B4C9B" w14:textId="77777777" w:rsidR="00012347" w:rsidRDefault="00012347" w:rsidP="00012347">
            <w:pPr>
              <w:jc w:val="center"/>
              <w:rPr>
                <w:rFonts w:eastAsia="Times New Roman"/>
                <w:sz w:val="18"/>
                <w:szCs w:val="18"/>
              </w:rPr>
            </w:pPr>
            <w:r>
              <w:rPr>
                <w:rFonts w:eastAsia="Times New Roman"/>
                <w:sz w:val="18"/>
                <w:szCs w:val="18"/>
              </w:rPr>
              <w:t>TABLE B</w:t>
            </w:r>
          </w:p>
          <w:p w14:paraId="612CE04D" w14:textId="7B21287D" w:rsidR="00012347" w:rsidRDefault="00012347" w:rsidP="00012347">
            <w:pPr>
              <w:jc w:val="center"/>
              <w:rPr>
                <w:sz w:val="20"/>
                <w:szCs w:val="20"/>
              </w:rPr>
            </w:pPr>
            <w:r>
              <w:rPr>
                <w:rFonts w:eastAsia="Times New Roman"/>
                <w:sz w:val="18"/>
                <w:szCs w:val="18"/>
              </w:rPr>
              <w:t>AVERAGE ANNUAL CONCENTRATIONS ASSUMED TO PRODUCE: A TOTAL BODY OR</w:t>
            </w:r>
          </w:p>
          <w:p w14:paraId="1306C99C" w14:textId="7DFB37E3" w:rsidR="00012347" w:rsidRDefault="00012347" w:rsidP="00012347">
            <w:pPr>
              <w:jc w:val="center"/>
              <w:rPr>
                <w:rFonts w:eastAsia="Times New Roman"/>
                <w:sz w:val="18"/>
                <w:szCs w:val="18"/>
              </w:rPr>
            </w:pPr>
            <w:r>
              <w:rPr>
                <w:rFonts w:eastAsia="Times New Roman"/>
                <w:sz w:val="18"/>
                <w:szCs w:val="18"/>
              </w:rPr>
              <w:t>ORGAN DOSE OF 4 MREM/YR</w:t>
            </w:r>
          </w:p>
        </w:tc>
      </w:tr>
      <w:tr w:rsidR="004647B9" w14:paraId="2819FF7F" w14:textId="77777777" w:rsidTr="00012347">
        <w:trPr>
          <w:trHeight w:val="275"/>
        </w:trPr>
        <w:tc>
          <w:tcPr>
            <w:tcW w:w="3080" w:type="dxa"/>
            <w:tcBorders>
              <w:left w:val="single" w:sz="8" w:space="0" w:color="auto"/>
              <w:bottom w:val="single" w:sz="8" w:space="0" w:color="auto"/>
              <w:right w:val="single" w:sz="8" w:space="0" w:color="auto"/>
            </w:tcBorders>
            <w:vAlign w:val="bottom"/>
          </w:tcPr>
          <w:p w14:paraId="2819FF7C" w14:textId="77777777" w:rsidR="004647B9" w:rsidRDefault="00E2436F">
            <w:pPr>
              <w:ind w:left="1000"/>
              <w:rPr>
                <w:sz w:val="20"/>
                <w:szCs w:val="20"/>
              </w:rPr>
            </w:pPr>
            <w:r>
              <w:rPr>
                <w:rFonts w:eastAsia="Times New Roman"/>
                <w:sz w:val="18"/>
                <w:szCs w:val="18"/>
              </w:rPr>
              <w:t>Radionuclide</w:t>
            </w:r>
          </w:p>
        </w:tc>
        <w:tc>
          <w:tcPr>
            <w:tcW w:w="3060" w:type="dxa"/>
            <w:tcBorders>
              <w:bottom w:val="single" w:sz="8" w:space="0" w:color="auto"/>
              <w:right w:val="single" w:sz="8" w:space="0" w:color="auto"/>
            </w:tcBorders>
            <w:vAlign w:val="bottom"/>
          </w:tcPr>
          <w:p w14:paraId="2819FF7D" w14:textId="77777777" w:rsidR="004647B9" w:rsidRDefault="00E2436F">
            <w:pPr>
              <w:jc w:val="center"/>
              <w:rPr>
                <w:sz w:val="20"/>
                <w:szCs w:val="20"/>
              </w:rPr>
            </w:pPr>
            <w:r>
              <w:rPr>
                <w:rFonts w:eastAsia="Times New Roman"/>
                <w:sz w:val="18"/>
                <w:szCs w:val="18"/>
              </w:rPr>
              <w:t>Critical organ</w:t>
            </w:r>
          </w:p>
        </w:tc>
        <w:tc>
          <w:tcPr>
            <w:tcW w:w="2580" w:type="dxa"/>
            <w:tcBorders>
              <w:bottom w:val="single" w:sz="8" w:space="0" w:color="auto"/>
              <w:right w:val="single" w:sz="8" w:space="0" w:color="auto"/>
            </w:tcBorders>
            <w:vAlign w:val="bottom"/>
          </w:tcPr>
          <w:p w14:paraId="2819FF7E" w14:textId="77777777" w:rsidR="004647B9" w:rsidRDefault="00E2436F">
            <w:pPr>
              <w:ind w:left="1060"/>
              <w:rPr>
                <w:sz w:val="20"/>
                <w:szCs w:val="20"/>
              </w:rPr>
            </w:pPr>
            <w:r>
              <w:rPr>
                <w:rFonts w:eastAsia="Times New Roman"/>
                <w:sz w:val="18"/>
                <w:szCs w:val="18"/>
              </w:rPr>
              <w:t>pCi/L</w:t>
            </w:r>
          </w:p>
        </w:tc>
      </w:tr>
      <w:tr w:rsidR="004647B9" w14:paraId="2819FF83" w14:textId="77777777" w:rsidTr="00012347">
        <w:trPr>
          <w:trHeight w:val="275"/>
        </w:trPr>
        <w:tc>
          <w:tcPr>
            <w:tcW w:w="3080" w:type="dxa"/>
            <w:tcBorders>
              <w:left w:val="single" w:sz="8" w:space="0" w:color="auto"/>
              <w:right w:val="single" w:sz="8" w:space="0" w:color="auto"/>
            </w:tcBorders>
            <w:vAlign w:val="bottom"/>
          </w:tcPr>
          <w:p w14:paraId="2819FF80" w14:textId="77777777" w:rsidR="004647B9" w:rsidRDefault="00E2436F">
            <w:pPr>
              <w:ind w:left="100"/>
              <w:rPr>
                <w:sz w:val="20"/>
                <w:szCs w:val="20"/>
              </w:rPr>
            </w:pPr>
            <w:r>
              <w:rPr>
                <w:rFonts w:eastAsia="Times New Roman"/>
                <w:sz w:val="18"/>
                <w:szCs w:val="18"/>
              </w:rPr>
              <w:t>Tritium</w:t>
            </w:r>
          </w:p>
        </w:tc>
        <w:tc>
          <w:tcPr>
            <w:tcW w:w="3060" w:type="dxa"/>
            <w:tcBorders>
              <w:right w:val="single" w:sz="8" w:space="0" w:color="auto"/>
            </w:tcBorders>
            <w:vAlign w:val="bottom"/>
          </w:tcPr>
          <w:p w14:paraId="2819FF81" w14:textId="77777777" w:rsidR="004647B9" w:rsidRDefault="00E2436F">
            <w:pPr>
              <w:jc w:val="center"/>
              <w:rPr>
                <w:sz w:val="20"/>
                <w:szCs w:val="20"/>
              </w:rPr>
            </w:pPr>
            <w:r>
              <w:rPr>
                <w:rFonts w:eastAsia="Times New Roman"/>
                <w:sz w:val="18"/>
                <w:szCs w:val="18"/>
              </w:rPr>
              <w:t>Total body</w:t>
            </w:r>
          </w:p>
        </w:tc>
        <w:tc>
          <w:tcPr>
            <w:tcW w:w="2580" w:type="dxa"/>
            <w:tcBorders>
              <w:right w:val="single" w:sz="8" w:space="0" w:color="auto"/>
            </w:tcBorders>
            <w:vAlign w:val="bottom"/>
          </w:tcPr>
          <w:p w14:paraId="2819FF82" w14:textId="77777777" w:rsidR="004647B9" w:rsidRDefault="00E2436F">
            <w:pPr>
              <w:ind w:right="970"/>
              <w:jc w:val="right"/>
              <w:rPr>
                <w:sz w:val="20"/>
                <w:szCs w:val="20"/>
              </w:rPr>
            </w:pPr>
            <w:r>
              <w:rPr>
                <w:rFonts w:eastAsia="Times New Roman"/>
                <w:sz w:val="18"/>
                <w:szCs w:val="18"/>
              </w:rPr>
              <w:t>20000</w:t>
            </w:r>
          </w:p>
        </w:tc>
      </w:tr>
      <w:tr w:rsidR="004647B9" w14:paraId="2819FF87" w14:textId="77777777" w:rsidTr="00012347">
        <w:trPr>
          <w:trHeight w:val="284"/>
        </w:trPr>
        <w:tc>
          <w:tcPr>
            <w:tcW w:w="3080" w:type="dxa"/>
            <w:tcBorders>
              <w:left w:val="single" w:sz="8" w:space="0" w:color="auto"/>
              <w:bottom w:val="single" w:sz="8" w:space="0" w:color="auto"/>
              <w:right w:val="single" w:sz="8" w:space="0" w:color="auto"/>
            </w:tcBorders>
            <w:vAlign w:val="bottom"/>
          </w:tcPr>
          <w:p w14:paraId="2819FF84" w14:textId="77777777" w:rsidR="004647B9" w:rsidRDefault="00E2436F">
            <w:pPr>
              <w:ind w:left="100"/>
              <w:rPr>
                <w:sz w:val="20"/>
                <w:szCs w:val="20"/>
              </w:rPr>
            </w:pPr>
            <w:r>
              <w:rPr>
                <w:rFonts w:eastAsia="Times New Roman"/>
                <w:sz w:val="18"/>
                <w:szCs w:val="18"/>
              </w:rPr>
              <w:t>Strontium-90</w:t>
            </w:r>
          </w:p>
        </w:tc>
        <w:tc>
          <w:tcPr>
            <w:tcW w:w="3060" w:type="dxa"/>
            <w:tcBorders>
              <w:bottom w:val="single" w:sz="8" w:space="0" w:color="auto"/>
              <w:right w:val="single" w:sz="8" w:space="0" w:color="auto"/>
            </w:tcBorders>
            <w:vAlign w:val="bottom"/>
          </w:tcPr>
          <w:p w14:paraId="2819FF85" w14:textId="77777777" w:rsidR="004647B9" w:rsidRDefault="00E2436F">
            <w:pPr>
              <w:jc w:val="center"/>
              <w:rPr>
                <w:sz w:val="20"/>
                <w:szCs w:val="20"/>
              </w:rPr>
            </w:pPr>
            <w:r>
              <w:rPr>
                <w:rFonts w:eastAsia="Times New Roman"/>
                <w:sz w:val="18"/>
                <w:szCs w:val="18"/>
              </w:rPr>
              <w:t>Bone Marrow</w:t>
            </w:r>
          </w:p>
        </w:tc>
        <w:tc>
          <w:tcPr>
            <w:tcW w:w="2580" w:type="dxa"/>
            <w:tcBorders>
              <w:bottom w:val="single" w:sz="8" w:space="0" w:color="auto"/>
              <w:right w:val="single" w:sz="8" w:space="0" w:color="auto"/>
            </w:tcBorders>
            <w:vAlign w:val="bottom"/>
          </w:tcPr>
          <w:p w14:paraId="2819FF86" w14:textId="77777777" w:rsidR="004647B9" w:rsidRDefault="00E2436F">
            <w:pPr>
              <w:ind w:right="1170"/>
              <w:jc w:val="right"/>
              <w:rPr>
                <w:sz w:val="20"/>
                <w:szCs w:val="20"/>
              </w:rPr>
            </w:pPr>
            <w:r>
              <w:rPr>
                <w:rFonts w:eastAsia="Times New Roman"/>
                <w:sz w:val="18"/>
                <w:szCs w:val="18"/>
              </w:rPr>
              <w:t>8</w:t>
            </w:r>
          </w:p>
        </w:tc>
      </w:tr>
    </w:tbl>
    <w:p w14:paraId="2819FF88" w14:textId="77777777" w:rsidR="004647B9" w:rsidRPr="003A7043" w:rsidRDefault="004647B9" w:rsidP="003A7043">
      <w:pPr>
        <w:rPr>
          <w:sz w:val="24"/>
          <w:szCs w:val="24"/>
        </w:rPr>
      </w:pPr>
    </w:p>
    <w:p w14:paraId="2819FF89" w14:textId="77777777" w:rsidR="004647B9" w:rsidRPr="00432623" w:rsidRDefault="00E2436F" w:rsidP="003A7043">
      <w:pPr>
        <w:numPr>
          <w:ilvl w:val="0"/>
          <w:numId w:val="400"/>
        </w:numPr>
        <w:tabs>
          <w:tab w:val="left" w:pos="2020"/>
        </w:tabs>
        <w:ind w:left="2020" w:hanging="465"/>
        <w:rPr>
          <w:rFonts w:eastAsia="Times New Roman"/>
          <w:sz w:val="24"/>
          <w:szCs w:val="24"/>
        </w:rPr>
      </w:pPr>
      <w:r w:rsidRPr="00432623">
        <w:rPr>
          <w:rFonts w:eastAsia="Times New Roman"/>
          <w:sz w:val="24"/>
          <w:szCs w:val="24"/>
          <w:u w:val="single"/>
        </w:rPr>
        <w:t>MCL for Uranium</w:t>
      </w:r>
      <w:r w:rsidRPr="00432623">
        <w:rPr>
          <w:rFonts w:eastAsia="Times New Roman"/>
          <w:sz w:val="24"/>
          <w:szCs w:val="24"/>
        </w:rPr>
        <w:t>. The maximum contaminant level for uranium is 30 µg/L.</w:t>
      </w:r>
    </w:p>
    <w:p w14:paraId="2819FF8B" w14:textId="77777777" w:rsidR="004647B9" w:rsidRPr="00432623" w:rsidRDefault="00E2436F" w:rsidP="003A7043">
      <w:pPr>
        <w:numPr>
          <w:ilvl w:val="0"/>
          <w:numId w:val="400"/>
        </w:numPr>
        <w:tabs>
          <w:tab w:val="left" w:pos="1987"/>
        </w:tabs>
        <w:ind w:left="1560" w:hanging="5"/>
        <w:jc w:val="both"/>
        <w:rPr>
          <w:rFonts w:eastAsia="Times New Roman"/>
          <w:sz w:val="24"/>
          <w:szCs w:val="24"/>
        </w:rPr>
      </w:pPr>
      <w:r w:rsidRPr="00432623">
        <w:rPr>
          <w:rFonts w:eastAsia="Times New Roman"/>
          <w:sz w:val="24"/>
          <w:szCs w:val="24"/>
          <w:u w:val="single"/>
        </w:rPr>
        <w:t>Compliance Dates for Combined Radium-226 and 228, Gross Alpha Particle Activity, Gross Beta Particle and Photon Radioactivity, and Uranium</w:t>
      </w:r>
      <w:r w:rsidRPr="00432623">
        <w:rPr>
          <w:rFonts w:eastAsia="Times New Roman"/>
          <w:sz w:val="24"/>
          <w:szCs w:val="24"/>
        </w:rPr>
        <w:t xml:space="preserve">. Community water systems must comply with the MCLs listed in 310 CMR 22.09A(1): </w:t>
      </w:r>
      <w:r w:rsidRPr="00432623">
        <w:rPr>
          <w:rFonts w:eastAsia="Times New Roman"/>
          <w:i/>
          <w:iCs/>
          <w:sz w:val="24"/>
          <w:szCs w:val="24"/>
        </w:rPr>
        <w:t>Table A</w:t>
      </w:r>
      <w:r w:rsidRPr="00432623">
        <w:rPr>
          <w:rFonts w:eastAsia="Times New Roman"/>
          <w:sz w:val="24"/>
          <w:szCs w:val="24"/>
        </w:rPr>
        <w:t xml:space="preserve"> beginning December 8, 2003 and compliance shall be determined in accordance with the requirements of 310 CMR 22.09A(1) through (5). Compliance with reporting requirements for the radionuclides under 310 CMR 22.16 and 22.16A is required beginning December 8, 2003.</w:t>
      </w:r>
    </w:p>
    <w:p w14:paraId="2819FF8D" w14:textId="7312D4D0" w:rsidR="004647B9" w:rsidRPr="00432623" w:rsidRDefault="00E2436F" w:rsidP="003A7043">
      <w:pPr>
        <w:numPr>
          <w:ilvl w:val="0"/>
          <w:numId w:val="400"/>
        </w:numPr>
        <w:tabs>
          <w:tab w:val="left" w:pos="1992"/>
        </w:tabs>
        <w:ind w:left="1560" w:hanging="5"/>
        <w:jc w:val="both"/>
        <w:rPr>
          <w:rFonts w:eastAsia="Times New Roman"/>
          <w:sz w:val="24"/>
          <w:szCs w:val="24"/>
        </w:rPr>
      </w:pPr>
      <w:r w:rsidRPr="00432623">
        <w:rPr>
          <w:rFonts w:eastAsia="Times New Roman"/>
          <w:sz w:val="24"/>
          <w:szCs w:val="24"/>
          <w:u w:val="single"/>
        </w:rPr>
        <w:t>Best Available Technologies (BATs) for Radionuclides</w:t>
      </w:r>
      <w:r w:rsidRPr="00432623">
        <w:rPr>
          <w:rFonts w:eastAsia="Times New Roman"/>
          <w:sz w:val="24"/>
          <w:szCs w:val="24"/>
        </w:rPr>
        <w:t xml:space="preserve">. The USEPA Administrator, pursuant to the federal Safe Drinking Water Act, § 1412, has identified as indicated in 310 CMR 22.09A: </w:t>
      </w:r>
      <w:r w:rsidRPr="00432623">
        <w:rPr>
          <w:rFonts w:eastAsia="Times New Roman"/>
          <w:i/>
          <w:iCs/>
          <w:sz w:val="24"/>
          <w:szCs w:val="24"/>
        </w:rPr>
        <w:t>Table C</w:t>
      </w:r>
      <w:r w:rsidRPr="00432623">
        <w:rPr>
          <w:rFonts w:eastAsia="Times New Roman"/>
          <w:sz w:val="24"/>
          <w:szCs w:val="24"/>
        </w:rPr>
        <w:t xml:space="preserve">, </w:t>
      </w:r>
      <w:r w:rsidRPr="00432623">
        <w:rPr>
          <w:rFonts w:eastAsia="Times New Roman"/>
          <w:i/>
          <w:iCs/>
          <w:sz w:val="24"/>
          <w:szCs w:val="24"/>
        </w:rPr>
        <w:t>Table D</w:t>
      </w:r>
      <w:r w:rsidRPr="00432623">
        <w:rPr>
          <w:rFonts w:eastAsia="Times New Roman"/>
          <w:sz w:val="24"/>
          <w:szCs w:val="24"/>
        </w:rPr>
        <w:t xml:space="preserve">, and </w:t>
      </w:r>
      <w:r w:rsidRPr="00432623">
        <w:rPr>
          <w:rFonts w:eastAsia="Times New Roman"/>
          <w:i/>
          <w:iCs/>
          <w:sz w:val="24"/>
          <w:szCs w:val="24"/>
        </w:rPr>
        <w:t>Table E</w:t>
      </w:r>
      <w:r w:rsidRPr="00432623">
        <w:rPr>
          <w:rFonts w:eastAsia="Times New Roman"/>
          <w:sz w:val="24"/>
          <w:szCs w:val="24"/>
        </w:rPr>
        <w:t xml:space="preserve"> of the best technology available for achieving compliance with the maximum contaminant levels for combined radium-226 and radium-228, uranium, gross alpha particle activity, and beta particle and photon radioactivity.</w:t>
      </w:r>
    </w:p>
    <w:p w14:paraId="347B335D" w14:textId="756E3DBD" w:rsidR="002C1BD5" w:rsidRPr="003A7043" w:rsidRDefault="002C1BD5" w:rsidP="003A7043">
      <w:pPr>
        <w:tabs>
          <w:tab w:val="left" w:pos="1992"/>
        </w:tabs>
        <w:jc w:val="both"/>
        <w:rPr>
          <w:rFonts w:eastAsia="Times New Roman"/>
          <w:sz w:val="24"/>
          <w:szCs w:val="24"/>
        </w:rPr>
      </w:pPr>
    </w:p>
    <w:tbl>
      <w:tblPr>
        <w:tblStyle w:val="TableGrid"/>
        <w:tblW w:w="101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590"/>
      </w:tblGrid>
      <w:tr w:rsidR="00FA7E13" w14:paraId="629EAFEE" w14:textId="77777777" w:rsidTr="002C1BD5">
        <w:tc>
          <w:tcPr>
            <w:tcW w:w="10170" w:type="dxa"/>
            <w:gridSpan w:val="2"/>
            <w:tcBorders>
              <w:top w:val="single" w:sz="8" w:space="0" w:color="auto"/>
              <w:bottom w:val="single" w:sz="8" w:space="0" w:color="auto"/>
            </w:tcBorders>
            <w:vAlign w:val="center"/>
          </w:tcPr>
          <w:p w14:paraId="7197DD45" w14:textId="77777777" w:rsidR="002C1BD5" w:rsidRDefault="002C1BD5" w:rsidP="002C1BD5">
            <w:pPr>
              <w:jc w:val="center"/>
              <w:rPr>
                <w:sz w:val="20"/>
                <w:szCs w:val="20"/>
              </w:rPr>
            </w:pPr>
            <w:r>
              <w:rPr>
                <w:rFonts w:eastAsia="Times New Roman"/>
                <w:sz w:val="18"/>
                <w:szCs w:val="18"/>
              </w:rPr>
              <w:t>TABLE C</w:t>
            </w:r>
          </w:p>
          <w:p w14:paraId="1A6B6E31" w14:textId="77777777" w:rsidR="002C1BD5" w:rsidRDefault="002C1BD5" w:rsidP="002C1BD5">
            <w:pPr>
              <w:jc w:val="center"/>
              <w:rPr>
                <w:sz w:val="20"/>
                <w:szCs w:val="20"/>
              </w:rPr>
            </w:pPr>
            <w:r>
              <w:rPr>
                <w:rFonts w:eastAsia="Times New Roman"/>
                <w:sz w:val="18"/>
                <w:szCs w:val="18"/>
              </w:rPr>
              <w:t>BAT FOR COMBINED RADIUM -226 AND RADIUM -228, URANIUM, GROSS ALPHA PARTICLE ACTIVITY, AND</w:t>
            </w:r>
          </w:p>
          <w:p w14:paraId="630F723E" w14:textId="23FD7E78" w:rsidR="002C1BD5" w:rsidRDefault="002C1BD5" w:rsidP="002C1BD5">
            <w:pPr>
              <w:jc w:val="center"/>
              <w:rPr>
                <w:rFonts w:eastAsia="Times New Roman"/>
                <w:sz w:val="23"/>
                <w:szCs w:val="23"/>
              </w:rPr>
            </w:pPr>
            <w:r>
              <w:rPr>
                <w:rFonts w:eastAsia="Times New Roman"/>
                <w:sz w:val="18"/>
                <w:szCs w:val="18"/>
              </w:rPr>
              <w:t>BETA PARTICLE PHOTON ACTIVITY</w:t>
            </w:r>
          </w:p>
        </w:tc>
      </w:tr>
      <w:tr w:rsidR="00294345" w14:paraId="592302B0" w14:textId="77777777" w:rsidTr="002C1BD5">
        <w:tc>
          <w:tcPr>
            <w:tcW w:w="5580" w:type="dxa"/>
            <w:tcBorders>
              <w:top w:val="single" w:sz="8" w:space="0" w:color="auto"/>
              <w:bottom w:val="single" w:sz="8" w:space="0" w:color="auto"/>
              <w:right w:val="single" w:sz="8" w:space="0" w:color="auto"/>
            </w:tcBorders>
            <w:vAlign w:val="center"/>
          </w:tcPr>
          <w:p w14:paraId="7CD03485" w14:textId="12E4D289" w:rsidR="002C1BD5" w:rsidRDefault="002C1BD5" w:rsidP="002C1BD5">
            <w:pPr>
              <w:jc w:val="center"/>
              <w:rPr>
                <w:rFonts w:eastAsia="Times New Roman"/>
                <w:sz w:val="23"/>
                <w:szCs w:val="23"/>
              </w:rPr>
            </w:pPr>
            <w:r>
              <w:rPr>
                <w:rFonts w:eastAsia="Times New Roman"/>
                <w:sz w:val="18"/>
                <w:szCs w:val="18"/>
              </w:rPr>
              <w:t>Contaminant</w:t>
            </w:r>
          </w:p>
        </w:tc>
        <w:tc>
          <w:tcPr>
            <w:tcW w:w="4590" w:type="dxa"/>
            <w:tcBorders>
              <w:top w:val="single" w:sz="8" w:space="0" w:color="auto"/>
              <w:left w:val="single" w:sz="8" w:space="0" w:color="auto"/>
              <w:bottom w:val="single" w:sz="8" w:space="0" w:color="auto"/>
            </w:tcBorders>
            <w:vAlign w:val="center"/>
          </w:tcPr>
          <w:p w14:paraId="5A7BC435" w14:textId="5D31973C" w:rsidR="002C1BD5" w:rsidRDefault="002C1BD5" w:rsidP="002C1BD5">
            <w:pPr>
              <w:jc w:val="center"/>
              <w:rPr>
                <w:rFonts w:eastAsia="Times New Roman"/>
                <w:sz w:val="23"/>
                <w:szCs w:val="23"/>
              </w:rPr>
            </w:pPr>
            <w:r>
              <w:rPr>
                <w:rFonts w:eastAsia="Times New Roman"/>
                <w:sz w:val="18"/>
                <w:szCs w:val="18"/>
              </w:rPr>
              <w:t>BAT</w:t>
            </w:r>
          </w:p>
        </w:tc>
      </w:tr>
      <w:tr w:rsidR="00294345" w14:paraId="6A3E00CD" w14:textId="77777777" w:rsidTr="002C1BD5">
        <w:tc>
          <w:tcPr>
            <w:tcW w:w="5580" w:type="dxa"/>
            <w:tcBorders>
              <w:top w:val="single" w:sz="8" w:space="0" w:color="auto"/>
              <w:bottom w:val="single" w:sz="8" w:space="0" w:color="auto"/>
              <w:right w:val="single" w:sz="8" w:space="0" w:color="auto"/>
            </w:tcBorders>
            <w:vAlign w:val="center"/>
          </w:tcPr>
          <w:p w14:paraId="2F2B072F" w14:textId="6A104C38" w:rsidR="002C1BD5" w:rsidRDefault="002C1BD5" w:rsidP="002C1BD5">
            <w:pPr>
              <w:rPr>
                <w:rFonts w:eastAsia="Times New Roman"/>
                <w:sz w:val="23"/>
                <w:szCs w:val="23"/>
              </w:rPr>
            </w:pPr>
            <w:r>
              <w:rPr>
                <w:rFonts w:eastAsia="Times New Roman"/>
                <w:sz w:val="18"/>
                <w:szCs w:val="18"/>
              </w:rPr>
              <w:t>Combined radium-226 and radium-228</w:t>
            </w:r>
          </w:p>
        </w:tc>
        <w:tc>
          <w:tcPr>
            <w:tcW w:w="4590" w:type="dxa"/>
            <w:tcBorders>
              <w:top w:val="single" w:sz="8" w:space="0" w:color="auto"/>
              <w:left w:val="single" w:sz="8" w:space="0" w:color="auto"/>
              <w:bottom w:val="single" w:sz="8" w:space="0" w:color="auto"/>
            </w:tcBorders>
            <w:vAlign w:val="center"/>
          </w:tcPr>
          <w:p w14:paraId="20BF6979" w14:textId="42CFE81D" w:rsidR="002C1BD5" w:rsidRDefault="002C1BD5" w:rsidP="002C1BD5">
            <w:pPr>
              <w:rPr>
                <w:rFonts w:eastAsia="Times New Roman"/>
                <w:sz w:val="23"/>
                <w:szCs w:val="23"/>
              </w:rPr>
            </w:pPr>
            <w:r>
              <w:rPr>
                <w:rFonts w:eastAsia="Times New Roman"/>
                <w:sz w:val="18"/>
                <w:szCs w:val="18"/>
              </w:rPr>
              <w:t>Ion exchange, reverse osmosis, lime softening.</w:t>
            </w:r>
          </w:p>
        </w:tc>
      </w:tr>
      <w:tr w:rsidR="00294345" w14:paraId="0ADD7902" w14:textId="77777777" w:rsidTr="002C1BD5">
        <w:tc>
          <w:tcPr>
            <w:tcW w:w="5580" w:type="dxa"/>
            <w:tcBorders>
              <w:top w:val="single" w:sz="8" w:space="0" w:color="auto"/>
              <w:bottom w:val="single" w:sz="8" w:space="0" w:color="auto"/>
              <w:right w:val="single" w:sz="8" w:space="0" w:color="auto"/>
            </w:tcBorders>
            <w:vAlign w:val="center"/>
          </w:tcPr>
          <w:p w14:paraId="67B19B00" w14:textId="37616987" w:rsidR="002C1BD5" w:rsidRDefault="002C1BD5" w:rsidP="002C1BD5">
            <w:pPr>
              <w:rPr>
                <w:rFonts w:eastAsia="Times New Roman"/>
                <w:sz w:val="23"/>
                <w:szCs w:val="23"/>
              </w:rPr>
            </w:pPr>
            <w:r>
              <w:rPr>
                <w:rFonts w:eastAsia="Times New Roman"/>
                <w:sz w:val="18"/>
                <w:szCs w:val="18"/>
              </w:rPr>
              <w:t>Uranium</w:t>
            </w:r>
          </w:p>
        </w:tc>
        <w:tc>
          <w:tcPr>
            <w:tcW w:w="4590" w:type="dxa"/>
            <w:tcBorders>
              <w:top w:val="single" w:sz="8" w:space="0" w:color="auto"/>
              <w:left w:val="single" w:sz="8" w:space="0" w:color="auto"/>
              <w:bottom w:val="single" w:sz="8" w:space="0" w:color="auto"/>
            </w:tcBorders>
            <w:vAlign w:val="center"/>
          </w:tcPr>
          <w:p w14:paraId="239449BC" w14:textId="4AE9C5B8" w:rsidR="002C1BD5" w:rsidRDefault="002C1BD5" w:rsidP="002C1BD5">
            <w:pPr>
              <w:spacing w:line="335" w:lineRule="auto"/>
              <w:rPr>
                <w:rFonts w:eastAsia="Times New Roman"/>
                <w:sz w:val="23"/>
                <w:szCs w:val="23"/>
              </w:rPr>
            </w:pPr>
            <w:r>
              <w:rPr>
                <w:rFonts w:eastAsia="Times New Roman"/>
                <w:sz w:val="18"/>
                <w:szCs w:val="18"/>
              </w:rPr>
              <w:t>Ion exchange, reverse osmosis, lime softening, coagulation/filtration.</w:t>
            </w:r>
          </w:p>
        </w:tc>
      </w:tr>
      <w:tr w:rsidR="00294345" w14:paraId="54E97A4A" w14:textId="77777777" w:rsidTr="002C1BD5">
        <w:tc>
          <w:tcPr>
            <w:tcW w:w="5580" w:type="dxa"/>
            <w:tcBorders>
              <w:top w:val="single" w:sz="8" w:space="0" w:color="auto"/>
              <w:bottom w:val="single" w:sz="8" w:space="0" w:color="auto"/>
              <w:right w:val="single" w:sz="8" w:space="0" w:color="auto"/>
            </w:tcBorders>
            <w:vAlign w:val="center"/>
          </w:tcPr>
          <w:p w14:paraId="6D77EEAE" w14:textId="65270206" w:rsidR="002C1BD5" w:rsidRDefault="002C1BD5" w:rsidP="002C1BD5">
            <w:pPr>
              <w:rPr>
                <w:rFonts w:eastAsia="Times New Roman"/>
                <w:sz w:val="23"/>
                <w:szCs w:val="23"/>
              </w:rPr>
            </w:pPr>
            <w:r>
              <w:rPr>
                <w:rFonts w:eastAsia="Times New Roman"/>
                <w:sz w:val="18"/>
                <w:szCs w:val="18"/>
              </w:rPr>
              <w:t>Gross alpha particle activity (excluding Radon and Uranium)</w:t>
            </w:r>
          </w:p>
        </w:tc>
        <w:tc>
          <w:tcPr>
            <w:tcW w:w="4590" w:type="dxa"/>
            <w:tcBorders>
              <w:top w:val="single" w:sz="8" w:space="0" w:color="auto"/>
              <w:left w:val="single" w:sz="8" w:space="0" w:color="auto"/>
              <w:bottom w:val="single" w:sz="8" w:space="0" w:color="auto"/>
            </w:tcBorders>
            <w:vAlign w:val="center"/>
          </w:tcPr>
          <w:p w14:paraId="2D0C88D1" w14:textId="347C2295" w:rsidR="002C1BD5" w:rsidRDefault="002C1BD5" w:rsidP="002C1BD5">
            <w:pPr>
              <w:rPr>
                <w:rFonts w:eastAsia="Times New Roman"/>
                <w:sz w:val="23"/>
                <w:szCs w:val="23"/>
              </w:rPr>
            </w:pPr>
            <w:r>
              <w:rPr>
                <w:rFonts w:eastAsia="Times New Roman"/>
                <w:sz w:val="18"/>
                <w:szCs w:val="18"/>
              </w:rPr>
              <w:t>Reverse osmosis.</w:t>
            </w:r>
          </w:p>
        </w:tc>
      </w:tr>
      <w:tr w:rsidR="00294345" w14:paraId="135FB97E" w14:textId="77777777" w:rsidTr="002C1BD5">
        <w:tc>
          <w:tcPr>
            <w:tcW w:w="5580" w:type="dxa"/>
            <w:tcBorders>
              <w:top w:val="single" w:sz="8" w:space="0" w:color="auto"/>
              <w:bottom w:val="single" w:sz="8" w:space="0" w:color="auto"/>
              <w:right w:val="single" w:sz="8" w:space="0" w:color="auto"/>
            </w:tcBorders>
            <w:vAlign w:val="center"/>
          </w:tcPr>
          <w:p w14:paraId="1C0543D9" w14:textId="7EB5BA46" w:rsidR="002C1BD5" w:rsidRDefault="002C1BD5" w:rsidP="002C1BD5">
            <w:pPr>
              <w:rPr>
                <w:rFonts w:eastAsia="Times New Roman"/>
                <w:sz w:val="23"/>
                <w:szCs w:val="23"/>
              </w:rPr>
            </w:pPr>
            <w:r>
              <w:rPr>
                <w:rFonts w:eastAsia="Times New Roman"/>
                <w:sz w:val="18"/>
                <w:szCs w:val="18"/>
              </w:rPr>
              <w:t>Beta particle and photon radioactivity</w:t>
            </w:r>
          </w:p>
        </w:tc>
        <w:tc>
          <w:tcPr>
            <w:tcW w:w="4590" w:type="dxa"/>
            <w:tcBorders>
              <w:top w:val="single" w:sz="8" w:space="0" w:color="auto"/>
              <w:left w:val="single" w:sz="8" w:space="0" w:color="auto"/>
              <w:bottom w:val="single" w:sz="8" w:space="0" w:color="auto"/>
            </w:tcBorders>
            <w:vAlign w:val="center"/>
          </w:tcPr>
          <w:p w14:paraId="1108A2F1" w14:textId="0F4EBF09" w:rsidR="002C1BD5" w:rsidRDefault="002C1BD5" w:rsidP="002C1BD5">
            <w:pPr>
              <w:rPr>
                <w:rFonts w:eastAsia="Times New Roman"/>
                <w:sz w:val="23"/>
                <w:szCs w:val="23"/>
              </w:rPr>
            </w:pPr>
            <w:r>
              <w:rPr>
                <w:rFonts w:eastAsia="Times New Roman"/>
                <w:sz w:val="18"/>
                <w:szCs w:val="18"/>
              </w:rPr>
              <w:t>Ion exchange, reverse osmosis.</w:t>
            </w:r>
          </w:p>
        </w:tc>
      </w:tr>
    </w:tbl>
    <w:p w14:paraId="5F3671C4" w14:textId="77777777" w:rsidR="002C1BD5" w:rsidRPr="003A7043" w:rsidRDefault="002C1BD5" w:rsidP="003A7043">
      <w:pPr>
        <w:rPr>
          <w:sz w:val="24"/>
          <w:szCs w:val="24"/>
        </w:rPr>
      </w:pPr>
    </w:p>
    <w:p w14:paraId="2819FFB6" w14:textId="5242940C" w:rsidR="002C1BD5" w:rsidRPr="003A7043" w:rsidRDefault="002C1BD5" w:rsidP="003A7043">
      <w:pPr>
        <w:rPr>
          <w:sz w:val="24"/>
          <w:szCs w:val="24"/>
        </w:rPr>
        <w:sectPr w:rsidR="002C1BD5" w:rsidRPr="003A7043" w:rsidSect="00EF630C">
          <w:type w:val="continuous"/>
          <w:pgSz w:w="12240" w:h="20180"/>
          <w:pgMar w:top="708" w:right="1440" w:bottom="945" w:left="600" w:header="0" w:footer="0" w:gutter="0"/>
          <w:cols w:space="720"/>
        </w:sectPr>
      </w:pPr>
    </w:p>
    <w:p w14:paraId="2819FFB8" w14:textId="77777777" w:rsidR="004647B9" w:rsidRPr="003D7473" w:rsidRDefault="004647B9" w:rsidP="003A7043">
      <w:pPr>
        <w:rPr>
          <w:sz w:val="24"/>
          <w:szCs w:val="24"/>
        </w:rPr>
      </w:pPr>
    </w:p>
    <w:p w14:paraId="2819FFB9" w14:textId="77777777" w:rsidR="004647B9" w:rsidRDefault="00E2436F" w:rsidP="003A7043">
      <w:pPr>
        <w:ind w:right="40"/>
        <w:jc w:val="center"/>
        <w:rPr>
          <w:sz w:val="20"/>
          <w:szCs w:val="20"/>
        </w:rPr>
      </w:pPr>
      <w:r>
        <w:rPr>
          <w:rFonts w:eastAsia="Times New Roman"/>
          <w:sz w:val="18"/>
          <w:szCs w:val="18"/>
        </w:rPr>
        <w:t>TABLE D</w:t>
      </w:r>
    </w:p>
    <w:p w14:paraId="2819FFBB" w14:textId="77777777" w:rsidR="004647B9" w:rsidRDefault="00E2436F" w:rsidP="003A7043">
      <w:pPr>
        <w:ind w:left="100"/>
        <w:rPr>
          <w:sz w:val="20"/>
          <w:szCs w:val="20"/>
        </w:rPr>
      </w:pPr>
      <w:r>
        <w:rPr>
          <w:rFonts w:eastAsia="Times New Roman"/>
          <w:sz w:val="18"/>
          <w:szCs w:val="18"/>
        </w:rPr>
        <w:t>LIST OF SMALL SYSTEM S COMPLIANCE TECHNOLOGIES FOR RADIONUCLIDES AND LIMITATIONS TO USE</w:t>
      </w:r>
    </w:p>
    <w:tbl>
      <w:tblPr>
        <w:tblW w:w="10220" w:type="dxa"/>
        <w:tblLayout w:type="fixed"/>
        <w:tblCellMar>
          <w:left w:w="0" w:type="dxa"/>
          <w:right w:w="0" w:type="dxa"/>
        </w:tblCellMar>
        <w:tblLook w:val="04A0" w:firstRow="1" w:lastRow="0" w:firstColumn="1" w:lastColumn="0" w:noHBand="0" w:noVBand="1"/>
      </w:tblPr>
      <w:tblGrid>
        <w:gridCol w:w="4560"/>
        <w:gridCol w:w="1420"/>
        <w:gridCol w:w="1540"/>
        <w:gridCol w:w="2680"/>
        <w:gridCol w:w="20"/>
      </w:tblGrid>
      <w:tr w:rsidR="004C0268" w14:paraId="2819FFC4" w14:textId="77777777" w:rsidTr="004C0268">
        <w:trPr>
          <w:trHeight w:val="278"/>
        </w:trPr>
        <w:tc>
          <w:tcPr>
            <w:tcW w:w="4560" w:type="dxa"/>
            <w:vMerge w:val="restart"/>
            <w:tcBorders>
              <w:top w:val="single" w:sz="8" w:space="0" w:color="auto"/>
              <w:right w:val="single" w:sz="8" w:space="0" w:color="auto"/>
            </w:tcBorders>
          </w:tcPr>
          <w:p w14:paraId="2819FFBF" w14:textId="37975A79" w:rsidR="004C0268" w:rsidRDefault="004C0268" w:rsidP="004C0268">
            <w:pPr>
              <w:rPr>
                <w:sz w:val="24"/>
                <w:szCs w:val="24"/>
              </w:rPr>
            </w:pPr>
            <w:r>
              <w:rPr>
                <w:rFonts w:eastAsia="Times New Roman"/>
                <w:sz w:val="18"/>
                <w:szCs w:val="18"/>
              </w:rPr>
              <w:t>Unit technologies</w:t>
            </w:r>
          </w:p>
        </w:tc>
        <w:tc>
          <w:tcPr>
            <w:tcW w:w="1420" w:type="dxa"/>
            <w:vMerge w:val="restart"/>
            <w:tcBorders>
              <w:top w:val="single" w:sz="8" w:space="0" w:color="auto"/>
              <w:left w:val="single" w:sz="8" w:space="0" w:color="auto"/>
              <w:right w:val="single" w:sz="8" w:space="0" w:color="auto"/>
            </w:tcBorders>
            <w:vAlign w:val="center"/>
          </w:tcPr>
          <w:p w14:paraId="4F39F790" w14:textId="77777777" w:rsidR="004C0268" w:rsidRDefault="004C0268" w:rsidP="004C0268">
            <w:pPr>
              <w:jc w:val="center"/>
              <w:rPr>
                <w:sz w:val="20"/>
                <w:szCs w:val="20"/>
              </w:rPr>
            </w:pPr>
            <w:r>
              <w:rPr>
                <w:rFonts w:eastAsia="Times New Roman"/>
                <w:sz w:val="18"/>
                <w:szCs w:val="18"/>
              </w:rPr>
              <w:t>Limitations</w:t>
            </w:r>
          </w:p>
          <w:p w14:paraId="2819FFC0" w14:textId="70C953EF" w:rsidR="004C0268" w:rsidRDefault="004C0268" w:rsidP="004C0268">
            <w:pPr>
              <w:jc w:val="center"/>
              <w:rPr>
                <w:sz w:val="20"/>
                <w:szCs w:val="20"/>
              </w:rPr>
            </w:pPr>
            <w:r>
              <w:rPr>
                <w:rFonts w:eastAsia="Times New Roman"/>
                <w:sz w:val="18"/>
                <w:szCs w:val="18"/>
              </w:rPr>
              <w:t>(see footnotes)</w:t>
            </w:r>
          </w:p>
        </w:tc>
        <w:tc>
          <w:tcPr>
            <w:tcW w:w="1540" w:type="dxa"/>
            <w:vMerge w:val="restart"/>
            <w:tcBorders>
              <w:top w:val="single" w:sz="8" w:space="0" w:color="auto"/>
              <w:right w:val="single" w:sz="8" w:space="0" w:color="auto"/>
            </w:tcBorders>
            <w:vAlign w:val="center"/>
          </w:tcPr>
          <w:p w14:paraId="06CC72EA" w14:textId="77777777" w:rsidR="004C0268" w:rsidRDefault="004C0268" w:rsidP="004C0268">
            <w:pPr>
              <w:jc w:val="center"/>
              <w:rPr>
                <w:sz w:val="20"/>
                <w:szCs w:val="20"/>
              </w:rPr>
            </w:pPr>
            <w:r>
              <w:rPr>
                <w:rFonts w:eastAsia="Times New Roman"/>
                <w:sz w:val="18"/>
                <w:szCs w:val="18"/>
              </w:rPr>
              <w:t>Operator skill</w:t>
            </w:r>
          </w:p>
          <w:p w14:paraId="2819FFC1" w14:textId="6C61250A" w:rsidR="004C0268" w:rsidRDefault="004C0268" w:rsidP="004C0268">
            <w:pPr>
              <w:jc w:val="center"/>
              <w:rPr>
                <w:sz w:val="20"/>
                <w:szCs w:val="20"/>
              </w:rPr>
            </w:pPr>
            <w:r>
              <w:rPr>
                <w:rFonts w:eastAsia="Times New Roman"/>
                <w:sz w:val="18"/>
                <w:szCs w:val="18"/>
              </w:rPr>
              <w:t>level required.</w:t>
            </w:r>
            <w:r>
              <w:rPr>
                <w:rFonts w:eastAsia="Times New Roman"/>
                <w:sz w:val="24"/>
                <w:szCs w:val="24"/>
                <w:vertAlign w:val="superscript"/>
              </w:rPr>
              <w:t>1</w:t>
            </w:r>
          </w:p>
        </w:tc>
        <w:tc>
          <w:tcPr>
            <w:tcW w:w="2680" w:type="dxa"/>
            <w:vMerge w:val="restart"/>
            <w:tcBorders>
              <w:top w:val="single" w:sz="8" w:space="0" w:color="auto"/>
            </w:tcBorders>
            <w:vAlign w:val="center"/>
          </w:tcPr>
          <w:p w14:paraId="2819FFC2" w14:textId="79E31C78" w:rsidR="004C0268" w:rsidRDefault="004C0268" w:rsidP="00A458C6">
            <w:pPr>
              <w:jc w:val="center"/>
              <w:rPr>
                <w:sz w:val="20"/>
                <w:szCs w:val="20"/>
              </w:rPr>
            </w:pPr>
            <w:r>
              <w:rPr>
                <w:rFonts w:eastAsia="Times New Roman"/>
                <w:sz w:val="18"/>
                <w:szCs w:val="18"/>
              </w:rPr>
              <w:t>Raw water quality range and</w:t>
            </w:r>
            <w:r w:rsidR="00A458C6">
              <w:rPr>
                <w:rFonts w:eastAsia="Times New Roman"/>
                <w:sz w:val="18"/>
                <w:szCs w:val="18"/>
              </w:rPr>
              <w:t xml:space="preserve"> </w:t>
            </w:r>
            <w:r>
              <w:rPr>
                <w:rFonts w:eastAsia="Times New Roman"/>
                <w:sz w:val="18"/>
                <w:szCs w:val="18"/>
              </w:rPr>
              <w:t>considerations.</w:t>
            </w:r>
            <w:r>
              <w:rPr>
                <w:rFonts w:eastAsia="Times New Roman"/>
                <w:sz w:val="24"/>
                <w:szCs w:val="24"/>
                <w:vertAlign w:val="superscript"/>
              </w:rPr>
              <w:t>1</w:t>
            </w:r>
          </w:p>
        </w:tc>
        <w:tc>
          <w:tcPr>
            <w:tcW w:w="20" w:type="dxa"/>
            <w:vAlign w:val="bottom"/>
          </w:tcPr>
          <w:p w14:paraId="2819FFC3" w14:textId="77777777" w:rsidR="004C0268" w:rsidRDefault="004C0268">
            <w:pPr>
              <w:rPr>
                <w:sz w:val="1"/>
                <w:szCs w:val="1"/>
              </w:rPr>
            </w:pPr>
          </w:p>
        </w:tc>
      </w:tr>
      <w:tr w:rsidR="004C0268" w14:paraId="2819FFCD" w14:textId="77777777" w:rsidTr="004C0268">
        <w:trPr>
          <w:trHeight w:val="286"/>
        </w:trPr>
        <w:tc>
          <w:tcPr>
            <w:tcW w:w="4560" w:type="dxa"/>
            <w:vMerge/>
            <w:tcBorders>
              <w:bottom w:val="single" w:sz="8" w:space="0" w:color="auto"/>
              <w:right w:val="single" w:sz="8" w:space="0" w:color="auto"/>
            </w:tcBorders>
            <w:vAlign w:val="bottom"/>
          </w:tcPr>
          <w:p w14:paraId="2819FFC8" w14:textId="77777777" w:rsidR="004C0268" w:rsidRDefault="004C0268">
            <w:pPr>
              <w:rPr>
                <w:sz w:val="24"/>
                <w:szCs w:val="24"/>
              </w:rPr>
            </w:pPr>
          </w:p>
        </w:tc>
        <w:tc>
          <w:tcPr>
            <w:tcW w:w="1420" w:type="dxa"/>
            <w:vMerge/>
            <w:tcBorders>
              <w:left w:val="single" w:sz="8" w:space="0" w:color="auto"/>
              <w:bottom w:val="single" w:sz="8" w:space="0" w:color="auto"/>
              <w:right w:val="single" w:sz="8" w:space="0" w:color="auto"/>
            </w:tcBorders>
            <w:vAlign w:val="bottom"/>
          </w:tcPr>
          <w:p w14:paraId="2819FFC9" w14:textId="4D2ED833" w:rsidR="004C0268" w:rsidRDefault="004C0268">
            <w:pPr>
              <w:jc w:val="center"/>
              <w:rPr>
                <w:sz w:val="20"/>
                <w:szCs w:val="20"/>
              </w:rPr>
            </w:pPr>
          </w:p>
        </w:tc>
        <w:tc>
          <w:tcPr>
            <w:tcW w:w="1540" w:type="dxa"/>
            <w:vMerge/>
            <w:tcBorders>
              <w:bottom w:val="single" w:sz="8" w:space="0" w:color="auto"/>
              <w:right w:val="single" w:sz="8" w:space="0" w:color="auto"/>
            </w:tcBorders>
            <w:vAlign w:val="bottom"/>
          </w:tcPr>
          <w:p w14:paraId="2819FFCA" w14:textId="46A49C35" w:rsidR="004C0268" w:rsidRDefault="004C0268">
            <w:pPr>
              <w:jc w:val="center"/>
              <w:rPr>
                <w:sz w:val="20"/>
                <w:szCs w:val="20"/>
              </w:rPr>
            </w:pPr>
          </w:p>
        </w:tc>
        <w:tc>
          <w:tcPr>
            <w:tcW w:w="2680" w:type="dxa"/>
            <w:vMerge/>
            <w:tcBorders>
              <w:bottom w:val="single" w:sz="8" w:space="0" w:color="auto"/>
            </w:tcBorders>
            <w:vAlign w:val="bottom"/>
          </w:tcPr>
          <w:p w14:paraId="2819FFCB" w14:textId="1571BAC8" w:rsidR="004C0268" w:rsidRDefault="004C0268">
            <w:pPr>
              <w:ind w:left="720"/>
              <w:rPr>
                <w:sz w:val="20"/>
                <w:szCs w:val="20"/>
              </w:rPr>
            </w:pPr>
          </w:p>
        </w:tc>
        <w:tc>
          <w:tcPr>
            <w:tcW w:w="20" w:type="dxa"/>
            <w:vAlign w:val="bottom"/>
          </w:tcPr>
          <w:p w14:paraId="2819FFCC" w14:textId="77777777" w:rsidR="004C0268" w:rsidRDefault="004C0268">
            <w:pPr>
              <w:rPr>
                <w:sz w:val="1"/>
                <w:szCs w:val="1"/>
              </w:rPr>
            </w:pPr>
          </w:p>
        </w:tc>
      </w:tr>
      <w:tr w:rsidR="00E9169E" w14:paraId="2819FFD6" w14:textId="77777777" w:rsidTr="00A458C6">
        <w:trPr>
          <w:trHeight w:val="234"/>
        </w:trPr>
        <w:tc>
          <w:tcPr>
            <w:tcW w:w="4560" w:type="dxa"/>
            <w:vMerge w:val="restart"/>
            <w:tcBorders>
              <w:right w:val="single" w:sz="8" w:space="0" w:color="auto"/>
            </w:tcBorders>
            <w:vAlign w:val="center"/>
          </w:tcPr>
          <w:p w14:paraId="2819FFD1" w14:textId="1129FB19" w:rsidR="00E9169E" w:rsidRPr="004C0268" w:rsidRDefault="00E9169E" w:rsidP="00563A54">
            <w:pPr>
              <w:pStyle w:val="ListParagraph"/>
              <w:numPr>
                <w:ilvl w:val="2"/>
                <w:numId w:val="365"/>
              </w:numPr>
              <w:ind w:left="0"/>
              <w:rPr>
                <w:sz w:val="20"/>
                <w:szCs w:val="20"/>
              </w:rPr>
            </w:pPr>
            <w:r w:rsidRPr="004C0268">
              <w:rPr>
                <w:rFonts w:eastAsia="Times New Roman"/>
                <w:sz w:val="18"/>
                <w:szCs w:val="18"/>
              </w:rPr>
              <w:t>Ion exchange (IE)</w:t>
            </w:r>
          </w:p>
        </w:tc>
        <w:tc>
          <w:tcPr>
            <w:tcW w:w="1420" w:type="dxa"/>
            <w:vMerge w:val="restart"/>
            <w:tcBorders>
              <w:left w:val="single" w:sz="8" w:space="0" w:color="auto"/>
              <w:right w:val="single" w:sz="8" w:space="0" w:color="auto"/>
            </w:tcBorders>
            <w:vAlign w:val="center"/>
          </w:tcPr>
          <w:p w14:paraId="2819FFD2" w14:textId="77777777" w:rsidR="00E9169E" w:rsidRDefault="00E9169E" w:rsidP="00E9169E">
            <w:pPr>
              <w:jc w:val="center"/>
              <w:rPr>
                <w:sz w:val="20"/>
                <w:szCs w:val="20"/>
              </w:rPr>
            </w:pPr>
            <w:r>
              <w:rPr>
                <w:rFonts w:eastAsia="Times New Roman"/>
                <w:w w:val="99"/>
                <w:sz w:val="18"/>
                <w:szCs w:val="18"/>
              </w:rPr>
              <w:t>a</w:t>
            </w:r>
          </w:p>
        </w:tc>
        <w:tc>
          <w:tcPr>
            <w:tcW w:w="1540" w:type="dxa"/>
            <w:vMerge w:val="restart"/>
            <w:tcBorders>
              <w:right w:val="single" w:sz="8" w:space="0" w:color="auto"/>
            </w:tcBorders>
            <w:vAlign w:val="center"/>
          </w:tcPr>
          <w:p w14:paraId="2819FFD3" w14:textId="77777777" w:rsidR="00E9169E" w:rsidRDefault="00E9169E" w:rsidP="00E9169E">
            <w:pPr>
              <w:jc w:val="center"/>
              <w:rPr>
                <w:sz w:val="20"/>
                <w:szCs w:val="20"/>
              </w:rPr>
            </w:pPr>
            <w:r>
              <w:rPr>
                <w:rFonts w:eastAsia="Times New Roman"/>
                <w:sz w:val="18"/>
                <w:szCs w:val="18"/>
              </w:rPr>
              <w:t>Intermediate</w:t>
            </w:r>
          </w:p>
        </w:tc>
        <w:tc>
          <w:tcPr>
            <w:tcW w:w="2680" w:type="dxa"/>
            <w:vMerge w:val="restart"/>
            <w:vAlign w:val="center"/>
          </w:tcPr>
          <w:p w14:paraId="2819FFD4" w14:textId="77777777" w:rsidR="00E9169E" w:rsidRDefault="00E9169E" w:rsidP="00E9169E">
            <w:pPr>
              <w:jc w:val="center"/>
              <w:rPr>
                <w:sz w:val="20"/>
                <w:szCs w:val="20"/>
              </w:rPr>
            </w:pPr>
            <w:r>
              <w:rPr>
                <w:rFonts w:eastAsia="Times New Roman"/>
                <w:sz w:val="18"/>
                <w:szCs w:val="18"/>
              </w:rPr>
              <w:t>All ground waters</w:t>
            </w:r>
          </w:p>
        </w:tc>
        <w:tc>
          <w:tcPr>
            <w:tcW w:w="20" w:type="dxa"/>
            <w:vAlign w:val="bottom"/>
          </w:tcPr>
          <w:p w14:paraId="2819FFD5" w14:textId="77777777" w:rsidR="00E9169E" w:rsidRDefault="00E9169E">
            <w:pPr>
              <w:rPr>
                <w:sz w:val="1"/>
                <w:szCs w:val="1"/>
              </w:rPr>
            </w:pPr>
          </w:p>
        </w:tc>
      </w:tr>
      <w:tr w:rsidR="00E9169E" w14:paraId="2819FFDF" w14:textId="77777777" w:rsidTr="00A458C6">
        <w:trPr>
          <w:trHeight w:val="63"/>
        </w:trPr>
        <w:tc>
          <w:tcPr>
            <w:tcW w:w="4560" w:type="dxa"/>
            <w:vMerge/>
            <w:tcBorders>
              <w:bottom w:val="single" w:sz="8" w:space="0" w:color="auto"/>
              <w:right w:val="single" w:sz="8" w:space="0" w:color="auto"/>
            </w:tcBorders>
            <w:vAlign w:val="center"/>
          </w:tcPr>
          <w:p w14:paraId="2819FFDA" w14:textId="77777777" w:rsidR="00E9169E" w:rsidRDefault="00E9169E" w:rsidP="00A458C6">
            <w:pPr>
              <w:rPr>
                <w:sz w:val="5"/>
                <w:szCs w:val="5"/>
              </w:rPr>
            </w:pPr>
          </w:p>
        </w:tc>
        <w:tc>
          <w:tcPr>
            <w:tcW w:w="1420" w:type="dxa"/>
            <w:vMerge/>
            <w:tcBorders>
              <w:left w:val="single" w:sz="8" w:space="0" w:color="auto"/>
              <w:bottom w:val="single" w:sz="8" w:space="0" w:color="auto"/>
              <w:right w:val="single" w:sz="8" w:space="0" w:color="auto"/>
            </w:tcBorders>
            <w:vAlign w:val="bottom"/>
          </w:tcPr>
          <w:p w14:paraId="2819FFDB" w14:textId="77777777" w:rsidR="00E9169E" w:rsidRDefault="00E9169E">
            <w:pPr>
              <w:rPr>
                <w:sz w:val="5"/>
                <w:szCs w:val="5"/>
              </w:rPr>
            </w:pPr>
          </w:p>
        </w:tc>
        <w:tc>
          <w:tcPr>
            <w:tcW w:w="1540" w:type="dxa"/>
            <w:vMerge/>
            <w:tcBorders>
              <w:bottom w:val="single" w:sz="8" w:space="0" w:color="auto"/>
              <w:right w:val="single" w:sz="8" w:space="0" w:color="auto"/>
            </w:tcBorders>
            <w:vAlign w:val="bottom"/>
          </w:tcPr>
          <w:p w14:paraId="2819FFDC" w14:textId="77777777" w:rsidR="00E9169E" w:rsidRDefault="00E9169E">
            <w:pPr>
              <w:rPr>
                <w:sz w:val="5"/>
                <w:szCs w:val="5"/>
              </w:rPr>
            </w:pPr>
          </w:p>
        </w:tc>
        <w:tc>
          <w:tcPr>
            <w:tcW w:w="2680" w:type="dxa"/>
            <w:vMerge/>
            <w:tcBorders>
              <w:bottom w:val="single" w:sz="8" w:space="0" w:color="auto"/>
            </w:tcBorders>
            <w:vAlign w:val="bottom"/>
          </w:tcPr>
          <w:p w14:paraId="2819FFDD" w14:textId="77777777" w:rsidR="00E9169E" w:rsidRDefault="00E9169E">
            <w:pPr>
              <w:rPr>
                <w:sz w:val="5"/>
                <w:szCs w:val="5"/>
              </w:rPr>
            </w:pPr>
          </w:p>
        </w:tc>
        <w:tc>
          <w:tcPr>
            <w:tcW w:w="20" w:type="dxa"/>
            <w:vAlign w:val="bottom"/>
          </w:tcPr>
          <w:p w14:paraId="2819FFDE" w14:textId="77777777" w:rsidR="00E9169E" w:rsidRDefault="00E9169E">
            <w:pPr>
              <w:rPr>
                <w:sz w:val="1"/>
                <w:szCs w:val="1"/>
              </w:rPr>
            </w:pPr>
          </w:p>
        </w:tc>
      </w:tr>
      <w:tr w:rsidR="00B81925" w14:paraId="2819FFE8" w14:textId="77777777" w:rsidTr="00A458C6">
        <w:trPr>
          <w:trHeight w:val="234"/>
        </w:trPr>
        <w:tc>
          <w:tcPr>
            <w:tcW w:w="4560" w:type="dxa"/>
            <w:vMerge w:val="restart"/>
            <w:tcBorders>
              <w:right w:val="single" w:sz="8" w:space="0" w:color="auto"/>
            </w:tcBorders>
            <w:vAlign w:val="center"/>
          </w:tcPr>
          <w:p w14:paraId="2819FFE3" w14:textId="2A2CB0D0" w:rsidR="00B81925" w:rsidRDefault="00B81925" w:rsidP="00563A54">
            <w:pPr>
              <w:pStyle w:val="ListParagraph"/>
              <w:numPr>
                <w:ilvl w:val="2"/>
                <w:numId w:val="365"/>
              </w:numPr>
              <w:ind w:left="0"/>
              <w:rPr>
                <w:sz w:val="20"/>
                <w:szCs w:val="20"/>
              </w:rPr>
            </w:pPr>
            <w:r w:rsidRPr="00E9169E">
              <w:rPr>
                <w:rFonts w:eastAsia="Times New Roman"/>
                <w:sz w:val="18"/>
                <w:szCs w:val="18"/>
              </w:rPr>
              <w:t>Point of use (POU</w:t>
            </w:r>
            <w:r w:rsidRPr="00E9169E">
              <w:rPr>
                <w:rFonts w:eastAsia="Times New Roman"/>
                <w:sz w:val="24"/>
                <w:szCs w:val="24"/>
                <w:vertAlign w:val="superscript"/>
              </w:rPr>
              <w:t>2</w:t>
            </w:r>
            <w:r>
              <w:rPr>
                <w:rFonts w:eastAsia="Times New Roman"/>
                <w:sz w:val="18"/>
                <w:szCs w:val="18"/>
              </w:rPr>
              <w:t>) IE</w:t>
            </w:r>
          </w:p>
        </w:tc>
        <w:tc>
          <w:tcPr>
            <w:tcW w:w="1420" w:type="dxa"/>
            <w:vMerge w:val="restart"/>
            <w:tcBorders>
              <w:left w:val="single" w:sz="8" w:space="0" w:color="auto"/>
              <w:right w:val="single" w:sz="8" w:space="0" w:color="auto"/>
            </w:tcBorders>
            <w:vAlign w:val="center"/>
          </w:tcPr>
          <w:p w14:paraId="2819FFE4" w14:textId="77777777" w:rsidR="00B81925" w:rsidRDefault="00B81925" w:rsidP="00B81925">
            <w:pPr>
              <w:jc w:val="center"/>
              <w:rPr>
                <w:sz w:val="20"/>
                <w:szCs w:val="20"/>
              </w:rPr>
            </w:pPr>
            <w:r>
              <w:rPr>
                <w:rFonts w:eastAsia="Times New Roman"/>
                <w:sz w:val="18"/>
                <w:szCs w:val="18"/>
              </w:rPr>
              <w:t>b</w:t>
            </w:r>
          </w:p>
        </w:tc>
        <w:tc>
          <w:tcPr>
            <w:tcW w:w="1540" w:type="dxa"/>
            <w:vMerge w:val="restart"/>
            <w:tcBorders>
              <w:right w:val="single" w:sz="8" w:space="0" w:color="auto"/>
            </w:tcBorders>
            <w:vAlign w:val="center"/>
          </w:tcPr>
          <w:p w14:paraId="2819FFE5" w14:textId="77777777" w:rsidR="00B81925" w:rsidRDefault="00B81925" w:rsidP="00B81925">
            <w:pPr>
              <w:jc w:val="center"/>
              <w:rPr>
                <w:sz w:val="20"/>
                <w:szCs w:val="20"/>
              </w:rPr>
            </w:pPr>
            <w:r>
              <w:rPr>
                <w:rFonts w:eastAsia="Times New Roman"/>
                <w:sz w:val="18"/>
                <w:szCs w:val="18"/>
              </w:rPr>
              <w:t>Basic</w:t>
            </w:r>
          </w:p>
        </w:tc>
        <w:tc>
          <w:tcPr>
            <w:tcW w:w="2680" w:type="dxa"/>
            <w:vMerge w:val="restart"/>
            <w:vAlign w:val="center"/>
          </w:tcPr>
          <w:p w14:paraId="2819FFE6" w14:textId="77777777" w:rsidR="00B81925" w:rsidRDefault="00B81925" w:rsidP="00B81925">
            <w:pPr>
              <w:jc w:val="center"/>
              <w:rPr>
                <w:sz w:val="20"/>
                <w:szCs w:val="20"/>
              </w:rPr>
            </w:pPr>
            <w:r>
              <w:rPr>
                <w:rFonts w:eastAsia="Times New Roman"/>
                <w:sz w:val="18"/>
                <w:szCs w:val="18"/>
              </w:rPr>
              <w:t>All ground waters</w:t>
            </w:r>
          </w:p>
        </w:tc>
        <w:tc>
          <w:tcPr>
            <w:tcW w:w="20" w:type="dxa"/>
            <w:vAlign w:val="bottom"/>
          </w:tcPr>
          <w:p w14:paraId="2819FFE7" w14:textId="77777777" w:rsidR="00B81925" w:rsidRDefault="00B81925">
            <w:pPr>
              <w:rPr>
                <w:sz w:val="1"/>
                <w:szCs w:val="1"/>
              </w:rPr>
            </w:pPr>
          </w:p>
        </w:tc>
      </w:tr>
      <w:tr w:rsidR="00B81925" w14:paraId="2819FFF1" w14:textId="77777777" w:rsidTr="00A458C6">
        <w:trPr>
          <w:trHeight w:val="65"/>
        </w:trPr>
        <w:tc>
          <w:tcPr>
            <w:tcW w:w="4560" w:type="dxa"/>
            <w:vMerge/>
            <w:tcBorders>
              <w:bottom w:val="single" w:sz="8" w:space="0" w:color="auto"/>
              <w:right w:val="single" w:sz="8" w:space="0" w:color="auto"/>
            </w:tcBorders>
            <w:vAlign w:val="center"/>
          </w:tcPr>
          <w:p w14:paraId="2819FFEC" w14:textId="77777777" w:rsidR="00B81925" w:rsidRDefault="00B81925" w:rsidP="00A458C6">
            <w:pPr>
              <w:rPr>
                <w:sz w:val="5"/>
                <w:szCs w:val="5"/>
              </w:rPr>
            </w:pPr>
          </w:p>
        </w:tc>
        <w:tc>
          <w:tcPr>
            <w:tcW w:w="1420" w:type="dxa"/>
            <w:vMerge/>
            <w:tcBorders>
              <w:left w:val="single" w:sz="8" w:space="0" w:color="auto"/>
              <w:bottom w:val="single" w:sz="8" w:space="0" w:color="auto"/>
              <w:right w:val="single" w:sz="8" w:space="0" w:color="auto"/>
            </w:tcBorders>
            <w:vAlign w:val="bottom"/>
          </w:tcPr>
          <w:p w14:paraId="2819FFED" w14:textId="77777777" w:rsidR="00B81925" w:rsidRDefault="00B81925">
            <w:pPr>
              <w:rPr>
                <w:sz w:val="5"/>
                <w:szCs w:val="5"/>
              </w:rPr>
            </w:pPr>
          </w:p>
        </w:tc>
        <w:tc>
          <w:tcPr>
            <w:tcW w:w="1540" w:type="dxa"/>
            <w:vMerge/>
            <w:tcBorders>
              <w:bottom w:val="single" w:sz="8" w:space="0" w:color="auto"/>
              <w:right w:val="single" w:sz="8" w:space="0" w:color="auto"/>
            </w:tcBorders>
            <w:vAlign w:val="bottom"/>
          </w:tcPr>
          <w:p w14:paraId="2819FFEE" w14:textId="77777777" w:rsidR="00B81925" w:rsidRDefault="00B81925">
            <w:pPr>
              <w:rPr>
                <w:sz w:val="5"/>
                <w:szCs w:val="5"/>
              </w:rPr>
            </w:pPr>
          </w:p>
        </w:tc>
        <w:tc>
          <w:tcPr>
            <w:tcW w:w="2680" w:type="dxa"/>
            <w:vMerge/>
            <w:tcBorders>
              <w:bottom w:val="single" w:sz="8" w:space="0" w:color="auto"/>
            </w:tcBorders>
            <w:vAlign w:val="bottom"/>
          </w:tcPr>
          <w:p w14:paraId="2819FFEF" w14:textId="77777777" w:rsidR="00B81925" w:rsidRDefault="00B81925">
            <w:pPr>
              <w:rPr>
                <w:sz w:val="5"/>
                <w:szCs w:val="5"/>
              </w:rPr>
            </w:pPr>
          </w:p>
        </w:tc>
        <w:tc>
          <w:tcPr>
            <w:tcW w:w="20" w:type="dxa"/>
            <w:vAlign w:val="bottom"/>
          </w:tcPr>
          <w:p w14:paraId="2819FFF0" w14:textId="77777777" w:rsidR="00B81925" w:rsidRDefault="00B81925">
            <w:pPr>
              <w:rPr>
                <w:sz w:val="1"/>
                <w:szCs w:val="1"/>
              </w:rPr>
            </w:pPr>
          </w:p>
        </w:tc>
      </w:tr>
      <w:tr w:rsidR="00B81925" w14:paraId="2819FFF8" w14:textId="77777777" w:rsidTr="00A458C6">
        <w:trPr>
          <w:trHeight w:val="234"/>
        </w:trPr>
        <w:tc>
          <w:tcPr>
            <w:tcW w:w="4560" w:type="dxa"/>
            <w:vMerge w:val="restart"/>
            <w:tcBorders>
              <w:right w:val="single" w:sz="8" w:space="0" w:color="auto"/>
            </w:tcBorders>
            <w:vAlign w:val="center"/>
          </w:tcPr>
          <w:p w14:paraId="2819FFF3" w14:textId="5570915B" w:rsidR="00B81925" w:rsidRPr="00B81925" w:rsidRDefault="00B81925" w:rsidP="00563A54">
            <w:pPr>
              <w:pStyle w:val="ListParagraph"/>
              <w:numPr>
                <w:ilvl w:val="2"/>
                <w:numId w:val="365"/>
              </w:numPr>
              <w:ind w:left="0"/>
              <w:rPr>
                <w:sz w:val="20"/>
                <w:szCs w:val="20"/>
              </w:rPr>
            </w:pPr>
            <w:r w:rsidRPr="00B81925">
              <w:rPr>
                <w:rFonts w:eastAsia="Times New Roman"/>
                <w:sz w:val="18"/>
                <w:szCs w:val="18"/>
              </w:rPr>
              <w:t>Reverse osmosis (RO)</w:t>
            </w:r>
          </w:p>
        </w:tc>
        <w:tc>
          <w:tcPr>
            <w:tcW w:w="1420" w:type="dxa"/>
            <w:vMerge w:val="restart"/>
            <w:tcBorders>
              <w:left w:val="single" w:sz="8" w:space="0" w:color="auto"/>
              <w:right w:val="single" w:sz="8" w:space="0" w:color="auto"/>
            </w:tcBorders>
            <w:vAlign w:val="center"/>
          </w:tcPr>
          <w:p w14:paraId="2819FFF4" w14:textId="77777777" w:rsidR="00B81925" w:rsidRDefault="00B81925" w:rsidP="00B81925">
            <w:pPr>
              <w:jc w:val="center"/>
              <w:rPr>
                <w:sz w:val="20"/>
                <w:szCs w:val="20"/>
              </w:rPr>
            </w:pPr>
            <w:r>
              <w:rPr>
                <w:rFonts w:eastAsia="Times New Roman"/>
                <w:w w:val="99"/>
                <w:sz w:val="18"/>
                <w:szCs w:val="18"/>
              </w:rPr>
              <w:t>c</w:t>
            </w:r>
          </w:p>
        </w:tc>
        <w:tc>
          <w:tcPr>
            <w:tcW w:w="1540" w:type="dxa"/>
            <w:vMerge w:val="restart"/>
            <w:tcBorders>
              <w:right w:val="single" w:sz="8" w:space="0" w:color="auto"/>
            </w:tcBorders>
            <w:vAlign w:val="center"/>
          </w:tcPr>
          <w:p w14:paraId="2819FFF5" w14:textId="77777777" w:rsidR="00B81925" w:rsidRDefault="00B81925" w:rsidP="00B81925">
            <w:pPr>
              <w:jc w:val="center"/>
              <w:rPr>
                <w:sz w:val="20"/>
                <w:szCs w:val="20"/>
              </w:rPr>
            </w:pPr>
            <w:r>
              <w:rPr>
                <w:rFonts w:eastAsia="Times New Roman"/>
                <w:sz w:val="18"/>
                <w:szCs w:val="18"/>
              </w:rPr>
              <w:t>Advanced</w:t>
            </w:r>
          </w:p>
        </w:tc>
        <w:tc>
          <w:tcPr>
            <w:tcW w:w="2680" w:type="dxa"/>
            <w:vMerge w:val="restart"/>
            <w:vAlign w:val="center"/>
          </w:tcPr>
          <w:p w14:paraId="2819FFF6" w14:textId="3D4183EC" w:rsidR="00B81925" w:rsidRDefault="00B81925" w:rsidP="00A458C6">
            <w:pPr>
              <w:jc w:val="center"/>
              <w:rPr>
                <w:sz w:val="20"/>
                <w:szCs w:val="20"/>
              </w:rPr>
            </w:pPr>
            <w:r>
              <w:rPr>
                <w:rFonts w:eastAsia="Times New Roman"/>
                <w:sz w:val="18"/>
                <w:szCs w:val="18"/>
              </w:rPr>
              <w:t>Surface waters usually require</w:t>
            </w:r>
            <w:r w:rsidR="00A458C6">
              <w:rPr>
                <w:rFonts w:eastAsia="Times New Roman"/>
                <w:sz w:val="18"/>
                <w:szCs w:val="18"/>
              </w:rPr>
              <w:t xml:space="preserve"> </w:t>
            </w:r>
            <w:r>
              <w:rPr>
                <w:rFonts w:eastAsia="Times New Roman"/>
                <w:sz w:val="18"/>
                <w:szCs w:val="18"/>
              </w:rPr>
              <w:t>pre-filtration</w:t>
            </w:r>
          </w:p>
        </w:tc>
        <w:tc>
          <w:tcPr>
            <w:tcW w:w="20" w:type="dxa"/>
            <w:vAlign w:val="bottom"/>
          </w:tcPr>
          <w:p w14:paraId="2819FFF7" w14:textId="77777777" w:rsidR="00B81925" w:rsidRDefault="00B81925">
            <w:pPr>
              <w:rPr>
                <w:sz w:val="1"/>
                <w:szCs w:val="1"/>
              </w:rPr>
            </w:pPr>
          </w:p>
        </w:tc>
      </w:tr>
      <w:tr w:rsidR="00B81925" w14:paraId="2819FFFF" w14:textId="77777777" w:rsidTr="00347FE4">
        <w:trPr>
          <w:trHeight w:val="58"/>
        </w:trPr>
        <w:tc>
          <w:tcPr>
            <w:tcW w:w="4560" w:type="dxa"/>
            <w:vMerge/>
            <w:tcBorders>
              <w:right w:val="single" w:sz="8" w:space="0" w:color="auto"/>
            </w:tcBorders>
            <w:vAlign w:val="bottom"/>
          </w:tcPr>
          <w:p w14:paraId="2819FFFA" w14:textId="77777777" w:rsidR="00B81925" w:rsidRDefault="00B81925">
            <w:pPr>
              <w:rPr>
                <w:sz w:val="5"/>
                <w:szCs w:val="5"/>
              </w:rPr>
            </w:pPr>
          </w:p>
        </w:tc>
        <w:tc>
          <w:tcPr>
            <w:tcW w:w="1420" w:type="dxa"/>
            <w:vMerge/>
            <w:tcBorders>
              <w:left w:val="single" w:sz="8" w:space="0" w:color="auto"/>
              <w:right w:val="single" w:sz="8" w:space="0" w:color="auto"/>
            </w:tcBorders>
            <w:vAlign w:val="bottom"/>
          </w:tcPr>
          <w:p w14:paraId="2819FFFB" w14:textId="77777777" w:rsidR="00B81925" w:rsidRDefault="00B81925">
            <w:pPr>
              <w:rPr>
                <w:sz w:val="5"/>
                <w:szCs w:val="5"/>
              </w:rPr>
            </w:pPr>
          </w:p>
        </w:tc>
        <w:tc>
          <w:tcPr>
            <w:tcW w:w="1540" w:type="dxa"/>
            <w:vMerge/>
            <w:tcBorders>
              <w:right w:val="single" w:sz="8" w:space="0" w:color="auto"/>
            </w:tcBorders>
            <w:vAlign w:val="bottom"/>
          </w:tcPr>
          <w:p w14:paraId="2819FFFC" w14:textId="77777777" w:rsidR="00B81925" w:rsidRDefault="00B81925">
            <w:pPr>
              <w:rPr>
                <w:sz w:val="5"/>
                <w:szCs w:val="5"/>
              </w:rPr>
            </w:pPr>
          </w:p>
        </w:tc>
        <w:tc>
          <w:tcPr>
            <w:tcW w:w="2680" w:type="dxa"/>
            <w:vMerge/>
            <w:vAlign w:val="bottom"/>
          </w:tcPr>
          <w:p w14:paraId="2819FFFD" w14:textId="3BA78167" w:rsidR="00B81925" w:rsidRDefault="00B81925" w:rsidP="00347FE4">
            <w:pPr>
              <w:rPr>
                <w:sz w:val="5"/>
                <w:szCs w:val="5"/>
              </w:rPr>
            </w:pPr>
          </w:p>
        </w:tc>
        <w:tc>
          <w:tcPr>
            <w:tcW w:w="20" w:type="dxa"/>
            <w:vAlign w:val="bottom"/>
          </w:tcPr>
          <w:p w14:paraId="2819FFFE" w14:textId="77777777" w:rsidR="00B81925" w:rsidRDefault="00B81925">
            <w:pPr>
              <w:rPr>
                <w:sz w:val="1"/>
                <w:szCs w:val="1"/>
              </w:rPr>
            </w:pPr>
          </w:p>
        </w:tc>
      </w:tr>
      <w:tr w:rsidR="00B81925" w14:paraId="281A0008" w14:textId="77777777" w:rsidTr="00347FE4">
        <w:trPr>
          <w:trHeight w:val="286"/>
        </w:trPr>
        <w:tc>
          <w:tcPr>
            <w:tcW w:w="4560" w:type="dxa"/>
            <w:vMerge/>
            <w:tcBorders>
              <w:bottom w:val="single" w:sz="8" w:space="0" w:color="auto"/>
              <w:right w:val="single" w:sz="8" w:space="0" w:color="auto"/>
            </w:tcBorders>
            <w:vAlign w:val="bottom"/>
          </w:tcPr>
          <w:p w14:paraId="281A0003" w14:textId="77777777" w:rsidR="00B81925" w:rsidRDefault="00B81925">
            <w:pPr>
              <w:rPr>
                <w:sz w:val="24"/>
                <w:szCs w:val="24"/>
              </w:rPr>
            </w:pPr>
          </w:p>
        </w:tc>
        <w:tc>
          <w:tcPr>
            <w:tcW w:w="1420" w:type="dxa"/>
            <w:vMerge/>
            <w:tcBorders>
              <w:left w:val="single" w:sz="8" w:space="0" w:color="auto"/>
              <w:bottom w:val="single" w:sz="8" w:space="0" w:color="auto"/>
              <w:right w:val="single" w:sz="8" w:space="0" w:color="auto"/>
            </w:tcBorders>
            <w:vAlign w:val="bottom"/>
          </w:tcPr>
          <w:p w14:paraId="281A0004" w14:textId="77777777" w:rsidR="00B81925" w:rsidRDefault="00B81925">
            <w:pPr>
              <w:rPr>
                <w:sz w:val="24"/>
                <w:szCs w:val="24"/>
              </w:rPr>
            </w:pPr>
          </w:p>
        </w:tc>
        <w:tc>
          <w:tcPr>
            <w:tcW w:w="1540" w:type="dxa"/>
            <w:vMerge/>
            <w:tcBorders>
              <w:bottom w:val="single" w:sz="8" w:space="0" w:color="auto"/>
              <w:right w:val="single" w:sz="8" w:space="0" w:color="auto"/>
            </w:tcBorders>
            <w:vAlign w:val="bottom"/>
          </w:tcPr>
          <w:p w14:paraId="281A0005" w14:textId="77777777" w:rsidR="00B81925" w:rsidRDefault="00B81925">
            <w:pPr>
              <w:rPr>
                <w:sz w:val="24"/>
                <w:szCs w:val="24"/>
              </w:rPr>
            </w:pPr>
          </w:p>
        </w:tc>
        <w:tc>
          <w:tcPr>
            <w:tcW w:w="2680" w:type="dxa"/>
            <w:vMerge/>
            <w:tcBorders>
              <w:bottom w:val="single" w:sz="8" w:space="0" w:color="auto"/>
            </w:tcBorders>
            <w:vAlign w:val="bottom"/>
          </w:tcPr>
          <w:p w14:paraId="281A0006" w14:textId="7F432A2A" w:rsidR="00B81925" w:rsidRDefault="00B81925">
            <w:pPr>
              <w:rPr>
                <w:sz w:val="20"/>
                <w:szCs w:val="20"/>
              </w:rPr>
            </w:pPr>
          </w:p>
        </w:tc>
        <w:tc>
          <w:tcPr>
            <w:tcW w:w="20" w:type="dxa"/>
            <w:vAlign w:val="bottom"/>
          </w:tcPr>
          <w:p w14:paraId="281A0007" w14:textId="77777777" w:rsidR="00B81925" w:rsidRDefault="00B81925">
            <w:pPr>
              <w:rPr>
                <w:sz w:val="1"/>
                <w:szCs w:val="1"/>
              </w:rPr>
            </w:pPr>
          </w:p>
        </w:tc>
      </w:tr>
      <w:tr w:rsidR="00A458C6" w14:paraId="281A0011" w14:textId="77777777" w:rsidTr="00A458C6">
        <w:trPr>
          <w:trHeight w:val="234"/>
        </w:trPr>
        <w:tc>
          <w:tcPr>
            <w:tcW w:w="4560" w:type="dxa"/>
            <w:vMerge w:val="restart"/>
            <w:tcBorders>
              <w:right w:val="single" w:sz="8" w:space="0" w:color="auto"/>
            </w:tcBorders>
            <w:vAlign w:val="center"/>
          </w:tcPr>
          <w:p w14:paraId="281A000C" w14:textId="3AFB1E03" w:rsidR="00A458C6" w:rsidRPr="00A458C6" w:rsidRDefault="00A458C6" w:rsidP="00563A54">
            <w:pPr>
              <w:pStyle w:val="ListParagraph"/>
              <w:numPr>
                <w:ilvl w:val="2"/>
                <w:numId w:val="365"/>
              </w:numPr>
              <w:ind w:left="0"/>
              <w:rPr>
                <w:sz w:val="20"/>
                <w:szCs w:val="20"/>
              </w:rPr>
            </w:pPr>
            <w:r w:rsidRPr="00A458C6">
              <w:rPr>
                <w:rFonts w:eastAsia="Times New Roman"/>
                <w:sz w:val="18"/>
                <w:szCs w:val="18"/>
              </w:rPr>
              <w:t xml:space="preserve">POU </w:t>
            </w:r>
            <w:r w:rsidRPr="00A458C6">
              <w:rPr>
                <w:rFonts w:eastAsia="Times New Roman"/>
                <w:sz w:val="24"/>
                <w:szCs w:val="24"/>
                <w:vertAlign w:val="superscript"/>
              </w:rPr>
              <w:t>2</w:t>
            </w:r>
            <w:r w:rsidRPr="00A458C6">
              <w:rPr>
                <w:rFonts w:eastAsia="Times New Roman"/>
                <w:sz w:val="18"/>
                <w:szCs w:val="18"/>
              </w:rPr>
              <w:t xml:space="preserve"> RO</w:t>
            </w:r>
          </w:p>
        </w:tc>
        <w:tc>
          <w:tcPr>
            <w:tcW w:w="1420" w:type="dxa"/>
            <w:vMerge w:val="restart"/>
            <w:tcBorders>
              <w:left w:val="single" w:sz="8" w:space="0" w:color="auto"/>
              <w:right w:val="single" w:sz="8" w:space="0" w:color="auto"/>
            </w:tcBorders>
            <w:vAlign w:val="center"/>
          </w:tcPr>
          <w:p w14:paraId="281A000D" w14:textId="77777777" w:rsidR="00A458C6" w:rsidRDefault="00A458C6" w:rsidP="00A458C6">
            <w:pPr>
              <w:jc w:val="center"/>
              <w:rPr>
                <w:sz w:val="20"/>
                <w:szCs w:val="20"/>
              </w:rPr>
            </w:pPr>
            <w:r>
              <w:rPr>
                <w:rFonts w:eastAsia="Times New Roman"/>
                <w:sz w:val="18"/>
                <w:szCs w:val="18"/>
              </w:rPr>
              <w:t>b</w:t>
            </w:r>
          </w:p>
        </w:tc>
        <w:tc>
          <w:tcPr>
            <w:tcW w:w="1540" w:type="dxa"/>
            <w:vMerge w:val="restart"/>
            <w:tcBorders>
              <w:right w:val="single" w:sz="8" w:space="0" w:color="auto"/>
            </w:tcBorders>
            <w:vAlign w:val="center"/>
          </w:tcPr>
          <w:p w14:paraId="281A000E" w14:textId="77777777" w:rsidR="00A458C6" w:rsidRDefault="00A458C6" w:rsidP="00A458C6">
            <w:pPr>
              <w:jc w:val="center"/>
              <w:rPr>
                <w:sz w:val="20"/>
                <w:szCs w:val="20"/>
              </w:rPr>
            </w:pPr>
            <w:r>
              <w:rPr>
                <w:rFonts w:eastAsia="Times New Roman"/>
                <w:sz w:val="18"/>
                <w:szCs w:val="18"/>
              </w:rPr>
              <w:t>Basic</w:t>
            </w:r>
          </w:p>
        </w:tc>
        <w:tc>
          <w:tcPr>
            <w:tcW w:w="2680" w:type="dxa"/>
            <w:vMerge w:val="restart"/>
            <w:vAlign w:val="center"/>
          </w:tcPr>
          <w:p w14:paraId="281A000F" w14:textId="5D2607D1" w:rsidR="00A458C6" w:rsidRDefault="00A458C6" w:rsidP="00A458C6">
            <w:pPr>
              <w:jc w:val="center"/>
              <w:rPr>
                <w:sz w:val="20"/>
                <w:szCs w:val="20"/>
              </w:rPr>
            </w:pPr>
            <w:r>
              <w:rPr>
                <w:rFonts w:eastAsia="Times New Roman"/>
                <w:sz w:val="18"/>
                <w:szCs w:val="18"/>
              </w:rPr>
              <w:t>Surface waters usually require pre-filtration</w:t>
            </w:r>
          </w:p>
        </w:tc>
        <w:tc>
          <w:tcPr>
            <w:tcW w:w="20" w:type="dxa"/>
            <w:vAlign w:val="bottom"/>
          </w:tcPr>
          <w:p w14:paraId="281A0010" w14:textId="77777777" w:rsidR="00A458C6" w:rsidRDefault="00A458C6">
            <w:pPr>
              <w:rPr>
                <w:sz w:val="1"/>
                <w:szCs w:val="1"/>
              </w:rPr>
            </w:pPr>
          </w:p>
        </w:tc>
      </w:tr>
      <w:tr w:rsidR="00A458C6" w14:paraId="281A001A" w14:textId="77777777" w:rsidTr="00347FE4">
        <w:trPr>
          <w:trHeight w:val="58"/>
        </w:trPr>
        <w:tc>
          <w:tcPr>
            <w:tcW w:w="4560" w:type="dxa"/>
            <w:vMerge/>
            <w:tcBorders>
              <w:right w:val="single" w:sz="8" w:space="0" w:color="auto"/>
            </w:tcBorders>
            <w:vAlign w:val="bottom"/>
          </w:tcPr>
          <w:p w14:paraId="281A0015" w14:textId="77777777" w:rsidR="00A458C6" w:rsidRDefault="00A458C6">
            <w:pPr>
              <w:rPr>
                <w:sz w:val="5"/>
                <w:szCs w:val="5"/>
              </w:rPr>
            </w:pPr>
          </w:p>
        </w:tc>
        <w:tc>
          <w:tcPr>
            <w:tcW w:w="1420" w:type="dxa"/>
            <w:vMerge/>
            <w:tcBorders>
              <w:left w:val="single" w:sz="8" w:space="0" w:color="auto"/>
              <w:right w:val="single" w:sz="8" w:space="0" w:color="auto"/>
            </w:tcBorders>
            <w:vAlign w:val="bottom"/>
          </w:tcPr>
          <w:p w14:paraId="281A0016" w14:textId="77777777" w:rsidR="00A458C6" w:rsidRDefault="00A458C6">
            <w:pPr>
              <w:rPr>
                <w:sz w:val="5"/>
                <w:szCs w:val="5"/>
              </w:rPr>
            </w:pPr>
          </w:p>
        </w:tc>
        <w:tc>
          <w:tcPr>
            <w:tcW w:w="1540" w:type="dxa"/>
            <w:vMerge/>
            <w:tcBorders>
              <w:right w:val="single" w:sz="8" w:space="0" w:color="auto"/>
            </w:tcBorders>
            <w:vAlign w:val="bottom"/>
          </w:tcPr>
          <w:p w14:paraId="281A0017" w14:textId="77777777" w:rsidR="00A458C6" w:rsidRDefault="00A458C6">
            <w:pPr>
              <w:rPr>
                <w:sz w:val="5"/>
                <w:szCs w:val="5"/>
              </w:rPr>
            </w:pPr>
          </w:p>
        </w:tc>
        <w:tc>
          <w:tcPr>
            <w:tcW w:w="2680" w:type="dxa"/>
            <w:vMerge/>
            <w:vAlign w:val="bottom"/>
          </w:tcPr>
          <w:p w14:paraId="281A0018" w14:textId="114DE307" w:rsidR="00A458C6" w:rsidRDefault="00A458C6" w:rsidP="00347FE4">
            <w:pPr>
              <w:rPr>
                <w:sz w:val="5"/>
                <w:szCs w:val="5"/>
              </w:rPr>
            </w:pPr>
          </w:p>
        </w:tc>
        <w:tc>
          <w:tcPr>
            <w:tcW w:w="20" w:type="dxa"/>
            <w:vAlign w:val="bottom"/>
          </w:tcPr>
          <w:p w14:paraId="281A0019" w14:textId="77777777" w:rsidR="00A458C6" w:rsidRDefault="00A458C6">
            <w:pPr>
              <w:rPr>
                <w:sz w:val="1"/>
                <w:szCs w:val="1"/>
              </w:rPr>
            </w:pPr>
          </w:p>
        </w:tc>
      </w:tr>
      <w:tr w:rsidR="00A458C6" w14:paraId="281A0023" w14:textId="77777777" w:rsidTr="00347FE4">
        <w:trPr>
          <w:trHeight w:val="285"/>
        </w:trPr>
        <w:tc>
          <w:tcPr>
            <w:tcW w:w="4560" w:type="dxa"/>
            <w:vMerge/>
            <w:tcBorders>
              <w:bottom w:val="single" w:sz="8" w:space="0" w:color="auto"/>
              <w:right w:val="single" w:sz="8" w:space="0" w:color="auto"/>
            </w:tcBorders>
            <w:vAlign w:val="bottom"/>
          </w:tcPr>
          <w:p w14:paraId="281A001E" w14:textId="77777777" w:rsidR="00A458C6" w:rsidRDefault="00A458C6">
            <w:pPr>
              <w:rPr>
                <w:sz w:val="24"/>
                <w:szCs w:val="24"/>
              </w:rPr>
            </w:pPr>
          </w:p>
        </w:tc>
        <w:tc>
          <w:tcPr>
            <w:tcW w:w="1420" w:type="dxa"/>
            <w:vMerge/>
            <w:tcBorders>
              <w:left w:val="single" w:sz="8" w:space="0" w:color="auto"/>
              <w:bottom w:val="single" w:sz="8" w:space="0" w:color="auto"/>
              <w:right w:val="single" w:sz="8" w:space="0" w:color="auto"/>
            </w:tcBorders>
            <w:vAlign w:val="bottom"/>
          </w:tcPr>
          <w:p w14:paraId="281A001F" w14:textId="77777777" w:rsidR="00A458C6" w:rsidRDefault="00A458C6">
            <w:pPr>
              <w:rPr>
                <w:sz w:val="24"/>
                <w:szCs w:val="24"/>
              </w:rPr>
            </w:pPr>
          </w:p>
        </w:tc>
        <w:tc>
          <w:tcPr>
            <w:tcW w:w="1540" w:type="dxa"/>
            <w:vMerge/>
            <w:tcBorders>
              <w:bottom w:val="single" w:sz="8" w:space="0" w:color="auto"/>
              <w:right w:val="single" w:sz="8" w:space="0" w:color="auto"/>
            </w:tcBorders>
            <w:vAlign w:val="bottom"/>
          </w:tcPr>
          <w:p w14:paraId="281A0020" w14:textId="77777777" w:rsidR="00A458C6" w:rsidRDefault="00A458C6">
            <w:pPr>
              <w:rPr>
                <w:sz w:val="24"/>
                <w:szCs w:val="24"/>
              </w:rPr>
            </w:pPr>
          </w:p>
        </w:tc>
        <w:tc>
          <w:tcPr>
            <w:tcW w:w="2680" w:type="dxa"/>
            <w:vMerge/>
            <w:tcBorders>
              <w:bottom w:val="single" w:sz="8" w:space="0" w:color="auto"/>
            </w:tcBorders>
            <w:vAlign w:val="bottom"/>
          </w:tcPr>
          <w:p w14:paraId="281A0021" w14:textId="614C9DFA" w:rsidR="00A458C6" w:rsidRDefault="00A458C6">
            <w:pPr>
              <w:rPr>
                <w:sz w:val="20"/>
                <w:szCs w:val="20"/>
              </w:rPr>
            </w:pPr>
          </w:p>
        </w:tc>
        <w:tc>
          <w:tcPr>
            <w:tcW w:w="20" w:type="dxa"/>
            <w:vAlign w:val="bottom"/>
          </w:tcPr>
          <w:p w14:paraId="281A0022" w14:textId="77777777" w:rsidR="00A458C6" w:rsidRDefault="00A458C6">
            <w:pPr>
              <w:rPr>
                <w:sz w:val="1"/>
                <w:szCs w:val="1"/>
              </w:rPr>
            </w:pPr>
          </w:p>
        </w:tc>
      </w:tr>
      <w:tr w:rsidR="00A458C6" w14:paraId="281A002C" w14:textId="77777777" w:rsidTr="00A458C6">
        <w:trPr>
          <w:trHeight w:val="234"/>
        </w:trPr>
        <w:tc>
          <w:tcPr>
            <w:tcW w:w="4560" w:type="dxa"/>
            <w:vMerge w:val="restart"/>
            <w:tcBorders>
              <w:right w:val="single" w:sz="8" w:space="0" w:color="auto"/>
            </w:tcBorders>
            <w:vAlign w:val="center"/>
          </w:tcPr>
          <w:p w14:paraId="281A0027" w14:textId="3E7A0DB2" w:rsidR="00A458C6" w:rsidRPr="00A458C6" w:rsidRDefault="00A458C6" w:rsidP="00563A54">
            <w:pPr>
              <w:pStyle w:val="ListParagraph"/>
              <w:numPr>
                <w:ilvl w:val="2"/>
                <w:numId w:val="365"/>
              </w:numPr>
              <w:ind w:left="0"/>
              <w:rPr>
                <w:sz w:val="20"/>
                <w:szCs w:val="20"/>
              </w:rPr>
            </w:pPr>
            <w:r w:rsidRPr="00A458C6">
              <w:rPr>
                <w:rFonts w:eastAsia="Times New Roman"/>
                <w:sz w:val="18"/>
                <w:szCs w:val="18"/>
              </w:rPr>
              <w:t>Lime softening</w:t>
            </w:r>
          </w:p>
        </w:tc>
        <w:tc>
          <w:tcPr>
            <w:tcW w:w="1420" w:type="dxa"/>
            <w:vMerge w:val="restart"/>
            <w:tcBorders>
              <w:left w:val="single" w:sz="8" w:space="0" w:color="auto"/>
              <w:right w:val="single" w:sz="8" w:space="0" w:color="auto"/>
            </w:tcBorders>
            <w:vAlign w:val="center"/>
          </w:tcPr>
          <w:p w14:paraId="281A0028" w14:textId="77777777" w:rsidR="00A458C6" w:rsidRDefault="00A458C6" w:rsidP="00A458C6">
            <w:pPr>
              <w:jc w:val="center"/>
              <w:rPr>
                <w:sz w:val="20"/>
                <w:szCs w:val="20"/>
              </w:rPr>
            </w:pPr>
            <w:r>
              <w:rPr>
                <w:rFonts w:eastAsia="Times New Roman"/>
                <w:sz w:val="18"/>
                <w:szCs w:val="18"/>
              </w:rPr>
              <w:t>d</w:t>
            </w:r>
          </w:p>
        </w:tc>
        <w:tc>
          <w:tcPr>
            <w:tcW w:w="1540" w:type="dxa"/>
            <w:vMerge w:val="restart"/>
            <w:tcBorders>
              <w:right w:val="single" w:sz="8" w:space="0" w:color="auto"/>
            </w:tcBorders>
            <w:vAlign w:val="center"/>
          </w:tcPr>
          <w:p w14:paraId="281A0029" w14:textId="77777777" w:rsidR="00A458C6" w:rsidRDefault="00A458C6" w:rsidP="00A458C6">
            <w:pPr>
              <w:jc w:val="center"/>
              <w:rPr>
                <w:sz w:val="20"/>
                <w:szCs w:val="20"/>
              </w:rPr>
            </w:pPr>
            <w:r>
              <w:rPr>
                <w:rFonts w:eastAsia="Times New Roman"/>
                <w:sz w:val="18"/>
                <w:szCs w:val="18"/>
              </w:rPr>
              <w:t>Advanced</w:t>
            </w:r>
          </w:p>
        </w:tc>
        <w:tc>
          <w:tcPr>
            <w:tcW w:w="2680" w:type="dxa"/>
            <w:vMerge w:val="restart"/>
            <w:vAlign w:val="center"/>
          </w:tcPr>
          <w:p w14:paraId="281A002A" w14:textId="77777777" w:rsidR="00A458C6" w:rsidRDefault="00A458C6" w:rsidP="00A458C6">
            <w:pPr>
              <w:jc w:val="center"/>
              <w:rPr>
                <w:sz w:val="20"/>
                <w:szCs w:val="20"/>
              </w:rPr>
            </w:pPr>
            <w:r>
              <w:rPr>
                <w:rFonts w:eastAsia="Times New Roman"/>
                <w:sz w:val="18"/>
                <w:szCs w:val="18"/>
              </w:rPr>
              <w:t>All waters</w:t>
            </w:r>
          </w:p>
        </w:tc>
        <w:tc>
          <w:tcPr>
            <w:tcW w:w="20" w:type="dxa"/>
            <w:vAlign w:val="bottom"/>
          </w:tcPr>
          <w:p w14:paraId="281A002B" w14:textId="77777777" w:rsidR="00A458C6" w:rsidRDefault="00A458C6">
            <w:pPr>
              <w:rPr>
                <w:sz w:val="1"/>
                <w:szCs w:val="1"/>
              </w:rPr>
            </w:pPr>
          </w:p>
        </w:tc>
      </w:tr>
      <w:tr w:rsidR="00A458C6" w14:paraId="281A0035" w14:textId="77777777" w:rsidTr="00347FE4">
        <w:trPr>
          <w:trHeight w:val="63"/>
        </w:trPr>
        <w:tc>
          <w:tcPr>
            <w:tcW w:w="4560" w:type="dxa"/>
            <w:vMerge/>
            <w:tcBorders>
              <w:bottom w:val="single" w:sz="8" w:space="0" w:color="auto"/>
              <w:right w:val="single" w:sz="8" w:space="0" w:color="auto"/>
            </w:tcBorders>
            <w:vAlign w:val="bottom"/>
          </w:tcPr>
          <w:p w14:paraId="281A0030" w14:textId="77777777" w:rsidR="00A458C6" w:rsidRDefault="00A458C6">
            <w:pPr>
              <w:rPr>
                <w:sz w:val="5"/>
                <w:szCs w:val="5"/>
              </w:rPr>
            </w:pPr>
          </w:p>
        </w:tc>
        <w:tc>
          <w:tcPr>
            <w:tcW w:w="1420" w:type="dxa"/>
            <w:vMerge/>
            <w:tcBorders>
              <w:left w:val="single" w:sz="8" w:space="0" w:color="auto"/>
              <w:bottom w:val="single" w:sz="8" w:space="0" w:color="auto"/>
              <w:right w:val="single" w:sz="8" w:space="0" w:color="auto"/>
            </w:tcBorders>
            <w:vAlign w:val="bottom"/>
          </w:tcPr>
          <w:p w14:paraId="281A0031" w14:textId="77777777" w:rsidR="00A458C6" w:rsidRDefault="00A458C6">
            <w:pPr>
              <w:rPr>
                <w:sz w:val="5"/>
                <w:szCs w:val="5"/>
              </w:rPr>
            </w:pPr>
          </w:p>
        </w:tc>
        <w:tc>
          <w:tcPr>
            <w:tcW w:w="1540" w:type="dxa"/>
            <w:vMerge/>
            <w:tcBorders>
              <w:bottom w:val="single" w:sz="8" w:space="0" w:color="auto"/>
              <w:right w:val="single" w:sz="8" w:space="0" w:color="auto"/>
            </w:tcBorders>
            <w:vAlign w:val="bottom"/>
          </w:tcPr>
          <w:p w14:paraId="281A0032" w14:textId="77777777" w:rsidR="00A458C6" w:rsidRDefault="00A458C6">
            <w:pPr>
              <w:rPr>
                <w:sz w:val="5"/>
                <w:szCs w:val="5"/>
              </w:rPr>
            </w:pPr>
          </w:p>
        </w:tc>
        <w:tc>
          <w:tcPr>
            <w:tcW w:w="2680" w:type="dxa"/>
            <w:vMerge/>
            <w:tcBorders>
              <w:bottom w:val="single" w:sz="8" w:space="0" w:color="auto"/>
            </w:tcBorders>
            <w:vAlign w:val="bottom"/>
          </w:tcPr>
          <w:p w14:paraId="281A0033" w14:textId="77777777" w:rsidR="00A458C6" w:rsidRDefault="00A458C6">
            <w:pPr>
              <w:rPr>
                <w:sz w:val="5"/>
                <w:szCs w:val="5"/>
              </w:rPr>
            </w:pPr>
          </w:p>
        </w:tc>
        <w:tc>
          <w:tcPr>
            <w:tcW w:w="20" w:type="dxa"/>
            <w:vAlign w:val="bottom"/>
          </w:tcPr>
          <w:p w14:paraId="281A0034" w14:textId="77777777" w:rsidR="00A458C6" w:rsidRDefault="00A458C6">
            <w:pPr>
              <w:rPr>
                <w:sz w:val="1"/>
                <w:szCs w:val="1"/>
              </w:rPr>
            </w:pPr>
          </w:p>
        </w:tc>
      </w:tr>
      <w:tr w:rsidR="00A458C6" w14:paraId="281A003D" w14:textId="77777777" w:rsidTr="00A458C6">
        <w:trPr>
          <w:trHeight w:val="234"/>
        </w:trPr>
        <w:tc>
          <w:tcPr>
            <w:tcW w:w="4560" w:type="dxa"/>
            <w:vMerge w:val="restart"/>
            <w:tcBorders>
              <w:right w:val="single" w:sz="8" w:space="0" w:color="auto"/>
            </w:tcBorders>
            <w:vAlign w:val="center"/>
          </w:tcPr>
          <w:p w14:paraId="281A0038" w14:textId="10B050AB" w:rsidR="00A458C6" w:rsidRPr="00A458C6" w:rsidRDefault="00A458C6" w:rsidP="00563A54">
            <w:pPr>
              <w:pStyle w:val="ListParagraph"/>
              <w:numPr>
                <w:ilvl w:val="2"/>
                <w:numId w:val="365"/>
              </w:numPr>
              <w:ind w:left="0"/>
              <w:rPr>
                <w:sz w:val="20"/>
                <w:szCs w:val="20"/>
              </w:rPr>
            </w:pPr>
            <w:r w:rsidRPr="00A458C6">
              <w:rPr>
                <w:rFonts w:eastAsia="Times New Roman"/>
                <w:sz w:val="18"/>
                <w:szCs w:val="18"/>
              </w:rPr>
              <w:t>Green sand filtration</w:t>
            </w:r>
          </w:p>
        </w:tc>
        <w:tc>
          <w:tcPr>
            <w:tcW w:w="1420" w:type="dxa"/>
            <w:vMerge w:val="restart"/>
            <w:tcBorders>
              <w:left w:val="single" w:sz="8" w:space="0" w:color="auto"/>
              <w:right w:val="single" w:sz="8" w:space="0" w:color="auto"/>
            </w:tcBorders>
            <w:vAlign w:val="center"/>
          </w:tcPr>
          <w:p w14:paraId="281A0039" w14:textId="77777777" w:rsidR="00A458C6" w:rsidRDefault="00A458C6" w:rsidP="00A458C6">
            <w:pPr>
              <w:jc w:val="center"/>
              <w:rPr>
                <w:sz w:val="20"/>
                <w:szCs w:val="20"/>
              </w:rPr>
            </w:pPr>
            <w:r>
              <w:rPr>
                <w:rFonts w:eastAsia="Times New Roman"/>
                <w:w w:val="99"/>
                <w:sz w:val="18"/>
                <w:szCs w:val="18"/>
              </w:rPr>
              <w:t>e</w:t>
            </w:r>
          </w:p>
        </w:tc>
        <w:tc>
          <w:tcPr>
            <w:tcW w:w="1540" w:type="dxa"/>
            <w:vMerge w:val="restart"/>
            <w:tcBorders>
              <w:right w:val="single" w:sz="8" w:space="0" w:color="auto"/>
            </w:tcBorders>
            <w:vAlign w:val="center"/>
          </w:tcPr>
          <w:p w14:paraId="281A003A" w14:textId="77777777" w:rsidR="00A458C6" w:rsidRDefault="00A458C6" w:rsidP="00A458C6">
            <w:pPr>
              <w:jc w:val="center"/>
              <w:rPr>
                <w:sz w:val="20"/>
                <w:szCs w:val="20"/>
              </w:rPr>
            </w:pPr>
            <w:r>
              <w:rPr>
                <w:rFonts w:eastAsia="Times New Roman"/>
                <w:sz w:val="18"/>
                <w:szCs w:val="18"/>
              </w:rPr>
              <w:t>Basic</w:t>
            </w:r>
          </w:p>
        </w:tc>
        <w:tc>
          <w:tcPr>
            <w:tcW w:w="2680" w:type="dxa"/>
            <w:vMerge w:val="restart"/>
            <w:vAlign w:val="center"/>
          </w:tcPr>
          <w:p w14:paraId="281A003B" w14:textId="77777777" w:rsidR="00A458C6" w:rsidRDefault="00A458C6" w:rsidP="00A458C6">
            <w:pPr>
              <w:jc w:val="center"/>
              <w:rPr>
                <w:sz w:val="20"/>
                <w:szCs w:val="20"/>
              </w:rPr>
            </w:pPr>
          </w:p>
        </w:tc>
        <w:tc>
          <w:tcPr>
            <w:tcW w:w="20" w:type="dxa"/>
            <w:vAlign w:val="bottom"/>
          </w:tcPr>
          <w:p w14:paraId="281A003C" w14:textId="77777777" w:rsidR="00A458C6" w:rsidRDefault="00A458C6">
            <w:pPr>
              <w:rPr>
                <w:sz w:val="1"/>
                <w:szCs w:val="1"/>
              </w:rPr>
            </w:pPr>
          </w:p>
        </w:tc>
      </w:tr>
      <w:tr w:rsidR="00A458C6" w14:paraId="281A0045" w14:textId="77777777" w:rsidTr="00A458C6">
        <w:trPr>
          <w:trHeight w:val="65"/>
        </w:trPr>
        <w:tc>
          <w:tcPr>
            <w:tcW w:w="4560" w:type="dxa"/>
            <w:vMerge/>
            <w:tcBorders>
              <w:bottom w:val="single" w:sz="8" w:space="0" w:color="auto"/>
              <w:right w:val="single" w:sz="8" w:space="0" w:color="auto"/>
            </w:tcBorders>
            <w:vAlign w:val="bottom"/>
          </w:tcPr>
          <w:p w14:paraId="281A0040" w14:textId="77777777" w:rsidR="00A458C6" w:rsidRDefault="00A458C6">
            <w:pPr>
              <w:rPr>
                <w:sz w:val="5"/>
                <w:szCs w:val="5"/>
              </w:rPr>
            </w:pPr>
          </w:p>
        </w:tc>
        <w:tc>
          <w:tcPr>
            <w:tcW w:w="1420" w:type="dxa"/>
            <w:vMerge/>
            <w:tcBorders>
              <w:left w:val="single" w:sz="8" w:space="0" w:color="auto"/>
              <w:bottom w:val="single" w:sz="8" w:space="0" w:color="auto"/>
              <w:right w:val="single" w:sz="8" w:space="0" w:color="auto"/>
            </w:tcBorders>
            <w:vAlign w:val="bottom"/>
          </w:tcPr>
          <w:p w14:paraId="281A0041" w14:textId="77777777" w:rsidR="00A458C6" w:rsidRDefault="00A458C6">
            <w:pPr>
              <w:rPr>
                <w:sz w:val="5"/>
                <w:szCs w:val="5"/>
              </w:rPr>
            </w:pPr>
          </w:p>
        </w:tc>
        <w:tc>
          <w:tcPr>
            <w:tcW w:w="1540" w:type="dxa"/>
            <w:vMerge/>
            <w:tcBorders>
              <w:bottom w:val="single" w:sz="8" w:space="0" w:color="auto"/>
              <w:right w:val="single" w:sz="8" w:space="0" w:color="auto"/>
            </w:tcBorders>
            <w:vAlign w:val="bottom"/>
          </w:tcPr>
          <w:p w14:paraId="281A0042" w14:textId="77777777" w:rsidR="00A458C6" w:rsidRDefault="00A458C6">
            <w:pPr>
              <w:rPr>
                <w:sz w:val="5"/>
                <w:szCs w:val="5"/>
              </w:rPr>
            </w:pPr>
          </w:p>
        </w:tc>
        <w:tc>
          <w:tcPr>
            <w:tcW w:w="2680" w:type="dxa"/>
            <w:vMerge/>
            <w:tcBorders>
              <w:bottom w:val="single" w:sz="8" w:space="0" w:color="auto"/>
            </w:tcBorders>
            <w:vAlign w:val="center"/>
          </w:tcPr>
          <w:p w14:paraId="281A0043" w14:textId="77777777" w:rsidR="00A458C6" w:rsidRDefault="00A458C6" w:rsidP="00A458C6">
            <w:pPr>
              <w:jc w:val="center"/>
              <w:rPr>
                <w:sz w:val="5"/>
                <w:szCs w:val="5"/>
              </w:rPr>
            </w:pPr>
          </w:p>
        </w:tc>
        <w:tc>
          <w:tcPr>
            <w:tcW w:w="20" w:type="dxa"/>
            <w:vAlign w:val="bottom"/>
          </w:tcPr>
          <w:p w14:paraId="281A0044" w14:textId="77777777" w:rsidR="00A458C6" w:rsidRDefault="00A458C6">
            <w:pPr>
              <w:rPr>
                <w:sz w:val="1"/>
                <w:szCs w:val="1"/>
              </w:rPr>
            </w:pPr>
          </w:p>
        </w:tc>
      </w:tr>
      <w:tr w:rsidR="00A458C6" w14:paraId="281A004C" w14:textId="77777777" w:rsidTr="00A458C6">
        <w:trPr>
          <w:trHeight w:val="234"/>
        </w:trPr>
        <w:tc>
          <w:tcPr>
            <w:tcW w:w="4560" w:type="dxa"/>
            <w:vMerge w:val="restart"/>
            <w:tcBorders>
              <w:right w:val="single" w:sz="8" w:space="0" w:color="auto"/>
            </w:tcBorders>
            <w:vAlign w:val="center"/>
          </w:tcPr>
          <w:p w14:paraId="281A0047" w14:textId="2FC305F6" w:rsidR="00A458C6" w:rsidRPr="00A458C6" w:rsidRDefault="00A458C6" w:rsidP="00563A54">
            <w:pPr>
              <w:pStyle w:val="ListParagraph"/>
              <w:numPr>
                <w:ilvl w:val="2"/>
                <w:numId w:val="365"/>
              </w:numPr>
              <w:ind w:left="0"/>
              <w:rPr>
                <w:sz w:val="20"/>
                <w:szCs w:val="20"/>
              </w:rPr>
            </w:pPr>
            <w:r w:rsidRPr="00A458C6">
              <w:rPr>
                <w:rFonts w:eastAsia="Times New Roman"/>
                <w:sz w:val="18"/>
                <w:szCs w:val="18"/>
              </w:rPr>
              <w:t>Co-precipitation with Barium sulfate</w:t>
            </w:r>
          </w:p>
        </w:tc>
        <w:tc>
          <w:tcPr>
            <w:tcW w:w="1420" w:type="dxa"/>
            <w:vMerge w:val="restart"/>
            <w:tcBorders>
              <w:left w:val="single" w:sz="8" w:space="0" w:color="auto"/>
              <w:right w:val="single" w:sz="8" w:space="0" w:color="auto"/>
            </w:tcBorders>
            <w:vAlign w:val="center"/>
          </w:tcPr>
          <w:p w14:paraId="281A0048" w14:textId="77777777" w:rsidR="00A458C6" w:rsidRDefault="00A458C6" w:rsidP="00A458C6">
            <w:pPr>
              <w:jc w:val="center"/>
              <w:rPr>
                <w:sz w:val="20"/>
                <w:szCs w:val="20"/>
              </w:rPr>
            </w:pPr>
            <w:r>
              <w:rPr>
                <w:rFonts w:eastAsia="Times New Roman"/>
                <w:w w:val="99"/>
                <w:sz w:val="18"/>
                <w:szCs w:val="18"/>
              </w:rPr>
              <w:t>f</w:t>
            </w:r>
          </w:p>
        </w:tc>
        <w:tc>
          <w:tcPr>
            <w:tcW w:w="1540" w:type="dxa"/>
            <w:vMerge w:val="restart"/>
            <w:tcBorders>
              <w:right w:val="single" w:sz="8" w:space="0" w:color="auto"/>
            </w:tcBorders>
            <w:vAlign w:val="center"/>
          </w:tcPr>
          <w:p w14:paraId="281A0049" w14:textId="4269AFCA" w:rsidR="00A458C6" w:rsidRDefault="00A458C6" w:rsidP="00A458C6">
            <w:pPr>
              <w:jc w:val="center"/>
              <w:rPr>
                <w:sz w:val="20"/>
                <w:szCs w:val="20"/>
              </w:rPr>
            </w:pPr>
            <w:r>
              <w:rPr>
                <w:rFonts w:eastAsia="Times New Roman"/>
                <w:sz w:val="18"/>
                <w:szCs w:val="18"/>
              </w:rPr>
              <w:t>Intermediate to Advanced</w:t>
            </w:r>
          </w:p>
        </w:tc>
        <w:tc>
          <w:tcPr>
            <w:tcW w:w="2680" w:type="dxa"/>
            <w:vMerge w:val="restart"/>
            <w:vAlign w:val="center"/>
          </w:tcPr>
          <w:p w14:paraId="281A004A" w14:textId="3CAC37D8" w:rsidR="00A458C6" w:rsidRDefault="00A458C6" w:rsidP="00A458C6">
            <w:pPr>
              <w:jc w:val="center"/>
              <w:rPr>
                <w:sz w:val="20"/>
                <w:szCs w:val="20"/>
              </w:rPr>
            </w:pPr>
            <w:r>
              <w:rPr>
                <w:rFonts w:eastAsia="Times New Roman"/>
                <w:sz w:val="18"/>
                <w:szCs w:val="18"/>
              </w:rPr>
              <w:t>Ground waters with suitable water quality</w:t>
            </w:r>
          </w:p>
        </w:tc>
        <w:tc>
          <w:tcPr>
            <w:tcW w:w="20" w:type="dxa"/>
            <w:vAlign w:val="bottom"/>
          </w:tcPr>
          <w:p w14:paraId="281A004B" w14:textId="77777777" w:rsidR="00A458C6" w:rsidRDefault="00A458C6">
            <w:pPr>
              <w:rPr>
                <w:sz w:val="1"/>
                <w:szCs w:val="1"/>
              </w:rPr>
            </w:pPr>
          </w:p>
        </w:tc>
      </w:tr>
      <w:tr w:rsidR="00A458C6" w14:paraId="281A0053" w14:textId="77777777" w:rsidTr="00A458C6">
        <w:trPr>
          <w:trHeight w:val="58"/>
        </w:trPr>
        <w:tc>
          <w:tcPr>
            <w:tcW w:w="4560" w:type="dxa"/>
            <w:vMerge/>
            <w:tcBorders>
              <w:right w:val="single" w:sz="8" w:space="0" w:color="auto"/>
            </w:tcBorders>
            <w:vAlign w:val="bottom"/>
          </w:tcPr>
          <w:p w14:paraId="281A004E" w14:textId="77777777" w:rsidR="00A458C6" w:rsidRDefault="00A458C6">
            <w:pPr>
              <w:rPr>
                <w:sz w:val="5"/>
                <w:szCs w:val="5"/>
              </w:rPr>
            </w:pPr>
          </w:p>
        </w:tc>
        <w:tc>
          <w:tcPr>
            <w:tcW w:w="1420" w:type="dxa"/>
            <w:vMerge/>
            <w:tcBorders>
              <w:left w:val="single" w:sz="8" w:space="0" w:color="auto"/>
              <w:right w:val="single" w:sz="8" w:space="0" w:color="auto"/>
            </w:tcBorders>
            <w:vAlign w:val="bottom"/>
          </w:tcPr>
          <w:p w14:paraId="281A004F" w14:textId="77777777" w:rsidR="00A458C6" w:rsidRDefault="00A458C6">
            <w:pPr>
              <w:rPr>
                <w:sz w:val="5"/>
                <w:szCs w:val="5"/>
              </w:rPr>
            </w:pPr>
          </w:p>
        </w:tc>
        <w:tc>
          <w:tcPr>
            <w:tcW w:w="1540" w:type="dxa"/>
            <w:vMerge/>
            <w:tcBorders>
              <w:right w:val="single" w:sz="8" w:space="0" w:color="auto"/>
            </w:tcBorders>
            <w:vAlign w:val="center"/>
          </w:tcPr>
          <w:p w14:paraId="281A0050" w14:textId="1352CE0A" w:rsidR="00A458C6" w:rsidRDefault="00A458C6" w:rsidP="00A458C6">
            <w:pPr>
              <w:jc w:val="center"/>
              <w:rPr>
                <w:sz w:val="5"/>
                <w:szCs w:val="5"/>
              </w:rPr>
            </w:pPr>
          </w:p>
        </w:tc>
        <w:tc>
          <w:tcPr>
            <w:tcW w:w="2680" w:type="dxa"/>
            <w:vMerge/>
            <w:vAlign w:val="bottom"/>
          </w:tcPr>
          <w:p w14:paraId="281A0051" w14:textId="517785A0" w:rsidR="00A458C6" w:rsidRDefault="00A458C6" w:rsidP="00347FE4">
            <w:pPr>
              <w:rPr>
                <w:sz w:val="5"/>
                <w:szCs w:val="5"/>
              </w:rPr>
            </w:pPr>
          </w:p>
        </w:tc>
        <w:tc>
          <w:tcPr>
            <w:tcW w:w="20" w:type="dxa"/>
            <w:vAlign w:val="bottom"/>
          </w:tcPr>
          <w:p w14:paraId="281A0052" w14:textId="77777777" w:rsidR="00A458C6" w:rsidRDefault="00A458C6">
            <w:pPr>
              <w:rPr>
                <w:sz w:val="1"/>
                <w:szCs w:val="1"/>
              </w:rPr>
            </w:pPr>
          </w:p>
        </w:tc>
      </w:tr>
      <w:tr w:rsidR="00A458C6" w14:paraId="281A005C" w14:textId="77777777" w:rsidTr="00A458C6">
        <w:trPr>
          <w:trHeight w:val="287"/>
        </w:trPr>
        <w:tc>
          <w:tcPr>
            <w:tcW w:w="4560" w:type="dxa"/>
            <w:vMerge/>
            <w:tcBorders>
              <w:bottom w:val="single" w:sz="8" w:space="0" w:color="auto"/>
              <w:right w:val="single" w:sz="8" w:space="0" w:color="auto"/>
            </w:tcBorders>
            <w:vAlign w:val="bottom"/>
          </w:tcPr>
          <w:p w14:paraId="281A0057" w14:textId="77777777" w:rsidR="00A458C6" w:rsidRDefault="00A458C6">
            <w:pPr>
              <w:rPr>
                <w:sz w:val="24"/>
                <w:szCs w:val="24"/>
              </w:rPr>
            </w:pPr>
          </w:p>
        </w:tc>
        <w:tc>
          <w:tcPr>
            <w:tcW w:w="1420" w:type="dxa"/>
            <w:vMerge/>
            <w:tcBorders>
              <w:left w:val="single" w:sz="8" w:space="0" w:color="auto"/>
              <w:bottom w:val="single" w:sz="8" w:space="0" w:color="auto"/>
              <w:right w:val="single" w:sz="8" w:space="0" w:color="auto"/>
            </w:tcBorders>
            <w:vAlign w:val="bottom"/>
          </w:tcPr>
          <w:p w14:paraId="281A0058" w14:textId="77777777" w:rsidR="00A458C6" w:rsidRDefault="00A458C6">
            <w:pPr>
              <w:rPr>
                <w:sz w:val="24"/>
                <w:szCs w:val="24"/>
              </w:rPr>
            </w:pPr>
          </w:p>
        </w:tc>
        <w:tc>
          <w:tcPr>
            <w:tcW w:w="1540" w:type="dxa"/>
            <w:vMerge/>
            <w:tcBorders>
              <w:bottom w:val="single" w:sz="8" w:space="0" w:color="auto"/>
              <w:right w:val="single" w:sz="8" w:space="0" w:color="auto"/>
            </w:tcBorders>
            <w:vAlign w:val="center"/>
          </w:tcPr>
          <w:p w14:paraId="281A0059" w14:textId="4AB3CD06" w:rsidR="00A458C6" w:rsidRDefault="00A458C6" w:rsidP="00A458C6">
            <w:pPr>
              <w:jc w:val="center"/>
              <w:rPr>
                <w:sz w:val="20"/>
                <w:szCs w:val="20"/>
              </w:rPr>
            </w:pPr>
          </w:p>
        </w:tc>
        <w:tc>
          <w:tcPr>
            <w:tcW w:w="2680" w:type="dxa"/>
            <w:vMerge/>
            <w:tcBorders>
              <w:bottom w:val="single" w:sz="8" w:space="0" w:color="auto"/>
            </w:tcBorders>
            <w:vAlign w:val="bottom"/>
          </w:tcPr>
          <w:p w14:paraId="281A005A" w14:textId="794873F8" w:rsidR="00A458C6" w:rsidRDefault="00A458C6">
            <w:pPr>
              <w:rPr>
                <w:sz w:val="20"/>
                <w:szCs w:val="20"/>
              </w:rPr>
            </w:pPr>
          </w:p>
        </w:tc>
        <w:tc>
          <w:tcPr>
            <w:tcW w:w="20" w:type="dxa"/>
            <w:vAlign w:val="bottom"/>
          </w:tcPr>
          <w:p w14:paraId="281A005B" w14:textId="77777777" w:rsidR="00A458C6" w:rsidRDefault="00A458C6">
            <w:pPr>
              <w:rPr>
                <w:sz w:val="1"/>
                <w:szCs w:val="1"/>
              </w:rPr>
            </w:pPr>
          </w:p>
        </w:tc>
      </w:tr>
      <w:tr w:rsidR="00A458C6" w14:paraId="281A0063" w14:textId="77777777" w:rsidTr="00A458C6">
        <w:trPr>
          <w:trHeight w:val="290"/>
        </w:trPr>
        <w:tc>
          <w:tcPr>
            <w:tcW w:w="4560" w:type="dxa"/>
            <w:vMerge w:val="restart"/>
            <w:tcBorders>
              <w:right w:val="single" w:sz="8" w:space="0" w:color="auto"/>
            </w:tcBorders>
            <w:vAlign w:val="center"/>
          </w:tcPr>
          <w:p w14:paraId="281A005E" w14:textId="52C5AA9B" w:rsidR="00A458C6" w:rsidRPr="00A458C6" w:rsidRDefault="00A458C6" w:rsidP="00563A54">
            <w:pPr>
              <w:pStyle w:val="ListParagraph"/>
              <w:numPr>
                <w:ilvl w:val="2"/>
                <w:numId w:val="365"/>
              </w:numPr>
              <w:ind w:left="0"/>
              <w:rPr>
                <w:sz w:val="20"/>
                <w:szCs w:val="20"/>
              </w:rPr>
            </w:pPr>
            <w:r w:rsidRPr="00A458C6">
              <w:rPr>
                <w:rFonts w:eastAsia="Times New Roman"/>
                <w:sz w:val="18"/>
                <w:szCs w:val="18"/>
              </w:rPr>
              <w:t>Electrodialysis/electrodialysis reversal</w:t>
            </w:r>
          </w:p>
        </w:tc>
        <w:tc>
          <w:tcPr>
            <w:tcW w:w="1420" w:type="dxa"/>
            <w:vMerge w:val="restart"/>
            <w:tcBorders>
              <w:left w:val="single" w:sz="8" w:space="0" w:color="auto"/>
              <w:right w:val="single" w:sz="8" w:space="0" w:color="auto"/>
            </w:tcBorders>
            <w:vAlign w:val="center"/>
          </w:tcPr>
          <w:p w14:paraId="281A005F" w14:textId="77777777" w:rsidR="00A458C6" w:rsidRDefault="00A458C6" w:rsidP="00A458C6">
            <w:pPr>
              <w:jc w:val="center"/>
              <w:rPr>
                <w:sz w:val="24"/>
                <w:szCs w:val="24"/>
              </w:rPr>
            </w:pPr>
          </w:p>
        </w:tc>
        <w:tc>
          <w:tcPr>
            <w:tcW w:w="1540" w:type="dxa"/>
            <w:vMerge w:val="restart"/>
            <w:tcBorders>
              <w:right w:val="single" w:sz="8" w:space="0" w:color="auto"/>
            </w:tcBorders>
            <w:vAlign w:val="center"/>
          </w:tcPr>
          <w:p w14:paraId="281A0060" w14:textId="2D1D0912" w:rsidR="00A458C6" w:rsidRDefault="00A458C6" w:rsidP="00A458C6">
            <w:pPr>
              <w:jc w:val="center"/>
              <w:rPr>
                <w:sz w:val="20"/>
                <w:szCs w:val="20"/>
              </w:rPr>
            </w:pPr>
            <w:r>
              <w:rPr>
                <w:rFonts w:eastAsia="Times New Roman"/>
                <w:sz w:val="18"/>
                <w:szCs w:val="18"/>
              </w:rPr>
              <w:t>Basic to Intermediate</w:t>
            </w:r>
          </w:p>
        </w:tc>
        <w:tc>
          <w:tcPr>
            <w:tcW w:w="2680" w:type="dxa"/>
            <w:vMerge w:val="restart"/>
            <w:vAlign w:val="center"/>
          </w:tcPr>
          <w:p w14:paraId="281A0061" w14:textId="77777777" w:rsidR="00A458C6" w:rsidRDefault="00A458C6" w:rsidP="00A458C6">
            <w:pPr>
              <w:jc w:val="center"/>
              <w:rPr>
                <w:sz w:val="20"/>
                <w:szCs w:val="20"/>
              </w:rPr>
            </w:pPr>
            <w:r>
              <w:rPr>
                <w:rFonts w:eastAsia="Times New Roman"/>
                <w:sz w:val="18"/>
                <w:szCs w:val="18"/>
              </w:rPr>
              <w:t>All ground waters</w:t>
            </w:r>
          </w:p>
        </w:tc>
        <w:tc>
          <w:tcPr>
            <w:tcW w:w="20" w:type="dxa"/>
            <w:vAlign w:val="bottom"/>
          </w:tcPr>
          <w:p w14:paraId="281A0062" w14:textId="77777777" w:rsidR="00A458C6" w:rsidRDefault="00A458C6">
            <w:pPr>
              <w:rPr>
                <w:sz w:val="1"/>
                <w:szCs w:val="1"/>
              </w:rPr>
            </w:pPr>
          </w:p>
        </w:tc>
      </w:tr>
      <w:tr w:rsidR="00A458C6" w14:paraId="281A006C" w14:textId="77777777" w:rsidTr="00A458C6">
        <w:trPr>
          <w:trHeight w:val="286"/>
        </w:trPr>
        <w:tc>
          <w:tcPr>
            <w:tcW w:w="4560" w:type="dxa"/>
            <w:vMerge/>
            <w:tcBorders>
              <w:bottom w:val="single" w:sz="8" w:space="0" w:color="auto"/>
              <w:right w:val="single" w:sz="8" w:space="0" w:color="auto"/>
            </w:tcBorders>
            <w:vAlign w:val="bottom"/>
          </w:tcPr>
          <w:p w14:paraId="281A0067" w14:textId="77777777" w:rsidR="00A458C6" w:rsidRDefault="00A458C6">
            <w:pPr>
              <w:rPr>
                <w:sz w:val="24"/>
                <w:szCs w:val="24"/>
              </w:rPr>
            </w:pPr>
          </w:p>
        </w:tc>
        <w:tc>
          <w:tcPr>
            <w:tcW w:w="1420" w:type="dxa"/>
            <w:vMerge/>
            <w:tcBorders>
              <w:left w:val="single" w:sz="8" w:space="0" w:color="auto"/>
              <w:bottom w:val="single" w:sz="8" w:space="0" w:color="auto"/>
              <w:right w:val="single" w:sz="8" w:space="0" w:color="auto"/>
            </w:tcBorders>
            <w:vAlign w:val="bottom"/>
          </w:tcPr>
          <w:p w14:paraId="281A0068" w14:textId="77777777" w:rsidR="00A458C6" w:rsidRDefault="00A458C6">
            <w:pPr>
              <w:rPr>
                <w:sz w:val="24"/>
                <w:szCs w:val="24"/>
              </w:rPr>
            </w:pPr>
          </w:p>
        </w:tc>
        <w:tc>
          <w:tcPr>
            <w:tcW w:w="1540" w:type="dxa"/>
            <w:vMerge/>
            <w:tcBorders>
              <w:bottom w:val="single" w:sz="8" w:space="0" w:color="auto"/>
              <w:right w:val="single" w:sz="8" w:space="0" w:color="auto"/>
            </w:tcBorders>
            <w:vAlign w:val="center"/>
          </w:tcPr>
          <w:p w14:paraId="281A0069" w14:textId="6F5E39B8" w:rsidR="00A458C6" w:rsidRDefault="00A458C6" w:rsidP="00A458C6">
            <w:pPr>
              <w:jc w:val="center"/>
              <w:rPr>
                <w:sz w:val="20"/>
                <w:szCs w:val="20"/>
              </w:rPr>
            </w:pPr>
          </w:p>
        </w:tc>
        <w:tc>
          <w:tcPr>
            <w:tcW w:w="2680" w:type="dxa"/>
            <w:vMerge/>
            <w:tcBorders>
              <w:bottom w:val="single" w:sz="8" w:space="0" w:color="auto"/>
            </w:tcBorders>
            <w:vAlign w:val="bottom"/>
          </w:tcPr>
          <w:p w14:paraId="281A006A" w14:textId="77777777" w:rsidR="00A458C6" w:rsidRDefault="00A458C6">
            <w:pPr>
              <w:rPr>
                <w:sz w:val="24"/>
                <w:szCs w:val="24"/>
              </w:rPr>
            </w:pPr>
          </w:p>
        </w:tc>
        <w:tc>
          <w:tcPr>
            <w:tcW w:w="20" w:type="dxa"/>
            <w:vAlign w:val="bottom"/>
          </w:tcPr>
          <w:p w14:paraId="281A006B" w14:textId="77777777" w:rsidR="00A458C6" w:rsidRDefault="00A458C6">
            <w:pPr>
              <w:rPr>
                <w:sz w:val="1"/>
                <w:szCs w:val="1"/>
              </w:rPr>
            </w:pPr>
          </w:p>
        </w:tc>
      </w:tr>
      <w:tr w:rsidR="00A458C6" w14:paraId="281A0073" w14:textId="77777777" w:rsidTr="00A458C6">
        <w:trPr>
          <w:trHeight w:val="234"/>
        </w:trPr>
        <w:tc>
          <w:tcPr>
            <w:tcW w:w="4560" w:type="dxa"/>
            <w:vMerge w:val="restart"/>
            <w:tcBorders>
              <w:right w:val="single" w:sz="8" w:space="0" w:color="auto"/>
            </w:tcBorders>
            <w:vAlign w:val="center"/>
          </w:tcPr>
          <w:p w14:paraId="281A006E" w14:textId="2A5D7F3E" w:rsidR="00A458C6" w:rsidRPr="00A458C6" w:rsidRDefault="00A458C6" w:rsidP="00563A54">
            <w:pPr>
              <w:pStyle w:val="ListParagraph"/>
              <w:numPr>
                <w:ilvl w:val="2"/>
                <w:numId w:val="365"/>
              </w:numPr>
              <w:ind w:left="0"/>
              <w:rPr>
                <w:sz w:val="20"/>
                <w:szCs w:val="20"/>
              </w:rPr>
            </w:pPr>
            <w:r w:rsidRPr="00A458C6">
              <w:rPr>
                <w:rFonts w:eastAsia="Times New Roman"/>
                <w:sz w:val="18"/>
                <w:szCs w:val="18"/>
              </w:rPr>
              <w:t>Pre-formed hydrous Manganese oxide filtration.</w:t>
            </w:r>
          </w:p>
        </w:tc>
        <w:tc>
          <w:tcPr>
            <w:tcW w:w="1420" w:type="dxa"/>
            <w:vMerge w:val="restart"/>
            <w:tcBorders>
              <w:left w:val="single" w:sz="8" w:space="0" w:color="auto"/>
              <w:right w:val="single" w:sz="8" w:space="0" w:color="auto"/>
            </w:tcBorders>
            <w:vAlign w:val="center"/>
          </w:tcPr>
          <w:p w14:paraId="281A006F" w14:textId="77777777" w:rsidR="00A458C6" w:rsidRDefault="00A458C6" w:rsidP="00A458C6">
            <w:pPr>
              <w:jc w:val="center"/>
              <w:rPr>
                <w:sz w:val="20"/>
                <w:szCs w:val="20"/>
              </w:rPr>
            </w:pPr>
            <w:r>
              <w:rPr>
                <w:rFonts w:eastAsia="Times New Roman"/>
                <w:sz w:val="18"/>
                <w:szCs w:val="18"/>
              </w:rPr>
              <w:t>g</w:t>
            </w:r>
          </w:p>
        </w:tc>
        <w:tc>
          <w:tcPr>
            <w:tcW w:w="1540" w:type="dxa"/>
            <w:vMerge w:val="restart"/>
            <w:tcBorders>
              <w:right w:val="single" w:sz="8" w:space="0" w:color="auto"/>
            </w:tcBorders>
            <w:vAlign w:val="center"/>
          </w:tcPr>
          <w:p w14:paraId="281A0070" w14:textId="77777777" w:rsidR="00A458C6" w:rsidRDefault="00A458C6" w:rsidP="00A458C6">
            <w:pPr>
              <w:jc w:val="center"/>
              <w:rPr>
                <w:sz w:val="20"/>
                <w:szCs w:val="20"/>
              </w:rPr>
            </w:pPr>
            <w:r>
              <w:rPr>
                <w:rFonts w:eastAsia="Times New Roman"/>
                <w:sz w:val="18"/>
                <w:szCs w:val="18"/>
              </w:rPr>
              <w:t>Intermediate</w:t>
            </w:r>
          </w:p>
        </w:tc>
        <w:tc>
          <w:tcPr>
            <w:tcW w:w="2680" w:type="dxa"/>
            <w:vMerge w:val="restart"/>
            <w:vAlign w:val="center"/>
          </w:tcPr>
          <w:p w14:paraId="281A0071" w14:textId="77777777" w:rsidR="00A458C6" w:rsidRDefault="00A458C6" w:rsidP="00A458C6">
            <w:pPr>
              <w:jc w:val="center"/>
              <w:rPr>
                <w:sz w:val="20"/>
                <w:szCs w:val="20"/>
              </w:rPr>
            </w:pPr>
            <w:r>
              <w:rPr>
                <w:rFonts w:eastAsia="Times New Roman"/>
                <w:sz w:val="18"/>
                <w:szCs w:val="18"/>
              </w:rPr>
              <w:t>All ground waters</w:t>
            </w:r>
          </w:p>
        </w:tc>
        <w:tc>
          <w:tcPr>
            <w:tcW w:w="20" w:type="dxa"/>
            <w:vAlign w:val="bottom"/>
          </w:tcPr>
          <w:p w14:paraId="281A0072" w14:textId="77777777" w:rsidR="00A458C6" w:rsidRDefault="00A458C6">
            <w:pPr>
              <w:rPr>
                <w:sz w:val="1"/>
                <w:szCs w:val="1"/>
              </w:rPr>
            </w:pPr>
          </w:p>
        </w:tc>
      </w:tr>
      <w:tr w:rsidR="00A458C6" w14:paraId="281A007A" w14:textId="77777777" w:rsidTr="00347FE4">
        <w:trPr>
          <w:trHeight w:val="58"/>
        </w:trPr>
        <w:tc>
          <w:tcPr>
            <w:tcW w:w="4560" w:type="dxa"/>
            <w:vMerge/>
            <w:tcBorders>
              <w:right w:val="single" w:sz="8" w:space="0" w:color="auto"/>
            </w:tcBorders>
            <w:vAlign w:val="bottom"/>
          </w:tcPr>
          <w:p w14:paraId="281A0075" w14:textId="77777777" w:rsidR="00A458C6" w:rsidRDefault="00A458C6">
            <w:pPr>
              <w:rPr>
                <w:sz w:val="5"/>
                <w:szCs w:val="5"/>
              </w:rPr>
            </w:pPr>
          </w:p>
        </w:tc>
        <w:tc>
          <w:tcPr>
            <w:tcW w:w="1420" w:type="dxa"/>
            <w:vMerge/>
            <w:tcBorders>
              <w:left w:val="single" w:sz="8" w:space="0" w:color="auto"/>
              <w:right w:val="single" w:sz="8" w:space="0" w:color="auto"/>
            </w:tcBorders>
            <w:vAlign w:val="bottom"/>
          </w:tcPr>
          <w:p w14:paraId="281A0076" w14:textId="77777777" w:rsidR="00A458C6" w:rsidRDefault="00A458C6">
            <w:pPr>
              <w:rPr>
                <w:sz w:val="5"/>
                <w:szCs w:val="5"/>
              </w:rPr>
            </w:pPr>
          </w:p>
        </w:tc>
        <w:tc>
          <w:tcPr>
            <w:tcW w:w="1540" w:type="dxa"/>
            <w:vMerge/>
            <w:tcBorders>
              <w:right w:val="single" w:sz="8" w:space="0" w:color="auto"/>
            </w:tcBorders>
            <w:vAlign w:val="bottom"/>
          </w:tcPr>
          <w:p w14:paraId="281A0077" w14:textId="77777777" w:rsidR="00A458C6" w:rsidRDefault="00A458C6">
            <w:pPr>
              <w:rPr>
                <w:sz w:val="5"/>
                <w:szCs w:val="5"/>
              </w:rPr>
            </w:pPr>
          </w:p>
        </w:tc>
        <w:tc>
          <w:tcPr>
            <w:tcW w:w="2680" w:type="dxa"/>
            <w:vMerge/>
            <w:vAlign w:val="bottom"/>
          </w:tcPr>
          <w:p w14:paraId="281A0078" w14:textId="77777777" w:rsidR="00A458C6" w:rsidRDefault="00A458C6">
            <w:pPr>
              <w:rPr>
                <w:sz w:val="5"/>
                <w:szCs w:val="5"/>
              </w:rPr>
            </w:pPr>
          </w:p>
        </w:tc>
        <w:tc>
          <w:tcPr>
            <w:tcW w:w="20" w:type="dxa"/>
            <w:vAlign w:val="bottom"/>
          </w:tcPr>
          <w:p w14:paraId="281A0079" w14:textId="77777777" w:rsidR="00A458C6" w:rsidRDefault="00A458C6">
            <w:pPr>
              <w:rPr>
                <w:sz w:val="1"/>
                <w:szCs w:val="1"/>
              </w:rPr>
            </w:pPr>
          </w:p>
        </w:tc>
      </w:tr>
      <w:tr w:rsidR="00A458C6" w14:paraId="281A0083" w14:textId="77777777" w:rsidTr="00347FE4">
        <w:trPr>
          <w:trHeight w:val="289"/>
        </w:trPr>
        <w:tc>
          <w:tcPr>
            <w:tcW w:w="4560" w:type="dxa"/>
            <w:vMerge/>
            <w:tcBorders>
              <w:bottom w:val="single" w:sz="8" w:space="0" w:color="auto"/>
              <w:right w:val="single" w:sz="8" w:space="0" w:color="auto"/>
            </w:tcBorders>
            <w:vAlign w:val="bottom"/>
          </w:tcPr>
          <w:p w14:paraId="281A007E" w14:textId="77777777" w:rsidR="00A458C6" w:rsidRDefault="00A458C6">
            <w:pPr>
              <w:rPr>
                <w:sz w:val="24"/>
                <w:szCs w:val="24"/>
              </w:rPr>
            </w:pPr>
          </w:p>
        </w:tc>
        <w:tc>
          <w:tcPr>
            <w:tcW w:w="1420" w:type="dxa"/>
            <w:vMerge/>
            <w:tcBorders>
              <w:left w:val="single" w:sz="8" w:space="0" w:color="auto"/>
              <w:bottom w:val="single" w:sz="8" w:space="0" w:color="auto"/>
              <w:right w:val="single" w:sz="8" w:space="0" w:color="auto"/>
            </w:tcBorders>
            <w:vAlign w:val="bottom"/>
          </w:tcPr>
          <w:p w14:paraId="281A007F" w14:textId="77777777" w:rsidR="00A458C6" w:rsidRDefault="00A458C6">
            <w:pPr>
              <w:rPr>
                <w:sz w:val="24"/>
                <w:szCs w:val="24"/>
              </w:rPr>
            </w:pPr>
          </w:p>
        </w:tc>
        <w:tc>
          <w:tcPr>
            <w:tcW w:w="1540" w:type="dxa"/>
            <w:vMerge/>
            <w:tcBorders>
              <w:bottom w:val="single" w:sz="8" w:space="0" w:color="auto"/>
              <w:right w:val="single" w:sz="8" w:space="0" w:color="auto"/>
            </w:tcBorders>
            <w:vAlign w:val="bottom"/>
          </w:tcPr>
          <w:p w14:paraId="281A0080" w14:textId="77777777" w:rsidR="00A458C6" w:rsidRDefault="00A458C6">
            <w:pPr>
              <w:rPr>
                <w:sz w:val="24"/>
                <w:szCs w:val="24"/>
              </w:rPr>
            </w:pPr>
          </w:p>
        </w:tc>
        <w:tc>
          <w:tcPr>
            <w:tcW w:w="2680" w:type="dxa"/>
            <w:vMerge/>
            <w:tcBorders>
              <w:bottom w:val="single" w:sz="8" w:space="0" w:color="auto"/>
            </w:tcBorders>
            <w:vAlign w:val="bottom"/>
          </w:tcPr>
          <w:p w14:paraId="281A0081" w14:textId="77777777" w:rsidR="00A458C6" w:rsidRDefault="00A458C6">
            <w:pPr>
              <w:rPr>
                <w:sz w:val="24"/>
                <w:szCs w:val="24"/>
              </w:rPr>
            </w:pPr>
          </w:p>
        </w:tc>
        <w:tc>
          <w:tcPr>
            <w:tcW w:w="20" w:type="dxa"/>
            <w:vAlign w:val="bottom"/>
          </w:tcPr>
          <w:p w14:paraId="281A0082" w14:textId="77777777" w:rsidR="00A458C6" w:rsidRDefault="00A458C6">
            <w:pPr>
              <w:rPr>
                <w:sz w:val="1"/>
                <w:szCs w:val="1"/>
              </w:rPr>
            </w:pPr>
          </w:p>
        </w:tc>
      </w:tr>
      <w:tr w:rsidR="00A458C6" w14:paraId="281A008B" w14:textId="77777777" w:rsidTr="00A458C6">
        <w:trPr>
          <w:trHeight w:val="231"/>
        </w:trPr>
        <w:tc>
          <w:tcPr>
            <w:tcW w:w="4560" w:type="dxa"/>
            <w:vMerge w:val="restart"/>
            <w:tcBorders>
              <w:right w:val="single" w:sz="8" w:space="0" w:color="auto"/>
            </w:tcBorders>
            <w:vAlign w:val="center"/>
          </w:tcPr>
          <w:p w14:paraId="281A0086" w14:textId="5CB92EF9" w:rsidR="00A458C6" w:rsidRPr="00A458C6" w:rsidRDefault="00A458C6" w:rsidP="00563A54">
            <w:pPr>
              <w:pStyle w:val="ListParagraph"/>
              <w:numPr>
                <w:ilvl w:val="2"/>
                <w:numId w:val="365"/>
              </w:numPr>
              <w:ind w:left="0"/>
              <w:rPr>
                <w:sz w:val="20"/>
                <w:szCs w:val="20"/>
              </w:rPr>
            </w:pPr>
            <w:r w:rsidRPr="00A458C6">
              <w:rPr>
                <w:rFonts w:eastAsia="Times New Roman"/>
                <w:sz w:val="18"/>
                <w:szCs w:val="18"/>
              </w:rPr>
              <w:t>Activated alumina</w:t>
            </w:r>
          </w:p>
        </w:tc>
        <w:tc>
          <w:tcPr>
            <w:tcW w:w="1420" w:type="dxa"/>
            <w:vMerge w:val="restart"/>
            <w:tcBorders>
              <w:left w:val="single" w:sz="8" w:space="0" w:color="auto"/>
              <w:right w:val="single" w:sz="8" w:space="0" w:color="auto"/>
            </w:tcBorders>
            <w:vAlign w:val="center"/>
          </w:tcPr>
          <w:p w14:paraId="281A0087" w14:textId="77777777" w:rsidR="00A458C6" w:rsidRDefault="00A458C6" w:rsidP="00A458C6">
            <w:pPr>
              <w:jc w:val="center"/>
              <w:rPr>
                <w:sz w:val="20"/>
                <w:szCs w:val="20"/>
              </w:rPr>
            </w:pPr>
            <w:r>
              <w:rPr>
                <w:rFonts w:eastAsia="Times New Roman"/>
                <w:sz w:val="18"/>
                <w:szCs w:val="18"/>
              </w:rPr>
              <w:t>a, h</w:t>
            </w:r>
          </w:p>
        </w:tc>
        <w:tc>
          <w:tcPr>
            <w:tcW w:w="1540" w:type="dxa"/>
            <w:vMerge w:val="restart"/>
            <w:tcBorders>
              <w:right w:val="single" w:sz="8" w:space="0" w:color="auto"/>
            </w:tcBorders>
            <w:vAlign w:val="center"/>
          </w:tcPr>
          <w:p w14:paraId="281A0088" w14:textId="77777777" w:rsidR="00A458C6" w:rsidRDefault="00A458C6" w:rsidP="00A458C6">
            <w:pPr>
              <w:jc w:val="center"/>
              <w:rPr>
                <w:sz w:val="20"/>
                <w:szCs w:val="20"/>
              </w:rPr>
            </w:pPr>
            <w:r>
              <w:rPr>
                <w:rFonts w:eastAsia="Times New Roman"/>
                <w:sz w:val="18"/>
                <w:szCs w:val="18"/>
              </w:rPr>
              <w:t>Advanced</w:t>
            </w:r>
          </w:p>
        </w:tc>
        <w:tc>
          <w:tcPr>
            <w:tcW w:w="2680" w:type="dxa"/>
            <w:vMerge w:val="restart"/>
            <w:vAlign w:val="center"/>
          </w:tcPr>
          <w:p w14:paraId="281A0089" w14:textId="7400EB0E" w:rsidR="00A458C6" w:rsidRDefault="00A458C6" w:rsidP="00A458C6">
            <w:pPr>
              <w:jc w:val="center"/>
              <w:rPr>
                <w:sz w:val="20"/>
                <w:szCs w:val="20"/>
              </w:rPr>
            </w:pPr>
            <w:r>
              <w:rPr>
                <w:rFonts w:eastAsia="Times New Roman"/>
                <w:sz w:val="18"/>
                <w:szCs w:val="18"/>
              </w:rPr>
              <w:t>All ground waters; competing anion concentrations may affect regeneration frequency</w:t>
            </w:r>
          </w:p>
        </w:tc>
        <w:tc>
          <w:tcPr>
            <w:tcW w:w="20" w:type="dxa"/>
            <w:vAlign w:val="bottom"/>
          </w:tcPr>
          <w:p w14:paraId="281A008A" w14:textId="77777777" w:rsidR="00A458C6" w:rsidRDefault="00A458C6">
            <w:pPr>
              <w:rPr>
                <w:sz w:val="1"/>
                <w:szCs w:val="1"/>
              </w:rPr>
            </w:pPr>
          </w:p>
        </w:tc>
      </w:tr>
      <w:tr w:rsidR="00A458C6" w14:paraId="281A0093" w14:textId="77777777" w:rsidTr="00347FE4">
        <w:trPr>
          <w:trHeight w:val="58"/>
        </w:trPr>
        <w:tc>
          <w:tcPr>
            <w:tcW w:w="4560" w:type="dxa"/>
            <w:vMerge/>
            <w:tcBorders>
              <w:right w:val="single" w:sz="8" w:space="0" w:color="auto"/>
            </w:tcBorders>
            <w:vAlign w:val="bottom"/>
          </w:tcPr>
          <w:p w14:paraId="281A008E" w14:textId="77777777" w:rsidR="00A458C6" w:rsidRDefault="00A458C6">
            <w:pPr>
              <w:rPr>
                <w:sz w:val="5"/>
                <w:szCs w:val="5"/>
              </w:rPr>
            </w:pPr>
          </w:p>
        </w:tc>
        <w:tc>
          <w:tcPr>
            <w:tcW w:w="1420" w:type="dxa"/>
            <w:vMerge/>
            <w:tcBorders>
              <w:left w:val="single" w:sz="8" w:space="0" w:color="auto"/>
              <w:right w:val="single" w:sz="8" w:space="0" w:color="auto"/>
            </w:tcBorders>
            <w:vAlign w:val="bottom"/>
          </w:tcPr>
          <w:p w14:paraId="281A008F" w14:textId="77777777" w:rsidR="00A458C6" w:rsidRDefault="00A458C6">
            <w:pPr>
              <w:rPr>
                <w:sz w:val="5"/>
                <w:szCs w:val="5"/>
              </w:rPr>
            </w:pPr>
          </w:p>
        </w:tc>
        <w:tc>
          <w:tcPr>
            <w:tcW w:w="1540" w:type="dxa"/>
            <w:vMerge/>
            <w:tcBorders>
              <w:right w:val="single" w:sz="8" w:space="0" w:color="auto"/>
            </w:tcBorders>
            <w:vAlign w:val="bottom"/>
          </w:tcPr>
          <w:p w14:paraId="281A0090" w14:textId="77777777" w:rsidR="00A458C6" w:rsidRDefault="00A458C6">
            <w:pPr>
              <w:rPr>
                <w:sz w:val="5"/>
                <w:szCs w:val="5"/>
              </w:rPr>
            </w:pPr>
          </w:p>
        </w:tc>
        <w:tc>
          <w:tcPr>
            <w:tcW w:w="2680" w:type="dxa"/>
            <w:vMerge/>
            <w:vAlign w:val="bottom"/>
          </w:tcPr>
          <w:p w14:paraId="281A0091" w14:textId="65C04D5B" w:rsidR="00A458C6" w:rsidRDefault="00A458C6" w:rsidP="00347FE4">
            <w:pPr>
              <w:rPr>
                <w:sz w:val="5"/>
                <w:szCs w:val="5"/>
              </w:rPr>
            </w:pPr>
          </w:p>
        </w:tc>
        <w:tc>
          <w:tcPr>
            <w:tcW w:w="20" w:type="dxa"/>
            <w:vAlign w:val="bottom"/>
          </w:tcPr>
          <w:p w14:paraId="281A0092" w14:textId="77777777" w:rsidR="00A458C6" w:rsidRDefault="00A458C6">
            <w:pPr>
              <w:rPr>
                <w:sz w:val="1"/>
                <w:szCs w:val="1"/>
              </w:rPr>
            </w:pPr>
          </w:p>
        </w:tc>
      </w:tr>
      <w:tr w:rsidR="00A458C6" w14:paraId="281A009C" w14:textId="77777777" w:rsidTr="00347FE4">
        <w:trPr>
          <w:trHeight w:val="281"/>
        </w:trPr>
        <w:tc>
          <w:tcPr>
            <w:tcW w:w="4560" w:type="dxa"/>
            <w:vMerge/>
            <w:tcBorders>
              <w:right w:val="single" w:sz="8" w:space="0" w:color="auto"/>
            </w:tcBorders>
            <w:vAlign w:val="bottom"/>
          </w:tcPr>
          <w:p w14:paraId="281A0097" w14:textId="77777777" w:rsidR="00A458C6" w:rsidRDefault="00A458C6">
            <w:pPr>
              <w:rPr>
                <w:sz w:val="24"/>
                <w:szCs w:val="24"/>
              </w:rPr>
            </w:pPr>
          </w:p>
        </w:tc>
        <w:tc>
          <w:tcPr>
            <w:tcW w:w="1420" w:type="dxa"/>
            <w:vMerge/>
            <w:tcBorders>
              <w:left w:val="single" w:sz="8" w:space="0" w:color="auto"/>
              <w:right w:val="single" w:sz="8" w:space="0" w:color="auto"/>
            </w:tcBorders>
            <w:vAlign w:val="bottom"/>
          </w:tcPr>
          <w:p w14:paraId="281A0098" w14:textId="77777777" w:rsidR="00A458C6" w:rsidRDefault="00A458C6">
            <w:pPr>
              <w:rPr>
                <w:sz w:val="24"/>
                <w:szCs w:val="24"/>
              </w:rPr>
            </w:pPr>
          </w:p>
        </w:tc>
        <w:tc>
          <w:tcPr>
            <w:tcW w:w="1540" w:type="dxa"/>
            <w:vMerge/>
            <w:tcBorders>
              <w:right w:val="single" w:sz="8" w:space="0" w:color="auto"/>
            </w:tcBorders>
            <w:vAlign w:val="bottom"/>
          </w:tcPr>
          <w:p w14:paraId="281A0099" w14:textId="77777777" w:rsidR="00A458C6" w:rsidRDefault="00A458C6">
            <w:pPr>
              <w:rPr>
                <w:sz w:val="24"/>
                <w:szCs w:val="24"/>
              </w:rPr>
            </w:pPr>
          </w:p>
        </w:tc>
        <w:tc>
          <w:tcPr>
            <w:tcW w:w="2680" w:type="dxa"/>
            <w:vMerge/>
            <w:vAlign w:val="bottom"/>
          </w:tcPr>
          <w:p w14:paraId="281A009A" w14:textId="1037171B" w:rsidR="00A458C6" w:rsidRDefault="00A458C6" w:rsidP="00347FE4">
            <w:pPr>
              <w:rPr>
                <w:sz w:val="20"/>
                <w:szCs w:val="20"/>
              </w:rPr>
            </w:pPr>
          </w:p>
        </w:tc>
        <w:tc>
          <w:tcPr>
            <w:tcW w:w="20" w:type="dxa"/>
            <w:vAlign w:val="bottom"/>
          </w:tcPr>
          <w:p w14:paraId="281A009B" w14:textId="77777777" w:rsidR="00A458C6" w:rsidRDefault="00A458C6">
            <w:pPr>
              <w:rPr>
                <w:sz w:val="1"/>
                <w:szCs w:val="1"/>
              </w:rPr>
            </w:pPr>
          </w:p>
        </w:tc>
      </w:tr>
      <w:tr w:rsidR="00A458C6" w14:paraId="281A00A5" w14:textId="77777777" w:rsidTr="00A458C6">
        <w:trPr>
          <w:trHeight w:val="284"/>
        </w:trPr>
        <w:tc>
          <w:tcPr>
            <w:tcW w:w="4560" w:type="dxa"/>
            <w:vMerge/>
            <w:tcBorders>
              <w:bottom w:val="single" w:sz="8" w:space="0" w:color="auto"/>
              <w:right w:val="single" w:sz="8" w:space="0" w:color="auto"/>
            </w:tcBorders>
            <w:vAlign w:val="bottom"/>
          </w:tcPr>
          <w:p w14:paraId="281A00A0" w14:textId="77777777" w:rsidR="00A458C6" w:rsidRDefault="00A458C6">
            <w:pPr>
              <w:rPr>
                <w:sz w:val="24"/>
                <w:szCs w:val="24"/>
              </w:rPr>
            </w:pPr>
          </w:p>
        </w:tc>
        <w:tc>
          <w:tcPr>
            <w:tcW w:w="1420" w:type="dxa"/>
            <w:vMerge/>
            <w:tcBorders>
              <w:left w:val="single" w:sz="8" w:space="0" w:color="auto"/>
              <w:bottom w:val="single" w:sz="8" w:space="0" w:color="auto"/>
              <w:right w:val="single" w:sz="8" w:space="0" w:color="auto"/>
            </w:tcBorders>
            <w:vAlign w:val="bottom"/>
          </w:tcPr>
          <w:p w14:paraId="281A00A1" w14:textId="77777777" w:rsidR="00A458C6" w:rsidRDefault="00A458C6">
            <w:pPr>
              <w:rPr>
                <w:sz w:val="24"/>
                <w:szCs w:val="24"/>
              </w:rPr>
            </w:pPr>
          </w:p>
        </w:tc>
        <w:tc>
          <w:tcPr>
            <w:tcW w:w="1540" w:type="dxa"/>
            <w:vMerge/>
            <w:tcBorders>
              <w:bottom w:val="single" w:sz="8" w:space="0" w:color="auto"/>
              <w:right w:val="single" w:sz="8" w:space="0" w:color="auto"/>
            </w:tcBorders>
            <w:vAlign w:val="bottom"/>
          </w:tcPr>
          <w:p w14:paraId="281A00A2" w14:textId="77777777" w:rsidR="00A458C6" w:rsidRDefault="00A458C6">
            <w:pPr>
              <w:rPr>
                <w:sz w:val="24"/>
                <w:szCs w:val="24"/>
              </w:rPr>
            </w:pPr>
          </w:p>
        </w:tc>
        <w:tc>
          <w:tcPr>
            <w:tcW w:w="2680" w:type="dxa"/>
            <w:vMerge/>
            <w:tcBorders>
              <w:bottom w:val="single" w:sz="8" w:space="0" w:color="auto"/>
            </w:tcBorders>
            <w:vAlign w:val="bottom"/>
          </w:tcPr>
          <w:p w14:paraId="281A00A3" w14:textId="1D9491F0" w:rsidR="00A458C6" w:rsidRDefault="00A458C6">
            <w:pPr>
              <w:rPr>
                <w:sz w:val="20"/>
                <w:szCs w:val="20"/>
              </w:rPr>
            </w:pPr>
          </w:p>
        </w:tc>
        <w:tc>
          <w:tcPr>
            <w:tcW w:w="20" w:type="dxa"/>
            <w:vAlign w:val="bottom"/>
          </w:tcPr>
          <w:p w14:paraId="281A00A4" w14:textId="77777777" w:rsidR="00A458C6" w:rsidRDefault="00A458C6">
            <w:pPr>
              <w:rPr>
                <w:sz w:val="1"/>
                <w:szCs w:val="1"/>
              </w:rPr>
            </w:pPr>
          </w:p>
        </w:tc>
      </w:tr>
      <w:tr w:rsidR="00A458C6" w14:paraId="281A00AB" w14:textId="77777777" w:rsidTr="00A458C6">
        <w:trPr>
          <w:trHeight w:val="234"/>
        </w:trPr>
        <w:tc>
          <w:tcPr>
            <w:tcW w:w="4560" w:type="dxa"/>
            <w:vMerge w:val="restart"/>
            <w:tcBorders>
              <w:right w:val="single" w:sz="8" w:space="0" w:color="auto"/>
            </w:tcBorders>
            <w:vAlign w:val="center"/>
          </w:tcPr>
          <w:p w14:paraId="281A00A6" w14:textId="48172AF3" w:rsidR="00A458C6" w:rsidRPr="00A458C6" w:rsidRDefault="00A458C6" w:rsidP="00563A54">
            <w:pPr>
              <w:pStyle w:val="ListParagraph"/>
              <w:numPr>
                <w:ilvl w:val="2"/>
                <w:numId w:val="365"/>
              </w:numPr>
              <w:ind w:left="0"/>
              <w:rPr>
                <w:sz w:val="20"/>
                <w:szCs w:val="20"/>
              </w:rPr>
            </w:pPr>
            <w:r w:rsidRPr="00A458C6">
              <w:rPr>
                <w:rFonts w:eastAsia="Times New Roman"/>
                <w:sz w:val="18"/>
                <w:szCs w:val="18"/>
              </w:rPr>
              <w:t>Enhanced coagulation/filtration</w:t>
            </w:r>
          </w:p>
        </w:tc>
        <w:tc>
          <w:tcPr>
            <w:tcW w:w="1420" w:type="dxa"/>
            <w:vMerge w:val="restart"/>
            <w:tcBorders>
              <w:top w:val="single" w:sz="8" w:space="0" w:color="auto"/>
              <w:bottom w:val="single" w:sz="8" w:space="0" w:color="auto"/>
              <w:right w:val="single" w:sz="8" w:space="0" w:color="auto"/>
            </w:tcBorders>
            <w:vAlign w:val="center"/>
          </w:tcPr>
          <w:p w14:paraId="281A00A7" w14:textId="77777777" w:rsidR="00A458C6" w:rsidRDefault="00A458C6" w:rsidP="00A458C6">
            <w:pPr>
              <w:jc w:val="center"/>
              <w:rPr>
                <w:sz w:val="20"/>
                <w:szCs w:val="20"/>
              </w:rPr>
            </w:pPr>
            <w:r>
              <w:rPr>
                <w:rFonts w:eastAsia="Times New Roman"/>
                <w:sz w:val="18"/>
                <w:szCs w:val="18"/>
              </w:rPr>
              <w:t>i</w:t>
            </w:r>
          </w:p>
        </w:tc>
        <w:tc>
          <w:tcPr>
            <w:tcW w:w="1540" w:type="dxa"/>
            <w:vMerge w:val="restart"/>
            <w:tcBorders>
              <w:right w:val="single" w:sz="8" w:space="0" w:color="auto"/>
            </w:tcBorders>
            <w:vAlign w:val="center"/>
          </w:tcPr>
          <w:p w14:paraId="281A00A8" w14:textId="77777777" w:rsidR="00A458C6" w:rsidRDefault="00A458C6" w:rsidP="00A458C6">
            <w:pPr>
              <w:jc w:val="center"/>
              <w:rPr>
                <w:sz w:val="20"/>
                <w:szCs w:val="20"/>
              </w:rPr>
            </w:pPr>
            <w:r>
              <w:rPr>
                <w:rFonts w:eastAsia="Times New Roman"/>
                <w:sz w:val="18"/>
                <w:szCs w:val="18"/>
              </w:rPr>
              <w:t>Advanced</w:t>
            </w:r>
          </w:p>
        </w:tc>
        <w:tc>
          <w:tcPr>
            <w:tcW w:w="2680" w:type="dxa"/>
            <w:vMerge w:val="restart"/>
            <w:vAlign w:val="center"/>
          </w:tcPr>
          <w:p w14:paraId="281A00A9" w14:textId="56C750D9" w:rsidR="00A458C6" w:rsidRDefault="00A458C6" w:rsidP="00A458C6">
            <w:pPr>
              <w:jc w:val="center"/>
              <w:rPr>
                <w:sz w:val="20"/>
                <w:szCs w:val="20"/>
              </w:rPr>
            </w:pPr>
            <w:r>
              <w:rPr>
                <w:rFonts w:eastAsia="Times New Roman"/>
                <w:sz w:val="18"/>
                <w:szCs w:val="18"/>
              </w:rPr>
              <w:t>Can treat a wide range of water qualities</w:t>
            </w:r>
          </w:p>
        </w:tc>
        <w:tc>
          <w:tcPr>
            <w:tcW w:w="20" w:type="dxa"/>
            <w:vAlign w:val="bottom"/>
          </w:tcPr>
          <w:p w14:paraId="281A00AA" w14:textId="77777777" w:rsidR="00A458C6" w:rsidRDefault="00A458C6">
            <w:pPr>
              <w:rPr>
                <w:sz w:val="1"/>
                <w:szCs w:val="1"/>
              </w:rPr>
            </w:pPr>
          </w:p>
        </w:tc>
      </w:tr>
      <w:tr w:rsidR="00A458C6" w14:paraId="281A00B1" w14:textId="77777777" w:rsidTr="00A458C6">
        <w:trPr>
          <w:trHeight w:val="60"/>
        </w:trPr>
        <w:tc>
          <w:tcPr>
            <w:tcW w:w="4560" w:type="dxa"/>
            <w:vMerge/>
            <w:tcBorders>
              <w:right w:val="single" w:sz="8" w:space="0" w:color="auto"/>
            </w:tcBorders>
            <w:vAlign w:val="bottom"/>
          </w:tcPr>
          <w:p w14:paraId="281A00AC" w14:textId="77777777" w:rsidR="00A458C6" w:rsidRDefault="00A458C6">
            <w:pPr>
              <w:rPr>
                <w:sz w:val="5"/>
                <w:szCs w:val="5"/>
              </w:rPr>
            </w:pPr>
          </w:p>
        </w:tc>
        <w:tc>
          <w:tcPr>
            <w:tcW w:w="1420" w:type="dxa"/>
            <w:vMerge/>
            <w:tcBorders>
              <w:bottom w:val="single" w:sz="8" w:space="0" w:color="auto"/>
              <w:right w:val="single" w:sz="8" w:space="0" w:color="auto"/>
            </w:tcBorders>
            <w:vAlign w:val="bottom"/>
          </w:tcPr>
          <w:p w14:paraId="281A00AD" w14:textId="77777777" w:rsidR="00A458C6" w:rsidRDefault="00A458C6">
            <w:pPr>
              <w:rPr>
                <w:sz w:val="5"/>
                <w:szCs w:val="5"/>
              </w:rPr>
            </w:pPr>
          </w:p>
        </w:tc>
        <w:tc>
          <w:tcPr>
            <w:tcW w:w="1540" w:type="dxa"/>
            <w:vMerge/>
            <w:tcBorders>
              <w:right w:val="single" w:sz="8" w:space="0" w:color="auto"/>
            </w:tcBorders>
            <w:vAlign w:val="bottom"/>
          </w:tcPr>
          <w:p w14:paraId="281A00AE" w14:textId="77777777" w:rsidR="00A458C6" w:rsidRDefault="00A458C6">
            <w:pPr>
              <w:rPr>
                <w:sz w:val="5"/>
                <w:szCs w:val="5"/>
              </w:rPr>
            </w:pPr>
          </w:p>
        </w:tc>
        <w:tc>
          <w:tcPr>
            <w:tcW w:w="2680" w:type="dxa"/>
            <w:vMerge/>
            <w:vAlign w:val="bottom"/>
          </w:tcPr>
          <w:p w14:paraId="281A00AF" w14:textId="1F393C12" w:rsidR="00A458C6" w:rsidRDefault="00A458C6" w:rsidP="00347FE4">
            <w:pPr>
              <w:rPr>
                <w:sz w:val="5"/>
                <w:szCs w:val="5"/>
              </w:rPr>
            </w:pPr>
          </w:p>
        </w:tc>
        <w:tc>
          <w:tcPr>
            <w:tcW w:w="20" w:type="dxa"/>
            <w:vAlign w:val="bottom"/>
          </w:tcPr>
          <w:p w14:paraId="281A00B0" w14:textId="77777777" w:rsidR="00A458C6" w:rsidRDefault="00A458C6">
            <w:pPr>
              <w:rPr>
                <w:sz w:val="1"/>
                <w:szCs w:val="1"/>
              </w:rPr>
            </w:pPr>
          </w:p>
        </w:tc>
      </w:tr>
      <w:tr w:rsidR="00A458C6" w14:paraId="281A00BA" w14:textId="77777777" w:rsidTr="00A458C6">
        <w:trPr>
          <w:trHeight w:val="284"/>
        </w:trPr>
        <w:tc>
          <w:tcPr>
            <w:tcW w:w="4560" w:type="dxa"/>
            <w:vMerge/>
            <w:tcBorders>
              <w:bottom w:val="single" w:sz="8" w:space="0" w:color="auto"/>
              <w:right w:val="single" w:sz="8" w:space="0" w:color="auto"/>
            </w:tcBorders>
            <w:vAlign w:val="bottom"/>
          </w:tcPr>
          <w:p w14:paraId="281A00B5" w14:textId="77777777" w:rsidR="00A458C6" w:rsidRDefault="00A458C6">
            <w:pPr>
              <w:rPr>
                <w:sz w:val="24"/>
                <w:szCs w:val="24"/>
              </w:rPr>
            </w:pPr>
          </w:p>
        </w:tc>
        <w:tc>
          <w:tcPr>
            <w:tcW w:w="1420" w:type="dxa"/>
            <w:vMerge/>
            <w:tcBorders>
              <w:left w:val="single" w:sz="8" w:space="0" w:color="auto"/>
              <w:bottom w:val="single" w:sz="8" w:space="0" w:color="auto"/>
              <w:right w:val="single" w:sz="8" w:space="0" w:color="auto"/>
            </w:tcBorders>
            <w:vAlign w:val="bottom"/>
          </w:tcPr>
          <w:p w14:paraId="281A00B6" w14:textId="77777777" w:rsidR="00A458C6" w:rsidRDefault="00A458C6">
            <w:pPr>
              <w:rPr>
                <w:sz w:val="24"/>
                <w:szCs w:val="24"/>
              </w:rPr>
            </w:pPr>
          </w:p>
        </w:tc>
        <w:tc>
          <w:tcPr>
            <w:tcW w:w="1540" w:type="dxa"/>
            <w:vMerge/>
            <w:tcBorders>
              <w:bottom w:val="single" w:sz="8" w:space="0" w:color="auto"/>
              <w:right w:val="single" w:sz="8" w:space="0" w:color="auto"/>
            </w:tcBorders>
            <w:vAlign w:val="bottom"/>
          </w:tcPr>
          <w:p w14:paraId="281A00B7" w14:textId="77777777" w:rsidR="00A458C6" w:rsidRDefault="00A458C6">
            <w:pPr>
              <w:rPr>
                <w:sz w:val="24"/>
                <w:szCs w:val="24"/>
              </w:rPr>
            </w:pPr>
          </w:p>
        </w:tc>
        <w:tc>
          <w:tcPr>
            <w:tcW w:w="2680" w:type="dxa"/>
            <w:vMerge/>
            <w:tcBorders>
              <w:bottom w:val="single" w:sz="8" w:space="0" w:color="auto"/>
            </w:tcBorders>
            <w:vAlign w:val="bottom"/>
          </w:tcPr>
          <w:p w14:paraId="281A00B8" w14:textId="5E1594BA" w:rsidR="00A458C6" w:rsidRDefault="00A458C6">
            <w:pPr>
              <w:rPr>
                <w:sz w:val="20"/>
                <w:szCs w:val="20"/>
              </w:rPr>
            </w:pPr>
          </w:p>
        </w:tc>
        <w:tc>
          <w:tcPr>
            <w:tcW w:w="20" w:type="dxa"/>
            <w:vAlign w:val="bottom"/>
          </w:tcPr>
          <w:p w14:paraId="281A00B9" w14:textId="77777777" w:rsidR="00A458C6" w:rsidRDefault="00A458C6">
            <w:pPr>
              <w:rPr>
                <w:sz w:val="1"/>
                <w:szCs w:val="1"/>
              </w:rPr>
            </w:pPr>
          </w:p>
        </w:tc>
      </w:tr>
    </w:tbl>
    <w:p w14:paraId="281A00BB" w14:textId="77777777" w:rsidR="004647B9" w:rsidRDefault="004647B9" w:rsidP="002C2DAB">
      <w:pPr>
        <w:rPr>
          <w:sz w:val="20"/>
          <w:szCs w:val="20"/>
        </w:rPr>
      </w:pPr>
    </w:p>
    <w:p w14:paraId="281A00BC" w14:textId="77777777" w:rsidR="004647B9" w:rsidRDefault="00E2436F" w:rsidP="002C2DAB">
      <w:pPr>
        <w:numPr>
          <w:ilvl w:val="0"/>
          <w:numId w:val="401"/>
        </w:numPr>
        <w:tabs>
          <w:tab w:val="left" w:pos="480"/>
        </w:tabs>
        <w:ind w:left="480" w:hanging="480"/>
        <w:rPr>
          <w:rFonts w:eastAsia="Times New Roman"/>
          <w:sz w:val="28"/>
          <w:szCs w:val="28"/>
          <w:vertAlign w:val="superscript"/>
        </w:rPr>
      </w:pPr>
      <w:r>
        <w:rPr>
          <w:rFonts w:eastAsia="Times New Roman"/>
          <w:sz w:val="24"/>
          <w:szCs w:val="24"/>
        </w:rPr>
        <w:t>National Research Council (NRC). Safe Water from Every Tap: Improving Water Service to Small Communities. National Academy Press, Washington, D.C. 1997.</w:t>
      </w:r>
    </w:p>
    <w:p w14:paraId="281A00BD" w14:textId="77777777" w:rsidR="004647B9" w:rsidRDefault="004647B9" w:rsidP="002C2DAB">
      <w:pPr>
        <w:sectPr w:rsidR="004647B9" w:rsidSect="00EF630C">
          <w:type w:val="continuous"/>
          <w:pgSz w:w="12240" w:h="20180"/>
          <w:pgMar w:top="708" w:right="1440" w:bottom="945" w:left="600" w:header="0" w:footer="0" w:gutter="0"/>
          <w:cols w:space="720"/>
        </w:sectPr>
      </w:pPr>
    </w:p>
    <w:p w14:paraId="281A00BE" w14:textId="77777777" w:rsidR="004647B9" w:rsidRDefault="00E2436F">
      <w:pPr>
        <w:tabs>
          <w:tab w:val="left" w:pos="160"/>
        </w:tabs>
        <w:jc w:val="center"/>
        <w:rPr>
          <w:sz w:val="20"/>
          <w:szCs w:val="20"/>
        </w:rPr>
      </w:pPr>
      <w:bookmarkStart w:id="150" w:name="page152"/>
      <w:bookmarkEnd w:id="15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0BF" w14:textId="77777777" w:rsidR="004647B9" w:rsidRDefault="004647B9" w:rsidP="002C2DAB">
      <w:pPr>
        <w:rPr>
          <w:sz w:val="20"/>
          <w:szCs w:val="20"/>
        </w:rPr>
      </w:pPr>
    </w:p>
    <w:p w14:paraId="281A00C0" w14:textId="77777777" w:rsidR="004647B9" w:rsidRDefault="004647B9" w:rsidP="002C2DAB">
      <w:pPr>
        <w:rPr>
          <w:sz w:val="20"/>
          <w:szCs w:val="20"/>
        </w:rPr>
      </w:pPr>
    </w:p>
    <w:p w14:paraId="281A00C1" w14:textId="77777777" w:rsidR="004647B9" w:rsidRDefault="00E2436F" w:rsidP="002C2DAB">
      <w:pPr>
        <w:tabs>
          <w:tab w:val="left" w:pos="941"/>
        </w:tabs>
        <w:ind w:left="1"/>
        <w:rPr>
          <w:sz w:val="20"/>
          <w:szCs w:val="20"/>
        </w:rPr>
      </w:pPr>
      <w:r>
        <w:rPr>
          <w:rFonts w:eastAsia="Times New Roman"/>
          <w:sz w:val="24"/>
          <w:szCs w:val="24"/>
        </w:rPr>
        <w:t>22.09A:</w:t>
      </w:r>
      <w:r>
        <w:rPr>
          <w:sz w:val="20"/>
          <w:szCs w:val="20"/>
        </w:rPr>
        <w:tab/>
      </w:r>
      <w:r>
        <w:rPr>
          <w:rFonts w:eastAsia="Times New Roman"/>
          <w:sz w:val="23"/>
          <w:szCs w:val="23"/>
        </w:rPr>
        <w:t>continued</w:t>
      </w:r>
    </w:p>
    <w:p w14:paraId="281A00C2" w14:textId="77777777" w:rsidR="004647B9" w:rsidRPr="00432623" w:rsidRDefault="004647B9" w:rsidP="002C2DAB">
      <w:pPr>
        <w:rPr>
          <w:sz w:val="24"/>
          <w:szCs w:val="24"/>
        </w:rPr>
      </w:pPr>
    </w:p>
    <w:p w14:paraId="281A00C3" w14:textId="77777777" w:rsidR="004647B9" w:rsidRPr="00432623" w:rsidRDefault="00E2436F" w:rsidP="002C2DAB">
      <w:pPr>
        <w:numPr>
          <w:ilvl w:val="0"/>
          <w:numId w:val="402"/>
        </w:numPr>
        <w:tabs>
          <w:tab w:val="left" w:pos="481"/>
        </w:tabs>
        <w:ind w:left="481" w:hanging="480"/>
        <w:jc w:val="both"/>
        <w:rPr>
          <w:rFonts w:eastAsia="Times New Roman"/>
          <w:sz w:val="24"/>
          <w:szCs w:val="24"/>
          <w:vertAlign w:val="superscript"/>
        </w:rPr>
      </w:pPr>
      <w:r w:rsidRPr="00432623">
        <w:rPr>
          <w:rFonts w:eastAsia="Times New Roman"/>
          <w:sz w:val="24"/>
          <w:szCs w:val="24"/>
        </w:rPr>
        <w:t xml:space="preserve">A POU, or ‘‘point-of-use’’ technology is a treatment device installed at a single tap used for the purpose of reducing contaminants in drinking water at that one tap. POU devices are typically installed at the kitchen tap. </w:t>
      </w:r>
      <w:r w:rsidRPr="00432623">
        <w:rPr>
          <w:rFonts w:eastAsia="Times New Roman"/>
          <w:i/>
          <w:iCs/>
          <w:sz w:val="24"/>
          <w:szCs w:val="24"/>
        </w:rPr>
        <w:t>See</w:t>
      </w:r>
      <w:r w:rsidRPr="00432623">
        <w:rPr>
          <w:rFonts w:eastAsia="Times New Roman"/>
          <w:sz w:val="24"/>
          <w:szCs w:val="24"/>
        </w:rPr>
        <w:t xml:space="preserve"> the April 21, 2000 NODA for more details.</w:t>
      </w:r>
    </w:p>
    <w:p w14:paraId="281A00C4" w14:textId="77777777" w:rsidR="004647B9" w:rsidRPr="00432623" w:rsidRDefault="004647B9" w:rsidP="002C2DAB">
      <w:pPr>
        <w:rPr>
          <w:sz w:val="24"/>
          <w:szCs w:val="24"/>
        </w:rPr>
      </w:pPr>
    </w:p>
    <w:p w14:paraId="281A00C5" w14:textId="77777777" w:rsidR="004647B9" w:rsidRPr="00432623" w:rsidRDefault="00E2436F" w:rsidP="002C2DAB">
      <w:pPr>
        <w:ind w:left="1"/>
        <w:rPr>
          <w:sz w:val="24"/>
          <w:szCs w:val="24"/>
        </w:rPr>
      </w:pPr>
      <w:r w:rsidRPr="00432623">
        <w:rPr>
          <w:rFonts w:eastAsia="Times New Roman"/>
          <w:sz w:val="24"/>
          <w:szCs w:val="24"/>
        </w:rPr>
        <w:t>Limitations Footnotes: Technologies for Radionuclides:</w:t>
      </w:r>
    </w:p>
    <w:p w14:paraId="281A00C7" w14:textId="77777777" w:rsidR="004647B9" w:rsidRPr="00432623" w:rsidRDefault="00E2436F" w:rsidP="002C2DAB">
      <w:pPr>
        <w:numPr>
          <w:ilvl w:val="0"/>
          <w:numId w:val="403"/>
        </w:numPr>
        <w:tabs>
          <w:tab w:val="left" w:pos="481"/>
        </w:tabs>
        <w:ind w:left="481" w:hanging="479"/>
        <w:rPr>
          <w:rFonts w:eastAsia="Times New Roman"/>
          <w:sz w:val="24"/>
          <w:szCs w:val="24"/>
          <w:vertAlign w:val="superscript"/>
        </w:rPr>
      </w:pPr>
      <w:r w:rsidRPr="00432623">
        <w:rPr>
          <w:rFonts w:eastAsia="Times New Roman"/>
          <w:sz w:val="24"/>
          <w:szCs w:val="24"/>
        </w:rPr>
        <w:t>The regeneration solution contains high concentrations of the contaminant ions. Disposal options should be carefully considered before choosing this technology.</w:t>
      </w:r>
    </w:p>
    <w:p w14:paraId="281A00C9" w14:textId="77777777" w:rsidR="004647B9" w:rsidRPr="00432623" w:rsidRDefault="00E2436F" w:rsidP="002C2DAB">
      <w:pPr>
        <w:numPr>
          <w:ilvl w:val="0"/>
          <w:numId w:val="403"/>
        </w:numPr>
        <w:tabs>
          <w:tab w:val="left" w:pos="481"/>
        </w:tabs>
        <w:ind w:left="481" w:hanging="479"/>
        <w:rPr>
          <w:rFonts w:eastAsia="Times New Roman"/>
          <w:sz w:val="24"/>
          <w:szCs w:val="24"/>
          <w:vertAlign w:val="superscript"/>
        </w:rPr>
      </w:pPr>
      <w:r w:rsidRPr="00432623">
        <w:rPr>
          <w:rFonts w:eastAsia="Times New Roman"/>
          <w:sz w:val="24"/>
          <w:szCs w:val="24"/>
        </w:rPr>
        <w:t>When POU devices are used for compliance, programs for long-term operation, maintenance, and monitoring must be provided by water utility to ensure proper performance.</w:t>
      </w:r>
    </w:p>
    <w:p w14:paraId="281A00CB" w14:textId="77777777" w:rsidR="004647B9" w:rsidRPr="00432623" w:rsidRDefault="00E2436F" w:rsidP="002C2DAB">
      <w:pPr>
        <w:numPr>
          <w:ilvl w:val="0"/>
          <w:numId w:val="403"/>
        </w:numPr>
        <w:tabs>
          <w:tab w:val="left" w:pos="481"/>
        </w:tabs>
        <w:ind w:left="481" w:hanging="480"/>
        <w:rPr>
          <w:rFonts w:eastAsia="Times New Roman"/>
          <w:sz w:val="24"/>
          <w:szCs w:val="24"/>
          <w:vertAlign w:val="superscript"/>
        </w:rPr>
      </w:pPr>
      <w:r w:rsidRPr="00432623">
        <w:rPr>
          <w:rFonts w:eastAsia="Times New Roman"/>
          <w:sz w:val="24"/>
          <w:szCs w:val="24"/>
        </w:rPr>
        <w:t>Reject water disposal options should be carefully considered before choosing this technology. See other RO limitations described in the SWTR Compliance Technologies Table.</w:t>
      </w:r>
    </w:p>
    <w:p w14:paraId="281A00CD" w14:textId="77777777" w:rsidR="004647B9" w:rsidRPr="00432623" w:rsidRDefault="00E2436F" w:rsidP="002C2DAB">
      <w:pPr>
        <w:numPr>
          <w:ilvl w:val="0"/>
          <w:numId w:val="403"/>
        </w:numPr>
        <w:tabs>
          <w:tab w:val="left" w:pos="481"/>
        </w:tabs>
        <w:ind w:left="481" w:hanging="480"/>
        <w:rPr>
          <w:rFonts w:eastAsia="Times New Roman"/>
          <w:sz w:val="24"/>
          <w:szCs w:val="24"/>
          <w:vertAlign w:val="superscript"/>
        </w:rPr>
      </w:pPr>
      <w:r w:rsidRPr="00432623">
        <w:rPr>
          <w:rFonts w:eastAsia="Times New Roman"/>
          <w:sz w:val="24"/>
          <w:szCs w:val="24"/>
        </w:rPr>
        <w:t>The combination of variable source water quality and the complexity of the water chemistry involved may make this technology too complex for small surface water systems.</w:t>
      </w:r>
    </w:p>
    <w:p w14:paraId="281A00CF" w14:textId="77777777" w:rsidR="004647B9" w:rsidRPr="00432623" w:rsidRDefault="00E2436F" w:rsidP="002C2DAB">
      <w:pPr>
        <w:numPr>
          <w:ilvl w:val="0"/>
          <w:numId w:val="403"/>
        </w:numPr>
        <w:tabs>
          <w:tab w:val="left" w:pos="481"/>
        </w:tabs>
        <w:ind w:left="481" w:hanging="480"/>
        <w:rPr>
          <w:rFonts w:eastAsia="Times New Roman"/>
          <w:sz w:val="24"/>
          <w:szCs w:val="24"/>
          <w:vertAlign w:val="superscript"/>
        </w:rPr>
      </w:pPr>
      <w:r w:rsidRPr="00432623">
        <w:rPr>
          <w:rFonts w:eastAsia="Times New Roman"/>
          <w:sz w:val="24"/>
          <w:szCs w:val="24"/>
        </w:rPr>
        <w:t>Removal efficiencies can vary depending on water quality.</w:t>
      </w:r>
    </w:p>
    <w:p w14:paraId="281A00D0" w14:textId="77777777" w:rsidR="004647B9" w:rsidRPr="00432623" w:rsidRDefault="00E2436F" w:rsidP="002C2DAB">
      <w:pPr>
        <w:numPr>
          <w:ilvl w:val="0"/>
          <w:numId w:val="403"/>
        </w:numPr>
        <w:tabs>
          <w:tab w:val="left" w:pos="481"/>
        </w:tabs>
        <w:ind w:left="481" w:hanging="480"/>
        <w:jc w:val="both"/>
        <w:rPr>
          <w:rFonts w:eastAsia="Times New Roman"/>
          <w:sz w:val="24"/>
          <w:szCs w:val="24"/>
          <w:vertAlign w:val="superscript"/>
        </w:rPr>
      </w:pPr>
      <w:r w:rsidRPr="00432623">
        <w:rPr>
          <w:rFonts w:eastAsia="Times New Roman"/>
          <w:sz w:val="24"/>
          <w:szCs w:val="24"/>
        </w:rPr>
        <w:t>This technology may be very limited in application to small systems. Since the process requires static mixing, detention basins, and filtration, it is most applicable to systems with sufficiently high sulfate levels that already have a suitable filtration treatment train in place.</w:t>
      </w:r>
    </w:p>
    <w:p w14:paraId="281A00D2" w14:textId="77777777" w:rsidR="004647B9" w:rsidRPr="00432623" w:rsidRDefault="00E2436F" w:rsidP="002C2DAB">
      <w:pPr>
        <w:numPr>
          <w:ilvl w:val="0"/>
          <w:numId w:val="403"/>
        </w:numPr>
        <w:tabs>
          <w:tab w:val="left" w:pos="481"/>
        </w:tabs>
        <w:ind w:left="481" w:hanging="480"/>
        <w:rPr>
          <w:rFonts w:eastAsia="Times New Roman"/>
          <w:sz w:val="24"/>
          <w:szCs w:val="24"/>
          <w:vertAlign w:val="superscript"/>
        </w:rPr>
      </w:pPr>
      <w:r w:rsidRPr="00432623">
        <w:rPr>
          <w:rFonts w:eastAsia="Times New Roman"/>
          <w:sz w:val="24"/>
          <w:szCs w:val="24"/>
        </w:rPr>
        <w:t>This technology is most applicable to small systems that already have filtration in place.</w:t>
      </w:r>
    </w:p>
    <w:p w14:paraId="281A00D3" w14:textId="77777777" w:rsidR="004647B9" w:rsidRPr="00432623" w:rsidRDefault="00E2436F" w:rsidP="002C2DAB">
      <w:pPr>
        <w:numPr>
          <w:ilvl w:val="0"/>
          <w:numId w:val="403"/>
        </w:numPr>
        <w:tabs>
          <w:tab w:val="left" w:pos="481"/>
        </w:tabs>
        <w:ind w:left="481" w:hanging="480"/>
        <w:rPr>
          <w:rFonts w:eastAsia="Times New Roman"/>
          <w:sz w:val="24"/>
          <w:szCs w:val="24"/>
          <w:vertAlign w:val="superscript"/>
        </w:rPr>
      </w:pPr>
      <w:r w:rsidRPr="00432623">
        <w:rPr>
          <w:rFonts w:eastAsia="Times New Roman"/>
          <w:sz w:val="24"/>
          <w:szCs w:val="24"/>
        </w:rPr>
        <w:t>Handling of chemicals required during regeneration and pH adjustment may be too difficult for small systems without an adequately trained operator.</w:t>
      </w:r>
    </w:p>
    <w:p w14:paraId="281A00D5" w14:textId="77777777" w:rsidR="004647B9" w:rsidRPr="00432623" w:rsidRDefault="00E2436F" w:rsidP="002C2DAB">
      <w:pPr>
        <w:numPr>
          <w:ilvl w:val="0"/>
          <w:numId w:val="403"/>
        </w:numPr>
        <w:tabs>
          <w:tab w:val="left" w:pos="481"/>
        </w:tabs>
        <w:ind w:left="481" w:hanging="481"/>
        <w:rPr>
          <w:rFonts w:eastAsia="Times New Roman"/>
          <w:sz w:val="24"/>
          <w:szCs w:val="24"/>
          <w:vertAlign w:val="superscript"/>
        </w:rPr>
      </w:pPr>
      <w:r w:rsidRPr="00432623">
        <w:rPr>
          <w:rFonts w:eastAsia="Times New Roman"/>
          <w:sz w:val="24"/>
          <w:szCs w:val="24"/>
        </w:rPr>
        <w:t>Assumes modification to a coagulation/filtration process already in place.</w:t>
      </w:r>
    </w:p>
    <w:p w14:paraId="281A00D6" w14:textId="77777777" w:rsidR="004647B9" w:rsidRDefault="004647B9" w:rsidP="002C2DAB">
      <w:pPr>
        <w:rPr>
          <w:sz w:val="20"/>
          <w:szCs w:val="20"/>
        </w:rPr>
      </w:pPr>
    </w:p>
    <w:p w14:paraId="281A00D7" w14:textId="77777777" w:rsidR="004647B9" w:rsidRDefault="00E2436F">
      <w:pPr>
        <w:ind w:right="19"/>
        <w:jc w:val="center"/>
        <w:rPr>
          <w:sz w:val="20"/>
          <w:szCs w:val="20"/>
        </w:rPr>
      </w:pPr>
      <w:r>
        <w:rPr>
          <w:rFonts w:eastAsia="Times New Roman"/>
        </w:rPr>
        <w:t>TABLE E</w:t>
      </w:r>
    </w:p>
    <w:p w14:paraId="281A00DA" w14:textId="683C7855" w:rsidR="004647B9" w:rsidRDefault="00E2436F" w:rsidP="002D7991">
      <w:pPr>
        <w:jc w:val="center"/>
        <w:rPr>
          <w:sz w:val="20"/>
          <w:szCs w:val="20"/>
        </w:rPr>
      </w:pPr>
      <w:r>
        <w:rPr>
          <w:noProof/>
          <w:sz w:val="20"/>
          <w:szCs w:val="20"/>
        </w:rPr>
        <mc:AlternateContent>
          <mc:Choice Requires="wps">
            <w:drawing>
              <wp:anchor distT="0" distB="0" distL="114300" distR="114300" simplePos="0" relativeHeight="251658243" behindDoc="1" locked="0" layoutInCell="0" allowOverlap="1" wp14:anchorId="281A7B55" wp14:editId="56AB2569">
                <wp:simplePos x="0" y="0"/>
                <wp:positionH relativeFrom="column">
                  <wp:posOffset>635</wp:posOffset>
                </wp:positionH>
                <wp:positionV relativeFrom="paragraph">
                  <wp:posOffset>-154305</wp:posOffset>
                </wp:positionV>
                <wp:extent cx="6475095" cy="0"/>
                <wp:effectExtent l="0" t="0" r="0" b="0"/>
                <wp:wrapNone/>
                <wp:docPr id="295"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5095" cy="4763"/>
                        </a:xfrm>
                        <a:prstGeom prst="line">
                          <a:avLst/>
                        </a:prstGeom>
                        <a:solidFill>
                          <a:srgbClr val="FFFFFF"/>
                        </a:solidFill>
                        <a:ln w="10668">
                          <a:solidFill>
                            <a:srgbClr val="000000"/>
                          </a:solidFill>
                          <a:miter lim="800000"/>
                          <a:headEnd/>
                          <a:tailEnd/>
                        </a:ln>
                      </wps:spPr>
                      <wps:bodyPr/>
                    </wps:wsp>
                  </a:graphicData>
                </a:graphic>
              </wp:anchor>
            </w:drawing>
          </mc:Choice>
          <mc:Fallback>
            <w:pict>
              <v:line w14:anchorId="3C64483C" id="Straight Connector 295" o:spid="_x0000_s1026" style="position:absolute;z-index:-251658237;visibility:visible;mso-wrap-style:square;mso-wrap-distance-left:9pt;mso-wrap-distance-top:0;mso-wrap-distance-right:9pt;mso-wrap-distance-bottom:0;mso-position-horizontal:absolute;mso-position-horizontal-relative:text;mso-position-vertical:absolute;mso-position-vertical-relative:text" from=".05pt,-12.15pt" to="509.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" o:allowincell="f" filled="t" strokeweight=".84pt">
                <v:stroke joinstyle="miter"/>
                <o:lock v:ext="edit" shapetype="f"/>
              </v:line>
            </w:pict>
          </mc:Fallback>
        </mc:AlternateContent>
      </w:r>
      <w:r>
        <w:rPr>
          <w:rFonts w:eastAsia="Times New Roman"/>
        </w:rPr>
        <w:t>COMPLIANCE TECHNOLOGIES BY SYSTEM SIZE CATEGORY FOR RADIONUCLIDES</w:t>
      </w:r>
    </w:p>
    <w:tbl>
      <w:tblPr>
        <w:tblW w:w="0" w:type="auto"/>
        <w:tblInd w:w="1" w:type="dxa"/>
        <w:tblLayout w:type="fixed"/>
        <w:tblCellMar>
          <w:left w:w="0" w:type="dxa"/>
          <w:right w:w="0" w:type="dxa"/>
        </w:tblCellMar>
        <w:tblLook w:val="04A0" w:firstRow="1" w:lastRow="0" w:firstColumn="1" w:lastColumn="0" w:noHBand="0" w:noVBand="1"/>
      </w:tblPr>
      <w:tblGrid>
        <w:gridCol w:w="4319"/>
        <w:gridCol w:w="1890"/>
        <w:gridCol w:w="2070"/>
        <w:gridCol w:w="1921"/>
      </w:tblGrid>
      <w:tr w:rsidR="002D7991" w14:paraId="281A00E0" w14:textId="77777777" w:rsidTr="00DE7978">
        <w:trPr>
          <w:trHeight w:val="579"/>
        </w:trPr>
        <w:tc>
          <w:tcPr>
            <w:tcW w:w="4319" w:type="dxa"/>
            <w:tcBorders>
              <w:top w:val="single" w:sz="8" w:space="0" w:color="auto"/>
              <w:bottom w:val="single" w:sz="8" w:space="0" w:color="auto"/>
              <w:right w:val="single" w:sz="8" w:space="0" w:color="auto"/>
            </w:tcBorders>
            <w:vAlign w:val="bottom"/>
          </w:tcPr>
          <w:p w14:paraId="281A00DD" w14:textId="4E038BE8" w:rsidR="002D7991" w:rsidRDefault="002D7991" w:rsidP="00347FE4">
            <w:pPr>
              <w:ind w:left="1080"/>
              <w:rPr>
                <w:sz w:val="24"/>
                <w:szCs w:val="24"/>
              </w:rPr>
            </w:pPr>
            <w:r>
              <w:rPr>
                <w:rFonts w:eastAsia="Times New Roman"/>
              </w:rPr>
              <w:t>Contaminant</w:t>
            </w:r>
          </w:p>
        </w:tc>
        <w:tc>
          <w:tcPr>
            <w:tcW w:w="3960" w:type="dxa"/>
            <w:gridSpan w:val="2"/>
            <w:tcBorders>
              <w:top w:val="single" w:sz="8" w:space="0" w:color="auto"/>
              <w:left w:val="single" w:sz="8" w:space="0" w:color="auto"/>
              <w:bottom w:val="single" w:sz="8" w:space="0" w:color="auto"/>
              <w:right w:val="single" w:sz="8" w:space="0" w:color="auto"/>
            </w:tcBorders>
            <w:vAlign w:val="center"/>
          </w:tcPr>
          <w:p w14:paraId="281A00DE" w14:textId="1DCE7014" w:rsidR="002D7991" w:rsidRDefault="002D7991" w:rsidP="002D7991">
            <w:pPr>
              <w:jc w:val="center"/>
              <w:rPr>
                <w:sz w:val="20"/>
                <w:szCs w:val="20"/>
              </w:rPr>
            </w:pPr>
            <w:r>
              <w:rPr>
                <w:rFonts w:eastAsia="Times New Roman"/>
              </w:rPr>
              <w:t>Compliance technologies</w:t>
            </w:r>
            <w:r>
              <w:rPr>
                <w:rFonts w:eastAsia="Times New Roman"/>
                <w:vertAlign w:val="superscript"/>
              </w:rPr>
              <w:t>1</w:t>
            </w:r>
            <w:r>
              <w:rPr>
                <w:rFonts w:eastAsia="Times New Roman"/>
              </w:rPr>
              <w:t xml:space="preserve"> for system size categories (population served) 3,300–10,000</w:t>
            </w:r>
          </w:p>
        </w:tc>
        <w:tc>
          <w:tcPr>
            <w:tcW w:w="1921" w:type="dxa"/>
            <w:tcBorders>
              <w:top w:val="single" w:sz="8" w:space="0" w:color="auto"/>
              <w:bottom w:val="single" w:sz="8" w:space="0" w:color="auto"/>
            </w:tcBorders>
            <w:vAlign w:val="center"/>
          </w:tcPr>
          <w:p w14:paraId="281A00DF" w14:textId="77777777" w:rsidR="002D7991" w:rsidRDefault="002D7991" w:rsidP="00E976F3">
            <w:pPr>
              <w:jc w:val="center"/>
              <w:rPr>
                <w:sz w:val="24"/>
                <w:szCs w:val="24"/>
              </w:rPr>
            </w:pPr>
          </w:p>
        </w:tc>
      </w:tr>
      <w:tr w:rsidR="00E976F3" w14:paraId="281A00EB" w14:textId="77777777" w:rsidTr="00DE7978">
        <w:trPr>
          <w:trHeight w:val="280"/>
        </w:trPr>
        <w:tc>
          <w:tcPr>
            <w:tcW w:w="4319" w:type="dxa"/>
            <w:tcBorders>
              <w:top w:val="single" w:sz="8" w:space="0" w:color="auto"/>
              <w:bottom w:val="single" w:sz="8" w:space="0" w:color="auto"/>
              <w:right w:val="single" w:sz="8" w:space="0" w:color="auto"/>
            </w:tcBorders>
            <w:vAlign w:val="bottom"/>
          </w:tcPr>
          <w:p w14:paraId="281A00E7" w14:textId="77777777" w:rsidR="00E976F3" w:rsidRDefault="00E976F3">
            <w:pPr>
              <w:rPr>
                <w:sz w:val="24"/>
                <w:szCs w:val="24"/>
              </w:rPr>
            </w:pPr>
          </w:p>
        </w:tc>
        <w:tc>
          <w:tcPr>
            <w:tcW w:w="1890" w:type="dxa"/>
            <w:tcBorders>
              <w:top w:val="single" w:sz="8" w:space="0" w:color="auto"/>
              <w:bottom w:val="single" w:sz="8" w:space="0" w:color="auto"/>
              <w:right w:val="single" w:sz="8" w:space="0" w:color="auto"/>
            </w:tcBorders>
            <w:vAlign w:val="center"/>
          </w:tcPr>
          <w:p w14:paraId="281A00E8" w14:textId="77777777" w:rsidR="00E976F3" w:rsidRDefault="00E976F3" w:rsidP="00E976F3">
            <w:pPr>
              <w:jc w:val="center"/>
              <w:rPr>
                <w:sz w:val="20"/>
                <w:szCs w:val="20"/>
              </w:rPr>
            </w:pPr>
            <w:r>
              <w:rPr>
                <w:rFonts w:eastAsia="Times New Roman"/>
              </w:rPr>
              <w:t>25–500</w:t>
            </w:r>
          </w:p>
        </w:tc>
        <w:tc>
          <w:tcPr>
            <w:tcW w:w="2070" w:type="dxa"/>
            <w:tcBorders>
              <w:top w:val="single" w:sz="8" w:space="0" w:color="auto"/>
              <w:bottom w:val="single" w:sz="8" w:space="0" w:color="auto"/>
              <w:right w:val="single" w:sz="8" w:space="0" w:color="auto"/>
            </w:tcBorders>
            <w:vAlign w:val="center"/>
          </w:tcPr>
          <w:p w14:paraId="281A00E9" w14:textId="77777777" w:rsidR="00E976F3" w:rsidRDefault="00E976F3" w:rsidP="00E976F3">
            <w:pPr>
              <w:jc w:val="center"/>
              <w:rPr>
                <w:sz w:val="20"/>
                <w:szCs w:val="20"/>
              </w:rPr>
            </w:pPr>
            <w:r>
              <w:rPr>
                <w:rFonts w:eastAsia="Times New Roman"/>
              </w:rPr>
              <w:t>501–3,300</w:t>
            </w:r>
          </w:p>
        </w:tc>
        <w:tc>
          <w:tcPr>
            <w:tcW w:w="1921" w:type="dxa"/>
            <w:tcBorders>
              <w:top w:val="single" w:sz="8" w:space="0" w:color="auto"/>
              <w:bottom w:val="single" w:sz="8" w:space="0" w:color="auto"/>
            </w:tcBorders>
            <w:vAlign w:val="center"/>
          </w:tcPr>
          <w:p w14:paraId="281A00EA" w14:textId="77777777" w:rsidR="00E976F3" w:rsidRDefault="00E976F3" w:rsidP="00E976F3">
            <w:pPr>
              <w:jc w:val="center"/>
              <w:rPr>
                <w:sz w:val="20"/>
                <w:szCs w:val="20"/>
              </w:rPr>
            </w:pPr>
            <w:r>
              <w:rPr>
                <w:rFonts w:eastAsia="Times New Roman"/>
              </w:rPr>
              <w:t>3300-10,000</w:t>
            </w:r>
          </w:p>
        </w:tc>
      </w:tr>
      <w:tr w:rsidR="00E976F3" w14:paraId="281A00F1" w14:textId="77777777" w:rsidTr="00DE7978">
        <w:trPr>
          <w:trHeight w:val="278"/>
        </w:trPr>
        <w:tc>
          <w:tcPr>
            <w:tcW w:w="4319" w:type="dxa"/>
            <w:tcBorders>
              <w:bottom w:val="single" w:sz="8" w:space="0" w:color="auto"/>
              <w:right w:val="single" w:sz="8" w:space="0" w:color="auto"/>
            </w:tcBorders>
            <w:vAlign w:val="center"/>
          </w:tcPr>
          <w:p w14:paraId="281A00ED" w14:textId="00736FAE" w:rsidR="00E976F3" w:rsidRPr="00E976F3" w:rsidRDefault="00E976F3" w:rsidP="00563A54">
            <w:pPr>
              <w:pStyle w:val="ListParagraph"/>
              <w:numPr>
                <w:ilvl w:val="2"/>
                <w:numId w:val="346"/>
              </w:numPr>
              <w:ind w:left="0"/>
              <w:rPr>
                <w:sz w:val="20"/>
                <w:szCs w:val="20"/>
              </w:rPr>
            </w:pPr>
            <w:r w:rsidRPr="00E976F3">
              <w:rPr>
                <w:rFonts w:eastAsia="Times New Roman"/>
              </w:rPr>
              <w:t>Combined radium-226 and radium-228</w:t>
            </w:r>
          </w:p>
        </w:tc>
        <w:tc>
          <w:tcPr>
            <w:tcW w:w="1890" w:type="dxa"/>
            <w:tcBorders>
              <w:bottom w:val="single" w:sz="8" w:space="0" w:color="auto"/>
              <w:right w:val="single" w:sz="8" w:space="0" w:color="auto"/>
            </w:tcBorders>
            <w:vAlign w:val="center"/>
          </w:tcPr>
          <w:p w14:paraId="281A00EE" w14:textId="77777777" w:rsidR="00E976F3" w:rsidRDefault="00E976F3" w:rsidP="0014267D">
            <w:pPr>
              <w:jc w:val="center"/>
              <w:rPr>
                <w:sz w:val="20"/>
                <w:szCs w:val="20"/>
              </w:rPr>
            </w:pPr>
            <w:r>
              <w:rPr>
                <w:rFonts w:eastAsia="Times New Roman"/>
              </w:rPr>
              <w:t>1, 2, 3, 4, 5, 6, 7, 8, 9</w:t>
            </w:r>
          </w:p>
        </w:tc>
        <w:tc>
          <w:tcPr>
            <w:tcW w:w="2070" w:type="dxa"/>
            <w:tcBorders>
              <w:bottom w:val="single" w:sz="8" w:space="0" w:color="auto"/>
              <w:right w:val="single" w:sz="8" w:space="0" w:color="auto"/>
            </w:tcBorders>
            <w:vAlign w:val="center"/>
          </w:tcPr>
          <w:p w14:paraId="281A00EF" w14:textId="77777777" w:rsidR="00E976F3" w:rsidRDefault="00E976F3" w:rsidP="0014267D">
            <w:pPr>
              <w:jc w:val="center"/>
              <w:rPr>
                <w:sz w:val="20"/>
                <w:szCs w:val="20"/>
              </w:rPr>
            </w:pPr>
            <w:r>
              <w:rPr>
                <w:rFonts w:eastAsia="Times New Roman"/>
              </w:rPr>
              <w:t>1, 2, 3, 4, 5, 6, 7, 8, 9</w:t>
            </w:r>
          </w:p>
        </w:tc>
        <w:tc>
          <w:tcPr>
            <w:tcW w:w="1921" w:type="dxa"/>
            <w:tcBorders>
              <w:bottom w:val="single" w:sz="8" w:space="0" w:color="auto"/>
            </w:tcBorders>
            <w:vAlign w:val="center"/>
          </w:tcPr>
          <w:p w14:paraId="281A00F0" w14:textId="77777777" w:rsidR="00E976F3" w:rsidRDefault="00E976F3" w:rsidP="0014267D">
            <w:pPr>
              <w:jc w:val="center"/>
              <w:rPr>
                <w:sz w:val="20"/>
                <w:szCs w:val="20"/>
              </w:rPr>
            </w:pPr>
            <w:r>
              <w:rPr>
                <w:rFonts w:eastAsia="Times New Roman"/>
              </w:rPr>
              <w:t>1, 2, 3, 4, 5, 6, 7. 8, 9</w:t>
            </w:r>
          </w:p>
        </w:tc>
      </w:tr>
      <w:tr w:rsidR="0014267D" w14:paraId="281A00F7" w14:textId="77777777" w:rsidTr="00DE7978">
        <w:trPr>
          <w:trHeight w:val="280"/>
        </w:trPr>
        <w:tc>
          <w:tcPr>
            <w:tcW w:w="4319" w:type="dxa"/>
            <w:tcBorders>
              <w:bottom w:val="single" w:sz="8" w:space="0" w:color="auto"/>
              <w:right w:val="single" w:sz="8" w:space="0" w:color="auto"/>
            </w:tcBorders>
            <w:vAlign w:val="bottom"/>
          </w:tcPr>
          <w:p w14:paraId="281A00F3" w14:textId="0F716B31" w:rsidR="0014267D" w:rsidRPr="0014267D" w:rsidRDefault="0014267D" w:rsidP="00563A54">
            <w:pPr>
              <w:pStyle w:val="ListParagraph"/>
              <w:numPr>
                <w:ilvl w:val="2"/>
                <w:numId w:val="346"/>
              </w:numPr>
              <w:ind w:left="0"/>
              <w:rPr>
                <w:sz w:val="20"/>
                <w:szCs w:val="20"/>
              </w:rPr>
            </w:pPr>
            <w:r w:rsidRPr="0014267D">
              <w:rPr>
                <w:rFonts w:eastAsia="Times New Roman"/>
              </w:rPr>
              <w:t>Gross alpha particle activity</w:t>
            </w:r>
          </w:p>
        </w:tc>
        <w:tc>
          <w:tcPr>
            <w:tcW w:w="1890" w:type="dxa"/>
            <w:tcBorders>
              <w:bottom w:val="single" w:sz="8" w:space="0" w:color="auto"/>
              <w:right w:val="single" w:sz="8" w:space="0" w:color="auto"/>
            </w:tcBorders>
            <w:vAlign w:val="center"/>
          </w:tcPr>
          <w:p w14:paraId="281A00F4" w14:textId="77777777" w:rsidR="0014267D" w:rsidRDefault="0014267D" w:rsidP="0014267D">
            <w:pPr>
              <w:jc w:val="center"/>
              <w:rPr>
                <w:sz w:val="20"/>
                <w:szCs w:val="20"/>
              </w:rPr>
            </w:pPr>
            <w:r>
              <w:rPr>
                <w:rFonts w:eastAsia="Times New Roman"/>
              </w:rPr>
              <w:t>3, 4</w:t>
            </w:r>
          </w:p>
        </w:tc>
        <w:tc>
          <w:tcPr>
            <w:tcW w:w="2070" w:type="dxa"/>
            <w:tcBorders>
              <w:bottom w:val="single" w:sz="8" w:space="0" w:color="auto"/>
              <w:right w:val="single" w:sz="8" w:space="0" w:color="auto"/>
            </w:tcBorders>
            <w:vAlign w:val="center"/>
          </w:tcPr>
          <w:p w14:paraId="281A00F5" w14:textId="77777777" w:rsidR="0014267D" w:rsidRDefault="0014267D" w:rsidP="0014267D">
            <w:pPr>
              <w:jc w:val="center"/>
              <w:rPr>
                <w:sz w:val="20"/>
                <w:szCs w:val="20"/>
              </w:rPr>
            </w:pPr>
            <w:r>
              <w:rPr>
                <w:rFonts w:eastAsia="Times New Roman"/>
              </w:rPr>
              <w:t>3, 4</w:t>
            </w:r>
          </w:p>
        </w:tc>
        <w:tc>
          <w:tcPr>
            <w:tcW w:w="1921" w:type="dxa"/>
            <w:tcBorders>
              <w:bottom w:val="single" w:sz="8" w:space="0" w:color="auto"/>
            </w:tcBorders>
            <w:vAlign w:val="center"/>
          </w:tcPr>
          <w:p w14:paraId="281A00F6" w14:textId="77777777" w:rsidR="0014267D" w:rsidRDefault="0014267D" w:rsidP="0014267D">
            <w:pPr>
              <w:jc w:val="center"/>
              <w:rPr>
                <w:sz w:val="20"/>
                <w:szCs w:val="20"/>
              </w:rPr>
            </w:pPr>
            <w:r>
              <w:rPr>
                <w:rFonts w:eastAsia="Times New Roman"/>
              </w:rPr>
              <w:t>3, 4</w:t>
            </w:r>
          </w:p>
        </w:tc>
      </w:tr>
      <w:tr w:rsidR="00DE7978" w14:paraId="281A00FD" w14:textId="77777777" w:rsidTr="00DE7978">
        <w:trPr>
          <w:trHeight w:val="274"/>
        </w:trPr>
        <w:tc>
          <w:tcPr>
            <w:tcW w:w="4319" w:type="dxa"/>
            <w:tcBorders>
              <w:top w:val="single" w:sz="8" w:space="0" w:color="auto"/>
              <w:bottom w:val="single" w:sz="8" w:space="0" w:color="auto"/>
              <w:right w:val="single" w:sz="8" w:space="0" w:color="auto"/>
            </w:tcBorders>
            <w:vAlign w:val="bottom"/>
          </w:tcPr>
          <w:p w14:paraId="281A00F9" w14:textId="7D00A925" w:rsidR="00DE7978" w:rsidRPr="0014267D" w:rsidRDefault="00DE7978" w:rsidP="00563A54">
            <w:pPr>
              <w:pStyle w:val="ListParagraph"/>
              <w:numPr>
                <w:ilvl w:val="2"/>
                <w:numId w:val="346"/>
              </w:numPr>
              <w:ind w:left="0"/>
              <w:rPr>
                <w:sz w:val="20"/>
                <w:szCs w:val="20"/>
              </w:rPr>
            </w:pPr>
            <w:r w:rsidRPr="0014267D">
              <w:rPr>
                <w:rFonts w:eastAsia="Times New Roman"/>
              </w:rPr>
              <w:t>Beta particle activity and photon</w:t>
            </w:r>
            <w:r>
              <w:rPr>
                <w:rFonts w:eastAsia="Times New Roman"/>
              </w:rPr>
              <w:t xml:space="preserve"> activity</w:t>
            </w:r>
          </w:p>
        </w:tc>
        <w:tc>
          <w:tcPr>
            <w:tcW w:w="1890" w:type="dxa"/>
            <w:tcBorders>
              <w:top w:val="single" w:sz="8" w:space="0" w:color="auto"/>
              <w:bottom w:val="single" w:sz="8" w:space="0" w:color="auto"/>
              <w:right w:val="single" w:sz="8" w:space="0" w:color="auto"/>
            </w:tcBorders>
            <w:vAlign w:val="center"/>
          </w:tcPr>
          <w:p w14:paraId="281A00FA" w14:textId="77777777" w:rsidR="00DE7978" w:rsidRDefault="00DE7978" w:rsidP="0014267D">
            <w:pPr>
              <w:jc w:val="center"/>
              <w:rPr>
                <w:sz w:val="20"/>
                <w:szCs w:val="20"/>
              </w:rPr>
            </w:pPr>
            <w:r>
              <w:rPr>
                <w:rFonts w:eastAsia="Times New Roman"/>
              </w:rPr>
              <w:t>1, 2, 3, 4</w:t>
            </w:r>
          </w:p>
        </w:tc>
        <w:tc>
          <w:tcPr>
            <w:tcW w:w="2070" w:type="dxa"/>
            <w:tcBorders>
              <w:top w:val="single" w:sz="8" w:space="0" w:color="auto"/>
              <w:bottom w:val="single" w:sz="8" w:space="0" w:color="auto"/>
              <w:right w:val="single" w:sz="8" w:space="0" w:color="auto"/>
            </w:tcBorders>
            <w:vAlign w:val="center"/>
          </w:tcPr>
          <w:p w14:paraId="281A00FB" w14:textId="77777777" w:rsidR="00DE7978" w:rsidRDefault="00DE7978" w:rsidP="0014267D">
            <w:pPr>
              <w:jc w:val="center"/>
              <w:rPr>
                <w:sz w:val="20"/>
                <w:szCs w:val="20"/>
              </w:rPr>
            </w:pPr>
            <w:r>
              <w:rPr>
                <w:rFonts w:eastAsia="Times New Roman"/>
              </w:rPr>
              <w:t>1, 2, 3, 4</w:t>
            </w:r>
          </w:p>
        </w:tc>
        <w:tc>
          <w:tcPr>
            <w:tcW w:w="1921" w:type="dxa"/>
            <w:tcBorders>
              <w:top w:val="single" w:sz="8" w:space="0" w:color="auto"/>
              <w:bottom w:val="single" w:sz="8" w:space="0" w:color="auto"/>
            </w:tcBorders>
            <w:vAlign w:val="center"/>
          </w:tcPr>
          <w:p w14:paraId="281A00FC" w14:textId="77777777" w:rsidR="00DE7978" w:rsidRDefault="00DE7978" w:rsidP="0014267D">
            <w:pPr>
              <w:jc w:val="center"/>
              <w:rPr>
                <w:sz w:val="20"/>
                <w:szCs w:val="20"/>
              </w:rPr>
            </w:pPr>
            <w:r>
              <w:rPr>
                <w:rFonts w:eastAsia="Times New Roman"/>
              </w:rPr>
              <w:t>1, 2, 3, 4</w:t>
            </w:r>
          </w:p>
        </w:tc>
      </w:tr>
      <w:tr w:rsidR="0014267D" w14:paraId="281A0108" w14:textId="77777777" w:rsidTr="00DE7978">
        <w:trPr>
          <w:trHeight w:val="278"/>
        </w:trPr>
        <w:tc>
          <w:tcPr>
            <w:tcW w:w="4319" w:type="dxa"/>
            <w:tcBorders>
              <w:top w:val="single" w:sz="8" w:space="0" w:color="auto"/>
              <w:bottom w:val="single" w:sz="8" w:space="0" w:color="auto"/>
              <w:right w:val="single" w:sz="8" w:space="0" w:color="auto"/>
            </w:tcBorders>
            <w:vAlign w:val="bottom"/>
          </w:tcPr>
          <w:p w14:paraId="281A0104" w14:textId="263D1A26" w:rsidR="0014267D" w:rsidRPr="00DE7978" w:rsidRDefault="0014267D" w:rsidP="00563A54">
            <w:pPr>
              <w:pStyle w:val="ListParagraph"/>
              <w:numPr>
                <w:ilvl w:val="2"/>
                <w:numId w:val="346"/>
              </w:numPr>
              <w:ind w:left="0"/>
              <w:rPr>
                <w:sz w:val="20"/>
                <w:szCs w:val="20"/>
              </w:rPr>
            </w:pPr>
            <w:r w:rsidRPr="00DE7978">
              <w:rPr>
                <w:rFonts w:eastAsia="Times New Roman"/>
              </w:rPr>
              <w:t>Uranium</w:t>
            </w:r>
          </w:p>
        </w:tc>
        <w:tc>
          <w:tcPr>
            <w:tcW w:w="1890" w:type="dxa"/>
            <w:tcBorders>
              <w:top w:val="single" w:sz="8" w:space="0" w:color="auto"/>
              <w:bottom w:val="single" w:sz="8" w:space="0" w:color="auto"/>
              <w:right w:val="single" w:sz="8" w:space="0" w:color="auto"/>
            </w:tcBorders>
            <w:vAlign w:val="center"/>
          </w:tcPr>
          <w:p w14:paraId="281A0105" w14:textId="77777777" w:rsidR="0014267D" w:rsidRDefault="0014267D" w:rsidP="00DE7978">
            <w:pPr>
              <w:jc w:val="center"/>
              <w:rPr>
                <w:sz w:val="20"/>
                <w:szCs w:val="20"/>
              </w:rPr>
            </w:pPr>
            <w:r>
              <w:rPr>
                <w:rFonts w:eastAsia="Times New Roman"/>
              </w:rPr>
              <w:t>1, 2, 4, 10, 11</w:t>
            </w:r>
          </w:p>
        </w:tc>
        <w:tc>
          <w:tcPr>
            <w:tcW w:w="2070" w:type="dxa"/>
            <w:tcBorders>
              <w:top w:val="single" w:sz="8" w:space="0" w:color="auto"/>
              <w:bottom w:val="single" w:sz="8" w:space="0" w:color="auto"/>
              <w:right w:val="single" w:sz="8" w:space="0" w:color="auto"/>
            </w:tcBorders>
            <w:vAlign w:val="center"/>
          </w:tcPr>
          <w:p w14:paraId="281A0106" w14:textId="77777777" w:rsidR="0014267D" w:rsidRDefault="0014267D" w:rsidP="00DE7978">
            <w:pPr>
              <w:jc w:val="center"/>
              <w:rPr>
                <w:sz w:val="20"/>
                <w:szCs w:val="20"/>
              </w:rPr>
            </w:pPr>
            <w:r>
              <w:rPr>
                <w:rFonts w:eastAsia="Times New Roman"/>
              </w:rPr>
              <w:t>1, 2, 3, 4, 5, 10, 11</w:t>
            </w:r>
          </w:p>
        </w:tc>
        <w:tc>
          <w:tcPr>
            <w:tcW w:w="1921" w:type="dxa"/>
            <w:tcBorders>
              <w:top w:val="single" w:sz="8" w:space="0" w:color="auto"/>
              <w:bottom w:val="single" w:sz="8" w:space="0" w:color="auto"/>
            </w:tcBorders>
            <w:vAlign w:val="center"/>
          </w:tcPr>
          <w:p w14:paraId="281A0107" w14:textId="77777777" w:rsidR="0014267D" w:rsidRDefault="0014267D" w:rsidP="00DE7978">
            <w:pPr>
              <w:jc w:val="center"/>
              <w:rPr>
                <w:sz w:val="20"/>
                <w:szCs w:val="20"/>
              </w:rPr>
            </w:pPr>
            <w:r>
              <w:rPr>
                <w:rFonts w:eastAsia="Times New Roman"/>
              </w:rPr>
              <w:t>1, 2, 3, 4, 5, 10, 11</w:t>
            </w:r>
          </w:p>
        </w:tc>
      </w:tr>
    </w:tbl>
    <w:p w14:paraId="281A0109" w14:textId="77777777" w:rsidR="004647B9" w:rsidRDefault="004647B9" w:rsidP="002C2DAB">
      <w:pPr>
        <w:rPr>
          <w:sz w:val="20"/>
          <w:szCs w:val="20"/>
        </w:rPr>
      </w:pPr>
    </w:p>
    <w:p w14:paraId="281A010A" w14:textId="77777777" w:rsidR="004647B9" w:rsidRDefault="00E2436F" w:rsidP="002C2DAB">
      <w:pPr>
        <w:ind w:left="1"/>
        <w:rPr>
          <w:sz w:val="20"/>
          <w:szCs w:val="20"/>
        </w:rPr>
      </w:pPr>
      <w:r>
        <w:rPr>
          <w:rFonts w:eastAsia="Times New Roman"/>
          <w:sz w:val="24"/>
          <w:szCs w:val="24"/>
          <w:u w:val="single"/>
        </w:rPr>
        <w:t>Note</w:t>
      </w:r>
      <w:r>
        <w:rPr>
          <w:rFonts w:eastAsia="Times New Roman"/>
          <w:sz w:val="24"/>
          <w:szCs w:val="24"/>
        </w:rPr>
        <w:t>:</w:t>
      </w:r>
    </w:p>
    <w:p w14:paraId="281A010B" w14:textId="77777777" w:rsidR="004647B9" w:rsidRDefault="00E2436F" w:rsidP="002C2DAB">
      <w:pPr>
        <w:numPr>
          <w:ilvl w:val="0"/>
          <w:numId w:val="404"/>
        </w:numPr>
        <w:tabs>
          <w:tab w:val="left" w:pos="481"/>
        </w:tabs>
        <w:ind w:left="481" w:hanging="480"/>
        <w:rPr>
          <w:rFonts w:eastAsia="Times New Roman"/>
          <w:sz w:val="28"/>
          <w:szCs w:val="28"/>
          <w:vertAlign w:val="superscript"/>
        </w:rPr>
      </w:pPr>
      <w:r>
        <w:rPr>
          <w:rFonts w:eastAsia="Times New Roman"/>
          <w:sz w:val="24"/>
          <w:szCs w:val="24"/>
        </w:rPr>
        <w:t xml:space="preserve">Numbers correspond to those technologies found listed in 310 CMR 22.09A(1): </w:t>
      </w:r>
      <w:r>
        <w:rPr>
          <w:rFonts w:eastAsia="Times New Roman"/>
          <w:i/>
          <w:iCs/>
          <w:sz w:val="24"/>
          <w:szCs w:val="24"/>
        </w:rPr>
        <w:t>Table D</w:t>
      </w:r>
      <w:r>
        <w:rPr>
          <w:rFonts w:eastAsia="Times New Roman"/>
          <w:sz w:val="24"/>
          <w:szCs w:val="24"/>
        </w:rPr>
        <w:t>.</w:t>
      </w:r>
    </w:p>
    <w:p w14:paraId="281A010C" w14:textId="77777777" w:rsidR="004647B9" w:rsidRPr="002C2DAB" w:rsidRDefault="004647B9" w:rsidP="002C2DAB">
      <w:pPr>
        <w:rPr>
          <w:rFonts w:eastAsia="Times New Roman"/>
          <w:sz w:val="24"/>
          <w:szCs w:val="24"/>
        </w:rPr>
      </w:pPr>
    </w:p>
    <w:p w14:paraId="281A010D" w14:textId="77777777" w:rsidR="004647B9" w:rsidRDefault="00E2436F" w:rsidP="002C2DAB">
      <w:pPr>
        <w:numPr>
          <w:ilvl w:val="1"/>
          <w:numId w:val="404"/>
        </w:numPr>
        <w:tabs>
          <w:tab w:val="left" w:pos="1698"/>
        </w:tabs>
        <w:ind w:left="1201"/>
        <w:rPr>
          <w:rFonts w:eastAsia="Times New Roman"/>
          <w:sz w:val="24"/>
          <w:szCs w:val="24"/>
        </w:rPr>
      </w:pPr>
      <w:r>
        <w:rPr>
          <w:rFonts w:eastAsia="Times New Roman"/>
          <w:sz w:val="24"/>
          <w:szCs w:val="24"/>
          <w:u w:val="single"/>
        </w:rPr>
        <w:t>Monitoring Frequency and Compliance Requirements for Radionuclides in Community Water Supplies</w:t>
      </w:r>
      <w:r>
        <w:rPr>
          <w:rFonts w:eastAsia="Times New Roman"/>
          <w:sz w:val="24"/>
          <w:szCs w:val="24"/>
        </w:rPr>
        <w:t>.</w:t>
      </w:r>
    </w:p>
    <w:p w14:paraId="281A010F" w14:textId="77777777" w:rsidR="004647B9" w:rsidRDefault="00E2436F" w:rsidP="002C2DAB">
      <w:pPr>
        <w:numPr>
          <w:ilvl w:val="2"/>
          <w:numId w:val="404"/>
        </w:numPr>
        <w:tabs>
          <w:tab w:val="left" w:pos="1940"/>
        </w:tabs>
        <w:ind w:left="1561" w:hanging="5"/>
        <w:rPr>
          <w:rFonts w:eastAsia="Times New Roman"/>
          <w:sz w:val="24"/>
          <w:szCs w:val="24"/>
        </w:rPr>
      </w:pPr>
      <w:r>
        <w:rPr>
          <w:rFonts w:eastAsia="Times New Roman"/>
          <w:sz w:val="24"/>
          <w:szCs w:val="24"/>
        </w:rPr>
        <w:t>Monitoring Frequency and Compliance Requirements for Gross Alpha Particle Activity, Radium-226, Radium-228, and Uranium.</w:t>
      </w:r>
    </w:p>
    <w:p w14:paraId="281A0110" w14:textId="77777777" w:rsidR="004647B9" w:rsidRDefault="00E2436F" w:rsidP="002C2DAB">
      <w:pPr>
        <w:numPr>
          <w:ilvl w:val="3"/>
          <w:numId w:val="404"/>
        </w:numPr>
        <w:tabs>
          <w:tab w:val="left" w:pos="2245"/>
        </w:tabs>
        <w:ind w:left="1921" w:hanging="5"/>
        <w:jc w:val="both"/>
        <w:rPr>
          <w:rFonts w:eastAsia="Times New Roman"/>
          <w:sz w:val="24"/>
          <w:szCs w:val="24"/>
        </w:rPr>
      </w:pPr>
      <w:r>
        <w:rPr>
          <w:rFonts w:eastAsia="Times New Roman"/>
          <w:sz w:val="24"/>
          <w:szCs w:val="24"/>
        </w:rPr>
        <w:t>Community water systems must conduct initial monitoring to determine compliance with the maximum contaminant levels listed in 310 CMR 22.09A by December 31, 2007. For the purposes of monitoring for gross alpha particle activity, radium-226, radium-228, uranium, and beta particle and photon radioactivity in drinking water, “detection limit” is defined as in 310 CMR 22.09A(5)(b).</w:t>
      </w:r>
    </w:p>
    <w:p w14:paraId="281A0112" w14:textId="77777777" w:rsidR="004647B9" w:rsidRDefault="00E2436F" w:rsidP="002C2DAB">
      <w:pPr>
        <w:ind w:left="2281"/>
        <w:jc w:val="both"/>
        <w:rPr>
          <w:rFonts w:eastAsia="Times New Roman"/>
          <w:sz w:val="24"/>
          <w:szCs w:val="24"/>
        </w:rPr>
      </w:pPr>
      <w:r>
        <w:rPr>
          <w:rFonts w:eastAsia="Times New Roman"/>
          <w:sz w:val="24"/>
          <w:szCs w:val="24"/>
        </w:rPr>
        <w:t>a. Applicability and sampling location for existing community water systems or sources. All existing community water systems using ground water, surface water or systems using both ground and surface water (for the purpose of 310 CMR 22.09A referred to as systems) must sample at every entry point to the distribution system that is representative of all sources being used (called a sampling point) under normal operating conditions. The system must take each sample at the same sampling point unless conditions make another sampling point more representative of each source or the Department has designated a distribution system location, in accordance with 310 CMR 22.09A(2)(b)2.</w:t>
      </w:r>
    </w:p>
    <w:p w14:paraId="281A0113" w14:textId="77777777" w:rsidR="004647B9" w:rsidRDefault="004647B9" w:rsidP="002C2DAB">
      <w:pPr>
        <w:sectPr w:rsidR="004647B9" w:rsidSect="00EF630C">
          <w:pgSz w:w="12240" w:h="20180"/>
          <w:pgMar w:top="708" w:right="1440" w:bottom="1440" w:left="599" w:header="0" w:footer="0" w:gutter="0"/>
          <w:cols w:space="720"/>
        </w:sectPr>
      </w:pPr>
    </w:p>
    <w:p w14:paraId="281A0114" w14:textId="77777777" w:rsidR="004647B9" w:rsidRDefault="00E2436F">
      <w:pPr>
        <w:tabs>
          <w:tab w:val="left" w:pos="160"/>
        </w:tabs>
        <w:jc w:val="center"/>
        <w:rPr>
          <w:sz w:val="20"/>
          <w:szCs w:val="20"/>
        </w:rPr>
      </w:pPr>
      <w:bookmarkStart w:id="151" w:name="page153"/>
      <w:bookmarkEnd w:id="15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115" w14:textId="77777777" w:rsidR="004647B9" w:rsidRDefault="004647B9" w:rsidP="004D501E">
      <w:pPr>
        <w:rPr>
          <w:sz w:val="20"/>
          <w:szCs w:val="20"/>
        </w:rPr>
      </w:pPr>
    </w:p>
    <w:p w14:paraId="281A0116" w14:textId="77777777" w:rsidR="004647B9" w:rsidRDefault="004647B9" w:rsidP="004D501E">
      <w:pPr>
        <w:rPr>
          <w:sz w:val="20"/>
          <w:szCs w:val="20"/>
        </w:rPr>
      </w:pPr>
    </w:p>
    <w:p w14:paraId="281A0117" w14:textId="77777777" w:rsidR="004647B9" w:rsidRPr="00F23AD0" w:rsidRDefault="00E2436F" w:rsidP="004D501E">
      <w:pPr>
        <w:tabs>
          <w:tab w:val="left" w:pos="940"/>
        </w:tabs>
        <w:rPr>
          <w:sz w:val="24"/>
          <w:szCs w:val="24"/>
        </w:rPr>
      </w:pPr>
      <w:r w:rsidRPr="00F23AD0">
        <w:rPr>
          <w:rFonts w:eastAsia="Times New Roman"/>
          <w:sz w:val="24"/>
          <w:szCs w:val="24"/>
        </w:rPr>
        <w:t>22.09A:</w:t>
      </w:r>
      <w:r w:rsidRPr="00F23AD0">
        <w:rPr>
          <w:sz w:val="24"/>
          <w:szCs w:val="24"/>
        </w:rPr>
        <w:tab/>
      </w:r>
      <w:r w:rsidRPr="00F23AD0">
        <w:rPr>
          <w:rFonts w:eastAsia="Times New Roman"/>
          <w:sz w:val="24"/>
          <w:szCs w:val="24"/>
        </w:rPr>
        <w:t>continued</w:t>
      </w:r>
    </w:p>
    <w:p w14:paraId="281A0118" w14:textId="77777777" w:rsidR="004647B9" w:rsidRDefault="004647B9" w:rsidP="004D501E">
      <w:pPr>
        <w:rPr>
          <w:sz w:val="20"/>
          <w:szCs w:val="20"/>
        </w:rPr>
      </w:pPr>
    </w:p>
    <w:p w14:paraId="281A0119" w14:textId="77777777" w:rsidR="004647B9" w:rsidRPr="00432623" w:rsidRDefault="00E2436F" w:rsidP="004D501E">
      <w:pPr>
        <w:numPr>
          <w:ilvl w:val="2"/>
          <w:numId w:val="405"/>
        </w:numPr>
        <w:tabs>
          <w:tab w:val="left" w:pos="2772"/>
        </w:tabs>
        <w:ind w:left="2280" w:hanging="5"/>
        <w:jc w:val="both"/>
        <w:rPr>
          <w:rFonts w:eastAsia="Times New Roman"/>
          <w:sz w:val="24"/>
          <w:szCs w:val="24"/>
        </w:rPr>
      </w:pPr>
      <w:r w:rsidRPr="00432623">
        <w:rPr>
          <w:rFonts w:eastAsia="Times New Roman"/>
          <w:sz w:val="24"/>
          <w:szCs w:val="24"/>
        </w:rPr>
        <w:t>Applicability and sampling location for new community water systems or sources. All new community water systems or community water systems that use a new source of water must begin to conduct initial monitoring for the new source within the first quarter after initiating use of the source. Community water systems must conduct more frequent monitoring when ordered by the Department in the event of possible contamination or when changes in the distribution system or treatment processes occur which may increase the concentration of radioactivity in finished water.</w:t>
      </w:r>
    </w:p>
    <w:p w14:paraId="281A011B" w14:textId="77777777" w:rsidR="004647B9" w:rsidRPr="00432623" w:rsidRDefault="00E2436F" w:rsidP="004D501E">
      <w:pPr>
        <w:numPr>
          <w:ilvl w:val="0"/>
          <w:numId w:val="406"/>
        </w:numPr>
        <w:tabs>
          <w:tab w:val="left" w:pos="2064"/>
        </w:tabs>
        <w:ind w:left="1560" w:hanging="5"/>
        <w:rPr>
          <w:rFonts w:eastAsia="Times New Roman"/>
          <w:sz w:val="24"/>
          <w:szCs w:val="24"/>
        </w:rPr>
      </w:pPr>
      <w:r w:rsidRPr="00432623">
        <w:rPr>
          <w:rFonts w:eastAsia="Times New Roman"/>
          <w:sz w:val="24"/>
          <w:szCs w:val="24"/>
          <w:u w:val="single"/>
        </w:rPr>
        <w:t>Initial Monitoring</w:t>
      </w:r>
      <w:r w:rsidRPr="00432623">
        <w:rPr>
          <w:rFonts w:eastAsia="Times New Roman"/>
          <w:sz w:val="24"/>
          <w:szCs w:val="24"/>
        </w:rPr>
        <w:t>. The supplier of water must conduct initial monitoring for gross alpha particle activity, radium-226, radium-228, and uranium as follows:</w:t>
      </w:r>
    </w:p>
    <w:p w14:paraId="281A011C" w14:textId="77777777" w:rsidR="004647B9" w:rsidRPr="00432623" w:rsidRDefault="00E2436F" w:rsidP="004D501E">
      <w:pPr>
        <w:numPr>
          <w:ilvl w:val="1"/>
          <w:numId w:val="406"/>
        </w:numPr>
        <w:tabs>
          <w:tab w:val="left" w:pos="2278"/>
        </w:tabs>
        <w:ind w:left="1920" w:hanging="5"/>
        <w:jc w:val="both"/>
        <w:rPr>
          <w:rFonts w:eastAsia="Times New Roman"/>
          <w:sz w:val="24"/>
          <w:szCs w:val="24"/>
        </w:rPr>
      </w:pPr>
      <w:r w:rsidRPr="00432623">
        <w:rPr>
          <w:rFonts w:eastAsia="Times New Roman"/>
          <w:sz w:val="24"/>
          <w:szCs w:val="24"/>
        </w:rPr>
        <w:t>Systems without acceptable historical data, as defined in 310 CMR 22.09A(2)(b)1. through 4., must collect four consecutive quarterly samples at all sampling points before December 31, 2007.</w:t>
      </w:r>
    </w:p>
    <w:p w14:paraId="281A011E" w14:textId="3F8ED96E" w:rsidR="004647B9" w:rsidRPr="00432623" w:rsidRDefault="00AE33A9" w:rsidP="004D501E">
      <w:pPr>
        <w:numPr>
          <w:ilvl w:val="1"/>
          <w:numId w:val="406"/>
        </w:numPr>
        <w:tabs>
          <w:tab w:val="left" w:pos="2359"/>
        </w:tabs>
        <w:ind w:left="1920" w:hanging="5"/>
        <w:jc w:val="both"/>
        <w:rPr>
          <w:rFonts w:eastAsia="Times New Roman"/>
          <w:sz w:val="24"/>
          <w:szCs w:val="24"/>
        </w:rPr>
      </w:pPr>
      <w:r>
        <w:rPr>
          <w:rFonts w:eastAsia="Times New Roman"/>
          <w:sz w:val="24"/>
          <w:szCs w:val="24"/>
          <w:u w:val="single"/>
        </w:rPr>
        <w:t>Previously Collected</w:t>
      </w:r>
      <w:r w:rsidR="00E2436F" w:rsidRPr="00432623">
        <w:rPr>
          <w:rFonts w:eastAsia="Times New Roman"/>
          <w:sz w:val="24"/>
          <w:szCs w:val="24"/>
          <w:u w:val="single"/>
        </w:rPr>
        <w:t xml:space="preserve"> Data</w:t>
      </w:r>
      <w:r w:rsidR="00E2436F" w:rsidRPr="00432623">
        <w:rPr>
          <w:rFonts w:eastAsia="Times New Roman"/>
          <w:sz w:val="24"/>
          <w:szCs w:val="24"/>
        </w:rPr>
        <w:t>. The Department may allow historical monitoring data collected at a sampling point to satisfy the initial monitoring requirements for that sampling point, for the following situations.</w:t>
      </w:r>
    </w:p>
    <w:p w14:paraId="281A0120" w14:textId="77777777" w:rsidR="004647B9" w:rsidRPr="00432623" w:rsidRDefault="00E2436F" w:rsidP="004D501E">
      <w:pPr>
        <w:numPr>
          <w:ilvl w:val="2"/>
          <w:numId w:val="406"/>
        </w:numPr>
        <w:tabs>
          <w:tab w:val="left" w:pos="2555"/>
        </w:tabs>
        <w:ind w:left="2280" w:hanging="5"/>
        <w:jc w:val="both"/>
        <w:rPr>
          <w:rFonts w:eastAsia="Times New Roman"/>
          <w:sz w:val="24"/>
          <w:szCs w:val="24"/>
        </w:rPr>
      </w:pPr>
      <w:r w:rsidRPr="00432623">
        <w:rPr>
          <w:rFonts w:eastAsia="Times New Roman"/>
          <w:sz w:val="24"/>
          <w:szCs w:val="24"/>
        </w:rPr>
        <w:t>To satisfy initial monitoring requirements, a community water system having only one entry point to the distribution system may use the monitoring data from the last compliance monitoring period that began between June 2000 and December 8, 2003.</w:t>
      </w:r>
    </w:p>
    <w:p w14:paraId="281A0121" w14:textId="77777777" w:rsidR="004647B9" w:rsidRPr="00432623" w:rsidRDefault="00E2436F" w:rsidP="004D501E">
      <w:pPr>
        <w:numPr>
          <w:ilvl w:val="2"/>
          <w:numId w:val="406"/>
        </w:numPr>
        <w:tabs>
          <w:tab w:val="left" w:pos="2734"/>
        </w:tabs>
        <w:ind w:left="2280" w:hanging="5"/>
        <w:jc w:val="both"/>
        <w:rPr>
          <w:rFonts w:eastAsia="Times New Roman"/>
          <w:sz w:val="24"/>
          <w:szCs w:val="24"/>
        </w:rPr>
      </w:pPr>
      <w:r w:rsidRPr="00432623">
        <w:rPr>
          <w:rFonts w:eastAsia="Times New Roman"/>
          <w:sz w:val="24"/>
          <w:szCs w:val="24"/>
        </w:rPr>
        <w:t>To satisfy initial monitoring requirements, a community water system with multiple entry points and having appropriate historical monitoring data for each entry point to the distribution system may use the monitoring data from the last compliance monitoring period that began between June 2000 and December 8, 2003.</w:t>
      </w:r>
    </w:p>
    <w:p w14:paraId="281A0123" w14:textId="77777777" w:rsidR="004647B9" w:rsidRPr="00432623" w:rsidRDefault="00E2436F" w:rsidP="004D501E">
      <w:pPr>
        <w:numPr>
          <w:ilvl w:val="2"/>
          <w:numId w:val="406"/>
        </w:numPr>
        <w:tabs>
          <w:tab w:val="left" w:pos="2728"/>
        </w:tabs>
        <w:ind w:left="2280" w:hanging="5"/>
        <w:jc w:val="both"/>
        <w:rPr>
          <w:rFonts w:eastAsia="Times New Roman"/>
          <w:sz w:val="24"/>
          <w:szCs w:val="24"/>
        </w:rPr>
      </w:pPr>
      <w:r w:rsidRPr="00432623">
        <w:rPr>
          <w:rFonts w:eastAsia="Times New Roman"/>
          <w:sz w:val="24"/>
          <w:szCs w:val="24"/>
        </w:rPr>
        <w:t>To satisfy initial monitoring requirements, a community water system with appropriate historical data for a representative point in the distribution system may use the monitoring data from the last compliance monitoring period that began between June 2000 and December 8, 2003, provided that the Department finds that the historical data satisfactorily demonstrate that each entry point to the distribution system is expected to be in compliance based upon the historical data and reasonable assumptions about the variability of contaminant levels between entry points. The Department must make a written finding indicating how the data conforms to these requirements.</w:t>
      </w:r>
    </w:p>
    <w:p w14:paraId="281A0124" w14:textId="77777777" w:rsidR="004647B9" w:rsidRPr="00432623" w:rsidRDefault="00E2436F" w:rsidP="004D501E">
      <w:pPr>
        <w:numPr>
          <w:ilvl w:val="1"/>
          <w:numId w:val="406"/>
        </w:numPr>
        <w:tabs>
          <w:tab w:val="left" w:pos="2258"/>
        </w:tabs>
        <w:ind w:left="1920" w:hanging="5"/>
        <w:jc w:val="both"/>
        <w:rPr>
          <w:rFonts w:eastAsia="Times New Roman"/>
          <w:sz w:val="24"/>
          <w:szCs w:val="24"/>
        </w:rPr>
      </w:pPr>
      <w:r w:rsidRPr="00432623">
        <w:rPr>
          <w:rFonts w:eastAsia="Times New Roman"/>
          <w:sz w:val="24"/>
          <w:szCs w:val="24"/>
        </w:rPr>
        <w:t>For gross alpha particle activity, uranium, radium-226, and radium-228 monitoring, the Department may waive the final two quarters of initial monitoring for a sampling point if the results of the samples from the previous two quarters are below the detection limit.</w:t>
      </w:r>
    </w:p>
    <w:p w14:paraId="281A0125" w14:textId="77777777" w:rsidR="004647B9" w:rsidRPr="00432623" w:rsidRDefault="00E2436F" w:rsidP="004D501E">
      <w:pPr>
        <w:numPr>
          <w:ilvl w:val="1"/>
          <w:numId w:val="406"/>
        </w:numPr>
        <w:tabs>
          <w:tab w:val="left" w:pos="2237"/>
        </w:tabs>
        <w:ind w:left="1920" w:hanging="5"/>
        <w:jc w:val="both"/>
        <w:rPr>
          <w:rFonts w:eastAsia="Times New Roman"/>
          <w:sz w:val="24"/>
          <w:szCs w:val="24"/>
        </w:rPr>
      </w:pPr>
      <w:r w:rsidRPr="00432623">
        <w:rPr>
          <w:rFonts w:eastAsia="Times New Roman"/>
          <w:sz w:val="24"/>
          <w:szCs w:val="24"/>
        </w:rPr>
        <w:t>If the average of the initial monitoring results for a sampling point is above the MCL, the supplier of water must collect and analyze quarterly samples at that sampling point until the system has results from four consecutive quarters that are at or below the MCL, unless the system enters into another schedule as part of a formal compliance agreement with the Department.</w:t>
      </w:r>
    </w:p>
    <w:p w14:paraId="281A0127" w14:textId="77777777" w:rsidR="004647B9" w:rsidRPr="00432623" w:rsidRDefault="00E2436F" w:rsidP="004D501E">
      <w:pPr>
        <w:numPr>
          <w:ilvl w:val="0"/>
          <w:numId w:val="406"/>
        </w:numPr>
        <w:tabs>
          <w:tab w:val="left" w:pos="1985"/>
        </w:tabs>
        <w:ind w:left="1560" w:hanging="5"/>
        <w:jc w:val="both"/>
        <w:rPr>
          <w:rFonts w:eastAsia="Times New Roman"/>
          <w:sz w:val="24"/>
          <w:szCs w:val="24"/>
        </w:rPr>
      </w:pPr>
      <w:r w:rsidRPr="00432623">
        <w:rPr>
          <w:rFonts w:eastAsia="Times New Roman"/>
          <w:sz w:val="24"/>
          <w:szCs w:val="24"/>
          <w:u w:val="single"/>
        </w:rPr>
        <w:t>Reduced Monitoring</w:t>
      </w:r>
      <w:r w:rsidRPr="00432623">
        <w:rPr>
          <w:rFonts w:eastAsia="Times New Roman"/>
          <w:sz w:val="24"/>
          <w:szCs w:val="24"/>
        </w:rPr>
        <w:t>. The Department may allow community water systems to reduce the future frequency of monitoring from once every three years to once every six or nine years at each sampling point, based on the following criteria.</w:t>
      </w:r>
    </w:p>
    <w:p w14:paraId="281A0129" w14:textId="77777777" w:rsidR="004647B9" w:rsidRPr="00432623" w:rsidRDefault="00E2436F" w:rsidP="004D501E">
      <w:pPr>
        <w:numPr>
          <w:ilvl w:val="1"/>
          <w:numId w:val="406"/>
        </w:numPr>
        <w:tabs>
          <w:tab w:val="left" w:pos="2266"/>
        </w:tabs>
        <w:ind w:left="1920" w:hanging="5"/>
        <w:jc w:val="both"/>
        <w:rPr>
          <w:rFonts w:eastAsia="Times New Roman"/>
          <w:sz w:val="24"/>
          <w:szCs w:val="24"/>
        </w:rPr>
      </w:pPr>
      <w:r w:rsidRPr="00432623">
        <w:rPr>
          <w:rFonts w:eastAsia="Times New Roman"/>
          <w:sz w:val="24"/>
          <w:szCs w:val="24"/>
        </w:rPr>
        <w:t>If the average of the initial monitoring results for each contaminant (</w:t>
      </w:r>
      <w:r w:rsidRPr="00432623">
        <w:rPr>
          <w:rFonts w:eastAsia="Times New Roman"/>
          <w:i/>
          <w:iCs/>
          <w:sz w:val="24"/>
          <w:szCs w:val="24"/>
        </w:rPr>
        <w:t>i.e</w:t>
      </w:r>
      <w:r w:rsidRPr="00432623">
        <w:rPr>
          <w:rFonts w:eastAsia="Times New Roman"/>
          <w:sz w:val="24"/>
          <w:szCs w:val="24"/>
        </w:rPr>
        <w:t xml:space="preserve">. gross alpha particle activity, uranium, radium-226, or radium-228) is below the detection limit specified in 310 CMR 22.09A: </w:t>
      </w:r>
      <w:r w:rsidRPr="00432623">
        <w:rPr>
          <w:rFonts w:eastAsia="Times New Roman"/>
          <w:i/>
          <w:iCs/>
          <w:sz w:val="24"/>
          <w:szCs w:val="24"/>
        </w:rPr>
        <w:t>Table G</w:t>
      </w:r>
      <w:r w:rsidRPr="00432623">
        <w:rPr>
          <w:rFonts w:eastAsia="Times New Roman"/>
          <w:sz w:val="24"/>
          <w:szCs w:val="24"/>
        </w:rPr>
        <w:t>, the supplier of water must collect and analyze for that contaminant using at least one sample at that sampling point every nine years.</w:t>
      </w:r>
    </w:p>
    <w:p w14:paraId="281A012B" w14:textId="77777777" w:rsidR="004647B9" w:rsidRDefault="00E2436F" w:rsidP="004D501E">
      <w:pPr>
        <w:numPr>
          <w:ilvl w:val="1"/>
          <w:numId w:val="406"/>
        </w:numPr>
        <w:tabs>
          <w:tab w:val="left" w:pos="2251"/>
        </w:tabs>
        <w:ind w:left="1920" w:hanging="5"/>
        <w:jc w:val="both"/>
        <w:rPr>
          <w:rFonts w:eastAsia="Times New Roman"/>
          <w:sz w:val="23"/>
          <w:szCs w:val="23"/>
        </w:rPr>
      </w:pPr>
      <w:r w:rsidRPr="00432623">
        <w:rPr>
          <w:rFonts w:eastAsia="Times New Roman"/>
          <w:sz w:val="24"/>
          <w:szCs w:val="24"/>
        </w:rPr>
        <w:t>For gross alpha particle activity and uranium, if the average of the initial monitoring results for each contaminant is at or above the detection limit but at or below ½ the MCL, the supplier of water must collect and analyze for that contaminant using at least one sample at that sampling point every six years. For combined radium-226 and radium-228, the analytical results must be combined. If the average of the combined initial monitoring results for radium-226 and radium-228 is at or above the detection limit but at or below ½ the MCL, the supplier of water must collect and analyze for that contaminant using at least one sample at that sampling point every six years</w:t>
      </w:r>
      <w:r>
        <w:rPr>
          <w:rFonts w:eastAsia="Times New Roman"/>
          <w:sz w:val="23"/>
          <w:szCs w:val="23"/>
        </w:rPr>
        <w:t>.</w:t>
      </w:r>
    </w:p>
    <w:p w14:paraId="281A012C" w14:textId="77777777" w:rsidR="004647B9" w:rsidRDefault="004647B9" w:rsidP="004D501E">
      <w:pPr>
        <w:sectPr w:rsidR="004647B9" w:rsidSect="00EF630C">
          <w:pgSz w:w="12240" w:h="20180"/>
          <w:pgMar w:top="708" w:right="1440" w:bottom="1440" w:left="600" w:header="0" w:footer="0" w:gutter="0"/>
          <w:cols w:space="720"/>
        </w:sectPr>
      </w:pPr>
    </w:p>
    <w:p w14:paraId="281A012D" w14:textId="77777777" w:rsidR="004647B9" w:rsidRPr="008A3BB6" w:rsidRDefault="00E2436F" w:rsidP="008A3BB6">
      <w:pPr>
        <w:tabs>
          <w:tab w:val="left" w:pos="160"/>
        </w:tabs>
        <w:jc w:val="center"/>
        <w:rPr>
          <w:sz w:val="24"/>
          <w:szCs w:val="24"/>
        </w:rPr>
      </w:pPr>
      <w:bookmarkStart w:id="152" w:name="page154"/>
      <w:bookmarkEnd w:id="152"/>
      <w:r w:rsidRPr="008A3BB6">
        <w:rPr>
          <w:rFonts w:eastAsia="Times New Roman"/>
          <w:sz w:val="24"/>
          <w:szCs w:val="24"/>
        </w:rPr>
        <w:lastRenderedPageBreak/>
        <w:t>310 CMR:</w:t>
      </w:r>
      <w:r w:rsidRPr="008A3BB6">
        <w:rPr>
          <w:sz w:val="24"/>
          <w:szCs w:val="24"/>
        </w:rPr>
        <w:tab/>
      </w:r>
      <w:r w:rsidRPr="008A3BB6">
        <w:rPr>
          <w:rFonts w:eastAsia="Times New Roman"/>
          <w:sz w:val="24"/>
          <w:szCs w:val="24"/>
        </w:rPr>
        <w:t>DEPARTMENT OF ENVIRONMENTAL PROTECTION</w:t>
      </w:r>
    </w:p>
    <w:p w14:paraId="281A012E" w14:textId="77777777" w:rsidR="004647B9" w:rsidRPr="00BE18E6" w:rsidRDefault="004647B9" w:rsidP="00BE18E6">
      <w:pPr>
        <w:rPr>
          <w:sz w:val="20"/>
          <w:szCs w:val="20"/>
        </w:rPr>
      </w:pPr>
    </w:p>
    <w:p w14:paraId="281A012F" w14:textId="77777777" w:rsidR="004647B9" w:rsidRPr="00BE18E6" w:rsidRDefault="004647B9" w:rsidP="00BE18E6">
      <w:pPr>
        <w:rPr>
          <w:sz w:val="20"/>
          <w:szCs w:val="20"/>
        </w:rPr>
      </w:pPr>
    </w:p>
    <w:p w14:paraId="281A0130" w14:textId="77777777" w:rsidR="004647B9" w:rsidRPr="008A3BB6" w:rsidRDefault="00E2436F" w:rsidP="00BE18E6">
      <w:pPr>
        <w:tabs>
          <w:tab w:val="left" w:pos="940"/>
        </w:tabs>
        <w:rPr>
          <w:sz w:val="24"/>
          <w:szCs w:val="24"/>
        </w:rPr>
      </w:pPr>
      <w:r w:rsidRPr="008A3BB6">
        <w:rPr>
          <w:rFonts w:eastAsia="Times New Roman"/>
          <w:sz w:val="24"/>
          <w:szCs w:val="24"/>
        </w:rPr>
        <w:t>22.09A:</w:t>
      </w:r>
      <w:r w:rsidRPr="008A3BB6">
        <w:rPr>
          <w:sz w:val="24"/>
          <w:szCs w:val="24"/>
        </w:rPr>
        <w:tab/>
      </w:r>
      <w:r w:rsidRPr="008A3BB6">
        <w:rPr>
          <w:rFonts w:eastAsia="Times New Roman"/>
          <w:sz w:val="24"/>
          <w:szCs w:val="24"/>
        </w:rPr>
        <w:t>continued</w:t>
      </w:r>
    </w:p>
    <w:p w14:paraId="281A0131" w14:textId="77777777" w:rsidR="004647B9" w:rsidRPr="00BE18E6" w:rsidRDefault="004647B9" w:rsidP="00BE18E6">
      <w:pPr>
        <w:rPr>
          <w:sz w:val="20"/>
          <w:szCs w:val="20"/>
        </w:rPr>
      </w:pPr>
    </w:p>
    <w:p w14:paraId="281A0132" w14:textId="77777777" w:rsidR="004647B9" w:rsidRPr="008A3BB6" w:rsidRDefault="00E2436F" w:rsidP="00BE18E6">
      <w:pPr>
        <w:numPr>
          <w:ilvl w:val="2"/>
          <w:numId w:val="407"/>
        </w:numPr>
        <w:tabs>
          <w:tab w:val="left" w:pos="2258"/>
        </w:tabs>
        <w:ind w:left="1920" w:hanging="5"/>
        <w:jc w:val="both"/>
        <w:rPr>
          <w:rFonts w:eastAsia="Times New Roman"/>
          <w:sz w:val="24"/>
          <w:szCs w:val="24"/>
        </w:rPr>
      </w:pPr>
      <w:r w:rsidRPr="008A3BB6">
        <w:rPr>
          <w:rFonts w:eastAsia="Times New Roman"/>
          <w:sz w:val="24"/>
          <w:szCs w:val="24"/>
        </w:rPr>
        <w:t>For gross alpha particle activity and uranium, if the average of the initial monitoring results for each contaminant is above ½ the MCL but at or below the MCL, the supplier of water must collect and analyze at least one sample at that sampling point every three years. For combined radium-226 and radium-228, the analytical results must be combined. If the average of the combined initial monitoring results for radium-226 and radium-228 is above ½ the MCL but at or below the MCL, the supplier of water must collect and analyze at least one sample at that sampling point every three years.</w:t>
      </w:r>
    </w:p>
    <w:p w14:paraId="281A0134" w14:textId="77777777" w:rsidR="004647B9" w:rsidRPr="008A3BB6" w:rsidRDefault="00E2436F" w:rsidP="00BE18E6">
      <w:pPr>
        <w:numPr>
          <w:ilvl w:val="2"/>
          <w:numId w:val="407"/>
        </w:numPr>
        <w:tabs>
          <w:tab w:val="left" w:pos="2258"/>
        </w:tabs>
        <w:ind w:left="1920" w:hanging="5"/>
        <w:jc w:val="both"/>
        <w:rPr>
          <w:rFonts w:eastAsia="Times New Roman"/>
          <w:sz w:val="24"/>
          <w:szCs w:val="24"/>
        </w:rPr>
      </w:pPr>
      <w:r w:rsidRPr="008A3BB6">
        <w:rPr>
          <w:rFonts w:eastAsia="Times New Roman"/>
          <w:sz w:val="24"/>
          <w:szCs w:val="24"/>
        </w:rPr>
        <w:t>The supplier of water must use the samples collected during the reduced monitoring period to determine the monitoring frequency for subsequent monitoring periods (</w:t>
      </w:r>
      <w:r w:rsidRPr="008A3BB6">
        <w:rPr>
          <w:rFonts w:eastAsia="Times New Roman"/>
          <w:i/>
          <w:iCs/>
          <w:sz w:val="24"/>
          <w:szCs w:val="24"/>
        </w:rPr>
        <w:t>e.g</w:t>
      </w:r>
      <w:r w:rsidRPr="008A3BB6">
        <w:rPr>
          <w:rFonts w:eastAsia="Times New Roman"/>
          <w:sz w:val="24"/>
          <w:szCs w:val="24"/>
        </w:rPr>
        <w:t>. if a system’s sampling point is on a nine year monitoring period, and the sample result is above ½ the MCL, then the next monitoring period for that sampling point is three years).</w:t>
      </w:r>
    </w:p>
    <w:p w14:paraId="281A0136" w14:textId="77777777" w:rsidR="004647B9" w:rsidRPr="008A3BB6" w:rsidRDefault="00E2436F" w:rsidP="00BE18E6">
      <w:pPr>
        <w:numPr>
          <w:ilvl w:val="2"/>
          <w:numId w:val="407"/>
        </w:numPr>
        <w:tabs>
          <w:tab w:val="left" w:pos="2244"/>
        </w:tabs>
        <w:ind w:left="1920" w:hanging="5"/>
        <w:jc w:val="both"/>
        <w:rPr>
          <w:rFonts w:eastAsia="Times New Roman"/>
          <w:sz w:val="24"/>
          <w:szCs w:val="24"/>
        </w:rPr>
      </w:pPr>
      <w:r w:rsidRPr="008A3BB6">
        <w:rPr>
          <w:rFonts w:eastAsia="Times New Roman"/>
          <w:sz w:val="24"/>
          <w:szCs w:val="24"/>
        </w:rPr>
        <w:t>If a supplier of water has a monitoring result that exceeds the MCL while on reduced monitoring, the system must collect and analyze quarterly samples at that sampling point until the system has results from four consecutive quarters that are below the MCL, unless the supplier of water enters into another schedule as part of a formal compliance agreement with the Department.</w:t>
      </w:r>
    </w:p>
    <w:p w14:paraId="281A0138" w14:textId="77777777" w:rsidR="004647B9" w:rsidRPr="008A3BB6" w:rsidRDefault="00E2436F" w:rsidP="00BE18E6">
      <w:pPr>
        <w:numPr>
          <w:ilvl w:val="1"/>
          <w:numId w:val="408"/>
        </w:numPr>
        <w:tabs>
          <w:tab w:val="left" w:pos="2085"/>
        </w:tabs>
        <w:ind w:left="1560" w:hanging="5"/>
        <w:jc w:val="both"/>
        <w:rPr>
          <w:rFonts w:eastAsia="Times New Roman"/>
          <w:sz w:val="24"/>
          <w:szCs w:val="24"/>
        </w:rPr>
      </w:pPr>
      <w:r w:rsidRPr="008A3BB6">
        <w:rPr>
          <w:rFonts w:eastAsia="Times New Roman"/>
          <w:sz w:val="24"/>
          <w:szCs w:val="24"/>
          <w:u w:val="single"/>
        </w:rPr>
        <w:t>Compositing</w:t>
      </w:r>
      <w:r w:rsidRPr="008A3BB6">
        <w:rPr>
          <w:rFonts w:eastAsia="Times New Roman"/>
          <w:sz w:val="24"/>
          <w:szCs w:val="24"/>
        </w:rPr>
        <w:t>. To fulfill quarterly monitoring requirements for gross alpha particle activity, radium-226, radium-228, or uranium, a supplier of water may composite up to four consecutive quarterly samples from a single entry point if analysis is done within a year of the first sample. The Department will treat analytical results from the composited sample as the average analytical result to determine compliance with the MCLs and the future monitoring frequency. If the analytical result from the composited sample is greater than ½ MCL, the Department may direct the supplier of water to take additional quarterly samples before allowing the supplier of water to sample under a reduced monitoring schedule.</w:t>
      </w:r>
    </w:p>
    <w:p w14:paraId="281A013C" w14:textId="2DB9FAE7" w:rsidR="004647B9" w:rsidRPr="008A3BB6" w:rsidRDefault="00E2436F" w:rsidP="00BE18E6">
      <w:pPr>
        <w:numPr>
          <w:ilvl w:val="1"/>
          <w:numId w:val="408"/>
        </w:numPr>
        <w:tabs>
          <w:tab w:val="left" w:pos="2085"/>
        </w:tabs>
        <w:ind w:left="1555"/>
        <w:jc w:val="both"/>
        <w:rPr>
          <w:rFonts w:eastAsia="Times New Roman"/>
          <w:sz w:val="24"/>
          <w:szCs w:val="24"/>
        </w:rPr>
      </w:pPr>
      <w:r w:rsidRPr="008A3BB6">
        <w:rPr>
          <w:rFonts w:eastAsia="Times New Roman"/>
          <w:sz w:val="24"/>
          <w:szCs w:val="24"/>
        </w:rPr>
        <w:t>A gross alpha particle activity measurement may be substituted for the required radium-226 measurement provided that the measured gross alpha particle activity does not exceed 5 pCi/l. A gross alpha particle activity measurement may be substituted for the required uranium measurement provided that the measured gross alpha particle activity does not exceed 15 pCi/l. The gross alpha measurement shall have a confidence interval of 95% (1.65F, where F is the standard deviation of the net counting rate of the sample) for radium-226 and uranium. When a supplier of water uses a gross alpha particle activity measurement in lieu of a radium-226 and/or uranium measurement, the gross alpha particle activity analytical result will be used to determine the future monitoring frequency for radium-226 and/or uranium. If the gross alpha particle activity result is less than detection, ½ the detection limit will be used to determine compliance and the future monitoring frequency.</w:t>
      </w:r>
    </w:p>
    <w:p w14:paraId="281A013D" w14:textId="77777777" w:rsidR="004647B9" w:rsidRPr="008A3BB6" w:rsidRDefault="004647B9" w:rsidP="00BE18E6">
      <w:pPr>
        <w:rPr>
          <w:rFonts w:eastAsia="Times New Roman"/>
          <w:sz w:val="24"/>
          <w:szCs w:val="24"/>
        </w:rPr>
      </w:pPr>
    </w:p>
    <w:p w14:paraId="281A013F" w14:textId="22A4DAB1" w:rsidR="004647B9" w:rsidRPr="00AA6196" w:rsidRDefault="00E2436F" w:rsidP="00BE18E6">
      <w:pPr>
        <w:numPr>
          <w:ilvl w:val="0"/>
          <w:numId w:val="1"/>
        </w:numPr>
        <w:tabs>
          <w:tab w:val="left" w:pos="1631"/>
        </w:tabs>
        <w:ind w:left="1200"/>
        <w:jc w:val="both"/>
        <w:rPr>
          <w:sz w:val="24"/>
          <w:szCs w:val="24"/>
        </w:rPr>
      </w:pPr>
      <w:r w:rsidRPr="00AA6196">
        <w:rPr>
          <w:rFonts w:eastAsia="Times New Roman"/>
          <w:sz w:val="24"/>
          <w:szCs w:val="24"/>
          <w:u w:val="single"/>
        </w:rPr>
        <w:t>Monitoring and Compliance Requirements for Beta Particle and Photon Radioactivity.</w:t>
      </w:r>
      <w:r w:rsidRPr="00AA6196">
        <w:rPr>
          <w:rFonts w:eastAsia="Times New Roman"/>
          <w:sz w:val="24"/>
          <w:szCs w:val="24"/>
        </w:rPr>
        <w:t xml:space="preserve"> To determine compliance with the maximum contaminant levels in 310 CMR 22.09A: </w:t>
      </w:r>
      <w:r w:rsidRPr="00AA6196">
        <w:rPr>
          <w:rFonts w:eastAsia="Times New Roman"/>
          <w:i/>
          <w:iCs/>
          <w:sz w:val="24"/>
          <w:szCs w:val="24"/>
        </w:rPr>
        <w:t>Table A</w:t>
      </w:r>
      <w:r w:rsidR="00AA6196" w:rsidRPr="00AA6196">
        <w:rPr>
          <w:rFonts w:eastAsia="Times New Roman"/>
          <w:i/>
          <w:iCs/>
          <w:sz w:val="24"/>
          <w:szCs w:val="24"/>
        </w:rPr>
        <w:t xml:space="preserve"> </w:t>
      </w:r>
      <w:r w:rsidRPr="00AA6196">
        <w:rPr>
          <w:rFonts w:eastAsia="Times New Roman"/>
          <w:sz w:val="24"/>
          <w:szCs w:val="24"/>
        </w:rPr>
        <w:t>for beta particle and photon radioactivity, a system must monitor at a frequency as follows:</w:t>
      </w:r>
    </w:p>
    <w:p w14:paraId="281A0141" w14:textId="77777777" w:rsidR="004647B9" w:rsidRPr="008A3BB6" w:rsidRDefault="00E2436F" w:rsidP="00BE18E6">
      <w:pPr>
        <w:numPr>
          <w:ilvl w:val="0"/>
          <w:numId w:val="409"/>
        </w:numPr>
        <w:tabs>
          <w:tab w:val="left" w:pos="2088"/>
        </w:tabs>
        <w:ind w:left="1555"/>
        <w:jc w:val="both"/>
        <w:rPr>
          <w:rFonts w:eastAsia="Times New Roman"/>
          <w:sz w:val="24"/>
          <w:szCs w:val="24"/>
        </w:rPr>
      </w:pPr>
      <w:r w:rsidRPr="008A3BB6">
        <w:rPr>
          <w:rFonts w:eastAsia="Times New Roman"/>
          <w:sz w:val="24"/>
          <w:szCs w:val="24"/>
        </w:rPr>
        <w:t>Community water systems (both surface and ground water) designated by the Department as vulnerable must sample for beta particle and photon radioactivity. The supplier of water must collect quarterly samples for beta emitters and annual samples for tritium and strontium-90 at each entry point to the distribution system (hereafter called a sampling point), beginning within one quarter after being notified by the Department. Systems already designated by the Department must continue to sample until the Department reviews and either reaffirms or removes the designation.</w:t>
      </w:r>
    </w:p>
    <w:p w14:paraId="281A0142" w14:textId="77777777" w:rsidR="004647B9" w:rsidRPr="008A3BB6" w:rsidRDefault="00E2436F" w:rsidP="00BE18E6">
      <w:pPr>
        <w:numPr>
          <w:ilvl w:val="1"/>
          <w:numId w:val="409"/>
        </w:numPr>
        <w:tabs>
          <w:tab w:val="left" w:pos="2309"/>
        </w:tabs>
        <w:ind w:left="1920" w:hanging="5"/>
        <w:jc w:val="both"/>
        <w:rPr>
          <w:rFonts w:eastAsia="Times New Roman"/>
          <w:sz w:val="24"/>
          <w:szCs w:val="24"/>
        </w:rPr>
      </w:pPr>
      <w:r w:rsidRPr="008A3BB6">
        <w:rPr>
          <w:rFonts w:eastAsia="Times New Roman"/>
          <w:sz w:val="24"/>
          <w:szCs w:val="24"/>
        </w:rPr>
        <w:t>If the gross beta particle activity minus the naturally occurring potassium-40 beta particle activity at a sampling point has a running annual average (computed quarterly) less than or equal to 50 pCi/L (screening level), the Department may reduce the frequency of monitoring at that sampling point to once every three years. The supplier of water must collect all samples required in 310 CMR 22.09A(3)(a) during the reduced monitoring period.</w:t>
      </w:r>
    </w:p>
    <w:p w14:paraId="281A0144" w14:textId="77777777" w:rsidR="004647B9" w:rsidRPr="008A3BB6" w:rsidRDefault="00E2436F" w:rsidP="00BE18E6">
      <w:pPr>
        <w:numPr>
          <w:ilvl w:val="1"/>
          <w:numId w:val="409"/>
        </w:numPr>
        <w:tabs>
          <w:tab w:val="left" w:pos="2359"/>
        </w:tabs>
        <w:ind w:left="1920" w:hanging="5"/>
        <w:jc w:val="both"/>
        <w:rPr>
          <w:rFonts w:eastAsia="Times New Roman"/>
          <w:sz w:val="24"/>
          <w:szCs w:val="24"/>
        </w:rPr>
      </w:pPr>
      <w:r w:rsidRPr="008A3BB6">
        <w:rPr>
          <w:rFonts w:eastAsia="Times New Roman"/>
          <w:sz w:val="24"/>
          <w:szCs w:val="24"/>
        </w:rPr>
        <w:t>For systems in the vicinity of a nuclear facility, the Department may allow the community water system to utilize environmental surveillance data collected by the nuclear facility in lieu of monitoring at the system’s entry point(s), where the Department determines if such data is applicable to a particular water system. In the event that there is a release from a nuclear facility, systems which are using surveillance data must begin monitoring at the community water system’s entry point(s) in accordance with 310 CMR 22.09A(3)(a).</w:t>
      </w:r>
    </w:p>
    <w:p w14:paraId="281A0145" w14:textId="77777777" w:rsidR="004647B9" w:rsidRDefault="004647B9" w:rsidP="00BE18E6">
      <w:pPr>
        <w:sectPr w:rsidR="004647B9" w:rsidSect="00EF630C">
          <w:pgSz w:w="12240" w:h="20180"/>
          <w:pgMar w:top="708" w:right="1440" w:bottom="1022" w:left="600" w:header="0" w:footer="0" w:gutter="0"/>
          <w:cols w:space="720"/>
        </w:sectPr>
      </w:pPr>
    </w:p>
    <w:p w14:paraId="281A0146" w14:textId="77777777" w:rsidR="004647B9" w:rsidRDefault="00E2436F">
      <w:pPr>
        <w:tabs>
          <w:tab w:val="left" w:pos="160"/>
        </w:tabs>
        <w:jc w:val="center"/>
        <w:rPr>
          <w:sz w:val="20"/>
          <w:szCs w:val="20"/>
        </w:rPr>
      </w:pPr>
      <w:bookmarkStart w:id="153" w:name="page155"/>
      <w:bookmarkEnd w:id="15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147" w14:textId="77777777" w:rsidR="004647B9" w:rsidRDefault="004647B9" w:rsidP="00BE18E6">
      <w:pPr>
        <w:rPr>
          <w:sz w:val="20"/>
          <w:szCs w:val="20"/>
        </w:rPr>
      </w:pPr>
    </w:p>
    <w:p w14:paraId="281A0148" w14:textId="77777777" w:rsidR="004647B9" w:rsidRDefault="004647B9" w:rsidP="00BE18E6">
      <w:pPr>
        <w:rPr>
          <w:sz w:val="20"/>
          <w:szCs w:val="20"/>
        </w:rPr>
      </w:pPr>
    </w:p>
    <w:p w14:paraId="281A0149" w14:textId="77777777" w:rsidR="004647B9" w:rsidRPr="00BE18E6" w:rsidRDefault="00E2436F" w:rsidP="00BE18E6">
      <w:pPr>
        <w:tabs>
          <w:tab w:val="left" w:pos="940"/>
        </w:tabs>
        <w:rPr>
          <w:sz w:val="24"/>
          <w:szCs w:val="24"/>
        </w:rPr>
      </w:pPr>
      <w:r w:rsidRPr="00BE18E6">
        <w:rPr>
          <w:rFonts w:eastAsia="Times New Roman"/>
          <w:sz w:val="24"/>
          <w:szCs w:val="24"/>
        </w:rPr>
        <w:t>22.09A:</w:t>
      </w:r>
      <w:r w:rsidRPr="00BE18E6">
        <w:rPr>
          <w:sz w:val="24"/>
          <w:szCs w:val="24"/>
        </w:rPr>
        <w:tab/>
      </w:r>
      <w:r w:rsidRPr="00BE18E6">
        <w:rPr>
          <w:rFonts w:eastAsia="Times New Roman"/>
          <w:sz w:val="24"/>
          <w:szCs w:val="24"/>
        </w:rPr>
        <w:t>continued</w:t>
      </w:r>
    </w:p>
    <w:p w14:paraId="281A014A" w14:textId="77777777" w:rsidR="004647B9" w:rsidRDefault="004647B9" w:rsidP="00BE18E6">
      <w:pPr>
        <w:rPr>
          <w:sz w:val="20"/>
          <w:szCs w:val="20"/>
        </w:rPr>
      </w:pPr>
    </w:p>
    <w:p w14:paraId="281A014B" w14:textId="77777777" w:rsidR="004647B9" w:rsidRDefault="00E2436F" w:rsidP="00BE18E6">
      <w:pPr>
        <w:numPr>
          <w:ilvl w:val="1"/>
          <w:numId w:val="410"/>
        </w:numPr>
        <w:tabs>
          <w:tab w:val="left" w:pos="2200"/>
        </w:tabs>
        <w:ind w:left="1560" w:hanging="5"/>
        <w:jc w:val="both"/>
        <w:rPr>
          <w:rFonts w:eastAsia="Times New Roman"/>
          <w:sz w:val="24"/>
          <w:szCs w:val="24"/>
        </w:rPr>
      </w:pPr>
      <w:r>
        <w:rPr>
          <w:rFonts w:eastAsia="Times New Roman"/>
          <w:sz w:val="24"/>
          <w:szCs w:val="24"/>
        </w:rPr>
        <w:t>Community water systems (both surface and ground water) designated by the Department as utilizing waters contaminated by effluents from nuclear facilities must sample for beta particle and photon radioactivity. The supplier of water must collect quarterly samples for beta emitters and iodine-131 and annual samples for tritium and strontium-90 at each entry point to the distribution system (hereafter called a sampling point), beginning within one quarter after being notified by the Department. Systems already designated by the Department as systems using waters contaminated by effluents from nuclear facilities must continue to sample until the Department reviews and either reaffirms or removes the designation.</w:t>
      </w:r>
    </w:p>
    <w:p w14:paraId="281A014D" w14:textId="77777777" w:rsidR="004647B9" w:rsidRDefault="00E2436F" w:rsidP="00BE18E6">
      <w:pPr>
        <w:numPr>
          <w:ilvl w:val="2"/>
          <w:numId w:val="410"/>
        </w:numPr>
        <w:tabs>
          <w:tab w:val="left" w:pos="2251"/>
        </w:tabs>
        <w:ind w:left="1920" w:hanging="5"/>
        <w:jc w:val="both"/>
        <w:rPr>
          <w:rFonts w:eastAsia="Times New Roman"/>
          <w:sz w:val="24"/>
          <w:szCs w:val="24"/>
        </w:rPr>
      </w:pPr>
      <w:r>
        <w:rPr>
          <w:rFonts w:eastAsia="Times New Roman"/>
          <w:sz w:val="24"/>
          <w:szCs w:val="24"/>
        </w:rPr>
        <w:t>Quarterly monitoring for gross beta particle activity shall be based on the analysis of monthly samples or the analysis of a composite of three monthly samples. The former is recommended.</w:t>
      </w:r>
    </w:p>
    <w:p w14:paraId="281A014F" w14:textId="77777777" w:rsidR="004647B9" w:rsidRDefault="00E2436F" w:rsidP="00BE18E6">
      <w:pPr>
        <w:numPr>
          <w:ilvl w:val="2"/>
          <w:numId w:val="410"/>
        </w:numPr>
        <w:tabs>
          <w:tab w:val="left" w:pos="2234"/>
        </w:tabs>
        <w:ind w:left="1920" w:hanging="5"/>
        <w:jc w:val="both"/>
        <w:rPr>
          <w:rFonts w:eastAsia="Times New Roman"/>
          <w:sz w:val="24"/>
          <w:szCs w:val="24"/>
        </w:rPr>
      </w:pPr>
      <w:r>
        <w:rPr>
          <w:rFonts w:eastAsia="Times New Roman"/>
          <w:sz w:val="24"/>
          <w:szCs w:val="24"/>
        </w:rPr>
        <w:t>For iodine-131, a composite of five consecutive daily samples shall be analyzed once each quarter. As ordered by the Department, more frequent monitoring shall be conducted when iodine-131 is identified in the finished water.</w:t>
      </w:r>
    </w:p>
    <w:p w14:paraId="281A0151" w14:textId="77777777" w:rsidR="004647B9" w:rsidRDefault="00E2436F" w:rsidP="00BE18E6">
      <w:pPr>
        <w:numPr>
          <w:ilvl w:val="2"/>
          <w:numId w:val="410"/>
        </w:numPr>
        <w:tabs>
          <w:tab w:val="left" w:pos="2263"/>
        </w:tabs>
        <w:ind w:left="1920" w:hanging="5"/>
        <w:jc w:val="both"/>
        <w:rPr>
          <w:rFonts w:eastAsia="Times New Roman"/>
          <w:sz w:val="24"/>
          <w:szCs w:val="24"/>
        </w:rPr>
      </w:pPr>
      <w:r>
        <w:rPr>
          <w:rFonts w:eastAsia="Times New Roman"/>
          <w:sz w:val="24"/>
          <w:szCs w:val="24"/>
        </w:rPr>
        <w:t>Annual monitoring for strontium-90 and tritium shall be conducted by means of the analysis of a composite of four consecutive quarterly samples or analysis of four quarterly samples. The latter procedure is recommended.</w:t>
      </w:r>
    </w:p>
    <w:p w14:paraId="281A0153" w14:textId="77777777" w:rsidR="004647B9" w:rsidRDefault="00E2436F" w:rsidP="00BE18E6">
      <w:pPr>
        <w:numPr>
          <w:ilvl w:val="2"/>
          <w:numId w:val="410"/>
        </w:numPr>
        <w:tabs>
          <w:tab w:val="left" w:pos="2215"/>
        </w:tabs>
        <w:ind w:left="1920" w:hanging="5"/>
        <w:jc w:val="both"/>
        <w:rPr>
          <w:rFonts w:eastAsia="Times New Roman"/>
          <w:sz w:val="24"/>
          <w:szCs w:val="24"/>
        </w:rPr>
      </w:pPr>
      <w:r>
        <w:rPr>
          <w:rFonts w:eastAsia="Times New Roman"/>
          <w:sz w:val="24"/>
          <w:szCs w:val="24"/>
        </w:rPr>
        <w:t>If the gross beta particle activity beta minus the naturally occurring potassium-40 beta particle activity at a sampling point has a running annual average (computed quarterly) less than or equal to 15 pCi/L, (screening level), the Department may reduce the frequency of monitoring at that sampling point to every three years. The supplier of water must collect all samples required in 310 CMR 2.09A(3)(b) during the reduced monitoring period.</w:t>
      </w:r>
    </w:p>
    <w:p w14:paraId="281A0155" w14:textId="77777777" w:rsidR="004647B9" w:rsidRPr="00432623" w:rsidRDefault="00E2436F" w:rsidP="00BE18E6">
      <w:pPr>
        <w:numPr>
          <w:ilvl w:val="2"/>
          <w:numId w:val="410"/>
        </w:numPr>
        <w:tabs>
          <w:tab w:val="left" w:pos="2359"/>
        </w:tabs>
        <w:ind w:left="1920" w:hanging="5"/>
        <w:jc w:val="both"/>
        <w:rPr>
          <w:rFonts w:eastAsia="Times New Roman"/>
          <w:sz w:val="24"/>
          <w:szCs w:val="24"/>
        </w:rPr>
      </w:pPr>
      <w:r>
        <w:rPr>
          <w:rFonts w:eastAsia="Times New Roman"/>
          <w:sz w:val="24"/>
          <w:szCs w:val="24"/>
        </w:rPr>
        <w:t xml:space="preserve">For systems in the vicinity of a nuclear facility, the Department may allow the community water system to utilize environmental surveillance data collected by the nuclear facility in </w:t>
      </w:r>
      <w:r>
        <w:rPr>
          <w:rFonts w:eastAsia="Times New Roman"/>
          <w:i/>
          <w:iCs/>
          <w:sz w:val="24"/>
          <w:szCs w:val="24"/>
        </w:rPr>
        <w:t>lieu</w:t>
      </w:r>
      <w:r>
        <w:rPr>
          <w:rFonts w:eastAsia="Times New Roman"/>
          <w:sz w:val="24"/>
          <w:szCs w:val="24"/>
        </w:rPr>
        <w:t xml:space="preserve"> of monitoring at the system’s entry point(s), where the Department determines if such data is applicable to a particular water system. In the event that there is a release from a nuclear facility, systems which are using surveillance data must begin monitoring at the community water system’s entry point(s) in </w:t>
      </w:r>
      <w:r w:rsidRPr="00432623">
        <w:rPr>
          <w:rFonts w:eastAsia="Times New Roman"/>
          <w:sz w:val="24"/>
          <w:szCs w:val="24"/>
        </w:rPr>
        <w:t>accordance with 310 CMR 22.09A(3)(b).</w:t>
      </w:r>
    </w:p>
    <w:p w14:paraId="281A0157" w14:textId="77777777" w:rsidR="004647B9" w:rsidRPr="00432623" w:rsidRDefault="00E2436F" w:rsidP="00BE18E6">
      <w:pPr>
        <w:numPr>
          <w:ilvl w:val="1"/>
          <w:numId w:val="410"/>
        </w:numPr>
        <w:tabs>
          <w:tab w:val="left" w:pos="1939"/>
        </w:tabs>
        <w:ind w:left="1560" w:hanging="5"/>
        <w:jc w:val="both"/>
        <w:rPr>
          <w:rFonts w:eastAsia="Times New Roman"/>
          <w:sz w:val="24"/>
          <w:szCs w:val="24"/>
        </w:rPr>
      </w:pPr>
      <w:r w:rsidRPr="00432623">
        <w:rPr>
          <w:rFonts w:eastAsia="Times New Roman"/>
          <w:sz w:val="24"/>
          <w:szCs w:val="24"/>
        </w:rPr>
        <w:t>Community water systems designated by the Department to monitor for beta particle and photon radioactivity can not apply to the Department for a waiver from the monitoring frequencies specified in 310 CMR 22.09A(3)(a) or (b).</w:t>
      </w:r>
    </w:p>
    <w:p w14:paraId="281A0159" w14:textId="77777777" w:rsidR="004647B9" w:rsidRPr="00432623" w:rsidRDefault="00E2436F" w:rsidP="00BE18E6">
      <w:pPr>
        <w:numPr>
          <w:ilvl w:val="1"/>
          <w:numId w:val="410"/>
        </w:numPr>
        <w:tabs>
          <w:tab w:val="left" w:pos="2107"/>
        </w:tabs>
        <w:ind w:left="1560" w:hanging="5"/>
        <w:jc w:val="both"/>
        <w:rPr>
          <w:rFonts w:eastAsia="Times New Roman"/>
          <w:sz w:val="24"/>
          <w:szCs w:val="24"/>
        </w:rPr>
      </w:pPr>
      <w:r w:rsidRPr="00432623">
        <w:rPr>
          <w:rFonts w:eastAsia="Times New Roman"/>
          <w:sz w:val="24"/>
          <w:szCs w:val="24"/>
        </w:rPr>
        <w:t>Community water systems may analyze for naturally occurring potassium-40 beta particle activity from the same or equivalent sample used for the gross beta particle activity analysis. The supplier of water is allowed to subtract the potassium-40 beta particle activity value from the total gross beta particle activity value to determine if the screening level is exceeded. The potassium-40 beta particle activity must be calculated by multiplying elemental potassium concentrations (in mg/L) by a factor of 0.82.</w:t>
      </w:r>
    </w:p>
    <w:p w14:paraId="281A015B" w14:textId="77777777" w:rsidR="004647B9" w:rsidRPr="00432623" w:rsidRDefault="00E2436F" w:rsidP="00BE18E6">
      <w:pPr>
        <w:numPr>
          <w:ilvl w:val="1"/>
          <w:numId w:val="410"/>
        </w:numPr>
        <w:tabs>
          <w:tab w:val="left" w:pos="2093"/>
        </w:tabs>
        <w:ind w:left="1560" w:hanging="5"/>
        <w:jc w:val="both"/>
        <w:rPr>
          <w:rFonts w:eastAsia="Times New Roman"/>
          <w:sz w:val="24"/>
          <w:szCs w:val="24"/>
        </w:rPr>
      </w:pPr>
      <w:r w:rsidRPr="00432623">
        <w:rPr>
          <w:rFonts w:eastAsia="Times New Roman"/>
          <w:sz w:val="24"/>
          <w:szCs w:val="24"/>
        </w:rPr>
        <w:t>If the gross beta particle activity minus the naturally occurring potassium-40 beta particle activity exceeds the appropriate screening level, an analysis of the sample must be performed to identify the major radioactive constituents present in the sample and the appropriate doses must be calculated and summed to determine compliance with 310 CMR 22.09A(1)</w:t>
      </w:r>
      <w:r w:rsidRPr="00432623" w:rsidDel="007B206E">
        <w:rPr>
          <w:rFonts w:eastAsia="Times New Roman"/>
          <w:sz w:val="24"/>
          <w:szCs w:val="24"/>
        </w:rPr>
        <w:t>(c)</w:t>
      </w:r>
      <w:r w:rsidRPr="00432623">
        <w:rPr>
          <w:rFonts w:eastAsia="Times New Roman"/>
          <w:sz w:val="24"/>
          <w:szCs w:val="24"/>
        </w:rPr>
        <w:t>1., using the formula in 310 CMR 22.09A(1)(c)2. Doses must also be calculated and combined for measured levels of tritium and strontium to determine compliance.</w:t>
      </w:r>
    </w:p>
    <w:p w14:paraId="281A015D" w14:textId="77777777" w:rsidR="004647B9" w:rsidRPr="00432623" w:rsidRDefault="00E2436F" w:rsidP="00BE18E6">
      <w:pPr>
        <w:numPr>
          <w:ilvl w:val="1"/>
          <w:numId w:val="410"/>
        </w:numPr>
        <w:tabs>
          <w:tab w:val="left" w:pos="1963"/>
        </w:tabs>
        <w:ind w:left="1560" w:hanging="5"/>
        <w:jc w:val="both"/>
        <w:rPr>
          <w:rFonts w:eastAsia="Times New Roman"/>
          <w:sz w:val="24"/>
          <w:szCs w:val="24"/>
        </w:rPr>
      </w:pPr>
      <w:r w:rsidRPr="00432623">
        <w:rPr>
          <w:rFonts w:eastAsia="Times New Roman"/>
          <w:sz w:val="24"/>
          <w:szCs w:val="24"/>
        </w:rPr>
        <w:t xml:space="preserve">The supplier of water must monitor monthly at the sampling point(s) which exceed the maximum contaminant level in 310 CMR 22.09A: </w:t>
      </w:r>
      <w:r w:rsidRPr="00432623">
        <w:rPr>
          <w:rFonts w:eastAsia="Times New Roman"/>
          <w:i/>
          <w:iCs/>
          <w:sz w:val="24"/>
          <w:szCs w:val="24"/>
        </w:rPr>
        <w:t>Table A</w:t>
      </w:r>
      <w:r w:rsidRPr="00432623">
        <w:rPr>
          <w:rFonts w:eastAsia="Times New Roman"/>
          <w:sz w:val="24"/>
          <w:szCs w:val="24"/>
        </w:rPr>
        <w:t xml:space="preserve"> beginning the month after the exceedance occurs. The supplier of water must continue monthly monitoring until the system has established, by a rolling average of three monthly samples, that the MCL is being met. Systems who establish that the MCL is being met must return to quarterly monitoring until they meet the requirements set forth in 310 CMR 22.09A(3)(a)2. or (b)1.</w:t>
      </w:r>
    </w:p>
    <w:p w14:paraId="281A015E" w14:textId="77777777" w:rsidR="004647B9" w:rsidRPr="00432623" w:rsidRDefault="004647B9" w:rsidP="00BE18E6">
      <w:pPr>
        <w:rPr>
          <w:rFonts w:eastAsia="Times New Roman"/>
          <w:sz w:val="24"/>
          <w:szCs w:val="24"/>
        </w:rPr>
      </w:pPr>
    </w:p>
    <w:p w14:paraId="281A015F" w14:textId="77777777" w:rsidR="004647B9" w:rsidRPr="00432623" w:rsidRDefault="00E2436F" w:rsidP="00BE18E6">
      <w:pPr>
        <w:numPr>
          <w:ilvl w:val="0"/>
          <w:numId w:val="411"/>
        </w:numPr>
        <w:tabs>
          <w:tab w:val="left" w:pos="1660"/>
        </w:tabs>
        <w:ind w:left="1660" w:hanging="460"/>
        <w:rPr>
          <w:rFonts w:eastAsia="Times New Roman"/>
          <w:sz w:val="24"/>
          <w:szCs w:val="24"/>
        </w:rPr>
      </w:pPr>
      <w:r w:rsidRPr="00432623">
        <w:rPr>
          <w:rFonts w:eastAsia="Times New Roman"/>
          <w:sz w:val="24"/>
          <w:szCs w:val="24"/>
          <w:u w:val="single"/>
        </w:rPr>
        <w:t>General Monitoring and Compliance Requirements for Radionuclides</w:t>
      </w:r>
      <w:r w:rsidRPr="00432623">
        <w:rPr>
          <w:rFonts w:eastAsia="Times New Roman"/>
          <w:sz w:val="24"/>
          <w:szCs w:val="24"/>
        </w:rPr>
        <w:t>.</w:t>
      </w:r>
    </w:p>
    <w:p w14:paraId="281A0161" w14:textId="77777777" w:rsidR="004647B9" w:rsidRPr="00432623" w:rsidRDefault="00E2436F" w:rsidP="00BE18E6">
      <w:pPr>
        <w:numPr>
          <w:ilvl w:val="1"/>
          <w:numId w:val="411"/>
        </w:numPr>
        <w:tabs>
          <w:tab w:val="left" w:pos="2056"/>
        </w:tabs>
        <w:ind w:left="1560" w:hanging="5"/>
        <w:jc w:val="both"/>
        <w:rPr>
          <w:rFonts w:eastAsia="Times New Roman"/>
          <w:sz w:val="24"/>
          <w:szCs w:val="24"/>
        </w:rPr>
      </w:pPr>
      <w:r w:rsidRPr="00432623">
        <w:rPr>
          <w:rFonts w:eastAsia="Times New Roman"/>
          <w:sz w:val="24"/>
          <w:szCs w:val="24"/>
        </w:rPr>
        <w:t>The Department may require more frequent monitoring than specified in 310 CMR 22.09A(2) and (3), or may require confirmation samples at its discretion. The results of the initial and confirmation samples will be averaged for use in compliance determinations.</w:t>
      </w:r>
    </w:p>
    <w:p w14:paraId="281A0162" w14:textId="77777777" w:rsidR="004647B9" w:rsidRDefault="004647B9" w:rsidP="00BE18E6">
      <w:pPr>
        <w:sectPr w:rsidR="004647B9" w:rsidSect="00EF630C">
          <w:pgSz w:w="12240" w:h="20180"/>
          <w:pgMar w:top="708" w:right="1440" w:bottom="1440" w:left="600" w:header="0" w:footer="0" w:gutter="0"/>
          <w:cols w:space="720"/>
        </w:sectPr>
      </w:pPr>
    </w:p>
    <w:p w14:paraId="281A0163" w14:textId="77777777" w:rsidR="004647B9" w:rsidRDefault="00E2436F">
      <w:pPr>
        <w:tabs>
          <w:tab w:val="left" w:pos="160"/>
        </w:tabs>
        <w:jc w:val="center"/>
        <w:rPr>
          <w:sz w:val="20"/>
          <w:szCs w:val="20"/>
        </w:rPr>
      </w:pPr>
      <w:bookmarkStart w:id="154" w:name="page156"/>
      <w:bookmarkEnd w:id="15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164" w14:textId="77777777" w:rsidR="004647B9" w:rsidRDefault="004647B9" w:rsidP="00BE18E6">
      <w:pPr>
        <w:rPr>
          <w:sz w:val="20"/>
          <w:szCs w:val="20"/>
        </w:rPr>
      </w:pPr>
    </w:p>
    <w:p w14:paraId="281A0165" w14:textId="77777777" w:rsidR="004647B9" w:rsidRDefault="004647B9" w:rsidP="00BE18E6">
      <w:pPr>
        <w:rPr>
          <w:sz w:val="20"/>
          <w:szCs w:val="20"/>
        </w:rPr>
      </w:pPr>
    </w:p>
    <w:p w14:paraId="281A0166" w14:textId="77777777" w:rsidR="004647B9" w:rsidRPr="00BE18E6" w:rsidRDefault="00E2436F" w:rsidP="00BE18E6">
      <w:pPr>
        <w:tabs>
          <w:tab w:val="left" w:pos="940"/>
        </w:tabs>
        <w:rPr>
          <w:sz w:val="24"/>
          <w:szCs w:val="24"/>
        </w:rPr>
      </w:pPr>
      <w:r w:rsidRPr="00BE18E6">
        <w:rPr>
          <w:rFonts w:eastAsia="Times New Roman"/>
          <w:sz w:val="24"/>
          <w:szCs w:val="24"/>
        </w:rPr>
        <w:t>22.09A:</w:t>
      </w:r>
      <w:r w:rsidRPr="00BE18E6">
        <w:rPr>
          <w:sz w:val="24"/>
          <w:szCs w:val="24"/>
        </w:rPr>
        <w:tab/>
      </w:r>
      <w:r w:rsidRPr="00BE18E6">
        <w:rPr>
          <w:rFonts w:eastAsia="Times New Roman"/>
          <w:sz w:val="24"/>
          <w:szCs w:val="24"/>
        </w:rPr>
        <w:t>continued</w:t>
      </w:r>
    </w:p>
    <w:p w14:paraId="281A0167" w14:textId="77777777" w:rsidR="004647B9" w:rsidRDefault="004647B9" w:rsidP="00BE18E6">
      <w:pPr>
        <w:rPr>
          <w:sz w:val="20"/>
          <w:szCs w:val="20"/>
        </w:rPr>
      </w:pPr>
    </w:p>
    <w:p w14:paraId="281A0168" w14:textId="77777777" w:rsidR="004647B9" w:rsidRDefault="00E2436F" w:rsidP="00BE18E6">
      <w:pPr>
        <w:numPr>
          <w:ilvl w:val="1"/>
          <w:numId w:val="412"/>
        </w:numPr>
        <w:tabs>
          <w:tab w:val="left" w:pos="2020"/>
        </w:tabs>
        <w:ind w:left="1560" w:hanging="5"/>
        <w:rPr>
          <w:rFonts w:eastAsia="Times New Roman"/>
          <w:sz w:val="24"/>
          <w:szCs w:val="24"/>
        </w:rPr>
      </w:pPr>
      <w:r>
        <w:rPr>
          <w:rFonts w:eastAsia="Times New Roman"/>
          <w:sz w:val="24"/>
          <w:szCs w:val="24"/>
        </w:rPr>
        <w:t>Each supplier of water shall monitor at the time designated by the Department during each compliance period.</w:t>
      </w:r>
    </w:p>
    <w:p w14:paraId="281A016A" w14:textId="77777777" w:rsidR="004647B9" w:rsidRDefault="00E2436F" w:rsidP="00BE18E6">
      <w:pPr>
        <w:numPr>
          <w:ilvl w:val="1"/>
          <w:numId w:val="412"/>
        </w:numPr>
        <w:tabs>
          <w:tab w:val="left" w:pos="1997"/>
        </w:tabs>
        <w:ind w:left="1560" w:hanging="5"/>
        <w:jc w:val="both"/>
        <w:rPr>
          <w:rFonts w:eastAsia="Times New Roman"/>
          <w:sz w:val="24"/>
          <w:szCs w:val="24"/>
        </w:rPr>
      </w:pPr>
      <w:r>
        <w:rPr>
          <w:rFonts w:eastAsia="Times New Roman"/>
          <w:sz w:val="24"/>
          <w:szCs w:val="24"/>
        </w:rPr>
        <w:t>Compliance with 310 CMR 22.09A(1)(a) through (d) will be determined based on the analytical result(s) obtained at each sampling point. If one sampling point is in violation of an MCL, the system is in violation of the MCL.</w:t>
      </w:r>
    </w:p>
    <w:p w14:paraId="281A016C" w14:textId="77777777" w:rsidR="004647B9" w:rsidRDefault="00E2436F" w:rsidP="00BE18E6">
      <w:pPr>
        <w:numPr>
          <w:ilvl w:val="2"/>
          <w:numId w:val="412"/>
        </w:numPr>
        <w:tabs>
          <w:tab w:val="left" w:pos="2359"/>
        </w:tabs>
        <w:ind w:left="1920" w:hanging="5"/>
        <w:jc w:val="both"/>
        <w:rPr>
          <w:rFonts w:eastAsia="Times New Roman"/>
          <w:sz w:val="24"/>
          <w:szCs w:val="24"/>
        </w:rPr>
      </w:pPr>
      <w:r>
        <w:rPr>
          <w:rFonts w:eastAsia="Times New Roman"/>
          <w:sz w:val="24"/>
          <w:szCs w:val="24"/>
        </w:rPr>
        <w:t>For systems monitoring more than once per year, compliance with the MCL is determined by a running annual average at each sampling point. If the average of any sampling point is greater than the MCL, then the system is out of compliance with the MCL.</w:t>
      </w:r>
    </w:p>
    <w:p w14:paraId="281A016D" w14:textId="77777777" w:rsidR="004647B9" w:rsidRDefault="00E2436F" w:rsidP="00BE18E6">
      <w:pPr>
        <w:numPr>
          <w:ilvl w:val="2"/>
          <w:numId w:val="412"/>
        </w:numPr>
        <w:tabs>
          <w:tab w:val="left" w:pos="2266"/>
        </w:tabs>
        <w:ind w:left="1920" w:hanging="5"/>
        <w:jc w:val="both"/>
        <w:rPr>
          <w:rFonts w:eastAsia="Times New Roman"/>
          <w:sz w:val="24"/>
          <w:szCs w:val="24"/>
        </w:rPr>
      </w:pPr>
      <w:r>
        <w:rPr>
          <w:rFonts w:eastAsia="Times New Roman"/>
          <w:sz w:val="24"/>
          <w:szCs w:val="24"/>
        </w:rPr>
        <w:t>For systems monitoring more than once per year, if any sample result will cause the running average to exceed the MCL at any sample point, the system is out of compliance with the MCL immediately.</w:t>
      </w:r>
    </w:p>
    <w:p w14:paraId="281A016F" w14:textId="77777777" w:rsidR="004647B9" w:rsidRDefault="00E2436F" w:rsidP="00BE18E6">
      <w:pPr>
        <w:numPr>
          <w:ilvl w:val="2"/>
          <w:numId w:val="412"/>
        </w:numPr>
        <w:tabs>
          <w:tab w:val="left" w:pos="2374"/>
        </w:tabs>
        <w:ind w:left="1920" w:hanging="5"/>
        <w:jc w:val="both"/>
        <w:rPr>
          <w:rFonts w:eastAsia="Times New Roman"/>
          <w:sz w:val="24"/>
          <w:szCs w:val="24"/>
        </w:rPr>
      </w:pPr>
      <w:r>
        <w:rPr>
          <w:rFonts w:eastAsia="Times New Roman"/>
          <w:sz w:val="24"/>
          <w:szCs w:val="24"/>
        </w:rPr>
        <w:t>Each supplier of water must include all samples taken and analyzed under the provisions of 310 CMR 22.09A in determining compliance, even if that number is greater than the minimum required.</w:t>
      </w:r>
    </w:p>
    <w:p w14:paraId="281A0171" w14:textId="77777777" w:rsidR="004647B9" w:rsidRDefault="00E2436F" w:rsidP="00BE18E6">
      <w:pPr>
        <w:numPr>
          <w:ilvl w:val="2"/>
          <w:numId w:val="412"/>
        </w:numPr>
        <w:tabs>
          <w:tab w:val="left" w:pos="2244"/>
        </w:tabs>
        <w:ind w:left="1920" w:hanging="5"/>
        <w:jc w:val="both"/>
        <w:rPr>
          <w:rFonts w:eastAsia="Times New Roman"/>
          <w:sz w:val="24"/>
          <w:szCs w:val="24"/>
        </w:rPr>
      </w:pPr>
      <w:r>
        <w:rPr>
          <w:rFonts w:eastAsia="Times New Roman"/>
          <w:sz w:val="24"/>
          <w:szCs w:val="24"/>
        </w:rPr>
        <w:t>If a supplier of water does not collect all required samples when compliance is based on a running annual average of quarterly samples, compliance will be based on the running average of the samples collected.</w:t>
      </w:r>
    </w:p>
    <w:p w14:paraId="281A0173" w14:textId="77777777" w:rsidR="004647B9" w:rsidRDefault="00E2436F" w:rsidP="00BE18E6">
      <w:pPr>
        <w:numPr>
          <w:ilvl w:val="2"/>
          <w:numId w:val="412"/>
        </w:numPr>
        <w:tabs>
          <w:tab w:val="left" w:pos="2294"/>
        </w:tabs>
        <w:ind w:left="1920" w:hanging="5"/>
        <w:jc w:val="both"/>
        <w:rPr>
          <w:rFonts w:eastAsia="Times New Roman"/>
          <w:sz w:val="24"/>
          <w:szCs w:val="24"/>
        </w:rPr>
      </w:pPr>
      <w:r>
        <w:rPr>
          <w:rFonts w:eastAsia="Times New Roman"/>
          <w:sz w:val="24"/>
          <w:szCs w:val="24"/>
        </w:rPr>
        <w:t xml:space="preserve">If a sample result is less than the detection limit, zero will be used to calculate the annual average, unless a gross alpha particle activity is being used in </w:t>
      </w:r>
      <w:r>
        <w:rPr>
          <w:rFonts w:eastAsia="Times New Roman"/>
          <w:i/>
          <w:iCs/>
          <w:sz w:val="24"/>
          <w:szCs w:val="24"/>
        </w:rPr>
        <w:t>lieu</w:t>
      </w:r>
      <w:r>
        <w:rPr>
          <w:rFonts w:eastAsia="Times New Roman"/>
          <w:sz w:val="24"/>
          <w:szCs w:val="24"/>
        </w:rPr>
        <w:t xml:space="preserve"> of radium-226 and/or uranium. If the gross alpha particle activity result is less than detection, ½ the detection limit will be used to calculate the annual average.</w:t>
      </w:r>
    </w:p>
    <w:p w14:paraId="281A0174" w14:textId="77777777" w:rsidR="004647B9" w:rsidRDefault="00E2436F" w:rsidP="00FB7F5C">
      <w:pPr>
        <w:numPr>
          <w:ilvl w:val="1"/>
          <w:numId w:val="412"/>
        </w:numPr>
        <w:tabs>
          <w:tab w:val="left" w:pos="2064"/>
        </w:tabs>
        <w:ind w:left="1555"/>
        <w:rPr>
          <w:rFonts w:eastAsia="Times New Roman"/>
          <w:sz w:val="24"/>
          <w:szCs w:val="24"/>
        </w:rPr>
      </w:pPr>
      <w:r>
        <w:rPr>
          <w:rFonts w:eastAsia="Times New Roman"/>
          <w:sz w:val="24"/>
          <w:szCs w:val="24"/>
        </w:rPr>
        <w:t>The Department has the discretion to delete results of obvious sampling or analytic errors.</w:t>
      </w:r>
    </w:p>
    <w:p w14:paraId="281A0175" w14:textId="77777777" w:rsidR="004647B9" w:rsidRDefault="00E2436F" w:rsidP="00FB7F5C">
      <w:pPr>
        <w:numPr>
          <w:ilvl w:val="1"/>
          <w:numId w:val="412"/>
        </w:numPr>
        <w:tabs>
          <w:tab w:val="left" w:pos="1954"/>
        </w:tabs>
        <w:ind w:left="1555"/>
        <w:jc w:val="both"/>
        <w:rPr>
          <w:rFonts w:eastAsia="Times New Roman"/>
          <w:sz w:val="24"/>
          <w:szCs w:val="24"/>
        </w:rPr>
      </w:pPr>
      <w:r>
        <w:rPr>
          <w:rFonts w:eastAsia="Times New Roman"/>
          <w:sz w:val="24"/>
          <w:szCs w:val="24"/>
        </w:rPr>
        <w:t>If the MCL for radioactivity set forth in 310 CMR 22.09A(1)(a) through (d) is exceeded, the operator of a community water system must give notice to the Department pursuant to 310 CMR 22.15 and shall notify the public as required by 310 CMR 22.16.</w:t>
      </w:r>
    </w:p>
    <w:p w14:paraId="281A0176" w14:textId="77777777" w:rsidR="004647B9" w:rsidRDefault="004647B9" w:rsidP="00BE18E6">
      <w:pPr>
        <w:rPr>
          <w:rFonts w:eastAsia="Times New Roman"/>
          <w:sz w:val="24"/>
          <w:szCs w:val="24"/>
        </w:rPr>
      </w:pPr>
    </w:p>
    <w:p w14:paraId="281A0177" w14:textId="77777777" w:rsidR="004647B9" w:rsidRDefault="00E2436F" w:rsidP="00BE18E6">
      <w:pPr>
        <w:numPr>
          <w:ilvl w:val="0"/>
          <w:numId w:val="413"/>
        </w:numPr>
        <w:tabs>
          <w:tab w:val="left" w:pos="1660"/>
        </w:tabs>
        <w:ind w:left="1660" w:hanging="460"/>
        <w:rPr>
          <w:rFonts w:eastAsia="Times New Roman"/>
          <w:sz w:val="24"/>
          <w:szCs w:val="24"/>
        </w:rPr>
      </w:pPr>
      <w:r>
        <w:rPr>
          <w:rFonts w:eastAsia="Times New Roman"/>
          <w:sz w:val="24"/>
          <w:szCs w:val="24"/>
          <w:u w:val="single"/>
        </w:rPr>
        <w:t>Analytical Methods for Radioactivity</w:t>
      </w:r>
      <w:r>
        <w:rPr>
          <w:rFonts w:eastAsia="Times New Roman"/>
          <w:sz w:val="24"/>
          <w:szCs w:val="24"/>
        </w:rPr>
        <w:t>.</w:t>
      </w:r>
    </w:p>
    <w:p w14:paraId="281A0179" w14:textId="0C51A0BF" w:rsidR="004647B9" w:rsidRDefault="00E2436F" w:rsidP="00FB7F5C">
      <w:pPr>
        <w:numPr>
          <w:ilvl w:val="1"/>
          <w:numId w:val="413"/>
        </w:numPr>
        <w:tabs>
          <w:tab w:val="left" w:pos="1958"/>
        </w:tabs>
        <w:ind w:left="1555"/>
        <w:rPr>
          <w:rFonts w:eastAsia="Times New Roman"/>
          <w:sz w:val="24"/>
          <w:szCs w:val="24"/>
        </w:rPr>
      </w:pPr>
      <w:r>
        <w:rPr>
          <w:rFonts w:eastAsia="Times New Roman"/>
          <w:sz w:val="24"/>
          <w:szCs w:val="24"/>
        </w:rPr>
        <w:t>Analysis for the following contaminants shall be conducted to determine compliance</w:t>
      </w:r>
      <w:r w:rsidR="00BE18E6">
        <w:rPr>
          <w:rFonts w:eastAsia="Times New Roman"/>
          <w:sz w:val="24"/>
          <w:szCs w:val="24"/>
        </w:rPr>
        <w:t xml:space="preserve"> </w:t>
      </w:r>
      <w:r w:rsidR="00FB7F5C">
        <w:rPr>
          <w:rFonts w:eastAsia="Times New Roman"/>
          <w:sz w:val="24"/>
          <w:szCs w:val="24"/>
        </w:rPr>
        <w:t xml:space="preserve">with 310 CMR 22.09A(1) in accordance with the methods in 310 CMR 22.09A: </w:t>
      </w:r>
      <w:r w:rsidR="00FB7F5C">
        <w:rPr>
          <w:rFonts w:eastAsia="Times New Roman"/>
          <w:i/>
          <w:iCs/>
          <w:sz w:val="24"/>
          <w:szCs w:val="24"/>
        </w:rPr>
        <w:t>Table F</w:t>
      </w:r>
      <w:r w:rsidR="00FB7F5C">
        <w:rPr>
          <w:rFonts w:eastAsia="Times New Roman"/>
          <w:sz w:val="24"/>
          <w:szCs w:val="24"/>
        </w:rPr>
        <w:t xml:space="preserve"> or their equivalent as determined by USEPA</w:t>
      </w:r>
      <w:r w:rsidR="005A6FAD">
        <w:rPr>
          <w:rFonts w:eastAsia="Times New Roman"/>
          <w:sz w:val="24"/>
          <w:szCs w:val="24"/>
        </w:rPr>
        <w:t>.</w:t>
      </w:r>
    </w:p>
    <w:p w14:paraId="281A017C" w14:textId="77777777" w:rsidR="004647B9" w:rsidRDefault="004647B9" w:rsidP="00FB7F5C">
      <w:pPr>
        <w:tabs>
          <w:tab w:val="left" w:pos="1958"/>
        </w:tabs>
        <w:ind w:left="1555"/>
        <w:sectPr w:rsidR="004647B9" w:rsidSect="00EF630C">
          <w:pgSz w:w="12240" w:h="20180"/>
          <w:pgMar w:top="708" w:right="1440" w:bottom="1440" w:left="600" w:header="0" w:footer="0" w:gutter="0"/>
          <w:cols w:space="720"/>
        </w:sectPr>
      </w:pPr>
    </w:p>
    <w:p w14:paraId="281A017D" w14:textId="77777777" w:rsidR="004647B9" w:rsidRDefault="00E2436F">
      <w:pPr>
        <w:tabs>
          <w:tab w:val="left" w:pos="160"/>
        </w:tabs>
        <w:ind w:right="180"/>
        <w:jc w:val="center"/>
        <w:rPr>
          <w:sz w:val="20"/>
          <w:szCs w:val="20"/>
        </w:rPr>
      </w:pPr>
      <w:bookmarkStart w:id="155" w:name="page157"/>
      <w:bookmarkEnd w:id="15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17E" w14:textId="77777777" w:rsidR="004647B9" w:rsidRDefault="004647B9" w:rsidP="005A6FAD">
      <w:pPr>
        <w:rPr>
          <w:sz w:val="20"/>
          <w:szCs w:val="20"/>
        </w:rPr>
      </w:pPr>
    </w:p>
    <w:p w14:paraId="281A017F" w14:textId="77777777" w:rsidR="004647B9" w:rsidRDefault="004647B9" w:rsidP="005A6FAD">
      <w:pPr>
        <w:rPr>
          <w:sz w:val="20"/>
          <w:szCs w:val="20"/>
        </w:rPr>
      </w:pPr>
    </w:p>
    <w:p w14:paraId="281A0180" w14:textId="77777777" w:rsidR="004647B9" w:rsidRPr="005A6FAD" w:rsidRDefault="00E2436F" w:rsidP="005A6FAD">
      <w:pPr>
        <w:tabs>
          <w:tab w:val="left" w:pos="940"/>
        </w:tabs>
        <w:rPr>
          <w:sz w:val="24"/>
          <w:szCs w:val="24"/>
        </w:rPr>
      </w:pPr>
      <w:r w:rsidRPr="005A6FAD">
        <w:rPr>
          <w:rFonts w:eastAsia="Times New Roman"/>
          <w:sz w:val="24"/>
          <w:szCs w:val="24"/>
        </w:rPr>
        <w:t>22.09A:</w:t>
      </w:r>
      <w:r w:rsidRPr="005A6FAD">
        <w:rPr>
          <w:sz w:val="24"/>
          <w:szCs w:val="24"/>
        </w:rPr>
        <w:tab/>
      </w:r>
      <w:r w:rsidRPr="005A6FAD">
        <w:rPr>
          <w:rFonts w:eastAsia="Times New Roman"/>
          <w:sz w:val="24"/>
          <w:szCs w:val="24"/>
        </w:rPr>
        <w:t>continued</w:t>
      </w:r>
    </w:p>
    <w:p w14:paraId="281A0181" w14:textId="77777777" w:rsidR="004647B9" w:rsidRDefault="004647B9" w:rsidP="005A6FAD">
      <w:pPr>
        <w:rPr>
          <w:sz w:val="20"/>
          <w:szCs w:val="20"/>
        </w:rPr>
      </w:pPr>
    </w:p>
    <w:p w14:paraId="281A0182" w14:textId="77777777" w:rsidR="004647B9" w:rsidRPr="00432623" w:rsidRDefault="00E2436F" w:rsidP="005A6FAD">
      <w:pPr>
        <w:ind w:right="20"/>
        <w:jc w:val="center"/>
        <w:rPr>
          <w:sz w:val="24"/>
          <w:szCs w:val="24"/>
        </w:rPr>
      </w:pPr>
      <w:r w:rsidRPr="00432623">
        <w:rPr>
          <w:rFonts w:eastAsia="Times New Roman"/>
          <w:sz w:val="24"/>
          <w:szCs w:val="24"/>
        </w:rPr>
        <w:t>TABLE F</w:t>
      </w:r>
    </w:p>
    <w:p w14:paraId="281A0184" w14:textId="77777777" w:rsidR="004647B9" w:rsidRPr="00432623" w:rsidRDefault="00E2436F" w:rsidP="005A6FAD">
      <w:pPr>
        <w:ind w:right="40"/>
        <w:jc w:val="center"/>
        <w:rPr>
          <w:sz w:val="24"/>
          <w:szCs w:val="24"/>
        </w:rPr>
      </w:pPr>
      <w:r w:rsidRPr="00432623">
        <w:rPr>
          <w:rFonts w:eastAsia="Times New Roman"/>
          <w:sz w:val="24"/>
          <w:szCs w:val="24"/>
        </w:rPr>
        <w:t>ANALYTICAL METHODS FOR RADIONUCLIDE MONITORING</w:t>
      </w:r>
    </w:p>
    <w:tbl>
      <w:tblPr>
        <w:tblW w:w="10380" w:type="dxa"/>
        <w:tblLayout w:type="fixed"/>
        <w:tblCellMar>
          <w:left w:w="0" w:type="dxa"/>
          <w:right w:w="0" w:type="dxa"/>
        </w:tblCellMar>
        <w:tblLook w:val="04A0" w:firstRow="1" w:lastRow="0" w:firstColumn="1" w:lastColumn="0" w:noHBand="0" w:noVBand="1"/>
      </w:tblPr>
      <w:tblGrid>
        <w:gridCol w:w="1580"/>
        <w:gridCol w:w="1620"/>
        <w:gridCol w:w="540"/>
        <w:gridCol w:w="440"/>
        <w:gridCol w:w="540"/>
        <w:gridCol w:w="540"/>
        <w:gridCol w:w="1540"/>
        <w:gridCol w:w="1180"/>
        <w:gridCol w:w="980"/>
        <w:gridCol w:w="620"/>
        <w:gridCol w:w="800"/>
      </w:tblGrid>
      <w:tr w:rsidR="00E02791" w14:paraId="281A0191" w14:textId="77777777" w:rsidTr="00E02791">
        <w:trPr>
          <w:trHeight w:val="291"/>
        </w:trPr>
        <w:tc>
          <w:tcPr>
            <w:tcW w:w="1580" w:type="dxa"/>
            <w:tcBorders>
              <w:top w:val="single" w:sz="8" w:space="0" w:color="auto"/>
              <w:bottom w:val="single" w:sz="8" w:space="0" w:color="auto"/>
              <w:right w:val="single" w:sz="8" w:space="0" w:color="auto"/>
            </w:tcBorders>
            <w:vAlign w:val="center"/>
          </w:tcPr>
          <w:p w14:paraId="281A0186" w14:textId="77777777" w:rsidR="00E02791" w:rsidRDefault="00E02791" w:rsidP="002256FB">
            <w:pPr>
              <w:jc w:val="center"/>
              <w:rPr>
                <w:sz w:val="20"/>
                <w:szCs w:val="20"/>
              </w:rPr>
            </w:pPr>
            <w:r>
              <w:rPr>
                <w:rFonts w:eastAsia="Times New Roman"/>
                <w:sz w:val="16"/>
                <w:szCs w:val="16"/>
              </w:rPr>
              <w:t>Contaminant</w:t>
            </w:r>
          </w:p>
        </w:tc>
        <w:tc>
          <w:tcPr>
            <w:tcW w:w="1620" w:type="dxa"/>
            <w:tcBorders>
              <w:top w:val="single" w:sz="8" w:space="0" w:color="auto"/>
              <w:bottom w:val="single" w:sz="8" w:space="0" w:color="auto"/>
              <w:right w:val="single" w:sz="8" w:space="0" w:color="auto"/>
            </w:tcBorders>
            <w:vAlign w:val="center"/>
          </w:tcPr>
          <w:p w14:paraId="281A0187" w14:textId="77777777" w:rsidR="00E02791" w:rsidRDefault="00E02791" w:rsidP="002256FB">
            <w:pPr>
              <w:jc w:val="center"/>
              <w:rPr>
                <w:sz w:val="20"/>
                <w:szCs w:val="20"/>
              </w:rPr>
            </w:pPr>
            <w:r>
              <w:rPr>
                <w:rFonts w:eastAsia="Times New Roman"/>
                <w:sz w:val="16"/>
                <w:szCs w:val="16"/>
              </w:rPr>
              <w:t>Methodology</w:t>
            </w:r>
          </w:p>
        </w:tc>
        <w:tc>
          <w:tcPr>
            <w:tcW w:w="7180" w:type="dxa"/>
            <w:gridSpan w:val="9"/>
            <w:tcBorders>
              <w:top w:val="single" w:sz="8" w:space="0" w:color="auto"/>
              <w:bottom w:val="single" w:sz="8" w:space="0" w:color="auto"/>
            </w:tcBorders>
            <w:vAlign w:val="center"/>
          </w:tcPr>
          <w:p w14:paraId="281A018F" w14:textId="40820562" w:rsidR="00E02791" w:rsidRDefault="00E02791" w:rsidP="002256FB">
            <w:pPr>
              <w:jc w:val="center"/>
              <w:rPr>
                <w:sz w:val="24"/>
                <w:szCs w:val="24"/>
              </w:rPr>
            </w:pPr>
            <w:r>
              <w:rPr>
                <w:rFonts w:eastAsia="Times New Roman"/>
                <w:sz w:val="16"/>
                <w:szCs w:val="16"/>
              </w:rPr>
              <w:t>Reference (method or page number)</w:t>
            </w:r>
          </w:p>
        </w:tc>
      </w:tr>
      <w:tr w:rsidR="00E02791" w14:paraId="281A019E" w14:textId="77777777" w:rsidTr="00E02791">
        <w:trPr>
          <w:trHeight w:val="278"/>
        </w:trPr>
        <w:tc>
          <w:tcPr>
            <w:tcW w:w="1580" w:type="dxa"/>
            <w:tcBorders>
              <w:bottom w:val="single" w:sz="8" w:space="0" w:color="auto"/>
              <w:right w:val="single" w:sz="8" w:space="0" w:color="auto"/>
            </w:tcBorders>
            <w:vAlign w:val="bottom"/>
          </w:tcPr>
          <w:p w14:paraId="281A0192" w14:textId="77777777" w:rsidR="00E02791" w:rsidRDefault="00E02791">
            <w:pPr>
              <w:rPr>
                <w:sz w:val="24"/>
                <w:szCs w:val="24"/>
              </w:rPr>
            </w:pPr>
          </w:p>
        </w:tc>
        <w:tc>
          <w:tcPr>
            <w:tcW w:w="1620" w:type="dxa"/>
            <w:tcBorders>
              <w:bottom w:val="single" w:sz="8" w:space="0" w:color="auto"/>
              <w:right w:val="single" w:sz="8" w:space="0" w:color="auto"/>
            </w:tcBorders>
            <w:vAlign w:val="bottom"/>
          </w:tcPr>
          <w:p w14:paraId="281A0193" w14:textId="77777777" w:rsidR="00E02791" w:rsidRDefault="00E02791">
            <w:pPr>
              <w:rPr>
                <w:sz w:val="24"/>
                <w:szCs w:val="24"/>
              </w:rPr>
            </w:pPr>
          </w:p>
        </w:tc>
        <w:tc>
          <w:tcPr>
            <w:tcW w:w="540" w:type="dxa"/>
            <w:tcBorders>
              <w:bottom w:val="single" w:sz="8" w:space="0" w:color="auto"/>
              <w:right w:val="single" w:sz="8" w:space="0" w:color="auto"/>
            </w:tcBorders>
            <w:vAlign w:val="bottom"/>
          </w:tcPr>
          <w:p w14:paraId="281A0194" w14:textId="77777777" w:rsidR="00E02791" w:rsidRDefault="00E02791">
            <w:pPr>
              <w:ind w:left="80"/>
              <w:rPr>
                <w:sz w:val="20"/>
                <w:szCs w:val="20"/>
              </w:rPr>
            </w:pPr>
            <w:r>
              <w:rPr>
                <w:rFonts w:eastAsia="Times New Roman"/>
                <w:sz w:val="16"/>
                <w:szCs w:val="16"/>
              </w:rPr>
              <w:t>EPA</w:t>
            </w:r>
            <w:r>
              <w:rPr>
                <w:rFonts w:eastAsia="Times New Roman"/>
                <w:sz w:val="16"/>
                <w:szCs w:val="16"/>
                <w:vertAlign w:val="superscript"/>
              </w:rPr>
              <w:t>1</w:t>
            </w:r>
          </w:p>
        </w:tc>
        <w:tc>
          <w:tcPr>
            <w:tcW w:w="440" w:type="dxa"/>
            <w:tcBorders>
              <w:bottom w:val="single" w:sz="8" w:space="0" w:color="auto"/>
              <w:right w:val="single" w:sz="8" w:space="0" w:color="auto"/>
            </w:tcBorders>
            <w:vAlign w:val="bottom"/>
          </w:tcPr>
          <w:p w14:paraId="281A0195" w14:textId="77777777" w:rsidR="00E02791" w:rsidRDefault="00E02791">
            <w:pPr>
              <w:ind w:left="40"/>
              <w:rPr>
                <w:sz w:val="20"/>
                <w:szCs w:val="20"/>
              </w:rPr>
            </w:pPr>
            <w:r>
              <w:rPr>
                <w:rFonts w:eastAsia="Times New Roman"/>
                <w:sz w:val="16"/>
                <w:szCs w:val="16"/>
              </w:rPr>
              <w:t>EPA</w:t>
            </w:r>
            <w:r>
              <w:rPr>
                <w:rFonts w:eastAsia="Times New Roman"/>
                <w:sz w:val="16"/>
                <w:szCs w:val="16"/>
                <w:vertAlign w:val="superscript"/>
              </w:rPr>
              <w:t>2</w:t>
            </w:r>
          </w:p>
        </w:tc>
        <w:tc>
          <w:tcPr>
            <w:tcW w:w="540" w:type="dxa"/>
            <w:tcBorders>
              <w:bottom w:val="single" w:sz="8" w:space="0" w:color="auto"/>
              <w:right w:val="single" w:sz="8" w:space="0" w:color="auto"/>
            </w:tcBorders>
            <w:vAlign w:val="bottom"/>
          </w:tcPr>
          <w:p w14:paraId="281A0196" w14:textId="77777777" w:rsidR="00E02791" w:rsidRDefault="00E02791">
            <w:pPr>
              <w:ind w:left="100"/>
              <w:rPr>
                <w:sz w:val="20"/>
                <w:szCs w:val="20"/>
              </w:rPr>
            </w:pPr>
            <w:r>
              <w:rPr>
                <w:rFonts w:eastAsia="Times New Roman"/>
                <w:sz w:val="16"/>
                <w:szCs w:val="16"/>
              </w:rPr>
              <w:t>EPA</w:t>
            </w:r>
            <w:r>
              <w:rPr>
                <w:rFonts w:eastAsia="Times New Roman"/>
                <w:sz w:val="16"/>
                <w:szCs w:val="16"/>
                <w:vertAlign w:val="superscript"/>
              </w:rPr>
              <w:t>3</w:t>
            </w:r>
          </w:p>
        </w:tc>
        <w:tc>
          <w:tcPr>
            <w:tcW w:w="540" w:type="dxa"/>
            <w:tcBorders>
              <w:bottom w:val="single" w:sz="8" w:space="0" w:color="auto"/>
              <w:right w:val="single" w:sz="8" w:space="0" w:color="auto"/>
            </w:tcBorders>
            <w:vAlign w:val="bottom"/>
          </w:tcPr>
          <w:p w14:paraId="281A0197" w14:textId="77777777" w:rsidR="00E02791" w:rsidRDefault="00E02791">
            <w:pPr>
              <w:ind w:left="100"/>
              <w:rPr>
                <w:sz w:val="20"/>
                <w:szCs w:val="20"/>
              </w:rPr>
            </w:pPr>
            <w:r>
              <w:rPr>
                <w:rFonts w:eastAsia="Times New Roman"/>
                <w:sz w:val="16"/>
                <w:szCs w:val="16"/>
              </w:rPr>
              <w:t>EPA</w:t>
            </w:r>
            <w:r>
              <w:rPr>
                <w:rFonts w:eastAsia="Times New Roman"/>
                <w:sz w:val="16"/>
                <w:szCs w:val="16"/>
                <w:vertAlign w:val="superscript"/>
              </w:rPr>
              <w:t>4</w:t>
            </w:r>
          </w:p>
        </w:tc>
        <w:tc>
          <w:tcPr>
            <w:tcW w:w="1540" w:type="dxa"/>
            <w:tcBorders>
              <w:bottom w:val="single" w:sz="8" w:space="0" w:color="auto"/>
              <w:right w:val="single" w:sz="8" w:space="0" w:color="auto"/>
            </w:tcBorders>
            <w:vAlign w:val="bottom"/>
          </w:tcPr>
          <w:p w14:paraId="281A0198" w14:textId="77777777" w:rsidR="00E02791" w:rsidRDefault="00E02791">
            <w:pPr>
              <w:ind w:left="620"/>
              <w:rPr>
                <w:sz w:val="20"/>
                <w:szCs w:val="20"/>
              </w:rPr>
            </w:pPr>
            <w:r>
              <w:rPr>
                <w:rFonts w:eastAsia="Times New Roman"/>
                <w:sz w:val="16"/>
                <w:szCs w:val="16"/>
              </w:rPr>
              <w:t>SM</w:t>
            </w:r>
            <w:r>
              <w:rPr>
                <w:rFonts w:eastAsia="Times New Roman"/>
                <w:sz w:val="16"/>
                <w:szCs w:val="16"/>
                <w:vertAlign w:val="superscript"/>
              </w:rPr>
              <w:t>5</w:t>
            </w:r>
          </w:p>
        </w:tc>
        <w:tc>
          <w:tcPr>
            <w:tcW w:w="1180" w:type="dxa"/>
            <w:tcBorders>
              <w:bottom w:val="single" w:sz="8" w:space="0" w:color="auto"/>
              <w:right w:val="single" w:sz="8" w:space="0" w:color="auto"/>
            </w:tcBorders>
            <w:vAlign w:val="bottom"/>
          </w:tcPr>
          <w:p w14:paraId="281A0199" w14:textId="77777777" w:rsidR="00E02791" w:rsidRDefault="00E02791">
            <w:pPr>
              <w:ind w:left="320"/>
              <w:rPr>
                <w:sz w:val="20"/>
                <w:szCs w:val="20"/>
              </w:rPr>
            </w:pPr>
            <w:r>
              <w:rPr>
                <w:rFonts w:eastAsia="Times New Roman"/>
                <w:sz w:val="16"/>
                <w:szCs w:val="16"/>
              </w:rPr>
              <w:t>ASTM</w:t>
            </w:r>
            <w:r>
              <w:rPr>
                <w:rFonts w:eastAsia="Times New Roman"/>
                <w:sz w:val="16"/>
                <w:szCs w:val="16"/>
                <w:vertAlign w:val="superscript"/>
              </w:rPr>
              <w:t>6</w:t>
            </w:r>
          </w:p>
        </w:tc>
        <w:tc>
          <w:tcPr>
            <w:tcW w:w="980" w:type="dxa"/>
            <w:tcBorders>
              <w:bottom w:val="single" w:sz="8" w:space="0" w:color="auto"/>
              <w:right w:val="single" w:sz="8" w:space="0" w:color="auto"/>
            </w:tcBorders>
            <w:vAlign w:val="bottom"/>
          </w:tcPr>
          <w:p w14:paraId="281A019A" w14:textId="77777777" w:rsidR="00E02791" w:rsidRDefault="00E02791">
            <w:pPr>
              <w:ind w:left="240"/>
              <w:rPr>
                <w:sz w:val="20"/>
                <w:szCs w:val="20"/>
              </w:rPr>
            </w:pPr>
            <w:r>
              <w:rPr>
                <w:rFonts w:eastAsia="Times New Roman"/>
                <w:sz w:val="16"/>
                <w:szCs w:val="16"/>
              </w:rPr>
              <w:t>USGS</w:t>
            </w:r>
            <w:r>
              <w:rPr>
                <w:rFonts w:eastAsia="Times New Roman"/>
                <w:sz w:val="16"/>
                <w:szCs w:val="16"/>
                <w:vertAlign w:val="superscript"/>
              </w:rPr>
              <w:t>7</w:t>
            </w:r>
          </w:p>
        </w:tc>
        <w:tc>
          <w:tcPr>
            <w:tcW w:w="620" w:type="dxa"/>
            <w:tcBorders>
              <w:bottom w:val="single" w:sz="8" w:space="0" w:color="auto"/>
              <w:right w:val="single" w:sz="8" w:space="0" w:color="auto"/>
            </w:tcBorders>
            <w:vAlign w:val="bottom"/>
          </w:tcPr>
          <w:p w14:paraId="281A019B" w14:textId="77777777" w:rsidR="00E02791" w:rsidRDefault="00E02791">
            <w:pPr>
              <w:ind w:left="100"/>
              <w:rPr>
                <w:sz w:val="20"/>
                <w:szCs w:val="20"/>
              </w:rPr>
            </w:pPr>
            <w:r>
              <w:rPr>
                <w:rFonts w:eastAsia="Times New Roman"/>
                <w:sz w:val="16"/>
                <w:szCs w:val="16"/>
              </w:rPr>
              <w:t>DOE</w:t>
            </w:r>
            <w:r>
              <w:rPr>
                <w:rFonts w:eastAsia="Times New Roman"/>
                <w:sz w:val="16"/>
                <w:szCs w:val="16"/>
                <w:vertAlign w:val="superscript"/>
              </w:rPr>
              <w:t>8</w:t>
            </w:r>
          </w:p>
        </w:tc>
        <w:tc>
          <w:tcPr>
            <w:tcW w:w="800" w:type="dxa"/>
            <w:tcBorders>
              <w:bottom w:val="single" w:sz="8" w:space="0" w:color="auto"/>
            </w:tcBorders>
            <w:vAlign w:val="bottom"/>
          </w:tcPr>
          <w:p w14:paraId="281A019C" w14:textId="77777777" w:rsidR="00E02791" w:rsidRDefault="00E02791">
            <w:pPr>
              <w:ind w:left="220"/>
              <w:rPr>
                <w:sz w:val="20"/>
                <w:szCs w:val="20"/>
              </w:rPr>
            </w:pPr>
            <w:r>
              <w:rPr>
                <w:rFonts w:eastAsia="Times New Roman"/>
                <w:sz w:val="16"/>
                <w:szCs w:val="16"/>
              </w:rPr>
              <w:t>Other</w:t>
            </w:r>
          </w:p>
        </w:tc>
      </w:tr>
      <w:tr w:rsidR="00E02791" w14:paraId="281A01AC" w14:textId="77777777" w:rsidTr="00E02791">
        <w:trPr>
          <w:trHeight w:val="280"/>
        </w:trPr>
        <w:tc>
          <w:tcPr>
            <w:tcW w:w="10380" w:type="dxa"/>
            <w:gridSpan w:val="11"/>
            <w:tcBorders>
              <w:top w:val="single" w:sz="8" w:space="0" w:color="auto"/>
              <w:bottom w:val="single" w:sz="8" w:space="0" w:color="auto"/>
            </w:tcBorders>
            <w:vAlign w:val="center"/>
          </w:tcPr>
          <w:p w14:paraId="281A01AA" w14:textId="63C3B9F3" w:rsidR="00E02791" w:rsidRDefault="00E02791" w:rsidP="00E02791">
            <w:pPr>
              <w:rPr>
                <w:sz w:val="24"/>
                <w:szCs w:val="24"/>
              </w:rPr>
            </w:pPr>
            <w:r>
              <w:rPr>
                <w:rFonts w:eastAsia="Times New Roman"/>
                <w:sz w:val="16"/>
                <w:szCs w:val="16"/>
              </w:rPr>
              <w:t>Naturally Occurring:</w:t>
            </w:r>
          </w:p>
        </w:tc>
      </w:tr>
      <w:tr w:rsidR="00E02791" w14:paraId="281A01BA" w14:textId="77777777" w:rsidTr="00E02791">
        <w:trPr>
          <w:trHeight w:val="558"/>
        </w:trPr>
        <w:tc>
          <w:tcPr>
            <w:tcW w:w="1580" w:type="dxa"/>
            <w:tcBorders>
              <w:top w:val="single" w:sz="8" w:space="0" w:color="auto"/>
              <w:bottom w:val="single" w:sz="8" w:space="0" w:color="auto"/>
              <w:right w:val="single" w:sz="8" w:space="0" w:color="auto"/>
            </w:tcBorders>
            <w:vAlign w:val="center"/>
          </w:tcPr>
          <w:p w14:paraId="281A01AD" w14:textId="4BF27EB8" w:rsidR="00E02791" w:rsidRDefault="00E02791" w:rsidP="002256FB">
            <w:pPr>
              <w:rPr>
                <w:sz w:val="20"/>
                <w:szCs w:val="20"/>
              </w:rPr>
            </w:pPr>
            <w:r>
              <w:rPr>
                <w:rFonts w:eastAsia="Times New Roman"/>
                <w:sz w:val="16"/>
                <w:szCs w:val="16"/>
              </w:rPr>
              <w:t>Gross alpha &amp; beta</w:t>
            </w:r>
            <w:r>
              <w:rPr>
                <w:rFonts w:eastAsia="Times New Roman"/>
                <w:sz w:val="16"/>
                <w:szCs w:val="16"/>
                <w:vertAlign w:val="superscript"/>
              </w:rPr>
              <w:t>11</w:t>
            </w:r>
          </w:p>
        </w:tc>
        <w:tc>
          <w:tcPr>
            <w:tcW w:w="1620" w:type="dxa"/>
            <w:tcBorders>
              <w:top w:val="single" w:sz="8" w:space="0" w:color="auto"/>
              <w:bottom w:val="single" w:sz="8" w:space="0" w:color="auto"/>
              <w:right w:val="single" w:sz="8" w:space="0" w:color="auto"/>
            </w:tcBorders>
            <w:vAlign w:val="center"/>
          </w:tcPr>
          <w:p w14:paraId="281A01AE" w14:textId="77777777" w:rsidR="00E02791" w:rsidRDefault="00E02791" w:rsidP="002256FB">
            <w:pPr>
              <w:jc w:val="center"/>
              <w:rPr>
                <w:sz w:val="20"/>
                <w:szCs w:val="20"/>
              </w:rPr>
            </w:pPr>
            <w:r>
              <w:rPr>
                <w:rFonts w:eastAsia="Times New Roman"/>
                <w:sz w:val="16"/>
                <w:szCs w:val="16"/>
              </w:rPr>
              <w:t>Evaporation</w:t>
            </w:r>
          </w:p>
        </w:tc>
        <w:tc>
          <w:tcPr>
            <w:tcW w:w="540" w:type="dxa"/>
            <w:tcBorders>
              <w:top w:val="single" w:sz="8" w:space="0" w:color="auto"/>
              <w:bottom w:val="single" w:sz="8" w:space="0" w:color="auto"/>
              <w:right w:val="single" w:sz="8" w:space="0" w:color="auto"/>
            </w:tcBorders>
            <w:vAlign w:val="center"/>
          </w:tcPr>
          <w:p w14:paraId="281A01AF" w14:textId="77777777" w:rsidR="00E02791" w:rsidRDefault="00E02791" w:rsidP="00E02791">
            <w:pPr>
              <w:jc w:val="center"/>
              <w:rPr>
                <w:sz w:val="20"/>
                <w:szCs w:val="20"/>
              </w:rPr>
            </w:pPr>
            <w:r>
              <w:rPr>
                <w:rFonts w:eastAsia="Times New Roman"/>
                <w:sz w:val="16"/>
                <w:szCs w:val="16"/>
              </w:rPr>
              <w:t>900</w:t>
            </w:r>
          </w:p>
        </w:tc>
        <w:tc>
          <w:tcPr>
            <w:tcW w:w="440" w:type="dxa"/>
            <w:tcBorders>
              <w:top w:val="single" w:sz="8" w:space="0" w:color="auto"/>
              <w:bottom w:val="single" w:sz="8" w:space="0" w:color="auto"/>
              <w:right w:val="single" w:sz="8" w:space="0" w:color="auto"/>
            </w:tcBorders>
            <w:vAlign w:val="center"/>
          </w:tcPr>
          <w:p w14:paraId="281A01B0" w14:textId="77777777" w:rsidR="00E02791" w:rsidRDefault="00E02791" w:rsidP="00E02791">
            <w:pPr>
              <w:jc w:val="center"/>
              <w:rPr>
                <w:sz w:val="20"/>
                <w:szCs w:val="20"/>
              </w:rPr>
            </w:pPr>
            <w:r>
              <w:rPr>
                <w:rFonts w:eastAsia="Times New Roman"/>
                <w:sz w:val="16"/>
                <w:szCs w:val="16"/>
              </w:rPr>
              <w:t>p 1</w:t>
            </w:r>
          </w:p>
        </w:tc>
        <w:tc>
          <w:tcPr>
            <w:tcW w:w="540" w:type="dxa"/>
            <w:tcBorders>
              <w:top w:val="single" w:sz="8" w:space="0" w:color="auto"/>
              <w:bottom w:val="single" w:sz="8" w:space="0" w:color="auto"/>
              <w:right w:val="single" w:sz="8" w:space="0" w:color="auto"/>
            </w:tcBorders>
            <w:vAlign w:val="center"/>
          </w:tcPr>
          <w:p w14:paraId="281A01B1" w14:textId="77777777" w:rsidR="00E02791" w:rsidRDefault="00E02791" w:rsidP="00E02791">
            <w:pPr>
              <w:jc w:val="center"/>
              <w:rPr>
                <w:sz w:val="20"/>
                <w:szCs w:val="20"/>
              </w:rPr>
            </w:pPr>
            <w:r>
              <w:rPr>
                <w:rFonts w:eastAsia="Times New Roman"/>
                <w:sz w:val="16"/>
                <w:szCs w:val="16"/>
              </w:rPr>
              <w:t>0</w:t>
            </w:r>
          </w:p>
        </w:tc>
        <w:tc>
          <w:tcPr>
            <w:tcW w:w="540" w:type="dxa"/>
            <w:tcBorders>
              <w:top w:val="single" w:sz="8" w:space="0" w:color="auto"/>
              <w:bottom w:val="single" w:sz="8" w:space="0" w:color="auto"/>
              <w:right w:val="single" w:sz="8" w:space="0" w:color="auto"/>
            </w:tcBorders>
            <w:vAlign w:val="center"/>
          </w:tcPr>
          <w:p w14:paraId="281A01B2" w14:textId="77777777" w:rsidR="00E02791" w:rsidRDefault="00E02791" w:rsidP="00E02791">
            <w:pPr>
              <w:jc w:val="center"/>
              <w:rPr>
                <w:sz w:val="20"/>
                <w:szCs w:val="20"/>
              </w:rPr>
            </w:pPr>
            <w:r>
              <w:rPr>
                <w:rFonts w:eastAsia="Times New Roman"/>
                <w:sz w:val="16"/>
                <w:szCs w:val="16"/>
              </w:rPr>
              <w:t>p 1</w:t>
            </w:r>
          </w:p>
        </w:tc>
        <w:tc>
          <w:tcPr>
            <w:tcW w:w="1540" w:type="dxa"/>
            <w:tcBorders>
              <w:top w:val="single" w:sz="8" w:space="0" w:color="auto"/>
              <w:bottom w:val="single" w:sz="8" w:space="0" w:color="auto"/>
              <w:right w:val="single" w:sz="8" w:space="0" w:color="auto"/>
            </w:tcBorders>
            <w:vAlign w:val="center"/>
          </w:tcPr>
          <w:p w14:paraId="281A01B3" w14:textId="2FD0A870" w:rsidR="00E02791" w:rsidRDefault="00E02791" w:rsidP="00E02791">
            <w:pPr>
              <w:jc w:val="center"/>
              <w:rPr>
                <w:sz w:val="20"/>
                <w:szCs w:val="20"/>
              </w:rPr>
            </w:pPr>
            <w:r>
              <w:rPr>
                <w:rFonts w:eastAsia="Times New Roman"/>
                <w:sz w:val="16"/>
                <w:szCs w:val="16"/>
              </w:rPr>
              <w:t>302, 7110 B, 7110 B-00</w:t>
            </w:r>
          </w:p>
        </w:tc>
        <w:tc>
          <w:tcPr>
            <w:tcW w:w="1180" w:type="dxa"/>
            <w:tcBorders>
              <w:top w:val="single" w:sz="8" w:space="0" w:color="auto"/>
              <w:bottom w:val="single" w:sz="8" w:space="0" w:color="auto"/>
              <w:right w:val="single" w:sz="8" w:space="0" w:color="auto"/>
            </w:tcBorders>
            <w:vAlign w:val="center"/>
          </w:tcPr>
          <w:p w14:paraId="281A01B5" w14:textId="77777777" w:rsidR="00E02791" w:rsidRDefault="00E02791" w:rsidP="00E02791">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1B6" w14:textId="77777777" w:rsidR="00E02791" w:rsidRDefault="00E02791" w:rsidP="00E02791">
            <w:pPr>
              <w:jc w:val="center"/>
              <w:rPr>
                <w:sz w:val="20"/>
                <w:szCs w:val="20"/>
              </w:rPr>
            </w:pPr>
            <w:r>
              <w:rPr>
                <w:rFonts w:eastAsia="Times New Roman"/>
                <w:sz w:val="16"/>
                <w:szCs w:val="16"/>
              </w:rPr>
              <w:t>R–1120–76</w:t>
            </w:r>
          </w:p>
        </w:tc>
        <w:tc>
          <w:tcPr>
            <w:tcW w:w="620" w:type="dxa"/>
            <w:tcBorders>
              <w:top w:val="single" w:sz="8" w:space="0" w:color="auto"/>
              <w:bottom w:val="single" w:sz="8" w:space="0" w:color="auto"/>
              <w:right w:val="single" w:sz="8" w:space="0" w:color="auto"/>
            </w:tcBorders>
            <w:vAlign w:val="center"/>
          </w:tcPr>
          <w:p w14:paraId="281A01B7" w14:textId="77777777" w:rsidR="00E02791" w:rsidRDefault="00E02791" w:rsidP="00E02791">
            <w:pPr>
              <w:jc w:val="center"/>
              <w:rPr>
                <w:sz w:val="23"/>
                <w:szCs w:val="23"/>
              </w:rPr>
            </w:pPr>
          </w:p>
        </w:tc>
        <w:tc>
          <w:tcPr>
            <w:tcW w:w="800" w:type="dxa"/>
            <w:tcBorders>
              <w:top w:val="single" w:sz="8" w:space="0" w:color="auto"/>
              <w:bottom w:val="single" w:sz="8" w:space="0" w:color="auto"/>
            </w:tcBorders>
            <w:vAlign w:val="center"/>
          </w:tcPr>
          <w:p w14:paraId="281A01B8" w14:textId="77777777" w:rsidR="00E02791" w:rsidRDefault="00E02791" w:rsidP="00E02791">
            <w:pPr>
              <w:jc w:val="center"/>
              <w:rPr>
                <w:sz w:val="23"/>
                <w:szCs w:val="23"/>
              </w:rPr>
            </w:pPr>
          </w:p>
        </w:tc>
      </w:tr>
      <w:tr w:rsidR="00E02791" w14:paraId="281A01D6" w14:textId="77777777" w:rsidTr="00E14468">
        <w:trPr>
          <w:trHeight w:val="578"/>
        </w:trPr>
        <w:tc>
          <w:tcPr>
            <w:tcW w:w="1580" w:type="dxa"/>
            <w:tcBorders>
              <w:top w:val="single" w:sz="8" w:space="0" w:color="auto"/>
              <w:bottom w:val="single" w:sz="8" w:space="0" w:color="auto"/>
              <w:right w:val="single" w:sz="8" w:space="0" w:color="auto"/>
            </w:tcBorders>
            <w:vAlign w:val="center"/>
          </w:tcPr>
          <w:p w14:paraId="281A01C9" w14:textId="17A6EF52" w:rsidR="00E02791" w:rsidRDefault="00E02791" w:rsidP="00E02791">
            <w:pPr>
              <w:rPr>
                <w:sz w:val="20"/>
                <w:szCs w:val="20"/>
              </w:rPr>
            </w:pPr>
            <w:r>
              <w:rPr>
                <w:rFonts w:eastAsia="Times New Roman"/>
                <w:sz w:val="16"/>
                <w:szCs w:val="16"/>
              </w:rPr>
              <w:t>Gross alpha</w:t>
            </w:r>
            <w:r>
              <w:rPr>
                <w:rFonts w:eastAsia="Times New Roman"/>
                <w:sz w:val="16"/>
                <w:szCs w:val="16"/>
                <w:vertAlign w:val="superscript"/>
              </w:rPr>
              <w:t>11</w:t>
            </w:r>
          </w:p>
        </w:tc>
        <w:tc>
          <w:tcPr>
            <w:tcW w:w="1620" w:type="dxa"/>
            <w:tcBorders>
              <w:top w:val="single" w:sz="8" w:space="0" w:color="auto"/>
              <w:bottom w:val="single" w:sz="8" w:space="0" w:color="auto"/>
              <w:right w:val="single" w:sz="8" w:space="0" w:color="auto"/>
            </w:tcBorders>
            <w:vAlign w:val="center"/>
          </w:tcPr>
          <w:p w14:paraId="281A01CA" w14:textId="77777777" w:rsidR="00E02791" w:rsidRDefault="00E02791" w:rsidP="00E02791">
            <w:pPr>
              <w:ind w:left="100"/>
              <w:jc w:val="center"/>
              <w:rPr>
                <w:sz w:val="20"/>
                <w:szCs w:val="20"/>
              </w:rPr>
            </w:pPr>
            <w:r>
              <w:rPr>
                <w:rFonts w:eastAsia="Times New Roman"/>
                <w:sz w:val="16"/>
                <w:szCs w:val="16"/>
              </w:rPr>
              <w:t>Co-precipitation</w:t>
            </w:r>
          </w:p>
        </w:tc>
        <w:tc>
          <w:tcPr>
            <w:tcW w:w="540" w:type="dxa"/>
            <w:tcBorders>
              <w:top w:val="single" w:sz="8" w:space="0" w:color="auto"/>
              <w:bottom w:val="single" w:sz="8" w:space="0" w:color="auto"/>
              <w:right w:val="single" w:sz="8" w:space="0" w:color="auto"/>
            </w:tcBorders>
            <w:vAlign w:val="center"/>
          </w:tcPr>
          <w:p w14:paraId="281A01CB" w14:textId="77777777" w:rsidR="00E02791" w:rsidRDefault="00E02791" w:rsidP="00E02791">
            <w:pPr>
              <w:jc w:val="center"/>
              <w:rPr>
                <w:sz w:val="23"/>
                <w:szCs w:val="23"/>
              </w:rPr>
            </w:pPr>
          </w:p>
        </w:tc>
        <w:tc>
          <w:tcPr>
            <w:tcW w:w="440" w:type="dxa"/>
            <w:tcBorders>
              <w:top w:val="single" w:sz="8" w:space="0" w:color="auto"/>
              <w:bottom w:val="single" w:sz="8" w:space="0" w:color="auto"/>
              <w:right w:val="single" w:sz="8" w:space="0" w:color="auto"/>
            </w:tcBorders>
            <w:vAlign w:val="center"/>
          </w:tcPr>
          <w:p w14:paraId="281A01CC" w14:textId="77777777" w:rsidR="00E02791" w:rsidRDefault="00E02791" w:rsidP="00E02791">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1CD" w14:textId="77777777" w:rsidR="00E02791" w:rsidRDefault="00E02791" w:rsidP="00E02791">
            <w:pPr>
              <w:ind w:left="40"/>
              <w:jc w:val="center"/>
              <w:rPr>
                <w:sz w:val="20"/>
                <w:szCs w:val="20"/>
              </w:rPr>
            </w:pPr>
            <w:r>
              <w:rPr>
                <w:rFonts w:eastAsia="Times New Roman"/>
                <w:sz w:val="16"/>
                <w:szCs w:val="16"/>
              </w:rPr>
              <w:t>0</w:t>
            </w:r>
          </w:p>
        </w:tc>
        <w:tc>
          <w:tcPr>
            <w:tcW w:w="540" w:type="dxa"/>
            <w:tcBorders>
              <w:top w:val="single" w:sz="8" w:space="0" w:color="auto"/>
              <w:bottom w:val="single" w:sz="8" w:space="0" w:color="auto"/>
              <w:right w:val="single" w:sz="8" w:space="0" w:color="auto"/>
            </w:tcBorders>
            <w:vAlign w:val="center"/>
          </w:tcPr>
          <w:p w14:paraId="281A01CE" w14:textId="77777777" w:rsidR="00E02791" w:rsidRDefault="00E02791" w:rsidP="00E02791">
            <w:pPr>
              <w:jc w:val="center"/>
              <w:rPr>
                <w:sz w:val="23"/>
                <w:szCs w:val="23"/>
              </w:rPr>
            </w:pPr>
          </w:p>
        </w:tc>
        <w:tc>
          <w:tcPr>
            <w:tcW w:w="1540" w:type="dxa"/>
            <w:tcBorders>
              <w:top w:val="single" w:sz="8" w:space="0" w:color="auto"/>
              <w:bottom w:val="single" w:sz="8" w:space="0" w:color="auto"/>
              <w:right w:val="single" w:sz="8" w:space="0" w:color="auto"/>
            </w:tcBorders>
            <w:vAlign w:val="center"/>
          </w:tcPr>
          <w:p w14:paraId="281A01CF" w14:textId="1ECD0684" w:rsidR="00E02791" w:rsidRDefault="00E02791" w:rsidP="00E02791">
            <w:pPr>
              <w:ind w:left="20"/>
              <w:jc w:val="center"/>
              <w:rPr>
                <w:sz w:val="20"/>
                <w:szCs w:val="20"/>
              </w:rPr>
            </w:pPr>
            <w:r>
              <w:rPr>
                <w:rFonts w:eastAsia="Times New Roman"/>
                <w:sz w:val="16"/>
                <w:szCs w:val="16"/>
              </w:rPr>
              <w:t>7110 C, 7110 C-00</w:t>
            </w:r>
          </w:p>
        </w:tc>
        <w:tc>
          <w:tcPr>
            <w:tcW w:w="1180" w:type="dxa"/>
            <w:tcBorders>
              <w:top w:val="single" w:sz="8" w:space="0" w:color="auto"/>
              <w:bottom w:val="single" w:sz="8" w:space="0" w:color="auto"/>
              <w:right w:val="single" w:sz="8" w:space="0" w:color="auto"/>
            </w:tcBorders>
            <w:vAlign w:val="center"/>
          </w:tcPr>
          <w:p w14:paraId="281A01D1" w14:textId="77777777" w:rsidR="00E02791" w:rsidRDefault="00E02791" w:rsidP="00E02791">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1D2" w14:textId="77777777" w:rsidR="00E02791" w:rsidRDefault="00E02791" w:rsidP="00E02791">
            <w:pPr>
              <w:jc w:val="center"/>
              <w:rPr>
                <w:sz w:val="23"/>
                <w:szCs w:val="23"/>
              </w:rPr>
            </w:pPr>
          </w:p>
        </w:tc>
        <w:tc>
          <w:tcPr>
            <w:tcW w:w="620" w:type="dxa"/>
            <w:tcBorders>
              <w:top w:val="single" w:sz="8" w:space="0" w:color="auto"/>
              <w:bottom w:val="single" w:sz="8" w:space="0" w:color="auto"/>
              <w:right w:val="single" w:sz="8" w:space="0" w:color="auto"/>
            </w:tcBorders>
            <w:vAlign w:val="center"/>
          </w:tcPr>
          <w:p w14:paraId="281A01D3" w14:textId="77777777" w:rsidR="00E02791" w:rsidRDefault="00E02791" w:rsidP="00E02791">
            <w:pPr>
              <w:jc w:val="center"/>
              <w:rPr>
                <w:sz w:val="23"/>
                <w:szCs w:val="23"/>
              </w:rPr>
            </w:pPr>
          </w:p>
        </w:tc>
        <w:tc>
          <w:tcPr>
            <w:tcW w:w="800" w:type="dxa"/>
            <w:tcBorders>
              <w:top w:val="single" w:sz="8" w:space="0" w:color="auto"/>
              <w:bottom w:val="single" w:sz="8" w:space="0" w:color="auto"/>
            </w:tcBorders>
            <w:vAlign w:val="center"/>
          </w:tcPr>
          <w:p w14:paraId="281A01D4" w14:textId="77777777" w:rsidR="00E02791" w:rsidRDefault="00E02791" w:rsidP="00E02791">
            <w:pPr>
              <w:jc w:val="center"/>
              <w:rPr>
                <w:sz w:val="23"/>
                <w:szCs w:val="23"/>
              </w:rPr>
            </w:pPr>
          </w:p>
        </w:tc>
      </w:tr>
      <w:tr w:rsidR="00E02791" w14:paraId="281A01F1" w14:textId="77777777" w:rsidTr="00E14468">
        <w:trPr>
          <w:trHeight w:val="266"/>
        </w:trPr>
        <w:tc>
          <w:tcPr>
            <w:tcW w:w="1580" w:type="dxa"/>
            <w:vMerge w:val="restart"/>
            <w:tcBorders>
              <w:top w:val="single" w:sz="8" w:space="0" w:color="auto"/>
              <w:bottom w:val="single" w:sz="8" w:space="0" w:color="auto"/>
              <w:right w:val="single" w:sz="8" w:space="0" w:color="auto"/>
            </w:tcBorders>
            <w:vAlign w:val="center"/>
          </w:tcPr>
          <w:p w14:paraId="281A01E5" w14:textId="77777777" w:rsidR="00E02791" w:rsidRDefault="00E02791" w:rsidP="00E14468">
            <w:pPr>
              <w:rPr>
                <w:sz w:val="20"/>
                <w:szCs w:val="20"/>
              </w:rPr>
            </w:pPr>
            <w:r>
              <w:rPr>
                <w:rFonts w:eastAsia="Times New Roman"/>
                <w:sz w:val="16"/>
                <w:szCs w:val="16"/>
              </w:rPr>
              <w:t>Radium 226</w:t>
            </w:r>
          </w:p>
        </w:tc>
        <w:tc>
          <w:tcPr>
            <w:tcW w:w="1620" w:type="dxa"/>
            <w:tcBorders>
              <w:top w:val="single" w:sz="8" w:space="0" w:color="auto"/>
              <w:bottom w:val="single" w:sz="8" w:space="0" w:color="auto"/>
              <w:right w:val="single" w:sz="8" w:space="0" w:color="auto"/>
            </w:tcBorders>
            <w:vAlign w:val="center"/>
          </w:tcPr>
          <w:p w14:paraId="281A01E6" w14:textId="77777777" w:rsidR="00E02791" w:rsidRDefault="00E02791" w:rsidP="00441901">
            <w:pPr>
              <w:ind w:left="100"/>
              <w:jc w:val="center"/>
              <w:rPr>
                <w:sz w:val="20"/>
                <w:szCs w:val="20"/>
              </w:rPr>
            </w:pPr>
            <w:r>
              <w:rPr>
                <w:rFonts w:eastAsia="Times New Roman"/>
                <w:sz w:val="16"/>
                <w:szCs w:val="16"/>
              </w:rPr>
              <w:t>Radon emination</w:t>
            </w:r>
          </w:p>
        </w:tc>
        <w:tc>
          <w:tcPr>
            <w:tcW w:w="540" w:type="dxa"/>
            <w:tcBorders>
              <w:top w:val="single" w:sz="8" w:space="0" w:color="auto"/>
              <w:bottom w:val="single" w:sz="8" w:space="0" w:color="auto"/>
              <w:right w:val="single" w:sz="8" w:space="0" w:color="auto"/>
            </w:tcBorders>
            <w:vAlign w:val="center"/>
          </w:tcPr>
          <w:p w14:paraId="281A01E7" w14:textId="77777777" w:rsidR="00E02791" w:rsidRDefault="00E02791" w:rsidP="00750D9C">
            <w:pPr>
              <w:jc w:val="center"/>
              <w:rPr>
                <w:sz w:val="20"/>
                <w:szCs w:val="20"/>
              </w:rPr>
            </w:pPr>
            <w:r>
              <w:rPr>
                <w:rFonts w:eastAsia="Times New Roman"/>
                <w:sz w:val="16"/>
                <w:szCs w:val="16"/>
              </w:rPr>
              <w:t>903.1</w:t>
            </w:r>
          </w:p>
        </w:tc>
        <w:tc>
          <w:tcPr>
            <w:tcW w:w="440" w:type="dxa"/>
            <w:tcBorders>
              <w:top w:val="single" w:sz="8" w:space="0" w:color="auto"/>
              <w:bottom w:val="single" w:sz="8" w:space="0" w:color="auto"/>
              <w:right w:val="single" w:sz="8" w:space="0" w:color="auto"/>
            </w:tcBorders>
            <w:vAlign w:val="center"/>
          </w:tcPr>
          <w:p w14:paraId="281A01E8" w14:textId="77777777" w:rsidR="00E02791" w:rsidRDefault="00E02791" w:rsidP="00750D9C">
            <w:pPr>
              <w:jc w:val="center"/>
              <w:rPr>
                <w:sz w:val="20"/>
                <w:szCs w:val="20"/>
              </w:rPr>
            </w:pPr>
            <w:r>
              <w:rPr>
                <w:rFonts w:eastAsia="Times New Roman"/>
                <w:sz w:val="16"/>
                <w:szCs w:val="16"/>
              </w:rPr>
              <w:t>p 16</w:t>
            </w:r>
          </w:p>
        </w:tc>
        <w:tc>
          <w:tcPr>
            <w:tcW w:w="540" w:type="dxa"/>
            <w:tcBorders>
              <w:top w:val="single" w:sz="8" w:space="0" w:color="auto"/>
              <w:bottom w:val="single" w:sz="8" w:space="0" w:color="auto"/>
              <w:right w:val="single" w:sz="8" w:space="0" w:color="auto"/>
            </w:tcBorders>
            <w:vAlign w:val="center"/>
          </w:tcPr>
          <w:p w14:paraId="281A01E9" w14:textId="77777777" w:rsidR="00E02791" w:rsidRDefault="00E02791" w:rsidP="00750D9C">
            <w:pPr>
              <w:jc w:val="center"/>
              <w:rPr>
                <w:sz w:val="20"/>
                <w:szCs w:val="20"/>
              </w:rPr>
            </w:pPr>
            <w:r>
              <w:rPr>
                <w:rFonts w:eastAsia="Times New Roman"/>
                <w:sz w:val="16"/>
                <w:szCs w:val="16"/>
              </w:rPr>
              <w:t>Ra-04</w:t>
            </w:r>
          </w:p>
        </w:tc>
        <w:tc>
          <w:tcPr>
            <w:tcW w:w="540" w:type="dxa"/>
            <w:tcBorders>
              <w:top w:val="single" w:sz="8" w:space="0" w:color="auto"/>
              <w:bottom w:val="single" w:sz="8" w:space="0" w:color="auto"/>
              <w:right w:val="single" w:sz="8" w:space="0" w:color="auto"/>
            </w:tcBorders>
            <w:vAlign w:val="center"/>
          </w:tcPr>
          <w:p w14:paraId="281A01EA" w14:textId="77777777" w:rsidR="00E02791" w:rsidRDefault="00E02791" w:rsidP="00750D9C">
            <w:pPr>
              <w:jc w:val="center"/>
              <w:rPr>
                <w:sz w:val="20"/>
                <w:szCs w:val="20"/>
              </w:rPr>
            </w:pPr>
            <w:r>
              <w:rPr>
                <w:rFonts w:eastAsia="Times New Roman"/>
                <w:sz w:val="16"/>
                <w:szCs w:val="16"/>
              </w:rPr>
              <w:t>p 19</w:t>
            </w:r>
          </w:p>
        </w:tc>
        <w:tc>
          <w:tcPr>
            <w:tcW w:w="1540" w:type="dxa"/>
            <w:tcBorders>
              <w:top w:val="single" w:sz="8" w:space="0" w:color="auto"/>
              <w:bottom w:val="single" w:sz="8" w:space="0" w:color="auto"/>
              <w:right w:val="single" w:sz="8" w:space="0" w:color="auto"/>
            </w:tcBorders>
            <w:vAlign w:val="center"/>
          </w:tcPr>
          <w:p w14:paraId="281A01EB" w14:textId="05140252" w:rsidR="00E02791" w:rsidRDefault="00E02791" w:rsidP="00750D9C">
            <w:pPr>
              <w:jc w:val="center"/>
              <w:rPr>
                <w:sz w:val="20"/>
                <w:szCs w:val="20"/>
              </w:rPr>
            </w:pPr>
            <w:r>
              <w:rPr>
                <w:rFonts w:eastAsia="Times New Roman"/>
                <w:sz w:val="16"/>
                <w:szCs w:val="16"/>
              </w:rPr>
              <w:t>305, 7500-Ra C</w:t>
            </w:r>
            <w:r w:rsidR="00750D9C">
              <w:rPr>
                <w:rFonts w:eastAsia="Times New Roman"/>
                <w:sz w:val="16"/>
                <w:szCs w:val="16"/>
              </w:rPr>
              <w:t>, 7500 Ra C-01</w:t>
            </w:r>
          </w:p>
        </w:tc>
        <w:tc>
          <w:tcPr>
            <w:tcW w:w="1180" w:type="dxa"/>
            <w:tcBorders>
              <w:top w:val="single" w:sz="8" w:space="0" w:color="auto"/>
              <w:bottom w:val="single" w:sz="8" w:space="0" w:color="auto"/>
              <w:right w:val="single" w:sz="8" w:space="0" w:color="auto"/>
            </w:tcBorders>
            <w:vAlign w:val="center"/>
          </w:tcPr>
          <w:p w14:paraId="281A01EC" w14:textId="1566BC50" w:rsidR="00E02791" w:rsidRDefault="00E02791" w:rsidP="00750D9C">
            <w:pPr>
              <w:jc w:val="center"/>
              <w:rPr>
                <w:sz w:val="20"/>
                <w:szCs w:val="20"/>
              </w:rPr>
            </w:pPr>
            <w:r>
              <w:rPr>
                <w:rFonts w:eastAsia="Times New Roman"/>
                <w:sz w:val="16"/>
                <w:szCs w:val="16"/>
              </w:rPr>
              <w:t>D3454–97</w:t>
            </w:r>
          </w:p>
        </w:tc>
        <w:tc>
          <w:tcPr>
            <w:tcW w:w="980" w:type="dxa"/>
            <w:tcBorders>
              <w:top w:val="single" w:sz="8" w:space="0" w:color="auto"/>
              <w:bottom w:val="single" w:sz="8" w:space="0" w:color="auto"/>
              <w:right w:val="single" w:sz="8" w:space="0" w:color="auto"/>
            </w:tcBorders>
            <w:vAlign w:val="center"/>
          </w:tcPr>
          <w:p w14:paraId="281A01ED" w14:textId="77777777" w:rsidR="00E02791" w:rsidRDefault="00E02791" w:rsidP="00750D9C">
            <w:pPr>
              <w:jc w:val="center"/>
              <w:rPr>
                <w:sz w:val="20"/>
                <w:szCs w:val="20"/>
              </w:rPr>
            </w:pPr>
            <w:r>
              <w:rPr>
                <w:rFonts w:eastAsia="Times New Roman"/>
                <w:sz w:val="16"/>
                <w:szCs w:val="16"/>
              </w:rPr>
              <w:t>R–1141–76</w:t>
            </w:r>
          </w:p>
        </w:tc>
        <w:tc>
          <w:tcPr>
            <w:tcW w:w="620" w:type="dxa"/>
            <w:tcBorders>
              <w:top w:val="single" w:sz="8" w:space="0" w:color="auto"/>
              <w:bottom w:val="single" w:sz="8" w:space="0" w:color="auto"/>
              <w:right w:val="single" w:sz="8" w:space="0" w:color="auto"/>
            </w:tcBorders>
            <w:vAlign w:val="center"/>
          </w:tcPr>
          <w:p w14:paraId="281A01EE" w14:textId="77777777" w:rsidR="00E02791" w:rsidRDefault="00E02791" w:rsidP="00750D9C">
            <w:pPr>
              <w:jc w:val="center"/>
              <w:rPr>
                <w:sz w:val="20"/>
                <w:szCs w:val="20"/>
              </w:rPr>
            </w:pPr>
            <w:r>
              <w:rPr>
                <w:rFonts w:eastAsia="Times New Roman"/>
                <w:sz w:val="16"/>
                <w:szCs w:val="16"/>
              </w:rPr>
              <w:t>Ra-04</w:t>
            </w:r>
          </w:p>
        </w:tc>
        <w:tc>
          <w:tcPr>
            <w:tcW w:w="800" w:type="dxa"/>
            <w:tcBorders>
              <w:top w:val="single" w:sz="8" w:space="0" w:color="auto"/>
              <w:bottom w:val="single" w:sz="8" w:space="0" w:color="auto"/>
            </w:tcBorders>
            <w:vAlign w:val="center"/>
          </w:tcPr>
          <w:p w14:paraId="281A01EF" w14:textId="6BA9A7E7" w:rsidR="00E02791" w:rsidRDefault="00E02791" w:rsidP="00750D9C">
            <w:pPr>
              <w:jc w:val="center"/>
              <w:rPr>
                <w:sz w:val="20"/>
                <w:szCs w:val="20"/>
              </w:rPr>
            </w:pPr>
            <w:r>
              <w:rPr>
                <w:rFonts w:eastAsia="Times New Roman"/>
                <w:sz w:val="16"/>
                <w:szCs w:val="16"/>
              </w:rPr>
              <w:t>N.Y.</w:t>
            </w:r>
            <w:r>
              <w:rPr>
                <w:rFonts w:eastAsia="Times New Roman"/>
                <w:sz w:val="16"/>
                <w:szCs w:val="16"/>
                <w:vertAlign w:val="superscript"/>
              </w:rPr>
              <w:t>9</w:t>
            </w:r>
          </w:p>
        </w:tc>
      </w:tr>
      <w:tr w:rsidR="00750D9C" w14:paraId="281A01FE" w14:textId="77777777" w:rsidTr="00A140FA">
        <w:trPr>
          <w:trHeight w:val="911"/>
        </w:trPr>
        <w:tc>
          <w:tcPr>
            <w:tcW w:w="1580" w:type="dxa"/>
            <w:vMerge/>
            <w:tcBorders>
              <w:bottom w:val="single" w:sz="8" w:space="0" w:color="auto"/>
              <w:right w:val="single" w:sz="8" w:space="0" w:color="auto"/>
            </w:tcBorders>
            <w:vAlign w:val="bottom"/>
          </w:tcPr>
          <w:p w14:paraId="281A01F2" w14:textId="77777777" w:rsidR="00750D9C" w:rsidRDefault="00750D9C">
            <w:pPr>
              <w:spacing w:line="20" w:lineRule="exact"/>
              <w:rPr>
                <w:sz w:val="1"/>
                <w:szCs w:val="1"/>
              </w:rPr>
            </w:pPr>
          </w:p>
        </w:tc>
        <w:tc>
          <w:tcPr>
            <w:tcW w:w="1620" w:type="dxa"/>
            <w:tcBorders>
              <w:top w:val="single" w:sz="8" w:space="0" w:color="auto"/>
              <w:bottom w:val="single" w:sz="8" w:space="0" w:color="auto"/>
              <w:right w:val="single" w:sz="8" w:space="0" w:color="auto"/>
            </w:tcBorders>
            <w:vAlign w:val="center"/>
          </w:tcPr>
          <w:p w14:paraId="281A01F3" w14:textId="77777777" w:rsidR="00750D9C" w:rsidRDefault="00750D9C" w:rsidP="00441901">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1F4" w14:textId="3242E04D" w:rsidR="00750D9C" w:rsidRPr="00750D9C" w:rsidRDefault="00750D9C" w:rsidP="00441901">
            <w:pPr>
              <w:ind w:left="20"/>
              <w:jc w:val="center"/>
              <w:rPr>
                <w:sz w:val="16"/>
                <w:szCs w:val="16"/>
              </w:rPr>
            </w:pPr>
            <w:r w:rsidRPr="00750D9C">
              <w:rPr>
                <w:rFonts w:eastAsia="Times New Roman"/>
                <w:sz w:val="16"/>
                <w:szCs w:val="16"/>
              </w:rPr>
              <w:t>903</w:t>
            </w:r>
          </w:p>
        </w:tc>
        <w:tc>
          <w:tcPr>
            <w:tcW w:w="440" w:type="dxa"/>
            <w:tcBorders>
              <w:top w:val="single" w:sz="8" w:space="0" w:color="auto"/>
              <w:bottom w:val="single" w:sz="8" w:space="0" w:color="auto"/>
              <w:right w:val="single" w:sz="8" w:space="0" w:color="auto"/>
            </w:tcBorders>
            <w:vAlign w:val="center"/>
          </w:tcPr>
          <w:p w14:paraId="281A01F5" w14:textId="77777777" w:rsidR="00750D9C" w:rsidRPr="00750D9C" w:rsidRDefault="00750D9C" w:rsidP="00441901">
            <w:pPr>
              <w:ind w:left="20"/>
              <w:jc w:val="center"/>
              <w:rPr>
                <w:sz w:val="16"/>
                <w:szCs w:val="16"/>
              </w:rPr>
            </w:pPr>
            <w:r w:rsidRPr="00750D9C">
              <w:rPr>
                <w:rFonts w:eastAsia="Times New Roman"/>
                <w:sz w:val="16"/>
                <w:szCs w:val="16"/>
              </w:rPr>
              <w:t>p 13</w:t>
            </w:r>
          </w:p>
        </w:tc>
        <w:tc>
          <w:tcPr>
            <w:tcW w:w="540" w:type="dxa"/>
            <w:tcBorders>
              <w:top w:val="single" w:sz="8" w:space="0" w:color="auto"/>
              <w:bottom w:val="single" w:sz="8" w:space="0" w:color="auto"/>
              <w:right w:val="single" w:sz="8" w:space="0" w:color="auto"/>
            </w:tcBorders>
            <w:vAlign w:val="center"/>
          </w:tcPr>
          <w:p w14:paraId="281A01F6" w14:textId="77777777" w:rsidR="00750D9C" w:rsidRPr="00750D9C" w:rsidRDefault="00750D9C" w:rsidP="005D3E88">
            <w:pPr>
              <w:ind w:left="40"/>
              <w:jc w:val="center"/>
              <w:rPr>
                <w:sz w:val="16"/>
                <w:szCs w:val="16"/>
              </w:rPr>
            </w:pPr>
            <w:r w:rsidRPr="00750D9C">
              <w:rPr>
                <w:rFonts w:eastAsia="Times New Roman"/>
                <w:sz w:val="16"/>
                <w:szCs w:val="16"/>
              </w:rPr>
              <w:t>Ra-03</w:t>
            </w:r>
          </w:p>
        </w:tc>
        <w:tc>
          <w:tcPr>
            <w:tcW w:w="540" w:type="dxa"/>
            <w:tcBorders>
              <w:top w:val="single" w:sz="8" w:space="0" w:color="auto"/>
              <w:bottom w:val="single" w:sz="8" w:space="0" w:color="auto"/>
              <w:right w:val="single" w:sz="8" w:space="0" w:color="auto"/>
            </w:tcBorders>
            <w:vAlign w:val="center"/>
          </w:tcPr>
          <w:p w14:paraId="281A01F7" w14:textId="77777777" w:rsidR="00750D9C" w:rsidRPr="00750D9C" w:rsidRDefault="00750D9C" w:rsidP="00A05208">
            <w:pPr>
              <w:jc w:val="center"/>
              <w:rPr>
                <w:sz w:val="16"/>
                <w:szCs w:val="16"/>
              </w:rPr>
            </w:pPr>
          </w:p>
        </w:tc>
        <w:tc>
          <w:tcPr>
            <w:tcW w:w="1540" w:type="dxa"/>
            <w:tcBorders>
              <w:top w:val="single" w:sz="8" w:space="0" w:color="auto"/>
              <w:bottom w:val="single" w:sz="8" w:space="0" w:color="auto"/>
              <w:right w:val="single" w:sz="8" w:space="0" w:color="auto"/>
            </w:tcBorders>
            <w:vAlign w:val="center"/>
          </w:tcPr>
          <w:p w14:paraId="281A01F8" w14:textId="6485423B" w:rsidR="00750D9C" w:rsidRPr="00750D9C" w:rsidRDefault="00750D9C" w:rsidP="00750D9C">
            <w:pPr>
              <w:ind w:left="20"/>
              <w:jc w:val="center"/>
              <w:rPr>
                <w:sz w:val="16"/>
                <w:szCs w:val="16"/>
              </w:rPr>
            </w:pPr>
            <w:r w:rsidRPr="00750D9C">
              <w:rPr>
                <w:rFonts w:eastAsia="Times New Roman"/>
                <w:sz w:val="16"/>
                <w:szCs w:val="16"/>
              </w:rPr>
              <w:t>304, 7500-Ra B, 7500-Ra B-01</w:t>
            </w:r>
          </w:p>
        </w:tc>
        <w:tc>
          <w:tcPr>
            <w:tcW w:w="1180" w:type="dxa"/>
            <w:tcBorders>
              <w:top w:val="single" w:sz="8" w:space="0" w:color="auto"/>
              <w:bottom w:val="single" w:sz="8" w:space="0" w:color="auto"/>
              <w:right w:val="single" w:sz="8" w:space="0" w:color="auto"/>
            </w:tcBorders>
            <w:vAlign w:val="center"/>
          </w:tcPr>
          <w:p w14:paraId="281A01F9" w14:textId="6F907F0B" w:rsidR="00750D9C" w:rsidRPr="00750D9C" w:rsidRDefault="00750D9C" w:rsidP="00750D9C">
            <w:pPr>
              <w:jc w:val="center"/>
              <w:rPr>
                <w:sz w:val="16"/>
                <w:szCs w:val="16"/>
              </w:rPr>
            </w:pPr>
            <w:r w:rsidRPr="00750D9C">
              <w:rPr>
                <w:rFonts w:eastAsia="Times New Roman"/>
                <w:sz w:val="16"/>
                <w:szCs w:val="16"/>
              </w:rPr>
              <w:t>D2460–97</w:t>
            </w:r>
          </w:p>
        </w:tc>
        <w:tc>
          <w:tcPr>
            <w:tcW w:w="980" w:type="dxa"/>
            <w:tcBorders>
              <w:top w:val="single" w:sz="8" w:space="0" w:color="auto"/>
              <w:bottom w:val="single" w:sz="8" w:space="0" w:color="auto"/>
              <w:right w:val="single" w:sz="8" w:space="0" w:color="auto"/>
            </w:tcBorders>
            <w:vAlign w:val="center"/>
          </w:tcPr>
          <w:p w14:paraId="281A01FA" w14:textId="77777777" w:rsidR="00750D9C" w:rsidRPr="00750D9C" w:rsidRDefault="00750D9C" w:rsidP="00750D9C">
            <w:pPr>
              <w:jc w:val="center"/>
              <w:rPr>
                <w:sz w:val="16"/>
                <w:szCs w:val="16"/>
              </w:rPr>
            </w:pPr>
            <w:r w:rsidRPr="00750D9C">
              <w:rPr>
                <w:rFonts w:eastAsia="Times New Roman"/>
                <w:sz w:val="16"/>
                <w:szCs w:val="16"/>
              </w:rPr>
              <w:t>R–1140–76</w:t>
            </w:r>
          </w:p>
        </w:tc>
        <w:tc>
          <w:tcPr>
            <w:tcW w:w="620" w:type="dxa"/>
            <w:tcBorders>
              <w:top w:val="single" w:sz="8" w:space="0" w:color="auto"/>
              <w:bottom w:val="single" w:sz="8" w:space="0" w:color="auto"/>
              <w:right w:val="single" w:sz="8" w:space="0" w:color="auto"/>
            </w:tcBorders>
            <w:vAlign w:val="center"/>
          </w:tcPr>
          <w:p w14:paraId="281A01FB" w14:textId="7F14F257" w:rsidR="00750D9C" w:rsidRPr="00A05208" w:rsidRDefault="00750D9C" w:rsidP="00A05208">
            <w:pPr>
              <w:jc w:val="center"/>
              <w:rPr>
                <w:sz w:val="16"/>
                <w:szCs w:val="16"/>
              </w:rPr>
            </w:pPr>
          </w:p>
        </w:tc>
        <w:tc>
          <w:tcPr>
            <w:tcW w:w="800" w:type="dxa"/>
            <w:tcBorders>
              <w:top w:val="single" w:sz="8" w:space="0" w:color="auto"/>
              <w:bottom w:val="single" w:sz="8" w:space="0" w:color="auto"/>
            </w:tcBorders>
            <w:vAlign w:val="center"/>
          </w:tcPr>
          <w:p w14:paraId="281A01FC" w14:textId="77777777" w:rsidR="00750D9C" w:rsidRPr="00750D9C" w:rsidRDefault="00750D9C" w:rsidP="00750D9C">
            <w:pPr>
              <w:ind w:left="40"/>
              <w:jc w:val="center"/>
              <w:rPr>
                <w:sz w:val="16"/>
                <w:szCs w:val="16"/>
              </w:rPr>
            </w:pPr>
            <w:r w:rsidRPr="00750D9C">
              <w:rPr>
                <w:rFonts w:eastAsia="Times New Roman"/>
                <w:sz w:val="16"/>
                <w:szCs w:val="16"/>
              </w:rPr>
              <w:t>GA</w:t>
            </w:r>
            <w:r w:rsidRPr="00750D9C">
              <w:rPr>
                <w:rFonts w:eastAsia="Times New Roman"/>
                <w:sz w:val="16"/>
                <w:szCs w:val="16"/>
                <w:vertAlign w:val="superscript"/>
              </w:rPr>
              <w:t>1 4</w:t>
            </w:r>
          </w:p>
        </w:tc>
      </w:tr>
      <w:tr w:rsidR="00833130" w14:paraId="281A0235" w14:textId="77777777" w:rsidTr="00A05208">
        <w:trPr>
          <w:trHeight w:val="857"/>
        </w:trPr>
        <w:tc>
          <w:tcPr>
            <w:tcW w:w="1580" w:type="dxa"/>
            <w:tcBorders>
              <w:top w:val="single" w:sz="8" w:space="0" w:color="auto"/>
              <w:bottom w:val="single" w:sz="8" w:space="0" w:color="auto"/>
              <w:right w:val="single" w:sz="8" w:space="0" w:color="auto"/>
            </w:tcBorders>
            <w:vAlign w:val="center"/>
          </w:tcPr>
          <w:p w14:paraId="281A0228" w14:textId="77777777" w:rsidR="00833130" w:rsidRDefault="00833130" w:rsidP="00E14468">
            <w:pPr>
              <w:rPr>
                <w:sz w:val="20"/>
                <w:szCs w:val="20"/>
              </w:rPr>
            </w:pPr>
            <w:r>
              <w:rPr>
                <w:rFonts w:eastAsia="Times New Roman"/>
                <w:sz w:val="16"/>
                <w:szCs w:val="16"/>
              </w:rPr>
              <w:t>Radium 228</w:t>
            </w:r>
          </w:p>
        </w:tc>
        <w:tc>
          <w:tcPr>
            <w:tcW w:w="1620" w:type="dxa"/>
            <w:tcBorders>
              <w:top w:val="single" w:sz="8" w:space="0" w:color="auto"/>
              <w:bottom w:val="single" w:sz="8" w:space="0" w:color="auto"/>
              <w:right w:val="single" w:sz="8" w:space="0" w:color="auto"/>
            </w:tcBorders>
            <w:vAlign w:val="center"/>
          </w:tcPr>
          <w:p w14:paraId="281A0229" w14:textId="77777777" w:rsidR="00833130" w:rsidRDefault="00833130" w:rsidP="00E14468">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22A" w14:textId="77777777" w:rsidR="00833130" w:rsidRDefault="00833130" w:rsidP="00E14468">
            <w:pPr>
              <w:ind w:left="20"/>
              <w:jc w:val="center"/>
              <w:rPr>
                <w:sz w:val="20"/>
                <w:szCs w:val="20"/>
              </w:rPr>
            </w:pPr>
            <w:r>
              <w:rPr>
                <w:rFonts w:eastAsia="Times New Roman"/>
                <w:sz w:val="16"/>
                <w:szCs w:val="16"/>
              </w:rPr>
              <w:t>904.4</w:t>
            </w:r>
          </w:p>
        </w:tc>
        <w:tc>
          <w:tcPr>
            <w:tcW w:w="440" w:type="dxa"/>
            <w:tcBorders>
              <w:top w:val="single" w:sz="8" w:space="0" w:color="auto"/>
              <w:bottom w:val="single" w:sz="8" w:space="0" w:color="auto"/>
              <w:right w:val="single" w:sz="8" w:space="0" w:color="auto"/>
            </w:tcBorders>
            <w:vAlign w:val="center"/>
          </w:tcPr>
          <w:p w14:paraId="281A022B" w14:textId="77777777" w:rsidR="00833130" w:rsidRDefault="00833130" w:rsidP="00E14468">
            <w:pPr>
              <w:ind w:left="20"/>
              <w:jc w:val="center"/>
              <w:rPr>
                <w:sz w:val="20"/>
                <w:szCs w:val="20"/>
              </w:rPr>
            </w:pPr>
            <w:r>
              <w:rPr>
                <w:rFonts w:eastAsia="Times New Roman"/>
                <w:sz w:val="16"/>
                <w:szCs w:val="16"/>
              </w:rPr>
              <w:t>p 24</w:t>
            </w:r>
          </w:p>
        </w:tc>
        <w:tc>
          <w:tcPr>
            <w:tcW w:w="540" w:type="dxa"/>
            <w:tcBorders>
              <w:top w:val="single" w:sz="8" w:space="0" w:color="auto"/>
              <w:bottom w:val="single" w:sz="8" w:space="0" w:color="auto"/>
              <w:right w:val="single" w:sz="8" w:space="0" w:color="auto"/>
            </w:tcBorders>
            <w:vAlign w:val="center"/>
          </w:tcPr>
          <w:p w14:paraId="281A022C" w14:textId="77777777" w:rsidR="00833130" w:rsidRDefault="00833130" w:rsidP="00E14468">
            <w:pPr>
              <w:ind w:left="40"/>
              <w:jc w:val="center"/>
              <w:rPr>
                <w:sz w:val="20"/>
                <w:szCs w:val="20"/>
              </w:rPr>
            </w:pPr>
            <w:r>
              <w:rPr>
                <w:rFonts w:eastAsia="Times New Roman"/>
                <w:sz w:val="16"/>
                <w:szCs w:val="16"/>
              </w:rPr>
              <w:t>Ra-05</w:t>
            </w:r>
          </w:p>
        </w:tc>
        <w:tc>
          <w:tcPr>
            <w:tcW w:w="540" w:type="dxa"/>
            <w:tcBorders>
              <w:top w:val="single" w:sz="8" w:space="0" w:color="auto"/>
              <w:bottom w:val="single" w:sz="8" w:space="0" w:color="auto"/>
              <w:right w:val="single" w:sz="8" w:space="0" w:color="auto"/>
            </w:tcBorders>
            <w:vAlign w:val="center"/>
          </w:tcPr>
          <w:p w14:paraId="281A022D" w14:textId="77777777" w:rsidR="00833130" w:rsidRDefault="00833130" w:rsidP="00E14468">
            <w:pPr>
              <w:ind w:left="40"/>
              <w:jc w:val="center"/>
              <w:rPr>
                <w:sz w:val="20"/>
                <w:szCs w:val="20"/>
              </w:rPr>
            </w:pPr>
            <w:r>
              <w:rPr>
                <w:rFonts w:eastAsia="Times New Roman"/>
                <w:sz w:val="16"/>
                <w:szCs w:val="16"/>
              </w:rPr>
              <w:t>p 19</w:t>
            </w:r>
          </w:p>
        </w:tc>
        <w:tc>
          <w:tcPr>
            <w:tcW w:w="1540" w:type="dxa"/>
            <w:tcBorders>
              <w:top w:val="single" w:sz="8" w:space="0" w:color="auto"/>
              <w:bottom w:val="single" w:sz="8" w:space="0" w:color="auto"/>
              <w:right w:val="single" w:sz="8" w:space="0" w:color="auto"/>
            </w:tcBorders>
            <w:vAlign w:val="center"/>
          </w:tcPr>
          <w:p w14:paraId="281A022E" w14:textId="4DC9C4EE" w:rsidR="00833130" w:rsidRDefault="00833130" w:rsidP="00833130">
            <w:pPr>
              <w:ind w:left="20"/>
              <w:jc w:val="center"/>
              <w:rPr>
                <w:sz w:val="20"/>
                <w:szCs w:val="20"/>
              </w:rPr>
            </w:pPr>
            <w:r>
              <w:rPr>
                <w:rFonts w:eastAsia="Times New Roman"/>
                <w:sz w:val="16"/>
                <w:szCs w:val="16"/>
              </w:rPr>
              <w:t>7500-Ra D, 7500-Ra D-01</w:t>
            </w:r>
          </w:p>
        </w:tc>
        <w:tc>
          <w:tcPr>
            <w:tcW w:w="1180" w:type="dxa"/>
            <w:tcBorders>
              <w:top w:val="single" w:sz="8" w:space="0" w:color="auto"/>
              <w:bottom w:val="single" w:sz="8" w:space="0" w:color="auto"/>
              <w:right w:val="single" w:sz="8" w:space="0" w:color="auto"/>
            </w:tcBorders>
            <w:vAlign w:val="center"/>
          </w:tcPr>
          <w:p w14:paraId="281A0230" w14:textId="77777777" w:rsidR="00833130" w:rsidRDefault="00833130" w:rsidP="00833130">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231" w14:textId="77777777" w:rsidR="00833130" w:rsidRDefault="00833130" w:rsidP="00833130">
            <w:pPr>
              <w:jc w:val="center"/>
              <w:rPr>
                <w:sz w:val="20"/>
                <w:szCs w:val="20"/>
              </w:rPr>
            </w:pPr>
            <w:r>
              <w:rPr>
                <w:rFonts w:eastAsia="Times New Roman"/>
                <w:sz w:val="16"/>
                <w:szCs w:val="16"/>
              </w:rPr>
              <w:t>R–1142–76</w:t>
            </w:r>
          </w:p>
        </w:tc>
        <w:tc>
          <w:tcPr>
            <w:tcW w:w="620" w:type="dxa"/>
            <w:tcBorders>
              <w:top w:val="single" w:sz="8" w:space="0" w:color="auto"/>
              <w:bottom w:val="single" w:sz="8" w:space="0" w:color="auto"/>
              <w:right w:val="single" w:sz="8" w:space="0" w:color="auto"/>
            </w:tcBorders>
            <w:vAlign w:val="center"/>
          </w:tcPr>
          <w:p w14:paraId="281A0232" w14:textId="77777777" w:rsidR="00833130" w:rsidRDefault="00833130" w:rsidP="00833130">
            <w:pPr>
              <w:jc w:val="center"/>
              <w:rPr>
                <w:sz w:val="23"/>
                <w:szCs w:val="23"/>
              </w:rPr>
            </w:pPr>
          </w:p>
        </w:tc>
        <w:tc>
          <w:tcPr>
            <w:tcW w:w="800" w:type="dxa"/>
            <w:tcBorders>
              <w:top w:val="single" w:sz="8" w:space="0" w:color="auto"/>
              <w:bottom w:val="single" w:sz="8" w:space="0" w:color="auto"/>
            </w:tcBorders>
            <w:vAlign w:val="center"/>
          </w:tcPr>
          <w:p w14:paraId="281A0233" w14:textId="4A8C47EC" w:rsidR="00833130" w:rsidRPr="00A140FA" w:rsidRDefault="00833130" w:rsidP="00A140FA">
            <w:pPr>
              <w:ind w:left="40"/>
              <w:jc w:val="center"/>
              <w:rPr>
                <w:sz w:val="20"/>
                <w:szCs w:val="20"/>
              </w:rPr>
            </w:pPr>
            <w:r>
              <w:rPr>
                <w:rFonts w:eastAsia="Times New Roman"/>
                <w:sz w:val="16"/>
                <w:szCs w:val="16"/>
              </w:rPr>
              <w:t xml:space="preserve">N.Y. </w:t>
            </w:r>
            <w:r>
              <w:rPr>
                <w:rFonts w:eastAsia="Times New Roman"/>
                <w:sz w:val="16"/>
                <w:szCs w:val="16"/>
                <w:vertAlign w:val="superscript"/>
              </w:rPr>
              <w:t>9</w:t>
            </w:r>
            <w:r w:rsidR="00A140FA">
              <w:rPr>
                <w:rFonts w:eastAsia="Times New Roman"/>
                <w:sz w:val="16"/>
                <w:szCs w:val="16"/>
              </w:rPr>
              <w:t xml:space="preserve">, </w:t>
            </w:r>
            <w:r>
              <w:rPr>
                <w:rFonts w:eastAsia="Times New Roman"/>
                <w:sz w:val="16"/>
                <w:szCs w:val="16"/>
              </w:rPr>
              <w:t xml:space="preserve">N.J. </w:t>
            </w:r>
            <w:r>
              <w:rPr>
                <w:rFonts w:eastAsia="Times New Roman"/>
                <w:sz w:val="16"/>
                <w:szCs w:val="16"/>
                <w:vertAlign w:val="superscript"/>
              </w:rPr>
              <w:t>1 0</w:t>
            </w:r>
            <w:r w:rsidR="00A140FA">
              <w:rPr>
                <w:rFonts w:eastAsia="Times New Roman"/>
                <w:sz w:val="16"/>
                <w:szCs w:val="16"/>
              </w:rPr>
              <w:t>, GA</w:t>
            </w:r>
            <w:r w:rsidR="00A140FA">
              <w:rPr>
                <w:rFonts w:eastAsia="Times New Roman"/>
                <w:sz w:val="16"/>
                <w:szCs w:val="16"/>
                <w:vertAlign w:val="superscript"/>
              </w:rPr>
              <w:t>14</w:t>
            </w:r>
          </w:p>
        </w:tc>
      </w:tr>
      <w:tr w:rsidR="00A05208" w14:paraId="281A026D" w14:textId="77777777" w:rsidTr="00E972F9">
        <w:trPr>
          <w:trHeight w:val="579"/>
        </w:trPr>
        <w:tc>
          <w:tcPr>
            <w:tcW w:w="1580" w:type="dxa"/>
            <w:vMerge w:val="restart"/>
            <w:tcBorders>
              <w:top w:val="single" w:sz="8" w:space="0" w:color="auto"/>
              <w:right w:val="single" w:sz="8" w:space="0" w:color="auto"/>
            </w:tcBorders>
            <w:vAlign w:val="center"/>
          </w:tcPr>
          <w:p w14:paraId="281A0260" w14:textId="250D5834" w:rsidR="00A05208" w:rsidRDefault="00A05208" w:rsidP="00685152">
            <w:pPr>
              <w:rPr>
                <w:sz w:val="20"/>
                <w:szCs w:val="20"/>
              </w:rPr>
            </w:pPr>
            <w:r>
              <w:rPr>
                <w:rFonts w:eastAsia="Times New Roman"/>
                <w:sz w:val="16"/>
                <w:szCs w:val="16"/>
              </w:rPr>
              <w:t>Uranium</w:t>
            </w:r>
            <w:r>
              <w:rPr>
                <w:rFonts w:eastAsia="Times New Roman"/>
                <w:sz w:val="16"/>
                <w:szCs w:val="16"/>
                <w:vertAlign w:val="superscript"/>
              </w:rPr>
              <w:t>12</w:t>
            </w:r>
          </w:p>
        </w:tc>
        <w:tc>
          <w:tcPr>
            <w:tcW w:w="1620" w:type="dxa"/>
            <w:tcBorders>
              <w:top w:val="single" w:sz="8" w:space="0" w:color="auto"/>
              <w:bottom w:val="single" w:sz="8" w:space="0" w:color="auto"/>
              <w:right w:val="single" w:sz="8" w:space="0" w:color="auto"/>
            </w:tcBorders>
            <w:vAlign w:val="center"/>
          </w:tcPr>
          <w:p w14:paraId="281A0261" w14:textId="77777777" w:rsidR="00A05208" w:rsidRDefault="00A05208" w:rsidP="00685152">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262" w14:textId="77777777" w:rsidR="00A05208" w:rsidRDefault="00A05208" w:rsidP="00685152">
            <w:pPr>
              <w:ind w:left="20"/>
              <w:jc w:val="center"/>
              <w:rPr>
                <w:sz w:val="20"/>
                <w:szCs w:val="20"/>
              </w:rPr>
            </w:pPr>
            <w:r>
              <w:rPr>
                <w:rFonts w:eastAsia="Times New Roman"/>
                <w:sz w:val="16"/>
                <w:szCs w:val="16"/>
              </w:rPr>
              <w:t>908</w:t>
            </w:r>
          </w:p>
        </w:tc>
        <w:tc>
          <w:tcPr>
            <w:tcW w:w="440" w:type="dxa"/>
            <w:tcBorders>
              <w:top w:val="single" w:sz="8" w:space="0" w:color="auto"/>
              <w:bottom w:val="single" w:sz="8" w:space="0" w:color="auto"/>
              <w:right w:val="single" w:sz="8" w:space="0" w:color="auto"/>
            </w:tcBorders>
            <w:vAlign w:val="center"/>
          </w:tcPr>
          <w:p w14:paraId="281A0263" w14:textId="77777777" w:rsidR="00A05208" w:rsidRDefault="00A05208" w:rsidP="0068515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264" w14:textId="77777777" w:rsidR="00A05208" w:rsidRDefault="00A05208" w:rsidP="0068515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265" w14:textId="77777777" w:rsidR="00A05208" w:rsidRDefault="00A05208" w:rsidP="00685152">
            <w:pPr>
              <w:jc w:val="center"/>
              <w:rPr>
                <w:sz w:val="23"/>
                <w:szCs w:val="23"/>
              </w:rPr>
            </w:pPr>
          </w:p>
        </w:tc>
        <w:tc>
          <w:tcPr>
            <w:tcW w:w="1540" w:type="dxa"/>
            <w:tcBorders>
              <w:top w:val="single" w:sz="8" w:space="0" w:color="auto"/>
              <w:bottom w:val="single" w:sz="8" w:space="0" w:color="auto"/>
              <w:right w:val="single" w:sz="8" w:space="0" w:color="auto"/>
            </w:tcBorders>
            <w:vAlign w:val="center"/>
          </w:tcPr>
          <w:p w14:paraId="281A0266" w14:textId="16ED3EAC" w:rsidR="00A05208" w:rsidRDefault="00A05208" w:rsidP="00685152">
            <w:pPr>
              <w:ind w:left="20"/>
              <w:jc w:val="center"/>
              <w:rPr>
                <w:sz w:val="20"/>
                <w:szCs w:val="20"/>
              </w:rPr>
            </w:pPr>
            <w:r>
              <w:rPr>
                <w:rFonts w:eastAsia="Times New Roman"/>
                <w:sz w:val="16"/>
                <w:szCs w:val="16"/>
              </w:rPr>
              <w:t>7500-U B, 7500-U B-00</w:t>
            </w:r>
          </w:p>
        </w:tc>
        <w:tc>
          <w:tcPr>
            <w:tcW w:w="1180" w:type="dxa"/>
            <w:tcBorders>
              <w:top w:val="single" w:sz="8" w:space="0" w:color="auto"/>
              <w:bottom w:val="single" w:sz="8" w:space="0" w:color="auto"/>
              <w:right w:val="single" w:sz="8" w:space="0" w:color="auto"/>
            </w:tcBorders>
            <w:vAlign w:val="center"/>
          </w:tcPr>
          <w:p w14:paraId="281A0268" w14:textId="77777777" w:rsidR="00A05208" w:rsidRDefault="00A05208" w:rsidP="00685152">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269" w14:textId="77777777" w:rsidR="00A05208" w:rsidRDefault="00A05208" w:rsidP="00685152">
            <w:pPr>
              <w:jc w:val="center"/>
              <w:rPr>
                <w:sz w:val="23"/>
                <w:szCs w:val="23"/>
              </w:rPr>
            </w:pPr>
          </w:p>
        </w:tc>
        <w:tc>
          <w:tcPr>
            <w:tcW w:w="620" w:type="dxa"/>
            <w:tcBorders>
              <w:top w:val="single" w:sz="8" w:space="0" w:color="auto"/>
              <w:bottom w:val="single" w:sz="8" w:space="0" w:color="auto"/>
              <w:right w:val="single" w:sz="8" w:space="0" w:color="auto"/>
            </w:tcBorders>
            <w:vAlign w:val="center"/>
          </w:tcPr>
          <w:p w14:paraId="281A026A" w14:textId="77777777" w:rsidR="00A05208" w:rsidRDefault="00A05208" w:rsidP="00685152">
            <w:pPr>
              <w:jc w:val="center"/>
              <w:rPr>
                <w:sz w:val="23"/>
                <w:szCs w:val="23"/>
              </w:rPr>
            </w:pPr>
          </w:p>
        </w:tc>
        <w:tc>
          <w:tcPr>
            <w:tcW w:w="800" w:type="dxa"/>
            <w:tcBorders>
              <w:top w:val="single" w:sz="8" w:space="0" w:color="auto"/>
              <w:bottom w:val="single" w:sz="8" w:space="0" w:color="auto"/>
            </w:tcBorders>
            <w:vAlign w:val="center"/>
          </w:tcPr>
          <w:p w14:paraId="281A026B" w14:textId="19107232" w:rsidR="00A05208" w:rsidRDefault="00A05208" w:rsidP="00685152">
            <w:pPr>
              <w:ind w:left="40"/>
              <w:jc w:val="center"/>
              <w:rPr>
                <w:sz w:val="20"/>
                <w:szCs w:val="20"/>
              </w:rPr>
            </w:pPr>
          </w:p>
        </w:tc>
      </w:tr>
      <w:tr w:rsidR="00A05208" w14:paraId="281A0288" w14:textId="77777777" w:rsidTr="00A313B4">
        <w:trPr>
          <w:trHeight w:val="578"/>
        </w:trPr>
        <w:tc>
          <w:tcPr>
            <w:tcW w:w="1580" w:type="dxa"/>
            <w:vMerge/>
            <w:tcBorders>
              <w:right w:val="single" w:sz="8" w:space="0" w:color="auto"/>
            </w:tcBorders>
            <w:vAlign w:val="bottom"/>
          </w:tcPr>
          <w:p w14:paraId="281A027C" w14:textId="77777777" w:rsidR="00A05208" w:rsidRDefault="00A05208">
            <w:pPr>
              <w:rPr>
                <w:sz w:val="24"/>
                <w:szCs w:val="24"/>
              </w:rPr>
            </w:pPr>
          </w:p>
        </w:tc>
        <w:tc>
          <w:tcPr>
            <w:tcW w:w="1620" w:type="dxa"/>
            <w:tcBorders>
              <w:top w:val="single" w:sz="8" w:space="0" w:color="auto"/>
              <w:bottom w:val="single" w:sz="8" w:space="0" w:color="auto"/>
              <w:right w:val="single" w:sz="8" w:space="0" w:color="auto"/>
            </w:tcBorders>
            <w:vAlign w:val="center"/>
          </w:tcPr>
          <w:p w14:paraId="281A027D" w14:textId="77777777" w:rsidR="00A05208" w:rsidRDefault="00A05208" w:rsidP="00A05208">
            <w:pPr>
              <w:ind w:left="100"/>
              <w:jc w:val="center"/>
              <w:rPr>
                <w:sz w:val="20"/>
                <w:szCs w:val="20"/>
              </w:rPr>
            </w:pPr>
            <w:r>
              <w:rPr>
                <w:rFonts w:eastAsia="Times New Roman"/>
                <w:sz w:val="16"/>
                <w:szCs w:val="16"/>
              </w:rPr>
              <w:t>Fluorometric</w:t>
            </w:r>
          </w:p>
        </w:tc>
        <w:tc>
          <w:tcPr>
            <w:tcW w:w="540" w:type="dxa"/>
            <w:tcBorders>
              <w:top w:val="single" w:sz="8" w:space="0" w:color="auto"/>
              <w:bottom w:val="single" w:sz="8" w:space="0" w:color="auto"/>
              <w:right w:val="single" w:sz="8" w:space="0" w:color="auto"/>
            </w:tcBorders>
            <w:vAlign w:val="center"/>
          </w:tcPr>
          <w:p w14:paraId="281A027E" w14:textId="77777777" w:rsidR="00A05208" w:rsidRDefault="00A05208" w:rsidP="00A05208">
            <w:pPr>
              <w:ind w:left="20"/>
              <w:jc w:val="center"/>
              <w:rPr>
                <w:sz w:val="20"/>
                <w:szCs w:val="20"/>
              </w:rPr>
            </w:pPr>
            <w:r>
              <w:rPr>
                <w:rFonts w:eastAsia="Times New Roman"/>
                <w:sz w:val="16"/>
                <w:szCs w:val="16"/>
              </w:rPr>
              <w:t>908.1</w:t>
            </w:r>
          </w:p>
        </w:tc>
        <w:tc>
          <w:tcPr>
            <w:tcW w:w="440" w:type="dxa"/>
            <w:tcBorders>
              <w:top w:val="single" w:sz="8" w:space="0" w:color="auto"/>
              <w:bottom w:val="single" w:sz="8" w:space="0" w:color="auto"/>
              <w:right w:val="single" w:sz="8" w:space="0" w:color="auto"/>
            </w:tcBorders>
            <w:vAlign w:val="center"/>
          </w:tcPr>
          <w:p w14:paraId="281A027F" w14:textId="77777777" w:rsidR="00A05208" w:rsidRDefault="00A05208" w:rsidP="00A05208">
            <w:pPr>
              <w:jc w:val="center"/>
              <w:rPr>
                <w:sz w:val="24"/>
                <w:szCs w:val="24"/>
              </w:rPr>
            </w:pPr>
          </w:p>
        </w:tc>
        <w:tc>
          <w:tcPr>
            <w:tcW w:w="540" w:type="dxa"/>
            <w:tcBorders>
              <w:top w:val="single" w:sz="8" w:space="0" w:color="auto"/>
              <w:bottom w:val="single" w:sz="8" w:space="0" w:color="auto"/>
              <w:right w:val="single" w:sz="8" w:space="0" w:color="auto"/>
            </w:tcBorders>
            <w:vAlign w:val="center"/>
          </w:tcPr>
          <w:p w14:paraId="281A0280" w14:textId="77777777" w:rsidR="00A05208" w:rsidRDefault="00A05208" w:rsidP="00A05208">
            <w:pPr>
              <w:jc w:val="center"/>
              <w:rPr>
                <w:sz w:val="24"/>
                <w:szCs w:val="24"/>
              </w:rPr>
            </w:pPr>
          </w:p>
        </w:tc>
        <w:tc>
          <w:tcPr>
            <w:tcW w:w="540" w:type="dxa"/>
            <w:tcBorders>
              <w:top w:val="single" w:sz="8" w:space="0" w:color="auto"/>
              <w:bottom w:val="single" w:sz="8" w:space="0" w:color="auto"/>
              <w:right w:val="single" w:sz="8" w:space="0" w:color="auto"/>
            </w:tcBorders>
            <w:vAlign w:val="center"/>
          </w:tcPr>
          <w:p w14:paraId="281A0281" w14:textId="77777777" w:rsidR="00A05208" w:rsidRDefault="00A05208" w:rsidP="00A05208">
            <w:pPr>
              <w:jc w:val="center"/>
              <w:rPr>
                <w:sz w:val="24"/>
                <w:szCs w:val="24"/>
              </w:rPr>
            </w:pPr>
          </w:p>
        </w:tc>
        <w:tc>
          <w:tcPr>
            <w:tcW w:w="1540" w:type="dxa"/>
            <w:tcBorders>
              <w:top w:val="single" w:sz="8" w:space="0" w:color="auto"/>
              <w:bottom w:val="single" w:sz="8" w:space="0" w:color="auto"/>
              <w:right w:val="single" w:sz="8" w:space="0" w:color="auto"/>
            </w:tcBorders>
            <w:vAlign w:val="center"/>
          </w:tcPr>
          <w:p w14:paraId="281A0282" w14:textId="7CB555DF" w:rsidR="00A05208" w:rsidRDefault="00A05208" w:rsidP="00A05208">
            <w:pPr>
              <w:ind w:left="20"/>
              <w:jc w:val="center"/>
              <w:rPr>
                <w:sz w:val="20"/>
                <w:szCs w:val="20"/>
              </w:rPr>
            </w:pPr>
            <w:r>
              <w:rPr>
                <w:rFonts w:eastAsia="Times New Roman"/>
                <w:sz w:val="16"/>
                <w:szCs w:val="16"/>
              </w:rPr>
              <w:t>7500-U C (17</w:t>
            </w:r>
            <w:r>
              <w:rPr>
                <w:rFonts w:eastAsia="Times New Roman"/>
                <w:sz w:val="16"/>
                <w:szCs w:val="16"/>
                <w:vertAlign w:val="superscript"/>
              </w:rPr>
              <w:t>th</w:t>
            </w:r>
            <w:r>
              <w:rPr>
                <w:rFonts w:eastAsia="Times New Roman"/>
                <w:sz w:val="16"/>
                <w:szCs w:val="16"/>
              </w:rPr>
              <w:t xml:space="preserve"> Ed.)</w:t>
            </w:r>
          </w:p>
        </w:tc>
        <w:tc>
          <w:tcPr>
            <w:tcW w:w="1180" w:type="dxa"/>
            <w:tcBorders>
              <w:top w:val="single" w:sz="8" w:space="0" w:color="auto"/>
              <w:bottom w:val="single" w:sz="8" w:space="0" w:color="auto"/>
              <w:right w:val="single" w:sz="8" w:space="0" w:color="auto"/>
            </w:tcBorders>
            <w:vAlign w:val="center"/>
          </w:tcPr>
          <w:p w14:paraId="281A0283" w14:textId="42DE91E9" w:rsidR="00A05208" w:rsidRDefault="00A05208" w:rsidP="00A05208">
            <w:pPr>
              <w:jc w:val="center"/>
              <w:rPr>
                <w:sz w:val="20"/>
                <w:szCs w:val="20"/>
              </w:rPr>
            </w:pPr>
            <w:r>
              <w:rPr>
                <w:rFonts w:eastAsia="Times New Roman"/>
                <w:sz w:val="16"/>
                <w:szCs w:val="16"/>
              </w:rPr>
              <w:t>D2907–97</w:t>
            </w:r>
          </w:p>
        </w:tc>
        <w:tc>
          <w:tcPr>
            <w:tcW w:w="980" w:type="dxa"/>
            <w:tcBorders>
              <w:top w:val="single" w:sz="8" w:space="0" w:color="auto"/>
              <w:bottom w:val="single" w:sz="8" w:space="0" w:color="auto"/>
              <w:right w:val="single" w:sz="8" w:space="0" w:color="auto"/>
            </w:tcBorders>
            <w:vAlign w:val="center"/>
          </w:tcPr>
          <w:p w14:paraId="281A0284" w14:textId="305CB5F3" w:rsidR="00A05208" w:rsidRDefault="00A05208" w:rsidP="00A05208">
            <w:pPr>
              <w:jc w:val="center"/>
              <w:rPr>
                <w:sz w:val="20"/>
                <w:szCs w:val="20"/>
              </w:rPr>
            </w:pPr>
            <w:r>
              <w:rPr>
                <w:rFonts w:eastAsia="Times New Roman"/>
                <w:sz w:val="16"/>
                <w:szCs w:val="16"/>
              </w:rPr>
              <w:t>R–1180–76, R–1181–76</w:t>
            </w:r>
          </w:p>
        </w:tc>
        <w:tc>
          <w:tcPr>
            <w:tcW w:w="620" w:type="dxa"/>
            <w:tcBorders>
              <w:top w:val="single" w:sz="8" w:space="0" w:color="auto"/>
              <w:bottom w:val="single" w:sz="8" w:space="0" w:color="auto"/>
              <w:right w:val="single" w:sz="8" w:space="0" w:color="auto"/>
            </w:tcBorders>
            <w:vAlign w:val="center"/>
          </w:tcPr>
          <w:p w14:paraId="281A0285" w14:textId="77777777" w:rsidR="00A05208" w:rsidRDefault="00A05208" w:rsidP="00A05208">
            <w:pPr>
              <w:jc w:val="center"/>
              <w:rPr>
                <w:sz w:val="20"/>
                <w:szCs w:val="20"/>
              </w:rPr>
            </w:pPr>
            <w:r>
              <w:rPr>
                <w:rFonts w:eastAsia="Times New Roman"/>
                <w:sz w:val="16"/>
                <w:szCs w:val="16"/>
              </w:rPr>
              <w:t>U-04</w:t>
            </w:r>
          </w:p>
        </w:tc>
        <w:tc>
          <w:tcPr>
            <w:tcW w:w="800" w:type="dxa"/>
            <w:tcBorders>
              <w:top w:val="single" w:sz="8" w:space="0" w:color="auto"/>
              <w:bottom w:val="single" w:sz="8" w:space="0" w:color="auto"/>
            </w:tcBorders>
            <w:vAlign w:val="center"/>
          </w:tcPr>
          <w:p w14:paraId="281A0286" w14:textId="77777777" w:rsidR="00A05208" w:rsidRDefault="00A05208" w:rsidP="00A05208">
            <w:pPr>
              <w:jc w:val="center"/>
              <w:rPr>
                <w:sz w:val="24"/>
                <w:szCs w:val="24"/>
              </w:rPr>
            </w:pPr>
          </w:p>
        </w:tc>
      </w:tr>
      <w:tr w:rsidR="001366A2" w14:paraId="281A02A3" w14:textId="77777777" w:rsidTr="0050324E">
        <w:trPr>
          <w:trHeight w:val="848"/>
        </w:trPr>
        <w:tc>
          <w:tcPr>
            <w:tcW w:w="1580" w:type="dxa"/>
            <w:vMerge/>
            <w:tcBorders>
              <w:right w:val="single" w:sz="8" w:space="0" w:color="auto"/>
            </w:tcBorders>
            <w:vAlign w:val="bottom"/>
          </w:tcPr>
          <w:p w14:paraId="281A0297" w14:textId="77777777" w:rsidR="001366A2" w:rsidRDefault="001366A2">
            <w:pPr>
              <w:rPr>
                <w:sz w:val="23"/>
                <w:szCs w:val="23"/>
              </w:rPr>
            </w:pPr>
          </w:p>
        </w:tc>
        <w:tc>
          <w:tcPr>
            <w:tcW w:w="1620" w:type="dxa"/>
            <w:tcBorders>
              <w:top w:val="single" w:sz="8" w:space="0" w:color="auto"/>
              <w:bottom w:val="single" w:sz="8" w:space="0" w:color="auto"/>
              <w:right w:val="single" w:sz="8" w:space="0" w:color="auto"/>
            </w:tcBorders>
            <w:vAlign w:val="center"/>
          </w:tcPr>
          <w:p w14:paraId="281A0298" w14:textId="57CD5491" w:rsidR="001366A2" w:rsidRDefault="001366A2" w:rsidP="00E972F9">
            <w:pPr>
              <w:ind w:left="100"/>
              <w:jc w:val="center"/>
              <w:rPr>
                <w:sz w:val="20"/>
                <w:szCs w:val="20"/>
              </w:rPr>
            </w:pPr>
            <w:r>
              <w:rPr>
                <w:rFonts w:eastAsia="Times New Roman"/>
                <w:sz w:val="16"/>
                <w:szCs w:val="16"/>
              </w:rPr>
              <w:t>Alpha spectro</w:t>
            </w:r>
            <w:r w:rsidR="00A313B4">
              <w:rPr>
                <w:rFonts w:eastAsia="Times New Roman"/>
                <w:sz w:val="16"/>
                <w:szCs w:val="16"/>
              </w:rPr>
              <w:t>metry</w:t>
            </w:r>
          </w:p>
        </w:tc>
        <w:tc>
          <w:tcPr>
            <w:tcW w:w="540" w:type="dxa"/>
            <w:tcBorders>
              <w:top w:val="single" w:sz="8" w:space="0" w:color="auto"/>
              <w:bottom w:val="single" w:sz="8" w:space="0" w:color="auto"/>
              <w:right w:val="single" w:sz="8" w:space="0" w:color="auto"/>
            </w:tcBorders>
            <w:vAlign w:val="center"/>
          </w:tcPr>
          <w:p w14:paraId="281A0299" w14:textId="77777777" w:rsidR="001366A2" w:rsidRDefault="001366A2" w:rsidP="00E972F9">
            <w:pPr>
              <w:jc w:val="center"/>
              <w:rPr>
                <w:sz w:val="23"/>
                <w:szCs w:val="23"/>
              </w:rPr>
            </w:pPr>
          </w:p>
        </w:tc>
        <w:tc>
          <w:tcPr>
            <w:tcW w:w="440" w:type="dxa"/>
            <w:tcBorders>
              <w:top w:val="single" w:sz="8" w:space="0" w:color="auto"/>
              <w:bottom w:val="single" w:sz="8" w:space="0" w:color="auto"/>
              <w:right w:val="single" w:sz="8" w:space="0" w:color="auto"/>
            </w:tcBorders>
            <w:vAlign w:val="center"/>
          </w:tcPr>
          <w:p w14:paraId="281A029A" w14:textId="77777777" w:rsidR="001366A2" w:rsidRDefault="001366A2" w:rsidP="00E972F9">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29B" w14:textId="696E2258" w:rsidR="001366A2" w:rsidRDefault="001366A2" w:rsidP="00E972F9">
            <w:pPr>
              <w:ind w:left="40"/>
              <w:jc w:val="center"/>
              <w:rPr>
                <w:sz w:val="20"/>
                <w:szCs w:val="20"/>
              </w:rPr>
            </w:pPr>
            <w:r>
              <w:rPr>
                <w:rFonts w:eastAsia="Times New Roman"/>
                <w:sz w:val="16"/>
                <w:szCs w:val="16"/>
              </w:rPr>
              <w:t>00-07</w:t>
            </w:r>
          </w:p>
        </w:tc>
        <w:tc>
          <w:tcPr>
            <w:tcW w:w="540" w:type="dxa"/>
            <w:tcBorders>
              <w:top w:val="single" w:sz="8" w:space="0" w:color="auto"/>
              <w:bottom w:val="single" w:sz="8" w:space="0" w:color="auto"/>
              <w:right w:val="single" w:sz="8" w:space="0" w:color="auto"/>
            </w:tcBorders>
            <w:vAlign w:val="center"/>
          </w:tcPr>
          <w:p w14:paraId="281A029C" w14:textId="77777777" w:rsidR="001366A2" w:rsidRDefault="001366A2" w:rsidP="001366A2">
            <w:pPr>
              <w:ind w:left="40"/>
              <w:jc w:val="center"/>
              <w:rPr>
                <w:sz w:val="20"/>
                <w:szCs w:val="20"/>
              </w:rPr>
            </w:pPr>
            <w:r>
              <w:rPr>
                <w:rFonts w:eastAsia="Times New Roman"/>
                <w:sz w:val="16"/>
                <w:szCs w:val="16"/>
              </w:rPr>
              <w:t>p 33</w:t>
            </w:r>
          </w:p>
        </w:tc>
        <w:tc>
          <w:tcPr>
            <w:tcW w:w="1540" w:type="dxa"/>
            <w:tcBorders>
              <w:top w:val="single" w:sz="8" w:space="0" w:color="auto"/>
              <w:bottom w:val="single" w:sz="8" w:space="0" w:color="auto"/>
              <w:right w:val="single" w:sz="8" w:space="0" w:color="auto"/>
            </w:tcBorders>
            <w:vAlign w:val="center"/>
          </w:tcPr>
          <w:p w14:paraId="281A029D" w14:textId="4B61F772" w:rsidR="001366A2" w:rsidRDefault="001366A2" w:rsidP="001366A2">
            <w:pPr>
              <w:ind w:left="20"/>
              <w:jc w:val="center"/>
              <w:rPr>
                <w:sz w:val="20"/>
                <w:szCs w:val="20"/>
              </w:rPr>
            </w:pPr>
            <w:r>
              <w:rPr>
                <w:rFonts w:eastAsia="Times New Roman"/>
                <w:sz w:val="16"/>
                <w:szCs w:val="16"/>
              </w:rPr>
              <w:t>7500-U C (18</w:t>
            </w:r>
            <w:r>
              <w:rPr>
                <w:rFonts w:eastAsia="Times New Roman"/>
                <w:sz w:val="16"/>
                <w:szCs w:val="16"/>
                <w:vertAlign w:val="superscript"/>
              </w:rPr>
              <w:t>th</w:t>
            </w:r>
            <w:r>
              <w:rPr>
                <w:rFonts w:eastAsia="Times New Roman"/>
                <w:sz w:val="16"/>
                <w:szCs w:val="16"/>
              </w:rPr>
              <w:t>, 19</w:t>
            </w:r>
            <w:r>
              <w:rPr>
                <w:rFonts w:eastAsia="Times New Roman"/>
                <w:sz w:val="16"/>
                <w:szCs w:val="16"/>
                <w:vertAlign w:val="superscript"/>
              </w:rPr>
              <w:t>th</w:t>
            </w:r>
            <w:r>
              <w:rPr>
                <w:rFonts w:eastAsia="Times New Roman"/>
                <w:sz w:val="16"/>
                <w:szCs w:val="16"/>
              </w:rPr>
              <w:t>, or 20</w:t>
            </w:r>
            <w:r>
              <w:rPr>
                <w:rFonts w:eastAsia="Times New Roman"/>
                <w:sz w:val="16"/>
                <w:szCs w:val="16"/>
                <w:vertAlign w:val="superscript"/>
              </w:rPr>
              <w:t>th</w:t>
            </w:r>
            <w:r>
              <w:rPr>
                <w:rFonts w:eastAsia="Times New Roman"/>
                <w:sz w:val="16"/>
                <w:szCs w:val="16"/>
              </w:rPr>
              <w:t xml:space="preserve"> edition) 7500-U C-00</w:t>
            </w:r>
          </w:p>
        </w:tc>
        <w:tc>
          <w:tcPr>
            <w:tcW w:w="1180" w:type="dxa"/>
            <w:tcBorders>
              <w:top w:val="single" w:sz="8" w:space="0" w:color="auto"/>
              <w:bottom w:val="single" w:sz="8" w:space="0" w:color="auto"/>
              <w:right w:val="single" w:sz="8" w:space="0" w:color="auto"/>
            </w:tcBorders>
            <w:vAlign w:val="center"/>
          </w:tcPr>
          <w:p w14:paraId="281A029E" w14:textId="4AF45870" w:rsidR="001366A2" w:rsidRDefault="001366A2" w:rsidP="001366A2">
            <w:pPr>
              <w:jc w:val="center"/>
              <w:rPr>
                <w:sz w:val="20"/>
                <w:szCs w:val="20"/>
              </w:rPr>
            </w:pPr>
            <w:r>
              <w:rPr>
                <w:rFonts w:eastAsia="Times New Roman"/>
                <w:sz w:val="16"/>
                <w:szCs w:val="16"/>
              </w:rPr>
              <w:t>D3972–97, 02</w:t>
            </w:r>
          </w:p>
        </w:tc>
        <w:tc>
          <w:tcPr>
            <w:tcW w:w="980" w:type="dxa"/>
            <w:tcBorders>
              <w:top w:val="single" w:sz="8" w:space="0" w:color="auto"/>
              <w:bottom w:val="single" w:sz="8" w:space="0" w:color="auto"/>
              <w:right w:val="single" w:sz="8" w:space="0" w:color="auto"/>
            </w:tcBorders>
            <w:vAlign w:val="center"/>
          </w:tcPr>
          <w:p w14:paraId="281A029F" w14:textId="77777777" w:rsidR="001366A2" w:rsidRDefault="001366A2" w:rsidP="001366A2">
            <w:pPr>
              <w:jc w:val="center"/>
              <w:rPr>
                <w:sz w:val="20"/>
                <w:szCs w:val="20"/>
              </w:rPr>
            </w:pPr>
            <w:r>
              <w:rPr>
                <w:rFonts w:eastAsia="Times New Roman"/>
                <w:sz w:val="16"/>
                <w:szCs w:val="16"/>
              </w:rPr>
              <w:t>R–1182–76</w:t>
            </w:r>
          </w:p>
        </w:tc>
        <w:tc>
          <w:tcPr>
            <w:tcW w:w="620" w:type="dxa"/>
            <w:tcBorders>
              <w:top w:val="single" w:sz="8" w:space="0" w:color="auto"/>
              <w:bottom w:val="single" w:sz="8" w:space="0" w:color="auto"/>
              <w:right w:val="single" w:sz="8" w:space="0" w:color="auto"/>
            </w:tcBorders>
            <w:vAlign w:val="center"/>
          </w:tcPr>
          <w:p w14:paraId="281A02A0" w14:textId="77777777" w:rsidR="001366A2" w:rsidRDefault="001366A2" w:rsidP="001366A2">
            <w:pPr>
              <w:jc w:val="center"/>
              <w:rPr>
                <w:sz w:val="20"/>
                <w:szCs w:val="20"/>
              </w:rPr>
            </w:pPr>
            <w:r>
              <w:rPr>
                <w:rFonts w:eastAsia="Times New Roman"/>
                <w:sz w:val="16"/>
                <w:szCs w:val="16"/>
              </w:rPr>
              <w:t>U-02</w:t>
            </w:r>
          </w:p>
        </w:tc>
        <w:tc>
          <w:tcPr>
            <w:tcW w:w="800" w:type="dxa"/>
            <w:tcBorders>
              <w:top w:val="single" w:sz="8" w:space="0" w:color="auto"/>
              <w:bottom w:val="single" w:sz="8" w:space="0" w:color="auto"/>
            </w:tcBorders>
            <w:vAlign w:val="center"/>
          </w:tcPr>
          <w:p w14:paraId="281A02A1" w14:textId="77777777" w:rsidR="001366A2" w:rsidRDefault="001366A2" w:rsidP="001366A2">
            <w:pPr>
              <w:jc w:val="center"/>
              <w:rPr>
                <w:sz w:val="23"/>
                <w:szCs w:val="23"/>
              </w:rPr>
            </w:pPr>
          </w:p>
        </w:tc>
      </w:tr>
      <w:tr w:rsidR="0050324E" w14:paraId="281A02CD" w14:textId="77777777" w:rsidTr="0050324E">
        <w:trPr>
          <w:trHeight w:val="310"/>
        </w:trPr>
        <w:tc>
          <w:tcPr>
            <w:tcW w:w="1580" w:type="dxa"/>
            <w:vMerge/>
            <w:tcBorders>
              <w:right w:val="single" w:sz="8" w:space="0" w:color="auto"/>
            </w:tcBorders>
            <w:vAlign w:val="bottom"/>
          </w:tcPr>
          <w:p w14:paraId="281A02C0" w14:textId="77777777" w:rsidR="0050324E" w:rsidRDefault="0050324E">
            <w:pPr>
              <w:spacing w:line="20" w:lineRule="exact"/>
              <w:rPr>
                <w:sz w:val="1"/>
                <w:szCs w:val="1"/>
              </w:rPr>
            </w:pPr>
          </w:p>
        </w:tc>
        <w:tc>
          <w:tcPr>
            <w:tcW w:w="1620" w:type="dxa"/>
            <w:tcBorders>
              <w:top w:val="single" w:sz="8" w:space="0" w:color="auto"/>
              <w:bottom w:val="single" w:sz="8" w:space="0" w:color="auto"/>
              <w:right w:val="single" w:sz="8" w:space="0" w:color="auto"/>
            </w:tcBorders>
            <w:vAlign w:val="center"/>
          </w:tcPr>
          <w:p w14:paraId="281A02C1" w14:textId="77777777" w:rsidR="0050324E" w:rsidRDefault="0050324E" w:rsidP="0050324E">
            <w:pPr>
              <w:ind w:left="100"/>
              <w:jc w:val="center"/>
              <w:rPr>
                <w:sz w:val="20"/>
                <w:szCs w:val="20"/>
              </w:rPr>
            </w:pPr>
            <w:r>
              <w:rPr>
                <w:rFonts w:eastAsia="Times New Roman"/>
                <w:sz w:val="16"/>
                <w:szCs w:val="16"/>
              </w:rPr>
              <w:t>Laser phosphorimetry</w:t>
            </w:r>
          </w:p>
        </w:tc>
        <w:tc>
          <w:tcPr>
            <w:tcW w:w="540" w:type="dxa"/>
            <w:tcBorders>
              <w:top w:val="single" w:sz="8" w:space="0" w:color="auto"/>
              <w:bottom w:val="single" w:sz="8" w:space="0" w:color="auto"/>
              <w:right w:val="single" w:sz="8" w:space="0" w:color="auto"/>
            </w:tcBorders>
            <w:vAlign w:val="center"/>
          </w:tcPr>
          <w:p w14:paraId="281A02C2" w14:textId="77777777" w:rsidR="0050324E" w:rsidRPr="00972BC7" w:rsidRDefault="0050324E" w:rsidP="00972BC7">
            <w:pPr>
              <w:jc w:val="center"/>
              <w:rPr>
                <w:sz w:val="16"/>
                <w:szCs w:val="16"/>
              </w:rPr>
            </w:pPr>
          </w:p>
        </w:tc>
        <w:tc>
          <w:tcPr>
            <w:tcW w:w="440" w:type="dxa"/>
            <w:tcBorders>
              <w:top w:val="single" w:sz="8" w:space="0" w:color="auto"/>
              <w:bottom w:val="single" w:sz="8" w:space="0" w:color="auto"/>
              <w:right w:val="single" w:sz="8" w:space="0" w:color="auto"/>
            </w:tcBorders>
            <w:vAlign w:val="center"/>
          </w:tcPr>
          <w:p w14:paraId="281A02C3" w14:textId="77777777" w:rsidR="0050324E" w:rsidRPr="00972BC7" w:rsidRDefault="0050324E" w:rsidP="00972BC7">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2C4" w14:textId="77777777" w:rsidR="0050324E" w:rsidRPr="0050324E" w:rsidRDefault="0050324E" w:rsidP="0050324E">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2C5" w14:textId="77777777" w:rsidR="0050324E" w:rsidRPr="0050324E" w:rsidRDefault="0050324E" w:rsidP="0050324E">
            <w:pPr>
              <w:jc w:val="center"/>
              <w:rPr>
                <w:sz w:val="16"/>
                <w:szCs w:val="16"/>
              </w:rPr>
            </w:pPr>
          </w:p>
        </w:tc>
        <w:tc>
          <w:tcPr>
            <w:tcW w:w="1540" w:type="dxa"/>
            <w:tcBorders>
              <w:top w:val="single" w:sz="8" w:space="0" w:color="auto"/>
              <w:bottom w:val="single" w:sz="8" w:space="0" w:color="auto"/>
              <w:right w:val="single" w:sz="8" w:space="0" w:color="auto"/>
            </w:tcBorders>
            <w:vAlign w:val="center"/>
          </w:tcPr>
          <w:p w14:paraId="281A02C6" w14:textId="77777777" w:rsidR="0050324E" w:rsidRPr="0050324E" w:rsidRDefault="0050324E" w:rsidP="0050324E">
            <w:pPr>
              <w:jc w:val="center"/>
              <w:rPr>
                <w:sz w:val="16"/>
                <w:szCs w:val="16"/>
              </w:rPr>
            </w:pPr>
          </w:p>
        </w:tc>
        <w:tc>
          <w:tcPr>
            <w:tcW w:w="1180" w:type="dxa"/>
            <w:tcBorders>
              <w:top w:val="single" w:sz="8" w:space="0" w:color="auto"/>
              <w:bottom w:val="single" w:sz="8" w:space="0" w:color="auto"/>
              <w:right w:val="single" w:sz="8" w:space="0" w:color="auto"/>
            </w:tcBorders>
            <w:vAlign w:val="center"/>
          </w:tcPr>
          <w:p w14:paraId="281A02C8" w14:textId="1AF1A1F2" w:rsidR="0050324E" w:rsidRDefault="0050324E" w:rsidP="0050324E">
            <w:pPr>
              <w:jc w:val="center"/>
              <w:rPr>
                <w:sz w:val="1"/>
                <w:szCs w:val="1"/>
              </w:rPr>
            </w:pPr>
            <w:r>
              <w:rPr>
                <w:rFonts w:eastAsia="Times New Roman"/>
                <w:sz w:val="16"/>
                <w:szCs w:val="16"/>
              </w:rPr>
              <w:t>D5174–97, 02</w:t>
            </w:r>
          </w:p>
        </w:tc>
        <w:tc>
          <w:tcPr>
            <w:tcW w:w="980" w:type="dxa"/>
            <w:tcBorders>
              <w:top w:val="single" w:sz="8" w:space="0" w:color="auto"/>
              <w:left w:val="single" w:sz="8" w:space="0" w:color="auto"/>
              <w:bottom w:val="single" w:sz="8" w:space="0" w:color="auto"/>
              <w:right w:val="single" w:sz="8" w:space="0" w:color="auto"/>
            </w:tcBorders>
            <w:vAlign w:val="center"/>
          </w:tcPr>
          <w:p w14:paraId="281A02C9" w14:textId="77777777" w:rsidR="0050324E" w:rsidRPr="0050324E" w:rsidRDefault="0050324E" w:rsidP="0050324E">
            <w:pPr>
              <w:jc w:val="center"/>
              <w:rPr>
                <w:sz w:val="16"/>
                <w:szCs w:val="16"/>
              </w:rPr>
            </w:pPr>
          </w:p>
        </w:tc>
        <w:tc>
          <w:tcPr>
            <w:tcW w:w="620" w:type="dxa"/>
            <w:tcBorders>
              <w:top w:val="single" w:sz="8" w:space="0" w:color="auto"/>
              <w:bottom w:val="single" w:sz="8" w:space="0" w:color="auto"/>
              <w:right w:val="single" w:sz="8" w:space="0" w:color="auto"/>
            </w:tcBorders>
            <w:vAlign w:val="center"/>
          </w:tcPr>
          <w:p w14:paraId="281A02CA" w14:textId="77777777" w:rsidR="0050324E" w:rsidRPr="0050324E" w:rsidRDefault="0050324E" w:rsidP="0050324E">
            <w:pPr>
              <w:jc w:val="center"/>
              <w:rPr>
                <w:sz w:val="16"/>
                <w:szCs w:val="16"/>
              </w:rPr>
            </w:pPr>
          </w:p>
        </w:tc>
        <w:tc>
          <w:tcPr>
            <w:tcW w:w="800" w:type="dxa"/>
            <w:tcBorders>
              <w:top w:val="single" w:sz="8" w:space="0" w:color="auto"/>
              <w:bottom w:val="single" w:sz="8" w:space="0" w:color="auto"/>
            </w:tcBorders>
            <w:vAlign w:val="center"/>
          </w:tcPr>
          <w:p w14:paraId="281A02CB" w14:textId="77777777" w:rsidR="0050324E" w:rsidRPr="0050324E" w:rsidRDefault="0050324E" w:rsidP="0050324E">
            <w:pPr>
              <w:jc w:val="center"/>
              <w:rPr>
                <w:sz w:val="16"/>
                <w:szCs w:val="16"/>
              </w:rPr>
            </w:pPr>
          </w:p>
        </w:tc>
      </w:tr>
      <w:tr w:rsidR="00A05208" w14:paraId="281A02E8" w14:textId="77777777" w:rsidTr="007D5DD2">
        <w:trPr>
          <w:trHeight w:val="270"/>
        </w:trPr>
        <w:tc>
          <w:tcPr>
            <w:tcW w:w="1580" w:type="dxa"/>
            <w:vMerge/>
            <w:tcBorders>
              <w:right w:val="single" w:sz="8" w:space="0" w:color="auto"/>
            </w:tcBorders>
            <w:vAlign w:val="bottom"/>
          </w:tcPr>
          <w:p w14:paraId="281A02DC" w14:textId="77777777" w:rsidR="00A05208" w:rsidRDefault="00A05208">
            <w:pPr>
              <w:rPr>
                <w:sz w:val="23"/>
                <w:szCs w:val="23"/>
              </w:rPr>
            </w:pPr>
          </w:p>
        </w:tc>
        <w:tc>
          <w:tcPr>
            <w:tcW w:w="1620" w:type="dxa"/>
            <w:tcBorders>
              <w:top w:val="single" w:sz="8" w:space="0" w:color="auto"/>
              <w:right w:val="single" w:sz="8" w:space="0" w:color="auto"/>
            </w:tcBorders>
            <w:vAlign w:val="center"/>
          </w:tcPr>
          <w:p w14:paraId="281A02DD" w14:textId="77777777" w:rsidR="00A05208" w:rsidRDefault="00A05208" w:rsidP="007D5DD2">
            <w:pPr>
              <w:ind w:left="100"/>
              <w:jc w:val="center"/>
              <w:rPr>
                <w:sz w:val="20"/>
                <w:szCs w:val="20"/>
              </w:rPr>
            </w:pPr>
            <w:r>
              <w:rPr>
                <w:rFonts w:eastAsia="Times New Roman"/>
                <w:sz w:val="16"/>
                <w:szCs w:val="16"/>
              </w:rPr>
              <w:t>ICP-MS</w:t>
            </w:r>
          </w:p>
        </w:tc>
        <w:tc>
          <w:tcPr>
            <w:tcW w:w="540" w:type="dxa"/>
            <w:tcBorders>
              <w:top w:val="single" w:sz="8" w:space="0" w:color="auto"/>
              <w:right w:val="single" w:sz="8" w:space="0" w:color="auto"/>
            </w:tcBorders>
            <w:vAlign w:val="center"/>
          </w:tcPr>
          <w:p w14:paraId="281A02DE" w14:textId="7B16525F" w:rsidR="00A05208" w:rsidRDefault="00A05208" w:rsidP="007D5DD2">
            <w:pPr>
              <w:ind w:left="20"/>
              <w:jc w:val="center"/>
              <w:rPr>
                <w:sz w:val="20"/>
                <w:szCs w:val="20"/>
              </w:rPr>
            </w:pPr>
            <w:r>
              <w:rPr>
                <w:rFonts w:eastAsia="Times New Roman"/>
                <w:w w:val="97"/>
                <w:sz w:val="16"/>
                <w:szCs w:val="16"/>
              </w:rPr>
              <w:t>200.8</w:t>
            </w:r>
            <w:r>
              <w:rPr>
                <w:rFonts w:eastAsia="Times New Roman"/>
                <w:w w:val="97"/>
                <w:sz w:val="16"/>
                <w:szCs w:val="16"/>
                <w:vertAlign w:val="superscript"/>
              </w:rPr>
              <w:t>13</w:t>
            </w:r>
          </w:p>
        </w:tc>
        <w:tc>
          <w:tcPr>
            <w:tcW w:w="440" w:type="dxa"/>
            <w:tcBorders>
              <w:top w:val="single" w:sz="8" w:space="0" w:color="auto"/>
              <w:right w:val="single" w:sz="8" w:space="0" w:color="auto"/>
            </w:tcBorders>
            <w:vAlign w:val="center"/>
          </w:tcPr>
          <w:p w14:paraId="281A02DF" w14:textId="77777777" w:rsidR="00A05208" w:rsidRDefault="00A05208" w:rsidP="007D5DD2">
            <w:pPr>
              <w:jc w:val="center"/>
              <w:rPr>
                <w:sz w:val="23"/>
                <w:szCs w:val="23"/>
              </w:rPr>
            </w:pPr>
          </w:p>
        </w:tc>
        <w:tc>
          <w:tcPr>
            <w:tcW w:w="540" w:type="dxa"/>
            <w:tcBorders>
              <w:top w:val="single" w:sz="8" w:space="0" w:color="auto"/>
              <w:right w:val="single" w:sz="8" w:space="0" w:color="auto"/>
            </w:tcBorders>
            <w:vAlign w:val="center"/>
          </w:tcPr>
          <w:p w14:paraId="281A02E0" w14:textId="77777777" w:rsidR="00A05208" w:rsidRDefault="00A05208" w:rsidP="007D5DD2">
            <w:pPr>
              <w:jc w:val="center"/>
              <w:rPr>
                <w:sz w:val="23"/>
                <w:szCs w:val="23"/>
              </w:rPr>
            </w:pPr>
          </w:p>
        </w:tc>
        <w:tc>
          <w:tcPr>
            <w:tcW w:w="540" w:type="dxa"/>
            <w:tcBorders>
              <w:top w:val="single" w:sz="8" w:space="0" w:color="auto"/>
              <w:right w:val="single" w:sz="8" w:space="0" w:color="auto"/>
            </w:tcBorders>
            <w:vAlign w:val="center"/>
          </w:tcPr>
          <w:p w14:paraId="281A02E1" w14:textId="77777777" w:rsidR="00A05208" w:rsidRDefault="00A05208" w:rsidP="007D5DD2">
            <w:pPr>
              <w:jc w:val="center"/>
              <w:rPr>
                <w:sz w:val="23"/>
                <w:szCs w:val="23"/>
              </w:rPr>
            </w:pPr>
          </w:p>
        </w:tc>
        <w:tc>
          <w:tcPr>
            <w:tcW w:w="1540" w:type="dxa"/>
            <w:tcBorders>
              <w:top w:val="single" w:sz="8" w:space="0" w:color="auto"/>
              <w:right w:val="single" w:sz="8" w:space="0" w:color="auto"/>
            </w:tcBorders>
            <w:vAlign w:val="center"/>
          </w:tcPr>
          <w:p w14:paraId="281A02E2" w14:textId="77777777" w:rsidR="00A05208" w:rsidRDefault="00A05208" w:rsidP="007D5DD2">
            <w:pPr>
              <w:ind w:left="20"/>
              <w:jc w:val="center"/>
              <w:rPr>
                <w:sz w:val="20"/>
                <w:szCs w:val="20"/>
              </w:rPr>
            </w:pPr>
            <w:r>
              <w:rPr>
                <w:rFonts w:eastAsia="Times New Roman"/>
                <w:sz w:val="16"/>
                <w:szCs w:val="16"/>
              </w:rPr>
              <w:t>3125</w:t>
            </w:r>
          </w:p>
        </w:tc>
        <w:tc>
          <w:tcPr>
            <w:tcW w:w="1180" w:type="dxa"/>
            <w:tcBorders>
              <w:top w:val="single" w:sz="8" w:space="0" w:color="auto"/>
              <w:right w:val="single" w:sz="8" w:space="0" w:color="auto"/>
            </w:tcBorders>
            <w:vAlign w:val="center"/>
          </w:tcPr>
          <w:p w14:paraId="281A02E3" w14:textId="2262FF99" w:rsidR="00A05208" w:rsidRDefault="00A05208" w:rsidP="007D5DD2">
            <w:pPr>
              <w:jc w:val="center"/>
              <w:rPr>
                <w:sz w:val="20"/>
                <w:szCs w:val="20"/>
              </w:rPr>
            </w:pPr>
            <w:r>
              <w:rPr>
                <w:rFonts w:eastAsia="Times New Roman"/>
                <w:sz w:val="16"/>
                <w:szCs w:val="16"/>
              </w:rPr>
              <w:t>D5673-03</w:t>
            </w:r>
          </w:p>
        </w:tc>
        <w:tc>
          <w:tcPr>
            <w:tcW w:w="980" w:type="dxa"/>
            <w:tcBorders>
              <w:top w:val="single" w:sz="8" w:space="0" w:color="auto"/>
              <w:right w:val="single" w:sz="8" w:space="0" w:color="auto"/>
            </w:tcBorders>
            <w:vAlign w:val="center"/>
          </w:tcPr>
          <w:p w14:paraId="281A02E4" w14:textId="77777777" w:rsidR="00A05208" w:rsidRDefault="00A05208" w:rsidP="007D5DD2">
            <w:pPr>
              <w:jc w:val="center"/>
              <w:rPr>
                <w:sz w:val="23"/>
                <w:szCs w:val="23"/>
              </w:rPr>
            </w:pPr>
          </w:p>
        </w:tc>
        <w:tc>
          <w:tcPr>
            <w:tcW w:w="620" w:type="dxa"/>
            <w:tcBorders>
              <w:top w:val="single" w:sz="8" w:space="0" w:color="auto"/>
              <w:right w:val="single" w:sz="8" w:space="0" w:color="auto"/>
            </w:tcBorders>
            <w:vAlign w:val="center"/>
          </w:tcPr>
          <w:p w14:paraId="281A02E5" w14:textId="77777777" w:rsidR="00A05208" w:rsidRDefault="00A05208" w:rsidP="007D5DD2">
            <w:pPr>
              <w:jc w:val="center"/>
              <w:rPr>
                <w:sz w:val="23"/>
                <w:szCs w:val="23"/>
              </w:rPr>
            </w:pPr>
          </w:p>
        </w:tc>
        <w:tc>
          <w:tcPr>
            <w:tcW w:w="800" w:type="dxa"/>
            <w:tcBorders>
              <w:top w:val="single" w:sz="8" w:space="0" w:color="auto"/>
            </w:tcBorders>
            <w:vAlign w:val="center"/>
          </w:tcPr>
          <w:p w14:paraId="281A02E6" w14:textId="77777777" w:rsidR="00A05208" w:rsidRDefault="00A05208" w:rsidP="007D5DD2">
            <w:pPr>
              <w:jc w:val="center"/>
              <w:rPr>
                <w:sz w:val="23"/>
                <w:szCs w:val="23"/>
              </w:rPr>
            </w:pPr>
          </w:p>
        </w:tc>
      </w:tr>
      <w:tr w:rsidR="007D5DD2" w14:paraId="281A02F6" w14:textId="77777777" w:rsidTr="007D5DD2">
        <w:trPr>
          <w:trHeight w:val="278"/>
        </w:trPr>
        <w:tc>
          <w:tcPr>
            <w:tcW w:w="10380" w:type="dxa"/>
            <w:gridSpan w:val="11"/>
            <w:tcBorders>
              <w:top w:val="single" w:sz="8" w:space="0" w:color="auto"/>
              <w:bottom w:val="single" w:sz="8" w:space="0" w:color="auto"/>
            </w:tcBorders>
            <w:vAlign w:val="center"/>
          </w:tcPr>
          <w:p w14:paraId="281A02F4" w14:textId="7C94A688" w:rsidR="007D5DD2" w:rsidRDefault="007D5DD2" w:rsidP="007D5DD2">
            <w:pPr>
              <w:rPr>
                <w:sz w:val="24"/>
                <w:szCs w:val="24"/>
              </w:rPr>
            </w:pPr>
            <w:r>
              <w:rPr>
                <w:rFonts w:eastAsia="Times New Roman"/>
                <w:sz w:val="16"/>
                <w:szCs w:val="16"/>
              </w:rPr>
              <w:t>Man-made:</w:t>
            </w:r>
          </w:p>
        </w:tc>
      </w:tr>
      <w:tr w:rsidR="0055218F" w14:paraId="281A0303" w14:textId="77777777" w:rsidTr="00661682">
        <w:trPr>
          <w:trHeight w:val="547"/>
        </w:trPr>
        <w:tc>
          <w:tcPr>
            <w:tcW w:w="1580" w:type="dxa"/>
            <w:vMerge w:val="restart"/>
            <w:tcBorders>
              <w:bottom w:val="single" w:sz="8" w:space="0" w:color="auto"/>
              <w:right w:val="single" w:sz="8" w:space="0" w:color="auto"/>
            </w:tcBorders>
            <w:vAlign w:val="center"/>
          </w:tcPr>
          <w:p w14:paraId="281A02F7" w14:textId="77777777" w:rsidR="0055218F" w:rsidRDefault="0055218F" w:rsidP="007D5DD2">
            <w:pPr>
              <w:rPr>
                <w:sz w:val="20"/>
                <w:szCs w:val="20"/>
              </w:rPr>
            </w:pPr>
            <w:r>
              <w:rPr>
                <w:rFonts w:eastAsia="Times New Roman"/>
                <w:sz w:val="16"/>
                <w:szCs w:val="16"/>
              </w:rPr>
              <w:t>Radioactive cesium</w:t>
            </w:r>
          </w:p>
        </w:tc>
        <w:tc>
          <w:tcPr>
            <w:tcW w:w="1620" w:type="dxa"/>
            <w:tcBorders>
              <w:bottom w:val="single" w:sz="8" w:space="0" w:color="auto"/>
              <w:right w:val="single" w:sz="8" w:space="0" w:color="auto"/>
            </w:tcBorders>
            <w:vAlign w:val="center"/>
          </w:tcPr>
          <w:p w14:paraId="281A02F8" w14:textId="77777777" w:rsidR="0055218F" w:rsidRDefault="0055218F" w:rsidP="0055218F">
            <w:pPr>
              <w:ind w:left="100"/>
              <w:jc w:val="center"/>
              <w:rPr>
                <w:sz w:val="20"/>
                <w:szCs w:val="20"/>
              </w:rPr>
            </w:pPr>
            <w:r>
              <w:rPr>
                <w:rFonts w:eastAsia="Times New Roman"/>
                <w:sz w:val="16"/>
                <w:szCs w:val="16"/>
              </w:rPr>
              <w:t>Radiochemical</w:t>
            </w:r>
          </w:p>
        </w:tc>
        <w:tc>
          <w:tcPr>
            <w:tcW w:w="540" w:type="dxa"/>
            <w:tcBorders>
              <w:bottom w:val="single" w:sz="8" w:space="0" w:color="auto"/>
              <w:right w:val="single" w:sz="8" w:space="0" w:color="auto"/>
            </w:tcBorders>
            <w:vAlign w:val="center"/>
          </w:tcPr>
          <w:p w14:paraId="281A02F9" w14:textId="5F749B83" w:rsidR="0055218F" w:rsidRDefault="0055218F" w:rsidP="0055218F">
            <w:pPr>
              <w:ind w:left="20"/>
              <w:jc w:val="center"/>
              <w:rPr>
                <w:sz w:val="20"/>
                <w:szCs w:val="20"/>
              </w:rPr>
            </w:pPr>
            <w:r>
              <w:rPr>
                <w:rFonts w:eastAsia="Times New Roman"/>
                <w:sz w:val="16"/>
                <w:szCs w:val="16"/>
              </w:rPr>
              <w:t>901</w:t>
            </w:r>
            <w:r w:rsidR="00F17206">
              <w:rPr>
                <w:rFonts w:eastAsia="Times New Roman"/>
                <w:sz w:val="16"/>
                <w:szCs w:val="16"/>
              </w:rPr>
              <w:t>.0</w:t>
            </w:r>
          </w:p>
        </w:tc>
        <w:tc>
          <w:tcPr>
            <w:tcW w:w="440" w:type="dxa"/>
            <w:tcBorders>
              <w:bottom w:val="single" w:sz="8" w:space="0" w:color="auto"/>
              <w:right w:val="single" w:sz="8" w:space="0" w:color="auto"/>
            </w:tcBorders>
            <w:vAlign w:val="center"/>
          </w:tcPr>
          <w:p w14:paraId="281A02FA" w14:textId="77777777" w:rsidR="0055218F" w:rsidRDefault="0055218F" w:rsidP="0055218F">
            <w:pPr>
              <w:ind w:left="20"/>
              <w:jc w:val="center"/>
              <w:rPr>
                <w:sz w:val="20"/>
                <w:szCs w:val="20"/>
              </w:rPr>
            </w:pPr>
            <w:r>
              <w:rPr>
                <w:rFonts w:eastAsia="Times New Roman"/>
                <w:sz w:val="16"/>
                <w:szCs w:val="16"/>
              </w:rPr>
              <w:t>p 4</w:t>
            </w:r>
          </w:p>
        </w:tc>
        <w:tc>
          <w:tcPr>
            <w:tcW w:w="540" w:type="dxa"/>
            <w:tcBorders>
              <w:bottom w:val="single" w:sz="8" w:space="0" w:color="auto"/>
              <w:right w:val="single" w:sz="8" w:space="0" w:color="auto"/>
            </w:tcBorders>
            <w:vAlign w:val="center"/>
          </w:tcPr>
          <w:p w14:paraId="281A02FB" w14:textId="77777777" w:rsidR="0055218F" w:rsidRDefault="0055218F" w:rsidP="0055218F">
            <w:pPr>
              <w:jc w:val="center"/>
              <w:rPr>
                <w:sz w:val="23"/>
                <w:szCs w:val="23"/>
              </w:rPr>
            </w:pPr>
          </w:p>
        </w:tc>
        <w:tc>
          <w:tcPr>
            <w:tcW w:w="540" w:type="dxa"/>
            <w:tcBorders>
              <w:bottom w:val="single" w:sz="8" w:space="0" w:color="auto"/>
              <w:right w:val="single" w:sz="8" w:space="0" w:color="auto"/>
            </w:tcBorders>
            <w:vAlign w:val="center"/>
          </w:tcPr>
          <w:p w14:paraId="281A02FC" w14:textId="77777777" w:rsidR="0055218F" w:rsidRDefault="0055218F" w:rsidP="0055218F">
            <w:pPr>
              <w:jc w:val="center"/>
              <w:rPr>
                <w:sz w:val="23"/>
                <w:szCs w:val="23"/>
              </w:rPr>
            </w:pPr>
          </w:p>
        </w:tc>
        <w:tc>
          <w:tcPr>
            <w:tcW w:w="1540" w:type="dxa"/>
            <w:tcBorders>
              <w:bottom w:val="single" w:sz="8" w:space="0" w:color="auto"/>
              <w:right w:val="single" w:sz="8" w:space="0" w:color="auto"/>
            </w:tcBorders>
            <w:vAlign w:val="center"/>
          </w:tcPr>
          <w:p w14:paraId="281A02FD" w14:textId="30A69658" w:rsidR="0055218F" w:rsidRDefault="0055218F" w:rsidP="0055218F">
            <w:pPr>
              <w:ind w:left="20"/>
              <w:jc w:val="center"/>
              <w:rPr>
                <w:sz w:val="20"/>
                <w:szCs w:val="20"/>
              </w:rPr>
            </w:pPr>
            <w:r>
              <w:rPr>
                <w:rFonts w:eastAsia="Times New Roman"/>
                <w:sz w:val="16"/>
                <w:szCs w:val="16"/>
              </w:rPr>
              <w:t>7500-Cs B, 7500-Cs B-00</w:t>
            </w:r>
          </w:p>
        </w:tc>
        <w:tc>
          <w:tcPr>
            <w:tcW w:w="1180" w:type="dxa"/>
            <w:tcBorders>
              <w:bottom w:val="single" w:sz="8" w:space="0" w:color="auto"/>
              <w:right w:val="single" w:sz="8" w:space="0" w:color="auto"/>
            </w:tcBorders>
            <w:vAlign w:val="center"/>
          </w:tcPr>
          <w:p w14:paraId="281A02FE" w14:textId="177ECF74" w:rsidR="0055218F" w:rsidRDefault="0055218F" w:rsidP="0055218F">
            <w:pPr>
              <w:jc w:val="center"/>
              <w:rPr>
                <w:sz w:val="20"/>
                <w:szCs w:val="20"/>
              </w:rPr>
            </w:pPr>
            <w:r>
              <w:rPr>
                <w:rFonts w:eastAsia="Times New Roman"/>
                <w:sz w:val="16"/>
                <w:szCs w:val="16"/>
              </w:rPr>
              <w:t>D2459–72</w:t>
            </w:r>
          </w:p>
        </w:tc>
        <w:tc>
          <w:tcPr>
            <w:tcW w:w="980" w:type="dxa"/>
            <w:tcBorders>
              <w:bottom w:val="single" w:sz="8" w:space="0" w:color="auto"/>
              <w:right w:val="single" w:sz="8" w:space="0" w:color="auto"/>
            </w:tcBorders>
            <w:vAlign w:val="center"/>
          </w:tcPr>
          <w:p w14:paraId="281A02FF" w14:textId="77777777" w:rsidR="0055218F" w:rsidRDefault="0055218F" w:rsidP="0055218F">
            <w:pPr>
              <w:jc w:val="center"/>
              <w:rPr>
                <w:sz w:val="20"/>
                <w:szCs w:val="20"/>
              </w:rPr>
            </w:pPr>
            <w:r>
              <w:rPr>
                <w:rFonts w:eastAsia="Times New Roman"/>
                <w:sz w:val="16"/>
                <w:szCs w:val="16"/>
              </w:rPr>
              <w:t>R–1111–76</w:t>
            </w:r>
          </w:p>
        </w:tc>
        <w:tc>
          <w:tcPr>
            <w:tcW w:w="620" w:type="dxa"/>
            <w:tcBorders>
              <w:bottom w:val="single" w:sz="8" w:space="0" w:color="auto"/>
              <w:right w:val="single" w:sz="8" w:space="0" w:color="auto"/>
            </w:tcBorders>
            <w:vAlign w:val="center"/>
          </w:tcPr>
          <w:p w14:paraId="281A0300" w14:textId="77777777" w:rsidR="0055218F" w:rsidRDefault="0055218F" w:rsidP="0055218F">
            <w:pPr>
              <w:jc w:val="center"/>
              <w:rPr>
                <w:sz w:val="23"/>
                <w:szCs w:val="23"/>
              </w:rPr>
            </w:pPr>
          </w:p>
        </w:tc>
        <w:tc>
          <w:tcPr>
            <w:tcW w:w="800" w:type="dxa"/>
            <w:tcBorders>
              <w:bottom w:val="single" w:sz="8" w:space="0" w:color="auto"/>
            </w:tcBorders>
            <w:vAlign w:val="center"/>
          </w:tcPr>
          <w:p w14:paraId="281A0301" w14:textId="77777777" w:rsidR="0055218F" w:rsidRDefault="0055218F" w:rsidP="0055218F">
            <w:pPr>
              <w:jc w:val="center"/>
              <w:rPr>
                <w:sz w:val="23"/>
                <w:szCs w:val="23"/>
              </w:rPr>
            </w:pPr>
          </w:p>
        </w:tc>
      </w:tr>
      <w:tr w:rsidR="00661682" w14:paraId="281A031E" w14:textId="77777777" w:rsidTr="00E05F6B">
        <w:trPr>
          <w:trHeight w:val="591"/>
        </w:trPr>
        <w:tc>
          <w:tcPr>
            <w:tcW w:w="1580" w:type="dxa"/>
            <w:vMerge/>
            <w:tcBorders>
              <w:top w:val="single" w:sz="8" w:space="0" w:color="auto"/>
              <w:bottom w:val="single" w:sz="8" w:space="0" w:color="auto"/>
              <w:right w:val="single" w:sz="8" w:space="0" w:color="auto"/>
            </w:tcBorders>
            <w:vAlign w:val="bottom"/>
          </w:tcPr>
          <w:p w14:paraId="281A0312" w14:textId="77777777" w:rsidR="00661682" w:rsidRDefault="00661682">
            <w:pPr>
              <w:spacing w:line="20" w:lineRule="exact"/>
              <w:rPr>
                <w:sz w:val="1"/>
                <w:szCs w:val="1"/>
              </w:rPr>
            </w:pPr>
          </w:p>
        </w:tc>
        <w:tc>
          <w:tcPr>
            <w:tcW w:w="1620" w:type="dxa"/>
            <w:tcBorders>
              <w:top w:val="single" w:sz="8" w:space="0" w:color="auto"/>
              <w:bottom w:val="single" w:sz="8" w:space="0" w:color="auto"/>
              <w:right w:val="single" w:sz="8" w:space="0" w:color="auto"/>
            </w:tcBorders>
            <w:vAlign w:val="center"/>
          </w:tcPr>
          <w:p w14:paraId="281A0313" w14:textId="76E42383" w:rsidR="00661682" w:rsidRDefault="00661682" w:rsidP="00F17206">
            <w:pPr>
              <w:ind w:left="100"/>
              <w:jc w:val="center"/>
              <w:rPr>
                <w:sz w:val="20"/>
                <w:szCs w:val="20"/>
              </w:rPr>
            </w:pPr>
            <w:r>
              <w:rPr>
                <w:rFonts w:eastAsia="Times New Roman"/>
                <w:sz w:val="16"/>
                <w:szCs w:val="16"/>
              </w:rPr>
              <w:t>Gamma ray spectrometry</w:t>
            </w:r>
          </w:p>
        </w:tc>
        <w:tc>
          <w:tcPr>
            <w:tcW w:w="540" w:type="dxa"/>
            <w:tcBorders>
              <w:top w:val="single" w:sz="8" w:space="0" w:color="auto"/>
              <w:bottom w:val="single" w:sz="8" w:space="0" w:color="auto"/>
              <w:right w:val="single" w:sz="8" w:space="0" w:color="auto"/>
            </w:tcBorders>
            <w:vAlign w:val="center"/>
          </w:tcPr>
          <w:p w14:paraId="281A0314" w14:textId="03C72626" w:rsidR="00661682" w:rsidRDefault="00661682" w:rsidP="00661682">
            <w:pPr>
              <w:ind w:left="20"/>
              <w:jc w:val="center"/>
              <w:rPr>
                <w:sz w:val="1"/>
                <w:szCs w:val="1"/>
              </w:rPr>
            </w:pPr>
            <w:r>
              <w:rPr>
                <w:rFonts w:eastAsia="Times New Roman"/>
                <w:sz w:val="16"/>
                <w:szCs w:val="16"/>
              </w:rPr>
              <w:t>901.1</w:t>
            </w:r>
          </w:p>
        </w:tc>
        <w:tc>
          <w:tcPr>
            <w:tcW w:w="440" w:type="dxa"/>
            <w:tcBorders>
              <w:top w:val="single" w:sz="8" w:space="0" w:color="auto"/>
              <w:bottom w:val="single" w:sz="8" w:space="0" w:color="auto"/>
              <w:right w:val="single" w:sz="8" w:space="0" w:color="auto"/>
            </w:tcBorders>
            <w:vAlign w:val="center"/>
          </w:tcPr>
          <w:p w14:paraId="281A0315" w14:textId="77777777" w:rsidR="00661682" w:rsidRPr="00CD44D8" w:rsidRDefault="00661682" w:rsidP="00CD44D8">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316" w14:textId="77777777" w:rsidR="00661682" w:rsidRPr="00CD44D8" w:rsidRDefault="00661682" w:rsidP="00CD44D8">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317" w14:textId="77777777" w:rsidR="00661682" w:rsidRDefault="00661682" w:rsidP="00661682">
            <w:pPr>
              <w:ind w:left="40"/>
              <w:jc w:val="center"/>
              <w:rPr>
                <w:sz w:val="20"/>
                <w:szCs w:val="20"/>
              </w:rPr>
            </w:pPr>
            <w:r>
              <w:rPr>
                <w:rFonts w:eastAsia="Times New Roman"/>
                <w:sz w:val="16"/>
                <w:szCs w:val="16"/>
              </w:rPr>
              <w:t>p 92</w:t>
            </w:r>
          </w:p>
        </w:tc>
        <w:tc>
          <w:tcPr>
            <w:tcW w:w="1540" w:type="dxa"/>
            <w:tcBorders>
              <w:top w:val="single" w:sz="8" w:space="0" w:color="auto"/>
              <w:bottom w:val="single" w:sz="8" w:space="0" w:color="auto"/>
              <w:right w:val="single" w:sz="8" w:space="0" w:color="auto"/>
            </w:tcBorders>
            <w:vAlign w:val="center"/>
          </w:tcPr>
          <w:p w14:paraId="281A0318" w14:textId="6754591E" w:rsidR="00661682" w:rsidRDefault="00661682" w:rsidP="00661682">
            <w:pPr>
              <w:ind w:left="20"/>
              <w:jc w:val="center"/>
              <w:rPr>
                <w:sz w:val="1"/>
                <w:szCs w:val="1"/>
              </w:rPr>
            </w:pPr>
            <w:r>
              <w:rPr>
                <w:rFonts w:eastAsia="Times New Roman"/>
                <w:sz w:val="16"/>
                <w:szCs w:val="16"/>
              </w:rPr>
              <w:t>7120, 7120-97</w:t>
            </w:r>
          </w:p>
        </w:tc>
        <w:tc>
          <w:tcPr>
            <w:tcW w:w="1180" w:type="dxa"/>
            <w:tcBorders>
              <w:top w:val="single" w:sz="8" w:space="0" w:color="auto"/>
              <w:bottom w:val="single" w:sz="8" w:space="0" w:color="auto"/>
              <w:right w:val="single" w:sz="8" w:space="0" w:color="auto"/>
            </w:tcBorders>
            <w:vAlign w:val="center"/>
          </w:tcPr>
          <w:p w14:paraId="281A0319" w14:textId="44B7AE0A" w:rsidR="00661682" w:rsidRDefault="00661682" w:rsidP="00661682">
            <w:pPr>
              <w:jc w:val="center"/>
              <w:rPr>
                <w:sz w:val="20"/>
                <w:szCs w:val="20"/>
              </w:rPr>
            </w:pPr>
            <w:r>
              <w:rPr>
                <w:rFonts w:eastAsia="Times New Roman"/>
                <w:sz w:val="16"/>
                <w:szCs w:val="16"/>
              </w:rPr>
              <w:t>D3649–91, 98a</w:t>
            </w:r>
          </w:p>
        </w:tc>
        <w:tc>
          <w:tcPr>
            <w:tcW w:w="980" w:type="dxa"/>
            <w:tcBorders>
              <w:top w:val="single" w:sz="8" w:space="0" w:color="auto"/>
              <w:bottom w:val="single" w:sz="8" w:space="0" w:color="auto"/>
              <w:right w:val="single" w:sz="8" w:space="0" w:color="auto"/>
            </w:tcBorders>
            <w:vAlign w:val="center"/>
          </w:tcPr>
          <w:p w14:paraId="281A031A" w14:textId="77777777" w:rsidR="00661682" w:rsidRDefault="00661682" w:rsidP="00661682">
            <w:pPr>
              <w:jc w:val="center"/>
              <w:rPr>
                <w:sz w:val="20"/>
                <w:szCs w:val="20"/>
              </w:rPr>
            </w:pPr>
            <w:r>
              <w:rPr>
                <w:rFonts w:eastAsia="Times New Roman"/>
                <w:sz w:val="16"/>
                <w:szCs w:val="16"/>
              </w:rPr>
              <w:t>R–1110–76</w:t>
            </w:r>
          </w:p>
        </w:tc>
        <w:tc>
          <w:tcPr>
            <w:tcW w:w="620" w:type="dxa"/>
            <w:tcBorders>
              <w:top w:val="single" w:sz="8" w:space="0" w:color="auto"/>
              <w:bottom w:val="single" w:sz="8" w:space="0" w:color="auto"/>
              <w:right w:val="single" w:sz="8" w:space="0" w:color="auto"/>
            </w:tcBorders>
            <w:vAlign w:val="center"/>
          </w:tcPr>
          <w:p w14:paraId="281A031B" w14:textId="3D1CDC35" w:rsidR="00661682" w:rsidRDefault="00661682" w:rsidP="00661682">
            <w:pPr>
              <w:jc w:val="center"/>
              <w:rPr>
                <w:sz w:val="1"/>
                <w:szCs w:val="1"/>
              </w:rPr>
            </w:pPr>
            <w:r>
              <w:rPr>
                <w:rFonts w:eastAsia="Times New Roman"/>
                <w:sz w:val="16"/>
                <w:szCs w:val="16"/>
              </w:rPr>
              <w:t>4.5.2.3</w:t>
            </w:r>
          </w:p>
        </w:tc>
        <w:tc>
          <w:tcPr>
            <w:tcW w:w="800" w:type="dxa"/>
            <w:tcBorders>
              <w:top w:val="single" w:sz="8" w:space="0" w:color="auto"/>
              <w:bottom w:val="single" w:sz="8" w:space="0" w:color="auto"/>
            </w:tcBorders>
            <w:vAlign w:val="center"/>
          </w:tcPr>
          <w:p w14:paraId="281A031C" w14:textId="77777777" w:rsidR="00661682" w:rsidRPr="00661682" w:rsidRDefault="00661682" w:rsidP="00661682">
            <w:pPr>
              <w:jc w:val="center"/>
              <w:rPr>
                <w:sz w:val="16"/>
                <w:szCs w:val="16"/>
              </w:rPr>
            </w:pPr>
          </w:p>
        </w:tc>
      </w:tr>
      <w:tr w:rsidR="00661682" w14:paraId="281A0347" w14:textId="77777777" w:rsidTr="00E05F6B">
        <w:trPr>
          <w:trHeight w:val="1685"/>
        </w:trPr>
        <w:tc>
          <w:tcPr>
            <w:tcW w:w="1580" w:type="dxa"/>
            <w:vMerge w:val="restart"/>
            <w:tcBorders>
              <w:top w:val="single" w:sz="8" w:space="0" w:color="auto"/>
              <w:bottom w:val="single" w:sz="8" w:space="0" w:color="auto"/>
              <w:right w:val="single" w:sz="8" w:space="0" w:color="auto"/>
            </w:tcBorders>
            <w:vAlign w:val="center"/>
          </w:tcPr>
          <w:p w14:paraId="281A033A" w14:textId="77777777" w:rsidR="00661682" w:rsidRDefault="00661682" w:rsidP="00661682">
            <w:pPr>
              <w:rPr>
                <w:sz w:val="20"/>
                <w:szCs w:val="20"/>
              </w:rPr>
            </w:pPr>
            <w:r>
              <w:rPr>
                <w:rFonts w:eastAsia="Times New Roman"/>
                <w:sz w:val="16"/>
                <w:szCs w:val="16"/>
              </w:rPr>
              <w:t>Radioactive iodine</w:t>
            </w:r>
          </w:p>
        </w:tc>
        <w:tc>
          <w:tcPr>
            <w:tcW w:w="1620" w:type="dxa"/>
            <w:tcBorders>
              <w:top w:val="single" w:sz="8" w:space="0" w:color="auto"/>
              <w:bottom w:val="single" w:sz="8" w:space="0" w:color="auto"/>
              <w:right w:val="single" w:sz="8" w:space="0" w:color="auto"/>
            </w:tcBorders>
            <w:vAlign w:val="center"/>
          </w:tcPr>
          <w:p w14:paraId="281A033B" w14:textId="77777777" w:rsidR="00661682" w:rsidRDefault="00661682" w:rsidP="00661682">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33C" w14:textId="77777777" w:rsidR="00661682" w:rsidRDefault="00661682" w:rsidP="00661682">
            <w:pPr>
              <w:ind w:left="20"/>
              <w:jc w:val="center"/>
              <w:rPr>
                <w:sz w:val="20"/>
                <w:szCs w:val="20"/>
              </w:rPr>
            </w:pPr>
            <w:r>
              <w:rPr>
                <w:rFonts w:eastAsia="Times New Roman"/>
                <w:sz w:val="16"/>
                <w:szCs w:val="16"/>
              </w:rPr>
              <w:t>902</w:t>
            </w:r>
          </w:p>
        </w:tc>
        <w:tc>
          <w:tcPr>
            <w:tcW w:w="440" w:type="dxa"/>
            <w:tcBorders>
              <w:top w:val="single" w:sz="8" w:space="0" w:color="auto"/>
              <w:bottom w:val="single" w:sz="8" w:space="0" w:color="auto"/>
              <w:right w:val="single" w:sz="8" w:space="0" w:color="auto"/>
            </w:tcBorders>
            <w:vAlign w:val="center"/>
          </w:tcPr>
          <w:p w14:paraId="281A033D" w14:textId="0B9CB98A" w:rsidR="00661682" w:rsidRDefault="00661682" w:rsidP="00661682">
            <w:pPr>
              <w:ind w:left="20"/>
              <w:jc w:val="center"/>
              <w:rPr>
                <w:sz w:val="20"/>
                <w:szCs w:val="20"/>
              </w:rPr>
            </w:pPr>
            <w:r>
              <w:rPr>
                <w:rFonts w:eastAsia="Times New Roman"/>
                <w:sz w:val="16"/>
                <w:szCs w:val="16"/>
              </w:rPr>
              <w:t>p 6, p 9</w:t>
            </w:r>
          </w:p>
        </w:tc>
        <w:tc>
          <w:tcPr>
            <w:tcW w:w="540" w:type="dxa"/>
            <w:tcBorders>
              <w:top w:val="single" w:sz="8" w:space="0" w:color="auto"/>
              <w:bottom w:val="single" w:sz="8" w:space="0" w:color="auto"/>
              <w:right w:val="single" w:sz="8" w:space="0" w:color="auto"/>
            </w:tcBorders>
            <w:vAlign w:val="center"/>
          </w:tcPr>
          <w:p w14:paraId="281A033E" w14:textId="77777777" w:rsidR="00661682" w:rsidRDefault="00661682" w:rsidP="0066168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33F" w14:textId="77777777" w:rsidR="00661682" w:rsidRDefault="00661682" w:rsidP="00661682">
            <w:pPr>
              <w:jc w:val="center"/>
              <w:rPr>
                <w:sz w:val="23"/>
                <w:szCs w:val="23"/>
              </w:rPr>
            </w:pPr>
          </w:p>
        </w:tc>
        <w:tc>
          <w:tcPr>
            <w:tcW w:w="1540" w:type="dxa"/>
            <w:tcBorders>
              <w:top w:val="single" w:sz="8" w:space="0" w:color="auto"/>
              <w:bottom w:val="single" w:sz="8" w:space="0" w:color="auto"/>
              <w:right w:val="single" w:sz="8" w:space="0" w:color="auto"/>
            </w:tcBorders>
            <w:vAlign w:val="center"/>
          </w:tcPr>
          <w:p w14:paraId="281A0340" w14:textId="1D7F7D90" w:rsidR="00661682" w:rsidRDefault="00661682" w:rsidP="00661682">
            <w:pPr>
              <w:ind w:left="20"/>
              <w:jc w:val="center"/>
              <w:rPr>
                <w:sz w:val="20"/>
                <w:szCs w:val="20"/>
              </w:rPr>
            </w:pPr>
            <w:r>
              <w:rPr>
                <w:rFonts w:eastAsia="Times New Roman"/>
                <w:sz w:val="16"/>
                <w:szCs w:val="16"/>
              </w:rPr>
              <w:t>7500–</w:t>
            </w:r>
            <w:r w:rsidR="00E05F6B">
              <w:rPr>
                <w:rFonts w:eastAsia="Times New Roman"/>
                <w:sz w:val="16"/>
                <w:szCs w:val="16"/>
              </w:rPr>
              <w:t>I</w:t>
            </w:r>
            <w:r>
              <w:rPr>
                <w:rFonts w:eastAsia="Times New Roman"/>
                <w:sz w:val="16"/>
                <w:szCs w:val="16"/>
              </w:rPr>
              <w:t xml:space="preserve"> B, 7500-</w:t>
            </w:r>
            <w:r w:rsidR="00857B2D">
              <w:rPr>
                <w:rFonts w:eastAsia="Times New Roman"/>
                <w:sz w:val="16"/>
                <w:szCs w:val="16"/>
              </w:rPr>
              <w:t>I</w:t>
            </w:r>
            <w:r>
              <w:rPr>
                <w:rFonts w:eastAsia="Times New Roman"/>
                <w:sz w:val="16"/>
                <w:szCs w:val="16"/>
              </w:rPr>
              <w:t xml:space="preserve"> B-00, 7500–</w:t>
            </w:r>
            <w:r w:rsidR="00857B2D">
              <w:rPr>
                <w:rFonts w:eastAsia="Times New Roman"/>
                <w:sz w:val="16"/>
                <w:szCs w:val="16"/>
              </w:rPr>
              <w:t>I</w:t>
            </w:r>
            <w:r>
              <w:rPr>
                <w:rFonts w:eastAsia="Times New Roman"/>
                <w:sz w:val="16"/>
                <w:szCs w:val="16"/>
              </w:rPr>
              <w:t xml:space="preserve"> C, 7500-</w:t>
            </w:r>
            <w:r w:rsidR="00857B2D">
              <w:rPr>
                <w:rFonts w:eastAsia="Times New Roman"/>
                <w:sz w:val="16"/>
                <w:szCs w:val="16"/>
              </w:rPr>
              <w:t xml:space="preserve">I </w:t>
            </w:r>
            <w:r>
              <w:rPr>
                <w:rFonts w:eastAsia="Times New Roman"/>
                <w:sz w:val="16"/>
                <w:szCs w:val="16"/>
              </w:rPr>
              <w:t>C-00, 7500–</w:t>
            </w:r>
            <w:r w:rsidR="00E05F6B">
              <w:rPr>
                <w:rFonts w:eastAsia="Times New Roman"/>
                <w:sz w:val="16"/>
                <w:szCs w:val="16"/>
              </w:rPr>
              <w:t>I</w:t>
            </w:r>
            <w:r>
              <w:rPr>
                <w:rFonts w:eastAsia="Times New Roman"/>
                <w:sz w:val="16"/>
                <w:szCs w:val="16"/>
              </w:rPr>
              <w:t xml:space="preserve"> D, 7500</w:t>
            </w:r>
            <w:r w:rsidR="00E05F6B">
              <w:rPr>
                <w:rFonts w:eastAsia="Times New Roman"/>
                <w:sz w:val="16"/>
                <w:szCs w:val="16"/>
              </w:rPr>
              <w:t>-I</w:t>
            </w:r>
            <w:r>
              <w:rPr>
                <w:rFonts w:eastAsia="Times New Roman"/>
                <w:sz w:val="16"/>
                <w:szCs w:val="16"/>
              </w:rPr>
              <w:t xml:space="preserve"> D-00</w:t>
            </w:r>
          </w:p>
        </w:tc>
        <w:tc>
          <w:tcPr>
            <w:tcW w:w="1180" w:type="dxa"/>
            <w:tcBorders>
              <w:top w:val="single" w:sz="8" w:space="0" w:color="auto"/>
              <w:bottom w:val="single" w:sz="8" w:space="0" w:color="auto"/>
              <w:right w:val="single" w:sz="8" w:space="0" w:color="auto"/>
            </w:tcBorders>
            <w:vAlign w:val="center"/>
          </w:tcPr>
          <w:p w14:paraId="281A0342" w14:textId="559C989D" w:rsidR="00661682" w:rsidRDefault="00661682" w:rsidP="00661682">
            <w:pPr>
              <w:jc w:val="center"/>
              <w:rPr>
                <w:sz w:val="23"/>
                <w:szCs w:val="23"/>
              </w:rPr>
            </w:pPr>
            <w:r>
              <w:rPr>
                <w:rFonts w:eastAsia="Times New Roman"/>
                <w:sz w:val="16"/>
                <w:szCs w:val="16"/>
              </w:rPr>
              <w:t>D3649–91, 98a</w:t>
            </w:r>
          </w:p>
        </w:tc>
        <w:tc>
          <w:tcPr>
            <w:tcW w:w="980" w:type="dxa"/>
            <w:tcBorders>
              <w:top w:val="single" w:sz="8" w:space="0" w:color="auto"/>
              <w:left w:val="single" w:sz="8" w:space="0" w:color="auto"/>
              <w:bottom w:val="single" w:sz="8" w:space="0" w:color="auto"/>
              <w:right w:val="single" w:sz="8" w:space="0" w:color="auto"/>
            </w:tcBorders>
            <w:vAlign w:val="center"/>
          </w:tcPr>
          <w:p w14:paraId="281A0343" w14:textId="77777777" w:rsidR="00661682" w:rsidRDefault="00661682" w:rsidP="00661682">
            <w:pPr>
              <w:jc w:val="center"/>
              <w:rPr>
                <w:sz w:val="23"/>
                <w:szCs w:val="23"/>
              </w:rPr>
            </w:pPr>
          </w:p>
        </w:tc>
        <w:tc>
          <w:tcPr>
            <w:tcW w:w="620" w:type="dxa"/>
            <w:tcBorders>
              <w:top w:val="single" w:sz="8" w:space="0" w:color="auto"/>
              <w:bottom w:val="single" w:sz="8" w:space="0" w:color="auto"/>
              <w:right w:val="single" w:sz="8" w:space="0" w:color="auto"/>
            </w:tcBorders>
            <w:vAlign w:val="center"/>
          </w:tcPr>
          <w:p w14:paraId="281A0344" w14:textId="77777777" w:rsidR="00661682" w:rsidRDefault="00661682" w:rsidP="00661682">
            <w:pPr>
              <w:jc w:val="center"/>
              <w:rPr>
                <w:sz w:val="23"/>
                <w:szCs w:val="23"/>
              </w:rPr>
            </w:pPr>
          </w:p>
        </w:tc>
        <w:tc>
          <w:tcPr>
            <w:tcW w:w="800" w:type="dxa"/>
            <w:tcBorders>
              <w:top w:val="single" w:sz="8" w:space="0" w:color="auto"/>
              <w:bottom w:val="single" w:sz="8" w:space="0" w:color="auto"/>
            </w:tcBorders>
            <w:vAlign w:val="center"/>
          </w:tcPr>
          <w:p w14:paraId="281A0345" w14:textId="77777777" w:rsidR="00661682" w:rsidRDefault="00661682" w:rsidP="00661682">
            <w:pPr>
              <w:jc w:val="center"/>
              <w:rPr>
                <w:sz w:val="23"/>
                <w:szCs w:val="23"/>
              </w:rPr>
            </w:pPr>
          </w:p>
        </w:tc>
      </w:tr>
      <w:tr w:rsidR="00E05F6B" w14:paraId="281A03B4" w14:textId="77777777" w:rsidTr="006370F6">
        <w:trPr>
          <w:trHeight w:val="591"/>
        </w:trPr>
        <w:tc>
          <w:tcPr>
            <w:tcW w:w="1580" w:type="dxa"/>
            <w:vMerge/>
            <w:tcBorders>
              <w:bottom w:val="single" w:sz="8" w:space="0" w:color="auto"/>
              <w:right w:val="single" w:sz="8" w:space="0" w:color="auto"/>
            </w:tcBorders>
            <w:vAlign w:val="bottom"/>
          </w:tcPr>
          <w:p w14:paraId="281A03A8" w14:textId="77777777" w:rsidR="00E05F6B" w:rsidRDefault="00E05F6B">
            <w:pPr>
              <w:spacing w:line="20" w:lineRule="exact"/>
              <w:rPr>
                <w:sz w:val="1"/>
                <w:szCs w:val="1"/>
              </w:rPr>
            </w:pPr>
          </w:p>
        </w:tc>
        <w:tc>
          <w:tcPr>
            <w:tcW w:w="1620" w:type="dxa"/>
            <w:tcBorders>
              <w:top w:val="single" w:sz="8" w:space="0" w:color="auto"/>
              <w:bottom w:val="single" w:sz="8" w:space="0" w:color="auto"/>
              <w:right w:val="single" w:sz="8" w:space="0" w:color="auto"/>
            </w:tcBorders>
            <w:vAlign w:val="center"/>
          </w:tcPr>
          <w:p w14:paraId="281A03A9" w14:textId="04F37BF0" w:rsidR="00E05F6B" w:rsidRDefault="00E05F6B" w:rsidP="00E05F6B">
            <w:pPr>
              <w:ind w:left="100"/>
              <w:jc w:val="center"/>
              <w:rPr>
                <w:sz w:val="20"/>
                <w:szCs w:val="20"/>
              </w:rPr>
            </w:pPr>
            <w:r>
              <w:rPr>
                <w:rFonts w:eastAsia="Times New Roman"/>
                <w:sz w:val="16"/>
                <w:szCs w:val="16"/>
              </w:rPr>
              <w:t>Gamma ray spectrometry</w:t>
            </w:r>
          </w:p>
        </w:tc>
        <w:tc>
          <w:tcPr>
            <w:tcW w:w="540" w:type="dxa"/>
            <w:tcBorders>
              <w:top w:val="single" w:sz="8" w:space="0" w:color="auto"/>
              <w:bottom w:val="single" w:sz="8" w:space="0" w:color="auto"/>
              <w:right w:val="single" w:sz="8" w:space="0" w:color="auto"/>
            </w:tcBorders>
            <w:vAlign w:val="center"/>
          </w:tcPr>
          <w:p w14:paraId="281A03AA" w14:textId="1039CD5D" w:rsidR="00E05F6B" w:rsidRDefault="00E05F6B" w:rsidP="00E05F6B">
            <w:pPr>
              <w:ind w:left="20"/>
              <w:jc w:val="center"/>
              <w:rPr>
                <w:sz w:val="1"/>
                <w:szCs w:val="1"/>
              </w:rPr>
            </w:pPr>
            <w:r>
              <w:rPr>
                <w:rFonts w:eastAsia="Times New Roman"/>
                <w:sz w:val="16"/>
                <w:szCs w:val="16"/>
              </w:rPr>
              <w:t>901.1</w:t>
            </w:r>
          </w:p>
        </w:tc>
        <w:tc>
          <w:tcPr>
            <w:tcW w:w="440" w:type="dxa"/>
            <w:tcBorders>
              <w:top w:val="single" w:sz="8" w:space="0" w:color="auto"/>
              <w:bottom w:val="single" w:sz="8" w:space="0" w:color="auto"/>
              <w:right w:val="single" w:sz="8" w:space="0" w:color="auto"/>
            </w:tcBorders>
            <w:vAlign w:val="center"/>
          </w:tcPr>
          <w:p w14:paraId="281A03AB" w14:textId="77777777" w:rsidR="00E05F6B" w:rsidRPr="00E05F6B" w:rsidRDefault="00E05F6B" w:rsidP="00E05F6B">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3AC" w14:textId="77777777" w:rsidR="00E05F6B" w:rsidRPr="00E05F6B" w:rsidRDefault="00E05F6B" w:rsidP="00E05F6B">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3AD" w14:textId="77777777" w:rsidR="00E05F6B" w:rsidRDefault="00E05F6B" w:rsidP="00E05F6B">
            <w:pPr>
              <w:ind w:left="40"/>
              <w:jc w:val="center"/>
              <w:rPr>
                <w:sz w:val="20"/>
                <w:szCs w:val="20"/>
              </w:rPr>
            </w:pPr>
            <w:r>
              <w:rPr>
                <w:rFonts w:eastAsia="Times New Roman"/>
                <w:sz w:val="16"/>
                <w:szCs w:val="16"/>
              </w:rPr>
              <w:t>p 92</w:t>
            </w:r>
          </w:p>
        </w:tc>
        <w:tc>
          <w:tcPr>
            <w:tcW w:w="1540" w:type="dxa"/>
            <w:tcBorders>
              <w:top w:val="single" w:sz="8" w:space="0" w:color="auto"/>
              <w:bottom w:val="single" w:sz="8" w:space="0" w:color="auto"/>
              <w:right w:val="single" w:sz="8" w:space="0" w:color="auto"/>
            </w:tcBorders>
            <w:vAlign w:val="center"/>
          </w:tcPr>
          <w:p w14:paraId="281A03AE" w14:textId="53C36A10" w:rsidR="00E05F6B" w:rsidRDefault="00E05F6B" w:rsidP="00E05F6B">
            <w:pPr>
              <w:ind w:left="20"/>
              <w:jc w:val="center"/>
              <w:rPr>
                <w:sz w:val="1"/>
                <w:szCs w:val="1"/>
              </w:rPr>
            </w:pPr>
            <w:r>
              <w:rPr>
                <w:rFonts w:eastAsia="Times New Roman"/>
                <w:sz w:val="16"/>
                <w:szCs w:val="16"/>
              </w:rPr>
              <w:t>7120, 7120-97</w:t>
            </w:r>
          </w:p>
        </w:tc>
        <w:tc>
          <w:tcPr>
            <w:tcW w:w="1180" w:type="dxa"/>
            <w:tcBorders>
              <w:top w:val="single" w:sz="8" w:space="0" w:color="auto"/>
              <w:bottom w:val="single" w:sz="8" w:space="0" w:color="auto"/>
              <w:right w:val="single" w:sz="8" w:space="0" w:color="auto"/>
            </w:tcBorders>
            <w:vAlign w:val="center"/>
          </w:tcPr>
          <w:p w14:paraId="281A03AF" w14:textId="739796D9" w:rsidR="00E05F6B" w:rsidRDefault="00E05F6B" w:rsidP="00E05F6B">
            <w:pPr>
              <w:jc w:val="center"/>
              <w:rPr>
                <w:sz w:val="20"/>
                <w:szCs w:val="20"/>
              </w:rPr>
            </w:pPr>
            <w:r>
              <w:rPr>
                <w:rFonts w:eastAsia="Times New Roman"/>
                <w:sz w:val="16"/>
                <w:szCs w:val="16"/>
              </w:rPr>
              <w:t>D4785–93, 00a</w:t>
            </w:r>
          </w:p>
        </w:tc>
        <w:tc>
          <w:tcPr>
            <w:tcW w:w="980" w:type="dxa"/>
            <w:tcBorders>
              <w:top w:val="single" w:sz="8" w:space="0" w:color="auto"/>
              <w:bottom w:val="single" w:sz="8" w:space="0" w:color="auto"/>
              <w:right w:val="single" w:sz="8" w:space="0" w:color="auto"/>
            </w:tcBorders>
            <w:vAlign w:val="center"/>
          </w:tcPr>
          <w:p w14:paraId="281A03B0" w14:textId="77777777" w:rsidR="00E05F6B" w:rsidRPr="00E05F6B" w:rsidRDefault="00E05F6B" w:rsidP="00E05F6B">
            <w:pPr>
              <w:jc w:val="center"/>
              <w:rPr>
                <w:sz w:val="16"/>
                <w:szCs w:val="16"/>
              </w:rPr>
            </w:pPr>
          </w:p>
        </w:tc>
        <w:tc>
          <w:tcPr>
            <w:tcW w:w="620" w:type="dxa"/>
            <w:tcBorders>
              <w:top w:val="single" w:sz="8" w:space="0" w:color="auto"/>
              <w:bottom w:val="single" w:sz="8" w:space="0" w:color="auto"/>
              <w:right w:val="single" w:sz="8" w:space="0" w:color="auto"/>
            </w:tcBorders>
            <w:vAlign w:val="center"/>
          </w:tcPr>
          <w:p w14:paraId="281A03B1" w14:textId="1E07C2FB" w:rsidR="00E05F6B" w:rsidRDefault="00E05F6B" w:rsidP="00E05F6B">
            <w:pPr>
              <w:jc w:val="center"/>
              <w:rPr>
                <w:sz w:val="1"/>
                <w:szCs w:val="1"/>
              </w:rPr>
            </w:pPr>
            <w:r>
              <w:rPr>
                <w:rFonts w:eastAsia="Times New Roman"/>
                <w:sz w:val="16"/>
                <w:szCs w:val="16"/>
              </w:rPr>
              <w:t>4.5.2.3</w:t>
            </w:r>
          </w:p>
        </w:tc>
        <w:tc>
          <w:tcPr>
            <w:tcW w:w="800" w:type="dxa"/>
            <w:tcBorders>
              <w:top w:val="single" w:sz="8" w:space="0" w:color="auto"/>
              <w:bottom w:val="single" w:sz="8" w:space="0" w:color="auto"/>
            </w:tcBorders>
            <w:vAlign w:val="center"/>
          </w:tcPr>
          <w:p w14:paraId="281A03B2" w14:textId="77777777" w:rsidR="00E05F6B" w:rsidRPr="00E05F6B" w:rsidRDefault="00E05F6B" w:rsidP="00E05F6B">
            <w:pPr>
              <w:jc w:val="center"/>
              <w:rPr>
                <w:sz w:val="16"/>
                <w:szCs w:val="16"/>
              </w:rPr>
            </w:pPr>
          </w:p>
        </w:tc>
      </w:tr>
      <w:tr w:rsidR="006370F6" w14:paraId="281A03DD" w14:textId="77777777" w:rsidTr="00E56DE9">
        <w:trPr>
          <w:trHeight w:val="859"/>
        </w:trPr>
        <w:tc>
          <w:tcPr>
            <w:tcW w:w="1580" w:type="dxa"/>
            <w:tcBorders>
              <w:top w:val="single" w:sz="8" w:space="0" w:color="auto"/>
              <w:bottom w:val="single" w:sz="8" w:space="0" w:color="auto"/>
              <w:right w:val="single" w:sz="8" w:space="0" w:color="auto"/>
            </w:tcBorders>
            <w:vAlign w:val="center"/>
          </w:tcPr>
          <w:p w14:paraId="281A03D0" w14:textId="37A313DB" w:rsidR="006370F6" w:rsidRDefault="006370F6" w:rsidP="00E05F6B">
            <w:pPr>
              <w:rPr>
                <w:sz w:val="20"/>
                <w:szCs w:val="20"/>
              </w:rPr>
            </w:pPr>
            <w:r>
              <w:rPr>
                <w:rFonts w:eastAsia="Times New Roman"/>
                <w:sz w:val="16"/>
                <w:szCs w:val="16"/>
              </w:rPr>
              <w:t>Radioactive Strontium 89, 90</w:t>
            </w:r>
          </w:p>
        </w:tc>
        <w:tc>
          <w:tcPr>
            <w:tcW w:w="1620" w:type="dxa"/>
            <w:tcBorders>
              <w:top w:val="single" w:sz="8" w:space="0" w:color="auto"/>
              <w:bottom w:val="single" w:sz="8" w:space="0" w:color="auto"/>
              <w:right w:val="single" w:sz="8" w:space="0" w:color="auto"/>
            </w:tcBorders>
            <w:vAlign w:val="center"/>
          </w:tcPr>
          <w:p w14:paraId="281A03D1" w14:textId="77777777" w:rsidR="006370F6" w:rsidRDefault="006370F6" w:rsidP="00393E2A">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3D2" w14:textId="77777777" w:rsidR="006370F6" w:rsidRDefault="006370F6" w:rsidP="00393E2A">
            <w:pPr>
              <w:ind w:left="20"/>
              <w:jc w:val="center"/>
              <w:rPr>
                <w:sz w:val="20"/>
                <w:szCs w:val="20"/>
              </w:rPr>
            </w:pPr>
            <w:r>
              <w:rPr>
                <w:rFonts w:eastAsia="Times New Roman"/>
                <w:sz w:val="16"/>
                <w:szCs w:val="16"/>
              </w:rPr>
              <w:t>905</w:t>
            </w:r>
          </w:p>
        </w:tc>
        <w:tc>
          <w:tcPr>
            <w:tcW w:w="440" w:type="dxa"/>
            <w:tcBorders>
              <w:top w:val="single" w:sz="8" w:space="0" w:color="auto"/>
              <w:bottom w:val="single" w:sz="8" w:space="0" w:color="auto"/>
              <w:right w:val="single" w:sz="8" w:space="0" w:color="auto"/>
            </w:tcBorders>
            <w:vAlign w:val="center"/>
          </w:tcPr>
          <w:p w14:paraId="281A03D3" w14:textId="77777777" w:rsidR="006370F6" w:rsidRDefault="006370F6" w:rsidP="00393E2A">
            <w:pPr>
              <w:ind w:left="20"/>
              <w:jc w:val="center"/>
              <w:rPr>
                <w:sz w:val="20"/>
                <w:szCs w:val="20"/>
              </w:rPr>
            </w:pPr>
            <w:r>
              <w:rPr>
                <w:rFonts w:eastAsia="Times New Roman"/>
                <w:sz w:val="16"/>
                <w:szCs w:val="16"/>
              </w:rPr>
              <w:t>p 29</w:t>
            </w:r>
          </w:p>
        </w:tc>
        <w:tc>
          <w:tcPr>
            <w:tcW w:w="540" w:type="dxa"/>
            <w:tcBorders>
              <w:top w:val="single" w:sz="8" w:space="0" w:color="auto"/>
              <w:bottom w:val="single" w:sz="8" w:space="0" w:color="auto"/>
              <w:right w:val="single" w:sz="8" w:space="0" w:color="auto"/>
            </w:tcBorders>
            <w:vAlign w:val="center"/>
          </w:tcPr>
          <w:p w14:paraId="281A03D4" w14:textId="77777777" w:rsidR="006370F6" w:rsidRDefault="006370F6" w:rsidP="00393E2A">
            <w:pPr>
              <w:ind w:left="40"/>
              <w:jc w:val="center"/>
              <w:rPr>
                <w:sz w:val="20"/>
                <w:szCs w:val="20"/>
              </w:rPr>
            </w:pPr>
            <w:r>
              <w:rPr>
                <w:rFonts w:eastAsia="Times New Roman"/>
                <w:sz w:val="16"/>
                <w:szCs w:val="16"/>
              </w:rPr>
              <w:t>Sr-04</w:t>
            </w:r>
          </w:p>
        </w:tc>
        <w:tc>
          <w:tcPr>
            <w:tcW w:w="540" w:type="dxa"/>
            <w:tcBorders>
              <w:top w:val="single" w:sz="8" w:space="0" w:color="auto"/>
              <w:bottom w:val="single" w:sz="8" w:space="0" w:color="auto"/>
              <w:right w:val="single" w:sz="8" w:space="0" w:color="auto"/>
            </w:tcBorders>
            <w:vAlign w:val="center"/>
          </w:tcPr>
          <w:p w14:paraId="281A03D5" w14:textId="77777777" w:rsidR="006370F6" w:rsidRDefault="006370F6" w:rsidP="00393E2A">
            <w:pPr>
              <w:ind w:left="40"/>
              <w:jc w:val="center"/>
              <w:rPr>
                <w:sz w:val="20"/>
                <w:szCs w:val="20"/>
              </w:rPr>
            </w:pPr>
            <w:r>
              <w:rPr>
                <w:rFonts w:eastAsia="Times New Roman"/>
                <w:sz w:val="16"/>
                <w:szCs w:val="16"/>
              </w:rPr>
              <w:t>p 65</w:t>
            </w:r>
          </w:p>
        </w:tc>
        <w:tc>
          <w:tcPr>
            <w:tcW w:w="1540" w:type="dxa"/>
            <w:tcBorders>
              <w:top w:val="single" w:sz="8" w:space="0" w:color="auto"/>
              <w:bottom w:val="single" w:sz="8" w:space="0" w:color="auto"/>
              <w:right w:val="single" w:sz="8" w:space="0" w:color="auto"/>
            </w:tcBorders>
            <w:vAlign w:val="center"/>
          </w:tcPr>
          <w:p w14:paraId="281A03D6" w14:textId="1F8A1528" w:rsidR="006370F6" w:rsidRDefault="006370F6" w:rsidP="006370F6">
            <w:pPr>
              <w:ind w:left="20"/>
              <w:jc w:val="center"/>
              <w:rPr>
                <w:sz w:val="20"/>
                <w:szCs w:val="20"/>
              </w:rPr>
            </w:pPr>
            <w:r>
              <w:rPr>
                <w:rFonts w:eastAsia="Times New Roman"/>
                <w:sz w:val="16"/>
                <w:szCs w:val="16"/>
              </w:rPr>
              <w:t>303, 7500-Sr B, 7500-Sr B-01</w:t>
            </w:r>
          </w:p>
        </w:tc>
        <w:tc>
          <w:tcPr>
            <w:tcW w:w="1180" w:type="dxa"/>
            <w:tcBorders>
              <w:top w:val="single" w:sz="8" w:space="0" w:color="auto"/>
              <w:bottom w:val="single" w:sz="8" w:space="0" w:color="auto"/>
              <w:right w:val="single" w:sz="8" w:space="0" w:color="auto"/>
            </w:tcBorders>
            <w:vAlign w:val="center"/>
          </w:tcPr>
          <w:p w14:paraId="281A03D8" w14:textId="77777777" w:rsidR="006370F6" w:rsidRDefault="006370F6" w:rsidP="006370F6">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3D9" w14:textId="77777777" w:rsidR="006370F6" w:rsidRDefault="006370F6" w:rsidP="006370F6">
            <w:pPr>
              <w:jc w:val="center"/>
              <w:rPr>
                <w:sz w:val="20"/>
                <w:szCs w:val="20"/>
              </w:rPr>
            </w:pPr>
            <w:r>
              <w:rPr>
                <w:rFonts w:eastAsia="Times New Roman"/>
                <w:sz w:val="16"/>
                <w:szCs w:val="16"/>
              </w:rPr>
              <w:t>R–1160–76</w:t>
            </w:r>
          </w:p>
        </w:tc>
        <w:tc>
          <w:tcPr>
            <w:tcW w:w="620" w:type="dxa"/>
            <w:tcBorders>
              <w:top w:val="single" w:sz="8" w:space="0" w:color="auto"/>
              <w:bottom w:val="single" w:sz="8" w:space="0" w:color="auto"/>
              <w:right w:val="single" w:sz="8" w:space="0" w:color="auto"/>
            </w:tcBorders>
            <w:vAlign w:val="center"/>
          </w:tcPr>
          <w:p w14:paraId="281A03DA" w14:textId="4742360F" w:rsidR="006370F6" w:rsidRDefault="006370F6" w:rsidP="006370F6">
            <w:pPr>
              <w:jc w:val="center"/>
              <w:rPr>
                <w:sz w:val="20"/>
                <w:szCs w:val="20"/>
              </w:rPr>
            </w:pPr>
            <w:r>
              <w:rPr>
                <w:rFonts w:eastAsia="Times New Roman"/>
                <w:sz w:val="16"/>
                <w:szCs w:val="16"/>
              </w:rPr>
              <w:t>Sr-01, Sr-02</w:t>
            </w:r>
          </w:p>
        </w:tc>
        <w:tc>
          <w:tcPr>
            <w:tcW w:w="800" w:type="dxa"/>
            <w:tcBorders>
              <w:top w:val="single" w:sz="8" w:space="0" w:color="auto"/>
              <w:bottom w:val="single" w:sz="8" w:space="0" w:color="auto"/>
            </w:tcBorders>
            <w:vAlign w:val="center"/>
          </w:tcPr>
          <w:p w14:paraId="281A03DB" w14:textId="77777777" w:rsidR="006370F6" w:rsidRDefault="006370F6" w:rsidP="006370F6">
            <w:pPr>
              <w:jc w:val="center"/>
              <w:rPr>
                <w:sz w:val="23"/>
                <w:szCs w:val="23"/>
              </w:rPr>
            </w:pPr>
          </w:p>
        </w:tc>
      </w:tr>
      <w:tr w:rsidR="00E56DE9" w14:paraId="281A0414" w14:textId="77777777" w:rsidTr="002876DA">
        <w:trPr>
          <w:trHeight w:val="857"/>
        </w:trPr>
        <w:tc>
          <w:tcPr>
            <w:tcW w:w="1580" w:type="dxa"/>
            <w:tcBorders>
              <w:top w:val="single" w:sz="8" w:space="0" w:color="auto"/>
              <w:bottom w:val="single" w:sz="8" w:space="0" w:color="auto"/>
              <w:right w:val="single" w:sz="8" w:space="0" w:color="auto"/>
            </w:tcBorders>
            <w:vAlign w:val="center"/>
          </w:tcPr>
          <w:p w14:paraId="281A0408" w14:textId="77777777" w:rsidR="00E56DE9" w:rsidRDefault="00E56DE9" w:rsidP="006370F6">
            <w:pPr>
              <w:rPr>
                <w:sz w:val="20"/>
                <w:szCs w:val="20"/>
              </w:rPr>
            </w:pPr>
            <w:r>
              <w:rPr>
                <w:rFonts w:eastAsia="Times New Roman"/>
                <w:sz w:val="16"/>
                <w:szCs w:val="16"/>
              </w:rPr>
              <w:t>Tritium</w:t>
            </w:r>
          </w:p>
        </w:tc>
        <w:tc>
          <w:tcPr>
            <w:tcW w:w="1620" w:type="dxa"/>
            <w:tcBorders>
              <w:top w:val="single" w:sz="8" w:space="0" w:color="auto"/>
              <w:bottom w:val="single" w:sz="8" w:space="0" w:color="auto"/>
              <w:right w:val="single" w:sz="8" w:space="0" w:color="auto"/>
            </w:tcBorders>
            <w:vAlign w:val="center"/>
          </w:tcPr>
          <w:p w14:paraId="281A0409" w14:textId="77777777" w:rsidR="00E56DE9" w:rsidRDefault="00E56DE9" w:rsidP="006370F6">
            <w:pPr>
              <w:ind w:left="100"/>
              <w:jc w:val="center"/>
              <w:rPr>
                <w:sz w:val="20"/>
                <w:szCs w:val="20"/>
              </w:rPr>
            </w:pPr>
            <w:r>
              <w:rPr>
                <w:rFonts w:eastAsia="Times New Roman"/>
                <w:sz w:val="16"/>
                <w:szCs w:val="16"/>
              </w:rPr>
              <w:t>Liquid scintillation</w:t>
            </w:r>
          </w:p>
        </w:tc>
        <w:tc>
          <w:tcPr>
            <w:tcW w:w="540" w:type="dxa"/>
            <w:tcBorders>
              <w:top w:val="single" w:sz="8" w:space="0" w:color="auto"/>
              <w:bottom w:val="single" w:sz="8" w:space="0" w:color="auto"/>
              <w:right w:val="single" w:sz="8" w:space="0" w:color="auto"/>
            </w:tcBorders>
            <w:vAlign w:val="center"/>
          </w:tcPr>
          <w:p w14:paraId="281A040A" w14:textId="77777777" w:rsidR="00E56DE9" w:rsidRDefault="00E56DE9" w:rsidP="006370F6">
            <w:pPr>
              <w:ind w:left="20"/>
              <w:jc w:val="center"/>
              <w:rPr>
                <w:sz w:val="20"/>
                <w:szCs w:val="20"/>
              </w:rPr>
            </w:pPr>
            <w:r>
              <w:rPr>
                <w:rFonts w:eastAsia="Times New Roman"/>
                <w:sz w:val="16"/>
                <w:szCs w:val="16"/>
              </w:rPr>
              <w:t>906</w:t>
            </w:r>
          </w:p>
        </w:tc>
        <w:tc>
          <w:tcPr>
            <w:tcW w:w="440" w:type="dxa"/>
            <w:tcBorders>
              <w:top w:val="single" w:sz="8" w:space="0" w:color="auto"/>
              <w:bottom w:val="single" w:sz="8" w:space="0" w:color="auto"/>
              <w:right w:val="single" w:sz="8" w:space="0" w:color="auto"/>
            </w:tcBorders>
            <w:vAlign w:val="center"/>
          </w:tcPr>
          <w:p w14:paraId="281A040B" w14:textId="77777777" w:rsidR="00E56DE9" w:rsidRDefault="00E56DE9" w:rsidP="006370F6">
            <w:pPr>
              <w:ind w:left="20"/>
              <w:jc w:val="center"/>
              <w:rPr>
                <w:sz w:val="20"/>
                <w:szCs w:val="20"/>
              </w:rPr>
            </w:pPr>
            <w:r>
              <w:rPr>
                <w:rFonts w:eastAsia="Times New Roman"/>
                <w:sz w:val="16"/>
                <w:szCs w:val="16"/>
              </w:rPr>
              <w:t>p 34</w:t>
            </w:r>
          </w:p>
        </w:tc>
        <w:tc>
          <w:tcPr>
            <w:tcW w:w="540" w:type="dxa"/>
            <w:tcBorders>
              <w:top w:val="single" w:sz="8" w:space="0" w:color="auto"/>
              <w:bottom w:val="single" w:sz="8" w:space="0" w:color="auto"/>
              <w:right w:val="single" w:sz="8" w:space="0" w:color="auto"/>
            </w:tcBorders>
            <w:vAlign w:val="center"/>
          </w:tcPr>
          <w:p w14:paraId="281A040C" w14:textId="77777777" w:rsidR="00E56DE9" w:rsidRDefault="00E56DE9" w:rsidP="006370F6">
            <w:pPr>
              <w:ind w:left="40"/>
              <w:jc w:val="center"/>
              <w:rPr>
                <w:sz w:val="20"/>
                <w:szCs w:val="20"/>
              </w:rPr>
            </w:pPr>
            <w:r>
              <w:rPr>
                <w:rFonts w:eastAsia="Times New Roman"/>
                <w:sz w:val="16"/>
                <w:szCs w:val="16"/>
              </w:rPr>
              <w:t>H-02</w:t>
            </w:r>
          </w:p>
        </w:tc>
        <w:tc>
          <w:tcPr>
            <w:tcW w:w="540" w:type="dxa"/>
            <w:tcBorders>
              <w:top w:val="single" w:sz="8" w:space="0" w:color="auto"/>
              <w:bottom w:val="single" w:sz="8" w:space="0" w:color="auto"/>
              <w:right w:val="single" w:sz="8" w:space="0" w:color="auto"/>
            </w:tcBorders>
            <w:vAlign w:val="center"/>
          </w:tcPr>
          <w:p w14:paraId="281A040D" w14:textId="77777777" w:rsidR="00E56DE9" w:rsidRDefault="00E56DE9" w:rsidP="006370F6">
            <w:pPr>
              <w:ind w:left="40"/>
              <w:jc w:val="center"/>
              <w:rPr>
                <w:sz w:val="20"/>
                <w:szCs w:val="20"/>
              </w:rPr>
            </w:pPr>
            <w:r>
              <w:rPr>
                <w:rFonts w:eastAsia="Times New Roman"/>
                <w:sz w:val="16"/>
                <w:szCs w:val="16"/>
              </w:rPr>
              <w:t>p 87</w:t>
            </w:r>
          </w:p>
        </w:tc>
        <w:tc>
          <w:tcPr>
            <w:tcW w:w="1540" w:type="dxa"/>
            <w:tcBorders>
              <w:top w:val="single" w:sz="8" w:space="0" w:color="auto"/>
              <w:bottom w:val="single" w:sz="8" w:space="0" w:color="auto"/>
              <w:right w:val="single" w:sz="8" w:space="0" w:color="auto"/>
            </w:tcBorders>
            <w:vAlign w:val="center"/>
          </w:tcPr>
          <w:p w14:paraId="281A040E" w14:textId="52218D8F" w:rsidR="00E56DE9" w:rsidRDefault="00E56DE9" w:rsidP="006370F6">
            <w:pPr>
              <w:ind w:left="20"/>
              <w:jc w:val="center"/>
              <w:rPr>
                <w:sz w:val="20"/>
                <w:szCs w:val="20"/>
              </w:rPr>
            </w:pPr>
            <w:r>
              <w:rPr>
                <w:rFonts w:eastAsia="Times New Roman"/>
                <w:sz w:val="16"/>
                <w:szCs w:val="16"/>
              </w:rPr>
              <w:t>306,7500–</w:t>
            </w:r>
            <w:r w:rsidRPr="006370F6">
              <w:rPr>
                <w:rFonts w:eastAsia="Times New Roman"/>
                <w:sz w:val="16"/>
                <w:szCs w:val="16"/>
                <w:vertAlign w:val="superscript"/>
              </w:rPr>
              <w:t>3</w:t>
            </w:r>
            <w:r>
              <w:rPr>
                <w:rFonts w:eastAsia="Times New Roman"/>
                <w:sz w:val="16"/>
                <w:szCs w:val="16"/>
              </w:rPr>
              <w:t>H B, 7500-</w:t>
            </w:r>
            <w:r>
              <w:rPr>
                <w:rFonts w:eastAsia="Times New Roman"/>
                <w:sz w:val="16"/>
                <w:szCs w:val="16"/>
                <w:vertAlign w:val="superscript"/>
              </w:rPr>
              <w:t>3</w:t>
            </w:r>
            <w:r>
              <w:rPr>
                <w:rFonts w:eastAsia="Times New Roman"/>
                <w:sz w:val="16"/>
                <w:szCs w:val="16"/>
              </w:rPr>
              <w:t xml:space="preserve">  H B-00</w:t>
            </w:r>
          </w:p>
        </w:tc>
        <w:tc>
          <w:tcPr>
            <w:tcW w:w="1180" w:type="dxa"/>
            <w:tcBorders>
              <w:top w:val="single" w:sz="8" w:space="0" w:color="auto"/>
              <w:bottom w:val="single" w:sz="8" w:space="0" w:color="auto"/>
              <w:right w:val="single" w:sz="8" w:space="0" w:color="auto"/>
            </w:tcBorders>
            <w:vAlign w:val="center"/>
          </w:tcPr>
          <w:p w14:paraId="281A040F" w14:textId="7DF4655D" w:rsidR="00E56DE9" w:rsidRDefault="00E56DE9" w:rsidP="00E56DE9">
            <w:pPr>
              <w:jc w:val="center"/>
              <w:rPr>
                <w:sz w:val="20"/>
                <w:szCs w:val="20"/>
              </w:rPr>
            </w:pPr>
            <w:r>
              <w:rPr>
                <w:rFonts w:eastAsia="Times New Roman"/>
                <w:sz w:val="16"/>
                <w:szCs w:val="16"/>
              </w:rPr>
              <w:t>D4107–91, 98 (Reapproved 2002)</w:t>
            </w:r>
          </w:p>
        </w:tc>
        <w:tc>
          <w:tcPr>
            <w:tcW w:w="980" w:type="dxa"/>
            <w:tcBorders>
              <w:top w:val="single" w:sz="8" w:space="0" w:color="auto"/>
              <w:bottom w:val="single" w:sz="8" w:space="0" w:color="auto"/>
              <w:right w:val="single" w:sz="8" w:space="0" w:color="auto"/>
            </w:tcBorders>
            <w:vAlign w:val="center"/>
          </w:tcPr>
          <w:p w14:paraId="281A0410" w14:textId="77777777" w:rsidR="00E56DE9" w:rsidRDefault="00E56DE9" w:rsidP="00E56DE9">
            <w:pPr>
              <w:jc w:val="center"/>
              <w:rPr>
                <w:sz w:val="20"/>
                <w:szCs w:val="20"/>
              </w:rPr>
            </w:pPr>
            <w:r>
              <w:rPr>
                <w:rFonts w:eastAsia="Times New Roman"/>
                <w:sz w:val="16"/>
                <w:szCs w:val="16"/>
              </w:rPr>
              <w:t>R–1171–76</w:t>
            </w:r>
          </w:p>
        </w:tc>
        <w:tc>
          <w:tcPr>
            <w:tcW w:w="620" w:type="dxa"/>
            <w:tcBorders>
              <w:top w:val="single" w:sz="8" w:space="0" w:color="auto"/>
              <w:bottom w:val="single" w:sz="8" w:space="0" w:color="auto"/>
              <w:right w:val="single" w:sz="8" w:space="0" w:color="auto"/>
            </w:tcBorders>
            <w:vAlign w:val="center"/>
          </w:tcPr>
          <w:p w14:paraId="281A0411" w14:textId="77777777" w:rsidR="00E56DE9" w:rsidRDefault="00E56DE9" w:rsidP="00E56DE9">
            <w:pPr>
              <w:jc w:val="center"/>
              <w:rPr>
                <w:sz w:val="23"/>
                <w:szCs w:val="23"/>
              </w:rPr>
            </w:pPr>
          </w:p>
        </w:tc>
        <w:tc>
          <w:tcPr>
            <w:tcW w:w="800" w:type="dxa"/>
            <w:tcBorders>
              <w:top w:val="single" w:sz="8" w:space="0" w:color="auto"/>
              <w:bottom w:val="single" w:sz="8" w:space="0" w:color="auto"/>
            </w:tcBorders>
            <w:vAlign w:val="center"/>
          </w:tcPr>
          <w:p w14:paraId="281A0412" w14:textId="77777777" w:rsidR="00E56DE9" w:rsidRDefault="00E56DE9" w:rsidP="00E56DE9">
            <w:pPr>
              <w:jc w:val="center"/>
              <w:rPr>
                <w:sz w:val="23"/>
                <w:szCs w:val="23"/>
              </w:rPr>
            </w:pPr>
          </w:p>
        </w:tc>
      </w:tr>
      <w:tr w:rsidR="002876DA" w14:paraId="281A043C" w14:textId="77777777" w:rsidTr="002876DA">
        <w:trPr>
          <w:trHeight w:val="1518"/>
        </w:trPr>
        <w:tc>
          <w:tcPr>
            <w:tcW w:w="1580" w:type="dxa"/>
            <w:tcBorders>
              <w:top w:val="single" w:sz="8" w:space="0" w:color="auto"/>
              <w:bottom w:val="single" w:sz="8" w:space="0" w:color="auto"/>
              <w:right w:val="single" w:sz="8" w:space="0" w:color="auto"/>
            </w:tcBorders>
            <w:vAlign w:val="center"/>
          </w:tcPr>
          <w:p w14:paraId="281A0430" w14:textId="77777777" w:rsidR="002876DA" w:rsidRDefault="002876DA" w:rsidP="00E56DE9">
            <w:pPr>
              <w:rPr>
                <w:sz w:val="20"/>
                <w:szCs w:val="20"/>
              </w:rPr>
            </w:pPr>
            <w:r>
              <w:rPr>
                <w:rFonts w:eastAsia="Times New Roman"/>
                <w:sz w:val="16"/>
                <w:szCs w:val="16"/>
              </w:rPr>
              <w:t>Gamma emitters</w:t>
            </w:r>
          </w:p>
        </w:tc>
        <w:tc>
          <w:tcPr>
            <w:tcW w:w="1620" w:type="dxa"/>
            <w:tcBorders>
              <w:top w:val="single" w:sz="8" w:space="0" w:color="auto"/>
              <w:bottom w:val="single" w:sz="8" w:space="0" w:color="auto"/>
              <w:right w:val="single" w:sz="8" w:space="0" w:color="auto"/>
            </w:tcBorders>
            <w:vAlign w:val="center"/>
          </w:tcPr>
          <w:p w14:paraId="281A0431" w14:textId="4521872E" w:rsidR="002876DA" w:rsidRDefault="002876DA" w:rsidP="00E56DE9">
            <w:pPr>
              <w:ind w:left="100"/>
              <w:jc w:val="center"/>
              <w:rPr>
                <w:sz w:val="20"/>
                <w:szCs w:val="20"/>
              </w:rPr>
            </w:pPr>
            <w:r>
              <w:rPr>
                <w:rFonts w:eastAsia="Times New Roman"/>
                <w:sz w:val="16"/>
                <w:szCs w:val="16"/>
              </w:rPr>
              <w:t>Gamma ray Spectrometry</w:t>
            </w:r>
          </w:p>
        </w:tc>
        <w:tc>
          <w:tcPr>
            <w:tcW w:w="540" w:type="dxa"/>
            <w:tcBorders>
              <w:top w:val="single" w:sz="8" w:space="0" w:color="auto"/>
              <w:bottom w:val="single" w:sz="8" w:space="0" w:color="auto"/>
              <w:right w:val="single" w:sz="8" w:space="0" w:color="auto"/>
            </w:tcBorders>
            <w:vAlign w:val="center"/>
          </w:tcPr>
          <w:p w14:paraId="281A0432" w14:textId="4CC36664" w:rsidR="002876DA" w:rsidRDefault="002876DA" w:rsidP="00AA1E02">
            <w:pPr>
              <w:ind w:left="20"/>
              <w:jc w:val="center"/>
              <w:rPr>
                <w:sz w:val="20"/>
                <w:szCs w:val="20"/>
              </w:rPr>
            </w:pPr>
            <w:r>
              <w:rPr>
                <w:rFonts w:eastAsia="Times New Roman"/>
                <w:sz w:val="16"/>
                <w:szCs w:val="16"/>
              </w:rPr>
              <w:t>901.1, 902</w:t>
            </w:r>
            <w:r w:rsidR="00FC2056">
              <w:rPr>
                <w:rFonts w:eastAsia="Times New Roman"/>
                <w:sz w:val="16"/>
                <w:szCs w:val="16"/>
              </w:rPr>
              <w:t>.0</w:t>
            </w:r>
            <w:r>
              <w:rPr>
                <w:rFonts w:eastAsia="Times New Roman"/>
                <w:sz w:val="16"/>
                <w:szCs w:val="16"/>
              </w:rPr>
              <w:t>, 901</w:t>
            </w:r>
            <w:r w:rsidR="00FC2056">
              <w:rPr>
                <w:rFonts w:eastAsia="Times New Roman"/>
                <w:sz w:val="16"/>
                <w:szCs w:val="16"/>
              </w:rPr>
              <w:t>.0</w:t>
            </w:r>
          </w:p>
        </w:tc>
        <w:tc>
          <w:tcPr>
            <w:tcW w:w="440" w:type="dxa"/>
            <w:tcBorders>
              <w:top w:val="single" w:sz="8" w:space="0" w:color="auto"/>
              <w:bottom w:val="single" w:sz="8" w:space="0" w:color="auto"/>
              <w:right w:val="single" w:sz="8" w:space="0" w:color="auto"/>
            </w:tcBorders>
            <w:vAlign w:val="center"/>
          </w:tcPr>
          <w:p w14:paraId="281A0433" w14:textId="77777777" w:rsidR="002876DA" w:rsidRDefault="002876DA" w:rsidP="00AA1E0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434" w14:textId="77777777" w:rsidR="002876DA" w:rsidRDefault="002876DA" w:rsidP="00AA1E0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435" w14:textId="77777777" w:rsidR="002876DA" w:rsidRDefault="002876DA" w:rsidP="00AA1E02">
            <w:pPr>
              <w:ind w:left="40"/>
              <w:jc w:val="center"/>
              <w:rPr>
                <w:sz w:val="20"/>
                <w:szCs w:val="20"/>
              </w:rPr>
            </w:pPr>
            <w:r>
              <w:rPr>
                <w:rFonts w:eastAsia="Times New Roman"/>
                <w:sz w:val="16"/>
                <w:szCs w:val="16"/>
              </w:rPr>
              <w:t>p 92</w:t>
            </w:r>
          </w:p>
        </w:tc>
        <w:tc>
          <w:tcPr>
            <w:tcW w:w="1540" w:type="dxa"/>
            <w:tcBorders>
              <w:top w:val="single" w:sz="8" w:space="0" w:color="auto"/>
              <w:bottom w:val="single" w:sz="8" w:space="0" w:color="auto"/>
              <w:right w:val="single" w:sz="8" w:space="0" w:color="auto"/>
            </w:tcBorders>
            <w:vAlign w:val="center"/>
          </w:tcPr>
          <w:p w14:paraId="281A0436" w14:textId="35D6FDEF" w:rsidR="002876DA" w:rsidRDefault="002876DA" w:rsidP="00AA1E02">
            <w:pPr>
              <w:ind w:left="20"/>
              <w:jc w:val="center"/>
              <w:rPr>
                <w:sz w:val="20"/>
                <w:szCs w:val="20"/>
              </w:rPr>
            </w:pPr>
            <w:r>
              <w:rPr>
                <w:rFonts w:eastAsia="Times New Roman"/>
                <w:sz w:val="16"/>
                <w:szCs w:val="16"/>
              </w:rPr>
              <w:t>7120, 7120-97, 7500-Cs B, 7500-Cs B-00, 7500-I B, 7500-I B-00</w:t>
            </w:r>
          </w:p>
        </w:tc>
        <w:tc>
          <w:tcPr>
            <w:tcW w:w="1180" w:type="dxa"/>
            <w:tcBorders>
              <w:top w:val="single" w:sz="8" w:space="0" w:color="auto"/>
              <w:bottom w:val="single" w:sz="8" w:space="0" w:color="auto"/>
              <w:right w:val="single" w:sz="8" w:space="0" w:color="auto"/>
            </w:tcBorders>
            <w:vAlign w:val="center"/>
          </w:tcPr>
          <w:p w14:paraId="281A0437" w14:textId="35A35A68" w:rsidR="002876DA" w:rsidRDefault="002876DA" w:rsidP="002876DA">
            <w:pPr>
              <w:jc w:val="center"/>
              <w:rPr>
                <w:sz w:val="20"/>
                <w:szCs w:val="20"/>
              </w:rPr>
            </w:pPr>
            <w:r>
              <w:rPr>
                <w:rFonts w:eastAsia="Times New Roman"/>
                <w:sz w:val="16"/>
                <w:szCs w:val="16"/>
              </w:rPr>
              <w:t>D3649–91, 98a, D4785–88, 93, 00a</w:t>
            </w:r>
          </w:p>
        </w:tc>
        <w:tc>
          <w:tcPr>
            <w:tcW w:w="980" w:type="dxa"/>
            <w:tcBorders>
              <w:top w:val="single" w:sz="8" w:space="0" w:color="auto"/>
              <w:bottom w:val="single" w:sz="8" w:space="0" w:color="auto"/>
              <w:right w:val="single" w:sz="8" w:space="0" w:color="auto"/>
            </w:tcBorders>
            <w:vAlign w:val="center"/>
          </w:tcPr>
          <w:p w14:paraId="281A0438" w14:textId="77777777" w:rsidR="002876DA" w:rsidRDefault="002876DA" w:rsidP="002876DA">
            <w:pPr>
              <w:jc w:val="center"/>
              <w:rPr>
                <w:sz w:val="20"/>
                <w:szCs w:val="20"/>
              </w:rPr>
            </w:pPr>
            <w:r>
              <w:rPr>
                <w:rFonts w:eastAsia="Times New Roman"/>
                <w:sz w:val="16"/>
                <w:szCs w:val="16"/>
              </w:rPr>
              <w:t>R–1110–76</w:t>
            </w:r>
          </w:p>
        </w:tc>
        <w:tc>
          <w:tcPr>
            <w:tcW w:w="620" w:type="dxa"/>
            <w:tcBorders>
              <w:top w:val="single" w:sz="8" w:space="0" w:color="auto"/>
              <w:bottom w:val="single" w:sz="8" w:space="0" w:color="auto"/>
              <w:right w:val="single" w:sz="8" w:space="0" w:color="auto"/>
            </w:tcBorders>
            <w:vAlign w:val="center"/>
          </w:tcPr>
          <w:p w14:paraId="281A0439" w14:textId="77777777" w:rsidR="002876DA" w:rsidRDefault="002876DA" w:rsidP="002876DA">
            <w:pPr>
              <w:jc w:val="center"/>
              <w:rPr>
                <w:sz w:val="20"/>
                <w:szCs w:val="20"/>
              </w:rPr>
            </w:pPr>
            <w:r>
              <w:rPr>
                <w:rFonts w:eastAsia="Times New Roman"/>
                <w:sz w:val="16"/>
                <w:szCs w:val="16"/>
              </w:rPr>
              <w:t>Ga-01-R</w:t>
            </w:r>
          </w:p>
        </w:tc>
        <w:tc>
          <w:tcPr>
            <w:tcW w:w="800" w:type="dxa"/>
            <w:tcBorders>
              <w:top w:val="single" w:sz="8" w:space="0" w:color="auto"/>
              <w:bottom w:val="single" w:sz="8" w:space="0" w:color="auto"/>
            </w:tcBorders>
            <w:vAlign w:val="center"/>
          </w:tcPr>
          <w:p w14:paraId="281A043A" w14:textId="77777777" w:rsidR="002876DA" w:rsidRDefault="002876DA" w:rsidP="002876DA">
            <w:pPr>
              <w:jc w:val="center"/>
              <w:rPr>
                <w:sz w:val="23"/>
                <w:szCs w:val="23"/>
              </w:rPr>
            </w:pPr>
          </w:p>
        </w:tc>
      </w:tr>
    </w:tbl>
    <w:p w14:paraId="281A048E" w14:textId="66381CB6" w:rsidR="004647B9" w:rsidRDefault="00E2436F" w:rsidP="0028755E">
      <w:pPr>
        <w:numPr>
          <w:ilvl w:val="0"/>
          <w:numId w:val="414"/>
        </w:numPr>
        <w:tabs>
          <w:tab w:val="left" w:pos="480"/>
        </w:tabs>
        <w:ind w:left="480" w:right="180" w:hanging="479"/>
        <w:jc w:val="both"/>
        <w:rPr>
          <w:rFonts w:eastAsia="Times New Roman"/>
          <w:sz w:val="28"/>
          <w:szCs w:val="28"/>
          <w:vertAlign w:val="superscript"/>
        </w:rPr>
      </w:pPr>
      <w:r>
        <w:rPr>
          <w:rFonts w:eastAsia="Times New Roman"/>
          <w:i/>
          <w:iCs/>
          <w:sz w:val="24"/>
          <w:szCs w:val="24"/>
        </w:rPr>
        <w:t>Prescribed Procedures for Measurement of Radioactivity in Drinking Water</w:t>
      </w:r>
      <w:r>
        <w:rPr>
          <w:rFonts w:eastAsia="Times New Roman"/>
          <w:sz w:val="24"/>
          <w:szCs w:val="24"/>
        </w:rPr>
        <w:t>, EPA 600/4–80–032,</w:t>
      </w:r>
      <w:r>
        <w:rPr>
          <w:rFonts w:eastAsia="Times New Roman"/>
          <w:i/>
          <w:iCs/>
          <w:sz w:val="24"/>
          <w:szCs w:val="24"/>
        </w:rPr>
        <w:t xml:space="preserve"> </w:t>
      </w:r>
      <w:r>
        <w:rPr>
          <w:rFonts w:eastAsia="Times New Roman"/>
          <w:sz w:val="24"/>
          <w:szCs w:val="24"/>
        </w:rPr>
        <w:t>August 1980. Available at U.S. Department of Commerce, National Technical Information Service, 5285 Port Royal Road, Springfield, VA 22161 (Telephone 800–553–6847), PB 80–224744, except Method 200.8, “</w:t>
      </w:r>
      <w:r>
        <w:rPr>
          <w:rFonts w:eastAsia="Times New Roman"/>
          <w:i/>
          <w:iCs/>
          <w:sz w:val="24"/>
          <w:szCs w:val="24"/>
        </w:rPr>
        <w:t>Determination of Trace Elements in Waters and Wastes by Inductively Coupled Plasma-Mass Spectrometry</w:t>
      </w:r>
      <w:r>
        <w:rPr>
          <w:rFonts w:eastAsia="Times New Roman"/>
          <w:sz w:val="24"/>
          <w:szCs w:val="24"/>
        </w:rPr>
        <w:t>”, Revision 5.4, which is published in “</w:t>
      </w:r>
      <w:r>
        <w:rPr>
          <w:rFonts w:eastAsia="Times New Roman"/>
          <w:i/>
          <w:iCs/>
          <w:sz w:val="24"/>
          <w:szCs w:val="24"/>
        </w:rPr>
        <w:t>Methods for the Determination of Metals in Environmental Samples-Supplement 1</w:t>
      </w:r>
      <w:r>
        <w:rPr>
          <w:rFonts w:eastAsia="Times New Roman"/>
          <w:sz w:val="24"/>
          <w:szCs w:val="24"/>
        </w:rPr>
        <w:t>”, EPA 600-R-94-111, May 1994. Available at NTIS, PB95-125472.</w:t>
      </w:r>
    </w:p>
    <w:p w14:paraId="281A048F" w14:textId="77777777" w:rsidR="004647B9" w:rsidRDefault="004647B9" w:rsidP="0028755E">
      <w:pPr>
        <w:sectPr w:rsidR="004647B9" w:rsidSect="00EF630C">
          <w:pgSz w:w="12240" w:h="20180"/>
          <w:pgMar w:top="708" w:right="1260" w:bottom="1440" w:left="600" w:header="0" w:footer="0" w:gutter="0"/>
          <w:cols w:space="720"/>
        </w:sectPr>
      </w:pPr>
    </w:p>
    <w:p w14:paraId="281A0490" w14:textId="77777777" w:rsidR="004647B9" w:rsidRDefault="00E2436F">
      <w:pPr>
        <w:tabs>
          <w:tab w:val="left" w:pos="160"/>
        </w:tabs>
        <w:jc w:val="center"/>
        <w:rPr>
          <w:sz w:val="20"/>
          <w:szCs w:val="20"/>
        </w:rPr>
      </w:pPr>
      <w:bookmarkStart w:id="156" w:name="page158"/>
      <w:bookmarkEnd w:id="15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491" w14:textId="77777777" w:rsidR="004647B9" w:rsidRDefault="004647B9" w:rsidP="0028755E">
      <w:pPr>
        <w:rPr>
          <w:sz w:val="20"/>
          <w:szCs w:val="20"/>
        </w:rPr>
      </w:pPr>
    </w:p>
    <w:p w14:paraId="281A0492" w14:textId="77777777" w:rsidR="004647B9" w:rsidRDefault="004647B9" w:rsidP="0028755E">
      <w:pPr>
        <w:rPr>
          <w:sz w:val="20"/>
          <w:szCs w:val="20"/>
        </w:rPr>
      </w:pPr>
    </w:p>
    <w:p w14:paraId="281A0493" w14:textId="77777777" w:rsidR="004647B9" w:rsidRPr="0028755E" w:rsidRDefault="00E2436F" w:rsidP="0028755E">
      <w:pPr>
        <w:tabs>
          <w:tab w:val="left" w:pos="941"/>
        </w:tabs>
        <w:ind w:left="1"/>
        <w:rPr>
          <w:sz w:val="24"/>
          <w:szCs w:val="24"/>
        </w:rPr>
      </w:pPr>
      <w:r w:rsidRPr="0028755E">
        <w:rPr>
          <w:rFonts w:eastAsia="Times New Roman"/>
          <w:sz w:val="24"/>
          <w:szCs w:val="24"/>
        </w:rPr>
        <w:t>22.09A:</w:t>
      </w:r>
      <w:r w:rsidRPr="0028755E">
        <w:rPr>
          <w:sz w:val="24"/>
          <w:szCs w:val="24"/>
        </w:rPr>
        <w:tab/>
      </w:r>
      <w:r w:rsidRPr="0028755E">
        <w:rPr>
          <w:rFonts w:eastAsia="Times New Roman"/>
          <w:sz w:val="24"/>
          <w:szCs w:val="24"/>
        </w:rPr>
        <w:t>continued</w:t>
      </w:r>
    </w:p>
    <w:p w14:paraId="281A0494" w14:textId="77777777" w:rsidR="004647B9" w:rsidRDefault="004647B9" w:rsidP="0028755E">
      <w:pPr>
        <w:rPr>
          <w:sz w:val="20"/>
          <w:szCs w:val="20"/>
        </w:rPr>
      </w:pPr>
    </w:p>
    <w:p w14:paraId="281A0495" w14:textId="77777777" w:rsidR="004647B9" w:rsidRPr="00432623" w:rsidRDefault="00E2436F" w:rsidP="0028755E">
      <w:pPr>
        <w:numPr>
          <w:ilvl w:val="0"/>
          <w:numId w:val="415"/>
        </w:numPr>
        <w:tabs>
          <w:tab w:val="left" w:pos="481"/>
        </w:tabs>
        <w:ind w:left="481" w:hanging="480"/>
        <w:rPr>
          <w:rFonts w:eastAsia="Times New Roman"/>
          <w:sz w:val="24"/>
          <w:szCs w:val="24"/>
          <w:vertAlign w:val="superscript"/>
        </w:rPr>
      </w:pPr>
      <w:r w:rsidRPr="00432623">
        <w:rPr>
          <w:rFonts w:eastAsia="Times New Roman"/>
          <w:i/>
          <w:iCs/>
          <w:sz w:val="24"/>
          <w:szCs w:val="24"/>
        </w:rPr>
        <w:t>Interim Radiochemical Methodology for Drinking Water</w:t>
      </w:r>
      <w:r w:rsidRPr="00432623">
        <w:rPr>
          <w:rFonts w:eastAsia="Times New Roman"/>
          <w:sz w:val="24"/>
          <w:szCs w:val="24"/>
        </w:rPr>
        <w:t>, EPA 600/4–75–008 (revised), March 1976.</w:t>
      </w:r>
      <w:r w:rsidRPr="00432623">
        <w:rPr>
          <w:rFonts w:eastAsia="Times New Roman"/>
          <w:i/>
          <w:iCs/>
          <w:sz w:val="24"/>
          <w:szCs w:val="24"/>
        </w:rPr>
        <w:t xml:space="preserve"> </w:t>
      </w:r>
      <w:r w:rsidRPr="00432623">
        <w:rPr>
          <w:rFonts w:eastAsia="Times New Roman"/>
          <w:sz w:val="24"/>
          <w:szCs w:val="24"/>
        </w:rPr>
        <w:t>Available at NTIS, ibid. PB 253258.</w:t>
      </w:r>
    </w:p>
    <w:p w14:paraId="281A0497" w14:textId="77777777" w:rsidR="004647B9" w:rsidRPr="00432623" w:rsidRDefault="00E2436F" w:rsidP="0028755E">
      <w:pPr>
        <w:numPr>
          <w:ilvl w:val="0"/>
          <w:numId w:val="415"/>
        </w:numPr>
        <w:tabs>
          <w:tab w:val="left" w:pos="481"/>
        </w:tabs>
        <w:ind w:left="481" w:hanging="480"/>
        <w:rPr>
          <w:rFonts w:eastAsia="Times New Roman"/>
          <w:sz w:val="24"/>
          <w:szCs w:val="24"/>
          <w:vertAlign w:val="superscript"/>
        </w:rPr>
      </w:pPr>
      <w:r w:rsidRPr="00432623">
        <w:rPr>
          <w:rFonts w:eastAsia="Times New Roman"/>
          <w:i/>
          <w:iCs/>
          <w:sz w:val="24"/>
          <w:szCs w:val="24"/>
        </w:rPr>
        <w:t>Radiochemistry Procedures Manual</w:t>
      </w:r>
      <w:r w:rsidRPr="00432623">
        <w:rPr>
          <w:rFonts w:eastAsia="Times New Roman"/>
          <w:sz w:val="24"/>
          <w:szCs w:val="24"/>
        </w:rPr>
        <w:t>, EPA 520/5–84–006, December 1987. Available at NTIS,</w:t>
      </w:r>
      <w:r w:rsidRPr="00432623">
        <w:rPr>
          <w:rFonts w:eastAsia="Times New Roman"/>
          <w:i/>
          <w:iCs/>
          <w:sz w:val="24"/>
          <w:szCs w:val="24"/>
        </w:rPr>
        <w:t xml:space="preserve"> ibid</w:t>
      </w:r>
      <w:r w:rsidRPr="00432623">
        <w:rPr>
          <w:rFonts w:eastAsia="Times New Roman"/>
          <w:sz w:val="24"/>
          <w:szCs w:val="24"/>
        </w:rPr>
        <w:t>. PB</w:t>
      </w:r>
      <w:r w:rsidRPr="00432623">
        <w:rPr>
          <w:rFonts w:eastAsia="Times New Roman"/>
          <w:i/>
          <w:iCs/>
          <w:sz w:val="24"/>
          <w:szCs w:val="24"/>
        </w:rPr>
        <w:t xml:space="preserve"> </w:t>
      </w:r>
      <w:r w:rsidRPr="00432623">
        <w:rPr>
          <w:rFonts w:eastAsia="Times New Roman"/>
          <w:sz w:val="24"/>
          <w:szCs w:val="24"/>
        </w:rPr>
        <w:t>84–215581.</w:t>
      </w:r>
    </w:p>
    <w:p w14:paraId="281A0499" w14:textId="77777777" w:rsidR="004647B9" w:rsidRPr="00432623" w:rsidRDefault="00E2436F" w:rsidP="0028755E">
      <w:pPr>
        <w:numPr>
          <w:ilvl w:val="0"/>
          <w:numId w:val="415"/>
        </w:numPr>
        <w:tabs>
          <w:tab w:val="left" w:pos="481"/>
        </w:tabs>
        <w:ind w:left="481" w:hanging="480"/>
        <w:rPr>
          <w:rFonts w:eastAsia="Times New Roman"/>
          <w:sz w:val="24"/>
          <w:szCs w:val="24"/>
          <w:vertAlign w:val="superscript"/>
        </w:rPr>
      </w:pPr>
      <w:r w:rsidRPr="00432623">
        <w:rPr>
          <w:rFonts w:eastAsia="Times New Roman"/>
          <w:i/>
          <w:iCs/>
          <w:sz w:val="24"/>
          <w:szCs w:val="24"/>
        </w:rPr>
        <w:t>Radiochemical Analytical Procedures for Analysis of Environmental Samples</w:t>
      </w:r>
      <w:r w:rsidRPr="00432623">
        <w:rPr>
          <w:rFonts w:eastAsia="Times New Roman"/>
          <w:sz w:val="24"/>
          <w:szCs w:val="24"/>
        </w:rPr>
        <w:t>, U.S. Department of</w:t>
      </w:r>
      <w:r w:rsidRPr="00432623">
        <w:rPr>
          <w:rFonts w:eastAsia="Times New Roman"/>
          <w:i/>
          <w:iCs/>
          <w:sz w:val="24"/>
          <w:szCs w:val="24"/>
        </w:rPr>
        <w:t xml:space="preserve"> </w:t>
      </w:r>
      <w:r w:rsidRPr="00432623">
        <w:rPr>
          <w:rFonts w:eastAsia="Times New Roman"/>
          <w:sz w:val="24"/>
          <w:szCs w:val="24"/>
        </w:rPr>
        <w:t>Energy, March 1979. Available at NTIS, ibid. EMSL LV 053917.</w:t>
      </w:r>
    </w:p>
    <w:p w14:paraId="281A049B" w14:textId="3806FE61" w:rsidR="004647B9" w:rsidRPr="00432623" w:rsidRDefault="00E2436F" w:rsidP="0028755E">
      <w:pPr>
        <w:numPr>
          <w:ilvl w:val="0"/>
          <w:numId w:val="415"/>
        </w:numPr>
        <w:tabs>
          <w:tab w:val="left" w:pos="481"/>
        </w:tabs>
        <w:ind w:left="481" w:hanging="481"/>
        <w:jc w:val="both"/>
        <w:rPr>
          <w:rFonts w:eastAsia="Times New Roman"/>
          <w:sz w:val="24"/>
          <w:szCs w:val="24"/>
        </w:rPr>
      </w:pPr>
      <w:r w:rsidRPr="00432623">
        <w:rPr>
          <w:rFonts w:eastAsia="Times New Roman"/>
          <w:i/>
          <w:iCs/>
          <w:sz w:val="24"/>
          <w:szCs w:val="24"/>
        </w:rPr>
        <w:t>Standard Methods for the Examination of Water and Wastewater</w:t>
      </w:r>
      <w:r w:rsidRPr="00432623">
        <w:rPr>
          <w:rFonts w:eastAsia="Times New Roman"/>
          <w:sz w:val="24"/>
          <w:szCs w:val="24"/>
        </w:rPr>
        <w:t>, 13</w:t>
      </w:r>
      <w:r w:rsidRPr="00432623">
        <w:rPr>
          <w:rFonts w:eastAsia="Times New Roman"/>
          <w:sz w:val="24"/>
          <w:szCs w:val="24"/>
          <w:vertAlign w:val="superscript"/>
        </w:rPr>
        <w:t>th</w:t>
      </w:r>
      <w:r w:rsidRPr="00432623">
        <w:rPr>
          <w:rFonts w:eastAsia="Times New Roman"/>
          <w:sz w:val="24"/>
          <w:szCs w:val="24"/>
        </w:rPr>
        <w:t>, 17</w:t>
      </w:r>
      <w:r w:rsidRPr="00432623">
        <w:rPr>
          <w:rFonts w:eastAsia="Times New Roman"/>
          <w:sz w:val="24"/>
          <w:szCs w:val="24"/>
          <w:vertAlign w:val="superscript"/>
        </w:rPr>
        <w:t>th</w:t>
      </w:r>
      <w:r w:rsidRPr="00432623">
        <w:rPr>
          <w:rFonts w:eastAsia="Times New Roman"/>
          <w:sz w:val="24"/>
          <w:szCs w:val="24"/>
        </w:rPr>
        <w:t>, 18</w:t>
      </w:r>
      <w:r w:rsidRPr="00432623">
        <w:rPr>
          <w:rFonts w:eastAsia="Times New Roman"/>
          <w:sz w:val="24"/>
          <w:szCs w:val="24"/>
          <w:vertAlign w:val="superscript"/>
        </w:rPr>
        <w:t>th</w:t>
      </w:r>
      <w:r w:rsidRPr="00432623">
        <w:rPr>
          <w:rFonts w:eastAsia="Times New Roman"/>
          <w:sz w:val="24"/>
          <w:szCs w:val="24"/>
        </w:rPr>
        <w:t>, 19</w:t>
      </w:r>
      <w:r w:rsidRPr="00432623">
        <w:rPr>
          <w:rFonts w:eastAsia="Times New Roman"/>
          <w:sz w:val="24"/>
          <w:szCs w:val="24"/>
          <w:vertAlign w:val="superscript"/>
        </w:rPr>
        <w:t>th</w:t>
      </w:r>
      <w:r w:rsidRPr="00432623">
        <w:rPr>
          <w:rFonts w:eastAsia="Times New Roman"/>
          <w:sz w:val="24"/>
          <w:szCs w:val="24"/>
        </w:rPr>
        <w:t>, or 20</w:t>
      </w:r>
      <w:r w:rsidRPr="00432623">
        <w:rPr>
          <w:rFonts w:eastAsia="Times New Roman"/>
          <w:sz w:val="24"/>
          <w:szCs w:val="24"/>
          <w:vertAlign w:val="superscript"/>
        </w:rPr>
        <w:t>th</w:t>
      </w:r>
      <w:r w:rsidRPr="00432623">
        <w:rPr>
          <w:rFonts w:eastAsia="Times New Roman"/>
          <w:i/>
          <w:iCs/>
          <w:sz w:val="24"/>
          <w:szCs w:val="24"/>
        </w:rPr>
        <w:t xml:space="preserve"> </w:t>
      </w:r>
      <w:r w:rsidRPr="00432623">
        <w:rPr>
          <w:rFonts w:eastAsia="Times New Roman"/>
          <w:sz w:val="24"/>
          <w:szCs w:val="24"/>
        </w:rPr>
        <w:t>editions,</w:t>
      </w:r>
      <w:r w:rsidRPr="00432623">
        <w:rPr>
          <w:rFonts w:eastAsia="Times New Roman"/>
          <w:i/>
          <w:iCs/>
          <w:sz w:val="24"/>
          <w:szCs w:val="24"/>
        </w:rPr>
        <w:t xml:space="preserve"> </w:t>
      </w:r>
      <w:r w:rsidRPr="00432623">
        <w:rPr>
          <w:rFonts w:eastAsia="Times New Roman"/>
          <w:sz w:val="24"/>
          <w:szCs w:val="24"/>
        </w:rPr>
        <w:t>1971, 1989, 1992, 1995 and 1998. Available at American Public Health Association, 1015 Fifteenth Street N.W., Washington, D.C. 20005. Methods 302, 303, 304, 305 and 306 are only in the 13</w:t>
      </w:r>
      <w:r w:rsidRPr="00432623">
        <w:rPr>
          <w:rFonts w:eastAsia="Times New Roman"/>
          <w:sz w:val="24"/>
          <w:szCs w:val="24"/>
          <w:vertAlign w:val="superscript"/>
        </w:rPr>
        <w:t>th</w:t>
      </w:r>
      <w:r w:rsidRPr="00432623">
        <w:rPr>
          <w:rFonts w:eastAsia="Times New Roman"/>
          <w:sz w:val="24"/>
          <w:szCs w:val="24"/>
        </w:rPr>
        <w:t xml:space="preserve"> edition. Methods 7110B, 7500-Ra B, 7500-Ra C, 7500-Ra D, 7500-U B, 7500-Cs B, 7500-I B, 7500–I C, 7500–I D, 7500-Sr B, 7500–3H B are in the 17</w:t>
      </w:r>
      <w:r w:rsidRPr="00432623">
        <w:rPr>
          <w:rFonts w:eastAsia="Times New Roman"/>
          <w:sz w:val="24"/>
          <w:szCs w:val="24"/>
          <w:vertAlign w:val="superscript"/>
        </w:rPr>
        <w:t>th</w:t>
      </w:r>
      <w:r w:rsidRPr="00432623">
        <w:rPr>
          <w:rFonts w:eastAsia="Times New Roman"/>
          <w:sz w:val="24"/>
          <w:szCs w:val="24"/>
        </w:rPr>
        <w:t>, 18</w:t>
      </w:r>
      <w:r w:rsidRPr="00432623">
        <w:rPr>
          <w:rFonts w:eastAsia="Times New Roman"/>
          <w:sz w:val="24"/>
          <w:szCs w:val="24"/>
          <w:vertAlign w:val="superscript"/>
        </w:rPr>
        <w:t>th</w:t>
      </w:r>
      <w:r w:rsidRPr="00432623">
        <w:rPr>
          <w:rFonts w:eastAsia="Times New Roman"/>
          <w:sz w:val="24"/>
          <w:szCs w:val="24"/>
        </w:rPr>
        <w:t>, 19</w:t>
      </w:r>
      <w:r w:rsidRPr="00432623">
        <w:rPr>
          <w:rFonts w:eastAsia="Times New Roman"/>
          <w:sz w:val="24"/>
          <w:szCs w:val="24"/>
          <w:vertAlign w:val="superscript"/>
        </w:rPr>
        <w:t>th</w:t>
      </w:r>
      <w:r w:rsidRPr="00432623">
        <w:rPr>
          <w:rFonts w:eastAsia="Times New Roman"/>
          <w:sz w:val="24"/>
          <w:szCs w:val="24"/>
        </w:rPr>
        <w:t>, and 20</w:t>
      </w:r>
      <w:r w:rsidRPr="00432623">
        <w:rPr>
          <w:rFonts w:eastAsia="Times New Roman"/>
          <w:sz w:val="24"/>
          <w:szCs w:val="24"/>
          <w:vertAlign w:val="superscript"/>
        </w:rPr>
        <w:t>th</w:t>
      </w:r>
      <w:r w:rsidRPr="00432623">
        <w:rPr>
          <w:rFonts w:eastAsia="Times New Roman"/>
          <w:sz w:val="24"/>
          <w:szCs w:val="24"/>
        </w:rPr>
        <w:t xml:space="preserve"> editions. Method 7110C is in the 18</w:t>
      </w:r>
      <w:r w:rsidRPr="00432623">
        <w:rPr>
          <w:rFonts w:eastAsia="Times New Roman"/>
          <w:sz w:val="24"/>
          <w:szCs w:val="24"/>
          <w:vertAlign w:val="superscript"/>
        </w:rPr>
        <w:t>th</w:t>
      </w:r>
      <w:r w:rsidRPr="00432623">
        <w:rPr>
          <w:rFonts w:eastAsia="Times New Roman"/>
          <w:sz w:val="24"/>
          <w:szCs w:val="24"/>
        </w:rPr>
        <w:t>, 19</w:t>
      </w:r>
      <w:r w:rsidRPr="00432623">
        <w:rPr>
          <w:rFonts w:eastAsia="Times New Roman"/>
          <w:sz w:val="24"/>
          <w:szCs w:val="24"/>
          <w:vertAlign w:val="superscript"/>
        </w:rPr>
        <w:t>th</w:t>
      </w:r>
      <w:r w:rsidRPr="00432623">
        <w:rPr>
          <w:rFonts w:eastAsia="Times New Roman"/>
          <w:sz w:val="24"/>
          <w:szCs w:val="24"/>
        </w:rPr>
        <w:t>, and 20</w:t>
      </w:r>
      <w:r w:rsidRPr="00432623">
        <w:rPr>
          <w:rFonts w:eastAsia="Times New Roman"/>
          <w:sz w:val="24"/>
          <w:szCs w:val="24"/>
          <w:vertAlign w:val="superscript"/>
        </w:rPr>
        <w:t>th</w:t>
      </w:r>
      <w:r w:rsidRPr="00432623">
        <w:rPr>
          <w:rFonts w:eastAsia="Times New Roman"/>
          <w:sz w:val="24"/>
          <w:szCs w:val="24"/>
        </w:rPr>
        <w:t xml:space="preserve"> editions. Method 7500-U C Fluorometric Uranium is only in the 17</w:t>
      </w:r>
      <w:r w:rsidRPr="00432623">
        <w:rPr>
          <w:rFonts w:eastAsia="Times New Roman"/>
          <w:sz w:val="24"/>
          <w:szCs w:val="24"/>
          <w:vertAlign w:val="superscript"/>
        </w:rPr>
        <w:t>th</w:t>
      </w:r>
      <w:r w:rsidRPr="00432623">
        <w:rPr>
          <w:rFonts w:eastAsia="Times New Roman"/>
          <w:sz w:val="24"/>
          <w:szCs w:val="24"/>
        </w:rPr>
        <w:t xml:space="preserve"> Edition, and 7500-U C Alp</w:t>
      </w:r>
      <w:r w:rsidRPr="00432623" w:rsidDel="007B206E">
        <w:rPr>
          <w:rFonts w:eastAsia="Times New Roman"/>
          <w:sz w:val="24"/>
          <w:szCs w:val="24"/>
        </w:rPr>
        <w:t xml:space="preserve">ha </w:t>
      </w:r>
      <w:r w:rsidRPr="00432623">
        <w:rPr>
          <w:rFonts w:eastAsia="Times New Roman"/>
          <w:sz w:val="24"/>
          <w:szCs w:val="24"/>
        </w:rPr>
        <w:t>spectrometry is only in the 18</w:t>
      </w:r>
      <w:r w:rsidRPr="00432623">
        <w:rPr>
          <w:rFonts w:eastAsia="Times New Roman"/>
          <w:sz w:val="24"/>
          <w:szCs w:val="24"/>
          <w:vertAlign w:val="superscript"/>
        </w:rPr>
        <w:t>th</w:t>
      </w:r>
      <w:r w:rsidRPr="00432623">
        <w:rPr>
          <w:rFonts w:eastAsia="Times New Roman"/>
          <w:sz w:val="24"/>
          <w:szCs w:val="24"/>
        </w:rPr>
        <w:t>, 19</w:t>
      </w:r>
      <w:r w:rsidRPr="00432623">
        <w:rPr>
          <w:rFonts w:eastAsia="Times New Roman"/>
          <w:sz w:val="24"/>
          <w:szCs w:val="24"/>
          <w:vertAlign w:val="superscript"/>
        </w:rPr>
        <w:t>th</w:t>
      </w:r>
      <w:r w:rsidRPr="00432623">
        <w:rPr>
          <w:rFonts w:eastAsia="Times New Roman"/>
          <w:sz w:val="24"/>
          <w:szCs w:val="24"/>
        </w:rPr>
        <w:t>, and 20</w:t>
      </w:r>
      <w:r w:rsidRPr="00432623">
        <w:rPr>
          <w:rFonts w:eastAsia="Times New Roman"/>
          <w:sz w:val="24"/>
          <w:szCs w:val="24"/>
          <w:vertAlign w:val="superscript"/>
        </w:rPr>
        <w:t>th</w:t>
      </w:r>
      <w:r w:rsidRPr="00432623">
        <w:rPr>
          <w:rFonts w:eastAsia="Times New Roman"/>
          <w:sz w:val="24"/>
          <w:szCs w:val="24"/>
        </w:rPr>
        <w:t xml:space="preserve"> editions. Method 7120 is only in the 19</w:t>
      </w:r>
      <w:r w:rsidRPr="00432623">
        <w:rPr>
          <w:rFonts w:eastAsia="Times New Roman"/>
          <w:sz w:val="24"/>
          <w:szCs w:val="24"/>
          <w:vertAlign w:val="superscript"/>
        </w:rPr>
        <w:t>th</w:t>
      </w:r>
      <w:r w:rsidRPr="00432623">
        <w:rPr>
          <w:rFonts w:eastAsia="Times New Roman"/>
          <w:sz w:val="24"/>
          <w:szCs w:val="24"/>
        </w:rPr>
        <w:t xml:space="preserve"> and 20</w:t>
      </w:r>
      <w:r w:rsidRPr="00432623">
        <w:rPr>
          <w:rFonts w:eastAsia="Times New Roman"/>
          <w:sz w:val="24"/>
          <w:szCs w:val="24"/>
          <w:vertAlign w:val="superscript"/>
        </w:rPr>
        <w:t>th</w:t>
      </w:r>
      <w:r w:rsidRPr="00432623">
        <w:rPr>
          <w:rFonts w:eastAsia="Times New Roman"/>
          <w:sz w:val="24"/>
          <w:szCs w:val="24"/>
        </w:rPr>
        <w:t xml:space="preserve"> editions. Methods 302, 303, 304, 305 and 306 are only in the 13</w:t>
      </w:r>
      <w:r w:rsidRPr="00432623">
        <w:rPr>
          <w:rFonts w:eastAsia="Times New Roman"/>
          <w:sz w:val="24"/>
          <w:szCs w:val="24"/>
          <w:vertAlign w:val="superscript"/>
        </w:rPr>
        <w:t>th</w:t>
      </w:r>
      <w:r w:rsidRPr="00432623">
        <w:rPr>
          <w:rFonts w:eastAsia="Times New Roman"/>
          <w:sz w:val="24"/>
          <w:szCs w:val="24"/>
        </w:rPr>
        <w:t xml:space="preserve"> edition. Method 3125 is only in the 20</w:t>
      </w:r>
      <w:r w:rsidRPr="00432623">
        <w:rPr>
          <w:rFonts w:eastAsia="Times New Roman"/>
          <w:sz w:val="24"/>
          <w:szCs w:val="24"/>
          <w:vertAlign w:val="superscript"/>
        </w:rPr>
        <w:t>th</w:t>
      </w:r>
      <w:r w:rsidRPr="00432623">
        <w:rPr>
          <w:rFonts w:eastAsia="Times New Roman"/>
          <w:sz w:val="24"/>
          <w:szCs w:val="24"/>
        </w:rPr>
        <w:t xml:space="preserve"> edition. Methods 7110 B-00, 7110 C-00, 7500-Ra B-01, 7500-Ra C-01, 7500 Ra D-01, 7500-U B-00, 7500-U C-00, 7500-1 B-00, 7500-1 C-00, 7500-1 D-00, 7120-97, 7500-Sr B-01, and 7500-</w:t>
      </w:r>
      <w:r w:rsidRPr="00432623">
        <w:rPr>
          <w:rFonts w:eastAsia="Times New Roman"/>
          <w:sz w:val="24"/>
          <w:szCs w:val="24"/>
          <w:vertAlign w:val="superscript"/>
        </w:rPr>
        <w:t>3</w:t>
      </w:r>
      <w:r w:rsidRPr="00432623">
        <w:rPr>
          <w:rFonts w:eastAsia="Times New Roman"/>
          <w:sz w:val="24"/>
          <w:szCs w:val="24"/>
        </w:rPr>
        <w:t xml:space="preserve">H B-00 are available </w:t>
      </w:r>
      <w:r w:rsidR="00185E0C">
        <w:rPr>
          <w:rFonts w:eastAsia="Times New Roman"/>
          <w:sz w:val="24"/>
          <w:szCs w:val="24"/>
        </w:rPr>
        <w:t>from Standard Methods O</w:t>
      </w:r>
      <w:r w:rsidRPr="00432623">
        <w:rPr>
          <w:rFonts w:eastAsia="Times New Roman"/>
          <w:sz w:val="24"/>
          <w:szCs w:val="24"/>
        </w:rPr>
        <w:t>nline. The year in which each method was approved by the Standard Methods Committee is designated by the last two digits in the method number. The methods listed are the only online versions that may be used.</w:t>
      </w:r>
    </w:p>
    <w:p w14:paraId="281A049D" w14:textId="77777777" w:rsidR="004647B9" w:rsidRPr="00432623" w:rsidRDefault="00E2436F" w:rsidP="0028755E">
      <w:pPr>
        <w:numPr>
          <w:ilvl w:val="0"/>
          <w:numId w:val="415"/>
        </w:numPr>
        <w:tabs>
          <w:tab w:val="left" w:pos="481"/>
        </w:tabs>
        <w:ind w:left="481" w:hanging="480"/>
        <w:jc w:val="both"/>
        <w:rPr>
          <w:rFonts w:eastAsia="Times New Roman"/>
          <w:sz w:val="24"/>
          <w:szCs w:val="24"/>
          <w:vertAlign w:val="superscript"/>
        </w:rPr>
      </w:pPr>
      <w:r w:rsidRPr="00432623">
        <w:rPr>
          <w:rFonts w:eastAsia="Times New Roman"/>
          <w:sz w:val="24"/>
          <w:szCs w:val="24"/>
        </w:rPr>
        <w:t>Annual Book of ASTM Standards, Vol. 11.01 and 11.02, 1999, 2002; American Society for Testing and Materials International; any year containing the cited version of the method may be used. Copies of these two volumes and the 2003 version of D 5673-03 may be obtained from the American Society for Testing and Materials, 100 Barr Harbor Drive, P.O. Box C700, West Conshohocken, PA 19428-2959.</w:t>
      </w:r>
    </w:p>
    <w:p w14:paraId="281A049E" w14:textId="7F59A939" w:rsidR="004647B9" w:rsidRPr="00432623" w:rsidRDefault="00E2436F" w:rsidP="0028755E">
      <w:pPr>
        <w:numPr>
          <w:ilvl w:val="0"/>
          <w:numId w:val="415"/>
        </w:numPr>
        <w:tabs>
          <w:tab w:val="left" w:pos="481"/>
        </w:tabs>
        <w:ind w:left="481" w:hanging="480"/>
        <w:jc w:val="both"/>
        <w:rPr>
          <w:rFonts w:eastAsia="Times New Roman"/>
          <w:sz w:val="24"/>
          <w:szCs w:val="24"/>
          <w:vertAlign w:val="superscript"/>
        </w:rPr>
      </w:pPr>
      <w:r w:rsidRPr="00432623">
        <w:rPr>
          <w:rFonts w:eastAsia="Times New Roman"/>
          <w:i/>
          <w:iCs/>
          <w:sz w:val="24"/>
          <w:szCs w:val="24"/>
        </w:rPr>
        <w:t>Methods for Determination of Radioactive Substances in Water and Fluvial Sediments</w:t>
      </w:r>
      <w:r w:rsidRPr="00432623">
        <w:rPr>
          <w:rFonts w:eastAsia="Times New Roman"/>
          <w:sz w:val="24"/>
          <w:szCs w:val="24"/>
        </w:rPr>
        <w:t>, Chapter A5 in</w:t>
      </w:r>
      <w:r w:rsidRPr="00432623">
        <w:rPr>
          <w:rFonts w:eastAsia="Times New Roman"/>
          <w:i/>
          <w:iCs/>
          <w:sz w:val="24"/>
          <w:szCs w:val="24"/>
        </w:rPr>
        <w:t xml:space="preserve"> </w:t>
      </w:r>
      <w:r w:rsidRPr="00432623">
        <w:rPr>
          <w:rFonts w:eastAsia="Times New Roman"/>
          <w:sz w:val="24"/>
          <w:szCs w:val="24"/>
        </w:rPr>
        <w:t>Book 5 of Techniques of Water-Resources Investigations of the United States Geological Survey, 1977. Available at U.S. Geological Survey Information Services, Box 25286, Federal Center, Denver, CO 80225–0425.</w:t>
      </w:r>
    </w:p>
    <w:p w14:paraId="281A04A0" w14:textId="77777777" w:rsidR="004647B9" w:rsidRPr="00432623" w:rsidRDefault="00E2436F" w:rsidP="0028755E">
      <w:pPr>
        <w:numPr>
          <w:ilvl w:val="0"/>
          <w:numId w:val="415"/>
        </w:numPr>
        <w:tabs>
          <w:tab w:val="left" w:pos="481"/>
        </w:tabs>
        <w:ind w:left="481" w:hanging="480"/>
        <w:jc w:val="both"/>
        <w:rPr>
          <w:rFonts w:eastAsia="Times New Roman"/>
          <w:sz w:val="24"/>
          <w:szCs w:val="24"/>
          <w:vertAlign w:val="superscript"/>
        </w:rPr>
      </w:pPr>
      <w:r w:rsidRPr="00432623">
        <w:rPr>
          <w:rFonts w:eastAsia="Times New Roman"/>
          <w:i/>
          <w:iCs/>
          <w:sz w:val="24"/>
          <w:szCs w:val="24"/>
        </w:rPr>
        <w:t>EML Procedures Manual</w:t>
      </w:r>
      <w:r w:rsidRPr="00432623">
        <w:rPr>
          <w:rFonts w:eastAsia="Times New Roman"/>
          <w:sz w:val="24"/>
          <w:szCs w:val="24"/>
        </w:rPr>
        <w:t>, 27</w:t>
      </w:r>
      <w:r w:rsidRPr="00432623">
        <w:rPr>
          <w:rFonts w:eastAsia="Times New Roman"/>
          <w:sz w:val="24"/>
          <w:szCs w:val="24"/>
          <w:vertAlign w:val="superscript"/>
        </w:rPr>
        <w:t>th</w:t>
      </w:r>
      <w:r w:rsidRPr="00432623">
        <w:rPr>
          <w:rFonts w:eastAsia="Times New Roman"/>
          <w:i/>
          <w:iCs/>
          <w:sz w:val="24"/>
          <w:szCs w:val="24"/>
        </w:rPr>
        <w:t xml:space="preserve"> </w:t>
      </w:r>
      <w:r w:rsidRPr="00432623">
        <w:rPr>
          <w:rFonts w:eastAsia="Times New Roman"/>
          <w:sz w:val="24"/>
          <w:szCs w:val="24"/>
        </w:rPr>
        <w:t>(1990), or 28</w:t>
      </w:r>
      <w:r w:rsidRPr="00432623">
        <w:rPr>
          <w:rFonts w:eastAsia="Times New Roman"/>
          <w:sz w:val="24"/>
          <w:szCs w:val="24"/>
          <w:vertAlign w:val="superscript"/>
        </w:rPr>
        <w:t>th</w:t>
      </w:r>
      <w:r w:rsidRPr="00432623">
        <w:rPr>
          <w:rFonts w:eastAsia="Times New Roman"/>
          <w:i/>
          <w:iCs/>
          <w:sz w:val="24"/>
          <w:szCs w:val="24"/>
        </w:rPr>
        <w:t xml:space="preserve"> </w:t>
      </w:r>
      <w:r w:rsidRPr="00432623">
        <w:rPr>
          <w:rFonts w:eastAsia="Times New Roman"/>
          <w:sz w:val="24"/>
          <w:szCs w:val="24"/>
        </w:rPr>
        <w:t>(1997) Editions, Volume 1 and 2; either edition may be</w:t>
      </w:r>
      <w:r w:rsidRPr="00432623">
        <w:rPr>
          <w:rFonts w:eastAsia="Times New Roman"/>
          <w:i/>
          <w:iCs/>
          <w:sz w:val="24"/>
          <w:szCs w:val="24"/>
        </w:rPr>
        <w:t xml:space="preserve"> </w:t>
      </w:r>
      <w:r w:rsidRPr="00432623">
        <w:rPr>
          <w:rFonts w:eastAsia="Times New Roman"/>
          <w:sz w:val="24"/>
          <w:szCs w:val="24"/>
        </w:rPr>
        <w:t>used. In the 27</w:t>
      </w:r>
      <w:r w:rsidRPr="00432623">
        <w:rPr>
          <w:rFonts w:eastAsia="Times New Roman"/>
          <w:sz w:val="24"/>
          <w:szCs w:val="24"/>
          <w:vertAlign w:val="superscript"/>
        </w:rPr>
        <w:t>th</w:t>
      </w:r>
      <w:r w:rsidRPr="00432623">
        <w:rPr>
          <w:rFonts w:eastAsia="Times New Roman"/>
          <w:sz w:val="24"/>
          <w:szCs w:val="24"/>
        </w:rPr>
        <w:t xml:space="preserve"> Edition Method Ra-04 is listed as Ra-05 and Method Ga-01-R is listed as Sect. 4.5.2.3. Available at the Environmental Measurements Laboratory, U.S. Department of Energy (DOE), 376 Hudson Street, New York, NY 10014–3621.</w:t>
      </w:r>
    </w:p>
    <w:p w14:paraId="281A04A2" w14:textId="77777777" w:rsidR="004647B9" w:rsidRPr="00432623" w:rsidRDefault="00E2436F" w:rsidP="0028755E">
      <w:pPr>
        <w:numPr>
          <w:ilvl w:val="0"/>
          <w:numId w:val="415"/>
        </w:numPr>
        <w:tabs>
          <w:tab w:val="left" w:pos="481"/>
        </w:tabs>
        <w:ind w:left="481" w:hanging="480"/>
        <w:jc w:val="both"/>
        <w:rPr>
          <w:rFonts w:eastAsia="Times New Roman"/>
          <w:sz w:val="24"/>
          <w:szCs w:val="24"/>
          <w:vertAlign w:val="superscript"/>
        </w:rPr>
      </w:pPr>
      <w:r w:rsidRPr="00432623">
        <w:rPr>
          <w:rFonts w:eastAsia="Times New Roman"/>
          <w:i/>
          <w:iCs/>
          <w:sz w:val="24"/>
          <w:szCs w:val="24"/>
        </w:rPr>
        <w:t>Determination of Ra-226 and Ra-228 (Ra-02)</w:t>
      </w:r>
      <w:r w:rsidRPr="00432623">
        <w:rPr>
          <w:rFonts w:eastAsia="Times New Roman"/>
          <w:sz w:val="24"/>
          <w:szCs w:val="24"/>
        </w:rPr>
        <w:t>, January 1980; Revised June 1982. Available at</w:t>
      </w:r>
      <w:r w:rsidRPr="00432623">
        <w:rPr>
          <w:rFonts w:eastAsia="Times New Roman"/>
          <w:i/>
          <w:iCs/>
          <w:sz w:val="24"/>
          <w:szCs w:val="24"/>
        </w:rPr>
        <w:t xml:space="preserve"> </w:t>
      </w:r>
      <w:r w:rsidRPr="00432623">
        <w:rPr>
          <w:rFonts w:eastAsia="Times New Roman"/>
          <w:sz w:val="24"/>
          <w:szCs w:val="24"/>
        </w:rPr>
        <w:t>Radiological Sciences Institute Center for Laboratories and Research, New York State Department of Health, Empire State Plaza, Albany, NY 12201.</w:t>
      </w:r>
    </w:p>
    <w:p w14:paraId="281A04A3" w14:textId="77777777" w:rsidR="004647B9" w:rsidRDefault="00E2436F" w:rsidP="0028755E">
      <w:pPr>
        <w:numPr>
          <w:ilvl w:val="0"/>
          <w:numId w:val="415"/>
        </w:numPr>
        <w:tabs>
          <w:tab w:val="left" w:pos="481"/>
        </w:tabs>
        <w:ind w:left="481" w:hanging="480"/>
        <w:jc w:val="both"/>
        <w:rPr>
          <w:rFonts w:eastAsia="Times New Roman"/>
          <w:sz w:val="28"/>
          <w:szCs w:val="28"/>
          <w:vertAlign w:val="superscript"/>
        </w:rPr>
      </w:pPr>
      <w:r>
        <w:rPr>
          <w:rFonts w:eastAsia="Times New Roman"/>
          <w:i/>
          <w:iCs/>
          <w:sz w:val="24"/>
          <w:szCs w:val="24"/>
        </w:rPr>
        <w:t>Determination of Radium 228 in Drinking Water</w:t>
      </w:r>
      <w:r>
        <w:rPr>
          <w:rFonts w:eastAsia="Times New Roman"/>
          <w:sz w:val="24"/>
          <w:szCs w:val="24"/>
        </w:rPr>
        <w:t>, August 1980. Available at State of New Jersey,</w:t>
      </w:r>
      <w:r>
        <w:rPr>
          <w:rFonts w:eastAsia="Times New Roman"/>
          <w:i/>
          <w:iCs/>
          <w:sz w:val="24"/>
          <w:szCs w:val="24"/>
        </w:rPr>
        <w:t xml:space="preserve"> </w:t>
      </w:r>
      <w:r>
        <w:rPr>
          <w:rFonts w:eastAsia="Times New Roman"/>
          <w:sz w:val="24"/>
          <w:szCs w:val="24"/>
        </w:rPr>
        <w:t>Department of Environmental Protection, Division of Environmental Quality, Bureau of Radiation and Inorganic Analytical Services, 9 Ewing Street, Trenton, NJ 08625.</w:t>
      </w:r>
    </w:p>
    <w:p w14:paraId="281A04A5" w14:textId="77777777" w:rsidR="004647B9" w:rsidRPr="00432623" w:rsidRDefault="00E2436F" w:rsidP="0028755E">
      <w:pPr>
        <w:numPr>
          <w:ilvl w:val="0"/>
          <w:numId w:val="415"/>
        </w:numPr>
        <w:tabs>
          <w:tab w:val="left" w:pos="481"/>
        </w:tabs>
        <w:ind w:left="481" w:hanging="479"/>
        <w:jc w:val="both"/>
        <w:rPr>
          <w:rFonts w:eastAsia="Times New Roman"/>
          <w:sz w:val="24"/>
          <w:szCs w:val="24"/>
          <w:vertAlign w:val="superscript"/>
        </w:rPr>
      </w:pPr>
      <w:r>
        <w:rPr>
          <w:rFonts w:eastAsia="Times New Roman"/>
          <w:sz w:val="24"/>
          <w:szCs w:val="24"/>
        </w:rPr>
        <w:t xml:space="preserve">Natural uranium and thorium-230 are approved as gross alpha-particle activity calibration standards </w:t>
      </w:r>
      <w:r w:rsidRPr="00432623">
        <w:rPr>
          <w:rFonts w:eastAsia="Times New Roman"/>
          <w:sz w:val="24"/>
          <w:szCs w:val="24"/>
        </w:rPr>
        <w:t>for the gross alpha co-precipitation and evaporation methods; americium-241 is approved for use with the gross alpha co-precipitation methods.</w:t>
      </w:r>
    </w:p>
    <w:p w14:paraId="281A04A6" w14:textId="7F3BE97C" w:rsidR="004647B9" w:rsidRPr="00432623" w:rsidRDefault="00E2436F" w:rsidP="0028755E">
      <w:pPr>
        <w:numPr>
          <w:ilvl w:val="0"/>
          <w:numId w:val="415"/>
        </w:numPr>
        <w:tabs>
          <w:tab w:val="left" w:pos="481"/>
        </w:tabs>
        <w:ind w:left="481" w:hanging="479"/>
        <w:jc w:val="both"/>
        <w:rPr>
          <w:rFonts w:eastAsia="Times New Roman"/>
          <w:sz w:val="24"/>
          <w:szCs w:val="24"/>
          <w:vertAlign w:val="superscript"/>
        </w:rPr>
      </w:pPr>
      <w:r w:rsidRPr="00432623">
        <w:rPr>
          <w:rFonts w:eastAsia="Times New Roman"/>
          <w:sz w:val="24"/>
          <w:szCs w:val="24"/>
        </w:rPr>
        <w:t>If uranium (U) is determined by mass-type methods (</w:t>
      </w:r>
      <w:r w:rsidRPr="00432623">
        <w:rPr>
          <w:rFonts w:eastAsia="Times New Roman"/>
          <w:i/>
          <w:iCs/>
          <w:sz w:val="24"/>
          <w:szCs w:val="24"/>
        </w:rPr>
        <w:t>i.e</w:t>
      </w:r>
      <w:r w:rsidRPr="00432623">
        <w:rPr>
          <w:rFonts w:eastAsia="Times New Roman"/>
          <w:sz w:val="24"/>
          <w:szCs w:val="24"/>
        </w:rPr>
        <w:t>., fluorometric or laser phosphorimetry), a 0.67 pCi/mg uranium conversion factor must be used. This conversion factor is conservative and is based on the 1:1 activity ratio of U-234 to U-238 that is characteristic of naturally-occurring uranium in rock.</w:t>
      </w:r>
    </w:p>
    <w:p w14:paraId="281A04A7" w14:textId="77777777" w:rsidR="004647B9" w:rsidRPr="00432623" w:rsidRDefault="00E2436F" w:rsidP="0028755E">
      <w:pPr>
        <w:numPr>
          <w:ilvl w:val="0"/>
          <w:numId w:val="415"/>
        </w:numPr>
        <w:tabs>
          <w:tab w:val="left" w:pos="481"/>
        </w:tabs>
        <w:ind w:left="481" w:hanging="479"/>
        <w:jc w:val="both"/>
        <w:rPr>
          <w:rFonts w:eastAsia="Times New Roman"/>
          <w:sz w:val="24"/>
          <w:szCs w:val="24"/>
          <w:vertAlign w:val="superscript"/>
        </w:rPr>
      </w:pPr>
      <w:r w:rsidRPr="00432623">
        <w:rPr>
          <w:rFonts w:eastAsia="Times New Roman"/>
          <w:sz w:val="24"/>
          <w:szCs w:val="24"/>
        </w:rPr>
        <w:t xml:space="preserve">Determination of Trace Elements in Waters and Wastes by Inductively Coupled Plasma-Mass Spectrometry, </w:t>
      </w:r>
      <w:r w:rsidRPr="00432623">
        <w:rPr>
          <w:rFonts w:eastAsia="Times New Roman"/>
          <w:i/>
          <w:iCs/>
          <w:sz w:val="24"/>
          <w:szCs w:val="24"/>
        </w:rPr>
        <w:t>Revision 5.4, which is published in Methods for the Determination of Metals in</w:t>
      </w:r>
      <w:r w:rsidRPr="00432623">
        <w:rPr>
          <w:rFonts w:eastAsia="Times New Roman"/>
          <w:sz w:val="24"/>
          <w:szCs w:val="24"/>
        </w:rPr>
        <w:t xml:space="preserve"> </w:t>
      </w:r>
      <w:r w:rsidRPr="00432623">
        <w:rPr>
          <w:rFonts w:eastAsia="Times New Roman"/>
          <w:i/>
          <w:iCs/>
          <w:sz w:val="24"/>
          <w:szCs w:val="24"/>
        </w:rPr>
        <w:t>Environmental Samples-Supplement 1</w:t>
      </w:r>
      <w:r w:rsidRPr="00432623">
        <w:rPr>
          <w:rFonts w:eastAsia="Times New Roman"/>
          <w:sz w:val="24"/>
          <w:szCs w:val="24"/>
        </w:rPr>
        <w:t>, EPA 600-R-94-111, May 1994. Available at NTIS, PB 95-125472.</w:t>
      </w:r>
    </w:p>
    <w:p w14:paraId="281A04A9" w14:textId="77777777" w:rsidR="004647B9" w:rsidRPr="00432623" w:rsidDel="007B206E" w:rsidRDefault="00E2436F" w:rsidP="0028755E">
      <w:pPr>
        <w:numPr>
          <w:ilvl w:val="0"/>
          <w:numId w:val="415"/>
        </w:numPr>
        <w:tabs>
          <w:tab w:val="left" w:pos="481"/>
        </w:tabs>
        <w:ind w:left="481" w:hanging="479"/>
        <w:jc w:val="both"/>
        <w:rPr>
          <w:rFonts w:eastAsia="Times New Roman"/>
          <w:sz w:val="24"/>
          <w:szCs w:val="24"/>
          <w:vertAlign w:val="superscript"/>
        </w:rPr>
      </w:pPr>
      <w:r w:rsidRPr="00432623">
        <w:rPr>
          <w:rFonts w:eastAsia="Times New Roman"/>
          <w:sz w:val="24"/>
          <w:szCs w:val="24"/>
        </w:rPr>
        <w:t>The Determination of Radium-226 and Radium-228 in Drinking Water by Gamma-ray Spectrometry using HPGE or Ge(Li) Detectors,” Revision 1.2, December 2004. Available from the Environmental Resources Center, Georgia Institute of Technology, 620 Cherry Street, Atlanta, GA 30332-0335, USA, Telephone: 404-894-3776. This method may be used to analyze for radium-226 and radium-228 in samples collected after January 1, 2005 to satisfy the radium-226 and radium-228 monitoring requirements specified at 40 CFR 141.26</w:t>
      </w:r>
      <w:r w:rsidRPr="00432623" w:rsidDel="007B206E">
        <w:rPr>
          <w:rFonts w:eastAsia="Times New Roman"/>
          <w:sz w:val="24"/>
          <w:szCs w:val="24"/>
        </w:rPr>
        <w:t>.</w:t>
      </w:r>
    </w:p>
    <w:p w14:paraId="281A04AB" w14:textId="77777777" w:rsidR="004647B9" w:rsidRPr="00432623" w:rsidDel="007B206E" w:rsidRDefault="004647B9" w:rsidP="0028755E">
      <w:pPr>
        <w:rPr>
          <w:sz w:val="24"/>
          <w:szCs w:val="24"/>
        </w:rPr>
      </w:pPr>
    </w:p>
    <w:p w14:paraId="281A04AC" w14:textId="77777777" w:rsidR="004647B9" w:rsidRPr="00432623" w:rsidRDefault="00E2436F" w:rsidP="0028755E">
      <w:pPr>
        <w:ind w:left="1561"/>
        <w:rPr>
          <w:sz w:val="24"/>
          <w:szCs w:val="24"/>
        </w:rPr>
      </w:pPr>
      <w:r w:rsidRPr="00432623" w:rsidDel="007B206E">
        <w:rPr>
          <w:rFonts w:eastAsia="Times New Roman"/>
          <w:sz w:val="24"/>
          <w:szCs w:val="24"/>
        </w:rPr>
        <w:t>(</w:t>
      </w:r>
      <w:r w:rsidRPr="00432623">
        <w:rPr>
          <w:rFonts w:eastAsia="Times New Roman"/>
          <w:sz w:val="24"/>
          <w:szCs w:val="24"/>
        </w:rPr>
        <w:t xml:space="preserve">b) To determine compliance with 310 CMR 22.09A(1) the detection limit shall not exceed the concentrations as indicated in 310 CMR 22.09A </w:t>
      </w:r>
      <w:r w:rsidRPr="00432623">
        <w:rPr>
          <w:rFonts w:eastAsia="Times New Roman"/>
          <w:i/>
          <w:sz w:val="24"/>
          <w:szCs w:val="24"/>
        </w:rPr>
        <w:t>Table G</w:t>
      </w:r>
      <w:r w:rsidRPr="00432623">
        <w:rPr>
          <w:rFonts w:eastAsia="Times New Roman"/>
          <w:sz w:val="24"/>
          <w:szCs w:val="24"/>
        </w:rPr>
        <w:t>.</w:t>
      </w:r>
    </w:p>
    <w:p w14:paraId="281A04AD" w14:textId="77777777" w:rsidR="004647B9" w:rsidRDefault="004647B9" w:rsidP="0028755E">
      <w:pPr>
        <w:sectPr w:rsidR="004647B9" w:rsidSect="00EF630C">
          <w:pgSz w:w="12240" w:h="20180"/>
          <w:pgMar w:top="708" w:right="1440" w:bottom="1440" w:left="599" w:header="0" w:footer="0" w:gutter="0"/>
          <w:cols w:space="720"/>
        </w:sectPr>
      </w:pPr>
    </w:p>
    <w:p w14:paraId="281A04AE" w14:textId="77777777" w:rsidR="004647B9" w:rsidRDefault="00E2436F">
      <w:pPr>
        <w:tabs>
          <w:tab w:val="left" w:pos="160"/>
        </w:tabs>
        <w:jc w:val="center"/>
        <w:rPr>
          <w:sz w:val="20"/>
          <w:szCs w:val="20"/>
        </w:rPr>
      </w:pPr>
      <w:bookmarkStart w:id="157" w:name="page159"/>
      <w:bookmarkEnd w:id="15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4AF" w14:textId="77777777" w:rsidR="004647B9" w:rsidRDefault="004647B9" w:rsidP="000919BB">
      <w:pPr>
        <w:rPr>
          <w:sz w:val="20"/>
          <w:szCs w:val="20"/>
        </w:rPr>
      </w:pPr>
    </w:p>
    <w:p w14:paraId="281A04B0" w14:textId="77777777" w:rsidR="004647B9" w:rsidRDefault="004647B9" w:rsidP="000919BB">
      <w:pPr>
        <w:rPr>
          <w:sz w:val="20"/>
          <w:szCs w:val="20"/>
        </w:rPr>
      </w:pPr>
    </w:p>
    <w:p w14:paraId="281A04B1" w14:textId="77777777" w:rsidR="004647B9" w:rsidRPr="000919BB" w:rsidRDefault="00E2436F" w:rsidP="000919BB">
      <w:pPr>
        <w:tabs>
          <w:tab w:val="left" w:pos="940"/>
        </w:tabs>
        <w:rPr>
          <w:sz w:val="24"/>
          <w:szCs w:val="24"/>
        </w:rPr>
      </w:pPr>
      <w:r w:rsidRPr="000919BB">
        <w:rPr>
          <w:rFonts w:eastAsia="Times New Roman"/>
          <w:sz w:val="24"/>
          <w:szCs w:val="24"/>
        </w:rPr>
        <w:t>22.09A:</w:t>
      </w:r>
      <w:r w:rsidRPr="000919BB">
        <w:rPr>
          <w:sz w:val="24"/>
          <w:szCs w:val="24"/>
        </w:rPr>
        <w:tab/>
      </w:r>
      <w:r w:rsidRPr="000919BB">
        <w:rPr>
          <w:rFonts w:eastAsia="Times New Roman"/>
          <w:sz w:val="24"/>
          <w:szCs w:val="24"/>
        </w:rPr>
        <w:t>continued</w:t>
      </w:r>
    </w:p>
    <w:p w14:paraId="281A04B3" w14:textId="77777777" w:rsidR="004647B9" w:rsidRDefault="004647B9" w:rsidP="000919BB">
      <w:pPr>
        <w:rPr>
          <w:sz w:val="20"/>
          <w:szCs w:val="20"/>
        </w:rPr>
      </w:pPr>
    </w:p>
    <w:tbl>
      <w:tblPr>
        <w:tblW w:w="8740" w:type="dxa"/>
        <w:tblInd w:w="1470" w:type="dxa"/>
        <w:tblLayout w:type="fixed"/>
        <w:tblCellMar>
          <w:left w:w="0" w:type="dxa"/>
          <w:right w:w="0" w:type="dxa"/>
        </w:tblCellMar>
        <w:tblLook w:val="04A0" w:firstRow="1" w:lastRow="0" w:firstColumn="1" w:lastColumn="0" w:noHBand="0" w:noVBand="1"/>
      </w:tblPr>
      <w:tblGrid>
        <w:gridCol w:w="4620"/>
        <w:gridCol w:w="4120"/>
      </w:tblGrid>
      <w:tr w:rsidR="00FC2056" w14:paraId="6B44B9B8" w14:textId="77777777" w:rsidTr="00FC2056">
        <w:trPr>
          <w:trHeight w:val="276"/>
        </w:trPr>
        <w:tc>
          <w:tcPr>
            <w:tcW w:w="8740" w:type="dxa"/>
            <w:gridSpan w:val="2"/>
            <w:tcBorders>
              <w:left w:val="single" w:sz="8" w:space="0" w:color="auto"/>
              <w:bottom w:val="single" w:sz="8" w:space="0" w:color="auto"/>
              <w:right w:val="single" w:sz="8" w:space="0" w:color="auto"/>
            </w:tcBorders>
            <w:vAlign w:val="bottom"/>
          </w:tcPr>
          <w:p w14:paraId="4A65FFC4" w14:textId="77777777" w:rsidR="00FC2056" w:rsidRDefault="00FC2056" w:rsidP="00FC2056">
            <w:pPr>
              <w:spacing w:line="16" w:lineRule="exact"/>
              <w:rPr>
                <w:sz w:val="20"/>
                <w:szCs w:val="20"/>
              </w:rPr>
            </w:pPr>
          </w:p>
          <w:p w14:paraId="0DA241D6" w14:textId="77777777" w:rsidR="00FC2056" w:rsidRDefault="00FC2056" w:rsidP="00FC2056">
            <w:pPr>
              <w:pBdr>
                <w:top w:val="single" w:sz="8" w:space="1" w:color="auto"/>
              </w:pBdr>
              <w:jc w:val="center"/>
              <w:rPr>
                <w:sz w:val="20"/>
                <w:szCs w:val="20"/>
              </w:rPr>
            </w:pPr>
            <w:r>
              <w:rPr>
                <w:rFonts w:eastAsia="Times New Roman"/>
                <w:sz w:val="24"/>
                <w:szCs w:val="24"/>
              </w:rPr>
              <w:t>TABLE G</w:t>
            </w:r>
          </w:p>
          <w:p w14:paraId="4611E21C" w14:textId="77777777" w:rsidR="00FC2056" w:rsidRDefault="00FC2056" w:rsidP="00FC2056">
            <w:pPr>
              <w:pBdr>
                <w:top w:val="single" w:sz="8" w:space="1" w:color="auto"/>
              </w:pBdr>
              <w:jc w:val="center"/>
              <w:rPr>
                <w:sz w:val="20"/>
                <w:szCs w:val="20"/>
              </w:rPr>
            </w:pPr>
            <w:r>
              <w:rPr>
                <w:rFonts w:eastAsia="Times New Roman"/>
                <w:sz w:val="24"/>
                <w:szCs w:val="24"/>
              </w:rPr>
              <w:t>REQUIRED REGULATORY DETECTION LIMITS FOR VARIOUS</w:t>
            </w:r>
          </w:p>
          <w:p w14:paraId="371C3932" w14:textId="77777777" w:rsidR="00FC2056" w:rsidRDefault="00FC2056" w:rsidP="00FC2056">
            <w:pPr>
              <w:pBdr>
                <w:top w:val="single" w:sz="8" w:space="1" w:color="auto"/>
              </w:pBdr>
              <w:spacing w:line="5" w:lineRule="exact"/>
              <w:rPr>
                <w:sz w:val="20"/>
                <w:szCs w:val="20"/>
              </w:rPr>
            </w:pPr>
          </w:p>
          <w:p w14:paraId="4B648B67" w14:textId="310A7D3C" w:rsidR="00FC2056" w:rsidRDefault="00FC2056" w:rsidP="00FC2056">
            <w:pPr>
              <w:pBdr>
                <w:top w:val="single" w:sz="8" w:space="1" w:color="auto"/>
              </w:pBdr>
              <w:jc w:val="center"/>
              <w:rPr>
                <w:rFonts w:eastAsia="Times New Roman"/>
                <w:b/>
                <w:bCs/>
                <w:w w:val="99"/>
                <w:sz w:val="24"/>
                <w:szCs w:val="24"/>
              </w:rPr>
            </w:pPr>
            <w:r>
              <w:rPr>
                <w:rFonts w:eastAsia="Times New Roman"/>
                <w:sz w:val="24"/>
                <w:szCs w:val="24"/>
              </w:rPr>
              <w:t>RADIOCHEMICAL CONTAMINANTS</w:t>
            </w:r>
          </w:p>
        </w:tc>
      </w:tr>
      <w:tr w:rsidR="004647B9" w14:paraId="281A04BD" w14:textId="77777777" w:rsidTr="00FC2056">
        <w:trPr>
          <w:trHeight w:val="276"/>
        </w:trPr>
        <w:tc>
          <w:tcPr>
            <w:tcW w:w="4620" w:type="dxa"/>
            <w:tcBorders>
              <w:left w:val="single" w:sz="8" w:space="0" w:color="auto"/>
              <w:bottom w:val="single" w:sz="8" w:space="0" w:color="auto"/>
              <w:right w:val="single" w:sz="8" w:space="0" w:color="auto"/>
            </w:tcBorders>
            <w:vAlign w:val="bottom"/>
          </w:tcPr>
          <w:p w14:paraId="281A04BB" w14:textId="77777777" w:rsidR="004647B9" w:rsidRDefault="00E2436F">
            <w:pPr>
              <w:ind w:left="1680"/>
              <w:rPr>
                <w:sz w:val="20"/>
                <w:szCs w:val="20"/>
              </w:rPr>
            </w:pPr>
            <w:r>
              <w:rPr>
                <w:rFonts w:eastAsia="Times New Roman"/>
                <w:sz w:val="24"/>
                <w:szCs w:val="24"/>
              </w:rPr>
              <w:t>Contaminant</w:t>
            </w:r>
          </w:p>
        </w:tc>
        <w:tc>
          <w:tcPr>
            <w:tcW w:w="4120" w:type="dxa"/>
            <w:tcBorders>
              <w:bottom w:val="single" w:sz="8" w:space="0" w:color="auto"/>
              <w:right w:val="single" w:sz="8" w:space="0" w:color="auto"/>
            </w:tcBorders>
            <w:vAlign w:val="bottom"/>
          </w:tcPr>
          <w:p w14:paraId="281A04BC" w14:textId="77777777" w:rsidR="004647B9" w:rsidRDefault="00E2436F">
            <w:pPr>
              <w:jc w:val="center"/>
              <w:rPr>
                <w:sz w:val="20"/>
                <w:szCs w:val="20"/>
              </w:rPr>
            </w:pPr>
            <w:r>
              <w:rPr>
                <w:rFonts w:eastAsia="Times New Roman"/>
                <w:b/>
                <w:bCs/>
                <w:w w:val="99"/>
                <w:sz w:val="24"/>
                <w:szCs w:val="24"/>
              </w:rPr>
              <w:t>Detection Limit (pCi/L)</w:t>
            </w:r>
          </w:p>
        </w:tc>
      </w:tr>
      <w:tr w:rsidR="004647B9" w14:paraId="281A04C0" w14:textId="77777777" w:rsidTr="00FC2056">
        <w:trPr>
          <w:trHeight w:val="285"/>
        </w:trPr>
        <w:tc>
          <w:tcPr>
            <w:tcW w:w="4620" w:type="dxa"/>
            <w:tcBorders>
              <w:left w:val="single" w:sz="8" w:space="0" w:color="auto"/>
              <w:right w:val="single" w:sz="8" w:space="0" w:color="auto"/>
            </w:tcBorders>
            <w:vAlign w:val="bottom"/>
          </w:tcPr>
          <w:p w14:paraId="281A04BE" w14:textId="77777777" w:rsidR="004647B9" w:rsidRDefault="00E2436F">
            <w:pPr>
              <w:ind w:left="100"/>
              <w:rPr>
                <w:sz w:val="20"/>
                <w:szCs w:val="20"/>
              </w:rPr>
            </w:pPr>
            <w:r>
              <w:rPr>
                <w:rFonts w:eastAsia="Times New Roman"/>
                <w:sz w:val="24"/>
                <w:szCs w:val="24"/>
              </w:rPr>
              <w:t>Gross alpha</w:t>
            </w:r>
          </w:p>
        </w:tc>
        <w:tc>
          <w:tcPr>
            <w:tcW w:w="4120" w:type="dxa"/>
            <w:tcBorders>
              <w:right w:val="single" w:sz="8" w:space="0" w:color="auto"/>
            </w:tcBorders>
            <w:vAlign w:val="bottom"/>
          </w:tcPr>
          <w:p w14:paraId="281A04BF" w14:textId="77777777" w:rsidR="004647B9" w:rsidRDefault="00E2436F">
            <w:pPr>
              <w:jc w:val="center"/>
              <w:rPr>
                <w:sz w:val="20"/>
                <w:szCs w:val="20"/>
              </w:rPr>
            </w:pPr>
            <w:r>
              <w:rPr>
                <w:rFonts w:eastAsia="Times New Roman"/>
                <w:w w:val="99"/>
                <w:sz w:val="24"/>
                <w:szCs w:val="24"/>
              </w:rPr>
              <w:t>3</w:t>
            </w:r>
          </w:p>
        </w:tc>
      </w:tr>
      <w:tr w:rsidR="004647B9" w14:paraId="281A04C3" w14:textId="77777777" w:rsidTr="00FC2056">
        <w:trPr>
          <w:trHeight w:val="281"/>
        </w:trPr>
        <w:tc>
          <w:tcPr>
            <w:tcW w:w="4620" w:type="dxa"/>
            <w:tcBorders>
              <w:left w:val="single" w:sz="8" w:space="0" w:color="auto"/>
              <w:right w:val="single" w:sz="8" w:space="0" w:color="auto"/>
            </w:tcBorders>
            <w:vAlign w:val="bottom"/>
          </w:tcPr>
          <w:p w14:paraId="281A04C1" w14:textId="77777777" w:rsidR="004647B9" w:rsidRDefault="00E2436F">
            <w:pPr>
              <w:ind w:left="100"/>
              <w:rPr>
                <w:sz w:val="20"/>
                <w:szCs w:val="20"/>
              </w:rPr>
            </w:pPr>
            <w:r>
              <w:rPr>
                <w:rFonts w:eastAsia="Times New Roman"/>
                <w:sz w:val="24"/>
                <w:szCs w:val="24"/>
              </w:rPr>
              <w:t>Gross beta</w:t>
            </w:r>
          </w:p>
        </w:tc>
        <w:tc>
          <w:tcPr>
            <w:tcW w:w="4120" w:type="dxa"/>
            <w:tcBorders>
              <w:right w:val="single" w:sz="8" w:space="0" w:color="auto"/>
            </w:tcBorders>
            <w:vAlign w:val="bottom"/>
          </w:tcPr>
          <w:p w14:paraId="281A04C2" w14:textId="77777777" w:rsidR="004647B9" w:rsidRDefault="00E2436F">
            <w:pPr>
              <w:jc w:val="center"/>
              <w:rPr>
                <w:sz w:val="20"/>
                <w:szCs w:val="20"/>
              </w:rPr>
            </w:pPr>
            <w:r>
              <w:rPr>
                <w:rFonts w:eastAsia="Times New Roman"/>
                <w:w w:val="99"/>
                <w:sz w:val="24"/>
                <w:szCs w:val="24"/>
              </w:rPr>
              <w:t>4</w:t>
            </w:r>
          </w:p>
        </w:tc>
      </w:tr>
      <w:tr w:rsidR="004647B9" w14:paraId="281A04C6" w14:textId="77777777" w:rsidTr="00FC2056">
        <w:trPr>
          <w:trHeight w:val="278"/>
        </w:trPr>
        <w:tc>
          <w:tcPr>
            <w:tcW w:w="4620" w:type="dxa"/>
            <w:tcBorders>
              <w:left w:val="single" w:sz="8" w:space="0" w:color="auto"/>
              <w:right w:val="single" w:sz="8" w:space="0" w:color="auto"/>
            </w:tcBorders>
            <w:vAlign w:val="bottom"/>
          </w:tcPr>
          <w:p w14:paraId="281A04C4" w14:textId="77777777" w:rsidR="004647B9" w:rsidRDefault="00E2436F">
            <w:pPr>
              <w:ind w:left="100"/>
              <w:rPr>
                <w:sz w:val="20"/>
                <w:szCs w:val="20"/>
              </w:rPr>
            </w:pPr>
            <w:r>
              <w:rPr>
                <w:rFonts w:eastAsia="Times New Roman"/>
                <w:sz w:val="24"/>
                <w:szCs w:val="24"/>
              </w:rPr>
              <w:t>Radium-226</w:t>
            </w:r>
          </w:p>
        </w:tc>
        <w:tc>
          <w:tcPr>
            <w:tcW w:w="4120" w:type="dxa"/>
            <w:tcBorders>
              <w:right w:val="single" w:sz="8" w:space="0" w:color="auto"/>
            </w:tcBorders>
            <w:vAlign w:val="bottom"/>
          </w:tcPr>
          <w:p w14:paraId="281A04C5" w14:textId="77777777" w:rsidR="004647B9" w:rsidRDefault="00E2436F">
            <w:pPr>
              <w:jc w:val="center"/>
              <w:rPr>
                <w:sz w:val="20"/>
                <w:szCs w:val="20"/>
              </w:rPr>
            </w:pPr>
            <w:r>
              <w:rPr>
                <w:rFonts w:eastAsia="Times New Roman"/>
                <w:w w:val="99"/>
                <w:sz w:val="24"/>
                <w:szCs w:val="24"/>
              </w:rPr>
              <w:t>1</w:t>
            </w:r>
          </w:p>
        </w:tc>
      </w:tr>
      <w:tr w:rsidR="004647B9" w14:paraId="281A04C9" w14:textId="77777777" w:rsidTr="00FC2056">
        <w:trPr>
          <w:trHeight w:val="281"/>
        </w:trPr>
        <w:tc>
          <w:tcPr>
            <w:tcW w:w="4620" w:type="dxa"/>
            <w:tcBorders>
              <w:left w:val="single" w:sz="8" w:space="0" w:color="auto"/>
              <w:right w:val="single" w:sz="8" w:space="0" w:color="auto"/>
            </w:tcBorders>
            <w:vAlign w:val="bottom"/>
          </w:tcPr>
          <w:p w14:paraId="281A04C7" w14:textId="77777777" w:rsidR="004647B9" w:rsidRDefault="00E2436F">
            <w:pPr>
              <w:ind w:left="100"/>
              <w:rPr>
                <w:sz w:val="20"/>
                <w:szCs w:val="20"/>
              </w:rPr>
            </w:pPr>
            <w:r>
              <w:rPr>
                <w:rFonts w:eastAsia="Times New Roman"/>
                <w:sz w:val="24"/>
                <w:szCs w:val="24"/>
              </w:rPr>
              <w:t>Radium-228</w:t>
            </w:r>
          </w:p>
        </w:tc>
        <w:tc>
          <w:tcPr>
            <w:tcW w:w="4120" w:type="dxa"/>
            <w:tcBorders>
              <w:right w:val="single" w:sz="8" w:space="0" w:color="auto"/>
            </w:tcBorders>
            <w:vAlign w:val="bottom"/>
          </w:tcPr>
          <w:p w14:paraId="281A04C8" w14:textId="77777777" w:rsidR="004647B9" w:rsidRDefault="00E2436F">
            <w:pPr>
              <w:jc w:val="center"/>
              <w:rPr>
                <w:sz w:val="20"/>
                <w:szCs w:val="20"/>
              </w:rPr>
            </w:pPr>
            <w:r>
              <w:rPr>
                <w:rFonts w:eastAsia="Times New Roman"/>
                <w:w w:val="99"/>
                <w:sz w:val="24"/>
                <w:szCs w:val="24"/>
              </w:rPr>
              <w:t>1</w:t>
            </w:r>
          </w:p>
        </w:tc>
      </w:tr>
      <w:tr w:rsidR="004647B9" w14:paraId="281A04CC" w14:textId="77777777" w:rsidTr="00FC2056">
        <w:trPr>
          <w:trHeight w:val="278"/>
        </w:trPr>
        <w:tc>
          <w:tcPr>
            <w:tcW w:w="4620" w:type="dxa"/>
            <w:tcBorders>
              <w:left w:val="single" w:sz="8" w:space="0" w:color="auto"/>
              <w:right w:val="single" w:sz="8" w:space="0" w:color="auto"/>
            </w:tcBorders>
            <w:vAlign w:val="bottom"/>
          </w:tcPr>
          <w:p w14:paraId="281A04CA" w14:textId="77777777" w:rsidR="004647B9" w:rsidRDefault="00E2436F">
            <w:pPr>
              <w:ind w:left="100"/>
              <w:rPr>
                <w:sz w:val="20"/>
                <w:szCs w:val="20"/>
              </w:rPr>
            </w:pPr>
            <w:r>
              <w:rPr>
                <w:rFonts w:eastAsia="Times New Roman"/>
                <w:sz w:val="24"/>
                <w:szCs w:val="24"/>
              </w:rPr>
              <w:t>Uranium</w:t>
            </w:r>
          </w:p>
        </w:tc>
        <w:tc>
          <w:tcPr>
            <w:tcW w:w="4120" w:type="dxa"/>
            <w:tcBorders>
              <w:right w:val="single" w:sz="8" w:space="0" w:color="auto"/>
            </w:tcBorders>
            <w:vAlign w:val="bottom"/>
          </w:tcPr>
          <w:p w14:paraId="281A04CB" w14:textId="6B86E55B" w:rsidR="004647B9" w:rsidRDefault="00BD7B39">
            <w:pPr>
              <w:jc w:val="center"/>
              <w:rPr>
                <w:sz w:val="20"/>
                <w:szCs w:val="20"/>
              </w:rPr>
            </w:pPr>
            <w:r>
              <w:rPr>
                <w:rFonts w:eastAsia="Times New Roman"/>
                <w:sz w:val="24"/>
                <w:szCs w:val="24"/>
              </w:rPr>
              <w:t xml:space="preserve">1 </w:t>
            </w:r>
            <w:r w:rsidR="00E2436F">
              <w:rPr>
                <w:rFonts w:eastAsia="Times New Roman"/>
                <w:sz w:val="24"/>
                <w:szCs w:val="24"/>
              </w:rPr>
              <w:t>ug/L</w:t>
            </w:r>
          </w:p>
        </w:tc>
      </w:tr>
      <w:tr w:rsidR="004647B9" w14:paraId="281A04CF" w14:textId="77777777" w:rsidTr="00FC2056">
        <w:trPr>
          <w:trHeight w:val="281"/>
        </w:trPr>
        <w:tc>
          <w:tcPr>
            <w:tcW w:w="4620" w:type="dxa"/>
            <w:tcBorders>
              <w:left w:val="single" w:sz="8" w:space="0" w:color="auto"/>
              <w:right w:val="single" w:sz="8" w:space="0" w:color="auto"/>
            </w:tcBorders>
            <w:vAlign w:val="bottom"/>
          </w:tcPr>
          <w:p w14:paraId="281A04CD" w14:textId="77777777" w:rsidR="004647B9" w:rsidRDefault="00E2436F">
            <w:pPr>
              <w:ind w:left="100"/>
              <w:rPr>
                <w:sz w:val="20"/>
                <w:szCs w:val="20"/>
              </w:rPr>
            </w:pPr>
            <w:r>
              <w:rPr>
                <w:rFonts w:eastAsia="Times New Roman"/>
                <w:sz w:val="24"/>
                <w:szCs w:val="24"/>
              </w:rPr>
              <w:t>Cesium-134</w:t>
            </w:r>
          </w:p>
        </w:tc>
        <w:tc>
          <w:tcPr>
            <w:tcW w:w="4120" w:type="dxa"/>
            <w:tcBorders>
              <w:right w:val="single" w:sz="8" w:space="0" w:color="auto"/>
            </w:tcBorders>
            <w:vAlign w:val="bottom"/>
          </w:tcPr>
          <w:p w14:paraId="281A04CE" w14:textId="77777777" w:rsidR="004647B9" w:rsidRDefault="00E2436F">
            <w:pPr>
              <w:jc w:val="center"/>
              <w:rPr>
                <w:sz w:val="20"/>
                <w:szCs w:val="20"/>
              </w:rPr>
            </w:pPr>
            <w:r>
              <w:rPr>
                <w:rFonts w:eastAsia="Times New Roman"/>
                <w:w w:val="99"/>
                <w:sz w:val="24"/>
                <w:szCs w:val="24"/>
              </w:rPr>
              <w:t>10</w:t>
            </w:r>
          </w:p>
        </w:tc>
      </w:tr>
      <w:tr w:rsidR="004647B9" w14:paraId="281A04D2" w14:textId="77777777" w:rsidTr="00FC2056">
        <w:trPr>
          <w:trHeight w:val="278"/>
        </w:trPr>
        <w:tc>
          <w:tcPr>
            <w:tcW w:w="4620" w:type="dxa"/>
            <w:tcBorders>
              <w:left w:val="single" w:sz="8" w:space="0" w:color="auto"/>
              <w:right w:val="single" w:sz="8" w:space="0" w:color="auto"/>
            </w:tcBorders>
            <w:vAlign w:val="bottom"/>
          </w:tcPr>
          <w:p w14:paraId="281A04D0" w14:textId="77777777" w:rsidR="004647B9" w:rsidRDefault="00E2436F">
            <w:pPr>
              <w:ind w:left="100"/>
              <w:rPr>
                <w:sz w:val="20"/>
                <w:szCs w:val="20"/>
              </w:rPr>
            </w:pPr>
            <w:r>
              <w:rPr>
                <w:rFonts w:eastAsia="Times New Roman"/>
                <w:sz w:val="24"/>
                <w:szCs w:val="24"/>
              </w:rPr>
              <w:t>Strontium-89</w:t>
            </w:r>
          </w:p>
        </w:tc>
        <w:tc>
          <w:tcPr>
            <w:tcW w:w="4120" w:type="dxa"/>
            <w:tcBorders>
              <w:right w:val="single" w:sz="8" w:space="0" w:color="auto"/>
            </w:tcBorders>
            <w:vAlign w:val="bottom"/>
          </w:tcPr>
          <w:p w14:paraId="281A04D1" w14:textId="77777777" w:rsidR="004647B9" w:rsidRDefault="00E2436F">
            <w:pPr>
              <w:jc w:val="center"/>
              <w:rPr>
                <w:sz w:val="20"/>
                <w:szCs w:val="20"/>
              </w:rPr>
            </w:pPr>
            <w:r>
              <w:rPr>
                <w:rFonts w:eastAsia="Times New Roman"/>
                <w:w w:val="99"/>
                <w:sz w:val="24"/>
                <w:szCs w:val="24"/>
              </w:rPr>
              <w:t>10</w:t>
            </w:r>
          </w:p>
        </w:tc>
      </w:tr>
      <w:tr w:rsidR="004647B9" w14:paraId="281A04D5" w14:textId="77777777" w:rsidTr="00FC2056">
        <w:trPr>
          <w:trHeight w:val="281"/>
        </w:trPr>
        <w:tc>
          <w:tcPr>
            <w:tcW w:w="4620" w:type="dxa"/>
            <w:tcBorders>
              <w:left w:val="single" w:sz="8" w:space="0" w:color="auto"/>
              <w:right w:val="single" w:sz="8" w:space="0" w:color="auto"/>
            </w:tcBorders>
            <w:vAlign w:val="bottom"/>
          </w:tcPr>
          <w:p w14:paraId="281A04D3" w14:textId="77777777" w:rsidR="004647B9" w:rsidRDefault="00E2436F">
            <w:pPr>
              <w:ind w:left="100"/>
              <w:rPr>
                <w:sz w:val="20"/>
                <w:szCs w:val="20"/>
              </w:rPr>
            </w:pPr>
            <w:r>
              <w:rPr>
                <w:rFonts w:eastAsia="Times New Roman"/>
                <w:sz w:val="24"/>
                <w:szCs w:val="24"/>
              </w:rPr>
              <w:t>Strontium-90</w:t>
            </w:r>
          </w:p>
        </w:tc>
        <w:tc>
          <w:tcPr>
            <w:tcW w:w="4120" w:type="dxa"/>
            <w:tcBorders>
              <w:right w:val="single" w:sz="8" w:space="0" w:color="auto"/>
            </w:tcBorders>
            <w:vAlign w:val="bottom"/>
          </w:tcPr>
          <w:p w14:paraId="281A04D4" w14:textId="77777777" w:rsidR="004647B9" w:rsidRDefault="00E2436F">
            <w:pPr>
              <w:jc w:val="center"/>
              <w:rPr>
                <w:sz w:val="20"/>
                <w:szCs w:val="20"/>
              </w:rPr>
            </w:pPr>
            <w:r>
              <w:rPr>
                <w:rFonts w:eastAsia="Times New Roman"/>
                <w:w w:val="99"/>
                <w:sz w:val="24"/>
                <w:szCs w:val="24"/>
              </w:rPr>
              <w:t>2</w:t>
            </w:r>
          </w:p>
        </w:tc>
      </w:tr>
      <w:tr w:rsidR="004647B9" w14:paraId="281A04D8" w14:textId="77777777" w:rsidTr="00FC2056">
        <w:trPr>
          <w:trHeight w:val="278"/>
        </w:trPr>
        <w:tc>
          <w:tcPr>
            <w:tcW w:w="4620" w:type="dxa"/>
            <w:tcBorders>
              <w:left w:val="single" w:sz="8" w:space="0" w:color="auto"/>
              <w:right w:val="single" w:sz="8" w:space="0" w:color="auto"/>
            </w:tcBorders>
            <w:vAlign w:val="bottom"/>
          </w:tcPr>
          <w:p w14:paraId="281A04D6" w14:textId="77777777" w:rsidR="004647B9" w:rsidRDefault="00E2436F">
            <w:pPr>
              <w:ind w:left="100"/>
              <w:rPr>
                <w:sz w:val="20"/>
                <w:szCs w:val="20"/>
              </w:rPr>
            </w:pPr>
            <w:r>
              <w:rPr>
                <w:rFonts w:eastAsia="Times New Roman"/>
                <w:sz w:val="24"/>
                <w:szCs w:val="24"/>
              </w:rPr>
              <w:t>Iodine-131</w:t>
            </w:r>
          </w:p>
        </w:tc>
        <w:tc>
          <w:tcPr>
            <w:tcW w:w="4120" w:type="dxa"/>
            <w:tcBorders>
              <w:right w:val="single" w:sz="8" w:space="0" w:color="auto"/>
            </w:tcBorders>
            <w:vAlign w:val="bottom"/>
          </w:tcPr>
          <w:p w14:paraId="281A04D7" w14:textId="77777777" w:rsidR="004647B9" w:rsidRDefault="00E2436F">
            <w:pPr>
              <w:jc w:val="center"/>
              <w:rPr>
                <w:sz w:val="20"/>
                <w:szCs w:val="20"/>
              </w:rPr>
            </w:pPr>
            <w:r>
              <w:rPr>
                <w:rFonts w:eastAsia="Times New Roman"/>
                <w:w w:val="99"/>
                <w:sz w:val="24"/>
                <w:szCs w:val="24"/>
              </w:rPr>
              <w:t>1</w:t>
            </w:r>
          </w:p>
        </w:tc>
      </w:tr>
      <w:tr w:rsidR="004647B9" w14:paraId="281A04DB" w14:textId="77777777" w:rsidTr="003F3659">
        <w:trPr>
          <w:trHeight w:val="281"/>
        </w:trPr>
        <w:tc>
          <w:tcPr>
            <w:tcW w:w="4620" w:type="dxa"/>
            <w:tcBorders>
              <w:left w:val="single" w:sz="8" w:space="0" w:color="auto"/>
              <w:right w:val="single" w:sz="8" w:space="0" w:color="auto"/>
            </w:tcBorders>
            <w:vAlign w:val="bottom"/>
          </w:tcPr>
          <w:p w14:paraId="281A04D9" w14:textId="77777777" w:rsidR="004647B9" w:rsidRDefault="00E2436F">
            <w:pPr>
              <w:ind w:left="100"/>
              <w:rPr>
                <w:sz w:val="20"/>
                <w:szCs w:val="20"/>
              </w:rPr>
            </w:pPr>
            <w:r>
              <w:rPr>
                <w:rFonts w:eastAsia="Times New Roman"/>
                <w:sz w:val="24"/>
                <w:szCs w:val="24"/>
              </w:rPr>
              <w:t>Tritium</w:t>
            </w:r>
          </w:p>
        </w:tc>
        <w:tc>
          <w:tcPr>
            <w:tcW w:w="4120" w:type="dxa"/>
            <w:tcBorders>
              <w:right w:val="single" w:sz="8" w:space="0" w:color="auto"/>
            </w:tcBorders>
            <w:vAlign w:val="bottom"/>
          </w:tcPr>
          <w:p w14:paraId="281A04DA" w14:textId="77777777" w:rsidR="004647B9" w:rsidRDefault="00E2436F">
            <w:pPr>
              <w:jc w:val="center"/>
              <w:rPr>
                <w:sz w:val="20"/>
                <w:szCs w:val="20"/>
              </w:rPr>
            </w:pPr>
            <w:r>
              <w:rPr>
                <w:rFonts w:eastAsia="Times New Roman"/>
                <w:w w:val="99"/>
                <w:sz w:val="24"/>
                <w:szCs w:val="24"/>
              </w:rPr>
              <w:t>1000</w:t>
            </w:r>
          </w:p>
        </w:tc>
      </w:tr>
      <w:tr w:rsidR="003F3659" w14:paraId="281A04DE" w14:textId="77777777" w:rsidTr="003F3659">
        <w:trPr>
          <w:trHeight w:val="552"/>
        </w:trPr>
        <w:tc>
          <w:tcPr>
            <w:tcW w:w="4620" w:type="dxa"/>
            <w:tcBorders>
              <w:left w:val="single" w:sz="8" w:space="0" w:color="auto"/>
              <w:bottom w:val="single" w:sz="8" w:space="0" w:color="auto"/>
              <w:right w:val="single" w:sz="8" w:space="0" w:color="auto"/>
            </w:tcBorders>
            <w:vAlign w:val="bottom"/>
          </w:tcPr>
          <w:p w14:paraId="281A04DC" w14:textId="25EFF7A0" w:rsidR="003F3659" w:rsidRDefault="003F3659" w:rsidP="00052143">
            <w:pPr>
              <w:spacing w:line="249" w:lineRule="exact"/>
              <w:ind w:left="100"/>
              <w:rPr>
                <w:sz w:val="20"/>
                <w:szCs w:val="20"/>
              </w:rPr>
            </w:pPr>
            <w:r>
              <w:rPr>
                <w:rFonts w:eastAsia="Times New Roman"/>
                <w:sz w:val="24"/>
                <w:szCs w:val="24"/>
              </w:rPr>
              <w:t>Other radionuclides and Photon/Gamma Emmitters</w:t>
            </w:r>
          </w:p>
        </w:tc>
        <w:tc>
          <w:tcPr>
            <w:tcW w:w="4120" w:type="dxa"/>
            <w:tcBorders>
              <w:bottom w:val="single" w:sz="8" w:space="0" w:color="auto"/>
              <w:right w:val="single" w:sz="8" w:space="0" w:color="auto"/>
            </w:tcBorders>
            <w:vAlign w:val="center"/>
          </w:tcPr>
          <w:p w14:paraId="281A04DD" w14:textId="77777777" w:rsidR="003F3659" w:rsidRDefault="003F3659" w:rsidP="003F3659">
            <w:pPr>
              <w:spacing w:line="249" w:lineRule="exact"/>
              <w:jc w:val="center"/>
              <w:rPr>
                <w:sz w:val="20"/>
                <w:szCs w:val="20"/>
              </w:rPr>
            </w:pPr>
            <w:r>
              <w:rPr>
                <w:rFonts w:eastAsia="Times New Roman"/>
                <w:w w:val="97"/>
                <w:sz w:val="24"/>
                <w:szCs w:val="24"/>
              </w:rPr>
              <w:t>1/10</w:t>
            </w:r>
            <w:r>
              <w:rPr>
                <w:rFonts w:eastAsia="Times New Roman"/>
                <w:w w:val="97"/>
                <w:sz w:val="27"/>
                <w:szCs w:val="27"/>
                <w:vertAlign w:val="superscript"/>
              </w:rPr>
              <w:t>th</w:t>
            </w:r>
            <w:r>
              <w:rPr>
                <w:rFonts w:eastAsia="Times New Roman"/>
                <w:w w:val="97"/>
                <w:sz w:val="24"/>
                <w:szCs w:val="24"/>
              </w:rPr>
              <w:t xml:space="preserve"> of the rule</w:t>
            </w:r>
          </w:p>
        </w:tc>
      </w:tr>
    </w:tbl>
    <w:p w14:paraId="281A04E2" w14:textId="77777777" w:rsidR="004647B9" w:rsidRPr="000919BB" w:rsidRDefault="004647B9" w:rsidP="000919BB">
      <w:pPr>
        <w:rPr>
          <w:sz w:val="24"/>
          <w:szCs w:val="24"/>
        </w:rPr>
      </w:pPr>
    </w:p>
    <w:p w14:paraId="281A04E3" w14:textId="77777777" w:rsidR="004647B9" w:rsidRPr="00432623" w:rsidRDefault="00E2436F" w:rsidP="000919BB">
      <w:pPr>
        <w:numPr>
          <w:ilvl w:val="0"/>
          <w:numId w:val="416"/>
        </w:numPr>
        <w:tabs>
          <w:tab w:val="left" w:pos="2128"/>
        </w:tabs>
        <w:ind w:left="1560" w:hanging="5"/>
        <w:jc w:val="both"/>
        <w:rPr>
          <w:rFonts w:eastAsia="Times New Roman"/>
          <w:sz w:val="24"/>
          <w:szCs w:val="24"/>
        </w:rPr>
      </w:pPr>
      <w:r w:rsidRPr="00432623">
        <w:rPr>
          <w:rFonts w:eastAsia="Times New Roman"/>
          <w:sz w:val="24"/>
          <w:szCs w:val="24"/>
        </w:rPr>
        <w:t>To judge compliance with the maximum contaminant levels listed in 310 CMR 22.09A(1), averages of data shall be used and shall be rounded to the same number of significant figures as the maximum contaminant level for the substance in question.</w:t>
      </w:r>
    </w:p>
    <w:p w14:paraId="281A04E4" w14:textId="77777777" w:rsidR="004647B9" w:rsidRPr="00432623" w:rsidRDefault="004647B9" w:rsidP="000919BB">
      <w:pPr>
        <w:rPr>
          <w:sz w:val="24"/>
          <w:szCs w:val="24"/>
        </w:rPr>
      </w:pPr>
    </w:p>
    <w:p w14:paraId="281A04E5" w14:textId="77777777" w:rsidR="004647B9" w:rsidRPr="00432623" w:rsidRDefault="00E2436F" w:rsidP="000919BB">
      <w:pPr>
        <w:tabs>
          <w:tab w:val="left" w:pos="760"/>
        </w:tabs>
        <w:rPr>
          <w:sz w:val="24"/>
          <w:szCs w:val="24"/>
        </w:rPr>
      </w:pPr>
      <w:r w:rsidRPr="00432623">
        <w:rPr>
          <w:rFonts w:eastAsia="Times New Roman"/>
          <w:sz w:val="24"/>
          <w:szCs w:val="24"/>
          <w:u w:val="single"/>
        </w:rPr>
        <w:t>22.10:</w:t>
      </w:r>
      <w:r w:rsidRPr="00432623">
        <w:rPr>
          <w:rFonts w:eastAsia="Times New Roman"/>
          <w:sz w:val="24"/>
          <w:szCs w:val="24"/>
          <w:u w:val="single"/>
        </w:rPr>
        <w:tab/>
        <w:t>Alternative Analytical Methods</w:t>
      </w:r>
    </w:p>
    <w:p w14:paraId="281A04E6" w14:textId="77777777" w:rsidR="004647B9" w:rsidRPr="00432623" w:rsidRDefault="004647B9" w:rsidP="000919BB">
      <w:pPr>
        <w:rPr>
          <w:sz w:val="24"/>
          <w:szCs w:val="24"/>
        </w:rPr>
      </w:pPr>
    </w:p>
    <w:p w14:paraId="281A04E7" w14:textId="77777777" w:rsidR="004647B9" w:rsidRPr="00432623" w:rsidRDefault="00E2436F" w:rsidP="000919BB">
      <w:pPr>
        <w:numPr>
          <w:ilvl w:val="0"/>
          <w:numId w:val="417"/>
        </w:numPr>
        <w:tabs>
          <w:tab w:val="left" w:pos="1617"/>
        </w:tabs>
        <w:ind w:left="1200"/>
        <w:jc w:val="both"/>
        <w:rPr>
          <w:rFonts w:eastAsia="Times New Roman"/>
          <w:sz w:val="24"/>
          <w:szCs w:val="24"/>
        </w:rPr>
      </w:pPr>
      <w:r w:rsidRPr="00432623">
        <w:rPr>
          <w:rFonts w:eastAsia="Times New Roman"/>
          <w:sz w:val="24"/>
          <w:szCs w:val="24"/>
        </w:rPr>
        <w:t>With the express written permission of the Department, given after a public hearing and the approval of the Administrator or the Administrator’s designee, an alternate analytical technique may be employed for any analytical technique prescribed in 310 CMR 22.00. The Department shall give such permission only if the alternative technique is substantially equivalent to the prescribed test in both precision and accuracy as it relates to the determination of compliance with any maximum contaminant level. The use of the alternative analytical technique shall not alter the frequency of monitoring required by 310 CMR 22.00.</w:t>
      </w:r>
    </w:p>
    <w:p w14:paraId="281A04E8" w14:textId="77777777" w:rsidR="004647B9" w:rsidRPr="00432623" w:rsidRDefault="004647B9" w:rsidP="000919BB">
      <w:pPr>
        <w:rPr>
          <w:rFonts w:eastAsia="Times New Roman"/>
          <w:sz w:val="24"/>
          <w:szCs w:val="24"/>
        </w:rPr>
      </w:pPr>
    </w:p>
    <w:p w14:paraId="281A04E9" w14:textId="77777777" w:rsidR="004647B9" w:rsidRPr="00432623" w:rsidRDefault="00E2436F" w:rsidP="000919BB">
      <w:pPr>
        <w:numPr>
          <w:ilvl w:val="0"/>
          <w:numId w:val="417"/>
        </w:numPr>
        <w:tabs>
          <w:tab w:val="left" w:pos="1753"/>
        </w:tabs>
        <w:ind w:left="1200"/>
        <w:jc w:val="both"/>
        <w:rPr>
          <w:rFonts w:eastAsia="Times New Roman"/>
          <w:sz w:val="24"/>
          <w:szCs w:val="24"/>
        </w:rPr>
      </w:pPr>
      <w:r w:rsidRPr="00432623">
        <w:rPr>
          <w:rFonts w:eastAsia="Times New Roman"/>
          <w:sz w:val="24"/>
          <w:szCs w:val="24"/>
        </w:rPr>
        <w:t>The Department shall approve all USEPA Alternative Testing Methods approved for analyses under the Safe Drinking Water Act that are identified in 40 CFR 141, Subpart C,</w:t>
      </w:r>
    </w:p>
    <w:p w14:paraId="281A04EB" w14:textId="5230324C" w:rsidR="004647B9" w:rsidRPr="00432623" w:rsidRDefault="00E2436F" w:rsidP="000919BB">
      <w:pPr>
        <w:ind w:left="1200"/>
        <w:jc w:val="both"/>
        <w:rPr>
          <w:rFonts w:eastAsia="Times New Roman"/>
          <w:sz w:val="24"/>
          <w:szCs w:val="24"/>
        </w:rPr>
      </w:pPr>
      <w:r w:rsidRPr="00432623">
        <w:rPr>
          <w:rFonts w:eastAsia="Times New Roman"/>
          <w:sz w:val="24"/>
          <w:szCs w:val="24"/>
        </w:rPr>
        <w:t xml:space="preserve">Appendix A. These methods are also listed </w:t>
      </w:r>
      <w:r w:rsidR="00522177">
        <w:rPr>
          <w:rFonts w:eastAsia="Times New Roman"/>
          <w:sz w:val="24"/>
          <w:szCs w:val="24"/>
        </w:rPr>
        <w:t>on the Electronic Code of Federal Regulations</w:t>
      </w:r>
      <w:r w:rsidR="00A11917">
        <w:rPr>
          <w:rFonts w:eastAsia="Times New Roman"/>
          <w:sz w:val="24"/>
          <w:szCs w:val="24"/>
        </w:rPr>
        <w:t xml:space="preserve"> (eCFR)</w:t>
      </w:r>
      <w:r w:rsidR="00522177">
        <w:rPr>
          <w:rFonts w:eastAsia="Times New Roman"/>
          <w:sz w:val="24"/>
          <w:szCs w:val="24"/>
        </w:rPr>
        <w:t xml:space="preserve"> </w:t>
      </w:r>
      <w:r w:rsidR="00143F2B">
        <w:rPr>
          <w:rFonts w:eastAsia="Times New Roman"/>
          <w:sz w:val="24"/>
          <w:szCs w:val="24"/>
        </w:rPr>
        <w:t xml:space="preserve">provided by the </w:t>
      </w:r>
      <w:r w:rsidR="007A71D3">
        <w:rPr>
          <w:rFonts w:eastAsia="Times New Roman"/>
          <w:sz w:val="24"/>
          <w:szCs w:val="24"/>
        </w:rPr>
        <w:t xml:space="preserve">U.S. </w:t>
      </w:r>
      <w:r w:rsidR="00143F2B">
        <w:rPr>
          <w:rFonts w:eastAsia="Times New Roman"/>
          <w:sz w:val="24"/>
          <w:szCs w:val="24"/>
        </w:rPr>
        <w:t>National Archives</w:t>
      </w:r>
      <w:r w:rsidR="007A71D3">
        <w:rPr>
          <w:rFonts w:eastAsia="Times New Roman"/>
          <w:sz w:val="24"/>
          <w:szCs w:val="24"/>
        </w:rPr>
        <w:t xml:space="preserve"> and Records Administration</w:t>
      </w:r>
      <w:r w:rsidRPr="00432623">
        <w:rPr>
          <w:rFonts w:eastAsia="Times New Roman"/>
          <w:color w:val="000000"/>
          <w:sz w:val="24"/>
          <w:szCs w:val="24"/>
        </w:rPr>
        <w:t>.</w:t>
      </w:r>
      <w:r w:rsidRPr="00432623">
        <w:rPr>
          <w:rFonts w:eastAsia="Times New Roman"/>
          <w:color w:val="0000FF"/>
          <w:sz w:val="24"/>
          <w:szCs w:val="24"/>
        </w:rPr>
        <w:t xml:space="preserve"> </w:t>
      </w:r>
      <w:r w:rsidRPr="00432623">
        <w:rPr>
          <w:rFonts w:eastAsia="Times New Roman"/>
          <w:color w:val="000000"/>
          <w:sz w:val="24"/>
          <w:szCs w:val="24"/>
        </w:rPr>
        <w:t>The use of these alternative analytical techniques shall not alter the frequency of</w:t>
      </w:r>
      <w:r w:rsidRPr="00432623">
        <w:rPr>
          <w:rFonts w:eastAsia="Times New Roman"/>
          <w:color w:val="0000FF"/>
          <w:sz w:val="24"/>
          <w:szCs w:val="24"/>
        </w:rPr>
        <w:t xml:space="preserve"> </w:t>
      </w:r>
      <w:r w:rsidRPr="00432623">
        <w:rPr>
          <w:rFonts w:eastAsia="Times New Roman"/>
          <w:color w:val="000000"/>
          <w:sz w:val="24"/>
          <w:szCs w:val="24"/>
        </w:rPr>
        <w:t xml:space="preserve">monitoring required by 310 CMR 22.00 and laboratories seeking to use the methods must comply </w:t>
      </w:r>
      <w:r w:rsidRPr="00432623">
        <w:rPr>
          <w:rFonts w:eastAsia="Times New Roman"/>
          <w:sz w:val="24"/>
          <w:szCs w:val="24"/>
        </w:rPr>
        <w:t xml:space="preserve">with all requirements of 310 CMR 42.00: </w:t>
      </w:r>
      <w:r w:rsidRPr="00432623">
        <w:rPr>
          <w:rFonts w:eastAsia="Times New Roman"/>
          <w:i/>
          <w:iCs/>
          <w:sz w:val="24"/>
          <w:szCs w:val="24"/>
        </w:rPr>
        <w:t>Certification and Operation of Environmental</w:t>
      </w:r>
      <w:r w:rsidRPr="00432623">
        <w:rPr>
          <w:rFonts w:eastAsia="Times New Roman"/>
          <w:sz w:val="24"/>
          <w:szCs w:val="24"/>
        </w:rPr>
        <w:t xml:space="preserve"> </w:t>
      </w:r>
      <w:r w:rsidRPr="00432623">
        <w:rPr>
          <w:rFonts w:eastAsia="Times New Roman"/>
          <w:i/>
          <w:iCs/>
          <w:sz w:val="24"/>
          <w:szCs w:val="24"/>
        </w:rPr>
        <w:t>Analysis Laboratories</w:t>
      </w:r>
      <w:r w:rsidRPr="00432623">
        <w:rPr>
          <w:rFonts w:eastAsia="Times New Roman"/>
          <w:sz w:val="24"/>
          <w:szCs w:val="24"/>
        </w:rPr>
        <w:t>.</w:t>
      </w:r>
    </w:p>
    <w:p w14:paraId="281A04ED" w14:textId="77777777" w:rsidR="004647B9" w:rsidRPr="00432623" w:rsidRDefault="004647B9" w:rsidP="000919BB">
      <w:pPr>
        <w:rPr>
          <w:rFonts w:eastAsia="Times New Roman"/>
          <w:sz w:val="24"/>
          <w:szCs w:val="24"/>
        </w:rPr>
      </w:pPr>
    </w:p>
    <w:p w14:paraId="281A04EE" w14:textId="0191BBBE" w:rsidR="004647B9" w:rsidRPr="00432623" w:rsidRDefault="00E2436F" w:rsidP="000919BB">
      <w:pPr>
        <w:tabs>
          <w:tab w:val="left" w:pos="940"/>
        </w:tabs>
        <w:rPr>
          <w:sz w:val="24"/>
          <w:szCs w:val="24"/>
        </w:rPr>
      </w:pPr>
      <w:r w:rsidRPr="00432623">
        <w:rPr>
          <w:rFonts w:eastAsia="Times New Roman"/>
          <w:sz w:val="24"/>
          <w:szCs w:val="24"/>
          <w:u w:val="single"/>
        </w:rPr>
        <w:t>22.11A:</w:t>
      </w:r>
      <w:r w:rsidRPr="00432623">
        <w:rPr>
          <w:sz w:val="24"/>
          <w:szCs w:val="24"/>
        </w:rPr>
        <w:tab/>
      </w:r>
      <w:r w:rsidRPr="00432623">
        <w:rPr>
          <w:rFonts w:eastAsia="Times New Roman"/>
          <w:sz w:val="24"/>
          <w:szCs w:val="24"/>
          <w:u w:val="single"/>
        </w:rPr>
        <w:t>Laborato</w:t>
      </w:r>
      <w:r w:rsidR="00011B2B">
        <w:rPr>
          <w:rFonts w:eastAsia="Times New Roman"/>
          <w:sz w:val="24"/>
          <w:szCs w:val="24"/>
          <w:u w:val="single"/>
        </w:rPr>
        <w:t>r</w:t>
      </w:r>
      <w:r w:rsidRPr="00432623">
        <w:rPr>
          <w:rFonts w:eastAsia="Times New Roman"/>
          <w:sz w:val="24"/>
          <w:szCs w:val="24"/>
          <w:u w:val="single"/>
        </w:rPr>
        <w:t>y Certification</w:t>
      </w:r>
    </w:p>
    <w:p w14:paraId="281A04EF" w14:textId="77777777" w:rsidR="004647B9" w:rsidRPr="00432623" w:rsidRDefault="004647B9" w:rsidP="000919BB">
      <w:pPr>
        <w:rPr>
          <w:rFonts w:eastAsia="Times New Roman"/>
          <w:sz w:val="24"/>
          <w:szCs w:val="24"/>
        </w:rPr>
      </w:pPr>
    </w:p>
    <w:p w14:paraId="281A04F0" w14:textId="77777777" w:rsidR="004647B9" w:rsidRDefault="00E2436F" w:rsidP="000919BB">
      <w:pPr>
        <w:numPr>
          <w:ilvl w:val="0"/>
          <w:numId w:val="418"/>
        </w:numPr>
        <w:tabs>
          <w:tab w:val="left" w:pos="1624"/>
        </w:tabs>
        <w:ind w:left="1200"/>
        <w:jc w:val="both"/>
        <w:rPr>
          <w:rFonts w:eastAsia="Times New Roman"/>
          <w:sz w:val="24"/>
          <w:szCs w:val="24"/>
        </w:rPr>
      </w:pPr>
      <w:r w:rsidRPr="00432623">
        <w:rPr>
          <w:rFonts w:eastAsia="Times New Roman"/>
          <w:sz w:val="24"/>
          <w:szCs w:val="24"/>
        </w:rPr>
        <w:t xml:space="preserve">No laboratory shall conduct the analyses of drinking water required by 310 CMR 22.00 nor report them to the Supplier of Water or to the Department for the purpose of complying with 310 CMR 22.00 unless the Department has certified the laboratory to conduct analytical measurements, pursuant to 310 CMR 42.00: </w:t>
      </w:r>
      <w:r w:rsidRPr="00432623">
        <w:rPr>
          <w:rFonts w:eastAsia="Times New Roman"/>
          <w:i/>
          <w:iCs/>
          <w:sz w:val="24"/>
          <w:szCs w:val="24"/>
        </w:rPr>
        <w:t>Certification and Operation of Environmental</w:t>
      </w:r>
      <w:r w:rsidRPr="00432623">
        <w:rPr>
          <w:rFonts w:eastAsia="Times New Roman"/>
          <w:sz w:val="24"/>
          <w:szCs w:val="24"/>
        </w:rPr>
        <w:t xml:space="preserve"> </w:t>
      </w:r>
      <w:r w:rsidRPr="00432623">
        <w:rPr>
          <w:rFonts w:eastAsia="Times New Roman"/>
          <w:i/>
          <w:iCs/>
          <w:sz w:val="24"/>
          <w:szCs w:val="24"/>
        </w:rPr>
        <w:t xml:space="preserve">Analysis Laboratories </w:t>
      </w:r>
      <w:r w:rsidRPr="00432623">
        <w:rPr>
          <w:rFonts w:eastAsia="Times New Roman"/>
          <w:sz w:val="24"/>
          <w:szCs w:val="24"/>
        </w:rPr>
        <w:t>except that measurements of Turbidity, chlorine residual, temperature, pH,</w:t>
      </w:r>
      <w:r w:rsidRPr="00432623">
        <w:rPr>
          <w:rFonts w:eastAsia="Times New Roman"/>
          <w:i/>
          <w:iCs/>
          <w:sz w:val="24"/>
          <w:szCs w:val="24"/>
        </w:rPr>
        <w:t xml:space="preserve"> </w:t>
      </w:r>
      <w:r w:rsidRPr="00432623">
        <w:rPr>
          <w:rFonts w:eastAsia="Times New Roman"/>
          <w:sz w:val="24"/>
          <w:szCs w:val="24"/>
        </w:rPr>
        <w:t>alkalinity, calcium, conductivity, orthophosphates, silica and other analyses for the control of treatment works for Public Water Systems may be performed by any employee or agent of</w:t>
      </w:r>
      <w:r>
        <w:rPr>
          <w:rFonts w:eastAsia="Times New Roman"/>
          <w:sz w:val="24"/>
          <w:szCs w:val="24"/>
        </w:rPr>
        <w:t xml:space="preserve"> the Public Water System whom the Department designates as competent and authorized to perform such analyses. No sample shall be considered for the purpose of determining compliance with 310 CMR 22.00 if the sample was analyzed by a laboratory not certified pursuant to 310 CMR 42.00: </w:t>
      </w:r>
      <w:r>
        <w:rPr>
          <w:rFonts w:eastAsia="Times New Roman"/>
          <w:i/>
          <w:iCs/>
          <w:sz w:val="24"/>
          <w:szCs w:val="24"/>
        </w:rPr>
        <w:t>Certification and Operation of Environmental Analysis Laboratories</w:t>
      </w:r>
      <w:r>
        <w:rPr>
          <w:rFonts w:eastAsia="Times New Roman"/>
          <w:sz w:val="24"/>
          <w:szCs w:val="24"/>
        </w:rPr>
        <w:t>, or analyzed by an unapproved analytical method. All sample results submitted to the Department shall be on forms specified and approved by the Department. Certified laboratories, or other agents approved by the Department, shall provide chain of custody, collection containers of the recommended size, quality and construction for the collection of drinking water samples, as well as any required preservative.</w:t>
      </w:r>
    </w:p>
    <w:p w14:paraId="281A04F1" w14:textId="77777777" w:rsidR="004647B9" w:rsidRDefault="004647B9" w:rsidP="000919BB">
      <w:pPr>
        <w:sectPr w:rsidR="004647B9" w:rsidSect="00EF630C">
          <w:pgSz w:w="12240" w:h="20180"/>
          <w:pgMar w:top="708" w:right="1440" w:bottom="962" w:left="600" w:header="0" w:footer="0" w:gutter="0"/>
          <w:cols w:space="720"/>
        </w:sectPr>
      </w:pPr>
    </w:p>
    <w:p w14:paraId="281A04F2" w14:textId="77777777" w:rsidR="004647B9" w:rsidRPr="00AA6196" w:rsidRDefault="00E2436F" w:rsidP="00AA6196">
      <w:pPr>
        <w:tabs>
          <w:tab w:val="left" w:pos="160"/>
        </w:tabs>
        <w:jc w:val="center"/>
        <w:rPr>
          <w:sz w:val="24"/>
          <w:szCs w:val="24"/>
        </w:rPr>
      </w:pPr>
      <w:bookmarkStart w:id="158" w:name="page160"/>
      <w:bookmarkEnd w:id="158"/>
      <w:r w:rsidRPr="00AA6196">
        <w:rPr>
          <w:rFonts w:eastAsia="Times New Roman"/>
          <w:sz w:val="24"/>
          <w:szCs w:val="24"/>
        </w:rPr>
        <w:lastRenderedPageBreak/>
        <w:t>310 CMR:</w:t>
      </w:r>
      <w:r w:rsidRPr="00AA6196">
        <w:rPr>
          <w:sz w:val="24"/>
          <w:szCs w:val="24"/>
        </w:rPr>
        <w:tab/>
      </w:r>
      <w:r w:rsidRPr="00AA6196">
        <w:rPr>
          <w:rFonts w:eastAsia="Times New Roman"/>
          <w:sz w:val="24"/>
          <w:szCs w:val="24"/>
        </w:rPr>
        <w:t>DEPARTMENT OF ENVIRONMENTAL PROTECTION</w:t>
      </w:r>
    </w:p>
    <w:p w14:paraId="281A04F3" w14:textId="77777777" w:rsidR="004647B9" w:rsidRPr="00966348" w:rsidRDefault="004647B9" w:rsidP="00966348">
      <w:pPr>
        <w:rPr>
          <w:sz w:val="20"/>
          <w:szCs w:val="20"/>
        </w:rPr>
      </w:pPr>
    </w:p>
    <w:p w14:paraId="281A04F4" w14:textId="77777777" w:rsidR="004647B9" w:rsidRPr="00966348" w:rsidRDefault="004647B9" w:rsidP="00966348">
      <w:pPr>
        <w:rPr>
          <w:sz w:val="20"/>
          <w:szCs w:val="20"/>
        </w:rPr>
      </w:pPr>
    </w:p>
    <w:p w14:paraId="281A04F5" w14:textId="77777777" w:rsidR="004647B9" w:rsidRPr="00AA6196" w:rsidRDefault="00E2436F" w:rsidP="00966348">
      <w:pPr>
        <w:tabs>
          <w:tab w:val="left" w:pos="940"/>
        </w:tabs>
        <w:rPr>
          <w:sz w:val="24"/>
          <w:szCs w:val="24"/>
        </w:rPr>
      </w:pPr>
      <w:r w:rsidRPr="00AA6196">
        <w:rPr>
          <w:rFonts w:eastAsia="Times New Roman"/>
          <w:sz w:val="24"/>
          <w:szCs w:val="24"/>
        </w:rPr>
        <w:t>22.11A:</w:t>
      </w:r>
      <w:r w:rsidRPr="00AA6196">
        <w:rPr>
          <w:sz w:val="24"/>
          <w:szCs w:val="24"/>
        </w:rPr>
        <w:tab/>
      </w:r>
      <w:r w:rsidRPr="00AA6196">
        <w:rPr>
          <w:rFonts w:eastAsia="Times New Roman"/>
          <w:sz w:val="24"/>
          <w:szCs w:val="24"/>
        </w:rPr>
        <w:t>continued</w:t>
      </w:r>
    </w:p>
    <w:p w14:paraId="281A04F6" w14:textId="77777777" w:rsidR="004647B9" w:rsidRPr="00966348" w:rsidRDefault="004647B9" w:rsidP="00966348">
      <w:pPr>
        <w:rPr>
          <w:sz w:val="20"/>
          <w:szCs w:val="20"/>
        </w:rPr>
      </w:pPr>
    </w:p>
    <w:p w14:paraId="281A04F7" w14:textId="77777777" w:rsidR="004647B9" w:rsidRPr="00AA6196" w:rsidRDefault="00E2436F" w:rsidP="00966348">
      <w:pPr>
        <w:numPr>
          <w:ilvl w:val="0"/>
          <w:numId w:val="419"/>
        </w:numPr>
        <w:tabs>
          <w:tab w:val="left" w:pos="1759"/>
        </w:tabs>
        <w:ind w:left="1200"/>
        <w:jc w:val="both"/>
        <w:rPr>
          <w:rFonts w:eastAsia="Times New Roman"/>
          <w:sz w:val="24"/>
          <w:szCs w:val="24"/>
        </w:rPr>
      </w:pPr>
      <w:r w:rsidRPr="00AA6196">
        <w:rPr>
          <w:rFonts w:eastAsia="Times New Roman"/>
          <w:sz w:val="24"/>
          <w:szCs w:val="24"/>
        </w:rPr>
        <w:t>The Department may accept results of analyses performed by laboratories which are certified by the EPA or any other certification authority approved by the Department. Such laboratories must continue to participate in performance evaluation studies and in laboratory intercomparison cross check studies which include the analyses for which the laboratory is certified or seeking certification.</w:t>
      </w:r>
    </w:p>
    <w:p w14:paraId="281A04F8" w14:textId="77777777" w:rsidR="004647B9" w:rsidRPr="00AA6196" w:rsidRDefault="004647B9" w:rsidP="00966348">
      <w:pPr>
        <w:rPr>
          <w:sz w:val="24"/>
          <w:szCs w:val="24"/>
        </w:rPr>
      </w:pPr>
    </w:p>
    <w:p w14:paraId="281A04F9" w14:textId="77777777" w:rsidR="004647B9" w:rsidRPr="00AA6196" w:rsidRDefault="00E2436F" w:rsidP="00966348">
      <w:pPr>
        <w:tabs>
          <w:tab w:val="left" w:pos="920"/>
        </w:tabs>
        <w:rPr>
          <w:sz w:val="24"/>
          <w:szCs w:val="24"/>
        </w:rPr>
      </w:pPr>
      <w:r w:rsidRPr="00AA6196">
        <w:rPr>
          <w:rFonts w:eastAsia="Times New Roman"/>
          <w:sz w:val="24"/>
          <w:szCs w:val="24"/>
          <w:u w:val="single"/>
        </w:rPr>
        <w:t>22.11B:</w:t>
      </w:r>
      <w:r w:rsidRPr="00AA6196">
        <w:rPr>
          <w:sz w:val="24"/>
          <w:szCs w:val="24"/>
        </w:rPr>
        <w:tab/>
      </w:r>
      <w:r w:rsidRPr="00AA6196">
        <w:rPr>
          <w:rFonts w:eastAsia="Times New Roman"/>
          <w:sz w:val="24"/>
          <w:szCs w:val="24"/>
          <w:u w:val="single"/>
        </w:rPr>
        <w:t>Public Water Systems Certified Operator Staffing Requirements</w:t>
      </w:r>
    </w:p>
    <w:p w14:paraId="281A04FA" w14:textId="77777777" w:rsidR="004647B9" w:rsidRPr="00AA6196" w:rsidRDefault="004647B9" w:rsidP="00966348">
      <w:pPr>
        <w:rPr>
          <w:sz w:val="24"/>
          <w:szCs w:val="24"/>
        </w:rPr>
      </w:pPr>
    </w:p>
    <w:p w14:paraId="281A04FB" w14:textId="77777777" w:rsidR="004647B9" w:rsidRPr="00AA6196" w:rsidRDefault="00E2436F" w:rsidP="00966348">
      <w:pPr>
        <w:numPr>
          <w:ilvl w:val="0"/>
          <w:numId w:val="420"/>
        </w:numPr>
        <w:tabs>
          <w:tab w:val="left" w:pos="1667"/>
        </w:tabs>
        <w:ind w:left="1200"/>
        <w:jc w:val="both"/>
        <w:rPr>
          <w:rFonts w:eastAsia="Times New Roman"/>
          <w:sz w:val="24"/>
          <w:szCs w:val="24"/>
        </w:rPr>
      </w:pPr>
      <w:r w:rsidRPr="00AA6196">
        <w:rPr>
          <w:rFonts w:eastAsia="Times New Roman"/>
          <w:sz w:val="24"/>
          <w:szCs w:val="24"/>
          <w:u w:val="single"/>
        </w:rPr>
        <w:t>Operation</w:t>
      </w:r>
      <w:r w:rsidRPr="00AA6196">
        <w:rPr>
          <w:rFonts w:eastAsia="Times New Roman"/>
          <w:sz w:val="24"/>
          <w:szCs w:val="24"/>
        </w:rPr>
        <w:t xml:space="preserve">. Each Supplier of Water shall ensure that its Public Water System is operated at all times by a Primary and Secondary Operator for the treatment and distribution of drinking water, unless otherwise authorized in writing by the Department. Any Public Water System personnel who make decisions regarding the Public Water System's process control or operational integrity shall be certified pursuant to 236 CMR: </w:t>
      </w:r>
      <w:r w:rsidRPr="00AA6196">
        <w:rPr>
          <w:rFonts w:eastAsia="Times New Roman"/>
          <w:i/>
          <w:iCs/>
          <w:sz w:val="24"/>
          <w:szCs w:val="24"/>
        </w:rPr>
        <w:t>Board of Certification of</w:t>
      </w:r>
      <w:r w:rsidRPr="00AA6196">
        <w:rPr>
          <w:rFonts w:eastAsia="Times New Roman"/>
          <w:sz w:val="24"/>
          <w:szCs w:val="24"/>
        </w:rPr>
        <w:t xml:space="preserve"> </w:t>
      </w:r>
      <w:r w:rsidRPr="00AA6196">
        <w:rPr>
          <w:rFonts w:eastAsia="Times New Roman"/>
          <w:i/>
          <w:iCs/>
          <w:sz w:val="24"/>
          <w:szCs w:val="24"/>
        </w:rPr>
        <w:t>Operators of Drinking Water Supply Facilities</w:t>
      </w:r>
      <w:r w:rsidRPr="00AA6196">
        <w:rPr>
          <w:rFonts w:eastAsia="Times New Roman"/>
          <w:sz w:val="24"/>
          <w:szCs w:val="24"/>
        </w:rPr>
        <w:t>. Exemptions to this requirement are addressed</w:t>
      </w:r>
      <w:r w:rsidRPr="00AA6196">
        <w:rPr>
          <w:rFonts w:eastAsia="Times New Roman"/>
          <w:i/>
          <w:iCs/>
          <w:sz w:val="24"/>
          <w:szCs w:val="24"/>
        </w:rPr>
        <w:t xml:space="preserve"> </w:t>
      </w:r>
      <w:r w:rsidRPr="00AA6196">
        <w:rPr>
          <w:rFonts w:eastAsia="Times New Roman"/>
          <w:sz w:val="24"/>
          <w:szCs w:val="24"/>
        </w:rPr>
        <w:t xml:space="preserve">in 310 CMR 22.11B(5). The Primary Operator shall be directly responsible for the operation of a Treatment Facility and/or Distribution System. The Secondary Operator shall be directly responsible for the operation of a Treatment Facility and/or Distribution System or a major segment of the Public Water System, during the temporary absence of the Primary Operator or during operational shifts when the Primary Operator is not scheduled to work. Persons exercising official general administrative duties such as city engineers exercising engineering design duties, elected water commissioners, clerks or administrative workers involved in customer relations, billing, payroll, timekeeping, </w:t>
      </w:r>
      <w:r w:rsidRPr="00AA6196">
        <w:rPr>
          <w:rFonts w:eastAsia="Times New Roman"/>
          <w:i/>
          <w:iCs/>
          <w:sz w:val="24"/>
          <w:szCs w:val="24"/>
        </w:rPr>
        <w:t>etc</w:t>
      </w:r>
      <w:r w:rsidRPr="00AA6196">
        <w:rPr>
          <w:rFonts w:eastAsia="Times New Roman"/>
          <w:sz w:val="24"/>
          <w:szCs w:val="24"/>
        </w:rPr>
        <w:t>. shall not be considered directly responsible for a Public Water System, unless otherwise authorized in writing by the Department.</w:t>
      </w:r>
    </w:p>
    <w:p w14:paraId="281A04FC" w14:textId="77777777" w:rsidR="004647B9" w:rsidRPr="00AA6196" w:rsidRDefault="004647B9" w:rsidP="00966348">
      <w:pPr>
        <w:rPr>
          <w:rFonts w:eastAsia="Times New Roman"/>
          <w:sz w:val="24"/>
          <w:szCs w:val="24"/>
        </w:rPr>
      </w:pPr>
    </w:p>
    <w:p w14:paraId="281A04FD" w14:textId="76914F02" w:rsidR="004647B9" w:rsidRPr="00AA6196" w:rsidRDefault="00E2436F" w:rsidP="00966348">
      <w:pPr>
        <w:numPr>
          <w:ilvl w:val="0"/>
          <w:numId w:val="420"/>
        </w:numPr>
        <w:tabs>
          <w:tab w:val="left" w:pos="1822"/>
        </w:tabs>
        <w:ind w:left="1200"/>
        <w:jc w:val="both"/>
        <w:rPr>
          <w:rFonts w:eastAsia="Times New Roman"/>
          <w:sz w:val="24"/>
          <w:szCs w:val="24"/>
        </w:rPr>
      </w:pPr>
      <w:r w:rsidRPr="00AA6196">
        <w:rPr>
          <w:rFonts w:eastAsia="Times New Roman"/>
          <w:sz w:val="24"/>
          <w:szCs w:val="24"/>
          <w:u w:val="single"/>
        </w:rPr>
        <w:t>Staffing Requirements</w:t>
      </w:r>
      <w:r w:rsidRPr="00AA6196">
        <w:rPr>
          <w:rFonts w:eastAsia="Times New Roman"/>
          <w:sz w:val="24"/>
          <w:szCs w:val="24"/>
        </w:rPr>
        <w:t>. In order to ensure the proper management, operation and maintenance of Public Water Systems, every Public Water System, except as provided in</w:t>
      </w:r>
      <w:r w:rsidR="001F0F97">
        <w:rPr>
          <w:rFonts w:eastAsia="Times New Roman"/>
          <w:sz w:val="24"/>
          <w:szCs w:val="24"/>
        </w:rPr>
        <w:t xml:space="preserve"> </w:t>
      </w:r>
      <w:r w:rsidR="001F0F97" w:rsidRPr="00AA6196">
        <w:rPr>
          <w:rFonts w:eastAsia="Times New Roman"/>
          <w:sz w:val="24"/>
          <w:szCs w:val="24"/>
        </w:rPr>
        <w:t>310 CMR 22.11B(5), shall be operated as follows:</w:t>
      </w:r>
    </w:p>
    <w:p w14:paraId="281A0501" w14:textId="77777777" w:rsidR="004647B9" w:rsidRPr="00AA6196" w:rsidRDefault="00E2436F" w:rsidP="00966348">
      <w:pPr>
        <w:numPr>
          <w:ilvl w:val="1"/>
          <w:numId w:val="420"/>
        </w:numPr>
        <w:tabs>
          <w:tab w:val="left" w:pos="2000"/>
        </w:tabs>
        <w:ind w:left="2000" w:hanging="445"/>
        <w:rPr>
          <w:rFonts w:eastAsia="Times New Roman"/>
          <w:sz w:val="24"/>
          <w:szCs w:val="24"/>
        </w:rPr>
      </w:pPr>
      <w:r w:rsidRPr="00AA6196">
        <w:rPr>
          <w:rFonts w:eastAsia="Times New Roman"/>
          <w:sz w:val="24"/>
          <w:szCs w:val="24"/>
          <w:u w:val="single"/>
        </w:rPr>
        <w:t>Treatment - Primary Operator</w:t>
      </w:r>
      <w:r w:rsidRPr="00AA6196">
        <w:rPr>
          <w:rFonts w:eastAsia="Times New Roman"/>
          <w:sz w:val="24"/>
          <w:szCs w:val="24"/>
        </w:rPr>
        <w:t>.</w:t>
      </w:r>
    </w:p>
    <w:p w14:paraId="281A0504" w14:textId="1A6BAB14" w:rsidR="004647B9" w:rsidRPr="00AA6196" w:rsidRDefault="00E2436F" w:rsidP="00322D5A">
      <w:pPr>
        <w:numPr>
          <w:ilvl w:val="2"/>
          <w:numId w:val="412"/>
        </w:numPr>
        <w:tabs>
          <w:tab w:val="left" w:pos="2250"/>
        </w:tabs>
        <w:ind w:left="1915"/>
        <w:jc w:val="both"/>
        <w:rPr>
          <w:rFonts w:eastAsia="Times New Roman"/>
          <w:sz w:val="24"/>
          <w:szCs w:val="24"/>
        </w:rPr>
      </w:pPr>
      <w:r w:rsidRPr="00AA6196">
        <w:rPr>
          <w:rFonts w:eastAsia="Times New Roman"/>
          <w:sz w:val="24"/>
          <w:szCs w:val="24"/>
        </w:rPr>
        <w:t>A Public Water System utilizing treatment shall be operated, whenever the Treatment Facility is in operation, by a Primary Operator (</w:t>
      </w:r>
      <w:r w:rsidRPr="00584FA1">
        <w:rPr>
          <w:rFonts w:eastAsia="Times New Roman"/>
          <w:sz w:val="24"/>
          <w:szCs w:val="24"/>
        </w:rPr>
        <w:t>i.e</w:t>
      </w:r>
      <w:r w:rsidRPr="00AA6196">
        <w:rPr>
          <w:rFonts w:eastAsia="Times New Roman"/>
          <w:sz w:val="24"/>
          <w:szCs w:val="24"/>
        </w:rPr>
        <w:t>., a Certified Operator who has a grade certificate at least equal to the class of the Treatment Facility, as further defined in</w:t>
      </w:r>
      <w:r w:rsidR="00432623" w:rsidRPr="00AA6196">
        <w:rPr>
          <w:rFonts w:eastAsia="Times New Roman"/>
          <w:sz w:val="24"/>
          <w:szCs w:val="24"/>
        </w:rPr>
        <w:t xml:space="preserve"> 310 </w:t>
      </w:r>
      <w:r w:rsidRPr="00AA6196">
        <w:rPr>
          <w:rFonts w:eastAsia="Times New Roman"/>
          <w:sz w:val="24"/>
          <w:szCs w:val="24"/>
        </w:rPr>
        <w:t>CMR 22.02) who, except when temporarily absent, shall be:</w:t>
      </w:r>
    </w:p>
    <w:p w14:paraId="281A0506" w14:textId="77777777" w:rsidR="004647B9" w:rsidRPr="00AA6196" w:rsidRDefault="00E2436F" w:rsidP="00966348">
      <w:pPr>
        <w:numPr>
          <w:ilvl w:val="3"/>
          <w:numId w:val="421"/>
        </w:numPr>
        <w:tabs>
          <w:tab w:val="left" w:pos="2619"/>
        </w:tabs>
        <w:ind w:left="2280" w:hanging="5"/>
        <w:rPr>
          <w:rFonts w:eastAsia="Times New Roman"/>
          <w:sz w:val="24"/>
          <w:szCs w:val="24"/>
        </w:rPr>
      </w:pPr>
      <w:r w:rsidRPr="00AA6196">
        <w:rPr>
          <w:rFonts w:eastAsia="Times New Roman"/>
          <w:sz w:val="24"/>
          <w:szCs w:val="24"/>
        </w:rPr>
        <w:t>present at the Treatment Facility at least one seven-hour working shift each day for five days during each work week (meaning seven consecutive days); and</w:t>
      </w:r>
    </w:p>
    <w:p w14:paraId="281A0507" w14:textId="77777777" w:rsidR="004647B9" w:rsidRPr="00AA6196" w:rsidRDefault="00E2436F" w:rsidP="00966348">
      <w:pPr>
        <w:numPr>
          <w:ilvl w:val="3"/>
          <w:numId w:val="421"/>
        </w:numPr>
        <w:tabs>
          <w:tab w:val="left" w:pos="2647"/>
        </w:tabs>
        <w:ind w:left="2280" w:hanging="5"/>
        <w:rPr>
          <w:rFonts w:eastAsia="Times New Roman"/>
          <w:sz w:val="24"/>
          <w:szCs w:val="24"/>
        </w:rPr>
      </w:pPr>
      <w:r w:rsidRPr="00AA6196">
        <w:rPr>
          <w:rFonts w:eastAsia="Times New Roman"/>
          <w:sz w:val="24"/>
          <w:szCs w:val="24"/>
        </w:rPr>
        <w:t>available to respond in person to Emergencies at the Treatment Facility within one hour at all times when not present at the Treatment Facility.</w:t>
      </w:r>
    </w:p>
    <w:p w14:paraId="281A0508" w14:textId="77777777" w:rsidR="004647B9" w:rsidRPr="00AA6196" w:rsidRDefault="00E2436F" w:rsidP="00966348">
      <w:pPr>
        <w:numPr>
          <w:ilvl w:val="2"/>
          <w:numId w:val="412"/>
        </w:numPr>
        <w:tabs>
          <w:tab w:val="left" w:pos="2261"/>
        </w:tabs>
        <w:ind w:left="1920" w:hanging="5"/>
        <w:jc w:val="both"/>
        <w:rPr>
          <w:rFonts w:eastAsia="Times New Roman"/>
          <w:sz w:val="24"/>
          <w:szCs w:val="24"/>
        </w:rPr>
      </w:pPr>
      <w:r w:rsidRPr="00AA6196">
        <w:rPr>
          <w:rFonts w:eastAsia="Times New Roman"/>
          <w:sz w:val="24"/>
          <w:szCs w:val="24"/>
        </w:rPr>
        <w:t>A Supplier of Water may submit a written request for the Department to approve an alternative work schedule for the Primary Operator. The proposed alternative work schedule shall demonstrate that the Primary Operator will work at least 35 hours and at least four days each work week (as defined in 310 CMR 22.11B(2)(a)1.) at the Treatment Facility to ensure its safe and proper operation.</w:t>
      </w:r>
    </w:p>
    <w:p w14:paraId="281A050A" w14:textId="77777777" w:rsidR="004647B9" w:rsidRPr="00AA6196" w:rsidRDefault="00E2436F" w:rsidP="00966348">
      <w:pPr>
        <w:numPr>
          <w:ilvl w:val="1"/>
          <w:numId w:val="422"/>
        </w:numPr>
        <w:tabs>
          <w:tab w:val="left" w:pos="2027"/>
        </w:tabs>
        <w:ind w:left="1560" w:hanging="5"/>
        <w:jc w:val="both"/>
        <w:rPr>
          <w:rFonts w:eastAsia="Times New Roman"/>
          <w:sz w:val="24"/>
          <w:szCs w:val="24"/>
        </w:rPr>
      </w:pPr>
      <w:r w:rsidRPr="00AA6196">
        <w:rPr>
          <w:rFonts w:eastAsia="Times New Roman"/>
          <w:sz w:val="24"/>
          <w:szCs w:val="24"/>
          <w:u w:val="single"/>
        </w:rPr>
        <w:t>Treatment - Secondary Operator</w:t>
      </w:r>
      <w:r w:rsidRPr="00AA6196">
        <w:rPr>
          <w:rFonts w:eastAsia="Times New Roman"/>
          <w:sz w:val="24"/>
          <w:szCs w:val="24"/>
        </w:rPr>
        <w:t>. A Public Water System utilizing treatment shall be operated, whenever the Treatment Facility is in operation, by a Secondary Operator (i.e., a Certified Operator who has a grade certificate not less than one grade lower than the classification of the Treatment Facility, as more fully defined in 310 CMR 22.02) who shall be:</w:t>
      </w:r>
    </w:p>
    <w:p w14:paraId="281A050C" w14:textId="77777777" w:rsidR="004647B9" w:rsidRPr="00AA6196" w:rsidRDefault="00E2436F" w:rsidP="00966348">
      <w:pPr>
        <w:numPr>
          <w:ilvl w:val="2"/>
          <w:numId w:val="422"/>
        </w:numPr>
        <w:tabs>
          <w:tab w:val="left" w:pos="2263"/>
        </w:tabs>
        <w:ind w:left="1920" w:hanging="5"/>
        <w:rPr>
          <w:rFonts w:eastAsia="Times New Roman"/>
          <w:sz w:val="24"/>
          <w:szCs w:val="24"/>
        </w:rPr>
      </w:pPr>
      <w:r w:rsidRPr="00AA6196">
        <w:rPr>
          <w:rFonts w:eastAsia="Times New Roman"/>
          <w:sz w:val="24"/>
          <w:szCs w:val="24"/>
        </w:rPr>
        <w:t>present at the Treatment Facility on all working shifts when the Primary Operator is not required to be present; and</w:t>
      </w:r>
    </w:p>
    <w:p w14:paraId="281A050D" w14:textId="77777777" w:rsidR="004647B9" w:rsidRPr="00AA6196" w:rsidRDefault="00E2436F" w:rsidP="00966348">
      <w:pPr>
        <w:numPr>
          <w:ilvl w:val="2"/>
          <w:numId w:val="422"/>
        </w:numPr>
        <w:tabs>
          <w:tab w:val="left" w:pos="2258"/>
        </w:tabs>
        <w:ind w:left="1920" w:hanging="5"/>
        <w:jc w:val="both"/>
        <w:rPr>
          <w:rFonts w:eastAsia="Times New Roman"/>
          <w:sz w:val="24"/>
          <w:szCs w:val="24"/>
        </w:rPr>
      </w:pPr>
      <w:r w:rsidRPr="00AA6196">
        <w:rPr>
          <w:rFonts w:eastAsia="Times New Roman"/>
          <w:sz w:val="24"/>
          <w:szCs w:val="24"/>
        </w:rPr>
        <w:t>present at the Treatment Facility during any working shift when a Primary Operator is required to be present in accordance to 310 CMR 22.11B(2)(a)1. or 2., but is temporarily absent.</w:t>
      </w:r>
    </w:p>
    <w:p w14:paraId="281A050F" w14:textId="77777777" w:rsidR="004647B9" w:rsidRPr="00AA6196" w:rsidRDefault="00E2436F" w:rsidP="00966348">
      <w:pPr>
        <w:numPr>
          <w:ilvl w:val="1"/>
          <w:numId w:val="422"/>
        </w:numPr>
        <w:tabs>
          <w:tab w:val="left" w:pos="2000"/>
        </w:tabs>
        <w:ind w:left="2000" w:hanging="445"/>
        <w:rPr>
          <w:rFonts w:eastAsia="Times New Roman"/>
          <w:sz w:val="24"/>
          <w:szCs w:val="24"/>
        </w:rPr>
      </w:pPr>
      <w:r w:rsidRPr="00AA6196">
        <w:rPr>
          <w:rFonts w:eastAsia="Times New Roman"/>
          <w:sz w:val="24"/>
          <w:szCs w:val="24"/>
          <w:u w:val="single"/>
        </w:rPr>
        <w:t>Distribution - Primary Operator</w:t>
      </w:r>
      <w:r w:rsidRPr="00AA6196">
        <w:rPr>
          <w:rFonts w:eastAsia="Times New Roman"/>
          <w:sz w:val="24"/>
          <w:szCs w:val="24"/>
        </w:rPr>
        <w:t>.</w:t>
      </w:r>
    </w:p>
    <w:p w14:paraId="281A0511" w14:textId="77777777" w:rsidR="004647B9" w:rsidRPr="00AA6196" w:rsidRDefault="00E2436F" w:rsidP="00966348">
      <w:pPr>
        <w:numPr>
          <w:ilvl w:val="2"/>
          <w:numId w:val="422"/>
        </w:numPr>
        <w:tabs>
          <w:tab w:val="left" w:pos="2218"/>
        </w:tabs>
        <w:ind w:left="1920" w:hanging="5"/>
        <w:jc w:val="both"/>
        <w:rPr>
          <w:rFonts w:eastAsia="Times New Roman"/>
          <w:sz w:val="24"/>
          <w:szCs w:val="24"/>
        </w:rPr>
      </w:pPr>
      <w:r w:rsidRPr="00AA6196">
        <w:rPr>
          <w:rFonts w:eastAsia="Times New Roman"/>
          <w:sz w:val="24"/>
          <w:szCs w:val="24"/>
        </w:rPr>
        <w:t>A Public Water System's Distribution System shall be operated by a Primary Operator (</w:t>
      </w:r>
      <w:r w:rsidRPr="00AA6196">
        <w:rPr>
          <w:rFonts w:eastAsia="Times New Roman"/>
          <w:i/>
          <w:iCs/>
          <w:sz w:val="24"/>
          <w:szCs w:val="24"/>
        </w:rPr>
        <w:t>i.e</w:t>
      </w:r>
      <w:r w:rsidRPr="00AA6196">
        <w:rPr>
          <w:rFonts w:eastAsia="Times New Roman"/>
          <w:sz w:val="24"/>
          <w:szCs w:val="24"/>
        </w:rPr>
        <w:t>., a Certified Operator who has a grade certificate at least equal to the class of the Distribution System, as more fully defined in 310 CMR 22.02) who, except for temporary absence, shall be:</w:t>
      </w:r>
    </w:p>
    <w:p w14:paraId="281A0512" w14:textId="77777777" w:rsidR="004647B9" w:rsidRPr="00AA6196" w:rsidRDefault="00E2436F" w:rsidP="00966348">
      <w:pPr>
        <w:numPr>
          <w:ilvl w:val="3"/>
          <w:numId w:val="422"/>
        </w:numPr>
        <w:tabs>
          <w:tab w:val="left" w:pos="2591"/>
        </w:tabs>
        <w:ind w:left="2280" w:hanging="5"/>
        <w:jc w:val="both"/>
        <w:rPr>
          <w:rFonts w:eastAsia="Times New Roman"/>
          <w:sz w:val="24"/>
          <w:szCs w:val="24"/>
        </w:rPr>
      </w:pPr>
      <w:r w:rsidRPr="00AA6196">
        <w:rPr>
          <w:rFonts w:eastAsia="Times New Roman"/>
          <w:sz w:val="24"/>
          <w:szCs w:val="24"/>
        </w:rPr>
        <w:t>present at the Distribution System at least one seven-hour working shift each day for five days during each work week (as defined in 310 CMR 22.11B(2)(a)1.); and</w:t>
      </w:r>
    </w:p>
    <w:p w14:paraId="281A0514" w14:textId="77777777" w:rsidR="004647B9" w:rsidRPr="00AA6196" w:rsidRDefault="00E2436F" w:rsidP="00966348">
      <w:pPr>
        <w:numPr>
          <w:ilvl w:val="3"/>
          <w:numId w:val="422"/>
        </w:numPr>
        <w:tabs>
          <w:tab w:val="left" w:pos="2712"/>
        </w:tabs>
        <w:ind w:left="2280" w:hanging="5"/>
        <w:rPr>
          <w:rFonts w:eastAsia="Times New Roman"/>
          <w:sz w:val="24"/>
          <w:szCs w:val="24"/>
        </w:rPr>
      </w:pPr>
      <w:r w:rsidRPr="00AA6196">
        <w:rPr>
          <w:rFonts w:eastAsia="Times New Roman"/>
          <w:sz w:val="24"/>
          <w:szCs w:val="24"/>
        </w:rPr>
        <w:t>available to respond in person to Emergencies with the Distribution System within one hour at all times when not present at the Distribution System.</w:t>
      </w:r>
    </w:p>
    <w:p w14:paraId="281A0515" w14:textId="77777777" w:rsidR="004647B9" w:rsidRDefault="004647B9" w:rsidP="00966348">
      <w:pPr>
        <w:sectPr w:rsidR="004647B9" w:rsidSect="00EF630C">
          <w:pgSz w:w="12240" w:h="20180"/>
          <w:pgMar w:top="708" w:right="1440" w:bottom="735" w:left="600" w:header="0" w:footer="0" w:gutter="0"/>
          <w:cols w:space="720"/>
        </w:sectPr>
      </w:pPr>
    </w:p>
    <w:p w14:paraId="281A0516" w14:textId="77777777" w:rsidR="004647B9" w:rsidRPr="00584FA1" w:rsidRDefault="00E2436F" w:rsidP="00584FA1">
      <w:pPr>
        <w:tabs>
          <w:tab w:val="left" w:pos="160"/>
        </w:tabs>
        <w:jc w:val="center"/>
        <w:rPr>
          <w:sz w:val="24"/>
          <w:szCs w:val="24"/>
        </w:rPr>
      </w:pPr>
      <w:bookmarkStart w:id="159" w:name="page161"/>
      <w:bookmarkEnd w:id="159"/>
      <w:r w:rsidRPr="00584FA1">
        <w:rPr>
          <w:rFonts w:eastAsia="Times New Roman"/>
          <w:sz w:val="24"/>
          <w:szCs w:val="24"/>
        </w:rPr>
        <w:lastRenderedPageBreak/>
        <w:t>310 CMR:</w:t>
      </w:r>
      <w:r w:rsidRPr="00584FA1">
        <w:rPr>
          <w:sz w:val="24"/>
          <w:szCs w:val="24"/>
        </w:rPr>
        <w:tab/>
      </w:r>
      <w:r w:rsidRPr="00584FA1">
        <w:rPr>
          <w:rFonts w:eastAsia="Times New Roman"/>
          <w:sz w:val="24"/>
          <w:szCs w:val="24"/>
        </w:rPr>
        <w:t>DEPARTMENT OF ENVIRONMENTAL PROTECTION</w:t>
      </w:r>
    </w:p>
    <w:p w14:paraId="281A0517" w14:textId="77777777" w:rsidR="004647B9" w:rsidRPr="00CD2F9A" w:rsidRDefault="004647B9" w:rsidP="00CD2F9A">
      <w:pPr>
        <w:rPr>
          <w:sz w:val="20"/>
          <w:szCs w:val="20"/>
        </w:rPr>
      </w:pPr>
    </w:p>
    <w:p w14:paraId="281A0518" w14:textId="77777777" w:rsidR="004647B9" w:rsidRPr="00CD2F9A" w:rsidRDefault="004647B9" w:rsidP="00CD2F9A">
      <w:pPr>
        <w:rPr>
          <w:sz w:val="20"/>
          <w:szCs w:val="20"/>
        </w:rPr>
      </w:pPr>
    </w:p>
    <w:p w14:paraId="281A0519" w14:textId="77777777" w:rsidR="004647B9" w:rsidRPr="00584FA1" w:rsidRDefault="00E2436F" w:rsidP="00CD2F9A">
      <w:pPr>
        <w:tabs>
          <w:tab w:val="left" w:pos="920"/>
        </w:tabs>
        <w:rPr>
          <w:sz w:val="24"/>
          <w:szCs w:val="24"/>
        </w:rPr>
      </w:pPr>
      <w:r w:rsidRPr="00584FA1">
        <w:rPr>
          <w:rFonts w:eastAsia="Times New Roman"/>
          <w:sz w:val="24"/>
          <w:szCs w:val="24"/>
        </w:rPr>
        <w:t>22.11B:</w:t>
      </w:r>
      <w:r w:rsidRPr="00584FA1">
        <w:rPr>
          <w:rFonts w:eastAsia="Times New Roman"/>
          <w:sz w:val="24"/>
          <w:szCs w:val="24"/>
        </w:rPr>
        <w:tab/>
        <w:t>continued</w:t>
      </w:r>
    </w:p>
    <w:p w14:paraId="281A051A" w14:textId="77777777" w:rsidR="004647B9" w:rsidRPr="00CD2F9A" w:rsidRDefault="004647B9" w:rsidP="00CD2F9A">
      <w:pPr>
        <w:rPr>
          <w:sz w:val="20"/>
          <w:szCs w:val="20"/>
        </w:rPr>
      </w:pPr>
    </w:p>
    <w:p w14:paraId="281A051B" w14:textId="77777777" w:rsidR="004647B9" w:rsidRPr="00584FA1" w:rsidRDefault="00E2436F" w:rsidP="00CD2F9A">
      <w:pPr>
        <w:numPr>
          <w:ilvl w:val="2"/>
          <w:numId w:val="423"/>
        </w:numPr>
        <w:tabs>
          <w:tab w:val="left" w:pos="2258"/>
        </w:tabs>
        <w:ind w:left="1920" w:hanging="5"/>
        <w:jc w:val="both"/>
        <w:rPr>
          <w:rFonts w:eastAsia="Times New Roman"/>
          <w:sz w:val="24"/>
          <w:szCs w:val="24"/>
        </w:rPr>
      </w:pPr>
      <w:r w:rsidRPr="00584FA1">
        <w:rPr>
          <w:rFonts w:eastAsia="Times New Roman"/>
          <w:sz w:val="24"/>
          <w:szCs w:val="24"/>
        </w:rPr>
        <w:t>A Supplier of Water may submit a written request for the Department to approve an alternative work schedule for the Primary Operator. The proposed alternative work schedule shall demonstrate that the Primary Operator will work at least 35 hours and at least four days each work week (as defined in 310 CMR 22.11B(2)(a)1.) at the Distribution System to ensure its safe and proper operation.</w:t>
      </w:r>
    </w:p>
    <w:p w14:paraId="281A051D" w14:textId="77777777" w:rsidR="004647B9" w:rsidRPr="00584FA1" w:rsidRDefault="00E2436F" w:rsidP="00CD2F9A">
      <w:pPr>
        <w:numPr>
          <w:ilvl w:val="1"/>
          <w:numId w:val="424"/>
        </w:numPr>
        <w:tabs>
          <w:tab w:val="left" w:pos="1990"/>
        </w:tabs>
        <w:ind w:left="1560" w:hanging="5"/>
        <w:jc w:val="both"/>
        <w:rPr>
          <w:rFonts w:eastAsia="Times New Roman"/>
          <w:sz w:val="24"/>
          <w:szCs w:val="24"/>
        </w:rPr>
      </w:pPr>
      <w:r w:rsidRPr="00584FA1">
        <w:rPr>
          <w:rFonts w:eastAsia="Times New Roman"/>
          <w:sz w:val="24"/>
          <w:szCs w:val="24"/>
          <w:u w:val="single"/>
        </w:rPr>
        <w:t>Distribution - Secondary Operator</w:t>
      </w:r>
      <w:r w:rsidRPr="00584FA1">
        <w:rPr>
          <w:rFonts w:eastAsia="Times New Roman"/>
          <w:sz w:val="24"/>
          <w:szCs w:val="24"/>
        </w:rPr>
        <w:t>. A Public Water System's Distribution System shall be operated by a Secondary Operator (</w:t>
      </w:r>
      <w:r w:rsidRPr="00584FA1">
        <w:rPr>
          <w:rFonts w:eastAsia="Times New Roman"/>
          <w:i/>
          <w:iCs/>
          <w:sz w:val="24"/>
          <w:szCs w:val="24"/>
        </w:rPr>
        <w:t>i.e.</w:t>
      </w:r>
      <w:r w:rsidRPr="00584FA1">
        <w:rPr>
          <w:rFonts w:eastAsia="Times New Roman"/>
          <w:sz w:val="24"/>
          <w:szCs w:val="24"/>
        </w:rPr>
        <w:t>, a Certified Operator who has a certification not less than one grade lower than the classification of the Distribution System, as more fully defined in 310 CMR 22.02) who shall be:</w:t>
      </w:r>
    </w:p>
    <w:p w14:paraId="281A051E" w14:textId="77777777" w:rsidR="004647B9" w:rsidRPr="00584FA1" w:rsidRDefault="00E2436F" w:rsidP="00CD2F9A">
      <w:pPr>
        <w:numPr>
          <w:ilvl w:val="2"/>
          <w:numId w:val="424"/>
        </w:numPr>
        <w:tabs>
          <w:tab w:val="left" w:pos="2270"/>
        </w:tabs>
        <w:ind w:left="1920" w:hanging="5"/>
        <w:rPr>
          <w:rFonts w:eastAsia="Times New Roman"/>
          <w:sz w:val="24"/>
          <w:szCs w:val="24"/>
        </w:rPr>
      </w:pPr>
      <w:r w:rsidRPr="00584FA1">
        <w:rPr>
          <w:rFonts w:eastAsia="Times New Roman"/>
          <w:sz w:val="24"/>
          <w:szCs w:val="24"/>
        </w:rPr>
        <w:t>present at the Distribution System on all working shifts when the Primary Operator is not required to be present; and</w:t>
      </w:r>
    </w:p>
    <w:p w14:paraId="281A051F" w14:textId="77777777" w:rsidR="004647B9" w:rsidRPr="00584FA1" w:rsidRDefault="00E2436F" w:rsidP="00CD2F9A">
      <w:pPr>
        <w:numPr>
          <w:ilvl w:val="2"/>
          <w:numId w:val="424"/>
        </w:numPr>
        <w:tabs>
          <w:tab w:val="left" w:pos="2230"/>
        </w:tabs>
        <w:ind w:left="1920" w:hanging="5"/>
        <w:jc w:val="both"/>
        <w:rPr>
          <w:rFonts w:eastAsia="Times New Roman"/>
          <w:sz w:val="24"/>
          <w:szCs w:val="24"/>
        </w:rPr>
      </w:pPr>
      <w:r w:rsidRPr="00584FA1">
        <w:rPr>
          <w:rFonts w:eastAsia="Times New Roman"/>
          <w:sz w:val="24"/>
          <w:szCs w:val="24"/>
        </w:rPr>
        <w:t>present at the Distribution System during any working shift when a Primary Operator is required to be present in accordance to 310 CMR 22.11B(2)(c)1. or 2., but is not present due to a temporary absence.</w:t>
      </w:r>
    </w:p>
    <w:p w14:paraId="281A0521" w14:textId="77777777" w:rsidR="004647B9" w:rsidRPr="00584FA1" w:rsidRDefault="00E2436F" w:rsidP="00CD2F9A">
      <w:pPr>
        <w:numPr>
          <w:ilvl w:val="1"/>
          <w:numId w:val="424"/>
        </w:numPr>
        <w:tabs>
          <w:tab w:val="left" w:pos="2000"/>
        </w:tabs>
        <w:ind w:left="2000" w:hanging="445"/>
        <w:rPr>
          <w:rFonts w:eastAsia="Times New Roman"/>
          <w:sz w:val="24"/>
          <w:szCs w:val="24"/>
        </w:rPr>
      </w:pPr>
      <w:r w:rsidRPr="00584FA1">
        <w:rPr>
          <w:rFonts w:eastAsia="Times New Roman"/>
          <w:sz w:val="24"/>
          <w:szCs w:val="24"/>
          <w:u w:val="single"/>
        </w:rPr>
        <w:t>Multiple Treatment Facilities</w:t>
      </w:r>
      <w:r w:rsidRPr="00584FA1">
        <w:rPr>
          <w:rFonts w:eastAsia="Times New Roman"/>
          <w:sz w:val="24"/>
          <w:szCs w:val="24"/>
        </w:rPr>
        <w:t>.</w:t>
      </w:r>
    </w:p>
    <w:p w14:paraId="281A0523" w14:textId="77777777" w:rsidR="004647B9" w:rsidRPr="00584FA1" w:rsidRDefault="00E2436F" w:rsidP="00CD2F9A">
      <w:pPr>
        <w:numPr>
          <w:ilvl w:val="2"/>
          <w:numId w:val="424"/>
        </w:numPr>
        <w:tabs>
          <w:tab w:val="left" w:pos="2244"/>
        </w:tabs>
        <w:ind w:left="1920" w:hanging="5"/>
        <w:jc w:val="both"/>
        <w:rPr>
          <w:rFonts w:eastAsia="Times New Roman"/>
          <w:sz w:val="24"/>
          <w:szCs w:val="24"/>
        </w:rPr>
      </w:pPr>
      <w:r w:rsidRPr="00584FA1">
        <w:rPr>
          <w:rFonts w:eastAsia="Times New Roman"/>
          <w:sz w:val="24"/>
          <w:szCs w:val="24"/>
        </w:rPr>
        <w:t>A Supplier of Water whose Public Water System is classified as Grade 1T or 2T and consists of multiple Treatment Facilities shall not be required to staff each Treatment Facility individually.</w:t>
      </w:r>
    </w:p>
    <w:p w14:paraId="281A0525" w14:textId="77777777" w:rsidR="004647B9" w:rsidRPr="00584FA1" w:rsidRDefault="00E2436F" w:rsidP="00CD2F9A">
      <w:pPr>
        <w:numPr>
          <w:ilvl w:val="2"/>
          <w:numId w:val="424"/>
        </w:numPr>
        <w:tabs>
          <w:tab w:val="left" w:pos="2251"/>
        </w:tabs>
        <w:ind w:left="1920" w:hanging="5"/>
        <w:jc w:val="both"/>
        <w:rPr>
          <w:rFonts w:eastAsia="Times New Roman"/>
          <w:sz w:val="24"/>
          <w:szCs w:val="24"/>
        </w:rPr>
      </w:pPr>
      <w:r w:rsidRPr="00584FA1">
        <w:rPr>
          <w:rFonts w:eastAsia="Times New Roman"/>
          <w:sz w:val="24"/>
          <w:szCs w:val="24"/>
        </w:rPr>
        <w:t>A Supplier of Water whose Public Water System is classified as Grade 3T or 4T and consists of multiple Grade 3 or 4 Treatment Facilities shall staff each facility individually, in accordance with its classification.</w:t>
      </w:r>
    </w:p>
    <w:p w14:paraId="281A0527" w14:textId="77777777" w:rsidR="004647B9" w:rsidRPr="00584FA1" w:rsidRDefault="00E2436F" w:rsidP="00CD2F9A">
      <w:pPr>
        <w:numPr>
          <w:ilvl w:val="2"/>
          <w:numId w:val="424"/>
        </w:numPr>
        <w:tabs>
          <w:tab w:val="left" w:pos="2251"/>
        </w:tabs>
        <w:ind w:left="1920" w:hanging="5"/>
        <w:jc w:val="both"/>
        <w:rPr>
          <w:rFonts w:eastAsia="Times New Roman"/>
          <w:sz w:val="24"/>
          <w:szCs w:val="24"/>
        </w:rPr>
      </w:pPr>
      <w:r w:rsidRPr="00584FA1">
        <w:rPr>
          <w:rFonts w:eastAsia="Times New Roman"/>
          <w:sz w:val="24"/>
          <w:szCs w:val="24"/>
        </w:rPr>
        <w:t>A Supplier of Water whose Public Water System is classified as Grade 3T or 4T and consists of a single Grade 3 or 4 Treatment Facility and one or more Grade 1 or 2 Treatment Facilities shall staff the higher grade Treatment Facility, but shall not be required to staff each lower grade Treatment Facility.</w:t>
      </w:r>
    </w:p>
    <w:p w14:paraId="281A0528" w14:textId="77777777" w:rsidR="004647B9" w:rsidRPr="00584FA1" w:rsidRDefault="00E2436F" w:rsidP="00CD2F9A">
      <w:pPr>
        <w:numPr>
          <w:ilvl w:val="1"/>
          <w:numId w:val="424"/>
        </w:numPr>
        <w:tabs>
          <w:tab w:val="left" w:pos="1963"/>
        </w:tabs>
        <w:ind w:left="1560" w:hanging="5"/>
        <w:jc w:val="both"/>
        <w:rPr>
          <w:rFonts w:eastAsia="Times New Roman"/>
          <w:sz w:val="24"/>
          <w:szCs w:val="24"/>
        </w:rPr>
      </w:pPr>
      <w:r w:rsidRPr="00584FA1">
        <w:rPr>
          <w:rFonts w:eastAsia="Times New Roman"/>
          <w:sz w:val="24"/>
          <w:szCs w:val="24"/>
        </w:rPr>
        <w:t>Staffing and Comprehensive Operations Plan. A Supplier of Water, upon request from the Department, shall submit to the Department for review</w:t>
      </w:r>
      <w:r w:rsidRPr="00584FA1" w:rsidDel="007B206E">
        <w:rPr>
          <w:rFonts w:eastAsia="Times New Roman"/>
          <w:sz w:val="24"/>
          <w:szCs w:val="24"/>
        </w:rPr>
        <w:t xml:space="preserve"> </w:t>
      </w:r>
      <w:r w:rsidRPr="00584FA1">
        <w:rPr>
          <w:rFonts w:eastAsia="Times New Roman"/>
          <w:sz w:val="24"/>
          <w:szCs w:val="24"/>
        </w:rPr>
        <w:t>a "Staffing and Comprehensive Operations Plan" on a form provided by the Department and, if applicable, a Contract Operator Compliance Notice, demonstrating compliance with 310 CMR 22.11B(2).</w:t>
      </w:r>
    </w:p>
    <w:p w14:paraId="281A0529" w14:textId="77777777" w:rsidR="004647B9" w:rsidRPr="00584FA1" w:rsidRDefault="004647B9" w:rsidP="00CD2F9A">
      <w:pPr>
        <w:rPr>
          <w:rFonts w:eastAsia="Times New Roman"/>
          <w:sz w:val="24"/>
          <w:szCs w:val="24"/>
        </w:rPr>
      </w:pPr>
    </w:p>
    <w:p w14:paraId="281A052A" w14:textId="77777777" w:rsidR="004647B9" w:rsidRPr="00584FA1" w:rsidRDefault="00E2436F" w:rsidP="00CD2F9A">
      <w:pPr>
        <w:numPr>
          <w:ilvl w:val="0"/>
          <w:numId w:val="425"/>
        </w:numPr>
        <w:tabs>
          <w:tab w:val="left" w:pos="1638"/>
        </w:tabs>
        <w:ind w:left="1200"/>
        <w:jc w:val="both"/>
        <w:rPr>
          <w:rFonts w:eastAsia="Times New Roman"/>
          <w:sz w:val="24"/>
          <w:szCs w:val="24"/>
        </w:rPr>
      </w:pPr>
      <w:r w:rsidRPr="00584FA1">
        <w:rPr>
          <w:rFonts w:eastAsia="Times New Roman"/>
          <w:sz w:val="24"/>
          <w:szCs w:val="24"/>
          <w:u w:val="single"/>
        </w:rPr>
        <w:t>Primary and Secondary Operator Changes</w:t>
      </w:r>
      <w:r w:rsidRPr="00584FA1">
        <w:rPr>
          <w:rFonts w:eastAsia="Times New Roman"/>
          <w:sz w:val="24"/>
          <w:szCs w:val="24"/>
        </w:rPr>
        <w:t>. Except for periods of temporary absence of no more than 30 days, whenever a Supplier of Water changes a Certified Operator responsible for primary or secondary supervision under 310 CMR 22.11B(1),</w:t>
      </w:r>
    </w:p>
    <w:p w14:paraId="281A052C" w14:textId="77777777" w:rsidR="004647B9" w:rsidRPr="00584FA1" w:rsidRDefault="00E2436F" w:rsidP="00CD2F9A">
      <w:pPr>
        <w:numPr>
          <w:ilvl w:val="1"/>
          <w:numId w:val="425"/>
        </w:numPr>
        <w:tabs>
          <w:tab w:val="left" w:pos="2056"/>
        </w:tabs>
        <w:ind w:left="1560" w:hanging="5"/>
        <w:rPr>
          <w:rFonts w:eastAsia="Times New Roman"/>
          <w:sz w:val="24"/>
          <w:szCs w:val="24"/>
        </w:rPr>
      </w:pPr>
      <w:r w:rsidRPr="00584FA1">
        <w:rPr>
          <w:rFonts w:eastAsia="Times New Roman"/>
          <w:sz w:val="24"/>
          <w:szCs w:val="24"/>
        </w:rPr>
        <w:t>the Supplier of Water shall report the change to the Department within seven days, thereafter;</w:t>
      </w:r>
    </w:p>
    <w:p w14:paraId="281A052D" w14:textId="77777777" w:rsidR="004647B9" w:rsidRPr="00584FA1" w:rsidRDefault="00E2436F" w:rsidP="00CD2F9A">
      <w:pPr>
        <w:numPr>
          <w:ilvl w:val="1"/>
          <w:numId w:val="425"/>
        </w:numPr>
        <w:tabs>
          <w:tab w:val="left" w:pos="2026"/>
        </w:tabs>
        <w:ind w:left="1560" w:hanging="5"/>
        <w:jc w:val="both"/>
        <w:rPr>
          <w:rFonts w:eastAsia="Times New Roman"/>
          <w:sz w:val="24"/>
          <w:szCs w:val="24"/>
        </w:rPr>
      </w:pPr>
      <w:r w:rsidRPr="00584FA1">
        <w:rPr>
          <w:rFonts w:eastAsia="Times New Roman"/>
          <w:sz w:val="24"/>
          <w:szCs w:val="24"/>
        </w:rPr>
        <w:t>the Supplier of Water shall submit to the Department for review an updated "Staffing and Comprehensive Operations Plan" and, if applicable, a Contract Operator Compliance Notice, within 30 days of the change described in 310 CMR 22.11B(3)(a); and</w:t>
      </w:r>
    </w:p>
    <w:p w14:paraId="281A052F" w14:textId="77777777" w:rsidR="004647B9" w:rsidRPr="00584FA1" w:rsidRDefault="00E2436F" w:rsidP="00CD2F9A">
      <w:pPr>
        <w:numPr>
          <w:ilvl w:val="1"/>
          <w:numId w:val="425"/>
        </w:numPr>
        <w:tabs>
          <w:tab w:val="left" w:pos="2004"/>
        </w:tabs>
        <w:ind w:left="1560" w:hanging="5"/>
        <w:jc w:val="both"/>
        <w:rPr>
          <w:rFonts w:eastAsia="Times New Roman"/>
          <w:sz w:val="24"/>
          <w:szCs w:val="24"/>
        </w:rPr>
      </w:pPr>
      <w:r w:rsidRPr="00584FA1">
        <w:rPr>
          <w:rFonts w:eastAsia="Times New Roman"/>
          <w:sz w:val="24"/>
          <w:szCs w:val="24"/>
        </w:rPr>
        <w:t>the Supplier of Water shall obtain a replacement Primary or Secondary Operator(s) of appropriate grade no later than 30 days from the date the current operator(s) ceases to perform the Primary or Secondary Operator duties.</w:t>
      </w:r>
    </w:p>
    <w:p w14:paraId="281A0530" w14:textId="77777777" w:rsidR="004647B9" w:rsidRPr="00584FA1" w:rsidRDefault="004647B9" w:rsidP="00CD2F9A">
      <w:pPr>
        <w:rPr>
          <w:rFonts w:eastAsia="Times New Roman"/>
          <w:sz w:val="24"/>
          <w:szCs w:val="24"/>
        </w:rPr>
      </w:pPr>
    </w:p>
    <w:p w14:paraId="281A0531" w14:textId="77777777" w:rsidR="004647B9" w:rsidRPr="00584FA1" w:rsidRDefault="00E2436F" w:rsidP="00CD2F9A">
      <w:pPr>
        <w:numPr>
          <w:ilvl w:val="0"/>
          <w:numId w:val="425"/>
        </w:numPr>
        <w:tabs>
          <w:tab w:val="left" w:pos="1606"/>
        </w:tabs>
        <w:ind w:left="1200"/>
        <w:jc w:val="both"/>
        <w:rPr>
          <w:rFonts w:eastAsia="Times New Roman"/>
          <w:sz w:val="24"/>
          <w:szCs w:val="24"/>
        </w:rPr>
      </w:pPr>
      <w:r w:rsidRPr="00584FA1">
        <w:rPr>
          <w:rFonts w:eastAsia="Times New Roman"/>
          <w:sz w:val="24"/>
          <w:szCs w:val="24"/>
          <w:u w:val="single"/>
        </w:rPr>
        <w:t>Classification of Public Water Systems</w:t>
      </w:r>
      <w:r w:rsidRPr="00584FA1">
        <w:rPr>
          <w:rFonts w:eastAsia="Times New Roman"/>
          <w:sz w:val="24"/>
          <w:szCs w:val="24"/>
        </w:rPr>
        <w:t>. A Public Water System's Distribution System shall be classified in accordance with 310 CMR 22.11B(4)(c) and its Treatment Facilities, if any, shall be classified in accordance with 310 CMR 22.11B(4)(a). However, if the Public Water System is a free standing vending machine, it shall be classified instead in accordance with 310 CMR 22.11B(4)(b) or (d), as applicable. The overall classification of each Public Water System shall be indicated by the classification of its Distribution System followed by the numerically highest class of its Treatment Facilities, if any (</w:t>
      </w:r>
      <w:r w:rsidRPr="00584FA1">
        <w:rPr>
          <w:rFonts w:eastAsia="Times New Roman"/>
          <w:i/>
          <w:iCs/>
          <w:sz w:val="24"/>
          <w:szCs w:val="24"/>
        </w:rPr>
        <w:t>e.g</w:t>
      </w:r>
      <w:r w:rsidRPr="00584FA1">
        <w:rPr>
          <w:rFonts w:eastAsia="Times New Roman"/>
          <w:sz w:val="24"/>
          <w:szCs w:val="24"/>
        </w:rPr>
        <w:t>., III-D/II-T) or its vending classification (</w:t>
      </w:r>
      <w:r w:rsidRPr="00584FA1">
        <w:rPr>
          <w:rFonts w:eastAsia="Times New Roman"/>
          <w:i/>
          <w:iCs/>
          <w:sz w:val="24"/>
          <w:szCs w:val="24"/>
        </w:rPr>
        <w:t>e.g</w:t>
      </w:r>
      <w:r w:rsidRPr="00584FA1">
        <w:rPr>
          <w:rFonts w:eastAsia="Times New Roman"/>
          <w:sz w:val="24"/>
          <w:szCs w:val="24"/>
        </w:rPr>
        <w:t xml:space="preserve">., II-VNDT). The increasing numerical class indicates an increasing complexity of operation and a higher level of training, knowledge, and experience required for operation. The certification grades for operators established in 236 CMR 3.02: </w:t>
      </w:r>
      <w:r w:rsidRPr="00584FA1">
        <w:rPr>
          <w:rFonts w:eastAsia="Times New Roman"/>
          <w:i/>
          <w:iCs/>
          <w:sz w:val="24"/>
          <w:szCs w:val="24"/>
        </w:rPr>
        <w:t>Classification of Public Water System</w:t>
      </w:r>
      <w:r w:rsidRPr="00584FA1">
        <w:rPr>
          <w:rFonts w:eastAsia="Times New Roman"/>
          <w:sz w:val="24"/>
          <w:szCs w:val="24"/>
        </w:rPr>
        <w:t xml:space="preserve"> </w:t>
      </w:r>
      <w:r w:rsidRPr="00584FA1">
        <w:rPr>
          <w:rFonts w:eastAsia="Times New Roman"/>
          <w:i/>
          <w:iCs/>
          <w:sz w:val="24"/>
          <w:szCs w:val="24"/>
        </w:rPr>
        <w:t>Operators</w:t>
      </w:r>
      <w:r w:rsidRPr="00584FA1">
        <w:rPr>
          <w:rFonts w:eastAsia="Times New Roman"/>
          <w:sz w:val="24"/>
          <w:szCs w:val="24"/>
        </w:rPr>
        <w:t>, shall correspond to the classification of the system as required under 310 CMR</w:t>
      </w:r>
      <w:r w:rsidRPr="00584FA1">
        <w:rPr>
          <w:rFonts w:eastAsia="Times New Roman"/>
          <w:i/>
          <w:iCs/>
          <w:sz w:val="24"/>
          <w:szCs w:val="24"/>
        </w:rPr>
        <w:t xml:space="preserve"> </w:t>
      </w:r>
      <w:r w:rsidRPr="00584FA1">
        <w:rPr>
          <w:rFonts w:eastAsia="Times New Roman"/>
          <w:sz w:val="24"/>
          <w:szCs w:val="24"/>
        </w:rPr>
        <w:t>22.11B(4). The Department shall make the final determination of all such classifications.</w:t>
      </w:r>
    </w:p>
    <w:p w14:paraId="281A0533" w14:textId="25B166C6" w:rsidR="00432623" w:rsidRPr="00584FA1" w:rsidRDefault="00E2436F" w:rsidP="00CD2F9A">
      <w:pPr>
        <w:numPr>
          <w:ilvl w:val="1"/>
          <w:numId w:val="425"/>
        </w:numPr>
        <w:tabs>
          <w:tab w:val="left" w:pos="1961"/>
        </w:tabs>
        <w:ind w:left="1560" w:hanging="5"/>
        <w:jc w:val="both"/>
        <w:rPr>
          <w:rFonts w:eastAsia="Times New Roman"/>
          <w:sz w:val="24"/>
          <w:szCs w:val="24"/>
        </w:rPr>
      </w:pPr>
      <w:r w:rsidRPr="00584FA1">
        <w:rPr>
          <w:rFonts w:eastAsia="Times New Roman"/>
          <w:sz w:val="24"/>
          <w:szCs w:val="24"/>
          <w:u w:val="single"/>
        </w:rPr>
        <w:t>Rating Treatment Facilities</w:t>
      </w:r>
      <w:r w:rsidRPr="00584FA1">
        <w:rPr>
          <w:rFonts w:eastAsia="Times New Roman"/>
          <w:sz w:val="24"/>
          <w:szCs w:val="24"/>
        </w:rPr>
        <w:t xml:space="preserve">. The class of each Treatment Facility within a Public Water System shall be established by adding together all rating values reflecting the complexity of operation for such Treatment Facility's treatment units, as set forth in 310 CMR 22.11B: </w:t>
      </w:r>
      <w:r w:rsidRPr="00584FA1">
        <w:rPr>
          <w:rFonts w:eastAsia="Times New Roman"/>
          <w:i/>
          <w:iCs/>
          <w:sz w:val="24"/>
          <w:szCs w:val="24"/>
        </w:rPr>
        <w:t>Table 1. Treatment Unit Rating Values</w:t>
      </w:r>
      <w:r w:rsidRPr="00584FA1">
        <w:rPr>
          <w:rFonts w:eastAsia="Times New Roman"/>
          <w:sz w:val="24"/>
          <w:szCs w:val="24"/>
        </w:rPr>
        <w:t>.</w:t>
      </w:r>
    </w:p>
    <w:p w14:paraId="21C08D8D" w14:textId="77777777" w:rsidR="00432623" w:rsidRDefault="00432623" w:rsidP="00CD2F9A">
      <w:pPr>
        <w:rPr>
          <w:rFonts w:eastAsia="Times New Roman"/>
          <w:sz w:val="24"/>
          <w:szCs w:val="24"/>
        </w:rPr>
      </w:pPr>
      <w:r>
        <w:rPr>
          <w:rFonts w:eastAsia="Times New Roman"/>
          <w:sz w:val="24"/>
          <w:szCs w:val="24"/>
        </w:rPr>
        <w:br w:type="page"/>
      </w:r>
    </w:p>
    <w:p w14:paraId="281A0534" w14:textId="77777777" w:rsidR="004647B9" w:rsidRDefault="004647B9" w:rsidP="00CD2F9A">
      <w:pPr>
        <w:sectPr w:rsidR="004647B9" w:rsidSect="00EF630C">
          <w:pgSz w:w="12240" w:h="20180"/>
          <w:pgMar w:top="708" w:right="1440" w:bottom="1440" w:left="600" w:header="0" w:footer="0" w:gutter="0"/>
          <w:cols w:space="720"/>
        </w:sectPr>
      </w:pPr>
    </w:p>
    <w:p w14:paraId="281A0535" w14:textId="77777777" w:rsidR="004647B9" w:rsidRDefault="00E2436F">
      <w:pPr>
        <w:tabs>
          <w:tab w:val="left" w:pos="2860"/>
        </w:tabs>
        <w:ind w:left="1680"/>
        <w:rPr>
          <w:sz w:val="20"/>
          <w:szCs w:val="20"/>
        </w:rPr>
      </w:pPr>
      <w:bookmarkStart w:id="160" w:name="page162"/>
      <w:bookmarkEnd w:id="16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536" w14:textId="77777777" w:rsidR="004647B9" w:rsidRDefault="004647B9" w:rsidP="00CD2F9A">
      <w:pPr>
        <w:rPr>
          <w:sz w:val="20"/>
          <w:szCs w:val="20"/>
        </w:rPr>
      </w:pPr>
    </w:p>
    <w:p w14:paraId="281A0537" w14:textId="77777777" w:rsidR="004647B9" w:rsidRDefault="004647B9" w:rsidP="00CD2F9A">
      <w:pPr>
        <w:rPr>
          <w:sz w:val="20"/>
          <w:szCs w:val="20"/>
        </w:rPr>
      </w:pPr>
    </w:p>
    <w:p w14:paraId="281A0538" w14:textId="77777777" w:rsidR="004647B9" w:rsidRPr="00CD2F9A" w:rsidRDefault="00E2436F" w:rsidP="00CD2F9A">
      <w:pPr>
        <w:tabs>
          <w:tab w:val="left" w:pos="920"/>
        </w:tabs>
        <w:rPr>
          <w:sz w:val="24"/>
          <w:szCs w:val="24"/>
        </w:rPr>
      </w:pPr>
      <w:r w:rsidRPr="00CD2F9A">
        <w:rPr>
          <w:rFonts w:eastAsia="Times New Roman"/>
          <w:sz w:val="24"/>
          <w:szCs w:val="24"/>
        </w:rPr>
        <w:t>22.11B:</w:t>
      </w:r>
      <w:r w:rsidRPr="00CD2F9A">
        <w:rPr>
          <w:rFonts w:eastAsia="Times New Roman"/>
          <w:sz w:val="24"/>
          <w:szCs w:val="24"/>
        </w:rPr>
        <w:tab/>
        <w:t>continued</w:t>
      </w:r>
    </w:p>
    <w:p w14:paraId="281A0539" w14:textId="77777777" w:rsidR="004647B9" w:rsidRDefault="004647B9" w:rsidP="00CD2F9A">
      <w:pPr>
        <w:rPr>
          <w:sz w:val="20"/>
          <w:szCs w:val="20"/>
        </w:rPr>
      </w:pPr>
    </w:p>
    <w:p w14:paraId="281A053A" w14:textId="77777777" w:rsidR="004647B9" w:rsidRDefault="00E2436F" w:rsidP="00CD2F9A">
      <w:pPr>
        <w:jc w:val="center"/>
        <w:rPr>
          <w:sz w:val="20"/>
          <w:szCs w:val="20"/>
        </w:rPr>
      </w:pPr>
      <w:r>
        <w:rPr>
          <w:rFonts w:eastAsia="Times New Roman"/>
          <w:sz w:val="24"/>
          <w:szCs w:val="24"/>
        </w:rPr>
        <w:t xml:space="preserve">310 CMR 22.11B:  </w:t>
      </w:r>
      <w:r>
        <w:rPr>
          <w:rFonts w:eastAsia="Times New Roman"/>
          <w:i/>
          <w:iCs/>
          <w:sz w:val="24"/>
          <w:szCs w:val="24"/>
        </w:rPr>
        <w:t>TABLE 1</w:t>
      </w:r>
    </w:p>
    <w:p w14:paraId="281A053C" w14:textId="77777777" w:rsidR="004647B9" w:rsidRDefault="00E2436F" w:rsidP="00CD2F9A">
      <w:pPr>
        <w:jc w:val="center"/>
        <w:rPr>
          <w:sz w:val="20"/>
          <w:szCs w:val="20"/>
        </w:rPr>
      </w:pPr>
      <w:r>
        <w:rPr>
          <w:rFonts w:eastAsia="Times New Roman"/>
          <w:sz w:val="24"/>
          <w:szCs w:val="24"/>
        </w:rPr>
        <w:t>TREATMENT UNIT RATING VALUES</w:t>
      </w:r>
    </w:p>
    <w:p w14:paraId="281A053F" w14:textId="77777777" w:rsidR="004647B9" w:rsidRDefault="004647B9" w:rsidP="00CD2F9A">
      <w:pPr>
        <w:rPr>
          <w:sz w:val="20"/>
          <w:szCs w:val="20"/>
        </w:rPr>
      </w:pPr>
    </w:p>
    <w:tbl>
      <w:tblPr>
        <w:tblStyle w:val="TableGrid"/>
        <w:tblW w:w="0" w:type="auto"/>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16"/>
        <w:gridCol w:w="1644"/>
      </w:tblGrid>
      <w:tr w:rsidR="00EF6F6D" w14:paraId="0CC28A07" w14:textId="77777777" w:rsidTr="00CD5E9C">
        <w:tc>
          <w:tcPr>
            <w:tcW w:w="8425" w:type="dxa"/>
            <w:vAlign w:val="center"/>
          </w:tcPr>
          <w:p w14:paraId="65E1F78A" w14:textId="26785A12" w:rsidR="00EF6F6D" w:rsidRPr="00EF6F6D" w:rsidRDefault="00EF6F6D" w:rsidP="00CD5E9C">
            <w:pPr>
              <w:spacing w:line="360" w:lineRule="auto"/>
              <w:ind w:left="120"/>
              <w:rPr>
                <w:sz w:val="20"/>
                <w:szCs w:val="20"/>
              </w:rPr>
            </w:pPr>
            <w:r>
              <w:rPr>
                <w:rFonts w:eastAsia="Times New Roman"/>
                <w:b/>
                <w:bCs/>
                <w:sz w:val="18"/>
                <w:szCs w:val="18"/>
              </w:rPr>
              <w:t>Item</w:t>
            </w:r>
          </w:p>
        </w:tc>
        <w:tc>
          <w:tcPr>
            <w:tcW w:w="1645" w:type="dxa"/>
            <w:vAlign w:val="center"/>
          </w:tcPr>
          <w:p w14:paraId="51452003" w14:textId="77777777" w:rsidR="00A34B5B" w:rsidRDefault="00A34B5B" w:rsidP="0012032B">
            <w:pPr>
              <w:spacing w:line="360" w:lineRule="auto"/>
              <w:rPr>
                <w:sz w:val="20"/>
                <w:szCs w:val="20"/>
              </w:rPr>
            </w:pPr>
            <w:r>
              <w:rPr>
                <w:rFonts w:eastAsia="Times New Roman"/>
                <w:b/>
                <w:bCs/>
                <w:sz w:val="18"/>
                <w:szCs w:val="18"/>
              </w:rPr>
              <w:t>Points</w:t>
            </w:r>
          </w:p>
          <w:p w14:paraId="28E24D77" w14:textId="383FCF5B" w:rsidR="00EF6F6D" w:rsidRPr="00A34B5B" w:rsidRDefault="00A34B5B" w:rsidP="0012032B">
            <w:pPr>
              <w:spacing w:line="360" w:lineRule="auto"/>
              <w:rPr>
                <w:sz w:val="20"/>
                <w:szCs w:val="20"/>
              </w:rPr>
            </w:pPr>
            <w:r>
              <w:rPr>
                <w:rFonts w:eastAsia="Times New Roman"/>
                <w:b/>
                <w:bCs/>
                <w:sz w:val="18"/>
                <w:szCs w:val="18"/>
              </w:rPr>
              <w:t>Possible</w:t>
            </w:r>
          </w:p>
        </w:tc>
      </w:tr>
      <w:tr w:rsidR="00BD1E31" w14:paraId="5D94F2A4" w14:textId="77777777" w:rsidTr="00CD5E9C">
        <w:tc>
          <w:tcPr>
            <w:tcW w:w="10070" w:type="dxa"/>
            <w:gridSpan w:val="2"/>
          </w:tcPr>
          <w:p w14:paraId="13E1EEDB" w14:textId="4541D820" w:rsidR="00BD1E31" w:rsidRDefault="00BD1E31" w:rsidP="00861E7E">
            <w:pPr>
              <w:spacing w:line="360" w:lineRule="auto"/>
              <w:rPr>
                <w:rFonts w:eastAsia="Times New Roman"/>
                <w:b/>
                <w:bCs/>
                <w:sz w:val="18"/>
                <w:szCs w:val="18"/>
              </w:rPr>
            </w:pPr>
            <w:r>
              <w:rPr>
                <w:rFonts w:eastAsia="Times New Roman"/>
                <w:b/>
                <w:bCs/>
                <w:sz w:val="18"/>
                <w:szCs w:val="18"/>
              </w:rPr>
              <w:t>Size (20 points maximum allowed)</w:t>
            </w:r>
          </w:p>
        </w:tc>
      </w:tr>
      <w:tr w:rsidR="00EF6F6D" w14:paraId="713D1410" w14:textId="77777777" w:rsidTr="00CD5E9C">
        <w:tc>
          <w:tcPr>
            <w:tcW w:w="8425" w:type="dxa"/>
          </w:tcPr>
          <w:p w14:paraId="4C69946D" w14:textId="77777777" w:rsidR="00EF6F6D" w:rsidRDefault="00EF6F6D" w:rsidP="00861E7E">
            <w:pPr>
              <w:spacing w:line="360" w:lineRule="auto"/>
              <w:ind w:left="120"/>
              <w:rPr>
                <w:sz w:val="20"/>
                <w:szCs w:val="20"/>
              </w:rPr>
            </w:pPr>
            <w:r>
              <w:rPr>
                <w:rFonts w:eastAsia="Times New Roman"/>
                <w:sz w:val="18"/>
                <w:szCs w:val="18"/>
              </w:rPr>
              <w:t>Design flow average day, or peak month's average day, whichever is larger (1 point per 0.5 MGD. Round up.) Design flow: Consider this to be the design capacity of the plant.</w:t>
            </w:r>
          </w:p>
          <w:p w14:paraId="362D686D" w14:textId="44995371" w:rsidR="00EF6F6D" w:rsidDel="007B206E" w:rsidRDefault="00EF6F6D" w:rsidP="00861E7E">
            <w:pPr>
              <w:tabs>
                <w:tab w:val="left" w:pos="1300"/>
                <w:tab w:val="left" w:pos="3580"/>
              </w:tabs>
              <w:spacing w:line="360" w:lineRule="auto"/>
              <w:ind w:left="120"/>
              <w:rPr>
                <w:rFonts w:eastAsia="Times New Roman"/>
                <w:b/>
                <w:bCs/>
                <w:sz w:val="18"/>
                <w:szCs w:val="18"/>
              </w:rPr>
            </w:pPr>
            <w:r>
              <w:rPr>
                <w:rFonts w:eastAsia="Times New Roman"/>
                <w:sz w:val="18"/>
                <w:szCs w:val="18"/>
              </w:rPr>
              <w:t>Examples:</w:t>
            </w:r>
            <w:r>
              <w:rPr>
                <w:sz w:val="20"/>
                <w:szCs w:val="20"/>
              </w:rPr>
              <w:tab/>
            </w:r>
            <w:r>
              <w:rPr>
                <w:rFonts w:eastAsia="Times New Roman"/>
                <w:sz w:val="18"/>
                <w:szCs w:val="18"/>
              </w:rPr>
              <w:t>9.2 MGD = 19 points</w:t>
            </w:r>
            <w:r>
              <w:rPr>
                <w:sz w:val="20"/>
                <w:szCs w:val="20"/>
              </w:rPr>
              <w:tab/>
            </w:r>
            <w:r>
              <w:rPr>
                <w:rFonts w:eastAsia="Times New Roman"/>
                <w:sz w:val="18"/>
                <w:szCs w:val="18"/>
              </w:rPr>
              <w:t>4.7 MGD = 10 points</w:t>
            </w:r>
          </w:p>
        </w:tc>
        <w:tc>
          <w:tcPr>
            <w:tcW w:w="1645" w:type="dxa"/>
            <w:vAlign w:val="center"/>
          </w:tcPr>
          <w:p w14:paraId="070BF831" w14:textId="6D538FAD" w:rsidR="00EF6F6D" w:rsidRPr="00A34B5B" w:rsidRDefault="00A34B5B" w:rsidP="002618EB">
            <w:pPr>
              <w:jc w:val="center"/>
              <w:rPr>
                <w:sz w:val="20"/>
                <w:szCs w:val="20"/>
              </w:rPr>
            </w:pPr>
            <w:r>
              <w:rPr>
                <w:rFonts w:eastAsia="Times New Roman"/>
                <w:sz w:val="18"/>
                <w:szCs w:val="18"/>
              </w:rPr>
              <w:t>1 - 20</w:t>
            </w:r>
          </w:p>
        </w:tc>
      </w:tr>
      <w:tr w:rsidR="00BD1E31" w14:paraId="19F2AAB3" w14:textId="77777777" w:rsidTr="00CD5E9C">
        <w:tc>
          <w:tcPr>
            <w:tcW w:w="10070" w:type="dxa"/>
            <w:gridSpan w:val="2"/>
          </w:tcPr>
          <w:p w14:paraId="2503B2E4" w14:textId="0615D12F" w:rsidR="00BD1E31" w:rsidRDefault="00BD1E31" w:rsidP="00861E7E">
            <w:pPr>
              <w:spacing w:line="360" w:lineRule="auto"/>
              <w:rPr>
                <w:rFonts w:eastAsia="Times New Roman"/>
                <w:b/>
                <w:bCs/>
                <w:sz w:val="18"/>
                <w:szCs w:val="18"/>
              </w:rPr>
            </w:pPr>
            <w:r>
              <w:rPr>
                <w:rFonts w:eastAsia="Times New Roman"/>
                <w:b/>
                <w:bCs/>
                <w:sz w:val="18"/>
                <w:szCs w:val="18"/>
              </w:rPr>
              <w:t>Water Supply Sources (Rating based on public health significance</w:t>
            </w:r>
            <w:r>
              <w:rPr>
                <w:rFonts w:eastAsia="Times New Roman"/>
                <w:sz w:val="18"/>
                <w:szCs w:val="18"/>
              </w:rPr>
              <w:t>)</w:t>
            </w:r>
          </w:p>
        </w:tc>
      </w:tr>
      <w:tr w:rsidR="00EF6F6D" w14:paraId="3C84A232" w14:textId="77777777" w:rsidTr="00CD5E9C">
        <w:tc>
          <w:tcPr>
            <w:tcW w:w="8425" w:type="dxa"/>
          </w:tcPr>
          <w:p w14:paraId="0D8B4EA7" w14:textId="5985CF3A" w:rsidR="00EF6F6D" w:rsidRPr="00A34B5B" w:rsidRDefault="00A34B5B" w:rsidP="00861E7E">
            <w:pPr>
              <w:spacing w:line="360" w:lineRule="auto"/>
              <w:ind w:left="480"/>
              <w:rPr>
                <w:sz w:val="20"/>
                <w:szCs w:val="20"/>
              </w:rPr>
            </w:pPr>
            <w:r>
              <w:rPr>
                <w:rFonts w:eastAsia="Times New Roman"/>
                <w:sz w:val="18"/>
                <w:szCs w:val="18"/>
              </w:rPr>
              <w:t>Seawater/saltwater</w:t>
            </w:r>
          </w:p>
        </w:tc>
        <w:tc>
          <w:tcPr>
            <w:tcW w:w="1645" w:type="dxa"/>
            <w:vAlign w:val="center"/>
          </w:tcPr>
          <w:p w14:paraId="345503EE" w14:textId="458E71E0" w:rsidR="00EF6F6D" w:rsidRPr="002618EB" w:rsidRDefault="002618EB" w:rsidP="002618EB">
            <w:pPr>
              <w:jc w:val="center"/>
              <w:rPr>
                <w:rFonts w:eastAsia="Times New Roman"/>
                <w:sz w:val="18"/>
                <w:szCs w:val="18"/>
              </w:rPr>
            </w:pPr>
            <w:r w:rsidRPr="002618EB">
              <w:rPr>
                <w:rFonts w:eastAsia="Times New Roman"/>
                <w:sz w:val="18"/>
                <w:szCs w:val="18"/>
              </w:rPr>
              <w:t>0</w:t>
            </w:r>
          </w:p>
        </w:tc>
      </w:tr>
      <w:tr w:rsidR="00EF6F6D" w14:paraId="69FC3EC2" w14:textId="77777777" w:rsidTr="00CD5E9C">
        <w:tc>
          <w:tcPr>
            <w:tcW w:w="8425" w:type="dxa"/>
          </w:tcPr>
          <w:p w14:paraId="474F1EBF" w14:textId="4B9F9E73" w:rsidR="00EF6F6D" w:rsidRDefault="00A34B5B" w:rsidP="00861E7E">
            <w:pPr>
              <w:spacing w:line="360" w:lineRule="auto"/>
              <w:ind w:left="480"/>
              <w:rPr>
                <w:rFonts w:eastAsia="Times New Roman"/>
                <w:b/>
                <w:bCs/>
                <w:sz w:val="18"/>
                <w:szCs w:val="18"/>
              </w:rPr>
            </w:pPr>
            <w:r>
              <w:rPr>
                <w:rFonts w:eastAsia="Times New Roman"/>
                <w:sz w:val="18"/>
                <w:szCs w:val="18"/>
              </w:rPr>
              <w:t>Groundwater</w:t>
            </w:r>
          </w:p>
        </w:tc>
        <w:tc>
          <w:tcPr>
            <w:tcW w:w="1645" w:type="dxa"/>
            <w:vAlign w:val="center"/>
          </w:tcPr>
          <w:p w14:paraId="415B6346" w14:textId="21025B54" w:rsidR="00EF6F6D" w:rsidRPr="002618EB" w:rsidRDefault="002618EB" w:rsidP="002618EB">
            <w:pPr>
              <w:jc w:val="center"/>
              <w:rPr>
                <w:rFonts w:eastAsia="Times New Roman"/>
                <w:sz w:val="18"/>
                <w:szCs w:val="18"/>
              </w:rPr>
            </w:pPr>
            <w:r w:rsidRPr="002618EB">
              <w:rPr>
                <w:rFonts w:eastAsia="Times New Roman"/>
                <w:sz w:val="18"/>
                <w:szCs w:val="18"/>
              </w:rPr>
              <w:t>0</w:t>
            </w:r>
          </w:p>
        </w:tc>
      </w:tr>
      <w:tr w:rsidR="00EF6F6D" w14:paraId="196AD0FA" w14:textId="77777777" w:rsidTr="00CD5E9C">
        <w:tc>
          <w:tcPr>
            <w:tcW w:w="8425" w:type="dxa"/>
          </w:tcPr>
          <w:p w14:paraId="0D007983" w14:textId="3FEBF014" w:rsidR="00EF6F6D" w:rsidRPr="00A34B5B" w:rsidRDefault="00A34B5B" w:rsidP="00861E7E">
            <w:pPr>
              <w:spacing w:line="360" w:lineRule="auto"/>
              <w:ind w:left="480"/>
              <w:rPr>
                <w:sz w:val="20"/>
                <w:szCs w:val="20"/>
              </w:rPr>
            </w:pPr>
            <w:r>
              <w:rPr>
                <w:rFonts w:eastAsia="Times New Roman"/>
                <w:sz w:val="18"/>
                <w:szCs w:val="18"/>
              </w:rPr>
              <w:t>Groundwater Under Direct Influence of Surface Water (GWUDI)</w:t>
            </w:r>
          </w:p>
        </w:tc>
        <w:tc>
          <w:tcPr>
            <w:tcW w:w="1645" w:type="dxa"/>
            <w:vAlign w:val="center"/>
          </w:tcPr>
          <w:p w14:paraId="664252AE" w14:textId="72766EDE" w:rsidR="00EF6F6D" w:rsidRPr="002618EB" w:rsidRDefault="002618EB" w:rsidP="002618EB">
            <w:pPr>
              <w:jc w:val="center"/>
              <w:rPr>
                <w:rFonts w:eastAsia="Times New Roman"/>
                <w:sz w:val="18"/>
                <w:szCs w:val="18"/>
              </w:rPr>
            </w:pPr>
            <w:r w:rsidRPr="002618EB">
              <w:rPr>
                <w:rFonts w:eastAsia="Times New Roman"/>
                <w:sz w:val="18"/>
                <w:szCs w:val="18"/>
              </w:rPr>
              <w:t>8</w:t>
            </w:r>
          </w:p>
        </w:tc>
      </w:tr>
      <w:tr w:rsidR="00EF6F6D" w14:paraId="25205D03" w14:textId="77777777" w:rsidTr="00CD5E9C">
        <w:tc>
          <w:tcPr>
            <w:tcW w:w="8425" w:type="dxa"/>
          </w:tcPr>
          <w:p w14:paraId="31DFD2A6" w14:textId="61F57A08" w:rsidR="00EF6F6D" w:rsidRPr="00A34B5B" w:rsidRDefault="00A34B5B" w:rsidP="00861E7E">
            <w:pPr>
              <w:spacing w:line="360" w:lineRule="auto"/>
              <w:ind w:left="480"/>
              <w:rPr>
                <w:sz w:val="20"/>
                <w:szCs w:val="20"/>
              </w:rPr>
            </w:pPr>
            <w:r>
              <w:rPr>
                <w:rFonts w:eastAsia="Times New Roman"/>
                <w:sz w:val="18"/>
                <w:szCs w:val="18"/>
              </w:rPr>
              <w:t>Surface Water</w:t>
            </w:r>
          </w:p>
        </w:tc>
        <w:tc>
          <w:tcPr>
            <w:tcW w:w="1645" w:type="dxa"/>
            <w:vAlign w:val="center"/>
          </w:tcPr>
          <w:p w14:paraId="72A0FD3F" w14:textId="3846BA87" w:rsidR="00EF6F6D" w:rsidRPr="002618EB" w:rsidRDefault="002618EB" w:rsidP="002618EB">
            <w:pPr>
              <w:jc w:val="center"/>
              <w:rPr>
                <w:rFonts w:eastAsia="Times New Roman"/>
                <w:sz w:val="18"/>
                <w:szCs w:val="18"/>
              </w:rPr>
            </w:pPr>
            <w:r w:rsidRPr="002618EB">
              <w:rPr>
                <w:rFonts w:eastAsia="Times New Roman"/>
                <w:sz w:val="18"/>
                <w:szCs w:val="18"/>
              </w:rPr>
              <w:t>10</w:t>
            </w:r>
          </w:p>
        </w:tc>
      </w:tr>
      <w:tr w:rsidR="00A34B5B" w14:paraId="7D81999E" w14:textId="77777777" w:rsidTr="00CD5E9C">
        <w:tc>
          <w:tcPr>
            <w:tcW w:w="8425" w:type="dxa"/>
          </w:tcPr>
          <w:p w14:paraId="38AD99BB" w14:textId="5D880C6C" w:rsidR="00A34B5B" w:rsidRDefault="00A34B5B" w:rsidP="00861E7E">
            <w:pPr>
              <w:spacing w:line="360" w:lineRule="auto"/>
              <w:ind w:left="480" w:right="1360"/>
              <w:rPr>
                <w:sz w:val="20"/>
                <w:szCs w:val="20"/>
              </w:rPr>
            </w:pPr>
            <w:r>
              <w:rPr>
                <w:rFonts w:eastAsia="Times New Roman"/>
                <w:sz w:val="18"/>
                <w:szCs w:val="18"/>
              </w:rPr>
              <w:t>Average Raw Water Quality Variation - Applies to all sources (surface and groundwater) Key is the effect on treatment process changes that would be necessary to achieve optimized performance.</w:t>
            </w:r>
          </w:p>
          <w:p w14:paraId="59C1B439" w14:textId="77777777" w:rsidR="00A34B5B" w:rsidRDefault="00A34B5B" w:rsidP="00563A54">
            <w:pPr>
              <w:numPr>
                <w:ilvl w:val="0"/>
                <w:numId w:val="426"/>
              </w:numPr>
              <w:tabs>
                <w:tab w:val="left" w:pos="780"/>
              </w:tabs>
              <w:spacing w:line="360" w:lineRule="auto"/>
              <w:ind w:left="780" w:hanging="211"/>
              <w:rPr>
                <w:rFonts w:eastAsia="Times New Roman"/>
                <w:sz w:val="18"/>
                <w:szCs w:val="18"/>
              </w:rPr>
            </w:pPr>
            <w:r>
              <w:rPr>
                <w:rFonts w:eastAsia="Times New Roman"/>
                <w:sz w:val="18"/>
                <w:szCs w:val="18"/>
              </w:rPr>
              <w:t>Little or no variation - no treatment provided except Disinfection (0 points)</w:t>
            </w:r>
          </w:p>
          <w:p w14:paraId="685FD602" w14:textId="77777777" w:rsidR="00A34B5B" w:rsidRDefault="00A34B5B" w:rsidP="00563A54">
            <w:pPr>
              <w:numPr>
                <w:ilvl w:val="0"/>
                <w:numId w:val="426"/>
              </w:numPr>
              <w:tabs>
                <w:tab w:val="left" w:pos="780"/>
              </w:tabs>
              <w:spacing w:line="360" w:lineRule="auto"/>
              <w:ind w:left="780" w:hanging="211"/>
              <w:rPr>
                <w:rFonts w:eastAsia="Times New Roman"/>
                <w:sz w:val="18"/>
                <w:szCs w:val="18"/>
              </w:rPr>
            </w:pPr>
            <w:r>
              <w:rPr>
                <w:rFonts w:eastAsia="Times New Roman"/>
                <w:sz w:val="18"/>
                <w:szCs w:val="18"/>
              </w:rPr>
              <w:t xml:space="preserve">Minor variation - </w:t>
            </w:r>
            <w:r>
              <w:rPr>
                <w:rFonts w:eastAsia="Times New Roman"/>
                <w:i/>
                <w:iCs/>
                <w:sz w:val="18"/>
                <w:szCs w:val="18"/>
              </w:rPr>
              <w:t>e.</w:t>
            </w:r>
            <w:r w:rsidDel="007B206E">
              <w:rPr>
                <w:rFonts w:eastAsia="Times New Roman"/>
                <w:i/>
                <w:iCs/>
                <w:sz w:val="18"/>
                <w:szCs w:val="18"/>
              </w:rPr>
              <w:t>g</w:t>
            </w:r>
            <w:r>
              <w:rPr>
                <w:rFonts w:eastAsia="Times New Roman"/>
                <w:sz w:val="18"/>
                <w:szCs w:val="18"/>
              </w:rPr>
              <w:t>. "high quality" surface source appropriate for Slow Sand Filtration (1 point)</w:t>
            </w:r>
          </w:p>
          <w:p w14:paraId="447935EE" w14:textId="77777777" w:rsidR="00A34B5B" w:rsidRDefault="00A34B5B" w:rsidP="00563A54">
            <w:pPr>
              <w:numPr>
                <w:ilvl w:val="0"/>
                <w:numId w:val="426"/>
              </w:numPr>
              <w:tabs>
                <w:tab w:val="left" w:pos="799"/>
              </w:tabs>
              <w:spacing w:line="360" w:lineRule="auto"/>
              <w:ind w:left="780" w:right="100" w:hanging="211"/>
              <w:rPr>
                <w:rFonts w:eastAsia="Times New Roman"/>
                <w:sz w:val="18"/>
                <w:szCs w:val="18"/>
              </w:rPr>
            </w:pPr>
            <w:r>
              <w:rPr>
                <w:rFonts w:eastAsia="Times New Roman"/>
                <w:sz w:val="18"/>
                <w:szCs w:val="18"/>
              </w:rPr>
              <w:t>Moderate variation in chemical feed, dosage changes made: monthly (2 points), weekly (3 points), or daily (4 points)</w:t>
            </w:r>
          </w:p>
          <w:p w14:paraId="7916BBDB" w14:textId="77777777" w:rsidR="00A34B5B" w:rsidRDefault="00A34B5B" w:rsidP="00563A54">
            <w:pPr>
              <w:numPr>
                <w:ilvl w:val="0"/>
                <w:numId w:val="426"/>
              </w:numPr>
              <w:tabs>
                <w:tab w:val="left" w:pos="800"/>
              </w:tabs>
              <w:spacing w:line="360" w:lineRule="auto"/>
              <w:ind w:left="800" w:hanging="226"/>
              <w:rPr>
                <w:rFonts w:eastAsia="Times New Roman"/>
                <w:sz w:val="18"/>
                <w:szCs w:val="18"/>
              </w:rPr>
            </w:pPr>
            <w:r>
              <w:rPr>
                <w:rFonts w:eastAsia="Times New Roman"/>
                <w:sz w:val="18"/>
                <w:szCs w:val="18"/>
              </w:rPr>
              <w:t>Variation significant enough to require pronounced and/or very frequent changes (5 points)</w:t>
            </w:r>
          </w:p>
          <w:p w14:paraId="272A311C" w14:textId="42430186" w:rsidR="00A34B5B" w:rsidRDefault="00A34B5B" w:rsidP="00563A54">
            <w:pPr>
              <w:numPr>
                <w:ilvl w:val="0"/>
                <w:numId w:val="426"/>
              </w:numPr>
              <w:tabs>
                <w:tab w:val="left" w:pos="798"/>
              </w:tabs>
              <w:spacing w:line="360" w:lineRule="auto"/>
              <w:ind w:left="780" w:right="180" w:hanging="206"/>
              <w:rPr>
                <w:rFonts w:eastAsia="Times New Roman"/>
                <w:sz w:val="18"/>
                <w:szCs w:val="18"/>
              </w:rPr>
            </w:pPr>
            <w:r>
              <w:rPr>
                <w:rFonts w:eastAsia="Times New Roman"/>
                <w:sz w:val="18"/>
                <w:szCs w:val="18"/>
              </w:rPr>
              <w:t>Severe variation - source subject to non-point discharges, agricultural/ urban storm runoff, flooding (7 points)</w:t>
            </w:r>
          </w:p>
          <w:p w14:paraId="6A463CF0" w14:textId="1F9E5869" w:rsidR="00A34B5B" w:rsidRDefault="00A34B5B" w:rsidP="00563A54">
            <w:pPr>
              <w:numPr>
                <w:ilvl w:val="0"/>
                <w:numId w:val="426"/>
              </w:numPr>
              <w:tabs>
                <w:tab w:val="left" w:pos="800"/>
              </w:tabs>
              <w:spacing w:line="360" w:lineRule="auto"/>
              <w:ind w:left="800" w:hanging="226"/>
              <w:rPr>
                <w:rFonts w:eastAsia="Times New Roman"/>
                <w:sz w:val="18"/>
                <w:szCs w:val="18"/>
              </w:rPr>
            </w:pPr>
            <w:r>
              <w:rPr>
                <w:rFonts w:eastAsia="Times New Roman"/>
                <w:sz w:val="18"/>
                <w:szCs w:val="18"/>
              </w:rPr>
              <w:t>Raw Water quality subject to agricultural or municipal waste point source discharges (8 points)</w:t>
            </w:r>
          </w:p>
          <w:p w14:paraId="27A91D87" w14:textId="18B268BF" w:rsidR="00A34B5B" w:rsidRPr="00BD1E31" w:rsidDel="007B206E" w:rsidRDefault="00A34B5B" w:rsidP="00563A54">
            <w:pPr>
              <w:numPr>
                <w:ilvl w:val="0"/>
                <w:numId w:val="426"/>
              </w:numPr>
              <w:tabs>
                <w:tab w:val="left" w:pos="800"/>
              </w:tabs>
              <w:spacing w:line="360" w:lineRule="auto"/>
              <w:ind w:left="480"/>
              <w:rPr>
                <w:rFonts w:eastAsia="Times New Roman"/>
                <w:sz w:val="18"/>
                <w:szCs w:val="18"/>
              </w:rPr>
            </w:pPr>
            <w:r>
              <w:rPr>
                <w:rFonts w:eastAsia="Times New Roman"/>
                <w:sz w:val="18"/>
                <w:szCs w:val="18"/>
              </w:rPr>
              <w:t>Raw Water quality subject to industrial waste pollution (10 points)</w:t>
            </w:r>
          </w:p>
        </w:tc>
        <w:tc>
          <w:tcPr>
            <w:tcW w:w="1645" w:type="dxa"/>
            <w:vAlign w:val="center"/>
          </w:tcPr>
          <w:p w14:paraId="1DDE8ADA" w14:textId="37FCA971" w:rsidR="00A34B5B" w:rsidRPr="002618EB" w:rsidRDefault="002618EB" w:rsidP="002618EB">
            <w:pPr>
              <w:jc w:val="center"/>
              <w:rPr>
                <w:rFonts w:eastAsia="Times New Roman"/>
                <w:sz w:val="18"/>
                <w:szCs w:val="18"/>
              </w:rPr>
            </w:pPr>
            <w:r w:rsidRPr="002618EB">
              <w:rPr>
                <w:rFonts w:eastAsia="Times New Roman"/>
                <w:sz w:val="18"/>
                <w:szCs w:val="18"/>
              </w:rPr>
              <w:t>0 - 10</w:t>
            </w:r>
          </w:p>
        </w:tc>
      </w:tr>
      <w:tr w:rsidR="002618EB" w14:paraId="683E262D" w14:textId="77777777" w:rsidTr="00CD5E9C">
        <w:tc>
          <w:tcPr>
            <w:tcW w:w="10070" w:type="dxa"/>
            <w:gridSpan w:val="2"/>
          </w:tcPr>
          <w:p w14:paraId="4AD4FEC2" w14:textId="4FA5AA00" w:rsidR="002618EB" w:rsidRDefault="002618EB" w:rsidP="00861E7E">
            <w:pPr>
              <w:spacing w:line="360" w:lineRule="auto"/>
              <w:rPr>
                <w:rFonts w:eastAsia="Times New Roman"/>
                <w:b/>
                <w:bCs/>
                <w:sz w:val="18"/>
                <w:szCs w:val="18"/>
              </w:rPr>
            </w:pPr>
            <w:r>
              <w:rPr>
                <w:rFonts w:eastAsia="Times New Roman"/>
                <w:sz w:val="18"/>
                <w:szCs w:val="18"/>
              </w:rPr>
              <w:t>Raw Water quality is subject to:</w:t>
            </w:r>
          </w:p>
        </w:tc>
      </w:tr>
      <w:tr w:rsidR="00A34B5B" w14:paraId="7F416EE3" w14:textId="77777777" w:rsidTr="00CD5E9C">
        <w:tc>
          <w:tcPr>
            <w:tcW w:w="8425" w:type="dxa"/>
          </w:tcPr>
          <w:p w14:paraId="252BBE56" w14:textId="355BDE30" w:rsidR="00A34B5B" w:rsidRDefault="00BD1E31" w:rsidP="00563A54">
            <w:pPr>
              <w:numPr>
                <w:ilvl w:val="0"/>
                <w:numId w:val="427"/>
              </w:numPr>
              <w:tabs>
                <w:tab w:val="left" w:pos="780"/>
              </w:tabs>
              <w:spacing w:line="360" w:lineRule="auto"/>
              <w:rPr>
                <w:rFonts w:eastAsia="Times New Roman"/>
                <w:sz w:val="18"/>
                <w:szCs w:val="18"/>
              </w:rPr>
            </w:pPr>
            <w:r>
              <w:rPr>
                <w:rFonts w:eastAsia="Times New Roman"/>
                <w:sz w:val="18"/>
                <w:szCs w:val="18"/>
              </w:rPr>
              <w:t xml:space="preserve">Taste and/or odor for which treatment process adjustments are routinely made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exceptions in Note 1 at end of table</w:t>
            </w:r>
          </w:p>
        </w:tc>
        <w:tc>
          <w:tcPr>
            <w:tcW w:w="1645" w:type="dxa"/>
            <w:vAlign w:val="center"/>
          </w:tcPr>
          <w:p w14:paraId="1A31B034" w14:textId="19EAF2C2" w:rsidR="00A34B5B" w:rsidRPr="002618EB" w:rsidRDefault="002618EB" w:rsidP="002618EB">
            <w:pPr>
              <w:jc w:val="center"/>
              <w:rPr>
                <w:rFonts w:eastAsia="Times New Roman"/>
                <w:sz w:val="18"/>
                <w:szCs w:val="18"/>
              </w:rPr>
            </w:pPr>
            <w:r w:rsidRPr="002618EB">
              <w:rPr>
                <w:rFonts w:eastAsia="Times New Roman"/>
                <w:sz w:val="18"/>
                <w:szCs w:val="18"/>
              </w:rPr>
              <w:t>2</w:t>
            </w:r>
          </w:p>
        </w:tc>
      </w:tr>
      <w:tr w:rsidR="00A34B5B" w14:paraId="19F84E94" w14:textId="77777777" w:rsidTr="00CD5E9C">
        <w:tc>
          <w:tcPr>
            <w:tcW w:w="8425" w:type="dxa"/>
          </w:tcPr>
          <w:p w14:paraId="6740E4B9" w14:textId="74A100AA" w:rsidR="00A34B5B" w:rsidRPr="00BD1E31" w:rsidRDefault="00BD1E31" w:rsidP="00563A54">
            <w:pPr>
              <w:numPr>
                <w:ilvl w:val="0"/>
                <w:numId w:val="427"/>
              </w:numPr>
              <w:tabs>
                <w:tab w:val="left" w:pos="800"/>
              </w:tabs>
              <w:spacing w:line="360" w:lineRule="auto"/>
              <w:ind w:left="480"/>
              <w:rPr>
                <w:rFonts w:eastAsia="Times New Roman"/>
                <w:sz w:val="18"/>
                <w:szCs w:val="18"/>
              </w:rPr>
            </w:pPr>
            <w:r>
              <w:rPr>
                <w:rFonts w:eastAsia="Times New Roman"/>
                <w:sz w:val="18"/>
                <w:szCs w:val="18"/>
              </w:rPr>
              <w:t>Color &gt; 15 CU (not due to precipitated metal</w:t>
            </w:r>
            <w:r w:rsidDel="007B206E">
              <w:rPr>
                <w:rFonts w:eastAsia="Times New Roman"/>
                <w:sz w:val="18"/>
                <w:szCs w:val="18"/>
              </w:rPr>
              <w:t>s</w:t>
            </w:r>
            <w:r>
              <w:rPr>
                <w:rFonts w:eastAsia="Times New Roman"/>
                <w:sz w:val="18"/>
                <w:szCs w:val="18"/>
              </w:rPr>
              <w:t xml:space="preserve">)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exceptions in Note 1 at end of table</w:t>
            </w:r>
          </w:p>
        </w:tc>
        <w:tc>
          <w:tcPr>
            <w:tcW w:w="1645" w:type="dxa"/>
            <w:vAlign w:val="center"/>
          </w:tcPr>
          <w:p w14:paraId="3F9388EA" w14:textId="656FAD07" w:rsidR="00A34B5B" w:rsidRPr="002618EB" w:rsidRDefault="002618EB" w:rsidP="002618EB">
            <w:pPr>
              <w:jc w:val="center"/>
              <w:rPr>
                <w:rFonts w:eastAsia="Times New Roman"/>
                <w:sz w:val="18"/>
                <w:szCs w:val="18"/>
              </w:rPr>
            </w:pPr>
            <w:r w:rsidRPr="002618EB">
              <w:rPr>
                <w:rFonts w:eastAsia="Times New Roman"/>
                <w:sz w:val="18"/>
                <w:szCs w:val="18"/>
              </w:rPr>
              <w:t>3</w:t>
            </w:r>
          </w:p>
        </w:tc>
      </w:tr>
      <w:tr w:rsidR="00A34B5B" w14:paraId="0ED11E3C" w14:textId="77777777" w:rsidTr="00CD5E9C">
        <w:tc>
          <w:tcPr>
            <w:tcW w:w="8425" w:type="dxa"/>
          </w:tcPr>
          <w:p w14:paraId="119D8649" w14:textId="6D83FB46" w:rsidR="00A34B5B" w:rsidRPr="002618EB" w:rsidDel="007B206E" w:rsidRDefault="002618EB" w:rsidP="00563A54">
            <w:pPr>
              <w:numPr>
                <w:ilvl w:val="0"/>
                <w:numId w:val="427"/>
              </w:numPr>
              <w:tabs>
                <w:tab w:val="left" w:pos="798"/>
              </w:tabs>
              <w:spacing w:line="360" w:lineRule="auto"/>
              <w:ind w:left="480" w:right="480"/>
              <w:rPr>
                <w:rFonts w:eastAsia="Times New Roman"/>
                <w:sz w:val="18"/>
                <w:szCs w:val="18"/>
              </w:rPr>
            </w:pPr>
            <w:r>
              <w:rPr>
                <w:rFonts w:eastAsia="Times New Roman"/>
                <w:sz w:val="18"/>
                <w:szCs w:val="18"/>
              </w:rPr>
              <w:t>Iron or/and manganese &gt; SMCL: Fe (2 points), Mn (3 points) (3 points maximum allowe</w:t>
            </w:r>
            <w:r w:rsidDel="007B206E">
              <w:rPr>
                <w:rFonts w:eastAsia="Times New Roman"/>
                <w:sz w:val="18"/>
                <w:szCs w:val="18"/>
              </w:rPr>
              <w:t>d</w:t>
            </w:r>
            <w:r>
              <w:rPr>
                <w:rFonts w:eastAsia="Times New Roman"/>
                <w:sz w:val="18"/>
                <w:szCs w:val="18"/>
              </w:rPr>
              <w:t xml:space="preserve">)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exceptions in Note 1 at end of table</w:t>
            </w:r>
          </w:p>
        </w:tc>
        <w:tc>
          <w:tcPr>
            <w:tcW w:w="1645" w:type="dxa"/>
            <w:vAlign w:val="center"/>
          </w:tcPr>
          <w:p w14:paraId="63354CD3" w14:textId="4F3CD88B" w:rsidR="00A34B5B" w:rsidRPr="002618EB" w:rsidRDefault="002618EB" w:rsidP="002618EB">
            <w:pPr>
              <w:jc w:val="center"/>
              <w:rPr>
                <w:rFonts w:eastAsia="Times New Roman"/>
                <w:sz w:val="18"/>
                <w:szCs w:val="18"/>
              </w:rPr>
            </w:pPr>
            <w:r w:rsidRPr="002618EB">
              <w:rPr>
                <w:rFonts w:eastAsia="Times New Roman"/>
                <w:sz w:val="18"/>
                <w:szCs w:val="18"/>
              </w:rPr>
              <w:t>2 - 3</w:t>
            </w:r>
          </w:p>
        </w:tc>
      </w:tr>
      <w:tr w:rsidR="00A34B5B" w14:paraId="4F8A6F91" w14:textId="77777777" w:rsidTr="00CD5E9C">
        <w:tc>
          <w:tcPr>
            <w:tcW w:w="8425" w:type="dxa"/>
          </w:tcPr>
          <w:p w14:paraId="70DFCC6B" w14:textId="70D27EF9" w:rsidR="00A34B5B" w:rsidRPr="002618EB" w:rsidRDefault="002618EB" w:rsidP="00563A54">
            <w:pPr>
              <w:numPr>
                <w:ilvl w:val="0"/>
                <w:numId w:val="427"/>
              </w:numPr>
              <w:tabs>
                <w:tab w:val="left" w:pos="836"/>
              </w:tabs>
              <w:spacing w:line="360" w:lineRule="auto"/>
              <w:ind w:left="480"/>
              <w:rPr>
                <w:rFonts w:eastAsia="Times New Roman"/>
                <w:sz w:val="18"/>
                <w:szCs w:val="18"/>
              </w:rPr>
            </w:pPr>
            <w:r>
              <w:rPr>
                <w:rFonts w:eastAsia="Times New Roman"/>
                <w:sz w:val="18"/>
                <w:szCs w:val="18"/>
              </w:rPr>
              <w:t xml:space="preserve">Algal growths for which treatment process adjustments are routinely made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exceptions in Note 1</w:t>
            </w:r>
            <w:r>
              <w:rPr>
                <w:rFonts w:eastAsia="Times New Roman"/>
                <w:sz w:val="18"/>
                <w:szCs w:val="18"/>
              </w:rPr>
              <w:t xml:space="preserve"> </w:t>
            </w:r>
            <w:r>
              <w:rPr>
                <w:rFonts w:eastAsia="Times New Roman"/>
                <w:b/>
                <w:bCs/>
                <w:sz w:val="18"/>
                <w:szCs w:val="18"/>
              </w:rPr>
              <w:t>at end of table</w:t>
            </w:r>
          </w:p>
        </w:tc>
        <w:tc>
          <w:tcPr>
            <w:tcW w:w="1645" w:type="dxa"/>
            <w:vAlign w:val="center"/>
          </w:tcPr>
          <w:p w14:paraId="54B21989" w14:textId="6C4C310C" w:rsidR="00A34B5B" w:rsidRPr="002618EB" w:rsidRDefault="002618EB" w:rsidP="002618EB">
            <w:pPr>
              <w:jc w:val="center"/>
              <w:rPr>
                <w:rFonts w:eastAsia="Times New Roman"/>
                <w:sz w:val="18"/>
                <w:szCs w:val="18"/>
              </w:rPr>
            </w:pPr>
            <w:r w:rsidRPr="002618EB">
              <w:rPr>
                <w:rFonts w:eastAsia="Times New Roman"/>
                <w:sz w:val="18"/>
                <w:szCs w:val="18"/>
              </w:rPr>
              <w:t>3</w:t>
            </w:r>
          </w:p>
        </w:tc>
      </w:tr>
    </w:tbl>
    <w:p w14:paraId="281A05BF" w14:textId="08113BA6" w:rsidR="004647B9" w:rsidRDefault="004647B9" w:rsidP="00861E7E">
      <w:pPr>
        <w:rPr>
          <w:sz w:val="20"/>
          <w:szCs w:val="20"/>
        </w:rPr>
      </w:pPr>
    </w:p>
    <w:p w14:paraId="281A05C0" w14:textId="77777777" w:rsidR="004647B9" w:rsidRDefault="004647B9">
      <w:pPr>
        <w:sectPr w:rsidR="004647B9" w:rsidSect="00EF630C">
          <w:type w:val="continuous"/>
          <w:pgSz w:w="12240" w:h="20180"/>
          <w:pgMar w:top="708" w:right="1440" w:bottom="1440" w:left="600" w:header="0" w:footer="0" w:gutter="0"/>
          <w:cols w:space="720"/>
        </w:sectPr>
      </w:pPr>
    </w:p>
    <w:p w14:paraId="281A05C1" w14:textId="77777777" w:rsidR="004647B9" w:rsidRDefault="00E2436F">
      <w:pPr>
        <w:tabs>
          <w:tab w:val="left" w:pos="160"/>
        </w:tabs>
        <w:jc w:val="center"/>
        <w:rPr>
          <w:sz w:val="20"/>
          <w:szCs w:val="20"/>
        </w:rPr>
      </w:pPr>
      <w:bookmarkStart w:id="161" w:name="page163"/>
      <w:bookmarkEnd w:id="16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5C3" w14:textId="77777777" w:rsidR="004647B9" w:rsidRDefault="004647B9" w:rsidP="00CD2F9A">
      <w:pPr>
        <w:rPr>
          <w:sz w:val="20"/>
          <w:szCs w:val="20"/>
        </w:rPr>
      </w:pPr>
    </w:p>
    <w:p w14:paraId="281A05C4" w14:textId="77777777" w:rsidR="004647B9" w:rsidRDefault="004647B9" w:rsidP="00CD2F9A">
      <w:pPr>
        <w:rPr>
          <w:sz w:val="20"/>
          <w:szCs w:val="20"/>
        </w:rPr>
      </w:pPr>
    </w:p>
    <w:p w14:paraId="281A05C5" w14:textId="77777777" w:rsidR="004647B9" w:rsidRPr="00CD2F9A" w:rsidRDefault="00E2436F" w:rsidP="00CD2F9A">
      <w:pPr>
        <w:tabs>
          <w:tab w:val="left" w:pos="1040"/>
        </w:tabs>
        <w:ind w:left="120"/>
        <w:rPr>
          <w:sz w:val="24"/>
          <w:szCs w:val="24"/>
        </w:rPr>
      </w:pPr>
      <w:r w:rsidRPr="00CD2F9A">
        <w:rPr>
          <w:rFonts w:eastAsia="Times New Roman"/>
          <w:sz w:val="24"/>
          <w:szCs w:val="24"/>
        </w:rPr>
        <w:t>22.11B:</w:t>
      </w:r>
      <w:r w:rsidRPr="00CD2F9A">
        <w:rPr>
          <w:rFonts w:eastAsia="Times New Roman"/>
          <w:sz w:val="24"/>
          <w:szCs w:val="24"/>
        </w:rPr>
        <w:tab/>
        <w:t>continued</w:t>
      </w:r>
    </w:p>
    <w:p w14:paraId="281A05C8" w14:textId="77777777" w:rsidR="004647B9" w:rsidRDefault="004647B9" w:rsidP="00CD2F9A">
      <w:pPr>
        <w:rPr>
          <w:sz w:val="20"/>
          <w:szCs w:val="20"/>
        </w:rPr>
      </w:pPr>
    </w:p>
    <w:tbl>
      <w:tblPr>
        <w:tblW w:w="0" w:type="auto"/>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340"/>
        <w:gridCol w:w="1300"/>
      </w:tblGrid>
      <w:tr w:rsidR="004647B9" w14:paraId="281A05CB" w14:textId="77777777" w:rsidTr="0012032B">
        <w:trPr>
          <w:trHeight w:val="237"/>
        </w:trPr>
        <w:tc>
          <w:tcPr>
            <w:tcW w:w="8340" w:type="dxa"/>
            <w:vAlign w:val="center"/>
          </w:tcPr>
          <w:p w14:paraId="281A05C9" w14:textId="77777777" w:rsidR="004647B9" w:rsidRDefault="00E2436F" w:rsidP="0012032B">
            <w:pPr>
              <w:spacing w:line="360" w:lineRule="auto"/>
              <w:rPr>
                <w:sz w:val="20"/>
                <w:szCs w:val="20"/>
              </w:rPr>
            </w:pPr>
            <w:r>
              <w:rPr>
                <w:rFonts w:eastAsia="Times New Roman"/>
                <w:b/>
                <w:bCs/>
                <w:sz w:val="18"/>
                <w:szCs w:val="18"/>
              </w:rPr>
              <w:t>Item</w:t>
            </w:r>
          </w:p>
        </w:tc>
        <w:tc>
          <w:tcPr>
            <w:tcW w:w="1300" w:type="dxa"/>
            <w:vAlign w:val="center"/>
          </w:tcPr>
          <w:p w14:paraId="7B74F9E8" w14:textId="77777777" w:rsidR="00CD5E9C" w:rsidRDefault="00E2436F" w:rsidP="0012032B">
            <w:pPr>
              <w:spacing w:line="360" w:lineRule="auto"/>
              <w:rPr>
                <w:rFonts w:eastAsia="Times New Roman"/>
                <w:b/>
                <w:bCs/>
                <w:sz w:val="18"/>
                <w:szCs w:val="18"/>
              </w:rPr>
            </w:pPr>
            <w:r>
              <w:rPr>
                <w:rFonts w:eastAsia="Times New Roman"/>
                <w:b/>
                <w:bCs/>
                <w:sz w:val="18"/>
                <w:szCs w:val="18"/>
              </w:rPr>
              <w:t>Points</w:t>
            </w:r>
          </w:p>
          <w:p w14:paraId="281A05CA" w14:textId="17D2578A" w:rsidR="00CD5E9C" w:rsidRDefault="00CD5E9C" w:rsidP="0012032B">
            <w:pPr>
              <w:spacing w:line="360" w:lineRule="auto"/>
              <w:rPr>
                <w:sz w:val="20"/>
                <w:szCs w:val="20"/>
              </w:rPr>
            </w:pPr>
            <w:r>
              <w:rPr>
                <w:rFonts w:eastAsia="Times New Roman"/>
                <w:b/>
                <w:bCs/>
                <w:sz w:val="18"/>
                <w:szCs w:val="18"/>
              </w:rPr>
              <w:t>Possible</w:t>
            </w:r>
          </w:p>
        </w:tc>
      </w:tr>
      <w:tr w:rsidR="0012032B" w14:paraId="763FFD43" w14:textId="77777777" w:rsidTr="0012032B">
        <w:trPr>
          <w:trHeight w:val="274"/>
        </w:trPr>
        <w:tc>
          <w:tcPr>
            <w:tcW w:w="9640" w:type="dxa"/>
            <w:gridSpan w:val="2"/>
            <w:vAlign w:val="center"/>
          </w:tcPr>
          <w:p w14:paraId="3D5EBB30" w14:textId="1B334C20" w:rsidR="0012032B" w:rsidRDefault="0012032B" w:rsidP="0012032B">
            <w:pPr>
              <w:spacing w:line="360" w:lineRule="auto"/>
              <w:rPr>
                <w:rFonts w:eastAsia="Times New Roman"/>
                <w:b/>
                <w:bCs/>
                <w:sz w:val="18"/>
                <w:szCs w:val="18"/>
              </w:rPr>
            </w:pPr>
            <w:r>
              <w:rPr>
                <w:rFonts w:eastAsia="Times New Roman"/>
                <w:b/>
                <w:bCs/>
                <w:sz w:val="18"/>
                <w:szCs w:val="18"/>
              </w:rPr>
              <w:t>Chemical Treatment/Addition Processes</w:t>
            </w:r>
          </w:p>
        </w:tc>
      </w:tr>
      <w:tr w:rsidR="00CD5E9C" w14:paraId="00AEC847" w14:textId="77777777" w:rsidTr="0012032B">
        <w:trPr>
          <w:trHeight w:val="274"/>
        </w:trPr>
        <w:tc>
          <w:tcPr>
            <w:tcW w:w="8340" w:type="dxa"/>
            <w:vAlign w:val="center"/>
          </w:tcPr>
          <w:p w14:paraId="47A7ED1B" w14:textId="5614CA1E" w:rsidR="00CD5E9C" w:rsidRDefault="00CD5E9C" w:rsidP="0012032B">
            <w:pPr>
              <w:rPr>
                <w:rFonts w:eastAsia="Times New Roman"/>
                <w:b/>
                <w:bCs/>
                <w:sz w:val="18"/>
                <w:szCs w:val="18"/>
              </w:rPr>
            </w:pPr>
            <w:r>
              <w:rPr>
                <w:rFonts w:eastAsia="Times New Roman"/>
                <w:sz w:val="18"/>
                <w:szCs w:val="18"/>
              </w:rPr>
              <w:t>Fluoridation</w:t>
            </w:r>
          </w:p>
        </w:tc>
        <w:tc>
          <w:tcPr>
            <w:tcW w:w="1300" w:type="dxa"/>
            <w:vAlign w:val="center"/>
          </w:tcPr>
          <w:p w14:paraId="103FF536" w14:textId="075B543F" w:rsidR="00CD5E9C" w:rsidRPr="0012032B" w:rsidRDefault="0012032B" w:rsidP="0012032B">
            <w:pPr>
              <w:jc w:val="center"/>
              <w:rPr>
                <w:rFonts w:eastAsia="Times New Roman"/>
                <w:sz w:val="18"/>
                <w:szCs w:val="18"/>
              </w:rPr>
            </w:pPr>
            <w:r w:rsidRPr="0012032B">
              <w:rPr>
                <w:rFonts w:eastAsia="Times New Roman"/>
                <w:sz w:val="18"/>
                <w:szCs w:val="18"/>
              </w:rPr>
              <w:t>4</w:t>
            </w:r>
          </w:p>
        </w:tc>
      </w:tr>
      <w:tr w:rsidR="00CD5E9C" w14:paraId="29167C45" w14:textId="77777777" w:rsidTr="0012032B">
        <w:trPr>
          <w:trHeight w:val="237"/>
        </w:trPr>
        <w:tc>
          <w:tcPr>
            <w:tcW w:w="8340" w:type="dxa"/>
            <w:vAlign w:val="center"/>
          </w:tcPr>
          <w:p w14:paraId="3ABAF954" w14:textId="77777777" w:rsidR="00CD5E9C" w:rsidRDefault="00CD5E9C" w:rsidP="0012032B">
            <w:pPr>
              <w:rPr>
                <w:sz w:val="20"/>
                <w:szCs w:val="20"/>
              </w:rPr>
            </w:pPr>
            <w:r>
              <w:rPr>
                <w:rFonts w:eastAsia="Times New Roman"/>
                <w:sz w:val="18"/>
                <w:szCs w:val="18"/>
              </w:rPr>
              <w:t>Disinfection/Oxidation (Note: Points are additive to a maximum of 15 points allowed for this category.)</w:t>
            </w:r>
          </w:p>
          <w:p w14:paraId="248CC8E9" w14:textId="77777777" w:rsidR="00CD5E9C" w:rsidRDefault="00CD5E9C" w:rsidP="00563A54">
            <w:pPr>
              <w:numPr>
                <w:ilvl w:val="0"/>
                <w:numId w:val="924"/>
              </w:numPr>
              <w:tabs>
                <w:tab w:val="left" w:pos="780"/>
              </w:tabs>
              <w:ind w:left="780" w:hanging="211"/>
              <w:rPr>
                <w:rFonts w:eastAsia="Times New Roman"/>
                <w:sz w:val="18"/>
                <w:szCs w:val="18"/>
              </w:rPr>
            </w:pPr>
            <w:r>
              <w:rPr>
                <w:rFonts w:eastAsia="Times New Roman"/>
                <w:sz w:val="18"/>
                <w:szCs w:val="18"/>
              </w:rPr>
              <w:t>Chlorination:</w:t>
            </w:r>
          </w:p>
          <w:p w14:paraId="68339739" w14:textId="77777777" w:rsidR="00CD5E9C"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Hypochlorites (5 points)</w:t>
            </w:r>
          </w:p>
          <w:p w14:paraId="323107B3" w14:textId="77777777" w:rsidR="00CD5E9C" w:rsidRDefault="00CD5E9C" w:rsidP="00563A54">
            <w:pPr>
              <w:numPr>
                <w:ilvl w:val="2"/>
                <w:numId w:val="923"/>
              </w:numPr>
              <w:tabs>
                <w:tab w:val="left" w:pos="1400"/>
              </w:tabs>
              <w:rPr>
                <w:rFonts w:eastAsia="Times New Roman"/>
                <w:sz w:val="18"/>
                <w:szCs w:val="18"/>
              </w:rPr>
            </w:pPr>
            <w:r>
              <w:rPr>
                <w:rFonts w:eastAsia="Times New Roman"/>
                <w:sz w:val="18"/>
                <w:szCs w:val="18"/>
              </w:rPr>
              <w:t>If generated on site (add 1 point)</w:t>
            </w:r>
          </w:p>
          <w:p w14:paraId="2F3957CA" w14:textId="77777777" w:rsidR="00CD5E9C"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Chlorine gas (8 points)</w:t>
            </w:r>
          </w:p>
          <w:p w14:paraId="2EEB18CD" w14:textId="77777777" w:rsidR="00CD5E9C"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Chloramination (10 points)</w:t>
            </w:r>
          </w:p>
          <w:p w14:paraId="3C6EA435" w14:textId="77777777" w:rsidR="00CD5E9C"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Chlorine dioxide (10 points)</w:t>
            </w:r>
          </w:p>
          <w:p w14:paraId="04377E77" w14:textId="77777777" w:rsidR="00CD5E9C" w:rsidRDefault="00CD5E9C" w:rsidP="00563A54">
            <w:pPr>
              <w:numPr>
                <w:ilvl w:val="0"/>
                <w:numId w:val="925"/>
              </w:numPr>
              <w:tabs>
                <w:tab w:val="left" w:pos="780"/>
              </w:tabs>
              <w:ind w:left="780" w:hanging="211"/>
              <w:rPr>
                <w:rFonts w:eastAsia="Times New Roman"/>
                <w:sz w:val="18"/>
                <w:szCs w:val="18"/>
              </w:rPr>
            </w:pPr>
            <w:r>
              <w:rPr>
                <w:rFonts w:eastAsia="Times New Roman"/>
                <w:sz w:val="18"/>
                <w:szCs w:val="18"/>
              </w:rPr>
              <w:t>Ozonation (10 points)</w:t>
            </w:r>
          </w:p>
          <w:p w14:paraId="48043C0B" w14:textId="77777777" w:rsidR="00CD5E9C" w:rsidRDefault="00CD5E9C" w:rsidP="00563A54">
            <w:pPr>
              <w:numPr>
                <w:ilvl w:val="0"/>
                <w:numId w:val="925"/>
              </w:numPr>
              <w:tabs>
                <w:tab w:val="left" w:pos="780"/>
              </w:tabs>
              <w:ind w:left="780" w:hanging="211"/>
              <w:rPr>
                <w:rFonts w:eastAsia="Times New Roman"/>
                <w:sz w:val="18"/>
                <w:szCs w:val="18"/>
              </w:rPr>
            </w:pPr>
            <w:r>
              <w:rPr>
                <w:rFonts w:eastAsia="Times New Roman"/>
                <w:sz w:val="18"/>
                <w:szCs w:val="18"/>
              </w:rPr>
              <w:t>UV Irradiation (2 points)</w:t>
            </w:r>
          </w:p>
          <w:p w14:paraId="08FDBEFC" w14:textId="77777777" w:rsidR="00CD5E9C" w:rsidRDefault="00CD5E9C" w:rsidP="00563A54">
            <w:pPr>
              <w:numPr>
                <w:ilvl w:val="0"/>
                <w:numId w:val="925"/>
              </w:numPr>
              <w:tabs>
                <w:tab w:val="left" w:pos="780"/>
              </w:tabs>
              <w:ind w:left="780" w:hanging="211"/>
              <w:rPr>
                <w:rFonts w:eastAsia="Times New Roman"/>
                <w:b/>
                <w:bCs/>
                <w:sz w:val="18"/>
                <w:szCs w:val="18"/>
              </w:rPr>
            </w:pPr>
            <w:r>
              <w:rPr>
                <w:rFonts w:eastAsia="Times New Roman"/>
                <w:sz w:val="18"/>
                <w:szCs w:val="18"/>
              </w:rPr>
              <w:t>Iodine, Peroxide, or similar (5 points)</w:t>
            </w:r>
          </w:p>
          <w:p w14:paraId="1DFDBE57" w14:textId="77777777" w:rsidR="00CD5E9C" w:rsidRDefault="00CD5E9C" w:rsidP="00563A54">
            <w:pPr>
              <w:numPr>
                <w:ilvl w:val="0"/>
                <w:numId w:val="925"/>
              </w:numPr>
              <w:tabs>
                <w:tab w:val="left" w:pos="780"/>
              </w:tabs>
              <w:ind w:left="780" w:hanging="211"/>
              <w:rPr>
                <w:rFonts w:eastAsia="Times New Roman"/>
                <w:sz w:val="18"/>
                <w:szCs w:val="18"/>
              </w:rPr>
            </w:pPr>
            <w:r>
              <w:rPr>
                <w:rFonts w:eastAsia="Times New Roman"/>
                <w:sz w:val="18"/>
                <w:szCs w:val="18"/>
              </w:rPr>
              <w:t>Potassium permanganate (4 points)</w:t>
            </w:r>
          </w:p>
          <w:p w14:paraId="189E0932" w14:textId="44988F57" w:rsidR="00CD5E9C" w:rsidRPr="0012032B" w:rsidDel="007B206E"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(If used with green sand filtration do not give 4 points)</w:t>
            </w:r>
          </w:p>
        </w:tc>
        <w:tc>
          <w:tcPr>
            <w:tcW w:w="1300" w:type="dxa"/>
            <w:vAlign w:val="center"/>
          </w:tcPr>
          <w:p w14:paraId="01D37AB1" w14:textId="1BC135A4" w:rsidR="00CD5E9C" w:rsidRPr="0012032B" w:rsidRDefault="0012032B" w:rsidP="0012032B">
            <w:pPr>
              <w:jc w:val="center"/>
              <w:rPr>
                <w:rFonts w:eastAsia="Times New Roman"/>
                <w:sz w:val="18"/>
                <w:szCs w:val="18"/>
              </w:rPr>
            </w:pPr>
            <w:r>
              <w:rPr>
                <w:rFonts w:eastAsia="Times New Roman"/>
                <w:sz w:val="18"/>
                <w:szCs w:val="18"/>
              </w:rPr>
              <w:t>0 - 15</w:t>
            </w:r>
          </w:p>
        </w:tc>
      </w:tr>
      <w:tr w:rsidR="00CD5E9C" w14:paraId="67F794D9" w14:textId="77777777" w:rsidTr="0012032B">
        <w:trPr>
          <w:trHeight w:val="274"/>
        </w:trPr>
        <w:tc>
          <w:tcPr>
            <w:tcW w:w="8340" w:type="dxa"/>
            <w:vAlign w:val="center"/>
          </w:tcPr>
          <w:p w14:paraId="22940CD0" w14:textId="123F51BD" w:rsidR="00CD5E9C" w:rsidRDefault="0012032B" w:rsidP="0012032B">
            <w:pPr>
              <w:rPr>
                <w:rFonts w:eastAsia="Times New Roman"/>
                <w:b/>
                <w:bCs/>
                <w:sz w:val="18"/>
                <w:szCs w:val="18"/>
              </w:rPr>
            </w:pPr>
            <w:r>
              <w:rPr>
                <w:rFonts w:eastAsia="Times New Roman"/>
                <w:sz w:val="18"/>
                <w:szCs w:val="18"/>
              </w:rPr>
              <w:t>pH adjustment for process control (</w:t>
            </w:r>
            <w:r>
              <w:rPr>
                <w:rFonts w:eastAsia="Times New Roman"/>
                <w:i/>
                <w:iCs/>
                <w:sz w:val="18"/>
                <w:szCs w:val="18"/>
              </w:rPr>
              <w:t>e.g</w:t>
            </w:r>
            <w:r>
              <w:rPr>
                <w:rFonts w:eastAsia="Times New Roman"/>
                <w:sz w:val="18"/>
                <w:szCs w:val="18"/>
              </w:rPr>
              <w:t>., pH adjustment aids Coagulation)</w:t>
            </w:r>
          </w:p>
        </w:tc>
        <w:tc>
          <w:tcPr>
            <w:tcW w:w="1300" w:type="dxa"/>
            <w:vAlign w:val="center"/>
          </w:tcPr>
          <w:p w14:paraId="24BC5437" w14:textId="45BE6353" w:rsidR="00CD5E9C" w:rsidRPr="0012032B" w:rsidRDefault="0012032B" w:rsidP="0012032B">
            <w:pPr>
              <w:jc w:val="center"/>
              <w:rPr>
                <w:rFonts w:eastAsia="Times New Roman"/>
                <w:sz w:val="18"/>
                <w:szCs w:val="18"/>
              </w:rPr>
            </w:pPr>
            <w:r>
              <w:rPr>
                <w:rFonts w:eastAsia="Times New Roman"/>
                <w:sz w:val="18"/>
                <w:szCs w:val="18"/>
              </w:rPr>
              <w:t>4</w:t>
            </w:r>
          </w:p>
        </w:tc>
      </w:tr>
      <w:tr w:rsidR="0012032B" w14:paraId="619B201E" w14:textId="77777777" w:rsidTr="0012032B">
        <w:trPr>
          <w:trHeight w:val="547"/>
        </w:trPr>
        <w:tc>
          <w:tcPr>
            <w:tcW w:w="8340" w:type="dxa"/>
            <w:vAlign w:val="center"/>
          </w:tcPr>
          <w:p w14:paraId="631C33D8" w14:textId="6243DC56" w:rsidR="0012032B" w:rsidRDefault="0012032B" w:rsidP="0012032B">
            <w:pPr>
              <w:rPr>
                <w:rFonts w:eastAsia="Times New Roman"/>
                <w:b/>
                <w:bCs/>
                <w:sz w:val="18"/>
                <w:szCs w:val="18"/>
              </w:rPr>
            </w:pPr>
            <w:r>
              <w:rPr>
                <w:rFonts w:eastAsia="Times New Roman"/>
                <w:sz w:val="18"/>
                <w:szCs w:val="18"/>
              </w:rPr>
              <w:t>Stability or Corrosion Control (If the same chemical is used for both Corrosion Control and pH adjustment, count points only once)</w:t>
            </w:r>
          </w:p>
        </w:tc>
        <w:tc>
          <w:tcPr>
            <w:tcW w:w="1300" w:type="dxa"/>
            <w:vAlign w:val="center"/>
          </w:tcPr>
          <w:p w14:paraId="4BFDC5D3" w14:textId="33F534EE" w:rsidR="0012032B" w:rsidRPr="0012032B" w:rsidRDefault="0012032B" w:rsidP="0012032B">
            <w:pPr>
              <w:jc w:val="center"/>
              <w:rPr>
                <w:rFonts w:eastAsia="Times New Roman"/>
                <w:sz w:val="18"/>
                <w:szCs w:val="18"/>
              </w:rPr>
            </w:pPr>
            <w:r>
              <w:rPr>
                <w:rFonts w:eastAsia="Times New Roman"/>
                <w:sz w:val="18"/>
                <w:szCs w:val="18"/>
              </w:rPr>
              <w:t>4</w:t>
            </w:r>
          </w:p>
        </w:tc>
      </w:tr>
      <w:tr w:rsidR="0012032B" w14:paraId="4B060C5A" w14:textId="77777777" w:rsidTr="0012032B">
        <w:trPr>
          <w:trHeight w:val="274"/>
        </w:trPr>
        <w:tc>
          <w:tcPr>
            <w:tcW w:w="9640" w:type="dxa"/>
            <w:gridSpan w:val="2"/>
            <w:vAlign w:val="center"/>
          </w:tcPr>
          <w:p w14:paraId="4D4AD624" w14:textId="353C95F2" w:rsidR="0012032B" w:rsidRPr="0012032B" w:rsidRDefault="0012032B" w:rsidP="0012032B">
            <w:pPr>
              <w:rPr>
                <w:rFonts w:eastAsia="Times New Roman"/>
                <w:sz w:val="18"/>
                <w:szCs w:val="18"/>
              </w:rPr>
            </w:pPr>
            <w:r>
              <w:rPr>
                <w:rFonts w:eastAsia="Times New Roman"/>
                <w:b/>
                <w:bCs/>
                <w:sz w:val="18"/>
                <w:szCs w:val="18"/>
              </w:rPr>
              <w:t>Coagulation/Flocculation &amp; Filter Aid</w:t>
            </w:r>
          </w:p>
        </w:tc>
      </w:tr>
      <w:tr w:rsidR="0012032B" w14:paraId="0CA7854B" w14:textId="77777777" w:rsidTr="0012032B">
        <w:trPr>
          <w:trHeight w:val="274"/>
        </w:trPr>
        <w:tc>
          <w:tcPr>
            <w:tcW w:w="8340" w:type="dxa"/>
            <w:vAlign w:val="center"/>
          </w:tcPr>
          <w:p w14:paraId="1BFC4DF6" w14:textId="577E8911" w:rsidR="0012032B" w:rsidRDefault="0012032B" w:rsidP="0012032B">
            <w:pPr>
              <w:spacing w:line="360" w:lineRule="auto"/>
              <w:rPr>
                <w:rFonts w:eastAsia="Times New Roman"/>
                <w:b/>
                <w:bCs/>
                <w:sz w:val="18"/>
                <w:szCs w:val="18"/>
              </w:rPr>
            </w:pPr>
            <w:r>
              <w:rPr>
                <w:rFonts w:eastAsia="Times New Roman"/>
                <w:sz w:val="18"/>
                <w:szCs w:val="18"/>
              </w:rPr>
              <w:t>Primary coagulant addition</w:t>
            </w:r>
          </w:p>
        </w:tc>
        <w:tc>
          <w:tcPr>
            <w:tcW w:w="1300" w:type="dxa"/>
            <w:vAlign w:val="center"/>
          </w:tcPr>
          <w:p w14:paraId="3947A591" w14:textId="54950AA3" w:rsidR="0012032B" w:rsidRPr="0012032B" w:rsidRDefault="0012032B" w:rsidP="0012032B">
            <w:pPr>
              <w:jc w:val="center"/>
              <w:rPr>
                <w:rFonts w:eastAsia="Times New Roman"/>
                <w:sz w:val="18"/>
                <w:szCs w:val="18"/>
              </w:rPr>
            </w:pPr>
            <w:r>
              <w:rPr>
                <w:rFonts w:eastAsia="Times New Roman"/>
                <w:sz w:val="18"/>
                <w:szCs w:val="18"/>
              </w:rPr>
              <w:t>6</w:t>
            </w:r>
          </w:p>
        </w:tc>
      </w:tr>
      <w:tr w:rsidR="0012032B" w14:paraId="0504B77E" w14:textId="77777777" w:rsidTr="0012032B">
        <w:trPr>
          <w:trHeight w:val="274"/>
        </w:trPr>
        <w:tc>
          <w:tcPr>
            <w:tcW w:w="8340" w:type="dxa"/>
            <w:vAlign w:val="center"/>
          </w:tcPr>
          <w:p w14:paraId="27A90692" w14:textId="3CE8EC35" w:rsidR="0012032B" w:rsidRDefault="0012032B" w:rsidP="0012032B">
            <w:pPr>
              <w:spacing w:line="360" w:lineRule="auto"/>
              <w:rPr>
                <w:rFonts w:eastAsia="Times New Roman"/>
                <w:b/>
                <w:bCs/>
                <w:sz w:val="18"/>
                <w:szCs w:val="18"/>
              </w:rPr>
            </w:pPr>
            <w:r>
              <w:rPr>
                <w:rFonts w:eastAsia="Times New Roman"/>
                <w:sz w:val="18"/>
                <w:szCs w:val="18"/>
              </w:rPr>
              <w:t>Coagulant aid / Flocculant chemical addition (in addition to primary coagulant use)</w:t>
            </w:r>
          </w:p>
        </w:tc>
        <w:tc>
          <w:tcPr>
            <w:tcW w:w="1300" w:type="dxa"/>
            <w:vAlign w:val="center"/>
          </w:tcPr>
          <w:p w14:paraId="1A6DE55C" w14:textId="74C5F677" w:rsidR="0012032B" w:rsidRPr="0012032B" w:rsidRDefault="0012032B" w:rsidP="0012032B">
            <w:pPr>
              <w:jc w:val="center"/>
              <w:rPr>
                <w:rFonts w:eastAsia="Times New Roman"/>
                <w:sz w:val="18"/>
                <w:szCs w:val="18"/>
              </w:rPr>
            </w:pPr>
            <w:r>
              <w:rPr>
                <w:rFonts w:eastAsia="Times New Roman"/>
                <w:sz w:val="18"/>
                <w:szCs w:val="18"/>
              </w:rPr>
              <w:t>2</w:t>
            </w:r>
          </w:p>
        </w:tc>
      </w:tr>
      <w:tr w:rsidR="0012032B" w14:paraId="3DDB4EF6" w14:textId="77777777" w:rsidTr="0012032B">
        <w:trPr>
          <w:trHeight w:val="274"/>
        </w:trPr>
        <w:tc>
          <w:tcPr>
            <w:tcW w:w="8340" w:type="dxa"/>
            <w:vAlign w:val="center"/>
          </w:tcPr>
          <w:p w14:paraId="59DA6B0C" w14:textId="2BBBB01F" w:rsidR="0012032B" w:rsidRDefault="0012032B" w:rsidP="0012032B">
            <w:pPr>
              <w:spacing w:line="360" w:lineRule="auto"/>
              <w:rPr>
                <w:rFonts w:eastAsia="Times New Roman"/>
                <w:b/>
                <w:bCs/>
                <w:sz w:val="18"/>
                <w:szCs w:val="18"/>
              </w:rPr>
            </w:pPr>
            <w:r>
              <w:rPr>
                <w:rFonts w:eastAsia="Times New Roman"/>
                <w:sz w:val="18"/>
                <w:szCs w:val="18"/>
              </w:rPr>
              <w:t>Flocculation</w:t>
            </w:r>
          </w:p>
        </w:tc>
        <w:tc>
          <w:tcPr>
            <w:tcW w:w="1300" w:type="dxa"/>
            <w:vAlign w:val="center"/>
          </w:tcPr>
          <w:p w14:paraId="2B4980B4" w14:textId="698D189B" w:rsidR="0012032B" w:rsidRPr="0012032B" w:rsidRDefault="0012032B" w:rsidP="0012032B">
            <w:pPr>
              <w:jc w:val="center"/>
              <w:rPr>
                <w:rFonts w:eastAsia="Times New Roman"/>
                <w:sz w:val="18"/>
                <w:szCs w:val="18"/>
              </w:rPr>
            </w:pPr>
            <w:r>
              <w:rPr>
                <w:rFonts w:eastAsia="Times New Roman"/>
                <w:sz w:val="18"/>
                <w:szCs w:val="18"/>
              </w:rPr>
              <w:t>2</w:t>
            </w:r>
          </w:p>
        </w:tc>
      </w:tr>
      <w:tr w:rsidR="0012032B" w14:paraId="20DC70F6" w14:textId="77777777" w:rsidTr="0012032B">
        <w:trPr>
          <w:trHeight w:val="274"/>
        </w:trPr>
        <w:tc>
          <w:tcPr>
            <w:tcW w:w="8340" w:type="dxa"/>
            <w:vAlign w:val="center"/>
          </w:tcPr>
          <w:p w14:paraId="061F1833" w14:textId="0DE8C4D8" w:rsidR="0012032B" w:rsidRDefault="0012032B" w:rsidP="0012032B">
            <w:pPr>
              <w:spacing w:line="360" w:lineRule="auto"/>
              <w:rPr>
                <w:rFonts w:eastAsia="Times New Roman"/>
                <w:b/>
                <w:bCs/>
                <w:sz w:val="18"/>
                <w:szCs w:val="18"/>
              </w:rPr>
            </w:pPr>
            <w:r>
              <w:rPr>
                <w:rFonts w:eastAsia="Times New Roman"/>
                <w:sz w:val="18"/>
                <w:szCs w:val="18"/>
              </w:rPr>
              <w:t>Filter aid addition (Non-ionic/anionic polymers)</w:t>
            </w:r>
          </w:p>
        </w:tc>
        <w:tc>
          <w:tcPr>
            <w:tcW w:w="1300" w:type="dxa"/>
            <w:vAlign w:val="center"/>
          </w:tcPr>
          <w:p w14:paraId="71F00AD5" w14:textId="64F5E95E" w:rsidR="0012032B" w:rsidRPr="0012032B" w:rsidRDefault="0012032B" w:rsidP="0012032B">
            <w:pPr>
              <w:jc w:val="center"/>
              <w:rPr>
                <w:rFonts w:eastAsia="Times New Roman"/>
                <w:sz w:val="18"/>
                <w:szCs w:val="18"/>
              </w:rPr>
            </w:pPr>
            <w:r>
              <w:rPr>
                <w:rFonts w:eastAsia="Times New Roman"/>
                <w:sz w:val="18"/>
                <w:szCs w:val="18"/>
              </w:rPr>
              <w:t>2</w:t>
            </w:r>
          </w:p>
        </w:tc>
      </w:tr>
      <w:tr w:rsidR="0012032B" w14:paraId="4FD65500" w14:textId="77777777" w:rsidTr="0012032B">
        <w:trPr>
          <w:trHeight w:val="237"/>
        </w:trPr>
        <w:tc>
          <w:tcPr>
            <w:tcW w:w="9640" w:type="dxa"/>
            <w:gridSpan w:val="2"/>
            <w:vAlign w:val="center"/>
          </w:tcPr>
          <w:p w14:paraId="45C5C9AA" w14:textId="70D9844B" w:rsidR="0012032B" w:rsidRPr="0012032B" w:rsidRDefault="0012032B" w:rsidP="0012032B">
            <w:pPr>
              <w:ind w:left="420"/>
              <w:rPr>
                <w:rFonts w:eastAsia="Times New Roman"/>
                <w:sz w:val="18"/>
                <w:szCs w:val="18"/>
              </w:rPr>
            </w:pPr>
            <w:r>
              <w:rPr>
                <w:rFonts w:eastAsia="Times New Roman"/>
                <w:b/>
                <w:bCs/>
                <w:sz w:val="18"/>
                <w:szCs w:val="18"/>
              </w:rPr>
              <w:t>Clarification/Sedimentation</w:t>
            </w:r>
          </w:p>
        </w:tc>
      </w:tr>
      <w:tr w:rsidR="0012032B" w14:paraId="1BF43508" w14:textId="77777777" w:rsidTr="0012032B">
        <w:trPr>
          <w:trHeight w:val="237"/>
        </w:trPr>
        <w:tc>
          <w:tcPr>
            <w:tcW w:w="8340" w:type="dxa"/>
            <w:vAlign w:val="center"/>
          </w:tcPr>
          <w:p w14:paraId="6E6074EE" w14:textId="24A6B0EA" w:rsidR="0012032B" w:rsidRDefault="0012032B" w:rsidP="0012032B">
            <w:pPr>
              <w:spacing w:line="360" w:lineRule="auto"/>
              <w:rPr>
                <w:rFonts w:eastAsia="Times New Roman"/>
                <w:b/>
                <w:bCs/>
                <w:sz w:val="18"/>
                <w:szCs w:val="18"/>
              </w:rPr>
            </w:pPr>
            <w:r>
              <w:rPr>
                <w:rFonts w:eastAsia="Times New Roman"/>
                <w:sz w:val="18"/>
                <w:szCs w:val="18"/>
              </w:rPr>
              <w:t>Sedimentation (plain, tube, plate)</w:t>
            </w:r>
          </w:p>
        </w:tc>
        <w:tc>
          <w:tcPr>
            <w:tcW w:w="1300" w:type="dxa"/>
            <w:vAlign w:val="center"/>
          </w:tcPr>
          <w:p w14:paraId="0572B0C5" w14:textId="4906AD0A" w:rsidR="0012032B" w:rsidRPr="0012032B" w:rsidRDefault="0012032B" w:rsidP="0012032B">
            <w:pPr>
              <w:jc w:val="center"/>
              <w:rPr>
                <w:rFonts w:eastAsia="Times New Roman"/>
                <w:sz w:val="18"/>
                <w:szCs w:val="18"/>
              </w:rPr>
            </w:pPr>
            <w:r>
              <w:rPr>
                <w:rFonts w:eastAsia="Times New Roman"/>
                <w:sz w:val="18"/>
                <w:szCs w:val="18"/>
              </w:rPr>
              <w:t>4</w:t>
            </w:r>
          </w:p>
        </w:tc>
      </w:tr>
      <w:tr w:rsidR="0012032B" w14:paraId="00605185" w14:textId="77777777" w:rsidTr="0012032B">
        <w:trPr>
          <w:trHeight w:val="237"/>
        </w:trPr>
        <w:tc>
          <w:tcPr>
            <w:tcW w:w="8340" w:type="dxa"/>
            <w:vAlign w:val="center"/>
          </w:tcPr>
          <w:p w14:paraId="09C5C143" w14:textId="0C3A3B30" w:rsidR="0012032B" w:rsidRDefault="0012032B" w:rsidP="0012032B">
            <w:pPr>
              <w:spacing w:line="360" w:lineRule="auto"/>
              <w:rPr>
                <w:rFonts w:eastAsia="Times New Roman"/>
                <w:b/>
                <w:bCs/>
                <w:sz w:val="18"/>
                <w:szCs w:val="18"/>
              </w:rPr>
            </w:pPr>
            <w:r>
              <w:rPr>
                <w:rFonts w:eastAsia="Times New Roman"/>
                <w:sz w:val="18"/>
                <w:szCs w:val="18"/>
              </w:rPr>
              <w:t>Contact Adsorption</w:t>
            </w:r>
          </w:p>
        </w:tc>
        <w:tc>
          <w:tcPr>
            <w:tcW w:w="1300" w:type="dxa"/>
            <w:vAlign w:val="center"/>
          </w:tcPr>
          <w:p w14:paraId="0293EFBA" w14:textId="20293612" w:rsidR="0012032B" w:rsidRPr="0012032B" w:rsidRDefault="0012032B" w:rsidP="0012032B">
            <w:pPr>
              <w:jc w:val="center"/>
              <w:rPr>
                <w:rFonts w:eastAsia="Times New Roman"/>
                <w:sz w:val="18"/>
                <w:szCs w:val="18"/>
              </w:rPr>
            </w:pPr>
            <w:r>
              <w:rPr>
                <w:rFonts w:eastAsia="Times New Roman"/>
                <w:sz w:val="18"/>
                <w:szCs w:val="18"/>
              </w:rPr>
              <w:t>6</w:t>
            </w:r>
          </w:p>
        </w:tc>
      </w:tr>
      <w:tr w:rsidR="0012032B" w14:paraId="67882ADE" w14:textId="77777777" w:rsidTr="0012032B">
        <w:trPr>
          <w:trHeight w:val="237"/>
        </w:trPr>
        <w:tc>
          <w:tcPr>
            <w:tcW w:w="8340" w:type="dxa"/>
            <w:vAlign w:val="center"/>
          </w:tcPr>
          <w:p w14:paraId="12FEC7B6" w14:textId="2CC3B5A3" w:rsidR="0012032B" w:rsidRDefault="0012032B" w:rsidP="0012032B">
            <w:pPr>
              <w:spacing w:line="360" w:lineRule="auto"/>
              <w:rPr>
                <w:rFonts w:eastAsia="Times New Roman"/>
                <w:sz w:val="18"/>
                <w:szCs w:val="18"/>
              </w:rPr>
            </w:pPr>
            <w:r>
              <w:rPr>
                <w:rFonts w:eastAsia="Times New Roman"/>
                <w:sz w:val="18"/>
                <w:szCs w:val="18"/>
              </w:rPr>
              <w:t xml:space="preserve">Other clarification processes (air flotation, ballasted clarification, </w:t>
            </w:r>
            <w:r>
              <w:rPr>
                <w:rFonts w:eastAsia="Times New Roman"/>
                <w:i/>
                <w:iCs/>
                <w:sz w:val="18"/>
                <w:szCs w:val="18"/>
              </w:rPr>
              <w:t>etc.</w:t>
            </w:r>
            <w:r>
              <w:rPr>
                <w:rFonts w:eastAsia="Times New Roman"/>
                <w:sz w:val="18"/>
                <w:szCs w:val="18"/>
              </w:rPr>
              <w:t>)</w:t>
            </w:r>
          </w:p>
        </w:tc>
        <w:tc>
          <w:tcPr>
            <w:tcW w:w="1300" w:type="dxa"/>
            <w:vAlign w:val="center"/>
          </w:tcPr>
          <w:p w14:paraId="53405EF8" w14:textId="680C176B" w:rsidR="0012032B" w:rsidRPr="0012032B" w:rsidRDefault="0012032B" w:rsidP="0012032B">
            <w:pPr>
              <w:jc w:val="center"/>
              <w:rPr>
                <w:rFonts w:eastAsia="Times New Roman"/>
                <w:sz w:val="18"/>
                <w:szCs w:val="18"/>
              </w:rPr>
            </w:pPr>
            <w:r>
              <w:rPr>
                <w:rFonts w:eastAsia="Times New Roman"/>
                <w:sz w:val="18"/>
                <w:szCs w:val="18"/>
              </w:rPr>
              <w:t>6</w:t>
            </w:r>
          </w:p>
        </w:tc>
      </w:tr>
      <w:tr w:rsidR="0012032B" w14:paraId="589F6DAC" w14:textId="77777777" w:rsidTr="0012032B">
        <w:trPr>
          <w:trHeight w:val="274"/>
        </w:trPr>
        <w:tc>
          <w:tcPr>
            <w:tcW w:w="8340" w:type="dxa"/>
            <w:vAlign w:val="center"/>
          </w:tcPr>
          <w:p w14:paraId="32AC7AEF" w14:textId="2C4D7550" w:rsidR="0012032B" w:rsidRDefault="0012032B" w:rsidP="0012032B">
            <w:pPr>
              <w:spacing w:line="360" w:lineRule="auto"/>
              <w:rPr>
                <w:rFonts w:eastAsia="Times New Roman"/>
                <w:sz w:val="18"/>
                <w:szCs w:val="18"/>
              </w:rPr>
            </w:pPr>
            <w:r>
              <w:rPr>
                <w:rFonts w:eastAsia="Times New Roman"/>
                <w:sz w:val="18"/>
                <w:szCs w:val="18"/>
              </w:rPr>
              <w:t>Upflow clarificatio</w:t>
            </w:r>
            <w:r w:rsidDel="007B206E">
              <w:rPr>
                <w:rFonts w:eastAsia="Times New Roman"/>
                <w:sz w:val="18"/>
                <w:szCs w:val="18"/>
              </w:rPr>
              <w:t>n</w:t>
            </w:r>
            <w:r>
              <w:rPr>
                <w:rFonts w:eastAsia="Times New Roman"/>
                <w:sz w:val="18"/>
                <w:szCs w:val="18"/>
              </w:rPr>
              <w:t xml:space="preserve"> ("sludge blanket clarifier")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Note 2 at end of table</w:t>
            </w:r>
          </w:p>
        </w:tc>
        <w:tc>
          <w:tcPr>
            <w:tcW w:w="1300" w:type="dxa"/>
            <w:vAlign w:val="center"/>
          </w:tcPr>
          <w:p w14:paraId="1DF4EFC7" w14:textId="32EB5DA1" w:rsidR="0012032B" w:rsidRPr="0012032B" w:rsidRDefault="0012032B" w:rsidP="0012032B">
            <w:pPr>
              <w:jc w:val="center"/>
              <w:rPr>
                <w:rFonts w:eastAsia="Times New Roman"/>
                <w:sz w:val="18"/>
                <w:szCs w:val="18"/>
              </w:rPr>
            </w:pPr>
            <w:r>
              <w:rPr>
                <w:rFonts w:eastAsia="Times New Roman"/>
                <w:sz w:val="18"/>
                <w:szCs w:val="18"/>
              </w:rPr>
              <w:t>8</w:t>
            </w:r>
          </w:p>
        </w:tc>
      </w:tr>
      <w:tr w:rsidR="0012032B" w14:paraId="306ABA48" w14:textId="77777777" w:rsidTr="0012032B">
        <w:trPr>
          <w:trHeight w:val="274"/>
        </w:trPr>
        <w:tc>
          <w:tcPr>
            <w:tcW w:w="9640" w:type="dxa"/>
            <w:gridSpan w:val="2"/>
            <w:vAlign w:val="center"/>
          </w:tcPr>
          <w:p w14:paraId="438DC27B" w14:textId="6B00F44E" w:rsidR="0012032B" w:rsidRPr="0012032B" w:rsidRDefault="0012032B" w:rsidP="0012032B">
            <w:pPr>
              <w:ind w:left="420"/>
              <w:rPr>
                <w:rFonts w:eastAsia="Times New Roman"/>
                <w:sz w:val="18"/>
                <w:szCs w:val="18"/>
              </w:rPr>
            </w:pPr>
            <w:r>
              <w:rPr>
                <w:rFonts w:eastAsia="Times New Roman"/>
                <w:b/>
                <w:bCs/>
                <w:sz w:val="18"/>
                <w:szCs w:val="18"/>
              </w:rPr>
              <w:t>Filtration</w:t>
            </w:r>
          </w:p>
        </w:tc>
      </w:tr>
      <w:tr w:rsidR="0012032B" w14:paraId="382FB35A" w14:textId="77777777" w:rsidTr="0012032B">
        <w:trPr>
          <w:trHeight w:val="274"/>
        </w:trPr>
        <w:tc>
          <w:tcPr>
            <w:tcW w:w="8340" w:type="dxa"/>
            <w:vAlign w:val="center"/>
          </w:tcPr>
          <w:p w14:paraId="61E341E9" w14:textId="4444037E" w:rsidR="0012032B" w:rsidRDefault="0012032B" w:rsidP="0012032B">
            <w:pPr>
              <w:spacing w:line="360" w:lineRule="auto"/>
              <w:rPr>
                <w:rFonts w:eastAsia="Times New Roman"/>
                <w:sz w:val="18"/>
                <w:szCs w:val="18"/>
              </w:rPr>
            </w:pPr>
            <w:r>
              <w:rPr>
                <w:rFonts w:eastAsia="Times New Roman"/>
                <w:sz w:val="18"/>
                <w:szCs w:val="18"/>
              </w:rPr>
              <w:t>Granular media filtration (Surface Water/GW UDI) less than or equal to 3 gpm/sq ft</w:t>
            </w:r>
          </w:p>
        </w:tc>
        <w:tc>
          <w:tcPr>
            <w:tcW w:w="1300" w:type="dxa"/>
            <w:vAlign w:val="center"/>
          </w:tcPr>
          <w:p w14:paraId="66647D81" w14:textId="170D9433" w:rsidR="0012032B" w:rsidRPr="0012032B" w:rsidRDefault="0012032B" w:rsidP="0012032B">
            <w:pPr>
              <w:jc w:val="center"/>
              <w:rPr>
                <w:rFonts w:eastAsia="Times New Roman"/>
                <w:sz w:val="18"/>
                <w:szCs w:val="18"/>
              </w:rPr>
            </w:pPr>
            <w:r>
              <w:rPr>
                <w:rFonts w:eastAsia="Times New Roman"/>
                <w:sz w:val="18"/>
                <w:szCs w:val="18"/>
              </w:rPr>
              <w:t>10</w:t>
            </w:r>
          </w:p>
        </w:tc>
      </w:tr>
      <w:tr w:rsidR="0012032B" w14:paraId="00920720" w14:textId="77777777" w:rsidTr="0012032B">
        <w:trPr>
          <w:trHeight w:val="237"/>
        </w:trPr>
        <w:tc>
          <w:tcPr>
            <w:tcW w:w="8340" w:type="dxa"/>
            <w:vAlign w:val="center"/>
          </w:tcPr>
          <w:p w14:paraId="57FB6CEF" w14:textId="0046D89C" w:rsidR="0012032B" w:rsidRDefault="0012032B" w:rsidP="0012032B">
            <w:pPr>
              <w:spacing w:line="360" w:lineRule="auto"/>
              <w:rPr>
                <w:rFonts w:eastAsia="Times New Roman"/>
                <w:sz w:val="18"/>
                <w:szCs w:val="18"/>
              </w:rPr>
            </w:pPr>
            <w:r>
              <w:rPr>
                <w:rFonts w:eastAsia="Times New Roman"/>
                <w:sz w:val="18"/>
                <w:szCs w:val="18"/>
              </w:rPr>
              <w:t>Granular media filtration (Surface Water/GW UDI) greater than 3 gpm/sq ft</w:t>
            </w:r>
          </w:p>
        </w:tc>
        <w:tc>
          <w:tcPr>
            <w:tcW w:w="1300" w:type="dxa"/>
            <w:vAlign w:val="center"/>
          </w:tcPr>
          <w:p w14:paraId="638F03CF" w14:textId="019C4D7B" w:rsidR="0012032B" w:rsidRPr="0012032B" w:rsidRDefault="0012032B" w:rsidP="0012032B">
            <w:pPr>
              <w:jc w:val="center"/>
              <w:rPr>
                <w:rFonts w:eastAsia="Times New Roman"/>
                <w:sz w:val="18"/>
                <w:szCs w:val="18"/>
              </w:rPr>
            </w:pPr>
            <w:r>
              <w:rPr>
                <w:rFonts w:eastAsia="Times New Roman"/>
                <w:sz w:val="18"/>
                <w:szCs w:val="18"/>
              </w:rPr>
              <w:t>20</w:t>
            </w:r>
          </w:p>
        </w:tc>
      </w:tr>
      <w:tr w:rsidR="0012032B" w14:paraId="19ADC7FD" w14:textId="77777777" w:rsidTr="0012032B">
        <w:trPr>
          <w:trHeight w:val="237"/>
        </w:trPr>
        <w:tc>
          <w:tcPr>
            <w:tcW w:w="8340" w:type="dxa"/>
            <w:vAlign w:val="center"/>
          </w:tcPr>
          <w:p w14:paraId="137453A5" w14:textId="02604387" w:rsidR="0012032B" w:rsidRDefault="0012032B" w:rsidP="0012032B">
            <w:pPr>
              <w:spacing w:line="360" w:lineRule="auto"/>
              <w:rPr>
                <w:rFonts w:eastAsia="Times New Roman"/>
                <w:sz w:val="18"/>
                <w:szCs w:val="18"/>
              </w:rPr>
            </w:pPr>
            <w:r>
              <w:rPr>
                <w:rFonts w:eastAsia="Times New Roman"/>
                <w:sz w:val="18"/>
                <w:szCs w:val="18"/>
              </w:rPr>
              <w:t>Groundwater Filtration</w:t>
            </w:r>
          </w:p>
        </w:tc>
        <w:tc>
          <w:tcPr>
            <w:tcW w:w="1300" w:type="dxa"/>
            <w:vAlign w:val="center"/>
          </w:tcPr>
          <w:p w14:paraId="70B98EF2" w14:textId="645514B7" w:rsidR="0012032B" w:rsidRPr="0012032B" w:rsidRDefault="0012032B" w:rsidP="0012032B">
            <w:pPr>
              <w:jc w:val="center"/>
              <w:rPr>
                <w:rFonts w:eastAsia="Times New Roman"/>
                <w:sz w:val="18"/>
                <w:szCs w:val="18"/>
              </w:rPr>
            </w:pPr>
            <w:r>
              <w:rPr>
                <w:rFonts w:eastAsia="Times New Roman"/>
                <w:sz w:val="18"/>
                <w:szCs w:val="18"/>
              </w:rPr>
              <w:t>6</w:t>
            </w:r>
          </w:p>
        </w:tc>
      </w:tr>
      <w:tr w:rsidR="0012032B" w14:paraId="43D962A9" w14:textId="77777777" w:rsidTr="0012032B">
        <w:trPr>
          <w:trHeight w:val="1552"/>
        </w:trPr>
        <w:tc>
          <w:tcPr>
            <w:tcW w:w="8340" w:type="dxa"/>
            <w:vAlign w:val="center"/>
          </w:tcPr>
          <w:p w14:paraId="7285410B" w14:textId="77777777" w:rsidR="0012032B" w:rsidRDefault="0012032B" w:rsidP="0012032B">
            <w:pPr>
              <w:spacing w:line="360" w:lineRule="auto"/>
              <w:rPr>
                <w:rFonts w:eastAsia="Times New Roman"/>
                <w:sz w:val="18"/>
                <w:szCs w:val="18"/>
              </w:rPr>
            </w:pPr>
            <w:r>
              <w:rPr>
                <w:rFonts w:eastAsia="Times New Roman"/>
                <w:sz w:val="18"/>
                <w:szCs w:val="18"/>
              </w:rPr>
              <w:t>Membrane Filtration</w:t>
            </w:r>
          </w:p>
          <w:p w14:paraId="7BAEB19C" w14:textId="61F4DD24" w:rsidR="0012032B" w:rsidRPr="0012032B" w:rsidRDefault="0012032B" w:rsidP="00563A54">
            <w:pPr>
              <w:pStyle w:val="ListParagraph"/>
              <w:numPr>
                <w:ilvl w:val="0"/>
                <w:numId w:val="926"/>
              </w:numPr>
              <w:spacing w:line="360" w:lineRule="auto"/>
              <w:rPr>
                <w:rFonts w:eastAsia="Times New Roman"/>
                <w:sz w:val="18"/>
                <w:szCs w:val="18"/>
              </w:rPr>
            </w:pPr>
            <w:r w:rsidRPr="0012032B">
              <w:rPr>
                <w:rFonts w:eastAsia="Times New Roman"/>
                <w:sz w:val="18"/>
                <w:szCs w:val="18"/>
              </w:rPr>
              <w:t>For compliance with a primary MCL, Treatment Technique, MRDL, Action Level or any standards specific to an individual Public Water System established pursuant to a health assessment as provided in 310 CMR 22.03(8) (10 points)</w:t>
            </w:r>
          </w:p>
          <w:p w14:paraId="27D68702" w14:textId="4477A93D" w:rsidR="0012032B" w:rsidRPr="0012032B" w:rsidDel="007B206E" w:rsidRDefault="0012032B" w:rsidP="00563A54">
            <w:pPr>
              <w:pStyle w:val="ListParagraph"/>
              <w:numPr>
                <w:ilvl w:val="0"/>
                <w:numId w:val="926"/>
              </w:numPr>
              <w:spacing w:line="360" w:lineRule="auto"/>
              <w:rPr>
                <w:rFonts w:eastAsia="Times New Roman"/>
                <w:sz w:val="18"/>
                <w:szCs w:val="18"/>
              </w:rPr>
            </w:pPr>
            <w:r w:rsidRPr="0012032B">
              <w:rPr>
                <w:rFonts w:eastAsia="Times New Roman"/>
                <w:sz w:val="18"/>
                <w:szCs w:val="18"/>
              </w:rPr>
              <w:t>For compliance with a Secondary MCL regulation (6 points)</w:t>
            </w:r>
          </w:p>
        </w:tc>
        <w:tc>
          <w:tcPr>
            <w:tcW w:w="1300" w:type="dxa"/>
            <w:vAlign w:val="center"/>
          </w:tcPr>
          <w:p w14:paraId="6C062C2B" w14:textId="71F2732E" w:rsidR="0012032B" w:rsidRPr="0012032B" w:rsidRDefault="0012032B" w:rsidP="0012032B">
            <w:pPr>
              <w:jc w:val="center"/>
              <w:rPr>
                <w:rFonts w:eastAsia="Times New Roman"/>
                <w:sz w:val="18"/>
                <w:szCs w:val="18"/>
              </w:rPr>
            </w:pPr>
            <w:r>
              <w:rPr>
                <w:rFonts w:eastAsia="Times New Roman"/>
                <w:sz w:val="18"/>
                <w:szCs w:val="18"/>
              </w:rPr>
              <w:t>6 - 10</w:t>
            </w:r>
          </w:p>
        </w:tc>
      </w:tr>
      <w:tr w:rsidR="0012032B" w14:paraId="6449F79F" w14:textId="77777777" w:rsidTr="0012032B">
        <w:trPr>
          <w:trHeight w:val="274"/>
        </w:trPr>
        <w:tc>
          <w:tcPr>
            <w:tcW w:w="8340" w:type="dxa"/>
            <w:vAlign w:val="center"/>
          </w:tcPr>
          <w:p w14:paraId="73BE17A3" w14:textId="78521726" w:rsidR="0012032B" w:rsidRDefault="0012032B" w:rsidP="0012032B">
            <w:pPr>
              <w:ind w:left="120"/>
              <w:rPr>
                <w:rFonts w:eastAsia="Times New Roman"/>
                <w:sz w:val="18"/>
                <w:szCs w:val="18"/>
              </w:rPr>
            </w:pPr>
            <w:r>
              <w:rPr>
                <w:rFonts w:eastAsia="Times New Roman"/>
                <w:sz w:val="18"/>
                <w:szCs w:val="18"/>
              </w:rPr>
              <w:t>Diatomaceous Earth (pre-coat filtration)</w:t>
            </w:r>
          </w:p>
        </w:tc>
        <w:tc>
          <w:tcPr>
            <w:tcW w:w="1300" w:type="dxa"/>
            <w:vAlign w:val="center"/>
          </w:tcPr>
          <w:p w14:paraId="5E9DBC34" w14:textId="28DB3DE0" w:rsidR="0012032B" w:rsidRPr="0012032B" w:rsidRDefault="0012032B" w:rsidP="0012032B">
            <w:pPr>
              <w:jc w:val="center"/>
              <w:rPr>
                <w:rFonts w:eastAsia="Times New Roman"/>
                <w:sz w:val="18"/>
                <w:szCs w:val="18"/>
              </w:rPr>
            </w:pPr>
            <w:r>
              <w:rPr>
                <w:rFonts w:eastAsia="Times New Roman"/>
                <w:sz w:val="18"/>
                <w:szCs w:val="18"/>
              </w:rPr>
              <w:t>10</w:t>
            </w:r>
          </w:p>
        </w:tc>
      </w:tr>
      <w:tr w:rsidR="0012032B" w14:paraId="13B7BF2E" w14:textId="77777777" w:rsidTr="0012032B">
        <w:trPr>
          <w:trHeight w:val="274"/>
        </w:trPr>
        <w:tc>
          <w:tcPr>
            <w:tcW w:w="8340" w:type="dxa"/>
            <w:vAlign w:val="center"/>
          </w:tcPr>
          <w:p w14:paraId="54F70B6C" w14:textId="7DA41615" w:rsidR="0012032B" w:rsidRPr="0012032B" w:rsidRDefault="0012032B" w:rsidP="0012032B">
            <w:pPr>
              <w:ind w:left="120"/>
              <w:rPr>
                <w:sz w:val="20"/>
                <w:szCs w:val="20"/>
              </w:rPr>
            </w:pPr>
            <w:r>
              <w:rPr>
                <w:rFonts w:eastAsia="Times New Roman"/>
                <w:sz w:val="18"/>
                <w:szCs w:val="18"/>
              </w:rPr>
              <w:t>Cartridge/bag</w:t>
            </w:r>
          </w:p>
        </w:tc>
        <w:tc>
          <w:tcPr>
            <w:tcW w:w="1300" w:type="dxa"/>
            <w:vAlign w:val="center"/>
          </w:tcPr>
          <w:p w14:paraId="247E1351" w14:textId="7DE19243" w:rsidR="0012032B" w:rsidRPr="0012032B" w:rsidRDefault="0012032B" w:rsidP="0012032B">
            <w:pPr>
              <w:jc w:val="center"/>
              <w:rPr>
                <w:rFonts w:eastAsia="Times New Roman"/>
                <w:sz w:val="18"/>
                <w:szCs w:val="18"/>
              </w:rPr>
            </w:pPr>
            <w:r>
              <w:rPr>
                <w:rFonts w:eastAsia="Times New Roman"/>
                <w:sz w:val="18"/>
                <w:szCs w:val="18"/>
              </w:rPr>
              <w:t>5</w:t>
            </w:r>
          </w:p>
        </w:tc>
      </w:tr>
      <w:tr w:rsidR="0012032B" w14:paraId="16BBB925" w14:textId="77777777" w:rsidTr="0012032B">
        <w:trPr>
          <w:trHeight w:val="547"/>
        </w:trPr>
        <w:tc>
          <w:tcPr>
            <w:tcW w:w="8340" w:type="dxa"/>
            <w:vAlign w:val="center"/>
          </w:tcPr>
          <w:p w14:paraId="5696BC8F" w14:textId="60C00EEC" w:rsidR="0012032B" w:rsidDel="007B206E" w:rsidRDefault="0012032B" w:rsidP="0012032B">
            <w:pPr>
              <w:spacing w:line="296" w:lineRule="auto"/>
              <w:ind w:left="120"/>
              <w:rPr>
                <w:rFonts w:eastAsia="Times New Roman"/>
                <w:sz w:val="18"/>
                <w:szCs w:val="18"/>
              </w:rPr>
            </w:pPr>
            <w:r>
              <w:rPr>
                <w:rFonts w:eastAsia="Times New Roman"/>
                <w:sz w:val="18"/>
                <w:szCs w:val="18"/>
              </w:rPr>
              <w:t xml:space="preserve">Pre-filtration (staged cartridges, pressure sand w/o Coagulation, </w:t>
            </w:r>
            <w:r>
              <w:rPr>
                <w:rFonts w:eastAsia="Times New Roman"/>
                <w:i/>
                <w:iCs/>
                <w:sz w:val="18"/>
                <w:szCs w:val="18"/>
              </w:rPr>
              <w:t>etc</w:t>
            </w:r>
            <w:r>
              <w:rPr>
                <w:rFonts w:eastAsia="Times New Roman"/>
                <w:sz w:val="18"/>
                <w:szCs w:val="18"/>
              </w:rPr>
              <w:t>.): add one point per stage to maximum of 3 points</w:t>
            </w:r>
          </w:p>
        </w:tc>
        <w:tc>
          <w:tcPr>
            <w:tcW w:w="1300" w:type="dxa"/>
            <w:vAlign w:val="center"/>
          </w:tcPr>
          <w:p w14:paraId="6FCC96A2" w14:textId="035D28D0" w:rsidR="0012032B" w:rsidRPr="0012032B" w:rsidRDefault="0012032B" w:rsidP="0012032B">
            <w:pPr>
              <w:jc w:val="center"/>
              <w:rPr>
                <w:rFonts w:eastAsia="Times New Roman"/>
                <w:sz w:val="18"/>
                <w:szCs w:val="18"/>
              </w:rPr>
            </w:pPr>
            <w:r>
              <w:rPr>
                <w:rFonts w:eastAsia="Times New Roman"/>
                <w:sz w:val="18"/>
                <w:szCs w:val="18"/>
              </w:rPr>
              <w:t>1 - 3</w:t>
            </w:r>
          </w:p>
        </w:tc>
      </w:tr>
      <w:tr w:rsidR="0012032B" w14:paraId="53E81CD7" w14:textId="77777777" w:rsidTr="0012032B">
        <w:trPr>
          <w:trHeight w:val="274"/>
        </w:trPr>
        <w:tc>
          <w:tcPr>
            <w:tcW w:w="8340" w:type="dxa"/>
            <w:vAlign w:val="center"/>
          </w:tcPr>
          <w:p w14:paraId="7FEF34A1" w14:textId="1BDDF41B" w:rsidR="0012032B" w:rsidRDefault="0012032B" w:rsidP="0012032B">
            <w:pPr>
              <w:ind w:left="120"/>
              <w:rPr>
                <w:rFonts w:eastAsia="Times New Roman"/>
                <w:sz w:val="18"/>
                <w:szCs w:val="18"/>
              </w:rPr>
            </w:pPr>
            <w:r>
              <w:rPr>
                <w:rFonts w:eastAsia="Times New Roman"/>
                <w:sz w:val="18"/>
                <w:szCs w:val="18"/>
              </w:rPr>
              <w:t>Slow sand</w:t>
            </w:r>
          </w:p>
        </w:tc>
        <w:tc>
          <w:tcPr>
            <w:tcW w:w="1300" w:type="dxa"/>
            <w:vAlign w:val="center"/>
          </w:tcPr>
          <w:p w14:paraId="16C30D76" w14:textId="27F35C7A" w:rsidR="0012032B" w:rsidRPr="0012032B" w:rsidRDefault="0012032B" w:rsidP="0012032B">
            <w:pPr>
              <w:jc w:val="center"/>
              <w:rPr>
                <w:rFonts w:eastAsia="Times New Roman"/>
                <w:sz w:val="18"/>
                <w:szCs w:val="18"/>
              </w:rPr>
            </w:pPr>
            <w:r>
              <w:rPr>
                <w:rFonts w:eastAsia="Times New Roman"/>
                <w:sz w:val="18"/>
                <w:szCs w:val="18"/>
              </w:rPr>
              <w:t>5</w:t>
            </w:r>
          </w:p>
        </w:tc>
      </w:tr>
    </w:tbl>
    <w:p w14:paraId="281A05D2" w14:textId="77777777" w:rsidR="004647B9" w:rsidRDefault="004647B9">
      <w:pPr>
        <w:sectPr w:rsidR="004647B9" w:rsidSect="00EF630C">
          <w:pgSz w:w="12240" w:h="20180"/>
          <w:pgMar w:top="708" w:right="1440" w:bottom="1440" w:left="600" w:header="0" w:footer="0" w:gutter="0"/>
          <w:cols w:space="720"/>
        </w:sectPr>
      </w:pPr>
    </w:p>
    <w:p w14:paraId="281A0690" w14:textId="77777777" w:rsidR="004647B9" w:rsidRDefault="004647B9">
      <w:pPr>
        <w:sectPr w:rsidR="004647B9" w:rsidSect="00EF630C">
          <w:type w:val="continuous"/>
          <w:pgSz w:w="12240" w:h="20180"/>
          <w:pgMar w:top="708" w:right="1440" w:bottom="1440" w:left="600" w:header="0" w:footer="0" w:gutter="0"/>
          <w:cols w:space="720"/>
        </w:sectPr>
      </w:pPr>
    </w:p>
    <w:p w14:paraId="281A0691" w14:textId="77777777" w:rsidR="004647B9" w:rsidRDefault="00E2436F">
      <w:pPr>
        <w:tabs>
          <w:tab w:val="left" w:pos="160"/>
        </w:tabs>
        <w:ind w:right="60"/>
        <w:jc w:val="center"/>
        <w:rPr>
          <w:sz w:val="20"/>
          <w:szCs w:val="20"/>
        </w:rPr>
      </w:pPr>
      <w:bookmarkStart w:id="162" w:name="page164"/>
      <w:bookmarkEnd w:id="16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693" w14:textId="77777777" w:rsidR="004647B9" w:rsidRDefault="004647B9" w:rsidP="00887943">
      <w:pPr>
        <w:rPr>
          <w:sz w:val="20"/>
          <w:szCs w:val="20"/>
        </w:rPr>
      </w:pPr>
    </w:p>
    <w:p w14:paraId="281A0694" w14:textId="77777777" w:rsidR="004647B9" w:rsidRDefault="004647B9" w:rsidP="00887943">
      <w:pPr>
        <w:rPr>
          <w:sz w:val="20"/>
          <w:szCs w:val="20"/>
        </w:rPr>
      </w:pPr>
    </w:p>
    <w:p w14:paraId="281A0695" w14:textId="77777777" w:rsidR="004647B9" w:rsidRDefault="00E2436F" w:rsidP="00887943">
      <w:pPr>
        <w:tabs>
          <w:tab w:val="left" w:pos="1040"/>
        </w:tabs>
        <w:ind w:left="120"/>
        <w:rPr>
          <w:sz w:val="20"/>
          <w:szCs w:val="20"/>
        </w:rPr>
      </w:pPr>
      <w:r>
        <w:rPr>
          <w:rFonts w:eastAsia="Times New Roman"/>
          <w:sz w:val="24"/>
          <w:szCs w:val="24"/>
        </w:rPr>
        <w:t>22.11B:</w:t>
      </w:r>
      <w:r>
        <w:rPr>
          <w:rFonts w:eastAsia="Times New Roman"/>
          <w:sz w:val="24"/>
          <w:szCs w:val="24"/>
        </w:rPr>
        <w:tab/>
        <w:t>continued</w:t>
      </w:r>
    </w:p>
    <w:p w14:paraId="281A0698" w14:textId="77777777" w:rsidR="004647B9" w:rsidRDefault="004647B9" w:rsidP="00887943">
      <w:pPr>
        <w:rPr>
          <w:sz w:val="20"/>
          <w:szCs w:val="20"/>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350"/>
        <w:gridCol w:w="1850"/>
      </w:tblGrid>
      <w:tr w:rsidR="00206C82" w14:paraId="1E5F3A30" w14:textId="77777777" w:rsidTr="00AB665E">
        <w:trPr>
          <w:trHeight w:val="378"/>
        </w:trPr>
        <w:tc>
          <w:tcPr>
            <w:tcW w:w="8350" w:type="dxa"/>
            <w:vAlign w:val="bottom"/>
          </w:tcPr>
          <w:p w14:paraId="67AB8219" w14:textId="5FE9ECCE" w:rsidR="00206C82" w:rsidRDefault="00206C82">
            <w:pPr>
              <w:ind w:left="180"/>
              <w:rPr>
                <w:rFonts w:eastAsia="Times New Roman"/>
                <w:b/>
                <w:bCs/>
                <w:sz w:val="18"/>
                <w:szCs w:val="18"/>
              </w:rPr>
            </w:pPr>
            <w:r>
              <w:rPr>
                <w:rFonts w:eastAsia="Times New Roman"/>
                <w:b/>
                <w:bCs/>
                <w:sz w:val="18"/>
                <w:szCs w:val="18"/>
              </w:rPr>
              <w:t>Item</w:t>
            </w:r>
          </w:p>
        </w:tc>
        <w:tc>
          <w:tcPr>
            <w:tcW w:w="1850" w:type="dxa"/>
            <w:vAlign w:val="bottom"/>
          </w:tcPr>
          <w:p w14:paraId="3D5FE373" w14:textId="77777777" w:rsidR="00206C82" w:rsidRDefault="00206C82">
            <w:pPr>
              <w:rPr>
                <w:rFonts w:eastAsia="Times New Roman"/>
                <w:b/>
                <w:bCs/>
                <w:sz w:val="18"/>
                <w:szCs w:val="18"/>
              </w:rPr>
            </w:pPr>
            <w:r>
              <w:rPr>
                <w:rFonts w:eastAsia="Times New Roman"/>
                <w:b/>
                <w:bCs/>
                <w:sz w:val="18"/>
                <w:szCs w:val="18"/>
              </w:rPr>
              <w:t>Points</w:t>
            </w:r>
          </w:p>
          <w:p w14:paraId="39AAEFB2" w14:textId="22A57B9C" w:rsidR="00206C82" w:rsidRDefault="00206C82">
            <w:pPr>
              <w:rPr>
                <w:sz w:val="24"/>
                <w:szCs w:val="24"/>
              </w:rPr>
            </w:pPr>
            <w:r>
              <w:rPr>
                <w:rFonts w:eastAsia="Times New Roman"/>
                <w:b/>
                <w:bCs/>
                <w:sz w:val="18"/>
                <w:szCs w:val="18"/>
              </w:rPr>
              <w:t>Possible</w:t>
            </w:r>
          </w:p>
        </w:tc>
      </w:tr>
      <w:tr w:rsidR="00206C82" w14:paraId="281A06A3" w14:textId="77777777" w:rsidTr="00AB665E">
        <w:trPr>
          <w:trHeight w:val="378"/>
        </w:trPr>
        <w:tc>
          <w:tcPr>
            <w:tcW w:w="10200" w:type="dxa"/>
            <w:gridSpan w:val="2"/>
            <w:vMerge w:val="restart"/>
            <w:vAlign w:val="center"/>
          </w:tcPr>
          <w:p w14:paraId="281A06A1" w14:textId="59841953" w:rsidR="00206C82" w:rsidRDefault="00206C82" w:rsidP="00AE1DD1">
            <w:pPr>
              <w:rPr>
                <w:sz w:val="24"/>
                <w:szCs w:val="24"/>
              </w:rPr>
            </w:pPr>
            <w:r>
              <w:rPr>
                <w:rFonts w:eastAsia="Times New Roman"/>
                <w:b/>
                <w:bCs/>
                <w:sz w:val="18"/>
                <w:szCs w:val="18"/>
              </w:rPr>
              <w:t>Other Treatment Processes</w:t>
            </w:r>
          </w:p>
        </w:tc>
      </w:tr>
      <w:tr w:rsidR="00206C82" w14:paraId="281A06A7" w14:textId="77777777" w:rsidTr="00AB665E">
        <w:trPr>
          <w:trHeight w:val="54"/>
        </w:trPr>
        <w:tc>
          <w:tcPr>
            <w:tcW w:w="10200" w:type="dxa"/>
            <w:gridSpan w:val="2"/>
            <w:vMerge/>
            <w:vAlign w:val="bottom"/>
          </w:tcPr>
          <w:p w14:paraId="281A06A5" w14:textId="77777777" w:rsidR="00206C82" w:rsidRDefault="00206C82">
            <w:pPr>
              <w:rPr>
                <w:sz w:val="4"/>
                <w:szCs w:val="4"/>
              </w:rPr>
            </w:pPr>
          </w:p>
        </w:tc>
      </w:tr>
      <w:tr w:rsidR="00206C82" w14:paraId="281A06AB" w14:textId="77777777" w:rsidTr="00AB665E">
        <w:trPr>
          <w:trHeight w:val="377"/>
        </w:trPr>
        <w:tc>
          <w:tcPr>
            <w:tcW w:w="8350" w:type="dxa"/>
            <w:vMerge w:val="restart"/>
            <w:vAlign w:val="center"/>
          </w:tcPr>
          <w:p w14:paraId="281A06A8" w14:textId="77777777" w:rsidR="00206C82" w:rsidRDefault="00206C82" w:rsidP="00AE1DD1">
            <w:pPr>
              <w:ind w:left="120"/>
              <w:rPr>
                <w:sz w:val="20"/>
                <w:szCs w:val="20"/>
              </w:rPr>
            </w:pPr>
            <w:r>
              <w:rPr>
                <w:rFonts w:eastAsia="Times New Roman"/>
                <w:sz w:val="18"/>
                <w:szCs w:val="18"/>
              </w:rPr>
              <w:t>Aeration</w:t>
            </w:r>
          </w:p>
        </w:tc>
        <w:tc>
          <w:tcPr>
            <w:tcW w:w="1850" w:type="dxa"/>
            <w:vMerge w:val="restart"/>
            <w:vAlign w:val="center"/>
          </w:tcPr>
          <w:p w14:paraId="281A06A9" w14:textId="77777777" w:rsidR="00206C82" w:rsidRDefault="00206C82" w:rsidP="00AE1DD1">
            <w:pPr>
              <w:jc w:val="center"/>
              <w:rPr>
                <w:sz w:val="20"/>
                <w:szCs w:val="20"/>
              </w:rPr>
            </w:pPr>
            <w:r>
              <w:rPr>
                <w:rFonts w:eastAsia="Times New Roman"/>
                <w:sz w:val="18"/>
                <w:szCs w:val="18"/>
              </w:rPr>
              <w:t>3</w:t>
            </w:r>
          </w:p>
        </w:tc>
      </w:tr>
      <w:tr w:rsidR="00206C82" w14:paraId="281A06AF" w14:textId="77777777" w:rsidTr="00AB665E">
        <w:trPr>
          <w:trHeight w:val="54"/>
        </w:trPr>
        <w:tc>
          <w:tcPr>
            <w:tcW w:w="8350" w:type="dxa"/>
            <w:vMerge/>
            <w:vAlign w:val="bottom"/>
          </w:tcPr>
          <w:p w14:paraId="281A06AC" w14:textId="77777777" w:rsidR="00206C82" w:rsidRDefault="00206C82">
            <w:pPr>
              <w:rPr>
                <w:sz w:val="4"/>
                <w:szCs w:val="4"/>
              </w:rPr>
            </w:pPr>
          </w:p>
        </w:tc>
        <w:tc>
          <w:tcPr>
            <w:tcW w:w="1850" w:type="dxa"/>
            <w:vMerge/>
            <w:vAlign w:val="center"/>
          </w:tcPr>
          <w:p w14:paraId="281A06AD" w14:textId="77777777" w:rsidR="00206C82" w:rsidRDefault="00206C82" w:rsidP="00AE1DD1">
            <w:pPr>
              <w:jc w:val="center"/>
              <w:rPr>
                <w:sz w:val="4"/>
                <w:szCs w:val="4"/>
              </w:rPr>
            </w:pPr>
          </w:p>
        </w:tc>
      </w:tr>
      <w:tr w:rsidR="00206C82" w14:paraId="281A06B3" w14:textId="77777777" w:rsidTr="00AB665E">
        <w:trPr>
          <w:trHeight w:val="377"/>
        </w:trPr>
        <w:tc>
          <w:tcPr>
            <w:tcW w:w="8350" w:type="dxa"/>
            <w:vMerge w:val="restart"/>
            <w:vAlign w:val="center"/>
          </w:tcPr>
          <w:p w14:paraId="281A06B0" w14:textId="77777777" w:rsidR="00206C82" w:rsidRDefault="00206C82" w:rsidP="00AE1DD1">
            <w:pPr>
              <w:ind w:left="120"/>
              <w:rPr>
                <w:sz w:val="20"/>
                <w:szCs w:val="20"/>
              </w:rPr>
            </w:pPr>
            <w:r>
              <w:rPr>
                <w:rFonts w:eastAsia="Times New Roman"/>
                <w:sz w:val="18"/>
                <w:szCs w:val="18"/>
              </w:rPr>
              <w:t>Air stripping (including diffused air, packed tower Aeration)</w:t>
            </w:r>
          </w:p>
        </w:tc>
        <w:tc>
          <w:tcPr>
            <w:tcW w:w="1850" w:type="dxa"/>
            <w:vMerge w:val="restart"/>
            <w:vAlign w:val="center"/>
          </w:tcPr>
          <w:p w14:paraId="281A06B1" w14:textId="77777777" w:rsidR="00206C82" w:rsidRDefault="00206C82" w:rsidP="00AE1DD1">
            <w:pPr>
              <w:jc w:val="center"/>
              <w:rPr>
                <w:sz w:val="20"/>
                <w:szCs w:val="20"/>
              </w:rPr>
            </w:pPr>
            <w:r>
              <w:rPr>
                <w:rFonts w:eastAsia="Times New Roman"/>
                <w:sz w:val="18"/>
                <w:szCs w:val="18"/>
              </w:rPr>
              <w:t>5</w:t>
            </w:r>
          </w:p>
        </w:tc>
      </w:tr>
      <w:tr w:rsidR="00206C82" w14:paraId="281A06B7" w14:textId="77777777" w:rsidTr="00AB665E">
        <w:trPr>
          <w:trHeight w:val="54"/>
        </w:trPr>
        <w:tc>
          <w:tcPr>
            <w:tcW w:w="8350" w:type="dxa"/>
            <w:vMerge/>
            <w:vAlign w:val="bottom"/>
          </w:tcPr>
          <w:p w14:paraId="281A06B4" w14:textId="77777777" w:rsidR="00206C82" w:rsidRDefault="00206C82">
            <w:pPr>
              <w:rPr>
                <w:sz w:val="4"/>
                <w:szCs w:val="4"/>
              </w:rPr>
            </w:pPr>
          </w:p>
        </w:tc>
        <w:tc>
          <w:tcPr>
            <w:tcW w:w="1850" w:type="dxa"/>
            <w:vMerge/>
            <w:vAlign w:val="center"/>
          </w:tcPr>
          <w:p w14:paraId="281A06B5" w14:textId="77777777" w:rsidR="00206C82" w:rsidRDefault="00206C82" w:rsidP="00AE1DD1">
            <w:pPr>
              <w:jc w:val="center"/>
              <w:rPr>
                <w:sz w:val="4"/>
                <w:szCs w:val="4"/>
              </w:rPr>
            </w:pPr>
          </w:p>
        </w:tc>
      </w:tr>
      <w:tr w:rsidR="00206C82" w14:paraId="281A06BB" w14:textId="77777777" w:rsidTr="00AB665E">
        <w:trPr>
          <w:trHeight w:val="377"/>
        </w:trPr>
        <w:tc>
          <w:tcPr>
            <w:tcW w:w="8350" w:type="dxa"/>
            <w:vMerge w:val="restart"/>
            <w:vAlign w:val="center"/>
          </w:tcPr>
          <w:p w14:paraId="281A06B8" w14:textId="77777777" w:rsidR="00206C82" w:rsidRDefault="00206C82" w:rsidP="00AE1DD1">
            <w:pPr>
              <w:ind w:left="120"/>
              <w:rPr>
                <w:sz w:val="20"/>
                <w:szCs w:val="20"/>
              </w:rPr>
            </w:pPr>
            <w:r>
              <w:rPr>
                <w:rFonts w:eastAsia="Times New Roman"/>
                <w:sz w:val="18"/>
                <w:szCs w:val="18"/>
              </w:rPr>
              <w:t>Ion-exchange/softening</w:t>
            </w:r>
          </w:p>
        </w:tc>
        <w:tc>
          <w:tcPr>
            <w:tcW w:w="1850" w:type="dxa"/>
            <w:vMerge w:val="restart"/>
            <w:vAlign w:val="center"/>
          </w:tcPr>
          <w:p w14:paraId="281A06B9" w14:textId="77777777" w:rsidR="00206C82" w:rsidRDefault="00206C82" w:rsidP="00AE1DD1">
            <w:pPr>
              <w:jc w:val="center"/>
              <w:rPr>
                <w:sz w:val="20"/>
                <w:szCs w:val="20"/>
              </w:rPr>
            </w:pPr>
            <w:r>
              <w:rPr>
                <w:rFonts w:eastAsia="Times New Roman"/>
                <w:sz w:val="18"/>
                <w:szCs w:val="18"/>
              </w:rPr>
              <w:t>5</w:t>
            </w:r>
          </w:p>
        </w:tc>
      </w:tr>
      <w:tr w:rsidR="00206C82" w14:paraId="281A06BF" w14:textId="77777777" w:rsidTr="00AB665E">
        <w:trPr>
          <w:trHeight w:val="54"/>
        </w:trPr>
        <w:tc>
          <w:tcPr>
            <w:tcW w:w="8350" w:type="dxa"/>
            <w:vMerge/>
            <w:vAlign w:val="bottom"/>
          </w:tcPr>
          <w:p w14:paraId="281A06BC" w14:textId="77777777" w:rsidR="00206C82" w:rsidRDefault="00206C82">
            <w:pPr>
              <w:rPr>
                <w:sz w:val="4"/>
                <w:szCs w:val="4"/>
              </w:rPr>
            </w:pPr>
          </w:p>
        </w:tc>
        <w:tc>
          <w:tcPr>
            <w:tcW w:w="1850" w:type="dxa"/>
            <w:vMerge/>
            <w:vAlign w:val="center"/>
          </w:tcPr>
          <w:p w14:paraId="281A06BD" w14:textId="77777777" w:rsidR="00206C82" w:rsidRDefault="00206C82" w:rsidP="00AE1DD1">
            <w:pPr>
              <w:jc w:val="center"/>
              <w:rPr>
                <w:sz w:val="4"/>
                <w:szCs w:val="4"/>
              </w:rPr>
            </w:pPr>
          </w:p>
        </w:tc>
      </w:tr>
      <w:tr w:rsidR="00206C82" w14:paraId="281A06C3" w14:textId="77777777" w:rsidTr="00AB665E">
        <w:trPr>
          <w:trHeight w:val="377"/>
        </w:trPr>
        <w:tc>
          <w:tcPr>
            <w:tcW w:w="8350" w:type="dxa"/>
            <w:vMerge w:val="restart"/>
            <w:vAlign w:val="center"/>
          </w:tcPr>
          <w:p w14:paraId="281A06C0" w14:textId="77777777" w:rsidR="00206C82" w:rsidRDefault="00206C82" w:rsidP="00AE1DD1">
            <w:pPr>
              <w:ind w:left="120"/>
              <w:rPr>
                <w:sz w:val="20"/>
                <w:szCs w:val="20"/>
              </w:rPr>
            </w:pPr>
            <w:r>
              <w:rPr>
                <w:rFonts w:eastAsia="Times New Roman"/>
                <w:sz w:val="18"/>
                <w:szCs w:val="18"/>
              </w:rPr>
              <w:t>Green sand Filtration</w:t>
            </w:r>
          </w:p>
        </w:tc>
        <w:tc>
          <w:tcPr>
            <w:tcW w:w="1850" w:type="dxa"/>
            <w:vMerge w:val="restart"/>
            <w:vAlign w:val="center"/>
          </w:tcPr>
          <w:p w14:paraId="281A06C1" w14:textId="77777777" w:rsidR="00206C82" w:rsidRDefault="00206C82" w:rsidP="00AE1DD1">
            <w:pPr>
              <w:jc w:val="center"/>
              <w:rPr>
                <w:sz w:val="20"/>
                <w:szCs w:val="20"/>
              </w:rPr>
            </w:pPr>
            <w:r>
              <w:rPr>
                <w:rFonts w:eastAsia="Times New Roman"/>
                <w:sz w:val="18"/>
                <w:szCs w:val="18"/>
              </w:rPr>
              <w:t>10</w:t>
            </w:r>
          </w:p>
        </w:tc>
      </w:tr>
      <w:tr w:rsidR="00206C82" w14:paraId="281A06C7" w14:textId="77777777" w:rsidTr="00AB665E">
        <w:trPr>
          <w:trHeight w:val="54"/>
        </w:trPr>
        <w:tc>
          <w:tcPr>
            <w:tcW w:w="8350" w:type="dxa"/>
            <w:vMerge/>
            <w:vAlign w:val="bottom"/>
          </w:tcPr>
          <w:p w14:paraId="281A06C4" w14:textId="77777777" w:rsidR="00206C82" w:rsidRDefault="00206C82">
            <w:pPr>
              <w:rPr>
                <w:sz w:val="4"/>
                <w:szCs w:val="4"/>
              </w:rPr>
            </w:pPr>
          </w:p>
        </w:tc>
        <w:tc>
          <w:tcPr>
            <w:tcW w:w="1850" w:type="dxa"/>
            <w:vMerge/>
            <w:vAlign w:val="center"/>
          </w:tcPr>
          <w:p w14:paraId="281A06C5" w14:textId="77777777" w:rsidR="00206C82" w:rsidRDefault="00206C82" w:rsidP="00AE1DD1">
            <w:pPr>
              <w:jc w:val="center"/>
              <w:rPr>
                <w:sz w:val="4"/>
                <w:szCs w:val="4"/>
              </w:rPr>
            </w:pPr>
          </w:p>
        </w:tc>
      </w:tr>
      <w:tr w:rsidR="00206C82" w14:paraId="281A06CB" w14:textId="77777777" w:rsidTr="00AB665E">
        <w:trPr>
          <w:trHeight w:val="377"/>
        </w:trPr>
        <w:tc>
          <w:tcPr>
            <w:tcW w:w="8350" w:type="dxa"/>
            <w:vMerge w:val="restart"/>
            <w:vAlign w:val="center"/>
          </w:tcPr>
          <w:p w14:paraId="281A06C8" w14:textId="71C70B98" w:rsidR="00206C82" w:rsidRDefault="00206C82" w:rsidP="00AE1DD1">
            <w:pPr>
              <w:ind w:left="120"/>
              <w:rPr>
                <w:sz w:val="20"/>
                <w:szCs w:val="20"/>
              </w:rPr>
            </w:pPr>
            <w:r>
              <w:rPr>
                <w:rFonts w:eastAsia="Times New Roman"/>
                <w:sz w:val="18"/>
                <w:szCs w:val="18"/>
              </w:rPr>
              <w:t>Lime-soda ash softening (includes:  chemical addition, mixing/flocculation/clarification/Filtration - do not add points for these processes separately)</w:t>
            </w:r>
          </w:p>
        </w:tc>
        <w:tc>
          <w:tcPr>
            <w:tcW w:w="1850" w:type="dxa"/>
            <w:vMerge w:val="restart"/>
            <w:vAlign w:val="center"/>
          </w:tcPr>
          <w:p w14:paraId="281A06C9" w14:textId="77777777" w:rsidR="00206C82" w:rsidRDefault="00206C82" w:rsidP="00AE1DD1">
            <w:pPr>
              <w:jc w:val="center"/>
              <w:rPr>
                <w:sz w:val="20"/>
                <w:szCs w:val="20"/>
              </w:rPr>
            </w:pPr>
            <w:r>
              <w:rPr>
                <w:rFonts w:eastAsia="Times New Roman"/>
                <w:sz w:val="18"/>
                <w:szCs w:val="18"/>
              </w:rPr>
              <w:t>20</w:t>
            </w:r>
          </w:p>
        </w:tc>
      </w:tr>
      <w:tr w:rsidR="00206C82" w14:paraId="281A06CF" w14:textId="77777777" w:rsidTr="00AB665E">
        <w:trPr>
          <w:trHeight w:val="274"/>
        </w:trPr>
        <w:tc>
          <w:tcPr>
            <w:tcW w:w="8350" w:type="dxa"/>
            <w:vMerge/>
            <w:vAlign w:val="bottom"/>
          </w:tcPr>
          <w:p w14:paraId="281A06CC" w14:textId="6FD5D908" w:rsidR="00206C82" w:rsidRDefault="00206C82">
            <w:pPr>
              <w:ind w:left="120"/>
              <w:rPr>
                <w:sz w:val="20"/>
                <w:szCs w:val="20"/>
              </w:rPr>
            </w:pPr>
          </w:p>
        </w:tc>
        <w:tc>
          <w:tcPr>
            <w:tcW w:w="1850" w:type="dxa"/>
            <w:vMerge/>
            <w:vAlign w:val="center"/>
          </w:tcPr>
          <w:p w14:paraId="281A06CD" w14:textId="77777777" w:rsidR="00206C82" w:rsidRDefault="00206C82" w:rsidP="00AE1DD1">
            <w:pPr>
              <w:jc w:val="center"/>
              <w:rPr>
                <w:sz w:val="23"/>
                <w:szCs w:val="23"/>
              </w:rPr>
            </w:pPr>
          </w:p>
        </w:tc>
      </w:tr>
      <w:tr w:rsidR="00206C82" w14:paraId="281A06D3" w14:textId="77777777" w:rsidTr="00AB665E">
        <w:trPr>
          <w:trHeight w:val="54"/>
        </w:trPr>
        <w:tc>
          <w:tcPr>
            <w:tcW w:w="8350" w:type="dxa"/>
            <w:vMerge/>
            <w:vAlign w:val="bottom"/>
          </w:tcPr>
          <w:p w14:paraId="281A06D0" w14:textId="77777777" w:rsidR="00206C82" w:rsidRDefault="00206C82">
            <w:pPr>
              <w:rPr>
                <w:sz w:val="4"/>
                <w:szCs w:val="4"/>
              </w:rPr>
            </w:pPr>
          </w:p>
        </w:tc>
        <w:tc>
          <w:tcPr>
            <w:tcW w:w="1850" w:type="dxa"/>
            <w:vMerge/>
            <w:vAlign w:val="center"/>
          </w:tcPr>
          <w:p w14:paraId="281A06D1" w14:textId="77777777" w:rsidR="00206C82" w:rsidRDefault="00206C82" w:rsidP="00AE1DD1">
            <w:pPr>
              <w:jc w:val="center"/>
              <w:rPr>
                <w:sz w:val="4"/>
                <w:szCs w:val="4"/>
              </w:rPr>
            </w:pPr>
          </w:p>
        </w:tc>
      </w:tr>
      <w:tr w:rsidR="00206C82" w14:paraId="281A06D7" w14:textId="77777777" w:rsidTr="00AB665E">
        <w:trPr>
          <w:trHeight w:val="377"/>
        </w:trPr>
        <w:tc>
          <w:tcPr>
            <w:tcW w:w="8350" w:type="dxa"/>
            <w:vMerge w:val="restart"/>
            <w:vAlign w:val="center"/>
          </w:tcPr>
          <w:p w14:paraId="281A06D4" w14:textId="77777777" w:rsidR="00206C82" w:rsidRDefault="00206C82" w:rsidP="00AE1DD1">
            <w:pPr>
              <w:ind w:left="120"/>
              <w:rPr>
                <w:sz w:val="20"/>
                <w:szCs w:val="20"/>
              </w:rPr>
            </w:pPr>
            <w:r>
              <w:rPr>
                <w:rFonts w:eastAsia="Times New Roman"/>
                <w:sz w:val="18"/>
                <w:szCs w:val="18"/>
              </w:rPr>
              <w:t>Granular activated carbon filter (do not assign points when included as a bed layer in another filter)</w:t>
            </w:r>
          </w:p>
        </w:tc>
        <w:tc>
          <w:tcPr>
            <w:tcW w:w="1850" w:type="dxa"/>
            <w:vMerge w:val="restart"/>
            <w:vAlign w:val="center"/>
          </w:tcPr>
          <w:p w14:paraId="281A06D5" w14:textId="77777777" w:rsidR="00206C82" w:rsidRDefault="00206C82" w:rsidP="00AE1DD1">
            <w:pPr>
              <w:jc w:val="center"/>
              <w:rPr>
                <w:sz w:val="20"/>
                <w:szCs w:val="20"/>
              </w:rPr>
            </w:pPr>
            <w:r>
              <w:rPr>
                <w:rFonts w:eastAsia="Times New Roman"/>
                <w:sz w:val="18"/>
                <w:szCs w:val="18"/>
              </w:rPr>
              <w:t>5</w:t>
            </w:r>
          </w:p>
        </w:tc>
      </w:tr>
      <w:tr w:rsidR="00206C82" w14:paraId="281A06DB" w14:textId="77777777" w:rsidTr="00AB665E">
        <w:trPr>
          <w:trHeight w:val="54"/>
        </w:trPr>
        <w:tc>
          <w:tcPr>
            <w:tcW w:w="8350" w:type="dxa"/>
            <w:vMerge/>
            <w:vAlign w:val="bottom"/>
          </w:tcPr>
          <w:p w14:paraId="281A06D8" w14:textId="77777777" w:rsidR="00206C82" w:rsidRDefault="00206C82">
            <w:pPr>
              <w:rPr>
                <w:sz w:val="4"/>
                <w:szCs w:val="4"/>
              </w:rPr>
            </w:pPr>
          </w:p>
        </w:tc>
        <w:tc>
          <w:tcPr>
            <w:tcW w:w="1850" w:type="dxa"/>
            <w:vMerge/>
            <w:vAlign w:val="center"/>
          </w:tcPr>
          <w:p w14:paraId="281A06D9" w14:textId="77777777" w:rsidR="00206C82" w:rsidRDefault="00206C82" w:rsidP="00AE1DD1">
            <w:pPr>
              <w:jc w:val="center"/>
              <w:rPr>
                <w:sz w:val="4"/>
                <w:szCs w:val="4"/>
              </w:rPr>
            </w:pPr>
          </w:p>
        </w:tc>
      </w:tr>
      <w:tr w:rsidR="00206C82" w14:paraId="281A06DF" w14:textId="77777777" w:rsidTr="00AB665E">
        <w:trPr>
          <w:trHeight w:val="377"/>
        </w:trPr>
        <w:tc>
          <w:tcPr>
            <w:tcW w:w="8350" w:type="dxa"/>
            <w:vMerge w:val="restart"/>
            <w:vAlign w:val="center"/>
          </w:tcPr>
          <w:p w14:paraId="281A06DC" w14:textId="77777777" w:rsidR="00206C82" w:rsidRDefault="00206C82" w:rsidP="00AE1DD1">
            <w:pPr>
              <w:ind w:left="120"/>
              <w:rPr>
                <w:sz w:val="20"/>
                <w:szCs w:val="20"/>
              </w:rPr>
            </w:pPr>
            <w:r>
              <w:rPr>
                <w:rFonts w:eastAsia="Times New Roman"/>
                <w:sz w:val="18"/>
                <w:szCs w:val="18"/>
              </w:rPr>
              <w:t>Powdered activated carbon</w:t>
            </w:r>
          </w:p>
        </w:tc>
        <w:tc>
          <w:tcPr>
            <w:tcW w:w="1850" w:type="dxa"/>
            <w:vMerge w:val="restart"/>
            <w:vAlign w:val="center"/>
          </w:tcPr>
          <w:p w14:paraId="281A06DD" w14:textId="77777777" w:rsidR="00206C82" w:rsidRDefault="00206C82" w:rsidP="00AE1DD1">
            <w:pPr>
              <w:jc w:val="center"/>
              <w:rPr>
                <w:sz w:val="20"/>
                <w:szCs w:val="20"/>
              </w:rPr>
            </w:pPr>
            <w:r>
              <w:rPr>
                <w:rFonts w:eastAsia="Times New Roman"/>
                <w:sz w:val="18"/>
                <w:szCs w:val="18"/>
              </w:rPr>
              <w:t>2</w:t>
            </w:r>
          </w:p>
        </w:tc>
      </w:tr>
      <w:tr w:rsidR="00206C82" w14:paraId="281A06E3" w14:textId="77777777" w:rsidTr="00AB665E">
        <w:trPr>
          <w:trHeight w:val="54"/>
        </w:trPr>
        <w:tc>
          <w:tcPr>
            <w:tcW w:w="8350" w:type="dxa"/>
            <w:vMerge/>
            <w:vAlign w:val="bottom"/>
          </w:tcPr>
          <w:p w14:paraId="281A06E0" w14:textId="77777777" w:rsidR="00206C82" w:rsidRDefault="00206C82">
            <w:pPr>
              <w:rPr>
                <w:sz w:val="4"/>
                <w:szCs w:val="4"/>
              </w:rPr>
            </w:pPr>
          </w:p>
        </w:tc>
        <w:tc>
          <w:tcPr>
            <w:tcW w:w="1850" w:type="dxa"/>
            <w:vMerge/>
            <w:vAlign w:val="center"/>
          </w:tcPr>
          <w:p w14:paraId="281A06E1" w14:textId="77777777" w:rsidR="00206C82" w:rsidRDefault="00206C82" w:rsidP="00AE1DD1">
            <w:pPr>
              <w:jc w:val="center"/>
              <w:rPr>
                <w:sz w:val="4"/>
                <w:szCs w:val="4"/>
              </w:rPr>
            </w:pPr>
          </w:p>
        </w:tc>
      </w:tr>
      <w:tr w:rsidR="00206C82" w14:paraId="281A06E7" w14:textId="77777777" w:rsidTr="00AB665E">
        <w:trPr>
          <w:trHeight w:val="377"/>
        </w:trPr>
        <w:tc>
          <w:tcPr>
            <w:tcW w:w="8350" w:type="dxa"/>
            <w:vMerge w:val="restart"/>
            <w:vAlign w:val="center"/>
          </w:tcPr>
          <w:p w14:paraId="424098E5" w14:textId="77777777" w:rsidR="00206C82" w:rsidRPr="00397472" w:rsidRDefault="00206C82" w:rsidP="004D2DB0">
            <w:pPr>
              <w:tabs>
                <w:tab w:val="left" w:pos="640"/>
              </w:tabs>
              <w:spacing w:line="360" w:lineRule="auto"/>
              <w:ind w:left="115"/>
              <w:rPr>
                <w:rFonts w:eastAsia="Times New Roman"/>
                <w:sz w:val="18"/>
                <w:szCs w:val="18"/>
              </w:rPr>
            </w:pPr>
            <w:r>
              <w:rPr>
                <w:rFonts w:eastAsia="Times New Roman"/>
                <w:sz w:val="18"/>
                <w:szCs w:val="18"/>
              </w:rPr>
              <w:t>Blending sources with significantly different water quality</w:t>
            </w:r>
          </w:p>
          <w:p w14:paraId="1856DD85" w14:textId="3803BA56" w:rsidR="00206C82" w:rsidRPr="00397472" w:rsidRDefault="00206C82" w:rsidP="000144E0">
            <w:pPr>
              <w:numPr>
                <w:ilvl w:val="0"/>
                <w:numId w:val="428"/>
              </w:numPr>
              <w:tabs>
                <w:tab w:val="left" w:pos="640"/>
              </w:tabs>
              <w:spacing w:line="360" w:lineRule="auto"/>
              <w:ind w:left="706" w:hanging="270"/>
              <w:rPr>
                <w:rFonts w:eastAsia="Times New Roman"/>
                <w:sz w:val="18"/>
                <w:szCs w:val="18"/>
              </w:rPr>
            </w:pPr>
            <w:r w:rsidRPr="008511F8">
              <w:rPr>
                <w:rFonts w:eastAsia="Times New Roman"/>
                <w:sz w:val="18"/>
                <w:szCs w:val="18"/>
              </w:rPr>
              <w:t>To achieve MCL, MRDL, Action Level or any standards specific to an individual Public Water System</w:t>
            </w:r>
            <w:r>
              <w:rPr>
                <w:rFonts w:eastAsia="Times New Roman"/>
                <w:sz w:val="18"/>
                <w:szCs w:val="18"/>
              </w:rPr>
              <w:t xml:space="preserve"> </w:t>
            </w:r>
            <w:r w:rsidRPr="008511F8">
              <w:rPr>
                <w:rFonts w:eastAsia="Times New Roman"/>
                <w:sz w:val="18"/>
                <w:szCs w:val="18"/>
              </w:rPr>
              <w:t>established pursuant to a health assessment as provided in 310 CMR 22.03(8) (4 points)</w:t>
            </w:r>
          </w:p>
          <w:p w14:paraId="281A06E4" w14:textId="7E56A0B4" w:rsidR="00206C82" w:rsidRPr="004667AE" w:rsidDel="007B206E" w:rsidRDefault="00206C82" w:rsidP="004667AE">
            <w:pPr>
              <w:pStyle w:val="ListParagraph"/>
              <w:numPr>
                <w:ilvl w:val="0"/>
                <w:numId w:val="428"/>
              </w:numPr>
              <w:tabs>
                <w:tab w:val="left" w:pos="640"/>
              </w:tabs>
              <w:spacing w:line="360" w:lineRule="auto"/>
              <w:ind w:left="634" w:hanging="216"/>
              <w:rPr>
                <w:sz w:val="20"/>
                <w:szCs w:val="20"/>
              </w:rPr>
            </w:pPr>
            <w:r w:rsidRPr="004667AE">
              <w:rPr>
                <w:rFonts w:eastAsia="Times New Roman"/>
                <w:sz w:val="18"/>
                <w:szCs w:val="18"/>
              </w:rPr>
              <w:t>For aesthetic reasons (2 points)</w:t>
            </w:r>
          </w:p>
        </w:tc>
        <w:tc>
          <w:tcPr>
            <w:tcW w:w="1850" w:type="dxa"/>
            <w:vMerge w:val="restart"/>
            <w:vAlign w:val="center"/>
          </w:tcPr>
          <w:p w14:paraId="281A06E5" w14:textId="5EC1FFFA" w:rsidR="00206C82" w:rsidRDefault="00206C82" w:rsidP="00AE1DD1">
            <w:pPr>
              <w:jc w:val="center"/>
              <w:rPr>
                <w:sz w:val="24"/>
                <w:szCs w:val="24"/>
              </w:rPr>
            </w:pPr>
            <w:r>
              <w:rPr>
                <w:rFonts w:eastAsia="Times New Roman"/>
                <w:sz w:val="18"/>
                <w:szCs w:val="18"/>
              </w:rPr>
              <w:t>2 - 4</w:t>
            </w:r>
          </w:p>
        </w:tc>
      </w:tr>
      <w:tr w:rsidR="00206C82" w14:paraId="281A06EB" w14:textId="77777777" w:rsidTr="00AB665E">
        <w:trPr>
          <w:trHeight w:val="274"/>
        </w:trPr>
        <w:tc>
          <w:tcPr>
            <w:tcW w:w="8350" w:type="dxa"/>
            <w:vMerge/>
            <w:vAlign w:val="bottom"/>
          </w:tcPr>
          <w:p w14:paraId="281A06E8" w14:textId="1CE65A0F" w:rsidR="00206C82" w:rsidRDefault="00206C82" w:rsidP="00347FE4">
            <w:pPr>
              <w:ind w:left="420"/>
              <w:rPr>
                <w:sz w:val="20"/>
                <w:szCs w:val="20"/>
              </w:rPr>
            </w:pPr>
          </w:p>
        </w:tc>
        <w:tc>
          <w:tcPr>
            <w:tcW w:w="1850" w:type="dxa"/>
            <w:vMerge/>
            <w:vAlign w:val="center"/>
          </w:tcPr>
          <w:p w14:paraId="281A06E9" w14:textId="2E0B9A81" w:rsidR="00206C82" w:rsidRDefault="00206C82" w:rsidP="00AE1DD1">
            <w:pPr>
              <w:jc w:val="center"/>
              <w:rPr>
                <w:sz w:val="20"/>
                <w:szCs w:val="20"/>
              </w:rPr>
            </w:pPr>
          </w:p>
        </w:tc>
      </w:tr>
      <w:tr w:rsidR="00206C82" w14:paraId="281A06EF" w14:textId="77777777" w:rsidTr="00AB665E">
        <w:trPr>
          <w:trHeight w:val="230"/>
        </w:trPr>
        <w:tc>
          <w:tcPr>
            <w:tcW w:w="8350" w:type="dxa"/>
            <w:vMerge/>
            <w:vAlign w:val="bottom"/>
          </w:tcPr>
          <w:p w14:paraId="281A06EC" w14:textId="51C02BEA" w:rsidR="00206C82" w:rsidRDefault="00206C82" w:rsidP="00347FE4">
            <w:pPr>
              <w:ind w:left="420"/>
              <w:rPr>
                <w:sz w:val="20"/>
                <w:szCs w:val="20"/>
              </w:rPr>
            </w:pPr>
          </w:p>
        </w:tc>
        <w:tc>
          <w:tcPr>
            <w:tcW w:w="1850" w:type="dxa"/>
            <w:vMerge/>
            <w:vAlign w:val="center"/>
          </w:tcPr>
          <w:p w14:paraId="281A06ED" w14:textId="77777777" w:rsidR="00206C82" w:rsidRDefault="00206C82" w:rsidP="00AE1DD1">
            <w:pPr>
              <w:jc w:val="center"/>
              <w:rPr>
                <w:sz w:val="11"/>
                <w:szCs w:val="11"/>
              </w:rPr>
            </w:pPr>
          </w:p>
        </w:tc>
      </w:tr>
      <w:tr w:rsidR="00206C82" w14:paraId="281A06F3" w14:textId="77777777" w:rsidTr="00AB665E">
        <w:trPr>
          <w:trHeight w:val="137"/>
        </w:trPr>
        <w:tc>
          <w:tcPr>
            <w:tcW w:w="8350" w:type="dxa"/>
            <w:vMerge/>
            <w:vAlign w:val="bottom"/>
          </w:tcPr>
          <w:p w14:paraId="281A06F0" w14:textId="6E57E588" w:rsidR="00206C82" w:rsidRDefault="00206C82" w:rsidP="00347FE4">
            <w:pPr>
              <w:ind w:left="420"/>
              <w:rPr>
                <w:sz w:val="11"/>
                <w:szCs w:val="11"/>
              </w:rPr>
            </w:pPr>
          </w:p>
        </w:tc>
        <w:tc>
          <w:tcPr>
            <w:tcW w:w="1850" w:type="dxa"/>
            <w:vMerge/>
            <w:vAlign w:val="center"/>
          </w:tcPr>
          <w:p w14:paraId="281A06F1" w14:textId="77777777" w:rsidR="00206C82" w:rsidRDefault="00206C82" w:rsidP="00AE1DD1">
            <w:pPr>
              <w:jc w:val="center"/>
              <w:rPr>
                <w:sz w:val="11"/>
                <w:szCs w:val="11"/>
              </w:rPr>
            </w:pPr>
          </w:p>
        </w:tc>
      </w:tr>
      <w:tr w:rsidR="00206C82" w14:paraId="281A06F7" w14:textId="77777777" w:rsidTr="00AB665E">
        <w:trPr>
          <w:trHeight w:val="274"/>
        </w:trPr>
        <w:tc>
          <w:tcPr>
            <w:tcW w:w="8350" w:type="dxa"/>
            <w:vMerge/>
            <w:vAlign w:val="bottom"/>
          </w:tcPr>
          <w:p w14:paraId="281A06F4" w14:textId="0F1AA9D5" w:rsidR="00206C82" w:rsidRDefault="00206C82">
            <w:pPr>
              <w:ind w:left="420"/>
              <w:rPr>
                <w:sz w:val="20"/>
                <w:szCs w:val="20"/>
              </w:rPr>
            </w:pPr>
          </w:p>
        </w:tc>
        <w:tc>
          <w:tcPr>
            <w:tcW w:w="1850" w:type="dxa"/>
            <w:vMerge/>
            <w:vAlign w:val="center"/>
          </w:tcPr>
          <w:p w14:paraId="281A06F5" w14:textId="77777777" w:rsidR="00206C82" w:rsidRDefault="00206C82" w:rsidP="00AE1DD1">
            <w:pPr>
              <w:jc w:val="center"/>
              <w:rPr>
                <w:sz w:val="23"/>
                <w:szCs w:val="23"/>
              </w:rPr>
            </w:pPr>
          </w:p>
        </w:tc>
      </w:tr>
      <w:tr w:rsidR="00206C82" w14:paraId="007B12BE" w14:textId="77777777" w:rsidTr="00AB665E">
        <w:trPr>
          <w:trHeight w:val="274"/>
        </w:trPr>
        <w:tc>
          <w:tcPr>
            <w:tcW w:w="8350" w:type="dxa"/>
            <w:vAlign w:val="center"/>
          </w:tcPr>
          <w:p w14:paraId="03F2582D" w14:textId="0E215580" w:rsidR="00206C82" w:rsidRPr="00206C82" w:rsidRDefault="00206C82" w:rsidP="00AB665E">
            <w:pPr>
              <w:ind w:left="120"/>
              <w:rPr>
                <w:rFonts w:eastAsia="Times New Roman"/>
                <w:sz w:val="18"/>
                <w:szCs w:val="18"/>
              </w:rPr>
            </w:pPr>
            <w:r>
              <w:rPr>
                <w:rFonts w:eastAsia="Times New Roman"/>
                <w:sz w:val="18"/>
                <w:szCs w:val="18"/>
              </w:rPr>
              <w:t>Reservoir management employing chemical addition</w:t>
            </w:r>
          </w:p>
        </w:tc>
        <w:tc>
          <w:tcPr>
            <w:tcW w:w="1850" w:type="dxa"/>
            <w:vAlign w:val="center"/>
          </w:tcPr>
          <w:p w14:paraId="032D6B53" w14:textId="2FD9B797" w:rsidR="00206C82" w:rsidRPr="00206C82" w:rsidRDefault="00206C82" w:rsidP="00AE1DD1">
            <w:pPr>
              <w:jc w:val="center"/>
              <w:rPr>
                <w:sz w:val="18"/>
                <w:szCs w:val="18"/>
              </w:rPr>
            </w:pPr>
            <w:r w:rsidRPr="00206C82">
              <w:rPr>
                <w:sz w:val="18"/>
                <w:szCs w:val="18"/>
              </w:rPr>
              <w:t>2</w:t>
            </w:r>
          </w:p>
        </w:tc>
      </w:tr>
      <w:tr w:rsidR="00206C82" w14:paraId="1177DAA0" w14:textId="77777777" w:rsidTr="00AB665E">
        <w:trPr>
          <w:trHeight w:val="274"/>
        </w:trPr>
        <w:tc>
          <w:tcPr>
            <w:tcW w:w="8350" w:type="dxa"/>
            <w:vAlign w:val="center"/>
          </w:tcPr>
          <w:p w14:paraId="71DEAB25" w14:textId="6FA9A599" w:rsidR="00206C82" w:rsidRPr="00206C82" w:rsidRDefault="00206C82" w:rsidP="00AB665E">
            <w:pPr>
              <w:ind w:left="120"/>
              <w:rPr>
                <w:sz w:val="20"/>
                <w:szCs w:val="20"/>
              </w:rPr>
            </w:pPr>
            <w:r>
              <w:rPr>
                <w:rFonts w:eastAsia="Times New Roman"/>
                <w:sz w:val="18"/>
                <w:szCs w:val="18"/>
              </w:rPr>
              <w:t>Electrodialysis</w:t>
            </w:r>
          </w:p>
        </w:tc>
        <w:tc>
          <w:tcPr>
            <w:tcW w:w="1850" w:type="dxa"/>
            <w:vAlign w:val="center"/>
          </w:tcPr>
          <w:p w14:paraId="0658A328" w14:textId="456E3C0E" w:rsidR="00206C82" w:rsidRPr="00206C82" w:rsidRDefault="00206C82" w:rsidP="00AE1DD1">
            <w:pPr>
              <w:jc w:val="center"/>
              <w:rPr>
                <w:sz w:val="18"/>
                <w:szCs w:val="18"/>
              </w:rPr>
            </w:pPr>
            <w:r>
              <w:rPr>
                <w:sz w:val="18"/>
                <w:szCs w:val="18"/>
              </w:rPr>
              <w:t>15</w:t>
            </w:r>
          </w:p>
        </w:tc>
      </w:tr>
      <w:tr w:rsidR="00206C82" w14:paraId="2D25F5D2" w14:textId="77777777" w:rsidTr="00AB665E">
        <w:trPr>
          <w:trHeight w:val="274"/>
        </w:trPr>
        <w:tc>
          <w:tcPr>
            <w:tcW w:w="8350" w:type="dxa"/>
            <w:vAlign w:val="center"/>
          </w:tcPr>
          <w:p w14:paraId="06F831B6" w14:textId="18156433" w:rsidR="00206C82" w:rsidRPr="00206C82" w:rsidRDefault="00206C82" w:rsidP="00AB665E">
            <w:pPr>
              <w:ind w:left="120"/>
              <w:rPr>
                <w:sz w:val="20"/>
                <w:szCs w:val="20"/>
              </w:rPr>
            </w:pPr>
            <w:r>
              <w:rPr>
                <w:rFonts w:eastAsia="Times New Roman"/>
                <w:sz w:val="18"/>
                <w:szCs w:val="18"/>
              </w:rPr>
              <w:t>Other: The Department may assign 2 to 15 additional points for processes not listed elsewhere in this table.</w:t>
            </w:r>
          </w:p>
        </w:tc>
        <w:tc>
          <w:tcPr>
            <w:tcW w:w="1850" w:type="dxa"/>
            <w:vAlign w:val="center"/>
          </w:tcPr>
          <w:p w14:paraId="7A97D07B" w14:textId="5C8F63B0" w:rsidR="00206C82" w:rsidRPr="00206C82" w:rsidRDefault="00206C82" w:rsidP="00AE1DD1">
            <w:pPr>
              <w:jc w:val="center"/>
              <w:rPr>
                <w:sz w:val="18"/>
                <w:szCs w:val="18"/>
              </w:rPr>
            </w:pPr>
            <w:r>
              <w:rPr>
                <w:sz w:val="18"/>
                <w:szCs w:val="18"/>
              </w:rPr>
              <w:t>2 – 15</w:t>
            </w:r>
          </w:p>
        </w:tc>
      </w:tr>
      <w:tr w:rsidR="00206C82" w14:paraId="7468B4C5" w14:textId="77777777" w:rsidTr="00AB665E">
        <w:trPr>
          <w:trHeight w:val="274"/>
        </w:trPr>
        <w:tc>
          <w:tcPr>
            <w:tcW w:w="10200" w:type="dxa"/>
            <w:gridSpan w:val="2"/>
            <w:vAlign w:val="center"/>
          </w:tcPr>
          <w:p w14:paraId="001D0580" w14:textId="6172E724" w:rsidR="00206C82" w:rsidRDefault="00206C82" w:rsidP="00AB665E">
            <w:pPr>
              <w:ind w:left="120"/>
              <w:rPr>
                <w:sz w:val="18"/>
                <w:szCs w:val="18"/>
              </w:rPr>
            </w:pPr>
            <w:r>
              <w:rPr>
                <w:rFonts w:eastAsia="Times New Roman"/>
                <w:b/>
                <w:bCs/>
                <w:sz w:val="18"/>
                <w:szCs w:val="18"/>
              </w:rPr>
              <w:t>Residuals Disposal</w:t>
            </w:r>
          </w:p>
        </w:tc>
      </w:tr>
      <w:tr w:rsidR="00206C82" w14:paraId="56BE1506" w14:textId="77777777" w:rsidTr="00AB665E">
        <w:trPr>
          <w:trHeight w:val="274"/>
        </w:trPr>
        <w:tc>
          <w:tcPr>
            <w:tcW w:w="8350" w:type="dxa"/>
            <w:vAlign w:val="center"/>
          </w:tcPr>
          <w:p w14:paraId="1D765C79" w14:textId="77777777" w:rsidR="00206C82" w:rsidRDefault="00206C82" w:rsidP="00563A54">
            <w:pPr>
              <w:numPr>
                <w:ilvl w:val="0"/>
                <w:numId w:val="428"/>
              </w:numPr>
              <w:tabs>
                <w:tab w:val="left" w:pos="640"/>
              </w:tabs>
              <w:spacing w:line="360" w:lineRule="auto"/>
              <w:ind w:left="640" w:hanging="216"/>
              <w:rPr>
                <w:rFonts w:eastAsia="Times New Roman"/>
                <w:b/>
                <w:bCs/>
                <w:sz w:val="18"/>
                <w:szCs w:val="18"/>
              </w:rPr>
            </w:pPr>
            <w:r>
              <w:rPr>
                <w:rFonts w:eastAsia="Times New Roman"/>
                <w:sz w:val="18"/>
                <w:szCs w:val="18"/>
              </w:rPr>
              <w:t>Discharge to surface, sewer, or equivalent (0 points)</w:t>
            </w:r>
          </w:p>
          <w:p w14:paraId="34556821" w14:textId="77777777" w:rsidR="00206C82" w:rsidRDefault="00206C82" w:rsidP="00563A54">
            <w:pPr>
              <w:numPr>
                <w:ilvl w:val="0"/>
                <w:numId w:val="428"/>
              </w:numPr>
              <w:tabs>
                <w:tab w:val="left" w:pos="640"/>
              </w:tabs>
              <w:spacing w:line="360" w:lineRule="auto"/>
              <w:ind w:left="640" w:hanging="216"/>
              <w:rPr>
                <w:rFonts w:eastAsia="Times New Roman"/>
                <w:sz w:val="18"/>
                <w:szCs w:val="18"/>
              </w:rPr>
            </w:pPr>
            <w:r>
              <w:rPr>
                <w:rFonts w:eastAsia="Times New Roman"/>
                <w:sz w:val="18"/>
                <w:szCs w:val="18"/>
              </w:rPr>
              <w:t>On-site disposal, land application (1 point)</w:t>
            </w:r>
          </w:p>
          <w:p w14:paraId="51DB3AD7" w14:textId="77777777" w:rsidR="00206C82" w:rsidRDefault="00206C82" w:rsidP="00563A54">
            <w:pPr>
              <w:numPr>
                <w:ilvl w:val="0"/>
                <w:numId w:val="428"/>
              </w:numPr>
              <w:tabs>
                <w:tab w:val="left" w:pos="640"/>
              </w:tabs>
              <w:spacing w:line="360" w:lineRule="auto"/>
              <w:ind w:left="640" w:hanging="216"/>
              <w:rPr>
                <w:rFonts w:eastAsia="Times New Roman"/>
                <w:sz w:val="18"/>
                <w:szCs w:val="18"/>
              </w:rPr>
            </w:pPr>
            <w:r>
              <w:rPr>
                <w:rFonts w:eastAsia="Times New Roman"/>
                <w:sz w:val="18"/>
                <w:szCs w:val="18"/>
              </w:rPr>
              <w:t>Discharge to lagoon/drying bed, with no recovery/recycling - e.g. downstream outfall (1 point)</w:t>
            </w:r>
          </w:p>
          <w:p w14:paraId="13A0A334" w14:textId="77777777" w:rsidR="00206C82" w:rsidRDefault="00206C82" w:rsidP="00563A54">
            <w:pPr>
              <w:numPr>
                <w:ilvl w:val="0"/>
                <w:numId w:val="428"/>
              </w:numPr>
              <w:tabs>
                <w:tab w:val="left" w:pos="640"/>
              </w:tabs>
              <w:spacing w:line="360" w:lineRule="auto"/>
              <w:ind w:left="640" w:hanging="216"/>
              <w:rPr>
                <w:rFonts w:eastAsia="Times New Roman"/>
                <w:sz w:val="18"/>
                <w:szCs w:val="18"/>
              </w:rPr>
            </w:pPr>
            <w:r>
              <w:rPr>
                <w:rFonts w:eastAsia="Times New Roman"/>
                <w:sz w:val="18"/>
                <w:szCs w:val="18"/>
              </w:rPr>
              <w:t>Backwash recovery/recycling: discharge to basin or lagoon and then to source (2 points)</w:t>
            </w:r>
          </w:p>
          <w:p w14:paraId="75697697" w14:textId="4C7D36AA" w:rsidR="00206C82" w:rsidRPr="00342E28" w:rsidDel="007B206E" w:rsidRDefault="00206C82" w:rsidP="000144E0">
            <w:pPr>
              <w:numPr>
                <w:ilvl w:val="0"/>
                <w:numId w:val="428"/>
              </w:numPr>
              <w:tabs>
                <w:tab w:val="left" w:pos="640"/>
              </w:tabs>
              <w:spacing w:line="360" w:lineRule="auto"/>
              <w:ind w:left="436"/>
              <w:rPr>
                <w:rFonts w:eastAsia="Times New Roman"/>
                <w:sz w:val="18"/>
                <w:szCs w:val="18"/>
              </w:rPr>
            </w:pPr>
            <w:r>
              <w:rPr>
                <w:rFonts w:eastAsia="Times New Roman"/>
                <w:sz w:val="18"/>
                <w:szCs w:val="18"/>
              </w:rPr>
              <w:t>Backwash recovery/recycling: discharge to basin or lagoon and then to Plant Intake (3 points)</w:t>
            </w:r>
          </w:p>
        </w:tc>
        <w:tc>
          <w:tcPr>
            <w:tcW w:w="1850" w:type="dxa"/>
            <w:vAlign w:val="center"/>
          </w:tcPr>
          <w:p w14:paraId="69F77E88" w14:textId="707CBC3E" w:rsidR="00206C82" w:rsidRDefault="00AB665E" w:rsidP="00AE1DD1">
            <w:pPr>
              <w:jc w:val="center"/>
              <w:rPr>
                <w:sz w:val="18"/>
                <w:szCs w:val="18"/>
              </w:rPr>
            </w:pPr>
            <w:r>
              <w:rPr>
                <w:sz w:val="18"/>
                <w:szCs w:val="18"/>
              </w:rPr>
              <w:t>0 - 3</w:t>
            </w:r>
          </w:p>
        </w:tc>
      </w:tr>
      <w:tr w:rsidR="00AB665E" w14:paraId="35745FA1" w14:textId="77777777" w:rsidTr="00AB665E">
        <w:trPr>
          <w:trHeight w:val="274"/>
        </w:trPr>
        <w:tc>
          <w:tcPr>
            <w:tcW w:w="10200" w:type="dxa"/>
            <w:gridSpan w:val="2"/>
            <w:vAlign w:val="center"/>
          </w:tcPr>
          <w:p w14:paraId="6931C58B" w14:textId="715FCE69" w:rsidR="00AB665E" w:rsidRDefault="00AB665E" w:rsidP="00AB665E">
            <w:pPr>
              <w:rPr>
                <w:sz w:val="18"/>
                <w:szCs w:val="18"/>
              </w:rPr>
            </w:pPr>
            <w:r>
              <w:rPr>
                <w:rFonts w:eastAsia="Times New Roman"/>
                <w:b/>
                <w:bCs/>
                <w:sz w:val="18"/>
                <w:szCs w:val="18"/>
              </w:rPr>
              <w:t>Facility Characteristics</w:t>
            </w:r>
          </w:p>
        </w:tc>
      </w:tr>
      <w:tr w:rsidR="00206C82" w14:paraId="7F1C6472" w14:textId="77777777" w:rsidTr="00AB665E">
        <w:trPr>
          <w:trHeight w:val="274"/>
        </w:trPr>
        <w:tc>
          <w:tcPr>
            <w:tcW w:w="8350" w:type="dxa"/>
            <w:vAlign w:val="center"/>
          </w:tcPr>
          <w:p w14:paraId="4DB3F218" w14:textId="77777777" w:rsidR="00342E28" w:rsidRDefault="00342E28" w:rsidP="004D2DB0">
            <w:pPr>
              <w:spacing w:line="360" w:lineRule="auto"/>
              <w:ind w:left="115"/>
              <w:rPr>
                <w:sz w:val="20"/>
                <w:szCs w:val="20"/>
              </w:rPr>
            </w:pPr>
            <w:r>
              <w:rPr>
                <w:rFonts w:eastAsia="Times New Roman"/>
                <w:sz w:val="18"/>
                <w:szCs w:val="18"/>
              </w:rPr>
              <w:t>Instrumentation - Use of SCADA or similar instrumentation systems to provide data, with:</w:t>
            </w:r>
          </w:p>
          <w:p w14:paraId="4CBDF751" w14:textId="77777777" w:rsidR="00342E28" w:rsidRDefault="00342E28" w:rsidP="00563A54">
            <w:pPr>
              <w:numPr>
                <w:ilvl w:val="0"/>
                <w:numId w:val="429"/>
              </w:numPr>
              <w:tabs>
                <w:tab w:val="left" w:pos="640"/>
              </w:tabs>
              <w:spacing w:line="360" w:lineRule="auto"/>
              <w:ind w:left="640" w:hanging="216"/>
              <w:rPr>
                <w:rFonts w:eastAsia="Times New Roman"/>
                <w:sz w:val="18"/>
                <w:szCs w:val="18"/>
              </w:rPr>
            </w:pPr>
            <w:r>
              <w:rPr>
                <w:rFonts w:eastAsia="Times New Roman"/>
                <w:sz w:val="18"/>
                <w:szCs w:val="18"/>
              </w:rPr>
              <w:t>Monitoring/alarm only, no process operation - plant has no automated shutdown capability (0 points)</w:t>
            </w:r>
          </w:p>
          <w:p w14:paraId="72EFF23A" w14:textId="77777777" w:rsidR="00342E28" w:rsidRDefault="00342E28" w:rsidP="00563A54">
            <w:pPr>
              <w:numPr>
                <w:ilvl w:val="0"/>
                <w:numId w:val="429"/>
              </w:numPr>
              <w:tabs>
                <w:tab w:val="left" w:pos="640"/>
              </w:tabs>
              <w:spacing w:line="360" w:lineRule="auto"/>
              <w:ind w:left="640" w:hanging="216"/>
              <w:rPr>
                <w:rFonts w:eastAsia="Times New Roman"/>
                <w:sz w:val="18"/>
                <w:szCs w:val="18"/>
              </w:rPr>
            </w:pPr>
            <w:r>
              <w:rPr>
                <w:rFonts w:eastAsia="Times New Roman"/>
                <w:sz w:val="18"/>
                <w:szCs w:val="18"/>
              </w:rPr>
              <w:t>Limited process operation - e.g. remote shutdown capability (1 point)</w:t>
            </w:r>
          </w:p>
          <w:p w14:paraId="17D2B1B5" w14:textId="77777777" w:rsidR="00342E28" w:rsidRDefault="00342E28" w:rsidP="00563A54">
            <w:pPr>
              <w:numPr>
                <w:ilvl w:val="0"/>
                <w:numId w:val="429"/>
              </w:numPr>
              <w:tabs>
                <w:tab w:val="left" w:pos="640"/>
              </w:tabs>
              <w:spacing w:line="360" w:lineRule="auto"/>
              <w:ind w:left="640" w:hanging="216"/>
              <w:rPr>
                <w:rFonts w:eastAsia="Times New Roman"/>
                <w:sz w:val="18"/>
                <w:szCs w:val="18"/>
              </w:rPr>
            </w:pPr>
            <w:r>
              <w:rPr>
                <w:rFonts w:eastAsia="Times New Roman"/>
                <w:sz w:val="18"/>
                <w:szCs w:val="18"/>
              </w:rPr>
              <w:t>Moderate process operation - alarms and shutdown, plus partial remote operation of plant (2 points)</w:t>
            </w:r>
          </w:p>
          <w:p w14:paraId="7C4AAFAB" w14:textId="102ABB02" w:rsidR="00206C82" w:rsidRPr="00342E28" w:rsidDel="007B206E" w:rsidRDefault="00342E28" w:rsidP="000144E0">
            <w:pPr>
              <w:numPr>
                <w:ilvl w:val="0"/>
                <w:numId w:val="429"/>
              </w:numPr>
              <w:tabs>
                <w:tab w:val="left" w:pos="648"/>
              </w:tabs>
              <w:spacing w:line="360" w:lineRule="auto"/>
              <w:ind w:left="634" w:hanging="216"/>
              <w:rPr>
                <w:rFonts w:eastAsia="Times New Roman"/>
                <w:sz w:val="18"/>
                <w:szCs w:val="18"/>
              </w:rPr>
            </w:pPr>
            <w:r>
              <w:rPr>
                <w:rFonts w:eastAsia="Times New Roman"/>
                <w:sz w:val="18"/>
                <w:szCs w:val="18"/>
              </w:rPr>
              <w:t>Extensive or total process operation - alarms and shutdown, full remote operation of plant possible (4 points)</w:t>
            </w:r>
          </w:p>
        </w:tc>
        <w:tc>
          <w:tcPr>
            <w:tcW w:w="1850" w:type="dxa"/>
            <w:vAlign w:val="center"/>
          </w:tcPr>
          <w:p w14:paraId="584235F2" w14:textId="599291E1" w:rsidR="00206C82" w:rsidRDefault="00AB665E" w:rsidP="00AE1DD1">
            <w:pPr>
              <w:jc w:val="center"/>
              <w:rPr>
                <w:sz w:val="18"/>
                <w:szCs w:val="18"/>
              </w:rPr>
            </w:pPr>
            <w:r>
              <w:rPr>
                <w:sz w:val="18"/>
                <w:szCs w:val="18"/>
              </w:rPr>
              <w:t>0 - 4</w:t>
            </w:r>
          </w:p>
        </w:tc>
      </w:tr>
    </w:tbl>
    <w:p w14:paraId="281A06FD" w14:textId="77777777" w:rsidR="004647B9" w:rsidRDefault="004647B9" w:rsidP="00887943">
      <w:pPr>
        <w:sectPr w:rsidR="004647B9" w:rsidSect="00EF630C">
          <w:pgSz w:w="12240" w:h="20180"/>
          <w:pgMar w:top="708" w:right="1380" w:bottom="1440" w:left="600" w:header="0" w:footer="0" w:gutter="0"/>
          <w:cols w:space="720"/>
        </w:sectPr>
      </w:pPr>
    </w:p>
    <w:p w14:paraId="281A0724" w14:textId="77777777" w:rsidR="004647B9" w:rsidRDefault="00E2436F" w:rsidP="00887943">
      <w:pPr>
        <w:rPr>
          <w:sz w:val="20"/>
          <w:szCs w:val="20"/>
        </w:rPr>
      </w:pPr>
      <w:r>
        <w:rPr>
          <w:rFonts w:eastAsia="Times New Roman"/>
          <w:sz w:val="18"/>
          <w:szCs w:val="18"/>
        </w:rPr>
        <w:t>Notes:</w:t>
      </w:r>
    </w:p>
    <w:p w14:paraId="281A0726" w14:textId="7473D627" w:rsidR="004647B9" w:rsidRPr="00AB665E" w:rsidRDefault="00E2436F" w:rsidP="00887943">
      <w:pPr>
        <w:pStyle w:val="ListParagraph"/>
        <w:numPr>
          <w:ilvl w:val="2"/>
          <w:numId w:val="968"/>
        </w:numPr>
        <w:tabs>
          <w:tab w:val="left" w:pos="540"/>
        </w:tabs>
        <w:ind w:left="547" w:hanging="187"/>
        <w:rPr>
          <w:rFonts w:eastAsia="Times New Roman"/>
          <w:sz w:val="18"/>
          <w:szCs w:val="18"/>
        </w:rPr>
      </w:pPr>
      <w:r w:rsidRPr="00AB665E">
        <w:rPr>
          <w:rFonts w:eastAsia="Times New Roman"/>
          <w:sz w:val="18"/>
          <w:szCs w:val="18"/>
        </w:rPr>
        <w:t>Raw Water quality is subject to:</w:t>
      </w:r>
    </w:p>
    <w:p w14:paraId="295023DF" w14:textId="77777777" w:rsidR="00836969" w:rsidRPr="00836969" w:rsidRDefault="00836969" w:rsidP="00887943">
      <w:pPr>
        <w:pStyle w:val="ListParagraph"/>
        <w:numPr>
          <w:ilvl w:val="0"/>
          <w:numId w:val="927"/>
        </w:numPr>
        <w:tabs>
          <w:tab w:val="left" w:pos="360"/>
        </w:tabs>
        <w:ind w:hanging="180"/>
        <w:rPr>
          <w:rFonts w:eastAsia="Times New Roman"/>
          <w:sz w:val="18"/>
          <w:szCs w:val="18"/>
        </w:rPr>
      </w:pPr>
      <w:r w:rsidRPr="00836969">
        <w:rPr>
          <w:rFonts w:eastAsia="Times New Roman"/>
          <w:sz w:val="18"/>
          <w:szCs w:val="18"/>
        </w:rPr>
        <w:t xml:space="preserve">Taste and/or odor for which treatment process adjustments are routinely made (2 points): 1) taste and/or odor issue has been identified in a pre-design report, </w:t>
      </w:r>
      <w:r w:rsidRPr="00836969">
        <w:rPr>
          <w:rFonts w:eastAsia="Times New Roman"/>
          <w:i/>
          <w:iCs/>
          <w:sz w:val="18"/>
          <w:szCs w:val="18"/>
        </w:rPr>
        <w:t>etc</w:t>
      </w:r>
      <w:r w:rsidRPr="00836969">
        <w:rPr>
          <w:rFonts w:eastAsia="Times New Roman"/>
          <w:sz w:val="18"/>
          <w:szCs w:val="18"/>
        </w:rPr>
        <w:t xml:space="preserve">., 2) a process has been installed to address, and 3) operational control adjustments are made at least seasonally. Do not give points for taste and/or odor when there is no specific additional impact on operation. </w:t>
      </w:r>
      <w:r w:rsidRPr="00836969">
        <w:rPr>
          <w:rFonts w:eastAsia="Times New Roman"/>
          <w:i/>
          <w:iCs/>
          <w:sz w:val="18"/>
          <w:szCs w:val="18"/>
        </w:rPr>
        <w:t>E.g</w:t>
      </w:r>
      <w:r w:rsidRPr="00836969">
        <w:rPr>
          <w:rFonts w:eastAsia="Times New Roman"/>
          <w:sz w:val="18"/>
          <w:szCs w:val="18"/>
        </w:rPr>
        <w:t>. if a system is already pre-chlorinating for Disinfection, give no points for taste and/or odor.</w:t>
      </w:r>
    </w:p>
    <w:p w14:paraId="027CE00E" w14:textId="77777777" w:rsidR="00836969" w:rsidRPr="00836969" w:rsidRDefault="00836969" w:rsidP="00887943">
      <w:pPr>
        <w:pStyle w:val="ListParagraph"/>
        <w:numPr>
          <w:ilvl w:val="0"/>
          <w:numId w:val="927"/>
        </w:numPr>
        <w:tabs>
          <w:tab w:val="left" w:pos="360"/>
        </w:tabs>
        <w:ind w:hanging="180"/>
        <w:rPr>
          <w:rFonts w:eastAsia="Times New Roman"/>
          <w:sz w:val="18"/>
          <w:szCs w:val="18"/>
        </w:rPr>
      </w:pPr>
      <w:r w:rsidRPr="00836969">
        <w:rPr>
          <w:rFonts w:eastAsia="Times New Roman"/>
          <w:sz w:val="18"/>
          <w:szCs w:val="18"/>
        </w:rPr>
        <w:t>Color &gt; 15 CU (not due to precipitated metals) (3 points) with following exceptions. Color will be considered elevated and points assigned when levels exceed 75 Color Units (CU) for conventional filtration, 40 CU for Direct Filtration, or 15 CU for all other technologies, except Reverse Osmosis (no points given for color for Reverse Osmosis).</w:t>
      </w:r>
    </w:p>
    <w:p w14:paraId="0BAC3BDA" w14:textId="77777777" w:rsidR="00836969" w:rsidRPr="00836969" w:rsidRDefault="00836969" w:rsidP="00887943">
      <w:pPr>
        <w:pStyle w:val="ListParagraph"/>
        <w:numPr>
          <w:ilvl w:val="0"/>
          <w:numId w:val="927"/>
        </w:numPr>
        <w:tabs>
          <w:tab w:val="left" w:pos="360"/>
        </w:tabs>
        <w:ind w:hanging="180"/>
        <w:rPr>
          <w:rFonts w:eastAsia="Times New Roman"/>
          <w:sz w:val="18"/>
          <w:szCs w:val="18"/>
        </w:rPr>
      </w:pPr>
      <w:r w:rsidRPr="00836969">
        <w:rPr>
          <w:rFonts w:eastAsia="Times New Roman"/>
          <w:sz w:val="18"/>
          <w:szCs w:val="18"/>
        </w:rPr>
        <w:t>Iron and/or manganese &gt; SMCL: Fe (2 points), Mn (3 points) (3 points maximum allowed) with following exceptions. Iron and manganese levels will be considered elevated and points assigned if they are greater than the SM CL, except for applications of manganese greensand filters. For applications of manganese greensand filters, iron and manganese levels will be considered elevated when their combined level exceeds 1.0 mg/L or if manganese exceeds 0.3 mg/L (3 points allowed).</w:t>
      </w:r>
    </w:p>
    <w:p w14:paraId="281A0743" w14:textId="229FA757" w:rsidR="004647B9" w:rsidRPr="00397472" w:rsidRDefault="00836969" w:rsidP="00887943">
      <w:pPr>
        <w:pStyle w:val="ListParagraph"/>
        <w:numPr>
          <w:ilvl w:val="0"/>
          <w:numId w:val="927"/>
        </w:numPr>
        <w:tabs>
          <w:tab w:val="left" w:pos="360"/>
        </w:tabs>
        <w:ind w:hanging="180"/>
        <w:rPr>
          <w:rFonts w:eastAsia="Times New Roman"/>
          <w:sz w:val="18"/>
          <w:szCs w:val="18"/>
        </w:rPr>
      </w:pPr>
      <w:r w:rsidRPr="00836969">
        <w:rPr>
          <w:rFonts w:eastAsia="Times New Roman"/>
          <w:sz w:val="18"/>
          <w:szCs w:val="18"/>
        </w:rPr>
        <w:t>Algal growths for which treatment process adjustments are routinely made (3 points): Raw Water will be considered subject to algae growths when treatment processes are specifically adjusted due to the presence of high levels of algae on at least a weekly basis for at least two months each year.</w:t>
      </w:r>
    </w:p>
    <w:p w14:paraId="281A0744" w14:textId="77777777" w:rsidR="004647B9" w:rsidRDefault="004647B9" w:rsidP="00887943">
      <w:pPr>
        <w:sectPr w:rsidR="004647B9" w:rsidSect="00EF630C">
          <w:type w:val="continuous"/>
          <w:pgSz w:w="12240" w:h="20180"/>
          <w:pgMar w:top="708" w:right="1380" w:bottom="1440" w:left="600" w:header="0" w:footer="0" w:gutter="0"/>
          <w:cols w:space="720"/>
        </w:sectPr>
      </w:pPr>
    </w:p>
    <w:p w14:paraId="281A0749" w14:textId="77777777" w:rsidR="004647B9" w:rsidRDefault="004647B9" w:rsidP="00887943">
      <w:pPr>
        <w:sectPr w:rsidR="004647B9" w:rsidSect="00EF630C">
          <w:type w:val="continuous"/>
          <w:pgSz w:w="12240" w:h="20180"/>
          <w:pgMar w:top="708" w:right="1380" w:bottom="1440" w:left="600" w:header="0" w:footer="0" w:gutter="0"/>
          <w:cols w:space="720"/>
        </w:sectPr>
      </w:pPr>
    </w:p>
    <w:p w14:paraId="281A074A" w14:textId="77777777" w:rsidR="004647B9" w:rsidRDefault="00E2436F">
      <w:pPr>
        <w:tabs>
          <w:tab w:val="left" w:pos="160"/>
        </w:tabs>
        <w:jc w:val="center"/>
        <w:rPr>
          <w:sz w:val="20"/>
          <w:szCs w:val="20"/>
        </w:rPr>
      </w:pPr>
      <w:bookmarkStart w:id="163" w:name="page165"/>
      <w:bookmarkEnd w:id="16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74B" w14:textId="77777777" w:rsidR="004647B9" w:rsidRDefault="004647B9" w:rsidP="00887943">
      <w:pPr>
        <w:rPr>
          <w:sz w:val="20"/>
          <w:szCs w:val="20"/>
        </w:rPr>
      </w:pPr>
    </w:p>
    <w:p w14:paraId="281A074C" w14:textId="77777777" w:rsidR="004647B9" w:rsidRDefault="004647B9" w:rsidP="00887943">
      <w:pPr>
        <w:rPr>
          <w:sz w:val="20"/>
          <w:szCs w:val="20"/>
        </w:rPr>
      </w:pPr>
    </w:p>
    <w:p w14:paraId="281A074D" w14:textId="77777777" w:rsidR="004647B9" w:rsidRDefault="00E2436F" w:rsidP="00887943">
      <w:pPr>
        <w:tabs>
          <w:tab w:val="left" w:pos="920"/>
        </w:tabs>
        <w:rPr>
          <w:sz w:val="20"/>
          <w:szCs w:val="20"/>
        </w:rPr>
      </w:pPr>
      <w:r>
        <w:rPr>
          <w:rFonts w:eastAsia="Times New Roman"/>
          <w:sz w:val="24"/>
          <w:szCs w:val="24"/>
        </w:rPr>
        <w:t>22.11B:</w:t>
      </w:r>
      <w:r>
        <w:rPr>
          <w:rFonts w:eastAsia="Times New Roman"/>
          <w:sz w:val="24"/>
          <w:szCs w:val="24"/>
        </w:rPr>
        <w:tab/>
        <w:t>continued</w:t>
      </w:r>
    </w:p>
    <w:p w14:paraId="281A074E" w14:textId="77777777" w:rsidR="004647B9" w:rsidRDefault="004647B9" w:rsidP="00887943">
      <w:pPr>
        <w:rPr>
          <w:sz w:val="20"/>
          <w:szCs w:val="20"/>
        </w:rPr>
      </w:pPr>
    </w:p>
    <w:p w14:paraId="281A074F" w14:textId="214B99F3" w:rsidR="004647B9" w:rsidRPr="00C941E5" w:rsidRDefault="00E2436F" w:rsidP="00887943">
      <w:pPr>
        <w:pStyle w:val="ListParagraph"/>
        <w:numPr>
          <w:ilvl w:val="2"/>
          <w:numId w:val="968"/>
        </w:numPr>
        <w:tabs>
          <w:tab w:val="left" w:pos="540"/>
        </w:tabs>
        <w:ind w:left="547" w:hanging="187"/>
        <w:rPr>
          <w:rFonts w:eastAsia="Times New Roman"/>
          <w:sz w:val="18"/>
          <w:szCs w:val="18"/>
        </w:rPr>
      </w:pPr>
      <w:r w:rsidRPr="004D2DB0">
        <w:rPr>
          <w:rFonts w:eastAsia="Times New Roman"/>
          <w:sz w:val="18"/>
          <w:szCs w:val="18"/>
        </w:rPr>
        <w:t>Upflow clarificatio</w:t>
      </w:r>
      <w:r w:rsidRPr="004D2DB0" w:rsidDel="007B206E">
        <w:rPr>
          <w:rFonts w:eastAsia="Times New Roman"/>
          <w:sz w:val="18"/>
          <w:szCs w:val="18"/>
        </w:rPr>
        <w:t>n</w:t>
      </w:r>
      <w:r w:rsidRPr="004D2DB0">
        <w:rPr>
          <w:rFonts w:eastAsia="Times New Roman"/>
          <w:sz w:val="18"/>
          <w:szCs w:val="18"/>
        </w:rPr>
        <w:t xml:space="preserve"> ("sludge blanket clarifier") - 8 points - Also known as sludge blanket clarification. Includes such proprietary units as Super-Pulsator. These units include processes for flocculation and Sedimentation. Important note: these are not the same as Adsorption clarifiers.</w:t>
      </w:r>
    </w:p>
    <w:p w14:paraId="75E4B620" w14:textId="77777777" w:rsidR="0045399D" w:rsidRDefault="0045399D" w:rsidP="00887943">
      <w:pPr>
        <w:tabs>
          <w:tab w:val="left" w:pos="2376"/>
        </w:tabs>
        <w:ind w:left="1920"/>
        <w:jc w:val="both"/>
        <w:rPr>
          <w:rFonts w:eastAsia="Times New Roman"/>
          <w:sz w:val="24"/>
          <w:szCs w:val="24"/>
        </w:rPr>
      </w:pPr>
    </w:p>
    <w:p w14:paraId="281A0751" w14:textId="6D4B1EAD" w:rsidR="004647B9" w:rsidRPr="00905F85" w:rsidRDefault="00E2436F" w:rsidP="00905F85">
      <w:pPr>
        <w:numPr>
          <w:ilvl w:val="2"/>
          <w:numId w:val="424"/>
        </w:numPr>
        <w:tabs>
          <w:tab w:val="left" w:pos="2376"/>
        </w:tabs>
        <w:ind w:left="1920" w:hanging="5"/>
        <w:jc w:val="both"/>
        <w:rPr>
          <w:rFonts w:eastAsia="Times New Roman"/>
          <w:sz w:val="24"/>
          <w:szCs w:val="24"/>
        </w:rPr>
      </w:pPr>
      <w:r w:rsidRPr="00905F85">
        <w:rPr>
          <w:rFonts w:eastAsia="Times New Roman"/>
          <w:sz w:val="24"/>
          <w:szCs w:val="24"/>
        </w:rPr>
        <w:t>Each unit process should have points assigned only once.</w:t>
      </w:r>
    </w:p>
    <w:p w14:paraId="281A0753" w14:textId="77777777" w:rsidR="004647B9" w:rsidRPr="00905F85" w:rsidRDefault="00E2436F" w:rsidP="00905F85">
      <w:pPr>
        <w:numPr>
          <w:ilvl w:val="2"/>
          <w:numId w:val="424"/>
        </w:numPr>
        <w:tabs>
          <w:tab w:val="left" w:pos="2376"/>
        </w:tabs>
        <w:ind w:left="1920" w:hanging="5"/>
        <w:jc w:val="both"/>
        <w:rPr>
          <w:rFonts w:eastAsia="Times New Roman"/>
          <w:sz w:val="24"/>
          <w:szCs w:val="24"/>
        </w:rPr>
      </w:pPr>
      <w:r w:rsidRPr="00905F85">
        <w:rPr>
          <w:rFonts w:eastAsia="Times New Roman"/>
          <w:sz w:val="24"/>
          <w:szCs w:val="24"/>
        </w:rPr>
        <w:t>Point System: Treatment Facilities shall be classified according to the following points system:</w:t>
      </w:r>
    </w:p>
    <w:p w14:paraId="536C5A9C" w14:textId="78A9E234" w:rsidR="00836E36" w:rsidRPr="00905F85" w:rsidRDefault="00E2436F" w:rsidP="00905F85">
      <w:pPr>
        <w:tabs>
          <w:tab w:val="left" w:pos="2244"/>
          <w:tab w:val="left" w:pos="4680"/>
        </w:tabs>
        <w:ind w:left="3330"/>
        <w:jc w:val="both"/>
        <w:rPr>
          <w:rFonts w:eastAsia="Times New Roman"/>
          <w:sz w:val="24"/>
          <w:szCs w:val="24"/>
        </w:rPr>
      </w:pPr>
      <w:r w:rsidRPr="00905F85">
        <w:rPr>
          <w:rFonts w:eastAsia="Times New Roman"/>
          <w:sz w:val="24"/>
          <w:szCs w:val="24"/>
        </w:rPr>
        <w:t>Class I-T</w:t>
      </w:r>
      <w:r w:rsidR="00F20A71">
        <w:rPr>
          <w:rFonts w:eastAsia="Times New Roman"/>
          <w:sz w:val="24"/>
          <w:szCs w:val="24"/>
        </w:rPr>
        <w:tab/>
      </w:r>
      <w:r w:rsidRPr="00905F85">
        <w:rPr>
          <w:rFonts w:eastAsia="Times New Roman"/>
          <w:sz w:val="24"/>
          <w:szCs w:val="24"/>
        </w:rPr>
        <w:t xml:space="preserve">30 </w:t>
      </w:r>
      <w:r w:rsidR="00832BE9">
        <w:rPr>
          <w:rFonts w:eastAsia="Times New Roman"/>
          <w:sz w:val="24"/>
          <w:szCs w:val="24"/>
        </w:rPr>
        <w:t>p</w:t>
      </w:r>
      <w:r w:rsidR="00832BE9" w:rsidRPr="00905F85">
        <w:rPr>
          <w:rFonts w:eastAsia="Times New Roman"/>
          <w:sz w:val="24"/>
          <w:szCs w:val="24"/>
        </w:rPr>
        <w:t xml:space="preserve">oints </w:t>
      </w:r>
      <w:r w:rsidRPr="00905F85">
        <w:rPr>
          <w:rFonts w:eastAsia="Times New Roman"/>
          <w:sz w:val="24"/>
          <w:szCs w:val="24"/>
        </w:rPr>
        <w:t>and less</w:t>
      </w:r>
    </w:p>
    <w:p w14:paraId="7BE03577" w14:textId="2857D25D" w:rsidR="00836E36" w:rsidRPr="00905F85" w:rsidRDefault="00E2436F" w:rsidP="00905F85">
      <w:pPr>
        <w:tabs>
          <w:tab w:val="left" w:pos="2244"/>
          <w:tab w:val="left" w:pos="4680"/>
        </w:tabs>
        <w:ind w:left="3330"/>
        <w:jc w:val="both"/>
        <w:rPr>
          <w:rFonts w:eastAsia="Times New Roman"/>
          <w:sz w:val="24"/>
          <w:szCs w:val="24"/>
        </w:rPr>
      </w:pPr>
      <w:r w:rsidRPr="00905F85">
        <w:rPr>
          <w:rFonts w:eastAsia="Times New Roman"/>
          <w:sz w:val="24"/>
          <w:szCs w:val="24"/>
        </w:rPr>
        <w:t>Class II-T</w:t>
      </w:r>
      <w:r w:rsidR="00F20A71">
        <w:rPr>
          <w:rFonts w:eastAsia="Times New Roman"/>
          <w:sz w:val="24"/>
          <w:szCs w:val="24"/>
        </w:rPr>
        <w:tab/>
      </w:r>
      <w:r w:rsidRPr="00905F85">
        <w:rPr>
          <w:rFonts w:eastAsia="Times New Roman"/>
          <w:sz w:val="24"/>
          <w:szCs w:val="24"/>
        </w:rPr>
        <w:t>31 to 55 points</w:t>
      </w:r>
    </w:p>
    <w:p w14:paraId="734F9D11" w14:textId="4C2DFBCC" w:rsidR="00836E36" w:rsidRPr="00905F85" w:rsidRDefault="00E2436F" w:rsidP="00905F85">
      <w:pPr>
        <w:tabs>
          <w:tab w:val="left" w:pos="2244"/>
          <w:tab w:val="left" w:pos="4680"/>
        </w:tabs>
        <w:ind w:left="3330"/>
        <w:jc w:val="both"/>
        <w:rPr>
          <w:rFonts w:eastAsia="Times New Roman"/>
          <w:sz w:val="24"/>
          <w:szCs w:val="24"/>
        </w:rPr>
      </w:pPr>
      <w:r w:rsidRPr="00905F85">
        <w:rPr>
          <w:rFonts w:eastAsia="Times New Roman"/>
          <w:sz w:val="24"/>
          <w:szCs w:val="24"/>
        </w:rPr>
        <w:t>Class III-T</w:t>
      </w:r>
      <w:r w:rsidR="00F20A71">
        <w:rPr>
          <w:rFonts w:eastAsia="Times New Roman"/>
          <w:sz w:val="24"/>
          <w:szCs w:val="24"/>
        </w:rPr>
        <w:tab/>
      </w:r>
      <w:r w:rsidRPr="00905F85">
        <w:rPr>
          <w:rFonts w:eastAsia="Times New Roman"/>
          <w:sz w:val="24"/>
          <w:szCs w:val="24"/>
        </w:rPr>
        <w:t>56 to 75 points</w:t>
      </w:r>
    </w:p>
    <w:p w14:paraId="281A0755" w14:textId="1B219BED" w:rsidR="004647B9" w:rsidRPr="00905F85" w:rsidRDefault="00E2436F" w:rsidP="00905F85">
      <w:pPr>
        <w:tabs>
          <w:tab w:val="left" w:pos="2244"/>
          <w:tab w:val="left" w:pos="4680"/>
        </w:tabs>
        <w:ind w:left="3330"/>
        <w:jc w:val="both"/>
        <w:rPr>
          <w:rFonts w:eastAsia="Times New Roman"/>
          <w:sz w:val="24"/>
          <w:szCs w:val="24"/>
        </w:rPr>
      </w:pPr>
      <w:r w:rsidRPr="00905F85">
        <w:rPr>
          <w:rFonts w:eastAsia="Times New Roman"/>
          <w:sz w:val="24"/>
          <w:szCs w:val="24"/>
        </w:rPr>
        <w:t>Class IV-T</w:t>
      </w:r>
      <w:r w:rsidR="00F20A71">
        <w:rPr>
          <w:rFonts w:eastAsia="Times New Roman"/>
          <w:sz w:val="24"/>
          <w:szCs w:val="24"/>
        </w:rPr>
        <w:tab/>
      </w:r>
      <w:r w:rsidRPr="00905F85">
        <w:rPr>
          <w:rFonts w:eastAsia="Times New Roman"/>
          <w:sz w:val="24"/>
          <w:szCs w:val="24"/>
        </w:rPr>
        <w:t>76 points and greater</w:t>
      </w:r>
    </w:p>
    <w:p w14:paraId="281A0757" w14:textId="607F2640" w:rsidR="004647B9" w:rsidRPr="00734FE8" w:rsidRDefault="00E2436F" w:rsidP="00887943">
      <w:pPr>
        <w:numPr>
          <w:ilvl w:val="1"/>
          <w:numId w:val="430"/>
        </w:numPr>
        <w:tabs>
          <w:tab w:val="left" w:pos="1992"/>
        </w:tabs>
        <w:ind w:left="1560" w:hanging="5"/>
        <w:jc w:val="both"/>
        <w:rPr>
          <w:rFonts w:eastAsia="Times New Roman"/>
          <w:sz w:val="24"/>
          <w:szCs w:val="24"/>
        </w:rPr>
      </w:pPr>
      <w:r w:rsidRPr="00734FE8">
        <w:rPr>
          <w:rFonts w:eastAsia="Times New Roman"/>
          <w:sz w:val="24"/>
          <w:szCs w:val="24"/>
          <w:u w:val="single"/>
        </w:rPr>
        <w:t>Water Vending Machines with Treatment</w:t>
      </w:r>
      <w:r w:rsidRPr="00734FE8">
        <w:rPr>
          <w:rFonts w:eastAsia="Times New Roman"/>
          <w:sz w:val="24"/>
          <w:szCs w:val="24"/>
        </w:rPr>
        <w:t>. Free standing vending machines consisting of filters with the addition of chemicals and/or Reverse Osmosis system shall be classified</w:t>
      </w:r>
      <w:r w:rsidR="00AB44AE">
        <w:rPr>
          <w:rFonts w:eastAsia="Times New Roman"/>
          <w:sz w:val="24"/>
          <w:szCs w:val="24"/>
        </w:rPr>
        <w:t xml:space="preserve"> as follows:</w:t>
      </w:r>
    </w:p>
    <w:tbl>
      <w:tblPr>
        <w:tblStyle w:val="TableGrid"/>
        <w:tblW w:w="0" w:type="auto"/>
        <w:tblInd w:w="1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5"/>
        <w:gridCol w:w="2700"/>
      </w:tblGrid>
      <w:tr w:rsidR="00836E36" w:rsidRPr="00836E36" w14:paraId="2EF4AEFD" w14:textId="77777777" w:rsidTr="00836E36">
        <w:tc>
          <w:tcPr>
            <w:tcW w:w="3745" w:type="dxa"/>
          </w:tcPr>
          <w:p w14:paraId="3069C5D4" w14:textId="77777777" w:rsidR="00836E36" w:rsidRPr="00836E36" w:rsidRDefault="00836E36" w:rsidP="00347FE4">
            <w:pPr>
              <w:rPr>
                <w:sz w:val="20"/>
                <w:szCs w:val="20"/>
              </w:rPr>
            </w:pPr>
            <w:r w:rsidRPr="00836E36">
              <w:rPr>
                <w:rFonts w:eastAsia="Times New Roman"/>
                <w:sz w:val="24"/>
                <w:szCs w:val="24"/>
              </w:rPr>
              <w:t>2000 gal per day and less</w:t>
            </w:r>
          </w:p>
        </w:tc>
        <w:tc>
          <w:tcPr>
            <w:tcW w:w="2700" w:type="dxa"/>
          </w:tcPr>
          <w:p w14:paraId="64D7340C" w14:textId="77777777" w:rsidR="00836E36" w:rsidRPr="00836E36" w:rsidRDefault="00836E36" w:rsidP="00347FE4">
            <w:pPr>
              <w:rPr>
                <w:sz w:val="20"/>
                <w:szCs w:val="20"/>
              </w:rPr>
            </w:pPr>
            <w:r w:rsidRPr="00836E36">
              <w:rPr>
                <w:rFonts w:eastAsia="Times New Roman"/>
                <w:sz w:val="23"/>
                <w:szCs w:val="23"/>
              </w:rPr>
              <w:t>Class I-VNDT</w:t>
            </w:r>
          </w:p>
        </w:tc>
      </w:tr>
      <w:tr w:rsidR="00836E36" w:rsidRPr="00836E36" w14:paraId="6C529A27" w14:textId="77777777" w:rsidTr="00836E36">
        <w:tc>
          <w:tcPr>
            <w:tcW w:w="3745" w:type="dxa"/>
          </w:tcPr>
          <w:p w14:paraId="7BE9F8B2" w14:textId="77777777" w:rsidR="00836E36" w:rsidRPr="00836E36" w:rsidRDefault="00836E36" w:rsidP="00347FE4">
            <w:pPr>
              <w:rPr>
                <w:sz w:val="20"/>
                <w:szCs w:val="20"/>
              </w:rPr>
            </w:pPr>
            <w:r w:rsidRPr="00836E36">
              <w:rPr>
                <w:rFonts w:eastAsia="Times New Roman"/>
                <w:sz w:val="24"/>
                <w:szCs w:val="24"/>
              </w:rPr>
              <w:t>2001 gal per day to 5000</w:t>
            </w:r>
          </w:p>
        </w:tc>
        <w:tc>
          <w:tcPr>
            <w:tcW w:w="2700" w:type="dxa"/>
          </w:tcPr>
          <w:p w14:paraId="59F6CE3B" w14:textId="77777777" w:rsidR="00836E36" w:rsidRPr="00836E36" w:rsidRDefault="00836E36" w:rsidP="00347FE4">
            <w:pPr>
              <w:rPr>
                <w:sz w:val="20"/>
                <w:szCs w:val="20"/>
              </w:rPr>
            </w:pPr>
            <w:r w:rsidRPr="00836E36">
              <w:rPr>
                <w:rFonts w:eastAsia="Times New Roman"/>
                <w:sz w:val="23"/>
                <w:szCs w:val="23"/>
              </w:rPr>
              <w:t>Class II-VNDT</w:t>
            </w:r>
          </w:p>
        </w:tc>
      </w:tr>
      <w:tr w:rsidR="00836E36" w:rsidRPr="00836E36" w14:paraId="734F42CE" w14:textId="77777777" w:rsidTr="00836E36">
        <w:tc>
          <w:tcPr>
            <w:tcW w:w="3745" w:type="dxa"/>
          </w:tcPr>
          <w:p w14:paraId="37F0B983" w14:textId="77777777" w:rsidR="00836E36" w:rsidRPr="00836E36" w:rsidRDefault="00836E36" w:rsidP="00347FE4">
            <w:pPr>
              <w:rPr>
                <w:sz w:val="20"/>
                <w:szCs w:val="20"/>
              </w:rPr>
            </w:pPr>
            <w:r w:rsidRPr="00836E36">
              <w:rPr>
                <w:rFonts w:eastAsia="Times New Roman"/>
                <w:sz w:val="24"/>
                <w:szCs w:val="24"/>
              </w:rPr>
              <w:t>5001 gal per day to 50000</w:t>
            </w:r>
          </w:p>
        </w:tc>
        <w:tc>
          <w:tcPr>
            <w:tcW w:w="2700" w:type="dxa"/>
          </w:tcPr>
          <w:p w14:paraId="2909AD6F" w14:textId="77777777" w:rsidR="00836E36" w:rsidRPr="00836E36" w:rsidRDefault="00836E36" w:rsidP="00347FE4">
            <w:pPr>
              <w:rPr>
                <w:sz w:val="20"/>
                <w:szCs w:val="20"/>
              </w:rPr>
            </w:pPr>
            <w:r w:rsidRPr="00836E36">
              <w:rPr>
                <w:rFonts w:eastAsia="Times New Roman"/>
                <w:sz w:val="23"/>
                <w:szCs w:val="23"/>
              </w:rPr>
              <w:t>Class III-VNDT</w:t>
            </w:r>
          </w:p>
        </w:tc>
      </w:tr>
      <w:tr w:rsidR="00836E36" w:rsidRPr="00836E36" w14:paraId="12DAD39E" w14:textId="77777777" w:rsidTr="00836E36">
        <w:tc>
          <w:tcPr>
            <w:tcW w:w="3745" w:type="dxa"/>
          </w:tcPr>
          <w:p w14:paraId="42C2BD9D" w14:textId="77777777" w:rsidR="00836E36" w:rsidRPr="00836E36" w:rsidRDefault="00836E36" w:rsidP="00347FE4">
            <w:pPr>
              <w:rPr>
                <w:sz w:val="20"/>
                <w:szCs w:val="20"/>
              </w:rPr>
            </w:pPr>
            <w:r w:rsidRPr="00836E36">
              <w:rPr>
                <w:rFonts w:eastAsia="Times New Roman"/>
                <w:sz w:val="24"/>
                <w:szCs w:val="24"/>
              </w:rPr>
              <w:t>50001 gal per day and grater</w:t>
            </w:r>
          </w:p>
        </w:tc>
        <w:tc>
          <w:tcPr>
            <w:tcW w:w="2700" w:type="dxa"/>
          </w:tcPr>
          <w:p w14:paraId="43F115B7" w14:textId="77777777" w:rsidR="00836E36" w:rsidRPr="00836E36" w:rsidRDefault="00836E36" w:rsidP="00347FE4">
            <w:pPr>
              <w:rPr>
                <w:sz w:val="20"/>
                <w:szCs w:val="20"/>
              </w:rPr>
            </w:pPr>
            <w:r w:rsidRPr="00836E36">
              <w:rPr>
                <w:rFonts w:eastAsia="Times New Roman"/>
                <w:sz w:val="23"/>
                <w:szCs w:val="23"/>
              </w:rPr>
              <w:t>Class IV-VNDT</w:t>
            </w:r>
          </w:p>
        </w:tc>
      </w:tr>
    </w:tbl>
    <w:p w14:paraId="281A075E" w14:textId="77777777" w:rsidR="004647B9" w:rsidRDefault="00E2436F" w:rsidP="00563A54">
      <w:pPr>
        <w:numPr>
          <w:ilvl w:val="0"/>
          <w:numId w:val="431"/>
        </w:numPr>
        <w:tabs>
          <w:tab w:val="left" w:pos="2076"/>
        </w:tabs>
        <w:spacing w:line="237" w:lineRule="auto"/>
        <w:ind w:left="1560" w:hanging="5"/>
        <w:rPr>
          <w:rFonts w:eastAsia="Times New Roman"/>
          <w:sz w:val="24"/>
          <w:szCs w:val="24"/>
        </w:rPr>
      </w:pPr>
      <w:r>
        <w:rPr>
          <w:rFonts w:eastAsia="Times New Roman"/>
          <w:sz w:val="24"/>
          <w:szCs w:val="24"/>
          <w:u w:val="single"/>
        </w:rPr>
        <w:t>Rating Distribution Systems</w:t>
      </w:r>
      <w:r>
        <w:rPr>
          <w:rFonts w:eastAsia="Times New Roman"/>
          <w:sz w:val="24"/>
          <w:szCs w:val="24"/>
        </w:rPr>
        <w:t>. Distribution Systems shall be rated according to the population served as follows except for Non-community Water Systems:</w:t>
      </w:r>
    </w:p>
    <w:tbl>
      <w:tblPr>
        <w:tblW w:w="0" w:type="auto"/>
        <w:tblInd w:w="1920" w:type="dxa"/>
        <w:tblLayout w:type="fixed"/>
        <w:tblCellMar>
          <w:left w:w="0" w:type="dxa"/>
          <w:right w:w="0" w:type="dxa"/>
        </w:tblCellMar>
        <w:tblLook w:val="04A0" w:firstRow="1" w:lastRow="0" w:firstColumn="1" w:lastColumn="0" w:noHBand="0" w:noVBand="1"/>
      </w:tblPr>
      <w:tblGrid>
        <w:gridCol w:w="3750"/>
        <w:gridCol w:w="2730"/>
      </w:tblGrid>
      <w:tr w:rsidR="004647B9" w14:paraId="281A0761" w14:textId="77777777" w:rsidTr="000B17CA">
        <w:trPr>
          <w:trHeight w:val="237"/>
        </w:trPr>
        <w:tc>
          <w:tcPr>
            <w:tcW w:w="3750" w:type="dxa"/>
            <w:vAlign w:val="bottom"/>
          </w:tcPr>
          <w:p w14:paraId="281A075F" w14:textId="77777777" w:rsidR="004647B9" w:rsidRDefault="00E2436F">
            <w:pPr>
              <w:spacing w:line="237" w:lineRule="exact"/>
              <w:rPr>
                <w:sz w:val="20"/>
                <w:szCs w:val="20"/>
              </w:rPr>
            </w:pPr>
            <w:r>
              <w:rPr>
                <w:rFonts w:eastAsia="Times New Roman"/>
                <w:sz w:val="24"/>
                <w:szCs w:val="24"/>
              </w:rPr>
              <w:t>500 and less</w:t>
            </w:r>
          </w:p>
        </w:tc>
        <w:tc>
          <w:tcPr>
            <w:tcW w:w="2730" w:type="dxa"/>
            <w:vAlign w:val="center"/>
          </w:tcPr>
          <w:p w14:paraId="281A0760" w14:textId="77777777" w:rsidR="004647B9" w:rsidRDefault="00E2436F" w:rsidP="000B17CA">
            <w:pPr>
              <w:spacing w:line="237" w:lineRule="exact"/>
              <w:rPr>
                <w:sz w:val="20"/>
                <w:szCs w:val="20"/>
              </w:rPr>
            </w:pPr>
            <w:r>
              <w:rPr>
                <w:rFonts w:eastAsia="Times New Roman"/>
                <w:w w:val="98"/>
                <w:sz w:val="24"/>
                <w:szCs w:val="24"/>
              </w:rPr>
              <w:t>VSS (Very Small System)</w:t>
            </w:r>
          </w:p>
        </w:tc>
      </w:tr>
      <w:tr w:rsidR="004647B9" w14:paraId="281A0764" w14:textId="77777777" w:rsidTr="000B17CA">
        <w:trPr>
          <w:trHeight w:val="274"/>
        </w:trPr>
        <w:tc>
          <w:tcPr>
            <w:tcW w:w="3750" w:type="dxa"/>
            <w:vAlign w:val="bottom"/>
          </w:tcPr>
          <w:p w14:paraId="281A0762" w14:textId="77777777" w:rsidR="004647B9" w:rsidRDefault="00E2436F">
            <w:pPr>
              <w:spacing w:line="273" w:lineRule="exact"/>
              <w:rPr>
                <w:sz w:val="20"/>
                <w:szCs w:val="20"/>
              </w:rPr>
            </w:pPr>
            <w:r>
              <w:rPr>
                <w:rFonts w:eastAsia="Times New Roman"/>
                <w:sz w:val="24"/>
                <w:szCs w:val="24"/>
              </w:rPr>
              <w:t>501 to 1,500</w:t>
            </w:r>
          </w:p>
        </w:tc>
        <w:tc>
          <w:tcPr>
            <w:tcW w:w="2730" w:type="dxa"/>
            <w:vAlign w:val="center"/>
          </w:tcPr>
          <w:p w14:paraId="281A0763" w14:textId="77777777" w:rsidR="004647B9" w:rsidRDefault="00E2436F" w:rsidP="000B17CA">
            <w:pPr>
              <w:spacing w:line="273" w:lineRule="exact"/>
              <w:rPr>
                <w:sz w:val="20"/>
                <w:szCs w:val="20"/>
              </w:rPr>
            </w:pPr>
            <w:r>
              <w:rPr>
                <w:rFonts w:eastAsia="Times New Roman"/>
                <w:sz w:val="24"/>
                <w:szCs w:val="24"/>
              </w:rPr>
              <w:t>Class I-D</w:t>
            </w:r>
          </w:p>
        </w:tc>
      </w:tr>
      <w:tr w:rsidR="004647B9" w14:paraId="281A0767" w14:textId="77777777" w:rsidTr="000B17CA">
        <w:trPr>
          <w:trHeight w:val="274"/>
        </w:trPr>
        <w:tc>
          <w:tcPr>
            <w:tcW w:w="3750" w:type="dxa"/>
            <w:vAlign w:val="bottom"/>
          </w:tcPr>
          <w:p w14:paraId="281A0765" w14:textId="77777777" w:rsidR="004647B9" w:rsidRDefault="00E2436F">
            <w:pPr>
              <w:spacing w:line="273" w:lineRule="exact"/>
              <w:rPr>
                <w:sz w:val="20"/>
                <w:szCs w:val="20"/>
              </w:rPr>
            </w:pPr>
            <w:r>
              <w:rPr>
                <w:rFonts w:eastAsia="Times New Roman"/>
                <w:sz w:val="24"/>
                <w:szCs w:val="24"/>
              </w:rPr>
              <w:t>1,501 to 15,000</w:t>
            </w:r>
          </w:p>
        </w:tc>
        <w:tc>
          <w:tcPr>
            <w:tcW w:w="2730" w:type="dxa"/>
            <w:vAlign w:val="center"/>
          </w:tcPr>
          <w:p w14:paraId="281A0766" w14:textId="77777777" w:rsidR="004647B9" w:rsidRDefault="00E2436F" w:rsidP="000B17CA">
            <w:pPr>
              <w:spacing w:line="273" w:lineRule="exact"/>
              <w:rPr>
                <w:sz w:val="20"/>
                <w:szCs w:val="20"/>
              </w:rPr>
            </w:pPr>
            <w:r>
              <w:rPr>
                <w:rFonts w:eastAsia="Times New Roman"/>
                <w:sz w:val="24"/>
                <w:szCs w:val="24"/>
              </w:rPr>
              <w:t>Class II-D</w:t>
            </w:r>
          </w:p>
        </w:tc>
      </w:tr>
      <w:tr w:rsidR="004647B9" w14:paraId="281A076A" w14:textId="77777777" w:rsidTr="000B17CA">
        <w:trPr>
          <w:trHeight w:val="274"/>
        </w:trPr>
        <w:tc>
          <w:tcPr>
            <w:tcW w:w="3750" w:type="dxa"/>
            <w:vAlign w:val="bottom"/>
          </w:tcPr>
          <w:p w14:paraId="281A0768" w14:textId="77777777" w:rsidR="004647B9" w:rsidRDefault="00E2436F">
            <w:pPr>
              <w:spacing w:line="273" w:lineRule="exact"/>
              <w:rPr>
                <w:sz w:val="20"/>
                <w:szCs w:val="20"/>
              </w:rPr>
            </w:pPr>
            <w:r>
              <w:rPr>
                <w:rFonts w:eastAsia="Times New Roman"/>
                <w:sz w:val="24"/>
                <w:szCs w:val="24"/>
              </w:rPr>
              <w:t>15,001 to 50,000</w:t>
            </w:r>
          </w:p>
        </w:tc>
        <w:tc>
          <w:tcPr>
            <w:tcW w:w="2730" w:type="dxa"/>
            <w:vAlign w:val="center"/>
          </w:tcPr>
          <w:p w14:paraId="281A0769" w14:textId="77777777" w:rsidR="004647B9" w:rsidRDefault="00E2436F" w:rsidP="000B17CA">
            <w:pPr>
              <w:spacing w:line="273" w:lineRule="exact"/>
              <w:rPr>
                <w:sz w:val="20"/>
                <w:szCs w:val="20"/>
              </w:rPr>
            </w:pPr>
            <w:r>
              <w:rPr>
                <w:rFonts w:eastAsia="Times New Roman"/>
                <w:sz w:val="24"/>
                <w:szCs w:val="24"/>
              </w:rPr>
              <w:t>Class III-D</w:t>
            </w:r>
          </w:p>
        </w:tc>
      </w:tr>
      <w:tr w:rsidR="004647B9" w14:paraId="281A076D" w14:textId="77777777" w:rsidTr="000B17CA">
        <w:trPr>
          <w:trHeight w:val="312"/>
        </w:trPr>
        <w:tc>
          <w:tcPr>
            <w:tcW w:w="3750" w:type="dxa"/>
            <w:vAlign w:val="bottom"/>
          </w:tcPr>
          <w:p w14:paraId="281A076B" w14:textId="77777777" w:rsidR="004647B9" w:rsidRDefault="00E2436F">
            <w:pPr>
              <w:rPr>
                <w:sz w:val="20"/>
                <w:szCs w:val="20"/>
              </w:rPr>
            </w:pPr>
            <w:r>
              <w:rPr>
                <w:rFonts w:eastAsia="Times New Roman"/>
                <w:sz w:val="24"/>
                <w:szCs w:val="24"/>
              </w:rPr>
              <w:t>50,001 and greater</w:t>
            </w:r>
          </w:p>
        </w:tc>
        <w:tc>
          <w:tcPr>
            <w:tcW w:w="2730" w:type="dxa"/>
            <w:vAlign w:val="center"/>
          </w:tcPr>
          <w:p w14:paraId="281A076C" w14:textId="77777777" w:rsidR="004647B9" w:rsidRDefault="00E2436F" w:rsidP="000B17CA">
            <w:pPr>
              <w:rPr>
                <w:sz w:val="20"/>
                <w:szCs w:val="20"/>
              </w:rPr>
            </w:pPr>
            <w:r>
              <w:rPr>
                <w:rFonts w:eastAsia="Times New Roman"/>
                <w:sz w:val="24"/>
                <w:szCs w:val="24"/>
              </w:rPr>
              <w:t>Class IV-D</w:t>
            </w:r>
          </w:p>
        </w:tc>
      </w:tr>
    </w:tbl>
    <w:p w14:paraId="281A076E" w14:textId="77777777" w:rsidR="004647B9" w:rsidRPr="00AB44AE" w:rsidRDefault="00E2436F" w:rsidP="00AB44AE">
      <w:pPr>
        <w:ind w:left="1555" w:firstLine="360"/>
        <w:rPr>
          <w:sz w:val="24"/>
          <w:szCs w:val="24"/>
        </w:rPr>
      </w:pPr>
      <w:r w:rsidRPr="00AB44AE">
        <w:rPr>
          <w:rFonts w:eastAsia="Times New Roman"/>
          <w:sz w:val="24"/>
          <w:szCs w:val="24"/>
        </w:rPr>
        <w:t>All Non-community Water Systems shall be classified as Very Small Systems (VSS) regardless of population served.</w:t>
      </w:r>
    </w:p>
    <w:p w14:paraId="281A0770" w14:textId="77777777" w:rsidR="004647B9" w:rsidRDefault="00E2436F" w:rsidP="00AB44AE">
      <w:pPr>
        <w:numPr>
          <w:ilvl w:val="0"/>
          <w:numId w:val="432"/>
        </w:numPr>
        <w:tabs>
          <w:tab w:val="left" w:pos="2171"/>
        </w:tabs>
        <w:ind w:left="1555" w:hanging="5"/>
        <w:jc w:val="both"/>
        <w:rPr>
          <w:rFonts w:eastAsia="Times New Roman"/>
          <w:sz w:val="24"/>
          <w:szCs w:val="24"/>
        </w:rPr>
      </w:pPr>
      <w:r>
        <w:rPr>
          <w:rFonts w:eastAsia="Times New Roman"/>
          <w:sz w:val="24"/>
          <w:szCs w:val="24"/>
          <w:u w:val="single"/>
        </w:rPr>
        <w:t>Water Vending Machines without Treatment</w:t>
      </w:r>
      <w:r>
        <w:rPr>
          <w:rFonts w:eastAsia="Times New Roman"/>
          <w:sz w:val="24"/>
          <w:szCs w:val="24"/>
        </w:rPr>
        <w:t>. Free standing vending machines consisting of filters, and/or ultra-violet Disinfection systems with no chemical addition shall be classified as follows:</w:t>
      </w:r>
    </w:p>
    <w:tbl>
      <w:tblPr>
        <w:tblStyle w:val="TableGrid"/>
        <w:tblW w:w="0" w:type="auto"/>
        <w:tblInd w:w="1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3677"/>
      </w:tblGrid>
      <w:tr w:rsidR="000B17CA" w:rsidRPr="000B17CA" w14:paraId="34C286E5" w14:textId="77777777" w:rsidTr="0020549D">
        <w:tc>
          <w:tcPr>
            <w:tcW w:w="4593" w:type="dxa"/>
          </w:tcPr>
          <w:p w14:paraId="455D5CAB" w14:textId="77777777" w:rsidR="000B17CA" w:rsidRPr="000B17CA" w:rsidRDefault="000B17CA" w:rsidP="00347FE4">
            <w:pPr>
              <w:rPr>
                <w:sz w:val="20"/>
                <w:szCs w:val="20"/>
              </w:rPr>
            </w:pPr>
            <w:r w:rsidRPr="000B17CA">
              <w:rPr>
                <w:rFonts w:eastAsia="Times New Roman"/>
                <w:sz w:val="24"/>
                <w:szCs w:val="24"/>
              </w:rPr>
              <w:t>500 gal per day and less</w:t>
            </w:r>
          </w:p>
        </w:tc>
        <w:tc>
          <w:tcPr>
            <w:tcW w:w="3677" w:type="dxa"/>
          </w:tcPr>
          <w:p w14:paraId="29B8E1FE" w14:textId="77777777" w:rsidR="000B17CA" w:rsidRPr="000B17CA" w:rsidRDefault="000B17CA" w:rsidP="00347FE4">
            <w:pPr>
              <w:rPr>
                <w:sz w:val="20"/>
                <w:szCs w:val="20"/>
              </w:rPr>
            </w:pPr>
            <w:r w:rsidRPr="000B17CA">
              <w:rPr>
                <w:rFonts w:eastAsia="Times New Roman"/>
                <w:sz w:val="23"/>
                <w:szCs w:val="23"/>
              </w:rPr>
              <w:t>VND-ID (Water Vending Machine)</w:t>
            </w:r>
          </w:p>
        </w:tc>
      </w:tr>
      <w:tr w:rsidR="000B17CA" w:rsidRPr="000B17CA" w14:paraId="7F416FF9" w14:textId="77777777" w:rsidTr="0020549D">
        <w:tc>
          <w:tcPr>
            <w:tcW w:w="4593" w:type="dxa"/>
          </w:tcPr>
          <w:p w14:paraId="25BDCCD2" w14:textId="77777777" w:rsidR="000B17CA" w:rsidRPr="000B17CA" w:rsidRDefault="000B17CA" w:rsidP="00347FE4">
            <w:pPr>
              <w:rPr>
                <w:sz w:val="20"/>
                <w:szCs w:val="20"/>
              </w:rPr>
            </w:pPr>
            <w:r w:rsidRPr="000B17CA">
              <w:rPr>
                <w:rFonts w:eastAsia="Times New Roman"/>
                <w:sz w:val="24"/>
                <w:szCs w:val="24"/>
              </w:rPr>
              <w:t>501 gal per day and more</w:t>
            </w:r>
          </w:p>
        </w:tc>
        <w:tc>
          <w:tcPr>
            <w:tcW w:w="3677" w:type="dxa"/>
          </w:tcPr>
          <w:p w14:paraId="7D674EA8" w14:textId="77777777" w:rsidR="000B17CA" w:rsidRPr="000B17CA" w:rsidRDefault="000B17CA" w:rsidP="00347FE4">
            <w:pPr>
              <w:rPr>
                <w:sz w:val="20"/>
                <w:szCs w:val="20"/>
              </w:rPr>
            </w:pPr>
            <w:r w:rsidRPr="000B17CA">
              <w:rPr>
                <w:rFonts w:eastAsia="Times New Roman"/>
                <w:sz w:val="23"/>
                <w:szCs w:val="23"/>
              </w:rPr>
              <w:t>VND-IID</w:t>
            </w:r>
          </w:p>
        </w:tc>
      </w:tr>
    </w:tbl>
    <w:p w14:paraId="281A0775" w14:textId="77777777" w:rsidR="004647B9" w:rsidRDefault="00E2436F" w:rsidP="0020549D">
      <w:pPr>
        <w:numPr>
          <w:ilvl w:val="1"/>
          <w:numId w:val="433"/>
        </w:numPr>
        <w:tabs>
          <w:tab w:val="left" w:pos="1968"/>
        </w:tabs>
        <w:ind w:left="1560" w:hanging="5"/>
        <w:jc w:val="both"/>
        <w:rPr>
          <w:rFonts w:eastAsia="Times New Roman"/>
          <w:sz w:val="24"/>
          <w:szCs w:val="24"/>
        </w:rPr>
      </w:pPr>
      <w:r>
        <w:rPr>
          <w:rFonts w:eastAsia="Times New Roman"/>
          <w:sz w:val="24"/>
          <w:szCs w:val="24"/>
          <w:u w:val="single"/>
        </w:rPr>
        <w:t>Bulk or Bottled Water</w:t>
      </w:r>
      <w:r>
        <w:rPr>
          <w:rFonts w:eastAsia="Times New Roman"/>
          <w:sz w:val="24"/>
          <w:szCs w:val="24"/>
        </w:rPr>
        <w:t>. Water that is treated to be distributed in bulk or as bottled water shall be classified as stated in 310 CMR 22.11B(4)(b) and unless otherwise authorized in writing by the Department.</w:t>
      </w:r>
    </w:p>
    <w:p w14:paraId="281A0777" w14:textId="77777777" w:rsidR="004647B9" w:rsidRDefault="00E2436F" w:rsidP="0020549D">
      <w:pPr>
        <w:numPr>
          <w:ilvl w:val="1"/>
          <w:numId w:val="433"/>
        </w:numPr>
        <w:tabs>
          <w:tab w:val="left" w:pos="1949"/>
        </w:tabs>
        <w:ind w:left="1555"/>
        <w:jc w:val="both"/>
        <w:rPr>
          <w:rFonts w:eastAsia="Times New Roman"/>
          <w:sz w:val="24"/>
          <w:szCs w:val="24"/>
        </w:rPr>
      </w:pPr>
      <w:r>
        <w:rPr>
          <w:rFonts w:eastAsia="Times New Roman"/>
          <w:sz w:val="24"/>
          <w:szCs w:val="24"/>
          <w:u w:val="single"/>
        </w:rPr>
        <w:t>Specific Rating Values</w:t>
      </w:r>
      <w:r>
        <w:rPr>
          <w:rFonts w:eastAsia="Times New Roman"/>
          <w:sz w:val="24"/>
          <w:szCs w:val="24"/>
        </w:rPr>
        <w:t>. The Department may establish a rating value for any system or unit not shown on the table. The Department may change the classification of a particular facility when there are site-specific factors affecting the operation of the Public Water System or complexity of the treatment process.</w:t>
      </w:r>
    </w:p>
    <w:p w14:paraId="281A0778" w14:textId="77777777" w:rsidR="004647B9" w:rsidRDefault="004647B9" w:rsidP="0020549D">
      <w:pPr>
        <w:rPr>
          <w:rFonts w:eastAsia="Times New Roman"/>
          <w:sz w:val="24"/>
          <w:szCs w:val="24"/>
        </w:rPr>
      </w:pPr>
    </w:p>
    <w:p w14:paraId="281A0779" w14:textId="77777777" w:rsidR="004647B9" w:rsidRDefault="00E2436F" w:rsidP="0020549D">
      <w:pPr>
        <w:numPr>
          <w:ilvl w:val="0"/>
          <w:numId w:val="434"/>
        </w:numPr>
        <w:tabs>
          <w:tab w:val="left" w:pos="1668"/>
        </w:tabs>
        <w:ind w:left="1200"/>
        <w:rPr>
          <w:rFonts w:eastAsia="Times New Roman"/>
          <w:sz w:val="24"/>
          <w:szCs w:val="24"/>
        </w:rPr>
      </w:pPr>
      <w:r>
        <w:rPr>
          <w:rFonts w:eastAsia="Times New Roman"/>
          <w:sz w:val="24"/>
          <w:szCs w:val="24"/>
          <w:u w:val="single"/>
        </w:rPr>
        <w:t>Exemptions</w:t>
      </w:r>
      <w:r>
        <w:rPr>
          <w:rFonts w:eastAsia="Times New Roman"/>
          <w:sz w:val="24"/>
          <w:szCs w:val="24"/>
        </w:rPr>
        <w:t>. The Department may exempt any Supplier of Water from the requirements of 310 CMR 22.11B(1) and (2).</w:t>
      </w:r>
    </w:p>
    <w:p w14:paraId="281A077B" w14:textId="77777777" w:rsidR="004647B9" w:rsidRDefault="00E2436F" w:rsidP="0020549D">
      <w:pPr>
        <w:numPr>
          <w:ilvl w:val="1"/>
          <w:numId w:val="434"/>
        </w:numPr>
        <w:tabs>
          <w:tab w:val="left" w:pos="1944"/>
        </w:tabs>
        <w:ind w:left="1555"/>
        <w:rPr>
          <w:rFonts w:eastAsia="Times New Roman"/>
          <w:sz w:val="24"/>
          <w:szCs w:val="24"/>
        </w:rPr>
      </w:pPr>
      <w:r>
        <w:rPr>
          <w:rFonts w:eastAsia="Times New Roman"/>
          <w:sz w:val="24"/>
          <w:szCs w:val="24"/>
        </w:rPr>
        <w:t>The Department shall not grant any exemption unless the Supplier of Water demonstrates to the Department's satisfaction that:</w:t>
      </w:r>
    </w:p>
    <w:p w14:paraId="281A077D" w14:textId="77777777" w:rsidR="004647B9" w:rsidRDefault="00E2436F" w:rsidP="0020549D">
      <w:pPr>
        <w:numPr>
          <w:ilvl w:val="2"/>
          <w:numId w:val="434"/>
        </w:numPr>
        <w:tabs>
          <w:tab w:val="left" w:pos="2381"/>
        </w:tabs>
        <w:ind w:left="1915"/>
        <w:rPr>
          <w:rFonts w:eastAsia="Times New Roman"/>
          <w:sz w:val="24"/>
          <w:szCs w:val="24"/>
        </w:rPr>
      </w:pPr>
      <w:r>
        <w:rPr>
          <w:rFonts w:eastAsia="Times New Roman"/>
          <w:sz w:val="24"/>
          <w:szCs w:val="24"/>
        </w:rPr>
        <w:t>due to compelling factors the Supplier of Water is unable to comply with the requirements of 310 CMR 22.11B(1) or (2);</w:t>
      </w:r>
    </w:p>
    <w:p w14:paraId="281A077F" w14:textId="77777777" w:rsidR="004647B9" w:rsidRDefault="00E2436F" w:rsidP="0020549D">
      <w:pPr>
        <w:numPr>
          <w:ilvl w:val="2"/>
          <w:numId w:val="434"/>
        </w:numPr>
        <w:tabs>
          <w:tab w:val="left" w:pos="2316"/>
        </w:tabs>
        <w:ind w:left="1920" w:hanging="5"/>
        <w:jc w:val="both"/>
        <w:rPr>
          <w:rFonts w:eastAsia="Times New Roman"/>
          <w:sz w:val="24"/>
          <w:szCs w:val="24"/>
        </w:rPr>
      </w:pPr>
      <w:r>
        <w:rPr>
          <w:rFonts w:eastAsia="Times New Roman"/>
          <w:sz w:val="24"/>
          <w:szCs w:val="24"/>
        </w:rPr>
        <w:t>the granting of the requested exemption will not result in an unreasonable risk to health or impair the quality of water which is being delivered to the Public Water System's consumers;</w:t>
      </w:r>
    </w:p>
    <w:p w14:paraId="281A0781" w14:textId="77777777" w:rsidR="004647B9" w:rsidRDefault="00E2436F" w:rsidP="0020549D">
      <w:pPr>
        <w:numPr>
          <w:ilvl w:val="2"/>
          <w:numId w:val="434"/>
        </w:numPr>
        <w:tabs>
          <w:tab w:val="left" w:pos="2222"/>
        </w:tabs>
        <w:ind w:left="1920" w:hanging="5"/>
        <w:jc w:val="both"/>
        <w:rPr>
          <w:rFonts w:eastAsia="Times New Roman"/>
          <w:sz w:val="24"/>
          <w:szCs w:val="24"/>
        </w:rPr>
      </w:pPr>
      <w:r>
        <w:rPr>
          <w:rFonts w:eastAsia="Times New Roman"/>
          <w:sz w:val="24"/>
          <w:szCs w:val="24"/>
        </w:rPr>
        <w:t>the Supplier of Water can ensure the proper operation of the Public Water System and can detect any malfunctions in the operation of the Treatment Facility or Distribution System in the absence of the Primary Operator;</w:t>
      </w:r>
    </w:p>
    <w:p w14:paraId="281A0783" w14:textId="77777777" w:rsidR="004647B9" w:rsidRDefault="00E2436F" w:rsidP="0020549D">
      <w:pPr>
        <w:numPr>
          <w:ilvl w:val="2"/>
          <w:numId w:val="434"/>
        </w:numPr>
        <w:tabs>
          <w:tab w:val="left" w:pos="2285"/>
        </w:tabs>
        <w:ind w:left="1920" w:hanging="5"/>
        <w:jc w:val="both"/>
        <w:rPr>
          <w:rFonts w:eastAsia="Times New Roman"/>
          <w:sz w:val="24"/>
          <w:szCs w:val="24"/>
        </w:rPr>
      </w:pPr>
      <w:r>
        <w:rPr>
          <w:rFonts w:eastAsia="Times New Roman"/>
          <w:sz w:val="24"/>
          <w:szCs w:val="24"/>
        </w:rPr>
        <w:t>the Primary Operator is able to respond to Emergencies within a reasonable period of time. In no event shall an Emergency response time greater than one hour be deemed reasonable;</w:t>
      </w:r>
    </w:p>
    <w:p w14:paraId="281A0785" w14:textId="77777777" w:rsidR="004647B9" w:rsidRDefault="00E2436F" w:rsidP="0020549D">
      <w:pPr>
        <w:numPr>
          <w:ilvl w:val="2"/>
          <w:numId w:val="434"/>
        </w:numPr>
        <w:tabs>
          <w:tab w:val="left" w:pos="2266"/>
        </w:tabs>
        <w:ind w:left="1920" w:hanging="5"/>
        <w:rPr>
          <w:rFonts w:eastAsia="Times New Roman"/>
          <w:sz w:val="24"/>
          <w:szCs w:val="24"/>
        </w:rPr>
      </w:pPr>
      <w:r>
        <w:rPr>
          <w:rFonts w:eastAsia="Times New Roman"/>
          <w:sz w:val="24"/>
          <w:szCs w:val="24"/>
        </w:rPr>
        <w:t>the Primary Operator is responsible for the operation of the Public Water System at all times whether or not present in person; and</w:t>
      </w:r>
    </w:p>
    <w:p w14:paraId="281A0787" w14:textId="77777777" w:rsidR="004647B9" w:rsidRDefault="00E2436F" w:rsidP="0020549D">
      <w:pPr>
        <w:numPr>
          <w:ilvl w:val="2"/>
          <w:numId w:val="434"/>
        </w:numPr>
        <w:tabs>
          <w:tab w:val="left" w:pos="2261"/>
        </w:tabs>
        <w:ind w:left="1920" w:hanging="5"/>
        <w:jc w:val="both"/>
        <w:rPr>
          <w:rFonts w:eastAsia="Times New Roman"/>
          <w:sz w:val="24"/>
          <w:szCs w:val="24"/>
        </w:rPr>
      </w:pPr>
      <w:r>
        <w:rPr>
          <w:rFonts w:eastAsia="Times New Roman"/>
          <w:sz w:val="24"/>
          <w:szCs w:val="24"/>
        </w:rPr>
        <w:t>any individual utilized by the Supplier of Water to operate the Public Water System and to detect any malfunctions in the operation of the Public Water System in the absence of the Primary Operator, is properly trained by, and is acting under the direction of, the Primary Operator.</w:t>
      </w:r>
    </w:p>
    <w:p w14:paraId="281A0788" w14:textId="77777777" w:rsidR="004647B9" w:rsidRDefault="004647B9" w:rsidP="0020549D">
      <w:pPr>
        <w:sectPr w:rsidR="004647B9" w:rsidSect="00EF630C">
          <w:pgSz w:w="12240" w:h="20180"/>
          <w:pgMar w:top="708" w:right="1440" w:bottom="1103" w:left="600" w:header="0" w:footer="0" w:gutter="0"/>
          <w:cols w:space="720"/>
        </w:sectPr>
      </w:pPr>
    </w:p>
    <w:p w14:paraId="281A0789" w14:textId="77777777" w:rsidR="004647B9" w:rsidRPr="00584FA1" w:rsidRDefault="00E2436F" w:rsidP="00584FA1">
      <w:pPr>
        <w:tabs>
          <w:tab w:val="left" w:pos="160"/>
        </w:tabs>
        <w:jc w:val="center"/>
        <w:rPr>
          <w:sz w:val="24"/>
          <w:szCs w:val="24"/>
        </w:rPr>
      </w:pPr>
      <w:bookmarkStart w:id="164" w:name="page166"/>
      <w:bookmarkEnd w:id="164"/>
      <w:r w:rsidRPr="00584FA1">
        <w:rPr>
          <w:rFonts w:eastAsia="Times New Roman"/>
          <w:sz w:val="24"/>
          <w:szCs w:val="24"/>
        </w:rPr>
        <w:lastRenderedPageBreak/>
        <w:t>310 CMR:</w:t>
      </w:r>
      <w:r w:rsidRPr="00584FA1">
        <w:rPr>
          <w:sz w:val="24"/>
          <w:szCs w:val="24"/>
        </w:rPr>
        <w:tab/>
      </w:r>
      <w:r w:rsidRPr="00584FA1">
        <w:rPr>
          <w:rFonts w:eastAsia="Times New Roman"/>
          <w:sz w:val="24"/>
          <w:szCs w:val="24"/>
        </w:rPr>
        <w:t>DEPARTMENT OF ENVIRONMENTAL PROTECTION</w:t>
      </w:r>
    </w:p>
    <w:p w14:paraId="281A078A" w14:textId="77777777" w:rsidR="004647B9" w:rsidRPr="0020549D" w:rsidRDefault="004647B9" w:rsidP="0020549D">
      <w:pPr>
        <w:rPr>
          <w:sz w:val="20"/>
          <w:szCs w:val="20"/>
        </w:rPr>
      </w:pPr>
    </w:p>
    <w:p w14:paraId="281A078B" w14:textId="77777777" w:rsidR="004647B9" w:rsidRPr="0020549D" w:rsidRDefault="004647B9" w:rsidP="0020549D">
      <w:pPr>
        <w:rPr>
          <w:sz w:val="20"/>
          <w:szCs w:val="20"/>
        </w:rPr>
      </w:pPr>
    </w:p>
    <w:p w14:paraId="281A078C" w14:textId="77777777" w:rsidR="004647B9" w:rsidRPr="00584FA1" w:rsidRDefault="00E2436F" w:rsidP="0020549D">
      <w:pPr>
        <w:tabs>
          <w:tab w:val="left" w:pos="920"/>
        </w:tabs>
        <w:rPr>
          <w:sz w:val="24"/>
          <w:szCs w:val="24"/>
        </w:rPr>
      </w:pPr>
      <w:r w:rsidRPr="00584FA1">
        <w:rPr>
          <w:rFonts w:eastAsia="Times New Roman"/>
          <w:sz w:val="24"/>
          <w:szCs w:val="24"/>
        </w:rPr>
        <w:t>22.11B:</w:t>
      </w:r>
      <w:r w:rsidRPr="00584FA1">
        <w:rPr>
          <w:rFonts w:eastAsia="Times New Roman"/>
          <w:sz w:val="24"/>
          <w:szCs w:val="24"/>
        </w:rPr>
        <w:tab/>
        <w:t>continued</w:t>
      </w:r>
    </w:p>
    <w:p w14:paraId="281A078D" w14:textId="77777777" w:rsidR="004647B9" w:rsidRPr="0020549D" w:rsidRDefault="004647B9" w:rsidP="0020549D">
      <w:pPr>
        <w:rPr>
          <w:sz w:val="20"/>
          <w:szCs w:val="20"/>
        </w:rPr>
      </w:pPr>
    </w:p>
    <w:p w14:paraId="281A078E" w14:textId="77777777" w:rsidR="004647B9" w:rsidRPr="00584FA1" w:rsidRDefault="00E2436F" w:rsidP="0020549D">
      <w:pPr>
        <w:numPr>
          <w:ilvl w:val="0"/>
          <w:numId w:val="435"/>
        </w:numPr>
        <w:tabs>
          <w:tab w:val="left" w:pos="2099"/>
        </w:tabs>
        <w:ind w:left="1560" w:hanging="5"/>
        <w:jc w:val="both"/>
        <w:rPr>
          <w:rFonts w:eastAsia="Times New Roman"/>
          <w:sz w:val="24"/>
          <w:szCs w:val="24"/>
        </w:rPr>
      </w:pPr>
      <w:r w:rsidRPr="00584FA1">
        <w:rPr>
          <w:rFonts w:eastAsia="Times New Roman"/>
          <w:sz w:val="24"/>
          <w:szCs w:val="24"/>
          <w:u w:val="single"/>
        </w:rPr>
        <w:t>Staffing and Comprehensive Operations Plan</w:t>
      </w:r>
      <w:r w:rsidRPr="00584FA1">
        <w:rPr>
          <w:rFonts w:eastAsia="Times New Roman"/>
          <w:sz w:val="24"/>
          <w:szCs w:val="24"/>
        </w:rPr>
        <w:t>. A Supplier of Water requesting an exemption under 310 CMR 22.11B(5) shall submit to the Department for review and approval</w:t>
      </w:r>
      <w:r w:rsidRPr="00584FA1" w:rsidDel="007B206E">
        <w:rPr>
          <w:rFonts w:eastAsia="Times New Roman"/>
          <w:sz w:val="24"/>
          <w:szCs w:val="24"/>
        </w:rPr>
        <w:t xml:space="preserve"> </w:t>
      </w:r>
      <w:r w:rsidRPr="00584FA1">
        <w:rPr>
          <w:rFonts w:eastAsia="Times New Roman"/>
          <w:sz w:val="24"/>
          <w:szCs w:val="24"/>
        </w:rPr>
        <w:t>a "Staffing and Comprehensive Operations Plan" for the Public Water System.</w:t>
      </w:r>
    </w:p>
    <w:p w14:paraId="281A078F" w14:textId="77777777" w:rsidR="004647B9" w:rsidRPr="00584FA1" w:rsidRDefault="00E2436F" w:rsidP="0020549D">
      <w:pPr>
        <w:numPr>
          <w:ilvl w:val="0"/>
          <w:numId w:val="435"/>
        </w:numPr>
        <w:tabs>
          <w:tab w:val="left" w:pos="1997"/>
        </w:tabs>
        <w:ind w:left="1560" w:hanging="5"/>
        <w:jc w:val="both"/>
        <w:rPr>
          <w:rFonts w:eastAsia="Times New Roman"/>
          <w:sz w:val="24"/>
          <w:szCs w:val="24"/>
        </w:rPr>
      </w:pPr>
      <w:r w:rsidRPr="00584FA1">
        <w:rPr>
          <w:rFonts w:eastAsia="Times New Roman"/>
          <w:sz w:val="24"/>
          <w:szCs w:val="24"/>
          <w:u w:val="single"/>
        </w:rPr>
        <w:t>Part-time Operation</w:t>
      </w:r>
      <w:r w:rsidRPr="00584FA1">
        <w:rPr>
          <w:rFonts w:eastAsia="Times New Roman"/>
          <w:sz w:val="24"/>
          <w:szCs w:val="24"/>
        </w:rPr>
        <w:t>. With the prior written approval of the Department, a Supplier of Water whose Public Water System includes a Distribution System classified as a I-D or less may reduce the staffing requirements of 310 CMR 22.11B(1) and (2) by operating the Distribution System on a part-time basis. With the prior written approval of the Department, a Supplier of Water whose Public Water System includes a Treatment Facility classified as I-T or less may reduce the staffing requirements of 310 CMR 22.11B(1) and (2) by operating the Treatment Facility on a part-time basis. A Supplier of Water seeking a reduction in the staffing requirements shall be subject to the conditions listed at 310 CMR 22.11B(5)(a)1. through 6. and (b). Subject to such approval(s), the Primary and Secondary Operators or both may be allowed to operate the Treatment Facility or Distribution System on a part-time basis.</w:t>
      </w:r>
    </w:p>
    <w:p w14:paraId="281A0791" w14:textId="77777777" w:rsidR="004647B9" w:rsidRPr="00584FA1" w:rsidRDefault="00E2436F" w:rsidP="0020549D">
      <w:pPr>
        <w:numPr>
          <w:ilvl w:val="0"/>
          <w:numId w:val="435"/>
        </w:numPr>
        <w:tabs>
          <w:tab w:val="left" w:pos="2005"/>
        </w:tabs>
        <w:ind w:left="1560" w:hanging="5"/>
        <w:jc w:val="both"/>
        <w:rPr>
          <w:rFonts w:eastAsia="Times New Roman"/>
          <w:sz w:val="24"/>
          <w:szCs w:val="24"/>
        </w:rPr>
      </w:pPr>
      <w:r w:rsidRPr="00584FA1">
        <w:rPr>
          <w:rFonts w:eastAsia="Times New Roman"/>
          <w:sz w:val="24"/>
          <w:szCs w:val="24"/>
          <w:u w:val="single"/>
        </w:rPr>
        <w:t>Public Water System - Automated Operations</w:t>
      </w:r>
      <w:r w:rsidRPr="00584FA1">
        <w:rPr>
          <w:rFonts w:eastAsia="Times New Roman"/>
          <w:sz w:val="24"/>
          <w:szCs w:val="24"/>
        </w:rPr>
        <w:t>. Increased instrumentation, automation and SCADA Systems may be used to reduce the number of on-site staff required during periods of routine operation. A Public Water System which has been designed for off-site monitoring may apply to the Department for an exemption from the requirements of 310 CMR 22.11B(1) and (2).</w:t>
      </w:r>
    </w:p>
    <w:p w14:paraId="281A0793" w14:textId="77777777" w:rsidR="004647B9" w:rsidRPr="00584FA1" w:rsidRDefault="00E2436F" w:rsidP="0020549D">
      <w:pPr>
        <w:numPr>
          <w:ilvl w:val="1"/>
          <w:numId w:val="435"/>
        </w:numPr>
        <w:tabs>
          <w:tab w:val="left" w:pos="2280"/>
        </w:tabs>
        <w:ind w:left="1920" w:hanging="5"/>
        <w:jc w:val="both"/>
        <w:rPr>
          <w:rFonts w:eastAsia="Times New Roman"/>
          <w:sz w:val="24"/>
          <w:szCs w:val="24"/>
        </w:rPr>
      </w:pPr>
      <w:r w:rsidRPr="00584FA1">
        <w:rPr>
          <w:rFonts w:eastAsia="Times New Roman"/>
          <w:sz w:val="24"/>
          <w:szCs w:val="24"/>
        </w:rPr>
        <w:t>The Department shall use, but not be limited to, the following factors in making its determination to evaluate whether a Treatment Facility or Distribution System can reduce the number of staff required to operate a Treatment Facility or Distribution System:</w:t>
      </w:r>
    </w:p>
    <w:p w14:paraId="281A0794" w14:textId="77777777" w:rsidR="004647B9" w:rsidRPr="00584FA1" w:rsidRDefault="00E2436F" w:rsidP="0020549D">
      <w:pPr>
        <w:numPr>
          <w:ilvl w:val="2"/>
          <w:numId w:val="435"/>
        </w:numPr>
        <w:tabs>
          <w:tab w:val="left" w:pos="2620"/>
        </w:tabs>
        <w:ind w:left="2621" w:hanging="346"/>
        <w:rPr>
          <w:rFonts w:eastAsia="Times New Roman"/>
          <w:sz w:val="24"/>
          <w:szCs w:val="24"/>
        </w:rPr>
      </w:pPr>
      <w:r w:rsidRPr="00584FA1">
        <w:rPr>
          <w:rFonts w:eastAsia="Times New Roman"/>
          <w:sz w:val="24"/>
          <w:szCs w:val="24"/>
        </w:rPr>
        <w:t>the complexity and type of the treatment process;</w:t>
      </w:r>
    </w:p>
    <w:p w14:paraId="281A0796" w14:textId="77777777" w:rsidR="004647B9" w:rsidRPr="00584FA1" w:rsidRDefault="00E2436F" w:rsidP="0020549D">
      <w:pPr>
        <w:numPr>
          <w:ilvl w:val="2"/>
          <w:numId w:val="435"/>
        </w:numPr>
        <w:tabs>
          <w:tab w:val="left" w:pos="2621"/>
        </w:tabs>
        <w:ind w:left="2635" w:hanging="360"/>
        <w:rPr>
          <w:rFonts w:eastAsia="Times New Roman"/>
          <w:sz w:val="24"/>
          <w:szCs w:val="24"/>
        </w:rPr>
      </w:pPr>
      <w:r w:rsidRPr="00584FA1">
        <w:rPr>
          <w:rFonts w:eastAsia="Times New Roman"/>
          <w:sz w:val="24"/>
          <w:szCs w:val="24"/>
        </w:rPr>
        <w:t>the size of storage tanks and clearwells;</w:t>
      </w:r>
    </w:p>
    <w:p w14:paraId="281A0798" w14:textId="77777777" w:rsidR="004647B9" w:rsidRPr="00584FA1" w:rsidRDefault="00E2436F" w:rsidP="0020549D">
      <w:pPr>
        <w:numPr>
          <w:ilvl w:val="2"/>
          <w:numId w:val="435"/>
        </w:numPr>
        <w:tabs>
          <w:tab w:val="left" w:pos="2621"/>
        </w:tabs>
        <w:ind w:left="2275"/>
        <w:jc w:val="both"/>
        <w:rPr>
          <w:rFonts w:eastAsia="Times New Roman"/>
          <w:sz w:val="24"/>
          <w:szCs w:val="24"/>
        </w:rPr>
      </w:pPr>
      <w:r w:rsidRPr="00584FA1">
        <w:rPr>
          <w:rFonts w:eastAsia="Times New Roman"/>
          <w:sz w:val="24"/>
          <w:szCs w:val="24"/>
        </w:rPr>
        <w:t>the estimated length of time for water quality to deteriorate from a treatment process failure such that unsafe or impure levels of drinking water are present in the Distribution System;</w:t>
      </w:r>
    </w:p>
    <w:p w14:paraId="281A079A" w14:textId="77777777" w:rsidR="004647B9" w:rsidRPr="00584FA1" w:rsidRDefault="00E2436F" w:rsidP="0020549D">
      <w:pPr>
        <w:numPr>
          <w:ilvl w:val="2"/>
          <w:numId w:val="435"/>
        </w:numPr>
        <w:tabs>
          <w:tab w:val="left" w:pos="2640"/>
        </w:tabs>
        <w:ind w:left="2635" w:hanging="360"/>
        <w:rPr>
          <w:rFonts w:eastAsia="Times New Roman"/>
          <w:sz w:val="24"/>
          <w:szCs w:val="24"/>
        </w:rPr>
      </w:pPr>
      <w:r w:rsidRPr="00584FA1">
        <w:rPr>
          <w:rFonts w:eastAsia="Times New Roman"/>
          <w:sz w:val="24"/>
          <w:szCs w:val="24"/>
        </w:rPr>
        <w:t>the variability of source water quality;</w:t>
      </w:r>
    </w:p>
    <w:p w14:paraId="281A079C" w14:textId="77777777" w:rsidR="004647B9" w:rsidRPr="00584FA1" w:rsidRDefault="00E2436F" w:rsidP="0020549D">
      <w:pPr>
        <w:numPr>
          <w:ilvl w:val="2"/>
          <w:numId w:val="435"/>
        </w:numPr>
        <w:tabs>
          <w:tab w:val="left" w:pos="2621"/>
        </w:tabs>
        <w:ind w:left="2275"/>
        <w:rPr>
          <w:rFonts w:eastAsia="Times New Roman"/>
          <w:sz w:val="24"/>
          <w:szCs w:val="24"/>
        </w:rPr>
      </w:pPr>
      <w:r w:rsidRPr="00584FA1">
        <w:rPr>
          <w:rFonts w:eastAsia="Times New Roman"/>
          <w:sz w:val="24"/>
          <w:szCs w:val="24"/>
        </w:rPr>
        <w:t>the degree of sophistication, reliability and control of the instrumentation monitoring and control system;</w:t>
      </w:r>
    </w:p>
    <w:p w14:paraId="281A079E" w14:textId="77777777" w:rsidR="004647B9" w:rsidRPr="00584FA1" w:rsidRDefault="00E2436F" w:rsidP="0020549D">
      <w:pPr>
        <w:numPr>
          <w:ilvl w:val="2"/>
          <w:numId w:val="435"/>
        </w:numPr>
        <w:tabs>
          <w:tab w:val="left" w:pos="2621"/>
        </w:tabs>
        <w:ind w:left="2275"/>
        <w:rPr>
          <w:rFonts w:eastAsia="Times New Roman"/>
          <w:sz w:val="24"/>
          <w:szCs w:val="24"/>
        </w:rPr>
      </w:pPr>
      <w:r w:rsidRPr="00584FA1">
        <w:rPr>
          <w:rFonts w:eastAsia="Times New Roman"/>
          <w:sz w:val="24"/>
          <w:szCs w:val="24"/>
        </w:rPr>
        <w:t>the location of the off-site monitoring site with respect to operator response and/or travel time to the Treatment Facility;</w:t>
      </w:r>
    </w:p>
    <w:p w14:paraId="281A07A0" w14:textId="77777777" w:rsidR="004647B9" w:rsidRPr="00584FA1" w:rsidRDefault="00E2436F" w:rsidP="0020549D">
      <w:pPr>
        <w:numPr>
          <w:ilvl w:val="2"/>
          <w:numId w:val="435"/>
        </w:numPr>
        <w:tabs>
          <w:tab w:val="left" w:pos="2621"/>
        </w:tabs>
        <w:ind w:left="2275"/>
        <w:jc w:val="both"/>
        <w:rPr>
          <w:rFonts w:eastAsia="Times New Roman"/>
          <w:sz w:val="24"/>
          <w:szCs w:val="24"/>
        </w:rPr>
      </w:pPr>
      <w:r w:rsidRPr="00584FA1">
        <w:rPr>
          <w:rFonts w:eastAsia="Times New Roman"/>
          <w:sz w:val="24"/>
          <w:szCs w:val="24"/>
        </w:rPr>
        <w:t>the adequacy of the Emergency response plan when alarms or out-of-range parameters are reported by Distribution System or Treatment Facility instrumentation;</w:t>
      </w:r>
    </w:p>
    <w:p w14:paraId="281A07A2" w14:textId="77777777" w:rsidR="004647B9" w:rsidRPr="00584FA1" w:rsidRDefault="00E2436F" w:rsidP="0020549D">
      <w:pPr>
        <w:numPr>
          <w:ilvl w:val="2"/>
          <w:numId w:val="435"/>
        </w:numPr>
        <w:tabs>
          <w:tab w:val="left" w:pos="2621"/>
        </w:tabs>
        <w:ind w:left="2275"/>
        <w:rPr>
          <w:rFonts w:eastAsia="Times New Roman"/>
          <w:sz w:val="24"/>
          <w:szCs w:val="24"/>
        </w:rPr>
      </w:pPr>
      <w:r w:rsidRPr="00584FA1">
        <w:rPr>
          <w:rFonts w:eastAsia="Times New Roman"/>
          <w:sz w:val="24"/>
          <w:szCs w:val="24"/>
        </w:rPr>
        <w:t>the capabilities of a Distribution System or Treatment Facility to be shut down during a critical alarm condition;</w:t>
      </w:r>
    </w:p>
    <w:p w14:paraId="281A07A4" w14:textId="77777777" w:rsidR="004647B9" w:rsidRPr="00584FA1" w:rsidRDefault="00E2436F" w:rsidP="0020549D">
      <w:pPr>
        <w:numPr>
          <w:ilvl w:val="2"/>
          <w:numId w:val="435"/>
        </w:numPr>
        <w:tabs>
          <w:tab w:val="left" w:pos="2621"/>
        </w:tabs>
        <w:ind w:left="2275"/>
        <w:rPr>
          <w:rFonts w:eastAsia="Times New Roman"/>
          <w:sz w:val="24"/>
          <w:szCs w:val="24"/>
        </w:rPr>
      </w:pPr>
      <w:r w:rsidRPr="00584FA1">
        <w:rPr>
          <w:rFonts w:eastAsia="Times New Roman"/>
          <w:sz w:val="24"/>
          <w:szCs w:val="24"/>
        </w:rPr>
        <w:t>the ability of the Public Water System to provide at least 12 hours of safe water for the correction of a process malfunction;</w:t>
      </w:r>
    </w:p>
    <w:p w14:paraId="281A07A6" w14:textId="77777777" w:rsidR="004647B9" w:rsidRPr="00584FA1" w:rsidRDefault="00E2436F" w:rsidP="0020549D">
      <w:pPr>
        <w:numPr>
          <w:ilvl w:val="2"/>
          <w:numId w:val="435"/>
        </w:numPr>
        <w:tabs>
          <w:tab w:val="left" w:pos="2621"/>
        </w:tabs>
        <w:ind w:left="2275"/>
        <w:rPr>
          <w:rFonts w:eastAsia="Times New Roman"/>
          <w:sz w:val="24"/>
          <w:szCs w:val="24"/>
        </w:rPr>
      </w:pPr>
      <w:r w:rsidRPr="00584FA1">
        <w:rPr>
          <w:rFonts w:eastAsia="Times New Roman"/>
          <w:sz w:val="24"/>
          <w:szCs w:val="24"/>
        </w:rPr>
        <w:t>the ability of improperly treated water to be flushed from the Distribution System prior to the first customer without an interruption of water service;</w:t>
      </w:r>
    </w:p>
    <w:p w14:paraId="281A07A8" w14:textId="77777777" w:rsidR="004647B9" w:rsidRPr="00584FA1" w:rsidRDefault="00E2436F" w:rsidP="0020549D">
      <w:pPr>
        <w:numPr>
          <w:ilvl w:val="2"/>
          <w:numId w:val="435"/>
        </w:numPr>
        <w:tabs>
          <w:tab w:val="left" w:pos="2626"/>
        </w:tabs>
        <w:ind w:left="2275"/>
        <w:jc w:val="both"/>
        <w:rPr>
          <w:rFonts w:eastAsia="Times New Roman"/>
          <w:sz w:val="24"/>
          <w:szCs w:val="24"/>
        </w:rPr>
      </w:pPr>
      <w:r w:rsidRPr="00584FA1">
        <w:rPr>
          <w:rFonts w:eastAsia="Times New Roman"/>
          <w:sz w:val="24"/>
          <w:szCs w:val="24"/>
        </w:rPr>
        <w:t>demonstration that the Public Water System has adequate capacity to repair and maintain the automated controls or show that it has an agreement with a third party to do so; and</w:t>
      </w:r>
    </w:p>
    <w:p w14:paraId="281A07AA" w14:textId="77777777" w:rsidR="004647B9" w:rsidRPr="00584FA1" w:rsidRDefault="00E2436F" w:rsidP="0020549D">
      <w:pPr>
        <w:numPr>
          <w:ilvl w:val="2"/>
          <w:numId w:val="435"/>
        </w:numPr>
        <w:tabs>
          <w:tab w:val="left" w:pos="2621"/>
        </w:tabs>
        <w:ind w:left="2577" w:hanging="302"/>
        <w:rPr>
          <w:rFonts w:eastAsia="Times New Roman"/>
          <w:sz w:val="24"/>
          <w:szCs w:val="24"/>
        </w:rPr>
      </w:pPr>
      <w:r w:rsidRPr="00584FA1">
        <w:rPr>
          <w:rFonts w:eastAsia="Times New Roman"/>
          <w:sz w:val="24"/>
          <w:szCs w:val="24"/>
        </w:rPr>
        <w:t>secured remote access.</w:t>
      </w:r>
    </w:p>
    <w:p w14:paraId="281A07AC" w14:textId="77777777" w:rsidR="004647B9" w:rsidRPr="00584FA1" w:rsidRDefault="00E2436F" w:rsidP="0020549D">
      <w:pPr>
        <w:numPr>
          <w:ilvl w:val="1"/>
          <w:numId w:val="435"/>
        </w:numPr>
        <w:tabs>
          <w:tab w:val="left" w:pos="2218"/>
        </w:tabs>
        <w:ind w:left="1920" w:hanging="5"/>
        <w:jc w:val="both"/>
        <w:rPr>
          <w:rFonts w:eastAsia="Times New Roman"/>
          <w:sz w:val="24"/>
          <w:szCs w:val="24"/>
        </w:rPr>
      </w:pPr>
      <w:r w:rsidRPr="00584FA1">
        <w:rPr>
          <w:rFonts w:eastAsia="Times New Roman"/>
          <w:sz w:val="24"/>
          <w:szCs w:val="24"/>
        </w:rPr>
        <w:t>The Treatment Facility or Distribution System shall include where applicable, but not limited to, instrumentation to continuously monitor, control, record and maintain historical data for critical processes at established regulatory compliance points such as:</w:t>
      </w:r>
    </w:p>
    <w:p w14:paraId="281A07AD" w14:textId="77777777" w:rsidR="004647B9" w:rsidRPr="00584FA1" w:rsidRDefault="00E2436F" w:rsidP="00EC7080">
      <w:pPr>
        <w:numPr>
          <w:ilvl w:val="2"/>
          <w:numId w:val="435"/>
        </w:numPr>
        <w:tabs>
          <w:tab w:val="left" w:pos="2580"/>
        </w:tabs>
        <w:ind w:left="2275"/>
        <w:rPr>
          <w:rFonts w:eastAsia="Times New Roman"/>
          <w:sz w:val="24"/>
          <w:szCs w:val="24"/>
        </w:rPr>
      </w:pPr>
      <w:r w:rsidRPr="00584FA1">
        <w:rPr>
          <w:rFonts w:eastAsia="Times New Roman"/>
          <w:sz w:val="24"/>
          <w:szCs w:val="24"/>
        </w:rPr>
        <w:t>water storage tank levels at the Treatment Facility and in the Distribution System;</w:t>
      </w:r>
    </w:p>
    <w:p w14:paraId="281A07AF" w14:textId="77777777" w:rsidR="004647B9" w:rsidRPr="00584FA1" w:rsidRDefault="00E2436F" w:rsidP="0020549D">
      <w:pPr>
        <w:numPr>
          <w:ilvl w:val="2"/>
          <w:numId w:val="435"/>
        </w:numPr>
        <w:tabs>
          <w:tab w:val="left" w:pos="2640"/>
        </w:tabs>
        <w:ind w:left="2640" w:hanging="365"/>
        <w:rPr>
          <w:rFonts w:eastAsia="Times New Roman"/>
          <w:sz w:val="24"/>
          <w:szCs w:val="24"/>
        </w:rPr>
      </w:pPr>
      <w:r w:rsidRPr="00584FA1">
        <w:rPr>
          <w:rFonts w:eastAsia="Times New Roman"/>
          <w:sz w:val="24"/>
          <w:szCs w:val="24"/>
        </w:rPr>
        <w:t>chemical storage tank levels;</w:t>
      </w:r>
    </w:p>
    <w:p w14:paraId="281A07B1" w14:textId="77777777" w:rsidR="004647B9" w:rsidRPr="00584FA1" w:rsidRDefault="00E2436F" w:rsidP="0020549D">
      <w:pPr>
        <w:numPr>
          <w:ilvl w:val="2"/>
          <w:numId w:val="435"/>
        </w:numPr>
        <w:tabs>
          <w:tab w:val="left" w:pos="2620"/>
        </w:tabs>
        <w:ind w:left="2620" w:hanging="345"/>
        <w:rPr>
          <w:rFonts w:eastAsia="Times New Roman"/>
          <w:sz w:val="24"/>
          <w:szCs w:val="24"/>
        </w:rPr>
      </w:pPr>
      <w:r w:rsidRPr="00584FA1">
        <w:rPr>
          <w:rFonts w:eastAsia="Times New Roman"/>
          <w:sz w:val="24"/>
          <w:szCs w:val="24"/>
        </w:rPr>
        <w:t>disinfection equipment.</w:t>
      </w:r>
    </w:p>
    <w:p w14:paraId="281A07B3" w14:textId="77777777" w:rsidR="004647B9" w:rsidRPr="00584FA1" w:rsidRDefault="00E2436F" w:rsidP="0020549D">
      <w:pPr>
        <w:numPr>
          <w:ilvl w:val="2"/>
          <w:numId w:val="435"/>
        </w:numPr>
        <w:tabs>
          <w:tab w:val="left" w:pos="2640"/>
        </w:tabs>
        <w:ind w:left="2640" w:hanging="365"/>
        <w:rPr>
          <w:rFonts w:eastAsia="Times New Roman"/>
          <w:sz w:val="24"/>
          <w:szCs w:val="24"/>
        </w:rPr>
      </w:pPr>
      <w:r w:rsidRPr="00584FA1">
        <w:rPr>
          <w:rFonts w:eastAsia="Times New Roman"/>
          <w:sz w:val="24"/>
          <w:szCs w:val="24"/>
        </w:rPr>
        <w:t>critical chemicals or treatment processes including, but not limited to:</w:t>
      </w:r>
    </w:p>
    <w:p w14:paraId="281A07B5" w14:textId="77777777" w:rsidR="004647B9" w:rsidRPr="00584FA1" w:rsidRDefault="00E2436F" w:rsidP="0020549D">
      <w:pPr>
        <w:numPr>
          <w:ilvl w:val="3"/>
          <w:numId w:val="435"/>
        </w:numPr>
        <w:tabs>
          <w:tab w:val="left" w:pos="2940"/>
        </w:tabs>
        <w:ind w:left="2940" w:hanging="305"/>
        <w:rPr>
          <w:rFonts w:eastAsia="Times New Roman"/>
          <w:sz w:val="24"/>
          <w:szCs w:val="24"/>
        </w:rPr>
      </w:pPr>
      <w:r w:rsidRPr="00584FA1">
        <w:rPr>
          <w:rFonts w:eastAsia="Times New Roman"/>
          <w:sz w:val="24"/>
          <w:szCs w:val="24"/>
        </w:rPr>
        <w:t>pH;</w:t>
      </w:r>
    </w:p>
    <w:p w14:paraId="281A07B7" w14:textId="77777777" w:rsidR="004647B9" w:rsidRPr="00584FA1" w:rsidRDefault="00E2436F" w:rsidP="0020549D">
      <w:pPr>
        <w:numPr>
          <w:ilvl w:val="3"/>
          <w:numId w:val="435"/>
        </w:numPr>
        <w:tabs>
          <w:tab w:val="left" w:pos="3000"/>
        </w:tabs>
        <w:ind w:left="3000" w:hanging="365"/>
        <w:rPr>
          <w:rFonts w:eastAsia="Times New Roman"/>
          <w:sz w:val="24"/>
          <w:szCs w:val="24"/>
        </w:rPr>
      </w:pPr>
      <w:r w:rsidRPr="00584FA1">
        <w:rPr>
          <w:rFonts w:eastAsia="Times New Roman"/>
          <w:sz w:val="24"/>
          <w:szCs w:val="24"/>
        </w:rPr>
        <w:t>Turbidity;</w:t>
      </w:r>
    </w:p>
    <w:p w14:paraId="281A07B9" w14:textId="77777777" w:rsidR="004647B9" w:rsidRPr="00584FA1" w:rsidRDefault="00E2436F" w:rsidP="0020549D">
      <w:pPr>
        <w:numPr>
          <w:ilvl w:val="3"/>
          <w:numId w:val="435"/>
        </w:numPr>
        <w:tabs>
          <w:tab w:val="left" w:pos="3080"/>
        </w:tabs>
        <w:ind w:left="3080" w:hanging="445"/>
        <w:rPr>
          <w:rFonts w:eastAsia="Times New Roman"/>
          <w:sz w:val="24"/>
          <w:szCs w:val="24"/>
        </w:rPr>
      </w:pPr>
      <w:r w:rsidRPr="00584FA1">
        <w:rPr>
          <w:rFonts w:eastAsia="Times New Roman"/>
          <w:sz w:val="24"/>
          <w:szCs w:val="24"/>
        </w:rPr>
        <w:t>Disinfectant residual;</w:t>
      </w:r>
    </w:p>
    <w:p w14:paraId="281A07BB" w14:textId="77777777" w:rsidR="004647B9" w:rsidRPr="00584FA1" w:rsidRDefault="00E2436F" w:rsidP="0020549D">
      <w:pPr>
        <w:numPr>
          <w:ilvl w:val="3"/>
          <w:numId w:val="435"/>
        </w:numPr>
        <w:tabs>
          <w:tab w:val="left" w:pos="3060"/>
        </w:tabs>
        <w:ind w:left="3060" w:hanging="425"/>
        <w:rPr>
          <w:rFonts w:eastAsia="Times New Roman"/>
          <w:sz w:val="24"/>
          <w:szCs w:val="24"/>
        </w:rPr>
      </w:pPr>
      <w:r w:rsidRPr="00584FA1">
        <w:rPr>
          <w:rFonts w:eastAsia="Times New Roman"/>
          <w:sz w:val="24"/>
          <w:szCs w:val="24"/>
        </w:rPr>
        <w:t>fluoride (if using hydrofluorosilicic acid); or</w:t>
      </w:r>
    </w:p>
    <w:p w14:paraId="281A07BD" w14:textId="77777777" w:rsidR="004647B9" w:rsidRPr="00584FA1" w:rsidRDefault="00E2436F" w:rsidP="0020549D">
      <w:pPr>
        <w:numPr>
          <w:ilvl w:val="3"/>
          <w:numId w:val="435"/>
        </w:numPr>
        <w:tabs>
          <w:tab w:val="left" w:pos="3000"/>
        </w:tabs>
        <w:ind w:left="3000" w:hanging="365"/>
        <w:rPr>
          <w:rFonts w:eastAsia="Times New Roman"/>
          <w:sz w:val="24"/>
          <w:szCs w:val="24"/>
        </w:rPr>
      </w:pPr>
      <w:r w:rsidRPr="00584FA1">
        <w:rPr>
          <w:rFonts w:eastAsia="Times New Roman"/>
          <w:sz w:val="24"/>
          <w:szCs w:val="24"/>
        </w:rPr>
        <w:t>surrogate measures as approved by the Department.</w:t>
      </w:r>
    </w:p>
    <w:p w14:paraId="281A07BF" w14:textId="77777777" w:rsidR="004647B9" w:rsidRPr="00584FA1" w:rsidRDefault="00E2436F" w:rsidP="0020549D">
      <w:pPr>
        <w:numPr>
          <w:ilvl w:val="1"/>
          <w:numId w:val="435"/>
        </w:numPr>
        <w:tabs>
          <w:tab w:val="left" w:pos="2220"/>
        </w:tabs>
        <w:ind w:left="1920" w:hanging="5"/>
        <w:jc w:val="both"/>
        <w:rPr>
          <w:rFonts w:eastAsia="Times New Roman"/>
          <w:sz w:val="24"/>
          <w:szCs w:val="24"/>
        </w:rPr>
      </w:pPr>
      <w:r w:rsidRPr="00584FA1">
        <w:rPr>
          <w:rFonts w:eastAsia="Times New Roman"/>
          <w:sz w:val="24"/>
          <w:szCs w:val="24"/>
        </w:rPr>
        <w:lastRenderedPageBreak/>
        <w:t>The Treatment Facility or Distribution System shall include where applicable, but not limited to, alarms to detect and notify operators in the event of a process failure or condition that could present a concern such as:</w:t>
      </w:r>
    </w:p>
    <w:p w14:paraId="281A07C0" w14:textId="77777777" w:rsidR="004647B9" w:rsidRDefault="004647B9" w:rsidP="0020549D">
      <w:pPr>
        <w:sectPr w:rsidR="004647B9" w:rsidSect="00EF630C">
          <w:pgSz w:w="12240" w:h="20180"/>
          <w:pgMar w:top="708" w:right="1440" w:bottom="1440" w:left="600" w:header="0" w:footer="0" w:gutter="0"/>
          <w:cols w:space="720"/>
        </w:sectPr>
      </w:pPr>
    </w:p>
    <w:p w14:paraId="281A07C1" w14:textId="77777777" w:rsidR="004647B9" w:rsidRDefault="00E2436F">
      <w:pPr>
        <w:tabs>
          <w:tab w:val="left" w:pos="160"/>
        </w:tabs>
        <w:jc w:val="center"/>
        <w:rPr>
          <w:sz w:val="20"/>
          <w:szCs w:val="20"/>
        </w:rPr>
      </w:pPr>
      <w:bookmarkStart w:id="165" w:name="page167"/>
      <w:bookmarkEnd w:id="16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7C2" w14:textId="77777777" w:rsidR="004647B9" w:rsidRDefault="004647B9" w:rsidP="0020549D">
      <w:pPr>
        <w:rPr>
          <w:sz w:val="20"/>
          <w:szCs w:val="20"/>
        </w:rPr>
      </w:pPr>
    </w:p>
    <w:p w14:paraId="281A07C3" w14:textId="77777777" w:rsidR="004647B9" w:rsidRDefault="004647B9" w:rsidP="0020549D">
      <w:pPr>
        <w:rPr>
          <w:sz w:val="20"/>
          <w:szCs w:val="20"/>
        </w:rPr>
      </w:pPr>
    </w:p>
    <w:p w14:paraId="281A07C4" w14:textId="77777777" w:rsidR="004647B9" w:rsidRPr="0020549D" w:rsidRDefault="00E2436F" w:rsidP="0020549D">
      <w:pPr>
        <w:tabs>
          <w:tab w:val="left" w:pos="920"/>
        </w:tabs>
        <w:rPr>
          <w:sz w:val="24"/>
          <w:szCs w:val="24"/>
        </w:rPr>
      </w:pPr>
      <w:r w:rsidRPr="0020549D">
        <w:rPr>
          <w:rFonts w:eastAsia="Times New Roman"/>
          <w:sz w:val="24"/>
          <w:szCs w:val="24"/>
        </w:rPr>
        <w:t>22.11B:</w:t>
      </w:r>
      <w:r w:rsidRPr="0020549D">
        <w:rPr>
          <w:rFonts w:eastAsia="Times New Roman"/>
          <w:sz w:val="24"/>
          <w:szCs w:val="24"/>
        </w:rPr>
        <w:tab/>
        <w:t>continued</w:t>
      </w:r>
    </w:p>
    <w:p w14:paraId="281A07C5" w14:textId="77777777" w:rsidR="004647B9" w:rsidRDefault="004647B9" w:rsidP="0020549D">
      <w:pPr>
        <w:rPr>
          <w:sz w:val="20"/>
          <w:szCs w:val="20"/>
        </w:rPr>
      </w:pPr>
    </w:p>
    <w:p w14:paraId="281A07C6" w14:textId="77777777" w:rsidR="004647B9" w:rsidRPr="00734FE8" w:rsidRDefault="00E2436F" w:rsidP="0020549D">
      <w:pPr>
        <w:numPr>
          <w:ilvl w:val="2"/>
          <w:numId w:val="436"/>
        </w:numPr>
        <w:tabs>
          <w:tab w:val="left" w:pos="2722"/>
        </w:tabs>
        <w:ind w:left="2280" w:hanging="5"/>
        <w:rPr>
          <w:rFonts w:eastAsia="Times New Roman"/>
          <w:sz w:val="24"/>
          <w:szCs w:val="24"/>
        </w:rPr>
      </w:pPr>
      <w:r w:rsidRPr="00734FE8">
        <w:rPr>
          <w:rFonts w:eastAsia="Times New Roman"/>
          <w:sz w:val="24"/>
          <w:szCs w:val="24"/>
        </w:rPr>
        <w:t>high and low water storage tank levels at the Treatment Facility and in the Distribution System;</w:t>
      </w:r>
    </w:p>
    <w:p w14:paraId="281A07C8" w14:textId="77777777" w:rsidR="004647B9" w:rsidRPr="00734FE8" w:rsidRDefault="00E2436F" w:rsidP="0020549D">
      <w:pPr>
        <w:numPr>
          <w:ilvl w:val="2"/>
          <w:numId w:val="436"/>
        </w:numPr>
        <w:tabs>
          <w:tab w:val="left" w:pos="2640"/>
        </w:tabs>
        <w:ind w:left="2640" w:hanging="365"/>
        <w:rPr>
          <w:rFonts w:eastAsia="Times New Roman"/>
          <w:sz w:val="24"/>
          <w:szCs w:val="24"/>
        </w:rPr>
      </w:pPr>
      <w:r w:rsidRPr="00734FE8">
        <w:rPr>
          <w:rFonts w:eastAsia="Times New Roman"/>
          <w:sz w:val="24"/>
          <w:szCs w:val="24"/>
        </w:rPr>
        <w:t>critical chemicals including, but not limited to:</w:t>
      </w:r>
    </w:p>
    <w:p w14:paraId="281A07CA" w14:textId="77777777" w:rsidR="004647B9" w:rsidRPr="00734FE8" w:rsidRDefault="00E2436F" w:rsidP="0020549D">
      <w:pPr>
        <w:numPr>
          <w:ilvl w:val="3"/>
          <w:numId w:val="436"/>
        </w:numPr>
        <w:tabs>
          <w:tab w:val="left" w:pos="2940"/>
        </w:tabs>
        <w:ind w:left="2940" w:hanging="305"/>
        <w:rPr>
          <w:rFonts w:eastAsia="Times New Roman"/>
          <w:sz w:val="24"/>
          <w:szCs w:val="24"/>
        </w:rPr>
      </w:pPr>
      <w:r w:rsidRPr="00734FE8">
        <w:rPr>
          <w:rFonts w:eastAsia="Times New Roman"/>
          <w:sz w:val="24"/>
          <w:szCs w:val="24"/>
        </w:rPr>
        <w:t>pH;</w:t>
      </w:r>
    </w:p>
    <w:p w14:paraId="281A07CC" w14:textId="77777777" w:rsidR="004647B9" w:rsidRPr="00734FE8" w:rsidRDefault="00E2436F" w:rsidP="0020549D">
      <w:pPr>
        <w:numPr>
          <w:ilvl w:val="3"/>
          <w:numId w:val="436"/>
        </w:numPr>
        <w:tabs>
          <w:tab w:val="left" w:pos="3000"/>
        </w:tabs>
        <w:ind w:left="3000" w:hanging="365"/>
        <w:rPr>
          <w:rFonts w:eastAsia="Times New Roman"/>
          <w:sz w:val="24"/>
          <w:szCs w:val="24"/>
        </w:rPr>
      </w:pPr>
      <w:r w:rsidRPr="00734FE8">
        <w:rPr>
          <w:rFonts w:eastAsia="Times New Roman"/>
          <w:sz w:val="24"/>
          <w:szCs w:val="24"/>
        </w:rPr>
        <w:t>Turbidity;</w:t>
      </w:r>
    </w:p>
    <w:p w14:paraId="281A07CE" w14:textId="77777777" w:rsidR="004647B9" w:rsidRPr="00734FE8" w:rsidRDefault="00E2436F" w:rsidP="0020549D">
      <w:pPr>
        <w:numPr>
          <w:ilvl w:val="3"/>
          <w:numId w:val="436"/>
        </w:numPr>
        <w:tabs>
          <w:tab w:val="left" w:pos="3080"/>
        </w:tabs>
        <w:ind w:left="3080" w:hanging="445"/>
        <w:rPr>
          <w:rFonts w:eastAsia="Times New Roman"/>
          <w:sz w:val="24"/>
          <w:szCs w:val="24"/>
        </w:rPr>
      </w:pPr>
      <w:r w:rsidRPr="00734FE8">
        <w:rPr>
          <w:rFonts w:eastAsia="Times New Roman"/>
          <w:sz w:val="24"/>
          <w:szCs w:val="24"/>
        </w:rPr>
        <w:t>Disinfectant residual;</w:t>
      </w:r>
    </w:p>
    <w:p w14:paraId="281A07D0" w14:textId="77777777" w:rsidR="004647B9" w:rsidRPr="00734FE8" w:rsidRDefault="00E2436F" w:rsidP="0020549D">
      <w:pPr>
        <w:numPr>
          <w:ilvl w:val="3"/>
          <w:numId w:val="436"/>
        </w:numPr>
        <w:tabs>
          <w:tab w:val="left" w:pos="3060"/>
        </w:tabs>
        <w:ind w:left="3060" w:hanging="425"/>
        <w:rPr>
          <w:rFonts w:eastAsia="Times New Roman"/>
          <w:sz w:val="24"/>
          <w:szCs w:val="24"/>
        </w:rPr>
      </w:pPr>
      <w:r w:rsidRPr="00734FE8">
        <w:rPr>
          <w:rFonts w:eastAsia="Times New Roman"/>
          <w:sz w:val="24"/>
          <w:szCs w:val="24"/>
        </w:rPr>
        <w:t>fluoride (if using hydrofluorosilicic acid); or</w:t>
      </w:r>
    </w:p>
    <w:p w14:paraId="281A07D2" w14:textId="77777777" w:rsidR="004647B9" w:rsidRPr="00734FE8" w:rsidRDefault="00E2436F" w:rsidP="0020549D">
      <w:pPr>
        <w:numPr>
          <w:ilvl w:val="3"/>
          <w:numId w:val="436"/>
        </w:numPr>
        <w:tabs>
          <w:tab w:val="left" w:pos="3000"/>
        </w:tabs>
        <w:ind w:left="3000" w:hanging="365"/>
        <w:rPr>
          <w:rFonts w:eastAsia="Times New Roman"/>
          <w:sz w:val="24"/>
          <w:szCs w:val="24"/>
        </w:rPr>
      </w:pPr>
      <w:r w:rsidRPr="00734FE8">
        <w:rPr>
          <w:rFonts w:eastAsia="Times New Roman"/>
          <w:sz w:val="24"/>
          <w:szCs w:val="24"/>
        </w:rPr>
        <w:t>surrogate measures as approved by the Department.</w:t>
      </w:r>
    </w:p>
    <w:p w14:paraId="281A07D4" w14:textId="77777777" w:rsidR="004647B9" w:rsidRPr="00734FE8" w:rsidRDefault="00E2436F" w:rsidP="0020549D">
      <w:pPr>
        <w:numPr>
          <w:ilvl w:val="2"/>
          <w:numId w:val="436"/>
        </w:numPr>
        <w:tabs>
          <w:tab w:val="left" w:pos="2620"/>
        </w:tabs>
        <w:ind w:left="2620" w:hanging="345"/>
        <w:rPr>
          <w:rFonts w:eastAsia="Times New Roman"/>
          <w:sz w:val="24"/>
          <w:szCs w:val="24"/>
        </w:rPr>
      </w:pPr>
      <w:r w:rsidRPr="00734FE8">
        <w:rPr>
          <w:rFonts w:eastAsia="Times New Roman"/>
          <w:sz w:val="24"/>
          <w:szCs w:val="24"/>
        </w:rPr>
        <w:t>gaseous chlorine leaks;</w:t>
      </w:r>
    </w:p>
    <w:p w14:paraId="281A07D6" w14:textId="77777777" w:rsidR="004647B9" w:rsidRPr="00734FE8" w:rsidRDefault="00E2436F" w:rsidP="0020549D">
      <w:pPr>
        <w:numPr>
          <w:ilvl w:val="2"/>
          <w:numId w:val="436"/>
        </w:numPr>
        <w:tabs>
          <w:tab w:val="left" w:pos="2640"/>
        </w:tabs>
        <w:ind w:left="2640" w:hanging="365"/>
        <w:rPr>
          <w:rFonts w:eastAsia="Times New Roman"/>
          <w:sz w:val="24"/>
          <w:szCs w:val="24"/>
        </w:rPr>
      </w:pPr>
      <w:r w:rsidRPr="00734FE8">
        <w:rPr>
          <w:rFonts w:eastAsia="Times New Roman"/>
          <w:sz w:val="24"/>
          <w:szCs w:val="24"/>
        </w:rPr>
        <w:t>ozone leaks;</w:t>
      </w:r>
    </w:p>
    <w:p w14:paraId="281A07D8" w14:textId="77777777" w:rsidR="004647B9" w:rsidRPr="00734FE8" w:rsidRDefault="00E2436F" w:rsidP="0020549D">
      <w:pPr>
        <w:numPr>
          <w:ilvl w:val="2"/>
          <w:numId w:val="436"/>
        </w:numPr>
        <w:tabs>
          <w:tab w:val="left" w:pos="2620"/>
        </w:tabs>
        <w:ind w:left="2620" w:hanging="345"/>
        <w:rPr>
          <w:rFonts w:eastAsia="Times New Roman"/>
          <w:sz w:val="24"/>
          <w:szCs w:val="24"/>
        </w:rPr>
      </w:pPr>
      <w:r w:rsidRPr="00734FE8">
        <w:rPr>
          <w:rFonts w:eastAsia="Times New Roman"/>
          <w:sz w:val="24"/>
          <w:szCs w:val="24"/>
        </w:rPr>
        <w:t>fire and intrusion;</w:t>
      </w:r>
    </w:p>
    <w:p w14:paraId="281A07DA" w14:textId="77777777" w:rsidR="004647B9" w:rsidRPr="00734FE8" w:rsidRDefault="00E2436F" w:rsidP="0020549D">
      <w:pPr>
        <w:numPr>
          <w:ilvl w:val="2"/>
          <w:numId w:val="436"/>
        </w:numPr>
        <w:tabs>
          <w:tab w:val="left" w:pos="2660"/>
        </w:tabs>
        <w:ind w:left="2660" w:hanging="385"/>
        <w:rPr>
          <w:rFonts w:eastAsia="Times New Roman"/>
          <w:sz w:val="24"/>
          <w:szCs w:val="24"/>
        </w:rPr>
      </w:pPr>
      <w:r w:rsidRPr="00734FE8">
        <w:rPr>
          <w:rFonts w:eastAsia="Times New Roman"/>
          <w:sz w:val="24"/>
          <w:szCs w:val="24"/>
        </w:rPr>
        <w:t>power failures and generator operational status;</w:t>
      </w:r>
    </w:p>
    <w:p w14:paraId="281A07DC" w14:textId="77777777" w:rsidR="004647B9" w:rsidRPr="00734FE8" w:rsidRDefault="00E2436F" w:rsidP="0020549D">
      <w:pPr>
        <w:numPr>
          <w:ilvl w:val="2"/>
          <w:numId w:val="436"/>
        </w:numPr>
        <w:tabs>
          <w:tab w:val="left" w:pos="2640"/>
        </w:tabs>
        <w:ind w:left="2640" w:hanging="365"/>
        <w:rPr>
          <w:rFonts w:eastAsia="Times New Roman"/>
          <w:sz w:val="24"/>
          <w:szCs w:val="24"/>
        </w:rPr>
      </w:pPr>
      <w:r w:rsidRPr="00734FE8">
        <w:rPr>
          <w:rFonts w:eastAsia="Times New Roman"/>
          <w:sz w:val="24"/>
          <w:szCs w:val="24"/>
        </w:rPr>
        <w:t>critical pumps and motors;</w:t>
      </w:r>
    </w:p>
    <w:p w14:paraId="281A07DE" w14:textId="77777777" w:rsidR="004647B9" w:rsidRPr="00734FE8" w:rsidRDefault="00E2436F" w:rsidP="0020549D">
      <w:pPr>
        <w:numPr>
          <w:ilvl w:val="2"/>
          <w:numId w:val="436"/>
        </w:numPr>
        <w:tabs>
          <w:tab w:val="left" w:pos="2640"/>
        </w:tabs>
        <w:ind w:left="2640" w:hanging="365"/>
        <w:rPr>
          <w:rFonts w:eastAsia="Times New Roman"/>
          <w:sz w:val="24"/>
          <w:szCs w:val="24"/>
        </w:rPr>
      </w:pPr>
      <w:r w:rsidRPr="00734FE8">
        <w:rPr>
          <w:rFonts w:eastAsia="Times New Roman"/>
          <w:sz w:val="24"/>
          <w:szCs w:val="24"/>
        </w:rPr>
        <w:t>bulk chemical tank volumes (high and low levels); and</w:t>
      </w:r>
    </w:p>
    <w:p w14:paraId="281A07E0" w14:textId="77777777" w:rsidR="004647B9" w:rsidRPr="00734FE8" w:rsidRDefault="00E2436F" w:rsidP="0020549D">
      <w:pPr>
        <w:numPr>
          <w:ilvl w:val="2"/>
          <w:numId w:val="436"/>
        </w:numPr>
        <w:tabs>
          <w:tab w:val="left" w:pos="2580"/>
        </w:tabs>
        <w:ind w:left="2580" w:hanging="305"/>
        <w:rPr>
          <w:rFonts w:eastAsia="Times New Roman"/>
          <w:sz w:val="24"/>
          <w:szCs w:val="24"/>
        </w:rPr>
      </w:pPr>
      <w:r w:rsidRPr="00734FE8">
        <w:rPr>
          <w:rFonts w:eastAsia="Times New Roman"/>
          <w:sz w:val="24"/>
          <w:szCs w:val="24"/>
        </w:rPr>
        <w:t>loss of communication.</w:t>
      </w:r>
    </w:p>
    <w:p w14:paraId="281A07E2" w14:textId="77777777" w:rsidR="004647B9" w:rsidRPr="00734FE8" w:rsidRDefault="00E2436F" w:rsidP="0020549D">
      <w:pPr>
        <w:numPr>
          <w:ilvl w:val="0"/>
          <w:numId w:val="437"/>
        </w:numPr>
        <w:tabs>
          <w:tab w:val="left" w:pos="1975"/>
        </w:tabs>
        <w:ind w:left="1560" w:hanging="5"/>
        <w:jc w:val="both"/>
        <w:rPr>
          <w:rFonts w:eastAsia="Times New Roman"/>
          <w:sz w:val="24"/>
          <w:szCs w:val="24"/>
        </w:rPr>
      </w:pPr>
      <w:r w:rsidRPr="00734FE8">
        <w:rPr>
          <w:rFonts w:eastAsia="Times New Roman"/>
          <w:sz w:val="24"/>
          <w:szCs w:val="24"/>
          <w:u w:val="single"/>
        </w:rPr>
        <w:t>4T Systems</w:t>
      </w:r>
      <w:r w:rsidRPr="00734FE8">
        <w:rPr>
          <w:rFonts w:eastAsia="Times New Roman"/>
          <w:sz w:val="24"/>
          <w:szCs w:val="24"/>
        </w:rPr>
        <w:t>. A Public Water System that includes a Treatment Facility classified as 4T and which meets the requirements of 310 CMR 22.11B(5)(d), with the exception of Satellite Facilities and seasonal Treatment Facilities as described in 310 CMR 22.11B(7), shall be staffed for a minimum of eight hours per day during the days when such Treatment Facility and/or filtration units are in operation. The Treatment Facility shall be staffed in accordance with its classification.</w:t>
      </w:r>
    </w:p>
    <w:p w14:paraId="281A07E4" w14:textId="77777777" w:rsidR="004647B9" w:rsidRPr="00734FE8" w:rsidRDefault="00E2436F" w:rsidP="0020549D">
      <w:pPr>
        <w:numPr>
          <w:ilvl w:val="0"/>
          <w:numId w:val="437"/>
        </w:numPr>
        <w:tabs>
          <w:tab w:val="left" w:pos="1949"/>
        </w:tabs>
        <w:ind w:left="1560" w:hanging="5"/>
        <w:jc w:val="both"/>
        <w:rPr>
          <w:rFonts w:eastAsia="Times New Roman"/>
          <w:sz w:val="24"/>
          <w:szCs w:val="24"/>
        </w:rPr>
      </w:pPr>
      <w:r w:rsidRPr="00734FE8">
        <w:rPr>
          <w:rFonts w:eastAsia="Times New Roman"/>
          <w:sz w:val="24"/>
          <w:szCs w:val="24"/>
          <w:u w:val="single"/>
        </w:rPr>
        <w:t>3T Systems</w:t>
      </w:r>
      <w:r w:rsidRPr="00734FE8">
        <w:rPr>
          <w:rFonts w:eastAsia="Times New Roman"/>
          <w:sz w:val="24"/>
          <w:szCs w:val="24"/>
        </w:rPr>
        <w:t>. A Public Water System that includes a Treatment Facility classified as 3T and which meets the requirements of 310 CMR 22.11B(5)(d), with the exception of Satellite Facilities and seasonal Treatment Facilities as described in 310 CMR 22.11B(7), shall be staffed for a minimum of eight hours per day during the days when such Treatment Facility and/or filtration units are in operation, unless otherwise approved by the Department. The Treatment Facility shall be staffed in accordance with its classification.</w:t>
      </w:r>
    </w:p>
    <w:p w14:paraId="281A07E6" w14:textId="77777777" w:rsidR="004647B9" w:rsidRPr="00734FE8" w:rsidRDefault="00E2436F" w:rsidP="0020549D">
      <w:pPr>
        <w:numPr>
          <w:ilvl w:val="0"/>
          <w:numId w:val="437"/>
        </w:numPr>
        <w:tabs>
          <w:tab w:val="left" w:pos="1966"/>
        </w:tabs>
        <w:ind w:left="1560" w:hanging="5"/>
        <w:jc w:val="both"/>
        <w:rPr>
          <w:rFonts w:eastAsia="Times New Roman"/>
          <w:sz w:val="24"/>
          <w:szCs w:val="24"/>
        </w:rPr>
      </w:pPr>
      <w:r w:rsidRPr="00734FE8">
        <w:rPr>
          <w:rFonts w:eastAsia="Times New Roman"/>
          <w:sz w:val="24"/>
          <w:szCs w:val="24"/>
          <w:u w:val="single"/>
        </w:rPr>
        <w:t>2T System or Less</w:t>
      </w:r>
      <w:r w:rsidRPr="00734FE8">
        <w:rPr>
          <w:rFonts w:eastAsia="Times New Roman"/>
          <w:sz w:val="24"/>
          <w:szCs w:val="24"/>
        </w:rPr>
        <w:t>. A Public Water System that includes a Treatment Facility classified as 2T or less and which meets the requirements of 310 CMR 22.11B(5)(d), with the exception of Satellite Facilities or seasonal Treatment Facilities as described in 310 CMR 22.11B(7) shall be staffed for a minimum of four hours per day every Monday through Friday when the Treatment Facility is in operation. The Treatment Facility shall be staffed in accordance with its classification.</w:t>
      </w:r>
    </w:p>
    <w:p w14:paraId="281A07E8" w14:textId="1B6C4DEC" w:rsidR="004647B9" w:rsidRPr="00D97030" w:rsidRDefault="00E2436F" w:rsidP="0020549D">
      <w:pPr>
        <w:pStyle w:val="ListParagraph"/>
        <w:numPr>
          <w:ilvl w:val="1"/>
          <w:numId w:val="437"/>
        </w:numPr>
        <w:tabs>
          <w:tab w:val="left" w:pos="2430"/>
        </w:tabs>
        <w:ind w:left="1987" w:firstLine="0"/>
        <w:rPr>
          <w:rFonts w:eastAsia="Times New Roman"/>
          <w:sz w:val="24"/>
          <w:szCs w:val="24"/>
        </w:rPr>
      </w:pPr>
      <w:r w:rsidRPr="00D97030">
        <w:rPr>
          <w:rFonts w:eastAsia="Times New Roman"/>
          <w:sz w:val="24"/>
          <w:szCs w:val="24"/>
          <w:u w:val="single"/>
        </w:rPr>
        <w:t>Weekend/Holiday Coverage</w:t>
      </w:r>
      <w:r w:rsidRPr="00D97030">
        <w:rPr>
          <w:rFonts w:eastAsia="Times New Roman"/>
          <w:sz w:val="24"/>
          <w:szCs w:val="24"/>
        </w:rPr>
        <w:t>. Each operating Treatment Facility must be visited by a Certified Operator at least once per day on weekends and holidays.</w:t>
      </w:r>
    </w:p>
    <w:p w14:paraId="281A07EA" w14:textId="77777777" w:rsidR="004647B9" w:rsidRPr="00BD6242" w:rsidRDefault="00E2436F" w:rsidP="0020549D">
      <w:pPr>
        <w:numPr>
          <w:ilvl w:val="0"/>
          <w:numId w:val="437"/>
        </w:numPr>
        <w:tabs>
          <w:tab w:val="left" w:pos="2070"/>
        </w:tabs>
        <w:ind w:left="1560" w:hanging="5"/>
        <w:jc w:val="both"/>
        <w:rPr>
          <w:rFonts w:eastAsia="Times New Roman"/>
          <w:sz w:val="24"/>
          <w:szCs w:val="24"/>
        </w:rPr>
      </w:pPr>
      <w:r w:rsidRPr="00BD6242">
        <w:rPr>
          <w:rFonts w:eastAsia="Times New Roman"/>
          <w:sz w:val="24"/>
          <w:szCs w:val="24"/>
          <w:u w:val="single"/>
        </w:rPr>
        <w:t>Slow Sand Filtration</w:t>
      </w:r>
      <w:r w:rsidRPr="00BD6242">
        <w:rPr>
          <w:rFonts w:eastAsia="Times New Roman"/>
          <w:sz w:val="24"/>
          <w:szCs w:val="24"/>
        </w:rPr>
        <w:t>. A Slow Sand Filtration process meeting the requirements of 310 CMR 22.11B(5)(d) shall be staffed by the Primary Operator at a minimum of two hours per day every Monday through Friday when the Filtration process is in operation. Weekend/Holiday Coverage shall be in accordance with 310 CMR 22.11B(5)(g)1.</w:t>
      </w:r>
    </w:p>
    <w:p w14:paraId="281A07EC" w14:textId="77777777" w:rsidR="004647B9" w:rsidRPr="00BD6242" w:rsidRDefault="00E2436F" w:rsidP="0020549D">
      <w:pPr>
        <w:numPr>
          <w:ilvl w:val="0"/>
          <w:numId w:val="437"/>
        </w:numPr>
        <w:tabs>
          <w:tab w:val="left" w:pos="1960"/>
        </w:tabs>
        <w:ind w:left="1960" w:hanging="405"/>
        <w:rPr>
          <w:rFonts w:eastAsia="Times New Roman"/>
          <w:sz w:val="24"/>
          <w:szCs w:val="24"/>
        </w:rPr>
      </w:pPr>
      <w:r w:rsidRPr="00BD6242">
        <w:rPr>
          <w:rFonts w:eastAsia="Times New Roman"/>
          <w:sz w:val="24"/>
          <w:szCs w:val="24"/>
          <w:u w:val="single"/>
        </w:rPr>
        <w:t>Very Small Systems and Non-community Water Systems</w:t>
      </w:r>
      <w:r w:rsidRPr="00BD6242">
        <w:rPr>
          <w:rFonts w:eastAsia="Times New Roman"/>
          <w:sz w:val="24"/>
          <w:szCs w:val="24"/>
        </w:rPr>
        <w:t>.</w:t>
      </w:r>
    </w:p>
    <w:p w14:paraId="281A07F1" w14:textId="0AE5FC65" w:rsidR="004647B9" w:rsidRPr="007957CE" w:rsidRDefault="00E2436F">
      <w:pPr>
        <w:pStyle w:val="ListParagraph"/>
        <w:numPr>
          <w:ilvl w:val="1"/>
          <w:numId w:val="437"/>
        </w:numPr>
        <w:tabs>
          <w:tab w:val="left" w:pos="2430"/>
        </w:tabs>
        <w:ind w:left="1915" w:firstLine="0"/>
        <w:rPr>
          <w:sz w:val="24"/>
          <w:szCs w:val="24"/>
        </w:rPr>
      </w:pPr>
      <w:r w:rsidRPr="007957CE">
        <w:rPr>
          <w:rFonts w:eastAsia="Times New Roman"/>
          <w:sz w:val="24"/>
          <w:szCs w:val="24"/>
        </w:rPr>
        <w:t>A Secondary Operator is not required for Public Water Systems classified as a very small system (VSS), Transient Non-community or Non-transient Non-community Water Systems. However, during the times when the Primary Operator is temporarily absent (</w:t>
      </w:r>
      <w:r w:rsidRPr="007957CE">
        <w:rPr>
          <w:rFonts w:eastAsia="Times New Roman"/>
          <w:i/>
          <w:iCs/>
          <w:sz w:val="24"/>
          <w:szCs w:val="24"/>
        </w:rPr>
        <w:t>i.e</w:t>
      </w:r>
      <w:r w:rsidRPr="007957CE">
        <w:rPr>
          <w:rFonts w:eastAsia="Times New Roman"/>
          <w:sz w:val="24"/>
          <w:szCs w:val="24"/>
        </w:rPr>
        <w:t>.</w:t>
      </w:r>
      <w:r w:rsidR="00055ED3" w:rsidRPr="007957CE">
        <w:rPr>
          <w:rFonts w:eastAsia="Times New Roman"/>
          <w:sz w:val="24"/>
          <w:szCs w:val="24"/>
        </w:rPr>
        <w:t>,</w:t>
      </w:r>
      <w:r w:rsidRPr="007957CE">
        <w:rPr>
          <w:rFonts w:eastAsia="Times New Roman"/>
          <w:sz w:val="24"/>
          <w:szCs w:val="24"/>
        </w:rPr>
        <w:t xml:space="preserve"> absences not exceeding 30 days), a Certified Operator who has a certification which</w:t>
      </w:r>
      <w:r w:rsidR="00C57D34" w:rsidRPr="007957CE">
        <w:rPr>
          <w:rFonts w:eastAsia="Times New Roman"/>
          <w:sz w:val="24"/>
          <w:szCs w:val="24"/>
        </w:rPr>
        <w:t xml:space="preserve"> </w:t>
      </w:r>
      <w:r w:rsidRPr="007957CE">
        <w:rPr>
          <w:rFonts w:eastAsia="Times New Roman"/>
          <w:sz w:val="24"/>
          <w:szCs w:val="24"/>
        </w:rPr>
        <w:t>corresponds to the class of the facility or higher shall be retained during the absence of the Primary Operator to respond in the event of an Emergency. I</w:t>
      </w:r>
      <w:r w:rsidR="0062458C" w:rsidRPr="007957CE">
        <w:rPr>
          <w:sz w:val="24"/>
          <w:szCs w:val="24"/>
        </w:rPr>
        <w:t>n no event shall an Emergency response time greater than one hour be deemed reasonable.</w:t>
      </w:r>
    </w:p>
    <w:p w14:paraId="281A07F2" w14:textId="77777777" w:rsidR="004647B9" w:rsidRPr="00BD6242" w:rsidRDefault="00E2436F" w:rsidP="0020549D">
      <w:pPr>
        <w:numPr>
          <w:ilvl w:val="0"/>
          <w:numId w:val="438"/>
        </w:numPr>
        <w:tabs>
          <w:tab w:val="left" w:pos="2453"/>
        </w:tabs>
        <w:ind w:left="1915"/>
        <w:jc w:val="both"/>
        <w:rPr>
          <w:rFonts w:eastAsia="Times New Roman"/>
          <w:sz w:val="24"/>
          <w:szCs w:val="24"/>
        </w:rPr>
      </w:pPr>
      <w:r w:rsidRPr="00BD6242">
        <w:rPr>
          <w:rFonts w:eastAsia="Times New Roman"/>
          <w:sz w:val="24"/>
          <w:szCs w:val="24"/>
        </w:rPr>
        <w:t>A Public Water System classified as a very small system (VSS), Transient Non-community or Non-transient Non-community Water System, utilizing one or more of the following treatment processes may be operated by a Primary Operator with a VSS Full license and an operator-in-training (OIT) treatment license equal to the classification of the treatment system:</w:t>
      </w:r>
    </w:p>
    <w:p w14:paraId="281A07F4" w14:textId="77777777" w:rsidR="004647B9" w:rsidRPr="00BD6242" w:rsidRDefault="00E2436F" w:rsidP="0020549D">
      <w:pPr>
        <w:numPr>
          <w:ilvl w:val="1"/>
          <w:numId w:val="438"/>
        </w:numPr>
        <w:tabs>
          <w:tab w:val="left" w:pos="2621"/>
        </w:tabs>
        <w:ind w:left="2275"/>
        <w:rPr>
          <w:rFonts w:eastAsia="Times New Roman"/>
          <w:sz w:val="24"/>
          <w:szCs w:val="24"/>
        </w:rPr>
      </w:pPr>
      <w:r w:rsidRPr="00BD6242">
        <w:rPr>
          <w:rFonts w:eastAsia="Times New Roman"/>
          <w:sz w:val="24"/>
          <w:szCs w:val="24"/>
        </w:rPr>
        <w:t>Disinfection (provided Disinfection is not required to meet the treatment requirements of 310 CMR 22.20A, 22.20D, 22.20F, 22.20G or 22.26);</w:t>
      </w:r>
    </w:p>
    <w:p w14:paraId="281A07F6" w14:textId="77777777" w:rsidR="004647B9" w:rsidRPr="00BD6242" w:rsidRDefault="00E2436F" w:rsidP="0020549D">
      <w:pPr>
        <w:numPr>
          <w:ilvl w:val="1"/>
          <w:numId w:val="438"/>
        </w:numPr>
        <w:tabs>
          <w:tab w:val="left" w:pos="2621"/>
        </w:tabs>
        <w:ind w:left="2275"/>
        <w:rPr>
          <w:rFonts w:eastAsia="Times New Roman"/>
          <w:sz w:val="24"/>
          <w:szCs w:val="24"/>
        </w:rPr>
      </w:pPr>
      <w:r w:rsidRPr="00BD6242">
        <w:rPr>
          <w:rFonts w:eastAsia="Times New Roman"/>
          <w:sz w:val="24"/>
          <w:szCs w:val="24"/>
        </w:rPr>
        <w:t>lime contactor;</w:t>
      </w:r>
    </w:p>
    <w:p w14:paraId="281A07F8" w14:textId="77777777" w:rsidR="004647B9" w:rsidRPr="00BD6242" w:rsidRDefault="00E2436F" w:rsidP="0020549D">
      <w:pPr>
        <w:numPr>
          <w:ilvl w:val="1"/>
          <w:numId w:val="438"/>
        </w:numPr>
        <w:tabs>
          <w:tab w:val="left" w:pos="2620"/>
        </w:tabs>
        <w:ind w:left="2275"/>
        <w:rPr>
          <w:rFonts w:eastAsia="Times New Roman"/>
          <w:sz w:val="24"/>
          <w:szCs w:val="24"/>
        </w:rPr>
      </w:pPr>
      <w:r w:rsidRPr="00BD6242">
        <w:rPr>
          <w:rFonts w:eastAsia="Times New Roman"/>
          <w:sz w:val="24"/>
          <w:szCs w:val="24"/>
        </w:rPr>
        <w:t>ion-exchange; or</w:t>
      </w:r>
    </w:p>
    <w:p w14:paraId="281A07FA" w14:textId="77777777" w:rsidR="004647B9" w:rsidRPr="00BD6242" w:rsidRDefault="00E2436F" w:rsidP="0020549D">
      <w:pPr>
        <w:numPr>
          <w:ilvl w:val="1"/>
          <w:numId w:val="438"/>
        </w:numPr>
        <w:tabs>
          <w:tab w:val="left" w:pos="2621"/>
        </w:tabs>
        <w:ind w:left="2640" w:hanging="365"/>
        <w:rPr>
          <w:rFonts w:eastAsia="Times New Roman"/>
          <w:sz w:val="24"/>
          <w:szCs w:val="24"/>
        </w:rPr>
      </w:pPr>
      <w:r w:rsidRPr="00BD6242">
        <w:rPr>
          <w:rFonts w:eastAsia="Times New Roman"/>
          <w:sz w:val="24"/>
          <w:szCs w:val="24"/>
        </w:rPr>
        <w:t>in-line bag or Cartridge Filter that is not providing pathogen removal.</w:t>
      </w:r>
    </w:p>
    <w:p w14:paraId="281A07FB" w14:textId="77777777" w:rsidR="004647B9" w:rsidRDefault="004647B9" w:rsidP="0020549D">
      <w:pPr>
        <w:sectPr w:rsidR="004647B9" w:rsidSect="00EF630C">
          <w:pgSz w:w="12240" w:h="20180"/>
          <w:pgMar w:top="708" w:right="1440" w:bottom="1440" w:left="600" w:header="0" w:footer="0" w:gutter="0"/>
          <w:cols w:space="720"/>
        </w:sectPr>
      </w:pPr>
    </w:p>
    <w:p w14:paraId="281A07FC" w14:textId="77777777" w:rsidR="004647B9" w:rsidRDefault="00E2436F">
      <w:pPr>
        <w:tabs>
          <w:tab w:val="left" w:pos="160"/>
        </w:tabs>
        <w:jc w:val="center"/>
        <w:rPr>
          <w:sz w:val="20"/>
          <w:szCs w:val="20"/>
        </w:rPr>
      </w:pPr>
      <w:bookmarkStart w:id="166" w:name="page168"/>
      <w:bookmarkEnd w:id="16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7FD" w14:textId="77777777" w:rsidR="004647B9" w:rsidRDefault="004647B9" w:rsidP="00C918B7">
      <w:pPr>
        <w:rPr>
          <w:sz w:val="20"/>
          <w:szCs w:val="20"/>
        </w:rPr>
      </w:pPr>
    </w:p>
    <w:p w14:paraId="281A07FE" w14:textId="77777777" w:rsidR="004647B9" w:rsidRDefault="004647B9" w:rsidP="00C918B7">
      <w:pPr>
        <w:rPr>
          <w:sz w:val="20"/>
          <w:szCs w:val="20"/>
        </w:rPr>
      </w:pPr>
    </w:p>
    <w:p w14:paraId="281A07FF" w14:textId="77777777" w:rsidR="004647B9" w:rsidRPr="00C918B7" w:rsidRDefault="00E2436F" w:rsidP="00C918B7">
      <w:pPr>
        <w:tabs>
          <w:tab w:val="left" w:pos="920"/>
        </w:tabs>
        <w:rPr>
          <w:sz w:val="24"/>
          <w:szCs w:val="24"/>
        </w:rPr>
      </w:pPr>
      <w:r w:rsidRPr="00C918B7">
        <w:rPr>
          <w:rFonts w:eastAsia="Times New Roman"/>
          <w:sz w:val="24"/>
          <w:szCs w:val="24"/>
        </w:rPr>
        <w:t>22.11B:</w:t>
      </w:r>
      <w:r w:rsidRPr="00C918B7">
        <w:rPr>
          <w:rFonts w:eastAsia="Times New Roman"/>
          <w:sz w:val="24"/>
          <w:szCs w:val="24"/>
        </w:rPr>
        <w:tab/>
        <w:t>continued</w:t>
      </w:r>
    </w:p>
    <w:p w14:paraId="281A0800" w14:textId="77777777" w:rsidR="004647B9" w:rsidRDefault="004647B9" w:rsidP="00C918B7">
      <w:pPr>
        <w:rPr>
          <w:sz w:val="20"/>
          <w:szCs w:val="20"/>
        </w:rPr>
      </w:pPr>
    </w:p>
    <w:p w14:paraId="281A0801" w14:textId="77777777" w:rsidR="004647B9" w:rsidRDefault="00E2436F" w:rsidP="00C918B7">
      <w:pPr>
        <w:numPr>
          <w:ilvl w:val="0"/>
          <w:numId w:val="439"/>
        </w:numPr>
        <w:tabs>
          <w:tab w:val="left" w:pos="1660"/>
        </w:tabs>
        <w:ind w:left="1660" w:hanging="460"/>
        <w:rPr>
          <w:rFonts w:eastAsia="Times New Roman"/>
          <w:sz w:val="24"/>
          <w:szCs w:val="24"/>
        </w:rPr>
      </w:pPr>
      <w:r>
        <w:rPr>
          <w:rFonts w:eastAsia="Times New Roman"/>
          <w:sz w:val="24"/>
          <w:szCs w:val="24"/>
          <w:u w:val="single"/>
        </w:rPr>
        <w:t>Contract Services</w:t>
      </w:r>
      <w:r>
        <w:rPr>
          <w:rFonts w:eastAsia="Times New Roman"/>
          <w:sz w:val="24"/>
          <w:szCs w:val="24"/>
        </w:rPr>
        <w:t>.</w:t>
      </w:r>
    </w:p>
    <w:p w14:paraId="281A0803" w14:textId="77777777" w:rsidR="004647B9" w:rsidRDefault="00E2436F" w:rsidP="00C918B7">
      <w:pPr>
        <w:numPr>
          <w:ilvl w:val="1"/>
          <w:numId w:val="439"/>
        </w:numPr>
        <w:tabs>
          <w:tab w:val="left" w:pos="2011"/>
        </w:tabs>
        <w:ind w:left="1560" w:hanging="5"/>
        <w:jc w:val="both"/>
        <w:rPr>
          <w:rFonts w:eastAsia="Times New Roman"/>
          <w:sz w:val="24"/>
          <w:szCs w:val="24"/>
        </w:rPr>
      </w:pPr>
      <w:r>
        <w:rPr>
          <w:rFonts w:eastAsia="Times New Roman"/>
          <w:sz w:val="24"/>
          <w:szCs w:val="24"/>
        </w:rPr>
        <w:t>A Supplier of Water may contract for the services of a Certified Operator to meet the requirements of 310 CMR 22.11B(1) and (2) provided that the Supplier of Water submits for the Department's review a Contract Operator Compliance Notice and "Staffing and Comprehensive Operations Plan" in accordance with 310 CMR 22.11B(5)(b), and in a format specified by the Department, within 30 days of execution of the contract.</w:t>
      </w:r>
    </w:p>
    <w:p w14:paraId="281A0805" w14:textId="77777777" w:rsidR="004647B9" w:rsidRDefault="00E2436F" w:rsidP="00C918B7">
      <w:pPr>
        <w:numPr>
          <w:ilvl w:val="1"/>
          <w:numId w:val="439"/>
        </w:numPr>
        <w:tabs>
          <w:tab w:val="left" w:pos="1997"/>
        </w:tabs>
        <w:ind w:left="1560" w:hanging="5"/>
        <w:jc w:val="both"/>
        <w:rPr>
          <w:rFonts w:eastAsia="Times New Roman"/>
          <w:sz w:val="24"/>
          <w:szCs w:val="24"/>
        </w:rPr>
      </w:pPr>
      <w:r>
        <w:rPr>
          <w:rFonts w:eastAsia="Times New Roman"/>
          <w:sz w:val="24"/>
          <w:szCs w:val="24"/>
        </w:rPr>
        <w:t>A Supplier of Water who contracts for the services of a Certified Operator shall ensure that the Certified Operator conducts, at a minimum, monthly on-site inspections. The Department may require more frequent inspections if it determines an increased frequency to be necessary based on the complexity of the Public Water System or compliance issues. During each inspection, the Certified Operator shall record the details of the inspection in writing. The Supplier of Water shall maintain all inspection forms and records on site for a minimum of five years from the date of the inspection and shall make them available to the Department upon request.</w:t>
      </w:r>
    </w:p>
    <w:p w14:paraId="281A0806" w14:textId="77777777" w:rsidR="004647B9" w:rsidRDefault="004647B9" w:rsidP="00C918B7">
      <w:pPr>
        <w:rPr>
          <w:rFonts w:eastAsia="Times New Roman"/>
          <w:sz w:val="24"/>
          <w:szCs w:val="24"/>
        </w:rPr>
      </w:pPr>
    </w:p>
    <w:p w14:paraId="281A0807" w14:textId="77777777" w:rsidR="004647B9" w:rsidRDefault="00E2436F" w:rsidP="00C918B7">
      <w:pPr>
        <w:numPr>
          <w:ilvl w:val="0"/>
          <w:numId w:val="439"/>
        </w:numPr>
        <w:tabs>
          <w:tab w:val="left" w:pos="1732"/>
        </w:tabs>
        <w:ind w:left="1200"/>
        <w:jc w:val="both"/>
        <w:rPr>
          <w:rFonts w:eastAsia="Times New Roman"/>
          <w:sz w:val="24"/>
          <w:szCs w:val="24"/>
        </w:rPr>
      </w:pPr>
      <w:r>
        <w:rPr>
          <w:rFonts w:eastAsia="Times New Roman"/>
          <w:sz w:val="24"/>
          <w:szCs w:val="24"/>
          <w:u w:val="single"/>
        </w:rPr>
        <w:t>Satellite Facilities and Seasonal Treatment Facilities</w:t>
      </w:r>
      <w:r>
        <w:rPr>
          <w:rFonts w:eastAsia="Times New Roman"/>
          <w:sz w:val="24"/>
          <w:szCs w:val="24"/>
        </w:rPr>
        <w:t>. A Public Water System, all the Treatment Facilities of which are staffed and which has centralized water treatment operations meeting the requirements of 310 CMR 22.11B, may, subject to the Department's written approval, operate its Satellite Facilities or seasonal Treatment Facilities, if any, from the location of such centralized water treatment operations using remote control of key functions sufficient to permit normally unstaffed operation, provided that such Public Water System complies with the following:</w:t>
      </w:r>
    </w:p>
    <w:p w14:paraId="281A0809" w14:textId="77777777" w:rsidR="004647B9" w:rsidRDefault="00E2436F" w:rsidP="00C918B7">
      <w:pPr>
        <w:numPr>
          <w:ilvl w:val="1"/>
          <w:numId w:val="439"/>
        </w:numPr>
        <w:tabs>
          <w:tab w:val="left" w:pos="2000"/>
        </w:tabs>
        <w:ind w:left="2000" w:hanging="445"/>
        <w:rPr>
          <w:rFonts w:eastAsia="Times New Roman"/>
          <w:sz w:val="24"/>
          <w:szCs w:val="24"/>
        </w:rPr>
      </w:pPr>
      <w:r>
        <w:rPr>
          <w:rFonts w:eastAsia="Times New Roman"/>
          <w:sz w:val="24"/>
          <w:szCs w:val="24"/>
        </w:rPr>
        <w:t>all requirements set forth in 310 CMR 22.11B(5) (a)1. through 5.;</w:t>
      </w:r>
    </w:p>
    <w:p w14:paraId="281A080B" w14:textId="77777777" w:rsidR="004647B9" w:rsidRDefault="00E2436F" w:rsidP="00C918B7">
      <w:pPr>
        <w:numPr>
          <w:ilvl w:val="1"/>
          <w:numId w:val="439"/>
        </w:numPr>
        <w:tabs>
          <w:tab w:val="left" w:pos="2020"/>
        </w:tabs>
        <w:ind w:left="2020" w:hanging="465"/>
        <w:rPr>
          <w:rFonts w:eastAsia="Times New Roman"/>
          <w:sz w:val="24"/>
          <w:szCs w:val="24"/>
        </w:rPr>
      </w:pPr>
      <w:r>
        <w:rPr>
          <w:rFonts w:eastAsia="Times New Roman"/>
          <w:sz w:val="24"/>
          <w:szCs w:val="24"/>
        </w:rPr>
        <w:t>all requirements set forth in 310 CMR 22.11B(5)(b);</w:t>
      </w:r>
    </w:p>
    <w:p w14:paraId="281A080D" w14:textId="77777777" w:rsidR="004647B9" w:rsidRDefault="00E2436F" w:rsidP="00C918B7">
      <w:pPr>
        <w:numPr>
          <w:ilvl w:val="1"/>
          <w:numId w:val="439"/>
        </w:numPr>
        <w:tabs>
          <w:tab w:val="left" w:pos="2000"/>
        </w:tabs>
        <w:ind w:left="2000" w:hanging="445"/>
        <w:rPr>
          <w:rFonts w:eastAsia="Times New Roman"/>
          <w:sz w:val="24"/>
          <w:szCs w:val="24"/>
        </w:rPr>
      </w:pPr>
      <w:r>
        <w:rPr>
          <w:rFonts w:eastAsia="Times New Roman"/>
          <w:sz w:val="24"/>
          <w:szCs w:val="24"/>
        </w:rPr>
        <w:t>all requirements set forth in 310 CMR 22.11B (5)(d);</w:t>
      </w:r>
    </w:p>
    <w:p w14:paraId="281A080F" w14:textId="77777777" w:rsidR="004647B9" w:rsidRDefault="00E2436F" w:rsidP="00C918B7">
      <w:pPr>
        <w:numPr>
          <w:ilvl w:val="1"/>
          <w:numId w:val="439"/>
        </w:numPr>
        <w:tabs>
          <w:tab w:val="left" w:pos="2034"/>
        </w:tabs>
        <w:ind w:left="1560" w:hanging="5"/>
        <w:jc w:val="both"/>
        <w:rPr>
          <w:rFonts w:eastAsia="Times New Roman"/>
          <w:sz w:val="24"/>
          <w:szCs w:val="24"/>
        </w:rPr>
      </w:pPr>
      <w:r>
        <w:rPr>
          <w:rFonts w:eastAsia="Times New Roman"/>
          <w:sz w:val="24"/>
          <w:szCs w:val="24"/>
        </w:rPr>
        <w:t>all maintenance, chemical deliveries and other actions at such Satellite Facilities and seasonal Treatment Facilities requiring the physical presence of Certified Operators shall only be performed in the presence of such Certified Operators provided from the staffed Treatment Facilities; and</w:t>
      </w:r>
    </w:p>
    <w:p w14:paraId="281A0811" w14:textId="77777777" w:rsidR="004647B9" w:rsidRPr="00734FE8" w:rsidRDefault="00E2436F" w:rsidP="00C918B7">
      <w:pPr>
        <w:numPr>
          <w:ilvl w:val="1"/>
          <w:numId w:val="439"/>
        </w:numPr>
        <w:tabs>
          <w:tab w:val="left" w:pos="1948"/>
        </w:tabs>
        <w:ind w:left="1560" w:hanging="5"/>
        <w:jc w:val="both"/>
        <w:rPr>
          <w:rFonts w:eastAsia="Times New Roman"/>
          <w:sz w:val="24"/>
          <w:szCs w:val="24"/>
        </w:rPr>
      </w:pPr>
      <w:r>
        <w:rPr>
          <w:rFonts w:eastAsia="Times New Roman"/>
          <w:sz w:val="24"/>
          <w:szCs w:val="24"/>
        </w:rPr>
        <w:t xml:space="preserve">all such Satellite Facilities and seasonal Treatment Facilities which are in operation </w:t>
      </w:r>
      <w:r w:rsidRPr="00734FE8">
        <w:rPr>
          <w:rFonts w:eastAsia="Times New Roman"/>
          <w:sz w:val="24"/>
          <w:szCs w:val="24"/>
        </w:rPr>
        <w:t>shall be visited by a Certified Operator at least once per day who shall visually check and verify the instrumentation readings between such Satellite Facilities and seasonal Treatment Facilities and such centralized operations.</w:t>
      </w:r>
    </w:p>
    <w:p w14:paraId="281A0812" w14:textId="77777777" w:rsidR="004647B9" w:rsidRPr="00734FE8" w:rsidRDefault="004647B9" w:rsidP="00C918B7">
      <w:pPr>
        <w:rPr>
          <w:rFonts w:eastAsia="Times New Roman"/>
          <w:sz w:val="24"/>
          <w:szCs w:val="24"/>
        </w:rPr>
      </w:pPr>
    </w:p>
    <w:p w14:paraId="281A0813" w14:textId="77777777" w:rsidR="004647B9" w:rsidRPr="00734FE8" w:rsidRDefault="00E2436F" w:rsidP="00C918B7">
      <w:pPr>
        <w:numPr>
          <w:ilvl w:val="0"/>
          <w:numId w:val="439"/>
        </w:numPr>
        <w:tabs>
          <w:tab w:val="left" w:pos="1768"/>
        </w:tabs>
        <w:ind w:left="1200"/>
        <w:jc w:val="both"/>
        <w:rPr>
          <w:rFonts w:eastAsia="Times New Roman"/>
          <w:sz w:val="24"/>
          <w:szCs w:val="24"/>
        </w:rPr>
      </w:pPr>
      <w:r w:rsidRPr="00734FE8">
        <w:rPr>
          <w:rFonts w:eastAsia="Times New Roman"/>
          <w:sz w:val="24"/>
          <w:szCs w:val="24"/>
          <w:u w:val="single"/>
        </w:rPr>
        <w:t>Treatment Facility and Distribution System Verification</w:t>
      </w:r>
      <w:r w:rsidRPr="00734FE8">
        <w:rPr>
          <w:rFonts w:eastAsia="Times New Roman"/>
          <w:sz w:val="24"/>
          <w:szCs w:val="24"/>
        </w:rPr>
        <w:t>. Before and after unstaffed operation periods, a Certified Operator must check and confirm the validity and accuracy of data transmitted between the location of any centralized water treatment operations and any Treatment Facility or Distribution System by verifying such data at the location of such Treatment Facility or Distribution System and must make entry in the Treatment Facility or Distribution System log of any malfunctions. Malfunctions shall be corrected prior to further unstaffed operation of the Treatment Facility or Distribution System.</w:t>
      </w:r>
    </w:p>
    <w:p w14:paraId="281A0814" w14:textId="77777777" w:rsidR="004647B9" w:rsidRPr="00734FE8" w:rsidRDefault="004647B9" w:rsidP="00C918B7">
      <w:pPr>
        <w:rPr>
          <w:sz w:val="24"/>
          <w:szCs w:val="24"/>
        </w:rPr>
      </w:pPr>
    </w:p>
    <w:p w14:paraId="281A0815" w14:textId="77777777" w:rsidR="004647B9" w:rsidRPr="00734FE8" w:rsidRDefault="00E2436F" w:rsidP="00C918B7">
      <w:pPr>
        <w:tabs>
          <w:tab w:val="left" w:pos="760"/>
        </w:tabs>
        <w:rPr>
          <w:sz w:val="24"/>
          <w:szCs w:val="24"/>
        </w:rPr>
      </w:pPr>
      <w:r w:rsidRPr="00734FE8">
        <w:rPr>
          <w:rFonts w:eastAsia="Times New Roman"/>
          <w:sz w:val="24"/>
          <w:szCs w:val="24"/>
          <w:u w:val="single"/>
        </w:rPr>
        <w:t>22.12:</w:t>
      </w:r>
      <w:r w:rsidRPr="00734FE8">
        <w:rPr>
          <w:sz w:val="24"/>
          <w:szCs w:val="24"/>
        </w:rPr>
        <w:tab/>
      </w:r>
      <w:r w:rsidRPr="00734FE8">
        <w:rPr>
          <w:rFonts w:eastAsia="Times New Roman"/>
          <w:sz w:val="24"/>
          <w:szCs w:val="24"/>
          <w:u w:val="single"/>
        </w:rPr>
        <w:t>Consecutive Public Water Systems</w:t>
      </w:r>
    </w:p>
    <w:p w14:paraId="281A0816" w14:textId="77777777" w:rsidR="004647B9" w:rsidRPr="00734FE8" w:rsidRDefault="004647B9" w:rsidP="00C918B7">
      <w:pPr>
        <w:rPr>
          <w:sz w:val="24"/>
          <w:szCs w:val="24"/>
        </w:rPr>
      </w:pPr>
    </w:p>
    <w:p w14:paraId="281A0817" w14:textId="77777777" w:rsidR="004647B9" w:rsidRPr="00734FE8" w:rsidRDefault="00E2436F" w:rsidP="00C918B7">
      <w:pPr>
        <w:numPr>
          <w:ilvl w:val="0"/>
          <w:numId w:val="440"/>
        </w:numPr>
        <w:tabs>
          <w:tab w:val="left" w:pos="1645"/>
        </w:tabs>
        <w:ind w:left="1200"/>
        <w:jc w:val="both"/>
        <w:rPr>
          <w:rFonts w:eastAsia="Times New Roman"/>
          <w:sz w:val="24"/>
          <w:szCs w:val="24"/>
        </w:rPr>
      </w:pPr>
      <w:r w:rsidRPr="00734FE8">
        <w:rPr>
          <w:rFonts w:eastAsia="Times New Roman"/>
          <w:sz w:val="24"/>
          <w:szCs w:val="24"/>
        </w:rPr>
        <w:t>When a public water system supplies water to one or more other consecutive public water systems, the Department may, based on a written request by the consecutive system, modify the monitoring requirements in 310 CMR 22.00 otherwise applicable to the consecutive system based on the extent that the interconnection of the system justifies treating them as a single system for monitoring purposes. Any modified monitoring shall be conducted pursuant to a written schedule approved by the Department.</w:t>
      </w:r>
    </w:p>
    <w:p w14:paraId="281A0818" w14:textId="77777777" w:rsidR="004647B9" w:rsidRPr="00734FE8" w:rsidRDefault="004647B9" w:rsidP="00C918B7">
      <w:pPr>
        <w:rPr>
          <w:rFonts w:eastAsia="Times New Roman"/>
          <w:sz w:val="24"/>
          <w:szCs w:val="24"/>
        </w:rPr>
      </w:pPr>
    </w:p>
    <w:p w14:paraId="281A0819" w14:textId="77777777" w:rsidR="004647B9" w:rsidRPr="00734FE8" w:rsidRDefault="00E2436F" w:rsidP="00C918B7">
      <w:pPr>
        <w:numPr>
          <w:ilvl w:val="0"/>
          <w:numId w:val="440"/>
        </w:numPr>
        <w:tabs>
          <w:tab w:val="left" w:pos="1638"/>
        </w:tabs>
        <w:ind w:left="1200"/>
        <w:jc w:val="both"/>
        <w:rPr>
          <w:rFonts w:eastAsia="Times New Roman"/>
          <w:sz w:val="24"/>
          <w:szCs w:val="24"/>
        </w:rPr>
      </w:pPr>
      <w:r w:rsidRPr="00734FE8">
        <w:rPr>
          <w:rFonts w:eastAsia="Times New Roman"/>
          <w:sz w:val="24"/>
          <w:szCs w:val="24"/>
        </w:rPr>
        <w:t>Any reduced monitoring plan approved by the Department pursuant to 310 CMR 22.12(1) will require a consecutive system to collect, at a minimum, the samples specified at 310 CMR 22.05, and monthly total coliform samples at each entry point to the distribution system.</w:t>
      </w:r>
    </w:p>
    <w:p w14:paraId="281A081A" w14:textId="77777777" w:rsidR="004647B9" w:rsidRPr="00734FE8" w:rsidRDefault="004647B9" w:rsidP="00C918B7">
      <w:pPr>
        <w:rPr>
          <w:sz w:val="24"/>
          <w:szCs w:val="24"/>
        </w:rPr>
      </w:pPr>
    </w:p>
    <w:p w14:paraId="281A081B" w14:textId="77777777" w:rsidR="004647B9" w:rsidRPr="00734FE8" w:rsidRDefault="00E2436F" w:rsidP="00C918B7">
      <w:pPr>
        <w:tabs>
          <w:tab w:val="left" w:pos="760"/>
        </w:tabs>
        <w:rPr>
          <w:sz w:val="24"/>
          <w:szCs w:val="24"/>
        </w:rPr>
      </w:pPr>
      <w:r w:rsidRPr="00734FE8">
        <w:rPr>
          <w:rFonts w:eastAsia="Times New Roman"/>
          <w:sz w:val="24"/>
          <w:szCs w:val="24"/>
          <w:u w:val="single"/>
        </w:rPr>
        <w:t>22.13:</w:t>
      </w:r>
      <w:r w:rsidRPr="00734FE8">
        <w:rPr>
          <w:rFonts w:eastAsia="Times New Roman"/>
          <w:sz w:val="24"/>
          <w:szCs w:val="24"/>
          <w:u w:val="single"/>
        </w:rPr>
        <w:tab/>
        <w:t>Variances</w:t>
      </w:r>
    </w:p>
    <w:p w14:paraId="281A081C" w14:textId="77777777" w:rsidR="004647B9" w:rsidRPr="00734FE8" w:rsidRDefault="004647B9" w:rsidP="00C918B7">
      <w:pPr>
        <w:rPr>
          <w:sz w:val="24"/>
          <w:szCs w:val="24"/>
        </w:rPr>
      </w:pPr>
    </w:p>
    <w:p w14:paraId="281A081D" w14:textId="77777777" w:rsidR="004647B9" w:rsidRDefault="00E2436F" w:rsidP="00C918B7">
      <w:pPr>
        <w:ind w:left="1200" w:firstLine="355"/>
        <w:jc w:val="both"/>
        <w:rPr>
          <w:sz w:val="20"/>
          <w:szCs w:val="20"/>
        </w:rPr>
      </w:pPr>
      <w:r w:rsidRPr="00734FE8">
        <w:rPr>
          <w:rFonts w:eastAsia="Times New Roman"/>
          <w:sz w:val="24"/>
          <w:szCs w:val="24"/>
        </w:rPr>
        <w:t>The Department upon receipt of an application from the Public Water System, may grant variances from the requirements of 310 CMR 22.05 through 22.09A, but only subject to the following conditions</w:t>
      </w:r>
      <w:r>
        <w:rPr>
          <w:rFonts w:eastAsia="Times New Roman"/>
          <w:sz w:val="24"/>
          <w:szCs w:val="24"/>
        </w:rPr>
        <w:t>:</w:t>
      </w:r>
    </w:p>
    <w:p w14:paraId="281A081E" w14:textId="77777777" w:rsidR="004647B9" w:rsidRDefault="004647B9" w:rsidP="00C918B7">
      <w:pPr>
        <w:sectPr w:rsidR="004647B9" w:rsidSect="00EF630C">
          <w:pgSz w:w="12240" w:h="20180"/>
          <w:pgMar w:top="708" w:right="1440" w:bottom="1085" w:left="600" w:header="0" w:footer="0" w:gutter="0"/>
          <w:cols w:space="720"/>
        </w:sectPr>
      </w:pPr>
    </w:p>
    <w:p w14:paraId="281A081F" w14:textId="77777777" w:rsidR="004647B9" w:rsidRDefault="00E2436F">
      <w:pPr>
        <w:tabs>
          <w:tab w:val="left" w:pos="160"/>
        </w:tabs>
        <w:jc w:val="center"/>
        <w:rPr>
          <w:sz w:val="20"/>
          <w:szCs w:val="20"/>
        </w:rPr>
      </w:pPr>
      <w:bookmarkStart w:id="167" w:name="page169"/>
      <w:bookmarkEnd w:id="16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820" w14:textId="77777777" w:rsidR="004647B9" w:rsidRDefault="004647B9" w:rsidP="00C918B7">
      <w:pPr>
        <w:rPr>
          <w:sz w:val="20"/>
          <w:szCs w:val="20"/>
        </w:rPr>
      </w:pPr>
    </w:p>
    <w:p w14:paraId="281A0821" w14:textId="77777777" w:rsidR="004647B9" w:rsidRDefault="004647B9" w:rsidP="00C918B7">
      <w:pPr>
        <w:rPr>
          <w:sz w:val="20"/>
          <w:szCs w:val="20"/>
        </w:rPr>
      </w:pPr>
    </w:p>
    <w:p w14:paraId="281A0822" w14:textId="77777777" w:rsidR="004647B9" w:rsidRPr="00C918B7" w:rsidRDefault="00E2436F" w:rsidP="00C918B7">
      <w:pPr>
        <w:tabs>
          <w:tab w:val="left" w:pos="760"/>
        </w:tabs>
        <w:rPr>
          <w:sz w:val="24"/>
          <w:szCs w:val="24"/>
        </w:rPr>
      </w:pPr>
      <w:r w:rsidRPr="00C918B7">
        <w:rPr>
          <w:rFonts w:eastAsia="Times New Roman"/>
          <w:sz w:val="24"/>
          <w:szCs w:val="24"/>
        </w:rPr>
        <w:t>22.13:</w:t>
      </w:r>
      <w:r w:rsidRPr="00C918B7">
        <w:rPr>
          <w:rFonts w:eastAsia="Times New Roman"/>
          <w:sz w:val="24"/>
          <w:szCs w:val="24"/>
        </w:rPr>
        <w:tab/>
        <w:t>continued</w:t>
      </w:r>
    </w:p>
    <w:p w14:paraId="281A0823" w14:textId="77777777" w:rsidR="004647B9" w:rsidRDefault="004647B9" w:rsidP="00C918B7">
      <w:pPr>
        <w:rPr>
          <w:sz w:val="20"/>
          <w:szCs w:val="20"/>
        </w:rPr>
      </w:pPr>
    </w:p>
    <w:p w14:paraId="281A0824" w14:textId="77777777" w:rsidR="004647B9" w:rsidRPr="00734FE8" w:rsidRDefault="00E2436F" w:rsidP="00C918B7">
      <w:pPr>
        <w:numPr>
          <w:ilvl w:val="0"/>
          <w:numId w:val="441"/>
        </w:numPr>
        <w:tabs>
          <w:tab w:val="left" w:pos="1660"/>
        </w:tabs>
        <w:ind w:left="1660" w:hanging="460"/>
        <w:rPr>
          <w:rFonts w:eastAsia="Times New Roman"/>
          <w:sz w:val="24"/>
          <w:szCs w:val="24"/>
        </w:rPr>
      </w:pPr>
      <w:r w:rsidRPr="00734FE8">
        <w:rPr>
          <w:rFonts w:eastAsia="Times New Roman"/>
          <w:sz w:val="24"/>
          <w:szCs w:val="24"/>
        </w:rPr>
        <w:t>The Department may grant one or more variances to one or more Public Water Systems:</w:t>
      </w:r>
    </w:p>
    <w:p w14:paraId="281A0826" w14:textId="77777777" w:rsidR="004647B9" w:rsidRPr="00734FE8" w:rsidRDefault="00E2436F" w:rsidP="00C918B7">
      <w:pPr>
        <w:numPr>
          <w:ilvl w:val="1"/>
          <w:numId w:val="441"/>
        </w:numPr>
        <w:tabs>
          <w:tab w:val="left" w:pos="2121"/>
        </w:tabs>
        <w:ind w:left="1560" w:hanging="5"/>
        <w:jc w:val="both"/>
        <w:rPr>
          <w:rFonts w:eastAsia="Times New Roman"/>
          <w:sz w:val="24"/>
          <w:szCs w:val="24"/>
        </w:rPr>
      </w:pPr>
      <w:r w:rsidRPr="00734FE8">
        <w:rPr>
          <w:rFonts w:eastAsia="Times New Roman"/>
          <w:sz w:val="24"/>
          <w:szCs w:val="24"/>
        </w:rPr>
        <w:t>which, because of characteristics of the raw water sources which are reasonably available to the system(s), cannot comply with a prescribed Maximum Contaminant Level or levels despite application of the best technology, Treatment Techniques, or other means, which the Department finds are generally available, taking costs into consideration. The Department shall not grant a variance pursuant to 310 CMR 22.13(1)(a) unless the Department finds in consultation with the Massachusetts Department of Public Health that the variance will not result in an unreasonable risk to health. If the Department grants a Public Water System a variance pursuant to 310 CMR 22.13(1)(a) the Department shall prescribe at the time the variance is granted, a compliance schedule for:</w:t>
      </w:r>
    </w:p>
    <w:p w14:paraId="27DACDA1" w14:textId="77777777" w:rsidR="00C918B7" w:rsidRDefault="00E2436F" w:rsidP="00C918B7">
      <w:pPr>
        <w:numPr>
          <w:ilvl w:val="2"/>
          <w:numId w:val="441"/>
        </w:numPr>
        <w:tabs>
          <w:tab w:val="left" w:pos="2280"/>
        </w:tabs>
        <w:ind w:left="2280" w:hanging="365"/>
        <w:jc w:val="both"/>
        <w:rPr>
          <w:rFonts w:eastAsia="Times New Roman"/>
          <w:sz w:val="24"/>
          <w:szCs w:val="24"/>
        </w:rPr>
      </w:pPr>
      <w:r w:rsidRPr="00734FE8">
        <w:rPr>
          <w:rFonts w:eastAsia="Times New Roman"/>
          <w:sz w:val="24"/>
          <w:szCs w:val="24"/>
        </w:rPr>
        <w:t>a. Compliance, within the shortest practicable time feasible under the circumstances but not to exceed five years, except as provided in 310 CMR 22.13(1)(a)2., including increments of progress by the Public Water System with each Maximum Contaminant Level requirement with respect to which the variance was granted; and</w:t>
      </w:r>
    </w:p>
    <w:p w14:paraId="281A0828" w14:textId="28EFAFC5" w:rsidR="004647B9" w:rsidRPr="00734FE8" w:rsidRDefault="00E2436F" w:rsidP="0018322E">
      <w:pPr>
        <w:tabs>
          <w:tab w:val="left" w:pos="2280"/>
        </w:tabs>
        <w:ind w:left="2275"/>
        <w:jc w:val="both"/>
        <w:rPr>
          <w:rFonts w:eastAsia="Times New Roman"/>
          <w:sz w:val="24"/>
          <w:szCs w:val="24"/>
        </w:rPr>
      </w:pPr>
      <w:r w:rsidRPr="00734FE8">
        <w:rPr>
          <w:rFonts w:eastAsia="Times New Roman"/>
          <w:sz w:val="24"/>
          <w:szCs w:val="24"/>
        </w:rPr>
        <w:t>b. Implementation by the Public Water System of such control measures as the Department may require for each contaminant, that is subject to the Maximum Contaminant Level requirement, during the period ending on the date compliance with such requirement is required.</w:t>
      </w:r>
    </w:p>
    <w:p w14:paraId="281A082A" w14:textId="77777777" w:rsidR="004647B9" w:rsidRPr="00734FE8" w:rsidRDefault="00E2436F" w:rsidP="00C918B7">
      <w:pPr>
        <w:numPr>
          <w:ilvl w:val="2"/>
          <w:numId w:val="441"/>
        </w:numPr>
        <w:tabs>
          <w:tab w:val="left" w:pos="2316"/>
        </w:tabs>
        <w:ind w:left="1920" w:hanging="5"/>
        <w:jc w:val="both"/>
        <w:rPr>
          <w:rFonts w:eastAsia="Times New Roman"/>
          <w:sz w:val="24"/>
          <w:szCs w:val="24"/>
        </w:rPr>
      </w:pPr>
      <w:r w:rsidRPr="00734FE8">
        <w:rPr>
          <w:rFonts w:eastAsia="Times New Roman"/>
          <w:sz w:val="24"/>
          <w:szCs w:val="24"/>
        </w:rPr>
        <w:t>If the compliance schedule exceeds five years from the date of issuance, then the public notice issued pursuant to 310 CMR 22.13(2) shall include a discussion of the rationale for the extension. In no event shall any compliance schedule exceed the shortest practicable time schedule feasible under the circumstances.</w:t>
      </w:r>
    </w:p>
    <w:p w14:paraId="281A082C" w14:textId="77777777" w:rsidR="004647B9" w:rsidRPr="00734FE8" w:rsidRDefault="00E2436F" w:rsidP="00C918B7">
      <w:pPr>
        <w:numPr>
          <w:ilvl w:val="1"/>
          <w:numId w:val="441"/>
        </w:numPr>
        <w:tabs>
          <w:tab w:val="left" w:pos="1998"/>
        </w:tabs>
        <w:ind w:left="1560" w:hanging="5"/>
        <w:jc w:val="both"/>
        <w:rPr>
          <w:rFonts w:eastAsia="Times New Roman"/>
          <w:sz w:val="24"/>
          <w:szCs w:val="24"/>
        </w:rPr>
      </w:pPr>
      <w:r w:rsidRPr="00734FE8">
        <w:rPr>
          <w:rFonts w:eastAsia="Times New Roman"/>
          <w:sz w:val="24"/>
          <w:szCs w:val="24"/>
        </w:rPr>
        <w:t>from any provision of 310 CMR 22.13 which requires the use of a specified Treatment Technique with respect to a contaminant if the Public Water System applying for the variance demonstrates to the Department's satisfaction that such Treatment Technique is not necessary to protect the health of Persons because of the nature of the raw water source of such system. A variance granted pursuant to 310 CMR 22.13(1)(b) shall be conditioned on such monitoring and other requirements as the Department may prescribe.</w:t>
      </w:r>
    </w:p>
    <w:p w14:paraId="281A082D" w14:textId="77777777" w:rsidR="004647B9" w:rsidRPr="00734FE8" w:rsidRDefault="004647B9" w:rsidP="00C918B7">
      <w:pPr>
        <w:rPr>
          <w:rFonts w:eastAsia="Times New Roman"/>
          <w:sz w:val="24"/>
          <w:szCs w:val="24"/>
        </w:rPr>
      </w:pPr>
    </w:p>
    <w:p w14:paraId="281A082E" w14:textId="77777777" w:rsidR="004647B9" w:rsidRPr="00734FE8" w:rsidRDefault="00E2436F" w:rsidP="0018322E">
      <w:pPr>
        <w:numPr>
          <w:ilvl w:val="0"/>
          <w:numId w:val="441"/>
        </w:numPr>
        <w:tabs>
          <w:tab w:val="left" w:pos="1710"/>
        </w:tabs>
        <w:ind w:left="1200"/>
        <w:jc w:val="both"/>
        <w:rPr>
          <w:rFonts w:eastAsia="Times New Roman"/>
          <w:sz w:val="24"/>
          <w:szCs w:val="24"/>
        </w:rPr>
      </w:pPr>
      <w:r w:rsidRPr="00734FE8">
        <w:rPr>
          <w:rFonts w:eastAsia="Times New Roman"/>
          <w:sz w:val="24"/>
          <w:szCs w:val="24"/>
        </w:rPr>
        <w:t>Before the Department grants any variance, or prescribes any schedule pursuant to any variance, the Department shall give notice and opportunity for public hearing to the public, to the Massachusetts Department of Public Health, and to the Agency. A notice given pursuant to 310 CMR 22.13(2) may cover the granting of more than one variance or the prescribing of more than one schedule, and a hearing held pursuant to such notice shall include each of the variances and schedules covered by the notice.</w:t>
      </w:r>
    </w:p>
    <w:p w14:paraId="281A082F" w14:textId="77777777" w:rsidR="004647B9" w:rsidRDefault="004647B9" w:rsidP="0018322E">
      <w:pPr>
        <w:rPr>
          <w:rFonts w:eastAsia="Times New Roman"/>
          <w:sz w:val="24"/>
          <w:szCs w:val="24"/>
        </w:rPr>
      </w:pPr>
    </w:p>
    <w:p w14:paraId="281A0830" w14:textId="77777777" w:rsidR="004647B9" w:rsidRDefault="00E2436F" w:rsidP="0018322E">
      <w:pPr>
        <w:numPr>
          <w:ilvl w:val="0"/>
          <w:numId w:val="441"/>
        </w:numPr>
        <w:tabs>
          <w:tab w:val="left" w:pos="1696"/>
        </w:tabs>
        <w:ind w:left="1200"/>
        <w:rPr>
          <w:rFonts w:eastAsia="Times New Roman"/>
          <w:sz w:val="24"/>
          <w:szCs w:val="24"/>
        </w:rPr>
      </w:pPr>
      <w:r>
        <w:rPr>
          <w:rFonts w:eastAsia="Times New Roman"/>
          <w:sz w:val="24"/>
          <w:szCs w:val="24"/>
        </w:rPr>
        <w:t>The Department shall not accept any application for a variance unless the Public Water System applying for the variance agrees in writing to all of the following:</w:t>
      </w:r>
    </w:p>
    <w:p w14:paraId="281A0832" w14:textId="77777777" w:rsidR="004647B9" w:rsidRDefault="00E2436F" w:rsidP="0018322E">
      <w:pPr>
        <w:numPr>
          <w:ilvl w:val="1"/>
          <w:numId w:val="441"/>
        </w:numPr>
        <w:tabs>
          <w:tab w:val="left" w:pos="2000"/>
        </w:tabs>
        <w:ind w:left="2000" w:hanging="445"/>
        <w:rPr>
          <w:rFonts w:eastAsia="Times New Roman"/>
          <w:sz w:val="24"/>
          <w:szCs w:val="24"/>
        </w:rPr>
      </w:pPr>
      <w:r>
        <w:rPr>
          <w:rFonts w:eastAsia="Times New Roman"/>
          <w:sz w:val="24"/>
          <w:szCs w:val="24"/>
        </w:rPr>
        <w:t>Pay in full the cost of all notices and hearings required by 310 CMR 22.13(2);</w:t>
      </w:r>
    </w:p>
    <w:p w14:paraId="281A0834" w14:textId="77777777" w:rsidR="004647B9" w:rsidRDefault="00E2436F" w:rsidP="0018322E">
      <w:pPr>
        <w:numPr>
          <w:ilvl w:val="1"/>
          <w:numId w:val="441"/>
        </w:numPr>
        <w:tabs>
          <w:tab w:val="left" w:pos="1956"/>
        </w:tabs>
        <w:ind w:left="1560" w:hanging="5"/>
        <w:rPr>
          <w:rFonts w:eastAsia="Times New Roman"/>
          <w:sz w:val="24"/>
          <w:szCs w:val="24"/>
        </w:rPr>
      </w:pPr>
      <w:r>
        <w:rPr>
          <w:rFonts w:eastAsia="Times New Roman"/>
          <w:sz w:val="24"/>
          <w:szCs w:val="24"/>
        </w:rPr>
        <w:t>Comply with any schedule prescribed pursuant to 310 CMR 22.13(1)(a) as expeditiously as possible;</w:t>
      </w:r>
    </w:p>
    <w:p w14:paraId="281A0836" w14:textId="77777777" w:rsidR="004647B9" w:rsidRDefault="00E2436F" w:rsidP="0018322E">
      <w:pPr>
        <w:numPr>
          <w:ilvl w:val="1"/>
          <w:numId w:val="441"/>
        </w:numPr>
        <w:tabs>
          <w:tab w:val="left" w:pos="2052"/>
        </w:tabs>
        <w:ind w:left="1560" w:hanging="5"/>
        <w:rPr>
          <w:rFonts w:eastAsia="Times New Roman"/>
          <w:sz w:val="24"/>
          <w:szCs w:val="24"/>
        </w:rPr>
      </w:pPr>
      <w:r>
        <w:rPr>
          <w:rFonts w:eastAsia="Times New Roman"/>
          <w:sz w:val="24"/>
          <w:szCs w:val="24"/>
        </w:rPr>
        <w:t>Comply with any monitoring or other requirement prescribed pursuant to 310 CMR 22.13(1)(b);</w:t>
      </w:r>
    </w:p>
    <w:p w14:paraId="281A0838" w14:textId="77777777" w:rsidR="004647B9" w:rsidRDefault="00E2436F" w:rsidP="0018322E">
      <w:pPr>
        <w:numPr>
          <w:ilvl w:val="1"/>
          <w:numId w:val="441"/>
        </w:numPr>
        <w:tabs>
          <w:tab w:val="left" w:pos="2026"/>
        </w:tabs>
        <w:ind w:left="1560" w:hanging="5"/>
        <w:jc w:val="both"/>
        <w:rPr>
          <w:rFonts w:eastAsia="Times New Roman"/>
          <w:sz w:val="24"/>
          <w:szCs w:val="24"/>
        </w:rPr>
      </w:pPr>
      <w:r>
        <w:rPr>
          <w:rFonts w:eastAsia="Times New Roman"/>
          <w:sz w:val="24"/>
          <w:szCs w:val="24"/>
        </w:rPr>
        <w:t>Report to the Department, in the manner prescribed in 310 CMR 22.15, the results of all tests, measurements and analyses made in compliance with the variance, and with the schedule and/or monitoring requirements prescribed pursuant to the variance;</w:t>
      </w:r>
    </w:p>
    <w:p w14:paraId="281A083A" w14:textId="77777777" w:rsidR="004647B9" w:rsidRDefault="00E2436F" w:rsidP="0018322E">
      <w:pPr>
        <w:numPr>
          <w:ilvl w:val="1"/>
          <w:numId w:val="441"/>
        </w:numPr>
        <w:tabs>
          <w:tab w:val="left" w:pos="2006"/>
        </w:tabs>
        <w:ind w:left="1560" w:hanging="5"/>
        <w:jc w:val="both"/>
        <w:rPr>
          <w:rFonts w:eastAsia="Times New Roman"/>
          <w:sz w:val="24"/>
          <w:szCs w:val="24"/>
        </w:rPr>
      </w:pPr>
      <w:r>
        <w:rPr>
          <w:rFonts w:eastAsia="Times New Roman"/>
          <w:sz w:val="24"/>
          <w:szCs w:val="24"/>
        </w:rPr>
        <w:t>Report to the Department, in the manner prescribed in 310 CMR 22.15, any failure to comply with the terms of the variance, or with the schedule and/or monitoring requirements prescribed pursuant to the variance;</w:t>
      </w:r>
    </w:p>
    <w:p w14:paraId="281A083C" w14:textId="77777777" w:rsidR="004647B9" w:rsidRDefault="00E2436F" w:rsidP="0018322E">
      <w:pPr>
        <w:numPr>
          <w:ilvl w:val="1"/>
          <w:numId w:val="441"/>
        </w:numPr>
        <w:tabs>
          <w:tab w:val="left" w:pos="1999"/>
        </w:tabs>
        <w:ind w:left="1560" w:hanging="5"/>
        <w:rPr>
          <w:rFonts w:eastAsia="Times New Roman"/>
          <w:sz w:val="24"/>
          <w:szCs w:val="24"/>
        </w:rPr>
      </w:pPr>
      <w:r>
        <w:rPr>
          <w:rFonts w:eastAsia="Times New Roman"/>
          <w:sz w:val="24"/>
          <w:szCs w:val="24"/>
        </w:rPr>
        <w:t>Notify the public, in the manner prescribed in 310 CMR 22.16 of the granting of the variance;</w:t>
      </w:r>
    </w:p>
    <w:p w14:paraId="281A083E" w14:textId="77777777" w:rsidR="004647B9" w:rsidRDefault="00E2436F" w:rsidP="0018322E">
      <w:pPr>
        <w:numPr>
          <w:ilvl w:val="1"/>
          <w:numId w:val="441"/>
        </w:numPr>
        <w:tabs>
          <w:tab w:val="left" w:pos="1989"/>
        </w:tabs>
        <w:ind w:left="1560" w:hanging="5"/>
        <w:jc w:val="both"/>
        <w:rPr>
          <w:rFonts w:eastAsia="Times New Roman"/>
          <w:sz w:val="24"/>
          <w:szCs w:val="24"/>
        </w:rPr>
      </w:pPr>
      <w:r>
        <w:rPr>
          <w:rFonts w:eastAsia="Times New Roman"/>
          <w:sz w:val="24"/>
          <w:szCs w:val="24"/>
        </w:rPr>
        <w:t>Notify the public, in the manner prescribed in 310 CMR 22.16 of any failure to comply with the variance or with any requirement of any schedule or monitoring requirement prescribed pursuant to the variance; and</w:t>
      </w:r>
    </w:p>
    <w:p w14:paraId="281A0840" w14:textId="77777777" w:rsidR="004647B9" w:rsidRDefault="00E2436F" w:rsidP="0018322E">
      <w:pPr>
        <w:numPr>
          <w:ilvl w:val="1"/>
          <w:numId w:val="441"/>
        </w:numPr>
        <w:tabs>
          <w:tab w:val="left" w:pos="2020"/>
        </w:tabs>
        <w:ind w:left="2020" w:hanging="465"/>
        <w:rPr>
          <w:rFonts w:eastAsia="Times New Roman"/>
          <w:sz w:val="24"/>
          <w:szCs w:val="24"/>
        </w:rPr>
      </w:pPr>
      <w:r>
        <w:rPr>
          <w:rFonts w:eastAsia="Times New Roman"/>
          <w:sz w:val="24"/>
          <w:szCs w:val="24"/>
        </w:rPr>
        <w:t>Maintain all the records prescribed in 310 CMR 22.17 in the manner prescribed;</w:t>
      </w:r>
    </w:p>
    <w:p w14:paraId="281A0842" w14:textId="77777777" w:rsidR="004647B9" w:rsidRDefault="00E2436F" w:rsidP="0018322E">
      <w:pPr>
        <w:numPr>
          <w:ilvl w:val="1"/>
          <w:numId w:val="441"/>
        </w:numPr>
        <w:tabs>
          <w:tab w:val="left" w:pos="1946"/>
        </w:tabs>
        <w:ind w:left="1560" w:hanging="5"/>
        <w:rPr>
          <w:rFonts w:eastAsia="Times New Roman"/>
          <w:sz w:val="24"/>
          <w:szCs w:val="24"/>
        </w:rPr>
      </w:pPr>
      <w:r>
        <w:rPr>
          <w:rFonts w:eastAsia="Times New Roman"/>
          <w:sz w:val="24"/>
          <w:szCs w:val="24"/>
        </w:rPr>
        <w:t>The system has the technical, managerial, and financial capacity to adhere to 310 CMR 22.04(3), as determined by the Department.</w:t>
      </w:r>
    </w:p>
    <w:p w14:paraId="281A0843" w14:textId="77777777" w:rsidR="004647B9" w:rsidRDefault="004647B9" w:rsidP="00C918B7">
      <w:pPr>
        <w:sectPr w:rsidR="004647B9" w:rsidSect="00EF630C">
          <w:pgSz w:w="12240" w:h="20180"/>
          <w:pgMar w:top="708" w:right="1440" w:bottom="1440" w:left="600" w:header="0" w:footer="0" w:gutter="0"/>
          <w:cols w:space="720"/>
        </w:sectPr>
      </w:pPr>
    </w:p>
    <w:p w14:paraId="281A0844" w14:textId="77777777" w:rsidR="004647B9" w:rsidRDefault="00E2436F">
      <w:pPr>
        <w:tabs>
          <w:tab w:val="left" w:pos="160"/>
        </w:tabs>
        <w:jc w:val="center"/>
        <w:rPr>
          <w:sz w:val="20"/>
          <w:szCs w:val="20"/>
        </w:rPr>
      </w:pPr>
      <w:bookmarkStart w:id="168" w:name="page170"/>
      <w:bookmarkEnd w:id="16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845" w14:textId="77777777" w:rsidR="004647B9" w:rsidRDefault="004647B9" w:rsidP="0018322E">
      <w:pPr>
        <w:rPr>
          <w:sz w:val="20"/>
          <w:szCs w:val="20"/>
        </w:rPr>
      </w:pPr>
    </w:p>
    <w:p w14:paraId="281A0846" w14:textId="77777777" w:rsidR="004647B9" w:rsidRDefault="004647B9" w:rsidP="0018322E">
      <w:pPr>
        <w:rPr>
          <w:sz w:val="20"/>
          <w:szCs w:val="20"/>
        </w:rPr>
      </w:pPr>
    </w:p>
    <w:p w14:paraId="281A0847" w14:textId="77777777" w:rsidR="004647B9" w:rsidRPr="0018322E" w:rsidRDefault="00E2436F" w:rsidP="0018322E">
      <w:pPr>
        <w:tabs>
          <w:tab w:val="left" w:pos="760"/>
        </w:tabs>
        <w:rPr>
          <w:sz w:val="24"/>
          <w:szCs w:val="24"/>
        </w:rPr>
      </w:pPr>
      <w:r w:rsidRPr="0018322E">
        <w:rPr>
          <w:rFonts w:eastAsia="Times New Roman"/>
          <w:sz w:val="24"/>
          <w:szCs w:val="24"/>
        </w:rPr>
        <w:t>22.13:</w:t>
      </w:r>
      <w:r w:rsidRPr="0018322E">
        <w:rPr>
          <w:rFonts w:eastAsia="Times New Roman"/>
          <w:sz w:val="24"/>
          <w:szCs w:val="24"/>
        </w:rPr>
        <w:tab/>
        <w:t>continued</w:t>
      </w:r>
    </w:p>
    <w:p w14:paraId="281A0848" w14:textId="77777777" w:rsidR="004647B9" w:rsidRDefault="004647B9" w:rsidP="0018322E">
      <w:pPr>
        <w:rPr>
          <w:sz w:val="20"/>
          <w:szCs w:val="20"/>
        </w:rPr>
      </w:pPr>
    </w:p>
    <w:p w14:paraId="281A0849" w14:textId="77777777" w:rsidR="004647B9" w:rsidRDefault="00E2436F" w:rsidP="0018322E">
      <w:pPr>
        <w:numPr>
          <w:ilvl w:val="0"/>
          <w:numId w:val="442"/>
        </w:numPr>
        <w:tabs>
          <w:tab w:val="left" w:pos="1656"/>
        </w:tabs>
        <w:ind w:left="1195"/>
        <w:jc w:val="both"/>
        <w:rPr>
          <w:rFonts w:eastAsia="Times New Roman"/>
          <w:sz w:val="24"/>
          <w:szCs w:val="24"/>
        </w:rPr>
      </w:pPr>
      <w:r>
        <w:rPr>
          <w:rFonts w:eastAsia="Times New Roman"/>
          <w:sz w:val="24"/>
          <w:szCs w:val="24"/>
        </w:rPr>
        <w:t>Every variance issued by the Department shall be conditioned on compliance by the Public Water System with the requirements set forth in 310 CMR 22.13(3)(a) through (h). Said requirements shall have the same force and effect they would have if specifically set forth in 310 CMR 22.00.</w:t>
      </w:r>
    </w:p>
    <w:p w14:paraId="281A084A" w14:textId="77777777" w:rsidR="004647B9" w:rsidRDefault="004647B9" w:rsidP="0018322E">
      <w:pPr>
        <w:rPr>
          <w:rFonts w:eastAsia="Times New Roman"/>
          <w:sz w:val="24"/>
          <w:szCs w:val="24"/>
        </w:rPr>
      </w:pPr>
    </w:p>
    <w:p w14:paraId="281A084B" w14:textId="77777777" w:rsidR="004647B9" w:rsidRDefault="00E2436F" w:rsidP="0018322E">
      <w:pPr>
        <w:numPr>
          <w:ilvl w:val="0"/>
          <w:numId w:val="442"/>
        </w:numPr>
        <w:tabs>
          <w:tab w:val="left" w:pos="1656"/>
        </w:tabs>
        <w:ind w:left="1195"/>
        <w:jc w:val="both"/>
        <w:rPr>
          <w:rFonts w:eastAsia="Times New Roman"/>
          <w:sz w:val="24"/>
          <w:szCs w:val="24"/>
        </w:rPr>
      </w:pPr>
      <w:r>
        <w:rPr>
          <w:rFonts w:eastAsia="Times New Roman"/>
          <w:sz w:val="24"/>
          <w:szCs w:val="24"/>
        </w:rPr>
        <w:t>The Department shall promptly report to the Administrator or to the Administrator's designee, every variance granted by the Department. Such notification shall contain all of the following:</w:t>
      </w:r>
    </w:p>
    <w:p w14:paraId="281A084C" w14:textId="77777777" w:rsidR="004647B9" w:rsidRDefault="00E2436F" w:rsidP="0018322E">
      <w:pPr>
        <w:numPr>
          <w:ilvl w:val="1"/>
          <w:numId w:val="442"/>
        </w:numPr>
        <w:tabs>
          <w:tab w:val="left" w:pos="2000"/>
        </w:tabs>
        <w:ind w:left="2000" w:hanging="445"/>
        <w:rPr>
          <w:rFonts w:eastAsia="Times New Roman"/>
          <w:sz w:val="24"/>
          <w:szCs w:val="24"/>
        </w:rPr>
      </w:pPr>
      <w:r>
        <w:rPr>
          <w:rFonts w:eastAsia="Times New Roman"/>
          <w:sz w:val="24"/>
          <w:szCs w:val="24"/>
        </w:rPr>
        <w:t>The reason for the variance;</w:t>
      </w:r>
    </w:p>
    <w:p w14:paraId="281A084E" w14:textId="77777777" w:rsidR="004647B9" w:rsidRDefault="00E2436F" w:rsidP="0018322E">
      <w:pPr>
        <w:numPr>
          <w:ilvl w:val="1"/>
          <w:numId w:val="442"/>
        </w:numPr>
        <w:tabs>
          <w:tab w:val="left" w:pos="2023"/>
        </w:tabs>
        <w:ind w:left="1560" w:hanging="5"/>
        <w:jc w:val="both"/>
        <w:rPr>
          <w:rFonts w:eastAsia="Times New Roman"/>
          <w:sz w:val="24"/>
          <w:szCs w:val="24"/>
        </w:rPr>
      </w:pPr>
      <w:r>
        <w:rPr>
          <w:rFonts w:eastAsia="Times New Roman"/>
          <w:sz w:val="24"/>
          <w:szCs w:val="24"/>
        </w:rPr>
        <w:t>The basis for the Department's finding that the granting of the variance will not result in an unreasonable risk to health, in those cases where the Department must make such a finding before granting a variance; and</w:t>
      </w:r>
    </w:p>
    <w:p w14:paraId="281A0850" w14:textId="77777777" w:rsidR="004647B9" w:rsidRDefault="00E2436F" w:rsidP="0018322E">
      <w:pPr>
        <w:numPr>
          <w:ilvl w:val="1"/>
          <w:numId w:val="442"/>
        </w:numPr>
        <w:tabs>
          <w:tab w:val="left" w:pos="2000"/>
        </w:tabs>
        <w:ind w:left="2000" w:hanging="445"/>
        <w:rPr>
          <w:rFonts w:eastAsia="Times New Roman"/>
          <w:sz w:val="24"/>
          <w:szCs w:val="24"/>
        </w:rPr>
      </w:pPr>
      <w:r>
        <w:rPr>
          <w:rFonts w:eastAsia="Times New Roman"/>
          <w:sz w:val="24"/>
          <w:szCs w:val="24"/>
        </w:rPr>
        <w:t>Documentation of the need for the variance.</w:t>
      </w:r>
    </w:p>
    <w:p w14:paraId="281A0851" w14:textId="77777777" w:rsidR="004647B9" w:rsidRDefault="004647B9" w:rsidP="0018322E">
      <w:pPr>
        <w:rPr>
          <w:rFonts w:eastAsia="Times New Roman"/>
          <w:sz w:val="24"/>
          <w:szCs w:val="24"/>
        </w:rPr>
      </w:pPr>
    </w:p>
    <w:p w14:paraId="281A0852" w14:textId="77777777" w:rsidR="004647B9" w:rsidRDefault="00E2436F" w:rsidP="0018322E">
      <w:pPr>
        <w:numPr>
          <w:ilvl w:val="0"/>
          <w:numId w:val="442"/>
        </w:numPr>
        <w:tabs>
          <w:tab w:val="left" w:pos="1660"/>
        </w:tabs>
        <w:ind w:left="1195"/>
        <w:rPr>
          <w:rFonts w:eastAsia="Times New Roman"/>
          <w:sz w:val="24"/>
          <w:szCs w:val="24"/>
        </w:rPr>
      </w:pPr>
      <w:r>
        <w:rPr>
          <w:rFonts w:eastAsia="Times New Roman"/>
          <w:sz w:val="24"/>
          <w:szCs w:val="24"/>
        </w:rPr>
        <w:t>All applications for variances shall be made on forms prescribed by the Department.</w:t>
      </w:r>
    </w:p>
    <w:p w14:paraId="281A0853" w14:textId="77777777" w:rsidR="004647B9" w:rsidRDefault="004647B9" w:rsidP="0018322E">
      <w:pPr>
        <w:rPr>
          <w:rFonts w:eastAsia="Times New Roman"/>
          <w:sz w:val="24"/>
          <w:szCs w:val="24"/>
        </w:rPr>
      </w:pPr>
    </w:p>
    <w:p w14:paraId="281A0854" w14:textId="77777777" w:rsidR="004647B9" w:rsidRDefault="00E2436F" w:rsidP="0018322E">
      <w:pPr>
        <w:numPr>
          <w:ilvl w:val="0"/>
          <w:numId w:val="442"/>
        </w:numPr>
        <w:tabs>
          <w:tab w:val="left" w:pos="1660"/>
        </w:tabs>
        <w:ind w:left="1195"/>
        <w:rPr>
          <w:rFonts w:eastAsia="Times New Roman"/>
          <w:sz w:val="24"/>
          <w:szCs w:val="24"/>
        </w:rPr>
      </w:pPr>
      <w:r>
        <w:rPr>
          <w:rFonts w:eastAsia="Times New Roman"/>
          <w:sz w:val="24"/>
          <w:szCs w:val="24"/>
          <w:u w:val="single"/>
        </w:rPr>
        <w:t>Best Available Technologies (BATs)</w:t>
      </w:r>
      <w:r>
        <w:rPr>
          <w:rFonts w:eastAsia="Times New Roman"/>
          <w:sz w:val="24"/>
          <w:szCs w:val="24"/>
        </w:rPr>
        <w:t>.</w:t>
      </w:r>
    </w:p>
    <w:p w14:paraId="281A0856" w14:textId="77777777" w:rsidR="004647B9" w:rsidRDefault="00E2436F" w:rsidP="0018322E">
      <w:pPr>
        <w:numPr>
          <w:ilvl w:val="1"/>
          <w:numId w:val="442"/>
        </w:numPr>
        <w:tabs>
          <w:tab w:val="left" w:pos="2128"/>
        </w:tabs>
        <w:ind w:left="1560" w:hanging="5"/>
        <w:jc w:val="both"/>
        <w:rPr>
          <w:rFonts w:eastAsia="Times New Roman"/>
          <w:sz w:val="24"/>
          <w:szCs w:val="24"/>
        </w:rPr>
      </w:pPr>
      <w:r>
        <w:rPr>
          <w:rFonts w:eastAsia="Times New Roman"/>
          <w:sz w:val="24"/>
          <w:szCs w:val="24"/>
          <w:u w:val="single"/>
        </w:rPr>
        <w:t>BATs for Organic Compounds</w:t>
      </w:r>
      <w:r>
        <w:rPr>
          <w:rFonts w:eastAsia="Times New Roman"/>
          <w:sz w:val="24"/>
          <w:szCs w:val="24"/>
        </w:rPr>
        <w:t>. The following technologies listed in 310 CMR 22.13(7)(a)1. through 54. are identified by the EPA Administrator, pursuant to the federal Safe Drinking Water Act, § 1415(a) (1)(A), (effective August 6, 1996) as the best technology, Treatment Techniques, or other means available for achieving compliance with the Maximum Contaminant Levels for organic chemicals as listed in 310 CMR 22.07A(1) and 22.07B(1).</w:t>
      </w:r>
    </w:p>
    <w:p w14:paraId="281A0857" w14:textId="77777777" w:rsidR="004647B9" w:rsidRDefault="004647B9" w:rsidP="0018322E">
      <w:pPr>
        <w:sectPr w:rsidR="004647B9" w:rsidSect="00EF630C">
          <w:pgSz w:w="12240" w:h="20180"/>
          <w:pgMar w:top="708" w:right="1440" w:bottom="1440" w:left="600" w:header="0" w:footer="0" w:gutter="0"/>
          <w:cols w:space="720"/>
        </w:sectPr>
      </w:pPr>
    </w:p>
    <w:p w14:paraId="281A0858" w14:textId="77777777" w:rsidR="004647B9" w:rsidRDefault="00E2436F">
      <w:pPr>
        <w:tabs>
          <w:tab w:val="left" w:pos="160"/>
        </w:tabs>
        <w:jc w:val="center"/>
        <w:rPr>
          <w:sz w:val="20"/>
          <w:szCs w:val="20"/>
        </w:rPr>
      </w:pPr>
      <w:bookmarkStart w:id="169" w:name="page171"/>
      <w:bookmarkEnd w:id="16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859" w14:textId="42D2F934" w:rsidR="004647B9" w:rsidRDefault="004647B9" w:rsidP="0018322E">
      <w:pPr>
        <w:rPr>
          <w:sz w:val="20"/>
          <w:szCs w:val="20"/>
        </w:rPr>
      </w:pPr>
    </w:p>
    <w:p w14:paraId="361AC3E3" w14:textId="77777777" w:rsidR="0018322E" w:rsidRDefault="0018322E" w:rsidP="0018322E">
      <w:pPr>
        <w:rPr>
          <w:sz w:val="20"/>
          <w:szCs w:val="20"/>
        </w:rPr>
      </w:pPr>
    </w:p>
    <w:p w14:paraId="32AF0C52" w14:textId="6F0C01D1" w:rsidR="00624F5B" w:rsidRPr="0018322E" w:rsidRDefault="00624F5B" w:rsidP="0018322E">
      <w:pPr>
        <w:rPr>
          <w:sz w:val="24"/>
          <w:szCs w:val="24"/>
        </w:rPr>
      </w:pPr>
      <w:r w:rsidRPr="0018322E">
        <w:rPr>
          <w:rFonts w:eastAsia="Times New Roman"/>
          <w:sz w:val="24"/>
          <w:szCs w:val="24"/>
        </w:rPr>
        <w:t>22.13:</w:t>
      </w:r>
      <w:r w:rsidRPr="0018322E">
        <w:rPr>
          <w:rFonts w:eastAsia="Times New Roman"/>
          <w:sz w:val="24"/>
          <w:szCs w:val="24"/>
        </w:rPr>
        <w:tab/>
        <w:t>continued</w:t>
      </w:r>
    </w:p>
    <w:p w14:paraId="281A085A" w14:textId="77777777" w:rsidR="004647B9" w:rsidRDefault="004647B9" w:rsidP="0018322E">
      <w:pPr>
        <w:rPr>
          <w:sz w:val="20"/>
          <w:szCs w:val="20"/>
        </w:rPr>
      </w:pPr>
    </w:p>
    <w:tbl>
      <w:tblPr>
        <w:tblW w:w="0" w:type="auto"/>
        <w:tblLayout w:type="fixed"/>
        <w:tblCellMar>
          <w:left w:w="0" w:type="dxa"/>
          <w:right w:w="0" w:type="dxa"/>
        </w:tblCellMar>
        <w:tblLook w:val="04A0" w:firstRow="1" w:lastRow="0" w:firstColumn="1" w:lastColumn="0" w:noHBand="0" w:noVBand="1"/>
      </w:tblPr>
      <w:tblGrid>
        <w:gridCol w:w="4740"/>
        <w:gridCol w:w="1480"/>
        <w:gridCol w:w="1480"/>
        <w:gridCol w:w="420"/>
      </w:tblGrid>
      <w:tr w:rsidR="00624F5B" w:rsidRPr="009C4F0B" w14:paraId="281A086E" w14:textId="77777777" w:rsidTr="00047D48">
        <w:trPr>
          <w:trHeight w:val="288"/>
        </w:trPr>
        <w:tc>
          <w:tcPr>
            <w:tcW w:w="8120" w:type="dxa"/>
            <w:gridSpan w:val="4"/>
            <w:vAlign w:val="center"/>
          </w:tcPr>
          <w:p w14:paraId="281A086D" w14:textId="7B47BEBF" w:rsidR="00624F5B" w:rsidRPr="009C4F0B" w:rsidRDefault="00624F5B" w:rsidP="00673FB7">
            <w:pPr>
              <w:ind w:left="4752"/>
              <w:jc w:val="center"/>
              <w:rPr>
                <w:sz w:val="24"/>
                <w:szCs w:val="24"/>
                <w:u w:val="single"/>
              </w:rPr>
            </w:pPr>
            <w:r w:rsidRPr="009C4F0B">
              <w:rPr>
                <w:rFonts w:eastAsia="Times New Roman"/>
                <w:w w:val="98"/>
                <w:sz w:val="24"/>
                <w:szCs w:val="24"/>
                <w:u w:val="single"/>
              </w:rPr>
              <w:t>Best Available Technologies</w:t>
            </w:r>
          </w:p>
        </w:tc>
      </w:tr>
      <w:tr w:rsidR="00673FB7" w14:paraId="281A0881" w14:textId="77777777" w:rsidTr="00DF4666">
        <w:trPr>
          <w:trHeight w:val="541"/>
        </w:trPr>
        <w:tc>
          <w:tcPr>
            <w:tcW w:w="4740" w:type="dxa"/>
            <w:vAlign w:val="bottom"/>
          </w:tcPr>
          <w:p w14:paraId="281A087D" w14:textId="1FEA682A" w:rsidR="00673FB7" w:rsidRDefault="00673FB7">
            <w:pPr>
              <w:rPr>
                <w:sz w:val="24"/>
                <w:szCs w:val="24"/>
              </w:rPr>
            </w:pPr>
            <w:r w:rsidRPr="00673FB7">
              <w:rPr>
                <w:rFonts w:eastAsia="Times New Roman"/>
                <w:sz w:val="24"/>
                <w:szCs w:val="24"/>
                <w:u w:val="single"/>
              </w:rPr>
              <w:t>Contaminant</w:t>
            </w:r>
          </w:p>
        </w:tc>
        <w:tc>
          <w:tcPr>
            <w:tcW w:w="1480" w:type="dxa"/>
            <w:vAlign w:val="center"/>
          </w:tcPr>
          <w:p w14:paraId="281A087E" w14:textId="77777777" w:rsidR="00673FB7" w:rsidRPr="00673FB7" w:rsidRDefault="00673FB7" w:rsidP="00673FB7">
            <w:pPr>
              <w:jc w:val="center"/>
              <w:rPr>
                <w:sz w:val="20"/>
                <w:szCs w:val="20"/>
                <w:u w:val="single"/>
              </w:rPr>
            </w:pPr>
            <w:r w:rsidRPr="00673FB7">
              <w:rPr>
                <w:rFonts w:eastAsia="Times New Roman"/>
                <w:sz w:val="24"/>
                <w:szCs w:val="24"/>
                <w:u w:val="single"/>
              </w:rPr>
              <w:t>PTA</w:t>
            </w:r>
            <w:r w:rsidRPr="0021669C">
              <w:rPr>
                <w:rFonts w:eastAsia="Times New Roman"/>
                <w:sz w:val="27"/>
                <w:szCs w:val="27"/>
                <w:u w:val="single"/>
                <w:vertAlign w:val="superscript"/>
              </w:rPr>
              <w:t>1</w:t>
            </w:r>
          </w:p>
        </w:tc>
        <w:tc>
          <w:tcPr>
            <w:tcW w:w="1480" w:type="dxa"/>
            <w:vAlign w:val="center"/>
          </w:tcPr>
          <w:p w14:paraId="281A087F" w14:textId="77777777" w:rsidR="00673FB7" w:rsidRPr="00673FB7" w:rsidRDefault="00673FB7" w:rsidP="00673FB7">
            <w:pPr>
              <w:jc w:val="center"/>
              <w:rPr>
                <w:sz w:val="20"/>
                <w:szCs w:val="20"/>
                <w:u w:val="single"/>
              </w:rPr>
            </w:pPr>
            <w:r w:rsidRPr="00673FB7">
              <w:rPr>
                <w:rFonts w:eastAsia="Times New Roman"/>
                <w:sz w:val="24"/>
                <w:szCs w:val="24"/>
                <w:u w:val="single"/>
              </w:rPr>
              <w:t>GAC</w:t>
            </w:r>
            <w:r w:rsidRPr="0021669C">
              <w:rPr>
                <w:rFonts w:eastAsia="Times New Roman"/>
                <w:sz w:val="27"/>
                <w:szCs w:val="27"/>
                <w:u w:val="single"/>
                <w:vertAlign w:val="superscript"/>
              </w:rPr>
              <w:t>2</w:t>
            </w:r>
          </w:p>
        </w:tc>
        <w:tc>
          <w:tcPr>
            <w:tcW w:w="418" w:type="dxa"/>
            <w:vAlign w:val="center"/>
          </w:tcPr>
          <w:p w14:paraId="281A0880" w14:textId="77777777" w:rsidR="00673FB7" w:rsidRPr="00673FB7" w:rsidRDefault="00673FB7" w:rsidP="00DF4666">
            <w:pPr>
              <w:jc w:val="center"/>
              <w:rPr>
                <w:sz w:val="20"/>
                <w:szCs w:val="20"/>
                <w:u w:val="single"/>
              </w:rPr>
            </w:pPr>
            <w:r w:rsidRPr="00673FB7">
              <w:rPr>
                <w:rFonts w:eastAsia="Times New Roman"/>
                <w:w w:val="91"/>
                <w:sz w:val="24"/>
                <w:szCs w:val="24"/>
                <w:u w:val="single"/>
              </w:rPr>
              <w:t>OX</w:t>
            </w:r>
            <w:r w:rsidRPr="0021669C">
              <w:rPr>
                <w:rFonts w:eastAsia="Times New Roman"/>
                <w:w w:val="91"/>
                <w:sz w:val="27"/>
                <w:szCs w:val="27"/>
                <w:u w:val="single"/>
                <w:vertAlign w:val="superscript"/>
              </w:rPr>
              <w:t>3</w:t>
            </w:r>
          </w:p>
        </w:tc>
      </w:tr>
      <w:tr w:rsidR="00DF4666" w14:paraId="281A088C" w14:textId="77777777" w:rsidTr="00DF4666">
        <w:trPr>
          <w:trHeight w:val="238"/>
        </w:trPr>
        <w:tc>
          <w:tcPr>
            <w:tcW w:w="4740" w:type="dxa"/>
            <w:vAlign w:val="bottom"/>
          </w:tcPr>
          <w:p w14:paraId="281A0885" w14:textId="2DC39AF5" w:rsidR="00DF4666" w:rsidRPr="006074FA" w:rsidRDefault="00DF4666" w:rsidP="006074FA">
            <w:pPr>
              <w:pStyle w:val="ListParagraph"/>
              <w:numPr>
                <w:ilvl w:val="2"/>
                <w:numId w:val="420"/>
              </w:numPr>
              <w:spacing w:line="273" w:lineRule="exact"/>
              <w:rPr>
                <w:rFonts w:eastAsia="Times New Roman"/>
                <w:sz w:val="24"/>
                <w:szCs w:val="24"/>
              </w:rPr>
            </w:pPr>
            <w:r w:rsidRPr="006074FA">
              <w:rPr>
                <w:rFonts w:eastAsia="Times New Roman"/>
                <w:sz w:val="24"/>
                <w:szCs w:val="24"/>
              </w:rPr>
              <w:t>Benzene</w:t>
            </w:r>
          </w:p>
        </w:tc>
        <w:tc>
          <w:tcPr>
            <w:tcW w:w="1480" w:type="dxa"/>
            <w:vAlign w:val="center"/>
          </w:tcPr>
          <w:p w14:paraId="281A0887" w14:textId="4F1EC166" w:rsidR="00DF4666" w:rsidRDefault="00DF4666" w:rsidP="00673FB7">
            <w:pPr>
              <w:jc w:val="center"/>
              <w:rPr>
                <w:sz w:val="20"/>
                <w:szCs w:val="20"/>
              </w:rPr>
            </w:pPr>
            <w:r>
              <w:rPr>
                <w:rFonts w:eastAsia="Times New Roman"/>
                <w:sz w:val="24"/>
                <w:szCs w:val="24"/>
              </w:rPr>
              <w:t>X</w:t>
            </w:r>
          </w:p>
        </w:tc>
        <w:tc>
          <w:tcPr>
            <w:tcW w:w="1480" w:type="dxa"/>
            <w:vAlign w:val="center"/>
          </w:tcPr>
          <w:p w14:paraId="281A0889" w14:textId="6D204808" w:rsidR="00DF4666" w:rsidRDefault="00DF4666" w:rsidP="00673FB7">
            <w:pPr>
              <w:jc w:val="center"/>
              <w:rPr>
                <w:sz w:val="20"/>
                <w:szCs w:val="20"/>
              </w:rPr>
            </w:pPr>
            <w:r>
              <w:rPr>
                <w:rFonts w:eastAsia="Times New Roman"/>
                <w:sz w:val="24"/>
                <w:szCs w:val="24"/>
              </w:rPr>
              <w:t>X</w:t>
            </w:r>
          </w:p>
        </w:tc>
        <w:tc>
          <w:tcPr>
            <w:tcW w:w="418" w:type="dxa"/>
            <w:vAlign w:val="center"/>
          </w:tcPr>
          <w:p w14:paraId="281A088A" w14:textId="32A55FB4" w:rsidR="00DF4666" w:rsidRDefault="00DF4666" w:rsidP="00DF4666">
            <w:pPr>
              <w:jc w:val="center"/>
              <w:rPr>
                <w:sz w:val="20"/>
                <w:szCs w:val="20"/>
              </w:rPr>
            </w:pPr>
          </w:p>
        </w:tc>
      </w:tr>
      <w:tr w:rsidR="00DF4666" w14:paraId="281A0893" w14:textId="77777777" w:rsidTr="00DF4666">
        <w:trPr>
          <w:trHeight w:val="274"/>
        </w:trPr>
        <w:tc>
          <w:tcPr>
            <w:tcW w:w="4740" w:type="dxa"/>
            <w:vAlign w:val="bottom"/>
          </w:tcPr>
          <w:p w14:paraId="281A088E" w14:textId="711B316E"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Carbon tetrachloride</w:t>
            </w:r>
          </w:p>
        </w:tc>
        <w:tc>
          <w:tcPr>
            <w:tcW w:w="1480" w:type="dxa"/>
            <w:vAlign w:val="center"/>
          </w:tcPr>
          <w:p w14:paraId="281A088F"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90"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91" w14:textId="77777777" w:rsidR="00DF4666" w:rsidRDefault="00DF4666" w:rsidP="00DF4666">
            <w:pPr>
              <w:jc w:val="center"/>
              <w:rPr>
                <w:sz w:val="23"/>
                <w:szCs w:val="23"/>
              </w:rPr>
            </w:pPr>
          </w:p>
        </w:tc>
      </w:tr>
      <w:tr w:rsidR="00DF4666" w14:paraId="281A089A" w14:textId="77777777" w:rsidTr="00DF4666">
        <w:trPr>
          <w:trHeight w:val="274"/>
        </w:trPr>
        <w:tc>
          <w:tcPr>
            <w:tcW w:w="4740" w:type="dxa"/>
            <w:vAlign w:val="bottom"/>
          </w:tcPr>
          <w:p w14:paraId="281A0895" w14:textId="5EF9F18B"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1,2-Dichloroethane</w:t>
            </w:r>
          </w:p>
        </w:tc>
        <w:tc>
          <w:tcPr>
            <w:tcW w:w="1480" w:type="dxa"/>
            <w:vAlign w:val="center"/>
          </w:tcPr>
          <w:p w14:paraId="281A0896"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97"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98" w14:textId="77777777" w:rsidR="00DF4666" w:rsidRDefault="00DF4666" w:rsidP="00DF4666">
            <w:pPr>
              <w:jc w:val="center"/>
              <w:rPr>
                <w:sz w:val="23"/>
                <w:szCs w:val="23"/>
              </w:rPr>
            </w:pPr>
          </w:p>
        </w:tc>
      </w:tr>
      <w:tr w:rsidR="00DF4666" w14:paraId="281A08A1" w14:textId="77777777" w:rsidTr="00DF4666">
        <w:trPr>
          <w:trHeight w:val="274"/>
        </w:trPr>
        <w:tc>
          <w:tcPr>
            <w:tcW w:w="4740" w:type="dxa"/>
            <w:vAlign w:val="bottom"/>
          </w:tcPr>
          <w:p w14:paraId="281A089C" w14:textId="486C2CE0"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Trichloroethylene</w:t>
            </w:r>
          </w:p>
        </w:tc>
        <w:tc>
          <w:tcPr>
            <w:tcW w:w="1480" w:type="dxa"/>
            <w:vAlign w:val="center"/>
          </w:tcPr>
          <w:p w14:paraId="281A089D"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9E"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9F" w14:textId="77777777" w:rsidR="00DF4666" w:rsidRDefault="00DF4666" w:rsidP="00DF4666">
            <w:pPr>
              <w:jc w:val="center"/>
              <w:rPr>
                <w:sz w:val="23"/>
                <w:szCs w:val="23"/>
              </w:rPr>
            </w:pPr>
          </w:p>
        </w:tc>
      </w:tr>
      <w:tr w:rsidR="00DF4666" w14:paraId="281A08A8" w14:textId="77777777" w:rsidTr="00DF4666">
        <w:trPr>
          <w:trHeight w:val="274"/>
        </w:trPr>
        <w:tc>
          <w:tcPr>
            <w:tcW w:w="4740" w:type="dxa"/>
            <w:vAlign w:val="bottom"/>
          </w:tcPr>
          <w:p w14:paraId="281A08A3" w14:textId="1785DA66"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para-Dichlorobenzene</w:t>
            </w:r>
          </w:p>
        </w:tc>
        <w:tc>
          <w:tcPr>
            <w:tcW w:w="1480" w:type="dxa"/>
            <w:vAlign w:val="center"/>
          </w:tcPr>
          <w:p w14:paraId="281A08A4"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A5"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A6" w14:textId="77777777" w:rsidR="00DF4666" w:rsidRDefault="00DF4666" w:rsidP="00DF4666">
            <w:pPr>
              <w:jc w:val="center"/>
              <w:rPr>
                <w:sz w:val="23"/>
                <w:szCs w:val="23"/>
              </w:rPr>
            </w:pPr>
          </w:p>
        </w:tc>
      </w:tr>
      <w:tr w:rsidR="00DF4666" w14:paraId="281A08AF" w14:textId="77777777" w:rsidTr="00DF4666">
        <w:trPr>
          <w:trHeight w:val="274"/>
        </w:trPr>
        <w:tc>
          <w:tcPr>
            <w:tcW w:w="4740" w:type="dxa"/>
            <w:vAlign w:val="bottom"/>
          </w:tcPr>
          <w:p w14:paraId="281A08AA" w14:textId="1DEFE7E1"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1,1-Dichloroethylene</w:t>
            </w:r>
          </w:p>
        </w:tc>
        <w:tc>
          <w:tcPr>
            <w:tcW w:w="1480" w:type="dxa"/>
            <w:vAlign w:val="center"/>
          </w:tcPr>
          <w:p w14:paraId="281A08AB"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AC"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AD" w14:textId="77777777" w:rsidR="00DF4666" w:rsidRDefault="00DF4666" w:rsidP="00DF4666">
            <w:pPr>
              <w:jc w:val="center"/>
              <w:rPr>
                <w:sz w:val="23"/>
                <w:szCs w:val="23"/>
              </w:rPr>
            </w:pPr>
          </w:p>
        </w:tc>
      </w:tr>
      <w:tr w:rsidR="00DF4666" w14:paraId="281A08B6" w14:textId="77777777" w:rsidTr="00DF4666">
        <w:trPr>
          <w:trHeight w:val="274"/>
        </w:trPr>
        <w:tc>
          <w:tcPr>
            <w:tcW w:w="4740" w:type="dxa"/>
            <w:vAlign w:val="bottom"/>
          </w:tcPr>
          <w:p w14:paraId="281A08B1" w14:textId="6CDF29C0"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1,1,1-Trichloroethane</w:t>
            </w:r>
          </w:p>
        </w:tc>
        <w:tc>
          <w:tcPr>
            <w:tcW w:w="1480" w:type="dxa"/>
            <w:vAlign w:val="center"/>
          </w:tcPr>
          <w:p w14:paraId="281A08B2"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B3"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B4" w14:textId="77777777" w:rsidR="00DF4666" w:rsidRDefault="00DF4666" w:rsidP="00DF4666">
            <w:pPr>
              <w:jc w:val="center"/>
              <w:rPr>
                <w:sz w:val="23"/>
                <w:szCs w:val="23"/>
              </w:rPr>
            </w:pPr>
          </w:p>
        </w:tc>
      </w:tr>
      <w:tr w:rsidR="00DF4666" w14:paraId="281A08BF" w14:textId="77777777" w:rsidTr="00DF4666">
        <w:trPr>
          <w:trHeight w:val="274"/>
        </w:trPr>
        <w:tc>
          <w:tcPr>
            <w:tcW w:w="4740" w:type="dxa"/>
            <w:vAlign w:val="bottom"/>
          </w:tcPr>
          <w:p w14:paraId="281A08B8" w14:textId="4DC61FA2"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Vinyl chloride</w:t>
            </w:r>
          </w:p>
        </w:tc>
        <w:tc>
          <w:tcPr>
            <w:tcW w:w="1480" w:type="dxa"/>
            <w:vAlign w:val="center"/>
          </w:tcPr>
          <w:p w14:paraId="281A08B9"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BC" w14:textId="77777777" w:rsidR="00DF4666" w:rsidRDefault="00DF4666" w:rsidP="00673FB7">
            <w:pPr>
              <w:jc w:val="center"/>
              <w:rPr>
                <w:sz w:val="23"/>
                <w:szCs w:val="23"/>
              </w:rPr>
            </w:pPr>
          </w:p>
        </w:tc>
        <w:tc>
          <w:tcPr>
            <w:tcW w:w="418" w:type="dxa"/>
            <w:vAlign w:val="center"/>
          </w:tcPr>
          <w:p w14:paraId="281A08BD" w14:textId="77777777" w:rsidR="00DF4666" w:rsidRDefault="00DF4666" w:rsidP="00DF4666">
            <w:pPr>
              <w:jc w:val="center"/>
              <w:rPr>
                <w:sz w:val="23"/>
                <w:szCs w:val="23"/>
              </w:rPr>
            </w:pPr>
          </w:p>
        </w:tc>
      </w:tr>
      <w:tr w:rsidR="00DF4666" w14:paraId="281A08C6" w14:textId="77777777" w:rsidTr="00DF4666">
        <w:trPr>
          <w:trHeight w:val="274"/>
        </w:trPr>
        <w:tc>
          <w:tcPr>
            <w:tcW w:w="4740" w:type="dxa"/>
            <w:vAlign w:val="bottom"/>
          </w:tcPr>
          <w:p w14:paraId="281A08C1" w14:textId="5C52C5AA"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cis-1,2-Dichloroethylene</w:t>
            </w:r>
          </w:p>
        </w:tc>
        <w:tc>
          <w:tcPr>
            <w:tcW w:w="1480" w:type="dxa"/>
            <w:vAlign w:val="center"/>
          </w:tcPr>
          <w:p w14:paraId="281A08C2"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C3"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C4" w14:textId="77777777" w:rsidR="00DF4666" w:rsidRDefault="00DF4666" w:rsidP="00DF4666">
            <w:pPr>
              <w:jc w:val="center"/>
              <w:rPr>
                <w:sz w:val="23"/>
                <w:szCs w:val="23"/>
              </w:rPr>
            </w:pPr>
          </w:p>
        </w:tc>
      </w:tr>
      <w:tr w:rsidR="00DF4666" w14:paraId="281A08CD" w14:textId="77777777" w:rsidTr="00DF4666">
        <w:trPr>
          <w:trHeight w:val="274"/>
        </w:trPr>
        <w:tc>
          <w:tcPr>
            <w:tcW w:w="4740" w:type="dxa"/>
            <w:vAlign w:val="bottom"/>
          </w:tcPr>
          <w:p w14:paraId="281A08C8" w14:textId="571009AF"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1,2-Dichloropropane</w:t>
            </w:r>
          </w:p>
        </w:tc>
        <w:tc>
          <w:tcPr>
            <w:tcW w:w="1480" w:type="dxa"/>
            <w:vAlign w:val="center"/>
          </w:tcPr>
          <w:p w14:paraId="281A08C9"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CA"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CB" w14:textId="77777777" w:rsidR="00DF4666" w:rsidRDefault="00DF4666" w:rsidP="00DF4666">
            <w:pPr>
              <w:jc w:val="center"/>
              <w:rPr>
                <w:sz w:val="23"/>
                <w:szCs w:val="23"/>
              </w:rPr>
            </w:pPr>
          </w:p>
        </w:tc>
      </w:tr>
      <w:tr w:rsidR="00DF4666" w14:paraId="281A08D4" w14:textId="77777777" w:rsidTr="00DF4666">
        <w:trPr>
          <w:trHeight w:val="274"/>
        </w:trPr>
        <w:tc>
          <w:tcPr>
            <w:tcW w:w="4740" w:type="dxa"/>
            <w:vAlign w:val="bottom"/>
          </w:tcPr>
          <w:p w14:paraId="281A08CF" w14:textId="39FAF5A5"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Ethylbenzene</w:t>
            </w:r>
          </w:p>
        </w:tc>
        <w:tc>
          <w:tcPr>
            <w:tcW w:w="1480" w:type="dxa"/>
            <w:vAlign w:val="center"/>
          </w:tcPr>
          <w:p w14:paraId="281A08D0"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D1"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D2" w14:textId="77777777" w:rsidR="00DF4666" w:rsidRDefault="00DF4666" w:rsidP="00DF4666">
            <w:pPr>
              <w:jc w:val="center"/>
              <w:rPr>
                <w:sz w:val="23"/>
                <w:szCs w:val="23"/>
              </w:rPr>
            </w:pPr>
          </w:p>
        </w:tc>
      </w:tr>
      <w:tr w:rsidR="00DF4666" w14:paraId="281A08DB" w14:textId="77777777" w:rsidTr="00DF4666">
        <w:trPr>
          <w:trHeight w:val="274"/>
        </w:trPr>
        <w:tc>
          <w:tcPr>
            <w:tcW w:w="4740" w:type="dxa"/>
            <w:vAlign w:val="bottom"/>
          </w:tcPr>
          <w:p w14:paraId="281A08D6" w14:textId="4D9C1AAF"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Monochlorobenzene</w:t>
            </w:r>
          </w:p>
        </w:tc>
        <w:tc>
          <w:tcPr>
            <w:tcW w:w="1480" w:type="dxa"/>
            <w:vAlign w:val="center"/>
          </w:tcPr>
          <w:p w14:paraId="281A08D7"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D8"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D9" w14:textId="77777777" w:rsidR="00DF4666" w:rsidRDefault="00DF4666" w:rsidP="00DF4666">
            <w:pPr>
              <w:jc w:val="center"/>
              <w:rPr>
                <w:sz w:val="23"/>
                <w:szCs w:val="23"/>
              </w:rPr>
            </w:pPr>
          </w:p>
        </w:tc>
      </w:tr>
      <w:tr w:rsidR="00DF4666" w14:paraId="281A08E2" w14:textId="77777777" w:rsidTr="00DF4666">
        <w:trPr>
          <w:trHeight w:val="274"/>
        </w:trPr>
        <w:tc>
          <w:tcPr>
            <w:tcW w:w="4740" w:type="dxa"/>
            <w:vAlign w:val="bottom"/>
          </w:tcPr>
          <w:p w14:paraId="281A08DD" w14:textId="38AE8783"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o-Dichlorobenzene</w:t>
            </w:r>
          </w:p>
        </w:tc>
        <w:tc>
          <w:tcPr>
            <w:tcW w:w="1480" w:type="dxa"/>
            <w:vAlign w:val="center"/>
          </w:tcPr>
          <w:p w14:paraId="281A08DE"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DF"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E0" w14:textId="77777777" w:rsidR="00DF4666" w:rsidRDefault="00DF4666" w:rsidP="00DF4666">
            <w:pPr>
              <w:jc w:val="center"/>
              <w:rPr>
                <w:sz w:val="23"/>
                <w:szCs w:val="23"/>
              </w:rPr>
            </w:pPr>
          </w:p>
        </w:tc>
      </w:tr>
      <w:tr w:rsidR="00DF4666" w14:paraId="281A08E9" w14:textId="77777777" w:rsidTr="00DF4666">
        <w:trPr>
          <w:trHeight w:val="274"/>
        </w:trPr>
        <w:tc>
          <w:tcPr>
            <w:tcW w:w="4740" w:type="dxa"/>
            <w:vAlign w:val="bottom"/>
          </w:tcPr>
          <w:p w14:paraId="281A08E4" w14:textId="0396D3EB"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Styrene</w:t>
            </w:r>
          </w:p>
        </w:tc>
        <w:tc>
          <w:tcPr>
            <w:tcW w:w="1480" w:type="dxa"/>
            <w:vAlign w:val="center"/>
          </w:tcPr>
          <w:p w14:paraId="281A08E5"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E6"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E7" w14:textId="77777777" w:rsidR="00DF4666" w:rsidRDefault="00DF4666" w:rsidP="00DF4666">
            <w:pPr>
              <w:jc w:val="center"/>
              <w:rPr>
                <w:sz w:val="23"/>
                <w:szCs w:val="23"/>
              </w:rPr>
            </w:pPr>
          </w:p>
        </w:tc>
      </w:tr>
      <w:tr w:rsidR="00DF4666" w14:paraId="281A08F0" w14:textId="77777777" w:rsidTr="00DF4666">
        <w:trPr>
          <w:trHeight w:val="274"/>
        </w:trPr>
        <w:tc>
          <w:tcPr>
            <w:tcW w:w="4740" w:type="dxa"/>
            <w:vAlign w:val="bottom"/>
          </w:tcPr>
          <w:p w14:paraId="281A08EB" w14:textId="6D83E89D"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Tetrachloroethylene</w:t>
            </w:r>
          </w:p>
        </w:tc>
        <w:tc>
          <w:tcPr>
            <w:tcW w:w="1480" w:type="dxa"/>
            <w:vAlign w:val="center"/>
          </w:tcPr>
          <w:p w14:paraId="281A08EC"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ED"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EE" w14:textId="77777777" w:rsidR="00DF4666" w:rsidRDefault="00DF4666" w:rsidP="00DF4666">
            <w:pPr>
              <w:jc w:val="center"/>
              <w:rPr>
                <w:sz w:val="23"/>
                <w:szCs w:val="23"/>
              </w:rPr>
            </w:pPr>
          </w:p>
        </w:tc>
      </w:tr>
      <w:tr w:rsidR="00DF4666" w14:paraId="281A08F7" w14:textId="77777777" w:rsidTr="00DF4666">
        <w:trPr>
          <w:trHeight w:val="274"/>
        </w:trPr>
        <w:tc>
          <w:tcPr>
            <w:tcW w:w="4740" w:type="dxa"/>
            <w:vAlign w:val="bottom"/>
          </w:tcPr>
          <w:p w14:paraId="281A08F2" w14:textId="75E1000B"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Toluene</w:t>
            </w:r>
          </w:p>
        </w:tc>
        <w:tc>
          <w:tcPr>
            <w:tcW w:w="1480" w:type="dxa"/>
            <w:vAlign w:val="center"/>
          </w:tcPr>
          <w:p w14:paraId="281A08F3"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F4"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F5" w14:textId="77777777" w:rsidR="00DF4666" w:rsidRDefault="00DF4666" w:rsidP="00DF4666">
            <w:pPr>
              <w:jc w:val="center"/>
              <w:rPr>
                <w:sz w:val="23"/>
                <w:szCs w:val="23"/>
              </w:rPr>
            </w:pPr>
          </w:p>
        </w:tc>
      </w:tr>
      <w:tr w:rsidR="00DF4666" w14:paraId="281A08FE" w14:textId="77777777" w:rsidTr="00DF4666">
        <w:trPr>
          <w:trHeight w:val="274"/>
        </w:trPr>
        <w:tc>
          <w:tcPr>
            <w:tcW w:w="4740" w:type="dxa"/>
            <w:vAlign w:val="bottom"/>
          </w:tcPr>
          <w:p w14:paraId="281A08F9" w14:textId="35FEDA9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trans-1,2-Dichloroethylene</w:t>
            </w:r>
          </w:p>
        </w:tc>
        <w:tc>
          <w:tcPr>
            <w:tcW w:w="1480" w:type="dxa"/>
            <w:vAlign w:val="center"/>
          </w:tcPr>
          <w:p w14:paraId="281A08FA"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FB"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8FC" w14:textId="77777777" w:rsidR="00DF4666" w:rsidRDefault="00DF4666" w:rsidP="00DF4666">
            <w:pPr>
              <w:jc w:val="center"/>
              <w:rPr>
                <w:sz w:val="23"/>
                <w:szCs w:val="23"/>
              </w:rPr>
            </w:pPr>
          </w:p>
        </w:tc>
      </w:tr>
      <w:tr w:rsidR="00DF4666" w14:paraId="281A0905" w14:textId="77777777" w:rsidTr="00DF4666">
        <w:trPr>
          <w:trHeight w:val="274"/>
        </w:trPr>
        <w:tc>
          <w:tcPr>
            <w:tcW w:w="4740" w:type="dxa"/>
            <w:vAlign w:val="bottom"/>
          </w:tcPr>
          <w:p w14:paraId="281A0900" w14:textId="4EA12BD3"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Xylenes (total)</w:t>
            </w:r>
          </w:p>
        </w:tc>
        <w:tc>
          <w:tcPr>
            <w:tcW w:w="1480" w:type="dxa"/>
            <w:vAlign w:val="center"/>
          </w:tcPr>
          <w:p w14:paraId="281A0901"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02"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03" w14:textId="77777777" w:rsidR="00DF4666" w:rsidRDefault="00DF4666" w:rsidP="00DF4666">
            <w:pPr>
              <w:jc w:val="center"/>
              <w:rPr>
                <w:sz w:val="23"/>
                <w:szCs w:val="23"/>
              </w:rPr>
            </w:pPr>
          </w:p>
        </w:tc>
      </w:tr>
      <w:tr w:rsidR="00DF4666" w14:paraId="281A090D" w14:textId="77777777" w:rsidTr="00DF4666">
        <w:trPr>
          <w:trHeight w:val="274"/>
        </w:trPr>
        <w:tc>
          <w:tcPr>
            <w:tcW w:w="4740" w:type="dxa"/>
            <w:vAlign w:val="bottom"/>
          </w:tcPr>
          <w:p w14:paraId="281A0907" w14:textId="087E0F41"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Alachlor</w:t>
            </w:r>
          </w:p>
        </w:tc>
        <w:tc>
          <w:tcPr>
            <w:tcW w:w="1480" w:type="dxa"/>
            <w:vAlign w:val="center"/>
          </w:tcPr>
          <w:p w14:paraId="281A0909" w14:textId="77777777" w:rsidR="00DF4666" w:rsidRDefault="00DF4666" w:rsidP="00673FB7">
            <w:pPr>
              <w:jc w:val="center"/>
              <w:rPr>
                <w:sz w:val="23"/>
                <w:szCs w:val="23"/>
              </w:rPr>
            </w:pPr>
          </w:p>
        </w:tc>
        <w:tc>
          <w:tcPr>
            <w:tcW w:w="1480" w:type="dxa"/>
            <w:vAlign w:val="center"/>
          </w:tcPr>
          <w:p w14:paraId="281A090A"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0B" w14:textId="77777777" w:rsidR="00DF4666" w:rsidRDefault="00DF4666" w:rsidP="00DF4666">
            <w:pPr>
              <w:jc w:val="center"/>
              <w:rPr>
                <w:sz w:val="23"/>
                <w:szCs w:val="23"/>
              </w:rPr>
            </w:pPr>
          </w:p>
        </w:tc>
      </w:tr>
      <w:tr w:rsidR="00DF4666" w14:paraId="281A0915" w14:textId="77777777" w:rsidTr="00DF4666">
        <w:trPr>
          <w:trHeight w:val="274"/>
        </w:trPr>
        <w:tc>
          <w:tcPr>
            <w:tcW w:w="4740" w:type="dxa"/>
            <w:vAlign w:val="bottom"/>
          </w:tcPr>
          <w:p w14:paraId="281A090F" w14:textId="7AC1D667"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Aldicarb</w:t>
            </w:r>
          </w:p>
        </w:tc>
        <w:tc>
          <w:tcPr>
            <w:tcW w:w="1480" w:type="dxa"/>
            <w:vAlign w:val="center"/>
          </w:tcPr>
          <w:p w14:paraId="281A0911" w14:textId="77777777" w:rsidR="00DF4666" w:rsidRDefault="00DF4666" w:rsidP="00673FB7">
            <w:pPr>
              <w:jc w:val="center"/>
              <w:rPr>
                <w:sz w:val="23"/>
                <w:szCs w:val="23"/>
              </w:rPr>
            </w:pPr>
          </w:p>
        </w:tc>
        <w:tc>
          <w:tcPr>
            <w:tcW w:w="1480" w:type="dxa"/>
            <w:vAlign w:val="center"/>
          </w:tcPr>
          <w:p w14:paraId="281A0912"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13" w14:textId="77777777" w:rsidR="00DF4666" w:rsidRDefault="00DF4666" w:rsidP="00DF4666">
            <w:pPr>
              <w:jc w:val="center"/>
              <w:rPr>
                <w:sz w:val="23"/>
                <w:szCs w:val="23"/>
              </w:rPr>
            </w:pPr>
          </w:p>
        </w:tc>
      </w:tr>
      <w:tr w:rsidR="00DF4666" w14:paraId="281A091D" w14:textId="77777777" w:rsidTr="00DF4666">
        <w:trPr>
          <w:trHeight w:val="274"/>
        </w:trPr>
        <w:tc>
          <w:tcPr>
            <w:tcW w:w="4740" w:type="dxa"/>
            <w:vAlign w:val="bottom"/>
          </w:tcPr>
          <w:p w14:paraId="281A0917" w14:textId="686A9EEE"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Aldicarb sulfoxide</w:t>
            </w:r>
          </w:p>
        </w:tc>
        <w:tc>
          <w:tcPr>
            <w:tcW w:w="1480" w:type="dxa"/>
            <w:vAlign w:val="center"/>
          </w:tcPr>
          <w:p w14:paraId="281A0919" w14:textId="77777777" w:rsidR="00DF4666" w:rsidRDefault="00DF4666" w:rsidP="00673FB7">
            <w:pPr>
              <w:jc w:val="center"/>
              <w:rPr>
                <w:sz w:val="23"/>
                <w:szCs w:val="23"/>
              </w:rPr>
            </w:pPr>
          </w:p>
        </w:tc>
        <w:tc>
          <w:tcPr>
            <w:tcW w:w="1480" w:type="dxa"/>
            <w:vAlign w:val="center"/>
          </w:tcPr>
          <w:p w14:paraId="281A091A"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1B" w14:textId="77777777" w:rsidR="00DF4666" w:rsidRDefault="00DF4666" w:rsidP="00DF4666">
            <w:pPr>
              <w:jc w:val="center"/>
              <w:rPr>
                <w:sz w:val="23"/>
                <w:szCs w:val="23"/>
              </w:rPr>
            </w:pPr>
          </w:p>
        </w:tc>
      </w:tr>
      <w:tr w:rsidR="00DF4666" w14:paraId="281A0925" w14:textId="77777777" w:rsidTr="00DF4666">
        <w:trPr>
          <w:trHeight w:val="274"/>
        </w:trPr>
        <w:tc>
          <w:tcPr>
            <w:tcW w:w="4740" w:type="dxa"/>
            <w:vAlign w:val="bottom"/>
          </w:tcPr>
          <w:p w14:paraId="281A091F" w14:textId="30D37E49"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Aldicarb sulfone</w:t>
            </w:r>
          </w:p>
        </w:tc>
        <w:tc>
          <w:tcPr>
            <w:tcW w:w="1480" w:type="dxa"/>
            <w:vAlign w:val="center"/>
          </w:tcPr>
          <w:p w14:paraId="281A0921" w14:textId="77777777" w:rsidR="00DF4666" w:rsidRDefault="00DF4666" w:rsidP="00673FB7">
            <w:pPr>
              <w:jc w:val="center"/>
              <w:rPr>
                <w:sz w:val="23"/>
                <w:szCs w:val="23"/>
              </w:rPr>
            </w:pPr>
          </w:p>
        </w:tc>
        <w:tc>
          <w:tcPr>
            <w:tcW w:w="1480" w:type="dxa"/>
            <w:vAlign w:val="center"/>
          </w:tcPr>
          <w:p w14:paraId="281A0922"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23" w14:textId="77777777" w:rsidR="00DF4666" w:rsidRDefault="00DF4666" w:rsidP="00DF4666">
            <w:pPr>
              <w:jc w:val="center"/>
              <w:rPr>
                <w:sz w:val="23"/>
                <w:szCs w:val="23"/>
              </w:rPr>
            </w:pPr>
          </w:p>
        </w:tc>
      </w:tr>
      <w:tr w:rsidR="00DF4666" w14:paraId="281A092D" w14:textId="77777777" w:rsidTr="00DF4666">
        <w:trPr>
          <w:trHeight w:val="274"/>
        </w:trPr>
        <w:tc>
          <w:tcPr>
            <w:tcW w:w="4740" w:type="dxa"/>
            <w:vAlign w:val="bottom"/>
          </w:tcPr>
          <w:p w14:paraId="281A0927" w14:textId="5A888D8E"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Atrazine</w:t>
            </w:r>
          </w:p>
        </w:tc>
        <w:tc>
          <w:tcPr>
            <w:tcW w:w="1480" w:type="dxa"/>
            <w:vAlign w:val="center"/>
          </w:tcPr>
          <w:p w14:paraId="281A0929" w14:textId="77777777" w:rsidR="00DF4666" w:rsidRDefault="00DF4666" w:rsidP="00673FB7">
            <w:pPr>
              <w:jc w:val="center"/>
              <w:rPr>
                <w:sz w:val="23"/>
                <w:szCs w:val="23"/>
              </w:rPr>
            </w:pPr>
          </w:p>
        </w:tc>
        <w:tc>
          <w:tcPr>
            <w:tcW w:w="1480" w:type="dxa"/>
            <w:vAlign w:val="center"/>
          </w:tcPr>
          <w:p w14:paraId="281A092A"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2B" w14:textId="77777777" w:rsidR="00DF4666" w:rsidRDefault="00DF4666" w:rsidP="00DF4666">
            <w:pPr>
              <w:jc w:val="center"/>
              <w:rPr>
                <w:sz w:val="23"/>
                <w:szCs w:val="23"/>
              </w:rPr>
            </w:pPr>
          </w:p>
        </w:tc>
      </w:tr>
      <w:tr w:rsidR="00DF4666" w14:paraId="281A0935" w14:textId="77777777" w:rsidTr="00DF4666">
        <w:trPr>
          <w:trHeight w:val="274"/>
        </w:trPr>
        <w:tc>
          <w:tcPr>
            <w:tcW w:w="4740" w:type="dxa"/>
            <w:vAlign w:val="bottom"/>
          </w:tcPr>
          <w:p w14:paraId="281A092F" w14:textId="734F5F7C"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Carbofuran</w:t>
            </w:r>
          </w:p>
        </w:tc>
        <w:tc>
          <w:tcPr>
            <w:tcW w:w="1480" w:type="dxa"/>
            <w:vAlign w:val="center"/>
          </w:tcPr>
          <w:p w14:paraId="281A0931" w14:textId="77777777" w:rsidR="00DF4666" w:rsidRDefault="00DF4666" w:rsidP="00673FB7">
            <w:pPr>
              <w:jc w:val="center"/>
              <w:rPr>
                <w:sz w:val="23"/>
                <w:szCs w:val="23"/>
              </w:rPr>
            </w:pPr>
          </w:p>
        </w:tc>
        <w:tc>
          <w:tcPr>
            <w:tcW w:w="1480" w:type="dxa"/>
            <w:vAlign w:val="center"/>
          </w:tcPr>
          <w:p w14:paraId="281A0932"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33" w14:textId="77777777" w:rsidR="00DF4666" w:rsidRDefault="00DF4666" w:rsidP="00DF4666">
            <w:pPr>
              <w:jc w:val="center"/>
              <w:rPr>
                <w:sz w:val="23"/>
                <w:szCs w:val="23"/>
              </w:rPr>
            </w:pPr>
          </w:p>
        </w:tc>
      </w:tr>
      <w:tr w:rsidR="00DF4666" w14:paraId="281A093D" w14:textId="77777777" w:rsidTr="00DF4666">
        <w:trPr>
          <w:trHeight w:val="274"/>
        </w:trPr>
        <w:tc>
          <w:tcPr>
            <w:tcW w:w="4740" w:type="dxa"/>
            <w:vAlign w:val="bottom"/>
          </w:tcPr>
          <w:p w14:paraId="281A0937" w14:textId="4D9D6187"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Chlordane</w:t>
            </w:r>
          </w:p>
        </w:tc>
        <w:tc>
          <w:tcPr>
            <w:tcW w:w="1480" w:type="dxa"/>
            <w:vAlign w:val="center"/>
          </w:tcPr>
          <w:p w14:paraId="281A0939" w14:textId="77777777" w:rsidR="00DF4666" w:rsidRDefault="00DF4666" w:rsidP="00673FB7">
            <w:pPr>
              <w:jc w:val="center"/>
              <w:rPr>
                <w:sz w:val="23"/>
                <w:szCs w:val="23"/>
              </w:rPr>
            </w:pPr>
          </w:p>
        </w:tc>
        <w:tc>
          <w:tcPr>
            <w:tcW w:w="1480" w:type="dxa"/>
            <w:vAlign w:val="center"/>
          </w:tcPr>
          <w:p w14:paraId="281A093A"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3B" w14:textId="77777777" w:rsidR="00DF4666" w:rsidRDefault="00DF4666" w:rsidP="00DF4666">
            <w:pPr>
              <w:jc w:val="center"/>
              <w:rPr>
                <w:sz w:val="23"/>
                <w:szCs w:val="23"/>
              </w:rPr>
            </w:pPr>
          </w:p>
        </w:tc>
      </w:tr>
      <w:tr w:rsidR="00DF4666" w14:paraId="281A0944" w14:textId="77777777" w:rsidTr="00DF4666">
        <w:trPr>
          <w:trHeight w:val="274"/>
        </w:trPr>
        <w:tc>
          <w:tcPr>
            <w:tcW w:w="4740" w:type="dxa"/>
            <w:vAlign w:val="bottom"/>
          </w:tcPr>
          <w:p w14:paraId="281A093F" w14:textId="4AF17B0A"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Dibromochloropropane</w:t>
            </w:r>
          </w:p>
        </w:tc>
        <w:tc>
          <w:tcPr>
            <w:tcW w:w="1480" w:type="dxa"/>
            <w:vAlign w:val="center"/>
          </w:tcPr>
          <w:p w14:paraId="281A0940"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41"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42" w14:textId="77777777" w:rsidR="00DF4666" w:rsidRDefault="00DF4666" w:rsidP="00DF4666">
            <w:pPr>
              <w:jc w:val="center"/>
              <w:rPr>
                <w:sz w:val="23"/>
                <w:szCs w:val="23"/>
              </w:rPr>
            </w:pPr>
          </w:p>
        </w:tc>
      </w:tr>
      <w:tr w:rsidR="00DF4666" w14:paraId="281A094C" w14:textId="77777777" w:rsidTr="00DF4666">
        <w:trPr>
          <w:trHeight w:val="274"/>
        </w:trPr>
        <w:tc>
          <w:tcPr>
            <w:tcW w:w="4740" w:type="dxa"/>
            <w:vAlign w:val="bottom"/>
          </w:tcPr>
          <w:p w14:paraId="281A0946" w14:textId="5D83D03F"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2,4-D</w:t>
            </w:r>
          </w:p>
        </w:tc>
        <w:tc>
          <w:tcPr>
            <w:tcW w:w="1480" w:type="dxa"/>
            <w:vAlign w:val="center"/>
          </w:tcPr>
          <w:p w14:paraId="281A0948" w14:textId="77777777" w:rsidR="00DF4666" w:rsidRDefault="00DF4666" w:rsidP="00673FB7">
            <w:pPr>
              <w:jc w:val="center"/>
              <w:rPr>
                <w:sz w:val="23"/>
                <w:szCs w:val="23"/>
              </w:rPr>
            </w:pPr>
          </w:p>
        </w:tc>
        <w:tc>
          <w:tcPr>
            <w:tcW w:w="1480" w:type="dxa"/>
            <w:vAlign w:val="center"/>
          </w:tcPr>
          <w:p w14:paraId="281A0949"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4A" w14:textId="77777777" w:rsidR="00DF4666" w:rsidRDefault="00DF4666" w:rsidP="00DF4666">
            <w:pPr>
              <w:jc w:val="center"/>
              <w:rPr>
                <w:sz w:val="23"/>
                <w:szCs w:val="23"/>
              </w:rPr>
            </w:pPr>
          </w:p>
        </w:tc>
      </w:tr>
      <w:tr w:rsidR="00DF4666" w14:paraId="281A0953" w14:textId="77777777" w:rsidTr="00DF4666">
        <w:trPr>
          <w:trHeight w:val="274"/>
        </w:trPr>
        <w:tc>
          <w:tcPr>
            <w:tcW w:w="4740" w:type="dxa"/>
            <w:vAlign w:val="bottom"/>
          </w:tcPr>
          <w:p w14:paraId="281A094E" w14:textId="611EDFAA"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Ethylene dibromide</w:t>
            </w:r>
          </w:p>
        </w:tc>
        <w:tc>
          <w:tcPr>
            <w:tcW w:w="1480" w:type="dxa"/>
            <w:vAlign w:val="center"/>
          </w:tcPr>
          <w:p w14:paraId="281A094F"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50"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51" w14:textId="77777777" w:rsidR="00DF4666" w:rsidRDefault="00DF4666" w:rsidP="00DF4666">
            <w:pPr>
              <w:jc w:val="center"/>
              <w:rPr>
                <w:sz w:val="23"/>
                <w:szCs w:val="23"/>
              </w:rPr>
            </w:pPr>
          </w:p>
        </w:tc>
      </w:tr>
      <w:tr w:rsidR="00DF4666" w14:paraId="281A095B" w14:textId="77777777" w:rsidTr="00DF4666">
        <w:trPr>
          <w:trHeight w:val="274"/>
        </w:trPr>
        <w:tc>
          <w:tcPr>
            <w:tcW w:w="4740" w:type="dxa"/>
            <w:vAlign w:val="bottom"/>
          </w:tcPr>
          <w:p w14:paraId="281A0955" w14:textId="6B8F20D9"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Heptachlor</w:t>
            </w:r>
          </w:p>
        </w:tc>
        <w:tc>
          <w:tcPr>
            <w:tcW w:w="1480" w:type="dxa"/>
            <w:vAlign w:val="center"/>
          </w:tcPr>
          <w:p w14:paraId="281A0957" w14:textId="77777777" w:rsidR="00DF4666" w:rsidRDefault="00DF4666" w:rsidP="00673FB7">
            <w:pPr>
              <w:jc w:val="center"/>
              <w:rPr>
                <w:sz w:val="23"/>
                <w:szCs w:val="23"/>
              </w:rPr>
            </w:pPr>
          </w:p>
        </w:tc>
        <w:tc>
          <w:tcPr>
            <w:tcW w:w="1480" w:type="dxa"/>
            <w:vAlign w:val="center"/>
          </w:tcPr>
          <w:p w14:paraId="281A0958"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59" w14:textId="77777777" w:rsidR="00DF4666" w:rsidRDefault="00DF4666" w:rsidP="00DF4666">
            <w:pPr>
              <w:jc w:val="center"/>
              <w:rPr>
                <w:sz w:val="23"/>
                <w:szCs w:val="23"/>
              </w:rPr>
            </w:pPr>
          </w:p>
        </w:tc>
      </w:tr>
      <w:tr w:rsidR="00DF4666" w14:paraId="281A0963" w14:textId="77777777" w:rsidTr="00DF4666">
        <w:trPr>
          <w:trHeight w:val="274"/>
        </w:trPr>
        <w:tc>
          <w:tcPr>
            <w:tcW w:w="4740" w:type="dxa"/>
            <w:vAlign w:val="bottom"/>
          </w:tcPr>
          <w:p w14:paraId="281A095D" w14:textId="31F44595"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Heptachlor epoxide</w:t>
            </w:r>
          </w:p>
        </w:tc>
        <w:tc>
          <w:tcPr>
            <w:tcW w:w="1480" w:type="dxa"/>
            <w:vAlign w:val="center"/>
          </w:tcPr>
          <w:p w14:paraId="281A095F" w14:textId="77777777" w:rsidR="00DF4666" w:rsidRDefault="00DF4666" w:rsidP="00673FB7">
            <w:pPr>
              <w:jc w:val="center"/>
              <w:rPr>
                <w:sz w:val="23"/>
                <w:szCs w:val="23"/>
              </w:rPr>
            </w:pPr>
          </w:p>
        </w:tc>
        <w:tc>
          <w:tcPr>
            <w:tcW w:w="1480" w:type="dxa"/>
            <w:vAlign w:val="center"/>
          </w:tcPr>
          <w:p w14:paraId="281A0960"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61" w14:textId="77777777" w:rsidR="00DF4666" w:rsidRDefault="00DF4666" w:rsidP="00DF4666">
            <w:pPr>
              <w:jc w:val="center"/>
              <w:rPr>
                <w:sz w:val="23"/>
                <w:szCs w:val="23"/>
              </w:rPr>
            </w:pPr>
          </w:p>
        </w:tc>
      </w:tr>
      <w:tr w:rsidR="00DF4666" w14:paraId="281A096B" w14:textId="77777777" w:rsidTr="00DF4666">
        <w:trPr>
          <w:trHeight w:val="274"/>
        </w:trPr>
        <w:tc>
          <w:tcPr>
            <w:tcW w:w="4740" w:type="dxa"/>
            <w:vAlign w:val="bottom"/>
          </w:tcPr>
          <w:p w14:paraId="281A0965" w14:textId="530A5E86"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Lindane</w:t>
            </w:r>
          </w:p>
        </w:tc>
        <w:tc>
          <w:tcPr>
            <w:tcW w:w="1480" w:type="dxa"/>
            <w:vAlign w:val="center"/>
          </w:tcPr>
          <w:p w14:paraId="281A0967" w14:textId="77777777" w:rsidR="00DF4666" w:rsidRDefault="00DF4666" w:rsidP="00673FB7">
            <w:pPr>
              <w:jc w:val="center"/>
              <w:rPr>
                <w:sz w:val="23"/>
                <w:szCs w:val="23"/>
              </w:rPr>
            </w:pPr>
          </w:p>
        </w:tc>
        <w:tc>
          <w:tcPr>
            <w:tcW w:w="1480" w:type="dxa"/>
            <w:vAlign w:val="center"/>
          </w:tcPr>
          <w:p w14:paraId="281A0968"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69" w14:textId="77777777" w:rsidR="00DF4666" w:rsidRDefault="00DF4666" w:rsidP="00DF4666">
            <w:pPr>
              <w:jc w:val="center"/>
              <w:rPr>
                <w:sz w:val="23"/>
                <w:szCs w:val="23"/>
              </w:rPr>
            </w:pPr>
          </w:p>
        </w:tc>
      </w:tr>
      <w:tr w:rsidR="00DF4666" w14:paraId="281A0973" w14:textId="77777777" w:rsidTr="00DF4666">
        <w:trPr>
          <w:trHeight w:val="274"/>
        </w:trPr>
        <w:tc>
          <w:tcPr>
            <w:tcW w:w="4740" w:type="dxa"/>
            <w:vAlign w:val="bottom"/>
          </w:tcPr>
          <w:p w14:paraId="281A096D" w14:textId="0C2E473F"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Methoxychlor</w:t>
            </w:r>
          </w:p>
        </w:tc>
        <w:tc>
          <w:tcPr>
            <w:tcW w:w="1480" w:type="dxa"/>
            <w:vAlign w:val="center"/>
          </w:tcPr>
          <w:p w14:paraId="281A096F" w14:textId="77777777" w:rsidR="00DF4666" w:rsidRDefault="00DF4666" w:rsidP="00673FB7">
            <w:pPr>
              <w:jc w:val="center"/>
              <w:rPr>
                <w:sz w:val="23"/>
                <w:szCs w:val="23"/>
              </w:rPr>
            </w:pPr>
          </w:p>
        </w:tc>
        <w:tc>
          <w:tcPr>
            <w:tcW w:w="1480" w:type="dxa"/>
            <w:vAlign w:val="center"/>
          </w:tcPr>
          <w:p w14:paraId="281A0970"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71" w14:textId="77777777" w:rsidR="00DF4666" w:rsidRDefault="00DF4666" w:rsidP="00DF4666">
            <w:pPr>
              <w:jc w:val="center"/>
              <w:rPr>
                <w:sz w:val="23"/>
                <w:szCs w:val="23"/>
              </w:rPr>
            </w:pPr>
          </w:p>
        </w:tc>
      </w:tr>
      <w:tr w:rsidR="00DF4666" w14:paraId="281A097B" w14:textId="77777777" w:rsidTr="00DF4666">
        <w:trPr>
          <w:trHeight w:val="274"/>
        </w:trPr>
        <w:tc>
          <w:tcPr>
            <w:tcW w:w="4740" w:type="dxa"/>
            <w:vAlign w:val="bottom"/>
          </w:tcPr>
          <w:p w14:paraId="281A0975" w14:textId="793BB5CB"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PCBs</w:t>
            </w:r>
          </w:p>
        </w:tc>
        <w:tc>
          <w:tcPr>
            <w:tcW w:w="1480" w:type="dxa"/>
            <w:vAlign w:val="center"/>
          </w:tcPr>
          <w:p w14:paraId="281A0977" w14:textId="77777777" w:rsidR="00DF4666" w:rsidRDefault="00DF4666" w:rsidP="00673FB7">
            <w:pPr>
              <w:jc w:val="center"/>
              <w:rPr>
                <w:sz w:val="23"/>
                <w:szCs w:val="23"/>
              </w:rPr>
            </w:pPr>
          </w:p>
        </w:tc>
        <w:tc>
          <w:tcPr>
            <w:tcW w:w="1480" w:type="dxa"/>
            <w:vAlign w:val="center"/>
          </w:tcPr>
          <w:p w14:paraId="281A0978"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79" w14:textId="77777777" w:rsidR="00DF4666" w:rsidRDefault="00DF4666" w:rsidP="00DF4666">
            <w:pPr>
              <w:jc w:val="center"/>
              <w:rPr>
                <w:sz w:val="23"/>
                <w:szCs w:val="23"/>
              </w:rPr>
            </w:pPr>
          </w:p>
        </w:tc>
      </w:tr>
      <w:tr w:rsidR="00DF4666" w14:paraId="281A0983" w14:textId="77777777" w:rsidTr="00DF4666">
        <w:trPr>
          <w:trHeight w:val="274"/>
        </w:trPr>
        <w:tc>
          <w:tcPr>
            <w:tcW w:w="4740" w:type="dxa"/>
            <w:vAlign w:val="bottom"/>
          </w:tcPr>
          <w:p w14:paraId="281A097D" w14:textId="4A4BB48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Pentachlorophenol</w:t>
            </w:r>
          </w:p>
        </w:tc>
        <w:tc>
          <w:tcPr>
            <w:tcW w:w="1480" w:type="dxa"/>
            <w:vAlign w:val="center"/>
          </w:tcPr>
          <w:p w14:paraId="281A097F" w14:textId="77777777" w:rsidR="00DF4666" w:rsidRDefault="00DF4666" w:rsidP="00673FB7">
            <w:pPr>
              <w:jc w:val="center"/>
              <w:rPr>
                <w:sz w:val="23"/>
                <w:szCs w:val="23"/>
              </w:rPr>
            </w:pPr>
          </w:p>
        </w:tc>
        <w:tc>
          <w:tcPr>
            <w:tcW w:w="1480" w:type="dxa"/>
            <w:vAlign w:val="center"/>
          </w:tcPr>
          <w:p w14:paraId="281A0980"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81" w14:textId="77777777" w:rsidR="00DF4666" w:rsidRDefault="00DF4666" w:rsidP="00DF4666">
            <w:pPr>
              <w:jc w:val="center"/>
              <w:rPr>
                <w:sz w:val="23"/>
                <w:szCs w:val="23"/>
              </w:rPr>
            </w:pPr>
          </w:p>
        </w:tc>
      </w:tr>
      <w:tr w:rsidR="00DF4666" w14:paraId="281A098B" w14:textId="77777777" w:rsidTr="00DF4666">
        <w:trPr>
          <w:trHeight w:val="274"/>
        </w:trPr>
        <w:tc>
          <w:tcPr>
            <w:tcW w:w="4740" w:type="dxa"/>
            <w:vAlign w:val="bottom"/>
          </w:tcPr>
          <w:p w14:paraId="281A0985" w14:textId="60AA6355"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Toxaphene</w:t>
            </w:r>
          </w:p>
        </w:tc>
        <w:tc>
          <w:tcPr>
            <w:tcW w:w="1480" w:type="dxa"/>
            <w:vAlign w:val="center"/>
          </w:tcPr>
          <w:p w14:paraId="281A0987" w14:textId="77777777" w:rsidR="00DF4666" w:rsidRDefault="00DF4666" w:rsidP="00673FB7">
            <w:pPr>
              <w:jc w:val="center"/>
              <w:rPr>
                <w:sz w:val="23"/>
                <w:szCs w:val="23"/>
              </w:rPr>
            </w:pPr>
          </w:p>
        </w:tc>
        <w:tc>
          <w:tcPr>
            <w:tcW w:w="1480" w:type="dxa"/>
            <w:vAlign w:val="center"/>
          </w:tcPr>
          <w:p w14:paraId="281A0988"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89" w14:textId="77777777" w:rsidR="00DF4666" w:rsidRDefault="00DF4666" w:rsidP="00DF4666">
            <w:pPr>
              <w:jc w:val="center"/>
              <w:rPr>
                <w:sz w:val="23"/>
                <w:szCs w:val="23"/>
              </w:rPr>
            </w:pPr>
          </w:p>
        </w:tc>
      </w:tr>
      <w:tr w:rsidR="00DF4666" w14:paraId="281A0993" w14:textId="77777777" w:rsidTr="00DF4666">
        <w:trPr>
          <w:trHeight w:val="274"/>
        </w:trPr>
        <w:tc>
          <w:tcPr>
            <w:tcW w:w="4740" w:type="dxa"/>
            <w:vAlign w:val="bottom"/>
          </w:tcPr>
          <w:p w14:paraId="281A098D" w14:textId="4C6B6811"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2,4,5-TP</w:t>
            </w:r>
          </w:p>
        </w:tc>
        <w:tc>
          <w:tcPr>
            <w:tcW w:w="1480" w:type="dxa"/>
            <w:vAlign w:val="center"/>
          </w:tcPr>
          <w:p w14:paraId="281A098F" w14:textId="77777777" w:rsidR="00DF4666" w:rsidRDefault="00DF4666" w:rsidP="00673FB7">
            <w:pPr>
              <w:jc w:val="center"/>
              <w:rPr>
                <w:sz w:val="23"/>
                <w:szCs w:val="23"/>
              </w:rPr>
            </w:pPr>
          </w:p>
        </w:tc>
        <w:tc>
          <w:tcPr>
            <w:tcW w:w="1480" w:type="dxa"/>
            <w:vAlign w:val="center"/>
          </w:tcPr>
          <w:p w14:paraId="281A0990"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91" w14:textId="77777777" w:rsidR="00DF4666" w:rsidRDefault="00DF4666" w:rsidP="00DF4666">
            <w:pPr>
              <w:jc w:val="center"/>
              <w:rPr>
                <w:sz w:val="23"/>
                <w:szCs w:val="23"/>
              </w:rPr>
            </w:pPr>
          </w:p>
        </w:tc>
      </w:tr>
      <w:tr w:rsidR="00DF4666" w14:paraId="281A099B" w14:textId="77777777" w:rsidTr="00DF4666">
        <w:trPr>
          <w:trHeight w:val="274"/>
        </w:trPr>
        <w:tc>
          <w:tcPr>
            <w:tcW w:w="4740" w:type="dxa"/>
            <w:vAlign w:val="bottom"/>
          </w:tcPr>
          <w:p w14:paraId="281A0995" w14:textId="4436609B"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Endrin</w:t>
            </w:r>
          </w:p>
        </w:tc>
        <w:tc>
          <w:tcPr>
            <w:tcW w:w="1480" w:type="dxa"/>
            <w:vAlign w:val="center"/>
          </w:tcPr>
          <w:p w14:paraId="281A0997" w14:textId="77777777" w:rsidR="00DF4666" w:rsidRDefault="00DF4666" w:rsidP="00673FB7">
            <w:pPr>
              <w:jc w:val="center"/>
              <w:rPr>
                <w:sz w:val="23"/>
                <w:szCs w:val="23"/>
              </w:rPr>
            </w:pPr>
          </w:p>
        </w:tc>
        <w:tc>
          <w:tcPr>
            <w:tcW w:w="1480" w:type="dxa"/>
            <w:vAlign w:val="center"/>
          </w:tcPr>
          <w:p w14:paraId="281A0998"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99" w14:textId="77777777" w:rsidR="00DF4666" w:rsidRDefault="00DF4666" w:rsidP="00DF4666">
            <w:pPr>
              <w:jc w:val="center"/>
              <w:rPr>
                <w:sz w:val="23"/>
                <w:szCs w:val="23"/>
              </w:rPr>
            </w:pPr>
          </w:p>
        </w:tc>
      </w:tr>
      <w:tr w:rsidR="00DF4666" w14:paraId="281A09A3" w14:textId="77777777" w:rsidTr="00DF4666">
        <w:trPr>
          <w:trHeight w:val="274"/>
        </w:trPr>
        <w:tc>
          <w:tcPr>
            <w:tcW w:w="4740" w:type="dxa"/>
            <w:vAlign w:val="bottom"/>
          </w:tcPr>
          <w:p w14:paraId="281A099D" w14:textId="4D1F9A0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Benzo(a)pyrene</w:t>
            </w:r>
          </w:p>
        </w:tc>
        <w:tc>
          <w:tcPr>
            <w:tcW w:w="1480" w:type="dxa"/>
            <w:vAlign w:val="center"/>
          </w:tcPr>
          <w:p w14:paraId="281A099F" w14:textId="77777777" w:rsidR="00DF4666" w:rsidRDefault="00DF4666" w:rsidP="00673FB7">
            <w:pPr>
              <w:jc w:val="center"/>
              <w:rPr>
                <w:sz w:val="23"/>
                <w:szCs w:val="23"/>
              </w:rPr>
            </w:pPr>
          </w:p>
        </w:tc>
        <w:tc>
          <w:tcPr>
            <w:tcW w:w="1480" w:type="dxa"/>
            <w:vAlign w:val="center"/>
          </w:tcPr>
          <w:p w14:paraId="281A09A0"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A1" w14:textId="77777777" w:rsidR="00DF4666" w:rsidRDefault="00DF4666" w:rsidP="00DF4666">
            <w:pPr>
              <w:jc w:val="center"/>
              <w:rPr>
                <w:sz w:val="23"/>
                <w:szCs w:val="23"/>
              </w:rPr>
            </w:pPr>
          </w:p>
        </w:tc>
      </w:tr>
      <w:tr w:rsidR="00DF4666" w14:paraId="281A09AB" w14:textId="77777777" w:rsidTr="00DF4666">
        <w:trPr>
          <w:trHeight w:val="274"/>
        </w:trPr>
        <w:tc>
          <w:tcPr>
            <w:tcW w:w="4740" w:type="dxa"/>
            <w:vAlign w:val="bottom"/>
          </w:tcPr>
          <w:p w14:paraId="281A09A5" w14:textId="3B9D9884"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Dalapone</w:t>
            </w:r>
          </w:p>
        </w:tc>
        <w:tc>
          <w:tcPr>
            <w:tcW w:w="1480" w:type="dxa"/>
            <w:vAlign w:val="center"/>
          </w:tcPr>
          <w:p w14:paraId="281A09A7" w14:textId="77777777" w:rsidR="00DF4666" w:rsidRDefault="00DF4666" w:rsidP="00673FB7">
            <w:pPr>
              <w:jc w:val="center"/>
              <w:rPr>
                <w:sz w:val="23"/>
                <w:szCs w:val="23"/>
              </w:rPr>
            </w:pPr>
          </w:p>
        </w:tc>
        <w:tc>
          <w:tcPr>
            <w:tcW w:w="1480" w:type="dxa"/>
            <w:vAlign w:val="center"/>
          </w:tcPr>
          <w:p w14:paraId="281A09A8"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A9" w14:textId="77777777" w:rsidR="00DF4666" w:rsidRDefault="00DF4666" w:rsidP="00DF4666">
            <w:pPr>
              <w:jc w:val="center"/>
              <w:rPr>
                <w:sz w:val="23"/>
                <w:szCs w:val="23"/>
              </w:rPr>
            </w:pPr>
          </w:p>
        </w:tc>
      </w:tr>
      <w:tr w:rsidR="00DF4666" w14:paraId="281A09B3" w14:textId="77777777" w:rsidTr="00DF4666">
        <w:trPr>
          <w:trHeight w:val="274"/>
        </w:trPr>
        <w:tc>
          <w:tcPr>
            <w:tcW w:w="4740" w:type="dxa"/>
            <w:vAlign w:val="bottom"/>
          </w:tcPr>
          <w:p w14:paraId="281A09AD" w14:textId="0359610E"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Dichloromethane</w:t>
            </w:r>
          </w:p>
        </w:tc>
        <w:tc>
          <w:tcPr>
            <w:tcW w:w="1480" w:type="dxa"/>
            <w:vAlign w:val="center"/>
          </w:tcPr>
          <w:p w14:paraId="281A09AF" w14:textId="77777777" w:rsidR="00DF4666" w:rsidRDefault="00DF4666" w:rsidP="00673FB7">
            <w:pPr>
              <w:jc w:val="center"/>
              <w:rPr>
                <w:sz w:val="23"/>
                <w:szCs w:val="23"/>
              </w:rPr>
            </w:pPr>
          </w:p>
        </w:tc>
        <w:tc>
          <w:tcPr>
            <w:tcW w:w="1480" w:type="dxa"/>
            <w:vAlign w:val="center"/>
          </w:tcPr>
          <w:p w14:paraId="281A09B0"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B1" w14:textId="77777777" w:rsidR="00DF4666" w:rsidRDefault="00DF4666" w:rsidP="00DF4666">
            <w:pPr>
              <w:jc w:val="center"/>
              <w:rPr>
                <w:sz w:val="23"/>
                <w:szCs w:val="23"/>
              </w:rPr>
            </w:pPr>
          </w:p>
        </w:tc>
      </w:tr>
      <w:tr w:rsidR="00DF4666" w14:paraId="281A09BA" w14:textId="77777777" w:rsidTr="00DF4666">
        <w:trPr>
          <w:trHeight w:val="274"/>
        </w:trPr>
        <w:tc>
          <w:tcPr>
            <w:tcW w:w="4740" w:type="dxa"/>
            <w:vAlign w:val="bottom"/>
          </w:tcPr>
          <w:p w14:paraId="281A09B5" w14:textId="3E3CB47B"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Di(2-ethylhexyl)adipate</w:t>
            </w:r>
          </w:p>
        </w:tc>
        <w:tc>
          <w:tcPr>
            <w:tcW w:w="1480" w:type="dxa"/>
            <w:vAlign w:val="center"/>
          </w:tcPr>
          <w:p w14:paraId="281A09B6"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B7"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B8" w14:textId="77777777" w:rsidR="00DF4666" w:rsidRDefault="00DF4666" w:rsidP="00DF4666">
            <w:pPr>
              <w:jc w:val="center"/>
              <w:rPr>
                <w:sz w:val="23"/>
                <w:szCs w:val="23"/>
              </w:rPr>
            </w:pPr>
          </w:p>
        </w:tc>
      </w:tr>
      <w:tr w:rsidR="00DF4666" w14:paraId="281A09C2" w14:textId="77777777" w:rsidTr="00DF4666">
        <w:trPr>
          <w:trHeight w:val="274"/>
        </w:trPr>
        <w:tc>
          <w:tcPr>
            <w:tcW w:w="4740" w:type="dxa"/>
            <w:vAlign w:val="bottom"/>
          </w:tcPr>
          <w:p w14:paraId="281A09BC" w14:textId="30E810C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Di(2-ethylhexyl)phthalate</w:t>
            </w:r>
          </w:p>
        </w:tc>
        <w:tc>
          <w:tcPr>
            <w:tcW w:w="1480" w:type="dxa"/>
            <w:vAlign w:val="center"/>
          </w:tcPr>
          <w:p w14:paraId="281A09BE" w14:textId="77777777" w:rsidR="00DF4666" w:rsidRDefault="00DF4666" w:rsidP="00673FB7">
            <w:pPr>
              <w:jc w:val="center"/>
              <w:rPr>
                <w:sz w:val="23"/>
                <w:szCs w:val="23"/>
              </w:rPr>
            </w:pPr>
          </w:p>
        </w:tc>
        <w:tc>
          <w:tcPr>
            <w:tcW w:w="1480" w:type="dxa"/>
            <w:vAlign w:val="center"/>
          </w:tcPr>
          <w:p w14:paraId="281A09BF"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C0" w14:textId="77777777" w:rsidR="00DF4666" w:rsidRDefault="00DF4666" w:rsidP="00DF4666">
            <w:pPr>
              <w:jc w:val="center"/>
              <w:rPr>
                <w:sz w:val="23"/>
                <w:szCs w:val="23"/>
              </w:rPr>
            </w:pPr>
          </w:p>
        </w:tc>
      </w:tr>
      <w:tr w:rsidR="00DF4666" w14:paraId="281A09CA" w14:textId="77777777" w:rsidTr="00DF4666">
        <w:trPr>
          <w:trHeight w:val="274"/>
        </w:trPr>
        <w:tc>
          <w:tcPr>
            <w:tcW w:w="4740" w:type="dxa"/>
            <w:vAlign w:val="bottom"/>
          </w:tcPr>
          <w:p w14:paraId="281A09C4" w14:textId="6EA479C2"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Dinoseb</w:t>
            </w:r>
          </w:p>
        </w:tc>
        <w:tc>
          <w:tcPr>
            <w:tcW w:w="1480" w:type="dxa"/>
            <w:vAlign w:val="center"/>
          </w:tcPr>
          <w:p w14:paraId="281A09C6" w14:textId="77777777" w:rsidR="00DF4666" w:rsidRDefault="00DF4666" w:rsidP="00673FB7">
            <w:pPr>
              <w:jc w:val="center"/>
              <w:rPr>
                <w:sz w:val="23"/>
                <w:szCs w:val="23"/>
              </w:rPr>
            </w:pPr>
          </w:p>
        </w:tc>
        <w:tc>
          <w:tcPr>
            <w:tcW w:w="1480" w:type="dxa"/>
            <w:vAlign w:val="center"/>
          </w:tcPr>
          <w:p w14:paraId="281A09C7"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C8" w14:textId="77777777" w:rsidR="00DF4666" w:rsidRDefault="00DF4666" w:rsidP="00DF4666">
            <w:pPr>
              <w:jc w:val="center"/>
              <w:rPr>
                <w:sz w:val="23"/>
                <w:szCs w:val="23"/>
              </w:rPr>
            </w:pPr>
          </w:p>
        </w:tc>
      </w:tr>
      <w:tr w:rsidR="00DF4666" w14:paraId="281A09D2" w14:textId="77777777" w:rsidTr="00DF4666">
        <w:trPr>
          <w:trHeight w:val="274"/>
        </w:trPr>
        <w:tc>
          <w:tcPr>
            <w:tcW w:w="4740" w:type="dxa"/>
            <w:vAlign w:val="bottom"/>
          </w:tcPr>
          <w:p w14:paraId="281A09CC" w14:textId="0B501E49"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Diquat</w:t>
            </w:r>
          </w:p>
        </w:tc>
        <w:tc>
          <w:tcPr>
            <w:tcW w:w="1480" w:type="dxa"/>
            <w:vAlign w:val="center"/>
          </w:tcPr>
          <w:p w14:paraId="281A09CE" w14:textId="77777777" w:rsidR="00DF4666" w:rsidRDefault="00DF4666" w:rsidP="00673FB7">
            <w:pPr>
              <w:jc w:val="center"/>
              <w:rPr>
                <w:sz w:val="23"/>
                <w:szCs w:val="23"/>
              </w:rPr>
            </w:pPr>
          </w:p>
        </w:tc>
        <w:tc>
          <w:tcPr>
            <w:tcW w:w="1480" w:type="dxa"/>
            <w:vAlign w:val="center"/>
          </w:tcPr>
          <w:p w14:paraId="281A09CF"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D0" w14:textId="77777777" w:rsidR="00DF4666" w:rsidRDefault="00DF4666" w:rsidP="00DF4666">
            <w:pPr>
              <w:jc w:val="center"/>
              <w:rPr>
                <w:sz w:val="23"/>
                <w:szCs w:val="23"/>
              </w:rPr>
            </w:pPr>
          </w:p>
        </w:tc>
      </w:tr>
      <w:tr w:rsidR="00DF4666" w14:paraId="281A09DA" w14:textId="77777777" w:rsidTr="00DF4666">
        <w:trPr>
          <w:trHeight w:val="274"/>
        </w:trPr>
        <w:tc>
          <w:tcPr>
            <w:tcW w:w="4740" w:type="dxa"/>
            <w:vAlign w:val="bottom"/>
          </w:tcPr>
          <w:p w14:paraId="281A09D4" w14:textId="4180D0A1"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Endothall</w:t>
            </w:r>
          </w:p>
        </w:tc>
        <w:tc>
          <w:tcPr>
            <w:tcW w:w="1480" w:type="dxa"/>
            <w:vAlign w:val="center"/>
          </w:tcPr>
          <w:p w14:paraId="281A09D6" w14:textId="77777777" w:rsidR="00DF4666" w:rsidRDefault="00DF4666" w:rsidP="00673FB7">
            <w:pPr>
              <w:jc w:val="center"/>
              <w:rPr>
                <w:sz w:val="23"/>
                <w:szCs w:val="23"/>
              </w:rPr>
            </w:pPr>
          </w:p>
        </w:tc>
        <w:tc>
          <w:tcPr>
            <w:tcW w:w="1480" w:type="dxa"/>
            <w:vAlign w:val="center"/>
          </w:tcPr>
          <w:p w14:paraId="281A09D7"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D8" w14:textId="77777777" w:rsidR="00DF4666" w:rsidRDefault="00DF4666" w:rsidP="00DF4666">
            <w:pPr>
              <w:jc w:val="center"/>
              <w:rPr>
                <w:sz w:val="23"/>
                <w:szCs w:val="23"/>
              </w:rPr>
            </w:pPr>
          </w:p>
        </w:tc>
      </w:tr>
      <w:tr w:rsidR="00673FB7" w14:paraId="281A09E3" w14:textId="77777777" w:rsidTr="00DF4666">
        <w:trPr>
          <w:trHeight w:val="274"/>
        </w:trPr>
        <w:tc>
          <w:tcPr>
            <w:tcW w:w="4740" w:type="dxa"/>
            <w:vAlign w:val="bottom"/>
          </w:tcPr>
          <w:p w14:paraId="281A09DC" w14:textId="6F38AE2B" w:rsidR="00673FB7" w:rsidRPr="00DD5010" w:rsidRDefault="00673FB7" w:rsidP="00DD5010">
            <w:pPr>
              <w:pStyle w:val="ListParagraph"/>
              <w:numPr>
                <w:ilvl w:val="2"/>
                <w:numId w:val="420"/>
              </w:numPr>
              <w:spacing w:line="273" w:lineRule="exact"/>
              <w:rPr>
                <w:sz w:val="20"/>
                <w:szCs w:val="20"/>
              </w:rPr>
            </w:pPr>
            <w:r w:rsidRPr="00DD5010">
              <w:rPr>
                <w:rFonts w:eastAsia="Times New Roman"/>
                <w:sz w:val="24"/>
                <w:szCs w:val="24"/>
              </w:rPr>
              <w:t>Glyphosate</w:t>
            </w:r>
          </w:p>
        </w:tc>
        <w:tc>
          <w:tcPr>
            <w:tcW w:w="1480" w:type="dxa"/>
            <w:vAlign w:val="center"/>
          </w:tcPr>
          <w:p w14:paraId="281A09DE" w14:textId="77777777" w:rsidR="00673FB7" w:rsidRDefault="00673FB7" w:rsidP="00673FB7">
            <w:pPr>
              <w:jc w:val="center"/>
              <w:rPr>
                <w:sz w:val="23"/>
                <w:szCs w:val="23"/>
              </w:rPr>
            </w:pPr>
          </w:p>
        </w:tc>
        <w:tc>
          <w:tcPr>
            <w:tcW w:w="1480" w:type="dxa"/>
            <w:vAlign w:val="center"/>
          </w:tcPr>
          <w:p w14:paraId="281A09E1" w14:textId="77777777" w:rsidR="00673FB7" w:rsidRDefault="00673FB7" w:rsidP="00673FB7">
            <w:pPr>
              <w:jc w:val="center"/>
              <w:rPr>
                <w:sz w:val="23"/>
                <w:szCs w:val="23"/>
              </w:rPr>
            </w:pPr>
          </w:p>
        </w:tc>
        <w:tc>
          <w:tcPr>
            <w:tcW w:w="418" w:type="dxa"/>
            <w:vAlign w:val="center"/>
          </w:tcPr>
          <w:p w14:paraId="281A09E2" w14:textId="77777777" w:rsidR="00673FB7" w:rsidRDefault="00673FB7" w:rsidP="00DF4666">
            <w:pPr>
              <w:spacing w:line="273" w:lineRule="exact"/>
              <w:ind w:left="100"/>
              <w:jc w:val="center"/>
              <w:rPr>
                <w:sz w:val="20"/>
                <w:szCs w:val="20"/>
              </w:rPr>
            </w:pPr>
            <w:r>
              <w:rPr>
                <w:rFonts w:eastAsia="Times New Roman"/>
                <w:sz w:val="24"/>
                <w:szCs w:val="24"/>
              </w:rPr>
              <w:t>X</w:t>
            </w:r>
          </w:p>
        </w:tc>
      </w:tr>
      <w:tr w:rsidR="00DF4666" w14:paraId="281A09EB" w14:textId="77777777" w:rsidTr="00DF4666">
        <w:trPr>
          <w:trHeight w:val="274"/>
        </w:trPr>
        <w:tc>
          <w:tcPr>
            <w:tcW w:w="4740" w:type="dxa"/>
            <w:vAlign w:val="bottom"/>
          </w:tcPr>
          <w:p w14:paraId="281A09E5" w14:textId="216FACFC"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Hexachlorobenzene</w:t>
            </w:r>
          </w:p>
        </w:tc>
        <w:tc>
          <w:tcPr>
            <w:tcW w:w="1480" w:type="dxa"/>
            <w:vAlign w:val="center"/>
          </w:tcPr>
          <w:p w14:paraId="281A09E7" w14:textId="77777777" w:rsidR="00DF4666" w:rsidRDefault="00DF4666" w:rsidP="00673FB7">
            <w:pPr>
              <w:jc w:val="center"/>
              <w:rPr>
                <w:sz w:val="23"/>
                <w:szCs w:val="23"/>
              </w:rPr>
            </w:pPr>
          </w:p>
        </w:tc>
        <w:tc>
          <w:tcPr>
            <w:tcW w:w="1480" w:type="dxa"/>
            <w:vAlign w:val="center"/>
          </w:tcPr>
          <w:p w14:paraId="281A09E8"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E9" w14:textId="77777777" w:rsidR="00DF4666" w:rsidRDefault="00DF4666" w:rsidP="00DF4666">
            <w:pPr>
              <w:jc w:val="center"/>
              <w:rPr>
                <w:sz w:val="23"/>
                <w:szCs w:val="23"/>
              </w:rPr>
            </w:pPr>
          </w:p>
        </w:tc>
      </w:tr>
      <w:tr w:rsidR="00DF4666" w14:paraId="281A09F2" w14:textId="77777777" w:rsidTr="00DF4666">
        <w:trPr>
          <w:trHeight w:val="274"/>
        </w:trPr>
        <w:tc>
          <w:tcPr>
            <w:tcW w:w="4740" w:type="dxa"/>
            <w:vAlign w:val="bottom"/>
          </w:tcPr>
          <w:p w14:paraId="281A09ED" w14:textId="7ACB9425"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Hexachlorocyclopentadiene</w:t>
            </w:r>
          </w:p>
        </w:tc>
        <w:tc>
          <w:tcPr>
            <w:tcW w:w="1480" w:type="dxa"/>
            <w:vAlign w:val="center"/>
          </w:tcPr>
          <w:p w14:paraId="281A09EE"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EF"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F0" w14:textId="77777777" w:rsidR="00DF4666" w:rsidRDefault="00DF4666" w:rsidP="00DF4666">
            <w:pPr>
              <w:jc w:val="center"/>
              <w:rPr>
                <w:sz w:val="23"/>
                <w:szCs w:val="23"/>
              </w:rPr>
            </w:pPr>
          </w:p>
        </w:tc>
      </w:tr>
      <w:tr w:rsidR="00DF4666" w14:paraId="281A09FA" w14:textId="77777777" w:rsidTr="00DF4666">
        <w:trPr>
          <w:trHeight w:val="274"/>
        </w:trPr>
        <w:tc>
          <w:tcPr>
            <w:tcW w:w="4740" w:type="dxa"/>
            <w:vAlign w:val="bottom"/>
          </w:tcPr>
          <w:p w14:paraId="281A09F4" w14:textId="69D611BC"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Oxamyl</w:t>
            </w:r>
          </w:p>
        </w:tc>
        <w:tc>
          <w:tcPr>
            <w:tcW w:w="1480" w:type="dxa"/>
            <w:vAlign w:val="center"/>
          </w:tcPr>
          <w:p w14:paraId="281A09F6" w14:textId="77777777" w:rsidR="00DF4666" w:rsidRDefault="00DF4666" w:rsidP="00673FB7">
            <w:pPr>
              <w:jc w:val="center"/>
              <w:rPr>
                <w:sz w:val="23"/>
                <w:szCs w:val="23"/>
              </w:rPr>
            </w:pPr>
          </w:p>
        </w:tc>
        <w:tc>
          <w:tcPr>
            <w:tcW w:w="1480" w:type="dxa"/>
            <w:vAlign w:val="center"/>
          </w:tcPr>
          <w:p w14:paraId="281A09F7"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9F8" w14:textId="77777777" w:rsidR="00DF4666" w:rsidRDefault="00DF4666" w:rsidP="00DF4666">
            <w:pPr>
              <w:jc w:val="center"/>
              <w:rPr>
                <w:sz w:val="23"/>
                <w:szCs w:val="23"/>
              </w:rPr>
            </w:pPr>
          </w:p>
        </w:tc>
      </w:tr>
      <w:tr w:rsidR="00DF4666" w14:paraId="281A0A02" w14:textId="77777777" w:rsidTr="00DF4666">
        <w:trPr>
          <w:trHeight w:val="274"/>
        </w:trPr>
        <w:tc>
          <w:tcPr>
            <w:tcW w:w="4740" w:type="dxa"/>
            <w:vAlign w:val="bottom"/>
          </w:tcPr>
          <w:p w14:paraId="281A09FC" w14:textId="4346E473"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Picloram</w:t>
            </w:r>
          </w:p>
        </w:tc>
        <w:tc>
          <w:tcPr>
            <w:tcW w:w="1480" w:type="dxa"/>
            <w:vAlign w:val="center"/>
          </w:tcPr>
          <w:p w14:paraId="281A09FE" w14:textId="77777777" w:rsidR="00DF4666" w:rsidRDefault="00DF4666" w:rsidP="00673FB7">
            <w:pPr>
              <w:jc w:val="center"/>
              <w:rPr>
                <w:sz w:val="23"/>
                <w:szCs w:val="23"/>
              </w:rPr>
            </w:pPr>
          </w:p>
        </w:tc>
        <w:tc>
          <w:tcPr>
            <w:tcW w:w="1480" w:type="dxa"/>
            <w:vAlign w:val="center"/>
          </w:tcPr>
          <w:p w14:paraId="281A09FF"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A00" w14:textId="77777777" w:rsidR="00DF4666" w:rsidRDefault="00DF4666" w:rsidP="00DF4666">
            <w:pPr>
              <w:jc w:val="center"/>
              <w:rPr>
                <w:sz w:val="23"/>
                <w:szCs w:val="23"/>
              </w:rPr>
            </w:pPr>
          </w:p>
        </w:tc>
      </w:tr>
      <w:tr w:rsidR="00DF4666" w14:paraId="281A0A0A" w14:textId="77777777" w:rsidTr="00DF4666">
        <w:trPr>
          <w:trHeight w:val="274"/>
        </w:trPr>
        <w:tc>
          <w:tcPr>
            <w:tcW w:w="4740" w:type="dxa"/>
            <w:vAlign w:val="bottom"/>
          </w:tcPr>
          <w:p w14:paraId="281A0A04" w14:textId="0FF97897"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Simazine</w:t>
            </w:r>
          </w:p>
        </w:tc>
        <w:tc>
          <w:tcPr>
            <w:tcW w:w="1480" w:type="dxa"/>
            <w:vAlign w:val="center"/>
          </w:tcPr>
          <w:p w14:paraId="281A0A06" w14:textId="77777777" w:rsidR="00DF4666" w:rsidRDefault="00DF4666" w:rsidP="00673FB7">
            <w:pPr>
              <w:jc w:val="center"/>
              <w:rPr>
                <w:sz w:val="23"/>
                <w:szCs w:val="23"/>
              </w:rPr>
            </w:pPr>
          </w:p>
        </w:tc>
        <w:tc>
          <w:tcPr>
            <w:tcW w:w="1480" w:type="dxa"/>
            <w:vAlign w:val="center"/>
          </w:tcPr>
          <w:p w14:paraId="281A0A07"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A08" w14:textId="77777777" w:rsidR="00DF4666" w:rsidRDefault="00DF4666" w:rsidP="00DF4666">
            <w:pPr>
              <w:jc w:val="center"/>
              <w:rPr>
                <w:sz w:val="23"/>
                <w:szCs w:val="23"/>
              </w:rPr>
            </w:pPr>
          </w:p>
        </w:tc>
      </w:tr>
      <w:tr w:rsidR="00DF4666" w14:paraId="281A0A11" w14:textId="77777777" w:rsidTr="00DF4666">
        <w:trPr>
          <w:trHeight w:val="274"/>
        </w:trPr>
        <w:tc>
          <w:tcPr>
            <w:tcW w:w="4740" w:type="dxa"/>
            <w:vAlign w:val="bottom"/>
          </w:tcPr>
          <w:p w14:paraId="281A0A0C" w14:textId="04445A9B"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1,2,4-Trichlorobenzene</w:t>
            </w:r>
          </w:p>
        </w:tc>
        <w:tc>
          <w:tcPr>
            <w:tcW w:w="1480" w:type="dxa"/>
            <w:vAlign w:val="center"/>
          </w:tcPr>
          <w:p w14:paraId="281A0A0D"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A0E"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A0F" w14:textId="77777777" w:rsidR="00DF4666" w:rsidRDefault="00DF4666" w:rsidP="00DF4666">
            <w:pPr>
              <w:jc w:val="center"/>
              <w:rPr>
                <w:sz w:val="23"/>
                <w:szCs w:val="23"/>
              </w:rPr>
            </w:pPr>
          </w:p>
        </w:tc>
      </w:tr>
      <w:tr w:rsidR="00DF4666" w14:paraId="281A0A18" w14:textId="77777777" w:rsidTr="00DF4666">
        <w:trPr>
          <w:trHeight w:val="274"/>
        </w:trPr>
        <w:tc>
          <w:tcPr>
            <w:tcW w:w="4740" w:type="dxa"/>
            <w:vAlign w:val="bottom"/>
          </w:tcPr>
          <w:p w14:paraId="281A0A13" w14:textId="52EF2F1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1,1,2-Trichloroethane</w:t>
            </w:r>
          </w:p>
        </w:tc>
        <w:tc>
          <w:tcPr>
            <w:tcW w:w="1480" w:type="dxa"/>
            <w:vAlign w:val="center"/>
          </w:tcPr>
          <w:p w14:paraId="281A0A14"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A15" w14:textId="77777777" w:rsidR="00DF4666" w:rsidRDefault="00DF4666" w:rsidP="00673FB7">
            <w:pPr>
              <w:spacing w:line="273" w:lineRule="exact"/>
              <w:jc w:val="center"/>
              <w:rPr>
                <w:sz w:val="20"/>
                <w:szCs w:val="20"/>
              </w:rPr>
            </w:pPr>
            <w:r>
              <w:rPr>
                <w:rFonts w:eastAsia="Times New Roman"/>
                <w:sz w:val="24"/>
                <w:szCs w:val="24"/>
              </w:rPr>
              <w:t>X</w:t>
            </w:r>
          </w:p>
        </w:tc>
        <w:tc>
          <w:tcPr>
            <w:tcW w:w="418" w:type="dxa"/>
            <w:vAlign w:val="center"/>
          </w:tcPr>
          <w:p w14:paraId="281A0A16" w14:textId="77777777" w:rsidR="00DF4666" w:rsidRDefault="00DF4666" w:rsidP="00DF4666">
            <w:pPr>
              <w:jc w:val="center"/>
              <w:rPr>
                <w:sz w:val="23"/>
                <w:szCs w:val="23"/>
              </w:rPr>
            </w:pPr>
          </w:p>
        </w:tc>
      </w:tr>
      <w:tr w:rsidR="00DF4666" w14:paraId="281A0A20" w14:textId="77777777" w:rsidTr="00DF4666">
        <w:trPr>
          <w:trHeight w:val="312"/>
        </w:trPr>
        <w:tc>
          <w:tcPr>
            <w:tcW w:w="4740" w:type="dxa"/>
            <w:vAlign w:val="bottom"/>
          </w:tcPr>
          <w:p w14:paraId="281A0A1A" w14:textId="2EAB1C51" w:rsidR="00DF4666" w:rsidRPr="00DD5010" w:rsidRDefault="00DF4666" w:rsidP="00DD5010">
            <w:pPr>
              <w:pStyle w:val="ListParagraph"/>
              <w:numPr>
                <w:ilvl w:val="2"/>
                <w:numId w:val="420"/>
              </w:numPr>
              <w:rPr>
                <w:sz w:val="20"/>
                <w:szCs w:val="20"/>
              </w:rPr>
            </w:pPr>
            <w:r w:rsidRPr="00DD5010">
              <w:rPr>
                <w:rFonts w:eastAsia="Times New Roman"/>
                <w:sz w:val="24"/>
                <w:szCs w:val="24"/>
              </w:rPr>
              <w:t>2,3,7,8-TCDD(Dioxin)</w:t>
            </w:r>
          </w:p>
        </w:tc>
        <w:tc>
          <w:tcPr>
            <w:tcW w:w="1480" w:type="dxa"/>
            <w:vAlign w:val="center"/>
          </w:tcPr>
          <w:p w14:paraId="281A0A1C" w14:textId="77777777" w:rsidR="00DF4666" w:rsidRDefault="00DF4666" w:rsidP="00673FB7">
            <w:pPr>
              <w:jc w:val="center"/>
              <w:rPr>
                <w:sz w:val="24"/>
                <w:szCs w:val="24"/>
              </w:rPr>
            </w:pPr>
          </w:p>
        </w:tc>
        <w:tc>
          <w:tcPr>
            <w:tcW w:w="1480" w:type="dxa"/>
            <w:vAlign w:val="center"/>
          </w:tcPr>
          <w:p w14:paraId="281A0A1D" w14:textId="77777777" w:rsidR="00DF4666" w:rsidRDefault="00DF4666" w:rsidP="00673FB7">
            <w:pPr>
              <w:jc w:val="center"/>
              <w:rPr>
                <w:sz w:val="20"/>
                <w:szCs w:val="20"/>
              </w:rPr>
            </w:pPr>
            <w:r>
              <w:rPr>
                <w:rFonts w:eastAsia="Times New Roman"/>
                <w:sz w:val="24"/>
                <w:szCs w:val="24"/>
              </w:rPr>
              <w:t>X</w:t>
            </w:r>
          </w:p>
        </w:tc>
        <w:tc>
          <w:tcPr>
            <w:tcW w:w="418" w:type="dxa"/>
            <w:vAlign w:val="center"/>
          </w:tcPr>
          <w:p w14:paraId="281A0A1E" w14:textId="77777777" w:rsidR="00DF4666" w:rsidRDefault="00DF4666" w:rsidP="00DF4666">
            <w:pPr>
              <w:jc w:val="center"/>
              <w:rPr>
                <w:sz w:val="24"/>
                <w:szCs w:val="24"/>
              </w:rPr>
            </w:pPr>
          </w:p>
        </w:tc>
      </w:tr>
    </w:tbl>
    <w:p w14:paraId="641DF090" w14:textId="77777777" w:rsidR="00726234" w:rsidRPr="009C4F0B" w:rsidRDefault="00726234">
      <w:pPr>
        <w:rPr>
          <w:sz w:val="20"/>
          <w:szCs w:val="20"/>
        </w:rPr>
      </w:pPr>
    </w:p>
    <w:p w14:paraId="33063C46" w14:textId="0D27698A" w:rsidR="00726234" w:rsidRPr="00890C0D" w:rsidRDefault="00726234" w:rsidP="005454EA">
      <w:pPr>
        <w:ind w:left="1170"/>
        <w:rPr>
          <w:sz w:val="24"/>
          <w:szCs w:val="24"/>
        </w:rPr>
      </w:pPr>
      <w:r w:rsidRPr="00890C0D">
        <w:rPr>
          <w:sz w:val="24"/>
          <w:szCs w:val="24"/>
          <w:vertAlign w:val="superscript"/>
        </w:rPr>
        <w:t>1</w:t>
      </w:r>
      <w:r w:rsidR="005454EA">
        <w:rPr>
          <w:sz w:val="24"/>
          <w:szCs w:val="24"/>
          <w:vertAlign w:val="superscript"/>
        </w:rPr>
        <w:t xml:space="preserve"> </w:t>
      </w:r>
      <w:r w:rsidR="00BC1BF2" w:rsidRPr="00890C0D">
        <w:rPr>
          <w:sz w:val="24"/>
          <w:szCs w:val="24"/>
        </w:rPr>
        <w:t>Packed Tower Aeration</w:t>
      </w:r>
    </w:p>
    <w:p w14:paraId="477ECC40" w14:textId="7DA063F3" w:rsidR="00726234" w:rsidRPr="00890C0D" w:rsidRDefault="00726234" w:rsidP="005454EA">
      <w:pPr>
        <w:ind w:left="1170"/>
        <w:rPr>
          <w:sz w:val="24"/>
          <w:szCs w:val="24"/>
        </w:rPr>
      </w:pPr>
      <w:r w:rsidRPr="00890C0D">
        <w:rPr>
          <w:sz w:val="24"/>
          <w:szCs w:val="24"/>
          <w:vertAlign w:val="superscript"/>
        </w:rPr>
        <w:t>2</w:t>
      </w:r>
      <w:r w:rsidR="005454EA">
        <w:rPr>
          <w:sz w:val="24"/>
          <w:szCs w:val="24"/>
          <w:vertAlign w:val="superscript"/>
        </w:rPr>
        <w:t xml:space="preserve"> </w:t>
      </w:r>
      <w:r w:rsidR="00BC1BF2" w:rsidRPr="00890C0D">
        <w:rPr>
          <w:sz w:val="24"/>
          <w:szCs w:val="24"/>
        </w:rPr>
        <w:t>Granular Activated Carbon</w:t>
      </w:r>
    </w:p>
    <w:p w14:paraId="281A0A21" w14:textId="2B4E8065" w:rsidR="004647B9" w:rsidRPr="00890C0D" w:rsidRDefault="00726234" w:rsidP="005454EA">
      <w:pPr>
        <w:ind w:left="1170"/>
        <w:rPr>
          <w:sz w:val="24"/>
          <w:szCs w:val="24"/>
        </w:rPr>
        <w:sectPr w:rsidR="004647B9" w:rsidRPr="00890C0D" w:rsidSect="00EF630C">
          <w:pgSz w:w="12240" w:h="20180"/>
          <w:pgMar w:top="708" w:right="1440" w:bottom="1440" w:left="600" w:header="0" w:footer="0" w:gutter="0"/>
          <w:cols w:space="720"/>
        </w:sectPr>
      </w:pPr>
      <w:r w:rsidRPr="00890C0D">
        <w:rPr>
          <w:sz w:val="24"/>
          <w:szCs w:val="24"/>
          <w:vertAlign w:val="superscript"/>
        </w:rPr>
        <w:t>3</w:t>
      </w:r>
      <w:r w:rsidR="005454EA">
        <w:rPr>
          <w:sz w:val="24"/>
          <w:szCs w:val="24"/>
          <w:vertAlign w:val="superscript"/>
        </w:rPr>
        <w:t xml:space="preserve"> </w:t>
      </w:r>
      <w:r w:rsidR="00890C0D" w:rsidRPr="00890C0D">
        <w:rPr>
          <w:sz w:val="24"/>
          <w:szCs w:val="24"/>
        </w:rPr>
        <w:t>Oxidation (Chlorination or Ozonation)</w:t>
      </w:r>
    </w:p>
    <w:p w14:paraId="281A0A22" w14:textId="77777777" w:rsidR="004647B9" w:rsidRDefault="00E2436F">
      <w:pPr>
        <w:tabs>
          <w:tab w:val="left" w:pos="160"/>
        </w:tabs>
        <w:jc w:val="center"/>
        <w:rPr>
          <w:sz w:val="20"/>
          <w:szCs w:val="20"/>
        </w:rPr>
      </w:pPr>
      <w:bookmarkStart w:id="170" w:name="page172"/>
      <w:bookmarkEnd w:id="17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A23" w14:textId="77777777" w:rsidR="004647B9" w:rsidRDefault="004647B9" w:rsidP="00047D48">
      <w:pPr>
        <w:rPr>
          <w:sz w:val="20"/>
          <w:szCs w:val="20"/>
        </w:rPr>
      </w:pPr>
    </w:p>
    <w:p w14:paraId="281A0A24" w14:textId="77777777" w:rsidR="004647B9" w:rsidRDefault="004647B9" w:rsidP="00047D48">
      <w:pPr>
        <w:rPr>
          <w:sz w:val="20"/>
          <w:szCs w:val="20"/>
        </w:rPr>
      </w:pPr>
    </w:p>
    <w:p w14:paraId="281A0A25" w14:textId="77777777" w:rsidR="004647B9" w:rsidRPr="00047D48" w:rsidRDefault="00E2436F" w:rsidP="00047D48">
      <w:pPr>
        <w:tabs>
          <w:tab w:val="left" w:pos="760"/>
        </w:tabs>
        <w:rPr>
          <w:sz w:val="24"/>
          <w:szCs w:val="24"/>
        </w:rPr>
      </w:pPr>
      <w:r w:rsidRPr="00047D48">
        <w:rPr>
          <w:rFonts w:eastAsia="Times New Roman"/>
          <w:sz w:val="24"/>
          <w:szCs w:val="24"/>
        </w:rPr>
        <w:t>22.13:</w:t>
      </w:r>
      <w:r w:rsidRPr="00047D48">
        <w:rPr>
          <w:rFonts w:eastAsia="Times New Roman"/>
          <w:sz w:val="24"/>
          <w:szCs w:val="24"/>
        </w:rPr>
        <w:tab/>
        <w:t>continued</w:t>
      </w:r>
    </w:p>
    <w:p w14:paraId="281A0A26" w14:textId="77777777" w:rsidR="004647B9" w:rsidRDefault="004647B9" w:rsidP="00047D48">
      <w:pPr>
        <w:rPr>
          <w:sz w:val="20"/>
          <w:szCs w:val="20"/>
        </w:rPr>
      </w:pPr>
    </w:p>
    <w:p w14:paraId="281A0A27" w14:textId="77777777" w:rsidR="004647B9" w:rsidRDefault="00E2436F" w:rsidP="00047D48">
      <w:pPr>
        <w:numPr>
          <w:ilvl w:val="0"/>
          <w:numId w:val="443"/>
        </w:numPr>
        <w:tabs>
          <w:tab w:val="left" w:pos="1987"/>
        </w:tabs>
        <w:ind w:left="1560" w:hanging="5"/>
        <w:jc w:val="both"/>
        <w:rPr>
          <w:rFonts w:eastAsia="Times New Roman"/>
          <w:sz w:val="24"/>
          <w:szCs w:val="24"/>
        </w:rPr>
      </w:pPr>
      <w:r>
        <w:rPr>
          <w:rFonts w:eastAsia="Times New Roman"/>
          <w:sz w:val="24"/>
          <w:szCs w:val="24"/>
          <w:u w:val="single"/>
        </w:rPr>
        <w:t>BATs for Inorganic Compounds</w:t>
      </w:r>
      <w:r>
        <w:rPr>
          <w:rFonts w:eastAsia="Times New Roman"/>
          <w:sz w:val="24"/>
          <w:szCs w:val="24"/>
        </w:rPr>
        <w:t>: The EPA Administrator, pursuant to the federal Safe Drinking Water Act, § 1415(a)(1)(A), (effective August 6, 1996), hereby identifies the following as the best technology, Treatment Techniques, or other means available for achieving compliance with the Maximum Contaminant Levels for the inorganic contaminants listed in 310 CMR 22.13(7)(b):</w:t>
      </w:r>
    </w:p>
    <w:p w14:paraId="281A0A28" w14:textId="77777777" w:rsidR="004647B9" w:rsidRPr="00047D48" w:rsidRDefault="004647B9" w:rsidP="00047D48">
      <w:pPr>
        <w:rPr>
          <w:sz w:val="24"/>
          <w:szCs w:val="24"/>
        </w:rPr>
      </w:pPr>
    </w:p>
    <w:p w14:paraId="281A0A29" w14:textId="77777777" w:rsidR="004647B9" w:rsidRDefault="00E2436F" w:rsidP="00047D48">
      <w:pPr>
        <w:jc w:val="center"/>
        <w:rPr>
          <w:sz w:val="20"/>
          <w:szCs w:val="20"/>
        </w:rPr>
      </w:pPr>
      <w:r>
        <w:rPr>
          <w:rFonts w:eastAsia="Times New Roman"/>
          <w:sz w:val="24"/>
          <w:szCs w:val="24"/>
        </w:rPr>
        <w:t>BAT FOR INORGANIC CONTAMINANTS LISTED IN 310 CMR 22.06(2)</w:t>
      </w:r>
    </w:p>
    <w:tbl>
      <w:tblPr>
        <w:tblW w:w="0" w:type="auto"/>
        <w:tblInd w:w="1920" w:type="dxa"/>
        <w:tblLayout w:type="fixed"/>
        <w:tblCellMar>
          <w:left w:w="0" w:type="dxa"/>
          <w:right w:w="0" w:type="dxa"/>
        </w:tblCellMar>
        <w:tblLook w:val="04A0" w:firstRow="1" w:lastRow="0" w:firstColumn="1" w:lastColumn="0" w:noHBand="0" w:noVBand="1"/>
      </w:tblPr>
      <w:tblGrid>
        <w:gridCol w:w="2120"/>
        <w:gridCol w:w="4080"/>
      </w:tblGrid>
      <w:tr w:rsidR="00BA7F46" w14:paraId="281A0A2F" w14:textId="77777777" w:rsidTr="006B799C">
        <w:trPr>
          <w:trHeight w:val="273"/>
        </w:trPr>
        <w:tc>
          <w:tcPr>
            <w:tcW w:w="2120" w:type="dxa"/>
            <w:vAlign w:val="bottom"/>
          </w:tcPr>
          <w:p w14:paraId="281A0A2A" w14:textId="77777777" w:rsidR="00BA7F46" w:rsidRPr="006B799C" w:rsidRDefault="00BA7F46">
            <w:pPr>
              <w:spacing w:line="273" w:lineRule="exact"/>
              <w:rPr>
                <w:sz w:val="20"/>
                <w:szCs w:val="20"/>
                <w:u w:val="single"/>
              </w:rPr>
            </w:pPr>
            <w:r w:rsidRPr="006B799C">
              <w:rPr>
                <w:rFonts w:eastAsia="Times New Roman"/>
                <w:sz w:val="24"/>
                <w:szCs w:val="24"/>
                <w:u w:val="single"/>
              </w:rPr>
              <w:t>CHEMICAL NAME</w:t>
            </w:r>
          </w:p>
        </w:tc>
        <w:tc>
          <w:tcPr>
            <w:tcW w:w="4080" w:type="dxa"/>
            <w:vAlign w:val="center"/>
          </w:tcPr>
          <w:p w14:paraId="281A0A2D" w14:textId="77777777" w:rsidR="00BA7F46" w:rsidRDefault="00BA7F46" w:rsidP="006B799C">
            <w:pPr>
              <w:spacing w:line="273" w:lineRule="exact"/>
              <w:jc w:val="center"/>
              <w:rPr>
                <w:sz w:val="20"/>
                <w:szCs w:val="20"/>
              </w:rPr>
            </w:pPr>
            <w:r w:rsidRPr="006B799C">
              <w:rPr>
                <w:rFonts w:eastAsia="Times New Roman"/>
                <w:sz w:val="24"/>
                <w:szCs w:val="24"/>
                <w:u w:val="single"/>
              </w:rPr>
              <w:t>BAT</w:t>
            </w:r>
            <w:r>
              <w:rPr>
                <w:rFonts w:eastAsia="Times New Roman"/>
                <w:sz w:val="24"/>
                <w:szCs w:val="24"/>
              </w:rPr>
              <w:t>(s)</w:t>
            </w:r>
          </w:p>
        </w:tc>
      </w:tr>
      <w:tr w:rsidR="00BA7F46" w14:paraId="281A0A37" w14:textId="77777777" w:rsidTr="006B799C">
        <w:trPr>
          <w:trHeight w:val="252"/>
        </w:trPr>
        <w:tc>
          <w:tcPr>
            <w:tcW w:w="2120" w:type="dxa"/>
            <w:vAlign w:val="bottom"/>
          </w:tcPr>
          <w:p w14:paraId="281A0A31" w14:textId="588A2871" w:rsidR="00BA7F46" w:rsidRDefault="00BA7F46" w:rsidP="006B799C">
            <w:pPr>
              <w:ind w:left="360"/>
              <w:rPr>
                <w:sz w:val="21"/>
                <w:szCs w:val="21"/>
              </w:rPr>
            </w:pPr>
            <w:r>
              <w:rPr>
                <w:rFonts w:eastAsia="Times New Roman"/>
                <w:sz w:val="24"/>
                <w:szCs w:val="24"/>
              </w:rPr>
              <w:t>Antimony</w:t>
            </w:r>
          </w:p>
        </w:tc>
        <w:tc>
          <w:tcPr>
            <w:tcW w:w="4080" w:type="dxa"/>
            <w:vAlign w:val="center"/>
          </w:tcPr>
          <w:p w14:paraId="281A0A35" w14:textId="3FEC7A59" w:rsidR="00BA7F46" w:rsidRDefault="00BA7F46" w:rsidP="006B799C">
            <w:pPr>
              <w:jc w:val="center"/>
              <w:rPr>
                <w:sz w:val="21"/>
                <w:szCs w:val="21"/>
              </w:rPr>
            </w:pPr>
            <w:r>
              <w:rPr>
                <w:rFonts w:eastAsia="Times New Roman"/>
                <w:sz w:val="24"/>
                <w:szCs w:val="24"/>
              </w:rPr>
              <w:t>2, 7</w:t>
            </w:r>
          </w:p>
        </w:tc>
      </w:tr>
      <w:tr w:rsidR="00BA7F46" w14:paraId="281A0A3B" w14:textId="77777777" w:rsidTr="006B799C">
        <w:trPr>
          <w:trHeight w:val="274"/>
        </w:trPr>
        <w:tc>
          <w:tcPr>
            <w:tcW w:w="2120" w:type="dxa"/>
            <w:vAlign w:val="bottom"/>
          </w:tcPr>
          <w:p w14:paraId="281A0A38" w14:textId="77777777" w:rsidR="00BA7F46" w:rsidRDefault="00BA7F46">
            <w:pPr>
              <w:spacing w:line="273" w:lineRule="exact"/>
              <w:ind w:left="360"/>
              <w:rPr>
                <w:sz w:val="20"/>
                <w:szCs w:val="20"/>
              </w:rPr>
            </w:pPr>
            <w:r>
              <w:rPr>
                <w:rFonts w:eastAsia="Times New Roman"/>
                <w:sz w:val="24"/>
                <w:szCs w:val="24"/>
              </w:rPr>
              <w:t>Asbestos</w:t>
            </w:r>
          </w:p>
        </w:tc>
        <w:tc>
          <w:tcPr>
            <w:tcW w:w="4080" w:type="dxa"/>
            <w:vAlign w:val="center"/>
          </w:tcPr>
          <w:p w14:paraId="281A0A39" w14:textId="77777777" w:rsidR="00BA7F46" w:rsidRDefault="00BA7F46" w:rsidP="006B799C">
            <w:pPr>
              <w:spacing w:line="273" w:lineRule="exact"/>
              <w:jc w:val="center"/>
              <w:rPr>
                <w:sz w:val="20"/>
                <w:szCs w:val="20"/>
              </w:rPr>
            </w:pPr>
            <w:r>
              <w:rPr>
                <w:rFonts w:eastAsia="Times New Roman"/>
                <w:sz w:val="24"/>
                <w:szCs w:val="24"/>
              </w:rPr>
              <w:t>2, 3, 8</w:t>
            </w:r>
          </w:p>
        </w:tc>
      </w:tr>
      <w:tr w:rsidR="00BA7F46" w14:paraId="281A0A3F" w14:textId="77777777" w:rsidTr="006B799C">
        <w:trPr>
          <w:trHeight w:val="274"/>
        </w:trPr>
        <w:tc>
          <w:tcPr>
            <w:tcW w:w="2120" w:type="dxa"/>
            <w:vAlign w:val="bottom"/>
          </w:tcPr>
          <w:p w14:paraId="281A0A3C" w14:textId="77777777" w:rsidR="00BA7F46" w:rsidRDefault="00BA7F46">
            <w:pPr>
              <w:spacing w:line="273" w:lineRule="exact"/>
              <w:ind w:left="360"/>
              <w:rPr>
                <w:sz w:val="20"/>
                <w:szCs w:val="20"/>
              </w:rPr>
            </w:pPr>
            <w:r>
              <w:rPr>
                <w:rFonts w:eastAsia="Times New Roman"/>
                <w:sz w:val="24"/>
                <w:szCs w:val="24"/>
              </w:rPr>
              <w:t>Barium</w:t>
            </w:r>
          </w:p>
        </w:tc>
        <w:tc>
          <w:tcPr>
            <w:tcW w:w="4080" w:type="dxa"/>
            <w:vAlign w:val="center"/>
          </w:tcPr>
          <w:p w14:paraId="281A0A3D" w14:textId="77777777" w:rsidR="00BA7F46" w:rsidRDefault="00BA7F46" w:rsidP="006B799C">
            <w:pPr>
              <w:spacing w:line="273" w:lineRule="exact"/>
              <w:jc w:val="center"/>
              <w:rPr>
                <w:sz w:val="20"/>
                <w:szCs w:val="20"/>
              </w:rPr>
            </w:pPr>
            <w:r>
              <w:rPr>
                <w:rFonts w:eastAsia="Times New Roman"/>
                <w:sz w:val="24"/>
                <w:szCs w:val="24"/>
              </w:rPr>
              <w:t>5, 6, 7, 9</w:t>
            </w:r>
          </w:p>
        </w:tc>
      </w:tr>
      <w:tr w:rsidR="00BA7F46" w14:paraId="281A0A43" w14:textId="77777777" w:rsidTr="006B799C">
        <w:trPr>
          <w:trHeight w:val="274"/>
        </w:trPr>
        <w:tc>
          <w:tcPr>
            <w:tcW w:w="2120" w:type="dxa"/>
            <w:vAlign w:val="bottom"/>
          </w:tcPr>
          <w:p w14:paraId="281A0A40" w14:textId="77777777" w:rsidR="00BA7F46" w:rsidRDefault="00BA7F46">
            <w:pPr>
              <w:spacing w:line="273" w:lineRule="exact"/>
              <w:ind w:left="360"/>
              <w:rPr>
                <w:sz w:val="20"/>
                <w:szCs w:val="20"/>
              </w:rPr>
            </w:pPr>
            <w:r>
              <w:rPr>
                <w:rFonts w:eastAsia="Times New Roman"/>
                <w:sz w:val="24"/>
                <w:szCs w:val="24"/>
              </w:rPr>
              <w:t>Beryllium</w:t>
            </w:r>
          </w:p>
        </w:tc>
        <w:tc>
          <w:tcPr>
            <w:tcW w:w="4080" w:type="dxa"/>
            <w:vAlign w:val="center"/>
          </w:tcPr>
          <w:p w14:paraId="281A0A41" w14:textId="77777777" w:rsidR="00BA7F46" w:rsidRDefault="00BA7F46" w:rsidP="006B799C">
            <w:pPr>
              <w:spacing w:line="273" w:lineRule="exact"/>
              <w:jc w:val="center"/>
              <w:rPr>
                <w:sz w:val="20"/>
                <w:szCs w:val="20"/>
              </w:rPr>
            </w:pPr>
            <w:r>
              <w:rPr>
                <w:rFonts w:eastAsia="Times New Roman"/>
                <w:sz w:val="24"/>
                <w:szCs w:val="24"/>
              </w:rPr>
              <w:t>1, 2, 5, 6, 7</w:t>
            </w:r>
          </w:p>
        </w:tc>
      </w:tr>
      <w:tr w:rsidR="00BA7F46" w14:paraId="281A0A47" w14:textId="77777777" w:rsidTr="006B799C">
        <w:trPr>
          <w:trHeight w:val="274"/>
        </w:trPr>
        <w:tc>
          <w:tcPr>
            <w:tcW w:w="2120" w:type="dxa"/>
            <w:vAlign w:val="bottom"/>
          </w:tcPr>
          <w:p w14:paraId="281A0A44" w14:textId="77777777" w:rsidR="00BA7F46" w:rsidRDefault="00BA7F46">
            <w:pPr>
              <w:spacing w:line="273" w:lineRule="exact"/>
              <w:ind w:left="360"/>
              <w:rPr>
                <w:sz w:val="20"/>
                <w:szCs w:val="20"/>
              </w:rPr>
            </w:pPr>
            <w:r>
              <w:rPr>
                <w:rFonts w:eastAsia="Times New Roman"/>
                <w:sz w:val="24"/>
                <w:szCs w:val="24"/>
              </w:rPr>
              <w:t>Cadmium</w:t>
            </w:r>
          </w:p>
        </w:tc>
        <w:tc>
          <w:tcPr>
            <w:tcW w:w="4080" w:type="dxa"/>
            <w:vAlign w:val="center"/>
          </w:tcPr>
          <w:p w14:paraId="281A0A45" w14:textId="77777777" w:rsidR="00BA7F46" w:rsidRDefault="00BA7F46" w:rsidP="006B799C">
            <w:pPr>
              <w:spacing w:line="273" w:lineRule="exact"/>
              <w:jc w:val="center"/>
              <w:rPr>
                <w:sz w:val="20"/>
                <w:szCs w:val="20"/>
              </w:rPr>
            </w:pPr>
            <w:r>
              <w:rPr>
                <w:rFonts w:eastAsia="Times New Roman"/>
                <w:sz w:val="24"/>
                <w:szCs w:val="24"/>
              </w:rPr>
              <w:t>2, 5, 6, 7</w:t>
            </w:r>
          </w:p>
        </w:tc>
      </w:tr>
      <w:tr w:rsidR="00BA7F46" w14:paraId="281A0A4B" w14:textId="77777777" w:rsidTr="006B799C">
        <w:trPr>
          <w:trHeight w:val="274"/>
        </w:trPr>
        <w:tc>
          <w:tcPr>
            <w:tcW w:w="2120" w:type="dxa"/>
            <w:vAlign w:val="bottom"/>
          </w:tcPr>
          <w:p w14:paraId="281A0A48" w14:textId="77777777" w:rsidR="00BA7F46" w:rsidRDefault="00BA7F46">
            <w:pPr>
              <w:spacing w:line="273" w:lineRule="exact"/>
              <w:ind w:left="360"/>
              <w:rPr>
                <w:sz w:val="20"/>
                <w:szCs w:val="20"/>
              </w:rPr>
            </w:pPr>
            <w:r>
              <w:rPr>
                <w:rFonts w:eastAsia="Times New Roman"/>
                <w:sz w:val="24"/>
                <w:szCs w:val="24"/>
              </w:rPr>
              <w:t>Chromium</w:t>
            </w:r>
          </w:p>
        </w:tc>
        <w:tc>
          <w:tcPr>
            <w:tcW w:w="4080" w:type="dxa"/>
            <w:vAlign w:val="center"/>
          </w:tcPr>
          <w:p w14:paraId="281A0A49" w14:textId="77777777" w:rsidR="00BA7F46" w:rsidRDefault="00BA7F46" w:rsidP="006B799C">
            <w:pPr>
              <w:spacing w:line="273" w:lineRule="exact"/>
              <w:jc w:val="center"/>
              <w:rPr>
                <w:sz w:val="20"/>
                <w:szCs w:val="20"/>
              </w:rPr>
            </w:pPr>
            <w:r>
              <w:rPr>
                <w:rFonts w:eastAsia="Times New Roman"/>
                <w:sz w:val="24"/>
                <w:szCs w:val="24"/>
              </w:rPr>
              <w:t>2, 5, 6</w:t>
            </w:r>
            <w:r>
              <w:rPr>
                <w:rFonts w:eastAsia="Times New Roman"/>
                <w:sz w:val="27"/>
                <w:szCs w:val="27"/>
                <w:vertAlign w:val="superscript"/>
              </w:rPr>
              <w:t>2</w:t>
            </w:r>
            <w:r>
              <w:rPr>
                <w:rFonts w:eastAsia="Times New Roman"/>
                <w:sz w:val="24"/>
                <w:szCs w:val="24"/>
              </w:rPr>
              <w:t>, 7</w:t>
            </w:r>
          </w:p>
        </w:tc>
      </w:tr>
      <w:tr w:rsidR="006B799C" w14:paraId="281A0A51" w14:textId="77777777" w:rsidTr="006B799C">
        <w:trPr>
          <w:trHeight w:val="275"/>
        </w:trPr>
        <w:tc>
          <w:tcPr>
            <w:tcW w:w="2120" w:type="dxa"/>
            <w:vAlign w:val="bottom"/>
          </w:tcPr>
          <w:p w14:paraId="281A0A4C" w14:textId="77777777" w:rsidR="006B799C" w:rsidRPr="006B799C" w:rsidRDefault="006B799C">
            <w:pPr>
              <w:rPr>
                <w:sz w:val="20"/>
                <w:szCs w:val="20"/>
                <w:u w:val="single"/>
              </w:rPr>
            </w:pPr>
            <w:r w:rsidRPr="006B799C">
              <w:rPr>
                <w:rFonts w:eastAsia="Times New Roman"/>
                <w:sz w:val="24"/>
                <w:szCs w:val="24"/>
                <w:u w:val="single"/>
              </w:rPr>
              <w:t>CHEMICAL NAME</w:t>
            </w:r>
          </w:p>
        </w:tc>
        <w:tc>
          <w:tcPr>
            <w:tcW w:w="4080" w:type="dxa"/>
            <w:vAlign w:val="center"/>
          </w:tcPr>
          <w:p w14:paraId="281A0A4F" w14:textId="77777777" w:rsidR="006B799C" w:rsidRPr="006B799C" w:rsidRDefault="006B799C" w:rsidP="006B799C">
            <w:pPr>
              <w:jc w:val="center"/>
              <w:rPr>
                <w:sz w:val="20"/>
                <w:szCs w:val="20"/>
                <w:u w:val="single"/>
              </w:rPr>
            </w:pPr>
            <w:r w:rsidRPr="006B799C">
              <w:rPr>
                <w:rFonts w:eastAsia="Times New Roman"/>
                <w:sz w:val="24"/>
                <w:szCs w:val="24"/>
                <w:u w:val="single"/>
              </w:rPr>
              <w:t>BAT(s)</w:t>
            </w:r>
          </w:p>
        </w:tc>
      </w:tr>
      <w:tr w:rsidR="006B799C" w14:paraId="281A0A59" w14:textId="77777777" w:rsidTr="006B799C">
        <w:trPr>
          <w:trHeight w:val="272"/>
        </w:trPr>
        <w:tc>
          <w:tcPr>
            <w:tcW w:w="2120" w:type="dxa"/>
            <w:vAlign w:val="bottom"/>
          </w:tcPr>
          <w:p w14:paraId="281A0A53" w14:textId="68A1F81D" w:rsidR="006B799C" w:rsidRDefault="006B799C" w:rsidP="006B799C">
            <w:pPr>
              <w:ind w:left="360"/>
              <w:rPr>
                <w:sz w:val="1"/>
                <w:szCs w:val="1"/>
              </w:rPr>
            </w:pPr>
            <w:r>
              <w:rPr>
                <w:rFonts w:eastAsia="Times New Roman"/>
                <w:sz w:val="24"/>
                <w:szCs w:val="24"/>
              </w:rPr>
              <w:t>Cyanide</w:t>
            </w:r>
          </w:p>
        </w:tc>
        <w:tc>
          <w:tcPr>
            <w:tcW w:w="4080" w:type="dxa"/>
            <w:vAlign w:val="center"/>
          </w:tcPr>
          <w:p w14:paraId="281A0A57" w14:textId="3D256C91" w:rsidR="006B799C" w:rsidRDefault="006B799C" w:rsidP="006B799C">
            <w:pPr>
              <w:spacing w:line="252" w:lineRule="exact"/>
              <w:ind w:left="180"/>
              <w:jc w:val="center"/>
              <w:rPr>
                <w:sz w:val="1"/>
                <w:szCs w:val="1"/>
              </w:rPr>
            </w:pPr>
            <w:r>
              <w:rPr>
                <w:rFonts w:eastAsia="Times New Roman"/>
                <w:sz w:val="24"/>
                <w:szCs w:val="24"/>
              </w:rPr>
              <w:t>5, 7, 10</w:t>
            </w:r>
          </w:p>
        </w:tc>
      </w:tr>
      <w:tr w:rsidR="00BA7F46" w14:paraId="281A0A64" w14:textId="77777777" w:rsidTr="006B799C">
        <w:trPr>
          <w:trHeight w:val="274"/>
        </w:trPr>
        <w:tc>
          <w:tcPr>
            <w:tcW w:w="2120" w:type="dxa"/>
            <w:vAlign w:val="bottom"/>
          </w:tcPr>
          <w:p w14:paraId="281A0A61" w14:textId="77777777" w:rsidR="00BA7F46" w:rsidRDefault="00BA7F46">
            <w:pPr>
              <w:spacing w:line="273" w:lineRule="exact"/>
              <w:ind w:left="360"/>
              <w:rPr>
                <w:sz w:val="20"/>
                <w:szCs w:val="20"/>
              </w:rPr>
            </w:pPr>
            <w:r>
              <w:rPr>
                <w:rFonts w:eastAsia="Times New Roman"/>
                <w:sz w:val="24"/>
                <w:szCs w:val="24"/>
              </w:rPr>
              <w:t>Mercury</w:t>
            </w:r>
          </w:p>
        </w:tc>
        <w:tc>
          <w:tcPr>
            <w:tcW w:w="4080" w:type="dxa"/>
            <w:vAlign w:val="center"/>
          </w:tcPr>
          <w:p w14:paraId="281A0A62" w14:textId="3A2110BD" w:rsidR="00BA7F46" w:rsidRDefault="00BA7F46" w:rsidP="006B799C">
            <w:pPr>
              <w:spacing w:line="273" w:lineRule="exact"/>
              <w:jc w:val="center"/>
              <w:rPr>
                <w:sz w:val="20"/>
                <w:szCs w:val="20"/>
              </w:rPr>
            </w:pPr>
            <w:r>
              <w:rPr>
                <w:rFonts w:eastAsia="Times New Roman"/>
                <w:w w:val="97"/>
                <w:sz w:val="24"/>
                <w:szCs w:val="24"/>
              </w:rPr>
              <w:t>2</w:t>
            </w:r>
            <w:r>
              <w:rPr>
                <w:rFonts w:eastAsia="Times New Roman"/>
                <w:w w:val="97"/>
                <w:sz w:val="27"/>
                <w:szCs w:val="27"/>
                <w:vertAlign w:val="superscript"/>
              </w:rPr>
              <w:t>1</w:t>
            </w:r>
            <w:r>
              <w:rPr>
                <w:rFonts w:eastAsia="Times New Roman"/>
                <w:w w:val="97"/>
                <w:sz w:val="24"/>
                <w:szCs w:val="24"/>
              </w:rPr>
              <w:t>, 4, 6</w:t>
            </w:r>
            <w:r>
              <w:rPr>
                <w:rFonts w:eastAsia="Times New Roman"/>
                <w:w w:val="97"/>
                <w:sz w:val="27"/>
                <w:szCs w:val="27"/>
                <w:vertAlign w:val="superscript"/>
              </w:rPr>
              <w:t>1</w:t>
            </w:r>
            <w:r>
              <w:rPr>
                <w:rFonts w:eastAsia="Times New Roman"/>
                <w:w w:val="97"/>
                <w:sz w:val="24"/>
                <w:szCs w:val="24"/>
              </w:rPr>
              <w:t>, 7</w:t>
            </w:r>
            <w:r>
              <w:rPr>
                <w:rFonts w:eastAsia="Times New Roman"/>
                <w:w w:val="97"/>
                <w:sz w:val="27"/>
                <w:szCs w:val="27"/>
                <w:vertAlign w:val="superscript"/>
              </w:rPr>
              <w:t>1</w:t>
            </w:r>
          </w:p>
        </w:tc>
      </w:tr>
      <w:tr w:rsidR="00BA7F46" w14:paraId="281A0A68" w14:textId="77777777" w:rsidTr="006B799C">
        <w:trPr>
          <w:trHeight w:val="274"/>
        </w:trPr>
        <w:tc>
          <w:tcPr>
            <w:tcW w:w="2120" w:type="dxa"/>
            <w:vAlign w:val="bottom"/>
          </w:tcPr>
          <w:p w14:paraId="281A0A65" w14:textId="77777777" w:rsidR="00BA7F46" w:rsidRDefault="00BA7F46">
            <w:pPr>
              <w:spacing w:line="273" w:lineRule="exact"/>
              <w:ind w:left="360"/>
              <w:rPr>
                <w:sz w:val="20"/>
                <w:szCs w:val="20"/>
              </w:rPr>
            </w:pPr>
            <w:r>
              <w:rPr>
                <w:rFonts w:eastAsia="Times New Roman"/>
                <w:sz w:val="24"/>
                <w:szCs w:val="24"/>
              </w:rPr>
              <w:t>Nitrate</w:t>
            </w:r>
          </w:p>
        </w:tc>
        <w:tc>
          <w:tcPr>
            <w:tcW w:w="4080" w:type="dxa"/>
            <w:vAlign w:val="center"/>
          </w:tcPr>
          <w:p w14:paraId="281A0A66" w14:textId="77777777" w:rsidR="00BA7F46" w:rsidRDefault="00BA7F46" w:rsidP="006B799C">
            <w:pPr>
              <w:spacing w:line="273" w:lineRule="exact"/>
              <w:jc w:val="center"/>
              <w:rPr>
                <w:sz w:val="20"/>
                <w:szCs w:val="20"/>
              </w:rPr>
            </w:pPr>
            <w:r>
              <w:rPr>
                <w:rFonts w:eastAsia="Times New Roman"/>
                <w:sz w:val="24"/>
                <w:szCs w:val="24"/>
              </w:rPr>
              <w:t>5, 7, 9</w:t>
            </w:r>
          </w:p>
        </w:tc>
      </w:tr>
      <w:tr w:rsidR="006B799C" w14:paraId="281A0A6D" w14:textId="77777777" w:rsidTr="006B799C">
        <w:trPr>
          <w:trHeight w:val="274"/>
        </w:trPr>
        <w:tc>
          <w:tcPr>
            <w:tcW w:w="2120" w:type="dxa"/>
            <w:vAlign w:val="bottom"/>
          </w:tcPr>
          <w:p w14:paraId="281A0A69" w14:textId="77777777" w:rsidR="006B799C" w:rsidRDefault="006B799C">
            <w:pPr>
              <w:spacing w:line="273" w:lineRule="exact"/>
              <w:ind w:left="360"/>
              <w:rPr>
                <w:sz w:val="20"/>
                <w:szCs w:val="20"/>
              </w:rPr>
            </w:pPr>
            <w:r>
              <w:rPr>
                <w:rFonts w:eastAsia="Times New Roman"/>
                <w:sz w:val="24"/>
                <w:szCs w:val="24"/>
              </w:rPr>
              <w:t>Nitrite</w:t>
            </w:r>
          </w:p>
        </w:tc>
        <w:tc>
          <w:tcPr>
            <w:tcW w:w="4080" w:type="dxa"/>
            <w:vAlign w:val="center"/>
          </w:tcPr>
          <w:p w14:paraId="281A0A6B" w14:textId="7E46D22C" w:rsidR="006B799C" w:rsidRDefault="006B799C" w:rsidP="006B799C">
            <w:pPr>
              <w:jc w:val="center"/>
              <w:rPr>
                <w:sz w:val="23"/>
                <w:szCs w:val="23"/>
              </w:rPr>
            </w:pPr>
            <w:r>
              <w:rPr>
                <w:rFonts w:eastAsia="Times New Roman"/>
                <w:sz w:val="24"/>
                <w:szCs w:val="24"/>
              </w:rPr>
              <w:t>5, 7</w:t>
            </w:r>
          </w:p>
        </w:tc>
      </w:tr>
      <w:tr w:rsidR="00BA7F46" w14:paraId="281A0A71" w14:textId="77777777" w:rsidTr="006B799C">
        <w:trPr>
          <w:trHeight w:val="274"/>
        </w:trPr>
        <w:tc>
          <w:tcPr>
            <w:tcW w:w="2120" w:type="dxa"/>
            <w:vAlign w:val="bottom"/>
          </w:tcPr>
          <w:p w14:paraId="281A0A6E" w14:textId="77777777" w:rsidR="00BA7F46" w:rsidRDefault="00BA7F46">
            <w:pPr>
              <w:spacing w:line="273" w:lineRule="exact"/>
              <w:ind w:left="360"/>
              <w:rPr>
                <w:sz w:val="20"/>
                <w:szCs w:val="20"/>
              </w:rPr>
            </w:pPr>
            <w:r>
              <w:rPr>
                <w:rFonts w:eastAsia="Times New Roman"/>
                <w:sz w:val="24"/>
                <w:szCs w:val="24"/>
              </w:rPr>
              <w:t>Selenium</w:t>
            </w:r>
          </w:p>
        </w:tc>
        <w:tc>
          <w:tcPr>
            <w:tcW w:w="4080" w:type="dxa"/>
            <w:vAlign w:val="center"/>
          </w:tcPr>
          <w:p w14:paraId="281A0A6F" w14:textId="77777777" w:rsidR="00BA7F46" w:rsidRDefault="00BA7F46" w:rsidP="006B799C">
            <w:pPr>
              <w:spacing w:line="273" w:lineRule="exact"/>
              <w:jc w:val="center"/>
              <w:rPr>
                <w:sz w:val="20"/>
                <w:szCs w:val="20"/>
              </w:rPr>
            </w:pPr>
            <w:r>
              <w:rPr>
                <w:rFonts w:eastAsia="Times New Roman"/>
                <w:w w:val="97"/>
                <w:sz w:val="24"/>
                <w:szCs w:val="24"/>
              </w:rPr>
              <w:t>1, 2</w:t>
            </w:r>
            <w:r>
              <w:rPr>
                <w:rFonts w:eastAsia="Times New Roman"/>
                <w:w w:val="97"/>
                <w:sz w:val="27"/>
                <w:szCs w:val="27"/>
                <w:vertAlign w:val="superscript"/>
              </w:rPr>
              <w:t>3</w:t>
            </w:r>
            <w:r>
              <w:rPr>
                <w:rFonts w:eastAsia="Times New Roman"/>
                <w:w w:val="97"/>
                <w:sz w:val="24"/>
                <w:szCs w:val="24"/>
              </w:rPr>
              <w:t>, 6, 7, 9</w:t>
            </w:r>
          </w:p>
        </w:tc>
      </w:tr>
      <w:tr w:rsidR="006B799C" w14:paraId="281A0A76" w14:textId="77777777" w:rsidTr="006B799C">
        <w:trPr>
          <w:trHeight w:val="274"/>
        </w:trPr>
        <w:tc>
          <w:tcPr>
            <w:tcW w:w="2120" w:type="dxa"/>
            <w:vAlign w:val="bottom"/>
          </w:tcPr>
          <w:p w14:paraId="281A0A72" w14:textId="77777777" w:rsidR="006B799C" w:rsidRDefault="006B799C">
            <w:pPr>
              <w:spacing w:line="273" w:lineRule="exact"/>
              <w:ind w:left="360"/>
              <w:rPr>
                <w:sz w:val="20"/>
                <w:szCs w:val="20"/>
              </w:rPr>
            </w:pPr>
            <w:r>
              <w:rPr>
                <w:rFonts w:eastAsia="Times New Roman"/>
                <w:sz w:val="24"/>
                <w:szCs w:val="24"/>
              </w:rPr>
              <w:t>Thallium</w:t>
            </w:r>
          </w:p>
        </w:tc>
        <w:tc>
          <w:tcPr>
            <w:tcW w:w="4080" w:type="dxa"/>
            <w:vAlign w:val="center"/>
          </w:tcPr>
          <w:p w14:paraId="281A0A74" w14:textId="58B8D8D2" w:rsidR="006B799C" w:rsidRDefault="006B799C" w:rsidP="006B799C">
            <w:pPr>
              <w:jc w:val="center"/>
              <w:rPr>
                <w:sz w:val="23"/>
                <w:szCs w:val="23"/>
              </w:rPr>
            </w:pPr>
            <w:r>
              <w:rPr>
                <w:rFonts w:eastAsia="Times New Roman"/>
                <w:sz w:val="24"/>
                <w:szCs w:val="24"/>
              </w:rPr>
              <w:t>1, 5</w:t>
            </w:r>
          </w:p>
        </w:tc>
      </w:tr>
    </w:tbl>
    <w:p w14:paraId="58D74BB9" w14:textId="77777777" w:rsidR="00CC7A54" w:rsidRDefault="00CC7A54" w:rsidP="00047D48">
      <w:pPr>
        <w:rPr>
          <w:rFonts w:eastAsia="Times New Roman"/>
          <w:sz w:val="24"/>
          <w:szCs w:val="24"/>
          <w:u w:val="single"/>
        </w:rPr>
      </w:pPr>
    </w:p>
    <w:p w14:paraId="6E8E9329" w14:textId="4B60BA48" w:rsidR="00CC7A54" w:rsidRPr="00734FE8" w:rsidRDefault="00CC7A54" w:rsidP="00047D48">
      <w:pPr>
        <w:jc w:val="center"/>
        <w:rPr>
          <w:rFonts w:eastAsia="Times New Roman"/>
          <w:sz w:val="24"/>
          <w:szCs w:val="24"/>
          <w:u w:val="single"/>
        </w:rPr>
      </w:pPr>
      <w:r w:rsidRPr="00734FE8">
        <w:rPr>
          <w:rFonts w:eastAsia="Times New Roman"/>
          <w:sz w:val="24"/>
          <w:szCs w:val="24"/>
          <w:u w:val="single"/>
        </w:rPr>
        <w:t>Key to BATs in Tab</w:t>
      </w:r>
      <w:r w:rsidRPr="00734FE8" w:rsidDel="007B206E">
        <w:rPr>
          <w:rFonts w:eastAsia="Times New Roman"/>
          <w:sz w:val="24"/>
          <w:szCs w:val="24"/>
          <w:u w:val="single"/>
        </w:rPr>
        <w:t>le</w:t>
      </w:r>
    </w:p>
    <w:p w14:paraId="281A0A84" w14:textId="6B95D80E" w:rsidR="004647B9" w:rsidRPr="00734FE8" w:rsidRDefault="00E2436F" w:rsidP="00047D48">
      <w:pPr>
        <w:ind w:left="1200"/>
        <w:rPr>
          <w:sz w:val="24"/>
          <w:szCs w:val="24"/>
        </w:rPr>
      </w:pPr>
      <w:r w:rsidRPr="00734FE8">
        <w:rPr>
          <w:rFonts w:eastAsia="Times New Roman"/>
          <w:sz w:val="24"/>
          <w:szCs w:val="24"/>
        </w:rPr>
        <w:t>1 = Activated Alumi</w:t>
      </w:r>
      <w:r w:rsidRPr="00734FE8" w:rsidDel="007B206E">
        <w:rPr>
          <w:rFonts w:eastAsia="Times New Roman"/>
          <w:sz w:val="24"/>
          <w:szCs w:val="24"/>
        </w:rPr>
        <w:t>na</w:t>
      </w:r>
    </w:p>
    <w:p w14:paraId="281A0A86" w14:textId="77777777" w:rsidR="004647B9" w:rsidRPr="00734FE8" w:rsidRDefault="00E2436F" w:rsidP="00047D48">
      <w:pPr>
        <w:ind w:left="1200"/>
        <w:rPr>
          <w:sz w:val="24"/>
          <w:szCs w:val="24"/>
        </w:rPr>
      </w:pPr>
      <w:r w:rsidRPr="00734FE8">
        <w:rPr>
          <w:rFonts w:eastAsia="Times New Roman"/>
          <w:sz w:val="24"/>
          <w:szCs w:val="24"/>
        </w:rPr>
        <w:t>2 = Coagulation/Filtration (Not BAT for Systems &lt;500 service connection</w:t>
      </w:r>
      <w:r w:rsidRPr="00734FE8" w:rsidDel="007B206E">
        <w:rPr>
          <w:rFonts w:eastAsia="Times New Roman"/>
          <w:sz w:val="24"/>
          <w:szCs w:val="24"/>
        </w:rPr>
        <w:t>s)</w:t>
      </w:r>
    </w:p>
    <w:p w14:paraId="281A0A87" w14:textId="77777777" w:rsidR="004647B9" w:rsidRPr="00734FE8" w:rsidRDefault="00E2436F" w:rsidP="00047D48">
      <w:pPr>
        <w:ind w:left="1200"/>
        <w:rPr>
          <w:sz w:val="24"/>
          <w:szCs w:val="24"/>
        </w:rPr>
      </w:pPr>
      <w:r w:rsidRPr="00734FE8">
        <w:rPr>
          <w:rFonts w:eastAsia="Times New Roman"/>
          <w:sz w:val="24"/>
          <w:szCs w:val="24"/>
        </w:rPr>
        <w:t>3 = Direct and Diatomite Filtrati</w:t>
      </w:r>
      <w:r w:rsidRPr="00734FE8" w:rsidDel="007B206E">
        <w:rPr>
          <w:rFonts w:eastAsia="Times New Roman"/>
          <w:sz w:val="24"/>
          <w:szCs w:val="24"/>
        </w:rPr>
        <w:t>on</w:t>
      </w:r>
    </w:p>
    <w:p w14:paraId="281A0A88" w14:textId="77777777" w:rsidR="004647B9" w:rsidRPr="00734FE8" w:rsidRDefault="00E2436F" w:rsidP="00047D48">
      <w:pPr>
        <w:ind w:left="1200"/>
        <w:rPr>
          <w:sz w:val="24"/>
          <w:szCs w:val="24"/>
        </w:rPr>
      </w:pPr>
      <w:r w:rsidRPr="00734FE8">
        <w:rPr>
          <w:rFonts w:eastAsia="Times New Roman"/>
          <w:sz w:val="24"/>
          <w:szCs w:val="24"/>
        </w:rPr>
        <w:t>4 = Granular Activated Carb</w:t>
      </w:r>
      <w:r w:rsidRPr="00734FE8" w:rsidDel="007B206E">
        <w:rPr>
          <w:rFonts w:eastAsia="Times New Roman"/>
          <w:sz w:val="24"/>
          <w:szCs w:val="24"/>
        </w:rPr>
        <w:t>on</w:t>
      </w:r>
    </w:p>
    <w:p w14:paraId="281A0A89" w14:textId="77777777" w:rsidR="004647B9" w:rsidRPr="00734FE8" w:rsidRDefault="00E2436F" w:rsidP="00047D48">
      <w:pPr>
        <w:ind w:left="1200"/>
        <w:rPr>
          <w:sz w:val="24"/>
          <w:szCs w:val="24"/>
        </w:rPr>
      </w:pPr>
      <w:r w:rsidRPr="00734FE8">
        <w:rPr>
          <w:rFonts w:eastAsia="Times New Roman"/>
          <w:sz w:val="24"/>
          <w:szCs w:val="24"/>
        </w:rPr>
        <w:t>5 = Ion Exchange Electrodialys</w:t>
      </w:r>
      <w:r w:rsidRPr="00734FE8" w:rsidDel="007B206E">
        <w:rPr>
          <w:rFonts w:eastAsia="Times New Roman"/>
          <w:sz w:val="24"/>
          <w:szCs w:val="24"/>
        </w:rPr>
        <w:t>is</w:t>
      </w:r>
    </w:p>
    <w:p w14:paraId="281A0A8A" w14:textId="77777777" w:rsidR="004647B9" w:rsidRPr="00734FE8" w:rsidRDefault="00E2436F" w:rsidP="00047D48">
      <w:pPr>
        <w:ind w:left="1200"/>
        <w:rPr>
          <w:sz w:val="24"/>
          <w:szCs w:val="24"/>
        </w:rPr>
      </w:pPr>
      <w:r w:rsidRPr="00734FE8">
        <w:rPr>
          <w:rFonts w:eastAsia="Times New Roman"/>
          <w:sz w:val="24"/>
          <w:szCs w:val="24"/>
        </w:rPr>
        <w:t>6 = Lime Softening (not BAT for systems &lt;500 service connection</w:t>
      </w:r>
      <w:r w:rsidRPr="00734FE8" w:rsidDel="007B206E">
        <w:rPr>
          <w:rFonts w:eastAsia="Times New Roman"/>
          <w:sz w:val="24"/>
          <w:szCs w:val="24"/>
        </w:rPr>
        <w:t>s)</w:t>
      </w:r>
    </w:p>
    <w:p w14:paraId="281A0A8B" w14:textId="77777777" w:rsidR="004647B9" w:rsidRPr="00734FE8" w:rsidRDefault="00E2436F" w:rsidP="00047D48">
      <w:pPr>
        <w:ind w:left="1200"/>
        <w:rPr>
          <w:sz w:val="24"/>
          <w:szCs w:val="24"/>
        </w:rPr>
      </w:pPr>
      <w:r w:rsidRPr="00734FE8">
        <w:rPr>
          <w:rFonts w:eastAsia="Times New Roman"/>
          <w:sz w:val="24"/>
          <w:szCs w:val="24"/>
        </w:rPr>
        <w:t>7 = Reverse Osmos</w:t>
      </w:r>
      <w:r w:rsidRPr="00734FE8" w:rsidDel="007B206E">
        <w:rPr>
          <w:rFonts w:eastAsia="Times New Roman"/>
          <w:sz w:val="24"/>
          <w:szCs w:val="24"/>
        </w:rPr>
        <w:t>is</w:t>
      </w:r>
    </w:p>
    <w:p w14:paraId="281A0A8C" w14:textId="77777777" w:rsidR="004647B9" w:rsidRPr="00734FE8" w:rsidRDefault="00E2436F" w:rsidP="00047D48">
      <w:pPr>
        <w:ind w:left="1200"/>
        <w:rPr>
          <w:sz w:val="24"/>
          <w:szCs w:val="24"/>
        </w:rPr>
      </w:pPr>
      <w:r w:rsidRPr="00734FE8">
        <w:rPr>
          <w:rFonts w:eastAsia="Times New Roman"/>
          <w:sz w:val="24"/>
          <w:szCs w:val="24"/>
        </w:rPr>
        <w:t>8 = Corrosion Contr</w:t>
      </w:r>
      <w:r w:rsidRPr="00734FE8" w:rsidDel="007B206E">
        <w:rPr>
          <w:rFonts w:eastAsia="Times New Roman"/>
          <w:sz w:val="24"/>
          <w:szCs w:val="24"/>
        </w:rPr>
        <w:t>ol</w:t>
      </w:r>
    </w:p>
    <w:p w14:paraId="281A0A8D" w14:textId="77777777" w:rsidR="004647B9" w:rsidRPr="00734FE8" w:rsidDel="007B206E" w:rsidRDefault="00E2436F" w:rsidP="00047D48">
      <w:pPr>
        <w:ind w:left="1200"/>
        <w:rPr>
          <w:sz w:val="24"/>
          <w:szCs w:val="24"/>
        </w:rPr>
      </w:pPr>
      <w:r w:rsidRPr="00734FE8">
        <w:rPr>
          <w:rFonts w:eastAsia="Times New Roman"/>
          <w:sz w:val="24"/>
          <w:szCs w:val="24"/>
        </w:rPr>
        <w:t>9 = Electrodialys</w:t>
      </w:r>
      <w:r w:rsidRPr="00734FE8" w:rsidDel="007B206E">
        <w:rPr>
          <w:rFonts w:eastAsia="Times New Roman"/>
          <w:sz w:val="24"/>
          <w:szCs w:val="24"/>
        </w:rPr>
        <w:t>is</w:t>
      </w:r>
    </w:p>
    <w:p w14:paraId="281A0A8E" w14:textId="77777777" w:rsidR="004647B9" w:rsidRPr="00734FE8" w:rsidDel="007B206E" w:rsidRDefault="00E2436F" w:rsidP="00047D48">
      <w:pPr>
        <w:ind w:left="1200"/>
        <w:rPr>
          <w:sz w:val="24"/>
          <w:szCs w:val="24"/>
        </w:rPr>
      </w:pPr>
      <w:r w:rsidRPr="00734FE8">
        <w:rPr>
          <w:rFonts w:eastAsia="Times New Roman"/>
          <w:sz w:val="24"/>
          <w:szCs w:val="24"/>
        </w:rPr>
        <w:t>10 = Chlori</w:t>
      </w:r>
      <w:r w:rsidRPr="00734FE8" w:rsidDel="007B206E">
        <w:rPr>
          <w:rFonts w:eastAsia="Times New Roman"/>
          <w:sz w:val="24"/>
          <w:szCs w:val="24"/>
        </w:rPr>
        <w:t>ne</w:t>
      </w:r>
    </w:p>
    <w:p w14:paraId="281A0A8F" w14:textId="77777777" w:rsidR="004647B9" w:rsidRPr="00734FE8" w:rsidRDefault="00E2436F" w:rsidP="00047D48">
      <w:pPr>
        <w:ind w:left="1200"/>
        <w:rPr>
          <w:sz w:val="24"/>
          <w:szCs w:val="24"/>
        </w:rPr>
      </w:pPr>
      <w:r w:rsidRPr="00734FE8">
        <w:rPr>
          <w:rFonts w:eastAsia="Times New Roman"/>
          <w:sz w:val="24"/>
          <w:szCs w:val="24"/>
        </w:rPr>
        <w:t>11 = Ultraviolet</w:t>
      </w:r>
    </w:p>
    <w:p w14:paraId="281A0A90" w14:textId="77777777" w:rsidR="004647B9" w:rsidRPr="00734FE8" w:rsidRDefault="004647B9" w:rsidP="00047D48">
      <w:pPr>
        <w:rPr>
          <w:sz w:val="24"/>
          <w:szCs w:val="24"/>
        </w:rPr>
      </w:pPr>
    </w:p>
    <w:p w14:paraId="281A0A91" w14:textId="77777777" w:rsidR="004647B9" w:rsidRPr="00734FE8" w:rsidRDefault="00E2436F" w:rsidP="00047D48">
      <w:pPr>
        <w:ind w:left="1200"/>
        <w:rPr>
          <w:sz w:val="24"/>
          <w:szCs w:val="24"/>
        </w:rPr>
      </w:pPr>
      <w:r w:rsidRPr="00734FE8">
        <w:rPr>
          <w:rFonts w:eastAsia="Times New Roman"/>
          <w:sz w:val="24"/>
          <w:szCs w:val="24"/>
          <w:vertAlign w:val="superscript"/>
        </w:rPr>
        <w:t>1</w:t>
      </w:r>
      <w:r w:rsidRPr="00734FE8">
        <w:rPr>
          <w:rFonts w:eastAsia="Times New Roman"/>
          <w:sz w:val="24"/>
          <w:szCs w:val="24"/>
        </w:rPr>
        <w:t xml:space="preserve">BAT only if influent Hg concentrations </w:t>
      </w:r>
      <w:r w:rsidRPr="00734FE8">
        <w:rPr>
          <w:rFonts w:eastAsia="Times New Roman"/>
          <w:sz w:val="24"/>
          <w:szCs w:val="24"/>
          <w:u w:val="single"/>
        </w:rPr>
        <w:t>&lt;</w:t>
      </w:r>
      <w:r w:rsidRPr="00734FE8">
        <w:rPr>
          <w:rFonts w:eastAsia="Times New Roman"/>
          <w:sz w:val="24"/>
          <w:szCs w:val="24"/>
        </w:rPr>
        <w:t>10 µg/l.</w:t>
      </w:r>
    </w:p>
    <w:p w14:paraId="281A0A92" w14:textId="3A67B706" w:rsidR="004647B9" w:rsidRPr="00A13DCC" w:rsidRDefault="00E2436F" w:rsidP="00047D48">
      <w:pPr>
        <w:ind w:left="1200"/>
        <w:rPr>
          <w:rFonts w:eastAsia="Times New Roman"/>
          <w:sz w:val="24"/>
          <w:szCs w:val="24"/>
        </w:rPr>
      </w:pPr>
      <w:r w:rsidRPr="00734FE8">
        <w:rPr>
          <w:rFonts w:eastAsia="Times New Roman"/>
          <w:sz w:val="24"/>
          <w:szCs w:val="24"/>
          <w:vertAlign w:val="superscript"/>
        </w:rPr>
        <w:t>2</w:t>
      </w:r>
      <w:r w:rsidR="00CC7A54" w:rsidRPr="00734FE8">
        <w:rPr>
          <w:rFonts w:eastAsia="Times New Roman"/>
          <w:sz w:val="24"/>
          <w:szCs w:val="24"/>
        </w:rPr>
        <w:t>BAT for Chromium III only</w:t>
      </w:r>
    </w:p>
    <w:p w14:paraId="281A0A94" w14:textId="77777777" w:rsidR="004647B9" w:rsidRPr="00734FE8" w:rsidRDefault="00E2436F" w:rsidP="00047D48">
      <w:pPr>
        <w:ind w:left="1200"/>
        <w:rPr>
          <w:sz w:val="24"/>
          <w:szCs w:val="24"/>
        </w:rPr>
      </w:pPr>
      <w:r w:rsidRPr="00734FE8">
        <w:rPr>
          <w:rFonts w:eastAsia="Times New Roman"/>
          <w:sz w:val="24"/>
          <w:szCs w:val="24"/>
          <w:vertAlign w:val="superscript"/>
        </w:rPr>
        <w:t>3</w:t>
      </w:r>
      <w:r w:rsidRPr="00734FE8">
        <w:rPr>
          <w:rFonts w:eastAsia="Times New Roman"/>
          <w:sz w:val="24"/>
          <w:szCs w:val="24"/>
        </w:rPr>
        <w:t>BAT for Selenium IV only</w:t>
      </w:r>
    </w:p>
    <w:p w14:paraId="281A0A95" w14:textId="77777777" w:rsidR="004647B9" w:rsidRPr="00734FE8" w:rsidRDefault="004647B9" w:rsidP="00047D48">
      <w:pPr>
        <w:rPr>
          <w:sz w:val="24"/>
          <w:szCs w:val="24"/>
        </w:rPr>
      </w:pPr>
    </w:p>
    <w:p w14:paraId="281A0A96" w14:textId="77777777" w:rsidR="004647B9" w:rsidRPr="00734FE8" w:rsidRDefault="00E2436F" w:rsidP="00047D48">
      <w:pPr>
        <w:numPr>
          <w:ilvl w:val="0"/>
          <w:numId w:val="444"/>
        </w:numPr>
        <w:tabs>
          <w:tab w:val="left" w:pos="1961"/>
        </w:tabs>
        <w:ind w:left="1560" w:hanging="5"/>
        <w:jc w:val="both"/>
        <w:rPr>
          <w:rFonts w:eastAsia="Times New Roman"/>
          <w:sz w:val="24"/>
          <w:szCs w:val="24"/>
        </w:rPr>
      </w:pPr>
      <w:r w:rsidRPr="00734FE8">
        <w:rPr>
          <w:rFonts w:eastAsia="Times New Roman"/>
          <w:sz w:val="24"/>
          <w:szCs w:val="24"/>
          <w:u w:val="single"/>
        </w:rPr>
        <w:t>Best Available Technologies (BATs) for Radionuclides</w:t>
      </w:r>
      <w:r w:rsidRPr="00734FE8">
        <w:rPr>
          <w:rFonts w:eastAsia="Times New Roman"/>
          <w:sz w:val="24"/>
          <w:szCs w:val="24"/>
        </w:rPr>
        <w:t xml:space="preserve">.: The Department shall require Community Water Systems to install and/or use any treatment technology identified in 310 CMR 22.09A: </w:t>
      </w:r>
      <w:r w:rsidRPr="00734FE8">
        <w:rPr>
          <w:rFonts w:eastAsia="Times New Roman"/>
          <w:i/>
          <w:iCs/>
          <w:sz w:val="24"/>
          <w:szCs w:val="24"/>
        </w:rPr>
        <w:t>Table C</w:t>
      </w:r>
      <w:r w:rsidRPr="00734FE8">
        <w:rPr>
          <w:rFonts w:eastAsia="Times New Roman"/>
          <w:sz w:val="24"/>
          <w:szCs w:val="24"/>
        </w:rPr>
        <w:t xml:space="preserve">, or in the case of Small Water Systems (those serving 10,000 persons or fewer), 310 CMR 22.09A: </w:t>
      </w:r>
      <w:r w:rsidRPr="00734FE8">
        <w:rPr>
          <w:rFonts w:eastAsia="Times New Roman"/>
          <w:i/>
          <w:iCs/>
          <w:sz w:val="24"/>
          <w:szCs w:val="24"/>
        </w:rPr>
        <w:t>Table D</w:t>
      </w:r>
      <w:r w:rsidRPr="00734FE8">
        <w:rPr>
          <w:rFonts w:eastAsia="Times New Roman"/>
          <w:sz w:val="24"/>
          <w:szCs w:val="24"/>
        </w:rPr>
        <w:t xml:space="preserve"> and </w:t>
      </w:r>
      <w:r w:rsidRPr="00734FE8">
        <w:rPr>
          <w:rFonts w:eastAsia="Times New Roman"/>
          <w:i/>
          <w:iCs/>
          <w:sz w:val="24"/>
          <w:szCs w:val="24"/>
        </w:rPr>
        <w:t>Table E</w:t>
      </w:r>
      <w:r w:rsidRPr="00734FE8">
        <w:rPr>
          <w:rFonts w:eastAsia="Times New Roman"/>
          <w:sz w:val="24"/>
          <w:szCs w:val="24"/>
        </w:rPr>
        <w:t>, as a condition for granting a variance under 310 CMR 22.13 or 22.13A, Small System Variances, except as provided in 310 CMR 22.13(7)(e).</w:t>
      </w:r>
    </w:p>
    <w:p w14:paraId="281A0A98" w14:textId="77777777" w:rsidR="004647B9" w:rsidRPr="00734FE8" w:rsidRDefault="00E2436F" w:rsidP="00047D48">
      <w:pPr>
        <w:numPr>
          <w:ilvl w:val="0"/>
          <w:numId w:val="444"/>
        </w:numPr>
        <w:tabs>
          <w:tab w:val="left" w:pos="1978"/>
        </w:tabs>
        <w:ind w:left="1560" w:hanging="5"/>
        <w:jc w:val="both"/>
        <w:rPr>
          <w:rFonts w:eastAsia="Times New Roman"/>
          <w:sz w:val="24"/>
          <w:szCs w:val="24"/>
        </w:rPr>
      </w:pPr>
      <w:r w:rsidRPr="00734FE8">
        <w:rPr>
          <w:rFonts w:eastAsia="Times New Roman"/>
          <w:sz w:val="24"/>
          <w:szCs w:val="24"/>
          <w:u w:val="single"/>
        </w:rPr>
        <w:t>Requirement to Install BAT</w:t>
      </w:r>
      <w:r w:rsidRPr="00734FE8">
        <w:rPr>
          <w:rFonts w:eastAsia="Times New Roman"/>
          <w:sz w:val="24"/>
          <w:szCs w:val="24"/>
        </w:rPr>
        <w:t>: The Department shall require Community Water Systems and Non-transient, Non-community Water Systems to install and/or use any treatment method identified in 310 CMR 22.13(7)(a) and (b) as a condition for granting a variance except as provided in 310 CMR 22.13(7)(e). If, after the system's installation of the treatment method, the system cannot meet the MCL, that system shall be eligible for a variance under the provisions of 310 CMR 22.13 or 22.13A, if the system serves fewer than 10,000 persons.</w:t>
      </w:r>
    </w:p>
    <w:p w14:paraId="281A0A9A" w14:textId="4AB3F0D3" w:rsidR="004647B9" w:rsidRPr="00734FE8" w:rsidRDefault="00E2436F" w:rsidP="00047D48">
      <w:pPr>
        <w:numPr>
          <w:ilvl w:val="0"/>
          <w:numId w:val="444"/>
        </w:numPr>
        <w:tabs>
          <w:tab w:val="left" w:pos="1992"/>
        </w:tabs>
        <w:ind w:left="1560" w:hanging="5"/>
        <w:jc w:val="both"/>
        <w:rPr>
          <w:rFonts w:eastAsia="Times New Roman"/>
          <w:sz w:val="24"/>
          <w:szCs w:val="24"/>
        </w:rPr>
      </w:pPr>
      <w:r w:rsidRPr="00734FE8">
        <w:rPr>
          <w:rFonts w:eastAsia="Times New Roman"/>
          <w:sz w:val="24"/>
          <w:szCs w:val="24"/>
          <w:u w:val="single"/>
        </w:rPr>
        <w:t>Engineering Assessment Option</w:t>
      </w:r>
      <w:r w:rsidRPr="00734FE8">
        <w:rPr>
          <w:rFonts w:eastAsia="Times New Roman"/>
          <w:sz w:val="24"/>
          <w:szCs w:val="24"/>
        </w:rPr>
        <w:t xml:space="preserve">: If a system can demonstrate through comprehensive engineering assessments, which may include pilot plant studies, that the treatment methods identified in 310 CMR 22.13(7)(a) through (c) </w:t>
      </w:r>
      <w:r w:rsidR="00B81F95">
        <w:rPr>
          <w:rFonts w:eastAsia="Times New Roman"/>
          <w:sz w:val="24"/>
          <w:szCs w:val="24"/>
        </w:rPr>
        <w:t xml:space="preserve">or (g), </w:t>
      </w:r>
      <w:r w:rsidRPr="00734FE8">
        <w:rPr>
          <w:rFonts w:eastAsia="Times New Roman"/>
          <w:sz w:val="24"/>
          <w:szCs w:val="24"/>
        </w:rPr>
        <w:t xml:space="preserve">would only achieve a </w:t>
      </w:r>
      <w:r w:rsidRPr="00734FE8">
        <w:rPr>
          <w:rFonts w:eastAsia="Times New Roman"/>
          <w:i/>
          <w:iCs/>
          <w:sz w:val="24"/>
          <w:szCs w:val="24"/>
        </w:rPr>
        <w:t>de minimis</w:t>
      </w:r>
      <w:r w:rsidRPr="00734FE8">
        <w:rPr>
          <w:rFonts w:eastAsia="Times New Roman"/>
          <w:sz w:val="24"/>
          <w:szCs w:val="24"/>
        </w:rPr>
        <w:t xml:space="preserve"> reduction in contaminants, the Department may issue a schedule of compliance that requires the system being granted the variance to examine other treatment methods as a condition of obtaining the variance.</w:t>
      </w:r>
    </w:p>
    <w:p w14:paraId="281A0A9C" w14:textId="77777777" w:rsidR="004647B9" w:rsidRPr="00734FE8" w:rsidRDefault="00E2436F" w:rsidP="00047D48">
      <w:pPr>
        <w:numPr>
          <w:ilvl w:val="0"/>
          <w:numId w:val="444"/>
        </w:numPr>
        <w:tabs>
          <w:tab w:val="left" w:pos="1937"/>
        </w:tabs>
        <w:ind w:left="1560" w:hanging="5"/>
        <w:jc w:val="both"/>
        <w:rPr>
          <w:rFonts w:eastAsia="Times New Roman"/>
          <w:sz w:val="24"/>
          <w:szCs w:val="24"/>
        </w:rPr>
      </w:pPr>
      <w:r w:rsidRPr="00734FE8">
        <w:rPr>
          <w:rFonts w:eastAsia="Times New Roman"/>
          <w:sz w:val="24"/>
          <w:szCs w:val="24"/>
          <w:u w:val="single"/>
        </w:rPr>
        <w:t>Compliance Schedule</w:t>
      </w:r>
      <w:r w:rsidRPr="00734FE8">
        <w:rPr>
          <w:rFonts w:eastAsia="Times New Roman"/>
          <w:sz w:val="24"/>
          <w:szCs w:val="24"/>
        </w:rPr>
        <w:t>: If the Department determines that a treatment method identified in 310 CMR 22.13(7)(e) is technically feasible, the Department may require the system to</w:t>
      </w:r>
    </w:p>
    <w:p w14:paraId="281A0A9D" w14:textId="77777777" w:rsidR="004647B9" w:rsidRDefault="004647B9" w:rsidP="00047D48">
      <w:pPr>
        <w:sectPr w:rsidR="004647B9" w:rsidSect="00EF630C">
          <w:pgSz w:w="12240" w:h="20180"/>
          <w:pgMar w:top="708" w:right="1440" w:bottom="1440" w:left="600" w:header="0" w:footer="0" w:gutter="0"/>
          <w:cols w:space="720"/>
        </w:sectPr>
      </w:pPr>
    </w:p>
    <w:p w14:paraId="281A0A9E" w14:textId="77777777" w:rsidR="004647B9" w:rsidRDefault="00E2436F">
      <w:pPr>
        <w:tabs>
          <w:tab w:val="left" w:pos="160"/>
        </w:tabs>
        <w:jc w:val="center"/>
        <w:rPr>
          <w:sz w:val="20"/>
          <w:szCs w:val="20"/>
        </w:rPr>
      </w:pPr>
      <w:bookmarkStart w:id="171" w:name="page173"/>
      <w:bookmarkEnd w:id="17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A9F" w14:textId="77777777" w:rsidR="004647B9" w:rsidRDefault="004647B9" w:rsidP="00A13DCC">
      <w:pPr>
        <w:rPr>
          <w:sz w:val="20"/>
          <w:szCs w:val="20"/>
        </w:rPr>
      </w:pPr>
    </w:p>
    <w:p w14:paraId="281A0AA0" w14:textId="77777777" w:rsidR="004647B9" w:rsidRDefault="004647B9" w:rsidP="00A13DCC">
      <w:pPr>
        <w:rPr>
          <w:sz w:val="20"/>
          <w:szCs w:val="20"/>
        </w:rPr>
      </w:pPr>
    </w:p>
    <w:p w14:paraId="281A0AA1" w14:textId="77777777" w:rsidR="004647B9" w:rsidRPr="00A13DCC" w:rsidRDefault="00E2436F" w:rsidP="00A13DCC">
      <w:pPr>
        <w:tabs>
          <w:tab w:val="left" w:pos="760"/>
        </w:tabs>
        <w:rPr>
          <w:sz w:val="24"/>
          <w:szCs w:val="24"/>
        </w:rPr>
      </w:pPr>
      <w:r w:rsidRPr="00A13DCC">
        <w:rPr>
          <w:rFonts w:eastAsia="Times New Roman"/>
          <w:sz w:val="24"/>
          <w:szCs w:val="24"/>
        </w:rPr>
        <w:t>22.13:</w:t>
      </w:r>
      <w:r w:rsidRPr="00A13DCC">
        <w:rPr>
          <w:rFonts w:eastAsia="Times New Roman"/>
          <w:sz w:val="24"/>
          <w:szCs w:val="24"/>
        </w:rPr>
        <w:tab/>
        <w:t>continued</w:t>
      </w:r>
    </w:p>
    <w:p w14:paraId="281A0AA2" w14:textId="77777777" w:rsidR="004647B9" w:rsidRDefault="004647B9" w:rsidP="00A13DCC">
      <w:pPr>
        <w:rPr>
          <w:sz w:val="20"/>
          <w:szCs w:val="20"/>
        </w:rPr>
      </w:pPr>
    </w:p>
    <w:p w14:paraId="281A0AA3" w14:textId="61607BD2" w:rsidR="004647B9" w:rsidRDefault="00E2436F" w:rsidP="00A13DCC">
      <w:pPr>
        <w:ind w:left="1555"/>
        <w:jc w:val="both"/>
        <w:rPr>
          <w:rFonts w:eastAsia="Times New Roman"/>
          <w:sz w:val="24"/>
          <w:szCs w:val="24"/>
        </w:rPr>
      </w:pPr>
      <w:r w:rsidRPr="00734FE8">
        <w:rPr>
          <w:rFonts w:eastAsia="Times New Roman"/>
          <w:sz w:val="24"/>
          <w:szCs w:val="24"/>
        </w:rPr>
        <w:t>install and/or use that treatment method in connection with a compliance schedule issued under the provisions of the federal Safe Drinking Water Act, § 1415(a)(1)(A), (effective August 6, 1996), incorporated in 310 CMR 22.13(7) by reference. The Department's determination shall be based upon studies by the system and other relevant information.</w:t>
      </w:r>
    </w:p>
    <w:p w14:paraId="7EAD7EA0" w14:textId="079E5EB5" w:rsidR="001A4ED7" w:rsidRPr="001A4ED7" w:rsidRDefault="001A4ED7" w:rsidP="00A13DCC">
      <w:pPr>
        <w:numPr>
          <w:ilvl w:val="0"/>
          <w:numId w:val="444"/>
        </w:numPr>
        <w:tabs>
          <w:tab w:val="left" w:pos="1937"/>
        </w:tabs>
        <w:ind w:left="1560" w:hanging="5"/>
        <w:jc w:val="both"/>
        <w:rPr>
          <w:rFonts w:eastAsia="Times New Roman"/>
          <w:sz w:val="24"/>
          <w:szCs w:val="24"/>
          <w:u w:val="single"/>
        </w:rPr>
      </w:pPr>
      <w:r w:rsidRPr="001A4ED7">
        <w:rPr>
          <w:rFonts w:eastAsia="Times New Roman"/>
          <w:sz w:val="24"/>
          <w:szCs w:val="24"/>
          <w:u w:val="single"/>
        </w:rPr>
        <w:t>Best Available Technologies (BATs) for PFAS</w:t>
      </w:r>
      <w:r w:rsidRPr="001A4ED7">
        <w:rPr>
          <w:rFonts w:eastAsia="Times New Roman"/>
          <w:sz w:val="24"/>
          <w:szCs w:val="24"/>
        </w:rPr>
        <w:t>. Any Public Water System subject to 310 CMR 22.07G, as a condition for granting a variance under 310 CMR 22.13 or 22.13A, shall first install and use any of the following treatment technologies, except as provided in 310 CMR 22.13(7)(e):</w:t>
      </w:r>
    </w:p>
    <w:p w14:paraId="60DFCC2A" w14:textId="73DD9502" w:rsidR="001A4ED7" w:rsidRPr="005E332F" w:rsidRDefault="001A4ED7" w:rsidP="00A13DCC">
      <w:pPr>
        <w:pStyle w:val="ListParagraph"/>
        <w:numPr>
          <w:ilvl w:val="0"/>
          <w:numId w:val="1013"/>
        </w:numPr>
        <w:autoSpaceDE w:val="0"/>
        <w:autoSpaceDN w:val="0"/>
        <w:adjustRightInd w:val="0"/>
        <w:ind w:left="2520"/>
        <w:rPr>
          <w:sz w:val="24"/>
          <w:szCs w:val="24"/>
        </w:rPr>
      </w:pPr>
      <w:r w:rsidRPr="005E332F">
        <w:rPr>
          <w:sz w:val="24"/>
          <w:szCs w:val="24"/>
        </w:rPr>
        <w:t>granular activated carbon;</w:t>
      </w:r>
    </w:p>
    <w:p w14:paraId="04A853D5" w14:textId="1A5AEBC4" w:rsidR="001A4ED7" w:rsidRPr="005E332F" w:rsidRDefault="001A4ED7" w:rsidP="00A13DCC">
      <w:pPr>
        <w:pStyle w:val="ListParagraph"/>
        <w:numPr>
          <w:ilvl w:val="0"/>
          <w:numId w:val="1013"/>
        </w:numPr>
        <w:autoSpaceDE w:val="0"/>
        <w:autoSpaceDN w:val="0"/>
        <w:adjustRightInd w:val="0"/>
        <w:ind w:left="2520"/>
        <w:rPr>
          <w:sz w:val="24"/>
          <w:szCs w:val="24"/>
        </w:rPr>
      </w:pPr>
      <w:r w:rsidRPr="005E332F">
        <w:rPr>
          <w:sz w:val="24"/>
          <w:szCs w:val="24"/>
        </w:rPr>
        <w:t>powdered activated carbon;</w:t>
      </w:r>
    </w:p>
    <w:p w14:paraId="48A4CD6C" w14:textId="7B1CDA46" w:rsidR="001A4ED7" w:rsidRPr="005E332F" w:rsidRDefault="001A4ED7" w:rsidP="00A13DCC">
      <w:pPr>
        <w:pStyle w:val="ListParagraph"/>
        <w:numPr>
          <w:ilvl w:val="0"/>
          <w:numId w:val="1013"/>
        </w:numPr>
        <w:autoSpaceDE w:val="0"/>
        <w:autoSpaceDN w:val="0"/>
        <w:adjustRightInd w:val="0"/>
        <w:ind w:left="2520"/>
        <w:rPr>
          <w:sz w:val="24"/>
          <w:szCs w:val="24"/>
        </w:rPr>
      </w:pPr>
      <w:r w:rsidRPr="005E332F">
        <w:rPr>
          <w:sz w:val="24"/>
          <w:szCs w:val="24"/>
        </w:rPr>
        <w:t>ion exchange resins;</w:t>
      </w:r>
    </w:p>
    <w:p w14:paraId="7569872A" w14:textId="3A74F7A1" w:rsidR="001A4ED7" w:rsidRPr="005E332F" w:rsidRDefault="001A4ED7" w:rsidP="00A13DCC">
      <w:pPr>
        <w:pStyle w:val="ListParagraph"/>
        <w:numPr>
          <w:ilvl w:val="0"/>
          <w:numId w:val="1013"/>
        </w:numPr>
        <w:autoSpaceDE w:val="0"/>
        <w:autoSpaceDN w:val="0"/>
        <w:adjustRightInd w:val="0"/>
        <w:ind w:left="2520"/>
        <w:rPr>
          <w:sz w:val="24"/>
          <w:szCs w:val="24"/>
        </w:rPr>
      </w:pPr>
      <w:r w:rsidRPr="005E332F">
        <w:rPr>
          <w:sz w:val="24"/>
          <w:szCs w:val="24"/>
        </w:rPr>
        <w:t>nanofiltration; and</w:t>
      </w:r>
    </w:p>
    <w:p w14:paraId="4D7B00E7" w14:textId="174EEC8A" w:rsidR="001A4ED7" w:rsidRPr="005E332F" w:rsidRDefault="001A4ED7" w:rsidP="00A13DCC">
      <w:pPr>
        <w:pStyle w:val="ListParagraph"/>
        <w:numPr>
          <w:ilvl w:val="0"/>
          <w:numId w:val="1013"/>
        </w:numPr>
        <w:ind w:left="2520"/>
        <w:jc w:val="both"/>
        <w:rPr>
          <w:rFonts w:eastAsia="Times New Roman"/>
          <w:sz w:val="24"/>
          <w:szCs w:val="24"/>
        </w:rPr>
      </w:pPr>
      <w:r w:rsidRPr="005E332F">
        <w:rPr>
          <w:sz w:val="24"/>
          <w:szCs w:val="24"/>
        </w:rPr>
        <w:t>reverse osmosis.</w:t>
      </w:r>
    </w:p>
    <w:p w14:paraId="281A0AA4" w14:textId="77777777" w:rsidR="004647B9" w:rsidRPr="00734FE8" w:rsidRDefault="004647B9" w:rsidP="00A13DCC">
      <w:pPr>
        <w:rPr>
          <w:sz w:val="24"/>
          <w:szCs w:val="24"/>
        </w:rPr>
      </w:pPr>
    </w:p>
    <w:p w14:paraId="407BBE5C" w14:textId="1323F16F" w:rsidR="00E56590" w:rsidRDefault="00E2436F" w:rsidP="00A13DCC">
      <w:pPr>
        <w:numPr>
          <w:ilvl w:val="0"/>
          <w:numId w:val="445"/>
        </w:numPr>
        <w:tabs>
          <w:tab w:val="left" w:pos="1660"/>
        </w:tabs>
        <w:ind w:left="1267" w:right="29"/>
        <w:rPr>
          <w:rFonts w:eastAsia="Times New Roman"/>
          <w:sz w:val="24"/>
          <w:szCs w:val="24"/>
        </w:rPr>
      </w:pPr>
      <w:r w:rsidRPr="00734FE8">
        <w:rPr>
          <w:rFonts w:eastAsia="Times New Roman"/>
          <w:sz w:val="24"/>
          <w:szCs w:val="24"/>
        </w:rPr>
        <w:t>No variances from the requirements set forth in 310 CMR 22.20A are</w:t>
      </w:r>
      <w:r w:rsidR="00E56590" w:rsidRPr="00734FE8">
        <w:rPr>
          <w:rFonts w:eastAsia="Times New Roman"/>
          <w:sz w:val="24"/>
          <w:szCs w:val="24"/>
        </w:rPr>
        <w:t xml:space="preserve"> a</w:t>
      </w:r>
      <w:r w:rsidRPr="00734FE8">
        <w:rPr>
          <w:rFonts w:eastAsia="Times New Roman"/>
          <w:sz w:val="24"/>
          <w:szCs w:val="24"/>
        </w:rPr>
        <w:t>llowed.</w:t>
      </w:r>
    </w:p>
    <w:p w14:paraId="64F1DE4D" w14:textId="2DEA2BE8" w:rsidR="00964934" w:rsidRDefault="00964934" w:rsidP="00A13DCC">
      <w:pPr>
        <w:tabs>
          <w:tab w:val="left" w:pos="1660"/>
        </w:tabs>
        <w:ind w:right="30"/>
        <w:rPr>
          <w:rFonts w:eastAsia="Times New Roman"/>
          <w:sz w:val="24"/>
          <w:szCs w:val="24"/>
        </w:rPr>
      </w:pPr>
    </w:p>
    <w:p w14:paraId="7E2C6FA6" w14:textId="77777777" w:rsidR="008737AC" w:rsidRPr="00E845BF" w:rsidRDefault="008737AC" w:rsidP="00A13DCC">
      <w:pPr>
        <w:pStyle w:val="ListParagraph"/>
        <w:numPr>
          <w:ilvl w:val="0"/>
          <w:numId w:val="1020"/>
        </w:numPr>
        <w:tabs>
          <w:tab w:val="left" w:pos="1660"/>
        </w:tabs>
        <w:ind w:left="1267" w:right="29"/>
        <w:rPr>
          <w:rFonts w:eastAsia="Times New Roman"/>
          <w:sz w:val="24"/>
          <w:szCs w:val="24"/>
        </w:rPr>
      </w:pPr>
      <w:r>
        <w:rPr>
          <w:rFonts w:eastAsia="Times New Roman"/>
          <w:sz w:val="24"/>
          <w:szCs w:val="24"/>
        </w:rPr>
        <w:t xml:space="preserve">No variances from the Maximum Contaminant Level for </w:t>
      </w:r>
      <w:r>
        <w:rPr>
          <w:rFonts w:eastAsia="Times New Roman"/>
          <w:i/>
          <w:iCs/>
          <w:sz w:val="24"/>
          <w:szCs w:val="24"/>
        </w:rPr>
        <w:t>E. coli</w:t>
      </w:r>
      <w:r>
        <w:rPr>
          <w:rFonts w:eastAsia="Times New Roman"/>
          <w:sz w:val="24"/>
          <w:szCs w:val="24"/>
        </w:rPr>
        <w:t xml:space="preserve"> in 310 CMR 22.05(8) are allowed.</w:t>
      </w:r>
    </w:p>
    <w:p w14:paraId="54549808" w14:textId="77777777" w:rsidR="00E56590" w:rsidRPr="00734FE8" w:rsidRDefault="00E56590" w:rsidP="00A13DCC">
      <w:pPr>
        <w:tabs>
          <w:tab w:val="left" w:pos="1660"/>
        </w:tabs>
        <w:ind w:right="980"/>
        <w:rPr>
          <w:rFonts w:eastAsia="Times New Roman"/>
          <w:sz w:val="24"/>
          <w:szCs w:val="24"/>
        </w:rPr>
      </w:pPr>
    </w:p>
    <w:p w14:paraId="281A0AA5" w14:textId="6642B65F" w:rsidR="004647B9" w:rsidRDefault="00E2436F" w:rsidP="00A13DCC">
      <w:pPr>
        <w:tabs>
          <w:tab w:val="left" w:pos="1660"/>
        </w:tabs>
        <w:ind w:right="980"/>
        <w:rPr>
          <w:rFonts w:eastAsia="Times New Roman"/>
          <w:sz w:val="24"/>
          <w:szCs w:val="24"/>
          <w:u w:val="single"/>
        </w:rPr>
      </w:pPr>
      <w:r w:rsidRPr="00734FE8">
        <w:rPr>
          <w:rFonts w:eastAsia="Times New Roman"/>
          <w:sz w:val="24"/>
          <w:szCs w:val="24"/>
          <w:u w:val="single"/>
        </w:rPr>
        <w:t>22.13A: Small System Variances</w:t>
      </w:r>
    </w:p>
    <w:p w14:paraId="67963505" w14:textId="77777777" w:rsidR="00081404" w:rsidRPr="00734FE8" w:rsidRDefault="00081404" w:rsidP="00A13DCC">
      <w:pPr>
        <w:tabs>
          <w:tab w:val="left" w:pos="1660"/>
        </w:tabs>
        <w:ind w:right="980"/>
        <w:rPr>
          <w:rFonts w:eastAsia="Times New Roman"/>
          <w:sz w:val="24"/>
          <w:szCs w:val="24"/>
        </w:rPr>
      </w:pPr>
    </w:p>
    <w:p w14:paraId="281A0AA7" w14:textId="77777777" w:rsidR="004647B9" w:rsidRPr="00734FE8" w:rsidRDefault="00E2436F" w:rsidP="00A13DCC">
      <w:pPr>
        <w:ind w:left="1200" w:firstLine="355"/>
        <w:rPr>
          <w:sz w:val="24"/>
          <w:szCs w:val="24"/>
        </w:rPr>
      </w:pPr>
      <w:r w:rsidRPr="00734FE8">
        <w:rPr>
          <w:rFonts w:eastAsia="Times New Roman"/>
          <w:sz w:val="24"/>
          <w:szCs w:val="24"/>
        </w:rPr>
        <w:t>For compliance with a requirement specifying a Maximum Contaminant Level or treatment technique contained in a 310 CMR 22.00.</w:t>
      </w:r>
    </w:p>
    <w:p w14:paraId="281A0AA8" w14:textId="77777777" w:rsidR="004647B9" w:rsidRPr="00734FE8" w:rsidRDefault="004647B9" w:rsidP="00A13DCC">
      <w:pPr>
        <w:rPr>
          <w:sz w:val="24"/>
          <w:szCs w:val="24"/>
        </w:rPr>
      </w:pPr>
    </w:p>
    <w:p w14:paraId="281A0AA9" w14:textId="77777777" w:rsidR="004647B9" w:rsidRPr="00734FE8" w:rsidRDefault="00E2436F" w:rsidP="00A13DCC">
      <w:pPr>
        <w:numPr>
          <w:ilvl w:val="0"/>
          <w:numId w:val="446"/>
        </w:numPr>
        <w:tabs>
          <w:tab w:val="left" w:pos="1660"/>
        </w:tabs>
        <w:ind w:left="1660" w:hanging="460"/>
        <w:rPr>
          <w:rFonts w:eastAsia="Times New Roman"/>
          <w:sz w:val="24"/>
          <w:szCs w:val="24"/>
        </w:rPr>
      </w:pPr>
      <w:r w:rsidRPr="00734FE8">
        <w:rPr>
          <w:rFonts w:eastAsia="Times New Roman"/>
          <w:sz w:val="24"/>
          <w:szCs w:val="24"/>
          <w:u w:val="single"/>
        </w:rPr>
        <w:t>Size of Public Water System Eligible For A Small System Variance</w:t>
      </w:r>
      <w:r w:rsidRPr="00734FE8">
        <w:rPr>
          <w:rFonts w:eastAsia="Times New Roman"/>
          <w:sz w:val="24"/>
          <w:szCs w:val="24"/>
        </w:rPr>
        <w:t>.</w:t>
      </w:r>
    </w:p>
    <w:p w14:paraId="281A0AAB" w14:textId="77777777" w:rsidR="004647B9" w:rsidRPr="00734FE8" w:rsidRDefault="00E2436F" w:rsidP="006B1C84">
      <w:pPr>
        <w:numPr>
          <w:ilvl w:val="1"/>
          <w:numId w:val="446"/>
        </w:numPr>
        <w:tabs>
          <w:tab w:val="left" w:pos="1973"/>
        </w:tabs>
        <w:ind w:left="1555"/>
        <w:rPr>
          <w:rFonts w:eastAsia="Times New Roman"/>
          <w:sz w:val="24"/>
          <w:szCs w:val="24"/>
        </w:rPr>
      </w:pPr>
      <w:r w:rsidRPr="00734FE8">
        <w:rPr>
          <w:rFonts w:eastAsia="Times New Roman"/>
          <w:sz w:val="24"/>
          <w:szCs w:val="24"/>
        </w:rPr>
        <w:t>The Department may grant a small system variance to a Public Water System serving:</w:t>
      </w:r>
    </w:p>
    <w:p w14:paraId="281A0AAD" w14:textId="77777777" w:rsidR="004647B9" w:rsidRPr="00734FE8" w:rsidRDefault="00E2436F" w:rsidP="00A13DCC">
      <w:pPr>
        <w:numPr>
          <w:ilvl w:val="2"/>
          <w:numId w:val="446"/>
        </w:numPr>
        <w:tabs>
          <w:tab w:val="left" w:pos="2280"/>
        </w:tabs>
        <w:ind w:left="2280" w:hanging="365"/>
        <w:rPr>
          <w:rFonts w:eastAsia="Times New Roman"/>
          <w:sz w:val="24"/>
          <w:szCs w:val="24"/>
        </w:rPr>
      </w:pPr>
      <w:r w:rsidRPr="00734FE8">
        <w:rPr>
          <w:rFonts w:eastAsia="Times New Roman"/>
          <w:sz w:val="24"/>
          <w:szCs w:val="24"/>
        </w:rPr>
        <w:t>3,300 persons or fewer, or</w:t>
      </w:r>
    </w:p>
    <w:p w14:paraId="281A0AAF" w14:textId="77777777" w:rsidR="004647B9" w:rsidRPr="00734FE8" w:rsidRDefault="00E2436F" w:rsidP="00905F85">
      <w:pPr>
        <w:numPr>
          <w:ilvl w:val="2"/>
          <w:numId w:val="446"/>
        </w:numPr>
        <w:tabs>
          <w:tab w:val="left" w:pos="2275"/>
        </w:tabs>
        <w:ind w:left="1920" w:hanging="5"/>
        <w:rPr>
          <w:rFonts w:eastAsia="Times New Roman"/>
          <w:sz w:val="24"/>
          <w:szCs w:val="24"/>
        </w:rPr>
      </w:pPr>
      <w:r w:rsidRPr="00734FE8">
        <w:rPr>
          <w:rFonts w:eastAsia="Times New Roman"/>
          <w:sz w:val="24"/>
          <w:szCs w:val="24"/>
        </w:rPr>
        <w:t>more than 3,300 persons but fewer than 10,000 persons, with approval of the Administrator.</w:t>
      </w:r>
    </w:p>
    <w:p w14:paraId="281A0AB1" w14:textId="77777777" w:rsidR="004647B9" w:rsidRPr="00734FE8" w:rsidRDefault="00E2436F" w:rsidP="00081404">
      <w:pPr>
        <w:numPr>
          <w:ilvl w:val="1"/>
          <w:numId w:val="446"/>
        </w:numPr>
        <w:tabs>
          <w:tab w:val="left" w:pos="2002"/>
        </w:tabs>
        <w:ind w:left="1555"/>
        <w:jc w:val="both"/>
        <w:rPr>
          <w:rFonts w:eastAsia="Times New Roman"/>
          <w:sz w:val="24"/>
          <w:szCs w:val="24"/>
        </w:rPr>
      </w:pPr>
      <w:r w:rsidRPr="00734FE8">
        <w:rPr>
          <w:rFonts w:eastAsia="Times New Roman"/>
          <w:sz w:val="24"/>
          <w:szCs w:val="24"/>
        </w:rPr>
        <w:t>In determining the number of persons served by the Public Water System, the Department or the Administrator, as applicable, will include in the number, all persons served by consecutive Public Water System. A small system variance granted to a Public Water System shall also apply to any consecutive Public Water System served by it.</w:t>
      </w:r>
    </w:p>
    <w:p w14:paraId="281A0AB2" w14:textId="77777777" w:rsidR="004647B9" w:rsidRPr="00734FE8" w:rsidRDefault="004647B9" w:rsidP="00A13DCC">
      <w:pPr>
        <w:rPr>
          <w:rFonts w:eastAsia="Times New Roman"/>
          <w:sz w:val="24"/>
          <w:szCs w:val="24"/>
        </w:rPr>
      </w:pPr>
    </w:p>
    <w:p w14:paraId="281A0AB3" w14:textId="77777777" w:rsidR="004647B9" w:rsidRPr="00734FE8" w:rsidRDefault="00E2436F" w:rsidP="00A13DCC">
      <w:pPr>
        <w:numPr>
          <w:ilvl w:val="0"/>
          <w:numId w:val="446"/>
        </w:numPr>
        <w:tabs>
          <w:tab w:val="left" w:pos="1660"/>
        </w:tabs>
        <w:ind w:left="1660" w:hanging="460"/>
        <w:rPr>
          <w:rFonts w:eastAsia="Times New Roman"/>
          <w:sz w:val="24"/>
          <w:szCs w:val="24"/>
        </w:rPr>
      </w:pPr>
      <w:r w:rsidRPr="00734FE8">
        <w:rPr>
          <w:rFonts w:eastAsia="Times New Roman"/>
          <w:sz w:val="24"/>
          <w:szCs w:val="24"/>
          <w:u w:val="single"/>
        </w:rPr>
        <w:t>Small System Variances Availability</w:t>
      </w:r>
      <w:r w:rsidRPr="00734FE8">
        <w:rPr>
          <w:rFonts w:eastAsia="Times New Roman"/>
          <w:sz w:val="24"/>
          <w:szCs w:val="24"/>
        </w:rPr>
        <w:t>.</w:t>
      </w:r>
    </w:p>
    <w:p w14:paraId="281A0AB5" w14:textId="77777777" w:rsidR="004647B9" w:rsidRPr="00734FE8" w:rsidRDefault="00E2436F" w:rsidP="00891BF6">
      <w:pPr>
        <w:numPr>
          <w:ilvl w:val="1"/>
          <w:numId w:val="446"/>
        </w:numPr>
        <w:tabs>
          <w:tab w:val="left" w:pos="1968"/>
        </w:tabs>
        <w:ind w:left="1555"/>
        <w:jc w:val="both"/>
        <w:rPr>
          <w:rFonts w:eastAsia="Times New Roman"/>
          <w:sz w:val="24"/>
          <w:szCs w:val="24"/>
        </w:rPr>
      </w:pPr>
      <w:r w:rsidRPr="00734FE8">
        <w:rPr>
          <w:rFonts w:eastAsia="Times New Roman"/>
          <w:sz w:val="24"/>
          <w:szCs w:val="24"/>
        </w:rPr>
        <w:t>A small system variance is not available under 310 CMR 22.13A for a national primary drinking water regulation for a microbial contaminant (including a bacterium, Virus, or other organism) or an indicator or Treatment Technique for a microbial contaminant.</w:t>
      </w:r>
    </w:p>
    <w:p w14:paraId="281A0AB6" w14:textId="77777777" w:rsidR="004647B9" w:rsidRPr="00734FE8" w:rsidRDefault="00E2436F" w:rsidP="00A13DCC">
      <w:pPr>
        <w:numPr>
          <w:ilvl w:val="1"/>
          <w:numId w:val="446"/>
        </w:numPr>
        <w:tabs>
          <w:tab w:val="left" w:pos="2113"/>
        </w:tabs>
        <w:ind w:left="1560" w:hanging="5"/>
        <w:jc w:val="both"/>
        <w:rPr>
          <w:rFonts w:eastAsia="Times New Roman"/>
          <w:sz w:val="24"/>
          <w:szCs w:val="24"/>
        </w:rPr>
      </w:pPr>
      <w:r w:rsidRPr="00734FE8">
        <w:rPr>
          <w:rFonts w:eastAsia="Times New Roman"/>
          <w:sz w:val="24"/>
          <w:szCs w:val="24"/>
        </w:rPr>
        <w:t>A small system variance under 310 CMR 22.13A is otherwise only available for compliance with the requirement specifying a Maximum Contaminant Level or Treatment Technique for a contaminant with respect to which;</w:t>
      </w:r>
    </w:p>
    <w:p w14:paraId="281A0AB8" w14:textId="77777777" w:rsidR="004647B9" w:rsidRPr="00734FE8" w:rsidRDefault="00E2436F" w:rsidP="00905F85">
      <w:pPr>
        <w:numPr>
          <w:ilvl w:val="2"/>
          <w:numId w:val="446"/>
        </w:numPr>
        <w:tabs>
          <w:tab w:val="left" w:pos="2275"/>
        </w:tabs>
        <w:ind w:left="1920" w:hanging="5"/>
        <w:rPr>
          <w:rFonts w:eastAsia="Times New Roman"/>
          <w:sz w:val="24"/>
          <w:szCs w:val="24"/>
        </w:rPr>
      </w:pPr>
      <w:r w:rsidRPr="00734FE8">
        <w:rPr>
          <w:rFonts w:eastAsia="Times New Roman"/>
          <w:sz w:val="24"/>
          <w:szCs w:val="24"/>
        </w:rPr>
        <w:t>a national primary drinking water regulations was promulgated on or after January 1, 1986; and</w:t>
      </w:r>
    </w:p>
    <w:p w14:paraId="281A0ABA" w14:textId="77777777" w:rsidR="004647B9" w:rsidRDefault="00E2436F" w:rsidP="00A13DCC">
      <w:pPr>
        <w:numPr>
          <w:ilvl w:val="2"/>
          <w:numId w:val="446"/>
        </w:numPr>
        <w:tabs>
          <w:tab w:val="left" w:pos="2266"/>
        </w:tabs>
        <w:ind w:left="1920" w:hanging="5"/>
        <w:rPr>
          <w:rFonts w:eastAsia="Times New Roman"/>
          <w:sz w:val="24"/>
          <w:szCs w:val="24"/>
        </w:rPr>
      </w:pPr>
      <w:r w:rsidRPr="00734FE8">
        <w:rPr>
          <w:rFonts w:eastAsia="Times New Roman"/>
          <w:sz w:val="24"/>
          <w:szCs w:val="24"/>
        </w:rPr>
        <w:t>the Administrator has published a small system variance technology pursuant to</w:t>
      </w:r>
      <w:r>
        <w:rPr>
          <w:rFonts w:eastAsia="Times New Roman"/>
          <w:sz w:val="24"/>
          <w:szCs w:val="24"/>
        </w:rPr>
        <w:t xml:space="preserve"> the federal Safe Drinking Water Act, § 1412(b)(15).</w:t>
      </w:r>
    </w:p>
    <w:p w14:paraId="281A0ABB" w14:textId="77777777" w:rsidR="004647B9" w:rsidRDefault="004647B9" w:rsidP="00A13DCC">
      <w:pPr>
        <w:rPr>
          <w:rFonts w:eastAsia="Times New Roman"/>
          <w:sz w:val="24"/>
          <w:szCs w:val="24"/>
        </w:rPr>
      </w:pPr>
    </w:p>
    <w:p w14:paraId="281A0ABC" w14:textId="77777777" w:rsidR="004647B9" w:rsidRDefault="00E2436F" w:rsidP="00A13DCC">
      <w:pPr>
        <w:numPr>
          <w:ilvl w:val="0"/>
          <w:numId w:val="446"/>
        </w:numPr>
        <w:tabs>
          <w:tab w:val="left" w:pos="1646"/>
        </w:tabs>
        <w:ind w:left="1200"/>
        <w:rPr>
          <w:rFonts w:eastAsia="Times New Roman"/>
          <w:sz w:val="24"/>
          <w:szCs w:val="24"/>
        </w:rPr>
      </w:pPr>
      <w:r>
        <w:rPr>
          <w:rFonts w:eastAsia="Times New Roman"/>
          <w:sz w:val="24"/>
          <w:szCs w:val="24"/>
          <w:u w:val="single"/>
        </w:rPr>
        <w:t>Timing of a Small System Variance</w:t>
      </w:r>
      <w:r>
        <w:rPr>
          <w:rFonts w:eastAsia="Times New Roman"/>
          <w:sz w:val="24"/>
          <w:szCs w:val="24"/>
        </w:rPr>
        <w:t>. No variance can be granted under 310 CMR 22.13A by the Department until the later of the following:</w:t>
      </w:r>
    </w:p>
    <w:p w14:paraId="281A0ABE" w14:textId="77777777" w:rsidR="004647B9" w:rsidRDefault="00E2436F" w:rsidP="00A13DCC">
      <w:pPr>
        <w:numPr>
          <w:ilvl w:val="1"/>
          <w:numId w:val="446"/>
        </w:numPr>
        <w:tabs>
          <w:tab w:val="left" w:pos="2000"/>
        </w:tabs>
        <w:ind w:left="2000" w:hanging="445"/>
        <w:rPr>
          <w:rFonts w:eastAsia="Times New Roman"/>
          <w:sz w:val="24"/>
          <w:szCs w:val="24"/>
        </w:rPr>
      </w:pPr>
      <w:r>
        <w:rPr>
          <w:rFonts w:eastAsia="Times New Roman"/>
          <w:sz w:val="24"/>
          <w:szCs w:val="24"/>
        </w:rPr>
        <w:t>90 days after the Department proposes to grant the small system variance;</w:t>
      </w:r>
    </w:p>
    <w:p w14:paraId="281A0AC0" w14:textId="77777777" w:rsidR="004647B9" w:rsidRDefault="00E2436F" w:rsidP="00A13DCC">
      <w:pPr>
        <w:numPr>
          <w:ilvl w:val="1"/>
          <w:numId w:val="446"/>
        </w:numPr>
        <w:tabs>
          <w:tab w:val="left" w:pos="2085"/>
        </w:tabs>
        <w:ind w:left="1560" w:hanging="5"/>
        <w:jc w:val="both"/>
        <w:rPr>
          <w:rFonts w:eastAsia="Times New Roman"/>
          <w:sz w:val="24"/>
          <w:szCs w:val="24"/>
        </w:rPr>
      </w:pPr>
      <w:r>
        <w:rPr>
          <w:rFonts w:eastAsia="Times New Roman"/>
          <w:sz w:val="24"/>
          <w:szCs w:val="24"/>
        </w:rPr>
        <w:t>If the Department is proposing to grant a small system variance to a Public Water System serving 3,300 or fewer persons and the Administrator objects to the small system variance, the date on which the Department makes the recommended modifications or responds in writing to each objection; or</w:t>
      </w:r>
    </w:p>
    <w:p w14:paraId="281A0AC2" w14:textId="77777777" w:rsidR="004647B9" w:rsidRDefault="00E2436F" w:rsidP="00A13DCC">
      <w:pPr>
        <w:numPr>
          <w:ilvl w:val="1"/>
          <w:numId w:val="446"/>
        </w:numPr>
        <w:tabs>
          <w:tab w:val="left" w:pos="2069"/>
        </w:tabs>
        <w:ind w:left="1560" w:hanging="5"/>
        <w:jc w:val="both"/>
        <w:rPr>
          <w:rFonts w:eastAsia="Times New Roman"/>
          <w:sz w:val="24"/>
          <w:szCs w:val="24"/>
        </w:rPr>
      </w:pPr>
      <w:r>
        <w:rPr>
          <w:rFonts w:eastAsia="Times New Roman"/>
          <w:sz w:val="24"/>
          <w:szCs w:val="24"/>
        </w:rPr>
        <w:t>If the Department is proposing to grant a small system variance to a Public Water System serving a population more than 3,300 and fewer than 10,000 persons, the date the Administrator must approve or disapprove the variance within 90 days after it is submitted to the Administrator for review.</w:t>
      </w:r>
    </w:p>
    <w:p w14:paraId="281A0AC3" w14:textId="77777777" w:rsidR="004647B9" w:rsidRDefault="004647B9" w:rsidP="00A13DCC">
      <w:pPr>
        <w:rPr>
          <w:rFonts w:eastAsia="Times New Roman"/>
          <w:sz w:val="24"/>
          <w:szCs w:val="24"/>
        </w:rPr>
      </w:pPr>
    </w:p>
    <w:p w14:paraId="281A0AC4" w14:textId="77777777" w:rsidR="004647B9" w:rsidRDefault="00E2436F" w:rsidP="00A13DCC">
      <w:pPr>
        <w:numPr>
          <w:ilvl w:val="0"/>
          <w:numId w:val="446"/>
        </w:numPr>
        <w:tabs>
          <w:tab w:val="left" w:pos="1660"/>
        </w:tabs>
        <w:ind w:left="1660" w:hanging="460"/>
        <w:rPr>
          <w:rFonts w:eastAsia="Times New Roman"/>
          <w:sz w:val="24"/>
          <w:szCs w:val="24"/>
        </w:rPr>
      </w:pPr>
      <w:r>
        <w:rPr>
          <w:rFonts w:eastAsia="Times New Roman"/>
          <w:sz w:val="24"/>
          <w:szCs w:val="24"/>
          <w:u w:val="single"/>
        </w:rPr>
        <w:t>Review of Small System Variance Applications</w:t>
      </w:r>
      <w:r>
        <w:rPr>
          <w:rFonts w:eastAsia="Times New Roman"/>
          <w:sz w:val="24"/>
          <w:szCs w:val="24"/>
        </w:rPr>
        <w:t>.</w:t>
      </w:r>
    </w:p>
    <w:p w14:paraId="281A0AC6" w14:textId="77777777" w:rsidR="004647B9" w:rsidRDefault="00E2436F" w:rsidP="00EB47AB">
      <w:pPr>
        <w:numPr>
          <w:ilvl w:val="1"/>
          <w:numId w:val="446"/>
        </w:numPr>
        <w:tabs>
          <w:tab w:val="left" w:pos="2004"/>
        </w:tabs>
        <w:ind w:left="1555"/>
        <w:jc w:val="both"/>
        <w:rPr>
          <w:rFonts w:eastAsia="Times New Roman"/>
          <w:sz w:val="24"/>
          <w:szCs w:val="24"/>
        </w:rPr>
      </w:pPr>
      <w:r>
        <w:rPr>
          <w:rFonts w:eastAsia="Times New Roman"/>
          <w:sz w:val="24"/>
          <w:szCs w:val="24"/>
        </w:rPr>
        <w:t xml:space="preserve">A Public Water System requesting a small system variance must provide accurate and correct information to the Department or the Administrator to issue a small system variance </w:t>
      </w:r>
      <w:r>
        <w:rPr>
          <w:rFonts w:eastAsia="Times New Roman"/>
          <w:sz w:val="24"/>
          <w:szCs w:val="24"/>
        </w:rPr>
        <w:lastRenderedPageBreak/>
        <w:t>in accordance with 310 CMR 22.13A. The Department may assist a Public Water System in compiling information required for the Department or the Administrator to issue a small system variance in accordance with 310 CMR 22.13A.</w:t>
      </w:r>
    </w:p>
    <w:p w14:paraId="4DF75C32" w14:textId="77777777" w:rsidR="00EB47AB" w:rsidRDefault="00EB47AB" w:rsidP="00EB47AB">
      <w:pPr>
        <w:pStyle w:val="ListParagraph"/>
        <w:numPr>
          <w:ilvl w:val="0"/>
          <w:numId w:val="446"/>
        </w:numPr>
        <w:sectPr w:rsidR="00EB47AB" w:rsidSect="00EF630C">
          <w:pgSz w:w="12240" w:h="20180"/>
          <w:pgMar w:top="708" w:right="1440" w:bottom="1102" w:left="600" w:header="0" w:footer="0" w:gutter="0"/>
          <w:cols w:space="720"/>
        </w:sectPr>
      </w:pPr>
    </w:p>
    <w:p w14:paraId="281A0ACE" w14:textId="77777777" w:rsidR="004647B9" w:rsidRDefault="00E2436F">
      <w:pPr>
        <w:tabs>
          <w:tab w:val="left" w:pos="160"/>
        </w:tabs>
        <w:jc w:val="center"/>
        <w:rPr>
          <w:sz w:val="20"/>
          <w:szCs w:val="20"/>
        </w:rPr>
      </w:pPr>
      <w:bookmarkStart w:id="172" w:name="page174"/>
      <w:bookmarkEnd w:id="17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ACF" w14:textId="77777777" w:rsidR="004647B9" w:rsidRDefault="004647B9" w:rsidP="00EB47AB">
      <w:pPr>
        <w:rPr>
          <w:sz w:val="20"/>
          <w:szCs w:val="20"/>
        </w:rPr>
      </w:pPr>
    </w:p>
    <w:p w14:paraId="281A0AD0" w14:textId="77777777" w:rsidR="004647B9" w:rsidRDefault="004647B9" w:rsidP="00EB47AB">
      <w:pPr>
        <w:rPr>
          <w:sz w:val="20"/>
          <w:szCs w:val="20"/>
        </w:rPr>
      </w:pPr>
    </w:p>
    <w:p w14:paraId="281A0AD1" w14:textId="77777777" w:rsidR="004647B9" w:rsidRPr="00EB47AB" w:rsidRDefault="00E2436F" w:rsidP="00EB47AB">
      <w:pPr>
        <w:tabs>
          <w:tab w:val="left" w:pos="940"/>
        </w:tabs>
        <w:rPr>
          <w:sz w:val="24"/>
          <w:szCs w:val="24"/>
        </w:rPr>
      </w:pPr>
      <w:r w:rsidRPr="00EB47AB">
        <w:rPr>
          <w:rFonts w:eastAsia="Times New Roman"/>
          <w:sz w:val="24"/>
          <w:szCs w:val="24"/>
        </w:rPr>
        <w:t>22.13A:</w:t>
      </w:r>
      <w:r w:rsidRPr="00EB47AB">
        <w:rPr>
          <w:sz w:val="24"/>
          <w:szCs w:val="24"/>
        </w:rPr>
        <w:tab/>
      </w:r>
      <w:r w:rsidRPr="00EB47AB">
        <w:rPr>
          <w:rFonts w:eastAsia="Times New Roman"/>
          <w:sz w:val="24"/>
          <w:szCs w:val="24"/>
        </w:rPr>
        <w:t>continued</w:t>
      </w:r>
    </w:p>
    <w:p w14:paraId="281A0AD2" w14:textId="77777777" w:rsidR="004647B9" w:rsidRDefault="004647B9" w:rsidP="00EB47AB">
      <w:pPr>
        <w:rPr>
          <w:sz w:val="20"/>
          <w:szCs w:val="20"/>
        </w:rPr>
      </w:pPr>
    </w:p>
    <w:p w14:paraId="198C0BCF" w14:textId="77777777" w:rsidR="00EB47AB" w:rsidRDefault="00EB47AB" w:rsidP="00EB47AB">
      <w:pPr>
        <w:numPr>
          <w:ilvl w:val="0"/>
          <w:numId w:val="1084"/>
        </w:numPr>
        <w:tabs>
          <w:tab w:val="left" w:pos="2002"/>
        </w:tabs>
        <w:ind w:left="1555"/>
        <w:jc w:val="both"/>
        <w:rPr>
          <w:rFonts w:eastAsia="Times New Roman"/>
          <w:sz w:val="24"/>
          <w:szCs w:val="24"/>
        </w:rPr>
      </w:pPr>
      <w:r>
        <w:rPr>
          <w:rFonts w:eastAsia="Times New Roman"/>
          <w:sz w:val="24"/>
          <w:szCs w:val="24"/>
        </w:rPr>
        <w:t>Based upon an application for a small system variance and other information, and before a small system variance may be proposed under 310 CMR 22.13A, the Department or the Administrator must find and document the following:</w:t>
      </w:r>
    </w:p>
    <w:p w14:paraId="2CADD366" w14:textId="77777777" w:rsidR="00EB47AB" w:rsidRDefault="00EB47AB" w:rsidP="00EB47AB">
      <w:pPr>
        <w:numPr>
          <w:ilvl w:val="2"/>
          <w:numId w:val="446"/>
        </w:numPr>
        <w:tabs>
          <w:tab w:val="left" w:pos="2359"/>
        </w:tabs>
        <w:ind w:left="1920" w:hanging="5"/>
        <w:rPr>
          <w:rFonts w:eastAsia="Times New Roman"/>
          <w:sz w:val="24"/>
          <w:szCs w:val="24"/>
        </w:rPr>
      </w:pPr>
      <w:r>
        <w:rPr>
          <w:rFonts w:eastAsia="Times New Roman"/>
          <w:sz w:val="24"/>
          <w:szCs w:val="24"/>
        </w:rPr>
        <w:t>The small system is eligible for a small system variance pursuant to 310 CMR 22.13A(1) and (2).</w:t>
      </w:r>
    </w:p>
    <w:p w14:paraId="286DDB8A" w14:textId="122E039E" w:rsidR="00EB47AB" w:rsidRPr="00EB47AB" w:rsidRDefault="00EB47AB" w:rsidP="00EB47AB">
      <w:pPr>
        <w:pStyle w:val="ListParagraph"/>
        <w:numPr>
          <w:ilvl w:val="2"/>
          <w:numId w:val="446"/>
        </w:numPr>
        <w:tabs>
          <w:tab w:val="left" w:pos="2232"/>
        </w:tabs>
        <w:ind w:left="1915"/>
        <w:rPr>
          <w:sz w:val="20"/>
          <w:szCs w:val="20"/>
        </w:rPr>
      </w:pPr>
      <w:r w:rsidRPr="00EB47AB">
        <w:rPr>
          <w:rFonts w:eastAsia="Times New Roman"/>
          <w:sz w:val="24"/>
          <w:szCs w:val="24"/>
        </w:rPr>
        <w:t>The Small Water System cannot afford to comply, in accordance with affordability criteria established by the Department, with the national primary drinking water regulations for which a small system variance is sought, including by:</w:t>
      </w:r>
    </w:p>
    <w:p w14:paraId="281A0AD3" w14:textId="77777777" w:rsidR="004647B9" w:rsidRPr="00734FE8" w:rsidRDefault="00E2436F" w:rsidP="00EB47AB">
      <w:pPr>
        <w:numPr>
          <w:ilvl w:val="3"/>
          <w:numId w:val="447"/>
        </w:numPr>
        <w:tabs>
          <w:tab w:val="left" w:pos="2620"/>
        </w:tabs>
        <w:ind w:left="2620" w:hanging="345"/>
        <w:rPr>
          <w:rFonts w:eastAsia="Times New Roman"/>
          <w:sz w:val="24"/>
          <w:szCs w:val="24"/>
        </w:rPr>
      </w:pPr>
      <w:r w:rsidRPr="00734FE8">
        <w:rPr>
          <w:rFonts w:eastAsia="Times New Roman"/>
          <w:sz w:val="24"/>
          <w:szCs w:val="24"/>
        </w:rPr>
        <w:t>Treatment;</w:t>
      </w:r>
    </w:p>
    <w:p w14:paraId="281A0AD5" w14:textId="77777777" w:rsidR="004647B9" w:rsidRPr="00734FE8" w:rsidRDefault="00E2436F" w:rsidP="00EB47AB">
      <w:pPr>
        <w:numPr>
          <w:ilvl w:val="3"/>
          <w:numId w:val="447"/>
        </w:numPr>
        <w:tabs>
          <w:tab w:val="left" w:pos="2640"/>
        </w:tabs>
        <w:ind w:left="2640" w:hanging="365"/>
        <w:rPr>
          <w:rFonts w:eastAsia="Times New Roman"/>
          <w:sz w:val="24"/>
          <w:szCs w:val="24"/>
        </w:rPr>
      </w:pPr>
      <w:r w:rsidRPr="00734FE8">
        <w:rPr>
          <w:rFonts w:eastAsia="Times New Roman"/>
          <w:sz w:val="24"/>
          <w:szCs w:val="24"/>
        </w:rPr>
        <w:t>Alternative sources of water supply;</w:t>
      </w:r>
    </w:p>
    <w:p w14:paraId="281A0AD7" w14:textId="77777777" w:rsidR="004647B9" w:rsidRPr="00734FE8" w:rsidRDefault="00E2436F" w:rsidP="00EB47AB">
      <w:pPr>
        <w:numPr>
          <w:ilvl w:val="3"/>
          <w:numId w:val="447"/>
        </w:numPr>
        <w:tabs>
          <w:tab w:val="left" w:pos="2727"/>
        </w:tabs>
        <w:ind w:left="2280" w:hanging="5"/>
        <w:rPr>
          <w:rFonts w:eastAsia="Times New Roman"/>
          <w:sz w:val="24"/>
          <w:szCs w:val="24"/>
        </w:rPr>
      </w:pPr>
      <w:r w:rsidRPr="00734FE8">
        <w:rPr>
          <w:rFonts w:eastAsia="Times New Roman"/>
          <w:sz w:val="24"/>
          <w:szCs w:val="24"/>
        </w:rPr>
        <w:t>Restructuring or consolidation changes, including ownership change and/or physical consolidation with another Public Water System; or</w:t>
      </w:r>
    </w:p>
    <w:p w14:paraId="281A0AD9" w14:textId="77777777" w:rsidR="004647B9" w:rsidRPr="00734FE8" w:rsidRDefault="00E2436F" w:rsidP="00EB47AB">
      <w:pPr>
        <w:numPr>
          <w:ilvl w:val="3"/>
          <w:numId w:val="447"/>
        </w:numPr>
        <w:tabs>
          <w:tab w:val="left" w:pos="2599"/>
        </w:tabs>
        <w:ind w:left="2280" w:hanging="5"/>
        <w:jc w:val="both"/>
        <w:rPr>
          <w:rFonts w:eastAsia="Times New Roman"/>
          <w:sz w:val="24"/>
          <w:szCs w:val="24"/>
        </w:rPr>
      </w:pPr>
      <w:r w:rsidRPr="00734FE8">
        <w:rPr>
          <w:rFonts w:eastAsia="Times New Roman"/>
          <w:sz w:val="24"/>
          <w:szCs w:val="24"/>
        </w:rPr>
        <w:t xml:space="preserve">Obtaining financial assistance pursuant to Drinking Water State Revolving Fund loan program, 310 CMR 45.00: </w:t>
      </w:r>
      <w:r w:rsidRPr="00734FE8">
        <w:rPr>
          <w:rFonts w:eastAsia="Times New Roman"/>
          <w:i/>
          <w:iCs/>
          <w:sz w:val="24"/>
          <w:szCs w:val="24"/>
        </w:rPr>
        <w:t>DEP Selection, Approval and Regulation of</w:t>
      </w:r>
      <w:r w:rsidRPr="00734FE8">
        <w:rPr>
          <w:rFonts w:eastAsia="Times New Roman"/>
          <w:sz w:val="24"/>
          <w:szCs w:val="24"/>
        </w:rPr>
        <w:t xml:space="preserve"> </w:t>
      </w:r>
      <w:r w:rsidRPr="00734FE8">
        <w:rPr>
          <w:rFonts w:eastAsia="Times New Roman"/>
          <w:i/>
          <w:iCs/>
          <w:sz w:val="24"/>
          <w:szCs w:val="24"/>
        </w:rPr>
        <w:t xml:space="preserve">Drinking Water Projects Receiving Financial Assistance from the State Revolving Fund </w:t>
      </w:r>
      <w:r w:rsidRPr="00734FE8">
        <w:rPr>
          <w:rFonts w:eastAsia="Times New Roman"/>
          <w:sz w:val="24"/>
          <w:szCs w:val="24"/>
        </w:rPr>
        <w:t>or any other Federal or State program.</w:t>
      </w:r>
    </w:p>
    <w:p w14:paraId="281A0ADB" w14:textId="77777777" w:rsidR="004647B9" w:rsidRPr="00734FE8" w:rsidRDefault="00E2436F" w:rsidP="00EB47AB">
      <w:pPr>
        <w:numPr>
          <w:ilvl w:val="2"/>
          <w:numId w:val="448"/>
        </w:numPr>
        <w:tabs>
          <w:tab w:val="left" w:pos="2230"/>
        </w:tabs>
        <w:ind w:left="1915"/>
        <w:jc w:val="both"/>
        <w:rPr>
          <w:rFonts w:eastAsia="Times New Roman"/>
          <w:sz w:val="24"/>
          <w:szCs w:val="24"/>
        </w:rPr>
      </w:pPr>
      <w:r w:rsidRPr="00734FE8">
        <w:rPr>
          <w:rFonts w:eastAsia="Times New Roman"/>
          <w:sz w:val="24"/>
          <w:szCs w:val="24"/>
        </w:rPr>
        <w:t>The small system meets the source water quality requirements for installing the small system variance technology developed by the Administrator pursuant to guidance published under the federal Safe Drinking Water Act, § 1412(b)(15) .</w:t>
      </w:r>
    </w:p>
    <w:p w14:paraId="281A0ADE" w14:textId="20933CEC" w:rsidR="004647B9" w:rsidRPr="00734FE8" w:rsidRDefault="00E2436F" w:rsidP="00EB47AB">
      <w:pPr>
        <w:numPr>
          <w:ilvl w:val="2"/>
          <w:numId w:val="448"/>
        </w:numPr>
        <w:tabs>
          <w:tab w:val="left" w:pos="2340"/>
        </w:tabs>
        <w:ind w:left="1915"/>
        <w:jc w:val="both"/>
        <w:rPr>
          <w:rFonts w:eastAsia="Times New Roman"/>
          <w:sz w:val="24"/>
          <w:szCs w:val="24"/>
        </w:rPr>
      </w:pPr>
      <w:r w:rsidRPr="00734FE8">
        <w:rPr>
          <w:rFonts w:eastAsia="Times New Roman"/>
          <w:sz w:val="24"/>
          <w:szCs w:val="24"/>
        </w:rPr>
        <w:t>The small system has the technical, managerial and financial capacity to install, operate and maintain the applicable small system variance technology in compliance with</w:t>
      </w:r>
      <w:r w:rsidR="0041564B" w:rsidRPr="00734FE8">
        <w:rPr>
          <w:rFonts w:eastAsia="Times New Roman"/>
          <w:sz w:val="24"/>
          <w:szCs w:val="24"/>
        </w:rPr>
        <w:t xml:space="preserve"> 310 </w:t>
      </w:r>
      <w:r w:rsidRPr="00734FE8">
        <w:rPr>
          <w:rFonts w:eastAsia="Times New Roman"/>
          <w:sz w:val="24"/>
          <w:szCs w:val="24"/>
        </w:rPr>
        <w:t>CMR 22.04; and</w:t>
      </w:r>
    </w:p>
    <w:p w14:paraId="281A0AE0" w14:textId="77777777" w:rsidR="004647B9" w:rsidRPr="00734FE8" w:rsidRDefault="00E2436F" w:rsidP="00EB47AB">
      <w:pPr>
        <w:numPr>
          <w:ilvl w:val="2"/>
          <w:numId w:val="449"/>
        </w:numPr>
        <w:tabs>
          <w:tab w:val="left" w:pos="2398"/>
        </w:tabs>
        <w:ind w:left="1920" w:hanging="5"/>
        <w:jc w:val="both"/>
        <w:rPr>
          <w:rFonts w:eastAsia="Times New Roman"/>
          <w:sz w:val="24"/>
          <w:szCs w:val="24"/>
        </w:rPr>
      </w:pPr>
      <w:r w:rsidRPr="00734FE8">
        <w:rPr>
          <w:rFonts w:eastAsia="Times New Roman"/>
          <w:sz w:val="24"/>
          <w:szCs w:val="24"/>
        </w:rPr>
        <w:t>The terms and conditions of the small system variance, as developed through compliance with 310 CMR 22.13A(5), ensure adequate protection of human health, considering the following:</w:t>
      </w:r>
    </w:p>
    <w:p w14:paraId="281A0AE2" w14:textId="77777777" w:rsidR="004647B9" w:rsidRPr="00734FE8" w:rsidRDefault="00E2436F" w:rsidP="006156F2">
      <w:pPr>
        <w:numPr>
          <w:ilvl w:val="3"/>
          <w:numId w:val="449"/>
        </w:numPr>
        <w:tabs>
          <w:tab w:val="left" w:pos="2620"/>
        </w:tabs>
        <w:ind w:left="2275"/>
        <w:rPr>
          <w:rFonts w:eastAsia="Times New Roman"/>
          <w:sz w:val="24"/>
          <w:szCs w:val="24"/>
        </w:rPr>
      </w:pPr>
      <w:r w:rsidRPr="00734FE8">
        <w:rPr>
          <w:rFonts w:eastAsia="Times New Roman"/>
          <w:sz w:val="24"/>
          <w:szCs w:val="24"/>
        </w:rPr>
        <w:t>the quality of the source water for the Public Water System; and</w:t>
      </w:r>
    </w:p>
    <w:p w14:paraId="281A0AE4" w14:textId="77777777" w:rsidR="004647B9" w:rsidRPr="00734FE8" w:rsidRDefault="00E2436F" w:rsidP="006156F2">
      <w:pPr>
        <w:numPr>
          <w:ilvl w:val="3"/>
          <w:numId w:val="449"/>
        </w:numPr>
        <w:tabs>
          <w:tab w:val="left" w:pos="2621"/>
        </w:tabs>
        <w:ind w:left="2280" w:hanging="5"/>
        <w:rPr>
          <w:rFonts w:eastAsia="Times New Roman"/>
          <w:sz w:val="24"/>
          <w:szCs w:val="24"/>
        </w:rPr>
      </w:pPr>
      <w:r w:rsidRPr="00734FE8">
        <w:rPr>
          <w:rFonts w:eastAsia="Times New Roman"/>
          <w:sz w:val="24"/>
          <w:szCs w:val="24"/>
        </w:rPr>
        <w:t>removal efficiencies and expected useful life of the small system variance technology.</w:t>
      </w:r>
    </w:p>
    <w:p w14:paraId="281A0AE6" w14:textId="77777777" w:rsidR="004647B9" w:rsidRPr="00734FE8" w:rsidRDefault="00E2436F" w:rsidP="00EB47AB">
      <w:pPr>
        <w:numPr>
          <w:ilvl w:val="2"/>
          <w:numId w:val="449"/>
        </w:numPr>
        <w:tabs>
          <w:tab w:val="left" w:pos="2261"/>
        </w:tabs>
        <w:ind w:left="1920" w:hanging="5"/>
        <w:rPr>
          <w:rFonts w:eastAsia="Times New Roman"/>
          <w:sz w:val="24"/>
          <w:szCs w:val="24"/>
        </w:rPr>
      </w:pPr>
      <w:r w:rsidRPr="00734FE8">
        <w:rPr>
          <w:rFonts w:eastAsia="Times New Roman"/>
          <w:sz w:val="24"/>
          <w:szCs w:val="24"/>
        </w:rPr>
        <w:t>The small system has the technical, managerial, and financial capacity to operate its system, as determined by the Department.</w:t>
      </w:r>
    </w:p>
    <w:p w14:paraId="281A0AE7" w14:textId="77777777" w:rsidR="004647B9" w:rsidRPr="007D234C" w:rsidRDefault="004647B9" w:rsidP="00EB47AB">
      <w:pPr>
        <w:rPr>
          <w:rFonts w:eastAsia="Times New Roman"/>
          <w:sz w:val="24"/>
          <w:szCs w:val="24"/>
        </w:rPr>
      </w:pPr>
    </w:p>
    <w:p w14:paraId="281A0AE8" w14:textId="77777777" w:rsidR="004647B9" w:rsidRPr="007D234C" w:rsidRDefault="00E2436F" w:rsidP="00EB47AB">
      <w:pPr>
        <w:numPr>
          <w:ilvl w:val="0"/>
          <w:numId w:val="450"/>
        </w:numPr>
        <w:tabs>
          <w:tab w:val="left" w:pos="1602"/>
        </w:tabs>
        <w:ind w:left="1200"/>
        <w:rPr>
          <w:rFonts w:eastAsia="Times New Roman"/>
          <w:sz w:val="24"/>
          <w:szCs w:val="24"/>
        </w:rPr>
      </w:pPr>
      <w:r w:rsidRPr="007D234C">
        <w:rPr>
          <w:rFonts w:eastAsia="Times New Roman"/>
          <w:sz w:val="24"/>
          <w:szCs w:val="24"/>
          <w:u w:val="single"/>
        </w:rPr>
        <w:t>Terms and Conditions</w:t>
      </w:r>
      <w:r w:rsidRPr="007D234C">
        <w:rPr>
          <w:rFonts w:eastAsia="Times New Roman"/>
          <w:sz w:val="24"/>
          <w:szCs w:val="24"/>
        </w:rPr>
        <w:t>. The terms and conditions of the small system variance shall include, at a minimum, the following requirements:</w:t>
      </w:r>
    </w:p>
    <w:p w14:paraId="281A0AEA" w14:textId="77777777" w:rsidR="004647B9" w:rsidRPr="007D234C" w:rsidRDefault="00E2436F" w:rsidP="00EB47AB">
      <w:pPr>
        <w:numPr>
          <w:ilvl w:val="1"/>
          <w:numId w:val="450"/>
        </w:numPr>
        <w:tabs>
          <w:tab w:val="left" w:pos="2059"/>
        </w:tabs>
        <w:ind w:left="1560" w:hanging="5"/>
        <w:jc w:val="both"/>
        <w:rPr>
          <w:rFonts w:eastAsia="Times New Roman"/>
          <w:sz w:val="24"/>
          <w:szCs w:val="24"/>
        </w:rPr>
      </w:pPr>
      <w:r w:rsidRPr="007D234C">
        <w:rPr>
          <w:rFonts w:eastAsia="Times New Roman"/>
          <w:sz w:val="24"/>
          <w:szCs w:val="24"/>
        </w:rPr>
        <w:t>proper and effective installation, operation and maintenance of the applicable small system variance technology in accordance with guidance published by the Administrator pursuant to the federal Safe Drinking Water Act, § 1412(b)(15), taking into consideration any relevant source water characteristics and any other site-specific conditions that may affect proper and effective operation and maintenance of the technology;</w:t>
      </w:r>
    </w:p>
    <w:p w14:paraId="281A0AEC" w14:textId="77777777" w:rsidR="004647B9" w:rsidRPr="007D234C" w:rsidRDefault="00E2436F" w:rsidP="00EB47AB">
      <w:pPr>
        <w:numPr>
          <w:ilvl w:val="1"/>
          <w:numId w:val="450"/>
        </w:numPr>
        <w:tabs>
          <w:tab w:val="left" w:pos="1949"/>
        </w:tabs>
        <w:ind w:left="1560" w:hanging="5"/>
        <w:rPr>
          <w:rFonts w:eastAsia="Times New Roman"/>
          <w:sz w:val="24"/>
          <w:szCs w:val="24"/>
        </w:rPr>
      </w:pPr>
      <w:r w:rsidRPr="007D234C">
        <w:rPr>
          <w:rFonts w:eastAsia="Times New Roman"/>
          <w:sz w:val="24"/>
          <w:szCs w:val="24"/>
        </w:rPr>
        <w:t>monitoring requirement for the contaminant for which a small system variance is sought, as specified at 310 CMR 22.00; and</w:t>
      </w:r>
    </w:p>
    <w:p w14:paraId="281A0AEE" w14:textId="77777777" w:rsidR="004647B9" w:rsidRPr="007D234C" w:rsidRDefault="00E2436F" w:rsidP="00EB47AB">
      <w:pPr>
        <w:numPr>
          <w:ilvl w:val="1"/>
          <w:numId w:val="450"/>
        </w:numPr>
        <w:tabs>
          <w:tab w:val="left" w:pos="1978"/>
        </w:tabs>
        <w:ind w:left="1560" w:hanging="5"/>
        <w:rPr>
          <w:rFonts w:eastAsia="Times New Roman"/>
          <w:sz w:val="24"/>
          <w:szCs w:val="24"/>
        </w:rPr>
      </w:pPr>
      <w:r w:rsidRPr="007D234C">
        <w:rPr>
          <w:rFonts w:eastAsia="Times New Roman"/>
          <w:sz w:val="24"/>
          <w:szCs w:val="24"/>
        </w:rPr>
        <w:t>any other terms or conditions that are necessary to ensure adequate protection of public health, which may include:</w:t>
      </w:r>
    </w:p>
    <w:p w14:paraId="281A0AF0" w14:textId="77777777" w:rsidR="004647B9" w:rsidRPr="007D234C" w:rsidRDefault="00E2436F" w:rsidP="00EB47AB">
      <w:pPr>
        <w:numPr>
          <w:ilvl w:val="2"/>
          <w:numId w:val="450"/>
        </w:numPr>
        <w:tabs>
          <w:tab w:val="left" w:pos="2280"/>
        </w:tabs>
        <w:ind w:left="2280" w:hanging="365"/>
        <w:rPr>
          <w:rFonts w:eastAsia="Times New Roman"/>
          <w:sz w:val="24"/>
          <w:szCs w:val="24"/>
        </w:rPr>
      </w:pPr>
      <w:r w:rsidRPr="007D234C">
        <w:rPr>
          <w:rFonts w:eastAsia="Times New Roman"/>
          <w:sz w:val="24"/>
          <w:szCs w:val="24"/>
        </w:rPr>
        <w:t>Public education requirements; and</w:t>
      </w:r>
    </w:p>
    <w:p w14:paraId="281A0AF2" w14:textId="77777777" w:rsidR="004647B9" w:rsidRPr="007D234C" w:rsidRDefault="00E2436F" w:rsidP="00EB47AB">
      <w:pPr>
        <w:numPr>
          <w:ilvl w:val="2"/>
          <w:numId w:val="450"/>
        </w:numPr>
        <w:tabs>
          <w:tab w:val="left" w:pos="2280"/>
        </w:tabs>
        <w:ind w:left="2280" w:hanging="365"/>
        <w:rPr>
          <w:rFonts w:eastAsia="Times New Roman"/>
          <w:sz w:val="24"/>
          <w:szCs w:val="24"/>
        </w:rPr>
      </w:pPr>
      <w:r w:rsidRPr="007D234C">
        <w:rPr>
          <w:rFonts w:eastAsia="Times New Roman"/>
          <w:sz w:val="24"/>
          <w:szCs w:val="24"/>
        </w:rPr>
        <w:t>Source water protection requirements.</w:t>
      </w:r>
    </w:p>
    <w:p w14:paraId="281A0AF4" w14:textId="77777777" w:rsidR="004647B9" w:rsidRPr="007D234C" w:rsidRDefault="00E2436F" w:rsidP="00EB47AB">
      <w:pPr>
        <w:numPr>
          <w:ilvl w:val="1"/>
          <w:numId w:val="450"/>
        </w:numPr>
        <w:tabs>
          <w:tab w:val="left" w:pos="2056"/>
        </w:tabs>
        <w:ind w:left="1560" w:hanging="5"/>
        <w:jc w:val="both"/>
        <w:rPr>
          <w:rFonts w:eastAsia="Times New Roman"/>
          <w:sz w:val="24"/>
          <w:szCs w:val="24"/>
        </w:rPr>
      </w:pPr>
      <w:r w:rsidRPr="007D234C">
        <w:rPr>
          <w:rFonts w:eastAsia="Times New Roman"/>
          <w:sz w:val="24"/>
          <w:szCs w:val="24"/>
        </w:rPr>
        <w:t>the Department or the Administrator shall establish a schedule for the Public Water System to comply with the terms and conditions of the small system variance which must include , at a minimum, the following requirements:</w:t>
      </w:r>
    </w:p>
    <w:p w14:paraId="281A0AF6" w14:textId="77777777" w:rsidR="004647B9" w:rsidRPr="007D234C" w:rsidRDefault="00E2436F" w:rsidP="00EB47AB">
      <w:pPr>
        <w:numPr>
          <w:ilvl w:val="2"/>
          <w:numId w:val="450"/>
        </w:numPr>
        <w:tabs>
          <w:tab w:val="left" w:pos="2237"/>
        </w:tabs>
        <w:ind w:left="1920" w:hanging="5"/>
        <w:rPr>
          <w:rFonts w:eastAsia="Times New Roman"/>
          <w:sz w:val="24"/>
          <w:szCs w:val="24"/>
        </w:rPr>
      </w:pPr>
      <w:r w:rsidRPr="007D234C">
        <w:rPr>
          <w:rFonts w:eastAsia="Times New Roman"/>
          <w:sz w:val="24"/>
          <w:szCs w:val="24"/>
        </w:rPr>
        <w:t>increments of progress, such as milestone dates for the Public Water System to apply for financial assistance and begin capital improvements;</w:t>
      </w:r>
    </w:p>
    <w:p w14:paraId="281A0AF8" w14:textId="77777777" w:rsidR="004647B9" w:rsidRPr="007D234C" w:rsidRDefault="00E2436F" w:rsidP="00EB47AB">
      <w:pPr>
        <w:numPr>
          <w:ilvl w:val="2"/>
          <w:numId w:val="450"/>
        </w:numPr>
        <w:tabs>
          <w:tab w:val="left" w:pos="2273"/>
        </w:tabs>
        <w:ind w:left="1920" w:hanging="5"/>
        <w:rPr>
          <w:rFonts w:eastAsia="Times New Roman"/>
          <w:sz w:val="24"/>
          <w:szCs w:val="24"/>
        </w:rPr>
      </w:pPr>
      <w:r w:rsidRPr="007D234C">
        <w:rPr>
          <w:rFonts w:eastAsia="Times New Roman"/>
          <w:sz w:val="24"/>
          <w:szCs w:val="24"/>
        </w:rPr>
        <w:t>quarterly reporting to the Department or Administrator, as applicable, of the public system’s compliance with the terms and conditions of the small system variance;</w:t>
      </w:r>
    </w:p>
    <w:p w14:paraId="281A0AF9" w14:textId="77777777" w:rsidR="004647B9" w:rsidRPr="007D234C" w:rsidRDefault="00E2436F" w:rsidP="00EB47AB">
      <w:pPr>
        <w:numPr>
          <w:ilvl w:val="2"/>
          <w:numId w:val="450"/>
        </w:numPr>
        <w:tabs>
          <w:tab w:val="left" w:pos="2222"/>
        </w:tabs>
        <w:ind w:left="1920" w:hanging="5"/>
        <w:rPr>
          <w:rFonts w:eastAsia="Times New Roman"/>
          <w:sz w:val="24"/>
          <w:szCs w:val="24"/>
        </w:rPr>
      </w:pPr>
      <w:r w:rsidRPr="007D234C">
        <w:rPr>
          <w:rFonts w:eastAsia="Times New Roman"/>
          <w:sz w:val="24"/>
          <w:szCs w:val="24"/>
        </w:rPr>
        <w:t>schedule for the Department or the Administrator to review the small system variance under 310 CMR 22.13A(5)(e); and</w:t>
      </w:r>
    </w:p>
    <w:p w14:paraId="281A0AFB" w14:textId="77777777" w:rsidR="004647B9" w:rsidRPr="007D234C" w:rsidRDefault="00E2436F" w:rsidP="00EB47AB">
      <w:pPr>
        <w:numPr>
          <w:ilvl w:val="2"/>
          <w:numId w:val="450"/>
        </w:numPr>
        <w:tabs>
          <w:tab w:val="left" w:pos="2294"/>
        </w:tabs>
        <w:ind w:left="1920" w:hanging="5"/>
        <w:jc w:val="both"/>
        <w:rPr>
          <w:rFonts w:eastAsia="Times New Roman"/>
          <w:sz w:val="24"/>
          <w:szCs w:val="24"/>
        </w:rPr>
      </w:pPr>
      <w:r w:rsidRPr="007D234C">
        <w:rPr>
          <w:rFonts w:eastAsia="Times New Roman"/>
          <w:sz w:val="24"/>
          <w:szCs w:val="24"/>
        </w:rPr>
        <w:t>compliance with the terms and conditions of the small system variance as soon as practicable but not later than three years after the date on which the small system variance is granted. The Administrator or the Department may allow up to two additional years in the Administrator of the Department determines that additional time is necessary for the Public Water System to;</w:t>
      </w:r>
    </w:p>
    <w:p w14:paraId="281A0AFD" w14:textId="77777777" w:rsidR="004647B9" w:rsidRPr="007D234C" w:rsidRDefault="00E2436F" w:rsidP="00F5066B">
      <w:pPr>
        <w:numPr>
          <w:ilvl w:val="3"/>
          <w:numId w:val="450"/>
        </w:numPr>
        <w:tabs>
          <w:tab w:val="left" w:pos="2602"/>
        </w:tabs>
        <w:ind w:left="2275"/>
        <w:rPr>
          <w:rFonts w:eastAsia="Times New Roman"/>
          <w:sz w:val="24"/>
          <w:szCs w:val="24"/>
        </w:rPr>
      </w:pPr>
      <w:r w:rsidRPr="007D234C">
        <w:rPr>
          <w:rFonts w:eastAsia="Times New Roman"/>
          <w:sz w:val="24"/>
          <w:szCs w:val="24"/>
        </w:rPr>
        <w:lastRenderedPageBreak/>
        <w:t>complete necessary capital improvements to comply with small system variance technology, secure an alternative source of water or restructure or consolidate; or</w:t>
      </w:r>
    </w:p>
    <w:p w14:paraId="096375C1" w14:textId="77777777" w:rsidR="00F5066B" w:rsidRDefault="00F5066B" w:rsidP="00F5066B">
      <w:pPr>
        <w:pStyle w:val="ListParagraph"/>
        <w:numPr>
          <w:ilvl w:val="0"/>
          <w:numId w:val="450"/>
        </w:numPr>
        <w:sectPr w:rsidR="00F5066B" w:rsidSect="00EF630C">
          <w:pgSz w:w="12240" w:h="20180"/>
          <w:pgMar w:top="708" w:right="1440" w:bottom="1440" w:left="600" w:header="0" w:footer="0" w:gutter="0"/>
          <w:cols w:space="720"/>
        </w:sectPr>
      </w:pPr>
    </w:p>
    <w:p w14:paraId="281A0B00" w14:textId="77777777" w:rsidR="004647B9" w:rsidRDefault="00E2436F">
      <w:pPr>
        <w:tabs>
          <w:tab w:val="left" w:pos="160"/>
        </w:tabs>
        <w:jc w:val="center"/>
        <w:rPr>
          <w:sz w:val="20"/>
          <w:szCs w:val="20"/>
        </w:rPr>
      </w:pPr>
      <w:bookmarkStart w:id="173" w:name="page175"/>
      <w:bookmarkEnd w:id="17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B01" w14:textId="77777777" w:rsidR="004647B9" w:rsidRDefault="004647B9" w:rsidP="00F5066B">
      <w:pPr>
        <w:rPr>
          <w:sz w:val="20"/>
          <w:szCs w:val="20"/>
        </w:rPr>
      </w:pPr>
    </w:p>
    <w:p w14:paraId="281A0B02" w14:textId="77777777" w:rsidR="004647B9" w:rsidRDefault="004647B9" w:rsidP="00F5066B">
      <w:pPr>
        <w:rPr>
          <w:sz w:val="20"/>
          <w:szCs w:val="20"/>
        </w:rPr>
      </w:pPr>
    </w:p>
    <w:p w14:paraId="281A0B03" w14:textId="77777777" w:rsidR="004647B9" w:rsidRPr="00F5066B" w:rsidRDefault="00E2436F" w:rsidP="00F5066B">
      <w:pPr>
        <w:tabs>
          <w:tab w:val="left" w:pos="940"/>
        </w:tabs>
        <w:rPr>
          <w:sz w:val="24"/>
          <w:szCs w:val="24"/>
        </w:rPr>
      </w:pPr>
      <w:r w:rsidRPr="00F5066B">
        <w:rPr>
          <w:rFonts w:eastAsia="Times New Roman"/>
          <w:sz w:val="24"/>
          <w:szCs w:val="24"/>
        </w:rPr>
        <w:t>22.13A:</w:t>
      </w:r>
      <w:r w:rsidRPr="00F5066B">
        <w:rPr>
          <w:sz w:val="24"/>
          <w:szCs w:val="24"/>
        </w:rPr>
        <w:tab/>
      </w:r>
      <w:r w:rsidRPr="00F5066B">
        <w:rPr>
          <w:rFonts w:eastAsia="Times New Roman"/>
          <w:sz w:val="24"/>
          <w:szCs w:val="24"/>
        </w:rPr>
        <w:t>continued</w:t>
      </w:r>
    </w:p>
    <w:p w14:paraId="281A0B04" w14:textId="77777777" w:rsidR="004647B9" w:rsidRDefault="004647B9" w:rsidP="00F5066B">
      <w:pPr>
        <w:rPr>
          <w:sz w:val="20"/>
          <w:szCs w:val="20"/>
        </w:rPr>
      </w:pPr>
    </w:p>
    <w:p w14:paraId="23535B1D" w14:textId="77777777" w:rsidR="00F5066B" w:rsidRPr="007D234C" w:rsidRDefault="00F5066B" w:rsidP="00F5066B">
      <w:pPr>
        <w:numPr>
          <w:ilvl w:val="0"/>
          <w:numId w:val="1086"/>
        </w:numPr>
        <w:tabs>
          <w:tab w:val="left" w:pos="2606"/>
        </w:tabs>
        <w:ind w:left="2275"/>
        <w:jc w:val="both"/>
        <w:rPr>
          <w:rFonts w:eastAsia="Times New Roman"/>
          <w:sz w:val="24"/>
          <w:szCs w:val="24"/>
        </w:rPr>
      </w:pPr>
      <w:r w:rsidRPr="007D234C">
        <w:rPr>
          <w:rFonts w:eastAsia="Times New Roman"/>
          <w:sz w:val="24"/>
          <w:szCs w:val="24"/>
        </w:rPr>
        <w:t xml:space="preserve">obtain financial assistance provided pursuant to the Drinking Water State Revolving Funds loan program, 310 CMR 45.00: </w:t>
      </w:r>
      <w:r w:rsidRPr="007D234C">
        <w:rPr>
          <w:rFonts w:eastAsia="Times New Roman"/>
          <w:i/>
          <w:iCs/>
          <w:sz w:val="24"/>
          <w:szCs w:val="24"/>
        </w:rPr>
        <w:t>DEP Selection, Approval and</w:t>
      </w:r>
      <w:r w:rsidRPr="007D234C">
        <w:rPr>
          <w:rFonts w:eastAsia="Times New Roman"/>
          <w:sz w:val="24"/>
          <w:szCs w:val="24"/>
        </w:rPr>
        <w:t xml:space="preserve"> </w:t>
      </w:r>
      <w:r w:rsidRPr="007D234C">
        <w:rPr>
          <w:rFonts w:eastAsia="Times New Roman"/>
          <w:i/>
          <w:iCs/>
          <w:sz w:val="24"/>
          <w:szCs w:val="24"/>
        </w:rPr>
        <w:t xml:space="preserve">Regulation of Drinking Water Projects Receiving Financial Assistance from the State Revolving Fund </w:t>
      </w:r>
      <w:r w:rsidRPr="007D234C">
        <w:rPr>
          <w:rFonts w:eastAsia="Times New Roman"/>
          <w:sz w:val="24"/>
          <w:szCs w:val="24"/>
        </w:rPr>
        <w:t>or any other federal or state Program.</w:t>
      </w:r>
    </w:p>
    <w:p w14:paraId="281A0B05" w14:textId="77777777" w:rsidR="004647B9" w:rsidRDefault="00E2436F" w:rsidP="00F5066B">
      <w:pPr>
        <w:numPr>
          <w:ilvl w:val="1"/>
          <w:numId w:val="451"/>
        </w:numPr>
        <w:tabs>
          <w:tab w:val="left" w:pos="1990"/>
        </w:tabs>
        <w:ind w:left="1560" w:hanging="5"/>
        <w:jc w:val="both"/>
        <w:rPr>
          <w:rFonts w:eastAsia="Times New Roman"/>
          <w:sz w:val="24"/>
          <w:szCs w:val="24"/>
        </w:rPr>
      </w:pPr>
      <w:r>
        <w:rPr>
          <w:rFonts w:eastAsia="Times New Roman"/>
          <w:sz w:val="24"/>
          <w:szCs w:val="24"/>
        </w:rPr>
        <w:t>The Department or the Administrator must review each small system variance granted not less often than every five years after the compliance date established in the small system variance to determine whether the Public Water System continues to meet the eligibility criteria and remains eligible for the small system variance and is complying with the terms and conditions of the small system variance. If the Public Water System would no longer be eligible for a small system variance, the Department or the Administrator must determine whether continuing the variance is in the public interest. If the Department or the Administrator finds that continuing the variance is not in the public interest, the variance shall be withdrawn.</w:t>
      </w:r>
    </w:p>
    <w:p w14:paraId="281A0B06" w14:textId="77777777" w:rsidR="004647B9" w:rsidRDefault="004647B9" w:rsidP="00F5066B">
      <w:pPr>
        <w:rPr>
          <w:rFonts w:eastAsia="Times New Roman"/>
          <w:sz w:val="24"/>
          <w:szCs w:val="24"/>
        </w:rPr>
      </w:pPr>
    </w:p>
    <w:p w14:paraId="281A0B07" w14:textId="77777777" w:rsidR="004647B9" w:rsidRDefault="00E2436F" w:rsidP="00F5066B">
      <w:pPr>
        <w:numPr>
          <w:ilvl w:val="0"/>
          <w:numId w:val="452"/>
        </w:numPr>
        <w:tabs>
          <w:tab w:val="left" w:pos="1660"/>
        </w:tabs>
        <w:ind w:left="1660" w:hanging="460"/>
        <w:rPr>
          <w:rFonts w:eastAsia="Times New Roman"/>
          <w:sz w:val="24"/>
          <w:szCs w:val="24"/>
        </w:rPr>
      </w:pPr>
      <w:r>
        <w:rPr>
          <w:rFonts w:eastAsia="Times New Roman"/>
          <w:sz w:val="24"/>
          <w:szCs w:val="24"/>
          <w:u w:val="single"/>
        </w:rPr>
        <w:t>Public Participation</w:t>
      </w:r>
      <w:r>
        <w:rPr>
          <w:rFonts w:eastAsia="Times New Roman"/>
          <w:sz w:val="24"/>
          <w:szCs w:val="24"/>
        </w:rPr>
        <w:t>.</w:t>
      </w:r>
    </w:p>
    <w:p w14:paraId="281A0B09" w14:textId="77777777" w:rsidR="004647B9" w:rsidRDefault="00E2436F" w:rsidP="00F5066B">
      <w:pPr>
        <w:numPr>
          <w:ilvl w:val="1"/>
          <w:numId w:val="452"/>
        </w:numPr>
        <w:tabs>
          <w:tab w:val="left" w:pos="2040"/>
        </w:tabs>
        <w:ind w:left="1560" w:hanging="5"/>
        <w:jc w:val="both"/>
        <w:rPr>
          <w:rFonts w:eastAsia="Times New Roman"/>
          <w:sz w:val="24"/>
          <w:szCs w:val="24"/>
        </w:rPr>
      </w:pPr>
      <w:r>
        <w:rPr>
          <w:rFonts w:eastAsia="Times New Roman"/>
          <w:sz w:val="24"/>
          <w:szCs w:val="24"/>
        </w:rPr>
        <w:t>At least 15 days before the date of variance proposal, and at least 30 days prior to a public meeting to discuss the proposed small system variance, the small waster system as directed by the Department or Administrator, must provide notice to all Persons served by the Public Water System. For billed customers, identified in 310 CMR 22.13A(6)(a)1., this notice must include the information listed in 310 CMR 22.13A(6)(c). For other Persons regularly served by the system, identified in 310 CMR 22.13A(6)(a)2., the notice shall include the information identified in 310 CMR 22.13A(6)(d). Notice must be provided to all Persons served by:</w:t>
      </w:r>
    </w:p>
    <w:p w14:paraId="281A0B0B" w14:textId="77777777" w:rsidR="004647B9" w:rsidRDefault="00E2436F" w:rsidP="00F5066B">
      <w:pPr>
        <w:numPr>
          <w:ilvl w:val="2"/>
          <w:numId w:val="452"/>
        </w:numPr>
        <w:tabs>
          <w:tab w:val="left" w:pos="2258"/>
        </w:tabs>
        <w:ind w:left="1920" w:hanging="5"/>
        <w:rPr>
          <w:rFonts w:eastAsia="Times New Roman"/>
          <w:sz w:val="24"/>
          <w:szCs w:val="24"/>
        </w:rPr>
      </w:pPr>
      <w:r>
        <w:rPr>
          <w:rFonts w:eastAsia="Times New Roman"/>
          <w:sz w:val="24"/>
          <w:szCs w:val="24"/>
        </w:rPr>
        <w:t>Direct mail or other home delivery to billed customers or other service connections; and</w:t>
      </w:r>
    </w:p>
    <w:p w14:paraId="281A0B0D" w14:textId="77777777" w:rsidR="004647B9" w:rsidRDefault="00E2436F" w:rsidP="00F5066B">
      <w:pPr>
        <w:numPr>
          <w:ilvl w:val="2"/>
          <w:numId w:val="452"/>
        </w:numPr>
        <w:tabs>
          <w:tab w:val="left" w:pos="2316"/>
        </w:tabs>
        <w:ind w:left="1920" w:hanging="5"/>
        <w:jc w:val="both"/>
        <w:rPr>
          <w:rFonts w:eastAsia="Times New Roman"/>
          <w:sz w:val="24"/>
          <w:szCs w:val="24"/>
        </w:rPr>
      </w:pPr>
      <w:r>
        <w:rPr>
          <w:rFonts w:eastAsia="Times New Roman"/>
          <w:sz w:val="24"/>
          <w:szCs w:val="24"/>
        </w:rPr>
        <w:t>Any other method reasonable calculated to notify, in a brief and concise manner, other Persons regularly served by the system. Such methods may include publication in a local newspaper, posting in public places or delivery to community organizations.</w:t>
      </w:r>
    </w:p>
    <w:p w14:paraId="281A0B0F" w14:textId="77777777" w:rsidR="004647B9" w:rsidRDefault="00E2436F" w:rsidP="00F5066B">
      <w:pPr>
        <w:numPr>
          <w:ilvl w:val="1"/>
          <w:numId w:val="452"/>
        </w:numPr>
        <w:tabs>
          <w:tab w:val="left" w:pos="2011"/>
        </w:tabs>
        <w:ind w:left="1560" w:hanging="5"/>
        <w:jc w:val="both"/>
        <w:rPr>
          <w:rFonts w:eastAsia="Times New Roman"/>
          <w:sz w:val="24"/>
          <w:szCs w:val="24"/>
        </w:rPr>
      </w:pPr>
      <w:r>
        <w:rPr>
          <w:rFonts w:eastAsia="Times New Roman"/>
          <w:sz w:val="24"/>
          <w:szCs w:val="24"/>
        </w:rPr>
        <w:t xml:space="preserve">At the time of proposal, the Department will publish a notice in the </w:t>
      </w:r>
      <w:r>
        <w:rPr>
          <w:rFonts w:eastAsia="Times New Roman"/>
          <w:i/>
          <w:iCs/>
          <w:sz w:val="24"/>
          <w:szCs w:val="24"/>
        </w:rPr>
        <w:t>State Register</w:t>
      </w:r>
      <w:r>
        <w:rPr>
          <w:rFonts w:eastAsia="Times New Roman"/>
          <w:sz w:val="24"/>
          <w:szCs w:val="24"/>
        </w:rPr>
        <w:t xml:space="preserve"> or a newspaper or newspapers of wide circulation in the State, or in the case of the Administrator, in the </w:t>
      </w:r>
      <w:r>
        <w:rPr>
          <w:rFonts w:eastAsia="Times New Roman"/>
          <w:i/>
          <w:iCs/>
          <w:sz w:val="24"/>
          <w:szCs w:val="24"/>
        </w:rPr>
        <w:t>Federal Register</w:t>
      </w:r>
      <w:r>
        <w:rPr>
          <w:rFonts w:eastAsia="Times New Roman"/>
          <w:sz w:val="24"/>
          <w:szCs w:val="24"/>
        </w:rPr>
        <w:t>. This notice shall include the information listed in 310 CMR 22.13A(6)(c).</w:t>
      </w:r>
    </w:p>
    <w:p w14:paraId="281A0B11" w14:textId="77777777" w:rsidR="004647B9" w:rsidRDefault="00E2436F" w:rsidP="00F5066B">
      <w:pPr>
        <w:numPr>
          <w:ilvl w:val="1"/>
          <w:numId w:val="452"/>
        </w:numPr>
        <w:tabs>
          <w:tab w:val="left" w:pos="2098"/>
        </w:tabs>
        <w:ind w:left="1560" w:hanging="5"/>
        <w:rPr>
          <w:rFonts w:eastAsia="Times New Roman"/>
          <w:sz w:val="24"/>
          <w:szCs w:val="24"/>
        </w:rPr>
      </w:pPr>
      <w:r>
        <w:rPr>
          <w:rFonts w:eastAsia="Times New Roman"/>
          <w:sz w:val="24"/>
          <w:szCs w:val="24"/>
        </w:rPr>
        <w:t>The notice in 310 CMR 22.13A(6)(a)1. and (b) must include, at a minimum, the following:</w:t>
      </w:r>
    </w:p>
    <w:p w14:paraId="281A0B13" w14:textId="77777777" w:rsidR="004647B9" w:rsidRPr="007D234C" w:rsidRDefault="00E2436F" w:rsidP="00F5066B">
      <w:pPr>
        <w:numPr>
          <w:ilvl w:val="2"/>
          <w:numId w:val="452"/>
        </w:numPr>
        <w:tabs>
          <w:tab w:val="left" w:pos="2280"/>
        </w:tabs>
        <w:ind w:left="2280" w:hanging="365"/>
        <w:rPr>
          <w:rFonts w:eastAsia="Times New Roman"/>
          <w:sz w:val="24"/>
          <w:szCs w:val="24"/>
        </w:rPr>
      </w:pPr>
      <w:r w:rsidRPr="007D234C">
        <w:rPr>
          <w:rFonts w:eastAsia="Times New Roman"/>
          <w:sz w:val="24"/>
          <w:szCs w:val="24"/>
        </w:rPr>
        <w:t>Identification of the contaminant(s) for which a small system variance is sought;</w:t>
      </w:r>
    </w:p>
    <w:p w14:paraId="281A0B15" w14:textId="77777777" w:rsidR="004647B9" w:rsidRPr="007D234C" w:rsidRDefault="00E2436F" w:rsidP="00F5066B">
      <w:pPr>
        <w:numPr>
          <w:ilvl w:val="2"/>
          <w:numId w:val="452"/>
        </w:numPr>
        <w:tabs>
          <w:tab w:val="left" w:pos="2266"/>
        </w:tabs>
        <w:ind w:left="1920" w:hanging="5"/>
        <w:jc w:val="both"/>
        <w:rPr>
          <w:rFonts w:eastAsia="Times New Roman"/>
          <w:sz w:val="24"/>
          <w:szCs w:val="24"/>
        </w:rPr>
      </w:pPr>
      <w:r w:rsidRPr="007D234C">
        <w:rPr>
          <w:rFonts w:eastAsia="Times New Roman"/>
          <w:sz w:val="24"/>
          <w:szCs w:val="24"/>
        </w:rPr>
        <w:t>A brief statement of the health effects associated with the contaminant(s) for which a small system variance is sought using the applicable language contained in 310 CMR 22.16A(27);</w:t>
      </w:r>
    </w:p>
    <w:p w14:paraId="281A0B17" w14:textId="77777777" w:rsidR="004647B9" w:rsidRPr="007D234C" w:rsidRDefault="00E2436F" w:rsidP="00F5066B">
      <w:pPr>
        <w:numPr>
          <w:ilvl w:val="2"/>
          <w:numId w:val="452"/>
        </w:numPr>
        <w:tabs>
          <w:tab w:val="left" w:pos="2294"/>
        </w:tabs>
        <w:ind w:left="1920" w:hanging="5"/>
        <w:rPr>
          <w:rFonts w:eastAsia="Times New Roman"/>
          <w:sz w:val="24"/>
          <w:szCs w:val="24"/>
        </w:rPr>
      </w:pPr>
      <w:r w:rsidRPr="007D234C">
        <w:rPr>
          <w:rFonts w:eastAsia="Times New Roman"/>
          <w:sz w:val="24"/>
          <w:szCs w:val="24"/>
        </w:rPr>
        <w:t>The address and telephone number at which interested Persons may obtain further information concerning the contaminant and the small system variance;</w:t>
      </w:r>
    </w:p>
    <w:p w14:paraId="281A0B19" w14:textId="77777777" w:rsidR="004647B9" w:rsidRPr="007D234C" w:rsidRDefault="00E2436F" w:rsidP="00F5066B">
      <w:pPr>
        <w:numPr>
          <w:ilvl w:val="2"/>
          <w:numId w:val="452"/>
        </w:numPr>
        <w:tabs>
          <w:tab w:val="left" w:pos="2287"/>
        </w:tabs>
        <w:ind w:left="1920" w:hanging="5"/>
        <w:rPr>
          <w:rFonts w:eastAsia="Times New Roman"/>
          <w:sz w:val="24"/>
          <w:szCs w:val="24"/>
        </w:rPr>
      </w:pPr>
      <w:r w:rsidRPr="007D234C">
        <w:rPr>
          <w:rFonts w:eastAsia="Times New Roman"/>
          <w:sz w:val="24"/>
          <w:szCs w:val="24"/>
        </w:rPr>
        <w:t>A brief summary, in easy understandable terms, of the terms and conditions of the small system variance;</w:t>
      </w:r>
    </w:p>
    <w:p w14:paraId="281A0B1B" w14:textId="77777777" w:rsidR="004647B9" w:rsidRPr="007D234C" w:rsidRDefault="00E2436F" w:rsidP="00F5066B">
      <w:pPr>
        <w:numPr>
          <w:ilvl w:val="2"/>
          <w:numId w:val="452"/>
        </w:numPr>
        <w:tabs>
          <w:tab w:val="left" w:pos="2302"/>
        </w:tabs>
        <w:ind w:left="1920" w:hanging="5"/>
        <w:rPr>
          <w:rFonts w:eastAsia="Times New Roman"/>
          <w:sz w:val="24"/>
          <w:szCs w:val="24"/>
        </w:rPr>
      </w:pPr>
      <w:r w:rsidRPr="007D234C">
        <w:rPr>
          <w:rFonts w:eastAsia="Times New Roman"/>
          <w:sz w:val="24"/>
          <w:szCs w:val="24"/>
        </w:rPr>
        <w:t>A description of the consumer petition process under 310 CMR 22.13A(8)(a) and information on contacting the EPA Regional Office;</w:t>
      </w:r>
    </w:p>
    <w:p w14:paraId="281A0B1D" w14:textId="77777777" w:rsidR="004647B9" w:rsidRPr="007D234C" w:rsidRDefault="00E2436F" w:rsidP="00F5066B">
      <w:pPr>
        <w:numPr>
          <w:ilvl w:val="2"/>
          <w:numId w:val="452"/>
        </w:numPr>
        <w:tabs>
          <w:tab w:val="left" w:pos="2453"/>
        </w:tabs>
        <w:ind w:left="1920" w:hanging="5"/>
        <w:jc w:val="both"/>
        <w:rPr>
          <w:rFonts w:eastAsia="Times New Roman"/>
          <w:sz w:val="24"/>
          <w:szCs w:val="24"/>
        </w:rPr>
      </w:pPr>
      <w:r w:rsidRPr="007D234C">
        <w:rPr>
          <w:rFonts w:eastAsia="Times New Roman"/>
          <w:sz w:val="24"/>
          <w:szCs w:val="24"/>
        </w:rPr>
        <w:t>A brief statement announcing the public meeting required under 310 CMR 22.13A(7)(a), including a statement of the purpose of the meeting, information regarding the time and location for the meeting, and the address and telephone number at which interested Persons may obtain further information concerning the meeting; and</w:t>
      </w:r>
    </w:p>
    <w:p w14:paraId="281A0B1F" w14:textId="77777777" w:rsidR="004647B9" w:rsidRPr="007D234C" w:rsidRDefault="00E2436F" w:rsidP="00F5066B">
      <w:pPr>
        <w:numPr>
          <w:ilvl w:val="2"/>
          <w:numId w:val="452"/>
        </w:numPr>
        <w:tabs>
          <w:tab w:val="left" w:pos="2410"/>
        </w:tabs>
        <w:ind w:left="1920" w:hanging="5"/>
        <w:jc w:val="both"/>
        <w:rPr>
          <w:rFonts w:eastAsia="Times New Roman"/>
          <w:sz w:val="24"/>
          <w:szCs w:val="24"/>
        </w:rPr>
      </w:pPr>
      <w:r w:rsidRPr="007D234C">
        <w:rPr>
          <w:rFonts w:eastAsia="Times New Roman"/>
          <w:sz w:val="24"/>
          <w:szCs w:val="24"/>
        </w:rPr>
        <w:t>In communities with a large proportion of non-English-speaking residents, as determined by the Department, information in the appropriate language regarding the content and importance of the notice.</w:t>
      </w:r>
    </w:p>
    <w:p w14:paraId="281A0B21" w14:textId="77777777" w:rsidR="004647B9" w:rsidRPr="007D234C" w:rsidRDefault="00E2436F" w:rsidP="00F5066B">
      <w:pPr>
        <w:numPr>
          <w:ilvl w:val="1"/>
          <w:numId w:val="452"/>
        </w:numPr>
        <w:tabs>
          <w:tab w:val="left" w:pos="2063"/>
        </w:tabs>
        <w:ind w:left="1560" w:hanging="5"/>
        <w:rPr>
          <w:rFonts w:eastAsia="Times New Roman"/>
          <w:sz w:val="24"/>
          <w:szCs w:val="24"/>
        </w:rPr>
      </w:pPr>
      <w:r w:rsidRPr="007D234C">
        <w:rPr>
          <w:rFonts w:eastAsia="Times New Roman"/>
          <w:sz w:val="24"/>
          <w:szCs w:val="24"/>
        </w:rPr>
        <w:t>The notice in 310 CMR 22.13A(6)(a)2. must provide sufficient information to alert readers to the proposed variance and direct them where to receive additional information.</w:t>
      </w:r>
    </w:p>
    <w:p w14:paraId="281A0B23" w14:textId="77777777" w:rsidR="004647B9" w:rsidRPr="007D234C" w:rsidRDefault="00E2436F" w:rsidP="00F5066B">
      <w:pPr>
        <w:numPr>
          <w:ilvl w:val="1"/>
          <w:numId w:val="452"/>
        </w:numPr>
        <w:tabs>
          <w:tab w:val="left" w:pos="1975"/>
        </w:tabs>
        <w:ind w:left="1560" w:hanging="5"/>
        <w:jc w:val="both"/>
        <w:rPr>
          <w:rFonts w:eastAsia="Times New Roman"/>
          <w:sz w:val="24"/>
          <w:szCs w:val="24"/>
        </w:rPr>
      </w:pPr>
      <w:r w:rsidRPr="007D234C">
        <w:rPr>
          <w:rFonts w:eastAsia="Times New Roman"/>
          <w:sz w:val="24"/>
          <w:szCs w:val="24"/>
        </w:rPr>
        <w:t>At its option, the Department or the Administrator may choose to issue separate notices or additional notices related to the proposed small system variance, provided that the requirements in 310 CMR 22.13A(5)(a) through (d) are satisfied.</w:t>
      </w:r>
    </w:p>
    <w:p w14:paraId="281A0B25" w14:textId="77777777" w:rsidR="004647B9" w:rsidRPr="007D234C" w:rsidRDefault="00E2436F" w:rsidP="00E127B0">
      <w:pPr>
        <w:numPr>
          <w:ilvl w:val="1"/>
          <w:numId w:val="452"/>
        </w:numPr>
        <w:tabs>
          <w:tab w:val="left" w:pos="2047"/>
        </w:tabs>
        <w:ind w:left="1555"/>
        <w:jc w:val="both"/>
        <w:rPr>
          <w:rFonts w:eastAsia="Times New Roman"/>
          <w:sz w:val="24"/>
          <w:szCs w:val="24"/>
        </w:rPr>
      </w:pPr>
      <w:r w:rsidRPr="007D234C">
        <w:rPr>
          <w:rFonts w:eastAsia="Times New Roman"/>
          <w:sz w:val="24"/>
          <w:szCs w:val="24"/>
        </w:rPr>
        <w:t>Prior to promulgating the final variance, the Department or the Administrator must respond in writing to all significant public comments received relating to the small system variance. Response to public comment and any other documentation supporting the issuance of a variance must be made available to the public after final promulgation.</w:t>
      </w:r>
    </w:p>
    <w:p w14:paraId="281A0B26" w14:textId="77777777" w:rsidR="004647B9" w:rsidRPr="007D234C" w:rsidRDefault="004647B9" w:rsidP="00F5066B">
      <w:pPr>
        <w:rPr>
          <w:rFonts w:eastAsia="Times New Roman"/>
          <w:sz w:val="24"/>
          <w:szCs w:val="24"/>
        </w:rPr>
      </w:pPr>
    </w:p>
    <w:p w14:paraId="281A0B2A" w14:textId="77777777" w:rsidR="004647B9" w:rsidRDefault="004647B9" w:rsidP="00F5066B">
      <w:pPr>
        <w:sectPr w:rsidR="004647B9" w:rsidSect="00EF630C">
          <w:pgSz w:w="12240" w:h="20180"/>
          <w:pgMar w:top="708" w:right="1440" w:bottom="1082" w:left="600" w:header="0" w:footer="0" w:gutter="0"/>
          <w:cols w:space="720"/>
        </w:sectPr>
      </w:pPr>
    </w:p>
    <w:p w14:paraId="281A0B2B" w14:textId="77777777" w:rsidR="004647B9" w:rsidRDefault="00E2436F">
      <w:pPr>
        <w:tabs>
          <w:tab w:val="left" w:pos="160"/>
        </w:tabs>
        <w:jc w:val="center"/>
        <w:rPr>
          <w:sz w:val="20"/>
          <w:szCs w:val="20"/>
        </w:rPr>
      </w:pPr>
      <w:bookmarkStart w:id="174" w:name="page176"/>
      <w:bookmarkEnd w:id="17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B2C" w14:textId="77777777" w:rsidR="004647B9" w:rsidRDefault="004647B9" w:rsidP="00620E18">
      <w:pPr>
        <w:rPr>
          <w:sz w:val="20"/>
          <w:szCs w:val="20"/>
        </w:rPr>
      </w:pPr>
    </w:p>
    <w:p w14:paraId="281A0B2D" w14:textId="77777777" w:rsidR="004647B9" w:rsidRDefault="004647B9" w:rsidP="00620E18">
      <w:pPr>
        <w:rPr>
          <w:sz w:val="20"/>
          <w:szCs w:val="20"/>
        </w:rPr>
      </w:pPr>
    </w:p>
    <w:p w14:paraId="281A0B2E" w14:textId="77777777" w:rsidR="004647B9" w:rsidRPr="007D234C" w:rsidRDefault="00E2436F" w:rsidP="00620E18">
      <w:pPr>
        <w:tabs>
          <w:tab w:val="left" w:pos="940"/>
        </w:tabs>
        <w:rPr>
          <w:sz w:val="24"/>
          <w:szCs w:val="24"/>
        </w:rPr>
      </w:pPr>
      <w:r w:rsidRPr="007D234C">
        <w:rPr>
          <w:rFonts w:eastAsia="Times New Roman"/>
          <w:sz w:val="24"/>
          <w:szCs w:val="24"/>
        </w:rPr>
        <w:t>22.13A:</w:t>
      </w:r>
      <w:r w:rsidRPr="007D234C">
        <w:rPr>
          <w:sz w:val="24"/>
          <w:szCs w:val="24"/>
        </w:rPr>
        <w:tab/>
      </w:r>
      <w:r w:rsidRPr="007D234C">
        <w:rPr>
          <w:rFonts w:eastAsia="Times New Roman"/>
          <w:sz w:val="24"/>
          <w:szCs w:val="24"/>
        </w:rPr>
        <w:t>continued</w:t>
      </w:r>
    </w:p>
    <w:p w14:paraId="281A0B2F" w14:textId="77777777" w:rsidR="004647B9" w:rsidRPr="00620E18" w:rsidRDefault="004647B9" w:rsidP="00620E18">
      <w:pPr>
        <w:rPr>
          <w:sz w:val="20"/>
          <w:szCs w:val="20"/>
        </w:rPr>
      </w:pPr>
    </w:p>
    <w:p w14:paraId="57BE5D81" w14:textId="77777777" w:rsidR="002C45AA" w:rsidRPr="007D234C" w:rsidRDefault="002C45AA" w:rsidP="00620E18">
      <w:pPr>
        <w:numPr>
          <w:ilvl w:val="0"/>
          <w:numId w:val="1088"/>
        </w:numPr>
        <w:tabs>
          <w:tab w:val="left" w:pos="1656"/>
        </w:tabs>
        <w:ind w:left="1195"/>
        <w:rPr>
          <w:rFonts w:eastAsia="Times New Roman"/>
          <w:sz w:val="24"/>
          <w:szCs w:val="24"/>
        </w:rPr>
      </w:pPr>
      <w:r w:rsidRPr="007D234C">
        <w:rPr>
          <w:rFonts w:eastAsia="Times New Roman"/>
          <w:sz w:val="24"/>
          <w:szCs w:val="24"/>
          <w:u w:val="single"/>
        </w:rPr>
        <w:t>Public Meeting Requirements.</w:t>
      </w:r>
    </w:p>
    <w:p w14:paraId="296D0DFD" w14:textId="3D15F95A" w:rsidR="002C45AA" w:rsidRPr="00620E18" w:rsidRDefault="002C45AA" w:rsidP="00E127B0">
      <w:pPr>
        <w:pStyle w:val="ListParagraph"/>
        <w:numPr>
          <w:ilvl w:val="0"/>
          <w:numId w:val="1089"/>
        </w:numPr>
        <w:tabs>
          <w:tab w:val="left" w:pos="2045"/>
        </w:tabs>
        <w:ind w:left="1555" w:firstLine="0"/>
        <w:rPr>
          <w:sz w:val="24"/>
          <w:szCs w:val="24"/>
        </w:rPr>
      </w:pPr>
      <w:r w:rsidRPr="00620E18">
        <w:rPr>
          <w:rFonts w:eastAsia="Times New Roman"/>
          <w:sz w:val="24"/>
          <w:szCs w:val="24"/>
        </w:rPr>
        <w:t>The Department or the Administrator must provide for at least one public meeting on the small system variance no later than 15 days after the small system variance is proposed.</w:t>
      </w:r>
    </w:p>
    <w:p w14:paraId="281A0B30" w14:textId="77777777" w:rsidR="004647B9" w:rsidRPr="007D234C" w:rsidRDefault="00E2436F" w:rsidP="00620E18">
      <w:pPr>
        <w:numPr>
          <w:ilvl w:val="1"/>
          <w:numId w:val="453"/>
        </w:numPr>
        <w:tabs>
          <w:tab w:val="left" w:pos="2023"/>
        </w:tabs>
        <w:ind w:left="1560" w:hanging="5"/>
        <w:jc w:val="both"/>
        <w:rPr>
          <w:rFonts w:eastAsia="Times New Roman"/>
          <w:sz w:val="24"/>
          <w:szCs w:val="24"/>
        </w:rPr>
      </w:pPr>
      <w:r w:rsidRPr="007D234C">
        <w:rPr>
          <w:rFonts w:eastAsia="Times New Roman"/>
          <w:sz w:val="24"/>
          <w:szCs w:val="24"/>
        </w:rPr>
        <w:t>At the time of the public meeting, the Department or Administrator must prepare and make publicly available, in addition to the information listed in 310 CMR 22.13A(6)(c), either;</w:t>
      </w:r>
    </w:p>
    <w:p w14:paraId="281A0B31" w14:textId="77777777" w:rsidR="004647B9" w:rsidRPr="007D234C" w:rsidRDefault="00E2436F" w:rsidP="00620E18">
      <w:pPr>
        <w:numPr>
          <w:ilvl w:val="2"/>
          <w:numId w:val="453"/>
        </w:numPr>
        <w:tabs>
          <w:tab w:val="left" w:pos="2285"/>
        </w:tabs>
        <w:ind w:left="1920" w:hanging="5"/>
        <w:rPr>
          <w:rFonts w:eastAsia="Times New Roman"/>
          <w:sz w:val="24"/>
          <w:szCs w:val="24"/>
        </w:rPr>
      </w:pPr>
      <w:r w:rsidRPr="007D234C">
        <w:rPr>
          <w:rFonts w:eastAsia="Times New Roman"/>
          <w:sz w:val="24"/>
          <w:szCs w:val="24"/>
        </w:rPr>
        <w:t>The proposed small system variance, if the public meeting occurs after proposal of the small system variance; or</w:t>
      </w:r>
    </w:p>
    <w:p w14:paraId="281A0B33" w14:textId="77777777" w:rsidR="004647B9" w:rsidRPr="007D234C" w:rsidRDefault="00E2436F" w:rsidP="00620E18">
      <w:pPr>
        <w:numPr>
          <w:ilvl w:val="2"/>
          <w:numId w:val="453"/>
        </w:numPr>
        <w:tabs>
          <w:tab w:val="left" w:pos="2273"/>
        </w:tabs>
        <w:ind w:left="1920" w:hanging="5"/>
        <w:rPr>
          <w:rFonts w:eastAsia="Times New Roman"/>
          <w:sz w:val="24"/>
          <w:szCs w:val="24"/>
        </w:rPr>
      </w:pPr>
      <w:r w:rsidRPr="007D234C">
        <w:rPr>
          <w:rFonts w:eastAsia="Times New Roman"/>
          <w:sz w:val="24"/>
          <w:szCs w:val="24"/>
        </w:rPr>
        <w:t>A draft of the proposed small system variance, if the public meeting occurs prior to proposal of the proposed small system variance.</w:t>
      </w:r>
    </w:p>
    <w:p w14:paraId="281A0B35" w14:textId="77777777" w:rsidR="004647B9" w:rsidRPr="007D234C" w:rsidRDefault="00E2436F" w:rsidP="00620E18">
      <w:pPr>
        <w:numPr>
          <w:ilvl w:val="2"/>
          <w:numId w:val="453"/>
        </w:numPr>
        <w:tabs>
          <w:tab w:val="left" w:pos="2400"/>
        </w:tabs>
        <w:ind w:left="2400" w:hanging="485"/>
        <w:rPr>
          <w:rFonts w:eastAsia="Times New Roman"/>
          <w:sz w:val="24"/>
          <w:szCs w:val="24"/>
        </w:rPr>
      </w:pPr>
      <w:r w:rsidRPr="007D234C">
        <w:rPr>
          <w:rFonts w:eastAsia="Times New Roman"/>
          <w:sz w:val="24"/>
          <w:szCs w:val="24"/>
        </w:rPr>
        <w:t>Notice of the public meeting must be provided in the manner required under</w:t>
      </w:r>
    </w:p>
    <w:p w14:paraId="281A0B37" w14:textId="77777777" w:rsidR="004647B9" w:rsidRPr="007D234C" w:rsidRDefault="00E2436F" w:rsidP="00620E18">
      <w:pPr>
        <w:numPr>
          <w:ilvl w:val="2"/>
          <w:numId w:val="454"/>
        </w:numPr>
        <w:tabs>
          <w:tab w:val="left" w:pos="2332"/>
        </w:tabs>
        <w:ind w:left="1920" w:hanging="5"/>
        <w:jc w:val="both"/>
        <w:rPr>
          <w:rFonts w:eastAsia="Times New Roman"/>
          <w:sz w:val="24"/>
          <w:szCs w:val="24"/>
        </w:rPr>
      </w:pPr>
      <w:r w:rsidRPr="007D234C">
        <w:rPr>
          <w:rFonts w:eastAsia="Times New Roman"/>
          <w:sz w:val="24"/>
          <w:szCs w:val="24"/>
        </w:rPr>
        <w:t>CMR 22.13A(6) at least 30 days in advance of the public meeting. The notice shall be provided by the Public Water System, as directed by the Department or Administrator.</w:t>
      </w:r>
    </w:p>
    <w:p w14:paraId="281A0B38" w14:textId="77777777" w:rsidR="004647B9" w:rsidRPr="007D234C" w:rsidRDefault="004647B9" w:rsidP="00E127B0">
      <w:pPr>
        <w:rPr>
          <w:rFonts w:eastAsia="Times New Roman"/>
          <w:sz w:val="24"/>
          <w:szCs w:val="24"/>
        </w:rPr>
      </w:pPr>
    </w:p>
    <w:p w14:paraId="281A0B39" w14:textId="77777777" w:rsidR="004647B9" w:rsidRPr="007D234C" w:rsidRDefault="00E2436F" w:rsidP="00620E18">
      <w:pPr>
        <w:numPr>
          <w:ilvl w:val="0"/>
          <w:numId w:val="455"/>
        </w:numPr>
        <w:tabs>
          <w:tab w:val="left" w:pos="1660"/>
        </w:tabs>
        <w:ind w:left="1656" w:hanging="461"/>
        <w:rPr>
          <w:rFonts w:eastAsia="Times New Roman"/>
          <w:sz w:val="24"/>
          <w:szCs w:val="24"/>
        </w:rPr>
      </w:pPr>
      <w:r w:rsidRPr="007D234C">
        <w:rPr>
          <w:rFonts w:eastAsia="Times New Roman"/>
          <w:sz w:val="24"/>
          <w:szCs w:val="24"/>
          <w:u w:val="single"/>
        </w:rPr>
        <w:t>Consumer Petition Process</w:t>
      </w:r>
      <w:r w:rsidRPr="007D234C">
        <w:rPr>
          <w:rFonts w:eastAsia="Times New Roman"/>
          <w:sz w:val="24"/>
          <w:szCs w:val="24"/>
        </w:rPr>
        <w:t>.</w:t>
      </w:r>
    </w:p>
    <w:p w14:paraId="281A0B3B" w14:textId="77777777" w:rsidR="004647B9" w:rsidRPr="007D234C" w:rsidRDefault="00E2436F" w:rsidP="00620E18">
      <w:pPr>
        <w:numPr>
          <w:ilvl w:val="1"/>
          <w:numId w:val="455"/>
        </w:numPr>
        <w:tabs>
          <w:tab w:val="left" w:pos="1994"/>
        </w:tabs>
        <w:ind w:left="1560" w:hanging="5"/>
        <w:jc w:val="both"/>
        <w:rPr>
          <w:rFonts w:eastAsia="Times New Roman"/>
          <w:sz w:val="24"/>
          <w:szCs w:val="24"/>
        </w:rPr>
      </w:pPr>
      <w:r w:rsidRPr="007D234C">
        <w:rPr>
          <w:rFonts w:eastAsia="Times New Roman"/>
          <w:sz w:val="24"/>
          <w:szCs w:val="24"/>
        </w:rPr>
        <w:t>Any Person served by the small system may petition the Administrator to object to the granting of a small system variance within 30 days after the Department proposes to grant a small system variance for a Public Water System.</w:t>
      </w:r>
    </w:p>
    <w:p w14:paraId="281A0B3D" w14:textId="77777777" w:rsidR="004647B9" w:rsidRPr="007D234C" w:rsidRDefault="00E2436F" w:rsidP="00620E18">
      <w:pPr>
        <w:numPr>
          <w:ilvl w:val="1"/>
          <w:numId w:val="455"/>
        </w:numPr>
        <w:tabs>
          <w:tab w:val="left" w:pos="2028"/>
        </w:tabs>
        <w:ind w:left="1560" w:hanging="5"/>
        <w:jc w:val="both"/>
        <w:rPr>
          <w:rFonts w:eastAsia="Times New Roman"/>
          <w:sz w:val="24"/>
          <w:szCs w:val="24"/>
        </w:rPr>
      </w:pPr>
      <w:r w:rsidRPr="007D234C">
        <w:rPr>
          <w:rFonts w:eastAsia="Times New Roman"/>
          <w:sz w:val="24"/>
          <w:szCs w:val="24"/>
        </w:rPr>
        <w:t>The Administrator must respond to a petition filed by any Person served by the small system and determine whether to object to the small system variance under 310 CMR 22.13A(9), no later than 60 days after the receipt of the petition.</w:t>
      </w:r>
    </w:p>
    <w:p w14:paraId="281A0B3E" w14:textId="77777777" w:rsidR="004647B9" w:rsidRPr="007D234C" w:rsidRDefault="004647B9" w:rsidP="00E127B0">
      <w:pPr>
        <w:rPr>
          <w:rFonts w:eastAsia="Times New Roman"/>
          <w:sz w:val="24"/>
          <w:szCs w:val="24"/>
        </w:rPr>
      </w:pPr>
    </w:p>
    <w:p w14:paraId="281A0B3F" w14:textId="77777777" w:rsidR="004647B9" w:rsidRPr="007D234C" w:rsidRDefault="00E2436F" w:rsidP="00620E18">
      <w:pPr>
        <w:numPr>
          <w:ilvl w:val="0"/>
          <w:numId w:val="455"/>
        </w:numPr>
        <w:tabs>
          <w:tab w:val="left" w:pos="1660"/>
        </w:tabs>
        <w:ind w:left="1660" w:hanging="460"/>
        <w:rPr>
          <w:rFonts w:eastAsia="Times New Roman"/>
          <w:sz w:val="24"/>
          <w:szCs w:val="24"/>
        </w:rPr>
      </w:pPr>
      <w:r w:rsidRPr="007D234C">
        <w:rPr>
          <w:rFonts w:eastAsia="Times New Roman"/>
          <w:sz w:val="24"/>
          <w:szCs w:val="24"/>
          <w:u w:val="single"/>
        </w:rPr>
        <w:t>EPA Review and Approval of Small System Variances</w:t>
      </w:r>
      <w:r w:rsidRPr="007D234C">
        <w:rPr>
          <w:rFonts w:eastAsia="Times New Roman"/>
          <w:sz w:val="24"/>
          <w:szCs w:val="24"/>
        </w:rPr>
        <w:t>.</w:t>
      </w:r>
    </w:p>
    <w:p w14:paraId="281A0B41" w14:textId="77777777" w:rsidR="004647B9" w:rsidRPr="007D234C" w:rsidRDefault="00E2436F" w:rsidP="00620E18">
      <w:pPr>
        <w:numPr>
          <w:ilvl w:val="1"/>
          <w:numId w:val="455"/>
        </w:numPr>
        <w:tabs>
          <w:tab w:val="left" w:pos="1992"/>
        </w:tabs>
        <w:ind w:left="1560" w:hanging="5"/>
        <w:jc w:val="both"/>
        <w:rPr>
          <w:rFonts w:eastAsia="Times New Roman"/>
          <w:sz w:val="24"/>
          <w:szCs w:val="24"/>
        </w:rPr>
      </w:pPr>
      <w:r w:rsidRPr="007D234C">
        <w:rPr>
          <w:rFonts w:eastAsia="Times New Roman"/>
          <w:sz w:val="24"/>
          <w:szCs w:val="24"/>
        </w:rPr>
        <w:t>At the time the Department proposes to grant a small system variance under 310 CMR 22.13A, the Department must submit to the Administrator the proposed small system variance and all supporting information, including any written public comments received prior to proposal.</w:t>
      </w:r>
    </w:p>
    <w:p w14:paraId="281A0B43" w14:textId="77777777" w:rsidR="004647B9" w:rsidRPr="007D234C" w:rsidRDefault="00E2436F" w:rsidP="00620E18">
      <w:pPr>
        <w:numPr>
          <w:ilvl w:val="1"/>
          <w:numId w:val="455"/>
        </w:numPr>
        <w:tabs>
          <w:tab w:val="left" w:pos="1970"/>
        </w:tabs>
        <w:ind w:left="1560" w:hanging="5"/>
        <w:jc w:val="both"/>
        <w:rPr>
          <w:rFonts w:eastAsia="Times New Roman"/>
          <w:sz w:val="24"/>
          <w:szCs w:val="24"/>
        </w:rPr>
      </w:pPr>
      <w:r w:rsidRPr="007D234C">
        <w:rPr>
          <w:rFonts w:eastAsia="Times New Roman"/>
          <w:sz w:val="24"/>
          <w:szCs w:val="24"/>
        </w:rPr>
        <w:t>The Administrator may review and object to any proposed small system variance within 90 days of receipt of the proposed small system variance. The Administrator must notify the Department in writing of each basis for the objection and propose a modification to the small system variance to resolve the concerns of the Administrator. The Department must make the recommended modification, respond in writing to each objection, or withdraw the proposal to grant the small system variance.</w:t>
      </w:r>
    </w:p>
    <w:p w14:paraId="281A0B45" w14:textId="77777777" w:rsidR="004647B9" w:rsidRPr="007D234C" w:rsidRDefault="00E2436F" w:rsidP="00620E18">
      <w:pPr>
        <w:numPr>
          <w:ilvl w:val="1"/>
          <w:numId w:val="455"/>
        </w:numPr>
        <w:tabs>
          <w:tab w:val="left" w:pos="1954"/>
        </w:tabs>
        <w:ind w:left="1560" w:hanging="5"/>
        <w:jc w:val="both"/>
        <w:rPr>
          <w:rFonts w:eastAsia="Times New Roman"/>
          <w:sz w:val="24"/>
          <w:szCs w:val="24"/>
        </w:rPr>
      </w:pPr>
      <w:r w:rsidRPr="007D234C">
        <w:rPr>
          <w:rFonts w:eastAsia="Times New Roman"/>
          <w:sz w:val="24"/>
          <w:szCs w:val="24"/>
        </w:rPr>
        <w:t>If the Department issues the small system variance without resolving the concerns of the Administrator, the Administrator may overturn the Department's decision to grant the variance if the Administrator determines the Department's decision does not comply with the federal Safe Drinking Water Act, or 40 CFR 142.301 through 142.313.</w:t>
      </w:r>
    </w:p>
    <w:p w14:paraId="281A0B46" w14:textId="77777777" w:rsidR="004647B9" w:rsidRPr="007D234C" w:rsidRDefault="004647B9" w:rsidP="00E127B0">
      <w:pPr>
        <w:rPr>
          <w:rFonts w:eastAsia="Times New Roman"/>
          <w:sz w:val="24"/>
          <w:szCs w:val="24"/>
        </w:rPr>
      </w:pPr>
    </w:p>
    <w:p w14:paraId="281A0B47" w14:textId="77777777" w:rsidR="004647B9" w:rsidRPr="007D234C" w:rsidRDefault="00E2436F" w:rsidP="00620E18">
      <w:pPr>
        <w:numPr>
          <w:ilvl w:val="0"/>
          <w:numId w:val="455"/>
        </w:numPr>
        <w:tabs>
          <w:tab w:val="left" w:pos="1765"/>
        </w:tabs>
        <w:ind w:left="1200"/>
        <w:rPr>
          <w:rFonts w:eastAsia="Times New Roman"/>
          <w:sz w:val="24"/>
          <w:szCs w:val="24"/>
        </w:rPr>
      </w:pPr>
      <w:r w:rsidRPr="007D234C">
        <w:rPr>
          <w:rFonts w:eastAsia="Times New Roman"/>
          <w:sz w:val="24"/>
          <w:szCs w:val="24"/>
        </w:rPr>
        <w:t>EPA action on a small system variance to a Public Water System serving a population of more than 3,300 and fewer than 10,000 persons.</w:t>
      </w:r>
    </w:p>
    <w:p w14:paraId="281A0B49" w14:textId="77777777" w:rsidR="004647B9" w:rsidRPr="007D234C" w:rsidRDefault="00E2436F" w:rsidP="00620E18">
      <w:pPr>
        <w:numPr>
          <w:ilvl w:val="1"/>
          <w:numId w:val="455"/>
        </w:numPr>
        <w:tabs>
          <w:tab w:val="left" w:pos="1970"/>
        </w:tabs>
        <w:ind w:left="1560" w:hanging="5"/>
        <w:jc w:val="both"/>
        <w:rPr>
          <w:rFonts w:eastAsia="Times New Roman"/>
          <w:sz w:val="24"/>
          <w:szCs w:val="24"/>
        </w:rPr>
      </w:pPr>
      <w:r w:rsidRPr="007D234C">
        <w:rPr>
          <w:rFonts w:eastAsia="Times New Roman"/>
          <w:sz w:val="24"/>
          <w:szCs w:val="24"/>
        </w:rPr>
        <w:t>At the time the Department proposes to grant a small system variance to a small system serving a population of more than 3,300 and fewer than 10,000 persons, the Department must submit the proposed small system variance and all supporting information, including public comments received prior to proposal, to the Administrator.</w:t>
      </w:r>
    </w:p>
    <w:p w14:paraId="281A0B4B" w14:textId="77777777" w:rsidR="004647B9" w:rsidRPr="007D234C" w:rsidRDefault="00E2436F" w:rsidP="00620E18">
      <w:pPr>
        <w:numPr>
          <w:ilvl w:val="1"/>
          <w:numId w:val="455"/>
        </w:numPr>
        <w:tabs>
          <w:tab w:val="left" w:pos="1954"/>
        </w:tabs>
        <w:ind w:left="1560" w:hanging="5"/>
        <w:jc w:val="both"/>
        <w:rPr>
          <w:rFonts w:eastAsia="Times New Roman"/>
          <w:sz w:val="24"/>
          <w:szCs w:val="24"/>
        </w:rPr>
      </w:pPr>
      <w:r w:rsidRPr="007D234C">
        <w:rPr>
          <w:rFonts w:eastAsia="Times New Roman"/>
          <w:sz w:val="24"/>
          <w:szCs w:val="24"/>
        </w:rPr>
        <w:t>The Administrator must approve or disapprove the small system variance within 90 days of receipt of the proposed small system variance and supporting information. The Administrator must approve the small system variance if it meets each requirement within the federal Safe Drinking Water Act, and 40 CFR 142.301 through 142.313.</w:t>
      </w:r>
    </w:p>
    <w:p w14:paraId="281A0B4D" w14:textId="77777777" w:rsidR="004647B9" w:rsidRPr="007D234C" w:rsidRDefault="00E2436F" w:rsidP="00620E18">
      <w:pPr>
        <w:numPr>
          <w:ilvl w:val="1"/>
          <w:numId w:val="455"/>
        </w:numPr>
        <w:tabs>
          <w:tab w:val="left" w:pos="2064"/>
        </w:tabs>
        <w:ind w:left="1560" w:hanging="5"/>
        <w:jc w:val="both"/>
        <w:rPr>
          <w:rFonts w:eastAsia="Times New Roman"/>
          <w:sz w:val="24"/>
          <w:szCs w:val="24"/>
        </w:rPr>
      </w:pPr>
      <w:r w:rsidRPr="007D234C">
        <w:rPr>
          <w:rFonts w:eastAsia="Times New Roman"/>
          <w:sz w:val="24"/>
          <w:szCs w:val="24"/>
        </w:rPr>
        <w:t>If the Administrator disapproves the small system variance, the Administrator must notify the Department in writing of the reasons for disapproval and the small system variance does not become effective. The Department may resubmit the small system variance for review and approval with modifications to address the objections stated by the Administrator.</w:t>
      </w:r>
    </w:p>
    <w:p w14:paraId="281A0B4E" w14:textId="77777777" w:rsidR="004647B9" w:rsidRPr="007D234C" w:rsidRDefault="004647B9" w:rsidP="00620E18">
      <w:pPr>
        <w:rPr>
          <w:sz w:val="24"/>
          <w:szCs w:val="24"/>
        </w:rPr>
      </w:pPr>
    </w:p>
    <w:p w14:paraId="281A0B4F" w14:textId="77777777" w:rsidR="004647B9" w:rsidRPr="007D234C" w:rsidRDefault="00E2436F" w:rsidP="00620E18">
      <w:pPr>
        <w:tabs>
          <w:tab w:val="left" w:pos="760"/>
        </w:tabs>
        <w:rPr>
          <w:sz w:val="24"/>
          <w:szCs w:val="24"/>
        </w:rPr>
      </w:pPr>
      <w:r w:rsidRPr="007D234C">
        <w:rPr>
          <w:rFonts w:eastAsia="Times New Roman"/>
          <w:sz w:val="24"/>
          <w:szCs w:val="24"/>
          <w:u w:val="single"/>
        </w:rPr>
        <w:t>22.14:</w:t>
      </w:r>
      <w:r w:rsidRPr="007D234C">
        <w:rPr>
          <w:rFonts w:eastAsia="Times New Roman"/>
          <w:sz w:val="24"/>
          <w:szCs w:val="24"/>
          <w:u w:val="single"/>
        </w:rPr>
        <w:tab/>
        <w:t>Exemptions</w:t>
      </w:r>
    </w:p>
    <w:p w14:paraId="281A0B50" w14:textId="77777777" w:rsidR="004647B9" w:rsidRPr="007D234C" w:rsidRDefault="004647B9" w:rsidP="00620E18">
      <w:pPr>
        <w:rPr>
          <w:sz w:val="24"/>
          <w:szCs w:val="24"/>
        </w:rPr>
      </w:pPr>
    </w:p>
    <w:p w14:paraId="281A0B51" w14:textId="77777777" w:rsidR="004647B9" w:rsidRPr="007D234C" w:rsidRDefault="00E2436F" w:rsidP="00620E18">
      <w:pPr>
        <w:ind w:left="1200" w:firstLine="355"/>
        <w:jc w:val="both"/>
        <w:rPr>
          <w:sz w:val="24"/>
          <w:szCs w:val="24"/>
        </w:rPr>
      </w:pPr>
      <w:r w:rsidRPr="007D234C">
        <w:rPr>
          <w:rFonts w:eastAsia="Times New Roman"/>
          <w:sz w:val="24"/>
          <w:szCs w:val="24"/>
        </w:rPr>
        <w:lastRenderedPageBreak/>
        <w:t>The Department may upon receipt of an application, exempt any public water system from any maximum contaminant level prescribed in 310 CMR 22.06 through 22.09A, or from any prescribed treatment technique, or from both, but only subject to the following conditions:</w:t>
      </w:r>
    </w:p>
    <w:p w14:paraId="281A0B52" w14:textId="77777777" w:rsidR="004647B9" w:rsidRDefault="004647B9" w:rsidP="00620E18">
      <w:pPr>
        <w:sectPr w:rsidR="004647B9" w:rsidSect="00EF630C">
          <w:pgSz w:w="12240" w:h="20180"/>
          <w:pgMar w:top="708" w:right="1440" w:bottom="1440" w:left="600" w:header="0" w:footer="0" w:gutter="0"/>
          <w:cols w:space="720"/>
        </w:sectPr>
      </w:pPr>
    </w:p>
    <w:p w14:paraId="281A0B53" w14:textId="77777777" w:rsidR="004647B9" w:rsidRDefault="00E2436F">
      <w:pPr>
        <w:tabs>
          <w:tab w:val="left" w:pos="160"/>
        </w:tabs>
        <w:jc w:val="center"/>
        <w:rPr>
          <w:sz w:val="20"/>
          <w:szCs w:val="20"/>
        </w:rPr>
      </w:pPr>
      <w:bookmarkStart w:id="175" w:name="page177"/>
      <w:bookmarkEnd w:id="17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B54" w14:textId="77777777" w:rsidR="004647B9" w:rsidRDefault="004647B9" w:rsidP="00B56E9B">
      <w:pPr>
        <w:rPr>
          <w:sz w:val="20"/>
          <w:szCs w:val="20"/>
        </w:rPr>
      </w:pPr>
    </w:p>
    <w:p w14:paraId="281A0B55" w14:textId="77777777" w:rsidR="004647B9" w:rsidRDefault="004647B9" w:rsidP="00B56E9B">
      <w:pPr>
        <w:rPr>
          <w:sz w:val="20"/>
          <w:szCs w:val="20"/>
        </w:rPr>
      </w:pPr>
    </w:p>
    <w:p w14:paraId="281A0B56" w14:textId="77777777" w:rsidR="004647B9" w:rsidRPr="00E127B0" w:rsidRDefault="00E2436F" w:rsidP="00B56E9B">
      <w:pPr>
        <w:tabs>
          <w:tab w:val="left" w:pos="760"/>
        </w:tabs>
        <w:rPr>
          <w:sz w:val="24"/>
          <w:szCs w:val="24"/>
        </w:rPr>
      </w:pPr>
      <w:r w:rsidRPr="00E127B0">
        <w:rPr>
          <w:rFonts w:eastAsia="Times New Roman"/>
          <w:sz w:val="24"/>
          <w:szCs w:val="24"/>
        </w:rPr>
        <w:t>22.14:</w:t>
      </w:r>
      <w:r w:rsidRPr="00E127B0">
        <w:rPr>
          <w:rFonts w:eastAsia="Times New Roman"/>
          <w:sz w:val="24"/>
          <w:szCs w:val="24"/>
        </w:rPr>
        <w:tab/>
        <w:t>continued</w:t>
      </w:r>
    </w:p>
    <w:p w14:paraId="281A0B57" w14:textId="77777777" w:rsidR="004647B9" w:rsidRDefault="004647B9" w:rsidP="00B56E9B">
      <w:pPr>
        <w:rPr>
          <w:sz w:val="20"/>
          <w:szCs w:val="20"/>
        </w:rPr>
      </w:pPr>
    </w:p>
    <w:p w14:paraId="281A0B58" w14:textId="77777777" w:rsidR="004647B9" w:rsidRDefault="00E2436F" w:rsidP="00B56E9B">
      <w:pPr>
        <w:numPr>
          <w:ilvl w:val="0"/>
          <w:numId w:val="456"/>
        </w:numPr>
        <w:tabs>
          <w:tab w:val="left" w:pos="1732"/>
        </w:tabs>
        <w:ind w:left="1200"/>
        <w:rPr>
          <w:rFonts w:eastAsia="Times New Roman"/>
          <w:sz w:val="24"/>
          <w:szCs w:val="24"/>
        </w:rPr>
      </w:pPr>
      <w:r>
        <w:rPr>
          <w:rFonts w:eastAsia="Times New Roman"/>
          <w:sz w:val="24"/>
          <w:szCs w:val="24"/>
        </w:rPr>
        <w:t>The Department shall not grant any exemption unless the Department finds all of the following:</w:t>
      </w:r>
    </w:p>
    <w:p w14:paraId="281A0B5A" w14:textId="77777777" w:rsidR="004647B9" w:rsidRDefault="00E2436F" w:rsidP="00B56E9B">
      <w:pPr>
        <w:numPr>
          <w:ilvl w:val="1"/>
          <w:numId w:val="456"/>
        </w:numPr>
        <w:tabs>
          <w:tab w:val="left" w:pos="1946"/>
        </w:tabs>
        <w:ind w:left="1560" w:hanging="5"/>
        <w:jc w:val="both"/>
        <w:rPr>
          <w:rFonts w:eastAsia="Times New Roman"/>
          <w:sz w:val="24"/>
          <w:szCs w:val="24"/>
        </w:rPr>
      </w:pPr>
      <w:r>
        <w:rPr>
          <w:rFonts w:eastAsia="Times New Roman"/>
          <w:sz w:val="24"/>
          <w:szCs w:val="24"/>
        </w:rPr>
        <w:t>Due to compelling factors, which may include economic factors, the public water system is unable to comply with the maximum contaminant level requirement or the treatment technique requirement; or to implement measures to develop an alternative source of water supply;</w:t>
      </w:r>
    </w:p>
    <w:p w14:paraId="281A0B5C" w14:textId="77777777" w:rsidR="004647B9" w:rsidRDefault="00E2436F" w:rsidP="00B56E9B">
      <w:pPr>
        <w:numPr>
          <w:ilvl w:val="1"/>
          <w:numId w:val="456"/>
        </w:numPr>
        <w:tabs>
          <w:tab w:val="left" w:pos="2092"/>
        </w:tabs>
        <w:ind w:left="1560" w:hanging="5"/>
        <w:jc w:val="both"/>
        <w:rPr>
          <w:rFonts w:eastAsia="Times New Roman"/>
          <w:sz w:val="24"/>
          <w:szCs w:val="24"/>
        </w:rPr>
      </w:pPr>
      <w:r>
        <w:rPr>
          <w:rFonts w:eastAsia="Times New Roman"/>
          <w:sz w:val="24"/>
          <w:szCs w:val="24"/>
        </w:rPr>
        <w:t>The public water system was in operation on the effective date of such maximum contaminant level requirement or treatment technique requirement; or for a public water system that was not in operation by that date, no reasonable alternative source of drinking water is available to such new public water system;</w:t>
      </w:r>
    </w:p>
    <w:p w14:paraId="281A0B5E" w14:textId="77777777" w:rsidR="004647B9" w:rsidRDefault="00E2436F" w:rsidP="00B56E9B">
      <w:pPr>
        <w:numPr>
          <w:ilvl w:val="1"/>
          <w:numId w:val="456"/>
        </w:numPr>
        <w:tabs>
          <w:tab w:val="left" w:pos="2033"/>
        </w:tabs>
        <w:ind w:left="1560" w:hanging="5"/>
        <w:jc w:val="both"/>
        <w:rPr>
          <w:rFonts w:eastAsia="Times New Roman"/>
          <w:sz w:val="24"/>
          <w:szCs w:val="24"/>
        </w:rPr>
      </w:pPr>
      <w:r>
        <w:rPr>
          <w:rFonts w:eastAsia="Times New Roman"/>
          <w:sz w:val="24"/>
          <w:szCs w:val="24"/>
        </w:rPr>
        <w:t>The granting of the exemption will not result in an unreasonable risk to health. The Department shall make this finding in consultation with the Massachusetts Department of Public Health; and</w:t>
      </w:r>
    </w:p>
    <w:p w14:paraId="281A0B60" w14:textId="77777777" w:rsidR="004647B9" w:rsidRDefault="00E2436F" w:rsidP="00B56E9B">
      <w:pPr>
        <w:numPr>
          <w:ilvl w:val="1"/>
          <w:numId w:val="456"/>
        </w:numPr>
        <w:tabs>
          <w:tab w:val="left" w:pos="2020"/>
        </w:tabs>
        <w:ind w:left="2020" w:hanging="465"/>
        <w:rPr>
          <w:rFonts w:eastAsia="Times New Roman"/>
          <w:sz w:val="24"/>
          <w:szCs w:val="24"/>
        </w:rPr>
      </w:pPr>
      <w:r>
        <w:rPr>
          <w:rFonts w:eastAsia="Times New Roman"/>
          <w:sz w:val="24"/>
          <w:szCs w:val="24"/>
        </w:rPr>
        <w:t>Management or restructuring changes (or both) cannot reasonably be made that:</w:t>
      </w:r>
    </w:p>
    <w:p w14:paraId="281A0B62" w14:textId="77777777" w:rsidR="004647B9" w:rsidRDefault="00E2436F" w:rsidP="00B56E9B">
      <w:pPr>
        <w:numPr>
          <w:ilvl w:val="2"/>
          <w:numId w:val="456"/>
        </w:numPr>
        <w:tabs>
          <w:tab w:val="left" w:pos="2414"/>
        </w:tabs>
        <w:ind w:left="1920" w:hanging="5"/>
        <w:jc w:val="both"/>
        <w:rPr>
          <w:rFonts w:eastAsia="Times New Roman"/>
          <w:sz w:val="24"/>
          <w:szCs w:val="24"/>
        </w:rPr>
      </w:pPr>
      <w:r>
        <w:rPr>
          <w:rFonts w:eastAsia="Times New Roman"/>
          <w:sz w:val="24"/>
          <w:szCs w:val="24"/>
        </w:rPr>
        <w:t>will result in compliance with 310 CMR 22.00, taking into consideration the circumstances specified in 40 C.F.R. 142.20(b)(1)(i) (effective September 14, 1998), incorporated by reference); or</w:t>
      </w:r>
    </w:p>
    <w:p w14:paraId="281A0B64" w14:textId="77777777" w:rsidR="004647B9" w:rsidRDefault="00E2436F" w:rsidP="00B56E9B">
      <w:pPr>
        <w:numPr>
          <w:ilvl w:val="2"/>
          <w:numId w:val="456"/>
        </w:numPr>
        <w:tabs>
          <w:tab w:val="left" w:pos="2280"/>
        </w:tabs>
        <w:ind w:left="2280" w:hanging="365"/>
        <w:rPr>
          <w:rFonts w:eastAsia="Times New Roman"/>
          <w:sz w:val="24"/>
          <w:szCs w:val="24"/>
        </w:rPr>
      </w:pPr>
      <w:r>
        <w:rPr>
          <w:rFonts w:eastAsia="Times New Roman"/>
          <w:sz w:val="24"/>
          <w:szCs w:val="24"/>
        </w:rPr>
        <w:t>if compliance cannot be achieved, will improve the quality of the drinking water.</w:t>
      </w:r>
    </w:p>
    <w:p w14:paraId="281A0B66" w14:textId="77777777" w:rsidR="004647B9" w:rsidRDefault="00E2436F" w:rsidP="00B56E9B">
      <w:pPr>
        <w:numPr>
          <w:ilvl w:val="1"/>
          <w:numId w:val="456"/>
        </w:numPr>
        <w:tabs>
          <w:tab w:val="left" w:pos="1977"/>
        </w:tabs>
        <w:ind w:left="1560" w:hanging="5"/>
        <w:rPr>
          <w:rFonts w:eastAsia="Times New Roman"/>
          <w:sz w:val="24"/>
          <w:szCs w:val="24"/>
        </w:rPr>
      </w:pPr>
      <w:r>
        <w:rPr>
          <w:rFonts w:eastAsia="Times New Roman"/>
          <w:sz w:val="24"/>
          <w:szCs w:val="24"/>
        </w:rPr>
        <w:t>The system has the technical, managerial, and financial capacity to adhere to 310 CMR 22.04(3), as determined by the Department.</w:t>
      </w:r>
    </w:p>
    <w:p w14:paraId="281A0B67" w14:textId="77777777" w:rsidR="004647B9" w:rsidRDefault="004647B9" w:rsidP="00B56E9B">
      <w:pPr>
        <w:rPr>
          <w:rFonts w:eastAsia="Times New Roman"/>
          <w:sz w:val="24"/>
          <w:szCs w:val="24"/>
        </w:rPr>
      </w:pPr>
    </w:p>
    <w:p w14:paraId="281A0B68" w14:textId="77777777" w:rsidR="004647B9" w:rsidRDefault="00E2436F" w:rsidP="00B56E9B">
      <w:pPr>
        <w:numPr>
          <w:ilvl w:val="0"/>
          <w:numId w:val="456"/>
        </w:numPr>
        <w:tabs>
          <w:tab w:val="left" w:pos="1660"/>
        </w:tabs>
        <w:ind w:left="1200"/>
        <w:rPr>
          <w:rFonts w:eastAsia="Times New Roman"/>
          <w:sz w:val="24"/>
          <w:szCs w:val="24"/>
        </w:rPr>
      </w:pPr>
      <w:r>
        <w:rPr>
          <w:rFonts w:eastAsia="Times New Roman"/>
          <w:sz w:val="24"/>
          <w:szCs w:val="24"/>
        </w:rPr>
        <w:t>No exemption shall be granted unless the public water system established that it is taking all practicable steps to meet the standards, and</w:t>
      </w:r>
    </w:p>
    <w:p w14:paraId="281A0B6A" w14:textId="77777777" w:rsidR="004647B9" w:rsidRDefault="00E2436F" w:rsidP="00B56E9B">
      <w:pPr>
        <w:numPr>
          <w:ilvl w:val="1"/>
          <w:numId w:val="456"/>
        </w:numPr>
        <w:tabs>
          <w:tab w:val="left" w:pos="2011"/>
        </w:tabs>
        <w:ind w:left="1560" w:hanging="5"/>
        <w:jc w:val="both"/>
        <w:rPr>
          <w:rFonts w:eastAsia="Times New Roman"/>
          <w:sz w:val="24"/>
          <w:szCs w:val="24"/>
        </w:rPr>
      </w:pPr>
      <w:r>
        <w:rPr>
          <w:rFonts w:eastAsia="Times New Roman"/>
          <w:sz w:val="24"/>
          <w:szCs w:val="24"/>
        </w:rPr>
        <w:t>The public water system cannot meet the standard without capital improvements that cannot be completed prior to the date established pursuant to 40 C.F.R. 142.50(b)(1) (effective September 14, 1998).</w:t>
      </w:r>
    </w:p>
    <w:p w14:paraId="281A0B6C" w14:textId="77777777" w:rsidR="004647B9" w:rsidRDefault="00E2436F" w:rsidP="00B56E9B">
      <w:pPr>
        <w:numPr>
          <w:ilvl w:val="1"/>
          <w:numId w:val="456"/>
        </w:numPr>
        <w:tabs>
          <w:tab w:val="left" w:pos="2004"/>
        </w:tabs>
        <w:ind w:left="1560" w:hanging="5"/>
        <w:jc w:val="both"/>
        <w:rPr>
          <w:rFonts w:eastAsia="Times New Roman"/>
          <w:sz w:val="24"/>
          <w:szCs w:val="24"/>
        </w:rPr>
      </w:pPr>
      <w:r>
        <w:rPr>
          <w:rFonts w:eastAsia="Times New Roman"/>
          <w:sz w:val="24"/>
          <w:szCs w:val="24"/>
        </w:rPr>
        <w:t xml:space="preserve">In the case of a public water system which needs financial assistance for the necessary improvements, the public water system has entered into an agreement to obtain such financial assistance or assistance provided pursuant to the Drinking Water State Revolving Fund loan program, 310 CMR 45.00: </w:t>
      </w:r>
      <w:r>
        <w:rPr>
          <w:rFonts w:eastAsia="Times New Roman"/>
          <w:i/>
          <w:iCs/>
          <w:sz w:val="24"/>
          <w:szCs w:val="24"/>
        </w:rPr>
        <w:t>DEP Selection, Approval and Regulation of Drinking Water</w:t>
      </w:r>
      <w:r>
        <w:rPr>
          <w:rFonts w:eastAsia="Times New Roman"/>
          <w:sz w:val="24"/>
          <w:szCs w:val="24"/>
        </w:rPr>
        <w:t xml:space="preserve"> </w:t>
      </w:r>
      <w:r>
        <w:rPr>
          <w:rFonts w:eastAsia="Times New Roman"/>
          <w:i/>
          <w:iCs/>
          <w:sz w:val="24"/>
          <w:szCs w:val="24"/>
        </w:rPr>
        <w:t>Projects Receiving Financial Assistance from the State Revolving Fund</w:t>
      </w:r>
      <w:r>
        <w:rPr>
          <w:rFonts w:eastAsia="Times New Roman"/>
          <w:sz w:val="24"/>
          <w:szCs w:val="24"/>
        </w:rPr>
        <w:t>, or any other federal</w:t>
      </w:r>
      <w:r>
        <w:rPr>
          <w:rFonts w:eastAsia="Times New Roman"/>
          <w:i/>
          <w:iCs/>
          <w:sz w:val="24"/>
          <w:szCs w:val="24"/>
        </w:rPr>
        <w:t xml:space="preserve"> </w:t>
      </w:r>
      <w:r>
        <w:rPr>
          <w:rFonts w:eastAsia="Times New Roman"/>
          <w:sz w:val="24"/>
          <w:szCs w:val="24"/>
        </w:rPr>
        <w:t>or state Program that is reasonably likely to be available within the period of the exemption; or</w:t>
      </w:r>
    </w:p>
    <w:p w14:paraId="281A0B6E" w14:textId="77777777" w:rsidR="004647B9" w:rsidRDefault="00E2436F" w:rsidP="00B56E9B">
      <w:pPr>
        <w:numPr>
          <w:ilvl w:val="1"/>
          <w:numId w:val="456"/>
        </w:numPr>
        <w:tabs>
          <w:tab w:val="left" w:pos="1975"/>
        </w:tabs>
        <w:ind w:left="1560" w:hanging="5"/>
        <w:rPr>
          <w:rFonts w:eastAsia="Times New Roman"/>
          <w:sz w:val="24"/>
          <w:szCs w:val="24"/>
        </w:rPr>
      </w:pPr>
      <w:r>
        <w:rPr>
          <w:rFonts w:eastAsia="Times New Roman"/>
          <w:sz w:val="24"/>
          <w:szCs w:val="24"/>
        </w:rPr>
        <w:t>The public water system has entered into an enforceable agreement to become a part of a regional public water system.</w:t>
      </w:r>
    </w:p>
    <w:p w14:paraId="281A0B6F" w14:textId="77777777" w:rsidR="004647B9" w:rsidRDefault="004647B9" w:rsidP="00B56E9B">
      <w:pPr>
        <w:rPr>
          <w:rFonts w:eastAsia="Times New Roman"/>
          <w:sz w:val="24"/>
          <w:szCs w:val="24"/>
        </w:rPr>
      </w:pPr>
    </w:p>
    <w:p w14:paraId="281A0B70" w14:textId="77777777" w:rsidR="004647B9" w:rsidRDefault="00E2436F" w:rsidP="00B56E9B">
      <w:pPr>
        <w:numPr>
          <w:ilvl w:val="0"/>
          <w:numId w:val="456"/>
        </w:numPr>
        <w:tabs>
          <w:tab w:val="left" w:pos="1653"/>
        </w:tabs>
        <w:ind w:left="1200"/>
        <w:rPr>
          <w:rFonts w:eastAsia="Times New Roman"/>
          <w:sz w:val="24"/>
          <w:szCs w:val="24"/>
        </w:rPr>
      </w:pPr>
      <w:r>
        <w:rPr>
          <w:rFonts w:eastAsia="Times New Roman"/>
          <w:sz w:val="24"/>
          <w:szCs w:val="24"/>
        </w:rPr>
        <w:t>A public water system may not receive an exemption under 310 CMR 22.14, if the public water system was granted a variance under 310 CMR 22.13A.</w:t>
      </w:r>
    </w:p>
    <w:p w14:paraId="281A0B71" w14:textId="77777777" w:rsidR="004647B9" w:rsidRDefault="004647B9" w:rsidP="00B56E9B">
      <w:pPr>
        <w:rPr>
          <w:rFonts w:eastAsia="Times New Roman"/>
          <w:sz w:val="24"/>
          <w:szCs w:val="24"/>
        </w:rPr>
      </w:pPr>
    </w:p>
    <w:p w14:paraId="281A0B72" w14:textId="77777777" w:rsidR="004647B9" w:rsidRDefault="00E2436F" w:rsidP="00B56E9B">
      <w:pPr>
        <w:numPr>
          <w:ilvl w:val="0"/>
          <w:numId w:val="456"/>
        </w:numPr>
        <w:tabs>
          <w:tab w:val="left" w:pos="1696"/>
        </w:tabs>
        <w:ind w:left="1200"/>
        <w:rPr>
          <w:rFonts w:eastAsia="Times New Roman"/>
          <w:sz w:val="24"/>
          <w:szCs w:val="24"/>
        </w:rPr>
      </w:pPr>
      <w:r>
        <w:rPr>
          <w:rFonts w:eastAsia="Times New Roman"/>
          <w:sz w:val="24"/>
          <w:szCs w:val="24"/>
        </w:rPr>
        <w:t>A public water system may submit a joint request for exemptions when it seeks similar exemptions under similar circumstances.</w:t>
      </w:r>
    </w:p>
    <w:p w14:paraId="281A0B73" w14:textId="77777777" w:rsidR="004647B9" w:rsidRDefault="004647B9" w:rsidP="00B56E9B">
      <w:pPr>
        <w:rPr>
          <w:rFonts w:eastAsia="Times New Roman"/>
          <w:sz w:val="24"/>
          <w:szCs w:val="24"/>
        </w:rPr>
      </w:pPr>
    </w:p>
    <w:p w14:paraId="281A0B74" w14:textId="77777777" w:rsidR="004647B9" w:rsidRDefault="00E2436F" w:rsidP="00B56E9B">
      <w:pPr>
        <w:numPr>
          <w:ilvl w:val="0"/>
          <w:numId w:val="456"/>
        </w:numPr>
        <w:tabs>
          <w:tab w:val="left" w:pos="1696"/>
        </w:tabs>
        <w:ind w:left="1200"/>
        <w:rPr>
          <w:rFonts w:eastAsia="Times New Roman"/>
          <w:sz w:val="24"/>
          <w:szCs w:val="24"/>
        </w:rPr>
      </w:pPr>
      <w:r>
        <w:rPr>
          <w:rFonts w:eastAsia="Times New Roman"/>
          <w:sz w:val="24"/>
          <w:szCs w:val="24"/>
        </w:rPr>
        <w:t>Any written request for an exemption or exemptions pursuant to 310 CMR 22.14, shall include the following information:</w:t>
      </w:r>
    </w:p>
    <w:p w14:paraId="281A0B76" w14:textId="77777777" w:rsidR="004647B9" w:rsidRDefault="00E2436F" w:rsidP="00B56E9B">
      <w:pPr>
        <w:numPr>
          <w:ilvl w:val="1"/>
          <w:numId w:val="456"/>
        </w:numPr>
        <w:tabs>
          <w:tab w:val="left" w:pos="2000"/>
        </w:tabs>
        <w:ind w:left="2000" w:hanging="445"/>
        <w:rPr>
          <w:rFonts w:eastAsia="Times New Roman"/>
          <w:sz w:val="24"/>
          <w:szCs w:val="24"/>
        </w:rPr>
      </w:pPr>
      <w:r>
        <w:rPr>
          <w:rFonts w:eastAsia="Times New Roman"/>
          <w:sz w:val="24"/>
          <w:szCs w:val="24"/>
        </w:rPr>
        <w:t>The nature and duration of exemption requested;</w:t>
      </w:r>
    </w:p>
    <w:p w14:paraId="281A0B78" w14:textId="77777777" w:rsidR="004647B9" w:rsidRDefault="00E2436F" w:rsidP="00B56E9B">
      <w:pPr>
        <w:numPr>
          <w:ilvl w:val="1"/>
          <w:numId w:val="456"/>
        </w:numPr>
        <w:tabs>
          <w:tab w:val="left" w:pos="1987"/>
        </w:tabs>
        <w:ind w:left="1560" w:hanging="5"/>
        <w:rPr>
          <w:rFonts w:eastAsia="Times New Roman"/>
          <w:sz w:val="24"/>
          <w:szCs w:val="24"/>
        </w:rPr>
      </w:pPr>
      <w:r>
        <w:rPr>
          <w:rFonts w:eastAsia="Times New Roman"/>
          <w:sz w:val="24"/>
          <w:szCs w:val="24"/>
        </w:rPr>
        <w:t>Relevant analytical results of water quality sampling of the system, including results of relevant tests conducted pursuant to the requirements of 310 CMR 22.00;</w:t>
      </w:r>
    </w:p>
    <w:p w14:paraId="281A0B7A" w14:textId="77777777" w:rsidR="004647B9" w:rsidRDefault="00E2436F" w:rsidP="00B56E9B">
      <w:pPr>
        <w:numPr>
          <w:ilvl w:val="1"/>
          <w:numId w:val="456"/>
        </w:numPr>
        <w:tabs>
          <w:tab w:val="left" w:pos="1997"/>
        </w:tabs>
        <w:ind w:left="1560" w:hanging="5"/>
        <w:rPr>
          <w:rFonts w:eastAsia="Times New Roman"/>
          <w:sz w:val="24"/>
          <w:szCs w:val="24"/>
        </w:rPr>
      </w:pPr>
      <w:r>
        <w:rPr>
          <w:rFonts w:eastAsia="Times New Roman"/>
          <w:sz w:val="24"/>
          <w:szCs w:val="24"/>
        </w:rPr>
        <w:t>Explanation of the compelling factors such as time or economic factors which prevent such system from achieving compliance;</w:t>
      </w:r>
    </w:p>
    <w:p w14:paraId="281A0B7C" w14:textId="77777777" w:rsidR="004647B9" w:rsidRDefault="00E2436F" w:rsidP="00B56E9B">
      <w:pPr>
        <w:numPr>
          <w:ilvl w:val="1"/>
          <w:numId w:val="456"/>
        </w:numPr>
        <w:tabs>
          <w:tab w:val="left" w:pos="2020"/>
        </w:tabs>
        <w:ind w:left="2020" w:hanging="465"/>
        <w:rPr>
          <w:rFonts w:eastAsia="Times New Roman"/>
          <w:sz w:val="24"/>
          <w:szCs w:val="24"/>
        </w:rPr>
      </w:pPr>
      <w:r>
        <w:rPr>
          <w:rFonts w:eastAsia="Times New Roman"/>
          <w:sz w:val="24"/>
          <w:szCs w:val="24"/>
        </w:rPr>
        <w:t>Other information, if any, believed by the applicant to be pertinent to the application;</w:t>
      </w:r>
    </w:p>
    <w:p w14:paraId="281A0B7E" w14:textId="77777777" w:rsidR="004647B9" w:rsidRDefault="00E2436F" w:rsidP="00B56E9B">
      <w:pPr>
        <w:numPr>
          <w:ilvl w:val="1"/>
          <w:numId w:val="456"/>
        </w:numPr>
        <w:tabs>
          <w:tab w:val="left" w:pos="1954"/>
        </w:tabs>
        <w:ind w:left="1560" w:hanging="5"/>
        <w:rPr>
          <w:rFonts w:eastAsia="Times New Roman"/>
          <w:sz w:val="24"/>
          <w:szCs w:val="24"/>
        </w:rPr>
      </w:pPr>
      <w:r>
        <w:rPr>
          <w:rFonts w:eastAsia="Times New Roman"/>
          <w:sz w:val="24"/>
          <w:szCs w:val="24"/>
        </w:rPr>
        <w:t>A proposed compliance schedule, including the date when each step toward compliance will be achieved;</w:t>
      </w:r>
    </w:p>
    <w:p w14:paraId="281A0B80" w14:textId="77777777" w:rsidR="004647B9" w:rsidRDefault="00E2436F" w:rsidP="00B56E9B">
      <w:pPr>
        <w:numPr>
          <w:ilvl w:val="1"/>
          <w:numId w:val="456"/>
        </w:numPr>
        <w:tabs>
          <w:tab w:val="left" w:pos="1980"/>
        </w:tabs>
        <w:ind w:left="1980" w:hanging="425"/>
        <w:rPr>
          <w:rFonts w:eastAsia="Times New Roman"/>
          <w:sz w:val="24"/>
          <w:szCs w:val="24"/>
        </w:rPr>
      </w:pPr>
      <w:r>
        <w:rPr>
          <w:rFonts w:eastAsia="Times New Roman"/>
          <w:sz w:val="24"/>
          <w:szCs w:val="24"/>
        </w:rPr>
        <w:t>Such other information as the Department my require.</w:t>
      </w:r>
    </w:p>
    <w:p w14:paraId="281A0B81" w14:textId="77777777" w:rsidR="004647B9" w:rsidRDefault="004647B9" w:rsidP="00B56E9B">
      <w:pPr>
        <w:rPr>
          <w:rFonts w:eastAsia="Times New Roman"/>
          <w:sz w:val="24"/>
          <w:szCs w:val="24"/>
        </w:rPr>
      </w:pPr>
    </w:p>
    <w:p w14:paraId="281A0B82" w14:textId="77777777" w:rsidR="004647B9" w:rsidRDefault="00E2436F" w:rsidP="00B56E9B">
      <w:pPr>
        <w:numPr>
          <w:ilvl w:val="0"/>
          <w:numId w:val="456"/>
        </w:numPr>
        <w:tabs>
          <w:tab w:val="left" w:pos="1631"/>
        </w:tabs>
        <w:ind w:left="1200"/>
        <w:rPr>
          <w:rFonts w:eastAsia="Times New Roman"/>
          <w:sz w:val="24"/>
          <w:szCs w:val="24"/>
        </w:rPr>
      </w:pPr>
      <w:r>
        <w:rPr>
          <w:rFonts w:eastAsia="Times New Roman"/>
          <w:sz w:val="24"/>
          <w:szCs w:val="24"/>
        </w:rPr>
        <w:t>The Department shall act on any exemption request submitted pursuant to 310 CMR 22.14 within 90 days of receipt of the request.</w:t>
      </w:r>
    </w:p>
    <w:p w14:paraId="281A0B83" w14:textId="77777777" w:rsidR="004647B9" w:rsidRDefault="004647B9" w:rsidP="00B56E9B">
      <w:pPr>
        <w:rPr>
          <w:rFonts w:eastAsia="Times New Roman"/>
          <w:sz w:val="24"/>
          <w:szCs w:val="24"/>
        </w:rPr>
      </w:pPr>
    </w:p>
    <w:p w14:paraId="281A0B84" w14:textId="77777777" w:rsidR="004647B9" w:rsidRDefault="00E2436F" w:rsidP="00B56E9B">
      <w:pPr>
        <w:numPr>
          <w:ilvl w:val="0"/>
          <w:numId w:val="456"/>
        </w:numPr>
        <w:tabs>
          <w:tab w:val="left" w:pos="1649"/>
        </w:tabs>
        <w:ind w:left="1200"/>
        <w:jc w:val="both"/>
        <w:rPr>
          <w:rFonts w:eastAsia="Times New Roman"/>
          <w:sz w:val="24"/>
          <w:szCs w:val="24"/>
        </w:rPr>
      </w:pPr>
      <w:r>
        <w:rPr>
          <w:rFonts w:eastAsia="Times New Roman"/>
          <w:sz w:val="24"/>
          <w:szCs w:val="24"/>
        </w:rPr>
        <w:t>In the Department’s consideration of whether the public water system is unable to comply due to compelling factors pursuant to 310 CMR 22.14, the Department shall consider such factors as the following:</w:t>
      </w:r>
    </w:p>
    <w:p w14:paraId="281A0B85" w14:textId="77777777" w:rsidR="004647B9" w:rsidRDefault="004647B9" w:rsidP="00B56E9B">
      <w:pPr>
        <w:sectPr w:rsidR="004647B9" w:rsidSect="00EF630C">
          <w:pgSz w:w="12240" w:h="20180"/>
          <w:pgMar w:top="708" w:right="1440" w:bottom="1085" w:left="600" w:header="0" w:footer="0" w:gutter="0"/>
          <w:cols w:space="720"/>
        </w:sectPr>
      </w:pPr>
    </w:p>
    <w:p w14:paraId="281A0B86" w14:textId="77777777" w:rsidR="004647B9" w:rsidRDefault="00E2436F">
      <w:pPr>
        <w:tabs>
          <w:tab w:val="left" w:pos="160"/>
        </w:tabs>
        <w:jc w:val="center"/>
        <w:rPr>
          <w:sz w:val="20"/>
          <w:szCs w:val="20"/>
        </w:rPr>
      </w:pPr>
      <w:bookmarkStart w:id="176" w:name="page178"/>
      <w:bookmarkEnd w:id="17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B87" w14:textId="77777777" w:rsidR="004647B9" w:rsidRDefault="004647B9" w:rsidP="000B0315">
      <w:pPr>
        <w:rPr>
          <w:sz w:val="20"/>
          <w:szCs w:val="20"/>
        </w:rPr>
      </w:pPr>
    </w:p>
    <w:p w14:paraId="281A0B88" w14:textId="77777777" w:rsidR="004647B9" w:rsidRDefault="004647B9" w:rsidP="000B0315">
      <w:pPr>
        <w:rPr>
          <w:sz w:val="20"/>
          <w:szCs w:val="20"/>
        </w:rPr>
      </w:pPr>
    </w:p>
    <w:p w14:paraId="281A0B89" w14:textId="77777777" w:rsidR="004647B9" w:rsidRDefault="00E2436F" w:rsidP="000B0315">
      <w:pPr>
        <w:tabs>
          <w:tab w:val="left" w:pos="760"/>
        </w:tabs>
        <w:rPr>
          <w:sz w:val="20"/>
          <w:szCs w:val="20"/>
        </w:rPr>
      </w:pPr>
      <w:r>
        <w:rPr>
          <w:rFonts w:eastAsia="Times New Roman"/>
          <w:sz w:val="24"/>
          <w:szCs w:val="24"/>
        </w:rPr>
        <w:t>22.14:</w:t>
      </w:r>
      <w:r>
        <w:rPr>
          <w:rFonts w:eastAsia="Times New Roman"/>
          <w:sz w:val="24"/>
          <w:szCs w:val="24"/>
        </w:rPr>
        <w:tab/>
        <w:t>continued</w:t>
      </w:r>
    </w:p>
    <w:p w14:paraId="281A0B8A" w14:textId="77777777" w:rsidR="004647B9" w:rsidRDefault="004647B9" w:rsidP="000B0315">
      <w:pPr>
        <w:rPr>
          <w:sz w:val="20"/>
          <w:szCs w:val="20"/>
        </w:rPr>
      </w:pPr>
    </w:p>
    <w:p w14:paraId="281A0B8B" w14:textId="77777777" w:rsidR="004647B9" w:rsidRPr="00764311" w:rsidRDefault="00E2436F" w:rsidP="000B0315">
      <w:pPr>
        <w:numPr>
          <w:ilvl w:val="1"/>
          <w:numId w:val="457"/>
        </w:numPr>
        <w:tabs>
          <w:tab w:val="left" w:pos="2120"/>
        </w:tabs>
        <w:ind w:left="2120" w:hanging="565"/>
        <w:rPr>
          <w:rFonts w:eastAsia="Times New Roman"/>
          <w:sz w:val="24"/>
          <w:szCs w:val="24"/>
        </w:rPr>
      </w:pPr>
      <w:r w:rsidRPr="00764311">
        <w:rPr>
          <w:rFonts w:eastAsia="Times New Roman"/>
          <w:sz w:val="24"/>
          <w:szCs w:val="24"/>
        </w:rPr>
        <w:t>Construction, installation, or modification of the treatment equipment or system;</w:t>
      </w:r>
    </w:p>
    <w:p w14:paraId="281A0B8D" w14:textId="34105714" w:rsidR="004647B9" w:rsidRPr="00764311" w:rsidRDefault="00E2436F" w:rsidP="000B0315">
      <w:pPr>
        <w:numPr>
          <w:ilvl w:val="1"/>
          <w:numId w:val="457"/>
        </w:numPr>
        <w:tabs>
          <w:tab w:val="left" w:pos="2041"/>
        </w:tabs>
        <w:ind w:left="1560" w:hanging="5"/>
        <w:rPr>
          <w:rFonts w:eastAsia="Times New Roman"/>
          <w:sz w:val="24"/>
          <w:szCs w:val="24"/>
        </w:rPr>
      </w:pPr>
      <w:r w:rsidRPr="00764311">
        <w:rPr>
          <w:rFonts w:eastAsia="Times New Roman"/>
          <w:sz w:val="24"/>
          <w:szCs w:val="24"/>
        </w:rPr>
        <w:t xml:space="preserve">The time needed to put into operation a new treatment facility to replace an existing system </w:t>
      </w:r>
      <w:r w:rsidR="00144730">
        <w:rPr>
          <w:rFonts w:eastAsia="Times New Roman"/>
          <w:sz w:val="24"/>
          <w:szCs w:val="24"/>
        </w:rPr>
        <w:t>that</w:t>
      </w:r>
      <w:r w:rsidRPr="00764311">
        <w:rPr>
          <w:rFonts w:eastAsia="Times New Roman"/>
          <w:sz w:val="24"/>
          <w:szCs w:val="24"/>
        </w:rPr>
        <w:t xml:space="preserve"> is not in compliance;</w:t>
      </w:r>
    </w:p>
    <w:p w14:paraId="281A0B8F" w14:textId="77777777" w:rsidR="004647B9" w:rsidRPr="00764311" w:rsidRDefault="00E2436F" w:rsidP="000B0315">
      <w:pPr>
        <w:numPr>
          <w:ilvl w:val="1"/>
          <w:numId w:val="457"/>
        </w:numPr>
        <w:tabs>
          <w:tab w:val="left" w:pos="2000"/>
        </w:tabs>
        <w:ind w:left="2000" w:hanging="445"/>
        <w:rPr>
          <w:rFonts w:eastAsia="Times New Roman"/>
          <w:sz w:val="24"/>
          <w:szCs w:val="24"/>
        </w:rPr>
      </w:pPr>
      <w:r w:rsidRPr="00764311">
        <w:rPr>
          <w:rFonts w:eastAsia="Times New Roman"/>
          <w:sz w:val="24"/>
          <w:szCs w:val="24"/>
        </w:rPr>
        <w:t>Economic feasibility of compliance.</w:t>
      </w:r>
    </w:p>
    <w:p w14:paraId="281A0B90" w14:textId="77777777" w:rsidR="004647B9" w:rsidRPr="00764311" w:rsidRDefault="004647B9" w:rsidP="000B0315">
      <w:pPr>
        <w:rPr>
          <w:rFonts w:eastAsia="Times New Roman"/>
          <w:sz w:val="24"/>
          <w:szCs w:val="24"/>
        </w:rPr>
      </w:pPr>
    </w:p>
    <w:p w14:paraId="281A0B91" w14:textId="77777777" w:rsidR="004647B9" w:rsidRPr="00764311" w:rsidRDefault="00E2436F" w:rsidP="000B0315">
      <w:pPr>
        <w:numPr>
          <w:ilvl w:val="0"/>
          <w:numId w:val="458"/>
        </w:numPr>
        <w:tabs>
          <w:tab w:val="left" w:pos="1660"/>
        </w:tabs>
        <w:ind w:left="1200"/>
        <w:jc w:val="both"/>
        <w:rPr>
          <w:rFonts w:eastAsia="Times New Roman"/>
          <w:sz w:val="24"/>
          <w:szCs w:val="24"/>
        </w:rPr>
      </w:pPr>
      <w:r w:rsidRPr="00764311">
        <w:rPr>
          <w:rFonts w:eastAsia="Times New Roman"/>
          <w:sz w:val="24"/>
          <w:szCs w:val="24"/>
        </w:rPr>
        <w:t>If the Department decides to deny the application for an exemption, the Department shall notify the applicant in writing of the Department’s intention to issue a denial. Such notice shall include a statement of reasons for the proposed denial, and shall offer the applicant an opportunity to present, within 30 days of receipt of the notice, additional information or argument in writing to the Department. The Department shall make a final determination on the request within 30 days after receiving any such additional written information or argument. If no additional information or argument is submitted by the applicant in writing to the Department, the application shall be denied.</w:t>
      </w:r>
    </w:p>
    <w:p w14:paraId="281A0B92" w14:textId="77777777" w:rsidR="004647B9" w:rsidRPr="00764311" w:rsidRDefault="004647B9" w:rsidP="000B0315">
      <w:pPr>
        <w:rPr>
          <w:rFonts w:eastAsia="Times New Roman"/>
          <w:sz w:val="24"/>
          <w:szCs w:val="24"/>
        </w:rPr>
      </w:pPr>
    </w:p>
    <w:p w14:paraId="281A0B93" w14:textId="77777777" w:rsidR="004647B9" w:rsidRPr="00764311" w:rsidRDefault="00E2436F" w:rsidP="000B0315">
      <w:pPr>
        <w:numPr>
          <w:ilvl w:val="0"/>
          <w:numId w:val="458"/>
        </w:numPr>
        <w:tabs>
          <w:tab w:val="left" w:pos="1645"/>
        </w:tabs>
        <w:ind w:left="1200"/>
        <w:jc w:val="both"/>
        <w:rPr>
          <w:rFonts w:eastAsia="Times New Roman"/>
          <w:sz w:val="24"/>
          <w:szCs w:val="24"/>
        </w:rPr>
      </w:pPr>
      <w:r w:rsidRPr="00764311">
        <w:rPr>
          <w:rFonts w:eastAsia="Times New Roman"/>
          <w:sz w:val="24"/>
          <w:szCs w:val="24"/>
        </w:rPr>
        <w:t>If the Department grants an exemption request submitted pursuant to 310 CMR 22.14, the Department shall notify the applicant of the Department’s decision in writing. Such notice shall identify the facility covered, and shall specify the termination date of the exemption. Such notice shall provide that the exemption will be terminated when the system comes into compliance with the applicable regulation, and may be terminated upon a finding by the Department that the system has failed to comply with any requirements of the final schedule issued pursuant to 310 CMR 22.14.</w:t>
      </w:r>
    </w:p>
    <w:p w14:paraId="281A0B94" w14:textId="77777777" w:rsidR="004647B9" w:rsidRPr="00764311" w:rsidRDefault="004647B9" w:rsidP="000B0315">
      <w:pPr>
        <w:rPr>
          <w:rFonts w:eastAsia="Times New Roman"/>
          <w:sz w:val="24"/>
          <w:szCs w:val="24"/>
        </w:rPr>
      </w:pPr>
    </w:p>
    <w:p w14:paraId="281A0B95" w14:textId="77777777" w:rsidR="004647B9" w:rsidRPr="00764311" w:rsidRDefault="00E2436F" w:rsidP="000B0315">
      <w:pPr>
        <w:numPr>
          <w:ilvl w:val="0"/>
          <w:numId w:val="458"/>
        </w:numPr>
        <w:tabs>
          <w:tab w:val="left" w:pos="1780"/>
        </w:tabs>
        <w:ind w:left="1780" w:hanging="580"/>
        <w:rPr>
          <w:rFonts w:eastAsia="Times New Roman"/>
          <w:sz w:val="24"/>
          <w:szCs w:val="24"/>
        </w:rPr>
      </w:pPr>
      <w:r w:rsidRPr="00764311">
        <w:rPr>
          <w:rFonts w:eastAsia="Times New Roman"/>
          <w:sz w:val="24"/>
          <w:szCs w:val="24"/>
        </w:rPr>
        <w:t>The Department shall propose a schedule for:</w:t>
      </w:r>
    </w:p>
    <w:p w14:paraId="281A0B97" w14:textId="77777777" w:rsidR="004647B9" w:rsidRPr="00764311" w:rsidRDefault="00E2436F" w:rsidP="000B0315">
      <w:pPr>
        <w:numPr>
          <w:ilvl w:val="1"/>
          <w:numId w:val="458"/>
        </w:numPr>
        <w:tabs>
          <w:tab w:val="left" w:pos="2066"/>
        </w:tabs>
        <w:ind w:left="1560" w:hanging="5"/>
        <w:jc w:val="both"/>
        <w:rPr>
          <w:rFonts w:eastAsia="Times New Roman"/>
          <w:sz w:val="24"/>
          <w:szCs w:val="24"/>
        </w:rPr>
      </w:pPr>
      <w:r w:rsidRPr="00764311">
        <w:rPr>
          <w:rFonts w:eastAsia="Times New Roman"/>
          <w:sz w:val="24"/>
          <w:szCs w:val="24"/>
        </w:rPr>
        <w:t>Compliance, including increments of progress or measure to develop an alternative source of water supply, by the public water system with each maximum contaminant level requirement and treatment technique requirement with respect to which the exemption was granted; and</w:t>
      </w:r>
    </w:p>
    <w:p w14:paraId="281A0B99" w14:textId="77777777" w:rsidR="004647B9" w:rsidRPr="00764311" w:rsidRDefault="00E2436F" w:rsidP="000B0315">
      <w:pPr>
        <w:numPr>
          <w:ilvl w:val="1"/>
          <w:numId w:val="458"/>
        </w:numPr>
        <w:tabs>
          <w:tab w:val="left" w:pos="1969"/>
        </w:tabs>
        <w:ind w:left="1560" w:hanging="5"/>
        <w:jc w:val="both"/>
        <w:rPr>
          <w:rFonts w:eastAsia="Times New Roman"/>
          <w:sz w:val="24"/>
          <w:szCs w:val="24"/>
        </w:rPr>
      </w:pPr>
      <w:r w:rsidRPr="00764311">
        <w:rPr>
          <w:rFonts w:eastAsia="Times New Roman"/>
          <w:sz w:val="24"/>
          <w:szCs w:val="24"/>
        </w:rPr>
        <w:t>Implementation by the public water system of such control measures, as the Department may require for each contaminant, subject to the maximum contaminant level requirement or treatment technique requirement, during the period ending on the date compliance with such requirement is required.</w:t>
      </w:r>
    </w:p>
    <w:p w14:paraId="281A0B9A" w14:textId="77777777" w:rsidR="004647B9" w:rsidRPr="00764311" w:rsidRDefault="004647B9" w:rsidP="000B0315">
      <w:pPr>
        <w:rPr>
          <w:rFonts w:eastAsia="Times New Roman"/>
          <w:sz w:val="24"/>
          <w:szCs w:val="24"/>
        </w:rPr>
      </w:pPr>
    </w:p>
    <w:p w14:paraId="281A0B9B" w14:textId="77777777" w:rsidR="004647B9" w:rsidRPr="00764311" w:rsidRDefault="00E2436F" w:rsidP="000B0315">
      <w:pPr>
        <w:numPr>
          <w:ilvl w:val="0"/>
          <w:numId w:val="458"/>
        </w:numPr>
        <w:tabs>
          <w:tab w:val="left" w:pos="1765"/>
        </w:tabs>
        <w:ind w:left="1200"/>
        <w:rPr>
          <w:rFonts w:eastAsia="Times New Roman"/>
          <w:sz w:val="24"/>
          <w:szCs w:val="24"/>
        </w:rPr>
      </w:pPr>
      <w:r w:rsidRPr="00764311">
        <w:rPr>
          <w:rFonts w:eastAsia="Times New Roman"/>
          <w:sz w:val="24"/>
          <w:szCs w:val="24"/>
        </w:rPr>
        <w:t>The schedule shall be prescribed by the Department at the time the exemption is granted, in accordance with provision of opportunity for a hearing pursuant to 310 CMR 22.14(12).</w:t>
      </w:r>
    </w:p>
    <w:p w14:paraId="281A0B9C" w14:textId="77777777" w:rsidR="004647B9" w:rsidRPr="00764311" w:rsidRDefault="004647B9" w:rsidP="000B0315">
      <w:pPr>
        <w:rPr>
          <w:rFonts w:eastAsia="Times New Roman"/>
          <w:sz w:val="24"/>
          <w:szCs w:val="24"/>
        </w:rPr>
      </w:pPr>
    </w:p>
    <w:p w14:paraId="281A0B9D" w14:textId="77777777" w:rsidR="004647B9" w:rsidRPr="00764311" w:rsidRDefault="00E2436F" w:rsidP="000B0315">
      <w:pPr>
        <w:numPr>
          <w:ilvl w:val="0"/>
          <w:numId w:val="458"/>
        </w:numPr>
        <w:tabs>
          <w:tab w:val="left" w:pos="1737"/>
        </w:tabs>
        <w:ind w:left="1200"/>
        <w:jc w:val="both"/>
        <w:rPr>
          <w:rFonts w:eastAsia="Times New Roman"/>
          <w:sz w:val="24"/>
          <w:szCs w:val="24"/>
        </w:rPr>
      </w:pPr>
      <w:r w:rsidRPr="00764311">
        <w:rPr>
          <w:rFonts w:eastAsia="Times New Roman"/>
          <w:sz w:val="24"/>
          <w:szCs w:val="24"/>
        </w:rPr>
        <w:t>Before a schedule proposed by the Department pursuant to 310 CMR 22.14(11) may take effect the Department shall provide notice and opportunity for a public hearing on the schedule.</w:t>
      </w:r>
    </w:p>
    <w:p w14:paraId="281A0B9F" w14:textId="77777777" w:rsidR="004647B9" w:rsidRPr="00764311" w:rsidRDefault="00E2436F" w:rsidP="000B0315">
      <w:pPr>
        <w:numPr>
          <w:ilvl w:val="1"/>
          <w:numId w:val="458"/>
        </w:numPr>
        <w:tabs>
          <w:tab w:val="left" w:pos="1954"/>
        </w:tabs>
        <w:ind w:left="1560" w:hanging="5"/>
        <w:jc w:val="both"/>
        <w:rPr>
          <w:rFonts w:eastAsia="Times New Roman"/>
          <w:sz w:val="24"/>
          <w:szCs w:val="24"/>
        </w:rPr>
      </w:pPr>
      <w:r w:rsidRPr="00764311">
        <w:rPr>
          <w:rFonts w:eastAsia="Times New Roman"/>
          <w:sz w:val="24"/>
          <w:szCs w:val="24"/>
        </w:rPr>
        <w:t>Public notice of an opportunity for hearing on an exemption schedule shall be circulated in a manner designed to inform interested and potentially interested persons of the proposed schedule, and shall include a least the following:</w:t>
      </w:r>
    </w:p>
    <w:p w14:paraId="281A0BA1" w14:textId="77777777" w:rsidR="004647B9" w:rsidRPr="00764311" w:rsidRDefault="00E2436F" w:rsidP="000B0315">
      <w:pPr>
        <w:numPr>
          <w:ilvl w:val="2"/>
          <w:numId w:val="458"/>
        </w:numPr>
        <w:tabs>
          <w:tab w:val="left" w:pos="2254"/>
        </w:tabs>
        <w:ind w:left="1920" w:hanging="5"/>
        <w:jc w:val="both"/>
        <w:rPr>
          <w:rFonts w:eastAsia="Times New Roman"/>
          <w:sz w:val="24"/>
          <w:szCs w:val="24"/>
        </w:rPr>
      </w:pPr>
      <w:r w:rsidRPr="00764311">
        <w:rPr>
          <w:rFonts w:eastAsia="Times New Roman"/>
          <w:sz w:val="24"/>
          <w:szCs w:val="24"/>
        </w:rPr>
        <w:t>Posting of a notice in the principal post office of each municipality or area served by the public water system, and publishing of a notice in a newspaper or newspapers of general circulation in the area served by the public water system.</w:t>
      </w:r>
    </w:p>
    <w:p w14:paraId="281A0BA3" w14:textId="77777777" w:rsidR="004647B9" w:rsidRPr="00764311" w:rsidRDefault="00E2436F" w:rsidP="000B0315">
      <w:pPr>
        <w:numPr>
          <w:ilvl w:val="2"/>
          <w:numId w:val="458"/>
        </w:numPr>
        <w:tabs>
          <w:tab w:val="left" w:pos="2258"/>
        </w:tabs>
        <w:ind w:left="1920" w:hanging="5"/>
        <w:jc w:val="both"/>
        <w:rPr>
          <w:rFonts w:eastAsia="Times New Roman"/>
          <w:sz w:val="24"/>
          <w:szCs w:val="24"/>
        </w:rPr>
      </w:pPr>
      <w:r w:rsidRPr="00764311">
        <w:rPr>
          <w:rFonts w:eastAsia="Times New Roman"/>
          <w:sz w:val="24"/>
          <w:szCs w:val="24"/>
        </w:rPr>
        <w:t>Mailing of a notice to the, the Massachusetts Department of Public Health, the local or regional public health agency in which the system is located and to other appropriate State or local agencies at the Department's discretion.</w:t>
      </w:r>
    </w:p>
    <w:p w14:paraId="281A0BA5" w14:textId="77777777" w:rsidR="004647B9" w:rsidRPr="00764311" w:rsidRDefault="00E2436F" w:rsidP="000B0315">
      <w:pPr>
        <w:numPr>
          <w:ilvl w:val="2"/>
          <w:numId w:val="458"/>
        </w:numPr>
        <w:tabs>
          <w:tab w:val="left" w:pos="2323"/>
        </w:tabs>
        <w:ind w:left="1920" w:hanging="5"/>
        <w:rPr>
          <w:rFonts w:eastAsia="Times New Roman"/>
          <w:sz w:val="24"/>
          <w:szCs w:val="24"/>
        </w:rPr>
      </w:pPr>
      <w:r w:rsidRPr="00764311">
        <w:rPr>
          <w:rFonts w:eastAsia="Times New Roman"/>
          <w:sz w:val="24"/>
          <w:szCs w:val="24"/>
        </w:rPr>
        <w:t>Such notices shall include a summary of the proposed schedule and shall inform interested persons that they may request a public hearing on the proposed schedule.</w:t>
      </w:r>
    </w:p>
    <w:p w14:paraId="281A0BA7" w14:textId="77777777" w:rsidR="004647B9" w:rsidRPr="00764311" w:rsidRDefault="00E2436F" w:rsidP="000B0315">
      <w:pPr>
        <w:numPr>
          <w:ilvl w:val="1"/>
          <w:numId w:val="458"/>
        </w:numPr>
        <w:tabs>
          <w:tab w:val="left" w:pos="2121"/>
        </w:tabs>
        <w:ind w:left="1560" w:hanging="5"/>
        <w:jc w:val="both"/>
        <w:rPr>
          <w:rFonts w:eastAsia="Times New Roman"/>
          <w:sz w:val="24"/>
          <w:szCs w:val="24"/>
        </w:rPr>
      </w:pPr>
      <w:r w:rsidRPr="00764311">
        <w:rPr>
          <w:rFonts w:eastAsia="Times New Roman"/>
          <w:sz w:val="24"/>
          <w:szCs w:val="24"/>
        </w:rPr>
        <w:t>Requests for a hearing may be submitted by any interested person. Frivolous or insubstantial request for hearing may be denied by the Department. Request must be submitted to the Department within 30 days after issuance of the public notices provided for in 310 CMR 22.14(12)(a). Such request shall include the following:</w:t>
      </w:r>
    </w:p>
    <w:p w14:paraId="281A0BA9" w14:textId="77777777" w:rsidR="004647B9" w:rsidRPr="00764311" w:rsidRDefault="00E2436F" w:rsidP="000B0315">
      <w:pPr>
        <w:numPr>
          <w:ilvl w:val="2"/>
          <w:numId w:val="458"/>
        </w:numPr>
        <w:tabs>
          <w:tab w:val="left" w:pos="2316"/>
        </w:tabs>
        <w:ind w:left="1920" w:hanging="5"/>
        <w:rPr>
          <w:rFonts w:eastAsia="Times New Roman"/>
          <w:sz w:val="24"/>
          <w:szCs w:val="24"/>
        </w:rPr>
      </w:pPr>
      <w:r w:rsidRPr="00764311">
        <w:rPr>
          <w:rFonts w:eastAsia="Times New Roman"/>
          <w:sz w:val="24"/>
          <w:szCs w:val="24"/>
        </w:rPr>
        <w:t>The name, address and telephone number of the individual, organization or other entity requesting a hearing;</w:t>
      </w:r>
    </w:p>
    <w:p w14:paraId="281A0BAB" w14:textId="77777777" w:rsidR="004647B9" w:rsidRPr="00764311" w:rsidRDefault="00E2436F" w:rsidP="000B0315">
      <w:pPr>
        <w:numPr>
          <w:ilvl w:val="2"/>
          <w:numId w:val="458"/>
        </w:numPr>
        <w:tabs>
          <w:tab w:val="left" w:pos="2302"/>
        </w:tabs>
        <w:ind w:left="1920" w:hanging="5"/>
        <w:jc w:val="both"/>
        <w:rPr>
          <w:rFonts w:eastAsia="Times New Roman"/>
          <w:sz w:val="24"/>
          <w:szCs w:val="24"/>
        </w:rPr>
      </w:pPr>
      <w:r w:rsidRPr="00764311">
        <w:rPr>
          <w:rFonts w:eastAsia="Times New Roman"/>
          <w:sz w:val="24"/>
          <w:szCs w:val="24"/>
        </w:rPr>
        <w:t>A brief statement of the interest of the person making the request in the proposed schedule and of the information that the requesting person intends to submit at such hearing; and</w:t>
      </w:r>
    </w:p>
    <w:p w14:paraId="281A0BAC" w14:textId="77777777" w:rsidR="004647B9" w:rsidRDefault="004647B9" w:rsidP="000B0315">
      <w:pPr>
        <w:sectPr w:rsidR="004647B9" w:rsidSect="00EF630C">
          <w:pgSz w:w="12240" w:h="20180"/>
          <w:pgMar w:top="708" w:right="1440" w:bottom="1440" w:left="600" w:header="0" w:footer="0" w:gutter="0"/>
          <w:cols w:space="720"/>
        </w:sectPr>
      </w:pPr>
    </w:p>
    <w:p w14:paraId="281A0BAD" w14:textId="77777777" w:rsidR="004647B9" w:rsidRDefault="00E2436F">
      <w:pPr>
        <w:tabs>
          <w:tab w:val="left" w:pos="160"/>
        </w:tabs>
        <w:jc w:val="center"/>
        <w:rPr>
          <w:sz w:val="20"/>
          <w:szCs w:val="20"/>
        </w:rPr>
      </w:pPr>
      <w:bookmarkStart w:id="177" w:name="page179"/>
      <w:bookmarkEnd w:id="17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BAE" w14:textId="77777777" w:rsidR="004647B9" w:rsidRDefault="004647B9" w:rsidP="00FF13C0">
      <w:pPr>
        <w:rPr>
          <w:sz w:val="20"/>
          <w:szCs w:val="20"/>
        </w:rPr>
      </w:pPr>
    </w:p>
    <w:p w14:paraId="281A0BAF" w14:textId="77777777" w:rsidR="004647B9" w:rsidRDefault="004647B9" w:rsidP="00FF13C0">
      <w:pPr>
        <w:rPr>
          <w:sz w:val="20"/>
          <w:szCs w:val="20"/>
        </w:rPr>
      </w:pPr>
    </w:p>
    <w:p w14:paraId="281A0BB0" w14:textId="77777777" w:rsidR="004647B9" w:rsidRPr="00764311" w:rsidRDefault="00E2436F" w:rsidP="00FF13C0">
      <w:pPr>
        <w:tabs>
          <w:tab w:val="left" w:pos="760"/>
        </w:tabs>
        <w:rPr>
          <w:sz w:val="24"/>
          <w:szCs w:val="24"/>
        </w:rPr>
      </w:pPr>
      <w:r w:rsidRPr="00764311">
        <w:rPr>
          <w:rFonts w:eastAsia="Times New Roman"/>
          <w:sz w:val="24"/>
          <w:szCs w:val="24"/>
        </w:rPr>
        <w:t>22.14:</w:t>
      </w:r>
      <w:r w:rsidRPr="00764311">
        <w:rPr>
          <w:rFonts w:eastAsia="Times New Roman"/>
          <w:sz w:val="24"/>
          <w:szCs w:val="24"/>
        </w:rPr>
        <w:tab/>
        <w:t>continued</w:t>
      </w:r>
    </w:p>
    <w:p w14:paraId="281A0BB1" w14:textId="77777777" w:rsidR="004647B9" w:rsidRPr="00FF13C0" w:rsidRDefault="004647B9" w:rsidP="00FF13C0">
      <w:pPr>
        <w:rPr>
          <w:sz w:val="20"/>
          <w:szCs w:val="20"/>
        </w:rPr>
      </w:pPr>
    </w:p>
    <w:p w14:paraId="281A0BB2" w14:textId="77777777" w:rsidR="004647B9" w:rsidRPr="00764311" w:rsidRDefault="00E2436F" w:rsidP="00FF13C0">
      <w:pPr>
        <w:numPr>
          <w:ilvl w:val="2"/>
          <w:numId w:val="459"/>
        </w:numPr>
        <w:tabs>
          <w:tab w:val="left" w:pos="2340"/>
        </w:tabs>
        <w:ind w:left="1920" w:hanging="5"/>
        <w:jc w:val="both"/>
        <w:rPr>
          <w:rFonts w:eastAsia="Times New Roman"/>
          <w:sz w:val="24"/>
          <w:szCs w:val="24"/>
        </w:rPr>
      </w:pPr>
      <w:r w:rsidRPr="00764311">
        <w:rPr>
          <w:rFonts w:eastAsia="Times New Roman"/>
          <w:sz w:val="24"/>
          <w:szCs w:val="24"/>
        </w:rPr>
        <w:t>The signature of the individual making the request, or, if the request is made on behalf of an organization or other entity, the signature of a responsible official of the organization or other entity.</w:t>
      </w:r>
    </w:p>
    <w:p w14:paraId="281A0BB3" w14:textId="238B27D2" w:rsidR="004647B9" w:rsidRPr="00764311" w:rsidRDefault="00E2436F" w:rsidP="00FF13C0">
      <w:pPr>
        <w:numPr>
          <w:ilvl w:val="1"/>
          <w:numId w:val="460"/>
        </w:numPr>
        <w:tabs>
          <w:tab w:val="left" w:pos="1997"/>
        </w:tabs>
        <w:ind w:left="1560" w:hanging="5"/>
        <w:jc w:val="both"/>
        <w:rPr>
          <w:rFonts w:eastAsia="Times New Roman"/>
          <w:sz w:val="24"/>
          <w:szCs w:val="24"/>
        </w:rPr>
      </w:pPr>
      <w:r w:rsidRPr="00764311">
        <w:rPr>
          <w:rFonts w:eastAsia="Times New Roman"/>
          <w:sz w:val="24"/>
          <w:szCs w:val="24"/>
        </w:rPr>
        <w:t xml:space="preserve">The Department shall give notice in the manner set forth in 310 CMR 22.14(12)(b) of any hearing to be held pursuant to a request submitted by an interested person or on his own motion. Notice of the hearing shall also be sent to the person requesting the hearing, </w:t>
      </w:r>
      <w:r w:rsidR="00B97CF2" w:rsidRPr="00764311">
        <w:rPr>
          <w:rFonts w:eastAsia="Times New Roman"/>
          <w:sz w:val="24"/>
          <w:szCs w:val="24"/>
        </w:rPr>
        <w:t>i</w:t>
      </w:r>
      <w:r w:rsidR="00B97CF2">
        <w:rPr>
          <w:rFonts w:eastAsia="Times New Roman"/>
          <w:sz w:val="24"/>
          <w:szCs w:val="24"/>
        </w:rPr>
        <w:t>f</w:t>
      </w:r>
      <w:r w:rsidR="00B97CF2" w:rsidRPr="00764311">
        <w:rPr>
          <w:rFonts w:eastAsia="Times New Roman"/>
          <w:sz w:val="24"/>
          <w:szCs w:val="24"/>
        </w:rPr>
        <w:t xml:space="preserve"> </w:t>
      </w:r>
      <w:r w:rsidRPr="00764311">
        <w:rPr>
          <w:rFonts w:eastAsia="Times New Roman"/>
          <w:sz w:val="24"/>
          <w:szCs w:val="24"/>
        </w:rPr>
        <w:t>any</w:t>
      </w:r>
      <w:r w:rsidR="0075351E">
        <w:rPr>
          <w:rFonts w:eastAsia="Times New Roman"/>
          <w:sz w:val="24"/>
          <w:szCs w:val="24"/>
        </w:rPr>
        <w:t>.</w:t>
      </w:r>
      <w:r w:rsidRPr="00764311">
        <w:rPr>
          <w:rFonts w:eastAsia="Times New Roman"/>
          <w:sz w:val="24"/>
          <w:szCs w:val="24"/>
        </w:rPr>
        <w:t xml:space="preserve"> Notice of the hearing shall include a statement of the purpose of the hearing, information regarding the time and location of the hearing, and the address and telephone number of an office at which interested persons may obtain further information concerning the hearing. All hearing locations specified in the public notice shall be within the state. Notice of the hearing shall be given not less than 15 days prior to the time scheduled for the hearing.</w:t>
      </w:r>
    </w:p>
    <w:p w14:paraId="281A0BB5" w14:textId="77777777" w:rsidR="004647B9" w:rsidRPr="00764311" w:rsidRDefault="00E2436F" w:rsidP="00FF13C0">
      <w:pPr>
        <w:numPr>
          <w:ilvl w:val="1"/>
          <w:numId w:val="460"/>
        </w:numPr>
        <w:tabs>
          <w:tab w:val="left" w:pos="1954"/>
        </w:tabs>
        <w:ind w:left="1560" w:hanging="5"/>
        <w:jc w:val="both"/>
        <w:rPr>
          <w:rFonts w:eastAsia="Times New Roman"/>
          <w:sz w:val="24"/>
          <w:szCs w:val="24"/>
        </w:rPr>
      </w:pPr>
      <w:r w:rsidRPr="00764311">
        <w:rPr>
          <w:rFonts w:eastAsia="Times New Roman"/>
          <w:sz w:val="24"/>
          <w:szCs w:val="24"/>
        </w:rPr>
        <w:t>A public hearing convened pursuant to 310 CMR 22.14(12)(d) shall be conducted before a hearing officer to be designated by the Department. The hearing shall be conducted by the hearing officer in an informal, orderly and expeditious manner. The hearing officer shall have authority to call witnesses, receive oral and written testimony and take such action as may be necessary to assure the fair and efficient conduct of the hearing. Following the conclusion of the hearing, the hearing officer shall forward the record of the hearing to the Department.</w:t>
      </w:r>
    </w:p>
    <w:p w14:paraId="281A0BB6" w14:textId="77777777" w:rsidR="004647B9" w:rsidRPr="00764311" w:rsidRDefault="004647B9" w:rsidP="00FF13C0">
      <w:pPr>
        <w:rPr>
          <w:rFonts w:eastAsia="Times New Roman"/>
          <w:sz w:val="24"/>
          <w:szCs w:val="24"/>
        </w:rPr>
      </w:pPr>
    </w:p>
    <w:p w14:paraId="281A0BB7" w14:textId="77777777" w:rsidR="004647B9" w:rsidRPr="00764311" w:rsidRDefault="00E2436F" w:rsidP="00FF13C0">
      <w:pPr>
        <w:numPr>
          <w:ilvl w:val="0"/>
          <w:numId w:val="461"/>
        </w:numPr>
        <w:tabs>
          <w:tab w:val="left" w:pos="1765"/>
        </w:tabs>
        <w:ind w:left="1200"/>
        <w:jc w:val="both"/>
        <w:rPr>
          <w:rFonts w:eastAsia="Times New Roman"/>
          <w:sz w:val="24"/>
          <w:szCs w:val="24"/>
        </w:rPr>
      </w:pPr>
      <w:r w:rsidRPr="00764311">
        <w:rPr>
          <w:rFonts w:eastAsia="Times New Roman"/>
          <w:sz w:val="24"/>
          <w:szCs w:val="24"/>
        </w:rPr>
        <w:t>A notice given pursuant to 310 CMR 22.14(12) may cover the granting of more than one exemption or the prescribing of more than one schedule, and a hearing held pursuant to such notice shall include each of the exemptions and schedules covered by the notice.</w:t>
      </w:r>
    </w:p>
    <w:p w14:paraId="281A0BB8" w14:textId="77777777" w:rsidR="004647B9" w:rsidRPr="00764311" w:rsidRDefault="004647B9" w:rsidP="00FF13C0">
      <w:pPr>
        <w:rPr>
          <w:rFonts w:eastAsia="Times New Roman"/>
          <w:sz w:val="24"/>
          <w:szCs w:val="24"/>
        </w:rPr>
      </w:pPr>
    </w:p>
    <w:p w14:paraId="281A0BB9" w14:textId="77777777" w:rsidR="004647B9" w:rsidRPr="00764311" w:rsidRDefault="00E2436F" w:rsidP="00FF13C0">
      <w:pPr>
        <w:numPr>
          <w:ilvl w:val="0"/>
          <w:numId w:val="461"/>
        </w:numPr>
        <w:tabs>
          <w:tab w:val="left" w:pos="1800"/>
        </w:tabs>
        <w:ind w:left="1200"/>
        <w:jc w:val="both"/>
        <w:rPr>
          <w:rFonts w:eastAsia="Times New Roman"/>
          <w:sz w:val="24"/>
          <w:szCs w:val="24"/>
        </w:rPr>
      </w:pPr>
      <w:r w:rsidRPr="00764311">
        <w:rPr>
          <w:rFonts w:eastAsia="Times New Roman"/>
          <w:sz w:val="24"/>
          <w:szCs w:val="24"/>
          <w:u w:val="single"/>
        </w:rPr>
        <w:t>Final Schedule</w:t>
      </w:r>
      <w:r w:rsidRPr="00764311">
        <w:rPr>
          <w:rFonts w:eastAsia="Times New Roman"/>
          <w:sz w:val="24"/>
          <w:szCs w:val="24"/>
        </w:rPr>
        <w:t>. Within 30 days after the termination of the public hearing pursuant to 310 CMR 22.14(12), the Department shall, taking into consideration information obtained during such hearing, revise the proposed schedule as necessary and prescribe the final schedule for compliance and interim measures for the public water system granted an exemption under 310 CMR 22.14.</w:t>
      </w:r>
    </w:p>
    <w:p w14:paraId="281A0BBA" w14:textId="77777777" w:rsidR="004647B9" w:rsidRPr="00764311" w:rsidRDefault="004647B9" w:rsidP="00FF13C0">
      <w:pPr>
        <w:rPr>
          <w:rFonts w:eastAsia="Times New Roman"/>
          <w:sz w:val="24"/>
          <w:szCs w:val="24"/>
        </w:rPr>
      </w:pPr>
    </w:p>
    <w:p w14:paraId="281A0BBB" w14:textId="77777777" w:rsidR="004647B9" w:rsidRPr="00764311" w:rsidRDefault="00E2436F" w:rsidP="00FF13C0">
      <w:pPr>
        <w:numPr>
          <w:ilvl w:val="0"/>
          <w:numId w:val="461"/>
        </w:numPr>
        <w:tabs>
          <w:tab w:val="left" w:pos="1794"/>
        </w:tabs>
        <w:ind w:left="1200"/>
        <w:jc w:val="both"/>
        <w:rPr>
          <w:rFonts w:eastAsia="Times New Roman"/>
          <w:sz w:val="24"/>
          <w:szCs w:val="24"/>
        </w:rPr>
      </w:pPr>
      <w:r w:rsidRPr="00764311">
        <w:rPr>
          <w:rFonts w:eastAsia="Times New Roman"/>
          <w:sz w:val="24"/>
          <w:szCs w:val="24"/>
        </w:rPr>
        <w:t>The final schedule pursuant to 310 CMR 22.14(14) must require compliance with each contaminant level and treatment technique requirement with respect to which the exemption was granted as expeditiously as practicable but not later than three years after the otherwise applicable compliance date established in the federal Safe Drinking Water Act, 1412(b)(10).</w:t>
      </w:r>
    </w:p>
    <w:p w14:paraId="281A0BBC" w14:textId="77777777" w:rsidR="004647B9" w:rsidRPr="00764311" w:rsidRDefault="004647B9" w:rsidP="00FF13C0">
      <w:pPr>
        <w:rPr>
          <w:rFonts w:eastAsia="Times New Roman"/>
          <w:sz w:val="24"/>
          <w:szCs w:val="24"/>
        </w:rPr>
      </w:pPr>
    </w:p>
    <w:p w14:paraId="281A0BBD" w14:textId="77777777" w:rsidR="004647B9" w:rsidRPr="00764311" w:rsidRDefault="00E2436F" w:rsidP="00FF13C0">
      <w:pPr>
        <w:numPr>
          <w:ilvl w:val="0"/>
          <w:numId w:val="461"/>
        </w:numPr>
        <w:tabs>
          <w:tab w:val="left" w:pos="1786"/>
        </w:tabs>
        <w:ind w:left="1200"/>
        <w:jc w:val="both"/>
        <w:rPr>
          <w:rFonts w:eastAsia="Times New Roman"/>
          <w:sz w:val="24"/>
          <w:szCs w:val="24"/>
        </w:rPr>
      </w:pPr>
      <w:r w:rsidRPr="00764311">
        <w:rPr>
          <w:rFonts w:eastAsia="Times New Roman"/>
          <w:sz w:val="24"/>
          <w:szCs w:val="24"/>
          <w:u w:val="single"/>
        </w:rPr>
        <w:t>Extension of Date for Compliance</w:t>
      </w:r>
      <w:r w:rsidRPr="00764311">
        <w:rPr>
          <w:rFonts w:eastAsia="Times New Roman"/>
          <w:sz w:val="24"/>
          <w:szCs w:val="24"/>
        </w:rPr>
        <w:t>. In the case of a public water system which serves a population of not more than 3,300 persons and which needs financial assistance for the necessary improvements, an exemption granted under 310 CMR 22.14(2)(a) or (b) may be renewed for one or more additional two-year periods, but not to exceed a total of six additional years, if the public water system established that the public water system is taking all practicable steps to meet the requirements of 310 CMR 22.14(2) and the established compliance schedule.</w:t>
      </w:r>
    </w:p>
    <w:p w14:paraId="281A0BBE" w14:textId="77777777" w:rsidR="004647B9" w:rsidRPr="00764311" w:rsidRDefault="004647B9" w:rsidP="00FF13C0">
      <w:pPr>
        <w:rPr>
          <w:rFonts w:eastAsia="Times New Roman"/>
          <w:sz w:val="24"/>
          <w:szCs w:val="24"/>
        </w:rPr>
      </w:pPr>
    </w:p>
    <w:p w14:paraId="281A0BBF" w14:textId="77777777" w:rsidR="004647B9" w:rsidRPr="00764311" w:rsidRDefault="00E2436F" w:rsidP="00FF13C0">
      <w:pPr>
        <w:numPr>
          <w:ilvl w:val="0"/>
          <w:numId w:val="461"/>
        </w:numPr>
        <w:tabs>
          <w:tab w:val="left" w:pos="1751"/>
        </w:tabs>
        <w:ind w:left="1200"/>
        <w:rPr>
          <w:rFonts w:eastAsia="Times New Roman"/>
          <w:sz w:val="24"/>
          <w:szCs w:val="24"/>
        </w:rPr>
      </w:pPr>
      <w:r w:rsidRPr="00764311">
        <w:rPr>
          <w:rFonts w:eastAsia="Times New Roman"/>
          <w:sz w:val="24"/>
          <w:szCs w:val="24"/>
        </w:rPr>
        <w:t>The Department shall not accept any application for an exemption unless the public water system applying for the exemption agrees in writing to all of the following:</w:t>
      </w:r>
    </w:p>
    <w:p w14:paraId="281A0BC1" w14:textId="77777777" w:rsidR="004647B9" w:rsidRPr="00764311" w:rsidRDefault="00E2436F" w:rsidP="00FF13C0">
      <w:pPr>
        <w:numPr>
          <w:ilvl w:val="1"/>
          <w:numId w:val="461"/>
        </w:numPr>
        <w:tabs>
          <w:tab w:val="left" w:pos="2000"/>
        </w:tabs>
        <w:ind w:left="2000" w:hanging="445"/>
        <w:rPr>
          <w:rFonts w:eastAsia="Times New Roman"/>
          <w:sz w:val="24"/>
          <w:szCs w:val="24"/>
        </w:rPr>
      </w:pPr>
      <w:r w:rsidRPr="00764311">
        <w:rPr>
          <w:rFonts w:eastAsia="Times New Roman"/>
          <w:sz w:val="24"/>
          <w:szCs w:val="24"/>
        </w:rPr>
        <w:t>Pay in full the cost of all notices and hearings required by 310 CMR 22.14(3);</w:t>
      </w:r>
    </w:p>
    <w:p w14:paraId="281A0BC3" w14:textId="77777777" w:rsidR="004647B9" w:rsidRPr="00764311" w:rsidRDefault="00E2436F" w:rsidP="00FF13C0">
      <w:pPr>
        <w:numPr>
          <w:ilvl w:val="1"/>
          <w:numId w:val="461"/>
        </w:numPr>
        <w:tabs>
          <w:tab w:val="left" w:pos="2006"/>
        </w:tabs>
        <w:ind w:left="1560" w:hanging="5"/>
        <w:rPr>
          <w:rFonts w:eastAsia="Times New Roman"/>
          <w:sz w:val="24"/>
          <w:szCs w:val="24"/>
        </w:rPr>
      </w:pPr>
      <w:r w:rsidRPr="00764311">
        <w:rPr>
          <w:rFonts w:eastAsia="Times New Roman"/>
          <w:sz w:val="24"/>
          <w:szCs w:val="24"/>
        </w:rPr>
        <w:t>Comply with any schedule prescribed pursuant to 310 CMR 22.14(2) as expeditiously as possible, and in no event by later than the deadlines prescribed in 310 CMR 22.14(5);</w:t>
      </w:r>
    </w:p>
    <w:p w14:paraId="281A0BC4" w14:textId="77777777" w:rsidR="004647B9" w:rsidRPr="00764311" w:rsidRDefault="00E2436F" w:rsidP="00FF13C0">
      <w:pPr>
        <w:numPr>
          <w:ilvl w:val="1"/>
          <w:numId w:val="461"/>
        </w:numPr>
        <w:tabs>
          <w:tab w:val="left" w:pos="1970"/>
        </w:tabs>
        <w:ind w:left="1560" w:hanging="5"/>
        <w:jc w:val="both"/>
        <w:rPr>
          <w:rFonts w:eastAsia="Times New Roman"/>
          <w:sz w:val="24"/>
          <w:szCs w:val="24"/>
        </w:rPr>
      </w:pPr>
      <w:r w:rsidRPr="00764311">
        <w:rPr>
          <w:rFonts w:eastAsia="Times New Roman"/>
          <w:sz w:val="24"/>
          <w:szCs w:val="24"/>
        </w:rPr>
        <w:t>Report to the department, in the manner prescribed in 310 CMR 22.15, the results of all tests, measurements, and analyses made in compliance with the exemption, and with the schedule prescribed pursuant to the exemption;</w:t>
      </w:r>
    </w:p>
    <w:p w14:paraId="281A0BC6" w14:textId="77777777" w:rsidR="004647B9" w:rsidRPr="00764311" w:rsidRDefault="00E2436F" w:rsidP="00FF13C0">
      <w:pPr>
        <w:numPr>
          <w:ilvl w:val="1"/>
          <w:numId w:val="461"/>
        </w:numPr>
        <w:tabs>
          <w:tab w:val="left" w:pos="2020"/>
        </w:tabs>
        <w:ind w:left="1560" w:hanging="5"/>
        <w:jc w:val="both"/>
        <w:rPr>
          <w:rFonts w:eastAsia="Times New Roman"/>
          <w:sz w:val="24"/>
          <w:szCs w:val="24"/>
        </w:rPr>
      </w:pPr>
      <w:r w:rsidRPr="00764311">
        <w:rPr>
          <w:rFonts w:eastAsia="Times New Roman"/>
          <w:sz w:val="24"/>
          <w:szCs w:val="24"/>
        </w:rPr>
        <w:t>Report to the Department, in the manner prescribed in 310 CMR 22.15, any failure to comply with the terms of the exemption, or with the schedule prescribed pursuant to the exemption;</w:t>
      </w:r>
    </w:p>
    <w:p w14:paraId="281A0BC8" w14:textId="77777777" w:rsidR="004647B9" w:rsidRPr="00764311" w:rsidRDefault="00E2436F" w:rsidP="00FF13C0">
      <w:pPr>
        <w:numPr>
          <w:ilvl w:val="1"/>
          <w:numId w:val="461"/>
        </w:numPr>
        <w:tabs>
          <w:tab w:val="left" w:pos="2026"/>
        </w:tabs>
        <w:ind w:left="1560" w:hanging="5"/>
        <w:rPr>
          <w:rFonts w:eastAsia="Times New Roman"/>
          <w:sz w:val="24"/>
          <w:szCs w:val="24"/>
        </w:rPr>
      </w:pPr>
      <w:r w:rsidRPr="00764311">
        <w:rPr>
          <w:rFonts w:eastAsia="Times New Roman"/>
          <w:sz w:val="24"/>
          <w:szCs w:val="24"/>
        </w:rPr>
        <w:t>Notify the public, in the manner prescribed in 310 CMR 22.16 of the granting of the exemption;</w:t>
      </w:r>
    </w:p>
    <w:p w14:paraId="281A0BCA" w14:textId="77777777" w:rsidR="004647B9" w:rsidRPr="00764311" w:rsidRDefault="00E2436F" w:rsidP="00FF13C0">
      <w:pPr>
        <w:numPr>
          <w:ilvl w:val="1"/>
          <w:numId w:val="461"/>
        </w:numPr>
        <w:tabs>
          <w:tab w:val="left" w:pos="1951"/>
        </w:tabs>
        <w:ind w:left="1560" w:hanging="5"/>
        <w:jc w:val="both"/>
        <w:rPr>
          <w:rFonts w:eastAsia="Times New Roman"/>
          <w:sz w:val="24"/>
          <w:szCs w:val="24"/>
        </w:rPr>
      </w:pPr>
      <w:r w:rsidRPr="00764311">
        <w:rPr>
          <w:rFonts w:eastAsia="Times New Roman"/>
          <w:sz w:val="24"/>
          <w:szCs w:val="24"/>
        </w:rPr>
        <w:t>Notify the public, in the manner prescribed in 310 CMR 22.16, of any failure to comply with the exemption or with any requirement of any schedule prescribed pursuant to the exemption;</w:t>
      </w:r>
    </w:p>
    <w:p w14:paraId="281A0BCB" w14:textId="77777777" w:rsidR="004647B9" w:rsidRDefault="004647B9" w:rsidP="00FF13C0">
      <w:pPr>
        <w:sectPr w:rsidR="004647B9" w:rsidSect="00EF630C">
          <w:pgSz w:w="12240" w:h="20180"/>
          <w:pgMar w:top="708" w:right="1440" w:bottom="1440" w:left="600" w:header="0" w:footer="0" w:gutter="0"/>
          <w:cols w:space="720"/>
        </w:sectPr>
      </w:pPr>
    </w:p>
    <w:p w14:paraId="281A0BCC" w14:textId="77777777" w:rsidR="004647B9" w:rsidRDefault="00E2436F">
      <w:pPr>
        <w:tabs>
          <w:tab w:val="left" w:pos="160"/>
        </w:tabs>
        <w:jc w:val="center"/>
        <w:rPr>
          <w:sz w:val="20"/>
          <w:szCs w:val="20"/>
        </w:rPr>
      </w:pPr>
      <w:bookmarkStart w:id="178" w:name="page180"/>
      <w:bookmarkEnd w:id="17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BCD" w14:textId="77777777" w:rsidR="004647B9" w:rsidRDefault="004647B9" w:rsidP="007C0112">
      <w:pPr>
        <w:rPr>
          <w:sz w:val="20"/>
          <w:szCs w:val="20"/>
        </w:rPr>
      </w:pPr>
    </w:p>
    <w:p w14:paraId="281A0BCE" w14:textId="77777777" w:rsidR="004647B9" w:rsidRDefault="004647B9" w:rsidP="007C0112">
      <w:pPr>
        <w:rPr>
          <w:sz w:val="20"/>
          <w:szCs w:val="20"/>
        </w:rPr>
      </w:pPr>
    </w:p>
    <w:p w14:paraId="281A0BCF" w14:textId="77777777" w:rsidR="004647B9" w:rsidRPr="007C0112" w:rsidRDefault="00E2436F" w:rsidP="007C0112">
      <w:pPr>
        <w:tabs>
          <w:tab w:val="left" w:pos="760"/>
        </w:tabs>
        <w:rPr>
          <w:sz w:val="24"/>
          <w:szCs w:val="24"/>
        </w:rPr>
      </w:pPr>
      <w:r w:rsidRPr="007C0112">
        <w:rPr>
          <w:rFonts w:eastAsia="Times New Roman"/>
          <w:sz w:val="24"/>
          <w:szCs w:val="24"/>
        </w:rPr>
        <w:t>22.14:</w:t>
      </w:r>
      <w:r w:rsidRPr="007C0112">
        <w:rPr>
          <w:rFonts w:eastAsia="Times New Roman"/>
          <w:sz w:val="24"/>
          <w:szCs w:val="24"/>
        </w:rPr>
        <w:tab/>
        <w:t>continued</w:t>
      </w:r>
    </w:p>
    <w:p w14:paraId="281A0BD0" w14:textId="77777777" w:rsidR="004647B9" w:rsidRDefault="004647B9" w:rsidP="007C0112">
      <w:pPr>
        <w:rPr>
          <w:sz w:val="20"/>
          <w:szCs w:val="20"/>
        </w:rPr>
      </w:pPr>
    </w:p>
    <w:p w14:paraId="281A0BD1" w14:textId="77777777" w:rsidR="004647B9" w:rsidRDefault="00E2436F" w:rsidP="007C0112">
      <w:pPr>
        <w:numPr>
          <w:ilvl w:val="1"/>
          <w:numId w:val="462"/>
        </w:numPr>
        <w:tabs>
          <w:tab w:val="left" w:pos="2076"/>
        </w:tabs>
        <w:ind w:left="1560" w:hanging="5"/>
        <w:rPr>
          <w:rFonts w:eastAsia="Times New Roman"/>
          <w:sz w:val="24"/>
          <w:szCs w:val="24"/>
        </w:rPr>
      </w:pPr>
      <w:r>
        <w:rPr>
          <w:rFonts w:eastAsia="Times New Roman"/>
          <w:sz w:val="24"/>
          <w:szCs w:val="24"/>
        </w:rPr>
        <w:t>Maintain all the records prescribed in 310 CMR 22.17 in the manner prescribed in 310 CMR 22.17.</w:t>
      </w:r>
    </w:p>
    <w:p w14:paraId="281A0BD2" w14:textId="77777777" w:rsidR="004647B9" w:rsidRDefault="004647B9" w:rsidP="007C0112">
      <w:pPr>
        <w:rPr>
          <w:rFonts w:eastAsia="Times New Roman"/>
          <w:sz w:val="24"/>
          <w:szCs w:val="24"/>
        </w:rPr>
      </w:pPr>
    </w:p>
    <w:p w14:paraId="281A0BD3" w14:textId="77777777" w:rsidR="004647B9" w:rsidRDefault="00E2436F" w:rsidP="007C0112">
      <w:pPr>
        <w:numPr>
          <w:ilvl w:val="0"/>
          <w:numId w:val="463"/>
        </w:numPr>
        <w:tabs>
          <w:tab w:val="left" w:pos="1856"/>
        </w:tabs>
        <w:ind w:left="1200"/>
        <w:jc w:val="both"/>
        <w:rPr>
          <w:rFonts w:eastAsia="Times New Roman"/>
          <w:sz w:val="24"/>
          <w:szCs w:val="24"/>
        </w:rPr>
      </w:pPr>
      <w:r>
        <w:rPr>
          <w:rFonts w:eastAsia="Times New Roman"/>
          <w:sz w:val="24"/>
          <w:szCs w:val="24"/>
        </w:rPr>
        <w:t>The Department shall promptly report to the Administrator or to the Administrator's designee every exemption or extension of an exemption granted by the Department. Such notification shall contain all of the following:</w:t>
      </w:r>
    </w:p>
    <w:p w14:paraId="281A0BD4" w14:textId="77777777" w:rsidR="004647B9" w:rsidRDefault="00E2436F" w:rsidP="007C0112">
      <w:pPr>
        <w:numPr>
          <w:ilvl w:val="1"/>
          <w:numId w:val="463"/>
        </w:numPr>
        <w:tabs>
          <w:tab w:val="left" w:pos="2000"/>
        </w:tabs>
        <w:ind w:left="2000" w:hanging="445"/>
        <w:rPr>
          <w:rFonts w:eastAsia="Times New Roman"/>
          <w:sz w:val="24"/>
          <w:szCs w:val="24"/>
        </w:rPr>
      </w:pPr>
      <w:r>
        <w:rPr>
          <w:rFonts w:eastAsia="Times New Roman"/>
          <w:sz w:val="24"/>
          <w:szCs w:val="24"/>
        </w:rPr>
        <w:t>The reason for the exemption or extension of the exemption;</w:t>
      </w:r>
    </w:p>
    <w:p w14:paraId="281A0BD6" w14:textId="77777777" w:rsidR="004647B9" w:rsidRDefault="00E2436F" w:rsidP="007C0112">
      <w:pPr>
        <w:numPr>
          <w:ilvl w:val="1"/>
          <w:numId w:val="463"/>
        </w:numPr>
        <w:tabs>
          <w:tab w:val="left" w:pos="2005"/>
        </w:tabs>
        <w:ind w:left="1560" w:hanging="5"/>
        <w:rPr>
          <w:rFonts w:eastAsia="Times New Roman"/>
          <w:sz w:val="24"/>
          <w:szCs w:val="24"/>
        </w:rPr>
      </w:pPr>
      <w:r>
        <w:rPr>
          <w:rFonts w:eastAsia="Times New Roman"/>
          <w:sz w:val="24"/>
          <w:szCs w:val="24"/>
        </w:rPr>
        <w:t>The basis for the Department's finding that the granting of the exemption or extension of the exemption will not result in an unreasonable risk to health; and</w:t>
      </w:r>
    </w:p>
    <w:p w14:paraId="281A0BD8" w14:textId="77777777" w:rsidR="004647B9" w:rsidRDefault="00E2436F" w:rsidP="007C0112">
      <w:pPr>
        <w:numPr>
          <w:ilvl w:val="1"/>
          <w:numId w:val="463"/>
        </w:numPr>
        <w:tabs>
          <w:tab w:val="left" w:pos="2000"/>
        </w:tabs>
        <w:ind w:left="2000" w:hanging="445"/>
        <w:rPr>
          <w:rFonts w:eastAsia="Times New Roman"/>
          <w:sz w:val="24"/>
          <w:szCs w:val="24"/>
        </w:rPr>
      </w:pPr>
      <w:r>
        <w:rPr>
          <w:rFonts w:eastAsia="Times New Roman"/>
          <w:sz w:val="24"/>
          <w:szCs w:val="24"/>
        </w:rPr>
        <w:t>Documentation of the need for the exemption or extension of the exemption.</w:t>
      </w:r>
    </w:p>
    <w:p w14:paraId="281A0BD9" w14:textId="77777777" w:rsidR="004647B9" w:rsidRDefault="004647B9" w:rsidP="007C0112">
      <w:pPr>
        <w:rPr>
          <w:rFonts w:eastAsia="Times New Roman"/>
          <w:sz w:val="24"/>
          <w:szCs w:val="24"/>
        </w:rPr>
      </w:pPr>
    </w:p>
    <w:p w14:paraId="281A0BDA" w14:textId="77777777" w:rsidR="004647B9" w:rsidRDefault="00E2436F" w:rsidP="007C0112">
      <w:pPr>
        <w:numPr>
          <w:ilvl w:val="0"/>
          <w:numId w:val="463"/>
        </w:numPr>
        <w:tabs>
          <w:tab w:val="left" w:pos="1780"/>
        </w:tabs>
        <w:ind w:left="1780" w:hanging="580"/>
        <w:rPr>
          <w:rFonts w:eastAsia="Times New Roman"/>
          <w:sz w:val="24"/>
          <w:szCs w:val="24"/>
        </w:rPr>
      </w:pPr>
      <w:r>
        <w:rPr>
          <w:rFonts w:eastAsia="Times New Roman"/>
          <w:sz w:val="24"/>
          <w:szCs w:val="24"/>
        </w:rPr>
        <w:t>All applications for exemptions shall be made on forms prescribed by the Department.</w:t>
      </w:r>
    </w:p>
    <w:p w14:paraId="281A0BDB" w14:textId="77777777" w:rsidR="004647B9" w:rsidRDefault="004647B9" w:rsidP="007C0112">
      <w:pPr>
        <w:rPr>
          <w:rFonts w:eastAsia="Times New Roman"/>
          <w:sz w:val="24"/>
          <w:szCs w:val="24"/>
        </w:rPr>
      </w:pPr>
    </w:p>
    <w:p w14:paraId="281A0BDC" w14:textId="77777777" w:rsidR="004647B9" w:rsidRDefault="00E2436F" w:rsidP="007C0112">
      <w:pPr>
        <w:numPr>
          <w:ilvl w:val="0"/>
          <w:numId w:val="463"/>
        </w:numPr>
        <w:tabs>
          <w:tab w:val="left" w:pos="1794"/>
        </w:tabs>
        <w:ind w:left="1200"/>
        <w:jc w:val="both"/>
        <w:rPr>
          <w:rFonts w:eastAsia="Times New Roman"/>
          <w:sz w:val="24"/>
          <w:szCs w:val="24"/>
        </w:rPr>
      </w:pPr>
      <w:r>
        <w:rPr>
          <w:rFonts w:eastAsia="Times New Roman"/>
          <w:sz w:val="24"/>
          <w:szCs w:val="24"/>
        </w:rPr>
        <w:t>Exemptions from the requirements set forth at 310 CMR 22.06 through 22.09A will be granted only in accordance with the federal Safe Drinking Water Act, § 1416, (effective August 6, 1996), and with 40 C.F.R. 142.62 (effective January 23, 2006).</w:t>
      </w:r>
    </w:p>
    <w:p w14:paraId="281A0BDD" w14:textId="77777777" w:rsidR="004647B9" w:rsidRDefault="004647B9" w:rsidP="007C0112">
      <w:pPr>
        <w:rPr>
          <w:rFonts w:eastAsia="Times New Roman"/>
          <w:sz w:val="24"/>
          <w:szCs w:val="24"/>
        </w:rPr>
      </w:pPr>
    </w:p>
    <w:p w14:paraId="281A0BDE" w14:textId="77777777" w:rsidR="004647B9" w:rsidRDefault="00E2436F" w:rsidP="007C0112">
      <w:pPr>
        <w:numPr>
          <w:ilvl w:val="0"/>
          <w:numId w:val="463"/>
        </w:numPr>
        <w:tabs>
          <w:tab w:val="left" w:pos="1735"/>
        </w:tabs>
        <w:ind w:left="1200"/>
        <w:rPr>
          <w:rFonts w:eastAsia="Times New Roman"/>
          <w:sz w:val="24"/>
          <w:szCs w:val="24"/>
        </w:rPr>
      </w:pPr>
      <w:r>
        <w:rPr>
          <w:rFonts w:eastAsia="Times New Roman"/>
          <w:sz w:val="24"/>
          <w:szCs w:val="24"/>
        </w:rPr>
        <w:t>No exemptions from the requirements set forth in 310 CMR 22.20A(3)(a)3. and 310 CMR 22.20A(3)(b)2. to provide disinfection are allowed.</w:t>
      </w:r>
    </w:p>
    <w:p w14:paraId="281A0BDF" w14:textId="77777777" w:rsidR="004647B9" w:rsidRDefault="004647B9" w:rsidP="007C0112">
      <w:pPr>
        <w:rPr>
          <w:rFonts w:eastAsia="Times New Roman"/>
          <w:sz w:val="24"/>
          <w:szCs w:val="24"/>
        </w:rPr>
      </w:pPr>
    </w:p>
    <w:p w14:paraId="281A0BE0" w14:textId="2C836082" w:rsidR="004647B9" w:rsidRDefault="00E2436F" w:rsidP="007C0112">
      <w:pPr>
        <w:numPr>
          <w:ilvl w:val="0"/>
          <w:numId w:val="463"/>
        </w:numPr>
        <w:tabs>
          <w:tab w:val="left" w:pos="1814"/>
        </w:tabs>
        <w:ind w:left="1200"/>
        <w:rPr>
          <w:rFonts w:eastAsia="Times New Roman"/>
          <w:sz w:val="24"/>
          <w:szCs w:val="24"/>
        </w:rPr>
      </w:pPr>
      <w:r>
        <w:rPr>
          <w:rFonts w:eastAsia="Times New Roman"/>
          <w:sz w:val="24"/>
          <w:szCs w:val="24"/>
        </w:rPr>
        <w:t xml:space="preserve">No exemptions from the maximum contaminant level for </w:t>
      </w:r>
      <w:r w:rsidR="008F40A2">
        <w:rPr>
          <w:rFonts w:eastAsia="Times New Roman"/>
          <w:i/>
          <w:iCs/>
          <w:sz w:val="24"/>
          <w:szCs w:val="24"/>
        </w:rPr>
        <w:t>E. coli</w:t>
      </w:r>
      <w:r>
        <w:rPr>
          <w:rFonts w:eastAsia="Times New Roman"/>
          <w:sz w:val="24"/>
          <w:szCs w:val="24"/>
        </w:rPr>
        <w:t xml:space="preserve"> in 310 CMR 22.05(8) are allowed.</w:t>
      </w:r>
    </w:p>
    <w:p w14:paraId="281A0BE1" w14:textId="77777777" w:rsidR="004647B9" w:rsidRDefault="004647B9" w:rsidP="007C0112">
      <w:pPr>
        <w:rPr>
          <w:rFonts w:eastAsia="Times New Roman"/>
          <w:sz w:val="24"/>
          <w:szCs w:val="24"/>
        </w:rPr>
      </w:pPr>
    </w:p>
    <w:p w14:paraId="281A0BE2" w14:textId="77777777" w:rsidR="004647B9" w:rsidRPr="00764311" w:rsidRDefault="00E2436F" w:rsidP="007C0112">
      <w:pPr>
        <w:numPr>
          <w:ilvl w:val="0"/>
          <w:numId w:val="463"/>
        </w:numPr>
        <w:tabs>
          <w:tab w:val="left" w:pos="1765"/>
        </w:tabs>
        <w:ind w:left="1200"/>
        <w:jc w:val="both"/>
        <w:rPr>
          <w:rFonts w:eastAsia="Times New Roman"/>
          <w:sz w:val="24"/>
          <w:szCs w:val="24"/>
        </w:rPr>
      </w:pPr>
      <w:r>
        <w:rPr>
          <w:rFonts w:eastAsia="Times New Roman"/>
          <w:sz w:val="24"/>
          <w:szCs w:val="24"/>
          <w:u w:val="single"/>
        </w:rPr>
        <w:t>Bottled Water, Point-of-use, and Point of Entry Devices</w:t>
      </w:r>
      <w:r>
        <w:rPr>
          <w:rFonts w:eastAsia="Times New Roman"/>
          <w:sz w:val="24"/>
          <w:szCs w:val="24"/>
        </w:rPr>
        <w:t xml:space="preserve">. The Department may require a public water system to use bottled water, point-of-use devices, point-of-entry devices as a condition of granting an exemption from the requirements of 310 CMR 22.06, 22.06B, 22.07A and 22.07B to avoid an unreasonable risk to health. The Department may require a public water system to use bottled water and point-of-use devices or other means, but not point of entry devices, as a condition for granting an exemption for corrosion control treatment required for lead and copper in 310 CMR 22.06B(2) and (3) to avoid an unreasonable risk to health. The </w:t>
      </w:r>
      <w:r w:rsidRPr="00764311">
        <w:rPr>
          <w:rFonts w:eastAsia="Times New Roman"/>
          <w:sz w:val="24"/>
          <w:szCs w:val="24"/>
        </w:rPr>
        <w:t>Department may require a public water system to use point-of-entry devices as a condition for granting an exemption from the source water treatment and lead service line replacement requirements for lead and copper under 310 CMR 22.06B(4) and (5) to avoid an unreasonable risk to health.</w:t>
      </w:r>
    </w:p>
    <w:p w14:paraId="281A0BE3" w14:textId="77777777" w:rsidR="004647B9" w:rsidRPr="00764311" w:rsidRDefault="004647B9" w:rsidP="007C0112">
      <w:pPr>
        <w:rPr>
          <w:rFonts w:eastAsia="Times New Roman"/>
          <w:sz w:val="24"/>
          <w:szCs w:val="24"/>
        </w:rPr>
      </w:pPr>
    </w:p>
    <w:p w14:paraId="281A0BE4" w14:textId="77777777" w:rsidR="004647B9" w:rsidRPr="00764311" w:rsidRDefault="00E2436F" w:rsidP="007C0112">
      <w:pPr>
        <w:numPr>
          <w:ilvl w:val="0"/>
          <w:numId w:val="463"/>
        </w:numPr>
        <w:tabs>
          <w:tab w:val="left" w:pos="1780"/>
        </w:tabs>
        <w:ind w:left="1200"/>
        <w:jc w:val="both"/>
        <w:rPr>
          <w:rFonts w:eastAsia="Times New Roman"/>
          <w:sz w:val="24"/>
          <w:szCs w:val="24"/>
        </w:rPr>
      </w:pPr>
      <w:r w:rsidRPr="00764311">
        <w:rPr>
          <w:rFonts w:eastAsia="Times New Roman"/>
          <w:sz w:val="24"/>
          <w:szCs w:val="24"/>
        </w:rPr>
        <w:t>Public water systems using bottled water as a condition of obtaining an exemption from the requirements of 310 CMR 22.06(16), 22.07A or 22.07B(1) must meet the requirements in 310 CMR 22.14(25)</w:t>
      </w:r>
    </w:p>
    <w:p w14:paraId="281A0BE5" w14:textId="77777777" w:rsidR="004647B9" w:rsidRPr="00764311" w:rsidRDefault="004647B9" w:rsidP="007C0112">
      <w:pPr>
        <w:rPr>
          <w:rFonts w:eastAsia="Times New Roman"/>
          <w:sz w:val="24"/>
          <w:szCs w:val="24"/>
        </w:rPr>
      </w:pPr>
    </w:p>
    <w:p w14:paraId="281A0BE8" w14:textId="3DAB6B1C" w:rsidR="004647B9" w:rsidRPr="00764311" w:rsidRDefault="00E2436F" w:rsidP="007C0112">
      <w:pPr>
        <w:numPr>
          <w:ilvl w:val="0"/>
          <w:numId w:val="463"/>
        </w:numPr>
        <w:tabs>
          <w:tab w:val="left" w:pos="1762"/>
        </w:tabs>
        <w:ind w:left="1200"/>
        <w:jc w:val="both"/>
        <w:rPr>
          <w:rFonts w:eastAsia="Times New Roman"/>
          <w:sz w:val="24"/>
          <w:szCs w:val="24"/>
        </w:rPr>
      </w:pPr>
      <w:r w:rsidRPr="00764311">
        <w:rPr>
          <w:rFonts w:eastAsia="Times New Roman"/>
          <w:sz w:val="24"/>
          <w:szCs w:val="24"/>
          <w:u w:val="single"/>
        </w:rPr>
        <w:t>Bottled Water</w:t>
      </w:r>
      <w:r w:rsidRPr="00764311">
        <w:rPr>
          <w:rFonts w:eastAsia="Times New Roman"/>
          <w:sz w:val="24"/>
          <w:szCs w:val="24"/>
        </w:rPr>
        <w:t>. Public water systems that use bottled water as a condition for receiving a variance or an exemption from the requirements of 310 CMR 22.06(2), 22.07(A)(1) or</w:t>
      </w:r>
      <w:r w:rsidR="0041564B" w:rsidRPr="00764311">
        <w:rPr>
          <w:rFonts w:eastAsia="Times New Roman"/>
          <w:sz w:val="24"/>
          <w:szCs w:val="24"/>
        </w:rPr>
        <w:t xml:space="preserve"> </w:t>
      </w:r>
      <w:r w:rsidRPr="00764311">
        <w:rPr>
          <w:rFonts w:eastAsia="Times New Roman"/>
          <w:sz w:val="24"/>
          <w:szCs w:val="24"/>
        </w:rPr>
        <w:t>22.07B(1) must meet the requirements specified in either 310 CMR 22.14(25)(a) or (b) and (c):</w:t>
      </w:r>
    </w:p>
    <w:p w14:paraId="281A0BEA" w14:textId="77777777" w:rsidR="004647B9" w:rsidRPr="00764311" w:rsidRDefault="00E2436F" w:rsidP="007C0112">
      <w:pPr>
        <w:numPr>
          <w:ilvl w:val="1"/>
          <w:numId w:val="463"/>
        </w:numPr>
        <w:tabs>
          <w:tab w:val="left" w:pos="1997"/>
        </w:tabs>
        <w:ind w:left="1560" w:hanging="5"/>
        <w:jc w:val="both"/>
        <w:rPr>
          <w:rFonts w:eastAsia="Times New Roman"/>
          <w:sz w:val="24"/>
          <w:szCs w:val="24"/>
        </w:rPr>
      </w:pPr>
      <w:r w:rsidRPr="00764311">
        <w:rPr>
          <w:rFonts w:eastAsia="Times New Roman"/>
          <w:sz w:val="24"/>
          <w:szCs w:val="24"/>
          <w:u w:val="single"/>
        </w:rPr>
        <w:t>Monitoring Program</w:t>
      </w:r>
      <w:r w:rsidRPr="00764311">
        <w:rPr>
          <w:rFonts w:eastAsia="Times New Roman"/>
          <w:sz w:val="24"/>
          <w:szCs w:val="24"/>
        </w:rPr>
        <w:t>. The Department will require and approve a monitoring program for bottled water. The public water system must develop and put in place a monitoring program that provides reasonable assurances that the bottled water meets all MCLs. The public water system must monitor a representative sample of the bottled water for all contaminants regulated under 310 CMR 22.06(2), 22.07A(1) and 22.07B(1) during the first three-month period that it supplies the bottled water to the public, and annually thereafter. Results of the monitoring program shall be provided to the Department annually.</w:t>
      </w:r>
    </w:p>
    <w:p w14:paraId="281A0BEC" w14:textId="77777777" w:rsidR="004647B9" w:rsidRPr="00764311" w:rsidRDefault="00E2436F" w:rsidP="007C0112">
      <w:pPr>
        <w:numPr>
          <w:ilvl w:val="1"/>
          <w:numId w:val="463"/>
        </w:numPr>
        <w:tabs>
          <w:tab w:val="left" w:pos="2070"/>
        </w:tabs>
        <w:ind w:left="1560" w:hanging="5"/>
        <w:jc w:val="both"/>
        <w:rPr>
          <w:rFonts w:eastAsia="Times New Roman"/>
          <w:sz w:val="24"/>
          <w:szCs w:val="24"/>
        </w:rPr>
      </w:pPr>
      <w:r w:rsidRPr="00764311">
        <w:rPr>
          <w:rFonts w:eastAsia="Times New Roman"/>
          <w:sz w:val="24"/>
          <w:szCs w:val="24"/>
          <w:u w:val="single"/>
        </w:rPr>
        <w:t>Certification</w:t>
      </w:r>
      <w:r w:rsidRPr="00764311">
        <w:rPr>
          <w:rFonts w:eastAsia="Times New Roman"/>
          <w:sz w:val="24"/>
          <w:szCs w:val="24"/>
        </w:rPr>
        <w:t>. The public water system must receive a certification from the bottled water company that the bottled water supplied has been taken from an</w:t>
      </w:r>
      <w:r w:rsidRPr="00764311" w:rsidDel="007B206E">
        <w:rPr>
          <w:rFonts w:eastAsia="Times New Roman"/>
          <w:sz w:val="24"/>
          <w:szCs w:val="24"/>
        </w:rPr>
        <w:t xml:space="preserve"> </w:t>
      </w:r>
      <w:r w:rsidRPr="00764311">
        <w:rPr>
          <w:rFonts w:eastAsia="Times New Roman"/>
          <w:sz w:val="24"/>
          <w:szCs w:val="24"/>
        </w:rPr>
        <w:t>"approved sourc</w:t>
      </w:r>
      <w:r w:rsidRPr="00764311" w:rsidDel="007B206E">
        <w:rPr>
          <w:rFonts w:eastAsia="Times New Roman"/>
          <w:sz w:val="24"/>
          <w:szCs w:val="24"/>
        </w:rPr>
        <w:t>e</w:t>
      </w:r>
      <w:r w:rsidRPr="00764311">
        <w:rPr>
          <w:rFonts w:eastAsia="Times New Roman"/>
          <w:sz w:val="24"/>
          <w:szCs w:val="24"/>
        </w:rPr>
        <w:t>" as defined in 21 CFR 129.3(a); the bottled water company has conducted monitoring in accordance with 21 CFR 129.80(g)(1) through (3); and the bottled water does not exceed any MCLs or quality limits as set out in 21 CFR 103.35, 110, and 129. The public water system shall provide the certification to the Department the first quarter after it supplies bottled water and annually thereafter. At the Department's option a public water system may satisfy the requirements of 310 CMR 22.14(25) if an approved monitoring program is already in place in another State.</w:t>
      </w:r>
    </w:p>
    <w:p w14:paraId="281A0BED" w14:textId="77777777" w:rsidR="004647B9" w:rsidRDefault="004647B9" w:rsidP="007C0112">
      <w:pPr>
        <w:sectPr w:rsidR="004647B9" w:rsidSect="00EF630C">
          <w:pgSz w:w="12240" w:h="20180"/>
          <w:pgMar w:top="708" w:right="1440" w:bottom="1440" w:left="600" w:header="0" w:footer="0" w:gutter="0"/>
          <w:cols w:space="720"/>
        </w:sectPr>
      </w:pPr>
    </w:p>
    <w:p w14:paraId="281A0BEE" w14:textId="77777777" w:rsidR="004647B9" w:rsidRDefault="00E2436F">
      <w:pPr>
        <w:tabs>
          <w:tab w:val="left" w:pos="160"/>
        </w:tabs>
        <w:jc w:val="center"/>
        <w:rPr>
          <w:sz w:val="20"/>
          <w:szCs w:val="20"/>
        </w:rPr>
      </w:pPr>
      <w:bookmarkStart w:id="179" w:name="page181"/>
      <w:bookmarkEnd w:id="17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BEF" w14:textId="77777777" w:rsidR="004647B9" w:rsidRDefault="004647B9" w:rsidP="00FA5936">
      <w:pPr>
        <w:rPr>
          <w:sz w:val="20"/>
          <w:szCs w:val="20"/>
        </w:rPr>
      </w:pPr>
    </w:p>
    <w:p w14:paraId="281A0BF0" w14:textId="77777777" w:rsidR="004647B9" w:rsidRDefault="004647B9" w:rsidP="00FA5936">
      <w:pPr>
        <w:rPr>
          <w:sz w:val="20"/>
          <w:szCs w:val="20"/>
        </w:rPr>
      </w:pPr>
    </w:p>
    <w:p w14:paraId="281A0BF1" w14:textId="77777777" w:rsidR="004647B9" w:rsidRPr="00FA5936" w:rsidRDefault="00E2436F" w:rsidP="00FA5936">
      <w:pPr>
        <w:tabs>
          <w:tab w:val="left" w:pos="760"/>
        </w:tabs>
        <w:rPr>
          <w:sz w:val="24"/>
          <w:szCs w:val="24"/>
        </w:rPr>
      </w:pPr>
      <w:r w:rsidRPr="00FA5936">
        <w:rPr>
          <w:rFonts w:eastAsia="Times New Roman"/>
          <w:sz w:val="24"/>
          <w:szCs w:val="24"/>
        </w:rPr>
        <w:t>22.14:</w:t>
      </w:r>
      <w:r w:rsidRPr="00FA5936">
        <w:rPr>
          <w:rFonts w:eastAsia="Times New Roman"/>
          <w:sz w:val="24"/>
          <w:szCs w:val="24"/>
        </w:rPr>
        <w:tab/>
        <w:t>continued</w:t>
      </w:r>
    </w:p>
    <w:p w14:paraId="281A0BF2" w14:textId="77777777" w:rsidR="004647B9" w:rsidRDefault="004647B9" w:rsidP="00FA5936">
      <w:pPr>
        <w:rPr>
          <w:sz w:val="20"/>
          <w:szCs w:val="20"/>
        </w:rPr>
      </w:pPr>
    </w:p>
    <w:p w14:paraId="281A0BF3" w14:textId="77777777" w:rsidR="004647B9" w:rsidRDefault="00E2436F" w:rsidP="00FA5936">
      <w:pPr>
        <w:numPr>
          <w:ilvl w:val="1"/>
          <w:numId w:val="464"/>
        </w:numPr>
        <w:tabs>
          <w:tab w:val="left" w:pos="2119"/>
        </w:tabs>
        <w:ind w:left="1560" w:hanging="5"/>
        <w:jc w:val="both"/>
        <w:rPr>
          <w:rFonts w:eastAsia="Times New Roman"/>
          <w:sz w:val="24"/>
          <w:szCs w:val="24"/>
        </w:rPr>
      </w:pPr>
      <w:r>
        <w:rPr>
          <w:rFonts w:eastAsia="Times New Roman"/>
          <w:sz w:val="24"/>
          <w:szCs w:val="24"/>
          <w:u w:val="single"/>
        </w:rPr>
        <w:t>Responsibility</w:t>
      </w:r>
      <w:r>
        <w:rPr>
          <w:rFonts w:eastAsia="Times New Roman"/>
          <w:sz w:val="24"/>
          <w:szCs w:val="24"/>
        </w:rPr>
        <w:t>. The public water system is fully responsible for the provision of sufficient quantities of bottled water to every person supplied by the public water system via door-to-door bottled water delivery.</w:t>
      </w:r>
    </w:p>
    <w:p w14:paraId="281A0BF4" w14:textId="77777777" w:rsidR="004647B9" w:rsidRDefault="004647B9" w:rsidP="00FA5936">
      <w:pPr>
        <w:rPr>
          <w:rFonts w:eastAsia="Times New Roman"/>
          <w:sz w:val="24"/>
          <w:szCs w:val="24"/>
        </w:rPr>
      </w:pPr>
    </w:p>
    <w:p w14:paraId="281A0BF5" w14:textId="77777777" w:rsidR="004647B9" w:rsidRDefault="00E2436F" w:rsidP="00FA5936">
      <w:pPr>
        <w:numPr>
          <w:ilvl w:val="0"/>
          <w:numId w:val="465"/>
        </w:numPr>
        <w:tabs>
          <w:tab w:val="left" w:pos="1837"/>
        </w:tabs>
        <w:ind w:left="1200"/>
        <w:rPr>
          <w:rFonts w:eastAsia="Times New Roman"/>
          <w:sz w:val="24"/>
          <w:szCs w:val="24"/>
        </w:rPr>
      </w:pPr>
      <w:r>
        <w:rPr>
          <w:rFonts w:eastAsia="Times New Roman"/>
          <w:sz w:val="24"/>
          <w:szCs w:val="24"/>
        </w:rPr>
        <w:t>Public water systems that use point-of-use or point-of-entry devices as a condition of receiving an exemption must meet the requirements in 310 CMR 22.14(27).</w:t>
      </w:r>
    </w:p>
    <w:p w14:paraId="281A0BF6" w14:textId="77777777" w:rsidR="004647B9" w:rsidRDefault="004647B9" w:rsidP="00FA5936">
      <w:pPr>
        <w:rPr>
          <w:rFonts w:eastAsia="Times New Roman"/>
          <w:sz w:val="24"/>
          <w:szCs w:val="24"/>
        </w:rPr>
      </w:pPr>
    </w:p>
    <w:p w14:paraId="281A0BF7" w14:textId="471A1E10" w:rsidR="004647B9" w:rsidRDefault="00E2436F" w:rsidP="00FA5936">
      <w:pPr>
        <w:numPr>
          <w:ilvl w:val="0"/>
          <w:numId w:val="465"/>
        </w:numPr>
        <w:tabs>
          <w:tab w:val="left" w:pos="1816"/>
        </w:tabs>
        <w:ind w:left="1200"/>
        <w:jc w:val="both"/>
        <w:rPr>
          <w:rFonts w:eastAsia="Times New Roman"/>
          <w:sz w:val="24"/>
          <w:szCs w:val="24"/>
        </w:rPr>
      </w:pPr>
      <w:r w:rsidRPr="00BD060B">
        <w:rPr>
          <w:rFonts w:eastAsia="Times New Roman"/>
          <w:sz w:val="24"/>
          <w:szCs w:val="24"/>
        </w:rPr>
        <w:t>Public water systems</w:t>
      </w:r>
      <w:r>
        <w:rPr>
          <w:rFonts w:eastAsia="Times New Roman"/>
          <w:sz w:val="24"/>
          <w:szCs w:val="24"/>
        </w:rPr>
        <w:t xml:space="preserve"> that use point-of-use or point-of-entry devices as a condition for obtaining a variance or an exemption from 310 CMR 22.00 must meet the following requirements:</w:t>
      </w:r>
    </w:p>
    <w:p w14:paraId="281A0BF8" w14:textId="1FAB35D9" w:rsidR="004647B9" w:rsidRDefault="00E2436F" w:rsidP="00FA5936">
      <w:pPr>
        <w:numPr>
          <w:ilvl w:val="1"/>
          <w:numId w:val="465"/>
        </w:numPr>
        <w:tabs>
          <w:tab w:val="left" w:pos="1997"/>
        </w:tabs>
        <w:ind w:left="1560" w:hanging="5"/>
        <w:rPr>
          <w:rFonts w:eastAsia="Times New Roman"/>
          <w:sz w:val="24"/>
          <w:szCs w:val="24"/>
        </w:rPr>
      </w:pPr>
      <w:r>
        <w:rPr>
          <w:rFonts w:eastAsia="Times New Roman"/>
          <w:sz w:val="24"/>
          <w:szCs w:val="24"/>
        </w:rPr>
        <w:t>It is the responsibility of the public water system to operate and maintain the point-of-use and/or point-of-entry treatment system.</w:t>
      </w:r>
    </w:p>
    <w:p w14:paraId="281A0BFA" w14:textId="30D3C7CA" w:rsidR="004647B9" w:rsidRDefault="00E2436F" w:rsidP="00FA5936">
      <w:pPr>
        <w:numPr>
          <w:ilvl w:val="1"/>
          <w:numId w:val="465"/>
        </w:numPr>
        <w:tabs>
          <w:tab w:val="left" w:pos="1963"/>
        </w:tabs>
        <w:ind w:left="1560" w:hanging="5"/>
        <w:jc w:val="both"/>
        <w:rPr>
          <w:rFonts w:eastAsia="Times New Roman"/>
          <w:sz w:val="24"/>
          <w:szCs w:val="24"/>
        </w:rPr>
      </w:pPr>
      <w:r>
        <w:rPr>
          <w:rFonts w:eastAsia="Times New Roman"/>
          <w:sz w:val="24"/>
          <w:szCs w:val="24"/>
        </w:rPr>
        <w:t xml:space="preserve">Before point-of-use or point-of-entry devices are installed, the public water system must obtain </w:t>
      </w:r>
      <w:r w:rsidDel="001A393C">
        <w:rPr>
          <w:rFonts w:eastAsia="Times New Roman"/>
          <w:sz w:val="24"/>
          <w:szCs w:val="24"/>
        </w:rPr>
        <w:t xml:space="preserve">the </w:t>
      </w:r>
      <w:r>
        <w:rPr>
          <w:rFonts w:eastAsia="Times New Roman"/>
          <w:sz w:val="24"/>
          <w:szCs w:val="24"/>
        </w:rPr>
        <w:t xml:space="preserve">approval of monitoring plan which ensures that the devices provide health protection equivalent to </w:t>
      </w:r>
      <w:r w:rsidR="00624A97">
        <w:rPr>
          <w:rFonts w:eastAsia="Times New Roman"/>
          <w:sz w:val="24"/>
          <w:szCs w:val="24"/>
        </w:rPr>
        <w:t>that</w:t>
      </w:r>
      <w:r>
        <w:rPr>
          <w:rFonts w:eastAsia="Times New Roman"/>
          <w:sz w:val="24"/>
          <w:szCs w:val="24"/>
        </w:rPr>
        <w:t xml:space="preserve"> provided by central water treatment.</w:t>
      </w:r>
    </w:p>
    <w:p w14:paraId="281A0BFC" w14:textId="07D1324C" w:rsidR="004647B9" w:rsidRDefault="00E2436F" w:rsidP="00FA5936">
      <w:pPr>
        <w:numPr>
          <w:ilvl w:val="1"/>
          <w:numId w:val="465"/>
        </w:numPr>
        <w:tabs>
          <w:tab w:val="left" w:pos="2134"/>
        </w:tabs>
        <w:ind w:left="1560" w:hanging="5"/>
        <w:rPr>
          <w:rFonts w:eastAsia="Times New Roman"/>
          <w:sz w:val="24"/>
          <w:szCs w:val="24"/>
        </w:rPr>
      </w:pPr>
      <w:r>
        <w:rPr>
          <w:rFonts w:eastAsia="Times New Roman"/>
          <w:sz w:val="24"/>
          <w:szCs w:val="24"/>
        </w:rPr>
        <w:t xml:space="preserve">The public water system must apply effective technology under </w:t>
      </w:r>
      <w:r w:rsidR="00624A97">
        <w:rPr>
          <w:rFonts w:eastAsia="Times New Roman"/>
          <w:sz w:val="24"/>
          <w:szCs w:val="24"/>
        </w:rPr>
        <w:t xml:space="preserve">a </w:t>
      </w:r>
      <w:r>
        <w:rPr>
          <w:rFonts w:eastAsia="Times New Roman"/>
          <w:sz w:val="24"/>
          <w:szCs w:val="24"/>
        </w:rPr>
        <w:t>Department</w:t>
      </w:r>
      <w:r w:rsidR="00624A97">
        <w:rPr>
          <w:rFonts w:eastAsia="Times New Roman"/>
          <w:sz w:val="24"/>
          <w:szCs w:val="24"/>
        </w:rPr>
        <w:t>-</w:t>
      </w:r>
      <w:r>
        <w:rPr>
          <w:rFonts w:eastAsia="Times New Roman"/>
          <w:sz w:val="24"/>
          <w:szCs w:val="24"/>
        </w:rPr>
        <w:t>approved plan. The microbiological safety of the water must be maintained at all times.</w:t>
      </w:r>
    </w:p>
    <w:p w14:paraId="281A0BFE" w14:textId="7F835576" w:rsidR="004647B9" w:rsidRDefault="00E2436F" w:rsidP="00FA5936">
      <w:pPr>
        <w:numPr>
          <w:ilvl w:val="1"/>
          <w:numId w:val="465"/>
        </w:numPr>
        <w:tabs>
          <w:tab w:val="left" w:pos="2018"/>
        </w:tabs>
        <w:ind w:left="1560" w:hanging="5"/>
        <w:jc w:val="both"/>
        <w:rPr>
          <w:rFonts w:eastAsia="Times New Roman"/>
          <w:sz w:val="24"/>
          <w:szCs w:val="24"/>
        </w:rPr>
      </w:pPr>
      <w:r>
        <w:rPr>
          <w:rFonts w:eastAsia="Times New Roman"/>
          <w:sz w:val="24"/>
          <w:szCs w:val="24"/>
        </w:rPr>
        <w:t>The Department will require adequate certification of performance, fi</w:t>
      </w:r>
      <w:r w:rsidR="007525A6">
        <w:rPr>
          <w:rFonts w:eastAsia="Times New Roman"/>
          <w:sz w:val="24"/>
          <w:szCs w:val="24"/>
        </w:rPr>
        <w:t>e</w:t>
      </w:r>
      <w:r>
        <w:rPr>
          <w:rFonts w:eastAsia="Times New Roman"/>
          <w:sz w:val="24"/>
          <w:szCs w:val="24"/>
        </w:rPr>
        <w:t xml:space="preserve">ld testing, and, if not included </w:t>
      </w:r>
      <w:r w:rsidR="00D46670">
        <w:rPr>
          <w:rFonts w:eastAsia="Times New Roman"/>
          <w:sz w:val="24"/>
          <w:szCs w:val="24"/>
        </w:rPr>
        <w:t xml:space="preserve">in </w:t>
      </w:r>
      <w:r>
        <w:rPr>
          <w:rFonts w:eastAsia="Times New Roman"/>
          <w:sz w:val="24"/>
          <w:szCs w:val="24"/>
        </w:rPr>
        <w:t>the certification process, a rigorous engineering design review of the point-of-use and/or point-of-entry devices.</w:t>
      </w:r>
    </w:p>
    <w:p w14:paraId="281A0C00" w14:textId="032A6790" w:rsidR="004647B9" w:rsidRDefault="00E2436F" w:rsidP="00FA5936">
      <w:pPr>
        <w:numPr>
          <w:ilvl w:val="1"/>
          <w:numId w:val="465"/>
        </w:numPr>
        <w:tabs>
          <w:tab w:val="left" w:pos="2102"/>
        </w:tabs>
        <w:ind w:left="1560" w:hanging="5"/>
        <w:jc w:val="both"/>
        <w:rPr>
          <w:rFonts w:eastAsia="Times New Roman"/>
          <w:sz w:val="24"/>
          <w:szCs w:val="24"/>
        </w:rPr>
      </w:pPr>
      <w:r>
        <w:rPr>
          <w:rFonts w:eastAsia="Times New Roman"/>
          <w:sz w:val="24"/>
          <w:szCs w:val="24"/>
        </w:rPr>
        <w:t>The design and application of the point-of-use and/or point-of-entry devices must consider the potential for increasing concentrations of heterotrophic bacteria in water treated with activated carbon. It may be necessary to use frequent backwashing, post-contactor disinfection, and Heterotrophic Plat</w:t>
      </w:r>
      <w:r w:rsidR="00B915D6">
        <w:rPr>
          <w:rFonts w:eastAsia="Times New Roman"/>
          <w:sz w:val="24"/>
          <w:szCs w:val="24"/>
        </w:rPr>
        <w:t>e</w:t>
      </w:r>
      <w:r>
        <w:rPr>
          <w:rFonts w:eastAsia="Times New Roman"/>
          <w:sz w:val="24"/>
          <w:szCs w:val="24"/>
        </w:rPr>
        <w:t xml:space="preserve"> Count monitoring to ensure that the microbiological safety of the water is no</w:t>
      </w:r>
      <w:r w:rsidR="00A11009">
        <w:rPr>
          <w:rFonts w:eastAsia="Times New Roman"/>
          <w:sz w:val="24"/>
          <w:szCs w:val="24"/>
        </w:rPr>
        <w:t>t</w:t>
      </w:r>
      <w:r>
        <w:rPr>
          <w:rFonts w:eastAsia="Times New Roman"/>
          <w:sz w:val="24"/>
          <w:szCs w:val="24"/>
        </w:rPr>
        <w:t xml:space="preserve"> compromised.</w:t>
      </w:r>
    </w:p>
    <w:p w14:paraId="281A0C02" w14:textId="0CD3A801" w:rsidR="004647B9" w:rsidRDefault="00E819F5" w:rsidP="00FA5936">
      <w:pPr>
        <w:numPr>
          <w:ilvl w:val="1"/>
          <w:numId w:val="465"/>
        </w:numPr>
        <w:tabs>
          <w:tab w:val="left" w:pos="2086"/>
        </w:tabs>
        <w:ind w:left="1560" w:hanging="5"/>
        <w:rPr>
          <w:rFonts w:eastAsia="Times New Roman"/>
          <w:sz w:val="24"/>
          <w:szCs w:val="24"/>
        </w:rPr>
      </w:pPr>
      <w:r>
        <w:rPr>
          <w:rFonts w:eastAsia="Times New Roman"/>
          <w:sz w:val="24"/>
          <w:szCs w:val="24"/>
        </w:rPr>
        <w:t>The public water system must a</w:t>
      </w:r>
      <w:r w:rsidR="00F662CA">
        <w:rPr>
          <w:rFonts w:eastAsia="Times New Roman"/>
          <w:sz w:val="24"/>
          <w:szCs w:val="24"/>
        </w:rPr>
        <w:t>ssur</w:t>
      </w:r>
      <w:r>
        <w:rPr>
          <w:rFonts w:eastAsia="Times New Roman"/>
          <w:sz w:val="24"/>
          <w:szCs w:val="24"/>
        </w:rPr>
        <w:t>e</w:t>
      </w:r>
      <w:r w:rsidR="00AE184C">
        <w:rPr>
          <w:rFonts w:eastAsia="Times New Roman"/>
          <w:sz w:val="24"/>
          <w:szCs w:val="24"/>
        </w:rPr>
        <w:t xml:space="preserve"> the Department</w:t>
      </w:r>
      <w:r w:rsidR="00F662CA">
        <w:rPr>
          <w:rFonts w:eastAsia="Times New Roman"/>
          <w:sz w:val="24"/>
          <w:szCs w:val="24"/>
        </w:rPr>
        <w:t xml:space="preserve"> that </w:t>
      </w:r>
      <w:r>
        <w:rPr>
          <w:rFonts w:eastAsia="Times New Roman"/>
          <w:sz w:val="24"/>
          <w:szCs w:val="24"/>
        </w:rPr>
        <w:t xml:space="preserve">buildings connected to the system </w:t>
      </w:r>
      <w:r w:rsidR="003A04A0">
        <w:rPr>
          <w:rFonts w:eastAsia="Times New Roman"/>
          <w:sz w:val="24"/>
          <w:szCs w:val="24"/>
        </w:rPr>
        <w:t xml:space="preserve">will </w:t>
      </w:r>
      <w:r>
        <w:rPr>
          <w:rFonts w:eastAsia="Times New Roman"/>
          <w:sz w:val="24"/>
          <w:szCs w:val="24"/>
        </w:rPr>
        <w:t>have sufficient p</w:t>
      </w:r>
      <w:r w:rsidR="00E2436F">
        <w:rPr>
          <w:rFonts w:eastAsia="Times New Roman"/>
          <w:sz w:val="24"/>
          <w:szCs w:val="24"/>
        </w:rPr>
        <w:t xml:space="preserve">oint-of-use or point-of-entry devices </w:t>
      </w:r>
      <w:r w:rsidR="00E2436F" w:rsidDel="00F91868">
        <w:rPr>
          <w:rFonts w:eastAsia="Times New Roman"/>
          <w:sz w:val="24"/>
          <w:szCs w:val="24"/>
        </w:rPr>
        <w:t>that are</w:t>
      </w:r>
      <w:r w:rsidR="00E2436F">
        <w:rPr>
          <w:rFonts w:eastAsia="Times New Roman"/>
          <w:sz w:val="24"/>
          <w:szCs w:val="24"/>
        </w:rPr>
        <w:t xml:space="preserve"> properly installed, maintained, and monitored such that all consumers will be protected.</w:t>
      </w:r>
    </w:p>
    <w:p w14:paraId="281A0C04" w14:textId="41A6A943" w:rsidR="004647B9" w:rsidRDefault="00E2436F" w:rsidP="00FA5936">
      <w:pPr>
        <w:numPr>
          <w:ilvl w:val="1"/>
          <w:numId w:val="465"/>
        </w:numPr>
        <w:tabs>
          <w:tab w:val="left" w:pos="2010"/>
        </w:tabs>
        <w:ind w:left="1560" w:hanging="5"/>
        <w:jc w:val="both"/>
        <w:rPr>
          <w:rFonts w:eastAsia="Times New Roman"/>
          <w:sz w:val="24"/>
          <w:szCs w:val="24"/>
        </w:rPr>
      </w:pPr>
      <w:r>
        <w:rPr>
          <w:rFonts w:eastAsia="Times New Roman"/>
          <w:sz w:val="24"/>
          <w:szCs w:val="24"/>
        </w:rPr>
        <w:t>In requiring the use of a point-of entry device as a condition of granting an exemption f</w:t>
      </w:r>
      <w:r w:rsidR="006D4681">
        <w:rPr>
          <w:rFonts w:eastAsia="Times New Roman"/>
          <w:sz w:val="24"/>
          <w:szCs w:val="24"/>
        </w:rPr>
        <w:t>r</w:t>
      </w:r>
      <w:r>
        <w:rPr>
          <w:rFonts w:eastAsia="Times New Roman"/>
          <w:sz w:val="24"/>
          <w:szCs w:val="24"/>
        </w:rPr>
        <w:t xml:space="preserve">om the treatment requirement for lead and copper under 310 CMR 22.06B, the </w:t>
      </w:r>
      <w:r w:rsidR="00A94D2B">
        <w:rPr>
          <w:rFonts w:eastAsia="Times New Roman"/>
          <w:sz w:val="24"/>
          <w:szCs w:val="24"/>
        </w:rPr>
        <w:t>public water s</w:t>
      </w:r>
      <w:r w:rsidR="00520AC7">
        <w:rPr>
          <w:rFonts w:eastAsia="Times New Roman"/>
          <w:sz w:val="24"/>
          <w:szCs w:val="24"/>
        </w:rPr>
        <w:t>ystem</w:t>
      </w:r>
      <w:r w:rsidR="00A94D2B">
        <w:rPr>
          <w:rFonts w:eastAsia="Times New Roman"/>
          <w:sz w:val="24"/>
          <w:szCs w:val="24"/>
        </w:rPr>
        <w:t xml:space="preserve"> </w:t>
      </w:r>
      <w:r>
        <w:rPr>
          <w:rFonts w:eastAsia="Times New Roman"/>
          <w:sz w:val="24"/>
          <w:szCs w:val="24"/>
        </w:rPr>
        <w:t xml:space="preserve">must assure </w:t>
      </w:r>
      <w:r w:rsidR="00A94D2B">
        <w:rPr>
          <w:rFonts w:eastAsia="Times New Roman"/>
          <w:sz w:val="24"/>
          <w:szCs w:val="24"/>
        </w:rPr>
        <w:t>the Department</w:t>
      </w:r>
      <w:r>
        <w:rPr>
          <w:rFonts w:eastAsia="Times New Roman"/>
          <w:sz w:val="24"/>
          <w:szCs w:val="24"/>
        </w:rPr>
        <w:t xml:space="preserve"> that use of the device will not cause increased corrosion of lead and copper bearing materials located between the device and the tap that could increase contamina</w:t>
      </w:r>
      <w:r w:rsidR="00980A66">
        <w:rPr>
          <w:rFonts w:eastAsia="Times New Roman"/>
          <w:sz w:val="24"/>
          <w:szCs w:val="24"/>
        </w:rPr>
        <w:t>n</w:t>
      </w:r>
      <w:r>
        <w:rPr>
          <w:rFonts w:eastAsia="Times New Roman"/>
          <w:sz w:val="24"/>
          <w:szCs w:val="24"/>
        </w:rPr>
        <w:t>t levels at the tap.</w:t>
      </w:r>
    </w:p>
    <w:p w14:paraId="281A0C05" w14:textId="77777777" w:rsidR="004647B9" w:rsidRPr="00C13169" w:rsidRDefault="004647B9" w:rsidP="00FA5936">
      <w:pPr>
        <w:rPr>
          <w:sz w:val="24"/>
          <w:szCs w:val="24"/>
        </w:rPr>
      </w:pPr>
    </w:p>
    <w:p w14:paraId="281A0C06" w14:textId="77777777" w:rsidR="004647B9" w:rsidRPr="00764311" w:rsidRDefault="00E2436F" w:rsidP="00FA5936">
      <w:pPr>
        <w:tabs>
          <w:tab w:val="left" w:pos="760"/>
        </w:tabs>
        <w:rPr>
          <w:sz w:val="24"/>
          <w:szCs w:val="24"/>
        </w:rPr>
      </w:pPr>
      <w:r w:rsidRPr="00764311">
        <w:rPr>
          <w:rFonts w:eastAsia="Times New Roman"/>
          <w:sz w:val="24"/>
          <w:szCs w:val="24"/>
          <w:u w:val="single"/>
        </w:rPr>
        <w:t>22.15:</w:t>
      </w:r>
      <w:r w:rsidRPr="00764311">
        <w:rPr>
          <w:rFonts w:eastAsia="Times New Roman"/>
          <w:sz w:val="24"/>
          <w:szCs w:val="24"/>
          <w:u w:val="single"/>
        </w:rPr>
        <w:tab/>
        <w:t>General Reporting Requirements</w:t>
      </w:r>
    </w:p>
    <w:p w14:paraId="281A0C07" w14:textId="77777777" w:rsidR="004647B9" w:rsidRPr="00764311" w:rsidRDefault="004647B9" w:rsidP="00FA5936">
      <w:pPr>
        <w:rPr>
          <w:sz w:val="24"/>
          <w:szCs w:val="24"/>
        </w:rPr>
      </w:pPr>
    </w:p>
    <w:p w14:paraId="281A0C08" w14:textId="77777777" w:rsidR="004647B9" w:rsidRPr="00764311" w:rsidRDefault="00E2436F" w:rsidP="00FA5936">
      <w:pPr>
        <w:numPr>
          <w:ilvl w:val="0"/>
          <w:numId w:val="466"/>
        </w:numPr>
        <w:tabs>
          <w:tab w:val="left" w:pos="1560"/>
        </w:tabs>
        <w:ind w:left="1560" w:hanging="360"/>
        <w:jc w:val="both"/>
        <w:rPr>
          <w:rFonts w:eastAsia="Times New Roman"/>
          <w:sz w:val="24"/>
          <w:szCs w:val="24"/>
        </w:rPr>
      </w:pPr>
      <w:r w:rsidRPr="00764311">
        <w:rPr>
          <w:rFonts w:eastAsia="Times New Roman"/>
          <w:sz w:val="24"/>
          <w:szCs w:val="24"/>
        </w:rPr>
        <w:t>(a) Except where a different reporting period is specified in 310 CMR 22.00, each Supplier of Water shall report to the Department within 48 hours every failure to comply with any of 310 CMR 22.00 applicable to the Supplier of Water, including failure to comply with any monitoring requirement applicable to the Supplier of Water pursuant to any of 310 CMR 22.00 and every failure to comply with a Treatment Technique approved by the Department.</w:t>
      </w:r>
    </w:p>
    <w:p w14:paraId="281A0C0A" w14:textId="77777777" w:rsidR="004647B9" w:rsidRPr="00764311" w:rsidRDefault="00E2436F" w:rsidP="00FA5936">
      <w:pPr>
        <w:numPr>
          <w:ilvl w:val="1"/>
          <w:numId w:val="466"/>
        </w:numPr>
        <w:tabs>
          <w:tab w:val="left" w:pos="1963"/>
        </w:tabs>
        <w:ind w:left="1560" w:hanging="5"/>
        <w:jc w:val="both"/>
        <w:rPr>
          <w:rFonts w:eastAsia="Times New Roman"/>
          <w:sz w:val="24"/>
          <w:szCs w:val="24"/>
        </w:rPr>
      </w:pPr>
      <w:r w:rsidRPr="00764311">
        <w:rPr>
          <w:rFonts w:eastAsia="Times New Roman"/>
          <w:sz w:val="24"/>
          <w:szCs w:val="24"/>
          <w:u w:val="single"/>
        </w:rPr>
        <w:t>Nitrate Reporting Requirements</w:t>
      </w:r>
      <w:r w:rsidRPr="00764311">
        <w:rPr>
          <w:rFonts w:eastAsia="Times New Roman"/>
          <w:sz w:val="24"/>
          <w:szCs w:val="24"/>
        </w:rPr>
        <w:t>. With regard to nitrate, a Supplier of Water shall notify the Department of Public Health and local public health authorities within 30 days of the date the Public Water System first learns of an analysis taken for purposes of 310 CMR 22.06 which indicates nitrate levels in excess of 10 mg/L.</w:t>
      </w:r>
    </w:p>
    <w:p w14:paraId="281A0C0C" w14:textId="77777777" w:rsidR="004647B9" w:rsidRPr="00764311" w:rsidRDefault="00E2436F" w:rsidP="00FA5936">
      <w:pPr>
        <w:numPr>
          <w:ilvl w:val="1"/>
          <w:numId w:val="466"/>
        </w:numPr>
        <w:tabs>
          <w:tab w:val="left" w:pos="1999"/>
        </w:tabs>
        <w:ind w:left="1560" w:hanging="5"/>
        <w:jc w:val="both"/>
        <w:rPr>
          <w:rFonts w:eastAsia="Times New Roman"/>
          <w:sz w:val="24"/>
          <w:szCs w:val="24"/>
        </w:rPr>
      </w:pPr>
      <w:r w:rsidRPr="00764311">
        <w:rPr>
          <w:rFonts w:eastAsia="Times New Roman"/>
          <w:sz w:val="24"/>
          <w:szCs w:val="24"/>
        </w:rPr>
        <w:t xml:space="preserve">Except where a different reporting period is specified in 310 CMR 22.00, for each acute contaminant specified in 310 CMR 22.16: </w:t>
      </w:r>
      <w:r w:rsidRPr="00764311">
        <w:rPr>
          <w:rFonts w:eastAsia="Times New Roman"/>
          <w:i/>
          <w:iCs/>
          <w:sz w:val="24"/>
          <w:szCs w:val="24"/>
        </w:rPr>
        <w:t>Table 3</w:t>
      </w:r>
      <w:r w:rsidRPr="00764311">
        <w:rPr>
          <w:rFonts w:eastAsia="Times New Roman"/>
          <w:sz w:val="24"/>
          <w:szCs w:val="24"/>
        </w:rPr>
        <w:t>, or where a single sample result is greater than four times the MCL, each Supplier of Water shall report to the Department an MCL exceedance on the same business day that the Supplier of Water becomes aware of the test results. If the Supplier of Water receives such notification outside of the Department's regular business hours, then the Supplier of Water shall notify and consult with the Department on the next business day. In cases where the Supplier of Water receives such notification, and the following day is a non-business day then it shall provide notification to the Department by calling the Department's Emergency notification telephone number and using any other electronic reporting tool designated by the Department, or other Department designated numbers no later than 24 hours after it receives such notification from the laboratory.</w:t>
      </w:r>
    </w:p>
    <w:p w14:paraId="281A0C0E" w14:textId="77777777" w:rsidR="004647B9" w:rsidRPr="00764311" w:rsidRDefault="00E2436F" w:rsidP="00FA5936">
      <w:pPr>
        <w:numPr>
          <w:ilvl w:val="1"/>
          <w:numId w:val="466"/>
        </w:numPr>
        <w:tabs>
          <w:tab w:val="left" w:pos="1980"/>
        </w:tabs>
        <w:ind w:left="1560" w:hanging="5"/>
        <w:jc w:val="both"/>
        <w:rPr>
          <w:rFonts w:eastAsia="Times New Roman"/>
          <w:sz w:val="24"/>
          <w:szCs w:val="24"/>
        </w:rPr>
      </w:pPr>
      <w:r w:rsidRPr="00764311">
        <w:rPr>
          <w:rFonts w:eastAsia="Times New Roman"/>
          <w:sz w:val="24"/>
          <w:szCs w:val="24"/>
        </w:rPr>
        <w:t>A system must notify the Department as soon as possible but no later than the end of the day (</w:t>
      </w:r>
      <w:r w:rsidRPr="00764311">
        <w:rPr>
          <w:rFonts w:eastAsia="Times New Roman"/>
          <w:i/>
          <w:iCs/>
          <w:sz w:val="24"/>
          <w:szCs w:val="24"/>
        </w:rPr>
        <w:t>i.e</w:t>
      </w:r>
      <w:r w:rsidRPr="00764311">
        <w:rPr>
          <w:rFonts w:eastAsia="Times New Roman"/>
          <w:sz w:val="24"/>
          <w:szCs w:val="24"/>
        </w:rPr>
        <w:t xml:space="preserve">. prior to midnight) when the system learns of an </w:t>
      </w:r>
      <w:r w:rsidRPr="00764311">
        <w:rPr>
          <w:rFonts w:eastAsia="Times New Roman"/>
          <w:i/>
          <w:iCs/>
          <w:sz w:val="24"/>
          <w:szCs w:val="24"/>
        </w:rPr>
        <w:t>E. coli</w:t>
      </w:r>
      <w:r w:rsidRPr="00764311">
        <w:rPr>
          <w:rFonts w:eastAsia="Times New Roman"/>
          <w:sz w:val="24"/>
          <w:szCs w:val="24"/>
        </w:rPr>
        <w:t xml:space="preserve"> MCL violation, in accordance with 310 CMR 22.05(12)(a)1.a., and must notify the public in accordance with 310 CMR 22.16.</w:t>
      </w:r>
    </w:p>
    <w:p w14:paraId="281A0C0F" w14:textId="77777777" w:rsidR="004647B9" w:rsidRDefault="004647B9" w:rsidP="00FA5936">
      <w:pPr>
        <w:sectPr w:rsidR="004647B9" w:rsidSect="00EF630C">
          <w:pgSz w:w="12240" w:h="20180"/>
          <w:pgMar w:top="708" w:right="1440" w:bottom="1103" w:left="600" w:header="0" w:footer="0" w:gutter="0"/>
          <w:cols w:space="720"/>
        </w:sectPr>
      </w:pPr>
    </w:p>
    <w:p w14:paraId="281A0C10" w14:textId="77777777" w:rsidR="004647B9" w:rsidRDefault="00E2436F">
      <w:pPr>
        <w:tabs>
          <w:tab w:val="left" w:pos="160"/>
        </w:tabs>
        <w:jc w:val="center"/>
        <w:rPr>
          <w:sz w:val="20"/>
          <w:szCs w:val="20"/>
        </w:rPr>
      </w:pPr>
      <w:bookmarkStart w:id="180" w:name="page182"/>
      <w:bookmarkEnd w:id="18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C11" w14:textId="77777777" w:rsidR="004647B9" w:rsidRDefault="004647B9" w:rsidP="00C13169">
      <w:pPr>
        <w:rPr>
          <w:sz w:val="20"/>
          <w:szCs w:val="20"/>
        </w:rPr>
      </w:pPr>
    </w:p>
    <w:p w14:paraId="281A0C12" w14:textId="77777777" w:rsidR="004647B9" w:rsidRDefault="004647B9" w:rsidP="00C13169">
      <w:pPr>
        <w:rPr>
          <w:sz w:val="20"/>
          <w:szCs w:val="20"/>
        </w:rPr>
      </w:pPr>
    </w:p>
    <w:p w14:paraId="281A0C13" w14:textId="77777777" w:rsidR="004647B9" w:rsidRPr="00764311" w:rsidRDefault="00E2436F" w:rsidP="00C13169">
      <w:pPr>
        <w:tabs>
          <w:tab w:val="left" w:pos="760"/>
        </w:tabs>
        <w:rPr>
          <w:sz w:val="24"/>
          <w:szCs w:val="24"/>
        </w:rPr>
      </w:pPr>
      <w:r w:rsidRPr="00764311">
        <w:rPr>
          <w:rFonts w:eastAsia="Times New Roman"/>
          <w:sz w:val="24"/>
          <w:szCs w:val="24"/>
        </w:rPr>
        <w:t>22.15:</w:t>
      </w:r>
      <w:r w:rsidRPr="00764311">
        <w:rPr>
          <w:rFonts w:eastAsia="Times New Roman"/>
          <w:sz w:val="24"/>
          <w:szCs w:val="24"/>
        </w:rPr>
        <w:tab/>
        <w:t>continued</w:t>
      </w:r>
    </w:p>
    <w:p w14:paraId="281A0C14" w14:textId="77777777" w:rsidR="004647B9" w:rsidRPr="00C13169" w:rsidRDefault="004647B9" w:rsidP="00C13169">
      <w:pPr>
        <w:rPr>
          <w:sz w:val="20"/>
          <w:szCs w:val="20"/>
        </w:rPr>
      </w:pPr>
    </w:p>
    <w:p w14:paraId="281A0C15" w14:textId="77777777" w:rsidR="004647B9" w:rsidRPr="00764311" w:rsidRDefault="00E2436F" w:rsidP="00C13169">
      <w:pPr>
        <w:numPr>
          <w:ilvl w:val="0"/>
          <w:numId w:val="467"/>
        </w:numPr>
        <w:tabs>
          <w:tab w:val="left" w:pos="1646"/>
        </w:tabs>
        <w:ind w:left="1200"/>
        <w:jc w:val="both"/>
        <w:rPr>
          <w:rFonts w:eastAsia="Times New Roman"/>
          <w:sz w:val="24"/>
          <w:szCs w:val="24"/>
        </w:rPr>
      </w:pPr>
      <w:r w:rsidRPr="00764311">
        <w:rPr>
          <w:rFonts w:eastAsia="Times New Roman"/>
          <w:sz w:val="24"/>
          <w:szCs w:val="24"/>
        </w:rPr>
        <w:t>Unless a shorter reporting period is prescribed elsewhere in 310 CMR 22.00, the Supplier of Water shall report to the Department the results of every test, measurement or analysis the Supplier of Water is required by 310 CMR 22.00 to make within the shorter of the following time periods:</w:t>
      </w:r>
    </w:p>
    <w:p w14:paraId="281A0C17" w14:textId="77777777" w:rsidR="004647B9" w:rsidRPr="00764311" w:rsidRDefault="00E2436F" w:rsidP="00C13169">
      <w:pPr>
        <w:numPr>
          <w:ilvl w:val="1"/>
          <w:numId w:val="467"/>
        </w:numPr>
        <w:tabs>
          <w:tab w:val="left" w:pos="2000"/>
        </w:tabs>
        <w:ind w:left="2000" w:hanging="445"/>
        <w:rPr>
          <w:rFonts w:eastAsia="Times New Roman"/>
          <w:sz w:val="24"/>
          <w:szCs w:val="24"/>
        </w:rPr>
      </w:pPr>
      <w:r w:rsidRPr="00764311">
        <w:rPr>
          <w:rFonts w:eastAsia="Times New Roman"/>
          <w:sz w:val="24"/>
          <w:szCs w:val="24"/>
        </w:rPr>
        <w:t>the first ten days following the month in which the results are received; or</w:t>
      </w:r>
    </w:p>
    <w:p w14:paraId="281A0C19" w14:textId="77777777" w:rsidR="004647B9" w:rsidRPr="00764311" w:rsidRDefault="00E2436F" w:rsidP="00C13169">
      <w:pPr>
        <w:numPr>
          <w:ilvl w:val="1"/>
          <w:numId w:val="467"/>
        </w:numPr>
        <w:tabs>
          <w:tab w:val="left" w:pos="2027"/>
        </w:tabs>
        <w:ind w:left="1560" w:hanging="5"/>
        <w:rPr>
          <w:rFonts w:eastAsia="Times New Roman"/>
          <w:sz w:val="24"/>
          <w:szCs w:val="24"/>
        </w:rPr>
      </w:pPr>
      <w:r w:rsidRPr="00764311">
        <w:rPr>
          <w:rFonts w:eastAsia="Times New Roman"/>
          <w:sz w:val="24"/>
          <w:szCs w:val="24"/>
        </w:rPr>
        <w:t>the first ten days following the end of the required monitoring period as stipulated by the Department.</w:t>
      </w:r>
    </w:p>
    <w:p w14:paraId="281A0C1A" w14:textId="77777777" w:rsidR="004647B9" w:rsidRPr="00764311" w:rsidRDefault="004647B9" w:rsidP="00C13169">
      <w:pPr>
        <w:rPr>
          <w:rFonts w:eastAsia="Times New Roman"/>
          <w:sz w:val="24"/>
          <w:szCs w:val="24"/>
        </w:rPr>
      </w:pPr>
    </w:p>
    <w:p w14:paraId="281A0C1B" w14:textId="77777777" w:rsidR="004647B9" w:rsidRPr="00764311" w:rsidRDefault="00E2436F" w:rsidP="00C13169">
      <w:pPr>
        <w:numPr>
          <w:ilvl w:val="0"/>
          <w:numId w:val="467"/>
        </w:numPr>
        <w:tabs>
          <w:tab w:val="left" w:pos="1560"/>
        </w:tabs>
        <w:ind w:left="1560" w:hanging="360"/>
        <w:rPr>
          <w:rFonts w:eastAsia="Times New Roman"/>
          <w:sz w:val="24"/>
          <w:szCs w:val="24"/>
        </w:rPr>
      </w:pPr>
      <w:r w:rsidRPr="00764311">
        <w:rPr>
          <w:rFonts w:eastAsia="Times New Roman"/>
          <w:sz w:val="24"/>
          <w:szCs w:val="24"/>
        </w:rPr>
        <w:t>(a) The Supplier of Water is not required to report analytical results to the Department in cases where a Department laboratory performs the analysis.</w:t>
      </w:r>
    </w:p>
    <w:p w14:paraId="281A0C1D" w14:textId="77777777" w:rsidR="004647B9" w:rsidRPr="00764311" w:rsidRDefault="00E2436F" w:rsidP="00C13169">
      <w:pPr>
        <w:numPr>
          <w:ilvl w:val="1"/>
          <w:numId w:val="468"/>
        </w:numPr>
        <w:tabs>
          <w:tab w:val="left" w:pos="1987"/>
        </w:tabs>
        <w:ind w:left="1555"/>
        <w:jc w:val="both"/>
        <w:rPr>
          <w:rFonts w:eastAsia="Times New Roman"/>
          <w:sz w:val="24"/>
          <w:szCs w:val="24"/>
        </w:rPr>
      </w:pPr>
      <w:r w:rsidRPr="00764311">
        <w:rPr>
          <w:rFonts w:eastAsia="Times New Roman"/>
          <w:sz w:val="24"/>
          <w:szCs w:val="24"/>
        </w:rPr>
        <w:t>The Supplier of Water within ten days of completing the public notification requirements under 310 CMR 22.16 for the initial public notice and any repeat notices, shall submit to the Department and local Board of Health a certification that it has fully complied with the public notification regulations. The Supplier of Water shall include with this certification a representative copy of each type of notice distributed, published, posted, and made available to the Persons served by the system and to the media.</w:t>
      </w:r>
    </w:p>
    <w:p w14:paraId="281A0C1F" w14:textId="77777777" w:rsidR="004647B9" w:rsidRPr="00764311" w:rsidRDefault="00E2436F" w:rsidP="00C13169">
      <w:pPr>
        <w:numPr>
          <w:ilvl w:val="1"/>
          <w:numId w:val="468"/>
        </w:numPr>
        <w:tabs>
          <w:tab w:val="left" w:pos="1992"/>
        </w:tabs>
        <w:ind w:left="1555"/>
        <w:jc w:val="both"/>
        <w:rPr>
          <w:rFonts w:eastAsia="Times New Roman"/>
          <w:sz w:val="24"/>
          <w:szCs w:val="24"/>
        </w:rPr>
      </w:pPr>
      <w:r w:rsidRPr="00764311">
        <w:rPr>
          <w:rFonts w:eastAsia="Times New Roman"/>
          <w:sz w:val="24"/>
          <w:szCs w:val="24"/>
        </w:rPr>
        <w:t>When requested, the Supplier of Water shall submit to the Department within the time specified copies of any records required to be maintained under 310 CMR 22.15 or copies of any documents then in existence which the Department is entitled to inspect pursuant to 310 CMR 22.00.</w:t>
      </w:r>
    </w:p>
    <w:p w14:paraId="281A0C20" w14:textId="77777777" w:rsidR="004647B9" w:rsidRPr="00764311" w:rsidRDefault="004647B9" w:rsidP="00C13169">
      <w:pPr>
        <w:rPr>
          <w:rFonts w:eastAsia="Times New Roman"/>
          <w:sz w:val="24"/>
          <w:szCs w:val="24"/>
        </w:rPr>
      </w:pPr>
    </w:p>
    <w:p w14:paraId="281A0C21" w14:textId="77777777" w:rsidR="004647B9" w:rsidRPr="00764311" w:rsidRDefault="00E2436F" w:rsidP="00C13169">
      <w:pPr>
        <w:numPr>
          <w:ilvl w:val="0"/>
          <w:numId w:val="469"/>
        </w:numPr>
        <w:tabs>
          <w:tab w:val="left" w:pos="1660"/>
        </w:tabs>
        <w:ind w:left="1200"/>
        <w:jc w:val="both"/>
        <w:rPr>
          <w:rFonts w:eastAsia="Times New Roman"/>
          <w:sz w:val="24"/>
          <w:szCs w:val="24"/>
        </w:rPr>
      </w:pPr>
      <w:r w:rsidRPr="00764311">
        <w:rPr>
          <w:rFonts w:eastAsia="Times New Roman"/>
          <w:sz w:val="24"/>
          <w:szCs w:val="24"/>
          <w:u w:val="single"/>
        </w:rPr>
        <w:t>Chemical Addition</w:t>
      </w:r>
      <w:r w:rsidRPr="00764311">
        <w:rPr>
          <w:rFonts w:eastAsia="Times New Roman"/>
          <w:sz w:val="24"/>
          <w:szCs w:val="24"/>
        </w:rPr>
        <w:t>. Every Supplier of Water shall report to the Department at least once each month the use of chemicals added to the water supply. Such reports shall include, but not be limited to, the name of the chemical, the amount added, the resulting concentration of the chemical in the water, and the reason for adding the chemical to the water.</w:t>
      </w:r>
    </w:p>
    <w:p w14:paraId="281A0C22" w14:textId="77777777" w:rsidR="004647B9" w:rsidRPr="00764311" w:rsidRDefault="004647B9" w:rsidP="00C13169">
      <w:pPr>
        <w:rPr>
          <w:rFonts w:eastAsia="Times New Roman"/>
          <w:sz w:val="24"/>
          <w:szCs w:val="24"/>
        </w:rPr>
      </w:pPr>
    </w:p>
    <w:p w14:paraId="281A0C23" w14:textId="77777777" w:rsidR="004647B9" w:rsidRPr="00764311" w:rsidRDefault="00E2436F" w:rsidP="00C13169">
      <w:pPr>
        <w:numPr>
          <w:ilvl w:val="0"/>
          <w:numId w:val="469"/>
        </w:numPr>
        <w:tabs>
          <w:tab w:val="left" w:pos="1753"/>
        </w:tabs>
        <w:ind w:left="1200"/>
        <w:jc w:val="both"/>
        <w:rPr>
          <w:rFonts w:eastAsia="Times New Roman"/>
          <w:sz w:val="24"/>
          <w:szCs w:val="24"/>
        </w:rPr>
      </w:pPr>
      <w:r w:rsidRPr="00764311">
        <w:rPr>
          <w:rFonts w:eastAsia="Times New Roman"/>
          <w:sz w:val="24"/>
          <w:szCs w:val="24"/>
          <w:u w:val="single"/>
        </w:rPr>
        <w:t>Annual Statistical Report</w:t>
      </w:r>
      <w:r w:rsidRPr="00764311">
        <w:rPr>
          <w:rFonts w:eastAsia="Times New Roman"/>
          <w:sz w:val="24"/>
          <w:szCs w:val="24"/>
        </w:rPr>
        <w:t>. Every Supplier of Water shall report electronically to the Department annually, by the due date specified each year on a form prescribed by the Department, full and complete information describing the operation of the Public Water System during the prior year, including but not limited to, the amount of water that passes through their Distribution Systems during the preceding calendar year. A Supplier of Water may request, on a form provided by the Department, approval for a hardship exemption from electronic reporting for the annual report due that year, based on a lack of internet access or service. If granted, the Supplier of Water shall make a paper filing for that year using a form provided by the Department. In no event shall the Supplier of Water fail to file the annual report by the due date specified above. Such reports shall include, at a minimum, the following:</w:t>
      </w:r>
    </w:p>
    <w:p w14:paraId="281A0C25" w14:textId="77777777" w:rsidR="004647B9" w:rsidRPr="00764311" w:rsidRDefault="00E2436F" w:rsidP="00C13169">
      <w:pPr>
        <w:numPr>
          <w:ilvl w:val="1"/>
          <w:numId w:val="469"/>
        </w:numPr>
        <w:tabs>
          <w:tab w:val="left" w:pos="2016"/>
        </w:tabs>
        <w:ind w:left="2000" w:hanging="445"/>
        <w:rPr>
          <w:rFonts w:eastAsia="Times New Roman"/>
          <w:sz w:val="24"/>
          <w:szCs w:val="24"/>
        </w:rPr>
      </w:pPr>
      <w:r w:rsidRPr="00764311">
        <w:rPr>
          <w:rFonts w:eastAsia="Times New Roman"/>
          <w:sz w:val="24"/>
          <w:szCs w:val="24"/>
        </w:rPr>
        <w:t>a monthly breakdown of the amount of water:</w:t>
      </w:r>
    </w:p>
    <w:p w14:paraId="281A0C27"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purchased from other Public Water Systems;</w:t>
      </w:r>
    </w:p>
    <w:p w14:paraId="281A0C29"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sold to other Public Water Systems;</w:t>
      </w:r>
    </w:p>
    <w:p w14:paraId="281A0C2B"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sold or otherwise supplied to other consumers; and</w:t>
      </w:r>
    </w:p>
    <w:p w14:paraId="281A0C2D"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withdrawn from each source.</w:t>
      </w:r>
    </w:p>
    <w:p w14:paraId="281A0C2F" w14:textId="77777777" w:rsidR="004647B9" w:rsidRPr="00764311" w:rsidRDefault="00E2436F" w:rsidP="00C13169">
      <w:pPr>
        <w:numPr>
          <w:ilvl w:val="1"/>
          <w:numId w:val="469"/>
        </w:numPr>
        <w:tabs>
          <w:tab w:val="left" w:pos="2021"/>
        </w:tabs>
        <w:ind w:left="1560" w:hanging="5"/>
        <w:rPr>
          <w:rFonts w:eastAsia="Times New Roman"/>
          <w:sz w:val="24"/>
          <w:szCs w:val="24"/>
        </w:rPr>
      </w:pPr>
      <w:r w:rsidRPr="00764311">
        <w:rPr>
          <w:rFonts w:eastAsia="Times New Roman"/>
          <w:sz w:val="24"/>
          <w:szCs w:val="24"/>
        </w:rPr>
        <w:t>an annual breakdown, to the extent known to the Supplier of Water, of the amount of water furnished during the year to each of the following classes of users:</w:t>
      </w:r>
    </w:p>
    <w:p w14:paraId="281A0C31"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residential users;</w:t>
      </w:r>
    </w:p>
    <w:p w14:paraId="281A0C33"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agricultural users;</w:t>
      </w:r>
    </w:p>
    <w:p w14:paraId="281A0C35"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commercial users;</w:t>
      </w:r>
    </w:p>
    <w:p w14:paraId="281A0C37"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industrial users;</w:t>
      </w:r>
    </w:p>
    <w:p w14:paraId="281A0C39"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other Public Water Systems; and</w:t>
      </w:r>
    </w:p>
    <w:p w14:paraId="281A0C3B" w14:textId="77777777" w:rsidR="004647B9" w:rsidRPr="00764311" w:rsidRDefault="00E2436F" w:rsidP="00C13169">
      <w:pPr>
        <w:numPr>
          <w:ilvl w:val="2"/>
          <w:numId w:val="469"/>
        </w:numPr>
        <w:tabs>
          <w:tab w:val="left" w:pos="2280"/>
        </w:tabs>
        <w:ind w:left="2280" w:hanging="365"/>
        <w:rPr>
          <w:rFonts w:eastAsia="Times New Roman"/>
          <w:sz w:val="24"/>
          <w:szCs w:val="24"/>
        </w:rPr>
      </w:pPr>
      <w:r w:rsidRPr="00764311">
        <w:rPr>
          <w:rFonts w:eastAsia="Times New Roman"/>
          <w:sz w:val="24"/>
          <w:szCs w:val="24"/>
        </w:rPr>
        <w:t>unaccounted for.</w:t>
      </w:r>
    </w:p>
    <w:p w14:paraId="281A0C3D" w14:textId="77777777" w:rsidR="004647B9" w:rsidRPr="00764311" w:rsidRDefault="00E2436F" w:rsidP="00C13169">
      <w:pPr>
        <w:numPr>
          <w:ilvl w:val="1"/>
          <w:numId w:val="469"/>
        </w:numPr>
        <w:tabs>
          <w:tab w:val="left" w:pos="2016"/>
        </w:tabs>
        <w:ind w:left="2000" w:hanging="445"/>
        <w:rPr>
          <w:rFonts w:eastAsia="Times New Roman"/>
          <w:sz w:val="24"/>
          <w:szCs w:val="24"/>
        </w:rPr>
      </w:pPr>
      <w:r w:rsidRPr="00764311">
        <w:rPr>
          <w:rFonts w:eastAsia="Times New Roman"/>
          <w:sz w:val="24"/>
          <w:szCs w:val="24"/>
        </w:rPr>
        <w:t>Total number of users served by the system.</w:t>
      </w:r>
    </w:p>
    <w:p w14:paraId="281A0C3F" w14:textId="77777777" w:rsidR="004647B9" w:rsidRPr="00764311" w:rsidRDefault="00E2436F" w:rsidP="00C13169">
      <w:pPr>
        <w:numPr>
          <w:ilvl w:val="1"/>
          <w:numId w:val="469"/>
        </w:numPr>
        <w:tabs>
          <w:tab w:val="left" w:pos="2020"/>
        </w:tabs>
        <w:ind w:left="2020" w:hanging="465"/>
        <w:rPr>
          <w:rFonts w:eastAsia="Times New Roman"/>
          <w:sz w:val="24"/>
          <w:szCs w:val="24"/>
        </w:rPr>
      </w:pPr>
      <w:r w:rsidRPr="00764311">
        <w:rPr>
          <w:rFonts w:eastAsia="Times New Roman"/>
          <w:sz w:val="24"/>
          <w:szCs w:val="24"/>
        </w:rPr>
        <w:t>Total number of days the system is operating during the calendar year.</w:t>
      </w:r>
    </w:p>
    <w:p w14:paraId="59CE1A5E" w14:textId="34230AC1" w:rsidR="00AE6656" w:rsidRDefault="00E2436F" w:rsidP="00C13169">
      <w:pPr>
        <w:numPr>
          <w:ilvl w:val="1"/>
          <w:numId w:val="469"/>
        </w:numPr>
        <w:tabs>
          <w:tab w:val="left" w:pos="2016"/>
        </w:tabs>
        <w:ind w:left="1560" w:hanging="5"/>
        <w:rPr>
          <w:rFonts w:eastAsia="Times New Roman"/>
          <w:sz w:val="24"/>
          <w:szCs w:val="24"/>
        </w:rPr>
      </w:pPr>
      <w:r w:rsidRPr="00764311">
        <w:rPr>
          <w:rFonts w:eastAsia="Times New Roman"/>
          <w:sz w:val="24"/>
          <w:szCs w:val="24"/>
        </w:rPr>
        <w:t>Any updates to the Public Water Systems' Emergency Response Plan prepared in accordance with 310 CMR 22.04(13).</w:t>
      </w:r>
    </w:p>
    <w:p w14:paraId="3F604E67" w14:textId="77777777" w:rsidR="00534BE3" w:rsidRDefault="00D52224" w:rsidP="00C13169">
      <w:pPr>
        <w:numPr>
          <w:ilvl w:val="1"/>
          <w:numId w:val="469"/>
        </w:numPr>
        <w:tabs>
          <w:tab w:val="left" w:pos="2016"/>
        </w:tabs>
        <w:ind w:left="1560" w:hanging="5"/>
        <w:rPr>
          <w:rFonts w:eastAsia="Times New Roman"/>
          <w:sz w:val="24"/>
          <w:szCs w:val="24"/>
        </w:rPr>
      </w:pPr>
      <w:r w:rsidRPr="00AE6656">
        <w:rPr>
          <w:rFonts w:eastAsia="Times New Roman"/>
          <w:sz w:val="24"/>
          <w:szCs w:val="24"/>
        </w:rPr>
        <w:t>Names and Grades of Certified Operators.</w:t>
      </w:r>
    </w:p>
    <w:p w14:paraId="3C7A1532" w14:textId="52380F60" w:rsidR="000B4EBB" w:rsidRDefault="005B29E4" w:rsidP="005B29E4">
      <w:pPr>
        <w:tabs>
          <w:tab w:val="left" w:pos="2016"/>
        </w:tabs>
        <w:ind w:left="1555"/>
        <w:rPr>
          <w:rFonts w:eastAsia="Times New Roman"/>
          <w:sz w:val="24"/>
          <w:szCs w:val="24"/>
        </w:rPr>
      </w:pPr>
      <w:r>
        <w:rPr>
          <w:rFonts w:eastAsia="Times New Roman"/>
          <w:sz w:val="24"/>
          <w:szCs w:val="24"/>
        </w:rPr>
        <w:t xml:space="preserve">(g) </w:t>
      </w:r>
      <w:r w:rsidR="121EFC3B" w:rsidRPr="009D316F">
        <w:rPr>
          <w:rFonts w:eastAsia="Times New Roman"/>
          <w:sz w:val="24"/>
          <w:szCs w:val="24"/>
        </w:rPr>
        <w:t xml:space="preserve"> </w:t>
      </w:r>
      <w:r w:rsidR="00FE6728">
        <w:rPr>
          <w:rFonts w:eastAsia="Times New Roman"/>
          <w:sz w:val="24"/>
          <w:szCs w:val="24"/>
        </w:rPr>
        <w:t xml:space="preserve">In accordance with 310 CMR </w:t>
      </w:r>
      <w:r w:rsidR="00167858">
        <w:rPr>
          <w:rFonts w:eastAsia="Times New Roman"/>
          <w:sz w:val="24"/>
          <w:szCs w:val="24"/>
        </w:rPr>
        <w:t xml:space="preserve">22.21(4)(b), for each well or wellfield under the Supplier of Water’s ownership or control, a </w:t>
      </w:r>
      <w:r w:rsidR="0027031C" w:rsidRPr="009D316F">
        <w:rPr>
          <w:rFonts w:eastAsia="Times New Roman"/>
          <w:sz w:val="24"/>
          <w:szCs w:val="24"/>
        </w:rPr>
        <w:t xml:space="preserve">report of </w:t>
      </w:r>
      <w:r w:rsidR="121EFC3B" w:rsidRPr="009D316F">
        <w:rPr>
          <w:rFonts w:eastAsia="Times New Roman"/>
          <w:sz w:val="24"/>
          <w:szCs w:val="24"/>
        </w:rPr>
        <w:t>new land uses</w:t>
      </w:r>
      <w:r w:rsidR="003A3CFF" w:rsidRPr="009D316F">
        <w:rPr>
          <w:rFonts w:eastAsia="Times New Roman"/>
          <w:sz w:val="24"/>
          <w:szCs w:val="24"/>
        </w:rPr>
        <w:t xml:space="preserve"> within the </w:t>
      </w:r>
      <w:r w:rsidR="00D9085A">
        <w:rPr>
          <w:rFonts w:eastAsia="Times New Roman"/>
          <w:sz w:val="24"/>
          <w:szCs w:val="24"/>
        </w:rPr>
        <w:t xml:space="preserve">following areas </w:t>
      </w:r>
      <w:r w:rsidR="001E2100" w:rsidRPr="009D316F">
        <w:rPr>
          <w:rFonts w:eastAsia="Times New Roman"/>
          <w:sz w:val="24"/>
          <w:szCs w:val="24"/>
        </w:rPr>
        <w:t>could adversely impact water quality</w:t>
      </w:r>
      <w:r w:rsidR="00F620A0">
        <w:rPr>
          <w:rFonts w:eastAsia="Times New Roman"/>
          <w:sz w:val="24"/>
          <w:szCs w:val="24"/>
        </w:rPr>
        <w:t>:</w:t>
      </w:r>
    </w:p>
    <w:p w14:paraId="104B3262" w14:textId="68BEBCBD" w:rsidR="00F620A0" w:rsidRDefault="00451282" w:rsidP="00905F85">
      <w:pPr>
        <w:tabs>
          <w:tab w:val="left" w:pos="2016"/>
        </w:tabs>
        <w:ind w:left="1915"/>
        <w:rPr>
          <w:rFonts w:eastAsia="Times New Roman"/>
          <w:sz w:val="24"/>
          <w:szCs w:val="24"/>
        </w:rPr>
      </w:pPr>
      <w:r>
        <w:rPr>
          <w:rFonts w:eastAsia="Times New Roman"/>
          <w:sz w:val="24"/>
          <w:szCs w:val="24"/>
        </w:rPr>
        <w:t>1. Zones I and II; or</w:t>
      </w:r>
    </w:p>
    <w:p w14:paraId="1C4F3607" w14:textId="5E66011A" w:rsidR="00451282" w:rsidRDefault="00451282" w:rsidP="00905F85">
      <w:pPr>
        <w:tabs>
          <w:tab w:val="left" w:pos="2016"/>
        </w:tabs>
        <w:ind w:left="1915"/>
        <w:rPr>
          <w:rFonts w:eastAsia="Times New Roman"/>
          <w:sz w:val="24"/>
          <w:szCs w:val="24"/>
        </w:rPr>
      </w:pPr>
      <w:r>
        <w:rPr>
          <w:rFonts w:eastAsia="Times New Roman"/>
          <w:sz w:val="24"/>
          <w:szCs w:val="24"/>
        </w:rPr>
        <w:t xml:space="preserve">2. Zones I and III where the Supplier of Water has obtained a Zone II waiver pursuant to </w:t>
      </w:r>
      <w:r w:rsidR="00DF0CF9">
        <w:rPr>
          <w:rFonts w:eastAsia="Times New Roman"/>
          <w:sz w:val="24"/>
          <w:szCs w:val="24"/>
        </w:rPr>
        <w:t>310 CMR 22.21(1)(f); or</w:t>
      </w:r>
    </w:p>
    <w:p w14:paraId="2B9113EA" w14:textId="1ADACA53" w:rsidR="00DF0CF9" w:rsidRPr="009D316F" w:rsidRDefault="00DF0CF9" w:rsidP="00905F85">
      <w:pPr>
        <w:tabs>
          <w:tab w:val="left" w:pos="2016"/>
        </w:tabs>
        <w:ind w:left="1915"/>
        <w:rPr>
          <w:rFonts w:eastAsia="Times New Roman"/>
          <w:sz w:val="24"/>
          <w:szCs w:val="24"/>
        </w:rPr>
      </w:pPr>
      <w:r>
        <w:rPr>
          <w:rFonts w:eastAsia="Times New Roman"/>
          <w:sz w:val="24"/>
          <w:szCs w:val="24"/>
        </w:rPr>
        <w:t>3. Zone I and the Interim Wellhead Protection Area.</w:t>
      </w:r>
    </w:p>
    <w:p w14:paraId="281A0C44" w14:textId="77777777" w:rsidR="004647B9" w:rsidRDefault="004647B9" w:rsidP="00C13169">
      <w:pPr>
        <w:rPr>
          <w:rFonts w:eastAsia="Times New Roman"/>
          <w:sz w:val="24"/>
          <w:szCs w:val="24"/>
        </w:rPr>
      </w:pPr>
    </w:p>
    <w:p w14:paraId="3B518231" w14:textId="77777777" w:rsidR="00F620A0" w:rsidRPr="00764311" w:rsidRDefault="00F620A0" w:rsidP="00C13169">
      <w:pPr>
        <w:rPr>
          <w:rFonts w:eastAsia="Times New Roman"/>
          <w:sz w:val="24"/>
          <w:szCs w:val="24"/>
        </w:rPr>
      </w:pPr>
    </w:p>
    <w:p w14:paraId="281A0C45" w14:textId="6AD2D31E" w:rsidR="004647B9" w:rsidRPr="00764311" w:rsidRDefault="00E2436F" w:rsidP="00C13169">
      <w:pPr>
        <w:numPr>
          <w:ilvl w:val="0"/>
          <w:numId w:val="469"/>
        </w:numPr>
        <w:tabs>
          <w:tab w:val="left" w:pos="1658"/>
        </w:tabs>
        <w:ind w:left="1200"/>
        <w:jc w:val="both"/>
        <w:rPr>
          <w:rFonts w:eastAsia="Times New Roman"/>
          <w:sz w:val="24"/>
          <w:szCs w:val="24"/>
        </w:rPr>
      </w:pPr>
      <w:r w:rsidRPr="00764311">
        <w:rPr>
          <w:rFonts w:eastAsia="Times New Roman"/>
          <w:sz w:val="24"/>
          <w:szCs w:val="24"/>
          <w:u w:val="single"/>
        </w:rPr>
        <w:t>Reporting and Public Notification for Certain Unregulated Contaminants</w:t>
      </w:r>
      <w:r w:rsidRPr="00764311">
        <w:rPr>
          <w:rFonts w:eastAsia="Times New Roman"/>
          <w:sz w:val="24"/>
          <w:szCs w:val="24"/>
        </w:rPr>
        <w:t>. A Community Water System or Non transient, Non community Water System required to monitor under 310 CMR 22.07C shall send to the Department any public notice required under 310 CMR 22.16 and two copies of such monitoring within 30 days of receipt of the analysis report unless 310 CMR 22.15(2) requires submission by an earlier date.</w:t>
      </w:r>
    </w:p>
    <w:p w14:paraId="281A0C46" w14:textId="77777777" w:rsidR="004647B9" w:rsidRDefault="004647B9" w:rsidP="00C13169">
      <w:pPr>
        <w:sectPr w:rsidR="004647B9" w:rsidSect="00EF630C">
          <w:pgSz w:w="12240" w:h="20180"/>
          <w:pgMar w:top="708" w:right="1440" w:bottom="1097" w:left="600" w:header="0" w:footer="0" w:gutter="0"/>
          <w:cols w:space="720"/>
        </w:sectPr>
      </w:pPr>
    </w:p>
    <w:p w14:paraId="281A0C47" w14:textId="77777777" w:rsidR="004647B9" w:rsidRDefault="00E2436F">
      <w:pPr>
        <w:tabs>
          <w:tab w:val="left" w:pos="160"/>
        </w:tabs>
        <w:jc w:val="center"/>
        <w:rPr>
          <w:sz w:val="20"/>
          <w:szCs w:val="20"/>
        </w:rPr>
      </w:pPr>
      <w:bookmarkStart w:id="181" w:name="page183"/>
      <w:bookmarkEnd w:id="18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C48" w14:textId="77777777" w:rsidR="004647B9" w:rsidRDefault="004647B9" w:rsidP="008E031C">
      <w:pPr>
        <w:rPr>
          <w:sz w:val="20"/>
          <w:szCs w:val="20"/>
        </w:rPr>
      </w:pPr>
    </w:p>
    <w:p w14:paraId="281A0C49" w14:textId="77777777" w:rsidR="004647B9" w:rsidRDefault="004647B9" w:rsidP="008E031C">
      <w:pPr>
        <w:rPr>
          <w:sz w:val="20"/>
          <w:szCs w:val="20"/>
        </w:rPr>
      </w:pPr>
    </w:p>
    <w:p w14:paraId="281A0C4A" w14:textId="77777777" w:rsidR="004647B9" w:rsidRPr="006E172E" w:rsidRDefault="00E2436F" w:rsidP="008E031C">
      <w:pPr>
        <w:tabs>
          <w:tab w:val="left" w:pos="760"/>
        </w:tabs>
        <w:rPr>
          <w:sz w:val="24"/>
          <w:szCs w:val="24"/>
        </w:rPr>
      </w:pPr>
      <w:r w:rsidRPr="006E172E">
        <w:rPr>
          <w:rFonts w:eastAsia="Times New Roman"/>
          <w:sz w:val="24"/>
          <w:szCs w:val="24"/>
        </w:rPr>
        <w:t>22.15:</w:t>
      </w:r>
      <w:r w:rsidRPr="006E172E">
        <w:rPr>
          <w:rFonts w:eastAsia="Times New Roman"/>
          <w:sz w:val="24"/>
          <w:szCs w:val="24"/>
        </w:rPr>
        <w:tab/>
        <w:t>continued</w:t>
      </w:r>
    </w:p>
    <w:p w14:paraId="281A0C4B" w14:textId="77777777" w:rsidR="004647B9" w:rsidRDefault="004647B9" w:rsidP="008E031C">
      <w:pPr>
        <w:rPr>
          <w:sz w:val="20"/>
          <w:szCs w:val="20"/>
        </w:rPr>
      </w:pPr>
    </w:p>
    <w:p w14:paraId="281A0C4C" w14:textId="77777777" w:rsidR="004647B9" w:rsidRDefault="00E2436F" w:rsidP="008E031C">
      <w:pPr>
        <w:numPr>
          <w:ilvl w:val="0"/>
          <w:numId w:val="470"/>
        </w:numPr>
        <w:tabs>
          <w:tab w:val="left" w:pos="1702"/>
        </w:tabs>
        <w:ind w:left="1200"/>
        <w:jc w:val="both"/>
        <w:rPr>
          <w:rFonts w:eastAsia="Times New Roman"/>
          <w:sz w:val="24"/>
          <w:szCs w:val="24"/>
        </w:rPr>
      </w:pPr>
      <w:r>
        <w:rPr>
          <w:rFonts w:eastAsia="Times New Roman"/>
          <w:sz w:val="24"/>
          <w:szCs w:val="24"/>
        </w:rPr>
        <w:t>For each sample analyzed under 310 CMR 22.00, for which the Department requires a submittal or report, every Supplier of Water shall submit or report to the Department the following information:</w:t>
      </w:r>
    </w:p>
    <w:p w14:paraId="281A0C4D" w14:textId="77777777" w:rsidR="004647B9" w:rsidRDefault="00E2436F" w:rsidP="008E031C">
      <w:pPr>
        <w:numPr>
          <w:ilvl w:val="1"/>
          <w:numId w:val="470"/>
        </w:numPr>
        <w:tabs>
          <w:tab w:val="left" w:pos="2000"/>
        </w:tabs>
        <w:ind w:left="2000" w:hanging="445"/>
        <w:rPr>
          <w:rFonts w:eastAsia="Times New Roman"/>
          <w:sz w:val="24"/>
          <w:szCs w:val="24"/>
        </w:rPr>
      </w:pPr>
      <w:r>
        <w:rPr>
          <w:rFonts w:eastAsia="Times New Roman"/>
          <w:sz w:val="24"/>
          <w:szCs w:val="24"/>
        </w:rPr>
        <w:t>Results of all analytical methods, including negatives;</w:t>
      </w:r>
    </w:p>
    <w:p w14:paraId="281A0C4F" w14:textId="77777777" w:rsidR="004647B9" w:rsidRDefault="00E2436F" w:rsidP="008E031C">
      <w:pPr>
        <w:numPr>
          <w:ilvl w:val="1"/>
          <w:numId w:val="470"/>
        </w:numPr>
        <w:tabs>
          <w:tab w:val="left" w:pos="2020"/>
        </w:tabs>
        <w:ind w:left="2020" w:hanging="465"/>
        <w:rPr>
          <w:rFonts w:eastAsia="Times New Roman"/>
          <w:sz w:val="24"/>
          <w:szCs w:val="24"/>
        </w:rPr>
      </w:pPr>
      <w:r>
        <w:rPr>
          <w:rFonts w:eastAsia="Times New Roman"/>
          <w:sz w:val="24"/>
          <w:szCs w:val="24"/>
        </w:rPr>
        <w:t>Name and address of the system that supplied the sample;</w:t>
      </w:r>
    </w:p>
    <w:p w14:paraId="281A0C51" w14:textId="77777777" w:rsidR="004647B9" w:rsidRDefault="00E2436F" w:rsidP="008E031C">
      <w:pPr>
        <w:numPr>
          <w:ilvl w:val="1"/>
          <w:numId w:val="470"/>
        </w:numPr>
        <w:tabs>
          <w:tab w:val="left" w:pos="2000"/>
        </w:tabs>
        <w:ind w:left="2000" w:hanging="445"/>
        <w:rPr>
          <w:rFonts w:eastAsia="Times New Roman"/>
          <w:sz w:val="24"/>
          <w:szCs w:val="24"/>
        </w:rPr>
      </w:pPr>
      <w:r>
        <w:rPr>
          <w:rFonts w:eastAsia="Times New Roman"/>
          <w:sz w:val="24"/>
          <w:szCs w:val="24"/>
        </w:rPr>
        <w:t>Contaminant(s);</w:t>
      </w:r>
    </w:p>
    <w:p w14:paraId="281A0C53" w14:textId="77777777" w:rsidR="004647B9" w:rsidRDefault="00E2436F" w:rsidP="008E031C">
      <w:pPr>
        <w:numPr>
          <w:ilvl w:val="1"/>
          <w:numId w:val="470"/>
        </w:numPr>
        <w:tabs>
          <w:tab w:val="left" w:pos="2020"/>
        </w:tabs>
        <w:ind w:left="2020" w:hanging="465"/>
        <w:rPr>
          <w:rFonts w:eastAsia="Times New Roman"/>
          <w:sz w:val="24"/>
          <w:szCs w:val="24"/>
        </w:rPr>
      </w:pPr>
      <w:r>
        <w:rPr>
          <w:rFonts w:eastAsia="Times New Roman"/>
          <w:sz w:val="24"/>
          <w:szCs w:val="24"/>
        </w:rPr>
        <w:t>Analytical method(s) used;</w:t>
      </w:r>
    </w:p>
    <w:p w14:paraId="281A0C55" w14:textId="77777777" w:rsidR="004647B9" w:rsidRDefault="00E2436F" w:rsidP="008E031C">
      <w:pPr>
        <w:numPr>
          <w:ilvl w:val="1"/>
          <w:numId w:val="470"/>
        </w:numPr>
        <w:tabs>
          <w:tab w:val="left" w:pos="2000"/>
        </w:tabs>
        <w:ind w:left="2000" w:hanging="445"/>
        <w:rPr>
          <w:rFonts w:eastAsia="Times New Roman"/>
          <w:sz w:val="24"/>
          <w:szCs w:val="24"/>
        </w:rPr>
      </w:pPr>
      <w:r>
        <w:rPr>
          <w:rFonts w:eastAsia="Times New Roman"/>
          <w:sz w:val="24"/>
          <w:szCs w:val="24"/>
        </w:rPr>
        <w:t>Date of sample collection and time of sample collection (if applicable);</w:t>
      </w:r>
    </w:p>
    <w:p w14:paraId="281A0C57" w14:textId="77777777" w:rsidR="004647B9" w:rsidRDefault="00E2436F" w:rsidP="008E031C">
      <w:pPr>
        <w:numPr>
          <w:ilvl w:val="1"/>
          <w:numId w:val="470"/>
        </w:numPr>
        <w:tabs>
          <w:tab w:val="left" w:pos="1980"/>
        </w:tabs>
        <w:ind w:left="1980" w:hanging="425"/>
        <w:rPr>
          <w:rFonts w:eastAsia="Times New Roman"/>
          <w:sz w:val="24"/>
          <w:szCs w:val="24"/>
        </w:rPr>
      </w:pPr>
      <w:r>
        <w:rPr>
          <w:rFonts w:eastAsia="Times New Roman"/>
          <w:sz w:val="24"/>
          <w:szCs w:val="24"/>
        </w:rPr>
        <w:t>Date of analysis;</w:t>
      </w:r>
    </w:p>
    <w:p w14:paraId="281A0C59" w14:textId="77777777" w:rsidR="004647B9" w:rsidRDefault="00E2436F" w:rsidP="008E031C">
      <w:pPr>
        <w:numPr>
          <w:ilvl w:val="1"/>
          <w:numId w:val="470"/>
        </w:numPr>
        <w:tabs>
          <w:tab w:val="left" w:pos="2020"/>
        </w:tabs>
        <w:ind w:left="2020" w:hanging="465"/>
        <w:rPr>
          <w:rFonts w:eastAsia="Times New Roman"/>
          <w:sz w:val="24"/>
          <w:szCs w:val="24"/>
        </w:rPr>
      </w:pPr>
      <w:r>
        <w:rPr>
          <w:rFonts w:eastAsia="Times New Roman"/>
          <w:sz w:val="24"/>
          <w:szCs w:val="24"/>
        </w:rPr>
        <w:t>Laboratory name and certification number, including subcontracting laboratories;</w:t>
      </w:r>
    </w:p>
    <w:p w14:paraId="281A0C5B" w14:textId="77777777" w:rsidR="004647B9" w:rsidRDefault="00E2436F" w:rsidP="008E031C">
      <w:pPr>
        <w:numPr>
          <w:ilvl w:val="1"/>
          <w:numId w:val="470"/>
        </w:numPr>
        <w:tabs>
          <w:tab w:val="left" w:pos="2020"/>
        </w:tabs>
        <w:ind w:left="2020" w:hanging="465"/>
        <w:rPr>
          <w:rFonts w:eastAsia="Times New Roman"/>
          <w:sz w:val="24"/>
          <w:szCs w:val="24"/>
        </w:rPr>
      </w:pPr>
      <w:r>
        <w:rPr>
          <w:rFonts w:eastAsia="Times New Roman"/>
          <w:sz w:val="24"/>
          <w:szCs w:val="24"/>
        </w:rPr>
        <w:t>Method Detection or other Reporting Limits;</w:t>
      </w:r>
    </w:p>
    <w:p w14:paraId="281A0C5D" w14:textId="77777777" w:rsidR="004647B9" w:rsidRDefault="00E2436F" w:rsidP="008E031C">
      <w:pPr>
        <w:numPr>
          <w:ilvl w:val="1"/>
          <w:numId w:val="470"/>
        </w:numPr>
        <w:tabs>
          <w:tab w:val="left" w:pos="1960"/>
        </w:tabs>
        <w:ind w:left="1960" w:hanging="405"/>
        <w:rPr>
          <w:rFonts w:eastAsia="Times New Roman"/>
          <w:sz w:val="24"/>
          <w:szCs w:val="24"/>
        </w:rPr>
      </w:pPr>
      <w:r>
        <w:rPr>
          <w:rFonts w:eastAsia="Times New Roman"/>
          <w:sz w:val="24"/>
          <w:szCs w:val="24"/>
        </w:rPr>
        <w:t>Name of sample collector;</w:t>
      </w:r>
    </w:p>
    <w:p w14:paraId="281A0C5F" w14:textId="77777777" w:rsidR="004647B9" w:rsidRDefault="00E2436F" w:rsidP="008E031C">
      <w:pPr>
        <w:numPr>
          <w:ilvl w:val="1"/>
          <w:numId w:val="470"/>
        </w:numPr>
        <w:tabs>
          <w:tab w:val="left" w:pos="1960"/>
        </w:tabs>
        <w:ind w:left="1960" w:hanging="405"/>
        <w:rPr>
          <w:rFonts w:eastAsia="Times New Roman"/>
          <w:sz w:val="24"/>
          <w:szCs w:val="24"/>
        </w:rPr>
      </w:pPr>
      <w:r>
        <w:rPr>
          <w:rFonts w:eastAsia="Times New Roman"/>
          <w:sz w:val="24"/>
          <w:szCs w:val="24"/>
        </w:rPr>
        <w:t>QA/QC information, where applicable;</w:t>
      </w:r>
    </w:p>
    <w:p w14:paraId="281A0C61" w14:textId="77777777" w:rsidR="004647B9" w:rsidRDefault="00E2436F" w:rsidP="008E031C">
      <w:pPr>
        <w:numPr>
          <w:ilvl w:val="1"/>
          <w:numId w:val="470"/>
        </w:numPr>
        <w:tabs>
          <w:tab w:val="left" w:pos="2020"/>
        </w:tabs>
        <w:ind w:left="2020" w:hanging="465"/>
        <w:rPr>
          <w:rFonts w:eastAsia="Times New Roman"/>
          <w:sz w:val="24"/>
          <w:szCs w:val="24"/>
        </w:rPr>
      </w:pPr>
      <w:r>
        <w:rPr>
          <w:rFonts w:eastAsia="Times New Roman"/>
          <w:sz w:val="24"/>
          <w:szCs w:val="24"/>
        </w:rPr>
        <w:t>Point of sample collection;</w:t>
      </w:r>
    </w:p>
    <w:p w14:paraId="281A0C63" w14:textId="77777777" w:rsidR="004647B9" w:rsidRDefault="00E2436F" w:rsidP="008E031C">
      <w:pPr>
        <w:numPr>
          <w:ilvl w:val="1"/>
          <w:numId w:val="470"/>
        </w:numPr>
        <w:tabs>
          <w:tab w:val="left" w:pos="2020"/>
        </w:tabs>
        <w:ind w:left="2020" w:hanging="465"/>
        <w:rPr>
          <w:rFonts w:eastAsia="Times New Roman"/>
          <w:sz w:val="24"/>
          <w:szCs w:val="24"/>
        </w:rPr>
      </w:pPr>
      <w:r>
        <w:rPr>
          <w:rFonts w:eastAsia="Times New Roman"/>
          <w:sz w:val="24"/>
          <w:szCs w:val="24"/>
        </w:rPr>
        <w:t>Department assigned sample location identifier;</w:t>
      </w:r>
    </w:p>
    <w:p w14:paraId="281A0C65" w14:textId="77777777" w:rsidR="004647B9" w:rsidRDefault="00E2436F" w:rsidP="008E031C">
      <w:pPr>
        <w:numPr>
          <w:ilvl w:val="1"/>
          <w:numId w:val="470"/>
        </w:numPr>
        <w:tabs>
          <w:tab w:val="left" w:pos="2080"/>
        </w:tabs>
        <w:ind w:left="2080" w:hanging="525"/>
        <w:rPr>
          <w:rFonts w:eastAsia="Times New Roman"/>
          <w:sz w:val="24"/>
          <w:szCs w:val="24"/>
        </w:rPr>
      </w:pPr>
      <w:r>
        <w:rPr>
          <w:rFonts w:eastAsia="Times New Roman"/>
          <w:sz w:val="24"/>
          <w:szCs w:val="24"/>
        </w:rPr>
        <w:t>Laboratory assigned sample identification number(s).</w:t>
      </w:r>
    </w:p>
    <w:p w14:paraId="281A0C66" w14:textId="77777777" w:rsidR="004647B9" w:rsidRDefault="004647B9" w:rsidP="008E031C">
      <w:pPr>
        <w:rPr>
          <w:rFonts w:eastAsia="Times New Roman"/>
          <w:sz w:val="24"/>
          <w:szCs w:val="24"/>
        </w:rPr>
      </w:pPr>
    </w:p>
    <w:p w14:paraId="281A0C67" w14:textId="77777777" w:rsidR="004647B9" w:rsidRDefault="00E2436F" w:rsidP="008E031C">
      <w:pPr>
        <w:numPr>
          <w:ilvl w:val="0"/>
          <w:numId w:val="470"/>
        </w:numPr>
        <w:tabs>
          <w:tab w:val="left" w:pos="1620"/>
        </w:tabs>
        <w:ind w:left="1200"/>
        <w:rPr>
          <w:rFonts w:eastAsia="Times New Roman"/>
          <w:sz w:val="24"/>
          <w:szCs w:val="24"/>
        </w:rPr>
      </w:pPr>
      <w:r>
        <w:rPr>
          <w:rFonts w:eastAsia="Times New Roman"/>
          <w:sz w:val="24"/>
          <w:szCs w:val="24"/>
          <w:u w:val="single"/>
        </w:rPr>
        <w:t>Notification of Imposition of Mandatory Water Use Restrictions and Local Drinking Water Health Advisory</w:t>
      </w:r>
      <w:r>
        <w:rPr>
          <w:rFonts w:eastAsia="Times New Roman"/>
          <w:sz w:val="24"/>
          <w:szCs w:val="24"/>
        </w:rPr>
        <w:t>.</w:t>
      </w:r>
    </w:p>
    <w:p w14:paraId="281A0C69" w14:textId="77777777" w:rsidR="004647B9" w:rsidRDefault="00E2436F" w:rsidP="008E031C">
      <w:pPr>
        <w:numPr>
          <w:ilvl w:val="1"/>
          <w:numId w:val="470"/>
        </w:numPr>
        <w:tabs>
          <w:tab w:val="left" w:pos="1968"/>
        </w:tabs>
        <w:ind w:left="1560" w:hanging="5"/>
        <w:jc w:val="both"/>
        <w:rPr>
          <w:rFonts w:eastAsia="Times New Roman"/>
          <w:sz w:val="24"/>
          <w:szCs w:val="24"/>
        </w:rPr>
      </w:pPr>
      <w:r>
        <w:rPr>
          <w:rFonts w:eastAsia="Times New Roman"/>
          <w:sz w:val="24"/>
          <w:szCs w:val="24"/>
        </w:rPr>
        <w:t>All Public Water Systems establishing a mandatory restriction on water use must notify the Department in writing within 14 days of its effective date. In its notice to the Department, the Public Water System establishing a mandatory restriction on water use shall include appropriate regulations, bylaws or ordinances establishing and imposing the restriction.</w:t>
      </w:r>
    </w:p>
    <w:p w14:paraId="281A0C6B" w14:textId="77777777" w:rsidR="004647B9" w:rsidRDefault="00E2436F" w:rsidP="008E031C">
      <w:pPr>
        <w:numPr>
          <w:ilvl w:val="1"/>
          <w:numId w:val="470"/>
        </w:numPr>
        <w:tabs>
          <w:tab w:val="left" w:pos="2056"/>
        </w:tabs>
        <w:ind w:left="1560" w:hanging="5"/>
        <w:jc w:val="both"/>
        <w:rPr>
          <w:rFonts w:eastAsia="Times New Roman"/>
          <w:sz w:val="24"/>
          <w:szCs w:val="24"/>
        </w:rPr>
      </w:pPr>
      <w:r>
        <w:rPr>
          <w:rFonts w:eastAsia="Times New Roman"/>
          <w:sz w:val="24"/>
          <w:szCs w:val="24"/>
        </w:rPr>
        <w:t>Public Water Systems establishing water use restrictions should consider requesting from the Department a declaration of a state of water supply Emergency pursuant to M.G.L. c. 21G.</w:t>
      </w:r>
    </w:p>
    <w:p w14:paraId="281A0C6D" w14:textId="77777777" w:rsidR="004647B9" w:rsidRPr="00764311" w:rsidRDefault="00E2436F" w:rsidP="008E031C">
      <w:pPr>
        <w:numPr>
          <w:ilvl w:val="1"/>
          <w:numId w:val="470"/>
        </w:numPr>
        <w:tabs>
          <w:tab w:val="left" w:pos="2049"/>
        </w:tabs>
        <w:ind w:left="1560" w:hanging="5"/>
        <w:jc w:val="both"/>
        <w:rPr>
          <w:rFonts w:eastAsia="Times New Roman"/>
          <w:sz w:val="24"/>
          <w:szCs w:val="24"/>
        </w:rPr>
      </w:pPr>
      <w:r>
        <w:rPr>
          <w:rFonts w:eastAsia="Times New Roman"/>
          <w:sz w:val="24"/>
          <w:szCs w:val="24"/>
        </w:rPr>
        <w:t xml:space="preserve">Public Water Systems who would issue a local drinking water health advisory shall consult with and notify the Department prior to issuance and provide notification to the Department within 24 hours of termination. At a minimum, all local drinking water health </w:t>
      </w:r>
      <w:r w:rsidRPr="00764311">
        <w:rPr>
          <w:rFonts w:eastAsia="Times New Roman"/>
          <w:sz w:val="24"/>
          <w:szCs w:val="24"/>
        </w:rPr>
        <w:t>advisories for contaminants regulated by 310 CMR 22.00 shall include the required public notice content information listed at 310 CMR 22.16(5)(a).</w:t>
      </w:r>
    </w:p>
    <w:p w14:paraId="281A0C6E" w14:textId="77777777" w:rsidR="004647B9" w:rsidRPr="00764311" w:rsidRDefault="004647B9" w:rsidP="008E031C">
      <w:pPr>
        <w:rPr>
          <w:rFonts w:eastAsia="Times New Roman"/>
          <w:sz w:val="24"/>
          <w:szCs w:val="24"/>
        </w:rPr>
      </w:pPr>
    </w:p>
    <w:p w14:paraId="281A0C6F" w14:textId="77777777" w:rsidR="004647B9" w:rsidRPr="00764311" w:rsidRDefault="00E2436F" w:rsidP="008E031C">
      <w:pPr>
        <w:numPr>
          <w:ilvl w:val="0"/>
          <w:numId w:val="470"/>
        </w:numPr>
        <w:tabs>
          <w:tab w:val="left" w:pos="1660"/>
        </w:tabs>
        <w:ind w:left="1660" w:hanging="460"/>
        <w:rPr>
          <w:rFonts w:eastAsia="Times New Roman"/>
          <w:sz w:val="24"/>
          <w:szCs w:val="24"/>
        </w:rPr>
      </w:pPr>
      <w:r w:rsidRPr="00764311">
        <w:rPr>
          <w:rFonts w:eastAsia="Times New Roman"/>
          <w:sz w:val="24"/>
          <w:szCs w:val="24"/>
          <w:u w:val="single"/>
        </w:rPr>
        <w:t>Emergency Reporting</w:t>
      </w:r>
      <w:r w:rsidRPr="00764311">
        <w:rPr>
          <w:rFonts w:eastAsia="Times New Roman"/>
          <w:sz w:val="24"/>
          <w:szCs w:val="24"/>
        </w:rPr>
        <w:t>.</w:t>
      </w:r>
    </w:p>
    <w:p w14:paraId="281A0C71" w14:textId="77777777" w:rsidR="004647B9" w:rsidRPr="00764311" w:rsidRDefault="00E2436F" w:rsidP="008E031C">
      <w:pPr>
        <w:numPr>
          <w:ilvl w:val="1"/>
          <w:numId w:val="470"/>
        </w:numPr>
        <w:tabs>
          <w:tab w:val="left" w:pos="1939"/>
        </w:tabs>
        <w:ind w:left="1560" w:hanging="5"/>
        <w:jc w:val="both"/>
        <w:rPr>
          <w:rFonts w:eastAsia="Times New Roman"/>
          <w:sz w:val="24"/>
          <w:szCs w:val="24"/>
        </w:rPr>
      </w:pPr>
      <w:r w:rsidRPr="00764311">
        <w:rPr>
          <w:rFonts w:eastAsia="Times New Roman"/>
          <w:sz w:val="24"/>
          <w:szCs w:val="24"/>
        </w:rPr>
        <w:t>Except as otherwise determined by the Department in writing, each public water supplier shall notify the Department and its local Board of Health as soon as possible, but not more than two hours after obtaining knowledge of a potential or actual Emergency described in 310 CMR 22.15(9)(b)1., by calling the Department's Emergency notification telephone number or using any other electronic reporting tool designated by the Department, unless the water supplier establishes, by a preponderance of the evidence, that extenuating circumstances prevented notification within such two hour time period. Except as otherwise determined by the Department in writing, each public water supplier shall notify the Department and its local Board of Health as soon as possible but not more than 24 hours after obtaining knowledge of all other potential or actual Emergencies, including those described in 310 CMR 22.15(9)(b)2., by calling the Department's Emergency notification telephone number and using any other electronic reporting tool designated by the Department, unless the water supplier establishes, by a preponderance of the evidence, that extenuating circumstances prevented notification within such 24 hour time period. In the event of such extenuating circumstances, notification to the Department shall be made as soon as possible thereafter, taking into account the extenuating circumstances. Extenuating circumstances shall include, without limitation, the following:</w:t>
      </w:r>
    </w:p>
    <w:p w14:paraId="281A0C73" w14:textId="77777777" w:rsidR="004647B9" w:rsidRPr="00764311" w:rsidRDefault="00E2436F" w:rsidP="00905F85">
      <w:pPr>
        <w:numPr>
          <w:ilvl w:val="2"/>
          <w:numId w:val="470"/>
        </w:numPr>
        <w:tabs>
          <w:tab w:val="left" w:pos="2261"/>
        </w:tabs>
        <w:ind w:left="1920" w:hanging="5"/>
        <w:rPr>
          <w:rFonts w:eastAsia="Times New Roman"/>
          <w:sz w:val="24"/>
          <w:szCs w:val="24"/>
        </w:rPr>
      </w:pPr>
      <w:r w:rsidRPr="00764311">
        <w:rPr>
          <w:rFonts w:eastAsia="Times New Roman"/>
          <w:sz w:val="24"/>
          <w:szCs w:val="24"/>
        </w:rPr>
        <w:t>A lack of reasonably available communication equipment at the site of the Emergency;</w:t>
      </w:r>
    </w:p>
    <w:p w14:paraId="281A0C75" w14:textId="77777777" w:rsidR="004647B9" w:rsidRPr="00764311" w:rsidRDefault="00E2436F" w:rsidP="008E031C">
      <w:pPr>
        <w:numPr>
          <w:ilvl w:val="2"/>
          <w:numId w:val="470"/>
        </w:numPr>
        <w:tabs>
          <w:tab w:val="left" w:pos="2258"/>
        </w:tabs>
        <w:ind w:left="1920" w:hanging="5"/>
        <w:rPr>
          <w:rFonts w:eastAsia="Times New Roman"/>
          <w:sz w:val="24"/>
          <w:szCs w:val="24"/>
        </w:rPr>
      </w:pPr>
      <w:r w:rsidRPr="00764311">
        <w:rPr>
          <w:rFonts w:eastAsia="Times New Roman"/>
          <w:sz w:val="24"/>
          <w:szCs w:val="24"/>
        </w:rPr>
        <w:t>A need to take action prior to notification in order to mitigate or prevent an actual or potential threat to public health or safety; and/or</w:t>
      </w:r>
    </w:p>
    <w:p w14:paraId="281A0C77" w14:textId="77777777" w:rsidR="004647B9" w:rsidRPr="00764311" w:rsidRDefault="00E2436F" w:rsidP="00905F85">
      <w:pPr>
        <w:numPr>
          <w:ilvl w:val="2"/>
          <w:numId w:val="470"/>
        </w:numPr>
        <w:tabs>
          <w:tab w:val="left" w:pos="2261"/>
        </w:tabs>
        <w:ind w:left="1920" w:hanging="5"/>
        <w:rPr>
          <w:rFonts w:eastAsia="Times New Roman"/>
          <w:sz w:val="24"/>
          <w:szCs w:val="24"/>
        </w:rPr>
      </w:pPr>
      <w:r w:rsidRPr="00764311">
        <w:rPr>
          <w:rFonts w:eastAsia="Times New Roman"/>
          <w:sz w:val="24"/>
          <w:szCs w:val="24"/>
        </w:rPr>
        <w:t>A physical injury to the Person responsible for notifying caused by or associated with the Emergency when the injury reasonably prevents that Person from notifying.</w:t>
      </w:r>
    </w:p>
    <w:p w14:paraId="281A0C79" w14:textId="77777777" w:rsidR="004647B9" w:rsidRPr="00764311" w:rsidRDefault="00E2436F" w:rsidP="008E031C">
      <w:pPr>
        <w:numPr>
          <w:ilvl w:val="1"/>
          <w:numId w:val="470"/>
        </w:numPr>
        <w:tabs>
          <w:tab w:val="left" w:pos="2013"/>
        </w:tabs>
        <w:ind w:left="1560" w:hanging="5"/>
        <w:jc w:val="both"/>
        <w:rPr>
          <w:rFonts w:eastAsia="Times New Roman"/>
          <w:sz w:val="24"/>
          <w:szCs w:val="24"/>
        </w:rPr>
      </w:pPr>
      <w:r w:rsidRPr="00764311">
        <w:rPr>
          <w:rFonts w:eastAsia="Times New Roman"/>
          <w:sz w:val="24"/>
          <w:szCs w:val="24"/>
        </w:rPr>
        <w:t>Emergency reporting is required after the occurrence of any of the following incidents or Emergencies that result in the consumers of the system receiving water that does not meet required or routine quantity or quality conditions:</w:t>
      </w:r>
    </w:p>
    <w:p w14:paraId="281A0C7A" w14:textId="77777777" w:rsidR="004647B9" w:rsidRDefault="004647B9" w:rsidP="008E031C">
      <w:pPr>
        <w:sectPr w:rsidR="004647B9" w:rsidSect="00EF630C">
          <w:pgSz w:w="12240" w:h="20180"/>
          <w:pgMar w:top="708" w:right="1440" w:bottom="1102" w:left="600" w:header="0" w:footer="0" w:gutter="0"/>
          <w:cols w:space="720"/>
        </w:sectPr>
      </w:pPr>
    </w:p>
    <w:p w14:paraId="281A0C7B" w14:textId="77777777" w:rsidR="004647B9" w:rsidRDefault="00E2436F">
      <w:pPr>
        <w:tabs>
          <w:tab w:val="left" w:pos="160"/>
        </w:tabs>
        <w:jc w:val="center"/>
        <w:rPr>
          <w:sz w:val="20"/>
          <w:szCs w:val="20"/>
        </w:rPr>
      </w:pPr>
      <w:bookmarkStart w:id="182" w:name="page184"/>
      <w:bookmarkEnd w:id="18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C7C" w14:textId="77777777" w:rsidR="004647B9" w:rsidRDefault="004647B9" w:rsidP="006E172E">
      <w:pPr>
        <w:rPr>
          <w:sz w:val="20"/>
          <w:szCs w:val="20"/>
        </w:rPr>
      </w:pPr>
    </w:p>
    <w:p w14:paraId="281A0C7D" w14:textId="77777777" w:rsidR="004647B9" w:rsidRDefault="004647B9" w:rsidP="006E172E">
      <w:pPr>
        <w:rPr>
          <w:sz w:val="20"/>
          <w:szCs w:val="20"/>
        </w:rPr>
      </w:pPr>
    </w:p>
    <w:p w14:paraId="281A0C7E" w14:textId="77777777" w:rsidR="004647B9" w:rsidRPr="00764311" w:rsidRDefault="00E2436F" w:rsidP="006E172E">
      <w:pPr>
        <w:tabs>
          <w:tab w:val="left" w:pos="760"/>
        </w:tabs>
        <w:rPr>
          <w:sz w:val="24"/>
          <w:szCs w:val="24"/>
        </w:rPr>
      </w:pPr>
      <w:r w:rsidRPr="00764311">
        <w:rPr>
          <w:rFonts w:eastAsia="Times New Roman"/>
          <w:sz w:val="24"/>
          <w:szCs w:val="24"/>
        </w:rPr>
        <w:t>22.15:</w:t>
      </w:r>
      <w:r w:rsidRPr="00764311">
        <w:rPr>
          <w:rFonts w:eastAsia="Times New Roman"/>
          <w:sz w:val="24"/>
          <w:szCs w:val="24"/>
        </w:rPr>
        <w:tab/>
        <w:t>continued</w:t>
      </w:r>
    </w:p>
    <w:p w14:paraId="281A0C7F" w14:textId="77777777" w:rsidR="004647B9" w:rsidRPr="006E172E" w:rsidRDefault="004647B9" w:rsidP="006E172E">
      <w:pPr>
        <w:rPr>
          <w:sz w:val="20"/>
          <w:szCs w:val="20"/>
        </w:rPr>
      </w:pPr>
    </w:p>
    <w:p w14:paraId="281A0C80" w14:textId="77777777" w:rsidR="004647B9" w:rsidRPr="00764311" w:rsidRDefault="00E2436F" w:rsidP="006E172E">
      <w:pPr>
        <w:numPr>
          <w:ilvl w:val="1"/>
          <w:numId w:val="471"/>
        </w:numPr>
        <w:tabs>
          <w:tab w:val="left" w:pos="2280"/>
        </w:tabs>
        <w:ind w:left="2280" w:hanging="365"/>
        <w:rPr>
          <w:rFonts w:eastAsia="Times New Roman"/>
          <w:sz w:val="24"/>
          <w:szCs w:val="24"/>
        </w:rPr>
      </w:pPr>
      <w:r w:rsidRPr="00764311">
        <w:rPr>
          <w:rFonts w:eastAsia="Times New Roman"/>
          <w:sz w:val="24"/>
          <w:szCs w:val="24"/>
        </w:rPr>
        <w:t>Emergencies or incidents requiring notification within two hours:</w:t>
      </w:r>
    </w:p>
    <w:p w14:paraId="281A0C82" w14:textId="77777777" w:rsidR="004647B9" w:rsidRPr="00764311" w:rsidRDefault="00E2436F" w:rsidP="006E172E">
      <w:pPr>
        <w:numPr>
          <w:ilvl w:val="2"/>
          <w:numId w:val="471"/>
        </w:numPr>
        <w:tabs>
          <w:tab w:val="left" w:pos="2641"/>
        </w:tabs>
        <w:ind w:left="2280" w:hanging="5"/>
        <w:rPr>
          <w:rFonts w:eastAsia="Times New Roman"/>
          <w:color w:val="000000" w:themeColor="text1"/>
          <w:sz w:val="24"/>
          <w:szCs w:val="24"/>
        </w:rPr>
      </w:pPr>
      <w:r w:rsidRPr="00764311">
        <w:rPr>
          <w:rFonts w:eastAsia="Times New Roman"/>
          <w:color w:val="000000" w:themeColor="text1"/>
          <w:sz w:val="24"/>
          <w:szCs w:val="24"/>
        </w:rPr>
        <w:t>Loss of water or drop in pressure to less than 20 psi, affecting 50% or more of consumers for a system serving less than 10,000 persons;</w:t>
      </w:r>
    </w:p>
    <w:p w14:paraId="281A0C84" w14:textId="77777777" w:rsidR="004647B9" w:rsidRPr="00764311" w:rsidRDefault="00E2436F" w:rsidP="006E172E">
      <w:pPr>
        <w:numPr>
          <w:ilvl w:val="2"/>
          <w:numId w:val="471"/>
        </w:numPr>
        <w:tabs>
          <w:tab w:val="left" w:pos="2676"/>
        </w:tabs>
        <w:ind w:left="2280" w:hanging="5"/>
        <w:rPr>
          <w:rFonts w:eastAsia="Times New Roman"/>
          <w:color w:val="000000" w:themeColor="text1"/>
          <w:sz w:val="24"/>
          <w:szCs w:val="24"/>
        </w:rPr>
      </w:pPr>
      <w:r w:rsidRPr="00764311">
        <w:rPr>
          <w:rFonts w:eastAsia="Times New Roman"/>
          <w:color w:val="000000" w:themeColor="text1"/>
          <w:sz w:val="24"/>
          <w:szCs w:val="24"/>
        </w:rPr>
        <w:t>Loss of water or drop in pressure to less than 20 psi, affecting 5,000 or more consumers for a system serving 10,000 or more persons;</w:t>
      </w:r>
    </w:p>
    <w:p w14:paraId="281A0C86" w14:textId="239A3F56" w:rsidR="004647B9" w:rsidRPr="00764311" w:rsidRDefault="00E2436F" w:rsidP="006E172E">
      <w:pPr>
        <w:numPr>
          <w:ilvl w:val="2"/>
          <w:numId w:val="471"/>
        </w:numPr>
        <w:tabs>
          <w:tab w:val="left" w:pos="2591"/>
        </w:tabs>
        <w:ind w:left="2280" w:hanging="5"/>
        <w:rPr>
          <w:rFonts w:eastAsia="Times New Roman"/>
          <w:color w:val="0000FF"/>
          <w:sz w:val="24"/>
          <w:szCs w:val="24"/>
        </w:rPr>
      </w:pPr>
      <w:r w:rsidRPr="00764311">
        <w:rPr>
          <w:rFonts w:eastAsia="Times New Roman"/>
          <w:color w:val="000000" w:themeColor="text1"/>
          <w:sz w:val="24"/>
          <w:szCs w:val="24"/>
        </w:rPr>
        <w:t xml:space="preserve">Chemical or microbiological contamination of the water supply in </w:t>
      </w:r>
      <w:r w:rsidR="00AE3179" w:rsidRPr="00764311">
        <w:rPr>
          <w:rFonts w:eastAsia="Times New Roman"/>
          <w:color w:val="000000" w:themeColor="text1"/>
          <w:sz w:val="24"/>
          <w:szCs w:val="24"/>
        </w:rPr>
        <w:t>exceedance</w:t>
      </w:r>
      <w:r w:rsidRPr="00764311">
        <w:rPr>
          <w:rFonts w:eastAsia="Times New Roman"/>
          <w:color w:val="000000" w:themeColor="text1"/>
          <w:sz w:val="24"/>
          <w:szCs w:val="24"/>
        </w:rPr>
        <w:t xml:space="preserve"> of limits specified by the Department's Office of Research and Standards (ORS), as set forth in ORS' Immediate Action </w:t>
      </w:r>
      <w:r w:rsidRPr="00764311">
        <w:rPr>
          <w:rFonts w:eastAsia="Times New Roman"/>
          <w:sz w:val="24"/>
          <w:szCs w:val="24"/>
        </w:rPr>
        <w:t>Levels for Water Treatment Plant Chemicals (available on</w:t>
      </w:r>
      <w:r w:rsidR="00CB5598">
        <w:rPr>
          <w:rFonts w:eastAsia="Times New Roman"/>
          <w:sz w:val="24"/>
          <w:szCs w:val="24"/>
        </w:rPr>
        <w:t xml:space="preserve"> the </w:t>
      </w:r>
      <w:r w:rsidR="00545AF2">
        <w:rPr>
          <w:rFonts w:eastAsia="Times New Roman"/>
          <w:sz w:val="24"/>
          <w:szCs w:val="24"/>
        </w:rPr>
        <w:t>Department’s website</w:t>
      </w:r>
      <w:r w:rsidRPr="00764311">
        <w:rPr>
          <w:rFonts w:eastAsia="Times New Roman"/>
          <w:color w:val="000000"/>
          <w:sz w:val="24"/>
          <w:szCs w:val="24"/>
        </w:rPr>
        <w:t>);</w:t>
      </w:r>
    </w:p>
    <w:p w14:paraId="281A0C88" w14:textId="554038ED" w:rsidR="004647B9" w:rsidRPr="00764311" w:rsidRDefault="00E2436F" w:rsidP="006E172E">
      <w:pPr>
        <w:numPr>
          <w:ilvl w:val="2"/>
          <w:numId w:val="471"/>
        </w:numPr>
        <w:tabs>
          <w:tab w:val="left" w:pos="2597"/>
        </w:tabs>
        <w:ind w:left="2280" w:hanging="5"/>
        <w:rPr>
          <w:rFonts w:eastAsia="Times New Roman"/>
          <w:sz w:val="24"/>
          <w:szCs w:val="24"/>
        </w:rPr>
      </w:pPr>
      <w:r w:rsidRPr="57CABB92">
        <w:rPr>
          <w:rFonts w:eastAsia="Times New Roman"/>
          <w:sz w:val="24"/>
          <w:szCs w:val="24"/>
        </w:rPr>
        <w:t xml:space="preserve">Discovery of malicious intent or an act of vandalism, </w:t>
      </w:r>
      <w:r w:rsidR="00266638" w:rsidRPr="57CABB92">
        <w:rPr>
          <w:rFonts w:eastAsia="Times New Roman"/>
          <w:sz w:val="24"/>
          <w:szCs w:val="24"/>
        </w:rPr>
        <w:t>including</w:t>
      </w:r>
      <w:r w:rsidR="006D7248" w:rsidRPr="57CABB92">
        <w:rPr>
          <w:rFonts w:eastAsia="Times New Roman"/>
          <w:sz w:val="24"/>
          <w:szCs w:val="24"/>
        </w:rPr>
        <w:t xml:space="preserve"> without limitation</w:t>
      </w:r>
      <w:r w:rsidR="00266638" w:rsidRPr="57CABB92">
        <w:rPr>
          <w:rFonts w:eastAsia="Times New Roman"/>
          <w:sz w:val="24"/>
          <w:szCs w:val="24"/>
        </w:rPr>
        <w:t xml:space="preserve"> </w:t>
      </w:r>
      <w:r w:rsidR="00EC01CE" w:rsidRPr="57CABB92">
        <w:rPr>
          <w:rFonts w:eastAsia="Times New Roman"/>
          <w:sz w:val="24"/>
          <w:szCs w:val="24"/>
        </w:rPr>
        <w:t>cyberattack</w:t>
      </w:r>
      <w:r w:rsidR="00920C8C" w:rsidRPr="57CABB92">
        <w:rPr>
          <w:rFonts w:eastAsia="Times New Roman"/>
          <w:sz w:val="24"/>
          <w:szCs w:val="24"/>
        </w:rPr>
        <w:t xml:space="preserve">, </w:t>
      </w:r>
      <w:r w:rsidRPr="57CABB92">
        <w:rPr>
          <w:rFonts w:eastAsia="Times New Roman"/>
          <w:sz w:val="24"/>
          <w:szCs w:val="24"/>
        </w:rPr>
        <w:t>which may impact a system component;</w:t>
      </w:r>
    </w:p>
    <w:p w14:paraId="281A0C8A" w14:textId="77777777" w:rsidR="004647B9" w:rsidRPr="00764311" w:rsidRDefault="00E2436F" w:rsidP="006E172E">
      <w:pPr>
        <w:numPr>
          <w:ilvl w:val="2"/>
          <w:numId w:val="471"/>
        </w:numPr>
        <w:tabs>
          <w:tab w:val="left" w:pos="2620"/>
        </w:tabs>
        <w:ind w:left="2620" w:hanging="345"/>
        <w:rPr>
          <w:rFonts w:eastAsia="Times New Roman"/>
          <w:sz w:val="24"/>
          <w:szCs w:val="24"/>
        </w:rPr>
      </w:pPr>
      <w:r w:rsidRPr="00764311">
        <w:rPr>
          <w:rFonts w:eastAsia="Times New Roman"/>
          <w:sz w:val="24"/>
          <w:szCs w:val="24"/>
        </w:rPr>
        <w:t>Any consumer complaint in which the water may have caused physical injury;</w:t>
      </w:r>
    </w:p>
    <w:p w14:paraId="281A0C8C" w14:textId="77777777" w:rsidR="004647B9" w:rsidRPr="00764311" w:rsidRDefault="00E2436F" w:rsidP="006E172E">
      <w:pPr>
        <w:numPr>
          <w:ilvl w:val="2"/>
          <w:numId w:val="471"/>
        </w:numPr>
        <w:tabs>
          <w:tab w:val="left" w:pos="2600"/>
        </w:tabs>
        <w:ind w:left="2280" w:hanging="5"/>
        <w:rPr>
          <w:rFonts w:eastAsia="Times New Roman"/>
          <w:sz w:val="24"/>
          <w:szCs w:val="24"/>
        </w:rPr>
      </w:pPr>
      <w:r w:rsidRPr="00764311">
        <w:rPr>
          <w:rFonts w:eastAsia="Times New Roman"/>
          <w:sz w:val="24"/>
          <w:szCs w:val="24"/>
        </w:rPr>
        <w:t xml:space="preserve">A pattern of unusual customer complaints about the water quality such as taste, odor, </w:t>
      </w:r>
      <w:r w:rsidRPr="00764311">
        <w:rPr>
          <w:rFonts w:eastAsia="Times New Roman"/>
          <w:i/>
          <w:iCs/>
          <w:sz w:val="24"/>
          <w:szCs w:val="24"/>
        </w:rPr>
        <w:t>etc</w:t>
      </w:r>
      <w:r w:rsidRPr="00764311">
        <w:rPr>
          <w:rFonts w:eastAsia="Times New Roman"/>
          <w:sz w:val="24"/>
          <w:szCs w:val="24"/>
        </w:rPr>
        <w:t>.; and</w:t>
      </w:r>
    </w:p>
    <w:p w14:paraId="281A0C8E" w14:textId="77777777" w:rsidR="004647B9" w:rsidRPr="00764311" w:rsidRDefault="00E2436F" w:rsidP="006E172E">
      <w:pPr>
        <w:numPr>
          <w:ilvl w:val="2"/>
          <w:numId w:val="471"/>
        </w:numPr>
        <w:tabs>
          <w:tab w:val="left" w:pos="2640"/>
        </w:tabs>
        <w:ind w:left="2640" w:hanging="365"/>
        <w:rPr>
          <w:rFonts w:eastAsia="Times New Roman"/>
          <w:sz w:val="24"/>
          <w:szCs w:val="24"/>
        </w:rPr>
      </w:pPr>
      <w:r w:rsidRPr="00764311">
        <w:rPr>
          <w:rFonts w:eastAsia="Times New Roman"/>
          <w:sz w:val="24"/>
          <w:szCs w:val="24"/>
        </w:rPr>
        <w:t>Any other Emergency as determined by the Department in writing.</w:t>
      </w:r>
    </w:p>
    <w:p w14:paraId="281A0C90" w14:textId="77777777" w:rsidR="004647B9" w:rsidRPr="00764311" w:rsidRDefault="00E2436F" w:rsidP="006E172E">
      <w:pPr>
        <w:numPr>
          <w:ilvl w:val="1"/>
          <w:numId w:val="471"/>
        </w:numPr>
        <w:tabs>
          <w:tab w:val="left" w:pos="2280"/>
        </w:tabs>
        <w:ind w:left="2280" w:hanging="365"/>
        <w:rPr>
          <w:rFonts w:eastAsia="Times New Roman"/>
          <w:sz w:val="24"/>
          <w:szCs w:val="24"/>
        </w:rPr>
      </w:pPr>
      <w:r w:rsidRPr="00764311">
        <w:rPr>
          <w:rFonts w:eastAsia="Times New Roman"/>
          <w:sz w:val="24"/>
          <w:szCs w:val="24"/>
        </w:rPr>
        <w:t>Emergencies or incidents requiring notification within 24 hours:</w:t>
      </w:r>
    </w:p>
    <w:p w14:paraId="281A0C92" w14:textId="77777777" w:rsidR="004647B9" w:rsidRPr="00764311" w:rsidRDefault="00E2436F" w:rsidP="006E172E">
      <w:pPr>
        <w:numPr>
          <w:ilvl w:val="2"/>
          <w:numId w:val="471"/>
        </w:numPr>
        <w:tabs>
          <w:tab w:val="left" w:pos="2620"/>
        </w:tabs>
        <w:ind w:left="2620" w:hanging="345"/>
        <w:rPr>
          <w:rFonts w:eastAsia="Times New Roman"/>
          <w:sz w:val="24"/>
          <w:szCs w:val="24"/>
        </w:rPr>
      </w:pPr>
      <w:r w:rsidRPr="00764311">
        <w:rPr>
          <w:rFonts w:eastAsia="Times New Roman"/>
          <w:sz w:val="24"/>
          <w:szCs w:val="24"/>
        </w:rPr>
        <w:t>Loss of water supply from a source;</w:t>
      </w:r>
    </w:p>
    <w:p w14:paraId="281A0C94" w14:textId="77777777" w:rsidR="004647B9" w:rsidRPr="00764311" w:rsidRDefault="00E2436F" w:rsidP="006E172E">
      <w:pPr>
        <w:numPr>
          <w:ilvl w:val="2"/>
          <w:numId w:val="471"/>
        </w:numPr>
        <w:tabs>
          <w:tab w:val="left" w:pos="2640"/>
        </w:tabs>
        <w:ind w:left="2640" w:hanging="365"/>
        <w:rPr>
          <w:rFonts w:eastAsia="Times New Roman"/>
          <w:sz w:val="24"/>
          <w:szCs w:val="24"/>
        </w:rPr>
      </w:pPr>
      <w:r w:rsidRPr="00764311">
        <w:rPr>
          <w:rFonts w:eastAsia="Times New Roman"/>
          <w:sz w:val="24"/>
          <w:szCs w:val="24"/>
        </w:rPr>
        <w:t>Loss of water supply due to major component failure;</w:t>
      </w:r>
    </w:p>
    <w:p w14:paraId="281A0C96" w14:textId="77777777" w:rsidR="004647B9" w:rsidRPr="00764311" w:rsidRDefault="00E2436F" w:rsidP="006E172E">
      <w:pPr>
        <w:numPr>
          <w:ilvl w:val="2"/>
          <w:numId w:val="471"/>
        </w:numPr>
        <w:tabs>
          <w:tab w:val="left" w:pos="2620"/>
        </w:tabs>
        <w:ind w:left="2620" w:hanging="345"/>
        <w:rPr>
          <w:rFonts w:eastAsia="Times New Roman"/>
          <w:sz w:val="24"/>
          <w:szCs w:val="24"/>
        </w:rPr>
      </w:pPr>
      <w:r w:rsidRPr="00764311">
        <w:rPr>
          <w:rFonts w:eastAsia="Times New Roman"/>
          <w:sz w:val="24"/>
          <w:szCs w:val="24"/>
        </w:rPr>
        <w:t>Damage to power supply equipment or loss of power;</w:t>
      </w:r>
    </w:p>
    <w:p w14:paraId="281A0C98" w14:textId="77777777" w:rsidR="004647B9" w:rsidRPr="00764311" w:rsidRDefault="00E2436F" w:rsidP="006E172E">
      <w:pPr>
        <w:numPr>
          <w:ilvl w:val="2"/>
          <w:numId w:val="471"/>
        </w:numPr>
        <w:tabs>
          <w:tab w:val="left" w:pos="2734"/>
        </w:tabs>
        <w:ind w:left="2280" w:hanging="5"/>
        <w:rPr>
          <w:rFonts w:eastAsia="Times New Roman"/>
          <w:sz w:val="24"/>
          <w:szCs w:val="24"/>
        </w:rPr>
      </w:pPr>
      <w:r w:rsidRPr="00764311">
        <w:rPr>
          <w:rFonts w:eastAsia="Times New Roman"/>
          <w:sz w:val="24"/>
          <w:szCs w:val="24"/>
        </w:rPr>
        <w:t>Contamination of water in the Distribution System from backflow or cross connection incident;</w:t>
      </w:r>
    </w:p>
    <w:p w14:paraId="281A0C9A" w14:textId="77777777" w:rsidR="004647B9" w:rsidRPr="00764311" w:rsidRDefault="00E2436F" w:rsidP="006E172E">
      <w:pPr>
        <w:numPr>
          <w:ilvl w:val="2"/>
          <w:numId w:val="471"/>
        </w:numPr>
        <w:tabs>
          <w:tab w:val="left" w:pos="2620"/>
        </w:tabs>
        <w:ind w:left="2620" w:hanging="345"/>
        <w:rPr>
          <w:rFonts w:eastAsia="Times New Roman"/>
          <w:sz w:val="24"/>
          <w:szCs w:val="24"/>
        </w:rPr>
      </w:pPr>
      <w:r w:rsidRPr="00764311">
        <w:rPr>
          <w:rFonts w:eastAsia="Times New Roman"/>
          <w:sz w:val="24"/>
          <w:szCs w:val="24"/>
        </w:rPr>
        <w:t>Collapse of a reservoir, reservoir roof, or pump house structure;</w:t>
      </w:r>
    </w:p>
    <w:p w14:paraId="281A0C9C" w14:textId="77777777" w:rsidR="004647B9" w:rsidRPr="00764311" w:rsidRDefault="00E2436F" w:rsidP="006E172E">
      <w:pPr>
        <w:numPr>
          <w:ilvl w:val="2"/>
          <w:numId w:val="471"/>
        </w:numPr>
        <w:tabs>
          <w:tab w:val="left" w:pos="2564"/>
        </w:tabs>
        <w:ind w:left="2280" w:hanging="5"/>
        <w:jc w:val="both"/>
        <w:rPr>
          <w:rFonts w:eastAsia="Times New Roman"/>
          <w:sz w:val="24"/>
          <w:szCs w:val="24"/>
        </w:rPr>
      </w:pPr>
      <w:r w:rsidRPr="00764311">
        <w:rPr>
          <w:rFonts w:eastAsia="Times New Roman"/>
          <w:sz w:val="24"/>
          <w:szCs w:val="24"/>
        </w:rPr>
        <w:t>Break in a transmission or distribution line that results in a loss of service or drop in pressure to less than 20 psi to more than 100 consumers for more than four hours;</w:t>
      </w:r>
    </w:p>
    <w:p w14:paraId="281A0C9D" w14:textId="77777777" w:rsidR="004647B9" w:rsidRPr="00764311" w:rsidRDefault="00E2436F" w:rsidP="006E172E">
      <w:pPr>
        <w:numPr>
          <w:ilvl w:val="2"/>
          <w:numId w:val="471"/>
        </w:numPr>
        <w:tabs>
          <w:tab w:val="left" w:pos="2614"/>
        </w:tabs>
        <w:ind w:left="2280" w:hanging="5"/>
        <w:rPr>
          <w:rFonts w:eastAsia="Times New Roman"/>
          <w:sz w:val="24"/>
          <w:szCs w:val="24"/>
        </w:rPr>
      </w:pPr>
      <w:r w:rsidRPr="00764311">
        <w:rPr>
          <w:rFonts w:eastAsia="Times New Roman"/>
          <w:sz w:val="24"/>
          <w:szCs w:val="24"/>
        </w:rPr>
        <w:t>Chemical or microbiological contamination of the water supply, not specified in 310 CMR 22.15(9)(b)1.c.; and</w:t>
      </w:r>
    </w:p>
    <w:p w14:paraId="281A0C9F" w14:textId="77777777" w:rsidR="004647B9" w:rsidRPr="00764311" w:rsidRDefault="00E2436F" w:rsidP="006E172E">
      <w:pPr>
        <w:numPr>
          <w:ilvl w:val="2"/>
          <w:numId w:val="471"/>
        </w:numPr>
        <w:tabs>
          <w:tab w:val="left" w:pos="2614"/>
        </w:tabs>
        <w:ind w:left="2280" w:hanging="5"/>
        <w:jc w:val="both"/>
        <w:rPr>
          <w:rFonts w:eastAsia="Times New Roman"/>
          <w:sz w:val="24"/>
          <w:szCs w:val="24"/>
        </w:rPr>
      </w:pPr>
      <w:r w:rsidRPr="00764311">
        <w:rPr>
          <w:rFonts w:eastAsia="Times New Roman"/>
          <w:sz w:val="24"/>
          <w:szCs w:val="24"/>
        </w:rPr>
        <w:t>Any other failure or potential failure of part or all of the water supply system not listed in 310 CMR 22.15(9)(b)2. that may lead to an Emergency as defined in 310 CMR 22.02.</w:t>
      </w:r>
    </w:p>
    <w:p w14:paraId="281A0CA1" w14:textId="77777777" w:rsidR="004647B9" w:rsidRDefault="00E2436F" w:rsidP="006E172E">
      <w:pPr>
        <w:numPr>
          <w:ilvl w:val="0"/>
          <w:numId w:val="472"/>
        </w:numPr>
        <w:tabs>
          <w:tab w:val="left" w:pos="2013"/>
        </w:tabs>
        <w:ind w:left="1560" w:hanging="5"/>
        <w:jc w:val="both"/>
        <w:rPr>
          <w:rFonts w:eastAsia="Times New Roman"/>
          <w:sz w:val="24"/>
          <w:szCs w:val="24"/>
        </w:rPr>
      </w:pPr>
      <w:r>
        <w:rPr>
          <w:rFonts w:eastAsia="Times New Roman"/>
          <w:sz w:val="24"/>
          <w:szCs w:val="24"/>
        </w:rPr>
        <w:t xml:space="preserve">Unless otherwise determined by the Department in writing, a water supplier must file an Emergency Response Report within 30 days of any of the Emergencies identified in 310 CMR 22.04(13)(a), a Level III or higher Emergency, as described in </w:t>
      </w:r>
      <w:r>
        <w:rPr>
          <w:rFonts w:eastAsia="Times New Roman"/>
          <w:i/>
          <w:iCs/>
          <w:sz w:val="24"/>
          <w:szCs w:val="24"/>
        </w:rPr>
        <w:t>Massachusetts</w:t>
      </w:r>
      <w:r>
        <w:rPr>
          <w:rFonts w:eastAsia="Times New Roman"/>
          <w:sz w:val="24"/>
          <w:szCs w:val="24"/>
        </w:rPr>
        <w:t xml:space="preserve"> </w:t>
      </w:r>
      <w:r>
        <w:rPr>
          <w:rFonts w:eastAsia="Times New Roman"/>
          <w:i/>
          <w:iCs/>
          <w:sz w:val="24"/>
          <w:szCs w:val="24"/>
        </w:rPr>
        <w:t>Drinking Water Guidelines and Policies for Public Water Supplies, Appendix O</w:t>
      </w:r>
      <w:r w:rsidDel="007B206E">
        <w:rPr>
          <w:rFonts w:eastAsia="Times New Roman"/>
          <w:i/>
          <w:iCs/>
          <w:sz w:val="24"/>
          <w:szCs w:val="24"/>
        </w:rPr>
        <w:t xml:space="preserve"> </w:t>
      </w:r>
      <w:r>
        <w:rPr>
          <w:rFonts w:eastAsia="Times New Roman"/>
          <w:i/>
          <w:iCs/>
          <w:sz w:val="24"/>
          <w:szCs w:val="24"/>
        </w:rPr>
        <w:t>- Handbook for Water Supply Emergencies</w:t>
      </w:r>
      <w:r>
        <w:rPr>
          <w:rFonts w:eastAsia="Times New Roman"/>
          <w:sz w:val="24"/>
          <w:szCs w:val="24"/>
        </w:rPr>
        <w:t>, or any cross connection problem that results in contamination</w:t>
      </w:r>
      <w:r>
        <w:rPr>
          <w:rFonts w:eastAsia="Times New Roman"/>
          <w:i/>
          <w:iCs/>
          <w:sz w:val="24"/>
          <w:szCs w:val="24"/>
        </w:rPr>
        <w:t xml:space="preserve"> </w:t>
      </w:r>
      <w:r>
        <w:rPr>
          <w:rFonts w:eastAsia="Times New Roman"/>
          <w:sz w:val="24"/>
          <w:szCs w:val="24"/>
        </w:rPr>
        <w:t>of the water provided by the Public Water System. The Emergency Response Report must include the following information at a minimum:</w:t>
      </w:r>
    </w:p>
    <w:p w14:paraId="281A0CA3" w14:textId="77777777" w:rsidR="004647B9" w:rsidRDefault="00E2436F" w:rsidP="006E172E">
      <w:pPr>
        <w:numPr>
          <w:ilvl w:val="1"/>
          <w:numId w:val="472"/>
        </w:numPr>
        <w:tabs>
          <w:tab w:val="left" w:pos="2280"/>
        </w:tabs>
        <w:ind w:left="2280" w:hanging="365"/>
        <w:rPr>
          <w:rFonts w:eastAsia="Times New Roman"/>
          <w:sz w:val="24"/>
          <w:szCs w:val="24"/>
        </w:rPr>
      </w:pPr>
      <w:r>
        <w:rPr>
          <w:rFonts w:eastAsia="Times New Roman"/>
          <w:sz w:val="24"/>
          <w:szCs w:val="24"/>
        </w:rPr>
        <w:t>Detailed timeline of the incident and response;</w:t>
      </w:r>
    </w:p>
    <w:p w14:paraId="281A0CA5" w14:textId="77777777" w:rsidR="004647B9" w:rsidRDefault="00E2436F" w:rsidP="006E172E">
      <w:pPr>
        <w:numPr>
          <w:ilvl w:val="1"/>
          <w:numId w:val="472"/>
        </w:numPr>
        <w:tabs>
          <w:tab w:val="left" w:pos="2280"/>
        </w:tabs>
        <w:ind w:left="2280" w:hanging="365"/>
        <w:rPr>
          <w:rFonts w:eastAsia="Times New Roman"/>
          <w:sz w:val="24"/>
          <w:szCs w:val="24"/>
        </w:rPr>
      </w:pPr>
      <w:r>
        <w:rPr>
          <w:rFonts w:eastAsia="Times New Roman"/>
          <w:sz w:val="24"/>
          <w:szCs w:val="24"/>
        </w:rPr>
        <w:t>Evaluation of the incident;</w:t>
      </w:r>
    </w:p>
    <w:p w14:paraId="281A0CA7" w14:textId="77777777" w:rsidR="004647B9" w:rsidRDefault="00E2436F" w:rsidP="006E172E">
      <w:pPr>
        <w:numPr>
          <w:ilvl w:val="1"/>
          <w:numId w:val="472"/>
        </w:numPr>
        <w:tabs>
          <w:tab w:val="left" w:pos="2258"/>
        </w:tabs>
        <w:ind w:left="1920" w:hanging="5"/>
        <w:rPr>
          <w:rFonts w:eastAsia="Times New Roman"/>
          <w:sz w:val="24"/>
          <w:szCs w:val="24"/>
        </w:rPr>
      </w:pPr>
      <w:r>
        <w:rPr>
          <w:rFonts w:eastAsia="Times New Roman"/>
          <w:sz w:val="24"/>
          <w:szCs w:val="24"/>
        </w:rPr>
        <w:t>Recommendations for improvements to Emergency response planning, training and communication;</w:t>
      </w:r>
    </w:p>
    <w:p w14:paraId="281A0CA9" w14:textId="77777777" w:rsidR="004647B9" w:rsidRDefault="00E2436F" w:rsidP="006E172E">
      <w:pPr>
        <w:numPr>
          <w:ilvl w:val="1"/>
          <w:numId w:val="472"/>
        </w:numPr>
        <w:tabs>
          <w:tab w:val="left" w:pos="2200"/>
        </w:tabs>
        <w:ind w:left="2200" w:hanging="285"/>
        <w:rPr>
          <w:rFonts w:eastAsia="Times New Roman"/>
          <w:sz w:val="23"/>
          <w:szCs w:val="23"/>
        </w:rPr>
      </w:pPr>
      <w:r>
        <w:rPr>
          <w:rFonts w:eastAsia="Times New Roman"/>
          <w:sz w:val="23"/>
          <w:szCs w:val="23"/>
        </w:rPr>
        <w:t>Recommendations for improvements to water system operations, staffing and budget;</w:t>
      </w:r>
    </w:p>
    <w:p w14:paraId="281A0CAB" w14:textId="77777777" w:rsidR="004647B9" w:rsidRDefault="00E2436F" w:rsidP="006E172E">
      <w:pPr>
        <w:numPr>
          <w:ilvl w:val="1"/>
          <w:numId w:val="472"/>
        </w:numPr>
        <w:tabs>
          <w:tab w:val="left" w:pos="2280"/>
        </w:tabs>
        <w:ind w:left="2280" w:hanging="365"/>
        <w:rPr>
          <w:rFonts w:eastAsia="Times New Roman"/>
          <w:sz w:val="24"/>
          <w:szCs w:val="24"/>
        </w:rPr>
      </w:pPr>
      <w:r>
        <w:rPr>
          <w:rFonts w:eastAsia="Times New Roman"/>
          <w:sz w:val="24"/>
          <w:szCs w:val="24"/>
        </w:rPr>
        <w:t>Timeline for making all recommended changes;</w:t>
      </w:r>
    </w:p>
    <w:p w14:paraId="281A0CAD" w14:textId="77777777" w:rsidR="004647B9" w:rsidRDefault="00E2436F" w:rsidP="006E172E">
      <w:pPr>
        <w:numPr>
          <w:ilvl w:val="1"/>
          <w:numId w:val="472"/>
        </w:numPr>
        <w:tabs>
          <w:tab w:val="left" w:pos="2254"/>
        </w:tabs>
        <w:ind w:left="1920" w:hanging="5"/>
        <w:rPr>
          <w:rFonts w:eastAsia="Times New Roman"/>
          <w:sz w:val="24"/>
          <w:szCs w:val="24"/>
        </w:rPr>
      </w:pPr>
      <w:r>
        <w:rPr>
          <w:rFonts w:eastAsia="Times New Roman"/>
          <w:sz w:val="24"/>
          <w:szCs w:val="24"/>
        </w:rPr>
        <w:t>Updated Emergency response plan except for those items that are security sensitive; and</w:t>
      </w:r>
    </w:p>
    <w:p w14:paraId="281A0CAF" w14:textId="77777777" w:rsidR="004647B9" w:rsidRDefault="00E2436F" w:rsidP="006E172E">
      <w:pPr>
        <w:numPr>
          <w:ilvl w:val="1"/>
          <w:numId w:val="472"/>
        </w:numPr>
        <w:tabs>
          <w:tab w:val="left" w:pos="2266"/>
        </w:tabs>
        <w:ind w:left="1920" w:hanging="5"/>
        <w:jc w:val="both"/>
        <w:rPr>
          <w:rFonts w:eastAsia="Times New Roman"/>
          <w:sz w:val="24"/>
          <w:szCs w:val="24"/>
        </w:rPr>
      </w:pPr>
      <w:r>
        <w:rPr>
          <w:rFonts w:eastAsia="Times New Roman"/>
          <w:sz w:val="24"/>
          <w:szCs w:val="24"/>
        </w:rPr>
        <w:t xml:space="preserve">A completed Emergency Response Checklist. (A copy of the Emergency Response Checklist form is contained in the </w:t>
      </w:r>
      <w:r>
        <w:rPr>
          <w:rFonts w:eastAsia="Times New Roman"/>
          <w:i/>
          <w:iCs/>
          <w:sz w:val="24"/>
          <w:szCs w:val="24"/>
        </w:rPr>
        <w:t>Massachusetts Drinking Water Guidelines and</w:t>
      </w:r>
      <w:r>
        <w:rPr>
          <w:rFonts w:eastAsia="Times New Roman"/>
          <w:sz w:val="24"/>
          <w:szCs w:val="24"/>
        </w:rPr>
        <w:t xml:space="preserve"> </w:t>
      </w:r>
      <w:r>
        <w:rPr>
          <w:rFonts w:eastAsia="Times New Roman"/>
          <w:i/>
          <w:iCs/>
          <w:sz w:val="24"/>
          <w:szCs w:val="24"/>
        </w:rPr>
        <w:t>Policies for Public Water Supplies, Appendix O</w:t>
      </w:r>
      <w:r w:rsidDel="007B206E">
        <w:rPr>
          <w:rFonts w:eastAsia="Times New Roman"/>
          <w:i/>
          <w:iCs/>
          <w:sz w:val="24"/>
          <w:szCs w:val="24"/>
        </w:rPr>
        <w:t xml:space="preserve"> </w:t>
      </w:r>
      <w:r>
        <w:rPr>
          <w:rFonts w:eastAsia="Times New Roman"/>
          <w:i/>
          <w:iCs/>
          <w:sz w:val="24"/>
          <w:szCs w:val="24"/>
        </w:rPr>
        <w:t>- Handbook for Water Supply Emergencies, Attachment E</w:t>
      </w:r>
      <w:r>
        <w:rPr>
          <w:rFonts w:eastAsia="Times New Roman"/>
          <w:sz w:val="24"/>
          <w:szCs w:val="24"/>
        </w:rPr>
        <w:t>).</w:t>
      </w:r>
    </w:p>
    <w:p w14:paraId="281A0CB1" w14:textId="77777777" w:rsidR="004647B9" w:rsidRDefault="00E2436F" w:rsidP="006E172E">
      <w:pPr>
        <w:numPr>
          <w:ilvl w:val="0"/>
          <w:numId w:val="472"/>
        </w:numPr>
        <w:tabs>
          <w:tab w:val="left" w:pos="2100"/>
        </w:tabs>
        <w:ind w:left="1560" w:hanging="5"/>
        <w:jc w:val="both"/>
        <w:rPr>
          <w:rFonts w:eastAsia="Times New Roman"/>
          <w:sz w:val="24"/>
          <w:szCs w:val="24"/>
        </w:rPr>
      </w:pPr>
      <w:r>
        <w:rPr>
          <w:rFonts w:eastAsia="Times New Roman"/>
          <w:sz w:val="24"/>
          <w:szCs w:val="24"/>
        </w:rPr>
        <w:t xml:space="preserve">Unless otherwise determined by the Department in writing, a water supplier must complete an Emergency Response Checklist within ten days of any Level I or II Emergency, as described in </w:t>
      </w:r>
      <w:r>
        <w:rPr>
          <w:rFonts w:eastAsia="Times New Roman"/>
          <w:i/>
          <w:iCs/>
          <w:sz w:val="24"/>
          <w:szCs w:val="24"/>
        </w:rPr>
        <w:t>Massachusetts Drinking Water Guidelines and Policies for Public Water</w:t>
      </w:r>
      <w:r>
        <w:rPr>
          <w:rFonts w:eastAsia="Times New Roman"/>
          <w:sz w:val="24"/>
          <w:szCs w:val="24"/>
        </w:rPr>
        <w:t xml:space="preserve"> </w:t>
      </w:r>
      <w:r>
        <w:rPr>
          <w:rFonts w:eastAsia="Times New Roman"/>
          <w:i/>
          <w:iCs/>
          <w:sz w:val="24"/>
          <w:szCs w:val="24"/>
        </w:rPr>
        <w:t>Supplies, Appendix O</w:t>
      </w:r>
      <w:r w:rsidDel="007B206E">
        <w:rPr>
          <w:rFonts w:eastAsia="Times New Roman"/>
          <w:i/>
          <w:iCs/>
          <w:sz w:val="24"/>
          <w:szCs w:val="24"/>
        </w:rPr>
        <w:t xml:space="preserve"> </w:t>
      </w:r>
      <w:r>
        <w:rPr>
          <w:rFonts w:eastAsia="Times New Roman"/>
          <w:i/>
          <w:iCs/>
          <w:sz w:val="24"/>
          <w:szCs w:val="24"/>
        </w:rPr>
        <w:t>- Handbook for Water Supply Emergencies</w:t>
      </w:r>
      <w:r>
        <w:rPr>
          <w:rFonts w:eastAsia="Times New Roman"/>
          <w:sz w:val="24"/>
          <w:szCs w:val="24"/>
        </w:rPr>
        <w:t>, and maintain on file for</w:t>
      </w:r>
      <w:r>
        <w:rPr>
          <w:rFonts w:eastAsia="Times New Roman"/>
          <w:i/>
          <w:iCs/>
          <w:sz w:val="24"/>
          <w:szCs w:val="24"/>
        </w:rPr>
        <w:t xml:space="preserve"> </w:t>
      </w:r>
      <w:r>
        <w:rPr>
          <w:rFonts w:eastAsia="Times New Roman"/>
          <w:sz w:val="24"/>
          <w:szCs w:val="24"/>
        </w:rPr>
        <w:t>five years for the Department's review.</w:t>
      </w:r>
    </w:p>
    <w:p w14:paraId="281A0CB3" w14:textId="77777777" w:rsidR="004647B9" w:rsidRDefault="00E2436F" w:rsidP="006E172E">
      <w:pPr>
        <w:numPr>
          <w:ilvl w:val="0"/>
          <w:numId w:val="472"/>
        </w:numPr>
        <w:tabs>
          <w:tab w:val="left" w:pos="2161"/>
        </w:tabs>
        <w:ind w:left="1560" w:hanging="5"/>
        <w:jc w:val="both"/>
        <w:rPr>
          <w:rFonts w:eastAsia="Times New Roman"/>
          <w:sz w:val="24"/>
          <w:szCs w:val="24"/>
        </w:rPr>
      </w:pPr>
      <w:r>
        <w:rPr>
          <w:rFonts w:eastAsia="Times New Roman"/>
          <w:sz w:val="24"/>
          <w:szCs w:val="24"/>
        </w:rPr>
        <w:t>Each water supplier must annually submit to the Department all updates to its Emergency Response Plan made during the year, except for those items that are security sensitive. At a minimum the annual update must include:</w:t>
      </w:r>
    </w:p>
    <w:p w14:paraId="281A0CB4" w14:textId="494D1F69" w:rsidR="004647B9" w:rsidRDefault="004647B9" w:rsidP="006E172E">
      <w:pPr>
        <w:rPr>
          <w:rFonts w:eastAsia="Times New Roman"/>
          <w:sz w:val="24"/>
          <w:szCs w:val="24"/>
        </w:rPr>
      </w:pPr>
    </w:p>
    <w:p w14:paraId="281A0CB5" w14:textId="77777777" w:rsidR="004647B9" w:rsidRDefault="004647B9" w:rsidP="006E172E">
      <w:pPr>
        <w:sectPr w:rsidR="004647B9" w:rsidSect="00EF630C">
          <w:pgSz w:w="12240" w:h="20180"/>
          <w:pgMar w:top="708" w:right="1440" w:bottom="1440" w:left="600" w:header="0" w:footer="0" w:gutter="0"/>
          <w:cols w:space="720"/>
        </w:sectPr>
      </w:pPr>
      <w:bookmarkStart w:id="183" w:name="page185"/>
      <w:bookmarkEnd w:id="183"/>
    </w:p>
    <w:p w14:paraId="281A0CB6" w14:textId="77777777" w:rsidR="004647B9" w:rsidRDefault="00E2436F">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CB7" w14:textId="77777777" w:rsidR="004647B9" w:rsidRDefault="004647B9" w:rsidP="00C5456C">
      <w:pPr>
        <w:rPr>
          <w:sz w:val="20"/>
          <w:szCs w:val="20"/>
        </w:rPr>
      </w:pPr>
    </w:p>
    <w:p w14:paraId="281A0CB8" w14:textId="77777777" w:rsidR="004647B9" w:rsidRDefault="004647B9" w:rsidP="00C5456C">
      <w:pPr>
        <w:rPr>
          <w:sz w:val="20"/>
          <w:szCs w:val="20"/>
        </w:rPr>
      </w:pPr>
    </w:p>
    <w:p w14:paraId="281A0CB9" w14:textId="77777777" w:rsidR="004647B9" w:rsidRPr="00764311" w:rsidRDefault="00E2436F" w:rsidP="00C5456C">
      <w:pPr>
        <w:tabs>
          <w:tab w:val="left" w:pos="760"/>
        </w:tabs>
        <w:rPr>
          <w:sz w:val="24"/>
          <w:szCs w:val="24"/>
        </w:rPr>
      </w:pPr>
      <w:r w:rsidRPr="00764311">
        <w:rPr>
          <w:rFonts w:eastAsia="Times New Roman"/>
          <w:sz w:val="24"/>
          <w:szCs w:val="24"/>
        </w:rPr>
        <w:t>22.15:</w:t>
      </w:r>
      <w:r w:rsidRPr="00764311">
        <w:rPr>
          <w:rFonts w:eastAsia="Times New Roman"/>
          <w:sz w:val="24"/>
          <w:szCs w:val="24"/>
        </w:rPr>
        <w:tab/>
        <w:t>continued</w:t>
      </w:r>
    </w:p>
    <w:p w14:paraId="281A0CBA" w14:textId="77777777" w:rsidR="004647B9" w:rsidRPr="00C5456C" w:rsidRDefault="004647B9" w:rsidP="00C5456C">
      <w:pPr>
        <w:rPr>
          <w:sz w:val="20"/>
          <w:szCs w:val="20"/>
        </w:rPr>
      </w:pPr>
    </w:p>
    <w:p w14:paraId="281A0CBB" w14:textId="77777777" w:rsidR="004647B9" w:rsidRPr="00764311" w:rsidRDefault="00E2436F" w:rsidP="00B761FA">
      <w:pPr>
        <w:numPr>
          <w:ilvl w:val="0"/>
          <w:numId w:val="473"/>
        </w:numPr>
        <w:tabs>
          <w:tab w:val="left" w:pos="2280"/>
        </w:tabs>
        <w:ind w:left="2275" w:hanging="360"/>
        <w:rPr>
          <w:rFonts w:eastAsia="Times New Roman"/>
          <w:sz w:val="24"/>
          <w:szCs w:val="24"/>
        </w:rPr>
      </w:pPr>
      <w:r w:rsidRPr="00764311">
        <w:rPr>
          <w:rFonts w:eastAsia="Times New Roman"/>
          <w:sz w:val="24"/>
          <w:szCs w:val="24"/>
        </w:rPr>
        <w:t>An updated Emergency contact list; and</w:t>
      </w:r>
    </w:p>
    <w:p w14:paraId="281A0CBD" w14:textId="77777777" w:rsidR="004647B9" w:rsidRPr="00764311" w:rsidRDefault="00E2436F" w:rsidP="00B761FA">
      <w:pPr>
        <w:numPr>
          <w:ilvl w:val="0"/>
          <w:numId w:val="473"/>
        </w:numPr>
        <w:tabs>
          <w:tab w:val="left" w:pos="2275"/>
        </w:tabs>
        <w:ind w:left="1915"/>
        <w:rPr>
          <w:rFonts w:eastAsia="Times New Roman"/>
          <w:sz w:val="24"/>
          <w:szCs w:val="24"/>
        </w:rPr>
      </w:pPr>
      <w:r w:rsidRPr="00764311">
        <w:rPr>
          <w:rFonts w:eastAsia="Times New Roman"/>
          <w:sz w:val="24"/>
          <w:szCs w:val="24"/>
        </w:rPr>
        <w:t>A list and description of all Emergency response training provided to system personnel and local partners during the year.</w:t>
      </w:r>
    </w:p>
    <w:p w14:paraId="281A0CBE" w14:textId="77777777" w:rsidR="004647B9" w:rsidRPr="00764311" w:rsidRDefault="004647B9" w:rsidP="00C5456C">
      <w:pPr>
        <w:rPr>
          <w:sz w:val="24"/>
          <w:szCs w:val="24"/>
        </w:rPr>
      </w:pPr>
    </w:p>
    <w:p w14:paraId="281A0CBF" w14:textId="77777777" w:rsidR="004647B9" w:rsidRPr="00764311" w:rsidRDefault="00E2436F" w:rsidP="00C5456C">
      <w:pPr>
        <w:tabs>
          <w:tab w:val="left" w:pos="760"/>
        </w:tabs>
        <w:rPr>
          <w:sz w:val="24"/>
          <w:szCs w:val="24"/>
        </w:rPr>
      </w:pPr>
      <w:r w:rsidRPr="00764311">
        <w:rPr>
          <w:rFonts w:eastAsia="Times New Roman"/>
          <w:sz w:val="24"/>
          <w:szCs w:val="24"/>
          <w:u w:val="single"/>
        </w:rPr>
        <w:t>22.16:</w:t>
      </w:r>
      <w:r w:rsidRPr="00764311">
        <w:rPr>
          <w:rFonts w:eastAsia="Times New Roman"/>
          <w:sz w:val="24"/>
          <w:szCs w:val="24"/>
          <w:u w:val="single"/>
        </w:rPr>
        <w:tab/>
        <w:t>Public Notification Requirements</w:t>
      </w:r>
    </w:p>
    <w:p w14:paraId="281A0CC0" w14:textId="77777777" w:rsidR="004647B9" w:rsidRPr="00764311" w:rsidRDefault="004647B9" w:rsidP="00C5456C">
      <w:pPr>
        <w:rPr>
          <w:sz w:val="24"/>
          <w:szCs w:val="24"/>
        </w:rPr>
      </w:pPr>
    </w:p>
    <w:p w14:paraId="281A0CC1" w14:textId="77777777" w:rsidR="004647B9" w:rsidRPr="00764311" w:rsidRDefault="00E2436F" w:rsidP="00C5456C">
      <w:pPr>
        <w:numPr>
          <w:ilvl w:val="0"/>
          <w:numId w:val="474"/>
        </w:numPr>
        <w:tabs>
          <w:tab w:val="left" w:pos="1560"/>
        </w:tabs>
        <w:ind w:left="1560" w:hanging="360"/>
        <w:jc w:val="both"/>
        <w:rPr>
          <w:rFonts w:eastAsia="Times New Roman"/>
          <w:sz w:val="24"/>
          <w:szCs w:val="24"/>
        </w:rPr>
      </w:pPr>
      <w:r w:rsidRPr="00764311">
        <w:rPr>
          <w:rFonts w:eastAsia="Times New Roman"/>
          <w:sz w:val="24"/>
          <w:szCs w:val="24"/>
        </w:rPr>
        <w:t xml:space="preserve">(a) </w:t>
      </w:r>
      <w:r w:rsidRPr="00764311">
        <w:rPr>
          <w:rFonts w:eastAsia="Times New Roman"/>
          <w:sz w:val="24"/>
          <w:szCs w:val="24"/>
          <w:u w:val="single"/>
        </w:rPr>
        <w:t>Public Water Systems Required to Notify</w:t>
      </w:r>
      <w:r w:rsidRPr="00764311">
        <w:rPr>
          <w:rFonts w:eastAsia="Times New Roman"/>
          <w:sz w:val="24"/>
          <w:szCs w:val="24"/>
        </w:rPr>
        <w:t xml:space="preserve">. Each Supplier of Water for a Public Water System (Community Water Systems, Non-transient Non-community Water Systems, and Transient Non-community Water Systems) shall give notice for all violations of National Primary Drinking Water Regulations (NPDWR), 310 CMR 22.00 and for other situations, as listed in 310 CMR 22.16: </w:t>
      </w:r>
      <w:r w:rsidRPr="00764311">
        <w:rPr>
          <w:rFonts w:eastAsia="Times New Roman"/>
          <w:i/>
          <w:iCs/>
          <w:sz w:val="24"/>
          <w:szCs w:val="24"/>
        </w:rPr>
        <w:t>Table 1</w:t>
      </w:r>
      <w:r w:rsidRPr="00764311">
        <w:rPr>
          <w:rFonts w:eastAsia="Times New Roman"/>
          <w:sz w:val="24"/>
          <w:szCs w:val="24"/>
        </w:rPr>
        <w:t xml:space="preserve"> or specified by the Department in writing. The term</w:t>
      </w:r>
      <w:r w:rsidRPr="00764311" w:rsidDel="007B206E">
        <w:rPr>
          <w:rFonts w:eastAsia="Times New Roman"/>
          <w:sz w:val="24"/>
          <w:szCs w:val="24"/>
        </w:rPr>
        <w:t xml:space="preserve"> </w:t>
      </w:r>
      <w:r w:rsidRPr="00764311">
        <w:rPr>
          <w:rFonts w:eastAsia="Times New Roman"/>
          <w:sz w:val="24"/>
          <w:szCs w:val="24"/>
        </w:rPr>
        <w:t>"violation</w:t>
      </w:r>
      <w:r w:rsidRPr="00764311" w:rsidDel="007B206E">
        <w:rPr>
          <w:rFonts w:eastAsia="Times New Roman"/>
          <w:sz w:val="24"/>
          <w:szCs w:val="24"/>
        </w:rPr>
        <w:t>s</w:t>
      </w:r>
      <w:r w:rsidRPr="00764311">
        <w:rPr>
          <w:rFonts w:eastAsia="Times New Roman"/>
          <w:sz w:val="24"/>
          <w:szCs w:val="24"/>
        </w:rPr>
        <w:t xml:space="preserve">" is used in 310 CMR 22.16 to include violations of the Maximum Contaminant Level (MCL), maximum residual Disinfection level (MRDL), Treatment Technique (TT), monitoring requirements, and testing procedures defined in 310 CMR 22.00 or specified by the Department in writing. 310 CMR 22.16: </w:t>
      </w:r>
      <w:r w:rsidRPr="00764311">
        <w:rPr>
          <w:rFonts w:eastAsia="Times New Roman"/>
          <w:i/>
          <w:iCs/>
          <w:sz w:val="24"/>
          <w:szCs w:val="24"/>
        </w:rPr>
        <w:t>Table 2</w:t>
      </w:r>
      <w:r w:rsidRPr="00764311">
        <w:rPr>
          <w:rFonts w:eastAsia="Times New Roman"/>
          <w:sz w:val="24"/>
          <w:szCs w:val="24"/>
        </w:rPr>
        <w:t xml:space="preserve"> identifies the tier assignment for each specific violation or situation requiring a public notice.</w:t>
      </w:r>
    </w:p>
    <w:p w14:paraId="281A0CC2" w14:textId="77777777" w:rsidR="004647B9" w:rsidRPr="00764311" w:rsidRDefault="004647B9" w:rsidP="00C5456C">
      <w:pPr>
        <w:rPr>
          <w:sz w:val="24"/>
          <w:szCs w:val="24"/>
        </w:rPr>
      </w:pPr>
    </w:p>
    <w:p w14:paraId="281A0CC3" w14:textId="77777777" w:rsidR="004647B9" w:rsidRPr="00764311" w:rsidRDefault="00E2436F" w:rsidP="00C5456C">
      <w:pPr>
        <w:jc w:val="center"/>
        <w:rPr>
          <w:sz w:val="24"/>
          <w:szCs w:val="24"/>
        </w:rPr>
      </w:pPr>
      <w:r w:rsidRPr="00764311">
        <w:rPr>
          <w:rFonts w:eastAsia="Times New Roman"/>
          <w:sz w:val="24"/>
          <w:szCs w:val="24"/>
        </w:rPr>
        <w:t xml:space="preserve">310 CMR 22.16: </w:t>
      </w:r>
      <w:r w:rsidRPr="00764311">
        <w:rPr>
          <w:rFonts w:eastAsia="Times New Roman"/>
          <w:i/>
          <w:iCs/>
          <w:sz w:val="24"/>
          <w:szCs w:val="24"/>
        </w:rPr>
        <w:t>Table 1</w:t>
      </w:r>
    </w:p>
    <w:p w14:paraId="281A0CC5" w14:textId="77777777" w:rsidR="004647B9" w:rsidRPr="00764311" w:rsidRDefault="00E2436F" w:rsidP="00C5456C">
      <w:pPr>
        <w:jc w:val="center"/>
        <w:rPr>
          <w:sz w:val="24"/>
          <w:szCs w:val="24"/>
        </w:rPr>
      </w:pPr>
      <w:r w:rsidRPr="00764311">
        <w:rPr>
          <w:rFonts w:eastAsia="Times New Roman"/>
          <w:sz w:val="24"/>
          <w:szCs w:val="24"/>
        </w:rPr>
        <w:t>Violation Categories and other Situations Requiring a Public Notice</w:t>
      </w:r>
    </w:p>
    <w:p w14:paraId="281A0CC6" w14:textId="77777777" w:rsidR="004647B9" w:rsidRPr="00764311" w:rsidRDefault="004647B9" w:rsidP="00C5456C">
      <w:pPr>
        <w:rPr>
          <w:sz w:val="24"/>
          <w:szCs w:val="24"/>
        </w:rPr>
      </w:pPr>
    </w:p>
    <w:p w14:paraId="281A0CC7" w14:textId="77777777" w:rsidR="004647B9" w:rsidRPr="00764311" w:rsidRDefault="00E2436F" w:rsidP="00C5456C">
      <w:pPr>
        <w:numPr>
          <w:ilvl w:val="1"/>
          <w:numId w:val="475"/>
        </w:numPr>
        <w:tabs>
          <w:tab w:val="left" w:pos="2280"/>
        </w:tabs>
        <w:ind w:left="2280" w:hanging="365"/>
        <w:rPr>
          <w:rFonts w:eastAsia="Times New Roman"/>
          <w:sz w:val="24"/>
          <w:szCs w:val="24"/>
        </w:rPr>
      </w:pPr>
      <w:r w:rsidRPr="00764311">
        <w:rPr>
          <w:rFonts w:eastAsia="Times New Roman"/>
          <w:sz w:val="24"/>
          <w:szCs w:val="24"/>
          <w:u w:val="single"/>
        </w:rPr>
        <w:t>Violations</w:t>
      </w:r>
      <w:r w:rsidRPr="00764311">
        <w:rPr>
          <w:rFonts w:eastAsia="Times New Roman"/>
          <w:sz w:val="24"/>
          <w:szCs w:val="24"/>
        </w:rPr>
        <w:t>.</w:t>
      </w:r>
    </w:p>
    <w:p w14:paraId="281A0CC9" w14:textId="77777777" w:rsidR="004647B9" w:rsidRPr="00764311" w:rsidRDefault="00E2436F" w:rsidP="00C5456C">
      <w:pPr>
        <w:numPr>
          <w:ilvl w:val="2"/>
          <w:numId w:val="475"/>
        </w:numPr>
        <w:tabs>
          <w:tab w:val="left" w:pos="2648"/>
        </w:tabs>
        <w:ind w:left="2280" w:hanging="5"/>
        <w:rPr>
          <w:rFonts w:eastAsia="Times New Roman"/>
          <w:sz w:val="24"/>
          <w:szCs w:val="24"/>
        </w:rPr>
      </w:pPr>
      <w:r w:rsidRPr="00764311">
        <w:rPr>
          <w:rFonts w:eastAsia="Times New Roman"/>
          <w:sz w:val="24"/>
          <w:szCs w:val="24"/>
        </w:rPr>
        <w:t>Failure to comply with an applicable Maximum Contaminant Level (MCL) or Maximum Residual Disinfectant Level (MRDL).</w:t>
      </w:r>
    </w:p>
    <w:p w14:paraId="281A0CCB" w14:textId="77777777" w:rsidR="004647B9" w:rsidRPr="00764311" w:rsidRDefault="00E2436F" w:rsidP="00C5456C">
      <w:pPr>
        <w:numPr>
          <w:ilvl w:val="2"/>
          <w:numId w:val="475"/>
        </w:numPr>
        <w:tabs>
          <w:tab w:val="left" w:pos="2640"/>
        </w:tabs>
        <w:ind w:left="2640" w:hanging="365"/>
        <w:rPr>
          <w:rFonts w:eastAsia="Times New Roman"/>
          <w:sz w:val="24"/>
          <w:szCs w:val="24"/>
        </w:rPr>
      </w:pPr>
      <w:r w:rsidRPr="00764311">
        <w:rPr>
          <w:rFonts w:eastAsia="Times New Roman"/>
          <w:sz w:val="24"/>
          <w:szCs w:val="24"/>
        </w:rPr>
        <w:t>Failure to comply with a prescribed Treatment Technique (TT).</w:t>
      </w:r>
    </w:p>
    <w:p w14:paraId="281A0CCD" w14:textId="77777777" w:rsidR="004647B9" w:rsidRPr="00764311" w:rsidRDefault="00E2436F" w:rsidP="00C5456C">
      <w:pPr>
        <w:numPr>
          <w:ilvl w:val="2"/>
          <w:numId w:val="475"/>
        </w:numPr>
        <w:tabs>
          <w:tab w:val="left" w:pos="2620"/>
        </w:tabs>
        <w:ind w:left="2620" w:hanging="345"/>
        <w:rPr>
          <w:rFonts w:eastAsia="Times New Roman"/>
          <w:sz w:val="24"/>
          <w:szCs w:val="24"/>
        </w:rPr>
      </w:pPr>
      <w:r w:rsidRPr="00764311">
        <w:rPr>
          <w:rFonts w:eastAsia="Times New Roman"/>
          <w:sz w:val="24"/>
          <w:szCs w:val="24"/>
        </w:rPr>
        <w:t>Failure to perform water quality monitoring, as required by 310 CMR 22.00.</w:t>
      </w:r>
    </w:p>
    <w:p w14:paraId="281A0CCF" w14:textId="77777777" w:rsidR="004647B9" w:rsidRPr="00764311" w:rsidRDefault="00E2436F" w:rsidP="00C5456C">
      <w:pPr>
        <w:numPr>
          <w:ilvl w:val="2"/>
          <w:numId w:val="475"/>
        </w:numPr>
        <w:tabs>
          <w:tab w:val="left" w:pos="2640"/>
        </w:tabs>
        <w:ind w:left="2640" w:hanging="365"/>
        <w:rPr>
          <w:rFonts w:eastAsia="Times New Roman"/>
          <w:sz w:val="24"/>
          <w:szCs w:val="24"/>
        </w:rPr>
      </w:pPr>
      <w:r w:rsidRPr="00764311">
        <w:rPr>
          <w:rFonts w:eastAsia="Times New Roman"/>
          <w:sz w:val="24"/>
          <w:szCs w:val="24"/>
        </w:rPr>
        <w:t>Failure to comply with testing procedures as prescribed by 310 CMR 22.00.</w:t>
      </w:r>
    </w:p>
    <w:p w14:paraId="281A0CD1" w14:textId="77777777" w:rsidR="004647B9" w:rsidRPr="00764311" w:rsidRDefault="00E2436F" w:rsidP="00C5456C">
      <w:pPr>
        <w:numPr>
          <w:ilvl w:val="1"/>
          <w:numId w:val="475"/>
        </w:numPr>
        <w:tabs>
          <w:tab w:val="left" w:pos="2280"/>
        </w:tabs>
        <w:ind w:left="2280" w:hanging="365"/>
        <w:rPr>
          <w:rFonts w:eastAsia="Times New Roman"/>
          <w:sz w:val="24"/>
          <w:szCs w:val="24"/>
        </w:rPr>
      </w:pPr>
      <w:r w:rsidRPr="00764311">
        <w:rPr>
          <w:rFonts w:eastAsia="Times New Roman"/>
          <w:sz w:val="24"/>
          <w:szCs w:val="24"/>
          <w:u w:val="single"/>
        </w:rPr>
        <w:t>Variance and Exemptions under 310 CMR 22.13, 22.13A and 22.14</w:t>
      </w:r>
      <w:r w:rsidRPr="00764311">
        <w:rPr>
          <w:rFonts w:eastAsia="Times New Roman"/>
          <w:sz w:val="24"/>
          <w:szCs w:val="24"/>
        </w:rPr>
        <w:t>.</w:t>
      </w:r>
    </w:p>
    <w:p w14:paraId="281A0CD3" w14:textId="77777777" w:rsidR="004647B9" w:rsidRPr="00764311" w:rsidRDefault="00E2436F" w:rsidP="00C5456C">
      <w:pPr>
        <w:numPr>
          <w:ilvl w:val="2"/>
          <w:numId w:val="475"/>
        </w:numPr>
        <w:tabs>
          <w:tab w:val="left" w:pos="2620"/>
        </w:tabs>
        <w:ind w:left="2620" w:hanging="345"/>
        <w:rPr>
          <w:rFonts w:eastAsia="Times New Roman"/>
          <w:sz w:val="24"/>
          <w:szCs w:val="24"/>
        </w:rPr>
      </w:pPr>
      <w:r w:rsidRPr="00764311">
        <w:rPr>
          <w:rFonts w:eastAsia="Times New Roman"/>
          <w:sz w:val="24"/>
          <w:szCs w:val="24"/>
        </w:rPr>
        <w:t>Operation under a variance or an exemption.</w:t>
      </w:r>
    </w:p>
    <w:p w14:paraId="281A0CD5" w14:textId="12C27B86" w:rsidR="004647B9" w:rsidRPr="00764311" w:rsidRDefault="00E2436F" w:rsidP="00B761FA">
      <w:pPr>
        <w:numPr>
          <w:ilvl w:val="2"/>
          <w:numId w:val="475"/>
        </w:numPr>
        <w:tabs>
          <w:tab w:val="left" w:pos="2620"/>
        </w:tabs>
        <w:ind w:left="2275"/>
        <w:rPr>
          <w:rFonts w:eastAsia="Times New Roman"/>
          <w:sz w:val="24"/>
          <w:szCs w:val="24"/>
        </w:rPr>
      </w:pPr>
      <w:r w:rsidRPr="00764311">
        <w:rPr>
          <w:rFonts w:eastAsia="Times New Roman"/>
          <w:sz w:val="24"/>
          <w:szCs w:val="24"/>
        </w:rPr>
        <w:t>Failure to comply with the requirements of any schedule that has been set under</w:t>
      </w:r>
      <w:r w:rsidR="00B761FA">
        <w:rPr>
          <w:rFonts w:eastAsia="Times New Roman"/>
          <w:sz w:val="24"/>
          <w:szCs w:val="24"/>
        </w:rPr>
        <w:t xml:space="preserve"> a </w:t>
      </w:r>
      <w:r w:rsidR="00B761FA" w:rsidRPr="00764311">
        <w:rPr>
          <w:rFonts w:eastAsia="Times New Roman"/>
          <w:sz w:val="24"/>
          <w:szCs w:val="24"/>
        </w:rPr>
        <w:t>variance or an exemption.</w:t>
      </w:r>
    </w:p>
    <w:p w14:paraId="281A0CD9" w14:textId="77777777" w:rsidR="004647B9" w:rsidRPr="00764311" w:rsidRDefault="00E2436F" w:rsidP="00C5456C">
      <w:pPr>
        <w:numPr>
          <w:ilvl w:val="1"/>
          <w:numId w:val="477"/>
        </w:numPr>
        <w:tabs>
          <w:tab w:val="left" w:pos="2280"/>
        </w:tabs>
        <w:ind w:left="2280" w:hanging="365"/>
        <w:rPr>
          <w:rFonts w:eastAsia="Times New Roman"/>
          <w:sz w:val="24"/>
          <w:szCs w:val="24"/>
        </w:rPr>
      </w:pPr>
      <w:r w:rsidRPr="00764311">
        <w:rPr>
          <w:rFonts w:eastAsia="Times New Roman"/>
          <w:sz w:val="24"/>
          <w:szCs w:val="24"/>
          <w:u w:val="single"/>
        </w:rPr>
        <w:t>Special Public Notices</w:t>
      </w:r>
      <w:r w:rsidRPr="00764311">
        <w:rPr>
          <w:rFonts w:eastAsia="Times New Roman"/>
          <w:sz w:val="24"/>
          <w:szCs w:val="24"/>
        </w:rPr>
        <w:t>.</w:t>
      </w:r>
    </w:p>
    <w:p w14:paraId="281A0CDB" w14:textId="77777777" w:rsidR="004647B9" w:rsidRPr="00764311" w:rsidRDefault="00E2436F" w:rsidP="00C5456C">
      <w:pPr>
        <w:numPr>
          <w:ilvl w:val="2"/>
          <w:numId w:val="477"/>
        </w:numPr>
        <w:tabs>
          <w:tab w:val="left" w:pos="2594"/>
        </w:tabs>
        <w:ind w:left="2280" w:hanging="5"/>
        <w:rPr>
          <w:rFonts w:eastAsia="Times New Roman"/>
          <w:sz w:val="24"/>
          <w:szCs w:val="24"/>
        </w:rPr>
      </w:pPr>
      <w:r w:rsidRPr="00764311">
        <w:rPr>
          <w:rFonts w:eastAsia="Times New Roman"/>
          <w:sz w:val="24"/>
          <w:szCs w:val="24"/>
        </w:rPr>
        <w:t>Occurrence of a Waterborne Disease Outbreak or other waterborne Emergencies or water supply Emergencies, including those described in 310 CMR 22.04(13).</w:t>
      </w:r>
    </w:p>
    <w:p w14:paraId="281A0CDC" w14:textId="77777777" w:rsidR="004647B9" w:rsidRPr="00764311" w:rsidRDefault="00E2436F" w:rsidP="00C5456C">
      <w:pPr>
        <w:numPr>
          <w:ilvl w:val="2"/>
          <w:numId w:val="477"/>
        </w:numPr>
        <w:tabs>
          <w:tab w:val="left" w:pos="2686"/>
        </w:tabs>
        <w:ind w:left="2280" w:hanging="5"/>
        <w:rPr>
          <w:rFonts w:eastAsia="Times New Roman"/>
          <w:sz w:val="24"/>
          <w:szCs w:val="24"/>
        </w:rPr>
      </w:pPr>
      <w:r w:rsidRPr="00764311">
        <w:rPr>
          <w:rFonts w:eastAsia="Times New Roman"/>
          <w:sz w:val="24"/>
          <w:szCs w:val="24"/>
        </w:rPr>
        <w:t>Exceedance of the nitrate MCL by Non-community Water Systems (NCWS), where granted permission by the Department under 310 CMR 22.13 and 22.13A.</w:t>
      </w:r>
    </w:p>
    <w:p w14:paraId="281A0CDE" w14:textId="77777777" w:rsidR="004647B9" w:rsidRPr="00764311" w:rsidRDefault="00E2436F" w:rsidP="00B761FA">
      <w:pPr>
        <w:numPr>
          <w:ilvl w:val="2"/>
          <w:numId w:val="477"/>
        </w:numPr>
        <w:tabs>
          <w:tab w:val="left" w:pos="2540"/>
        </w:tabs>
        <w:ind w:left="2275"/>
        <w:rPr>
          <w:rFonts w:eastAsia="Times New Roman"/>
          <w:sz w:val="24"/>
          <w:szCs w:val="24"/>
        </w:rPr>
      </w:pPr>
      <w:r w:rsidRPr="00764311">
        <w:rPr>
          <w:rFonts w:eastAsia="Times New Roman"/>
          <w:sz w:val="24"/>
          <w:szCs w:val="24"/>
        </w:rPr>
        <w:t>Exceedance of the Secondary Maximum Contaminant Level (SMCL) for fluoride.</w:t>
      </w:r>
    </w:p>
    <w:p w14:paraId="281A0CE0" w14:textId="77777777" w:rsidR="004647B9" w:rsidRDefault="00E2436F" w:rsidP="00C5456C">
      <w:pPr>
        <w:numPr>
          <w:ilvl w:val="2"/>
          <w:numId w:val="477"/>
        </w:numPr>
        <w:tabs>
          <w:tab w:val="left" w:pos="2640"/>
        </w:tabs>
        <w:ind w:left="2640" w:hanging="365"/>
        <w:rPr>
          <w:rFonts w:eastAsia="Times New Roman"/>
          <w:sz w:val="24"/>
          <w:szCs w:val="24"/>
        </w:rPr>
      </w:pPr>
      <w:r w:rsidRPr="00764311">
        <w:rPr>
          <w:rFonts w:eastAsia="Times New Roman"/>
          <w:sz w:val="24"/>
          <w:szCs w:val="24"/>
        </w:rPr>
        <w:t>Availability of unregulated contaminant monitoring data.</w:t>
      </w:r>
    </w:p>
    <w:p w14:paraId="41A55B43" w14:textId="1A9D5CBC" w:rsidR="00884F81" w:rsidRPr="00764311" w:rsidRDefault="00884F81" w:rsidP="00884F81">
      <w:pPr>
        <w:numPr>
          <w:ilvl w:val="2"/>
          <w:numId w:val="477"/>
        </w:numPr>
        <w:tabs>
          <w:tab w:val="left" w:pos="2640"/>
        </w:tabs>
        <w:ind w:left="2275"/>
        <w:rPr>
          <w:rFonts w:eastAsia="Times New Roman"/>
          <w:sz w:val="24"/>
          <w:szCs w:val="24"/>
        </w:rPr>
      </w:pPr>
      <w:r w:rsidRPr="00764311">
        <w:rPr>
          <w:rFonts w:eastAsia="Times New Roman"/>
          <w:sz w:val="24"/>
          <w:szCs w:val="24"/>
        </w:rPr>
        <w:t xml:space="preserve">Other violations and situations determined by the Department to require a public notice under 310 CMR 22.16, not already listed in 310 CMR 22.16: </w:t>
      </w:r>
      <w:r w:rsidRPr="00764311">
        <w:rPr>
          <w:rFonts w:eastAsia="Times New Roman"/>
          <w:i/>
          <w:iCs/>
          <w:sz w:val="24"/>
          <w:szCs w:val="24"/>
        </w:rPr>
        <w:t xml:space="preserve">Table </w:t>
      </w:r>
      <w:r>
        <w:rPr>
          <w:rFonts w:eastAsia="Times New Roman"/>
          <w:i/>
          <w:iCs/>
          <w:sz w:val="24"/>
          <w:szCs w:val="24"/>
        </w:rPr>
        <w:t>6</w:t>
      </w:r>
      <w:r w:rsidRPr="00764311">
        <w:rPr>
          <w:rFonts w:eastAsia="Times New Roman"/>
          <w:sz w:val="24"/>
          <w:szCs w:val="24"/>
        </w:rPr>
        <w:t>.</w:t>
      </w:r>
    </w:p>
    <w:p w14:paraId="281A0CE3" w14:textId="77777777" w:rsidR="004647B9" w:rsidRPr="00764311" w:rsidRDefault="00E2436F" w:rsidP="00C5456C">
      <w:pPr>
        <w:numPr>
          <w:ilvl w:val="0"/>
          <w:numId w:val="478"/>
        </w:numPr>
        <w:tabs>
          <w:tab w:val="left" w:pos="1997"/>
        </w:tabs>
        <w:ind w:left="1560" w:hanging="5"/>
        <w:jc w:val="both"/>
        <w:rPr>
          <w:rFonts w:eastAsia="Times New Roman"/>
          <w:sz w:val="24"/>
          <w:szCs w:val="24"/>
        </w:rPr>
      </w:pPr>
      <w:r w:rsidRPr="00764311">
        <w:rPr>
          <w:rFonts w:eastAsia="Times New Roman"/>
          <w:sz w:val="24"/>
          <w:szCs w:val="24"/>
          <w:u w:val="single"/>
        </w:rPr>
        <w:t>Tier Classification</w:t>
      </w:r>
      <w:r w:rsidRPr="00764311">
        <w:rPr>
          <w:rFonts w:eastAsia="Times New Roman"/>
          <w:sz w:val="24"/>
          <w:szCs w:val="24"/>
        </w:rPr>
        <w:t xml:space="preserve">. Public notice requirements are divided into three tiers, to take into account the seriousness of the violation or situation and of any potential adverse health effects that may be involved. The public notice requirements for each violation or situation listed in 310 CMR 22.16: </w:t>
      </w:r>
      <w:r w:rsidRPr="00764311">
        <w:rPr>
          <w:rFonts w:eastAsia="Times New Roman"/>
          <w:i/>
          <w:iCs/>
          <w:sz w:val="24"/>
          <w:szCs w:val="24"/>
        </w:rPr>
        <w:t>Table 1</w:t>
      </w:r>
      <w:r w:rsidRPr="00764311">
        <w:rPr>
          <w:rFonts w:eastAsia="Times New Roman"/>
          <w:sz w:val="24"/>
          <w:szCs w:val="24"/>
        </w:rPr>
        <w:t xml:space="preserve"> are determined by the tier to which the violation is assigned. 310 CMR 22.16: Table 2 provides the definition of each tier. 310 CMR 22.16:</w:t>
      </w:r>
    </w:p>
    <w:p w14:paraId="281A0CE4" w14:textId="77777777" w:rsidR="004647B9" w:rsidRPr="00764311" w:rsidRDefault="00E2436F" w:rsidP="00C5456C">
      <w:pPr>
        <w:ind w:left="1620"/>
        <w:rPr>
          <w:sz w:val="24"/>
          <w:szCs w:val="24"/>
        </w:rPr>
      </w:pPr>
      <w:r w:rsidRPr="00764311">
        <w:rPr>
          <w:rFonts w:eastAsia="Times New Roman"/>
          <w:i/>
          <w:iCs/>
          <w:sz w:val="24"/>
          <w:szCs w:val="24"/>
        </w:rPr>
        <w:t xml:space="preserve">Table 6 </w:t>
      </w:r>
      <w:r w:rsidRPr="00764311">
        <w:rPr>
          <w:rFonts w:eastAsia="Times New Roman"/>
          <w:sz w:val="24"/>
          <w:szCs w:val="24"/>
        </w:rPr>
        <w:t>identifies the tier assignment for each specific violation or situation.</w:t>
      </w:r>
    </w:p>
    <w:p w14:paraId="281A0CE5" w14:textId="77777777" w:rsidR="004647B9" w:rsidRPr="00764311" w:rsidRDefault="004647B9" w:rsidP="00C5456C">
      <w:pPr>
        <w:rPr>
          <w:sz w:val="24"/>
          <w:szCs w:val="24"/>
        </w:rPr>
      </w:pPr>
    </w:p>
    <w:p w14:paraId="281A0CE6" w14:textId="77777777" w:rsidR="004647B9" w:rsidRPr="00764311" w:rsidRDefault="00E2436F" w:rsidP="00C5456C">
      <w:pPr>
        <w:jc w:val="center"/>
        <w:rPr>
          <w:sz w:val="24"/>
          <w:szCs w:val="24"/>
        </w:rPr>
      </w:pPr>
      <w:r w:rsidRPr="00764311">
        <w:rPr>
          <w:rFonts w:eastAsia="Times New Roman"/>
          <w:sz w:val="24"/>
          <w:szCs w:val="24"/>
        </w:rPr>
        <w:t xml:space="preserve">310 CMR 22.16: </w:t>
      </w:r>
      <w:r w:rsidRPr="00764311">
        <w:rPr>
          <w:rFonts w:eastAsia="Times New Roman"/>
          <w:i/>
          <w:iCs/>
          <w:sz w:val="24"/>
          <w:szCs w:val="24"/>
        </w:rPr>
        <w:t>Table 2</w:t>
      </w:r>
    </w:p>
    <w:p w14:paraId="281A0CE8" w14:textId="77777777" w:rsidR="004647B9" w:rsidRPr="00764311" w:rsidRDefault="00E2436F" w:rsidP="00C5456C">
      <w:pPr>
        <w:jc w:val="center"/>
        <w:rPr>
          <w:sz w:val="24"/>
          <w:szCs w:val="24"/>
        </w:rPr>
      </w:pPr>
      <w:r w:rsidRPr="00764311">
        <w:rPr>
          <w:rFonts w:eastAsia="Times New Roman"/>
          <w:sz w:val="24"/>
          <w:szCs w:val="24"/>
        </w:rPr>
        <w:t>Definition of Public Notice Tiers</w:t>
      </w:r>
    </w:p>
    <w:p w14:paraId="281A0CE9" w14:textId="77777777" w:rsidR="004647B9" w:rsidRPr="00764311" w:rsidRDefault="004647B9" w:rsidP="00C5456C">
      <w:pPr>
        <w:rPr>
          <w:sz w:val="24"/>
          <w:szCs w:val="24"/>
        </w:rPr>
      </w:pPr>
    </w:p>
    <w:p w14:paraId="281A0CEA" w14:textId="77777777" w:rsidR="004647B9" w:rsidRPr="00764311" w:rsidRDefault="00E2436F" w:rsidP="00C5456C">
      <w:pPr>
        <w:numPr>
          <w:ilvl w:val="0"/>
          <w:numId w:val="479"/>
        </w:numPr>
        <w:tabs>
          <w:tab w:val="left" w:pos="2266"/>
        </w:tabs>
        <w:ind w:left="1920" w:hanging="5"/>
        <w:rPr>
          <w:rFonts w:eastAsia="Times New Roman"/>
          <w:sz w:val="24"/>
          <w:szCs w:val="24"/>
        </w:rPr>
      </w:pPr>
      <w:r w:rsidRPr="00764311">
        <w:rPr>
          <w:rFonts w:eastAsia="Times New Roman"/>
          <w:sz w:val="24"/>
          <w:szCs w:val="24"/>
          <w:u w:val="single"/>
        </w:rPr>
        <w:t>Tier 1 Public Notice</w:t>
      </w:r>
      <w:r w:rsidRPr="00764311">
        <w:rPr>
          <w:rFonts w:eastAsia="Times New Roman"/>
          <w:sz w:val="24"/>
          <w:szCs w:val="24"/>
        </w:rPr>
        <w:t xml:space="preserve"> required for violations and situations with significant potential to have serious adverse effects on human health as a result of short-term exposure.</w:t>
      </w:r>
    </w:p>
    <w:p w14:paraId="281A0CEC" w14:textId="77777777" w:rsidR="004647B9" w:rsidRPr="00764311" w:rsidRDefault="00E2436F" w:rsidP="00C5456C">
      <w:pPr>
        <w:numPr>
          <w:ilvl w:val="0"/>
          <w:numId w:val="479"/>
        </w:numPr>
        <w:tabs>
          <w:tab w:val="left" w:pos="2261"/>
        </w:tabs>
        <w:ind w:left="1920" w:hanging="5"/>
        <w:rPr>
          <w:rFonts w:eastAsia="Times New Roman"/>
          <w:sz w:val="24"/>
          <w:szCs w:val="24"/>
        </w:rPr>
      </w:pPr>
      <w:r w:rsidRPr="00764311">
        <w:rPr>
          <w:rFonts w:eastAsia="Times New Roman"/>
          <w:sz w:val="24"/>
          <w:szCs w:val="24"/>
          <w:u w:val="single"/>
        </w:rPr>
        <w:t>Tier 2 Public Notice</w:t>
      </w:r>
      <w:r w:rsidRPr="00764311">
        <w:rPr>
          <w:rFonts w:eastAsia="Times New Roman"/>
          <w:sz w:val="24"/>
          <w:szCs w:val="24"/>
        </w:rPr>
        <w:t xml:space="preserve"> required for all other violations and situations with potential to have serious adverse effects on human health.</w:t>
      </w:r>
    </w:p>
    <w:p w14:paraId="281A0CEE" w14:textId="77777777" w:rsidR="004647B9" w:rsidRPr="00764311" w:rsidRDefault="00E2436F" w:rsidP="00C5456C">
      <w:pPr>
        <w:numPr>
          <w:ilvl w:val="0"/>
          <w:numId w:val="479"/>
        </w:numPr>
        <w:tabs>
          <w:tab w:val="left" w:pos="2287"/>
        </w:tabs>
        <w:ind w:left="1920" w:hanging="5"/>
        <w:rPr>
          <w:rFonts w:eastAsia="Times New Roman"/>
          <w:sz w:val="24"/>
          <w:szCs w:val="24"/>
        </w:rPr>
      </w:pPr>
      <w:r w:rsidRPr="00764311">
        <w:rPr>
          <w:rFonts w:eastAsia="Times New Roman"/>
          <w:sz w:val="24"/>
          <w:szCs w:val="24"/>
          <w:u w:val="single"/>
        </w:rPr>
        <w:t>Tier 3 Public Notice</w:t>
      </w:r>
      <w:r w:rsidRPr="00764311">
        <w:rPr>
          <w:rFonts w:eastAsia="Times New Roman"/>
          <w:sz w:val="24"/>
          <w:szCs w:val="24"/>
        </w:rPr>
        <w:t xml:space="preserve"> required for all other violations and situations not included in Tier 1 and Tier 2.</w:t>
      </w:r>
    </w:p>
    <w:p w14:paraId="281A0CEF" w14:textId="77777777" w:rsidR="004647B9" w:rsidRDefault="004647B9" w:rsidP="00C5456C">
      <w:pPr>
        <w:sectPr w:rsidR="004647B9" w:rsidSect="00EF630C">
          <w:pgSz w:w="12240" w:h="20180"/>
          <w:pgMar w:top="708" w:right="1440" w:bottom="1440" w:left="600" w:header="0" w:footer="0" w:gutter="0"/>
          <w:cols w:space="720"/>
        </w:sectPr>
      </w:pPr>
    </w:p>
    <w:p w14:paraId="281A0CF0" w14:textId="77777777" w:rsidR="004647B9" w:rsidRPr="00584FA1" w:rsidRDefault="00E2436F" w:rsidP="00584FA1">
      <w:pPr>
        <w:tabs>
          <w:tab w:val="left" w:pos="160"/>
        </w:tabs>
        <w:jc w:val="center"/>
        <w:rPr>
          <w:sz w:val="24"/>
          <w:szCs w:val="24"/>
        </w:rPr>
      </w:pPr>
      <w:bookmarkStart w:id="184" w:name="page186"/>
      <w:bookmarkEnd w:id="184"/>
      <w:r w:rsidRPr="00584FA1">
        <w:rPr>
          <w:rFonts w:eastAsia="Times New Roman"/>
          <w:sz w:val="24"/>
          <w:szCs w:val="24"/>
        </w:rPr>
        <w:lastRenderedPageBreak/>
        <w:t>310 CMR:</w:t>
      </w:r>
      <w:r w:rsidRPr="00584FA1">
        <w:rPr>
          <w:sz w:val="24"/>
          <w:szCs w:val="24"/>
        </w:rPr>
        <w:tab/>
      </w:r>
      <w:r w:rsidRPr="00584FA1">
        <w:rPr>
          <w:rFonts w:eastAsia="Times New Roman"/>
          <w:sz w:val="24"/>
          <w:szCs w:val="24"/>
        </w:rPr>
        <w:t>DEPARTMENT OF ENVIRONMENTAL PROTECTION</w:t>
      </w:r>
    </w:p>
    <w:p w14:paraId="281A0CF1" w14:textId="77777777" w:rsidR="004647B9" w:rsidRPr="00884F81" w:rsidRDefault="004647B9" w:rsidP="00884F81">
      <w:pPr>
        <w:rPr>
          <w:sz w:val="20"/>
          <w:szCs w:val="20"/>
        </w:rPr>
      </w:pPr>
    </w:p>
    <w:p w14:paraId="281A0CF2" w14:textId="77777777" w:rsidR="004647B9" w:rsidRPr="00884F81" w:rsidRDefault="004647B9" w:rsidP="00884F81">
      <w:pPr>
        <w:rPr>
          <w:sz w:val="20"/>
          <w:szCs w:val="20"/>
        </w:rPr>
      </w:pPr>
    </w:p>
    <w:p w14:paraId="281A0CF3" w14:textId="77777777" w:rsidR="004647B9" w:rsidRPr="00584FA1" w:rsidRDefault="00E2436F" w:rsidP="00884F81">
      <w:pPr>
        <w:tabs>
          <w:tab w:val="left" w:pos="760"/>
        </w:tabs>
        <w:rPr>
          <w:sz w:val="24"/>
          <w:szCs w:val="24"/>
        </w:rPr>
      </w:pPr>
      <w:r w:rsidRPr="00584FA1">
        <w:rPr>
          <w:rFonts w:eastAsia="Times New Roman"/>
          <w:sz w:val="24"/>
          <w:szCs w:val="24"/>
        </w:rPr>
        <w:t>22.16:</w:t>
      </w:r>
      <w:r w:rsidRPr="00584FA1">
        <w:rPr>
          <w:rFonts w:eastAsia="Times New Roman"/>
          <w:sz w:val="24"/>
          <w:szCs w:val="24"/>
        </w:rPr>
        <w:tab/>
        <w:t>continued</w:t>
      </w:r>
    </w:p>
    <w:p w14:paraId="281A0CF4" w14:textId="77777777" w:rsidR="004647B9" w:rsidRPr="00884F81" w:rsidRDefault="004647B9" w:rsidP="00884F81">
      <w:pPr>
        <w:rPr>
          <w:sz w:val="20"/>
          <w:szCs w:val="20"/>
        </w:rPr>
      </w:pPr>
    </w:p>
    <w:p w14:paraId="281A0CF5" w14:textId="77777777" w:rsidR="004647B9" w:rsidRPr="00584FA1" w:rsidRDefault="00E2436F" w:rsidP="00884F81">
      <w:pPr>
        <w:numPr>
          <w:ilvl w:val="1"/>
          <w:numId w:val="480"/>
        </w:numPr>
        <w:tabs>
          <w:tab w:val="left" w:pos="2000"/>
        </w:tabs>
        <w:ind w:left="2000" w:hanging="445"/>
        <w:rPr>
          <w:rFonts w:eastAsia="Times New Roman"/>
          <w:sz w:val="24"/>
          <w:szCs w:val="24"/>
        </w:rPr>
      </w:pPr>
      <w:r w:rsidRPr="00584FA1">
        <w:rPr>
          <w:rFonts w:eastAsia="Times New Roman"/>
          <w:sz w:val="24"/>
          <w:szCs w:val="24"/>
          <w:u w:val="single"/>
        </w:rPr>
        <w:t>Persons to be Notified</w:t>
      </w:r>
      <w:r w:rsidRPr="00584FA1">
        <w:rPr>
          <w:rFonts w:eastAsia="Times New Roman"/>
          <w:sz w:val="24"/>
          <w:szCs w:val="24"/>
        </w:rPr>
        <w:t>.</w:t>
      </w:r>
    </w:p>
    <w:p w14:paraId="281A0CF7" w14:textId="77777777" w:rsidR="004647B9" w:rsidRPr="00584FA1" w:rsidRDefault="00E2436F" w:rsidP="00884F81">
      <w:pPr>
        <w:numPr>
          <w:ilvl w:val="2"/>
          <w:numId w:val="480"/>
        </w:numPr>
        <w:tabs>
          <w:tab w:val="left" w:pos="2294"/>
        </w:tabs>
        <w:ind w:left="1920" w:hanging="5"/>
        <w:jc w:val="both"/>
        <w:rPr>
          <w:rFonts w:eastAsia="Times New Roman"/>
          <w:sz w:val="24"/>
          <w:szCs w:val="24"/>
        </w:rPr>
      </w:pPr>
      <w:r w:rsidRPr="00584FA1">
        <w:rPr>
          <w:rFonts w:eastAsia="Times New Roman"/>
          <w:sz w:val="24"/>
          <w:szCs w:val="24"/>
        </w:rPr>
        <w:t>Each Supplier of Water shall provide public notice to Persons served by the water system, in accordance with 310 CMR 22.16. Public Water Systems that sell or otherwise provide drinking water to other Public Water Systems (</w:t>
      </w:r>
      <w:r w:rsidRPr="00584FA1">
        <w:rPr>
          <w:rFonts w:eastAsia="Times New Roman"/>
          <w:i/>
          <w:iCs/>
          <w:sz w:val="24"/>
          <w:szCs w:val="24"/>
        </w:rPr>
        <w:t>i.e</w:t>
      </w:r>
      <w:r w:rsidRPr="00584FA1">
        <w:rPr>
          <w:rFonts w:eastAsia="Times New Roman"/>
          <w:sz w:val="24"/>
          <w:szCs w:val="24"/>
        </w:rPr>
        <w:t>., to consecutive systems) are required to give public notice to the owner/operator of the consecutive system; the consecutive system is responsible for providing public notice to the Persons it serves.</w:t>
      </w:r>
    </w:p>
    <w:p w14:paraId="281A0CF9" w14:textId="77777777" w:rsidR="004647B9" w:rsidRPr="00584FA1" w:rsidRDefault="00E2436F" w:rsidP="00884F81">
      <w:pPr>
        <w:numPr>
          <w:ilvl w:val="2"/>
          <w:numId w:val="480"/>
        </w:numPr>
        <w:tabs>
          <w:tab w:val="left" w:pos="2258"/>
        </w:tabs>
        <w:ind w:left="1920" w:hanging="5"/>
        <w:jc w:val="both"/>
        <w:rPr>
          <w:rFonts w:eastAsia="Times New Roman"/>
          <w:sz w:val="24"/>
          <w:szCs w:val="24"/>
        </w:rPr>
      </w:pPr>
      <w:r w:rsidRPr="00584FA1">
        <w:rPr>
          <w:rFonts w:eastAsia="Times New Roman"/>
          <w:sz w:val="24"/>
          <w:szCs w:val="24"/>
        </w:rPr>
        <w:t>If a Public Water System has a violation in a portion of the Distribution System that is physically or hydraulically isolated from other parts of the Distribution System, the Department may allow the system to limit distribution of the public notice to only Persons served by that portion of the system which is out of compliance. Permission by the Department for limiting distribution of the notice shall be granted in writing.</w:t>
      </w:r>
    </w:p>
    <w:p w14:paraId="281A0CFB" w14:textId="77777777" w:rsidR="004647B9" w:rsidRPr="00584FA1" w:rsidRDefault="00E2436F" w:rsidP="00884F81">
      <w:pPr>
        <w:numPr>
          <w:ilvl w:val="2"/>
          <w:numId w:val="480"/>
        </w:numPr>
        <w:tabs>
          <w:tab w:val="left" w:pos="2335"/>
        </w:tabs>
        <w:ind w:left="1920" w:hanging="5"/>
        <w:rPr>
          <w:rFonts w:eastAsia="Times New Roman"/>
          <w:sz w:val="24"/>
          <w:szCs w:val="24"/>
        </w:rPr>
      </w:pPr>
      <w:r w:rsidRPr="00584FA1">
        <w:rPr>
          <w:rFonts w:eastAsia="Times New Roman"/>
          <w:sz w:val="24"/>
          <w:szCs w:val="24"/>
        </w:rPr>
        <w:t>A copy of the notice shall also be sent to the Department and the local Board of Health, in accordance with the requirements of 310 CMR 22.15(3)(b) and (c).</w:t>
      </w:r>
    </w:p>
    <w:p w14:paraId="281A0CFC" w14:textId="77777777" w:rsidR="004647B9" w:rsidRPr="00584FA1" w:rsidRDefault="004647B9" w:rsidP="00884F81">
      <w:pPr>
        <w:rPr>
          <w:rFonts w:eastAsia="Times New Roman"/>
          <w:sz w:val="24"/>
          <w:szCs w:val="24"/>
        </w:rPr>
      </w:pPr>
    </w:p>
    <w:p w14:paraId="281A0CFD" w14:textId="77777777" w:rsidR="004647B9" w:rsidRPr="00584FA1" w:rsidRDefault="00E2436F" w:rsidP="00884F81">
      <w:pPr>
        <w:numPr>
          <w:ilvl w:val="0"/>
          <w:numId w:val="481"/>
        </w:numPr>
        <w:tabs>
          <w:tab w:val="left" w:pos="1660"/>
        </w:tabs>
        <w:ind w:left="1660" w:hanging="460"/>
        <w:rPr>
          <w:rFonts w:eastAsia="Times New Roman"/>
          <w:sz w:val="24"/>
          <w:szCs w:val="24"/>
        </w:rPr>
      </w:pPr>
      <w:r w:rsidRPr="00584FA1">
        <w:rPr>
          <w:rFonts w:eastAsia="Times New Roman"/>
          <w:sz w:val="24"/>
          <w:szCs w:val="24"/>
          <w:u w:val="single"/>
        </w:rPr>
        <w:t>Tier 1 Public Notice</w:t>
      </w:r>
      <w:r w:rsidRPr="00584FA1">
        <w:rPr>
          <w:rFonts w:eastAsia="Times New Roman"/>
          <w:sz w:val="24"/>
          <w:szCs w:val="24"/>
        </w:rPr>
        <w:t>.</w:t>
      </w:r>
    </w:p>
    <w:p w14:paraId="281A0CFF" w14:textId="77777777" w:rsidR="004647B9" w:rsidRPr="00584FA1" w:rsidRDefault="00E2436F" w:rsidP="00884F81">
      <w:pPr>
        <w:numPr>
          <w:ilvl w:val="1"/>
          <w:numId w:val="481"/>
        </w:numPr>
        <w:tabs>
          <w:tab w:val="left" w:pos="1970"/>
        </w:tabs>
        <w:ind w:left="1560" w:hanging="5"/>
        <w:jc w:val="both"/>
        <w:rPr>
          <w:rFonts w:eastAsia="Times New Roman"/>
          <w:sz w:val="24"/>
          <w:szCs w:val="24"/>
        </w:rPr>
      </w:pPr>
      <w:r w:rsidRPr="00584FA1">
        <w:rPr>
          <w:rFonts w:eastAsia="Times New Roman"/>
          <w:sz w:val="24"/>
          <w:szCs w:val="24"/>
          <w:u w:val="single"/>
        </w:rPr>
        <w:t>Violations or Situations Requiring Tier 1 Public Notice</w:t>
      </w:r>
      <w:r w:rsidRPr="00584FA1">
        <w:rPr>
          <w:rFonts w:eastAsia="Times New Roman"/>
          <w:sz w:val="24"/>
          <w:szCs w:val="24"/>
        </w:rPr>
        <w:t xml:space="preserve">. 310 CMR 22.16: </w:t>
      </w:r>
      <w:r w:rsidRPr="00584FA1">
        <w:rPr>
          <w:rFonts w:eastAsia="Times New Roman"/>
          <w:i/>
          <w:iCs/>
          <w:sz w:val="24"/>
          <w:szCs w:val="24"/>
        </w:rPr>
        <w:t>Table 3</w:t>
      </w:r>
      <w:r w:rsidRPr="00584FA1">
        <w:rPr>
          <w:rFonts w:eastAsia="Times New Roman"/>
          <w:sz w:val="24"/>
          <w:szCs w:val="24"/>
        </w:rPr>
        <w:t xml:space="preserve"> lists the violation categories and other situations requiring a Tier 1 Public Notice. 310 CMR 22.16: </w:t>
      </w:r>
      <w:r w:rsidRPr="00584FA1">
        <w:rPr>
          <w:rFonts w:eastAsia="Times New Roman"/>
          <w:i/>
          <w:iCs/>
          <w:sz w:val="24"/>
          <w:szCs w:val="24"/>
        </w:rPr>
        <w:t>Table 6</w:t>
      </w:r>
      <w:r w:rsidRPr="00584FA1">
        <w:rPr>
          <w:rFonts w:eastAsia="Times New Roman"/>
          <w:sz w:val="24"/>
          <w:szCs w:val="24"/>
        </w:rPr>
        <w:t xml:space="preserve"> identifies the tier assignment for each specific violation or situation.</w:t>
      </w:r>
    </w:p>
    <w:p w14:paraId="281A0D00" w14:textId="77777777" w:rsidR="004647B9" w:rsidRPr="00584FA1" w:rsidRDefault="004647B9" w:rsidP="00884F81">
      <w:pPr>
        <w:rPr>
          <w:sz w:val="24"/>
          <w:szCs w:val="24"/>
        </w:rPr>
      </w:pPr>
    </w:p>
    <w:p w14:paraId="281A0D01" w14:textId="77777777" w:rsidR="004647B9" w:rsidRPr="00584FA1" w:rsidRDefault="00E2436F" w:rsidP="00884F81">
      <w:pPr>
        <w:jc w:val="center"/>
        <w:rPr>
          <w:sz w:val="24"/>
          <w:szCs w:val="24"/>
        </w:rPr>
      </w:pPr>
      <w:r w:rsidRPr="00584FA1">
        <w:rPr>
          <w:rFonts w:eastAsia="Times New Roman"/>
          <w:sz w:val="24"/>
          <w:szCs w:val="24"/>
        </w:rPr>
        <w:t xml:space="preserve">310 CMR 22.16: </w:t>
      </w:r>
      <w:r w:rsidRPr="00584FA1">
        <w:rPr>
          <w:rFonts w:eastAsia="Times New Roman"/>
          <w:i/>
          <w:iCs/>
          <w:sz w:val="24"/>
          <w:szCs w:val="24"/>
        </w:rPr>
        <w:t>Table 3</w:t>
      </w:r>
    </w:p>
    <w:p w14:paraId="281A0D03" w14:textId="77777777" w:rsidR="004647B9" w:rsidRPr="00584FA1" w:rsidRDefault="00E2436F" w:rsidP="00884F81">
      <w:pPr>
        <w:jc w:val="center"/>
        <w:rPr>
          <w:sz w:val="24"/>
          <w:szCs w:val="24"/>
        </w:rPr>
      </w:pPr>
      <w:r w:rsidRPr="00584FA1">
        <w:rPr>
          <w:rFonts w:eastAsia="Times New Roman"/>
          <w:sz w:val="24"/>
          <w:szCs w:val="24"/>
        </w:rPr>
        <w:t>Violation Categories and Other Situations Requiring a Tier 1 Public Notice</w:t>
      </w:r>
    </w:p>
    <w:p w14:paraId="281A0D04" w14:textId="77777777" w:rsidR="004647B9" w:rsidRPr="00584FA1" w:rsidRDefault="004647B9" w:rsidP="00884F81">
      <w:pPr>
        <w:rPr>
          <w:sz w:val="24"/>
          <w:szCs w:val="24"/>
        </w:rPr>
      </w:pPr>
    </w:p>
    <w:p w14:paraId="281A0D06" w14:textId="108B529F" w:rsidR="004647B9" w:rsidRPr="00584FA1" w:rsidRDefault="00E2436F" w:rsidP="00905F85">
      <w:pPr>
        <w:numPr>
          <w:ilvl w:val="0"/>
          <w:numId w:val="482"/>
        </w:numPr>
        <w:tabs>
          <w:tab w:val="left" w:pos="2273"/>
        </w:tabs>
        <w:ind w:left="1920" w:hanging="5"/>
        <w:jc w:val="both"/>
        <w:rPr>
          <w:sz w:val="24"/>
          <w:szCs w:val="24"/>
        </w:rPr>
      </w:pPr>
      <w:r w:rsidRPr="00584FA1">
        <w:rPr>
          <w:rFonts w:eastAsia="Times New Roman"/>
          <w:sz w:val="24"/>
          <w:szCs w:val="24"/>
        </w:rPr>
        <w:t xml:space="preserve">Violation of the MCL </w:t>
      </w:r>
      <w:r w:rsidR="00FE3A07">
        <w:rPr>
          <w:rFonts w:eastAsia="Times New Roman"/>
          <w:sz w:val="24"/>
          <w:szCs w:val="24"/>
        </w:rPr>
        <w:t>for</w:t>
      </w:r>
      <w:r w:rsidRPr="00584FA1">
        <w:rPr>
          <w:rFonts w:eastAsia="Times New Roman"/>
          <w:sz w:val="24"/>
          <w:szCs w:val="24"/>
        </w:rPr>
        <w:t xml:space="preserve"> </w:t>
      </w:r>
      <w:r w:rsidRPr="00584FA1">
        <w:rPr>
          <w:rFonts w:eastAsia="Times New Roman"/>
          <w:i/>
          <w:iCs/>
          <w:sz w:val="24"/>
          <w:szCs w:val="24"/>
        </w:rPr>
        <w:t>E. coli</w:t>
      </w:r>
      <w:r w:rsidR="005F4CFA" w:rsidRPr="005F4CFA">
        <w:rPr>
          <w:rFonts w:eastAsia="Times New Roman"/>
          <w:sz w:val="24"/>
          <w:szCs w:val="24"/>
        </w:rPr>
        <w:t>,</w:t>
      </w:r>
      <w:r w:rsidRPr="00584FA1">
        <w:rPr>
          <w:rFonts w:eastAsia="Times New Roman"/>
          <w:sz w:val="24"/>
          <w:szCs w:val="24"/>
        </w:rPr>
        <w:t xml:space="preserve"> as specified in 310 CMR 22.05(8)(a);</w:t>
      </w:r>
    </w:p>
    <w:p w14:paraId="281A0D07" w14:textId="77777777" w:rsidR="004647B9" w:rsidRPr="00584FA1" w:rsidRDefault="00E2436F" w:rsidP="00884F81">
      <w:pPr>
        <w:numPr>
          <w:ilvl w:val="0"/>
          <w:numId w:val="483"/>
        </w:numPr>
        <w:tabs>
          <w:tab w:val="left" w:pos="2309"/>
        </w:tabs>
        <w:ind w:left="1920" w:hanging="5"/>
        <w:jc w:val="both"/>
        <w:rPr>
          <w:rFonts w:eastAsia="Times New Roman"/>
          <w:sz w:val="24"/>
          <w:szCs w:val="24"/>
        </w:rPr>
      </w:pPr>
      <w:r w:rsidRPr="00584FA1">
        <w:rPr>
          <w:rFonts w:eastAsia="Times New Roman"/>
          <w:sz w:val="24"/>
          <w:szCs w:val="24"/>
        </w:rPr>
        <w:t>Violation of the MCL for nitrate, nitrite, total nitrate and nitrite or perchlorate, as defined in 310 CMR 22.06, or when the water system fails to take a confirmation sample within 24 hours of the system's receipt of the first sample showing an exceedance of the nitrate, nitrite or perchlorate MCL, as specified in 310 CMR 22.06(10);</w:t>
      </w:r>
    </w:p>
    <w:p w14:paraId="281A0D09" w14:textId="77777777" w:rsidR="004647B9" w:rsidRPr="00584FA1" w:rsidRDefault="00E2436F" w:rsidP="00884F81">
      <w:pPr>
        <w:numPr>
          <w:ilvl w:val="0"/>
          <w:numId w:val="483"/>
        </w:numPr>
        <w:tabs>
          <w:tab w:val="left" w:pos="2237"/>
        </w:tabs>
        <w:ind w:left="1920" w:hanging="5"/>
        <w:rPr>
          <w:rFonts w:eastAsia="Times New Roman"/>
          <w:sz w:val="24"/>
          <w:szCs w:val="24"/>
        </w:rPr>
      </w:pPr>
      <w:r w:rsidRPr="00584FA1">
        <w:rPr>
          <w:rFonts w:eastAsia="Times New Roman"/>
          <w:sz w:val="24"/>
          <w:szCs w:val="24"/>
        </w:rPr>
        <w:t>Exceedance of the nitrate MCL by Non-community Water Systems, where permitted to exceed the MCL by the Department under 310 CMR 22.13 or 22.13A;</w:t>
      </w:r>
    </w:p>
    <w:p w14:paraId="281A0D0B" w14:textId="77777777" w:rsidR="004647B9" w:rsidRPr="00584FA1" w:rsidRDefault="00E2436F" w:rsidP="00884F81">
      <w:pPr>
        <w:numPr>
          <w:ilvl w:val="0"/>
          <w:numId w:val="483"/>
        </w:numPr>
        <w:tabs>
          <w:tab w:val="left" w:pos="2266"/>
        </w:tabs>
        <w:ind w:left="1920" w:hanging="5"/>
        <w:jc w:val="both"/>
        <w:rPr>
          <w:rFonts w:eastAsia="Times New Roman"/>
          <w:sz w:val="24"/>
          <w:szCs w:val="24"/>
        </w:rPr>
      </w:pPr>
      <w:r w:rsidRPr="00584FA1">
        <w:rPr>
          <w:rFonts w:eastAsia="Times New Roman"/>
          <w:sz w:val="24"/>
          <w:szCs w:val="24"/>
        </w:rPr>
        <w:t>Violation of the MRDL for chlorine dioxide, as defined in 310 CMR 22.07E, when one or more samples taken in the Distribution System the day following an exceedance of the MRDL at the entrance of the Distribution System exceed the MRDL, or when the water system does not take the required samples in the Distribution System, as specified in 310 CMR 22.07E;</w:t>
      </w:r>
    </w:p>
    <w:p w14:paraId="281A0D0D" w14:textId="77777777" w:rsidR="004647B9" w:rsidRPr="00584FA1" w:rsidRDefault="00E2436F" w:rsidP="00884F81">
      <w:pPr>
        <w:numPr>
          <w:ilvl w:val="0"/>
          <w:numId w:val="483"/>
        </w:numPr>
        <w:tabs>
          <w:tab w:val="left" w:pos="2362"/>
        </w:tabs>
        <w:ind w:left="1920" w:hanging="5"/>
        <w:jc w:val="both"/>
        <w:rPr>
          <w:rFonts w:eastAsia="Times New Roman"/>
          <w:sz w:val="24"/>
          <w:szCs w:val="24"/>
        </w:rPr>
      </w:pPr>
      <w:r w:rsidRPr="00584FA1">
        <w:rPr>
          <w:rFonts w:eastAsia="Times New Roman"/>
          <w:sz w:val="24"/>
          <w:szCs w:val="24"/>
        </w:rPr>
        <w:t>Violation of the Turbidity MCL under 310 CMR 22.08 and 22.20A, where the Department determines after consultation that a Tier 1 notice is required or where consultation does not take place within 24 hours after the system learns of the violation;</w:t>
      </w:r>
    </w:p>
    <w:p w14:paraId="281A0D0E" w14:textId="5962EB28" w:rsidR="004647B9" w:rsidRPr="00584FA1" w:rsidRDefault="00E2436F" w:rsidP="00037E70">
      <w:pPr>
        <w:numPr>
          <w:ilvl w:val="0"/>
          <w:numId w:val="483"/>
        </w:numPr>
        <w:tabs>
          <w:tab w:val="left" w:pos="2340"/>
        </w:tabs>
        <w:ind w:left="1915"/>
        <w:rPr>
          <w:rFonts w:eastAsia="Times New Roman"/>
          <w:sz w:val="24"/>
          <w:szCs w:val="24"/>
        </w:rPr>
      </w:pPr>
      <w:r w:rsidRPr="00584FA1">
        <w:rPr>
          <w:rFonts w:eastAsia="Times New Roman"/>
          <w:sz w:val="24"/>
          <w:szCs w:val="24"/>
        </w:rPr>
        <w:t>Violation of 310 CMR 22.20A, the Surface Water Treatment Rule (SWTR), or</w:t>
      </w:r>
      <w:r w:rsidR="00AA5265">
        <w:rPr>
          <w:rFonts w:eastAsia="Times New Roman"/>
          <w:sz w:val="24"/>
          <w:szCs w:val="24"/>
        </w:rPr>
        <w:t xml:space="preserve"> 310 </w:t>
      </w:r>
      <w:r w:rsidR="00AA5265" w:rsidRPr="00584FA1">
        <w:rPr>
          <w:rFonts w:eastAsia="Times New Roman"/>
          <w:sz w:val="24"/>
          <w:szCs w:val="24"/>
        </w:rPr>
        <w:t>CMR 22.20D, the Interim Enhanced Surface Water Treatment rule (IESWTR), or</w:t>
      </w:r>
      <w:r w:rsidR="00AA5265">
        <w:rPr>
          <w:rFonts w:eastAsia="Times New Roman"/>
          <w:sz w:val="24"/>
          <w:szCs w:val="24"/>
        </w:rPr>
        <w:t xml:space="preserve"> 310 </w:t>
      </w:r>
      <w:r w:rsidR="00037E70" w:rsidRPr="00584FA1">
        <w:rPr>
          <w:rFonts w:eastAsia="Times New Roman"/>
          <w:sz w:val="24"/>
          <w:szCs w:val="24"/>
        </w:rPr>
        <w:t xml:space="preserve">CMR 22.20F, the Long Term 1 Enhanced Surface Water Treatment Rule (LT1ESWTR), Treatment Technique requirement resulting from a single exceedance of the maximum allowable Turbidity limit (as identified in 310 CMR 22.16: </w:t>
      </w:r>
      <w:r w:rsidR="00037E70" w:rsidRPr="00584FA1">
        <w:rPr>
          <w:rFonts w:eastAsia="Times New Roman"/>
          <w:i/>
          <w:iCs/>
          <w:sz w:val="24"/>
          <w:szCs w:val="24"/>
        </w:rPr>
        <w:t>Table 6</w:t>
      </w:r>
      <w:r w:rsidR="00037E70" w:rsidRPr="00584FA1">
        <w:rPr>
          <w:rFonts w:eastAsia="Times New Roman"/>
          <w:sz w:val="24"/>
          <w:szCs w:val="24"/>
        </w:rPr>
        <w:t>), where the Department determines after consultation that a Tier 1 notice is required or where consultation does not take place within 24 hours after the system learns of the violation</w:t>
      </w:r>
      <w:r w:rsidR="00037E70">
        <w:rPr>
          <w:rFonts w:eastAsia="Times New Roman"/>
          <w:sz w:val="24"/>
          <w:szCs w:val="24"/>
        </w:rPr>
        <w:t>;</w:t>
      </w:r>
    </w:p>
    <w:p w14:paraId="281A0D14" w14:textId="77777777" w:rsidR="004647B9" w:rsidRPr="00584FA1" w:rsidRDefault="00E2436F" w:rsidP="00884F81">
      <w:pPr>
        <w:numPr>
          <w:ilvl w:val="0"/>
          <w:numId w:val="486"/>
        </w:numPr>
        <w:tabs>
          <w:tab w:val="left" w:pos="2263"/>
        </w:tabs>
        <w:ind w:left="1920" w:hanging="5"/>
        <w:rPr>
          <w:rFonts w:eastAsia="Times New Roman"/>
          <w:sz w:val="24"/>
          <w:szCs w:val="24"/>
        </w:rPr>
      </w:pPr>
      <w:r w:rsidRPr="00584FA1">
        <w:rPr>
          <w:rFonts w:eastAsia="Times New Roman"/>
          <w:sz w:val="24"/>
          <w:szCs w:val="24"/>
        </w:rPr>
        <w:t>Occurrence of a Waterborne Disease Outbreak, as defined in 310 CMR 22.02(1), or other waterborne Emergency such as:</w:t>
      </w:r>
    </w:p>
    <w:p w14:paraId="281A0D16" w14:textId="77777777" w:rsidR="004647B9" w:rsidRPr="00584FA1" w:rsidRDefault="00E2436F" w:rsidP="00884F81">
      <w:pPr>
        <w:numPr>
          <w:ilvl w:val="1"/>
          <w:numId w:val="486"/>
        </w:numPr>
        <w:tabs>
          <w:tab w:val="left" w:pos="2620"/>
        </w:tabs>
        <w:ind w:left="2620" w:hanging="345"/>
        <w:rPr>
          <w:rFonts w:eastAsia="Times New Roman"/>
          <w:sz w:val="24"/>
          <w:szCs w:val="24"/>
        </w:rPr>
      </w:pPr>
      <w:r w:rsidRPr="00584FA1">
        <w:rPr>
          <w:rFonts w:eastAsia="Times New Roman"/>
          <w:sz w:val="24"/>
          <w:szCs w:val="24"/>
        </w:rPr>
        <w:t>a failure or significant interruption in key water treatment processes;</w:t>
      </w:r>
    </w:p>
    <w:p w14:paraId="281A0D18" w14:textId="77777777" w:rsidR="004647B9" w:rsidRPr="00584FA1" w:rsidRDefault="00E2436F" w:rsidP="00884F81">
      <w:pPr>
        <w:numPr>
          <w:ilvl w:val="1"/>
          <w:numId w:val="486"/>
        </w:numPr>
        <w:tabs>
          <w:tab w:val="left" w:pos="2640"/>
        </w:tabs>
        <w:ind w:left="2640" w:hanging="365"/>
        <w:rPr>
          <w:rFonts w:eastAsia="Times New Roman"/>
          <w:sz w:val="24"/>
          <w:szCs w:val="24"/>
        </w:rPr>
      </w:pPr>
      <w:r w:rsidRPr="00584FA1">
        <w:rPr>
          <w:rFonts w:eastAsia="Times New Roman"/>
          <w:sz w:val="24"/>
          <w:szCs w:val="24"/>
        </w:rPr>
        <w:t>a natural disaster that disrupts the water supply or Distribution System;</w:t>
      </w:r>
    </w:p>
    <w:p w14:paraId="281A0D1A" w14:textId="77777777" w:rsidR="004647B9" w:rsidRPr="00584FA1" w:rsidRDefault="00E2436F" w:rsidP="00884F81">
      <w:pPr>
        <w:numPr>
          <w:ilvl w:val="1"/>
          <w:numId w:val="486"/>
        </w:numPr>
        <w:tabs>
          <w:tab w:val="left" w:pos="2620"/>
        </w:tabs>
        <w:ind w:left="2620" w:hanging="345"/>
        <w:rPr>
          <w:rFonts w:eastAsia="Times New Roman"/>
          <w:sz w:val="24"/>
          <w:szCs w:val="24"/>
        </w:rPr>
      </w:pPr>
      <w:r w:rsidRPr="00584FA1">
        <w:rPr>
          <w:rFonts w:eastAsia="Times New Roman"/>
          <w:sz w:val="24"/>
          <w:szCs w:val="24"/>
        </w:rPr>
        <w:t>a chemical spill; or</w:t>
      </w:r>
    </w:p>
    <w:p w14:paraId="281A0D1C" w14:textId="77777777" w:rsidR="004647B9" w:rsidRPr="00584FA1" w:rsidRDefault="00E2436F" w:rsidP="00267A35">
      <w:pPr>
        <w:numPr>
          <w:ilvl w:val="1"/>
          <w:numId w:val="486"/>
        </w:numPr>
        <w:tabs>
          <w:tab w:val="left" w:pos="2621"/>
        </w:tabs>
        <w:ind w:left="2280" w:hanging="5"/>
        <w:rPr>
          <w:rFonts w:eastAsia="Times New Roman"/>
          <w:sz w:val="24"/>
          <w:szCs w:val="24"/>
        </w:rPr>
      </w:pPr>
      <w:r w:rsidRPr="00584FA1">
        <w:rPr>
          <w:rFonts w:eastAsia="Times New Roman"/>
          <w:sz w:val="24"/>
          <w:szCs w:val="24"/>
        </w:rPr>
        <w:t>an unexpected loading of possible pathogens into the source water that significantly increases the potential for drinking water contamination;</w:t>
      </w:r>
    </w:p>
    <w:p w14:paraId="281A0D1E" w14:textId="77777777" w:rsidR="004647B9" w:rsidRPr="00584FA1" w:rsidRDefault="00E2436F" w:rsidP="00884F81">
      <w:pPr>
        <w:numPr>
          <w:ilvl w:val="0"/>
          <w:numId w:val="486"/>
        </w:numPr>
        <w:tabs>
          <w:tab w:val="left" w:pos="2215"/>
        </w:tabs>
        <w:ind w:left="1920" w:hanging="5"/>
        <w:jc w:val="both"/>
        <w:rPr>
          <w:rFonts w:eastAsia="Times New Roman"/>
          <w:sz w:val="24"/>
          <w:szCs w:val="24"/>
        </w:rPr>
      </w:pPr>
      <w:r w:rsidRPr="00584FA1">
        <w:rPr>
          <w:rFonts w:eastAsia="Times New Roman"/>
          <w:sz w:val="24"/>
          <w:szCs w:val="24"/>
        </w:rPr>
        <w:t>Other violations or situations with significant potential to have serious adverse effects on human health as a result of short-term exposure, as determined by the Department either in its regulations or on a case-by-case basis;</w:t>
      </w:r>
    </w:p>
    <w:p w14:paraId="281A0D20" w14:textId="77777777" w:rsidR="004647B9" w:rsidRPr="00584FA1" w:rsidRDefault="00E2436F" w:rsidP="00884F81">
      <w:pPr>
        <w:numPr>
          <w:ilvl w:val="0"/>
          <w:numId w:val="486"/>
        </w:numPr>
        <w:tabs>
          <w:tab w:val="left" w:pos="2280"/>
        </w:tabs>
        <w:ind w:left="2280" w:hanging="365"/>
        <w:rPr>
          <w:rFonts w:eastAsia="Times New Roman"/>
          <w:sz w:val="24"/>
          <w:szCs w:val="24"/>
        </w:rPr>
      </w:pPr>
      <w:r w:rsidRPr="00584FA1">
        <w:rPr>
          <w:rFonts w:eastAsia="Times New Roman"/>
          <w:sz w:val="24"/>
          <w:szCs w:val="24"/>
        </w:rPr>
        <w:t>Emergencies identified in 310 CMR 22.04(13);</w:t>
      </w:r>
    </w:p>
    <w:p w14:paraId="281A0D22" w14:textId="77777777" w:rsidR="004647B9" w:rsidRPr="00584FA1" w:rsidRDefault="00E2436F" w:rsidP="00037E70">
      <w:pPr>
        <w:numPr>
          <w:ilvl w:val="0"/>
          <w:numId w:val="486"/>
        </w:numPr>
        <w:tabs>
          <w:tab w:val="left" w:pos="2371"/>
        </w:tabs>
        <w:ind w:left="1915"/>
        <w:rPr>
          <w:rFonts w:eastAsia="Times New Roman"/>
          <w:sz w:val="24"/>
          <w:szCs w:val="24"/>
        </w:rPr>
      </w:pPr>
      <w:r w:rsidRPr="00584FA1">
        <w:rPr>
          <w:rFonts w:eastAsia="Times New Roman"/>
          <w:sz w:val="24"/>
          <w:szCs w:val="24"/>
        </w:rPr>
        <w:t xml:space="preserve">Detection of </w:t>
      </w:r>
      <w:r w:rsidRPr="00584FA1">
        <w:rPr>
          <w:rFonts w:eastAsia="Times New Roman"/>
          <w:i/>
          <w:iCs/>
          <w:sz w:val="24"/>
          <w:szCs w:val="24"/>
        </w:rPr>
        <w:t>E. coli</w:t>
      </w:r>
      <w:r w:rsidRPr="00584FA1">
        <w:rPr>
          <w:rFonts w:eastAsia="Times New Roman"/>
          <w:sz w:val="24"/>
          <w:szCs w:val="24"/>
        </w:rPr>
        <w:t>, enterococci, or coliphage in source water samples as specified in 310 CMR 22.26(3)(a) and (b).</w:t>
      </w:r>
    </w:p>
    <w:p w14:paraId="281A0D23" w14:textId="77777777" w:rsidR="004647B9" w:rsidRDefault="004647B9" w:rsidP="00884F81">
      <w:pPr>
        <w:sectPr w:rsidR="004647B9" w:rsidSect="00EF630C">
          <w:pgSz w:w="12240" w:h="20180"/>
          <w:pgMar w:top="708" w:right="1440" w:bottom="1101" w:left="600" w:header="0" w:footer="0" w:gutter="0"/>
          <w:cols w:space="720"/>
        </w:sectPr>
      </w:pPr>
    </w:p>
    <w:p w14:paraId="281A0D24" w14:textId="77777777" w:rsidR="004647B9" w:rsidRDefault="00E2436F">
      <w:pPr>
        <w:tabs>
          <w:tab w:val="left" w:pos="160"/>
        </w:tabs>
        <w:jc w:val="center"/>
        <w:rPr>
          <w:sz w:val="20"/>
          <w:szCs w:val="20"/>
        </w:rPr>
      </w:pPr>
      <w:bookmarkStart w:id="185" w:name="page187"/>
      <w:bookmarkEnd w:id="18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D25" w14:textId="77777777" w:rsidR="004647B9" w:rsidRDefault="004647B9" w:rsidP="00037E70">
      <w:pPr>
        <w:rPr>
          <w:sz w:val="20"/>
          <w:szCs w:val="20"/>
        </w:rPr>
      </w:pPr>
    </w:p>
    <w:p w14:paraId="281A0D26" w14:textId="77777777" w:rsidR="004647B9" w:rsidRDefault="004647B9" w:rsidP="00037E70">
      <w:pPr>
        <w:rPr>
          <w:sz w:val="20"/>
          <w:szCs w:val="20"/>
        </w:rPr>
      </w:pPr>
    </w:p>
    <w:p w14:paraId="281A0D27" w14:textId="77777777" w:rsidR="004647B9" w:rsidRPr="00037E70" w:rsidRDefault="00E2436F" w:rsidP="00037E70">
      <w:pPr>
        <w:tabs>
          <w:tab w:val="left" w:pos="760"/>
        </w:tabs>
        <w:rPr>
          <w:sz w:val="24"/>
          <w:szCs w:val="24"/>
        </w:rPr>
      </w:pPr>
      <w:r w:rsidRPr="00037E70">
        <w:rPr>
          <w:rFonts w:eastAsia="Times New Roman"/>
          <w:sz w:val="24"/>
          <w:szCs w:val="24"/>
        </w:rPr>
        <w:t>22.16:</w:t>
      </w:r>
      <w:r w:rsidRPr="00037E70">
        <w:rPr>
          <w:rFonts w:eastAsia="Times New Roman"/>
          <w:sz w:val="24"/>
          <w:szCs w:val="24"/>
        </w:rPr>
        <w:tab/>
        <w:t>continued</w:t>
      </w:r>
    </w:p>
    <w:p w14:paraId="281A0D28" w14:textId="77777777" w:rsidR="004647B9" w:rsidRDefault="004647B9" w:rsidP="00037E70">
      <w:pPr>
        <w:rPr>
          <w:sz w:val="20"/>
          <w:szCs w:val="20"/>
        </w:rPr>
      </w:pPr>
    </w:p>
    <w:p w14:paraId="281A0D29" w14:textId="77777777" w:rsidR="004647B9" w:rsidRDefault="00E2436F" w:rsidP="00037E70">
      <w:pPr>
        <w:numPr>
          <w:ilvl w:val="1"/>
          <w:numId w:val="487"/>
        </w:numPr>
        <w:tabs>
          <w:tab w:val="left" w:pos="2081"/>
        </w:tabs>
        <w:ind w:left="1560" w:hanging="5"/>
        <w:rPr>
          <w:rFonts w:eastAsia="Times New Roman"/>
          <w:sz w:val="24"/>
          <w:szCs w:val="24"/>
        </w:rPr>
      </w:pPr>
      <w:r>
        <w:rPr>
          <w:rFonts w:eastAsia="Times New Roman"/>
          <w:sz w:val="24"/>
          <w:szCs w:val="24"/>
          <w:u w:val="single"/>
        </w:rPr>
        <w:t>Timeframe and Additional Requirements for Tier 1 Notification</w:t>
      </w:r>
      <w:r>
        <w:rPr>
          <w:rFonts w:eastAsia="Times New Roman"/>
          <w:sz w:val="24"/>
          <w:szCs w:val="24"/>
        </w:rPr>
        <w:t>. Each Supplier of Water required to give Tier 1 notification shall:</w:t>
      </w:r>
    </w:p>
    <w:p w14:paraId="281A0D2D" w14:textId="471203F5" w:rsidR="004647B9" w:rsidRPr="00C81D34" w:rsidRDefault="00E2436F" w:rsidP="00037E70">
      <w:pPr>
        <w:numPr>
          <w:ilvl w:val="2"/>
          <w:numId w:val="487"/>
        </w:numPr>
        <w:tabs>
          <w:tab w:val="left" w:pos="2345"/>
        </w:tabs>
        <w:ind w:left="1920" w:hanging="5"/>
        <w:jc w:val="both"/>
        <w:rPr>
          <w:rFonts w:eastAsia="Times New Roman"/>
          <w:sz w:val="24"/>
          <w:szCs w:val="24"/>
        </w:rPr>
      </w:pPr>
      <w:r>
        <w:rPr>
          <w:rFonts w:eastAsia="Times New Roman"/>
          <w:sz w:val="24"/>
          <w:szCs w:val="24"/>
        </w:rPr>
        <w:t>Provide a public notice as soon as practical but no later than 24 hours after the supplier learns of the violation, unless it is an Emergency situation identified in</w:t>
      </w:r>
      <w:r w:rsidR="00C81D34">
        <w:rPr>
          <w:rFonts w:eastAsia="Times New Roman"/>
          <w:sz w:val="24"/>
          <w:szCs w:val="24"/>
        </w:rPr>
        <w:t xml:space="preserve"> 310 </w:t>
      </w:r>
      <w:r w:rsidRPr="00C81D34">
        <w:rPr>
          <w:rFonts w:eastAsia="Times New Roman"/>
          <w:sz w:val="24"/>
          <w:szCs w:val="24"/>
        </w:rPr>
        <w:t>CMR 22.04(13). Emergency situations identified in 310 CMR 22.04(13) must comply with 310 CMR 22.16(2)(b)4.;</w:t>
      </w:r>
    </w:p>
    <w:p w14:paraId="281A0D2F" w14:textId="77777777" w:rsidR="004647B9" w:rsidRDefault="00E2436F" w:rsidP="00037E70">
      <w:pPr>
        <w:numPr>
          <w:ilvl w:val="2"/>
          <w:numId w:val="489"/>
        </w:numPr>
        <w:tabs>
          <w:tab w:val="left" w:pos="2294"/>
        </w:tabs>
        <w:ind w:left="1920" w:hanging="5"/>
        <w:jc w:val="both"/>
        <w:rPr>
          <w:rFonts w:eastAsia="Times New Roman"/>
          <w:sz w:val="24"/>
          <w:szCs w:val="24"/>
        </w:rPr>
      </w:pPr>
      <w:r>
        <w:rPr>
          <w:rFonts w:eastAsia="Times New Roman"/>
          <w:sz w:val="24"/>
          <w:szCs w:val="24"/>
        </w:rPr>
        <w:t>Initiate consultation with the Department as soon as practical, but no later than 24 hours after the supplier learns of the violation or situation, to determine additional public notice requirements; unless it is an Emergency situation identified in 310 CMR 22.04(13). For Emergency situations identified in 310 CMR 22.04(13), each Supplier of Water must notify the Department within two hours after the supplier learns of the Emergency in accordance with 310 CMR 22.15(9)(a) and initiate consultation within the same time frame;</w:t>
      </w:r>
    </w:p>
    <w:p w14:paraId="281A0D31" w14:textId="77777777" w:rsidR="004647B9" w:rsidRDefault="00E2436F" w:rsidP="00037E70">
      <w:pPr>
        <w:numPr>
          <w:ilvl w:val="2"/>
          <w:numId w:val="489"/>
        </w:numPr>
        <w:tabs>
          <w:tab w:val="left" w:pos="2287"/>
        </w:tabs>
        <w:ind w:left="1920" w:hanging="5"/>
        <w:jc w:val="both"/>
        <w:rPr>
          <w:rFonts w:eastAsia="Times New Roman"/>
          <w:sz w:val="24"/>
          <w:szCs w:val="24"/>
        </w:rPr>
      </w:pPr>
      <w:r>
        <w:rPr>
          <w:rFonts w:eastAsia="Times New Roman"/>
          <w:sz w:val="24"/>
          <w:szCs w:val="24"/>
        </w:rPr>
        <w:t>Comply with any additional public notification requirements (including any repeat notices or direction on the duration of the posted notices) that are established as a result of the consultation with the Department. Such requirements may include the timing, form, manner, frequency, and content of repeat notices (if any) and other actions designed to reach all Persons served; and</w:t>
      </w:r>
    </w:p>
    <w:p w14:paraId="281A0D33" w14:textId="77777777" w:rsidR="004647B9" w:rsidRDefault="00E2436F" w:rsidP="00037E70">
      <w:pPr>
        <w:numPr>
          <w:ilvl w:val="2"/>
          <w:numId w:val="489"/>
        </w:numPr>
        <w:tabs>
          <w:tab w:val="left" w:pos="2352"/>
        </w:tabs>
        <w:ind w:left="1920" w:hanging="5"/>
        <w:jc w:val="both"/>
        <w:rPr>
          <w:rFonts w:eastAsia="Times New Roman"/>
          <w:sz w:val="24"/>
          <w:szCs w:val="24"/>
        </w:rPr>
      </w:pPr>
      <w:r>
        <w:rPr>
          <w:rFonts w:eastAsia="Times New Roman"/>
          <w:sz w:val="24"/>
          <w:szCs w:val="24"/>
        </w:rPr>
        <w:t>For Emergency situations identified in 310 CMR 22.04(13), each supplier must provide a public notice as soon as practical but no later than two hours after the supplier has consulted with the Department and the Department has determined that an Emergency exists and an Emergency public notice must be issued.</w:t>
      </w:r>
    </w:p>
    <w:p w14:paraId="281A0D35" w14:textId="77777777" w:rsidR="004647B9" w:rsidRDefault="00E2436F" w:rsidP="00037E70">
      <w:pPr>
        <w:numPr>
          <w:ilvl w:val="1"/>
          <w:numId w:val="490"/>
        </w:numPr>
        <w:tabs>
          <w:tab w:val="left" w:pos="2018"/>
        </w:tabs>
        <w:ind w:left="1560" w:hanging="5"/>
        <w:jc w:val="both"/>
        <w:rPr>
          <w:rFonts w:eastAsia="Times New Roman"/>
          <w:sz w:val="24"/>
          <w:szCs w:val="24"/>
        </w:rPr>
      </w:pPr>
      <w:r>
        <w:rPr>
          <w:rFonts w:eastAsia="Times New Roman"/>
          <w:sz w:val="24"/>
          <w:szCs w:val="24"/>
          <w:u w:val="single"/>
        </w:rPr>
        <w:t>Form and Manner of Public Notice</w:t>
      </w:r>
      <w:r>
        <w:rPr>
          <w:rFonts w:eastAsia="Times New Roman"/>
          <w:sz w:val="24"/>
          <w:szCs w:val="24"/>
        </w:rPr>
        <w:t>. Each Supplier of Water shall provide the notice within 24 hours in a form and manner reasonably calculated to reach all Persons served unless it is an Emergency situation identified in 310 CMR 22.04(13). For Emergencies identified in 310 CMR 22.04(13), each Supplier of Water shall provide the notice within the time frame specified in 310 CMR 22.16(b)(4) in a form and manner reasonably calculated to reach all Persons served. The form and manner used by the supplier are to fit the specific situation, but shall be designed to reach residential, transient, and non-transient users of the water system and meet the minimum information and format requirements specified by the Department.</w:t>
      </w:r>
    </w:p>
    <w:p w14:paraId="281A0D37" w14:textId="71B043C5" w:rsidR="004647B9" w:rsidRDefault="00E2436F" w:rsidP="00037E70">
      <w:pPr>
        <w:numPr>
          <w:ilvl w:val="2"/>
          <w:numId w:val="490"/>
        </w:numPr>
        <w:tabs>
          <w:tab w:val="left" w:pos="2275"/>
        </w:tabs>
        <w:ind w:left="1915"/>
        <w:rPr>
          <w:rFonts w:eastAsia="Times New Roman"/>
          <w:sz w:val="24"/>
          <w:szCs w:val="24"/>
        </w:rPr>
      </w:pPr>
      <w:r>
        <w:rPr>
          <w:rFonts w:eastAsia="Times New Roman"/>
          <w:sz w:val="24"/>
          <w:szCs w:val="24"/>
        </w:rPr>
        <w:t>In order to reach all Persons served, each Supplier of Water is required to use, at a minimum, one or more of the following forms of delivery:</w:t>
      </w:r>
    </w:p>
    <w:p w14:paraId="281A0D39" w14:textId="299C4DDF" w:rsidR="004647B9" w:rsidRDefault="00E2436F" w:rsidP="00037E70">
      <w:pPr>
        <w:numPr>
          <w:ilvl w:val="4"/>
          <w:numId w:val="1079"/>
        </w:numPr>
        <w:tabs>
          <w:tab w:val="left" w:pos="2626"/>
          <w:tab w:val="left" w:pos="2880"/>
        </w:tabs>
        <w:ind w:left="2275" w:firstLine="0"/>
        <w:rPr>
          <w:rFonts w:eastAsia="Times New Roman"/>
          <w:sz w:val="24"/>
          <w:szCs w:val="24"/>
        </w:rPr>
      </w:pPr>
      <w:r>
        <w:rPr>
          <w:rFonts w:eastAsia="Times New Roman"/>
          <w:sz w:val="24"/>
          <w:szCs w:val="24"/>
        </w:rPr>
        <w:t>Appropriate broadcast media (such as radio and television);</w:t>
      </w:r>
    </w:p>
    <w:p w14:paraId="281A0D3B" w14:textId="77777777" w:rsidR="004647B9" w:rsidRDefault="00E2436F" w:rsidP="00037E70">
      <w:pPr>
        <w:numPr>
          <w:ilvl w:val="4"/>
          <w:numId w:val="1079"/>
        </w:numPr>
        <w:tabs>
          <w:tab w:val="left" w:pos="2626"/>
          <w:tab w:val="left" w:pos="2880"/>
        </w:tabs>
        <w:ind w:left="2275" w:firstLine="0"/>
        <w:rPr>
          <w:rFonts w:eastAsia="Times New Roman"/>
          <w:sz w:val="24"/>
          <w:szCs w:val="24"/>
        </w:rPr>
      </w:pPr>
      <w:r>
        <w:rPr>
          <w:rFonts w:eastAsia="Times New Roman"/>
          <w:sz w:val="24"/>
          <w:szCs w:val="24"/>
        </w:rPr>
        <w:t>Posting of the notice in conspicuous locations throughout the area served by the water system;</w:t>
      </w:r>
    </w:p>
    <w:p w14:paraId="281A0D3D" w14:textId="77777777" w:rsidR="004647B9" w:rsidRDefault="00E2436F" w:rsidP="00037E70">
      <w:pPr>
        <w:numPr>
          <w:ilvl w:val="4"/>
          <w:numId w:val="1079"/>
        </w:numPr>
        <w:tabs>
          <w:tab w:val="left" w:pos="2620"/>
          <w:tab w:val="left" w:pos="2880"/>
        </w:tabs>
        <w:ind w:left="2275" w:firstLine="0"/>
        <w:rPr>
          <w:rFonts w:eastAsia="Times New Roman"/>
          <w:sz w:val="24"/>
          <w:szCs w:val="24"/>
        </w:rPr>
      </w:pPr>
      <w:r>
        <w:rPr>
          <w:rFonts w:eastAsia="Times New Roman"/>
          <w:sz w:val="24"/>
          <w:szCs w:val="24"/>
        </w:rPr>
        <w:t>Hand delivery of the notice to Persons served by the water system; or</w:t>
      </w:r>
    </w:p>
    <w:p w14:paraId="281A0D3F" w14:textId="234C1845" w:rsidR="004647B9" w:rsidRDefault="00E2436F" w:rsidP="00037E70">
      <w:pPr>
        <w:numPr>
          <w:ilvl w:val="4"/>
          <w:numId w:val="1079"/>
        </w:numPr>
        <w:tabs>
          <w:tab w:val="left" w:pos="2640"/>
          <w:tab w:val="left" w:pos="2880"/>
        </w:tabs>
        <w:ind w:left="2275" w:firstLine="0"/>
        <w:rPr>
          <w:rFonts w:eastAsia="Times New Roman"/>
          <w:sz w:val="24"/>
          <w:szCs w:val="24"/>
        </w:rPr>
      </w:pPr>
      <w:r>
        <w:rPr>
          <w:rFonts w:eastAsia="Times New Roman"/>
          <w:sz w:val="24"/>
          <w:szCs w:val="24"/>
        </w:rPr>
        <w:t>Any other delivery method approved in writing by the Department.</w:t>
      </w:r>
    </w:p>
    <w:p w14:paraId="281A0D41" w14:textId="0FA4EF8F" w:rsidR="004647B9" w:rsidRDefault="00E2436F" w:rsidP="00037E70">
      <w:pPr>
        <w:numPr>
          <w:ilvl w:val="2"/>
          <w:numId w:val="490"/>
        </w:numPr>
        <w:tabs>
          <w:tab w:val="left" w:pos="2275"/>
        </w:tabs>
        <w:ind w:left="1915"/>
        <w:jc w:val="both"/>
        <w:rPr>
          <w:rFonts w:eastAsia="Times New Roman"/>
          <w:sz w:val="24"/>
          <w:szCs w:val="24"/>
        </w:rPr>
      </w:pPr>
      <w:r>
        <w:rPr>
          <w:rFonts w:eastAsia="Times New Roman"/>
          <w:sz w:val="24"/>
          <w:szCs w:val="24"/>
        </w:rPr>
        <w:t>Unless directed otherwise by the Department in writing, as in Emergency situations identified in 310 CMR 22.04(13), Community Water Systems shall publish appropriate public notice within the local newspaper as a one day advertisement no later than 14 days after a Tier 1 violation. A copy of said notice shall be submitted to the Department no later than the time published.</w:t>
      </w:r>
    </w:p>
    <w:p w14:paraId="281A0D42" w14:textId="4BED6A31" w:rsidR="004647B9" w:rsidRPr="004B67EB" w:rsidRDefault="00DA7DDF" w:rsidP="00037E70">
      <w:pPr>
        <w:numPr>
          <w:ilvl w:val="2"/>
          <w:numId w:val="490"/>
        </w:numPr>
        <w:tabs>
          <w:tab w:val="left" w:pos="2275"/>
        </w:tabs>
        <w:ind w:left="1915"/>
        <w:jc w:val="both"/>
        <w:rPr>
          <w:rFonts w:eastAsia="Times New Roman"/>
          <w:sz w:val="24"/>
          <w:szCs w:val="24"/>
        </w:rPr>
      </w:pPr>
      <w:r w:rsidRPr="004B67EB">
        <w:rPr>
          <w:rFonts w:eastAsia="Times New Roman"/>
          <w:sz w:val="24"/>
          <w:szCs w:val="24"/>
        </w:rPr>
        <w:t>In addition to the forms of delivery described</w:t>
      </w:r>
      <w:r w:rsidR="00B20328">
        <w:rPr>
          <w:rFonts w:eastAsia="Times New Roman"/>
          <w:sz w:val="24"/>
          <w:szCs w:val="24"/>
        </w:rPr>
        <w:t xml:space="preserve"> </w:t>
      </w:r>
      <w:r w:rsidRPr="004B67EB">
        <w:rPr>
          <w:rFonts w:eastAsia="Times New Roman"/>
          <w:sz w:val="24"/>
          <w:szCs w:val="24"/>
        </w:rPr>
        <w:t>in 310 CMR 22.16(2)(c)1.</w:t>
      </w:r>
      <w:r w:rsidR="004B67EB" w:rsidRPr="004B67EB">
        <w:rPr>
          <w:rFonts w:eastAsia="Times New Roman"/>
          <w:sz w:val="24"/>
          <w:szCs w:val="24"/>
        </w:rPr>
        <w:t xml:space="preserve">, in order to accommodate modern methods of communication, each Supplier of Water shall also use one or more </w:t>
      </w:r>
      <w:r w:rsidR="00B20328">
        <w:rPr>
          <w:rFonts w:eastAsia="Times New Roman"/>
          <w:sz w:val="24"/>
          <w:szCs w:val="24"/>
        </w:rPr>
        <w:t>of</w:t>
      </w:r>
      <w:r w:rsidR="004B67EB" w:rsidRPr="004B67EB">
        <w:rPr>
          <w:rFonts w:eastAsia="Times New Roman"/>
          <w:sz w:val="24"/>
          <w:szCs w:val="24"/>
        </w:rPr>
        <w:t xml:space="preserve"> the following forms of deliver</w:t>
      </w:r>
      <w:r w:rsidR="00B20328">
        <w:rPr>
          <w:rFonts w:eastAsia="Times New Roman"/>
          <w:sz w:val="24"/>
          <w:szCs w:val="24"/>
        </w:rPr>
        <w:t>y</w:t>
      </w:r>
      <w:r w:rsidR="004B67EB" w:rsidRPr="004B67EB">
        <w:rPr>
          <w:rFonts w:eastAsia="Times New Roman"/>
          <w:sz w:val="24"/>
          <w:szCs w:val="24"/>
        </w:rPr>
        <w:t>, as approved by the Department</w:t>
      </w:r>
      <w:r w:rsidR="00E060B3">
        <w:rPr>
          <w:rFonts w:eastAsia="Times New Roman"/>
          <w:sz w:val="24"/>
          <w:szCs w:val="24"/>
        </w:rPr>
        <w:t xml:space="preserve">, </w:t>
      </w:r>
      <w:r w:rsidR="004B67EB" w:rsidRPr="004B67EB">
        <w:rPr>
          <w:rFonts w:eastAsia="Times New Roman"/>
          <w:sz w:val="24"/>
          <w:szCs w:val="24"/>
        </w:rPr>
        <w:t xml:space="preserve"> </w:t>
      </w:r>
      <w:r w:rsidR="00D24D33">
        <w:rPr>
          <w:rFonts w:eastAsia="Times New Roman"/>
          <w:sz w:val="24"/>
          <w:szCs w:val="24"/>
        </w:rPr>
        <w:t xml:space="preserve">such approval to be based upon whether the proposed method is </w:t>
      </w:r>
      <w:r w:rsidR="00D24D33" w:rsidRPr="008B009F">
        <w:rPr>
          <w:rFonts w:eastAsia="Times New Roman"/>
          <w:sz w:val="24"/>
          <w:szCs w:val="24"/>
        </w:rPr>
        <w:t>a customary method of communication for the Supplier of Water to reach its consumers</w:t>
      </w:r>
      <w:r w:rsidR="00D24D33">
        <w:rPr>
          <w:rFonts w:eastAsia="Times New Roman"/>
          <w:sz w:val="24"/>
          <w:szCs w:val="24"/>
        </w:rPr>
        <w:t>, whether it is generally used by similar Suppliers of Water to reach their consumers</w:t>
      </w:r>
      <w:r w:rsidR="00D24D33" w:rsidRPr="004B67EB">
        <w:rPr>
          <w:rFonts w:eastAsia="Times New Roman"/>
          <w:sz w:val="24"/>
          <w:szCs w:val="24"/>
        </w:rPr>
        <w:t xml:space="preserve">, </w:t>
      </w:r>
      <w:r w:rsidR="00D24D33">
        <w:rPr>
          <w:rFonts w:eastAsia="Times New Roman"/>
          <w:sz w:val="24"/>
          <w:szCs w:val="24"/>
        </w:rPr>
        <w:t xml:space="preserve">and/or the anticipated reach of the proposed method, </w:t>
      </w:r>
      <w:r w:rsidR="00D24D33" w:rsidRPr="004B67EB">
        <w:rPr>
          <w:rFonts w:eastAsia="Times New Roman"/>
          <w:sz w:val="24"/>
          <w:szCs w:val="24"/>
        </w:rPr>
        <w:t>unless the Department determin</w:t>
      </w:r>
      <w:r w:rsidR="00D24D33">
        <w:rPr>
          <w:rFonts w:eastAsia="Times New Roman"/>
          <w:sz w:val="24"/>
          <w:szCs w:val="24"/>
        </w:rPr>
        <w:t>e</w:t>
      </w:r>
      <w:r w:rsidR="00D24D33" w:rsidRPr="004B67EB">
        <w:rPr>
          <w:rFonts w:eastAsia="Times New Roman"/>
          <w:sz w:val="24"/>
          <w:szCs w:val="24"/>
        </w:rPr>
        <w:t>s all such methods to be impractical</w:t>
      </w:r>
      <w:r w:rsidR="00D24D33">
        <w:rPr>
          <w:rFonts w:eastAsia="Times New Roman"/>
          <w:sz w:val="24"/>
          <w:szCs w:val="24"/>
        </w:rPr>
        <w:t>:</w:t>
      </w:r>
    </w:p>
    <w:p w14:paraId="6D93D9CA" w14:textId="531D62A9" w:rsidR="004B67EB" w:rsidRDefault="00D006F1"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Telephone mass notification service</w:t>
      </w:r>
      <w:r w:rsidR="00AC10E3">
        <w:rPr>
          <w:rFonts w:eastAsia="Times New Roman"/>
          <w:sz w:val="24"/>
          <w:szCs w:val="24"/>
        </w:rPr>
        <w:t>;</w:t>
      </w:r>
    </w:p>
    <w:p w14:paraId="3627A25C" w14:textId="3BA27482" w:rsidR="00D006F1" w:rsidRDefault="00BA46F6"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E-mail</w:t>
      </w:r>
      <w:r w:rsidR="00D006F1">
        <w:rPr>
          <w:rFonts w:eastAsia="Times New Roman"/>
          <w:sz w:val="24"/>
          <w:szCs w:val="24"/>
        </w:rPr>
        <w:t>;</w:t>
      </w:r>
    </w:p>
    <w:p w14:paraId="76344D2E" w14:textId="5CD7C38A" w:rsidR="00D006F1" w:rsidRDefault="00B20328"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Electronic</w:t>
      </w:r>
      <w:r w:rsidR="00D006F1">
        <w:rPr>
          <w:rFonts w:eastAsia="Times New Roman"/>
          <w:sz w:val="24"/>
          <w:szCs w:val="24"/>
        </w:rPr>
        <w:t xml:space="preserve"> messaging</w:t>
      </w:r>
      <w:r>
        <w:rPr>
          <w:rFonts w:eastAsia="Times New Roman"/>
          <w:sz w:val="24"/>
          <w:szCs w:val="24"/>
        </w:rPr>
        <w:t xml:space="preserve"> (</w:t>
      </w:r>
      <w:r w:rsidR="00D006F1" w:rsidRPr="00D006F1">
        <w:rPr>
          <w:rFonts w:eastAsia="Times New Roman"/>
          <w:i/>
          <w:iCs/>
          <w:sz w:val="24"/>
          <w:szCs w:val="24"/>
        </w:rPr>
        <w:t>e.g</w:t>
      </w:r>
      <w:r w:rsidR="00D006F1">
        <w:rPr>
          <w:rFonts w:eastAsia="Times New Roman"/>
          <w:sz w:val="24"/>
          <w:szCs w:val="24"/>
        </w:rPr>
        <w:t>., text messages, SMS</w:t>
      </w:r>
      <w:r>
        <w:rPr>
          <w:rFonts w:eastAsia="Times New Roman"/>
          <w:sz w:val="24"/>
          <w:szCs w:val="24"/>
        </w:rPr>
        <w:t>)</w:t>
      </w:r>
      <w:r w:rsidR="00D006F1">
        <w:rPr>
          <w:rFonts w:eastAsia="Times New Roman"/>
          <w:sz w:val="24"/>
          <w:szCs w:val="24"/>
        </w:rPr>
        <w:t>;</w:t>
      </w:r>
    </w:p>
    <w:p w14:paraId="5A2D389B" w14:textId="236AF129" w:rsidR="00D006F1" w:rsidRDefault="00D006F1"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 xml:space="preserve">Social </w:t>
      </w:r>
      <w:r w:rsidR="00BA46F6">
        <w:rPr>
          <w:rFonts w:eastAsia="Times New Roman"/>
          <w:sz w:val="24"/>
          <w:szCs w:val="24"/>
        </w:rPr>
        <w:t>media</w:t>
      </w:r>
      <w:r>
        <w:rPr>
          <w:rFonts w:eastAsia="Times New Roman"/>
          <w:sz w:val="24"/>
          <w:szCs w:val="24"/>
        </w:rPr>
        <w:t>;</w:t>
      </w:r>
    </w:p>
    <w:p w14:paraId="10B0D439" w14:textId="62998862" w:rsidR="00D006F1" w:rsidRDefault="00D006F1"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 xml:space="preserve">Website posting; or </w:t>
      </w:r>
    </w:p>
    <w:p w14:paraId="47C13E47" w14:textId="6C751F29" w:rsidR="00D006F1" w:rsidRPr="004B67EB" w:rsidRDefault="00D006F1"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Any other electronic delivery method approved by the Depart</w:t>
      </w:r>
      <w:r w:rsidR="00B20328">
        <w:rPr>
          <w:rFonts w:eastAsia="Times New Roman"/>
          <w:sz w:val="24"/>
          <w:szCs w:val="24"/>
        </w:rPr>
        <w:t>m</w:t>
      </w:r>
      <w:r>
        <w:rPr>
          <w:rFonts w:eastAsia="Times New Roman"/>
          <w:sz w:val="24"/>
          <w:szCs w:val="24"/>
        </w:rPr>
        <w:t>ent.</w:t>
      </w:r>
    </w:p>
    <w:p w14:paraId="739700C7" w14:textId="77777777" w:rsidR="0050742D" w:rsidRDefault="0050742D" w:rsidP="00037E70">
      <w:pPr>
        <w:rPr>
          <w:rFonts w:eastAsia="Times New Roman"/>
          <w:sz w:val="24"/>
          <w:szCs w:val="24"/>
        </w:rPr>
      </w:pPr>
    </w:p>
    <w:p w14:paraId="281A0D43" w14:textId="77777777" w:rsidR="004647B9" w:rsidRDefault="00E2436F" w:rsidP="00037E70">
      <w:pPr>
        <w:numPr>
          <w:ilvl w:val="0"/>
          <w:numId w:val="491"/>
        </w:numPr>
        <w:tabs>
          <w:tab w:val="left" w:pos="1660"/>
        </w:tabs>
        <w:ind w:left="1660" w:hanging="460"/>
        <w:rPr>
          <w:rFonts w:eastAsia="Times New Roman"/>
          <w:sz w:val="24"/>
          <w:szCs w:val="24"/>
        </w:rPr>
      </w:pPr>
      <w:r>
        <w:rPr>
          <w:rFonts w:eastAsia="Times New Roman"/>
          <w:sz w:val="24"/>
          <w:szCs w:val="24"/>
          <w:u w:val="single"/>
        </w:rPr>
        <w:t>Tier 2 Public Notice</w:t>
      </w:r>
      <w:r>
        <w:rPr>
          <w:rFonts w:eastAsia="Times New Roman"/>
          <w:sz w:val="24"/>
          <w:szCs w:val="24"/>
        </w:rPr>
        <w:t>.</w:t>
      </w:r>
    </w:p>
    <w:p w14:paraId="281A0D45" w14:textId="77777777" w:rsidR="004647B9" w:rsidRDefault="00E2436F" w:rsidP="00037E70">
      <w:pPr>
        <w:numPr>
          <w:ilvl w:val="1"/>
          <w:numId w:val="491"/>
        </w:numPr>
        <w:tabs>
          <w:tab w:val="left" w:pos="1970"/>
        </w:tabs>
        <w:ind w:left="1560" w:hanging="5"/>
        <w:jc w:val="both"/>
        <w:rPr>
          <w:rFonts w:eastAsia="Times New Roman"/>
          <w:sz w:val="24"/>
          <w:szCs w:val="24"/>
        </w:rPr>
      </w:pPr>
      <w:r>
        <w:rPr>
          <w:rFonts w:eastAsia="Times New Roman"/>
          <w:sz w:val="24"/>
          <w:szCs w:val="24"/>
          <w:u w:val="single"/>
        </w:rPr>
        <w:t>Violations or Situations Requiring Tier 2 Public Notice</w:t>
      </w:r>
      <w:r>
        <w:rPr>
          <w:rFonts w:eastAsia="Times New Roman"/>
          <w:sz w:val="24"/>
          <w:szCs w:val="24"/>
        </w:rPr>
        <w:t xml:space="preserve">. 310 CMR 22.16: </w:t>
      </w:r>
      <w:r>
        <w:rPr>
          <w:rFonts w:eastAsia="Times New Roman"/>
          <w:i/>
          <w:iCs/>
          <w:sz w:val="24"/>
          <w:szCs w:val="24"/>
        </w:rPr>
        <w:t>Table 4</w:t>
      </w:r>
      <w:r>
        <w:rPr>
          <w:rFonts w:eastAsia="Times New Roman"/>
          <w:sz w:val="24"/>
          <w:szCs w:val="24"/>
        </w:rPr>
        <w:t xml:space="preserve"> lists the violation categories and other situations requiring a Tier 2 Public Notice. 310 CMR 22.16: </w:t>
      </w:r>
      <w:r>
        <w:rPr>
          <w:rFonts w:eastAsia="Times New Roman"/>
          <w:i/>
          <w:iCs/>
          <w:sz w:val="24"/>
          <w:szCs w:val="24"/>
        </w:rPr>
        <w:t>Table 6</w:t>
      </w:r>
      <w:r>
        <w:rPr>
          <w:rFonts w:eastAsia="Times New Roman"/>
          <w:sz w:val="24"/>
          <w:szCs w:val="24"/>
        </w:rPr>
        <w:t xml:space="preserve"> identifies the tier assignment for each specific violation or situation.</w:t>
      </w:r>
    </w:p>
    <w:p w14:paraId="281A0D46" w14:textId="77777777" w:rsidR="004647B9" w:rsidRPr="005E1B10" w:rsidRDefault="004647B9" w:rsidP="00037E70">
      <w:pPr>
        <w:rPr>
          <w:sz w:val="24"/>
          <w:szCs w:val="24"/>
        </w:rPr>
      </w:pPr>
    </w:p>
    <w:p w14:paraId="281A0D47" w14:textId="77777777" w:rsidR="004647B9" w:rsidRDefault="00E2436F" w:rsidP="00037E70">
      <w:pPr>
        <w:jc w:val="center"/>
        <w:rPr>
          <w:sz w:val="20"/>
          <w:szCs w:val="20"/>
        </w:rPr>
      </w:pPr>
      <w:r>
        <w:rPr>
          <w:rFonts w:eastAsia="Times New Roman"/>
          <w:sz w:val="24"/>
          <w:szCs w:val="24"/>
        </w:rPr>
        <w:t xml:space="preserve">310 CMR 22.16: </w:t>
      </w:r>
      <w:r>
        <w:rPr>
          <w:rFonts w:eastAsia="Times New Roman"/>
          <w:i/>
          <w:iCs/>
          <w:sz w:val="24"/>
          <w:szCs w:val="24"/>
        </w:rPr>
        <w:t>Table 4</w:t>
      </w:r>
    </w:p>
    <w:p w14:paraId="281A0D49" w14:textId="77777777" w:rsidR="004647B9" w:rsidRDefault="00E2436F" w:rsidP="00037E70">
      <w:pPr>
        <w:jc w:val="center"/>
        <w:rPr>
          <w:sz w:val="20"/>
          <w:szCs w:val="20"/>
        </w:rPr>
      </w:pPr>
      <w:r>
        <w:rPr>
          <w:rFonts w:eastAsia="Times New Roman"/>
          <w:sz w:val="24"/>
          <w:szCs w:val="24"/>
        </w:rPr>
        <w:t>Violation Categories and Other Situations Requiring a Tier 2 Public Notice</w:t>
      </w:r>
    </w:p>
    <w:p w14:paraId="281A0D4A" w14:textId="77777777" w:rsidR="004647B9" w:rsidRPr="005E1B10" w:rsidRDefault="004647B9" w:rsidP="00037E70">
      <w:pPr>
        <w:rPr>
          <w:sz w:val="24"/>
          <w:szCs w:val="24"/>
        </w:rPr>
      </w:pPr>
    </w:p>
    <w:p w14:paraId="281A0D4B" w14:textId="77777777" w:rsidR="004647B9" w:rsidRDefault="00E2436F" w:rsidP="00037E70">
      <w:pPr>
        <w:numPr>
          <w:ilvl w:val="0"/>
          <w:numId w:val="492"/>
        </w:numPr>
        <w:tabs>
          <w:tab w:val="left" w:pos="2275"/>
        </w:tabs>
        <w:ind w:left="1920" w:hanging="5"/>
        <w:jc w:val="both"/>
        <w:rPr>
          <w:rFonts w:eastAsia="Times New Roman"/>
          <w:sz w:val="24"/>
          <w:szCs w:val="24"/>
        </w:rPr>
      </w:pPr>
      <w:r>
        <w:rPr>
          <w:rFonts w:eastAsia="Times New Roman"/>
          <w:sz w:val="24"/>
          <w:szCs w:val="24"/>
        </w:rPr>
        <w:t xml:space="preserve">All violations of the MCL, MRDL, and Treatment Technique requirements, except where a Tier 1 notice is required under 310 CMR 22.16(2)(a): </w:t>
      </w:r>
      <w:r>
        <w:rPr>
          <w:rFonts w:eastAsia="Times New Roman"/>
          <w:i/>
          <w:iCs/>
          <w:sz w:val="24"/>
          <w:szCs w:val="24"/>
        </w:rPr>
        <w:t>Table 3</w:t>
      </w:r>
      <w:r>
        <w:rPr>
          <w:rFonts w:eastAsia="Times New Roman"/>
          <w:sz w:val="24"/>
          <w:szCs w:val="24"/>
        </w:rPr>
        <w:t xml:space="preserve"> or where the Department determines that a Tier 1 notice is required;</w:t>
      </w:r>
    </w:p>
    <w:p w14:paraId="281A0D4C" w14:textId="77777777" w:rsidR="004647B9" w:rsidRDefault="00E2436F" w:rsidP="00037E70">
      <w:pPr>
        <w:numPr>
          <w:ilvl w:val="0"/>
          <w:numId w:val="492"/>
        </w:numPr>
        <w:tabs>
          <w:tab w:val="left" w:pos="2453"/>
        </w:tabs>
        <w:ind w:left="1920" w:hanging="5"/>
        <w:jc w:val="both"/>
        <w:rPr>
          <w:rFonts w:eastAsia="Times New Roman"/>
          <w:sz w:val="24"/>
          <w:szCs w:val="24"/>
        </w:rPr>
      </w:pPr>
      <w:r>
        <w:rPr>
          <w:rFonts w:eastAsia="Times New Roman"/>
          <w:sz w:val="24"/>
          <w:szCs w:val="24"/>
        </w:rPr>
        <w:t>Violations of the monitoring and testing procedure requirements, where the Department determines that a Tier 2 rather than a Tier 3 Public Notice is required, taking into account potential health impacts and persistence of the violation; and</w:t>
      </w:r>
    </w:p>
    <w:p w14:paraId="281A0D4E" w14:textId="77777777" w:rsidR="004647B9" w:rsidRDefault="00E2436F" w:rsidP="00037E70">
      <w:pPr>
        <w:numPr>
          <w:ilvl w:val="0"/>
          <w:numId w:val="492"/>
        </w:numPr>
        <w:tabs>
          <w:tab w:val="left" w:pos="2326"/>
        </w:tabs>
        <w:ind w:left="1920" w:hanging="5"/>
        <w:rPr>
          <w:rFonts w:eastAsia="Times New Roman"/>
          <w:sz w:val="24"/>
          <w:szCs w:val="24"/>
        </w:rPr>
      </w:pPr>
      <w:r>
        <w:rPr>
          <w:rFonts w:eastAsia="Times New Roman"/>
          <w:sz w:val="24"/>
          <w:szCs w:val="24"/>
        </w:rPr>
        <w:t>Failure to comply with the terms and conditions of any variance or exemption in place.</w:t>
      </w:r>
    </w:p>
    <w:p w14:paraId="281A0D4F" w14:textId="77777777" w:rsidR="004647B9" w:rsidRDefault="004647B9" w:rsidP="00037E70">
      <w:pPr>
        <w:sectPr w:rsidR="004647B9" w:rsidSect="00EF630C">
          <w:pgSz w:w="12240" w:h="20180"/>
          <w:pgMar w:top="708" w:right="1440" w:bottom="1101" w:left="600" w:header="0" w:footer="0" w:gutter="0"/>
          <w:cols w:space="720"/>
        </w:sectPr>
      </w:pPr>
    </w:p>
    <w:p w14:paraId="281A0D50" w14:textId="77777777" w:rsidR="004647B9" w:rsidRDefault="00E2436F">
      <w:pPr>
        <w:tabs>
          <w:tab w:val="left" w:pos="160"/>
        </w:tabs>
        <w:jc w:val="center"/>
        <w:rPr>
          <w:sz w:val="20"/>
          <w:szCs w:val="20"/>
        </w:rPr>
      </w:pPr>
      <w:bookmarkStart w:id="186" w:name="page188"/>
      <w:bookmarkEnd w:id="18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D51" w14:textId="77777777" w:rsidR="004647B9" w:rsidRDefault="004647B9" w:rsidP="005E1B10">
      <w:pPr>
        <w:rPr>
          <w:sz w:val="20"/>
          <w:szCs w:val="20"/>
        </w:rPr>
      </w:pPr>
    </w:p>
    <w:p w14:paraId="281A0D52" w14:textId="77777777" w:rsidR="004647B9" w:rsidRDefault="004647B9" w:rsidP="005E1B10">
      <w:pPr>
        <w:rPr>
          <w:sz w:val="20"/>
          <w:szCs w:val="20"/>
        </w:rPr>
      </w:pPr>
    </w:p>
    <w:p w14:paraId="281A0D53" w14:textId="77777777" w:rsidR="004647B9" w:rsidRPr="00764311" w:rsidRDefault="00E2436F" w:rsidP="005E1B10">
      <w:pPr>
        <w:tabs>
          <w:tab w:val="left" w:pos="760"/>
        </w:tabs>
        <w:rPr>
          <w:sz w:val="24"/>
          <w:szCs w:val="24"/>
        </w:rPr>
      </w:pPr>
      <w:r w:rsidRPr="00764311">
        <w:rPr>
          <w:rFonts w:eastAsia="Times New Roman"/>
          <w:sz w:val="24"/>
          <w:szCs w:val="24"/>
        </w:rPr>
        <w:t>22.16:</w:t>
      </w:r>
      <w:r w:rsidRPr="00764311">
        <w:rPr>
          <w:rFonts w:eastAsia="Times New Roman"/>
          <w:sz w:val="24"/>
          <w:szCs w:val="24"/>
        </w:rPr>
        <w:tab/>
        <w:t>continued</w:t>
      </w:r>
    </w:p>
    <w:p w14:paraId="281A0D54" w14:textId="77777777" w:rsidR="004647B9" w:rsidRPr="005E1B10" w:rsidRDefault="004647B9" w:rsidP="005E1B10">
      <w:pPr>
        <w:rPr>
          <w:sz w:val="20"/>
          <w:szCs w:val="20"/>
        </w:rPr>
      </w:pPr>
    </w:p>
    <w:p w14:paraId="281A0D55" w14:textId="77777777" w:rsidR="004647B9" w:rsidRPr="00764311" w:rsidRDefault="00E2436F" w:rsidP="005E1B10">
      <w:pPr>
        <w:numPr>
          <w:ilvl w:val="1"/>
          <w:numId w:val="493"/>
        </w:numPr>
        <w:tabs>
          <w:tab w:val="left" w:pos="2280"/>
        </w:tabs>
        <w:ind w:left="1920" w:hanging="5"/>
        <w:jc w:val="both"/>
        <w:rPr>
          <w:rFonts w:eastAsia="Times New Roman"/>
          <w:sz w:val="24"/>
          <w:szCs w:val="24"/>
        </w:rPr>
      </w:pPr>
      <w:r w:rsidRPr="00764311">
        <w:rPr>
          <w:rFonts w:eastAsia="Times New Roman"/>
          <w:sz w:val="24"/>
          <w:szCs w:val="24"/>
        </w:rPr>
        <w:t>Failure to take corrective action or failure to maintain at least four log treatment of Viruses (using inactivation, removal, or a Department approved combination of four log Virus inactivation and removal) before or at the first customer under 310 CMR 22.26(4)(a).</w:t>
      </w:r>
    </w:p>
    <w:p w14:paraId="281A0D57" w14:textId="77777777" w:rsidR="004647B9" w:rsidRPr="00764311" w:rsidRDefault="00E2436F" w:rsidP="005E1B10">
      <w:pPr>
        <w:numPr>
          <w:ilvl w:val="1"/>
          <w:numId w:val="493"/>
        </w:numPr>
        <w:tabs>
          <w:tab w:val="left" w:pos="2240"/>
        </w:tabs>
        <w:ind w:left="1915"/>
        <w:rPr>
          <w:rFonts w:eastAsia="Times New Roman"/>
          <w:sz w:val="24"/>
          <w:szCs w:val="24"/>
        </w:rPr>
      </w:pPr>
      <w:r w:rsidRPr="00764311">
        <w:rPr>
          <w:rFonts w:eastAsia="Times New Roman"/>
          <w:sz w:val="24"/>
          <w:szCs w:val="24"/>
        </w:rPr>
        <w:t>Changes in corrosion control treatment practices that persist longer than seven days.</w:t>
      </w:r>
    </w:p>
    <w:p w14:paraId="281A0D59" w14:textId="77777777" w:rsidR="004647B9" w:rsidRPr="00764311" w:rsidRDefault="00E2436F" w:rsidP="005E1B10">
      <w:pPr>
        <w:numPr>
          <w:ilvl w:val="0"/>
          <w:numId w:val="494"/>
        </w:numPr>
        <w:tabs>
          <w:tab w:val="left" w:pos="2020"/>
        </w:tabs>
        <w:ind w:left="2020" w:hanging="465"/>
        <w:rPr>
          <w:rFonts w:eastAsia="Times New Roman"/>
          <w:sz w:val="24"/>
          <w:szCs w:val="24"/>
        </w:rPr>
      </w:pPr>
      <w:r w:rsidRPr="000F2E7E">
        <w:rPr>
          <w:rFonts w:eastAsia="Times New Roman"/>
          <w:sz w:val="24"/>
          <w:szCs w:val="24"/>
          <w:u w:val="single"/>
        </w:rPr>
        <w:t>Timeframe Required for Tier 2 Notification</w:t>
      </w:r>
      <w:r w:rsidRPr="00764311">
        <w:rPr>
          <w:rFonts w:eastAsia="Times New Roman"/>
          <w:sz w:val="24"/>
          <w:szCs w:val="24"/>
        </w:rPr>
        <w:t>.</w:t>
      </w:r>
    </w:p>
    <w:p w14:paraId="281A0D5B" w14:textId="77777777" w:rsidR="004647B9" w:rsidRPr="00764311" w:rsidRDefault="00E2436F" w:rsidP="005E1B10">
      <w:pPr>
        <w:numPr>
          <w:ilvl w:val="1"/>
          <w:numId w:val="494"/>
        </w:numPr>
        <w:tabs>
          <w:tab w:val="left" w:pos="2280"/>
        </w:tabs>
        <w:ind w:left="2280" w:hanging="365"/>
        <w:rPr>
          <w:rFonts w:eastAsia="Times New Roman"/>
          <w:sz w:val="24"/>
          <w:szCs w:val="24"/>
        </w:rPr>
      </w:pPr>
      <w:r w:rsidRPr="00764311">
        <w:rPr>
          <w:rFonts w:eastAsia="Times New Roman"/>
          <w:sz w:val="24"/>
          <w:szCs w:val="24"/>
        </w:rPr>
        <w:t>a. Each Supplier of Water shall provide the public notice as soon as practical, but no later than 30 days after the system learns of the violation.</w:t>
      </w:r>
    </w:p>
    <w:p w14:paraId="281A0D5D" w14:textId="77777777" w:rsidR="004647B9" w:rsidRPr="00764311" w:rsidRDefault="00E2436F" w:rsidP="005E1B10">
      <w:pPr>
        <w:numPr>
          <w:ilvl w:val="2"/>
          <w:numId w:val="494"/>
        </w:numPr>
        <w:tabs>
          <w:tab w:val="left" w:pos="2647"/>
        </w:tabs>
        <w:ind w:left="2280" w:hanging="5"/>
        <w:jc w:val="both"/>
        <w:rPr>
          <w:rFonts w:eastAsia="Times New Roman"/>
          <w:sz w:val="24"/>
          <w:szCs w:val="24"/>
        </w:rPr>
      </w:pPr>
      <w:r w:rsidRPr="00764311">
        <w:rPr>
          <w:rFonts w:eastAsia="Times New Roman"/>
          <w:sz w:val="24"/>
          <w:szCs w:val="24"/>
        </w:rPr>
        <w:t>If the public notice is posted, the notice shall remain in place for as long as the violation or situation persists, but in no case for less than seven days, even if the violation or situation is resolved.</w:t>
      </w:r>
    </w:p>
    <w:p w14:paraId="281A0D5F" w14:textId="77777777" w:rsidR="004647B9" w:rsidRPr="00764311" w:rsidRDefault="00E2436F" w:rsidP="005E1B10">
      <w:pPr>
        <w:numPr>
          <w:ilvl w:val="2"/>
          <w:numId w:val="494"/>
        </w:numPr>
        <w:tabs>
          <w:tab w:val="left" w:pos="2583"/>
        </w:tabs>
        <w:ind w:left="2280" w:hanging="5"/>
        <w:jc w:val="both"/>
        <w:rPr>
          <w:rFonts w:eastAsia="Times New Roman"/>
          <w:sz w:val="24"/>
          <w:szCs w:val="24"/>
        </w:rPr>
      </w:pPr>
      <w:r w:rsidRPr="00764311">
        <w:rPr>
          <w:rFonts w:eastAsia="Times New Roman"/>
          <w:sz w:val="24"/>
          <w:szCs w:val="24"/>
        </w:rPr>
        <w:t>The Department may, in appropriate circumstances, allow additional time for the initial notice of up to three months from the date the system learns of the violation. Extensions granted by the Department shall be in writing.</w:t>
      </w:r>
    </w:p>
    <w:p w14:paraId="281A0D61" w14:textId="77777777" w:rsidR="004647B9" w:rsidRPr="00764311" w:rsidRDefault="00E2436F" w:rsidP="005E1B10">
      <w:pPr>
        <w:numPr>
          <w:ilvl w:val="1"/>
          <w:numId w:val="494"/>
        </w:numPr>
        <w:tabs>
          <w:tab w:val="left" w:pos="2280"/>
        </w:tabs>
        <w:ind w:left="2280" w:hanging="365"/>
        <w:jc w:val="both"/>
        <w:rPr>
          <w:rFonts w:eastAsia="Times New Roman"/>
          <w:sz w:val="24"/>
          <w:szCs w:val="24"/>
        </w:rPr>
      </w:pPr>
      <w:r w:rsidRPr="00764311">
        <w:rPr>
          <w:rFonts w:eastAsia="Times New Roman"/>
          <w:sz w:val="24"/>
          <w:szCs w:val="24"/>
        </w:rPr>
        <w:t>a. Each Supplier of Water shall repeat the notice every three months as long as the violation or situation persists, unless the Department determines in writing that appropriate circumstances warrant a different repeat notice frequency.</w:t>
      </w:r>
    </w:p>
    <w:p w14:paraId="281A0D63" w14:textId="77777777" w:rsidR="004647B9" w:rsidRPr="00764311" w:rsidRDefault="00E2436F" w:rsidP="005E1B10">
      <w:pPr>
        <w:numPr>
          <w:ilvl w:val="2"/>
          <w:numId w:val="494"/>
        </w:numPr>
        <w:tabs>
          <w:tab w:val="left" w:pos="2633"/>
        </w:tabs>
        <w:ind w:left="2280" w:hanging="5"/>
        <w:rPr>
          <w:rFonts w:eastAsia="Times New Roman"/>
          <w:sz w:val="24"/>
          <w:szCs w:val="24"/>
        </w:rPr>
      </w:pPr>
      <w:r w:rsidRPr="00764311">
        <w:rPr>
          <w:rFonts w:eastAsia="Times New Roman"/>
          <w:sz w:val="24"/>
          <w:szCs w:val="24"/>
        </w:rPr>
        <w:t>In no circumstance may the repeat notice be given less frequently than once per year.</w:t>
      </w:r>
    </w:p>
    <w:p w14:paraId="281A0D65" w14:textId="672043F7" w:rsidR="004647B9" w:rsidRPr="00764311" w:rsidRDefault="00E2436F" w:rsidP="005E1B10">
      <w:pPr>
        <w:numPr>
          <w:ilvl w:val="2"/>
          <w:numId w:val="494"/>
        </w:numPr>
        <w:tabs>
          <w:tab w:val="left" w:pos="2578"/>
        </w:tabs>
        <w:ind w:left="2280" w:hanging="5"/>
        <w:jc w:val="both"/>
        <w:rPr>
          <w:rFonts w:eastAsia="Times New Roman"/>
          <w:sz w:val="24"/>
          <w:szCs w:val="24"/>
        </w:rPr>
      </w:pPr>
      <w:r w:rsidRPr="00764311">
        <w:rPr>
          <w:rFonts w:eastAsia="Times New Roman"/>
          <w:sz w:val="24"/>
          <w:szCs w:val="24"/>
        </w:rPr>
        <w:t xml:space="preserve">In no circumstance may the frequency of a repeat notice for an MCL or Treatment Technique violation under 310 CMR 22.05, the Revised Total Coliform Rule; </w:t>
      </w:r>
      <w:r w:rsidR="00683480">
        <w:rPr>
          <w:rFonts w:eastAsia="Times New Roman"/>
          <w:sz w:val="24"/>
          <w:szCs w:val="24"/>
        </w:rPr>
        <w:t xml:space="preserve">an MCL </w:t>
      </w:r>
      <w:r w:rsidR="001E4C17">
        <w:rPr>
          <w:rFonts w:eastAsia="Times New Roman"/>
          <w:sz w:val="24"/>
          <w:szCs w:val="24"/>
        </w:rPr>
        <w:t xml:space="preserve">violation under 310 CMR 22.07G Per- and Polyfluoroalkyl Substances </w:t>
      </w:r>
      <w:r w:rsidR="0028127B">
        <w:rPr>
          <w:rFonts w:eastAsia="Times New Roman"/>
          <w:sz w:val="24"/>
          <w:szCs w:val="24"/>
        </w:rPr>
        <w:t xml:space="preserve">(PFAS); </w:t>
      </w:r>
      <w:r w:rsidRPr="00764311">
        <w:rPr>
          <w:rFonts w:eastAsia="Times New Roman"/>
          <w:sz w:val="24"/>
          <w:szCs w:val="24"/>
        </w:rPr>
        <w:t>a Treatment Technique violation under 310 CMR 22.20A, the Surface Water Treatment Rule; 310 CMR 22.20D, the Interim Enhanced Surface Water Treatment Rule; 310 CMR 22.20F, the Long Term 1 Enhanced Surface Water Treatment Rule; or 310 CMR 22.20G, the Long Term 2 Enhanced Surface Water Treatment Rule; be reduced.</w:t>
      </w:r>
    </w:p>
    <w:p w14:paraId="281A0D67" w14:textId="293372B8" w:rsidR="004647B9" w:rsidRPr="00764311" w:rsidRDefault="00E2436F" w:rsidP="005E1B10">
      <w:pPr>
        <w:numPr>
          <w:ilvl w:val="1"/>
          <w:numId w:val="494"/>
        </w:numPr>
        <w:tabs>
          <w:tab w:val="left" w:pos="2280"/>
        </w:tabs>
        <w:ind w:left="2280" w:hanging="365"/>
        <w:jc w:val="both"/>
        <w:rPr>
          <w:rFonts w:eastAsia="Times New Roman"/>
          <w:sz w:val="24"/>
          <w:szCs w:val="24"/>
        </w:rPr>
      </w:pPr>
      <w:r w:rsidRPr="00764311">
        <w:rPr>
          <w:rFonts w:eastAsia="Times New Roman"/>
          <w:sz w:val="24"/>
          <w:szCs w:val="24"/>
        </w:rPr>
        <w:t xml:space="preserve">a. For the Turbidity violations specified in 310 CMR 22.16: </w:t>
      </w:r>
      <w:r w:rsidRPr="00764311">
        <w:rPr>
          <w:rFonts w:eastAsia="Times New Roman"/>
          <w:i/>
          <w:iCs/>
          <w:sz w:val="24"/>
          <w:szCs w:val="24"/>
        </w:rPr>
        <w:t>Table 6</w:t>
      </w:r>
      <w:r w:rsidRPr="00764311">
        <w:rPr>
          <w:rFonts w:eastAsia="Times New Roman"/>
          <w:sz w:val="24"/>
          <w:szCs w:val="24"/>
        </w:rPr>
        <w:t xml:space="preserve">, the Supplier of Water shall consult with the Department as soon as practical but no later than 24 hours after the Public Water System learns of the violation, to determine whether a Tier 1 Public Notice under 310 CMR 22.16(2)(a): </w:t>
      </w:r>
      <w:r w:rsidRPr="00764311">
        <w:rPr>
          <w:rFonts w:eastAsia="Times New Roman"/>
          <w:i/>
          <w:iCs/>
          <w:sz w:val="24"/>
          <w:szCs w:val="24"/>
        </w:rPr>
        <w:t>Table 3</w:t>
      </w:r>
      <w:r w:rsidRPr="00764311">
        <w:rPr>
          <w:rFonts w:eastAsia="Times New Roman"/>
          <w:sz w:val="24"/>
          <w:szCs w:val="24"/>
        </w:rPr>
        <w:t xml:space="preserve"> is required to protect public health.</w:t>
      </w:r>
    </w:p>
    <w:p w14:paraId="281A0D69" w14:textId="77777777" w:rsidR="004647B9" w:rsidRDefault="00E2436F" w:rsidP="005E1B10">
      <w:pPr>
        <w:numPr>
          <w:ilvl w:val="2"/>
          <w:numId w:val="494"/>
        </w:numPr>
        <w:tabs>
          <w:tab w:val="left" w:pos="2714"/>
        </w:tabs>
        <w:ind w:left="2280" w:hanging="5"/>
        <w:jc w:val="both"/>
        <w:rPr>
          <w:rFonts w:eastAsia="Times New Roman"/>
          <w:sz w:val="24"/>
          <w:szCs w:val="24"/>
        </w:rPr>
      </w:pPr>
      <w:r w:rsidRPr="00764311">
        <w:rPr>
          <w:rFonts w:eastAsia="Times New Roman"/>
          <w:sz w:val="24"/>
          <w:szCs w:val="24"/>
        </w:rPr>
        <w:t>When consultation does not take place within the 24-hour period, the water</w:t>
      </w:r>
      <w:r>
        <w:rPr>
          <w:rFonts w:eastAsia="Times New Roman"/>
          <w:sz w:val="24"/>
          <w:szCs w:val="24"/>
        </w:rPr>
        <w:t xml:space="preserve"> system shall distribute a Tier 1 notice of the violation within the next 24 hours (</w:t>
      </w:r>
      <w:r>
        <w:rPr>
          <w:rFonts w:eastAsia="Times New Roman"/>
          <w:i/>
          <w:iCs/>
          <w:sz w:val="24"/>
          <w:szCs w:val="24"/>
        </w:rPr>
        <w:t>i.e</w:t>
      </w:r>
      <w:r>
        <w:rPr>
          <w:rFonts w:eastAsia="Times New Roman"/>
          <w:sz w:val="24"/>
          <w:szCs w:val="24"/>
        </w:rPr>
        <w:t>., no later than 48 hours after the system learns of the violation), following the requirements under 310 CMR 22.16(2)(b) and (c).</w:t>
      </w:r>
    </w:p>
    <w:p w14:paraId="281A0D6B" w14:textId="77777777" w:rsidR="004647B9" w:rsidRDefault="00E2436F" w:rsidP="005E1B10">
      <w:pPr>
        <w:numPr>
          <w:ilvl w:val="2"/>
          <w:numId w:val="494"/>
        </w:numPr>
        <w:tabs>
          <w:tab w:val="left" w:pos="2620"/>
        </w:tabs>
        <w:ind w:left="2620" w:hanging="345"/>
        <w:rPr>
          <w:rFonts w:eastAsia="Times New Roman"/>
          <w:sz w:val="24"/>
          <w:szCs w:val="24"/>
        </w:rPr>
      </w:pPr>
      <w:r>
        <w:rPr>
          <w:rFonts w:eastAsia="Times New Roman"/>
          <w:sz w:val="24"/>
          <w:szCs w:val="24"/>
        </w:rPr>
        <w:t>Consultation with the Department is required for:</w:t>
      </w:r>
    </w:p>
    <w:p w14:paraId="281A0D6D" w14:textId="77777777" w:rsidR="004647B9" w:rsidRDefault="00E2436F" w:rsidP="005E1B10">
      <w:pPr>
        <w:numPr>
          <w:ilvl w:val="3"/>
          <w:numId w:val="494"/>
        </w:numPr>
        <w:tabs>
          <w:tab w:val="left" w:pos="2940"/>
        </w:tabs>
        <w:ind w:left="2940" w:hanging="305"/>
        <w:rPr>
          <w:rFonts w:eastAsia="Times New Roman"/>
          <w:sz w:val="24"/>
          <w:szCs w:val="24"/>
        </w:rPr>
      </w:pPr>
      <w:r>
        <w:rPr>
          <w:rFonts w:eastAsia="Times New Roman"/>
          <w:sz w:val="24"/>
          <w:szCs w:val="24"/>
        </w:rPr>
        <w:t>Violation of the Turbidity MCL under 310 CMR 22.08 and 22.20A; or</w:t>
      </w:r>
    </w:p>
    <w:p w14:paraId="281A0D6F" w14:textId="77777777" w:rsidR="004647B9" w:rsidRDefault="00E2436F" w:rsidP="00EB1A5C">
      <w:pPr>
        <w:numPr>
          <w:ilvl w:val="3"/>
          <w:numId w:val="494"/>
        </w:numPr>
        <w:tabs>
          <w:tab w:val="left" w:pos="2938"/>
        </w:tabs>
        <w:ind w:left="2640" w:hanging="5"/>
        <w:jc w:val="both"/>
        <w:rPr>
          <w:rFonts w:eastAsia="Times New Roman"/>
          <w:sz w:val="24"/>
          <w:szCs w:val="24"/>
        </w:rPr>
      </w:pPr>
      <w:r>
        <w:rPr>
          <w:rFonts w:eastAsia="Times New Roman"/>
          <w:sz w:val="24"/>
          <w:szCs w:val="24"/>
        </w:rPr>
        <w:t>Violation of 310 CMR 22.20A, 22.20D, or 22.20F Treatment Technique requirement resulting from a single exceedance of the maximum allowable Turbidity limit.</w:t>
      </w:r>
    </w:p>
    <w:p w14:paraId="281A0D71" w14:textId="77777777" w:rsidR="004647B9" w:rsidRDefault="00E2436F" w:rsidP="005E1B10">
      <w:pPr>
        <w:numPr>
          <w:ilvl w:val="1"/>
          <w:numId w:val="494"/>
        </w:numPr>
        <w:tabs>
          <w:tab w:val="left" w:pos="2294"/>
        </w:tabs>
        <w:ind w:left="1920" w:hanging="5"/>
        <w:rPr>
          <w:rFonts w:eastAsia="Times New Roman"/>
          <w:sz w:val="24"/>
          <w:szCs w:val="24"/>
        </w:rPr>
      </w:pPr>
      <w:r>
        <w:rPr>
          <w:rFonts w:eastAsia="Times New Roman"/>
          <w:sz w:val="24"/>
          <w:szCs w:val="24"/>
        </w:rPr>
        <w:t>For corrosion control treatment changes that last more than seven days, the Public Water Systems must:</w:t>
      </w:r>
    </w:p>
    <w:p w14:paraId="281A0D73" w14:textId="77777777" w:rsidR="004647B9" w:rsidRDefault="00E2436F" w:rsidP="005E1B10">
      <w:pPr>
        <w:numPr>
          <w:ilvl w:val="2"/>
          <w:numId w:val="495"/>
        </w:numPr>
        <w:tabs>
          <w:tab w:val="left" w:pos="2655"/>
        </w:tabs>
        <w:ind w:left="2280" w:hanging="5"/>
        <w:jc w:val="both"/>
        <w:rPr>
          <w:rFonts w:eastAsia="Times New Roman"/>
          <w:sz w:val="24"/>
          <w:szCs w:val="24"/>
        </w:rPr>
      </w:pPr>
      <w:r>
        <w:rPr>
          <w:rFonts w:eastAsia="Times New Roman"/>
          <w:sz w:val="24"/>
          <w:szCs w:val="24"/>
        </w:rPr>
        <w:t>Provide a public notice as soon as practical but no later than 30 days after the supplier learns of the violation, unless it is an Emergency situation identified in 310 CMR 22.04(13). Emergency situations identified in 310 CMR 22.04(13) must comply with 310 CMR 22.16(2)(b)4.</w:t>
      </w:r>
    </w:p>
    <w:p w14:paraId="281A0D75" w14:textId="77777777" w:rsidR="004647B9" w:rsidRDefault="00E2436F" w:rsidP="005E1B10">
      <w:pPr>
        <w:numPr>
          <w:ilvl w:val="2"/>
          <w:numId w:val="495"/>
        </w:numPr>
        <w:tabs>
          <w:tab w:val="left" w:pos="2647"/>
        </w:tabs>
        <w:ind w:left="2280" w:hanging="5"/>
        <w:jc w:val="both"/>
        <w:rPr>
          <w:rFonts w:eastAsia="Times New Roman"/>
          <w:sz w:val="24"/>
          <w:szCs w:val="24"/>
        </w:rPr>
      </w:pPr>
      <w:r>
        <w:rPr>
          <w:rFonts w:eastAsia="Times New Roman"/>
          <w:sz w:val="24"/>
          <w:szCs w:val="24"/>
        </w:rPr>
        <w:t>Initiate consultation with the Department as soon as practical, but no later than 24 hours after the supplier learns of the violation or situation, to determine additional public notice requirements, unless it is an Emergency situation identified in 310 CMR 22.04(13). For Emergency situations identified in 310 CMR 22.04(13), each Supplier of Water must notify the Department within two hours after the supplier learns of the Emergency in accordance with 310 CMR 22.15(9)(a) and initiate consultation within the same timeframe.</w:t>
      </w:r>
    </w:p>
    <w:p w14:paraId="281A0D77" w14:textId="77777777" w:rsidR="004647B9" w:rsidRDefault="00E2436F" w:rsidP="005E1B10">
      <w:pPr>
        <w:numPr>
          <w:ilvl w:val="2"/>
          <w:numId w:val="495"/>
        </w:numPr>
        <w:tabs>
          <w:tab w:val="left" w:pos="2713"/>
        </w:tabs>
        <w:ind w:left="2280" w:hanging="5"/>
        <w:jc w:val="both"/>
        <w:rPr>
          <w:rFonts w:eastAsia="Times New Roman"/>
          <w:sz w:val="24"/>
          <w:szCs w:val="24"/>
        </w:rPr>
      </w:pPr>
      <w:r>
        <w:rPr>
          <w:rFonts w:eastAsia="Times New Roman"/>
          <w:sz w:val="24"/>
          <w:szCs w:val="24"/>
        </w:rPr>
        <w:t>Comply with any additional public notification requirements (including any repeat notices or direction on the duration of the posted notices) that are established as a result of the consultation with the Department. Such requirements may include the timing, form, manner, frequency, and content of repeat notices (if any) and other actions designed to reach all Persons served.</w:t>
      </w:r>
    </w:p>
    <w:p w14:paraId="281A0D78" w14:textId="77777777" w:rsidR="004647B9" w:rsidRDefault="004647B9" w:rsidP="005E1B10">
      <w:pPr>
        <w:sectPr w:rsidR="004647B9" w:rsidSect="00EF630C">
          <w:pgSz w:w="12240" w:h="20180"/>
          <w:pgMar w:top="708" w:right="1440" w:bottom="1440" w:left="600" w:header="0" w:footer="0" w:gutter="0"/>
          <w:cols w:space="720"/>
        </w:sectPr>
      </w:pPr>
    </w:p>
    <w:p w14:paraId="281A0D79" w14:textId="77777777" w:rsidR="004647B9" w:rsidRDefault="00E2436F">
      <w:pPr>
        <w:tabs>
          <w:tab w:val="left" w:pos="160"/>
        </w:tabs>
        <w:jc w:val="center"/>
        <w:rPr>
          <w:sz w:val="20"/>
          <w:szCs w:val="20"/>
        </w:rPr>
      </w:pPr>
      <w:bookmarkStart w:id="187" w:name="page189"/>
      <w:bookmarkEnd w:id="18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D7A" w14:textId="77777777" w:rsidR="004647B9" w:rsidRDefault="004647B9" w:rsidP="002774FF">
      <w:pPr>
        <w:rPr>
          <w:sz w:val="20"/>
          <w:szCs w:val="20"/>
        </w:rPr>
      </w:pPr>
    </w:p>
    <w:p w14:paraId="281A0D7B" w14:textId="77777777" w:rsidR="004647B9" w:rsidRDefault="004647B9" w:rsidP="002774FF">
      <w:pPr>
        <w:rPr>
          <w:sz w:val="20"/>
          <w:szCs w:val="20"/>
        </w:rPr>
      </w:pPr>
    </w:p>
    <w:p w14:paraId="281A0D7C" w14:textId="77777777" w:rsidR="004647B9" w:rsidRPr="002774FF" w:rsidRDefault="00E2436F" w:rsidP="002774FF">
      <w:pPr>
        <w:tabs>
          <w:tab w:val="left" w:pos="760"/>
        </w:tabs>
        <w:rPr>
          <w:sz w:val="24"/>
          <w:szCs w:val="24"/>
        </w:rPr>
      </w:pPr>
      <w:r w:rsidRPr="002774FF">
        <w:rPr>
          <w:rFonts w:eastAsia="Times New Roman"/>
          <w:sz w:val="24"/>
          <w:szCs w:val="24"/>
        </w:rPr>
        <w:t>22.16:</w:t>
      </w:r>
      <w:r w:rsidRPr="002774FF">
        <w:rPr>
          <w:rFonts w:eastAsia="Times New Roman"/>
          <w:sz w:val="24"/>
          <w:szCs w:val="24"/>
        </w:rPr>
        <w:tab/>
        <w:t>continued</w:t>
      </w:r>
    </w:p>
    <w:p w14:paraId="281A0D7D" w14:textId="77777777" w:rsidR="004647B9" w:rsidRDefault="004647B9" w:rsidP="002774FF">
      <w:pPr>
        <w:rPr>
          <w:sz w:val="20"/>
          <w:szCs w:val="20"/>
        </w:rPr>
      </w:pPr>
    </w:p>
    <w:p w14:paraId="281A0D7E" w14:textId="77777777" w:rsidR="004647B9" w:rsidRPr="00764311" w:rsidRDefault="00E2436F" w:rsidP="002774FF">
      <w:pPr>
        <w:numPr>
          <w:ilvl w:val="1"/>
          <w:numId w:val="496"/>
        </w:numPr>
        <w:tabs>
          <w:tab w:val="left" w:pos="2026"/>
        </w:tabs>
        <w:ind w:left="1560" w:hanging="5"/>
        <w:jc w:val="both"/>
        <w:rPr>
          <w:rFonts w:eastAsia="Times New Roman"/>
          <w:sz w:val="24"/>
          <w:szCs w:val="24"/>
        </w:rPr>
      </w:pPr>
      <w:r w:rsidRPr="00764311">
        <w:rPr>
          <w:rFonts w:eastAsia="Times New Roman"/>
          <w:sz w:val="24"/>
          <w:szCs w:val="24"/>
          <w:u w:val="single"/>
        </w:rPr>
        <w:t>Form and Manner of Public Notice</w:t>
      </w:r>
      <w:r w:rsidRPr="00764311">
        <w:rPr>
          <w:rFonts w:eastAsia="Times New Roman"/>
          <w:sz w:val="24"/>
          <w:szCs w:val="24"/>
        </w:rPr>
        <w:t>. Each Supplier of Water shall provide the initial public notice and any repeat notices in a form and manner that is reasonably calculated to reach Persons served in the required time period. The form and manner of the public notice may vary based on the specific situation and type of water system, but it shall at a minimum meet the following requirements:</w:t>
      </w:r>
    </w:p>
    <w:p w14:paraId="281A0D80" w14:textId="77777777" w:rsidR="004647B9" w:rsidRPr="00764311" w:rsidRDefault="00E2436F" w:rsidP="002774FF">
      <w:pPr>
        <w:numPr>
          <w:ilvl w:val="2"/>
          <w:numId w:val="496"/>
        </w:numPr>
        <w:tabs>
          <w:tab w:val="left" w:pos="2251"/>
        </w:tabs>
        <w:ind w:left="1920" w:hanging="5"/>
        <w:rPr>
          <w:rFonts w:eastAsia="Times New Roman"/>
          <w:sz w:val="24"/>
          <w:szCs w:val="24"/>
        </w:rPr>
      </w:pPr>
      <w:r w:rsidRPr="00764311">
        <w:rPr>
          <w:rFonts w:eastAsia="Times New Roman"/>
          <w:sz w:val="24"/>
          <w:szCs w:val="24"/>
        </w:rPr>
        <w:t>Unless directed otherwise by the Department in writing, Community Water Systems shall provide notice by:</w:t>
      </w:r>
    </w:p>
    <w:p w14:paraId="281A0D82" w14:textId="77777777" w:rsidR="004647B9" w:rsidRPr="00764311" w:rsidRDefault="00E2436F" w:rsidP="002774FF">
      <w:pPr>
        <w:numPr>
          <w:ilvl w:val="3"/>
          <w:numId w:val="496"/>
        </w:numPr>
        <w:tabs>
          <w:tab w:val="left" w:pos="2583"/>
        </w:tabs>
        <w:ind w:left="2280" w:hanging="5"/>
        <w:rPr>
          <w:rFonts w:eastAsia="Times New Roman"/>
          <w:sz w:val="24"/>
          <w:szCs w:val="24"/>
        </w:rPr>
      </w:pPr>
      <w:r w:rsidRPr="00764311">
        <w:rPr>
          <w:rFonts w:eastAsia="Times New Roman"/>
          <w:sz w:val="24"/>
          <w:szCs w:val="24"/>
        </w:rPr>
        <w:t>Mail or other direct delivery to each customer receiving a bill and to other service connections to which water is delivered by the Public Water System; and</w:t>
      </w:r>
    </w:p>
    <w:p w14:paraId="281A0D84" w14:textId="77777777" w:rsidR="004647B9" w:rsidRPr="00764311" w:rsidRDefault="00E2436F" w:rsidP="002774FF">
      <w:pPr>
        <w:numPr>
          <w:ilvl w:val="3"/>
          <w:numId w:val="496"/>
        </w:numPr>
        <w:tabs>
          <w:tab w:val="left" w:pos="2626"/>
        </w:tabs>
        <w:ind w:left="2280" w:hanging="5"/>
        <w:jc w:val="both"/>
        <w:rPr>
          <w:rFonts w:eastAsia="Times New Roman"/>
          <w:sz w:val="24"/>
          <w:szCs w:val="24"/>
        </w:rPr>
      </w:pPr>
      <w:r w:rsidRPr="00764311">
        <w:rPr>
          <w:rFonts w:eastAsia="Times New Roman"/>
          <w:sz w:val="24"/>
          <w:szCs w:val="24"/>
        </w:rPr>
        <w:t>Any other method reasonably calculated to reach other Persons regularly served by the system, if they would not normally be reached by the notice required in 310 CMR 22.16(3)(c)1.a. Such Persons may include those who do not pay water bills or do not have service connection addresses (</w:t>
      </w:r>
      <w:r w:rsidRPr="00764311">
        <w:rPr>
          <w:rFonts w:eastAsia="Times New Roman"/>
          <w:i/>
          <w:iCs/>
          <w:sz w:val="24"/>
          <w:szCs w:val="24"/>
        </w:rPr>
        <w:t>e.g</w:t>
      </w:r>
      <w:r w:rsidRPr="00764311">
        <w:rPr>
          <w:rFonts w:eastAsia="Times New Roman"/>
          <w:sz w:val="24"/>
          <w:szCs w:val="24"/>
        </w:rPr>
        <w:t xml:space="preserve">., house renters, apartment dwellers, university students, nursing home patients, prison inmates, </w:t>
      </w:r>
      <w:r w:rsidRPr="00764311">
        <w:rPr>
          <w:rFonts w:eastAsia="Times New Roman"/>
          <w:i/>
          <w:iCs/>
          <w:sz w:val="24"/>
          <w:szCs w:val="24"/>
        </w:rPr>
        <w:t>etc</w:t>
      </w:r>
      <w:r w:rsidRPr="00764311">
        <w:rPr>
          <w:rFonts w:eastAsia="Times New Roman"/>
          <w:sz w:val="24"/>
          <w:szCs w:val="24"/>
        </w:rPr>
        <w:t>.). Other methods may include: Publication in a local newspaper; delivery of multiple copies for distribution by customers that provide their drinking water to others (</w:t>
      </w:r>
      <w:r w:rsidRPr="00764311">
        <w:rPr>
          <w:rFonts w:eastAsia="Times New Roman"/>
          <w:i/>
          <w:iCs/>
          <w:sz w:val="24"/>
          <w:szCs w:val="24"/>
        </w:rPr>
        <w:t>e.g</w:t>
      </w:r>
      <w:r w:rsidRPr="00764311">
        <w:rPr>
          <w:rFonts w:eastAsia="Times New Roman"/>
          <w:sz w:val="24"/>
          <w:szCs w:val="24"/>
        </w:rPr>
        <w:t>., apartment building owners or large private employers); posting in public places served by the system or on the Internet; or delivery to community organizations.</w:t>
      </w:r>
    </w:p>
    <w:p w14:paraId="281A0D86" w14:textId="77777777" w:rsidR="004647B9" w:rsidRPr="00764311" w:rsidRDefault="00E2436F" w:rsidP="002774FF">
      <w:pPr>
        <w:numPr>
          <w:ilvl w:val="2"/>
          <w:numId w:val="496"/>
        </w:numPr>
        <w:tabs>
          <w:tab w:val="left" w:pos="2330"/>
        </w:tabs>
        <w:ind w:left="1920" w:hanging="5"/>
        <w:rPr>
          <w:rFonts w:eastAsia="Times New Roman"/>
          <w:sz w:val="24"/>
          <w:szCs w:val="24"/>
        </w:rPr>
      </w:pPr>
      <w:r w:rsidRPr="00764311">
        <w:rPr>
          <w:rFonts w:eastAsia="Times New Roman"/>
          <w:sz w:val="24"/>
          <w:szCs w:val="24"/>
        </w:rPr>
        <w:t>Unless directed otherwise by the Department in writing, the owner/operator of a Non-community Water System shall provide notice by:</w:t>
      </w:r>
    </w:p>
    <w:p w14:paraId="281A0D88" w14:textId="77777777" w:rsidR="004647B9" w:rsidRPr="00764311" w:rsidRDefault="00E2436F" w:rsidP="002774FF">
      <w:pPr>
        <w:numPr>
          <w:ilvl w:val="3"/>
          <w:numId w:val="496"/>
        </w:numPr>
        <w:tabs>
          <w:tab w:val="left" w:pos="2621"/>
        </w:tabs>
        <w:ind w:left="2280" w:hanging="5"/>
        <w:jc w:val="both"/>
        <w:rPr>
          <w:rFonts w:eastAsia="Times New Roman"/>
          <w:sz w:val="24"/>
          <w:szCs w:val="24"/>
        </w:rPr>
      </w:pPr>
      <w:r w:rsidRPr="00764311">
        <w:rPr>
          <w:rFonts w:eastAsia="Times New Roman"/>
          <w:sz w:val="24"/>
          <w:szCs w:val="24"/>
        </w:rPr>
        <w:t>Posting the notice in conspicuous locations throughout the Distribution System frequented by Persons served by the system, or by mail or direct delivery to each customer and service connection (where known); and</w:t>
      </w:r>
    </w:p>
    <w:p w14:paraId="281A0D8A" w14:textId="77777777" w:rsidR="004647B9" w:rsidRPr="00764311" w:rsidRDefault="00E2436F" w:rsidP="002774FF">
      <w:pPr>
        <w:numPr>
          <w:ilvl w:val="3"/>
          <w:numId w:val="496"/>
        </w:numPr>
        <w:tabs>
          <w:tab w:val="left" w:pos="2676"/>
        </w:tabs>
        <w:ind w:left="2280" w:hanging="5"/>
        <w:jc w:val="both"/>
        <w:rPr>
          <w:rFonts w:eastAsia="Times New Roman"/>
          <w:sz w:val="24"/>
          <w:szCs w:val="24"/>
        </w:rPr>
      </w:pPr>
      <w:r w:rsidRPr="00764311">
        <w:rPr>
          <w:rFonts w:eastAsia="Times New Roman"/>
          <w:sz w:val="24"/>
          <w:szCs w:val="24"/>
        </w:rPr>
        <w:t>Any other method reasonably calculated to reach other Persons served by the system if they would not normally be reached by the notice required in 310 CMR 22.16(3)(c)2.a. Such Persons may include those served who may not see a posted notice because the posted notice is not in a location they routinely pass by. Other methods may include: Publication in a local newspaper or newsletter distributed to customers; use of E-mail to notify employees or students; or, delivery of multiple copies in central locations (</w:t>
      </w:r>
      <w:r w:rsidRPr="00764311">
        <w:rPr>
          <w:rFonts w:eastAsia="Times New Roman"/>
          <w:i/>
          <w:iCs/>
          <w:sz w:val="24"/>
          <w:szCs w:val="24"/>
        </w:rPr>
        <w:t>e.g.</w:t>
      </w:r>
      <w:r w:rsidRPr="00764311">
        <w:rPr>
          <w:rFonts w:eastAsia="Times New Roman"/>
          <w:sz w:val="24"/>
          <w:szCs w:val="24"/>
        </w:rPr>
        <w:t>, community centers).</w:t>
      </w:r>
    </w:p>
    <w:p w14:paraId="281A0D8B" w14:textId="77777777" w:rsidR="004647B9" w:rsidRPr="00764311" w:rsidRDefault="004647B9" w:rsidP="002774FF">
      <w:pPr>
        <w:rPr>
          <w:rFonts w:eastAsia="Times New Roman"/>
          <w:sz w:val="24"/>
          <w:szCs w:val="24"/>
        </w:rPr>
      </w:pPr>
    </w:p>
    <w:p w14:paraId="281A0D8C" w14:textId="77777777" w:rsidR="004647B9" w:rsidRPr="00764311" w:rsidRDefault="00E2436F" w:rsidP="002774FF">
      <w:pPr>
        <w:numPr>
          <w:ilvl w:val="0"/>
          <w:numId w:val="497"/>
        </w:numPr>
        <w:tabs>
          <w:tab w:val="left" w:pos="1660"/>
        </w:tabs>
        <w:ind w:left="1660" w:hanging="460"/>
        <w:rPr>
          <w:rFonts w:eastAsia="Times New Roman"/>
          <w:sz w:val="24"/>
          <w:szCs w:val="24"/>
        </w:rPr>
      </w:pPr>
      <w:r w:rsidRPr="00764311">
        <w:rPr>
          <w:rFonts w:eastAsia="Times New Roman"/>
          <w:sz w:val="24"/>
          <w:szCs w:val="24"/>
          <w:u w:val="single"/>
        </w:rPr>
        <w:t>Tier 3 Public Notice</w:t>
      </w:r>
      <w:r w:rsidRPr="00764311">
        <w:rPr>
          <w:rFonts w:eastAsia="Times New Roman"/>
          <w:sz w:val="24"/>
          <w:szCs w:val="24"/>
        </w:rPr>
        <w:t>.</w:t>
      </w:r>
    </w:p>
    <w:p w14:paraId="281A0D8E" w14:textId="77777777" w:rsidR="004647B9" w:rsidRPr="00764311" w:rsidRDefault="00E2436F" w:rsidP="002774FF">
      <w:pPr>
        <w:numPr>
          <w:ilvl w:val="1"/>
          <w:numId w:val="497"/>
        </w:numPr>
        <w:tabs>
          <w:tab w:val="left" w:pos="1970"/>
        </w:tabs>
        <w:ind w:left="1560" w:hanging="5"/>
        <w:jc w:val="both"/>
        <w:rPr>
          <w:rFonts w:eastAsia="Times New Roman"/>
          <w:sz w:val="24"/>
          <w:szCs w:val="24"/>
        </w:rPr>
      </w:pPr>
      <w:r w:rsidRPr="00764311">
        <w:rPr>
          <w:rFonts w:eastAsia="Times New Roman"/>
          <w:sz w:val="24"/>
          <w:szCs w:val="24"/>
          <w:u w:val="single"/>
        </w:rPr>
        <w:t>Violations or Situations Requiring Tier 3 Public Notice</w:t>
      </w:r>
      <w:r w:rsidRPr="00764311">
        <w:rPr>
          <w:rFonts w:eastAsia="Times New Roman"/>
          <w:sz w:val="24"/>
          <w:szCs w:val="24"/>
        </w:rPr>
        <w:t xml:space="preserve">. 310 CMR 22.16: </w:t>
      </w:r>
      <w:r w:rsidRPr="00764311">
        <w:rPr>
          <w:rFonts w:eastAsia="Times New Roman"/>
          <w:i/>
          <w:iCs/>
          <w:sz w:val="24"/>
          <w:szCs w:val="24"/>
        </w:rPr>
        <w:t>Table 5</w:t>
      </w:r>
      <w:r w:rsidRPr="00764311">
        <w:rPr>
          <w:rFonts w:eastAsia="Times New Roman"/>
          <w:sz w:val="24"/>
          <w:szCs w:val="24"/>
        </w:rPr>
        <w:t xml:space="preserve"> lists the violation categories and other situations requiring a Tier 3 Public Notice. 310 CMR 22.16: </w:t>
      </w:r>
      <w:r w:rsidRPr="00764311">
        <w:rPr>
          <w:rFonts w:eastAsia="Times New Roman"/>
          <w:i/>
          <w:iCs/>
          <w:sz w:val="24"/>
          <w:szCs w:val="24"/>
        </w:rPr>
        <w:t>Table 6</w:t>
      </w:r>
      <w:r w:rsidRPr="00764311">
        <w:rPr>
          <w:rFonts w:eastAsia="Times New Roman"/>
          <w:sz w:val="24"/>
          <w:szCs w:val="24"/>
        </w:rPr>
        <w:t xml:space="preserve"> identifies the tier assignment for each specific violation or situation.</w:t>
      </w:r>
    </w:p>
    <w:p w14:paraId="281A0D8F" w14:textId="77777777" w:rsidR="004647B9" w:rsidRPr="00764311" w:rsidRDefault="004647B9" w:rsidP="002774FF">
      <w:pPr>
        <w:rPr>
          <w:sz w:val="24"/>
          <w:szCs w:val="24"/>
        </w:rPr>
      </w:pPr>
    </w:p>
    <w:p w14:paraId="281A0D90" w14:textId="77777777" w:rsidR="004647B9" w:rsidRPr="00764311" w:rsidRDefault="00E2436F" w:rsidP="002774FF">
      <w:pPr>
        <w:jc w:val="center"/>
        <w:rPr>
          <w:sz w:val="24"/>
          <w:szCs w:val="24"/>
        </w:rPr>
      </w:pPr>
      <w:r w:rsidRPr="00764311">
        <w:rPr>
          <w:rFonts w:eastAsia="Times New Roman"/>
          <w:sz w:val="24"/>
          <w:szCs w:val="24"/>
        </w:rPr>
        <w:t xml:space="preserve">310 CMR 22.16: </w:t>
      </w:r>
      <w:r w:rsidRPr="00764311">
        <w:rPr>
          <w:rFonts w:eastAsia="Times New Roman"/>
          <w:i/>
          <w:iCs/>
          <w:sz w:val="24"/>
          <w:szCs w:val="24"/>
        </w:rPr>
        <w:t>Table 5</w:t>
      </w:r>
    </w:p>
    <w:p w14:paraId="281A0D92" w14:textId="77777777" w:rsidR="004647B9" w:rsidRPr="00764311" w:rsidRDefault="00E2436F" w:rsidP="002774FF">
      <w:pPr>
        <w:jc w:val="center"/>
        <w:rPr>
          <w:sz w:val="24"/>
          <w:szCs w:val="24"/>
        </w:rPr>
      </w:pPr>
      <w:r w:rsidRPr="00764311">
        <w:rPr>
          <w:rFonts w:eastAsia="Times New Roman"/>
          <w:sz w:val="24"/>
          <w:szCs w:val="24"/>
        </w:rPr>
        <w:t>Violation Categories and Other Situations Requiring a Tier 3 Public Notice</w:t>
      </w:r>
    </w:p>
    <w:p w14:paraId="281A0D93" w14:textId="77777777" w:rsidR="004647B9" w:rsidRPr="00764311" w:rsidRDefault="004647B9" w:rsidP="002774FF">
      <w:pPr>
        <w:rPr>
          <w:sz w:val="24"/>
          <w:szCs w:val="24"/>
        </w:rPr>
      </w:pPr>
    </w:p>
    <w:p w14:paraId="281A0D94" w14:textId="77777777" w:rsidR="004647B9" w:rsidRPr="00764311" w:rsidRDefault="00E2436F" w:rsidP="002774FF">
      <w:pPr>
        <w:numPr>
          <w:ilvl w:val="1"/>
          <w:numId w:val="498"/>
        </w:numPr>
        <w:tabs>
          <w:tab w:val="left" w:pos="2220"/>
        </w:tabs>
        <w:ind w:left="1920" w:hanging="5"/>
        <w:jc w:val="both"/>
        <w:rPr>
          <w:rFonts w:eastAsia="Times New Roman"/>
          <w:sz w:val="24"/>
          <w:szCs w:val="24"/>
        </w:rPr>
      </w:pPr>
      <w:r w:rsidRPr="00764311">
        <w:rPr>
          <w:rFonts w:eastAsia="Times New Roman"/>
          <w:sz w:val="24"/>
          <w:szCs w:val="24"/>
        </w:rPr>
        <w:t>Monitoring violations under 310 CMR 22.00, except where a Tier 1 notice is required under 310 CMR 22.16(2) or where the Department determines that a Tier 2 notice is required;</w:t>
      </w:r>
    </w:p>
    <w:p w14:paraId="281A0D95" w14:textId="77777777" w:rsidR="004647B9" w:rsidRPr="00764311" w:rsidRDefault="00E2436F" w:rsidP="002774FF">
      <w:pPr>
        <w:numPr>
          <w:ilvl w:val="1"/>
          <w:numId w:val="498"/>
        </w:numPr>
        <w:tabs>
          <w:tab w:val="left" w:pos="2302"/>
        </w:tabs>
        <w:ind w:left="1920" w:hanging="5"/>
        <w:jc w:val="both"/>
        <w:rPr>
          <w:rFonts w:eastAsia="Times New Roman"/>
          <w:sz w:val="24"/>
          <w:szCs w:val="24"/>
        </w:rPr>
      </w:pPr>
      <w:r w:rsidRPr="00764311">
        <w:rPr>
          <w:rFonts w:eastAsia="Times New Roman"/>
          <w:sz w:val="24"/>
          <w:szCs w:val="24"/>
        </w:rPr>
        <w:t>Failure to comply with a testing procedure established in 310 CMR 22.00, except where a Tier 1 notice is required under 310 CMR 22.16(2) or where the Department determines that a Tier 2 notice is required;</w:t>
      </w:r>
    </w:p>
    <w:p w14:paraId="281A0D97" w14:textId="77777777" w:rsidR="004647B9" w:rsidRPr="00764311" w:rsidRDefault="00E2436F" w:rsidP="002774FF">
      <w:pPr>
        <w:numPr>
          <w:ilvl w:val="1"/>
          <w:numId w:val="498"/>
        </w:numPr>
        <w:tabs>
          <w:tab w:val="left" w:pos="2254"/>
        </w:tabs>
        <w:ind w:left="1920" w:hanging="5"/>
        <w:rPr>
          <w:rFonts w:eastAsia="Times New Roman"/>
          <w:sz w:val="24"/>
          <w:szCs w:val="24"/>
        </w:rPr>
      </w:pPr>
      <w:r w:rsidRPr="00764311">
        <w:rPr>
          <w:rFonts w:eastAsia="Times New Roman"/>
          <w:sz w:val="24"/>
          <w:szCs w:val="24"/>
        </w:rPr>
        <w:t>Operation under a variance granted under 310 CMR 22.13, 22.13A or an exemption granted under 310 CMR 22.14;</w:t>
      </w:r>
    </w:p>
    <w:p w14:paraId="281A0D99" w14:textId="605D7138" w:rsidR="004647B9" w:rsidRPr="00764311" w:rsidRDefault="00E2436F" w:rsidP="002774FF">
      <w:pPr>
        <w:numPr>
          <w:ilvl w:val="1"/>
          <w:numId w:val="498"/>
        </w:numPr>
        <w:tabs>
          <w:tab w:val="left" w:pos="2420"/>
        </w:tabs>
        <w:ind w:left="1915"/>
        <w:rPr>
          <w:rFonts w:eastAsia="Times New Roman"/>
          <w:sz w:val="24"/>
          <w:szCs w:val="24"/>
        </w:rPr>
      </w:pPr>
      <w:r w:rsidRPr="00764311">
        <w:rPr>
          <w:rFonts w:eastAsia="Times New Roman"/>
          <w:sz w:val="24"/>
          <w:szCs w:val="24"/>
        </w:rPr>
        <w:t>Availability of unregulated contaminant monitoring results, as required under</w:t>
      </w:r>
      <w:r w:rsidR="002774FF">
        <w:rPr>
          <w:rFonts w:eastAsia="Times New Roman"/>
          <w:sz w:val="24"/>
          <w:szCs w:val="24"/>
        </w:rPr>
        <w:t xml:space="preserve"> 310 CMR 22.16(7);</w:t>
      </w:r>
    </w:p>
    <w:p w14:paraId="281A0D9D" w14:textId="77777777" w:rsidR="004647B9" w:rsidRPr="00764311" w:rsidRDefault="00E2436F" w:rsidP="002774FF">
      <w:pPr>
        <w:numPr>
          <w:ilvl w:val="1"/>
          <w:numId w:val="500"/>
        </w:numPr>
        <w:tabs>
          <w:tab w:val="left" w:pos="2318"/>
        </w:tabs>
        <w:ind w:left="1920" w:hanging="5"/>
        <w:rPr>
          <w:rFonts w:eastAsia="Times New Roman"/>
          <w:sz w:val="24"/>
          <w:szCs w:val="24"/>
        </w:rPr>
      </w:pPr>
      <w:r w:rsidRPr="00764311">
        <w:rPr>
          <w:rFonts w:eastAsia="Times New Roman"/>
          <w:sz w:val="24"/>
          <w:szCs w:val="24"/>
        </w:rPr>
        <w:t>Exceedance of the fluoride Secondary Maximum Contaminant Level (SMCL), as required under 310 CMR 22.16(8); and</w:t>
      </w:r>
    </w:p>
    <w:p w14:paraId="281A0D9F" w14:textId="77777777" w:rsidR="004647B9" w:rsidRPr="00764311" w:rsidRDefault="00E2436F" w:rsidP="002774FF">
      <w:pPr>
        <w:numPr>
          <w:ilvl w:val="1"/>
          <w:numId w:val="500"/>
        </w:numPr>
        <w:tabs>
          <w:tab w:val="left" w:pos="2280"/>
        </w:tabs>
        <w:ind w:left="2280" w:hanging="365"/>
        <w:rPr>
          <w:rFonts w:eastAsia="Times New Roman"/>
          <w:sz w:val="24"/>
          <w:szCs w:val="24"/>
        </w:rPr>
      </w:pPr>
      <w:r w:rsidRPr="00764311">
        <w:rPr>
          <w:rFonts w:eastAsia="Times New Roman"/>
          <w:sz w:val="24"/>
          <w:szCs w:val="24"/>
        </w:rPr>
        <w:t>Reporting and Recordkeeping violations under 310 CMR 22.05.</w:t>
      </w:r>
    </w:p>
    <w:p w14:paraId="281A0DA1" w14:textId="77777777" w:rsidR="004647B9" w:rsidRPr="00764311" w:rsidRDefault="00E2436F" w:rsidP="002774FF">
      <w:pPr>
        <w:numPr>
          <w:ilvl w:val="0"/>
          <w:numId w:val="501"/>
        </w:numPr>
        <w:tabs>
          <w:tab w:val="left" w:pos="2020"/>
        </w:tabs>
        <w:ind w:left="2020" w:hanging="465"/>
        <w:rPr>
          <w:rFonts w:eastAsia="Times New Roman"/>
          <w:sz w:val="24"/>
          <w:szCs w:val="24"/>
        </w:rPr>
      </w:pPr>
      <w:r w:rsidRPr="00764311">
        <w:rPr>
          <w:rFonts w:eastAsia="Times New Roman"/>
          <w:sz w:val="24"/>
          <w:szCs w:val="24"/>
          <w:u w:val="single"/>
        </w:rPr>
        <w:t>Timeframe Required for Tier 3 Notification</w:t>
      </w:r>
      <w:r w:rsidRPr="00764311">
        <w:rPr>
          <w:rFonts w:eastAsia="Times New Roman"/>
          <w:sz w:val="24"/>
          <w:szCs w:val="24"/>
        </w:rPr>
        <w:t>.</w:t>
      </w:r>
    </w:p>
    <w:p w14:paraId="281A0DA3" w14:textId="77777777" w:rsidR="004647B9" w:rsidRPr="00764311" w:rsidRDefault="00E2436F" w:rsidP="002774FF">
      <w:pPr>
        <w:numPr>
          <w:ilvl w:val="1"/>
          <w:numId w:val="501"/>
        </w:numPr>
        <w:tabs>
          <w:tab w:val="left" w:pos="2280"/>
        </w:tabs>
        <w:ind w:left="2280" w:hanging="365"/>
        <w:jc w:val="both"/>
        <w:rPr>
          <w:rFonts w:eastAsia="Times New Roman"/>
          <w:sz w:val="24"/>
          <w:szCs w:val="24"/>
        </w:rPr>
      </w:pPr>
      <w:r w:rsidRPr="00764311">
        <w:rPr>
          <w:rFonts w:eastAsia="Times New Roman"/>
          <w:sz w:val="24"/>
          <w:szCs w:val="24"/>
        </w:rPr>
        <w:t>a. Unless otherwise determined by the Department, each supplier of water shall provide the public notice not later than one year after the public water system learns of the violation or situation or begins operating under a variance or exempti</w:t>
      </w:r>
      <w:r w:rsidRPr="00764311" w:rsidDel="007B206E">
        <w:rPr>
          <w:rFonts w:eastAsia="Times New Roman"/>
          <w:sz w:val="24"/>
          <w:szCs w:val="24"/>
        </w:rPr>
        <w:t>on.</w:t>
      </w:r>
    </w:p>
    <w:p w14:paraId="281A0DA4" w14:textId="77777777" w:rsidR="004647B9" w:rsidRPr="00764311" w:rsidRDefault="00E2436F" w:rsidP="002774FF">
      <w:pPr>
        <w:ind w:left="2280"/>
        <w:rPr>
          <w:rFonts w:eastAsia="Times New Roman"/>
          <w:sz w:val="24"/>
          <w:szCs w:val="24"/>
        </w:rPr>
      </w:pPr>
      <w:r w:rsidRPr="00764311">
        <w:rPr>
          <w:rFonts w:eastAsia="Times New Roman"/>
          <w:sz w:val="24"/>
          <w:szCs w:val="24"/>
        </w:rPr>
        <w:t>b. Following the initial notice, the supplier shall repeat the notice annually for as long as the violation, variance, exemption, or other situation persists.</w:t>
      </w:r>
    </w:p>
    <w:p w14:paraId="281A0DA5" w14:textId="77777777" w:rsidR="004647B9" w:rsidRDefault="004647B9" w:rsidP="002774FF">
      <w:pPr>
        <w:sectPr w:rsidR="004647B9" w:rsidSect="00EF630C">
          <w:pgSz w:w="12240" w:h="20180"/>
          <w:pgMar w:top="708" w:right="1440" w:bottom="1440" w:left="600" w:header="0" w:footer="0" w:gutter="0"/>
          <w:cols w:space="720"/>
        </w:sectPr>
      </w:pPr>
    </w:p>
    <w:p w14:paraId="281A0DA6" w14:textId="77777777" w:rsidR="004647B9" w:rsidRDefault="00E2436F">
      <w:pPr>
        <w:tabs>
          <w:tab w:val="left" w:pos="160"/>
        </w:tabs>
        <w:jc w:val="center"/>
        <w:rPr>
          <w:sz w:val="20"/>
          <w:szCs w:val="20"/>
        </w:rPr>
      </w:pPr>
      <w:bookmarkStart w:id="188" w:name="page190"/>
      <w:bookmarkEnd w:id="18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DA7" w14:textId="77777777" w:rsidR="004647B9" w:rsidRDefault="004647B9" w:rsidP="002774FF">
      <w:pPr>
        <w:rPr>
          <w:sz w:val="20"/>
          <w:szCs w:val="20"/>
        </w:rPr>
      </w:pPr>
    </w:p>
    <w:p w14:paraId="281A0DA8" w14:textId="77777777" w:rsidR="004647B9" w:rsidRDefault="004647B9" w:rsidP="002774FF">
      <w:pPr>
        <w:rPr>
          <w:sz w:val="20"/>
          <w:szCs w:val="20"/>
        </w:rPr>
      </w:pPr>
    </w:p>
    <w:p w14:paraId="281A0DA9" w14:textId="77777777" w:rsidR="004647B9" w:rsidRPr="00764311" w:rsidRDefault="00E2436F" w:rsidP="002774FF">
      <w:pPr>
        <w:tabs>
          <w:tab w:val="left" w:pos="760"/>
        </w:tabs>
        <w:rPr>
          <w:sz w:val="24"/>
          <w:szCs w:val="24"/>
        </w:rPr>
      </w:pPr>
      <w:r w:rsidRPr="00764311">
        <w:rPr>
          <w:rFonts w:eastAsia="Times New Roman"/>
          <w:sz w:val="24"/>
          <w:szCs w:val="24"/>
        </w:rPr>
        <w:t>22.16:</w:t>
      </w:r>
      <w:r w:rsidRPr="00764311">
        <w:rPr>
          <w:rFonts w:eastAsia="Times New Roman"/>
          <w:sz w:val="24"/>
          <w:szCs w:val="24"/>
        </w:rPr>
        <w:tab/>
        <w:t>continued</w:t>
      </w:r>
    </w:p>
    <w:p w14:paraId="281A0DAA" w14:textId="77777777" w:rsidR="004647B9" w:rsidRPr="002774FF" w:rsidRDefault="004647B9" w:rsidP="002774FF">
      <w:pPr>
        <w:rPr>
          <w:sz w:val="20"/>
          <w:szCs w:val="20"/>
        </w:rPr>
      </w:pPr>
    </w:p>
    <w:p w14:paraId="281A0DAB" w14:textId="77777777" w:rsidR="004647B9" w:rsidRPr="00764311" w:rsidRDefault="00E2436F" w:rsidP="002774FF">
      <w:pPr>
        <w:numPr>
          <w:ilvl w:val="3"/>
          <w:numId w:val="502"/>
        </w:numPr>
        <w:tabs>
          <w:tab w:val="left" w:pos="2634"/>
        </w:tabs>
        <w:ind w:left="2280" w:hanging="5"/>
        <w:jc w:val="both"/>
        <w:rPr>
          <w:rFonts w:eastAsia="Times New Roman"/>
          <w:sz w:val="24"/>
          <w:szCs w:val="24"/>
        </w:rPr>
      </w:pPr>
      <w:r w:rsidRPr="00764311">
        <w:rPr>
          <w:rFonts w:eastAsia="Times New Roman"/>
          <w:sz w:val="24"/>
          <w:szCs w:val="24"/>
        </w:rPr>
        <w:t>If the public notice is posted, the notice shall remain in place for as long as the violation, variance, exemption, or other situation persists, but in no case less than seven days (even if the violation or situation is resolved).</w:t>
      </w:r>
    </w:p>
    <w:p w14:paraId="281A0DAC" w14:textId="77777777" w:rsidR="004647B9" w:rsidRPr="00764311" w:rsidRDefault="00E2436F" w:rsidP="002774FF">
      <w:pPr>
        <w:numPr>
          <w:ilvl w:val="2"/>
          <w:numId w:val="503"/>
        </w:numPr>
        <w:tabs>
          <w:tab w:val="left" w:pos="2268"/>
        </w:tabs>
        <w:ind w:left="1920" w:hanging="5"/>
        <w:jc w:val="both"/>
        <w:rPr>
          <w:rFonts w:eastAsia="Times New Roman"/>
          <w:sz w:val="24"/>
          <w:szCs w:val="24"/>
        </w:rPr>
      </w:pPr>
      <w:r w:rsidRPr="00764311">
        <w:rPr>
          <w:rFonts w:eastAsia="Times New Roman"/>
          <w:sz w:val="24"/>
          <w:szCs w:val="24"/>
        </w:rPr>
        <w:t>If approved by the Department under 310 CMR 22.16(4)(b)1., instead of individual Tier 3 public notices, a supplier of water may use an annual report detailing all violations and situations that occurred during the previous 12 months, as long as the timing requirements of 310 CMR 22.16(4)(b)1. are met and the format is approved by the Department.</w:t>
      </w:r>
    </w:p>
    <w:p w14:paraId="281A0DAE" w14:textId="77777777" w:rsidR="004647B9" w:rsidRPr="00764311" w:rsidRDefault="00E2436F" w:rsidP="002774FF">
      <w:pPr>
        <w:numPr>
          <w:ilvl w:val="1"/>
          <w:numId w:val="504"/>
        </w:numPr>
        <w:tabs>
          <w:tab w:val="left" w:pos="2040"/>
        </w:tabs>
        <w:ind w:left="1560" w:hanging="5"/>
        <w:jc w:val="both"/>
        <w:rPr>
          <w:rFonts w:eastAsia="Times New Roman"/>
          <w:sz w:val="24"/>
          <w:szCs w:val="24"/>
        </w:rPr>
      </w:pPr>
      <w:r w:rsidRPr="00764311">
        <w:rPr>
          <w:rFonts w:eastAsia="Times New Roman"/>
          <w:sz w:val="24"/>
          <w:szCs w:val="24"/>
          <w:u w:val="single"/>
        </w:rPr>
        <w:t>Form and Manner of Public Notice</w:t>
      </w:r>
      <w:r w:rsidRPr="00764311">
        <w:rPr>
          <w:rFonts w:eastAsia="Times New Roman"/>
          <w:sz w:val="24"/>
          <w:szCs w:val="24"/>
        </w:rPr>
        <w:t>. Each supplier of water who is required to give Tier 3 notice shall provide the initial public notice and any repeat notices in a form and manner that is reasonably calculated to reach Persons served in the required time period. The form and manner of the public notice may vary based on the specific situation and type of water system, but it shall at a minimum meet the following requirements:</w:t>
      </w:r>
    </w:p>
    <w:p w14:paraId="281A0DB0" w14:textId="77777777" w:rsidR="004647B9" w:rsidRPr="00764311" w:rsidRDefault="00E2436F" w:rsidP="002774FF">
      <w:pPr>
        <w:numPr>
          <w:ilvl w:val="2"/>
          <w:numId w:val="504"/>
        </w:numPr>
        <w:tabs>
          <w:tab w:val="left" w:pos="2280"/>
        </w:tabs>
        <w:ind w:left="1920" w:hanging="5"/>
        <w:rPr>
          <w:rFonts w:eastAsia="Times New Roman"/>
          <w:sz w:val="24"/>
          <w:szCs w:val="24"/>
        </w:rPr>
      </w:pPr>
      <w:r w:rsidRPr="00764311">
        <w:rPr>
          <w:rFonts w:eastAsia="Times New Roman"/>
          <w:sz w:val="24"/>
          <w:szCs w:val="24"/>
        </w:rPr>
        <w:t>Unless directed otherwise by the Department in writing, community water systems shall provide notice by:</w:t>
      </w:r>
    </w:p>
    <w:p w14:paraId="281A0DB2" w14:textId="77777777" w:rsidR="004647B9" w:rsidRPr="00764311" w:rsidRDefault="00E2436F" w:rsidP="002774FF">
      <w:pPr>
        <w:numPr>
          <w:ilvl w:val="3"/>
          <w:numId w:val="504"/>
        </w:numPr>
        <w:tabs>
          <w:tab w:val="left" w:pos="2583"/>
        </w:tabs>
        <w:ind w:left="2280" w:hanging="5"/>
        <w:rPr>
          <w:rFonts w:eastAsia="Times New Roman"/>
          <w:sz w:val="24"/>
          <w:szCs w:val="24"/>
        </w:rPr>
      </w:pPr>
      <w:r w:rsidRPr="00764311">
        <w:rPr>
          <w:rFonts w:eastAsia="Times New Roman"/>
          <w:sz w:val="24"/>
          <w:szCs w:val="24"/>
        </w:rPr>
        <w:t>Mail or other direct delivery to each customer receiving a bill and to other service connections to which water is delivered by the public water system; and</w:t>
      </w:r>
    </w:p>
    <w:p w14:paraId="281A0DB4" w14:textId="77777777" w:rsidR="004647B9" w:rsidRPr="00764311" w:rsidRDefault="00E2436F" w:rsidP="002774FF">
      <w:pPr>
        <w:numPr>
          <w:ilvl w:val="3"/>
          <w:numId w:val="504"/>
        </w:numPr>
        <w:tabs>
          <w:tab w:val="left" w:pos="2626"/>
        </w:tabs>
        <w:ind w:left="2280" w:hanging="5"/>
        <w:jc w:val="both"/>
        <w:rPr>
          <w:rFonts w:eastAsia="Times New Roman"/>
          <w:sz w:val="24"/>
          <w:szCs w:val="24"/>
        </w:rPr>
      </w:pPr>
      <w:r w:rsidRPr="00764311">
        <w:rPr>
          <w:rFonts w:eastAsia="Times New Roman"/>
          <w:sz w:val="24"/>
          <w:szCs w:val="24"/>
        </w:rPr>
        <w:t>Any other method reasonably calculated to reach other Persons regularly served by the system, if they would not normally be reached by the notice required in 310 CMR 22.16(4)(c)1.a. Other Persons may include those who do not pay water bills or do not have service connection addresses (</w:t>
      </w:r>
      <w:r w:rsidRPr="00764311">
        <w:rPr>
          <w:rFonts w:eastAsia="Times New Roman"/>
          <w:i/>
          <w:iCs/>
          <w:sz w:val="24"/>
          <w:szCs w:val="24"/>
        </w:rPr>
        <w:t>e.g</w:t>
      </w:r>
      <w:r w:rsidRPr="00764311">
        <w:rPr>
          <w:rFonts w:eastAsia="Times New Roman"/>
          <w:sz w:val="24"/>
          <w:szCs w:val="24"/>
        </w:rPr>
        <w:t xml:space="preserve">., house renters, apartment dwellers, university students, nursing home patients, prison inmates, </w:t>
      </w:r>
      <w:r w:rsidRPr="00764311">
        <w:rPr>
          <w:rFonts w:eastAsia="Times New Roman"/>
          <w:i/>
          <w:iCs/>
          <w:sz w:val="24"/>
          <w:szCs w:val="24"/>
        </w:rPr>
        <w:t>etc</w:t>
      </w:r>
      <w:r w:rsidRPr="00764311">
        <w:rPr>
          <w:rFonts w:eastAsia="Times New Roman"/>
          <w:sz w:val="24"/>
          <w:szCs w:val="24"/>
        </w:rPr>
        <w:t>.). Other methods may include: Publication in a local newspaper; delivery of multiple copies for distribution by customers that provide their drinking water to others (</w:t>
      </w:r>
      <w:r w:rsidRPr="00764311">
        <w:rPr>
          <w:rFonts w:eastAsia="Times New Roman"/>
          <w:i/>
          <w:iCs/>
          <w:sz w:val="24"/>
          <w:szCs w:val="24"/>
        </w:rPr>
        <w:t>e.g</w:t>
      </w:r>
      <w:r w:rsidRPr="00764311">
        <w:rPr>
          <w:rFonts w:eastAsia="Times New Roman"/>
          <w:sz w:val="24"/>
          <w:szCs w:val="24"/>
        </w:rPr>
        <w:t>., apartment building owners or large private employers); posting in public places served by the system or on the Internet; or delivery to community organizations.</w:t>
      </w:r>
    </w:p>
    <w:p w14:paraId="281A0DB6" w14:textId="77777777" w:rsidR="004647B9" w:rsidRPr="00764311" w:rsidRDefault="00E2436F" w:rsidP="002774FF">
      <w:pPr>
        <w:numPr>
          <w:ilvl w:val="2"/>
          <w:numId w:val="504"/>
        </w:numPr>
        <w:tabs>
          <w:tab w:val="left" w:pos="2330"/>
        </w:tabs>
        <w:ind w:left="1920" w:hanging="5"/>
        <w:rPr>
          <w:rFonts w:eastAsia="Times New Roman"/>
          <w:sz w:val="24"/>
          <w:szCs w:val="24"/>
        </w:rPr>
      </w:pPr>
      <w:r w:rsidRPr="00764311">
        <w:rPr>
          <w:rFonts w:eastAsia="Times New Roman"/>
          <w:sz w:val="24"/>
          <w:szCs w:val="24"/>
        </w:rPr>
        <w:t>Unless directed otherwise by the Department in writing, the owner/operator of a non-community water system shall provide notice by:</w:t>
      </w:r>
    </w:p>
    <w:p w14:paraId="281A0DB8" w14:textId="77777777" w:rsidR="004647B9" w:rsidRPr="00764311" w:rsidRDefault="00E2436F" w:rsidP="002774FF">
      <w:pPr>
        <w:numPr>
          <w:ilvl w:val="3"/>
          <w:numId w:val="504"/>
        </w:numPr>
        <w:tabs>
          <w:tab w:val="left" w:pos="2648"/>
        </w:tabs>
        <w:ind w:left="2280" w:hanging="5"/>
        <w:jc w:val="both"/>
        <w:rPr>
          <w:rFonts w:eastAsia="Times New Roman"/>
          <w:sz w:val="24"/>
          <w:szCs w:val="24"/>
        </w:rPr>
      </w:pPr>
      <w:r w:rsidRPr="00764311">
        <w:rPr>
          <w:rFonts w:eastAsia="Times New Roman"/>
          <w:sz w:val="24"/>
          <w:szCs w:val="24"/>
        </w:rPr>
        <w:t>Posting the notice in conspicuous locations throughout the distribution system frequented by Persons served by the system, or by mail or direct delivery to each customer and service connection (where known); and</w:t>
      </w:r>
    </w:p>
    <w:p w14:paraId="281A0DBA" w14:textId="77777777" w:rsidR="004647B9" w:rsidRPr="00764311" w:rsidRDefault="00E2436F" w:rsidP="002774FF">
      <w:pPr>
        <w:numPr>
          <w:ilvl w:val="3"/>
          <w:numId w:val="504"/>
        </w:numPr>
        <w:tabs>
          <w:tab w:val="left" w:pos="2676"/>
        </w:tabs>
        <w:ind w:left="2280" w:hanging="5"/>
        <w:jc w:val="both"/>
        <w:rPr>
          <w:rFonts w:eastAsia="Times New Roman"/>
          <w:sz w:val="24"/>
          <w:szCs w:val="24"/>
        </w:rPr>
      </w:pPr>
      <w:r w:rsidRPr="00764311">
        <w:rPr>
          <w:rFonts w:eastAsia="Times New Roman"/>
          <w:sz w:val="24"/>
          <w:szCs w:val="24"/>
        </w:rPr>
        <w:t>Any other method reasonably calculated to reach other Persons served by the system if they would not normally be reached by the notice required in 310 CMR 22.16(4)(c)2.a. Other Persons may include those served who may not see a posted notice because the posted notice is not in a location they routinely pass by. Other methods may include: Publication in a local newspaper or newsletter distributed to customers; use of E-mail to notify employees or students; or, delivery of multiple copies in central locations (</w:t>
      </w:r>
      <w:r w:rsidRPr="00764311">
        <w:rPr>
          <w:rFonts w:eastAsia="Times New Roman"/>
          <w:i/>
          <w:iCs/>
          <w:sz w:val="24"/>
          <w:szCs w:val="24"/>
        </w:rPr>
        <w:t>e.g</w:t>
      </w:r>
      <w:r w:rsidRPr="00764311">
        <w:rPr>
          <w:rFonts w:eastAsia="Times New Roman"/>
          <w:sz w:val="24"/>
          <w:szCs w:val="24"/>
        </w:rPr>
        <w:t>., community centers).</w:t>
      </w:r>
    </w:p>
    <w:p w14:paraId="281A0DBC" w14:textId="77777777" w:rsidR="004647B9" w:rsidRPr="00764311" w:rsidRDefault="00E2436F" w:rsidP="002774FF">
      <w:pPr>
        <w:numPr>
          <w:ilvl w:val="1"/>
          <w:numId w:val="504"/>
        </w:numPr>
        <w:tabs>
          <w:tab w:val="left" w:pos="1969"/>
        </w:tabs>
        <w:ind w:left="1560" w:hanging="5"/>
        <w:jc w:val="both"/>
        <w:rPr>
          <w:rFonts w:eastAsia="Times New Roman"/>
          <w:sz w:val="24"/>
          <w:szCs w:val="24"/>
        </w:rPr>
      </w:pPr>
      <w:r w:rsidRPr="00764311">
        <w:rPr>
          <w:rFonts w:eastAsia="Times New Roman"/>
          <w:sz w:val="24"/>
          <w:szCs w:val="24"/>
        </w:rPr>
        <w:t>If approved by the Department, the supplier of water may use the Consumer Confidence Report (CCR) required under 310 CMR 22.16A as a vehicle for the initial Tier 3 public notice and all required repeat notices, as long as:</w:t>
      </w:r>
    </w:p>
    <w:p w14:paraId="281A0DBE" w14:textId="77777777" w:rsidR="004647B9" w:rsidRPr="00764311" w:rsidRDefault="00E2436F" w:rsidP="002774FF">
      <w:pPr>
        <w:numPr>
          <w:ilvl w:val="2"/>
          <w:numId w:val="504"/>
        </w:numPr>
        <w:tabs>
          <w:tab w:val="left" w:pos="2323"/>
        </w:tabs>
        <w:ind w:left="1920" w:hanging="5"/>
        <w:rPr>
          <w:rFonts w:eastAsia="Times New Roman"/>
          <w:sz w:val="24"/>
          <w:szCs w:val="24"/>
        </w:rPr>
      </w:pPr>
      <w:r w:rsidRPr="00764311">
        <w:rPr>
          <w:rFonts w:eastAsia="Times New Roman"/>
          <w:sz w:val="24"/>
          <w:szCs w:val="24"/>
        </w:rPr>
        <w:t>The CCR is provided to Persons served no later than 12 months after the system learns of the violation or situation as required under 310 CMR 22.16(4)(b);</w:t>
      </w:r>
    </w:p>
    <w:p w14:paraId="281A0DC0" w14:textId="63B6A912" w:rsidR="004647B9" w:rsidRPr="00764311" w:rsidRDefault="00E2436F" w:rsidP="002774FF">
      <w:pPr>
        <w:numPr>
          <w:ilvl w:val="2"/>
          <w:numId w:val="504"/>
        </w:numPr>
        <w:tabs>
          <w:tab w:val="left" w:pos="2340"/>
        </w:tabs>
        <w:ind w:left="1915"/>
        <w:rPr>
          <w:rFonts w:eastAsia="Times New Roman"/>
          <w:sz w:val="24"/>
          <w:szCs w:val="24"/>
        </w:rPr>
      </w:pPr>
      <w:r w:rsidRPr="00764311">
        <w:rPr>
          <w:rFonts w:eastAsia="Times New Roman"/>
          <w:sz w:val="24"/>
          <w:szCs w:val="24"/>
        </w:rPr>
        <w:t>The Tier 3 notice contained in the CCR follows the content requirements under</w:t>
      </w:r>
      <w:r w:rsidR="002774FF">
        <w:rPr>
          <w:rFonts w:eastAsia="Times New Roman"/>
          <w:sz w:val="24"/>
          <w:szCs w:val="24"/>
        </w:rPr>
        <w:t xml:space="preserve"> 310 CMR 22.16(5); and</w:t>
      </w:r>
    </w:p>
    <w:p w14:paraId="281A0DC4" w14:textId="77777777" w:rsidR="004647B9" w:rsidRPr="00764311" w:rsidRDefault="00E2436F" w:rsidP="002774FF">
      <w:pPr>
        <w:numPr>
          <w:ilvl w:val="2"/>
          <w:numId w:val="506"/>
        </w:numPr>
        <w:tabs>
          <w:tab w:val="left" w:pos="2410"/>
        </w:tabs>
        <w:ind w:left="1920" w:hanging="5"/>
        <w:rPr>
          <w:rFonts w:eastAsia="Times New Roman"/>
          <w:sz w:val="24"/>
          <w:szCs w:val="24"/>
        </w:rPr>
      </w:pPr>
      <w:r w:rsidRPr="00764311">
        <w:rPr>
          <w:rFonts w:eastAsia="Times New Roman"/>
          <w:sz w:val="24"/>
          <w:szCs w:val="24"/>
        </w:rPr>
        <w:t>The CCR is distributed following the delivery requirements under 310 CMR 22.16(4)(c)1.</w:t>
      </w:r>
    </w:p>
    <w:p w14:paraId="281A0DC5" w14:textId="77777777" w:rsidR="004647B9" w:rsidRPr="00764311" w:rsidRDefault="004647B9" w:rsidP="002774FF">
      <w:pPr>
        <w:rPr>
          <w:rFonts w:eastAsia="Times New Roman"/>
          <w:sz w:val="24"/>
          <w:szCs w:val="24"/>
        </w:rPr>
      </w:pPr>
    </w:p>
    <w:p w14:paraId="281A0DC6" w14:textId="77777777" w:rsidR="004647B9" w:rsidRPr="00764311" w:rsidRDefault="00E2436F" w:rsidP="002774FF">
      <w:pPr>
        <w:numPr>
          <w:ilvl w:val="0"/>
          <w:numId w:val="507"/>
        </w:numPr>
        <w:tabs>
          <w:tab w:val="left" w:pos="1660"/>
        </w:tabs>
        <w:ind w:left="1660" w:hanging="460"/>
        <w:rPr>
          <w:rFonts w:eastAsia="Times New Roman"/>
          <w:sz w:val="24"/>
          <w:szCs w:val="24"/>
        </w:rPr>
      </w:pPr>
      <w:r w:rsidRPr="00764311">
        <w:rPr>
          <w:rFonts w:eastAsia="Times New Roman"/>
          <w:sz w:val="24"/>
          <w:szCs w:val="24"/>
          <w:u w:val="single"/>
        </w:rPr>
        <w:t>Public Notice Content</w:t>
      </w:r>
      <w:r w:rsidRPr="00764311">
        <w:rPr>
          <w:rFonts w:eastAsia="Times New Roman"/>
          <w:sz w:val="24"/>
          <w:szCs w:val="24"/>
        </w:rPr>
        <w:t>.</w:t>
      </w:r>
    </w:p>
    <w:p w14:paraId="281A0DC8" w14:textId="77777777" w:rsidR="004647B9" w:rsidRPr="00764311" w:rsidRDefault="00E2436F" w:rsidP="002774FF">
      <w:pPr>
        <w:numPr>
          <w:ilvl w:val="1"/>
          <w:numId w:val="507"/>
        </w:numPr>
        <w:tabs>
          <w:tab w:val="left" w:pos="2006"/>
        </w:tabs>
        <w:ind w:left="1560" w:hanging="5"/>
        <w:rPr>
          <w:rFonts w:eastAsia="Times New Roman"/>
          <w:sz w:val="24"/>
          <w:szCs w:val="24"/>
        </w:rPr>
      </w:pPr>
      <w:r w:rsidRPr="00764311">
        <w:rPr>
          <w:rFonts w:eastAsia="Times New Roman"/>
          <w:sz w:val="24"/>
          <w:szCs w:val="24"/>
        </w:rPr>
        <w:t>When a Supplier of Water violates 310 CMR 22.00 or has a situation requiring public notification, each public notice shall include the following elements:</w:t>
      </w:r>
    </w:p>
    <w:p w14:paraId="281A0DCA" w14:textId="77777777" w:rsidR="004647B9" w:rsidRPr="00764311" w:rsidRDefault="00E2436F" w:rsidP="002774FF">
      <w:pPr>
        <w:numPr>
          <w:ilvl w:val="2"/>
          <w:numId w:val="507"/>
        </w:numPr>
        <w:tabs>
          <w:tab w:val="left" w:pos="2260"/>
        </w:tabs>
        <w:ind w:left="1915"/>
        <w:rPr>
          <w:rFonts w:eastAsia="Times New Roman"/>
          <w:sz w:val="24"/>
          <w:szCs w:val="24"/>
        </w:rPr>
      </w:pPr>
      <w:r w:rsidRPr="00764311">
        <w:rPr>
          <w:rFonts w:eastAsia="Times New Roman"/>
          <w:sz w:val="24"/>
          <w:szCs w:val="24"/>
        </w:rPr>
        <w:t>Public Water System name, Public Water System identification number (PWSID#);</w:t>
      </w:r>
    </w:p>
    <w:p w14:paraId="281A0DCC" w14:textId="77777777" w:rsidR="004647B9" w:rsidRPr="00764311" w:rsidRDefault="00E2436F" w:rsidP="002774FF">
      <w:pPr>
        <w:numPr>
          <w:ilvl w:val="2"/>
          <w:numId w:val="507"/>
        </w:numPr>
        <w:tabs>
          <w:tab w:val="left" w:pos="2273"/>
        </w:tabs>
        <w:ind w:left="1920" w:hanging="5"/>
        <w:rPr>
          <w:rFonts w:eastAsia="Times New Roman"/>
          <w:sz w:val="24"/>
          <w:szCs w:val="24"/>
        </w:rPr>
      </w:pPr>
      <w:r w:rsidRPr="00764311">
        <w:rPr>
          <w:rFonts w:eastAsia="Times New Roman"/>
          <w:sz w:val="24"/>
          <w:szCs w:val="24"/>
        </w:rPr>
        <w:t>A description of the violation or situation, including the contaminant(s) of concern, and (as applicable) the contaminant level(s);</w:t>
      </w:r>
    </w:p>
    <w:p w14:paraId="281A0DCE" w14:textId="77777777" w:rsidR="004647B9" w:rsidRPr="00764311" w:rsidRDefault="00E2436F" w:rsidP="002774FF">
      <w:pPr>
        <w:numPr>
          <w:ilvl w:val="2"/>
          <w:numId w:val="507"/>
        </w:numPr>
        <w:tabs>
          <w:tab w:val="left" w:pos="2280"/>
        </w:tabs>
        <w:ind w:left="2280" w:hanging="365"/>
        <w:rPr>
          <w:rFonts w:eastAsia="Times New Roman"/>
          <w:sz w:val="24"/>
          <w:szCs w:val="24"/>
        </w:rPr>
      </w:pPr>
      <w:r w:rsidRPr="00764311">
        <w:rPr>
          <w:rFonts w:eastAsia="Times New Roman"/>
          <w:sz w:val="24"/>
          <w:szCs w:val="24"/>
        </w:rPr>
        <w:t>When the violation or situation occurred;</w:t>
      </w:r>
    </w:p>
    <w:p w14:paraId="281A0DD0" w14:textId="77777777" w:rsidR="004647B9" w:rsidRPr="00764311" w:rsidRDefault="00E2436F" w:rsidP="002774FF">
      <w:pPr>
        <w:numPr>
          <w:ilvl w:val="2"/>
          <w:numId w:val="507"/>
        </w:numPr>
        <w:tabs>
          <w:tab w:val="left" w:pos="2316"/>
        </w:tabs>
        <w:ind w:left="1920" w:hanging="5"/>
        <w:rPr>
          <w:rFonts w:eastAsia="Times New Roman"/>
          <w:sz w:val="24"/>
          <w:szCs w:val="24"/>
        </w:rPr>
      </w:pPr>
      <w:r w:rsidRPr="00764311">
        <w:rPr>
          <w:rFonts w:eastAsia="Times New Roman"/>
          <w:sz w:val="24"/>
          <w:szCs w:val="24"/>
        </w:rPr>
        <w:t>Any potential adverse health effects from the violation or situation, including the standard language under 310 CMR 22.16(5)(d)1. or 2., whichever is applicable;</w:t>
      </w:r>
    </w:p>
    <w:p w14:paraId="281A0DD2" w14:textId="77777777" w:rsidR="004647B9" w:rsidRPr="00764311" w:rsidRDefault="00E2436F" w:rsidP="002774FF">
      <w:pPr>
        <w:numPr>
          <w:ilvl w:val="2"/>
          <w:numId w:val="507"/>
        </w:numPr>
        <w:tabs>
          <w:tab w:val="left" w:pos="2280"/>
        </w:tabs>
        <w:ind w:left="1920" w:hanging="5"/>
        <w:rPr>
          <w:rFonts w:eastAsia="Times New Roman"/>
          <w:sz w:val="24"/>
          <w:szCs w:val="24"/>
        </w:rPr>
      </w:pPr>
      <w:r w:rsidRPr="00764311">
        <w:rPr>
          <w:rFonts w:eastAsia="Times New Roman"/>
          <w:sz w:val="24"/>
          <w:szCs w:val="24"/>
        </w:rPr>
        <w:t>The population at risk, including subpopulations particularly vulnerable if exposed to the contaminant in their drinking water;</w:t>
      </w:r>
    </w:p>
    <w:p w14:paraId="281A0DD3" w14:textId="77777777" w:rsidR="004647B9" w:rsidRDefault="004647B9" w:rsidP="002774FF">
      <w:pPr>
        <w:sectPr w:rsidR="004647B9" w:rsidSect="00EF630C">
          <w:pgSz w:w="12240" w:h="20180"/>
          <w:pgMar w:top="708" w:right="1440" w:bottom="1440" w:left="600" w:header="0" w:footer="0" w:gutter="0"/>
          <w:cols w:space="720"/>
        </w:sectPr>
      </w:pPr>
    </w:p>
    <w:p w14:paraId="281A0DD4" w14:textId="77777777" w:rsidR="004647B9" w:rsidRDefault="00E2436F">
      <w:pPr>
        <w:tabs>
          <w:tab w:val="left" w:pos="160"/>
        </w:tabs>
        <w:jc w:val="center"/>
        <w:rPr>
          <w:sz w:val="20"/>
          <w:szCs w:val="20"/>
        </w:rPr>
      </w:pPr>
      <w:bookmarkStart w:id="189" w:name="page191"/>
      <w:bookmarkEnd w:id="18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DD5" w14:textId="77777777" w:rsidR="004647B9" w:rsidRDefault="004647B9" w:rsidP="002774FF">
      <w:pPr>
        <w:rPr>
          <w:sz w:val="20"/>
          <w:szCs w:val="20"/>
        </w:rPr>
      </w:pPr>
    </w:p>
    <w:p w14:paraId="281A0DD6" w14:textId="77777777" w:rsidR="004647B9" w:rsidRDefault="004647B9" w:rsidP="002774FF">
      <w:pPr>
        <w:rPr>
          <w:sz w:val="20"/>
          <w:szCs w:val="20"/>
        </w:rPr>
      </w:pPr>
    </w:p>
    <w:p w14:paraId="281A0DD7" w14:textId="77777777" w:rsidR="004647B9" w:rsidRPr="002774FF" w:rsidRDefault="00E2436F" w:rsidP="002774FF">
      <w:pPr>
        <w:tabs>
          <w:tab w:val="left" w:pos="760"/>
        </w:tabs>
        <w:rPr>
          <w:sz w:val="24"/>
          <w:szCs w:val="24"/>
        </w:rPr>
      </w:pPr>
      <w:r w:rsidRPr="002774FF">
        <w:rPr>
          <w:rFonts w:eastAsia="Times New Roman"/>
          <w:sz w:val="24"/>
          <w:szCs w:val="24"/>
        </w:rPr>
        <w:t>22.16:</w:t>
      </w:r>
      <w:r w:rsidRPr="002774FF">
        <w:rPr>
          <w:rFonts w:eastAsia="Times New Roman"/>
          <w:sz w:val="24"/>
          <w:szCs w:val="24"/>
        </w:rPr>
        <w:tab/>
        <w:t>continued</w:t>
      </w:r>
    </w:p>
    <w:p w14:paraId="281A0DD8" w14:textId="77777777" w:rsidR="004647B9" w:rsidRDefault="004647B9" w:rsidP="002774FF">
      <w:pPr>
        <w:rPr>
          <w:sz w:val="20"/>
          <w:szCs w:val="20"/>
        </w:rPr>
      </w:pPr>
    </w:p>
    <w:p w14:paraId="281A0DD9" w14:textId="77777777" w:rsidR="004647B9" w:rsidRDefault="00E2436F" w:rsidP="002774FF">
      <w:pPr>
        <w:numPr>
          <w:ilvl w:val="1"/>
          <w:numId w:val="508"/>
        </w:numPr>
        <w:tabs>
          <w:tab w:val="left" w:pos="2280"/>
        </w:tabs>
        <w:ind w:left="2280" w:hanging="365"/>
        <w:rPr>
          <w:rFonts w:eastAsia="Times New Roman"/>
          <w:sz w:val="24"/>
          <w:szCs w:val="24"/>
        </w:rPr>
      </w:pPr>
      <w:r>
        <w:rPr>
          <w:rFonts w:eastAsia="Times New Roman"/>
          <w:sz w:val="24"/>
          <w:szCs w:val="24"/>
        </w:rPr>
        <w:t>Whether alternative water supplies should be used;</w:t>
      </w:r>
    </w:p>
    <w:p w14:paraId="281A0DDB" w14:textId="77777777" w:rsidR="004647B9" w:rsidRDefault="00E2436F" w:rsidP="002774FF">
      <w:pPr>
        <w:numPr>
          <w:ilvl w:val="1"/>
          <w:numId w:val="508"/>
        </w:numPr>
        <w:tabs>
          <w:tab w:val="left" w:pos="2237"/>
        </w:tabs>
        <w:ind w:left="1920" w:hanging="5"/>
        <w:rPr>
          <w:rFonts w:eastAsia="Times New Roman"/>
          <w:sz w:val="24"/>
          <w:szCs w:val="24"/>
        </w:rPr>
      </w:pPr>
      <w:r>
        <w:rPr>
          <w:rFonts w:eastAsia="Times New Roman"/>
          <w:sz w:val="24"/>
          <w:szCs w:val="24"/>
        </w:rPr>
        <w:t>What actions consumers should take, including when they should seek medical help, if known;</w:t>
      </w:r>
    </w:p>
    <w:p w14:paraId="281A0DDD" w14:textId="77777777" w:rsidR="004647B9" w:rsidRDefault="00E2436F" w:rsidP="002774FF">
      <w:pPr>
        <w:numPr>
          <w:ilvl w:val="1"/>
          <w:numId w:val="508"/>
        </w:numPr>
        <w:tabs>
          <w:tab w:val="left" w:pos="2280"/>
        </w:tabs>
        <w:ind w:left="2280" w:hanging="365"/>
        <w:rPr>
          <w:rFonts w:eastAsia="Times New Roman"/>
          <w:sz w:val="24"/>
          <w:szCs w:val="24"/>
        </w:rPr>
      </w:pPr>
      <w:r>
        <w:rPr>
          <w:rFonts w:eastAsia="Times New Roman"/>
          <w:sz w:val="24"/>
          <w:szCs w:val="24"/>
        </w:rPr>
        <w:t>What the system is doing to correct the violation or situation;</w:t>
      </w:r>
    </w:p>
    <w:p w14:paraId="281A0DDF" w14:textId="77777777" w:rsidR="004647B9" w:rsidRDefault="00E2436F" w:rsidP="002774FF">
      <w:pPr>
        <w:numPr>
          <w:ilvl w:val="1"/>
          <w:numId w:val="508"/>
        </w:numPr>
        <w:tabs>
          <w:tab w:val="left" w:pos="2280"/>
        </w:tabs>
        <w:ind w:left="2280" w:hanging="365"/>
        <w:rPr>
          <w:rFonts w:eastAsia="Times New Roman"/>
          <w:sz w:val="24"/>
          <w:szCs w:val="24"/>
        </w:rPr>
      </w:pPr>
      <w:r>
        <w:rPr>
          <w:rFonts w:eastAsia="Times New Roman"/>
          <w:sz w:val="24"/>
          <w:szCs w:val="24"/>
        </w:rPr>
        <w:t>When the water system expects to return to compliance or resolve the situation;</w:t>
      </w:r>
    </w:p>
    <w:p w14:paraId="281A0DE1" w14:textId="77777777" w:rsidR="004647B9" w:rsidRDefault="00E2436F" w:rsidP="002774FF">
      <w:pPr>
        <w:numPr>
          <w:ilvl w:val="1"/>
          <w:numId w:val="509"/>
        </w:numPr>
        <w:tabs>
          <w:tab w:val="left" w:pos="2285"/>
        </w:tabs>
        <w:ind w:left="1920" w:hanging="5"/>
        <w:jc w:val="both"/>
        <w:rPr>
          <w:rFonts w:eastAsia="Times New Roman"/>
          <w:sz w:val="24"/>
          <w:szCs w:val="24"/>
        </w:rPr>
      </w:pPr>
      <w:r>
        <w:rPr>
          <w:rFonts w:eastAsia="Times New Roman"/>
          <w:sz w:val="24"/>
          <w:szCs w:val="24"/>
        </w:rPr>
        <w:t>The name, business address, and phone number of the water system owner, operator, or designee of the Public Water System as a source of additional information concerning the notice; and</w:t>
      </w:r>
    </w:p>
    <w:p w14:paraId="281A0DE3" w14:textId="77777777" w:rsidR="004647B9" w:rsidRDefault="00E2436F" w:rsidP="002774FF">
      <w:pPr>
        <w:numPr>
          <w:ilvl w:val="1"/>
          <w:numId w:val="510"/>
        </w:numPr>
        <w:tabs>
          <w:tab w:val="left" w:pos="2359"/>
        </w:tabs>
        <w:ind w:left="1920" w:hanging="5"/>
        <w:jc w:val="both"/>
        <w:rPr>
          <w:rFonts w:eastAsia="Times New Roman"/>
          <w:sz w:val="24"/>
          <w:szCs w:val="24"/>
        </w:rPr>
      </w:pPr>
      <w:r>
        <w:rPr>
          <w:rFonts w:eastAsia="Times New Roman"/>
          <w:sz w:val="24"/>
          <w:szCs w:val="24"/>
        </w:rPr>
        <w:t>A statement to encourage the notice recipient to distribute the public notice to other Persons served, using the standard language under 310 CMR 22.16(5)(d)3., where applicable.</w:t>
      </w:r>
    </w:p>
    <w:p w14:paraId="281A0DE5" w14:textId="77777777" w:rsidR="004647B9" w:rsidRDefault="00E2436F" w:rsidP="002774FF">
      <w:pPr>
        <w:numPr>
          <w:ilvl w:val="0"/>
          <w:numId w:val="511"/>
        </w:numPr>
        <w:tabs>
          <w:tab w:val="left" w:pos="2020"/>
        </w:tabs>
        <w:ind w:left="2020" w:hanging="465"/>
        <w:rPr>
          <w:rFonts w:eastAsia="Times New Roman"/>
          <w:sz w:val="24"/>
          <w:szCs w:val="24"/>
        </w:rPr>
      </w:pPr>
      <w:r>
        <w:rPr>
          <w:rFonts w:eastAsia="Times New Roman"/>
          <w:sz w:val="24"/>
          <w:szCs w:val="24"/>
          <w:u w:val="single"/>
        </w:rPr>
        <w:t>Public Notice Requirements for Systems Operating under a Variance or Exemption</w:t>
      </w:r>
      <w:r>
        <w:rPr>
          <w:rFonts w:eastAsia="Times New Roman"/>
          <w:sz w:val="24"/>
          <w:szCs w:val="24"/>
        </w:rPr>
        <w:t>.</w:t>
      </w:r>
    </w:p>
    <w:p w14:paraId="281A0DE7" w14:textId="77777777" w:rsidR="004647B9" w:rsidRDefault="00E2436F" w:rsidP="002774FF">
      <w:pPr>
        <w:numPr>
          <w:ilvl w:val="1"/>
          <w:numId w:val="511"/>
        </w:numPr>
        <w:tabs>
          <w:tab w:val="left" w:pos="2244"/>
        </w:tabs>
        <w:ind w:left="1920" w:hanging="5"/>
        <w:rPr>
          <w:rFonts w:eastAsia="Times New Roman"/>
          <w:sz w:val="24"/>
          <w:szCs w:val="24"/>
        </w:rPr>
      </w:pPr>
      <w:r>
        <w:rPr>
          <w:rFonts w:eastAsia="Times New Roman"/>
          <w:sz w:val="24"/>
          <w:szCs w:val="24"/>
        </w:rPr>
        <w:t>If a Supplier of Water has been granted a variance or an exemption, the public notice shall contain:</w:t>
      </w:r>
    </w:p>
    <w:p w14:paraId="281A0DE9" w14:textId="77777777" w:rsidR="004647B9" w:rsidRDefault="00E2436F" w:rsidP="002774FF">
      <w:pPr>
        <w:numPr>
          <w:ilvl w:val="2"/>
          <w:numId w:val="511"/>
        </w:numPr>
        <w:tabs>
          <w:tab w:val="left" w:pos="2620"/>
        </w:tabs>
        <w:ind w:left="2620" w:hanging="345"/>
        <w:rPr>
          <w:rFonts w:eastAsia="Times New Roman"/>
          <w:sz w:val="24"/>
          <w:szCs w:val="24"/>
        </w:rPr>
      </w:pPr>
      <w:r>
        <w:rPr>
          <w:rFonts w:eastAsia="Times New Roman"/>
          <w:sz w:val="24"/>
          <w:szCs w:val="24"/>
        </w:rPr>
        <w:t>An explanation of the reasons for the variance or exemption;</w:t>
      </w:r>
    </w:p>
    <w:p w14:paraId="281A0DEB" w14:textId="77777777" w:rsidR="004647B9" w:rsidRDefault="00E2436F" w:rsidP="002774FF">
      <w:pPr>
        <w:numPr>
          <w:ilvl w:val="2"/>
          <w:numId w:val="511"/>
        </w:numPr>
        <w:tabs>
          <w:tab w:val="left" w:pos="2640"/>
        </w:tabs>
        <w:ind w:left="2640" w:hanging="365"/>
        <w:rPr>
          <w:rFonts w:eastAsia="Times New Roman"/>
          <w:sz w:val="24"/>
          <w:szCs w:val="24"/>
        </w:rPr>
      </w:pPr>
      <w:r>
        <w:rPr>
          <w:rFonts w:eastAsia="Times New Roman"/>
          <w:sz w:val="24"/>
          <w:szCs w:val="24"/>
        </w:rPr>
        <w:t>The date on which the variance or exemption was issued;</w:t>
      </w:r>
    </w:p>
    <w:p w14:paraId="281A0DED" w14:textId="77777777" w:rsidR="004647B9" w:rsidRDefault="00E2436F" w:rsidP="002774FF">
      <w:pPr>
        <w:numPr>
          <w:ilvl w:val="2"/>
          <w:numId w:val="511"/>
        </w:numPr>
        <w:tabs>
          <w:tab w:val="left" w:pos="2648"/>
        </w:tabs>
        <w:ind w:left="2280" w:hanging="5"/>
        <w:jc w:val="both"/>
        <w:rPr>
          <w:rFonts w:eastAsia="Times New Roman"/>
          <w:sz w:val="24"/>
          <w:szCs w:val="24"/>
        </w:rPr>
      </w:pPr>
      <w:r>
        <w:rPr>
          <w:rFonts w:eastAsia="Times New Roman"/>
          <w:sz w:val="24"/>
          <w:szCs w:val="24"/>
        </w:rPr>
        <w:t>A brief status report on the steps the system is taking to install treatment, find alternative sources of water, or otherwise comply with the terms and schedules of the variance or exemption; and</w:t>
      </w:r>
    </w:p>
    <w:p w14:paraId="281A0DEF" w14:textId="77777777" w:rsidR="004647B9" w:rsidRDefault="00E2436F" w:rsidP="002774FF">
      <w:pPr>
        <w:numPr>
          <w:ilvl w:val="2"/>
          <w:numId w:val="511"/>
        </w:numPr>
        <w:tabs>
          <w:tab w:val="left" w:pos="2690"/>
        </w:tabs>
        <w:ind w:left="2280" w:hanging="5"/>
        <w:rPr>
          <w:rFonts w:eastAsia="Times New Roman"/>
          <w:sz w:val="24"/>
          <w:szCs w:val="24"/>
        </w:rPr>
      </w:pPr>
      <w:r>
        <w:rPr>
          <w:rFonts w:eastAsia="Times New Roman"/>
          <w:sz w:val="24"/>
          <w:szCs w:val="24"/>
        </w:rPr>
        <w:t>A notice of any opportunity for public input in the review of the variance or exemption.</w:t>
      </w:r>
    </w:p>
    <w:p w14:paraId="281A0DF1" w14:textId="77777777" w:rsidR="004647B9" w:rsidRDefault="00E2436F" w:rsidP="002774FF">
      <w:pPr>
        <w:numPr>
          <w:ilvl w:val="1"/>
          <w:numId w:val="511"/>
        </w:numPr>
        <w:tabs>
          <w:tab w:val="left" w:pos="2266"/>
        </w:tabs>
        <w:ind w:left="1920" w:hanging="5"/>
        <w:rPr>
          <w:rFonts w:eastAsia="Times New Roman"/>
          <w:sz w:val="24"/>
          <w:szCs w:val="24"/>
        </w:rPr>
      </w:pPr>
      <w:r>
        <w:rPr>
          <w:rFonts w:eastAsia="Times New Roman"/>
          <w:sz w:val="24"/>
          <w:szCs w:val="24"/>
        </w:rPr>
        <w:t>If a Supplier of Water violates the conditions of a variance or exemption, the public notice shall contain the 11 elements listed in 310 CMR 22.16(5)(a).</w:t>
      </w:r>
    </w:p>
    <w:p w14:paraId="281A0DF3" w14:textId="77777777" w:rsidR="004647B9" w:rsidRDefault="00E2436F" w:rsidP="002774FF">
      <w:pPr>
        <w:numPr>
          <w:ilvl w:val="0"/>
          <w:numId w:val="511"/>
        </w:numPr>
        <w:tabs>
          <w:tab w:val="left" w:pos="2000"/>
        </w:tabs>
        <w:ind w:left="2000" w:hanging="445"/>
        <w:rPr>
          <w:rFonts w:eastAsia="Times New Roman"/>
          <w:sz w:val="24"/>
          <w:szCs w:val="24"/>
        </w:rPr>
      </w:pPr>
      <w:r>
        <w:rPr>
          <w:rFonts w:eastAsia="Times New Roman"/>
          <w:sz w:val="24"/>
          <w:szCs w:val="24"/>
          <w:u w:val="single"/>
        </w:rPr>
        <w:t>Public Notice Presentation</w:t>
      </w:r>
      <w:r>
        <w:rPr>
          <w:rFonts w:eastAsia="Times New Roman"/>
          <w:sz w:val="24"/>
          <w:szCs w:val="24"/>
        </w:rPr>
        <w:t>.</w:t>
      </w:r>
    </w:p>
    <w:p w14:paraId="281A0DF5" w14:textId="77777777" w:rsidR="004647B9" w:rsidRDefault="00E2436F" w:rsidP="002774FF">
      <w:pPr>
        <w:numPr>
          <w:ilvl w:val="1"/>
          <w:numId w:val="511"/>
        </w:numPr>
        <w:tabs>
          <w:tab w:val="left" w:pos="2280"/>
        </w:tabs>
        <w:ind w:left="2280" w:hanging="365"/>
        <w:rPr>
          <w:rFonts w:eastAsia="Times New Roman"/>
          <w:sz w:val="24"/>
          <w:szCs w:val="24"/>
        </w:rPr>
      </w:pPr>
      <w:r>
        <w:rPr>
          <w:rFonts w:eastAsia="Times New Roman"/>
          <w:sz w:val="24"/>
          <w:szCs w:val="24"/>
        </w:rPr>
        <w:t>Each public notice required by 310 CMR 22.16(5):</w:t>
      </w:r>
    </w:p>
    <w:p w14:paraId="281A0DF7" w14:textId="77777777" w:rsidR="004647B9" w:rsidRDefault="00E2436F" w:rsidP="002774FF">
      <w:pPr>
        <w:numPr>
          <w:ilvl w:val="2"/>
          <w:numId w:val="511"/>
        </w:numPr>
        <w:tabs>
          <w:tab w:val="left" w:pos="2620"/>
        </w:tabs>
        <w:ind w:left="2620" w:hanging="345"/>
        <w:rPr>
          <w:rFonts w:eastAsia="Times New Roman"/>
          <w:sz w:val="24"/>
          <w:szCs w:val="24"/>
        </w:rPr>
      </w:pPr>
      <w:r>
        <w:rPr>
          <w:rFonts w:eastAsia="Times New Roman"/>
          <w:sz w:val="24"/>
          <w:szCs w:val="24"/>
        </w:rPr>
        <w:t>Shall be displayed in a conspicuous way when printed or posted;</w:t>
      </w:r>
    </w:p>
    <w:p w14:paraId="281A0DF9" w14:textId="77777777" w:rsidR="004647B9" w:rsidRDefault="00E2436F" w:rsidP="002774FF">
      <w:pPr>
        <w:numPr>
          <w:ilvl w:val="2"/>
          <w:numId w:val="511"/>
        </w:numPr>
        <w:tabs>
          <w:tab w:val="left" w:pos="2640"/>
        </w:tabs>
        <w:ind w:left="2640" w:hanging="365"/>
        <w:rPr>
          <w:rFonts w:eastAsia="Times New Roman"/>
          <w:sz w:val="24"/>
          <w:szCs w:val="24"/>
        </w:rPr>
      </w:pPr>
      <w:r>
        <w:rPr>
          <w:rFonts w:eastAsia="Times New Roman"/>
          <w:sz w:val="24"/>
          <w:szCs w:val="24"/>
        </w:rPr>
        <w:t>Shall not contain overly technical language or very small print;</w:t>
      </w:r>
    </w:p>
    <w:p w14:paraId="281A0DFB" w14:textId="77777777" w:rsidR="004647B9" w:rsidRDefault="00E2436F" w:rsidP="002774FF">
      <w:pPr>
        <w:numPr>
          <w:ilvl w:val="2"/>
          <w:numId w:val="511"/>
        </w:numPr>
        <w:tabs>
          <w:tab w:val="left" w:pos="2620"/>
        </w:tabs>
        <w:ind w:left="2620" w:hanging="345"/>
        <w:rPr>
          <w:rFonts w:eastAsia="Times New Roman"/>
          <w:sz w:val="24"/>
          <w:szCs w:val="24"/>
        </w:rPr>
      </w:pPr>
      <w:r>
        <w:rPr>
          <w:rFonts w:eastAsia="Times New Roman"/>
          <w:sz w:val="24"/>
          <w:szCs w:val="24"/>
        </w:rPr>
        <w:t>Shall not be formatted in a way that defeats the purpose of the notice;</w:t>
      </w:r>
    </w:p>
    <w:p w14:paraId="281A0DFD" w14:textId="77777777" w:rsidR="004647B9" w:rsidRDefault="00E2436F" w:rsidP="002774FF">
      <w:pPr>
        <w:numPr>
          <w:ilvl w:val="2"/>
          <w:numId w:val="511"/>
        </w:numPr>
        <w:tabs>
          <w:tab w:val="left" w:pos="2640"/>
        </w:tabs>
        <w:ind w:left="2640" w:hanging="365"/>
        <w:rPr>
          <w:rFonts w:eastAsia="Times New Roman"/>
          <w:sz w:val="24"/>
          <w:szCs w:val="24"/>
        </w:rPr>
      </w:pPr>
      <w:r>
        <w:rPr>
          <w:rFonts w:eastAsia="Times New Roman"/>
          <w:sz w:val="24"/>
          <w:szCs w:val="24"/>
        </w:rPr>
        <w:t>Shall not contain language which nullifies the purpose of the notice.</w:t>
      </w:r>
    </w:p>
    <w:p w14:paraId="281A0E01" w14:textId="388437E2" w:rsidR="004647B9" w:rsidRPr="00707AE9" w:rsidRDefault="00E2436F" w:rsidP="002774FF">
      <w:pPr>
        <w:numPr>
          <w:ilvl w:val="1"/>
          <w:numId w:val="511"/>
        </w:numPr>
        <w:tabs>
          <w:tab w:val="left" w:pos="2280"/>
        </w:tabs>
        <w:ind w:left="1915"/>
        <w:rPr>
          <w:rFonts w:eastAsia="Times New Roman"/>
          <w:sz w:val="24"/>
          <w:szCs w:val="24"/>
        </w:rPr>
      </w:pPr>
      <w:r w:rsidRPr="00707AE9">
        <w:rPr>
          <w:rFonts w:eastAsia="Times New Roman"/>
          <w:sz w:val="24"/>
          <w:szCs w:val="24"/>
          <w:u w:val="single"/>
        </w:rPr>
        <w:t>Multilingual Requirements</w:t>
      </w:r>
      <w:r w:rsidRPr="00707AE9">
        <w:rPr>
          <w:rFonts w:eastAsia="Times New Roman"/>
          <w:sz w:val="24"/>
          <w:szCs w:val="24"/>
        </w:rPr>
        <w:t>.</w:t>
      </w:r>
      <w:r w:rsidR="001F70DA">
        <w:rPr>
          <w:rFonts w:eastAsia="Times New Roman"/>
          <w:sz w:val="24"/>
          <w:szCs w:val="24"/>
        </w:rPr>
        <w:t xml:space="preserve"> </w:t>
      </w:r>
      <w:r w:rsidR="00CA6E91">
        <w:rPr>
          <w:rFonts w:eastAsia="Times New Roman"/>
          <w:sz w:val="24"/>
          <w:szCs w:val="24"/>
        </w:rPr>
        <w:t>For</w:t>
      </w:r>
      <w:r w:rsidR="00A174E7" w:rsidRPr="00707AE9">
        <w:rPr>
          <w:sz w:val="24"/>
          <w:szCs w:val="24"/>
        </w:rPr>
        <w:t xml:space="preserve"> any </w:t>
      </w:r>
      <w:r w:rsidR="00EF208F">
        <w:rPr>
          <w:sz w:val="24"/>
          <w:szCs w:val="24"/>
        </w:rPr>
        <w:t>Public Water System</w:t>
      </w:r>
      <w:r w:rsidR="00A174E7" w:rsidRPr="00707AE9">
        <w:rPr>
          <w:sz w:val="24"/>
          <w:szCs w:val="24"/>
        </w:rPr>
        <w:t xml:space="preserve"> where </w:t>
      </w:r>
      <w:r w:rsidR="00EF208F">
        <w:rPr>
          <w:sz w:val="24"/>
          <w:szCs w:val="24"/>
        </w:rPr>
        <w:t>such</w:t>
      </w:r>
      <w:r w:rsidR="00A174E7" w:rsidRPr="00707AE9">
        <w:rPr>
          <w:sz w:val="24"/>
          <w:szCs w:val="24"/>
        </w:rPr>
        <w:t xml:space="preserve"> Supplier of Water’s consumers </w:t>
      </w:r>
      <w:r w:rsidR="00EF208F">
        <w:rPr>
          <w:sz w:val="24"/>
          <w:szCs w:val="24"/>
        </w:rPr>
        <w:t>reside in any census tract with</w:t>
      </w:r>
      <w:r w:rsidR="00A174E7" w:rsidRPr="00707AE9">
        <w:rPr>
          <w:sz w:val="24"/>
          <w:szCs w:val="24"/>
        </w:rPr>
        <w:t xml:space="preserve"> a minimum of either 5% or 1000 residents who </w:t>
      </w:r>
      <w:r w:rsidR="006610EF">
        <w:rPr>
          <w:sz w:val="24"/>
          <w:szCs w:val="24"/>
        </w:rPr>
        <w:t xml:space="preserve">lack English </w:t>
      </w:r>
      <w:r w:rsidR="00A174E7" w:rsidRPr="00707AE9">
        <w:rPr>
          <w:sz w:val="24"/>
          <w:szCs w:val="24"/>
        </w:rPr>
        <w:t>language</w:t>
      </w:r>
      <w:r w:rsidR="006610EF">
        <w:rPr>
          <w:sz w:val="24"/>
          <w:szCs w:val="24"/>
        </w:rPr>
        <w:t xml:space="preserve"> proficiency</w:t>
      </w:r>
      <w:r w:rsidRPr="00707AE9">
        <w:rPr>
          <w:rFonts w:eastAsia="Times New Roman"/>
          <w:sz w:val="24"/>
          <w:szCs w:val="24"/>
        </w:rPr>
        <w:t xml:space="preserve">, the public notice shall contain information in the language(s) </w:t>
      </w:r>
      <w:r w:rsidR="00C844F6" w:rsidRPr="00707AE9">
        <w:rPr>
          <w:sz w:val="24"/>
          <w:szCs w:val="24"/>
        </w:rPr>
        <w:t xml:space="preserve">appropriate for each such group of residents </w:t>
      </w:r>
      <w:r w:rsidRPr="00707AE9">
        <w:rPr>
          <w:rFonts w:eastAsia="Times New Roman"/>
          <w:sz w:val="24"/>
          <w:szCs w:val="24"/>
        </w:rPr>
        <w:t>regarding the importance of the notice</w:t>
      </w:r>
      <w:r w:rsidR="006610EF">
        <w:rPr>
          <w:rFonts w:eastAsia="Times New Roman"/>
          <w:sz w:val="24"/>
          <w:szCs w:val="24"/>
        </w:rPr>
        <w:t xml:space="preserve"> and that it should be translated</w:t>
      </w:r>
      <w:r w:rsidR="00C844F6" w:rsidRPr="00707AE9">
        <w:rPr>
          <w:rFonts w:eastAsia="Times New Roman"/>
          <w:sz w:val="24"/>
          <w:szCs w:val="24"/>
        </w:rPr>
        <w:t>.</w:t>
      </w:r>
      <w:r w:rsidRPr="00707AE9">
        <w:rPr>
          <w:rFonts w:eastAsia="Times New Roman"/>
          <w:sz w:val="24"/>
          <w:szCs w:val="24"/>
        </w:rPr>
        <w:t xml:space="preserve"> </w:t>
      </w:r>
      <w:r w:rsidR="00060B6E" w:rsidRPr="00707AE9">
        <w:rPr>
          <w:sz w:val="24"/>
          <w:szCs w:val="24"/>
        </w:rPr>
        <w:t xml:space="preserve">If </w:t>
      </w:r>
      <w:r w:rsidR="006610EF">
        <w:rPr>
          <w:sz w:val="24"/>
          <w:szCs w:val="24"/>
        </w:rPr>
        <w:t>the service area of a Public Water System</w:t>
      </w:r>
      <w:r w:rsidR="00060B6E" w:rsidRPr="00707AE9">
        <w:rPr>
          <w:sz w:val="24"/>
          <w:szCs w:val="24"/>
        </w:rPr>
        <w:t xml:space="preserve"> includes </w:t>
      </w:r>
      <w:r w:rsidR="00B61B21">
        <w:rPr>
          <w:sz w:val="24"/>
          <w:szCs w:val="24"/>
        </w:rPr>
        <w:t xml:space="preserve">some or all of any census tract with </w:t>
      </w:r>
      <w:r w:rsidR="00060B6E" w:rsidRPr="00707AE9">
        <w:rPr>
          <w:sz w:val="24"/>
          <w:szCs w:val="24"/>
        </w:rPr>
        <w:t xml:space="preserve">a minimum of 25% </w:t>
      </w:r>
      <w:r w:rsidR="00B61B21">
        <w:rPr>
          <w:sz w:val="24"/>
          <w:szCs w:val="24"/>
        </w:rPr>
        <w:t>of</w:t>
      </w:r>
      <w:r w:rsidR="00060B6E" w:rsidRPr="00707AE9">
        <w:rPr>
          <w:sz w:val="24"/>
          <w:szCs w:val="24"/>
        </w:rPr>
        <w:t xml:space="preserve"> residents who </w:t>
      </w:r>
      <w:r w:rsidR="00B61B21">
        <w:rPr>
          <w:sz w:val="24"/>
          <w:szCs w:val="24"/>
        </w:rPr>
        <w:t>lack English</w:t>
      </w:r>
      <w:r w:rsidR="00060B6E" w:rsidRPr="00707AE9">
        <w:rPr>
          <w:sz w:val="24"/>
          <w:szCs w:val="24"/>
        </w:rPr>
        <w:t xml:space="preserve"> language</w:t>
      </w:r>
      <w:r w:rsidR="00B61B21">
        <w:rPr>
          <w:sz w:val="24"/>
          <w:szCs w:val="24"/>
        </w:rPr>
        <w:t xml:space="preserve"> proficiency</w:t>
      </w:r>
      <w:r w:rsidR="00060B6E" w:rsidRPr="00707AE9">
        <w:rPr>
          <w:sz w:val="24"/>
          <w:szCs w:val="24"/>
        </w:rPr>
        <w:t xml:space="preserve">, then the public notice shall also </w:t>
      </w:r>
      <w:r w:rsidRPr="00707AE9">
        <w:rPr>
          <w:rFonts w:eastAsia="Times New Roman"/>
          <w:sz w:val="24"/>
          <w:szCs w:val="24"/>
        </w:rPr>
        <w:t xml:space="preserve">contain </w:t>
      </w:r>
      <w:r w:rsidR="007A5868" w:rsidRPr="00707AE9">
        <w:rPr>
          <w:sz w:val="24"/>
          <w:szCs w:val="24"/>
        </w:rPr>
        <w:t>a statement in the appropriate language(s) for each such group of residents which includes</w:t>
      </w:r>
      <w:r w:rsidR="007A5868" w:rsidRPr="00707AE9" w:rsidDel="000F1A87">
        <w:rPr>
          <w:rFonts w:eastAsia="Times New Roman"/>
          <w:sz w:val="24"/>
          <w:szCs w:val="24"/>
        </w:rPr>
        <w:t xml:space="preserve"> </w:t>
      </w:r>
      <w:r w:rsidRPr="00707AE9">
        <w:rPr>
          <w:rFonts w:eastAsia="Times New Roman"/>
          <w:sz w:val="24"/>
          <w:szCs w:val="24"/>
        </w:rPr>
        <w:t xml:space="preserve">a telephone number or address where </w:t>
      </w:r>
      <w:r w:rsidR="00715B04" w:rsidRPr="00707AE9">
        <w:rPr>
          <w:rFonts w:eastAsia="Times New Roman"/>
          <w:sz w:val="24"/>
          <w:szCs w:val="24"/>
        </w:rPr>
        <w:t>those residents</w:t>
      </w:r>
      <w:r w:rsidRPr="00707AE9">
        <w:rPr>
          <w:rFonts w:eastAsia="Times New Roman"/>
          <w:sz w:val="24"/>
          <w:szCs w:val="24"/>
        </w:rPr>
        <w:t xml:space="preserve"> may contact the </w:t>
      </w:r>
      <w:r w:rsidR="00715B04" w:rsidRPr="00707AE9">
        <w:rPr>
          <w:rFonts w:eastAsia="Times New Roman"/>
          <w:sz w:val="24"/>
          <w:szCs w:val="24"/>
        </w:rPr>
        <w:t>affected Public Water System</w:t>
      </w:r>
      <w:r w:rsidRPr="00707AE9">
        <w:rPr>
          <w:rFonts w:eastAsia="Times New Roman"/>
          <w:sz w:val="24"/>
          <w:szCs w:val="24"/>
        </w:rPr>
        <w:t xml:space="preserve"> to obtain a translated copy of the </w:t>
      </w:r>
      <w:r w:rsidR="001E7433">
        <w:rPr>
          <w:rFonts w:eastAsia="Times New Roman"/>
          <w:sz w:val="24"/>
          <w:szCs w:val="24"/>
        </w:rPr>
        <w:t xml:space="preserve">public </w:t>
      </w:r>
      <w:r w:rsidRPr="00707AE9">
        <w:rPr>
          <w:rFonts w:eastAsia="Times New Roman"/>
          <w:sz w:val="24"/>
          <w:szCs w:val="24"/>
        </w:rPr>
        <w:t>notice or assistance in the appropriate language</w:t>
      </w:r>
      <w:r w:rsidR="008A270F" w:rsidRPr="00707AE9">
        <w:rPr>
          <w:rFonts w:eastAsia="Times New Roman"/>
          <w:sz w:val="24"/>
          <w:szCs w:val="24"/>
        </w:rPr>
        <w:t>(s)</w:t>
      </w:r>
      <w:r w:rsidRPr="00707AE9">
        <w:rPr>
          <w:rFonts w:eastAsia="Times New Roman"/>
          <w:sz w:val="24"/>
          <w:szCs w:val="24"/>
        </w:rPr>
        <w:t>.</w:t>
      </w:r>
    </w:p>
    <w:p w14:paraId="281A0E05" w14:textId="77777777" w:rsidR="004647B9" w:rsidRPr="00764311" w:rsidRDefault="00E2436F" w:rsidP="002774FF">
      <w:pPr>
        <w:numPr>
          <w:ilvl w:val="0"/>
          <w:numId w:val="511"/>
        </w:numPr>
        <w:tabs>
          <w:tab w:val="left" w:pos="2020"/>
        </w:tabs>
        <w:ind w:left="2020" w:hanging="465"/>
        <w:rPr>
          <w:rFonts w:eastAsia="Times New Roman"/>
          <w:sz w:val="24"/>
          <w:szCs w:val="24"/>
        </w:rPr>
      </w:pPr>
      <w:r w:rsidRPr="00764311">
        <w:rPr>
          <w:rFonts w:eastAsia="Times New Roman"/>
          <w:sz w:val="24"/>
          <w:szCs w:val="24"/>
          <w:u w:val="single"/>
        </w:rPr>
        <w:t>Standard Language</w:t>
      </w:r>
      <w:r w:rsidRPr="00764311">
        <w:rPr>
          <w:rFonts w:eastAsia="Times New Roman"/>
          <w:sz w:val="24"/>
          <w:szCs w:val="24"/>
        </w:rPr>
        <w:t>.</w:t>
      </w:r>
    </w:p>
    <w:p w14:paraId="281A0E07" w14:textId="24314D7E" w:rsidR="004647B9" w:rsidRPr="00764311" w:rsidRDefault="00E2436F" w:rsidP="002774FF">
      <w:pPr>
        <w:numPr>
          <w:ilvl w:val="1"/>
          <w:numId w:val="511"/>
        </w:numPr>
        <w:tabs>
          <w:tab w:val="left" w:pos="2213"/>
        </w:tabs>
        <w:ind w:left="1920" w:hanging="5"/>
        <w:jc w:val="both"/>
        <w:rPr>
          <w:rFonts w:eastAsia="Times New Roman"/>
          <w:sz w:val="24"/>
          <w:szCs w:val="24"/>
        </w:rPr>
      </w:pPr>
      <w:r w:rsidRPr="00764311">
        <w:rPr>
          <w:rFonts w:eastAsia="Times New Roman"/>
          <w:sz w:val="24"/>
          <w:szCs w:val="24"/>
        </w:rPr>
        <w:t>Standard health effects language for MCL or MRDL violations, Treatment Technique violations, and violations of the condition of a variance or exemption. Each Supplier of Water shall include in each public notice the health effects language specified in</w:t>
      </w:r>
      <w:r w:rsidR="006B1D99">
        <w:rPr>
          <w:rFonts w:eastAsia="Times New Roman"/>
          <w:sz w:val="24"/>
          <w:szCs w:val="24"/>
        </w:rPr>
        <w:t xml:space="preserve"> 310 </w:t>
      </w:r>
      <w:r w:rsidR="006B1D99" w:rsidRPr="00764311">
        <w:rPr>
          <w:rFonts w:eastAsia="Times New Roman"/>
          <w:sz w:val="24"/>
          <w:szCs w:val="24"/>
        </w:rPr>
        <w:t xml:space="preserve">CMR 22.16: </w:t>
      </w:r>
      <w:r w:rsidR="006B1D99" w:rsidRPr="00764311">
        <w:rPr>
          <w:rFonts w:eastAsia="Times New Roman"/>
          <w:i/>
          <w:iCs/>
          <w:sz w:val="24"/>
          <w:szCs w:val="24"/>
        </w:rPr>
        <w:t>Table 7</w:t>
      </w:r>
      <w:r w:rsidR="006B1D99" w:rsidRPr="00764311">
        <w:rPr>
          <w:rFonts w:eastAsia="Times New Roman"/>
          <w:sz w:val="24"/>
          <w:szCs w:val="24"/>
        </w:rPr>
        <w:t xml:space="preserve"> of corresponding to each MCL, MRDL, and Treatment Technique violation listed in 310 CMR 22.16: </w:t>
      </w:r>
      <w:r w:rsidR="006B1D99" w:rsidRPr="00764311">
        <w:rPr>
          <w:rFonts w:eastAsia="Times New Roman"/>
          <w:i/>
          <w:iCs/>
          <w:sz w:val="24"/>
          <w:szCs w:val="24"/>
        </w:rPr>
        <w:t>Table 6</w:t>
      </w:r>
      <w:r w:rsidR="006B1D99" w:rsidRPr="00764311">
        <w:rPr>
          <w:rFonts w:eastAsia="Times New Roman"/>
          <w:sz w:val="24"/>
          <w:szCs w:val="24"/>
        </w:rPr>
        <w:t>, and for each violation of a condition of a variance or exemption</w:t>
      </w:r>
      <w:r w:rsidR="00031948">
        <w:rPr>
          <w:rFonts w:eastAsia="Times New Roman"/>
          <w:sz w:val="24"/>
          <w:szCs w:val="24"/>
        </w:rPr>
        <w:t>.</w:t>
      </w:r>
    </w:p>
    <w:p w14:paraId="281A0E0A" w14:textId="4F7CEB77" w:rsidR="004647B9" w:rsidRPr="00764311" w:rsidRDefault="00E2436F" w:rsidP="002774FF">
      <w:pPr>
        <w:numPr>
          <w:ilvl w:val="1"/>
          <w:numId w:val="513"/>
        </w:numPr>
        <w:tabs>
          <w:tab w:val="left" w:pos="2287"/>
        </w:tabs>
        <w:ind w:left="1920" w:hanging="5"/>
        <w:jc w:val="both"/>
        <w:rPr>
          <w:rFonts w:eastAsia="Times New Roman"/>
          <w:sz w:val="24"/>
          <w:szCs w:val="24"/>
        </w:rPr>
      </w:pPr>
      <w:r w:rsidRPr="00764311">
        <w:rPr>
          <w:rFonts w:eastAsia="Times New Roman"/>
          <w:sz w:val="24"/>
          <w:szCs w:val="24"/>
        </w:rPr>
        <w:t>Standard language for monitoring and testing procedure violations. Each Supplier of Water shall include the following language in their notice, including the language necessary to fill in the blanks, for all monitoring testing procedure violations listed in</w:t>
      </w:r>
      <w:r w:rsidR="00031948">
        <w:rPr>
          <w:rFonts w:eastAsia="Times New Roman"/>
          <w:sz w:val="24"/>
          <w:szCs w:val="24"/>
        </w:rPr>
        <w:t xml:space="preserve"> 310 CMR 22.16: </w:t>
      </w:r>
      <w:r w:rsidR="00031948" w:rsidRPr="00031948">
        <w:rPr>
          <w:rFonts w:eastAsia="Times New Roman"/>
          <w:i/>
          <w:iCs/>
          <w:sz w:val="24"/>
          <w:szCs w:val="24"/>
        </w:rPr>
        <w:t>Table 6</w:t>
      </w:r>
      <w:r w:rsidR="00031948">
        <w:rPr>
          <w:rFonts w:eastAsia="Times New Roman"/>
          <w:sz w:val="24"/>
          <w:szCs w:val="24"/>
        </w:rPr>
        <w:t>:</w:t>
      </w:r>
    </w:p>
    <w:p w14:paraId="281A0E0E" w14:textId="77777777" w:rsidR="004647B9" w:rsidRPr="00764311" w:rsidRDefault="00E2436F" w:rsidP="00031948">
      <w:pPr>
        <w:ind w:left="2275" w:right="360"/>
        <w:jc w:val="both"/>
        <w:rPr>
          <w:rFonts w:eastAsia="Times New Roman"/>
          <w:sz w:val="24"/>
          <w:szCs w:val="24"/>
        </w:rPr>
      </w:pPr>
      <w:r w:rsidRPr="00764311">
        <w:rPr>
          <w:rFonts w:eastAsia="Times New Roman"/>
          <w:sz w:val="24"/>
          <w:szCs w:val="24"/>
        </w:rPr>
        <w:t>"We are required to monitor your drinking water for specific contaminants on a regular basis. Results of regular monitoring are an indicator of whether or not your drinking water meets health standards. During [compliance period],</w:t>
      </w:r>
      <w:r w:rsidRPr="00764311" w:rsidDel="007B206E">
        <w:rPr>
          <w:rFonts w:eastAsia="Times New Roman"/>
          <w:sz w:val="24"/>
          <w:szCs w:val="24"/>
        </w:rPr>
        <w:t xml:space="preserve"> </w:t>
      </w:r>
      <w:r w:rsidRPr="00764311">
        <w:rPr>
          <w:rFonts w:eastAsia="Times New Roman"/>
          <w:sz w:val="24"/>
          <w:szCs w:val="24"/>
        </w:rPr>
        <w:t>we "did not monitor or test" or "did not complete all monitoring or testing" for [contaminant(s)], and therefore cannot be sure of the quality of your drinking water during that time."</w:t>
      </w:r>
    </w:p>
    <w:p w14:paraId="281A0E0F" w14:textId="77777777" w:rsidR="004647B9" w:rsidRDefault="004647B9" w:rsidP="002774FF">
      <w:pPr>
        <w:sectPr w:rsidR="004647B9" w:rsidSect="00EF630C">
          <w:pgSz w:w="12240" w:h="20180"/>
          <w:pgMar w:top="708" w:right="1440" w:bottom="1440" w:left="600" w:header="0" w:footer="0" w:gutter="0"/>
          <w:cols w:space="720"/>
        </w:sectPr>
      </w:pPr>
    </w:p>
    <w:p w14:paraId="281A0E10" w14:textId="77777777" w:rsidR="004647B9" w:rsidRDefault="00E2436F">
      <w:pPr>
        <w:tabs>
          <w:tab w:val="left" w:pos="160"/>
        </w:tabs>
        <w:jc w:val="center"/>
        <w:rPr>
          <w:sz w:val="20"/>
          <w:szCs w:val="20"/>
        </w:rPr>
      </w:pPr>
      <w:bookmarkStart w:id="190" w:name="page192"/>
      <w:bookmarkEnd w:id="19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E11" w14:textId="77777777" w:rsidR="004647B9" w:rsidRDefault="004647B9" w:rsidP="00346E17">
      <w:pPr>
        <w:rPr>
          <w:sz w:val="20"/>
          <w:szCs w:val="20"/>
        </w:rPr>
      </w:pPr>
    </w:p>
    <w:p w14:paraId="281A0E12" w14:textId="77777777" w:rsidR="004647B9" w:rsidRPr="00346E17" w:rsidRDefault="004647B9" w:rsidP="00346E17">
      <w:pPr>
        <w:rPr>
          <w:sz w:val="20"/>
          <w:szCs w:val="20"/>
        </w:rPr>
      </w:pPr>
    </w:p>
    <w:p w14:paraId="281A0E13" w14:textId="77777777" w:rsidR="004647B9" w:rsidRPr="00764311" w:rsidRDefault="00E2436F" w:rsidP="00346E17">
      <w:pPr>
        <w:tabs>
          <w:tab w:val="left" w:pos="760"/>
        </w:tabs>
        <w:rPr>
          <w:sz w:val="24"/>
          <w:szCs w:val="24"/>
        </w:rPr>
      </w:pPr>
      <w:r w:rsidRPr="00764311">
        <w:rPr>
          <w:rFonts w:eastAsia="Times New Roman"/>
          <w:sz w:val="24"/>
          <w:szCs w:val="24"/>
        </w:rPr>
        <w:t>22.16:</w:t>
      </w:r>
      <w:r w:rsidRPr="00764311">
        <w:rPr>
          <w:rFonts w:eastAsia="Times New Roman"/>
          <w:sz w:val="24"/>
          <w:szCs w:val="24"/>
        </w:rPr>
        <w:tab/>
        <w:t>continued</w:t>
      </w:r>
    </w:p>
    <w:p w14:paraId="281A0E14" w14:textId="77777777" w:rsidR="004647B9" w:rsidRPr="00346E17" w:rsidRDefault="004647B9" w:rsidP="00346E17">
      <w:pPr>
        <w:rPr>
          <w:sz w:val="20"/>
          <w:szCs w:val="20"/>
        </w:rPr>
      </w:pPr>
    </w:p>
    <w:p w14:paraId="281A0E15" w14:textId="77777777" w:rsidR="004647B9" w:rsidRPr="00764311" w:rsidRDefault="00E2436F" w:rsidP="00346E17">
      <w:pPr>
        <w:numPr>
          <w:ilvl w:val="2"/>
          <w:numId w:val="515"/>
        </w:numPr>
        <w:tabs>
          <w:tab w:val="left" w:pos="2294"/>
        </w:tabs>
        <w:ind w:left="1920" w:hanging="5"/>
        <w:jc w:val="both"/>
        <w:rPr>
          <w:rFonts w:eastAsia="Times New Roman"/>
          <w:sz w:val="24"/>
          <w:szCs w:val="24"/>
        </w:rPr>
      </w:pPr>
      <w:r w:rsidRPr="00764311">
        <w:rPr>
          <w:rFonts w:eastAsia="Times New Roman"/>
          <w:sz w:val="24"/>
          <w:szCs w:val="24"/>
        </w:rPr>
        <w:t>Standard language to encourage the distribution of the public notice to all Persons served. Each Supplier of Water shall include in their notice the following language (where applicabl</w:t>
      </w:r>
      <w:r w:rsidRPr="00764311" w:rsidDel="007B206E">
        <w:rPr>
          <w:rFonts w:eastAsia="Times New Roman"/>
          <w:sz w:val="24"/>
          <w:szCs w:val="24"/>
        </w:rPr>
        <w:t>e</w:t>
      </w:r>
      <w:r w:rsidRPr="00764311">
        <w:rPr>
          <w:rFonts w:eastAsia="Times New Roman"/>
          <w:sz w:val="24"/>
          <w:szCs w:val="24"/>
        </w:rPr>
        <w:t>):</w:t>
      </w:r>
    </w:p>
    <w:p w14:paraId="281A0E17" w14:textId="77777777" w:rsidR="004647B9" w:rsidRPr="00764311" w:rsidRDefault="00E2436F" w:rsidP="00346E17">
      <w:pPr>
        <w:ind w:left="2280" w:right="360"/>
        <w:jc w:val="both"/>
        <w:rPr>
          <w:rFonts w:eastAsia="Times New Roman"/>
          <w:sz w:val="24"/>
          <w:szCs w:val="24"/>
        </w:rPr>
      </w:pPr>
      <w:r w:rsidRPr="00764311">
        <w:rPr>
          <w:rFonts w:eastAsia="Times New Roman"/>
          <w:sz w:val="24"/>
          <w:szCs w:val="24"/>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281A0E18" w14:textId="77777777" w:rsidR="004647B9" w:rsidRPr="00764311" w:rsidRDefault="004647B9" w:rsidP="00346E17">
      <w:pPr>
        <w:rPr>
          <w:rFonts w:eastAsia="Times New Roman"/>
          <w:sz w:val="24"/>
          <w:szCs w:val="24"/>
        </w:rPr>
      </w:pPr>
    </w:p>
    <w:p w14:paraId="281A0E19" w14:textId="77777777" w:rsidR="004647B9" w:rsidRPr="00764311" w:rsidRDefault="00E2436F" w:rsidP="00346E17">
      <w:pPr>
        <w:numPr>
          <w:ilvl w:val="0"/>
          <w:numId w:val="516"/>
        </w:numPr>
        <w:tabs>
          <w:tab w:val="left" w:pos="1660"/>
        </w:tabs>
        <w:ind w:left="1660" w:hanging="460"/>
        <w:rPr>
          <w:rFonts w:eastAsia="Times New Roman"/>
          <w:sz w:val="24"/>
          <w:szCs w:val="24"/>
        </w:rPr>
      </w:pPr>
      <w:r w:rsidRPr="00764311">
        <w:rPr>
          <w:rFonts w:eastAsia="Times New Roman"/>
          <w:sz w:val="24"/>
          <w:szCs w:val="24"/>
          <w:u w:val="single"/>
        </w:rPr>
        <w:t>Notice to New Billing Units or New Customers</w:t>
      </w:r>
      <w:r w:rsidRPr="00764311">
        <w:rPr>
          <w:rFonts w:eastAsia="Times New Roman"/>
          <w:sz w:val="24"/>
          <w:szCs w:val="24"/>
        </w:rPr>
        <w:t>.</w:t>
      </w:r>
    </w:p>
    <w:p w14:paraId="281A0E1B" w14:textId="77777777" w:rsidR="004647B9" w:rsidRPr="00764311" w:rsidRDefault="00E2436F" w:rsidP="00346E17">
      <w:pPr>
        <w:numPr>
          <w:ilvl w:val="1"/>
          <w:numId w:val="516"/>
        </w:numPr>
        <w:tabs>
          <w:tab w:val="left" w:pos="1975"/>
        </w:tabs>
        <w:ind w:left="1560" w:hanging="5"/>
        <w:jc w:val="both"/>
        <w:rPr>
          <w:rFonts w:eastAsia="Times New Roman"/>
          <w:sz w:val="24"/>
          <w:szCs w:val="24"/>
        </w:rPr>
      </w:pPr>
      <w:r w:rsidRPr="00764311">
        <w:rPr>
          <w:rFonts w:eastAsia="Times New Roman"/>
          <w:sz w:val="24"/>
          <w:szCs w:val="24"/>
        </w:rPr>
        <w:t>The owner/operator of a Community Water System shall give a copy of the most recent public notice for any continuing violation, the existence of a variance or exemption, or other ongoing situations requiring a public notice to all new billing units or new customers prior to or at the time service begins.</w:t>
      </w:r>
    </w:p>
    <w:p w14:paraId="281A0E1D" w14:textId="77777777" w:rsidR="004647B9" w:rsidRPr="00764311" w:rsidRDefault="00E2436F" w:rsidP="00346E17">
      <w:pPr>
        <w:numPr>
          <w:ilvl w:val="1"/>
          <w:numId w:val="516"/>
        </w:numPr>
        <w:tabs>
          <w:tab w:val="left" w:pos="2063"/>
        </w:tabs>
        <w:ind w:left="1560" w:hanging="5"/>
        <w:jc w:val="both"/>
        <w:rPr>
          <w:rFonts w:eastAsia="Times New Roman"/>
          <w:sz w:val="24"/>
          <w:szCs w:val="24"/>
        </w:rPr>
      </w:pPr>
      <w:r w:rsidRPr="00764311">
        <w:rPr>
          <w:rFonts w:eastAsia="Times New Roman"/>
          <w:sz w:val="24"/>
          <w:szCs w:val="24"/>
        </w:rPr>
        <w:t>The owner/operator of a Non-community Water System shall continuously post the public notice in conspicuous locations as specified by the Department in order to inform new consumers of any continuing violation, variance or exemption, or other situation requiring a public notice for as long as the violation, variance, exemption, or other situation persists.</w:t>
      </w:r>
    </w:p>
    <w:p w14:paraId="281A0E1E" w14:textId="77777777" w:rsidR="004647B9" w:rsidRPr="00764311" w:rsidRDefault="004647B9" w:rsidP="00346E17">
      <w:pPr>
        <w:rPr>
          <w:rFonts w:eastAsia="Times New Roman"/>
          <w:sz w:val="24"/>
          <w:szCs w:val="24"/>
        </w:rPr>
      </w:pPr>
    </w:p>
    <w:p w14:paraId="281A0E1F" w14:textId="77777777" w:rsidR="004647B9" w:rsidRPr="00764311" w:rsidRDefault="00E2436F" w:rsidP="00346E17">
      <w:pPr>
        <w:numPr>
          <w:ilvl w:val="0"/>
          <w:numId w:val="516"/>
        </w:numPr>
        <w:tabs>
          <w:tab w:val="left" w:pos="1660"/>
        </w:tabs>
        <w:ind w:left="1660" w:hanging="460"/>
        <w:rPr>
          <w:rFonts w:eastAsia="Times New Roman"/>
          <w:sz w:val="24"/>
          <w:szCs w:val="24"/>
        </w:rPr>
      </w:pPr>
      <w:r w:rsidRPr="00764311">
        <w:rPr>
          <w:rFonts w:eastAsia="Times New Roman"/>
          <w:sz w:val="24"/>
          <w:szCs w:val="24"/>
          <w:u w:val="single"/>
        </w:rPr>
        <w:t>Special Notice of the Availability of Unregulated Contaminant Monitoring Results</w:t>
      </w:r>
      <w:r w:rsidRPr="00764311">
        <w:rPr>
          <w:rFonts w:eastAsia="Times New Roman"/>
          <w:sz w:val="24"/>
          <w:szCs w:val="24"/>
        </w:rPr>
        <w:t>.</w:t>
      </w:r>
    </w:p>
    <w:p w14:paraId="281A0E21" w14:textId="77777777" w:rsidR="004647B9" w:rsidRPr="00764311" w:rsidRDefault="00E2436F" w:rsidP="00346E17">
      <w:pPr>
        <w:numPr>
          <w:ilvl w:val="1"/>
          <w:numId w:val="516"/>
        </w:numPr>
        <w:tabs>
          <w:tab w:val="left" w:pos="2004"/>
        </w:tabs>
        <w:ind w:left="1560" w:hanging="5"/>
        <w:jc w:val="both"/>
        <w:rPr>
          <w:rFonts w:eastAsia="Times New Roman"/>
          <w:sz w:val="24"/>
          <w:szCs w:val="24"/>
        </w:rPr>
      </w:pPr>
      <w:r w:rsidRPr="00764311">
        <w:rPr>
          <w:rFonts w:eastAsia="Times New Roman"/>
          <w:sz w:val="24"/>
          <w:szCs w:val="24"/>
        </w:rPr>
        <w:t>The owner or operator of a community water system or non-transient non-community water system required to monitor under 310 CMR 22.07C or the EPA Unregulated Contaminant Monitoring Rule shall notify Persons served by the system of the availability of the results of such sampling no later than 12 months after the monitoring results are known.</w:t>
      </w:r>
    </w:p>
    <w:p w14:paraId="281A0E23" w14:textId="77777777" w:rsidR="004647B9" w:rsidRPr="00764311" w:rsidRDefault="00E2436F" w:rsidP="00346E17">
      <w:pPr>
        <w:numPr>
          <w:ilvl w:val="1"/>
          <w:numId w:val="516"/>
        </w:numPr>
        <w:tabs>
          <w:tab w:val="left" w:pos="2034"/>
        </w:tabs>
        <w:ind w:left="1560" w:hanging="5"/>
        <w:jc w:val="both"/>
        <w:rPr>
          <w:rFonts w:eastAsia="Times New Roman"/>
          <w:sz w:val="24"/>
          <w:szCs w:val="24"/>
        </w:rPr>
      </w:pPr>
      <w:r w:rsidRPr="00764311">
        <w:rPr>
          <w:rFonts w:eastAsia="Times New Roman"/>
          <w:sz w:val="24"/>
          <w:szCs w:val="24"/>
        </w:rPr>
        <w:t>The form and manner of the public notice shall follow the requirements for a Tier 3 public notice prescribed in 310 CMR 22.16(4)(c), (d)1. and (d)3. The notice shall also identify a person and provide the telephone number to contact for information on the monitoring results.</w:t>
      </w:r>
    </w:p>
    <w:p w14:paraId="281A0E24" w14:textId="77777777" w:rsidR="004647B9" w:rsidRPr="00764311" w:rsidRDefault="004647B9" w:rsidP="00346E17">
      <w:pPr>
        <w:rPr>
          <w:rFonts w:eastAsia="Times New Roman"/>
          <w:sz w:val="24"/>
          <w:szCs w:val="24"/>
        </w:rPr>
      </w:pPr>
    </w:p>
    <w:p w14:paraId="281A0E25" w14:textId="77777777" w:rsidR="004647B9" w:rsidRPr="00764311" w:rsidRDefault="00E2436F" w:rsidP="00346E17">
      <w:pPr>
        <w:numPr>
          <w:ilvl w:val="0"/>
          <w:numId w:val="516"/>
        </w:numPr>
        <w:tabs>
          <w:tab w:val="left" w:pos="1660"/>
        </w:tabs>
        <w:ind w:left="1660" w:hanging="460"/>
        <w:rPr>
          <w:rFonts w:eastAsia="Times New Roman"/>
          <w:sz w:val="24"/>
          <w:szCs w:val="24"/>
        </w:rPr>
      </w:pPr>
      <w:r w:rsidRPr="00764311">
        <w:rPr>
          <w:rFonts w:eastAsia="Times New Roman"/>
          <w:sz w:val="24"/>
          <w:szCs w:val="24"/>
          <w:u w:val="single"/>
        </w:rPr>
        <w:t>Special Notice for Exceedance of the SMCL for Fluoride</w:t>
      </w:r>
      <w:r w:rsidRPr="00764311">
        <w:rPr>
          <w:rFonts w:eastAsia="Times New Roman"/>
          <w:sz w:val="24"/>
          <w:szCs w:val="24"/>
        </w:rPr>
        <w:t>.</w:t>
      </w:r>
    </w:p>
    <w:p w14:paraId="281A0E27" w14:textId="77777777" w:rsidR="004647B9" w:rsidRPr="00764311" w:rsidRDefault="00E2436F" w:rsidP="00346E17">
      <w:pPr>
        <w:numPr>
          <w:ilvl w:val="1"/>
          <w:numId w:val="516"/>
        </w:numPr>
        <w:tabs>
          <w:tab w:val="left" w:pos="2011"/>
        </w:tabs>
        <w:ind w:left="1560" w:hanging="5"/>
        <w:jc w:val="both"/>
        <w:rPr>
          <w:rFonts w:eastAsia="Times New Roman"/>
          <w:sz w:val="24"/>
          <w:szCs w:val="24"/>
        </w:rPr>
      </w:pPr>
      <w:r w:rsidRPr="00764311">
        <w:rPr>
          <w:rFonts w:eastAsia="Times New Roman"/>
          <w:sz w:val="24"/>
          <w:szCs w:val="24"/>
        </w:rPr>
        <w:t>Community water systems that exceed the fluoride secondary maximum contaminant level (SMCL) of two mg/l as specified in 310 CMR 22.06C (determined by the last single sample taken in accordance with 310 CMR 22.06(6)(h), but do not exceed the maximum contaminant level (MCL) of four mg/l for fluoride (as specified in 310 CMR 22.06(4)1., shall provide the public notice in 310 CMR 22.16(8)(c) to Persons served. Public notice shall be provided as soon as practical but no later than 12 months from the day the supplier of water learns of the exceedance. A copy of the notice shall also be sent to all new billing units and new customers at the time service begins and to the Massachusetts Department of Public Health. The supplier of water shall repeat the notice at least annually for as long as the SMCL is exceeded. If the public notice is posted, the notice shall remain in place for as long as the SMCL is exceeded, but in no case less than seven days (even if the exceedance is eliminated). On a case-by-case basis, the Department may require an initial notice sooner than 12 months and repeat notices more frequently than annually.</w:t>
      </w:r>
    </w:p>
    <w:p w14:paraId="281A0E29" w14:textId="77777777" w:rsidR="004647B9" w:rsidRPr="00764311" w:rsidRDefault="00E2436F" w:rsidP="00346E17">
      <w:pPr>
        <w:numPr>
          <w:ilvl w:val="1"/>
          <w:numId w:val="516"/>
        </w:numPr>
        <w:tabs>
          <w:tab w:val="left" w:pos="2041"/>
        </w:tabs>
        <w:ind w:left="1560" w:hanging="5"/>
        <w:rPr>
          <w:rFonts w:eastAsia="Times New Roman"/>
          <w:sz w:val="24"/>
          <w:szCs w:val="24"/>
        </w:rPr>
      </w:pPr>
      <w:r w:rsidRPr="00764311">
        <w:rPr>
          <w:rFonts w:eastAsia="Times New Roman"/>
          <w:sz w:val="24"/>
          <w:szCs w:val="24"/>
        </w:rPr>
        <w:t>The form and manner of the public notice (including repeat notices) shall follow the requirements for a Tier 3 public notice in 310 CMR 22.16(4)(d)3.</w:t>
      </w:r>
    </w:p>
    <w:p w14:paraId="281A0E2B" w14:textId="77777777" w:rsidR="004647B9" w:rsidRPr="00764311" w:rsidRDefault="00E2436F" w:rsidP="00346E17">
      <w:pPr>
        <w:numPr>
          <w:ilvl w:val="1"/>
          <w:numId w:val="516"/>
        </w:numPr>
        <w:tabs>
          <w:tab w:val="left" w:pos="1956"/>
        </w:tabs>
        <w:ind w:left="1560" w:hanging="5"/>
        <w:rPr>
          <w:rFonts w:eastAsia="Times New Roman"/>
          <w:sz w:val="24"/>
          <w:szCs w:val="24"/>
        </w:rPr>
      </w:pPr>
      <w:r w:rsidRPr="00764311">
        <w:rPr>
          <w:rFonts w:eastAsia="Times New Roman"/>
          <w:sz w:val="24"/>
          <w:szCs w:val="24"/>
        </w:rPr>
        <w:t>The notice shall contain the following language, including the language necessary to fill in the blanks:</w:t>
      </w:r>
    </w:p>
    <w:p w14:paraId="281A0E2D" w14:textId="77777777" w:rsidR="004647B9" w:rsidRPr="00764311" w:rsidRDefault="00E2436F" w:rsidP="00346E17">
      <w:pPr>
        <w:ind w:left="1920" w:right="360"/>
        <w:jc w:val="both"/>
        <w:rPr>
          <w:rFonts w:eastAsia="Times New Roman"/>
          <w:sz w:val="24"/>
          <w:szCs w:val="24"/>
        </w:rPr>
      </w:pPr>
      <w:r w:rsidRPr="00764311">
        <w:rPr>
          <w:rFonts w:eastAsia="Times New Roman"/>
          <w:sz w:val="24"/>
          <w:szCs w:val="24"/>
        </w:rPr>
        <w:t>"This is an alert about your drinking water and a cosmetic dental problem that might affect children younger than nine years old. At low levels, fluoride can help prevent cavities, but children drinking water containing more than two milligrams per liter (mg/l) of fluoride may develop cosmetic discoloration of their permanent teeth (dental fluorosis). The drinking water provided by your community water system [name] has a fluoride concentration of [insert value] mg/l.</w:t>
      </w:r>
    </w:p>
    <w:p w14:paraId="281A0E2F" w14:textId="77777777" w:rsidR="004647B9" w:rsidRDefault="00E2436F" w:rsidP="00346E17">
      <w:pPr>
        <w:ind w:left="1920" w:right="360" w:firstLine="360"/>
        <w:jc w:val="both"/>
        <w:rPr>
          <w:rFonts w:eastAsia="Times New Roman"/>
          <w:sz w:val="24"/>
          <w:szCs w:val="24"/>
        </w:rPr>
      </w:pPr>
      <w:r w:rsidRPr="00764311">
        <w:rPr>
          <w:rFonts w:eastAsia="Times New Roman"/>
          <w:sz w:val="24"/>
          <w:szCs w:val="24"/>
        </w:rPr>
        <w:t>Dental fluorosis, in its moderate or severe forms, may result in a brown staining and/or pitting of the permanent teeth. This problem occurs only in developing teeth, before they erupt from the gums. Children younger than nine years old should be provided with alternative sources of drinking water or water that has been treated to remove the fluoride to avoid the possibility of staining and pitting of their permanent teeth. You may also want to contact your dentist about proper use by young children of fluoride-containing products. Older children and adults may safely drink the water</w:t>
      </w:r>
      <w:r>
        <w:rPr>
          <w:rFonts w:eastAsia="Times New Roman"/>
          <w:sz w:val="24"/>
          <w:szCs w:val="24"/>
        </w:rPr>
        <w:t>.</w:t>
      </w:r>
    </w:p>
    <w:p w14:paraId="281A0E30" w14:textId="77777777" w:rsidR="004647B9" w:rsidRDefault="004647B9" w:rsidP="00346E17">
      <w:pPr>
        <w:sectPr w:rsidR="004647B9" w:rsidSect="00EF630C">
          <w:pgSz w:w="12240" w:h="20180"/>
          <w:pgMar w:top="708" w:right="1440" w:bottom="984" w:left="600" w:header="0" w:footer="0" w:gutter="0"/>
          <w:cols w:space="720"/>
        </w:sectPr>
      </w:pPr>
    </w:p>
    <w:p w14:paraId="281A0E31" w14:textId="77777777" w:rsidR="004647B9" w:rsidRDefault="00E2436F">
      <w:pPr>
        <w:tabs>
          <w:tab w:val="left" w:pos="160"/>
        </w:tabs>
        <w:jc w:val="center"/>
        <w:rPr>
          <w:sz w:val="20"/>
          <w:szCs w:val="20"/>
        </w:rPr>
      </w:pPr>
      <w:bookmarkStart w:id="191" w:name="page193"/>
      <w:bookmarkEnd w:id="19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E32" w14:textId="77777777" w:rsidR="004647B9" w:rsidRDefault="004647B9" w:rsidP="00346E17">
      <w:pPr>
        <w:rPr>
          <w:sz w:val="20"/>
          <w:szCs w:val="20"/>
        </w:rPr>
      </w:pPr>
    </w:p>
    <w:p w14:paraId="281A0E33" w14:textId="77777777" w:rsidR="004647B9" w:rsidRDefault="004647B9" w:rsidP="00346E17">
      <w:pPr>
        <w:rPr>
          <w:sz w:val="20"/>
          <w:szCs w:val="20"/>
        </w:rPr>
      </w:pPr>
    </w:p>
    <w:p w14:paraId="281A0E34" w14:textId="77777777" w:rsidR="004647B9" w:rsidRPr="00764311" w:rsidRDefault="00E2436F" w:rsidP="00346E17">
      <w:pPr>
        <w:tabs>
          <w:tab w:val="left" w:pos="760"/>
        </w:tabs>
        <w:rPr>
          <w:sz w:val="24"/>
          <w:szCs w:val="24"/>
        </w:rPr>
      </w:pPr>
      <w:r w:rsidRPr="00764311">
        <w:rPr>
          <w:rFonts w:eastAsia="Times New Roman"/>
          <w:sz w:val="24"/>
          <w:szCs w:val="24"/>
        </w:rPr>
        <w:t>22.16:</w:t>
      </w:r>
      <w:r w:rsidRPr="00764311">
        <w:rPr>
          <w:rFonts w:eastAsia="Times New Roman"/>
          <w:sz w:val="24"/>
          <w:szCs w:val="24"/>
        </w:rPr>
        <w:tab/>
        <w:t>continued</w:t>
      </w:r>
    </w:p>
    <w:p w14:paraId="281A0E35" w14:textId="77777777" w:rsidR="004647B9" w:rsidRPr="00346E17" w:rsidRDefault="004647B9" w:rsidP="00346E17">
      <w:pPr>
        <w:rPr>
          <w:sz w:val="20"/>
          <w:szCs w:val="20"/>
        </w:rPr>
      </w:pPr>
    </w:p>
    <w:p w14:paraId="281A0E36" w14:textId="77777777" w:rsidR="004647B9" w:rsidRPr="00764311" w:rsidRDefault="00E2436F" w:rsidP="00346E17">
      <w:pPr>
        <w:ind w:left="1920" w:right="360" w:firstLine="360"/>
        <w:jc w:val="both"/>
        <w:rPr>
          <w:sz w:val="24"/>
          <w:szCs w:val="24"/>
        </w:rPr>
      </w:pPr>
      <w:r w:rsidRPr="00764311">
        <w:rPr>
          <w:rFonts w:eastAsia="Times New Roman"/>
          <w:sz w:val="24"/>
          <w:szCs w:val="24"/>
        </w:rPr>
        <w:t>Drinking water containing more than four mg/L of fluoride (the U.S. Environmental Protection Agency's drinking water standard) can increase your risk of developing bone disease. Your drinking water does not contain more than four mg/l of fluoride, bu</w:t>
      </w:r>
      <w:r w:rsidRPr="00764311" w:rsidDel="007B206E">
        <w:rPr>
          <w:rFonts w:eastAsia="Times New Roman"/>
          <w:sz w:val="24"/>
          <w:szCs w:val="24"/>
        </w:rPr>
        <w:t>t</w:t>
      </w:r>
      <w:r w:rsidRPr="00764311">
        <w:rPr>
          <w:rFonts w:eastAsia="Times New Roman"/>
          <w:sz w:val="24"/>
          <w:szCs w:val="24"/>
        </w:rPr>
        <w:t xml:space="preserve"> we're required to notify you when we discover that the fluoride levels in your drinking water exceed two mg/l because of this cosmetic dental problem.</w:t>
      </w:r>
    </w:p>
    <w:p w14:paraId="281A0E37" w14:textId="77777777" w:rsidR="004647B9" w:rsidRPr="00764311" w:rsidRDefault="00E2436F" w:rsidP="00346E17">
      <w:pPr>
        <w:ind w:left="1920" w:right="360" w:firstLine="360"/>
        <w:jc w:val="both"/>
        <w:rPr>
          <w:sz w:val="24"/>
          <w:szCs w:val="24"/>
        </w:rPr>
      </w:pPr>
      <w:r w:rsidRPr="00764311">
        <w:rPr>
          <w:rFonts w:eastAsia="Times New Roman"/>
          <w:sz w:val="24"/>
          <w:szCs w:val="24"/>
        </w:rPr>
        <w:t>For more information, please call [name of water system contact] of [name of community water system] at [phone number]. Some home water treatment units are also available to remove fluoride from drinking water. To learn more about available home water treatment units, you may call NSF International at 1-877-8-NSF-HELP."</w:t>
      </w:r>
    </w:p>
    <w:p w14:paraId="281A0E38" w14:textId="77777777" w:rsidR="004647B9" w:rsidRPr="00764311" w:rsidRDefault="004647B9" w:rsidP="00346E17">
      <w:pPr>
        <w:rPr>
          <w:sz w:val="24"/>
          <w:szCs w:val="24"/>
        </w:rPr>
      </w:pPr>
    </w:p>
    <w:p w14:paraId="281A0E39" w14:textId="77777777" w:rsidR="004647B9" w:rsidRPr="00764311" w:rsidRDefault="00E2436F" w:rsidP="00346E17">
      <w:pPr>
        <w:numPr>
          <w:ilvl w:val="0"/>
          <w:numId w:val="517"/>
        </w:numPr>
        <w:tabs>
          <w:tab w:val="left" w:pos="1682"/>
        </w:tabs>
        <w:ind w:left="1200"/>
        <w:rPr>
          <w:rFonts w:eastAsia="Times New Roman"/>
          <w:sz w:val="24"/>
          <w:szCs w:val="24"/>
        </w:rPr>
      </w:pPr>
      <w:r w:rsidRPr="00764311">
        <w:rPr>
          <w:rFonts w:eastAsia="Times New Roman"/>
          <w:sz w:val="24"/>
          <w:szCs w:val="24"/>
          <w:u w:val="single"/>
        </w:rPr>
        <w:t>Special Notice for Nitrate Exceedance above MCL by Non-community Water Systems, Where Granted Permission by the Department</w:t>
      </w:r>
      <w:r w:rsidRPr="00764311">
        <w:rPr>
          <w:rFonts w:eastAsia="Times New Roman"/>
          <w:sz w:val="24"/>
          <w:szCs w:val="24"/>
        </w:rPr>
        <w:t>.</w:t>
      </w:r>
    </w:p>
    <w:p w14:paraId="281A0E3B" w14:textId="77777777" w:rsidR="004647B9" w:rsidRPr="00764311" w:rsidRDefault="00E2436F" w:rsidP="00346E17">
      <w:pPr>
        <w:numPr>
          <w:ilvl w:val="1"/>
          <w:numId w:val="517"/>
        </w:numPr>
        <w:tabs>
          <w:tab w:val="left" w:pos="2050"/>
        </w:tabs>
        <w:ind w:left="1560" w:hanging="5"/>
        <w:jc w:val="both"/>
        <w:rPr>
          <w:rFonts w:eastAsia="Times New Roman"/>
          <w:sz w:val="24"/>
          <w:szCs w:val="24"/>
        </w:rPr>
      </w:pPr>
      <w:r w:rsidRPr="00764311">
        <w:rPr>
          <w:rFonts w:eastAsia="Times New Roman"/>
          <w:sz w:val="24"/>
          <w:szCs w:val="24"/>
        </w:rPr>
        <w:t>The owner or operator of a non-community water system granted permission by the Department under 310 CMR 22.13 and 22.13A to exceed the nitrate MCL shall provide notice to Persons served according to the requirements for a Tier 1 notice under 310 CMR 22.16(2)(b) and (c).</w:t>
      </w:r>
    </w:p>
    <w:p w14:paraId="281A0E3C" w14:textId="77777777" w:rsidR="004647B9" w:rsidRPr="00764311" w:rsidRDefault="00E2436F" w:rsidP="00346E17">
      <w:pPr>
        <w:numPr>
          <w:ilvl w:val="1"/>
          <w:numId w:val="517"/>
        </w:numPr>
        <w:tabs>
          <w:tab w:val="left" w:pos="1969"/>
        </w:tabs>
        <w:ind w:left="1560" w:hanging="5"/>
        <w:jc w:val="both"/>
        <w:rPr>
          <w:rFonts w:eastAsia="Times New Roman"/>
          <w:sz w:val="24"/>
          <w:szCs w:val="24"/>
        </w:rPr>
      </w:pPr>
      <w:r w:rsidRPr="00764311">
        <w:rPr>
          <w:rFonts w:eastAsia="Times New Roman"/>
          <w:sz w:val="24"/>
          <w:szCs w:val="24"/>
          <w:u w:val="single"/>
        </w:rPr>
        <w:t>Form and Manner of the Special Notice</w:t>
      </w:r>
      <w:r w:rsidRPr="00764311">
        <w:rPr>
          <w:rFonts w:eastAsia="Times New Roman"/>
          <w:sz w:val="24"/>
          <w:szCs w:val="24"/>
        </w:rPr>
        <w:t>. The owner/operator of a non-community water system granted permission by the Department to exceed the nitrate MCL under 310 CMR 22.06 shall provide continuous posting of the fact that nitrate levels exceed ten mg/l and the potential health effects of exposure, according to the requirements for Tier 1 notice delivery under 310 CMR 22.16(2)(c) and the content requirements under 310 CMR 22.16(5).</w:t>
      </w:r>
    </w:p>
    <w:p w14:paraId="281A0E3D" w14:textId="77777777" w:rsidR="004647B9" w:rsidRPr="00764311" w:rsidRDefault="004647B9" w:rsidP="00346E17">
      <w:pPr>
        <w:rPr>
          <w:rFonts w:eastAsia="Times New Roman"/>
          <w:sz w:val="24"/>
          <w:szCs w:val="24"/>
        </w:rPr>
      </w:pPr>
    </w:p>
    <w:p w14:paraId="281A0E3E" w14:textId="7E5988B2" w:rsidR="004647B9" w:rsidRPr="00764311" w:rsidRDefault="00E2436F" w:rsidP="00346E17">
      <w:pPr>
        <w:numPr>
          <w:ilvl w:val="0"/>
          <w:numId w:val="517"/>
        </w:numPr>
        <w:tabs>
          <w:tab w:val="left" w:pos="1780"/>
        </w:tabs>
        <w:ind w:left="1780" w:hanging="580"/>
        <w:rPr>
          <w:rFonts w:eastAsia="Times New Roman"/>
          <w:sz w:val="24"/>
          <w:szCs w:val="24"/>
        </w:rPr>
      </w:pPr>
      <w:r w:rsidRPr="00764311">
        <w:rPr>
          <w:rFonts w:eastAsia="Times New Roman"/>
          <w:sz w:val="24"/>
          <w:szCs w:val="24"/>
          <w:u w:val="single"/>
        </w:rPr>
        <w:t xml:space="preserve">Notice by Department </w:t>
      </w:r>
      <w:r w:rsidR="00E9262A">
        <w:rPr>
          <w:rFonts w:eastAsia="Times New Roman"/>
          <w:sz w:val="24"/>
          <w:szCs w:val="24"/>
          <w:u w:val="single"/>
        </w:rPr>
        <w:t>o</w:t>
      </w:r>
      <w:r w:rsidRPr="00764311">
        <w:rPr>
          <w:rFonts w:eastAsia="Times New Roman"/>
          <w:sz w:val="24"/>
          <w:szCs w:val="24"/>
          <w:u w:val="single"/>
        </w:rPr>
        <w:t>n Behalf of the Supplier of Water</w:t>
      </w:r>
      <w:r w:rsidRPr="00764311">
        <w:rPr>
          <w:rFonts w:eastAsia="Times New Roman"/>
          <w:sz w:val="24"/>
          <w:szCs w:val="24"/>
        </w:rPr>
        <w:t>.</w:t>
      </w:r>
    </w:p>
    <w:p w14:paraId="281A0E40" w14:textId="77777777" w:rsidR="004647B9" w:rsidRPr="00764311" w:rsidRDefault="00E2436F" w:rsidP="00346E17">
      <w:pPr>
        <w:numPr>
          <w:ilvl w:val="1"/>
          <w:numId w:val="517"/>
        </w:numPr>
        <w:tabs>
          <w:tab w:val="left" w:pos="1958"/>
        </w:tabs>
        <w:ind w:left="1560" w:hanging="5"/>
        <w:jc w:val="both"/>
        <w:rPr>
          <w:rFonts w:eastAsia="Times New Roman"/>
          <w:sz w:val="24"/>
          <w:szCs w:val="24"/>
        </w:rPr>
      </w:pPr>
      <w:r w:rsidRPr="00764311">
        <w:rPr>
          <w:rFonts w:eastAsia="Times New Roman"/>
          <w:sz w:val="24"/>
          <w:szCs w:val="24"/>
        </w:rPr>
        <w:t>The Department may give the notice required by 310 CMR 22.16 on behalf of the owner and operator of the public water system if the Department complies with the requirements of 310 CMR 22.16.</w:t>
      </w:r>
    </w:p>
    <w:p w14:paraId="281A0E42" w14:textId="77777777" w:rsidR="004647B9" w:rsidRPr="00764311" w:rsidRDefault="00E2436F" w:rsidP="00346E17">
      <w:pPr>
        <w:numPr>
          <w:ilvl w:val="1"/>
          <w:numId w:val="517"/>
        </w:numPr>
        <w:tabs>
          <w:tab w:val="left" w:pos="2106"/>
        </w:tabs>
        <w:ind w:left="1560" w:hanging="5"/>
        <w:rPr>
          <w:rFonts w:eastAsia="Times New Roman"/>
          <w:sz w:val="24"/>
          <w:szCs w:val="24"/>
        </w:rPr>
      </w:pPr>
      <w:r w:rsidRPr="00764311">
        <w:rPr>
          <w:rFonts w:eastAsia="Times New Roman"/>
          <w:sz w:val="24"/>
          <w:szCs w:val="24"/>
        </w:rPr>
        <w:t>The owner or operator of the public water system remains legally responsible for ensuring that the requirements of 310 CMR 22.16 are met.</w:t>
      </w:r>
    </w:p>
    <w:p w14:paraId="281A0E43" w14:textId="77777777" w:rsidR="004647B9" w:rsidRPr="00764311" w:rsidRDefault="004647B9" w:rsidP="00346E17">
      <w:pPr>
        <w:rPr>
          <w:rFonts w:eastAsia="Times New Roman"/>
          <w:sz w:val="24"/>
          <w:szCs w:val="24"/>
        </w:rPr>
      </w:pPr>
    </w:p>
    <w:p w14:paraId="281A0E44" w14:textId="77777777" w:rsidR="004647B9" w:rsidRPr="00764311" w:rsidRDefault="00E2436F" w:rsidP="00346E17">
      <w:pPr>
        <w:numPr>
          <w:ilvl w:val="0"/>
          <w:numId w:val="517"/>
        </w:numPr>
        <w:tabs>
          <w:tab w:val="left" w:pos="1757"/>
        </w:tabs>
        <w:ind w:left="1200"/>
        <w:rPr>
          <w:rFonts w:eastAsia="Times New Roman"/>
          <w:sz w:val="24"/>
          <w:szCs w:val="24"/>
        </w:rPr>
      </w:pPr>
      <w:r w:rsidRPr="00764311">
        <w:rPr>
          <w:rFonts w:eastAsia="Times New Roman"/>
          <w:sz w:val="24"/>
          <w:szCs w:val="24"/>
          <w:u w:val="single"/>
        </w:rPr>
        <w:t>Public Notification by the Department for any Public Water System Subject to 310 CMR 22.00</w:t>
      </w:r>
      <w:r w:rsidRPr="00764311">
        <w:rPr>
          <w:rFonts w:eastAsia="Times New Roman"/>
          <w:sz w:val="24"/>
          <w:szCs w:val="24"/>
        </w:rPr>
        <w:t>.</w:t>
      </w:r>
    </w:p>
    <w:p w14:paraId="281A0E46" w14:textId="77777777" w:rsidR="004647B9" w:rsidRDefault="00E2436F" w:rsidP="00346E17">
      <w:pPr>
        <w:numPr>
          <w:ilvl w:val="1"/>
          <w:numId w:val="517"/>
        </w:numPr>
        <w:tabs>
          <w:tab w:val="left" w:pos="2042"/>
        </w:tabs>
        <w:ind w:left="1560" w:hanging="5"/>
        <w:jc w:val="both"/>
        <w:rPr>
          <w:rFonts w:eastAsia="Times New Roman"/>
          <w:sz w:val="24"/>
          <w:szCs w:val="24"/>
        </w:rPr>
      </w:pPr>
      <w:r w:rsidRPr="00764311">
        <w:rPr>
          <w:rFonts w:eastAsia="Times New Roman"/>
          <w:sz w:val="24"/>
          <w:szCs w:val="24"/>
        </w:rPr>
        <w:t>The Department may require a supplier of water or any person subject to 310 CMR 22.00 to provide public notice for any violation of 310 CMR 22.00, the content of which</w:t>
      </w:r>
      <w:r>
        <w:rPr>
          <w:rFonts w:eastAsia="Times New Roman"/>
          <w:sz w:val="24"/>
          <w:szCs w:val="24"/>
        </w:rPr>
        <w:t xml:space="preserve"> shall either satisfy the requirements of 310 CMR 22.16(5), and/or be approved by the Department, prior to publication. The supplier of water remains legally responsible for ensuring that the requirements of 310 CMR 22.16 are met.</w:t>
      </w:r>
    </w:p>
    <w:p w14:paraId="281A0E48" w14:textId="77777777" w:rsidR="004647B9" w:rsidRDefault="00E2436F" w:rsidP="00346E17">
      <w:pPr>
        <w:numPr>
          <w:ilvl w:val="1"/>
          <w:numId w:val="517"/>
        </w:numPr>
        <w:tabs>
          <w:tab w:val="left" w:pos="2062"/>
        </w:tabs>
        <w:ind w:left="1560" w:hanging="5"/>
        <w:jc w:val="both"/>
        <w:rPr>
          <w:rFonts w:eastAsia="Times New Roman"/>
          <w:sz w:val="24"/>
          <w:szCs w:val="24"/>
        </w:rPr>
      </w:pPr>
      <w:r>
        <w:rPr>
          <w:rFonts w:eastAsia="Times New Roman"/>
          <w:sz w:val="24"/>
          <w:szCs w:val="24"/>
        </w:rPr>
        <w:t>The Department reserves the right to give notice to the public when not required by 310 CMR 22.16 in the event of a significant health problem. The supplier of water shall be responsible for all fees incurred by the Department as a result such notice.</w:t>
      </w:r>
    </w:p>
    <w:p w14:paraId="281A0E49" w14:textId="77777777" w:rsidR="004647B9" w:rsidRDefault="004647B9" w:rsidP="00346E17">
      <w:pPr>
        <w:sectPr w:rsidR="004647B9" w:rsidSect="00EF630C">
          <w:pgSz w:w="12240" w:h="20180"/>
          <w:pgMar w:top="708" w:right="1440" w:bottom="1440" w:left="600" w:header="0" w:footer="0" w:gutter="0"/>
          <w:cols w:space="720"/>
        </w:sectPr>
      </w:pPr>
    </w:p>
    <w:p w14:paraId="281A0E4A" w14:textId="77777777" w:rsidR="004647B9" w:rsidRDefault="00E2436F">
      <w:pPr>
        <w:tabs>
          <w:tab w:val="left" w:pos="2860"/>
        </w:tabs>
        <w:ind w:left="1680"/>
        <w:rPr>
          <w:sz w:val="20"/>
          <w:szCs w:val="20"/>
        </w:rPr>
      </w:pPr>
      <w:bookmarkStart w:id="192" w:name="page194"/>
      <w:bookmarkEnd w:id="19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0E4B" w14:textId="77777777" w:rsidR="004647B9" w:rsidRDefault="004647B9" w:rsidP="00E9262A">
      <w:pPr>
        <w:rPr>
          <w:sz w:val="20"/>
          <w:szCs w:val="20"/>
        </w:rPr>
      </w:pPr>
    </w:p>
    <w:p w14:paraId="281A0E4C" w14:textId="77777777" w:rsidR="004647B9" w:rsidRDefault="004647B9" w:rsidP="00E9262A">
      <w:pPr>
        <w:rPr>
          <w:sz w:val="20"/>
          <w:szCs w:val="20"/>
        </w:rPr>
      </w:pPr>
    </w:p>
    <w:p w14:paraId="281A0E4D" w14:textId="77777777" w:rsidR="004647B9" w:rsidRPr="00E9262A" w:rsidRDefault="00E2436F" w:rsidP="00E9262A">
      <w:pPr>
        <w:tabs>
          <w:tab w:val="left" w:pos="760"/>
        </w:tabs>
        <w:rPr>
          <w:sz w:val="24"/>
          <w:szCs w:val="24"/>
        </w:rPr>
      </w:pPr>
      <w:r w:rsidRPr="00E9262A">
        <w:rPr>
          <w:rFonts w:eastAsia="Times New Roman"/>
          <w:sz w:val="24"/>
          <w:szCs w:val="24"/>
        </w:rPr>
        <w:t>22.16:</w:t>
      </w:r>
      <w:r w:rsidRPr="00E9262A">
        <w:rPr>
          <w:rFonts w:eastAsia="Times New Roman"/>
          <w:sz w:val="24"/>
          <w:szCs w:val="24"/>
        </w:rPr>
        <w:tab/>
        <w:t>continued</w:t>
      </w:r>
    </w:p>
    <w:p w14:paraId="281A0E4E" w14:textId="77777777" w:rsidR="004647B9" w:rsidRDefault="004647B9" w:rsidP="00E9262A">
      <w:pPr>
        <w:rPr>
          <w:sz w:val="20"/>
          <w:szCs w:val="20"/>
        </w:rPr>
      </w:pPr>
    </w:p>
    <w:p w14:paraId="281A0E50" w14:textId="77777777" w:rsidR="004647B9" w:rsidRDefault="00E2436F" w:rsidP="00E9262A">
      <w:pPr>
        <w:jc w:val="center"/>
        <w:rPr>
          <w:sz w:val="20"/>
          <w:szCs w:val="20"/>
        </w:rPr>
      </w:pPr>
      <w:r>
        <w:rPr>
          <w:rFonts w:eastAsia="Times New Roman"/>
          <w:b/>
          <w:bCs/>
        </w:rPr>
        <w:t>310 CMR 22</w:t>
      </w:r>
      <w:r w:rsidDel="007B206E">
        <w:rPr>
          <w:rFonts w:eastAsia="Times New Roman"/>
          <w:b/>
          <w:bCs/>
        </w:rPr>
        <w:t>.</w:t>
      </w:r>
      <w:r>
        <w:rPr>
          <w:rFonts w:eastAsia="Times New Roman"/>
          <w:b/>
          <w:bCs/>
        </w:rPr>
        <w:t>16 - Table 6</w:t>
      </w:r>
    </w:p>
    <w:p w14:paraId="281A0E52" w14:textId="3F4F5AC4" w:rsidR="004647B9" w:rsidRDefault="00E2436F" w:rsidP="00E9262A">
      <w:pPr>
        <w:jc w:val="center"/>
        <w:rPr>
          <w:sz w:val="20"/>
          <w:szCs w:val="20"/>
        </w:rPr>
      </w:pPr>
      <w:r>
        <w:rPr>
          <w:rFonts w:eastAsia="Times New Roman"/>
          <w:b/>
          <w:bCs/>
        </w:rPr>
        <w:t>Violations and Other Situations Requiring Public Notice</w:t>
      </w:r>
      <w:r w:rsidRPr="00D506CD">
        <w:rPr>
          <w:rFonts w:eastAsia="Times New Roman"/>
          <w:b/>
          <w:bCs/>
          <w:sz w:val="18"/>
          <w:szCs w:val="18"/>
          <w:vertAlign w:val="superscript"/>
        </w:rPr>
        <w:t>1</w:t>
      </w:r>
    </w:p>
    <w:tbl>
      <w:tblPr>
        <w:tblW w:w="10575" w:type="dxa"/>
        <w:tblInd w:w="10" w:type="dxa"/>
        <w:tblLayout w:type="fixed"/>
        <w:tblCellMar>
          <w:left w:w="0" w:type="dxa"/>
          <w:right w:w="0" w:type="dxa"/>
        </w:tblCellMar>
        <w:tblLook w:val="04A0" w:firstRow="1" w:lastRow="0" w:firstColumn="1" w:lastColumn="0" w:noHBand="0" w:noVBand="1"/>
      </w:tblPr>
      <w:tblGrid>
        <w:gridCol w:w="3849"/>
        <w:gridCol w:w="980"/>
        <w:gridCol w:w="2340"/>
        <w:gridCol w:w="900"/>
        <w:gridCol w:w="2506"/>
      </w:tblGrid>
      <w:tr w:rsidR="00375AF7" w14:paraId="281A0E59" w14:textId="77777777" w:rsidTr="0012720F">
        <w:trPr>
          <w:trHeight w:val="337"/>
        </w:trPr>
        <w:tc>
          <w:tcPr>
            <w:tcW w:w="3840" w:type="dxa"/>
            <w:vMerge w:val="restart"/>
            <w:tcBorders>
              <w:top w:val="single" w:sz="8" w:space="0" w:color="auto"/>
              <w:left w:val="single" w:sz="8" w:space="0" w:color="auto"/>
              <w:right w:val="single" w:sz="8" w:space="0" w:color="auto"/>
            </w:tcBorders>
            <w:vAlign w:val="center"/>
          </w:tcPr>
          <w:p w14:paraId="281A0E55" w14:textId="30E748C9" w:rsidR="00375AF7" w:rsidRDefault="00375AF7" w:rsidP="00E57BC8">
            <w:pPr>
              <w:jc w:val="center"/>
              <w:rPr>
                <w:sz w:val="24"/>
                <w:szCs w:val="24"/>
              </w:rPr>
            </w:pPr>
            <w:r>
              <w:rPr>
                <w:rFonts w:eastAsia="Times New Roman"/>
                <w:sz w:val="18"/>
                <w:szCs w:val="18"/>
              </w:rPr>
              <w:t>Contaminant</w:t>
            </w:r>
          </w:p>
        </w:tc>
        <w:tc>
          <w:tcPr>
            <w:tcW w:w="3320" w:type="dxa"/>
            <w:gridSpan w:val="2"/>
            <w:vMerge w:val="restart"/>
            <w:tcBorders>
              <w:top w:val="single" w:sz="8" w:space="0" w:color="auto"/>
              <w:left w:val="single" w:sz="8" w:space="0" w:color="auto"/>
              <w:right w:val="single" w:sz="8" w:space="0" w:color="auto"/>
            </w:tcBorders>
            <w:vAlign w:val="center"/>
          </w:tcPr>
          <w:p w14:paraId="281A0E56" w14:textId="668BBC5F" w:rsidR="00375AF7" w:rsidRDefault="00375AF7" w:rsidP="00E57BC8">
            <w:pPr>
              <w:ind w:left="480"/>
              <w:jc w:val="center"/>
              <w:rPr>
                <w:sz w:val="20"/>
                <w:szCs w:val="20"/>
              </w:rPr>
            </w:pPr>
            <w:r>
              <w:rPr>
                <w:rFonts w:eastAsia="Times New Roman"/>
                <w:sz w:val="18"/>
                <w:szCs w:val="18"/>
              </w:rPr>
              <w:t>MCL/MRDL/TT violations</w:t>
            </w:r>
            <w:r w:rsidRPr="002504B8">
              <w:rPr>
                <w:rFonts w:eastAsia="Times New Roman"/>
                <w:sz w:val="18"/>
                <w:szCs w:val="18"/>
                <w:vertAlign w:val="superscript"/>
              </w:rPr>
              <w:t>2</w:t>
            </w:r>
          </w:p>
        </w:tc>
        <w:tc>
          <w:tcPr>
            <w:tcW w:w="3400" w:type="dxa"/>
            <w:gridSpan w:val="2"/>
            <w:vMerge w:val="restart"/>
            <w:tcBorders>
              <w:top w:val="single" w:sz="8" w:space="0" w:color="auto"/>
              <w:bottom w:val="single" w:sz="8" w:space="0" w:color="auto"/>
              <w:right w:val="single" w:sz="8" w:space="0" w:color="auto"/>
            </w:tcBorders>
            <w:vAlign w:val="center"/>
          </w:tcPr>
          <w:p w14:paraId="7AC72CED" w14:textId="77777777" w:rsidR="00375AF7" w:rsidRDefault="00375AF7" w:rsidP="00E57BC8">
            <w:pPr>
              <w:jc w:val="center"/>
              <w:rPr>
                <w:sz w:val="20"/>
                <w:szCs w:val="20"/>
              </w:rPr>
            </w:pPr>
            <w:r>
              <w:rPr>
                <w:rFonts w:eastAsia="Times New Roman"/>
                <w:sz w:val="18"/>
                <w:szCs w:val="18"/>
              </w:rPr>
              <w:t>Monitoring &amp; testing procedure</w:t>
            </w:r>
          </w:p>
          <w:p w14:paraId="281A0E57" w14:textId="46138BEA" w:rsidR="00375AF7" w:rsidRDefault="00375AF7" w:rsidP="00E57BC8">
            <w:pPr>
              <w:jc w:val="center"/>
              <w:rPr>
                <w:sz w:val="20"/>
                <w:szCs w:val="20"/>
              </w:rPr>
            </w:pPr>
            <w:r>
              <w:rPr>
                <w:rFonts w:eastAsia="Times New Roman"/>
                <w:sz w:val="18"/>
                <w:szCs w:val="18"/>
              </w:rPr>
              <w:t>violations</w:t>
            </w:r>
          </w:p>
        </w:tc>
      </w:tr>
      <w:tr w:rsidR="00375AF7" w14:paraId="281A0E60" w14:textId="77777777" w:rsidTr="0012720F">
        <w:trPr>
          <w:trHeight w:val="140"/>
        </w:trPr>
        <w:tc>
          <w:tcPr>
            <w:tcW w:w="3840" w:type="dxa"/>
            <w:vMerge/>
            <w:tcBorders>
              <w:left w:val="single" w:sz="8" w:space="0" w:color="auto"/>
              <w:right w:val="single" w:sz="8" w:space="0" w:color="auto"/>
            </w:tcBorders>
            <w:vAlign w:val="bottom"/>
          </w:tcPr>
          <w:p w14:paraId="281A0E5B" w14:textId="11004008" w:rsidR="00375AF7" w:rsidRDefault="00375AF7" w:rsidP="00347FE4">
            <w:pPr>
              <w:ind w:left="1400"/>
              <w:rPr>
                <w:sz w:val="12"/>
                <w:szCs w:val="12"/>
              </w:rPr>
            </w:pPr>
          </w:p>
        </w:tc>
        <w:tc>
          <w:tcPr>
            <w:tcW w:w="3320" w:type="dxa"/>
            <w:gridSpan w:val="2"/>
            <w:vMerge/>
            <w:tcBorders>
              <w:left w:val="single" w:sz="8" w:space="0" w:color="auto"/>
              <w:right w:val="single" w:sz="8" w:space="0" w:color="auto"/>
            </w:tcBorders>
            <w:vAlign w:val="bottom"/>
          </w:tcPr>
          <w:p w14:paraId="281A0E5C" w14:textId="77777777" w:rsidR="00375AF7" w:rsidRDefault="00375AF7">
            <w:pPr>
              <w:rPr>
                <w:sz w:val="12"/>
                <w:szCs w:val="12"/>
              </w:rPr>
            </w:pPr>
          </w:p>
        </w:tc>
        <w:tc>
          <w:tcPr>
            <w:tcW w:w="3400" w:type="dxa"/>
            <w:gridSpan w:val="2"/>
            <w:vMerge/>
            <w:tcBorders>
              <w:bottom w:val="single" w:sz="8" w:space="0" w:color="auto"/>
              <w:right w:val="single" w:sz="8" w:space="0" w:color="auto"/>
            </w:tcBorders>
            <w:vAlign w:val="bottom"/>
          </w:tcPr>
          <w:p w14:paraId="281A0E5E" w14:textId="5C6C9F9B" w:rsidR="00375AF7" w:rsidRDefault="00375AF7">
            <w:pPr>
              <w:ind w:right="830"/>
              <w:jc w:val="center"/>
              <w:rPr>
                <w:sz w:val="20"/>
                <w:szCs w:val="20"/>
              </w:rPr>
            </w:pPr>
          </w:p>
        </w:tc>
      </w:tr>
      <w:tr w:rsidR="00375AF7" w14:paraId="281A0E68" w14:textId="77777777" w:rsidTr="0012720F">
        <w:trPr>
          <w:trHeight w:val="141"/>
        </w:trPr>
        <w:tc>
          <w:tcPr>
            <w:tcW w:w="3840" w:type="dxa"/>
            <w:vMerge/>
            <w:tcBorders>
              <w:left w:val="single" w:sz="8" w:space="0" w:color="auto"/>
              <w:right w:val="single" w:sz="8" w:space="0" w:color="auto"/>
            </w:tcBorders>
            <w:vAlign w:val="bottom"/>
          </w:tcPr>
          <w:p w14:paraId="281A0E62" w14:textId="0D0CBDD8" w:rsidR="00375AF7" w:rsidRDefault="00375AF7" w:rsidP="00347FE4">
            <w:pPr>
              <w:ind w:left="1400"/>
              <w:rPr>
                <w:sz w:val="12"/>
                <w:szCs w:val="12"/>
              </w:rPr>
            </w:pPr>
          </w:p>
        </w:tc>
        <w:tc>
          <w:tcPr>
            <w:tcW w:w="3320" w:type="dxa"/>
            <w:gridSpan w:val="2"/>
            <w:vMerge/>
            <w:tcBorders>
              <w:left w:val="single" w:sz="8" w:space="0" w:color="auto"/>
              <w:right w:val="single" w:sz="8" w:space="0" w:color="auto"/>
            </w:tcBorders>
            <w:vAlign w:val="bottom"/>
          </w:tcPr>
          <w:p w14:paraId="281A0E64" w14:textId="77777777" w:rsidR="00375AF7" w:rsidRDefault="00375AF7">
            <w:pPr>
              <w:rPr>
                <w:sz w:val="12"/>
                <w:szCs w:val="12"/>
              </w:rPr>
            </w:pPr>
          </w:p>
        </w:tc>
        <w:tc>
          <w:tcPr>
            <w:tcW w:w="3400" w:type="dxa"/>
            <w:gridSpan w:val="2"/>
            <w:vMerge/>
            <w:tcBorders>
              <w:left w:val="single" w:sz="8" w:space="0" w:color="auto"/>
              <w:bottom w:val="single" w:sz="8" w:space="0" w:color="auto"/>
              <w:right w:val="single" w:sz="8" w:space="0" w:color="auto"/>
            </w:tcBorders>
            <w:vAlign w:val="bottom"/>
          </w:tcPr>
          <w:p w14:paraId="281A0E66" w14:textId="77777777" w:rsidR="00375AF7" w:rsidRDefault="00375AF7">
            <w:pPr>
              <w:rPr>
                <w:sz w:val="12"/>
                <w:szCs w:val="12"/>
              </w:rPr>
            </w:pPr>
          </w:p>
        </w:tc>
      </w:tr>
      <w:tr w:rsidR="00375AF7" w14:paraId="281A0E70" w14:textId="77777777" w:rsidTr="0012720F">
        <w:trPr>
          <w:trHeight w:val="74"/>
        </w:trPr>
        <w:tc>
          <w:tcPr>
            <w:tcW w:w="3840" w:type="dxa"/>
            <w:vMerge/>
            <w:tcBorders>
              <w:left w:val="single" w:sz="8" w:space="0" w:color="auto"/>
              <w:right w:val="single" w:sz="8" w:space="0" w:color="auto"/>
            </w:tcBorders>
            <w:vAlign w:val="bottom"/>
          </w:tcPr>
          <w:p w14:paraId="281A0E6A" w14:textId="01922E1F" w:rsidR="00375AF7" w:rsidRDefault="00375AF7" w:rsidP="00347FE4">
            <w:pPr>
              <w:ind w:left="1400"/>
              <w:rPr>
                <w:sz w:val="6"/>
                <w:szCs w:val="6"/>
              </w:rPr>
            </w:pPr>
          </w:p>
        </w:tc>
        <w:tc>
          <w:tcPr>
            <w:tcW w:w="3320" w:type="dxa"/>
            <w:gridSpan w:val="2"/>
            <w:vMerge/>
            <w:tcBorders>
              <w:left w:val="single" w:sz="8" w:space="0" w:color="auto"/>
              <w:bottom w:val="single" w:sz="8" w:space="0" w:color="auto"/>
              <w:right w:val="single" w:sz="8" w:space="0" w:color="auto"/>
            </w:tcBorders>
            <w:vAlign w:val="bottom"/>
          </w:tcPr>
          <w:p w14:paraId="281A0E6C" w14:textId="77777777" w:rsidR="00375AF7" w:rsidRDefault="00375AF7">
            <w:pPr>
              <w:rPr>
                <w:sz w:val="6"/>
                <w:szCs w:val="6"/>
              </w:rPr>
            </w:pPr>
          </w:p>
        </w:tc>
        <w:tc>
          <w:tcPr>
            <w:tcW w:w="3400" w:type="dxa"/>
            <w:gridSpan w:val="2"/>
            <w:vMerge/>
            <w:tcBorders>
              <w:left w:val="single" w:sz="8" w:space="0" w:color="auto"/>
              <w:bottom w:val="single" w:sz="8" w:space="0" w:color="auto"/>
              <w:right w:val="single" w:sz="8" w:space="0" w:color="auto"/>
            </w:tcBorders>
            <w:vAlign w:val="bottom"/>
          </w:tcPr>
          <w:p w14:paraId="281A0E6E" w14:textId="77777777" w:rsidR="00375AF7" w:rsidRDefault="00375AF7">
            <w:pPr>
              <w:rPr>
                <w:sz w:val="6"/>
                <w:szCs w:val="6"/>
              </w:rPr>
            </w:pPr>
          </w:p>
        </w:tc>
      </w:tr>
      <w:tr w:rsidR="00375AF7" w14:paraId="281A0E77" w14:textId="77777777" w:rsidTr="0012720F">
        <w:trPr>
          <w:trHeight w:val="299"/>
        </w:trPr>
        <w:tc>
          <w:tcPr>
            <w:tcW w:w="3840" w:type="dxa"/>
            <w:vMerge/>
            <w:tcBorders>
              <w:left w:val="single" w:sz="8" w:space="0" w:color="auto"/>
              <w:right w:val="single" w:sz="8" w:space="0" w:color="auto"/>
            </w:tcBorders>
            <w:vAlign w:val="bottom"/>
          </w:tcPr>
          <w:p w14:paraId="281A0E71" w14:textId="3390A40B" w:rsidR="00375AF7" w:rsidRDefault="00375AF7">
            <w:pPr>
              <w:ind w:left="1400"/>
              <w:rPr>
                <w:sz w:val="20"/>
                <w:szCs w:val="20"/>
              </w:rPr>
            </w:pPr>
          </w:p>
        </w:tc>
        <w:tc>
          <w:tcPr>
            <w:tcW w:w="980" w:type="dxa"/>
            <w:vMerge w:val="restart"/>
            <w:tcBorders>
              <w:bottom w:val="single" w:sz="8" w:space="0" w:color="auto"/>
              <w:right w:val="single" w:sz="8" w:space="0" w:color="auto"/>
            </w:tcBorders>
            <w:vAlign w:val="center"/>
          </w:tcPr>
          <w:p w14:paraId="43672518" w14:textId="77777777" w:rsidR="00375AF7" w:rsidRDefault="00375AF7" w:rsidP="00E57BC8">
            <w:pPr>
              <w:jc w:val="center"/>
              <w:rPr>
                <w:sz w:val="20"/>
                <w:szCs w:val="20"/>
              </w:rPr>
            </w:pPr>
            <w:r>
              <w:rPr>
                <w:rFonts w:eastAsia="Times New Roman"/>
                <w:sz w:val="18"/>
                <w:szCs w:val="18"/>
              </w:rPr>
              <w:t>Tier of</w:t>
            </w:r>
          </w:p>
          <w:p w14:paraId="6706DCE3" w14:textId="77777777" w:rsidR="00375AF7" w:rsidRDefault="00375AF7" w:rsidP="00E57BC8">
            <w:pPr>
              <w:jc w:val="center"/>
              <w:rPr>
                <w:sz w:val="20"/>
                <w:szCs w:val="20"/>
              </w:rPr>
            </w:pPr>
            <w:r>
              <w:rPr>
                <w:rFonts w:eastAsia="Times New Roman"/>
                <w:sz w:val="18"/>
                <w:szCs w:val="18"/>
              </w:rPr>
              <w:t>public</w:t>
            </w:r>
          </w:p>
          <w:p w14:paraId="0D54E222" w14:textId="77777777" w:rsidR="00375AF7" w:rsidRDefault="00375AF7" w:rsidP="00E57BC8">
            <w:pPr>
              <w:jc w:val="center"/>
              <w:rPr>
                <w:sz w:val="20"/>
                <w:szCs w:val="20"/>
              </w:rPr>
            </w:pPr>
            <w:r>
              <w:rPr>
                <w:rFonts w:eastAsia="Times New Roman"/>
                <w:sz w:val="18"/>
                <w:szCs w:val="18"/>
              </w:rPr>
              <w:t>notice</w:t>
            </w:r>
          </w:p>
          <w:p w14:paraId="281A0E72" w14:textId="0C73FAE3" w:rsidR="00375AF7" w:rsidRDefault="00375AF7" w:rsidP="00E57BC8">
            <w:pPr>
              <w:jc w:val="center"/>
              <w:rPr>
                <w:sz w:val="20"/>
                <w:szCs w:val="20"/>
              </w:rPr>
            </w:pPr>
            <w:r>
              <w:rPr>
                <w:rFonts w:eastAsia="Times New Roman"/>
                <w:sz w:val="18"/>
                <w:szCs w:val="18"/>
              </w:rPr>
              <w:t>required</w:t>
            </w:r>
          </w:p>
        </w:tc>
        <w:tc>
          <w:tcPr>
            <w:tcW w:w="2340" w:type="dxa"/>
            <w:vMerge w:val="restart"/>
            <w:tcBorders>
              <w:right w:val="single" w:sz="8" w:space="0" w:color="auto"/>
            </w:tcBorders>
            <w:vAlign w:val="center"/>
          </w:tcPr>
          <w:p w14:paraId="281A0E73" w14:textId="6A1A422E" w:rsidR="00375AF7" w:rsidRDefault="00375AF7" w:rsidP="00E57BC8">
            <w:pPr>
              <w:jc w:val="center"/>
              <w:rPr>
                <w:sz w:val="24"/>
                <w:szCs w:val="24"/>
              </w:rPr>
            </w:pPr>
            <w:r>
              <w:rPr>
                <w:rFonts w:eastAsia="Times New Roman"/>
                <w:sz w:val="18"/>
                <w:szCs w:val="18"/>
              </w:rPr>
              <w:t>Citation</w:t>
            </w:r>
          </w:p>
        </w:tc>
        <w:tc>
          <w:tcPr>
            <w:tcW w:w="900" w:type="dxa"/>
            <w:vMerge w:val="restart"/>
            <w:tcBorders>
              <w:right w:val="single" w:sz="8" w:space="0" w:color="auto"/>
            </w:tcBorders>
            <w:vAlign w:val="center"/>
          </w:tcPr>
          <w:p w14:paraId="582B2D86" w14:textId="77777777" w:rsidR="00375AF7" w:rsidRDefault="00375AF7" w:rsidP="00E57BC8">
            <w:pPr>
              <w:jc w:val="center"/>
              <w:rPr>
                <w:sz w:val="20"/>
                <w:szCs w:val="20"/>
              </w:rPr>
            </w:pPr>
            <w:r>
              <w:rPr>
                <w:rFonts w:eastAsia="Times New Roman"/>
                <w:sz w:val="18"/>
                <w:szCs w:val="18"/>
              </w:rPr>
              <w:t>Tier of</w:t>
            </w:r>
          </w:p>
          <w:p w14:paraId="0B7E5695" w14:textId="77777777" w:rsidR="00375AF7" w:rsidRDefault="00375AF7" w:rsidP="00E57BC8">
            <w:pPr>
              <w:jc w:val="center"/>
              <w:rPr>
                <w:sz w:val="20"/>
                <w:szCs w:val="20"/>
              </w:rPr>
            </w:pPr>
            <w:r>
              <w:rPr>
                <w:rFonts w:eastAsia="Times New Roman"/>
                <w:sz w:val="18"/>
                <w:szCs w:val="18"/>
              </w:rPr>
              <w:t>public</w:t>
            </w:r>
          </w:p>
          <w:p w14:paraId="08CC50FF" w14:textId="77777777" w:rsidR="00375AF7" w:rsidRDefault="00375AF7" w:rsidP="00E57BC8">
            <w:pPr>
              <w:jc w:val="center"/>
              <w:rPr>
                <w:sz w:val="20"/>
                <w:szCs w:val="20"/>
              </w:rPr>
            </w:pPr>
            <w:r>
              <w:rPr>
                <w:rFonts w:eastAsia="Times New Roman"/>
                <w:sz w:val="18"/>
                <w:szCs w:val="18"/>
              </w:rPr>
              <w:t>notice</w:t>
            </w:r>
          </w:p>
          <w:p w14:paraId="281A0E74" w14:textId="214C0953" w:rsidR="00375AF7" w:rsidRDefault="00375AF7" w:rsidP="00E57BC8">
            <w:pPr>
              <w:jc w:val="center"/>
              <w:rPr>
                <w:sz w:val="20"/>
                <w:szCs w:val="20"/>
              </w:rPr>
            </w:pPr>
            <w:r>
              <w:rPr>
                <w:rFonts w:eastAsia="Times New Roman"/>
                <w:sz w:val="18"/>
                <w:szCs w:val="18"/>
              </w:rPr>
              <w:t>required</w:t>
            </w:r>
          </w:p>
        </w:tc>
        <w:tc>
          <w:tcPr>
            <w:tcW w:w="2500" w:type="dxa"/>
            <w:vMerge w:val="restart"/>
            <w:tcBorders>
              <w:right w:val="single" w:sz="8" w:space="0" w:color="auto"/>
            </w:tcBorders>
            <w:vAlign w:val="center"/>
          </w:tcPr>
          <w:p w14:paraId="281A0E75" w14:textId="275EAD13" w:rsidR="00375AF7" w:rsidRDefault="00375AF7" w:rsidP="00E57BC8">
            <w:pPr>
              <w:jc w:val="center"/>
              <w:rPr>
                <w:sz w:val="24"/>
                <w:szCs w:val="24"/>
              </w:rPr>
            </w:pPr>
            <w:r>
              <w:rPr>
                <w:rFonts w:eastAsia="Times New Roman"/>
                <w:sz w:val="18"/>
                <w:szCs w:val="18"/>
              </w:rPr>
              <w:t>Citation</w:t>
            </w:r>
          </w:p>
        </w:tc>
      </w:tr>
      <w:tr w:rsidR="00375AF7" w14:paraId="281A0E7E" w14:textId="77777777" w:rsidTr="0012720F">
        <w:trPr>
          <w:trHeight w:val="82"/>
        </w:trPr>
        <w:tc>
          <w:tcPr>
            <w:tcW w:w="3840" w:type="dxa"/>
            <w:vMerge/>
            <w:tcBorders>
              <w:left w:val="single" w:sz="8" w:space="0" w:color="auto"/>
              <w:right w:val="single" w:sz="8" w:space="0" w:color="auto"/>
            </w:tcBorders>
            <w:vAlign w:val="bottom"/>
          </w:tcPr>
          <w:p w14:paraId="281A0E78" w14:textId="77777777" w:rsidR="00375AF7" w:rsidRDefault="00375AF7">
            <w:pPr>
              <w:rPr>
                <w:sz w:val="7"/>
                <w:szCs w:val="7"/>
              </w:rPr>
            </w:pPr>
          </w:p>
        </w:tc>
        <w:tc>
          <w:tcPr>
            <w:tcW w:w="980" w:type="dxa"/>
            <w:vMerge/>
            <w:tcBorders>
              <w:bottom w:val="single" w:sz="8" w:space="0" w:color="auto"/>
              <w:right w:val="single" w:sz="8" w:space="0" w:color="auto"/>
            </w:tcBorders>
            <w:vAlign w:val="bottom"/>
          </w:tcPr>
          <w:p w14:paraId="281A0E79" w14:textId="61720E87" w:rsidR="00375AF7" w:rsidRDefault="00375AF7" w:rsidP="00347FE4">
            <w:pPr>
              <w:jc w:val="center"/>
              <w:rPr>
                <w:sz w:val="20"/>
                <w:szCs w:val="20"/>
              </w:rPr>
            </w:pPr>
          </w:p>
        </w:tc>
        <w:tc>
          <w:tcPr>
            <w:tcW w:w="2340" w:type="dxa"/>
            <w:vMerge/>
            <w:tcBorders>
              <w:right w:val="single" w:sz="8" w:space="0" w:color="auto"/>
            </w:tcBorders>
            <w:vAlign w:val="bottom"/>
          </w:tcPr>
          <w:p w14:paraId="281A0E7A" w14:textId="01500237" w:rsidR="00375AF7" w:rsidRDefault="00375AF7" w:rsidP="00347FE4">
            <w:pPr>
              <w:ind w:left="940"/>
              <w:rPr>
                <w:sz w:val="7"/>
                <w:szCs w:val="7"/>
              </w:rPr>
            </w:pPr>
          </w:p>
        </w:tc>
        <w:tc>
          <w:tcPr>
            <w:tcW w:w="900" w:type="dxa"/>
            <w:vMerge/>
            <w:tcBorders>
              <w:right w:val="single" w:sz="8" w:space="0" w:color="auto"/>
            </w:tcBorders>
            <w:vAlign w:val="bottom"/>
          </w:tcPr>
          <w:p w14:paraId="281A0E7B" w14:textId="1D576202" w:rsidR="00375AF7" w:rsidRDefault="00375AF7" w:rsidP="00347FE4">
            <w:pPr>
              <w:jc w:val="center"/>
              <w:rPr>
                <w:sz w:val="20"/>
                <w:szCs w:val="20"/>
              </w:rPr>
            </w:pPr>
          </w:p>
        </w:tc>
        <w:tc>
          <w:tcPr>
            <w:tcW w:w="2500" w:type="dxa"/>
            <w:vMerge/>
            <w:tcBorders>
              <w:right w:val="single" w:sz="8" w:space="0" w:color="auto"/>
            </w:tcBorders>
            <w:vAlign w:val="bottom"/>
          </w:tcPr>
          <w:p w14:paraId="281A0E7C" w14:textId="19FA76A2" w:rsidR="00375AF7" w:rsidRDefault="00375AF7" w:rsidP="00347FE4">
            <w:pPr>
              <w:ind w:left="920"/>
              <w:rPr>
                <w:sz w:val="7"/>
                <w:szCs w:val="7"/>
              </w:rPr>
            </w:pPr>
          </w:p>
        </w:tc>
      </w:tr>
      <w:tr w:rsidR="00375AF7" w14:paraId="281A0E86" w14:textId="77777777" w:rsidTr="0012720F">
        <w:trPr>
          <w:trHeight w:val="199"/>
        </w:trPr>
        <w:tc>
          <w:tcPr>
            <w:tcW w:w="3840" w:type="dxa"/>
            <w:vMerge/>
            <w:tcBorders>
              <w:left w:val="single" w:sz="8" w:space="0" w:color="auto"/>
              <w:right w:val="single" w:sz="8" w:space="0" w:color="auto"/>
            </w:tcBorders>
            <w:vAlign w:val="bottom"/>
          </w:tcPr>
          <w:p w14:paraId="281A0E80" w14:textId="77777777" w:rsidR="00375AF7" w:rsidRDefault="00375AF7">
            <w:pPr>
              <w:rPr>
                <w:sz w:val="17"/>
                <w:szCs w:val="17"/>
              </w:rPr>
            </w:pPr>
          </w:p>
        </w:tc>
        <w:tc>
          <w:tcPr>
            <w:tcW w:w="980" w:type="dxa"/>
            <w:vMerge/>
            <w:tcBorders>
              <w:left w:val="single" w:sz="8" w:space="0" w:color="auto"/>
              <w:bottom w:val="single" w:sz="8" w:space="0" w:color="auto"/>
              <w:right w:val="single" w:sz="8" w:space="0" w:color="auto"/>
            </w:tcBorders>
            <w:vAlign w:val="bottom"/>
          </w:tcPr>
          <w:p w14:paraId="281A0E81" w14:textId="450110C1" w:rsidR="00375AF7" w:rsidRDefault="00375AF7" w:rsidP="00347FE4">
            <w:pPr>
              <w:jc w:val="center"/>
              <w:rPr>
                <w:sz w:val="17"/>
                <w:szCs w:val="17"/>
              </w:rPr>
            </w:pPr>
          </w:p>
        </w:tc>
        <w:tc>
          <w:tcPr>
            <w:tcW w:w="2340" w:type="dxa"/>
            <w:vMerge/>
            <w:tcBorders>
              <w:right w:val="single" w:sz="8" w:space="0" w:color="auto"/>
            </w:tcBorders>
            <w:vAlign w:val="bottom"/>
          </w:tcPr>
          <w:p w14:paraId="281A0E82" w14:textId="7C973ED9" w:rsidR="00375AF7" w:rsidRDefault="00375AF7">
            <w:pPr>
              <w:ind w:left="940"/>
              <w:rPr>
                <w:sz w:val="20"/>
                <w:szCs w:val="20"/>
              </w:rPr>
            </w:pPr>
          </w:p>
        </w:tc>
        <w:tc>
          <w:tcPr>
            <w:tcW w:w="900" w:type="dxa"/>
            <w:vMerge/>
            <w:tcBorders>
              <w:right w:val="single" w:sz="8" w:space="0" w:color="auto"/>
            </w:tcBorders>
            <w:vAlign w:val="bottom"/>
          </w:tcPr>
          <w:p w14:paraId="281A0E83" w14:textId="0E10BD15" w:rsidR="00375AF7" w:rsidRDefault="00375AF7" w:rsidP="00347FE4">
            <w:pPr>
              <w:jc w:val="center"/>
              <w:rPr>
                <w:sz w:val="17"/>
                <w:szCs w:val="17"/>
              </w:rPr>
            </w:pPr>
          </w:p>
        </w:tc>
        <w:tc>
          <w:tcPr>
            <w:tcW w:w="2500" w:type="dxa"/>
            <w:vMerge/>
            <w:tcBorders>
              <w:right w:val="single" w:sz="8" w:space="0" w:color="auto"/>
            </w:tcBorders>
            <w:vAlign w:val="bottom"/>
          </w:tcPr>
          <w:p w14:paraId="281A0E84" w14:textId="139D6EA6" w:rsidR="00375AF7" w:rsidRDefault="00375AF7">
            <w:pPr>
              <w:ind w:left="920"/>
              <w:rPr>
                <w:sz w:val="20"/>
                <w:szCs w:val="20"/>
              </w:rPr>
            </w:pPr>
          </w:p>
        </w:tc>
      </w:tr>
      <w:tr w:rsidR="00375AF7" w14:paraId="281A0E8E" w14:textId="77777777" w:rsidTr="0012720F">
        <w:trPr>
          <w:trHeight w:val="139"/>
        </w:trPr>
        <w:tc>
          <w:tcPr>
            <w:tcW w:w="3840" w:type="dxa"/>
            <w:vMerge/>
            <w:tcBorders>
              <w:left w:val="single" w:sz="8" w:space="0" w:color="auto"/>
              <w:right w:val="single" w:sz="8" w:space="0" w:color="auto"/>
            </w:tcBorders>
            <w:vAlign w:val="bottom"/>
          </w:tcPr>
          <w:p w14:paraId="281A0E88" w14:textId="77777777" w:rsidR="00375AF7" w:rsidRDefault="00375AF7">
            <w:pPr>
              <w:rPr>
                <w:sz w:val="12"/>
                <w:szCs w:val="12"/>
              </w:rPr>
            </w:pPr>
          </w:p>
        </w:tc>
        <w:tc>
          <w:tcPr>
            <w:tcW w:w="980" w:type="dxa"/>
            <w:vMerge/>
            <w:tcBorders>
              <w:left w:val="single" w:sz="8" w:space="0" w:color="auto"/>
              <w:bottom w:val="single" w:sz="8" w:space="0" w:color="auto"/>
              <w:right w:val="single" w:sz="8" w:space="0" w:color="auto"/>
            </w:tcBorders>
            <w:vAlign w:val="bottom"/>
          </w:tcPr>
          <w:p w14:paraId="281A0E89" w14:textId="36A988D6" w:rsidR="00375AF7" w:rsidRDefault="00375AF7" w:rsidP="00347FE4">
            <w:pPr>
              <w:jc w:val="center"/>
              <w:rPr>
                <w:sz w:val="20"/>
                <w:szCs w:val="20"/>
              </w:rPr>
            </w:pPr>
          </w:p>
        </w:tc>
        <w:tc>
          <w:tcPr>
            <w:tcW w:w="2340" w:type="dxa"/>
            <w:vMerge/>
            <w:tcBorders>
              <w:right w:val="single" w:sz="8" w:space="0" w:color="auto"/>
            </w:tcBorders>
            <w:vAlign w:val="bottom"/>
          </w:tcPr>
          <w:p w14:paraId="281A0E8A" w14:textId="77777777" w:rsidR="00375AF7" w:rsidRDefault="00375AF7">
            <w:pPr>
              <w:rPr>
                <w:sz w:val="12"/>
                <w:szCs w:val="12"/>
              </w:rPr>
            </w:pPr>
          </w:p>
        </w:tc>
        <w:tc>
          <w:tcPr>
            <w:tcW w:w="900" w:type="dxa"/>
            <w:vMerge/>
            <w:tcBorders>
              <w:right w:val="single" w:sz="8" w:space="0" w:color="auto"/>
            </w:tcBorders>
            <w:vAlign w:val="bottom"/>
          </w:tcPr>
          <w:p w14:paraId="281A0E8B" w14:textId="4750FB7D" w:rsidR="00375AF7" w:rsidRDefault="00375AF7" w:rsidP="00347FE4">
            <w:pPr>
              <w:jc w:val="center"/>
              <w:rPr>
                <w:sz w:val="20"/>
                <w:szCs w:val="20"/>
              </w:rPr>
            </w:pPr>
          </w:p>
        </w:tc>
        <w:tc>
          <w:tcPr>
            <w:tcW w:w="2500" w:type="dxa"/>
            <w:vMerge/>
            <w:tcBorders>
              <w:right w:val="single" w:sz="8" w:space="0" w:color="auto"/>
            </w:tcBorders>
            <w:vAlign w:val="bottom"/>
          </w:tcPr>
          <w:p w14:paraId="281A0E8C" w14:textId="77777777" w:rsidR="00375AF7" w:rsidRDefault="00375AF7">
            <w:pPr>
              <w:rPr>
                <w:sz w:val="12"/>
                <w:szCs w:val="12"/>
              </w:rPr>
            </w:pPr>
          </w:p>
        </w:tc>
      </w:tr>
      <w:tr w:rsidR="00375AF7" w14:paraId="281A0E96" w14:textId="77777777" w:rsidTr="0012720F">
        <w:trPr>
          <w:trHeight w:val="139"/>
        </w:trPr>
        <w:tc>
          <w:tcPr>
            <w:tcW w:w="3840" w:type="dxa"/>
            <w:vMerge/>
            <w:tcBorders>
              <w:left w:val="single" w:sz="8" w:space="0" w:color="auto"/>
              <w:right w:val="single" w:sz="8" w:space="0" w:color="auto"/>
            </w:tcBorders>
            <w:vAlign w:val="bottom"/>
          </w:tcPr>
          <w:p w14:paraId="281A0E90" w14:textId="77777777" w:rsidR="00375AF7" w:rsidRDefault="00375AF7">
            <w:pPr>
              <w:rPr>
                <w:sz w:val="12"/>
                <w:szCs w:val="12"/>
              </w:rPr>
            </w:pPr>
          </w:p>
        </w:tc>
        <w:tc>
          <w:tcPr>
            <w:tcW w:w="980" w:type="dxa"/>
            <w:vMerge/>
            <w:tcBorders>
              <w:left w:val="single" w:sz="8" w:space="0" w:color="auto"/>
              <w:bottom w:val="single" w:sz="8" w:space="0" w:color="auto"/>
              <w:right w:val="single" w:sz="8" w:space="0" w:color="auto"/>
            </w:tcBorders>
            <w:vAlign w:val="bottom"/>
          </w:tcPr>
          <w:p w14:paraId="281A0E91" w14:textId="2B6499F7" w:rsidR="00375AF7" w:rsidRDefault="00375AF7" w:rsidP="00347FE4">
            <w:pPr>
              <w:jc w:val="center"/>
              <w:rPr>
                <w:sz w:val="12"/>
                <w:szCs w:val="12"/>
              </w:rPr>
            </w:pPr>
          </w:p>
        </w:tc>
        <w:tc>
          <w:tcPr>
            <w:tcW w:w="2340" w:type="dxa"/>
            <w:vMerge/>
            <w:tcBorders>
              <w:right w:val="single" w:sz="8" w:space="0" w:color="auto"/>
            </w:tcBorders>
            <w:vAlign w:val="bottom"/>
          </w:tcPr>
          <w:p w14:paraId="281A0E92" w14:textId="77777777" w:rsidR="00375AF7" w:rsidRDefault="00375AF7">
            <w:pPr>
              <w:rPr>
                <w:sz w:val="12"/>
                <w:szCs w:val="12"/>
              </w:rPr>
            </w:pPr>
          </w:p>
        </w:tc>
        <w:tc>
          <w:tcPr>
            <w:tcW w:w="900" w:type="dxa"/>
            <w:vMerge/>
            <w:tcBorders>
              <w:right w:val="single" w:sz="8" w:space="0" w:color="auto"/>
            </w:tcBorders>
            <w:vAlign w:val="bottom"/>
          </w:tcPr>
          <w:p w14:paraId="281A0E93" w14:textId="32AAA8C8" w:rsidR="00375AF7" w:rsidRDefault="00375AF7" w:rsidP="00347FE4">
            <w:pPr>
              <w:jc w:val="center"/>
              <w:rPr>
                <w:sz w:val="12"/>
                <w:szCs w:val="12"/>
              </w:rPr>
            </w:pPr>
          </w:p>
        </w:tc>
        <w:tc>
          <w:tcPr>
            <w:tcW w:w="2500" w:type="dxa"/>
            <w:vMerge/>
            <w:tcBorders>
              <w:right w:val="single" w:sz="8" w:space="0" w:color="auto"/>
            </w:tcBorders>
            <w:vAlign w:val="bottom"/>
          </w:tcPr>
          <w:p w14:paraId="281A0E94" w14:textId="77777777" w:rsidR="00375AF7" w:rsidRDefault="00375AF7">
            <w:pPr>
              <w:rPr>
                <w:sz w:val="12"/>
                <w:szCs w:val="12"/>
              </w:rPr>
            </w:pPr>
          </w:p>
        </w:tc>
      </w:tr>
      <w:tr w:rsidR="00375AF7" w14:paraId="281A0E9E" w14:textId="77777777" w:rsidTr="0012720F">
        <w:trPr>
          <w:trHeight w:val="281"/>
        </w:trPr>
        <w:tc>
          <w:tcPr>
            <w:tcW w:w="3840" w:type="dxa"/>
            <w:vMerge/>
            <w:tcBorders>
              <w:left w:val="single" w:sz="8" w:space="0" w:color="auto"/>
              <w:right w:val="single" w:sz="8" w:space="0" w:color="auto"/>
            </w:tcBorders>
            <w:vAlign w:val="bottom"/>
          </w:tcPr>
          <w:p w14:paraId="281A0E98" w14:textId="77777777" w:rsidR="00375AF7" w:rsidRDefault="00375AF7">
            <w:pPr>
              <w:rPr>
                <w:sz w:val="24"/>
                <w:szCs w:val="24"/>
              </w:rPr>
            </w:pPr>
          </w:p>
        </w:tc>
        <w:tc>
          <w:tcPr>
            <w:tcW w:w="980" w:type="dxa"/>
            <w:vMerge/>
            <w:tcBorders>
              <w:left w:val="single" w:sz="8" w:space="0" w:color="auto"/>
              <w:bottom w:val="single" w:sz="8" w:space="0" w:color="auto"/>
              <w:right w:val="single" w:sz="8" w:space="0" w:color="auto"/>
            </w:tcBorders>
            <w:vAlign w:val="bottom"/>
          </w:tcPr>
          <w:p w14:paraId="281A0E99" w14:textId="7AEB0F77" w:rsidR="00375AF7" w:rsidRDefault="00375AF7">
            <w:pPr>
              <w:jc w:val="center"/>
              <w:rPr>
                <w:sz w:val="20"/>
                <w:szCs w:val="20"/>
              </w:rPr>
            </w:pPr>
          </w:p>
        </w:tc>
        <w:tc>
          <w:tcPr>
            <w:tcW w:w="2340" w:type="dxa"/>
            <w:vMerge/>
            <w:tcBorders>
              <w:right w:val="single" w:sz="8" w:space="0" w:color="auto"/>
            </w:tcBorders>
            <w:vAlign w:val="bottom"/>
          </w:tcPr>
          <w:p w14:paraId="281A0E9A" w14:textId="77777777" w:rsidR="00375AF7" w:rsidRDefault="00375AF7">
            <w:pPr>
              <w:rPr>
                <w:sz w:val="24"/>
                <w:szCs w:val="24"/>
              </w:rPr>
            </w:pPr>
          </w:p>
        </w:tc>
        <w:tc>
          <w:tcPr>
            <w:tcW w:w="900" w:type="dxa"/>
            <w:vMerge/>
            <w:tcBorders>
              <w:right w:val="single" w:sz="8" w:space="0" w:color="auto"/>
            </w:tcBorders>
            <w:vAlign w:val="bottom"/>
          </w:tcPr>
          <w:p w14:paraId="281A0E9B" w14:textId="5A8A351E" w:rsidR="00375AF7" w:rsidRDefault="00375AF7">
            <w:pPr>
              <w:jc w:val="center"/>
              <w:rPr>
                <w:sz w:val="20"/>
                <w:szCs w:val="20"/>
              </w:rPr>
            </w:pPr>
          </w:p>
        </w:tc>
        <w:tc>
          <w:tcPr>
            <w:tcW w:w="2500" w:type="dxa"/>
            <w:vMerge/>
            <w:tcBorders>
              <w:right w:val="single" w:sz="8" w:space="0" w:color="auto"/>
            </w:tcBorders>
            <w:vAlign w:val="bottom"/>
          </w:tcPr>
          <w:p w14:paraId="281A0E9C" w14:textId="77777777" w:rsidR="00375AF7" w:rsidRDefault="00375AF7">
            <w:pPr>
              <w:rPr>
                <w:sz w:val="24"/>
                <w:szCs w:val="24"/>
              </w:rPr>
            </w:pPr>
          </w:p>
        </w:tc>
      </w:tr>
      <w:tr w:rsidR="00375AF7" w14:paraId="281A0EA6" w14:textId="77777777" w:rsidTr="0012720F">
        <w:trPr>
          <w:trHeight w:val="56"/>
        </w:trPr>
        <w:tc>
          <w:tcPr>
            <w:tcW w:w="3840" w:type="dxa"/>
            <w:vMerge/>
            <w:tcBorders>
              <w:left w:val="single" w:sz="8" w:space="0" w:color="auto"/>
              <w:bottom w:val="single" w:sz="8" w:space="0" w:color="auto"/>
              <w:right w:val="single" w:sz="8" w:space="0" w:color="auto"/>
            </w:tcBorders>
            <w:vAlign w:val="bottom"/>
          </w:tcPr>
          <w:p w14:paraId="281A0EA0" w14:textId="77777777" w:rsidR="00375AF7" w:rsidRDefault="00375AF7">
            <w:pPr>
              <w:rPr>
                <w:sz w:val="4"/>
                <w:szCs w:val="4"/>
              </w:rPr>
            </w:pPr>
          </w:p>
        </w:tc>
        <w:tc>
          <w:tcPr>
            <w:tcW w:w="980" w:type="dxa"/>
            <w:vMerge/>
            <w:tcBorders>
              <w:left w:val="single" w:sz="8" w:space="0" w:color="auto"/>
              <w:bottom w:val="single" w:sz="8" w:space="0" w:color="auto"/>
              <w:right w:val="single" w:sz="8" w:space="0" w:color="auto"/>
            </w:tcBorders>
            <w:vAlign w:val="bottom"/>
          </w:tcPr>
          <w:p w14:paraId="281A0EA1" w14:textId="77777777" w:rsidR="00375AF7" w:rsidRDefault="00375AF7">
            <w:pPr>
              <w:rPr>
                <w:sz w:val="4"/>
                <w:szCs w:val="4"/>
              </w:rPr>
            </w:pPr>
          </w:p>
        </w:tc>
        <w:tc>
          <w:tcPr>
            <w:tcW w:w="2340" w:type="dxa"/>
            <w:vMerge/>
            <w:tcBorders>
              <w:bottom w:val="single" w:sz="8" w:space="0" w:color="auto"/>
              <w:right w:val="single" w:sz="8" w:space="0" w:color="auto"/>
            </w:tcBorders>
            <w:vAlign w:val="bottom"/>
          </w:tcPr>
          <w:p w14:paraId="281A0EA2" w14:textId="77777777" w:rsidR="00375AF7" w:rsidRDefault="00375AF7">
            <w:pPr>
              <w:rPr>
                <w:sz w:val="4"/>
                <w:szCs w:val="4"/>
              </w:rPr>
            </w:pPr>
          </w:p>
        </w:tc>
        <w:tc>
          <w:tcPr>
            <w:tcW w:w="900" w:type="dxa"/>
            <w:vMerge/>
            <w:tcBorders>
              <w:bottom w:val="single" w:sz="8" w:space="0" w:color="auto"/>
              <w:right w:val="single" w:sz="8" w:space="0" w:color="auto"/>
            </w:tcBorders>
            <w:vAlign w:val="bottom"/>
          </w:tcPr>
          <w:p w14:paraId="281A0EA3" w14:textId="77777777" w:rsidR="00375AF7" w:rsidRDefault="00375AF7">
            <w:pPr>
              <w:rPr>
                <w:sz w:val="4"/>
                <w:szCs w:val="4"/>
              </w:rPr>
            </w:pPr>
          </w:p>
        </w:tc>
        <w:tc>
          <w:tcPr>
            <w:tcW w:w="2500" w:type="dxa"/>
            <w:vMerge/>
            <w:tcBorders>
              <w:bottom w:val="single" w:sz="8" w:space="0" w:color="auto"/>
              <w:right w:val="single" w:sz="8" w:space="0" w:color="auto"/>
            </w:tcBorders>
            <w:vAlign w:val="bottom"/>
          </w:tcPr>
          <w:p w14:paraId="281A0EA4" w14:textId="77777777" w:rsidR="00375AF7" w:rsidRDefault="00375AF7">
            <w:pPr>
              <w:rPr>
                <w:sz w:val="4"/>
                <w:szCs w:val="4"/>
              </w:rPr>
            </w:pPr>
          </w:p>
        </w:tc>
      </w:tr>
      <w:tr w:rsidR="00375AF7" w14:paraId="78C4ED3A" w14:textId="77777777" w:rsidTr="0012720F">
        <w:trPr>
          <w:trHeight w:val="320"/>
        </w:trPr>
        <w:tc>
          <w:tcPr>
            <w:tcW w:w="10560" w:type="dxa"/>
            <w:gridSpan w:val="5"/>
            <w:tcBorders>
              <w:top w:val="single" w:sz="8" w:space="0" w:color="auto"/>
              <w:left w:val="single" w:sz="8" w:space="0" w:color="auto"/>
              <w:bottom w:val="single" w:sz="8" w:space="0" w:color="auto"/>
              <w:right w:val="single" w:sz="8" w:space="0" w:color="auto"/>
            </w:tcBorders>
            <w:vAlign w:val="center"/>
          </w:tcPr>
          <w:p w14:paraId="25C45A32" w14:textId="50471605" w:rsidR="00375AF7" w:rsidRDefault="00375AF7" w:rsidP="00563A54">
            <w:pPr>
              <w:numPr>
                <w:ilvl w:val="0"/>
                <w:numId w:val="518"/>
              </w:numPr>
              <w:tabs>
                <w:tab w:val="left" w:pos="340"/>
              </w:tabs>
              <w:ind w:left="334" w:hanging="190"/>
              <w:rPr>
                <w:sz w:val="24"/>
                <w:szCs w:val="24"/>
              </w:rPr>
            </w:pPr>
            <w:r>
              <w:rPr>
                <w:rFonts w:eastAsia="Times New Roman"/>
                <w:b/>
                <w:bCs/>
                <w:sz w:val="18"/>
                <w:szCs w:val="18"/>
              </w:rPr>
              <w:t>Violations of National Primary Drinking Water Regulations and 310 CMR 22.00</w:t>
            </w:r>
            <w:r w:rsidRPr="002504B8">
              <w:rPr>
                <w:rFonts w:eastAsia="Times New Roman"/>
                <w:b/>
                <w:bCs/>
                <w:sz w:val="18"/>
                <w:szCs w:val="18"/>
                <w:vertAlign w:val="superscript"/>
              </w:rPr>
              <w:t>3</w:t>
            </w:r>
          </w:p>
        </w:tc>
      </w:tr>
      <w:tr w:rsidR="00375AF7" w14:paraId="281A0EB2" w14:textId="77777777" w:rsidTr="0012720F">
        <w:trPr>
          <w:trHeight w:val="414"/>
        </w:trPr>
        <w:tc>
          <w:tcPr>
            <w:tcW w:w="10560" w:type="dxa"/>
            <w:gridSpan w:val="5"/>
            <w:tcBorders>
              <w:top w:val="single" w:sz="8" w:space="0" w:color="auto"/>
              <w:left w:val="single" w:sz="8" w:space="0" w:color="auto"/>
              <w:bottom w:val="single" w:sz="8" w:space="0" w:color="auto"/>
              <w:right w:val="single" w:sz="8" w:space="0" w:color="auto"/>
            </w:tcBorders>
            <w:vAlign w:val="center"/>
          </w:tcPr>
          <w:p w14:paraId="281A0EB1" w14:textId="222BE502" w:rsidR="00375AF7" w:rsidRDefault="00375AF7" w:rsidP="0093030A">
            <w:pPr>
              <w:ind w:left="86"/>
              <w:rPr>
                <w:sz w:val="24"/>
                <w:szCs w:val="24"/>
              </w:rPr>
            </w:pPr>
            <w:r>
              <w:rPr>
                <w:rFonts w:eastAsia="Times New Roman"/>
                <w:sz w:val="18"/>
                <w:szCs w:val="18"/>
              </w:rPr>
              <w:t xml:space="preserve">A.  </w:t>
            </w:r>
            <w:r>
              <w:rPr>
                <w:rFonts w:eastAsia="Times New Roman"/>
                <w:b/>
                <w:bCs/>
                <w:sz w:val="18"/>
                <w:szCs w:val="18"/>
              </w:rPr>
              <w:t>Microbiological Contaminants</w:t>
            </w:r>
          </w:p>
        </w:tc>
      </w:tr>
      <w:tr w:rsidR="00375AF7" w14:paraId="281A0EC0" w14:textId="77777777" w:rsidTr="0012720F">
        <w:trPr>
          <w:trHeight w:val="1293"/>
        </w:trPr>
        <w:tc>
          <w:tcPr>
            <w:tcW w:w="3840" w:type="dxa"/>
            <w:tcBorders>
              <w:top w:val="single" w:sz="8" w:space="0" w:color="auto"/>
              <w:left w:val="single" w:sz="8" w:space="0" w:color="auto"/>
              <w:bottom w:val="single" w:sz="8" w:space="0" w:color="auto"/>
              <w:right w:val="single" w:sz="8" w:space="0" w:color="auto"/>
            </w:tcBorders>
            <w:vAlign w:val="center"/>
          </w:tcPr>
          <w:p w14:paraId="281A0EBA" w14:textId="77E77E85" w:rsidR="00375AF7" w:rsidRDefault="00375AF7" w:rsidP="005B1BAA">
            <w:pPr>
              <w:ind w:left="80"/>
              <w:rPr>
                <w:sz w:val="20"/>
                <w:szCs w:val="20"/>
              </w:rPr>
            </w:pPr>
            <w:r>
              <w:rPr>
                <w:rFonts w:eastAsia="Times New Roman"/>
                <w:sz w:val="18"/>
                <w:szCs w:val="18"/>
              </w:rPr>
              <w:t>1.a. Total coliform (TT violations resulting from failure to perform assessments or corrective actions, monitoring violations, and reporting violations).</w:t>
            </w:r>
          </w:p>
        </w:tc>
        <w:tc>
          <w:tcPr>
            <w:tcW w:w="980" w:type="dxa"/>
            <w:tcBorders>
              <w:top w:val="single" w:sz="8" w:space="0" w:color="auto"/>
              <w:bottom w:val="single" w:sz="8" w:space="0" w:color="auto"/>
              <w:right w:val="single" w:sz="8" w:space="0" w:color="auto"/>
            </w:tcBorders>
            <w:vAlign w:val="center"/>
          </w:tcPr>
          <w:p w14:paraId="281A0EBB" w14:textId="77777777" w:rsidR="00375AF7" w:rsidRDefault="00375AF7" w:rsidP="005B1BAA">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0EBC" w14:textId="4C374214" w:rsidR="00375AF7" w:rsidRDefault="00375AF7" w:rsidP="005B1BAA">
            <w:pPr>
              <w:jc w:val="center"/>
              <w:rPr>
                <w:sz w:val="20"/>
                <w:szCs w:val="20"/>
              </w:rPr>
            </w:pPr>
            <w:r>
              <w:rPr>
                <w:rFonts w:eastAsia="Times New Roman"/>
                <w:sz w:val="18"/>
                <w:szCs w:val="18"/>
              </w:rPr>
              <w:t>310 CMR 22.05(11)(b)1.</w:t>
            </w:r>
          </w:p>
        </w:tc>
        <w:tc>
          <w:tcPr>
            <w:tcW w:w="900" w:type="dxa"/>
            <w:tcBorders>
              <w:top w:val="single" w:sz="8" w:space="0" w:color="auto"/>
              <w:bottom w:val="single" w:sz="8" w:space="0" w:color="auto"/>
              <w:right w:val="single" w:sz="8" w:space="0" w:color="auto"/>
            </w:tcBorders>
            <w:vAlign w:val="center"/>
          </w:tcPr>
          <w:p w14:paraId="281A0EBD" w14:textId="77777777" w:rsidR="00375AF7" w:rsidRDefault="00375AF7" w:rsidP="005B1BAA">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3C491A4A" w14:textId="2FE1382F" w:rsidR="00375AF7" w:rsidRDefault="00375AF7" w:rsidP="005B1BAA">
            <w:pPr>
              <w:ind w:left="60"/>
              <w:jc w:val="center"/>
              <w:rPr>
                <w:sz w:val="20"/>
                <w:szCs w:val="20"/>
              </w:rPr>
            </w:pPr>
            <w:r>
              <w:rPr>
                <w:rFonts w:eastAsia="Times New Roman"/>
                <w:sz w:val="18"/>
                <w:szCs w:val="18"/>
              </w:rPr>
              <w:t>310 CMR 22.05(11)(c)1.</w:t>
            </w:r>
          </w:p>
          <w:p w14:paraId="281A0EBF" w14:textId="12CCBD7D" w:rsidR="00375AF7" w:rsidRDefault="00375AF7" w:rsidP="005B1BAA">
            <w:pPr>
              <w:ind w:left="60"/>
              <w:jc w:val="center"/>
              <w:rPr>
                <w:sz w:val="20"/>
                <w:szCs w:val="20"/>
              </w:rPr>
            </w:pPr>
            <w:r>
              <w:rPr>
                <w:rFonts w:eastAsia="Times New Roman"/>
                <w:sz w:val="18"/>
                <w:szCs w:val="18"/>
              </w:rPr>
              <w:t>310 CMR 22.05(11)(d)1.</w:t>
            </w:r>
          </w:p>
        </w:tc>
      </w:tr>
      <w:tr w:rsidR="00375AF7" w14:paraId="281A0EE5" w14:textId="77777777" w:rsidTr="0012720F">
        <w:trPr>
          <w:trHeight w:val="1293"/>
        </w:trPr>
        <w:tc>
          <w:tcPr>
            <w:tcW w:w="3840" w:type="dxa"/>
            <w:tcBorders>
              <w:top w:val="single" w:sz="8" w:space="0" w:color="auto"/>
              <w:left w:val="single" w:sz="8" w:space="0" w:color="auto"/>
              <w:bottom w:val="single" w:sz="8" w:space="0" w:color="auto"/>
              <w:right w:val="single" w:sz="8" w:space="0" w:color="auto"/>
            </w:tcBorders>
            <w:vAlign w:val="center"/>
          </w:tcPr>
          <w:p w14:paraId="281A0EDF" w14:textId="57D83C00" w:rsidR="00375AF7" w:rsidRDefault="00375AF7" w:rsidP="005B1BAA">
            <w:pPr>
              <w:ind w:left="80"/>
              <w:rPr>
                <w:sz w:val="20"/>
                <w:szCs w:val="20"/>
              </w:rPr>
            </w:pPr>
            <w:r>
              <w:rPr>
                <w:rFonts w:eastAsia="Times New Roman"/>
                <w:sz w:val="18"/>
                <w:szCs w:val="18"/>
              </w:rPr>
              <w:t>1.b. Seasonal System failure to follow Department-approved start-up plan prior to serving water to the public or failure to provide certification to the State.</w:t>
            </w:r>
          </w:p>
        </w:tc>
        <w:tc>
          <w:tcPr>
            <w:tcW w:w="980" w:type="dxa"/>
            <w:tcBorders>
              <w:top w:val="single" w:sz="8" w:space="0" w:color="auto"/>
              <w:bottom w:val="single" w:sz="8" w:space="0" w:color="auto"/>
              <w:right w:val="single" w:sz="8" w:space="0" w:color="auto"/>
            </w:tcBorders>
            <w:vAlign w:val="center"/>
          </w:tcPr>
          <w:p w14:paraId="281A0EE0" w14:textId="77777777" w:rsidR="00375AF7" w:rsidRDefault="00375AF7" w:rsidP="005B1BAA">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0EE1" w14:textId="0FC2B60C" w:rsidR="00375AF7" w:rsidRDefault="00375AF7" w:rsidP="005B1BAA">
            <w:pPr>
              <w:jc w:val="center"/>
              <w:rPr>
                <w:sz w:val="20"/>
                <w:szCs w:val="20"/>
              </w:rPr>
            </w:pPr>
            <w:r>
              <w:rPr>
                <w:rFonts w:eastAsia="Times New Roman"/>
                <w:sz w:val="18"/>
                <w:szCs w:val="18"/>
              </w:rPr>
              <w:t>310 CMR 22.05(11)(b)(2)</w:t>
            </w:r>
          </w:p>
        </w:tc>
        <w:tc>
          <w:tcPr>
            <w:tcW w:w="900" w:type="dxa"/>
            <w:tcBorders>
              <w:top w:val="single" w:sz="8" w:space="0" w:color="auto"/>
              <w:bottom w:val="single" w:sz="8" w:space="0" w:color="auto"/>
              <w:right w:val="single" w:sz="8" w:space="0" w:color="auto"/>
            </w:tcBorders>
            <w:vAlign w:val="center"/>
          </w:tcPr>
          <w:p w14:paraId="281A0EE2" w14:textId="77777777" w:rsidR="00375AF7" w:rsidRDefault="00375AF7" w:rsidP="005B1BAA">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0EE4" w14:textId="7C479797" w:rsidR="00375AF7" w:rsidRDefault="00375AF7" w:rsidP="005B1BAA">
            <w:pPr>
              <w:ind w:left="60"/>
              <w:jc w:val="center"/>
              <w:rPr>
                <w:sz w:val="20"/>
                <w:szCs w:val="20"/>
              </w:rPr>
            </w:pPr>
            <w:r>
              <w:rPr>
                <w:rFonts w:eastAsia="Times New Roman"/>
                <w:sz w:val="18"/>
                <w:szCs w:val="18"/>
              </w:rPr>
              <w:t>310 CMR 22.05(11)(d)3.</w:t>
            </w:r>
          </w:p>
        </w:tc>
      </w:tr>
      <w:tr w:rsidR="00375AF7" w14:paraId="281A0F0C" w14:textId="77777777" w:rsidTr="0012720F">
        <w:trPr>
          <w:trHeight w:val="952"/>
        </w:trPr>
        <w:tc>
          <w:tcPr>
            <w:tcW w:w="3840" w:type="dxa"/>
            <w:tcBorders>
              <w:top w:val="single" w:sz="8" w:space="0" w:color="auto"/>
              <w:left w:val="single" w:sz="8" w:space="0" w:color="auto"/>
              <w:bottom w:val="single" w:sz="8" w:space="0" w:color="auto"/>
              <w:right w:val="single" w:sz="8" w:space="0" w:color="auto"/>
            </w:tcBorders>
            <w:vAlign w:val="center"/>
          </w:tcPr>
          <w:p w14:paraId="281A0F05" w14:textId="0AD3E833" w:rsidR="00375AF7" w:rsidRDefault="00375AF7" w:rsidP="005B1BAA">
            <w:pPr>
              <w:ind w:left="80"/>
              <w:rPr>
                <w:sz w:val="20"/>
                <w:szCs w:val="20"/>
              </w:rPr>
            </w:pPr>
            <w:r>
              <w:rPr>
                <w:rFonts w:eastAsia="Times New Roman"/>
                <w:sz w:val="18"/>
                <w:szCs w:val="18"/>
              </w:rPr>
              <w:t xml:space="preserve">2.a. </w:t>
            </w:r>
            <w:r>
              <w:rPr>
                <w:rFonts w:eastAsia="Times New Roman"/>
                <w:i/>
                <w:iCs/>
                <w:sz w:val="18"/>
                <w:szCs w:val="18"/>
              </w:rPr>
              <w:t>E. coli</w:t>
            </w:r>
            <w:r>
              <w:rPr>
                <w:rFonts w:eastAsia="Times New Roman"/>
                <w:sz w:val="18"/>
                <w:szCs w:val="18"/>
              </w:rPr>
              <w:t xml:space="preserve"> (MCL, monitoring, and reporting violations).</w:t>
            </w:r>
          </w:p>
        </w:tc>
        <w:tc>
          <w:tcPr>
            <w:tcW w:w="980" w:type="dxa"/>
            <w:tcBorders>
              <w:top w:val="single" w:sz="8" w:space="0" w:color="auto"/>
              <w:bottom w:val="single" w:sz="8" w:space="0" w:color="auto"/>
              <w:right w:val="single" w:sz="8" w:space="0" w:color="auto"/>
            </w:tcBorders>
            <w:vAlign w:val="center"/>
          </w:tcPr>
          <w:p w14:paraId="281A0F06" w14:textId="77777777" w:rsidR="00375AF7" w:rsidRDefault="00375AF7" w:rsidP="005B1BAA">
            <w:pPr>
              <w:jc w:val="center"/>
              <w:rPr>
                <w:sz w:val="20"/>
                <w:szCs w:val="20"/>
              </w:rPr>
            </w:pPr>
            <w:r>
              <w:rPr>
                <w:rFonts w:eastAsia="Times New Roman"/>
                <w:w w:val="88"/>
                <w:sz w:val="18"/>
                <w:szCs w:val="18"/>
              </w:rPr>
              <w:t>1</w:t>
            </w:r>
          </w:p>
        </w:tc>
        <w:tc>
          <w:tcPr>
            <w:tcW w:w="2340" w:type="dxa"/>
            <w:tcBorders>
              <w:top w:val="single" w:sz="8" w:space="0" w:color="auto"/>
              <w:bottom w:val="single" w:sz="8" w:space="0" w:color="auto"/>
              <w:right w:val="single" w:sz="8" w:space="0" w:color="auto"/>
            </w:tcBorders>
            <w:vAlign w:val="center"/>
          </w:tcPr>
          <w:p w14:paraId="281A0F08" w14:textId="74010279" w:rsidR="00375AF7" w:rsidRDefault="00375AF7" w:rsidP="005B1BAA">
            <w:pPr>
              <w:jc w:val="center"/>
              <w:rPr>
                <w:sz w:val="20"/>
                <w:szCs w:val="20"/>
              </w:rPr>
            </w:pPr>
            <w:r>
              <w:rPr>
                <w:rFonts w:eastAsia="Times New Roman"/>
                <w:sz w:val="18"/>
                <w:szCs w:val="18"/>
              </w:rPr>
              <w:t>310 CMR 22.05(11)(a)</w:t>
            </w:r>
          </w:p>
        </w:tc>
        <w:tc>
          <w:tcPr>
            <w:tcW w:w="900" w:type="dxa"/>
            <w:tcBorders>
              <w:top w:val="single" w:sz="8" w:space="0" w:color="auto"/>
              <w:left w:val="single" w:sz="8" w:space="0" w:color="auto"/>
              <w:bottom w:val="single" w:sz="8" w:space="0" w:color="auto"/>
              <w:right w:val="single" w:sz="8" w:space="0" w:color="auto"/>
            </w:tcBorders>
            <w:vAlign w:val="center"/>
          </w:tcPr>
          <w:p w14:paraId="281A0F09" w14:textId="4E385263" w:rsidR="00375AF7" w:rsidRDefault="00375AF7" w:rsidP="005B1BAA">
            <w:pPr>
              <w:jc w:val="center"/>
              <w:rPr>
                <w:sz w:val="20"/>
                <w:szCs w:val="20"/>
              </w:rPr>
            </w:pPr>
            <w:r>
              <w:rPr>
                <w:rFonts w:eastAsia="Times New Roman"/>
                <w:w w:val="88"/>
                <w:sz w:val="18"/>
                <w:szCs w:val="18"/>
              </w:rPr>
              <w:t>3</w:t>
            </w:r>
            <w:r w:rsidR="009254BB" w:rsidRPr="002504B8">
              <w:rPr>
                <w:rFonts w:eastAsia="Times New Roman"/>
                <w:w w:val="88"/>
                <w:sz w:val="18"/>
                <w:szCs w:val="18"/>
                <w:vertAlign w:val="superscript"/>
              </w:rPr>
              <w:t>4</w:t>
            </w:r>
          </w:p>
        </w:tc>
        <w:tc>
          <w:tcPr>
            <w:tcW w:w="2500" w:type="dxa"/>
            <w:tcBorders>
              <w:top w:val="single" w:sz="8" w:space="0" w:color="auto"/>
              <w:bottom w:val="single" w:sz="8" w:space="0" w:color="auto"/>
              <w:right w:val="single" w:sz="8" w:space="0" w:color="auto"/>
            </w:tcBorders>
            <w:vAlign w:val="center"/>
          </w:tcPr>
          <w:p w14:paraId="534DCF38" w14:textId="5C1FBE11" w:rsidR="00375AF7" w:rsidRDefault="00375AF7" w:rsidP="005B1BAA">
            <w:pPr>
              <w:jc w:val="center"/>
              <w:rPr>
                <w:sz w:val="20"/>
                <w:szCs w:val="20"/>
              </w:rPr>
            </w:pPr>
            <w:r>
              <w:rPr>
                <w:rFonts w:eastAsia="Times New Roman"/>
                <w:sz w:val="18"/>
                <w:szCs w:val="18"/>
              </w:rPr>
              <w:t>310 CMR 22.05(11)(c)2.</w:t>
            </w:r>
          </w:p>
          <w:p w14:paraId="1C1026FB" w14:textId="7DF30983" w:rsidR="00375AF7" w:rsidRDefault="00375AF7" w:rsidP="005B1BAA">
            <w:pPr>
              <w:jc w:val="center"/>
              <w:rPr>
                <w:sz w:val="20"/>
                <w:szCs w:val="20"/>
              </w:rPr>
            </w:pPr>
            <w:r>
              <w:rPr>
                <w:rFonts w:eastAsia="Times New Roman"/>
                <w:sz w:val="18"/>
                <w:szCs w:val="18"/>
              </w:rPr>
              <w:t>310 CMR 22.05(11)(d)1.</w:t>
            </w:r>
          </w:p>
          <w:p w14:paraId="281A0F0B" w14:textId="7A18ECBF" w:rsidR="00375AF7" w:rsidRDefault="00375AF7" w:rsidP="005B1BAA">
            <w:pPr>
              <w:jc w:val="center"/>
              <w:rPr>
                <w:sz w:val="20"/>
                <w:szCs w:val="20"/>
              </w:rPr>
            </w:pPr>
            <w:r>
              <w:rPr>
                <w:rFonts w:eastAsia="Times New Roman"/>
                <w:sz w:val="18"/>
                <w:szCs w:val="18"/>
              </w:rPr>
              <w:t>310 CMR 22.05(11)(d)2.</w:t>
            </w:r>
          </w:p>
        </w:tc>
      </w:tr>
      <w:tr w:rsidR="00375AF7" w14:paraId="281A0F28" w14:textId="77777777" w:rsidTr="0012720F">
        <w:trPr>
          <w:trHeight w:val="995"/>
        </w:trPr>
        <w:tc>
          <w:tcPr>
            <w:tcW w:w="3840" w:type="dxa"/>
            <w:tcBorders>
              <w:top w:val="single" w:sz="8" w:space="0" w:color="auto"/>
              <w:left w:val="single" w:sz="8" w:space="0" w:color="auto"/>
              <w:bottom w:val="single" w:sz="8" w:space="0" w:color="auto"/>
              <w:right w:val="single" w:sz="8" w:space="0" w:color="auto"/>
            </w:tcBorders>
            <w:vAlign w:val="center"/>
          </w:tcPr>
          <w:p w14:paraId="281A0F23" w14:textId="17C5CA9B" w:rsidR="00375AF7" w:rsidRDefault="00375AF7" w:rsidP="005B1BAA">
            <w:pPr>
              <w:ind w:left="80"/>
              <w:rPr>
                <w:sz w:val="20"/>
                <w:szCs w:val="20"/>
              </w:rPr>
            </w:pPr>
            <w:r>
              <w:rPr>
                <w:rFonts w:eastAsia="Times New Roman"/>
                <w:sz w:val="18"/>
                <w:szCs w:val="18"/>
              </w:rPr>
              <w:t xml:space="preserve">2.b. </w:t>
            </w:r>
            <w:r>
              <w:rPr>
                <w:rFonts w:eastAsia="Times New Roman"/>
                <w:i/>
                <w:iCs/>
                <w:sz w:val="18"/>
                <w:szCs w:val="18"/>
              </w:rPr>
              <w:t>E. coli</w:t>
            </w:r>
            <w:r>
              <w:rPr>
                <w:rFonts w:eastAsia="Times New Roman"/>
                <w:sz w:val="18"/>
                <w:szCs w:val="18"/>
              </w:rPr>
              <w:t xml:space="preserve"> (TT violations resulting from failure to perform Level 2 Assessments or corrective action).</w:t>
            </w:r>
          </w:p>
        </w:tc>
        <w:tc>
          <w:tcPr>
            <w:tcW w:w="980" w:type="dxa"/>
            <w:tcBorders>
              <w:top w:val="single" w:sz="8" w:space="0" w:color="auto"/>
              <w:bottom w:val="single" w:sz="8" w:space="0" w:color="auto"/>
              <w:right w:val="single" w:sz="8" w:space="0" w:color="auto"/>
            </w:tcBorders>
            <w:vAlign w:val="center"/>
          </w:tcPr>
          <w:p w14:paraId="281A0F24" w14:textId="77777777" w:rsidR="00375AF7" w:rsidRDefault="00375AF7" w:rsidP="005B1BAA">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0F25" w14:textId="5478BDCA" w:rsidR="00375AF7" w:rsidRDefault="00375AF7" w:rsidP="005B1BAA">
            <w:pPr>
              <w:jc w:val="center"/>
              <w:rPr>
                <w:sz w:val="20"/>
                <w:szCs w:val="20"/>
              </w:rPr>
            </w:pPr>
            <w:r>
              <w:rPr>
                <w:rFonts w:eastAsia="Times New Roman"/>
                <w:sz w:val="18"/>
                <w:szCs w:val="18"/>
              </w:rPr>
              <w:t>310 CMR 22.05(11)(b)1.</w:t>
            </w:r>
          </w:p>
        </w:tc>
        <w:tc>
          <w:tcPr>
            <w:tcW w:w="900" w:type="dxa"/>
            <w:tcBorders>
              <w:top w:val="single" w:sz="8" w:space="0" w:color="auto"/>
              <w:bottom w:val="single" w:sz="8" w:space="0" w:color="auto"/>
              <w:right w:val="single" w:sz="8" w:space="0" w:color="auto"/>
            </w:tcBorders>
            <w:vAlign w:val="center"/>
          </w:tcPr>
          <w:p w14:paraId="281A0F26" w14:textId="549DAFD8" w:rsidR="00375AF7" w:rsidRDefault="00375AF7" w:rsidP="005B1BAA">
            <w:pPr>
              <w:jc w:val="center"/>
              <w:rPr>
                <w:sz w:val="20"/>
                <w:szCs w:val="20"/>
              </w:rPr>
            </w:pPr>
            <w:r>
              <w:rPr>
                <w:rFonts w:eastAsia="Times New Roman"/>
                <w:w w:val="93"/>
                <w:sz w:val="18"/>
                <w:szCs w:val="18"/>
              </w:rPr>
              <w:t>……</w:t>
            </w:r>
          </w:p>
        </w:tc>
        <w:tc>
          <w:tcPr>
            <w:tcW w:w="2500" w:type="dxa"/>
            <w:tcBorders>
              <w:top w:val="single" w:sz="8" w:space="0" w:color="auto"/>
              <w:bottom w:val="single" w:sz="8" w:space="0" w:color="auto"/>
              <w:right w:val="single" w:sz="8" w:space="0" w:color="auto"/>
            </w:tcBorders>
            <w:vAlign w:val="center"/>
          </w:tcPr>
          <w:p w14:paraId="281A0F27" w14:textId="58B3F197" w:rsidR="00375AF7" w:rsidRDefault="00375AF7" w:rsidP="005B1BAA">
            <w:pPr>
              <w:ind w:left="60"/>
              <w:jc w:val="center"/>
              <w:rPr>
                <w:sz w:val="20"/>
                <w:szCs w:val="20"/>
              </w:rPr>
            </w:pPr>
            <w:r>
              <w:rPr>
                <w:rFonts w:eastAsia="Times New Roman"/>
                <w:sz w:val="18"/>
                <w:szCs w:val="18"/>
              </w:rPr>
              <w:t>……………………</w:t>
            </w:r>
          </w:p>
        </w:tc>
      </w:tr>
      <w:tr w:rsidR="00375AF7" w14:paraId="281A0F47" w14:textId="77777777" w:rsidTr="0012720F">
        <w:trPr>
          <w:trHeight w:val="952"/>
        </w:trPr>
        <w:tc>
          <w:tcPr>
            <w:tcW w:w="3840" w:type="dxa"/>
            <w:tcBorders>
              <w:top w:val="single" w:sz="8" w:space="0" w:color="auto"/>
              <w:left w:val="single" w:sz="8" w:space="0" w:color="auto"/>
              <w:bottom w:val="single" w:sz="8" w:space="0" w:color="auto"/>
              <w:right w:val="single" w:sz="8" w:space="0" w:color="auto"/>
            </w:tcBorders>
            <w:vAlign w:val="center"/>
          </w:tcPr>
          <w:p w14:paraId="281A0F40" w14:textId="77777777" w:rsidR="00375AF7" w:rsidRDefault="00375AF7" w:rsidP="005B1BAA">
            <w:pPr>
              <w:ind w:left="80"/>
              <w:rPr>
                <w:sz w:val="20"/>
                <w:szCs w:val="20"/>
              </w:rPr>
            </w:pPr>
            <w:r>
              <w:rPr>
                <w:rFonts w:eastAsia="Times New Roman"/>
                <w:sz w:val="18"/>
                <w:szCs w:val="18"/>
              </w:rPr>
              <w:t>3. Turbidity MCL.</w:t>
            </w:r>
          </w:p>
        </w:tc>
        <w:tc>
          <w:tcPr>
            <w:tcW w:w="980" w:type="dxa"/>
            <w:tcBorders>
              <w:top w:val="single" w:sz="8" w:space="0" w:color="auto"/>
              <w:bottom w:val="single" w:sz="8" w:space="0" w:color="auto"/>
              <w:right w:val="single" w:sz="8" w:space="0" w:color="auto"/>
            </w:tcBorders>
            <w:vAlign w:val="center"/>
          </w:tcPr>
          <w:p w14:paraId="281A0F41" w14:textId="77777777" w:rsidR="00375AF7" w:rsidRDefault="00375AF7" w:rsidP="005B1BAA">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6FA43E1B" w14:textId="5D900505" w:rsidR="00375AF7" w:rsidRDefault="00375AF7" w:rsidP="005B1BAA">
            <w:pPr>
              <w:jc w:val="center"/>
              <w:rPr>
                <w:sz w:val="20"/>
                <w:szCs w:val="20"/>
              </w:rPr>
            </w:pPr>
            <w:r>
              <w:rPr>
                <w:rFonts w:eastAsia="Times New Roman"/>
                <w:sz w:val="18"/>
                <w:szCs w:val="18"/>
              </w:rPr>
              <w:t>310 CMR 22.08</w:t>
            </w:r>
          </w:p>
          <w:p w14:paraId="22D06B1F" w14:textId="0983E7D3" w:rsidR="00375AF7" w:rsidRDefault="00375AF7" w:rsidP="005B1BAA">
            <w:pPr>
              <w:jc w:val="center"/>
              <w:rPr>
                <w:sz w:val="20"/>
                <w:szCs w:val="20"/>
              </w:rPr>
            </w:pPr>
            <w:r>
              <w:rPr>
                <w:rFonts w:eastAsia="Times New Roman"/>
                <w:sz w:val="18"/>
                <w:szCs w:val="18"/>
              </w:rPr>
              <w:t>310 CMR 22.20A</w:t>
            </w:r>
          </w:p>
          <w:p w14:paraId="281A0F43" w14:textId="51C1FFE8" w:rsidR="00375AF7" w:rsidRDefault="00375AF7" w:rsidP="005B1BAA">
            <w:pPr>
              <w:jc w:val="center"/>
              <w:rPr>
                <w:sz w:val="20"/>
                <w:szCs w:val="20"/>
              </w:rPr>
            </w:pPr>
            <w:r>
              <w:rPr>
                <w:rFonts w:eastAsia="Times New Roman"/>
                <w:sz w:val="18"/>
                <w:szCs w:val="18"/>
              </w:rPr>
              <w:t>310 CMR 22.20D</w:t>
            </w:r>
          </w:p>
        </w:tc>
        <w:tc>
          <w:tcPr>
            <w:tcW w:w="900" w:type="dxa"/>
            <w:tcBorders>
              <w:top w:val="single" w:sz="8" w:space="0" w:color="auto"/>
              <w:left w:val="single" w:sz="8" w:space="0" w:color="auto"/>
              <w:bottom w:val="single" w:sz="8" w:space="0" w:color="auto"/>
              <w:right w:val="single" w:sz="8" w:space="0" w:color="auto"/>
            </w:tcBorders>
            <w:vAlign w:val="center"/>
          </w:tcPr>
          <w:p w14:paraId="281A0F44" w14:textId="77777777" w:rsidR="00375AF7" w:rsidRDefault="00375AF7" w:rsidP="005B1BAA">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3B3BB275" w14:textId="7F6AC3CB" w:rsidR="00375AF7" w:rsidRDefault="00375AF7" w:rsidP="005B1BAA">
            <w:pPr>
              <w:jc w:val="center"/>
              <w:rPr>
                <w:sz w:val="20"/>
                <w:szCs w:val="20"/>
              </w:rPr>
            </w:pPr>
            <w:r>
              <w:rPr>
                <w:rFonts w:eastAsia="Times New Roman"/>
                <w:sz w:val="18"/>
                <w:szCs w:val="18"/>
              </w:rPr>
              <w:t>310 CMR 22.08</w:t>
            </w:r>
          </w:p>
          <w:p w14:paraId="2A0183CC" w14:textId="517744A1" w:rsidR="00375AF7" w:rsidRDefault="00375AF7" w:rsidP="005B1BAA">
            <w:pPr>
              <w:jc w:val="center"/>
              <w:rPr>
                <w:sz w:val="20"/>
                <w:szCs w:val="20"/>
              </w:rPr>
            </w:pPr>
            <w:r>
              <w:rPr>
                <w:rFonts w:eastAsia="Times New Roman"/>
                <w:sz w:val="18"/>
                <w:szCs w:val="18"/>
              </w:rPr>
              <w:t>310 CMR 22.20A</w:t>
            </w:r>
          </w:p>
          <w:p w14:paraId="281A0F46" w14:textId="4D276091" w:rsidR="00375AF7" w:rsidRDefault="00375AF7" w:rsidP="005B1BAA">
            <w:pPr>
              <w:jc w:val="center"/>
              <w:rPr>
                <w:sz w:val="20"/>
                <w:szCs w:val="20"/>
              </w:rPr>
            </w:pPr>
            <w:r>
              <w:rPr>
                <w:rFonts w:eastAsia="Times New Roman"/>
                <w:sz w:val="18"/>
                <w:szCs w:val="18"/>
              </w:rPr>
              <w:t>310 CMR 22.20D</w:t>
            </w:r>
          </w:p>
        </w:tc>
      </w:tr>
      <w:tr w:rsidR="00375AF7" w14:paraId="281A0F67" w14:textId="77777777" w:rsidTr="0012720F">
        <w:trPr>
          <w:trHeight w:val="674"/>
        </w:trPr>
        <w:tc>
          <w:tcPr>
            <w:tcW w:w="3840" w:type="dxa"/>
            <w:tcBorders>
              <w:top w:val="single" w:sz="8" w:space="0" w:color="auto"/>
              <w:left w:val="single" w:sz="8" w:space="0" w:color="auto"/>
              <w:bottom w:val="single" w:sz="8" w:space="0" w:color="auto"/>
              <w:right w:val="single" w:sz="8" w:space="0" w:color="auto"/>
            </w:tcBorders>
            <w:vAlign w:val="center"/>
          </w:tcPr>
          <w:p w14:paraId="281A0F60" w14:textId="4388E785" w:rsidR="00375AF7" w:rsidRDefault="00375AF7" w:rsidP="00F4188D">
            <w:pPr>
              <w:ind w:left="80"/>
              <w:rPr>
                <w:sz w:val="20"/>
                <w:szCs w:val="20"/>
              </w:rPr>
            </w:pPr>
            <w:r>
              <w:rPr>
                <w:rFonts w:eastAsia="Times New Roman"/>
                <w:sz w:val="18"/>
                <w:szCs w:val="18"/>
              </w:rPr>
              <w:t>4. Turbidity MCL (average of 2 days' samples &gt; five NTU).</w:t>
            </w:r>
          </w:p>
        </w:tc>
        <w:tc>
          <w:tcPr>
            <w:tcW w:w="980" w:type="dxa"/>
            <w:tcBorders>
              <w:top w:val="single" w:sz="8" w:space="0" w:color="auto"/>
              <w:bottom w:val="single" w:sz="8" w:space="0" w:color="auto"/>
              <w:right w:val="single" w:sz="8" w:space="0" w:color="auto"/>
            </w:tcBorders>
            <w:vAlign w:val="center"/>
          </w:tcPr>
          <w:p w14:paraId="281A0F61" w14:textId="6D9FD027" w:rsidR="00375AF7" w:rsidRDefault="00375AF7" w:rsidP="00F4188D">
            <w:pPr>
              <w:jc w:val="center"/>
              <w:rPr>
                <w:sz w:val="20"/>
                <w:szCs w:val="20"/>
              </w:rPr>
            </w:pPr>
            <w:r>
              <w:rPr>
                <w:rFonts w:eastAsia="Times New Roman"/>
                <w:sz w:val="18"/>
                <w:szCs w:val="18"/>
              </w:rPr>
              <w:t>2</w:t>
            </w:r>
            <w:r w:rsidRPr="00F4188D">
              <w:rPr>
                <w:rFonts w:eastAsia="Times New Roman"/>
                <w:sz w:val="18"/>
                <w:szCs w:val="18"/>
                <w:vertAlign w:val="superscript"/>
              </w:rPr>
              <w:t>5</w:t>
            </w:r>
            <w:r>
              <w:rPr>
                <w:rFonts w:eastAsia="Times New Roman"/>
                <w:sz w:val="18"/>
                <w:szCs w:val="18"/>
              </w:rPr>
              <w:t>, 1</w:t>
            </w:r>
          </w:p>
        </w:tc>
        <w:tc>
          <w:tcPr>
            <w:tcW w:w="2340" w:type="dxa"/>
            <w:tcBorders>
              <w:top w:val="single" w:sz="8" w:space="0" w:color="auto"/>
              <w:bottom w:val="single" w:sz="8" w:space="0" w:color="auto"/>
              <w:right w:val="single" w:sz="8" w:space="0" w:color="auto"/>
            </w:tcBorders>
            <w:vAlign w:val="center"/>
          </w:tcPr>
          <w:p w14:paraId="55A58894" w14:textId="70F38A5E" w:rsidR="00375AF7" w:rsidRDefault="00375AF7" w:rsidP="00F4188D">
            <w:pPr>
              <w:jc w:val="center"/>
              <w:rPr>
                <w:sz w:val="20"/>
                <w:szCs w:val="20"/>
              </w:rPr>
            </w:pPr>
            <w:r>
              <w:rPr>
                <w:rFonts w:eastAsia="Times New Roman"/>
                <w:sz w:val="18"/>
                <w:szCs w:val="18"/>
              </w:rPr>
              <w:t>310 CMR 22.08</w:t>
            </w:r>
          </w:p>
          <w:p w14:paraId="281A0F63" w14:textId="79B9DC8D" w:rsidR="00375AF7" w:rsidRDefault="00375AF7" w:rsidP="00F4188D">
            <w:pPr>
              <w:jc w:val="center"/>
              <w:rPr>
                <w:sz w:val="20"/>
                <w:szCs w:val="20"/>
              </w:rPr>
            </w:pPr>
            <w:r>
              <w:rPr>
                <w:rFonts w:eastAsia="Times New Roman"/>
                <w:sz w:val="18"/>
                <w:szCs w:val="18"/>
              </w:rPr>
              <w:t>310 CMR 22.20A</w:t>
            </w:r>
          </w:p>
        </w:tc>
        <w:tc>
          <w:tcPr>
            <w:tcW w:w="900" w:type="dxa"/>
            <w:tcBorders>
              <w:top w:val="single" w:sz="8" w:space="0" w:color="auto"/>
              <w:left w:val="single" w:sz="8" w:space="0" w:color="auto"/>
              <w:bottom w:val="single" w:sz="8" w:space="0" w:color="auto"/>
              <w:right w:val="single" w:sz="8" w:space="0" w:color="auto"/>
            </w:tcBorders>
            <w:vAlign w:val="center"/>
          </w:tcPr>
          <w:p w14:paraId="281A0F64" w14:textId="77777777" w:rsidR="00375AF7" w:rsidRDefault="00375AF7" w:rsidP="00F4188D">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7FACDDDE" w14:textId="37099708" w:rsidR="00375AF7" w:rsidRDefault="00375AF7" w:rsidP="00F4188D">
            <w:pPr>
              <w:jc w:val="center"/>
              <w:rPr>
                <w:sz w:val="20"/>
                <w:szCs w:val="20"/>
              </w:rPr>
            </w:pPr>
            <w:r>
              <w:rPr>
                <w:rFonts w:eastAsia="Times New Roman"/>
                <w:sz w:val="18"/>
                <w:szCs w:val="18"/>
              </w:rPr>
              <w:t>310 CMR 22.08</w:t>
            </w:r>
          </w:p>
          <w:p w14:paraId="281A0F66" w14:textId="383C3D42" w:rsidR="00375AF7" w:rsidRDefault="00375AF7" w:rsidP="00F4188D">
            <w:pPr>
              <w:jc w:val="center"/>
              <w:rPr>
                <w:sz w:val="20"/>
                <w:szCs w:val="20"/>
              </w:rPr>
            </w:pPr>
            <w:r>
              <w:rPr>
                <w:rFonts w:eastAsia="Times New Roman"/>
                <w:sz w:val="18"/>
                <w:szCs w:val="18"/>
              </w:rPr>
              <w:t>310 CMR 22.20A</w:t>
            </w:r>
          </w:p>
        </w:tc>
      </w:tr>
      <w:tr w:rsidR="00375AF7" w14:paraId="281A0F7F" w14:textId="77777777" w:rsidTr="0012720F">
        <w:trPr>
          <w:trHeight w:val="1215"/>
        </w:trPr>
        <w:tc>
          <w:tcPr>
            <w:tcW w:w="3840" w:type="dxa"/>
            <w:tcBorders>
              <w:top w:val="single" w:sz="8" w:space="0" w:color="auto"/>
              <w:left w:val="single" w:sz="8" w:space="0" w:color="auto"/>
              <w:bottom w:val="single" w:sz="8" w:space="0" w:color="auto"/>
              <w:right w:val="single" w:sz="8" w:space="0" w:color="auto"/>
            </w:tcBorders>
            <w:vAlign w:val="center"/>
          </w:tcPr>
          <w:p w14:paraId="281A0F78" w14:textId="6EE1A4E7" w:rsidR="00375AF7" w:rsidRDefault="00375AF7" w:rsidP="00F4188D">
            <w:pPr>
              <w:ind w:left="80"/>
              <w:rPr>
                <w:sz w:val="20"/>
                <w:szCs w:val="20"/>
              </w:rPr>
            </w:pPr>
            <w:r>
              <w:rPr>
                <w:rFonts w:eastAsia="Times New Roman"/>
                <w:sz w:val="18"/>
                <w:szCs w:val="18"/>
              </w:rPr>
              <w:t>5. Turbidity (for TT violations resulting from a single exceedance of maximum allowable Turbidity level).</w:t>
            </w:r>
          </w:p>
        </w:tc>
        <w:tc>
          <w:tcPr>
            <w:tcW w:w="980" w:type="dxa"/>
            <w:tcBorders>
              <w:top w:val="single" w:sz="8" w:space="0" w:color="auto"/>
              <w:bottom w:val="single" w:sz="8" w:space="0" w:color="auto"/>
              <w:right w:val="single" w:sz="8" w:space="0" w:color="auto"/>
            </w:tcBorders>
            <w:vAlign w:val="center"/>
          </w:tcPr>
          <w:p w14:paraId="281A0F79" w14:textId="08A0A69E" w:rsidR="00375AF7" w:rsidRDefault="00375AF7" w:rsidP="00F4188D">
            <w:pPr>
              <w:jc w:val="center"/>
              <w:rPr>
                <w:sz w:val="20"/>
                <w:szCs w:val="20"/>
              </w:rPr>
            </w:pPr>
            <w:r>
              <w:rPr>
                <w:rFonts w:eastAsia="Times New Roman"/>
                <w:sz w:val="18"/>
                <w:szCs w:val="18"/>
              </w:rPr>
              <w:t>2</w:t>
            </w:r>
            <w:r w:rsidRPr="00F4188D">
              <w:rPr>
                <w:rFonts w:eastAsia="Times New Roman"/>
                <w:sz w:val="18"/>
                <w:szCs w:val="18"/>
                <w:vertAlign w:val="superscript"/>
              </w:rPr>
              <w:t>6</w:t>
            </w:r>
            <w:r>
              <w:rPr>
                <w:rFonts w:eastAsia="Times New Roman"/>
                <w:sz w:val="18"/>
                <w:szCs w:val="18"/>
              </w:rPr>
              <w:t>, 1</w:t>
            </w:r>
          </w:p>
        </w:tc>
        <w:tc>
          <w:tcPr>
            <w:tcW w:w="2340" w:type="dxa"/>
            <w:tcBorders>
              <w:top w:val="single" w:sz="8" w:space="0" w:color="auto"/>
              <w:bottom w:val="single" w:sz="8" w:space="0" w:color="auto"/>
              <w:right w:val="single" w:sz="8" w:space="0" w:color="auto"/>
            </w:tcBorders>
            <w:vAlign w:val="center"/>
          </w:tcPr>
          <w:p w14:paraId="5A24C46A" w14:textId="32416847" w:rsidR="00375AF7" w:rsidRDefault="00375AF7" w:rsidP="00F4188D">
            <w:pPr>
              <w:jc w:val="center"/>
              <w:rPr>
                <w:sz w:val="20"/>
                <w:szCs w:val="20"/>
              </w:rPr>
            </w:pPr>
            <w:r>
              <w:rPr>
                <w:rFonts w:eastAsia="Times New Roman"/>
                <w:sz w:val="18"/>
                <w:szCs w:val="18"/>
              </w:rPr>
              <w:t>310 CMR 22.08</w:t>
            </w:r>
          </w:p>
          <w:p w14:paraId="406F18F4" w14:textId="547D4485" w:rsidR="00375AF7" w:rsidRDefault="00375AF7" w:rsidP="00F4188D">
            <w:pPr>
              <w:jc w:val="center"/>
              <w:rPr>
                <w:sz w:val="20"/>
                <w:szCs w:val="20"/>
              </w:rPr>
            </w:pPr>
            <w:r>
              <w:rPr>
                <w:rFonts w:eastAsia="Times New Roman"/>
                <w:sz w:val="18"/>
                <w:szCs w:val="18"/>
              </w:rPr>
              <w:t>310 CMR 22.20A</w:t>
            </w:r>
          </w:p>
          <w:p w14:paraId="562255F5" w14:textId="5A90C5D7" w:rsidR="00375AF7" w:rsidRDefault="00375AF7" w:rsidP="00F4188D">
            <w:pPr>
              <w:jc w:val="center"/>
              <w:rPr>
                <w:sz w:val="20"/>
                <w:szCs w:val="20"/>
              </w:rPr>
            </w:pPr>
            <w:r>
              <w:rPr>
                <w:rFonts w:eastAsia="Times New Roman"/>
                <w:sz w:val="18"/>
                <w:szCs w:val="18"/>
              </w:rPr>
              <w:t>310 CMR 22.20D</w:t>
            </w:r>
          </w:p>
          <w:p w14:paraId="281A0F7B" w14:textId="12A97BE2" w:rsidR="00375AF7" w:rsidRDefault="00375AF7" w:rsidP="00F4188D">
            <w:pPr>
              <w:jc w:val="center"/>
              <w:rPr>
                <w:sz w:val="20"/>
                <w:szCs w:val="20"/>
              </w:rPr>
            </w:pPr>
            <w:r>
              <w:rPr>
                <w:rFonts w:eastAsia="Times New Roman"/>
                <w:sz w:val="18"/>
                <w:szCs w:val="18"/>
              </w:rPr>
              <w:t>310 CMR 22.20F</w:t>
            </w:r>
          </w:p>
        </w:tc>
        <w:tc>
          <w:tcPr>
            <w:tcW w:w="900" w:type="dxa"/>
            <w:tcBorders>
              <w:top w:val="single" w:sz="8" w:space="0" w:color="auto"/>
              <w:left w:val="single" w:sz="8" w:space="0" w:color="auto"/>
              <w:bottom w:val="single" w:sz="8" w:space="0" w:color="auto"/>
              <w:right w:val="single" w:sz="8" w:space="0" w:color="auto"/>
            </w:tcBorders>
            <w:vAlign w:val="center"/>
          </w:tcPr>
          <w:p w14:paraId="281A0F7C" w14:textId="77777777" w:rsidR="00375AF7" w:rsidRDefault="00375AF7" w:rsidP="00F4188D">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5C355347" w14:textId="11527C32" w:rsidR="00375AF7" w:rsidRDefault="00375AF7" w:rsidP="00F4188D">
            <w:pPr>
              <w:jc w:val="center"/>
              <w:rPr>
                <w:sz w:val="20"/>
                <w:szCs w:val="20"/>
              </w:rPr>
            </w:pPr>
            <w:r>
              <w:rPr>
                <w:rFonts w:eastAsia="Times New Roman"/>
                <w:sz w:val="18"/>
                <w:szCs w:val="18"/>
              </w:rPr>
              <w:t>310 CMR 22.08</w:t>
            </w:r>
          </w:p>
          <w:p w14:paraId="79194757" w14:textId="00B79EDB" w:rsidR="00375AF7" w:rsidRDefault="00375AF7" w:rsidP="00F4188D">
            <w:pPr>
              <w:jc w:val="center"/>
              <w:rPr>
                <w:sz w:val="20"/>
                <w:szCs w:val="20"/>
              </w:rPr>
            </w:pPr>
            <w:r>
              <w:rPr>
                <w:rFonts w:eastAsia="Times New Roman"/>
                <w:sz w:val="18"/>
                <w:szCs w:val="18"/>
              </w:rPr>
              <w:t>310 CMR 22.20A</w:t>
            </w:r>
          </w:p>
          <w:p w14:paraId="59D2BBDB" w14:textId="1F55F0BB" w:rsidR="00375AF7" w:rsidRDefault="00375AF7" w:rsidP="00F4188D">
            <w:pPr>
              <w:jc w:val="center"/>
              <w:rPr>
                <w:sz w:val="20"/>
                <w:szCs w:val="20"/>
              </w:rPr>
            </w:pPr>
            <w:r>
              <w:rPr>
                <w:rFonts w:eastAsia="Times New Roman"/>
                <w:sz w:val="18"/>
                <w:szCs w:val="18"/>
              </w:rPr>
              <w:t>310CMR 22.20D</w:t>
            </w:r>
          </w:p>
          <w:p w14:paraId="281A0F7E" w14:textId="7160514B" w:rsidR="00375AF7" w:rsidRDefault="00375AF7" w:rsidP="00F4188D">
            <w:pPr>
              <w:jc w:val="center"/>
              <w:rPr>
                <w:sz w:val="20"/>
                <w:szCs w:val="20"/>
              </w:rPr>
            </w:pPr>
            <w:r>
              <w:rPr>
                <w:rFonts w:eastAsia="Times New Roman"/>
                <w:sz w:val="18"/>
                <w:szCs w:val="18"/>
              </w:rPr>
              <w:t>310 CMR 22.20F</w:t>
            </w:r>
          </w:p>
        </w:tc>
      </w:tr>
      <w:tr w:rsidR="00375AF7" w14:paraId="281A0FA6" w14:textId="77777777" w:rsidTr="0012720F">
        <w:trPr>
          <w:trHeight w:val="1233"/>
        </w:trPr>
        <w:tc>
          <w:tcPr>
            <w:tcW w:w="3840" w:type="dxa"/>
            <w:tcBorders>
              <w:top w:val="single" w:sz="8" w:space="0" w:color="auto"/>
              <w:left w:val="single" w:sz="8" w:space="0" w:color="auto"/>
              <w:bottom w:val="single" w:sz="8" w:space="0" w:color="auto"/>
              <w:right w:val="single" w:sz="8" w:space="0" w:color="auto"/>
            </w:tcBorders>
            <w:vAlign w:val="center"/>
          </w:tcPr>
          <w:p w14:paraId="281A0F9F" w14:textId="06F0647E" w:rsidR="00375AF7" w:rsidRDefault="00375AF7" w:rsidP="00F4188D">
            <w:pPr>
              <w:ind w:left="80"/>
              <w:rPr>
                <w:sz w:val="20"/>
                <w:szCs w:val="20"/>
              </w:rPr>
            </w:pPr>
            <w:r>
              <w:rPr>
                <w:rFonts w:eastAsia="Times New Roman"/>
                <w:sz w:val="18"/>
                <w:szCs w:val="18"/>
              </w:rPr>
              <w:t>6. Surface Water Treatment Rule violations, other than violations resulting from single exceedance of max. allowable Turbidity level (TT).</w:t>
            </w:r>
          </w:p>
        </w:tc>
        <w:tc>
          <w:tcPr>
            <w:tcW w:w="980" w:type="dxa"/>
            <w:tcBorders>
              <w:top w:val="single" w:sz="8" w:space="0" w:color="auto"/>
              <w:bottom w:val="single" w:sz="8" w:space="0" w:color="auto"/>
              <w:right w:val="single" w:sz="8" w:space="0" w:color="auto"/>
            </w:tcBorders>
            <w:vAlign w:val="center"/>
          </w:tcPr>
          <w:p w14:paraId="281A0FA0" w14:textId="77777777" w:rsidR="00375AF7" w:rsidRDefault="00375AF7" w:rsidP="00F4188D">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0FA2" w14:textId="5A374413" w:rsidR="00375AF7" w:rsidRDefault="00375AF7" w:rsidP="00F4188D">
            <w:pPr>
              <w:jc w:val="center"/>
              <w:rPr>
                <w:sz w:val="20"/>
                <w:szCs w:val="20"/>
              </w:rPr>
            </w:pPr>
            <w:r>
              <w:rPr>
                <w:rFonts w:eastAsia="Times New Roman"/>
                <w:sz w:val="18"/>
                <w:szCs w:val="18"/>
              </w:rPr>
              <w:t>310 CMR 22.20A</w:t>
            </w:r>
          </w:p>
        </w:tc>
        <w:tc>
          <w:tcPr>
            <w:tcW w:w="900" w:type="dxa"/>
            <w:tcBorders>
              <w:top w:val="single" w:sz="8" w:space="0" w:color="auto"/>
              <w:left w:val="single" w:sz="8" w:space="0" w:color="auto"/>
              <w:bottom w:val="single" w:sz="8" w:space="0" w:color="auto"/>
              <w:right w:val="single" w:sz="8" w:space="0" w:color="auto"/>
            </w:tcBorders>
            <w:vAlign w:val="center"/>
          </w:tcPr>
          <w:p w14:paraId="281A0FA3" w14:textId="77777777" w:rsidR="00375AF7" w:rsidRDefault="00375AF7" w:rsidP="00F4188D">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0FA5" w14:textId="00DFBE95" w:rsidR="00375AF7" w:rsidRDefault="00375AF7" w:rsidP="00F4188D">
            <w:pPr>
              <w:jc w:val="center"/>
              <w:rPr>
                <w:sz w:val="20"/>
                <w:szCs w:val="20"/>
              </w:rPr>
            </w:pPr>
            <w:r>
              <w:rPr>
                <w:rFonts w:eastAsia="Times New Roman"/>
                <w:sz w:val="18"/>
                <w:szCs w:val="18"/>
              </w:rPr>
              <w:t>310 CMR 22.20A</w:t>
            </w:r>
          </w:p>
        </w:tc>
      </w:tr>
      <w:tr w:rsidR="00375AF7" w14:paraId="281A0FCC" w14:textId="77777777" w:rsidTr="0012724F">
        <w:trPr>
          <w:trHeight w:val="937"/>
        </w:trPr>
        <w:tc>
          <w:tcPr>
            <w:tcW w:w="3840" w:type="dxa"/>
            <w:tcBorders>
              <w:top w:val="single" w:sz="8" w:space="0" w:color="auto"/>
              <w:left w:val="single" w:sz="8" w:space="0" w:color="auto"/>
              <w:bottom w:val="single" w:sz="8" w:space="0" w:color="auto"/>
              <w:right w:val="single" w:sz="8" w:space="0" w:color="auto"/>
            </w:tcBorders>
            <w:vAlign w:val="center"/>
          </w:tcPr>
          <w:p w14:paraId="281A0FC6" w14:textId="056637E9" w:rsidR="00375AF7" w:rsidRDefault="00375AF7" w:rsidP="00F4188D">
            <w:pPr>
              <w:ind w:left="80"/>
              <w:rPr>
                <w:sz w:val="20"/>
                <w:szCs w:val="20"/>
              </w:rPr>
            </w:pPr>
            <w:r>
              <w:rPr>
                <w:rFonts w:eastAsia="Times New Roman"/>
                <w:sz w:val="18"/>
                <w:szCs w:val="18"/>
              </w:rPr>
              <w:t>7. Interim Enhanced Surface Water Treatment Rule violations, other than violations resulting from single exceedance of max. Turbidity level (TT).</w:t>
            </w:r>
          </w:p>
        </w:tc>
        <w:tc>
          <w:tcPr>
            <w:tcW w:w="980" w:type="dxa"/>
            <w:tcBorders>
              <w:top w:val="single" w:sz="8" w:space="0" w:color="auto"/>
              <w:bottom w:val="single" w:sz="8" w:space="0" w:color="auto"/>
              <w:right w:val="single" w:sz="8" w:space="0" w:color="auto"/>
            </w:tcBorders>
            <w:vAlign w:val="center"/>
          </w:tcPr>
          <w:p w14:paraId="281A0FC7" w14:textId="77777777" w:rsidR="00375AF7" w:rsidRDefault="00375AF7" w:rsidP="00F4188D">
            <w:pPr>
              <w:jc w:val="center"/>
              <w:rPr>
                <w:sz w:val="20"/>
                <w:szCs w:val="20"/>
              </w:rPr>
            </w:pPr>
            <w:r>
              <w:rPr>
                <w:rFonts w:eastAsia="Times New Roman"/>
                <w:sz w:val="18"/>
                <w:szCs w:val="18"/>
              </w:rPr>
              <w:t>2</w:t>
            </w:r>
          </w:p>
        </w:tc>
        <w:tc>
          <w:tcPr>
            <w:tcW w:w="2340" w:type="dxa"/>
            <w:tcBorders>
              <w:top w:val="single" w:sz="8" w:space="0" w:color="auto"/>
              <w:bottom w:val="single" w:sz="8" w:space="0" w:color="auto"/>
              <w:right w:val="single" w:sz="8" w:space="0" w:color="auto"/>
            </w:tcBorders>
            <w:vAlign w:val="center"/>
          </w:tcPr>
          <w:p w14:paraId="281A0FC8" w14:textId="55F790B0" w:rsidR="00375AF7" w:rsidRDefault="00375AF7" w:rsidP="00F4188D">
            <w:pPr>
              <w:jc w:val="center"/>
              <w:rPr>
                <w:sz w:val="20"/>
                <w:szCs w:val="20"/>
              </w:rPr>
            </w:pPr>
            <w:r>
              <w:rPr>
                <w:rFonts w:eastAsia="Times New Roman"/>
                <w:sz w:val="18"/>
                <w:szCs w:val="18"/>
              </w:rPr>
              <w:t>310 CMR 22.20D</w:t>
            </w:r>
            <w:r w:rsidRPr="00F4188D">
              <w:rPr>
                <w:rFonts w:eastAsia="Times New Roman"/>
                <w:sz w:val="18"/>
                <w:szCs w:val="18"/>
                <w:vertAlign w:val="superscript"/>
              </w:rPr>
              <w:t>7</w:t>
            </w:r>
          </w:p>
        </w:tc>
        <w:tc>
          <w:tcPr>
            <w:tcW w:w="900" w:type="dxa"/>
            <w:tcBorders>
              <w:top w:val="single" w:sz="8" w:space="0" w:color="auto"/>
              <w:bottom w:val="single" w:sz="8" w:space="0" w:color="auto"/>
              <w:right w:val="single" w:sz="8" w:space="0" w:color="auto"/>
            </w:tcBorders>
            <w:vAlign w:val="center"/>
          </w:tcPr>
          <w:p w14:paraId="281A0FC9" w14:textId="77777777" w:rsidR="00375AF7" w:rsidRDefault="00375AF7" w:rsidP="00F4188D">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0FCB" w14:textId="5F1C246B" w:rsidR="00375AF7" w:rsidRDefault="00375AF7" w:rsidP="00F4188D">
            <w:pPr>
              <w:jc w:val="center"/>
              <w:rPr>
                <w:sz w:val="20"/>
                <w:szCs w:val="20"/>
              </w:rPr>
            </w:pPr>
            <w:r>
              <w:rPr>
                <w:rFonts w:eastAsia="Times New Roman"/>
                <w:sz w:val="18"/>
                <w:szCs w:val="18"/>
              </w:rPr>
              <w:t>310 CMR 22.20D</w:t>
            </w:r>
          </w:p>
        </w:tc>
      </w:tr>
      <w:tr w:rsidR="00375AF7" w14:paraId="281A0FF4" w14:textId="77777777" w:rsidTr="0012720F">
        <w:trPr>
          <w:trHeight w:val="396"/>
        </w:trPr>
        <w:tc>
          <w:tcPr>
            <w:tcW w:w="3840" w:type="dxa"/>
            <w:tcBorders>
              <w:top w:val="single" w:sz="8" w:space="0" w:color="auto"/>
              <w:left w:val="single" w:sz="8" w:space="0" w:color="auto"/>
              <w:bottom w:val="single" w:sz="8" w:space="0" w:color="auto"/>
              <w:right w:val="single" w:sz="8" w:space="0" w:color="auto"/>
            </w:tcBorders>
            <w:vAlign w:val="center"/>
          </w:tcPr>
          <w:p w14:paraId="281A0FED" w14:textId="77777777" w:rsidR="00375AF7" w:rsidRDefault="00375AF7" w:rsidP="00F4188D">
            <w:pPr>
              <w:ind w:left="80"/>
              <w:rPr>
                <w:sz w:val="20"/>
                <w:szCs w:val="20"/>
              </w:rPr>
            </w:pPr>
            <w:r>
              <w:rPr>
                <w:rFonts w:eastAsia="Times New Roman"/>
                <w:sz w:val="18"/>
                <w:szCs w:val="18"/>
              </w:rPr>
              <w:t>8. Filter Backwash Recycling Rule.</w:t>
            </w:r>
          </w:p>
        </w:tc>
        <w:tc>
          <w:tcPr>
            <w:tcW w:w="980" w:type="dxa"/>
            <w:tcBorders>
              <w:top w:val="single" w:sz="8" w:space="0" w:color="auto"/>
              <w:bottom w:val="single" w:sz="8" w:space="0" w:color="auto"/>
              <w:right w:val="single" w:sz="8" w:space="0" w:color="auto"/>
            </w:tcBorders>
            <w:vAlign w:val="center"/>
          </w:tcPr>
          <w:p w14:paraId="281A0FEE" w14:textId="77777777" w:rsidR="00375AF7" w:rsidRDefault="00375AF7" w:rsidP="00F4188D">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0FF0" w14:textId="32415476" w:rsidR="00375AF7" w:rsidRDefault="00375AF7" w:rsidP="00F4188D">
            <w:pPr>
              <w:jc w:val="center"/>
              <w:rPr>
                <w:sz w:val="20"/>
                <w:szCs w:val="20"/>
              </w:rPr>
            </w:pPr>
            <w:r>
              <w:rPr>
                <w:rFonts w:eastAsia="Times New Roman"/>
                <w:sz w:val="18"/>
                <w:szCs w:val="18"/>
              </w:rPr>
              <w:t>310 CMR 22.20E(3)</w:t>
            </w:r>
          </w:p>
        </w:tc>
        <w:tc>
          <w:tcPr>
            <w:tcW w:w="900" w:type="dxa"/>
            <w:tcBorders>
              <w:top w:val="single" w:sz="8" w:space="0" w:color="auto"/>
              <w:left w:val="single" w:sz="8" w:space="0" w:color="auto"/>
              <w:bottom w:val="single" w:sz="8" w:space="0" w:color="auto"/>
              <w:right w:val="single" w:sz="8" w:space="0" w:color="auto"/>
            </w:tcBorders>
            <w:vAlign w:val="center"/>
          </w:tcPr>
          <w:p w14:paraId="281A0FF1" w14:textId="77777777" w:rsidR="00375AF7" w:rsidRDefault="00375AF7" w:rsidP="00F4188D">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0FF3" w14:textId="346790E1" w:rsidR="00375AF7" w:rsidRDefault="00375AF7" w:rsidP="00F4188D">
            <w:pPr>
              <w:jc w:val="center"/>
              <w:rPr>
                <w:sz w:val="20"/>
                <w:szCs w:val="20"/>
              </w:rPr>
            </w:pPr>
            <w:r>
              <w:rPr>
                <w:rFonts w:eastAsia="Times New Roman"/>
                <w:sz w:val="18"/>
                <w:szCs w:val="18"/>
              </w:rPr>
              <w:t>310 CMR 22.20E(2) and (4)</w:t>
            </w:r>
          </w:p>
        </w:tc>
      </w:tr>
      <w:tr w:rsidR="00375AF7" w14:paraId="281A1004" w14:textId="77777777" w:rsidTr="0012720F">
        <w:trPr>
          <w:trHeight w:val="674"/>
        </w:trPr>
        <w:tc>
          <w:tcPr>
            <w:tcW w:w="3840" w:type="dxa"/>
            <w:tcBorders>
              <w:top w:val="single" w:sz="8" w:space="0" w:color="auto"/>
              <w:left w:val="single" w:sz="8" w:space="0" w:color="auto"/>
              <w:bottom w:val="single" w:sz="8" w:space="0" w:color="auto"/>
              <w:right w:val="single" w:sz="8" w:space="0" w:color="auto"/>
            </w:tcBorders>
            <w:vAlign w:val="center"/>
          </w:tcPr>
          <w:p w14:paraId="281A0FFD" w14:textId="34193B6D" w:rsidR="00375AF7" w:rsidRDefault="00375AF7" w:rsidP="00F4188D">
            <w:pPr>
              <w:ind w:left="80"/>
              <w:rPr>
                <w:sz w:val="20"/>
                <w:szCs w:val="20"/>
              </w:rPr>
            </w:pPr>
            <w:r>
              <w:rPr>
                <w:rFonts w:eastAsia="Times New Roman"/>
                <w:sz w:val="18"/>
                <w:szCs w:val="18"/>
              </w:rPr>
              <w:t>9. Long Term 1 Enhanced Surface Water Treatment Rule.</w:t>
            </w:r>
          </w:p>
        </w:tc>
        <w:tc>
          <w:tcPr>
            <w:tcW w:w="980" w:type="dxa"/>
            <w:tcBorders>
              <w:top w:val="single" w:sz="8" w:space="0" w:color="auto"/>
              <w:bottom w:val="single" w:sz="8" w:space="0" w:color="auto"/>
              <w:right w:val="single" w:sz="8" w:space="0" w:color="auto"/>
            </w:tcBorders>
            <w:vAlign w:val="center"/>
          </w:tcPr>
          <w:p w14:paraId="281A0FFE" w14:textId="77777777" w:rsidR="00375AF7" w:rsidRDefault="00375AF7" w:rsidP="00F4188D">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000" w14:textId="5C74639A" w:rsidR="00375AF7" w:rsidRDefault="00375AF7" w:rsidP="00F4188D">
            <w:pPr>
              <w:jc w:val="center"/>
              <w:rPr>
                <w:sz w:val="20"/>
                <w:szCs w:val="20"/>
              </w:rPr>
            </w:pPr>
            <w:r>
              <w:rPr>
                <w:rFonts w:eastAsia="Times New Roman"/>
                <w:sz w:val="18"/>
                <w:szCs w:val="18"/>
              </w:rPr>
              <w:t>310 CMR 22.20F</w:t>
            </w:r>
          </w:p>
        </w:tc>
        <w:tc>
          <w:tcPr>
            <w:tcW w:w="900" w:type="dxa"/>
            <w:tcBorders>
              <w:top w:val="single" w:sz="8" w:space="0" w:color="auto"/>
              <w:left w:val="single" w:sz="8" w:space="0" w:color="auto"/>
              <w:bottom w:val="single" w:sz="8" w:space="0" w:color="auto"/>
              <w:right w:val="single" w:sz="8" w:space="0" w:color="auto"/>
            </w:tcBorders>
            <w:vAlign w:val="center"/>
          </w:tcPr>
          <w:p w14:paraId="281A1001" w14:textId="77777777" w:rsidR="00375AF7" w:rsidRDefault="00375AF7" w:rsidP="00F4188D">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003" w14:textId="198BD722" w:rsidR="00375AF7" w:rsidRDefault="00375AF7" w:rsidP="00F4188D">
            <w:pPr>
              <w:jc w:val="center"/>
              <w:rPr>
                <w:sz w:val="20"/>
                <w:szCs w:val="20"/>
              </w:rPr>
            </w:pPr>
            <w:r>
              <w:rPr>
                <w:rFonts w:eastAsia="Times New Roman"/>
                <w:sz w:val="18"/>
                <w:szCs w:val="18"/>
              </w:rPr>
              <w:t>310 CMR 22.20F</w:t>
            </w:r>
          </w:p>
        </w:tc>
      </w:tr>
      <w:tr w:rsidR="00375AF7" w14:paraId="281A101A" w14:textId="77777777" w:rsidTr="0012720F">
        <w:trPr>
          <w:trHeight w:val="674"/>
        </w:trPr>
        <w:tc>
          <w:tcPr>
            <w:tcW w:w="3840" w:type="dxa"/>
            <w:tcBorders>
              <w:top w:val="single" w:sz="8" w:space="0" w:color="auto"/>
              <w:left w:val="single" w:sz="8" w:space="0" w:color="auto"/>
              <w:bottom w:val="single" w:sz="8" w:space="0" w:color="auto"/>
              <w:right w:val="single" w:sz="8" w:space="0" w:color="auto"/>
            </w:tcBorders>
            <w:vAlign w:val="center"/>
          </w:tcPr>
          <w:p w14:paraId="281A1014" w14:textId="2BF87767" w:rsidR="00375AF7" w:rsidRDefault="00375AF7" w:rsidP="00F4188D">
            <w:pPr>
              <w:ind w:left="80"/>
              <w:rPr>
                <w:sz w:val="20"/>
                <w:szCs w:val="20"/>
              </w:rPr>
            </w:pPr>
            <w:r>
              <w:rPr>
                <w:rFonts w:eastAsia="Times New Roman"/>
                <w:sz w:val="18"/>
                <w:szCs w:val="18"/>
              </w:rPr>
              <w:t>10. Long Term 2 Enhanced Surface Water Treatment Rule violations.</w:t>
            </w:r>
          </w:p>
        </w:tc>
        <w:tc>
          <w:tcPr>
            <w:tcW w:w="980" w:type="dxa"/>
            <w:tcBorders>
              <w:top w:val="single" w:sz="8" w:space="0" w:color="auto"/>
              <w:bottom w:val="single" w:sz="8" w:space="0" w:color="auto"/>
              <w:right w:val="single" w:sz="8" w:space="0" w:color="auto"/>
            </w:tcBorders>
            <w:vAlign w:val="center"/>
          </w:tcPr>
          <w:p w14:paraId="281A1015" w14:textId="77777777" w:rsidR="00375AF7" w:rsidRDefault="00375AF7" w:rsidP="00F4188D">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017" w14:textId="2AB4CA12" w:rsidR="00375AF7" w:rsidRDefault="00375AF7" w:rsidP="00F4188D">
            <w:pPr>
              <w:jc w:val="center"/>
              <w:rPr>
                <w:sz w:val="20"/>
                <w:szCs w:val="20"/>
              </w:rPr>
            </w:pPr>
            <w:r>
              <w:rPr>
                <w:rFonts w:eastAsia="Times New Roman"/>
                <w:sz w:val="18"/>
                <w:szCs w:val="18"/>
              </w:rPr>
              <w:t>310 CMR 22.20G(11) through (23)</w:t>
            </w:r>
          </w:p>
        </w:tc>
        <w:tc>
          <w:tcPr>
            <w:tcW w:w="900" w:type="dxa"/>
            <w:tcBorders>
              <w:top w:val="single" w:sz="8" w:space="0" w:color="auto"/>
              <w:left w:val="single" w:sz="8" w:space="0" w:color="auto"/>
              <w:bottom w:val="single" w:sz="8" w:space="0" w:color="auto"/>
              <w:right w:val="single" w:sz="8" w:space="0" w:color="auto"/>
            </w:tcBorders>
            <w:vAlign w:val="center"/>
          </w:tcPr>
          <w:p w14:paraId="281A1018" w14:textId="78850B2D" w:rsidR="00375AF7" w:rsidRDefault="00375AF7" w:rsidP="00F4188D">
            <w:pPr>
              <w:jc w:val="center"/>
              <w:rPr>
                <w:sz w:val="20"/>
                <w:szCs w:val="20"/>
              </w:rPr>
            </w:pPr>
            <w:r>
              <w:rPr>
                <w:rFonts w:eastAsia="Times New Roman"/>
                <w:w w:val="92"/>
                <w:sz w:val="18"/>
                <w:szCs w:val="18"/>
              </w:rPr>
              <w:t>2</w:t>
            </w:r>
            <w:r w:rsidRPr="0030234A">
              <w:rPr>
                <w:rFonts w:eastAsia="Times New Roman"/>
                <w:w w:val="92"/>
                <w:sz w:val="18"/>
                <w:szCs w:val="18"/>
                <w:vertAlign w:val="superscript"/>
              </w:rPr>
              <w:t>21</w:t>
            </w:r>
            <w:r>
              <w:rPr>
                <w:rFonts w:eastAsia="Times New Roman"/>
                <w:w w:val="92"/>
                <w:sz w:val="18"/>
                <w:szCs w:val="18"/>
              </w:rPr>
              <w:t>, 3</w:t>
            </w:r>
          </w:p>
        </w:tc>
        <w:tc>
          <w:tcPr>
            <w:tcW w:w="2500" w:type="dxa"/>
            <w:tcBorders>
              <w:top w:val="single" w:sz="8" w:space="0" w:color="auto"/>
              <w:bottom w:val="single" w:sz="8" w:space="0" w:color="auto"/>
              <w:right w:val="single" w:sz="8" w:space="0" w:color="auto"/>
            </w:tcBorders>
            <w:vAlign w:val="center"/>
          </w:tcPr>
          <w:p w14:paraId="281A1019" w14:textId="6099FA26" w:rsidR="00375AF7" w:rsidRDefault="00375AF7" w:rsidP="0030234A">
            <w:pPr>
              <w:jc w:val="center"/>
              <w:rPr>
                <w:sz w:val="20"/>
                <w:szCs w:val="20"/>
              </w:rPr>
            </w:pPr>
            <w:r>
              <w:rPr>
                <w:rFonts w:eastAsia="Times New Roman"/>
                <w:sz w:val="18"/>
                <w:szCs w:val="18"/>
              </w:rPr>
              <w:t>310 CMR 22.20G(2) through (6), (9) and (10)</w:t>
            </w:r>
          </w:p>
        </w:tc>
      </w:tr>
      <w:tr w:rsidR="00375AF7" w14:paraId="281A1030" w14:textId="77777777" w:rsidTr="0012720F">
        <w:trPr>
          <w:trHeight w:val="674"/>
        </w:trPr>
        <w:tc>
          <w:tcPr>
            <w:tcW w:w="3840" w:type="dxa"/>
            <w:tcBorders>
              <w:top w:val="single" w:sz="8" w:space="0" w:color="auto"/>
              <w:left w:val="single" w:sz="8" w:space="0" w:color="auto"/>
              <w:bottom w:val="single" w:sz="8" w:space="0" w:color="auto"/>
              <w:right w:val="single" w:sz="8" w:space="0" w:color="auto"/>
            </w:tcBorders>
            <w:vAlign w:val="center"/>
          </w:tcPr>
          <w:p w14:paraId="281A1029" w14:textId="16F29FBB" w:rsidR="00375AF7" w:rsidRDefault="00375AF7" w:rsidP="0030234A">
            <w:pPr>
              <w:ind w:left="80"/>
              <w:rPr>
                <w:sz w:val="20"/>
                <w:szCs w:val="20"/>
              </w:rPr>
            </w:pPr>
            <w:r>
              <w:rPr>
                <w:rFonts w:eastAsia="Times New Roman"/>
                <w:sz w:val="18"/>
                <w:szCs w:val="18"/>
              </w:rPr>
              <w:t>11. Ground Water Rule violations.</w:t>
            </w:r>
          </w:p>
        </w:tc>
        <w:tc>
          <w:tcPr>
            <w:tcW w:w="980" w:type="dxa"/>
            <w:tcBorders>
              <w:top w:val="single" w:sz="8" w:space="0" w:color="auto"/>
              <w:bottom w:val="single" w:sz="8" w:space="0" w:color="auto"/>
              <w:right w:val="single" w:sz="8" w:space="0" w:color="auto"/>
            </w:tcBorders>
            <w:vAlign w:val="center"/>
          </w:tcPr>
          <w:p w14:paraId="281A102A" w14:textId="77777777" w:rsidR="00375AF7" w:rsidRDefault="00375AF7" w:rsidP="00F4188D">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02C" w14:textId="235E8222" w:rsidR="00375AF7" w:rsidRDefault="00375AF7" w:rsidP="0030234A">
            <w:pPr>
              <w:jc w:val="center"/>
              <w:rPr>
                <w:sz w:val="20"/>
                <w:szCs w:val="20"/>
              </w:rPr>
            </w:pPr>
            <w:r>
              <w:rPr>
                <w:rFonts w:eastAsia="Times New Roman"/>
                <w:sz w:val="18"/>
                <w:szCs w:val="18"/>
              </w:rPr>
              <w:t>310 CMR 22.26(5)</w:t>
            </w:r>
          </w:p>
        </w:tc>
        <w:tc>
          <w:tcPr>
            <w:tcW w:w="900" w:type="dxa"/>
            <w:tcBorders>
              <w:top w:val="single" w:sz="8" w:space="0" w:color="auto"/>
              <w:left w:val="single" w:sz="8" w:space="0" w:color="auto"/>
              <w:bottom w:val="single" w:sz="8" w:space="0" w:color="auto"/>
              <w:right w:val="single" w:sz="8" w:space="0" w:color="auto"/>
            </w:tcBorders>
            <w:vAlign w:val="center"/>
          </w:tcPr>
          <w:p w14:paraId="281A102D" w14:textId="77777777" w:rsidR="00375AF7" w:rsidRDefault="00375AF7" w:rsidP="00F4188D">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5B13BFBF" w14:textId="10592D94" w:rsidR="00375AF7" w:rsidRDefault="00375AF7" w:rsidP="00F4188D">
            <w:pPr>
              <w:jc w:val="center"/>
              <w:rPr>
                <w:sz w:val="20"/>
                <w:szCs w:val="20"/>
              </w:rPr>
            </w:pPr>
            <w:r>
              <w:rPr>
                <w:rFonts w:eastAsia="Times New Roman"/>
                <w:sz w:val="18"/>
                <w:szCs w:val="18"/>
              </w:rPr>
              <w:t>310 CMR 22.26(3)( h)</w:t>
            </w:r>
          </w:p>
          <w:p w14:paraId="281A102F" w14:textId="6DA547F2" w:rsidR="00375AF7" w:rsidRDefault="00375AF7" w:rsidP="0030234A">
            <w:pPr>
              <w:jc w:val="center"/>
              <w:rPr>
                <w:sz w:val="20"/>
                <w:szCs w:val="20"/>
              </w:rPr>
            </w:pPr>
            <w:r>
              <w:rPr>
                <w:rFonts w:eastAsia="Times New Roman"/>
                <w:sz w:val="18"/>
                <w:szCs w:val="18"/>
              </w:rPr>
              <w:t>310 CMR 22.26(4)(d)</w:t>
            </w:r>
          </w:p>
        </w:tc>
      </w:tr>
    </w:tbl>
    <w:p w14:paraId="281A1041" w14:textId="77777777" w:rsidR="004647B9" w:rsidRDefault="004647B9">
      <w:pPr>
        <w:sectPr w:rsidR="004647B9" w:rsidSect="00EF630C">
          <w:pgSz w:w="12240" w:h="20180"/>
          <w:pgMar w:top="708" w:right="1080" w:bottom="1440" w:left="600" w:header="0" w:footer="0" w:gutter="0"/>
          <w:cols w:space="720"/>
        </w:sectPr>
      </w:pPr>
    </w:p>
    <w:p w14:paraId="281A1042" w14:textId="77777777" w:rsidR="004647B9" w:rsidRDefault="00E2436F">
      <w:pPr>
        <w:tabs>
          <w:tab w:val="left" w:pos="2860"/>
        </w:tabs>
        <w:ind w:left="1680"/>
        <w:rPr>
          <w:sz w:val="20"/>
          <w:szCs w:val="20"/>
        </w:rPr>
      </w:pPr>
      <w:bookmarkStart w:id="193" w:name="page195"/>
      <w:bookmarkEnd w:id="19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043" w14:textId="77777777" w:rsidR="004647B9" w:rsidRDefault="004647B9" w:rsidP="00E9262A">
      <w:pPr>
        <w:rPr>
          <w:sz w:val="20"/>
          <w:szCs w:val="20"/>
        </w:rPr>
      </w:pPr>
    </w:p>
    <w:p w14:paraId="281A1044" w14:textId="77777777" w:rsidR="004647B9" w:rsidRDefault="004647B9" w:rsidP="00E9262A">
      <w:pPr>
        <w:rPr>
          <w:sz w:val="20"/>
          <w:szCs w:val="20"/>
        </w:rPr>
      </w:pPr>
    </w:p>
    <w:p w14:paraId="281A1045" w14:textId="77777777" w:rsidR="004647B9" w:rsidRPr="00E9262A" w:rsidRDefault="00E2436F" w:rsidP="00E9262A">
      <w:pPr>
        <w:tabs>
          <w:tab w:val="left" w:pos="760"/>
        </w:tabs>
        <w:rPr>
          <w:sz w:val="24"/>
          <w:szCs w:val="24"/>
        </w:rPr>
      </w:pPr>
      <w:r w:rsidRPr="00E9262A">
        <w:rPr>
          <w:rFonts w:eastAsia="Times New Roman"/>
          <w:sz w:val="24"/>
          <w:szCs w:val="24"/>
        </w:rPr>
        <w:t>22.16:</w:t>
      </w:r>
      <w:r w:rsidRPr="00E9262A">
        <w:rPr>
          <w:rFonts w:eastAsia="Times New Roman"/>
          <w:sz w:val="24"/>
          <w:szCs w:val="24"/>
        </w:rPr>
        <w:tab/>
        <w:t>continued</w:t>
      </w:r>
    </w:p>
    <w:p w14:paraId="281A1046" w14:textId="77777777" w:rsidR="004647B9" w:rsidRDefault="004647B9" w:rsidP="00E9262A">
      <w:pPr>
        <w:rPr>
          <w:sz w:val="20"/>
          <w:szCs w:val="20"/>
        </w:rPr>
      </w:pPr>
    </w:p>
    <w:tbl>
      <w:tblPr>
        <w:tblW w:w="10560" w:type="dxa"/>
        <w:tblInd w:w="10" w:type="dxa"/>
        <w:tblLayout w:type="fixed"/>
        <w:tblCellMar>
          <w:left w:w="0" w:type="dxa"/>
          <w:right w:w="0" w:type="dxa"/>
        </w:tblCellMar>
        <w:tblLook w:val="04A0" w:firstRow="1" w:lastRow="0" w:firstColumn="1" w:lastColumn="0" w:noHBand="0" w:noVBand="1"/>
      </w:tblPr>
      <w:tblGrid>
        <w:gridCol w:w="3840"/>
        <w:gridCol w:w="1000"/>
        <w:gridCol w:w="2340"/>
        <w:gridCol w:w="880"/>
        <w:gridCol w:w="2500"/>
      </w:tblGrid>
      <w:tr w:rsidR="00E15399" w14:paraId="281A104F" w14:textId="77777777" w:rsidTr="00E15399">
        <w:trPr>
          <w:trHeight w:val="318"/>
        </w:trPr>
        <w:tc>
          <w:tcPr>
            <w:tcW w:w="3840" w:type="dxa"/>
            <w:vMerge w:val="restart"/>
            <w:tcBorders>
              <w:top w:val="single" w:sz="8" w:space="0" w:color="auto"/>
              <w:left w:val="single" w:sz="8" w:space="0" w:color="auto"/>
              <w:right w:val="single" w:sz="8" w:space="0" w:color="auto"/>
            </w:tcBorders>
            <w:vAlign w:val="center"/>
          </w:tcPr>
          <w:p w14:paraId="281A104A" w14:textId="2BC69D5D" w:rsidR="00E15399" w:rsidRDefault="00E15399" w:rsidP="0030234A">
            <w:pPr>
              <w:jc w:val="center"/>
              <w:rPr>
                <w:sz w:val="24"/>
                <w:szCs w:val="24"/>
              </w:rPr>
            </w:pPr>
            <w:r>
              <w:rPr>
                <w:rFonts w:eastAsia="Times New Roman"/>
                <w:sz w:val="18"/>
                <w:szCs w:val="18"/>
              </w:rPr>
              <w:t>Contaminant</w:t>
            </w:r>
          </w:p>
        </w:tc>
        <w:tc>
          <w:tcPr>
            <w:tcW w:w="3340" w:type="dxa"/>
            <w:gridSpan w:val="2"/>
            <w:vMerge w:val="restart"/>
            <w:tcBorders>
              <w:top w:val="single" w:sz="8" w:space="0" w:color="auto"/>
              <w:left w:val="single" w:sz="8" w:space="0" w:color="auto"/>
              <w:right w:val="single" w:sz="8" w:space="0" w:color="auto"/>
            </w:tcBorders>
            <w:vAlign w:val="center"/>
          </w:tcPr>
          <w:p w14:paraId="281A104C" w14:textId="7D8A21EC" w:rsidR="00E15399" w:rsidRDefault="00E15399" w:rsidP="0030234A">
            <w:pPr>
              <w:jc w:val="center"/>
              <w:rPr>
                <w:sz w:val="24"/>
                <w:szCs w:val="24"/>
              </w:rPr>
            </w:pPr>
            <w:r>
              <w:rPr>
                <w:rFonts w:eastAsia="Times New Roman"/>
                <w:sz w:val="18"/>
                <w:szCs w:val="18"/>
              </w:rPr>
              <w:t>MCL/MRDL/TT violations</w:t>
            </w:r>
            <w:r>
              <w:rPr>
                <w:rFonts w:eastAsia="Times New Roman"/>
                <w:sz w:val="24"/>
                <w:szCs w:val="24"/>
                <w:vertAlign w:val="superscript"/>
              </w:rPr>
              <w:t>2</w:t>
            </w:r>
          </w:p>
        </w:tc>
        <w:tc>
          <w:tcPr>
            <w:tcW w:w="3380" w:type="dxa"/>
            <w:gridSpan w:val="2"/>
            <w:vMerge w:val="restart"/>
            <w:tcBorders>
              <w:top w:val="single" w:sz="8" w:space="0" w:color="auto"/>
              <w:left w:val="single" w:sz="8" w:space="0" w:color="auto"/>
              <w:right w:val="single" w:sz="8" w:space="0" w:color="auto"/>
            </w:tcBorders>
            <w:vAlign w:val="center"/>
          </w:tcPr>
          <w:p w14:paraId="76CECF99" w14:textId="77777777" w:rsidR="00E15399" w:rsidRDefault="00E15399" w:rsidP="0030234A">
            <w:pPr>
              <w:jc w:val="center"/>
              <w:rPr>
                <w:sz w:val="20"/>
                <w:szCs w:val="20"/>
              </w:rPr>
            </w:pPr>
            <w:r>
              <w:rPr>
                <w:rFonts w:eastAsia="Times New Roman"/>
                <w:sz w:val="18"/>
                <w:szCs w:val="18"/>
              </w:rPr>
              <w:t>Monitoring &amp; testing procedure</w:t>
            </w:r>
          </w:p>
          <w:p w14:paraId="281A104D" w14:textId="76FF0C07" w:rsidR="00E15399" w:rsidRDefault="00E15399" w:rsidP="0030234A">
            <w:pPr>
              <w:jc w:val="center"/>
              <w:rPr>
                <w:sz w:val="20"/>
                <w:szCs w:val="20"/>
              </w:rPr>
            </w:pPr>
            <w:r>
              <w:rPr>
                <w:rFonts w:eastAsia="Times New Roman"/>
                <w:sz w:val="18"/>
                <w:szCs w:val="18"/>
              </w:rPr>
              <w:t>violations</w:t>
            </w:r>
          </w:p>
        </w:tc>
      </w:tr>
      <w:tr w:rsidR="00E15399" w14:paraId="281A105A" w14:textId="77777777" w:rsidTr="00E15399">
        <w:trPr>
          <w:trHeight w:val="140"/>
        </w:trPr>
        <w:tc>
          <w:tcPr>
            <w:tcW w:w="3840" w:type="dxa"/>
            <w:vMerge/>
            <w:tcBorders>
              <w:left w:val="single" w:sz="8" w:space="0" w:color="auto"/>
              <w:right w:val="single" w:sz="8" w:space="0" w:color="auto"/>
            </w:tcBorders>
            <w:vAlign w:val="bottom"/>
          </w:tcPr>
          <w:p w14:paraId="281A1053" w14:textId="2F1E4177" w:rsidR="00E15399" w:rsidRDefault="00E15399" w:rsidP="00347FE4">
            <w:pPr>
              <w:ind w:left="1060"/>
              <w:rPr>
                <w:sz w:val="12"/>
                <w:szCs w:val="12"/>
              </w:rPr>
            </w:pPr>
          </w:p>
        </w:tc>
        <w:tc>
          <w:tcPr>
            <w:tcW w:w="3340" w:type="dxa"/>
            <w:gridSpan w:val="2"/>
            <w:vMerge/>
            <w:tcBorders>
              <w:left w:val="single" w:sz="8" w:space="0" w:color="auto"/>
              <w:right w:val="single" w:sz="8" w:space="0" w:color="auto"/>
            </w:tcBorders>
            <w:vAlign w:val="bottom"/>
          </w:tcPr>
          <w:p w14:paraId="281A1055" w14:textId="77777777" w:rsidR="00E15399" w:rsidRDefault="00E15399">
            <w:pPr>
              <w:rPr>
                <w:sz w:val="12"/>
                <w:szCs w:val="12"/>
              </w:rPr>
            </w:pPr>
          </w:p>
        </w:tc>
        <w:tc>
          <w:tcPr>
            <w:tcW w:w="3380" w:type="dxa"/>
            <w:gridSpan w:val="2"/>
            <w:vMerge/>
            <w:tcBorders>
              <w:left w:val="single" w:sz="8" w:space="0" w:color="auto"/>
              <w:right w:val="single" w:sz="8" w:space="0" w:color="auto"/>
            </w:tcBorders>
            <w:vAlign w:val="bottom"/>
          </w:tcPr>
          <w:p w14:paraId="281A1058" w14:textId="22EA154B" w:rsidR="00E15399" w:rsidRDefault="00E15399">
            <w:pPr>
              <w:ind w:left="20"/>
              <w:rPr>
                <w:sz w:val="20"/>
                <w:szCs w:val="20"/>
              </w:rPr>
            </w:pPr>
          </w:p>
        </w:tc>
      </w:tr>
      <w:tr w:rsidR="00E15399" w14:paraId="281A1068" w14:textId="77777777" w:rsidTr="00E15399">
        <w:trPr>
          <w:trHeight w:val="141"/>
        </w:trPr>
        <w:tc>
          <w:tcPr>
            <w:tcW w:w="3840" w:type="dxa"/>
            <w:vMerge/>
            <w:tcBorders>
              <w:left w:val="single" w:sz="8" w:space="0" w:color="auto"/>
              <w:right w:val="single" w:sz="8" w:space="0" w:color="auto"/>
            </w:tcBorders>
            <w:vAlign w:val="bottom"/>
          </w:tcPr>
          <w:p w14:paraId="281A105E" w14:textId="0454F24C" w:rsidR="00E15399" w:rsidRDefault="00E15399" w:rsidP="00347FE4">
            <w:pPr>
              <w:ind w:left="1060"/>
              <w:rPr>
                <w:sz w:val="12"/>
                <w:szCs w:val="12"/>
              </w:rPr>
            </w:pPr>
          </w:p>
        </w:tc>
        <w:tc>
          <w:tcPr>
            <w:tcW w:w="3340" w:type="dxa"/>
            <w:gridSpan w:val="2"/>
            <w:vMerge/>
            <w:tcBorders>
              <w:left w:val="single" w:sz="8" w:space="0" w:color="auto"/>
              <w:right w:val="single" w:sz="8" w:space="0" w:color="auto"/>
            </w:tcBorders>
            <w:vAlign w:val="bottom"/>
          </w:tcPr>
          <w:p w14:paraId="281A1063" w14:textId="77777777" w:rsidR="00E15399" w:rsidRDefault="00E15399">
            <w:pPr>
              <w:rPr>
                <w:sz w:val="12"/>
                <w:szCs w:val="12"/>
              </w:rPr>
            </w:pPr>
          </w:p>
        </w:tc>
        <w:tc>
          <w:tcPr>
            <w:tcW w:w="3380" w:type="dxa"/>
            <w:gridSpan w:val="2"/>
            <w:vMerge/>
            <w:tcBorders>
              <w:left w:val="single" w:sz="8" w:space="0" w:color="auto"/>
              <w:right w:val="single" w:sz="8" w:space="0" w:color="auto"/>
            </w:tcBorders>
            <w:vAlign w:val="bottom"/>
          </w:tcPr>
          <w:p w14:paraId="281A1066" w14:textId="77777777" w:rsidR="00E15399" w:rsidRDefault="00E15399">
            <w:pPr>
              <w:rPr>
                <w:sz w:val="12"/>
                <w:szCs w:val="12"/>
              </w:rPr>
            </w:pPr>
          </w:p>
        </w:tc>
      </w:tr>
      <w:tr w:rsidR="00E15399" w14:paraId="281A1076" w14:textId="77777777" w:rsidTr="00E15399">
        <w:trPr>
          <w:trHeight w:val="74"/>
        </w:trPr>
        <w:tc>
          <w:tcPr>
            <w:tcW w:w="3840" w:type="dxa"/>
            <w:vMerge/>
            <w:tcBorders>
              <w:left w:val="single" w:sz="8" w:space="0" w:color="auto"/>
              <w:right w:val="single" w:sz="8" w:space="0" w:color="auto"/>
            </w:tcBorders>
            <w:vAlign w:val="bottom"/>
          </w:tcPr>
          <w:p w14:paraId="281A106C" w14:textId="45012F28" w:rsidR="00E15399" w:rsidRDefault="00E15399" w:rsidP="00347FE4">
            <w:pPr>
              <w:ind w:left="1060"/>
              <w:rPr>
                <w:sz w:val="6"/>
                <w:szCs w:val="6"/>
              </w:rPr>
            </w:pPr>
          </w:p>
        </w:tc>
        <w:tc>
          <w:tcPr>
            <w:tcW w:w="3340" w:type="dxa"/>
            <w:gridSpan w:val="2"/>
            <w:vMerge/>
            <w:tcBorders>
              <w:left w:val="single" w:sz="8" w:space="0" w:color="auto"/>
              <w:bottom w:val="single" w:sz="8" w:space="0" w:color="auto"/>
              <w:right w:val="single" w:sz="8" w:space="0" w:color="auto"/>
            </w:tcBorders>
            <w:vAlign w:val="bottom"/>
          </w:tcPr>
          <w:p w14:paraId="281A1071" w14:textId="77777777" w:rsidR="00E15399" w:rsidRDefault="00E15399">
            <w:pPr>
              <w:rPr>
                <w:sz w:val="6"/>
                <w:szCs w:val="6"/>
              </w:rPr>
            </w:pPr>
          </w:p>
        </w:tc>
        <w:tc>
          <w:tcPr>
            <w:tcW w:w="3380" w:type="dxa"/>
            <w:gridSpan w:val="2"/>
            <w:vMerge/>
            <w:tcBorders>
              <w:left w:val="single" w:sz="8" w:space="0" w:color="auto"/>
              <w:bottom w:val="single" w:sz="8" w:space="0" w:color="auto"/>
              <w:right w:val="single" w:sz="8" w:space="0" w:color="auto"/>
            </w:tcBorders>
            <w:vAlign w:val="bottom"/>
          </w:tcPr>
          <w:p w14:paraId="281A1074" w14:textId="77777777" w:rsidR="00E15399" w:rsidRDefault="00E15399">
            <w:pPr>
              <w:rPr>
                <w:sz w:val="6"/>
                <w:szCs w:val="6"/>
              </w:rPr>
            </w:pPr>
          </w:p>
        </w:tc>
      </w:tr>
      <w:tr w:rsidR="00E15399" w14:paraId="281A1083" w14:textId="77777777" w:rsidTr="00E15399">
        <w:trPr>
          <w:trHeight w:val="299"/>
        </w:trPr>
        <w:tc>
          <w:tcPr>
            <w:tcW w:w="3840" w:type="dxa"/>
            <w:vMerge/>
            <w:tcBorders>
              <w:left w:val="single" w:sz="8" w:space="0" w:color="auto"/>
              <w:right w:val="single" w:sz="8" w:space="0" w:color="auto"/>
            </w:tcBorders>
            <w:vAlign w:val="bottom"/>
          </w:tcPr>
          <w:p w14:paraId="281A1079" w14:textId="6FC42749" w:rsidR="00E15399" w:rsidRDefault="00E15399">
            <w:pPr>
              <w:ind w:left="1060"/>
              <w:rPr>
                <w:sz w:val="20"/>
                <w:szCs w:val="20"/>
              </w:rPr>
            </w:pPr>
          </w:p>
        </w:tc>
        <w:tc>
          <w:tcPr>
            <w:tcW w:w="1000" w:type="dxa"/>
            <w:vMerge w:val="restart"/>
            <w:tcBorders>
              <w:left w:val="single" w:sz="8" w:space="0" w:color="auto"/>
              <w:right w:val="single" w:sz="8" w:space="0" w:color="auto"/>
            </w:tcBorders>
            <w:vAlign w:val="center"/>
          </w:tcPr>
          <w:p w14:paraId="1AA3DB48" w14:textId="77777777" w:rsidR="00E15399" w:rsidRDefault="00E15399" w:rsidP="0030234A">
            <w:pPr>
              <w:jc w:val="center"/>
              <w:rPr>
                <w:sz w:val="20"/>
                <w:szCs w:val="20"/>
              </w:rPr>
            </w:pPr>
            <w:r>
              <w:rPr>
                <w:rFonts w:eastAsia="Times New Roman"/>
                <w:sz w:val="18"/>
                <w:szCs w:val="18"/>
              </w:rPr>
              <w:t>Tier of</w:t>
            </w:r>
          </w:p>
          <w:p w14:paraId="1B2021D7" w14:textId="77777777" w:rsidR="00E15399" w:rsidRDefault="00E15399" w:rsidP="0030234A">
            <w:pPr>
              <w:jc w:val="center"/>
              <w:rPr>
                <w:sz w:val="20"/>
                <w:szCs w:val="20"/>
              </w:rPr>
            </w:pPr>
            <w:r>
              <w:rPr>
                <w:rFonts w:eastAsia="Times New Roman"/>
                <w:sz w:val="18"/>
                <w:szCs w:val="18"/>
              </w:rPr>
              <w:t>public</w:t>
            </w:r>
          </w:p>
          <w:p w14:paraId="3ABEEFED" w14:textId="77777777" w:rsidR="00E15399" w:rsidRDefault="00E15399" w:rsidP="0030234A">
            <w:pPr>
              <w:jc w:val="center"/>
              <w:rPr>
                <w:sz w:val="20"/>
                <w:szCs w:val="20"/>
              </w:rPr>
            </w:pPr>
            <w:r>
              <w:rPr>
                <w:rFonts w:eastAsia="Times New Roman"/>
                <w:sz w:val="18"/>
                <w:szCs w:val="18"/>
              </w:rPr>
              <w:t>notice</w:t>
            </w:r>
          </w:p>
          <w:p w14:paraId="281A107B" w14:textId="4A072120" w:rsidR="00E15399" w:rsidRDefault="00E15399" w:rsidP="0030234A">
            <w:pPr>
              <w:jc w:val="center"/>
              <w:rPr>
                <w:sz w:val="24"/>
                <w:szCs w:val="24"/>
              </w:rPr>
            </w:pPr>
            <w:r>
              <w:rPr>
                <w:rFonts w:eastAsia="Times New Roman"/>
                <w:sz w:val="18"/>
                <w:szCs w:val="18"/>
              </w:rPr>
              <w:t>required</w:t>
            </w:r>
          </w:p>
        </w:tc>
        <w:tc>
          <w:tcPr>
            <w:tcW w:w="2340" w:type="dxa"/>
            <w:vMerge w:val="restart"/>
            <w:tcBorders>
              <w:left w:val="single" w:sz="8" w:space="0" w:color="auto"/>
              <w:right w:val="single" w:sz="8" w:space="0" w:color="auto"/>
            </w:tcBorders>
            <w:vAlign w:val="center"/>
          </w:tcPr>
          <w:p w14:paraId="281A107E" w14:textId="0B75DAAD" w:rsidR="00E15399" w:rsidRDefault="00E15399" w:rsidP="0030234A">
            <w:pPr>
              <w:jc w:val="center"/>
              <w:rPr>
                <w:sz w:val="24"/>
                <w:szCs w:val="24"/>
              </w:rPr>
            </w:pPr>
            <w:r>
              <w:rPr>
                <w:rFonts w:eastAsia="Times New Roman"/>
                <w:sz w:val="18"/>
                <w:szCs w:val="18"/>
              </w:rPr>
              <w:t>Citation</w:t>
            </w:r>
          </w:p>
        </w:tc>
        <w:tc>
          <w:tcPr>
            <w:tcW w:w="880" w:type="dxa"/>
            <w:vMerge w:val="restart"/>
            <w:tcBorders>
              <w:left w:val="single" w:sz="8" w:space="0" w:color="auto"/>
              <w:right w:val="single" w:sz="8" w:space="0" w:color="auto"/>
            </w:tcBorders>
            <w:vAlign w:val="center"/>
          </w:tcPr>
          <w:p w14:paraId="2F8AF952" w14:textId="77777777" w:rsidR="00E15399" w:rsidRDefault="00E15399" w:rsidP="0030234A">
            <w:pPr>
              <w:jc w:val="center"/>
              <w:rPr>
                <w:sz w:val="20"/>
                <w:szCs w:val="20"/>
              </w:rPr>
            </w:pPr>
            <w:r>
              <w:rPr>
                <w:rFonts w:eastAsia="Times New Roman"/>
                <w:sz w:val="18"/>
                <w:szCs w:val="18"/>
              </w:rPr>
              <w:t>Tier of</w:t>
            </w:r>
          </w:p>
          <w:p w14:paraId="018B933D" w14:textId="77777777" w:rsidR="00E15399" w:rsidRDefault="00E15399" w:rsidP="0030234A">
            <w:pPr>
              <w:jc w:val="center"/>
              <w:rPr>
                <w:sz w:val="20"/>
                <w:szCs w:val="20"/>
              </w:rPr>
            </w:pPr>
            <w:r>
              <w:rPr>
                <w:rFonts w:eastAsia="Times New Roman"/>
                <w:sz w:val="18"/>
                <w:szCs w:val="18"/>
              </w:rPr>
              <w:t>public</w:t>
            </w:r>
          </w:p>
          <w:p w14:paraId="629C3378" w14:textId="77777777" w:rsidR="00E15399" w:rsidRDefault="00E15399" w:rsidP="0030234A">
            <w:pPr>
              <w:jc w:val="center"/>
              <w:rPr>
                <w:sz w:val="20"/>
                <w:szCs w:val="20"/>
              </w:rPr>
            </w:pPr>
            <w:r>
              <w:rPr>
                <w:rFonts w:eastAsia="Times New Roman"/>
                <w:sz w:val="18"/>
                <w:szCs w:val="18"/>
              </w:rPr>
              <w:t>notice</w:t>
            </w:r>
          </w:p>
          <w:p w14:paraId="281A107F" w14:textId="1D6F7829" w:rsidR="00E15399" w:rsidRDefault="00E15399" w:rsidP="0030234A">
            <w:pPr>
              <w:jc w:val="center"/>
              <w:rPr>
                <w:sz w:val="20"/>
                <w:szCs w:val="20"/>
              </w:rPr>
            </w:pPr>
            <w:r>
              <w:rPr>
                <w:rFonts w:eastAsia="Times New Roman"/>
                <w:sz w:val="18"/>
                <w:szCs w:val="18"/>
              </w:rPr>
              <w:t>required</w:t>
            </w:r>
          </w:p>
        </w:tc>
        <w:tc>
          <w:tcPr>
            <w:tcW w:w="2500" w:type="dxa"/>
            <w:vMerge w:val="restart"/>
            <w:tcBorders>
              <w:right w:val="single" w:sz="8" w:space="0" w:color="auto"/>
            </w:tcBorders>
            <w:vAlign w:val="center"/>
          </w:tcPr>
          <w:p w14:paraId="281A1081" w14:textId="475821D8" w:rsidR="00E15399" w:rsidRDefault="00E15399" w:rsidP="0030234A">
            <w:pPr>
              <w:ind w:left="540"/>
              <w:jc w:val="center"/>
              <w:rPr>
                <w:sz w:val="24"/>
                <w:szCs w:val="24"/>
              </w:rPr>
            </w:pPr>
            <w:r>
              <w:rPr>
                <w:rFonts w:eastAsia="Times New Roman"/>
                <w:sz w:val="18"/>
                <w:szCs w:val="18"/>
              </w:rPr>
              <w:t>Citation</w:t>
            </w:r>
          </w:p>
        </w:tc>
      </w:tr>
      <w:tr w:rsidR="00E15399" w14:paraId="281A1090" w14:textId="77777777" w:rsidTr="00E15399">
        <w:trPr>
          <w:trHeight w:val="82"/>
        </w:trPr>
        <w:tc>
          <w:tcPr>
            <w:tcW w:w="3840" w:type="dxa"/>
            <w:vMerge/>
            <w:tcBorders>
              <w:left w:val="single" w:sz="8" w:space="0" w:color="auto"/>
              <w:right w:val="single" w:sz="8" w:space="0" w:color="auto"/>
            </w:tcBorders>
            <w:vAlign w:val="bottom"/>
          </w:tcPr>
          <w:p w14:paraId="281A1086" w14:textId="77777777" w:rsidR="00E15399" w:rsidRDefault="00E15399">
            <w:pPr>
              <w:rPr>
                <w:sz w:val="7"/>
                <w:szCs w:val="7"/>
              </w:rPr>
            </w:pPr>
          </w:p>
        </w:tc>
        <w:tc>
          <w:tcPr>
            <w:tcW w:w="1000" w:type="dxa"/>
            <w:vMerge/>
            <w:tcBorders>
              <w:left w:val="single" w:sz="8" w:space="0" w:color="auto"/>
              <w:right w:val="single" w:sz="8" w:space="0" w:color="auto"/>
            </w:tcBorders>
            <w:vAlign w:val="bottom"/>
          </w:tcPr>
          <w:p w14:paraId="281A1088" w14:textId="276EB131" w:rsidR="00E15399" w:rsidRDefault="00E15399" w:rsidP="00347FE4">
            <w:pPr>
              <w:rPr>
                <w:sz w:val="7"/>
                <w:szCs w:val="7"/>
              </w:rPr>
            </w:pPr>
          </w:p>
        </w:tc>
        <w:tc>
          <w:tcPr>
            <w:tcW w:w="2340" w:type="dxa"/>
            <w:vMerge/>
            <w:tcBorders>
              <w:left w:val="single" w:sz="8" w:space="0" w:color="auto"/>
              <w:right w:val="single" w:sz="8" w:space="0" w:color="auto"/>
            </w:tcBorders>
            <w:vAlign w:val="bottom"/>
          </w:tcPr>
          <w:p w14:paraId="281A108B" w14:textId="38BBDD96" w:rsidR="00E15399" w:rsidRDefault="00E15399" w:rsidP="00347FE4">
            <w:pPr>
              <w:rPr>
                <w:sz w:val="7"/>
                <w:szCs w:val="7"/>
              </w:rPr>
            </w:pPr>
          </w:p>
        </w:tc>
        <w:tc>
          <w:tcPr>
            <w:tcW w:w="880" w:type="dxa"/>
            <w:vMerge/>
            <w:tcBorders>
              <w:left w:val="single" w:sz="8" w:space="0" w:color="auto"/>
              <w:right w:val="single" w:sz="8" w:space="0" w:color="auto"/>
            </w:tcBorders>
            <w:vAlign w:val="bottom"/>
          </w:tcPr>
          <w:p w14:paraId="281A108C" w14:textId="3302920C" w:rsidR="00E15399" w:rsidRDefault="00E15399" w:rsidP="00347FE4">
            <w:pPr>
              <w:jc w:val="center"/>
              <w:rPr>
                <w:sz w:val="20"/>
                <w:szCs w:val="20"/>
              </w:rPr>
            </w:pPr>
          </w:p>
        </w:tc>
        <w:tc>
          <w:tcPr>
            <w:tcW w:w="2500" w:type="dxa"/>
            <w:vMerge/>
            <w:tcBorders>
              <w:right w:val="single" w:sz="8" w:space="0" w:color="auto"/>
            </w:tcBorders>
            <w:vAlign w:val="bottom"/>
          </w:tcPr>
          <w:p w14:paraId="281A108E" w14:textId="662A026F" w:rsidR="00E15399" w:rsidRDefault="00E15399" w:rsidP="00347FE4">
            <w:pPr>
              <w:ind w:left="540"/>
              <w:rPr>
                <w:sz w:val="7"/>
                <w:szCs w:val="7"/>
              </w:rPr>
            </w:pPr>
          </w:p>
        </w:tc>
      </w:tr>
      <w:tr w:rsidR="00E15399" w14:paraId="281A109E" w14:textId="77777777" w:rsidTr="00E15399">
        <w:trPr>
          <w:trHeight w:val="199"/>
        </w:trPr>
        <w:tc>
          <w:tcPr>
            <w:tcW w:w="3840" w:type="dxa"/>
            <w:vMerge/>
            <w:tcBorders>
              <w:left w:val="single" w:sz="8" w:space="0" w:color="auto"/>
              <w:right w:val="single" w:sz="8" w:space="0" w:color="auto"/>
            </w:tcBorders>
            <w:vAlign w:val="bottom"/>
          </w:tcPr>
          <w:p w14:paraId="281A1094" w14:textId="77777777" w:rsidR="00E15399" w:rsidRDefault="00E15399">
            <w:pPr>
              <w:rPr>
                <w:sz w:val="17"/>
                <w:szCs w:val="17"/>
              </w:rPr>
            </w:pPr>
          </w:p>
        </w:tc>
        <w:tc>
          <w:tcPr>
            <w:tcW w:w="1000" w:type="dxa"/>
            <w:vMerge/>
            <w:tcBorders>
              <w:left w:val="single" w:sz="8" w:space="0" w:color="auto"/>
              <w:right w:val="single" w:sz="8" w:space="0" w:color="auto"/>
            </w:tcBorders>
            <w:vAlign w:val="bottom"/>
          </w:tcPr>
          <w:p w14:paraId="281A1096" w14:textId="7AE648D1" w:rsidR="00E15399" w:rsidRDefault="00E15399" w:rsidP="00347FE4">
            <w:pPr>
              <w:rPr>
                <w:sz w:val="17"/>
                <w:szCs w:val="17"/>
              </w:rPr>
            </w:pPr>
          </w:p>
        </w:tc>
        <w:tc>
          <w:tcPr>
            <w:tcW w:w="2340" w:type="dxa"/>
            <w:vMerge/>
            <w:tcBorders>
              <w:left w:val="single" w:sz="8" w:space="0" w:color="auto"/>
              <w:right w:val="single" w:sz="8" w:space="0" w:color="auto"/>
            </w:tcBorders>
            <w:vAlign w:val="bottom"/>
          </w:tcPr>
          <w:p w14:paraId="281A1099" w14:textId="01E5FB14" w:rsidR="00E15399" w:rsidRDefault="00E15399">
            <w:pPr>
              <w:rPr>
                <w:sz w:val="17"/>
                <w:szCs w:val="17"/>
              </w:rPr>
            </w:pPr>
          </w:p>
        </w:tc>
        <w:tc>
          <w:tcPr>
            <w:tcW w:w="880" w:type="dxa"/>
            <w:vMerge/>
            <w:tcBorders>
              <w:left w:val="single" w:sz="8" w:space="0" w:color="auto"/>
              <w:right w:val="single" w:sz="8" w:space="0" w:color="auto"/>
            </w:tcBorders>
            <w:vAlign w:val="bottom"/>
          </w:tcPr>
          <w:p w14:paraId="281A109A" w14:textId="15C180FA" w:rsidR="00E15399" w:rsidRDefault="00E15399" w:rsidP="00347FE4">
            <w:pPr>
              <w:jc w:val="center"/>
              <w:rPr>
                <w:sz w:val="17"/>
                <w:szCs w:val="17"/>
              </w:rPr>
            </w:pPr>
          </w:p>
        </w:tc>
        <w:tc>
          <w:tcPr>
            <w:tcW w:w="2500" w:type="dxa"/>
            <w:vMerge/>
            <w:tcBorders>
              <w:right w:val="single" w:sz="8" w:space="0" w:color="auto"/>
            </w:tcBorders>
            <w:vAlign w:val="bottom"/>
          </w:tcPr>
          <w:p w14:paraId="281A109C" w14:textId="6392E4A2" w:rsidR="00E15399" w:rsidRDefault="00E15399">
            <w:pPr>
              <w:ind w:left="540"/>
              <w:rPr>
                <w:sz w:val="20"/>
                <w:szCs w:val="20"/>
              </w:rPr>
            </w:pPr>
          </w:p>
        </w:tc>
      </w:tr>
      <w:tr w:rsidR="00E15399" w14:paraId="281A10AC" w14:textId="77777777" w:rsidTr="00E15399">
        <w:trPr>
          <w:trHeight w:val="139"/>
        </w:trPr>
        <w:tc>
          <w:tcPr>
            <w:tcW w:w="3840" w:type="dxa"/>
            <w:vMerge/>
            <w:tcBorders>
              <w:left w:val="single" w:sz="8" w:space="0" w:color="auto"/>
              <w:right w:val="single" w:sz="8" w:space="0" w:color="auto"/>
            </w:tcBorders>
            <w:vAlign w:val="bottom"/>
          </w:tcPr>
          <w:p w14:paraId="281A10A2" w14:textId="77777777" w:rsidR="00E15399" w:rsidRDefault="00E15399">
            <w:pPr>
              <w:rPr>
                <w:sz w:val="12"/>
                <w:szCs w:val="12"/>
              </w:rPr>
            </w:pPr>
          </w:p>
        </w:tc>
        <w:tc>
          <w:tcPr>
            <w:tcW w:w="1000" w:type="dxa"/>
            <w:vMerge/>
            <w:tcBorders>
              <w:left w:val="single" w:sz="8" w:space="0" w:color="auto"/>
              <w:right w:val="single" w:sz="8" w:space="0" w:color="auto"/>
            </w:tcBorders>
            <w:vAlign w:val="bottom"/>
          </w:tcPr>
          <w:p w14:paraId="281A10A4" w14:textId="630055F1" w:rsidR="00E15399" w:rsidRDefault="00E15399" w:rsidP="00347FE4">
            <w:pPr>
              <w:rPr>
                <w:sz w:val="12"/>
                <w:szCs w:val="12"/>
              </w:rPr>
            </w:pPr>
          </w:p>
        </w:tc>
        <w:tc>
          <w:tcPr>
            <w:tcW w:w="2340" w:type="dxa"/>
            <w:vMerge/>
            <w:tcBorders>
              <w:left w:val="single" w:sz="8" w:space="0" w:color="auto"/>
              <w:right w:val="single" w:sz="8" w:space="0" w:color="auto"/>
            </w:tcBorders>
            <w:vAlign w:val="bottom"/>
          </w:tcPr>
          <w:p w14:paraId="281A10A7" w14:textId="77777777" w:rsidR="00E15399" w:rsidRDefault="00E15399">
            <w:pPr>
              <w:rPr>
                <w:sz w:val="12"/>
                <w:szCs w:val="12"/>
              </w:rPr>
            </w:pPr>
          </w:p>
        </w:tc>
        <w:tc>
          <w:tcPr>
            <w:tcW w:w="880" w:type="dxa"/>
            <w:vMerge/>
            <w:tcBorders>
              <w:left w:val="single" w:sz="8" w:space="0" w:color="auto"/>
              <w:right w:val="single" w:sz="8" w:space="0" w:color="auto"/>
            </w:tcBorders>
            <w:vAlign w:val="bottom"/>
          </w:tcPr>
          <w:p w14:paraId="281A10A8" w14:textId="533D1F97" w:rsidR="00E15399" w:rsidRDefault="00E15399" w:rsidP="00347FE4">
            <w:pPr>
              <w:jc w:val="center"/>
              <w:rPr>
                <w:sz w:val="20"/>
                <w:szCs w:val="20"/>
              </w:rPr>
            </w:pPr>
          </w:p>
        </w:tc>
        <w:tc>
          <w:tcPr>
            <w:tcW w:w="2500" w:type="dxa"/>
            <w:vMerge/>
            <w:tcBorders>
              <w:right w:val="single" w:sz="8" w:space="0" w:color="auto"/>
            </w:tcBorders>
            <w:vAlign w:val="bottom"/>
          </w:tcPr>
          <w:p w14:paraId="281A10AA" w14:textId="77777777" w:rsidR="00E15399" w:rsidRDefault="00E15399">
            <w:pPr>
              <w:rPr>
                <w:sz w:val="12"/>
                <w:szCs w:val="12"/>
              </w:rPr>
            </w:pPr>
          </w:p>
        </w:tc>
      </w:tr>
      <w:tr w:rsidR="00E15399" w14:paraId="281A10BA" w14:textId="77777777" w:rsidTr="00E15399">
        <w:trPr>
          <w:trHeight w:val="139"/>
        </w:trPr>
        <w:tc>
          <w:tcPr>
            <w:tcW w:w="3840" w:type="dxa"/>
            <w:vMerge/>
            <w:tcBorders>
              <w:left w:val="single" w:sz="8" w:space="0" w:color="auto"/>
              <w:right w:val="single" w:sz="8" w:space="0" w:color="auto"/>
            </w:tcBorders>
            <w:vAlign w:val="bottom"/>
          </w:tcPr>
          <w:p w14:paraId="281A10B0" w14:textId="77777777" w:rsidR="00E15399" w:rsidRDefault="00E15399">
            <w:pPr>
              <w:rPr>
                <w:sz w:val="12"/>
                <w:szCs w:val="12"/>
              </w:rPr>
            </w:pPr>
          </w:p>
        </w:tc>
        <w:tc>
          <w:tcPr>
            <w:tcW w:w="1000" w:type="dxa"/>
            <w:vMerge/>
            <w:tcBorders>
              <w:left w:val="single" w:sz="8" w:space="0" w:color="auto"/>
              <w:right w:val="single" w:sz="8" w:space="0" w:color="auto"/>
            </w:tcBorders>
            <w:vAlign w:val="bottom"/>
          </w:tcPr>
          <w:p w14:paraId="281A10B2" w14:textId="2E69C738" w:rsidR="00E15399" w:rsidRDefault="00E15399" w:rsidP="00347FE4">
            <w:pPr>
              <w:rPr>
                <w:sz w:val="12"/>
                <w:szCs w:val="12"/>
              </w:rPr>
            </w:pPr>
          </w:p>
        </w:tc>
        <w:tc>
          <w:tcPr>
            <w:tcW w:w="2340" w:type="dxa"/>
            <w:vMerge/>
            <w:tcBorders>
              <w:left w:val="single" w:sz="8" w:space="0" w:color="auto"/>
              <w:right w:val="single" w:sz="8" w:space="0" w:color="auto"/>
            </w:tcBorders>
            <w:vAlign w:val="bottom"/>
          </w:tcPr>
          <w:p w14:paraId="281A10B5" w14:textId="77777777" w:rsidR="00E15399" w:rsidRDefault="00E15399">
            <w:pPr>
              <w:rPr>
                <w:sz w:val="12"/>
                <w:szCs w:val="12"/>
              </w:rPr>
            </w:pPr>
          </w:p>
        </w:tc>
        <w:tc>
          <w:tcPr>
            <w:tcW w:w="880" w:type="dxa"/>
            <w:vMerge/>
            <w:tcBorders>
              <w:left w:val="single" w:sz="8" w:space="0" w:color="auto"/>
              <w:right w:val="single" w:sz="8" w:space="0" w:color="auto"/>
            </w:tcBorders>
            <w:vAlign w:val="bottom"/>
          </w:tcPr>
          <w:p w14:paraId="281A10B6" w14:textId="734FFE44" w:rsidR="00E15399" w:rsidRDefault="00E15399" w:rsidP="00347FE4">
            <w:pPr>
              <w:jc w:val="center"/>
              <w:rPr>
                <w:sz w:val="12"/>
                <w:szCs w:val="12"/>
              </w:rPr>
            </w:pPr>
          </w:p>
        </w:tc>
        <w:tc>
          <w:tcPr>
            <w:tcW w:w="2500" w:type="dxa"/>
            <w:vMerge/>
            <w:tcBorders>
              <w:right w:val="single" w:sz="8" w:space="0" w:color="auto"/>
            </w:tcBorders>
            <w:vAlign w:val="bottom"/>
          </w:tcPr>
          <w:p w14:paraId="281A10B8" w14:textId="77777777" w:rsidR="00E15399" w:rsidRDefault="00E15399">
            <w:pPr>
              <w:rPr>
                <w:sz w:val="12"/>
                <w:szCs w:val="12"/>
              </w:rPr>
            </w:pPr>
          </w:p>
        </w:tc>
      </w:tr>
      <w:tr w:rsidR="00E15399" w14:paraId="281A10C8" w14:textId="77777777" w:rsidTr="00E15399">
        <w:trPr>
          <w:trHeight w:val="281"/>
        </w:trPr>
        <w:tc>
          <w:tcPr>
            <w:tcW w:w="3840" w:type="dxa"/>
            <w:vMerge/>
            <w:tcBorders>
              <w:left w:val="single" w:sz="8" w:space="0" w:color="auto"/>
              <w:right w:val="single" w:sz="8" w:space="0" w:color="auto"/>
            </w:tcBorders>
            <w:vAlign w:val="bottom"/>
          </w:tcPr>
          <w:p w14:paraId="281A10BE" w14:textId="77777777" w:rsidR="00E15399" w:rsidRDefault="00E15399">
            <w:pPr>
              <w:rPr>
                <w:sz w:val="24"/>
                <w:szCs w:val="24"/>
              </w:rPr>
            </w:pPr>
          </w:p>
        </w:tc>
        <w:tc>
          <w:tcPr>
            <w:tcW w:w="1000" w:type="dxa"/>
            <w:vMerge/>
            <w:tcBorders>
              <w:left w:val="single" w:sz="8" w:space="0" w:color="auto"/>
              <w:right w:val="single" w:sz="8" w:space="0" w:color="auto"/>
            </w:tcBorders>
            <w:vAlign w:val="bottom"/>
          </w:tcPr>
          <w:p w14:paraId="281A10C0" w14:textId="626FE281" w:rsidR="00E15399" w:rsidRDefault="00E15399">
            <w:pPr>
              <w:rPr>
                <w:sz w:val="24"/>
                <w:szCs w:val="24"/>
              </w:rPr>
            </w:pPr>
          </w:p>
        </w:tc>
        <w:tc>
          <w:tcPr>
            <w:tcW w:w="2340" w:type="dxa"/>
            <w:vMerge/>
            <w:tcBorders>
              <w:left w:val="single" w:sz="8" w:space="0" w:color="auto"/>
              <w:right w:val="single" w:sz="8" w:space="0" w:color="auto"/>
            </w:tcBorders>
            <w:vAlign w:val="bottom"/>
          </w:tcPr>
          <w:p w14:paraId="281A10C3" w14:textId="77777777" w:rsidR="00E15399" w:rsidRDefault="00E15399">
            <w:pPr>
              <w:rPr>
                <w:sz w:val="24"/>
                <w:szCs w:val="24"/>
              </w:rPr>
            </w:pPr>
          </w:p>
        </w:tc>
        <w:tc>
          <w:tcPr>
            <w:tcW w:w="880" w:type="dxa"/>
            <w:vMerge/>
            <w:tcBorders>
              <w:left w:val="single" w:sz="8" w:space="0" w:color="auto"/>
              <w:right w:val="single" w:sz="8" w:space="0" w:color="auto"/>
            </w:tcBorders>
            <w:vAlign w:val="bottom"/>
          </w:tcPr>
          <w:p w14:paraId="281A10C4" w14:textId="3CE12962" w:rsidR="00E15399" w:rsidRDefault="00E15399">
            <w:pPr>
              <w:jc w:val="center"/>
              <w:rPr>
                <w:sz w:val="20"/>
                <w:szCs w:val="20"/>
              </w:rPr>
            </w:pPr>
          </w:p>
        </w:tc>
        <w:tc>
          <w:tcPr>
            <w:tcW w:w="2500" w:type="dxa"/>
            <w:vMerge/>
            <w:tcBorders>
              <w:right w:val="single" w:sz="8" w:space="0" w:color="auto"/>
            </w:tcBorders>
            <w:vAlign w:val="bottom"/>
          </w:tcPr>
          <w:p w14:paraId="281A10C6" w14:textId="77777777" w:rsidR="00E15399" w:rsidRDefault="00E15399">
            <w:pPr>
              <w:rPr>
                <w:sz w:val="24"/>
                <w:szCs w:val="24"/>
              </w:rPr>
            </w:pPr>
          </w:p>
        </w:tc>
      </w:tr>
      <w:tr w:rsidR="00E15399" w14:paraId="281A10D4" w14:textId="77777777" w:rsidTr="00E15399">
        <w:trPr>
          <w:trHeight w:val="56"/>
        </w:trPr>
        <w:tc>
          <w:tcPr>
            <w:tcW w:w="3840" w:type="dxa"/>
            <w:vMerge/>
            <w:tcBorders>
              <w:left w:val="single" w:sz="8" w:space="0" w:color="auto"/>
              <w:bottom w:val="single" w:sz="8" w:space="0" w:color="auto"/>
              <w:right w:val="single" w:sz="8" w:space="0" w:color="auto"/>
            </w:tcBorders>
            <w:vAlign w:val="bottom"/>
          </w:tcPr>
          <w:p w14:paraId="281A10CA" w14:textId="77777777" w:rsidR="00E15399" w:rsidRDefault="00E15399">
            <w:pPr>
              <w:rPr>
                <w:sz w:val="4"/>
                <w:szCs w:val="4"/>
              </w:rPr>
            </w:pPr>
          </w:p>
        </w:tc>
        <w:tc>
          <w:tcPr>
            <w:tcW w:w="1000" w:type="dxa"/>
            <w:vMerge/>
            <w:tcBorders>
              <w:left w:val="single" w:sz="8" w:space="0" w:color="auto"/>
              <w:bottom w:val="single" w:sz="8" w:space="0" w:color="auto"/>
              <w:right w:val="single" w:sz="8" w:space="0" w:color="auto"/>
            </w:tcBorders>
            <w:vAlign w:val="bottom"/>
          </w:tcPr>
          <w:p w14:paraId="281A10CC" w14:textId="77777777" w:rsidR="00E15399" w:rsidRDefault="00E15399">
            <w:pPr>
              <w:rPr>
                <w:sz w:val="4"/>
                <w:szCs w:val="4"/>
              </w:rPr>
            </w:pPr>
          </w:p>
        </w:tc>
        <w:tc>
          <w:tcPr>
            <w:tcW w:w="2340" w:type="dxa"/>
            <w:vMerge/>
            <w:tcBorders>
              <w:left w:val="single" w:sz="8" w:space="0" w:color="auto"/>
              <w:bottom w:val="single" w:sz="8" w:space="0" w:color="auto"/>
              <w:right w:val="single" w:sz="8" w:space="0" w:color="auto"/>
            </w:tcBorders>
            <w:vAlign w:val="bottom"/>
          </w:tcPr>
          <w:p w14:paraId="281A10CF" w14:textId="77777777" w:rsidR="00E15399" w:rsidRDefault="00E15399">
            <w:pPr>
              <w:rPr>
                <w:sz w:val="4"/>
                <w:szCs w:val="4"/>
              </w:rPr>
            </w:pPr>
          </w:p>
        </w:tc>
        <w:tc>
          <w:tcPr>
            <w:tcW w:w="880" w:type="dxa"/>
            <w:vMerge/>
            <w:tcBorders>
              <w:left w:val="single" w:sz="8" w:space="0" w:color="auto"/>
              <w:bottom w:val="single" w:sz="8" w:space="0" w:color="auto"/>
              <w:right w:val="single" w:sz="8" w:space="0" w:color="auto"/>
            </w:tcBorders>
            <w:vAlign w:val="bottom"/>
          </w:tcPr>
          <w:p w14:paraId="281A10D0" w14:textId="77777777" w:rsidR="00E15399" w:rsidRDefault="00E15399">
            <w:pPr>
              <w:rPr>
                <w:sz w:val="4"/>
                <w:szCs w:val="4"/>
              </w:rPr>
            </w:pPr>
          </w:p>
        </w:tc>
        <w:tc>
          <w:tcPr>
            <w:tcW w:w="2500" w:type="dxa"/>
            <w:vMerge/>
            <w:tcBorders>
              <w:bottom w:val="single" w:sz="8" w:space="0" w:color="auto"/>
              <w:right w:val="single" w:sz="8" w:space="0" w:color="auto"/>
            </w:tcBorders>
            <w:vAlign w:val="bottom"/>
          </w:tcPr>
          <w:p w14:paraId="281A10D2" w14:textId="77777777" w:rsidR="00E15399" w:rsidRDefault="00E15399">
            <w:pPr>
              <w:rPr>
                <w:sz w:val="4"/>
                <w:szCs w:val="4"/>
              </w:rPr>
            </w:pPr>
          </w:p>
        </w:tc>
      </w:tr>
      <w:tr w:rsidR="00E15399" w14:paraId="281A10E0" w14:textId="77777777" w:rsidTr="00E15399">
        <w:trPr>
          <w:trHeight w:val="276"/>
        </w:trPr>
        <w:tc>
          <w:tcPr>
            <w:tcW w:w="10560" w:type="dxa"/>
            <w:gridSpan w:val="5"/>
            <w:tcBorders>
              <w:left w:val="single" w:sz="8" w:space="0" w:color="auto"/>
              <w:bottom w:val="single" w:sz="8" w:space="0" w:color="auto"/>
              <w:right w:val="single" w:sz="8" w:space="0" w:color="auto"/>
            </w:tcBorders>
            <w:vAlign w:val="center"/>
          </w:tcPr>
          <w:p w14:paraId="281A10DE" w14:textId="0C48E6F9" w:rsidR="00E15399" w:rsidRDefault="00E15399" w:rsidP="0022526E">
            <w:pPr>
              <w:ind w:left="86"/>
              <w:rPr>
                <w:sz w:val="23"/>
                <w:szCs w:val="23"/>
              </w:rPr>
            </w:pPr>
            <w:r>
              <w:rPr>
                <w:rFonts w:eastAsia="Times New Roman"/>
                <w:sz w:val="18"/>
                <w:szCs w:val="18"/>
              </w:rPr>
              <w:t xml:space="preserve">B.  </w:t>
            </w:r>
            <w:r>
              <w:rPr>
                <w:rFonts w:eastAsia="Times New Roman"/>
                <w:b/>
                <w:bCs/>
                <w:sz w:val="18"/>
                <w:szCs w:val="18"/>
              </w:rPr>
              <w:t>Inorganic Chemicals (IOCs)</w:t>
            </w:r>
          </w:p>
        </w:tc>
      </w:tr>
      <w:tr w:rsidR="00E15399" w14:paraId="281A10ED" w14:textId="77777777" w:rsidTr="00E15399">
        <w:trPr>
          <w:trHeight w:val="280"/>
        </w:trPr>
        <w:tc>
          <w:tcPr>
            <w:tcW w:w="3840" w:type="dxa"/>
            <w:tcBorders>
              <w:left w:val="single" w:sz="8" w:space="0" w:color="auto"/>
              <w:bottom w:val="single" w:sz="8" w:space="0" w:color="auto"/>
              <w:right w:val="single" w:sz="8" w:space="0" w:color="auto"/>
            </w:tcBorders>
            <w:vAlign w:val="center"/>
          </w:tcPr>
          <w:p w14:paraId="281A10E3" w14:textId="172690E8" w:rsidR="00E15399" w:rsidRPr="0030234A" w:rsidRDefault="00E15399" w:rsidP="00563A54">
            <w:pPr>
              <w:pStyle w:val="ListParagraph"/>
              <w:numPr>
                <w:ilvl w:val="2"/>
                <w:numId w:val="412"/>
              </w:numPr>
              <w:tabs>
                <w:tab w:val="left" w:pos="240"/>
              </w:tabs>
              <w:ind w:left="0"/>
              <w:rPr>
                <w:sz w:val="24"/>
                <w:szCs w:val="24"/>
              </w:rPr>
            </w:pPr>
            <w:r w:rsidRPr="0030234A">
              <w:rPr>
                <w:rFonts w:eastAsia="Times New Roman"/>
                <w:sz w:val="18"/>
                <w:szCs w:val="18"/>
              </w:rPr>
              <w:t>Antimony</w:t>
            </w:r>
          </w:p>
        </w:tc>
        <w:tc>
          <w:tcPr>
            <w:tcW w:w="1000" w:type="dxa"/>
            <w:tcBorders>
              <w:bottom w:val="single" w:sz="8" w:space="0" w:color="auto"/>
              <w:right w:val="single" w:sz="8" w:space="0" w:color="auto"/>
            </w:tcBorders>
            <w:vAlign w:val="center"/>
          </w:tcPr>
          <w:p w14:paraId="281A10E5" w14:textId="6A2D0A16"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0E8" w14:textId="66CA8E5F" w:rsidR="00E15399" w:rsidRDefault="00E15399" w:rsidP="00494E1C">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0E9"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0EB" w14:textId="5814F0A9" w:rsidR="00E15399" w:rsidRDefault="00E15399" w:rsidP="00494E1C">
            <w:pPr>
              <w:jc w:val="center"/>
              <w:rPr>
                <w:sz w:val="20"/>
                <w:szCs w:val="20"/>
              </w:rPr>
            </w:pPr>
            <w:r>
              <w:rPr>
                <w:rFonts w:eastAsia="Times New Roman"/>
                <w:sz w:val="18"/>
                <w:szCs w:val="18"/>
              </w:rPr>
              <w:t>310 CMR 22.06</w:t>
            </w:r>
          </w:p>
        </w:tc>
      </w:tr>
      <w:tr w:rsidR="00E15399" w14:paraId="281A10F8" w14:textId="77777777" w:rsidTr="00E15399">
        <w:trPr>
          <w:trHeight w:val="276"/>
        </w:trPr>
        <w:tc>
          <w:tcPr>
            <w:tcW w:w="3840" w:type="dxa"/>
            <w:tcBorders>
              <w:left w:val="single" w:sz="8" w:space="0" w:color="auto"/>
              <w:bottom w:val="single" w:sz="8" w:space="0" w:color="auto"/>
              <w:right w:val="single" w:sz="8" w:space="0" w:color="auto"/>
            </w:tcBorders>
            <w:vAlign w:val="center"/>
          </w:tcPr>
          <w:p w14:paraId="281A10F0" w14:textId="049C9147" w:rsidR="00E15399" w:rsidRDefault="00E15399" w:rsidP="00563A54">
            <w:pPr>
              <w:pStyle w:val="ListParagraph"/>
              <w:numPr>
                <w:ilvl w:val="2"/>
                <w:numId w:val="412"/>
              </w:numPr>
              <w:tabs>
                <w:tab w:val="left" w:pos="240"/>
              </w:tabs>
              <w:ind w:left="0"/>
              <w:rPr>
                <w:sz w:val="24"/>
                <w:szCs w:val="24"/>
              </w:rPr>
            </w:pPr>
            <w:r>
              <w:rPr>
                <w:rFonts w:eastAsia="Times New Roman"/>
                <w:sz w:val="18"/>
                <w:szCs w:val="18"/>
              </w:rPr>
              <w:t>Arsenic</w:t>
            </w:r>
          </w:p>
        </w:tc>
        <w:tc>
          <w:tcPr>
            <w:tcW w:w="1000" w:type="dxa"/>
            <w:tcBorders>
              <w:bottom w:val="single" w:sz="8" w:space="0" w:color="auto"/>
              <w:right w:val="single" w:sz="8" w:space="0" w:color="auto"/>
            </w:tcBorders>
            <w:vAlign w:val="center"/>
          </w:tcPr>
          <w:p w14:paraId="281A10F2" w14:textId="2FE7E458"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0F4" w14:textId="655ABA4A" w:rsidR="00E15399" w:rsidRDefault="00E15399" w:rsidP="00494E1C">
            <w:pPr>
              <w:jc w:val="center"/>
              <w:rPr>
                <w:sz w:val="24"/>
                <w:szCs w:val="24"/>
              </w:rPr>
            </w:pPr>
            <w:r>
              <w:rPr>
                <w:rFonts w:eastAsia="Times New Roman"/>
                <w:sz w:val="18"/>
                <w:szCs w:val="18"/>
              </w:rPr>
              <w:t>310 CMR 22.06</w:t>
            </w:r>
            <w:r w:rsidRPr="00494E1C">
              <w:rPr>
                <w:rFonts w:eastAsia="Times New Roman"/>
                <w:sz w:val="18"/>
                <w:szCs w:val="18"/>
                <w:vertAlign w:val="superscript"/>
              </w:rPr>
              <w:t>8</w:t>
            </w:r>
          </w:p>
        </w:tc>
        <w:tc>
          <w:tcPr>
            <w:tcW w:w="880" w:type="dxa"/>
            <w:tcBorders>
              <w:bottom w:val="single" w:sz="8" w:space="0" w:color="auto"/>
              <w:right w:val="single" w:sz="8" w:space="0" w:color="auto"/>
            </w:tcBorders>
            <w:vAlign w:val="center"/>
          </w:tcPr>
          <w:p w14:paraId="281A10F5"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0F6" w14:textId="06B5F2AE" w:rsidR="00E15399" w:rsidRDefault="00E15399" w:rsidP="00494E1C">
            <w:pPr>
              <w:spacing w:line="272" w:lineRule="exact"/>
              <w:jc w:val="center"/>
              <w:rPr>
                <w:sz w:val="20"/>
                <w:szCs w:val="20"/>
              </w:rPr>
            </w:pPr>
            <w:r>
              <w:rPr>
                <w:rFonts w:eastAsia="Times New Roman"/>
                <w:sz w:val="18"/>
                <w:szCs w:val="18"/>
              </w:rPr>
              <w:t>310 CMR 22.06</w:t>
            </w:r>
            <w:r w:rsidRPr="00494E1C">
              <w:rPr>
                <w:rFonts w:eastAsia="Times New Roman"/>
                <w:sz w:val="18"/>
                <w:szCs w:val="18"/>
                <w:vertAlign w:val="superscript"/>
              </w:rPr>
              <w:t>9</w:t>
            </w:r>
          </w:p>
        </w:tc>
      </w:tr>
      <w:tr w:rsidR="00E15399" w14:paraId="281A1105" w14:textId="77777777" w:rsidTr="00E15399">
        <w:trPr>
          <w:trHeight w:val="281"/>
        </w:trPr>
        <w:tc>
          <w:tcPr>
            <w:tcW w:w="3840" w:type="dxa"/>
            <w:tcBorders>
              <w:left w:val="single" w:sz="8" w:space="0" w:color="auto"/>
              <w:bottom w:val="single" w:sz="8" w:space="0" w:color="auto"/>
              <w:right w:val="single" w:sz="8" w:space="0" w:color="auto"/>
            </w:tcBorders>
            <w:vAlign w:val="center"/>
          </w:tcPr>
          <w:p w14:paraId="281A10FB" w14:textId="66209EAE" w:rsidR="00E15399" w:rsidRPr="00494E1C" w:rsidRDefault="00E15399" w:rsidP="00563A54">
            <w:pPr>
              <w:pStyle w:val="ListParagraph"/>
              <w:numPr>
                <w:ilvl w:val="2"/>
                <w:numId w:val="412"/>
              </w:numPr>
              <w:tabs>
                <w:tab w:val="left" w:pos="240"/>
              </w:tabs>
              <w:ind w:left="0"/>
              <w:rPr>
                <w:sz w:val="20"/>
                <w:szCs w:val="20"/>
              </w:rPr>
            </w:pPr>
            <w:r>
              <w:rPr>
                <w:rFonts w:eastAsia="Times New Roman"/>
                <w:sz w:val="18"/>
                <w:szCs w:val="18"/>
              </w:rPr>
              <w:t>Asbestos (fibers &gt; 10 um)</w:t>
            </w:r>
          </w:p>
        </w:tc>
        <w:tc>
          <w:tcPr>
            <w:tcW w:w="1000" w:type="dxa"/>
            <w:tcBorders>
              <w:bottom w:val="single" w:sz="8" w:space="0" w:color="auto"/>
              <w:right w:val="single" w:sz="8" w:space="0" w:color="auto"/>
            </w:tcBorders>
            <w:vAlign w:val="center"/>
          </w:tcPr>
          <w:p w14:paraId="281A10FD" w14:textId="08ABAFCB"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00" w14:textId="2F42F32D" w:rsidR="00E15399" w:rsidRDefault="00E15399" w:rsidP="00FA3B23">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01"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03" w14:textId="4A43F67F" w:rsidR="00E15399" w:rsidRDefault="00E15399" w:rsidP="00FA3B23">
            <w:pPr>
              <w:jc w:val="center"/>
              <w:rPr>
                <w:sz w:val="20"/>
                <w:szCs w:val="20"/>
              </w:rPr>
            </w:pPr>
            <w:r>
              <w:rPr>
                <w:rFonts w:eastAsia="Times New Roman"/>
                <w:sz w:val="18"/>
                <w:szCs w:val="18"/>
              </w:rPr>
              <w:t>310 CMR 22.06</w:t>
            </w:r>
          </w:p>
        </w:tc>
      </w:tr>
      <w:tr w:rsidR="00E15399" w14:paraId="281A1111" w14:textId="77777777" w:rsidTr="00E15399">
        <w:trPr>
          <w:trHeight w:val="278"/>
        </w:trPr>
        <w:tc>
          <w:tcPr>
            <w:tcW w:w="3840" w:type="dxa"/>
            <w:tcBorders>
              <w:left w:val="single" w:sz="8" w:space="0" w:color="auto"/>
              <w:bottom w:val="single" w:sz="8" w:space="0" w:color="auto"/>
              <w:right w:val="single" w:sz="8" w:space="0" w:color="auto"/>
            </w:tcBorders>
            <w:vAlign w:val="center"/>
          </w:tcPr>
          <w:p w14:paraId="281A1107" w14:textId="5E56B590" w:rsidR="00E15399" w:rsidRDefault="00E15399" w:rsidP="00563A54">
            <w:pPr>
              <w:pStyle w:val="ListParagraph"/>
              <w:numPr>
                <w:ilvl w:val="2"/>
                <w:numId w:val="412"/>
              </w:numPr>
              <w:tabs>
                <w:tab w:val="left" w:pos="240"/>
              </w:tabs>
              <w:ind w:left="0"/>
              <w:rPr>
                <w:sz w:val="24"/>
                <w:szCs w:val="24"/>
              </w:rPr>
            </w:pPr>
            <w:r>
              <w:rPr>
                <w:rFonts w:eastAsia="Times New Roman"/>
                <w:sz w:val="18"/>
                <w:szCs w:val="18"/>
              </w:rPr>
              <w:t>Barium</w:t>
            </w:r>
          </w:p>
        </w:tc>
        <w:tc>
          <w:tcPr>
            <w:tcW w:w="1000" w:type="dxa"/>
            <w:tcBorders>
              <w:bottom w:val="single" w:sz="8" w:space="0" w:color="auto"/>
              <w:right w:val="single" w:sz="8" w:space="0" w:color="auto"/>
            </w:tcBorders>
            <w:vAlign w:val="center"/>
          </w:tcPr>
          <w:p w14:paraId="281A1109" w14:textId="27E9373B"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0C" w14:textId="50B517D5" w:rsidR="00E15399" w:rsidRDefault="00E15399" w:rsidP="00F71A7F">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0D"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0F" w14:textId="34CD1AF3" w:rsidR="00E15399" w:rsidRDefault="00E15399" w:rsidP="00F71A7F">
            <w:pPr>
              <w:jc w:val="center"/>
              <w:rPr>
                <w:sz w:val="20"/>
                <w:szCs w:val="20"/>
              </w:rPr>
            </w:pPr>
            <w:r>
              <w:rPr>
                <w:rFonts w:eastAsia="Times New Roman"/>
                <w:sz w:val="18"/>
                <w:szCs w:val="18"/>
              </w:rPr>
              <w:t>310 CMR 22.06</w:t>
            </w:r>
          </w:p>
        </w:tc>
      </w:tr>
      <w:tr w:rsidR="00E15399" w14:paraId="281A111E" w14:textId="77777777" w:rsidTr="00E15399">
        <w:trPr>
          <w:trHeight w:val="280"/>
        </w:trPr>
        <w:tc>
          <w:tcPr>
            <w:tcW w:w="3840" w:type="dxa"/>
            <w:tcBorders>
              <w:left w:val="single" w:sz="8" w:space="0" w:color="auto"/>
              <w:bottom w:val="single" w:sz="8" w:space="0" w:color="auto"/>
              <w:right w:val="single" w:sz="8" w:space="0" w:color="auto"/>
            </w:tcBorders>
            <w:vAlign w:val="center"/>
          </w:tcPr>
          <w:p w14:paraId="281A1114" w14:textId="760B4382" w:rsidR="00E15399" w:rsidRDefault="00E15399" w:rsidP="00563A54">
            <w:pPr>
              <w:pStyle w:val="ListParagraph"/>
              <w:numPr>
                <w:ilvl w:val="2"/>
                <w:numId w:val="412"/>
              </w:numPr>
              <w:tabs>
                <w:tab w:val="left" w:pos="240"/>
              </w:tabs>
              <w:ind w:left="0"/>
              <w:rPr>
                <w:sz w:val="24"/>
                <w:szCs w:val="24"/>
              </w:rPr>
            </w:pPr>
            <w:r>
              <w:rPr>
                <w:rFonts w:eastAsia="Times New Roman"/>
                <w:sz w:val="18"/>
                <w:szCs w:val="18"/>
              </w:rPr>
              <w:t>Beryllium</w:t>
            </w:r>
          </w:p>
        </w:tc>
        <w:tc>
          <w:tcPr>
            <w:tcW w:w="1000" w:type="dxa"/>
            <w:tcBorders>
              <w:bottom w:val="single" w:sz="8" w:space="0" w:color="auto"/>
              <w:right w:val="single" w:sz="8" w:space="0" w:color="auto"/>
            </w:tcBorders>
            <w:vAlign w:val="center"/>
          </w:tcPr>
          <w:p w14:paraId="281A1116" w14:textId="5459BCBC"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19" w14:textId="77319B75" w:rsidR="00E15399" w:rsidRDefault="00E15399" w:rsidP="007D1622">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1A"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1C" w14:textId="3A91ED1A" w:rsidR="00E15399" w:rsidRDefault="00E15399" w:rsidP="007D1622">
            <w:pPr>
              <w:jc w:val="center"/>
              <w:rPr>
                <w:sz w:val="20"/>
                <w:szCs w:val="20"/>
              </w:rPr>
            </w:pPr>
            <w:r>
              <w:rPr>
                <w:rFonts w:eastAsia="Times New Roman"/>
                <w:sz w:val="18"/>
                <w:szCs w:val="18"/>
              </w:rPr>
              <w:t>310 CMR 22.06</w:t>
            </w:r>
          </w:p>
        </w:tc>
      </w:tr>
      <w:tr w:rsidR="00E15399" w14:paraId="281A112B" w14:textId="77777777" w:rsidTr="00E15399">
        <w:trPr>
          <w:trHeight w:val="278"/>
        </w:trPr>
        <w:tc>
          <w:tcPr>
            <w:tcW w:w="3840" w:type="dxa"/>
            <w:tcBorders>
              <w:left w:val="single" w:sz="8" w:space="0" w:color="auto"/>
              <w:bottom w:val="single" w:sz="8" w:space="0" w:color="auto"/>
              <w:right w:val="single" w:sz="8" w:space="0" w:color="auto"/>
            </w:tcBorders>
            <w:vAlign w:val="center"/>
          </w:tcPr>
          <w:p w14:paraId="281A1121" w14:textId="5D98A2A3" w:rsidR="00E15399" w:rsidRDefault="00E15399" w:rsidP="00563A54">
            <w:pPr>
              <w:pStyle w:val="ListParagraph"/>
              <w:numPr>
                <w:ilvl w:val="2"/>
                <w:numId w:val="412"/>
              </w:numPr>
              <w:tabs>
                <w:tab w:val="left" w:pos="240"/>
              </w:tabs>
              <w:ind w:left="0"/>
              <w:rPr>
                <w:sz w:val="24"/>
                <w:szCs w:val="24"/>
              </w:rPr>
            </w:pPr>
            <w:r>
              <w:rPr>
                <w:rFonts w:eastAsia="Times New Roman"/>
                <w:sz w:val="18"/>
                <w:szCs w:val="18"/>
              </w:rPr>
              <w:t>Cadmium</w:t>
            </w:r>
          </w:p>
        </w:tc>
        <w:tc>
          <w:tcPr>
            <w:tcW w:w="1000" w:type="dxa"/>
            <w:tcBorders>
              <w:bottom w:val="single" w:sz="8" w:space="0" w:color="auto"/>
              <w:right w:val="single" w:sz="8" w:space="0" w:color="auto"/>
            </w:tcBorders>
            <w:vAlign w:val="center"/>
          </w:tcPr>
          <w:p w14:paraId="281A1123" w14:textId="707CDC89"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26" w14:textId="213C1D03" w:rsidR="00E15399" w:rsidRDefault="00E15399" w:rsidP="007D1622">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27"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29" w14:textId="04801AEC" w:rsidR="00E15399" w:rsidRDefault="00E15399" w:rsidP="008F3D04">
            <w:pPr>
              <w:jc w:val="center"/>
              <w:rPr>
                <w:sz w:val="20"/>
                <w:szCs w:val="20"/>
              </w:rPr>
            </w:pPr>
            <w:r>
              <w:rPr>
                <w:rFonts w:eastAsia="Times New Roman"/>
                <w:sz w:val="18"/>
                <w:szCs w:val="18"/>
              </w:rPr>
              <w:t>310 CMR 22.06</w:t>
            </w:r>
          </w:p>
        </w:tc>
      </w:tr>
      <w:tr w:rsidR="00E15399" w14:paraId="281A1138" w14:textId="77777777" w:rsidTr="00E15399">
        <w:trPr>
          <w:trHeight w:val="280"/>
        </w:trPr>
        <w:tc>
          <w:tcPr>
            <w:tcW w:w="3840" w:type="dxa"/>
            <w:tcBorders>
              <w:left w:val="single" w:sz="8" w:space="0" w:color="auto"/>
              <w:bottom w:val="single" w:sz="8" w:space="0" w:color="auto"/>
              <w:right w:val="single" w:sz="8" w:space="0" w:color="auto"/>
            </w:tcBorders>
            <w:vAlign w:val="center"/>
          </w:tcPr>
          <w:p w14:paraId="281A112E" w14:textId="280D489A"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Chromium (total)</w:t>
            </w:r>
          </w:p>
        </w:tc>
        <w:tc>
          <w:tcPr>
            <w:tcW w:w="1000" w:type="dxa"/>
            <w:tcBorders>
              <w:bottom w:val="single" w:sz="8" w:space="0" w:color="auto"/>
              <w:right w:val="single" w:sz="8" w:space="0" w:color="auto"/>
            </w:tcBorders>
            <w:vAlign w:val="center"/>
          </w:tcPr>
          <w:p w14:paraId="281A1130" w14:textId="7327E729"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33" w14:textId="665B42BB"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34"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36" w14:textId="77197755" w:rsidR="00E15399" w:rsidRDefault="00E15399" w:rsidP="00D82D70">
            <w:pPr>
              <w:jc w:val="center"/>
              <w:rPr>
                <w:sz w:val="20"/>
                <w:szCs w:val="20"/>
              </w:rPr>
            </w:pPr>
            <w:r>
              <w:rPr>
                <w:rFonts w:eastAsia="Times New Roman"/>
                <w:sz w:val="18"/>
                <w:szCs w:val="18"/>
              </w:rPr>
              <w:t>310 CMR 22.06</w:t>
            </w:r>
          </w:p>
        </w:tc>
      </w:tr>
      <w:tr w:rsidR="00E15399" w14:paraId="281A1145" w14:textId="77777777" w:rsidTr="00E15399">
        <w:trPr>
          <w:trHeight w:val="278"/>
        </w:trPr>
        <w:tc>
          <w:tcPr>
            <w:tcW w:w="3840" w:type="dxa"/>
            <w:tcBorders>
              <w:left w:val="single" w:sz="8" w:space="0" w:color="auto"/>
              <w:bottom w:val="single" w:sz="8" w:space="0" w:color="auto"/>
              <w:right w:val="single" w:sz="8" w:space="0" w:color="auto"/>
            </w:tcBorders>
            <w:vAlign w:val="center"/>
          </w:tcPr>
          <w:p w14:paraId="281A113B" w14:textId="0F39D1A2"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Cyanide</w:t>
            </w:r>
          </w:p>
        </w:tc>
        <w:tc>
          <w:tcPr>
            <w:tcW w:w="1000" w:type="dxa"/>
            <w:tcBorders>
              <w:bottom w:val="single" w:sz="8" w:space="0" w:color="auto"/>
              <w:right w:val="single" w:sz="8" w:space="0" w:color="auto"/>
            </w:tcBorders>
            <w:vAlign w:val="center"/>
          </w:tcPr>
          <w:p w14:paraId="281A113D" w14:textId="63E27B0A"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40" w14:textId="4D266AE4"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41"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43" w14:textId="44753E23" w:rsidR="00E15399" w:rsidRDefault="00E15399" w:rsidP="00D82D70">
            <w:pPr>
              <w:jc w:val="center"/>
              <w:rPr>
                <w:sz w:val="20"/>
                <w:szCs w:val="20"/>
              </w:rPr>
            </w:pPr>
            <w:r>
              <w:rPr>
                <w:rFonts w:eastAsia="Times New Roman"/>
                <w:sz w:val="18"/>
                <w:szCs w:val="18"/>
              </w:rPr>
              <w:t>310 CMR 22.06</w:t>
            </w:r>
          </w:p>
        </w:tc>
      </w:tr>
      <w:tr w:rsidR="00E15399" w14:paraId="281A1152" w14:textId="77777777" w:rsidTr="00E15399">
        <w:trPr>
          <w:trHeight w:val="280"/>
        </w:trPr>
        <w:tc>
          <w:tcPr>
            <w:tcW w:w="3840" w:type="dxa"/>
            <w:tcBorders>
              <w:left w:val="single" w:sz="8" w:space="0" w:color="auto"/>
              <w:bottom w:val="single" w:sz="8" w:space="0" w:color="auto"/>
              <w:right w:val="single" w:sz="8" w:space="0" w:color="auto"/>
            </w:tcBorders>
            <w:vAlign w:val="center"/>
          </w:tcPr>
          <w:p w14:paraId="281A1148" w14:textId="1B9702A5"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Fluoride</w:t>
            </w:r>
          </w:p>
        </w:tc>
        <w:tc>
          <w:tcPr>
            <w:tcW w:w="1000" w:type="dxa"/>
            <w:tcBorders>
              <w:bottom w:val="single" w:sz="8" w:space="0" w:color="auto"/>
              <w:right w:val="single" w:sz="8" w:space="0" w:color="auto"/>
            </w:tcBorders>
            <w:vAlign w:val="center"/>
          </w:tcPr>
          <w:p w14:paraId="281A114A" w14:textId="356D00C1"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4D" w14:textId="07C0418A"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4E"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50" w14:textId="738489B5" w:rsidR="00E15399" w:rsidRDefault="00E15399" w:rsidP="00D82D70">
            <w:pPr>
              <w:jc w:val="center"/>
              <w:rPr>
                <w:sz w:val="20"/>
                <w:szCs w:val="20"/>
              </w:rPr>
            </w:pPr>
            <w:r>
              <w:rPr>
                <w:rFonts w:eastAsia="Times New Roman"/>
                <w:sz w:val="18"/>
                <w:szCs w:val="18"/>
              </w:rPr>
              <w:t>310 CMR 22.06</w:t>
            </w:r>
          </w:p>
        </w:tc>
      </w:tr>
      <w:tr w:rsidR="00E15399" w14:paraId="281A115F" w14:textId="77777777" w:rsidTr="00E15399">
        <w:trPr>
          <w:trHeight w:val="278"/>
        </w:trPr>
        <w:tc>
          <w:tcPr>
            <w:tcW w:w="3840" w:type="dxa"/>
            <w:tcBorders>
              <w:left w:val="single" w:sz="8" w:space="0" w:color="auto"/>
              <w:bottom w:val="single" w:sz="8" w:space="0" w:color="auto"/>
              <w:right w:val="single" w:sz="8" w:space="0" w:color="auto"/>
            </w:tcBorders>
            <w:vAlign w:val="center"/>
          </w:tcPr>
          <w:p w14:paraId="281A1155" w14:textId="0183F7FF"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Mercury (inorganic)</w:t>
            </w:r>
          </w:p>
        </w:tc>
        <w:tc>
          <w:tcPr>
            <w:tcW w:w="1000" w:type="dxa"/>
            <w:tcBorders>
              <w:bottom w:val="single" w:sz="8" w:space="0" w:color="auto"/>
              <w:right w:val="single" w:sz="8" w:space="0" w:color="auto"/>
            </w:tcBorders>
            <w:vAlign w:val="center"/>
          </w:tcPr>
          <w:p w14:paraId="281A1157" w14:textId="1B5A502C"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5A" w14:textId="44C80B52"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5B"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5D" w14:textId="2581385E" w:rsidR="00E15399" w:rsidRDefault="00E15399" w:rsidP="00D82D70">
            <w:pPr>
              <w:jc w:val="center"/>
              <w:rPr>
                <w:sz w:val="20"/>
                <w:szCs w:val="20"/>
              </w:rPr>
            </w:pPr>
            <w:r>
              <w:rPr>
                <w:rFonts w:eastAsia="Times New Roman"/>
                <w:sz w:val="18"/>
                <w:szCs w:val="18"/>
              </w:rPr>
              <w:t>310 CMR 22.06</w:t>
            </w:r>
          </w:p>
        </w:tc>
      </w:tr>
      <w:tr w:rsidR="00E15399" w14:paraId="281A116C" w14:textId="77777777" w:rsidTr="00E15399">
        <w:trPr>
          <w:trHeight w:val="280"/>
        </w:trPr>
        <w:tc>
          <w:tcPr>
            <w:tcW w:w="3840" w:type="dxa"/>
            <w:tcBorders>
              <w:left w:val="single" w:sz="8" w:space="0" w:color="auto"/>
              <w:bottom w:val="single" w:sz="8" w:space="0" w:color="auto"/>
              <w:right w:val="single" w:sz="8" w:space="0" w:color="auto"/>
            </w:tcBorders>
            <w:vAlign w:val="center"/>
          </w:tcPr>
          <w:p w14:paraId="281A1162" w14:textId="632712BA"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Nitrate</w:t>
            </w:r>
          </w:p>
        </w:tc>
        <w:tc>
          <w:tcPr>
            <w:tcW w:w="1000" w:type="dxa"/>
            <w:tcBorders>
              <w:bottom w:val="single" w:sz="8" w:space="0" w:color="auto"/>
              <w:right w:val="single" w:sz="8" w:space="0" w:color="auto"/>
            </w:tcBorders>
            <w:vAlign w:val="center"/>
          </w:tcPr>
          <w:p w14:paraId="281A1164" w14:textId="360F128D" w:rsidR="00E15399" w:rsidRDefault="00E15399" w:rsidP="00494E1C">
            <w:pPr>
              <w:jc w:val="center"/>
              <w:rPr>
                <w:sz w:val="24"/>
                <w:szCs w:val="24"/>
              </w:rPr>
            </w:pPr>
            <w:r>
              <w:rPr>
                <w:rFonts w:eastAsia="Times New Roman"/>
                <w:w w:val="88"/>
                <w:sz w:val="18"/>
                <w:szCs w:val="18"/>
              </w:rPr>
              <w:t>1</w:t>
            </w:r>
          </w:p>
        </w:tc>
        <w:tc>
          <w:tcPr>
            <w:tcW w:w="2340" w:type="dxa"/>
            <w:tcBorders>
              <w:bottom w:val="single" w:sz="8" w:space="0" w:color="auto"/>
              <w:right w:val="single" w:sz="8" w:space="0" w:color="auto"/>
            </w:tcBorders>
            <w:vAlign w:val="center"/>
          </w:tcPr>
          <w:p w14:paraId="281A1167" w14:textId="09A8A2AC"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68"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6A" w14:textId="28D560A1" w:rsidR="00E15399" w:rsidRDefault="00E15399" w:rsidP="00D82D70">
            <w:pPr>
              <w:jc w:val="center"/>
              <w:rPr>
                <w:sz w:val="20"/>
                <w:szCs w:val="20"/>
              </w:rPr>
            </w:pPr>
            <w:r>
              <w:rPr>
                <w:rFonts w:eastAsia="Times New Roman"/>
                <w:sz w:val="18"/>
                <w:szCs w:val="18"/>
              </w:rPr>
              <w:t>310 CMR 22.06</w:t>
            </w:r>
          </w:p>
        </w:tc>
      </w:tr>
      <w:tr w:rsidR="00E15399" w14:paraId="281A1179" w14:textId="77777777" w:rsidTr="00E15399">
        <w:trPr>
          <w:trHeight w:val="278"/>
        </w:trPr>
        <w:tc>
          <w:tcPr>
            <w:tcW w:w="3840" w:type="dxa"/>
            <w:tcBorders>
              <w:left w:val="single" w:sz="8" w:space="0" w:color="auto"/>
              <w:bottom w:val="single" w:sz="8" w:space="0" w:color="auto"/>
              <w:right w:val="single" w:sz="8" w:space="0" w:color="auto"/>
            </w:tcBorders>
            <w:vAlign w:val="center"/>
          </w:tcPr>
          <w:p w14:paraId="281A116F" w14:textId="4FCEA347"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Nitrite</w:t>
            </w:r>
          </w:p>
        </w:tc>
        <w:tc>
          <w:tcPr>
            <w:tcW w:w="1000" w:type="dxa"/>
            <w:tcBorders>
              <w:bottom w:val="single" w:sz="8" w:space="0" w:color="auto"/>
              <w:right w:val="single" w:sz="8" w:space="0" w:color="auto"/>
            </w:tcBorders>
            <w:vAlign w:val="center"/>
          </w:tcPr>
          <w:p w14:paraId="281A1171" w14:textId="5097DD7D" w:rsidR="00E15399" w:rsidRDefault="00E15399" w:rsidP="00494E1C">
            <w:pPr>
              <w:jc w:val="center"/>
              <w:rPr>
                <w:sz w:val="24"/>
                <w:szCs w:val="24"/>
              </w:rPr>
            </w:pPr>
            <w:r>
              <w:rPr>
                <w:rFonts w:eastAsia="Times New Roman"/>
                <w:w w:val="88"/>
                <w:sz w:val="18"/>
                <w:szCs w:val="18"/>
              </w:rPr>
              <w:t>1</w:t>
            </w:r>
          </w:p>
        </w:tc>
        <w:tc>
          <w:tcPr>
            <w:tcW w:w="2340" w:type="dxa"/>
            <w:tcBorders>
              <w:bottom w:val="single" w:sz="8" w:space="0" w:color="auto"/>
              <w:right w:val="single" w:sz="8" w:space="0" w:color="auto"/>
            </w:tcBorders>
            <w:vAlign w:val="center"/>
          </w:tcPr>
          <w:p w14:paraId="281A1174" w14:textId="19EA2C5C"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75"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77" w14:textId="71284FD1" w:rsidR="00E15399" w:rsidRDefault="00E15399" w:rsidP="00D82D70">
            <w:pPr>
              <w:jc w:val="center"/>
              <w:rPr>
                <w:sz w:val="20"/>
                <w:szCs w:val="20"/>
              </w:rPr>
            </w:pPr>
            <w:r>
              <w:rPr>
                <w:rFonts w:eastAsia="Times New Roman"/>
                <w:sz w:val="18"/>
                <w:szCs w:val="18"/>
              </w:rPr>
              <w:t>310 CMR 22.06</w:t>
            </w:r>
          </w:p>
        </w:tc>
      </w:tr>
      <w:tr w:rsidR="00E15399" w14:paraId="281A1186" w14:textId="77777777" w:rsidTr="00E15399">
        <w:trPr>
          <w:trHeight w:val="280"/>
        </w:trPr>
        <w:tc>
          <w:tcPr>
            <w:tcW w:w="3840" w:type="dxa"/>
            <w:tcBorders>
              <w:left w:val="single" w:sz="8" w:space="0" w:color="auto"/>
              <w:bottom w:val="single" w:sz="8" w:space="0" w:color="auto"/>
              <w:right w:val="single" w:sz="8" w:space="0" w:color="auto"/>
            </w:tcBorders>
            <w:vAlign w:val="center"/>
          </w:tcPr>
          <w:p w14:paraId="281A117C" w14:textId="03132284"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Total Nitrate and Nitrite</w:t>
            </w:r>
          </w:p>
        </w:tc>
        <w:tc>
          <w:tcPr>
            <w:tcW w:w="1000" w:type="dxa"/>
            <w:tcBorders>
              <w:bottom w:val="single" w:sz="8" w:space="0" w:color="auto"/>
              <w:right w:val="single" w:sz="8" w:space="0" w:color="auto"/>
            </w:tcBorders>
            <w:vAlign w:val="center"/>
          </w:tcPr>
          <w:p w14:paraId="281A117E" w14:textId="004EC2BF" w:rsidR="00E15399" w:rsidRDefault="00E15399" w:rsidP="00494E1C">
            <w:pPr>
              <w:jc w:val="center"/>
              <w:rPr>
                <w:sz w:val="24"/>
                <w:szCs w:val="24"/>
              </w:rPr>
            </w:pPr>
            <w:r>
              <w:rPr>
                <w:rFonts w:eastAsia="Times New Roman"/>
                <w:w w:val="88"/>
                <w:sz w:val="18"/>
                <w:szCs w:val="18"/>
              </w:rPr>
              <w:t>1</w:t>
            </w:r>
          </w:p>
        </w:tc>
        <w:tc>
          <w:tcPr>
            <w:tcW w:w="2340" w:type="dxa"/>
            <w:tcBorders>
              <w:bottom w:val="single" w:sz="8" w:space="0" w:color="auto"/>
              <w:right w:val="single" w:sz="8" w:space="0" w:color="auto"/>
            </w:tcBorders>
            <w:vAlign w:val="center"/>
          </w:tcPr>
          <w:p w14:paraId="281A1181" w14:textId="7683C079"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82"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84" w14:textId="48BBDE75" w:rsidR="00E15399" w:rsidRDefault="00E15399" w:rsidP="00D82D70">
            <w:pPr>
              <w:jc w:val="center"/>
              <w:rPr>
                <w:sz w:val="20"/>
                <w:szCs w:val="20"/>
              </w:rPr>
            </w:pPr>
            <w:r>
              <w:rPr>
                <w:rFonts w:eastAsia="Times New Roman"/>
                <w:sz w:val="18"/>
                <w:szCs w:val="18"/>
              </w:rPr>
              <w:t>310 CMR 22.06</w:t>
            </w:r>
          </w:p>
        </w:tc>
      </w:tr>
      <w:tr w:rsidR="00E15399" w14:paraId="281A1193" w14:textId="77777777" w:rsidTr="00E15399">
        <w:trPr>
          <w:trHeight w:val="278"/>
        </w:trPr>
        <w:tc>
          <w:tcPr>
            <w:tcW w:w="3840" w:type="dxa"/>
            <w:tcBorders>
              <w:left w:val="single" w:sz="8" w:space="0" w:color="auto"/>
              <w:bottom w:val="single" w:sz="8" w:space="0" w:color="auto"/>
              <w:right w:val="single" w:sz="8" w:space="0" w:color="auto"/>
            </w:tcBorders>
            <w:vAlign w:val="center"/>
          </w:tcPr>
          <w:p w14:paraId="281A1189" w14:textId="3E7273B7"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Perchlorate</w:t>
            </w:r>
          </w:p>
        </w:tc>
        <w:tc>
          <w:tcPr>
            <w:tcW w:w="1000" w:type="dxa"/>
            <w:tcBorders>
              <w:bottom w:val="single" w:sz="8" w:space="0" w:color="auto"/>
              <w:right w:val="single" w:sz="8" w:space="0" w:color="auto"/>
            </w:tcBorders>
            <w:vAlign w:val="center"/>
          </w:tcPr>
          <w:p w14:paraId="281A118B" w14:textId="7CF020F1" w:rsidR="00E15399" w:rsidRDefault="00E15399" w:rsidP="00494E1C">
            <w:pPr>
              <w:jc w:val="center"/>
              <w:rPr>
                <w:sz w:val="24"/>
                <w:szCs w:val="24"/>
              </w:rPr>
            </w:pPr>
            <w:r>
              <w:rPr>
                <w:rFonts w:eastAsia="Times New Roman"/>
                <w:w w:val="88"/>
                <w:sz w:val="18"/>
                <w:szCs w:val="18"/>
              </w:rPr>
              <w:t>1</w:t>
            </w:r>
          </w:p>
        </w:tc>
        <w:tc>
          <w:tcPr>
            <w:tcW w:w="2340" w:type="dxa"/>
            <w:tcBorders>
              <w:bottom w:val="single" w:sz="8" w:space="0" w:color="auto"/>
              <w:right w:val="single" w:sz="8" w:space="0" w:color="auto"/>
            </w:tcBorders>
            <w:vAlign w:val="center"/>
          </w:tcPr>
          <w:p w14:paraId="281A118E" w14:textId="44B1977E"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8F"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91" w14:textId="5EE8337E" w:rsidR="00E15399" w:rsidRDefault="00E15399" w:rsidP="00D82D70">
            <w:pPr>
              <w:jc w:val="center"/>
              <w:rPr>
                <w:sz w:val="20"/>
                <w:szCs w:val="20"/>
              </w:rPr>
            </w:pPr>
            <w:r>
              <w:rPr>
                <w:rFonts w:eastAsia="Times New Roman"/>
                <w:sz w:val="18"/>
                <w:szCs w:val="18"/>
              </w:rPr>
              <w:t>310 CMR 22.06</w:t>
            </w:r>
          </w:p>
        </w:tc>
      </w:tr>
      <w:tr w:rsidR="00E15399" w14:paraId="281A11A0" w14:textId="77777777" w:rsidTr="00E15399">
        <w:trPr>
          <w:trHeight w:val="280"/>
        </w:trPr>
        <w:tc>
          <w:tcPr>
            <w:tcW w:w="3840" w:type="dxa"/>
            <w:tcBorders>
              <w:left w:val="single" w:sz="8" w:space="0" w:color="auto"/>
              <w:bottom w:val="single" w:sz="8" w:space="0" w:color="auto"/>
              <w:right w:val="single" w:sz="8" w:space="0" w:color="auto"/>
            </w:tcBorders>
            <w:vAlign w:val="center"/>
          </w:tcPr>
          <w:p w14:paraId="281A1196" w14:textId="6F5824A4"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Selenium</w:t>
            </w:r>
          </w:p>
        </w:tc>
        <w:tc>
          <w:tcPr>
            <w:tcW w:w="1000" w:type="dxa"/>
            <w:tcBorders>
              <w:bottom w:val="single" w:sz="8" w:space="0" w:color="auto"/>
              <w:right w:val="single" w:sz="8" w:space="0" w:color="auto"/>
            </w:tcBorders>
            <w:vAlign w:val="center"/>
          </w:tcPr>
          <w:p w14:paraId="281A1198" w14:textId="37CEC86F" w:rsidR="00E15399" w:rsidRDefault="00E15399" w:rsidP="00494E1C">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9B" w14:textId="0CBA2B2A"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9C" w14:textId="77777777" w:rsidR="00E15399" w:rsidRDefault="00E15399" w:rsidP="00494E1C">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19E" w14:textId="08988C58" w:rsidR="00E15399" w:rsidRDefault="00E15399" w:rsidP="00D82D70">
            <w:pPr>
              <w:jc w:val="center"/>
              <w:rPr>
                <w:sz w:val="20"/>
                <w:szCs w:val="20"/>
              </w:rPr>
            </w:pPr>
            <w:r>
              <w:rPr>
                <w:rFonts w:eastAsia="Times New Roman"/>
                <w:sz w:val="18"/>
                <w:szCs w:val="18"/>
              </w:rPr>
              <w:t>310 CMR 22.06</w:t>
            </w:r>
          </w:p>
        </w:tc>
      </w:tr>
      <w:tr w:rsidR="00E15399" w14:paraId="281A11AC" w14:textId="77777777" w:rsidTr="00E15399">
        <w:trPr>
          <w:trHeight w:val="271"/>
        </w:trPr>
        <w:tc>
          <w:tcPr>
            <w:tcW w:w="3840" w:type="dxa"/>
            <w:tcBorders>
              <w:top w:val="single" w:sz="8" w:space="0" w:color="auto"/>
              <w:left w:val="single" w:sz="8" w:space="0" w:color="auto"/>
              <w:bottom w:val="single" w:sz="8" w:space="0" w:color="auto"/>
              <w:right w:val="single" w:sz="8" w:space="0" w:color="auto"/>
            </w:tcBorders>
            <w:vAlign w:val="center"/>
          </w:tcPr>
          <w:p w14:paraId="281A11A2" w14:textId="412D93A8"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Thallium</w:t>
            </w:r>
          </w:p>
        </w:tc>
        <w:tc>
          <w:tcPr>
            <w:tcW w:w="1000" w:type="dxa"/>
            <w:tcBorders>
              <w:top w:val="single" w:sz="8" w:space="0" w:color="auto"/>
              <w:bottom w:val="single" w:sz="8" w:space="0" w:color="auto"/>
              <w:right w:val="single" w:sz="8" w:space="0" w:color="auto"/>
            </w:tcBorders>
            <w:vAlign w:val="center"/>
          </w:tcPr>
          <w:p w14:paraId="281A11A4" w14:textId="7F374EA1" w:rsidR="00E15399" w:rsidRDefault="00E15399" w:rsidP="00494E1C">
            <w:pPr>
              <w:jc w:val="center"/>
              <w:rPr>
                <w:sz w:val="23"/>
                <w:szCs w:val="23"/>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1A7" w14:textId="19C8001F" w:rsidR="00E15399" w:rsidRDefault="00E15399" w:rsidP="00D82D70">
            <w:pPr>
              <w:jc w:val="center"/>
              <w:rPr>
                <w:sz w:val="23"/>
                <w:szCs w:val="23"/>
              </w:rPr>
            </w:pPr>
            <w:r>
              <w:rPr>
                <w:rFonts w:eastAsia="Times New Roman"/>
                <w:sz w:val="18"/>
                <w:szCs w:val="18"/>
              </w:rPr>
              <w:t>310 CMR 22.06</w:t>
            </w:r>
          </w:p>
        </w:tc>
        <w:tc>
          <w:tcPr>
            <w:tcW w:w="880" w:type="dxa"/>
            <w:tcBorders>
              <w:top w:val="single" w:sz="8" w:space="0" w:color="auto"/>
              <w:bottom w:val="single" w:sz="8" w:space="0" w:color="auto"/>
              <w:right w:val="single" w:sz="8" w:space="0" w:color="auto"/>
            </w:tcBorders>
            <w:vAlign w:val="center"/>
          </w:tcPr>
          <w:p w14:paraId="281A11A8" w14:textId="77777777" w:rsidR="00E15399" w:rsidRDefault="00E15399" w:rsidP="00494E1C">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1AA" w14:textId="2981E9F2" w:rsidR="00E15399" w:rsidRDefault="00E15399" w:rsidP="00D82D70">
            <w:pPr>
              <w:jc w:val="center"/>
              <w:rPr>
                <w:sz w:val="20"/>
                <w:szCs w:val="20"/>
              </w:rPr>
            </w:pPr>
            <w:r>
              <w:rPr>
                <w:rFonts w:eastAsia="Times New Roman"/>
                <w:sz w:val="18"/>
                <w:szCs w:val="18"/>
              </w:rPr>
              <w:t>310 CMR 22.06</w:t>
            </w:r>
          </w:p>
        </w:tc>
      </w:tr>
      <w:tr w:rsidR="00E15399" w14:paraId="281A11BC" w14:textId="77777777" w:rsidTr="00620069">
        <w:trPr>
          <w:trHeight w:val="456"/>
        </w:trPr>
        <w:tc>
          <w:tcPr>
            <w:tcW w:w="10560" w:type="dxa"/>
            <w:gridSpan w:val="5"/>
            <w:tcBorders>
              <w:top w:val="single" w:sz="8" w:space="0" w:color="auto"/>
              <w:left w:val="single" w:sz="8" w:space="0" w:color="auto"/>
              <w:bottom w:val="single" w:sz="8" w:space="0" w:color="auto"/>
              <w:right w:val="single" w:sz="8" w:space="0" w:color="auto"/>
            </w:tcBorders>
            <w:vAlign w:val="center"/>
          </w:tcPr>
          <w:p w14:paraId="281A11BA" w14:textId="14BB47C5" w:rsidR="00E15399" w:rsidRDefault="00E15399" w:rsidP="00B611F4">
            <w:pPr>
              <w:ind w:left="86"/>
              <w:rPr>
                <w:sz w:val="24"/>
                <w:szCs w:val="24"/>
              </w:rPr>
            </w:pPr>
            <w:r>
              <w:rPr>
                <w:rFonts w:eastAsia="Times New Roman"/>
                <w:sz w:val="18"/>
                <w:szCs w:val="18"/>
              </w:rPr>
              <w:t xml:space="preserve">C.  </w:t>
            </w:r>
            <w:r>
              <w:rPr>
                <w:rFonts w:eastAsia="Times New Roman"/>
                <w:b/>
                <w:bCs/>
                <w:sz w:val="18"/>
                <w:szCs w:val="18"/>
              </w:rPr>
              <w:t>Lead and Copper Rule (Action Level for lead is 0.015 mg/L, for copper is 1.3 mg/L)</w:t>
            </w:r>
          </w:p>
        </w:tc>
      </w:tr>
      <w:tr w:rsidR="00620069" w14:paraId="281A11D3" w14:textId="77777777" w:rsidTr="00620069">
        <w:trPr>
          <w:trHeight w:val="277"/>
        </w:trPr>
        <w:tc>
          <w:tcPr>
            <w:tcW w:w="3840" w:type="dxa"/>
            <w:tcBorders>
              <w:top w:val="single" w:sz="8" w:space="0" w:color="auto"/>
              <w:left w:val="single" w:sz="8" w:space="0" w:color="auto"/>
              <w:bottom w:val="single" w:sz="8" w:space="0" w:color="auto"/>
              <w:right w:val="single" w:sz="8" w:space="0" w:color="auto"/>
            </w:tcBorders>
            <w:vAlign w:val="bottom"/>
          </w:tcPr>
          <w:p w14:paraId="281A11C9" w14:textId="3F5B8388" w:rsidR="00620069" w:rsidRPr="00DA0F03" w:rsidRDefault="00620069" w:rsidP="00563A54">
            <w:pPr>
              <w:pStyle w:val="ListParagraph"/>
              <w:numPr>
                <w:ilvl w:val="0"/>
                <w:numId w:val="928"/>
              </w:numPr>
              <w:tabs>
                <w:tab w:val="left" w:pos="240"/>
              </w:tabs>
              <w:rPr>
                <w:sz w:val="24"/>
                <w:szCs w:val="24"/>
              </w:rPr>
            </w:pPr>
            <w:r w:rsidRPr="00DA0F03">
              <w:rPr>
                <w:rFonts w:eastAsia="Times New Roman"/>
                <w:sz w:val="18"/>
                <w:szCs w:val="18"/>
              </w:rPr>
              <w:t>Lead and Copper Rule (TT)</w:t>
            </w:r>
          </w:p>
        </w:tc>
        <w:tc>
          <w:tcPr>
            <w:tcW w:w="1000" w:type="dxa"/>
            <w:tcBorders>
              <w:top w:val="single" w:sz="8" w:space="0" w:color="auto"/>
              <w:bottom w:val="single" w:sz="8" w:space="0" w:color="auto"/>
              <w:right w:val="single" w:sz="8" w:space="0" w:color="auto"/>
            </w:tcBorders>
            <w:vAlign w:val="center"/>
          </w:tcPr>
          <w:p w14:paraId="281A11CB" w14:textId="02802640" w:rsidR="00620069" w:rsidRDefault="00620069" w:rsidP="00620069">
            <w:pPr>
              <w:jc w:val="center"/>
              <w:rPr>
                <w:sz w:val="24"/>
                <w:szCs w:val="24"/>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1CE" w14:textId="033EF05D" w:rsidR="00620069" w:rsidRDefault="00620069" w:rsidP="00620069">
            <w:pPr>
              <w:ind w:left="240"/>
              <w:jc w:val="center"/>
              <w:rPr>
                <w:sz w:val="24"/>
                <w:szCs w:val="24"/>
              </w:rPr>
            </w:pPr>
            <w:r>
              <w:rPr>
                <w:rFonts w:eastAsia="Times New Roman"/>
                <w:sz w:val="18"/>
                <w:szCs w:val="18"/>
              </w:rPr>
              <w:t>310 CMR 22.06B</w:t>
            </w:r>
          </w:p>
        </w:tc>
        <w:tc>
          <w:tcPr>
            <w:tcW w:w="880" w:type="dxa"/>
            <w:tcBorders>
              <w:top w:val="single" w:sz="8" w:space="0" w:color="auto"/>
              <w:bottom w:val="single" w:sz="8" w:space="0" w:color="auto"/>
              <w:right w:val="single" w:sz="8" w:space="0" w:color="auto"/>
            </w:tcBorders>
            <w:vAlign w:val="center"/>
          </w:tcPr>
          <w:p w14:paraId="281A11CF" w14:textId="77777777" w:rsidR="00620069" w:rsidRDefault="00620069" w:rsidP="00620069">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1D1" w14:textId="7B6C0878" w:rsidR="00620069" w:rsidRDefault="00620069" w:rsidP="00620069">
            <w:pPr>
              <w:ind w:left="60"/>
              <w:jc w:val="center"/>
              <w:rPr>
                <w:sz w:val="20"/>
                <w:szCs w:val="20"/>
              </w:rPr>
            </w:pPr>
            <w:r>
              <w:rPr>
                <w:rFonts w:eastAsia="Times New Roman"/>
                <w:sz w:val="18"/>
                <w:szCs w:val="18"/>
              </w:rPr>
              <w:t>310 CMR 22.06B</w:t>
            </w:r>
          </w:p>
        </w:tc>
      </w:tr>
      <w:tr w:rsidR="00620069" w14:paraId="281A11DE" w14:textId="77777777" w:rsidTr="00620069">
        <w:trPr>
          <w:trHeight w:val="439"/>
        </w:trPr>
        <w:tc>
          <w:tcPr>
            <w:tcW w:w="10560" w:type="dxa"/>
            <w:gridSpan w:val="5"/>
            <w:tcBorders>
              <w:top w:val="single" w:sz="8" w:space="0" w:color="auto"/>
              <w:left w:val="single" w:sz="8" w:space="0" w:color="auto"/>
              <w:bottom w:val="single" w:sz="8" w:space="0" w:color="auto"/>
              <w:right w:val="single" w:sz="8" w:space="0" w:color="auto"/>
            </w:tcBorders>
            <w:vAlign w:val="center"/>
          </w:tcPr>
          <w:p w14:paraId="281A11DC" w14:textId="5A6BBB88" w:rsidR="00620069" w:rsidRDefault="00620069" w:rsidP="00B611F4">
            <w:pPr>
              <w:ind w:left="86"/>
              <w:rPr>
                <w:sz w:val="24"/>
                <w:szCs w:val="24"/>
              </w:rPr>
            </w:pPr>
            <w:r>
              <w:rPr>
                <w:rFonts w:eastAsia="Times New Roman"/>
                <w:sz w:val="18"/>
                <w:szCs w:val="18"/>
              </w:rPr>
              <w:t xml:space="preserve">D.  </w:t>
            </w:r>
            <w:r>
              <w:rPr>
                <w:rFonts w:eastAsia="Times New Roman"/>
                <w:b/>
                <w:bCs/>
                <w:sz w:val="18"/>
                <w:szCs w:val="18"/>
              </w:rPr>
              <w:t>Synthetic Organic Chemicals (SOCs)</w:t>
            </w:r>
          </w:p>
        </w:tc>
      </w:tr>
      <w:tr w:rsidR="000A7292" w14:paraId="281A11F5" w14:textId="77777777" w:rsidTr="00347FE4">
        <w:trPr>
          <w:trHeight w:val="278"/>
        </w:trPr>
        <w:tc>
          <w:tcPr>
            <w:tcW w:w="3840" w:type="dxa"/>
            <w:tcBorders>
              <w:top w:val="single" w:sz="8" w:space="0" w:color="auto"/>
              <w:left w:val="single" w:sz="8" w:space="0" w:color="auto"/>
              <w:bottom w:val="single" w:sz="8" w:space="0" w:color="auto"/>
              <w:right w:val="single" w:sz="8" w:space="0" w:color="auto"/>
            </w:tcBorders>
            <w:vAlign w:val="bottom"/>
          </w:tcPr>
          <w:p w14:paraId="281A11EB" w14:textId="6FADAB88" w:rsidR="000A7292" w:rsidRDefault="000A7292" w:rsidP="00563A54">
            <w:pPr>
              <w:pStyle w:val="ListParagraph"/>
              <w:numPr>
                <w:ilvl w:val="0"/>
                <w:numId w:val="929"/>
              </w:numPr>
              <w:tabs>
                <w:tab w:val="left" w:pos="240"/>
              </w:tabs>
              <w:rPr>
                <w:sz w:val="24"/>
                <w:szCs w:val="24"/>
              </w:rPr>
            </w:pPr>
            <w:r>
              <w:rPr>
                <w:rFonts w:eastAsia="Times New Roman"/>
                <w:sz w:val="18"/>
                <w:szCs w:val="18"/>
              </w:rPr>
              <w:t>2,4-D</w:t>
            </w:r>
          </w:p>
        </w:tc>
        <w:tc>
          <w:tcPr>
            <w:tcW w:w="1000" w:type="dxa"/>
            <w:tcBorders>
              <w:top w:val="single" w:sz="8" w:space="0" w:color="auto"/>
              <w:bottom w:val="single" w:sz="8" w:space="0" w:color="auto"/>
              <w:right w:val="single" w:sz="8" w:space="0" w:color="auto"/>
            </w:tcBorders>
            <w:vAlign w:val="center"/>
          </w:tcPr>
          <w:p w14:paraId="281A11ED" w14:textId="11996861" w:rsidR="000A7292" w:rsidRDefault="000A7292" w:rsidP="000A7292">
            <w:pPr>
              <w:jc w:val="center"/>
              <w:rPr>
                <w:sz w:val="24"/>
                <w:szCs w:val="24"/>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1F0" w14:textId="7429B4D9" w:rsidR="000A7292" w:rsidRDefault="000A7292" w:rsidP="000A7292">
            <w:pPr>
              <w:jc w:val="center"/>
              <w:rPr>
                <w:sz w:val="24"/>
                <w:szCs w:val="24"/>
              </w:rPr>
            </w:pPr>
            <w:r>
              <w:rPr>
                <w:rFonts w:eastAsia="Times New Roman"/>
                <w:sz w:val="18"/>
                <w:szCs w:val="18"/>
              </w:rPr>
              <w:t>310 CMR 22.07A</w:t>
            </w:r>
          </w:p>
        </w:tc>
        <w:tc>
          <w:tcPr>
            <w:tcW w:w="880" w:type="dxa"/>
            <w:tcBorders>
              <w:top w:val="single" w:sz="8" w:space="0" w:color="auto"/>
              <w:bottom w:val="single" w:sz="8" w:space="0" w:color="auto"/>
              <w:right w:val="single" w:sz="8" w:space="0" w:color="auto"/>
            </w:tcBorders>
            <w:vAlign w:val="center"/>
          </w:tcPr>
          <w:p w14:paraId="281A11F1" w14:textId="77777777" w:rsidR="000A7292" w:rsidRDefault="000A7292" w:rsidP="000A7292">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1F3" w14:textId="35E436E8" w:rsidR="000A7292" w:rsidRDefault="000A7292" w:rsidP="000A7292">
            <w:pPr>
              <w:jc w:val="center"/>
              <w:rPr>
                <w:sz w:val="20"/>
                <w:szCs w:val="20"/>
              </w:rPr>
            </w:pPr>
            <w:r>
              <w:rPr>
                <w:rFonts w:eastAsia="Times New Roman"/>
                <w:sz w:val="18"/>
                <w:szCs w:val="18"/>
              </w:rPr>
              <w:t>310 CMR 22.07A</w:t>
            </w:r>
          </w:p>
        </w:tc>
      </w:tr>
      <w:tr w:rsidR="000A7292" w14:paraId="281A1202"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1F8" w14:textId="64DABB66"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2,4,5-TP (Silvex)</w:t>
            </w:r>
          </w:p>
        </w:tc>
        <w:tc>
          <w:tcPr>
            <w:tcW w:w="1000" w:type="dxa"/>
            <w:tcBorders>
              <w:bottom w:val="single" w:sz="8" w:space="0" w:color="auto"/>
              <w:right w:val="single" w:sz="8" w:space="0" w:color="auto"/>
            </w:tcBorders>
            <w:vAlign w:val="center"/>
          </w:tcPr>
          <w:p w14:paraId="281A11FA" w14:textId="2862AEAA"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1FD" w14:textId="725FA8BC"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1FE"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00" w14:textId="3DC7105F" w:rsidR="000A7292" w:rsidRDefault="000A7292" w:rsidP="000A7292">
            <w:pPr>
              <w:jc w:val="center"/>
              <w:rPr>
                <w:sz w:val="20"/>
                <w:szCs w:val="20"/>
              </w:rPr>
            </w:pPr>
            <w:r>
              <w:rPr>
                <w:rFonts w:eastAsia="Times New Roman"/>
                <w:sz w:val="18"/>
                <w:szCs w:val="18"/>
              </w:rPr>
              <w:t>310 CMR 22.07A</w:t>
            </w:r>
          </w:p>
        </w:tc>
      </w:tr>
      <w:tr w:rsidR="000A7292" w14:paraId="281A120F"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05" w14:textId="016A9545"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Alachlor</w:t>
            </w:r>
          </w:p>
        </w:tc>
        <w:tc>
          <w:tcPr>
            <w:tcW w:w="1000" w:type="dxa"/>
            <w:tcBorders>
              <w:bottom w:val="single" w:sz="8" w:space="0" w:color="auto"/>
              <w:right w:val="single" w:sz="8" w:space="0" w:color="auto"/>
            </w:tcBorders>
            <w:vAlign w:val="center"/>
          </w:tcPr>
          <w:p w14:paraId="281A1207" w14:textId="19D5AE30"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0A" w14:textId="1DF3D25D"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0B"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0D" w14:textId="0E712A7D" w:rsidR="000A7292" w:rsidRDefault="000A7292" w:rsidP="000A7292">
            <w:pPr>
              <w:jc w:val="center"/>
              <w:rPr>
                <w:sz w:val="20"/>
                <w:szCs w:val="20"/>
              </w:rPr>
            </w:pPr>
            <w:r>
              <w:rPr>
                <w:rFonts w:eastAsia="Times New Roman"/>
                <w:sz w:val="18"/>
                <w:szCs w:val="18"/>
              </w:rPr>
              <w:t>310 CMR 22.07A</w:t>
            </w:r>
          </w:p>
        </w:tc>
      </w:tr>
      <w:tr w:rsidR="000A7292" w14:paraId="281A121C"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12" w14:textId="382A49AD"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Atrazine</w:t>
            </w:r>
          </w:p>
        </w:tc>
        <w:tc>
          <w:tcPr>
            <w:tcW w:w="1000" w:type="dxa"/>
            <w:tcBorders>
              <w:bottom w:val="single" w:sz="8" w:space="0" w:color="auto"/>
              <w:right w:val="single" w:sz="8" w:space="0" w:color="auto"/>
            </w:tcBorders>
            <w:vAlign w:val="center"/>
          </w:tcPr>
          <w:p w14:paraId="281A1214" w14:textId="2254D9A7"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17" w14:textId="47E1C69C"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18"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1A" w14:textId="273B41F2" w:rsidR="000A7292" w:rsidRDefault="000A7292" w:rsidP="000A7292">
            <w:pPr>
              <w:jc w:val="center"/>
              <w:rPr>
                <w:sz w:val="20"/>
                <w:szCs w:val="20"/>
              </w:rPr>
            </w:pPr>
            <w:r>
              <w:rPr>
                <w:rFonts w:eastAsia="Times New Roman"/>
                <w:sz w:val="18"/>
                <w:szCs w:val="18"/>
              </w:rPr>
              <w:t>310 CMR 22.07A</w:t>
            </w:r>
          </w:p>
        </w:tc>
      </w:tr>
      <w:tr w:rsidR="000A7292" w14:paraId="281A1229"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1F" w14:textId="3D127892"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Benzo(a)pyrene (PAHs)</w:t>
            </w:r>
          </w:p>
        </w:tc>
        <w:tc>
          <w:tcPr>
            <w:tcW w:w="1000" w:type="dxa"/>
            <w:tcBorders>
              <w:bottom w:val="single" w:sz="8" w:space="0" w:color="auto"/>
              <w:right w:val="single" w:sz="8" w:space="0" w:color="auto"/>
            </w:tcBorders>
            <w:vAlign w:val="center"/>
          </w:tcPr>
          <w:p w14:paraId="281A1221" w14:textId="7984E7AC"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24" w14:textId="7AA0217C"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25"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27" w14:textId="011390AC" w:rsidR="000A7292" w:rsidRDefault="000A7292" w:rsidP="000A7292">
            <w:pPr>
              <w:jc w:val="center"/>
              <w:rPr>
                <w:sz w:val="20"/>
                <w:szCs w:val="20"/>
              </w:rPr>
            </w:pPr>
            <w:r>
              <w:rPr>
                <w:rFonts w:eastAsia="Times New Roman"/>
                <w:sz w:val="18"/>
                <w:szCs w:val="18"/>
              </w:rPr>
              <w:t>310 CMR 22.07A</w:t>
            </w:r>
          </w:p>
        </w:tc>
      </w:tr>
      <w:tr w:rsidR="000A7292" w14:paraId="281A1236"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2C" w14:textId="166135CD"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Carbofuran</w:t>
            </w:r>
          </w:p>
        </w:tc>
        <w:tc>
          <w:tcPr>
            <w:tcW w:w="1000" w:type="dxa"/>
            <w:tcBorders>
              <w:bottom w:val="single" w:sz="8" w:space="0" w:color="auto"/>
              <w:right w:val="single" w:sz="8" w:space="0" w:color="auto"/>
            </w:tcBorders>
            <w:vAlign w:val="center"/>
          </w:tcPr>
          <w:p w14:paraId="281A122E" w14:textId="64BA3C60"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31" w14:textId="373F72E0"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32"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34" w14:textId="096A9A85" w:rsidR="000A7292" w:rsidRDefault="000A7292" w:rsidP="000A7292">
            <w:pPr>
              <w:jc w:val="center"/>
              <w:rPr>
                <w:sz w:val="20"/>
                <w:szCs w:val="20"/>
              </w:rPr>
            </w:pPr>
            <w:r>
              <w:rPr>
                <w:rFonts w:eastAsia="Times New Roman"/>
                <w:sz w:val="18"/>
                <w:szCs w:val="18"/>
              </w:rPr>
              <w:t>310 CMR 22.07A</w:t>
            </w:r>
          </w:p>
        </w:tc>
      </w:tr>
      <w:tr w:rsidR="000A7292" w14:paraId="281A1243"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39" w14:textId="261B323F"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Chlordane</w:t>
            </w:r>
          </w:p>
        </w:tc>
        <w:tc>
          <w:tcPr>
            <w:tcW w:w="1000" w:type="dxa"/>
            <w:tcBorders>
              <w:bottom w:val="single" w:sz="8" w:space="0" w:color="auto"/>
              <w:right w:val="single" w:sz="8" w:space="0" w:color="auto"/>
            </w:tcBorders>
            <w:vAlign w:val="center"/>
          </w:tcPr>
          <w:p w14:paraId="281A123B" w14:textId="4474C428"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3E" w14:textId="09705297"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3F"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41" w14:textId="1236F66F" w:rsidR="000A7292" w:rsidRDefault="000A7292" w:rsidP="000A7292">
            <w:pPr>
              <w:jc w:val="center"/>
              <w:rPr>
                <w:sz w:val="20"/>
                <w:szCs w:val="20"/>
              </w:rPr>
            </w:pPr>
            <w:r>
              <w:rPr>
                <w:rFonts w:eastAsia="Times New Roman"/>
                <w:sz w:val="18"/>
                <w:szCs w:val="18"/>
              </w:rPr>
              <w:t>310 CMR 22.07A</w:t>
            </w:r>
          </w:p>
        </w:tc>
      </w:tr>
      <w:tr w:rsidR="000A7292" w14:paraId="281A1250"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46" w14:textId="4E933660"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Dalapon</w:t>
            </w:r>
          </w:p>
        </w:tc>
        <w:tc>
          <w:tcPr>
            <w:tcW w:w="1000" w:type="dxa"/>
            <w:tcBorders>
              <w:bottom w:val="single" w:sz="8" w:space="0" w:color="auto"/>
              <w:right w:val="single" w:sz="8" w:space="0" w:color="auto"/>
            </w:tcBorders>
            <w:vAlign w:val="center"/>
          </w:tcPr>
          <w:p w14:paraId="281A1248" w14:textId="0C61F6F2"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4B" w14:textId="0D969AD3"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4C"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4E" w14:textId="07CE1271" w:rsidR="000A7292" w:rsidRDefault="000A7292" w:rsidP="000A7292">
            <w:pPr>
              <w:jc w:val="center"/>
              <w:rPr>
                <w:sz w:val="20"/>
                <w:szCs w:val="20"/>
              </w:rPr>
            </w:pPr>
            <w:r>
              <w:rPr>
                <w:rFonts w:eastAsia="Times New Roman"/>
                <w:sz w:val="18"/>
                <w:szCs w:val="18"/>
              </w:rPr>
              <w:t>310 CMR 22.07A</w:t>
            </w:r>
          </w:p>
        </w:tc>
      </w:tr>
      <w:tr w:rsidR="000A7292" w14:paraId="281A125D"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53" w14:textId="16287938"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Di-(2-ethylhexyl) adipate</w:t>
            </w:r>
          </w:p>
        </w:tc>
        <w:tc>
          <w:tcPr>
            <w:tcW w:w="1000" w:type="dxa"/>
            <w:tcBorders>
              <w:bottom w:val="single" w:sz="8" w:space="0" w:color="auto"/>
              <w:right w:val="single" w:sz="8" w:space="0" w:color="auto"/>
            </w:tcBorders>
            <w:vAlign w:val="center"/>
          </w:tcPr>
          <w:p w14:paraId="281A1255" w14:textId="3AD1802E"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58" w14:textId="24319DAE"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59"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5B" w14:textId="4A49E937" w:rsidR="000A7292" w:rsidRDefault="000A7292" w:rsidP="000A7292">
            <w:pPr>
              <w:jc w:val="center"/>
              <w:rPr>
                <w:sz w:val="20"/>
                <w:szCs w:val="20"/>
              </w:rPr>
            </w:pPr>
            <w:r>
              <w:rPr>
                <w:rFonts w:eastAsia="Times New Roman"/>
                <w:sz w:val="18"/>
                <w:szCs w:val="18"/>
              </w:rPr>
              <w:t>310 CMR 22.07A</w:t>
            </w:r>
          </w:p>
        </w:tc>
      </w:tr>
      <w:tr w:rsidR="000A7292" w14:paraId="281A126A"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60" w14:textId="7D66C66A"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Di-(2-ethylhexyl) phthalate</w:t>
            </w:r>
          </w:p>
        </w:tc>
        <w:tc>
          <w:tcPr>
            <w:tcW w:w="1000" w:type="dxa"/>
            <w:tcBorders>
              <w:bottom w:val="single" w:sz="8" w:space="0" w:color="auto"/>
              <w:right w:val="single" w:sz="8" w:space="0" w:color="auto"/>
            </w:tcBorders>
            <w:vAlign w:val="center"/>
          </w:tcPr>
          <w:p w14:paraId="281A1262" w14:textId="07968922"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65" w14:textId="769D809E"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66"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68" w14:textId="1EB9F8E1" w:rsidR="000A7292" w:rsidRDefault="000A7292" w:rsidP="000A7292">
            <w:pPr>
              <w:jc w:val="center"/>
              <w:rPr>
                <w:sz w:val="20"/>
                <w:szCs w:val="20"/>
              </w:rPr>
            </w:pPr>
            <w:r>
              <w:rPr>
                <w:rFonts w:eastAsia="Times New Roman"/>
                <w:sz w:val="18"/>
                <w:szCs w:val="18"/>
              </w:rPr>
              <w:t>310 CMR 22.07A</w:t>
            </w:r>
          </w:p>
        </w:tc>
      </w:tr>
      <w:tr w:rsidR="000A7292" w14:paraId="281A1277"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6D" w14:textId="25BEA72D"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Dibromochloropropane</w:t>
            </w:r>
          </w:p>
        </w:tc>
        <w:tc>
          <w:tcPr>
            <w:tcW w:w="1000" w:type="dxa"/>
            <w:tcBorders>
              <w:bottom w:val="single" w:sz="8" w:space="0" w:color="auto"/>
              <w:right w:val="single" w:sz="8" w:space="0" w:color="auto"/>
            </w:tcBorders>
            <w:vAlign w:val="center"/>
          </w:tcPr>
          <w:p w14:paraId="281A126F" w14:textId="40546302"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72" w14:textId="5FA2A53A"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73"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75" w14:textId="703FEA16" w:rsidR="000A7292" w:rsidRDefault="000A7292" w:rsidP="000A7292">
            <w:pPr>
              <w:jc w:val="center"/>
              <w:rPr>
                <w:sz w:val="20"/>
                <w:szCs w:val="20"/>
              </w:rPr>
            </w:pPr>
            <w:r>
              <w:rPr>
                <w:rFonts w:eastAsia="Times New Roman"/>
                <w:sz w:val="18"/>
                <w:szCs w:val="18"/>
              </w:rPr>
              <w:t>310 CMR 22.07A</w:t>
            </w:r>
          </w:p>
        </w:tc>
      </w:tr>
      <w:tr w:rsidR="000A7292" w14:paraId="281A1284"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7A" w14:textId="536932DC"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Dinoseb</w:t>
            </w:r>
          </w:p>
        </w:tc>
        <w:tc>
          <w:tcPr>
            <w:tcW w:w="1000" w:type="dxa"/>
            <w:tcBorders>
              <w:bottom w:val="single" w:sz="8" w:space="0" w:color="auto"/>
              <w:right w:val="single" w:sz="8" w:space="0" w:color="auto"/>
            </w:tcBorders>
            <w:vAlign w:val="center"/>
          </w:tcPr>
          <w:p w14:paraId="281A127C" w14:textId="4C378212"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7F" w14:textId="4A30A169"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80"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82" w14:textId="7F17662F" w:rsidR="000A7292" w:rsidRDefault="000A7292" w:rsidP="000A7292">
            <w:pPr>
              <w:jc w:val="center"/>
              <w:rPr>
                <w:sz w:val="20"/>
                <w:szCs w:val="20"/>
              </w:rPr>
            </w:pPr>
            <w:r>
              <w:rPr>
                <w:rFonts w:eastAsia="Times New Roman"/>
                <w:sz w:val="18"/>
                <w:szCs w:val="18"/>
              </w:rPr>
              <w:t>310 CMR 22.07A</w:t>
            </w:r>
          </w:p>
        </w:tc>
      </w:tr>
      <w:tr w:rsidR="000A7292" w14:paraId="281A1291"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87" w14:textId="59D5A96B"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Dioxin (2,3,7,8-TCDD)</w:t>
            </w:r>
          </w:p>
        </w:tc>
        <w:tc>
          <w:tcPr>
            <w:tcW w:w="1000" w:type="dxa"/>
            <w:tcBorders>
              <w:bottom w:val="single" w:sz="8" w:space="0" w:color="auto"/>
              <w:right w:val="single" w:sz="8" w:space="0" w:color="auto"/>
            </w:tcBorders>
            <w:vAlign w:val="center"/>
          </w:tcPr>
          <w:p w14:paraId="281A1289" w14:textId="5FE6392E"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8C" w14:textId="131F50DA"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8D"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8F" w14:textId="26DE0D80" w:rsidR="000A7292" w:rsidRDefault="000A7292" w:rsidP="000A7292">
            <w:pPr>
              <w:jc w:val="center"/>
              <w:rPr>
                <w:sz w:val="20"/>
                <w:szCs w:val="20"/>
              </w:rPr>
            </w:pPr>
            <w:r>
              <w:rPr>
                <w:rFonts w:eastAsia="Times New Roman"/>
                <w:sz w:val="18"/>
                <w:szCs w:val="18"/>
              </w:rPr>
              <w:t>310 CMR 22.07A</w:t>
            </w:r>
          </w:p>
        </w:tc>
      </w:tr>
      <w:tr w:rsidR="000A7292" w14:paraId="281A129E"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94" w14:textId="1B7E28B7"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Diquat</w:t>
            </w:r>
          </w:p>
        </w:tc>
        <w:tc>
          <w:tcPr>
            <w:tcW w:w="1000" w:type="dxa"/>
            <w:tcBorders>
              <w:bottom w:val="single" w:sz="8" w:space="0" w:color="auto"/>
              <w:right w:val="single" w:sz="8" w:space="0" w:color="auto"/>
            </w:tcBorders>
            <w:vAlign w:val="center"/>
          </w:tcPr>
          <w:p w14:paraId="281A1296" w14:textId="4505EBC4"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99" w14:textId="0E1004BF"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9A"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9C" w14:textId="2FDB0297" w:rsidR="000A7292" w:rsidRDefault="000A7292" w:rsidP="000A7292">
            <w:pPr>
              <w:jc w:val="center"/>
              <w:rPr>
                <w:sz w:val="20"/>
                <w:szCs w:val="20"/>
              </w:rPr>
            </w:pPr>
            <w:r>
              <w:rPr>
                <w:rFonts w:eastAsia="Times New Roman"/>
                <w:sz w:val="18"/>
                <w:szCs w:val="18"/>
              </w:rPr>
              <w:t>310 CMR 22.07A</w:t>
            </w:r>
          </w:p>
        </w:tc>
      </w:tr>
      <w:tr w:rsidR="000A7292" w14:paraId="281A12AB"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A1" w14:textId="3D156935"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Endothall</w:t>
            </w:r>
          </w:p>
        </w:tc>
        <w:tc>
          <w:tcPr>
            <w:tcW w:w="1000" w:type="dxa"/>
            <w:tcBorders>
              <w:bottom w:val="single" w:sz="8" w:space="0" w:color="auto"/>
              <w:right w:val="single" w:sz="8" w:space="0" w:color="auto"/>
            </w:tcBorders>
            <w:vAlign w:val="center"/>
          </w:tcPr>
          <w:p w14:paraId="281A12A3" w14:textId="3D6C4418"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A6" w14:textId="20448D42"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A7"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A9" w14:textId="1FC3A976" w:rsidR="000A7292" w:rsidRDefault="000A7292" w:rsidP="000A7292">
            <w:pPr>
              <w:jc w:val="center"/>
              <w:rPr>
                <w:sz w:val="20"/>
                <w:szCs w:val="20"/>
              </w:rPr>
            </w:pPr>
            <w:r>
              <w:rPr>
                <w:rFonts w:eastAsia="Times New Roman"/>
                <w:sz w:val="18"/>
                <w:szCs w:val="18"/>
              </w:rPr>
              <w:t>310 CMR 22.07A</w:t>
            </w:r>
          </w:p>
        </w:tc>
      </w:tr>
      <w:tr w:rsidR="000A7292" w14:paraId="281A12B8"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AE" w14:textId="3031AB11"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Endrin</w:t>
            </w:r>
          </w:p>
        </w:tc>
        <w:tc>
          <w:tcPr>
            <w:tcW w:w="1000" w:type="dxa"/>
            <w:tcBorders>
              <w:bottom w:val="single" w:sz="8" w:space="0" w:color="auto"/>
              <w:right w:val="single" w:sz="8" w:space="0" w:color="auto"/>
            </w:tcBorders>
            <w:vAlign w:val="center"/>
          </w:tcPr>
          <w:p w14:paraId="281A12B0" w14:textId="3455806A"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B3" w14:textId="45C67C3C"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B4"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B6" w14:textId="53C5BEE6"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0A7292" w14:paraId="281A12C5"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BB" w14:textId="2C7D945B"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Ethylene dibromide</w:t>
            </w:r>
          </w:p>
        </w:tc>
        <w:tc>
          <w:tcPr>
            <w:tcW w:w="1000" w:type="dxa"/>
            <w:tcBorders>
              <w:bottom w:val="single" w:sz="8" w:space="0" w:color="auto"/>
              <w:right w:val="single" w:sz="8" w:space="0" w:color="auto"/>
            </w:tcBorders>
            <w:vAlign w:val="center"/>
          </w:tcPr>
          <w:p w14:paraId="281A12BD" w14:textId="19B8689A"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C0" w14:textId="02481219"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C1"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C3" w14:textId="2ADE6714"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0A7292" w14:paraId="281A12D2"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C8" w14:textId="05A76660"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Glyphosate</w:t>
            </w:r>
          </w:p>
        </w:tc>
        <w:tc>
          <w:tcPr>
            <w:tcW w:w="1000" w:type="dxa"/>
            <w:tcBorders>
              <w:bottom w:val="single" w:sz="8" w:space="0" w:color="auto"/>
              <w:right w:val="single" w:sz="8" w:space="0" w:color="auto"/>
            </w:tcBorders>
            <w:vAlign w:val="center"/>
          </w:tcPr>
          <w:p w14:paraId="281A12CA" w14:textId="072C361B"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CD" w14:textId="0CBAA0D6"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CE"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D0" w14:textId="52EA9DA2"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0A7292" w14:paraId="281A12DF"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D5" w14:textId="0E52EDA1"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Heptachlor</w:t>
            </w:r>
          </w:p>
        </w:tc>
        <w:tc>
          <w:tcPr>
            <w:tcW w:w="1000" w:type="dxa"/>
            <w:tcBorders>
              <w:bottom w:val="single" w:sz="8" w:space="0" w:color="auto"/>
              <w:right w:val="single" w:sz="8" w:space="0" w:color="auto"/>
            </w:tcBorders>
            <w:vAlign w:val="center"/>
          </w:tcPr>
          <w:p w14:paraId="281A12D7" w14:textId="750505DD"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DA" w14:textId="06FC0C86"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DB"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DD" w14:textId="1FE19807"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0A7292" w14:paraId="281A12EC"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E2" w14:textId="492539A8"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Heptachlor epoxide</w:t>
            </w:r>
          </w:p>
        </w:tc>
        <w:tc>
          <w:tcPr>
            <w:tcW w:w="1000" w:type="dxa"/>
            <w:tcBorders>
              <w:bottom w:val="single" w:sz="8" w:space="0" w:color="auto"/>
              <w:right w:val="single" w:sz="8" w:space="0" w:color="auto"/>
            </w:tcBorders>
            <w:vAlign w:val="center"/>
          </w:tcPr>
          <w:p w14:paraId="281A12E4" w14:textId="0FF9B602" w:rsidR="000A7292" w:rsidRDefault="000A7292"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E7" w14:textId="1D42CCAE"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E8" w14:textId="77777777" w:rsidR="000A7292" w:rsidRDefault="000A7292"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EA" w14:textId="2FFB50A4"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3B248D" w14:paraId="281A12F9"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2EF" w14:textId="607082F8"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Hexachlorobenzene</w:t>
            </w:r>
          </w:p>
        </w:tc>
        <w:tc>
          <w:tcPr>
            <w:tcW w:w="1000" w:type="dxa"/>
            <w:tcBorders>
              <w:bottom w:val="single" w:sz="8" w:space="0" w:color="auto"/>
              <w:right w:val="single" w:sz="8" w:space="0" w:color="auto"/>
            </w:tcBorders>
            <w:vAlign w:val="center"/>
          </w:tcPr>
          <w:p w14:paraId="281A12F1" w14:textId="746F7170" w:rsidR="003B248D" w:rsidRDefault="003B248D"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2F4" w14:textId="369ECC22"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F5" w14:textId="77777777" w:rsidR="003B248D" w:rsidRDefault="003B248D"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2F7" w14:textId="1A092523" w:rsidR="003B248D" w:rsidRDefault="003B248D" w:rsidP="003B248D">
            <w:pPr>
              <w:jc w:val="center"/>
              <w:rPr>
                <w:sz w:val="20"/>
                <w:szCs w:val="20"/>
              </w:rPr>
            </w:pPr>
            <w:r>
              <w:rPr>
                <w:rFonts w:eastAsia="Times New Roman"/>
                <w:sz w:val="18"/>
                <w:szCs w:val="18"/>
              </w:rPr>
              <w:t>310 CMR 22.07A</w:t>
            </w:r>
          </w:p>
        </w:tc>
      </w:tr>
      <w:tr w:rsidR="003B248D" w14:paraId="281A1306"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2FC" w14:textId="74AC03DC"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Hexachlorocyclopentadiene</w:t>
            </w:r>
          </w:p>
        </w:tc>
        <w:tc>
          <w:tcPr>
            <w:tcW w:w="1000" w:type="dxa"/>
            <w:tcBorders>
              <w:bottom w:val="single" w:sz="8" w:space="0" w:color="auto"/>
              <w:right w:val="single" w:sz="8" w:space="0" w:color="auto"/>
            </w:tcBorders>
            <w:vAlign w:val="center"/>
          </w:tcPr>
          <w:p w14:paraId="281A12FE" w14:textId="4772D23F" w:rsidR="003B248D" w:rsidRDefault="003B248D"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01" w14:textId="0C2B7082"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302" w14:textId="77777777" w:rsidR="003B248D" w:rsidRDefault="003B248D"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04" w14:textId="22B97729" w:rsidR="003B248D" w:rsidRDefault="003B248D" w:rsidP="003B248D">
            <w:pPr>
              <w:jc w:val="center"/>
              <w:rPr>
                <w:sz w:val="20"/>
                <w:szCs w:val="20"/>
              </w:rPr>
            </w:pPr>
            <w:r>
              <w:rPr>
                <w:rFonts w:eastAsia="Times New Roman"/>
                <w:sz w:val="18"/>
                <w:szCs w:val="18"/>
              </w:rPr>
              <w:t>310 CMR 22.07A</w:t>
            </w:r>
          </w:p>
        </w:tc>
      </w:tr>
      <w:tr w:rsidR="003B248D" w14:paraId="281A1313" w14:textId="77777777" w:rsidTr="00347FE4">
        <w:trPr>
          <w:trHeight w:val="280"/>
        </w:trPr>
        <w:tc>
          <w:tcPr>
            <w:tcW w:w="3840" w:type="dxa"/>
            <w:tcBorders>
              <w:left w:val="single" w:sz="8" w:space="0" w:color="auto"/>
              <w:bottom w:val="single" w:sz="8" w:space="0" w:color="auto"/>
              <w:right w:val="single" w:sz="8" w:space="0" w:color="auto"/>
            </w:tcBorders>
            <w:vAlign w:val="bottom"/>
          </w:tcPr>
          <w:p w14:paraId="281A1309" w14:textId="181B52D9"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Lindane</w:t>
            </w:r>
          </w:p>
        </w:tc>
        <w:tc>
          <w:tcPr>
            <w:tcW w:w="1000" w:type="dxa"/>
            <w:tcBorders>
              <w:bottom w:val="single" w:sz="8" w:space="0" w:color="auto"/>
              <w:right w:val="single" w:sz="8" w:space="0" w:color="auto"/>
            </w:tcBorders>
            <w:vAlign w:val="center"/>
          </w:tcPr>
          <w:p w14:paraId="281A130B" w14:textId="376A2B56" w:rsidR="003B248D" w:rsidRDefault="003B248D"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0E" w14:textId="3BE30E78"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30F" w14:textId="77777777" w:rsidR="003B248D" w:rsidRDefault="003B248D"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11" w14:textId="6EE5896E" w:rsidR="003B248D" w:rsidRDefault="003B248D" w:rsidP="003B248D">
            <w:pPr>
              <w:jc w:val="center"/>
              <w:rPr>
                <w:sz w:val="20"/>
                <w:szCs w:val="20"/>
              </w:rPr>
            </w:pPr>
            <w:r>
              <w:rPr>
                <w:rFonts w:eastAsia="Times New Roman"/>
                <w:sz w:val="18"/>
                <w:szCs w:val="18"/>
              </w:rPr>
              <w:t>310 CMR 22.07A</w:t>
            </w:r>
          </w:p>
        </w:tc>
      </w:tr>
      <w:tr w:rsidR="003B248D" w14:paraId="281A1320" w14:textId="77777777" w:rsidTr="00347FE4">
        <w:trPr>
          <w:trHeight w:val="278"/>
        </w:trPr>
        <w:tc>
          <w:tcPr>
            <w:tcW w:w="3840" w:type="dxa"/>
            <w:tcBorders>
              <w:left w:val="single" w:sz="8" w:space="0" w:color="auto"/>
              <w:bottom w:val="single" w:sz="8" w:space="0" w:color="auto"/>
              <w:right w:val="single" w:sz="8" w:space="0" w:color="auto"/>
            </w:tcBorders>
            <w:vAlign w:val="bottom"/>
          </w:tcPr>
          <w:p w14:paraId="281A1316" w14:textId="4E79CEAC"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Methoxychlor</w:t>
            </w:r>
          </w:p>
        </w:tc>
        <w:tc>
          <w:tcPr>
            <w:tcW w:w="1000" w:type="dxa"/>
            <w:tcBorders>
              <w:bottom w:val="single" w:sz="8" w:space="0" w:color="auto"/>
              <w:right w:val="single" w:sz="8" w:space="0" w:color="auto"/>
            </w:tcBorders>
            <w:vAlign w:val="center"/>
          </w:tcPr>
          <w:p w14:paraId="281A1318" w14:textId="314831ED" w:rsidR="003B248D" w:rsidRDefault="003B248D"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1B" w14:textId="5887CC97"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31C" w14:textId="77777777" w:rsidR="003B248D" w:rsidRDefault="003B248D"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1E" w14:textId="301DFCA1" w:rsidR="003B248D" w:rsidRDefault="003B248D" w:rsidP="003B248D">
            <w:pPr>
              <w:jc w:val="center"/>
              <w:rPr>
                <w:sz w:val="20"/>
                <w:szCs w:val="20"/>
              </w:rPr>
            </w:pPr>
            <w:r>
              <w:rPr>
                <w:rFonts w:eastAsia="Times New Roman"/>
                <w:sz w:val="18"/>
                <w:szCs w:val="18"/>
              </w:rPr>
              <w:t>310 CMR 22.07A</w:t>
            </w:r>
          </w:p>
        </w:tc>
      </w:tr>
      <w:tr w:rsidR="003B248D" w14:paraId="281A132D" w14:textId="77777777" w:rsidTr="00347FE4">
        <w:trPr>
          <w:trHeight w:val="279"/>
        </w:trPr>
        <w:tc>
          <w:tcPr>
            <w:tcW w:w="3840" w:type="dxa"/>
            <w:tcBorders>
              <w:left w:val="single" w:sz="8" w:space="0" w:color="auto"/>
              <w:bottom w:val="single" w:sz="8" w:space="0" w:color="auto"/>
              <w:right w:val="single" w:sz="8" w:space="0" w:color="auto"/>
            </w:tcBorders>
            <w:vAlign w:val="bottom"/>
          </w:tcPr>
          <w:p w14:paraId="281A1323" w14:textId="4BD965D6"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Oxamyl (Vydate)</w:t>
            </w:r>
          </w:p>
        </w:tc>
        <w:tc>
          <w:tcPr>
            <w:tcW w:w="1000" w:type="dxa"/>
            <w:tcBorders>
              <w:bottom w:val="single" w:sz="8" w:space="0" w:color="auto"/>
              <w:right w:val="single" w:sz="8" w:space="0" w:color="auto"/>
            </w:tcBorders>
            <w:vAlign w:val="center"/>
          </w:tcPr>
          <w:p w14:paraId="281A1325" w14:textId="37B34ABC" w:rsidR="003B248D" w:rsidRDefault="003B248D" w:rsidP="000A7292">
            <w:pPr>
              <w:jc w:val="center"/>
              <w:rPr>
                <w:sz w:val="24"/>
                <w:szCs w:val="24"/>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28" w14:textId="6DCA1474"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329" w14:textId="77777777" w:rsidR="003B248D" w:rsidRDefault="003B248D" w:rsidP="000A7292">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2B" w14:textId="7C4ECC40" w:rsidR="003B248D" w:rsidRDefault="003B248D" w:rsidP="003B248D">
            <w:pPr>
              <w:jc w:val="center"/>
              <w:rPr>
                <w:sz w:val="20"/>
                <w:szCs w:val="20"/>
              </w:rPr>
            </w:pPr>
            <w:r>
              <w:rPr>
                <w:rFonts w:eastAsia="Times New Roman"/>
                <w:sz w:val="18"/>
                <w:szCs w:val="18"/>
              </w:rPr>
              <w:t>310 CMR 22.07A</w:t>
            </w:r>
          </w:p>
        </w:tc>
      </w:tr>
    </w:tbl>
    <w:p w14:paraId="281A132E" w14:textId="77777777" w:rsidR="004647B9" w:rsidRDefault="004647B9">
      <w:pPr>
        <w:sectPr w:rsidR="004647B9" w:rsidSect="00EF630C">
          <w:pgSz w:w="12240" w:h="20180"/>
          <w:pgMar w:top="708" w:right="1080" w:bottom="1440" w:left="600" w:header="0" w:footer="0" w:gutter="0"/>
          <w:cols w:space="720"/>
        </w:sectPr>
      </w:pPr>
    </w:p>
    <w:p w14:paraId="281A132F" w14:textId="77777777" w:rsidR="004647B9" w:rsidRDefault="00E2436F">
      <w:pPr>
        <w:tabs>
          <w:tab w:val="left" w:pos="2860"/>
        </w:tabs>
        <w:ind w:left="1680"/>
        <w:rPr>
          <w:sz w:val="20"/>
          <w:szCs w:val="20"/>
        </w:rPr>
      </w:pPr>
      <w:bookmarkStart w:id="194" w:name="page196"/>
      <w:bookmarkEnd w:id="19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330" w14:textId="77777777" w:rsidR="004647B9" w:rsidRDefault="004647B9" w:rsidP="00F10FE4">
      <w:pPr>
        <w:rPr>
          <w:sz w:val="20"/>
          <w:szCs w:val="20"/>
        </w:rPr>
      </w:pPr>
    </w:p>
    <w:p w14:paraId="281A1331" w14:textId="77777777" w:rsidR="004647B9" w:rsidRDefault="004647B9" w:rsidP="00F10FE4">
      <w:pPr>
        <w:rPr>
          <w:sz w:val="20"/>
          <w:szCs w:val="20"/>
        </w:rPr>
      </w:pPr>
    </w:p>
    <w:p w14:paraId="281A1332" w14:textId="77777777" w:rsidR="004647B9" w:rsidRDefault="00E2436F" w:rsidP="00F10FE4">
      <w:pPr>
        <w:tabs>
          <w:tab w:val="left" w:pos="760"/>
        </w:tabs>
        <w:rPr>
          <w:sz w:val="20"/>
          <w:szCs w:val="20"/>
        </w:rPr>
      </w:pPr>
      <w:r>
        <w:rPr>
          <w:rFonts w:eastAsia="Times New Roman"/>
          <w:sz w:val="24"/>
          <w:szCs w:val="24"/>
        </w:rPr>
        <w:t>22.16:</w:t>
      </w:r>
      <w:r>
        <w:rPr>
          <w:rFonts w:eastAsia="Times New Roman"/>
          <w:sz w:val="24"/>
          <w:szCs w:val="24"/>
        </w:rPr>
        <w:tab/>
        <w:t>continued</w:t>
      </w:r>
    </w:p>
    <w:p w14:paraId="281A1333" w14:textId="77777777" w:rsidR="004647B9" w:rsidRDefault="004647B9" w:rsidP="00F10FE4">
      <w:pPr>
        <w:rPr>
          <w:sz w:val="20"/>
          <w:szCs w:val="20"/>
        </w:rPr>
      </w:pPr>
    </w:p>
    <w:tbl>
      <w:tblPr>
        <w:tblW w:w="10560" w:type="dxa"/>
        <w:tblInd w:w="10" w:type="dxa"/>
        <w:tblLayout w:type="fixed"/>
        <w:tblCellMar>
          <w:left w:w="0" w:type="dxa"/>
          <w:right w:w="0" w:type="dxa"/>
        </w:tblCellMar>
        <w:tblLook w:val="04A0" w:firstRow="1" w:lastRow="0" w:firstColumn="1" w:lastColumn="0" w:noHBand="0" w:noVBand="1"/>
      </w:tblPr>
      <w:tblGrid>
        <w:gridCol w:w="3820"/>
        <w:gridCol w:w="20"/>
        <w:gridCol w:w="980"/>
        <w:gridCol w:w="2340"/>
        <w:gridCol w:w="900"/>
        <w:gridCol w:w="2500"/>
      </w:tblGrid>
      <w:tr w:rsidR="00237746" w14:paraId="281A133A" w14:textId="77777777" w:rsidTr="00913CE1">
        <w:trPr>
          <w:trHeight w:val="318"/>
        </w:trPr>
        <w:tc>
          <w:tcPr>
            <w:tcW w:w="3840" w:type="dxa"/>
            <w:gridSpan w:val="2"/>
            <w:vMerge w:val="restart"/>
            <w:tcBorders>
              <w:top w:val="single" w:sz="8" w:space="0" w:color="auto"/>
              <w:left w:val="single" w:sz="8" w:space="0" w:color="auto"/>
              <w:bottom w:val="single" w:sz="8" w:space="0" w:color="auto"/>
              <w:right w:val="single" w:sz="8" w:space="0" w:color="auto"/>
            </w:tcBorders>
            <w:vAlign w:val="center"/>
          </w:tcPr>
          <w:p w14:paraId="281A1336" w14:textId="00EB7BB1" w:rsidR="00237746" w:rsidRDefault="00237746" w:rsidP="00237746">
            <w:pPr>
              <w:jc w:val="center"/>
              <w:rPr>
                <w:sz w:val="24"/>
                <w:szCs w:val="24"/>
              </w:rPr>
            </w:pPr>
            <w:r>
              <w:rPr>
                <w:rFonts w:eastAsia="Times New Roman"/>
                <w:sz w:val="18"/>
                <w:szCs w:val="18"/>
              </w:rPr>
              <w:t>Contaminant</w:t>
            </w:r>
          </w:p>
        </w:tc>
        <w:tc>
          <w:tcPr>
            <w:tcW w:w="3320" w:type="dxa"/>
            <w:gridSpan w:val="2"/>
            <w:vMerge w:val="restart"/>
            <w:tcBorders>
              <w:top w:val="single" w:sz="8" w:space="0" w:color="auto"/>
              <w:left w:val="single" w:sz="8" w:space="0" w:color="auto"/>
              <w:right w:val="single" w:sz="8" w:space="0" w:color="auto"/>
            </w:tcBorders>
            <w:vAlign w:val="center"/>
          </w:tcPr>
          <w:p w14:paraId="281A1337" w14:textId="77777777" w:rsidR="00237746" w:rsidRDefault="00237746" w:rsidP="00237746">
            <w:pPr>
              <w:ind w:left="480"/>
              <w:jc w:val="center"/>
              <w:rPr>
                <w:sz w:val="20"/>
                <w:szCs w:val="20"/>
              </w:rPr>
            </w:pPr>
            <w:r>
              <w:rPr>
                <w:rFonts w:eastAsia="Times New Roman"/>
                <w:sz w:val="18"/>
                <w:szCs w:val="18"/>
              </w:rPr>
              <w:t xml:space="preserve">MCL/MRDL/TT violations </w:t>
            </w:r>
            <w:r>
              <w:rPr>
                <w:rFonts w:eastAsia="Times New Roman"/>
                <w:sz w:val="24"/>
                <w:szCs w:val="24"/>
                <w:vertAlign w:val="superscript"/>
              </w:rPr>
              <w:t>2</w:t>
            </w:r>
          </w:p>
        </w:tc>
        <w:tc>
          <w:tcPr>
            <w:tcW w:w="3400" w:type="dxa"/>
            <w:gridSpan w:val="2"/>
            <w:vMerge w:val="restart"/>
            <w:tcBorders>
              <w:top w:val="single" w:sz="8" w:space="0" w:color="auto"/>
              <w:bottom w:val="single" w:sz="8" w:space="0" w:color="auto"/>
              <w:right w:val="single" w:sz="8" w:space="0" w:color="auto"/>
            </w:tcBorders>
            <w:vAlign w:val="center"/>
          </w:tcPr>
          <w:p w14:paraId="24AC63A9" w14:textId="77777777" w:rsidR="00237746" w:rsidRDefault="00237746" w:rsidP="00237746">
            <w:pPr>
              <w:jc w:val="center"/>
              <w:rPr>
                <w:sz w:val="20"/>
                <w:szCs w:val="20"/>
              </w:rPr>
            </w:pPr>
            <w:r>
              <w:rPr>
                <w:rFonts w:eastAsia="Times New Roman"/>
                <w:sz w:val="18"/>
                <w:szCs w:val="18"/>
              </w:rPr>
              <w:t>Monitoring &amp; testing procedure</w:t>
            </w:r>
          </w:p>
          <w:p w14:paraId="281A1338" w14:textId="04780046" w:rsidR="00237746" w:rsidRDefault="00237746" w:rsidP="00237746">
            <w:pPr>
              <w:jc w:val="center"/>
              <w:rPr>
                <w:sz w:val="20"/>
                <w:szCs w:val="20"/>
              </w:rPr>
            </w:pPr>
            <w:r>
              <w:rPr>
                <w:rFonts w:eastAsia="Times New Roman"/>
                <w:sz w:val="18"/>
                <w:szCs w:val="18"/>
              </w:rPr>
              <w:t>violations</w:t>
            </w:r>
          </w:p>
        </w:tc>
      </w:tr>
      <w:tr w:rsidR="00237746" w14:paraId="281A1342" w14:textId="77777777" w:rsidTr="00913CE1">
        <w:trPr>
          <w:trHeight w:val="140"/>
        </w:trPr>
        <w:tc>
          <w:tcPr>
            <w:tcW w:w="3840" w:type="dxa"/>
            <w:gridSpan w:val="2"/>
            <w:vMerge/>
            <w:tcBorders>
              <w:left w:val="single" w:sz="8" w:space="0" w:color="auto"/>
              <w:bottom w:val="single" w:sz="8" w:space="0" w:color="auto"/>
              <w:right w:val="single" w:sz="8" w:space="0" w:color="auto"/>
            </w:tcBorders>
            <w:vAlign w:val="bottom"/>
          </w:tcPr>
          <w:p w14:paraId="281A133D" w14:textId="602E01F7" w:rsidR="00237746" w:rsidRDefault="00237746" w:rsidP="00347FE4">
            <w:pPr>
              <w:ind w:left="1060"/>
              <w:rPr>
                <w:sz w:val="12"/>
                <w:szCs w:val="12"/>
              </w:rPr>
            </w:pPr>
          </w:p>
        </w:tc>
        <w:tc>
          <w:tcPr>
            <w:tcW w:w="3320" w:type="dxa"/>
            <w:gridSpan w:val="2"/>
            <w:vMerge/>
            <w:tcBorders>
              <w:left w:val="single" w:sz="8" w:space="0" w:color="auto"/>
              <w:right w:val="single" w:sz="8" w:space="0" w:color="auto"/>
            </w:tcBorders>
            <w:vAlign w:val="bottom"/>
          </w:tcPr>
          <w:p w14:paraId="281A133E" w14:textId="77777777" w:rsidR="00237746" w:rsidRDefault="00237746">
            <w:pPr>
              <w:rPr>
                <w:sz w:val="12"/>
                <w:szCs w:val="12"/>
              </w:rPr>
            </w:pPr>
          </w:p>
        </w:tc>
        <w:tc>
          <w:tcPr>
            <w:tcW w:w="3400" w:type="dxa"/>
            <w:gridSpan w:val="2"/>
            <w:vMerge/>
            <w:tcBorders>
              <w:bottom w:val="single" w:sz="8" w:space="0" w:color="auto"/>
              <w:right w:val="single" w:sz="8" w:space="0" w:color="auto"/>
            </w:tcBorders>
            <w:vAlign w:val="bottom"/>
          </w:tcPr>
          <w:p w14:paraId="281A1340" w14:textId="22B00DC6" w:rsidR="00237746" w:rsidRDefault="00237746">
            <w:pPr>
              <w:ind w:right="830"/>
              <w:jc w:val="center"/>
              <w:rPr>
                <w:sz w:val="20"/>
                <w:szCs w:val="20"/>
              </w:rPr>
            </w:pPr>
          </w:p>
        </w:tc>
      </w:tr>
      <w:tr w:rsidR="00237746" w14:paraId="281A134B" w14:textId="77777777" w:rsidTr="00913CE1">
        <w:trPr>
          <w:trHeight w:val="141"/>
        </w:trPr>
        <w:tc>
          <w:tcPr>
            <w:tcW w:w="3840" w:type="dxa"/>
            <w:gridSpan w:val="2"/>
            <w:vMerge/>
            <w:tcBorders>
              <w:left w:val="single" w:sz="8" w:space="0" w:color="auto"/>
              <w:bottom w:val="single" w:sz="8" w:space="0" w:color="auto"/>
              <w:right w:val="single" w:sz="8" w:space="0" w:color="auto"/>
            </w:tcBorders>
            <w:vAlign w:val="bottom"/>
          </w:tcPr>
          <w:p w14:paraId="281A1345" w14:textId="4F600035" w:rsidR="00237746" w:rsidRDefault="00237746" w:rsidP="00347FE4">
            <w:pPr>
              <w:ind w:left="1060"/>
              <w:rPr>
                <w:sz w:val="12"/>
                <w:szCs w:val="12"/>
              </w:rPr>
            </w:pPr>
          </w:p>
        </w:tc>
        <w:tc>
          <w:tcPr>
            <w:tcW w:w="3320" w:type="dxa"/>
            <w:gridSpan w:val="2"/>
            <w:vMerge/>
            <w:tcBorders>
              <w:left w:val="single" w:sz="8" w:space="0" w:color="auto"/>
              <w:right w:val="single" w:sz="8" w:space="0" w:color="auto"/>
            </w:tcBorders>
            <w:vAlign w:val="bottom"/>
          </w:tcPr>
          <w:p w14:paraId="281A1347" w14:textId="77777777" w:rsidR="00237746" w:rsidRDefault="00237746">
            <w:pPr>
              <w:rPr>
                <w:sz w:val="12"/>
                <w:szCs w:val="12"/>
              </w:rPr>
            </w:pPr>
          </w:p>
        </w:tc>
        <w:tc>
          <w:tcPr>
            <w:tcW w:w="3400" w:type="dxa"/>
            <w:gridSpan w:val="2"/>
            <w:vMerge/>
            <w:tcBorders>
              <w:left w:val="single" w:sz="8" w:space="0" w:color="auto"/>
              <w:bottom w:val="single" w:sz="8" w:space="0" w:color="auto"/>
              <w:right w:val="single" w:sz="8" w:space="0" w:color="auto"/>
            </w:tcBorders>
            <w:vAlign w:val="bottom"/>
          </w:tcPr>
          <w:p w14:paraId="281A1349" w14:textId="77777777" w:rsidR="00237746" w:rsidRDefault="00237746">
            <w:pPr>
              <w:rPr>
                <w:sz w:val="12"/>
                <w:szCs w:val="12"/>
              </w:rPr>
            </w:pPr>
          </w:p>
        </w:tc>
      </w:tr>
      <w:tr w:rsidR="00237746" w14:paraId="281A1354" w14:textId="77777777" w:rsidTr="00913CE1">
        <w:trPr>
          <w:trHeight w:val="74"/>
        </w:trPr>
        <w:tc>
          <w:tcPr>
            <w:tcW w:w="3840" w:type="dxa"/>
            <w:gridSpan w:val="2"/>
            <w:vMerge/>
            <w:tcBorders>
              <w:left w:val="single" w:sz="8" w:space="0" w:color="auto"/>
              <w:bottom w:val="single" w:sz="8" w:space="0" w:color="auto"/>
              <w:right w:val="single" w:sz="8" w:space="0" w:color="auto"/>
            </w:tcBorders>
            <w:vAlign w:val="bottom"/>
          </w:tcPr>
          <w:p w14:paraId="281A134E" w14:textId="1463E42B" w:rsidR="00237746" w:rsidRDefault="00237746" w:rsidP="00347FE4">
            <w:pPr>
              <w:ind w:left="1060"/>
              <w:rPr>
                <w:sz w:val="6"/>
                <w:szCs w:val="6"/>
              </w:rPr>
            </w:pPr>
          </w:p>
        </w:tc>
        <w:tc>
          <w:tcPr>
            <w:tcW w:w="3320" w:type="dxa"/>
            <w:gridSpan w:val="2"/>
            <w:vMerge/>
            <w:tcBorders>
              <w:left w:val="single" w:sz="8" w:space="0" w:color="auto"/>
              <w:right w:val="single" w:sz="8" w:space="0" w:color="auto"/>
            </w:tcBorders>
            <w:vAlign w:val="bottom"/>
          </w:tcPr>
          <w:p w14:paraId="281A1350" w14:textId="77777777" w:rsidR="00237746" w:rsidRDefault="00237746">
            <w:pPr>
              <w:rPr>
                <w:sz w:val="6"/>
                <w:szCs w:val="6"/>
              </w:rPr>
            </w:pPr>
          </w:p>
        </w:tc>
        <w:tc>
          <w:tcPr>
            <w:tcW w:w="3400" w:type="dxa"/>
            <w:gridSpan w:val="2"/>
            <w:vMerge/>
            <w:tcBorders>
              <w:left w:val="single" w:sz="8" w:space="0" w:color="auto"/>
              <w:right w:val="single" w:sz="8" w:space="0" w:color="auto"/>
            </w:tcBorders>
            <w:vAlign w:val="bottom"/>
          </w:tcPr>
          <w:p w14:paraId="281A1352" w14:textId="77777777" w:rsidR="00237746" w:rsidRDefault="00237746">
            <w:pPr>
              <w:rPr>
                <w:sz w:val="6"/>
                <w:szCs w:val="6"/>
              </w:rPr>
            </w:pPr>
          </w:p>
        </w:tc>
      </w:tr>
      <w:tr w:rsidR="00237746" w14:paraId="281A135D" w14:textId="77777777" w:rsidTr="00913CE1">
        <w:trPr>
          <w:trHeight w:val="1195"/>
        </w:trPr>
        <w:tc>
          <w:tcPr>
            <w:tcW w:w="3840" w:type="dxa"/>
            <w:gridSpan w:val="2"/>
            <w:vMerge/>
            <w:tcBorders>
              <w:left w:val="single" w:sz="8" w:space="0" w:color="auto"/>
              <w:bottom w:val="single" w:sz="8" w:space="0" w:color="auto"/>
              <w:right w:val="single" w:sz="8" w:space="0" w:color="auto"/>
            </w:tcBorders>
            <w:vAlign w:val="bottom"/>
          </w:tcPr>
          <w:p w14:paraId="281A1357" w14:textId="2ADFA9D2" w:rsidR="00237746" w:rsidRDefault="00237746">
            <w:pPr>
              <w:ind w:left="1060"/>
              <w:rPr>
                <w:sz w:val="20"/>
                <w:szCs w:val="20"/>
              </w:rPr>
            </w:pPr>
          </w:p>
        </w:tc>
        <w:tc>
          <w:tcPr>
            <w:tcW w:w="980" w:type="dxa"/>
            <w:tcBorders>
              <w:left w:val="single" w:sz="8" w:space="0" w:color="auto"/>
              <w:bottom w:val="single" w:sz="8" w:space="0" w:color="auto"/>
              <w:right w:val="single" w:sz="8" w:space="0" w:color="auto"/>
            </w:tcBorders>
            <w:vAlign w:val="center"/>
          </w:tcPr>
          <w:p w14:paraId="01FB553D" w14:textId="77777777" w:rsidR="00237746" w:rsidRDefault="00237746" w:rsidP="00237746">
            <w:pPr>
              <w:jc w:val="center"/>
              <w:rPr>
                <w:sz w:val="20"/>
                <w:szCs w:val="20"/>
              </w:rPr>
            </w:pPr>
            <w:r>
              <w:rPr>
                <w:rFonts w:eastAsia="Times New Roman"/>
                <w:sz w:val="18"/>
                <w:szCs w:val="18"/>
              </w:rPr>
              <w:t>Tier of</w:t>
            </w:r>
          </w:p>
          <w:p w14:paraId="2201AE4C" w14:textId="77777777" w:rsidR="00237746" w:rsidRDefault="00237746" w:rsidP="00237746">
            <w:pPr>
              <w:jc w:val="center"/>
              <w:rPr>
                <w:sz w:val="20"/>
                <w:szCs w:val="20"/>
              </w:rPr>
            </w:pPr>
            <w:r>
              <w:rPr>
                <w:rFonts w:eastAsia="Times New Roman"/>
                <w:sz w:val="18"/>
                <w:szCs w:val="18"/>
              </w:rPr>
              <w:t>public</w:t>
            </w:r>
          </w:p>
          <w:p w14:paraId="358868BD" w14:textId="77777777" w:rsidR="00237746" w:rsidRDefault="00237746" w:rsidP="00237746">
            <w:pPr>
              <w:jc w:val="center"/>
              <w:rPr>
                <w:sz w:val="20"/>
                <w:szCs w:val="20"/>
              </w:rPr>
            </w:pPr>
            <w:r>
              <w:rPr>
                <w:rFonts w:eastAsia="Times New Roman"/>
                <w:sz w:val="18"/>
                <w:szCs w:val="18"/>
              </w:rPr>
              <w:t>notice</w:t>
            </w:r>
          </w:p>
          <w:p w14:paraId="281A1358" w14:textId="4D26DDF2" w:rsidR="00237746" w:rsidRDefault="00237746" w:rsidP="00237746">
            <w:pPr>
              <w:jc w:val="center"/>
              <w:rPr>
                <w:sz w:val="20"/>
                <w:szCs w:val="20"/>
              </w:rPr>
            </w:pPr>
            <w:r>
              <w:rPr>
                <w:rFonts w:eastAsia="Times New Roman"/>
                <w:sz w:val="18"/>
                <w:szCs w:val="18"/>
              </w:rPr>
              <w:t>required</w:t>
            </w:r>
          </w:p>
        </w:tc>
        <w:tc>
          <w:tcPr>
            <w:tcW w:w="2340" w:type="dxa"/>
            <w:tcBorders>
              <w:bottom w:val="single" w:sz="8" w:space="0" w:color="auto"/>
              <w:right w:val="single" w:sz="8" w:space="0" w:color="auto"/>
            </w:tcBorders>
            <w:vAlign w:val="center"/>
          </w:tcPr>
          <w:p w14:paraId="281A1359" w14:textId="1F1098B3" w:rsidR="00237746" w:rsidRDefault="00237746" w:rsidP="00237746">
            <w:pPr>
              <w:jc w:val="center"/>
              <w:rPr>
                <w:sz w:val="24"/>
                <w:szCs w:val="24"/>
              </w:rPr>
            </w:pPr>
            <w:r>
              <w:rPr>
                <w:rFonts w:eastAsia="Times New Roman"/>
                <w:sz w:val="18"/>
                <w:szCs w:val="18"/>
              </w:rPr>
              <w:t>Citation</w:t>
            </w:r>
          </w:p>
        </w:tc>
        <w:tc>
          <w:tcPr>
            <w:tcW w:w="900" w:type="dxa"/>
            <w:tcBorders>
              <w:bottom w:val="single" w:sz="8" w:space="0" w:color="auto"/>
              <w:right w:val="single" w:sz="8" w:space="0" w:color="auto"/>
            </w:tcBorders>
            <w:vAlign w:val="center"/>
          </w:tcPr>
          <w:p w14:paraId="53C1523D" w14:textId="77777777" w:rsidR="00237746" w:rsidRDefault="00237746" w:rsidP="00237746">
            <w:pPr>
              <w:jc w:val="center"/>
              <w:rPr>
                <w:sz w:val="20"/>
                <w:szCs w:val="20"/>
              </w:rPr>
            </w:pPr>
            <w:r>
              <w:rPr>
                <w:rFonts w:eastAsia="Times New Roman"/>
                <w:sz w:val="18"/>
                <w:szCs w:val="18"/>
              </w:rPr>
              <w:t>Tier of</w:t>
            </w:r>
          </w:p>
          <w:p w14:paraId="3A7CC90D" w14:textId="77777777" w:rsidR="00237746" w:rsidRDefault="00237746" w:rsidP="00237746">
            <w:pPr>
              <w:jc w:val="center"/>
              <w:rPr>
                <w:sz w:val="20"/>
                <w:szCs w:val="20"/>
              </w:rPr>
            </w:pPr>
            <w:r>
              <w:rPr>
                <w:rFonts w:eastAsia="Times New Roman"/>
                <w:sz w:val="18"/>
                <w:szCs w:val="18"/>
              </w:rPr>
              <w:t>public</w:t>
            </w:r>
          </w:p>
          <w:p w14:paraId="6039B7DC" w14:textId="77777777" w:rsidR="00237746" w:rsidRDefault="00237746" w:rsidP="00237746">
            <w:pPr>
              <w:jc w:val="center"/>
              <w:rPr>
                <w:sz w:val="20"/>
                <w:szCs w:val="20"/>
              </w:rPr>
            </w:pPr>
            <w:r>
              <w:rPr>
                <w:rFonts w:eastAsia="Times New Roman"/>
                <w:sz w:val="18"/>
                <w:szCs w:val="18"/>
              </w:rPr>
              <w:t>notice</w:t>
            </w:r>
          </w:p>
          <w:p w14:paraId="281A135A" w14:textId="214F5F58" w:rsidR="00237746" w:rsidRDefault="00237746" w:rsidP="00237746">
            <w:pPr>
              <w:jc w:val="center"/>
              <w:rPr>
                <w:sz w:val="20"/>
                <w:szCs w:val="20"/>
              </w:rPr>
            </w:pPr>
            <w:r>
              <w:rPr>
                <w:rFonts w:eastAsia="Times New Roman"/>
                <w:sz w:val="18"/>
                <w:szCs w:val="18"/>
              </w:rPr>
              <w:t>required</w:t>
            </w:r>
          </w:p>
        </w:tc>
        <w:tc>
          <w:tcPr>
            <w:tcW w:w="2500" w:type="dxa"/>
            <w:tcBorders>
              <w:bottom w:val="single" w:sz="8" w:space="0" w:color="auto"/>
              <w:right w:val="single" w:sz="8" w:space="0" w:color="auto"/>
            </w:tcBorders>
            <w:vAlign w:val="center"/>
          </w:tcPr>
          <w:p w14:paraId="281A135B" w14:textId="03DB1449" w:rsidR="00237746" w:rsidRDefault="00237746" w:rsidP="00237746">
            <w:pPr>
              <w:jc w:val="center"/>
              <w:rPr>
                <w:sz w:val="24"/>
                <w:szCs w:val="24"/>
              </w:rPr>
            </w:pPr>
            <w:r>
              <w:rPr>
                <w:rFonts w:eastAsia="Times New Roman"/>
                <w:sz w:val="18"/>
                <w:szCs w:val="18"/>
              </w:rPr>
              <w:t>Citation</w:t>
            </w:r>
          </w:p>
        </w:tc>
      </w:tr>
      <w:tr w:rsidR="00237746" w14:paraId="281A139A" w14:textId="77777777" w:rsidTr="00913CE1">
        <w:trPr>
          <w:trHeight w:val="276"/>
        </w:trPr>
        <w:tc>
          <w:tcPr>
            <w:tcW w:w="3840" w:type="dxa"/>
            <w:gridSpan w:val="2"/>
            <w:tcBorders>
              <w:top w:val="single" w:sz="8" w:space="0" w:color="auto"/>
              <w:left w:val="single" w:sz="8" w:space="0" w:color="auto"/>
              <w:bottom w:val="single" w:sz="8" w:space="0" w:color="auto"/>
              <w:right w:val="single" w:sz="8" w:space="0" w:color="auto"/>
            </w:tcBorders>
            <w:vAlign w:val="bottom"/>
          </w:tcPr>
          <w:p w14:paraId="281A1394" w14:textId="5F9A5703" w:rsidR="00237746" w:rsidRPr="00237746" w:rsidRDefault="00237746" w:rsidP="00563A54">
            <w:pPr>
              <w:pStyle w:val="ListParagraph"/>
              <w:numPr>
                <w:ilvl w:val="0"/>
                <w:numId w:val="929"/>
              </w:numPr>
              <w:tabs>
                <w:tab w:val="left" w:pos="240"/>
              </w:tabs>
              <w:rPr>
                <w:sz w:val="20"/>
                <w:szCs w:val="20"/>
              </w:rPr>
            </w:pPr>
            <w:r w:rsidRPr="00237746">
              <w:rPr>
                <w:rFonts w:eastAsia="Times New Roman"/>
                <w:sz w:val="18"/>
                <w:szCs w:val="18"/>
              </w:rPr>
              <w:t>Pentachlorophenol</w:t>
            </w:r>
          </w:p>
        </w:tc>
        <w:tc>
          <w:tcPr>
            <w:tcW w:w="980" w:type="dxa"/>
            <w:tcBorders>
              <w:top w:val="single" w:sz="8" w:space="0" w:color="auto"/>
              <w:bottom w:val="single" w:sz="8" w:space="0" w:color="auto"/>
              <w:right w:val="single" w:sz="8" w:space="0" w:color="auto"/>
            </w:tcBorders>
            <w:vAlign w:val="center"/>
          </w:tcPr>
          <w:p w14:paraId="281A1395" w14:textId="77777777" w:rsidR="00237746" w:rsidRDefault="00237746" w:rsidP="00237746">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396" w14:textId="0AEF14C8" w:rsidR="00237746" w:rsidRDefault="00237746" w:rsidP="00237746">
            <w:pPr>
              <w:jc w:val="center"/>
              <w:rPr>
                <w:sz w:val="20"/>
                <w:szCs w:val="20"/>
              </w:rPr>
            </w:pPr>
            <w:r>
              <w:rPr>
                <w:rFonts w:eastAsia="Times New Roman"/>
                <w:sz w:val="18"/>
                <w:szCs w:val="18"/>
              </w:rPr>
              <w:t>310 CMR 22.07A</w:t>
            </w:r>
          </w:p>
        </w:tc>
        <w:tc>
          <w:tcPr>
            <w:tcW w:w="900" w:type="dxa"/>
            <w:tcBorders>
              <w:top w:val="single" w:sz="8" w:space="0" w:color="auto"/>
              <w:bottom w:val="single" w:sz="8" w:space="0" w:color="auto"/>
              <w:right w:val="single" w:sz="8" w:space="0" w:color="auto"/>
            </w:tcBorders>
            <w:vAlign w:val="center"/>
          </w:tcPr>
          <w:p w14:paraId="281A1397" w14:textId="77777777" w:rsidR="00237746" w:rsidRDefault="00237746" w:rsidP="00237746">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398" w14:textId="3A0986D5" w:rsidR="00237746" w:rsidRDefault="00237746" w:rsidP="00237746">
            <w:pPr>
              <w:jc w:val="center"/>
              <w:rPr>
                <w:sz w:val="20"/>
                <w:szCs w:val="20"/>
              </w:rPr>
            </w:pPr>
            <w:r>
              <w:rPr>
                <w:rFonts w:eastAsia="Times New Roman"/>
                <w:sz w:val="18"/>
                <w:szCs w:val="18"/>
              </w:rPr>
              <w:t>310 CMR 22.07A</w:t>
            </w:r>
          </w:p>
        </w:tc>
      </w:tr>
      <w:tr w:rsidR="00237746" w14:paraId="281A13A2" w14:textId="77777777" w:rsidTr="00913CE1">
        <w:trPr>
          <w:trHeight w:val="280"/>
        </w:trPr>
        <w:tc>
          <w:tcPr>
            <w:tcW w:w="3840" w:type="dxa"/>
            <w:gridSpan w:val="2"/>
            <w:tcBorders>
              <w:left w:val="single" w:sz="8" w:space="0" w:color="auto"/>
              <w:bottom w:val="single" w:sz="8" w:space="0" w:color="auto"/>
              <w:right w:val="single" w:sz="8" w:space="0" w:color="auto"/>
            </w:tcBorders>
            <w:vAlign w:val="bottom"/>
          </w:tcPr>
          <w:p w14:paraId="281A139C" w14:textId="7A1738B8" w:rsidR="00237746" w:rsidRPr="00237746" w:rsidRDefault="00237746" w:rsidP="00563A54">
            <w:pPr>
              <w:pStyle w:val="ListParagraph"/>
              <w:numPr>
                <w:ilvl w:val="0"/>
                <w:numId w:val="929"/>
              </w:numPr>
              <w:tabs>
                <w:tab w:val="left" w:pos="240"/>
              </w:tabs>
              <w:rPr>
                <w:rFonts w:eastAsia="Times New Roman"/>
                <w:sz w:val="18"/>
                <w:szCs w:val="18"/>
              </w:rPr>
            </w:pPr>
            <w:r>
              <w:rPr>
                <w:rFonts w:eastAsia="Times New Roman"/>
                <w:sz w:val="18"/>
                <w:szCs w:val="18"/>
              </w:rPr>
              <w:t>Picloram</w:t>
            </w:r>
          </w:p>
        </w:tc>
        <w:tc>
          <w:tcPr>
            <w:tcW w:w="980" w:type="dxa"/>
            <w:tcBorders>
              <w:bottom w:val="single" w:sz="8" w:space="0" w:color="auto"/>
              <w:right w:val="single" w:sz="8" w:space="0" w:color="auto"/>
            </w:tcBorders>
            <w:vAlign w:val="center"/>
          </w:tcPr>
          <w:p w14:paraId="281A139D"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9E" w14:textId="10FCF7ED" w:rsidR="00237746" w:rsidRDefault="00237746" w:rsidP="00237746">
            <w:pPr>
              <w:jc w:val="center"/>
              <w:rPr>
                <w:sz w:val="20"/>
                <w:szCs w:val="20"/>
              </w:rPr>
            </w:pPr>
            <w:r>
              <w:rPr>
                <w:rFonts w:eastAsia="Times New Roman"/>
                <w:sz w:val="18"/>
                <w:szCs w:val="18"/>
              </w:rPr>
              <w:t>310 CMR 22.07A</w:t>
            </w:r>
          </w:p>
        </w:tc>
        <w:tc>
          <w:tcPr>
            <w:tcW w:w="900" w:type="dxa"/>
            <w:tcBorders>
              <w:bottom w:val="single" w:sz="8" w:space="0" w:color="auto"/>
              <w:right w:val="single" w:sz="8" w:space="0" w:color="auto"/>
            </w:tcBorders>
            <w:vAlign w:val="center"/>
          </w:tcPr>
          <w:p w14:paraId="281A139F"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A0" w14:textId="1A866AC1" w:rsidR="00237746" w:rsidRDefault="00237746" w:rsidP="00237746">
            <w:pPr>
              <w:jc w:val="center"/>
              <w:rPr>
                <w:sz w:val="20"/>
                <w:szCs w:val="20"/>
              </w:rPr>
            </w:pPr>
            <w:r>
              <w:rPr>
                <w:rFonts w:eastAsia="Times New Roman"/>
                <w:sz w:val="18"/>
                <w:szCs w:val="18"/>
              </w:rPr>
              <w:t>310 CMR 22.07A</w:t>
            </w:r>
          </w:p>
        </w:tc>
      </w:tr>
      <w:tr w:rsidR="00237746" w14:paraId="281A13AA" w14:textId="77777777" w:rsidTr="00913CE1">
        <w:trPr>
          <w:trHeight w:val="278"/>
        </w:trPr>
        <w:tc>
          <w:tcPr>
            <w:tcW w:w="3840" w:type="dxa"/>
            <w:gridSpan w:val="2"/>
            <w:tcBorders>
              <w:left w:val="single" w:sz="8" w:space="0" w:color="auto"/>
              <w:bottom w:val="single" w:sz="8" w:space="0" w:color="auto"/>
              <w:right w:val="single" w:sz="8" w:space="0" w:color="auto"/>
            </w:tcBorders>
            <w:vAlign w:val="bottom"/>
          </w:tcPr>
          <w:p w14:paraId="281A13A4" w14:textId="7FE48631" w:rsidR="00237746" w:rsidRPr="00237746" w:rsidRDefault="00237746" w:rsidP="00563A54">
            <w:pPr>
              <w:pStyle w:val="ListParagraph"/>
              <w:numPr>
                <w:ilvl w:val="0"/>
                <w:numId w:val="929"/>
              </w:numPr>
              <w:tabs>
                <w:tab w:val="left" w:pos="240"/>
              </w:tabs>
              <w:rPr>
                <w:rFonts w:eastAsia="Times New Roman"/>
                <w:sz w:val="18"/>
                <w:szCs w:val="18"/>
              </w:rPr>
            </w:pPr>
            <w:r>
              <w:rPr>
                <w:rFonts w:eastAsia="Times New Roman"/>
                <w:sz w:val="18"/>
                <w:szCs w:val="18"/>
              </w:rPr>
              <w:t>Polychlorinated biphenyls (PCBs)</w:t>
            </w:r>
          </w:p>
        </w:tc>
        <w:tc>
          <w:tcPr>
            <w:tcW w:w="980" w:type="dxa"/>
            <w:tcBorders>
              <w:bottom w:val="single" w:sz="8" w:space="0" w:color="auto"/>
              <w:right w:val="single" w:sz="8" w:space="0" w:color="auto"/>
            </w:tcBorders>
            <w:vAlign w:val="center"/>
          </w:tcPr>
          <w:p w14:paraId="281A13A5"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A6" w14:textId="53C00C93" w:rsidR="00237746" w:rsidRDefault="00237746" w:rsidP="00237746">
            <w:pPr>
              <w:jc w:val="center"/>
              <w:rPr>
                <w:sz w:val="20"/>
                <w:szCs w:val="20"/>
              </w:rPr>
            </w:pPr>
            <w:r>
              <w:rPr>
                <w:rFonts w:eastAsia="Times New Roman"/>
                <w:sz w:val="18"/>
                <w:szCs w:val="18"/>
              </w:rPr>
              <w:t>310 CMR 22.07A</w:t>
            </w:r>
          </w:p>
        </w:tc>
        <w:tc>
          <w:tcPr>
            <w:tcW w:w="900" w:type="dxa"/>
            <w:tcBorders>
              <w:bottom w:val="single" w:sz="8" w:space="0" w:color="auto"/>
              <w:right w:val="single" w:sz="8" w:space="0" w:color="auto"/>
            </w:tcBorders>
            <w:vAlign w:val="center"/>
          </w:tcPr>
          <w:p w14:paraId="281A13A7"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A8" w14:textId="31BA2BA1" w:rsidR="00237746" w:rsidRDefault="00237746" w:rsidP="00237746">
            <w:pPr>
              <w:jc w:val="center"/>
              <w:rPr>
                <w:sz w:val="20"/>
                <w:szCs w:val="20"/>
              </w:rPr>
            </w:pPr>
            <w:r>
              <w:rPr>
                <w:rFonts w:eastAsia="Times New Roman"/>
                <w:sz w:val="18"/>
                <w:szCs w:val="18"/>
              </w:rPr>
              <w:t>310 CMR 22.07A</w:t>
            </w:r>
          </w:p>
        </w:tc>
      </w:tr>
      <w:tr w:rsidR="00237746" w14:paraId="281A13B2" w14:textId="77777777" w:rsidTr="00913CE1">
        <w:trPr>
          <w:trHeight w:val="280"/>
        </w:trPr>
        <w:tc>
          <w:tcPr>
            <w:tcW w:w="3840" w:type="dxa"/>
            <w:gridSpan w:val="2"/>
            <w:tcBorders>
              <w:left w:val="single" w:sz="8" w:space="0" w:color="auto"/>
              <w:bottom w:val="single" w:sz="8" w:space="0" w:color="auto"/>
              <w:right w:val="single" w:sz="8" w:space="0" w:color="auto"/>
            </w:tcBorders>
            <w:vAlign w:val="bottom"/>
          </w:tcPr>
          <w:p w14:paraId="281A13AC" w14:textId="7FE0AC8C" w:rsidR="00237746" w:rsidRPr="00237746" w:rsidRDefault="00237746" w:rsidP="00563A54">
            <w:pPr>
              <w:pStyle w:val="ListParagraph"/>
              <w:numPr>
                <w:ilvl w:val="0"/>
                <w:numId w:val="929"/>
              </w:numPr>
              <w:tabs>
                <w:tab w:val="left" w:pos="240"/>
              </w:tabs>
              <w:rPr>
                <w:rFonts w:eastAsia="Times New Roman"/>
                <w:sz w:val="18"/>
                <w:szCs w:val="18"/>
              </w:rPr>
            </w:pPr>
            <w:r>
              <w:rPr>
                <w:rFonts w:eastAsia="Times New Roman"/>
                <w:sz w:val="18"/>
                <w:szCs w:val="18"/>
              </w:rPr>
              <w:t>Simazine</w:t>
            </w:r>
          </w:p>
        </w:tc>
        <w:tc>
          <w:tcPr>
            <w:tcW w:w="980" w:type="dxa"/>
            <w:tcBorders>
              <w:bottom w:val="single" w:sz="8" w:space="0" w:color="auto"/>
              <w:right w:val="single" w:sz="8" w:space="0" w:color="auto"/>
            </w:tcBorders>
            <w:vAlign w:val="center"/>
          </w:tcPr>
          <w:p w14:paraId="281A13AD"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AE" w14:textId="09AF3634" w:rsidR="00237746" w:rsidRDefault="00237746" w:rsidP="00237746">
            <w:pPr>
              <w:jc w:val="center"/>
              <w:rPr>
                <w:sz w:val="20"/>
                <w:szCs w:val="20"/>
              </w:rPr>
            </w:pPr>
            <w:r>
              <w:rPr>
                <w:rFonts w:eastAsia="Times New Roman"/>
                <w:sz w:val="18"/>
                <w:szCs w:val="18"/>
              </w:rPr>
              <w:t>310 CMR 22.07A</w:t>
            </w:r>
          </w:p>
        </w:tc>
        <w:tc>
          <w:tcPr>
            <w:tcW w:w="900" w:type="dxa"/>
            <w:tcBorders>
              <w:bottom w:val="single" w:sz="8" w:space="0" w:color="auto"/>
              <w:right w:val="single" w:sz="8" w:space="0" w:color="auto"/>
            </w:tcBorders>
            <w:vAlign w:val="center"/>
          </w:tcPr>
          <w:p w14:paraId="281A13AF"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B0" w14:textId="2880F743" w:rsidR="00237746" w:rsidRDefault="00237746" w:rsidP="00237746">
            <w:pPr>
              <w:jc w:val="center"/>
              <w:rPr>
                <w:sz w:val="20"/>
                <w:szCs w:val="20"/>
              </w:rPr>
            </w:pPr>
            <w:r>
              <w:rPr>
                <w:rFonts w:eastAsia="Times New Roman"/>
                <w:sz w:val="18"/>
                <w:szCs w:val="18"/>
              </w:rPr>
              <w:t>310 CMR 22.07A</w:t>
            </w:r>
          </w:p>
        </w:tc>
      </w:tr>
      <w:tr w:rsidR="00237746" w14:paraId="281A13BA" w14:textId="77777777" w:rsidTr="00913CE1">
        <w:trPr>
          <w:trHeight w:val="276"/>
        </w:trPr>
        <w:tc>
          <w:tcPr>
            <w:tcW w:w="3840" w:type="dxa"/>
            <w:gridSpan w:val="2"/>
            <w:tcBorders>
              <w:left w:val="single" w:sz="8" w:space="0" w:color="auto"/>
              <w:bottom w:val="single" w:sz="8" w:space="0" w:color="auto"/>
              <w:right w:val="single" w:sz="8" w:space="0" w:color="auto"/>
            </w:tcBorders>
            <w:vAlign w:val="bottom"/>
          </w:tcPr>
          <w:p w14:paraId="281A13B4" w14:textId="1A419DC2" w:rsidR="00237746" w:rsidRPr="00237746" w:rsidRDefault="00237746" w:rsidP="00563A54">
            <w:pPr>
              <w:pStyle w:val="ListParagraph"/>
              <w:numPr>
                <w:ilvl w:val="0"/>
                <w:numId w:val="929"/>
              </w:numPr>
              <w:tabs>
                <w:tab w:val="left" w:pos="240"/>
              </w:tabs>
              <w:rPr>
                <w:rFonts w:eastAsia="Times New Roman"/>
                <w:sz w:val="18"/>
                <w:szCs w:val="18"/>
              </w:rPr>
            </w:pPr>
            <w:r>
              <w:rPr>
                <w:rFonts w:eastAsia="Times New Roman"/>
                <w:sz w:val="18"/>
                <w:szCs w:val="18"/>
              </w:rPr>
              <w:t>Toxaphene</w:t>
            </w:r>
          </w:p>
        </w:tc>
        <w:tc>
          <w:tcPr>
            <w:tcW w:w="980" w:type="dxa"/>
            <w:tcBorders>
              <w:bottom w:val="single" w:sz="8" w:space="0" w:color="auto"/>
              <w:right w:val="single" w:sz="8" w:space="0" w:color="auto"/>
            </w:tcBorders>
            <w:vAlign w:val="center"/>
          </w:tcPr>
          <w:p w14:paraId="281A13B5"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B6" w14:textId="21BF115B" w:rsidR="00237746" w:rsidRDefault="00237746" w:rsidP="00237746">
            <w:pPr>
              <w:jc w:val="center"/>
              <w:rPr>
                <w:sz w:val="20"/>
                <w:szCs w:val="20"/>
              </w:rPr>
            </w:pPr>
            <w:r>
              <w:rPr>
                <w:rFonts w:eastAsia="Times New Roman"/>
                <w:sz w:val="18"/>
                <w:szCs w:val="18"/>
              </w:rPr>
              <w:t>310 CMR 22.07A</w:t>
            </w:r>
          </w:p>
        </w:tc>
        <w:tc>
          <w:tcPr>
            <w:tcW w:w="900" w:type="dxa"/>
            <w:tcBorders>
              <w:bottom w:val="single" w:sz="8" w:space="0" w:color="auto"/>
              <w:right w:val="single" w:sz="8" w:space="0" w:color="auto"/>
            </w:tcBorders>
            <w:vAlign w:val="center"/>
          </w:tcPr>
          <w:p w14:paraId="281A13B7"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B8" w14:textId="769A94B0" w:rsidR="00237746" w:rsidRDefault="00237746" w:rsidP="00237746">
            <w:pPr>
              <w:jc w:val="center"/>
              <w:rPr>
                <w:sz w:val="20"/>
                <w:szCs w:val="20"/>
              </w:rPr>
            </w:pPr>
            <w:r>
              <w:rPr>
                <w:rFonts w:eastAsia="Times New Roman"/>
                <w:sz w:val="18"/>
                <w:szCs w:val="18"/>
              </w:rPr>
              <w:t>310 CMR 22.07A</w:t>
            </w:r>
          </w:p>
        </w:tc>
      </w:tr>
      <w:tr w:rsidR="00237746" w14:paraId="281A13C1" w14:textId="77777777" w:rsidTr="00913CE1">
        <w:trPr>
          <w:trHeight w:val="281"/>
        </w:trPr>
        <w:tc>
          <w:tcPr>
            <w:tcW w:w="10560" w:type="dxa"/>
            <w:gridSpan w:val="6"/>
            <w:tcBorders>
              <w:left w:val="single" w:sz="8" w:space="0" w:color="auto"/>
              <w:bottom w:val="single" w:sz="8" w:space="0" w:color="auto"/>
              <w:right w:val="single" w:sz="8" w:space="0" w:color="auto"/>
            </w:tcBorders>
            <w:vAlign w:val="center"/>
          </w:tcPr>
          <w:p w14:paraId="281A13BF" w14:textId="40E0BCDF" w:rsidR="00237746" w:rsidRDefault="00237746" w:rsidP="00B611F4">
            <w:pPr>
              <w:ind w:left="86"/>
              <w:rPr>
                <w:sz w:val="24"/>
                <w:szCs w:val="24"/>
              </w:rPr>
            </w:pPr>
            <w:r>
              <w:rPr>
                <w:rFonts w:eastAsia="Times New Roman"/>
                <w:sz w:val="18"/>
                <w:szCs w:val="18"/>
              </w:rPr>
              <w:t xml:space="preserve">E.  </w:t>
            </w:r>
            <w:r>
              <w:rPr>
                <w:rFonts w:eastAsia="Times New Roman"/>
                <w:b/>
                <w:bCs/>
                <w:sz w:val="18"/>
                <w:szCs w:val="18"/>
              </w:rPr>
              <w:t>Volatile Organic Chemicals (VOCs)</w:t>
            </w:r>
          </w:p>
        </w:tc>
      </w:tr>
      <w:tr w:rsidR="00237746" w14:paraId="281A13C9"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3C3" w14:textId="17C2F3D9" w:rsidR="00237746" w:rsidRDefault="00237746" w:rsidP="00563A54">
            <w:pPr>
              <w:pStyle w:val="ListParagraph"/>
              <w:numPr>
                <w:ilvl w:val="0"/>
                <w:numId w:val="930"/>
              </w:numPr>
              <w:tabs>
                <w:tab w:val="left" w:pos="240"/>
              </w:tabs>
              <w:rPr>
                <w:sz w:val="20"/>
                <w:szCs w:val="20"/>
              </w:rPr>
            </w:pPr>
            <w:r>
              <w:rPr>
                <w:rFonts w:eastAsia="Times New Roman"/>
                <w:sz w:val="18"/>
                <w:szCs w:val="18"/>
              </w:rPr>
              <w:t>Benzene</w:t>
            </w:r>
          </w:p>
        </w:tc>
        <w:tc>
          <w:tcPr>
            <w:tcW w:w="980" w:type="dxa"/>
            <w:tcBorders>
              <w:bottom w:val="single" w:sz="8" w:space="0" w:color="auto"/>
              <w:right w:val="single" w:sz="8" w:space="0" w:color="auto"/>
            </w:tcBorders>
            <w:vAlign w:val="center"/>
          </w:tcPr>
          <w:p w14:paraId="281A13C4"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C5" w14:textId="0F01EB35"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3C6"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C7" w14:textId="5D54DB0C" w:rsidR="00237746" w:rsidRDefault="00237746" w:rsidP="00237746">
            <w:pPr>
              <w:jc w:val="center"/>
              <w:rPr>
                <w:sz w:val="20"/>
                <w:szCs w:val="20"/>
              </w:rPr>
            </w:pPr>
            <w:r>
              <w:rPr>
                <w:rFonts w:eastAsia="Times New Roman"/>
                <w:sz w:val="18"/>
                <w:szCs w:val="18"/>
              </w:rPr>
              <w:t>310 CMR 22.07B</w:t>
            </w:r>
          </w:p>
        </w:tc>
      </w:tr>
      <w:tr w:rsidR="00237746" w14:paraId="281A13D1"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3CB" w14:textId="2E9855C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Carbon tetrachloride</w:t>
            </w:r>
          </w:p>
        </w:tc>
        <w:tc>
          <w:tcPr>
            <w:tcW w:w="980" w:type="dxa"/>
            <w:tcBorders>
              <w:bottom w:val="single" w:sz="8" w:space="0" w:color="auto"/>
              <w:right w:val="single" w:sz="8" w:space="0" w:color="auto"/>
            </w:tcBorders>
            <w:vAlign w:val="center"/>
          </w:tcPr>
          <w:p w14:paraId="281A13CC"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CD" w14:textId="57A8FFFB"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3CE"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CF" w14:textId="1B645053" w:rsidR="00237746" w:rsidRDefault="00237746" w:rsidP="00237746">
            <w:pPr>
              <w:jc w:val="center"/>
              <w:rPr>
                <w:sz w:val="20"/>
                <w:szCs w:val="20"/>
              </w:rPr>
            </w:pPr>
            <w:r>
              <w:rPr>
                <w:rFonts w:eastAsia="Times New Roman"/>
                <w:sz w:val="18"/>
                <w:szCs w:val="18"/>
              </w:rPr>
              <w:t>310 CMR 22.07B</w:t>
            </w:r>
          </w:p>
        </w:tc>
      </w:tr>
      <w:tr w:rsidR="00237746" w14:paraId="281A13D9"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3D3" w14:textId="4AF62D42"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Chlorobenzene (monochlorobenzene)</w:t>
            </w:r>
          </w:p>
        </w:tc>
        <w:tc>
          <w:tcPr>
            <w:tcW w:w="980" w:type="dxa"/>
            <w:tcBorders>
              <w:bottom w:val="single" w:sz="8" w:space="0" w:color="auto"/>
              <w:right w:val="single" w:sz="8" w:space="0" w:color="auto"/>
            </w:tcBorders>
            <w:vAlign w:val="center"/>
          </w:tcPr>
          <w:p w14:paraId="281A13D4"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D5" w14:textId="09713513"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3D6"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D7" w14:textId="726A4861" w:rsidR="00237746" w:rsidRDefault="00237746" w:rsidP="00237746">
            <w:pPr>
              <w:jc w:val="center"/>
              <w:rPr>
                <w:sz w:val="20"/>
                <w:szCs w:val="20"/>
              </w:rPr>
            </w:pPr>
            <w:r>
              <w:rPr>
                <w:rFonts w:eastAsia="Times New Roman"/>
                <w:sz w:val="18"/>
                <w:szCs w:val="18"/>
              </w:rPr>
              <w:t>310 CMR 22.07B</w:t>
            </w:r>
          </w:p>
        </w:tc>
      </w:tr>
      <w:tr w:rsidR="00237746" w14:paraId="281A13E0"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3DA" w14:textId="768DED13"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o-Dichlorobenzene</w:t>
            </w:r>
          </w:p>
        </w:tc>
        <w:tc>
          <w:tcPr>
            <w:tcW w:w="980" w:type="dxa"/>
            <w:tcBorders>
              <w:bottom w:val="single" w:sz="8" w:space="0" w:color="auto"/>
              <w:right w:val="single" w:sz="8" w:space="0" w:color="auto"/>
            </w:tcBorders>
            <w:vAlign w:val="center"/>
          </w:tcPr>
          <w:p w14:paraId="281A13DB"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DC" w14:textId="570DDB2A"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3DD"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DE" w14:textId="7267B556" w:rsidR="00237746" w:rsidRDefault="00237746" w:rsidP="00237746">
            <w:pPr>
              <w:jc w:val="center"/>
              <w:rPr>
                <w:sz w:val="20"/>
                <w:szCs w:val="20"/>
              </w:rPr>
            </w:pPr>
            <w:r>
              <w:rPr>
                <w:rFonts w:eastAsia="Times New Roman"/>
                <w:sz w:val="18"/>
                <w:szCs w:val="18"/>
              </w:rPr>
              <w:t>310 CMR 22.07B</w:t>
            </w:r>
          </w:p>
        </w:tc>
      </w:tr>
      <w:tr w:rsidR="00237746" w14:paraId="281A13E7"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3E1" w14:textId="26709832"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p-Dichlorobenzene</w:t>
            </w:r>
          </w:p>
        </w:tc>
        <w:tc>
          <w:tcPr>
            <w:tcW w:w="980" w:type="dxa"/>
            <w:tcBorders>
              <w:bottom w:val="single" w:sz="8" w:space="0" w:color="auto"/>
              <w:right w:val="single" w:sz="8" w:space="0" w:color="auto"/>
            </w:tcBorders>
            <w:vAlign w:val="center"/>
          </w:tcPr>
          <w:p w14:paraId="281A13E2"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E3" w14:textId="5A646A97"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3E4"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E5" w14:textId="0FA48713" w:rsidR="00237746" w:rsidRDefault="00237746" w:rsidP="00237746">
            <w:pPr>
              <w:jc w:val="center"/>
              <w:rPr>
                <w:sz w:val="20"/>
                <w:szCs w:val="20"/>
              </w:rPr>
            </w:pPr>
            <w:r>
              <w:rPr>
                <w:rFonts w:eastAsia="Times New Roman"/>
                <w:sz w:val="18"/>
                <w:szCs w:val="18"/>
              </w:rPr>
              <w:t>310 CMR 22.07B</w:t>
            </w:r>
          </w:p>
        </w:tc>
      </w:tr>
      <w:tr w:rsidR="00237746" w14:paraId="281A13EF"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3E9" w14:textId="5EA9A325"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1,2-Dichloroethane</w:t>
            </w:r>
          </w:p>
        </w:tc>
        <w:tc>
          <w:tcPr>
            <w:tcW w:w="980" w:type="dxa"/>
            <w:tcBorders>
              <w:bottom w:val="single" w:sz="8" w:space="0" w:color="auto"/>
              <w:right w:val="single" w:sz="8" w:space="0" w:color="auto"/>
            </w:tcBorders>
            <w:vAlign w:val="center"/>
          </w:tcPr>
          <w:p w14:paraId="281A13EA"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EB" w14:textId="595A0349"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3EC"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ED" w14:textId="35DEADDC" w:rsidR="00237746" w:rsidRDefault="00237746" w:rsidP="00237746">
            <w:pPr>
              <w:jc w:val="center"/>
              <w:rPr>
                <w:sz w:val="20"/>
                <w:szCs w:val="20"/>
              </w:rPr>
            </w:pPr>
            <w:r>
              <w:rPr>
                <w:rFonts w:eastAsia="Times New Roman"/>
                <w:sz w:val="18"/>
                <w:szCs w:val="18"/>
              </w:rPr>
              <w:t>310 CMR 22.07B</w:t>
            </w:r>
          </w:p>
        </w:tc>
      </w:tr>
      <w:tr w:rsidR="00237746" w14:paraId="281A13F7"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3F1" w14:textId="044237F5"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1,1-Dichloroethylene</w:t>
            </w:r>
          </w:p>
        </w:tc>
        <w:tc>
          <w:tcPr>
            <w:tcW w:w="980" w:type="dxa"/>
            <w:tcBorders>
              <w:bottom w:val="single" w:sz="8" w:space="0" w:color="auto"/>
              <w:right w:val="single" w:sz="8" w:space="0" w:color="auto"/>
            </w:tcBorders>
            <w:vAlign w:val="center"/>
          </w:tcPr>
          <w:p w14:paraId="281A13F2"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F3" w14:textId="6D3CFEF4"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3F4"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F5" w14:textId="3AC08F1D" w:rsidR="00237746" w:rsidRDefault="00237746" w:rsidP="00237746">
            <w:pPr>
              <w:jc w:val="center"/>
              <w:rPr>
                <w:sz w:val="20"/>
                <w:szCs w:val="20"/>
              </w:rPr>
            </w:pPr>
            <w:r>
              <w:rPr>
                <w:rFonts w:eastAsia="Times New Roman"/>
                <w:sz w:val="18"/>
                <w:szCs w:val="18"/>
              </w:rPr>
              <w:t>310 CMR 22.07B</w:t>
            </w:r>
          </w:p>
        </w:tc>
      </w:tr>
      <w:tr w:rsidR="00237746" w14:paraId="281A13FE"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3F8" w14:textId="2B2E29B1"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cis-1,2-Dichloroethylene</w:t>
            </w:r>
          </w:p>
        </w:tc>
        <w:tc>
          <w:tcPr>
            <w:tcW w:w="980" w:type="dxa"/>
            <w:tcBorders>
              <w:bottom w:val="single" w:sz="8" w:space="0" w:color="auto"/>
              <w:right w:val="single" w:sz="8" w:space="0" w:color="auto"/>
            </w:tcBorders>
            <w:vAlign w:val="center"/>
          </w:tcPr>
          <w:p w14:paraId="281A13F9"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3FA" w14:textId="580DC502"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3FB"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3FC" w14:textId="083F1C3D" w:rsidR="00237746" w:rsidRDefault="00237746" w:rsidP="00237746">
            <w:pPr>
              <w:jc w:val="center"/>
              <w:rPr>
                <w:sz w:val="20"/>
                <w:szCs w:val="20"/>
              </w:rPr>
            </w:pPr>
            <w:r>
              <w:rPr>
                <w:rFonts w:eastAsia="Times New Roman"/>
                <w:sz w:val="18"/>
                <w:szCs w:val="18"/>
              </w:rPr>
              <w:t>310 CMR 22.07B</w:t>
            </w:r>
          </w:p>
        </w:tc>
      </w:tr>
      <w:tr w:rsidR="00237746" w14:paraId="281A1405"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3FF" w14:textId="7BC55FC3"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trans-1,2-Dichloroethylene</w:t>
            </w:r>
          </w:p>
        </w:tc>
        <w:tc>
          <w:tcPr>
            <w:tcW w:w="980" w:type="dxa"/>
            <w:tcBorders>
              <w:bottom w:val="single" w:sz="8" w:space="0" w:color="auto"/>
              <w:right w:val="single" w:sz="8" w:space="0" w:color="auto"/>
            </w:tcBorders>
            <w:vAlign w:val="center"/>
          </w:tcPr>
          <w:p w14:paraId="281A1400"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01" w14:textId="22511EC3"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02"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03" w14:textId="782AF552" w:rsidR="00237746" w:rsidRDefault="00237746" w:rsidP="00237746">
            <w:pPr>
              <w:jc w:val="center"/>
              <w:rPr>
                <w:sz w:val="20"/>
                <w:szCs w:val="20"/>
              </w:rPr>
            </w:pPr>
            <w:r>
              <w:rPr>
                <w:rFonts w:eastAsia="Times New Roman"/>
                <w:sz w:val="18"/>
                <w:szCs w:val="18"/>
              </w:rPr>
              <w:t>310 CMR 22.07B</w:t>
            </w:r>
          </w:p>
        </w:tc>
      </w:tr>
      <w:tr w:rsidR="00237746" w14:paraId="281A140D"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407" w14:textId="141704E8"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Dichloromethane</w:t>
            </w:r>
          </w:p>
        </w:tc>
        <w:tc>
          <w:tcPr>
            <w:tcW w:w="980" w:type="dxa"/>
            <w:tcBorders>
              <w:bottom w:val="single" w:sz="8" w:space="0" w:color="auto"/>
              <w:right w:val="single" w:sz="8" w:space="0" w:color="auto"/>
            </w:tcBorders>
            <w:vAlign w:val="center"/>
          </w:tcPr>
          <w:p w14:paraId="281A1408"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09" w14:textId="5F0EBB92"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0A"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0B" w14:textId="23124E97" w:rsidR="00237746" w:rsidRDefault="00237746" w:rsidP="00237746">
            <w:pPr>
              <w:jc w:val="center"/>
              <w:rPr>
                <w:sz w:val="20"/>
                <w:szCs w:val="20"/>
              </w:rPr>
            </w:pPr>
            <w:r>
              <w:rPr>
                <w:rFonts w:eastAsia="Times New Roman"/>
                <w:sz w:val="18"/>
                <w:szCs w:val="18"/>
              </w:rPr>
              <w:t>310 CMR 22.07B</w:t>
            </w:r>
          </w:p>
        </w:tc>
      </w:tr>
      <w:tr w:rsidR="00237746" w14:paraId="281A1415"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40F" w14:textId="1F2F7C87"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1,2-Dichloropropane</w:t>
            </w:r>
          </w:p>
        </w:tc>
        <w:tc>
          <w:tcPr>
            <w:tcW w:w="980" w:type="dxa"/>
            <w:tcBorders>
              <w:bottom w:val="single" w:sz="8" w:space="0" w:color="auto"/>
              <w:right w:val="single" w:sz="8" w:space="0" w:color="auto"/>
            </w:tcBorders>
            <w:vAlign w:val="center"/>
          </w:tcPr>
          <w:p w14:paraId="281A1410"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11" w14:textId="533EB50B"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12"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13" w14:textId="105DBDD1" w:rsidR="00237746" w:rsidRDefault="00237746" w:rsidP="00237746">
            <w:pPr>
              <w:jc w:val="center"/>
              <w:rPr>
                <w:sz w:val="20"/>
                <w:szCs w:val="20"/>
              </w:rPr>
            </w:pPr>
            <w:r>
              <w:rPr>
                <w:rFonts w:eastAsia="Times New Roman"/>
                <w:sz w:val="18"/>
                <w:szCs w:val="18"/>
              </w:rPr>
              <w:t>310 CMR 22.07B</w:t>
            </w:r>
          </w:p>
        </w:tc>
      </w:tr>
      <w:tr w:rsidR="00237746" w14:paraId="281A141D"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417" w14:textId="3F802CAB"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Ethylbenzene</w:t>
            </w:r>
          </w:p>
        </w:tc>
        <w:tc>
          <w:tcPr>
            <w:tcW w:w="980" w:type="dxa"/>
            <w:tcBorders>
              <w:bottom w:val="single" w:sz="8" w:space="0" w:color="auto"/>
              <w:right w:val="single" w:sz="8" w:space="0" w:color="auto"/>
            </w:tcBorders>
            <w:vAlign w:val="center"/>
          </w:tcPr>
          <w:p w14:paraId="281A1418"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19" w14:textId="27B43B24"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1A"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1B" w14:textId="7747AEEC" w:rsidR="00237746" w:rsidRDefault="00237746" w:rsidP="00237746">
            <w:pPr>
              <w:jc w:val="center"/>
              <w:rPr>
                <w:sz w:val="20"/>
                <w:szCs w:val="20"/>
              </w:rPr>
            </w:pPr>
            <w:r>
              <w:rPr>
                <w:rFonts w:eastAsia="Times New Roman"/>
                <w:sz w:val="18"/>
                <w:szCs w:val="18"/>
              </w:rPr>
              <w:t>310 CMR 22.07B</w:t>
            </w:r>
          </w:p>
        </w:tc>
      </w:tr>
      <w:tr w:rsidR="00237746" w14:paraId="281A1425"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41F" w14:textId="5C5ECFE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Styrene</w:t>
            </w:r>
          </w:p>
        </w:tc>
        <w:tc>
          <w:tcPr>
            <w:tcW w:w="980" w:type="dxa"/>
            <w:tcBorders>
              <w:bottom w:val="single" w:sz="8" w:space="0" w:color="auto"/>
              <w:right w:val="single" w:sz="8" w:space="0" w:color="auto"/>
            </w:tcBorders>
            <w:vAlign w:val="center"/>
          </w:tcPr>
          <w:p w14:paraId="281A1420"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21" w14:textId="484DAD3E"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22"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23" w14:textId="140E9630" w:rsidR="00237746" w:rsidRDefault="00237746" w:rsidP="00237746">
            <w:pPr>
              <w:jc w:val="center"/>
              <w:rPr>
                <w:sz w:val="20"/>
                <w:szCs w:val="20"/>
              </w:rPr>
            </w:pPr>
            <w:r>
              <w:rPr>
                <w:rFonts w:eastAsia="Times New Roman"/>
                <w:sz w:val="18"/>
                <w:szCs w:val="18"/>
              </w:rPr>
              <w:t>310 CMR 22.07B</w:t>
            </w:r>
          </w:p>
        </w:tc>
      </w:tr>
      <w:tr w:rsidR="00237746" w14:paraId="281A142D"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427" w14:textId="6A396C7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Tetrachloroethylene</w:t>
            </w:r>
          </w:p>
        </w:tc>
        <w:tc>
          <w:tcPr>
            <w:tcW w:w="980" w:type="dxa"/>
            <w:tcBorders>
              <w:bottom w:val="single" w:sz="8" w:space="0" w:color="auto"/>
              <w:right w:val="single" w:sz="8" w:space="0" w:color="auto"/>
            </w:tcBorders>
            <w:vAlign w:val="center"/>
          </w:tcPr>
          <w:p w14:paraId="281A1428"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29" w14:textId="66FC0334"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2A"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2B" w14:textId="0EA46C0F" w:rsidR="00237746" w:rsidRDefault="00237746" w:rsidP="00237746">
            <w:pPr>
              <w:jc w:val="center"/>
              <w:rPr>
                <w:sz w:val="20"/>
                <w:szCs w:val="20"/>
              </w:rPr>
            </w:pPr>
            <w:r>
              <w:rPr>
                <w:rFonts w:eastAsia="Times New Roman"/>
                <w:sz w:val="18"/>
                <w:szCs w:val="18"/>
              </w:rPr>
              <w:t>310 CMR 22.07B</w:t>
            </w:r>
          </w:p>
        </w:tc>
      </w:tr>
      <w:tr w:rsidR="00237746" w14:paraId="281A1435"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42F" w14:textId="3E81873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Toluene</w:t>
            </w:r>
          </w:p>
        </w:tc>
        <w:tc>
          <w:tcPr>
            <w:tcW w:w="980" w:type="dxa"/>
            <w:tcBorders>
              <w:bottom w:val="single" w:sz="8" w:space="0" w:color="auto"/>
              <w:right w:val="single" w:sz="8" w:space="0" w:color="auto"/>
            </w:tcBorders>
            <w:vAlign w:val="center"/>
          </w:tcPr>
          <w:p w14:paraId="281A1430"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31" w14:textId="6D13E05E"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32"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33" w14:textId="54D22CE7" w:rsidR="00237746" w:rsidRDefault="00237746" w:rsidP="00237746">
            <w:pPr>
              <w:jc w:val="center"/>
              <w:rPr>
                <w:sz w:val="20"/>
                <w:szCs w:val="20"/>
              </w:rPr>
            </w:pPr>
            <w:r>
              <w:rPr>
                <w:rFonts w:eastAsia="Times New Roman"/>
                <w:sz w:val="18"/>
                <w:szCs w:val="18"/>
              </w:rPr>
              <w:t>310 CMR 22.07B</w:t>
            </w:r>
          </w:p>
        </w:tc>
      </w:tr>
      <w:tr w:rsidR="00237746" w14:paraId="281A143D"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437" w14:textId="3E88A296"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1,2,4-Trichlorobenzene</w:t>
            </w:r>
          </w:p>
        </w:tc>
        <w:tc>
          <w:tcPr>
            <w:tcW w:w="980" w:type="dxa"/>
            <w:tcBorders>
              <w:bottom w:val="single" w:sz="8" w:space="0" w:color="auto"/>
              <w:right w:val="single" w:sz="8" w:space="0" w:color="auto"/>
            </w:tcBorders>
            <w:vAlign w:val="center"/>
          </w:tcPr>
          <w:p w14:paraId="281A1438"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39" w14:textId="2E93675E"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3A"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3B" w14:textId="1E116F44" w:rsidR="00237746" w:rsidRDefault="00237746" w:rsidP="00237746">
            <w:pPr>
              <w:jc w:val="center"/>
              <w:rPr>
                <w:sz w:val="20"/>
                <w:szCs w:val="20"/>
              </w:rPr>
            </w:pPr>
            <w:r>
              <w:rPr>
                <w:rFonts w:eastAsia="Times New Roman"/>
                <w:sz w:val="18"/>
                <w:szCs w:val="18"/>
              </w:rPr>
              <w:t>310 CMR 22.07B</w:t>
            </w:r>
          </w:p>
        </w:tc>
      </w:tr>
      <w:tr w:rsidR="00237746" w14:paraId="281A1445"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43F" w14:textId="6D2E5548"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1,1,1-Trichloroethane</w:t>
            </w:r>
          </w:p>
        </w:tc>
        <w:tc>
          <w:tcPr>
            <w:tcW w:w="980" w:type="dxa"/>
            <w:tcBorders>
              <w:bottom w:val="single" w:sz="8" w:space="0" w:color="auto"/>
              <w:right w:val="single" w:sz="8" w:space="0" w:color="auto"/>
            </w:tcBorders>
            <w:vAlign w:val="center"/>
          </w:tcPr>
          <w:p w14:paraId="281A1440"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41" w14:textId="67F1464E"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42"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43" w14:textId="1DE632E9" w:rsidR="00237746" w:rsidRDefault="00237746" w:rsidP="00237746">
            <w:pPr>
              <w:jc w:val="center"/>
              <w:rPr>
                <w:sz w:val="20"/>
                <w:szCs w:val="20"/>
              </w:rPr>
            </w:pPr>
            <w:r>
              <w:rPr>
                <w:rFonts w:eastAsia="Times New Roman"/>
                <w:sz w:val="18"/>
                <w:szCs w:val="18"/>
              </w:rPr>
              <w:t>310 CMR 22.07B</w:t>
            </w:r>
          </w:p>
        </w:tc>
      </w:tr>
      <w:tr w:rsidR="00237746" w14:paraId="281A144D"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447" w14:textId="797F94A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1,1,2-Trichloroethane</w:t>
            </w:r>
          </w:p>
        </w:tc>
        <w:tc>
          <w:tcPr>
            <w:tcW w:w="980" w:type="dxa"/>
            <w:tcBorders>
              <w:bottom w:val="single" w:sz="8" w:space="0" w:color="auto"/>
              <w:right w:val="single" w:sz="8" w:space="0" w:color="auto"/>
            </w:tcBorders>
            <w:vAlign w:val="center"/>
          </w:tcPr>
          <w:p w14:paraId="281A1448"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49" w14:textId="2E231147"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4A"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4B" w14:textId="233BD8C2" w:rsidR="00237746" w:rsidRDefault="00237746" w:rsidP="00237746">
            <w:pPr>
              <w:jc w:val="center"/>
              <w:rPr>
                <w:sz w:val="20"/>
                <w:szCs w:val="20"/>
              </w:rPr>
            </w:pPr>
            <w:r>
              <w:rPr>
                <w:rFonts w:eastAsia="Times New Roman"/>
                <w:sz w:val="18"/>
                <w:szCs w:val="18"/>
              </w:rPr>
              <w:t>310 CMR 22.07B</w:t>
            </w:r>
          </w:p>
        </w:tc>
      </w:tr>
      <w:tr w:rsidR="00237746" w14:paraId="281A1455" w14:textId="77777777" w:rsidTr="00913CE1">
        <w:trPr>
          <w:trHeight w:val="278"/>
        </w:trPr>
        <w:tc>
          <w:tcPr>
            <w:tcW w:w="3840" w:type="dxa"/>
            <w:gridSpan w:val="2"/>
            <w:tcBorders>
              <w:left w:val="single" w:sz="8" w:space="0" w:color="auto"/>
              <w:bottom w:val="single" w:sz="8" w:space="0" w:color="auto"/>
              <w:right w:val="single" w:sz="8" w:space="0" w:color="auto"/>
            </w:tcBorders>
            <w:vAlign w:val="center"/>
          </w:tcPr>
          <w:p w14:paraId="281A144F" w14:textId="6002D8BF"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Trichloroethylene</w:t>
            </w:r>
          </w:p>
        </w:tc>
        <w:tc>
          <w:tcPr>
            <w:tcW w:w="980" w:type="dxa"/>
            <w:tcBorders>
              <w:bottom w:val="single" w:sz="8" w:space="0" w:color="auto"/>
              <w:right w:val="single" w:sz="8" w:space="0" w:color="auto"/>
            </w:tcBorders>
            <w:vAlign w:val="center"/>
          </w:tcPr>
          <w:p w14:paraId="281A1450"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51" w14:textId="125A9CB3"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52"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53" w14:textId="49F74239" w:rsidR="00237746" w:rsidRDefault="00237746" w:rsidP="00237746">
            <w:pPr>
              <w:jc w:val="center"/>
              <w:rPr>
                <w:sz w:val="20"/>
                <w:szCs w:val="20"/>
              </w:rPr>
            </w:pPr>
            <w:r>
              <w:rPr>
                <w:rFonts w:eastAsia="Times New Roman"/>
                <w:sz w:val="18"/>
                <w:szCs w:val="18"/>
              </w:rPr>
              <w:t>310 CMR 22.07B</w:t>
            </w:r>
          </w:p>
        </w:tc>
      </w:tr>
      <w:tr w:rsidR="00237746" w14:paraId="281A145D"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457" w14:textId="245884C0"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Vinyl chloride</w:t>
            </w:r>
          </w:p>
        </w:tc>
        <w:tc>
          <w:tcPr>
            <w:tcW w:w="980" w:type="dxa"/>
            <w:tcBorders>
              <w:bottom w:val="single" w:sz="8" w:space="0" w:color="auto"/>
              <w:right w:val="single" w:sz="8" w:space="0" w:color="auto"/>
            </w:tcBorders>
            <w:vAlign w:val="center"/>
          </w:tcPr>
          <w:p w14:paraId="281A1458" w14:textId="77777777" w:rsidR="00237746" w:rsidRDefault="00237746" w:rsidP="0023774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59" w14:textId="393A3294" w:rsidR="00237746" w:rsidRDefault="00237746" w:rsidP="00237746">
            <w:pPr>
              <w:jc w:val="center"/>
              <w:rPr>
                <w:sz w:val="20"/>
                <w:szCs w:val="20"/>
              </w:rPr>
            </w:pPr>
            <w:r>
              <w:rPr>
                <w:rFonts w:eastAsia="Times New Roman"/>
                <w:sz w:val="18"/>
                <w:szCs w:val="18"/>
              </w:rPr>
              <w:t>310 CMR 22.07B</w:t>
            </w:r>
          </w:p>
        </w:tc>
        <w:tc>
          <w:tcPr>
            <w:tcW w:w="900" w:type="dxa"/>
            <w:tcBorders>
              <w:bottom w:val="single" w:sz="8" w:space="0" w:color="auto"/>
              <w:right w:val="single" w:sz="8" w:space="0" w:color="auto"/>
            </w:tcBorders>
            <w:vAlign w:val="center"/>
          </w:tcPr>
          <w:p w14:paraId="281A145A" w14:textId="77777777" w:rsidR="00237746" w:rsidRDefault="00237746" w:rsidP="0023774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5B" w14:textId="2DB463F1" w:rsidR="00237746" w:rsidRDefault="00237746" w:rsidP="00237746">
            <w:pPr>
              <w:jc w:val="center"/>
              <w:rPr>
                <w:sz w:val="20"/>
                <w:szCs w:val="20"/>
              </w:rPr>
            </w:pPr>
            <w:r>
              <w:rPr>
                <w:rFonts w:eastAsia="Times New Roman"/>
                <w:sz w:val="18"/>
                <w:szCs w:val="18"/>
              </w:rPr>
              <w:t>310 CMR 22.07B</w:t>
            </w:r>
          </w:p>
        </w:tc>
      </w:tr>
      <w:tr w:rsidR="00237746" w14:paraId="281A1465" w14:textId="77777777" w:rsidTr="00913CE1">
        <w:trPr>
          <w:trHeight w:val="276"/>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45F" w14:textId="4DF96478"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Xylenes (total)</w:t>
            </w:r>
          </w:p>
        </w:tc>
        <w:tc>
          <w:tcPr>
            <w:tcW w:w="980" w:type="dxa"/>
            <w:tcBorders>
              <w:top w:val="single" w:sz="8" w:space="0" w:color="auto"/>
              <w:bottom w:val="single" w:sz="8" w:space="0" w:color="auto"/>
              <w:right w:val="single" w:sz="8" w:space="0" w:color="auto"/>
            </w:tcBorders>
            <w:vAlign w:val="center"/>
          </w:tcPr>
          <w:p w14:paraId="281A1460" w14:textId="77777777" w:rsidR="00237746" w:rsidRDefault="00237746" w:rsidP="00237746">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461" w14:textId="08B33069" w:rsidR="00237746" w:rsidRDefault="00237746" w:rsidP="00237746">
            <w:pPr>
              <w:jc w:val="center"/>
              <w:rPr>
                <w:sz w:val="20"/>
                <w:szCs w:val="20"/>
              </w:rPr>
            </w:pPr>
            <w:r>
              <w:rPr>
                <w:rFonts w:eastAsia="Times New Roman"/>
                <w:sz w:val="18"/>
                <w:szCs w:val="18"/>
              </w:rPr>
              <w:t>310 CMR 22.07B</w:t>
            </w:r>
          </w:p>
        </w:tc>
        <w:tc>
          <w:tcPr>
            <w:tcW w:w="900" w:type="dxa"/>
            <w:tcBorders>
              <w:top w:val="single" w:sz="8" w:space="0" w:color="auto"/>
              <w:bottom w:val="single" w:sz="8" w:space="0" w:color="auto"/>
              <w:right w:val="single" w:sz="8" w:space="0" w:color="auto"/>
            </w:tcBorders>
            <w:vAlign w:val="center"/>
          </w:tcPr>
          <w:p w14:paraId="281A1462" w14:textId="77777777" w:rsidR="00237746" w:rsidRDefault="00237746" w:rsidP="00237746">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463" w14:textId="7C6AE937" w:rsidR="00237746" w:rsidRDefault="00237746" w:rsidP="00237746">
            <w:pPr>
              <w:jc w:val="center"/>
              <w:rPr>
                <w:sz w:val="20"/>
                <w:szCs w:val="20"/>
              </w:rPr>
            </w:pPr>
            <w:r>
              <w:rPr>
                <w:rFonts w:eastAsia="Times New Roman"/>
                <w:sz w:val="18"/>
                <w:szCs w:val="18"/>
              </w:rPr>
              <w:t>310 CMR 22.07B</w:t>
            </w:r>
          </w:p>
        </w:tc>
      </w:tr>
      <w:tr w:rsidR="00AD2C4A" w14:paraId="281A146E" w14:textId="77777777" w:rsidTr="00913CE1">
        <w:trPr>
          <w:trHeight w:val="441"/>
        </w:trPr>
        <w:tc>
          <w:tcPr>
            <w:tcW w:w="10560" w:type="dxa"/>
            <w:gridSpan w:val="6"/>
            <w:tcBorders>
              <w:top w:val="single" w:sz="8" w:space="0" w:color="auto"/>
              <w:left w:val="single" w:sz="8" w:space="0" w:color="auto"/>
              <w:bottom w:val="single" w:sz="8" w:space="0" w:color="auto"/>
              <w:right w:val="single" w:sz="8" w:space="0" w:color="auto"/>
            </w:tcBorders>
            <w:vAlign w:val="center"/>
          </w:tcPr>
          <w:p w14:paraId="281A146C" w14:textId="0E3BB09B" w:rsidR="00AD2C4A" w:rsidRDefault="00AD2C4A" w:rsidP="00B611F4">
            <w:pPr>
              <w:ind w:left="86"/>
              <w:rPr>
                <w:sz w:val="24"/>
                <w:szCs w:val="24"/>
              </w:rPr>
            </w:pPr>
            <w:r w:rsidRPr="00AD2C4A">
              <w:rPr>
                <w:rFonts w:eastAsia="Times New Roman"/>
                <w:sz w:val="18"/>
                <w:szCs w:val="18"/>
              </w:rPr>
              <w:t xml:space="preserve">F.  </w:t>
            </w:r>
            <w:r>
              <w:rPr>
                <w:rFonts w:eastAsia="Times New Roman"/>
                <w:b/>
                <w:bCs/>
                <w:sz w:val="18"/>
                <w:szCs w:val="18"/>
              </w:rPr>
              <w:t>Radioactive Contaminants</w:t>
            </w:r>
          </w:p>
        </w:tc>
      </w:tr>
      <w:tr w:rsidR="00AD2C4A" w14:paraId="281A147E" w14:textId="77777777" w:rsidTr="00913CE1">
        <w:trPr>
          <w:trHeight w:val="276"/>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478" w14:textId="46832D5C" w:rsidR="00AD2C4A" w:rsidRPr="00AD2C4A" w:rsidRDefault="00AD2C4A" w:rsidP="00563A54">
            <w:pPr>
              <w:pStyle w:val="ListParagraph"/>
              <w:numPr>
                <w:ilvl w:val="0"/>
                <w:numId w:val="931"/>
              </w:numPr>
              <w:tabs>
                <w:tab w:val="left" w:pos="240"/>
              </w:tabs>
              <w:rPr>
                <w:rFonts w:eastAsia="Times New Roman"/>
                <w:sz w:val="18"/>
                <w:szCs w:val="18"/>
              </w:rPr>
            </w:pPr>
            <w:r w:rsidRPr="00AD2C4A">
              <w:rPr>
                <w:rFonts w:eastAsia="Times New Roman"/>
                <w:sz w:val="18"/>
                <w:szCs w:val="18"/>
              </w:rPr>
              <w:t>Beta/photon emitters</w:t>
            </w:r>
          </w:p>
        </w:tc>
        <w:tc>
          <w:tcPr>
            <w:tcW w:w="980" w:type="dxa"/>
            <w:tcBorders>
              <w:top w:val="single" w:sz="8" w:space="0" w:color="auto"/>
              <w:bottom w:val="single" w:sz="8" w:space="0" w:color="auto"/>
              <w:right w:val="single" w:sz="8" w:space="0" w:color="auto"/>
            </w:tcBorders>
            <w:vAlign w:val="center"/>
          </w:tcPr>
          <w:p w14:paraId="281A1479" w14:textId="77777777" w:rsidR="00AD2C4A" w:rsidRDefault="00AD2C4A" w:rsidP="00D070E6">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47A" w14:textId="6760BC6A" w:rsidR="00AD2C4A" w:rsidRDefault="00AD2C4A" w:rsidP="00D070E6">
            <w:pPr>
              <w:jc w:val="center"/>
              <w:rPr>
                <w:sz w:val="20"/>
                <w:szCs w:val="20"/>
              </w:rPr>
            </w:pPr>
            <w:r>
              <w:rPr>
                <w:rFonts w:eastAsia="Times New Roman"/>
                <w:sz w:val="18"/>
                <w:szCs w:val="18"/>
              </w:rPr>
              <w:t>310 CMR 22.09A</w:t>
            </w:r>
          </w:p>
        </w:tc>
        <w:tc>
          <w:tcPr>
            <w:tcW w:w="900" w:type="dxa"/>
            <w:tcBorders>
              <w:top w:val="single" w:sz="8" w:space="0" w:color="auto"/>
              <w:bottom w:val="single" w:sz="8" w:space="0" w:color="auto"/>
              <w:right w:val="single" w:sz="8" w:space="0" w:color="auto"/>
            </w:tcBorders>
            <w:vAlign w:val="center"/>
          </w:tcPr>
          <w:p w14:paraId="281A147B" w14:textId="77777777" w:rsidR="00AD2C4A" w:rsidRDefault="00AD2C4A" w:rsidP="00D070E6">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47C" w14:textId="48228F7A" w:rsidR="00AD2C4A" w:rsidRDefault="00AD2C4A" w:rsidP="00D070E6">
            <w:pPr>
              <w:jc w:val="center"/>
              <w:rPr>
                <w:sz w:val="20"/>
                <w:szCs w:val="20"/>
              </w:rPr>
            </w:pPr>
            <w:r>
              <w:rPr>
                <w:rFonts w:eastAsia="Times New Roman"/>
                <w:sz w:val="18"/>
                <w:szCs w:val="18"/>
              </w:rPr>
              <w:t>310 CMR 22.09A</w:t>
            </w:r>
          </w:p>
        </w:tc>
      </w:tr>
      <w:tr w:rsidR="00AD2C4A" w14:paraId="281A1486" w14:textId="77777777" w:rsidTr="00913CE1">
        <w:trPr>
          <w:trHeight w:val="280"/>
        </w:trPr>
        <w:tc>
          <w:tcPr>
            <w:tcW w:w="3840" w:type="dxa"/>
            <w:gridSpan w:val="2"/>
            <w:tcBorders>
              <w:left w:val="single" w:sz="8" w:space="0" w:color="auto"/>
              <w:bottom w:val="single" w:sz="8" w:space="0" w:color="auto"/>
              <w:right w:val="single" w:sz="8" w:space="0" w:color="auto"/>
            </w:tcBorders>
            <w:vAlign w:val="center"/>
          </w:tcPr>
          <w:p w14:paraId="281A1480" w14:textId="0FC32DD4" w:rsidR="00AD2C4A" w:rsidRPr="00AD2C4A" w:rsidRDefault="00AD2C4A" w:rsidP="00563A54">
            <w:pPr>
              <w:pStyle w:val="ListParagraph"/>
              <w:numPr>
                <w:ilvl w:val="0"/>
                <w:numId w:val="931"/>
              </w:numPr>
              <w:tabs>
                <w:tab w:val="left" w:pos="240"/>
              </w:tabs>
              <w:rPr>
                <w:rFonts w:eastAsia="Times New Roman"/>
                <w:sz w:val="18"/>
                <w:szCs w:val="18"/>
              </w:rPr>
            </w:pPr>
            <w:r>
              <w:rPr>
                <w:rFonts w:eastAsia="Times New Roman"/>
                <w:sz w:val="18"/>
                <w:szCs w:val="18"/>
              </w:rPr>
              <w:t>Alpha emitters</w:t>
            </w:r>
          </w:p>
        </w:tc>
        <w:tc>
          <w:tcPr>
            <w:tcW w:w="980" w:type="dxa"/>
            <w:tcBorders>
              <w:bottom w:val="single" w:sz="8" w:space="0" w:color="auto"/>
              <w:right w:val="single" w:sz="8" w:space="0" w:color="auto"/>
            </w:tcBorders>
            <w:vAlign w:val="center"/>
          </w:tcPr>
          <w:p w14:paraId="281A1481" w14:textId="77777777" w:rsidR="00AD2C4A" w:rsidRDefault="00AD2C4A" w:rsidP="00D070E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82" w14:textId="05292C9E" w:rsidR="00AD2C4A" w:rsidRDefault="00AD2C4A" w:rsidP="00D070E6">
            <w:pPr>
              <w:jc w:val="center"/>
              <w:rPr>
                <w:sz w:val="20"/>
                <w:szCs w:val="20"/>
              </w:rPr>
            </w:pPr>
            <w:r>
              <w:rPr>
                <w:rFonts w:eastAsia="Times New Roman"/>
                <w:sz w:val="18"/>
                <w:szCs w:val="18"/>
              </w:rPr>
              <w:t>310 CMR 22.09A</w:t>
            </w:r>
          </w:p>
        </w:tc>
        <w:tc>
          <w:tcPr>
            <w:tcW w:w="900" w:type="dxa"/>
            <w:tcBorders>
              <w:bottom w:val="single" w:sz="8" w:space="0" w:color="auto"/>
              <w:right w:val="single" w:sz="8" w:space="0" w:color="auto"/>
            </w:tcBorders>
            <w:vAlign w:val="center"/>
          </w:tcPr>
          <w:p w14:paraId="281A1483" w14:textId="77777777" w:rsidR="00AD2C4A" w:rsidRDefault="00AD2C4A" w:rsidP="00D070E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84" w14:textId="66074645" w:rsidR="00AD2C4A" w:rsidRDefault="00AD2C4A" w:rsidP="00D070E6">
            <w:pPr>
              <w:jc w:val="center"/>
              <w:rPr>
                <w:sz w:val="20"/>
                <w:szCs w:val="20"/>
              </w:rPr>
            </w:pPr>
            <w:r>
              <w:rPr>
                <w:rFonts w:eastAsia="Times New Roman"/>
                <w:sz w:val="18"/>
                <w:szCs w:val="18"/>
              </w:rPr>
              <w:t>310 CMR 22.09A</w:t>
            </w:r>
          </w:p>
        </w:tc>
      </w:tr>
      <w:tr w:rsidR="00AD2C4A" w14:paraId="281A148E" w14:textId="77777777" w:rsidTr="00913CE1">
        <w:trPr>
          <w:trHeight w:val="276"/>
        </w:trPr>
        <w:tc>
          <w:tcPr>
            <w:tcW w:w="3840" w:type="dxa"/>
            <w:gridSpan w:val="2"/>
            <w:tcBorders>
              <w:left w:val="single" w:sz="8" w:space="0" w:color="auto"/>
              <w:bottom w:val="single" w:sz="8" w:space="0" w:color="auto"/>
              <w:right w:val="single" w:sz="8" w:space="0" w:color="auto"/>
            </w:tcBorders>
            <w:vAlign w:val="center"/>
          </w:tcPr>
          <w:p w14:paraId="281A1488" w14:textId="6166AEA8" w:rsidR="00AD2C4A" w:rsidRPr="00AD2C4A" w:rsidRDefault="00AD2C4A" w:rsidP="00563A54">
            <w:pPr>
              <w:pStyle w:val="ListParagraph"/>
              <w:numPr>
                <w:ilvl w:val="0"/>
                <w:numId w:val="931"/>
              </w:numPr>
              <w:tabs>
                <w:tab w:val="left" w:pos="240"/>
              </w:tabs>
              <w:rPr>
                <w:rFonts w:eastAsia="Times New Roman"/>
                <w:sz w:val="18"/>
                <w:szCs w:val="18"/>
              </w:rPr>
            </w:pPr>
            <w:r>
              <w:rPr>
                <w:rFonts w:eastAsia="Times New Roman"/>
                <w:sz w:val="18"/>
                <w:szCs w:val="18"/>
              </w:rPr>
              <w:t>Combined radium (226 &amp; 228)</w:t>
            </w:r>
          </w:p>
        </w:tc>
        <w:tc>
          <w:tcPr>
            <w:tcW w:w="980" w:type="dxa"/>
            <w:tcBorders>
              <w:bottom w:val="single" w:sz="8" w:space="0" w:color="auto"/>
              <w:right w:val="single" w:sz="8" w:space="0" w:color="auto"/>
            </w:tcBorders>
            <w:vAlign w:val="center"/>
          </w:tcPr>
          <w:p w14:paraId="281A1489" w14:textId="77777777" w:rsidR="00AD2C4A" w:rsidRDefault="00AD2C4A" w:rsidP="00D070E6">
            <w:pPr>
              <w:jc w:val="center"/>
              <w:rPr>
                <w:sz w:val="20"/>
                <w:szCs w:val="20"/>
              </w:rPr>
            </w:pPr>
            <w:r>
              <w:rPr>
                <w:rFonts w:eastAsia="Times New Roman"/>
                <w:w w:val="88"/>
                <w:sz w:val="18"/>
                <w:szCs w:val="18"/>
              </w:rPr>
              <w:t>2</w:t>
            </w:r>
          </w:p>
        </w:tc>
        <w:tc>
          <w:tcPr>
            <w:tcW w:w="2340" w:type="dxa"/>
            <w:tcBorders>
              <w:bottom w:val="single" w:sz="8" w:space="0" w:color="auto"/>
              <w:right w:val="single" w:sz="8" w:space="0" w:color="auto"/>
            </w:tcBorders>
            <w:vAlign w:val="center"/>
          </w:tcPr>
          <w:p w14:paraId="281A148A" w14:textId="17A1516A" w:rsidR="00AD2C4A" w:rsidRDefault="00AD2C4A" w:rsidP="00D070E6">
            <w:pPr>
              <w:jc w:val="center"/>
              <w:rPr>
                <w:sz w:val="20"/>
                <w:szCs w:val="20"/>
              </w:rPr>
            </w:pPr>
            <w:r>
              <w:rPr>
                <w:rFonts w:eastAsia="Times New Roman"/>
                <w:sz w:val="18"/>
                <w:szCs w:val="18"/>
              </w:rPr>
              <w:t>310 CMR 22.09A</w:t>
            </w:r>
          </w:p>
        </w:tc>
        <w:tc>
          <w:tcPr>
            <w:tcW w:w="900" w:type="dxa"/>
            <w:tcBorders>
              <w:bottom w:val="single" w:sz="8" w:space="0" w:color="auto"/>
              <w:right w:val="single" w:sz="8" w:space="0" w:color="auto"/>
            </w:tcBorders>
            <w:vAlign w:val="center"/>
          </w:tcPr>
          <w:p w14:paraId="281A148B" w14:textId="77777777" w:rsidR="00AD2C4A" w:rsidRDefault="00AD2C4A" w:rsidP="00D070E6">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48C" w14:textId="401FC066" w:rsidR="00AD2C4A" w:rsidRDefault="00AD2C4A" w:rsidP="00D070E6">
            <w:pPr>
              <w:jc w:val="center"/>
              <w:rPr>
                <w:sz w:val="20"/>
                <w:szCs w:val="20"/>
              </w:rPr>
            </w:pPr>
            <w:r>
              <w:rPr>
                <w:rFonts w:eastAsia="Times New Roman"/>
                <w:sz w:val="18"/>
                <w:szCs w:val="18"/>
              </w:rPr>
              <w:t>310 CMR 22.09A</w:t>
            </w:r>
          </w:p>
        </w:tc>
      </w:tr>
      <w:tr w:rsidR="00D070E6" w14:paraId="281A1496" w14:textId="77777777" w:rsidTr="00913CE1">
        <w:trPr>
          <w:trHeight w:val="330"/>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490" w14:textId="5B42FB42" w:rsidR="00D070E6" w:rsidRPr="00AD2C4A" w:rsidRDefault="00D070E6" w:rsidP="00563A54">
            <w:pPr>
              <w:pStyle w:val="ListParagraph"/>
              <w:numPr>
                <w:ilvl w:val="0"/>
                <w:numId w:val="931"/>
              </w:numPr>
              <w:tabs>
                <w:tab w:val="left" w:pos="240"/>
              </w:tabs>
              <w:rPr>
                <w:rFonts w:eastAsia="Times New Roman"/>
                <w:sz w:val="18"/>
                <w:szCs w:val="18"/>
              </w:rPr>
            </w:pPr>
            <w:r>
              <w:rPr>
                <w:rFonts w:eastAsia="Times New Roman"/>
                <w:sz w:val="18"/>
                <w:szCs w:val="18"/>
              </w:rPr>
              <w:t>Uranium</w:t>
            </w:r>
            <w:r w:rsidRPr="00AD2C4A">
              <w:rPr>
                <w:rFonts w:eastAsia="Times New Roman"/>
                <w:sz w:val="18"/>
                <w:szCs w:val="18"/>
                <w:vertAlign w:val="superscript"/>
              </w:rPr>
              <w:t>11, 12</w:t>
            </w:r>
          </w:p>
        </w:tc>
        <w:tc>
          <w:tcPr>
            <w:tcW w:w="980" w:type="dxa"/>
            <w:tcBorders>
              <w:top w:val="single" w:sz="8" w:space="0" w:color="auto"/>
              <w:left w:val="single" w:sz="8" w:space="0" w:color="auto"/>
              <w:bottom w:val="single" w:sz="8" w:space="0" w:color="auto"/>
              <w:right w:val="single" w:sz="8" w:space="0" w:color="auto"/>
            </w:tcBorders>
            <w:vAlign w:val="center"/>
          </w:tcPr>
          <w:p w14:paraId="281A1491" w14:textId="77777777" w:rsidR="00D070E6" w:rsidRDefault="00D070E6" w:rsidP="00D070E6">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492" w14:textId="22BD02D6" w:rsidR="00D070E6" w:rsidRDefault="00D070E6" w:rsidP="00D070E6">
            <w:pPr>
              <w:jc w:val="center"/>
              <w:rPr>
                <w:sz w:val="20"/>
                <w:szCs w:val="20"/>
              </w:rPr>
            </w:pPr>
            <w:r>
              <w:rPr>
                <w:rFonts w:eastAsia="Times New Roman"/>
                <w:sz w:val="18"/>
                <w:szCs w:val="18"/>
              </w:rPr>
              <w:t>310 CMR 22.09A</w:t>
            </w:r>
          </w:p>
        </w:tc>
        <w:tc>
          <w:tcPr>
            <w:tcW w:w="900" w:type="dxa"/>
            <w:tcBorders>
              <w:top w:val="single" w:sz="8" w:space="0" w:color="auto"/>
              <w:bottom w:val="single" w:sz="8" w:space="0" w:color="auto"/>
              <w:right w:val="single" w:sz="8" w:space="0" w:color="auto"/>
            </w:tcBorders>
            <w:vAlign w:val="center"/>
          </w:tcPr>
          <w:p w14:paraId="281A1493" w14:textId="77777777" w:rsidR="00D070E6" w:rsidRDefault="00D070E6" w:rsidP="00D070E6">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494" w14:textId="1D24E226" w:rsidR="00D070E6" w:rsidRDefault="00D070E6" w:rsidP="00D070E6">
            <w:pPr>
              <w:jc w:val="center"/>
              <w:rPr>
                <w:sz w:val="20"/>
                <w:szCs w:val="20"/>
              </w:rPr>
            </w:pPr>
            <w:r>
              <w:rPr>
                <w:rFonts w:eastAsia="Times New Roman"/>
                <w:sz w:val="18"/>
                <w:szCs w:val="18"/>
              </w:rPr>
              <w:t>310 CMR 22.09A</w:t>
            </w:r>
          </w:p>
        </w:tc>
      </w:tr>
      <w:tr w:rsidR="00B5716E" w14:paraId="19BEF31B" w14:textId="77777777" w:rsidTr="00913CE1">
        <w:trPr>
          <w:trHeight w:val="330"/>
        </w:trPr>
        <w:tc>
          <w:tcPr>
            <w:tcW w:w="10560" w:type="dxa"/>
            <w:gridSpan w:val="6"/>
            <w:tcBorders>
              <w:top w:val="single" w:sz="8" w:space="0" w:color="auto"/>
              <w:left w:val="single" w:sz="8" w:space="0" w:color="auto"/>
              <w:bottom w:val="single" w:sz="8" w:space="0" w:color="auto"/>
              <w:right w:val="single" w:sz="8" w:space="0" w:color="auto"/>
            </w:tcBorders>
            <w:vAlign w:val="center"/>
          </w:tcPr>
          <w:p w14:paraId="6FAB4D3C" w14:textId="049B51F8" w:rsidR="00B5716E" w:rsidRDefault="00B5716E" w:rsidP="00B611F4">
            <w:pPr>
              <w:spacing w:line="302" w:lineRule="auto"/>
              <w:ind w:left="80"/>
              <w:rPr>
                <w:rFonts w:eastAsia="Times New Roman"/>
                <w:sz w:val="18"/>
                <w:szCs w:val="18"/>
              </w:rPr>
            </w:pPr>
            <w:r>
              <w:rPr>
                <w:rFonts w:eastAsia="Times New Roman"/>
                <w:sz w:val="18"/>
                <w:szCs w:val="18"/>
              </w:rPr>
              <w:t xml:space="preserve">G. </w:t>
            </w:r>
            <w:r>
              <w:rPr>
                <w:rFonts w:eastAsia="Times New Roman"/>
                <w:b/>
                <w:bCs/>
                <w:sz w:val="18"/>
                <w:szCs w:val="18"/>
              </w:rPr>
              <w:t>Disinfection Byproducts (DBPs), Byproduct Precursors, Disinfectant Residuals. Where Disinfection used in the</w:t>
            </w:r>
            <w:r>
              <w:rPr>
                <w:rFonts w:eastAsia="Times New Roman"/>
                <w:sz w:val="18"/>
                <w:szCs w:val="18"/>
              </w:rPr>
              <w:t xml:space="preserve"> </w:t>
            </w:r>
            <w:r>
              <w:rPr>
                <w:rFonts w:eastAsia="Times New Roman"/>
                <w:b/>
                <w:bCs/>
                <w:sz w:val="18"/>
                <w:szCs w:val="18"/>
              </w:rPr>
              <w:t>treatment of drinking water, Disinfectants combine with organic and inorganic matter present in water to form chemicals called Disinfection byproducts (DBPs). EPA sets standards for controlling the levels of Disinfectants and DBPs in drinking water, including Trihalomethanes (THM s) and haloacetic acid (HAAs)</w:t>
            </w:r>
            <w:r>
              <w:rPr>
                <w:rFonts w:eastAsia="Times New Roman"/>
                <w:sz w:val="18"/>
                <w:szCs w:val="18"/>
              </w:rPr>
              <w:t>.</w:t>
            </w:r>
            <w:r>
              <w:rPr>
                <w:rFonts w:eastAsia="Times New Roman"/>
                <w:sz w:val="24"/>
                <w:szCs w:val="24"/>
                <w:vertAlign w:val="superscript"/>
              </w:rPr>
              <w:t>13</w:t>
            </w:r>
          </w:p>
        </w:tc>
      </w:tr>
      <w:tr w:rsidR="00305E25" w14:paraId="281A14AA" w14:textId="77777777" w:rsidTr="00305E25">
        <w:trPr>
          <w:trHeight w:val="279"/>
        </w:trPr>
        <w:tc>
          <w:tcPr>
            <w:tcW w:w="3820" w:type="dxa"/>
            <w:tcBorders>
              <w:left w:val="single" w:sz="8" w:space="0" w:color="auto"/>
              <w:bottom w:val="single" w:sz="8" w:space="0" w:color="auto"/>
              <w:right w:val="single" w:sz="8" w:space="0" w:color="auto"/>
            </w:tcBorders>
            <w:vAlign w:val="center"/>
          </w:tcPr>
          <w:p w14:paraId="281A14A5" w14:textId="320CA002" w:rsidR="00305E25" w:rsidRDefault="00305E25" w:rsidP="00563A54">
            <w:pPr>
              <w:pStyle w:val="ListParagraph"/>
              <w:numPr>
                <w:ilvl w:val="0"/>
                <w:numId w:val="932"/>
              </w:numPr>
              <w:tabs>
                <w:tab w:val="left" w:pos="240"/>
              </w:tabs>
              <w:rPr>
                <w:sz w:val="20"/>
                <w:szCs w:val="20"/>
              </w:rPr>
            </w:pPr>
            <w:r>
              <w:rPr>
                <w:rFonts w:eastAsia="Times New Roman"/>
                <w:sz w:val="18"/>
                <w:szCs w:val="18"/>
              </w:rPr>
              <w:t>Total Trihalomethanes (TTHMs)</w:t>
            </w:r>
          </w:p>
        </w:tc>
        <w:tc>
          <w:tcPr>
            <w:tcW w:w="1000" w:type="dxa"/>
            <w:gridSpan w:val="2"/>
            <w:tcBorders>
              <w:top w:val="single" w:sz="8" w:space="0" w:color="auto"/>
              <w:bottom w:val="single" w:sz="8" w:space="0" w:color="auto"/>
              <w:right w:val="single" w:sz="8" w:space="0" w:color="auto"/>
            </w:tcBorders>
            <w:vAlign w:val="center"/>
          </w:tcPr>
          <w:p w14:paraId="281A14A6" w14:textId="77777777" w:rsidR="00305E25" w:rsidRDefault="00305E25" w:rsidP="00305E25">
            <w:pPr>
              <w:jc w:val="center"/>
              <w:rPr>
                <w:sz w:val="20"/>
                <w:szCs w:val="20"/>
              </w:rPr>
            </w:pPr>
            <w:r>
              <w:rPr>
                <w:rFonts w:eastAsia="Times New Roman"/>
                <w:sz w:val="18"/>
                <w:szCs w:val="18"/>
              </w:rPr>
              <w:t>2</w:t>
            </w:r>
          </w:p>
        </w:tc>
        <w:tc>
          <w:tcPr>
            <w:tcW w:w="2340" w:type="dxa"/>
            <w:tcBorders>
              <w:top w:val="single" w:sz="8" w:space="0" w:color="auto"/>
              <w:bottom w:val="single" w:sz="8" w:space="0" w:color="auto"/>
              <w:right w:val="single" w:sz="8" w:space="0" w:color="auto"/>
            </w:tcBorders>
            <w:vAlign w:val="center"/>
          </w:tcPr>
          <w:p w14:paraId="281A14A7" w14:textId="3847E735" w:rsidR="00305E25" w:rsidRDefault="00305E25" w:rsidP="00305E25">
            <w:pPr>
              <w:jc w:val="center"/>
              <w:rPr>
                <w:sz w:val="20"/>
                <w:szCs w:val="20"/>
              </w:rPr>
            </w:pPr>
            <w:r>
              <w:rPr>
                <w:rFonts w:eastAsia="Times New Roman"/>
                <w:sz w:val="18"/>
                <w:szCs w:val="18"/>
              </w:rPr>
              <w:t>310 CMR 22.07E</w:t>
            </w:r>
          </w:p>
        </w:tc>
        <w:tc>
          <w:tcPr>
            <w:tcW w:w="900" w:type="dxa"/>
            <w:tcBorders>
              <w:top w:val="single" w:sz="8" w:space="0" w:color="auto"/>
              <w:bottom w:val="single" w:sz="8" w:space="0" w:color="auto"/>
              <w:right w:val="single" w:sz="8" w:space="0" w:color="auto"/>
            </w:tcBorders>
            <w:vAlign w:val="center"/>
          </w:tcPr>
          <w:p w14:paraId="281A14A8" w14:textId="77777777" w:rsidR="00305E25" w:rsidRDefault="00305E25" w:rsidP="00305E25">
            <w:pPr>
              <w:jc w:val="center"/>
              <w:rPr>
                <w:sz w:val="20"/>
                <w:szCs w:val="20"/>
              </w:rPr>
            </w:pPr>
            <w:r>
              <w:rPr>
                <w:rFonts w:eastAsia="Times New Roman"/>
                <w:sz w:val="18"/>
                <w:szCs w:val="18"/>
              </w:rPr>
              <w:t>3</w:t>
            </w:r>
          </w:p>
        </w:tc>
        <w:tc>
          <w:tcPr>
            <w:tcW w:w="2500" w:type="dxa"/>
            <w:tcBorders>
              <w:bottom w:val="single" w:sz="8" w:space="0" w:color="auto"/>
              <w:right w:val="single" w:sz="8" w:space="0" w:color="auto"/>
            </w:tcBorders>
            <w:vAlign w:val="center"/>
          </w:tcPr>
          <w:p w14:paraId="281A14A9" w14:textId="70BA90E7" w:rsidR="00305E25" w:rsidRDefault="00305E25" w:rsidP="00305E25">
            <w:pPr>
              <w:jc w:val="center"/>
              <w:rPr>
                <w:sz w:val="20"/>
                <w:szCs w:val="20"/>
              </w:rPr>
            </w:pPr>
            <w:r>
              <w:rPr>
                <w:rFonts w:eastAsia="Times New Roman"/>
                <w:sz w:val="18"/>
                <w:szCs w:val="18"/>
              </w:rPr>
              <w:t>310 CMR 22.07E</w:t>
            </w:r>
          </w:p>
        </w:tc>
      </w:tr>
      <w:tr w:rsidR="00305E25" w14:paraId="281A14B1" w14:textId="77777777" w:rsidTr="00305E25">
        <w:trPr>
          <w:trHeight w:val="281"/>
        </w:trPr>
        <w:tc>
          <w:tcPr>
            <w:tcW w:w="3820" w:type="dxa"/>
            <w:tcBorders>
              <w:left w:val="single" w:sz="8" w:space="0" w:color="auto"/>
              <w:bottom w:val="single" w:sz="8" w:space="0" w:color="auto"/>
              <w:right w:val="single" w:sz="8" w:space="0" w:color="auto"/>
            </w:tcBorders>
            <w:vAlign w:val="center"/>
          </w:tcPr>
          <w:p w14:paraId="281A14AC" w14:textId="078DD19A"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Haloacetic Acids (HAA5)</w:t>
            </w:r>
          </w:p>
        </w:tc>
        <w:tc>
          <w:tcPr>
            <w:tcW w:w="1000" w:type="dxa"/>
            <w:gridSpan w:val="2"/>
            <w:tcBorders>
              <w:bottom w:val="single" w:sz="8" w:space="0" w:color="auto"/>
              <w:right w:val="single" w:sz="8" w:space="0" w:color="auto"/>
            </w:tcBorders>
            <w:vAlign w:val="center"/>
          </w:tcPr>
          <w:p w14:paraId="281A14AD" w14:textId="77777777" w:rsidR="00305E25" w:rsidRDefault="00305E25" w:rsidP="00305E25">
            <w:pPr>
              <w:jc w:val="center"/>
              <w:rPr>
                <w:sz w:val="20"/>
                <w:szCs w:val="20"/>
              </w:rPr>
            </w:pPr>
            <w:r>
              <w:rPr>
                <w:rFonts w:eastAsia="Times New Roman"/>
                <w:sz w:val="18"/>
                <w:szCs w:val="18"/>
              </w:rPr>
              <w:t>2</w:t>
            </w:r>
          </w:p>
        </w:tc>
        <w:tc>
          <w:tcPr>
            <w:tcW w:w="2340" w:type="dxa"/>
            <w:tcBorders>
              <w:bottom w:val="single" w:sz="8" w:space="0" w:color="auto"/>
              <w:right w:val="single" w:sz="8" w:space="0" w:color="auto"/>
            </w:tcBorders>
            <w:vAlign w:val="center"/>
          </w:tcPr>
          <w:p w14:paraId="281A14AE" w14:textId="397DBC3D" w:rsidR="00305E25" w:rsidRDefault="00305E25" w:rsidP="00305E25">
            <w:pPr>
              <w:jc w:val="center"/>
              <w:rPr>
                <w:sz w:val="20"/>
                <w:szCs w:val="20"/>
              </w:rPr>
            </w:pPr>
            <w:r>
              <w:rPr>
                <w:rFonts w:eastAsia="Times New Roman"/>
                <w:sz w:val="18"/>
                <w:szCs w:val="18"/>
              </w:rPr>
              <w:t>310 CMR 22.07E</w:t>
            </w:r>
          </w:p>
        </w:tc>
        <w:tc>
          <w:tcPr>
            <w:tcW w:w="900" w:type="dxa"/>
            <w:tcBorders>
              <w:bottom w:val="single" w:sz="8" w:space="0" w:color="auto"/>
              <w:right w:val="single" w:sz="8" w:space="0" w:color="auto"/>
            </w:tcBorders>
            <w:vAlign w:val="center"/>
          </w:tcPr>
          <w:p w14:paraId="281A14AF" w14:textId="77777777" w:rsidR="00305E25" w:rsidRDefault="00305E25" w:rsidP="00305E25">
            <w:pPr>
              <w:jc w:val="center"/>
              <w:rPr>
                <w:sz w:val="20"/>
                <w:szCs w:val="20"/>
              </w:rPr>
            </w:pPr>
            <w:r>
              <w:rPr>
                <w:rFonts w:eastAsia="Times New Roman"/>
                <w:sz w:val="18"/>
                <w:szCs w:val="18"/>
              </w:rPr>
              <w:t>3</w:t>
            </w:r>
          </w:p>
        </w:tc>
        <w:tc>
          <w:tcPr>
            <w:tcW w:w="2500" w:type="dxa"/>
            <w:tcBorders>
              <w:bottom w:val="single" w:sz="8" w:space="0" w:color="auto"/>
              <w:right w:val="single" w:sz="8" w:space="0" w:color="auto"/>
            </w:tcBorders>
            <w:vAlign w:val="center"/>
          </w:tcPr>
          <w:p w14:paraId="281A14B0" w14:textId="4055F384" w:rsidR="00305E25" w:rsidRDefault="00305E25" w:rsidP="00305E25">
            <w:pPr>
              <w:jc w:val="center"/>
              <w:rPr>
                <w:sz w:val="20"/>
                <w:szCs w:val="20"/>
              </w:rPr>
            </w:pPr>
            <w:r>
              <w:rPr>
                <w:rFonts w:eastAsia="Times New Roman"/>
                <w:sz w:val="18"/>
                <w:szCs w:val="18"/>
              </w:rPr>
              <w:t>310 CMR 22.07E</w:t>
            </w:r>
          </w:p>
        </w:tc>
      </w:tr>
      <w:tr w:rsidR="00305E25" w14:paraId="281A14B8" w14:textId="77777777" w:rsidTr="00305E25">
        <w:trPr>
          <w:trHeight w:val="278"/>
        </w:trPr>
        <w:tc>
          <w:tcPr>
            <w:tcW w:w="3820" w:type="dxa"/>
            <w:tcBorders>
              <w:left w:val="single" w:sz="8" w:space="0" w:color="auto"/>
              <w:bottom w:val="single" w:sz="8" w:space="0" w:color="auto"/>
              <w:right w:val="single" w:sz="8" w:space="0" w:color="auto"/>
            </w:tcBorders>
            <w:vAlign w:val="center"/>
          </w:tcPr>
          <w:p w14:paraId="281A14B3" w14:textId="3FD78502"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Bromate</w:t>
            </w:r>
          </w:p>
        </w:tc>
        <w:tc>
          <w:tcPr>
            <w:tcW w:w="1000" w:type="dxa"/>
            <w:gridSpan w:val="2"/>
            <w:tcBorders>
              <w:bottom w:val="single" w:sz="8" w:space="0" w:color="auto"/>
              <w:right w:val="single" w:sz="8" w:space="0" w:color="auto"/>
            </w:tcBorders>
            <w:vAlign w:val="center"/>
          </w:tcPr>
          <w:p w14:paraId="281A14B4" w14:textId="77777777" w:rsidR="00305E25" w:rsidRDefault="00305E25" w:rsidP="00305E25">
            <w:pPr>
              <w:jc w:val="center"/>
              <w:rPr>
                <w:sz w:val="20"/>
                <w:szCs w:val="20"/>
              </w:rPr>
            </w:pPr>
            <w:r>
              <w:rPr>
                <w:rFonts w:eastAsia="Times New Roman"/>
                <w:sz w:val="18"/>
                <w:szCs w:val="18"/>
              </w:rPr>
              <w:t>2</w:t>
            </w:r>
          </w:p>
        </w:tc>
        <w:tc>
          <w:tcPr>
            <w:tcW w:w="2340" w:type="dxa"/>
            <w:tcBorders>
              <w:bottom w:val="single" w:sz="8" w:space="0" w:color="auto"/>
              <w:right w:val="single" w:sz="8" w:space="0" w:color="auto"/>
            </w:tcBorders>
            <w:vAlign w:val="center"/>
          </w:tcPr>
          <w:p w14:paraId="281A14B5" w14:textId="27AB3DCA" w:rsidR="00305E25" w:rsidRDefault="00305E25" w:rsidP="00305E25">
            <w:pPr>
              <w:jc w:val="center"/>
              <w:rPr>
                <w:sz w:val="20"/>
                <w:szCs w:val="20"/>
              </w:rPr>
            </w:pPr>
            <w:r>
              <w:rPr>
                <w:rFonts w:eastAsia="Times New Roman"/>
                <w:sz w:val="18"/>
                <w:szCs w:val="18"/>
              </w:rPr>
              <w:t>310 CMR 22.07E</w:t>
            </w:r>
          </w:p>
        </w:tc>
        <w:tc>
          <w:tcPr>
            <w:tcW w:w="900" w:type="dxa"/>
            <w:tcBorders>
              <w:bottom w:val="single" w:sz="8" w:space="0" w:color="auto"/>
              <w:right w:val="single" w:sz="8" w:space="0" w:color="auto"/>
            </w:tcBorders>
            <w:vAlign w:val="center"/>
          </w:tcPr>
          <w:p w14:paraId="281A14B6" w14:textId="77777777" w:rsidR="00305E25" w:rsidRDefault="00305E25" w:rsidP="00305E25">
            <w:pPr>
              <w:jc w:val="center"/>
              <w:rPr>
                <w:sz w:val="20"/>
                <w:szCs w:val="20"/>
              </w:rPr>
            </w:pPr>
            <w:r>
              <w:rPr>
                <w:rFonts w:eastAsia="Times New Roman"/>
                <w:sz w:val="18"/>
                <w:szCs w:val="18"/>
              </w:rPr>
              <w:t>3</w:t>
            </w:r>
          </w:p>
        </w:tc>
        <w:tc>
          <w:tcPr>
            <w:tcW w:w="2500" w:type="dxa"/>
            <w:tcBorders>
              <w:bottom w:val="single" w:sz="8" w:space="0" w:color="auto"/>
              <w:right w:val="single" w:sz="8" w:space="0" w:color="auto"/>
            </w:tcBorders>
            <w:vAlign w:val="center"/>
          </w:tcPr>
          <w:p w14:paraId="281A14B7" w14:textId="3C6BE3B3" w:rsidR="00305E25" w:rsidRDefault="00305E25" w:rsidP="00305E25">
            <w:pPr>
              <w:jc w:val="center"/>
              <w:rPr>
                <w:sz w:val="20"/>
                <w:szCs w:val="20"/>
              </w:rPr>
            </w:pPr>
            <w:r>
              <w:rPr>
                <w:rFonts w:eastAsia="Times New Roman"/>
                <w:sz w:val="18"/>
                <w:szCs w:val="18"/>
              </w:rPr>
              <w:t>310 CMR 22.07E</w:t>
            </w:r>
          </w:p>
        </w:tc>
      </w:tr>
      <w:tr w:rsidR="00305E25" w14:paraId="281A14BF" w14:textId="77777777" w:rsidTr="00305E25">
        <w:trPr>
          <w:trHeight w:val="280"/>
        </w:trPr>
        <w:tc>
          <w:tcPr>
            <w:tcW w:w="3820" w:type="dxa"/>
            <w:tcBorders>
              <w:left w:val="single" w:sz="8" w:space="0" w:color="auto"/>
              <w:bottom w:val="single" w:sz="8" w:space="0" w:color="auto"/>
              <w:right w:val="single" w:sz="8" w:space="0" w:color="auto"/>
            </w:tcBorders>
            <w:vAlign w:val="center"/>
          </w:tcPr>
          <w:p w14:paraId="281A14BA" w14:textId="04E3DE80"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Chlorite</w:t>
            </w:r>
          </w:p>
        </w:tc>
        <w:tc>
          <w:tcPr>
            <w:tcW w:w="1000" w:type="dxa"/>
            <w:gridSpan w:val="2"/>
            <w:tcBorders>
              <w:bottom w:val="single" w:sz="8" w:space="0" w:color="auto"/>
              <w:right w:val="single" w:sz="8" w:space="0" w:color="auto"/>
            </w:tcBorders>
            <w:vAlign w:val="center"/>
          </w:tcPr>
          <w:p w14:paraId="281A14BB" w14:textId="77777777" w:rsidR="00305E25" w:rsidRDefault="00305E25" w:rsidP="00305E25">
            <w:pPr>
              <w:jc w:val="center"/>
              <w:rPr>
                <w:sz w:val="20"/>
                <w:szCs w:val="20"/>
              </w:rPr>
            </w:pPr>
            <w:r>
              <w:rPr>
                <w:rFonts w:eastAsia="Times New Roman"/>
                <w:sz w:val="18"/>
                <w:szCs w:val="18"/>
              </w:rPr>
              <w:t>2</w:t>
            </w:r>
          </w:p>
        </w:tc>
        <w:tc>
          <w:tcPr>
            <w:tcW w:w="2340" w:type="dxa"/>
            <w:tcBorders>
              <w:bottom w:val="single" w:sz="8" w:space="0" w:color="auto"/>
              <w:right w:val="single" w:sz="8" w:space="0" w:color="auto"/>
            </w:tcBorders>
            <w:vAlign w:val="center"/>
          </w:tcPr>
          <w:p w14:paraId="281A14BC" w14:textId="6F6E28C0" w:rsidR="00305E25" w:rsidRDefault="00305E25" w:rsidP="00305E25">
            <w:pPr>
              <w:jc w:val="center"/>
              <w:rPr>
                <w:sz w:val="20"/>
                <w:szCs w:val="20"/>
              </w:rPr>
            </w:pPr>
            <w:r>
              <w:rPr>
                <w:rFonts w:eastAsia="Times New Roman"/>
                <w:sz w:val="18"/>
                <w:szCs w:val="18"/>
              </w:rPr>
              <w:t>310 CMR 22.07E</w:t>
            </w:r>
          </w:p>
        </w:tc>
        <w:tc>
          <w:tcPr>
            <w:tcW w:w="900" w:type="dxa"/>
            <w:tcBorders>
              <w:bottom w:val="single" w:sz="8" w:space="0" w:color="auto"/>
              <w:right w:val="single" w:sz="8" w:space="0" w:color="auto"/>
            </w:tcBorders>
            <w:vAlign w:val="center"/>
          </w:tcPr>
          <w:p w14:paraId="281A14BD" w14:textId="77777777" w:rsidR="00305E25" w:rsidRDefault="00305E25" w:rsidP="00305E25">
            <w:pPr>
              <w:jc w:val="center"/>
              <w:rPr>
                <w:sz w:val="20"/>
                <w:szCs w:val="20"/>
              </w:rPr>
            </w:pPr>
            <w:r>
              <w:rPr>
                <w:rFonts w:eastAsia="Times New Roman"/>
                <w:sz w:val="18"/>
                <w:szCs w:val="18"/>
              </w:rPr>
              <w:t>3</w:t>
            </w:r>
          </w:p>
        </w:tc>
        <w:tc>
          <w:tcPr>
            <w:tcW w:w="2500" w:type="dxa"/>
            <w:tcBorders>
              <w:bottom w:val="single" w:sz="8" w:space="0" w:color="auto"/>
              <w:right w:val="single" w:sz="8" w:space="0" w:color="auto"/>
            </w:tcBorders>
            <w:vAlign w:val="center"/>
          </w:tcPr>
          <w:p w14:paraId="281A14BE" w14:textId="120B0E37" w:rsidR="00305E25" w:rsidRDefault="00305E25" w:rsidP="00305E25">
            <w:pPr>
              <w:jc w:val="center"/>
              <w:rPr>
                <w:sz w:val="20"/>
                <w:szCs w:val="20"/>
              </w:rPr>
            </w:pPr>
            <w:r>
              <w:rPr>
                <w:rFonts w:eastAsia="Times New Roman"/>
                <w:sz w:val="18"/>
                <w:szCs w:val="18"/>
              </w:rPr>
              <w:t>310 CMR 22.07E</w:t>
            </w:r>
          </w:p>
        </w:tc>
      </w:tr>
      <w:tr w:rsidR="00305E25" w14:paraId="281A14C6" w14:textId="77777777" w:rsidTr="00305E25">
        <w:trPr>
          <w:trHeight w:val="278"/>
        </w:trPr>
        <w:tc>
          <w:tcPr>
            <w:tcW w:w="3820" w:type="dxa"/>
            <w:tcBorders>
              <w:left w:val="single" w:sz="8" w:space="0" w:color="auto"/>
              <w:bottom w:val="single" w:sz="8" w:space="0" w:color="auto"/>
              <w:right w:val="single" w:sz="8" w:space="0" w:color="auto"/>
            </w:tcBorders>
            <w:vAlign w:val="center"/>
          </w:tcPr>
          <w:p w14:paraId="281A14C1" w14:textId="62502C86"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Chlorine (MRDL)</w:t>
            </w:r>
          </w:p>
        </w:tc>
        <w:tc>
          <w:tcPr>
            <w:tcW w:w="1000" w:type="dxa"/>
            <w:gridSpan w:val="2"/>
            <w:tcBorders>
              <w:bottom w:val="single" w:sz="8" w:space="0" w:color="auto"/>
              <w:right w:val="single" w:sz="8" w:space="0" w:color="auto"/>
            </w:tcBorders>
            <w:vAlign w:val="center"/>
          </w:tcPr>
          <w:p w14:paraId="281A14C2" w14:textId="77777777" w:rsidR="00305E25" w:rsidRDefault="00305E25" w:rsidP="00305E25">
            <w:pPr>
              <w:jc w:val="center"/>
              <w:rPr>
                <w:sz w:val="20"/>
                <w:szCs w:val="20"/>
              </w:rPr>
            </w:pPr>
            <w:r>
              <w:rPr>
                <w:rFonts w:eastAsia="Times New Roman"/>
                <w:sz w:val="18"/>
                <w:szCs w:val="18"/>
              </w:rPr>
              <w:t>2</w:t>
            </w:r>
          </w:p>
        </w:tc>
        <w:tc>
          <w:tcPr>
            <w:tcW w:w="2340" w:type="dxa"/>
            <w:tcBorders>
              <w:bottom w:val="single" w:sz="8" w:space="0" w:color="auto"/>
              <w:right w:val="single" w:sz="8" w:space="0" w:color="auto"/>
            </w:tcBorders>
            <w:vAlign w:val="center"/>
          </w:tcPr>
          <w:p w14:paraId="281A14C3" w14:textId="701E3AB1" w:rsidR="00305E25" w:rsidRDefault="00305E25" w:rsidP="00305E25">
            <w:pPr>
              <w:jc w:val="center"/>
              <w:rPr>
                <w:sz w:val="20"/>
                <w:szCs w:val="20"/>
              </w:rPr>
            </w:pPr>
            <w:r>
              <w:rPr>
                <w:rFonts w:eastAsia="Times New Roman"/>
                <w:sz w:val="18"/>
                <w:szCs w:val="18"/>
              </w:rPr>
              <w:t>310 CMR 22.07E</w:t>
            </w:r>
          </w:p>
        </w:tc>
        <w:tc>
          <w:tcPr>
            <w:tcW w:w="900" w:type="dxa"/>
            <w:tcBorders>
              <w:bottom w:val="single" w:sz="8" w:space="0" w:color="auto"/>
              <w:right w:val="single" w:sz="8" w:space="0" w:color="auto"/>
            </w:tcBorders>
            <w:vAlign w:val="center"/>
          </w:tcPr>
          <w:p w14:paraId="281A14C4" w14:textId="77777777" w:rsidR="00305E25" w:rsidRDefault="00305E25" w:rsidP="00305E25">
            <w:pPr>
              <w:jc w:val="center"/>
              <w:rPr>
                <w:sz w:val="20"/>
                <w:szCs w:val="20"/>
              </w:rPr>
            </w:pPr>
            <w:r>
              <w:rPr>
                <w:rFonts w:eastAsia="Times New Roman"/>
                <w:sz w:val="18"/>
                <w:szCs w:val="18"/>
              </w:rPr>
              <w:t>3</w:t>
            </w:r>
          </w:p>
        </w:tc>
        <w:tc>
          <w:tcPr>
            <w:tcW w:w="2500" w:type="dxa"/>
            <w:tcBorders>
              <w:bottom w:val="single" w:sz="8" w:space="0" w:color="auto"/>
              <w:right w:val="single" w:sz="8" w:space="0" w:color="auto"/>
            </w:tcBorders>
            <w:vAlign w:val="center"/>
          </w:tcPr>
          <w:p w14:paraId="281A14C5" w14:textId="4D2D12B2" w:rsidR="00305E25" w:rsidRDefault="00305E25" w:rsidP="00305E25">
            <w:pPr>
              <w:jc w:val="center"/>
              <w:rPr>
                <w:sz w:val="20"/>
                <w:szCs w:val="20"/>
              </w:rPr>
            </w:pPr>
            <w:r>
              <w:rPr>
                <w:rFonts w:eastAsia="Times New Roman"/>
                <w:sz w:val="18"/>
                <w:szCs w:val="18"/>
              </w:rPr>
              <w:t>310 CMR 22.07E</w:t>
            </w:r>
          </w:p>
        </w:tc>
      </w:tr>
      <w:tr w:rsidR="00305E25" w14:paraId="281A14CD" w14:textId="77777777" w:rsidTr="00305E25">
        <w:trPr>
          <w:trHeight w:val="280"/>
        </w:trPr>
        <w:tc>
          <w:tcPr>
            <w:tcW w:w="3820" w:type="dxa"/>
            <w:tcBorders>
              <w:left w:val="single" w:sz="8" w:space="0" w:color="auto"/>
              <w:bottom w:val="single" w:sz="8" w:space="0" w:color="auto"/>
              <w:right w:val="single" w:sz="8" w:space="0" w:color="auto"/>
            </w:tcBorders>
            <w:vAlign w:val="center"/>
          </w:tcPr>
          <w:p w14:paraId="281A14C8" w14:textId="6C40E9C8"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Chloramines (MRDL)</w:t>
            </w:r>
          </w:p>
        </w:tc>
        <w:tc>
          <w:tcPr>
            <w:tcW w:w="1000" w:type="dxa"/>
            <w:gridSpan w:val="2"/>
            <w:tcBorders>
              <w:bottom w:val="single" w:sz="8" w:space="0" w:color="auto"/>
              <w:right w:val="single" w:sz="8" w:space="0" w:color="auto"/>
            </w:tcBorders>
            <w:vAlign w:val="center"/>
          </w:tcPr>
          <w:p w14:paraId="281A14C9" w14:textId="77777777" w:rsidR="00305E25" w:rsidRDefault="00305E25" w:rsidP="00305E25">
            <w:pPr>
              <w:jc w:val="center"/>
              <w:rPr>
                <w:sz w:val="20"/>
                <w:szCs w:val="20"/>
              </w:rPr>
            </w:pPr>
            <w:r>
              <w:rPr>
                <w:rFonts w:eastAsia="Times New Roman"/>
                <w:sz w:val="18"/>
                <w:szCs w:val="18"/>
              </w:rPr>
              <w:t>2</w:t>
            </w:r>
          </w:p>
        </w:tc>
        <w:tc>
          <w:tcPr>
            <w:tcW w:w="2340" w:type="dxa"/>
            <w:tcBorders>
              <w:bottom w:val="single" w:sz="8" w:space="0" w:color="auto"/>
              <w:right w:val="single" w:sz="8" w:space="0" w:color="auto"/>
            </w:tcBorders>
            <w:vAlign w:val="center"/>
          </w:tcPr>
          <w:p w14:paraId="281A14CA" w14:textId="52BE9CB3" w:rsidR="00305E25" w:rsidRDefault="00305E25" w:rsidP="00305E25">
            <w:pPr>
              <w:jc w:val="center"/>
              <w:rPr>
                <w:sz w:val="20"/>
                <w:szCs w:val="20"/>
              </w:rPr>
            </w:pPr>
            <w:r>
              <w:rPr>
                <w:rFonts w:eastAsia="Times New Roman"/>
                <w:sz w:val="18"/>
                <w:szCs w:val="18"/>
              </w:rPr>
              <w:t>310 CMR 22.07E</w:t>
            </w:r>
          </w:p>
        </w:tc>
        <w:tc>
          <w:tcPr>
            <w:tcW w:w="900" w:type="dxa"/>
            <w:tcBorders>
              <w:bottom w:val="single" w:sz="8" w:space="0" w:color="auto"/>
              <w:right w:val="single" w:sz="8" w:space="0" w:color="auto"/>
            </w:tcBorders>
            <w:vAlign w:val="center"/>
          </w:tcPr>
          <w:p w14:paraId="281A14CB" w14:textId="77777777" w:rsidR="00305E25" w:rsidRDefault="00305E25" w:rsidP="00305E25">
            <w:pPr>
              <w:jc w:val="center"/>
              <w:rPr>
                <w:sz w:val="20"/>
                <w:szCs w:val="20"/>
              </w:rPr>
            </w:pPr>
            <w:r>
              <w:rPr>
                <w:rFonts w:eastAsia="Times New Roman"/>
                <w:sz w:val="18"/>
                <w:szCs w:val="18"/>
              </w:rPr>
              <w:t>3</w:t>
            </w:r>
          </w:p>
        </w:tc>
        <w:tc>
          <w:tcPr>
            <w:tcW w:w="2500" w:type="dxa"/>
            <w:tcBorders>
              <w:bottom w:val="single" w:sz="8" w:space="0" w:color="auto"/>
              <w:right w:val="single" w:sz="8" w:space="0" w:color="auto"/>
            </w:tcBorders>
            <w:vAlign w:val="center"/>
          </w:tcPr>
          <w:p w14:paraId="281A14CC" w14:textId="553311C7" w:rsidR="00305E25" w:rsidRDefault="00305E25" w:rsidP="00305E25">
            <w:pPr>
              <w:jc w:val="center"/>
              <w:rPr>
                <w:sz w:val="20"/>
                <w:szCs w:val="20"/>
              </w:rPr>
            </w:pPr>
            <w:r>
              <w:rPr>
                <w:rFonts w:eastAsia="Times New Roman"/>
                <w:sz w:val="18"/>
                <w:szCs w:val="18"/>
              </w:rPr>
              <w:t>310 CMR 22.07E</w:t>
            </w:r>
          </w:p>
        </w:tc>
      </w:tr>
      <w:tr w:rsidR="00305E25" w14:paraId="281A14D4" w14:textId="77777777" w:rsidTr="00305E25">
        <w:trPr>
          <w:trHeight w:val="836"/>
        </w:trPr>
        <w:tc>
          <w:tcPr>
            <w:tcW w:w="3820" w:type="dxa"/>
            <w:tcBorders>
              <w:top w:val="single" w:sz="8" w:space="0" w:color="auto"/>
              <w:left w:val="single" w:sz="8" w:space="0" w:color="auto"/>
              <w:bottom w:val="single" w:sz="8" w:space="0" w:color="auto"/>
              <w:right w:val="single" w:sz="8" w:space="0" w:color="auto"/>
            </w:tcBorders>
            <w:vAlign w:val="center"/>
          </w:tcPr>
          <w:p w14:paraId="281A14CF" w14:textId="08074A17" w:rsidR="00305E25" w:rsidRPr="00305E25" w:rsidRDefault="00305E25" w:rsidP="00563A54">
            <w:pPr>
              <w:pStyle w:val="ListParagraph"/>
              <w:numPr>
                <w:ilvl w:val="0"/>
                <w:numId w:val="932"/>
              </w:numPr>
              <w:tabs>
                <w:tab w:val="left" w:pos="240"/>
              </w:tabs>
              <w:rPr>
                <w:rFonts w:eastAsia="Times New Roman"/>
                <w:sz w:val="18"/>
                <w:szCs w:val="18"/>
              </w:rPr>
            </w:pPr>
            <w:r w:rsidRPr="00A942A9">
              <w:rPr>
                <w:rFonts w:eastAsia="Times New Roman"/>
                <w:sz w:val="18"/>
                <w:szCs w:val="18"/>
              </w:rPr>
              <w:t>Chlorine dioxide (MRDL) where any two consecutive daily samples at entrance to Distribution System only are above MRDL</w:t>
            </w:r>
          </w:p>
        </w:tc>
        <w:tc>
          <w:tcPr>
            <w:tcW w:w="1000" w:type="dxa"/>
            <w:gridSpan w:val="2"/>
            <w:tcBorders>
              <w:top w:val="single" w:sz="8" w:space="0" w:color="auto"/>
              <w:left w:val="single" w:sz="8" w:space="0" w:color="auto"/>
              <w:bottom w:val="single" w:sz="8" w:space="0" w:color="auto"/>
              <w:right w:val="single" w:sz="8" w:space="0" w:color="auto"/>
            </w:tcBorders>
            <w:vAlign w:val="center"/>
          </w:tcPr>
          <w:p w14:paraId="281A14D0" w14:textId="77777777" w:rsidR="00305E25" w:rsidRDefault="00305E25" w:rsidP="00305E25">
            <w:pPr>
              <w:jc w:val="center"/>
              <w:rPr>
                <w:sz w:val="20"/>
                <w:szCs w:val="20"/>
              </w:rPr>
            </w:pPr>
            <w:r>
              <w:rPr>
                <w:rFonts w:eastAsia="Times New Roman"/>
                <w:sz w:val="18"/>
                <w:szCs w:val="18"/>
              </w:rPr>
              <w:t>2</w:t>
            </w:r>
          </w:p>
        </w:tc>
        <w:tc>
          <w:tcPr>
            <w:tcW w:w="2340" w:type="dxa"/>
            <w:tcBorders>
              <w:top w:val="single" w:sz="8" w:space="0" w:color="auto"/>
              <w:bottom w:val="single" w:sz="8" w:space="0" w:color="auto"/>
              <w:right w:val="single" w:sz="8" w:space="0" w:color="auto"/>
            </w:tcBorders>
            <w:vAlign w:val="center"/>
          </w:tcPr>
          <w:p w14:paraId="281A14D1" w14:textId="758E575D" w:rsidR="00305E25" w:rsidRDefault="00305E25" w:rsidP="00305E25">
            <w:pPr>
              <w:jc w:val="center"/>
              <w:rPr>
                <w:sz w:val="20"/>
                <w:szCs w:val="20"/>
              </w:rPr>
            </w:pPr>
            <w:r>
              <w:rPr>
                <w:rFonts w:eastAsia="Times New Roman"/>
                <w:sz w:val="18"/>
                <w:szCs w:val="18"/>
              </w:rPr>
              <w:t>310 CMR 22.07E</w:t>
            </w:r>
          </w:p>
        </w:tc>
        <w:tc>
          <w:tcPr>
            <w:tcW w:w="900" w:type="dxa"/>
            <w:tcBorders>
              <w:top w:val="single" w:sz="8" w:space="0" w:color="auto"/>
              <w:bottom w:val="single" w:sz="8" w:space="0" w:color="auto"/>
              <w:right w:val="single" w:sz="8" w:space="0" w:color="auto"/>
            </w:tcBorders>
            <w:vAlign w:val="center"/>
          </w:tcPr>
          <w:p w14:paraId="281A14D2" w14:textId="4DFB1080" w:rsidR="00305E25" w:rsidRDefault="007038A0" w:rsidP="00305E25">
            <w:pPr>
              <w:jc w:val="center"/>
              <w:rPr>
                <w:sz w:val="20"/>
                <w:szCs w:val="20"/>
              </w:rPr>
            </w:pPr>
            <w:r>
              <w:rPr>
                <w:rFonts w:eastAsia="Times New Roman"/>
                <w:sz w:val="18"/>
                <w:szCs w:val="18"/>
              </w:rPr>
              <w:t>2</w:t>
            </w:r>
            <w:r w:rsidRPr="00787D7D">
              <w:rPr>
                <w:rFonts w:eastAsia="Times New Roman"/>
                <w:sz w:val="18"/>
                <w:szCs w:val="18"/>
                <w:vertAlign w:val="superscript"/>
              </w:rPr>
              <w:t>14</w:t>
            </w:r>
            <w:r>
              <w:rPr>
                <w:rFonts w:eastAsia="Times New Roman"/>
                <w:sz w:val="18"/>
                <w:szCs w:val="18"/>
              </w:rPr>
              <w:t xml:space="preserve">, </w:t>
            </w:r>
            <w:r w:rsidR="00305E25">
              <w:rPr>
                <w:rFonts w:eastAsia="Times New Roman"/>
                <w:sz w:val="18"/>
                <w:szCs w:val="18"/>
              </w:rPr>
              <w:t>3</w:t>
            </w:r>
          </w:p>
        </w:tc>
        <w:tc>
          <w:tcPr>
            <w:tcW w:w="2500" w:type="dxa"/>
            <w:tcBorders>
              <w:top w:val="single" w:sz="8" w:space="0" w:color="auto"/>
              <w:bottom w:val="single" w:sz="8" w:space="0" w:color="auto"/>
              <w:right w:val="single" w:sz="8" w:space="0" w:color="auto"/>
            </w:tcBorders>
            <w:vAlign w:val="center"/>
          </w:tcPr>
          <w:p w14:paraId="281A14D3" w14:textId="233DD457" w:rsidR="00305E25" w:rsidRDefault="00305E25" w:rsidP="00305E25">
            <w:pPr>
              <w:jc w:val="center"/>
              <w:rPr>
                <w:sz w:val="20"/>
                <w:szCs w:val="20"/>
              </w:rPr>
            </w:pPr>
            <w:r>
              <w:rPr>
                <w:rFonts w:eastAsia="Times New Roman"/>
                <w:sz w:val="18"/>
                <w:szCs w:val="18"/>
              </w:rPr>
              <w:t>310 CMR 22.07E</w:t>
            </w:r>
          </w:p>
        </w:tc>
      </w:tr>
    </w:tbl>
    <w:p w14:paraId="281A14E1" w14:textId="77777777" w:rsidR="004647B9" w:rsidRDefault="004647B9">
      <w:pPr>
        <w:sectPr w:rsidR="004647B9" w:rsidSect="00EF630C">
          <w:pgSz w:w="12240" w:h="20180"/>
          <w:pgMar w:top="708" w:right="1080" w:bottom="1440" w:left="600" w:header="0" w:footer="0" w:gutter="0"/>
          <w:cols w:space="720"/>
        </w:sectPr>
      </w:pPr>
    </w:p>
    <w:p w14:paraId="281A14E2" w14:textId="77777777" w:rsidR="004647B9" w:rsidRDefault="00E2436F">
      <w:pPr>
        <w:tabs>
          <w:tab w:val="left" w:pos="2860"/>
        </w:tabs>
        <w:ind w:left="1680"/>
        <w:rPr>
          <w:sz w:val="20"/>
          <w:szCs w:val="20"/>
        </w:rPr>
      </w:pPr>
      <w:bookmarkStart w:id="195" w:name="page197"/>
      <w:bookmarkEnd w:id="19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4E3" w14:textId="77777777" w:rsidR="004647B9" w:rsidRDefault="004647B9" w:rsidP="00F735C6">
      <w:pPr>
        <w:rPr>
          <w:sz w:val="20"/>
          <w:szCs w:val="20"/>
        </w:rPr>
      </w:pPr>
    </w:p>
    <w:p w14:paraId="281A14E4" w14:textId="77777777" w:rsidR="004647B9" w:rsidRDefault="004647B9" w:rsidP="00F735C6">
      <w:pPr>
        <w:rPr>
          <w:sz w:val="20"/>
          <w:szCs w:val="20"/>
        </w:rPr>
      </w:pPr>
    </w:p>
    <w:p w14:paraId="281A14E5" w14:textId="77777777" w:rsidR="004647B9" w:rsidRPr="00F735C6" w:rsidRDefault="00E2436F" w:rsidP="00F735C6">
      <w:pPr>
        <w:tabs>
          <w:tab w:val="left" w:pos="760"/>
        </w:tabs>
        <w:rPr>
          <w:sz w:val="24"/>
          <w:szCs w:val="24"/>
        </w:rPr>
      </w:pPr>
      <w:r w:rsidRPr="00F735C6">
        <w:rPr>
          <w:rFonts w:eastAsia="Times New Roman"/>
          <w:sz w:val="24"/>
          <w:szCs w:val="24"/>
        </w:rPr>
        <w:t>22.16:</w:t>
      </w:r>
      <w:r w:rsidRPr="00F735C6">
        <w:rPr>
          <w:rFonts w:eastAsia="Times New Roman"/>
          <w:sz w:val="24"/>
          <w:szCs w:val="24"/>
        </w:rPr>
        <w:tab/>
        <w:t>continued</w:t>
      </w:r>
    </w:p>
    <w:p w14:paraId="281A14E6" w14:textId="77777777" w:rsidR="004647B9" w:rsidRDefault="004647B9" w:rsidP="00F735C6">
      <w:pPr>
        <w:rPr>
          <w:sz w:val="20"/>
          <w:szCs w:val="20"/>
        </w:rPr>
      </w:pPr>
    </w:p>
    <w:tbl>
      <w:tblPr>
        <w:tblW w:w="10560" w:type="dxa"/>
        <w:tblInd w:w="10" w:type="dxa"/>
        <w:tblLayout w:type="fixed"/>
        <w:tblCellMar>
          <w:left w:w="0" w:type="dxa"/>
          <w:right w:w="0" w:type="dxa"/>
        </w:tblCellMar>
        <w:tblLook w:val="04A0" w:firstRow="1" w:lastRow="0" w:firstColumn="1" w:lastColumn="0" w:noHBand="0" w:noVBand="1"/>
      </w:tblPr>
      <w:tblGrid>
        <w:gridCol w:w="3840"/>
        <w:gridCol w:w="980"/>
        <w:gridCol w:w="2340"/>
        <w:gridCol w:w="900"/>
        <w:gridCol w:w="2500"/>
      </w:tblGrid>
      <w:tr w:rsidR="00305E25" w14:paraId="281A14EC" w14:textId="77777777" w:rsidTr="00305E25">
        <w:trPr>
          <w:trHeight w:val="318"/>
        </w:trPr>
        <w:tc>
          <w:tcPr>
            <w:tcW w:w="3840" w:type="dxa"/>
            <w:vMerge w:val="restart"/>
            <w:tcBorders>
              <w:top w:val="single" w:sz="8" w:space="0" w:color="auto"/>
              <w:left w:val="single" w:sz="8" w:space="0" w:color="auto"/>
              <w:bottom w:val="single" w:sz="8" w:space="0" w:color="auto"/>
              <w:right w:val="single" w:sz="8" w:space="0" w:color="auto"/>
            </w:tcBorders>
            <w:vAlign w:val="center"/>
          </w:tcPr>
          <w:p w14:paraId="281A14E8" w14:textId="625A2A65" w:rsidR="00305E25" w:rsidRDefault="00305E25" w:rsidP="00305E25">
            <w:pPr>
              <w:jc w:val="center"/>
              <w:rPr>
                <w:sz w:val="24"/>
                <w:szCs w:val="24"/>
              </w:rPr>
            </w:pPr>
            <w:r>
              <w:rPr>
                <w:rFonts w:eastAsia="Times New Roman"/>
                <w:sz w:val="18"/>
                <w:szCs w:val="18"/>
              </w:rPr>
              <w:t>Contaminant</w:t>
            </w:r>
          </w:p>
        </w:tc>
        <w:tc>
          <w:tcPr>
            <w:tcW w:w="3320" w:type="dxa"/>
            <w:gridSpan w:val="2"/>
            <w:vMerge w:val="restart"/>
            <w:tcBorders>
              <w:top w:val="single" w:sz="8" w:space="0" w:color="auto"/>
              <w:left w:val="single" w:sz="8" w:space="0" w:color="auto"/>
              <w:right w:val="single" w:sz="8" w:space="0" w:color="auto"/>
            </w:tcBorders>
            <w:vAlign w:val="center"/>
          </w:tcPr>
          <w:p w14:paraId="281A14E9" w14:textId="77777777" w:rsidR="00305E25" w:rsidRDefault="00305E25" w:rsidP="00305E25">
            <w:pPr>
              <w:jc w:val="center"/>
              <w:rPr>
                <w:sz w:val="20"/>
                <w:szCs w:val="20"/>
              </w:rPr>
            </w:pPr>
            <w:r>
              <w:rPr>
                <w:rFonts w:eastAsia="Times New Roman"/>
                <w:sz w:val="18"/>
                <w:szCs w:val="18"/>
              </w:rPr>
              <w:t xml:space="preserve">MCL/MRDL/TT violations </w:t>
            </w:r>
            <w:r>
              <w:rPr>
                <w:rFonts w:eastAsia="Times New Roman"/>
                <w:sz w:val="24"/>
                <w:szCs w:val="24"/>
                <w:vertAlign w:val="superscript"/>
              </w:rPr>
              <w:t>2</w:t>
            </w:r>
          </w:p>
        </w:tc>
        <w:tc>
          <w:tcPr>
            <w:tcW w:w="3400" w:type="dxa"/>
            <w:gridSpan w:val="2"/>
            <w:vMerge w:val="restart"/>
            <w:tcBorders>
              <w:top w:val="single" w:sz="8" w:space="0" w:color="auto"/>
              <w:bottom w:val="single" w:sz="8" w:space="0" w:color="auto"/>
              <w:right w:val="single" w:sz="8" w:space="0" w:color="auto"/>
            </w:tcBorders>
            <w:vAlign w:val="center"/>
          </w:tcPr>
          <w:p w14:paraId="2F8E34DE" w14:textId="77777777" w:rsidR="00305E25" w:rsidRDefault="00305E25" w:rsidP="00305E25">
            <w:pPr>
              <w:jc w:val="center"/>
              <w:rPr>
                <w:sz w:val="20"/>
                <w:szCs w:val="20"/>
              </w:rPr>
            </w:pPr>
            <w:r>
              <w:rPr>
                <w:rFonts w:eastAsia="Times New Roman"/>
                <w:sz w:val="18"/>
                <w:szCs w:val="18"/>
              </w:rPr>
              <w:t>Monitoring &amp; testing procedure</w:t>
            </w:r>
          </w:p>
          <w:p w14:paraId="281A14EA" w14:textId="7D8EE796" w:rsidR="00305E25" w:rsidRDefault="00305E25" w:rsidP="00305E25">
            <w:pPr>
              <w:jc w:val="center"/>
              <w:rPr>
                <w:sz w:val="20"/>
                <w:szCs w:val="20"/>
              </w:rPr>
            </w:pPr>
            <w:r>
              <w:rPr>
                <w:rFonts w:eastAsia="Times New Roman"/>
                <w:sz w:val="18"/>
                <w:szCs w:val="18"/>
              </w:rPr>
              <w:t>violations</w:t>
            </w:r>
          </w:p>
        </w:tc>
      </w:tr>
      <w:tr w:rsidR="00305E25" w14:paraId="281A14F3" w14:textId="77777777" w:rsidTr="00305E25">
        <w:trPr>
          <w:trHeight w:val="140"/>
        </w:trPr>
        <w:tc>
          <w:tcPr>
            <w:tcW w:w="3840" w:type="dxa"/>
            <w:vMerge/>
            <w:tcBorders>
              <w:left w:val="single" w:sz="8" w:space="0" w:color="auto"/>
              <w:bottom w:val="single" w:sz="8" w:space="0" w:color="auto"/>
              <w:right w:val="single" w:sz="8" w:space="0" w:color="auto"/>
            </w:tcBorders>
            <w:vAlign w:val="bottom"/>
          </w:tcPr>
          <w:p w14:paraId="281A14EE" w14:textId="6535622B" w:rsidR="00305E25" w:rsidRDefault="00305E25" w:rsidP="00347FE4">
            <w:pPr>
              <w:ind w:left="1400"/>
              <w:rPr>
                <w:sz w:val="12"/>
                <w:szCs w:val="12"/>
              </w:rPr>
            </w:pPr>
          </w:p>
        </w:tc>
        <w:tc>
          <w:tcPr>
            <w:tcW w:w="3320" w:type="dxa"/>
            <w:gridSpan w:val="2"/>
            <w:vMerge/>
            <w:tcBorders>
              <w:left w:val="single" w:sz="8" w:space="0" w:color="auto"/>
              <w:right w:val="single" w:sz="8" w:space="0" w:color="auto"/>
            </w:tcBorders>
            <w:vAlign w:val="bottom"/>
          </w:tcPr>
          <w:p w14:paraId="281A14EF" w14:textId="77777777" w:rsidR="00305E25" w:rsidRDefault="00305E25">
            <w:pPr>
              <w:rPr>
                <w:sz w:val="12"/>
                <w:szCs w:val="12"/>
              </w:rPr>
            </w:pPr>
          </w:p>
        </w:tc>
        <w:tc>
          <w:tcPr>
            <w:tcW w:w="3400" w:type="dxa"/>
            <w:gridSpan w:val="2"/>
            <w:vMerge/>
            <w:tcBorders>
              <w:bottom w:val="single" w:sz="8" w:space="0" w:color="auto"/>
              <w:right w:val="single" w:sz="8" w:space="0" w:color="auto"/>
            </w:tcBorders>
            <w:vAlign w:val="bottom"/>
          </w:tcPr>
          <w:p w14:paraId="281A14F1" w14:textId="555026C3" w:rsidR="00305E25" w:rsidRDefault="00305E25">
            <w:pPr>
              <w:ind w:left="400"/>
              <w:rPr>
                <w:sz w:val="20"/>
                <w:szCs w:val="20"/>
              </w:rPr>
            </w:pPr>
          </w:p>
        </w:tc>
      </w:tr>
      <w:tr w:rsidR="00305E25" w14:paraId="281A14FC" w14:textId="77777777" w:rsidTr="00305E25">
        <w:trPr>
          <w:trHeight w:val="141"/>
        </w:trPr>
        <w:tc>
          <w:tcPr>
            <w:tcW w:w="3840" w:type="dxa"/>
            <w:vMerge/>
            <w:tcBorders>
              <w:left w:val="single" w:sz="8" w:space="0" w:color="auto"/>
              <w:bottom w:val="single" w:sz="8" w:space="0" w:color="auto"/>
              <w:right w:val="single" w:sz="8" w:space="0" w:color="auto"/>
            </w:tcBorders>
            <w:vAlign w:val="bottom"/>
          </w:tcPr>
          <w:p w14:paraId="281A14F5" w14:textId="4067723B" w:rsidR="00305E25" w:rsidRDefault="00305E25" w:rsidP="00347FE4">
            <w:pPr>
              <w:ind w:left="1400"/>
              <w:rPr>
                <w:sz w:val="12"/>
                <w:szCs w:val="12"/>
              </w:rPr>
            </w:pPr>
          </w:p>
        </w:tc>
        <w:tc>
          <w:tcPr>
            <w:tcW w:w="3320" w:type="dxa"/>
            <w:gridSpan w:val="2"/>
            <w:vMerge/>
            <w:tcBorders>
              <w:left w:val="single" w:sz="8" w:space="0" w:color="auto"/>
              <w:right w:val="single" w:sz="8" w:space="0" w:color="auto"/>
            </w:tcBorders>
            <w:vAlign w:val="bottom"/>
          </w:tcPr>
          <w:p w14:paraId="281A14F8" w14:textId="77777777" w:rsidR="00305E25" w:rsidRDefault="00305E25">
            <w:pPr>
              <w:rPr>
                <w:sz w:val="12"/>
                <w:szCs w:val="12"/>
              </w:rPr>
            </w:pPr>
          </w:p>
        </w:tc>
        <w:tc>
          <w:tcPr>
            <w:tcW w:w="3400" w:type="dxa"/>
            <w:gridSpan w:val="2"/>
            <w:vMerge/>
            <w:tcBorders>
              <w:left w:val="single" w:sz="8" w:space="0" w:color="auto"/>
              <w:bottom w:val="single" w:sz="8" w:space="0" w:color="auto"/>
              <w:right w:val="single" w:sz="8" w:space="0" w:color="auto"/>
            </w:tcBorders>
            <w:vAlign w:val="bottom"/>
          </w:tcPr>
          <w:p w14:paraId="281A14FA" w14:textId="77777777" w:rsidR="00305E25" w:rsidRDefault="00305E25">
            <w:pPr>
              <w:rPr>
                <w:sz w:val="12"/>
                <w:szCs w:val="12"/>
              </w:rPr>
            </w:pPr>
          </w:p>
        </w:tc>
      </w:tr>
      <w:tr w:rsidR="00305E25" w14:paraId="281A1505" w14:textId="77777777" w:rsidTr="00305E25">
        <w:trPr>
          <w:trHeight w:val="74"/>
        </w:trPr>
        <w:tc>
          <w:tcPr>
            <w:tcW w:w="3840" w:type="dxa"/>
            <w:vMerge/>
            <w:tcBorders>
              <w:left w:val="single" w:sz="8" w:space="0" w:color="auto"/>
              <w:bottom w:val="single" w:sz="8" w:space="0" w:color="auto"/>
              <w:right w:val="single" w:sz="8" w:space="0" w:color="auto"/>
            </w:tcBorders>
            <w:vAlign w:val="bottom"/>
          </w:tcPr>
          <w:p w14:paraId="281A14FE" w14:textId="671DF420" w:rsidR="00305E25" w:rsidRDefault="00305E25" w:rsidP="00347FE4">
            <w:pPr>
              <w:ind w:left="1400"/>
              <w:rPr>
                <w:sz w:val="6"/>
                <w:szCs w:val="6"/>
              </w:rPr>
            </w:pPr>
          </w:p>
        </w:tc>
        <w:tc>
          <w:tcPr>
            <w:tcW w:w="3320" w:type="dxa"/>
            <w:gridSpan w:val="2"/>
            <w:vMerge/>
            <w:tcBorders>
              <w:left w:val="single" w:sz="8" w:space="0" w:color="auto"/>
              <w:bottom w:val="single" w:sz="8" w:space="0" w:color="auto"/>
              <w:right w:val="single" w:sz="8" w:space="0" w:color="auto"/>
            </w:tcBorders>
            <w:vAlign w:val="bottom"/>
          </w:tcPr>
          <w:p w14:paraId="281A1501" w14:textId="77777777" w:rsidR="00305E25" w:rsidRDefault="00305E25">
            <w:pPr>
              <w:rPr>
                <w:sz w:val="6"/>
                <w:szCs w:val="6"/>
              </w:rPr>
            </w:pPr>
          </w:p>
        </w:tc>
        <w:tc>
          <w:tcPr>
            <w:tcW w:w="3400" w:type="dxa"/>
            <w:gridSpan w:val="2"/>
            <w:vMerge/>
            <w:tcBorders>
              <w:left w:val="single" w:sz="8" w:space="0" w:color="auto"/>
              <w:bottom w:val="single" w:sz="8" w:space="0" w:color="auto"/>
              <w:right w:val="single" w:sz="8" w:space="0" w:color="auto"/>
            </w:tcBorders>
            <w:vAlign w:val="bottom"/>
          </w:tcPr>
          <w:p w14:paraId="281A1503" w14:textId="77777777" w:rsidR="00305E25" w:rsidRDefault="00305E25">
            <w:pPr>
              <w:rPr>
                <w:sz w:val="6"/>
                <w:szCs w:val="6"/>
              </w:rPr>
            </w:pPr>
          </w:p>
        </w:tc>
      </w:tr>
      <w:tr w:rsidR="00305E25" w14:paraId="281A150D" w14:textId="77777777" w:rsidTr="00305E25">
        <w:trPr>
          <w:trHeight w:val="1275"/>
        </w:trPr>
        <w:tc>
          <w:tcPr>
            <w:tcW w:w="3840" w:type="dxa"/>
            <w:vMerge/>
            <w:tcBorders>
              <w:left w:val="single" w:sz="8" w:space="0" w:color="auto"/>
              <w:bottom w:val="single" w:sz="8" w:space="0" w:color="auto"/>
              <w:right w:val="single" w:sz="8" w:space="0" w:color="auto"/>
            </w:tcBorders>
            <w:vAlign w:val="bottom"/>
          </w:tcPr>
          <w:p w14:paraId="281A1506" w14:textId="692DFFF3" w:rsidR="00305E25" w:rsidRDefault="00305E25">
            <w:pPr>
              <w:ind w:left="1400"/>
              <w:rPr>
                <w:sz w:val="20"/>
                <w:szCs w:val="20"/>
              </w:rPr>
            </w:pPr>
          </w:p>
        </w:tc>
        <w:tc>
          <w:tcPr>
            <w:tcW w:w="980" w:type="dxa"/>
            <w:tcBorders>
              <w:bottom w:val="single" w:sz="8" w:space="0" w:color="auto"/>
              <w:right w:val="single" w:sz="8" w:space="0" w:color="auto"/>
            </w:tcBorders>
            <w:vAlign w:val="center"/>
          </w:tcPr>
          <w:p w14:paraId="7C4478E4" w14:textId="77777777" w:rsidR="00305E25" w:rsidRDefault="00305E25" w:rsidP="00305E25">
            <w:pPr>
              <w:jc w:val="center"/>
              <w:rPr>
                <w:sz w:val="20"/>
                <w:szCs w:val="20"/>
              </w:rPr>
            </w:pPr>
            <w:r>
              <w:rPr>
                <w:rFonts w:eastAsia="Times New Roman"/>
                <w:sz w:val="18"/>
                <w:szCs w:val="18"/>
              </w:rPr>
              <w:t>Tier of</w:t>
            </w:r>
          </w:p>
          <w:p w14:paraId="69DEB0E5" w14:textId="77777777" w:rsidR="00305E25" w:rsidRDefault="00305E25" w:rsidP="00305E25">
            <w:pPr>
              <w:jc w:val="center"/>
              <w:rPr>
                <w:sz w:val="20"/>
                <w:szCs w:val="20"/>
              </w:rPr>
            </w:pPr>
            <w:r>
              <w:rPr>
                <w:rFonts w:eastAsia="Times New Roman"/>
                <w:sz w:val="18"/>
                <w:szCs w:val="18"/>
              </w:rPr>
              <w:t>public</w:t>
            </w:r>
          </w:p>
          <w:p w14:paraId="1F353AF4" w14:textId="77777777" w:rsidR="00305E25" w:rsidRDefault="00305E25" w:rsidP="00305E25">
            <w:pPr>
              <w:jc w:val="center"/>
              <w:rPr>
                <w:sz w:val="20"/>
                <w:szCs w:val="20"/>
              </w:rPr>
            </w:pPr>
            <w:r>
              <w:rPr>
                <w:rFonts w:eastAsia="Times New Roman"/>
                <w:sz w:val="18"/>
                <w:szCs w:val="18"/>
              </w:rPr>
              <w:t>notice</w:t>
            </w:r>
          </w:p>
          <w:p w14:paraId="281A1507" w14:textId="58235C7C" w:rsidR="00305E25" w:rsidRDefault="00305E25" w:rsidP="00305E25">
            <w:pPr>
              <w:jc w:val="center"/>
              <w:rPr>
                <w:sz w:val="20"/>
                <w:szCs w:val="20"/>
              </w:rPr>
            </w:pPr>
            <w:r>
              <w:rPr>
                <w:rFonts w:eastAsia="Times New Roman"/>
                <w:sz w:val="18"/>
                <w:szCs w:val="18"/>
              </w:rPr>
              <w:t>required</w:t>
            </w:r>
          </w:p>
        </w:tc>
        <w:tc>
          <w:tcPr>
            <w:tcW w:w="2340" w:type="dxa"/>
            <w:tcBorders>
              <w:bottom w:val="single" w:sz="8" w:space="0" w:color="auto"/>
              <w:right w:val="single" w:sz="8" w:space="0" w:color="auto"/>
            </w:tcBorders>
            <w:vAlign w:val="center"/>
          </w:tcPr>
          <w:p w14:paraId="281A1509" w14:textId="06AB82F1" w:rsidR="00305E25" w:rsidRDefault="00305E25" w:rsidP="00305E25">
            <w:pPr>
              <w:jc w:val="center"/>
              <w:rPr>
                <w:sz w:val="24"/>
                <w:szCs w:val="24"/>
              </w:rPr>
            </w:pPr>
            <w:r>
              <w:rPr>
                <w:rFonts w:eastAsia="Times New Roman"/>
                <w:sz w:val="18"/>
                <w:szCs w:val="18"/>
              </w:rPr>
              <w:t>Citation</w:t>
            </w:r>
          </w:p>
        </w:tc>
        <w:tc>
          <w:tcPr>
            <w:tcW w:w="900" w:type="dxa"/>
            <w:tcBorders>
              <w:left w:val="single" w:sz="8" w:space="0" w:color="auto"/>
              <w:bottom w:val="single" w:sz="8" w:space="0" w:color="auto"/>
              <w:right w:val="single" w:sz="8" w:space="0" w:color="auto"/>
            </w:tcBorders>
            <w:vAlign w:val="center"/>
          </w:tcPr>
          <w:p w14:paraId="09121D22" w14:textId="77777777" w:rsidR="00305E25" w:rsidRDefault="00305E25" w:rsidP="00305E25">
            <w:pPr>
              <w:jc w:val="center"/>
              <w:rPr>
                <w:sz w:val="20"/>
                <w:szCs w:val="20"/>
              </w:rPr>
            </w:pPr>
            <w:r>
              <w:rPr>
                <w:rFonts w:eastAsia="Times New Roman"/>
                <w:sz w:val="18"/>
                <w:szCs w:val="18"/>
              </w:rPr>
              <w:t>Tier of</w:t>
            </w:r>
          </w:p>
          <w:p w14:paraId="16F45F3F" w14:textId="77777777" w:rsidR="00305E25" w:rsidRDefault="00305E25" w:rsidP="00305E25">
            <w:pPr>
              <w:jc w:val="center"/>
              <w:rPr>
                <w:sz w:val="20"/>
                <w:szCs w:val="20"/>
              </w:rPr>
            </w:pPr>
            <w:r>
              <w:rPr>
                <w:rFonts w:eastAsia="Times New Roman"/>
                <w:sz w:val="18"/>
                <w:szCs w:val="18"/>
              </w:rPr>
              <w:t>public</w:t>
            </w:r>
          </w:p>
          <w:p w14:paraId="37F6A8B6" w14:textId="77777777" w:rsidR="00305E25" w:rsidRDefault="00305E25" w:rsidP="00305E25">
            <w:pPr>
              <w:jc w:val="center"/>
              <w:rPr>
                <w:sz w:val="20"/>
                <w:szCs w:val="20"/>
              </w:rPr>
            </w:pPr>
            <w:r>
              <w:rPr>
                <w:rFonts w:eastAsia="Times New Roman"/>
                <w:sz w:val="18"/>
                <w:szCs w:val="18"/>
              </w:rPr>
              <w:t>notice</w:t>
            </w:r>
          </w:p>
          <w:p w14:paraId="281A150A" w14:textId="0CB32A22" w:rsidR="00305E25" w:rsidRDefault="00305E25" w:rsidP="00305E25">
            <w:pPr>
              <w:jc w:val="center"/>
              <w:rPr>
                <w:sz w:val="20"/>
                <w:szCs w:val="20"/>
              </w:rPr>
            </w:pPr>
            <w:r>
              <w:rPr>
                <w:rFonts w:eastAsia="Times New Roman"/>
                <w:sz w:val="18"/>
                <w:szCs w:val="18"/>
              </w:rPr>
              <w:t>required</w:t>
            </w:r>
          </w:p>
        </w:tc>
        <w:tc>
          <w:tcPr>
            <w:tcW w:w="2500" w:type="dxa"/>
            <w:tcBorders>
              <w:bottom w:val="single" w:sz="8" w:space="0" w:color="auto"/>
              <w:right w:val="single" w:sz="8" w:space="0" w:color="auto"/>
            </w:tcBorders>
            <w:vAlign w:val="center"/>
          </w:tcPr>
          <w:p w14:paraId="281A150B" w14:textId="221EFB8B" w:rsidR="00305E25" w:rsidRDefault="00305E25" w:rsidP="00305E25">
            <w:pPr>
              <w:jc w:val="center"/>
              <w:rPr>
                <w:sz w:val="24"/>
                <w:szCs w:val="24"/>
              </w:rPr>
            </w:pPr>
            <w:r>
              <w:rPr>
                <w:rFonts w:eastAsia="Times New Roman"/>
                <w:sz w:val="18"/>
                <w:szCs w:val="18"/>
              </w:rPr>
              <w:t>Citation</w:t>
            </w:r>
          </w:p>
        </w:tc>
      </w:tr>
      <w:tr w:rsidR="00305E25" w14:paraId="281A1549" w14:textId="77777777" w:rsidTr="00305E25">
        <w:trPr>
          <w:trHeight w:val="875"/>
        </w:trPr>
        <w:tc>
          <w:tcPr>
            <w:tcW w:w="3840" w:type="dxa"/>
            <w:tcBorders>
              <w:top w:val="single" w:sz="8" w:space="0" w:color="auto"/>
              <w:left w:val="single" w:sz="8" w:space="0" w:color="auto"/>
              <w:bottom w:val="single" w:sz="8" w:space="0" w:color="auto"/>
              <w:right w:val="single" w:sz="8" w:space="0" w:color="auto"/>
            </w:tcBorders>
            <w:vAlign w:val="center"/>
          </w:tcPr>
          <w:p w14:paraId="281A1542" w14:textId="0F3F7366" w:rsidR="00305E25" w:rsidRDefault="00305E25" w:rsidP="00563A54">
            <w:pPr>
              <w:pStyle w:val="ListParagraph"/>
              <w:numPr>
                <w:ilvl w:val="0"/>
                <w:numId w:val="932"/>
              </w:numPr>
              <w:tabs>
                <w:tab w:val="left" w:pos="240"/>
              </w:tabs>
              <w:rPr>
                <w:sz w:val="20"/>
                <w:szCs w:val="20"/>
              </w:rPr>
            </w:pPr>
            <w:r>
              <w:rPr>
                <w:rFonts w:eastAsia="Times New Roman"/>
                <w:sz w:val="18"/>
                <w:szCs w:val="18"/>
              </w:rPr>
              <w:t>Chlorine dioxide (MRDL), where sample(s) in Distribution System the next day are also above MRDL</w:t>
            </w:r>
          </w:p>
        </w:tc>
        <w:tc>
          <w:tcPr>
            <w:tcW w:w="980" w:type="dxa"/>
            <w:tcBorders>
              <w:top w:val="single" w:sz="8" w:space="0" w:color="auto"/>
              <w:bottom w:val="single" w:sz="8" w:space="0" w:color="auto"/>
              <w:right w:val="single" w:sz="8" w:space="0" w:color="auto"/>
            </w:tcBorders>
            <w:vAlign w:val="center"/>
          </w:tcPr>
          <w:p w14:paraId="281A1543" w14:textId="704405B2" w:rsidR="00305E25" w:rsidRDefault="00FF41BD" w:rsidP="00305E25">
            <w:pPr>
              <w:jc w:val="center"/>
              <w:rPr>
                <w:sz w:val="20"/>
                <w:szCs w:val="20"/>
              </w:rPr>
            </w:pPr>
            <w:r>
              <w:rPr>
                <w:rFonts w:eastAsia="Times New Roman"/>
                <w:w w:val="88"/>
                <w:sz w:val="18"/>
                <w:szCs w:val="18"/>
              </w:rPr>
              <w:t>1</w:t>
            </w:r>
            <w:r w:rsidRPr="00787D7D">
              <w:rPr>
                <w:rFonts w:eastAsia="Times New Roman"/>
                <w:w w:val="88"/>
                <w:sz w:val="18"/>
                <w:szCs w:val="18"/>
                <w:vertAlign w:val="superscript"/>
              </w:rPr>
              <w:t>15</w:t>
            </w:r>
          </w:p>
        </w:tc>
        <w:tc>
          <w:tcPr>
            <w:tcW w:w="2340" w:type="dxa"/>
            <w:tcBorders>
              <w:top w:val="single" w:sz="8" w:space="0" w:color="auto"/>
              <w:bottom w:val="single" w:sz="8" w:space="0" w:color="auto"/>
              <w:right w:val="single" w:sz="8" w:space="0" w:color="auto"/>
            </w:tcBorders>
            <w:vAlign w:val="center"/>
          </w:tcPr>
          <w:p w14:paraId="281A1545" w14:textId="1FA46C4F" w:rsidR="00305E25" w:rsidRDefault="00305E25" w:rsidP="00305E25">
            <w:pPr>
              <w:jc w:val="center"/>
              <w:rPr>
                <w:sz w:val="20"/>
                <w:szCs w:val="20"/>
              </w:rPr>
            </w:pPr>
            <w:r>
              <w:rPr>
                <w:rFonts w:eastAsia="Times New Roman"/>
                <w:sz w:val="18"/>
                <w:szCs w:val="18"/>
              </w:rPr>
              <w:t>310 CMR 22.07E</w:t>
            </w:r>
          </w:p>
        </w:tc>
        <w:tc>
          <w:tcPr>
            <w:tcW w:w="900" w:type="dxa"/>
            <w:tcBorders>
              <w:top w:val="single" w:sz="8" w:space="0" w:color="auto"/>
              <w:left w:val="single" w:sz="8" w:space="0" w:color="auto"/>
              <w:bottom w:val="single" w:sz="8" w:space="0" w:color="auto"/>
              <w:right w:val="single" w:sz="8" w:space="0" w:color="auto"/>
            </w:tcBorders>
            <w:vAlign w:val="center"/>
          </w:tcPr>
          <w:p w14:paraId="281A1546" w14:textId="77777777" w:rsidR="00305E25" w:rsidRDefault="00305E25" w:rsidP="00305E25">
            <w:pPr>
              <w:jc w:val="center"/>
              <w:rPr>
                <w:sz w:val="20"/>
                <w:szCs w:val="20"/>
              </w:rPr>
            </w:pPr>
            <w:r>
              <w:rPr>
                <w:rFonts w:eastAsia="Times New Roman"/>
                <w:w w:val="88"/>
                <w:sz w:val="18"/>
                <w:szCs w:val="18"/>
              </w:rPr>
              <w:t>1</w:t>
            </w:r>
          </w:p>
        </w:tc>
        <w:tc>
          <w:tcPr>
            <w:tcW w:w="2500" w:type="dxa"/>
            <w:tcBorders>
              <w:top w:val="single" w:sz="8" w:space="0" w:color="auto"/>
              <w:bottom w:val="single" w:sz="8" w:space="0" w:color="auto"/>
              <w:right w:val="single" w:sz="8" w:space="0" w:color="auto"/>
            </w:tcBorders>
            <w:vAlign w:val="center"/>
          </w:tcPr>
          <w:p w14:paraId="281A1547" w14:textId="347562C0" w:rsidR="00305E25" w:rsidRDefault="00305E25" w:rsidP="00305E25">
            <w:pPr>
              <w:jc w:val="center"/>
              <w:rPr>
                <w:sz w:val="20"/>
                <w:szCs w:val="20"/>
              </w:rPr>
            </w:pPr>
            <w:r>
              <w:rPr>
                <w:rFonts w:eastAsia="Times New Roman"/>
                <w:sz w:val="18"/>
                <w:szCs w:val="18"/>
              </w:rPr>
              <w:t>310 CMR 22.07E</w:t>
            </w:r>
          </w:p>
        </w:tc>
      </w:tr>
      <w:tr w:rsidR="00305E25" w14:paraId="281A1563" w14:textId="77777777" w:rsidTr="00347FE4">
        <w:trPr>
          <w:trHeight w:val="280"/>
        </w:trPr>
        <w:tc>
          <w:tcPr>
            <w:tcW w:w="3840" w:type="dxa"/>
            <w:tcBorders>
              <w:top w:val="single" w:sz="8" w:space="0" w:color="auto"/>
              <w:left w:val="single" w:sz="8" w:space="0" w:color="auto"/>
              <w:bottom w:val="single" w:sz="8" w:space="0" w:color="auto"/>
              <w:right w:val="single" w:sz="8" w:space="0" w:color="auto"/>
            </w:tcBorders>
            <w:vAlign w:val="center"/>
          </w:tcPr>
          <w:p w14:paraId="281A155C" w14:textId="3F0B9305"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Control of DBP precursors TOC (TT)</w:t>
            </w:r>
          </w:p>
        </w:tc>
        <w:tc>
          <w:tcPr>
            <w:tcW w:w="980" w:type="dxa"/>
            <w:tcBorders>
              <w:top w:val="single" w:sz="8" w:space="0" w:color="auto"/>
              <w:bottom w:val="single" w:sz="8" w:space="0" w:color="auto"/>
              <w:right w:val="single" w:sz="8" w:space="0" w:color="auto"/>
            </w:tcBorders>
            <w:vAlign w:val="center"/>
          </w:tcPr>
          <w:p w14:paraId="281A155D" w14:textId="77777777" w:rsidR="00305E25" w:rsidRDefault="00305E25" w:rsidP="00305E25">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55F" w14:textId="58FB051F" w:rsidR="00305E25" w:rsidRDefault="00305E25" w:rsidP="00305E25">
            <w:pPr>
              <w:jc w:val="center"/>
              <w:rPr>
                <w:sz w:val="20"/>
                <w:szCs w:val="20"/>
              </w:rPr>
            </w:pPr>
            <w:r>
              <w:rPr>
                <w:rFonts w:eastAsia="Times New Roman"/>
                <w:sz w:val="18"/>
                <w:szCs w:val="18"/>
              </w:rPr>
              <w:t>310 CMR 22.07E</w:t>
            </w:r>
          </w:p>
        </w:tc>
        <w:tc>
          <w:tcPr>
            <w:tcW w:w="900" w:type="dxa"/>
            <w:tcBorders>
              <w:top w:val="single" w:sz="8" w:space="0" w:color="auto"/>
              <w:bottom w:val="single" w:sz="8" w:space="0" w:color="auto"/>
              <w:right w:val="single" w:sz="8" w:space="0" w:color="auto"/>
            </w:tcBorders>
            <w:vAlign w:val="center"/>
          </w:tcPr>
          <w:p w14:paraId="281A1560" w14:textId="77777777" w:rsidR="00305E25" w:rsidRDefault="00305E25" w:rsidP="00305E25">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561" w14:textId="75FF8E6C" w:rsidR="00305E25" w:rsidRDefault="00305E25" w:rsidP="00305E25">
            <w:pPr>
              <w:jc w:val="center"/>
              <w:rPr>
                <w:sz w:val="20"/>
                <w:szCs w:val="20"/>
              </w:rPr>
            </w:pPr>
            <w:r>
              <w:rPr>
                <w:rFonts w:eastAsia="Times New Roman"/>
                <w:sz w:val="18"/>
                <w:szCs w:val="18"/>
              </w:rPr>
              <w:t>310 CMR 22.07E</w:t>
            </w:r>
          </w:p>
        </w:tc>
      </w:tr>
      <w:tr w:rsidR="009B4344" w14:paraId="281A156C" w14:textId="77777777" w:rsidTr="00477832">
        <w:trPr>
          <w:trHeight w:val="278"/>
        </w:trPr>
        <w:tc>
          <w:tcPr>
            <w:tcW w:w="3840" w:type="dxa"/>
            <w:tcBorders>
              <w:left w:val="single" w:sz="8" w:space="0" w:color="auto"/>
              <w:bottom w:val="single" w:sz="8" w:space="0" w:color="auto"/>
              <w:right w:val="single" w:sz="8" w:space="0" w:color="auto"/>
            </w:tcBorders>
            <w:vAlign w:val="center"/>
          </w:tcPr>
          <w:p w14:paraId="281A1565" w14:textId="79B5041E" w:rsidR="009B4344" w:rsidRPr="00305E25" w:rsidRDefault="009B4344" w:rsidP="00563A54">
            <w:pPr>
              <w:pStyle w:val="ListParagraph"/>
              <w:numPr>
                <w:ilvl w:val="0"/>
                <w:numId w:val="932"/>
              </w:numPr>
              <w:tabs>
                <w:tab w:val="left" w:pos="240"/>
              </w:tabs>
              <w:rPr>
                <w:rFonts w:eastAsia="Times New Roman"/>
                <w:sz w:val="18"/>
                <w:szCs w:val="18"/>
              </w:rPr>
            </w:pPr>
            <w:r>
              <w:rPr>
                <w:rFonts w:eastAsia="Times New Roman"/>
                <w:sz w:val="18"/>
                <w:szCs w:val="18"/>
              </w:rPr>
              <w:t>Bench marking and Disinfection profiling</w:t>
            </w:r>
          </w:p>
        </w:tc>
        <w:tc>
          <w:tcPr>
            <w:tcW w:w="980" w:type="dxa"/>
            <w:tcBorders>
              <w:bottom w:val="single" w:sz="8" w:space="0" w:color="auto"/>
              <w:right w:val="single" w:sz="8" w:space="0" w:color="auto"/>
            </w:tcBorders>
            <w:vAlign w:val="center"/>
          </w:tcPr>
          <w:p w14:paraId="281A1566" w14:textId="77777777" w:rsidR="009B4344" w:rsidRDefault="009B4344" w:rsidP="00305E25">
            <w:pPr>
              <w:jc w:val="center"/>
              <w:rPr>
                <w:sz w:val="20"/>
                <w:szCs w:val="20"/>
              </w:rPr>
            </w:pPr>
            <w:r>
              <w:rPr>
                <w:rFonts w:eastAsia="Times New Roman"/>
                <w:sz w:val="18"/>
                <w:szCs w:val="18"/>
              </w:rPr>
              <w:t>N/A</w:t>
            </w:r>
          </w:p>
        </w:tc>
        <w:tc>
          <w:tcPr>
            <w:tcW w:w="2340" w:type="dxa"/>
            <w:tcBorders>
              <w:bottom w:val="single" w:sz="8" w:space="0" w:color="auto"/>
              <w:right w:val="single" w:sz="8" w:space="0" w:color="auto"/>
            </w:tcBorders>
            <w:vAlign w:val="center"/>
          </w:tcPr>
          <w:p w14:paraId="281A1568" w14:textId="12469842" w:rsidR="009B4344" w:rsidRDefault="009B4344" w:rsidP="00305E25">
            <w:pPr>
              <w:jc w:val="center"/>
              <w:rPr>
                <w:sz w:val="24"/>
                <w:szCs w:val="24"/>
              </w:rPr>
            </w:pPr>
            <w:r>
              <w:rPr>
                <w:rFonts w:eastAsia="Times New Roman"/>
                <w:sz w:val="18"/>
                <w:szCs w:val="18"/>
              </w:rPr>
              <w:t>N/A</w:t>
            </w:r>
          </w:p>
        </w:tc>
        <w:tc>
          <w:tcPr>
            <w:tcW w:w="900" w:type="dxa"/>
            <w:tcBorders>
              <w:bottom w:val="single" w:sz="8" w:space="0" w:color="auto"/>
              <w:right w:val="single" w:sz="8" w:space="0" w:color="auto"/>
            </w:tcBorders>
            <w:vAlign w:val="center"/>
          </w:tcPr>
          <w:p w14:paraId="281A1569" w14:textId="77777777" w:rsidR="009B4344" w:rsidRDefault="009B4344" w:rsidP="00305E25">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56A" w14:textId="6807B3C0" w:rsidR="009B4344" w:rsidRDefault="009B4344" w:rsidP="00305E25">
            <w:pPr>
              <w:jc w:val="center"/>
              <w:rPr>
                <w:sz w:val="20"/>
                <w:szCs w:val="20"/>
              </w:rPr>
            </w:pPr>
            <w:r>
              <w:rPr>
                <w:rFonts w:eastAsia="Times New Roman"/>
                <w:sz w:val="18"/>
                <w:szCs w:val="18"/>
              </w:rPr>
              <w:t>310 CMR 22.07F</w:t>
            </w:r>
          </w:p>
        </w:tc>
      </w:tr>
      <w:tr w:rsidR="00477832" w14:paraId="281A1574" w14:textId="77777777" w:rsidTr="00477832">
        <w:trPr>
          <w:trHeight w:val="581"/>
        </w:trPr>
        <w:tc>
          <w:tcPr>
            <w:tcW w:w="3840" w:type="dxa"/>
            <w:tcBorders>
              <w:top w:val="single" w:sz="8" w:space="0" w:color="auto"/>
              <w:left w:val="single" w:sz="8" w:space="0" w:color="auto"/>
              <w:bottom w:val="single" w:sz="8" w:space="0" w:color="auto"/>
              <w:right w:val="single" w:sz="8" w:space="0" w:color="auto"/>
            </w:tcBorders>
            <w:vAlign w:val="center"/>
          </w:tcPr>
          <w:p w14:paraId="281A156D" w14:textId="339C29A2" w:rsidR="00477832" w:rsidRPr="00305E25" w:rsidRDefault="00477832" w:rsidP="00563A54">
            <w:pPr>
              <w:pStyle w:val="ListParagraph"/>
              <w:numPr>
                <w:ilvl w:val="0"/>
                <w:numId w:val="932"/>
              </w:numPr>
              <w:tabs>
                <w:tab w:val="left" w:pos="240"/>
              </w:tabs>
              <w:rPr>
                <w:rFonts w:eastAsia="Times New Roman"/>
                <w:sz w:val="18"/>
                <w:szCs w:val="18"/>
              </w:rPr>
            </w:pPr>
            <w:r>
              <w:rPr>
                <w:rFonts w:eastAsia="Times New Roman"/>
                <w:sz w:val="18"/>
                <w:szCs w:val="18"/>
              </w:rPr>
              <w:t>Development of monitoring plan</w:t>
            </w:r>
          </w:p>
        </w:tc>
        <w:tc>
          <w:tcPr>
            <w:tcW w:w="980" w:type="dxa"/>
            <w:tcBorders>
              <w:top w:val="single" w:sz="8" w:space="0" w:color="auto"/>
              <w:bottom w:val="single" w:sz="8" w:space="0" w:color="auto"/>
              <w:right w:val="single" w:sz="8" w:space="0" w:color="auto"/>
            </w:tcBorders>
            <w:vAlign w:val="center"/>
          </w:tcPr>
          <w:p w14:paraId="281A156E" w14:textId="77777777" w:rsidR="00477832" w:rsidRDefault="00477832" w:rsidP="00305E25">
            <w:pPr>
              <w:jc w:val="center"/>
              <w:rPr>
                <w:sz w:val="20"/>
                <w:szCs w:val="20"/>
              </w:rPr>
            </w:pPr>
            <w:r>
              <w:rPr>
                <w:rFonts w:eastAsia="Times New Roman"/>
                <w:sz w:val="18"/>
                <w:szCs w:val="18"/>
              </w:rPr>
              <w:t>N/A</w:t>
            </w:r>
          </w:p>
        </w:tc>
        <w:tc>
          <w:tcPr>
            <w:tcW w:w="2340" w:type="dxa"/>
            <w:tcBorders>
              <w:top w:val="single" w:sz="8" w:space="0" w:color="auto"/>
              <w:bottom w:val="single" w:sz="8" w:space="0" w:color="auto"/>
              <w:right w:val="single" w:sz="8" w:space="0" w:color="auto"/>
            </w:tcBorders>
            <w:vAlign w:val="center"/>
          </w:tcPr>
          <w:p w14:paraId="281A1570" w14:textId="2A2A6062" w:rsidR="00477832" w:rsidRDefault="00477832" w:rsidP="00305E25">
            <w:pPr>
              <w:jc w:val="center"/>
              <w:rPr>
                <w:sz w:val="23"/>
                <w:szCs w:val="23"/>
              </w:rPr>
            </w:pPr>
            <w:r>
              <w:rPr>
                <w:rFonts w:eastAsia="Times New Roman"/>
                <w:sz w:val="18"/>
                <w:szCs w:val="18"/>
              </w:rPr>
              <w:t>N/A</w:t>
            </w:r>
          </w:p>
        </w:tc>
        <w:tc>
          <w:tcPr>
            <w:tcW w:w="900" w:type="dxa"/>
            <w:tcBorders>
              <w:top w:val="single" w:sz="8" w:space="0" w:color="auto"/>
              <w:left w:val="single" w:sz="8" w:space="0" w:color="auto"/>
              <w:bottom w:val="single" w:sz="8" w:space="0" w:color="auto"/>
              <w:right w:val="single" w:sz="8" w:space="0" w:color="auto"/>
            </w:tcBorders>
            <w:vAlign w:val="center"/>
          </w:tcPr>
          <w:p w14:paraId="281A1571" w14:textId="77777777" w:rsidR="00477832" w:rsidRDefault="00477832" w:rsidP="00305E25">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572" w14:textId="0A87C9F5" w:rsidR="00477832" w:rsidRDefault="00477832" w:rsidP="00305E25">
            <w:pPr>
              <w:jc w:val="center"/>
              <w:rPr>
                <w:sz w:val="20"/>
                <w:szCs w:val="20"/>
              </w:rPr>
            </w:pPr>
            <w:r>
              <w:rPr>
                <w:rFonts w:eastAsia="Times New Roman"/>
                <w:sz w:val="18"/>
                <w:szCs w:val="18"/>
              </w:rPr>
              <w:t>310 CMR 22.07E</w:t>
            </w:r>
          </w:p>
        </w:tc>
      </w:tr>
      <w:tr w:rsidR="00477832" w14:paraId="281A1585" w14:textId="77777777" w:rsidTr="00477832">
        <w:trPr>
          <w:trHeight w:val="458"/>
        </w:trPr>
        <w:tc>
          <w:tcPr>
            <w:tcW w:w="10560" w:type="dxa"/>
            <w:gridSpan w:val="5"/>
            <w:tcBorders>
              <w:top w:val="single" w:sz="8" w:space="0" w:color="auto"/>
              <w:left w:val="single" w:sz="8" w:space="0" w:color="auto"/>
              <w:bottom w:val="single" w:sz="8" w:space="0" w:color="auto"/>
              <w:right w:val="single" w:sz="8" w:space="0" w:color="auto"/>
            </w:tcBorders>
            <w:vAlign w:val="center"/>
          </w:tcPr>
          <w:p w14:paraId="281A1583" w14:textId="0FBB47A4" w:rsidR="00477832" w:rsidRDefault="00477832" w:rsidP="00B611F4">
            <w:pPr>
              <w:ind w:left="86"/>
              <w:rPr>
                <w:sz w:val="24"/>
                <w:szCs w:val="24"/>
              </w:rPr>
            </w:pPr>
            <w:r>
              <w:rPr>
                <w:rFonts w:eastAsia="Times New Roman"/>
                <w:sz w:val="18"/>
                <w:szCs w:val="18"/>
              </w:rPr>
              <w:t xml:space="preserve">H. </w:t>
            </w:r>
            <w:r>
              <w:rPr>
                <w:rFonts w:eastAsia="Times New Roman"/>
                <w:b/>
                <w:bCs/>
                <w:sz w:val="18"/>
                <w:szCs w:val="18"/>
              </w:rPr>
              <w:t>Other Treatment Techniques</w:t>
            </w:r>
          </w:p>
        </w:tc>
      </w:tr>
      <w:tr w:rsidR="00477832" w14:paraId="281A1596" w14:textId="77777777" w:rsidTr="00F91118">
        <w:trPr>
          <w:trHeight w:val="276"/>
        </w:trPr>
        <w:tc>
          <w:tcPr>
            <w:tcW w:w="3840" w:type="dxa"/>
            <w:tcBorders>
              <w:top w:val="single" w:sz="8" w:space="0" w:color="auto"/>
              <w:left w:val="single" w:sz="8" w:space="0" w:color="auto"/>
              <w:bottom w:val="single" w:sz="8" w:space="0" w:color="auto"/>
              <w:right w:val="single" w:sz="8" w:space="0" w:color="auto"/>
            </w:tcBorders>
            <w:vAlign w:val="center"/>
          </w:tcPr>
          <w:p w14:paraId="281A158F" w14:textId="777BC9BC" w:rsidR="00477832" w:rsidRPr="00477832" w:rsidRDefault="00477832" w:rsidP="00563A54">
            <w:pPr>
              <w:pStyle w:val="ListParagraph"/>
              <w:numPr>
                <w:ilvl w:val="0"/>
                <w:numId w:val="933"/>
              </w:numPr>
              <w:tabs>
                <w:tab w:val="left" w:pos="240"/>
              </w:tabs>
              <w:rPr>
                <w:rFonts w:eastAsia="Times New Roman"/>
                <w:sz w:val="18"/>
                <w:szCs w:val="18"/>
              </w:rPr>
            </w:pPr>
            <w:r>
              <w:rPr>
                <w:rFonts w:eastAsia="Times New Roman"/>
                <w:sz w:val="18"/>
                <w:szCs w:val="18"/>
              </w:rPr>
              <w:t>Acrylamide (TT)</w:t>
            </w:r>
          </w:p>
        </w:tc>
        <w:tc>
          <w:tcPr>
            <w:tcW w:w="980" w:type="dxa"/>
            <w:tcBorders>
              <w:top w:val="single" w:sz="8" w:space="0" w:color="auto"/>
              <w:bottom w:val="single" w:sz="8" w:space="0" w:color="auto"/>
              <w:right w:val="single" w:sz="8" w:space="0" w:color="auto"/>
            </w:tcBorders>
            <w:vAlign w:val="center"/>
          </w:tcPr>
          <w:p w14:paraId="281A1590" w14:textId="77777777" w:rsidR="00477832" w:rsidRDefault="00477832" w:rsidP="00477832">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592" w14:textId="578CA2F2" w:rsidR="00477832" w:rsidRDefault="00477832" w:rsidP="00477832">
            <w:pPr>
              <w:jc w:val="center"/>
              <w:rPr>
                <w:sz w:val="20"/>
                <w:szCs w:val="20"/>
              </w:rPr>
            </w:pPr>
            <w:r>
              <w:rPr>
                <w:rFonts w:eastAsia="Times New Roman"/>
                <w:sz w:val="18"/>
                <w:szCs w:val="18"/>
              </w:rPr>
              <w:t>310 CMR 22.04(10)</w:t>
            </w:r>
          </w:p>
        </w:tc>
        <w:tc>
          <w:tcPr>
            <w:tcW w:w="900" w:type="dxa"/>
            <w:tcBorders>
              <w:top w:val="single" w:sz="8" w:space="0" w:color="auto"/>
              <w:bottom w:val="single" w:sz="8" w:space="0" w:color="auto"/>
              <w:right w:val="single" w:sz="8" w:space="0" w:color="auto"/>
            </w:tcBorders>
            <w:vAlign w:val="center"/>
          </w:tcPr>
          <w:p w14:paraId="281A1593" w14:textId="77777777" w:rsidR="00477832" w:rsidRDefault="00477832" w:rsidP="00477832">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594" w14:textId="69C3FD43" w:rsidR="00477832" w:rsidRDefault="00477832" w:rsidP="00477832">
            <w:pPr>
              <w:jc w:val="center"/>
              <w:rPr>
                <w:sz w:val="20"/>
                <w:szCs w:val="20"/>
              </w:rPr>
            </w:pPr>
            <w:r>
              <w:rPr>
                <w:rFonts w:eastAsia="Times New Roman"/>
                <w:sz w:val="18"/>
                <w:szCs w:val="18"/>
              </w:rPr>
              <w:t>310 CMR 22.04(10)</w:t>
            </w:r>
          </w:p>
        </w:tc>
      </w:tr>
      <w:tr w:rsidR="00477832" w14:paraId="281A159F" w14:textId="77777777" w:rsidTr="00F91118">
        <w:trPr>
          <w:trHeight w:val="279"/>
        </w:trPr>
        <w:tc>
          <w:tcPr>
            <w:tcW w:w="3840" w:type="dxa"/>
            <w:tcBorders>
              <w:top w:val="single" w:sz="8" w:space="0" w:color="auto"/>
              <w:left w:val="single" w:sz="8" w:space="0" w:color="auto"/>
              <w:bottom w:val="single" w:sz="4" w:space="0" w:color="auto"/>
              <w:right w:val="single" w:sz="8" w:space="0" w:color="auto"/>
            </w:tcBorders>
            <w:vAlign w:val="center"/>
          </w:tcPr>
          <w:p w14:paraId="281A1598" w14:textId="2DED7FAA" w:rsidR="00477832" w:rsidRPr="00477832" w:rsidRDefault="00477832" w:rsidP="00563A54">
            <w:pPr>
              <w:pStyle w:val="ListParagraph"/>
              <w:numPr>
                <w:ilvl w:val="0"/>
                <w:numId w:val="933"/>
              </w:numPr>
              <w:tabs>
                <w:tab w:val="left" w:pos="240"/>
              </w:tabs>
              <w:rPr>
                <w:rFonts w:eastAsia="Times New Roman"/>
                <w:sz w:val="18"/>
                <w:szCs w:val="18"/>
              </w:rPr>
            </w:pPr>
            <w:r>
              <w:rPr>
                <w:rFonts w:eastAsia="Times New Roman"/>
                <w:sz w:val="18"/>
                <w:szCs w:val="18"/>
              </w:rPr>
              <w:t>Epichlorohydrin (TT)</w:t>
            </w:r>
          </w:p>
        </w:tc>
        <w:tc>
          <w:tcPr>
            <w:tcW w:w="980" w:type="dxa"/>
            <w:tcBorders>
              <w:top w:val="single" w:sz="8" w:space="0" w:color="auto"/>
              <w:bottom w:val="single" w:sz="4" w:space="0" w:color="auto"/>
              <w:right w:val="single" w:sz="8" w:space="0" w:color="auto"/>
            </w:tcBorders>
            <w:vAlign w:val="center"/>
          </w:tcPr>
          <w:p w14:paraId="281A1599" w14:textId="77777777" w:rsidR="00477832" w:rsidRDefault="00477832" w:rsidP="00477832">
            <w:pPr>
              <w:jc w:val="center"/>
              <w:rPr>
                <w:sz w:val="20"/>
                <w:szCs w:val="20"/>
              </w:rPr>
            </w:pPr>
            <w:r>
              <w:rPr>
                <w:rFonts w:eastAsia="Times New Roman"/>
                <w:w w:val="88"/>
                <w:sz w:val="18"/>
                <w:szCs w:val="18"/>
              </w:rPr>
              <w:t>2</w:t>
            </w:r>
          </w:p>
        </w:tc>
        <w:tc>
          <w:tcPr>
            <w:tcW w:w="2340" w:type="dxa"/>
            <w:tcBorders>
              <w:top w:val="single" w:sz="8" w:space="0" w:color="auto"/>
              <w:bottom w:val="single" w:sz="4" w:space="0" w:color="auto"/>
              <w:right w:val="single" w:sz="8" w:space="0" w:color="auto"/>
            </w:tcBorders>
            <w:vAlign w:val="center"/>
          </w:tcPr>
          <w:p w14:paraId="281A159B" w14:textId="73F3C470" w:rsidR="00477832" w:rsidRDefault="00477832" w:rsidP="00477832">
            <w:pPr>
              <w:jc w:val="center"/>
              <w:rPr>
                <w:sz w:val="20"/>
                <w:szCs w:val="20"/>
              </w:rPr>
            </w:pPr>
            <w:r>
              <w:rPr>
                <w:rFonts w:eastAsia="Times New Roman"/>
                <w:sz w:val="18"/>
                <w:szCs w:val="18"/>
              </w:rPr>
              <w:t>310 CMR 22.04(10)</w:t>
            </w:r>
          </w:p>
        </w:tc>
        <w:tc>
          <w:tcPr>
            <w:tcW w:w="900" w:type="dxa"/>
            <w:tcBorders>
              <w:top w:val="single" w:sz="8" w:space="0" w:color="auto"/>
              <w:bottom w:val="single" w:sz="4" w:space="0" w:color="auto"/>
              <w:right w:val="single" w:sz="8" w:space="0" w:color="auto"/>
            </w:tcBorders>
            <w:vAlign w:val="center"/>
          </w:tcPr>
          <w:p w14:paraId="281A159C" w14:textId="77777777" w:rsidR="00477832" w:rsidRDefault="00477832" w:rsidP="00477832">
            <w:pPr>
              <w:jc w:val="center"/>
              <w:rPr>
                <w:sz w:val="20"/>
                <w:szCs w:val="20"/>
              </w:rPr>
            </w:pPr>
            <w:r>
              <w:rPr>
                <w:rFonts w:eastAsia="Times New Roman"/>
                <w:sz w:val="18"/>
                <w:szCs w:val="18"/>
              </w:rPr>
              <w:t>N/A</w:t>
            </w:r>
          </w:p>
        </w:tc>
        <w:tc>
          <w:tcPr>
            <w:tcW w:w="2500" w:type="dxa"/>
            <w:tcBorders>
              <w:top w:val="single" w:sz="8" w:space="0" w:color="auto"/>
              <w:bottom w:val="single" w:sz="4" w:space="0" w:color="auto"/>
              <w:right w:val="single" w:sz="8" w:space="0" w:color="auto"/>
            </w:tcBorders>
            <w:vAlign w:val="center"/>
          </w:tcPr>
          <w:p w14:paraId="281A159D" w14:textId="667BD29D" w:rsidR="00477832" w:rsidRDefault="00477832" w:rsidP="00477832">
            <w:pPr>
              <w:jc w:val="center"/>
              <w:rPr>
                <w:sz w:val="20"/>
                <w:szCs w:val="20"/>
              </w:rPr>
            </w:pPr>
            <w:r>
              <w:rPr>
                <w:rFonts w:eastAsia="Times New Roman"/>
                <w:sz w:val="18"/>
                <w:szCs w:val="18"/>
              </w:rPr>
              <w:t>310 CMR 22.04(10)</w:t>
            </w:r>
          </w:p>
        </w:tc>
      </w:tr>
      <w:tr w:rsidR="003576F4" w14:paraId="05898DA3" w14:textId="77777777" w:rsidTr="00787D7D">
        <w:trPr>
          <w:trHeight w:val="279"/>
        </w:trPr>
        <w:tc>
          <w:tcPr>
            <w:tcW w:w="10560" w:type="dxa"/>
            <w:gridSpan w:val="5"/>
            <w:tcBorders>
              <w:top w:val="single" w:sz="8" w:space="0" w:color="auto"/>
              <w:left w:val="single" w:sz="8" w:space="0" w:color="auto"/>
              <w:bottom w:val="single" w:sz="4" w:space="0" w:color="auto"/>
              <w:right w:val="single" w:sz="8" w:space="0" w:color="auto"/>
            </w:tcBorders>
            <w:vAlign w:val="center"/>
          </w:tcPr>
          <w:p w14:paraId="3031E777" w14:textId="5AE9817D" w:rsidR="003576F4" w:rsidRDefault="003576F4" w:rsidP="00787D7D">
            <w:pPr>
              <w:ind w:left="86"/>
              <w:rPr>
                <w:rFonts w:eastAsia="Times New Roman"/>
                <w:sz w:val="18"/>
                <w:szCs w:val="18"/>
              </w:rPr>
            </w:pPr>
            <w:r w:rsidRPr="007C0489">
              <w:rPr>
                <w:sz w:val="18"/>
                <w:szCs w:val="18"/>
              </w:rPr>
              <w:t>I.</w:t>
            </w:r>
            <w:r>
              <w:rPr>
                <w:rFonts w:ascii="TimesNewRoman" w:hAnsi="TimesNewRoman" w:cs="TimesNewRoman"/>
                <w:sz w:val="18"/>
                <w:szCs w:val="18"/>
              </w:rPr>
              <w:t xml:space="preserve">  </w:t>
            </w:r>
            <w:r>
              <w:rPr>
                <w:rFonts w:ascii="TimesNewRoman,Bold" w:hAnsi="TimesNewRoman,Bold" w:cs="TimesNewRoman,Bold"/>
                <w:b/>
                <w:bCs/>
                <w:sz w:val="18"/>
                <w:szCs w:val="18"/>
              </w:rPr>
              <w:t>Per- and Polyfluoroalkyl Substances (PFAS)</w:t>
            </w:r>
          </w:p>
        </w:tc>
      </w:tr>
      <w:tr w:rsidR="003576F4" w14:paraId="7E041348" w14:textId="77777777" w:rsidTr="00F91118">
        <w:trPr>
          <w:trHeight w:val="279"/>
        </w:trPr>
        <w:tc>
          <w:tcPr>
            <w:tcW w:w="3840" w:type="dxa"/>
            <w:tcBorders>
              <w:top w:val="single" w:sz="8" w:space="0" w:color="auto"/>
              <w:left w:val="single" w:sz="8" w:space="0" w:color="auto"/>
              <w:bottom w:val="single" w:sz="4" w:space="0" w:color="auto"/>
              <w:right w:val="single" w:sz="8" w:space="0" w:color="auto"/>
            </w:tcBorders>
            <w:vAlign w:val="center"/>
          </w:tcPr>
          <w:p w14:paraId="17571A5E" w14:textId="06C91A39" w:rsidR="003576F4" w:rsidRPr="00787D7D" w:rsidRDefault="003576F4" w:rsidP="00787D7D">
            <w:pPr>
              <w:tabs>
                <w:tab w:val="left" w:pos="240"/>
              </w:tabs>
              <w:rPr>
                <w:rFonts w:eastAsia="Times New Roman"/>
                <w:sz w:val="18"/>
                <w:szCs w:val="18"/>
              </w:rPr>
            </w:pPr>
            <w:r w:rsidRPr="00787D7D">
              <w:rPr>
                <w:rFonts w:eastAsia="Times New Roman"/>
                <w:sz w:val="18"/>
                <w:szCs w:val="18"/>
              </w:rPr>
              <w:t>1. PFAS6</w:t>
            </w:r>
          </w:p>
        </w:tc>
        <w:tc>
          <w:tcPr>
            <w:tcW w:w="980" w:type="dxa"/>
            <w:tcBorders>
              <w:top w:val="single" w:sz="8" w:space="0" w:color="auto"/>
              <w:bottom w:val="single" w:sz="4" w:space="0" w:color="auto"/>
              <w:right w:val="single" w:sz="8" w:space="0" w:color="auto"/>
            </w:tcBorders>
            <w:vAlign w:val="center"/>
          </w:tcPr>
          <w:p w14:paraId="039B3DA7" w14:textId="6BFF9EDF" w:rsidR="003576F4" w:rsidRPr="00787D7D" w:rsidRDefault="003576F4" w:rsidP="003576F4">
            <w:pPr>
              <w:jc w:val="center"/>
              <w:rPr>
                <w:rFonts w:eastAsia="Times New Roman"/>
                <w:w w:val="88"/>
                <w:sz w:val="18"/>
                <w:szCs w:val="18"/>
              </w:rPr>
            </w:pPr>
            <w:r w:rsidRPr="00787D7D">
              <w:rPr>
                <w:sz w:val="18"/>
                <w:szCs w:val="18"/>
              </w:rPr>
              <w:t>2</w:t>
            </w:r>
          </w:p>
        </w:tc>
        <w:tc>
          <w:tcPr>
            <w:tcW w:w="2340" w:type="dxa"/>
            <w:tcBorders>
              <w:top w:val="single" w:sz="8" w:space="0" w:color="auto"/>
              <w:bottom w:val="single" w:sz="4" w:space="0" w:color="auto"/>
              <w:right w:val="single" w:sz="8" w:space="0" w:color="auto"/>
            </w:tcBorders>
            <w:vAlign w:val="center"/>
          </w:tcPr>
          <w:p w14:paraId="7598D74D" w14:textId="487ECA9F" w:rsidR="003576F4" w:rsidRPr="00787D7D" w:rsidRDefault="003576F4" w:rsidP="003576F4">
            <w:pPr>
              <w:jc w:val="center"/>
              <w:rPr>
                <w:rFonts w:eastAsia="Times New Roman"/>
                <w:sz w:val="18"/>
                <w:szCs w:val="18"/>
              </w:rPr>
            </w:pPr>
            <w:r w:rsidRPr="00787D7D">
              <w:rPr>
                <w:sz w:val="18"/>
                <w:szCs w:val="18"/>
              </w:rPr>
              <w:t>310 CMR 22.07G</w:t>
            </w:r>
          </w:p>
        </w:tc>
        <w:tc>
          <w:tcPr>
            <w:tcW w:w="900" w:type="dxa"/>
            <w:tcBorders>
              <w:top w:val="single" w:sz="8" w:space="0" w:color="auto"/>
              <w:bottom w:val="single" w:sz="4" w:space="0" w:color="auto"/>
              <w:right w:val="single" w:sz="8" w:space="0" w:color="auto"/>
            </w:tcBorders>
            <w:vAlign w:val="center"/>
          </w:tcPr>
          <w:p w14:paraId="0388A88D" w14:textId="4330081C" w:rsidR="003576F4" w:rsidRPr="00787D7D" w:rsidRDefault="003576F4" w:rsidP="003576F4">
            <w:pPr>
              <w:jc w:val="center"/>
              <w:rPr>
                <w:rFonts w:eastAsia="Times New Roman"/>
                <w:sz w:val="18"/>
                <w:szCs w:val="18"/>
              </w:rPr>
            </w:pPr>
            <w:r w:rsidRPr="00787D7D">
              <w:rPr>
                <w:sz w:val="18"/>
                <w:szCs w:val="18"/>
              </w:rPr>
              <w:t>3</w:t>
            </w:r>
          </w:p>
        </w:tc>
        <w:tc>
          <w:tcPr>
            <w:tcW w:w="2500" w:type="dxa"/>
            <w:tcBorders>
              <w:top w:val="single" w:sz="8" w:space="0" w:color="auto"/>
              <w:bottom w:val="single" w:sz="4" w:space="0" w:color="auto"/>
              <w:right w:val="single" w:sz="8" w:space="0" w:color="auto"/>
            </w:tcBorders>
            <w:vAlign w:val="center"/>
          </w:tcPr>
          <w:p w14:paraId="2CB6DB34" w14:textId="24B3E58D" w:rsidR="003576F4" w:rsidRPr="00787D7D" w:rsidRDefault="003576F4" w:rsidP="003576F4">
            <w:pPr>
              <w:jc w:val="center"/>
              <w:rPr>
                <w:rFonts w:eastAsia="Times New Roman"/>
                <w:sz w:val="18"/>
                <w:szCs w:val="18"/>
              </w:rPr>
            </w:pPr>
            <w:r w:rsidRPr="00787D7D">
              <w:rPr>
                <w:sz w:val="18"/>
                <w:szCs w:val="18"/>
              </w:rPr>
              <w:t>310 CMR 22.07G</w:t>
            </w:r>
          </w:p>
        </w:tc>
      </w:tr>
      <w:tr w:rsidR="00477832" w14:paraId="281A15A7" w14:textId="77777777" w:rsidTr="00F91118">
        <w:trPr>
          <w:trHeight w:val="439"/>
        </w:trPr>
        <w:tc>
          <w:tcPr>
            <w:tcW w:w="10560" w:type="dxa"/>
            <w:gridSpan w:val="5"/>
            <w:tcBorders>
              <w:top w:val="single" w:sz="4" w:space="0" w:color="auto"/>
              <w:left w:val="single" w:sz="8" w:space="0" w:color="auto"/>
              <w:bottom w:val="single" w:sz="8" w:space="0" w:color="auto"/>
              <w:right w:val="single" w:sz="8" w:space="0" w:color="auto"/>
            </w:tcBorders>
            <w:vAlign w:val="center"/>
          </w:tcPr>
          <w:p w14:paraId="281A15A5" w14:textId="6E898F31" w:rsidR="00477832" w:rsidRPr="00347FE4" w:rsidRDefault="00477832" w:rsidP="00563A54">
            <w:pPr>
              <w:numPr>
                <w:ilvl w:val="0"/>
                <w:numId w:val="518"/>
              </w:numPr>
              <w:tabs>
                <w:tab w:val="left" w:pos="340"/>
              </w:tabs>
              <w:ind w:left="330" w:hanging="100"/>
              <w:rPr>
                <w:sz w:val="24"/>
                <w:szCs w:val="24"/>
              </w:rPr>
            </w:pPr>
            <w:r w:rsidRPr="00347FE4">
              <w:rPr>
                <w:rFonts w:eastAsia="Times New Roman"/>
                <w:b/>
                <w:bCs/>
                <w:sz w:val="18"/>
                <w:szCs w:val="18"/>
              </w:rPr>
              <w:t>Unregulated Contaminant Monitoring</w:t>
            </w:r>
            <w:r w:rsidRPr="00347FE4">
              <w:rPr>
                <w:rFonts w:eastAsia="Times New Roman"/>
                <w:sz w:val="18"/>
                <w:szCs w:val="18"/>
              </w:rPr>
              <w:t xml:space="preserve">: </w:t>
            </w:r>
            <w:r w:rsidRPr="00347FE4">
              <w:rPr>
                <w:rFonts w:eastAsia="Times New Roman"/>
                <w:sz w:val="24"/>
                <w:szCs w:val="24"/>
                <w:vertAlign w:val="superscript"/>
              </w:rPr>
              <w:t>16</w:t>
            </w:r>
          </w:p>
        </w:tc>
      </w:tr>
      <w:tr w:rsidR="00B611F4" w14:paraId="281A15B8" w14:textId="77777777" w:rsidTr="00B611F4">
        <w:trPr>
          <w:trHeight w:val="278"/>
        </w:trPr>
        <w:tc>
          <w:tcPr>
            <w:tcW w:w="3840" w:type="dxa"/>
            <w:tcBorders>
              <w:top w:val="single" w:sz="8" w:space="0" w:color="auto"/>
              <w:left w:val="single" w:sz="8" w:space="0" w:color="auto"/>
              <w:bottom w:val="single" w:sz="8" w:space="0" w:color="auto"/>
              <w:right w:val="single" w:sz="8" w:space="0" w:color="auto"/>
            </w:tcBorders>
            <w:vAlign w:val="bottom"/>
          </w:tcPr>
          <w:p w14:paraId="281A15B1" w14:textId="0EFFA722" w:rsidR="00B611F4" w:rsidRPr="00B611F4" w:rsidRDefault="00B611F4" w:rsidP="00563A54">
            <w:pPr>
              <w:pStyle w:val="ListParagraph"/>
              <w:numPr>
                <w:ilvl w:val="0"/>
                <w:numId w:val="934"/>
              </w:numPr>
              <w:tabs>
                <w:tab w:val="left" w:pos="240"/>
              </w:tabs>
              <w:ind w:left="0" w:firstLine="0"/>
              <w:rPr>
                <w:sz w:val="24"/>
                <w:szCs w:val="24"/>
              </w:rPr>
            </w:pPr>
            <w:r w:rsidRPr="00B611F4">
              <w:rPr>
                <w:rFonts w:eastAsia="Times New Roman"/>
                <w:sz w:val="18"/>
                <w:szCs w:val="18"/>
              </w:rPr>
              <w:t>Unregulated contaminants</w:t>
            </w:r>
          </w:p>
        </w:tc>
        <w:tc>
          <w:tcPr>
            <w:tcW w:w="980" w:type="dxa"/>
            <w:tcBorders>
              <w:top w:val="single" w:sz="8" w:space="0" w:color="auto"/>
              <w:bottom w:val="single" w:sz="8" w:space="0" w:color="auto"/>
              <w:right w:val="single" w:sz="8" w:space="0" w:color="auto"/>
            </w:tcBorders>
            <w:vAlign w:val="center"/>
          </w:tcPr>
          <w:p w14:paraId="281A15B2" w14:textId="77777777" w:rsidR="00B611F4" w:rsidRDefault="00B611F4" w:rsidP="00B611F4">
            <w:pPr>
              <w:jc w:val="center"/>
              <w:rPr>
                <w:sz w:val="20"/>
                <w:szCs w:val="20"/>
              </w:rPr>
            </w:pPr>
            <w:r>
              <w:rPr>
                <w:rFonts w:eastAsia="Times New Roman"/>
                <w:sz w:val="18"/>
                <w:szCs w:val="18"/>
              </w:rPr>
              <w:t>N/A</w:t>
            </w:r>
          </w:p>
        </w:tc>
        <w:tc>
          <w:tcPr>
            <w:tcW w:w="2340" w:type="dxa"/>
            <w:tcBorders>
              <w:top w:val="single" w:sz="8" w:space="0" w:color="auto"/>
              <w:bottom w:val="single" w:sz="8" w:space="0" w:color="auto"/>
              <w:right w:val="single" w:sz="8" w:space="0" w:color="auto"/>
            </w:tcBorders>
            <w:vAlign w:val="center"/>
          </w:tcPr>
          <w:p w14:paraId="281A15B4" w14:textId="69BEB857" w:rsidR="00B611F4" w:rsidRDefault="00B611F4" w:rsidP="00B611F4">
            <w:pPr>
              <w:jc w:val="center"/>
              <w:rPr>
                <w:sz w:val="24"/>
                <w:szCs w:val="24"/>
              </w:rPr>
            </w:pPr>
            <w:r>
              <w:rPr>
                <w:rFonts w:eastAsia="Times New Roman"/>
                <w:sz w:val="18"/>
                <w:szCs w:val="18"/>
              </w:rPr>
              <w:t>N/A</w:t>
            </w:r>
          </w:p>
        </w:tc>
        <w:tc>
          <w:tcPr>
            <w:tcW w:w="900" w:type="dxa"/>
            <w:tcBorders>
              <w:top w:val="single" w:sz="8" w:space="0" w:color="auto"/>
              <w:bottom w:val="single" w:sz="8" w:space="0" w:color="auto"/>
              <w:right w:val="single" w:sz="8" w:space="0" w:color="auto"/>
            </w:tcBorders>
            <w:vAlign w:val="center"/>
          </w:tcPr>
          <w:p w14:paraId="281A15B5" w14:textId="77777777" w:rsidR="00B611F4" w:rsidRDefault="00B611F4" w:rsidP="00B611F4">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5B6" w14:textId="1BB233CF" w:rsidR="00B611F4" w:rsidRDefault="00B611F4" w:rsidP="00B611F4">
            <w:pPr>
              <w:jc w:val="center"/>
              <w:rPr>
                <w:sz w:val="20"/>
                <w:szCs w:val="20"/>
              </w:rPr>
            </w:pPr>
            <w:r>
              <w:rPr>
                <w:rFonts w:eastAsia="Times New Roman"/>
                <w:sz w:val="18"/>
                <w:szCs w:val="18"/>
              </w:rPr>
              <w:t>310 CMR 22.07C</w:t>
            </w:r>
          </w:p>
        </w:tc>
      </w:tr>
      <w:tr w:rsidR="00B611F4" w14:paraId="281A15C1" w14:textId="77777777" w:rsidTr="00B611F4">
        <w:trPr>
          <w:trHeight w:val="276"/>
        </w:trPr>
        <w:tc>
          <w:tcPr>
            <w:tcW w:w="3840" w:type="dxa"/>
            <w:tcBorders>
              <w:left w:val="single" w:sz="8" w:space="0" w:color="auto"/>
              <w:bottom w:val="single" w:sz="8" w:space="0" w:color="auto"/>
              <w:right w:val="single" w:sz="8" w:space="0" w:color="auto"/>
            </w:tcBorders>
            <w:vAlign w:val="bottom"/>
          </w:tcPr>
          <w:p w14:paraId="281A15BA" w14:textId="524DE567" w:rsidR="00B611F4" w:rsidRDefault="00B611F4" w:rsidP="00563A54">
            <w:pPr>
              <w:pStyle w:val="ListParagraph"/>
              <w:numPr>
                <w:ilvl w:val="0"/>
                <w:numId w:val="934"/>
              </w:numPr>
              <w:tabs>
                <w:tab w:val="left" w:pos="240"/>
              </w:tabs>
              <w:ind w:left="0" w:firstLine="0"/>
              <w:rPr>
                <w:sz w:val="24"/>
                <w:szCs w:val="24"/>
              </w:rPr>
            </w:pPr>
            <w:r>
              <w:rPr>
                <w:rFonts w:eastAsia="Times New Roman"/>
                <w:sz w:val="18"/>
                <w:szCs w:val="18"/>
              </w:rPr>
              <w:t>Nickel</w:t>
            </w:r>
          </w:p>
        </w:tc>
        <w:tc>
          <w:tcPr>
            <w:tcW w:w="980" w:type="dxa"/>
            <w:tcBorders>
              <w:bottom w:val="single" w:sz="8" w:space="0" w:color="auto"/>
              <w:right w:val="single" w:sz="8" w:space="0" w:color="auto"/>
            </w:tcBorders>
            <w:vAlign w:val="center"/>
          </w:tcPr>
          <w:p w14:paraId="281A15BB" w14:textId="77777777" w:rsidR="00B611F4" w:rsidRDefault="00B611F4" w:rsidP="00B611F4">
            <w:pPr>
              <w:jc w:val="center"/>
              <w:rPr>
                <w:sz w:val="20"/>
                <w:szCs w:val="20"/>
              </w:rPr>
            </w:pPr>
            <w:r>
              <w:rPr>
                <w:rFonts w:eastAsia="Times New Roman"/>
                <w:sz w:val="18"/>
                <w:szCs w:val="18"/>
              </w:rPr>
              <w:t>N/A</w:t>
            </w:r>
          </w:p>
        </w:tc>
        <w:tc>
          <w:tcPr>
            <w:tcW w:w="2340" w:type="dxa"/>
            <w:tcBorders>
              <w:bottom w:val="single" w:sz="8" w:space="0" w:color="auto"/>
              <w:right w:val="single" w:sz="8" w:space="0" w:color="auto"/>
            </w:tcBorders>
            <w:vAlign w:val="center"/>
          </w:tcPr>
          <w:p w14:paraId="281A15BD" w14:textId="5AEF9982" w:rsidR="00B611F4" w:rsidRDefault="00B611F4" w:rsidP="00B611F4">
            <w:pPr>
              <w:jc w:val="center"/>
              <w:rPr>
                <w:sz w:val="24"/>
                <w:szCs w:val="24"/>
              </w:rPr>
            </w:pPr>
            <w:r>
              <w:rPr>
                <w:rFonts w:eastAsia="Times New Roman"/>
                <w:sz w:val="18"/>
                <w:szCs w:val="18"/>
              </w:rPr>
              <w:t>N/A</w:t>
            </w:r>
          </w:p>
        </w:tc>
        <w:tc>
          <w:tcPr>
            <w:tcW w:w="900" w:type="dxa"/>
            <w:tcBorders>
              <w:bottom w:val="single" w:sz="8" w:space="0" w:color="auto"/>
              <w:right w:val="single" w:sz="8" w:space="0" w:color="auto"/>
            </w:tcBorders>
            <w:vAlign w:val="center"/>
          </w:tcPr>
          <w:p w14:paraId="281A15BE" w14:textId="77777777" w:rsidR="00B611F4" w:rsidRDefault="00B611F4" w:rsidP="00B611F4">
            <w:pPr>
              <w:jc w:val="center"/>
              <w:rPr>
                <w:sz w:val="20"/>
                <w:szCs w:val="20"/>
              </w:rPr>
            </w:pPr>
            <w:r>
              <w:rPr>
                <w:rFonts w:eastAsia="Times New Roman"/>
                <w:w w:val="88"/>
                <w:sz w:val="18"/>
                <w:szCs w:val="18"/>
              </w:rPr>
              <w:t>3</w:t>
            </w:r>
          </w:p>
        </w:tc>
        <w:tc>
          <w:tcPr>
            <w:tcW w:w="2500" w:type="dxa"/>
            <w:tcBorders>
              <w:bottom w:val="single" w:sz="8" w:space="0" w:color="auto"/>
              <w:right w:val="single" w:sz="8" w:space="0" w:color="auto"/>
            </w:tcBorders>
            <w:vAlign w:val="center"/>
          </w:tcPr>
          <w:p w14:paraId="281A15BF" w14:textId="1E7A4286" w:rsidR="00B611F4" w:rsidRDefault="00B611F4" w:rsidP="00B611F4">
            <w:pPr>
              <w:jc w:val="center"/>
              <w:rPr>
                <w:sz w:val="20"/>
                <w:szCs w:val="20"/>
              </w:rPr>
            </w:pPr>
            <w:r>
              <w:rPr>
                <w:rFonts w:eastAsia="Times New Roman"/>
                <w:sz w:val="18"/>
                <w:szCs w:val="18"/>
              </w:rPr>
              <w:t>310 CMR 22.06</w:t>
            </w:r>
          </w:p>
        </w:tc>
      </w:tr>
      <w:tr w:rsidR="00B611F4" w14:paraId="281A15C8" w14:textId="77777777" w:rsidTr="00E00B73">
        <w:trPr>
          <w:trHeight w:val="441"/>
        </w:trPr>
        <w:tc>
          <w:tcPr>
            <w:tcW w:w="10560" w:type="dxa"/>
            <w:gridSpan w:val="5"/>
            <w:tcBorders>
              <w:top w:val="single" w:sz="8" w:space="0" w:color="auto"/>
              <w:left w:val="single" w:sz="8" w:space="0" w:color="auto"/>
              <w:bottom w:val="single" w:sz="8" w:space="0" w:color="auto"/>
              <w:right w:val="single" w:sz="8" w:space="0" w:color="auto"/>
            </w:tcBorders>
            <w:vAlign w:val="center"/>
          </w:tcPr>
          <w:p w14:paraId="281A15C6" w14:textId="0A539DF9" w:rsidR="00B611F4" w:rsidRDefault="00B611F4" w:rsidP="00563A54">
            <w:pPr>
              <w:numPr>
                <w:ilvl w:val="0"/>
                <w:numId w:val="518"/>
              </w:numPr>
              <w:tabs>
                <w:tab w:val="left" w:pos="340"/>
              </w:tabs>
              <w:ind w:left="330" w:hanging="90"/>
              <w:rPr>
                <w:sz w:val="24"/>
                <w:szCs w:val="24"/>
              </w:rPr>
            </w:pPr>
            <w:r>
              <w:rPr>
                <w:rFonts w:eastAsia="Times New Roman"/>
                <w:b/>
                <w:bCs/>
                <w:sz w:val="18"/>
                <w:szCs w:val="18"/>
              </w:rPr>
              <w:t>Public Notification for Variances and Exemptions</w:t>
            </w:r>
            <w:r>
              <w:rPr>
                <w:rFonts w:eastAsia="Times New Roman"/>
                <w:sz w:val="18"/>
                <w:szCs w:val="18"/>
              </w:rPr>
              <w:t>:</w:t>
            </w:r>
          </w:p>
        </w:tc>
      </w:tr>
      <w:tr w:rsidR="00E00B73" w14:paraId="281A15D7" w14:textId="77777777" w:rsidTr="00E00B73">
        <w:trPr>
          <w:trHeight w:val="575"/>
        </w:trPr>
        <w:tc>
          <w:tcPr>
            <w:tcW w:w="3840" w:type="dxa"/>
            <w:tcBorders>
              <w:top w:val="single" w:sz="8" w:space="0" w:color="auto"/>
              <w:left w:val="single" w:sz="8" w:space="0" w:color="auto"/>
              <w:bottom w:val="single" w:sz="8" w:space="0" w:color="auto"/>
              <w:right w:val="single" w:sz="8" w:space="0" w:color="auto"/>
            </w:tcBorders>
            <w:vAlign w:val="center"/>
          </w:tcPr>
          <w:p w14:paraId="281A15D1" w14:textId="36C813BD" w:rsidR="00E00B73" w:rsidRPr="00B611F4" w:rsidRDefault="00E00B73" w:rsidP="00563A54">
            <w:pPr>
              <w:pStyle w:val="ListParagraph"/>
              <w:numPr>
                <w:ilvl w:val="0"/>
                <w:numId w:val="935"/>
              </w:numPr>
              <w:tabs>
                <w:tab w:val="left" w:pos="240"/>
              </w:tabs>
              <w:ind w:left="0" w:firstLine="0"/>
              <w:rPr>
                <w:sz w:val="20"/>
                <w:szCs w:val="20"/>
              </w:rPr>
            </w:pPr>
            <w:r w:rsidRPr="00B611F4">
              <w:rPr>
                <w:rFonts w:eastAsia="Times New Roman"/>
                <w:sz w:val="18"/>
                <w:szCs w:val="18"/>
              </w:rPr>
              <w:t>Operation under a variance or exemption</w:t>
            </w:r>
          </w:p>
        </w:tc>
        <w:tc>
          <w:tcPr>
            <w:tcW w:w="980" w:type="dxa"/>
            <w:tcBorders>
              <w:top w:val="single" w:sz="8" w:space="0" w:color="auto"/>
              <w:bottom w:val="single" w:sz="8" w:space="0" w:color="auto"/>
              <w:right w:val="single" w:sz="8" w:space="0" w:color="auto"/>
            </w:tcBorders>
            <w:vAlign w:val="center"/>
          </w:tcPr>
          <w:p w14:paraId="281A15D2" w14:textId="77777777" w:rsidR="00E00B73" w:rsidRDefault="00E00B73" w:rsidP="00E00B73">
            <w:pPr>
              <w:jc w:val="center"/>
              <w:rPr>
                <w:sz w:val="20"/>
                <w:szCs w:val="20"/>
              </w:rPr>
            </w:pPr>
            <w:r>
              <w:rPr>
                <w:rFonts w:eastAsia="Times New Roman"/>
                <w:sz w:val="18"/>
                <w:szCs w:val="18"/>
              </w:rPr>
              <w:t>3</w:t>
            </w:r>
          </w:p>
        </w:tc>
        <w:tc>
          <w:tcPr>
            <w:tcW w:w="2340" w:type="dxa"/>
            <w:tcBorders>
              <w:top w:val="single" w:sz="8" w:space="0" w:color="auto"/>
              <w:bottom w:val="single" w:sz="8" w:space="0" w:color="auto"/>
              <w:right w:val="single" w:sz="8" w:space="0" w:color="auto"/>
            </w:tcBorders>
            <w:vAlign w:val="center"/>
          </w:tcPr>
          <w:p w14:paraId="0B370ECD" w14:textId="4D9D2B54" w:rsidR="00E00B73" w:rsidRDefault="00E00B73" w:rsidP="00E00B73">
            <w:pPr>
              <w:spacing w:line="270" w:lineRule="exact"/>
              <w:jc w:val="center"/>
              <w:rPr>
                <w:sz w:val="20"/>
                <w:szCs w:val="20"/>
              </w:rPr>
            </w:pPr>
            <w:r>
              <w:rPr>
                <w:rFonts w:eastAsia="Times New Roman"/>
                <w:sz w:val="18"/>
                <w:szCs w:val="18"/>
              </w:rPr>
              <w:t>310 CMR 22.13</w:t>
            </w:r>
            <w:r w:rsidRPr="00E00B73">
              <w:rPr>
                <w:rFonts w:eastAsia="Times New Roman"/>
                <w:sz w:val="18"/>
                <w:szCs w:val="18"/>
                <w:vertAlign w:val="superscript"/>
              </w:rPr>
              <w:t>17</w:t>
            </w:r>
          </w:p>
          <w:p w14:paraId="281A15D3" w14:textId="219412BB" w:rsidR="00E00B73" w:rsidRDefault="00E00B73" w:rsidP="00E00B73">
            <w:pPr>
              <w:jc w:val="center"/>
              <w:rPr>
                <w:sz w:val="20"/>
                <w:szCs w:val="20"/>
              </w:rPr>
            </w:pPr>
            <w:r>
              <w:rPr>
                <w:rFonts w:eastAsia="Times New Roman"/>
                <w:sz w:val="18"/>
                <w:szCs w:val="18"/>
              </w:rPr>
              <w:t>310 CMR 22.14</w:t>
            </w:r>
          </w:p>
        </w:tc>
        <w:tc>
          <w:tcPr>
            <w:tcW w:w="900" w:type="dxa"/>
            <w:tcBorders>
              <w:top w:val="single" w:sz="8" w:space="0" w:color="auto"/>
              <w:bottom w:val="single" w:sz="8" w:space="0" w:color="auto"/>
              <w:right w:val="single" w:sz="8" w:space="0" w:color="auto"/>
            </w:tcBorders>
            <w:vAlign w:val="center"/>
          </w:tcPr>
          <w:p w14:paraId="281A15D4" w14:textId="77777777" w:rsidR="00E00B73" w:rsidRDefault="00E00B73" w:rsidP="00E00B73">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5D5" w14:textId="77777777" w:rsidR="00E00B73" w:rsidRDefault="00E00B73" w:rsidP="00E00B73">
            <w:pPr>
              <w:jc w:val="center"/>
              <w:rPr>
                <w:sz w:val="20"/>
                <w:szCs w:val="20"/>
              </w:rPr>
            </w:pPr>
            <w:r>
              <w:rPr>
                <w:rFonts w:eastAsia="Times New Roman"/>
                <w:sz w:val="18"/>
                <w:szCs w:val="18"/>
              </w:rPr>
              <w:t>N/A</w:t>
            </w:r>
          </w:p>
        </w:tc>
      </w:tr>
      <w:tr w:rsidR="00E00B73" w14:paraId="281A15E6" w14:textId="77777777" w:rsidTr="00A84CA7">
        <w:trPr>
          <w:trHeight w:val="578"/>
        </w:trPr>
        <w:tc>
          <w:tcPr>
            <w:tcW w:w="3840" w:type="dxa"/>
            <w:tcBorders>
              <w:top w:val="single" w:sz="8" w:space="0" w:color="auto"/>
              <w:left w:val="single" w:sz="8" w:space="0" w:color="auto"/>
              <w:bottom w:val="single" w:sz="8" w:space="0" w:color="auto"/>
              <w:right w:val="single" w:sz="8" w:space="0" w:color="auto"/>
            </w:tcBorders>
            <w:vAlign w:val="bottom"/>
          </w:tcPr>
          <w:p w14:paraId="281A15E0" w14:textId="16CCA1B9" w:rsidR="00E00B73" w:rsidRDefault="00E00B73" w:rsidP="00563A54">
            <w:pPr>
              <w:pStyle w:val="ListParagraph"/>
              <w:numPr>
                <w:ilvl w:val="0"/>
                <w:numId w:val="935"/>
              </w:numPr>
              <w:tabs>
                <w:tab w:val="left" w:pos="240"/>
              </w:tabs>
              <w:ind w:left="0" w:firstLine="0"/>
              <w:rPr>
                <w:sz w:val="20"/>
                <w:szCs w:val="20"/>
              </w:rPr>
            </w:pPr>
            <w:r>
              <w:rPr>
                <w:rFonts w:eastAsia="Times New Roman"/>
                <w:sz w:val="18"/>
                <w:szCs w:val="18"/>
              </w:rPr>
              <w:t>Violation of conditions of a variance or exemption</w:t>
            </w:r>
          </w:p>
        </w:tc>
        <w:tc>
          <w:tcPr>
            <w:tcW w:w="980" w:type="dxa"/>
            <w:tcBorders>
              <w:top w:val="single" w:sz="8" w:space="0" w:color="auto"/>
              <w:bottom w:val="single" w:sz="8" w:space="0" w:color="auto"/>
              <w:right w:val="single" w:sz="8" w:space="0" w:color="auto"/>
            </w:tcBorders>
            <w:vAlign w:val="center"/>
          </w:tcPr>
          <w:p w14:paraId="281A15E1" w14:textId="77777777" w:rsidR="00E00B73" w:rsidRDefault="00E00B73" w:rsidP="00E00B73">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4677600F" w14:textId="77777777" w:rsidR="00E00B73" w:rsidRDefault="00E00B73" w:rsidP="00E00B73">
            <w:pPr>
              <w:spacing w:line="273" w:lineRule="exact"/>
              <w:jc w:val="center"/>
              <w:rPr>
                <w:sz w:val="20"/>
                <w:szCs w:val="20"/>
              </w:rPr>
            </w:pPr>
            <w:r>
              <w:rPr>
                <w:rFonts w:eastAsia="Times New Roman"/>
                <w:sz w:val="18"/>
                <w:szCs w:val="18"/>
              </w:rPr>
              <w:t>310 CMR 22.13</w:t>
            </w:r>
            <w:r w:rsidRPr="00E00B73">
              <w:rPr>
                <w:rFonts w:eastAsia="Times New Roman"/>
                <w:sz w:val="18"/>
                <w:szCs w:val="18"/>
                <w:vertAlign w:val="superscript"/>
              </w:rPr>
              <w:t>18</w:t>
            </w:r>
          </w:p>
          <w:p w14:paraId="281A15E2" w14:textId="6CACEA4D" w:rsidR="00E00B73" w:rsidRDefault="00E00B73" w:rsidP="00E00B73">
            <w:pPr>
              <w:jc w:val="center"/>
              <w:rPr>
                <w:sz w:val="20"/>
                <w:szCs w:val="20"/>
              </w:rPr>
            </w:pPr>
            <w:r>
              <w:rPr>
                <w:rFonts w:eastAsia="Times New Roman"/>
                <w:sz w:val="18"/>
                <w:szCs w:val="18"/>
              </w:rPr>
              <w:t>310 CMR 22.14</w:t>
            </w:r>
          </w:p>
        </w:tc>
        <w:tc>
          <w:tcPr>
            <w:tcW w:w="900" w:type="dxa"/>
            <w:tcBorders>
              <w:top w:val="single" w:sz="8" w:space="0" w:color="auto"/>
              <w:bottom w:val="single" w:sz="8" w:space="0" w:color="auto"/>
              <w:right w:val="single" w:sz="8" w:space="0" w:color="auto"/>
            </w:tcBorders>
            <w:vAlign w:val="center"/>
          </w:tcPr>
          <w:p w14:paraId="281A15E3" w14:textId="77777777" w:rsidR="00E00B73" w:rsidRDefault="00E00B73" w:rsidP="00E00B73">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5E4" w14:textId="77777777" w:rsidR="00E00B73" w:rsidRDefault="00E00B73" w:rsidP="00E00B73">
            <w:pPr>
              <w:jc w:val="center"/>
              <w:rPr>
                <w:sz w:val="20"/>
                <w:szCs w:val="20"/>
              </w:rPr>
            </w:pPr>
            <w:r>
              <w:rPr>
                <w:rFonts w:eastAsia="Times New Roman"/>
                <w:sz w:val="18"/>
                <w:szCs w:val="18"/>
              </w:rPr>
              <w:t>N/A</w:t>
            </w:r>
          </w:p>
        </w:tc>
      </w:tr>
      <w:tr w:rsidR="00A84CA7" w14:paraId="281A15F5" w14:textId="77777777" w:rsidTr="00A84CA7">
        <w:trPr>
          <w:trHeight w:val="459"/>
        </w:trPr>
        <w:tc>
          <w:tcPr>
            <w:tcW w:w="10560" w:type="dxa"/>
            <w:gridSpan w:val="5"/>
            <w:tcBorders>
              <w:top w:val="single" w:sz="8" w:space="0" w:color="auto"/>
              <w:left w:val="single" w:sz="8" w:space="0" w:color="auto"/>
              <w:bottom w:val="single" w:sz="8" w:space="0" w:color="auto"/>
              <w:right w:val="single" w:sz="8" w:space="0" w:color="auto"/>
            </w:tcBorders>
            <w:vAlign w:val="center"/>
          </w:tcPr>
          <w:p w14:paraId="281A15F3" w14:textId="0A251028" w:rsidR="00A84CA7" w:rsidRDefault="00A84CA7" w:rsidP="00563A54">
            <w:pPr>
              <w:numPr>
                <w:ilvl w:val="0"/>
                <w:numId w:val="518"/>
              </w:numPr>
              <w:tabs>
                <w:tab w:val="left" w:pos="340"/>
              </w:tabs>
              <w:ind w:left="330" w:hanging="90"/>
              <w:rPr>
                <w:sz w:val="24"/>
                <w:szCs w:val="24"/>
              </w:rPr>
            </w:pPr>
            <w:r>
              <w:rPr>
                <w:rFonts w:eastAsia="Times New Roman"/>
                <w:b/>
                <w:bCs/>
                <w:sz w:val="18"/>
                <w:szCs w:val="18"/>
              </w:rPr>
              <w:t>Other Situations Requiring Public Notification</w:t>
            </w:r>
            <w:r>
              <w:rPr>
                <w:rFonts w:eastAsia="Times New Roman"/>
                <w:sz w:val="18"/>
                <w:szCs w:val="18"/>
              </w:rPr>
              <w:t>:</w:t>
            </w:r>
          </w:p>
        </w:tc>
      </w:tr>
      <w:tr w:rsidR="00A84CA7" w14:paraId="281A1605" w14:textId="77777777" w:rsidTr="00130B6E">
        <w:trPr>
          <w:trHeight w:val="577"/>
        </w:trPr>
        <w:tc>
          <w:tcPr>
            <w:tcW w:w="3840" w:type="dxa"/>
            <w:tcBorders>
              <w:top w:val="single" w:sz="8" w:space="0" w:color="auto"/>
              <w:left w:val="single" w:sz="8" w:space="0" w:color="auto"/>
              <w:bottom w:val="single" w:sz="8" w:space="0" w:color="auto"/>
              <w:right w:val="single" w:sz="8" w:space="0" w:color="auto"/>
            </w:tcBorders>
            <w:vAlign w:val="center"/>
          </w:tcPr>
          <w:p w14:paraId="281A15FE" w14:textId="65345DE1" w:rsidR="00A84CA7" w:rsidRDefault="00A84CA7" w:rsidP="00563A54">
            <w:pPr>
              <w:pStyle w:val="ListParagraph"/>
              <w:numPr>
                <w:ilvl w:val="0"/>
                <w:numId w:val="936"/>
              </w:numPr>
              <w:tabs>
                <w:tab w:val="left" w:pos="240"/>
              </w:tabs>
              <w:ind w:left="60" w:firstLine="0"/>
              <w:rPr>
                <w:sz w:val="20"/>
                <w:szCs w:val="20"/>
              </w:rPr>
            </w:pPr>
            <w:r>
              <w:rPr>
                <w:rFonts w:eastAsia="Times New Roman"/>
                <w:sz w:val="18"/>
                <w:szCs w:val="18"/>
              </w:rPr>
              <w:t>Fluoride Secondary Maximum Contaminant level (SMCL) exceedance</w:t>
            </w:r>
          </w:p>
        </w:tc>
        <w:tc>
          <w:tcPr>
            <w:tcW w:w="980" w:type="dxa"/>
            <w:tcBorders>
              <w:top w:val="single" w:sz="8" w:space="0" w:color="auto"/>
              <w:bottom w:val="single" w:sz="8" w:space="0" w:color="auto"/>
              <w:right w:val="single" w:sz="8" w:space="0" w:color="auto"/>
            </w:tcBorders>
            <w:vAlign w:val="center"/>
          </w:tcPr>
          <w:p w14:paraId="281A15FF" w14:textId="77777777" w:rsidR="00A84CA7" w:rsidRDefault="00A84CA7" w:rsidP="00A84CA7">
            <w:pPr>
              <w:jc w:val="center"/>
              <w:rPr>
                <w:sz w:val="20"/>
                <w:szCs w:val="20"/>
              </w:rPr>
            </w:pPr>
            <w:r>
              <w:rPr>
                <w:rFonts w:eastAsia="Times New Roman"/>
                <w:sz w:val="18"/>
                <w:szCs w:val="18"/>
              </w:rPr>
              <w:t>3</w:t>
            </w:r>
          </w:p>
        </w:tc>
        <w:tc>
          <w:tcPr>
            <w:tcW w:w="2340" w:type="dxa"/>
            <w:tcBorders>
              <w:top w:val="single" w:sz="8" w:space="0" w:color="auto"/>
              <w:bottom w:val="single" w:sz="8" w:space="0" w:color="auto"/>
              <w:right w:val="single" w:sz="8" w:space="0" w:color="auto"/>
            </w:tcBorders>
            <w:vAlign w:val="center"/>
          </w:tcPr>
          <w:p w14:paraId="281A1601" w14:textId="74E91497" w:rsidR="00A84CA7" w:rsidRDefault="00A84CA7" w:rsidP="00A84CA7">
            <w:pPr>
              <w:jc w:val="center"/>
              <w:rPr>
                <w:sz w:val="20"/>
                <w:szCs w:val="20"/>
              </w:rPr>
            </w:pPr>
            <w:r>
              <w:rPr>
                <w:rFonts w:eastAsia="Times New Roman"/>
                <w:sz w:val="18"/>
                <w:szCs w:val="18"/>
              </w:rPr>
              <w:t>310 CMR 22.06C</w:t>
            </w:r>
          </w:p>
        </w:tc>
        <w:tc>
          <w:tcPr>
            <w:tcW w:w="900" w:type="dxa"/>
            <w:tcBorders>
              <w:top w:val="single" w:sz="8" w:space="0" w:color="auto"/>
              <w:left w:val="single" w:sz="8" w:space="0" w:color="auto"/>
              <w:bottom w:val="single" w:sz="8" w:space="0" w:color="auto"/>
              <w:right w:val="single" w:sz="8" w:space="0" w:color="auto"/>
            </w:tcBorders>
            <w:vAlign w:val="center"/>
          </w:tcPr>
          <w:p w14:paraId="281A1602" w14:textId="77777777" w:rsidR="00A84CA7" w:rsidRDefault="00A84CA7" w:rsidP="00A84CA7">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03" w14:textId="77777777" w:rsidR="00A84CA7" w:rsidRDefault="00A84CA7" w:rsidP="00A84CA7">
            <w:pPr>
              <w:jc w:val="center"/>
              <w:rPr>
                <w:sz w:val="20"/>
                <w:szCs w:val="20"/>
              </w:rPr>
            </w:pPr>
            <w:r>
              <w:rPr>
                <w:rFonts w:eastAsia="Times New Roman"/>
                <w:sz w:val="18"/>
                <w:szCs w:val="18"/>
              </w:rPr>
              <w:t>N/A</w:t>
            </w:r>
          </w:p>
        </w:tc>
      </w:tr>
      <w:tr w:rsidR="00130B6E" w14:paraId="281A1616" w14:textId="77777777" w:rsidTr="00130B6E">
        <w:trPr>
          <w:trHeight w:val="879"/>
        </w:trPr>
        <w:tc>
          <w:tcPr>
            <w:tcW w:w="3840" w:type="dxa"/>
            <w:tcBorders>
              <w:top w:val="single" w:sz="8" w:space="0" w:color="auto"/>
              <w:left w:val="single" w:sz="8" w:space="0" w:color="auto"/>
              <w:bottom w:val="single" w:sz="8" w:space="0" w:color="auto"/>
              <w:right w:val="single" w:sz="8" w:space="0" w:color="auto"/>
            </w:tcBorders>
            <w:vAlign w:val="center"/>
          </w:tcPr>
          <w:p w14:paraId="281A160F" w14:textId="255CDCC6" w:rsidR="00130B6E" w:rsidRDefault="00130B6E" w:rsidP="00563A54">
            <w:pPr>
              <w:pStyle w:val="ListParagraph"/>
              <w:numPr>
                <w:ilvl w:val="0"/>
                <w:numId w:val="936"/>
              </w:numPr>
              <w:tabs>
                <w:tab w:val="left" w:pos="240"/>
              </w:tabs>
              <w:ind w:left="60" w:firstLine="0"/>
              <w:rPr>
                <w:sz w:val="20"/>
                <w:szCs w:val="20"/>
              </w:rPr>
            </w:pPr>
            <w:r>
              <w:rPr>
                <w:rFonts w:eastAsia="Times New Roman"/>
                <w:sz w:val="18"/>
                <w:szCs w:val="18"/>
              </w:rPr>
              <w:t>Exceedance of nitrate MCL for non-community systems, as allowed by the Department.</w:t>
            </w:r>
          </w:p>
        </w:tc>
        <w:tc>
          <w:tcPr>
            <w:tcW w:w="980" w:type="dxa"/>
            <w:tcBorders>
              <w:top w:val="single" w:sz="8" w:space="0" w:color="auto"/>
              <w:bottom w:val="single" w:sz="8" w:space="0" w:color="auto"/>
              <w:right w:val="single" w:sz="8" w:space="0" w:color="auto"/>
            </w:tcBorders>
            <w:vAlign w:val="center"/>
          </w:tcPr>
          <w:p w14:paraId="281A1610" w14:textId="77777777" w:rsidR="00130B6E" w:rsidRDefault="00130B6E" w:rsidP="002E1889">
            <w:pPr>
              <w:jc w:val="center"/>
              <w:rPr>
                <w:sz w:val="20"/>
                <w:szCs w:val="20"/>
              </w:rPr>
            </w:pPr>
            <w:r>
              <w:rPr>
                <w:rFonts w:eastAsia="Times New Roman"/>
                <w:w w:val="88"/>
                <w:sz w:val="18"/>
                <w:szCs w:val="18"/>
              </w:rPr>
              <w:t>1</w:t>
            </w:r>
          </w:p>
        </w:tc>
        <w:tc>
          <w:tcPr>
            <w:tcW w:w="2340" w:type="dxa"/>
            <w:tcBorders>
              <w:top w:val="single" w:sz="8" w:space="0" w:color="auto"/>
              <w:bottom w:val="single" w:sz="8" w:space="0" w:color="auto"/>
              <w:right w:val="single" w:sz="8" w:space="0" w:color="auto"/>
            </w:tcBorders>
            <w:vAlign w:val="center"/>
          </w:tcPr>
          <w:p w14:paraId="6A970208" w14:textId="78F9649F" w:rsidR="00130B6E" w:rsidRDefault="00130B6E" w:rsidP="002E1889">
            <w:pPr>
              <w:jc w:val="center"/>
              <w:rPr>
                <w:sz w:val="20"/>
                <w:szCs w:val="20"/>
              </w:rPr>
            </w:pPr>
            <w:r>
              <w:rPr>
                <w:rFonts w:eastAsia="Times New Roman"/>
                <w:sz w:val="18"/>
                <w:szCs w:val="18"/>
              </w:rPr>
              <w:t>310 CMR 22.13</w:t>
            </w:r>
          </w:p>
          <w:p w14:paraId="281A1612" w14:textId="21C1B005" w:rsidR="00130B6E" w:rsidRDefault="00130B6E" w:rsidP="00130B6E">
            <w:pPr>
              <w:jc w:val="center"/>
              <w:rPr>
                <w:sz w:val="20"/>
                <w:szCs w:val="20"/>
              </w:rPr>
            </w:pPr>
            <w:r>
              <w:rPr>
                <w:rFonts w:eastAsia="Times New Roman"/>
                <w:sz w:val="18"/>
                <w:szCs w:val="18"/>
              </w:rPr>
              <w:t>310 CMR 22.13A</w:t>
            </w:r>
          </w:p>
        </w:tc>
        <w:tc>
          <w:tcPr>
            <w:tcW w:w="900" w:type="dxa"/>
            <w:tcBorders>
              <w:top w:val="single" w:sz="8" w:space="0" w:color="auto"/>
              <w:left w:val="single" w:sz="8" w:space="0" w:color="auto"/>
              <w:bottom w:val="single" w:sz="8" w:space="0" w:color="auto"/>
              <w:right w:val="single" w:sz="8" w:space="0" w:color="auto"/>
            </w:tcBorders>
            <w:vAlign w:val="center"/>
          </w:tcPr>
          <w:p w14:paraId="281A1613" w14:textId="77777777" w:rsidR="00130B6E" w:rsidRDefault="00130B6E" w:rsidP="002E1889">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14" w14:textId="77777777" w:rsidR="00130B6E" w:rsidRDefault="00130B6E" w:rsidP="002E1889">
            <w:pPr>
              <w:jc w:val="center"/>
              <w:rPr>
                <w:sz w:val="20"/>
                <w:szCs w:val="20"/>
              </w:rPr>
            </w:pPr>
            <w:r>
              <w:rPr>
                <w:rFonts w:eastAsia="Times New Roman"/>
                <w:sz w:val="18"/>
                <w:szCs w:val="18"/>
              </w:rPr>
              <w:t>N/A</w:t>
            </w:r>
          </w:p>
        </w:tc>
      </w:tr>
      <w:tr w:rsidR="00130B6E" w14:paraId="281A162F" w14:textId="77777777" w:rsidTr="00130B6E">
        <w:trPr>
          <w:trHeight w:val="578"/>
        </w:trPr>
        <w:tc>
          <w:tcPr>
            <w:tcW w:w="3840" w:type="dxa"/>
            <w:tcBorders>
              <w:top w:val="single" w:sz="8" w:space="0" w:color="auto"/>
              <w:left w:val="single" w:sz="8" w:space="0" w:color="auto"/>
              <w:bottom w:val="single" w:sz="8" w:space="0" w:color="auto"/>
              <w:right w:val="single" w:sz="8" w:space="0" w:color="auto"/>
            </w:tcBorders>
            <w:vAlign w:val="center"/>
          </w:tcPr>
          <w:p w14:paraId="281A1628" w14:textId="1F838A85"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Availability of unregulated contaminant monitoring data</w:t>
            </w:r>
          </w:p>
        </w:tc>
        <w:tc>
          <w:tcPr>
            <w:tcW w:w="980" w:type="dxa"/>
            <w:tcBorders>
              <w:top w:val="single" w:sz="8" w:space="0" w:color="auto"/>
              <w:bottom w:val="single" w:sz="8" w:space="0" w:color="auto"/>
              <w:right w:val="single" w:sz="8" w:space="0" w:color="auto"/>
            </w:tcBorders>
            <w:vAlign w:val="center"/>
          </w:tcPr>
          <w:p w14:paraId="281A1629" w14:textId="77777777" w:rsidR="00130B6E" w:rsidRDefault="00130B6E" w:rsidP="002E1889">
            <w:pPr>
              <w:jc w:val="center"/>
              <w:rPr>
                <w:sz w:val="20"/>
                <w:szCs w:val="20"/>
              </w:rPr>
            </w:pPr>
            <w:r>
              <w:rPr>
                <w:rFonts w:eastAsia="Times New Roman"/>
                <w:w w:val="88"/>
                <w:sz w:val="18"/>
                <w:szCs w:val="18"/>
              </w:rPr>
              <w:t>3</w:t>
            </w:r>
          </w:p>
        </w:tc>
        <w:tc>
          <w:tcPr>
            <w:tcW w:w="2340" w:type="dxa"/>
            <w:tcBorders>
              <w:top w:val="single" w:sz="8" w:space="0" w:color="auto"/>
              <w:bottom w:val="single" w:sz="8" w:space="0" w:color="auto"/>
              <w:right w:val="single" w:sz="8" w:space="0" w:color="auto"/>
            </w:tcBorders>
            <w:vAlign w:val="center"/>
          </w:tcPr>
          <w:p w14:paraId="281A162B" w14:textId="13CF57E2" w:rsidR="00130B6E" w:rsidRDefault="00130B6E" w:rsidP="00130B6E">
            <w:pPr>
              <w:jc w:val="center"/>
              <w:rPr>
                <w:sz w:val="20"/>
                <w:szCs w:val="20"/>
              </w:rPr>
            </w:pPr>
            <w:r>
              <w:rPr>
                <w:rFonts w:eastAsia="Times New Roman"/>
                <w:sz w:val="18"/>
                <w:szCs w:val="18"/>
              </w:rPr>
              <w:t>310 CMR 22.07C</w:t>
            </w:r>
          </w:p>
        </w:tc>
        <w:tc>
          <w:tcPr>
            <w:tcW w:w="900" w:type="dxa"/>
            <w:tcBorders>
              <w:top w:val="single" w:sz="8" w:space="0" w:color="auto"/>
              <w:left w:val="single" w:sz="8" w:space="0" w:color="auto"/>
              <w:bottom w:val="single" w:sz="8" w:space="0" w:color="auto"/>
              <w:right w:val="single" w:sz="8" w:space="0" w:color="auto"/>
            </w:tcBorders>
            <w:vAlign w:val="center"/>
          </w:tcPr>
          <w:p w14:paraId="281A162C" w14:textId="77777777" w:rsidR="00130B6E" w:rsidRDefault="00130B6E" w:rsidP="002E1889">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2D" w14:textId="77777777" w:rsidR="00130B6E" w:rsidRDefault="00130B6E" w:rsidP="002E1889">
            <w:pPr>
              <w:jc w:val="center"/>
              <w:rPr>
                <w:sz w:val="20"/>
                <w:szCs w:val="20"/>
              </w:rPr>
            </w:pPr>
            <w:r>
              <w:rPr>
                <w:rFonts w:eastAsia="Times New Roman"/>
                <w:sz w:val="18"/>
                <w:szCs w:val="18"/>
              </w:rPr>
              <w:t>N/A</w:t>
            </w:r>
          </w:p>
        </w:tc>
      </w:tr>
      <w:tr w:rsidR="00130B6E" w14:paraId="281A1641" w14:textId="77777777" w:rsidTr="00130B6E">
        <w:trPr>
          <w:trHeight w:val="278"/>
        </w:trPr>
        <w:tc>
          <w:tcPr>
            <w:tcW w:w="3840" w:type="dxa"/>
            <w:tcBorders>
              <w:top w:val="single" w:sz="8" w:space="0" w:color="auto"/>
              <w:left w:val="single" w:sz="8" w:space="0" w:color="auto"/>
              <w:bottom w:val="single" w:sz="8" w:space="0" w:color="auto"/>
              <w:right w:val="single" w:sz="8" w:space="0" w:color="auto"/>
            </w:tcBorders>
            <w:vAlign w:val="center"/>
          </w:tcPr>
          <w:p w14:paraId="281A163A" w14:textId="241EAB5A"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Waterborne Disease Outbreak</w:t>
            </w:r>
          </w:p>
        </w:tc>
        <w:tc>
          <w:tcPr>
            <w:tcW w:w="980" w:type="dxa"/>
            <w:tcBorders>
              <w:top w:val="single" w:sz="8" w:space="0" w:color="auto"/>
              <w:bottom w:val="single" w:sz="8" w:space="0" w:color="auto"/>
              <w:right w:val="single" w:sz="8" w:space="0" w:color="auto"/>
            </w:tcBorders>
            <w:vAlign w:val="center"/>
          </w:tcPr>
          <w:p w14:paraId="281A163B" w14:textId="77777777" w:rsidR="00130B6E" w:rsidRDefault="00130B6E" w:rsidP="002E1889">
            <w:pPr>
              <w:jc w:val="center"/>
              <w:rPr>
                <w:sz w:val="20"/>
                <w:szCs w:val="20"/>
              </w:rPr>
            </w:pPr>
            <w:r>
              <w:rPr>
                <w:rFonts w:eastAsia="Times New Roman"/>
                <w:w w:val="88"/>
                <w:sz w:val="18"/>
                <w:szCs w:val="18"/>
              </w:rPr>
              <w:t>1</w:t>
            </w:r>
          </w:p>
        </w:tc>
        <w:tc>
          <w:tcPr>
            <w:tcW w:w="2340" w:type="dxa"/>
            <w:tcBorders>
              <w:top w:val="single" w:sz="8" w:space="0" w:color="auto"/>
              <w:bottom w:val="single" w:sz="8" w:space="0" w:color="auto"/>
              <w:right w:val="single" w:sz="8" w:space="0" w:color="auto"/>
            </w:tcBorders>
            <w:vAlign w:val="center"/>
          </w:tcPr>
          <w:p w14:paraId="281A163D" w14:textId="6E930955" w:rsidR="00130B6E" w:rsidRDefault="00130B6E" w:rsidP="002E1889">
            <w:pPr>
              <w:jc w:val="center"/>
              <w:rPr>
                <w:sz w:val="24"/>
                <w:szCs w:val="24"/>
              </w:rPr>
            </w:pPr>
            <w:r>
              <w:rPr>
                <w:rFonts w:eastAsia="Times New Roman"/>
                <w:sz w:val="18"/>
                <w:szCs w:val="18"/>
              </w:rPr>
              <w:t>N/A</w:t>
            </w:r>
          </w:p>
        </w:tc>
        <w:tc>
          <w:tcPr>
            <w:tcW w:w="900" w:type="dxa"/>
            <w:tcBorders>
              <w:top w:val="single" w:sz="8" w:space="0" w:color="auto"/>
              <w:bottom w:val="single" w:sz="8" w:space="0" w:color="auto"/>
              <w:right w:val="single" w:sz="8" w:space="0" w:color="auto"/>
            </w:tcBorders>
            <w:vAlign w:val="center"/>
          </w:tcPr>
          <w:p w14:paraId="281A163E" w14:textId="77777777" w:rsidR="00130B6E" w:rsidRDefault="00130B6E" w:rsidP="002E1889">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3F" w14:textId="77777777" w:rsidR="00130B6E" w:rsidRDefault="00130B6E" w:rsidP="002E1889">
            <w:pPr>
              <w:jc w:val="center"/>
              <w:rPr>
                <w:sz w:val="20"/>
                <w:szCs w:val="20"/>
              </w:rPr>
            </w:pPr>
            <w:r>
              <w:rPr>
                <w:rFonts w:eastAsia="Times New Roman"/>
                <w:sz w:val="18"/>
                <w:szCs w:val="18"/>
              </w:rPr>
              <w:t>N/A</w:t>
            </w:r>
          </w:p>
        </w:tc>
      </w:tr>
      <w:tr w:rsidR="00130B6E" w14:paraId="281A1649" w14:textId="77777777" w:rsidTr="00130B6E">
        <w:trPr>
          <w:trHeight w:val="579"/>
        </w:trPr>
        <w:tc>
          <w:tcPr>
            <w:tcW w:w="3840" w:type="dxa"/>
            <w:tcBorders>
              <w:top w:val="single" w:sz="8" w:space="0" w:color="auto"/>
              <w:left w:val="single" w:sz="8" w:space="0" w:color="auto"/>
              <w:bottom w:val="single" w:sz="8" w:space="0" w:color="auto"/>
              <w:right w:val="single" w:sz="8" w:space="0" w:color="auto"/>
            </w:tcBorders>
            <w:vAlign w:val="center"/>
          </w:tcPr>
          <w:p w14:paraId="281A1642" w14:textId="5594039A"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Other waterborne or water supply emergency</w:t>
            </w:r>
            <w:r w:rsidRPr="004F0A88">
              <w:rPr>
                <w:rFonts w:eastAsia="Times New Roman"/>
                <w:sz w:val="18"/>
                <w:szCs w:val="18"/>
                <w:vertAlign w:val="superscript"/>
              </w:rPr>
              <w:t>19</w:t>
            </w:r>
            <w:r>
              <w:rPr>
                <w:rFonts w:eastAsia="Times New Roman"/>
                <w:sz w:val="18"/>
                <w:szCs w:val="18"/>
              </w:rPr>
              <w:t>.</w:t>
            </w:r>
          </w:p>
        </w:tc>
        <w:tc>
          <w:tcPr>
            <w:tcW w:w="980" w:type="dxa"/>
            <w:tcBorders>
              <w:top w:val="single" w:sz="8" w:space="0" w:color="auto"/>
              <w:bottom w:val="single" w:sz="8" w:space="0" w:color="auto"/>
              <w:right w:val="single" w:sz="8" w:space="0" w:color="auto"/>
            </w:tcBorders>
            <w:vAlign w:val="center"/>
          </w:tcPr>
          <w:p w14:paraId="281A1643" w14:textId="77777777" w:rsidR="00130B6E" w:rsidRDefault="00130B6E" w:rsidP="002E1889">
            <w:pPr>
              <w:jc w:val="center"/>
              <w:rPr>
                <w:sz w:val="20"/>
                <w:szCs w:val="20"/>
              </w:rPr>
            </w:pPr>
            <w:r>
              <w:rPr>
                <w:rFonts w:eastAsia="Times New Roman"/>
                <w:w w:val="88"/>
                <w:sz w:val="18"/>
                <w:szCs w:val="18"/>
              </w:rPr>
              <w:t>1</w:t>
            </w:r>
          </w:p>
        </w:tc>
        <w:tc>
          <w:tcPr>
            <w:tcW w:w="2340" w:type="dxa"/>
            <w:tcBorders>
              <w:top w:val="single" w:sz="8" w:space="0" w:color="auto"/>
              <w:bottom w:val="single" w:sz="8" w:space="0" w:color="auto"/>
              <w:right w:val="single" w:sz="8" w:space="0" w:color="auto"/>
            </w:tcBorders>
            <w:vAlign w:val="center"/>
          </w:tcPr>
          <w:p w14:paraId="281A1645" w14:textId="62ADA909" w:rsidR="00130B6E" w:rsidRDefault="00130B6E" w:rsidP="002E1889">
            <w:pPr>
              <w:jc w:val="center"/>
              <w:rPr>
                <w:sz w:val="23"/>
                <w:szCs w:val="23"/>
              </w:rPr>
            </w:pPr>
            <w:r>
              <w:rPr>
                <w:rFonts w:eastAsia="Times New Roman"/>
                <w:sz w:val="18"/>
                <w:szCs w:val="18"/>
              </w:rPr>
              <w:t>N/A</w:t>
            </w:r>
          </w:p>
        </w:tc>
        <w:tc>
          <w:tcPr>
            <w:tcW w:w="900" w:type="dxa"/>
            <w:tcBorders>
              <w:top w:val="single" w:sz="8" w:space="0" w:color="auto"/>
              <w:left w:val="single" w:sz="8" w:space="0" w:color="auto"/>
              <w:bottom w:val="single" w:sz="8" w:space="0" w:color="auto"/>
              <w:right w:val="single" w:sz="8" w:space="0" w:color="auto"/>
            </w:tcBorders>
            <w:vAlign w:val="center"/>
          </w:tcPr>
          <w:p w14:paraId="281A1646" w14:textId="77777777" w:rsidR="00130B6E" w:rsidRDefault="00130B6E" w:rsidP="002E1889">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47" w14:textId="77777777" w:rsidR="00130B6E" w:rsidRDefault="00130B6E" w:rsidP="002E1889">
            <w:pPr>
              <w:jc w:val="center"/>
              <w:rPr>
                <w:sz w:val="20"/>
                <w:szCs w:val="20"/>
              </w:rPr>
            </w:pPr>
            <w:r>
              <w:rPr>
                <w:rFonts w:eastAsia="Times New Roman"/>
                <w:sz w:val="18"/>
                <w:szCs w:val="18"/>
              </w:rPr>
              <w:t>N/A</w:t>
            </w:r>
          </w:p>
        </w:tc>
      </w:tr>
      <w:tr w:rsidR="00130B6E" w14:paraId="281A165A" w14:textId="77777777" w:rsidTr="00130B6E">
        <w:trPr>
          <w:trHeight w:val="578"/>
        </w:trPr>
        <w:tc>
          <w:tcPr>
            <w:tcW w:w="3840" w:type="dxa"/>
            <w:tcBorders>
              <w:top w:val="single" w:sz="8" w:space="0" w:color="auto"/>
              <w:left w:val="single" w:sz="8" w:space="0" w:color="auto"/>
              <w:bottom w:val="single" w:sz="8" w:space="0" w:color="auto"/>
              <w:right w:val="single" w:sz="8" w:space="0" w:color="auto"/>
            </w:tcBorders>
            <w:vAlign w:val="center"/>
          </w:tcPr>
          <w:p w14:paraId="281A1653" w14:textId="01D6D318"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Other situations as determined by the Department</w:t>
            </w:r>
          </w:p>
        </w:tc>
        <w:tc>
          <w:tcPr>
            <w:tcW w:w="980" w:type="dxa"/>
            <w:tcBorders>
              <w:top w:val="single" w:sz="8" w:space="0" w:color="auto"/>
              <w:bottom w:val="single" w:sz="8" w:space="0" w:color="auto"/>
              <w:right w:val="single" w:sz="8" w:space="0" w:color="auto"/>
            </w:tcBorders>
            <w:vAlign w:val="center"/>
          </w:tcPr>
          <w:p w14:paraId="281A1654" w14:textId="2E0D2F88" w:rsidR="00130B6E" w:rsidRDefault="00130B6E" w:rsidP="002E1889">
            <w:pPr>
              <w:spacing w:line="274" w:lineRule="exact"/>
              <w:jc w:val="center"/>
              <w:rPr>
                <w:sz w:val="20"/>
                <w:szCs w:val="20"/>
              </w:rPr>
            </w:pPr>
            <w:r>
              <w:rPr>
                <w:rFonts w:eastAsia="Times New Roman"/>
                <w:sz w:val="18"/>
                <w:szCs w:val="18"/>
              </w:rPr>
              <w:t>1</w:t>
            </w:r>
            <w:r w:rsidRPr="00130B6E">
              <w:rPr>
                <w:rFonts w:eastAsia="Times New Roman"/>
                <w:sz w:val="18"/>
                <w:szCs w:val="18"/>
                <w:vertAlign w:val="superscript"/>
              </w:rPr>
              <w:t>20</w:t>
            </w:r>
            <w:r>
              <w:rPr>
                <w:rFonts w:eastAsia="Times New Roman"/>
                <w:sz w:val="18"/>
                <w:szCs w:val="18"/>
              </w:rPr>
              <w:t>, 2, 3</w:t>
            </w:r>
          </w:p>
        </w:tc>
        <w:tc>
          <w:tcPr>
            <w:tcW w:w="2340" w:type="dxa"/>
            <w:tcBorders>
              <w:top w:val="single" w:sz="8" w:space="0" w:color="auto"/>
              <w:bottom w:val="single" w:sz="8" w:space="0" w:color="auto"/>
              <w:right w:val="single" w:sz="8" w:space="0" w:color="auto"/>
            </w:tcBorders>
            <w:vAlign w:val="center"/>
          </w:tcPr>
          <w:p w14:paraId="281A1656" w14:textId="6DACDD9B" w:rsidR="00130B6E" w:rsidRDefault="00130B6E" w:rsidP="002E1889">
            <w:pPr>
              <w:jc w:val="center"/>
              <w:rPr>
                <w:sz w:val="23"/>
                <w:szCs w:val="23"/>
              </w:rPr>
            </w:pPr>
            <w:r>
              <w:rPr>
                <w:rFonts w:eastAsia="Times New Roman"/>
                <w:sz w:val="18"/>
                <w:szCs w:val="18"/>
              </w:rPr>
              <w:t>N/A</w:t>
            </w:r>
          </w:p>
        </w:tc>
        <w:tc>
          <w:tcPr>
            <w:tcW w:w="900" w:type="dxa"/>
            <w:tcBorders>
              <w:top w:val="single" w:sz="8" w:space="0" w:color="auto"/>
              <w:left w:val="single" w:sz="8" w:space="0" w:color="auto"/>
              <w:bottom w:val="single" w:sz="8" w:space="0" w:color="auto"/>
              <w:right w:val="single" w:sz="8" w:space="0" w:color="auto"/>
            </w:tcBorders>
            <w:vAlign w:val="center"/>
          </w:tcPr>
          <w:p w14:paraId="281A1657" w14:textId="77777777" w:rsidR="00130B6E" w:rsidRDefault="00130B6E" w:rsidP="002E1889">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58" w14:textId="77777777" w:rsidR="00130B6E" w:rsidRDefault="00130B6E" w:rsidP="002E1889">
            <w:pPr>
              <w:jc w:val="center"/>
              <w:rPr>
                <w:sz w:val="20"/>
                <w:szCs w:val="20"/>
              </w:rPr>
            </w:pPr>
            <w:r>
              <w:rPr>
                <w:rFonts w:eastAsia="Times New Roman"/>
                <w:sz w:val="18"/>
                <w:szCs w:val="18"/>
              </w:rPr>
              <w:t>N/A</w:t>
            </w:r>
          </w:p>
        </w:tc>
      </w:tr>
      <w:tr w:rsidR="00130B6E" w14:paraId="281A166C" w14:textId="77777777" w:rsidTr="00130B6E">
        <w:trPr>
          <w:trHeight w:val="280"/>
        </w:trPr>
        <w:tc>
          <w:tcPr>
            <w:tcW w:w="3840" w:type="dxa"/>
            <w:tcBorders>
              <w:top w:val="single" w:sz="8" w:space="0" w:color="auto"/>
              <w:left w:val="single" w:sz="8" w:space="0" w:color="auto"/>
              <w:bottom w:val="single" w:sz="8" w:space="0" w:color="auto"/>
              <w:right w:val="single" w:sz="8" w:space="0" w:color="auto"/>
            </w:tcBorders>
            <w:vAlign w:val="center"/>
          </w:tcPr>
          <w:p w14:paraId="281A1665" w14:textId="25089023"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Sodium</w:t>
            </w:r>
          </w:p>
        </w:tc>
        <w:tc>
          <w:tcPr>
            <w:tcW w:w="980" w:type="dxa"/>
            <w:tcBorders>
              <w:top w:val="single" w:sz="8" w:space="0" w:color="auto"/>
              <w:bottom w:val="single" w:sz="8" w:space="0" w:color="auto"/>
              <w:right w:val="single" w:sz="8" w:space="0" w:color="auto"/>
            </w:tcBorders>
            <w:vAlign w:val="center"/>
          </w:tcPr>
          <w:p w14:paraId="281A1666" w14:textId="77777777" w:rsidR="00130B6E" w:rsidRDefault="00130B6E" w:rsidP="002E1889">
            <w:pPr>
              <w:jc w:val="center"/>
              <w:rPr>
                <w:sz w:val="20"/>
                <w:szCs w:val="20"/>
              </w:rPr>
            </w:pPr>
            <w:r>
              <w:rPr>
                <w:rFonts w:eastAsia="Times New Roman"/>
                <w:sz w:val="18"/>
                <w:szCs w:val="18"/>
              </w:rPr>
              <w:t>N/A</w:t>
            </w:r>
          </w:p>
        </w:tc>
        <w:tc>
          <w:tcPr>
            <w:tcW w:w="2340" w:type="dxa"/>
            <w:tcBorders>
              <w:top w:val="single" w:sz="8" w:space="0" w:color="auto"/>
              <w:bottom w:val="single" w:sz="8" w:space="0" w:color="auto"/>
              <w:right w:val="single" w:sz="8" w:space="0" w:color="auto"/>
            </w:tcBorders>
            <w:vAlign w:val="center"/>
          </w:tcPr>
          <w:p w14:paraId="281A1668" w14:textId="1ED71CA7" w:rsidR="00130B6E" w:rsidRDefault="00130B6E" w:rsidP="002E1889">
            <w:pPr>
              <w:jc w:val="center"/>
              <w:rPr>
                <w:sz w:val="24"/>
                <w:szCs w:val="24"/>
              </w:rPr>
            </w:pPr>
            <w:r>
              <w:rPr>
                <w:rFonts w:eastAsia="Times New Roman"/>
                <w:sz w:val="18"/>
                <w:szCs w:val="18"/>
              </w:rPr>
              <w:t>N/A</w:t>
            </w:r>
          </w:p>
        </w:tc>
        <w:tc>
          <w:tcPr>
            <w:tcW w:w="900" w:type="dxa"/>
            <w:tcBorders>
              <w:top w:val="single" w:sz="8" w:space="0" w:color="auto"/>
              <w:bottom w:val="single" w:sz="8" w:space="0" w:color="auto"/>
              <w:right w:val="single" w:sz="8" w:space="0" w:color="auto"/>
            </w:tcBorders>
            <w:vAlign w:val="center"/>
          </w:tcPr>
          <w:p w14:paraId="281A1669" w14:textId="77777777" w:rsidR="00130B6E" w:rsidRDefault="00130B6E" w:rsidP="002E1889">
            <w:pPr>
              <w:jc w:val="center"/>
              <w:rPr>
                <w:sz w:val="20"/>
                <w:szCs w:val="20"/>
              </w:rPr>
            </w:pPr>
            <w:r>
              <w:rPr>
                <w:rFonts w:eastAsia="Times New Roman"/>
                <w:w w:val="88"/>
                <w:sz w:val="18"/>
                <w:szCs w:val="18"/>
              </w:rPr>
              <w:t>3</w:t>
            </w:r>
          </w:p>
        </w:tc>
        <w:tc>
          <w:tcPr>
            <w:tcW w:w="2500" w:type="dxa"/>
            <w:tcBorders>
              <w:top w:val="single" w:sz="8" w:space="0" w:color="auto"/>
              <w:bottom w:val="single" w:sz="8" w:space="0" w:color="auto"/>
              <w:right w:val="single" w:sz="8" w:space="0" w:color="auto"/>
            </w:tcBorders>
            <w:vAlign w:val="center"/>
          </w:tcPr>
          <w:p w14:paraId="281A166A" w14:textId="3A0F4B1D" w:rsidR="00130B6E" w:rsidRDefault="00130B6E" w:rsidP="002E1889">
            <w:pPr>
              <w:jc w:val="center"/>
              <w:rPr>
                <w:sz w:val="20"/>
                <w:szCs w:val="20"/>
              </w:rPr>
            </w:pPr>
            <w:r>
              <w:rPr>
                <w:rFonts w:eastAsia="Times New Roman"/>
                <w:sz w:val="18"/>
                <w:szCs w:val="18"/>
              </w:rPr>
              <w:t>310 CMR 22.06A</w:t>
            </w:r>
          </w:p>
        </w:tc>
      </w:tr>
      <w:tr w:rsidR="00130B6E" w14:paraId="281A1674" w14:textId="77777777" w:rsidTr="00130B6E">
        <w:trPr>
          <w:trHeight w:val="877"/>
        </w:trPr>
        <w:tc>
          <w:tcPr>
            <w:tcW w:w="3840" w:type="dxa"/>
            <w:tcBorders>
              <w:top w:val="single" w:sz="8" w:space="0" w:color="auto"/>
              <w:left w:val="single" w:sz="8" w:space="0" w:color="auto"/>
              <w:bottom w:val="single" w:sz="8" w:space="0" w:color="auto"/>
              <w:right w:val="single" w:sz="8" w:space="0" w:color="auto"/>
            </w:tcBorders>
            <w:vAlign w:val="center"/>
          </w:tcPr>
          <w:p w14:paraId="281A166D" w14:textId="47A0637A"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 xml:space="preserve">Source water sample positive for Ground Water Rule fecal indicators:  </w:t>
            </w:r>
            <w:r w:rsidRPr="00130B6E">
              <w:rPr>
                <w:rFonts w:eastAsia="Times New Roman"/>
                <w:i/>
                <w:iCs/>
                <w:sz w:val="18"/>
                <w:szCs w:val="18"/>
              </w:rPr>
              <w:t>E.coli, enterococci</w:t>
            </w:r>
            <w:r>
              <w:rPr>
                <w:rFonts w:eastAsia="Times New Roman"/>
                <w:sz w:val="18"/>
                <w:szCs w:val="18"/>
              </w:rPr>
              <w:t>, or colliphage</w:t>
            </w:r>
          </w:p>
        </w:tc>
        <w:tc>
          <w:tcPr>
            <w:tcW w:w="980" w:type="dxa"/>
            <w:tcBorders>
              <w:top w:val="single" w:sz="8" w:space="0" w:color="auto"/>
              <w:bottom w:val="single" w:sz="8" w:space="0" w:color="auto"/>
              <w:right w:val="single" w:sz="8" w:space="0" w:color="auto"/>
            </w:tcBorders>
            <w:vAlign w:val="center"/>
          </w:tcPr>
          <w:p w14:paraId="281A166E" w14:textId="77777777" w:rsidR="00130B6E" w:rsidRDefault="00130B6E" w:rsidP="002E1889">
            <w:pPr>
              <w:jc w:val="center"/>
              <w:rPr>
                <w:sz w:val="20"/>
                <w:szCs w:val="20"/>
              </w:rPr>
            </w:pPr>
            <w:r>
              <w:rPr>
                <w:rFonts w:eastAsia="Times New Roman"/>
                <w:w w:val="88"/>
                <w:sz w:val="18"/>
                <w:szCs w:val="18"/>
              </w:rPr>
              <w:t>1</w:t>
            </w:r>
          </w:p>
        </w:tc>
        <w:tc>
          <w:tcPr>
            <w:tcW w:w="2340" w:type="dxa"/>
            <w:tcBorders>
              <w:top w:val="single" w:sz="8" w:space="0" w:color="auto"/>
              <w:bottom w:val="single" w:sz="8" w:space="0" w:color="auto"/>
              <w:right w:val="single" w:sz="8" w:space="0" w:color="auto"/>
            </w:tcBorders>
            <w:vAlign w:val="center"/>
          </w:tcPr>
          <w:p w14:paraId="281A1670" w14:textId="7A28D92E" w:rsidR="00130B6E" w:rsidRDefault="00130B6E" w:rsidP="00130B6E">
            <w:pPr>
              <w:jc w:val="center"/>
              <w:rPr>
                <w:sz w:val="20"/>
                <w:szCs w:val="20"/>
              </w:rPr>
            </w:pPr>
            <w:r>
              <w:rPr>
                <w:rFonts w:eastAsia="Times New Roman"/>
                <w:sz w:val="18"/>
                <w:szCs w:val="18"/>
              </w:rPr>
              <w:t>310 CMR 22.26(3)(g)</w:t>
            </w:r>
          </w:p>
        </w:tc>
        <w:tc>
          <w:tcPr>
            <w:tcW w:w="900" w:type="dxa"/>
            <w:tcBorders>
              <w:top w:val="single" w:sz="8" w:space="0" w:color="auto"/>
              <w:left w:val="single" w:sz="8" w:space="0" w:color="auto"/>
              <w:bottom w:val="single" w:sz="8" w:space="0" w:color="auto"/>
              <w:right w:val="single" w:sz="8" w:space="0" w:color="auto"/>
            </w:tcBorders>
            <w:vAlign w:val="center"/>
          </w:tcPr>
          <w:p w14:paraId="281A1671" w14:textId="77777777" w:rsidR="00130B6E" w:rsidRDefault="00130B6E" w:rsidP="002E1889">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72" w14:textId="77777777" w:rsidR="00130B6E" w:rsidRDefault="00130B6E" w:rsidP="002E1889">
            <w:pPr>
              <w:jc w:val="center"/>
              <w:rPr>
                <w:sz w:val="20"/>
                <w:szCs w:val="20"/>
              </w:rPr>
            </w:pPr>
            <w:r>
              <w:rPr>
                <w:rFonts w:eastAsia="Times New Roman"/>
                <w:sz w:val="18"/>
                <w:szCs w:val="18"/>
              </w:rPr>
              <w:t>N/A</w:t>
            </w:r>
          </w:p>
        </w:tc>
      </w:tr>
      <w:tr w:rsidR="00130B6E" w14:paraId="281A168D" w14:textId="77777777" w:rsidTr="00130B6E">
        <w:trPr>
          <w:trHeight w:val="579"/>
        </w:trPr>
        <w:tc>
          <w:tcPr>
            <w:tcW w:w="3840" w:type="dxa"/>
            <w:tcBorders>
              <w:top w:val="single" w:sz="8" w:space="0" w:color="auto"/>
              <w:left w:val="single" w:sz="8" w:space="0" w:color="auto"/>
              <w:bottom w:val="single" w:sz="8" w:space="0" w:color="auto"/>
              <w:right w:val="single" w:sz="8" w:space="0" w:color="auto"/>
            </w:tcBorders>
            <w:vAlign w:val="center"/>
          </w:tcPr>
          <w:p w14:paraId="281A1686" w14:textId="394F1931"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Change or failure of Treatment Technique or practice (TT)</w:t>
            </w:r>
          </w:p>
        </w:tc>
        <w:tc>
          <w:tcPr>
            <w:tcW w:w="980" w:type="dxa"/>
            <w:tcBorders>
              <w:top w:val="single" w:sz="8" w:space="0" w:color="auto"/>
              <w:bottom w:val="single" w:sz="8" w:space="0" w:color="auto"/>
              <w:right w:val="single" w:sz="8" w:space="0" w:color="auto"/>
            </w:tcBorders>
            <w:vAlign w:val="center"/>
          </w:tcPr>
          <w:p w14:paraId="281A1687" w14:textId="77777777" w:rsidR="00130B6E" w:rsidRDefault="00130B6E" w:rsidP="002E1889">
            <w:pPr>
              <w:jc w:val="center"/>
              <w:rPr>
                <w:sz w:val="20"/>
                <w:szCs w:val="20"/>
              </w:rPr>
            </w:pPr>
            <w:r>
              <w:rPr>
                <w:rFonts w:eastAsia="Times New Roman"/>
                <w:w w:val="88"/>
                <w:sz w:val="18"/>
                <w:szCs w:val="18"/>
              </w:rPr>
              <w:t>2</w:t>
            </w:r>
          </w:p>
        </w:tc>
        <w:tc>
          <w:tcPr>
            <w:tcW w:w="2340" w:type="dxa"/>
            <w:tcBorders>
              <w:top w:val="single" w:sz="8" w:space="0" w:color="auto"/>
              <w:bottom w:val="single" w:sz="8" w:space="0" w:color="auto"/>
              <w:right w:val="single" w:sz="8" w:space="0" w:color="auto"/>
            </w:tcBorders>
            <w:vAlign w:val="center"/>
          </w:tcPr>
          <w:p w14:paraId="281A1689" w14:textId="52CB2B68" w:rsidR="00130B6E" w:rsidRDefault="00130B6E" w:rsidP="00130B6E">
            <w:pPr>
              <w:jc w:val="center"/>
              <w:rPr>
                <w:sz w:val="20"/>
                <w:szCs w:val="20"/>
              </w:rPr>
            </w:pPr>
            <w:r>
              <w:rPr>
                <w:rFonts w:eastAsia="Times New Roman"/>
                <w:sz w:val="18"/>
                <w:szCs w:val="18"/>
              </w:rPr>
              <w:t>310 CMR 22.04(4)</w:t>
            </w:r>
          </w:p>
        </w:tc>
        <w:tc>
          <w:tcPr>
            <w:tcW w:w="900" w:type="dxa"/>
            <w:tcBorders>
              <w:top w:val="single" w:sz="8" w:space="0" w:color="auto"/>
              <w:left w:val="single" w:sz="8" w:space="0" w:color="auto"/>
              <w:bottom w:val="single" w:sz="8" w:space="0" w:color="auto"/>
              <w:right w:val="single" w:sz="8" w:space="0" w:color="auto"/>
            </w:tcBorders>
            <w:vAlign w:val="center"/>
          </w:tcPr>
          <w:p w14:paraId="281A168A" w14:textId="77777777" w:rsidR="00130B6E" w:rsidRDefault="00130B6E" w:rsidP="002E1889">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8B" w14:textId="636AF800" w:rsidR="00130B6E" w:rsidRDefault="00130B6E" w:rsidP="002E1889">
            <w:pPr>
              <w:jc w:val="center"/>
              <w:rPr>
                <w:sz w:val="20"/>
                <w:szCs w:val="20"/>
              </w:rPr>
            </w:pPr>
            <w:r>
              <w:rPr>
                <w:rFonts w:eastAsia="Times New Roman"/>
                <w:sz w:val="18"/>
                <w:szCs w:val="18"/>
              </w:rPr>
              <w:t>310 CMR 22.04(4)</w:t>
            </w:r>
          </w:p>
        </w:tc>
      </w:tr>
      <w:tr w:rsidR="00130B6E" w14:paraId="281A169E" w14:textId="77777777" w:rsidTr="00130B6E">
        <w:trPr>
          <w:trHeight w:val="578"/>
        </w:trPr>
        <w:tc>
          <w:tcPr>
            <w:tcW w:w="3840" w:type="dxa"/>
            <w:tcBorders>
              <w:top w:val="single" w:sz="8" w:space="0" w:color="auto"/>
              <w:left w:val="single" w:sz="8" w:space="0" w:color="auto"/>
              <w:bottom w:val="single" w:sz="8" w:space="0" w:color="auto"/>
              <w:right w:val="single" w:sz="8" w:space="0" w:color="auto"/>
            </w:tcBorders>
            <w:vAlign w:val="center"/>
          </w:tcPr>
          <w:p w14:paraId="281A1697" w14:textId="2A5B1006"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Ground Water Rule Significant Deficiency or source water fecal contamination</w:t>
            </w:r>
          </w:p>
        </w:tc>
        <w:tc>
          <w:tcPr>
            <w:tcW w:w="980" w:type="dxa"/>
            <w:tcBorders>
              <w:top w:val="single" w:sz="8" w:space="0" w:color="auto"/>
              <w:bottom w:val="single" w:sz="8" w:space="0" w:color="auto"/>
              <w:right w:val="single" w:sz="8" w:space="0" w:color="auto"/>
            </w:tcBorders>
            <w:vAlign w:val="center"/>
          </w:tcPr>
          <w:p w14:paraId="281A1698" w14:textId="77777777" w:rsidR="00130B6E" w:rsidRDefault="00130B6E" w:rsidP="002E1889">
            <w:pPr>
              <w:jc w:val="center"/>
              <w:rPr>
                <w:sz w:val="20"/>
                <w:szCs w:val="20"/>
              </w:rPr>
            </w:pPr>
            <w:r>
              <w:rPr>
                <w:rFonts w:eastAsia="Times New Roman"/>
                <w:w w:val="88"/>
                <w:sz w:val="18"/>
                <w:szCs w:val="18"/>
              </w:rPr>
              <w:t>3</w:t>
            </w:r>
          </w:p>
        </w:tc>
        <w:tc>
          <w:tcPr>
            <w:tcW w:w="2340" w:type="dxa"/>
            <w:tcBorders>
              <w:top w:val="single" w:sz="8" w:space="0" w:color="auto"/>
              <w:bottom w:val="single" w:sz="8" w:space="0" w:color="auto"/>
              <w:right w:val="single" w:sz="8" w:space="0" w:color="auto"/>
            </w:tcBorders>
            <w:vAlign w:val="center"/>
          </w:tcPr>
          <w:p w14:paraId="281A169A" w14:textId="4C486960" w:rsidR="00130B6E" w:rsidRDefault="00130B6E" w:rsidP="00130B6E">
            <w:pPr>
              <w:jc w:val="center"/>
              <w:rPr>
                <w:sz w:val="20"/>
                <w:szCs w:val="20"/>
              </w:rPr>
            </w:pPr>
            <w:r>
              <w:rPr>
                <w:rFonts w:eastAsia="Times New Roman"/>
                <w:sz w:val="18"/>
                <w:szCs w:val="18"/>
              </w:rPr>
              <w:t>310 CMR 22.16(13)</w:t>
            </w:r>
          </w:p>
        </w:tc>
        <w:tc>
          <w:tcPr>
            <w:tcW w:w="900" w:type="dxa"/>
            <w:tcBorders>
              <w:top w:val="single" w:sz="8" w:space="0" w:color="auto"/>
              <w:left w:val="single" w:sz="8" w:space="0" w:color="auto"/>
              <w:bottom w:val="single" w:sz="8" w:space="0" w:color="auto"/>
              <w:right w:val="single" w:sz="8" w:space="0" w:color="auto"/>
            </w:tcBorders>
            <w:vAlign w:val="center"/>
          </w:tcPr>
          <w:p w14:paraId="281A169B" w14:textId="77777777" w:rsidR="00130B6E" w:rsidRDefault="00130B6E" w:rsidP="002E1889">
            <w:pPr>
              <w:jc w:val="center"/>
              <w:rPr>
                <w:sz w:val="20"/>
                <w:szCs w:val="20"/>
              </w:rPr>
            </w:pPr>
            <w:r>
              <w:rPr>
                <w:rFonts w:eastAsia="Times New Roman"/>
                <w:sz w:val="18"/>
                <w:szCs w:val="18"/>
              </w:rPr>
              <w:t>N/A</w:t>
            </w:r>
          </w:p>
        </w:tc>
        <w:tc>
          <w:tcPr>
            <w:tcW w:w="2500" w:type="dxa"/>
            <w:tcBorders>
              <w:top w:val="single" w:sz="8" w:space="0" w:color="auto"/>
              <w:bottom w:val="single" w:sz="8" w:space="0" w:color="auto"/>
              <w:right w:val="single" w:sz="8" w:space="0" w:color="auto"/>
            </w:tcBorders>
            <w:vAlign w:val="center"/>
          </w:tcPr>
          <w:p w14:paraId="281A169C" w14:textId="77777777" w:rsidR="00130B6E" w:rsidRDefault="00130B6E" w:rsidP="002E1889">
            <w:pPr>
              <w:jc w:val="center"/>
              <w:rPr>
                <w:sz w:val="20"/>
                <w:szCs w:val="20"/>
              </w:rPr>
            </w:pPr>
            <w:r>
              <w:rPr>
                <w:rFonts w:eastAsia="Times New Roman"/>
                <w:sz w:val="18"/>
                <w:szCs w:val="18"/>
              </w:rPr>
              <w:t>N/A</w:t>
            </w:r>
          </w:p>
        </w:tc>
      </w:tr>
    </w:tbl>
    <w:p w14:paraId="281A16A8" w14:textId="77777777" w:rsidR="004647B9" w:rsidRDefault="004647B9" w:rsidP="00F735C6">
      <w:pPr>
        <w:rPr>
          <w:sz w:val="20"/>
          <w:szCs w:val="20"/>
        </w:rPr>
      </w:pPr>
    </w:p>
    <w:p w14:paraId="281A16A9" w14:textId="77777777" w:rsidR="004647B9" w:rsidRDefault="00E2436F" w:rsidP="00F735C6">
      <w:pPr>
        <w:rPr>
          <w:sz w:val="20"/>
          <w:szCs w:val="20"/>
        </w:rPr>
      </w:pPr>
      <w:r>
        <w:rPr>
          <w:rFonts w:eastAsia="Times New Roman"/>
          <w:b/>
          <w:bCs/>
        </w:rPr>
        <w:t>Tabl</w:t>
      </w:r>
      <w:r w:rsidDel="007B206E">
        <w:rPr>
          <w:rFonts w:eastAsia="Times New Roman"/>
          <w:b/>
          <w:bCs/>
        </w:rPr>
        <w:t>e</w:t>
      </w:r>
      <w:r>
        <w:rPr>
          <w:rFonts w:eastAsia="Times New Roman"/>
          <w:b/>
          <w:bCs/>
        </w:rPr>
        <w:t xml:space="preserve"> 6 - Endnotes</w:t>
      </w:r>
    </w:p>
    <w:p w14:paraId="281A16AB" w14:textId="77777777" w:rsidR="004647B9" w:rsidRDefault="00E2436F" w:rsidP="00F735C6">
      <w:pPr>
        <w:numPr>
          <w:ilvl w:val="0"/>
          <w:numId w:val="519"/>
        </w:numPr>
        <w:tabs>
          <w:tab w:val="left" w:pos="480"/>
        </w:tabs>
        <w:ind w:left="480" w:right="360" w:hanging="480"/>
        <w:jc w:val="both"/>
        <w:rPr>
          <w:rFonts w:eastAsia="Times New Roman"/>
        </w:rPr>
      </w:pPr>
      <w:r>
        <w:rPr>
          <w:rFonts w:eastAsia="Times New Roman"/>
        </w:rPr>
        <w:t>Violations and other situations not listed in this table (</w:t>
      </w:r>
      <w:r>
        <w:rPr>
          <w:rFonts w:eastAsia="Times New Roman"/>
          <w:i/>
          <w:iCs/>
        </w:rPr>
        <w:t>e.g</w:t>
      </w:r>
      <w:r>
        <w:rPr>
          <w:rFonts w:eastAsia="Times New Roman"/>
        </w:rPr>
        <w:t>. failure to prepare Consumer Confidence Reports), do not require notice, unless otherwise determined by the Department. The Department may, at its option, also require a more stringent public notice tier (</w:t>
      </w:r>
      <w:r>
        <w:rPr>
          <w:rFonts w:eastAsia="Times New Roman"/>
          <w:i/>
          <w:iCs/>
        </w:rPr>
        <w:t>e.g</w:t>
      </w:r>
      <w:r>
        <w:rPr>
          <w:rFonts w:eastAsia="Times New Roman"/>
        </w:rPr>
        <w:t>., Tier 1 instead of Tier 2 or Tier 2 instead of Tier 3) for specific violations and situations listed in this Table, as authorized under 310 CMR 22.16(2)(a) and (3)(a).</w:t>
      </w:r>
    </w:p>
    <w:p w14:paraId="281A16AC" w14:textId="77777777" w:rsidR="004647B9" w:rsidRDefault="004647B9" w:rsidP="00F735C6">
      <w:pPr>
        <w:sectPr w:rsidR="004647B9" w:rsidSect="00EF630C">
          <w:pgSz w:w="12240" w:h="20180"/>
          <w:pgMar w:top="708" w:right="1080" w:bottom="1440" w:left="600" w:header="0" w:footer="0" w:gutter="0"/>
          <w:cols w:space="720"/>
        </w:sectPr>
      </w:pPr>
    </w:p>
    <w:p w14:paraId="281A16AD" w14:textId="77777777" w:rsidR="004647B9" w:rsidRPr="00584FA1" w:rsidRDefault="00E2436F" w:rsidP="00584FA1">
      <w:pPr>
        <w:tabs>
          <w:tab w:val="left" w:pos="160"/>
        </w:tabs>
        <w:jc w:val="center"/>
        <w:rPr>
          <w:sz w:val="24"/>
          <w:szCs w:val="24"/>
        </w:rPr>
      </w:pPr>
      <w:bookmarkStart w:id="196" w:name="page198"/>
      <w:bookmarkEnd w:id="196"/>
      <w:r w:rsidRPr="00584FA1">
        <w:rPr>
          <w:rFonts w:eastAsia="Times New Roman"/>
          <w:sz w:val="24"/>
          <w:szCs w:val="24"/>
        </w:rPr>
        <w:lastRenderedPageBreak/>
        <w:t>310 CMR:</w:t>
      </w:r>
      <w:r w:rsidRPr="00584FA1">
        <w:rPr>
          <w:sz w:val="24"/>
          <w:szCs w:val="24"/>
        </w:rPr>
        <w:tab/>
      </w:r>
      <w:r w:rsidRPr="00584FA1">
        <w:rPr>
          <w:rFonts w:eastAsia="Times New Roman"/>
          <w:sz w:val="24"/>
          <w:szCs w:val="24"/>
        </w:rPr>
        <w:t>DEPARTMENT OF ENVIRONMENTAL PROTECTION</w:t>
      </w:r>
    </w:p>
    <w:p w14:paraId="281A16AE" w14:textId="77777777" w:rsidR="004647B9" w:rsidRPr="00F735C6" w:rsidRDefault="004647B9" w:rsidP="00F735C6">
      <w:pPr>
        <w:rPr>
          <w:sz w:val="20"/>
          <w:szCs w:val="20"/>
        </w:rPr>
      </w:pPr>
    </w:p>
    <w:p w14:paraId="281A16AF" w14:textId="77777777" w:rsidR="004647B9" w:rsidRPr="00F735C6" w:rsidRDefault="004647B9" w:rsidP="00F735C6">
      <w:pPr>
        <w:rPr>
          <w:sz w:val="20"/>
          <w:szCs w:val="20"/>
        </w:rPr>
      </w:pPr>
    </w:p>
    <w:p w14:paraId="281A16B0" w14:textId="77777777" w:rsidR="004647B9" w:rsidRPr="00584FA1" w:rsidRDefault="00E2436F" w:rsidP="00F735C6">
      <w:pPr>
        <w:tabs>
          <w:tab w:val="left" w:pos="760"/>
        </w:tabs>
        <w:rPr>
          <w:sz w:val="24"/>
          <w:szCs w:val="24"/>
        </w:rPr>
      </w:pPr>
      <w:r w:rsidRPr="00584FA1">
        <w:rPr>
          <w:rFonts w:eastAsia="Times New Roman"/>
          <w:sz w:val="24"/>
          <w:szCs w:val="24"/>
        </w:rPr>
        <w:t>22.16:</w:t>
      </w:r>
      <w:r w:rsidRPr="00584FA1">
        <w:rPr>
          <w:rFonts w:eastAsia="Times New Roman"/>
          <w:sz w:val="24"/>
          <w:szCs w:val="24"/>
        </w:rPr>
        <w:tab/>
        <w:t>continued</w:t>
      </w:r>
    </w:p>
    <w:p w14:paraId="281A16B1" w14:textId="77777777" w:rsidR="004647B9" w:rsidRPr="00F735C6" w:rsidRDefault="004647B9" w:rsidP="00F735C6">
      <w:pPr>
        <w:rPr>
          <w:sz w:val="20"/>
          <w:szCs w:val="20"/>
        </w:rPr>
      </w:pPr>
    </w:p>
    <w:p w14:paraId="281A16B2"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MCL-Maximum contaminant level, MRDL-Maximum Residual Disinfectant Level, TT-Treatment Technique.</w:t>
      </w:r>
    </w:p>
    <w:p w14:paraId="281A16B4"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term Violations of 310 CMR 22.00 is used here to include violations of MCL, MRDL, Treatment Technique, monitoring, and testing procedure requirements.</w:t>
      </w:r>
    </w:p>
    <w:p w14:paraId="281A16B6" w14:textId="7C9B61C4"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 xml:space="preserve">Failure to test for </w:t>
      </w:r>
      <w:r w:rsidRPr="00584FA1">
        <w:rPr>
          <w:rFonts w:eastAsia="Times New Roman"/>
          <w:i/>
          <w:iCs/>
        </w:rPr>
        <w:t>E. coli</w:t>
      </w:r>
      <w:r w:rsidRPr="00584FA1">
        <w:rPr>
          <w:rFonts w:eastAsia="Times New Roman"/>
        </w:rPr>
        <w:t xml:space="preserve"> is a Tier 1 violation if testing is not done after any repeat sample tests positive for coliform. All other total coliform monitoring and testing procedure violations are Tier 3.</w:t>
      </w:r>
    </w:p>
    <w:p w14:paraId="281A16B8"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Systems that violate the Turbidity MCL of five NTU based on an average of measurements over two consecutive days shall consult with the Department within 24 hours after learning of the violation. Based on this consultation, the Department may subsequently decide to elevate the violation to Tier 1. If a system is unable to make contact with the Department in the 24-hour period, the violation is automatically elevated to Tier 1.</w:t>
      </w:r>
    </w:p>
    <w:p w14:paraId="281A16BA"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Systems with Treatment Technique violations involving a single exceedance of a maximum Turbidity limit under 310 CMR 22.20A, the Surface Water Treatment Rule (SWTR), 310 CMR 22.20D, the Interim Enhanced Surface Water Treatment Rule (IESWTR), or 310 CMR 22.20F, the Long Term 1 Enhanced Surface Water Treatment Rule, are required to consult with the Department within 24 hours after learning of the violation. Based on this consultation, the Department may subsequently decide to elevate the violation to Tier 1. If a system is unable to make contact with the Department in the 24-hour period, the violation is automatically elevated to Tier 1.</w:t>
      </w:r>
    </w:p>
    <w:p w14:paraId="281A16BC"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Most of the requirements of the Interim Enhanced Surface Water Treatment Rule 310 CMR 22.20D become effective January 1, 2002 for Surface Water Sources systems (surface water systems and groundwater systems under the direct influence of surface water) serving at least 10,000 persons. However, 310 CMR 22.20D has some requirements that become effective as early as April 16, 1999. The Surface Water Treatment Rule, 310 CMR 22.20A, remains in effect for some systems serving at least 10,000 persons even after 2002; the Interim Enhanced Surface Water Treatment Rule, 310 CMR 22.20D, adds additional requirements and does not in many cases supersede the SWTR.</w:t>
      </w:r>
    </w:p>
    <w:p w14:paraId="281A16BE"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arsenic MCL citations are effective January 23, 2006.</w:t>
      </w:r>
    </w:p>
    <w:p w14:paraId="281A16C0"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arsenic Tier 3 violation citations are effective January 23, 2006.</w:t>
      </w:r>
    </w:p>
    <w:p w14:paraId="281A16C2"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Failure to take a confirmation sample within 24 hours for nitrate, nitrite or perchlorate after an initial sample exceeds the MCL is a Tier 1 violation. Other monitoring violations for nitrate, nitrite or perchlorate are Tier 3.</w:t>
      </w:r>
    </w:p>
    <w:p w14:paraId="281A16C4"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uranium MCL Tier 2 violation citations are effective December 8, 2003 for all Community Water Systems.</w:t>
      </w:r>
    </w:p>
    <w:p w14:paraId="281A16C6"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uranium MCL Tier 3 violation citations are effective December 8, 2003 for all Community Water Systems.</w:t>
      </w:r>
    </w:p>
    <w:p w14:paraId="281A16C8"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Community and non-transient non-community Surface Water Sources systems (surface water systems and groundwater systems under the direct influence of surface water) serving at least 10,000 persons shall comply with the new DBP MCLs, Disinfectant MRDLs, and related monitoring requirements beginning January 1, 2002. All other Community and Non-transient Non-community Water Systems shall meet the MCLs and MRDLs beginning January 1, 2004. Transient non-community Surface Water Sources systems (surface water systems and groundwater systems under the direct influence of surface water) serving at least 10,000 persons using chlorine dioxide as a Disinfectant or oxidant shall comply with the chlorine dioxide MRDL beginning January 1, 2002. Transient non-community Surface Water Sources systems (surface water systems and groundwater systems under the direct influence of surface water) serving at least 10,000 persons and Transient Non-community Water Systems serving fewer than 10,000 persons and Transient Non-community Water Systems using only groundwater not under the direct influence of surface water and using chlorine dioxide as a Disinfectant or oxidant shall comply with the chlorine dioxide MRDL beginning January 1, 2004.</w:t>
      </w:r>
    </w:p>
    <w:p w14:paraId="281A16CA"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Failure to monitor for chlorine dioxide at the entrance to the Distribution System the day after exceeding the MRDL at the entrance to the Distribution System is a Tier 2 violation.</w:t>
      </w:r>
    </w:p>
    <w:p w14:paraId="281A16CC"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If any daily sample taken at the entrance to the Distribution System exceeds the MRDL for chlorine dioxide and one or more samples taken in the Distribution System the next day exceed the MRDL, Tier 1 notification is required. Failure to take the required samples in the Distribution System after the MRDL is exceeded at the entry point also triggers Tier 1 notification.</w:t>
      </w:r>
    </w:p>
    <w:p w14:paraId="281A16CE"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Some water systems shall monitor for certain unregulated contaminants listed in 310 CMR 22.07C.</w:t>
      </w:r>
    </w:p>
    <w:p w14:paraId="281A16D0"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This citation refers to 310 CMR 22.13 and 22.14 and requires that "a schedule prescribed for a Public Water System granted a variance [or exemption] shall require compliance by the system".</w:t>
      </w:r>
    </w:p>
    <w:p w14:paraId="281A16D2"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In addition, 310 CMR 22.13A specifies the items and schedule milestones that shall be included in a variance for small systems.</w:t>
      </w:r>
    </w:p>
    <w:p w14:paraId="281A16D4"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Other waterborne Emergencies require a Tier 1 Public Notice under 310 CMR 22.16 (2)(a)7. for situations that do not meet the definition of a Waterborne Disease Outbreak given in 310 CMR 22.02(1) but that still have the potential to have serious adverse effects on health as a result of short-term exposure. These could include outbreaks not related to treatment deficiencies, as well as situations that have the potential to cause outbreaks, such as failures or significant interruption in water treatment processes, natural disasters that disrupt the water supply or Distribution System, chemical spills, or unexpected loading of possible pathogens into the source water.</w:t>
      </w:r>
    </w:p>
    <w:p w14:paraId="281A16D6"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Department may place other situations in any tier they believe appropriate, based on threat to public health.</w:t>
      </w:r>
    </w:p>
    <w:p w14:paraId="281A16D8"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 xml:space="preserve">Failure to collect three or more samples for </w:t>
      </w:r>
      <w:r w:rsidRPr="00584FA1">
        <w:rPr>
          <w:rFonts w:eastAsia="Times New Roman"/>
          <w:i/>
          <w:iCs/>
        </w:rPr>
        <w:t>Cryptosporidium</w:t>
      </w:r>
      <w:r w:rsidRPr="00584FA1">
        <w:rPr>
          <w:rFonts w:eastAsia="Times New Roman"/>
        </w:rPr>
        <w:t xml:space="preserve"> analysis is a Tier 2 violation requiring special notice as specified in 310 CMR 22.16(12). All other monitoring and testing procedure violations are Tier 3.</w:t>
      </w:r>
    </w:p>
    <w:p w14:paraId="281A16D9" w14:textId="77777777" w:rsidR="004647B9" w:rsidRDefault="004647B9" w:rsidP="00F735C6">
      <w:pPr>
        <w:sectPr w:rsidR="004647B9" w:rsidSect="00EF630C">
          <w:pgSz w:w="12240" w:h="20180"/>
          <w:pgMar w:top="708" w:right="1440" w:bottom="778" w:left="600" w:header="0" w:footer="0" w:gutter="0"/>
          <w:cols w:space="720"/>
        </w:sectPr>
      </w:pPr>
    </w:p>
    <w:p w14:paraId="281A16DA" w14:textId="77777777" w:rsidR="004647B9" w:rsidRDefault="00E2436F">
      <w:pPr>
        <w:tabs>
          <w:tab w:val="left" w:pos="2860"/>
        </w:tabs>
        <w:ind w:left="1680"/>
        <w:rPr>
          <w:sz w:val="20"/>
          <w:szCs w:val="20"/>
        </w:rPr>
      </w:pPr>
      <w:bookmarkStart w:id="197" w:name="page199"/>
      <w:bookmarkEnd w:id="19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6DB" w14:textId="77777777" w:rsidR="004647B9" w:rsidRDefault="004647B9" w:rsidP="00650DDB">
      <w:pPr>
        <w:rPr>
          <w:sz w:val="20"/>
          <w:szCs w:val="20"/>
        </w:rPr>
      </w:pPr>
    </w:p>
    <w:p w14:paraId="281A16DC" w14:textId="77777777" w:rsidR="004647B9" w:rsidRDefault="004647B9" w:rsidP="00650DDB">
      <w:pPr>
        <w:rPr>
          <w:sz w:val="20"/>
          <w:szCs w:val="20"/>
        </w:rPr>
      </w:pPr>
    </w:p>
    <w:p w14:paraId="281A16DD" w14:textId="77777777" w:rsidR="004647B9" w:rsidRPr="00650DDB" w:rsidRDefault="00E2436F" w:rsidP="00650DDB">
      <w:pPr>
        <w:tabs>
          <w:tab w:val="left" w:pos="760"/>
        </w:tabs>
        <w:rPr>
          <w:sz w:val="24"/>
          <w:szCs w:val="24"/>
        </w:rPr>
      </w:pPr>
      <w:r w:rsidRPr="00650DDB">
        <w:rPr>
          <w:rFonts w:eastAsia="Times New Roman"/>
          <w:sz w:val="24"/>
          <w:szCs w:val="24"/>
        </w:rPr>
        <w:t>22.16:</w:t>
      </w:r>
      <w:r w:rsidRPr="00650DDB">
        <w:rPr>
          <w:rFonts w:eastAsia="Times New Roman"/>
          <w:sz w:val="24"/>
          <w:szCs w:val="24"/>
        </w:rPr>
        <w:tab/>
        <w:t>continued</w:t>
      </w:r>
    </w:p>
    <w:p w14:paraId="281A16DF" w14:textId="77777777" w:rsidR="004647B9" w:rsidRDefault="004647B9" w:rsidP="00650DDB">
      <w:pPr>
        <w:rPr>
          <w:sz w:val="20"/>
          <w:szCs w:val="20"/>
        </w:rPr>
      </w:pPr>
    </w:p>
    <w:p w14:paraId="281A16E0" w14:textId="77777777" w:rsidR="004647B9" w:rsidRPr="00F11697" w:rsidRDefault="00E2436F" w:rsidP="00650DDB">
      <w:pPr>
        <w:jc w:val="center"/>
        <w:rPr>
          <w:b/>
          <w:bCs/>
        </w:rPr>
      </w:pPr>
      <w:r w:rsidRPr="00F11697">
        <w:rPr>
          <w:rFonts w:eastAsia="Times New Roman"/>
          <w:b/>
          <w:bCs/>
        </w:rPr>
        <w:t xml:space="preserve">310 CMR 22.16:  </w:t>
      </w:r>
      <w:r w:rsidRPr="00F11697">
        <w:rPr>
          <w:rFonts w:eastAsia="Times New Roman"/>
          <w:b/>
          <w:bCs/>
          <w:i/>
          <w:iCs/>
        </w:rPr>
        <w:t>Table 7</w:t>
      </w:r>
    </w:p>
    <w:p w14:paraId="281A16E2" w14:textId="77777777" w:rsidR="004647B9" w:rsidRPr="00F11697" w:rsidRDefault="00E2436F" w:rsidP="00650DDB">
      <w:pPr>
        <w:jc w:val="center"/>
        <w:rPr>
          <w:b/>
          <w:bCs/>
        </w:rPr>
      </w:pPr>
      <w:r w:rsidRPr="00F11697">
        <w:rPr>
          <w:rFonts w:eastAsia="Times New Roman"/>
          <w:b/>
          <w:bCs/>
        </w:rPr>
        <w:t>Standard Health Effects Language for Public Notification</w:t>
      </w:r>
    </w:p>
    <w:p w14:paraId="281A16F0" w14:textId="71912A54" w:rsidR="004647B9" w:rsidRDefault="004647B9" w:rsidP="00650DDB">
      <w:pPr>
        <w:rPr>
          <w:sz w:val="20"/>
          <w:szCs w:val="20"/>
        </w:rPr>
      </w:pPr>
    </w:p>
    <w:p w14:paraId="281A16F1" w14:textId="77777777" w:rsidR="004647B9" w:rsidRDefault="004647B9" w:rsidP="00650DDB">
      <w:pPr>
        <w:sectPr w:rsidR="004647B9" w:rsidSect="00EF630C">
          <w:pgSz w:w="12240" w:h="20180"/>
          <w:pgMar w:top="708" w:right="1140" w:bottom="1440" w:left="600" w:header="0" w:footer="0" w:gutter="0"/>
          <w:cols w:space="720"/>
        </w:sectPr>
      </w:pPr>
    </w:p>
    <w:p w14:paraId="281A16F2" w14:textId="77777777" w:rsidR="004647B9" w:rsidRDefault="004647B9">
      <w:pPr>
        <w:spacing w:line="54" w:lineRule="exact"/>
        <w:rPr>
          <w:sz w:val="20"/>
          <w:szCs w:val="20"/>
        </w:rPr>
      </w:pPr>
    </w:p>
    <w:tbl>
      <w:tblPr>
        <w:tblW w:w="10680" w:type="dxa"/>
        <w:tblInd w:w="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730"/>
        <w:gridCol w:w="1230"/>
        <w:gridCol w:w="2370"/>
        <w:gridCol w:w="4350"/>
      </w:tblGrid>
      <w:tr w:rsidR="00676558" w14:paraId="6B36F2A6" w14:textId="6B34004F" w:rsidTr="009C2A4E">
        <w:trPr>
          <w:trHeight w:val="478"/>
        </w:trPr>
        <w:tc>
          <w:tcPr>
            <w:tcW w:w="2730" w:type="dxa"/>
            <w:vAlign w:val="center"/>
          </w:tcPr>
          <w:p w14:paraId="53AA2291" w14:textId="0F872711" w:rsidR="00676558" w:rsidRPr="009F75A2" w:rsidRDefault="00676558" w:rsidP="00EA0975">
            <w:pPr>
              <w:spacing w:line="184" w:lineRule="auto"/>
              <w:ind w:left="80"/>
              <w:rPr>
                <w:sz w:val="18"/>
                <w:szCs w:val="18"/>
              </w:rPr>
            </w:pPr>
            <w:r w:rsidRPr="009F75A2">
              <w:rPr>
                <w:rFonts w:eastAsia="Times New Roman"/>
                <w:sz w:val="18"/>
                <w:szCs w:val="18"/>
              </w:rPr>
              <w:t>Contaminant</w:t>
            </w:r>
          </w:p>
        </w:tc>
        <w:tc>
          <w:tcPr>
            <w:tcW w:w="1230" w:type="dxa"/>
            <w:vAlign w:val="center"/>
          </w:tcPr>
          <w:p w14:paraId="40FD0717" w14:textId="003AAAF7" w:rsidR="00676558" w:rsidRDefault="00676558" w:rsidP="00AE4BAE">
            <w:pPr>
              <w:jc w:val="center"/>
              <w:rPr>
                <w:rFonts w:eastAsia="Times New Roman"/>
                <w:sz w:val="18"/>
                <w:szCs w:val="18"/>
              </w:rPr>
            </w:pPr>
            <w:r>
              <w:rPr>
                <w:rFonts w:eastAsia="Times New Roman"/>
                <w:sz w:val="18"/>
                <w:szCs w:val="18"/>
              </w:rPr>
              <w:t>MCLG</w:t>
            </w:r>
            <w:r w:rsidRPr="009C2A4E">
              <w:rPr>
                <w:rFonts w:eastAsia="Times New Roman"/>
                <w:sz w:val="18"/>
                <w:szCs w:val="18"/>
                <w:vertAlign w:val="superscript"/>
              </w:rPr>
              <w:t>1</w:t>
            </w:r>
            <w:r>
              <w:rPr>
                <w:rFonts w:eastAsia="Times New Roman"/>
                <w:sz w:val="18"/>
                <w:szCs w:val="18"/>
              </w:rPr>
              <w:t xml:space="preserve"> mg/l</w:t>
            </w:r>
          </w:p>
        </w:tc>
        <w:tc>
          <w:tcPr>
            <w:tcW w:w="2370" w:type="dxa"/>
            <w:vAlign w:val="center"/>
          </w:tcPr>
          <w:p w14:paraId="4605E535" w14:textId="7C876FEC" w:rsidR="00676558" w:rsidRDefault="00676558" w:rsidP="00AE4BAE">
            <w:pPr>
              <w:jc w:val="center"/>
              <w:rPr>
                <w:rFonts w:eastAsia="Times New Roman"/>
                <w:sz w:val="18"/>
                <w:szCs w:val="18"/>
              </w:rPr>
            </w:pPr>
            <w:r>
              <w:rPr>
                <w:rFonts w:eastAsia="Times New Roman"/>
                <w:sz w:val="18"/>
                <w:szCs w:val="18"/>
              </w:rPr>
              <w:t>MCL</w:t>
            </w:r>
            <w:r w:rsidRPr="009C2A4E">
              <w:rPr>
                <w:rFonts w:eastAsia="Times New Roman"/>
                <w:sz w:val="18"/>
                <w:szCs w:val="18"/>
                <w:vertAlign w:val="superscript"/>
              </w:rPr>
              <w:t>2</w:t>
            </w:r>
            <w:r>
              <w:rPr>
                <w:rFonts w:eastAsia="Times New Roman"/>
                <w:sz w:val="18"/>
                <w:szCs w:val="18"/>
              </w:rPr>
              <w:t xml:space="preserve"> mg/l</w:t>
            </w:r>
          </w:p>
        </w:tc>
        <w:tc>
          <w:tcPr>
            <w:tcW w:w="4350" w:type="dxa"/>
            <w:vAlign w:val="center"/>
          </w:tcPr>
          <w:p w14:paraId="44FCCAB0" w14:textId="74169E97" w:rsidR="00676558" w:rsidRDefault="00676558" w:rsidP="00AE4BAE">
            <w:pPr>
              <w:ind w:left="40"/>
              <w:rPr>
                <w:rFonts w:eastAsia="Times New Roman"/>
                <w:sz w:val="18"/>
                <w:szCs w:val="18"/>
              </w:rPr>
            </w:pPr>
            <w:r>
              <w:rPr>
                <w:rFonts w:eastAsia="Times New Roman"/>
                <w:sz w:val="18"/>
                <w:szCs w:val="18"/>
              </w:rPr>
              <w:t>Standard health effects language for public notification</w:t>
            </w:r>
          </w:p>
        </w:tc>
      </w:tr>
      <w:tr w:rsidR="00F11697" w14:paraId="42949E57" w14:textId="11CFD510" w:rsidTr="00AE4BAE">
        <w:trPr>
          <w:trHeight w:val="270"/>
        </w:trPr>
        <w:tc>
          <w:tcPr>
            <w:tcW w:w="10680" w:type="dxa"/>
            <w:gridSpan w:val="4"/>
            <w:vAlign w:val="center"/>
          </w:tcPr>
          <w:p w14:paraId="6D2D9124" w14:textId="5965523B" w:rsidR="00F11697" w:rsidRPr="009F75A2" w:rsidRDefault="00F11697" w:rsidP="000D185A">
            <w:pPr>
              <w:ind w:left="43"/>
              <w:rPr>
                <w:sz w:val="20"/>
                <w:szCs w:val="20"/>
              </w:rPr>
            </w:pPr>
            <w:r>
              <w:rPr>
                <w:rFonts w:eastAsia="Times New Roman"/>
                <w:sz w:val="18"/>
                <w:szCs w:val="18"/>
              </w:rPr>
              <w:t>National Primary Drinking Water Regulations (NPDWR) and Massachusetts Drinking Water Regulations:</w:t>
            </w:r>
          </w:p>
        </w:tc>
      </w:tr>
      <w:tr w:rsidR="00F11697" w14:paraId="0D2E54CC" w14:textId="3086DCC3" w:rsidTr="00AE4BAE">
        <w:trPr>
          <w:trHeight w:val="270"/>
        </w:trPr>
        <w:tc>
          <w:tcPr>
            <w:tcW w:w="10680" w:type="dxa"/>
            <w:gridSpan w:val="4"/>
            <w:vAlign w:val="center"/>
          </w:tcPr>
          <w:p w14:paraId="40CFEC8C" w14:textId="25F641C1" w:rsidR="00F11697" w:rsidRPr="00F11697" w:rsidRDefault="00F11697" w:rsidP="000D185A">
            <w:pPr>
              <w:tabs>
                <w:tab w:val="left" w:pos="400"/>
              </w:tabs>
              <w:ind w:left="43"/>
              <w:rPr>
                <w:sz w:val="20"/>
                <w:szCs w:val="20"/>
              </w:rPr>
            </w:pPr>
            <w:r>
              <w:rPr>
                <w:rFonts w:eastAsia="Times New Roman"/>
                <w:sz w:val="18"/>
                <w:szCs w:val="18"/>
              </w:rPr>
              <w:t>A.</w:t>
            </w:r>
            <w:r>
              <w:rPr>
                <w:rFonts w:eastAsia="Times New Roman"/>
                <w:sz w:val="18"/>
                <w:szCs w:val="18"/>
              </w:rPr>
              <w:tab/>
              <w:t>Microbiological Contaminants:</w:t>
            </w:r>
          </w:p>
        </w:tc>
      </w:tr>
      <w:tr w:rsidR="00AE4BAE" w14:paraId="281A16F6" w14:textId="0C7B53EF" w:rsidTr="00686AD0">
        <w:trPr>
          <w:trHeight w:val="3610"/>
        </w:trPr>
        <w:tc>
          <w:tcPr>
            <w:tcW w:w="2730" w:type="dxa"/>
          </w:tcPr>
          <w:p w14:paraId="281A16F3" w14:textId="513CBED2" w:rsidR="00AE4BAE" w:rsidRDefault="00AE4BAE" w:rsidP="00686AD0">
            <w:pPr>
              <w:spacing w:line="360" w:lineRule="auto"/>
              <w:ind w:left="40"/>
              <w:rPr>
                <w:sz w:val="20"/>
                <w:szCs w:val="20"/>
              </w:rPr>
            </w:pPr>
            <w:r>
              <w:rPr>
                <w:rFonts w:eastAsia="Times New Roman"/>
                <w:sz w:val="18"/>
                <w:szCs w:val="18"/>
              </w:rPr>
              <w:t>1a. Coliform Assessment and/or Corrective Action Violations</w:t>
            </w:r>
          </w:p>
        </w:tc>
        <w:tc>
          <w:tcPr>
            <w:tcW w:w="1230" w:type="dxa"/>
          </w:tcPr>
          <w:p w14:paraId="281A16F4" w14:textId="77777777" w:rsidR="00AE4BAE" w:rsidRDefault="00AE4BAE" w:rsidP="00686AD0">
            <w:pPr>
              <w:jc w:val="center"/>
              <w:rPr>
                <w:sz w:val="20"/>
                <w:szCs w:val="20"/>
              </w:rPr>
            </w:pPr>
            <w:r>
              <w:rPr>
                <w:rFonts w:eastAsia="Times New Roman"/>
                <w:sz w:val="18"/>
                <w:szCs w:val="18"/>
              </w:rPr>
              <w:t>N/A</w:t>
            </w:r>
          </w:p>
        </w:tc>
        <w:tc>
          <w:tcPr>
            <w:tcW w:w="2370" w:type="dxa"/>
          </w:tcPr>
          <w:p w14:paraId="281A16F5" w14:textId="16584DE9" w:rsidR="00AE4BAE" w:rsidRDefault="00AE4BAE" w:rsidP="00686AD0">
            <w:pPr>
              <w:ind w:left="40"/>
              <w:jc w:val="center"/>
              <w:rPr>
                <w:sz w:val="20"/>
                <w:szCs w:val="20"/>
              </w:rPr>
            </w:pPr>
            <w:r>
              <w:rPr>
                <w:rFonts w:eastAsia="Times New Roman"/>
                <w:sz w:val="18"/>
                <w:szCs w:val="18"/>
              </w:rPr>
              <w:t>TT</w:t>
            </w:r>
          </w:p>
        </w:tc>
        <w:tc>
          <w:tcPr>
            <w:tcW w:w="4350" w:type="dxa"/>
          </w:tcPr>
          <w:p w14:paraId="42F518C9" w14:textId="55321371" w:rsidR="00AE4BAE" w:rsidRDefault="00AE4BAE" w:rsidP="00101D6E">
            <w:pPr>
              <w:spacing w:line="360" w:lineRule="auto"/>
              <w:ind w:left="43" w:right="20"/>
              <w:rPr>
                <w:sz w:val="20"/>
                <w:szCs w:val="20"/>
              </w:rPr>
            </w:pPr>
            <w:r>
              <w:rPr>
                <w:rFonts w:eastAsia="Times New Roman"/>
                <w:sz w:val="18"/>
                <w:szCs w:val="18"/>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are found. [THE SYSTEM MUST USE THE FOLLOWING APPLICABLE SENTENCES.]</w:t>
            </w:r>
          </w:p>
          <w:p w14:paraId="2FC53026" w14:textId="77777777" w:rsidR="00513D19" w:rsidRDefault="00AE4BAE" w:rsidP="00101D6E">
            <w:pPr>
              <w:spacing w:line="360" w:lineRule="auto"/>
              <w:ind w:left="288"/>
              <w:rPr>
                <w:rFonts w:eastAsia="Times New Roman"/>
                <w:sz w:val="18"/>
                <w:szCs w:val="18"/>
              </w:rPr>
            </w:pPr>
            <w:r>
              <w:rPr>
                <w:rFonts w:eastAsia="Times New Roman"/>
                <w:sz w:val="18"/>
                <w:szCs w:val="18"/>
              </w:rPr>
              <w:t>We failed to conduct the required assessment.</w:t>
            </w:r>
          </w:p>
          <w:p w14:paraId="724FA59A" w14:textId="5A4BFA10" w:rsidR="00AE4BAE" w:rsidRDefault="00AE4BAE" w:rsidP="00101D6E">
            <w:pPr>
              <w:spacing w:line="360" w:lineRule="auto"/>
              <w:ind w:left="288"/>
              <w:rPr>
                <w:rFonts w:eastAsia="Times New Roman"/>
                <w:sz w:val="18"/>
                <w:szCs w:val="18"/>
              </w:rPr>
            </w:pPr>
            <w:r>
              <w:rPr>
                <w:rFonts w:eastAsia="Times New Roman"/>
                <w:sz w:val="18"/>
                <w:szCs w:val="18"/>
              </w:rPr>
              <w:t>We failed to correct all identified sanitary</w:t>
            </w:r>
            <w:r w:rsidR="00513D19">
              <w:rPr>
                <w:rFonts w:eastAsia="Times New Roman"/>
                <w:sz w:val="18"/>
                <w:szCs w:val="18"/>
              </w:rPr>
              <w:t xml:space="preserve"> </w:t>
            </w:r>
            <w:r>
              <w:rPr>
                <w:rFonts w:eastAsia="Times New Roman"/>
                <w:sz w:val="18"/>
                <w:szCs w:val="18"/>
              </w:rPr>
              <w:t>defects that were found during the assessment(s).</w:t>
            </w:r>
          </w:p>
        </w:tc>
      </w:tr>
      <w:tr w:rsidR="00AE4BAE" w14:paraId="281A1708" w14:textId="7D29F11A" w:rsidTr="00686AD0">
        <w:trPr>
          <w:trHeight w:val="2746"/>
        </w:trPr>
        <w:tc>
          <w:tcPr>
            <w:tcW w:w="2730" w:type="dxa"/>
          </w:tcPr>
          <w:p w14:paraId="281A1705" w14:textId="77777777" w:rsidR="00AE4BAE" w:rsidRDefault="00AE4BAE" w:rsidP="00686AD0">
            <w:pPr>
              <w:ind w:left="40"/>
              <w:rPr>
                <w:sz w:val="20"/>
                <w:szCs w:val="20"/>
              </w:rPr>
            </w:pPr>
            <w:r>
              <w:rPr>
                <w:rFonts w:eastAsia="Times New Roman"/>
                <w:sz w:val="18"/>
                <w:szCs w:val="18"/>
              </w:rPr>
              <w:t xml:space="preserve">1b. </w:t>
            </w:r>
            <w:r>
              <w:rPr>
                <w:rFonts w:eastAsia="Times New Roman"/>
                <w:i/>
                <w:iCs/>
                <w:sz w:val="18"/>
                <w:szCs w:val="18"/>
              </w:rPr>
              <w:t>E. coli</w:t>
            </w:r>
          </w:p>
        </w:tc>
        <w:tc>
          <w:tcPr>
            <w:tcW w:w="1230" w:type="dxa"/>
          </w:tcPr>
          <w:p w14:paraId="281A1706" w14:textId="77777777" w:rsidR="00AE4BAE" w:rsidRDefault="00AE4BAE" w:rsidP="00686AD0">
            <w:pPr>
              <w:jc w:val="center"/>
              <w:rPr>
                <w:sz w:val="20"/>
                <w:szCs w:val="20"/>
              </w:rPr>
            </w:pPr>
            <w:r>
              <w:rPr>
                <w:rFonts w:eastAsia="Times New Roman"/>
                <w:sz w:val="18"/>
                <w:szCs w:val="18"/>
              </w:rPr>
              <w:t>Zero</w:t>
            </w:r>
          </w:p>
        </w:tc>
        <w:tc>
          <w:tcPr>
            <w:tcW w:w="2370" w:type="dxa"/>
          </w:tcPr>
          <w:p w14:paraId="33E3016D" w14:textId="6B8FA194" w:rsidR="00AE4BAE" w:rsidRPr="00EA0C09" w:rsidRDefault="00AE4BAE" w:rsidP="00101D6E">
            <w:pPr>
              <w:spacing w:line="360" w:lineRule="auto"/>
              <w:ind w:left="43"/>
              <w:rPr>
                <w:rFonts w:eastAsia="Times New Roman"/>
                <w:sz w:val="18"/>
                <w:szCs w:val="18"/>
              </w:rPr>
            </w:pPr>
            <w:r>
              <w:rPr>
                <w:rFonts w:eastAsia="Times New Roman"/>
                <w:sz w:val="18"/>
                <w:szCs w:val="18"/>
              </w:rPr>
              <w:t>MCL violation if any of</w:t>
            </w:r>
            <w:r w:rsidR="00EA0C09">
              <w:rPr>
                <w:rFonts w:eastAsia="Times New Roman"/>
                <w:sz w:val="18"/>
                <w:szCs w:val="18"/>
              </w:rPr>
              <w:t xml:space="preserve"> </w:t>
            </w:r>
            <w:r>
              <w:rPr>
                <w:rFonts w:eastAsia="Times New Roman"/>
                <w:sz w:val="18"/>
                <w:szCs w:val="18"/>
              </w:rPr>
              <w:t>the following:</w:t>
            </w:r>
          </w:p>
          <w:p w14:paraId="065122CE" w14:textId="128B6A9D" w:rsidR="00AE4BAE" w:rsidRPr="00EA0C09" w:rsidRDefault="00AE4BAE" w:rsidP="00101D6E">
            <w:pPr>
              <w:spacing w:line="360" w:lineRule="auto"/>
              <w:ind w:left="144"/>
              <w:rPr>
                <w:rFonts w:eastAsia="Times New Roman"/>
                <w:sz w:val="18"/>
                <w:szCs w:val="18"/>
              </w:rPr>
            </w:pPr>
            <w:r>
              <w:rPr>
                <w:rFonts w:eastAsia="Times New Roman"/>
                <w:sz w:val="18"/>
                <w:szCs w:val="18"/>
              </w:rPr>
              <w:t xml:space="preserve">(1) The system has an </w:t>
            </w:r>
            <w:r w:rsidRPr="00915735">
              <w:rPr>
                <w:rFonts w:eastAsia="Times New Roman"/>
                <w:i/>
                <w:iCs/>
                <w:sz w:val="18"/>
                <w:szCs w:val="18"/>
              </w:rPr>
              <w:t>E.</w:t>
            </w:r>
            <w:r w:rsidR="00EA0C09" w:rsidRPr="00915735">
              <w:rPr>
                <w:rFonts w:eastAsia="Times New Roman"/>
                <w:i/>
                <w:iCs/>
                <w:sz w:val="18"/>
                <w:szCs w:val="18"/>
              </w:rPr>
              <w:t xml:space="preserve"> </w:t>
            </w:r>
            <w:r w:rsidRPr="00915735">
              <w:rPr>
                <w:rFonts w:eastAsia="Times New Roman"/>
                <w:i/>
                <w:iCs/>
                <w:sz w:val="18"/>
                <w:szCs w:val="18"/>
              </w:rPr>
              <w:t>coli</w:t>
            </w:r>
            <w:r>
              <w:rPr>
                <w:rFonts w:eastAsia="Times New Roman"/>
                <w:sz w:val="18"/>
                <w:szCs w:val="18"/>
              </w:rPr>
              <w:t>-positive repeat</w:t>
            </w:r>
            <w:r w:rsidR="00EA0C09">
              <w:rPr>
                <w:rFonts w:eastAsia="Times New Roman"/>
                <w:sz w:val="18"/>
                <w:szCs w:val="18"/>
              </w:rPr>
              <w:t xml:space="preserve"> </w:t>
            </w:r>
            <w:r>
              <w:rPr>
                <w:rFonts w:eastAsia="Times New Roman"/>
                <w:sz w:val="18"/>
                <w:szCs w:val="18"/>
              </w:rPr>
              <w:t>sample following a total</w:t>
            </w:r>
            <w:r w:rsidR="00EA0C09">
              <w:rPr>
                <w:rFonts w:eastAsia="Times New Roman"/>
                <w:sz w:val="18"/>
                <w:szCs w:val="18"/>
              </w:rPr>
              <w:t xml:space="preserve"> </w:t>
            </w:r>
            <w:r>
              <w:rPr>
                <w:rFonts w:eastAsia="Times New Roman"/>
                <w:sz w:val="18"/>
                <w:szCs w:val="18"/>
              </w:rPr>
              <w:t>coliform- positive routine</w:t>
            </w:r>
            <w:r w:rsidR="00EA0C09">
              <w:rPr>
                <w:rFonts w:eastAsia="Times New Roman"/>
                <w:sz w:val="18"/>
                <w:szCs w:val="18"/>
              </w:rPr>
              <w:t xml:space="preserve"> </w:t>
            </w:r>
            <w:r>
              <w:rPr>
                <w:rFonts w:eastAsia="Times New Roman"/>
                <w:sz w:val="18"/>
                <w:szCs w:val="18"/>
              </w:rPr>
              <w:t>sample.</w:t>
            </w:r>
          </w:p>
          <w:p w14:paraId="6DC28BE0" w14:textId="23FE183A" w:rsidR="00AE4BAE" w:rsidRPr="00EA0C09" w:rsidRDefault="00AE4BAE" w:rsidP="00101D6E">
            <w:pPr>
              <w:spacing w:line="360" w:lineRule="auto"/>
              <w:ind w:left="144"/>
              <w:rPr>
                <w:rFonts w:eastAsia="Times New Roman"/>
                <w:sz w:val="18"/>
                <w:szCs w:val="18"/>
              </w:rPr>
            </w:pPr>
            <w:r>
              <w:rPr>
                <w:rFonts w:eastAsia="Times New Roman"/>
                <w:sz w:val="18"/>
                <w:szCs w:val="18"/>
              </w:rPr>
              <w:t>(2) The system has a total</w:t>
            </w:r>
            <w:r w:rsidR="00EA0C09">
              <w:rPr>
                <w:rFonts w:eastAsia="Times New Roman"/>
                <w:sz w:val="18"/>
                <w:szCs w:val="18"/>
              </w:rPr>
              <w:t xml:space="preserve"> </w:t>
            </w:r>
            <w:r>
              <w:rPr>
                <w:rFonts w:eastAsia="Times New Roman"/>
                <w:sz w:val="18"/>
                <w:szCs w:val="18"/>
              </w:rPr>
              <w:t>coliform-positive repeat</w:t>
            </w:r>
            <w:r w:rsidR="00EA0C09">
              <w:rPr>
                <w:rFonts w:eastAsia="Times New Roman"/>
                <w:sz w:val="18"/>
                <w:szCs w:val="18"/>
              </w:rPr>
              <w:t xml:space="preserve"> </w:t>
            </w:r>
            <w:r>
              <w:rPr>
                <w:rFonts w:eastAsia="Times New Roman"/>
                <w:sz w:val="18"/>
                <w:szCs w:val="18"/>
              </w:rPr>
              <w:t xml:space="preserve">sample following an </w:t>
            </w:r>
            <w:r w:rsidRPr="00915735">
              <w:rPr>
                <w:rFonts w:eastAsia="Times New Roman"/>
                <w:i/>
                <w:iCs/>
                <w:sz w:val="18"/>
                <w:szCs w:val="18"/>
              </w:rPr>
              <w:t>E.</w:t>
            </w:r>
            <w:r w:rsidR="00EA0C09" w:rsidRPr="00915735">
              <w:rPr>
                <w:rFonts w:eastAsia="Times New Roman"/>
                <w:i/>
                <w:iCs/>
                <w:sz w:val="18"/>
                <w:szCs w:val="18"/>
              </w:rPr>
              <w:t xml:space="preserve"> </w:t>
            </w:r>
            <w:r w:rsidRPr="00915735">
              <w:rPr>
                <w:rFonts w:eastAsia="Times New Roman"/>
                <w:i/>
                <w:iCs/>
                <w:sz w:val="18"/>
                <w:szCs w:val="18"/>
              </w:rPr>
              <w:t>coli</w:t>
            </w:r>
            <w:r>
              <w:rPr>
                <w:rFonts w:eastAsia="Times New Roman"/>
                <w:sz w:val="18"/>
                <w:szCs w:val="18"/>
              </w:rPr>
              <w:t>-positive routine</w:t>
            </w:r>
            <w:r w:rsidR="00EA0C09">
              <w:rPr>
                <w:rFonts w:eastAsia="Times New Roman"/>
                <w:sz w:val="18"/>
                <w:szCs w:val="18"/>
              </w:rPr>
              <w:t xml:space="preserve"> </w:t>
            </w:r>
            <w:r>
              <w:rPr>
                <w:rFonts w:eastAsia="Times New Roman"/>
                <w:sz w:val="18"/>
                <w:szCs w:val="18"/>
              </w:rPr>
              <w:t>sample.</w:t>
            </w:r>
          </w:p>
          <w:p w14:paraId="3EBACE1A" w14:textId="68369D4C" w:rsidR="00AE4BAE" w:rsidRPr="00EA0C09" w:rsidRDefault="00AE4BAE" w:rsidP="00101D6E">
            <w:pPr>
              <w:spacing w:line="360" w:lineRule="auto"/>
              <w:ind w:left="144"/>
              <w:rPr>
                <w:rFonts w:eastAsia="Times New Roman"/>
                <w:sz w:val="18"/>
                <w:szCs w:val="18"/>
              </w:rPr>
            </w:pPr>
            <w:r>
              <w:rPr>
                <w:rFonts w:eastAsia="Times New Roman"/>
                <w:sz w:val="18"/>
                <w:szCs w:val="18"/>
              </w:rPr>
              <w:t>(3) The system fails to</w:t>
            </w:r>
            <w:r w:rsidR="00EA0C09">
              <w:rPr>
                <w:rFonts w:eastAsia="Times New Roman"/>
                <w:sz w:val="18"/>
                <w:szCs w:val="18"/>
              </w:rPr>
              <w:t xml:space="preserve"> </w:t>
            </w:r>
            <w:r>
              <w:rPr>
                <w:rFonts w:eastAsia="Times New Roman"/>
                <w:sz w:val="18"/>
                <w:szCs w:val="18"/>
              </w:rPr>
              <w:t>take all required repeat</w:t>
            </w:r>
            <w:r w:rsidR="00EA0C09">
              <w:rPr>
                <w:rFonts w:eastAsia="Times New Roman"/>
                <w:sz w:val="18"/>
                <w:szCs w:val="18"/>
              </w:rPr>
              <w:t xml:space="preserve"> </w:t>
            </w:r>
            <w:r>
              <w:rPr>
                <w:rFonts w:eastAsia="Times New Roman"/>
                <w:sz w:val="18"/>
                <w:szCs w:val="18"/>
              </w:rPr>
              <w:t xml:space="preserve">samples following an </w:t>
            </w:r>
            <w:r w:rsidRPr="00915735">
              <w:rPr>
                <w:rFonts w:eastAsia="Times New Roman"/>
                <w:i/>
                <w:iCs/>
                <w:sz w:val="18"/>
                <w:szCs w:val="18"/>
              </w:rPr>
              <w:t>E.</w:t>
            </w:r>
            <w:r w:rsidR="00EA0C09" w:rsidRPr="00915735">
              <w:rPr>
                <w:rFonts w:eastAsia="Times New Roman"/>
                <w:i/>
                <w:iCs/>
                <w:sz w:val="18"/>
                <w:szCs w:val="18"/>
              </w:rPr>
              <w:t xml:space="preserve"> </w:t>
            </w:r>
            <w:r w:rsidRPr="00915735">
              <w:rPr>
                <w:rFonts w:eastAsia="Times New Roman"/>
                <w:i/>
                <w:iCs/>
                <w:sz w:val="18"/>
                <w:szCs w:val="18"/>
              </w:rPr>
              <w:t>coli</w:t>
            </w:r>
            <w:r>
              <w:rPr>
                <w:rFonts w:eastAsia="Times New Roman"/>
                <w:sz w:val="18"/>
                <w:szCs w:val="18"/>
              </w:rPr>
              <w:t>- positive routine</w:t>
            </w:r>
            <w:r w:rsidR="00EA0C09">
              <w:rPr>
                <w:rFonts w:eastAsia="Times New Roman"/>
                <w:sz w:val="18"/>
                <w:szCs w:val="18"/>
              </w:rPr>
              <w:t xml:space="preserve"> </w:t>
            </w:r>
            <w:r>
              <w:rPr>
                <w:rFonts w:eastAsia="Times New Roman"/>
                <w:sz w:val="18"/>
                <w:szCs w:val="18"/>
              </w:rPr>
              <w:t>sample.</w:t>
            </w:r>
          </w:p>
          <w:p w14:paraId="281A1707" w14:textId="022B0F07" w:rsidR="00AE4BAE" w:rsidRPr="00EA0C09" w:rsidRDefault="00AE4BAE" w:rsidP="00101D6E">
            <w:pPr>
              <w:spacing w:line="360" w:lineRule="auto"/>
              <w:ind w:left="144"/>
              <w:rPr>
                <w:rFonts w:eastAsia="Times New Roman"/>
                <w:sz w:val="18"/>
                <w:szCs w:val="18"/>
              </w:rPr>
            </w:pPr>
            <w:r>
              <w:rPr>
                <w:rFonts w:eastAsia="Times New Roman"/>
                <w:sz w:val="18"/>
                <w:szCs w:val="18"/>
              </w:rPr>
              <w:t>(4) The system fails to test</w:t>
            </w:r>
            <w:r w:rsidR="00EA0C09">
              <w:rPr>
                <w:rFonts w:eastAsia="Times New Roman"/>
                <w:sz w:val="18"/>
                <w:szCs w:val="18"/>
              </w:rPr>
              <w:t xml:space="preserve"> </w:t>
            </w:r>
            <w:r>
              <w:rPr>
                <w:rFonts w:eastAsia="Times New Roman"/>
                <w:sz w:val="18"/>
                <w:szCs w:val="18"/>
              </w:rPr>
              <w:t xml:space="preserve">for </w:t>
            </w:r>
            <w:r w:rsidRPr="00915735">
              <w:rPr>
                <w:rFonts w:eastAsia="Times New Roman"/>
                <w:i/>
                <w:iCs/>
                <w:sz w:val="18"/>
                <w:szCs w:val="18"/>
              </w:rPr>
              <w:t>E. coli</w:t>
            </w:r>
            <w:r>
              <w:rPr>
                <w:rFonts w:eastAsia="Times New Roman"/>
                <w:sz w:val="18"/>
                <w:szCs w:val="18"/>
              </w:rPr>
              <w:t xml:space="preserve"> when any</w:t>
            </w:r>
            <w:r w:rsidR="00EA0C09">
              <w:rPr>
                <w:rFonts w:eastAsia="Times New Roman"/>
                <w:sz w:val="18"/>
                <w:szCs w:val="18"/>
              </w:rPr>
              <w:t xml:space="preserve"> </w:t>
            </w:r>
            <w:r>
              <w:rPr>
                <w:rFonts w:eastAsia="Times New Roman"/>
                <w:sz w:val="18"/>
                <w:szCs w:val="18"/>
              </w:rPr>
              <w:t>repeat sample tests</w:t>
            </w:r>
            <w:r w:rsidR="00EA0C09">
              <w:rPr>
                <w:rFonts w:eastAsia="Times New Roman"/>
                <w:sz w:val="18"/>
                <w:szCs w:val="18"/>
              </w:rPr>
              <w:t xml:space="preserve"> </w:t>
            </w:r>
            <w:r>
              <w:rPr>
                <w:rFonts w:eastAsia="Times New Roman"/>
                <w:sz w:val="18"/>
                <w:szCs w:val="18"/>
              </w:rPr>
              <w:t>positive for total coliform.</w:t>
            </w:r>
          </w:p>
        </w:tc>
        <w:tc>
          <w:tcPr>
            <w:tcW w:w="4350" w:type="dxa"/>
          </w:tcPr>
          <w:p w14:paraId="4D13622A" w14:textId="45386963" w:rsidR="00AE4BAE" w:rsidRPr="00EA0C09" w:rsidRDefault="00EA0C09" w:rsidP="00101D6E">
            <w:pPr>
              <w:spacing w:line="360" w:lineRule="auto"/>
              <w:ind w:left="43"/>
              <w:rPr>
                <w:rFonts w:eastAsia="Times New Roman"/>
                <w:sz w:val="18"/>
                <w:szCs w:val="18"/>
              </w:rPr>
            </w:pPr>
            <w:r w:rsidRPr="00915735">
              <w:rPr>
                <w:rFonts w:eastAsia="Times New Roman"/>
                <w:i/>
                <w:iCs/>
                <w:sz w:val="18"/>
                <w:szCs w:val="18"/>
              </w:rPr>
              <w:t>E. coli</w:t>
            </w:r>
            <w:r w:rsidRPr="00EA0C09">
              <w:rPr>
                <w:rFonts w:eastAsia="Times New Roman"/>
                <w:sz w:val="18"/>
                <w:szCs w:val="18"/>
              </w:rPr>
              <w:t xml:space="preserve"> </w:t>
            </w:r>
            <w:r>
              <w:rPr>
                <w:rFonts w:eastAsia="Times New Roman"/>
                <w:sz w:val="18"/>
                <w:szCs w:val="18"/>
              </w:rPr>
              <w:t>are bacteria whose presence indicates that the</w:t>
            </w:r>
            <w:r w:rsidRPr="00EA0C09">
              <w:rPr>
                <w:rFonts w:eastAsia="Times New Roman"/>
                <w:sz w:val="18"/>
                <w:szCs w:val="18"/>
              </w:rPr>
              <w:t xml:space="preserve"> </w:t>
            </w:r>
            <w:r>
              <w:rPr>
                <w:rFonts w:eastAsia="Times New Roman"/>
                <w:sz w:val="18"/>
                <w:szCs w:val="18"/>
              </w:rPr>
              <w:t>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tc>
      </w:tr>
      <w:tr w:rsidR="00101D6E" w14:paraId="281A1770" w14:textId="2CB59CF5" w:rsidTr="00EA0975">
        <w:trPr>
          <w:trHeight w:val="270"/>
        </w:trPr>
        <w:tc>
          <w:tcPr>
            <w:tcW w:w="6330" w:type="dxa"/>
            <w:gridSpan w:val="3"/>
            <w:vAlign w:val="center"/>
          </w:tcPr>
          <w:p w14:paraId="281A176F" w14:textId="23599556" w:rsidR="00101D6E" w:rsidRDefault="00101D6E" w:rsidP="00101D6E">
            <w:pPr>
              <w:ind w:left="43"/>
              <w:rPr>
                <w:sz w:val="23"/>
                <w:szCs w:val="23"/>
              </w:rPr>
            </w:pPr>
            <w:r>
              <w:rPr>
                <w:rFonts w:eastAsia="Times New Roman"/>
                <w:sz w:val="18"/>
                <w:szCs w:val="18"/>
              </w:rPr>
              <w:t>1c. Fecal indicators (GWR)</w:t>
            </w:r>
          </w:p>
        </w:tc>
        <w:tc>
          <w:tcPr>
            <w:tcW w:w="4350" w:type="dxa"/>
            <w:vMerge w:val="restart"/>
          </w:tcPr>
          <w:p w14:paraId="4E532038" w14:textId="190FC36E" w:rsidR="00101D6E" w:rsidRPr="00101D6E" w:rsidRDefault="00101D6E" w:rsidP="00101D6E">
            <w:pPr>
              <w:spacing w:line="360" w:lineRule="auto"/>
              <w:ind w:left="43"/>
              <w:rPr>
                <w:sz w:val="20"/>
                <w:szCs w:val="20"/>
              </w:rPr>
            </w:pPr>
            <w:r>
              <w:rPr>
                <w:rFonts w:eastAsia="Times New Roman"/>
                <w:sz w:val="18"/>
                <w:szCs w:val="18"/>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tc>
      </w:tr>
      <w:tr w:rsidR="00101D6E" w14:paraId="281A1775" w14:textId="3F7E7E5D" w:rsidTr="00686AD0">
        <w:trPr>
          <w:trHeight w:val="274"/>
        </w:trPr>
        <w:tc>
          <w:tcPr>
            <w:tcW w:w="2730" w:type="dxa"/>
            <w:vAlign w:val="center"/>
          </w:tcPr>
          <w:p w14:paraId="281A1772" w14:textId="15CDF0CC" w:rsidR="00101D6E" w:rsidRDefault="00101D6E" w:rsidP="00536924">
            <w:pPr>
              <w:ind w:left="340"/>
              <w:rPr>
                <w:sz w:val="20"/>
                <w:szCs w:val="20"/>
              </w:rPr>
            </w:pPr>
            <w:r>
              <w:rPr>
                <w:rFonts w:eastAsia="Times New Roman"/>
                <w:sz w:val="18"/>
                <w:szCs w:val="18"/>
              </w:rPr>
              <w:t xml:space="preserve">i. </w:t>
            </w:r>
            <w:r>
              <w:rPr>
                <w:rFonts w:eastAsia="Times New Roman"/>
                <w:i/>
                <w:iCs/>
                <w:sz w:val="18"/>
                <w:szCs w:val="18"/>
              </w:rPr>
              <w:t>E.coli</w:t>
            </w:r>
          </w:p>
        </w:tc>
        <w:tc>
          <w:tcPr>
            <w:tcW w:w="1230" w:type="dxa"/>
            <w:vAlign w:val="center"/>
          </w:tcPr>
          <w:p w14:paraId="281A1773" w14:textId="77777777" w:rsidR="00101D6E" w:rsidRDefault="00101D6E" w:rsidP="00DE6919">
            <w:pPr>
              <w:jc w:val="center"/>
              <w:rPr>
                <w:sz w:val="20"/>
                <w:szCs w:val="20"/>
              </w:rPr>
            </w:pPr>
            <w:r>
              <w:rPr>
                <w:rFonts w:eastAsia="Times New Roman"/>
                <w:sz w:val="18"/>
                <w:szCs w:val="18"/>
              </w:rPr>
              <w:t>Zero</w:t>
            </w:r>
          </w:p>
        </w:tc>
        <w:tc>
          <w:tcPr>
            <w:tcW w:w="2370" w:type="dxa"/>
            <w:vAlign w:val="center"/>
          </w:tcPr>
          <w:p w14:paraId="281A1774" w14:textId="00F113DA" w:rsidR="00101D6E" w:rsidRDefault="00101D6E" w:rsidP="00DE6919">
            <w:pPr>
              <w:jc w:val="center"/>
              <w:rPr>
                <w:sz w:val="20"/>
                <w:szCs w:val="20"/>
              </w:rPr>
            </w:pPr>
            <w:r>
              <w:rPr>
                <w:rFonts w:eastAsia="Times New Roman"/>
                <w:sz w:val="18"/>
                <w:szCs w:val="18"/>
              </w:rPr>
              <w:t>TT</w:t>
            </w:r>
          </w:p>
        </w:tc>
        <w:tc>
          <w:tcPr>
            <w:tcW w:w="4350" w:type="dxa"/>
            <w:vMerge/>
          </w:tcPr>
          <w:p w14:paraId="72C28415" w14:textId="77777777" w:rsidR="00101D6E" w:rsidRDefault="00101D6E">
            <w:pPr>
              <w:ind w:left="40"/>
              <w:rPr>
                <w:rFonts w:eastAsia="Times New Roman"/>
                <w:sz w:val="18"/>
                <w:szCs w:val="18"/>
              </w:rPr>
            </w:pPr>
          </w:p>
        </w:tc>
      </w:tr>
      <w:tr w:rsidR="00101D6E" w14:paraId="281A177A" w14:textId="7926CA7F" w:rsidTr="00686AD0">
        <w:trPr>
          <w:trHeight w:val="274"/>
        </w:trPr>
        <w:tc>
          <w:tcPr>
            <w:tcW w:w="2730" w:type="dxa"/>
            <w:vAlign w:val="center"/>
          </w:tcPr>
          <w:p w14:paraId="281A1777" w14:textId="599710D9" w:rsidR="00101D6E" w:rsidRDefault="00101D6E" w:rsidP="00536924">
            <w:pPr>
              <w:ind w:left="340"/>
              <w:rPr>
                <w:sz w:val="20"/>
                <w:szCs w:val="20"/>
              </w:rPr>
            </w:pPr>
            <w:r>
              <w:rPr>
                <w:rFonts w:eastAsia="Times New Roman"/>
                <w:sz w:val="18"/>
                <w:szCs w:val="18"/>
              </w:rPr>
              <w:t>ii. enterococci</w:t>
            </w:r>
          </w:p>
        </w:tc>
        <w:tc>
          <w:tcPr>
            <w:tcW w:w="1230" w:type="dxa"/>
            <w:vAlign w:val="center"/>
          </w:tcPr>
          <w:p w14:paraId="281A1778" w14:textId="77777777" w:rsidR="00101D6E" w:rsidRDefault="00101D6E" w:rsidP="00DE6919">
            <w:pPr>
              <w:jc w:val="center"/>
              <w:rPr>
                <w:sz w:val="20"/>
                <w:szCs w:val="20"/>
              </w:rPr>
            </w:pPr>
            <w:r>
              <w:rPr>
                <w:rFonts w:eastAsia="Times New Roman"/>
                <w:sz w:val="18"/>
                <w:szCs w:val="18"/>
              </w:rPr>
              <w:t>None</w:t>
            </w:r>
          </w:p>
        </w:tc>
        <w:tc>
          <w:tcPr>
            <w:tcW w:w="2370" w:type="dxa"/>
            <w:vAlign w:val="center"/>
          </w:tcPr>
          <w:p w14:paraId="281A1779" w14:textId="20966CBA" w:rsidR="00101D6E" w:rsidRDefault="00101D6E" w:rsidP="00DE6919">
            <w:pPr>
              <w:jc w:val="center"/>
              <w:rPr>
                <w:sz w:val="20"/>
                <w:szCs w:val="20"/>
              </w:rPr>
            </w:pPr>
            <w:r>
              <w:rPr>
                <w:rFonts w:eastAsia="Times New Roman"/>
                <w:sz w:val="18"/>
                <w:szCs w:val="18"/>
              </w:rPr>
              <w:t>TT</w:t>
            </w:r>
          </w:p>
        </w:tc>
        <w:tc>
          <w:tcPr>
            <w:tcW w:w="4350" w:type="dxa"/>
            <w:vMerge/>
          </w:tcPr>
          <w:p w14:paraId="6033617F" w14:textId="77777777" w:rsidR="00101D6E" w:rsidRDefault="00101D6E">
            <w:pPr>
              <w:ind w:left="40"/>
              <w:rPr>
                <w:rFonts w:eastAsia="Times New Roman"/>
                <w:sz w:val="18"/>
                <w:szCs w:val="18"/>
              </w:rPr>
            </w:pPr>
          </w:p>
        </w:tc>
      </w:tr>
      <w:tr w:rsidR="00101D6E" w14:paraId="281A177F" w14:textId="0510B944" w:rsidTr="00686AD0">
        <w:trPr>
          <w:trHeight w:val="1009"/>
        </w:trPr>
        <w:tc>
          <w:tcPr>
            <w:tcW w:w="2730" w:type="dxa"/>
          </w:tcPr>
          <w:p w14:paraId="281A177C" w14:textId="0101556C" w:rsidR="00101D6E" w:rsidRDefault="00101D6E" w:rsidP="00101D6E">
            <w:pPr>
              <w:ind w:left="346"/>
              <w:rPr>
                <w:sz w:val="20"/>
                <w:szCs w:val="20"/>
              </w:rPr>
            </w:pPr>
            <w:r>
              <w:rPr>
                <w:rFonts w:eastAsia="Times New Roman"/>
                <w:sz w:val="18"/>
                <w:szCs w:val="18"/>
              </w:rPr>
              <w:t>iii. coliphage</w:t>
            </w:r>
          </w:p>
        </w:tc>
        <w:tc>
          <w:tcPr>
            <w:tcW w:w="1230" w:type="dxa"/>
          </w:tcPr>
          <w:p w14:paraId="281A177D" w14:textId="77777777" w:rsidR="00101D6E" w:rsidRDefault="00101D6E" w:rsidP="00101D6E">
            <w:pPr>
              <w:jc w:val="center"/>
              <w:rPr>
                <w:sz w:val="20"/>
                <w:szCs w:val="20"/>
              </w:rPr>
            </w:pPr>
            <w:r>
              <w:rPr>
                <w:rFonts w:eastAsia="Times New Roman"/>
                <w:sz w:val="18"/>
                <w:szCs w:val="18"/>
              </w:rPr>
              <w:t>None</w:t>
            </w:r>
          </w:p>
        </w:tc>
        <w:tc>
          <w:tcPr>
            <w:tcW w:w="2370" w:type="dxa"/>
          </w:tcPr>
          <w:p w14:paraId="281A177E" w14:textId="7AE20DD1" w:rsidR="00101D6E" w:rsidRDefault="00101D6E" w:rsidP="00101D6E">
            <w:pPr>
              <w:jc w:val="center"/>
              <w:rPr>
                <w:sz w:val="20"/>
                <w:szCs w:val="20"/>
              </w:rPr>
            </w:pPr>
            <w:r>
              <w:rPr>
                <w:rFonts w:eastAsia="Times New Roman"/>
                <w:sz w:val="18"/>
                <w:szCs w:val="18"/>
              </w:rPr>
              <w:t>TT</w:t>
            </w:r>
          </w:p>
        </w:tc>
        <w:tc>
          <w:tcPr>
            <w:tcW w:w="4350" w:type="dxa"/>
            <w:vMerge/>
          </w:tcPr>
          <w:p w14:paraId="6DA02B62" w14:textId="77777777" w:rsidR="00101D6E" w:rsidRDefault="00101D6E">
            <w:pPr>
              <w:ind w:left="40"/>
              <w:rPr>
                <w:rFonts w:eastAsia="Times New Roman"/>
                <w:sz w:val="18"/>
                <w:szCs w:val="18"/>
              </w:rPr>
            </w:pPr>
          </w:p>
        </w:tc>
      </w:tr>
    </w:tbl>
    <w:p w14:paraId="281A17A3" w14:textId="7BBF9838" w:rsidR="004647B9" w:rsidRDefault="004647B9" w:rsidP="00101D6E">
      <w:pPr>
        <w:rPr>
          <w:sz w:val="20"/>
          <w:szCs w:val="20"/>
        </w:rPr>
      </w:pPr>
    </w:p>
    <w:p w14:paraId="281A17A4" w14:textId="77777777" w:rsidR="004647B9" w:rsidRDefault="004647B9" w:rsidP="00101D6E">
      <w:pPr>
        <w:sectPr w:rsidR="004647B9" w:rsidSect="00EF630C">
          <w:type w:val="continuous"/>
          <w:pgSz w:w="12240" w:h="20180"/>
          <w:pgMar w:top="708" w:right="1140" w:bottom="1440" w:left="600" w:header="0" w:footer="0" w:gutter="0"/>
          <w:cols w:space="720"/>
        </w:sectPr>
      </w:pPr>
    </w:p>
    <w:p w14:paraId="281A17A5" w14:textId="77777777" w:rsidR="004647B9" w:rsidRDefault="00E2436F">
      <w:pPr>
        <w:tabs>
          <w:tab w:val="left" w:pos="2860"/>
        </w:tabs>
        <w:ind w:left="1680"/>
        <w:rPr>
          <w:sz w:val="20"/>
          <w:szCs w:val="20"/>
        </w:rPr>
      </w:pPr>
      <w:bookmarkStart w:id="198" w:name="page200"/>
      <w:bookmarkEnd w:id="19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7A6" w14:textId="77777777" w:rsidR="004647B9" w:rsidRDefault="004647B9" w:rsidP="00650DDB">
      <w:pPr>
        <w:rPr>
          <w:sz w:val="20"/>
          <w:szCs w:val="20"/>
        </w:rPr>
      </w:pPr>
    </w:p>
    <w:p w14:paraId="281A17A7" w14:textId="77777777" w:rsidR="004647B9" w:rsidRDefault="004647B9" w:rsidP="00650DDB">
      <w:pPr>
        <w:rPr>
          <w:sz w:val="20"/>
          <w:szCs w:val="20"/>
        </w:rPr>
      </w:pPr>
    </w:p>
    <w:p w14:paraId="281A17A8" w14:textId="77777777" w:rsidR="004647B9" w:rsidRPr="00650DDB" w:rsidRDefault="00E2436F" w:rsidP="00650DDB">
      <w:pPr>
        <w:tabs>
          <w:tab w:val="left" w:pos="760"/>
        </w:tabs>
        <w:rPr>
          <w:sz w:val="24"/>
          <w:szCs w:val="24"/>
        </w:rPr>
      </w:pPr>
      <w:r w:rsidRPr="00650DDB">
        <w:rPr>
          <w:rFonts w:eastAsia="Times New Roman"/>
          <w:sz w:val="24"/>
          <w:szCs w:val="24"/>
        </w:rPr>
        <w:t>22.16:</w:t>
      </w:r>
      <w:r w:rsidRPr="00650DDB">
        <w:rPr>
          <w:rFonts w:eastAsia="Times New Roman"/>
          <w:sz w:val="24"/>
          <w:szCs w:val="24"/>
        </w:rPr>
        <w:tab/>
        <w:t>continued</w:t>
      </w:r>
    </w:p>
    <w:p w14:paraId="281A17A9" w14:textId="77777777" w:rsidR="004647B9" w:rsidRDefault="004647B9" w:rsidP="00650DDB">
      <w:pPr>
        <w:rPr>
          <w:sz w:val="20"/>
          <w:szCs w:val="20"/>
        </w:rPr>
      </w:pPr>
    </w:p>
    <w:tbl>
      <w:tblPr>
        <w:tblW w:w="10533" w:type="dxa"/>
        <w:tblInd w:w="50" w:type="dxa"/>
        <w:tblLayout w:type="fixed"/>
        <w:tblCellMar>
          <w:left w:w="0" w:type="dxa"/>
          <w:right w:w="0" w:type="dxa"/>
        </w:tblCellMar>
        <w:tblLook w:val="04A0" w:firstRow="1" w:lastRow="0" w:firstColumn="1" w:lastColumn="0" w:noHBand="0" w:noVBand="1"/>
      </w:tblPr>
      <w:tblGrid>
        <w:gridCol w:w="2700"/>
        <w:gridCol w:w="7"/>
        <w:gridCol w:w="1253"/>
        <w:gridCol w:w="7"/>
        <w:gridCol w:w="2363"/>
        <w:gridCol w:w="13"/>
        <w:gridCol w:w="4177"/>
        <w:gridCol w:w="13"/>
      </w:tblGrid>
      <w:tr w:rsidR="003B0F12" w14:paraId="43578BBD" w14:textId="77777777" w:rsidTr="003F200F">
        <w:trPr>
          <w:trHeight w:val="475"/>
        </w:trPr>
        <w:tc>
          <w:tcPr>
            <w:tcW w:w="2707" w:type="dxa"/>
            <w:gridSpan w:val="2"/>
            <w:tcBorders>
              <w:top w:val="single" w:sz="8" w:space="0" w:color="auto"/>
              <w:left w:val="single" w:sz="8" w:space="0" w:color="auto"/>
              <w:bottom w:val="single" w:sz="8" w:space="0" w:color="auto"/>
              <w:right w:val="single" w:sz="8" w:space="0" w:color="auto"/>
            </w:tcBorders>
            <w:vAlign w:val="center"/>
          </w:tcPr>
          <w:p w14:paraId="129D941B" w14:textId="6835B27E" w:rsidR="003B0F12" w:rsidRDefault="00A70F5A" w:rsidP="000D185A">
            <w:pPr>
              <w:ind w:left="40"/>
              <w:rPr>
                <w:rFonts w:eastAsia="Times New Roman"/>
                <w:sz w:val="18"/>
                <w:szCs w:val="18"/>
              </w:rPr>
            </w:pPr>
            <w:r>
              <w:rPr>
                <w:rFonts w:eastAsia="Times New Roman"/>
                <w:sz w:val="18"/>
                <w:szCs w:val="18"/>
              </w:rPr>
              <w:t>Contaminant</w:t>
            </w:r>
          </w:p>
        </w:tc>
        <w:tc>
          <w:tcPr>
            <w:tcW w:w="1260" w:type="dxa"/>
            <w:gridSpan w:val="2"/>
            <w:tcBorders>
              <w:top w:val="single" w:sz="8" w:space="0" w:color="auto"/>
              <w:left w:val="single" w:sz="8" w:space="0" w:color="auto"/>
              <w:bottom w:val="single" w:sz="8" w:space="0" w:color="auto"/>
              <w:right w:val="single" w:sz="8" w:space="0" w:color="auto"/>
            </w:tcBorders>
            <w:vAlign w:val="center"/>
          </w:tcPr>
          <w:p w14:paraId="424788C1" w14:textId="31F20855" w:rsidR="003B0F12" w:rsidRDefault="00A70F5A" w:rsidP="003F200F">
            <w:pPr>
              <w:jc w:val="center"/>
              <w:rPr>
                <w:rFonts w:eastAsia="Times New Roman"/>
                <w:sz w:val="18"/>
                <w:szCs w:val="18"/>
              </w:rPr>
            </w:pPr>
            <w:r>
              <w:rPr>
                <w:rFonts w:eastAsia="Times New Roman"/>
                <w:sz w:val="18"/>
                <w:szCs w:val="18"/>
              </w:rPr>
              <w:t>MCLG</w:t>
            </w:r>
            <w:r w:rsidRPr="009C2A4E">
              <w:rPr>
                <w:rFonts w:eastAsia="Times New Roman"/>
                <w:sz w:val="18"/>
                <w:szCs w:val="18"/>
                <w:vertAlign w:val="superscript"/>
              </w:rPr>
              <w:t>1</w:t>
            </w:r>
            <w:r>
              <w:rPr>
                <w:rFonts w:eastAsia="Times New Roman"/>
                <w:sz w:val="18"/>
                <w:szCs w:val="18"/>
              </w:rPr>
              <w:t xml:space="preserve"> mg/l</w:t>
            </w:r>
          </w:p>
        </w:tc>
        <w:tc>
          <w:tcPr>
            <w:tcW w:w="2376" w:type="dxa"/>
            <w:gridSpan w:val="2"/>
            <w:tcBorders>
              <w:top w:val="single" w:sz="8" w:space="0" w:color="auto"/>
              <w:left w:val="single" w:sz="8" w:space="0" w:color="auto"/>
              <w:bottom w:val="single" w:sz="8" w:space="0" w:color="auto"/>
              <w:right w:val="single" w:sz="8" w:space="0" w:color="auto"/>
            </w:tcBorders>
            <w:vAlign w:val="center"/>
          </w:tcPr>
          <w:p w14:paraId="4D562FC0" w14:textId="48E29C8F" w:rsidR="003B0F12" w:rsidRDefault="00A70F5A" w:rsidP="003F200F">
            <w:pPr>
              <w:jc w:val="center"/>
              <w:rPr>
                <w:rFonts w:eastAsia="Times New Roman"/>
                <w:sz w:val="18"/>
                <w:szCs w:val="18"/>
              </w:rPr>
            </w:pPr>
            <w:r>
              <w:rPr>
                <w:rFonts w:eastAsia="Times New Roman"/>
                <w:sz w:val="18"/>
                <w:szCs w:val="18"/>
              </w:rPr>
              <w:t>MCL</w:t>
            </w:r>
            <w:r w:rsidRPr="009C2A4E">
              <w:rPr>
                <w:rFonts w:eastAsia="Times New Roman"/>
                <w:sz w:val="18"/>
                <w:szCs w:val="18"/>
                <w:vertAlign w:val="superscript"/>
              </w:rPr>
              <w:t>2</w:t>
            </w:r>
            <w:r>
              <w:rPr>
                <w:rFonts w:eastAsia="Times New Roman"/>
                <w:sz w:val="18"/>
                <w:szCs w:val="18"/>
              </w:rPr>
              <w:t xml:space="preserve"> mg/l</w:t>
            </w:r>
          </w:p>
        </w:tc>
        <w:tc>
          <w:tcPr>
            <w:tcW w:w="4190" w:type="dxa"/>
            <w:gridSpan w:val="2"/>
            <w:tcBorders>
              <w:top w:val="single" w:sz="8" w:space="0" w:color="auto"/>
              <w:left w:val="single" w:sz="8" w:space="0" w:color="auto"/>
              <w:bottom w:val="single" w:sz="8" w:space="0" w:color="auto"/>
              <w:right w:val="single" w:sz="8" w:space="0" w:color="auto"/>
            </w:tcBorders>
            <w:vAlign w:val="center"/>
          </w:tcPr>
          <w:p w14:paraId="2DB99360" w14:textId="00768753" w:rsidR="003B0F12" w:rsidRDefault="00A70F5A" w:rsidP="000D185A">
            <w:pPr>
              <w:ind w:left="40"/>
              <w:rPr>
                <w:rFonts w:eastAsia="Times New Roman"/>
                <w:sz w:val="18"/>
                <w:szCs w:val="18"/>
              </w:rPr>
            </w:pPr>
            <w:r>
              <w:rPr>
                <w:rFonts w:eastAsia="Times New Roman"/>
                <w:sz w:val="18"/>
                <w:szCs w:val="18"/>
              </w:rPr>
              <w:t>Standard health effects language for public notification</w:t>
            </w:r>
          </w:p>
        </w:tc>
      </w:tr>
      <w:tr w:rsidR="009C2A4E" w14:paraId="281A17BF" w14:textId="77777777" w:rsidTr="00A70F5A">
        <w:trPr>
          <w:gridAfter w:val="1"/>
          <w:wAfter w:w="13" w:type="dxa"/>
          <w:trHeight w:val="279"/>
        </w:trPr>
        <w:tc>
          <w:tcPr>
            <w:tcW w:w="10520" w:type="dxa"/>
            <w:gridSpan w:val="7"/>
            <w:tcBorders>
              <w:left w:val="single" w:sz="8" w:space="0" w:color="auto"/>
              <w:bottom w:val="single" w:sz="8" w:space="0" w:color="auto"/>
              <w:right w:val="single" w:sz="8" w:space="0" w:color="auto"/>
            </w:tcBorders>
            <w:vAlign w:val="center"/>
          </w:tcPr>
          <w:p w14:paraId="281A17BD" w14:textId="4CE23610" w:rsidR="009C2A4E" w:rsidRDefault="009C2A4E" w:rsidP="000D185A">
            <w:pPr>
              <w:ind w:left="40"/>
              <w:rPr>
                <w:sz w:val="20"/>
                <w:szCs w:val="20"/>
              </w:rPr>
            </w:pPr>
            <w:r>
              <w:rPr>
                <w:rFonts w:eastAsia="Times New Roman"/>
                <w:sz w:val="18"/>
                <w:szCs w:val="18"/>
              </w:rPr>
              <w:t>National Primary Drinking Water Regulations (NPDWR) and Massachusetts Drinking Water Regulations:</w:t>
            </w:r>
          </w:p>
        </w:tc>
      </w:tr>
      <w:tr w:rsidR="009C2A4E" w14:paraId="281A17C6" w14:textId="77777777" w:rsidTr="00A70F5A">
        <w:trPr>
          <w:gridAfter w:val="1"/>
          <w:wAfter w:w="13" w:type="dxa"/>
          <w:trHeight w:val="345"/>
        </w:trPr>
        <w:tc>
          <w:tcPr>
            <w:tcW w:w="2700" w:type="dxa"/>
            <w:vMerge w:val="restart"/>
            <w:tcBorders>
              <w:left w:val="single" w:sz="8" w:space="0" w:color="auto"/>
              <w:right w:val="single" w:sz="8" w:space="0" w:color="auto"/>
            </w:tcBorders>
          </w:tcPr>
          <w:p w14:paraId="281A17C1" w14:textId="67CA83D5" w:rsidR="009C2A4E" w:rsidRDefault="009C2A4E" w:rsidP="009E188C">
            <w:pPr>
              <w:spacing w:line="360" w:lineRule="auto"/>
              <w:ind w:left="43"/>
              <w:rPr>
                <w:sz w:val="20"/>
                <w:szCs w:val="20"/>
              </w:rPr>
            </w:pPr>
            <w:r>
              <w:rPr>
                <w:rFonts w:eastAsia="Times New Roman"/>
                <w:sz w:val="18"/>
                <w:szCs w:val="18"/>
              </w:rPr>
              <w:t>1d. Ground Water Rule (GWR) TT violations</w:t>
            </w:r>
          </w:p>
        </w:tc>
        <w:tc>
          <w:tcPr>
            <w:tcW w:w="1260" w:type="dxa"/>
            <w:gridSpan w:val="2"/>
            <w:vMerge w:val="restart"/>
            <w:tcBorders>
              <w:left w:val="single" w:sz="8" w:space="0" w:color="auto"/>
              <w:right w:val="single" w:sz="8" w:space="0" w:color="auto"/>
            </w:tcBorders>
          </w:tcPr>
          <w:p w14:paraId="281A17C2" w14:textId="791139C7" w:rsidR="009C2A4E" w:rsidRDefault="009C2A4E" w:rsidP="00B6685C">
            <w:pPr>
              <w:ind w:left="40"/>
              <w:jc w:val="center"/>
              <w:rPr>
                <w:sz w:val="20"/>
                <w:szCs w:val="20"/>
              </w:rPr>
            </w:pPr>
            <w:r>
              <w:rPr>
                <w:rFonts w:eastAsia="Times New Roman"/>
                <w:sz w:val="18"/>
                <w:szCs w:val="18"/>
              </w:rPr>
              <w:t>None</w:t>
            </w:r>
          </w:p>
        </w:tc>
        <w:tc>
          <w:tcPr>
            <w:tcW w:w="2370" w:type="dxa"/>
            <w:gridSpan w:val="2"/>
            <w:vMerge w:val="restart"/>
            <w:tcBorders>
              <w:right w:val="single" w:sz="8" w:space="0" w:color="auto"/>
            </w:tcBorders>
          </w:tcPr>
          <w:p w14:paraId="281A17C3" w14:textId="77777777" w:rsidR="009C2A4E" w:rsidRDefault="009C2A4E" w:rsidP="00B6685C">
            <w:pPr>
              <w:ind w:left="40"/>
              <w:jc w:val="center"/>
              <w:rPr>
                <w:sz w:val="20"/>
                <w:szCs w:val="20"/>
              </w:rPr>
            </w:pPr>
            <w:r>
              <w:rPr>
                <w:rFonts w:eastAsia="Times New Roman"/>
                <w:sz w:val="18"/>
                <w:szCs w:val="18"/>
              </w:rPr>
              <w:t>TT</w:t>
            </w:r>
          </w:p>
        </w:tc>
        <w:tc>
          <w:tcPr>
            <w:tcW w:w="4190" w:type="dxa"/>
            <w:gridSpan w:val="2"/>
            <w:vMerge w:val="restart"/>
            <w:tcBorders>
              <w:right w:val="single" w:sz="8" w:space="0" w:color="auto"/>
            </w:tcBorders>
          </w:tcPr>
          <w:p w14:paraId="281A17C4" w14:textId="021A6E81" w:rsidR="009C2A4E" w:rsidRDefault="009C2A4E" w:rsidP="009E188C">
            <w:pPr>
              <w:spacing w:line="360" w:lineRule="auto"/>
              <w:ind w:left="40"/>
              <w:rPr>
                <w:sz w:val="20"/>
                <w:szCs w:val="20"/>
              </w:rPr>
            </w:pPr>
            <w:r>
              <w:rPr>
                <w:rFonts w:eastAsia="Times New Roman"/>
                <w:sz w:val="18"/>
                <w:szCs w:val="18"/>
              </w:rPr>
              <w:t>Inadequately treated or inadequately protected water may contain disease-causing organisms.  These organisms can cause symptoms such as diarrhea, nausea, cramps, and associated headaches.</w:t>
            </w:r>
          </w:p>
        </w:tc>
      </w:tr>
      <w:tr w:rsidR="009C2A4E" w14:paraId="281A17CD"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7C8" w14:textId="324778B5" w:rsidR="009C2A4E" w:rsidRDefault="009C2A4E">
            <w:pPr>
              <w:ind w:left="100"/>
              <w:rPr>
                <w:sz w:val="20"/>
                <w:szCs w:val="20"/>
              </w:rPr>
            </w:pPr>
          </w:p>
        </w:tc>
        <w:tc>
          <w:tcPr>
            <w:tcW w:w="1260" w:type="dxa"/>
            <w:gridSpan w:val="2"/>
            <w:vMerge/>
            <w:tcBorders>
              <w:left w:val="single" w:sz="8" w:space="0" w:color="auto"/>
              <w:right w:val="single" w:sz="8" w:space="0" w:color="auto"/>
            </w:tcBorders>
            <w:vAlign w:val="bottom"/>
          </w:tcPr>
          <w:p w14:paraId="281A17C9" w14:textId="03CE8CFA" w:rsidR="009C2A4E" w:rsidRDefault="009C2A4E">
            <w:pPr>
              <w:rPr>
                <w:sz w:val="23"/>
                <w:szCs w:val="23"/>
              </w:rPr>
            </w:pPr>
          </w:p>
        </w:tc>
        <w:tc>
          <w:tcPr>
            <w:tcW w:w="2370" w:type="dxa"/>
            <w:gridSpan w:val="2"/>
            <w:vMerge/>
            <w:tcBorders>
              <w:right w:val="single" w:sz="8" w:space="0" w:color="auto"/>
            </w:tcBorders>
            <w:vAlign w:val="bottom"/>
          </w:tcPr>
          <w:p w14:paraId="281A17CA" w14:textId="77777777" w:rsidR="009C2A4E" w:rsidRDefault="009C2A4E">
            <w:pPr>
              <w:rPr>
                <w:sz w:val="23"/>
                <w:szCs w:val="23"/>
              </w:rPr>
            </w:pPr>
          </w:p>
        </w:tc>
        <w:tc>
          <w:tcPr>
            <w:tcW w:w="4190" w:type="dxa"/>
            <w:gridSpan w:val="2"/>
            <w:vMerge/>
            <w:tcBorders>
              <w:right w:val="single" w:sz="8" w:space="0" w:color="auto"/>
            </w:tcBorders>
            <w:vAlign w:val="bottom"/>
          </w:tcPr>
          <w:p w14:paraId="281A17CB" w14:textId="0D9F211B" w:rsidR="009C2A4E" w:rsidRDefault="009C2A4E" w:rsidP="00DF6443">
            <w:pPr>
              <w:ind w:left="40"/>
              <w:rPr>
                <w:sz w:val="20"/>
                <w:szCs w:val="20"/>
              </w:rPr>
            </w:pPr>
          </w:p>
        </w:tc>
      </w:tr>
      <w:tr w:rsidR="009C2A4E" w14:paraId="281A17D4"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7CF"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7D0" w14:textId="77777777" w:rsidR="009C2A4E" w:rsidRDefault="009C2A4E">
            <w:pPr>
              <w:rPr>
                <w:sz w:val="23"/>
                <w:szCs w:val="23"/>
              </w:rPr>
            </w:pPr>
          </w:p>
        </w:tc>
        <w:tc>
          <w:tcPr>
            <w:tcW w:w="2370" w:type="dxa"/>
            <w:gridSpan w:val="2"/>
            <w:vMerge/>
            <w:tcBorders>
              <w:right w:val="single" w:sz="8" w:space="0" w:color="auto"/>
            </w:tcBorders>
            <w:vAlign w:val="bottom"/>
          </w:tcPr>
          <w:p w14:paraId="281A17D1" w14:textId="77777777" w:rsidR="009C2A4E" w:rsidRDefault="009C2A4E">
            <w:pPr>
              <w:rPr>
                <w:sz w:val="23"/>
                <w:szCs w:val="23"/>
              </w:rPr>
            </w:pPr>
          </w:p>
        </w:tc>
        <w:tc>
          <w:tcPr>
            <w:tcW w:w="4190" w:type="dxa"/>
            <w:gridSpan w:val="2"/>
            <w:vMerge/>
            <w:tcBorders>
              <w:right w:val="single" w:sz="8" w:space="0" w:color="auto"/>
            </w:tcBorders>
            <w:vAlign w:val="bottom"/>
          </w:tcPr>
          <w:p w14:paraId="281A17D2" w14:textId="7C0805F3" w:rsidR="009C2A4E" w:rsidRDefault="009C2A4E" w:rsidP="00DF6443">
            <w:pPr>
              <w:ind w:left="40"/>
              <w:rPr>
                <w:sz w:val="20"/>
                <w:szCs w:val="20"/>
              </w:rPr>
            </w:pPr>
          </w:p>
        </w:tc>
      </w:tr>
      <w:tr w:rsidR="009C2A4E" w14:paraId="281A17DB" w14:textId="77777777" w:rsidTr="00A70F5A">
        <w:trPr>
          <w:gridAfter w:val="1"/>
          <w:wAfter w:w="13" w:type="dxa"/>
          <w:trHeight w:val="279"/>
        </w:trPr>
        <w:tc>
          <w:tcPr>
            <w:tcW w:w="2700" w:type="dxa"/>
            <w:vMerge/>
            <w:tcBorders>
              <w:left w:val="single" w:sz="8" w:space="0" w:color="auto"/>
              <w:bottom w:val="single" w:sz="8" w:space="0" w:color="auto"/>
              <w:right w:val="single" w:sz="8" w:space="0" w:color="auto"/>
            </w:tcBorders>
            <w:vAlign w:val="bottom"/>
          </w:tcPr>
          <w:p w14:paraId="281A17D6" w14:textId="77777777" w:rsidR="009C2A4E" w:rsidRDefault="009C2A4E">
            <w:pPr>
              <w:rPr>
                <w:sz w:val="24"/>
                <w:szCs w:val="24"/>
              </w:rPr>
            </w:pPr>
          </w:p>
        </w:tc>
        <w:tc>
          <w:tcPr>
            <w:tcW w:w="1260" w:type="dxa"/>
            <w:gridSpan w:val="2"/>
            <w:vMerge/>
            <w:tcBorders>
              <w:left w:val="single" w:sz="8" w:space="0" w:color="auto"/>
              <w:bottom w:val="single" w:sz="8" w:space="0" w:color="auto"/>
              <w:right w:val="single" w:sz="8" w:space="0" w:color="auto"/>
            </w:tcBorders>
            <w:vAlign w:val="bottom"/>
          </w:tcPr>
          <w:p w14:paraId="281A17D7" w14:textId="77777777" w:rsidR="009C2A4E" w:rsidRDefault="009C2A4E">
            <w:pPr>
              <w:rPr>
                <w:sz w:val="24"/>
                <w:szCs w:val="24"/>
              </w:rPr>
            </w:pPr>
          </w:p>
        </w:tc>
        <w:tc>
          <w:tcPr>
            <w:tcW w:w="2370" w:type="dxa"/>
            <w:gridSpan w:val="2"/>
            <w:vMerge/>
            <w:tcBorders>
              <w:bottom w:val="single" w:sz="8" w:space="0" w:color="auto"/>
              <w:right w:val="single" w:sz="8" w:space="0" w:color="auto"/>
            </w:tcBorders>
            <w:vAlign w:val="bottom"/>
          </w:tcPr>
          <w:p w14:paraId="281A17D8" w14:textId="77777777" w:rsidR="009C2A4E" w:rsidRDefault="009C2A4E">
            <w:pPr>
              <w:rPr>
                <w:sz w:val="24"/>
                <w:szCs w:val="24"/>
              </w:rPr>
            </w:pPr>
          </w:p>
        </w:tc>
        <w:tc>
          <w:tcPr>
            <w:tcW w:w="4190" w:type="dxa"/>
            <w:gridSpan w:val="2"/>
            <w:vMerge/>
            <w:tcBorders>
              <w:bottom w:val="single" w:sz="8" w:space="0" w:color="auto"/>
              <w:right w:val="single" w:sz="8" w:space="0" w:color="auto"/>
            </w:tcBorders>
            <w:vAlign w:val="bottom"/>
          </w:tcPr>
          <w:p w14:paraId="281A17D9" w14:textId="20CCEBF4" w:rsidR="009C2A4E" w:rsidRDefault="009C2A4E">
            <w:pPr>
              <w:ind w:left="40"/>
              <w:rPr>
                <w:sz w:val="20"/>
                <w:szCs w:val="20"/>
              </w:rPr>
            </w:pPr>
          </w:p>
        </w:tc>
      </w:tr>
      <w:tr w:rsidR="009C2A4E" w14:paraId="281A17E2" w14:textId="77777777" w:rsidTr="00A70F5A">
        <w:trPr>
          <w:gridAfter w:val="1"/>
          <w:wAfter w:w="13" w:type="dxa"/>
          <w:trHeight w:val="345"/>
        </w:trPr>
        <w:tc>
          <w:tcPr>
            <w:tcW w:w="2700" w:type="dxa"/>
            <w:vMerge w:val="restart"/>
            <w:tcBorders>
              <w:left w:val="single" w:sz="8" w:space="0" w:color="auto"/>
              <w:right w:val="single" w:sz="8" w:space="0" w:color="auto"/>
            </w:tcBorders>
          </w:tcPr>
          <w:p w14:paraId="281A17DD" w14:textId="244B089A" w:rsidR="009C2A4E" w:rsidRDefault="009C2A4E" w:rsidP="009E188C">
            <w:pPr>
              <w:spacing w:line="360" w:lineRule="auto"/>
              <w:ind w:left="40"/>
              <w:rPr>
                <w:sz w:val="20"/>
                <w:szCs w:val="20"/>
              </w:rPr>
            </w:pPr>
            <w:r>
              <w:rPr>
                <w:rFonts w:eastAsia="Times New Roman"/>
                <w:sz w:val="18"/>
                <w:szCs w:val="18"/>
              </w:rPr>
              <w:t xml:space="preserve">1e. </w:t>
            </w:r>
            <w:r>
              <w:rPr>
                <w:rFonts w:eastAsia="Times New Roman"/>
                <w:i/>
                <w:iCs/>
                <w:sz w:val="18"/>
                <w:szCs w:val="18"/>
              </w:rPr>
              <w:t xml:space="preserve">E. coli </w:t>
            </w:r>
            <w:r>
              <w:rPr>
                <w:rFonts w:eastAsia="Times New Roman"/>
                <w:sz w:val="18"/>
                <w:szCs w:val="18"/>
              </w:rPr>
              <w:t>Assessment and/or Corrective Action Violations</w:t>
            </w:r>
          </w:p>
        </w:tc>
        <w:tc>
          <w:tcPr>
            <w:tcW w:w="1260" w:type="dxa"/>
            <w:gridSpan w:val="2"/>
            <w:vMerge w:val="restart"/>
            <w:tcBorders>
              <w:left w:val="single" w:sz="8" w:space="0" w:color="auto"/>
              <w:right w:val="single" w:sz="8" w:space="0" w:color="auto"/>
            </w:tcBorders>
          </w:tcPr>
          <w:p w14:paraId="281A17DE" w14:textId="77777777" w:rsidR="009C2A4E" w:rsidDel="007B206E" w:rsidRDefault="009C2A4E" w:rsidP="00B6685C">
            <w:pPr>
              <w:jc w:val="center"/>
              <w:rPr>
                <w:sz w:val="20"/>
                <w:szCs w:val="20"/>
              </w:rPr>
            </w:pPr>
            <w:r>
              <w:rPr>
                <w:rFonts w:eastAsia="Times New Roman"/>
                <w:sz w:val="18"/>
                <w:szCs w:val="18"/>
              </w:rPr>
              <w:t>N/A</w:t>
            </w:r>
          </w:p>
        </w:tc>
        <w:tc>
          <w:tcPr>
            <w:tcW w:w="2370" w:type="dxa"/>
            <w:gridSpan w:val="2"/>
            <w:vMerge w:val="restart"/>
            <w:tcBorders>
              <w:right w:val="single" w:sz="8" w:space="0" w:color="auto"/>
            </w:tcBorders>
          </w:tcPr>
          <w:p w14:paraId="281A17DF" w14:textId="77777777" w:rsidR="009C2A4E" w:rsidRDefault="009C2A4E" w:rsidP="00B6685C">
            <w:pPr>
              <w:jc w:val="center"/>
              <w:rPr>
                <w:sz w:val="20"/>
                <w:szCs w:val="20"/>
              </w:rPr>
            </w:pPr>
            <w:r w:rsidDel="007B206E">
              <w:rPr>
                <w:rFonts w:eastAsia="Times New Roman"/>
                <w:sz w:val="18"/>
                <w:szCs w:val="18"/>
              </w:rPr>
              <w:t>TT</w:t>
            </w:r>
          </w:p>
        </w:tc>
        <w:tc>
          <w:tcPr>
            <w:tcW w:w="4190" w:type="dxa"/>
            <w:gridSpan w:val="2"/>
            <w:vMerge w:val="restart"/>
            <w:tcBorders>
              <w:right w:val="single" w:sz="8" w:space="0" w:color="auto"/>
            </w:tcBorders>
          </w:tcPr>
          <w:p w14:paraId="0303E738" w14:textId="34532795" w:rsidR="009C2A4E" w:rsidRPr="007B206E" w:rsidRDefault="009C2A4E" w:rsidP="009E188C">
            <w:pPr>
              <w:spacing w:line="360" w:lineRule="auto"/>
              <w:ind w:left="43"/>
              <w:rPr>
                <w:sz w:val="20"/>
                <w:szCs w:val="20"/>
              </w:rPr>
            </w:pPr>
            <w:r>
              <w:rPr>
                <w:rFonts w:eastAsia="Times New Roman"/>
                <w:i/>
                <w:sz w:val="18"/>
                <w:szCs w:val="18"/>
              </w:rPr>
              <w:t xml:space="preserve">E. coli </w:t>
            </w:r>
            <w:r>
              <w:rPr>
                <w:rFonts w:eastAsia="Times New Roman"/>
                <w:sz w:val="18"/>
                <w:szCs w:val="18"/>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violated the standard for </w:t>
            </w:r>
            <w:r>
              <w:rPr>
                <w:rFonts w:eastAsia="Times New Roman"/>
                <w:i/>
                <w:sz w:val="18"/>
                <w:szCs w:val="18"/>
              </w:rPr>
              <w:t>E. coli</w:t>
            </w:r>
            <w:r>
              <w:rPr>
                <w:rFonts w:eastAsia="Times New Roman"/>
                <w:sz w:val="18"/>
                <w:szCs w:val="18"/>
              </w:rPr>
              <w:t>, indicating the need to look for potential problems in water treatment or distribution.  When this occurs, we are required to conduct a detailed assessment to identify problems and to correct any problems that are found.</w:t>
            </w:r>
          </w:p>
          <w:p w14:paraId="2A991273" w14:textId="287A8DED" w:rsidR="009C2A4E" w:rsidRDefault="009C2A4E" w:rsidP="009E188C">
            <w:pPr>
              <w:spacing w:line="360" w:lineRule="auto"/>
              <w:ind w:left="43"/>
              <w:rPr>
                <w:sz w:val="20"/>
                <w:szCs w:val="20"/>
              </w:rPr>
            </w:pPr>
            <w:r>
              <w:rPr>
                <w:rFonts w:eastAsia="Times New Roman"/>
                <w:sz w:val="18"/>
                <w:szCs w:val="18"/>
              </w:rPr>
              <w:t>[THE SYSTEM MUST USE THE FOLLOWING APPLICABLE SENTENCES.]</w:t>
            </w:r>
          </w:p>
          <w:p w14:paraId="4D659101" w14:textId="00A380E9" w:rsidR="009C2A4E" w:rsidRDefault="009C2A4E" w:rsidP="009E188C">
            <w:pPr>
              <w:spacing w:line="360" w:lineRule="auto"/>
              <w:ind w:left="288"/>
              <w:rPr>
                <w:sz w:val="20"/>
                <w:szCs w:val="20"/>
              </w:rPr>
            </w:pPr>
            <w:r>
              <w:rPr>
                <w:rFonts w:eastAsia="Times New Roman"/>
                <w:sz w:val="18"/>
                <w:szCs w:val="18"/>
              </w:rPr>
              <w:t>We failed to conduct the required assessment.</w:t>
            </w:r>
          </w:p>
          <w:p w14:paraId="281A17E0" w14:textId="78FF017E" w:rsidR="009C2A4E" w:rsidRDefault="009C2A4E" w:rsidP="009E188C">
            <w:pPr>
              <w:spacing w:line="360" w:lineRule="auto"/>
              <w:ind w:left="288"/>
              <w:rPr>
                <w:sz w:val="20"/>
                <w:szCs w:val="20"/>
              </w:rPr>
            </w:pPr>
            <w:r>
              <w:rPr>
                <w:rFonts w:eastAsia="Times New Roman"/>
                <w:sz w:val="18"/>
                <w:szCs w:val="18"/>
              </w:rPr>
              <w:t>We failed to correct all identified sanitary defects that were found during the assessment that we conducted.</w:t>
            </w:r>
          </w:p>
        </w:tc>
      </w:tr>
      <w:tr w:rsidR="009C2A4E" w14:paraId="281A17E8"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7E3" w14:textId="2699DDF3" w:rsidR="009C2A4E" w:rsidRDefault="009C2A4E">
            <w:pPr>
              <w:ind w:left="40"/>
              <w:rPr>
                <w:sz w:val="20"/>
                <w:szCs w:val="20"/>
              </w:rPr>
            </w:pPr>
          </w:p>
        </w:tc>
        <w:tc>
          <w:tcPr>
            <w:tcW w:w="1260" w:type="dxa"/>
            <w:gridSpan w:val="2"/>
            <w:vMerge/>
            <w:tcBorders>
              <w:left w:val="single" w:sz="8" w:space="0" w:color="auto"/>
              <w:right w:val="single" w:sz="8" w:space="0" w:color="auto"/>
            </w:tcBorders>
            <w:vAlign w:val="bottom"/>
          </w:tcPr>
          <w:p w14:paraId="281A17E4" w14:textId="77777777" w:rsidR="009C2A4E" w:rsidRDefault="009C2A4E">
            <w:pPr>
              <w:rPr>
                <w:sz w:val="23"/>
                <w:szCs w:val="23"/>
              </w:rPr>
            </w:pPr>
          </w:p>
        </w:tc>
        <w:tc>
          <w:tcPr>
            <w:tcW w:w="2370" w:type="dxa"/>
            <w:gridSpan w:val="2"/>
            <w:vMerge/>
            <w:tcBorders>
              <w:right w:val="single" w:sz="8" w:space="0" w:color="auto"/>
            </w:tcBorders>
            <w:vAlign w:val="bottom"/>
          </w:tcPr>
          <w:p w14:paraId="281A17E5" w14:textId="77777777" w:rsidR="009C2A4E" w:rsidRDefault="009C2A4E">
            <w:pPr>
              <w:rPr>
                <w:sz w:val="23"/>
                <w:szCs w:val="23"/>
              </w:rPr>
            </w:pPr>
          </w:p>
        </w:tc>
        <w:tc>
          <w:tcPr>
            <w:tcW w:w="4190" w:type="dxa"/>
            <w:gridSpan w:val="2"/>
            <w:vMerge/>
            <w:tcBorders>
              <w:right w:val="single" w:sz="8" w:space="0" w:color="auto"/>
            </w:tcBorders>
            <w:vAlign w:val="bottom"/>
          </w:tcPr>
          <w:p w14:paraId="281A17E6" w14:textId="3104FED8" w:rsidR="009C2A4E" w:rsidRDefault="009C2A4E" w:rsidP="00DF6443">
            <w:pPr>
              <w:ind w:left="40"/>
              <w:rPr>
                <w:sz w:val="20"/>
                <w:szCs w:val="20"/>
              </w:rPr>
            </w:pPr>
          </w:p>
        </w:tc>
      </w:tr>
      <w:tr w:rsidR="009C2A4E" w14:paraId="281A17EF"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7EA"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7EB" w14:textId="77777777" w:rsidR="009C2A4E" w:rsidRDefault="009C2A4E">
            <w:pPr>
              <w:rPr>
                <w:sz w:val="23"/>
                <w:szCs w:val="23"/>
              </w:rPr>
            </w:pPr>
          </w:p>
        </w:tc>
        <w:tc>
          <w:tcPr>
            <w:tcW w:w="2370" w:type="dxa"/>
            <w:gridSpan w:val="2"/>
            <w:vMerge/>
            <w:tcBorders>
              <w:right w:val="single" w:sz="8" w:space="0" w:color="auto"/>
            </w:tcBorders>
            <w:vAlign w:val="bottom"/>
          </w:tcPr>
          <w:p w14:paraId="281A17EC" w14:textId="77777777" w:rsidR="009C2A4E" w:rsidRDefault="009C2A4E">
            <w:pPr>
              <w:rPr>
                <w:sz w:val="23"/>
                <w:szCs w:val="23"/>
              </w:rPr>
            </w:pPr>
          </w:p>
        </w:tc>
        <w:tc>
          <w:tcPr>
            <w:tcW w:w="4190" w:type="dxa"/>
            <w:gridSpan w:val="2"/>
            <w:vMerge/>
            <w:tcBorders>
              <w:right w:val="single" w:sz="8" w:space="0" w:color="auto"/>
            </w:tcBorders>
            <w:vAlign w:val="bottom"/>
          </w:tcPr>
          <w:p w14:paraId="281A17ED" w14:textId="548D4990" w:rsidR="009C2A4E" w:rsidRDefault="009C2A4E" w:rsidP="00DF6443">
            <w:pPr>
              <w:ind w:left="40"/>
              <w:rPr>
                <w:sz w:val="20"/>
                <w:szCs w:val="20"/>
              </w:rPr>
            </w:pPr>
          </w:p>
        </w:tc>
      </w:tr>
      <w:tr w:rsidR="009C2A4E" w14:paraId="281A17F6"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7F1"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7F2" w14:textId="77777777" w:rsidR="009C2A4E" w:rsidRDefault="009C2A4E">
            <w:pPr>
              <w:rPr>
                <w:sz w:val="23"/>
                <w:szCs w:val="23"/>
              </w:rPr>
            </w:pPr>
          </w:p>
        </w:tc>
        <w:tc>
          <w:tcPr>
            <w:tcW w:w="2370" w:type="dxa"/>
            <w:gridSpan w:val="2"/>
            <w:vMerge/>
            <w:tcBorders>
              <w:right w:val="single" w:sz="8" w:space="0" w:color="auto"/>
            </w:tcBorders>
            <w:vAlign w:val="bottom"/>
          </w:tcPr>
          <w:p w14:paraId="281A17F3" w14:textId="77777777" w:rsidR="009C2A4E" w:rsidRDefault="009C2A4E">
            <w:pPr>
              <w:rPr>
                <w:sz w:val="23"/>
                <w:szCs w:val="23"/>
              </w:rPr>
            </w:pPr>
          </w:p>
        </w:tc>
        <w:tc>
          <w:tcPr>
            <w:tcW w:w="4190" w:type="dxa"/>
            <w:gridSpan w:val="2"/>
            <w:vMerge/>
            <w:tcBorders>
              <w:right w:val="single" w:sz="8" w:space="0" w:color="auto"/>
            </w:tcBorders>
            <w:vAlign w:val="bottom"/>
          </w:tcPr>
          <w:p w14:paraId="281A17F4" w14:textId="1499A733" w:rsidR="009C2A4E" w:rsidRDefault="009C2A4E" w:rsidP="00DF6443">
            <w:pPr>
              <w:ind w:left="40"/>
              <w:rPr>
                <w:sz w:val="20"/>
                <w:szCs w:val="20"/>
              </w:rPr>
            </w:pPr>
          </w:p>
        </w:tc>
      </w:tr>
      <w:tr w:rsidR="009C2A4E" w14:paraId="281A17FD"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7F8"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7F9" w14:textId="77777777" w:rsidR="009C2A4E" w:rsidRDefault="009C2A4E">
            <w:pPr>
              <w:rPr>
                <w:sz w:val="23"/>
                <w:szCs w:val="23"/>
              </w:rPr>
            </w:pPr>
          </w:p>
        </w:tc>
        <w:tc>
          <w:tcPr>
            <w:tcW w:w="2370" w:type="dxa"/>
            <w:gridSpan w:val="2"/>
            <w:vMerge/>
            <w:tcBorders>
              <w:right w:val="single" w:sz="8" w:space="0" w:color="auto"/>
            </w:tcBorders>
            <w:vAlign w:val="bottom"/>
          </w:tcPr>
          <w:p w14:paraId="281A17FA" w14:textId="77777777" w:rsidR="009C2A4E" w:rsidRDefault="009C2A4E">
            <w:pPr>
              <w:rPr>
                <w:sz w:val="23"/>
                <w:szCs w:val="23"/>
              </w:rPr>
            </w:pPr>
          </w:p>
        </w:tc>
        <w:tc>
          <w:tcPr>
            <w:tcW w:w="4190" w:type="dxa"/>
            <w:gridSpan w:val="2"/>
            <w:vMerge/>
            <w:tcBorders>
              <w:right w:val="single" w:sz="8" w:space="0" w:color="auto"/>
            </w:tcBorders>
            <w:vAlign w:val="bottom"/>
          </w:tcPr>
          <w:p w14:paraId="281A17FB" w14:textId="2A5541B5" w:rsidR="009C2A4E" w:rsidRDefault="009C2A4E" w:rsidP="00DF6443">
            <w:pPr>
              <w:ind w:left="40"/>
              <w:rPr>
                <w:sz w:val="20"/>
                <w:szCs w:val="20"/>
              </w:rPr>
            </w:pPr>
          </w:p>
        </w:tc>
      </w:tr>
      <w:tr w:rsidR="009C2A4E" w14:paraId="281A1804"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7FF"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00" w14:textId="77777777" w:rsidR="009C2A4E" w:rsidRDefault="009C2A4E">
            <w:pPr>
              <w:rPr>
                <w:sz w:val="23"/>
                <w:szCs w:val="23"/>
              </w:rPr>
            </w:pPr>
          </w:p>
        </w:tc>
        <w:tc>
          <w:tcPr>
            <w:tcW w:w="2370" w:type="dxa"/>
            <w:gridSpan w:val="2"/>
            <w:vMerge/>
            <w:tcBorders>
              <w:right w:val="single" w:sz="8" w:space="0" w:color="auto"/>
            </w:tcBorders>
            <w:vAlign w:val="bottom"/>
          </w:tcPr>
          <w:p w14:paraId="281A1801" w14:textId="77777777" w:rsidR="009C2A4E" w:rsidRDefault="009C2A4E">
            <w:pPr>
              <w:rPr>
                <w:sz w:val="23"/>
                <w:szCs w:val="23"/>
              </w:rPr>
            </w:pPr>
          </w:p>
        </w:tc>
        <w:tc>
          <w:tcPr>
            <w:tcW w:w="4190" w:type="dxa"/>
            <w:gridSpan w:val="2"/>
            <w:vMerge/>
            <w:tcBorders>
              <w:right w:val="single" w:sz="8" w:space="0" w:color="auto"/>
            </w:tcBorders>
            <w:vAlign w:val="bottom"/>
          </w:tcPr>
          <w:p w14:paraId="281A1802" w14:textId="7DA7A7B8" w:rsidR="009C2A4E" w:rsidRDefault="009C2A4E" w:rsidP="00DF6443">
            <w:pPr>
              <w:ind w:left="40"/>
              <w:rPr>
                <w:sz w:val="20"/>
                <w:szCs w:val="20"/>
              </w:rPr>
            </w:pPr>
          </w:p>
        </w:tc>
      </w:tr>
      <w:tr w:rsidR="009C2A4E" w14:paraId="281A180B"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06"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07" w14:textId="77777777" w:rsidR="009C2A4E" w:rsidRDefault="009C2A4E">
            <w:pPr>
              <w:rPr>
                <w:sz w:val="23"/>
                <w:szCs w:val="23"/>
              </w:rPr>
            </w:pPr>
          </w:p>
        </w:tc>
        <w:tc>
          <w:tcPr>
            <w:tcW w:w="2370" w:type="dxa"/>
            <w:gridSpan w:val="2"/>
            <w:vMerge/>
            <w:tcBorders>
              <w:right w:val="single" w:sz="8" w:space="0" w:color="auto"/>
            </w:tcBorders>
            <w:vAlign w:val="bottom"/>
          </w:tcPr>
          <w:p w14:paraId="281A1808" w14:textId="77777777" w:rsidR="009C2A4E" w:rsidRDefault="009C2A4E">
            <w:pPr>
              <w:rPr>
                <w:sz w:val="23"/>
                <w:szCs w:val="23"/>
              </w:rPr>
            </w:pPr>
          </w:p>
        </w:tc>
        <w:tc>
          <w:tcPr>
            <w:tcW w:w="4190" w:type="dxa"/>
            <w:gridSpan w:val="2"/>
            <w:vMerge/>
            <w:tcBorders>
              <w:right w:val="single" w:sz="8" w:space="0" w:color="auto"/>
            </w:tcBorders>
            <w:vAlign w:val="bottom"/>
          </w:tcPr>
          <w:p w14:paraId="281A1809" w14:textId="3D2AFD1C" w:rsidR="009C2A4E" w:rsidRDefault="009C2A4E" w:rsidP="00DF6443">
            <w:pPr>
              <w:ind w:left="40"/>
              <w:rPr>
                <w:sz w:val="20"/>
                <w:szCs w:val="20"/>
              </w:rPr>
            </w:pPr>
          </w:p>
        </w:tc>
      </w:tr>
      <w:tr w:rsidR="009C2A4E" w14:paraId="281A1812"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0D"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0E" w14:textId="77777777" w:rsidR="009C2A4E" w:rsidRDefault="009C2A4E">
            <w:pPr>
              <w:rPr>
                <w:sz w:val="23"/>
                <w:szCs w:val="23"/>
              </w:rPr>
            </w:pPr>
          </w:p>
        </w:tc>
        <w:tc>
          <w:tcPr>
            <w:tcW w:w="2370" w:type="dxa"/>
            <w:gridSpan w:val="2"/>
            <w:vMerge/>
            <w:tcBorders>
              <w:right w:val="single" w:sz="8" w:space="0" w:color="auto"/>
            </w:tcBorders>
            <w:vAlign w:val="bottom"/>
          </w:tcPr>
          <w:p w14:paraId="281A180F" w14:textId="77777777" w:rsidR="009C2A4E" w:rsidRDefault="009C2A4E">
            <w:pPr>
              <w:rPr>
                <w:sz w:val="23"/>
                <w:szCs w:val="23"/>
              </w:rPr>
            </w:pPr>
          </w:p>
        </w:tc>
        <w:tc>
          <w:tcPr>
            <w:tcW w:w="4190" w:type="dxa"/>
            <w:gridSpan w:val="2"/>
            <w:vMerge/>
            <w:tcBorders>
              <w:right w:val="single" w:sz="8" w:space="0" w:color="auto"/>
            </w:tcBorders>
            <w:vAlign w:val="bottom"/>
          </w:tcPr>
          <w:p w14:paraId="281A1810" w14:textId="47D10AA5" w:rsidR="009C2A4E" w:rsidRDefault="009C2A4E" w:rsidP="00DF6443">
            <w:pPr>
              <w:ind w:left="40"/>
              <w:rPr>
                <w:sz w:val="20"/>
                <w:szCs w:val="20"/>
              </w:rPr>
            </w:pPr>
          </w:p>
        </w:tc>
      </w:tr>
      <w:tr w:rsidR="009C2A4E" w14:paraId="281A1819"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14"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15" w14:textId="77777777" w:rsidR="009C2A4E" w:rsidRDefault="009C2A4E">
            <w:pPr>
              <w:rPr>
                <w:sz w:val="23"/>
                <w:szCs w:val="23"/>
              </w:rPr>
            </w:pPr>
          </w:p>
        </w:tc>
        <w:tc>
          <w:tcPr>
            <w:tcW w:w="2370" w:type="dxa"/>
            <w:gridSpan w:val="2"/>
            <w:vMerge/>
            <w:tcBorders>
              <w:right w:val="single" w:sz="8" w:space="0" w:color="auto"/>
            </w:tcBorders>
            <w:vAlign w:val="bottom"/>
          </w:tcPr>
          <w:p w14:paraId="281A1816" w14:textId="77777777" w:rsidR="009C2A4E" w:rsidRDefault="009C2A4E">
            <w:pPr>
              <w:rPr>
                <w:sz w:val="23"/>
                <w:szCs w:val="23"/>
              </w:rPr>
            </w:pPr>
          </w:p>
        </w:tc>
        <w:tc>
          <w:tcPr>
            <w:tcW w:w="4190" w:type="dxa"/>
            <w:gridSpan w:val="2"/>
            <w:vMerge/>
            <w:tcBorders>
              <w:right w:val="single" w:sz="8" w:space="0" w:color="auto"/>
            </w:tcBorders>
            <w:vAlign w:val="bottom"/>
          </w:tcPr>
          <w:p w14:paraId="281A1817" w14:textId="5F7C7385" w:rsidR="009C2A4E" w:rsidRDefault="009C2A4E" w:rsidP="00DF6443">
            <w:pPr>
              <w:ind w:left="40"/>
              <w:rPr>
                <w:sz w:val="20"/>
                <w:szCs w:val="20"/>
              </w:rPr>
            </w:pPr>
          </w:p>
        </w:tc>
      </w:tr>
      <w:tr w:rsidR="009C2A4E" w14:paraId="281A1820"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1B"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1C" w14:textId="77777777" w:rsidR="009C2A4E" w:rsidRDefault="009C2A4E">
            <w:pPr>
              <w:rPr>
                <w:sz w:val="23"/>
                <w:szCs w:val="23"/>
              </w:rPr>
            </w:pPr>
          </w:p>
        </w:tc>
        <w:tc>
          <w:tcPr>
            <w:tcW w:w="2370" w:type="dxa"/>
            <w:gridSpan w:val="2"/>
            <w:vMerge/>
            <w:tcBorders>
              <w:right w:val="single" w:sz="8" w:space="0" w:color="auto"/>
            </w:tcBorders>
            <w:vAlign w:val="bottom"/>
          </w:tcPr>
          <w:p w14:paraId="281A181D" w14:textId="77777777" w:rsidR="009C2A4E" w:rsidRDefault="009C2A4E">
            <w:pPr>
              <w:rPr>
                <w:sz w:val="23"/>
                <w:szCs w:val="23"/>
              </w:rPr>
            </w:pPr>
          </w:p>
        </w:tc>
        <w:tc>
          <w:tcPr>
            <w:tcW w:w="4190" w:type="dxa"/>
            <w:gridSpan w:val="2"/>
            <w:vMerge/>
            <w:tcBorders>
              <w:right w:val="single" w:sz="8" w:space="0" w:color="auto"/>
            </w:tcBorders>
            <w:vAlign w:val="bottom"/>
          </w:tcPr>
          <w:p w14:paraId="281A181E" w14:textId="21A5A95E" w:rsidR="009C2A4E" w:rsidRDefault="009C2A4E" w:rsidP="00DF6443">
            <w:pPr>
              <w:ind w:left="40"/>
              <w:rPr>
                <w:sz w:val="20"/>
                <w:szCs w:val="20"/>
              </w:rPr>
            </w:pPr>
          </w:p>
        </w:tc>
      </w:tr>
      <w:tr w:rsidR="009C2A4E" w14:paraId="281A1827"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22"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23" w14:textId="77777777" w:rsidR="009C2A4E" w:rsidRDefault="009C2A4E">
            <w:pPr>
              <w:rPr>
                <w:sz w:val="23"/>
                <w:szCs w:val="23"/>
              </w:rPr>
            </w:pPr>
          </w:p>
        </w:tc>
        <w:tc>
          <w:tcPr>
            <w:tcW w:w="2370" w:type="dxa"/>
            <w:gridSpan w:val="2"/>
            <w:vMerge/>
            <w:tcBorders>
              <w:right w:val="single" w:sz="8" w:space="0" w:color="auto"/>
            </w:tcBorders>
            <w:vAlign w:val="bottom"/>
          </w:tcPr>
          <w:p w14:paraId="281A1824" w14:textId="77777777" w:rsidR="009C2A4E" w:rsidRDefault="009C2A4E">
            <w:pPr>
              <w:rPr>
                <w:sz w:val="23"/>
                <w:szCs w:val="23"/>
              </w:rPr>
            </w:pPr>
          </w:p>
        </w:tc>
        <w:tc>
          <w:tcPr>
            <w:tcW w:w="4190" w:type="dxa"/>
            <w:gridSpan w:val="2"/>
            <w:vMerge/>
            <w:tcBorders>
              <w:right w:val="single" w:sz="8" w:space="0" w:color="auto"/>
            </w:tcBorders>
            <w:vAlign w:val="bottom"/>
          </w:tcPr>
          <w:p w14:paraId="281A1825" w14:textId="7383A502" w:rsidR="009C2A4E" w:rsidRDefault="009C2A4E" w:rsidP="00DF6443">
            <w:pPr>
              <w:ind w:left="40"/>
              <w:rPr>
                <w:sz w:val="20"/>
                <w:szCs w:val="20"/>
              </w:rPr>
            </w:pPr>
          </w:p>
        </w:tc>
      </w:tr>
      <w:tr w:rsidR="009C2A4E" w14:paraId="281A182E"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29"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2A" w14:textId="77777777" w:rsidR="009C2A4E" w:rsidRDefault="009C2A4E">
            <w:pPr>
              <w:rPr>
                <w:sz w:val="23"/>
                <w:szCs w:val="23"/>
              </w:rPr>
            </w:pPr>
          </w:p>
        </w:tc>
        <w:tc>
          <w:tcPr>
            <w:tcW w:w="2370" w:type="dxa"/>
            <w:gridSpan w:val="2"/>
            <w:vMerge/>
            <w:tcBorders>
              <w:right w:val="single" w:sz="8" w:space="0" w:color="auto"/>
            </w:tcBorders>
            <w:vAlign w:val="bottom"/>
          </w:tcPr>
          <w:p w14:paraId="281A182B" w14:textId="77777777" w:rsidR="009C2A4E" w:rsidRDefault="009C2A4E">
            <w:pPr>
              <w:rPr>
                <w:sz w:val="23"/>
                <w:szCs w:val="23"/>
              </w:rPr>
            </w:pPr>
          </w:p>
        </w:tc>
        <w:tc>
          <w:tcPr>
            <w:tcW w:w="4190" w:type="dxa"/>
            <w:gridSpan w:val="2"/>
            <w:vMerge/>
            <w:tcBorders>
              <w:right w:val="single" w:sz="8" w:space="0" w:color="auto"/>
            </w:tcBorders>
            <w:vAlign w:val="bottom"/>
          </w:tcPr>
          <w:p w14:paraId="281A182C" w14:textId="464E71DC" w:rsidR="009C2A4E" w:rsidRDefault="009C2A4E" w:rsidP="00DF6443">
            <w:pPr>
              <w:ind w:left="40"/>
              <w:rPr>
                <w:sz w:val="20"/>
                <w:szCs w:val="20"/>
              </w:rPr>
            </w:pPr>
          </w:p>
        </w:tc>
      </w:tr>
      <w:tr w:rsidR="009C2A4E" w14:paraId="281A1835"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30"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31" w14:textId="77777777" w:rsidR="009C2A4E" w:rsidRDefault="009C2A4E">
            <w:pPr>
              <w:rPr>
                <w:sz w:val="23"/>
                <w:szCs w:val="23"/>
              </w:rPr>
            </w:pPr>
          </w:p>
        </w:tc>
        <w:tc>
          <w:tcPr>
            <w:tcW w:w="2370" w:type="dxa"/>
            <w:gridSpan w:val="2"/>
            <w:vMerge/>
            <w:tcBorders>
              <w:right w:val="single" w:sz="8" w:space="0" w:color="auto"/>
            </w:tcBorders>
            <w:vAlign w:val="bottom"/>
          </w:tcPr>
          <w:p w14:paraId="281A1832" w14:textId="77777777" w:rsidR="009C2A4E" w:rsidRDefault="009C2A4E">
            <w:pPr>
              <w:rPr>
                <w:sz w:val="23"/>
                <w:szCs w:val="23"/>
              </w:rPr>
            </w:pPr>
          </w:p>
        </w:tc>
        <w:tc>
          <w:tcPr>
            <w:tcW w:w="4190" w:type="dxa"/>
            <w:gridSpan w:val="2"/>
            <w:vMerge/>
            <w:tcBorders>
              <w:right w:val="single" w:sz="8" w:space="0" w:color="auto"/>
            </w:tcBorders>
            <w:vAlign w:val="bottom"/>
          </w:tcPr>
          <w:p w14:paraId="281A1833" w14:textId="5A1CBEFC" w:rsidR="009C2A4E" w:rsidRDefault="009C2A4E" w:rsidP="00DF6443">
            <w:pPr>
              <w:ind w:left="40"/>
              <w:rPr>
                <w:sz w:val="20"/>
                <w:szCs w:val="20"/>
              </w:rPr>
            </w:pPr>
          </w:p>
        </w:tc>
      </w:tr>
      <w:tr w:rsidR="009C2A4E" w14:paraId="281A183C"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37"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38" w14:textId="77777777" w:rsidR="009C2A4E" w:rsidRDefault="009C2A4E">
            <w:pPr>
              <w:rPr>
                <w:sz w:val="23"/>
                <w:szCs w:val="23"/>
              </w:rPr>
            </w:pPr>
          </w:p>
        </w:tc>
        <w:tc>
          <w:tcPr>
            <w:tcW w:w="2370" w:type="dxa"/>
            <w:gridSpan w:val="2"/>
            <w:vMerge/>
            <w:tcBorders>
              <w:right w:val="single" w:sz="8" w:space="0" w:color="auto"/>
            </w:tcBorders>
            <w:vAlign w:val="bottom"/>
          </w:tcPr>
          <w:p w14:paraId="281A1839" w14:textId="77777777" w:rsidR="009C2A4E" w:rsidRDefault="009C2A4E">
            <w:pPr>
              <w:rPr>
                <w:sz w:val="23"/>
                <w:szCs w:val="23"/>
              </w:rPr>
            </w:pPr>
          </w:p>
        </w:tc>
        <w:tc>
          <w:tcPr>
            <w:tcW w:w="4190" w:type="dxa"/>
            <w:gridSpan w:val="2"/>
            <w:vMerge/>
            <w:tcBorders>
              <w:right w:val="single" w:sz="8" w:space="0" w:color="auto"/>
            </w:tcBorders>
            <w:vAlign w:val="bottom"/>
          </w:tcPr>
          <w:p w14:paraId="281A183A" w14:textId="3997356C" w:rsidR="009C2A4E" w:rsidRDefault="009C2A4E" w:rsidP="00DF6443">
            <w:pPr>
              <w:ind w:left="40"/>
              <w:rPr>
                <w:sz w:val="20"/>
                <w:szCs w:val="20"/>
              </w:rPr>
            </w:pPr>
          </w:p>
        </w:tc>
      </w:tr>
      <w:tr w:rsidR="009C2A4E" w14:paraId="281A1843"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3E"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3F" w14:textId="77777777" w:rsidR="009C2A4E" w:rsidRDefault="009C2A4E">
            <w:pPr>
              <w:rPr>
                <w:sz w:val="23"/>
                <w:szCs w:val="23"/>
              </w:rPr>
            </w:pPr>
          </w:p>
        </w:tc>
        <w:tc>
          <w:tcPr>
            <w:tcW w:w="2370" w:type="dxa"/>
            <w:gridSpan w:val="2"/>
            <w:vMerge/>
            <w:tcBorders>
              <w:right w:val="single" w:sz="8" w:space="0" w:color="auto"/>
            </w:tcBorders>
            <w:vAlign w:val="bottom"/>
          </w:tcPr>
          <w:p w14:paraId="281A1840" w14:textId="77777777" w:rsidR="009C2A4E" w:rsidRDefault="009C2A4E">
            <w:pPr>
              <w:rPr>
                <w:sz w:val="23"/>
                <w:szCs w:val="23"/>
              </w:rPr>
            </w:pPr>
          </w:p>
        </w:tc>
        <w:tc>
          <w:tcPr>
            <w:tcW w:w="4190" w:type="dxa"/>
            <w:gridSpan w:val="2"/>
            <w:vMerge/>
            <w:tcBorders>
              <w:right w:val="single" w:sz="8" w:space="0" w:color="auto"/>
            </w:tcBorders>
            <w:vAlign w:val="bottom"/>
          </w:tcPr>
          <w:p w14:paraId="281A1841" w14:textId="775523F8" w:rsidR="009C2A4E" w:rsidRDefault="009C2A4E" w:rsidP="00DF6443">
            <w:pPr>
              <w:ind w:left="40"/>
              <w:rPr>
                <w:sz w:val="20"/>
                <w:szCs w:val="20"/>
              </w:rPr>
            </w:pPr>
          </w:p>
        </w:tc>
      </w:tr>
      <w:tr w:rsidR="009C2A4E" w14:paraId="281A184A"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45"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46" w14:textId="77777777" w:rsidR="009C2A4E" w:rsidRDefault="009C2A4E">
            <w:pPr>
              <w:rPr>
                <w:sz w:val="23"/>
                <w:szCs w:val="23"/>
              </w:rPr>
            </w:pPr>
          </w:p>
        </w:tc>
        <w:tc>
          <w:tcPr>
            <w:tcW w:w="2370" w:type="dxa"/>
            <w:gridSpan w:val="2"/>
            <w:vMerge/>
            <w:tcBorders>
              <w:right w:val="single" w:sz="8" w:space="0" w:color="auto"/>
            </w:tcBorders>
            <w:vAlign w:val="bottom"/>
          </w:tcPr>
          <w:p w14:paraId="281A1847" w14:textId="77777777" w:rsidR="009C2A4E" w:rsidRDefault="009C2A4E">
            <w:pPr>
              <w:rPr>
                <w:sz w:val="23"/>
                <w:szCs w:val="23"/>
              </w:rPr>
            </w:pPr>
          </w:p>
        </w:tc>
        <w:tc>
          <w:tcPr>
            <w:tcW w:w="4190" w:type="dxa"/>
            <w:gridSpan w:val="2"/>
            <w:vMerge/>
            <w:tcBorders>
              <w:right w:val="single" w:sz="8" w:space="0" w:color="auto"/>
            </w:tcBorders>
            <w:vAlign w:val="bottom"/>
          </w:tcPr>
          <w:p w14:paraId="281A1848" w14:textId="5F5533E8" w:rsidR="009C2A4E" w:rsidRDefault="009C2A4E" w:rsidP="00DF6443">
            <w:pPr>
              <w:ind w:left="40"/>
              <w:rPr>
                <w:sz w:val="20"/>
                <w:szCs w:val="20"/>
              </w:rPr>
            </w:pPr>
          </w:p>
        </w:tc>
      </w:tr>
      <w:tr w:rsidR="009C2A4E" w14:paraId="281A1851"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4C"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4D" w14:textId="77777777" w:rsidR="009C2A4E" w:rsidRDefault="009C2A4E">
            <w:pPr>
              <w:rPr>
                <w:sz w:val="23"/>
                <w:szCs w:val="23"/>
              </w:rPr>
            </w:pPr>
          </w:p>
        </w:tc>
        <w:tc>
          <w:tcPr>
            <w:tcW w:w="2370" w:type="dxa"/>
            <w:gridSpan w:val="2"/>
            <w:vMerge/>
            <w:tcBorders>
              <w:right w:val="single" w:sz="8" w:space="0" w:color="auto"/>
            </w:tcBorders>
            <w:vAlign w:val="bottom"/>
          </w:tcPr>
          <w:p w14:paraId="281A184E" w14:textId="77777777" w:rsidR="009C2A4E" w:rsidRDefault="009C2A4E">
            <w:pPr>
              <w:rPr>
                <w:sz w:val="23"/>
                <w:szCs w:val="23"/>
              </w:rPr>
            </w:pPr>
          </w:p>
        </w:tc>
        <w:tc>
          <w:tcPr>
            <w:tcW w:w="4190" w:type="dxa"/>
            <w:gridSpan w:val="2"/>
            <w:vMerge/>
            <w:tcBorders>
              <w:right w:val="single" w:sz="8" w:space="0" w:color="auto"/>
            </w:tcBorders>
            <w:vAlign w:val="bottom"/>
          </w:tcPr>
          <w:p w14:paraId="281A184F" w14:textId="4BCFA785" w:rsidR="009C2A4E" w:rsidRDefault="009C2A4E" w:rsidP="00DF6443">
            <w:pPr>
              <w:ind w:left="40"/>
              <w:rPr>
                <w:sz w:val="20"/>
                <w:szCs w:val="20"/>
              </w:rPr>
            </w:pPr>
          </w:p>
        </w:tc>
      </w:tr>
      <w:tr w:rsidR="009C2A4E" w14:paraId="281A1858"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53"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54" w14:textId="77777777" w:rsidR="009C2A4E" w:rsidRDefault="009C2A4E">
            <w:pPr>
              <w:rPr>
                <w:sz w:val="23"/>
                <w:szCs w:val="23"/>
              </w:rPr>
            </w:pPr>
          </w:p>
        </w:tc>
        <w:tc>
          <w:tcPr>
            <w:tcW w:w="2370" w:type="dxa"/>
            <w:gridSpan w:val="2"/>
            <w:vMerge/>
            <w:tcBorders>
              <w:right w:val="single" w:sz="8" w:space="0" w:color="auto"/>
            </w:tcBorders>
            <w:vAlign w:val="bottom"/>
          </w:tcPr>
          <w:p w14:paraId="281A1855" w14:textId="77777777" w:rsidR="009C2A4E" w:rsidRDefault="009C2A4E">
            <w:pPr>
              <w:rPr>
                <w:sz w:val="23"/>
                <w:szCs w:val="23"/>
              </w:rPr>
            </w:pPr>
          </w:p>
        </w:tc>
        <w:tc>
          <w:tcPr>
            <w:tcW w:w="4190" w:type="dxa"/>
            <w:gridSpan w:val="2"/>
            <w:vMerge/>
            <w:tcBorders>
              <w:right w:val="single" w:sz="8" w:space="0" w:color="auto"/>
            </w:tcBorders>
            <w:vAlign w:val="bottom"/>
          </w:tcPr>
          <w:p w14:paraId="281A1856" w14:textId="56C1A2FB" w:rsidR="009C2A4E" w:rsidRDefault="009C2A4E" w:rsidP="00DF6443">
            <w:pPr>
              <w:ind w:left="40"/>
              <w:rPr>
                <w:sz w:val="20"/>
                <w:szCs w:val="20"/>
              </w:rPr>
            </w:pPr>
          </w:p>
        </w:tc>
      </w:tr>
      <w:tr w:rsidR="009C2A4E" w14:paraId="281A185F" w14:textId="77777777" w:rsidTr="00A70F5A">
        <w:trPr>
          <w:gridAfter w:val="1"/>
          <w:wAfter w:w="13" w:type="dxa"/>
          <w:trHeight w:val="279"/>
        </w:trPr>
        <w:tc>
          <w:tcPr>
            <w:tcW w:w="2700" w:type="dxa"/>
            <w:vMerge/>
            <w:tcBorders>
              <w:left w:val="single" w:sz="8" w:space="0" w:color="auto"/>
              <w:bottom w:val="single" w:sz="8" w:space="0" w:color="auto"/>
              <w:right w:val="single" w:sz="8" w:space="0" w:color="auto"/>
            </w:tcBorders>
            <w:vAlign w:val="bottom"/>
          </w:tcPr>
          <w:p w14:paraId="281A185A" w14:textId="77777777" w:rsidR="009C2A4E" w:rsidRDefault="009C2A4E">
            <w:pPr>
              <w:rPr>
                <w:sz w:val="24"/>
                <w:szCs w:val="24"/>
              </w:rPr>
            </w:pPr>
          </w:p>
        </w:tc>
        <w:tc>
          <w:tcPr>
            <w:tcW w:w="1260" w:type="dxa"/>
            <w:gridSpan w:val="2"/>
            <w:vMerge/>
            <w:tcBorders>
              <w:left w:val="single" w:sz="8" w:space="0" w:color="auto"/>
              <w:bottom w:val="single" w:sz="8" w:space="0" w:color="auto"/>
              <w:right w:val="single" w:sz="8" w:space="0" w:color="auto"/>
            </w:tcBorders>
            <w:vAlign w:val="bottom"/>
          </w:tcPr>
          <w:p w14:paraId="281A185B" w14:textId="77777777" w:rsidR="009C2A4E" w:rsidRDefault="009C2A4E">
            <w:pPr>
              <w:rPr>
                <w:sz w:val="24"/>
                <w:szCs w:val="24"/>
              </w:rPr>
            </w:pPr>
          </w:p>
        </w:tc>
        <w:tc>
          <w:tcPr>
            <w:tcW w:w="2370" w:type="dxa"/>
            <w:gridSpan w:val="2"/>
            <w:vMerge/>
            <w:tcBorders>
              <w:bottom w:val="single" w:sz="8" w:space="0" w:color="auto"/>
              <w:right w:val="single" w:sz="8" w:space="0" w:color="auto"/>
            </w:tcBorders>
            <w:vAlign w:val="bottom"/>
          </w:tcPr>
          <w:p w14:paraId="281A185C" w14:textId="77777777" w:rsidR="009C2A4E" w:rsidRDefault="009C2A4E">
            <w:pPr>
              <w:rPr>
                <w:sz w:val="24"/>
                <w:szCs w:val="24"/>
              </w:rPr>
            </w:pPr>
          </w:p>
        </w:tc>
        <w:tc>
          <w:tcPr>
            <w:tcW w:w="4190" w:type="dxa"/>
            <w:gridSpan w:val="2"/>
            <w:vMerge/>
            <w:tcBorders>
              <w:bottom w:val="single" w:sz="8" w:space="0" w:color="auto"/>
              <w:right w:val="single" w:sz="8" w:space="0" w:color="auto"/>
            </w:tcBorders>
            <w:vAlign w:val="bottom"/>
          </w:tcPr>
          <w:p w14:paraId="281A185D" w14:textId="202D5BFC" w:rsidR="009C2A4E" w:rsidRDefault="009C2A4E">
            <w:pPr>
              <w:ind w:left="40"/>
              <w:rPr>
                <w:sz w:val="20"/>
                <w:szCs w:val="20"/>
              </w:rPr>
            </w:pPr>
          </w:p>
        </w:tc>
      </w:tr>
      <w:tr w:rsidR="009C2A4E" w14:paraId="281A1866" w14:textId="77777777" w:rsidTr="00A70F5A">
        <w:trPr>
          <w:gridAfter w:val="1"/>
          <w:wAfter w:w="13" w:type="dxa"/>
          <w:trHeight w:val="268"/>
        </w:trPr>
        <w:tc>
          <w:tcPr>
            <w:tcW w:w="2700" w:type="dxa"/>
            <w:vMerge w:val="restart"/>
            <w:tcBorders>
              <w:left w:val="single" w:sz="8" w:space="0" w:color="auto"/>
              <w:right w:val="single" w:sz="8" w:space="0" w:color="auto"/>
            </w:tcBorders>
          </w:tcPr>
          <w:p w14:paraId="281A1861" w14:textId="2C51AFE2" w:rsidR="009C2A4E" w:rsidRDefault="009C2A4E" w:rsidP="009E188C">
            <w:pPr>
              <w:ind w:left="43"/>
              <w:rPr>
                <w:sz w:val="20"/>
                <w:szCs w:val="20"/>
              </w:rPr>
            </w:pPr>
            <w:r>
              <w:rPr>
                <w:rFonts w:eastAsia="Times New Roman"/>
                <w:sz w:val="18"/>
                <w:szCs w:val="18"/>
              </w:rPr>
              <w:t>1f. Seasonal System TT Violations</w:t>
            </w:r>
          </w:p>
        </w:tc>
        <w:tc>
          <w:tcPr>
            <w:tcW w:w="1260" w:type="dxa"/>
            <w:gridSpan w:val="2"/>
            <w:vMerge w:val="restart"/>
            <w:tcBorders>
              <w:left w:val="single" w:sz="8" w:space="0" w:color="auto"/>
              <w:right w:val="single" w:sz="8" w:space="0" w:color="auto"/>
            </w:tcBorders>
          </w:tcPr>
          <w:p w14:paraId="281A1862" w14:textId="77777777" w:rsidR="009C2A4E" w:rsidRDefault="009C2A4E" w:rsidP="009E188C">
            <w:pPr>
              <w:jc w:val="center"/>
              <w:rPr>
                <w:sz w:val="20"/>
                <w:szCs w:val="20"/>
              </w:rPr>
            </w:pPr>
            <w:r>
              <w:rPr>
                <w:rFonts w:eastAsia="Times New Roman"/>
                <w:sz w:val="18"/>
                <w:szCs w:val="18"/>
              </w:rPr>
              <w:t>N/A</w:t>
            </w:r>
          </w:p>
        </w:tc>
        <w:tc>
          <w:tcPr>
            <w:tcW w:w="2370" w:type="dxa"/>
            <w:gridSpan w:val="2"/>
            <w:vMerge w:val="restart"/>
            <w:tcBorders>
              <w:right w:val="single" w:sz="8" w:space="0" w:color="auto"/>
            </w:tcBorders>
          </w:tcPr>
          <w:p w14:paraId="281A1863" w14:textId="77777777" w:rsidR="009C2A4E" w:rsidRDefault="009C2A4E" w:rsidP="009E188C">
            <w:pPr>
              <w:jc w:val="center"/>
              <w:rPr>
                <w:sz w:val="20"/>
                <w:szCs w:val="20"/>
              </w:rPr>
            </w:pPr>
            <w:r>
              <w:rPr>
                <w:rFonts w:eastAsia="Times New Roman"/>
                <w:sz w:val="18"/>
                <w:szCs w:val="18"/>
              </w:rPr>
              <w:t>TT</w:t>
            </w:r>
          </w:p>
        </w:tc>
        <w:tc>
          <w:tcPr>
            <w:tcW w:w="4190" w:type="dxa"/>
            <w:gridSpan w:val="2"/>
            <w:vMerge w:val="restart"/>
            <w:tcBorders>
              <w:right w:val="single" w:sz="8" w:space="0" w:color="auto"/>
            </w:tcBorders>
          </w:tcPr>
          <w:p w14:paraId="712DDFBA" w14:textId="77777777" w:rsidR="009C2A4E" w:rsidRDefault="009C2A4E" w:rsidP="009E188C">
            <w:pPr>
              <w:spacing w:line="360" w:lineRule="auto"/>
              <w:ind w:left="40"/>
              <w:rPr>
                <w:rFonts w:eastAsia="Times New Roman"/>
                <w:sz w:val="18"/>
                <w:szCs w:val="18"/>
              </w:rPr>
            </w:pPr>
            <w:r>
              <w:rPr>
                <w:rFonts w:eastAsia="Times New Roman"/>
                <w:sz w:val="18"/>
                <w:szCs w:val="18"/>
              </w:rPr>
              <w:t xml:space="preserve">When this violation includes the failure to monitor for total coliforms or </w:t>
            </w:r>
            <w:r>
              <w:rPr>
                <w:rFonts w:eastAsia="Times New Roman"/>
                <w:i/>
                <w:iCs/>
                <w:sz w:val="18"/>
                <w:szCs w:val="18"/>
              </w:rPr>
              <w:t>E. coli</w:t>
            </w:r>
            <w:r>
              <w:rPr>
                <w:rFonts w:eastAsia="Times New Roman"/>
                <w:sz w:val="18"/>
                <w:szCs w:val="18"/>
              </w:rPr>
              <w:t xml:space="preserve"> prior to serving water to the public, the mandatory language found at 310 CM R 22.16(5)(d)2. must be used.</w:t>
            </w:r>
          </w:p>
          <w:p w14:paraId="226BFE38" w14:textId="77777777" w:rsidR="009C2A4E" w:rsidRDefault="009C2A4E" w:rsidP="009E188C">
            <w:pPr>
              <w:spacing w:line="360" w:lineRule="auto"/>
              <w:ind w:left="40"/>
              <w:rPr>
                <w:rFonts w:eastAsia="Times New Roman"/>
                <w:sz w:val="18"/>
                <w:szCs w:val="18"/>
              </w:rPr>
            </w:pPr>
          </w:p>
          <w:p w14:paraId="281A1864" w14:textId="07ECCC73" w:rsidR="009C2A4E" w:rsidRDefault="009C2A4E" w:rsidP="009E188C">
            <w:pPr>
              <w:spacing w:line="360" w:lineRule="auto"/>
              <w:ind w:left="40"/>
              <w:rPr>
                <w:sz w:val="20"/>
                <w:szCs w:val="20"/>
              </w:rPr>
            </w:pPr>
            <w:r>
              <w:rPr>
                <w:rFonts w:eastAsia="Times New Roman"/>
                <w:sz w:val="18"/>
                <w:szCs w:val="18"/>
              </w:rPr>
              <w:t>When this violation includes failure to complete other actions, the appropriate elements found in 310 CMR 22.16(5)(a) to describe the violation must be used.</w:t>
            </w:r>
          </w:p>
        </w:tc>
      </w:tr>
      <w:tr w:rsidR="009C2A4E" w14:paraId="281A186C"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67" w14:textId="14A8ACB1" w:rsidR="009C2A4E" w:rsidRDefault="009C2A4E">
            <w:pPr>
              <w:ind w:left="40"/>
              <w:rPr>
                <w:sz w:val="20"/>
                <w:szCs w:val="20"/>
              </w:rPr>
            </w:pPr>
          </w:p>
        </w:tc>
        <w:tc>
          <w:tcPr>
            <w:tcW w:w="1260" w:type="dxa"/>
            <w:gridSpan w:val="2"/>
            <w:vMerge/>
            <w:tcBorders>
              <w:left w:val="single" w:sz="8" w:space="0" w:color="auto"/>
              <w:right w:val="single" w:sz="8" w:space="0" w:color="auto"/>
            </w:tcBorders>
            <w:vAlign w:val="bottom"/>
          </w:tcPr>
          <w:p w14:paraId="281A1868" w14:textId="77777777" w:rsidR="009C2A4E" w:rsidRDefault="009C2A4E">
            <w:pPr>
              <w:rPr>
                <w:sz w:val="23"/>
                <w:szCs w:val="23"/>
              </w:rPr>
            </w:pPr>
          </w:p>
        </w:tc>
        <w:tc>
          <w:tcPr>
            <w:tcW w:w="2370" w:type="dxa"/>
            <w:gridSpan w:val="2"/>
            <w:vMerge/>
            <w:tcBorders>
              <w:right w:val="single" w:sz="8" w:space="0" w:color="auto"/>
            </w:tcBorders>
            <w:vAlign w:val="bottom"/>
          </w:tcPr>
          <w:p w14:paraId="281A1869" w14:textId="77777777" w:rsidR="009C2A4E" w:rsidRDefault="009C2A4E">
            <w:pPr>
              <w:rPr>
                <w:sz w:val="23"/>
                <w:szCs w:val="23"/>
              </w:rPr>
            </w:pPr>
          </w:p>
        </w:tc>
        <w:tc>
          <w:tcPr>
            <w:tcW w:w="4190" w:type="dxa"/>
            <w:gridSpan w:val="2"/>
            <w:vMerge/>
            <w:tcBorders>
              <w:right w:val="single" w:sz="8" w:space="0" w:color="auto"/>
            </w:tcBorders>
            <w:vAlign w:val="bottom"/>
          </w:tcPr>
          <w:p w14:paraId="281A186A" w14:textId="2A245F18" w:rsidR="009C2A4E" w:rsidRDefault="009C2A4E" w:rsidP="00DF6443">
            <w:pPr>
              <w:ind w:left="40"/>
              <w:rPr>
                <w:sz w:val="20"/>
                <w:szCs w:val="20"/>
              </w:rPr>
            </w:pPr>
          </w:p>
        </w:tc>
      </w:tr>
      <w:tr w:rsidR="009C2A4E" w14:paraId="281A1873"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6E"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6F" w14:textId="77777777" w:rsidR="009C2A4E" w:rsidRDefault="009C2A4E">
            <w:pPr>
              <w:rPr>
                <w:sz w:val="23"/>
                <w:szCs w:val="23"/>
              </w:rPr>
            </w:pPr>
          </w:p>
        </w:tc>
        <w:tc>
          <w:tcPr>
            <w:tcW w:w="2370" w:type="dxa"/>
            <w:gridSpan w:val="2"/>
            <w:vMerge/>
            <w:tcBorders>
              <w:right w:val="single" w:sz="8" w:space="0" w:color="auto"/>
            </w:tcBorders>
            <w:vAlign w:val="bottom"/>
          </w:tcPr>
          <w:p w14:paraId="281A1870" w14:textId="77777777" w:rsidR="009C2A4E" w:rsidRDefault="009C2A4E">
            <w:pPr>
              <w:rPr>
                <w:sz w:val="23"/>
                <w:szCs w:val="23"/>
              </w:rPr>
            </w:pPr>
          </w:p>
        </w:tc>
        <w:tc>
          <w:tcPr>
            <w:tcW w:w="4190" w:type="dxa"/>
            <w:gridSpan w:val="2"/>
            <w:vMerge/>
            <w:tcBorders>
              <w:right w:val="single" w:sz="8" w:space="0" w:color="auto"/>
            </w:tcBorders>
            <w:vAlign w:val="bottom"/>
          </w:tcPr>
          <w:p w14:paraId="281A1871" w14:textId="088FFB31" w:rsidR="009C2A4E" w:rsidRDefault="009C2A4E" w:rsidP="00DF6443">
            <w:pPr>
              <w:ind w:left="40"/>
              <w:rPr>
                <w:sz w:val="20"/>
                <w:szCs w:val="20"/>
              </w:rPr>
            </w:pPr>
          </w:p>
        </w:tc>
      </w:tr>
      <w:tr w:rsidR="009C2A4E" w14:paraId="281A187A"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75"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76" w14:textId="77777777" w:rsidR="009C2A4E" w:rsidRDefault="009C2A4E">
            <w:pPr>
              <w:rPr>
                <w:sz w:val="23"/>
                <w:szCs w:val="23"/>
              </w:rPr>
            </w:pPr>
          </w:p>
        </w:tc>
        <w:tc>
          <w:tcPr>
            <w:tcW w:w="2370" w:type="dxa"/>
            <w:gridSpan w:val="2"/>
            <w:vMerge/>
            <w:tcBorders>
              <w:right w:val="single" w:sz="8" w:space="0" w:color="auto"/>
            </w:tcBorders>
            <w:vAlign w:val="bottom"/>
          </w:tcPr>
          <w:p w14:paraId="281A1877" w14:textId="77777777" w:rsidR="009C2A4E" w:rsidRDefault="009C2A4E">
            <w:pPr>
              <w:rPr>
                <w:sz w:val="23"/>
                <w:szCs w:val="23"/>
              </w:rPr>
            </w:pPr>
          </w:p>
        </w:tc>
        <w:tc>
          <w:tcPr>
            <w:tcW w:w="4190" w:type="dxa"/>
            <w:gridSpan w:val="2"/>
            <w:vMerge/>
            <w:tcBorders>
              <w:right w:val="single" w:sz="8" w:space="0" w:color="auto"/>
            </w:tcBorders>
            <w:vAlign w:val="bottom"/>
          </w:tcPr>
          <w:p w14:paraId="281A1878" w14:textId="29ED9654" w:rsidR="009C2A4E" w:rsidRDefault="009C2A4E" w:rsidP="00DF6443">
            <w:pPr>
              <w:ind w:left="40"/>
              <w:rPr>
                <w:sz w:val="20"/>
                <w:szCs w:val="20"/>
              </w:rPr>
            </w:pPr>
          </w:p>
        </w:tc>
      </w:tr>
      <w:tr w:rsidR="009C2A4E" w14:paraId="281A1881" w14:textId="77777777" w:rsidTr="00A70F5A">
        <w:trPr>
          <w:gridAfter w:val="1"/>
          <w:wAfter w:w="13" w:type="dxa"/>
          <w:trHeight w:val="547"/>
        </w:trPr>
        <w:tc>
          <w:tcPr>
            <w:tcW w:w="2700" w:type="dxa"/>
            <w:vMerge/>
            <w:tcBorders>
              <w:left w:val="single" w:sz="8" w:space="0" w:color="auto"/>
              <w:right w:val="single" w:sz="8" w:space="0" w:color="auto"/>
            </w:tcBorders>
            <w:vAlign w:val="bottom"/>
          </w:tcPr>
          <w:p w14:paraId="281A187C" w14:textId="77777777" w:rsidR="009C2A4E" w:rsidRDefault="009C2A4E">
            <w:pPr>
              <w:rPr>
                <w:sz w:val="24"/>
                <w:szCs w:val="24"/>
              </w:rPr>
            </w:pPr>
          </w:p>
        </w:tc>
        <w:tc>
          <w:tcPr>
            <w:tcW w:w="1260" w:type="dxa"/>
            <w:gridSpan w:val="2"/>
            <w:vMerge/>
            <w:tcBorders>
              <w:left w:val="single" w:sz="8" w:space="0" w:color="auto"/>
              <w:right w:val="single" w:sz="8" w:space="0" w:color="auto"/>
            </w:tcBorders>
            <w:vAlign w:val="bottom"/>
          </w:tcPr>
          <w:p w14:paraId="281A187D" w14:textId="77777777" w:rsidR="009C2A4E" w:rsidRDefault="009C2A4E">
            <w:pPr>
              <w:rPr>
                <w:sz w:val="24"/>
                <w:szCs w:val="24"/>
              </w:rPr>
            </w:pPr>
          </w:p>
        </w:tc>
        <w:tc>
          <w:tcPr>
            <w:tcW w:w="2370" w:type="dxa"/>
            <w:gridSpan w:val="2"/>
            <w:vMerge/>
            <w:tcBorders>
              <w:right w:val="single" w:sz="8" w:space="0" w:color="auto"/>
            </w:tcBorders>
            <w:vAlign w:val="bottom"/>
          </w:tcPr>
          <w:p w14:paraId="281A187E" w14:textId="77777777" w:rsidR="009C2A4E" w:rsidRDefault="009C2A4E">
            <w:pPr>
              <w:rPr>
                <w:sz w:val="24"/>
                <w:szCs w:val="24"/>
              </w:rPr>
            </w:pPr>
          </w:p>
        </w:tc>
        <w:tc>
          <w:tcPr>
            <w:tcW w:w="4190" w:type="dxa"/>
            <w:gridSpan w:val="2"/>
            <w:vMerge/>
            <w:tcBorders>
              <w:right w:val="single" w:sz="8" w:space="0" w:color="auto"/>
            </w:tcBorders>
            <w:vAlign w:val="bottom"/>
          </w:tcPr>
          <w:p w14:paraId="281A187F" w14:textId="3F2F7CDA" w:rsidR="009C2A4E" w:rsidRDefault="009C2A4E" w:rsidP="00DF6443">
            <w:pPr>
              <w:ind w:left="40"/>
              <w:rPr>
                <w:sz w:val="20"/>
                <w:szCs w:val="20"/>
              </w:rPr>
            </w:pPr>
          </w:p>
        </w:tc>
      </w:tr>
      <w:tr w:rsidR="009C2A4E" w14:paraId="281A1888"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83"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84" w14:textId="77777777" w:rsidR="009C2A4E" w:rsidRDefault="009C2A4E">
            <w:pPr>
              <w:rPr>
                <w:sz w:val="23"/>
                <w:szCs w:val="23"/>
              </w:rPr>
            </w:pPr>
          </w:p>
        </w:tc>
        <w:tc>
          <w:tcPr>
            <w:tcW w:w="2370" w:type="dxa"/>
            <w:gridSpan w:val="2"/>
            <w:vMerge/>
            <w:tcBorders>
              <w:right w:val="single" w:sz="8" w:space="0" w:color="auto"/>
            </w:tcBorders>
            <w:vAlign w:val="bottom"/>
          </w:tcPr>
          <w:p w14:paraId="281A1885" w14:textId="77777777" w:rsidR="009C2A4E" w:rsidRDefault="009C2A4E">
            <w:pPr>
              <w:rPr>
                <w:sz w:val="23"/>
                <w:szCs w:val="23"/>
              </w:rPr>
            </w:pPr>
          </w:p>
        </w:tc>
        <w:tc>
          <w:tcPr>
            <w:tcW w:w="4190" w:type="dxa"/>
            <w:gridSpan w:val="2"/>
            <w:vMerge/>
            <w:tcBorders>
              <w:right w:val="single" w:sz="8" w:space="0" w:color="auto"/>
            </w:tcBorders>
            <w:vAlign w:val="bottom"/>
          </w:tcPr>
          <w:p w14:paraId="281A1886" w14:textId="543B4C23" w:rsidR="009C2A4E" w:rsidRDefault="009C2A4E" w:rsidP="00DF6443">
            <w:pPr>
              <w:ind w:left="40"/>
              <w:rPr>
                <w:sz w:val="20"/>
                <w:szCs w:val="20"/>
              </w:rPr>
            </w:pPr>
          </w:p>
        </w:tc>
      </w:tr>
      <w:tr w:rsidR="009C2A4E" w14:paraId="281A188F"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8A"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8B" w14:textId="77777777" w:rsidR="009C2A4E" w:rsidRDefault="009C2A4E">
            <w:pPr>
              <w:rPr>
                <w:sz w:val="23"/>
                <w:szCs w:val="23"/>
              </w:rPr>
            </w:pPr>
          </w:p>
        </w:tc>
        <w:tc>
          <w:tcPr>
            <w:tcW w:w="2370" w:type="dxa"/>
            <w:gridSpan w:val="2"/>
            <w:vMerge/>
            <w:tcBorders>
              <w:right w:val="single" w:sz="8" w:space="0" w:color="auto"/>
            </w:tcBorders>
            <w:vAlign w:val="bottom"/>
          </w:tcPr>
          <w:p w14:paraId="281A188C" w14:textId="77777777" w:rsidR="009C2A4E" w:rsidRDefault="009C2A4E">
            <w:pPr>
              <w:rPr>
                <w:sz w:val="23"/>
                <w:szCs w:val="23"/>
              </w:rPr>
            </w:pPr>
          </w:p>
        </w:tc>
        <w:tc>
          <w:tcPr>
            <w:tcW w:w="4190" w:type="dxa"/>
            <w:gridSpan w:val="2"/>
            <w:vMerge/>
            <w:tcBorders>
              <w:right w:val="single" w:sz="8" w:space="0" w:color="auto"/>
            </w:tcBorders>
            <w:vAlign w:val="bottom"/>
          </w:tcPr>
          <w:p w14:paraId="281A188D" w14:textId="689D09E4" w:rsidR="009C2A4E" w:rsidRDefault="009C2A4E" w:rsidP="00DF6443">
            <w:pPr>
              <w:ind w:left="40"/>
              <w:rPr>
                <w:sz w:val="20"/>
                <w:szCs w:val="20"/>
              </w:rPr>
            </w:pPr>
          </w:p>
        </w:tc>
      </w:tr>
      <w:tr w:rsidR="009C2A4E" w14:paraId="281A1896" w14:textId="77777777" w:rsidTr="00A70F5A">
        <w:trPr>
          <w:gridAfter w:val="1"/>
          <w:wAfter w:w="13" w:type="dxa"/>
          <w:trHeight w:val="277"/>
        </w:trPr>
        <w:tc>
          <w:tcPr>
            <w:tcW w:w="2700" w:type="dxa"/>
            <w:vMerge/>
            <w:tcBorders>
              <w:left w:val="single" w:sz="8" w:space="0" w:color="auto"/>
              <w:bottom w:val="single" w:sz="8" w:space="0" w:color="auto"/>
              <w:right w:val="single" w:sz="8" w:space="0" w:color="auto"/>
            </w:tcBorders>
            <w:vAlign w:val="bottom"/>
          </w:tcPr>
          <w:p w14:paraId="281A1891" w14:textId="77777777" w:rsidR="009C2A4E" w:rsidRDefault="009C2A4E">
            <w:pPr>
              <w:rPr>
                <w:sz w:val="24"/>
                <w:szCs w:val="24"/>
              </w:rPr>
            </w:pPr>
          </w:p>
        </w:tc>
        <w:tc>
          <w:tcPr>
            <w:tcW w:w="1260" w:type="dxa"/>
            <w:gridSpan w:val="2"/>
            <w:vMerge/>
            <w:tcBorders>
              <w:left w:val="single" w:sz="8" w:space="0" w:color="auto"/>
              <w:bottom w:val="single" w:sz="8" w:space="0" w:color="auto"/>
              <w:right w:val="single" w:sz="8" w:space="0" w:color="auto"/>
            </w:tcBorders>
            <w:vAlign w:val="bottom"/>
          </w:tcPr>
          <w:p w14:paraId="281A1892" w14:textId="77777777" w:rsidR="009C2A4E" w:rsidRDefault="009C2A4E">
            <w:pPr>
              <w:rPr>
                <w:sz w:val="24"/>
                <w:szCs w:val="24"/>
              </w:rPr>
            </w:pPr>
          </w:p>
        </w:tc>
        <w:tc>
          <w:tcPr>
            <w:tcW w:w="2370" w:type="dxa"/>
            <w:gridSpan w:val="2"/>
            <w:vMerge/>
            <w:tcBorders>
              <w:bottom w:val="single" w:sz="8" w:space="0" w:color="auto"/>
              <w:right w:val="single" w:sz="8" w:space="0" w:color="auto"/>
            </w:tcBorders>
            <w:vAlign w:val="bottom"/>
          </w:tcPr>
          <w:p w14:paraId="281A1893" w14:textId="77777777" w:rsidR="009C2A4E" w:rsidRDefault="009C2A4E">
            <w:pPr>
              <w:rPr>
                <w:sz w:val="24"/>
                <w:szCs w:val="24"/>
              </w:rPr>
            </w:pPr>
          </w:p>
        </w:tc>
        <w:tc>
          <w:tcPr>
            <w:tcW w:w="4190" w:type="dxa"/>
            <w:gridSpan w:val="2"/>
            <w:vMerge/>
            <w:tcBorders>
              <w:bottom w:val="single" w:sz="8" w:space="0" w:color="auto"/>
              <w:right w:val="single" w:sz="8" w:space="0" w:color="auto"/>
            </w:tcBorders>
            <w:vAlign w:val="bottom"/>
          </w:tcPr>
          <w:p w14:paraId="281A1894" w14:textId="60482130" w:rsidR="009C2A4E" w:rsidRDefault="009C2A4E">
            <w:pPr>
              <w:ind w:left="40"/>
              <w:rPr>
                <w:sz w:val="20"/>
                <w:szCs w:val="20"/>
              </w:rPr>
            </w:pPr>
          </w:p>
        </w:tc>
      </w:tr>
      <w:tr w:rsidR="009C2A4E" w14:paraId="281A189D" w14:textId="77777777" w:rsidTr="00A70F5A">
        <w:trPr>
          <w:gridAfter w:val="1"/>
          <w:wAfter w:w="13" w:type="dxa"/>
          <w:trHeight w:val="270"/>
        </w:trPr>
        <w:tc>
          <w:tcPr>
            <w:tcW w:w="2700" w:type="dxa"/>
            <w:vMerge w:val="restart"/>
            <w:tcBorders>
              <w:left w:val="single" w:sz="8" w:space="0" w:color="auto"/>
              <w:right w:val="single" w:sz="8" w:space="0" w:color="auto"/>
            </w:tcBorders>
          </w:tcPr>
          <w:p w14:paraId="281A1898" w14:textId="7C3433E1" w:rsidR="009C2A4E" w:rsidRDefault="009C2A4E" w:rsidP="009E188C">
            <w:pPr>
              <w:ind w:left="43"/>
              <w:rPr>
                <w:sz w:val="20"/>
                <w:szCs w:val="20"/>
              </w:rPr>
            </w:pPr>
            <w:r>
              <w:rPr>
                <w:rFonts w:eastAsia="Times New Roman"/>
                <w:sz w:val="18"/>
                <w:szCs w:val="18"/>
              </w:rPr>
              <w:t>2a. Turbidity (MCL)</w:t>
            </w:r>
            <w:r>
              <w:rPr>
                <w:rFonts w:eastAsia="Times New Roman"/>
                <w:sz w:val="24"/>
                <w:szCs w:val="24"/>
                <w:vertAlign w:val="superscript"/>
              </w:rPr>
              <w:t>4</w:t>
            </w:r>
          </w:p>
        </w:tc>
        <w:tc>
          <w:tcPr>
            <w:tcW w:w="1260" w:type="dxa"/>
            <w:gridSpan w:val="2"/>
            <w:vMerge w:val="restart"/>
            <w:tcBorders>
              <w:left w:val="single" w:sz="8" w:space="0" w:color="auto"/>
              <w:right w:val="single" w:sz="8" w:space="0" w:color="auto"/>
            </w:tcBorders>
          </w:tcPr>
          <w:p w14:paraId="281A1899" w14:textId="77777777" w:rsidR="009C2A4E" w:rsidRDefault="009C2A4E" w:rsidP="009E188C">
            <w:pPr>
              <w:jc w:val="center"/>
              <w:rPr>
                <w:sz w:val="20"/>
                <w:szCs w:val="20"/>
              </w:rPr>
            </w:pPr>
            <w:r>
              <w:rPr>
                <w:rFonts w:eastAsia="Times New Roman"/>
                <w:sz w:val="18"/>
                <w:szCs w:val="18"/>
              </w:rPr>
              <w:t>None</w:t>
            </w:r>
          </w:p>
        </w:tc>
        <w:tc>
          <w:tcPr>
            <w:tcW w:w="2370" w:type="dxa"/>
            <w:gridSpan w:val="2"/>
            <w:vMerge w:val="restart"/>
            <w:tcBorders>
              <w:right w:val="single" w:sz="8" w:space="0" w:color="auto"/>
            </w:tcBorders>
          </w:tcPr>
          <w:p w14:paraId="72A1CE71" w14:textId="77777777" w:rsidR="009C2A4E" w:rsidRDefault="009C2A4E" w:rsidP="009E188C">
            <w:pPr>
              <w:spacing w:line="360" w:lineRule="auto"/>
              <w:jc w:val="center"/>
              <w:rPr>
                <w:rFonts w:eastAsia="Times New Roman"/>
                <w:sz w:val="24"/>
                <w:szCs w:val="24"/>
                <w:vertAlign w:val="superscript"/>
              </w:rPr>
            </w:pPr>
            <w:r>
              <w:rPr>
                <w:rFonts w:eastAsia="Times New Roman"/>
                <w:sz w:val="18"/>
                <w:szCs w:val="18"/>
              </w:rPr>
              <w:t>one NTU</w:t>
            </w:r>
            <w:r>
              <w:rPr>
                <w:rFonts w:eastAsia="Times New Roman"/>
                <w:sz w:val="24"/>
                <w:szCs w:val="24"/>
                <w:vertAlign w:val="superscript"/>
              </w:rPr>
              <w:t>5</w:t>
            </w:r>
          </w:p>
          <w:p w14:paraId="281A189A" w14:textId="37487AF5" w:rsidR="009C2A4E" w:rsidRDefault="009C2A4E" w:rsidP="009E188C">
            <w:pPr>
              <w:spacing w:line="360" w:lineRule="auto"/>
              <w:ind w:right="72"/>
              <w:jc w:val="center"/>
              <w:rPr>
                <w:sz w:val="20"/>
                <w:szCs w:val="20"/>
              </w:rPr>
            </w:pPr>
            <w:r>
              <w:rPr>
                <w:rFonts w:eastAsia="Times New Roman"/>
                <w:sz w:val="18"/>
                <w:szCs w:val="18"/>
              </w:rPr>
              <w:t>five NTU</w:t>
            </w:r>
          </w:p>
        </w:tc>
        <w:tc>
          <w:tcPr>
            <w:tcW w:w="4190" w:type="dxa"/>
            <w:gridSpan w:val="2"/>
            <w:vMerge w:val="restart"/>
            <w:tcBorders>
              <w:right w:val="single" w:sz="8" w:space="0" w:color="auto"/>
            </w:tcBorders>
          </w:tcPr>
          <w:p w14:paraId="281A189B" w14:textId="003F2437" w:rsidR="009C2A4E" w:rsidRDefault="009C2A4E" w:rsidP="009E188C">
            <w:pPr>
              <w:spacing w:line="360" w:lineRule="auto"/>
              <w:ind w:left="40"/>
              <w:rPr>
                <w:sz w:val="20"/>
                <w:szCs w:val="20"/>
              </w:rPr>
            </w:pPr>
            <w:r>
              <w:rPr>
                <w:rFonts w:eastAsia="Times New Roman"/>
                <w:sz w:val="18"/>
                <w:szCs w:val="18"/>
              </w:rPr>
              <w:t>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9C2A4E" w14:paraId="281A18A4" w14:textId="77777777" w:rsidTr="00A70F5A">
        <w:trPr>
          <w:gridAfter w:val="1"/>
          <w:wAfter w:w="13" w:type="dxa"/>
          <w:trHeight w:val="273"/>
        </w:trPr>
        <w:tc>
          <w:tcPr>
            <w:tcW w:w="2700" w:type="dxa"/>
            <w:vMerge/>
            <w:tcBorders>
              <w:left w:val="single" w:sz="8" w:space="0" w:color="auto"/>
              <w:right w:val="single" w:sz="8" w:space="0" w:color="auto"/>
            </w:tcBorders>
            <w:vAlign w:val="bottom"/>
          </w:tcPr>
          <w:p w14:paraId="281A189F"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A0" w14:textId="77777777" w:rsidR="009C2A4E" w:rsidRDefault="009C2A4E">
            <w:pPr>
              <w:rPr>
                <w:sz w:val="23"/>
                <w:szCs w:val="23"/>
              </w:rPr>
            </w:pPr>
          </w:p>
        </w:tc>
        <w:tc>
          <w:tcPr>
            <w:tcW w:w="2370" w:type="dxa"/>
            <w:gridSpan w:val="2"/>
            <w:vMerge/>
            <w:tcBorders>
              <w:right w:val="single" w:sz="8" w:space="0" w:color="auto"/>
            </w:tcBorders>
            <w:vAlign w:val="bottom"/>
          </w:tcPr>
          <w:p w14:paraId="281A18A1" w14:textId="1E8C209D" w:rsidR="009C2A4E" w:rsidRDefault="009C2A4E">
            <w:pPr>
              <w:ind w:left="40"/>
              <w:rPr>
                <w:sz w:val="20"/>
                <w:szCs w:val="20"/>
              </w:rPr>
            </w:pPr>
          </w:p>
        </w:tc>
        <w:tc>
          <w:tcPr>
            <w:tcW w:w="4190" w:type="dxa"/>
            <w:gridSpan w:val="2"/>
            <w:vMerge/>
            <w:tcBorders>
              <w:right w:val="single" w:sz="8" w:space="0" w:color="auto"/>
            </w:tcBorders>
            <w:vAlign w:val="bottom"/>
          </w:tcPr>
          <w:p w14:paraId="281A18A2" w14:textId="59DF104D" w:rsidR="009C2A4E" w:rsidRDefault="009C2A4E" w:rsidP="00DF6443">
            <w:pPr>
              <w:ind w:left="40"/>
              <w:rPr>
                <w:sz w:val="20"/>
                <w:szCs w:val="20"/>
              </w:rPr>
            </w:pPr>
          </w:p>
        </w:tc>
      </w:tr>
      <w:tr w:rsidR="009C2A4E" w14:paraId="281A18AB"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A6"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A7" w14:textId="77777777" w:rsidR="009C2A4E" w:rsidRDefault="009C2A4E">
            <w:pPr>
              <w:rPr>
                <w:sz w:val="23"/>
                <w:szCs w:val="23"/>
              </w:rPr>
            </w:pPr>
          </w:p>
        </w:tc>
        <w:tc>
          <w:tcPr>
            <w:tcW w:w="2370" w:type="dxa"/>
            <w:gridSpan w:val="2"/>
            <w:vMerge/>
            <w:tcBorders>
              <w:right w:val="single" w:sz="8" w:space="0" w:color="auto"/>
            </w:tcBorders>
            <w:vAlign w:val="bottom"/>
          </w:tcPr>
          <w:p w14:paraId="281A18A8" w14:textId="77777777" w:rsidR="009C2A4E" w:rsidRDefault="009C2A4E">
            <w:pPr>
              <w:rPr>
                <w:sz w:val="23"/>
                <w:szCs w:val="23"/>
              </w:rPr>
            </w:pPr>
          </w:p>
        </w:tc>
        <w:tc>
          <w:tcPr>
            <w:tcW w:w="4190" w:type="dxa"/>
            <w:gridSpan w:val="2"/>
            <w:vMerge/>
            <w:tcBorders>
              <w:right w:val="single" w:sz="8" w:space="0" w:color="auto"/>
            </w:tcBorders>
            <w:vAlign w:val="bottom"/>
          </w:tcPr>
          <w:p w14:paraId="281A18A9" w14:textId="6C9E3AB8" w:rsidR="009C2A4E" w:rsidRDefault="009C2A4E" w:rsidP="00DF6443">
            <w:pPr>
              <w:ind w:left="40"/>
              <w:rPr>
                <w:sz w:val="20"/>
                <w:szCs w:val="20"/>
              </w:rPr>
            </w:pPr>
          </w:p>
        </w:tc>
      </w:tr>
      <w:tr w:rsidR="009C2A4E" w14:paraId="281A18B2"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AD"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AE" w14:textId="77777777" w:rsidR="009C2A4E" w:rsidRDefault="009C2A4E">
            <w:pPr>
              <w:rPr>
                <w:sz w:val="23"/>
                <w:szCs w:val="23"/>
              </w:rPr>
            </w:pPr>
          </w:p>
        </w:tc>
        <w:tc>
          <w:tcPr>
            <w:tcW w:w="2370" w:type="dxa"/>
            <w:gridSpan w:val="2"/>
            <w:vMerge/>
            <w:tcBorders>
              <w:right w:val="single" w:sz="8" w:space="0" w:color="auto"/>
            </w:tcBorders>
            <w:vAlign w:val="bottom"/>
          </w:tcPr>
          <w:p w14:paraId="281A18AF" w14:textId="77777777" w:rsidR="009C2A4E" w:rsidRDefault="009C2A4E">
            <w:pPr>
              <w:rPr>
                <w:sz w:val="23"/>
                <w:szCs w:val="23"/>
              </w:rPr>
            </w:pPr>
          </w:p>
        </w:tc>
        <w:tc>
          <w:tcPr>
            <w:tcW w:w="4190" w:type="dxa"/>
            <w:gridSpan w:val="2"/>
            <w:vMerge/>
            <w:tcBorders>
              <w:right w:val="single" w:sz="8" w:space="0" w:color="auto"/>
            </w:tcBorders>
            <w:vAlign w:val="bottom"/>
          </w:tcPr>
          <w:p w14:paraId="281A18B0" w14:textId="41D39EE7" w:rsidR="009C2A4E" w:rsidRDefault="009C2A4E" w:rsidP="00DF6443">
            <w:pPr>
              <w:ind w:left="40"/>
              <w:rPr>
                <w:sz w:val="20"/>
                <w:szCs w:val="20"/>
              </w:rPr>
            </w:pPr>
          </w:p>
        </w:tc>
      </w:tr>
      <w:tr w:rsidR="009C2A4E" w14:paraId="281A18B9"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B4"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B5" w14:textId="77777777" w:rsidR="009C2A4E" w:rsidRDefault="009C2A4E">
            <w:pPr>
              <w:rPr>
                <w:sz w:val="23"/>
                <w:szCs w:val="23"/>
              </w:rPr>
            </w:pPr>
          </w:p>
        </w:tc>
        <w:tc>
          <w:tcPr>
            <w:tcW w:w="2370" w:type="dxa"/>
            <w:gridSpan w:val="2"/>
            <w:vMerge/>
            <w:tcBorders>
              <w:right w:val="single" w:sz="8" w:space="0" w:color="auto"/>
            </w:tcBorders>
            <w:vAlign w:val="bottom"/>
          </w:tcPr>
          <w:p w14:paraId="281A18B6" w14:textId="77777777" w:rsidR="009C2A4E" w:rsidRDefault="009C2A4E">
            <w:pPr>
              <w:rPr>
                <w:sz w:val="23"/>
                <w:szCs w:val="23"/>
              </w:rPr>
            </w:pPr>
          </w:p>
        </w:tc>
        <w:tc>
          <w:tcPr>
            <w:tcW w:w="4190" w:type="dxa"/>
            <w:gridSpan w:val="2"/>
            <w:vMerge/>
            <w:tcBorders>
              <w:right w:val="single" w:sz="8" w:space="0" w:color="auto"/>
            </w:tcBorders>
            <w:vAlign w:val="bottom"/>
          </w:tcPr>
          <w:p w14:paraId="281A18B7" w14:textId="00E79A96" w:rsidR="009C2A4E" w:rsidRDefault="009C2A4E" w:rsidP="00DF6443">
            <w:pPr>
              <w:ind w:left="40"/>
              <w:rPr>
                <w:sz w:val="20"/>
                <w:szCs w:val="20"/>
              </w:rPr>
            </w:pPr>
          </w:p>
        </w:tc>
      </w:tr>
      <w:tr w:rsidR="009C2A4E" w14:paraId="281A18C0"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BB"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BC" w14:textId="77777777" w:rsidR="009C2A4E" w:rsidRDefault="009C2A4E">
            <w:pPr>
              <w:rPr>
                <w:sz w:val="23"/>
                <w:szCs w:val="23"/>
              </w:rPr>
            </w:pPr>
          </w:p>
        </w:tc>
        <w:tc>
          <w:tcPr>
            <w:tcW w:w="2370" w:type="dxa"/>
            <w:gridSpan w:val="2"/>
            <w:vMerge/>
            <w:tcBorders>
              <w:right w:val="single" w:sz="8" w:space="0" w:color="auto"/>
            </w:tcBorders>
            <w:vAlign w:val="bottom"/>
          </w:tcPr>
          <w:p w14:paraId="281A18BD" w14:textId="77777777" w:rsidR="009C2A4E" w:rsidRDefault="009C2A4E">
            <w:pPr>
              <w:rPr>
                <w:sz w:val="23"/>
                <w:szCs w:val="23"/>
              </w:rPr>
            </w:pPr>
          </w:p>
        </w:tc>
        <w:tc>
          <w:tcPr>
            <w:tcW w:w="4190" w:type="dxa"/>
            <w:gridSpan w:val="2"/>
            <w:vMerge/>
            <w:tcBorders>
              <w:right w:val="single" w:sz="8" w:space="0" w:color="auto"/>
            </w:tcBorders>
            <w:vAlign w:val="bottom"/>
          </w:tcPr>
          <w:p w14:paraId="281A18BE" w14:textId="45593AF1" w:rsidR="009C2A4E" w:rsidRDefault="009C2A4E" w:rsidP="00DF6443">
            <w:pPr>
              <w:ind w:left="40"/>
              <w:rPr>
                <w:sz w:val="20"/>
                <w:szCs w:val="20"/>
              </w:rPr>
            </w:pPr>
          </w:p>
        </w:tc>
      </w:tr>
      <w:tr w:rsidR="009C2A4E" w14:paraId="281A18C7" w14:textId="77777777" w:rsidTr="00A70F5A">
        <w:trPr>
          <w:gridAfter w:val="1"/>
          <w:wAfter w:w="13" w:type="dxa"/>
          <w:trHeight w:val="277"/>
        </w:trPr>
        <w:tc>
          <w:tcPr>
            <w:tcW w:w="2700" w:type="dxa"/>
            <w:vMerge/>
            <w:tcBorders>
              <w:left w:val="single" w:sz="8" w:space="0" w:color="auto"/>
              <w:bottom w:val="single" w:sz="8" w:space="0" w:color="auto"/>
              <w:right w:val="single" w:sz="8" w:space="0" w:color="auto"/>
            </w:tcBorders>
            <w:vAlign w:val="bottom"/>
          </w:tcPr>
          <w:p w14:paraId="281A18C2" w14:textId="77777777" w:rsidR="009C2A4E" w:rsidRDefault="009C2A4E">
            <w:pPr>
              <w:rPr>
                <w:sz w:val="24"/>
                <w:szCs w:val="24"/>
              </w:rPr>
            </w:pPr>
          </w:p>
        </w:tc>
        <w:tc>
          <w:tcPr>
            <w:tcW w:w="1260" w:type="dxa"/>
            <w:gridSpan w:val="2"/>
            <w:vMerge/>
            <w:tcBorders>
              <w:left w:val="single" w:sz="8" w:space="0" w:color="auto"/>
              <w:bottom w:val="single" w:sz="8" w:space="0" w:color="auto"/>
              <w:right w:val="single" w:sz="8" w:space="0" w:color="auto"/>
            </w:tcBorders>
            <w:vAlign w:val="bottom"/>
          </w:tcPr>
          <w:p w14:paraId="281A18C3" w14:textId="77777777" w:rsidR="009C2A4E" w:rsidRDefault="009C2A4E">
            <w:pPr>
              <w:rPr>
                <w:sz w:val="24"/>
                <w:szCs w:val="24"/>
              </w:rPr>
            </w:pPr>
          </w:p>
        </w:tc>
        <w:tc>
          <w:tcPr>
            <w:tcW w:w="2370" w:type="dxa"/>
            <w:gridSpan w:val="2"/>
            <w:vMerge/>
            <w:tcBorders>
              <w:bottom w:val="single" w:sz="8" w:space="0" w:color="auto"/>
              <w:right w:val="single" w:sz="8" w:space="0" w:color="auto"/>
            </w:tcBorders>
            <w:vAlign w:val="bottom"/>
          </w:tcPr>
          <w:p w14:paraId="281A18C4" w14:textId="77777777" w:rsidR="009C2A4E" w:rsidRDefault="009C2A4E">
            <w:pPr>
              <w:rPr>
                <w:sz w:val="24"/>
                <w:szCs w:val="24"/>
              </w:rPr>
            </w:pPr>
          </w:p>
        </w:tc>
        <w:tc>
          <w:tcPr>
            <w:tcW w:w="4190" w:type="dxa"/>
            <w:gridSpan w:val="2"/>
            <w:vMerge/>
            <w:tcBorders>
              <w:bottom w:val="single" w:sz="8" w:space="0" w:color="auto"/>
              <w:right w:val="single" w:sz="8" w:space="0" w:color="auto"/>
            </w:tcBorders>
            <w:vAlign w:val="bottom"/>
          </w:tcPr>
          <w:p w14:paraId="281A18C5" w14:textId="4F08486A" w:rsidR="009C2A4E" w:rsidRDefault="009C2A4E">
            <w:pPr>
              <w:ind w:left="40"/>
              <w:rPr>
                <w:sz w:val="20"/>
                <w:szCs w:val="20"/>
              </w:rPr>
            </w:pPr>
          </w:p>
        </w:tc>
      </w:tr>
      <w:tr w:rsidR="009C2A4E" w14:paraId="281A18CE" w14:textId="77777777" w:rsidTr="00A70F5A">
        <w:trPr>
          <w:gridAfter w:val="1"/>
          <w:wAfter w:w="13" w:type="dxa"/>
          <w:trHeight w:val="270"/>
        </w:trPr>
        <w:tc>
          <w:tcPr>
            <w:tcW w:w="2700" w:type="dxa"/>
            <w:vMerge w:val="restart"/>
            <w:tcBorders>
              <w:left w:val="single" w:sz="8" w:space="0" w:color="auto"/>
              <w:right w:val="single" w:sz="8" w:space="0" w:color="auto"/>
            </w:tcBorders>
          </w:tcPr>
          <w:p w14:paraId="281A18C9" w14:textId="525B9D71" w:rsidR="009C2A4E" w:rsidRDefault="009C2A4E" w:rsidP="009E188C">
            <w:pPr>
              <w:ind w:left="43"/>
              <w:rPr>
                <w:sz w:val="20"/>
                <w:szCs w:val="20"/>
              </w:rPr>
            </w:pPr>
            <w:r>
              <w:rPr>
                <w:rFonts w:eastAsia="Times New Roman"/>
                <w:sz w:val="18"/>
                <w:szCs w:val="18"/>
              </w:rPr>
              <w:t>2b. Turbidity (SWTR TT)</w:t>
            </w:r>
            <w:r>
              <w:rPr>
                <w:rFonts w:eastAsia="Times New Roman"/>
                <w:sz w:val="24"/>
                <w:szCs w:val="24"/>
                <w:vertAlign w:val="superscript"/>
              </w:rPr>
              <w:t>6</w:t>
            </w:r>
          </w:p>
        </w:tc>
        <w:tc>
          <w:tcPr>
            <w:tcW w:w="1260" w:type="dxa"/>
            <w:gridSpan w:val="2"/>
            <w:vMerge w:val="restart"/>
            <w:tcBorders>
              <w:left w:val="single" w:sz="8" w:space="0" w:color="auto"/>
              <w:right w:val="single" w:sz="8" w:space="0" w:color="auto"/>
            </w:tcBorders>
          </w:tcPr>
          <w:p w14:paraId="281A18CA" w14:textId="77777777" w:rsidR="009C2A4E" w:rsidRDefault="009C2A4E" w:rsidP="009E188C">
            <w:pPr>
              <w:jc w:val="center"/>
              <w:rPr>
                <w:sz w:val="20"/>
                <w:szCs w:val="20"/>
              </w:rPr>
            </w:pPr>
            <w:r>
              <w:rPr>
                <w:rFonts w:eastAsia="Times New Roman"/>
                <w:sz w:val="18"/>
                <w:szCs w:val="18"/>
              </w:rPr>
              <w:t>None</w:t>
            </w:r>
          </w:p>
        </w:tc>
        <w:tc>
          <w:tcPr>
            <w:tcW w:w="2370" w:type="dxa"/>
            <w:gridSpan w:val="2"/>
            <w:vMerge w:val="restart"/>
            <w:tcBorders>
              <w:right w:val="single" w:sz="8" w:space="0" w:color="auto"/>
            </w:tcBorders>
          </w:tcPr>
          <w:p w14:paraId="281A18CB" w14:textId="33EA4E81" w:rsidR="009C2A4E" w:rsidRDefault="009C2A4E" w:rsidP="009E188C">
            <w:pPr>
              <w:spacing w:line="271" w:lineRule="exact"/>
              <w:jc w:val="center"/>
              <w:rPr>
                <w:sz w:val="20"/>
                <w:szCs w:val="20"/>
              </w:rPr>
            </w:pPr>
            <w:r>
              <w:rPr>
                <w:rFonts w:eastAsia="Times New Roman"/>
                <w:sz w:val="18"/>
                <w:szCs w:val="18"/>
              </w:rPr>
              <w:t>TT</w:t>
            </w:r>
            <w:r>
              <w:rPr>
                <w:rFonts w:eastAsia="Times New Roman"/>
                <w:sz w:val="24"/>
                <w:szCs w:val="24"/>
                <w:vertAlign w:val="superscript"/>
              </w:rPr>
              <w:t>7</w:t>
            </w:r>
          </w:p>
        </w:tc>
        <w:tc>
          <w:tcPr>
            <w:tcW w:w="4190" w:type="dxa"/>
            <w:gridSpan w:val="2"/>
            <w:vMerge w:val="restart"/>
            <w:tcBorders>
              <w:right w:val="single" w:sz="8" w:space="0" w:color="auto"/>
            </w:tcBorders>
          </w:tcPr>
          <w:p w14:paraId="281A18CC" w14:textId="17EA6902" w:rsidR="009C2A4E" w:rsidRDefault="009C2A4E" w:rsidP="009E188C">
            <w:pPr>
              <w:spacing w:line="360" w:lineRule="auto"/>
              <w:ind w:left="40"/>
              <w:rPr>
                <w:sz w:val="20"/>
                <w:szCs w:val="20"/>
              </w:rPr>
            </w:pPr>
            <w:r>
              <w:rPr>
                <w:rFonts w:eastAsia="Times New Roman"/>
                <w:sz w:val="18"/>
                <w:szCs w:val="18"/>
              </w:rPr>
              <w:t>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9C2A4E" w14:paraId="281A18D5" w14:textId="77777777" w:rsidTr="00A70F5A">
        <w:trPr>
          <w:gridAfter w:val="1"/>
          <w:wAfter w:w="13" w:type="dxa"/>
          <w:trHeight w:val="273"/>
        </w:trPr>
        <w:tc>
          <w:tcPr>
            <w:tcW w:w="2700" w:type="dxa"/>
            <w:vMerge/>
            <w:tcBorders>
              <w:left w:val="single" w:sz="8" w:space="0" w:color="auto"/>
              <w:right w:val="single" w:sz="8" w:space="0" w:color="auto"/>
            </w:tcBorders>
            <w:vAlign w:val="bottom"/>
          </w:tcPr>
          <w:p w14:paraId="281A18D0"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D1" w14:textId="77777777" w:rsidR="009C2A4E" w:rsidRDefault="009C2A4E">
            <w:pPr>
              <w:rPr>
                <w:sz w:val="23"/>
                <w:szCs w:val="23"/>
              </w:rPr>
            </w:pPr>
          </w:p>
        </w:tc>
        <w:tc>
          <w:tcPr>
            <w:tcW w:w="2370" w:type="dxa"/>
            <w:gridSpan w:val="2"/>
            <w:vMerge/>
            <w:tcBorders>
              <w:right w:val="single" w:sz="8" w:space="0" w:color="auto"/>
            </w:tcBorders>
            <w:vAlign w:val="bottom"/>
          </w:tcPr>
          <w:p w14:paraId="281A18D2" w14:textId="77777777" w:rsidR="009C2A4E" w:rsidRDefault="009C2A4E">
            <w:pPr>
              <w:rPr>
                <w:sz w:val="23"/>
                <w:szCs w:val="23"/>
              </w:rPr>
            </w:pPr>
          </w:p>
        </w:tc>
        <w:tc>
          <w:tcPr>
            <w:tcW w:w="4190" w:type="dxa"/>
            <w:gridSpan w:val="2"/>
            <w:vMerge/>
            <w:tcBorders>
              <w:right w:val="single" w:sz="8" w:space="0" w:color="auto"/>
            </w:tcBorders>
            <w:vAlign w:val="bottom"/>
          </w:tcPr>
          <w:p w14:paraId="281A18D3" w14:textId="61E84044" w:rsidR="009C2A4E" w:rsidRDefault="009C2A4E" w:rsidP="00DF6443">
            <w:pPr>
              <w:ind w:left="40"/>
              <w:rPr>
                <w:sz w:val="20"/>
                <w:szCs w:val="20"/>
              </w:rPr>
            </w:pPr>
          </w:p>
        </w:tc>
      </w:tr>
      <w:tr w:rsidR="009C2A4E" w14:paraId="281A18DC"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D7"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D8" w14:textId="77777777" w:rsidR="009C2A4E" w:rsidRDefault="009C2A4E">
            <w:pPr>
              <w:rPr>
                <w:sz w:val="23"/>
                <w:szCs w:val="23"/>
              </w:rPr>
            </w:pPr>
          </w:p>
        </w:tc>
        <w:tc>
          <w:tcPr>
            <w:tcW w:w="2370" w:type="dxa"/>
            <w:gridSpan w:val="2"/>
            <w:vMerge/>
            <w:tcBorders>
              <w:right w:val="single" w:sz="8" w:space="0" w:color="auto"/>
            </w:tcBorders>
            <w:vAlign w:val="bottom"/>
          </w:tcPr>
          <w:p w14:paraId="281A18D9" w14:textId="77777777" w:rsidR="009C2A4E" w:rsidRDefault="009C2A4E">
            <w:pPr>
              <w:rPr>
                <w:sz w:val="23"/>
                <w:szCs w:val="23"/>
              </w:rPr>
            </w:pPr>
          </w:p>
        </w:tc>
        <w:tc>
          <w:tcPr>
            <w:tcW w:w="4190" w:type="dxa"/>
            <w:gridSpan w:val="2"/>
            <w:vMerge/>
            <w:tcBorders>
              <w:right w:val="single" w:sz="8" w:space="0" w:color="auto"/>
            </w:tcBorders>
            <w:vAlign w:val="bottom"/>
          </w:tcPr>
          <w:p w14:paraId="281A18DA" w14:textId="04F67154" w:rsidR="009C2A4E" w:rsidRDefault="009C2A4E" w:rsidP="00DF6443">
            <w:pPr>
              <w:ind w:left="40"/>
              <w:rPr>
                <w:sz w:val="20"/>
                <w:szCs w:val="20"/>
              </w:rPr>
            </w:pPr>
          </w:p>
        </w:tc>
      </w:tr>
      <w:tr w:rsidR="009C2A4E" w14:paraId="281A18E3"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DE"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DF" w14:textId="77777777" w:rsidR="009C2A4E" w:rsidRDefault="009C2A4E">
            <w:pPr>
              <w:rPr>
                <w:sz w:val="23"/>
                <w:szCs w:val="23"/>
              </w:rPr>
            </w:pPr>
          </w:p>
        </w:tc>
        <w:tc>
          <w:tcPr>
            <w:tcW w:w="2370" w:type="dxa"/>
            <w:gridSpan w:val="2"/>
            <w:vMerge/>
            <w:tcBorders>
              <w:right w:val="single" w:sz="8" w:space="0" w:color="auto"/>
            </w:tcBorders>
            <w:vAlign w:val="bottom"/>
          </w:tcPr>
          <w:p w14:paraId="281A18E0" w14:textId="77777777" w:rsidR="009C2A4E" w:rsidRDefault="009C2A4E">
            <w:pPr>
              <w:rPr>
                <w:sz w:val="23"/>
                <w:szCs w:val="23"/>
              </w:rPr>
            </w:pPr>
          </w:p>
        </w:tc>
        <w:tc>
          <w:tcPr>
            <w:tcW w:w="4190" w:type="dxa"/>
            <w:gridSpan w:val="2"/>
            <w:vMerge/>
            <w:tcBorders>
              <w:right w:val="single" w:sz="8" w:space="0" w:color="auto"/>
            </w:tcBorders>
            <w:vAlign w:val="bottom"/>
          </w:tcPr>
          <w:p w14:paraId="281A18E1" w14:textId="6C8DBFD7" w:rsidR="009C2A4E" w:rsidRDefault="009C2A4E" w:rsidP="00DF6443">
            <w:pPr>
              <w:ind w:left="40"/>
              <w:rPr>
                <w:sz w:val="20"/>
                <w:szCs w:val="20"/>
              </w:rPr>
            </w:pPr>
          </w:p>
        </w:tc>
      </w:tr>
      <w:tr w:rsidR="009C2A4E" w14:paraId="281A18EA"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E5"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E6" w14:textId="77777777" w:rsidR="009C2A4E" w:rsidRDefault="009C2A4E">
            <w:pPr>
              <w:rPr>
                <w:sz w:val="23"/>
                <w:szCs w:val="23"/>
              </w:rPr>
            </w:pPr>
          </w:p>
        </w:tc>
        <w:tc>
          <w:tcPr>
            <w:tcW w:w="2370" w:type="dxa"/>
            <w:gridSpan w:val="2"/>
            <w:vMerge/>
            <w:tcBorders>
              <w:right w:val="single" w:sz="8" w:space="0" w:color="auto"/>
            </w:tcBorders>
            <w:vAlign w:val="bottom"/>
          </w:tcPr>
          <w:p w14:paraId="281A18E7" w14:textId="77777777" w:rsidR="009C2A4E" w:rsidRDefault="009C2A4E">
            <w:pPr>
              <w:rPr>
                <w:sz w:val="23"/>
                <w:szCs w:val="23"/>
              </w:rPr>
            </w:pPr>
          </w:p>
        </w:tc>
        <w:tc>
          <w:tcPr>
            <w:tcW w:w="4190" w:type="dxa"/>
            <w:gridSpan w:val="2"/>
            <w:vMerge/>
            <w:tcBorders>
              <w:right w:val="single" w:sz="8" w:space="0" w:color="auto"/>
            </w:tcBorders>
            <w:vAlign w:val="bottom"/>
          </w:tcPr>
          <w:p w14:paraId="281A18E8" w14:textId="149ECC61" w:rsidR="009C2A4E" w:rsidRDefault="009C2A4E" w:rsidP="00DF6443">
            <w:pPr>
              <w:ind w:left="40"/>
              <w:rPr>
                <w:sz w:val="20"/>
                <w:szCs w:val="20"/>
              </w:rPr>
            </w:pPr>
          </w:p>
        </w:tc>
      </w:tr>
      <w:tr w:rsidR="009C2A4E" w14:paraId="281A18F1"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8EC"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8ED" w14:textId="77777777" w:rsidR="009C2A4E" w:rsidRDefault="009C2A4E">
            <w:pPr>
              <w:rPr>
                <w:sz w:val="23"/>
                <w:szCs w:val="23"/>
              </w:rPr>
            </w:pPr>
          </w:p>
        </w:tc>
        <w:tc>
          <w:tcPr>
            <w:tcW w:w="2370" w:type="dxa"/>
            <w:gridSpan w:val="2"/>
            <w:vMerge/>
            <w:tcBorders>
              <w:right w:val="single" w:sz="8" w:space="0" w:color="auto"/>
            </w:tcBorders>
            <w:vAlign w:val="bottom"/>
          </w:tcPr>
          <w:p w14:paraId="281A18EE" w14:textId="77777777" w:rsidR="009C2A4E" w:rsidRDefault="009C2A4E">
            <w:pPr>
              <w:rPr>
                <w:sz w:val="23"/>
                <w:szCs w:val="23"/>
              </w:rPr>
            </w:pPr>
          </w:p>
        </w:tc>
        <w:tc>
          <w:tcPr>
            <w:tcW w:w="4190" w:type="dxa"/>
            <w:gridSpan w:val="2"/>
            <w:vMerge/>
            <w:tcBorders>
              <w:right w:val="single" w:sz="8" w:space="0" w:color="auto"/>
            </w:tcBorders>
            <w:vAlign w:val="bottom"/>
          </w:tcPr>
          <w:p w14:paraId="281A18EF" w14:textId="18CCDE19" w:rsidR="009C2A4E" w:rsidRDefault="009C2A4E" w:rsidP="00DF6443">
            <w:pPr>
              <w:ind w:left="40"/>
              <w:rPr>
                <w:sz w:val="20"/>
                <w:szCs w:val="20"/>
              </w:rPr>
            </w:pPr>
          </w:p>
        </w:tc>
      </w:tr>
      <w:tr w:rsidR="009C2A4E" w14:paraId="281A18F8" w14:textId="77777777" w:rsidTr="00A70F5A">
        <w:trPr>
          <w:gridAfter w:val="1"/>
          <w:wAfter w:w="13" w:type="dxa"/>
          <w:trHeight w:val="279"/>
        </w:trPr>
        <w:tc>
          <w:tcPr>
            <w:tcW w:w="2700" w:type="dxa"/>
            <w:vMerge/>
            <w:tcBorders>
              <w:left w:val="single" w:sz="8" w:space="0" w:color="auto"/>
              <w:bottom w:val="single" w:sz="8" w:space="0" w:color="auto"/>
              <w:right w:val="single" w:sz="8" w:space="0" w:color="auto"/>
            </w:tcBorders>
            <w:vAlign w:val="bottom"/>
          </w:tcPr>
          <w:p w14:paraId="281A18F3" w14:textId="77777777" w:rsidR="009C2A4E" w:rsidRDefault="009C2A4E">
            <w:pPr>
              <w:rPr>
                <w:sz w:val="24"/>
                <w:szCs w:val="24"/>
              </w:rPr>
            </w:pPr>
          </w:p>
        </w:tc>
        <w:tc>
          <w:tcPr>
            <w:tcW w:w="1260" w:type="dxa"/>
            <w:gridSpan w:val="2"/>
            <w:vMerge/>
            <w:tcBorders>
              <w:left w:val="single" w:sz="8" w:space="0" w:color="auto"/>
              <w:bottom w:val="single" w:sz="8" w:space="0" w:color="auto"/>
              <w:right w:val="single" w:sz="8" w:space="0" w:color="auto"/>
            </w:tcBorders>
            <w:vAlign w:val="bottom"/>
          </w:tcPr>
          <w:p w14:paraId="281A18F4" w14:textId="77777777" w:rsidR="009C2A4E" w:rsidRDefault="009C2A4E">
            <w:pPr>
              <w:rPr>
                <w:sz w:val="24"/>
                <w:szCs w:val="24"/>
              </w:rPr>
            </w:pPr>
          </w:p>
        </w:tc>
        <w:tc>
          <w:tcPr>
            <w:tcW w:w="2370" w:type="dxa"/>
            <w:gridSpan w:val="2"/>
            <w:vMerge/>
            <w:tcBorders>
              <w:bottom w:val="single" w:sz="8" w:space="0" w:color="auto"/>
              <w:right w:val="single" w:sz="8" w:space="0" w:color="auto"/>
            </w:tcBorders>
            <w:vAlign w:val="bottom"/>
          </w:tcPr>
          <w:p w14:paraId="281A18F5" w14:textId="77777777" w:rsidR="009C2A4E" w:rsidRDefault="009C2A4E">
            <w:pPr>
              <w:rPr>
                <w:sz w:val="24"/>
                <w:szCs w:val="24"/>
              </w:rPr>
            </w:pPr>
          </w:p>
        </w:tc>
        <w:tc>
          <w:tcPr>
            <w:tcW w:w="4190" w:type="dxa"/>
            <w:gridSpan w:val="2"/>
            <w:vMerge/>
            <w:tcBorders>
              <w:bottom w:val="single" w:sz="8" w:space="0" w:color="auto"/>
              <w:right w:val="single" w:sz="8" w:space="0" w:color="auto"/>
            </w:tcBorders>
            <w:vAlign w:val="bottom"/>
          </w:tcPr>
          <w:p w14:paraId="281A18F6" w14:textId="5AF3DD4F" w:rsidR="009C2A4E" w:rsidRDefault="009C2A4E">
            <w:pPr>
              <w:ind w:left="40"/>
              <w:rPr>
                <w:sz w:val="20"/>
                <w:szCs w:val="20"/>
              </w:rPr>
            </w:pPr>
          </w:p>
        </w:tc>
      </w:tr>
      <w:tr w:rsidR="009C2A4E" w14:paraId="281A18FF" w14:textId="77777777" w:rsidTr="00A70F5A">
        <w:trPr>
          <w:gridAfter w:val="1"/>
          <w:wAfter w:w="13" w:type="dxa"/>
          <w:trHeight w:val="345"/>
        </w:trPr>
        <w:tc>
          <w:tcPr>
            <w:tcW w:w="2700" w:type="dxa"/>
            <w:vMerge w:val="restart"/>
            <w:tcBorders>
              <w:left w:val="single" w:sz="8" w:space="0" w:color="auto"/>
              <w:right w:val="single" w:sz="8" w:space="0" w:color="auto"/>
            </w:tcBorders>
          </w:tcPr>
          <w:p w14:paraId="281A18FA" w14:textId="048E3B99" w:rsidR="009C2A4E" w:rsidRDefault="009C2A4E" w:rsidP="009E188C">
            <w:pPr>
              <w:spacing w:line="360" w:lineRule="auto"/>
              <w:ind w:left="43"/>
              <w:rPr>
                <w:sz w:val="20"/>
                <w:szCs w:val="20"/>
              </w:rPr>
            </w:pPr>
            <w:r>
              <w:rPr>
                <w:rFonts w:eastAsia="Times New Roman"/>
                <w:sz w:val="18"/>
                <w:szCs w:val="18"/>
              </w:rPr>
              <w:t>2c. Turbidity (IESWTR TT) and LT1ESWTR TT)</w:t>
            </w:r>
            <w:r>
              <w:rPr>
                <w:rFonts w:eastAsia="Times New Roman"/>
                <w:sz w:val="24"/>
                <w:szCs w:val="24"/>
                <w:vertAlign w:val="superscript"/>
              </w:rPr>
              <w:t>8</w:t>
            </w:r>
          </w:p>
        </w:tc>
        <w:tc>
          <w:tcPr>
            <w:tcW w:w="1260" w:type="dxa"/>
            <w:gridSpan w:val="2"/>
            <w:vMerge w:val="restart"/>
            <w:tcBorders>
              <w:left w:val="single" w:sz="8" w:space="0" w:color="auto"/>
              <w:right w:val="single" w:sz="8" w:space="0" w:color="auto"/>
            </w:tcBorders>
          </w:tcPr>
          <w:p w14:paraId="281A18FB" w14:textId="77777777" w:rsidR="009C2A4E" w:rsidRDefault="009C2A4E" w:rsidP="009E188C">
            <w:pPr>
              <w:jc w:val="center"/>
              <w:rPr>
                <w:sz w:val="20"/>
                <w:szCs w:val="20"/>
              </w:rPr>
            </w:pPr>
            <w:r>
              <w:rPr>
                <w:rFonts w:eastAsia="Times New Roman"/>
                <w:sz w:val="18"/>
                <w:szCs w:val="18"/>
              </w:rPr>
              <w:t>None</w:t>
            </w:r>
          </w:p>
        </w:tc>
        <w:tc>
          <w:tcPr>
            <w:tcW w:w="2370" w:type="dxa"/>
            <w:gridSpan w:val="2"/>
            <w:vMerge w:val="restart"/>
            <w:tcBorders>
              <w:right w:val="single" w:sz="8" w:space="0" w:color="auto"/>
            </w:tcBorders>
          </w:tcPr>
          <w:p w14:paraId="281A18FC" w14:textId="77777777" w:rsidR="009C2A4E" w:rsidRDefault="009C2A4E" w:rsidP="009E188C">
            <w:pPr>
              <w:jc w:val="center"/>
              <w:rPr>
                <w:sz w:val="20"/>
                <w:szCs w:val="20"/>
              </w:rPr>
            </w:pPr>
            <w:r>
              <w:rPr>
                <w:rFonts w:eastAsia="Times New Roman"/>
                <w:sz w:val="18"/>
                <w:szCs w:val="18"/>
              </w:rPr>
              <w:t>TT</w:t>
            </w:r>
          </w:p>
        </w:tc>
        <w:tc>
          <w:tcPr>
            <w:tcW w:w="4190" w:type="dxa"/>
            <w:gridSpan w:val="2"/>
            <w:vMerge w:val="restart"/>
            <w:tcBorders>
              <w:right w:val="single" w:sz="8" w:space="0" w:color="auto"/>
            </w:tcBorders>
          </w:tcPr>
          <w:p w14:paraId="281A18FD" w14:textId="6AA163B1" w:rsidR="009C2A4E" w:rsidRDefault="009C2A4E" w:rsidP="009E188C">
            <w:pPr>
              <w:spacing w:line="360" w:lineRule="auto"/>
              <w:ind w:left="40"/>
              <w:rPr>
                <w:sz w:val="20"/>
                <w:szCs w:val="20"/>
              </w:rPr>
            </w:pPr>
            <w:r>
              <w:rPr>
                <w:rFonts w:eastAsia="Times New Roman"/>
                <w:sz w:val="18"/>
                <w:szCs w:val="18"/>
              </w:rPr>
              <w:t>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9C2A4E" w14:paraId="281A1905"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900" w14:textId="2474C952" w:rsidR="009C2A4E" w:rsidRDefault="009C2A4E">
            <w:pPr>
              <w:spacing w:line="274" w:lineRule="exact"/>
              <w:ind w:left="40"/>
              <w:rPr>
                <w:sz w:val="20"/>
                <w:szCs w:val="20"/>
              </w:rPr>
            </w:pPr>
          </w:p>
        </w:tc>
        <w:tc>
          <w:tcPr>
            <w:tcW w:w="1260" w:type="dxa"/>
            <w:gridSpan w:val="2"/>
            <w:vMerge/>
            <w:tcBorders>
              <w:left w:val="single" w:sz="8" w:space="0" w:color="auto"/>
              <w:right w:val="single" w:sz="8" w:space="0" w:color="auto"/>
            </w:tcBorders>
            <w:vAlign w:val="bottom"/>
          </w:tcPr>
          <w:p w14:paraId="281A1901" w14:textId="77777777" w:rsidR="009C2A4E" w:rsidRDefault="009C2A4E">
            <w:pPr>
              <w:rPr>
                <w:sz w:val="23"/>
                <w:szCs w:val="23"/>
              </w:rPr>
            </w:pPr>
          </w:p>
        </w:tc>
        <w:tc>
          <w:tcPr>
            <w:tcW w:w="2370" w:type="dxa"/>
            <w:gridSpan w:val="2"/>
            <w:vMerge/>
            <w:tcBorders>
              <w:right w:val="single" w:sz="8" w:space="0" w:color="auto"/>
            </w:tcBorders>
            <w:vAlign w:val="bottom"/>
          </w:tcPr>
          <w:p w14:paraId="281A1902" w14:textId="77777777" w:rsidR="009C2A4E" w:rsidRDefault="009C2A4E" w:rsidP="009E188C">
            <w:pPr>
              <w:rPr>
                <w:sz w:val="23"/>
                <w:szCs w:val="23"/>
              </w:rPr>
            </w:pPr>
          </w:p>
        </w:tc>
        <w:tc>
          <w:tcPr>
            <w:tcW w:w="4190" w:type="dxa"/>
            <w:gridSpan w:val="2"/>
            <w:vMerge/>
            <w:tcBorders>
              <w:right w:val="single" w:sz="8" w:space="0" w:color="auto"/>
            </w:tcBorders>
            <w:vAlign w:val="bottom"/>
          </w:tcPr>
          <w:p w14:paraId="281A1903" w14:textId="7EBD39B6" w:rsidR="009C2A4E" w:rsidRDefault="009C2A4E" w:rsidP="00DF6443">
            <w:pPr>
              <w:ind w:left="40"/>
              <w:rPr>
                <w:sz w:val="20"/>
                <w:szCs w:val="20"/>
              </w:rPr>
            </w:pPr>
          </w:p>
        </w:tc>
      </w:tr>
      <w:tr w:rsidR="009C2A4E" w14:paraId="281A190C" w14:textId="77777777" w:rsidTr="00A70F5A">
        <w:trPr>
          <w:gridAfter w:val="1"/>
          <w:wAfter w:w="13" w:type="dxa"/>
          <w:trHeight w:val="273"/>
        </w:trPr>
        <w:tc>
          <w:tcPr>
            <w:tcW w:w="2700" w:type="dxa"/>
            <w:vMerge/>
            <w:tcBorders>
              <w:left w:val="single" w:sz="8" w:space="0" w:color="auto"/>
              <w:right w:val="single" w:sz="8" w:space="0" w:color="auto"/>
            </w:tcBorders>
            <w:vAlign w:val="bottom"/>
          </w:tcPr>
          <w:p w14:paraId="281A1907"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908" w14:textId="77777777" w:rsidR="009C2A4E" w:rsidRDefault="009C2A4E">
            <w:pPr>
              <w:rPr>
                <w:sz w:val="23"/>
                <w:szCs w:val="23"/>
              </w:rPr>
            </w:pPr>
          </w:p>
        </w:tc>
        <w:tc>
          <w:tcPr>
            <w:tcW w:w="2370" w:type="dxa"/>
            <w:gridSpan w:val="2"/>
            <w:vMerge/>
            <w:tcBorders>
              <w:right w:val="single" w:sz="8" w:space="0" w:color="auto"/>
            </w:tcBorders>
            <w:vAlign w:val="bottom"/>
          </w:tcPr>
          <w:p w14:paraId="281A1909" w14:textId="77777777" w:rsidR="009C2A4E" w:rsidRDefault="009C2A4E" w:rsidP="009E188C">
            <w:pPr>
              <w:rPr>
                <w:sz w:val="23"/>
                <w:szCs w:val="23"/>
              </w:rPr>
            </w:pPr>
          </w:p>
        </w:tc>
        <w:tc>
          <w:tcPr>
            <w:tcW w:w="4190" w:type="dxa"/>
            <w:gridSpan w:val="2"/>
            <w:vMerge/>
            <w:tcBorders>
              <w:right w:val="single" w:sz="8" w:space="0" w:color="auto"/>
            </w:tcBorders>
            <w:vAlign w:val="bottom"/>
          </w:tcPr>
          <w:p w14:paraId="281A190A" w14:textId="6303EED2" w:rsidR="009C2A4E" w:rsidRDefault="009C2A4E" w:rsidP="00DF6443">
            <w:pPr>
              <w:ind w:left="40"/>
              <w:rPr>
                <w:sz w:val="20"/>
                <w:szCs w:val="20"/>
              </w:rPr>
            </w:pPr>
          </w:p>
        </w:tc>
      </w:tr>
      <w:tr w:rsidR="009C2A4E" w14:paraId="281A1913"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90E"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90F" w14:textId="77777777" w:rsidR="009C2A4E" w:rsidRDefault="009C2A4E">
            <w:pPr>
              <w:rPr>
                <w:sz w:val="23"/>
                <w:szCs w:val="23"/>
              </w:rPr>
            </w:pPr>
          </w:p>
        </w:tc>
        <w:tc>
          <w:tcPr>
            <w:tcW w:w="2370" w:type="dxa"/>
            <w:gridSpan w:val="2"/>
            <w:vMerge/>
            <w:tcBorders>
              <w:right w:val="single" w:sz="8" w:space="0" w:color="auto"/>
            </w:tcBorders>
            <w:vAlign w:val="bottom"/>
          </w:tcPr>
          <w:p w14:paraId="281A1910" w14:textId="77777777" w:rsidR="009C2A4E" w:rsidRDefault="009C2A4E" w:rsidP="009E188C">
            <w:pPr>
              <w:rPr>
                <w:sz w:val="23"/>
                <w:szCs w:val="23"/>
              </w:rPr>
            </w:pPr>
          </w:p>
        </w:tc>
        <w:tc>
          <w:tcPr>
            <w:tcW w:w="4190" w:type="dxa"/>
            <w:gridSpan w:val="2"/>
            <w:vMerge/>
            <w:tcBorders>
              <w:right w:val="single" w:sz="8" w:space="0" w:color="auto"/>
            </w:tcBorders>
            <w:vAlign w:val="bottom"/>
          </w:tcPr>
          <w:p w14:paraId="281A1911" w14:textId="729950F6" w:rsidR="009C2A4E" w:rsidRDefault="009C2A4E" w:rsidP="00DF6443">
            <w:pPr>
              <w:ind w:left="40"/>
              <w:rPr>
                <w:sz w:val="20"/>
                <w:szCs w:val="20"/>
              </w:rPr>
            </w:pPr>
          </w:p>
        </w:tc>
      </w:tr>
      <w:tr w:rsidR="009C2A4E" w14:paraId="281A191A"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915"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916" w14:textId="77777777" w:rsidR="009C2A4E" w:rsidRDefault="009C2A4E">
            <w:pPr>
              <w:rPr>
                <w:sz w:val="23"/>
                <w:szCs w:val="23"/>
              </w:rPr>
            </w:pPr>
          </w:p>
        </w:tc>
        <w:tc>
          <w:tcPr>
            <w:tcW w:w="2370" w:type="dxa"/>
            <w:gridSpan w:val="2"/>
            <w:vMerge/>
            <w:tcBorders>
              <w:right w:val="single" w:sz="8" w:space="0" w:color="auto"/>
            </w:tcBorders>
            <w:vAlign w:val="bottom"/>
          </w:tcPr>
          <w:p w14:paraId="281A1917" w14:textId="77777777" w:rsidR="009C2A4E" w:rsidRDefault="009C2A4E" w:rsidP="009E188C">
            <w:pPr>
              <w:rPr>
                <w:sz w:val="23"/>
                <w:szCs w:val="23"/>
              </w:rPr>
            </w:pPr>
          </w:p>
        </w:tc>
        <w:tc>
          <w:tcPr>
            <w:tcW w:w="4190" w:type="dxa"/>
            <w:gridSpan w:val="2"/>
            <w:vMerge/>
            <w:tcBorders>
              <w:right w:val="single" w:sz="8" w:space="0" w:color="auto"/>
            </w:tcBorders>
            <w:vAlign w:val="bottom"/>
          </w:tcPr>
          <w:p w14:paraId="281A1918" w14:textId="7E526353" w:rsidR="009C2A4E" w:rsidRDefault="009C2A4E" w:rsidP="00DF6443">
            <w:pPr>
              <w:ind w:left="40"/>
              <w:rPr>
                <w:sz w:val="20"/>
                <w:szCs w:val="20"/>
              </w:rPr>
            </w:pPr>
          </w:p>
        </w:tc>
      </w:tr>
      <w:tr w:rsidR="009C2A4E" w14:paraId="281A1921" w14:textId="77777777" w:rsidTr="00A70F5A">
        <w:trPr>
          <w:gridAfter w:val="1"/>
          <w:wAfter w:w="13" w:type="dxa"/>
          <w:trHeight w:val="274"/>
        </w:trPr>
        <w:tc>
          <w:tcPr>
            <w:tcW w:w="2700" w:type="dxa"/>
            <w:vMerge/>
            <w:tcBorders>
              <w:left w:val="single" w:sz="8" w:space="0" w:color="auto"/>
              <w:right w:val="single" w:sz="8" w:space="0" w:color="auto"/>
            </w:tcBorders>
            <w:vAlign w:val="bottom"/>
          </w:tcPr>
          <w:p w14:paraId="281A191C" w14:textId="77777777" w:rsidR="009C2A4E" w:rsidRDefault="009C2A4E">
            <w:pPr>
              <w:rPr>
                <w:sz w:val="23"/>
                <w:szCs w:val="23"/>
              </w:rPr>
            </w:pPr>
          </w:p>
        </w:tc>
        <w:tc>
          <w:tcPr>
            <w:tcW w:w="1260" w:type="dxa"/>
            <w:gridSpan w:val="2"/>
            <w:vMerge/>
            <w:tcBorders>
              <w:left w:val="single" w:sz="8" w:space="0" w:color="auto"/>
              <w:right w:val="single" w:sz="8" w:space="0" w:color="auto"/>
            </w:tcBorders>
            <w:vAlign w:val="bottom"/>
          </w:tcPr>
          <w:p w14:paraId="281A191D" w14:textId="77777777" w:rsidR="009C2A4E" w:rsidRDefault="009C2A4E">
            <w:pPr>
              <w:rPr>
                <w:sz w:val="23"/>
                <w:szCs w:val="23"/>
              </w:rPr>
            </w:pPr>
          </w:p>
        </w:tc>
        <w:tc>
          <w:tcPr>
            <w:tcW w:w="2370" w:type="dxa"/>
            <w:gridSpan w:val="2"/>
            <w:vMerge/>
            <w:tcBorders>
              <w:right w:val="single" w:sz="8" w:space="0" w:color="auto"/>
            </w:tcBorders>
            <w:vAlign w:val="bottom"/>
          </w:tcPr>
          <w:p w14:paraId="281A191E" w14:textId="77777777" w:rsidR="009C2A4E" w:rsidRDefault="009C2A4E" w:rsidP="009E188C">
            <w:pPr>
              <w:rPr>
                <w:sz w:val="23"/>
                <w:szCs w:val="23"/>
              </w:rPr>
            </w:pPr>
          </w:p>
        </w:tc>
        <w:tc>
          <w:tcPr>
            <w:tcW w:w="4190" w:type="dxa"/>
            <w:gridSpan w:val="2"/>
            <w:vMerge/>
            <w:tcBorders>
              <w:right w:val="single" w:sz="8" w:space="0" w:color="auto"/>
            </w:tcBorders>
            <w:vAlign w:val="bottom"/>
          </w:tcPr>
          <w:p w14:paraId="281A191F" w14:textId="2FCBBD8D" w:rsidR="009C2A4E" w:rsidRDefault="009C2A4E" w:rsidP="00DF6443">
            <w:pPr>
              <w:ind w:left="40"/>
              <w:rPr>
                <w:sz w:val="20"/>
                <w:szCs w:val="20"/>
              </w:rPr>
            </w:pPr>
          </w:p>
        </w:tc>
      </w:tr>
      <w:tr w:rsidR="009C2A4E" w14:paraId="281A1928" w14:textId="77777777" w:rsidTr="00A70F5A">
        <w:trPr>
          <w:gridAfter w:val="1"/>
          <w:wAfter w:w="13" w:type="dxa"/>
          <w:trHeight w:val="277"/>
        </w:trPr>
        <w:tc>
          <w:tcPr>
            <w:tcW w:w="2700" w:type="dxa"/>
            <w:vMerge/>
            <w:tcBorders>
              <w:left w:val="single" w:sz="8" w:space="0" w:color="auto"/>
              <w:bottom w:val="single" w:sz="8" w:space="0" w:color="auto"/>
              <w:right w:val="single" w:sz="8" w:space="0" w:color="auto"/>
            </w:tcBorders>
            <w:vAlign w:val="bottom"/>
          </w:tcPr>
          <w:p w14:paraId="281A1923" w14:textId="77777777" w:rsidR="009C2A4E" w:rsidRDefault="009C2A4E">
            <w:pPr>
              <w:rPr>
                <w:sz w:val="24"/>
                <w:szCs w:val="24"/>
              </w:rPr>
            </w:pPr>
          </w:p>
        </w:tc>
        <w:tc>
          <w:tcPr>
            <w:tcW w:w="1260" w:type="dxa"/>
            <w:gridSpan w:val="2"/>
            <w:vMerge/>
            <w:tcBorders>
              <w:left w:val="single" w:sz="8" w:space="0" w:color="auto"/>
              <w:bottom w:val="single" w:sz="8" w:space="0" w:color="auto"/>
              <w:right w:val="single" w:sz="8" w:space="0" w:color="auto"/>
            </w:tcBorders>
            <w:vAlign w:val="bottom"/>
          </w:tcPr>
          <w:p w14:paraId="281A1924" w14:textId="77777777" w:rsidR="009C2A4E" w:rsidRDefault="009C2A4E">
            <w:pPr>
              <w:rPr>
                <w:sz w:val="24"/>
                <w:szCs w:val="24"/>
              </w:rPr>
            </w:pPr>
          </w:p>
        </w:tc>
        <w:tc>
          <w:tcPr>
            <w:tcW w:w="2370" w:type="dxa"/>
            <w:gridSpan w:val="2"/>
            <w:vMerge/>
            <w:tcBorders>
              <w:bottom w:val="single" w:sz="8" w:space="0" w:color="auto"/>
              <w:right w:val="single" w:sz="8" w:space="0" w:color="auto"/>
            </w:tcBorders>
            <w:vAlign w:val="bottom"/>
          </w:tcPr>
          <w:p w14:paraId="281A1925" w14:textId="77777777" w:rsidR="009C2A4E" w:rsidRDefault="009C2A4E" w:rsidP="009E188C">
            <w:pPr>
              <w:rPr>
                <w:sz w:val="24"/>
                <w:szCs w:val="24"/>
              </w:rPr>
            </w:pPr>
          </w:p>
        </w:tc>
        <w:tc>
          <w:tcPr>
            <w:tcW w:w="4190" w:type="dxa"/>
            <w:gridSpan w:val="2"/>
            <w:vMerge/>
            <w:tcBorders>
              <w:bottom w:val="single" w:sz="8" w:space="0" w:color="auto"/>
              <w:right w:val="single" w:sz="8" w:space="0" w:color="auto"/>
            </w:tcBorders>
            <w:vAlign w:val="bottom"/>
          </w:tcPr>
          <w:p w14:paraId="281A1926" w14:textId="24C30340" w:rsidR="009C2A4E" w:rsidRDefault="009C2A4E">
            <w:pPr>
              <w:ind w:left="40"/>
              <w:rPr>
                <w:sz w:val="20"/>
                <w:szCs w:val="20"/>
              </w:rPr>
            </w:pPr>
          </w:p>
        </w:tc>
      </w:tr>
    </w:tbl>
    <w:p w14:paraId="281A1929" w14:textId="77777777" w:rsidR="004647B9" w:rsidRDefault="004647B9">
      <w:pPr>
        <w:sectPr w:rsidR="004647B9" w:rsidSect="00EF630C">
          <w:pgSz w:w="12240" w:h="20180"/>
          <w:pgMar w:top="708" w:right="1080" w:bottom="1440" w:left="600" w:header="0" w:footer="0" w:gutter="0"/>
          <w:cols w:space="720"/>
        </w:sectPr>
      </w:pPr>
    </w:p>
    <w:p w14:paraId="281A192A" w14:textId="77777777" w:rsidR="004647B9" w:rsidRDefault="00E2436F">
      <w:pPr>
        <w:tabs>
          <w:tab w:val="left" w:pos="2860"/>
        </w:tabs>
        <w:ind w:left="1680"/>
        <w:rPr>
          <w:sz w:val="20"/>
          <w:szCs w:val="20"/>
        </w:rPr>
      </w:pPr>
      <w:bookmarkStart w:id="199" w:name="page201"/>
      <w:bookmarkEnd w:id="19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92B" w14:textId="77777777" w:rsidR="004647B9" w:rsidRDefault="004647B9" w:rsidP="00650DDB">
      <w:pPr>
        <w:rPr>
          <w:sz w:val="20"/>
          <w:szCs w:val="20"/>
        </w:rPr>
      </w:pPr>
    </w:p>
    <w:p w14:paraId="281A192C" w14:textId="77777777" w:rsidR="004647B9" w:rsidRDefault="004647B9" w:rsidP="00650DDB">
      <w:pPr>
        <w:rPr>
          <w:sz w:val="20"/>
          <w:szCs w:val="20"/>
        </w:rPr>
      </w:pPr>
    </w:p>
    <w:p w14:paraId="281A192D" w14:textId="77777777" w:rsidR="004647B9" w:rsidRPr="00650DDB" w:rsidRDefault="00E2436F" w:rsidP="00650DDB">
      <w:pPr>
        <w:tabs>
          <w:tab w:val="left" w:pos="760"/>
        </w:tabs>
        <w:rPr>
          <w:sz w:val="24"/>
          <w:szCs w:val="24"/>
        </w:rPr>
      </w:pPr>
      <w:r w:rsidRPr="00650DDB">
        <w:rPr>
          <w:rFonts w:eastAsia="Times New Roman"/>
          <w:sz w:val="24"/>
          <w:szCs w:val="24"/>
        </w:rPr>
        <w:t>22.16:</w:t>
      </w:r>
      <w:r w:rsidRPr="00650DDB">
        <w:rPr>
          <w:rFonts w:eastAsia="Times New Roman"/>
          <w:sz w:val="24"/>
          <w:szCs w:val="24"/>
        </w:rPr>
        <w:tab/>
        <w:t>continued</w:t>
      </w:r>
    </w:p>
    <w:p w14:paraId="281A192E" w14:textId="77777777" w:rsidR="004647B9" w:rsidRDefault="004647B9" w:rsidP="00650DDB">
      <w:pPr>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2730"/>
        <w:gridCol w:w="1350"/>
        <w:gridCol w:w="2350"/>
        <w:gridCol w:w="4050"/>
      </w:tblGrid>
      <w:tr w:rsidR="00561B6B" w14:paraId="1E0B24E6" w14:textId="77777777" w:rsidTr="00B52000">
        <w:trPr>
          <w:trHeight w:val="475"/>
        </w:trPr>
        <w:tc>
          <w:tcPr>
            <w:tcW w:w="2730" w:type="dxa"/>
            <w:tcBorders>
              <w:top w:val="single" w:sz="8" w:space="0" w:color="auto"/>
              <w:left w:val="single" w:sz="8" w:space="0" w:color="auto"/>
              <w:bottom w:val="single" w:sz="8" w:space="0" w:color="auto"/>
              <w:right w:val="single" w:sz="8" w:space="0" w:color="auto"/>
            </w:tcBorders>
            <w:vAlign w:val="center"/>
          </w:tcPr>
          <w:p w14:paraId="71334C83" w14:textId="595CFBD2" w:rsidR="00561B6B" w:rsidRDefault="00561B6B" w:rsidP="00561B6B">
            <w:pPr>
              <w:ind w:left="40"/>
              <w:rPr>
                <w:rFonts w:eastAsia="Times New Roman"/>
                <w:sz w:val="18"/>
                <w:szCs w:val="18"/>
              </w:rPr>
            </w:pPr>
            <w:r>
              <w:rPr>
                <w:rFonts w:eastAsia="Times New Roman"/>
                <w:sz w:val="18"/>
                <w:szCs w:val="18"/>
              </w:rPr>
              <w:t>Contaminant</w:t>
            </w:r>
          </w:p>
        </w:tc>
        <w:tc>
          <w:tcPr>
            <w:tcW w:w="1350" w:type="dxa"/>
            <w:tcBorders>
              <w:top w:val="single" w:sz="8" w:space="0" w:color="auto"/>
              <w:bottom w:val="single" w:sz="8" w:space="0" w:color="auto"/>
              <w:right w:val="single" w:sz="8" w:space="0" w:color="auto"/>
            </w:tcBorders>
            <w:vAlign w:val="center"/>
          </w:tcPr>
          <w:p w14:paraId="4131D339" w14:textId="5F358A0B" w:rsidR="00561B6B" w:rsidRDefault="00561B6B" w:rsidP="009C2A4E">
            <w:pPr>
              <w:jc w:val="center"/>
              <w:rPr>
                <w:sz w:val="23"/>
                <w:szCs w:val="23"/>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50" w:type="dxa"/>
            <w:tcBorders>
              <w:top w:val="single" w:sz="8" w:space="0" w:color="auto"/>
              <w:bottom w:val="single" w:sz="8" w:space="0" w:color="auto"/>
              <w:right w:val="single" w:sz="8" w:space="0" w:color="auto"/>
            </w:tcBorders>
            <w:vAlign w:val="center"/>
          </w:tcPr>
          <w:p w14:paraId="2F80FD16" w14:textId="23FDB146" w:rsidR="00561B6B" w:rsidRDefault="00561B6B" w:rsidP="009C2A4E">
            <w:pPr>
              <w:jc w:val="center"/>
              <w:rPr>
                <w:sz w:val="23"/>
                <w:szCs w:val="23"/>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50" w:type="dxa"/>
            <w:tcBorders>
              <w:top w:val="single" w:sz="8" w:space="0" w:color="auto"/>
              <w:bottom w:val="single" w:sz="8" w:space="0" w:color="auto"/>
              <w:right w:val="single" w:sz="8" w:space="0" w:color="auto"/>
            </w:tcBorders>
            <w:vAlign w:val="center"/>
          </w:tcPr>
          <w:p w14:paraId="027A047F" w14:textId="568685C6" w:rsidR="00561B6B" w:rsidRDefault="00561B6B" w:rsidP="00B52000">
            <w:pPr>
              <w:ind w:left="86"/>
              <w:rPr>
                <w:sz w:val="23"/>
                <w:szCs w:val="23"/>
              </w:rPr>
            </w:pPr>
            <w:r>
              <w:rPr>
                <w:rFonts w:eastAsia="Times New Roman"/>
                <w:sz w:val="18"/>
                <w:szCs w:val="18"/>
              </w:rPr>
              <w:t>Standard health effects language for public notification</w:t>
            </w:r>
          </w:p>
        </w:tc>
      </w:tr>
      <w:tr w:rsidR="00561B6B" w14:paraId="1DC272F8" w14:textId="77777777" w:rsidTr="00B52000">
        <w:trPr>
          <w:trHeight w:val="268"/>
        </w:trPr>
        <w:tc>
          <w:tcPr>
            <w:tcW w:w="10480" w:type="dxa"/>
            <w:gridSpan w:val="4"/>
            <w:tcBorders>
              <w:top w:val="single" w:sz="8" w:space="0" w:color="auto"/>
              <w:left w:val="single" w:sz="8" w:space="0" w:color="auto"/>
              <w:bottom w:val="single" w:sz="8" w:space="0" w:color="auto"/>
              <w:right w:val="single" w:sz="8" w:space="0" w:color="auto"/>
            </w:tcBorders>
            <w:vAlign w:val="center"/>
          </w:tcPr>
          <w:p w14:paraId="471F7B1A" w14:textId="2FEF8FE6" w:rsidR="00561B6B" w:rsidRDefault="00561B6B" w:rsidP="003F200F">
            <w:pPr>
              <w:ind w:left="43"/>
              <w:rPr>
                <w:sz w:val="23"/>
                <w:szCs w:val="23"/>
              </w:rPr>
            </w:pPr>
            <w:r>
              <w:rPr>
                <w:rFonts w:eastAsia="Times New Roman"/>
                <w:sz w:val="18"/>
                <w:szCs w:val="18"/>
              </w:rPr>
              <w:t>National Primary Drinking Water Regulations (NPDW R) and Massachusetts Drinking Water Regulations:</w:t>
            </w:r>
          </w:p>
        </w:tc>
      </w:tr>
      <w:tr w:rsidR="009C2A4E" w14:paraId="263DE05B" w14:textId="77777777" w:rsidTr="00B52000">
        <w:trPr>
          <w:trHeight w:val="268"/>
        </w:trPr>
        <w:tc>
          <w:tcPr>
            <w:tcW w:w="10480" w:type="dxa"/>
            <w:gridSpan w:val="4"/>
            <w:tcBorders>
              <w:top w:val="single" w:sz="8" w:space="0" w:color="auto"/>
              <w:left w:val="single" w:sz="8" w:space="0" w:color="auto"/>
              <w:bottom w:val="single" w:sz="8" w:space="0" w:color="auto"/>
              <w:right w:val="single" w:sz="8" w:space="0" w:color="auto"/>
            </w:tcBorders>
            <w:vAlign w:val="center"/>
          </w:tcPr>
          <w:p w14:paraId="6E49F4B6" w14:textId="383957F5" w:rsidR="009C2A4E" w:rsidRDefault="009C2A4E" w:rsidP="003F200F">
            <w:pPr>
              <w:spacing w:line="325" w:lineRule="auto"/>
              <w:ind w:left="43"/>
              <w:rPr>
                <w:sz w:val="23"/>
                <w:szCs w:val="23"/>
              </w:rPr>
            </w:pPr>
            <w:r>
              <w:rPr>
                <w:rFonts w:eastAsia="Times New Roman"/>
                <w:sz w:val="18"/>
                <w:szCs w:val="18"/>
              </w:rPr>
              <w:t>B. Surface Water Treatment Rule (SW TR), Interim Enhanced Surface Water Treatment Rule (IESWTR), Filter Backwash Recycling Rule (FBRR) and Long Term 1 Enhanced Surface Water Treatment Rule (LT1ESWTR) violations:</w:t>
            </w:r>
          </w:p>
        </w:tc>
      </w:tr>
      <w:tr w:rsidR="00001878" w14:paraId="7277BF13" w14:textId="77777777" w:rsidTr="00B52000">
        <w:trPr>
          <w:trHeight w:val="268"/>
        </w:trPr>
        <w:tc>
          <w:tcPr>
            <w:tcW w:w="2730" w:type="dxa"/>
            <w:tcBorders>
              <w:top w:val="single" w:sz="8" w:space="0" w:color="auto"/>
              <w:left w:val="single" w:sz="8" w:space="0" w:color="auto"/>
              <w:bottom w:val="single" w:sz="8" w:space="0" w:color="auto"/>
              <w:right w:val="single" w:sz="8" w:space="0" w:color="auto"/>
            </w:tcBorders>
            <w:vAlign w:val="center"/>
          </w:tcPr>
          <w:p w14:paraId="2CD20F31" w14:textId="6C84AD60" w:rsidR="00001878" w:rsidRDefault="00001878" w:rsidP="00563A54">
            <w:pPr>
              <w:numPr>
                <w:ilvl w:val="0"/>
                <w:numId w:val="521"/>
              </w:numPr>
              <w:tabs>
                <w:tab w:val="left" w:pos="200"/>
              </w:tabs>
              <w:ind w:left="20"/>
              <w:rPr>
                <w:rFonts w:eastAsia="Times New Roman"/>
                <w:sz w:val="18"/>
                <w:szCs w:val="18"/>
              </w:rPr>
            </w:pPr>
            <w:r>
              <w:rPr>
                <w:rFonts w:eastAsia="Times New Roman"/>
                <w:i/>
                <w:iCs/>
                <w:sz w:val="18"/>
                <w:szCs w:val="18"/>
              </w:rPr>
              <w:t xml:space="preserve">Giardia lamblia </w:t>
            </w:r>
            <w:r>
              <w:rPr>
                <w:rFonts w:eastAsia="Times New Roman"/>
                <w:sz w:val="18"/>
                <w:szCs w:val="18"/>
              </w:rPr>
              <w:t>(SWTR/IESWTR/LT1ESWTR)</w:t>
            </w:r>
          </w:p>
        </w:tc>
        <w:tc>
          <w:tcPr>
            <w:tcW w:w="1350" w:type="dxa"/>
            <w:vMerge w:val="restart"/>
            <w:tcBorders>
              <w:top w:val="single" w:sz="8" w:space="0" w:color="auto"/>
              <w:bottom w:val="single" w:sz="8" w:space="0" w:color="auto"/>
              <w:right w:val="single" w:sz="8" w:space="0" w:color="auto"/>
            </w:tcBorders>
            <w:vAlign w:val="center"/>
          </w:tcPr>
          <w:p w14:paraId="119D840D" w14:textId="5C528E19" w:rsidR="00001878" w:rsidRDefault="00001878" w:rsidP="00823F9B">
            <w:pPr>
              <w:jc w:val="center"/>
              <w:rPr>
                <w:sz w:val="23"/>
                <w:szCs w:val="23"/>
              </w:rPr>
            </w:pPr>
            <w:r>
              <w:rPr>
                <w:rFonts w:eastAsia="Times New Roman"/>
                <w:sz w:val="18"/>
                <w:szCs w:val="18"/>
              </w:rPr>
              <w:t>Zero</w:t>
            </w:r>
          </w:p>
        </w:tc>
        <w:tc>
          <w:tcPr>
            <w:tcW w:w="2350" w:type="dxa"/>
            <w:vMerge w:val="restart"/>
            <w:tcBorders>
              <w:top w:val="single" w:sz="8" w:space="0" w:color="auto"/>
              <w:left w:val="single" w:sz="8" w:space="0" w:color="auto"/>
              <w:right w:val="single" w:sz="8" w:space="0" w:color="auto"/>
            </w:tcBorders>
            <w:vAlign w:val="center"/>
          </w:tcPr>
          <w:p w14:paraId="35DDF734" w14:textId="523C0AF1" w:rsidR="00001878" w:rsidRDefault="00001878" w:rsidP="00823F9B">
            <w:pPr>
              <w:ind w:left="20"/>
              <w:jc w:val="center"/>
              <w:rPr>
                <w:sz w:val="23"/>
                <w:szCs w:val="23"/>
              </w:rPr>
            </w:pPr>
            <w:r>
              <w:rPr>
                <w:rFonts w:eastAsia="Times New Roman"/>
                <w:sz w:val="18"/>
                <w:szCs w:val="18"/>
              </w:rPr>
              <w:t>TT</w:t>
            </w:r>
            <w:r>
              <w:rPr>
                <w:rFonts w:eastAsia="Times New Roman"/>
                <w:sz w:val="24"/>
                <w:szCs w:val="24"/>
                <w:vertAlign w:val="superscript"/>
              </w:rPr>
              <w:t>10</w:t>
            </w:r>
          </w:p>
        </w:tc>
        <w:tc>
          <w:tcPr>
            <w:tcW w:w="4050" w:type="dxa"/>
            <w:vMerge w:val="restart"/>
            <w:tcBorders>
              <w:top w:val="single" w:sz="8" w:space="0" w:color="auto"/>
              <w:bottom w:val="single" w:sz="8" w:space="0" w:color="auto"/>
              <w:right w:val="single" w:sz="8" w:space="0" w:color="auto"/>
            </w:tcBorders>
          </w:tcPr>
          <w:p w14:paraId="1F614A9A" w14:textId="4A23FE7D" w:rsidR="00001878" w:rsidRDefault="00001878" w:rsidP="00B52000">
            <w:pPr>
              <w:spacing w:line="324" w:lineRule="auto"/>
              <w:ind w:left="86" w:right="420"/>
              <w:rPr>
                <w:sz w:val="23"/>
                <w:szCs w:val="23"/>
              </w:rPr>
            </w:pPr>
            <w:r>
              <w:rPr>
                <w:rFonts w:eastAsia="Times New Roman"/>
                <w:sz w:val="18"/>
                <w:szCs w:val="18"/>
              </w:rPr>
              <w:t>Inadequately treated water may contain disease-causing organisms. These organisms include bacteria, Viruses, and parasites which can cause symptoms such as nausea, cramps, diarrhea, and associated headaches.</w:t>
            </w:r>
          </w:p>
        </w:tc>
      </w:tr>
      <w:tr w:rsidR="00001878" w14:paraId="16D8D0FA" w14:textId="77777777" w:rsidTr="00B52000">
        <w:trPr>
          <w:trHeight w:val="268"/>
        </w:trPr>
        <w:tc>
          <w:tcPr>
            <w:tcW w:w="2730" w:type="dxa"/>
            <w:tcBorders>
              <w:top w:val="single" w:sz="8" w:space="0" w:color="auto"/>
              <w:left w:val="single" w:sz="8" w:space="0" w:color="auto"/>
              <w:bottom w:val="single" w:sz="8" w:space="0" w:color="auto"/>
              <w:right w:val="single" w:sz="8" w:space="0" w:color="auto"/>
            </w:tcBorders>
            <w:vAlign w:val="center"/>
          </w:tcPr>
          <w:p w14:paraId="0BFA6ECE" w14:textId="0C382562" w:rsidR="00001878" w:rsidRPr="00B15C7D" w:rsidRDefault="00001878" w:rsidP="00563A54">
            <w:pPr>
              <w:numPr>
                <w:ilvl w:val="0"/>
                <w:numId w:val="521"/>
              </w:numPr>
              <w:tabs>
                <w:tab w:val="left" w:pos="200"/>
              </w:tabs>
              <w:ind w:left="20"/>
              <w:rPr>
                <w:rFonts w:eastAsia="Times New Roman"/>
                <w:sz w:val="18"/>
                <w:szCs w:val="18"/>
              </w:rPr>
            </w:pPr>
            <w:r w:rsidRPr="00B15C7D">
              <w:rPr>
                <w:rFonts w:eastAsia="Times New Roman"/>
                <w:sz w:val="18"/>
                <w:szCs w:val="18"/>
              </w:rPr>
              <w:t>Viruses (SWTR/IESWTR/LT1ESWTR)</w:t>
            </w:r>
          </w:p>
        </w:tc>
        <w:tc>
          <w:tcPr>
            <w:tcW w:w="1350" w:type="dxa"/>
            <w:vMerge/>
            <w:tcBorders>
              <w:top w:val="single" w:sz="8" w:space="0" w:color="auto"/>
              <w:bottom w:val="single" w:sz="8" w:space="0" w:color="auto"/>
              <w:right w:val="single" w:sz="8" w:space="0" w:color="auto"/>
            </w:tcBorders>
            <w:vAlign w:val="bottom"/>
          </w:tcPr>
          <w:p w14:paraId="21799859" w14:textId="4765E7BF" w:rsidR="00001878" w:rsidRDefault="00001878" w:rsidP="00DF6443">
            <w:pPr>
              <w:ind w:right="840"/>
              <w:jc w:val="center"/>
              <w:rPr>
                <w:sz w:val="23"/>
                <w:szCs w:val="23"/>
              </w:rPr>
            </w:pPr>
          </w:p>
        </w:tc>
        <w:tc>
          <w:tcPr>
            <w:tcW w:w="2350" w:type="dxa"/>
            <w:vMerge/>
            <w:tcBorders>
              <w:left w:val="single" w:sz="8" w:space="0" w:color="auto"/>
              <w:right w:val="single" w:sz="8" w:space="0" w:color="auto"/>
            </w:tcBorders>
            <w:vAlign w:val="bottom"/>
          </w:tcPr>
          <w:p w14:paraId="4A70284A" w14:textId="3DB50F31" w:rsidR="00001878" w:rsidRDefault="00001878" w:rsidP="00DF6443">
            <w:pPr>
              <w:ind w:left="20"/>
              <w:rPr>
                <w:sz w:val="23"/>
                <w:szCs w:val="23"/>
              </w:rPr>
            </w:pPr>
          </w:p>
        </w:tc>
        <w:tc>
          <w:tcPr>
            <w:tcW w:w="4050" w:type="dxa"/>
            <w:vMerge/>
            <w:tcBorders>
              <w:bottom w:val="single" w:sz="8" w:space="0" w:color="auto"/>
              <w:right w:val="single" w:sz="8" w:space="0" w:color="auto"/>
            </w:tcBorders>
          </w:tcPr>
          <w:p w14:paraId="4BC6708E" w14:textId="77777777" w:rsidR="00001878" w:rsidRDefault="00001878">
            <w:pPr>
              <w:rPr>
                <w:sz w:val="23"/>
                <w:szCs w:val="23"/>
              </w:rPr>
            </w:pPr>
          </w:p>
        </w:tc>
      </w:tr>
      <w:tr w:rsidR="00001878" w14:paraId="281A1961" w14:textId="5D616DD6" w:rsidTr="00B52000">
        <w:trPr>
          <w:trHeight w:val="1265"/>
        </w:trPr>
        <w:tc>
          <w:tcPr>
            <w:tcW w:w="2730" w:type="dxa"/>
            <w:tcBorders>
              <w:top w:val="single" w:sz="8" w:space="0" w:color="auto"/>
              <w:left w:val="single" w:sz="8" w:space="0" w:color="auto"/>
              <w:bottom w:val="single" w:sz="8" w:space="0" w:color="auto"/>
              <w:right w:val="single" w:sz="8" w:space="0" w:color="auto"/>
            </w:tcBorders>
            <w:vAlign w:val="center"/>
          </w:tcPr>
          <w:p w14:paraId="7EF42044" w14:textId="77777777" w:rsidR="00001878" w:rsidRPr="00A52EC2" w:rsidRDefault="00001878" w:rsidP="00563A54">
            <w:pPr>
              <w:numPr>
                <w:ilvl w:val="0"/>
                <w:numId w:val="521"/>
              </w:numPr>
              <w:tabs>
                <w:tab w:val="left" w:pos="200"/>
              </w:tabs>
              <w:ind w:left="20"/>
              <w:rPr>
                <w:sz w:val="20"/>
                <w:szCs w:val="20"/>
              </w:rPr>
            </w:pPr>
            <w:r>
              <w:rPr>
                <w:rFonts w:eastAsia="Times New Roman"/>
                <w:sz w:val="18"/>
                <w:szCs w:val="18"/>
              </w:rPr>
              <w:t>Heterotrophic plate count (HPC) bacteria</w:t>
            </w:r>
            <w:r w:rsidRPr="00A52EC2">
              <w:rPr>
                <w:rFonts w:eastAsia="Times New Roman"/>
                <w:sz w:val="18"/>
                <w:szCs w:val="18"/>
                <w:vertAlign w:val="superscript"/>
              </w:rPr>
              <w:t>9</w:t>
            </w:r>
          </w:p>
          <w:p w14:paraId="281A195C" w14:textId="4EDB4356" w:rsidR="00001878" w:rsidRDefault="00001878" w:rsidP="00A52EC2">
            <w:pPr>
              <w:tabs>
                <w:tab w:val="left" w:pos="200"/>
              </w:tabs>
              <w:ind w:left="20"/>
              <w:rPr>
                <w:sz w:val="20"/>
                <w:szCs w:val="20"/>
              </w:rPr>
            </w:pPr>
            <w:r>
              <w:rPr>
                <w:rFonts w:eastAsia="Times New Roman"/>
                <w:sz w:val="18"/>
                <w:szCs w:val="18"/>
              </w:rPr>
              <w:t>(SWTR/IESWTR/LT1ESWTR)</w:t>
            </w:r>
          </w:p>
        </w:tc>
        <w:tc>
          <w:tcPr>
            <w:tcW w:w="1350" w:type="dxa"/>
            <w:vMerge/>
            <w:tcBorders>
              <w:top w:val="single" w:sz="8" w:space="0" w:color="auto"/>
              <w:left w:val="single" w:sz="8" w:space="0" w:color="auto"/>
              <w:bottom w:val="single" w:sz="8" w:space="0" w:color="auto"/>
              <w:right w:val="single" w:sz="8" w:space="0" w:color="auto"/>
            </w:tcBorders>
            <w:vAlign w:val="bottom"/>
          </w:tcPr>
          <w:p w14:paraId="281A195D" w14:textId="416E8984" w:rsidR="00001878" w:rsidRDefault="00001878" w:rsidP="00DF6443">
            <w:pPr>
              <w:ind w:right="840"/>
              <w:jc w:val="center"/>
              <w:rPr>
                <w:sz w:val="23"/>
                <w:szCs w:val="23"/>
              </w:rPr>
            </w:pPr>
          </w:p>
        </w:tc>
        <w:tc>
          <w:tcPr>
            <w:tcW w:w="2350" w:type="dxa"/>
            <w:vMerge/>
            <w:tcBorders>
              <w:left w:val="single" w:sz="8" w:space="0" w:color="auto"/>
              <w:bottom w:val="nil"/>
              <w:right w:val="single" w:sz="8" w:space="0" w:color="auto"/>
            </w:tcBorders>
            <w:vAlign w:val="bottom"/>
          </w:tcPr>
          <w:p w14:paraId="281A195F" w14:textId="7AF9A19E" w:rsidR="00001878" w:rsidRDefault="00001878" w:rsidP="00DF6443">
            <w:pPr>
              <w:ind w:left="20"/>
              <w:rPr>
                <w:sz w:val="23"/>
                <w:szCs w:val="23"/>
              </w:rPr>
            </w:pPr>
          </w:p>
        </w:tc>
        <w:tc>
          <w:tcPr>
            <w:tcW w:w="4050" w:type="dxa"/>
            <w:vMerge/>
            <w:tcBorders>
              <w:bottom w:val="single" w:sz="8" w:space="0" w:color="auto"/>
              <w:right w:val="single" w:sz="8" w:space="0" w:color="auto"/>
            </w:tcBorders>
          </w:tcPr>
          <w:p w14:paraId="7DBF8BFF" w14:textId="77777777" w:rsidR="00001878" w:rsidRDefault="00001878">
            <w:pPr>
              <w:rPr>
                <w:sz w:val="23"/>
                <w:szCs w:val="23"/>
              </w:rPr>
            </w:pPr>
          </w:p>
        </w:tc>
      </w:tr>
      <w:tr w:rsidR="00001878" w14:paraId="281A197F" w14:textId="2782EC71" w:rsidTr="00B52000">
        <w:trPr>
          <w:trHeight w:val="861"/>
        </w:trPr>
        <w:tc>
          <w:tcPr>
            <w:tcW w:w="2730" w:type="dxa"/>
            <w:tcBorders>
              <w:top w:val="single" w:sz="8" w:space="0" w:color="auto"/>
              <w:left w:val="single" w:sz="8" w:space="0" w:color="auto"/>
              <w:bottom w:val="single" w:sz="8" w:space="0" w:color="auto"/>
              <w:right w:val="single" w:sz="8" w:space="0" w:color="auto"/>
            </w:tcBorders>
            <w:vAlign w:val="center"/>
          </w:tcPr>
          <w:p w14:paraId="281A197A" w14:textId="3A0924F2" w:rsidR="00001878" w:rsidRPr="00BF4B81" w:rsidRDefault="00001878" w:rsidP="00563A54">
            <w:pPr>
              <w:numPr>
                <w:ilvl w:val="0"/>
                <w:numId w:val="521"/>
              </w:numPr>
              <w:tabs>
                <w:tab w:val="left" w:pos="200"/>
              </w:tabs>
              <w:ind w:left="20"/>
              <w:rPr>
                <w:rFonts w:eastAsia="Times New Roman"/>
                <w:sz w:val="18"/>
                <w:szCs w:val="18"/>
              </w:rPr>
            </w:pPr>
            <w:r w:rsidRPr="00BF4B81">
              <w:rPr>
                <w:rFonts w:eastAsia="Times New Roman"/>
                <w:sz w:val="18"/>
                <w:szCs w:val="18"/>
              </w:rPr>
              <w:t xml:space="preserve">Legionella </w:t>
            </w:r>
            <w:r>
              <w:rPr>
                <w:rFonts w:eastAsia="Times New Roman"/>
                <w:sz w:val="18"/>
                <w:szCs w:val="18"/>
              </w:rPr>
              <w:t>(SWTR/IESWTR/LT1ESWTR)</w:t>
            </w:r>
          </w:p>
        </w:tc>
        <w:tc>
          <w:tcPr>
            <w:tcW w:w="1350" w:type="dxa"/>
            <w:vMerge/>
            <w:tcBorders>
              <w:top w:val="single" w:sz="8" w:space="0" w:color="auto"/>
              <w:left w:val="single" w:sz="8" w:space="0" w:color="auto"/>
              <w:bottom w:val="single" w:sz="8" w:space="0" w:color="auto"/>
              <w:right w:val="single" w:sz="8" w:space="0" w:color="auto"/>
            </w:tcBorders>
            <w:vAlign w:val="bottom"/>
          </w:tcPr>
          <w:p w14:paraId="281A197B" w14:textId="77777777" w:rsidR="00001878" w:rsidRDefault="00001878">
            <w:pPr>
              <w:rPr>
                <w:sz w:val="23"/>
                <w:szCs w:val="23"/>
              </w:rPr>
            </w:pPr>
          </w:p>
        </w:tc>
        <w:tc>
          <w:tcPr>
            <w:tcW w:w="2350" w:type="dxa"/>
            <w:vMerge/>
            <w:tcBorders>
              <w:left w:val="single" w:sz="8" w:space="0" w:color="auto"/>
              <w:bottom w:val="nil"/>
              <w:right w:val="single" w:sz="8" w:space="0" w:color="auto"/>
            </w:tcBorders>
            <w:vAlign w:val="bottom"/>
          </w:tcPr>
          <w:p w14:paraId="281A197D" w14:textId="77777777" w:rsidR="00001878" w:rsidRDefault="00001878">
            <w:pPr>
              <w:rPr>
                <w:sz w:val="23"/>
                <w:szCs w:val="23"/>
              </w:rPr>
            </w:pPr>
          </w:p>
        </w:tc>
        <w:tc>
          <w:tcPr>
            <w:tcW w:w="4050" w:type="dxa"/>
            <w:vMerge/>
            <w:tcBorders>
              <w:bottom w:val="single" w:sz="8" w:space="0" w:color="auto"/>
              <w:right w:val="single" w:sz="8" w:space="0" w:color="auto"/>
            </w:tcBorders>
          </w:tcPr>
          <w:p w14:paraId="64B5621F" w14:textId="77777777" w:rsidR="00001878" w:rsidRDefault="00001878">
            <w:pPr>
              <w:rPr>
                <w:sz w:val="23"/>
                <w:szCs w:val="23"/>
              </w:rPr>
            </w:pPr>
          </w:p>
        </w:tc>
      </w:tr>
      <w:tr w:rsidR="00001878" w14:paraId="281A1993" w14:textId="1B365118" w:rsidTr="00B52000">
        <w:trPr>
          <w:trHeight w:val="567"/>
        </w:trPr>
        <w:tc>
          <w:tcPr>
            <w:tcW w:w="2730" w:type="dxa"/>
            <w:tcBorders>
              <w:top w:val="single" w:sz="8" w:space="0" w:color="auto"/>
              <w:left w:val="single" w:sz="8" w:space="0" w:color="auto"/>
              <w:bottom w:val="single" w:sz="8" w:space="0" w:color="auto"/>
              <w:right w:val="single" w:sz="8" w:space="0" w:color="auto"/>
            </w:tcBorders>
            <w:vAlign w:val="center"/>
          </w:tcPr>
          <w:p w14:paraId="281A198E" w14:textId="502EAE9B" w:rsidR="00001878" w:rsidRPr="00BF4B81" w:rsidRDefault="00001878" w:rsidP="00563A54">
            <w:pPr>
              <w:numPr>
                <w:ilvl w:val="0"/>
                <w:numId w:val="521"/>
              </w:numPr>
              <w:tabs>
                <w:tab w:val="left" w:pos="200"/>
              </w:tabs>
              <w:ind w:left="20"/>
              <w:rPr>
                <w:rFonts w:eastAsia="Times New Roman"/>
                <w:sz w:val="18"/>
                <w:szCs w:val="18"/>
              </w:rPr>
            </w:pPr>
            <w:r w:rsidRPr="00BF4B81">
              <w:rPr>
                <w:rFonts w:eastAsia="Times New Roman"/>
                <w:sz w:val="18"/>
                <w:szCs w:val="18"/>
              </w:rPr>
              <w:t xml:space="preserve">Cryptosporidium </w:t>
            </w:r>
            <w:r>
              <w:rPr>
                <w:rFonts w:eastAsia="Times New Roman"/>
                <w:sz w:val="18"/>
                <w:szCs w:val="18"/>
              </w:rPr>
              <w:t>(IESWTR/LT1ESWTR/FBRR)</w:t>
            </w:r>
          </w:p>
        </w:tc>
        <w:tc>
          <w:tcPr>
            <w:tcW w:w="1350" w:type="dxa"/>
            <w:vMerge/>
            <w:tcBorders>
              <w:top w:val="single" w:sz="8" w:space="0" w:color="auto"/>
              <w:left w:val="single" w:sz="8" w:space="0" w:color="auto"/>
              <w:bottom w:val="single" w:sz="8" w:space="0" w:color="auto"/>
              <w:right w:val="single" w:sz="8" w:space="0" w:color="auto"/>
            </w:tcBorders>
            <w:vAlign w:val="bottom"/>
          </w:tcPr>
          <w:p w14:paraId="281A198F" w14:textId="77777777" w:rsidR="00001878" w:rsidRDefault="00001878">
            <w:pPr>
              <w:rPr>
                <w:sz w:val="23"/>
                <w:szCs w:val="23"/>
              </w:rPr>
            </w:pPr>
          </w:p>
        </w:tc>
        <w:tc>
          <w:tcPr>
            <w:tcW w:w="2350" w:type="dxa"/>
            <w:vMerge/>
            <w:tcBorders>
              <w:left w:val="single" w:sz="8" w:space="0" w:color="auto"/>
              <w:bottom w:val="single" w:sz="8" w:space="0" w:color="auto"/>
              <w:right w:val="single" w:sz="8" w:space="0" w:color="auto"/>
            </w:tcBorders>
            <w:vAlign w:val="bottom"/>
          </w:tcPr>
          <w:p w14:paraId="281A1991" w14:textId="77777777" w:rsidR="00001878" w:rsidRDefault="00001878">
            <w:pPr>
              <w:rPr>
                <w:sz w:val="23"/>
                <w:szCs w:val="23"/>
              </w:rPr>
            </w:pPr>
          </w:p>
        </w:tc>
        <w:tc>
          <w:tcPr>
            <w:tcW w:w="4050" w:type="dxa"/>
            <w:vMerge/>
            <w:tcBorders>
              <w:left w:val="single" w:sz="8" w:space="0" w:color="auto"/>
              <w:bottom w:val="single" w:sz="8" w:space="0" w:color="auto"/>
              <w:right w:val="single" w:sz="8" w:space="0" w:color="auto"/>
            </w:tcBorders>
          </w:tcPr>
          <w:p w14:paraId="0DD1C749" w14:textId="77777777" w:rsidR="00001878" w:rsidRDefault="00001878">
            <w:pPr>
              <w:rPr>
                <w:sz w:val="23"/>
                <w:szCs w:val="23"/>
              </w:rPr>
            </w:pPr>
          </w:p>
        </w:tc>
      </w:tr>
      <w:tr w:rsidR="00415EBC" w14:paraId="281A19A0" w14:textId="6ECDCA0C" w:rsidTr="00B52000">
        <w:trPr>
          <w:trHeight w:val="273"/>
        </w:trPr>
        <w:tc>
          <w:tcPr>
            <w:tcW w:w="10480" w:type="dxa"/>
            <w:gridSpan w:val="4"/>
            <w:tcBorders>
              <w:top w:val="single" w:sz="8" w:space="0" w:color="auto"/>
              <w:left w:val="single" w:sz="8" w:space="0" w:color="auto"/>
              <w:bottom w:val="single" w:sz="8" w:space="0" w:color="auto"/>
              <w:right w:val="single" w:sz="8" w:space="0" w:color="auto"/>
            </w:tcBorders>
            <w:vAlign w:val="bottom"/>
          </w:tcPr>
          <w:p w14:paraId="67CD2EDC" w14:textId="05967A78" w:rsidR="00415EBC" w:rsidRDefault="00415EBC">
            <w:pPr>
              <w:rPr>
                <w:sz w:val="23"/>
                <w:szCs w:val="23"/>
              </w:rPr>
            </w:pPr>
            <w:r>
              <w:rPr>
                <w:rFonts w:eastAsia="Times New Roman"/>
                <w:sz w:val="18"/>
                <w:szCs w:val="18"/>
              </w:rPr>
              <w:t>C. Inorganics</w:t>
            </w:r>
          </w:p>
        </w:tc>
      </w:tr>
      <w:tr w:rsidR="00415EBC" w14:paraId="281A19A7" w14:textId="45B74F1D" w:rsidTr="00B52000">
        <w:trPr>
          <w:trHeight w:val="1097"/>
        </w:trPr>
        <w:tc>
          <w:tcPr>
            <w:tcW w:w="2730" w:type="dxa"/>
            <w:tcBorders>
              <w:top w:val="single" w:sz="8" w:space="0" w:color="auto"/>
              <w:left w:val="single" w:sz="8" w:space="0" w:color="auto"/>
              <w:bottom w:val="single" w:sz="8" w:space="0" w:color="auto"/>
              <w:right w:val="single" w:sz="8" w:space="0" w:color="auto"/>
            </w:tcBorders>
            <w:vAlign w:val="center"/>
          </w:tcPr>
          <w:p w14:paraId="281A19A2" w14:textId="7A579DEC" w:rsidR="00415EBC" w:rsidRDefault="00415EBC" w:rsidP="00563A54">
            <w:pPr>
              <w:numPr>
                <w:ilvl w:val="0"/>
                <w:numId w:val="521"/>
              </w:numPr>
              <w:tabs>
                <w:tab w:val="left" w:pos="290"/>
              </w:tabs>
              <w:ind w:left="20"/>
              <w:rPr>
                <w:sz w:val="20"/>
                <w:szCs w:val="20"/>
              </w:rPr>
            </w:pPr>
            <w:r>
              <w:rPr>
                <w:rFonts w:eastAsia="Times New Roman"/>
                <w:sz w:val="18"/>
                <w:szCs w:val="18"/>
              </w:rPr>
              <w:t>Antimony</w:t>
            </w:r>
          </w:p>
        </w:tc>
        <w:tc>
          <w:tcPr>
            <w:tcW w:w="1350" w:type="dxa"/>
            <w:tcBorders>
              <w:top w:val="single" w:sz="8" w:space="0" w:color="auto"/>
              <w:left w:val="single" w:sz="8" w:space="0" w:color="auto"/>
              <w:bottom w:val="single" w:sz="8" w:space="0" w:color="auto"/>
              <w:right w:val="single" w:sz="8" w:space="0" w:color="auto"/>
            </w:tcBorders>
            <w:vAlign w:val="center"/>
          </w:tcPr>
          <w:p w14:paraId="281A19A4" w14:textId="70028FD1" w:rsidR="00415EBC" w:rsidRDefault="00415EBC" w:rsidP="00B52000">
            <w:pPr>
              <w:jc w:val="center"/>
              <w:rPr>
                <w:sz w:val="23"/>
                <w:szCs w:val="23"/>
              </w:rPr>
            </w:pPr>
            <w:r>
              <w:rPr>
                <w:rFonts w:eastAsia="Times New Roman"/>
                <w:sz w:val="18"/>
                <w:szCs w:val="18"/>
              </w:rPr>
              <w:t>0.0</w:t>
            </w:r>
            <w:r w:rsidR="009562D8">
              <w:rPr>
                <w:rFonts w:eastAsia="Times New Roman"/>
                <w:sz w:val="18"/>
                <w:szCs w:val="18"/>
              </w:rPr>
              <w:t>06</w:t>
            </w:r>
          </w:p>
        </w:tc>
        <w:tc>
          <w:tcPr>
            <w:tcW w:w="2350" w:type="dxa"/>
            <w:tcBorders>
              <w:top w:val="single" w:sz="8" w:space="0" w:color="auto"/>
              <w:left w:val="single" w:sz="8" w:space="0" w:color="auto"/>
              <w:bottom w:val="single" w:sz="8" w:space="0" w:color="auto"/>
              <w:right w:val="single" w:sz="8" w:space="0" w:color="auto"/>
            </w:tcBorders>
            <w:vAlign w:val="center"/>
          </w:tcPr>
          <w:p w14:paraId="281A19A5" w14:textId="77777777" w:rsidR="00415EBC" w:rsidRDefault="00415EBC" w:rsidP="00B52000">
            <w:pPr>
              <w:jc w:val="center"/>
              <w:rPr>
                <w:sz w:val="20"/>
                <w:szCs w:val="20"/>
              </w:rPr>
            </w:pPr>
            <w:r>
              <w:rPr>
                <w:rFonts w:eastAsia="Times New Roman"/>
                <w:sz w:val="18"/>
                <w:szCs w:val="18"/>
              </w:rPr>
              <w:t>0.006</w:t>
            </w:r>
          </w:p>
        </w:tc>
        <w:tc>
          <w:tcPr>
            <w:tcW w:w="4050" w:type="dxa"/>
            <w:tcBorders>
              <w:top w:val="single" w:sz="8" w:space="0" w:color="auto"/>
              <w:left w:val="single" w:sz="8" w:space="0" w:color="auto"/>
              <w:bottom w:val="single" w:sz="8" w:space="0" w:color="auto"/>
              <w:right w:val="single" w:sz="8" w:space="0" w:color="auto"/>
            </w:tcBorders>
          </w:tcPr>
          <w:p w14:paraId="2462EFF1" w14:textId="79FD53FD" w:rsidR="00415EBC" w:rsidRPr="00415EBC" w:rsidRDefault="00415EBC" w:rsidP="00B52000">
            <w:pPr>
              <w:spacing w:line="320" w:lineRule="auto"/>
              <w:ind w:left="86"/>
              <w:rPr>
                <w:sz w:val="20"/>
                <w:szCs w:val="20"/>
              </w:rPr>
            </w:pPr>
            <w:r>
              <w:rPr>
                <w:rFonts w:eastAsia="Times New Roman"/>
                <w:sz w:val="18"/>
                <w:szCs w:val="18"/>
              </w:rPr>
              <w:t>Some people who drink water containing antimony well in excess of the MCL over many years could experience increases in blood cholesterol and decreases in blood sugar.</w:t>
            </w:r>
          </w:p>
        </w:tc>
      </w:tr>
      <w:tr w:rsidR="00B52000" w14:paraId="281A19B4" w14:textId="36FC0AB0" w:rsidTr="00B52000">
        <w:trPr>
          <w:trHeight w:val="1378"/>
        </w:trPr>
        <w:tc>
          <w:tcPr>
            <w:tcW w:w="2730" w:type="dxa"/>
            <w:tcBorders>
              <w:top w:val="single" w:sz="8" w:space="0" w:color="auto"/>
              <w:left w:val="single" w:sz="8" w:space="0" w:color="auto"/>
              <w:bottom w:val="single" w:sz="8" w:space="0" w:color="auto"/>
              <w:right w:val="single" w:sz="8" w:space="0" w:color="auto"/>
            </w:tcBorders>
            <w:vAlign w:val="center"/>
          </w:tcPr>
          <w:p w14:paraId="281A19B0" w14:textId="57347632" w:rsidR="00B52000" w:rsidRDefault="00B52000" w:rsidP="00563A54">
            <w:pPr>
              <w:numPr>
                <w:ilvl w:val="0"/>
                <w:numId w:val="521"/>
              </w:numPr>
              <w:tabs>
                <w:tab w:val="left" w:pos="290"/>
              </w:tabs>
              <w:ind w:left="20"/>
              <w:rPr>
                <w:sz w:val="20"/>
                <w:szCs w:val="20"/>
              </w:rPr>
            </w:pPr>
            <w:r>
              <w:rPr>
                <w:rFonts w:eastAsia="Times New Roman"/>
                <w:sz w:val="18"/>
                <w:szCs w:val="18"/>
              </w:rPr>
              <w:t>Arsenic</w:t>
            </w:r>
            <w:r w:rsidRPr="001231EA">
              <w:rPr>
                <w:rFonts w:eastAsia="Times New Roman"/>
                <w:sz w:val="18"/>
                <w:szCs w:val="18"/>
                <w:vertAlign w:val="superscript"/>
              </w:rPr>
              <w:t>11</w:t>
            </w:r>
          </w:p>
        </w:tc>
        <w:tc>
          <w:tcPr>
            <w:tcW w:w="1350" w:type="dxa"/>
            <w:tcBorders>
              <w:top w:val="single" w:sz="8" w:space="0" w:color="auto"/>
              <w:left w:val="single" w:sz="8" w:space="0" w:color="auto"/>
              <w:bottom w:val="single" w:sz="8" w:space="0" w:color="auto"/>
              <w:right w:val="single" w:sz="8" w:space="0" w:color="auto"/>
            </w:tcBorders>
            <w:vAlign w:val="center"/>
          </w:tcPr>
          <w:p w14:paraId="281A19B1" w14:textId="2D542942" w:rsidR="00B52000" w:rsidRDefault="00BF0D39" w:rsidP="00B52000">
            <w:pPr>
              <w:jc w:val="center"/>
              <w:rPr>
                <w:sz w:val="20"/>
                <w:szCs w:val="20"/>
              </w:rPr>
            </w:pPr>
            <w:r>
              <w:rPr>
                <w:rFonts w:eastAsia="Times New Roman"/>
                <w:sz w:val="18"/>
                <w:szCs w:val="18"/>
              </w:rPr>
              <w:t>0</w:t>
            </w:r>
          </w:p>
        </w:tc>
        <w:tc>
          <w:tcPr>
            <w:tcW w:w="2350" w:type="dxa"/>
            <w:tcBorders>
              <w:top w:val="single" w:sz="8" w:space="0" w:color="auto"/>
              <w:left w:val="single" w:sz="8" w:space="0" w:color="auto"/>
              <w:bottom w:val="single" w:sz="8" w:space="0" w:color="auto"/>
              <w:right w:val="single" w:sz="8" w:space="0" w:color="auto"/>
            </w:tcBorders>
            <w:vAlign w:val="center"/>
          </w:tcPr>
          <w:p w14:paraId="281A19B2" w14:textId="10BF84D9" w:rsidR="00B52000" w:rsidRDefault="00B52000" w:rsidP="00B52000">
            <w:pPr>
              <w:jc w:val="center"/>
              <w:rPr>
                <w:sz w:val="20"/>
                <w:szCs w:val="20"/>
              </w:rPr>
            </w:pPr>
            <w:r>
              <w:rPr>
                <w:rFonts w:eastAsia="Times New Roman"/>
                <w:sz w:val="18"/>
                <w:szCs w:val="18"/>
              </w:rPr>
              <w:t>0.0</w:t>
            </w:r>
            <w:r w:rsidR="00984544">
              <w:rPr>
                <w:rFonts w:eastAsia="Times New Roman"/>
                <w:sz w:val="18"/>
                <w:szCs w:val="18"/>
              </w:rPr>
              <w:t>10</w:t>
            </w:r>
          </w:p>
        </w:tc>
        <w:tc>
          <w:tcPr>
            <w:tcW w:w="4050" w:type="dxa"/>
            <w:tcBorders>
              <w:top w:val="single" w:sz="8" w:space="0" w:color="auto"/>
              <w:left w:val="single" w:sz="8" w:space="0" w:color="auto"/>
              <w:bottom w:val="single" w:sz="8" w:space="0" w:color="auto"/>
              <w:right w:val="single" w:sz="8" w:space="0" w:color="auto"/>
            </w:tcBorders>
          </w:tcPr>
          <w:p w14:paraId="7E32DD92" w14:textId="18E438BD" w:rsidR="00B52000" w:rsidRPr="00B52000" w:rsidRDefault="00B52000" w:rsidP="00B52000">
            <w:pPr>
              <w:spacing w:line="330" w:lineRule="auto"/>
              <w:ind w:left="86"/>
              <w:rPr>
                <w:sz w:val="20"/>
                <w:szCs w:val="20"/>
              </w:rPr>
            </w:pPr>
            <w:r>
              <w:rPr>
                <w:rFonts w:eastAsia="Times New Roman"/>
                <w:sz w:val="18"/>
                <w:szCs w:val="18"/>
              </w:rPr>
              <w:t>Some people who drink water containing arsenic in excess of the MCL over many years could experience skin damage or problems with their circulatory system, and may have an increased risk of getting cancer.</w:t>
            </w:r>
          </w:p>
        </w:tc>
      </w:tr>
      <w:tr w:rsidR="00B52000" w14:paraId="281A19C1" w14:textId="3418A5C5" w:rsidTr="00B52000">
        <w:trPr>
          <w:trHeight w:val="1080"/>
        </w:trPr>
        <w:tc>
          <w:tcPr>
            <w:tcW w:w="2730" w:type="dxa"/>
            <w:tcBorders>
              <w:top w:val="single" w:sz="8" w:space="0" w:color="auto"/>
              <w:left w:val="single" w:sz="8" w:space="0" w:color="auto"/>
              <w:bottom w:val="single" w:sz="8" w:space="0" w:color="auto"/>
              <w:right w:val="single" w:sz="8" w:space="0" w:color="auto"/>
            </w:tcBorders>
            <w:vAlign w:val="center"/>
          </w:tcPr>
          <w:p w14:paraId="281A19BD" w14:textId="22D9D3CF" w:rsidR="00B52000" w:rsidRDefault="00B52000" w:rsidP="00563A54">
            <w:pPr>
              <w:numPr>
                <w:ilvl w:val="0"/>
                <w:numId w:val="521"/>
              </w:numPr>
              <w:tabs>
                <w:tab w:val="left" w:pos="290"/>
              </w:tabs>
              <w:ind w:left="20"/>
              <w:rPr>
                <w:sz w:val="20"/>
                <w:szCs w:val="20"/>
              </w:rPr>
            </w:pPr>
            <w:r>
              <w:rPr>
                <w:rFonts w:eastAsia="Times New Roman"/>
                <w:sz w:val="18"/>
                <w:szCs w:val="18"/>
              </w:rPr>
              <w:t>Asbestos (fibers &gt; 10 µm)</w:t>
            </w:r>
          </w:p>
        </w:tc>
        <w:tc>
          <w:tcPr>
            <w:tcW w:w="1350" w:type="dxa"/>
            <w:tcBorders>
              <w:top w:val="single" w:sz="8" w:space="0" w:color="auto"/>
              <w:left w:val="single" w:sz="8" w:space="0" w:color="auto"/>
              <w:bottom w:val="single" w:sz="8" w:space="0" w:color="auto"/>
              <w:right w:val="single" w:sz="8" w:space="0" w:color="auto"/>
            </w:tcBorders>
            <w:vAlign w:val="center"/>
          </w:tcPr>
          <w:p w14:paraId="281A19BE" w14:textId="066C3710" w:rsidR="00B52000" w:rsidRDefault="00B52000" w:rsidP="00B52000">
            <w:pPr>
              <w:spacing w:line="260" w:lineRule="exact"/>
              <w:jc w:val="center"/>
              <w:rPr>
                <w:sz w:val="20"/>
                <w:szCs w:val="20"/>
              </w:rPr>
            </w:pPr>
            <w:r>
              <w:rPr>
                <w:rFonts w:eastAsia="Times New Roman"/>
                <w:sz w:val="18"/>
                <w:szCs w:val="18"/>
              </w:rPr>
              <w:t>7</w:t>
            </w:r>
            <w:r w:rsidR="00BF0D39">
              <w:rPr>
                <w:rFonts w:eastAsia="Times New Roman"/>
                <w:sz w:val="18"/>
                <w:szCs w:val="18"/>
              </w:rPr>
              <w:t xml:space="preserve"> </w:t>
            </w:r>
            <w:r>
              <w:rPr>
                <w:rFonts w:eastAsia="Times New Roman"/>
                <w:sz w:val="18"/>
                <w:szCs w:val="18"/>
              </w:rPr>
              <w:t>MFL</w:t>
            </w:r>
            <w:r>
              <w:rPr>
                <w:rFonts w:eastAsia="Times New Roman"/>
                <w:sz w:val="24"/>
                <w:szCs w:val="24"/>
                <w:vertAlign w:val="superscript"/>
              </w:rPr>
              <w:t>12</w:t>
            </w:r>
          </w:p>
        </w:tc>
        <w:tc>
          <w:tcPr>
            <w:tcW w:w="2350" w:type="dxa"/>
            <w:tcBorders>
              <w:top w:val="single" w:sz="8" w:space="0" w:color="auto"/>
              <w:left w:val="single" w:sz="8" w:space="0" w:color="auto"/>
              <w:bottom w:val="single" w:sz="8" w:space="0" w:color="auto"/>
              <w:right w:val="single" w:sz="8" w:space="0" w:color="auto"/>
            </w:tcBorders>
            <w:vAlign w:val="center"/>
          </w:tcPr>
          <w:p w14:paraId="281A19BF" w14:textId="3862674D" w:rsidR="00B52000" w:rsidRDefault="00B52000" w:rsidP="00B52000">
            <w:pPr>
              <w:jc w:val="center"/>
              <w:rPr>
                <w:sz w:val="20"/>
                <w:szCs w:val="20"/>
              </w:rPr>
            </w:pPr>
            <w:r>
              <w:rPr>
                <w:rFonts w:eastAsia="Times New Roman"/>
                <w:sz w:val="18"/>
                <w:szCs w:val="18"/>
              </w:rPr>
              <w:t>7</w:t>
            </w:r>
            <w:r w:rsidR="00BF0D39">
              <w:rPr>
                <w:rFonts w:eastAsia="Times New Roman"/>
                <w:sz w:val="18"/>
                <w:szCs w:val="18"/>
              </w:rPr>
              <w:t xml:space="preserve"> </w:t>
            </w:r>
            <w:r>
              <w:rPr>
                <w:rFonts w:eastAsia="Times New Roman"/>
                <w:sz w:val="18"/>
                <w:szCs w:val="18"/>
              </w:rPr>
              <w:t>MFL</w:t>
            </w:r>
          </w:p>
        </w:tc>
        <w:tc>
          <w:tcPr>
            <w:tcW w:w="4050" w:type="dxa"/>
            <w:tcBorders>
              <w:top w:val="single" w:sz="8" w:space="0" w:color="auto"/>
              <w:left w:val="single" w:sz="8" w:space="0" w:color="auto"/>
              <w:bottom w:val="single" w:sz="8" w:space="0" w:color="auto"/>
              <w:right w:val="single" w:sz="8" w:space="0" w:color="auto"/>
            </w:tcBorders>
          </w:tcPr>
          <w:p w14:paraId="309C3B47" w14:textId="4AC5A45B" w:rsidR="00B52000" w:rsidRPr="00B52000" w:rsidRDefault="00B52000" w:rsidP="00B52000">
            <w:pPr>
              <w:spacing w:line="328" w:lineRule="auto"/>
              <w:ind w:left="86"/>
              <w:rPr>
                <w:sz w:val="20"/>
                <w:szCs w:val="20"/>
              </w:rPr>
            </w:pPr>
            <w:r>
              <w:rPr>
                <w:rFonts w:eastAsia="Times New Roman"/>
                <w:sz w:val="18"/>
                <w:szCs w:val="18"/>
              </w:rPr>
              <w:t>Some people who drink water containing asbestos in excess of the MCL over many years may have an increased risk of developing benign intestinal polyps.</w:t>
            </w:r>
          </w:p>
        </w:tc>
      </w:tr>
      <w:tr w:rsidR="00B52000" w14:paraId="281A19CF" w14:textId="3881F316" w:rsidTr="00B52000">
        <w:trPr>
          <w:trHeight w:val="806"/>
        </w:trPr>
        <w:tc>
          <w:tcPr>
            <w:tcW w:w="2730" w:type="dxa"/>
            <w:tcBorders>
              <w:top w:val="single" w:sz="8" w:space="0" w:color="auto"/>
              <w:left w:val="single" w:sz="8" w:space="0" w:color="auto"/>
              <w:bottom w:val="single" w:sz="8" w:space="0" w:color="auto"/>
              <w:right w:val="single" w:sz="8" w:space="0" w:color="auto"/>
            </w:tcBorders>
            <w:vAlign w:val="center"/>
          </w:tcPr>
          <w:p w14:paraId="281A19CA" w14:textId="46C8B721" w:rsidR="00B52000" w:rsidRPr="00B52000" w:rsidRDefault="00B52000" w:rsidP="00563A54">
            <w:pPr>
              <w:numPr>
                <w:ilvl w:val="0"/>
                <w:numId w:val="521"/>
              </w:numPr>
              <w:tabs>
                <w:tab w:val="left" w:pos="290"/>
              </w:tabs>
              <w:ind w:left="20"/>
              <w:rPr>
                <w:rFonts w:eastAsia="Times New Roman"/>
                <w:sz w:val="18"/>
                <w:szCs w:val="18"/>
              </w:rPr>
            </w:pPr>
            <w:r>
              <w:rPr>
                <w:rFonts w:eastAsia="Times New Roman"/>
                <w:sz w:val="18"/>
                <w:szCs w:val="18"/>
              </w:rPr>
              <w:t>Barium</w:t>
            </w:r>
          </w:p>
        </w:tc>
        <w:tc>
          <w:tcPr>
            <w:tcW w:w="1350" w:type="dxa"/>
            <w:tcBorders>
              <w:top w:val="single" w:sz="8" w:space="0" w:color="auto"/>
              <w:left w:val="single" w:sz="8" w:space="0" w:color="auto"/>
              <w:bottom w:val="single" w:sz="8" w:space="0" w:color="auto"/>
              <w:right w:val="single" w:sz="8" w:space="0" w:color="auto"/>
            </w:tcBorders>
            <w:vAlign w:val="center"/>
          </w:tcPr>
          <w:p w14:paraId="281A19CB" w14:textId="77777777" w:rsidR="00B52000" w:rsidRDefault="00B52000" w:rsidP="00B52000">
            <w:pPr>
              <w:jc w:val="center"/>
              <w:rPr>
                <w:sz w:val="20"/>
                <w:szCs w:val="20"/>
              </w:rPr>
            </w:pPr>
            <w:r>
              <w:rPr>
                <w:rFonts w:eastAsia="Times New Roman"/>
                <w:sz w:val="18"/>
                <w:szCs w:val="18"/>
              </w:rPr>
              <w:t>2</w:t>
            </w:r>
          </w:p>
        </w:tc>
        <w:tc>
          <w:tcPr>
            <w:tcW w:w="2350" w:type="dxa"/>
            <w:tcBorders>
              <w:top w:val="single" w:sz="8" w:space="0" w:color="auto"/>
              <w:left w:val="single" w:sz="8" w:space="0" w:color="auto"/>
              <w:bottom w:val="single" w:sz="8" w:space="0" w:color="auto"/>
              <w:right w:val="single" w:sz="8" w:space="0" w:color="auto"/>
            </w:tcBorders>
            <w:vAlign w:val="center"/>
          </w:tcPr>
          <w:p w14:paraId="281A19CD" w14:textId="77777777" w:rsidR="00B52000" w:rsidRDefault="00B52000" w:rsidP="00B52000">
            <w:pPr>
              <w:jc w:val="center"/>
              <w:rPr>
                <w:sz w:val="20"/>
                <w:szCs w:val="20"/>
              </w:rPr>
            </w:pPr>
            <w:r>
              <w:rPr>
                <w:rFonts w:eastAsia="Times New Roman"/>
                <w:sz w:val="18"/>
                <w:szCs w:val="18"/>
              </w:rPr>
              <w:t>2</w:t>
            </w:r>
          </w:p>
        </w:tc>
        <w:tc>
          <w:tcPr>
            <w:tcW w:w="4050" w:type="dxa"/>
            <w:tcBorders>
              <w:top w:val="single" w:sz="8" w:space="0" w:color="auto"/>
              <w:left w:val="single" w:sz="8" w:space="0" w:color="auto"/>
              <w:bottom w:val="single" w:sz="8" w:space="0" w:color="auto"/>
              <w:right w:val="single" w:sz="8" w:space="0" w:color="auto"/>
            </w:tcBorders>
          </w:tcPr>
          <w:p w14:paraId="6C575D65" w14:textId="19A3FF11" w:rsidR="00B52000" w:rsidRPr="00B52000" w:rsidRDefault="00B52000" w:rsidP="00B52000">
            <w:pPr>
              <w:spacing w:line="311" w:lineRule="auto"/>
              <w:ind w:left="86"/>
              <w:rPr>
                <w:sz w:val="20"/>
                <w:szCs w:val="20"/>
              </w:rPr>
            </w:pPr>
            <w:r>
              <w:rPr>
                <w:rFonts w:eastAsia="Times New Roman"/>
                <w:sz w:val="18"/>
                <w:szCs w:val="18"/>
              </w:rPr>
              <w:t>Some people who drink water containing barium in excess of the MCL over many years could experience an increase in their blood pressure.</w:t>
            </w:r>
          </w:p>
        </w:tc>
      </w:tr>
      <w:tr w:rsidR="00B52000" w14:paraId="281A19DD" w14:textId="5F358716" w:rsidTr="00B52000">
        <w:trPr>
          <w:trHeight w:val="478"/>
        </w:trPr>
        <w:tc>
          <w:tcPr>
            <w:tcW w:w="2730" w:type="dxa"/>
            <w:tcBorders>
              <w:top w:val="single" w:sz="8" w:space="0" w:color="auto"/>
              <w:left w:val="single" w:sz="8" w:space="0" w:color="auto"/>
              <w:bottom w:val="single" w:sz="8" w:space="0" w:color="auto"/>
              <w:right w:val="single" w:sz="8" w:space="0" w:color="auto"/>
            </w:tcBorders>
            <w:vAlign w:val="center"/>
          </w:tcPr>
          <w:p w14:paraId="281A19D8" w14:textId="58A7983F" w:rsidR="00B52000" w:rsidRDefault="00B52000" w:rsidP="00563A54">
            <w:pPr>
              <w:numPr>
                <w:ilvl w:val="0"/>
                <w:numId w:val="521"/>
              </w:numPr>
              <w:tabs>
                <w:tab w:val="left" w:pos="290"/>
              </w:tabs>
              <w:ind w:left="20"/>
              <w:rPr>
                <w:sz w:val="20"/>
                <w:szCs w:val="20"/>
              </w:rPr>
            </w:pPr>
            <w:r>
              <w:rPr>
                <w:rFonts w:eastAsia="Times New Roman"/>
                <w:sz w:val="18"/>
                <w:szCs w:val="18"/>
              </w:rPr>
              <w:t>Beryllium</w:t>
            </w:r>
          </w:p>
        </w:tc>
        <w:tc>
          <w:tcPr>
            <w:tcW w:w="1350" w:type="dxa"/>
            <w:tcBorders>
              <w:top w:val="single" w:sz="8" w:space="0" w:color="auto"/>
              <w:left w:val="single" w:sz="8" w:space="0" w:color="auto"/>
              <w:bottom w:val="single" w:sz="8" w:space="0" w:color="auto"/>
              <w:right w:val="single" w:sz="8" w:space="0" w:color="auto"/>
            </w:tcBorders>
            <w:vAlign w:val="center"/>
          </w:tcPr>
          <w:p w14:paraId="281A19D9" w14:textId="00F33A78" w:rsidR="00B52000" w:rsidRDefault="00B52000" w:rsidP="00B52000">
            <w:pPr>
              <w:jc w:val="center"/>
              <w:rPr>
                <w:sz w:val="20"/>
                <w:szCs w:val="20"/>
              </w:rPr>
            </w:pPr>
            <w:r>
              <w:rPr>
                <w:rFonts w:eastAsia="Times New Roman"/>
                <w:sz w:val="18"/>
                <w:szCs w:val="18"/>
              </w:rPr>
              <w:t>0</w:t>
            </w:r>
            <w:r w:rsidR="001D26CC">
              <w:rPr>
                <w:rFonts w:eastAsia="Times New Roman"/>
                <w:sz w:val="18"/>
                <w:szCs w:val="18"/>
              </w:rPr>
              <w:t>.004</w:t>
            </w:r>
          </w:p>
        </w:tc>
        <w:tc>
          <w:tcPr>
            <w:tcW w:w="2350" w:type="dxa"/>
            <w:tcBorders>
              <w:top w:val="single" w:sz="8" w:space="0" w:color="auto"/>
              <w:left w:val="single" w:sz="8" w:space="0" w:color="auto"/>
              <w:bottom w:val="single" w:sz="8" w:space="0" w:color="auto"/>
              <w:right w:val="single" w:sz="8" w:space="0" w:color="auto"/>
            </w:tcBorders>
            <w:vAlign w:val="center"/>
          </w:tcPr>
          <w:p w14:paraId="281A19DB" w14:textId="77777777" w:rsidR="00B52000" w:rsidRDefault="00B52000" w:rsidP="00B52000">
            <w:pPr>
              <w:jc w:val="center"/>
              <w:rPr>
                <w:sz w:val="20"/>
                <w:szCs w:val="20"/>
              </w:rPr>
            </w:pPr>
            <w:r>
              <w:rPr>
                <w:rFonts w:eastAsia="Times New Roman"/>
                <w:sz w:val="18"/>
                <w:szCs w:val="18"/>
              </w:rPr>
              <w:t>0.004</w:t>
            </w:r>
          </w:p>
        </w:tc>
        <w:tc>
          <w:tcPr>
            <w:tcW w:w="4050" w:type="dxa"/>
            <w:tcBorders>
              <w:top w:val="single" w:sz="8" w:space="0" w:color="auto"/>
              <w:left w:val="single" w:sz="8" w:space="0" w:color="auto"/>
              <w:bottom w:val="single" w:sz="8" w:space="0" w:color="auto"/>
              <w:right w:val="single" w:sz="8" w:space="0" w:color="auto"/>
            </w:tcBorders>
          </w:tcPr>
          <w:p w14:paraId="238C46F0" w14:textId="2647E217" w:rsidR="00B52000" w:rsidRPr="00B52000" w:rsidRDefault="00B52000" w:rsidP="00B52000">
            <w:pPr>
              <w:spacing w:line="314" w:lineRule="auto"/>
              <w:ind w:left="86"/>
              <w:rPr>
                <w:sz w:val="20"/>
                <w:szCs w:val="20"/>
              </w:rPr>
            </w:pPr>
            <w:r>
              <w:rPr>
                <w:rFonts w:eastAsia="Times New Roman"/>
                <w:sz w:val="18"/>
                <w:szCs w:val="18"/>
              </w:rPr>
              <w:t>Some people who drink water containing beryllium well in excess of the MCL over many years could develop intestinal lesions.</w:t>
            </w:r>
          </w:p>
        </w:tc>
      </w:tr>
      <w:tr w:rsidR="00B52000" w14:paraId="281A19EB" w14:textId="0E122E33" w:rsidTr="00B52000">
        <w:trPr>
          <w:trHeight w:val="816"/>
        </w:trPr>
        <w:tc>
          <w:tcPr>
            <w:tcW w:w="2730" w:type="dxa"/>
            <w:tcBorders>
              <w:top w:val="single" w:sz="8" w:space="0" w:color="auto"/>
              <w:left w:val="single" w:sz="8" w:space="0" w:color="auto"/>
              <w:bottom w:val="single" w:sz="8" w:space="0" w:color="auto"/>
              <w:right w:val="single" w:sz="8" w:space="0" w:color="auto"/>
            </w:tcBorders>
            <w:vAlign w:val="center"/>
          </w:tcPr>
          <w:p w14:paraId="281A19E6" w14:textId="358158BD" w:rsidR="00B52000" w:rsidRDefault="00B52000" w:rsidP="00563A54">
            <w:pPr>
              <w:numPr>
                <w:ilvl w:val="0"/>
                <w:numId w:val="521"/>
              </w:numPr>
              <w:tabs>
                <w:tab w:val="left" w:pos="290"/>
              </w:tabs>
              <w:ind w:left="20"/>
              <w:rPr>
                <w:sz w:val="20"/>
                <w:szCs w:val="20"/>
              </w:rPr>
            </w:pPr>
            <w:r>
              <w:rPr>
                <w:rFonts w:eastAsia="Times New Roman"/>
                <w:sz w:val="18"/>
                <w:szCs w:val="18"/>
              </w:rPr>
              <w:t>Cadmium</w:t>
            </w:r>
          </w:p>
        </w:tc>
        <w:tc>
          <w:tcPr>
            <w:tcW w:w="1350" w:type="dxa"/>
            <w:tcBorders>
              <w:top w:val="single" w:sz="8" w:space="0" w:color="auto"/>
              <w:left w:val="single" w:sz="8" w:space="0" w:color="auto"/>
              <w:bottom w:val="single" w:sz="8" w:space="0" w:color="auto"/>
              <w:right w:val="single" w:sz="8" w:space="0" w:color="auto"/>
            </w:tcBorders>
            <w:vAlign w:val="center"/>
          </w:tcPr>
          <w:p w14:paraId="281A19E7" w14:textId="1E583155" w:rsidR="00B52000" w:rsidRDefault="00B52000" w:rsidP="00B52000">
            <w:pPr>
              <w:jc w:val="center"/>
              <w:rPr>
                <w:sz w:val="20"/>
                <w:szCs w:val="20"/>
              </w:rPr>
            </w:pPr>
            <w:r>
              <w:rPr>
                <w:rFonts w:eastAsia="Times New Roman"/>
                <w:sz w:val="18"/>
                <w:szCs w:val="18"/>
              </w:rPr>
              <w:t>0.0</w:t>
            </w:r>
            <w:r w:rsidR="00C555FC">
              <w:rPr>
                <w:rFonts w:eastAsia="Times New Roman"/>
                <w:sz w:val="18"/>
                <w:szCs w:val="18"/>
              </w:rPr>
              <w:t>05</w:t>
            </w:r>
          </w:p>
        </w:tc>
        <w:tc>
          <w:tcPr>
            <w:tcW w:w="2350" w:type="dxa"/>
            <w:tcBorders>
              <w:top w:val="single" w:sz="8" w:space="0" w:color="auto"/>
              <w:left w:val="single" w:sz="8" w:space="0" w:color="auto"/>
              <w:bottom w:val="single" w:sz="8" w:space="0" w:color="auto"/>
              <w:right w:val="single" w:sz="8" w:space="0" w:color="auto"/>
            </w:tcBorders>
            <w:vAlign w:val="center"/>
          </w:tcPr>
          <w:p w14:paraId="281A19E9" w14:textId="77777777" w:rsidR="00B52000" w:rsidRDefault="00B52000" w:rsidP="00B52000">
            <w:pPr>
              <w:jc w:val="center"/>
              <w:rPr>
                <w:sz w:val="20"/>
                <w:szCs w:val="20"/>
              </w:rPr>
            </w:pPr>
            <w:r>
              <w:rPr>
                <w:rFonts w:eastAsia="Times New Roman"/>
                <w:sz w:val="18"/>
                <w:szCs w:val="18"/>
              </w:rPr>
              <w:t>0.005</w:t>
            </w:r>
          </w:p>
        </w:tc>
        <w:tc>
          <w:tcPr>
            <w:tcW w:w="4050" w:type="dxa"/>
            <w:tcBorders>
              <w:top w:val="single" w:sz="8" w:space="0" w:color="auto"/>
              <w:left w:val="single" w:sz="8" w:space="0" w:color="auto"/>
              <w:bottom w:val="single" w:sz="8" w:space="0" w:color="auto"/>
              <w:right w:val="single" w:sz="8" w:space="0" w:color="auto"/>
            </w:tcBorders>
          </w:tcPr>
          <w:p w14:paraId="6A8300D0" w14:textId="22AC5D55" w:rsidR="00B52000" w:rsidRPr="00B52000" w:rsidRDefault="00B52000" w:rsidP="00B52000">
            <w:pPr>
              <w:spacing w:line="311" w:lineRule="auto"/>
              <w:ind w:left="86"/>
              <w:rPr>
                <w:sz w:val="20"/>
                <w:szCs w:val="20"/>
              </w:rPr>
            </w:pPr>
            <w:r>
              <w:rPr>
                <w:rFonts w:eastAsia="Times New Roman"/>
                <w:sz w:val="18"/>
                <w:szCs w:val="18"/>
              </w:rPr>
              <w:t>Some people who drink water containing cadmium in excess of the MCL over many years could experience kidney damage.</w:t>
            </w:r>
          </w:p>
        </w:tc>
      </w:tr>
      <w:tr w:rsidR="00B52000" w14:paraId="281A19F9" w14:textId="16BBC006" w:rsidTr="00B52000">
        <w:trPr>
          <w:trHeight w:val="804"/>
        </w:trPr>
        <w:tc>
          <w:tcPr>
            <w:tcW w:w="2730" w:type="dxa"/>
            <w:tcBorders>
              <w:top w:val="single" w:sz="8" w:space="0" w:color="auto"/>
              <w:left w:val="single" w:sz="8" w:space="0" w:color="auto"/>
              <w:bottom w:val="single" w:sz="8" w:space="0" w:color="auto"/>
              <w:right w:val="single" w:sz="8" w:space="0" w:color="auto"/>
            </w:tcBorders>
            <w:vAlign w:val="center"/>
          </w:tcPr>
          <w:p w14:paraId="281A19F4" w14:textId="155926BD" w:rsidR="00B52000" w:rsidRDefault="00B52000" w:rsidP="00563A54">
            <w:pPr>
              <w:numPr>
                <w:ilvl w:val="0"/>
                <w:numId w:val="521"/>
              </w:numPr>
              <w:tabs>
                <w:tab w:val="left" w:pos="290"/>
              </w:tabs>
              <w:ind w:left="20"/>
              <w:rPr>
                <w:sz w:val="20"/>
                <w:szCs w:val="20"/>
              </w:rPr>
            </w:pPr>
            <w:r>
              <w:rPr>
                <w:rFonts w:eastAsia="Times New Roman"/>
                <w:sz w:val="18"/>
                <w:szCs w:val="18"/>
              </w:rPr>
              <w:t>Chromium (total).</w:t>
            </w:r>
          </w:p>
        </w:tc>
        <w:tc>
          <w:tcPr>
            <w:tcW w:w="1350" w:type="dxa"/>
            <w:tcBorders>
              <w:top w:val="single" w:sz="8" w:space="0" w:color="auto"/>
              <w:left w:val="single" w:sz="8" w:space="0" w:color="auto"/>
              <w:bottom w:val="single" w:sz="8" w:space="0" w:color="auto"/>
              <w:right w:val="single" w:sz="8" w:space="0" w:color="auto"/>
            </w:tcBorders>
            <w:vAlign w:val="center"/>
          </w:tcPr>
          <w:p w14:paraId="281A19F5" w14:textId="77777777" w:rsidR="00B52000" w:rsidRDefault="00B52000" w:rsidP="00B52000">
            <w:pPr>
              <w:jc w:val="center"/>
              <w:rPr>
                <w:sz w:val="20"/>
                <w:szCs w:val="20"/>
              </w:rPr>
            </w:pPr>
            <w:r>
              <w:rPr>
                <w:rFonts w:eastAsia="Times New Roman"/>
                <w:sz w:val="18"/>
                <w:szCs w:val="18"/>
              </w:rPr>
              <w:t>0.1</w:t>
            </w:r>
          </w:p>
        </w:tc>
        <w:tc>
          <w:tcPr>
            <w:tcW w:w="2350" w:type="dxa"/>
            <w:tcBorders>
              <w:top w:val="single" w:sz="8" w:space="0" w:color="auto"/>
              <w:left w:val="single" w:sz="8" w:space="0" w:color="auto"/>
              <w:bottom w:val="single" w:sz="8" w:space="0" w:color="auto"/>
              <w:right w:val="single" w:sz="8" w:space="0" w:color="auto"/>
            </w:tcBorders>
            <w:vAlign w:val="center"/>
          </w:tcPr>
          <w:p w14:paraId="281A19F7" w14:textId="77777777" w:rsidR="00B52000" w:rsidRDefault="00B52000" w:rsidP="00B52000">
            <w:pPr>
              <w:jc w:val="center"/>
              <w:rPr>
                <w:sz w:val="20"/>
                <w:szCs w:val="20"/>
              </w:rPr>
            </w:pPr>
            <w:r>
              <w:rPr>
                <w:rFonts w:eastAsia="Times New Roman"/>
                <w:sz w:val="18"/>
                <w:szCs w:val="18"/>
              </w:rPr>
              <w:t>0.1</w:t>
            </w:r>
          </w:p>
        </w:tc>
        <w:tc>
          <w:tcPr>
            <w:tcW w:w="4050" w:type="dxa"/>
            <w:tcBorders>
              <w:top w:val="single" w:sz="8" w:space="0" w:color="auto"/>
              <w:left w:val="single" w:sz="8" w:space="0" w:color="auto"/>
              <w:bottom w:val="single" w:sz="8" w:space="0" w:color="auto"/>
              <w:right w:val="single" w:sz="8" w:space="0" w:color="auto"/>
            </w:tcBorders>
          </w:tcPr>
          <w:p w14:paraId="3BC26EA3" w14:textId="2C9AEFE4" w:rsidR="00B52000" w:rsidRPr="00B52000" w:rsidRDefault="00B52000" w:rsidP="00B52000">
            <w:pPr>
              <w:spacing w:line="310" w:lineRule="auto"/>
              <w:ind w:left="86"/>
              <w:jc w:val="both"/>
              <w:rPr>
                <w:sz w:val="20"/>
                <w:szCs w:val="20"/>
              </w:rPr>
            </w:pPr>
            <w:r>
              <w:rPr>
                <w:rFonts w:eastAsia="Times New Roman"/>
                <w:sz w:val="18"/>
                <w:szCs w:val="18"/>
              </w:rPr>
              <w:t>Some people who use water containing chromium well in excess of the MCL over many years could experience allergic dermatitis.</w:t>
            </w:r>
          </w:p>
        </w:tc>
      </w:tr>
      <w:tr w:rsidR="00B52000" w14:paraId="281A1A07" w14:textId="0620C5DC" w:rsidTr="00B52000">
        <w:trPr>
          <w:trHeight w:val="1070"/>
        </w:trPr>
        <w:tc>
          <w:tcPr>
            <w:tcW w:w="2730" w:type="dxa"/>
            <w:tcBorders>
              <w:top w:val="single" w:sz="8" w:space="0" w:color="auto"/>
              <w:left w:val="single" w:sz="8" w:space="0" w:color="auto"/>
              <w:bottom w:val="single" w:sz="8" w:space="0" w:color="auto"/>
              <w:right w:val="single" w:sz="8" w:space="0" w:color="auto"/>
            </w:tcBorders>
            <w:vAlign w:val="center"/>
          </w:tcPr>
          <w:p w14:paraId="281A1A02" w14:textId="37DF3D3B" w:rsidR="00B52000" w:rsidRDefault="00B52000" w:rsidP="00563A54">
            <w:pPr>
              <w:numPr>
                <w:ilvl w:val="0"/>
                <w:numId w:val="521"/>
              </w:numPr>
              <w:tabs>
                <w:tab w:val="left" w:pos="290"/>
              </w:tabs>
              <w:ind w:left="20"/>
              <w:rPr>
                <w:sz w:val="20"/>
                <w:szCs w:val="20"/>
              </w:rPr>
            </w:pPr>
            <w:r>
              <w:rPr>
                <w:rFonts w:eastAsia="Times New Roman"/>
                <w:sz w:val="18"/>
                <w:szCs w:val="18"/>
              </w:rPr>
              <w:t>Cyanide</w:t>
            </w:r>
          </w:p>
        </w:tc>
        <w:tc>
          <w:tcPr>
            <w:tcW w:w="1350" w:type="dxa"/>
            <w:tcBorders>
              <w:top w:val="single" w:sz="8" w:space="0" w:color="auto"/>
              <w:left w:val="single" w:sz="8" w:space="0" w:color="auto"/>
              <w:bottom w:val="single" w:sz="8" w:space="0" w:color="auto"/>
              <w:right w:val="single" w:sz="8" w:space="0" w:color="auto"/>
            </w:tcBorders>
            <w:vAlign w:val="center"/>
          </w:tcPr>
          <w:p w14:paraId="281A1A03" w14:textId="77777777" w:rsidR="00B52000" w:rsidRDefault="00B52000" w:rsidP="00B52000">
            <w:pPr>
              <w:jc w:val="center"/>
              <w:rPr>
                <w:sz w:val="20"/>
                <w:szCs w:val="20"/>
              </w:rPr>
            </w:pPr>
            <w:r>
              <w:rPr>
                <w:rFonts w:eastAsia="Times New Roman"/>
                <w:sz w:val="18"/>
                <w:szCs w:val="18"/>
              </w:rPr>
              <w:t>0.2</w:t>
            </w:r>
          </w:p>
        </w:tc>
        <w:tc>
          <w:tcPr>
            <w:tcW w:w="2350" w:type="dxa"/>
            <w:tcBorders>
              <w:top w:val="single" w:sz="8" w:space="0" w:color="auto"/>
              <w:left w:val="single" w:sz="8" w:space="0" w:color="auto"/>
              <w:bottom w:val="single" w:sz="8" w:space="0" w:color="auto"/>
              <w:right w:val="single" w:sz="8" w:space="0" w:color="auto"/>
            </w:tcBorders>
            <w:vAlign w:val="center"/>
          </w:tcPr>
          <w:p w14:paraId="281A1A05" w14:textId="77777777" w:rsidR="00B52000" w:rsidRDefault="00B52000" w:rsidP="00B52000">
            <w:pPr>
              <w:jc w:val="center"/>
              <w:rPr>
                <w:sz w:val="20"/>
                <w:szCs w:val="20"/>
              </w:rPr>
            </w:pPr>
            <w:r>
              <w:rPr>
                <w:rFonts w:eastAsia="Times New Roman"/>
                <w:sz w:val="18"/>
                <w:szCs w:val="18"/>
              </w:rPr>
              <w:t>0.2</w:t>
            </w:r>
          </w:p>
        </w:tc>
        <w:tc>
          <w:tcPr>
            <w:tcW w:w="4050" w:type="dxa"/>
            <w:tcBorders>
              <w:top w:val="single" w:sz="8" w:space="0" w:color="auto"/>
              <w:left w:val="single" w:sz="8" w:space="0" w:color="auto"/>
              <w:bottom w:val="single" w:sz="8" w:space="0" w:color="auto"/>
              <w:right w:val="single" w:sz="8" w:space="0" w:color="auto"/>
            </w:tcBorders>
          </w:tcPr>
          <w:p w14:paraId="32533E46" w14:textId="04F9C7F1" w:rsidR="00B52000" w:rsidRPr="00B52000" w:rsidRDefault="00B52000" w:rsidP="00B52000">
            <w:pPr>
              <w:spacing w:line="313" w:lineRule="auto"/>
              <w:ind w:right="320"/>
              <w:rPr>
                <w:sz w:val="20"/>
                <w:szCs w:val="20"/>
              </w:rPr>
            </w:pPr>
            <w:r>
              <w:rPr>
                <w:rFonts w:eastAsia="Times New Roman"/>
                <w:sz w:val="18"/>
                <w:szCs w:val="18"/>
              </w:rPr>
              <w:t>Some people who drink water containing cyanide well in excess of the MCL over many years could experience nerve damage or problems with their thyroid.</w:t>
            </w:r>
          </w:p>
        </w:tc>
      </w:tr>
      <w:tr w:rsidR="00B52000" w14:paraId="281A1A15" w14:textId="07EF7EDB" w:rsidTr="00B52000">
        <w:trPr>
          <w:trHeight w:val="2408"/>
        </w:trPr>
        <w:tc>
          <w:tcPr>
            <w:tcW w:w="2730" w:type="dxa"/>
            <w:tcBorders>
              <w:top w:val="single" w:sz="8" w:space="0" w:color="auto"/>
              <w:left w:val="single" w:sz="8" w:space="0" w:color="auto"/>
              <w:bottom w:val="single" w:sz="8" w:space="0" w:color="auto"/>
              <w:right w:val="single" w:sz="8" w:space="0" w:color="auto"/>
            </w:tcBorders>
            <w:vAlign w:val="center"/>
          </w:tcPr>
          <w:p w14:paraId="281A1A10" w14:textId="7CC7CA67" w:rsidR="00B52000" w:rsidRDefault="00B52000" w:rsidP="00563A54">
            <w:pPr>
              <w:numPr>
                <w:ilvl w:val="0"/>
                <w:numId w:val="521"/>
              </w:numPr>
              <w:tabs>
                <w:tab w:val="left" w:pos="290"/>
              </w:tabs>
              <w:ind w:left="20"/>
              <w:rPr>
                <w:sz w:val="20"/>
                <w:szCs w:val="20"/>
              </w:rPr>
            </w:pPr>
            <w:r>
              <w:rPr>
                <w:rFonts w:eastAsia="Times New Roman"/>
                <w:sz w:val="18"/>
                <w:szCs w:val="18"/>
              </w:rPr>
              <w:t>Fluoride</w:t>
            </w:r>
          </w:p>
        </w:tc>
        <w:tc>
          <w:tcPr>
            <w:tcW w:w="1350" w:type="dxa"/>
            <w:tcBorders>
              <w:top w:val="single" w:sz="8" w:space="0" w:color="auto"/>
              <w:left w:val="single" w:sz="8" w:space="0" w:color="auto"/>
              <w:bottom w:val="single" w:sz="8" w:space="0" w:color="auto"/>
              <w:right w:val="single" w:sz="8" w:space="0" w:color="auto"/>
            </w:tcBorders>
            <w:vAlign w:val="center"/>
          </w:tcPr>
          <w:p w14:paraId="281A1A11" w14:textId="6BE7758B" w:rsidR="00B52000" w:rsidRDefault="00B52000" w:rsidP="00B52000">
            <w:pPr>
              <w:jc w:val="center"/>
              <w:rPr>
                <w:sz w:val="20"/>
                <w:szCs w:val="20"/>
              </w:rPr>
            </w:pPr>
            <w:r>
              <w:rPr>
                <w:rFonts w:eastAsia="Times New Roman"/>
                <w:sz w:val="18"/>
                <w:szCs w:val="18"/>
              </w:rPr>
              <w:t>4</w:t>
            </w:r>
            <w:r w:rsidR="00AB11EA">
              <w:rPr>
                <w:rFonts w:eastAsia="Times New Roman"/>
                <w:sz w:val="18"/>
                <w:szCs w:val="18"/>
              </w:rPr>
              <w:t>.0</w:t>
            </w:r>
          </w:p>
        </w:tc>
        <w:tc>
          <w:tcPr>
            <w:tcW w:w="2350" w:type="dxa"/>
            <w:tcBorders>
              <w:top w:val="single" w:sz="8" w:space="0" w:color="auto"/>
              <w:left w:val="single" w:sz="8" w:space="0" w:color="auto"/>
              <w:bottom w:val="single" w:sz="8" w:space="0" w:color="auto"/>
              <w:right w:val="single" w:sz="8" w:space="0" w:color="auto"/>
            </w:tcBorders>
            <w:vAlign w:val="center"/>
          </w:tcPr>
          <w:p w14:paraId="281A1A13" w14:textId="4BCF844F" w:rsidR="00B52000" w:rsidRDefault="00B52000" w:rsidP="00B52000">
            <w:pPr>
              <w:jc w:val="center"/>
              <w:rPr>
                <w:sz w:val="20"/>
                <w:szCs w:val="20"/>
              </w:rPr>
            </w:pPr>
            <w:r>
              <w:rPr>
                <w:rFonts w:eastAsia="Times New Roman"/>
                <w:sz w:val="18"/>
                <w:szCs w:val="18"/>
              </w:rPr>
              <w:t>4</w:t>
            </w:r>
            <w:r w:rsidR="00AB11EA">
              <w:rPr>
                <w:rFonts w:eastAsia="Times New Roman"/>
                <w:sz w:val="18"/>
                <w:szCs w:val="18"/>
              </w:rPr>
              <w:t>.0</w:t>
            </w:r>
          </w:p>
        </w:tc>
        <w:tc>
          <w:tcPr>
            <w:tcW w:w="4050" w:type="dxa"/>
            <w:tcBorders>
              <w:top w:val="single" w:sz="8" w:space="0" w:color="auto"/>
              <w:left w:val="single" w:sz="8" w:space="0" w:color="auto"/>
              <w:bottom w:val="single" w:sz="8" w:space="0" w:color="auto"/>
              <w:right w:val="single" w:sz="8" w:space="0" w:color="auto"/>
            </w:tcBorders>
          </w:tcPr>
          <w:p w14:paraId="09E24186" w14:textId="6E6B0C3E" w:rsidR="00B52000" w:rsidRPr="00B52000" w:rsidRDefault="00B52000" w:rsidP="00B52000">
            <w:pPr>
              <w:spacing w:line="311" w:lineRule="auto"/>
              <w:ind w:left="86"/>
              <w:rPr>
                <w:sz w:val="20"/>
                <w:szCs w:val="20"/>
              </w:rPr>
            </w:pPr>
            <w:r>
              <w:rPr>
                <w:rFonts w:eastAsia="Times New Roman"/>
                <w:sz w:val="18"/>
                <w:szCs w:val="18"/>
              </w:rPr>
              <w:t>Some people who drink water containing fluoride in excess of the MCL over many years could get bone disease, including pain and tenderness of the bones. Fluoride in drinking water at half the MCL or more may cause mottling of children's teeth, usually in children younger than nine years old. Mottling, also known as dental fluorosis, may include brown staining and/or pitting of the teeth, and occurs only in developing teeth before they erupt from the gums.</w:t>
            </w:r>
          </w:p>
        </w:tc>
      </w:tr>
    </w:tbl>
    <w:p w14:paraId="281A1A1E" w14:textId="2CA4C5EC" w:rsidR="004647B9" w:rsidRDefault="004647B9" w:rsidP="00B52000">
      <w:pPr>
        <w:rPr>
          <w:sz w:val="20"/>
          <w:szCs w:val="20"/>
        </w:rPr>
      </w:pPr>
    </w:p>
    <w:p w14:paraId="281A1A42" w14:textId="77777777" w:rsidR="004647B9" w:rsidRDefault="004647B9" w:rsidP="00B52000">
      <w:pPr>
        <w:sectPr w:rsidR="004647B9" w:rsidSect="00EF630C">
          <w:type w:val="continuous"/>
          <w:pgSz w:w="12240" w:h="20180"/>
          <w:pgMar w:top="708" w:right="1080" w:bottom="1440" w:left="600" w:header="0" w:footer="0" w:gutter="0"/>
          <w:cols w:space="720"/>
        </w:sectPr>
      </w:pPr>
    </w:p>
    <w:p w14:paraId="281A1A43" w14:textId="77777777" w:rsidR="004647B9" w:rsidRDefault="00E2436F">
      <w:pPr>
        <w:tabs>
          <w:tab w:val="left" w:pos="2860"/>
        </w:tabs>
        <w:ind w:left="1680"/>
        <w:rPr>
          <w:sz w:val="20"/>
          <w:szCs w:val="20"/>
        </w:rPr>
      </w:pPr>
      <w:bookmarkStart w:id="200" w:name="page202"/>
      <w:bookmarkEnd w:id="20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A44" w14:textId="77777777" w:rsidR="004647B9" w:rsidRDefault="004647B9" w:rsidP="00400995">
      <w:pPr>
        <w:rPr>
          <w:sz w:val="20"/>
          <w:szCs w:val="20"/>
        </w:rPr>
      </w:pPr>
    </w:p>
    <w:p w14:paraId="281A1A45" w14:textId="77777777" w:rsidR="004647B9" w:rsidRDefault="004647B9" w:rsidP="00400995">
      <w:pPr>
        <w:rPr>
          <w:sz w:val="20"/>
          <w:szCs w:val="20"/>
        </w:rPr>
      </w:pPr>
    </w:p>
    <w:p w14:paraId="281A1A46" w14:textId="77777777" w:rsidR="004647B9" w:rsidRPr="00400995" w:rsidRDefault="00E2436F" w:rsidP="00400995">
      <w:pPr>
        <w:tabs>
          <w:tab w:val="left" w:pos="760"/>
        </w:tabs>
        <w:rPr>
          <w:sz w:val="24"/>
          <w:szCs w:val="24"/>
        </w:rPr>
      </w:pPr>
      <w:r w:rsidRPr="00400995">
        <w:rPr>
          <w:rFonts w:eastAsia="Times New Roman"/>
          <w:sz w:val="24"/>
          <w:szCs w:val="24"/>
        </w:rPr>
        <w:t>22.16:</w:t>
      </w:r>
      <w:r w:rsidRPr="00400995">
        <w:rPr>
          <w:rFonts w:eastAsia="Times New Roman"/>
          <w:sz w:val="24"/>
          <w:szCs w:val="24"/>
        </w:rPr>
        <w:tab/>
        <w:t>continued</w:t>
      </w:r>
    </w:p>
    <w:p w14:paraId="281A1A47" w14:textId="77777777" w:rsidR="004647B9" w:rsidRDefault="004647B9" w:rsidP="00400995">
      <w:pPr>
        <w:rPr>
          <w:sz w:val="20"/>
          <w:szCs w:val="20"/>
        </w:rPr>
      </w:pPr>
    </w:p>
    <w:tbl>
      <w:tblPr>
        <w:tblW w:w="10483" w:type="dxa"/>
        <w:tblInd w:w="50" w:type="dxa"/>
        <w:tblLayout w:type="fixed"/>
        <w:tblCellMar>
          <w:left w:w="0" w:type="dxa"/>
          <w:right w:w="0" w:type="dxa"/>
        </w:tblCellMar>
        <w:tblLook w:val="04A0" w:firstRow="1" w:lastRow="0" w:firstColumn="1" w:lastColumn="0" w:noHBand="0" w:noVBand="1"/>
      </w:tblPr>
      <w:tblGrid>
        <w:gridCol w:w="2733"/>
        <w:gridCol w:w="1357"/>
        <w:gridCol w:w="2347"/>
        <w:gridCol w:w="4046"/>
      </w:tblGrid>
      <w:tr w:rsidR="001036DF" w14:paraId="281A1A4F" w14:textId="77777777" w:rsidTr="003B2E63">
        <w:trPr>
          <w:trHeight w:val="271"/>
        </w:trPr>
        <w:tc>
          <w:tcPr>
            <w:tcW w:w="2733" w:type="dxa"/>
            <w:tcBorders>
              <w:top w:val="single" w:sz="8" w:space="0" w:color="auto"/>
              <w:left w:val="single" w:sz="8" w:space="0" w:color="auto"/>
              <w:bottom w:val="single" w:sz="8" w:space="0" w:color="auto"/>
              <w:right w:val="single" w:sz="8" w:space="0" w:color="auto"/>
            </w:tcBorders>
            <w:vAlign w:val="center"/>
          </w:tcPr>
          <w:p w14:paraId="281A1A49" w14:textId="4BBCB655" w:rsidR="00273F62" w:rsidRDefault="00273F62" w:rsidP="006B0165">
            <w:pPr>
              <w:ind w:left="43"/>
              <w:rPr>
                <w:sz w:val="23"/>
                <w:szCs w:val="23"/>
              </w:rPr>
            </w:pPr>
            <w:r>
              <w:rPr>
                <w:rFonts w:eastAsia="Times New Roman"/>
                <w:sz w:val="18"/>
                <w:szCs w:val="18"/>
              </w:rPr>
              <w:t>Contaminant</w:t>
            </w:r>
          </w:p>
        </w:tc>
        <w:tc>
          <w:tcPr>
            <w:tcW w:w="1357" w:type="dxa"/>
            <w:tcBorders>
              <w:top w:val="single" w:sz="8" w:space="0" w:color="auto"/>
              <w:left w:val="single" w:sz="8" w:space="0" w:color="auto"/>
              <w:bottom w:val="single" w:sz="8" w:space="0" w:color="auto"/>
              <w:right w:val="single" w:sz="8" w:space="0" w:color="auto"/>
            </w:tcBorders>
            <w:vAlign w:val="center"/>
          </w:tcPr>
          <w:p w14:paraId="281A1A4A" w14:textId="77777777" w:rsidR="00273F62" w:rsidRDefault="00273F62" w:rsidP="009443BF">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7" w:type="dxa"/>
            <w:tcBorders>
              <w:top w:val="single" w:sz="8" w:space="0" w:color="auto"/>
              <w:left w:val="single" w:sz="8" w:space="0" w:color="auto"/>
              <w:bottom w:val="single" w:sz="8" w:space="0" w:color="auto"/>
              <w:right w:val="single" w:sz="8" w:space="0" w:color="auto"/>
            </w:tcBorders>
            <w:vAlign w:val="center"/>
          </w:tcPr>
          <w:p w14:paraId="281A1A4C" w14:textId="77777777" w:rsidR="00273F62" w:rsidRDefault="00273F62" w:rsidP="009443BF">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6" w:type="dxa"/>
            <w:tcBorders>
              <w:top w:val="single" w:sz="8" w:space="0" w:color="auto"/>
              <w:bottom w:val="single" w:sz="8" w:space="0" w:color="auto"/>
              <w:right w:val="single" w:sz="8" w:space="0" w:color="auto"/>
            </w:tcBorders>
            <w:vAlign w:val="center"/>
          </w:tcPr>
          <w:p w14:paraId="281A1A4D" w14:textId="13B689DB" w:rsidR="00273F62" w:rsidRPr="005A4D34" w:rsidRDefault="00273F62" w:rsidP="005A4D34">
            <w:pPr>
              <w:ind w:left="40"/>
              <w:rPr>
                <w:sz w:val="18"/>
                <w:szCs w:val="18"/>
              </w:rPr>
            </w:pPr>
            <w:r w:rsidRPr="005A4D34">
              <w:rPr>
                <w:sz w:val="18"/>
                <w:szCs w:val="18"/>
              </w:rPr>
              <w:t>Standard health effects language for public</w:t>
            </w:r>
            <w:r w:rsidR="009443BF" w:rsidRPr="005A4D34">
              <w:rPr>
                <w:sz w:val="18"/>
                <w:szCs w:val="18"/>
              </w:rPr>
              <w:t xml:space="preserve"> </w:t>
            </w:r>
            <w:r w:rsidRPr="005A4D34">
              <w:rPr>
                <w:sz w:val="18"/>
                <w:szCs w:val="18"/>
              </w:rPr>
              <w:t>notification</w:t>
            </w:r>
          </w:p>
        </w:tc>
      </w:tr>
      <w:tr w:rsidR="009443BF" w14:paraId="281A1A57" w14:textId="77777777" w:rsidTr="003B2E63">
        <w:trPr>
          <w:trHeight w:val="286"/>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281A1A55" w14:textId="57E7A358" w:rsidR="009443BF" w:rsidRDefault="009443BF" w:rsidP="006B0165">
            <w:pPr>
              <w:ind w:left="43"/>
              <w:rPr>
                <w:sz w:val="20"/>
                <w:szCs w:val="20"/>
              </w:rPr>
            </w:pPr>
            <w:r>
              <w:rPr>
                <w:rFonts w:eastAsia="Times New Roman"/>
                <w:sz w:val="18"/>
                <w:szCs w:val="18"/>
              </w:rPr>
              <w:t>National Primary Drinking Water Regulations (NPDWR) and Massachusetts Drinking Water Regulations:</w:t>
            </w:r>
          </w:p>
        </w:tc>
      </w:tr>
      <w:tr w:rsidR="00236A0E" w14:paraId="1CFA1E14" w14:textId="77777777" w:rsidTr="003B2E63">
        <w:trPr>
          <w:trHeight w:val="254"/>
        </w:trPr>
        <w:tc>
          <w:tcPr>
            <w:tcW w:w="2733" w:type="dxa"/>
            <w:tcBorders>
              <w:left w:val="single" w:sz="8" w:space="0" w:color="auto"/>
              <w:bottom w:val="single" w:sz="8" w:space="0" w:color="auto"/>
              <w:right w:val="single" w:sz="8" w:space="0" w:color="auto"/>
            </w:tcBorders>
            <w:vAlign w:val="center"/>
          </w:tcPr>
          <w:p w14:paraId="1A50ACFE" w14:textId="4C1DE60C" w:rsidR="0010774A" w:rsidRDefault="0010774A" w:rsidP="00563A54">
            <w:pPr>
              <w:numPr>
                <w:ilvl w:val="0"/>
                <w:numId w:val="521"/>
              </w:numPr>
              <w:tabs>
                <w:tab w:val="left" w:pos="290"/>
              </w:tabs>
              <w:ind w:left="20"/>
            </w:pPr>
            <w:r>
              <w:rPr>
                <w:rFonts w:eastAsia="Times New Roman"/>
                <w:sz w:val="18"/>
                <w:szCs w:val="18"/>
              </w:rPr>
              <w:t>Mercury (inorganic)</w:t>
            </w:r>
          </w:p>
        </w:tc>
        <w:tc>
          <w:tcPr>
            <w:tcW w:w="1357" w:type="dxa"/>
            <w:tcBorders>
              <w:bottom w:val="single" w:sz="8" w:space="0" w:color="auto"/>
              <w:right w:val="single" w:sz="8" w:space="0" w:color="auto"/>
            </w:tcBorders>
            <w:vAlign w:val="center"/>
          </w:tcPr>
          <w:p w14:paraId="240958C7" w14:textId="2AEFD0A4" w:rsidR="0010774A" w:rsidRDefault="0010774A" w:rsidP="0010774A">
            <w:pPr>
              <w:jc w:val="center"/>
              <w:rPr>
                <w:rFonts w:eastAsia="Times New Roman"/>
                <w:sz w:val="18"/>
                <w:szCs w:val="18"/>
              </w:rPr>
            </w:pPr>
            <w:r>
              <w:rPr>
                <w:rFonts w:eastAsia="Times New Roman"/>
                <w:sz w:val="18"/>
                <w:szCs w:val="18"/>
              </w:rPr>
              <w:t>0.002</w:t>
            </w:r>
          </w:p>
        </w:tc>
        <w:tc>
          <w:tcPr>
            <w:tcW w:w="2347" w:type="dxa"/>
            <w:tcBorders>
              <w:bottom w:val="single" w:sz="8" w:space="0" w:color="auto"/>
              <w:right w:val="single" w:sz="8" w:space="0" w:color="auto"/>
            </w:tcBorders>
            <w:vAlign w:val="center"/>
          </w:tcPr>
          <w:p w14:paraId="159F8F3B" w14:textId="4BDD437A" w:rsidR="0010774A" w:rsidRDefault="0010774A" w:rsidP="0010774A">
            <w:pPr>
              <w:jc w:val="center"/>
              <w:rPr>
                <w:rFonts w:eastAsia="Times New Roman"/>
                <w:sz w:val="18"/>
                <w:szCs w:val="18"/>
              </w:rPr>
            </w:pPr>
            <w:r>
              <w:rPr>
                <w:rFonts w:eastAsia="Times New Roman"/>
                <w:sz w:val="18"/>
                <w:szCs w:val="18"/>
              </w:rPr>
              <w:t>0</w:t>
            </w:r>
            <w:r w:rsidR="003E0149">
              <w:rPr>
                <w:rFonts w:eastAsia="Times New Roman"/>
                <w:sz w:val="18"/>
                <w:szCs w:val="18"/>
              </w:rPr>
              <w:t>.002</w:t>
            </w:r>
          </w:p>
        </w:tc>
        <w:tc>
          <w:tcPr>
            <w:tcW w:w="4046" w:type="dxa"/>
            <w:tcBorders>
              <w:bottom w:val="single" w:sz="8" w:space="0" w:color="auto"/>
              <w:right w:val="single" w:sz="8" w:space="0" w:color="auto"/>
            </w:tcBorders>
            <w:vAlign w:val="bottom"/>
          </w:tcPr>
          <w:p w14:paraId="2546821B" w14:textId="4D05B36B" w:rsidR="0010774A" w:rsidRDefault="0010774A" w:rsidP="005A4D34">
            <w:pPr>
              <w:spacing w:line="311" w:lineRule="auto"/>
              <w:ind w:left="86"/>
              <w:rPr>
                <w:rFonts w:eastAsia="Times New Roman"/>
                <w:sz w:val="18"/>
                <w:szCs w:val="18"/>
              </w:rPr>
            </w:pPr>
            <w:r>
              <w:rPr>
                <w:rFonts w:eastAsia="Times New Roman"/>
                <w:sz w:val="18"/>
                <w:szCs w:val="18"/>
              </w:rPr>
              <w:t>Some people who drink water containing inorganic mercury well in excess of the MCL over many years could experience kidney damage.</w:t>
            </w:r>
          </w:p>
        </w:tc>
      </w:tr>
      <w:tr w:rsidR="001036DF" w14:paraId="281A1A72" w14:textId="77777777" w:rsidTr="003B2E63">
        <w:trPr>
          <w:trHeight w:val="1045"/>
        </w:trPr>
        <w:tc>
          <w:tcPr>
            <w:tcW w:w="2733" w:type="dxa"/>
            <w:tcBorders>
              <w:left w:val="single" w:sz="8" w:space="0" w:color="auto"/>
              <w:bottom w:val="single" w:sz="8" w:space="0" w:color="auto"/>
              <w:right w:val="single" w:sz="8" w:space="0" w:color="auto"/>
            </w:tcBorders>
            <w:vAlign w:val="center"/>
          </w:tcPr>
          <w:p w14:paraId="281A1A6E" w14:textId="42AB2A73" w:rsidR="0010774A" w:rsidRPr="0010774A" w:rsidRDefault="0010774A" w:rsidP="00563A54">
            <w:pPr>
              <w:numPr>
                <w:ilvl w:val="0"/>
                <w:numId w:val="521"/>
              </w:numPr>
              <w:tabs>
                <w:tab w:val="left" w:pos="290"/>
              </w:tabs>
              <w:ind w:left="20"/>
              <w:rPr>
                <w:sz w:val="20"/>
                <w:szCs w:val="20"/>
              </w:rPr>
            </w:pPr>
            <w:r w:rsidRPr="0010774A">
              <w:rPr>
                <w:rFonts w:eastAsia="Times New Roman"/>
                <w:sz w:val="18"/>
                <w:szCs w:val="18"/>
              </w:rPr>
              <w:t>Nitrate</w:t>
            </w:r>
          </w:p>
        </w:tc>
        <w:tc>
          <w:tcPr>
            <w:tcW w:w="1357" w:type="dxa"/>
            <w:tcBorders>
              <w:top w:val="single" w:sz="8" w:space="0" w:color="auto"/>
              <w:bottom w:val="single" w:sz="8" w:space="0" w:color="auto"/>
              <w:right w:val="single" w:sz="8" w:space="0" w:color="auto"/>
            </w:tcBorders>
            <w:vAlign w:val="center"/>
          </w:tcPr>
          <w:p w14:paraId="281A1A6F" w14:textId="77777777" w:rsidR="0010774A" w:rsidRDefault="0010774A" w:rsidP="0010774A">
            <w:pPr>
              <w:ind w:left="20"/>
              <w:jc w:val="center"/>
              <w:rPr>
                <w:sz w:val="20"/>
                <w:szCs w:val="20"/>
              </w:rPr>
            </w:pPr>
            <w:r>
              <w:rPr>
                <w:rFonts w:eastAsia="Times New Roman"/>
                <w:sz w:val="18"/>
                <w:szCs w:val="18"/>
              </w:rPr>
              <w:t>10</w:t>
            </w:r>
          </w:p>
        </w:tc>
        <w:tc>
          <w:tcPr>
            <w:tcW w:w="2347" w:type="dxa"/>
            <w:tcBorders>
              <w:bottom w:val="single" w:sz="8" w:space="0" w:color="auto"/>
              <w:right w:val="single" w:sz="8" w:space="0" w:color="auto"/>
            </w:tcBorders>
            <w:vAlign w:val="center"/>
          </w:tcPr>
          <w:p w14:paraId="281A1A70" w14:textId="77777777" w:rsidR="0010774A" w:rsidRDefault="0010774A" w:rsidP="0010774A">
            <w:pPr>
              <w:jc w:val="center"/>
              <w:rPr>
                <w:sz w:val="20"/>
                <w:szCs w:val="20"/>
              </w:rPr>
            </w:pPr>
            <w:r>
              <w:rPr>
                <w:rFonts w:eastAsia="Times New Roman"/>
                <w:sz w:val="18"/>
                <w:szCs w:val="18"/>
              </w:rPr>
              <w:t>10</w:t>
            </w:r>
          </w:p>
        </w:tc>
        <w:tc>
          <w:tcPr>
            <w:tcW w:w="4046" w:type="dxa"/>
            <w:tcBorders>
              <w:bottom w:val="single" w:sz="8" w:space="0" w:color="auto"/>
              <w:right w:val="single" w:sz="8" w:space="0" w:color="auto"/>
            </w:tcBorders>
          </w:tcPr>
          <w:p w14:paraId="281A1A71" w14:textId="3D63C6DC" w:rsidR="0010774A" w:rsidRDefault="0010774A" w:rsidP="00D85114">
            <w:pPr>
              <w:spacing w:line="311" w:lineRule="auto"/>
              <w:ind w:left="86"/>
              <w:rPr>
                <w:sz w:val="20"/>
                <w:szCs w:val="20"/>
              </w:rPr>
            </w:pPr>
            <w:r>
              <w:rPr>
                <w:rFonts w:eastAsia="Times New Roman"/>
                <w:sz w:val="18"/>
                <w:szCs w:val="18"/>
              </w:rPr>
              <w:t>Infants younger than six months old who drink</w:t>
            </w:r>
            <w:r w:rsidR="005A4D34">
              <w:rPr>
                <w:rFonts w:eastAsia="Times New Roman"/>
                <w:sz w:val="18"/>
                <w:szCs w:val="18"/>
              </w:rPr>
              <w:t xml:space="preserve"> </w:t>
            </w:r>
            <w:r>
              <w:rPr>
                <w:rFonts w:eastAsia="Times New Roman"/>
                <w:sz w:val="18"/>
                <w:szCs w:val="18"/>
              </w:rPr>
              <w:t>water containing nitrate in excess of the MCL could</w:t>
            </w:r>
            <w:r w:rsidR="00D85114">
              <w:rPr>
                <w:rFonts w:eastAsia="Times New Roman"/>
                <w:sz w:val="18"/>
                <w:szCs w:val="18"/>
              </w:rPr>
              <w:t xml:space="preserve"> </w:t>
            </w:r>
            <w:r>
              <w:rPr>
                <w:rFonts w:eastAsia="Times New Roman"/>
                <w:sz w:val="18"/>
                <w:szCs w:val="18"/>
              </w:rPr>
              <w:t>become seriously ill and, if untreated, may die.</w:t>
            </w:r>
            <w:r w:rsidR="00D85114">
              <w:rPr>
                <w:rFonts w:eastAsia="Times New Roman"/>
                <w:sz w:val="18"/>
                <w:szCs w:val="18"/>
              </w:rPr>
              <w:t xml:space="preserve"> </w:t>
            </w:r>
            <w:r>
              <w:rPr>
                <w:rFonts w:eastAsia="Times New Roman"/>
                <w:sz w:val="18"/>
                <w:szCs w:val="18"/>
              </w:rPr>
              <w:t>Symptoms include shortness of breath and blue baby</w:t>
            </w:r>
            <w:r w:rsidR="00D85114">
              <w:rPr>
                <w:rFonts w:eastAsia="Times New Roman"/>
                <w:sz w:val="18"/>
                <w:szCs w:val="18"/>
              </w:rPr>
              <w:t xml:space="preserve"> </w:t>
            </w:r>
            <w:r>
              <w:rPr>
                <w:rFonts w:eastAsia="Times New Roman"/>
                <w:sz w:val="18"/>
                <w:szCs w:val="18"/>
              </w:rPr>
              <w:t>syndrome.</w:t>
            </w:r>
          </w:p>
        </w:tc>
      </w:tr>
      <w:tr w:rsidR="00236A0E" w14:paraId="281A1A9C" w14:textId="77777777" w:rsidTr="003B2E63">
        <w:trPr>
          <w:trHeight w:val="1126"/>
        </w:trPr>
        <w:tc>
          <w:tcPr>
            <w:tcW w:w="2733" w:type="dxa"/>
            <w:tcBorders>
              <w:top w:val="single" w:sz="8" w:space="0" w:color="auto"/>
              <w:left w:val="single" w:sz="8" w:space="0" w:color="auto"/>
              <w:bottom w:val="single" w:sz="8" w:space="0" w:color="auto"/>
              <w:right w:val="single" w:sz="8" w:space="0" w:color="auto"/>
            </w:tcBorders>
            <w:vAlign w:val="center"/>
          </w:tcPr>
          <w:p w14:paraId="281A1A97" w14:textId="58EA5D5B" w:rsidR="00D85114" w:rsidRDefault="00D85114" w:rsidP="00563A54">
            <w:pPr>
              <w:numPr>
                <w:ilvl w:val="0"/>
                <w:numId w:val="521"/>
              </w:numPr>
              <w:tabs>
                <w:tab w:val="left" w:pos="290"/>
              </w:tabs>
              <w:ind w:left="20"/>
              <w:rPr>
                <w:sz w:val="20"/>
                <w:szCs w:val="20"/>
              </w:rPr>
            </w:pPr>
            <w:r>
              <w:rPr>
                <w:rFonts w:eastAsia="Times New Roman"/>
                <w:sz w:val="18"/>
                <w:szCs w:val="18"/>
              </w:rPr>
              <w:t>Nitrite</w:t>
            </w:r>
          </w:p>
        </w:tc>
        <w:tc>
          <w:tcPr>
            <w:tcW w:w="1357" w:type="dxa"/>
            <w:tcBorders>
              <w:top w:val="single" w:sz="8" w:space="0" w:color="auto"/>
              <w:left w:val="single" w:sz="8" w:space="0" w:color="auto"/>
              <w:bottom w:val="single" w:sz="8" w:space="0" w:color="auto"/>
              <w:right w:val="single" w:sz="8" w:space="0" w:color="auto"/>
            </w:tcBorders>
            <w:vAlign w:val="center"/>
          </w:tcPr>
          <w:p w14:paraId="281A1A99" w14:textId="77777777" w:rsidR="00D85114" w:rsidRDefault="00D85114" w:rsidP="00D85114">
            <w:pPr>
              <w:jc w:val="center"/>
              <w:rPr>
                <w:sz w:val="20"/>
                <w:szCs w:val="20"/>
              </w:rPr>
            </w:pPr>
            <w:r>
              <w:rPr>
                <w:rFonts w:eastAsia="Times New Roman"/>
                <w:sz w:val="18"/>
                <w:szCs w:val="18"/>
              </w:rPr>
              <w:t>1</w:t>
            </w:r>
          </w:p>
        </w:tc>
        <w:tc>
          <w:tcPr>
            <w:tcW w:w="2347" w:type="dxa"/>
            <w:tcBorders>
              <w:top w:val="single" w:sz="8" w:space="0" w:color="auto"/>
              <w:bottom w:val="single" w:sz="8" w:space="0" w:color="auto"/>
              <w:right w:val="single" w:sz="8" w:space="0" w:color="auto"/>
            </w:tcBorders>
            <w:vAlign w:val="center"/>
          </w:tcPr>
          <w:p w14:paraId="281A1A9A" w14:textId="77777777" w:rsidR="00D85114" w:rsidRDefault="00D85114" w:rsidP="00D85114">
            <w:pPr>
              <w:jc w:val="center"/>
              <w:rPr>
                <w:sz w:val="20"/>
                <w:szCs w:val="20"/>
              </w:rPr>
            </w:pPr>
            <w:r>
              <w:rPr>
                <w:rFonts w:eastAsia="Times New Roman"/>
                <w:sz w:val="18"/>
                <w:szCs w:val="18"/>
              </w:rPr>
              <w:t>1</w:t>
            </w:r>
          </w:p>
        </w:tc>
        <w:tc>
          <w:tcPr>
            <w:tcW w:w="4046" w:type="dxa"/>
            <w:tcBorders>
              <w:top w:val="single" w:sz="8" w:space="0" w:color="auto"/>
              <w:bottom w:val="single" w:sz="8" w:space="0" w:color="auto"/>
              <w:right w:val="single" w:sz="8" w:space="0" w:color="auto"/>
            </w:tcBorders>
          </w:tcPr>
          <w:p w14:paraId="281A1A9B" w14:textId="7971D4DA" w:rsidR="00D85114" w:rsidRPr="00E80B69" w:rsidRDefault="00D85114" w:rsidP="00E80B69">
            <w:pPr>
              <w:spacing w:line="311" w:lineRule="auto"/>
              <w:ind w:left="86"/>
              <w:rPr>
                <w:rFonts w:eastAsia="Times New Roman"/>
                <w:sz w:val="18"/>
                <w:szCs w:val="18"/>
              </w:rPr>
            </w:pPr>
            <w:r>
              <w:rPr>
                <w:rFonts w:eastAsia="Times New Roman"/>
                <w:sz w:val="18"/>
                <w:szCs w:val="18"/>
              </w:rPr>
              <w:t>Infants younger than six months old who drink water containing nitrite in excess of the MCL could become seriously ill and, if untreated, may die. Symptoms include shortness of breath and blue baby syndrome.</w:t>
            </w:r>
          </w:p>
        </w:tc>
      </w:tr>
      <w:tr w:rsidR="00236A0E" w14:paraId="281A1ABF" w14:textId="77777777" w:rsidTr="003B2E63">
        <w:trPr>
          <w:trHeight w:val="1345"/>
        </w:trPr>
        <w:tc>
          <w:tcPr>
            <w:tcW w:w="2733" w:type="dxa"/>
            <w:tcBorders>
              <w:top w:val="single" w:sz="8" w:space="0" w:color="auto"/>
              <w:left w:val="single" w:sz="8" w:space="0" w:color="auto"/>
              <w:bottom w:val="single" w:sz="8" w:space="0" w:color="auto"/>
              <w:right w:val="single" w:sz="8" w:space="0" w:color="auto"/>
            </w:tcBorders>
            <w:vAlign w:val="center"/>
          </w:tcPr>
          <w:p w14:paraId="281A1ABA" w14:textId="1654E597" w:rsidR="00E80B69" w:rsidRDefault="00E80B69" w:rsidP="00563A54">
            <w:pPr>
              <w:numPr>
                <w:ilvl w:val="0"/>
                <w:numId w:val="521"/>
              </w:numPr>
              <w:tabs>
                <w:tab w:val="left" w:pos="290"/>
              </w:tabs>
              <w:ind w:left="20"/>
              <w:rPr>
                <w:sz w:val="20"/>
                <w:szCs w:val="20"/>
              </w:rPr>
            </w:pPr>
            <w:r>
              <w:rPr>
                <w:rFonts w:eastAsia="Times New Roman"/>
                <w:sz w:val="18"/>
                <w:szCs w:val="18"/>
              </w:rPr>
              <w:t>Total Nitrate and Nitrite</w:t>
            </w:r>
          </w:p>
        </w:tc>
        <w:tc>
          <w:tcPr>
            <w:tcW w:w="1357" w:type="dxa"/>
            <w:tcBorders>
              <w:top w:val="single" w:sz="8" w:space="0" w:color="auto"/>
              <w:left w:val="single" w:sz="8" w:space="0" w:color="auto"/>
              <w:bottom w:val="single" w:sz="8" w:space="0" w:color="auto"/>
              <w:right w:val="single" w:sz="8" w:space="0" w:color="auto"/>
            </w:tcBorders>
            <w:vAlign w:val="center"/>
          </w:tcPr>
          <w:p w14:paraId="281A1ABC" w14:textId="77777777" w:rsidR="00E80B69" w:rsidRDefault="00E80B69" w:rsidP="00E80B69">
            <w:pPr>
              <w:jc w:val="center"/>
              <w:rPr>
                <w:sz w:val="20"/>
                <w:szCs w:val="20"/>
              </w:rPr>
            </w:pPr>
            <w:r>
              <w:rPr>
                <w:rFonts w:eastAsia="Times New Roman"/>
                <w:sz w:val="18"/>
                <w:szCs w:val="18"/>
              </w:rPr>
              <w:t>10</w:t>
            </w:r>
          </w:p>
        </w:tc>
        <w:tc>
          <w:tcPr>
            <w:tcW w:w="2347" w:type="dxa"/>
            <w:tcBorders>
              <w:top w:val="single" w:sz="8" w:space="0" w:color="auto"/>
              <w:bottom w:val="single" w:sz="8" w:space="0" w:color="auto"/>
              <w:right w:val="single" w:sz="8" w:space="0" w:color="auto"/>
            </w:tcBorders>
            <w:vAlign w:val="center"/>
          </w:tcPr>
          <w:p w14:paraId="281A1ABD" w14:textId="77777777" w:rsidR="00E80B69" w:rsidRDefault="00E80B69" w:rsidP="00E80B69">
            <w:pPr>
              <w:jc w:val="center"/>
              <w:rPr>
                <w:sz w:val="20"/>
                <w:szCs w:val="20"/>
              </w:rPr>
            </w:pPr>
            <w:r>
              <w:rPr>
                <w:rFonts w:eastAsia="Times New Roman"/>
                <w:sz w:val="18"/>
                <w:szCs w:val="18"/>
              </w:rPr>
              <w:t>10</w:t>
            </w:r>
          </w:p>
        </w:tc>
        <w:tc>
          <w:tcPr>
            <w:tcW w:w="4046" w:type="dxa"/>
            <w:tcBorders>
              <w:top w:val="single" w:sz="8" w:space="0" w:color="auto"/>
              <w:bottom w:val="single" w:sz="8" w:space="0" w:color="auto"/>
              <w:right w:val="single" w:sz="8" w:space="0" w:color="auto"/>
            </w:tcBorders>
          </w:tcPr>
          <w:p w14:paraId="281A1ABE" w14:textId="0D1EF32B" w:rsidR="00E80B69" w:rsidRPr="00E80B69" w:rsidRDefault="00E80B69" w:rsidP="00E80B69">
            <w:pPr>
              <w:spacing w:line="311" w:lineRule="auto"/>
              <w:ind w:left="86"/>
              <w:rPr>
                <w:rFonts w:eastAsia="Times New Roman"/>
                <w:sz w:val="18"/>
                <w:szCs w:val="18"/>
              </w:rPr>
            </w:pPr>
            <w:r>
              <w:rPr>
                <w:rFonts w:eastAsia="Times New Roman"/>
                <w:sz w:val="18"/>
                <w:szCs w:val="18"/>
              </w:rPr>
              <w:t>Infants younger than six months old who drink water containing nitrate and nitrite in excess of the MCL could become seriously ill and, if untreated, may die. Symptoms include shortness of breath and blue baby syndrome.</w:t>
            </w:r>
          </w:p>
        </w:tc>
      </w:tr>
      <w:tr w:rsidR="00236A0E" w14:paraId="281A1AE2" w14:textId="77777777" w:rsidTr="003B2E63">
        <w:trPr>
          <w:trHeight w:val="1343"/>
        </w:trPr>
        <w:tc>
          <w:tcPr>
            <w:tcW w:w="2733" w:type="dxa"/>
            <w:tcBorders>
              <w:top w:val="single" w:sz="8" w:space="0" w:color="auto"/>
              <w:left w:val="single" w:sz="8" w:space="0" w:color="auto"/>
              <w:bottom w:val="single" w:sz="8" w:space="0" w:color="auto"/>
              <w:right w:val="single" w:sz="8" w:space="0" w:color="auto"/>
            </w:tcBorders>
            <w:vAlign w:val="center"/>
          </w:tcPr>
          <w:p w14:paraId="281A1ADD" w14:textId="29587D8C" w:rsidR="00E80B69" w:rsidRDefault="00E80B69" w:rsidP="00563A54">
            <w:pPr>
              <w:numPr>
                <w:ilvl w:val="0"/>
                <w:numId w:val="521"/>
              </w:numPr>
              <w:tabs>
                <w:tab w:val="left" w:pos="290"/>
              </w:tabs>
              <w:ind w:left="20"/>
              <w:rPr>
                <w:sz w:val="20"/>
                <w:szCs w:val="20"/>
              </w:rPr>
            </w:pPr>
            <w:r>
              <w:rPr>
                <w:rFonts w:eastAsia="Times New Roman"/>
                <w:sz w:val="18"/>
                <w:szCs w:val="18"/>
              </w:rPr>
              <w:t>Perchlorate</w:t>
            </w:r>
          </w:p>
        </w:tc>
        <w:tc>
          <w:tcPr>
            <w:tcW w:w="1357" w:type="dxa"/>
            <w:tcBorders>
              <w:top w:val="single" w:sz="8" w:space="0" w:color="auto"/>
              <w:left w:val="single" w:sz="8" w:space="0" w:color="auto"/>
              <w:bottom w:val="single" w:sz="8" w:space="0" w:color="auto"/>
              <w:right w:val="single" w:sz="8" w:space="0" w:color="auto"/>
            </w:tcBorders>
            <w:vAlign w:val="center"/>
          </w:tcPr>
          <w:p w14:paraId="281A1ADF" w14:textId="77777777" w:rsidR="00E80B69" w:rsidRDefault="00E80B69" w:rsidP="00E80B69">
            <w:pPr>
              <w:ind w:left="20"/>
              <w:jc w:val="center"/>
              <w:rPr>
                <w:sz w:val="20"/>
                <w:szCs w:val="20"/>
              </w:rPr>
            </w:pPr>
            <w:r>
              <w:rPr>
                <w:rFonts w:eastAsia="Times New Roman"/>
                <w:sz w:val="18"/>
                <w:szCs w:val="18"/>
              </w:rPr>
              <w:t>None</w:t>
            </w:r>
          </w:p>
        </w:tc>
        <w:tc>
          <w:tcPr>
            <w:tcW w:w="2347" w:type="dxa"/>
            <w:tcBorders>
              <w:top w:val="single" w:sz="8" w:space="0" w:color="auto"/>
              <w:bottom w:val="single" w:sz="8" w:space="0" w:color="auto"/>
              <w:right w:val="single" w:sz="8" w:space="0" w:color="auto"/>
            </w:tcBorders>
            <w:vAlign w:val="center"/>
          </w:tcPr>
          <w:p w14:paraId="281A1AE0" w14:textId="77777777" w:rsidR="00E80B69" w:rsidRDefault="00E80B69" w:rsidP="00E80B69">
            <w:pPr>
              <w:jc w:val="center"/>
              <w:rPr>
                <w:sz w:val="20"/>
                <w:szCs w:val="20"/>
              </w:rPr>
            </w:pPr>
            <w:r>
              <w:rPr>
                <w:rFonts w:eastAsia="Times New Roman"/>
                <w:sz w:val="18"/>
                <w:szCs w:val="18"/>
              </w:rPr>
              <w:t>0.002</w:t>
            </w:r>
          </w:p>
        </w:tc>
        <w:tc>
          <w:tcPr>
            <w:tcW w:w="4046" w:type="dxa"/>
            <w:tcBorders>
              <w:top w:val="single" w:sz="8" w:space="0" w:color="auto"/>
              <w:bottom w:val="single" w:sz="8" w:space="0" w:color="auto"/>
              <w:right w:val="single" w:sz="8" w:space="0" w:color="auto"/>
            </w:tcBorders>
          </w:tcPr>
          <w:p w14:paraId="281A1AE1" w14:textId="6792DCBB" w:rsidR="00E80B69" w:rsidRPr="00E80B69" w:rsidRDefault="00E80B69" w:rsidP="00E80B69">
            <w:pPr>
              <w:spacing w:line="311" w:lineRule="auto"/>
              <w:ind w:left="86"/>
              <w:rPr>
                <w:rFonts w:eastAsia="Times New Roman"/>
                <w:sz w:val="18"/>
                <w:szCs w:val="18"/>
              </w:rPr>
            </w:pPr>
            <w:r>
              <w:rPr>
                <w:rFonts w:eastAsia="Times New Roman"/>
                <w:sz w:val="18"/>
                <w:szCs w:val="18"/>
              </w:rPr>
              <w:t>Perchlorate interferes with the normal function of the thyroid gland and thus has the potential to affect growth and development and could cause brain damage and other adverse effects, particularly in fetuses and infants.</w:t>
            </w:r>
          </w:p>
        </w:tc>
      </w:tr>
      <w:tr w:rsidR="00236A0E" w14:paraId="281A1B05" w14:textId="77777777" w:rsidTr="003B2E63">
        <w:trPr>
          <w:trHeight w:val="1345"/>
        </w:trPr>
        <w:tc>
          <w:tcPr>
            <w:tcW w:w="2733" w:type="dxa"/>
            <w:tcBorders>
              <w:top w:val="single" w:sz="8" w:space="0" w:color="auto"/>
              <w:left w:val="single" w:sz="8" w:space="0" w:color="auto"/>
              <w:bottom w:val="single" w:sz="8" w:space="0" w:color="auto"/>
              <w:right w:val="single" w:sz="8" w:space="0" w:color="auto"/>
            </w:tcBorders>
            <w:vAlign w:val="center"/>
          </w:tcPr>
          <w:p w14:paraId="281A1B00" w14:textId="6E98CC86" w:rsidR="007420E6" w:rsidRDefault="007420E6" w:rsidP="00563A54">
            <w:pPr>
              <w:numPr>
                <w:ilvl w:val="0"/>
                <w:numId w:val="521"/>
              </w:numPr>
              <w:tabs>
                <w:tab w:val="left" w:pos="290"/>
              </w:tabs>
              <w:ind w:left="20"/>
              <w:rPr>
                <w:sz w:val="20"/>
                <w:szCs w:val="20"/>
              </w:rPr>
            </w:pPr>
            <w:r>
              <w:rPr>
                <w:rFonts w:eastAsia="Times New Roman"/>
                <w:sz w:val="18"/>
                <w:szCs w:val="18"/>
              </w:rPr>
              <w:t>Selenium</w:t>
            </w:r>
          </w:p>
        </w:tc>
        <w:tc>
          <w:tcPr>
            <w:tcW w:w="1357" w:type="dxa"/>
            <w:tcBorders>
              <w:top w:val="single" w:sz="8" w:space="0" w:color="auto"/>
              <w:left w:val="single" w:sz="8" w:space="0" w:color="auto"/>
              <w:bottom w:val="single" w:sz="8" w:space="0" w:color="auto"/>
              <w:right w:val="single" w:sz="8" w:space="0" w:color="auto"/>
            </w:tcBorders>
            <w:vAlign w:val="center"/>
          </w:tcPr>
          <w:p w14:paraId="281A1B02" w14:textId="77777777" w:rsidR="007420E6" w:rsidRDefault="007420E6" w:rsidP="007420E6">
            <w:pPr>
              <w:ind w:left="20"/>
              <w:jc w:val="center"/>
              <w:rPr>
                <w:sz w:val="20"/>
                <w:szCs w:val="20"/>
              </w:rPr>
            </w:pPr>
            <w:r>
              <w:rPr>
                <w:rFonts w:eastAsia="Times New Roman"/>
                <w:sz w:val="18"/>
                <w:szCs w:val="18"/>
              </w:rPr>
              <w:t>0.05</w:t>
            </w:r>
          </w:p>
        </w:tc>
        <w:tc>
          <w:tcPr>
            <w:tcW w:w="2347" w:type="dxa"/>
            <w:tcBorders>
              <w:top w:val="single" w:sz="8" w:space="0" w:color="auto"/>
              <w:bottom w:val="single" w:sz="8" w:space="0" w:color="auto"/>
              <w:right w:val="single" w:sz="8" w:space="0" w:color="auto"/>
            </w:tcBorders>
            <w:vAlign w:val="center"/>
          </w:tcPr>
          <w:p w14:paraId="281A1B03" w14:textId="77777777" w:rsidR="007420E6" w:rsidRDefault="007420E6" w:rsidP="007420E6">
            <w:pPr>
              <w:jc w:val="center"/>
              <w:rPr>
                <w:sz w:val="20"/>
                <w:szCs w:val="20"/>
              </w:rPr>
            </w:pPr>
            <w:r>
              <w:rPr>
                <w:rFonts w:eastAsia="Times New Roman"/>
                <w:sz w:val="18"/>
                <w:szCs w:val="18"/>
              </w:rPr>
              <w:t>0.05</w:t>
            </w:r>
          </w:p>
        </w:tc>
        <w:tc>
          <w:tcPr>
            <w:tcW w:w="4046" w:type="dxa"/>
            <w:tcBorders>
              <w:top w:val="single" w:sz="8" w:space="0" w:color="auto"/>
              <w:bottom w:val="single" w:sz="8" w:space="0" w:color="auto"/>
              <w:right w:val="single" w:sz="8" w:space="0" w:color="auto"/>
            </w:tcBorders>
          </w:tcPr>
          <w:p w14:paraId="281A1B04" w14:textId="3ED4A893" w:rsidR="007420E6" w:rsidRPr="007420E6" w:rsidRDefault="007420E6" w:rsidP="007420E6">
            <w:pPr>
              <w:spacing w:line="311" w:lineRule="auto"/>
              <w:ind w:left="86"/>
              <w:rPr>
                <w:rFonts w:eastAsia="Times New Roman"/>
                <w:sz w:val="18"/>
                <w:szCs w:val="18"/>
              </w:rPr>
            </w:pPr>
            <w:r>
              <w:rPr>
                <w:rFonts w:eastAsia="Times New Roman"/>
                <w:sz w:val="18"/>
                <w:szCs w:val="18"/>
              </w:rPr>
              <w:t>Selenium is an essential nutrient.  However, some people who drink water containing selenium in excess of the MCL over many years could experience hair or fingernail losses, numbness in fingers or toes, or problems with their circulation.</w:t>
            </w:r>
          </w:p>
        </w:tc>
      </w:tr>
      <w:tr w:rsidR="00236A0E" w14:paraId="281A1B28" w14:textId="77777777" w:rsidTr="003B2E63">
        <w:trPr>
          <w:trHeight w:val="1068"/>
        </w:trPr>
        <w:tc>
          <w:tcPr>
            <w:tcW w:w="2733" w:type="dxa"/>
            <w:tcBorders>
              <w:top w:val="single" w:sz="8" w:space="0" w:color="auto"/>
              <w:left w:val="single" w:sz="8" w:space="0" w:color="auto"/>
              <w:bottom w:val="single" w:sz="8" w:space="0" w:color="auto"/>
              <w:right w:val="single" w:sz="8" w:space="0" w:color="auto"/>
            </w:tcBorders>
            <w:vAlign w:val="center"/>
          </w:tcPr>
          <w:p w14:paraId="281A1B23" w14:textId="5E2EB3DE" w:rsidR="00990800" w:rsidRDefault="00990800" w:rsidP="00563A54">
            <w:pPr>
              <w:numPr>
                <w:ilvl w:val="0"/>
                <w:numId w:val="521"/>
              </w:numPr>
              <w:tabs>
                <w:tab w:val="left" w:pos="290"/>
              </w:tabs>
              <w:ind w:left="20"/>
              <w:rPr>
                <w:sz w:val="20"/>
                <w:szCs w:val="20"/>
              </w:rPr>
            </w:pPr>
            <w:r>
              <w:rPr>
                <w:rFonts w:eastAsia="Times New Roman"/>
                <w:sz w:val="18"/>
                <w:szCs w:val="18"/>
              </w:rPr>
              <w:t>Thallium</w:t>
            </w:r>
          </w:p>
        </w:tc>
        <w:tc>
          <w:tcPr>
            <w:tcW w:w="1357" w:type="dxa"/>
            <w:tcBorders>
              <w:top w:val="single" w:sz="8" w:space="0" w:color="auto"/>
              <w:left w:val="single" w:sz="8" w:space="0" w:color="auto"/>
              <w:bottom w:val="single" w:sz="8" w:space="0" w:color="auto"/>
              <w:right w:val="single" w:sz="8" w:space="0" w:color="auto"/>
            </w:tcBorders>
            <w:vAlign w:val="center"/>
          </w:tcPr>
          <w:p w14:paraId="281A1B25" w14:textId="2E6F7DBF" w:rsidR="00990800" w:rsidRDefault="00990800" w:rsidP="00990800">
            <w:pPr>
              <w:jc w:val="center"/>
              <w:rPr>
                <w:sz w:val="20"/>
                <w:szCs w:val="20"/>
              </w:rPr>
            </w:pPr>
            <w:r>
              <w:rPr>
                <w:rFonts w:eastAsia="Times New Roman"/>
                <w:sz w:val="18"/>
                <w:szCs w:val="18"/>
              </w:rPr>
              <w:t>0</w:t>
            </w:r>
            <w:r w:rsidR="0094373D">
              <w:rPr>
                <w:rFonts w:eastAsia="Times New Roman"/>
                <w:sz w:val="18"/>
                <w:szCs w:val="18"/>
              </w:rPr>
              <w:t>.0005</w:t>
            </w:r>
          </w:p>
        </w:tc>
        <w:tc>
          <w:tcPr>
            <w:tcW w:w="2347" w:type="dxa"/>
            <w:tcBorders>
              <w:top w:val="single" w:sz="8" w:space="0" w:color="auto"/>
              <w:bottom w:val="single" w:sz="8" w:space="0" w:color="auto"/>
              <w:right w:val="single" w:sz="8" w:space="0" w:color="auto"/>
            </w:tcBorders>
            <w:vAlign w:val="center"/>
          </w:tcPr>
          <w:p w14:paraId="281A1B26" w14:textId="77777777" w:rsidR="00990800" w:rsidRDefault="00990800" w:rsidP="007420E6">
            <w:pPr>
              <w:jc w:val="center"/>
              <w:rPr>
                <w:sz w:val="20"/>
                <w:szCs w:val="20"/>
              </w:rPr>
            </w:pPr>
            <w:r>
              <w:rPr>
                <w:rFonts w:eastAsia="Times New Roman"/>
                <w:sz w:val="18"/>
                <w:szCs w:val="18"/>
              </w:rPr>
              <w:t>0.002</w:t>
            </w:r>
          </w:p>
        </w:tc>
        <w:tc>
          <w:tcPr>
            <w:tcW w:w="4046" w:type="dxa"/>
            <w:tcBorders>
              <w:top w:val="single" w:sz="8" w:space="0" w:color="auto"/>
              <w:bottom w:val="single" w:sz="8" w:space="0" w:color="auto"/>
              <w:right w:val="single" w:sz="8" w:space="0" w:color="auto"/>
            </w:tcBorders>
          </w:tcPr>
          <w:p w14:paraId="281A1B27" w14:textId="3135F5D2" w:rsidR="00990800" w:rsidRPr="00990800" w:rsidRDefault="00990800" w:rsidP="00990800">
            <w:pPr>
              <w:spacing w:line="311" w:lineRule="auto"/>
              <w:ind w:left="86"/>
              <w:rPr>
                <w:rFonts w:eastAsia="Times New Roman"/>
                <w:sz w:val="18"/>
                <w:szCs w:val="18"/>
              </w:rPr>
            </w:pPr>
            <w:r>
              <w:rPr>
                <w:rFonts w:eastAsia="Times New Roman"/>
                <w:sz w:val="18"/>
                <w:szCs w:val="18"/>
              </w:rPr>
              <w:t>Some people who drink water containing thallium in excess of the MCL over many years could experience hair loss, changes in their blood, or problems with their kidneys, intestines, or liver.</w:t>
            </w:r>
          </w:p>
        </w:tc>
      </w:tr>
      <w:tr w:rsidR="00990800" w14:paraId="281A1B43" w14:textId="77777777" w:rsidTr="003B2E63">
        <w:trPr>
          <w:trHeight w:val="268"/>
        </w:trPr>
        <w:tc>
          <w:tcPr>
            <w:tcW w:w="10483" w:type="dxa"/>
            <w:gridSpan w:val="4"/>
            <w:tcBorders>
              <w:left w:val="single" w:sz="8" w:space="0" w:color="auto"/>
              <w:bottom w:val="single" w:sz="8" w:space="0" w:color="auto"/>
              <w:right w:val="single" w:sz="8" w:space="0" w:color="auto"/>
            </w:tcBorders>
            <w:vAlign w:val="center"/>
          </w:tcPr>
          <w:p w14:paraId="281A1B42" w14:textId="023C11B9" w:rsidR="00990800" w:rsidRDefault="00990800" w:rsidP="00990800">
            <w:pPr>
              <w:rPr>
                <w:sz w:val="23"/>
                <w:szCs w:val="23"/>
              </w:rPr>
            </w:pPr>
            <w:r>
              <w:rPr>
                <w:rFonts w:eastAsia="Times New Roman"/>
                <w:sz w:val="18"/>
                <w:szCs w:val="18"/>
              </w:rPr>
              <w:t>D.  Lead and Copper Rule:</w:t>
            </w:r>
          </w:p>
        </w:tc>
      </w:tr>
      <w:tr w:rsidR="00236A0E" w14:paraId="281A1B4A" w14:textId="77777777" w:rsidTr="003B2E63">
        <w:trPr>
          <w:trHeight w:val="1957"/>
        </w:trPr>
        <w:tc>
          <w:tcPr>
            <w:tcW w:w="2733" w:type="dxa"/>
            <w:tcBorders>
              <w:top w:val="single" w:sz="8" w:space="0" w:color="auto"/>
              <w:left w:val="single" w:sz="8" w:space="0" w:color="auto"/>
              <w:bottom w:val="single" w:sz="8" w:space="0" w:color="auto"/>
              <w:right w:val="single" w:sz="8" w:space="0" w:color="auto"/>
            </w:tcBorders>
            <w:vAlign w:val="center"/>
          </w:tcPr>
          <w:p w14:paraId="281A1B45" w14:textId="13683520" w:rsidR="001C3D0A" w:rsidRDefault="001C3D0A" w:rsidP="00563A54">
            <w:pPr>
              <w:numPr>
                <w:ilvl w:val="0"/>
                <w:numId w:val="521"/>
              </w:numPr>
              <w:tabs>
                <w:tab w:val="left" w:pos="290"/>
              </w:tabs>
              <w:ind w:left="20"/>
              <w:rPr>
                <w:sz w:val="20"/>
                <w:szCs w:val="20"/>
              </w:rPr>
            </w:pPr>
            <w:r>
              <w:rPr>
                <w:rFonts w:eastAsia="Times New Roman"/>
                <w:sz w:val="18"/>
                <w:szCs w:val="18"/>
              </w:rPr>
              <w:t>Lead</w:t>
            </w:r>
          </w:p>
        </w:tc>
        <w:tc>
          <w:tcPr>
            <w:tcW w:w="1357" w:type="dxa"/>
            <w:tcBorders>
              <w:top w:val="single" w:sz="8" w:space="0" w:color="auto"/>
              <w:left w:val="single" w:sz="8" w:space="0" w:color="auto"/>
              <w:bottom w:val="single" w:sz="8" w:space="0" w:color="auto"/>
              <w:right w:val="single" w:sz="8" w:space="0" w:color="auto"/>
            </w:tcBorders>
            <w:vAlign w:val="center"/>
          </w:tcPr>
          <w:p w14:paraId="281A1B47" w14:textId="77777777" w:rsidR="001C3D0A" w:rsidRDefault="001C3D0A" w:rsidP="001C3D0A">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281A1B48" w14:textId="38C1A36B" w:rsidR="001C3D0A" w:rsidRDefault="001C3D0A" w:rsidP="001C3D0A">
            <w:pPr>
              <w:jc w:val="center"/>
              <w:rPr>
                <w:sz w:val="20"/>
                <w:szCs w:val="20"/>
              </w:rPr>
            </w:pPr>
            <w:r>
              <w:rPr>
                <w:rFonts w:eastAsia="Times New Roman"/>
                <w:sz w:val="18"/>
                <w:szCs w:val="18"/>
              </w:rPr>
              <w:t>TT</w:t>
            </w:r>
            <w:r>
              <w:rPr>
                <w:rFonts w:eastAsia="Times New Roman"/>
                <w:sz w:val="24"/>
                <w:szCs w:val="24"/>
                <w:vertAlign w:val="superscript"/>
              </w:rPr>
              <w:t>13</w:t>
            </w:r>
          </w:p>
        </w:tc>
        <w:tc>
          <w:tcPr>
            <w:tcW w:w="4046" w:type="dxa"/>
            <w:tcBorders>
              <w:top w:val="single" w:sz="8" w:space="0" w:color="auto"/>
              <w:bottom w:val="single" w:sz="8" w:space="0" w:color="auto"/>
              <w:right w:val="single" w:sz="8" w:space="0" w:color="auto"/>
            </w:tcBorders>
          </w:tcPr>
          <w:p w14:paraId="281A1B49" w14:textId="749A7EEA" w:rsidR="001C3D0A" w:rsidRPr="001C3D0A" w:rsidRDefault="001C3D0A" w:rsidP="001C3D0A">
            <w:pPr>
              <w:spacing w:line="311" w:lineRule="auto"/>
              <w:ind w:left="86"/>
              <w:rPr>
                <w:rFonts w:eastAsia="Times New Roman"/>
                <w:sz w:val="18"/>
                <w:szCs w:val="18"/>
              </w:rPr>
            </w:pPr>
            <w:r>
              <w:rPr>
                <w:rFonts w:eastAsia="Times New Roman"/>
                <w:sz w:val="18"/>
                <w:szCs w:val="18"/>
              </w:rPr>
              <w:t>Infants and children who drink water containing lead in excess of the action level could experience delays in their physical or mental development. Children could show slight deficits in attention span and learning abilities. Adults who drink this water over many years could develop kidney problems or high blood pressure.</w:t>
            </w:r>
          </w:p>
        </w:tc>
      </w:tr>
      <w:tr w:rsidR="0028463E" w14:paraId="281A1B7B" w14:textId="77777777" w:rsidTr="003B2E63">
        <w:trPr>
          <w:trHeight w:val="2161"/>
        </w:trPr>
        <w:tc>
          <w:tcPr>
            <w:tcW w:w="2733" w:type="dxa"/>
            <w:tcBorders>
              <w:top w:val="single" w:sz="8" w:space="0" w:color="auto"/>
              <w:left w:val="single" w:sz="8" w:space="0" w:color="auto"/>
              <w:bottom w:val="single" w:sz="8" w:space="0" w:color="auto"/>
              <w:right w:val="single" w:sz="8" w:space="0" w:color="auto"/>
            </w:tcBorders>
            <w:vAlign w:val="center"/>
          </w:tcPr>
          <w:p w14:paraId="281A1B76" w14:textId="4895901C" w:rsidR="0028463E" w:rsidRDefault="0028463E" w:rsidP="00563A54">
            <w:pPr>
              <w:numPr>
                <w:ilvl w:val="0"/>
                <w:numId w:val="521"/>
              </w:numPr>
              <w:tabs>
                <w:tab w:val="left" w:pos="290"/>
              </w:tabs>
              <w:ind w:left="20"/>
              <w:rPr>
                <w:sz w:val="20"/>
                <w:szCs w:val="20"/>
              </w:rPr>
            </w:pPr>
            <w:r>
              <w:rPr>
                <w:rFonts w:eastAsia="Times New Roman"/>
                <w:sz w:val="18"/>
                <w:szCs w:val="18"/>
              </w:rPr>
              <w:t>Copper</w:t>
            </w:r>
          </w:p>
        </w:tc>
        <w:tc>
          <w:tcPr>
            <w:tcW w:w="1357" w:type="dxa"/>
            <w:tcBorders>
              <w:top w:val="single" w:sz="8" w:space="0" w:color="auto"/>
              <w:left w:val="single" w:sz="8" w:space="0" w:color="auto"/>
              <w:bottom w:val="single" w:sz="8" w:space="0" w:color="auto"/>
              <w:right w:val="single" w:sz="8" w:space="0" w:color="auto"/>
            </w:tcBorders>
            <w:vAlign w:val="center"/>
          </w:tcPr>
          <w:p w14:paraId="281A1B78" w14:textId="77777777" w:rsidR="0028463E" w:rsidRDefault="0028463E" w:rsidP="001C3D0A">
            <w:pPr>
              <w:ind w:left="20"/>
              <w:jc w:val="center"/>
              <w:rPr>
                <w:sz w:val="20"/>
                <w:szCs w:val="20"/>
              </w:rPr>
            </w:pPr>
            <w:r>
              <w:rPr>
                <w:rFonts w:eastAsia="Times New Roman"/>
                <w:sz w:val="18"/>
                <w:szCs w:val="18"/>
              </w:rPr>
              <w:t>1.3</w:t>
            </w:r>
          </w:p>
        </w:tc>
        <w:tc>
          <w:tcPr>
            <w:tcW w:w="2347" w:type="dxa"/>
            <w:tcBorders>
              <w:top w:val="single" w:sz="8" w:space="0" w:color="auto"/>
              <w:bottom w:val="single" w:sz="8" w:space="0" w:color="auto"/>
              <w:right w:val="single" w:sz="8" w:space="0" w:color="auto"/>
            </w:tcBorders>
            <w:vAlign w:val="center"/>
          </w:tcPr>
          <w:p w14:paraId="281A1B79" w14:textId="0BEA3CC1" w:rsidR="0028463E" w:rsidRDefault="0028463E" w:rsidP="0028463E">
            <w:pPr>
              <w:spacing w:line="265" w:lineRule="exact"/>
              <w:jc w:val="center"/>
              <w:rPr>
                <w:sz w:val="20"/>
                <w:szCs w:val="20"/>
              </w:rPr>
            </w:pPr>
            <w:r>
              <w:rPr>
                <w:rFonts w:eastAsia="Times New Roman"/>
                <w:sz w:val="18"/>
                <w:szCs w:val="18"/>
              </w:rPr>
              <w:t>TT</w:t>
            </w:r>
            <w:r>
              <w:rPr>
                <w:rFonts w:eastAsia="Times New Roman"/>
                <w:sz w:val="24"/>
                <w:szCs w:val="24"/>
                <w:vertAlign w:val="superscript"/>
              </w:rPr>
              <w:t>14</w:t>
            </w:r>
          </w:p>
        </w:tc>
        <w:tc>
          <w:tcPr>
            <w:tcW w:w="4046" w:type="dxa"/>
            <w:tcBorders>
              <w:top w:val="single" w:sz="8" w:space="0" w:color="auto"/>
              <w:bottom w:val="single" w:sz="8" w:space="0" w:color="auto"/>
              <w:right w:val="single" w:sz="8" w:space="0" w:color="auto"/>
            </w:tcBorders>
          </w:tcPr>
          <w:p w14:paraId="281A1B7A" w14:textId="0D32E57C" w:rsidR="0028463E" w:rsidRPr="0028463E" w:rsidRDefault="0028463E" w:rsidP="0028463E">
            <w:pPr>
              <w:spacing w:line="311" w:lineRule="auto"/>
              <w:ind w:left="86"/>
              <w:rPr>
                <w:rFonts w:eastAsia="Times New Roman"/>
                <w:sz w:val="18"/>
                <w:szCs w:val="18"/>
              </w:rPr>
            </w:pPr>
            <w:r>
              <w:rPr>
                <w:rFonts w:eastAsia="Times New Roman"/>
                <w:sz w:val="18"/>
                <w:szCs w:val="18"/>
              </w:rPr>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tc>
      </w:tr>
      <w:tr w:rsidR="0028463E" w14:paraId="281A1BB6" w14:textId="77777777" w:rsidTr="003B2E63">
        <w:trPr>
          <w:trHeight w:val="268"/>
        </w:trPr>
        <w:tc>
          <w:tcPr>
            <w:tcW w:w="10483" w:type="dxa"/>
            <w:gridSpan w:val="4"/>
            <w:tcBorders>
              <w:left w:val="single" w:sz="8" w:space="0" w:color="auto"/>
              <w:bottom w:val="single" w:sz="8" w:space="0" w:color="auto"/>
              <w:right w:val="single" w:sz="8" w:space="0" w:color="auto"/>
            </w:tcBorders>
            <w:vAlign w:val="center"/>
          </w:tcPr>
          <w:p w14:paraId="281A1BB5" w14:textId="23A9FD49" w:rsidR="0028463E" w:rsidRDefault="0028463E" w:rsidP="00236A0E">
            <w:pPr>
              <w:rPr>
                <w:sz w:val="23"/>
                <w:szCs w:val="23"/>
              </w:rPr>
            </w:pPr>
            <w:r>
              <w:rPr>
                <w:rFonts w:eastAsia="Times New Roman"/>
                <w:sz w:val="18"/>
                <w:szCs w:val="18"/>
              </w:rPr>
              <w:t>E.  Synthetic Organic Chemicals (SOCs):</w:t>
            </w:r>
          </w:p>
        </w:tc>
      </w:tr>
      <w:tr w:rsidR="00236A0E" w14:paraId="281A1BBC" w14:textId="77777777" w:rsidTr="003B2E63">
        <w:trPr>
          <w:trHeight w:val="1136"/>
        </w:trPr>
        <w:tc>
          <w:tcPr>
            <w:tcW w:w="2733" w:type="dxa"/>
            <w:tcBorders>
              <w:top w:val="single" w:sz="8" w:space="0" w:color="auto"/>
              <w:left w:val="single" w:sz="8" w:space="0" w:color="auto"/>
              <w:bottom w:val="single" w:sz="8" w:space="0" w:color="auto"/>
              <w:right w:val="single" w:sz="8" w:space="0" w:color="auto"/>
            </w:tcBorders>
            <w:vAlign w:val="center"/>
          </w:tcPr>
          <w:p w14:paraId="281A1BB8" w14:textId="0742B832" w:rsidR="00236A0E" w:rsidRDefault="00236A0E" w:rsidP="00563A54">
            <w:pPr>
              <w:numPr>
                <w:ilvl w:val="0"/>
                <w:numId w:val="521"/>
              </w:numPr>
              <w:tabs>
                <w:tab w:val="left" w:pos="290"/>
              </w:tabs>
              <w:ind w:left="20"/>
              <w:rPr>
                <w:sz w:val="23"/>
                <w:szCs w:val="23"/>
              </w:rPr>
            </w:pPr>
            <w:r>
              <w:rPr>
                <w:rFonts w:eastAsia="Times New Roman"/>
                <w:sz w:val="18"/>
                <w:szCs w:val="18"/>
              </w:rPr>
              <w:t>2,4-D</w:t>
            </w:r>
          </w:p>
        </w:tc>
        <w:tc>
          <w:tcPr>
            <w:tcW w:w="1357" w:type="dxa"/>
            <w:tcBorders>
              <w:top w:val="single" w:sz="8" w:space="0" w:color="auto"/>
              <w:left w:val="single" w:sz="8" w:space="0" w:color="auto"/>
              <w:bottom w:val="single" w:sz="8" w:space="0" w:color="auto"/>
              <w:right w:val="single" w:sz="8" w:space="0" w:color="auto"/>
            </w:tcBorders>
            <w:vAlign w:val="center"/>
          </w:tcPr>
          <w:p w14:paraId="281A1BB9" w14:textId="77777777" w:rsidR="00236A0E" w:rsidRDefault="00236A0E" w:rsidP="00236A0E">
            <w:pPr>
              <w:jc w:val="center"/>
              <w:rPr>
                <w:sz w:val="20"/>
                <w:szCs w:val="20"/>
              </w:rPr>
            </w:pPr>
            <w:r>
              <w:rPr>
                <w:rFonts w:eastAsia="Times New Roman"/>
                <w:sz w:val="18"/>
                <w:szCs w:val="18"/>
              </w:rPr>
              <w:t>0.07</w:t>
            </w:r>
          </w:p>
        </w:tc>
        <w:tc>
          <w:tcPr>
            <w:tcW w:w="2347" w:type="dxa"/>
            <w:tcBorders>
              <w:top w:val="single" w:sz="8" w:space="0" w:color="auto"/>
              <w:bottom w:val="single" w:sz="8" w:space="0" w:color="auto"/>
              <w:right w:val="single" w:sz="8" w:space="0" w:color="auto"/>
            </w:tcBorders>
            <w:vAlign w:val="center"/>
          </w:tcPr>
          <w:p w14:paraId="281A1BBA" w14:textId="77777777" w:rsidR="00236A0E" w:rsidRDefault="00236A0E" w:rsidP="00236A0E">
            <w:pPr>
              <w:jc w:val="center"/>
              <w:rPr>
                <w:sz w:val="20"/>
                <w:szCs w:val="20"/>
              </w:rPr>
            </w:pPr>
            <w:r>
              <w:rPr>
                <w:rFonts w:eastAsia="Times New Roman"/>
                <w:sz w:val="18"/>
                <w:szCs w:val="18"/>
              </w:rPr>
              <w:t>0.07</w:t>
            </w:r>
          </w:p>
        </w:tc>
        <w:tc>
          <w:tcPr>
            <w:tcW w:w="4046" w:type="dxa"/>
            <w:tcBorders>
              <w:top w:val="single" w:sz="8" w:space="0" w:color="auto"/>
              <w:bottom w:val="single" w:sz="8" w:space="0" w:color="auto"/>
              <w:right w:val="single" w:sz="8" w:space="0" w:color="auto"/>
            </w:tcBorders>
          </w:tcPr>
          <w:p w14:paraId="281A1BBB" w14:textId="3B172CA2" w:rsidR="00236A0E" w:rsidRPr="00236A0E" w:rsidRDefault="00236A0E" w:rsidP="00236A0E">
            <w:pPr>
              <w:spacing w:line="311" w:lineRule="auto"/>
              <w:ind w:left="86"/>
              <w:rPr>
                <w:rFonts w:eastAsia="Times New Roman"/>
                <w:sz w:val="18"/>
                <w:szCs w:val="18"/>
              </w:rPr>
            </w:pPr>
            <w:r>
              <w:rPr>
                <w:rFonts w:eastAsia="Times New Roman"/>
                <w:sz w:val="18"/>
                <w:szCs w:val="18"/>
              </w:rPr>
              <w:t>Some people who drink water containing the weed killer 2,4-D well in excess of the MCL over many years could experience problems with their kidneys, liver, or adrenal glands.</w:t>
            </w:r>
          </w:p>
        </w:tc>
      </w:tr>
    </w:tbl>
    <w:p w14:paraId="544022A0" w14:textId="54CCFC69" w:rsidR="003B2E63" w:rsidRDefault="003B2E63" w:rsidP="00400995">
      <w:bookmarkStart w:id="201" w:name="page203"/>
      <w:bookmarkEnd w:id="201"/>
    </w:p>
    <w:p w14:paraId="56FC31CB" w14:textId="77777777" w:rsidR="003B2E63" w:rsidRDefault="003B2E63" w:rsidP="00400995">
      <w:r>
        <w:br w:type="page"/>
      </w:r>
    </w:p>
    <w:p w14:paraId="4F784A73" w14:textId="77777777" w:rsidR="003B2E63" w:rsidRDefault="003B2E63" w:rsidP="00400995">
      <w:pPr>
        <w:sectPr w:rsidR="003B2E63" w:rsidSect="00EF630C">
          <w:pgSz w:w="12240" w:h="20180"/>
          <w:pgMar w:top="708" w:right="1080" w:bottom="1051" w:left="600" w:header="0" w:footer="0" w:gutter="0"/>
          <w:cols w:space="720"/>
        </w:sectPr>
      </w:pPr>
    </w:p>
    <w:p w14:paraId="281A1BD3" w14:textId="77777777" w:rsidR="004647B9" w:rsidRDefault="00E2436F">
      <w:pPr>
        <w:tabs>
          <w:tab w:val="left" w:pos="2860"/>
        </w:tabs>
        <w:ind w:left="1680"/>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BD4" w14:textId="77777777" w:rsidR="004647B9" w:rsidRDefault="004647B9" w:rsidP="00400995">
      <w:pPr>
        <w:rPr>
          <w:sz w:val="20"/>
          <w:szCs w:val="20"/>
        </w:rPr>
      </w:pPr>
    </w:p>
    <w:p w14:paraId="281A1BD5" w14:textId="77777777" w:rsidR="004647B9" w:rsidRDefault="004647B9" w:rsidP="00400995">
      <w:pPr>
        <w:rPr>
          <w:sz w:val="20"/>
          <w:szCs w:val="20"/>
        </w:rPr>
      </w:pPr>
    </w:p>
    <w:p w14:paraId="281A1BD6" w14:textId="77777777" w:rsidR="004647B9" w:rsidRPr="00400995" w:rsidRDefault="00E2436F" w:rsidP="00400995">
      <w:pPr>
        <w:tabs>
          <w:tab w:val="left" w:pos="760"/>
        </w:tabs>
        <w:rPr>
          <w:sz w:val="24"/>
          <w:szCs w:val="24"/>
        </w:rPr>
      </w:pPr>
      <w:r w:rsidRPr="00400995">
        <w:rPr>
          <w:rFonts w:eastAsia="Times New Roman"/>
          <w:sz w:val="24"/>
          <w:szCs w:val="24"/>
        </w:rPr>
        <w:t>22.16:</w:t>
      </w:r>
      <w:r w:rsidRPr="00400995">
        <w:rPr>
          <w:rFonts w:eastAsia="Times New Roman"/>
          <w:sz w:val="24"/>
          <w:szCs w:val="24"/>
        </w:rPr>
        <w:tab/>
        <w:t>continued</w:t>
      </w:r>
    </w:p>
    <w:p w14:paraId="281A1BD7" w14:textId="628E6B82" w:rsidR="004647B9" w:rsidRDefault="004647B9" w:rsidP="00400995">
      <w:pPr>
        <w:rPr>
          <w:sz w:val="20"/>
          <w:szCs w:val="20"/>
        </w:rPr>
      </w:pPr>
    </w:p>
    <w:tbl>
      <w:tblPr>
        <w:tblW w:w="10483" w:type="dxa"/>
        <w:tblInd w:w="50" w:type="dxa"/>
        <w:tblLayout w:type="fixed"/>
        <w:tblCellMar>
          <w:left w:w="0" w:type="dxa"/>
          <w:right w:w="0" w:type="dxa"/>
        </w:tblCellMar>
        <w:tblLook w:val="04A0" w:firstRow="1" w:lastRow="0" w:firstColumn="1" w:lastColumn="0" w:noHBand="0" w:noVBand="1"/>
      </w:tblPr>
      <w:tblGrid>
        <w:gridCol w:w="2733"/>
        <w:gridCol w:w="1357"/>
        <w:gridCol w:w="2347"/>
        <w:gridCol w:w="4046"/>
      </w:tblGrid>
      <w:tr w:rsidR="00906BEF" w14:paraId="3F53C179" w14:textId="77777777" w:rsidTr="003B2E63">
        <w:trPr>
          <w:trHeight w:val="271"/>
        </w:trPr>
        <w:tc>
          <w:tcPr>
            <w:tcW w:w="2733" w:type="dxa"/>
            <w:tcBorders>
              <w:top w:val="single" w:sz="8" w:space="0" w:color="auto"/>
              <w:left w:val="single" w:sz="8" w:space="0" w:color="auto"/>
              <w:bottom w:val="single" w:sz="8" w:space="0" w:color="auto"/>
              <w:right w:val="single" w:sz="8" w:space="0" w:color="auto"/>
            </w:tcBorders>
            <w:vAlign w:val="center"/>
          </w:tcPr>
          <w:p w14:paraId="7AE46624" w14:textId="77777777" w:rsidR="00906BEF" w:rsidRDefault="00906BEF" w:rsidP="00DF6443">
            <w:pPr>
              <w:ind w:left="43"/>
              <w:rPr>
                <w:sz w:val="23"/>
                <w:szCs w:val="23"/>
              </w:rPr>
            </w:pPr>
            <w:r>
              <w:rPr>
                <w:rFonts w:eastAsia="Times New Roman"/>
                <w:sz w:val="18"/>
                <w:szCs w:val="18"/>
              </w:rPr>
              <w:t>Contaminant</w:t>
            </w:r>
          </w:p>
        </w:tc>
        <w:tc>
          <w:tcPr>
            <w:tcW w:w="1357" w:type="dxa"/>
            <w:tcBorders>
              <w:top w:val="single" w:sz="8" w:space="0" w:color="auto"/>
              <w:left w:val="single" w:sz="8" w:space="0" w:color="auto"/>
              <w:bottom w:val="single" w:sz="8" w:space="0" w:color="auto"/>
              <w:right w:val="single" w:sz="8" w:space="0" w:color="auto"/>
            </w:tcBorders>
            <w:vAlign w:val="center"/>
          </w:tcPr>
          <w:p w14:paraId="272F7D79" w14:textId="77777777" w:rsidR="00906BEF" w:rsidRDefault="00906BEF"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7" w:type="dxa"/>
            <w:tcBorders>
              <w:top w:val="single" w:sz="8" w:space="0" w:color="auto"/>
              <w:left w:val="single" w:sz="8" w:space="0" w:color="auto"/>
              <w:bottom w:val="single" w:sz="8" w:space="0" w:color="auto"/>
              <w:right w:val="single" w:sz="8" w:space="0" w:color="auto"/>
            </w:tcBorders>
            <w:vAlign w:val="center"/>
          </w:tcPr>
          <w:p w14:paraId="63ED5150" w14:textId="77777777" w:rsidR="00906BEF" w:rsidRDefault="00906BEF"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6" w:type="dxa"/>
            <w:tcBorders>
              <w:top w:val="single" w:sz="8" w:space="0" w:color="auto"/>
              <w:bottom w:val="single" w:sz="8" w:space="0" w:color="auto"/>
              <w:right w:val="single" w:sz="8" w:space="0" w:color="auto"/>
            </w:tcBorders>
            <w:vAlign w:val="center"/>
          </w:tcPr>
          <w:p w14:paraId="22555968" w14:textId="77777777" w:rsidR="00906BEF" w:rsidRPr="005A4D34" w:rsidRDefault="00906BEF" w:rsidP="00DF6443">
            <w:pPr>
              <w:ind w:left="40"/>
              <w:rPr>
                <w:sz w:val="18"/>
                <w:szCs w:val="18"/>
              </w:rPr>
            </w:pPr>
            <w:r w:rsidRPr="005A4D34">
              <w:rPr>
                <w:sz w:val="18"/>
                <w:szCs w:val="18"/>
              </w:rPr>
              <w:t>Standard health effects language for public notification</w:t>
            </w:r>
          </w:p>
        </w:tc>
      </w:tr>
      <w:tr w:rsidR="00906BEF" w14:paraId="1CD6F14F" w14:textId="77777777" w:rsidTr="003B2E63">
        <w:trPr>
          <w:trHeight w:val="286"/>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0B321EDE" w14:textId="77777777" w:rsidR="00906BEF" w:rsidRDefault="00906BEF" w:rsidP="00DF6443">
            <w:pPr>
              <w:ind w:left="43"/>
              <w:rPr>
                <w:sz w:val="20"/>
                <w:szCs w:val="20"/>
              </w:rPr>
            </w:pPr>
            <w:r>
              <w:rPr>
                <w:rFonts w:eastAsia="Times New Roman"/>
                <w:sz w:val="18"/>
                <w:szCs w:val="18"/>
              </w:rPr>
              <w:t>National Primary Drinking Water Regulations (NPDWR) and Massachusetts Drinking Water Regulations:</w:t>
            </w:r>
          </w:p>
        </w:tc>
      </w:tr>
      <w:tr w:rsidR="00906BEF" w14:paraId="49B06A92" w14:textId="77777777" w:rsidTr="003B2E63">
        <w:trPr>
          <w:trHeight w:val="254"/>
        </w:trPr>
        <w:tc>
          <w:tcPr>
            <w:tcW w:w="2733" w:type="dxa"/>
            <w:tcBorders>
              <w:left w:val="single" w:sz="8" w:space="0" w:color="auto"/>
              <w:bottom w:val="single" w:sz="8" w:space="0" w:color="auto"/>
              <w:right w:val="single" w:sz="8" w:space="0" w:color="auto"/>
            </w:tcBorders>
            <w:vAlign w:val="center"/>
          </w:tcPr>
          <w:p w14:paraId="7CF42230" w14:textId="6DBA9991" w:rsidR="00906BEF" w:rsidRDefault="00906BEF" w:rsidP="00563A54">
            <w:pPr>
              <w:numPr>
                <w:ilvl w:val="0"/>
                <w:numId w:val="521"/>
              </w:numPr>
              <w:tabs>
                <w:tab w:val="left" w:pos="290"/>
              </w:tabs>
              <w:ind w:left="20"/>
            </w:pPr>
            <w:r>
              <w:rPr>
                <w:rFonts w:eastAsia="Times New Roman"/>
                <w:sz w:val="18"/>
                <w:szCs w:val="18"/>
              </w:rPr>
              <w:t>2,4,5-TP (Silvex)</w:t>
            </w:r>
          </w:p>
        </w:tc>
        <w:tc>
          <w:tcPr>
            <w:tcW w:w="1357" w:type="dxa"/>
            <w:tcBorders>
              <w:bottom w:val="single" w:sz="8" w:space="0" w:color="auto"/>
              <w:right w:val="single" w:sz="8" w:space="0" w:color="auto"/>
            </w:tcBorders>
            <w:vAlign w:val="center"/>
          </w:tcPr>
          <w:p w14:paraId="3CD07802" w14:textId="5D20CD08" w:rsidR="00906BEF" w:rsidRDefault="00906BEF" w:rsidP="00DF6443">
            <w:pPr>
              <w:jc w:val="center"/>
              <w:rPr>
                <w:rFonts w:eastAsia="Times New Roman"/>
                <w:sz w:val="18"/>
                <w:szCs w:val="18"/>
              </w:rPr>
            </w:pPr>
            <w:r>
              <w:rPr>
                <w:rFonts w:eastAsia="Times New Roman"/>
                <w:sz w:val="18"/>
                <w:szCs w:val="18"/>
              </w:rPr>
              <w:t>0.05</w:t>
            </w:r>
          </w:p>
        </w:tc>
        <w:tc>
          <w:tcPr>
            <w:tcW w:w="2347" w:type="dxa"/>
            <w:tcBorders>
              <w:bottom w:val="single" w:sz="8" w:space="0" w:color="auto"/>
              <w:right w:val="single" w:sz="8" w:space="0" w:color="auto"/>
            </w:tcBorders>
            <w:vAlign w:val="center"/>
          </w:tcPr>
          <w:p w14:paraId="2498C636" w14:textId="4AD26FEF" w:rsidR="00906BEF" w:rsidRDefault="00906BEF" w:rsidP="00DF6443">
            <w:pPr>
              <w:jc w:val="center"/>
              <w:rPr>
                <w:rFonts w:eastAsia="Times New Roman"/>
                <w:sz w:val="18"/>
                <w:szCs w:val="18"/>
              </w:rPr>
            </w:pPr>
            <w:r>
              <w:rPr>
                <w:rFonts w:eastAsia="Times New Roman"/>
                <w:sz w:val="18"/>
                <w:szCs w:val="18"/>
              </w:rPr>
              <w:t>0.05</w:t>
            </w:r>
          </w:p>
        </w:tc>
        <w:tc>
          <w:tcPr>
            <w:tcW w:w="4046" w:type="dxa"/>
            <w:tcBorders>
              <w:bottom w:val="single" w:sz="8" w:space="0" w:color="auto"/>
              <w:right w:val="single" w:sz="8" w:space="0" w:color="auto"/>
            </w:tcBorders>
            <w:vAlign w:val="bottom"/>
          </w:tcPr>
          <w:p w14:paraId="13F8C529" w14:textId="33C80548" w:rsidR="00906BEF" w:rsidRDefault="003441E2" w:rsidP="00DF6443">
            <w:pPr>
              <w:spacing w:line="311" w:lineRule="auto"/>
              <w:ind w:left="86"/>
              <w:rPr>
                <w:rFonts w:eastAsia="Times New Roman"/>
                <w:sz w:val="18"/>
                <w:szCs w:val="18"/>
              </w:rPr>
            </w:pPr>
            <w:r>
              <w:rPr>
                <w:rFonts w:eastAsia="Times New Roman"/>
                <w:sz w:val="18"/>
                <w:szCs w:val="18"/>
              </w:rPr>
              <w:t>Some people who drink water containing silvex in excess of the MCL over many years could</w:t>
            </w:r>
            <w:r w:rsidR="00962EAC">
              <w:rPr>
                <w:rFonts w:eastAsia="Times New Roman"/>
                <w:sz w:val="18"/>
                <w:szCs w:val="18"/>
              </w:rPr>
              <w:t xml:space="preserve"> experience liver problems.</w:t>
            </w:r>
          </w:p>
        </w:tc>
      </w:tr>
      <w:tr w:rsidR="00962EAC" w14:paraId="67057474" w14:textId="77777777" w:rsidTr="003B2E63">
        <w:trPr>
          <w:trHeight w:val="1045"/>
        </w:trPr>
        <w:tc>
          <w:tcPr>
            <w:tcW w:w="2733" w:type="dxa"/>
            <w:tcBorders>
              <w:left w:val="single" w:sz="8" w:space="0" w:color="auto"/>
              <w:bottom w:val="single" w:sz="8" w:space="0" w:color="auto"/>
              <w:right w:val="single" w:sz="8" w:space="0" w:color="auto"/>
            </w:tcBorders>
            <w:vAlign w:val="center"/>
          </w:tcPr>
          <w:p w14:paraId="0FF5311E" w14:textId="161E5437" w:rsidR="00962EAC" w:rsidRPr="0010774A" w:rsidRDefault="00962EAC" w:rsidP="00563A54">
            <w:pPr>
              <w:numPr>
                <w:ilvl w:val="0"/>
                <w:numId w:val="521"/>
              </w:numPr>
              <w:tabs>
                <w:tab w:val="left" w:pos="290"/>
              </w:tabs>
              <w:ind w:left="20"/>
              <w:rPr>
                <w:sz w:val="20"/>
                <w:szCs w:val="20"/>
              </w:rPr>
            </w:pPr>
            <w:r>
              <w:rPr>
                <w:rFonts w:eastAsia="Times New Roman"/>
                <w:sz w:val="18"/>
                <w:szCs w:val="18"/>
              </w:rPr>
              <w:t>Alachlor</w:t>
            </w:r>
          </w:p>
        </w:tc>
        <w:tc>
          <w:tcPr>
            <w:tcW w:w="1357" w:type="dxa"/>
            <w:tcBorders>
              <w:top w:val="single" w:sz="8" w:space="0" w:color="auto"/>
              <w:bottom w:val="single" w:sz="8" w:space="0" w:color="auto"/>
              <w:right w:val="single" w:sz="8" w:space="0" w:color="auto"/>
            </w:tcBorders>
            <w:vAlign w:val="center"/>
          </w:tcPr>
          <w:p w14:paraId="4C6A09B7" w14:textId="620E32EB" w:rsidR="00962EAC" w:rsidRDefault="00962EAC" w:rsidP="00962EAC">
            <w:pPr>
              <w:jc w:val="center"/>
              <w:rPr>
                <w:sz w:val="20"/>
                <w:szCs w:val="20"/>
              </w:rPr>
            </w:pPr>
            <w:r>
              <w:rPr>
                <w:rFonts w:eastAsia="Times New Roman"/>
                <w:sz w:val="18"/>
                <w:szCs w:val="18"/>
              </w:rPr>
              <w:t>Zero</w:t>
            </w:r>
          </w:p>
        </w:tc>
        <w:tc>
          <w:tcPr>
            <w:tcW w:w="2347" w:type="dxa"/>
            <w:tcBorders>
              <w:bottom w:val="single" w:sz="8" w:space="0" w:color="auto"/>
              <w:right w:val="single" w:sz="8" w:space="0" w:color="auto"/>
            </w:tcBorders>
            <w:vAlign w:val="center"/>
          </w:tcPr>
          <w:p w14:paraId="1B0385B4" w14:textId="55C43D9B" w:rsidR="00962EAC" w:rsidRDefault="00962EAC" w:rsidP="00962EAC">
            <w:pPr>
              <w:jc w:val="center"/>
              <w:rPr>
                <w:sz w:val="20"/>
                <w:szCs w:val="20"/>
              </w:rPr>
            </w:pPr>
            <w:r>
              <w:rPr>
                <w:rFonts w:eastAsia="Times New Roman"/>
                <w:sz w:val="18"/>
                <w:szCs w:val="18"/>
              </w:rPr>
              <w:t>0.002</w:t>
            </w:r>
          </w:p>
        </w:tc>
        <w:tc>
          <w:tcPr>
            <w:tcW w:w="4046" w:type="dxa"/>
            <w:tcBorders>
              <w:bottom w:val="single" w:sz="8" w:space="0" w:color="auto"/>
              <w:right w:val="single" w:sz="8" w:space="0" w:color="auto"/>
            </w:tcBorders>
          </w:tcPr>
          <w:p w14:paraId="712D0428" w14:textId="2137D089" w:rsidR="00962EAC" w:rsidRDefault="00962EAC" w:rsidP="00962EAC">
            <w:pPr>
              <w:spacing w:line="311" w:lineRule="auto"/>
              <w:ind w:left="86"/>
              <w:rPr>
                <w:sz w:val="20"/>
                <w:szCs w:val="20"/>
              </w:rPr>
            </w:pPr>
            <w:r>
              <w:rPr>
                <w:rFonts w:eastAsia="Times New Roman"/>
                <w:sz w:val="18"/>
                <w:szCs w:val="18"/>
              </w:rPr>
              <w:t>Some people who drink water containing alachlor in excess of the MCL over many years could have problems with their eyes, liver, kidneys, or spleen, or experience anemia, and may have an increased risk of getting cancer.</w:t>
            </w:r>
          </w:p>
        </w:tc>
      </w:tr>
      <w:tr w:rsidR="00962EAC" w14:paraId="03E5CE83" w14:textId="77777777" w:rsidTr="003B2E63">
        <w:trPr>
          <w:trHeight w:val="1126"/>
        </w:trPr>
        <w:tc>
          <w:tcPr>
            <w:tcW w:w="2733" w:type="dxa"/>
            <w:tcBorders>
              <w:top w:val="single" w:sz="8" w:space="0" w:color="auto"/>
              <w:left w:val="single" w:sz="8" w:space="0" w:color="auto"/>
              <w:bottom w:val="single" w:sz="8" w:space="0" w:color="auto"/>
              <w:right w:val="single" w:sz="8" w:space="0" w:color="auto"/>
            </w:tcBorders>
            <w:vAlign w:val="center"/>
          </w:tcPr>
          <w:p w14:paraId="57518525" w14:textId="78AB283D" w:rsidR="00962EAC" w:rsidRDefault="00962EAC" w:rsidP="00563A54">
            <w:pPr>
              <w:numPr>
                <w:ilvl w:val="0"/>
                <w:numId w:val="521"/>
              </w:numPr>
              <w:tabs>
                <w:tab w:val="left" w:pos="290"/>
              </w:tabs>
              <w:ind w:left="20"/>
              <w:rPr>
                <w:sz w:val="20"/>
                <w:szCs w:val="20"/>
              </w:rPr>
            </w:pPr>
            <w:r>
              <w:rPr>
                <w:rFonts w:eastAsia="Times New Roman"/>
                <w:sz w:val="18"/>
                <w:szCs w:val="18"/>
              </w:rPr>
              <w:t>Atrazine</w:t>
            </w:r>
          </w:p>
        </w:tc>
        <w:tc>
          <w:tcPr>
            <w:tcW w:w="1357" w:type="dxa"/>
            <w:tcBorders>
              <w:top w:val="single" w:sz="8" w:space="0" w:color="auto"/>
              <w:left w:val="single" w:sz="8" w:space="0" w:color="auto"/>
              <w:bottom w:val="single" w:sz="8" w:space="0" w:color="auto"/>
              <w:right w:val="single" w:sz="8" w:space="0" w:color="auto"/>
            </w:tcBorders>
            <w:vAlign w:val="center"/>
          </w:tcPr>
          <w:p w14:paraId="6D6DB1B5" w14:textId="2FCCBC33" w:rsidR="00962EAC" w:rsidRPr="00337981" w:rsidRDefault="00962EAC" w:rsidP="00962EAC">
            <w:pPr>
              <w:jc w:val="center"/>
              <w:rPr>
                <w:rFonts w:eastAsia="Times New Roman"/>
                <w:sz w:val="18"/>
                <w:szCs w:val="18"/>
              </w:rPr>
            </w:pPr>
            <w:r w:rsidRPr="00337981">
              <w:rPr>
                <w:rFonts w:eastAsia="Times New Roman"/>
                <w:sz w:val="18"/>
                <w:szCs w:val="18"/>
              </w:rPr>
              <w:t>0</w:t>
            </w:r>
            <w:r w:rsidR="00DC2A32" w:rsidRPr="00337981">
              <w:rPr>
                <w:rFonts w:eastAsia="Times New Roman"/>
                <w:sz w:val="18"/>
                <w:szCs w:val="18"/>
              </w:rPr>
              <w:t>.003</w:t>
            </w:r>
          </w:p>
        </w:tc>
        <w:tc>
          <w:tcPr>
            <w:tcW w:w="2347" w:type="dxa"/>
            <w:tcBorders>
              <w:top w:val="single" w:sz="8" w:space="0" w:color="auto"/>
              <w:bottom w:val="single" w:sz="8" w:space="0" w:color="auto"/>
              <w:right w:val="single" w:sz="8" w:space="0" w:color="auto"/>
            </w:tcBorders>
            <w:vAlign w:val="center"/>
          </w:tcPr>
          <w:p w14:paraId="244761B8" w14:textId="268ABF19" w:rsidR="00962EAC" w:rsidRDefault="00962EAC" w:rsidP="00962EAC">
            <w:pPr>
              <w:jc w:val="center"/>
              <w:rPr>
                <w:sz w:val="20"/>
                <w:szCs w:val="20"/>
              </w:rPr>
            </w:pPr>
            <w:r>
              <w:rPr>
                <w:rFonts w:eastAsia="Times New Roman"/>
                <w:sz w:val="18"/>
                <w:szCs w:val="18"/>
              </w:rPr>
              <w:t>0.003</w:t>
            </w:r>
          </w:p>
        </w:tc>
        <w:tc>
          <w:tcPr>
            <w:tcW w:w="4046" w:type="dxa"/>
            <w:tcBorders>
              <w:top w:val="single" w:sz="8" w:space="0" w:color="auto"/>
              <w:bottom w:val="single" w:sz="8" w:space="0" w:color="auto"/>
              <w:right w:val="single" w:sz="8" w:space="0" w:color="auto"/>
            </w:tcBorders>
          </w:tcPr>
          <w:p w14:paraId="617C9826" w14:textId="3731FD6B" w:rsidR="00962EAC" w:rsidRPr="00E80B69" w:rsidRDefault="00962EAC" w:rsidP="00962EAC">
            <w:pPr>
              <w:spacing w:line="311" w:lineRule="auto"/>
              <w:ind w:left="86"/>
              <w:rPr>
                <w:rFonts w:eastAsia="Times New Roman"/>
                <w:sz w:val="18"/>
                <w:szCs w:val="18"/>
              </w:rPr>
            </w:pPr>
            <w:r>
              <w:rPr>
                <w:rFonts w:eastAsia="Times New Roman"/>
                <w:sz w:val="18"/>
                <w:szCs w:val="18"/>
              </w:rPr>
              <w:t>Some people who drink water containing atrazine well in excess of the MCL over many years could experience problems with their cardiovascular system or reproductive difficulties.</w:t>
            </w:r>
          </w:p>
        </w:tc>
      </w:tr>
      <w:tr w:rsidR="00962EAC" w14:paraId="15D12632" w14:textId="77777777" w:rsidTr="003B2E63">
        <w:trPr>
          <w:trHeight w:val="1144"/>
        </w:trPr>
        <w:tc>
          <w:tcPr>
            <w:tcW w:w="2733" w:type="dxa"/>
            <w:tcBorders>
              <w:top w:val="single" w:sz="8" w:space="0" w:color="auto"/>
              <w:left w:val="single" w:sz="8" w:space="0" w:color="auto"/>
              <w:bottom w:val="single" w:sz="8" w:space="0" w:color="auto"/>
              <w:right w:val="single" w:sz="8" w:space="0" w:color="auto"/>
            </w:tcBorders>
            <w:vAlign w:val="center"/>
          </w:tcPr>
          <w:p w14:paraId="22302FDD" w14:textId="04C592B3" w:rsidR="00962EAC" w:rsidRDefault="00962EAC" w:rsidP="00563A54">
            <w:pPr>
              <w:numPr>
                <w:ilvl w:val="0"/>
                <w:numId w:val="521"/>
              </w:numPr>
              <w:tabs>
                <w:tab w:val="left" w:pos="290"/>
              </w:tabs>
              <w:ind w:left="20"/>
              <w:rPr>
                <w:sz w:val="20"/>
                <w:szCs w:val="20"/>
              </w:rPr>
            </w:pPr>
            <w:r>
              <w:rPr>
                <w:rFonts w:eastAsia="Times New Roman"/>
                <w:sz w:val="18"/>
                <w:szCs w:val="18"/>
              </w:rPr>
              <w:t>Benzo(a)pyrene (PAHs).</w:t>
            </w:r>
          </w:p>
        </w:tc>
        <w:tc>
          <w:tcPr>
            <w:tcW w:w="1357" w:type="dxa"/>
            <w:tcBorders>
              <w:top w:val="single" w:sz="8" w:space="0" w:color="auto"/>
              <w:left w:val="single" w:sz="8" w:space="0" w:color="auto"/>
              <w:bottom w:val="single" w:sz="8" w:space="0" w:color="auto"/>
              <w:right w:val="single" w:sz="8" w:space="0" w:color="auto"/>
            </w:tcBorders>
            <w:vAlign w:val="center"/>
          </w:tcPr>
          <w:p w14:paraId="2DA8F492" w14:textId="4E7AF77D" w:rsidR="00962EAC" w:rsidRDefault="00962EAC" w:rsidP="00962EAC">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45BB6339" w14:textId="7883727F" w:rsidR="00962EAC" w:rsidRDefault="00962EAC" w:rsidP="00962EAC">
            <w:pPr>
              <w:jc w:val="center"/>
              <w:rPr>
                <w:sz w:val="20"/>
                <w:szCs w:val="20"/>
              </w:rPr>
            </w:pPr>
            <w:r>
              <w:rPr>
                <w:rFonts w:eastAsia="Times New Roman"/>
                <w:sz w:val="18"/>
                <w:szCs w:val="18"/>
              </w:rPr>
              <w:t>0</w:t>
            </w:r>
            <w:r w:rsidR="009E5A4E">
              <w:rPr>
                <w:rFonts w:eastAsia="Times New Roman"/>
                <w:sz w:val="18"/>
                <w:szCs w:val="18"/>
              </w:rPr>
              <w:t>.0002</w:t>
            </w:r>
          </w:p>
        </w:tc>
        <w:tc>
          <w:tcPr>
            <w:tcW w:w="4046" w:type="dxa"/>
            <w:tcBorders>
              <w:top w:val="single" w:sz="8" w:space="0" w:color="auto"/>
              <w:bottom w:val="single" w:sz="8" w:space="0" w:color="auto"/>
              <w:right w:val="single" w:sz="8" w:space="0" w:color="auto"/>
            </w:tcBorders>
          </w:tcPr>
          <w:p w14:paraId="40DA67E9" w14:textId="7D36220C" w:rsidR="00962EAC" w:rsidRPr="00E80B69" w:rsidRDefault="00962EAC" w:rsidP="00962EAC">
            <w:pPr>
              <w:spacing w:line="311" w:lineRule="auto"/>
              <w:ind w:left="86"/>
              <w:rPr>
                <w:rFonts w:eastAsia="Times New Roman"/>
                <w:sz w:val="18"/>
                <w:szCs w:val="18"/>
              </w:rPr>
            </w:pPr>
            <w:r>
              <w:rPr>
                <w:rFonts w:eastAsia="Times New Roman"/>
                <w:sz w:val="18"/>
                <w:szCs w:val="18"/>
              </w:rPr>
              <w:t>Some people who drink water containing benzo(a)pyrene in excess of the MCL over many years may experience reproductive difficulties and may have an increased risk of getting cancer.</w:t>
            </w:r>
          </w:p>
        </w:tc>
      </w:tr>
      <w:tr w:rsidR="00962EAC" w14:paraId="5FA39267" w14:textId="77777777" w:rsidTr="003B2E63">
        <w:trPr>
          <w:trHeight w:val="1072"/>
        </w:trPr>
        <w:tc>
          <w:tcPr>
            <w:tcW w:w="2733" w:type="dxa"/>
            <w:tcBorders>
              <w:top w:val="single" w:sz="8" w:space="0" w:color="auto"/>
              <w:left w:val="single" w:sz="8" w:space="0" w:color="auto"/>
              <w:bottom w:val="single" w:sz="8" w:space="0" w:color="auto"/>
              <w:right w:val="single" w:sz="8" w:space="0" w:color="auto"/>
            </w:tcBorders>
            <w:vAlign w:val="center"/>
          </w:tcPr>
          <w:p w14:paraId="13B309C2" w14:textId="38C0A30A" w:rsidR="00962EAC" w:rsidRDefault="00962EAC" w:rsidP="00563A54">
            <w:pPr>
              <w:numPr>
                <w:ilvl w:val="0"/>
                <w:numId w:val="521"/>
              </w:numPr>
              <w:tabs>
                <w:tab w:val="left" w:pos="290"/>
              </w:tabs>
              <w:ind w:left="20"/>
              <w:rPr>
                <w:sz w:val="20"/>
                <w:szCs w:val="20"/>
              </w:rPr>
            </w:pPr>
            <w:r>
              <w:rPr>
                <w:rFonts w:eastAsia="Times New Roman"/>
                <w:sz w:val="18"/>
                <w:szCs w:val="18"/>
              </w:rPr>
              <w:t>Carbofuran</w:t>
            </w:r>
          </w:p>
        </w:tc>
        <w:tc>
          <w:tcPr>
            <w:tcW w:w="1357" w:type="dxa"/>
            <w:tcBorders>
              <w:top w:val="single" w:sz="8" w:space="0" w:color="auto"/>
              <w:left w:val="single" w:sz="8" w:space="0" w:color="auto"/>
              <w:bottom w:val="single" w:sz="8" w:space="0" w:color="auto"/>
              <w:right w:val="single" w:sz="8" w:space="0" w:color="auto"/>
            </w:tcBorders>
            <w:vAlign w:val="center"/>
          </w:tcPr>
          <w:p w14:paraId="568A16CA" w14:textId="40FCE3DE" w:rsidR="00962EAC" w:rsidRDefault="00962EAC" w:rsidP="00962EAC">
            <w:pPr>
              <w:jc w:val="center"/>
              <w:rPr>
                <w:sz w:val="20"/>
                <w:szCs w:val="20"/>
              </w:rPr>
            </w:pPr>
            <w:r>
              <w:rPr>
                <w:rFonts w:eastAsia="Times New Roman"/>
                <w:sz w:val="18"/>
                <w:szCs w:val="18"/>
              </w:rPr>
              <w:t>0.04</w:t>
            </w:r>
          </w:p>
        </w:tc>
        <w:tc>
          <w:tcPr>
            <w:tcW w:w="2347" w:type="dxa"/>
            <w:tcBorders>
              <w:top w:val="single" w:sz="8" w:space="0" w:color="auto"/>
              <w:bottom w:val="single" w:sz="8" w:space="0" w:color="auto"/>
              <w:right w:val="single" w:sz="8" w:space="0" w:color="auto"/>
            </w:tcBorders>
            <w:vAlign w:val="center"/>
          </w:tcPr>
          <w:p w14:paraId="0A992FE2" w14:textId="38693BB5" w:rsidR="00962EAC" w:rsidRDefault="00962EAC" w:rsidP="00962EAC">
            <w:pPr>
              <w:jc w:val="center"/>
              <w:rPr>
                <w:sz w:val="20"/>
                <w:szCs w:val="20"/>
              </w:rPr>
            </w:pPr>
            <w:r>
              <w:rPr>
                <w:rFonts w:eastAsia="Times New Roman"/>
                <w:sz w:val="18"/>
                <w:szCs w:val="18"/>
              </w:rPr>
              <w:t>0.0</w:t>
            </w:r>
            <w:r w:rsidR="00E06F70">
              <w:rPr>
                <w:rFonts w:eastAsia="Times New Roman"/>
                <w:sz w:val="18"/>
                <w:szCs w:val="18"/>
              </w:rPr>
              <w:t>4</w:t>
            </w:r>
          </w:p>
        </w:tc>
        <w:tc>
          <w:tcPr>
            <w:tcW w:w="4046" w:type="dxa"/>
            <w:tcBorders>
              <w:top w:val="single" w:sz="8" w:space="0" w:color="auto"/>
              <w:bottom w:val="single" w:sz="8" w:space="0" w:color="auto"/>
              <w:right w:val="single" w:sz="8" w:space="0" w:color="auto"/>
            </w:tcBorders>
          </w:tcPr>
          <w:p w14:paraId="31CEA52E" w14:textId="5BCB5C7A" w:rsidR="00962EAC" w:rsidRPr="00E80B69" w:rsidRDefault="00962EAC" w:rsidP="00962EAC">
            <w:pPr>
              <w:spacing w:line="311" w:lineRule="auto"/>
              <w:ind w:left="86"/>
              <w:rPr>
                <w:rFonts w:eastAsia="Times New Roman"/>
                <w:sz w:val="18"/>
                <w:szCs w:val="18"/>
              </w:rPr>
            </w:pPr>
            <w:r>
              <w:rPr>
                <w:rFonts w:eastAsia="Times New Roman"/>
                <w:sz w:val="18"/>
                <w:szCs w:val="18"/>
              </w:rPr>
              <w:t>Some people who drink water containing carbofuran in excess of the MCL over many years could experience problems with their blood, or nervous or reproductive systems.</w:t>
            </w:r>
          </w:p>
        </w:tc>
      </w:tr>
      <w:tr w:rsidR="00091C58" w14:paraId="38463BCE" w14:textId="77777777" w:rsidTr="003B2E63">
        <w:trPr>
          <w:trHeight w:val="1135"/>
        </w:trPr>
        <w:tc>
          <w:tcPr>
            <w:tcW w:w="2733" w:type="dxa"/>
            <w:tcBorders>
              <w:top w:val="single" w:sz="8" w:space="0" w:color="auto"/>
              <w:left w:val="single" w:sz="8" w:space="0" w:color="auto"/>
              <w:bottom w:val="single" w:sz="8" w:space="0" w:color="auto"/>
              <w:right w:val="single" w:sz="8" w:space="0" w:color="auto"/>
            </w:tcBorders>
            <w:vAlign w:val="center"/>
          </w:tcPr>
          <w:p w14:paraId="21345834" w14:textId="1C4920A6" w:rsidR="00091C58" w:rsidRDefault="00091C58" w:rsidP="00563A54">
            <w:pPr>
              <w:numPr>
                <w:ilvl w:val="0"/>
                <w:numId w:val="521"/>
              </w:numPr>
              <w:tabs>
                <w:tab w:val="left" w:pos="290"/>
              </w:tabs>
              <w:ind w:left="20"/>
              <w:rPr>
                <w:sz w:val="20"/>
                <w:szCs w:val="20"/>
              </w:rPr>
            </w:pPr>
            <w:r>
              <w:rPr>
                <w:rFonts w:eastAsia="Times New Roman"/>
                <w:sz w:val="18"/>
                <w:szCs w:val="18"/>
              </w:rPr>
              <w:t>Chlordane</w:t>
            </w:r>
          </w:p>
        </w:tc>
        <w:tc>
          <w:tcPr>
            <w:tcW w:w="1357" w:type="dxa"/>
            <w:tcBorders>
              <w:top w:val="single" w:sz="8" w:space="0" w:color="auto"/>
              <w:left w:val="single" w:sz="8" w:space="0" w:color="auto"/>
              <w:bottom w:val="single" w:sz="8" w:space="0" w:color="auto"/>
              <w:right w:val="single" w:sz="8" w:space="0" w:color="auto"/>
            </w:tcBorders>
            <w:vAlign w:val="center"/>
          </w:tcPr>
          <w:p w14:paraId="7028941C" w14:textId="07427FE0" w:rsidR="00091C58" w:rsidRDefault="00091C58" w:rsidP="00091C58">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5FC6F27A" w14:textId="1D306D3F" w:rsidR="00091C58" w:rsidRDefault="00091C58" w:rsidP="00091C58">
            <w:pPr>
              <w:jc w:val="center"/>
              <w:rPr>
                <w:sz w:val="20"/>
                <w:szCs w:val="20"/>
              </w:rPr>
            </w:pPr>
            <w:r>
              <w:rPr>
                <w:rFonts w:eastAsia="Times New Roman"/>
                <w:sz w:val="18"/>
                <w:szCs w:val="18"/>
              </w:rPr>
              <w:t>0.002</w:t>
            </w:r>
          </w:p>
        </w:tc>
        <w:tc>
          <w:tcPr>
            <w:tcW w:w="4046" w:type="dxa"/>
            <w:tcBorders>
              <w:top w:val="single" w:sz="8" w:space="0" w:color="auto"/>
              <w:bottom w:val="single" w:sz="8" w:space="0" w:color="auto"/>
              <w:right w:val="single" w:sz="8" w:space="0" w:color="auto"/>
            </w:tcBorders>
          </w:tcPr>
          <w:p w14:paraId="6E511958" w14:textId="45FF7B1A" w:rsidR="00091C58" w:rsidRPr="007420E6" w:rsidRDefault="00091C58" w:rsidP="00091C58">
            <w:pPr>
              <w:spacing w:line="311" w:lineRule="auto"/>
              <w:ind w:left="86"/>
              <w:rPr>
                <w:rFonts w:eastAsia="Times New Roman"/>
                <w:sz w:val="18"/>
                <w:szCs w:val="18"/>
              </w:rPr>
            </w:pPr>
            <w:r>
              <w:rPr>
                <w:rFonts w:eastAsia="Times New Roman"/>
                <w:sz w:val="18"/>
                <w:szCs w:val="18"/>
              </w:rPr>
              <w:t>Some people who drink water containing chlordane in excess of the MCL over many years could experience problems with their liver or nervous system, and may have an increased risk of getting cancer.</w:t>
            </w:r>
          </w:p>
        </w:tc>
      </w:tr>
      <w:tr w:rsidR="00091C58" w14:paraId="50FE25F4" w14:textId="77777777" w:rsidTr="003B2E63">
        <w:trPr>
          <w:trHeight w:val="802"/>
        </w:trPr>
        <w:tc>
          <w:tcPr>
            <w:tcW w:w="2733" w:type="dxa"/>
            <w:tcBorders>
              <w:top w:val="single" w:sz="8" w:space="0" w:color="auto"/>
              <w:left w:val="single" w:sz="8" w:space="0" w:color="auto"/>
              <w:bottom w:val="single" w:sz="8" w:space="0" w:color="auto"/>
              <w:right w:val="single" w:sz="8" w:space="0" w:color="auto"/>
            </w:tcBorders>
            <w:vAlign w:val="center"/>
          </w:tcPr>
          <w:p w14:paraId="79712AF8" w14:textId="574DE466" w:rsidR="00091C58" w:rsidRDefault="00091C58" w:rsidP="00563A54">
            <w:pPr>
              <w:numPr>
                <w:ilvl w:val="0"/>
                <w:numId w:val="521"/>
              </w:numPr>
              <w:tabs>
                <w:tab w:val="left" w:pos="290"/>
              </w:tabs>
              <w:ind w:left="20"/>
              <w:rPr>
                <w:sz w:val="20"/>
                <w:szCs w:val="20"/>
              </w:rPr>
            </w:pPr>
            <w:r>
              <w:rPr>
                <w:rFonts w:eastAsia="Times New Roman"/>
                <w:sz w:val="18"/>
                <w:szCs w:val="18"/>
              </w:rPr>
              <w:t>Dalapon</w:t>
            </w:r>
          </w:p>
        </w:tc>
        <w:tc>
          <w:tcPr>
            <w:tcW w:w="1357" w:type="dxa"/>
            <w:tcBorders>
              <w:top w:val="single" w:sz="8" w:space="0" w:color="auto"/>
              <w:left w:val="single" w:sz="8" w:space="0" w:color="auto"/>
              <w:bottom w:val="single" w:sz="8" w:space="0" w:color="auto"/>
              <w:right w:val="single" w:sz="8" w:space="0" w:color="auto"/>
            </w:tcBorders>
            <w:vAlign w:val="center"/>
          </w:tcPr>
          <w:p w14:paraId="058A63D5" w14:textId="623FF9AB" w:rsidR="00091C58" w:rsidRDefault="00091C58" w:rsidP="00091C58">
            <w:pPr>
              <w:jc w:val="center"/>
              <w:rPr>
                <w:sz w:val="20"/>
                <w:szCs w:val="20"/>
              </w:rPr>
            </w:pPr>
            <w:r>
              <w:rPr>
                <w:rFonts w:eastAsia="Times New Roman"/>
                <w:sz w:val="18"/>
                <w:szCs w:val="18"/>
              </w:rPr>
              <w:t>0.2</w:t>
            </w:r>
          </w:p>
        </w:tc>
        <w:tc>
          <w:tcPr>
            <w:tcW w:w="2347" w:type="dxa"/>
            <w:tcBorders>
              <w:top w:val="single" w:sz="8" w:space="0" w:color="auto"/>
              <w:bottom w:val="single" w:sz="8" w:space="0" w:color="auto"/>
              <w:right w:val="single" w:sz="8" w:space="0" w:color="auto"/>
            </w:tcBorders>
            <w:vAlign w:val="center"/>
          </w:tcPr>
          <w:p w14:paraId="2924A00C" w14:textId="4B59F315" w:rsidR="00091C58" w:rsidRDefault="00091C58" w:rsidP="00091C58">
            <w:pPr>
              <w:jc w:val="center"/>
              <w:rPr>
                <w:sz w:val="20"/>
                <w:szCs w:val="20"/>
              </w:rPr>
            </w:pPr>
            <w:r>
              <w:rPr>
                <w:rFonts w:eastAsia="Times New Roman"/>
                <w:sz w:val="18"/>
                <w:szCs w:val="18"/>
              </w:rPr>
              <w:t>0.2</w:t>
            </w:r>
          </w:p>
        </w:tc>
        <w:tc>
          <w:tcPr>
            <w:tcW w:w="4046" w:type="dxa"/>
            <w:tcBorders>
              <w:top w:val="single" w:sz="8" w:space="0" w:color="auto"/>
              <w:bottom w:val="single" w:sz="8" w:space="0" w:color="auto"/>
              <w:right w:val="single" w:sz="8" w:space="0" w:color="auto"/>
            </w:tcBorders>
          </w:tcPr>
          <w:p w14:paraId="7D1CB2A4" w14:textId="7D026A0B" w:rsidR="00091C58" w:rsidRPr="00990800" w:rsidRDefault="00091C58" w:rsidP="00091C58">
            <w:pPr>
              <w:spacing w:line="311" w:lineRule="auto"/>
              <w:ind w:left="86"/>
              <w:rPr>
                <w:rFonts w:eastAsia="Times New Roman"/>
                <w:sz w:val="18"/>
                <w:szCs w:val="18"/>
              </w:rPr>
            </w:pPr>
            <w:r>
              <w:rPr>
                <w:rFonts w:eastAsia="Times New Roman"/>
                <w:sz w:val="18"/>
                <w:szCs w:val="18"/>
              </w:rPr>
              <w:t>Some people who drink water containing dalapon well in excess of the MCL over many years could experience minor kidney changes.</w:t>
            </w:r>
          </w:p>
        </w:tc>
      </w:tr>
      <w:tr w:rsidR="00330B62" w14:paraId="1D77E96C" w14:textId="77777777" w:rsidTr="003B2E63">
        <w:trPr>
          <w:trHeight w:val="1054"/>
        </w:trPr>
        <w:tc>
          <w:tcPr>
            <w:tcW w:w="2733" w:type="dxa"/>
            <w:tcBorders>
              <w:top w:val="single" w:sz="8" w:space="0" w:color="auto"/>
              <w:left w:val="single" w:sz="8" w:space="0" w:color="auto"/>
              <w:bottom w:val="single" w:sz="8" w:space="0" w:color="auto"/>
              <w:right w:val="single" w:sz="8" w:space="0" w:color="auto"/>
            </w:tcBorders>
            <w:vAlign w:val="center"/>
          </w:tcPr>
          <w:p w14:paraId="2CBB79EB" w14:textId="5D28D8AC" w:rsidR="00330B62" w:rsidRDefault="00330B62" w:rsidP="00563A54">
            <w:pPr>
              <w:numPr>
                <w:ilvl w:val="0"/>
                <w:numId w:val="521"/>
              </w:numPr>
              <w:tabs>
                <w:tab w:val="left" w:pos="290"/>
              </w:tabs>
              <w:ind w:left="20"/>
              <w:rPr>
                <w:sz w:val="20"/>
                <w:szCs w:val="20"/>
              </w:rPr>
            </w:pPr>
            <w:r>
              <w:rPr>
                <w:rFonts w:eastAsia="Times New Roman"/>
                <w:sz w:val="18"/>
                <w:szCs w:val="18"/>
              </w:rPr>
              <w:t>Di (2-ethylhexyl) adipate</w:t>
            </w:r>
          </w:p>
        </w:tc>
        <w:tc>
          <w:tcPr>
            <w:tcW w:w="1357" w:type="dxa"/>
            <w:tcBorders>
              <w:top w:val="single" w:sz="8" w:space="0" w:color="auto"/>
              <w:left w:val="single" w:sz="8" w:space="0" w:color="auto"/>
              <w:bottom w:val="single" w:sz="8" w:space="0" w:color="auto"/>
              <w:right w:val="single" w:sz="8" w:space="0" w:color="auto"/>
            </w:tcBorders>
            <w:vAlign w:val="center"/>
          </w:tcPr>
          <w:p w14:paraId="2F40FFD8" w14:textId="030D333A" w:rsidR="00330B62" w:rsidRDefault="00330B62" w:rsidP="00330B62">
            <w:pPr>
              <w:jc w:val="center"/>
              <w:rPr>
                <w:sz w:val="20"/>
                <w:szCs w:val="20"/>
              </w:rPr>
            </w:pPr>
            <w:r>
              <w:rPr>
                <w:rFonts w:eastAsia="Times New Roman"/>
                <w:sz w:val="18"/>
                <w:szCs w:val="18"/>
              </w:rPr>
              <w:t>0.4</w:t>
            </w:r>
          </w:p>
        </w:tc>
        <w:tc>
          <w:tcPr>
            <w:tcW w:w="2347" w:type="dxa"/>
            <w:tcBorders>
              <w:top w:val="single" w:sz="8" w:space="0" w:color="auto"/>
              <w:bottom w:val="single" w:sz="8" w:space="0" w:color="auto"/>
              <w:right w:val="single" w:sz="8" w:space="0" w:color="auto"/>
            </w:tcBorders>
            <w:vAlign w:val="center"/>
          </w:tcPr>
          <w:p w14:paraId="6BA3C248" w14:textId="2C72EB66" w:rsidR="00330B62" w:rsidRDefault="00330B62" w:rsidP="00330B62">
            <w:pPr>
              <w:jc w:val="center"/>
              <w:rPr>
                <w:sz w:val="20"/>
                <w:szCs w:val="20"/>
              </w:rPr>
            </w:pPr>
            <w:r>
              <w:rPr>
                <w:rFonts w:eastAsia="Times New Roman"/>
                <w:sz w:val="18"/>
                <w:szCs w:val="18"/>
              </w:rPr>
              <w:t>0.4</w:t>
            </w:r>
          </w:p>
        </w:tc>
        <w:tc>
          <w:tcPr>
            <w:tcW w:w="4046" w:type="dxa"/>
            <w:tcBorders>
              <w:top w:val="single" w:sz="8" w:space="0" w:color="auto"/>
              <w:bottom w:val="single" w:sz="8" w:space="0" w:color="auto"/>
              <w:right w:val="single" w:sz="8" w:space="0" w:color="auto"/>
            </w:tcBorders>
          </w:tcPr>
          <w:p w14:paraId="04612292" w14:textId="2DEA0A4C" w:rsidR="00330B62" w:rsidRPr="001C3D0A" w:rsidRDefault="00330B62" w:rsidP="00330B62">
            <w:pPr>
              <w:spacing w:line="311" w:lineRule="auto"/>
              <w:ind w:left="86"/>
              <w:rPr>
                <w:rFonts w:eastAsia="Times New Roman"/>
                <w:sz w:val="18"/>
                <w:szCs w:val="18"/>
              </w:rPr>
            </w:pPr>
            <w:r>
              <w:rPr>
                <w:rFonts w:eastAsia="Times New Roman"/>
                <w:sz w:val="18"/>
                <w:szCs w:val="18"/>
              </w:rPr>
              <w:t>Some people who drink water containing di (2-ethylhexyl) adipate well in excess of the MCL over many years could experience general toxic effects or reproductive difficulties.</w:t>
            </w:r>
          </w:p>
        </w:tc>
      </w:tr>
      <w:tr w:rsidR="00330B62" w14:paraId="1F1AEF93" w14:textId="77777777" w:rsidTr="003B2E63">
        <w:trPr>
          <w:trHeight w:val="1306"/>
        </w:trPr>
        <w:tc>
          <w:tcPr>
            <w:tcW w:w="2733" w:type="dxa"/>
            <w:tcBorders>
              <w:top w:val="single" w:sz="8" w:space="0" w:color="auto"/>
              <w:left w:val="single" w:sz="8" w:space="0" w:color="auto"/>
              <w:bottom w:val="single" w:sz="8" w:space="0" w:color="auto"/>
              <w:right w:val="single" w:sz="8" w:space="0" w:color="auto"/>
            </w:tcBorders>
            <w:vAlign w:val="center"/>
          </w:tcPr>
          <w:p w14:paraId="1C42986C" w14:textId="1F2F9ED4" w:rsidR="00330B62" w:rsidRDefault="00330B62" w:rsidP="00563A54">
            <w:pPr>
              <w:numPr>
                <w:ilvl w:val="0"/>
                <w:numId w:val="521"/>
              </w:numPr>
              <w:tabs>
                <w:tab w:val="left" w:pos="290"/>
              </w:tabs>
              <w:ind w:left="20"/>
              <w:rPr>
                <w:sz w:val="20"/>
                <w:szCs w:val="20"/>
              </w:rPr>
            </w:pPr>
            <w:r>
              <w:rPr>
                <w:rFonts w:eastAsia="Times New Roman"/>
                <w:sz w:val="18"/>
                <w:szCs w:val="18"/>
              </w:rPr>
              <w:t>Di (2-ethylhexyl) phthalate</w:t>
            </w:r>
          </w:p>
        </w:tc>
        <w:tc>
          <w:tcPr>
            <w:tcW w:w="1357" w:type="dxa"/>
            <w:tcBorders>
              <w:top w:val="single" w:sz="8" w:space="0" w:color="auto"/>
              <w:left w:val="single" w:sz="8" w:space="0" w:color="auto"/>
              <w:bottom w:val="single" w:sz="8" w:space="0" w:color="auto"/>
              <w:right w:val="single" w:sz="8" w:space="0" w:color="auto"/>
            </w:tcBorders>
            <w:vAlign w:val="center"/>
          </w:tcPr>
          <w:p w14:paraId="41DE25F3" w14:textId="1E677699" w:rsidR="00330B62" w:rsidRDefault="00330B62" w:rsidP="00330B62">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0262B665" w14:textId="023D9491" w:rsidR="00330B62" w:rsidRDefault="00330B62" w:rsidP="00330B62">
            <w:pPr>
              <w:spacing w:line="265" w:lineRule="exact"/>
              <w:jc w:val="center"/>
              <w:rPr>
                <w:sz w:val="20"/>
                <w:szCs w:val="20"/>
              </w:rPr>
            </w:pPr>
            <w:r>
              <w:rPr>
                <w:rFonts w:eastAsia="Times New Roman"/>
                <w:sz w:val="18"/>
                <w:szCs w:val="18"/>
              </w:rPr>
              <w:t>0.006</w:t>
            </w:r>
          </w:p>
        </w:tc>
        <w:tc>
          <w:tcPr>
            <w:tcW w:w="4046" w:type="dxa"/>
            <w:tcBorders>
              <w:top w:val="single" w:sz="8" w:space="0" w:color="auto"/>
              <w:bottom w:val="single" w:sz="8" w:space="0" w:color="auto"/>
              <w:right w:val="single" w:sz="8" w:space="0" w:color="auto"/>
            </w:tcBorders>
          </w:tcPr>
          <w:p w14:paraId="1FFBEF60" w14:textId="4224A329" w:rsidR="00330B62" w:rsidRPr="0028463E" w:rsidRDefault="00330B62" w:rsidP="00330B62">
            <w:pPr>
              <w:spacing w:line="311" w:lineRule="auto"/>
              <w:ind w:left="86"/>
              <w:rPr>
                <w:rFonts w:eastAsia="Times New Roman"/>
                <w:sz w:val="18"/>
                <w:szCs w:val="18"/>
              </w:rPr>
            </w:pPr>
            <w:r>
              <w:rPr>
                <w:rFonts w:eastAsia="Times New Roman"/>
                <w:sz w:val="18"/>
                <w:szCs w:val="18"/>
              </w:rPr>
              <w:t>Some people who drink water containing di (2-ethylhexyl) phthalate in excess of the MCL over many years may have problems with their liver, or experience reproductive difficulties, and may have an increased risk of getting cancer.</w:t>
            </w:r>
          </w:p>
        </w:tc>
      </w:tr>
      <w:tr w:rsidR="00234D1A" w14:paraId="3C1F97D3" w14:textId="77777777" w:rsidTr="003B2E63">
        <w:trPr>
          <w:trHeight w:val="1136"/>
        </w:trPr>
        <w:tc>
          <w:tcPr>
            <w:tcW w:w="2733" w:type="dxa"/>
            <w:tcBorders>
              <w:top w:val="single" w:sz="8" w:space="0" w:color="auto"/>
              <w:left w:val="single" w:sz="8" w:space="0" w:color="auto"/>
              <w:bottom w:val="single" w:sz="8" w:space="0" w:color="auto"/>
              <w:right w:val="single" w:sz="8" w:space="0" w:color="auto"/>
            </w:tcBorders>
            <w:vAlign w:val="center"/>
          </w:tcPr>
          <w:p w14:paraId="555F179F" w14:textId="7ACE8041" w:rsidR="00234D1A" w:rsidRDefault="00234D1A" w:rsidP="00563A54">
            <w:pPr>
              <w:numPr>
                <w:ilvl w:val="0"/>
                <w:numId w:val="521"/>
              </w:numPr>
              <w:tabs>
                <w:tab w:val="left" w:pos="290"/>
              </w:tabs>
              <w:ind w:left="20"/>
              <w:rPr>
                <w:sz w:val="23"/>
                <w:szCs w:val="23"/>
              </w:rPr>
            </w:pPr>
            <w:r>
              <w:rPr>
                <w:rFonts w:eastAsia="Times New Roman"/>
                <w:sz w:val="18"/>
                <w:szCs w:val="18"/>
              </w:rPr>
              <w:t>Dibromochloropropane</w:t>
            </w:r>
            <w:r w:rsidR="006F4F96">
              <w:rPr>
                <w:rFonts w:eastAsia="Times New Roman"/>
                <w:sz w:val="18"/>
                <w:szCs w:val="18"/>
              </w:rPr>
              <w:t xml:space="preserve"> (DBCP)</w:t>
            </w:r>
          </w:p>
        </w:tc>
        <w:tc>
          <w:tcPr>
            <w:tcW w:w="1357" w:type="dxa"/>
            <w:tcBorders>
              <w:top w:val="single" w:sz="8" w:space="0" w:color="auto"/>
              <w:left w:val="single" w:sz="8" w:space="0" w:color="auto"/>
              <w:bottom w:val="single" w:sz="8" w:space="0" w:color="auto"/>
              <w:right w:val="single" w:sz="8" w:space="0" w:color="auto"/>
            </w:tcBorders>
            <w:vAlign w:val="center"/>
          </w:tcPr>
          <w:p w14:paraId="3C1A090D" w14:textId="760E5486" w:rsidR="00234D1A" w:rsidRDefault="00234D1A" w:rsidP="00234D1A">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4DDA0CD7" w14:textId="2E7FE53B" w:rsidR="00234D1A" w:rsidRDefault="00234D1A" w:rsidP="00234D1A">
            <w:pPr>
              <w:jc w:val="center"/>
              <w:rPr>
                <w:sz w:val="20"/>
                <w:szCs w:val="20"/>
              </w:rPr>
            </w:pPr>
            <w:r>
              <w:rPr>
                <w:rFonts w:eastAsia="Times New Roman"/>
                <w:sz w:val="18"/>
                <w:szCs w:val="18"/>
              </w:rPr>
              <w:t>0</w:t>
            </w:r>
            <w:r w:rsidR="00C61CA8">
              <w:rPr>
                <w:rFonts w:eastAsia="Times New Roman"/>
                <w:sz w:val="18"/>
                <w:szCs w:val="18"/>
              </w:rPr>
              <w:t>.0002</w:t>
            </w:r>
          </w:p>
        </w:tc>
        <w:tc>
          <w:tcPr>
            <w:tcW w:w="4046" w:type="dxa"/>
            <w:tcBorders>
              <w:top w:val="single" w:sz="8" w:space="0" w:color="auto"/>
              <w:bottom w:val="single" w:sz="8" w:space="0" w:color="auto"/>
              <w:right w:val="single" w:sz="8" w:space="0" w:color="auto"/>
            </w:tcBorders>
          </w:tcPr>
          <w:p w14:paraId="412B7B22" w14:textId="5F220C0E" w:rsidR="00234D1A" w:rsidRPr="00236A0E" w:rsidRDefault="006F4F96" w:rsidP="00234D1A">
            <w:pPr>
              <w:spacing w:line="311" w:lineRule="auto"/>
              <w:ind w:left="86"/>
              <w:rPr>
                <w:rFonts w:eastAsia="Times New Roman"/>
                <w:sz w:val="18"/>
                <w:szCs w:val="18"/>
              </w:rPr>
            </w:pPr>
            <w:r>
              <w:rPr>
                <w:rFonts w:eastAsia="Times New Roman"/>
                <w:sz w:val="18"/>
                <w:szCs w:val="18"/>
              </w:rPr>
              <w:t>Some people who drink water containing DBCP in excess of the MCL over many years could experience reproductive difficulties and may have an increased risk of getting cancer.</w:t>
            </w:r>
          </w:p>
        </w:tc>
      </w:tr>
      <w:tr w:rsidR="000E4570" w14:paraId="13650B04" w14:textId="77777777" w:rsidTr="003B2E63">
        <w:trPr>
          <w:trHeight w:val="856"/>
        </w:trPr>
        <w:tc>
          <w:tcPr>
            <w:tcW w:w="2733" w:type="dxa"/>
            <w:tcBorders>
              <w:top w:val="single" w:sz="8" w:space="0" w:color="auto"/>
              <w:left w:val="single" w:sz="8" w:space="0" w:color="auto"/>
              <w:bottom w:val="single" w:sz="8" w:space="0" w:color="auto"/>
              <w:right w:val="single" w:sz="8" w:space="0" w:color="auto"/>
            </w:tcBorders>
            <w:vAlign w:val="center"/>
          </w:tcPr>
          <w:p w14:paraId="357CB7E7" w14:textId="2140FDA9" w:rsidR="000E4570" w:rsidRDefault="000E4570" w:rsidP="00563A54">
            <w:pPr>
              <w:numPr>
                <w:ilvl w:val="0"/>
                <w:numId w:val="521"/>
              </w:numPr>
              <w:tabs>
                <w:tab w:val="left" w:pos="290"/>
              </w:tabs>
              <w:ind w:left="20"/>
              <w:rPr>
                <w:rFonts w:eastAsia="Times New Roman"/>
                <w:sz w:val="18"/>
                <w:szCs w:val="18"/>
              </w:rPr>
            </w:pPr>
            <w:r>
              <w:rPr>
                <w:rFonts w:eastAsia="Times New Roman"/>
                <w:sz w:val="18"/>
                <w:szCs w:val="18"/>
              </w:rPr>
              <w:t>Dinoseb</w:t>
            </w:r>
          </w:p>
        </w:tc>
        <w:tc>
          <w:tcPr>
            <w:tcW w:w="1357" w:type="dxa"/>
            <w:tcBorders>
              <w:top w:val="single" w:sz="8" w:space="0" w:color="auto"/>
              <w:left w:val="single" w:sz="8" w:space="0" w:color="auto"/>
              <w:bottom w:val="single" w:sz="8" w:space="0" w:color="auto"/>
              <w:right w:val="single" w:sz="8" w:space="0" w:color="auto"/>
            </w:tcBorders>
            <w:vAlign w:val="center"/>
          </w:tcPr>
          <w:p w14:paraId="0CA7F35C" w14:textId="38246094" w:rsidR="000E4570" w:rsidRDefault="000E4570" w:rsidP="000E4570">
            <w:pPr>
              <w:jc w:val="center"/>
              <w:rPr>
                <w:rFonts w:eastAsia="Times New Roman"/>
                <w:sz w:val="18"/>
                <w:szCs w:val="18"/>
              </w:rPr>
            </w:pPr>
            <w:r>
              <w:rPr>
                <w:rFonts w:eastAsia="Times New Roman"/>
                <w:sz w:val="18"/>
                <w:szCs w:val="18"/>
              </w:rPr>
              <w:t>0.0</w:t>
            </w:r>
            <w:r w:rsidR="0003147B">
              <w:rPr>
                <w:rFonts w:eastAsia="Times New Roman"/>
                <w:sz w:val="18"/>
                <w:szCs w:val="18"/>
              </w:rPr>
              <w:t>07</w:t>
            </w:r>
          </w:p>
        </w:tc>
        <w:tc>
          <w:tcPr>
            <w:tcW w:w="2347" w:type="dxa"/>
            <w:tcBorders>
              <w:top w:val="single" w:sz="8" w:space="0" w:color="auto"/>
              <w:bottom w:val="single" w:sz="8" w:space="0" w:color="auto"/>
              <w:right w:val="single" w:sz="8" w:space="0" w:color="auto"/>
            </w:tcBorders>
            <w:vAlign w:val="center"/>
          </w:tcPr>
          <w:p w14:paraId="222FCD1E" w14:textId="78613C48" w:rsidR="000E4570" w:rsidRDefault="000E4570" w:rsidP="000E4570">
            <w:pPr>
              <w:jc w:val="center"/>
              <w:rPr>
                <w:rFonts w:eastAsia="Times New Roman"/>
                <w:sz w:val="18"/>
                <w:szCs w:val="18"/>
              </w:rPr>
            </w:pPr>
            <w:r>
              <w:rPr>
                <w:rFonts w:eastAsia="Times New Roman"/>
                <w:sz w:val="18"/>
                <w:szCs w:val="18"/>
              </w:rPr>
              <w:t>0.007</w:t>
            </w:r>
          </w:p>
        </w:tc>
        <w:tc>
          <w:tcPr>
            <w:tcW w:w="4046" w:type="dxa"/>
            <w:tcBorders>
              <w:top w:val="single" w:sz="8" w:space="0" w:color="auto"/>
              <w:bottom w:val="single" w:sz="8" w:space="0" w:color="auto"/>
              <w:right w:val="single" w:sz="8" w:space="0" w:color="auto"/>
            </w:tcBorders>
          </w:tcPr>
          <w:p w14:paraId="1EDCB052" w14:textId="0E65BB03" w:rsidR="000E4570" w:rsidRDefault="000E4570" w:rsidP="000E4570">
            <w:pPr>
              <w:spacing w:line="311" w:lineRule="auto"/>
              <w:ind w:left="86"/>
              <w:rPr>
                <w:rFonts w:eastAsia="Times New Roman"/>
                <w:sz w:val="18"/>
                <w:szCs w:val="18"/>
              </w:rPr>
            </w:pPr>
            <w:r>
              <w:rPr>
                <w:rFonts w:eastAsia="Times New Roman"/>
                <w:sz w:val="18"/>
                <w:szCs w:val="18"/>
              </w:rPr>
              <w:t>Some people who drink water containing dinoseb well in excess of the MCL over many years could experience reproductive difficulties.</w:t>
            </w:r>
          </w:p>
        </w:tc>
      </w:tr>
      <w:tr w:rsidR="00CB64C8" w14:paraId="0586BE68" w14:textId="77777777" w:rsidTr="003B2E63">
        <w:trPr>
          <w:trHeight w:val="1136"/>
        </w:trPr>
        <w:tc>
          <w:tcPr>
            <w:tcW w:w="2733" w:type="dxa"/>
            <w:tcBorders>
              <w:top w:val="single" w:sz="8" w:space="0" w:color="auto"/>
              <w:left w:val="single" w:sz="8" w:space="0" w:color="auto"/>
              <w:bottom w:val="single" w:sz="8" w:space="0" w:color="auto"/>
              <w:right w:val="single" w:sz="8" w:space="0" w:color="auto"/>
            </w:tcBorders>
            <w:vAlign w:val="center"/>
          </w:tcPr>
          <w:p w14:paraId="3EDA2EC3" w14:textId="7DC3616F" w:rsidR="00CB64C8" w:rsidRDefault="00CB64C8" w:rsidP="00563A54">
            <w:pPr>
              <w:numPr>
                <w:ilvl w:val="0"/>
                <w:numId w:val="521"/>
              </w:numPr>
              <w:tabs>
                <w:tab w:val="left" w:pos="290"/>
              </w:tabs>
              <w:ind w:left="20"/>
              <w:rPr>
                <w:rFonts w:eastAsia="Times New Roman"/>
                <w:sz w:val="18"/>
                <w:szCs w:val="18"/>
              </w:rPr>
            </w:pPr>
            <w:r>
              <w:rPr>
                <w:rFonts w:eastAsia="Times New Roman"/>
                <w:sz w:val="18"/>
                <w:szCs w:val="18"/>
              </w:rPr>
              <w:t>Dioxin (2,3,7,8-TCDD)</w:t>
            </w:r>
          </w:p>
        </w:tc>
        <w:tc>
          <w:tcPr>
            <w:tcW w:w="1357" w:type="dxa"/>
            <w:tcBorders>
              <w:top w:val="single" w:sz="8" w:space="0" w:color="auto"/>
              <w:left w:val="single" w:sz="8" w:space="0" w:color="auto"/>
              <w:bottom w:val="single" w:sz="8" w:space="0" w:color="auto"/>
              <w:right w:val="single" w:sz="8" w:space="0" w:color="auto"/>
            </w:tcBorders>
            <w:vAlign w:val="center"/>
          </w:tcPr>
          <w:p w14:paraId="5340BAF8" w14:textId="4B7DD6AF" w:rsidR="00CB64C8" w:rsidRDefault="00CB64C8" w:rsidP="00CB64C8">
            <w:pPr>
              <w:jc w:val="center"/>
              <w:rPr>
                <w:rFonts w:eastAsia="Times New Roman"/>
                <w:sz w:val="18"/>
                <w:szCs w:val="18"/>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75519B8D" w14:textId="4255AB40" w:rsidR="00CB64C8" w:rsidRDefault="00CB64C8" w:rsidP="00CB64C8">
            <w:pPr>
              <w:jc w:val="center"/>
              <w:rPr>
                <w:rFonts w:eastAsia="Times New Roman"/>
                <w:sz w:val="18"/>
                <w:szCs w:val="18"/>
              </w:rPr>
            </w:pPr>
            <w:r>
              <w:rPr>
                <w:rFonts w:eastAsia="Times New Roman"/>
                <w:sz w:val="18"/>
                <w:szCs w:val="18"/>
              </w:rPr>
              <w:t>3x10</w:t>
            </w:r>
            <w:r w:rsidRPr="00CB64C8">
              <w:rPr>
                <w:rFonts w:eastAsia="Times New Roman"/>
                <w:sz w:val="18"/>
                <w:szCs w:val="18"/>
                <w:vertAlign w:val="superscript"/>
              </w:rPr>
              <w:t>-8</w:t>
            </w:r>
          </w:p>
        </w:tc>
        <w:tc>
          <w:tcPr>
            <w:tcW w:w="4046" w:type="dxa"/>
            <w:tcBorders>
              <w:top w:val="single" w:sz="8" w:space="0" w:color="auto"/>
              <w:bottom w:val="single" w:sz="8" w:space="0" w:color="auto"/>
              <w:right w:val="single" w:sz="8" w:space="0" w:color="auto"/>
            </w:tcBorders>
          </w:tcPr>
          <w:p w14:paraId="56C959CC" w14:textId="075B843F" w:rsidR="00CB64C8" w:rsidRDefault="00CB64C8" w:rsidP="00CB64C8">
            <w:pPr>
              <w:spacing w:line="311" w:lineRule="auto"/>
              <w:ind w:left="86"/>
              <w:rPr>
                <w:rFonts w:eastAsia="Times New Roman"/>
                <w:sz w:val="18"/>
                <w:szCs w:val="18"/>
              </w:rPr>
            </w:pPr>
            <w:r>
              <w:rPr>
                <w:rFonts w:eastAsia="Times New Roman"/>
                <w:sz w:val="18"/>
                <w:szCs w:val="18"/>
              </w:rPr>
              <w:t>Some people who drink water containing dioxin in excess of the MCL over many years could experience reproductive difficulties and may have an increased risk of getting cancer.</w:t>
            </w:r>
          </w:p>
        </w:tc>
      </w:tr>
      <w:tr w:rsidR="00CB64C8" w14:paraId="3BFAAB2A" w14:textId="77777777" w:rsidTr="003B2E63">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2B642727" w14:textId="057E7E3A" w:rsidR="00CB64C8" w:rsidRDefault="00CB64C8" w:rsidP="00563A54">
            <w:pPr>
              <w:numPr>
                <w:ilvl w:val="0"/>
                <w:numId w:val="521"/>
              </w:numPr>
              <w:tabs>
                <w:tab w:val="left" w:pos="290"/>
              </w:tabs>
              <w:ind w:left="20"/>
              <w:rPr>
                <w:rFonts w:eastAsia="Times New Roman"/>
                <w:sz w:val="18"/>
                <w:szCs w:val="18"/>
              </w:rPr>
            </w:pPr>
            <w:r>
              <w:rPr>
                <w:rFonts w:eastAsia="Times New Roman"/>
                <w:sz w:val="18"/>
                <w:szCs w:val="18"/>
              </w:rPr>
              <w:t>Diquat</w:t>
            </w:r>
          </w:p>
        </w:tc>
        <w:tc>
          <w:tcPr>
            <w:tcW w:w="1357" w:type="dxa"/>
            <w:tcBorders>
              <w:top w:val="single" w:sz="8" w:space="0" w:color="auto"/>
              <w:left w:val="single" w:sz="8" w:space="0" w:color="auto"/>
              <w:bottom w:val="single" w:sz="8" w:space="0" w:color="auto"/>
              <w:right w:val="single" w:sz="8" w:space="0" w:color="auto"/>
            </w:tcBorders>
            <w:vAlign w:val="center"/>
          </w:tcPr>
          <w:p w14:paraId="3C3ECABA" w14:textId="60BD3C61" w:rsidR="00CB64C8" w:rsidRDefault="00CB64C8" w:rsidP="00CB64C8">
            <w:pPr>
              <w:jc w:val="center"/>
              <w:rPr>
                <w:rFonts w:eastAsia="Times New Roman"/>
                <w:sz w:val="18"/>
                <w:szCs w:val="18"/>
              </w:rPr>
            </w:pPr>
            <w:r>
              <w:rPr>
                <w:rFonts w:eastAsia="Times New Roman"/>
                <w:sz w:val="18"/>
                <w:szCs w:val="18"/>
              </w:rPr>
              <w:t>0.02</w:t>
            </w:r>
          </w:p>
        </w:tc>
        <w:tc>
          <w:tcPr>
            <w:tcW w:w="2347" w:type="dxa"/>
            <w:tcBorders>
              <w:top w:val="single" w:sz="8" w:space="0" w:color="auto"/>
              <w:bottom w:val="single" w:sz="8" w:space="0" w:color="auto"/>
              <w:right w:val="single" w:sz="8" w:space="0" w:color="auto"/>
            </w:tcBorders>
            <w:vAlign w:val="center"/>
          </w:tcPr>
          <w:p w14:paraId="4FF406F4" w14:textId="56C22FC0" w:rsidR="00CB64C8" w:rsidRDefault="00CB64C8" w:rsidP="00CB64C8">
            <w:pPr>
              <w:jc w:val="center"/>
              <w:rPr>
                <w:rFonts w:eastAsia="Times New Roman"/>
                <w:sz w:val="18"/>
                <w:szCs w:val="18"/>
              </w:rPr>
            </w:pPr>
            <w:r>
              <w:rPr>
                <w:rFonts w:eastAsia="Times New Roman"/>
                <w:sz w:val="18"/>
                <w:szCs w:val="18"/>
              </w:rPr>
              <w:t>0.02</w:t>
            </w:r>
          </w:p>
        </w:tc>
        <w:tc>
          <w:tcPr>
            <w:tcW w:w="4046" w:type="dxa"/>
            <w:tcBorders>
              <w:top w:val="single" w:sz="8" w:space="0" w:color="auto"/>
              <w:bottom w:val="single" w:sz="8" w:space="0" w:color="auto"/>
              <w:right w:val="single" w:sz="8" w:space="0" w:color="auto"/>
            </w:tcBorders>
          </w:tcPr>
          <w:p w14:paraId="5FBBA01F" w14:textId="60EF707C" w:rsidR="00CB64C8" w:rsidRDefault="00CB64C8" w:rsidP="00CB64C8">
            <w:pPr>
              <w:spacing w:line="311" w:lineRule="auto"/>
              <w:ind w:left="86"/>
              <w:rPr>
                <w:rFonts w:eastAsia="Times New Roman"/>
                <w:sz w:val="18"/>
                <w:szCs w:val="18"/>
              </w:rPr>
            </w:pPr>
            <w:r>
              <w:rPr>
                <w:rFonts w:eastAsia="Times New Roman"/>
                <w:sz w:val="18"/>
                <w:szCs w:val="18"/>
              </w:rPr>
              <w:t>Some people who drink water containing diquat in excess of the MCL over many years could get cataracts.</w:t>
            </w:r>
          </w:p>
        </w:tc>
      </w:tr>
      <w:tr w:rsidR="00CB64C8" w14:paraId="4A211CDB" w14:textId="77777777" w:rsidTr="003B2E63">
        <w:trPr>
          <w:trHeight w:val="874"/>
        </w:trPr>
        <w:tc>
          <w:tcPr>
            <w:tcW w:w="2733" w:type="dxa"/>
            <w:tcBorders>
              <w:top w:val="single" w:sz="8" w:space="0" w:color="auto"/>
              <w:left w:val="single" w:sz="8" w:space="0" w:color="auto"/>
              <w:bottom w:val="single" w:sz="8" w:space="0" w:color="auto"/>
              <w:right w:val="single" w:sz="8" w:space="0" w:color="auto"/>
            </w:tcBorders>
            <w:vAlign w:val="center"/>
          </w:tcPr>
          <w:p w14:paraId="37346C03" w14:textId="1F27D514" w:rsidR="00CB64C8" w:rsidRDefault="00CB64C8" w:rsidP="00563A54">
            <w:pPr>
              <w:numPr>
                <w:ilvl w:val="0"/>
                <w:numId w:val="521"/>
              </w:numPr>
              <w:tabs>
                <w:tab w:val="left" w:pos="290"/>
              </w:tabs>
              <w:ind w:left="20"/>
              <w:rPr>
                <w:rFonts w:eastAsia="Times New Roman"/>
                <w:sz w:val="18"/>
                <w:szCs w:val="18"/>
              </w:rPr>
            </w:pPr>
            <w:r>
              <w:rPr>
                <w:rFonts w:eastAsia="Times New Roman"/>
                <w:sz w:val="18"/>
                <w:szCs w:val="18"/>
              </w:rPr>
              <w:t>Endothall</w:t>
            </w:r>
          </w:p>
        </w:tc>
        <w:tc>
          <w:tcPr>
            <w:tcW w:w="1357" w:type="dxa"/>
            <w:tcBorders>
              <w:top w:val="single" w:sz="8" w:space="0" w:color="auto"/>
              <w:left w:val="single" w:sz="8" w:space="0" w:color="auto"/>
              <w:bottom w:val="single" w:sz="8" w:space="0" w:color="auto"/>
              <w:right w:val="single" w:sz="8" w:space="0" w:color="auto"/>
            </w:tcBorders>
            <w:vAlign w:val="center"/>
          </w:tcPr>
          <w:p w14:paraId="71208AB9" w14:textId="56262BDE" w:rsidR="00CB64C8" w:rsidRDefault="00CB64C8" w:rsidP="00CB64C8">
            <w:pPr>
              <w:jc w:val="center"/>
              <w:rPr>
                <w:rFonts w:eastAsia="Times New Roman"/>
                <w:sz w:val="18"/>
                <w:szCs w:val="18"/>
              </w:rPr>
            </w:pPr>
            <w:r>
              <w:rPr>
                <w:rFonts w:eastAsia="Times New Roman"/>
                <w:sz w:val="18"/>
                <w:szCs w:val="18"/>
              </w:rPr>
              <w:t>0.1</w:t>
            </w:r>
          </w:p>
        </w:tc>
        <w:tc>
          <w:tcPr>
            <w:tcW w:w="2347" w:type="dxa"/>
            <w:tcBorders>
              <w:top w:val="single" w:sz="8" w:space="0" w:color="auto"/>
              <w:bottom w:val="single" w:sz="8" w:space="0" w:color="auto"/>
              <w:right w:val="single" w:sz="8" w:space="0" w:color="auto"/>
            </w:tcBorders>
            <w:vAlign w:val="center"/>
          </w:tcPr>
          <w:p w14:paraId="0876E108" w14:textId="116DC80E" w:rsidR="00CB64C8" w:rsidRDefault="00CB64C8" w:rsidP="00CB64C8">
            <w:pPr>
              <w:jc w:val="center"/>
              <w:rPr>
                <w:rFonts w:eastAsia="Times New Roman"/>
                <w:sz w:val="18"/>
                <w:szCs w:val="18"/>
              </w:rPr>
            </w:pPr>
            <w:r>
              <w:rPr>
                <w:rFonts w:eastAsia="Times New Roman"/>
                <w:sz w:val="18"/>
                <w:szCs w:val="18"/>
              </w:rPr>
              <w:t>0.1</w:t>
            </w:r>
          </w:p>
        </w:tc>
        <w:tc>
          <w:tcPr>
            <w:tcW w:w="4046" w:type="dxa"/>
            <w:tcBorders>
              <w:top w:val="single" w:sz="8" w:space="0" w:color="auto"/>
              <w:bottom w:val="single" w:sz="8" w:space="0" w:color="auto"/>
              <w:right w:val="single" w:sz="8" w:space="0" w:color="auto"/>
            </w:tcBorders>
          </w:tcPr>
          <w:p w14:paraId="53A3B344" w14:textId="76CC9034" w:rsidR="00CB64C8" w:rsidRDefault="00CB64C8" w:rsidP="00CB64C8">
            <w:pPr>
              <w:spacing w:line="311" w:lineRule="auto"/>
              <w:ind w:left="86"/>
              <w:rPr>
                <w:rFonts w:eastAsia="Times New Roman"/>
                <w:sz w:val="18"/>
                <w:szCs w:val="18"/>
              </w:rPr>
            </w:pPr>
            <w:r>
              <w:rPr>
                <w:rFonts w:eastAsia="Times New Roman"/>
                <w:sz w:val="18"/>
                <w:szCs w:val="18"/>
              </w:rPr>
              <w:t>Some people who drink water containing endothall in excess of the MCL over many years could experience problems with their stomach or intestines.</w:t>
            </w:r>
          </w:p>
        </w:tc>
      </w:tr>
    </w:tbl>
    <w:p w14:paraId="281A1CC2" w14:textId="77777777" w:rsidR="004647B9" w:rsidRDefault="004647B9">
      <w:pPr>
        <w:sectPr w:rsidR="004647B9" w:rsidSect="00EF630C">
          <w:type w:val="continuous"/>
          <w:pgSz w:w="12240" w:h="20180"/>
          <w:pgMar w:top="708" w:right="1080" w:bottom="1051" w:left="600" w:header="0" w:footer="0" w:gutter="0"/>
          <w:cols w:space="720"/>
        </w:sectPr>
      </w:pPr>
    </w:p>
    <w:p w14:paraId="281A1CC3" w14:textId="77777777" w:rsidR="004647B9" w:rsidRDefault="00E2436F">
      <w:pPr>
        <w:tabs>
          <w:tab w:val="left" w:pos="2860"/>
        </w:tabs>
        <w:ind w:left="1680"/>
        <w:rPr>
          <w:sz w:val="20"/>
          <w:szCs w:val="20"/>
        </w:rPr>
      </w:pPr>
      <w:bookmarkStart w:id="202" w:name="page204"/>
      <w:bookmarkEnd w:id="20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CC4" w14:textId="77777777" w:rsidR="004647B9" w:rsidRDefault="004647B9" w:rsidP="00400995">
      <w:pPr>
        <w:rPr>
          <w:sz w:val="20"/>
          <w:szCs w:val="20"/>
        </w:rPr>
      </w:pPr>
    </w:p>
    <w:p w14:paraId="281A1CC5" w14:textId="77777777" w:rsidR="004647B9" w:rsidRDefault="004647B9" w:rsidP="00400995">
      <w:pPr>
        <w:rPr>
          <w:sz w:val="20"/>
          <w:szCs w:val="20"/>
        </w:rPr>
      </w:pPr>
    </w:p>
    <w:p w14:paraId="281A1CC6" w14:textId="4828C929" w:rsidR="004647B9" w:rsidRDefault="00E2436F" w:rsidP="00400995">
      <w:pPr>
        <w:tabs>
          <w:tab w:val="left" w:pos="760"/>
        </w:tabs>
        <w:rPr>
          <w:rFonts w:eastAsia="Times New Roman"/>
          <w:sz w:val="24"/>
          <w:szCs w:val="24"/>
        </w:rPr>
      </w:pPr>
      <w:r>
        <w:rPr>
          <w:rFonts w:eastAsia="Times New Roman"/>
          <w:sz w:val="24"/>
          <w:szCs w:val="24"/>
        </w:rPr>
        <w:t>22.16:</w:t>
      </w:r>
      <w:r>
        <w:rPr>
          <w:rFonts w:eastAsia="Times New Roman"/>
          <w:sz w:val="24"/>
          <w:szCs w:val="24"/>
        </w:rPr>
        <w:tab/>
        <w:t>continued</w:t>
      </w:r>
    </w:p>
    <w:p w14:paraId="5FBA103F" w14:textId="77777777" w:rsidR="003B2E63" w:rsidRDefault="003B2E63" w:rsidP="00400995">
      <w:pPr>
        <w:tabs>
          <w:tab w:val="left" w:pos="760"/>
        </w:tabs>
        <w:rPr>
          <w:sz w:val="20"/>
          <w:szCs w:val="20"/>
        </w:rPr>
      </w:pPr>
    </w:p>
    <w:tbl>
      <w:tblPr>
        <w:tblW w:w="10483" w:type="dxa"/>
        <w:tblInd w:w="50" w:type="dxa"/>
        <w:tblLayout w:type="fixed"/>
        <w:tblCellMar>
          <w:left w:w="0" w:type="dxa"/>
          <w:right w:w="0" w:type="dxa"/>
        </w:tblCellMar>
        <w:tblLook w:val="04A0" w:firstRow="1" w:lastRow="0" w:firstColumn="1" w:lastColumn="0" w:noHBand="0" w:noVBand="1"/>
      </w:tblPr>
      <w:tblGrid>
        <w:gridCol w:w="2733"/>
        <w:gridCol w:w="1357"/>
        <w:gridCol w:w="2347"/>
        <w:gridCol w:w="4046"/>
      </w:tblGrid>
      <w:tr w:rsidR="003B2E63" w14:paraId="5D5E1003" w14:textId="77777777" w:rsidTr="00DF6443">
        <w:trPr>
          <w:trHeight w:val="271"/>
        </w:trPr>
        <w:tc>
          <w:tcPr>
            <w:tcW w:w="2733" w:type="dxa"/>
            <w:tcBorders>
              <w:top w:val="single" w:sz="8" w:space="0" w:color="auto"/>
              <w:left w:val="single" w:sz="8" w:space="0" w:color="auto"/>
              <w:bottom w:val="single" w:sz="8" w:space="0" w:color="auto"/>
              <w:right w:val="single" w:sz="8" w:space="0" w:color="auto"/>
            </w:tcBorders>
            <w:vAlign w:val="center"/>
          </w:tcPr>
          <w:p w14:paraId="56F36358" w14:textId="77777777" w:rsidR="003B2E63" w:rsidRDefault="003B2E63" w:rsidP="00DF6443">
            <w:pPr>
              <w:ind w:left="43"/>
              <w:rPr>
                <w:sz w:val="23"/>
                <w:szCs w:val="23"/>
              </w:rPr>
            </w:pPr>
            <w:r>
              <w:rPr>
                <w:rFonts w:eastAsia="Times New Roman"/>
                <w:sz w:val="18"/>
                <w:szCs w:val="18"/>
              </w:rPr>
              <w:t>Contaminant</w:t>
            </w:r>
          </w:p>
        </w:tc>
        <w:tc>
          <w:tcPr>
            <w:tcW w:w="1357" w:type="dxa"/>
            <w:tcBorders>
              <w:top w:val="single" w:sz="8" w:space="0" w:color="auto"/>
              <w:left w:val="single" w:sz="8" w:space="0" w:color="auto"/>
              <w:bottom w:val="single" w:sz="8" w:space="0" w:color="auto"/>
              <w:right w:val="single" w:sz="8" w:space="0" w:color="auto"/>
            </w:tcBorders>
            <w:vAlign w:val="center"/>
          </w:tcPr>
          <w:p w14:paraId="523715A3" w14:textId="77777777" w:rsidR="003B2E63" w:rsidRDefault="003B2E63"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7" w:type="dxa"/>
            <w:tcBorders>
              <w:top w:val="single" w:sz="8" w:space="0" w:color="auto"/>
              <w:left w:val="single" w:sz="8" w:space="0" w:color="auto"/>
              <w:bottom w:val="single" w:sz="8" w:space="0" w:color="auto"/>
              <w:right w:val="single" w:sz="8" w:space="0" w:color="auto"/>
            </w:tcBorders>
            <w:vAlign w:val="center"/>
          </w:tcPr>
          <w:p w14:paraId="2645F2EC" w14:textId="77777777" w:rsidR="003B2E63" w:rsidRDefault="003B2E63"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6" w:type="dxa"/>
            <w:tcBorders>
              <w:top w:val="single" w:sz="8" w:space="0" w:color="auto"/>
              <w:bottom w:val="single" w:sz="8" w:space="0" w:color="auto"/>
              <w:right w:val="single" w:sz="8" w:space="0" w:color="auto"/>
            </w:tcBorders>
            <w:vAlign w:val="center"/>
          </w:tcPr>
          <w:p w14:paraId="64850001" w14:textId="77777777" w:rsidR="003B2E63" w:rsidRPr="005A4D34" w:rsidRDefault="003B2E63" w:rsidP="00DF6443">
            <w:pPr>
              <w:ind w:left="40"/>
              <w:rPr>
                <w:sz w:val="18"/>
                <w:szCs w:val="18"/>
              </w:rPr>
            </w:pPr>
            <w:r w:rsidRPr="005A4D34">
              <w:rPr>
                <w:sz w:val="18"/>
                <w:szCs w:val="18"/>
              </w:rPr>
              <w:t>Standard health effects language for public notification</w:t>
            </w:r>
          </w:p>
        </w:tc>
      </w:tr>
      <w:tr w:rsidR="003B2E63" w14:paraId="199E60A2" w14:textId="77777777" w:rsidTr="00DF6443">
        <w:trPr>
          <w:trHeight w:val="286"/>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7C992145" w14:textId="77777777" w:rsidR="003B2E63" w:rsidRDefault="003B2E63" w:rsidP="00DF6443">
            <w:pPr>
              <w:ind w:left="43"/>
              <w:rPr>
                <w:sz w:val="20"/>
                <w:szCs w:val="20"/>
              </w:rPr>
            </w:pPr>
            <w:r>
              <w:rPr>
                <w:rFonts w:eastAsia="Times New Roman"/>
                <w:sz w:val="18"/>
                <w:szCs w:val="18"/>
              </w:rPr>
              <w:t>National Primary Drinking Water Regulations (NPDWR) and Massachusetts Drinking Water Regulations:</w:t>
            </w:r>
          </w:p>
        </w:tc>
      </w:tr>
      <w:tr w:rsidR="003B2E63" w14:paraId="2D2E983B" w14:textId="77777777" w:rsidTr="003B7E3C">
        <w:trPr>
          <w:trHeight w:val="254"/>
        </w:trPr>
        <w:tc>
          <w:tcPr>
            <w:tcW w:w="2733" w:type="dxa"/>
            <w:tcBorders>
              <w:left w:val="single" w:sz="8" w:space="0" w:color="auto"/>
              <w:bottom w:val="single" w:sz="8" w:space="0" w:color="auto"/>
              <w:right w:val="single" w:sz="8" w:space="0" w:color="auto"/>
            </w:tcBorders>
            <w:vAlign w:val="center"/>
          </w:tcPr>
          <w:p w14:paraId="6BEDF766" w14:textId="7D45D80D" w:rsidR="003B2E63" w:rsidRDefault="003B2E63" w:rsidP="00563A54">
            <w:pPr>
              <w:numPr>
                <w:ilvl w:val="0"/>
                <w:numId w:val="521"/>
              </w:numPr>
              <w:tabs>
                <w:tab w:val="left" w:pos="290"/>
              </w:tabs>
              <w:ind w:left="20"/>
            </w:pPr>
            <w:r>
              <w:rPr>
                <w:rFonts w:eastAsia="Times New Roman"/>
                <w:sz w:val="18"/>
                <w:szCs w:val="18"/>
              </w:rPr>
              <w:t>Endrin</w:t>
            </w:r>
          </w:p>
        </w:tc>
        <w:tc>
          <w:tcPr>
            <w:tcW w:w="1357" w:type="dxa"/>
            <w:tcBorders>
              <w:bottom w:val="single" w:sz="8" w:space="0" w:color="auto"/>
              <w:right w:val="single" w:sz="8" w:space="0" w:color="auto"/>
            </w:tcBorders>
            <w:vAlign w:val="center"/>
          </w:tcPr>
          <w:p w14:paraId="2338E803" w14:textId="2CCFEB44" w:rsidR="003B2E63" w:rsidRDefault="003B2E63" w:rsidP="003B7E3C">
            <w:pPr>
              <w:jc w:val="center"/>
              <w:rPr>
                <w:rFonts w:eastAsia="Times New Roman"/>
                <w:sz w:val="18"/>
                <w:szCs w:val="18"/>
              </w:rPr>
            </w:pPr>
            <w:r>
              <w:rPr>
                <w:rFonts w:eastAsia="Times New Roman"/>
                <w:sz w:val="18"/>
                <w:szCs w:val="18"/>
              </w:rPr>
              <w:t>0</w:t>
            </w:r>
            <w:r w:rsidR="00FB6757">
              <w:rPr>
                <w:rFonts w:eastAsia="Times New Roman"/>
                <w:sz w:val="18"/>
                <w:szCs w:val="18"/>
              </w:rPr>
              <w:t>.002</w:t>
            </w:r>
          </w:p>
        </w:tc>
        <w:tc>
          <w:tcPr>
            <w:tcW w:w="2347" w:type="dxa"/>
            <w:tcBorders>
              <w:bottom w:val="single" w:sz="8" w:space="0" w:color="auto"/>
              <w:right w:val="single" w:sz="8" w:space="0" w:color="auto"/>
            </w:tcBorders>
            <w:vAlign w:val="center"/>
          </w:tcPr>
          <w:p w14:paraId="59297A8E" w14:textId="1677C3C1" w:rsidR="003B2E63" w:rsidRDefault="003B2E63" w:rsidP="003B7E3C">
            <w:pPr>
              <w:jc w:val="center"/>
              <w:rPr>
                <w:rFonts w:eastAsia="Times New Roman"/>
                <w:sz w:val="18"/>
                <w:szCs w:val="18"/>
              </w:rPr>
            </w:pPr>
            <w:r>
              <w:rPr>
                <w:rFonts w:eastAsia="Times New Roman"/>
                <w:sz w:val="18"/>
                <w:szCs w:val="18"/>
              </w:rPr>
              <w:t>0.002</w:t>
            </w:r>
          </w:p>
        </w:tc>
        <w:tc>
          <w:tcPr>
            <w:tcW w:w="4046" w:type="dxa"/>
            <w:tcBorders>
              <w:bottom w:val="single" w:sz="8" w:space="0" w:color="auto"/>
              <w:right w:val="single" w:sz="8" w:space="0" w:color="auto"/>
            </w:tcBorders>
            <w:vAlign w:val="bottom"/>
          </w:tcPr>
          <w:p w14:paraId="274F6DA8" w14:textId="786A90E3" w:rsidR="003B2E63" w:rsidRDefault="003B2E63" w:rsidP="00DF6443">
            <w:pPr>
              <w:spacing w:line="311" w:lineRule="auto"/>
              <w:ind w:left="86"/>
              <w:rPr>
                <w:rFonts w:eastAsia="Times New Roman"/>
                <w:sz w:val="18"/>
                <w:szCs w:val="18"/>
              </w:rPr>
            </w:pPr>
            <w:r>
              <w:rPr>
                <w:rFonts w:eastAsia="Times New Roman"/>
                <w:sz w:val="18"/>
                <w:szCs w:val="18"/>
              </w:rPr>
              <w:t>Some people who drink water containing endrin in excess of the MCL over many years could experience liver problems.</w:t>
            </w:r>
          </w:p>
        </w:tc>
      </w:tr>
      <w:tr w:rsidR="003B2E63" w14:paraId="4D0A5BC2" w14:textId="77777777" w:rsidTr="003B7E3C">
        <w:trPr>
          <w:trHeight w:val="1045"/>
        </w:trPr>
        <w:tc>
          <w:tcPr>
            <w:tcW w:w="2733" w:type="dxa"/>
            <w:tcBorders>
              <w:left w:val="single" w:sz="8" w:space="0" w:color="auto"/>
              <w:bottom w:val="single" w:sz="8" w:space="0" w:color="auto"/>
              <w:right w:val="single" w:sz="8" w:space="0" w:color="auto"/>
            </w:tcBorders>
            <w:vAlign w:val="center"/>
          </w:tcPr>
          <w:p w14:paraId="6F92CCDF" w14:textId="6E804C04" w:rsidR="003B2E63" w:rsidRPr="0010774A" w:rsidRDefault="003B2E63" w:rsidP="00563A54">
            <w:pPr>
              <w:numPr>
                <w:ilvl w:val="0"/>
                <w:numId w:val="521"/>
              </w:numPr>
              <w:tabs>
                <w:tab w:val="left" w:pos="290"/>
              </w:tabs>
              <w:ind w:left="20"/>
              <w:rPr>
                <w:sz w:val="20"/>
                <w:szCs w:val="20"/>
              </w:rPr>
            </w:pPr>
            <w:r>
              <w:rPr>
                <w:rFonts w:eastAsia="Times New Roman"/>
                <w:sz w:val="18"/>
                <w:szCs w:val="18"/>
              </w:rPr>
              <w:t>Ethylene dibromide</w:t>
            </w:r>
          </w:p>
        </w:tc>
        <w:tc>
          <w:tcPr>
            <w:tcW w:w="1357" w:type="dxa"/>
            <w:tcBorders>
              <w:top w:val="single" w:sz="8" w:space="0" w:color="auto"/>
              <w:bottom w:val="single" w:sz="8" w:space="0" w:color="auto"/>
              <w:right w:val="single" w:sz="8" w:space="0" w:color="auto"/>
            </w:tcBorders>
            <w:vAlign w:val="center"/>
          </w:tcPr>
          <w:p w14:paraId="6DCA851D" w14:textId="44C1AAC7" w:rsidR="003B2E63" w:rsidRDefault="003B2E63" w:rsidP="003B7E3C">
            <w:pPr>
              <w:jc w:val="center"/>
              <w:rPr>
                <w:sz w:val="20"/>
                <w:szCs w:val="20"/>
              </w:rPr>
            </w:pPr>
            <w:r>
              <w:rPr>
                <w:rFonts w:eastAsia="Times New Roman"/>
                <w:sz w:val="18"/>
                <w:szCs w:val="18"/>
              </w:rPr>
              <w:t>Zero</w:t>
            </w:r>
          </w:p>
        </w:tc>
        <w:tc>
          <w:tcPr>
            <w:tcW w:w="2347" w:type="dxa"/>
            <w:tcBorders>
              <w:bottom w:val="single" w:sz="8" w:space="0" w:color="auto"/>
              <w:right w:val="single" w:sz="8" w:space="0" w:color="auto"/>
            </w:tcBorders>
            <w:vAlign w:val="center"/>
          </w:tcPr>
          <w:p w14:paraId="0D619E5A" w14:textId="5B5EFCAD" w:rsidR="003B2E63" w:rsidRDefault="003B2E63" w:rsidP="003B7E3C">
            <w:pPr>
              <w:jc w:val="center"/>
              <w:rPr>
                <w:sz w:val="20"/>
                <w:szCs w:val="20"/>
              </w:rPr>
            </w:pPr>
            <w:r>
              <w:rPr>
                <w:rFonts w:eastAsia="Times New Roman"/>
                <w:sz w:val="18"/>
                <w:szCs w:val="18"/>
              </w:rPr>
              <w:t>0</w:t>
            </w:r>
            <w:r w:rsidR="007872EE">
              <w:rPr>
                <w:rFonts w:eastAsia="Times New Roman"/>
                <w:sz w:val="18"/>
                <w:szCs w:val="18"/>
              </w:rPr>
              <w:t>.0000</w:t>
            </w:r>
            <w:r w:rsidR="00F53F2F">
              <w:rPr>
                <w:rFonts w:eastAsia="Times New Roman"/>
                <w:sz w:val="18"/>
                <w:szCs w:val="18"/>
              </w:rPr>
              <w:t>2</w:t>
            </w:r>
          </w:p>
        </w:tc>
        <w:tc>
          <w:tcPr>
            <w:tcW w:w="4046" w:type="dxa"/>
            <w:tcBorders>
              <w:bottom w:val="single" w:sz="8" w:space="0" w:color="auto"/>
              <w:right w:val="single" w:sz="8" w:space="0" w:color="auto"/>
            </w:tcBorders>
          </w:tcPr>
          <w:p w14:paraId="75049D10" w14:textId="1C6358A7" w:rsidR="003B2E63" w:rsidRDefault="003B2E63" w:rsidP="003B2E63">
            <w:pPr>
              <w:spacing w:line="311" w:lineRule="auto"/>
              <w:ind w:left="86"/>
              <w:rPr>
                <w:sz w:val="20"/>
                <w:szCs w:val="20"/>
              </w:rPr>
            </w:pPr>
            <w:r>
              <w:rPr>
                <w:rFonts w:eastAsia="Times New Roman"/>
                <w:sz w:val="18"/>
                <w:szCs w:val="18"/>
              </w:rPr>
              <w:t>Some people who drink water containing ethylene dibromide in excess of the MCL over many years could experience problems with their liver, stomach, reproductive system, or kidneys, and may have an increased risk of getting cancer.</w:t>
            </w:r>
          </w:p>
        </w:tc>
      </w:tr>
      <w:tr w:rsidR="003B2E63" w14:paraId="30DC2F7E" w14:textId="77777777" w:rsidTr="003B7E3C">
        <w:trPr>
          <w:trHeight w:val="1126"/>
        </w:trPr>
        <w:tc>
          <w:tcPr>
            <w:tcW w:w="2733" w:type="dxa"/>
            <w:tcBorders>
              <w:top w:val="single" w:sz="8" w:space="0" w:color="auto"/>
              <w:left w:val="single" w:sz="8" w:space="0" w:color="auto"/>
              <w:bottom w:val="single" w:sz="8" w:space="0" w:color="auto"/>
              <w:right w:val="single" w:sz="8" w:space="0" w:color="auto"/>
            </w:tcBorders>
            <w:vAlign w:val="center"/>
          </w:tcPr>
          <w:p w14:paraId="216EFF84" w14:textId="3C292422" w:rsidR="003B2E63" w:rsidRDefault="003B2E63" w:rsidP="00563A54">
            <w:pPr>
              <w:numPr>
                <w:ilvl w:val="0"/>
                <w:numId w:val="521"/>
              </w:numPr>
              <w:tabs>
                <w:tab w:val="left" w:pos="290"/>
              </w:tabs>
              <w:ind w:left="20"/>
              <w:rPr>
                <w:sz w:val="20"/>
                <w:szCs w:val="20"/>
              </w:rPr>
            </w:pPr>
            <w:r>
              <w:rPr>
                <w:rFonts w:eastAsia="Times New Roman"/>
                <w:sz w:val="18"/>
                <w:szCs w:val="18"/>
              </w:rPr>
              <w:t>Glyphosate</w:t>
            </w:r>
          </w:p>
        </w:tc>
        <w:tc>
          <w:tcPr>
            <w:tcW w:w="1357" w:type="dxa"/>
            <w:tcBorders>
              <w:top w:val="single" w:sz="8" w:space="0" w:color="auto"/>
              <w:left w:val="single" w:sz="8" w:space="0" w:color="auto"/>
              <w:bottom w:val="single" w:sz="8" w:space="0" w:color="auto"/>
              <w:right w:val="single" w:sz="8" w:space="0" w:color="auto"/>
            </w:tcBorders>
            <w:vAlign w:val="center"/>
          </w:tcPr>
          <w:p w14:paraId="3A4D1CDB" w14:textId="24D9E9D3" w:rsidR="003B2E63" w:rsidRDefault="003B2E63" w:rsidP="003B7E3C">
            <w:pPr>
              <w:jc w:val="center"/>
              <w:rPr>
                <w:sz w:val="20"/>
                <w:szCs w:val="20"/>
              </w:rPr>
            </w:pPr>
            <w:r>
              <w:rPr>
                <w:rFonts w:eastAsia="Times New Roman"/>
                <w:sz w:val="18"/>
                <w:szCs w:val="18"/>
              </w:rPr>
              <w:t>0.7</w:t>
            </w:r>
          </w:p>
        </w:tc>
        <w:tc>
          <w:tcPr>
            <w:tcW w:w="2347" w:type="dxa"/>
            <w:tcBorders>
              <w:top w:val="single" w:sz="8" w:space="0" w:color="auto"/>
              <w:bottom w:val="single" w:sz="8" w:space="0" w:color="auto"/>
              <w:right w:val="single" w:sz="8" w:space="0" w:color="auto"/>
            </w:tcBorders>
            <w:vAlign w:val="center"/>
          </w:tcPr>
          <w:p w14:paraId="3B58D659" w14:textId="56EC1253" w:rsidR="003B2E63" w:rsidRDefault="003B2E63" w:rsidP="003B7E3C">
            <w:pPr>
              <w:jc w:val="center"/>
              <w:rPr>
                <w:sz w:val="20"/>
                <w:szCs w:val="20"/>
              </w:rPr>
            </w:pPr>
            <w:r>
              <w:rPr>
                <w:rFonts w:eastAsia="Times New Roman"/>
                <w:sz w:val="18"/>
                <w:szCs w:val="18"/>
              </w:rPr>
              <w:t>0.7</w:t>
            </w:r>
          </w:p>
        </w:tc>
        <w:tc>
          <w:tcPr>
            <w:tcW w:w="4046" w:type="dxa"/>
            <w:tcBorders>
              <w:top w:val="single" w:sz="8" w:space="0" w:color="auto"/>
              <w:bottom w:val="single" w:sz="8" w:space="0" w:color="auto"/>
              <w:right w:val="single" w:sz="8" w:space="0" w:color="auto"/>
            </w:tcBorders>
          </w:tcPr>
          <w:p w14:paraId="5A23F789" w14:textId="36B39667" w:rsidR="003B2E63" w:rsidRPr="00E80B69" w:rsidRDefault="003B2E63" w:rsidP="003B2E63">
            <w:pPr>
              <w:spacing w:line="311" w:lineRule="auto"/>
              <w:ind w:left="86"/>
              <w:rPr>
                <w:rFonts w:eastAsia="Times New Roman"/>
                <w:sz w:val="18"/>
                <w:szCs w:val="18"/>
              </w:rPr>
            </w:pPr>
            <w:r>
              <w:rPr>
                <w:rFonts w:eastAsia="Times New Roman"/>
                <w:sz w:val="18"/>
                <w:szCs w:val="18"/>
              </w:rPr>
              <w:t>Some people who drink water containing glyphosate in excess of the MCL over many years could experience problems with their kidneys or reproductive difficulties.</w:t>
            </w:r>
          </w:p>
        </w:tc>
      </w:tr>
      <w:tr w:rsidR="003B2E63" w14:paraId="10D6DDDA" w14:textId="77777777" w:rsidTr="003B7E3C">
        <w:trPr>
          <w:trHeight w:val="1144"/>
        </w:trPr>
        <w:tc>
          <w:tcPr>
            <w:tcW w:w="2733" w:type="dxa"/>
            <w:tcBorders>
              <w:top w:val="single" w:sz="8" w:space="0" w:color="auto"/>
              <w:left w:val="single" w:sz="8" w:space="0" w:color="auto"/>
              <w:bottom w:val="single" w:sz="8" w:space="0" w:color="auto"/>
              <w:right w:val="single" w:sz="8" w:space="0" w:color="auto"/>
            </w:tcBorders>
            <w:vAlign w:val="center"/>
          </w:tcPr>
          <w:p w14:paraId="0A16BDC2" w14:textId="5F89B183" w:rsidR="003B2E63" w:rsidRDefault="003B2E63" w:rsidP="00563A54">
            <w:pPr>
              <w:numPr>
                <w:ilvl w:val="0"/>
                <w:numId w:val="521"/>
              </w:numPr>
              <w:tabs>
                <w:tab w:val="left" w:pos="290"/>
              </w:tabs>
              <w:ind w:left="20"/>
              <w:rPr>
                <w:sz w:val="20"/>
                <w:szCs w:val="20"/>
              </w:rPr>
            </w:pPr>
            <w:r>
              <w:rPr>
                <w:rFonts w:eastAsia="Times New Roman"/>
                <w:sz w:val="18"/>
                <w:szCs w:val="18"/>
              </w:rPr>
              <w:t>Heptachlor</w:t>
            </w:r>
          </w:p>
        </w:tc>
        <w:tc>
          <w:tcPr>
            <w:tcW w:w="1357" w:type="dxa"/>
            <w:tcBorders>
              <w:top w:val="single" w:sz="8" w:space="0" w:color="auto"/>
              <w:left w:val="single" w:sz="8" w:space="0" w:color="auto"/>
              <w:bottom w:val="single" w:sz="8" w:space="0" w:color="auto"/>
              <w:right w:val="single" w:sz="8" w:space="0" w:color="auto"/>
            </w:tcBorders>
            <w:vAlign w:val="center"/>
          </w:tcPr>
          <w:p w14:paraId="257A6BCF" w14:textId="368DECB8" w:rsidR="003B2E63" w:rsidRDefault="003B2E63" w:rsidP="003B7E3C">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64869DBE" w14:textId="12B95ED0" w:rsidR="003B2E63" w:rsidRDefault="003B2E63" w:rsidP="003B7E3C">
            <w:pPr>
              <w:jc w:val="center"/>
              <w:rPr>
                <w:sz w:val="20"/>
                <w:szCs w:val="20"/>
              </w:rPr>
            </w:pPr>
            <w:r>
              <w:rPr>
                <w:rFonts w:eastAsia="Times New Roman"/>
                <w:sz w:val="18"/>
                <w:szCs w:val="18"/>
              </w:rPr>
              <w:t>0</w:t>
            </w:r>
            <w:r w:rsidR="00194D32">
              <w:rPr>
                <w:rFonts w:eastAsia="Times New Roman"/>
                <w:sz w:val="18"/>
                <w:szCs w:val="18"/>
              </w:rPr>
              <w:t>.0004</w:t>
            </w:r>
          </w:p>
        </w:tc>
        <w:tc>
          <w:tcPr>
            <w:tcW w:w="4046" w:type="dxa"/>
            <w:tcBorders>
              <w:top w:val="single" w:sz="8" w:space="0" w:color="auto"/>
              <w:bottom w:val="single" w:sz="8" w:space="0" w:color="auto"/>
              <w:right w:val="single" w:sz="8" w:space="0" w:color="auto"/>
            </w:tcBorders>
          </w:tcPr>
          <w:p w14:paraId="1B5E6F0C" w14:textId="6E739345" w:rsidR="003B2E63" w:rsidRPr="00E80B69" w:rsidRDefault="003B2E63" w:rsidP="003B2E63">
            <w:pPr>
              <w:spacing w:line="311" w:lineRule="auto"/>
              <w:ind w:left="86"/>
              <w:rPr>
                <w:rFonts w:eastAsia="Times New Roman"/>
                <w:sz w:val="18"/>
                <w:szCs w:val="18"/>
              </w:rPr>
            </w:pPr>
            <w:r>
              <w:rPr>
                <w:rFonts w:eastAsia="Times New Roman"/>
                <w:sz w:val="18"/>
                <w:szCs w:val="18"/>
              </w:rPr>
              <w:t>Some people who drink water containing heptachlor in excess of the MCL over many years could experience liver damage and may have an increased risk of getting cancer.</w:t>
            </w:r>
          </w:p>
        </w:tc>
      </w:tr>
      <w:tr w:rsidR="003B2E63" w14:paraId="6D41983D" w14:textId="77777777" w:rsidTr="003B7E3C">
        <w:trPr>
          <w:trHeight w:val="1072"/>
        </w:trPr>
        <w:tc>
          <w:tcPr>
            <w:tcW w:w="2733" w:type="dxa"/>
            <w:tcBorders>
              <w:top w:val="single" w:sz="8" w:space="0" w:color="auto"/>
              <w:left w:val="single" w:sz="8" w:space="0" w:color="auto"/>
              <w:bottom w:val="single" w:sz="8" w:space="0" w:color="auto"/>
              <w:right w:val="single" w:sz="8" w:space="0" w:color="auto"/>
            </w:tcBorders>
            <w:vAlign w:val="center"/>
          </w:tcPr>
          <w:p w14:paraId="1E09BA68" w14:textId="4F2B2437" w:rsidR="003B2E63" w:rsidRDefault="003B2E63" w:rsidP="00563A54">
            <w:pPr>
              <w:numPr>
                <w:ilvl w:val="0"/>
                <w:numId w:val="521"/>
              </w:numPr>
              <w:tabs>
                <w:tab w:val="left" w:pos="290"/>
              </w:tabs>
              <w:ind w:left="20"/>
              <w:rPr>
                <w:sz w:val="20"/>
                <w:szCs w:val="20"/>
              </w:rPr>
            </w:pPr>
            <w:r>
              <w:rPr>
                <w:rFonts w:eastAsia="Times New Roman"/>
                <w:sz w:val="18"/>
                <w:szCs w:val="18"/>
              </w:rPr>
              <w:t>Heptachlor epoxide</w:t>
            </w:r>
          </w:p>
        </w:tc>
        <w:tc>
          <w:tcPr>
            <w:tcW w:w="1357" w:type="dxa"/>
            <w:tcBorders>
              <w:top w:val="single" w:sz="8" w:space="0" w:color="auto"/>
              <w:left w:val="single" w:sz="8" w:space="0" w:color="auto"/>
              <w:bottom w:val="single" w:sz="8" w:space="0" w:color="auto"/>
              <w:right w:val="single" w:sz="8" w:space="0" w:color="auto"/>
            </w:tcBorders>
            <w:vAlign w:val="center"/>
          </w:tcPr>
          <w:p w14:paraId="7640E2D2" w14:textId="303D6389" w:rsidR="003B2E63" w:rsidRDefault="003B2E63" w:rsidP="003B7E3C">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324A9796" w14:textId="15ECFE02" w:rsidR="003B2E63" w:rsidRDefault="003B2E63" w:rsidP="003B7E3C">
            <w:pPr>
              <w:jc w:val="center"/>
              <w:rPr>
                <w:sz w:val="20"/>
                <w:szCs w:val="20"/>
              </w:rPr>
            </w:pPr>
            <w:r>
              <w:rPr>
                <w:rFonts w:eastAsia="Times New Roman"/>
                <w:sz w:val="18"/>
                <w:szCs w:val="18"/>
              </w:rPr>
              <w:t>0</w:t>
            </w:r>
            <w:r w:rsidR="009D54BB">
              <w:rPr>
                <w:rFonts w:eastAsia="Times New Roman"/>
                <w:sz w:val="18"/>
                <w:szCs w:val="18"/>
              </w:rPr>
              <w:t>.0002</w:t>
            </w:r>
          </w:p>
        </w:tc>
        <w:tc>
          <w:tcPr>
            <w:tcW w:w="4046" w:type="dxa"/>
            <w:tcBorders>
              <w:top w:val="single" w:sz="8" w:space="0" w:color="auto"/>
              <w:bottom w:val="single" w:sz="8" w:space="0" w:color="auto"/>
              <w:right w:val="single" w:sz="8" w:space="0" w:color="auto"/>
            </w:tcBorders>
          </w:tcPr>
          <w:p w14:paraId="72A634B9" w14:textId="194B6405" w:rsidR="003B2E63" w:rsidRPr="00E80B69" w:rsidRDefault="003B2E63" w:rsidP="003B2E63">
            <w:pPr>
              <w:spacing w:line="311" w:lineRule="auto"/>
              <w:ind w:left="86"/>
              <w:rPr>
                <w:rFonts w:eastAsia="Times New Roman"/>
                <w:sz w:val="18"/>
                <w:szCs w:val="18"/>
              </w:rPr>
            </w:pPr>
            <w:r>
              <w:rPr>
                <w:rFonts w:eastAsia="Times New Roman"/>
                <w:sz w:val="18"/>
                <w:szCs w:val="18"/>
              </w:rPr>
              <w:t>Some people who drink water containing heptachlor epoxide in excess of the MCL over many years could experience liver damage, and may have an increased risk of getting cancer.</w:t>
            </w:r>
          </w:p>
        </w:tc>
      </w:tr>
      <w:tr w:rsidR="003B2E63" w14:paraId="660FC19B" w14:textId="77777777" w:rsidTr="003B7E3C">
        <w:trPr>
          <w:trHeight w:val="1135"/>
        </w:trPr>
        <w:tc>
          <w:tcPr>
            <w:tcW w:w="2733" w:type="dxa"/>
            <w:tcBorders>
              <w:top w:val="single" w:sz="8" w:space="0" w:color="auto"/>
              <w:left w:val="single" w:sz="8" w:space="0" w:color="auto"/>
              <w:bottom w:val="single" w:sz="8" w:space="0" w:color="auto"/>
              <w:right w:val="single" w:sz="8" w:space="0" w:color="auto"/>
            </w:tcBorders>
            <w:vAlign w:val="center"/>
          </w:tcPr>
          <w:p w14:paraId="087A3FE5" w14:textId="7AE4223A" w:rsidR="003B2E63" w:rsidRDefault="003B2E63" w:rsidP="00563A54">
            <w:pPr>
              <w:numPr>
                <w:ilvl w:val="0"/>
                <w:numId w:val="521"/>
              </w:numPr>
              <w:tabs>
                <w:tab w:val="left" w:pos="290"/>
              </w:tabs>
              <w:ind w:left="20"/>
              <w:rPr>
                <w:sz w:val="20"/>
                <w:szCs w:val="20"/>
              </w:rPr>
            </w:pPr>
            <w:r>
              <w:rPr>
                <w:rFonts w:eastAsia="Times New Roman"/>
                <w:sz w:val="18"/>
                <w:szCs w:val="18"/>
              </w:rPr>
              <w:t>Hexachlorobenzene</w:t>
            </w:r>
          </w:p>
        </w:tc>
        <w:tc>
          <w:tcPr>
            <w:tcW w:w="1357" w:type="dxa"/>
            <w:tcBorders>
              <w:top w:val="single" w:sz="8" w:space="0" w:color="auto"/>
              <w:left w:val="single" w:sz="8" w:space="0" w:color="auto"/>
              <w:bottom w:val="single" w:sz="8" w:space="0" w:color="auto"/>
              <w:right w:val="single" w:sz="8" w:space="0" w:color="auto"/>
            </w:tcBorders>
            <w:vAlign w:val="center"/>
          </w:tcPr>
          <w:p w14:paraId="54F1DEAD" w14:textId="3F8BD276" w:rsidR="003B2E63" w:rsidRDefault="003B2E63" w:rsidP="003B7E3C">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5DF86C4F" w14:textId="7215D34E" w:rsidR="003B2E63" w:rsidRDefault="003B2E63" w:rsidP="003B7E3C">
            <w:pPr>
              <w:jc w:val="center"/>
              <w:rPr>
                <w:sz w:val="20"/>
                <w:szCs w:val="20"/>
              </w:rPr>
            </w:pPr>
            <w:r>
              <w:rPr>
                <w:rFonts w:eastAsia="Times New Roman"/>
                <w:sz w:val="18"/>
                <w:szCs w:val="18"/>
              </w:rPr>
              <w:t>0.001</w:t>
            </w:r>
          </w:p>
        </w:tc>
        <w:tc>
          <w:tcPr>
            <w:tcW w:w="4046" w:type="dxa"/>
            <w:tcBorders>
              <w:top w:val="single" w:sz="8" w:space="0" w:color="auto"/>
              <w:bottom w:val="single" w:sz="8" w:space="0" w:color="auto"/>
              <w:right w:val="single" w:sz="8" w:space="0" w:color="auto"/>
            </w:tcBorders>
          </w:tcPr>
          <w:p w14:paraId="1E600E42" w14:textId="52012336" w:rsidR="003B2E63" w:rsidRPr="007420E6" w:rsidRDefault="003B2E63" w:rsidP="003B2E63">
            <w:pPr>
              <w:spacing w:line="311" w:lineRule="auto"/>
              <w:ind w:left="86"/>
              <w:rPr>
                <w:rFonts w:eastAsia="Times New Roman"/>
                <w:sz w:val="18"/>
                <w:szCs w:val="18"/>
              </w:rPr>
            </w:pPr>
            <w:r>
              <w:rPr>
                <w:rFonts w:eastAsia="Times New Roman"/>
                <w:sz w:val="18"/>
                <w:szCs w:val="18"/>
              </w:rPr>
              <w:t>Some people who drink water containing hexachlorobenzene in excess of the MCL over many years could experience problems with their liver or kidneys, or adverse reproductive effects, and may have an increased risk of getting cancer.</w:t>
            </w:r>
          </w:p>
        </w:tc>
      </w:tr>
      <w:tr w:rsidR="003B2E63" w14:paraId="498D073A" w14:textId="77777777" w:rsidTr="003B7E3C">
        <w:trPr>
          <w:trHeight w:val="802"/>
        </w:trPr>
        <w:tc>
          <w:tcPr>
            <w:tcW w:w="2733" w:type="dxa"/>
            <w:tcBorders>
              <w:top w:val="single" w:sz="8" w:space="0" w:color="auto"/>
              <w:left w:val="single" w:sz="8" w:space="0" w:color="auto"/>
              <w:bottom w:val="single" w:sz="8" w:space="0" w:color="auto"/>
              <w:right w:val="single" w:sz="8" w:space="0" w:color="auto"/>
            </w:tcBorders>
            <w:vAlign w:val="center"/>
          </w:tcPr>
          <w:p w14:paraId="05834A07" w14:textId="2F16E84C" w:rsidR="003B2E63" w:rsidRDefault="003B2E63" w:rsidP="00563A54">
            <w:pPr>
              <w:numPr>
                <w:ilvl w:val="0"/>
                <w:numId w:val="521"/>
              </w:numPr>
              <w:tabs>
                <w:tab w:val="left" w:pos="290"/>
              </w:tabs>
              <w:ind w:left="20"/>
              <w:rPr>
                <w:sz w:val="20"/>
                <w:szCs w:val="20"/>
              </w:rPr>
            </w:pPr>
            <w:r>
              <w:rPr>
                <w:rFonts w:eastAsia="Times New Roman"/>
                <w:sz w:val="18"/>
                <w:szCs w:val="18"/>
              </w:rPr>
              <w:t>Hexachlorocyclopentadiene</w:t>
            </w:r>
          </w:p>
        </w:tc>
        <w:tc>
          <w:tcPr>
            <w:tcW w:w="1357" w:type="dxa"/>
            <w:tcBorders>
              <w:top w:val="single" w:sz="8" w:space="0" w:color="auto"/>
              <w:left w:val="single" w:sz="8" w:space="0" w:color="auto"/>
              <w:bottom w:val="single" w:sz="8" w:space="0" w:color="auto"/>
              <w:right w:val="single" w:sz="8" w:space="0" w:color="auto"/>
            </w:tcBorders>
            <w:vAlign w:val="center"/>
          </w:tcPr>
          <w:p w14:paraId="18BBA58B" w14:textId="36DB38D5" w:rsidR="003B2E63" w:rsidRDefault="003B2E63" w:rsidP="003B7E3C">
            <w:pPr>
              <w:jc w:val="center"/>
              <w:rPr>
                <w:sz w:val="20"/>
                <w:szCs w:val="20"/>
              </w:rPr>
            </w:pPr>
            <w:r>
              <w:rPr>
                <w:rFonts w:eastAsia="Times New Roman"/>
                <w:sz w:val="18"/>
                <w:szCs w:val="18"/>
              </w:rPr>
              <w:t>0.05</w:t>
            </w:r>
          </w:p>
        </w:tc>
        <w:tc>
          <w:tcPr>
            <w:tcW w:w="2347" w:type="dxa"/>
            <w:tcBorders>
              <w:top w:val="single" w:sz="8" w:space="0" w:color="auto"/>
              <w:bottom w:val="single" w:sz="8" w:space="0" w:color="auto"/>
              <w:right w:val="single" w:sz="8" w:space="0" w:color="auto"/>
            </w:tcBorders>
            <w:vAlign w:val="center"/>
          </w:tcPr>
          <w:p w14:paraId="71CA8568" w14:textId="1320174D" w:rsidR="003B2E63" w:rsidRDefault="003B2E63" w:rsidP="003B7E3C">
            <w:pPr>
              <w:jc w:val="center"/>
              <w:rPr>
                <w:sz w:val="20"/>
                <w:szCs w:val="20"/>
              </w:rPr>
            </w:pPr>
            <w:r>
              <w:rPr>
                <w:rFonts w:eastAsia="Times New Roman"/>
                <w:sz w:val="18"/>
                <w:szCs w:val="18"/>
              </w:rPr>
              <w:t>0.05</w:t>
            </w:r>
          </w:p>
        </w:tc>
        <w:tc>
          <w:tcPr>
            <w:tcW w:w="4046" w:type="dxa"/>
            <w:tcBorders>
              <w:top w:val="single" w:sz="8" w:space="0" w:color="auto"/>
              <w:bottom w:val="single" w:sz="8" w:space="0" w:color="auto"/>
              <w:right w:val="single" w:sz="8" w:space="0" w:color="auto"/>
            </w:tcBorders>
          </w:tcPr>
          <w:p w14:paraId="016CE4AA" w14:textId="475BE0E1" w:rsidR="003B2E63" w:rsidRPr="00990800" w:rsidRDefault="000C06C7" w:rsidP="003B2E63">
            <w:pPr>
              <w:spacing w:line="311" w:lineRule="auto"/>
              <w:ind w:left="86"/>
              <w:rPr>
                <w:rFonts w:eastAsia="Times New Roman"/>
                <w:sz w:val="18"/>
                <w:szCs w:val="18"/>
              </w:rPr>
            </w:pPr>
            <w:r>
              <w:rPr>
                <w:rFonts w:eastAsia="Times New Roman"/>
                <w:sz w:val="18"/>
                <w:szCs w:val="18"/>
              </w:rPr>
              <w:t>Some people who drink water containing hexachlorocyclopentadiene well in excess of the MCL over many years could experience problems with their kidneys or stomach.</w:t>
            </w:r>
          </w:p>
        </w:tc>
      </w:tr>
      <w:tr w:rsidR="000C06C7" w14:paraId="2D270117" w14:textId="77777777" w:rsidTr="003B7E3C">
        <w:trPr>
          <w:trHeight w:val="802"/>
        </w:trPr>
        <w:tc>
          <w:tcPr>
            <w:tcW w:w="2733" w:type="dxa"/>
            <w:tcBorders>
              <w:top w:val="single" w:sz="8" w:space="0" w:color="auto"/>
              <w:left w:val="single" w:sz="8" w:space="0" w:color="auto"/>
              <w:bottom w:val="single" w:sz="8" w:space="0" w:color="auto"/>
              <w:right w:val="single" w:sz="8" w:space="0" w:color="auto"/>
            </w:tcBorders>
            <w:vAlign w:val="center"/>
          </w:tcPr>
          <w:p w14:paraId="425B2220" w14:textId="69A220C0" w:rsidR="000C06C7" w:rsidRDefault="000C06C7" w:rsidP="00563A54">
            <w:pPr>
              <w:numPr>
                <w:ilvl w:val="0"/>
                <w:numId w:val="521"/>
              </w:numPr>
              <w:tabs>
                <w:tab w:val="left" w:pos="290"/>
              </w:tabs>
              <w:ind w:left="20"/>
              <w:rPr>
                <w:sz w:val="20"/>
                <w:szCs w:val="20"/>
              </w:rPr>
            </w:pPr>
            <w:r>
              <w:rPr>
                <w:rFonts w:eastAsia="Times New Roman"/>
                <w:sz w:val="18"/>
                <w:szCs w:val="18"/>
              </w:rPr>
              <w:t>Lindane</w:t>
            </w:r>
          </w:p>
        </w:tc>
        <w:tc>
          <w:tcPr>
            <w:tcW w:w="1357" w:type="dxa"/>
            <w:tcBorders>
              <w:top w:val="single" w:sz="8" w:space="0" w:color="auto"/>
              <w:left w:val="single" w:sz="8" w:space="0" w:color="auto"/>
              <w:bottom w:val="single" w:sz="8" w:space="0" w:color="auto"/>
              <w:right w:val="single" w:sz="8" w:space="0" w:color="auto"/>
            </w:tcBorders>
            <w:vAlign w:val="center"/>
          </w:tcPr>
          <w:p w14:paraId="3D38F3B3" w14:textId="4BD4EFD6" w:rsidR="000C06C7" w:rsidRDefault="000C06C7" w:rsidP="003B7E3C">
            <w:pPr>
              <w:jc w:val="center"/>
              <w:rPr>
                <w:sz w:val="20"/>
                <w:szCs w:val="20"/>
              </w:rPr>
            </w:pPr>
            <w:r>
              <w:rPr>
                <w:rFonts w:eastAsia="Times New Roman"/>
                <w:sz w:val="18"/>
                <w:szCs w:val="18"/>
              </w:rPr>
              <w:t>0</w:t>
            </w:r>
            <w:r w:rsidR="00726709">
              <w:rPr>
                <w:rFonts w:eastAsia="Times New Roman"/>
                <w:sz w:val="18"/>
                <w:szCs w:val="18"/>
              </w:rPr>
              <w:t>.0002</w:t>
            </w:r>
          </w:p>
        </w:tc>
        <w:tc>
          <w:tcPr>
            <w:tcW w:w="2347" w:type="dxa"/>
            <w:tcBorders>
              <w:top w:val="single" w:sz="8" w:space="0" w:color="auto"/>
              <w:bottom w:val="single" w:sz="8" w:space="0" w:color="auto"/>
              <w:right w:val="single" w:sz="8" w:space="0" w:color="auto"/>
            </w:tcBorders>
            <w:vAlign w:val="center"/>
          </w:tcPr>
          <w:p w14:paraId="4CE9FE35" w14:textId="07A39EB5" w:rsidR="000C06C7" w:rsidRDefault="000C06C7" w:rsidP="003B7E3C">
            <w:pPr>
              <w:jc w:val="center"/>
              <w:rPr>
                <w:sz w:val="20"/>
                <w:szCs w:val="20"/>
              </w:rPr>
            </w:pPr>
            <w:r>
              <w:rPr>
                <w:rFonts w:eastAsia="Times New Roman"/>
                <w:sz w:val="18"/>
                <w:szCs w:val="18"/>
              </w:rPr>
              <w:t>0</w:t>
            </w:r>
            <w:r w:rsidR="00726709">
              <w:rPr>
                <w:rFonts w:eastAsia="Times New Roman"/>
                <w:sz w:val="18"/>
                <w:szCs w:val="18"/>
              </w:rPr>
              <w:t>.0002</w:t>
            </w:r>
          </w:p>
        </w:tc>
        <w:tc>
          <w:tcPr>
            <w:tcW w:w="4046" w:type="dxa"/>
            <w:tcBorders>
              <w:top w:val="single" w:sz="8" w:space="0" w:color="auto"/>
              <w:bottom w:val="single" w:sz="8" w:space="0" w:color="auto"/>
              <w:right w:val="single" w:sz="8" w:space="0" w:color="auto"/>
            </w:tcBorders>
          </w:tcPr>
          <w:p w14:paraId="47CA0B79" w14:textId="0BA2AE34" w:rsidR="000C06C7" w:rsidRPr="001C3D0A" w:rsidRDefault="000C06C7" w:rsidP="000C06C7">
            <w:pPr>
              <w:spacing w:line="311" w:lineRule="auto"/>
              <w:ind w:left="86"/>
              <w:rPr>
                <w:rFonts w:eastAsia="Times New Roman"/>
                <w:sz w:val="18"/>
                <w:szCs w:val="18"/>
              </w:rPr>
            </w:pPr>
            <w:r>
              <w:rPr>
                <w:rFonts w:eastAsia="Times New Roman"/>
                <w:sz w:val="18"/>
                <w:szCs w:val="18"/>
              </w:rPr>
              <w:t>Some people who drink water containing lindane in excess of the MCL over many years could experience problems with their kidneys or liver.</w:t>
            </w:r>
          </w:p>
        </w:tc>
      </w:tr>
      <w:tr w:rsidR="000C06C7" w14:paraId="4ED5E801" w14:textId="77777777" w:rsidTr="003B7E3C">
        <w:trPr>
          <w:trHeight w:val="784"/>
        </w:trPr>
        <w:tc>
          <w:tcPr>
            <w:tcW w:w="2733" w:type="dxa"/>
            <w:tcBorders>
              <w:top w:val="single" w:sz="8" w:space="0" w:color="auto"/>
              <w:left w:val="single" w:sz="8" w:space="0" w:color="auto"/>
              <w:bottom w:val="single" w:sz="8" w:space="0" w:color="auto"/>
              <w:right w:val="single" w:sz="8" w:space="0" w:color="auto"/>
            </w:tcBorders>
            <w:vAlign w:val="center"/>
          </w:tcPr>
          <w:p w14:paraId="4C61AAEB" w14:textId="5AD4FFFF" w:rsidR="000C06C7" w:rsidRDefault="000C06C7" w:rsidP="00563A54">
            <w:pPr>
              <w:numPr>
                <w:ilvl w:val="0"/>
                <w:numId w:val="521"/>
              </w:numPr>
              <w:tabs>
                <w:tab w:val="left" w:pos="290"/>
              </w:tabs>
              <w:ind w:left="20"/>
              <w:rPr>
                <w:sz w:val="20"/>
                <w:szCs w:val="20"/>
              </w:rPr>
            </w:pPr>
            <w:r>
              <w:rPr>
                <w:rFonts w:eastAsia="Times New Roman"/>
                <w:sz w:val="18"/>
                <w:szCs w:val="18"/>
              </w:rPr>
              <w:t>Methoxychlor</w:t>
            </w:r>
          </w:p>
        </w:tc>
        <w:tc>
          <w:tcPr>
            <w:tcW w:w="1357" w:type="dxa"/>
            <w:tcBorders>
              <w:top w:val="single" w:sz="8" w:space="0" w:color="auto"/>
              <w:left w:val="single" w:sz="8" w:space="0" w:color="auto"/>
              <w:bottom w:val="single" w:sz="8" w:space="0" w:color="auto"/>
              <w:right w:val="single" w:sz="8" w:space="0" w:color="auto"/>
            </w:tcBorders>
            <w:vAlign w:val="center"/>
          </w:tcPr>
          <w:p w14:paraId="59E6D1DC" w14:textId="386DB37A" w:rsidR="000C06C7" w:rsidRDefault="000C06C7" w:rsidP="003B7E3C">
            <w:pPr>
              <w:jc w:val="center"/>
              <w:rPr>
                <w:sz w:val="20"/>
                <w:szCs w:val="20"/>
              </w:rPr>
            </w:pPr>
            <w:r>
              <w:rPr>
                <w:rFonts w:eastAsia="Times New Roman"/>
                <w:sz w:val="18"/>
                <w:szCs w:val="18"/>
              </w:rPr>
              <w:t>0.04</w:t>
            </w:r>
          </w:p>
        </w:tc>
        <w:tc>
          <w:tcPr>
            <w:tcW w:w="2347" w:type="dxa"/>
            <w:tcBorders>
              <w:top w:val="single" w:sz="8" w:space="0" w:color="auto"/>
              <w:bottom w:val="single" w:sz="8" w:space="0" w:color="auto"/>
              <w:right w:val="single" w:sz="8" w:space="0" w:color="auto"/>
            </w:tcBorders>
            <w:vAlign w:val="center"/>
          </w:tcPr>
          <w:p w14:paraId="070DD29F" w14:textId="638B20FE" w:rsidR="000C06C7" w:rsidRDefault="000C06C7" w:rsidP="003B7E3C">
            <w:pPr>
              <w:spacing w:line="265" w:lineRule="exact"/>
              <w:jc w:val="center"/>
              <w:rPr>
                <w:sz w:val="20"/>
                <w:szCs w:val="20"/>
              </w:rPr>
            </w:pPr>
            <w:r>
              <w:rPr>
                <w:rFonts w:eastAsia="Times New Roman"/>
                <w:sz w:val="18"/>
                <w:szCs w:val="18"/>
              </w:rPr>
              <w:t>0.04</w:t>
            </w:r>
          </w:p>
        </w:tc>
        <w:tc>
          <w:tcPr>
            <w:tcW w:w="4046" w:type="dxa"/>
            <w:tcBorders>
              <w:top w:val="single" w:sz="8" w:space="0" w:color="auto"/>
              <w:bottom w:val="single" w:sz="8" w:space="0" w:color="auto"/>
              <w:right w:val="single" w:sz="8" w:space="0" w:color="auto"/>
            </w:tcBorders>
          </w:tcPr>
          <w:p w14:paraId="3855CE3E" w14:textId="63DA9405" w:rsidR="000C06C7" w:rsidRPr="0028463E" w:rsidRDefault="000C06C7" w:rsidP="000C06C7">
            <w:pPr>
              <w:spacing w:line="311" w:lineRule="auto"/>
              <w:ind w:left="86"/>
              <w:rPr>
                <w:rFonts w:eastAsia="Times New Roman"/>
                <w:sz w:val="18"/>
                <w:szCs w:val="18"/>
              </w:rPr>
            </w:pPr>
            <w:r>
              <w:rPr>
                <w:rFonts w:eastAsia="Times New Roman"/>
                <w:sz w:val="18"/>
                <w:szCs w:val="18"/>
              </w:rPr>
              <w:t>Some people who drink water containing methoxychlor in excess of the MCL over many years could experience reproductive difficulties.</w:t>
            </w:r>
          </w:p>
        </w:tc>
      </w:tr>
      <w:tr w:rsidR="000C06C7" w14:paraId="7BA90105" w14:textId="77777777" w:rsidTr="003B7E3C">
        <w:trPr>
          <w:trHeight w:val="766"/>
        </w:trPr>
        <w:tc>
          <w:tcPr>
            <w:tcW w:w="2733" w:type="dxa"/>
            <w:tcBorders>
              <w:top w:val="single" w:sz="8" w:space="0" w:color="auto"/>
              <w:left w:val="single" w:sz="8" w:space="0" w:color="auto"/>
              <w:bottom w:val="single" w:sz="8" w:space="0" w:color="auto"/>
              <w:right w:val="single" w:sz="8" w:space="0" w:color="auto"/>
            </w:tcBorders>
            <w:vAlign w:val="center"/>
          </w:tcPr>
          <w:p w14:paraId="7F325323" w14:textId="2AF18E2D" w:rsidR="000C06C7" w:rsidRDefault="000C06C7" w:rsidP="00563A54">
            <w:pPr>
              <w:numPr>
                <w:ilvl w:val="0"/>
                <w:numId w:val="521"/>
              </w:numPr>
              <w:tabs>
                <w:tab w:val="left" w:pos="290"/>
              </w:tabs>
              <w:ind w:left="20"/>
              <w:rPr>
                <w:sz w:val="23"/>
                <w:szCs w:val="23"/>
              </w:rPr>
            </w:pPr>
            <w:r>
              <w:rPr>
                <w:rFonts w:eastAsia="Times New Roman"/>
                <w:sz w:val="18"/>
                <w:szCs w:val="18"/>
              </w:rPr>
              <w:t>Oxamyl (Vydate)</w:t>
            </w:r>
          </w:p>
        </w:tc>
        <w:tc>
          <w:tcPr>
            <w:tcW w:w="1357" w:type="dxa"/>
            <w:tcBorders>
              <w:top w:val="single" w:sz="8" w:space="0" w:color="auto"/>
              <w:left w:val="single" w:sz="8" w:space="0" w:color="auto"/>
              <w:bottom w:val="single" w:sz="8" w:space="0" w:color="auto"/>
              <w:right w:val="single" w:sz="8" w:space="0" w:color="auto"/>
            </w:tcBorders>
            <w:vAlign w:val="center"/>
          </w:tcPr>
          <w:p w14:paraId="48AC71AE" w14:textId="0FE81C22" w:rsidR="000C06C7" w:rsidRDefault="000C06C7" w:rsidP="003B7E3C">
            <w:pPr>
              <w:jc w:val="center"/>
              <w:rPr>
                <w:sz w:val="20"/>
                <w:szCs w:val="20"/>
              </w:rPr>
            </w:pPr>
            <w:r>
              <w:rPr>
                <w:rFonts w:eastAsia="Times New Roman"/>
                <w:sz w:val="18"/>
                <w:szCs w:val="18"/>
              </w:rPr>
              <w:t>0.2</w:t>
            </w:r>
          </w:p>
        </w:tc>
        <w:tc>
          <w:tcPr>
            <w:tcW w:w="2347" w:type="dxa"/>
            <w:tcBorders>
              <w:top w:val="single" w:sz="8" w:space="0" w:color="auto"/>
              <w:bottom w:val="single" w:sz="8" w:space="0" w:color="auto"/>
              <w:right w:val="single" w:sz="8" w:space="0" w:color="auto"/>
            </w:tcBorders>
            <w:vAlign w:val="center"/>
          </w:tcPr>
          <w:p w14:paraId="1A9205BE" w14:textId="568BF847" w:rsidR="000C06C7" w:rsidRDefault="000C06C7" w:rsidP="003B7E3C">
            <w:pPr>
              <w:jc w:val="center"/>
              <w:rPr>
                <w:sz w:val="20"/>
                <w:szCs w:val="20"/>
              </w:rPr>
            </w:pPr>
            <w:r>
              <w:rPr>
                <w:rFonts w:eastAsia="Times New Roman"/>
                <w:sz w:val="18"/>
                <w:szCs w:val="18"/>
              </w:rPr>
              <w:t>0.2</w:t>
            </w:r>
          </w:p>
        </w:tc>
        <w:tc>
          <w:tcPr>
            <w:tcW w:w="4046" w:type="dxa"/>
            <w:tcBorders>
              <w:top w:val="single" w:sz="8" w:space="0" w:color="auto"/>
              <w:bottom w:val="single" w:sz="8" w:space="0" w:color="auto"/>
              <w:right w:val="single" w:sz="8" w:space="0" w:color="auto"/>
            </w:tcBorders>
          </w:tcPr>
          <w:p w14:paraId="6EF30238" w14:textId="6E27AAEC" w:rsidR="000C06C7" w:rsidRPr="00236A0E" w:rsidRDefault="000C06C7" w:rsidP="000C06C7">
            <w:pPr>
              <w:spacing w:line="311" w:lineRule="auto"/>
              <w:ind w:left="86"/>
              <w:rPr>
                <w:rFonts w:eastAsia="Times New Roman"/>
                <w:sz w:val="18"/>
                <w:szCs w:val="18"/>
              </w:rPr>
            </w:pPr>
            <w:r>
              <w:rPr>
                <w:rFonts w:eastAsia="Times New Roman"/>
                <w:sz w:val="18"/>
                <w:szCs w:val="18"/>
              </w:rPr>
              <w:t>Some people who drink water containing oxamyl in excess of the MCL over many years could experience slight nervous system effects.</w:t>
            </w:r>
          </w:p>
        </w:tc>
      </w:tr>
      <w:tr w:rsidR="000C06C7" w14:paraId="770E3B1F" w14:textId="77777777" w:rsidTr="003B7E3C">
        <w:trPr>
          <w:trHeight w:val="856"/>
        </w:trPr>
        <w:tc>
          <w:tcPr>
            <w:tcW w:w="2733" w:type="dxa"/>
            <w:tcBorders>
              <w:top w:val="single" w:sz="8" w:space="0" w:color="auto"/>
              <w:left w:val="single" w:sz="8" w:space="0" w:color="auto"/>
              <w:bottom w:val="single" w:sz="8" w:space="0" w:color="auto"/>
              <w:right w:val="single" w:sz="8" w:space="0" w:color="auto"/>
            </w:tcBorders>
            <w:vAlign w:val="center"/>
          </w:tcPr>
          <w:p w14:paraId="1D992590" w14:textId="702E674C" w:rsidR="000C06C7" w:rsidRDefault="000C06C7" w:rsidP="00563A54">
            <w:pPr>
              <w:numPr>
                <w:ilvl w:val="0"/>
                <w:numId w:val="521"/>
              </w:numPr>
              <w:tabs>
                <w:tab w:val="left" w:pos="290"/>
              </w:tabs>
              <w:ind w:left="20"/>
              <w:rPr>
                <w:rFonts w:eastAsia="Times New Roman"/>
                <w:sz w:val="18"/>
                <w:szCs w:val="18"/>
              </w:rPr>
            </w:pPr>
            <w:r>
              <w:rPr>
                <w:rFonts w:eastAsia="Times New Roman"/>
                <w:sz w:val="18"/>
                <w:szCs w:val="18"/>
              </w:rPr>
              <w:t>Pentachlorophenol</w:t>
            </w:r>
          </w:p>
        </w:tc>
        <w:tc>
          <w:tcPr>
            <w:tcW w:w="1357" w:type="dxa"/>
            <w:tcBorders>
              <w:top w:val="single" w:sz="8" w:space="0" w:color="auto"/>
              <w:left w:val="single" w:sz="8" w:space="0" w:color="auto"/>
              <w:bottom w:val="single" w:sz="8" w:space="0" w:color="auto"/>
              <w:right w:val="single" w:sz="8" w:space="0" w:color="auto"/>
            </w:tcBorders>
            <w:vAlign w:val="center"/>
          </w:tcPr>
          <w:p w14:paraId="1742CBD3" w14:textId="3F3DD209" w:rsidR="000C06C7" w:rsidRDefault="000C06C7" w:rsidP="003B7E3C">
            <w:pPr>
              <w:jc w:val="center"/>
              <w:rPr>
                <w:rFonts w:eastAsia="Times New Roman"/>
                <w:sz w:val="18"/>
                <w:szCs w:val="18"/>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78920E34" w14:textId="41AF6DD3" w:rsidR="000C06C7" w:rsidRDefault="000C06C7" w:rsidP="003B7E3C">
            <w:pPr>
              <w:jc w:val="center"/>
              <w:rPr>
                <w:rFonts w:eastAsia="Times New Roman"/>
                <w:sz w:val="18"/>
                <w:szCs w:val="18"/>
              </w:rPr>
            </w:pPr>
            <w:r>
              <w:rPr>
                <w:rFonts w:eastAsia="Times New Roman"/>
                <w:sz w:val="18"/>
                <w:szCs w:val="18"/>
              </w:rPr>
              <w:t>0.001</w:t>
            </w:r>
          </w:p>
        </w:tc>
        <w:tc>
          <w:tcPr>
            <w:tcW w:w="4046" w:type="dxa"/>
            <w:tcBorders>
              <w:top w:val="single" w:sz="8" w:space="0" w:color="auto"/>
              <w:bottom w:val="single" w:sz="8" w:space="0" w:color="auto"/>
              <w:right w:val="single" w:sz="8" w:space="0" w:color="auto"/>
            </w:tcBorders>
          </w:tcPr>
          <w:p w14:paraId="1637D5B5" w14:textId="2D62C37C" w:rsidR="000C06C7" w:rsidRDefault="000C06C7" w:rsidP="000C06C7">
            <w:pPr>
              <w:spacing w:line="311" w:lineRule="auto"/>
              <w:ind w:left="86"/>
              <w:rPr>
                <w:rFonts w:eastAsia="Times New Roman"/>
                <w:sz w:val="18"/>
                <w:szCs w:val="18"/>
              </w:rPr>
            </w:pPr>
            <w:r>
              <w:rPr>
                <w:rFonts w:eastAsia="Times New Roman"/>
                <w:sz w:val="18"/>
                <w:szCs w:val="18"/>
              </w:rPr>
              <w:t>Some people who drink water containing pentachlorophenol in excess of the MCL over many years could experience problems with their liver or kidneys, and may have an increased risk of getting cancer.</w:t>
            </w:r>
          </w:p>
        </w:tc>
      </w:tr>
      <w:tr w:rsidR="000C06C7" w14:paraId="7896B950" w14:textId="77777777" w:rsidTr="003B7E3C">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77FF0134" w14:textId="5DD53BF8" w:rsidR="000C06C7" w:rsidRDefault="000C06C7" w:rsidP="00563A54">
            <w:pPr>
              <w:numPr>
                <w:ilvl w:val="0"/>
                <w:numId w:val="521"/>
              </w:numPr>
              <w:tabs>
                <w:tab w:val="left" w:pos="290"/>
              </w:tabs>
              <w:ind w:left="20"/>
              <w:rPr>
                <w:rFonts w:eastAsia="Times New Roman"/>
                <w:sz w:val="18"/>
                <w:szCs w:val="18"/>
              </w:rPr>
            </w:pPr>
            <w:r>
              <w:rPr>
                <w:rFonts w:eastAsia="Times New Roman"/>
                <w:sz w:val="18"/>
                <w:szCs w:val="18"/>
              </w:rPr>
              <w:t>Picloram</w:t>
            </w:r>
          </w:p>
        </w:tc>
        <w:tc>
          <w:tcPr>
            <w:tcW w:w="1357" w:type="dxa"/>
            <w:tcBorders>
              <w:top w:val="single" w:sz="8" w:space="0" w:color="auto"/>
              <w:left w:val="single" w:sz="8" w:space="0" w:color="auto"/>
              <w:bottom w:val="single" w:sz="8" w:space="0" w:color="auto"/>
              <w:right w:val="single" w:sz="8" w:space="0" w:color="auto"/>
            </w:tcBorders>
            <w:vAlign w:val="center"/>
          </w:tcPr>
          <w:p w14:paraId="0CDE2C4B" w14:textId="586A8F41" w:rsidR="000C06C7" w:rsidRDefault="000C06C7" w:rsidP="003B7E3C">
            <w:pPr>
              <w:jc w:val="center"/>
              <w:rPr>
                <w:rFonts w:eastAsia="Times New Roman"/>
                <w:sz w:val="18"/>
                <w:szCs w:val="18"/>
              </w:rPr>
            </w:pPr>
            <w:r>
              <w:rPr>
                <w:rFonts w:eastAsia="Times New Roman"/>
                <w:sz w:val="18"/>
                <w:szCs w:val="18"/>
              </w:rPr>
              <w:t>0.5</w:t>
            </w:r>
          </w:p>
        </w:tc>
        <w:tc>
          <w:tcPr>
            <w:tcW w:w="2347" w:type="dxa"/>
            <w:tcBorders>
              <w:top w:val="single" w:sz="8" w:space="0" w:color="auto"/>
              <w:bottom w:val="single" w:sz="8" w:space="0" w:color="auto"/>
              <w:right w:val="single" w:sz="8" w:space="0" w:color="auto"/>
            </w:tcBorders>
            <w:vAlign w:val="center"/>
          </w:tcPr>
          <w:p w14:paraId="4255EB39" w14:textId="0B069B9D" w:rsidR="000C06C7" w:rsidRDefault="000C06C7" w:rsidP="003B7E3C">
            <w:pPr>
              <w:jc w:val="center"/>
              <w:rPr>
                <w:rFonts w:eastAsia="Times New Roman"/>
                <w:sz w:val="18"/>
                <w:szCs w:val="18"/>
              </w:rPr>
            </w:pPr>
            <w:r>
              <w:rPr>
                <w:rFonts w:eastAsia="Times New Roman"/>
                <w:sz w:val="18"/>
                <w:szCs w:val="18"/>
              </w:rPr>
              <w:t>0.5</w:t>
            </w:r>
          </w:p>
        </w:tc>
        <w:tc>
          <w:tcPr>
            <w:tcW w:w="4046" w:type="dxa"/>
            <w:tcBorders>
              <w:top w:val="single" w:sz="8" w:space="0" w:color="auto"/>
              <w:bottom w:val="single" w:sz="8" w:space="0" w:color="auto"/>
              <w:right w:val="single" w:sz="8" w:space="0" w:color="auto"/>
            </w:tcBorders>
          </w:tcPr>
          <w:p w14:paraId="752DC976" w14:textId="235FBC6D" w:rsidR="000C06C7" w:rsidRDefault="000A33F7" w:rsidP="000C06C7">
            <w:pPr>
              <w:spacing w:line="311" w:lineRule="auto"/>
              <w:ind w:left="86"/>
              <w:rPr>
                <w:rFonts w:eastAsia="Times New Roman"/>
                <w:sz w:val="18"/>
                <w:szCs w:val="18"/>
              </w:rPr>
            </w:pPr>
            <w:r>
              <w:rPr>
                <w:rFonts w:eastAsia="Times New Roman"/>
                <w:sz w:val="18"/>
                <w:szCs w:val="18"/>
              </w:rPr>
              <w:t>Some people who drink water containing picloram in excess of the MCL over many years could experience problems with their liver.</w:t>
            </w:r>
          </w:p>
        </w:tc>
      </w:tr>
      <w:tr w:rsidR="000A33F7" w14:paraId="793D54B0" w14:textId="77777777" w:rsidTr="003B7E3C">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49501F3C" w14:textId="69341A7E" w:rsidR="000A33F7" w:rsidRDefault="000A33F7" w:rsidP="00563A54">
            <w:pPr>
              <w:numPr>
                <w:ilvl w:val="0"/>
                <w:numId w:val="521"/>
              </w:numPr>
              <w:tabs>
                <w:tab w:val="left" w:pos="290"/>
              </w:tabs>
              <w:ind w:left="20"/>
              <w:rPr>
                <w:rFonts w:eastAsia="Times New Roman"/>
                <w:sz w:val="18"/>
                <w:szCs w:val="18"/>
              </w:rPr>
            </w:pPr>
            <w:r>
              <w:rPr>
                <w:rFonts w:eastAsia="Times New Roman"/>
                <w:sz w:val="18"/>
                <w:szCs w:val="18"/>
              </w:rPr>
              <w:t>Polychlorinated biphenyls (PCBs)</w:t>
            </w:r>
          </w:p>
        </w:tc>
        <w:tc>
          <w:tcPr>
            <w:tcW w:w="1357" w:type="dxa"/>
            <w:tcBorders>
              <w:top w:val="single" w:sz="8" w:space="0" w:color="auto"/>
              <w:left w:val="single" w:sz="8" w:space="0" w:color="auto"/>
              <w:bottom w:val="single" w:sz="8" w:space="0" w:color="auto"/>
              <w:right w:val="single" w:sz="8" w:space="0" w:color="auto"/>
            </w:tcBorders>
            <w:vAlign w:val="center"/>
          </w:tcPr>
          <w:p w14:paraId="21CB0D4D" w14:textId="48CB3B69" w:rsidR="000A33F7" w:rsidRDefault="000A33F7" w:rsidP="003B7E3C">
            <w:pPr>
              <w:jc w:val="center"/>
              <w:rPr>
                <w:rFonts w:eastAsia="Times New Roman"/>
                <w:sz w:val="18"/>
                <w:szCs w:val="18"/>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05CA07E9" w14:textId="6699CEBA" w:rsidR="000A33F7" w:rsidRDefault="000A33F7" w:rsidP="003B7E3C">
            <w:pPr>
              <w:jc w:val="center"/>
              <w:rPr>
                <w:rFonts w:eastAsia="Times New Roman"/>
                <w:sz w:val="18"/>
                <w:szCs w:val="18"/>
              </w:rPr>
            </w:pPr>
            <w:r>
              <w:rPr>
                <w:rFonts w:eastAsia="Times New Roman"/>
                <w:sz w:val="18"/>
                <w:szCs w:val="18"/>
              </w:rPr>
              <w:t>0.00</w:t>
            </w:r>
            <w:r w:rsidR="007F3CE0">
              <w:rPr>
                <w:rFonts w:eastAsia="Times New Roman"/>
                <w:sz w:val="18"/>
                <w:szCs w:val="18"/>
              </w:rPr>
              <w:t>05</w:t>
            </w:r>
          </w:p>
        </w:tc>
        <w:tc>
          <w:tcPr>
            <w:tcW w:w="4046" w:type="dxa"/>
            <w:tcBorders>
              <w:top w:val="single" w:sz="8" w:space="0" w:color="auto"/>
              <w:bottom w:val="single" w:sz="8" w:space="0" w:color="auto"/>
              <w:right w:val="single" w:sz="8" w:space="0" w:color="auto"/>
            </w:tcBorders>
          </w:tcPr>
          <w:p w14:paraId="329E2D51" w14:textId="24DA3BD2" w:rsidR="000A33F7" w:rsidRDefault="000A33F7" w:rsidP="000A33F7">
            <w:pPr>
              <w:spacing w:line="311" w:lineRule="auto"/>
              <w:ind w:left="86"/>
              <w:rPr>
                <w:rFonts w:eastAsia="Times New Roman"/>
                <w:sz w:val="18"/>
                <w:szCs w:val="18"/>
              </w:rPr>
            </w:pPr>
            <w:r>
              <w:rPr>
                <w:rFonts w:eastAsia="Times New Roman"/>
                <w:sz w:val="18"/>
                <w:szCs w:val="18"/>
              </w:rPr>
              <w:t>Some people who drink water containing PCBs in excess of the MCL over many years could experience changes in their skin, problems with their thymus gland, immune deficiencies, or reproductive or nervous system difficulties, and may have an increased risk of cancer.</w:t>
            </w:r>
          </w:p>
        </w:tc>
      </w:tr>
      <w:tr w:rsidR="000A33F7" w14:paraId="1F9F9521" w14:textId="77777777" w:rsidTr="003B7E3C">
        <w:trPr>
          <w:trHeight w:val="874"/>
        </w:trPr>
        <w:tc>
          <w:tcPr>
            <w:tcW w:w="2733" w:type="dxa"/>
            <w:tcBorders>
              <w:top w:val="single" w:sz="8" w:space="0" w:color="auto"/>
              <w:left w:val="single" w:sz="8" w:space="0" w:color="auto"/>
              <w:bottom w:val="single" w:sz="8" w:space="0" w:color="auto"/>
              <w:right w:val="single" w:sz="8" w:space="0" w:color="auto"/>
            </w:tcBorders>
            <w:vAlign w:val="center"/>
          </w:tcPr>
          <w:p w14:paraId="40E6E317" w14:textId="44B1ED2A" w:rsidR="000A33F7" w:rsidRDefault="000A33F7" w:rsidP="00563A54">
            <w:pPr>
              <w:numPr>
                <w:ilvl w:val="0"/>
                <w:numId w:val="521"/>
              </w:numPr>
              <w:tabs>
                <w:tab w:val="left" w:pos="290"/>
              </w:tabs>
              <w:ind w:left="20"/>
              <w:rPr>
                <w:rFonts w:eastAsia="Times New Roman"/>
                <w:sz w:val="18"/>
                <w:szCs w:val="18"/>
              </w:rPr>
            </w:pPr>
            <w:r>
              <w:rPr>
                <w:rFonts w:eastAsia="Times New Roman"/>
                <w:sz w:val="18"/>
                <w:szCs w:val="18"/>
              </w:rPr>
              <w:t>Simazine</w:t>
            </w:r>
          </w:p>
        </w:tc>
        <w:tc>
          <w:tcPr>
            <w:tcW w:w="1357" w:type="dxa"/>
            <w:tcBorders>
              <w:top w:val="single" w:sz="8" w:space="0" w:color="auto"/>
              <w:left w:val="single" w:sz="8" w:space="0" w:color="auto"/>
              <w:bottom w:val="single" w:sz="8" w:space="0" w:color="auto"/>
              <w:right w:val="single" w:sz="8" w:space="0" w:color="auto"/>
            </w:tcBorders>
            <w:vAlign w:val="center"/>
          </w:tcPr>
          <w:p w14:paraId="74A2CCA2" w14:textId="35993CA8" w:rsidR="000A33F7" w:rsidRDefault="000A33F7" w:rsidP="003B7E3C">
            <w:pPr>
              <w:jc w:val="center"/>
              <w:rPr>
                <w:rFonts w:eastAsia="Times New Roman"/>
                <w:sz w:val="18"/>
                <w:szCs w:val="18"/>
              </w:rPr>
            </w:pPr>
            <w:r>
              <w:rPr>
                <w:rFonts w:eastAsia="Times New Roman"/>
                <w:sz w:val="18"/>
                <w:szCs w:val="18"/>
              </w:rPr>
              <w:t>0</w:t>
            </w:r>
            <w:r w:rsidR="004D259E">
              <w:rPr>
                <w:rFonts w:eastAsia="Times New Roman"/>
                <w:sz w:val="18"/>
                <w:szCs w:val="18"/>
              </w:rPr>
              <w:t>.004</w:t>
            </w:r>
          </w:p>
        </w:tc>
        <w:tc>
          <w:tcPr>
            <w:tcW w:w="2347" w:type="dxa"/>
            <w:tcBorders>
              <w:top w:val="single" w:sz="8" w:space="0" w:color="auto"/>
              <w:bottom w:val="single" w:sz="8" w:space="0" w:color="auto"/>
              <w:right w:val="single" w:sz="8" w:space="0" w:color="auto"/>
            </w:tcBorders>
            <w:vAlign w:val="center"/>
          </w:tcPr>
          <w:p w14:paraId="2491568B" w14:textId="67CA4FC5" w:rsidR="000A33F7" w:rsidRDefault="000A33F7" w:rsidP="003B7E3C">
            <w:pPr>
              <w:jc w:val="center"/>
              <w:rPr>
                <w:rFonts w:eastAsia="Times New Roman"/>
                <w:sz w:val="18"/>
                <w:szCs w:val="18"/>
              </w:rPr>
            </w:pPr>
            <w:r>
              <w:rPr>
                <w:rFonts w:eastAsia="Times New Roman"/>
                <w:sz w:val="18"/>
                <w:szCs w:val="18"/>
              </w:rPr>
              <w:t>0.004</w:t>
            </w:r>
          </w:p>
        </w:tc>
        <w:tc>
          <w:tcPr>
            <w:tcW w:w="4046" w:type="dxa"/>
            <w:tcBorders>
              <w:top w:val="single" w:sz="8" w:space="0" w:color="auto"/>
              <w:bottom w:val="single" w:sz="8" w:space="0" w:color="auto"/>
              <w:right w:val="single" w:sz="8" w:space="0" w:color="auto"/>
            </w:tcBorders>
          </w:tcPr>
          <w:p w14:paraId="76B1D75A" w14:textId="5A2D3A72" w:rsidR="000A33F7" w:rsidRDefault="000A33F7" w:rsidP="000A33F7">
            <w:pPr>
              <w:spacing w:line="311" w:lineRule="auto"/>
              <w:ind w:left="86"/>
              <w:rPr>
                <w:rFonts w:eastAsia="Times New Roman"/>
                <w:sz w:val="18"/>
                <w:szCs w:val="18"/>
              </w:rPr>
            </w:pPr>
            <w:r>
              <w:rPr>
                <w:rFonts w:eastAsia="Times New Roman"/>
                <w:sz w:val="18"/>
                <w:szCs w:val="18"/>
              </w:rPr>
              <w:t>Some people who drink water containing simazine in excess of the MCL over many years could experience problems with their blood.</w:t>
            </w:r>
          </w:p>
        </w:tc>
      </w:tr>
      <w:tr w:rsidR="000A33F7" w14:paraId="362727B4" w14:textId="77777777" w:rsidTr="003B7E3C">
        <w:trPr>
          <w:trHeight w:val="874"/>
        </w:trPr>
        <w:tc>
          <w:tcPr>
            <w:tcW w:w="2733" w:type="dxa"/>
            <w:tcBorders>
              <w:top w:val="single" w:sz="8" w:space="0" w:color="auto"/>
              <w:left w:val="single" w:sz="8" w:space="0" w:color="auto"/>
              <w:bottom w:val="single" w:sz="8" w:space="0" w:color="auto"/>
              <w:right w:val="single" w:sz="8" w:space="0" w:color="auto"/>
            </w:tcBorders>
            <w:vAlign w:val="center"/>
          </w:tcPr>
          <w:p w14:paraId="19C0F1FE" w14:textId="63F56AA8" w:rsidR="000A33F7" w:rsidRDefault="000A33F7" w:rsidP="00563A54">
            <w:pPr>
              <w:numPr>
                <w:ilvl w:val="0"/>
                <w:numId w:val="521"/>
              </w:numPr>
              <w:tabs>
                <w:tab w:val="left" w:pos="290"/>
              </w:tabs>
              <w:ind w:left="20"/>
              <w:rPr>
                <w:rFonts w:eastAsia="Times New Roman"/>
                <w:sz w:val="18"/>
                <w:szCs w:val="18"/>
              </w:rPr>
            </w:pPr>
            <w:r>
              <w:rPr>
                <w:rFonts w:eastAsia="Times New Roman"/>
                <w:sz w:val="18"/>
                <w:szCs w:val="18"/>
              </w:rPr>
              <w:t>Toxaphene</w:t>
            </w:r>
          </w:p>
        </w:tc>
        <w:tc>
          <w:tcPr>
            <w:tcW w:w="1357" w:type="dxa"/>
            <w:tcBorders>
              <w:top w:val="single" w:sz="8" w:space="0" w:color="auto"/>
              <w:left w:val="single" w:sz="8" w:space="0" w:color="auto"/>
              <w:bottom w:val="single" w:sz="8" w:space="0" w:color="auto"/>
              <w:right w:val="single" w:sz="8" w:space="0" w:color="auto"/>
            </w:tcBorders>
            <w:vAlign w:val="center"/>
          </w:tcPr>
          <w:p w14:paraId="1A105FAA" w14:textId="59099C47" w:rsidR="000A33F7" w:rsidRDefault="000A33F7" w:rsidP="003B7E3C">
            <w:pPr>
              <w:jc w:val="center"/>
              <w:rPr>
                <w:rFonts w:eastAsia="Times New Roman"/>
                <w:sz w:val="18"/>
                <w:szCs w:val="18"/>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0132ADB1" w14:textId="60BD2330" w:rsidR="000A33F7" w:rsidRDefault="000A33F7" w:rsidP="003B7E3C">
            <w:pPr>
              <w:jc w:val="center"/>
              <w:rPr>
                <w:rFonts w:eastAsia="Times New Roman"/>
                <w:sz w:val="18"/>
                <w:szCs w:val="18"/>
              </w:rPr>
            </w:pPr>
            <w:r>
              <w:rPr>
                <w:rFonts w:eastAsia="Times New Roman"/>
                <w:sz w:val="18"/>
                <w:szCs w:val="18"/>
              </w:rPr>
              <w:t>0.003</w:t>
            </w:r>
          </w:p>
        </w:tc>
        <w:tc>
          <w:tcPr>
            <w:tcW w:w="4046" w:type="dxa"/>
            <w:tcBorders>
              <w:top w:val="single" w:sz="8" w:space="0" w:color="auto"/>
              <w:bottom w:val="single" w:sz="8" w:space="0" w:color="auto"/>
              <w:right w:val="single" w:sz="8" w:space="0" w:color="auto"/>
            </w:tcBorders>
          </w:tcPr>
          <w:p w14:paraId="103E03DE" w14:textId="36105D37" w:rsidR="000A33F7" w:rsidRDefault="000A33F7" w:rsidP="000A33F7">
            <w:pPr>
              <w:spacing w:line="311" w:lineRule="auto"/>
              <w:ind w:left="86"/>
              <w:rPr>
                <w:rFonts w:eastAsia="Times New Roman"/>
                <w:sz w:val="18"/>
                <w:szCs w:val="18"/>
              </w:rPr>
            </w:pPr>
            <w:r>
              <w:rPr>
                <w:rFonts w:eastAsia="Times New Roman"/>
                <w:sz w:val="18"/>
                <w:szCs w:val="18"/>
              </w:rPr>
              <w:t>Some people who drink water containing toxaphene. in excess of the MCL over many years could have problems with their kidneys, liver, or thyroid, and</w:t>
            </w:r>
            <w:r w:rsidR="00AD6624">
              <w:rPr>
                <w:rFonts w:eastAsia="Times New Roman"/>
                <w:sz w:val="18"/>
                <w:szCs w:val="18"/>
              </w:rPr>
              <w:t xml:space="preserve"> may have an increased risk of getting cancer.</w:t>
            </w:r>
          </w:p>
        </w:tc>
      </w:tr>
    </w:tbl>
    <w:p w14:paraId="281A1CEA" w14:textId="6DFC5C64" w:rsidR="004647B9" w:rsidRDefault="004647B9" w:rsidP="003B2E63">
      <w:pPr>
        <w:rPr>
          <w:sz w:val="20"/>
          <w:szCs w:val="20"/>
        </w:rPr>
      </w:pPr>
    </w:p>
    <w:p w14:paraId="281A1CEB" w14:textId="77777777" w:rsidR="004647B9" w:rsidRDefault="004647B9" w:rsidP="003B2E63">
      <w:pPr>
        <w:sectPr w:rsidR="004647B9" w:rsidSect="00EF630C">
          <w:pgSz w:w="12240" w:h="20180"/>
          <w:pgMar w:top="708" w:right="1080" w:bottom="145" w:left="600" w:header="0" w:footer="0" w:gutter="0"/>
          <w:cols w:space="720"/>
        </w:sectPr>
      </w:pPr>
    </w:p>
    <w:p w14:paraId="281A1DA5" w14:textId="77777777" w:rsidR="004647B9" w:rsidRDefault="00E2436F">
      <w:pPr>
        <w:tabs>
          <w:tab w:val="left" w:pos="2860"/>
        </w:tabs>
        <w:ind w:left="1680"/>
        <w:rPr>
          <w:sz w:val="20"/>
          <w:szCs w:val="20"/>
        </w:rPr>
      </w:pPr>
      <w:bookmarkStart w:id="203" w:name="page205"/>
      <w:bookmarkEnd w:id="20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DA6" w14:textId="77777777" w:rsidR="004647B9" w:rsidRDefault="004647B9" w:rsidP="00400995">
      <w:pPr>
        <w:rPr>
          <w:sz w:val="20"/>
          <w:szCs w:val="20"/>
        </w:rPr>
      </w:pPr>
    </w:p>
    <w:p w14:paraId="281A1DA7" w14:textId="77777777" w:rsidR="004647B9" w:rsidRDefault="004647B9" w:rsidP="00400995">
      <w:pPr>
        <w:rPr>
          <w:sz w:val="20"/>
          <w:szCs w:val="20"/>
        </w:rPr>
      </w:pPr>
    </w:p>
    <w:p w14:paraId="281A1DA8" w14:textId="77777777" w:rsidR="004647B9" w:rsidRPr="00400995" w:rsidRDefault="00E2436F" w:rsidP="00400995">
      <w:pPr>
        <w:tabs>
          <w:tab w:val="left" w:pos="760"/>
        </w:tabs>
        <w:rPr>
          <w:sz w:val="24"/>
          <w:szCs w:val="24"/>
        </w:rPr>
      </w:pPr>
      <w:r w:rsidRPr="00400995">
        <w:rPr>
          <w:rFonts w:eastAsia="Times New Roman"/>
          <w:sz w:val="24"/>
          <w:szCs w:val="24"/>
        </w:rPr>
        <w:t>22.16:</w:t>
      </w:r>
      <w:r w:rsidRPr="00400995">
        <w:rPr>
          <w:rFonts w:eastAsia="Times New Roman"/>
          <w:sz w:val="24"/>
          <w:szCs w:val="24"/>
        </w:rPr>
        <w:tab/>
        <w:t>continued</w:t>
      </w:r>
    </w:p>
    <w:p w14:paraId="281A1DAA" w14:textId="54A02418" w:rsidR="004647B9" w:rsidRDefault="004647B9" w:rsidP="00400995">
      <w:pPr>
        <w:rPr>
          <w:sz w:val="20"/>
          <w:szCs w:val="20"/>
        </w:rPr>
      </w:pPr>
    </w:p>
    <w:tbl>
      <w:tblPr>
        <w:tblW w:w="10483" w:type="dxa"/>
        <w:tblInd w:w="50" w:type="dxa"/>
        <w:tblLayout w:type="fixed"/>
        <w:tblCellMar>
          <w:left w:w="0" w:type="dxa"/>
          <w:right w:w="0" w:type="dxa"/>
        </w:tblCellMar>
        <w:tblLook w:val="04A0" w:firstRow="1" w:lastRow="0" w:firstColumn="1" w:lastColumn="0" w:noHBand="0" w:noVBand="1"/>
      </w:tblPr>
      <w:tblGrid>
        <w:gridCol w:w="2733"/>
        <w:gridCol w:w="1357"/>
        <w:gridCol w:w="2347"/>
        <w:gridCol w:w="4046"/>
      </w:tblGrid>
      <w:tr w:rsidR="005A5D4B" w14:paraId="03DA525E" w14:textId="77777777" w:rsidTr="00DF6443">
        <w:trPr>
          <w:trHeight w:val="271"/>
        </w:trPr>
        <w:tc>
          <w:tcPr>
            <w:tcW w:w="2733" w:type="dxa"/>
            <w:tcBorders>
              <w:top w:val="single" w:sz="8" w:space="0" w:color="auto"/>
              <w:left w:val="single" w:sz="8" w:space="0" w:color="auto"/>
              <w:bottom w:val="single" w:sz="8" w:space="0" w:color="auto"/>
              <w:right w:val="single" w:sz="8" w:space="0" w:color="auto"/>
            </w:tcBorders>
            <w:vAlign w:val="center"/>
          </w:tcPr>
          <w:p w14:paraId="68DACC47" w14:textId="77777777" w:rsidR="005A5D4B" w:rsidRDefault="005A5D4B" w:rsidP="00DF6443">
            <w:pPr>
              <w:ind w:left="43"/>
              <w:rPr>
                <w:sz w:val="23"/>
                <w:szCs w:val="23"/>
              </w:rPr>
            </w:pPr>
            <w:r>
              <w:rPr>
                <w:rFonts w:eastAsia="Times New Roman"/>
                <w:sz w:val="18"/>
                <w:szCs w:val="18"/>
              </w:rPr>
              <w:t>Contaminant</w:t>
            </w:r>
          </w:p>
        </w:tc>
        <w:tc>
          <w:tcPr>
            <w:tcW w:w="1357" w:type="dxa"/>
            <w:tcBorders>
              <w:top w:val="single" w:sz="8" w:space="0" w:color="auto"/>
              <w:left w:val="single" w:sz="8" w:space="0" w:color="auto"/>
              <w:bottom w:val="single" w:sz="8" w:space="0" w:color="auto"/>
              <w:right w:val="single" w:sz="8" w:space="0" w:color="auto"/>
            </w:tcBorders>
            <w:vAlign w:val="center"/>
          </w:tcPr>
          <w:p w14:paraId="2CDBBF8C" w14:textId="77777777" w:rsidR="005A5D4B" w:rsidRDefault="005A5D4B"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7" w:type="dxa"/>
            <w:tcBorders>
              <w:top w:val="single" w:sz="8" w:space="0" w:color="auto"/>
              <w:left w:val="single" w:sz="8" w:space="0" w:color="auto"/>
              <w:bottom w:val="single" w:sz="8" w:space="0" w:color="auto"/>
              <w:right w:val="single" w:sz="8" w:space="0" w:color="auto"/>
            </w:tcBorders>
            <w:vAlign w:val="center"/>
          </w:tcPr>
          <w:p w14:paraId="05502C17" w14:textId="77777777" w:rsidR="005A5D4B" w:rsidRDefault="005A5D4B"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6" w:type="dxa"/>
            <w:tcBorders>
              <w:top w:val="single" w:sz="8" w:space="0" w:color="auto"/>
              <w:bottom w:val="single" w:sz="8" w:space="0" w:color="auto"/>
              <w:right w:val="single" w:sz="8" w:space="0" w:color="auto"/>
            </w:tcBorders>
            <w:vAlign w:val="center"/>
          </w:tcPr>
          <w:p w14:paraId="6FB813BE" w14:textId="77777777" w:rsidR="005A5D4B" w:rsidRPr="005A4D34" w:rsidRDefault="005A5D4B" w:rsidP="00DF6443">
            <w:pPr>
              <w:ind w:left="40"/>
              <w:rPr>
                <w:sz w:val="18"/>
                <w:szCs w:val="18"/>
              </w:rPr>
            </w:pPr>
            <w:r w:rsidRPr="005A4D34">
              <w:rPr>
                <w:sz w:val="18"/>
                <w:szCs w:val="18"/>
              </w:rPr>
              <w:t>Standard health effects language for public notification</w:t>
            </w:r>
          </w:p>
        </w:tc>
      </w:tr>
      <w:tr w:rsidR="005A5D4B" w14:paraId="51BE2661" w14:textId="77777777" w:rsidTr="00DF6443">
        <w:trPr>
          <w:trHeight w:val="286"/>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69969AD1" w14:textId="77777777" w:rsidR="005A5D4B" w:rsidRDefault="005A5D4B" w:rsidP="00DF6443">
            <w:pPr>
              <w:ind w:left="43"/>
              <w:rPr>
                <w:sz w:val="20"/>
                <w:szCs w:val="20"/>
              </w:rPr>
            </w:pPr>
            <w:r>
              <w:rPr>
                <w:rFonts w:eastAsia="Times New Roman"/>
                <w:sz w:val="18"/>
                <w:szCs w:val="18"/>
              </w:rPr>
              <w:t>National Primary Drinking Water Regulations (NPDWR) and Massachusetts Drinking Water Regulations:</w:t>
            </w:r>
          </w:p>
        </w:tc>
      </w:tr>
      <w:tr w:rsidR="005A5D4B" w14:paraId="22EC709E" w14:textId="77777777" w:rsidTr="00DF6443">
        <w:trPr>
          <w:trHeight w:val="286"/>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3CA8630B" w14:textId="2A46BCF4" w:rsidR="005A5D4B" w:rsidRDefault="005A5D4B" w:rsidP="00DF6443">
            <w:pPr>
              <w:ind w:left="43"/>
              <w:rPr>
                <w:rFonts w:eastAsia="Times New Roman"/>
                <w:sz w:val="18"/>
                <w:szCs w:val="18"/>
              </w:rPr>
            </w:pPr>
            <w:r>
              <w:rPr>
                <w:rFonts w:eastAsia="Times New Roman"/>
                <w:sz w:val="18"/>
                <w:szCs w:val="18"/>
              </w:rPr>
              <w:t>F.  Volatile Organic Chemicals (VOCs):</w:t>
            </w:r>
          </w:p>
        </w:tc>
      </w:tr>
      <w:tr w:rsidR="00B54FF7" w14:paraId="2D646192" w14:textId="77777777" w:rsidTr="003B7E3C">
        <w:trPr>
          <w:trHeight w:val="254"/>
        </w:trPr>
        <w:tc>
          <w:tcPr>
            <w:tcW w:w="2733" w:type="dxa"/>
            <w:tcBorders>
              <w:left w:val="single" w:sz="8" w:space="0" w:color="auto"/>
              <w:bottom w:val="single" w:sz="8" w:space="0" w:color="auto"/>
              <w:right w:val="single" w:sz="8" w:space="0" w:color="auto"/>
            </w:tcBorders>
            <w:vAlign w:val="center"/>
          </w:tcPr>
          <w:p w14:paraId="06D34B02" w14:textId="231C8A49" w:rsidR="00B54FF7" w:rsidRDefault="00B54FF7" w:rsidP="00563A54">
            <w:pPr>
              <w:numPr>
                <w:ilvl w:val="0"/>
                <w:numId w:val="521"/>
              </w:numPr>
              <w:tabs>
                <w:tab w:val="left" w:pos="290"/>
              </w:tabs>
              <w:ind w:left="20"/>
            </w:pPr>
            <w:r>
              <w:rPr>
                <w:rFonts w:eastAsia="Times New Roman"/>
                <w:sz w:val="18"/>
                <w:szCs w:val="18"/>
              </w:rPr>
              <w:t>Benzene</w:t>
            </w:r>
          </w:p>
        </w:tc>
        <w:tc>
          <w:tcPr>
            <w:tcW w:w="1357" w:type="dxa"/>
            <w:tcBorders>
              <w:bottom w:val="single" w:sz="8" w:space="0" w:color="auto"/>
              <w:right w:val="single" w:sz="8" w:space="0" w:color="auto"/>
            </w:tcBorders>
            <w:vAlign w:val="center"/>
          </w:tcPr>
          <w:p w14:paraId="72F13130" w14:textId="74293C79" w:rsidR="00B54FF7" w:rsidRDefault="00B54FF7" w:rsidP="003B7E3C">
            <w:pPr>
              <w:jc w:val="center"/>
              <w:rPr>
                <w:rFonts w:eastAsia="Times New Roman"/>
                <w:sz w:val="18"/>
                <w:szCs w:val="18"/>
              </w:rPr>
            </w:pPr>
            <w:r>
              <w:rPr>
                <w:rFonts w:eastAsia="Times New Roman"/>
                <w:sz w:val="18"/>
                <w:szCs w:val="18"/>
              </w:rPr>
              <w:t>Zero</w:t>
            </w:r>
          </w:p>
        </w:tc>
        <w:tc>
          <w:tcPr>
            <w:tcW w:w="2347" w:type="dxa"/>
            <w:tcBorders>
              <w:bottom w:val="single" w:sz="8" w:space="0" w:color="auto"/>
              <w:right w:val="single" w:sz="8" w:space="0" w:color="auto"/>
            </w:tcBorders>
            <w:vAlign w:val="center"/>
          </w:tcPr>
          <w:p w14:paraId="29F8F7C0" w14:textId="6D01E5C4" w:rsidR="00B54FF7" w:rsidRDefault="00B54FF7" w:rsidP="003B7E3C">
            <w:pPr>
              <w:jc w:val="center"/>
              <w:rPr>
                <w:rFonts w:eastAsia="Times New Roman"/>
                <w:sz w:val="18"/>
                <w:szCs w:val="18"/>
              </w:rPr>
            </w:pPr>
            <w:r>
              <w:rPr>
                <w:rFonts w:eastAsia="Times New Roman"/>
                <w:sz w:val="18"/>
                <w:szCs w:val="18"/>
              </w:rPr>
              <w:t>0.005</w:t>
            </w:r>
          </w:p>
        </w:tc>
        <w:tc>
          <w:tcPr>
            <w:tcW w:w="4046" w:type="dxa"/>
            <w:tcBorders>
              <w:bottom w:val="single" w:sz="8" w:space="0" w:color="auto"/>
              <w:right w:val="single" w:sz="8" w:space="0" w:color="auto"/>
            </w:tcBorders>
          </w:tcPr>
          <w:p w14:paraId="4F453739" w14:textId="6B227157" w:rsidR="00B54FF7" w:rsidRDefault="0021225A" w:rsidP="003B7E3C">
            <w:pPr>
              <w:spacing w:line="311" w:lineRule="auto"/>
              <w:ind w:left="86"/>
              <w:rPr>
                <w:rFonts w:eastAsia="Times New Roman"/>
                <w:sz w:val="18"/>
                <w:szCs w:val="18"/>
              </w:rPr>
            </w:pPr>
            <w:r>
              <w:rPr>
                <w:rFonts w:eastAsia="Times New Roman"/>
                <w:sz w:val="18"/>
                <w:szCs w:val="18"/>
              </w:rPr>
              <w:t>Some people who drink water containing benzene in excess of the MCL over many years could experience anemia or a decrease in blood platelets, and may have an increased risk of cancer.</w:t>
            </w:r>
          </w:p>
        </w:tc>
      </w:tr>
      <w:tr w:rsidR="0021225A" w14:paraId="39644817" w14:textId="77777777" w:rsidTr="003B7E3C">
        <w:trPr>
          <w:trHeight w:val="1045"/>
        </w:trPr>
        <w:tc>
          <w:tcPr>
            <w:tcW w:w="2733" w:type="dxa"/>
            <w:tcBorders>
              <w:left w:val="single" w:sz="8" w:space="0" w:color="auto"/>
              <w:bottom w:val="single" w:sz="8" w:space="0" w:color="auto"/>
              <w:right w:val="single" w:sz="8" w:space="0" w:color="auto"/>
            </w:tcBorders>
            <w:vAlign w:val="center"/>
          </w:tcPr>
          <w:p w14:paraId="7EFFEC09" w14:textId="3B3801A8" w:rsidR="0021225A" w:rsidRPr="0010774A" w:rsidRDefault="0021225A" w:rsidP="00563A54">
            <w:pPr>
              <w:numPr>
                <w:ilvl w:val="0"/>
                <w:numId w:val="521"/>
              </w:numPr>
              <w:tabs>
                <w:tab w:val="left" w:pos="290"/>
              </w:tabs>
              <w:ind w:left="20"/>
              <w:rPr>
                <w:sz w:val="20"/>
                <w:szCs w:val="20"/>
              </w:rPr>
            </w:pPr>
            <w:r>
              <w:rPr>
                <w:rFonts w:eastAsia="Times New Roman"/>
                <w:sz w:val="18"/>
                <w:szCs w:val="18"/>
              </w:rPr>
              <w:t>Carbon tetrachloride</w:t>
            </w:r>
          </w:p>
        </w:tc>
        <w:tc>
          <w:tcPr>
            <w:tcW w:w="1357" w:type="dxa"/>
            <w:tcBorders>
              <w:top w:val="single" w:sz="8" w:space="0" w:color="auto"/>
              <w:bottom w:val="single" w:sz="8" w:space="0" w:color="auto"/>
              <w:right w:val="single" w:sz="8" w:space="0" w:color="auto"/>
            </w:tcBorders>
            <w:vAlign w:val="center"/>
          </w:tcPr>
          <w:p w14:paraId="3B0F18D8" w14:textId="6EA45149" w:rsidR="0021225A" w:rsidRDefault="0021225A" w:rsidP="003B7E3C">
            <w:pPr>
              <w:jc w:val="center"/>
              <w:rPr>
                <w:sz w:val="20"/>
                <w:szCs w:val="20"/>
              </w:rPr>
            </w:pPr>
            <w:r>
              <w:rPr>
                <w:rFonts w:eastAsia="Times New Roman"/>
                <w:sz w:val="18"/>
                <w:szCs w:val="18"/>
              </w:rPr>
              <w:t>Zero</w:t>
            </w:r>
          </w:p>
        </w:tc>
        <w:tc>
          <w:tcPr>
            <w:tcW w:w="2347" w:type="dxa"/>
            <w:tcBorders>
              <w:bottom w:val="single" w:sz="8" w:space="0" w:color="auto"/>
              <w:right w:val="single" w:sz="8" w:space="0" w:color="auto"/>
            </w:tcBorders>
            <w:vAlign w:val="center"/>
          </w:tcPr>
          <w:p w14:paraId="4D38EECF" w14:textId="30CF53C2" w:rsidR="0021225A" w:rsidRDefault="0021225A" w:rsidP="003B7E3C">
            <w:pPr>
              <w:jc w:val="center"/>
              <w:rPr>
                <w:sz w:val="20"/>
                <w:szCs w:val="20"/>
              </w:rPr>
            </w:pPr>
            <w:r>
              <w:rPr>
                <w:rFonts w:eastAsia="Times New Roman"/>
                <w:sz w:val="18"/>
                <w:szCs w:val="18"/>
              </w:rPr>
              <w:t>0.005</w:t>
            </w:r>
          </w:p>
        </w:tc>
        <w:tc>
          <w:tcPr>
            <w:tcW w:w="4046" w:type="dxa"/>
            <w:tcBorders>
              <w:bottom w:val="single" w:sz="8" w:space="0" w:color="auto"/>
              <w:right w:val="single" w:sz="8" w:space="0" w:color="auto"/>
            </w:tcBorders>
          </w:tcPr>
          <w:p w14:paraId="1C2E5AF6" w14:textId="511438A5" w:rsidR="0021225A" w:rsidRDefault="003B7E3C" w:rsidP="003B7E3C">
            <w:pPr>
              <w:spacing w:line="311" w:lineRule="auto"/>
              <w:ind w:left="86"/>
              <w:rPr>
                <w:sz w:val="20"/>
                <w:szCs w:val="20"/>
              </w:rPr>
            </w:pPr>
            <w:r>
              <w:rPr>
                <w:rFonts w:eastAsia="Times New Roman"/>
                <w:sz w:val="18"/>
                <w:szCs w:val="18"/>
              </w:rPr>
              <w:t>Some people who drink water containing carbon tetrachloride in excess of the MCL over many years could experience problems with their liver and may have an increased risk of getting cancer.</w:t>
            </w:r>
          </w:p>
        </w:tc>
      </w:tr>
      <w:tr w:rsidR="003B7E3C" w14:paraId="330AC26D" w14:textId="77777777" w:rsidTr="003B7E3C">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572E6116" w14:textId="258998A2" w:rsidR="003B7E3C" w:rsidRDefault="003B7E3C" w:rsidP="00563A54">
            <w:pPr>
              <w:numPr>
                <w:ilvl w:val="0"/>
                <w:numId w:val="521"/>
              </w:numPr>
              <w:tabs>
                <w:tab w:val="left" w:pos="290"/>
              </w:tabs>
              <w:ind w:left="20"/>
              <w:rPr>
                <w:sz w:val="20"/>
                <w:szCs w:val="20"/>
              </w:rPr>
            </w:pPr>
            <w:r>
              <w:rPr>
                <w:rFonts w:eastAsia="Times New Roman"/>
                <w:sz w:val="18"/>
                <w:szCs w:val="18"/>
              </w:rPr>
              <w:t>Chlorobenzene (monochlorobenzene)</w:t>
            </w:r>
          </w:p>
        </w:tc>
        <w:tc>
          <w:tcPr>
            <w:tcW w:w="1357" w:type="dxa"/>
            <w:tcBorders>
              <w:top w:val="single" w:sz="8" w:space="0" w:color="auto"/>
              <w:left w:val="single" w:sz="8" w:space="0" w:color="auto"/>
              <w:bottom w:val="single" w:sz="8" w:space="0" w:color="auto"/>
              <w:right w:val="single" w:sz="8" w:space="0" w:color="auto"/>
            </w:tcBorders>
            <w:vAlign w:val="center"/>
          </w:tcPr>
          <w:p w14:paraId="294F74D1" w14:textId="4CA407A9" w:rsidR="003B7E3C" w:rsidRDefault="003B7E3C" w:rsidP="003B7E3C">
            <w:pPr>
              <w:jc w:val="center"/>
              <w:rPr>
                <w:sz w:val="20"/>
                <w:szCs w:val="20"/>
              </w:rPr>
            </w:pPr>
            <w:r>
              <w:rPr>
                <w:rFonts w:eastAsia="Times New Roman"/>
                <w:sz w:val="18"/>
                <w:szCs w:val="18"/>
              </w:rPr>
              <w:t>0.1</w:t>
            </w:r>
          </w:p>
        </w:tc>
        <w:tc>
          <w:tcPr>
            <w:tcW w:w="2347" w:type="dxa"/>
            <w:tcBorders>
              <w:top w:val="single" w:sz="8" w:space="0" w:color="auto"/>
              <w:bottom w:val="single" w:sz="8" w:space="0" w:color="auto"/>
              <w:right w:val="single" w:sz="8" w:space="0" w:color="auto"/>
            </w:tcBorders>
            <w:vAlign w:val="center"/>
          </w:tcPr>
          <w:p w14:paraId="68413803" w14:textId="4BC6B53C" w:rsidR="003B7E3C" w:rsidRDefault="003B7E3C" w:rsidP="003B7E3C">
            <w:pPr>
              <w:jc w:val="center"/>
              <w:rPr>
                <w:sz w:val="20"/>
                <w:szCs w:val="20"/>
              </w:rPr>
            </w:pPr>
            <w:r>
              <w:rPr>
                <w:rFonts w:eastAsia="Times New Roman"/>
                <w:sz w:val="18"/>
                <w:szCs w:val="18"/>
              </w:rPr>
              <w:t>0.1</w:t>
            </w:r>
          </w:p>
        </w:tc>
        <w:tc>
          <w:tcPr>
            <w:tcW w:w="4046" w:type="dxa"/>
            <w:tcBorders>
              <w:top w:val="single" w:sz="8" w:space="0" w:color="auto"/>
              <w:bottom w:val="single" w:sz="8" w:space="0" w:color="auto"/>
              <w:right w:val="single" w:sz="8" w:space="0" w:color="auto"/>
            </w:tcBorders>
          </w:tcPr>
          <w:p w14:paraId="290EACDF" w14:textId="5E771161" w:rsidR="003B7E3C" w:rsidRPr="00E80B69" w:rsidRDefault="003B7E3C" w:rsidP="003B7E3C">
            <w:pPr>
              <w:spacing w:line="311" w:lineRule="auto"/>
              <w:ind w:left="86"/>
              <w:rPr>
                <w:rFonts w:eastAsia="Times New Roman"/>
                <w:sz w:val="18"/>
                <w:szCs w:val="18"/>
              </w:rPr>
            </w:pPr>
            <w:r>
              <w:rPr>
                <w:rFonts w:eastAsia="Times New Roman"/>
                <w:sz w:val="18"/>
                <w:szCs w:val="18"/>
              </w:rPr>
              <w:t>Some people who drink water containing chlorobenzene in excess of the MCL over many years could experience problems with their liver or kidneys.</w:t>
            </w:r>
          </w:p>
        </w:tc>
      </w:tr>
      <w:tr w:rsidR="003B7E3C" w14:paraId="628013DC" w14:textId="77777777" w:rsidTr="003B7E3C">
        <w:trPr>
          <w:trHeight w:val="1144"/>
        </w:trPr>
        <w:tc>
          <w:tcPr>
            <w:tcW w:w="2733" w:type="dxa"/>
            <w:tcBorders>
              <w:top w:val="single" w:sz="8" w:space="0" w:color="auto"/>
              <w:left w:val="single" w:sz="8" w:space="0" w:color="auto"/>
              <w:bottom w:val="single" w:sz="8" w:space="0" w:color="auto"/>
              <w:right w:val="single" w:sz="8" w:space="0" w:color="auto"/>
            </w:tcBorders>
            <w:vAlign w:val="center"/>
          </w:tcPr>
          <w:p w14:paraId="3ED19A27" w14:textId="608884C8" w:rsidR="003B7E3C" w:rsidRDefault="003B7E3C" w:rsidP="00563A54">
            <w:pPr>
              <w:numPr>
                <w:ilvl w:val="0"/>
                <w:numId w:val="521"/>
              </w:numPr>
              <w:tabs>
                <w:tab w:val="left" w:pos="290"/>
              </w:tabs>
              <w:ind w:left="20"/>
              <w:rPr>
                <w:sz w:val="20"/>
                <w:szCs w:val="20"/>
              </w:rPr>
            </w:pPr>
            <w:r>
              <w:rPr>
                <w:rFonts w:eastAsia="Times New Roman"/>
                <w:sz w:val="18"/>
                <w:szCs w:val="18"/>
              </w:rPr>
              <w:t>o-Dichlorobenzene</w:t>
            </w:r>
          </w:p>
        </w:tc>
        <w:tc>
          <w:tcPr>
            <w:tcW w:w="1357" w:type="dxa"/>
            <w:tcBorders>
              <w:top w:val="single" w:sz="8" w:space="0" w:color="auto"/>
              <w:left w:val="single" w:sz="8" w:space="0" w:color="auto"/>
              <w:bottom w:val="single" w:sz="8" w:space="0" w:color="auto"/>
              <w:right w:val="single" w:sz="8" w:space="0" w:color="auto"/>
            </w:tcBorders>
            <w:vAlign w:val="center"/>
          </w:tcPr>
          <w:p w14:paraId="0A1399BF" w14:textId="705AD674" w:rsidR="003B7E3C" w:rsidRDefault="003B7E3C" w:rsidP="003B7E3C">
            <w:pPr>
              <w:jc w:val="center"/>
              <w:rPr>
                <w:sz w:val="20"/>
                <w:szCs w:val="20"/>
              </w:rPr>
            </w:pPr>
            <w:r>
              <w:rPr>
                <w:rFonts w:eastAsia="Times New Roman"/>
                <w:sz w:val="18"/>
                <w:szCs w:val="18"/>
              </w:rPr>
              <w:t>0.6</w:t>
            </w:r>
          </w:p>
        </w:tc>
        <w:tc>
          <w:tcPr>
            <w:tcW w:w="2347" w:type="dxa"/>
            <w:tcBorders>
              <w:top w:val="single" w:sz="8" w:space="0" w:color="auto"/>
              <w:bottom w:val="single" w:sz="8" w:space="0" w:color="auto"/>
              <w:right w:val="single" w:sz="8" w:space="0" w:color="auto"/>
            </w:tcBorders>
            <w:vAlign w:val="center"/>
          </w:tcPr>
          <w:p w14:paraId="2CFDE41E" w14:textId="67E20C43" w:rsidR="003B7E3C" w:rsidRDefault="003B7E3C" w:rsidP="003B7E3C">
            <w:pPr>
              <w:jc w:val="center"/>
              <w:rPr>
                <w:sz w:val="20"/>
                <w:szCs w:val="20"/>
              </w:rPr>
            </w:pPr>
            <w:r>
              <w:rPr>
                <w:rFonts w:eastAsia="Times New Roman"/>
                <w:sz w:val="18"/>
                <w:szCs w:val="18"/>
              </w:rPr>
              <w:t>0.6</w:t>
            </w:r>
          </w:p>
        </w:tc>
        <w:tc>
          <w:tcPr>
            <w:tcW w:w="4046" w:type="dxa"/>
            <w:tcBorders>
              <w:top w:val="single" w:sz="8" w:space="0" w:color="auto"/>
              <w:bottom w:val="single" w:sz="8" w:space="0" w:color="auto"/>
              <w:right w:val="single" w:sz="8" w:space="0" w:color="auto"/>
            </w:tcBorders>
          </w:tcPr>
          <w:p w14:paraId="2325216D" w14:textId="2294EDA2" w:rsidR="003B7E3C" w:rsidRPr="00E80B69" w:rsidRDefault="003B7E3C" w:rsidP="003B7E3C">
            <w:pPr>
              <w:spacing w:line="311" w:lineRule="auto"/>
              <w:ind w:left="86"/>
              <w:rPr>
                <w:rFonts w:eastAsia="Times New Roman"/>
                <w:sz w:val="18"/>
                <w:szCs w:val="18"/>
              </w:rPr>
            </w:pPr>
            <w:r>
              <w:rPr>
                <w:rFonts w:eastAsia="Times New Roman"/>
                <w:sz w:val="18"/>
                <w:szCs w:val="18"/>
              </w:rPr>
              <w:t>Some people who drink water containing o-dichlorobenzene well in excess of the MCL over many years could experience problems with their liver, kidneys, or circulatory systems.</w:t>
            </w:r>
          </w:p>
        </w:tc>
      </w:tr>
      <w:tr w:rsidR="003B7E3C" w14:paraId="0FC19F62" w14:textId="77777777" w:rsidTr="003B7E3C">
        <w:trPr>
          <w:trHeight w:val="1072"/>
        </w:trPr>
        <w:tc>
          <w:tcPr>
            <w:tcW w:w="2733" w:type="dxa"/>
            <w:tcBorders>
              <w:top w:val="single" w:sz="8" w:space="0" w:color="auto"/>
              <w:left w:val="single" w:sz="8" w:space="0" w:color="auto"/>
              <w:bottom w:val="single" w:sz="8" w:space="0" w:color="auto"/>
              <w:right w:val="single" w:sz="8" w:space="0" w:color="auto"/>
            </w:tcBorders>
            <w:vAlign w:val="center"/>
          </w:tcPr>
          <w:p w14:paraId="6686C0C7" w14:textId="2FD9053B" w:rsidR="003B7E3C" w:rsidRDefault="003B7E3C" w:rsidP="00563A54">
            <w:pPr>
              <w:numPr>
                <w:ilvl w:val="0"/>
                <w:numId w:val="521"/>
              </w:numPr>
              <w:tabs>
                <w:tab w:val="left" w:pos="290"/>
              </w:tabs>
              <w:ind w:left="20"/>
              <w:rPr>
                <w:sz w:val="20"/>
                <w:szCs w:val="20"/>
              </w:rPr>
            </w:pPr>
            <w:r>
              <w:rPr>
                <w:rFonts w:eastAsia="Times New Roman"/>
                <w:sz w:val="18"/>
                <w:szCs w:val="18"/>
              </w:rPr>
              <w:t>p-Dichlorobenzene</w:t>
            </w:r>
          </w:p>
        </w:tc>
        <w:tc>
          <w:tcPr>
            <w:tcW w:w="1357" w:type="dxa"/>
            <w:tcBorders>
              <w:top w:val="single" w:sz="8" w:space="0" w:color="auto"/>
              <w:left w:val="single" w:sz="8" w:space="0" w:color="auto"/>
              <w:bottom w:val="single" w:sz="8" w:space="0" w:color="auto"/>
              <w:right w:val="single" w:sz="8" w:space="0" w:color="auto"/>
            </w:tcBorders>
            <w:vAlign w:val="center"/>
          </w:tcPr>
          <w:p w14:paraId="5A9E74AC" w14:textId="359CA1EB" w:rsidR="003B7E3C" w:rsidRDefault="003B7E3C" w:rsidP="003B7E3C">
            <w:pPr>
              <w:jc w:val="center"/>
              <w:rPr>
                <w:sz w:val="20"/>
                <w:szCs w:val="20"/>
              </w:rPr>
            </w:pPr>
            <w:r>
              <w:rPr>
                <w:rFonts w:eastAsia="Times New Roman"/>
                <w:sz w:val="18"/>
                <w:szCs w:val="18"/>
              </w:rPr>
              <w:t>0.0</w:t>
            </w:r>
            <w:r w:rsidR="003969C6">
              <w:rPr>
                <w:rFonts w:eastAsia="Times New Roman"/>
                <w:sz w:val="18"/>
                <w:szCs w:val="18"/>
              </w:rPr>
              <w:t>05</w:t>
            </w:r>
          </w:p>
        </w:tc>
        <w:tc>
          <w:tcPr>
            <w:tcW w:w="2347" w:type="dxa"/>
            <w:tcBorders>
              <w:top w:val="single" w:sz="8" w:space="0" w:color="auto"/>
              <w:bottom w:val="single" w:sz="8" w:space="0" w:color="auto"/>
              <w:right w:val="single" w:sz="8" w:space="0" w:color="auto"/>
            </w:tcBorders>
            <w:vAlign w:val="center"/>
          </w:tcPr>
          <w:p w14:paraId="0BEED749" w14:textId="2B2FE453" w:rsidR="003B7E3C" w:rsidRDefault="003B7E3C" w:rsidP="003B7E3C">
            <w:pPr>
              <w:jc w:val="center"/>
              <w:rPr>
                <w:sz w:val="20"/>
                <w:szCs w:val="20"/>
              </w:rPr>
            </w:pPr>
            <w:r>
              <w:rPr>
                <w:rFonts w:eastAsia="Times New Roman"/>
                <w:sz w:val="18"/>
                <w:szCs w:val="18"/>
              </w:rPr>
              <w:t>0.005</w:t>
            </w:r>
          </w:p>
        </w:tc>
        <w:tc>
          <w:tcPr>
            <w:tcW w:w="4046" w:type="dxa"/>
            <w:tcBorders>
              <w:top w:val="single" w:sz="8" w:space="0" w:color="auto"/>
              <w:bottom w:val="single" w:sz="8" w:space="0" w:color="auto"/>
              <w:right w:val="single" w:sz="8" w:space="0" w:color="auto"/>
            </w:tcBorders>
          </w:tcPr>
          <w:p w14:paraId="64C5B51A" w14:textId="2E89DD83" w:rsidR="003B7E3C" w:rsidRPr="00E80B69" w:rsidRDefault="003B7E3C" w:rsidP="003B7E3C">
            <w:pPr>
              <w:spacing w:line="311" w:lineRule="auto"/>
              <w:ind w:left="86"/>
              <w:rPr>
                <w:rFonts w:eastAsia="Times New Roman"/>
                <w:sz w:val="18"/>
                <w:szCs w:val="18"/>
              </w:rPr>
            </w:pPr>
            <w:r>
              <w:rPr>
                <w:rFonts w:eastAsia="Times New Roman"/>
                <w:sz w:val="18"/>
                <w:szCs w:val="18"/>
              </w:rPr>
              <w:t>Some people who drink water containing p-dichlorobenzene in excess of the MCL over many years could experience anemia, damage to their liver, kidneys, or spleen, or changes in their blood.</w:t>
            </w:r>
          </w:p>
        </w:tc>
      </w:tr>
      <w:tr w:rsidR="003B7E3C" w14:paraId="261CAAA2" w14:textId="77777777" w:rsidTr="003B7E3C">
        <w:trPr>
          <w:trHeight w:val="874"/>
        </w:trPr>
        <w:tc>
          <w:tcPr>
            <w:tcW w:w="2733" w:type="dxa"/>
            <w:tcBorders>
              <w:top w:val="single" w:sz="8" w:space="0" w:color="auto"/>
              <w:left w:val="single" w:sz="8" w:space="0" w:color="auto"/>
              <w:bottom w:val="single" w:sz="8" w:space="0" w:color="auto"/>
              <w:right w:val="single" w:sz="8" w:space="0" w:color="auto"/>
            </w:tcBorders>
            <w:vAlign w:val="center"/>
          </w:tcPr>
          <w:p w14:paraId="120C2C86" w14:textId="2C8E7540" w:rsidR="003B7E3C" w:rsidRDefault="003B7E3C" w:rsidP="00563A54">
            <w:pPr>
              <w:numPr>
                <w:ilvl w:val="0"/>
                <w:numId w:val="521"/>
              </w:numPr>
              <w:tabs>
                <w:tab w:val="left" w:pos="290"/>
              </w:tabs>
              <w:ind w:left="20"/>
              <w:rPr>
                <w:sz w:val="20"/>
                <w:szCs w:val="20"/>
              </w:rPr>
            </w:pPr>
            <w:r>
              <w:rPr>
                <w:rFonts w:eastAsia="Times New Roman"/>
                <w:w w:val="97"/>
                <w:sz w:val="18"/>
                <w:szCs w:val="18"/>
              </w:rPr>
              <w:t>1,2</w:t>
            </w:r>
            <w:r>
              <w:rPr>
                <w:rFonts w:eastAsia="Times New Roman"/>
                <w:sz w:val="18"/>
                <w:szCs w:val="18"/>
              </w:rPr>
              <w:t>-Dichloroethane</w:t>
            </w:r>
          </w:p>
        </w:tc>
        <w:tc>
          <w:tcPr>
            <w:tcW w:w="1357" w:type="dxa"/>
            <w:tcBorders>
              <w:top w:val="single" w:sz="8" w:space="0" w:color="auto"/>
              <w:left w:val="single" w:sz="8" w:space="0" w:color="auto"/>
              <w:bottom w:val="single" w:sz="8" w:space="0" w:color="auto"/>
              <w:right w:val="single" w:sz="8" w:space="0" w:color="auto"/>
            </w:tcBorders>
            <w:vAlign w:val="center"/>
          </w:tcPr>
          <w:p w14:paraId="7814D3D0" w14:textId="160910FE" w:rsidR="003B7E3C" w:rsidRDefault="003B7E3C" w:rsidP="003B7E3C">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520EC92C" w14:textId="74DD8C07" w:rsidR="003B7E3C" w:rsidRDefault="003B7E3C" w:rsidP="003B7E3C">
            <w:pPr>
              <w:jc w:val="center"/>
              <w:rPr>
                <w:sz w:val="20"/>
                <w:szCs w:val="20"/>
              </w:rPr>
            </w:pPr>
            <w:r>
              <w:rPr>
                <w:rFonts w:eastAsia="Times New Roman"/>
                <w:sz w:val="18"/>
                <w:szCs w:val="18"/>
              </w:rPr>
              <w:t>0.005</w:t>
            </w:r>
          </w:p>
        </w:tc>
        <w:tc>
          <w:tcPr>
            <w:tcW w:w="4046" w:type="dxa"/>
            <w:tcBorders>
              <w:top w:val="single" w:sz="8" w:space="0" w:color="auto"/>
              <w:bottom w:val="single" w:sz="8" w:space="0" w:color="auto"/>
              <w:right w:val="single" w:sz="8" w:space="0" w:color="auto"/>
            </w:tcBorders>
          </w:tcPr>
          <w:p w14:paraId="1C488B82" w14:textId="66457DF3" w:rsidR="003B7E3C" w:rsidRPr="007420E6" w:rsidRDefault="003B7E3C" w:rsidP="003B7E3C">
            <w:pPr>
              <w:spacing w:line="311" w:lineRule="auto"/>
              <w:ind w:left="86"/>
              <w:rPr>
                <w:rFonts w:eastAsia="Times New Roman"/>
                <w:sz w:val="18"/>
                <w:szCs w:val="18"/>
              </w:rPr>
            </w:pPr>
            <w:r>
              <w:rPr>
                <w:rFonts w:eastAsia="Times New Roman"/>
                <w:sz w:val="18"/>
                <w:szCs w:val="18"/>
              </w:rPr>
              <w:t>Some people who drink water containing 1,2-dichloroethane in excess of the MCL over many years may have an increased risk of getting cancer.</w:t>
            </w:r>
          </w:p>
        </w:tc>
      </w:tr>
      <w:tr w:rsidR="003B7E3C" w14:paraId="61703D7B" w14:textId="77777777" w:rsidTr="003B7E3C">
        <w:trPr>
          <w:trHeight w:val="802"/>
        </w:trPr>
        <w:tc>
          <w:tcPr>
            <w:tcW w:w="2733" w:type="dxa"/>
            <w:tcBorders>
              <w:top w:val="single" w:sz="8" w:space="0" w:color="auto"/>
              <w:left w:val="single" w:sz="8" w:space="0" w:color="auto"/>
              <w:bottom w:val="single" w:sz="8" w:space="0" w:color="auto"/>
              <w:right w:val="single" w:sz="8" w:space="0" w:color="auto"/>
            </w:tcBorders>
            <w:vAlign w:val="center"/>
          </w:tcPr>
          <w:p w14:paraId="34CAC95E" w14:textId="2470EF2A" w:rsidR="003B7E3C" w:rsidRDefault="003B7E3C" w:rsidP="00563A54">
            <w:pPr>
              <w:numPr>
                <w:ilvl w:val="0"/>
                <w:numId w:val="521"/>
              </w:numPr>
              <w:tabs>
                <w:tab w:val="left" w:pos="290"/>
              </w:tabs>
              <w:ind w:left="20"/>
              <w:rPr>
                <w:sz w:val="20"/>
                <w:szCs w:val="20"/>
              </w:rPr>
            </w:pPr>
            <w:r>
              <w:rPr>
                <w:rFonts w:eastAsia="Times New Roman"/>
                <w:w w:val="97"/>
                <w:sz w:val="18"/>
                <w:szCs w:val="18"/>
              </w:rPr>
              <w:t>1,1</w:t>
            </w:r>
            <w:r>
              <w:rPr>
                <w:rFonts w:eastAsia="Times New Roman"/>
                <w:sz w:val="18"/>
                <w:szCs w:val="18"/>
              </w:rPr>
              <w:t>-Dichloroethylene</w:t>
            </w:r>
          </w:p>
        </w:tc>
        <w:tc>
          <w:tcPr>
            <w:tcW w:w="1357" w:type="dxa"/>
            <w:tcBorders>
              <w:top w:val="single" w:sz="8" w:space="0" w:color="auto"/>
              <w:left w:val="single" w:sz="8" w:space="0" w:color="auto"/>
              <w:bottom w:val="single" w:sz="8" w:space="0" w:color="auto"/>
              <w:right w:val="single" w:sz="8" w:space="0" w:color="auto"/>
            </w:tcBorders>
            <w:vAlign w:val="center"/>
          </w:tcPr>
          <w:p w14:paraId="629BDDAF" w14:textId="54FC80DF" w:rsidR="003B7E3C" w:rsidRDefault="003B7E3C" w:rsidP="003B7E3C">
            <w:pPr>
              <w:jc w:val="center"/>
              <w:rPr>
                <w:sz w:val="20"/>
                <w:szCs w:val="20"/>
              </w:rPr>
            </w:pPr>
            <w:r>
              <w:rPr>
                <w:rFonts w:eastAsia="Times New Roman"/>
                <w:sz w:val="18"/>
                <w:szCs w:val="18"/>
              </w:rPr>
              <w:t>0.0</w:t>
            </w:r>
            <w:r w:rsidR="00BA7E89">
              <w:rPr>
                <w:rFonts w:eastAsia="Times New Roman"/>
                <w:sz w:val="18"/>
                <w:szCs w:val="18"/>
              </w:rPr>
              <w:t>07</w:t>
            </w:r>
          </w:p>
        </w:tc>
        <w:tc>
          <w:tcPr>
            <w:tcW w:w="2347" w:type="dxa"/>
            <w:tcBorders>
              <w:top w:val="single" w:sz="8" w:space="0" w:color="auto"/>
              <w:bottom w:val="single" w:sz="8" w:space="0" w:color="auto"/>
              <w:right w:val="single" w:sz="8" w:space="0" w:color="auto"/>
            </w:tcBorders>
            <w:vAlign w:val="center"/>
          </w:tcPr>
          <w:p w14:paraId="109467CE" w14:textId="606600CC" w:rsidR="003B7E3C" w:rsidRDefault="003B7E3C" w:rsidP="003B7E3C">
            <w:pPr>
              <w:jc w:val="center"/>
              <w:rPr>
                <w:sz w:val="20"/>
                <w:szCs w:val="20"/>
              </w:rPr>
            </w:pPr>
            <w:r>
              <w:rPr>
                <w:rFonts w:eastAsia="Times New Roman"/>
                <w:sz w:val="18"/>
                <w:szCs w:val="18"/>
              </w:rPr>
              <w:t>0.007</w:t>
            </w:r>
          </w:p>
        </w:tc>
        <w:tc>
          <w:tcPr>
            <w:tcW w:w="4046" w:type="dxa"/>
            <w:tcBorders>
              <w:top w:val="single" w:sz="8" w:space="0" w:color="auto"/>
              <w:bottom w:val="single" w:sz="8" w:space="0" w:color="auto"/>
              <w:right w:val="single" w:sz="8" w:space="0" w:color="auto"/>
            </w:tcBorders>
          </w:tcPr>
          <w:p w14:paraId="285F0C86" w14:textId="119A5D77" w:rsidR="003B7E3C" w:rsidRPr="00990800" w:rsidRDefault="003B7E3C" w:rsidP="003B7E3C">
            <w:pPr>
              <w:spacing w:line="311" w:lineRule="auto"/>
              <w:ind w:left="86"/>
              <w:rPr>
                <w:rFonts w:eastAsia="Times New Roman"/>
                <w:sz w:val="18"/>
                <w:szCs w:val="18"/>
              </w:rPr>
            </w:pPr>
            <w:r>
              <w:rPr>
                <w:rFonts w:eastAsia="Times New Roman"/>
                <w:sz w:val="18"/>
                <w:szCs w:val="18"/>
              </w:rPr>
              <w:t>Some people who drink water containing 1,1-dichloroethylene in excess of the MCL over many years could experience problems with their liver.</w:t>
            </w:r>
          </w:p>
        </w:tc>
      </w:tr>
      <w:tr w:rsidR="003B7E3C" w14:paraId="3EF4E428" w14:textId="77777777" w:rsidTr="003B7E3C">
        <w:trPr>
          <w:trHeight w:val="802"/>
        </w:trPr>
        <w:tc>
          <w:tcPr>
            <w:tcW w:w="2733" w:type="dxa"/>
            <w:tcBorders>
              <w:top w:val="single" w:sz="8" w:space="0" w:color="auto"/>
              <w:left w:val="single" w:sz="8" w:space="0" w:color="auto"/>
              <w:bottom w:val="single" w:sz="8" w:space="0" w:color="auto"/>
              <w:right w:val="single" w:sz="8" w:space="0" w:color="auto"/>
            </w:tcBorders>
            <w:vAlign w:val="center"/>
          </w:tcPr>
          <w:p w14:paraId="29F3787E" w14:textId="3F32757A" w:rsidR="003B7E3C" w:rsidRDefault="003B7E3C" w:rsidP="00563A54">
            <w:pPr>
              <w:numPr>
                <w:ilvl w:val="0"/>
                <w:numId w:val="521"/>
              </w:numPr>
              <w:tabs>
                <w:tab w:val="left" w:pos="290"/>
              </w:tabs>
              <w:ind w:left="20"/>
              <w:rPr>
                <w:sz w:val="20"/>
                <w:szCs w:val="20"/>
              </w:rPr>
            </w:pPr>
            <w:r>
              <w:rPr>
                <w:rFonts w:eastAsia="Times New Roman"/>
                <w:sz w:val="18"/>
                <w:szCs w:val="18"/>
              </w:rPr>
              <w:t>cis-1,2- Dichloroethylene</w:t>
            </w:r>
          </w:p>
        </w:tc>
        <w:tc>
          <w:tcPr>
            <w:tcW w:w="1357" w:type="dxa"/>
            <w:tcBorders>
              <w:top w:val="single" w:sz="8" w:space="0" w:color="auto"/>
              <w:left w:val="single" w:sz="8" w:space="0" w:color="auto"/>
              <w:bottom w:val="single" w:sz="8" w:space="0" w:color="auto"/>
              <w:right w:val="single" w:sz="8" w:space="0" w:color="auto"/>
            </w:tcBorders>
            <w:vAlign w:val="center"/>
          </w:tcPr>
          <w:p w14:paraId="7C624752" w14:textId="38661D55" w:rsidR="003B7E3C" w:rsidRDefault="003B7E3C" w:rsidP="003B7E3C">
            <w:pPr>
              <w:jc w:val="center"/>
              <w:rPr>
                <w:sz w:val="20"/>
                <w:szCs w:val="20"/>
              </w:rPr>
            </w:pPr>
            <w:r>
              <w:rPr>
                <w:rFonts w:eastAsia="Times New Roman"/>
                <w:sz w:val="18"/>
                <w:szCs w:val="18"/>
              </w:rPr>
              <w:t>0.07</w:t>
            </w:r>
          </w:p>
        </w:tc>
        <w:tc>
          <w:tcPr>
            <w:tcW w:w="2347" w:type="dxa"/>
            <w:tcBorders>
              <w:top w:val="single" w:sz="8" w:space="0" w:color="auto"/>
              <w:bottom w:val="single" w:sz="8" w:space="0" w:color="auto"/>
              <w:right w:val="single" w:sz="8" w:space="0" w:color="auto"/>
            </w:tcBorders>
            <w:vAlign w:val="center"/>
          </w:tcPr>
          <w:p w14:paraId="615714EA" w14:textId="40801AC6" w:rsidR="003B7E3C" w:rsidRDefault="003B7E3C" w:rsidP="003B7E3C">
            <w:pPr>
              <w:jc w:val="center"/>
              <w:rPr>
                <w:sz w:val="20"/>
                <w:szCs w:val="20"/>
              </w:rPr>
            </w:pPr>
            <w:r>
              <w:rPr>
                <w:rFonts w:eastAsia="Times New Roman"/>
                <w:sz w:val="18"/>
                <w:szCs w:val="18"/>
              </w:rPr>
              <w:t>0.07</w:t>
            </w:r>
          </w:p>
        </w:tc>
        <w:tc>
          <w:tcPr>
            <w:tcW w:w="4046" w:type="dxa"/>
            <w:tcBorders>
              <w:top w:val="single" w:sz="8" w:space="0" w:color="auto"/>
              <w:bottom w:val="single" w:sz="8" w:space="0" w:color="auto"/>
              <w:right w:val="single" w:sz="8" w:space="0" w:color="auto"/>
            </w:tcBorders>
          </w:tcPr>
          <w:p w14:paraId="64CA4639" w14:textId="776653E0" w:rsidR="003B7E3C" w:rsidRPr="001C3D0A" w:rsidRDefault="003B7E3C" w:rsidP="003B7E3C">
            <w:pPr>
              <w:spacing w:line="311" w:lineRule="auto"/>
              <w:ind w:left="86"/>
              <w:rPr>
                <w:rFonts w:eastAsia="Times New Roman"/>
                <w:sz w:val="18"/>
                <w:szCs w:val="18"/>
              </w:rPr>
            </w:pPr>
            <w:r>
              <w:rPr>
                <w:rFonts w:eastAsia="Times New Roman"/>
                <w:sz w:val="18"/>
                <w:szCs w:val="18"/>
              </w:rPr>
              <w:t>Some people who drink water containing</w:t>
            </w:r>
            <w:r w:rsidRPr="003B7E3C">
              <w:rPr>
                <w:rFonts w:eastAsia="Times New Roman"/>
                <w:sz w:val="18"/>
                <w:szCs w:val="18"/>
              </w:rPr>
              <w:t xml:space="preserve"> </w:t>
            </w:r>
            <w:r>
              <w:rPr>
                <w:rFonts w:eastAsia="Times New Roman"/>
                <w:sz w:val="18"/>
                <w:szCs w:val="18"/>
              </w:rPr>
              <w:t>cis-1,2-dichloroethylene in excess of the MCL over many years could experience problems with their liver.</w:t>
            </w:r>
          </w:p>
        </w:tc>
      </w:tr>
      <w:tr w:rsidR="003B7E3C" w14:paraId="0DA91BC8" w14:textId="77777777" w:rsidTr="003B7E3C">
        <w:trPr>
          <w:trHeight w:val="784"/>
        </w:trPr>
        <w:tc>
          <w:tcPr>
            <w:tcW w:w="2733" w:type="dxa"/>
            <w:tcBorders>
              <w:top w:val="single" w:sz="8" w:space="0" w:color="auto"/>
              <w:left w:val="single" w:sz="8" w:space="0" w:color="auto"/>
              <w:bottom w:val="single" w:sz="8" w:space="0" w:color="auto"/>
              <w:right w:val="single" w:sz="8" w:space="0" w:color="auto"/>
            </w:tcBorders>
            <w:vAlign w:val="center"/>
          </w:tcPr>
          <w:p w14:paraId="53E19824" w14:textId="77ACE74D" w:rsidR="003B7E3C" w:rsidRDefault="003B7E3C" w:rsidP="00563A54">
            <w:pPr>
              <w:numPr>
                <w:ilvl w:val="0"/>
                <w:numId w:val="521"/>
              </w:numPr>
              <w:tabs>
                <w:tab w:val="left" w:pos="290"/>
              </w:tabs>
              <w:ind w:left="20"/>
              <w:rPr>
                <w:sz w:val="20"/>
                <w:szCs w:val="20"/>
              </w:rPr>
            </w:pPr>
            <w:r>
              <w:rPr>
                <w:rFonts w:eastAsia="Times New Roman"/>
                <w:sz w:val="18"/>
                <w:szCs w:val="18"/>
              </w:rPr>
              <w:t>trans-1,2- Dichloroethylene</w:t>
            </w:r>
          </w:p>
        </w:tc>
        <w:tc>
          <w:tcPr>
            <w:tcW w:w="1357" w:type="dxa"/>
            <w:tcBorders>
              <w:top w:val="single" w:sz="8" w:space="0" w:color="auto"/>
              <w:left w:val="single" w:sz="8" w:space="0" w:color="auto"/>
              <w:bottom w:val="single" w:sz="8" w:space="0" w:color="auto"/>
              <w:right w:val="single" w:sz="8" w:space="0" w:color="auto"/>
            </w:tcBorders>
            <w:vAlign w:val="center"/>
          </w:tcPr>
          <w:p w14:paraId="10966D1B" w14:textId="257B5FAB" w:rsidR="003B7E3C" w:rsidRDefault="003B7E3C" w:rsidP="003B7E3C">
            <w:pPr>
              <w:jc w:val="center"/>
              <w:rPr>
                <w:sz w:val="20"/>
                <w:szCs w:val="20"/>
              </w:rPr>
            </w:pPr>
            <w:r>
              <w:rPr>
                <w:rFonts w:eastAsia="Times New Roman"/>
                <w:sz w:val="18"/>
                <w:szCs w:val="18"/>
              </w:rPr>
              <w:t>0.1</w:t>
            </w:r>
          </w:p>
        </w:tc>
        <w:tc>
          <w:tcPr>
            <w:tcW w:w="2347" w:type="dxa"/>
            <w:tcBorders>
              <w:top w:val="single" w:sz="8" w:space="0" w:color="auto"/>
              <w:bottom w:val="single" w:sz="8" w:space="0" w:color="auto"/>
              <w:right w:val="single" w:sz="8" w:space="0" w:color="auto"/>
            </w:tcBorders>
            <w:vAlign w:val="center"/>
          </w:tcPr>
          <w:p w14:paraId="75E457FB" w14:textId="0911E01E" w:rsidR="003B7E3C" w:rsidRDefault="003B7E3C" w:rsidP="003B7E3C">
            <w:pPr>
              <w:spacing w:line="265" w:lineRule="exact"/>
              <w:jc w:val="center"/>
              <w:rPr>
                <w:sz w:val="20"/>
                <w:szCs w:val="20"/>
              </w:rPr>
            </w:pPr>
            <w:r>
              <w:rPr>
                <w:rFonts w:eastAsia="Times New Roman"/>
                <w:sz w:val="18"/>
                <w:szCs w:val="18"/>
              </w:rPr>
              <w:t>0.1</w:t>
            </w:r>
          </w:p>
        </w:tc>
        <w:tc>
          <w:tcPr>
            <w:tcW w:w="4046" w:type="dxa"/>
            <w:tcBorders>
              <w:top w:val="single" w:sz="8" w:space="0" w:color="auto"/>
              <w:bottom w:val="single" w:sz="8" w:space="0" w:color="auto"/>
              <w:right w:val="single" w:sz="8" w:space="0" w:color="auto"/>
            </w:tcBorders>
          </w:tcPr>
          <w:p w14:paraId="54103AB5" w14:textId="47816BA9" w:rsidR="003B7E3C" w:rsidRPr="0028463E" w:rsidRDefault="003B7E3C" w:rsidP="003B7E3C">
            <w:pPr>
              <w:spacing w:line="311" w:lineRule="auto"/>
              <w:ind w:left="86"/>
              <w:rPr>
                <w:rFonts w:eastAsia="Times New Roman"/>
                <w:sz w:val="18"/>
                <w:szCs w:val="18"/>
              </w:rPr>
            </w:pPr>
            <w:r>
              <w:rPr>
                <w:rFonts w:eastAsia="Times New Roman"/>
                <w:sz w:val="18"/>
                <w:szCs w:val="18"/>
              </w:rPr>
              <w:t>Some people who drink water containing trans-1,2-dichloroethylene well in excess of the MCL over many years could experience problems with their liver.</w:t>
            </w:r>
          </w:p>
        </w:tc>
      </w:tr>
      <w:tr w:rsidR="003B7E3C" w14:paraId="36F7C484" w14:textId="77777777" w:rsidTr="003B7E3C">
        <w:trPr>
          <w:trHeight w:val="766"/>
        </w:trPr>
        <w:tc>
          <w:tcPr>
            <w:tcW w:w="2733" w:type="dxa"/>
            <w:tcBorders>
              <w:top w:val="single" w:sz="8" w:space="0" w:color="auto"/>
              <w:left w:val="single" w:sz="8" w:space="0" w:color="auto"/>
              <w:bottom w:val="single" w:sz="8" w:space="0" w:color="auto"/>
              <w:right w:val="single" w:sz="8" w:space="0" w:color="auto"/>
            </w:tcBorders>
            <w:vAlign w:val="center"/>
          </w:tcPr>
          <w:p w14:paraId="2B9B7BF5" w14:textId="2C600789" w:rsidR="003B7E3C" w:rsidRDefault="003B7E3C" w:rsidP="00563A54">
            <w:pPr>
              <w:numPr>
                <w:ilvl w:val="0"/>
                <w:numId w:val="521"/>
              </w:numPr>
              <w:tabs>
                <w:tab w:val="left" w:pos="290"/>
              </w:tabs>
              <w:ind w:left="20"/>
              <w:rPr>
                <w:sz w:val="23"/>
                <w:szCs w:val="23"/>
              </w:rPr>
            </w:pPr>
            <w:r>
              <w:rPr>
                <w:rFonts w:eastAsia="Times New Roman"/>
                <w:sz w:val="18"/>
                <w:szCs w:val="18"/>
              </w:rPr>
              <w:t>Dichloromethane</w:t>
            </w:r>
          </w:p>
        </w:tc>
        <w:tc>
          <w:tcPr>
            <w:tcW w:w="1357" w:type="dxa"/>
            <w:tcBorders>
              <w:top w:val="single" w:sz="8" w:space="0" w:color="auto"/>
              <w:left w:val="single" w:sz="8" w:space="0" w:color="auto"/>
              <w:bottom w:val="single" w:sz="8" w:space="0" w:color="auto"/>
              <w:right w:val="single" w:sz="8" w:space="0" w:color="auto"/>
            </w:tcBorders>
            <w:vAlign w:val="center"/>
          </w:tcPr>
          <w:p w14:paraId="06EF379B" w14:textId="7B0DE69C" w:rsidR="003B7E3C" w:rsidRDefault="003B7E3C" w:rsidP="003B7E3C">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2234E15E" w14:textId="5F54F8B0" w:rsidR="003B7E3C" w:rsidRDefault="003B7E3C" w:rsidP="003B7E3C">
            <w:pPr>
              <w:jc w:val="center"/>
              <w:rPr>
                <w:sz w:val="20"/>
                <w:szCs w:val="20"/>
              </w:rPr>
            </w:pPr>
            <w:r>
              <w:rPr>
                <w:rFonts w:eastAsia="Times New Roman"/>
                <w:sz w:val="18"/>
                <w:szCs w:val="18"/>
              </w:rPr>
              <w:t>0.005</w:t>
            </w:r>
          </w:p>
        </w:tc>
        <w:tc>
          <w:tcPr>
            <w:tcW w:w="4046" w:type="dxa"/>
            <w:tcBorders>
              <w:top w:val="single" w:sz="8" w:space="0" w:color="auto"/>
              <w:bottom w:val="single" w:sz="8" w:space="0" w:color="auto"/>
              <w:right w:val="single" w:sz="8" w:space="0" w:color="auto"/>
            </w:tcBorders>
          </w:tcPr>
          <w:p w14:paraId="61B6A57E" w14:textId="793A1DB1" w:rsidR="003B7E3C" w:rsidRPr="00236A0E" w:rsidRDefault="003B7E3C" w:rsidP="003B7E3C">
            <w:pPr>
              <w:spacing w:line="311" w:lineRule="auto"/>
              <w:ind w:left="86"/>
              <w:rPr>
                <w:rFonts w:eastAsia="Times New Roman"/>
                <w:sz w:val="18"/>
                <w:szCs w:val="18"/>
              </w:rPr>
            </w:pPr>
            <w:r>
              <w:rPr>
                <w:rFonts w:eastAsia="Times New Roman"/>
                <w:sz w:val="18"/>
                <w:szCs w:val="18"/>
              </w:rPr>
              <w:t>Some people who drink water containing dichloromethane in excess of the MCL over many years could have liver problems and may have an increased risk of getting cancer.</w:t>
            </w:r>
          </w:p>
        </w:tc>
      </w:tr>
      <w:tr w:rsidR="003B7E3C" w14:paraId="0A8D6D83" w14:textId="77777777" w:rsidTr="003B7E3C">
        <w:trPr>
          <w:trHeight w:val="856"/>
        </w:trPr>
        <w:tc>
          <w:tcPr>
            <w:tcW w:w="2733" w:type="dxa"/>
            <w:tcBorders>
              <w:top w:val="single" w:sz="8" w:space="0" w:color="auto"/>
              <w:left w:val="single" w:sz="8" w:space="0" w:color="auto"/>
              <w:bottom w:val="single" w:sz="8" w:space="0" w:color="auto"/>
              <w:right w:val="single" w:sz="8" w:space="0" w:color="auto"/>
            </w:tcBorders>
            <w:vAlign w:val="center"/>
          </w:tcPr>
          <w:p w14:paraId="5A3ACB73" w14:textId="24CF79F8" w:rsidR="003B7E3C" w:rsidRDefault="003B7E3C" w:rsidP="00563A54">
            <w:pPr>
              <w:numPr>
                <w:ilvl w:val="0"/>
                <w:numId w:val="521"/>
              </w:numPr>
              <w:tabs>
                <w:tab w:val="left" w:pos="290"/>
              </w:tabs>
              <w:ind w:left="20"/>
              <w:rPr>
                <w:rFonts w:eastAsia="Times New Roman"/>
                <w:sz w:val="18"/>
                <w:szCs w:val="18"/>
              </w:rPr>
            </w:pPr>
            <w:r>
              <w:rPr>
                <w:rFonts w:eastAsia="Times New Roman"/>
                <w:w w:val="97"/>
                <w:sz w:val="18"/>
                <w:szCs w:val="18"/>
              </w:rPr>
              <w:t>1,2</w:t>
            </w:r>
            <w:r>
              <w:rPr>
                <w:rFonts w:eastAsia="Times New Roman"/>
                <w:sz w:val="18"/>
                <w:szCs w:val="18"/>
              </w:rPr>
              <w:t>-Dichloropropane</w:t>
            </w:r>
          </w:p>
        </w:tc>
        <w:tc>
          <w:tcPr>
            <w:tcW w:w="1357" w:type="dxa"/>
            <w:tcBorders>
              <w:top w:val="single" w:sz="8" w:space="0" w:color="auto"/>
              <w:left w:val="single" w:sz="8" w:space="0" w:color="auto"/>
              <w:bottom w:val="single" w:sz="8" w:space="0" w:color="auto"/>
              <w:right w:val="single" w:sz="8" w:space="0" w:color="auto"/>
            </w:tcBorders>
            <w:vAlign w:val="center"/>
          </w:tcPr>
          <w:p w14:paraId="1C9BF044" w14:textId="5EB14696" w:rsidR="003B7E3C" w:rsidRDefault="003B7E3C" w:rsidP="003B7E3C">
            <w:pPr>
              <w:jc w:val="center"/>
              <w:rPr>
                <w:rFonts w:eastAsia="Times New Roman"/>
                <w:sz w:val="18"/>
                <w:szCs w:val="18"/>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255D335A" w14:textId="51EDDB35" w:rsidR="003B7E3C" w:rsidRDefault="003B7E3C" w:rsidP="003B7E3C">
            <w:pPr>
              <w:jc w:val="center"/>
              <w:rPr>
                <w:rFonts w:eastAsia="Times New Roman"/>
                <w:sz w:val="18"/>
                <w:szCs w:val="18"/>
              </w:rPr>
            </w:pPr>
            <w:r>
              <w:rPr>
                <w:rFonts w:eastAsia="Times New Roman"/>
                <w:sz w:val="18"/>
                <w:szCs w:val="18"/>
              </w:rPr>
              <w:t>0.005</w:t>
            </w:r>
          </w:p>
        </w:tc>
        <w:tc>
          <w:tcPr>
            <w:tcW w:w="4046" w:type="dxa"/>
            <w:tcBorders>
              <w:top w:val="single" w:sz="8" w:space="0" w:color="auto"/>
              <w:bottom w:val="single" w:sz="8" w:space="0" w:color="auto"/>
              <w:right w:val="single" w:sz="8" w:space="0" w:color="auto"/>
            </w:tcBorders>
          </w:tcPr>
          <w:p w14:paraId="0387C496" w14:textId="7AAEFF41" w:rsidR="003B7E3C" w:rsidRDefault="003B7E3C" w:rsidP="003B7E3C">
            <w:pPr>
              <w:spacing w:line="311" w:lineRule="auto"/>
              <w:ind w:left="86"/>
              <w:rPr>
                <w:rFonts w:eastAsia="Times New Roman"/>
                <w:sz w:val="18"/>
                <w:szCs w:val="18"/>
              </w:rPr>
            </w:pPr>
            <w:r>
              <w:rPr>
                <w:rFonts w:eastAsia="Times New Roman"/>
                <w:sz w:val="18"/>
                <w:szCs w:val="18"/>
              </w:rPr>
              <w:t>Some people who drink water containing 1,2-dichloropropane in excess of the MCL over many years may have an increased risk of getting cancer.</w:t>
            </w:r>
          </w:p>
        </w:tc>
      </w:tr>
      <w:tr w:rsidR="003B7E3C" w14:paraId="008C7116" w14:textId="77777777" w:rsidTr="003B7E3C">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6EAEE4D9" w14:textId="3757730B" w:rsidR="003B7E3C" w:rsidRDefault="003B7E3C" w:rsidP="00563A54">
            <w:pPr>
              <w:numPr>
                <w:ilvl w:val="0"/>
                <w:numId w:val="521"/>
              </w:numPr>
              <w:tabs>
                <w:tab w:val="left" w:pos="290"/>
              </w:tabs>
              <w:ind w:left="20"/>
              <w:rPr>
                <w:rFonts w:eastAsia="Times New Roman"/>
                <w:sz w:val="18"/>
                <w:szCs w:val="18"/>
              </w:rPr>
            </w:pPr>
            <w:r>
              <w:rPr>
                <w:rFonts w:eastAsia="Times New Roman"/>
                <w:sz w:val="18"/>
                <w:szCs w:val="18"/>
              </w:rPr>
              <w:t>Ethylbenzene</w:t>
            </w:r>
          </w:p>
        </w:tc>
        <w:tc>
          <w:tcPr>
            <w:tcW w:w="1357" w:type="dxa"/>
            <w:tcBorders>
              <w:top w:val="single" w:sz="8" w:space="0" w:color="auto"/>
              <w:left w:val="single" w:sz="8" w:space="0" w:color="auto"/>
              <w:bottom w:val="single" w:sz="8" w:space="0" w:color="auto"/>
              <w:right w:val="single" w:sz="8" w:space="0" w:color="auto"/>
            </w:tcBorders>
            <w:vAlign w:val="center"/>
          </w:tcPr>
          <w:p w14:paraId="468E43C1" w14:textId="30E5500D" w:rsidR="003B7E3C" w:rsidRDefault="003B7E3C" w:rsidP="003B7E3C">
            <w:pPr>
              <w:jc w:val="center"/>
              <w:rPr>
                <w:rFonts w:eastAsia="Times New Roman"/>
                <w:sz w:val="18"/>
                <w:szCs w:val="18"/>
              </w:rPr>
            </w:pPr>
            <w:r>
              <w:rPr>
                <w:rFonts w:eastAsia="Times New Roman"/>
                <w:sz w:val="18"/>
                <w:szCs w:val="18"/>
              </w:rPr>
              <w:t>0.7</w:t>
            </w:r>
          </w:p>
        </w:tc>
        <w:tc>
          <w:tcPr>
            <w:tcW w:w="2347" w:type="dxa"/>
            <w:tcBorders>
              <w:top w:val="single" w:sz="8" w:space="0" w:color="auto"/>
              <w:bottom w:val="single" w:sz="8" w:space="0" w:color="auto"/>
              <w:right w:val="single" w:sz="8" w:space="0" w:color="auto"/>
            </w:tcBorders>
            <w:vAlign w:val="center"/>
          </w:tcPr>
          <w:p w14:paraId="5ACA24BE" w14:textId="683CE181" w:rsidR="003B7E3C" w:rsidRDefault="003B7E3C" w:rsidP="003B7E3C">
            <w:pPr>
              <w:jc w:val="center"/>
              <w:rPr>
                <w:rFonts w:eastAsia="Times New Roman"/>
                <w:sz w:val="18"/>
                <w:szCs w:val="18"/>
              </w:rPr>
            </w:pPr>
            <w:r>
              <w:rPr>
                <w:rFonts w:eastAsia="Times New Roman"/>
                <w:sz w:val="18"/>
                <w:szCs w:val="18"/>
              </w:rPr>
              <w:t>0.7</w:t>
            </w:r>
          </w:p>
        </w:tc>
        <w:tc>
          <w:tcPr>
            <w:tcW w:w="4046" w:type="dxa"/>
            <w:tcBorders>
              <w:top w:val="single" w:sz="8" w:space="0" w:color="auto"/>
              <w:bottom w:val="single" w:sz="8" w:space="0" w:color="auto"/>
              <w:right w:val="single" w:sz="8" w:space="0" w:color="auto"/>
            </w:tcBorders>
          </w:tcPr>
          <w:p w14:paraId="17F080DE" w14:textId="058D2DED" w:rsidR="003B7E3C" w:rsidRDefault="003B7E3C" w:rsidP="003B7E3C">
            <w:pPr>
              <w:spacing w:line="311" w:lineRule="auto"/>
              <w:ind w:left="86"/>
              <w:rPr>
                <w:rFonts w:eastAsia="Times New Roman"/>
                <w:sz w:val="18"/>
                <w:szCs w:val="18"/>
              </w:rPr>
            </w:pPr>
            <w:r>
              <w:rPr>
                <w:rFonts w:eastAsia="Times New Roman"/>
                <w:sz w:val="18"/>
                <w:szCs w:val="18"/>
              </w:rPr>
              <w:t>Some people who drink water containing ethylbenzene well in excess of the MCL over many years could experience problems with their liver or kidneys.</w:t>
            </w:r>
          </w:p>
        </w:tc>
      </w:tr>
      <w:tr w:rsidR="003B7E3C" w14:paraId="570927B4" w14:textId="77777777" w:rsidTr="003B7E3C">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26DB0175" w14:textId="11FA03ED" w:rsidR="003B7E3C" w:rsidRDefault="003B7E3C" w:rsidP="00563A54">
            <w:pPr>
              <w:numPr>
                <w:ilvl w:val="0"/>
                <w:numId w:val="521"/>
              </w:numPr>
              <w:tabs>
                <w:tab w:val="left" w:pos="290"/>
              </w:tabs>
              <w:ind w:left="20"/>
              <w:rPr>
                <w:rFonts w:eastAsia="Times New Roman"/>
                <w:sz w:val="18"/>
                <w:szCs w:val="18"/>
              </w:rPr>
            </w:pPr>
            <w:r>
              <w:rPr>
                <w:rFonts w:eastAsia="Times New Roman"/>
                <w:sz w:val="18"/>
                <w:szCs w:val="18"/>
              </w:rPr>
              <w:t>Styrene</w:t>
            </w:r>
          </w:p>
        </w:tc>
        <w:tc>
          <w:tcPr>
            <w:tcW w:w="1357" w:type="dxa"/>
            <w:tcBorders>
              <w:top w:val="single" w:sz="8" w:space="0" w:color="auto"/>
              <w:left w:val="single" w:sz="8" w:space="0" w:color="auto"/>
              <w:bottom w:val="single" w:sz="8" w:space="0" w:color="auto"/>
              <w:right w:val="single" w:sz="8" w:space="0" w:color="auto"/>
            </w:tcBorders>
            <w:vAlign w:val="center"/>
          </w:tcPr>
          <w:p w14:paraId="3AD39C47" w14:textId="3F756521" w:rsidR="003B7E3C" w:rsidRDefault="003B7E3C" w:rsidP="003B7E3C">
            <w:pPr>
              <w:jc w:val="center"/>
              <w:rPr>
                <w:rFonts w:eastAsia="Times New Roman"/>
                <w:sz w:val="18"/>
                <w:szCs w:val="18"/>
              </w:rPr>
            </w:pPr>
            <w:r>
              <w:rPr>
                <w:rFonts w:eastAsia="Times New Roman"/>
                <w:sz w:val="18"/>
                <w:szCs w:val="18"/>
              </w:rPr>
              <w:t>0.1</w:t>
            </w:r>
          </w:p>
        </w:tc>
        <w:tc>
          <w:tcPr>
            <w:tcW w:w="2347" w:type="dxa"/>
            <w:tcBorders>
              <w:top w:val="single" w:sz="8" w:space="0" w:color="auto"/>
              <w:bottom w:val="single" w:sz="8" w:space="0" w:color="auto"/>
              <w:right w:val="single" w:sz="8" w:space="0" w:color="auto"/>
            </w:tcBorders>
            <w:vAlign w:val="center"/>
          </w:tcPr>
          <w:p w14:paraId="631F2CAA" w14:textId="15B56826" w:rsidR="003B7E3C" w:rsidRDefault="003B7E3C" w:rsidP="003B7E3C">
            <w:pPr>
              <w:jc w:val="center"/>
              <w:rPr>
                <w:rFonts w:eastAsia="Times New Roman"/>
                <w:sz w:val="18"/>
                <w:szCs w:val="18"/>
              </w:rPr>
            </w:pPr>
            <w:r>
              <w:rPr>
                <w:rFonts w:eastAsia="Times New Roman"/>
                <w:sz w:val="18"/>
                <w:szCs w:val="18"/>
              </w:rPr>
              <w:t>0.1</w:t>
            </w:r>
          </w:p>
        </w:tc>
        <w:tc>
          <w:tcPr>
            <w:tcW w:w="4046" w:type="dxa"/>
            <w:tcBorders>
              <w:top w:val="single" w:sz="8" w:space="0" w:color="auto"/>
              <w:bottom w:val="single" w:sz="8" w:space="0" w:color="auto"/>
              <w:right w:val="single" w:sz="8" w:space="0" w:color="auto"/>
            </w:tcBorders>
          </w:tcPr>
          <w:p w14:paraId="3E016840" w14:textId="23123517" w:rsidR="003B7E3C" w:rsidRDefault="003B7E3C" w:rsidP="003B7E3C">
            <w:pPr>
              <w:spacing w:line="311" w:lineRule="auto"/>
              <w:ind w:left="86"/>
              <w:rPr>
                <w:rFonts w:eastAsia="Times New Roman"/>
                <w:sz w:val="18"/>
                <w:szCs w:val="18"/>
              </w:rPr>
            </w:pPr>
            <w:r>
              <w:rPr>
                <w:rFonts w:eastAsia="Times New Roman"/>
                <w:sz w:val="18"/>
                <w:szCs w:val="18"/>
              </w:rPr>
              <w:t>Some people who drink water containing styrene well in excess of the MCL over many years could have problems with their liver, kidneys, or circulatory system.</w:t>
            </w:r>
          </w:p>
        </w:tc>
      </w:tr>
    </w:tbl>
    <w:p w14:paraId="281A1DB7" w14:textId="77777777" w:rsidR="004647B9" w:rsidRDefault="004647B9" w:rsidP="005A5D4B">
      <w:pPr>
        <w:sectPr w:rsidR="004647B9" w:rsidSect="00EF630C">
          <w:pgSz w:w="12240" w:h="20180"/>
          <w:pgMar w:top="708" w:right="1160" w:bottom="1440" w:left="600" w:header="0" w:footer="0" w:gutter="0"/>
          <w:cols w:space="720"/>
        </w:sectPr>
      </w:pPr>
    </w:p>
    <w:p w14:paraId="281A1E6C" w14:textId="60628774" w:rsidR="004647B9" w:rsidRDefault="004647B9" w:rsidP="00805ACA">
      <w:pPr>
        <w:rPr>
          <w:sz w:val="20"/>
          <w:szCs w:val="20"/>
        </w:rPr>
      </w:pPr>
    </w:p>
    <w:p w14:paraId="281A1E6D" w14:textId="77777777" w:rsidR="004647B9" w:rsidRDefault="004647B9" w:rsidP="00805ACA">
      <w:pPr>
        <w:sectPr w:rsidR="004647B9" w:rsidSect="00EF630C">
          <w:type w:val="continuous"/>
          <w:pgSz w:w="12240" w:h="20180"/>
          <w:pgMar w:top="708" w:right="1160" w:bottom="1440" w:left="600" w:header="0" w:footer="0" w:gutter="0"/>
          <w:cols w:space="720"/>
        </w:sectPr>
      </w:pPr>
    </w:p>
    <w:p w14:paraId="281A1E6E" w14:textId="77777777" w:rsidR="004647B9" w:rsidRDefault="00E2436F">
      <w:pPr>
        <w:tabs>
          <w:tab w:val="left" w:pos="2860"/>
        </w:tabs>
        <w:ind w:left="1680"/>
        <w:rPr>
          <w:sz w:val="20"/>
          <w:szCs w:val="20"/>
        </w:rPr>
      </w:pPr>
      <w:bookmarkStart w:id="204" w:name="page206"/>
      <w:bookmarkEnd w:id="20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E6F" w14:textId="77777777" w:rsidR="004647B9" w:rsidRDefault="004647B9" w:rsidP="00400995">
      <w:pPr>
        <w:rPr>
          <w:sz w:val="20"/>
          <w:szCs w:val="20"/>
        </w:rPr>
      </w:pPr>
    </w:p>
    <w:p w14:paraId="281A1E70" w14:textId="77777777" w:rsidR="004647B9" w:rsidRDefault="004647B9" w:rsidP="00400995">
      <w:pPr>
        <w:rPr>
          <w:sz w:val="20"/>
          <w:szCs w:val="20"/>
        </w:rPr>
      </w:pPr>
    </w:p>
    <w:p w14:paraId="281A1E71" w14:textId="77777777" w:rsidR="004647B9" w:rsidRPr="00400995" w:rsidRDefault="00E2436F" w:rsidP="00400995">
      <w:pPr>
        <w:tabs>
          <w:tab w:val="left" w:pos="760"/>
        </w:tabs>
        <w:rPr>
          <w:sz w:val="24"/>
          <w:szCs w:val="24"/>
        </w:rPr>
      </w:pPr>
      <w:r w:rsidRPr="00400995">
        <w:rPr>
          <w:rFonts w:eastAsia="Times New Roman"/>
          <w:sz w:val="24"/>
          <w:szCs w:val="24"/>
        </w:rPr>
        <w:t>22.16:</w:t>
      </w:r>
      <w:r w:rsidRPr="00400995">
        <w:rPr>
          <w:rFonts w:eastAsia="Times New Roman"/>
          <w:sz w:val="24"/>
          <w:szCs w:val="24"/>
        </w:rPr>
        <w:tab/>
        <w:t>continued</w:t>
      </w:r>
    </w:p>
    <w:p w14:paraId="281A1E72" w14:textId="08AAF9AF" w:rsidR="004647B9" w:rsidRDefault="004647B9" w:rsidP="00400995">
      <w:pPr>
        <w:rPr>
          <w:sz w:val="20"/>
          <w:szCs w:val="20"/>
        </w:rPr>
      </w:pPr>
    </w:p>
    <w:tbl>
      <w:tblPr>
        <w:tblW w:w="10483" w:type="dxa"/>
        <w:tblInd w:w="50" w:type="dxa"/>
        <w:tblLayout w:type="fixed"/>
        <w:tblCellMar>
          <w:left w:w="0" w:type="dxa"/>
          <w:right w:w="0" w:type="dxa"/>
        </w:tblCellMar>
        <w:tblLook w:val="04A0" w:firstRow="1" w:lastRow="0" w:firstColumn="1" w:lastColumn="0" w:noHBand="0" w:noVBand="1"/>
      </w:tblPr>
      <w:tblGrid>
        <w:gridCol w:w="2733"/>
        <w:gridCol w:w="1357"/>
        <w:gridCol w:w="2347"/>
        <w:gridCol w:w="4046"/>
      </w:tblGrid>
      <w:tr w:rsidR="00A10C98" w14:paraId="00771ADD" w14:textId="77777777" w:rsidTr="00DF6443">
        <w:trPr>
          <w:trHeight w:val="271"/>
        </w:trPr>
        <w:tc>
          <w:tcPr>
            <w:tcW w:w="2733" w:type="dxa"/>
            <w:tcBorders>
              <w:top w:val="single" w:sz="8" w:space="0" w:color="auto"/>
              <w:left w:val="single" w:sz="8" w:space="0" w:color="auto"/>
              <w:bottom w:val="single" w:sz="8" w:space="0" w:color="auto"/>
              <w:right w:val="single" w:sz="8" w:space="0" w:color="auto"/>
            </w:tcBorders>
            <w:vAlign w:val="center"/>
          </w:tcPr>
          <w:p w14:paraId="092051EE" w14:textId="77777777" w:rsidR="00A10C98" w:rsidRDefault="00A10C98" w:rsidP="00DF6443">
            <w:pPr>
              <w:ind w:left="43"/>
              <w:rPr>
                <w:sz w:val="23"/>
                <w:szCs w:val="23"/>
              </w:rPr>
            </w:pPr>
            <w:r>
              <w:rPr>
                <w:rFonts w:eastAsia="Times New Roman"/>
                <w:sz w:val="18"/>
                <w:szCs w:val="18"/>
              </w:rPr>
              <w:t>Contaminant</w:t>
            </w:r>
          </w:p>
        </w:tc>
        <w:tc>
          <w:tcPr>
            <w:tcW w:w="1357" w:type="dxa"/>
            <w:tcBorders>
              <w:top w:val="single" w:sz="8" w:space="0" w:color="auto"/>
              <w:left w:val="single" w:sz="8" w:space="0" w:color="auto"/>
              <w:bottom w:val="single" w:sz="8" w:space="0" w:color="auto"/>
              <w:right w:val="single" w:sz="8" w:space="0" w:color="auto"/>
            </w:tcBorders>
            <w:vAlign w:val="center"/>
          </w:tcPr>
          <w:p w14:paraId="37F3DFD8" w14:textId="77777777" w:rsidR="00A10C98" w:rsidRDefault="00A10C98"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7" w:type="dxa"/>
            <w:tcBorders>
              <w:top w:val="single" w:sz="8" w:space="0" w:color="auto"/>
              <w:left w:val="single" w:sz="8" w:space="0" w:color="auto"/>
              <w:bottom w:val="single" w:sz="8" w:space="0" w:color="auto"/>
              <w:right w:val="single" w:sz="8" w:space="0" w:color="auto"/>
            </w:tcBorders>
            <w:vAlign w:val="center"/>
          </w:tcPr>
          <w:p w14:paraId="21DF26C8" w14:textId="77777777" w:rsidR="00A10C98" w:rsidRDefault="00A10C98"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6" w:type="dxa"/>
            <w:tcBorders>
              <w:top w:val="single" w:sz="8" w:space="0" w:color="auto"/>
              <w:bottom w:val="single" w:sz="8" w:space="0" w:color="auto"/>
              <w:right w:val="single" w:sz="8" w:space="0" w:color="auto"/>
            </w:tcBorders>
            <w:vAlign w:val="center"/>
          </w:tcPr>
          <w:p w14:paraId="08DF7ACF" w14:textId="77777777" w:rsidR="00A10C98" w:rsidRPr="005A4D34" w:rsidRDefault="00A10C98" w:rsidP="00DF6443">
            <w:pPr>
              <w:ind w:left="40"/>
              <w:rPr>
                <w:sz w:val="18"/>
                <w:szCs w:val="18"/>
              </w:rPr>
            </w:pPr>
            <w:r w:rsidRPr="005A4D34">
              <w:rPr>
                <w:sz w:val="18"/>
                <w:szCs w:val="18"/>
              </w:rPr>
              <w:t>Standard health effects language for public notification</w:t>
            </w:r>
          </w:p>
        </w:tc>
      </w:tr>
      <w:tr w:rsidR="00A10C98" w14:paraId="79AA0016" w14:textId="77777777" w:rsidTr="00DF6443">
        <w:trPr>
          <w:trHeight w:val="286"/>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744E4495" w14:textId="77777777" w:rsidR="00A10C98" w:rsidRDefault="00A10C98" w:rsidP="00DF6443">
            <w:pPr>
              <w:ind w:left="43"/>
              <w:rPr>
                <w:sz w:val="20"/>
                <w:szCs w:val="20"/>
              </w:rPr>
            </w:pPr>
            <w:r>
              <w:rPr>
                <w:rFonts w:eastAsia="Times New Roman"/>
                <w:sz w:val="18"/>
                <w:szCs w:val="18"/>
              </w:rPr>
              <w:t>National Primary Drinking Water Regulations (NPDWR) and Massachusetts Drinking Water Regulations:</w:t>
            </w:r>
          </w:p>
        </w:tc>
      </w:tr>
      <w:tr w:rsidR="00A10C98" w14:paraId="222F64B0" w14:textId="77777777" w:rsidTr="005E79D9">
        <w:trPr>
          <w:trHeight w:val="254"/>
        </w:trPr>
        <w:tc>
          <w:tcPr>
            <w:tcW w:w="2733" w:type="dxa"/>
            <w:tcBorders>
              <w:left w:val="single" w:sz="8" w:space="0" w:color="auto"/>
              <w:bottom w:val="single" w:sz="8" w:space="0" w:color="auto"/>
              <w:right w:val="single" w:sz="8" w:space="0" w:color="auto"/>
            </w:tcBorders>
            <w:vAlign w:val="center"/>
          </w:tcPr>
          <w:p w14:paraId="40EB53E1" w14:textId="7AEAC54A" w:rsidR="00A10C98" w:rsidRDefault="00A10C98" w:rsidP="00563A54">
            <w:pPr>
              <w:numPr>
                <w:ilvl w:val="0"/>
                <w:numId w:val="521"/>
              </w:numPr>
              <w:tabs>
                <w:tab w:val="left" w:pos="290"/>
              </w:tabs>
              <w:ind w:left="20"/>
            </w:pPr>
            <w:r>
              <w:rPr>
                <w:rFonts w:eastAsia="Times New Roman"/>
                <w:sz w:val="18"/>
                <w:szCs w:val="18"/>
              </w:rPr>
              <w:t>Tetrachloroethylene</w:t>
            </w:r>
          </w:p>
        </w:tc>
        <w:tc>
          <w:tcPr>
            <w:tcW w:w="1357" w:type="dxa"/>
            <w:tcBorders>
              <w:bottom w:val="single" w:sz="8" w:space="0" w:color="auto"/>
              <w:right w:val="single" w:sz="8" w:space="0" w:color="auto"/>
            </w:tcBorders>
            <w:vAlign w:val="center"/>
          </w:tcPr>
          <w:p w14:paraId="1EFDBDD3" w14:textId="18D11A96" w:rsidR="00A10C98" w:rsidRDefault="00A10C98" w:rsidP="005E79D9">
            <w:pPr>
              <w:jc w:val="center"/>
              <w:rPr>
                <w:rFonts w:eastAsia="Times New Roman"/>
                <w:sz w:val="18"/>
                <w:szCs w:val="18"/>
              </w:rPr>
            </w:pPr>
            <w:r>
              <w:rPr>
                <w:rFonts w:eastAsia="Times New Roman"/>
                <w:sz w:val="18"/>
                <w:szCs w:val="18"/>
              </w:rPr>
              <w:t>Zero</w:t>
            </w:r>
          </w:p>
        </w:tc>
        <w:tc>
          <w:tcPr>
            <w:tcW w:w="2347" w:type="dxa"/>
            <w:tcBorders>
              <w:bottom w:val="single" w:sz="8" w:space="0" w:color="auto"/>
              <w:right w:val="single" w:sz="8" w:space="0" w:color="auto"/>
            </w:tcBorders>
            <w:vAlign w:val="center"/>
          </w:tcPr>
          <w:p w14:paraId="07680E63" w14:textId="1CD2D44C" w:rsidR="00A10C98" w:rsidRDefault="00A10C98" w:rsidP="005E79D9">
            <w:pPr>
              <w:jc w:val="center"/>
              <w:rPr>
                <w:rFonts w:eastAsia="Times New Roman"/>
                <w:sz w:val="18"/>
                <w:szCs w:val="18"/>
              </w:rPr>
            </w:pPr>
            <w:r>
              <w:rPr>
                <w:rFonts w:eastAsia="Times New Roman"/>
                <w:sz w:val="18"/>
                <w:szCs w:val="18"/>
              </w:rPr>
              <w:t>0.005</w:t>
            </w:r>
          </w:p>
        </w:tc>
        <w:tc>
          <w:tcPr>
            <w:tcW w:w="4046" w:type="dxa"/>
            <w:tcBorders>
              <w:bottom w:val="single" w:sz="8" w:space="0" w:color="auto"/>
              <w:right w:val="single" w:sz="8" w:space="0" w:color="auto"/>
            </w:tcBorders>
          </w:tcPr>
          <w:p w14:paraId="3DFCB16C" w14:textId="75D8D5C8" w:rsidR="00A10C98" w:rsidRDefault="00A10C98" w:rsidP="00DF6443">
            <w:pPr>
              <w:spacing w:line="311" w:lineRule="auto"/>
              <w:ind w:left="86"/>
              <w:rPr>
                <w:rFonts w:eastAsia="Times New Roman"/>
                <w:sz w:val="18"/>
                <w:szCs w:val="18"/>
              </w:rPr>
            </w:pPr>
            <w:r>
              <w:rPr>
                <w:rFonts w:eastAsia="Times New Roman"/>
                <w:sz w:val="18"/>
                <w:szCs w:val="18"/>
              </w:rPr>
              <w:t>Some people who drink water containing tetrachloroethylene in excess of the MCL over many years could have problems with their liver, and may have an increased risk of getting cancer.</w:t>
            </w:r>
          </w:p>
        </w:tc>
      </w:tr>
      <w:tr w:rsidR="00A10C98" w14:paraId="40338F5A" w14:textId="77777777" w:rsidTr="005E79D9">
        <w:trPr>
          <w:trHeight w:val="1045"/>
        </w:trPr>
        <w:tc>
          <w:tcPr>
            <w:tcW w:w="2733" w:type="dxa"/>
            <w:tcBorders>
              <w:left w:val="single" w:sz="8" w:space="0" w:color="auto"/>
              <w:bottom w:val="single" w:sz="8" w:space="0" w:color="auto"/>
              <w:right w:val="single" w:sz="8" w:space="0" w:color="auto"/>
            </w:tcBorders>
            <w:vAlign w:val="center"/>
          </w:tcPr>
          <w:p w14:paraId="0F366F5C" w14:textId="146ECF91" w:rsidR="00A10C98" w:rsidRPr="0010774A" w:rsidRDefault="00A10C98" w:rsidP="00563A54">
            <w:pPr>
              <w:numPr>
                <w:ilvl w:val="0"/>
                <w:numId w:val="521"/>
              </w:numPr>
              <w:tabs>
                <w:tab w:val="left" w:pos="290"/>
              </w:tabs>
              <w:ind w:left="20"/>
              <w:rPr>
                <w:sz w:val="20"/>
                <w:szCs w:val="20"/>
              </w:rPr>
            </w:pPr>
            <w:r>
              <w:rPr>
                <w:rFonts w:eastAsia="Times New Roman"/>
                <w:sz w:val="18"/>
                <w:szCs w:val="18"/>
              </w:rPr>
              <w:t>Toluene</w:t>
            </w:r>
          </w:p>
        </w:tc>
        <w:tc>
          <w:tcPr>
            <w:tcW w:w="1357" w:type="dxa"/>
            <w:tcBorders>
              <w:top w:val="single" w:sz="8" w:space="0" w:color="auto"/>
              <w:bottom w:val="single" w:sz="8" w:space="0" w:color="auto"/>
              <w:right w:val="single" w:sz="8" w:space="0" w:color="auto"/>
            </w:tcBorders>
            <w:vAlign w:val="center"/>
          </w:tcPr>
          <w:p w14:paraId="365AD179" w14:textId="7A1DA053" w:rsidR="00A10C98" w:rsidRDefault="00A10C98" w:rsidP="005E79D9">
            <w:pPr>
              <w:jc w:val="center"/>
              <w:rPr>
                <w:sz w:val="20"/>
                <w:szCs w:val="20"/>
              </w:rPr>
            </w:pPr>
            <w:r>
              <w:rPr>
                <w:rFonts w:eastAsia="Times New Roman"/>
                <w:sz w:val="18"/>
                <w:szCs w:val="18"/>
              </w:rPr>
              <w:t>1</w:t>
            </w:r>
          </w:p>
        </w:tc>
        <w:tc>
          <w:tcPr>
            <w:tcW w:w="2347" w:type="dxa"/>
            <w:tcBorders>
              <w:bottom w:val="single" w:sz="8" w:space="0" w:color="auto"/>
              <w:right w:val="single" w:sz="8" w:space="0" w:color="auto"/>
            </w:tcBorders>
            <w:vAlign w:val="center"/>
          </w:tcPr>
          <w:p w14:paraId="5522D982" w14:textId="5D9C8843" w:rsidR="00A10C98" w:rsidRDefault="00A10C98" w:rsidP="005E79D9">
            <w:pPr>
              <w:jc w:val="center"/>
              <w:rPr>
                <w:sz w:val="20"/>
                <w:szCs w:val="20"/>
              </w:rPr>
            </w:pPr>
            <w:r>
              <w:rPr>
                <w:rFonts w:eastAsia="Times New Roman"/>
                <w:sz w:val="18"/>
                <w:szCs w:val="18"/>
              </w:rPr>
              <w:t>1</w:t>
            </w:r>
          </w:p>
        </w:tc>
        <w:tc>
          <w:tcPr>
            <w:tcW w:w="4046" w:type="dxa"/>
            <w:tcBorders>
              <w:bottom w:val="single" w:sz="8" w:space="0" w:color="auto"/>
              <w:right w:val="single" w:sz="8" w:space="0" w:color="auto"/>
            </w:tcBorders>
          </w:tcPr>
          <w:p w14:paraId="34FF462A" w14:textId="43AF01BC" w:rsidR="00A10C98" w:rsidRPr="005E79D9" w:rsidRDefault="00A10C98" w:rsidP="005E79D9">
            <w:pPr>
              <w:spacing w:line="311" w:lineRule="auto"/>
              <w:ind w:left="86"/>
              <w:rPr>
                <w:rFonts w:eastAsia="Times New Roman"/>
                <w:sz w:val="18"/>
                <w:szCs w:val="18"/>
              </w:rPr>
            </w:pPr>
            <w:r>
              <w:rPr>
                <w:rFonts w:eastAsia="Times New Roman"/>
                <w:sz w:val="18"/>
                <w:szCs w:val="18"/>
              </w:rPr>
              <w:t>Some people who drink water containing toluene well in excess of the MCL over many years could</w:t>
            </w:r>
            <w:r w:rsidR="00B17644">
              <w:rPr>
                <w:rFonts w:eastAsia="Times New Roman"/>
                <w:sz w:val="18"/>
                <w:szCs w:val="18"/>
              </w:rPr>
              <w:t xml:space="preserve"> </w:t>
            </w:r>
            <w:r>
              <w:rPr>
                <w:rFonts w:eastAsia="Times New Roman"/>
                <w:sz w:val="18"/>
                <w:szCs w:val="18"/>
              </w:rPr>
              <w:t>have problems with their nervous system, kidneys,</w:t>
            </w:r>
            <w:r w:rsidR="00B17644">
              <w:rPr>
                <w:rFonts w:eastAsia="Times New Roman"/>
                <w:sz w:val="18"/>
                <w:szCs w:val="18"/>
              </w:rPr>
              <w:t xml:space="preserve"> </w:t>
            </w:r>
            <w:r>
              <w:rPr>
                <w:rFonts w:eastAsia="Times New Roman"/>
                <w:sz w:val="18"/>
                <w:szCs w:val="18"/>
              </w:rPr>
              <w:t>or liver.</w:t>
            </w:r>
          </w:p>
        </w:tc>
      </w:tr>
      <w:tr w:rsidR="00B17644" w14:paraId="5D266DD3" w14:textId="77777777" w:rsidTr="005E79D9">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150F3E39" w14:textId="582683CB" w:rsidR="00B17644" w:rsidRDefault="00B17644" w:rsidP="00563A54">
            <w:pPr>
              <w:numPr>
                <w:ilvl w:val="0"/>
                <w:numId w:val="521"/>
              </w:numPr>
              <w:tabs>
                <w:tab w:val="left" w:pos="290"/>
              </w:tabs>
              <w:ind w:left="20"/>
              <w:rPr>
                <w:sz w:val="20"/>
                <w:szCs w:val="20"/>
              </w:rPr>
            </w:pPr>
            <w:r>
              <w:rPr>
                <w:rFonts w:eastAsia="Times New Roman"/>
                <w:sz w:val="18"/>
                <w:szCs w:val="18"/>
              </w:rPr>
              <w:t>1,2,4-Trichlorobenzene</w:t>
            </w:r>
          </w:p>
        </w:tc>
        <w:tc>
          <w:tcPr>
            <w:tcW w:w="1357" w:type="dxa"/>
            <w:tcBorders>
              <w:top w:val="single" w:sz="8" w:space="0" w:color="auto"/>
              <w:left w:val="single" w:sz="8" w:space="0" w:color="auto"/>
              <w:bottom w:val="single" w:sz="8" w:space="0" w:color="auto"/>
              <w:right w:val="single" w:sz="8" w:space="0" w:color="auto"/>
            </w:tcBorders>
            <w:vAlign w:val="center"/>
          </w:tcPr>
          <w:p w14:paraId="04D2D1F9" w14:textId="589AD504" w:rsidR="00B17644" w:rsidRDefault="00B17644" w:rsidP="005E79D9">
            <w:pPr>
              <w:jc w:val="center"/>
              <w:rPr>
                <w:sz w:val="20"/>
                <w:szCs w:val="20"/>
              </w:rPr>
            </w:pPr>
            <w:r>
              <w:rPr>
                <w:rFonts w:eastAsia="Times New Roman"/>
                <w:sz w:val="18"/>
                <w:szCs w:val="18"/>
              </w:rPr>
              <w:t>0.07</w:t>
            </w:r>
          </w:p>
        </w:tc>
        <w:tc>
          <w:tcPr>
            <w:tcW w:w="2347" w:type="dxa"/>
            <w:tcBorders>
              <w:top w:val="single" w:sz="8" w:space="0" w:color="auto"/>
              <w:bottom w:val="single" w:sz="8" w:space="0" w:color="auto"/>
              <w:right w:val="single" w:sz="8" w:space="0" w:color="auto"/>
            </w:tcBorders>
            <w:vAlign w:val="center"/>
          </w:tcPr>
          <w:p w14:paraId="26CDF8F4" w14:textId="46EAE53A" w:rsidR="00B17644" w:rsidRDefault="00B17644" w:rsidP="005E79D9">
            <w:pPr>
              <w:jc w:val="center"/>
              <w:rPr>
                <w:sz w:val="20"/>
                <w:szCs w:val="20"/>
              </w:rPr>
            </w:pPr>
            <w:r>
              <w:rPr>
                <w:rFonts w:eastAsia="Times New Roman"/>
                <w:sz w:val="18"/>
                <w:szCs w:val="18"/>
              </w:rPr>
              <w:t>0.07</w:t>
            </w:r>
          </w:p>
        </w:tc>
        <w:tc>
          <w:tcPr>
            <w:tcW w:w="4046" w:type="dxa"/>
            <w:tcBorders>
              <w:top w:val="single" w:sz="8" w:space="0" w:color="auto"/>
              <w:bottom w:val="single" w:sz="8" w:space="0" w:color="auto"/>
              <w:right w:val="single" w:sz="8" w:space="0" w:color="auto"/>
            </w:tcBorders>
          </w:tcPr>
          <w:p w14:paraId="46D464A8" w14:textId="7D57C188" w:rsidR="00B17644" w:rsidRPr="00E80B69" w:rsidRDefault="00B17644" w:rsidP="005E79D9">
            <w:pPr>
              <w:spacing w:line="311" w:lineRule="auto"/>
              <w:ind w:left="86"/>
              <w:rPr>
                <w:rFonts w:eastAsia="Times New Roman"/>
                <w:sz w:val="18"/>
                <w:szCs w:val="18"/>
              </w:rPr>
            </w:pPr>
            <w:r>
              <w:rPr>
                <w:rFonts w:eastAsia="Times New Roman"/>
                <w:sz w:val="18"/>
                <w:szCs w:val="18"/>
              </w:rPr>
              <w:t>Some people who drink water containing 1,2,4-trichlorobenzene well in excess of the MCL over many years could experience changes in their adrenal glands.</w:t>
            </w:r>
          </w:p>
        </w:tc>
      </w:tr>
      <w:tr w:rsidR="00B17644" w14:paraId="343ED8A8" w14:textId="77777777" w:rsidTr="005E79D9">
        <w:trPr>
          <w:trHeight w:val="1144"/>
        </w:trPr>
        <w:tc>
          <w:tcPr>
            <w:tcW w:w="2733" w:type="dxa"/>
            <w:tcBorders>
              <w:top w:val="single" w:sz="8" w:space="0" w:color="auto"/>
              <w:left w:val="single" w:sz="8" w:space="0" w:color="auto"/>
              <w:bottom w:val="single" w:sz="8" w:space="0" w:color="auto"/>
              <w:right w:val="single" w:sz="8" w:space="0" w:color="auto"/>
            </w:tcBorders>
            <w:vAlign w:val="center"/>
          </w:tcPr>
          <w:p w14:paraId="26502DF7" w14:textId="04F65261" w:rsidR="00B17644" w:rsidRDefault="00B17644" w:rsidP="00563A54">
            <w:pPr>
              <w:numPr>
                <w:ilvl w:val="0"/>
                <w:numId w:val="521"/>
              </w:numPr>
              <w:tabs>
                <w:tab w:val="left" w:pos="290"/>
              </w:tabs>
              <w:ind w:left="20"/>
              <w:rPr>
                <w:sz w:val="20"/>
                <w:szCs w:val="20"/>
              </w:rPr>
            </w:pPr>
            <w:r>
              <w:rPr>
                <w:rFonts w:eastAsia="Times New Roman"/>
                <w:sz w:val="18"/>
                <w:szCs w:val="18"/>
              </w:rPr>
              <w:t>1,1,1-Trichloroethane</w:t>
            </w:r>
          </w:p>
        </w:tc>
        <w:tc>
          <w:tcPr>
            <w:tcW w:w="1357" w:type="dxa"/>
            <w:tcBorders>
              <w:top w:val="single" w:sz="8" w:space="0" w:color="auto"/>
              <w:left w:val="single" w:sz="8" w:space="0" w:color="auto"/>
              <w:bottom w:val="single" w:sz="8" w:space="0" w:color="auto"/>
              <w:right w:val="single" w:sz="8" w:space="0" w:color="auto"/>
            </w:tcBorders>
            <w:vAlign w:val="center"/>
          </w:tcPr>
          <w:p w14:paraId="6D002F4D" w14:textId="78C2F45A" w:rsidR="00B17644" w:rsidRDefault="00B17644" w:rsidP="005E79D9">
            <w:pPr>
              <w:jc w:val="center"/>
              <w:rPr>
                <w:sz w:val="20"/>
                <w:szCs w:val="20"/>
              </w:rPr>
            </w:pPr>
            <w:r>
              <w:rPr>
                <w:rFonts w:eastAsia="Times New Roman"/>
                <w:sz w:val="18"/>
                <w:szCs w:val="18"/>
              </w:rPr>
              <w:t>0.2</w:t>
            </w:r>
          </w:p>
        </w:tc>
        <w:tc>
          <w:tcPr>
            <w:tcW w:w="2347" w:type="dxa"/>
            <w:tcBorders>
              <w:top w:val="single" w:sz="8" w:space="0" w:color="auto"/>
              <w:bottom w:val="single" w:sz="8" w:space="0" w:color="auto"/>
              <w:right w:val="single" w:sz="8" w:space="0" w:color="auto"/>
            </w:tcBorders>
            <w:vAlign w:val="center"/>
          </w:tcPr>
          <w:p w14:paraId="3B237D42" w14:textId="6A252BD6" w:rsidR="00B17644" w:rsidRDefault="00B17644" w:rsidP="005E79D9">
            <w:pPr>
              <w:jc w:val="center"/>
              <w:rPr>
                <w:sz w:val="20"/>
                <w:szCs w:val="20"/>
              </w:rPr>
            </w:pPr>
            <w:r>
              <w:rPr>
                <w:rFonts w:eastAsia="Times New Roman"/>
                <w:sz w:val="18"/>
                <w:szCs w:val="18"/>
              </w:rPr>
              <w:t>0.2</w:t>
            </w:r>
          </w:p>
        </w:tc>
        <w:tc>
          <w:tcPr>
            <w:tcW w:w="4046" w:type="dxa"/>
            <w:tcBorders>
              <w:top w:val="single" w:sz="8" w:space="0" w:color="auto"/>
              <w:bottom w:val="single" w:sz="8" w:space="0" w:color="auto"/>
              <w:right w:val="single" w:sz="8" w:space="0" w:color="auto"/>
            </w:tcBorders>
          </w:tcPr>
          <w:p w14:paraId="5B891030" w14:textId="0BF2DD4F" w:rsidR="00B17644" w:rsidRPr="00E80B69" w:rsidRDefault="00B17644" w:rsidP="005E79D9">
            <w:pPr>
              <w:spacing w:line="311" w:lineRule="auto"/>
              <w:ind w:left="86"/>
              <w:rPr>
                <w:rFonts w:eastAsia="Times New Roman"/>
                <w:sz w:val="18"/>
                <w:szCs w:val="18"/>
              </w:rPr>
            </w:pPr>
            <w:r>
              <w:rPr>
                <w:rFonts w:eastAsia="Times New Roman"/>
                <w:sz w:val="18"/>
                <w:szCs w:val="18"/>
              </w:rPr>
              <w:t>Some people who drink water containing 1,1,1-trichloroethane in excess of the MCL over many years could experience problems with their liver, nervous system, or circulatory system.</w:t>
            </w:r>
          </w:p>
        </w:tc>
      </w:tr>
      <w:tr w:rsidR="00B17644" w14:paraId="0FDBF403" w14:textId="77777777" w:rsidTr="005E79D9">
        <w:trPr>
          <w:trHeight w:val="1072"/>
        </w:trPr>
        <w:tc>
          <w:tcPr>
            <w:tcW w:w="2733" w:type="dxa"/>
            <w:tcBorders>
              <w:top w:val="single" w:sz="8" w:space="0" w:color="auto"/>
              <w:left w:val="single" w:sz="8" w:space="0" w:color="auto"/>
              <w:bottom w:val="single" w:sz="8" w:space="0" w:color="auto"/>
              <w:right w:val="single" w:sz="8" w:space="0" w:color="auto"/>
            </w:tcBorders>
            <w:vAlign w:val="center"/>
          </w:tcPr>
          <w:p w14:paraId="6A0A68FD" w14:textId="46170B7E" w:rsidR="00B17644" w:rsidRDefault="00B17644" w:rsidP="00563A54">
            <w:pPr>
              <w:numPr>
                <w:ilvl w:val="0"/>
                <w:numId w:val="521"/>
              </w:numPr>
              <w:tabs>
                <w:tab w:val="left" w:pos="290"/>
              </w:tabs>
              <w:ind w:left="20"/>
              <w:rPr>
                <w:sz w:val="20"/>
                <w:szCs w:val="20"/>
              </w:rPr>
            </w:pPr>
            <w:r>
              <w:rPr>
                <w:rFonts w:eastAsia="Times New Roman"/>
                <w:sz w:val="18"/>
                <w:szCs w:val="18"/>
              </w:rPr>
              <w:t>1,1,2-Trichloroethane</w:t>
            </w:r>
          </w:p>
        </w:tc>
        <w:tc>
          <w:tcPr>
            <w:tcW w:w="1357" w:type="dxa"/>
            <w:tcBorders>
              <w:top w:val="single" w:sz="8" w:space="0" w:color="auto"/>
              <w:left w:val="single" w:sz="8" w:space="0" w:color="auto"/>
              <w:bottom w:val="single" w:sz="8" w:space="0" w:color="auto"/>
              <w:right w:val="single" w:sz="8" w:space="0" w:color="auto"/>
            </w:tcBorders>
            <w:vAlign w:val="center"/>
          </w:tcPr>
          <w:p w14:paraId="2C6AA873" w14:textId="2949B9E1" w:rsidR="00B17644" w:rsidRDefault="00B17644" w:rsidP="005E79D9">
            <w:pPr>
              <w:jc w:val="center"/>
              <w:rPr>
                <w:sz w:val="20"/>
                <w:szCs w:val="20"/>
              </w:rPr>
            </w:pPr>
            <w:r>
              <w:rPr>
                <w:rFonts w:eastAsia="Times New Roman"/>
                <w:sz w:val="18"/>
                <w:szCs w:val="18"/>
              </w:rPr>
              <w:t>0</w:t>
            </w:r>
            <w:r w:rsidR="0079791F">
              <w:rPr>
                <w:rFonts w:eastAsia="Times New Roman"/>
                <w:sz w:val="18"/>
                <w:szCs w:val="18"/>
              </w:rPr>
              <w:t>.003</w:t>
            </w:r>
          </w:p>
        </w:tc>
        <w:tc>
          <w:tcPr>
            <w:tcW w:w="2347" w:type="dxa"/>
            <w:tcBorders>
              <w:top w:val="single" w:sz="8" w:space="0" w:color="auto"/>
              <w:bottom w:val="single" w:sz="8" w:space="0" w:color="auto"/>
              <w:right w:val="single" w:sz="8" w:space="0" w:color="auto"/>
            </w:tcBorders>
            <w:vAlign w:val="center"/>
          </w:tcPr>
          <w:p w14:paraId="12CD04E5" w14:textId="6AE6333D" w:rsidR="00B17644" w:rsidRDefault="00B17644" w:rsidP="005E79D9">
            <w:pPr>
              <w:jc w:val="center"/>
              <w:rPr>
                <w:sz w:val="20"/>
                <w:szCs w:val="20"/>
              </w:rPr>
            </w:pPr>
            <w:r>
              <w:rPr>
                <w:rFonts w:eastAsia="Times New Roman"/>
                <w:sz w:val="18"/>
                <w:szCs w:val="18"/>
              </w:rPr>
              <w:t>0.005</w:t>
            </w:r>
          </w:p>
        </w:tc>
        <w:tc>
          <w:tcPr>
            <w:tcW w:w="4046" w:type="dxa"/>
            <w:tcBorders>
              <w:top w:val="single" w:sz="8" w:space="0" w:color="auto"/>
              <w:bottom w:val="single" w:sz="8" w:space="0" w:color="auto"/>
              <w:right w:val="single" w:sz="8" w:space="0" w:color="auto"/>
            </w:tcBorders>
          </w:tcPr>
          <w:p w14:paraId="5E4172BF" w14:textId="6FC55E7D" w:rsidR="00B17644" w:rsidRPr="00E80B69" w:rsidRDefault="00B17644" w:rsidP="005E79D9">
            <w:pPr>
              <w:spacing w:line="311" w:lineRule="auto"/>
              <w:ind w:left="86"/>
              <w:rPr>
                <w:rFonts w:eastAsia="Times New Roman"/>
                <w:sz w:val="18"/>
                <w:szCs w:val="18"/>
              </w:rPr>
            </w:pPr>
            <w:r>
              <w:rPr>
                <w:rFonts w:eastAsia="Times New Roman"/>
                <w:sz w:val="18"/>
                <w:szCs w:val="18"/>
              </w:rPr>
              <w:t>Some people who drink water containing 1,1,2-trichloroethane well in excess of the MCL over many years could have problems with their liver, kidneys, or immune systems.</w:t>
            </w:r>
          </w:p>
        </w:tc>
      </w:tr>
      <w:tr w:rsidR="00B17644" w14:paraId="0BB274BF" w14:textId="77777777" w:rsidTr="005E79D9">
        <w:trPr>
          <w:trHeight w:val="874"/>
        </w:trPr>
        <w:tc>
          <w:tcPr>
            <w:tcW w:w="2733" w:type="dxa"/>
            <w:tcBorders>
              <w:top w:val="single" w:sz="8" w:space="0" w:color="auto"/>
              <w:left w:val="single" w:sz="8" w:space="0" w:color="auto"/>
              <w:bottom w:val="single" w:sz="8" w:space="0" w:color="auto"/>
              <w:right w:val="single" w:sz="8" w:space="0" w:color="auto"/>
            </w:tcBorders>
            <w:vAlign w:val="center"/>
          </w:tcPr>
          <w:p w14:paraId="042CDCC7" w14:textId="3AD51819" w:rsidR="00B17644" w:rsidRDefault="00B17644" w:rsidP="00563A54">
            <w:pPr>
              <w:numPr>
                <w:ilvl w:val="0"/>
                <w:numId w:val="521"/>
              </w:numPr>
              <w:tabs>
                <w:tab w:val="left" w:pos="290"/>
              </w:tabs>
              <w:ind w:left="20"/>
              <w:rPr>
                <w:sz w:val="20"/>
                <w:szCs w:val="20"/>
              </w:rPr>
            </w:pPr>
            <w:r>
              <w:rPr>
                <w:rFonts w:eastAsia="Times New Roman"/>
                <w:sz w:val="18"/>
                <w:szCs w:val="18"/>
              </w:rPr>
              <w:t>Trichloroethylene</w:t>
            </w:r>
          </w:p>
        </w:tc>
        <w:tc>
          <w:tcPr>
            <w:tcW w:w="1357" w:type="dxa"/>
            <w:tcBorders>
              <w:top w:val="single" w:sz="8" w:space="0" w:color="auto"/>
              <w:left w:val="single" w:sz="8" w:space="0" w:color="auto"/>
              <w:bottom w:val="single" w:sz="8" w:space="0" w:color="auto"/>
              <w:right w:val="single" w:sz="8" w:space="0" w:color="auto"/>
            </w:tcBorders>
            <w:vAlign w:val="center"/>
          </w:tcPr>
          <w:p w14:paraId="481E6EEC" w14:textId="1C0A4157" w:rsidR="00B17644" w:rsidRDefault="00B17644" w:rsidP="005E79D9">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52922927" w14:textId="50795A4E" w:rsidR="00B17644" w:rsidRDefault="00B17644" w:rsidP="005E79D9">
            <w:pPr>
              <w:jc w:val="center"/>
              <w:rPr>
                <w:sz w:val="20"/>
                <w:szCs w:val="20"/>
              </w:rPr>
            </w:pPr>
            <w:r>
              <w:rPr>
                <w:rFonts w:eastAsia="Times New Roman"/>
                <w:sz w:val="18"/>
                <w:szCs w:val="18"/>
              </w:rPr>
              <w:t>0.005</w:t>
            </w:r>
          </w:p>
        </w:tc>
        <w:tc>
          <w:tcPr>
            <w:tcW w:w="4046" w:type="dxa"/>
            <w:tcBorders>
              <w:top w:val="single" w:sz="8" w:space="0" w:color="auto"/>
              <w:bottom w:val="single" w:sz="8" w:space="0" w:color="auto"/>
              <w:right w:val="single" w:sz="8" w:space="0" w:color="auto"/>
            </w:tcBorders>
          </w:tcPr>
          <w:p w14:paraId="4C4199B4" w14:textId="205F3F68" w:rsidR="00B17644" w:rsidRPr="007420E6" w:rsidRDefault="00B17644" w:rsidP="005E79D9">
            <w:pPr>
              <w:spacing w:line="311" w:lineRule="auto"/>
              <w:ind w:left="86"/>
              <w:rPr>
                <w:rFonts w:eastAsia="Times New Roman"/>
                <w:sz w:val="18"/>
                <w:szCs w:val="18"/>
              </w:rPr>
            </w:pPr>
            <w:r>
              <w:rPr>
                <w:rFonts w:eastAsia="Times New Roman"/>
                <w:sz w:val="18"/>
                <w:szCs w:val="18"/>
              </w:rPr>
              <w:t>Some people who drink water containing trichloroethylene in excess of the MCL over many</w:t>
            </w:r>
            <w:r w:rsidR="005E79D9">
              <w:rPr>
                <w:rFonts w:eastAsia="Times New Roman"/>
                <w:sz w:val="18"/>
                <w:szCs w:val="18"/>
              </w:rPr>
              <w:t xml:space="preserve"> </w:t>
            </w:r>
            <w:r>
              <w:rPr>
                <w:rFonts w:eastAsia="Times New Roman"/>
                <w:sz w:val="18"/>
                <w:szCs w:val="18"/>
              </w:rPr>
              <w:t>years could experience problems with their liver and</w:t>
            </w:r>
            <w:r w:rsidR="005E79D9">
              <w:rPr>
                <w:rFonts w:eastAsia="Times New Roman"/>
                <w:sz w:val="18"/>
                <w:szCs w:val="18"/>
              </w:rPr>
              <w:t xml:space="preserve"> </w:t>
            </w:r>
            <w:r>
              <w:rPr>
                <w:rFonts w:eastAsia="Times New Roman"/>
                <w:sz w:val="18"/>
                <w:szCs w:val="18"/>
              </w:rPr>
              <w:t>may have an increased risk of getting cancer.</w:t>
            </w:r>
          </w:p>
        </w:tc>
      </w:tr>
      <w:tr w:rsidR="005E79D9" w14:paraId="43E16D00" w14:textId="77777777" w:rsidTr="005E79D9">
        <w:trPr>
          <w:trHeight w:val="802"/>
        </w:trPr>
        <w:tc>
          <w:tcPr>
            <w:tcW w:w="2733" w:type="dxa"/>
            <w:tcBorders>
              <w:top w:val="single" w:sz="8" w:space="0" w:color="auto"/>
              <w:left w:val="single" w:sz="8" w:space="0" w:color="auto"/>
              <w:bottom w:val="single" w:sz="8" w:space="0" w:color="auto"/>
              <w:right w:val="single" w:sz="8" w:space="0" w:color="auto"/>
            </w:tcBorders>
            <w:vAlign w:val="center"/>
          </w:tcPr>
          <w:p w14:paraId="58357B82" w14:textId="512F3DDE" w:rsidR="005E79D9" w:rsidRDefault="005E79D9" w:rsidP="00563A54">
            <w:pPr>
              <w:numPr>
                <w:ilvl w:val="0"/>
                <w:numId w:val="521"/>
              </w:numPr>
              <w:tabs>
                <w:tab w:val="left" w:pos="290"/>
              </w:tabs>
              <w:ind w:left="20"/>
              <w:rPr>
                <w:sz w:val="20"/>
                <w:szCs w:val="20"/>
              </w:rPr>
            </w:pPr>
            <w:r>
              <w:rPr>
                <w:rFonts w:eastAsia="Times New Roman"/>
                <w:sz w:val="18"/>
                <w:szCs w:val="18"/>
              </w:rPr>
              <w:t>Vinyl chloride</w:t>
            </w:r>
          </w:p>
        </w:tc>
        <w:tc>
          <w:tcPr>
            <w:tcW w:w="1357" w:type="dxa"/>
            <w:tcBorders>
              <w:top w:val="single" w:sz="8" w:space="0" w:color="auto"/>
              <w:left w:val="single" w:sz="8" w:space="0" w:color="auto"/>
              <w:bottom w:val="single" w:sz="8" w:space="0" w:color="auto"/>
              <w:right w:val="single" w:sz="8" w:space="0" w:color="auto"/>
            </w:tcBorders>
            <w:vAlign w:val="center"/>
          </w:tcPr>
          <w:p w14:paraId="16D005F1" w14:textId="1C65458B" w:rsidR="005E79D9" w:rsidRDefault="005E79D9" w:rsidP="005E79D9">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4580AE9D" w14:textId="74299B71" w:rsidR="005E79D9" w:rsidRDefault="005E79D9" w:rsidP="005E79D9">
            <w:pPr>
              <w:jc w:val="center"/>
              <w:rPr>
                <w:sz w:val="20"/>
                <w:szCs w:val="20"/>
              </w:rPr>
            </w:pPr>
            <w:r>
              <w:rPr>
                <w:rFonts w:eastAsia="Times New Roman"/>
                <w:sz w:val="18"/>
                <w:szCs w:val="18"/>
              </w:rPr>
              <w:t>0.002</w:t>
            </w:r>
          </w:p>
        </w:tc>
        <w:tc>
          <w:tcPr>
            <w:tcW w:w="4046" w:type="dxa"/>
            <w:tcBorders>
              <w:top w:val="single" w:sz="8" w:space="0" w:color="auto"/>
              <w:bottom w:val="single" w:sz="8" w:space="0" w:color="auto"/>
              <w:right w:val="single" w:sz="8" w:space="0" w:color="auto"/>
            </w:tcBorders>
          </w:tcPr>
          <w:p w14:paraId="74B7A27C" w14:textId="207A6DD4" w:rsidR="005E79D9" w:rsidRPr="00990800" w:rsidRDefault="005E79D9" w:rsidP="005E79D9">
            <w:pPr>
              <w:spacing w:line="311" w:lineRule="auto"/>
              <w:ind w:left="86"/>
              <w:rPr>
                <w:rFonts w:eastAsia="Times New Roman"/>
                <w:sz w:val="18"/>
                <w:szCs w:val="18"/>
              </w:rPr>
            </w:pPr>
            <w:r>
              <w:rPr>
                <w:rFonts w:eastAsia="Times New Roman"/>
                <w:sz w:val="18"/>
                <w:szCs w:val="18"/>
              </w:rPr>
              <w:t>Some people who drink water containing vinyl chloride in excess of the MCL over many years may have an increased risk of getting cancer.</w:t>
            </w:r>
          </w:p>
        </w:tc>
      </w:tr>
      <w:tr w:rsidR="005E79D9" w14:paraId="2AE7F36F" w14:textId="77777777" w:rsidTr="005E79D9">
        <w:trPr>
          <w:trHeight w:val="802"/>
        </w:trPr>
        <w:tc>
          <w:tcPr>
            <w:tcW w:w="2733" w:type="dxa"/>
            <w:tcBorders>
              <w:top w:val="single" w:sz="8" w:space="0" w:color="auto"/>
              <w:left w:val="single" w:sz="8" w:space="0" w:color="auto"/>
              <w:bottom w:val="single" w:sz="8" w:space="0" w:color="auto"/>
              <w:right w:val="single" w:sz="8" w:space="0" w:color="auto"/>
            </w:tcBorders>
            <w:vAlign w:val="center"/>
          </w:tcPr>
          <w:p w14:paraId="3A1F7FE1" w14:textId="477ECFD6" w:rsidR="005E79D9" w:rsidRDefault="005E79D9" w:rsidP="00563A54">
            <w:pPr>
              <w:numPr>
                <w:ilvl w:val="0"/>
                <w:numId w:val="521"/>
              </w:numPr>
              <w:tabs>
                <w:tab w:val="left" w:pos="290"/>
              </w:tabs>
              <w:ind w:left="20"/>
              <w:rPr>
                <w:sz w:val="20"/>
                <w:szCs w:val="20"/>
              </w:rPr>
            </w:pPr>
            <w:r>
              <w:rPr>
                <w:rFonts w:eastAsia="Times New Roman"/>
                <w:sz w:val="18"/>
                <w:szCs w:val="18"/>
              </w:rPr>
              <w:t>Xylenes (total)</w:t>
            </w:r>
          </w:p>
        </w:tc>
        <w:tc>
          <w:tcPr>
            <w:tcW w:w="1357" w:type="dxa"/>
            <w:tcBorders>
              <w:top w:val="single" w:sz="8" w:space="0" w:color="auto"/>
              <w:left w:val="single" w:sz="8" w:space="0" w:color="auto"/>
              <w:bottom w:val="single" w:sz="8" w:space="0" w:color="auto"/>
              <w:right w:val="single" w:sz="8" w:space="0" w:color="auto"/>
            </w:tcBorders>
            <w:vAlign w:val="center"/>
          </w:tcPr>
          <w:p w14:paraId="65799D46" w14:textId="66F8289F" w:rsidR="005E79D9" w:rsidRDefault="005E79D9" w:rsidP="005E79D9">
            <w:pPr>
              <w:jc w:val="center"/>
              <w:rPr>
                <w:sz w:val="20"/>
                <w:szCs w:val="20"/>
              </w:rPr>
            </w:pPr>
            <w:r>
              <w:rPr>
                <w:rFonts w:eastAsia="Times New Roman"/>
                <w:sz w:val="18"/>
                <w:szCs w:val="18"/>
              </w:rPr>
              <w:t>10</w:t>
            </w:r>
          </w:p>
        </w:tc>
        <w:tc>
          <w:tcPr>
            <w:tcW w:w="2347" w:type="dxa"/>
            <w:tcBorders>
              <w:top w:val="single" w:sz="8" w:space="0" w:color="auto"/>
              <w:bottom w:val="single" w:sz="8" w:space="0" w:color="auto"/>
              <w:right w:val="single" w:sz="8" w:space="0" w:color="auto"/>
            </w:tcBorders>
            <w:vAlign w:val="center"/>
          </w:tcPr>
          <w:p w14:paraId="05936BA9" w14:textId="593B3A78" w:rsidR="005E79D9" w:rsidRDefault="005E79D9" w:rsidP="005E79D9">
            <w:pPr>
              <w:jc w:val="center"/>
              <w:rPr>
                <w:sz w:val="20"/>
                <w:szCs w:val="20"/>
              </w:rPr>
            </w:pPr>
            <w:r>
              <w:rPr>
                <w:rFonts w:eastAsia="Times New Roman"/>
                <w:sz w:val="18"/>
                <w:szCs w:val="18"/>
              </w:rPr>
              <w:t>10</w:t>
            </w:r>
          </w:p>
        </w:tc>
        <w:tc>
          <w:tcPr>
            <w:tcW w:w="4046" w:type="dxa"/>
            <w:tcBorders>
              <w:top w:val="single" w:sz="8" w:space="0" w:color="auto"/>
              <w:bottom w:val="single" w:sz="8" w:space="0" w:color="auto"/>
              <w:right w:val="single" w:sz="8" w:space="0" w:color="auto"/>
            </w:tcBorders>
          </w:tcPr>
          <w:p w14:paraId="0395F516" w14:textId="0652A68E" w:rsidR="005E79D9" w:rsidRPr="001C3D0A" w:rsidRDefault="005E79D9" w:rsidP="005E79D9">
            <w:pPr>
              <w:spacing w:line="311" w:lineRule="auto"/>
              <w:ind w:left="86"/>
              <w:rPr>
                <w:rFonts w:eastAsia="Times New Roman"/>
                <w:sz w:val="18"/>
                <w:szCs w:val="18"/>
              </w:rPr>
            </w:pPr>
            <w:r>
              <w:rPr>
                <w:rFonts w:eastAsia="Times New Roman"/>
                <w:sz w:val="18"/>
                <w:szCs w:val="18"/>
              </w:rPr>
              <w:t>Some people who drink water containing xylenes in excess of the MCL over many years could experience damage to their nervous system.</w:t>
            </w:r>
          </w:p>
        </w:tc>
      </w:tr>
      <w:tr w:rsidR="005E79D9" w14:paraId="0A8B0A62" w14:textId="77777777" w:rsidTr="005E79D9">
        <w:trPr>
          <w:trHeight w:val="288"/>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099A9677" w14:textId="1B2F40B3" w:rsidR="005E79D9" w:rsidRPr="0028463E" w:rsidRDefault="005E79D9" w:rsidP="005E79D9">
            <w:pPr>
              <w:ind w:left="40"/>
              <w:rPr>
                <w:rFonts w:eastAsia="Times New Roman"/>
                <w:sz w:val="18"/>
                <w:szCs w:val="18"/>
              </w:rPr>
            </w:pPr>
            <w:r>
              <w:rPr>
                <w:rFonts w:eastAsia="Times New Roman"/>
                <w:sz w:val="18"/>
                <w:szCs w:val="18"/>
              </w:rPr>
              <w:t>G.  Radioactive Contaminants:</w:t>
            </w:r>
          </w:p>
        </w:tc>
      </w:tr>
      <w:tr w:rsidR="00AE43F6" w14:paraId="1896E4FD" w14:textId="77777777" w:rsidTr="006C29F5">
        <w:trPr>
          <w:trHeight w:val="766"/>
        </w:trPr>
        <w:tc>
          <w:tcPr>
            <w:tcW w:w="2733" w:type="dxa"/>
            <w:tcBorders>
              <w:top w:val="single" w:sz="8" w:space="0" w:color="auto"/>
              <w:left w:val="single" w:sz="8" w:space="0" w:color="auto"/>
              <w:bottom w:val="single" w:sz="8" w:space="0" w:color="auto"/>
              <w:right w:val="single" w:sz="8" w:space="0" w:color="auto"/>
            </w:tcBorders>
            <w:vAlign w:val="center"/>
          </w:tcPr>
          <w:p w14:paraId="1319F918" w14:textId="01E10BAC" w:rsidR="00AE43F6" w:rsidRDefault="00AE43F6" w:rsidP="00563A54">
            <w:pPr>
              <w:numPr>
                <w:ilvl w:val="0"/>
                <w:numId w:val="521"/>
              </w:numPr>
              <w:tabs>
                <w:tab w:val="left" w:pos="290"/>
              </w:tabs>
              <w:ind w:left="20"/>
              <w:rPr>
                <w:sz w:val="23"/>
                <w:szCs w:val="23"/>
              </w:rPr>
            </w:pPr>
            <w:r>
              <w:rPr>
                <w:rFonts w:eastAsia="Times New Roman"/>
                <w:sz w:val="18"/>
                <w:szCs w:val="18"/>
              </w:rPr>
              <w:t>Beta/photon emitters</w:t>
            </w:r>
          </w:p>
        </w:tc>
        <w:tc>
          <w:tcPr>
            <w:tcW w:w="1357" w:type="dxa"/>
            <w:tcBorders>
              <w:top w:val="single" w:sz="8" w:space="0" w:color="auto"/>
              <w:left w:val="single" w:sz="8" w:space="0" w:color="auto"/>
              <w:bottom w:val="single" w:sz="8" w:space="0" w:color="auto"/>
              <w:right w:val="single" w:sz="8" w:space="0" w:color="auto"/>
            </w:tcBorders>
            <w:vAlign w:val="center"/>
          </w:tcPr>
          <w:p w14:paraId="6675B6A1" w14:textId="31896973" w:rsidR="00AE43F6" w:rsidRDefault="00AE43F6" w:rsidP="006C29F5">
            <w:pPr>
              <w:jc w:val="center"/>
              <w:rPr>
                <w:sz w:val="20"/>
                <w:szCs w:val="20"/>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4CEC1F12" w14:textId="7F9F41CF" w:rsidR="00AE43F6" w:rsidRDefault="00AE43F6" w:rsidP="006C29F5">
            <w:pPr>
              <w:jc w:val="center"/>
              <w:rPr>
                <w:sz w:val="20"/>
                <w:szCs w:val="20"/>
              </w:rPr>
            </w:pPr>
            <w:r>
              <w:rPr>
                <w:rFonts w:eastAsia="Times New Roman"/>
                <w:sz w:val="18"/>
                <w:szCs w:val="18"/>
              </w:rPr>
              <w:t>4 mrem/yr</w:t>
            </w:r>
            <w:r w:rsidRPr="006C29F5">
              <w:rPr>
                <w:rFonts w:eastAsia="Times New Roman"/>
                <w:sz w:val="18"/>
                <w:szCs w:val="18"/>
                <w:vertAlign w:val="superscript"/>
              </w:rPr>
              <w:t>15</w:t>
            </w:r>
          </w:p>
        </w:tc>
        <w:tc>
          <w:tcPr>
            <w:tcW w:w="4046" w:type="dxa"/>
            <w:tcBorders>
              <w:top w:val="single" w:sz="8" w:space="0" w:color="auto"/>
              <w:bottom w:val="single" w:sz="8" w:space="0" w:color="auto"/>
              <w:right w:val="single" w:sz="8" w:space="0" w:color="auto"/>
            </w:tcBorders>
          </w:tcPr>
          <w:p w14:paraId="1970D48D" w14:textId="3B9962EE" w:rsidR="00AE43F6" w:rsidRPr="00236A0E" w:rsidRDefault="00AE43F6" w:rsidP="006C29F5">
            <w:pPr>
              <w:spacing w:line="311" w:lineRule="auto"/>
              <w:ind w:left="86"/>
              <w:rPr>
                <w:rFonts w:eastAsia="Times New Roman"/>
                <w:sz w:val="18"/>
                <w:szCs w:val="18"/>
              </w:rPr>
            </w:pPr>
            <w:r>
              <w:rPr>
                <w:rFonts w:eastAsia="Times New Roman"/>
                <w:sz w:val="18"/>
                <w:szCs w:val="18"/>
              </w:rPr>
              <w:t>Certain minerals are radioactive and may emit forms of radiation known as photons and beta radiation. Some people who drink water containing beta and photon emitters in excess of the MCL over many years may have an increased risk of getting cancer.</w:t>
            </w:r>
          </w:p>
        </w:tc>
      </w:tr>
      <w:tr w:rsidR="00AE43F6" w14:paraId="74994D43" w14:textId="77777777" w:rsidTr="006C29F5">
        <w:trPr>
          <w:trHeight w:val="856"/>
        </w:trPr>
        <w:tc>
          <w:tcPr>
            <w:tcW w:w="2733" w:type="dxa"/>
            <w:tcBorders>
              <w:top w:val="single" w:sz="8" w:space="0" w:color="auto"/>
              <w:left w:val="single" w:sz="8" w:space="0" w:color="auto"/>
              <w:bottom w:val="single" w:sz="8" w:space="0" w:color="auto"/>
              <w:right w:val="single" w:sz="8" w:space="0" w:color="auto"/>
            </w:tcBorders>
            <w:vAlign w:val="center"/>
          </w:tcPr>
          <w:p w14:paraId="6FDB877D" w14:textId="692B455C" w:rsidR="00AE43F6" w:rsidRDefault="00AE43F6" w:rsidP="00563A54">
            <w:pPr>
              <w:numPr>
                <w:ilvl w:val="0"/>
                <w:numId w:val="521"/>
              </w:numPr>
              <w:tabs>
                <w:tab w:val="left" w:pos="290"/>
              </w:tabs>
              <w:ind w:left="20"/>
              <w:rPr>
                <w:rFonts w:eastAsia="Times New Roman"/>
                <w:sz w:val="18"/>
                <w:szCs w:val="18"/>
              </w:rPr>
            </w:pPr>
            <w:r>
              <w:rPr>
                <w:rFonts w:eastAsia="Times New Roman"/>
                <w:sz w:val="18"/>
                <w:szCs w:val="18"/>
              </w:rPr>
              <w:t>Alpha emitters</w:t>
            </w:r>
          </w:p>
        </w:tc>
        <w:tc>
          <w:tcPr>
            <w:tcW w:w="1357" w:type="dxa"/>
            <w:tcBorders>
              <w:top w:val="single" w:sz="8" w:space="0" w:color="auto"/>
              <w:left w:val="single" w:sz="8" w:space="0" w:color="auto"/>
              <w:bottom w:val="single" w:sz="8" w:space="0" w:color="auto"/>
              <w:right w:val="single" w:sz="8" w:space="0" w:color="auto"/>
            </w:tcBorders>
            <w:vAlign w:val="center"/>
          </w:tcPr>
          <w:p w14:paraId="53E9AE7C" w14:textId="3C10D96D" w:rsidR="00AE43F6" w:rsidRDefault="00AE43F6" w:rsidP="006C29F5">
            <w:pPr>
              <w:jc w:val="center"/>
              <w:rPr>
                <w:rFonts w:eastAsia="Times New Roman"/>
                <w:sz w:val="18"/>
                <w:szCs w:val="18"/>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46D7B06D" w14:textId="3D3DEBFC" w:rsidR="00AE43F6" w:rsidRDefault="00AE43F6" w:rsidP="006C29F5">
            <w:pPr>
              <w:jc w:val="center"/>
              <w:rPr>
                <w:rFonts w:eastAsia="Times New Roman"/>
                <w:sz w:val="18"/>
                <w:szCs w:val="18"/>
              </w:rPr>
            </w:pPr>
            <w:r>
              <w:rPr>
                <w:rFonts w:eastAsia="Times New Roman"/>
                <w:sz w:val="18"/>
                <w:szCs w:val="18"/>
              </w:rPr>
              <w:t>15 pCi/l</w:t>
            </w:r>
            <w:r w:rsidRPr="006C29F5">
              <w:rPr>
                <w:rFonts w:eastAsia="Times New Roman"/>
                <w:sz w:val="18"/>
                <w:szCs w:val="18"/>
                <w:vertAlign w:val="superscript"/>
              </w:rPr>
              <w:t>17</w:t>
            </w:r>
          </w:p>
        </w:tc>
        <w:tc>
          <w:tcPr>
            <w:tcW w:w="4046" w:type="dxa"/>
            <w:tcBorders>
              <w:top w:val="single" w:sz="8" w:space="0" w:color="auto"/>
              <w:bottom w:val="single" w:sz="8" w:space="0" w:color="auto"/>
              <w:right w:val="single" w:sz="8" w:space="0" w:color="auto"/>
            </w:tcBorders>
          </w:tcPr>
          <w:p w14:paraId="5B981638" w14:textId="006AA184" w:rsidR="00AE43F6" w:rsidRDefault="00AE43F6" w:rsidP="006C29F5">
            <w:pPr>
              <w:spacing w:line="311" w:lineRule="auto"/>
              <w:ind w:left="86"/>
              <w:rPr>
                <w:rFonts w:eastAsia="Times New Roman"/>
                <w:sz w:val="18"/>
                <w:szCs w:val="18"/>
              </w:rPr>
            </w:pPr>
            <w:r>
              <w:rPr>
                <w:rFonts w:eastAsia="Times New Roman"/>
                <w:sz w:val="18"/>
                <w:szCs w:val="18"/>
              </w:rPr>
              <w:t>Certain minerals are radioactive and may emit a form of radiation known as alpha radiation.  Some people who drink water containing alpha emitters in excess the MCL over many years may have an increased risk of getting cancer.</w:t>
            </w:r>
          </w:p>
        </w:tc>
      </w:tr>
      <w:tr w:rsidR="00AE43F6" w14:paraId="30096797" w14:textId="77777777" w:rsidTr="006C29F5">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38360B43" w14:textId="60EE1685" w:rsidR="00AE43F6" w:rsidRDefault="00AE43F6" w:rsidP="00563A54">
            <w:pPr>
              <w:numPr>
                <w:ilvl w:val="0"/>
                <w:numId w:val="521"/>
              </w:numPr>
              <w:tabs>
                <w:tab w:val="left" w:pos="290"/>
              </w:tabs>
              <w:ind w:left="20"/>
              <w:rPr>
                <w:rFonts w:eastAsia="Times New Roman"/>
                <w:sz w:val="18"/>
                <w:szCs w:val="18"/>
              </w:rPr>
            </w:pPr>
            <w:r>
              <w:rPr>
                <w:rFonts w:eastAsia="Times New Roman"/>
                <w:sz w:val="18"/>
                <w:szCs w:val="18"/>
              </w:rPr>
              <w:t>Combined radium (226 &amp;</w:t>
            </w:r>
            <w:r w:rsidR="006B2CFC">
              <w:rPr>
                <w:rFonts w:eastAsia="Times New Roman"/>
                <w:sz w:val="18"/>
                <w:szCs w:val="18"/>
              </w:rPr>
              <w:t xml:space="preserve"> 228)</w:t>
            </w:r>
          </w:p>
        </w:tc>
        <w:tc>
          <w:tcPr>
            <w:tcW w:w="1357" w:type="dxa"/>
            <w:tcBorders>
              <w:top w:val="single" w:sz="8" w:space="0" w:color="auto"/>
              <w:left w:val="single" w:sz="8" w:space="0" w:color="auto"/>
              <w:bottom w:val="single" w:sz="8" w:space="0" w:color="auto"/>
              <w:right w:val="single" w:sz="8" w:space="0" w:color="auto"/>
            </w:tcBorders>
            <w:vAlign w:val="center"/>
          </w:tcPr>
          <w:p w14:paraId="0C5AD000" w14:textId="4755917A" w:rsidR="00AE43F6" w:rsidRDefault="00AE43F6" w:rsidP="006C29F5">
            <w:pPr>
              <w:jc w:val="center"/>
              <w:rPr>
                <w:rFonts w:eastAsia="Times New Roman"/>
                <w:sz w:val="18"/>
                <w:szCs w:val="18"/>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12EA4E7E" w14:textId="38BAE0FE" w:rsidR="00AE43F6" w:rsidRDefault="00AE43F6" w:rsidP="006C29F5">
            <w:pPr>
              <w:jc w:val="center"/>
              <w:rPr>
                <w:rFonts w:eastAsia="Times New Roman"/>
                <w:sz w:val="18"/>
                <w:szCs w:val="18"/>
              </w:rPr>
            </w:pPr>
            <w:r>
              <w:rPr>
                <w:rFonts w:eastAsia="Times New Roman"/>
                <w:sz w:val="18"/>
                <w:szCs w:val="18"/>
              </w:rPr>
              <w:t>5 pCi/l</w:t>
            </w:r>
          </w:p>
        </w:tc>
        <w:tc>
          <w:tcPr>
            <w:tcW w:w="4046" w:type="dxa"/>
            <w:tcBorders>
              <w:top w:val="single" w:sz="8" w:space="0" w:color="auto"/>
              <w:bottom w:val="single" w:sz="8" w:space="0" w:color="auto"/>
              <w:right w:val="single" w:sz="8" w:space="0" w:color="auto"/>
            </w:tcBorders>
          </w:tcPr>
          <w:p w14:paraId="41D1FDFB" w14:textId="023ECD98" w:rsidR="00AE43F6" w:rsidRDefault="00AE43F6" w:rsidP="006C29F5">
            <w:pPr>
              <w:spacing w:line="311" w:lineRule="auto"/>
              <w:ind w:left="86"/>
              <w:rPr>
                <w:rFonts w:eastAsia="Times New Roman"/>
                <w:sz w:val="18"/>
                <w:szCs w:val="18"/>
              </w:rPr>
            </w:pPr>
            <w:r>
              <w:rPr>
                <w:rFonts w:eastAsia="Times New Roman"/>
                <w:sz w:val="18"/>
                <w:szCs w:val="18"/>
              </w:rPr>
              <w:t>Some people who drink water containing radium 226 or 228 in excess of the MCL over many years may have an increased risk of getting cancer.</w:t>
            </w:r>
          </w:p>
        </w:tc>
      </w:tr>
      <w:tr w:rsidR="00AE43F6" w14:paraId="6F877BE3" w14:textId="77777777" w:rsidTr="006C29F5">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73D7EAC9" w14:textId="76655046" w:rsidR="00AE43F6" w:rsidRDefault="00AE43F6" w:rsidP="00563A54">
            <w:pPr>
              <w:numPr>
                <w:ilvl w:val="0"/>
                <w:numId w:val="521"/>
              </w:numPr>
              <w:tabs>
                <w:tab w:val="left" w:pos="290"/>
              </w:tabs>
              <w:ind w:left="20"/>
              <w:rPr>
                <w:rFonts w:eastAsia="Times New Roman"/>
                <w:sz w:val="18"/>
                <w:szCs w:val="18"/>
              </w:rPr>
            </w:pPr>
            <w:r>
              <w:rPr>
                <w:rFonts w:eastAsia="Times New Roman"/>
                <w:sz w:val="18"/>
                <w:szCs w:val="18"/>
              </w:rPr>
              <w:t>Uranium</w:t>
            </w:r>
          </w:p>
        </w:tc>
        <w:tc>
          <w:tcPr>
            <w:tcW w:w="1357" w:type="dxa"/>
            <w:tcBorders>
              <w:top w:val="single" w:sz="8" w:space="0" w:color="auto"/>
              <w:left w:val="single" w:sz="8" w:space="0" w:color="auto"/>
              <w:bottom w:val="single" w:sz="8" w:space="0" w:color="auto"/>
              <w:right w:val="single" w:sz="8" w:space="0" w:color="auto"/>
            </w:tcBorders>
            <w:vAlign w:val="center"/>
          </w:tcPr>
          <w:p w14:paraId="3D57268B" w14:textId="27C57E59" w:rsidR="00AE43F6" w:rsidRDefault="00AE43F6" w:rsidP="006C29F5">
            <w:pPr>
              <w:jc w:val="center"/>
              <w:rPr>
                <w:rFonts w:eastAsia="Times New Roman"/>
                <w:sz w:val="18"/>
                <w:szCs w:val="18"/>
              </w:rPr>
            </w:pPr>
            <w:r>
              <w:rPr>
                <w:rFonts w:eastAsia="Times New Roman"/>
                <w:sz w:val="18"/>
                <w:szCs w:val="18"/>
              </w:rPr>
              <w:t>Zero</w:t>
            </w:r>
          </w:p>
        </w:tc>
        <w:tc>
          <w:tcPr>
            <w:tcW w:w="2347" w:type="dxa"/>
            <w:tcBorders>
              <w:top w:val="single" w:sz="8" w:space="0" w:color="auto"/>
              <w:bottom w:val="single" w:sz="8" w:space="0" w:color="auto"/>
              <w:right w:val="single" w:sz="8" w:space="0" w:color="auto"/>
            </w:tcBorders>
            <w:vAlign w:val="center"/>
          </w:tcPr>
          <w:p w14:paraId="536E7059" w14:textId="75E8D64E" w:rsidR="00AE43F6" w:rsidRDefault="00AE43F6" w:rsidP="006C29F5">
            <w:pPr>
              <w:jc w:val="center"/>
              <w:rPr>
                <w:rFonts w:eastAsia="Times New Roman"/>
                <w:sz w:val="18"/>
                <w:szCs w:val="18"/>
              </w:rPr>
            </w:pPr>
            <w:r>
              <w:rPr>
                <w:rFonts w:eastAsia="Times New Roman"/>
                <w:sz w:val="18"/>
                <w:szCs w:val="18"/>
              </w:rPr>
              <w:t xml:space="preserve">30 </w:t>
            </w:r>
            <w:r w:rsidR="005350BC">
              <w:rPr>
                <w:rFonts w:eastAsia="Times New Roman"/>
                <w:sz w:val="18"/>
                <w:szCs w:val="18"/>
              </w:rPr>
              <w:t>u</w:t>
            </w:r>
            <w:r>
              <w:rPr>
                <w:rFonts w:eastAsia="Times New Roman"/>
                <w:sz w:val="18"/>
                <w:szCs w:val="18"/>
              </w:rPr>
              <w:t>g/</w:t>
            </w:r>
            <w:r w:rsidR="006C29F5">
              <w:rPr>
                <w:rFonts w:eastAsia="Times New Roman"/>
                <w:sz w:val="18"/>
                <w:szCs w:val="18"/>
              </w:rPr>
              <w:t>l</w:t>
            </w:r>
            <w:r w:rsidRPr="006C29F5">
              <w:rPr>
                <w:rFonts w:eastAsia="Times New Roman"/>
                <w:sz w:val="18"/>
                <w:szCs w:val="18"/>
                <w:vertAlign w:val="superscript"/>
              </w:rPr>
              <w:t>16</w:t>
            </w:r>
          </w:p>
        </w:tc>
        <w:tc>
          <w:tcPr>
            <w:tcW w:w="4046" w:type="dxa"/>
            <w:tcBorders>
              <w:top w:val="single" w:sz="8" w:space="0" w:color="auto"/>
              <w:bottom w:val="single" w:sz="8" w:space="0" w:color="auto"/>
              <w:right w:val="single" w:sz="8" w:space="0" w:color="auto"/>
            </w:tcBorders>
          </w:tcPr>
          <w:p w14:paraId="4ED8D59B" w14:textId="628902D1" w:rsidR="00AE43F6" w:rsidRDefault="00AE43F6" w:rsidP="006C29F5">
            <w:pPr>
              <w:spacing w:line="311" w:lineRule="auto"/>
              <w:ind w:left="86"/>
              <w:rPr>
                <w:rFonts w:eastAsia="Times New Roman"/>
                <w:sz w:val="18"/>
                <w:szCs w:val="18"/>
              </w:rPr>
            </w:pPr>
            <w:r>
              <w:rPr>
                <w:rFonts w:eastAsia="Times New Roman"/>
                <w:sz w:val="18"/>
                <w:szCs w:val="18"/>
              </w:rPr>
              <w:t>Some people who drink water containing uranium in excess of the MCL over many years may have an</w:t>
            </w:r>
            <w:r w:rsidR="006C29F5">
              <w:rPr>
                <w:rFonts w:eastAsia="Times New Roman"/>
                <w:sz w:val="18"/>
                <w:szCs w:val="18"/>
              </w:rPr>
              <w:t xml:space="preserve"> </w:t>
            </w:r>
            <w:r>
              <w:rPr>
                <w:rFonts w:eastAsia="Times New Roman"/>
                <w:sz w:val="18"/>
                <w:szCs w:val="18"/>
              </w:rPr>
              <w:t>increased risk of getting cancer and kidney toxicity.</w:t>
            </w:r>
          </w:p>
        </w:tc>
      </w:tr>
      <w:tr w:rsidR="00137763" w14:paraId="0A6F4CA5" w14:textId="77777777" w:rsidTr="00DF6443">
        <w:trPr>
          <w:trHeight w:val="838"/>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657D13D9" w14:textId="0E8F9B52" w:rsidR="00137763" w:rsidRDefault="00137763" w:rsidP="006C29F5">
            <w:pPr>
              <w:spacing w:line="311" w:lineRule="auto"/>
              <w:ind w:left="86"/>
              <w:rPr>
                <w:rFonts w:eastAsia="Times New Roman"/>
                <w:sz w:val="18"/>
                <w:szCs w:val="18"/>
              </w:rPr>
            </w:pPr>
            <w:r>
              <w:rPr>
                <w:rFonts w:eastAsia="Times New Roman"/>
                <w:sz w:val="18"/>
                <w:szCs w:val="18"/>
              </w:rPr>
              <w:t xml:space="preserve">H. </w:t>
            </w:r>
            <w:r w:rsidR="00C17BFE">
              <w:rPr>
                <w:rFonts w:eastAsia="Times New Roman"/>
                <w:sz w:val="18"/>
                <w:szCs w:val="18"/>
              </w:rPr>
              <w:t xml:space="preserve"> </w:t>
            </w:r>
            <w:r>
              <w:rPr>
                <w:rFonts w:eastAsia="Times New Roman"/>
                <w:sz w:val="18"/>
                <w:szCs w:val="18"/>
              </w:rPr>
              <w:t>Disinfection Byproducts (DBPs), Byproduct Precursors, Disinfectant Residuals. Where Disinfection used in the treatment of drinking water, Disinfectants combine with organic and inorganic matter present in water to form chemicals called Disinfection byproducts (DBPs). EPA sets standards for controlling the levels of Disinfectants and DBPs in drinking water, including Trihalomethanes (THMs) and haloacetic acid (HAAs).</w:t>
            </w:r>
            <w:r>
              <w:rPr>
                <w:rFonts w:eastAsia="Times New Roman"/>
                <w:sz w:val="24"/>
                <w:szCs w:val="24"/>
                <w:vertAlign w:val="superscript"/>
              </w:rPr>
              <w:t>18</w:t>
            </w:r>
          </w:p>
        </w:tc>
      </w:tr>
      <w:tr w:rsidR="00412DB2" w14:paraId="1388EB02" w14:textId="77777777" w:rsidTr="00CA6C19">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2930EB92" w14:textId="401F3F03" w:rsidR="00412DB2" w:rsidRDefault="00412DB2" w:rsidP="00563A54">
            <w:pPr>
              <w:numPr>
                <w:ilvl w:val="0"/>
                <w:numId w:val="521"/>
              </w:numPr>
              <w:tabs>
                <w:tab w:val="left" w:pos="290"/>
              </w:tabs>
              <w:ind w:left="20"/>
              <w:rPr>
                <w:rFonts w:eastAsia="Times New Roman"/>
                <w:sz w:val="18"/>
                <w:szCs w:val="18"/>
              </w:rPr>
            </w:pPr>
            <w:r>
              <w:rPr>
                <w:rFonts w:eastAsia="Times New Roman"/>
                <w:sz w:val="18"/>
                <w:szCs w:val="18"/>
              </w:rPr>
              <w:t>Total trihalomethanes</w:t>
            </w:r>
            <w:r w:rsidR="00C17BFE">
              <w:rPr>
                <w:rFonts w:eastAsia="Times New Roman"/>
                <w:sz w:val="18"/>
                <w:szCs w:val="18"/>
              </w:rPr>
              <w:t xml:space="preserve"> (TTHMs)</w:t>
            </w:r>
          </w:p>
        </w:tc>
        <w:tc>
          <w:tcPr>
            <w:tcW w:w="1357" w:type="dxa"/>
            <w:tcBorders>
              <w:top w:val="single" w:sz="8" w:space="0" w:color="auto"/>
              <w:left w:val="single" w:sz="8" w:space="0" w:color="auto"/>
              <w:bottom w:val="single" w:sz="8" w:space="0" w:color="auto"/>
              <w:right w:val="single" w:sz="8" w:space="0" w:color="auto"/>
            </w:tcBorders>
            <w:vAlign w:val="center"/>
          </w:tcPr>
          <w:p w14:paraId="54CA0473" w14:textId="7F81D2F9" w:rsidR="00412DB2" w:rsidRPr="00CA6C19" w:rsidRDefault="00412DB2" w:rsidP="00CA6C19">
            <w:pPr>
              <w:jc w:val="center"/>
              <w:rPr>
                <w:rFonts w:eastAsia="Times New Roman"/>
                <w:sz w:val="18"/>
                <w:szCs w:val="18"/>
              </w:rPr>
            </w:pPr>
            <w:r w:rsidRPr="00CA6C19">
              <w:rPr>
                <w:rFonts w:eastAsia="Times New Roman"/>
                <w:sz w:val="18"/>
                <w:szCs w:val="18"/>
              </w:rPr>
              <w:t>N/A</w:t>
            </w:r>
          </w:p>
        </w:tc>
        <w:tc>
          <w:tcPr>
            <w:tcW w:w="2347" w:type="dxa"/>
            <w:tcBorders>
              <w:top w:val="single" w:sz="8" w:space="0" w:color="auto"/>
              <w:bottom w:val="single" w:sz="8" w:space="0" w:color="auto"/>
              <w:right w:val="single" w:sz="8" w:space="0" w:color="auto"/>
            </w:tcBorders>
            <w:vAlign w:val="center"/>
          </w:tcPr>
          <w:p w14:paraId="65198365" w14:textId="3287A0A8" w:rsidR="00412DB2" w:rsidRPr="00CA6C19" w:rsidRDefault="00412DB2" w:rsidP="00CA6C19">
            <w:pPr>
              <w:jc w:val="center"/>
              <w:rPr>
                <w:rFonts w:eastAsia="Times New Roman"/>
                <w:sz w:val="18"/>
                <w:szCs w:val="18"/>
              </w:rPr>
            </w:pPr>
            <w:r w:rsidRPr="00CA6C19">
              <w:rPr>
                <w:rFonts w:eastAsia="Times New Roman"/>
                <w:w w:val="94"/>
                <w:sz w:val="18"/>
                <w:szCs w:val="18"/>
              </w:rPr>
              <w:t>0.080</w:t>
            </w:r>
            <w:r w:rsidRPr="00CA6C19">
              <w:rPr>
                <w:rFonts w:eastAsia="Times New Roman"/>
                <w:w w:val="94"/>
                <w:sz w:val="18"/>
                <w:szCs w:val="18"/>
                <w:vertAlign w:val="superscript"/>
              </w:rPr>
              <w:t>19, 20</w:t>
            </w:r>
          </w:p>
        </w:tc>
        <w:tc>
          <w:tcPr>
            <w:tcW w:w="4046" w:type="dxa"/>
            <w:tcBorders>
              <w:top w:val="single" w:sz="8" w:space="0" w:color="auto"/>
              <w:bottom w:val="single" w:sz="8" w:space="0" w:color="auto"/>
              <w:right w:val="single" w:sz="8" w:space="0" w:color="auto"/>
            </w:tcBorders>
          </w:tcPr>
          <w:p w14:paraId="1ED2AECF" w14:textId="7B57CA59" w:rsidR="00412DB2" w:rsidRDefault="009105E3" w:rsidP="00412DB2">
            <w:pPr>
              <w:spacing w:line="311" w:lineRule="auto"/>
              <w:ind w:left="86"/>
              <w:rPr>
                <w:rFonts w:eastAsia="Times New Roman"/>
                <w:sz w:val="18"/>
                <w:szCs w:val="18"/>
              </w:rPr>
            </w:pPr>
            <w:r>
              <w:rPr>
                <w:rFonts w:eastAsia="Times New Roman"/>
                <w:sz w:val="18"/>
                <w:szCs w:val="18"/>
              </w:rPr>
              <w:t>Some people who drink water containing (TTHMs) Trihalomethanes in excess of the MCL over many years may experience problems with their liver, kidneys, or central nervous system, and may have an increased risk of getting cancer.</w:t>
            </w:r>
          </w:p>
        </w:tc>
      </w:tr>
      <w:tr w:rsidR="001B2A95" w14:paraId="70CE73DA" w14:textId="77777777" w:rsidTr="00CA6C19">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4D6B28C0" w14:textId="3AF14434" w:rsidR="001B2A95" w:rsidRDefault="001B2A95" w:rsidP="00563A54">
            <w:pPr>
              <w:numPr>
                <w:ilvl w:val="0"/>
                <w:numId w:val="521"/>
              </w:numPr>
              <w:tabs>
                <w:tab w:val="left" w:pos="290"/>
              </w:tabs>
              <w:ind w:left="20"/>
              <w:rPr>
                <w:rFonts w:eastAsia="Times New Roman"/>
                <w:sz w:val="18"/>
                <w:szCs w:val="18"/>
              </w:rPr>
            </w:pPr>
            <w:r>
              <w:rPr>
                <w:rFonts w:eastAsia="Times New Roman"/>
                <w:sz w:val="18"/>
                <w:szCs w:val="18"/>
              </w:rPr>
              <w:t>Haloacetic Acids (HAA)</w:t>
            </w:r>
          </w:p>
        </w:tc>
        <w:tc>
          <w:tcPr>
            <w:tcW w:w="1357" w:type="dxa"/>
            <w:tcBorders>
              <w:top w:val="single" w:sz="8" w:space="0" w:color="auto"/>
              <w:left w:val="single" w:sz="8" w:space="0" w:color="auto"/>
              <w:bottom w:val="single" w:sz="8" w:space="0" w:color="auto"/>
              <w:right w:val="single" w:sz="8" w:space="0" w:color="auto"/>
            </w:tcBorders>
            <w:vAlign w:val="center"/>
          </w:tcPr>
          <w:p w14:paraId="23071F93" w14:textId="25C77230" w:rsidR="001B2A95" w:rsidRPr="00CA6C19" w:rsidRDefault="001B2A95" w:rsidP="00CA6C19">
            <w:pPr>
              <w:jc w:val="center"/>
              <w:rPr>
                <w:rFonts w:eastAsia="Times New Roman"/>
                <w:sz w:val="18"/>
                <w:szCs w:val="18"/>
              </w:rPr>
            </w:pPr>
            <w:r w:rsidRPr="00CA6C19">
              <w:rPr>
                <w:rFonts w:eastAsia="Times New Roman"/>
                <w:sz w:val="18"/>
                <w:szCs w:val="18"/>
              </w:rPr>
              <w:t>N/A</w:t>
            </w:r>
          </w:p>
        </w:tc>
        <w:tc>
          <w:tcPr>
            <w:tcW w:w="2347" w:type="dxa"/>
            <w:tcBorders>
              <w:top w:val="single" w:sz="8" w:space="0" w:color="auto"/>
              <w:bottom w:val="single" w:sz="8" w:space="0" w:color="auto"/>
              <w:right w:val="single" w:sz="8" w:space="0" w:color="auto"/>
            </w:tcBorders>
            <w:vAlign w:val="center"/>
          </w:tcPr>
          <w:p w14:paraId="63530B5D" w14:textId="6F744FA9" w:rsidR="001B2A95" w:rsidRPr="00CA6C19" w:rsidRDefault="001B2A95" w:rsidP="00CA6C19">
            <w:pPr>
              <w:jc w:val="center"/>
              <w:rPr>
                <w:rFonts w:eastAsia="Times New Roman"/>
                <w:sz w:val="18"/>
                <w:szCs w:val="18"/>
              </w:rPr>
            </w:pPr>
            <w:r w:rsidRPr="00CA6C19">
              <w:rPr>
                <w:rFonts w:eastAsia="Times New Roman"/>
                <w:sz w:val="18"/>
                <w:szCs w:val="18"/>
              </w:rPr>
              <w:t>0.060</w:t>
            </w:r>
            <w:r w:rsidRPr="00CA6C19">
              <w:rPr>
                <w:rFonts w:eastAsia="Times New Roman"/>
                <w:sz w:val="18"/>
                <w:szCs w:val="18"/>
                <w:vertAlign w:val="superscript"/>
              </w:rPr>
              <w:t>21</w:t>
            </w:r>
          </w:p>
        </w:tc>
        <w:tc>
          <w:tcPr>
            <w:tcW w:w="4046" w:type="dxa"/>
            <w:tcBorders>
              <w:top w:val="single" w:sz="8" w:space="0" w:color="auto"/>
              <w:bottom w:val="single" w:sz="8" w:space="0" w:color="auto"/>
              <w:right w:val="single" w:sz="8" w:space="0" w:color="auto"/>
            </w:tcBorders>
          </w:tcPr>
          <w:p w14:paraId="03E7DB23" w14:textId="50567746" w:rsidR="001B2A95" w:rsidRDefault="001B2A95" w:rsidP="001B2A95">
            <w:pPr>
              <w:spacing w:line="311" w:lineRule="auto"/>
              <w:ind w:left="86"/>
              <w:rPr>
                <w:rFonts w:eastAsia="Times New Roman"/>
                <w:sz w:val="18"/>
                <w:szCs w:val="18"/>
              </w:rPr>
            </w:pPr>
            <w:r>
              <w:rPr>
                <w:rFonts w:eastAsia="Times New Roman"/>
                <w:sz w:val="18"/>
                <w:szCs w:val="18"/>
              </w:rPr>
              <w:t>Some people who drink water containing haloacetic acids in excess of the MCL over many years may have an increased risk of getting cancer.</w:t>
            </w:r>
          </w:p>
        </w:tc>
      </w:tr>
    </w:tbl>
    <w:p w14:paraId="281A1F9D" w14:textId="08E81CF8" w:rsidR="004647B9" w:rsidRDefault="004647B9" w:rsidP="00BF5093">
      <w:pPr>
        <w:rPr>
          <w:sz w:val="20"/>
          <w:szCs w:val="20"/>
        </w:rPr>
      </w:pPr>
    </w:p>
    <w:p w14:paraId="281A1F9E" w14:textId="77777777" w:rsidR="004647B9" w:rsidRDefault="004647B9" w:rsidP="00BF5093">
      <w:pPr>
        <w:sectPr w:rsidR="004647B9" w:rsidSect="00EF630C">
          <w:pgSz w:w="12240" w:h="20180"/>
          <w:pgMar w:top="708" w:right="1080" w:bottom="151" w:left="600" w:header="0" w:footer="0" w:gutter="0"/>
          <w:cols w:space="720"/>
        </w:sectPr>
      </w:pPr>
    </w:p>
    <w:p w14:paraId="281A1FBD" w14:textId="77777777" w:rsidR="004647B9" w:rsidRDefault="00E2436F">
      <w:pPr>
        <w:tabs>
          <w:tab w:val="left" w:pos="2860"/>
        </w:tabs>
        <w:ind w:left="1680"/>
        <w:rPr>
          <w:sz w:val="20"/>
          <w:szCs w:val="20"/>
        </w:rPr>
      </w:pPr>
      <w:bookmarkStart w:id="205" w:name="page207"/>
      <w:bookmarkEnd w:id="20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1FBE" w14:textId="77777777" w:rsidR="004647B9" w:rsidRDefault="004647B9" w:rsidP="00C105D6">
      <w:pPr>
        <w:rPr>
          <w:sz w:val="20"/>
          <w:szCs w:val="20"/>
        </w:rPr>
      </w:pPr>
    </w:p>
    <w:p w14:paraId="281A1FBF" w14:textId="77777777" w:rsidR="004647B9" w:rsidRDefault="004647B9" w:rsidP="00C105D6">
      <w:pPr>
        <w:rPr>
          <w:sz w:val="20"/>
          <w:szCs w:val="20"/>
        </w:rPr>
      </w:pPr>
    </w:p>
    <w:p w14:paraId="281A1FC0" w14:textId="77777777" w:rsidR="004647B9" w:rsidRPr="00C105D6" w:rsidRDefault="00E2436F" w:rsidP="00C105D6">
      <w:pPr>
        <w:tabs>
          <w:tab w:val="left" w:pos="760"/>
        </w:tabs>
        <w:rPr>
          <w:sz w:val="24"/>
          <w:szCs w:val="24"/>
        </w:rPr>
      </w:pPr>
      <w:r w:rsidRPr="00C105D6">
        <w:rPr>
          <w:rFonts w:eastAsia="Times New Roman"/>
          <w:sz w:val="24"/>
          <w:szCs w:val="24"/>
        </w:rPr>
        <w:t>22.16:</w:t>
      </w:r>
      <w:r w:rsidRPr="00C105D6">
        <w:rPr>
          <w:rFonts w:eastAsia="Times New Roman"/>
          <w:sz w:val="24"/>
          <w:szCs w:val="24"/>
        </w:rPr>
        <w:tab/>
        <w:t>continued</w:t>
      </w:r>
    </w:p>
    <w:p w14:paraId="281A1FC1" w14:textId="63DCFCBA" w:rsidR="004647B9" w:rsidRDefault="004647B9" w:rsidP="00C105D6">
      <w:pPr>
        <w:rPr>
          <w:sz w:val="20"/>
          <w:szCs w:val="20"/>
        </w:rPr>
      </w:pPr>
    </w:p>
    <w:tbl>
      <w:tblPr>
        <w:tblW w:w="10483" w:type="dxa"/>
        <w:tblInd w:w="50" w:type="dxa"/>
        <w:tblLayout w:type="fixed"/>
        <w:tblCellMar>
          <w:left w:w="0" w:type="dxa"/>
          <w:right w:w="0" w:type="dxa"/>
        </w:tblCellMar>
        <w:tblLook w:val="04A0" w:firstRow="1" w:lastRow="0" w:firstColumn="1" w:lastColumn="0" w:noHBand="0" w:noVBand="1"/>
      </w:tblPr>
      <w:tblGrid>
        <w:gridCol w:w="2733"/>
        <w:gridCol w:w="1357"/>
        <w:gridCol w:w="2347"/>
        <w:gridCol w:w="4046"/>
      </w:tblGrid>
      <w:tr w:rsidR="00BF5093" w14:paraId="1C111D9E" w14:textId="77777777" w:rsidTr="00DF6443">
        <w:trPr>
          <w:trHeight w:val="271"/>
        </w:trPr>
        <w:tc>
          <w:tcPr>
            <w:tcW w:w="2733" w:type="dxa"/>
            <w:tcBorders>
              <w:top w:val="single" w:sz="8" w:space="0" w:color="auto"/>
              <w:left w:val="single" w:sz="8" w:space="0" w:color="auto"/>
              <w:bottom w:val="single" w:sz="8" w:space="0" w:color="auto"/>
              <w:right w:val="single" w:sz="8" w:space="0" w:color="auto"/>
            </w:tcBorders>
            <w:vAlign w:val="center"/>
          </w:tcPr>
          <w:p w14:paraId="1C27228E" w14:textId="77777777" w:rsidR="00BF5093" w:rsidRDefault="00BF5093" w:rsidP="00DF6443">
            <w:pPr>
              <w:ind w:left="43"/>
              <w:rPr>
                <w:sz w:val="23"/>
                <w:szCs w:val="23"/>
              </w:rPr>
            </w:pPr>
            <w:r>
              <w:rPr>
                <w:rFonts w:eastAsia="Times New Roman"/>
                <w:sz w:val="18"/>
                <w:szCs w:val="18"/>
              </w:rPr>
              <w:t>Contaminant</w:t>
            </w:r>
          </w:p>
        </w:tc>
        <w:tc>
          <w:tcPr>
            <w:tcW w:w="1357" w:type="dxa"/>
            <w:tcBorders>
              <w:top w:val="single" w:sz="8" w:space="0" w:color="auto"/>
              <w:left w:val="single" w:sz="8" w:space="0" w:color="auto"/>
              <w:bottom w:val="single" w:sz="8" w:space="0" w:color="auto"/>
              <w:right w:val="single" w:sz="8" w:space="0" w:color="auto"/>
            </w:tcBorders>
            <w:vAlign w:val="center"/>
          </w:tcPr>
          <w:p w14:paraId="2465525E" w14:textId="77777777" w:rsidR="00BF5093" w:rsidRDefault="00BF5093"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7" w:type="dxa"/>
            <w:tcBorders>
              <w:top w:val="single" w:sz="8" w:space="0" w:color="auto"/>
              <w:left w:val="single" w:sz="8" w:space="0" w:color="auto"/>
              <w:bottom w:val="single" w:sz="8" w:space="0" w:color="auto"/>
              <w:right w:val="single" w:sz="8" w:space="0" w:color="auto"/>
            </w:tcBorders>
            <w:vAlign w:val="center"/>
          </w:tcPr>
          <w:p w14:paraId="5E159D23" w14:textId="77777777" w:rsidR="00BF5093" w:rsidRDefault="00BF5093"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6" w:type="dxa"/>
            <w:tcBorders>
              <w:top w:val="single" w:sz="8" w:space="0" w:color="auto"/>
              <w:bottom w:val="single" w:sz="8" w:space="0" w:color="auto"/>
              <w:right w:val="single" w:sz="8" w:space="0" w:color="auto"/>
            </w:tcBorders>
            <w:vAlign w:val="center"/>
          </w:tcPr>
          <w:p w14:paraId="7E3A425E" w14:textId="77777777" w:rsidR="00BF5093" w:rsidRPr="005A4D34" w:rsidRDefault="00BF5093" w:rsidP="00DF6443">
            <w:pPr>
              <w:ind w:left="40"/>
              <w:rPr>
                <w:sz w:val="18"/>
                <w:szCs w:val="18"/>
              </w:rPr>
            </w:pPr>
            <w:r w:rsidRPr="005A4D34">
              <w:rPr>
                <w:sz w:val="18"/>
                <w:szCs w:val="18"/>
              </w:rPr>
              <w:t>Standard health effects language for public notification</w:t>
            </w:r>
          </w:p>
        </w:tc>
      </w:tr>
      <w:tr w:rsidR="00BF5093" w14:paraId="2C220C30" w14:textId="77777777" w:rsidTr="00DF6443">
        <w:trPr>
          <w:trHeight w:val="286"/>
        </w:trPr>
        <w:tc>
          <w:tcPr>
            <w:tcW w:w="10483" w:type="dxa"/>
            <w:gridSpan w:val="4"/>
            <w:tcBorders>
              <w:top w:val="single" w:sz="8" w:space="0" w:color="auto"/>
              <w:left w:val="single" w:sz="8" w:space="0" w:color="auto"/>
              <w:bottom w:val="single" w:sz="8" w:space="0" w:color="auto"/>
              <w:right w:val="single" w:sz="8" w:space="0" w:color="auto"/>
            </w:tcBorders>
            <w:vAlign w:val="center"/>
          </w:tcPr>
          <w:p w14:paraId="57A9E77A" w14:textId="77777777" w:rsidR="00BF5093" w:rsidRDefault="00BF5093" w:rsidP="00DF6443">
            <w:pPr>
              <w:ind w:left="43"/>
              <w:rPr>
                <w:sz w:val="20"/>
                <w:szCs w:val="20"/>
              </w:rPr>
            </w:pPr>
            <w:r>
              <w:rPr>
                <w:rFonts w:eastAsia="Times New Roman"/>
                <w:sz w:val="18"/>
                <w:szCs w:val="18"/>
              </w:rPr>
              <w:t>National Primary Drinking Water Regulations (NPDWR) and Massachusetts Drinking Water Regulations:</w:t>
            </w:r>
          </w:p>
        </w:tc>
      </w:tr>
      <w:tr w:rsidR="00590258" w14:paraId="6838DA2D" w14:textId="77777777" w:rsidTr="000455D1">
        <w:trPr>
          <w:trHeight w:val="254"/>
        </w:trPr>
        <w:tc>
          <w:tcPr>
            <w:tcW w:w="2733" w:type="dxa"/>
            <w:tcBorders>
              <w:left w:val="single" w:sz="8" w:space="0" w:color="auto"/>
              <w:bottom w:val="single" w:sz="8" w:space="0" w:color="auto"/>
              <w:right w:val="single" w:sz="8" w:space="0" w:color="auto"/>
            </w:tcBorders>
            <w:vAlign w:val="center"/>
          </w:tcPr>
          <w:p w14:paraId="313A5140" w14:textId="644D048E" w:rsidR="00590258" w:rsidRDefault="00590258" w:rsidP="00563A54">
            <w:pPr>
              <w:numPr>
                <w:ilvl w:val="0"/>
                <w:numId w:val="521"/>
              </w:numPr>
              <w:tabs>
                <w:tab w:val="left" w:pos="290"/>
              </w:tabs>
              <w:ind w:left="20"/>
            </w:pPr>
            <w:r>
              <w:rPr>
                <w:rFonts w:eastAsia="Times New Roman"/>
                <w:sz w:val="18"/>
                <w:szCs w:val="18"/>
              </w:rPr>
              <w:t>Bromate</w:t>
            </w:r>
          </w:p>
        </w:tc>
        <w:tc>
          <w:tcPr>
            <w:tcW w:w="1357" w:type="dxa"/>
            <w:tcBorders>
              <w:bottom w:val="single" w:sz="8" w:space="0" w:color="auto"/>
              <w:right w:val="single" w:sz="8" w:space="0" w:color="auto"/>
            </w:tcBorders>
            <w:vAlign w:val="center"/>
          </w:tcPr>
          <w:p w14:paraId="254BC67D" w14:textId="79B4A532" w:rsidR="00590258" w:rsidRDefault="00590258" w:rsidP="000455D1">
            <w:pPr>
              <w:jc w:val="center"/>
              <w:rPr>
                <w:rFonts w:eastAsia="Times New Roman"/>
                <w:sz w:val="18"/>
                <w:szCs w:val="18"/>
              </w:rPr>
            </w:pPr>
            <w:r>
              <w:rPr>
                <w:rFonts w:eastAsia="Times New Roman"/>
                <w:sz w:val="18"/>
                <w:szCs w:val="18"/>
              </w:rPr>
              <w:t>Zero</w:t>
            </w:r>
          </w:p>
        </w:tc>
        <w:tc>
          <w:tcPr>
            <w:tcW w:w="2347" w:type="dxa"/>
            <w:tcBorders>
              <w:bottom w:val="single" w:sz="8" w:space="0" w:color="auto"/>
              <w:right w:val="single" w:sz="8" w:space="0" w:color="auto"/>
            </w:tcBorders>
            <w:vAlign w:val="center"/>
          </w:tcPr>
          <w:p w14:paraId="670A72C3" w14:textId="46DF88AB" w:rsidR="00590258" w:rsidRDefault="00590258" w:rsidP="000455D1">
            <w:pPr>
              <w:jc w:val="center"/>
              <w:rPr>
                <w:rFonts w:eastAsia="Times New Roman"/>
                <w:sz w:val="18"/>
                <w:szCs w:val="18"/>
              </w:rPr>
            </w:pPr>
            <w:r>
              <w:rPr>
                <w:rFonts w:eastAsia="Times New Roman"/>
                <w:sz w:val="18"/>
                <w:szCs w:val="18"/>
              </w:rPr>
              <w:t>0.01</w:t>
            </w:r>
            <w:r w:rsidR="00F14488">
              <w:rPr>
                <w:rFonts w:eastAsia="Times New Roman"/>
                <w:sz w:val="18"/>
                <w:szCs w:val="18"/>
              </w:rPr>
              <w:t>0</w:t>
            </w:r>
          </w:p>
        </w:tc>
        <w:tc>
          <w:tcPr>
            <w:tcW w:w="4046" w:type="dxa"/>
            <w:tcBorders>
              <w:bottom w:val="single" w:sz="8" w:space="0" w:color="auto"/>
              <w:right w:val="single" w:sz="8" w:space="0" w:color="auto"/>
            </w:tcBorders>
          </w:tcPr>
          <w:p w14:paraId="16E19C60" w14:textId="74D17625" w:rsidR="00590258" w:rsidRDefault="00590258" w:rsidP="000455D1">
            <w:pPr>
              <w:spacing w:line="311" w:lineRule="auto"/>
              <w:ind w:left="86"/>
              <w:rPr>
                <w:rFonts w:eastAsia="Times New Roman"/>
                <w:sz w:val="18"/>
                <w:szCs w:val="18"/>
              </w:rPr>
            </w:pPr>
            <w:r>
              <w:rPr>
                <w:rFonts w:eastAsia="Times New Roman"/>
                <w:sz w:val="18"/>
                <w:szCs w:val="18"/>
              </w:rPr>
              <w:t>Some people who drink water containing bromate in</w:t>
            </w:r>
            <w:r w:rsidR="00F9273D">
              <w:rPr>
                <w:rFonts w:eastAsia="Times New Roman"/>
                <w:sz w:val="18"/>
                <w:szCs w:val="18"/>
              </w:rPr>
              <w:t xml:space="preserve"> </w:t>
            </w:r>
            <w:r>
              <w:rPr>
                <w:rFonts w:eastAsia="Times New Roman"/>
                <w:sz w:val="18"/>
                <w:szCs w:val="18"/>
              </w:rPr>
              <w:t>excess of the MCL over many years may have an</w:t>
            </w:r>
            <w:r w:rsidR="00F9273D">
              <w:rPr>
                <w:rFonts w:eastAsia="Times New Roman"/>
                <w:sz w:val="18"/>
                <w:szCs w:val="18"/>
              </w:rPr>
              <w:t xml:space="preserve"> </w:t>
            </w:r>
            <w:r>
              <w:rPr>
                <w:rFonts w:eastAsia="Times New Roman"/>
                <w:sz w:val="18"/>
                <w:szCs w:val="18"/>
              </w:rPr>
              <w:t>increased risk of getting cancer.</w:t>
            </w:r>
          </w:p>
        </w:tc>
      </w:tr>
      <w:tr w:rsidR="00F9273D" w14:paraId="6AD51692" w14:textId="77777777" w:rsidTr="000455D1">
        <w:trPr>
          <w:trHeight w:val="1045"/>
        </w:trPr>
        <w:tc>
          <w:tcPr>
            <w:tcW w:w="2733" w:type="dxa"/>
            <w:tcBorders>
              <w:left w:val="single" w:sz="8" w:space="0" w:color="auto"/>
              <w:bottom w:val="single" w:sz="8" w:space="0" w:color="auto"/>
              <w:right w:val="single" w:sz="8" w:space="0" w:color="auto"/>
            </w:tcBorders>
            <w:vAlign w:val="center"/>
          </w:tcPr>
          <w:p w14:paraId="6816DF3D" w14:textId="09FE57F4" w:rsidR="00F9273D" w:rsidRPr="0010774A" w:rsidRDefault="00F9273D" w:rsidP="00563A54">
            <w:pPr>
              <w:numPr>
                <w:ilvl w:val="0"/>
                <w:numId w:val="521"/>
              </w:numPr>
              <w:tabs>
                <w:tab w:val="left" w:pos="290"/>
              </w:tabs>
              <w:ind w:left="20"/>
              <w:rPr>
                <w:sz w:val="20"/>
                <w:szCs w:val="20"/>
              </w:rPr>
            </w:pPr>
            <w:r>
              <w:rPr>
                <w:rFonts w:eastAsia="Times New Roman"/>
                <w:sz w:val="18"/>
                <w:szCs w:val="18"/>
              </w:rPr>
              <w:t>Chlorite</w:t>
            </w:r>
          </w:p>
        </w:tc>
        <w:tc>
          <w:tcPr>
            <w:tcW w:w="1357" w:type="dxa"/>
            <w:tcBorders>
              <w:top w:val="single" w:sz="8" w:space="0" w:color="auto"/>
              <w:bottom w:val="single" w:sz="8" w:space="0" w:color="auto"/>
              <w:right w:val="single" w:sz="8" w:space="0" w:color="auto"/>
            </w:tcBorders>
            <w:vAlign w:val="center"/>
          </w:tcPr>
          <w:p w14:paraId="507F20C5" w14:textId="7D80D778" w:rsidR="00F9273D" w:rsidRDefault="00F9273D" w:rsidP="000455D1">
            <w:pPr>
              <w:jc w:val="center"/>
              <w:rPr>
                <w:sz w:val="20"/>
                <w:szCs w:val="20"/>
              </w:rPr>
            </w:pPr>
            <w:r>
              <w:rPr>
                <w:rFonts w:eastAsia="Times New Roman"/>
                <w:sz w:val="18"/>
                <w:szCs w:val="18"/>
              </w:rPr>
              <w:t>0.08</w:t>
            </w:r>
          </w:p>
        </w:tc>
        <w:tc>
          <w:tcPr>
            <w:tcW w:w="2347" w:type="dxa"/>
            <w:tcBorders>
              <w:bottom w:val="single" w:sz="8" w:space="0" w:color="auto"/>
              <w:right w:val="single" w:sz="8" w:space="0" w:color="auto"/>
            </w:tcBorders>
            <w:vAlign w:val="center"/>
          </w:tcPr>
          <w:p w14:paraId="3818F7D7" w14:textId="6EC982AE" w:rsidR="00F9273D" w:rsidRDefault="00F9273D" w:rsidP="000455D1">
            <w:pPr>
              <w:jc w:val="center"/>
              <w:rPr>
                <w:sz w:val="20"/>
                <w:szCs w:val="20"/>
              </w:rPr>
            </w:pPr>
            <w:r>
              <w:rPr>
                <w:rFonts w:eastAsia="Times New Roman"/>
                <w:sz w:val="18"/>
                <w:szCs w:val="18"/>
              </w:rPr>
              <w:t>1</w:t>
            </w:r>
            <w:r w:rsidR="003D7A9B">
              <w:rPr>
                <w:rFonts w:eastAsia="Times New Roman"/>
                <w:sz w:val="18"/>
                <w:szCs w:val="18"/>
              </w:rPr>
              <w:t>.0</w:t>
            </w:r>
          </w:p>
        </w:tc>
        <w:tc>
          <w:tcPr>
            <w:tcW w:w="4046" w:type="dxa"/>
            <w:tcBorders>
              <w:bottom w:val="single" w:sz="8" w:space="0" w:color="auto"/>
              <w:right w:val="single" w:sz="8" w:space="0" w:color="auto"/>
            </w:tcBorders>
          </w:tcPr>
          <w:p w14:paraId="30E8B784" w14:textId="623ACDF6" w:rsidR="00F9273D" w:rsidRPr="005E79D9" w:rsidRDefault="00F9273D" w:rsidP="000455D1">
            <w:pPr>
              <w:spacing w:line="311" w:lineRule="auto"/>
              <w:ind w:left="86"/>
              <w:rPr>
                <w:rFonts w:eastAsia="Times New Roman"/>
                <w:sz w:val="18"/>
                <w:szCs w:val="18"/>
              </w:rPr>
            </w:pPr>
            <w:r>
              <w:rPr>
                <w:rFonts w:eastAsia="Times New Roman"/>
                <w:sz w:val="18"/>
                <w:szCs w:val="18"/>
              </w:rPr>
              <w:t>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tc>
      </w:tr>
      <w:tr w:rsidR="00F9273D" w14:paraId="6CEB4FE7" w14:textId="77777777" w:rsidTr="000455D1">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0BCFD428" w14:textId="605783F8" w:rsidR="00F9273D" w:rsidRDefault="00F9273D" w:rsidP="00563A54">
            <w:pPr>
              <w:numPr>
                <w:ilvl w:val="0"/>
                <w:numId w:val="521"/>
              </w:numPr>
              <w:tabs>
                <w:tab w:val="left" w:pos="290"/>
              </w:tabs>
              <w:ind w:left="20"/>
              <w:rPr>
                <w:sz w:val="20"/>
                <w:szCs w:val="20"/>
              </w:rPr>
            </w:pPr>
            <w:r>
              <w:rPr>
                <w:rFonts w:eastAsia="Times New Roman"/>
                <w:sz w:val="18"/>
                <w:szCs w:val="18"/>
              </w:rPr>
              <w:t>Chlorine</w:t>
            </w:r>
          </w:p>
        </w:tc>
        <w:tc>
          <w:tcPr>
            <w:tcW w:w="1357" w:type="dxa"/>
            <w:tcBorders>
              <w:top w:val="single" w:sz="8" w:space="0" w:color="auto"/>
              <w:left w:val="single" w:sz="8" w:space="0" w:color="auto"/>
              <w:bottom w:val="single" w:sz="8" w:space="0" w:color="auto"/>
              <w:right w:val="single" w:sz="8" w:space="0" w:color="auto"/>
            </w:tcBorders>
            <w:vAlign w:val="center"/>
          </w:tcPr>
          <w:p w14:paraId="3F0AB269" w14:textId="186EAD11" w:rsidR="00F9273D" w:rsidRDefault="00F9273D" w:rsidP="000455D1">
            <w:pPr>
              <w:jc w:val="center"/>
              <w:rPr>
                <w:sz w:val="20"/>
                <w:szCs w:val="20"/>
              </w:rPr>
            </w:pPr>
            <w:r>
              <w:rPr>
                <w:rFonts w:eastAsia="Times New Roman"/>
                <w:sz w:val="18"/>
                <w:szCs w:val="18"/>
              </w:rPr>
              <w:t>4 (MRDLG)</w:t>
            </w:r>
            <w:r w:rsidRPr="00F9273D">
              <w:rPr>
                <w:rFonts w:eastAsia="Times New Roman"/>
                <w:sz w:val="18"/>
                <w:szCs w:val="18"/>
                <w:vertAlign w:val="superscript"/>
              </w:rPr>
              <w:t>22</w:t>
            </w:r>
          </w:p>
        </w:tc>
        <w:tc>
          <w:tcPr>
            <w:tcW w:w="2347" w:type="dxa"/>
            <w:tcBorders>
              <w:top w:val="single" w:sz="8" w:space="0" w:color="auto"/>
              <w:bottom w:val="single" w:sz="8" w:space="0" w:color="auto"/>
              <w:right w:val="single" w:sz="8" w:space="0" w:color="auto"/>
            </w:tcBorders>
            <w:vAlign w:val="center"/>
          </w:tcPr>
          <w:p w14:paraId="186B429C" w14:textId="68F23532" w:rsidR="00F9273D" w:rsidRDefault="00F9273D" w:rsidP="000455D1">
            <w:pPr>
              <w:jc w:val="center"/>
              <w:rPr>
                <w:sz w:val="20"/>
                <w:szCs w:val="20"/>
              </w:rPr>
            </w:pPr>
            <w:r>
              <w:rPr>
                <w:rFonts w:eastAsia="Times New Roman"/>
                <w:sz w:val="18"/>
                <w:szCs w:val="18"/>
              </w:rPr>
              <w:t>4.0 (MRDL)</w:t>
            </w:r>
            <w:r w:rsidRPr="00F9273D">
              <w:rPr>
                <w:rFonts w:eastAsia="Times New Roman"/>
                <w:sz w:val="18"/>
                <w:szCs w:val="18"/>
                <w:vertAlign w:val="superscript"/>
              </w:rPr>
              <w:t>23</w:t>
            </w:r>
          </w:p>
        </w:tc>
        <w:tc>
          <w:tcPr>
            <w:tcW w:w="4046" w:type="dxa"/>
            <w:tcBorders>
              <w:top w:val="single" w:sz="8" w:space="0" w:color="auto"/>
              <w:bottom w:val="single" w:sz="8" w:space="0" w:color="auto"/>
              <w:right w:val="single" w:sz="8" w:space="0" w:color="auto"/>
            </w:tcBorders>
          </w:tcPr>
          <w:p w14:paraId="65E713B1" w14:textId="14628C1E" w:rsidR="00F9273D" w:rsidRPr="00E80B69" w:rsidRDefault="00F9273D" w:rsidP="00F9273D">
            <w:pPr>
              <w:spacing w:line="311" w:lineRule="auto"/>
              <w:ind w:left="86"/>
              <w:rPr>
                <w:rFonts w:eastAsia="Times New Roman"/>
                <w:sz w:val="18"/>
                <w:szCs w:val="18"/>
              </w:rPr>
            </w:pPr>
            <w:r>
              <w:rPr>
                <w:rFonts w:eastAsia="Times New Roman"/>
                <w:sz w:val="18"/>
                <w:szCs w:val="18"/>
              </w:rPr>
              <w:t>Some people who use water containing chlorine well in excess of the MRDL could experience irritating effects to their eyes and nose. Some people who drink water containing chlorine well in excess of the MRDL could experience stomach discomfort.</w:t>
            </w:r>
          </w:p>
        </w:tc>
      </w:tr>
      <w:tr w:rsidR="00F9273D" w14:paraId="13EC2598" w14:textId="77777777" w:rsidTr="000455D1">
        <w:trPr>
          <w:trHeight w:val="1144"/>
        </w:trPr>
        <w:tc>
          <w:tcPr>
            <w:tcW w:w="2733" w:type="dxa"/>
            <w:tcBorders>
              <w:top w:val="single" w:sz="8" w:space="0" w:color="auto"/>
              <w:left w:val="single" w:sz="8" w:space="0" w:color="auto"/>
              <w:bottom w:val="single" w:sz="8" w:space="0" w:color="auto"/>
              <w:right w:val="single" w:sz="8" w:space="0" w:color="auto"/>
            </w:tcBorders>
            <w:vAlign w:val="center"/>
          </w:tcPr>
          <w:p w14:paraId="1A65529F" w14:textId="4CEEE9E1" w:rsidR="00F9273D" w:rsidRDefault="00F9273D" w:rsidP="00563A54">
            <w:pPr>
              <w:numPr>
                <w:ilvl w:val="0"/>
                <w:numId w:val="521"/>
              </w:numPr>
              <w:tabs>
                <w:tab w:val="left" w:pos="290"/>
              </w:tabs>
              <w:ind w:left="20"/>
              <w:rPr>
                <w:sz w:val="20"/>
                <w:szCs w:val="20"/>
              </w:rPr>
            </w:pPr>
            <w:r>
              <w:rPr>
                <w:rFonts w:eastAsia="Times New Roman"/>
                <w:sz w:val="18"/>
                <w:szCs w:val="18"/>
              </w:rPr>
              <w:t>Chloramines</w:t>
            </w:r>
          </w:p>
        </w:tc>
        <w:tc>
          <w:tcPr>
            <w:tcW w:w="1357" w:type="dxa"/>
            <w:tcBorders>
              <w:top w:val="single" w:sz="8" w:space="0" w:color="auto"/>
              <w:left w:val="single" w:sz="8" w:space="0" w:color="auto"/>
              <w:bottom w:val="single" w:sz="8" w:space="0" w:color="auto"/>
              <w:right w:val="single" w:sz="8" w:space="0" w:color="auto"/>
            </w:tcBorders>
            <w:vAlign w:val="center"/>
          </w:tcPr>
          <w:p w14:paraId="3C1F616C" w14:textId="7D25B2FC" w:rsidR="00F9273D" w:rsidRDefault="00F9273D" w:rsidP="000455D1">
            <w:pPr>
              <w:jc w:val="center"/>
              <w:rPr>
                <w:sz w:val="20"/>
                <w:szCs w:val="20"/>
              </w:rPr>
            </w:pPr>
            <w:r>
              <w:rPr>
                <w:rFonts w:eastAsia="Times New Roman"/>
                <w:sz w:val="18"/>
                <w:szCs w:val="18"/>
              </w:rPr>
              <w:t>4 (MRDLG)</w:t>
            </w:r>
          </w:p>
        </w:tc>
        <w:tc>
          <w:tcPr>
            <w:tcW w:w="2347" w:type="dxa"/>
            <w:tcBorders>
              <w:top w:val="single" w:sz="8" w:space="0" w:color="auto"/>
              <w:bottom w:val="single" w:sz="8" w:space="0" w:color="auto"/>
              <w:right w:val="single" w:sz="8" w:space="0" w:color="auto"/>
            </w:tcBorders>
            <w:vAlign w:val="center"/>
          </w:tcPr>
          <w:p w14:paraId="1AE946E6" w14:textId="2A50589F" w:rsidR="00F9273D" w:rsidRDefault="00F9273D" w:rsidP="000455D1">
            <w:pPr>
              <w:jc w:val="center"/>
              <w:rPr>
                <w:sz w:val="20"/>
                <w:szCs w:val="20"/>
              </w:rPr>
            </w:pPr>
            <w:r>
              <w:rPr>
                <w:rFonts w:eastAsia="Times New Roman"/>
                <w:sz w:val="18"/>
                <w:szCs w:val="18"/>
              </w:rPr>
              <w:t>4.0 (MRDL)</w:t>
            </w:r>
          </w:p>
        </w:tc>
        <w:tc>
          <w:tcPr>
            <w:tcW w:w="4046" w:type="dxa"/>
            <w:tcBorders>
              <w:top w:val="single" w:sz="8" w:space="0" w:color="auto"/>
              <w:bottom w:val="single" w:sz="8" w:space="0" w:color="auto"/>
              <w:right w:val="single" w:sz="8" w:space="0" w:color="auto"/>
            </w:tcBorders>
          </w:tcPr>
          <w:p w14:paraId="0251B728" w14:textId="4628CA86" w:rsidR="00F9273D" w:rsidRPr="00E80B69" w:rsidRDefault="00F9273D" w:rsidP="00F9273D">
            <w:pPr>
              <w:spacing w:line="311" w:lineRule="auto"/>
              <w:ind w:left="86"/>
              <w:rPr>
                <w:rFonts w:eastAsia="Times New Roman"/>
                <w:sz w:val="18"/>
                <w:szCs w:val="18"/>
              </w:rPr>
            </w:pPr>
            <w:r>
              <w:rPr>
                <w:rFonts w:eastAsia="Times New Roman"/>
                <w:sz w:val="18"/>
                <w:szCs w:val="18"/>
              </w:rPr>
              <w:t>Some people who use water containing chloramines well in excess of the MRDL could experience irritating effects to their eyes and nose. Some people who drink water containing chloramines well in excess of the MRDL could experience stomach discomfort or anemia.</w:t>
            </w:r>
          </w:p>
        </w:tc>
      </w:tr>
      <w:tr w:rsidR="00F9273D" w14:paraId="4E63665E" w14:textId="77777777" w:rsidTr="000455D1">
        <w:trPr>
          <w:trHeight w:val="1072"/>
        </w:trPr>
        <w:tc>
          <w:tcPr>
            <w:tcW w:w="2733" w:type="dxa"/>
            <w:tcBorders>
              <w:top w:val="single" w:sz="8" w:space="0" w:color="auto"/>
              <w:left w:val="single" w:sz="8" w:space="0" w:color="auto"/>
              <w:bottom w:val="single" w:sz="8" w:space="0" w:color="auto"/>
              <w:right w:val="single" w:sz="8" w:space="0" w:color="auto"/>
            </w:tcBorders>
            <w:vAlign w:val="center"/>
          </w:tcPr>
          <w:p w14:paraId="656AE434" w14:textId="2C9FB06D" w:rsidR="00F9273D" w:rsidRDefault="00F9273D" w:rsidP="009440B0">
            <w:pPr>
              <w:tabs>
                <w:tab w:val="left" w:pos="380"/>
                <w:tab w:val="left" w:pos="2760"/>
                <w:tab w:val="left" w:pos="4020"/>
              </w:tabs>
              <w:ind w:left="20"/>
              <w:rPr>
                <w:sz w:val="20"/>
                <w:szCs w:val="20"/>
              </w:rPr>
            </w:pPr>
            <w:r>
              <w:rPr>
                <w:rFonts w:eastAsia="Times New Roman"/>
                <w:sz w:val="18"/>
                <w:szCs w:val="18"/>
              </w:rPr>
              <w:t>87a.</w:t>
            </w:r>
            <w:r>
              <w:rPr>
                <w:rFonts w:eastAsia="Times New Roman"/>
                <w:sz w:val="18"/>
                <w:szCs w:val="18"/>
              </w:rPr>
              <w:tab/>
              <w:t>Chlorine dioxide, where</w:t>
            </w:r>
            <w:r w:rsidR="009440B0">
              <w:rPr>
                <w:rFonts w:eastAsia="Times New Roman"/>
                <w:sz w:val="18"/>
                <w:szCs w:val="18"/>
              </w:rPr>
              <w:t xml:space="preserve"> any two consecutive daily samples taken at the entrance to the Distribution System are above the MRDL.</w:t>
            </w:r>
          </w:p>
        </w:tc>
        <w:tc>
          <w:tcPr>
            <w:tcW w:w="1357" w:type="dxa"/>
            <w:tcBorders>
              <w:top w:val="single" w:sz="8" w:space="0" w:color="auto"/>
              <w:left w:val="single" w:sz="8" w:space="0" w:color="auto"/>
              <w:bottom w:val="single" w:sz="8" w:space="0" w:color="auto"/>
              <w:right w:val="single" w:sz="8" w:space="0" w:color="auto"/>
            </w:tcBorders>
            <w:vAlign w:val="center"/>
          </w:tcPr>
          <w:p w14:paraId="50C18145" w14:textId="6AC6D490" w:rsidR="00F9273D" w:rsidRDefault="00F9273D" w:rsidP="000455D1">
            <w:pPr>
              <w:jc w:val="center"/>
              <w:rPr>
                <w:sz w:val="20"/>
                <w:szCs w:val="20"/>
              </w:rPr>
            </w:pPr>
            <w:r>
              <w:rPr>
                <w:rFonts w:eastAsia="Times New Roman"/>
                <w:sz w:val="18"/>
                <w:szCs w:val="18"/>
              </w:rPr>
              <w:t>0.8 (MRDLG)</w:t>
            </w:r>
          </w:p>
        </w:tc>
        <w:tc>
          <w:tcPr>
            <w:tcW w:w="2347" w:type="dxa"/>
            <w:tcBorders>
              <w:top w:val="single" w:sz="8" w:space="0" w:color="auto"/>
              <w:bottom w:val="single" w:sz="8" w:space="0" w:color="auto"/>
              <w:right w:val="single" w:sz="8" w:space="0" w:color="auto"/>
            </w:tcBorders>
            <w:vAlign w:val="center"/>
          </w:tcPr>
          <w:p w14:paraId="2A8920DD" w14:textId="0A6365CA" w:rsidR="00F9273D" w:rsidRDefault="00F9273D" w:rsidP="000455D1">
            <w:pPr>
              <w:jc w:val="center"/>
              <w:rPr>
                <w:sz w:val="20"/>
                <w:szCs w:val="20"/>
              </w:rPr>
            </w:pPr>
            <w:r>
              <w:rPr>
                <w:rFonts w:eastAsia="Times New Roman"/>
                <w:sz w:val="18"/>
                <w:szCs w:val="18"/>
              </w:rPr>
              <w:t>0.8 (MRDL)</w:t>
            </w:r>
          </w:p>
        </w:tc>
        <w:tc>
          <w:tcPr>
            <w:tcW w:w="4046" w:type="dxa"/>
            <w:tcBorders>
              <w:top w:val="single" w:sz="8" w:space="0" w:color="auto"/>
              <w:bottom w:val="single" w:sz="8" w:space="0" w:color="auto"/>
              <w:right w:val="single" w:sz="8" w:space="0" w:color="auto"/>
            </w:tcBorders>
          </w:tcPr>
          <w:p w14:paraId="69BE8E3B" w14:textId="3F7E9999" w:rsidR="00F9273D" w:rsidRPr="00E80B69" w:rsidRDefault="009440B0" w:rsidP="00F9273D">
            <w:pPr>
              <w:spacing w:line="311" w:lineRule="auto"/>
              <w:ind w:left="86"/>
              <w:rPr>
                <w:rFonts w:eastAsia="Times New Roman"/>
                <w:sz w:val="18"/>
                <w:szCs w:val="18"/>
              </w:rPr>
            </w:pPr>
            <w:r>
              <w:rPr>
                <w:rFonts w:eastAsia="Times New Roman"/>
                <w:sz w:val="18"/>
                <w:szCs w:val="18"/>
              </w:rPr>
              <w:t xml:space="preserve">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 </w:t>
            </w:r>
            <w:r>
              <w:rPr>
                <w:rFonts w:eastAsia="Times New Roman"/>
                <w:i/>
                <w:iCs/>
                <w:sz w:val="18"/>
                <w:szCs w:val="18"/>
              </w:rPr>
              <w:t xml:space="preserve">Add for public notification only: </w:t>
            </w:r>
            <w:r>
              <w:rPr>
                <w:rFonts w:eastAsia="Times New Roman"/>
                <w:sz w:val="18"/>
                <w:szCs w:val="18"/>
              </w:rPr>
              <w:t>The chlorine</w:t>
            </w:r>
            <w:r>
              <w:rPr>
                <w:rFonts w:eastAsia="Times New Roman"/>
                <w:i/>
                <w:iCs/>
                <w:sz w:val="18"/>
                <w:szCs w:val="18"/>
              </w:rPr>
              <w:t xml:space="preserve"> </w:t>
            </w:r>
            <w:r>
              <w:rPr>
                <w:rFonts w:eastAsia="Times New Roman"/>
                <w:sz w:val="18"/>
                <w:szCs w:val="18"/>
              </w:rPr>
              <w:t>dioxide violations reported today are the result of exceedances at the treatment facility only, not within the distribution system which delivers water to consumers. Continued compliance with chlorine dioxide levels within the distribution system minimizes the potential risk of these violations to consumers.</w:t>
            </w:r>
          </w:p>
        </w:tc>
      </w:tr>
      <w:tr w:rsidR="009440B0" w14:paraId="6CF9AEDA" w14:textId="77777777" w:rsidTr="000455D1">
        <w:trPr>
          <w:trHeight w:val="874"/>
        </w:trPr>
        <w:tc>
          <w:tcPr>
            <w:tcW w:w="2733" w:type="dxa"/>
            <w:tcBorders>
              <w:top w:val="single" w:sz="8" w:space="0" w:color="auto"/>
              <w:left w:val="single" w:sz="8" w:space="0" w:color="auto"/>
              <w:bottom w:val="single" w:sz="8" w:space="0" w:color="auto"/>
              <w:right w:val="single" w:sz="8" w:space="0" w:color="auto"/>
            </w:tcBorders>
            <w:vAlign w:val="center"/>
          </w:tcPr>
          <w:p w14:paraId="565B046E" w14:textId="46707602" w:rsidR="009440B0" w:rsidRDefault="009440B0" w:rsidP="000455D1">
            <w:pPr>
              <w:tabs>
                <w:tab w:val="left" w:pos="290"/>
                <w:tab w:val="left" w:pos="380"/>
              </w:tabs>
              <w:ind w:left="20"/>
              <w:rPr>
                <w:sz w:val="20"/>
                <w:szCs w:val="20"/>
              </w:rPr>
            </w:pPr>
            <w:r>
              <w:rPr>
                <w:rFonts w:eastAsia="Times New Roman"/>
                <w:sz w:val="18"/>
                <w:szCs w:val="18"/>
              </w:rPr>
              <w:t>87b.</w:t>
            </w:r>
            <w:r>
              <w:rPr>
                <w:rFonts w:eastAsia="Times New Roman"/>
                <w:sz w:val="18"/>
                <w:szCs w:val="18"/>
              </w:rPr>
              <w:tab/>
              <w:t>Chlorine dioxide, where</w:t>
            </w:r>
            <w:r w:rsidR="000455D1">
              <w:rPr>
                <w:rFonts w:eastAsia="Times New Roman"/>
                <w:sz w:val="18"/>
                <w:szCs w:val="18"/>
              </w:rPr>
              <w:t xml:space="preserve"> one or more Distribution System samples are above the MRDL.</w:t>
            </w:r>
          </w:p>
        </w:tc>
        <w:tc>
          <w:tcPr>
            <w:tcW w:w="1357" w:type="dxa"/>
            <w:tcBorders>
              <w:top w:val="single" w:sz="8" w:space="0" w:color="auto"/>
              <w:left w:val="single" w:sz="8" w:space="0" w:color="auto"/>
              <w:bottom w:val="single" w:sz="8" w:space="0" w:color="auto"/>
              <w:right w:val="single" w:sz="8" w:space="0" w:color="auto"/>
            </w:tcBorders>
            <w:vAlign w:val="center"/>
          </w:tcPr>
          <w:p w14:paraId="7CC5D975" w14:textId="0264937A" w:rsidR="009440B0" w:rsidRDefault="009440B0" w:rsidP="000455D1">
            <w:pPr>
              <w:jc w:val="center"/>
              <w:rPr>
                <w:sz w:val="20"/>
                <w:szCs w:val="20"/>
              </w:rPr>
            </w:pPr>
            <w:r>
              <w:rPr>
                <w:rFonts w:eastAsia="Times New Roman"/>
                <w:sz w:val="18"/>
                <w:szCs w:val="18"/>
              </w:rPr>
              <w:t>0.8 (MRDLG)</w:t>
            </w:r>
          </w:p>
        </w:tc>
        <w:tc>
          <w:tcPr>
            <w:tcW w:w="2347" w:type="dxa"/>
            <w:tcBorders>
              <w:top w:val="single" w:sz="8" w:space="0" w:color="auto"/>
              <w:bottom w:val="single" w:sz="8" w:space="0" w:color="auto"/>
              <w:right w:val="single" w:sz="8" w:space="0" w:color="auto"/>
            </w:tcBorders>
            <w:vAlign w:val="center"/>
          </w:tcPr>
          <w:p w14:paraId="4D34541D" w14:textId="677A6CE9" w:rsidR="009440B0" w:rsidRDefault="009440B0" w:rsidP="000455D1">
            <w:pPr>
              <w:jc w:val="center"/>
              <w:rPr>
                <w:sz w:val="20"/>
                <w:szCs w:val="20"/>
              </w:rPr>
            </w:pPr>
            <w:r>
              <w:rPr>
                <w:rFonts w:eastAsia="Times New Roman"/>
                <w:sz w:val="18"/>
                <w:szCs w:val="18"/>
              </w:rPr>
              <w:t>0.8 (MRDL)</w:t>
            </w:r>
          </w:p>
        </w:tc>
        <w:tc>
          <w:tcPr>
            <w:tcW w:w="4046" w:type="dxa"/>
            <w:tcBorders>
              <w:top w:val="single" w:sz="8" w:space="0" w:color="auto"/>
              <w:bottom w:val="single" w:sz="8" w:space="0" w:color="auto"/>
              <w:right w:val="single" w:sz="8" w:space="0" w:color="auto"/>
            </w:tcBorders>
          </w:tcPr>
          <w:p w14:paraId="6B8BCB0D" w14:textId="5F8EFF24" w:rsidR="009440B0" w:rsidRPr="007420E6" w:rsidRDefault="000455D1" w:rsidP="009440B0">
            <w:pPr>
              <w:spacing w:line="311" w:lineRule="auto"/>
              <w:ind w:left="86"/>
              <w:rPr>
                <w:rFonts w:eastAsia="Times New Roman"/>
                <w:sz w:val="18"/>
                <w:szCs w:val="18"/>
              </w:rPr>
            </w:pPr>
            <w:r>
              <w:rPr>
                <w:rFonts w:eastAsia="Times New Roman"/>
                <w:sz w:val="18"/>
                <w:szCs w:val="18"/>
              </w:rPr>
              <w:t xml:space="preserve">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 </w:t>
            </w:r>
            <w:r>
              <w:rPr>
                <w:rFonts w:eastAsia="Times New Roman"/>
                <w:i/>
                <w:iCs/>
                <w:sz w:val="18"/>
                <w:szCs w:val="18"/>
              </w:rPr>
              <w:t xml:space="preserve">Add for public notification only: </w:t>
            </w:r>
            <w:r>
              <w:rPr>
                <w:rFonts w:eastAsia="Times New Roman"/>
                <w:sz w:val="18"/>
                <w:szCs w:val="18"/>
              </w:rPr>
              <w:t>The chlorine</w:t>
            </w:r>
            <w:r>
              <w:rPr>
                <w:rFonts w:eastAsia="Times New Roman"/>
                <w:i/>
                <w:iCs/>
                <w:sz w:val="18"/>
                <w:szCs w:val="18"/>
              </w:rPr>
              <w:t xml:space="preserve"> </w:t>
            </w:r>
            <w:r>
              <w:rPr>
                <w:rFonts w:eastAsia="Times New Roman"/>
                <w:sz w:val="18"/>
                <w:szCs w:val="18"/>
              </w:rPr>
              <w:t>dioxide violations reported today include exceedances of the EPA standard within the distribution system which delivers water to consumers. Violations of the chlorine dioxide standard within the distribution system may harm human health based on short-term exposures. Certain groups, including fetuses, infants, and young children, may be especially susceptible to nervous system effects from excessive chlorine dioxide exposure.</w:t>
            </w:r>
          </w:p>
        </w:tc>
      </w:tr>
    </w:tbl>
    <w:p w14:paraId="281A201E" w14:textId="52DBC2DE" w:rsidR="004647B9" w:rsidRDefault="004647B9" w:rsidP="000455D1">
      <w:pPr>
        <w:rPr>
          <w:sz w:val="20"/>
          <w:szCs w:val="20"/>
        </w:rPr>
      </w:pPr>
    </w:p>
    <w:p w14:paraId="281A201F" w14:textId="77777777" w:rsidR="004647B9" w:rsidRDefault="004647B9" w:rsidP="000455D1">
      <w:pPr>
        <w:sectPr w:rsidR="004647B9" w:rsidSect="00EF630C">
          <w:pgSz w:w="12240" w:h="20180"/>
          <w:pgMar w:top="708" w:right="1080" w:bottom="1440" w:left="600" w:header="0" w:footer="0" w:gutter="0"/>
          <w:cols w:space="720"/>
        </w:sectPr>
      </w:pPr>
    </w:p>
    <w:p w14:paraId="281A2070" w14:textId="77777777" w:rsidR="004647B9" w:rsidRDefault="00E2436F">
      <w:pPr>
        <w:tabs>
          <w:tab w:val="left" w:pos="2860"/>
        </w:tabs>
        <w:ind w:left="1680"/>
        <w:rPr>
          <w:sz w:val="20"/>
          <w:szCs w:val="20"/>
        </w:rPr>
      </w:pPr>
      <w:bookmarkStart w:id="206" w:name="page208"/>
      <w:bookmarkEnd w:id="20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071" w14:textId="77777777" w:rsidR="004647B9" w:rsidRDefault="004647B9" w:rsidP="00C105D6">
      <w:pPr>
        <w:rPr>
          <w:sz w:val="20"/>
          <w:szCs w:val="20"/>
        </w:rPr>
      </w:pPr>
    </w:p>
    <w:p w14:paraId="281A2072" w14:textId="77777777" w:rsidR="004647B9" w:rsidRDefault="004647B9" w:rsidP="00C105D6">
      <w:pPr>
        <w:rPr>
          <w:sz w:val="20"/>
          <w:szCs w:val="20"/>
        </w:rPr>
      </w:pPr>
    </w:p>
    <w:p w14:paraId="281A2073" w14:textId="77777777" w:rsidR="004647B9" w:rsidRPr="00C105D6" w:rsidRDefault="00E2436F" w:rsidP="00C105D6">
      <w:pPr>
        <w:tabs>
          <w:tab w:val="left" w:pos="760"/>
        </w:tabs>
        <w:rPr>
          <w:sz w:val="24"/>
          <w:szCs w:val="24"/>
        </w:rPr>
      </w:pPr>
      <w:r w:rsidRPr="00C105D6">
        <w:rPr>
          <w:rFonts w:eastAsia="Times New Roman"/>
          <w:sz w:val="24"/>
          <w:szCs w:val="24"/>
        </w:rPr>
        <w:t>22.16:</w:t>
      </w:r>
      <w:r w:rsidRPr="00C105D6">
        <w:rPr>
          <w:rFonts w:eastAsia="Times New Roman"/>
          <w:sz w:val="24"/>
          <w:szCs w:val="24"/>
        </w:rPr>
        <w:tab/>
        <w:t>continued</w:t>
      </w:r>
    </w:p>
    <w:p w14:paraId="281A2074" w14:textId="71C722E5" w:rsidR="004647B9" w:rsidRDefault="004647B9" w:rsidP="00C105D6">
      <w:pPr>
        <w:rPr>
          <w:sz w:val="20"/>
          <w:szCs w:val="20"/>
        </w:rPr>
      </w:pPr>
    </w:p>
    <w:tbl>
      <w:tblPr>
        <w:tblW w:w="10483" w:type="dxa"/>
        <w:tblInd w:w="50" w:type="dxa"/>
        <w:tblLayout w:type="fixed"/>
        <w:tblCellMar>
          <w:left w:w="0" w:type="dxa"/>
          <w:right w:w="0" w:type="dxa"/>
        </w:tblCellMar>
        <w:tblLook w:val="04A0" w:firstRow="1" w:lastRow="0" w:firstColumn="1" w:lastColumn="0" w:noHBand="0" w:noVBand="1"/>
      </w:tblPr>
      <w:tblGrid>
        <w:gridCol w:w="2733"/>
        <w:gridCol w:w="1357"/>
        <w:gridCol w:w="2330"/>
        <w:gridCol w:w="17"/>
        <w:gridCol w:w="4046"/>
      </w:tblGrid>
      <w:tr w:rsidR="000455D1" w14:paraId="6BE4DA7D" w14:textId="77777777" w:rsidTr="00DF6443">
        <w:trPr>
          <w:trHeight w:val="271"/>
        </w:trPr>
        <w:tc>
          <w:tcPr>
            <w:tcW w:w="2733" w:type="dxa"/>
            <w:tcBorders>
              <w:top w:val="single" w:sz="8" w:space="0" w:color="auto"/>
              <w:left w:val="single" w:sz="8" w:space="0" w:color="auto"/>
              <w:bottom w:val="single" w:sz="8" w:space="0" w:color="auto"/>
              <w:right w:val="single" w:sz="8" w:space="0" w:color="auto"/>
            </w:tcBorders>
            <w:vAlign w:val="center"/>
          </w:tcPr>
          <w:p w14:paraId="7307809E" w14:textId="77777777" w:rsidR="000455D1" w:rsidRDefault="000455D1" w:rsidP="00DF6443">
            <w:pPr>
              <w:ind w:left="43"/>
              <w:rPr>
                <w:sz w:val="23"/>
                <w:szCs w:val="23"/>
              </w:rPr>
            </w:pPr>
            <w:r>
              <w:rPr>
                <w:rFonts w:eastAsia="Times New Roman"/>
                <w:sz w:val="18"/>
                <w:szCs w:val="18"/>
              </w:rPr>
              <w:t>Contaminant</w:t>
            </w:r>
          </w:p>
        </w:tc>
        <w:tc>
          <w:tcPr>
            <w:tcW w:w="1357" w:type="dxa"/>
            <w:tcBorders>
              <w:top w:val="single" w:sz="8" w:space="0" w:color="auto"/>
              <w:left w:val="single" w:sz="8" w:space="0" w:color="auto"/>
              <w:bottom w:val="single" w:sz="8" w:space="0" w:color="auto"/>
              <w:right w:val="single" w:sz="8" w:space="0" w:color="auto"/>
            </w:tcBorders>
            <w:vAlign w:val="center"/>
          </w:tcPr>
          <w:p w14:paraId="01DE1E9F" w14:textId="77777777" w:rsidR="000455D1" w:rsidRDefault="000455D1"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7" w:type="dxa"/>
            <w:gridSpan w:val="2"/>
            <w:tcBorders>
              <w:top w:val="single" w:sz="8" w:space="0" w:color="auto"/>
              <w:left w:val="single" w:sz="8" w:space="0" w:color="auto"/>
              <w:bottom w:val="single" w:sz="8" w:space="0" w:color="auto"/>
              <w:right w:val="single" w:sz="8" w:space="0" w:color="auto"/>
            </w:tcBorders>
            <w:vAlign w:val="center"/>
          </w:tcPr>
          <w:p w14:paraId="41496F7C" w14:textId="77777777" w:rsidR="000455D1" w:rsidRDefault="000455D1"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6" w:type="dxa"/>
            <w:tcBorders>
              <w:top w:val="single" w:sz="8" w:space="0" w:color="auto"/>
              <w:bottom w:val="single" w:sz="8" w:space="0" w:color="auto"/>
              <w:right w:val="single" w:sz="8" w:space="0" w:color="auto"/>
            </w:tcBorders>
            <w:vAlign w:val="center"/>
          </w:tcPr>
          <w:p w14:paraId="3946CAF5" w14:textId="77777777" w:rsidR="000455D1" w:rsidRPr="005A4D34" w:rsidRDefault="000455D1" w:rsidP="00DF6443">
            <w:pPr>
              <w:ind w:left="40"/>
              <w:rPr>
                <w:sz w:val="18"/>
                <w:szCs w:val="18"/>
              </w:rPr>
            </w:pPr>
            <w:r w:rsidRPr="005A4D34">
              <w:rPr>
                <w:sz w:val="18"/>
                <w:szCs w:val="18"/>
              </w:rPr>
              <w:t>Standard health effects language for public notification</w:t>
            </w:r>
          </w:p>
        </w:tc>
      </w:tr>
      <w:tr w:rsidR="000455D1" w14:paraId="7BA44213" w14:textId="77777777" w:rsidTr="00DF6443">
        <w:trPr>
          <w:trHeight w:val="286"/>
        </w:trPr>
        <w:tc>
          <w:tcPr>
            <w:tcW w:w="10483" w:type="dxa"/>
            <w:gridSpan w:val="5"/>
            <w:tcBorders>
              <w:top w:val="single" w:sz="8" w:space="0" w:color="auto"/>
              <w:left w:val="single" w:sz="8" w:space="0" w:color="auto"/>
              <w:bottom w:val="single" w:sz="8" w:space="0" w:color="auto"/>
              <w:right w:val="single" w:sz="8" w:space="0" w:color="auto"/>
            </w:tcBorders>
            <w:vAlign w:val="center"/>
          </w:tcPr>
          <w:p w14:paraId="459EE42C" w14:textId="77777777" w:rsidR="000455D1" w:rsidRDefault="000455D1" w:rsidP="00DF6443">
            <w:pPr>
              <w:ind w:left="43"/>
              <w:rPr>
                <w:sz w:val="20"/>
                <w:szCs w:val="20"/>
              </w:rPr>
            </w:pPr>
            <w:r>
              <w:rPr>
                <w:rFonts w:eastAsia="Times New Roman"/>
                <w:sz w:val="18"/>
                <w:szCs w:val="18"/>
              </w:rPr>
              <w:t>National Primary Drinking Water Regulations (NPDWR) and Massachusetts Drinking Water Regulations:</w:t>
            </w:r>
          </w:p>
        </w:tc>
      </w:tr>
      <w:tr w:rsidR="000455D1" w14:paraId="5C287C05" w14:textId="77777777" w:rsidTr="000455D1">
        <w:trPr>
          <w:trHeight w:val="254"/>
        </w:trPr>
        <w:tc>
          <w:tcPr>
            <w:tcW w:w="2733" w:type="dxa"/>
            <w:tcBorders>
              <w:left w:val="single" w:sz="8" w:space="0" w:color="auto"/>
              <w:bottom w:val="single" w:sz="8" w:space="0" w:color="auto"/>
              <w:right w:val="single" w:sz="8" w:space="0" w:color="auto"/>
            </w:tcBorders>
            <w:vAlign w:val="center"/>
          </w:tcPr>
          <w:p w14:paraId="6787C7CA" w14:textId="0859B62D" w:rsidR="000455D1" w:rsidRDefault="000455D1" w:rsidP="00563A54">
            <w:pPr>
              <w:numPr>
                <w:ilvl w:val="0"/>
                <w:numId w:val="937"/>
              </w:numPr>
              <w:tabs>
                <w:tab w:val="left" w:pos="290"/>
              </w:tabs>
            </w:pPr>
            <w:r>
              <w:rPr>
                <w:rFonts w:eastAsia="Times New Roman"/>
                <w:sz w:val="18"/>
                <w:szCs w:val="18"/>
              </w:rPr>
              <w:t>Control of DBP precursors (TOC)</w:t>
            </w:r>
          </w:p>
        </w:tc>
        <w:tc>
          <w:tcPr>
            <w:tcW w:w="1357" w:type="dxa"/>
            <w:tcBorders>
              <w:bottom w:val="single" w:sz="8" w:space="0" w:color="auto"/>
              <w:right w:val="single" w:sz="8" w:space="0" w:color="auto"/>
            </w:tcBorders>
            <w:vAlign w:val="center"/>
          </w:tcPr>
          <w:p w14:paraId="5F087802" w14:textId="02BDDC72" w:rsidR="000455D1" w:rsidRDefault="000455D1" w:rsidP="000455D1">
            <w:pPr>
              <w:jc w:val="center"/>
              <w:rPr>
                <w:rFonts w:eastAsia="Times New Roman"/>
                <w:sz w:val="18"/>
                <w:szCs w:val="18"/>
              </w:rPr>
            </w:pPr>
            <w:r>
              <w:rPr>
                <w:rFonts w:eastAsia="Times New Roman"/>
                <w:sz w:val="18"/>
                <w:szCs w:val="18"/>
              </w:rPr>
              <w:t>None</w:t>
            </w:r>
          </w:p>
        </w:tc>
        <w:tc>
          <w:tcPr>
            <w:tcW w:w="2330" w:type="dxa"/>
            <w:tcBorders>
              <w:bottom w:val="single" w:sz="8" w:space="0" w:color="auto"/>
              <w:right w:val="single" w:sz="8" w:space="0" w:color="auto"/>
            </w:tcBorders>
            <w:vAlign w:val="center"/>
          </w:tcPr>
          <w:p w14:paraId="62F0C695" w14:textId="48BEC42D" w:rsidR="000455D1" w:rsidRDefault="000455D1" w:rsidP="000455D1">
            <w:pPr>
              <w:jc w:val="center"/>
              <w:rPr>
                <w:rFonts w:eastAsia="Times New Roman"/>
                <w:sz w:val="18"/>
                <w:szCs w:val="18"/>
              </w:rPr>
            </w:pPr>
            <w:r>
              <w:rPr>
                <w:rFonts w:eastAsia="Times New Roman"/>
                <w:sz w:val="18"/>
                <w:szCs w:val="18"/>
              </w:rPr>
              <w:t>TT</w:t>
            </w:r>
          </w:p>
        </w:tc>
        <w:tc>
          <w:tcPr>
            <w:tcW w:w="4063" w:type="dxa"/>
            <w:gridSpan w:val="2"/>
            <w:tcBorders>
              <w:bottom w:val="single" w:sz="8" w:space="0" w:color="auto"/>
              <w:right w:val="single" w:sz="8" w:space="0" w:color="auto"/>
            </w:tcBorders>
          </w:tcPr>
          <w:p w14:paraId="49FF2482" w14:textId="6F40B03A" w:rsidR="000455D1" w:rsidRDefault="000455D1" w:rsidP="000455D1">
            <w:pPr>
              <w:spacing w:line="311" w:lineRule="auto"/>
              <w:ind w:left="86"/>
              <w:rPr>
                <w:rFonts w:eastAsia="Times New Roman"/>
                <w:sz w:val="18"/>
                <w:szCs w:val="18"/>
              </w:rPr>
            </w:pPr>
            <w:r>
              <w:rPr>
                <w:rFonts w:eastAsia="Times New Roman"/>
                <w:sz w:val="18"/>
                <w:szCs w:val="18"/>
              </w:rPr>
              <w:t>Total organic carbon (TOC) has no health effects. However, total organic carbon provides a medium for the formation of disinfection byproducts.  These byproducts include Trihalomethanes (THMs) and haloacetic acids (HAAs).  Drinking water containing these byproducts in excess of the MCL may lead to adverse health effects, liver or kidney problems, or nervous system effects, and may lead to an increased risk of getting cancer.</w:t>
            </w:r>
          </w:p>
        </w:tc>
      </w:tr>
      <w:tr w:rsidR="000455D1" w14:paraId="238BD513" w14:textId="77777777" w:rsidTr="000455D1">
        <w:trPr>
          <w:trHeight w:val="288"/>
        </w:trPr>
        <w:tc>
          <w:tcPr>
            <w:tcW w:w="10483" w:type="dxa"/>
            <w:gridSpan w:val="5"/>
            <w:tcBorders>
              <w:left w:val="single" w:sz="8" w:space="0" w:color="auto"/>
              <w:bottom w:val="single" w:sz="8" w:space="0" w:color="auto"/>
              <w:right w:val="single" w:sz="8" w:space="0" w:color="auto"/>
            </w:tcBorders>
            <w:vAlign w:val="center"/>
          </w:tcPr>
          <w:p w14:paraId="6F2CC4EE" w14:textId="37A28912" w:rsidR="000455D1" w:rsidRPr="005E79D9" w:rsidRDefault="000455D1" w:rsidP="000455D1">
            <w:pPr>
              <w:spacing w:line="311" w:lineRule="auto"/>
              <w:ind w:left="86"/>
              <w:rPr>
                <w:rFonts w:eastAsia="Times New Roman"/>
                <w:sz w:val="18"/>
                <w:szCs w:val="18"/>
              </w:rPr>
            </w:pPr>
            <w:r>
              <w:rPr>
                <w:rFonts w:eastAsia="Times New Roman"/>
                <w:sz w:val="18"/>
                <w:szCs w:val="18"/>
              </w:rPr>
              <w:t>I.  Other Treatment Techniques:</w:t>
            </w:r>
          </w:p>
        </w:tc>
      </w:tr>
      <w:tr w:rsidR="000455D1" w14:paraId="526953BB" w14:textId="77777777" w:rsidTr="000455D1">
        <w:trPr>
          <w:trHeight w:val="838"/>
        </w:trPr>
        <w:tc>
          <w:tcPr>
            <w:tcW w:w="2733" w:type="dxa"/>
            <w:tcBorders>
              <w:top w:val="single" w:sz="8" w:space="0" w:color="auto"/>
              <w:left w:val="single" w:sz="8" w:space="0" w:color="auto"/>
              <w:bottom w:val="single" w:sz="8" w:space="0" w:color="auto"/>
              <w:right w:val="single" w:sz="8" w:space="0" w:color="auto"/>
            </w:tcBorders>
            <w:vAlign w:val="center"/>
          </w:tcPr>
          <w:p w14:paraId="467A020F" w14:textId="12358237" w:rsidR="000455D1" w:rsidRDefault="000455D1" w:rsidP="00563A54">
            <w:pPr>
              <w:numPr>
                <w:ilvl w:val="0"/>
                <w:numId w:val="937"/>
              </w:numPr>
              <w:tabs>
                <w:tab w:val="left" w:pos="290"/>
              </w:tabs>
              <w:ind w:left="20"/>
              <w:rPr>
                <w:sz w:val="20"/>
                <w:szCs w:val="20"/>
              </w:rPr>
            </w:pPr>
            <w:r>
              <w:rPr>
                <w:rFonts w:eastAsia="Times New Roman"/>
                <w:sz w:val="18"/>
                <w:szCs w:val="18"/>
              </w:rPr>
              <w:t>Acrylamide</w:t>
            </w:r>
          </w:p>
        </w:tc>
        <w:tc>
          <w:tcPr>
            <w:tcW w:w="1357" w:type="dxa"/>
            <w:tcBorders>
              <w:top w:val="single" w:sz="8" w:space="0" w:color="auto"/>
              <w:left w:val="single" w:sz="8" w:space="0" w:color="auto"/>
              <w:bottom w:val="single" w:sz="8" w:space="0" w:color="auto"/>
              <w:right w:val="single" w:sz="8" w:space="0" w:color="auto"/>
            </w:tcBorders>
            <w:vAlign w:val="center"/>
          </w:tcPr>
          <w:p w14:paraId="51ADD037" w14:textId="29D13DD1" w:rsidR="000455D1" w:rsidRDefault="000455D1" w:rsidP="000455D1">
            <w:pPr>
              <w:jc w:val="center"/>
              <w:rPr>
                <w:sz w:val="20"/>
                <w:szCs w:val="20"/>
              </w:rPr>
            </w:pPr>
            <w:r>
              <w:rPr>
                <w:rFonts w:eastAsia="Times New Roman"/>
                <w:sz w:val="18"/>
                <w:szCs w:val="18"/>
              </w:rPr>
              <w:t>Zero</w:t>
            </w:r>
          </w:p>
        </w:tc>
        <w:tc>
          <w:tcPr>
            <w:tcW w:w="2347" w:type="dxa"/>
            <w:gridSpan w:val="2"/>
            <w:tcBorders>
              <w:top w:val="single" w:sz="8" w:space="0" w:color="auto"/>
              <w:bottom w:val="single" w:sz="8" w:space="0" w:color="auto"/>
              <w:right w:val="single" w:sz="8" w:space="0" w:color="auto"/>
            </w:tcBorders>
            <w:vAlign w:val="center"/>
          </w:tcPr>
          <w:p w14:paraId="1419B4DC" w14:textId="5B3D397D" w:rsidR="000455D1" w:rsidRDefault="000455D1" w:rsidP="000455D1">
            <w:pPr>
              <w:jc w:val="center"/>
              <w:rPr>
                <w:sz w:val="20"/>
                <w:szCs w:val="20"/>
              </w:rPr>
            </w:pPr>
            <w:r>
              <w:rPr>
                <w:rFonts w:eastAsia="Times New Roman"/>
                <w:sz w:val="18"/>
                <w:szCs w:val="18"/>
              </w:rPr>
              <w:t>TT</w:t>
            </w:r>
          </w:p>
        </w:tc>
        <w:tc>
          <w:tcPr>
            <w:tcW w:w="4046" w:type="dxa"/>
            <w:tcBorders>
              <w:top w:val="single" w:sz="8" w:space="0" w:color="auto"/>
              <w:bottom w:val="single" w:sz="8" w:space="0" w:color="auto"/>
              <w:right w:val="single" w:sz="8" w:space="0" w:color="auto"/>
            </w:tcBorders>
          </w:tcPr>
          <w:p w14:paraId="393C1E75" w14:textId="0B8EB87D" w:rsidR="000455D1" w:rsidRPr="00E80B69" w:rsidRDefault="000455D1" w:rsidP="000455D1">
            <w:pPr>
              <w:spacing w:line="311" w:lineRule="auto"/>
              <w:ind w:left="86"/>
              <w:rPr>
                <w:rFonts w:eastAsia="Times New Roman"/>
                <w:sz w:val="18"/>
                <w:szCs w:val="18"/>
              </w:rPr>
            </w:pPr>
            <w:r>
              <w:rPr>
                <w:rFonts w:eastAsia="Times New Roman"/>
                <w:sz w:val="18"/>
                <w:szCs w:val="18"/>
              </w:rPr>
              <w:t>Some people who drink water containing high levels of acrylamide over a long period of time could have problems with their nervous system or blood, and may have an increased risk of getting cancer.</w:t>
            </w:r>
          </w:p>
        </w:tc>
      </w:tr>
      <w:tr w:rsidR="000455D1" w14:paraId="7A7C4840" w14:textId="77777777" w:rsidTr="000455D1">
        <w:trPr>
          <w:trHeight w:val="1144"/>
        </w:trPr>
        <w:tc>
          <w:tcPr>
            <w:tcW w:w="2733" w:type="dxa"/>
            <w:tcBorders>
              <w:top w:val="single" w:sz="8" w:space="0" w:color="auto"/>
              <w:left w:val="single" w:sz="8" w:space="0" w:color="auto"/>
              <w:bottom w:val="single" w:sz="8" w:space="0" w:color="auto"/>
              <w:right w:val="single" w:sz="8" w:space="0" w:color="auto"/>
            </w:tcBorders>
            <w:vAlign w:val="center"/>
          </w:tcPr>
          <w:p w14:paraId="2DBE15FC" w14:textId="319F9650" w:rsidR="000455D1" w:rsidRDefault="000455D1" w:rsidP="00563A54">
            <w:pPr>
              <w:numPr>
                <w:ilvl w:val="0"/>
                <w:numId w:val="937"/>
              </w:numPr>
              <w:tabs>
                <w:tab w:val="left" w:pos="290"/>
              </w:tabs>
              <w:ind w:left="20"/>
              <w:rPr>
                <w:sz w:val="20"/>
                <w:szCs w:val="20"/>
              </w:rPr>
            </w:pPr>
            <w:r>
              <w:rPr>
                <w:rFonts w:eastAsia="Times New Roman"/>
                <w:sz w:val="18"/>
                <w:szCs w:val="18"/>
              </w:rPr>
              <w:t>Epichlorohydrin</w:t>
            </w:r>
          </w:p>
        </w:tc>
        <w:tc>
          <w:tcPr>
            <w:tcW w:w="1357" w:type="dxa"/>
            <w:tcBorders>
              <w:top w:val="single" w:sz="8" w:space="0" w:color="auto"/>
              <w:left w:val="single" w:sz="8" w:space="0" w:color="auto"/>
              <w:bottom w:val="single" w:sz="8" w:space="0" w:color="auto"/>
              <w:right w:val="single" w:sz="8" w:space="0" w:color="auto"/>
            </w:tcBorders>
            <w:vAlign w:val="center"/>
          </w:tcPr>
          <w:p w14:paraId="705E3159" w14:textId="4BB83810" w:rsidR="000455D1" w:rsidRDefault="000455D1" w:rsidP="000455D1">
            <w:pPr>
              <w:jc w:val="center"/>
              <w:rPr>
                <w:sz w:val="20"/>
                <w:szCs w:val="20"/>
              </w:rPr>
            </w:pPr>
            <w:r>
              <w:rPr>
                <w:rFonts w:eastAsia="Times New Roman"/>
                <w:sz w:val="18"/>
                <w:szCs w:val="18"/>
              </w:rPr>
              <w:t>Zero</w:t>
            </w:r>
          </w:p>
        </w:tc>
        <w:tc>
          <w:tcPr>
            <w:tcW w:w="2347" w:type="dxa"/>
            <w:gridSpan w:val="2"/>
            <w:tcBorders>
              <w:top w:val="single" w:sz="8" w:space="0" w:color="auto"/>
              <w:bottom w:val="single" w:sz="8" w:space="0" w:color="auto"/>
              <w:right w:val="single" w:sz="8" w:space="0" w:color="auto"/>
            </w:tcBorders>
            <w:vAlign w:val="center"/>
          </w:tcPr>
          <w:p w14:paraId="68980423" w14:textId="754BA00A" w:rsidR="000455D1" w:rsidRDefault="000455D1" w:rsidP="000455D1">
            <w:pPr>
              <w:jc w:val="center"/>
              <w:rPr>
                <w:sz w:val="20"/>
                <w:szCs w:val="20"/>
              </w:rPr>
            </w:pPr>
            <w:r>
              <w:rPr>
                <w:rFonts w:eastAsia="Times New Roman"/>
                <w:sz w:val="18"/>
                <w:szCs w:val="18"/>
              </w:rPr>
              <w:t>TT</w:t>
            </w:r>
          </w:p>
        </w:tc>
        <w:tc>
          <w:tcPr>
            <w:tcW w:w="4046" w:type="dxa"/>
            <w:tcBorders>
              <w:top w:val="single" w:sz="8" w:space="0" w:color="auto"/>
              <w:bottom w:val="single" w:sz="8" w:space="0" w:color="auto"/>
              <w:right w:val="single" w:sz="8" w:space="0" w:color="auto"/>
            </w:tcBorders>
          </w:tcPr>
          <w:p w14:paraId="2AE3A6A1" w14:textId="26088A9B" w:rsidR="000455D1" w:rsidRPr="00E80B69" w:rsidRDefault="000455D1" w:rsidP="000415A1">
            <w:pPr>
              <w:spacing w:line="312" w:lineRule="auto"/>
              <w:ind w:left="86"/>
              <w:rPr>
                <w:rFonts w:eastAsia="Times New Roman"/>
                <w:sz w:val="18"/>
                <w:szCs w:val="18"/>
              </w:rPr>
            </w:pPr>
            <w:r>
              <w:rPr>
                <w:rFonts w:eastAsia="Times New Roman"/>
                <w:sz w:val="18"/>
                <w:szCs w:val="18"/>
              </w:rPr>
              <w:t>Some people who drink water containing high levels of epichlorohydrin over a long period of time could experience stomach problems, and may have an increased risk of getting cancer.</w:t>
            </w:r>
          </w:p>
        </w:tc>
      </w:tr>
      <w:tr w:rsidR="004467A9" w14:paraId="109E961C" w14:textId="77777777" w:rsidTr="004467A9">
        <w:trPr>
          <w:trHeight w:val="288"/>
        </w:trPr>
        <w:tc>
          <w:tcPr>
            <w:tcW w:w="10483" w:type="dxa"/>
            <w:gridSpan w:val="5"/>
            <w:tcBorders>
              <w:top w:val="single" w:sz="8" w:space="0" w:color="auto"/>
              <w:left w:val="single" w:sz="8" w:space="0" w:color="auto"/>
              <w:bottom w:val="single" w:sz="8" w:space="0" w:color="auto"/>
              <w:right w:val="single" w:sz="8" w:space="0" w:color="auto"/>
            </w:tcBorders>
            <w:vAlign w:val="center"/>
          </w:tcPr>
          <w:p w14:paraId="08F0955C" w14:textId="595FAE17" w:rsidR="004467A9" w:rsidRDefault="004467A9" w:rsidP="000455D1">
            <w:pPr>
              <w:spacing w:line="311" w:lineRule="auto"/>
              <w:ind w:left="86"/>
              <w:rPr>
                <w:rFonts w:eastAsia="Times New Roman"/>
                <w:sz w:val="18"/>
                <w:szCs w:val="18"/>
              </w:rPr>
            </w:pPr>
            <w:r>
              <w:rPr>
                <w:rFonts w:eastAsia="Times New Roman"/>
                <w:sz w:val="18"/>
                <w:szCs w:val="18"/>
              </w:rPr>
              <w:t>J.  Per- and Polyfluoroalkyl Substances (PFAS)</w:t>
            </w:r>
          </w:p>
        </w:tc>
      </w:tr>
      <w:tr w:rsidR="00800021" w14:paraId="5368EC9D" w14:textId="77777777" w:rsidTr="000455D1">
        <w:trPr>
          <w:trHeight w:val="1144"/>
        </w:trPr>
        <w:tc>
          <w:tcPr>
            <w:tcW w:w="2733" w:type="dxa"/>
            <w:tcBorders>
              <w:top w:val="single" w:sz="8" w:space="0" w:color="auto"/>
              <w:left w:val="single" w:sz="8" w:space="0" w:color="auto"/>
              <w:bottom w:val="single" w:sz="8" w:space="0" w:color="auto"/>
              <w:right w:val="single" w:sz="8" w:space="0" w:color="auto"/>
            </w:tcBorders>
            <w:vAlign w:val="center"/>
          </w:tcPr>
          <w:p w14:paraId="0AF1DCAB" w14:textId="6899CE63" w:rsidR="00800021" w:rsidRDefault="004467A9" w:rsidP="00563A54">
            <w:pPr>
              <w:numPr>
                <w:ilvl w:val="0"/>
                <w:numId w:val="937"/>
              </w:numPr>
              <w:tabs>
                <w:tab w:val="left" w:pos="290"/>
              </w:tabs>
              <w:ind w:left="20"/>
              <w:rPr>
                <w:rFonts w:eastAsia="Times New Roman"/>
                <w:sz w:val="18"/>
                <w:szCs w:val="18"/>
              </w:rPr>
            </w:pPr>
            <w:r>
              <w:rPr>
                <w:rFonts w:eastAsia="Times New Roman"/>
                <w:sz w:val="18"/>
                <w:szCs w:val="18"/>
              </w:rPr>
              <w:t>PFAS6</w:t>
            </w:r>
          </w:p>
        </w:tc>
        <w:tc>
          <w:tcPr>
            <w:tcW w:w="1357" w:type="dxa"/>
            <w:tcBorders>
              <w:top w:val="single" w:sz="8" w:space="0" w:color="auto"/>
              <w:left w:val="single" w:sz="8" w:space="0" w:color="auto"/>
              <w:bottom w:val="single" w:sz="8" w:space="0" w:color="auto"/>
              <w:right w:val="single" w:sz="8" w:space="0" w:color="auto"/>
            </w:tcBorders>
            <w:vAlign w:val="center"/>
          </w:tcPr>
          <w:p w14:paraId="7BAB43A4" w14:textId="3A1B2A3B" w:rsidR="00800021" w:rsidRDefault="004467A9" w:rsidP="000455D1">
            <w:pPr>
              <w:jc w:val="center"/>
              <w:rPr>
                <w:rFonts w:eastAsia="Times New Roman"/>
                <w:sz w:val="18"/>
                <w:szCs w:val="18"/>
              </w:rPr>
            </w:pPr>
            <w:r>
              <w:rPr>
                <w:rFonts w:eastAsia="Times New Roman"/>
                <w:sz w:val="18"/>
                <w:szCs w:val="18"/>
              </w:rPr>
              <w:t>None</w:t>
            </w:r>
          </w:p>
        </w:tc>
        <w:tc>
          <w:tcPr>
            <w:tcW w:w="2347" w:type="dxa"/>
            <w:gridSpan w:val="2"/>
            <w:tcBorders>
              <w:top w:val="single" w:sz="8" w:space="0" w:color="auto"/>
              <w:bottom w:val="single" w:sz="8" w:space="0" w:color="auto"/>
              <w:right w:val="single" w:sz="8" w:space="0" w:color="auto"/>
            </w:tcBorders>
            <w:vAlign w:val="center"/>
          </w:tcPr>
          <w:p w14:paraId="744EDB44" w14:textId="08251A7C" w:rsidR="00800021" w:rsidRDefault="004467A9" w:rsidP="000455D1">
            <w:pPr>
              <w:jc w:val="center"/>
              <w:rPr>
                <w:rFonts w:eastAsia="Times New Roman"/>
                <w:sz w:val="18"/>
                <w:szCs w:val="18"/>
              </w:rPr>
            </w:pPr>
            <w:r>
              <w:rPr>
                <w:rFonts w:eastAsia="Times New Roman"/>
                <w:sz w:val="18"/>
                <w:szCs w:val="18"/>
              </w:rPr>
              <w:t>20 ng/l</w:t>
            </w:r>
            <w:r w:rsidRPr="004467A9">
              <w:rPr>
                <w:rFonts w:eastAsia="Times New Roman"/>
                <w:sz w:val="18"/>
                <w:szCs w:val="18"/>
                <w:vertAlign w:val="superscript"/>
              </w:rPr>
              <w:t>24</w:t>
            </w:r>
          </w:p>
        </w:tc>
        <w:tc>
          <w:tcPr>
            <w:tcW w:w="4046" w:type="dxa"/>
            <w:tcBorders>
              <w:top w:val="single" w:sz="8" w:space="0" w:color="auto"/>
              <w:bottom w:val="single" w:sz="8" w:space="0" w:color="auto"/>
              <w:right w:val="single" w:sz="8" w:space="0" w:color="auto"/>
            </w:tcBorders>
          </w:tcPr>
          <w:p w14:paraId="103EC71A" w14:textId="49F6A417" w:rsidR="00800021" w:rsidRDefault="000415A1" w:rsidP="000415A1">
            <w:pPr>
              <w:spacing w:line="312" w:lineRule="auto"/>
              <w:ind w:left="86"/>
              <w:rPr>
                <w:rFonts w:eastAsia="Times New Roman"/>
                <w:sz w:val="18"/>
                <w:szCs w:val="18"/>
              </w:rPr>
            </w:pPr>
            <w:r w:rsidRPr="000415A1">
              <w:rPr>
                <w:rFonts w:eastAsia="Times New Roman"/>
                <w:sz w:val="18"/>
                <w:szCs w:val="18"/>
              </w:rPr>
              <w:t>Some people who drink water containing these</w:t>
            </w:r>
            <w:r>
              <w:rPr>
                <w:rFonts w:eastAsia="Times New Roman"/>
                <w:sz w:val="18"/>
                <w:szCs w:val="18"/>
              </w:rPr>
              <w:t xml:space="preserve"> </w:t>
            </w:r>
            <w:r w:rsidRPr="000415A1">
              <w:rPr>
                <w:rFonts w:eastAsia="Times New Roman"/>
                <w:sz w:val="18"/>
                <w:szCs w:val="18"/>
              </w:rPr>
              <w:t>PFAS in excess of the MCL may experience certain</w:t>
            </w:r>
            <w:r>
              <w:rPr>
                <w:rFonts w:eastAsia="Times New Roman"/>
                <w:sz w:val="18"/>
                <w:szCs w:val="18"/>
              </w:rPr>
              <w:t xml:space="preserve"> </w:t>
            </w:r>
            <w:r w:rsidRPr="000415A1">
              <w:rPr>
                <w:rFonts w:eastAsia="Times New Roman"/>
                <w:sz w:val="18"/>
                <w:szCs w:val="18"/>
              </w:rPr>
              <w:t>adverse effects. These could include effects on the</w:t>
            </w:r>
            <w:r>
              <w:rPr>
                <w:rFonts w:eastAsia="Times New Roman"/>
                <w:sz w:val="18"/>
                <w:szCs w:val="18"/>
              </w:rPr>
              <w:t xml:space="preserve"> </w:t>
            </w:r>
            <w:r w:rsidRPr="000415A1">
              <w:rPr>
                <w:rFonts w:eastAsia="Times New Roman"/>
                <w:sz w:val="18"/>
                <w:szCs w:val="18"/>
              </w:rPr>
              <w:t>liver, blood, immune system, thyroid, and fetal</w:t>
            </w:r>
            <w:r>
              <w:rPr>
                <w:rFonts w:eastAsia="Times New Roman"/>
                <w:sz w:val="18"/>
                <w:szCs w:val="18"/>
              </w:rPr>
              <w:t xml:space="preserve"> </w:t>
            </w:r>
            <w:r w:rsidRPr="000415A1">
              <w:rPr>
                <w:rFonts w:eastAsia="Times New Roman"/>
                <w:sz w:val="18"/>
                <w:szCs w:val="18"/>
              </w:rPr>
              <w:t>development. These PFAS may also elevate the risk</w:t>
            </w:r>
            <w:r>
              <w:rPr>
                <w:rFonts w:eastAsia="Times New Roman"/>
                <w:sz w:val="18"/>
                <w:szCs w:val="18"/>
              </w:rPr>
              <w:t xml:space="preserve"> </w:t>
            </w:r>
            <w:r w:rsidRPr="000415A1">
              <w:rPr>
                <w:rFonts w:eastAsia="Times New Roman"/>
                <w:sz w:val="18"/>
                <w:szCs w:val="18"/>
              </w:rPr>
              <w:t>of certain cancers.</w:t>
            </w:r>
          </w:p>
        </w:tc>
      </w:tr>
    </w:tbl>
    <w:p w14:paraId="281A20CB" w14:textId="54081D70" w:rsidR="004647B9" w:rsidRDefault="004647B9" w:rsidP="00C105D6">
      <w:pPr>
        <w:rPr>
          <w:sz w:val="20"/>
          <w:szCs w:val="20"/>
        </w:rPr>
      </w:pPr>
    </w:p>
    <w:p w14:paraId="281A20CC" w14:textId="77777777" w:rsidR="004647B9" w:rsidRDefault="004647B9" w:rsidP="00C105D6">
      <w:pPr>
        <w:sectPr w:rsidR="004647B9" w:rsidSect="00EF630C">
          <w:pgSz w:w="12240" w:h="20180"/>
          <w:pgMar w:top="708" w:right="1080" w:bottom="1440" w:left="600" w:header="0" w:footer="0" w:gutter="0"/>
          <w:cols w:space="720"/>
        </w:sectPr>
      </w:pPr>
    </w:p>
    <w:p w14:paraId="281A20EF" w14:textId="77777777" w:rsidR="004647B9" w:rsidRPr="00764311" w:rsidRDefault="00E2436F" w:rsidP="00C105D6">
      <w:pPr>
        <w:numPr>
          <w:ilvl w:val="0"/>
          <w:numId w:val="522"/>
        </w:numPr>
        <w:tabs>
          <w:tab w:val="left" w:pos="480"/>
        </w:tabs>
        <w:ind w:left="480" w:hanging="480"/>
        <w:rPr>
          <w:rFonts w:eastAsia="Times New Roman"/>
        </w:rPr>
      </w:pPr>
      <w:r w:rsidRPr="00764311">
        <w:rPr>
          <w:rFonts w:eastAsia="Times New Roman"/>
        </w:rPr>
        <w:t>MCLG-Maximum Contaminant Level Goal.</w:t>
      </w:r>
    </w:p>
    <w:p w14:paraId="281A20F1" w14:textId="3EFEF3AD" w:rsidR="004647B9" w:rsidRPr="00764311" w:rsidRDefault="00F5009D" w:rsidP="00C105D6">
      <w:pPr>
        <w:numPr>
          <w:ilvl w:val="0"/>
          <w:numId w:val="522"/>
        </w:numPr>
        <w:tabs>
          <w:tab w:val="left" w:pos="480"/>
        </w:tabs>
        <w:ind w:left="480" w:hanging="480"/>
        <w:rPr>
          <w:rFonts w:eastAsia="Times New Roman"/>
        </w:rPr>
      </w:pPr>
      <w:r>
        <w:rPr>
          <w:rFonts w:eastAsia="Times New Roman"/>
        </w:rPr>
        <w:t>M</w:t>
      </w:r>
      <w:r w:rsidR="00E2436F" w:rsidRPr="00764311">
        <w:rPr>
          <w:rFonts w:eastAsia="Times New Roman"/>
        </w:rPr>
        <w:t>CL-Maximum Contaminant Level.</w:t>
      </w:r>
    </w:p>
    <w:p w14:paraId="281A20F3" w14:textId="77777777" w:rsidR="004647B9" w:rsidRPr="00764311" w:rsidRDefault="00E2436F" w:rsidP="00C105D6">
      <w:pPr>
        <w:numPr>
          <w:ilvl w:val="0"/>
          <w:numId w:val="522"/>
        </w:numPr>
        <w:tabs>
          <w:tab w:val="left" w:pos="480"/>
        </w:tabs>
        <w:ind w:left="480" w:hanging="480"/>
        <w:rPr>
          <w:rFonts w:eastAsia="Times New Roman"/>
        </w:rPr>
      </w:pPr>
      <w:r w:rsidRPr="00764311">
        <w:rPr>
          <w:rFonts w:eastAsia="Times New Roman"/>
        </w:rPr>
        <w:t>[Reserved]</w:t>
      </w:r>
    </w:p>
    <w:p w14:paraId="281A20F5" w14:textId="77777777" w:rsidR="004647B9" w:rsidRPr="00764311" w:rsidRDefault="00E2436F" w:rsidP="00C105D6">
      <w:pPr>
        <w:numPr>
          <w:ilvl w:val="0"/>
          <w:numId w:val="522"/>
        </w:numPr>
        <w:tabs>
          <w:tab w:val="left" w:pos="480"/>
        </w:tabs>
        <w:ind w:left="480" w:right="360" w:hanging="480"/>
        <w:rPr>
          <w:rFonts w:eastAsia="Times New Roman"/>
        </w:rPr>
      </w:pPr>
      <w:r w:rsidRPr="00764311">
        <w:rPr>
          <w:rFonts w:eastAsia="Times New Roman"/>
        </w:rPr>
        <w:t>The MCL for the monthly Turbidity average is one NTU; the MCL for the two-day average is one NTU for systems that are required to filter but have not yet installed Filtration (310 CMR 22.08).</w:t>
      </w:r>
    </w:p>
    <w:p w14:paraId="281A20F6" w14:textId="77777777" w:rsidR="004647B9" w:rsidRPr="00764311" w:rsidRDefault="00E2436F" w:rsidP="00C105D6">
      <w:pPr>
        <w:numPr>
          <w:ilvl w:val="0"/>
          <w:numId w:val="522"/>
        </w:numPr>
        <w:tabs>
          <w:tab w:val="left" w:pos="480"/>
        </w:tabs>
        <w:ind w:left="480" w:hanging="480"/>
        <w:rPr>
          <w:rFonts w:eastAsia="Times New Roman"/>
        </w:rPr>
      </w:pPr>
      <w:r w:rsidRPr="00764311">
        <w:rPr>
          <w:rFonts w:eastAsia="Times New Roman"/>
        </w:rPr>
        <w:t>NTU-Nephelometric turbidity unit.</w:t>
      </w:r>
    </w:p>
    <w:p w14:paraId="281A20F8" w14:textId="77777777" w:rsidR="004647B9" w:rsidRPr="00764311" w:rsidRDefault="00E2436F" w:rsidP="00C105D6">
      <w:pPr>
        <w:numPr>
          <w:ilvl w:val="0"/>
          <w:numId w:val="522"/>
        </w:numPr>
        <w:tabs>
          <w:tab w:val="left" w:pos="480"/>
        </w:tabs>
        <w:ind w:left="480" w:right="360" w:hanging="480"/>
        <w:jc w:val="both"/>
        <w:rPr>
          <w:rFonts w:eastAsia="Times New Roman"/>
        </w:rPr>
      </w:pPr>
      <w:r w:rsidRPr="00764311">
        <w:rPr>
          <w:rFonts w:eastAsia="Times New Roman"/>
        </w:rPr>
        <w:t>Systems subject to the Surface Water Treatment Rule (both filtered and unfiltered) may not exceed one NTU. In addition, in filtered systems, 95% of samples each month shall not exceed 0.5 NTU in systems using conventional or Direct Filtration and shall not exceed one NTU in systems using slow sand or diatomaceous earth filtration or other Filtration technologies approved by the Department.</w:t>
      </w:r>
    </w:p>
    <w:p w14:paraId="281A20F9" w14:textId="77777777" w:rsidR="004647B9" w:rsidRPr="00764311" w:rsidRDefault="00E2436F" w:rsidP="00C105D6">
      <w:pPr>
        <w:numPr>
          <w:ilvl w:val="0"/>
          <w:numId w:val="522"/>
        </w:numPr>
        <w:tabs>
          <w:tab w:val="left" w:pos="480"/>
        </w:tabs>
        <w:ind w:left="480" w:hanging="480"/>
        <w:rPr>
          <w:rFonts w:eastAsia="Times New Roman"/>
        </w:rPr>
      </w:pPr>
      <w:r w:rsidRPr="00764311">
        <w:rPr>
          <w:rFonts w:eastAsia="Times New Roman"/>
        </w:rPr>
        <w:t>TT-Treatment Technique.</w:t>
      </w:r>
    </w:p>
    <w:p w14:paraId="281A20FB" w14:textId="77777777" w:rsidR="004647B9" w:rsidRPr="00764311" w:rsidRDefault="00E2436F" w:rsidP="00C105D6">
      <w:pPr>
        <w:numPr>
          <w:ilvl w:val="0"/>
          <w:numId w:val="522"/>
        </w:numPr>
        <w:tabs>
          <w:tab w:val="left" w:pos="480"/>
        </w:tabs>
        <w:ind w:left="480" w:right="360" w:hanging="480"/>
        <w:jc w:val="both"/>
        <w:rPr>
          <w:rFonts w:eastAsia="Times New Roman"/>
        </w:rPr>
      </w:pPr>
      <w:r w:rsidRPr="00764311">
        <w:rPr>
          <w:rFonts w:eastAsia="Times New Roman"/>
        </w:rPr>
        <w:t>For systems subject to 310 CMR 22.20D (systems serving at least 10,000 people, using Surface Water or Groundwater Under the Direct Influence of Surface Water), that use conventional filtration or Direct Filtration, after January 1, 2002, the Turbidity level of a system's combined filter effluent may not exceed 0.3 NTU in at least 95% of monthly measurements, and the Turbidity level of a system's combined filter effluent shall not exceed one NTU at any time. Systems subject to 310 CMR 22.20D using technologies other than conventional, direct, slow sand, or diatomaceous earth filtration shall meet Turbidity limits set by the Department. For systems subject to 310 CMR 22.20F (systems serving fewer than 10,000 people, using Surface Water or Groundwater Under the Influence of Surface Water) that use conventional or Direct Filtration, after January 1, 2005 the Turbidity level of a system's combined filter effluent may not exceed 0.3 NTU in at least 95% of monthly measurements, and the Turbidity level of a system's combined filter effluent must not exceed one NTU at any time. Systems subject to 310 CMR 22.20F using technologies other than conventional, direct, slow sand, or diatomaceous earth filtration must meet Turbidity limits set by the Department.</w:t>
      </w:r>
    </w:p>
    <w:p w14:paraId="281A20FD" w14:textId="77777777" w:rsidR="004647B9" w:rsidRPr="00764311" w:rsidRDefault="00E2436F" w:rsidP="00C105D6">
      <w:pPr>
        <w:numPr>
          <w:ilvl w:val="0"/>
          <w:numId w:val="522"/>
        </w:numPr>
        <w:tabs>
          <w:tab w:val="left" w:pos="480"/>
        </w:tabs>
        <w:ind w:left="480" w:right="360" w:hanging="480"/>
        <w:jc w:val="both"/>
        <w:rPr>
          <w:rFonts w:eastAsia="Times New Roman"/>
        </w:rPr>
      </w:pPr>
      <w:r w:rsidRPr="00764311">
        <w:rPr>
          <w:rFonts w:eastAsia="Times New Roman"/>
        </w:rPr>
        <w:t>The bacteria detected by heterotrophic plate count (HPC) are not necessarily harmful. HPC is simply an alternative method of determining Disinfectant residual levels. The number of such bacteria is an indicator of whether there is enough Disinfectant in the distribution system.</w:t>
      </w:r>
    </w:p>
    <w:p w14:paraId="281A20FF" w14:textId="77777777" w:rsidR="004647B9" w:rsidRPr="00764311" w:rsidRDefault="00E2436F" w:rsidP="00C105D6">
      <w:pPr>
        <w:numPr>
          <w:ilvl w:val="0"/>
          <w:numId w:val="522"/>
        </w:numPr>
        <w:tabs>
          <w:tab w:val="left" w:pos="480"/>
        </w:tabs>
        <w:ind w:left="480" w:right="360" w:hanging="480"/>
        <w:rPr>
          <w:rFonts w:eastAsia="Times New Roman"/>
        </w:rPr>
      </w:pPr>
      <w:r w:rsidRPr="00764311">
        <w:rPr>
          <w:rFonts w:eastAsia="Times New Roman"/>
        </w:rPr>
        <w:t>310 CMR 22.20A, 22.20D, and 22.20F Treatment Technique violations that involve Turbidity exceedances may use the health effects language for Turbidity instead.</w:t>
      </w:r>
    </w:p>
    <w:p w14:paraId="281A2100" w14:textId="77777777" w:rsidR="004647B9" w:rsidRPr="00764311" w:rsidRDefault="00E2436F" w:rsidP="00C105D6">
      <w:pPr>
        <w:numPr>
          <w:ilvl w:val="0"/>
          <w:numId w:val="522"/>
        </w:numPr>
        <w:tabs>
          <w:tab w:val="left" w:pos="480"/>
        </w:tabs>
        <w:ind w:left="480" w:hanging="480"/>
        <w:rPr>
          <w:rFonts w:eastAsia="Times New Roman"/>
        </w:rPr>
      </w:pPr>
      <w:r w:rsidRPr="00764311">
        <w:rPr>
          <w:rFonts w:eastAsia="Times New Roman"/>
        </w:rPr>
        <w:t>These arsenic values are effective January 23, 2006.</w:t>
      </w:r>
    </w:p>
    <w:p w14:paraId="281A210D" w14:textId="3A2ED148" w:rsidR="004647B9" w:rsidRDefault="00E2436F" w:rsidP="00C105D6">
      <w:pPr>
        <w:numPr>
          <w:ilvl w:val="0"/>
          <w:numId w:val="522"/>
        </w:numPr>
        <w:tabs>
          <w:tab w:val="left" w:pos="480"/>
        </w:tabs>
        <w:ind w:left="480" w:hanging="480"/>
        <w:sectPr w:rsidR="004647B9" w:rsidSect="00EF630C">
          <w:type w:val="continuous"/>
          <w:pgSz w:w="12240" w:h="20180"/>
          <w:pgMar w:top="708" w:right="1080" w:bottom="1440" w:left="600" w:header="0" w:footer="0" w:gutter="0"/>
          <w:cols w:space="720"/>
        </w:sectPr>
      </w:pPr>
      <w:r w:rsidRPr="00764311">
        <w:rPr>
          <w:rFonts w:eastAsia="Times New Roman"/>
        </w:rPr>
        <w:t>Million fibers per liter.</w:t>
      </w:r>
      <w:bookmarkStart w:id="207" w:name="page209"/>
      <w:bookmarkEnd w:id="207"/>
    </w:p>
    <w:p w14:paraId="281A210E" w14:textId="77777777" w:rsidR="004647B9" w:rsidRDefault="00E2436F">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10F" w14:textId="77777777" w:rsidR="004647B9" w:rsidRDefault="004647B9" w:rsidP="00F5009D">
      <w:pPr>
        <w:rPr>
          <w:sz w:val="20"/>
          <w:szCs w:val="20"/>
        </w:rPr>
      </w:pPr>
    </w:p>
    <w:p w14:paraId="281A2110" w14:textId="77777777" w:rsidR="004647B9" w:rsidRDefault="004647B9" w:rsidP="00F5009D">
      <w:pPr>
        <w:rPr>
          <w:sz w:val="20"/>
          <w:szCs w:val="20"/>
        </w:rPr>
      </w:pPr>
    </w:p>
    <w:p w14:paraId="281A2111" w14:textId="77777777" w:rsidR="004647B9" w:rsidRPr="00F5009D" w:rsidRDefault="00E2436F" w:rsidP="00F5009D">
      <w:pPr>
        <w:tabs>
          <w:tab w:val="left" w:pos="760"/>
        </w:tabs>
        <w:rPr>
          <w:sz w:val="24"/>
          <w:szCs w:val="24"/>
        </w:rPr>
      </w:pPr>
      <w:r w:rsidRPr="00F5009D">
        <w:rPr>
          <w:rFonts w:eastAsia="Times New Roman"/>
          <w:sz w:val="24"/>
          <w:szCs w:val="24"/>
        </w:rPr>
        <w:t>22.16:</w:t>
      </w:r>
      <w:r w:rsidRPr="00F5009D">
        <w:rPr>
          <w:rFonts w:eastAsia="Times New Roman"/>
          <w:sz w:val="24"/>
          <w:szCs w:val="24"/>
        </w:rPr>
        <w:tab/>
        <w:t>continued</w:t>
      </w:r>
    </w:p>
    <w:p w14:paraId="281A2112" w14:textId="77777777" w:rsidR="004647B9" w:rsidRDefault="004647B9" w:rsidP="00F5009D">
      <w:pPr>
        <w:rPr>
          <w:sz w:val="20"/>
          <w:szCs w:val="20"/>
        </w:rPr>
      </w:pPr>
    </w:p>
    <w:p w14:paraId="2170BAC7" w14:textId="77777777" w:rsidR="000415A1" w:rsidRPr="00764311" w:rsidRDefault="000415A1" w:rsidP="00F5009D">
      <w:pPr>
        <w:numPr>
          <w:ilvl w:val="0"/>
          <w:numId w:val="522"/>
        </w:numPr>
        <w:tabs>
          <w:tab w:val="left" w:pos="480"/>
        </w:tabs>
        <w:ind w:left="480" w:hanging="480"/>
        <w:rPr>
          <w:rFonts w:eastAsia="Times New Roman"/>
        </w:rPr>
      </w:pPr>
      <w:r w:rsidRPr="00764311">
        <w:rPr>
          <w:rFonts w:eastAsia="Times New Roman"/>
        </w:rPr>
        <w:t>Action Level = 0.015 mg/L.</w:t>
      </w:r>
    </w:p>
    <w:p w14:paraId="7CBA269A" w14:textId="77777777" w:rsidR="000415A1" w:rsidRPr="00764311" w:rsidRDefault="000415A1" w:rsidP="00F5009D">
      <w:pPr>
        <w:numPr>
          <w:ilvl w:val="0"/>
          <w:numId w:val="522"/>
        </w:numPr>
        <w:tabs>
          <w:tab w:val="left" w:pos="480"/>
        </w:tabs>
        <w:ind w:left="480" w:hanging="480"/>
        <w:rPr>
          <w:rFonts w:eastAsia="Times New Roman"/>
        </w:rPr>
      </w:pPr>
      <w:r w:rsidRPr="00764311">
        <w:rPr>
          <w:rFonts w:eastAsia="Times New Roman"/>
        </w:rPr>
        <w:t>Action Level = 1.3 mg/L.</w:t>
      </w:r>
    </w:p>
    <w:p w14:paraId="0C67D8A3" w14:textId="77777777" w:rsidR="000415A1" w:rsidRPr="00764311" w:rsidRDefault="000415A1" w:rsidP="00F5009D">
      <w:pPr>
        <w:numPr>
          <w:ilvl w:val="0"/>
          <w:numId w:val="522"/>
        </w:numPr>
        <w:tabs>
          <w:tab w:val="left" w:pos="480"/>
        </w:tabs>
        <w:ind w:left="480" w:hanging="480"/>
        <w:rPr>
          <w:rFonts w:eastAsia="Times New Roman"/>
        </w:rPr>
      </w:pPr>
      <w:r w:rsidRPr="00764311">
        <w:rPr>
          <w:rFonts w:eastAsia="Times New Roman"/>
        </w:rPr>
        <w:t>Millirems per year.</w:t>
      </w:r>
    </w:p>
    <w:p w14:paraId="06EE8DE8" w14:textId="77777777" w:rsidR="000415A1" w:rsidRPr="00764311" w:rsidRDefault="000415A1" w:rsidP="00F5009D">
      <w:pPr>
        <w:numPr>
          <w:ilvl w:val="0"/>
          <w:numId w:val="522"/>
        </w:numPr>
        <w:tabs>
          <w:tab w:val="left" w:pos="480"/>
        </w:tabs>
        <w:ind w:left="480" w:hanging="480"/>
        <w:rPr>
          <w:rFonts w:eastAsia="Times New Roman"/>
        </w:rPr>
      </w:pPr>
      <w:r w:rsidRPr="00764311">
        <w:rPr>
          <w:rFonts w:eastAsia="Times New Roman"/>
        </w:rPr>
        <w:t>The uranium MCL is effective December 8, 2003 for all Community Water Systems.</w:t>
      </w:r>
    </w:p>
    <w:p w14:paraId="08C6A299" w14:textId="77777777" w:rsidR="000415A1" w:rsidRPr="00764311" w:rsidRDefault="000415A1" w:rsidP="00F5009D">
      <w:pPr>
        <w:numPr>
          <w:ilvl w:val="0"/>
          <w:numId w:val="522"/>
        </w:numPr>
        <w:tabs>
          <w:tab w:val="left" w:pos="480"/>
        </w:tabs>
        <w:ind w:left="480" w:hanging="480"/>
        <w:rPr>
          <w:rFonts w:eastAsia="Times New Roman"/>
        </w:rPr>
      </w:pPr>
      <w:r w:rsidRPr="00764311">
        <w:rPr>
          <w:rFonts w:eastAsia="Times New Roman"/>
        </w:rPr>
        <w:t>Picocuries per liter.</w:t>
      </w:r>
    </w:p>
    <w:p w14:paraId="281A2113" w14:textId="77777777" w:rsidR="004647B9" w:rsidRPr="00764311" w:rsidRDefault="00E2436F" w:rsidP="00F5009D">
      <w:pPr>
        <w:numPr>
          <w:ilvl w:val="0"/>
          <w:numId w:val="522"/>
        </w:numPr>
        <w:tabs>
          <w:tab w:val="left" w:pos="480"/>
        </w:tabs>
        <w:ind w:left="480" w:hanging="480"/>
        <w:jc w:val="both"/>
        <w:rPr>
          <w:rFonts w:eastAsia="Times New Roman"/>
        </w:rPr>
      </w:pPr>
      <w:r w:rsidRPr="00764311">
        <w:rPr>
          <w:rFonts w:eastAsia="Times New Roman"/>
        </w:rPr>
        <w:t>Surface water systems and groundwater systems under the direct influence of surface water are regulated under 310 CMR 22.20A. Community and non-transient non-community Surface Water Sources systems (surface water systems and groundwater systems under the direct influence of surface water) serving at least 10,000 persons shall comply with DBP MCLs and Disinfectant Maximum Residual Disinfectant Levels (MRDLs) beginning January 1, 2002. All other Community and Non-transient Non-community Water Systems shall meet the MCLs and MRDLs beginning January 1, 2004. Transient non-community Surface Water Sources systems (surface water systems and groundwater systems under the direct influence of surface water) serving at least 10,000 or more persons using chlorine dioxide as a Disinfectant or oxidant shall comply with the chlorine dioxide MRDL beginning January 1, 2002. Transient non-community Surface Water Sources systems (surface water systems and groundwater systems under the direct influence of surface water) serving fewer than 10,000 persons and Transient Non-community Water Systems using only groundwater not under the direct influence of surface water and using chlorine dioxide as a Disinfectant or oxidant shall comply with the chlorine dioxide MRDL beginning January 1, 2004.</w:t>
      </w:r>
    </w:p>
    <w:p w14:paraId="281A2115" w14:textId="77777777" w:rsidR="004647B9" w:rsidRPr="00764311" w:rsidRDefault="00E2436F" w:rsidP="00F5009D">
      <w:pPr>
        <w:numPr>
          <w:ilvl w:val="0"/>
          <w:numId w:val="522"/>
        </w:numPr>
        <w:tabs>
          <w:tab w:val="left" w:pos="480"/>
        </w:tabs>
        <w:ind w:left="480" w:hanging="480"/>
        <w:jc w:val="both"/>
        <w:rPr>
          <w:rFonts w:eastAsia="Times New Roman"/>
        </w:rPr>
      </w:pPr>
      <w:r w:rsidRPr="00764311">
        <w:rPr>
          <w:rFonts w:eastAsia="Times New Roman"/>
        </w:rPr>
        <w:t>Community and Non-transient Non-community Water Systems must comply with TTHM and HAA5 MCLs listed in 310 CMR 22.07F of 0.080 mg/L and 0.060 mg/L, respectively (with compliance calculated as a Locational Running Annual Average) on the schedule in 310 CMR 22.07F(7).</w:t>
      </w:r>
    </w:p>
    <w:p w14:paraId="281A2117" w14:textId="77777777" w:rsidR="004647B9" w:rsidRPr="00764311" w:rsidRDefault="00E2436F" w:rsidP="00F5009D">
      <w:pPr>
        <w:numPr>
          <w:ilvl w:val="0"/>
          <w:numId w:val="522"/>
        </w:numPr>
        <w:tabs>
          <w:tab w:val="left" w:pos="480"/>
        </w:tabs>
        <w:ind w:left="480" w:hanging="480"/>
        <w:rPr>
          <w:rFonts w:eastAsia="Times New Roman"/>
        </w:rPr>
      </w:pPr>
      <w:r w:rsidRPr="00764311">
        <w:rPr>
          <w:rFonts w:eastAsia="Times New Roman"/>
        </w:rPr>
        <w:t>The MCL for Total Trihalomethanes is the sum of the concentrations of the individual Trihalomethanes.</w:t>
      </w:r>
    </w:p>
    <w:p w14:paraId="281A2119" w14:textId="77777777" w:rsidR="004647B9" w:rsidRPr="00764311" w:rsidRDefault="00E2436F" w:rsidP="00F5009D">
      <w:pPr>
        <w:numPr>
          <w:ilvl w:val="0"/>
          <w:numId w:val="522"/>
        </w:numPr>
        <w:tabs>
          <w:tab w:val="left" w:pos="480"/>
        </w:tabs>
        <w:ind w:left="480" w:hanging="480"/>
        <w:rPr>
          <w:rFonts w:eastAsia="Times New Roman"/>
        </w:rPr>
      </w:pPr>
      <w:r w:rsidRPr="00764311">
        <w:rPr>
          <w:rFonts w:eastAsia="Times New Roman"/>
        </w:rPr>
        <w:t>The MCL for haloacetic acids is the sum of the concentrations of the individual haloacetic acids.</w:t>
      </w:r>
    </w:p>
    <w:p w14:paraId="281A211B" w14:textId="77777777" w:rsidR="004647B9" w:rsidRPr="00764311" w:rsidRDefault="00E2436F" w:rsidP="00F5009D">
      <w:pPr>
        <w:numPr>
          <w:ilvl w:val="0"/>
          <w:numId w:val="522"/>
        </w:numPr>
        <w:tabs>
          <w:tab w:val="left" w:pos="480"/>
        </w:tabs>
        <w:ind w:left="480" w:hanging="480"/>
        <w:rPr>
          <w:rFonts w:eastAsia="Times New Roman"/>
        </w:rPr>
      </w:pPr>
      <w:r w:rsidRPr="00764311">
        <w:rPr>
          <w:rFonts w:eastAsia="Times New Roman"/>
        </w:rPr>
        <w:t>MRDLG-Maximum Residual Disinfectant Level Goal.</w:t>
      </w:r>
    </w:p>
    <w:p w14:paraId="281A211D" w14:textId="53487CF9" w:rsidR="004647B9" w:rsidRDefault="00E2436F" w:rsidP="00F5009D">
      <w:pPr>
        <w:numPr>
          <w:ilvl w:val="0"/>
          <w:numId w:val="522"/>
        </w:numPr>
        <w:tabs>
          <w:tab w:val="left" w:pos="480"/>
        </w:tabs>
        <w:ind w:left="480" w:hanging="480"/>
        <w:rPr>
          <w:rFonts w:eastAsia="Times New Roman"/>
        </w:rPr>
      </w:pPr>
      <w:r w:rsidRPr="00764311">
        <w:rPr>
          <w:rFonts w:eastAsia="Times New Roman"/>
        </w:rPr>
        <w:t>MRDL-Maximum Residual Disinfectant Level.</w:t>
      </w:r>
    </w:p>
    <w:p w14:paraId="1EEF4D60" w14:textId="0F868C3B" w:rsidR="000415A1" w:rsidRPr="00764311" w:rsidRDefault="000415A1" w:rsidP="00F5009D">
      <w:pPr>
        <w:numPr>
          <w:ilvl w:val="0"/>
          <w:numId w:val="522"/>
        </w:numPr>
        <w:tabs>
          <w:tab w:val="left" w:pos="480"/>
        </w:tabs>
        <w:ind w:left="480" w:hanging="480"/>
        <w:rPr>
          <w:rFonts w:eastAsia="Times New Roman"/>
        </w:rPr>
      </w:pPr>
      <w:r>
        <w:rPr>
          <w:rFonts w:eastAsia="Times New Roman"/>
        </w:rPr>
        <w:t>Nanograms per liter.</w:t>
      </w:r>
    </w:p>
    <w:p w14:paraId="688C6386" w14:textId="77777777" w:rsidR="002C6157" w:rsidRDefault="002C6157" w:rsidP="00F5009D">
      <w:pPr>
        <w:tabs>
          <w:tab w:val="left" w:pos="480"/>
        </w:tabs>
        <w:rPr>
          <w:rFonts w:eastAsia="Times New Roman"/>
          <w:sz w:val="24"/>
          <w:szCs w:val="24"/>
        </w:rPr>
      </w:pPr>
    </w:p>
    <w:p w14:paraId="281A211F" w14:textId="5CD601EB" w:rsidR="004647B9" w:rsidRPr="00764311" w:rsidRDefault="00E2436F" w:rsidP="00887C89">
      <w:pPr>
        <w:numPr>
          <w:ilvl w:val="0"/>
          <w:numId w:val="524"/>
        </w:numPr>
        <w:tabs>
          <w:tab w:val="left" w:pos="1860"/>
        </w:tabs>
        <w:ind w:left="1195"/>
        <w:rPr>
          <w:rFonts w:eastAsia="Times New Roman"/>
          <w:sz w:val="24"/>
          <w:szCs w:val="24"/>
        </w:rPr>
      </w:pPr>
      <w:r w:rsidRPr="00764311">
        <w:rPr>
          <w:rFonts w:eastAsia="Times New Roman"/>
          <w:sz w:val="24"/>
          <w:szCs w:val="24"/>
          <w:u w:val="single"/>
        </w:rPr>
        <w:t>Special Notice for Repeated Failure to Conduct Monitoring of the Source Water for</w:t>
      </w:r>
      <w:r w:rsidR="00F5009D">
        <w:rPr>
          <w:rFonts w:eastAsia="Times New Roman"/>
          <w:sz w:val="24"/>
          <w:szCs w:val="24"/>
          <w:u w:val="single"/>
        </w:rPr>
        <w:t xml:space="preserve"> </w:t>
      </w:r>
      <w:r w:rsidR="00F5009D" w:rsidRPr="00764311">
        <w:rPr>
          <w:rFonts w:eastAsia="Times New Roman"/>
          <w:i/>
          <w:iCs/>
          <w:sz w:val="24"/>
          <w:szCs w:val="24"/>
          <w:u w:val="single"/>
        </w:rPr>
        <w:t xml:space="preserve">Cryptosporidium </w:t>
      </w:r>
      <w:r w:rsidR="00F5009D" w:rsidRPr="00764311">
        <w:rPr>
          <w:rFonts w:eastAsia="Times New Roman"/>
          <w:sz w:val="24"/>
          <w:szCs w:val="24"/>
          <w:u w:val="single"/>
        </w:rPr>
        <w:t>and for Failure to Determine Bin Classification or Mean</w:t>
      </w:r>
      <w:r w:rsidR="00F5009D" w:rsidRPr="00764311">
        <w:rPr>
          <w:rFonts w:eastAsia="Times New Roman"/>
          <w:i/>
          <w:iCs/>
          <w:sz w:val="24"/>
          <w:szCs w:val="24"/>
          <w:u w:val="single"/>
        </w:rPr>
        <w:t xml:space="preserve"> Cryptosporidium </w:t>
      </w:r>
      <w:r w:rsidR="00F5009D" w:rsidRPr="00764311">
        <w:rPr>
          <w:rFonts w:eastAsia="Times New Roman"/>
          <w:sz w:val="24"/>
          <w:szCs w:val="24"/>
          <w:u w:val="single"/>
        </w:rPr>
        <w:t>Level</w:t>
      </w:r>
      <w:r w:rsidR="00887C89">
        <w:rPr>
          <w:rFonts w:eastAsia="Times New Roman"/>
          <w:sz w:val="24"/>
          <w:szCs w:val="24"/>
          <w:u w:val="single"/>
        </w:rPr>
        <w:t>.</w:t>
      </w:r>
    </w:p>
    <w:p w14:paraId="281A2122" w14:textId="77777777" w:rsidR="004647B9" w:rsidRPr="00764311" w:rsidRDefault="00E2436F" w:rsidP="00F5009D">
      <w:pPr>
        <w:numPr>
          <w:ilvl w:val="0"/>
          <w:numId w:val="525"/>
        </w:numPr>
        <w:tabs>
          <w:tab w:val="left" w:pos="2100"/>
        </w:tabs>
        <w:ind w:left="1560" w:hanging="5"/>
        <w:jc w:val="both"/>
        <w:rPr>
          <w:rFonts w:eastAsia="Times New Roman"/>
          <w:sz w:val="24"/>
          <w:szCs w:val="24"/>
        </w:rPr>
      </w:pPr>
      <w:r w:rsidRPr="00764311">
        <w:rPr>
          <w:rFonts w:eastAsia="Times New Roman"/>
          <w:sz w:val="24"/>
          <w:szCs w:val="24"/>
        </w:rPr>
        <w:t>The owner or operator of a Community or Non-community Water System that is required to monitor source water under 310 CMR 22.20G(2) must notify Persons served by the water system that monitoring has not been completed as specified no later than 30 days after the system has failed to collect any three months of monitoring as specified in 310 CMR 22.20G(2)(c). The notice must be repeated as specified in 310 CMR 22.16(3)(b).</w:t>
      </w:r>
    </w:p>
    <w:p w14:paraId="281A2124" w14:textId="090FD7CF" w:rsidR="004647B9" w:rsidRPr="00764311" w:rsidRDefault="00E2436F" w:rsidP="00887C89">
      <w:pPr>
        <w:numPr>
          <w:ilvl w:val="0"/>
          <w:numId w:val="525"/>
        </w:numPr>
        <w:tabs>
          <w:tab w:val="left" w:pos="2100"/>
        </w:tabs>
        <w:ind w:left="1555"/>
        <w:rPr>
          <w:rFonts w:eastAsia="Times New Roman"/>
          <w:sz w:val="24"/>
          <w:szCs w:val="24"/>
        </w:rPr>
      </w:pPr>
      <w:r w:rsidRPr="00764311">
        <w:rPr>
          <w:rFonts w:eastAsia="Times New Roman"/>
          <w:sz w:val="24"/>
          <w:szCs w:val="24"/>
        </w:rPr>
        <w:t>The owner or operator of a Community or Non-community Water System that is</w:t>
      </w:r>
      <w:r w:rsidR="00887C89">
        <w:rPr>
          <w:rFonts w:eastAsia="Times New Roman"/>
          <w:sz w:val="24"/>
          <w:szCs w:val="24"/>
        </w:rPr>
        <w:t xml:space="preserve"> </w:t>
      </w:r>
      <w:r w:rsidR="00887C89" w:rsidRPr="00764311">
        <w:rPr>
          <w:rFonts w:eastAsia="Times New Roman"/>
          <w:sz w:val="24"/>
          <w:szCs w:val="24"/>
        </w:rPr>
        <w:t xml:space="preserve">required to determine a bin classification under 310 CMR 22.20G(11), or to determine mean </w:t>
      </w:r>
      <w:r w:rsidR="00887C89" w:rsidRPr="00764311">
        <w:rPr>
          <w:rFonts w:eastAsia="Times New Roman"/>
          <w:i/>
          <w:iCs/>
          <w:sz w:val="24"/>
          <w:szCs w:val="24"/>
        </w:rPr>
        <w:t xml:space="preserve">Cryptosporidium </w:t>
      </w:r>
      <w:r w:rsidR="00887C89" w:rsidRPr="00764311">
        <w:rPr>
          <w:rFonts w:eastAsia="Times New Roman"/>
          <w:sz w:val="24"/>
          <w:szCs w:val="24"/>
        </w:rPr>
        <w:t>level under 310 CMR 22.20G(13), must notify Persons served by the water</w:t>
      </w:r>
      <w:r w:rsidR="00887C89" w:rsidRPr="00764311">
        <w:rPr>
          <w:rFonts w:eastAsia="Times New Roman"/>
          <w:i/>
          <w:iCs/>
          <w:sz w:val="24"/>
          <w:szCs w:val="24"/>
        </w:rPr>
        <w:t xml:space="preserve"> </w:t>
      </w:r>
      <w:r w:rsidR="00887C89" w:rsidRPr="00764311">
        <w:rPr>
          <w:rFonts w:eastAsia="Times New Roman"/>
          <w:sz w:val="24"/>
          <w:szCs w:val="24"/>
        </w:rPr>
        <w:t>system that the determination has not been made as required no later than 30 days after the system has failed report the determination as specified in 310 CMR 22.20G(11)(e) or 310 CMR 22.20G(13)(a), respectively. The notice must be repeated as specified in 310 CMR 22.16(3)(b). The notice is not required if the system is complying with a Department-approved schedule to address the violation</w:t>
      </w:r>
      <w:r w:rsidR="00887C89">
        <w:rPr>
          <w:rFonts w:eastAsia="Times New Roman"/>
          <w:sz w:val="24"/>
          <w:szCs w:val="24"/>
        </w:rPr>
        <w:t>.</w:t>
      </w:r>
    </w:p>
    <w:p w14:paraId="281A2128" w14:textId="77777777" w:rsidR="004647B9" w:rsidRPr="00764311" w:rsidRDefault="00E2436F" w:rsidP="00F5009D">
      <w:pPr>
        <w:numPr>
          <w:ilvl w:val="0"/>
          <w:numId w:val="526"/>
        </w:numPr>
        <w:tabs>
          <w:tab w:val="left" w:pos="2042"/>
        </w:tabs>
        <w:ind w:left="1560" w:hanging="5"/>
        <w:jc w:val="both"/>
        <w:rPr>
          <w:rFonts w:eastAsia="Times New Roman"/>
          <w:sz w:val="24"/>
          <w:szCs w:val="24"/>
        </w:rPr>
      </w:pPr>
      <w:r w:rsidRPr="00764311">
        <w:rPr>
          <w:rFonts w:eastAsia="Times New Roman"/>
          <w:sz w:val="24"/>
          <w:szCs w:val="24"/>
        </w:rPr>
        <w:t>The form and manner of the public notice must follow the requirements for a Tier 2 Public Notice prescribed in 310 CMR 22.16(3)(c). The public notice must be presented as required in 310 CMR 22.16(5)(c).</w:t>
      </w:r>
    </w:p>
    <w:p w14:paraId="281A212A" w14:textId="77777777" w:rsidR="004647B9" w:rsidRPr="00764311" w:rsidRDefault="00E2436F" w:rsidP="00F5009D">
      <w:pPr>
        <w:numPr>
          <w:ilvl w:val="0"/>
          <w:numId w:val="526"/>
        </w:numPr>
        <w:tabs>
          <w:tab w:val="left" w:pos="1968"/>
        </w:tabs>
        <w:ind w:left="1560" w:hanging="5"/>
        <w:rPr>
          <w:rFonts w:eastAsia="Times New Roman"/>
          <w:sz w:val="24"/>
          <w:szCs w:val="24"/>
        </w:rPr>
      </w:pPr>
      <w:r w:rsidRPr="00764311">
        <w:rPr>
          <w:rFonts w:eastAsia="Times New Roman"/>
          <w:sz w:val="24"/>
          <w:szCs w:val="24"/>
        </w:rPr>
        <w:t>The notice must contain the following language, including the language necessary to fill in the blanks.</w:t>
      </w:r>
    </w:p>
    <w:p w14:paraId="281A212B" w14:textId="77777777" w:rsidR="004647B9" w:rsidRPr="00764311" w:rsidRDefault="00E2436F" w:rsidP="00F5009D">
      <w:pPr>
        <w:numPr>
          <w:ilvl w:val="1"/>
          <w:numId w:val="526"/>
        </w:numPr>
        <w:tabs>
          <w:tab w:val="left" w:pos="2374"/>
        </w:tabs>
        <w:ind w:left="1920" w:hanging="5"/>
        <w:rPr>
          <w:rFonts w:eastAsia="Times New Roman"/>
          <w:sz w:val="24"/>
          <w:szCs w:val="24"/>
        </w:rPr>
      </w:pPr>
      <w:r w:rsidRPr="00764311">
        <w:rPr>
          <w:rFonts w:eastAsia="Times New Roman"/>
          <w:sz w:val="24"/>
          <w:szCs w:val="24"/>
        </w:rPr>
        <w:t>The special notice for repeated failure to conduct monitoring must contain the following language:</w:t>
      </w:r>
    </w:p>
    <w:p w14:paraId="281A212E" w14:textId="7B3929A3" w:rsidR="004647B9" w:rsidRPr="00060C5A" w:rsidRDefault="00E2436F" w:rsidP="00F5009D">
      <w:pPr>
        <w:ind w:left="2280" w:right="720"/>
        <w:jc w:val="both"/>
        <w:rPr>
          <w:rFonts w:eastAsia="Times New Roman"/>
          <w:sz w:val="24"/>
          <w:szCs w:val="24"/>
        </w:rPr>
      </w:pPr>
      <w:r w:rsidRPr="00764311">
        <w:rPr>
          <w:rFonts w:eastAsia="Times New Roman"/>
          <w:sz w:val="24"/>
          <w:szCs w:val="24"/>
        </w:rPr>
        <w:t xml:space="preserve">We are required to monitor the source of your drinking water for </w:t>
      </w:r>
      <w:r w:rsidRPr="00764311">
        <w:rPr>
          <w:rFonts w:eastAsia="Times New Roman"/>
          <w:i/>
          <w:iCs/>
          <w:sz w:val="24"/>
          <w:szCs w:val="24"/>
        </w:rPr>
        <w:t>Cryptosporidium</w:t>
      </w:r>
      <w:r w:rsidRPr="00764311">
        <w:rPr>
          <w:rFonts w:eastAsia="Times New Roman"/>
          <w:sz w:val="24"/>
          <w:szCs w:val="24"/>
        </w:rPr>
        <w:t>. Results of the monitoring are to be used to determine</w:t>
      </w:r>
      <w:r w:rsidRPr="00764311">
        <w:rPr>
          <w:rFonts w:eastAsia="Times New Roman"/>
          <w:i/>
          <w:iCs/>
          <w:sz w:val="24"/>
          <w:szCs w:val="24"/>
        </w:rPr>
        <w:t xml:space="preserve"> </w:t>
      </w:r>
      <w:r w:rsidRPr="00764311">
        <w:rPr>
          <w:rFonts w:eastAsia="Times New Roman"/>
          <w:sz w:val="24"/>
          <w:szCs w:val="24"/>
        </w:rPr>
        <w:t xml:space="preserve">whether water treatment at the (treatment plant name) is sufficient to adequately remove </w:t>
      </w:r>
      <w:r w:rsidRPr="00764311">
        <w:rPr>
          <w:rFonts w:eastAsia="Times New Roman"/>
          <w:i/>
          <w:iCs/>
          <w:sz w:val="24"/>
          <w:szCs w:val="24"/>
        </w:rPr>
        <w:t>Cryptosporidium</w:t>
      </w:r>
      <w:r w:rsidRPr="00764311">
        <w:rPr>
          <w:rFonts w:eastAsia="Times New Roman"/>
          <w:sz w:val="24"/>
          <w:szCs w:val="24"/>
        </w:rPr>
        <w:t xml:space="preserve"> from your drinking water. We are required to complete this monitoring and make this determination by (required bin determination date).</w:t>
      </w:r>
      <w:r w:rsidRPr="00764311" w:rsidDel="007B206E">
        <w:rPr>
          <w:rFonts w:eastAsia="Times New Roman"/>
          <w:sz w:val="24"/>
          <w:szCs w:val="24"/>
        </w:rPr>
        <w:t xml:space="preserve"> </w:t>
      </w:r>
      <w:r w:rsidRPr="00764311">
        <w:rPr>
          <w:rFonts w:eastAsia="Times New Roman"/>
          <w:sz w:val="24"/>
          <w:szCs w:val="24"/>
        </w:rPr>
        <w:t xml:space="preserve">We ''did not monitor or test'' or ''did not complete all monitoring or testing'' on schedule and, therefore, we may not be able to determine by the required date what treatment modifications, if any, must be made to ensure adequate </w:t>
      </w:r>
      <w:r w:rsidRPr="00764311">
        <w:rPr>
          <w:rFonts w:eastAsia="Times New Roman"/>
          <w:i/>
          <w:iCs/>
          <w:sz w:val="24"/>
          <w:szCs w:val="24"/>
        </w:rPr>
        <w:t>Cryptosporidium</w:t>
      </w:r>
      <w:r w:rsidRPr="00764311">
        <w:rPr>
          <w:rFonts w:eastAsia="Times New Roman"/>
          <w:sz w:val="24"/>
          <w:szCs w:val="24"/>
        </w:rPr>
        <w:t xml:space="preserve"> removal. Missing this deadline may, in turn, jeopardize our ability to have the required </w:t>
      </w:r>
    </w:p>
    <w:p w14:paraId="281A212F" w14:textId="77777777" w:rsidR="004647B9" w:rsidRDefault="004647B9" w:rsidP="00F5009D">
      <w:pPr>
        <w:sectPr w:rsidR="004647B9" w:rsidSect="00EF630C">
          <w:pgSz w:w="12240" w:h="20180"/>
          <w:pgMar w:top="708" w:right="1440" w:bottom="1440" w:left="600" w:header="0" w:footer="0" w:gutter="0"/>
          <w:cols w:space="720"/>
        </w:sectPr>
      </w:pPr>
    </w:p>
    <w:p w14:paraId="281A2130" w14:textId="77777777" w:rsidR="004647B9" w:rsidRDefault="00E2436F">
      <w:pPr>
        <w:tabs>
          <w:tab w:val="left" w:pos="160"/>
        </w:tabs>
        <w:jc w:val="center"/>
        <w:rPr>
          <w:sz w:val="20"/>
          <w:szCs w:val="20"/>
        </w:rPr>
      </w:pPr>
      <w:bookmarkStart w:id="208" w:name="page210"/>
      <w:bookmarkEnd w:id="20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131" w14:textId="77777777" w:rsidR="004647B9" w:rsidRDefault="004647B9" w:rsidP="00887C89">
      <w:pPr>
        <w:rPr>
          <w:sz w:val="20"/>
          <w:szCs w:val="20"/>
        </w:rPr>
      </w:pPr>
    </w:p>
    <w:p w14:paraId="281A2132" w14:textId="77777777" w:rsidR="004647B9" w:rsidRDefault="004647B9" w:rsidP="00887C89">
      <w:pPr>
        <w:rPr>
          <w:sz w:val="20"/>
          <w:szCs w:val="20"/>
        </w:rPr>
      </w:pPr>
    </w:p>
    <w:p w14:paraId="281A2133" w14:textId="5F607A3F" w:rsidR="004647B9" w:rsidRDefault="00E2436F" w:rsidP="00887C89">
      <w:pPr>
        <w:tabs>
          <w:tab w:val="left" w:pos="760"/>
        </w:tabs>
        <w:rPr>
          <w:rFonts w:eastAsia="Times New Roman"/>
          <w:sz w:val="24"/>
          <w:szCs w:val="24"/>
        </w:rPr>
      </w:pPr>
      <w:r>
        <w:rPr>
          <w:rFonts w:eastAsia="Times New Roman"/>
          <w:sz w:val="24"/>
          <w:szCs w:val="24"/>
        </w:rPr>
        <w:t>22.16:</w:t>
      </w:r>
      <w:r>
        <w:rPr>
          <w:rFonts w:eastAsia="Times New Roman"/>
          <w:sz w:val="24"/>
          <w:szCs w:val="24"/>
        </w:rPr>
        <w:tab/>
        <w:t>continued</w:t>
      </w:r>
    </w:p>
    <w:p w14:paraId="133EAC2A" w14:textId="77777777" w:rsidR="000415A1" w:rsidRPr="00887C89" w:rsidRDefault="000415A1" w:rsidP="00887C89">
      <w:pPr>
        <w:tabs>
          <w:tab w:val="left" w:pos="760"/>
        </w:tabs>
        <w:rPr>
          <w:sz w:val="20"/>
          <w:szCs w:val="20"/>
        </w:rPr>
      </w:pPr>
    </w:p>
    <w:p w14:paraId="5AFF41A2" w14:textId="3E57F66F" w:rsidR="000415A1" w:rsidRPr="00764311" w:rsidRDefault="000415A1" w:rsidP="00887C89">
      <w:pPr>
        <w:ind w:left="2280" w:right="720"/>
        <w:jc w:val="both"/>
        <w:rPr>
          <w:sz w:val="24"/>
          <w:szCs w:val="24"/>
        </w:rPr>
      </w:pPr>
      <w:r w:rsidRPr="00764311">
        <w:rPr>
          <w:rFonts w:eastAsia="Times New Roman"/>
          <w:sz w:val="24"/>
          <w:szCs w:val="24"/>
        </w:rPr>
        <w:t>treatment modifications, if any, completed by the deadline required, (date).</w:t>
      </w:r>
      <w:r w:rsidR="00887C89">
        <w:rPr>
          <w:rFonts w:eastAsia="Times New Roman"/>
          <w:sz w:val="24"/>
          <w:szCs w:val="24"/>
        </w:rPr>
        <w:t xml:space="preserve"> For more information, please call (name of water system contact) of (name of water system) at (phone number).</w:t>
      </w:r>
    </w:p>
    <w:p w14:paraId="281A2137" w14:textId="05154642" w:rsidR="004647B9" w:rsidRPr="00060C5A" w:rsidRDefault="00E2436F" w:rsidP="00887C89">
      <w:pPr>
        <w:numPr>
          <w:ilvl w:val="1"/>
          <w:numId w:val="526"/>
        </w:numPr>
        <w:tabs>
          <w:tab w:val="left" w:pos="2374"/>
        </w:tabs>
        <w:ind w:left="1920" w:hanging="5"/>
        <w:rPr>
          <w:rFonts w:eastAsia="Times New Roman"/>
          <w:sz w:val="24"/>
          <w:szCs w:val="24"/>
        </w:rPr>
      </w:pPr>
      <w:r w:rsidRPr="00060C5A">
        <w:rPr>
          <w:rFonts w:eastAsia="Times New Roman"/>
          <w:sz w:val="24"/>
          <w:szCs w:val="24"/>
        </w:rPr>
        <w:t>The special notice for failure to determine bin classification or mean</w:t>
      </w:r>
      <w:r w:rsidR="00060C5A">
        <w:rPr>
          <w:rFonts w:eastAsia="Times New Roman"/>
          <w:sz w:val="24"/>
          <w:szCs w:val="24"/>
        </w:rPr>
        <w:t xml:space="preserve"> </w:t>
      </w:r>
      <w:r w:rsidRPr="00060C5A">
        <w:rPr>
          <w:rFonts w:eastAsia="Times New Roman"/>
          <w:i/>
          <w:iCs/>
          <w:sz w:val="24"/>
          <w:szCs w:val="24"/>
        </w:rPr>
        <w:t>Cryptosporidium</w:t>
      </w:r>
      <w:r w:rsidRPr="00060C5A">
        <w:rPr>
          <w:rFonts w:eastAsia="Times New Roman"/>
          <w:sz w:val="24"/>
          <w:szCs w:val="24"/>
        </w:rPr>
        <w:t xml:space="preserve"> level must contain the following language:</w:t>
      </w:r>
    </w:p>
    <w:p w14:paraId="281A2139" w14:textId="77777777" w:rsidR="004647B9" w:rsidRPr="00887C89" w:rsidRDefault="00E2436F" w:rsidP="00887C89">
      <w:pPr>
        <w:ind w:left="2300" w:right="720" w:hanging="25"/>
        <w:jc w:val="both"/>
        <w:rPr>
          <w:sz w:val="24"/>
          <w:szCs w:val="24"/>
        </w:rPr>
      </w:pPr>
      <w:r>
        <w:rPr>
          <w:rFonts w:eastAsia="Times New Roman"/>
          <w:sz w:val="24"/>
          <w:szCs w:val="24"/>
        </w:rPr>
        <w:t xml:space="preserve">We are required to monitor the source of your drinking water for </w:t>
      </w:r>
      <w:r>
        <w:rPr>
          <w:rFonts w:eastAsia="Times New Roman"/>
          <w:i/>
          <w:iCs/>
          <w:sz w:val="24"/>
          <w:szCs w:val="24"/>
        </w:rPr>
        <w:t>Cryptosporidium</w:t>
      </w:r>
      <w:r>
        <w:rPr>
          <w:rFonts w:eastAsia="Times New Roman"/>
          <w:sz w:val="24"/>
          <w:szCs w:val="24"/>
        </w:rPr>
        <w:t xml:space="preserve"> in order to determine by (date) whether water treatment at the (treatment plant name) is sufficient to adequately remove </w:t>
      </w:r>
      <w:r>
        <w:rPr>
          <w:rFonts w:eastAsia="Times New Roman"/>
          <w:i/>
          <w:iCs/>
          <w:sz w:val="24"/>
          <w:szCs w:val="24"/>
        </w:rPr>
        <w:t>Cryptosporidium</w:t>
      </w:r>
      <w:r>
        <w:rPr>
          <w:rFonts w:eastAsia="Times New Roman"/>
          <w:sz w:val="24"/>
          <w:szCs w:val="24"/>
        </w:rPr>
        <w:t xml:space="preserve"> from your drinking water. We have not made this determination by the required date. Our failure to do this may jeopardize our ability to have the required treatment modifications, if any, completed by the required deadline of (date). For more information, please call (name </w:t>
      </w:r>
      <w:r w:rsidRPr="00887C89">
        <w:rPr>
          <w:rFonts w:eastAsia="Times New Roman"/>
          <w:sz w:val="24"/>
          <w:szCs w:val="24"/>
        </w:rPr>
        <w:t>of water system contact) of (name of water system) at (phone number).</w:t>
      </w:r>
    </w:p>
    <w:p w14:paraId="281A213A" w14:textId="77777777" w:rsidR="004647B9" w:rsidRDefault="00E2436F" w:rsidP="00887C89">
      <w:pPr>
        <w:numPr>
          <w:ilvl w:val="2"/>
          <w:numId w:val="527"/>
        </w:numPr>
        <w:tabs>
          <w:tab w:val="left" w:pos="2306"/>
        </w:tabs>
        <w:ind w:left="1920" w:hanging="5"/>
        <w:jc w:val="both"/>
        <w:rPr>
          <w:rFonts w:eastAsia="Times New Roman"/>
          <w:sz w:val="24"/>
          <w:szCs w:val="24"/>
        </w:rPr>
      </w:pPr>
      <w:r>
        <w:rPr>
          <w:rFonts w:eastAsia="Times New Roman"/>
          <w:sz w:val="24"/>
          <w:szCs w:val="24"/>
        </w:rPr>
        <w:t>Each special notice must also include a description of what the system is doing to correct the violation and when the system expects to return to compliance or resolve the situation.</w:t>
      </w:r>
    </w:p>
    <w:p w14:paraId="281A213B" w14:textId="77777777" w:rsidR="004647B9" w:rsidRDefault="004647B9" w:rsidP="00887C89">
      <w:pPr>
        <w:rPr>
          <w:rFonts w:eastAsia="Times New Roman"/>
          <w:sz w:val="24"/>
          <w:szCs w:val="24"/>
        </w:rPr>
      </w:pPr>
    </w:p>
    <w:p w14:paraId="281A213C" w14:textId="77777777" w:rsidR="004647B9" w:rsidRDefault="00E2436F" w:rsidP="00887C89">
      <w:pPr>
        <w:numPr>
          <w:ilvl w:val="0"/>
          <w:numId w:val="528"/>
        </w:numPr>
        <w:tabs>
          <w:tab w:val="left" w:pos="1978"/>
        </w:tabs>
        <w:ind w:left="1200"/>
        <w:rPr>
          <w:rFonts w:eastAsia="Times New Roman"/>
          <w:sz w:val="24"/>
          <w:szCs w:val="24"/>
        </w:rPr>
      </w:pPr>
      <w:r>
        <w:rPr>
          <w:rFonts w:eastAsia="Times New Roman"/>
          <w:sz w:val="24"/>
          <w:szCs w:val="24"/>
          <w:u w:val="single"/>
        </w:rPr>
        <w:t>Special Notice to the Public of Significant Deficiencies or Source Water Fecal Contamination</w:t>
      </w:r>
      <w:r>
        <w:rPr>
          <w:rFonts w:eastAsia="Times New Roman"/>
          <w:sz w:val="24"/>
          <w:szCs w:val="24"/>
        </w:rPr>
        <w:t>.</w:t>
      </w:r>
    </w:p>
    <w:p w14:paraId="281A213E" w14:textId="77777777" w:rsidR="004647B9" w:rsidRDefault="00E2436F" w:rsidP="00887C89">
      <w:pPr>
        <w:numPr>
          <w:ilvl w:val="1"/>
          <w:numId w:val="528"/>
        </w:numPr>
        <w:tabs>
          <w:tab w:val="left" w:pos="2054"/>
        </w:tabs>
        <w:ind w:left="1560" w:hanging="5"/>
        <w:jc w:val="both"/>
        <w:rPr>
          <w:rFonts w:eastAsia="Times New Roman"/>
          <w:sz w:val="24"/>
          <w:szCs w:val="24"/>
        </w:rPr>
      </w:pPr>
      <w:r>
        <w:rPr>
          <w:rFonts w:eastAsia="Times New Roman"/>
          <w:sz w:val="24"/>
          <w:szCs w:val="24"/>
        </w:rPr>
        <w:t>In addition to the applicable public notification requirements of 310 CMR 22.16, a community groundwater system that receives notice from the Department of a Significant Deficiency or notification of a fecal indicator positive groundwater source sample that is not invalidated by the Department under 310 CMR 22.26(3)(d) must inform the public served by the water system under 310 CMR 22.16A(8)(g) of the fecal indicator positive source sample or of any Significant Deficiency that has not been corrected. The system must continue to inform the public annually until the Significant Deficiency is corrected or the fecal contamination in the groundwater source is determined by the Department to be corrected under 310 CMR 22.26(4)(a)5.</w:t>
      </w:r>
    </w:p>
    <w:p w14:paraId="281A2140" w14:textId="77777777" w:rsidR="004647B9" w:rsidRDefault="00E2436F" w:rsidP="00887C89">
      <w:pPr>
        <w:numPr>
          <w:ilvl w:val="1"/>
          <w:numId w:val="528"/>
        </w:numPr>
        <w:tabs>
          <w:tab w:val="left" w:pos="1991"/>
        </w:tabs>
        <w:ind w:left="1560" w:hanging="5"/>
        <w:jc w:val="both"/>
        <w:rPr>
          <w:rFonts w:eastAsia="Times New Roman"/>
          <w:sz w:val="24"/>
          <w:szCs w:val="24"/>
        </w:rPr>
      </w:pPr>
      <w:r>
        <w:rPr>
          <w:rFonts w:eastAsia="Times New Roman"/>
          <w:sz w:val="24"/>
          <w:szCs w:val="24"/>
        </w:rPr>
        <w:t>In addition to the applicable public notification requirements of 310 CMR 22.16, a non community groundwater system that receives notice from the Department of a Significant Deficiency must inform the public served by the water system in a manner approved by the Department, unless otherwise provided for the system by the Department pursuant to 310 CMR 22.16A, of any Significant Deficiency that has not been corrected within 12 months of being notified by the Department, or earlier if directed by the Department. The system must continue to inform the public annually until the Significant Deficiency is corrected. The information must include:</w:t>
      </w:r>
    </w:p>
    <w:p w14:paraId="281A2142" w14:textId="77777777" w:rsidR="004647B9" w:rsidRDefault="00E2436F" w:rsidP="00887C89">
      <w:pPr>
        <w:numPr>
          <w:ilvl w:val="2"/>
          <w:numId w:val="528"/>
        </w:numPr>
        <w:tabs>
          <w:tab w:val="left" w:pos="2251"/>
        </w:tabs>
        <w:ind w:left="1920" w:hanging="5"/>
        <w:rPr>
          <w:rFonts w:eastAsia="Times New Roman"/>
          <w:sz w:val="24"/>
          <w:szCs w:val="24"/>
        </w:rPr>
      </w:pPr>
      <w:r>
        <w:rPr>
          <w:rFonts w:eastAsia="Times New Roman"/>
          <w:sz w:val="24"/>
          <w:szCs w:val="24"/>
        </w:rPr>
        <w:t>The nature of the Significant Deficiency and the date the Significant Deficiency was identified by the Department;</w:t>
      </w:r>
    </w:p>
    <w:p w14:paraId="281A2143" w14:textId="77777777" w:rsidR="004647B9" w:rsidRDefault="00E2436F" w:rsidP="00887C89">
      <w:pPr>
        <w:numPr>
          <w:ilvl w:val="2"/>
          <w:numId w:val="528"/>
        </w:numPr>
        <w:tabs>
          <w:tab w:val="left" w:pos="2402"/>
        </w:tabs>
        <w:ind w:left="1920" w:hanging="5"/>
        <w:jc w:val="both"/>
        <w:rPr>
          <w:rFonts w:eastAsia="Times New Roman"/>
          <w:sz w:val="24"/>
          <w:szCs w:val="24"/>
        </w:rPr>
      </w:pPr>
      <w:r>
        <w:rPr>
          <w:rFonts w:eastAsia="Times New Roman"/>
          <w:sz w:val="24"/>
          <w:szCs w:val="24"/>
        </w:rPr>
        <w:t>The Department approved plan and schedule for correction of the Significant Deficiency, including interim measures, progress to date, and any interim measures completed; and</w:t>
      </w:r>
    </w:p>
    <w:p w14:paraId="281A2145" w14:textId="77777777" w:rsidR="004647B9" w:rsidRDefault="00E2436F" w:rsidP="00887C89">
      <w:pPr>
        <w:numPr>
          <w:ilvl w:val="2"/>
          <w:numId w:val="528"/>
        </w:numPr>
        <w:tabs>
          <w:tab w:val="left" w:pos="2431"/>
        </w:tabs>
        <w:ind w:left="1920" w:hanging="5"/>
        <w:jc w:val="both"/>
        <w:rPr>
          <w:rFonts w:eastAsia="Times New Roman"/>
          <w:sz w:val="24"/>
          <w:szCs w:val="24"/>
        </w:rPr>
      </w:pPr>
      <w:r>
        <w:rPr>
          <w:rFonts w:eastAsia="Times New Roman"/>
          <w:sz w:val="24"/>
          <w:szCs w:val="24"/>
        </w:rPr>
        <w:t>For systems with a large proportion of non English speaking consumers, as determined by the Department, information in the appropriate language(s) regarding the importance of the notice or a telephone number or address where consumers may contact the system to obtain a translated copy of the notice or assistance in the appropriate language.</w:t>
      </w:r>
    </w:p>
    <w:p w14:paraId="281A2147" w14:textId="77777777" w:rsidR="004647B9" w:rsidRDefault="00E2436F" w:rsidP="00887C89">
      <w:pPr>
        <w:numPr>
          <w:ilvl w:val="1"/>
          <w:numId w:val="528"/>
        </w:numPr>
        <w:tabs>
          <w:tab w:val="left" w:pos="2126"/>
        </w:tabs>
        <w:ind w:left="1560" w:hanging="5"/>
        <w:jc w:val="both"/>
        <w:rPr>
          <w:rFonts w:eastAsia="Times New Roman"/>
          <w:sz w:val="24"/>
          <w:szCs w:val="24"/>
        </w:rPr>
      </w:pPr>
      <w:r>
        <w:rPr>
          <w:rFonts w:eastAsia="Times New Roman"/>
          <w:sz w:val="24"/>
          <w:szCs w:val="24"/>
        </w:rPr>
        <w:t>If directed by the Department, a Non-community Water System with significant deficiencies that have been corrected must inform its customers of the significant deficiencies, how the deficiencies were corrected, and the dates of correction under 310 CMR 22.26(4)(a)7.b.</w:t>
      </w:r>
    </w:p>
    <w:p w14:paraId="281A2148" w14:textId="77777777" w:rsidR="004647B9" w:rsidRDefault="004647B9" w:rsidP="00887C89">
      <w:pPr>
        <w:sectPr w:rsidR="004647B9" w:rsidSect="00EF630C">
          <w:pgSz w:w="12240" w:h="20180"/>
          <w:pgMar w:top="708" w:right="1440" w:bottom="1440" w:left="600" w:header="0" w:footer="0" w:gutter="0"/>
          <w:cols w:space="720"/>
        </w:sectPr>
      </w:pPr>
    </w:p>
    <w:p w14:paraId="281A2149" w14:textId="77777777" w:rsidR="004647B9" w:rsidRDefault="00E2436F">
      <w:pPr>
        <w:tabs>
          <w:tab w:val="left" w:pos="160"/>
        </w:tabs>
        <w:jc w:val="center"/>
        <w:rPr>
          <w:sz w:val="20"/>
          <w:szCs w:val="20"/>
        </w:rPr>
      </w:pPr>
      <w:bookmarkStart w:id="209" w:name="page211"/>
      <w:bookmarkEnd w:id="20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14A" w14:textId="77777777" w:rsidR="004647B9" w:rsidRDefault="004647B9" w:rsidP="00887C89">
      <w:pPr>
        <w:rPr>
          <w:sz w:val="20"/>
          <w:szCs w:val="20"/>
        </w:rPr>
      </w:pPr>
    </w:p>
    <w:p w14:paraId="281A214B" w14:textId="77777777" w:rsidR="004647B9" w:rsidRDefault="004647B9" w:rsidP="00887C89">
      <w:pPr>
        <w:rPr>
          <w:sz w:val="20"/>
          <w:szCs w:val="20"/>
        </w:rPr>
      </w:pPr>
    </w:p>
    <w:p w14:paraId="281A214C" w14:textId="77777777" w:rsidR="004647B9" w:rsidRPr="00764311" w:rsidRDefault="00E2436F" w:rsidP="00887C89">
      <w:pPr>
        <w:tabs>
          <w:tab w:val="left" w:pos="940"/>
        </w:tabs>
        <w:rPr>
          <w:sz w:val="24"/>
          <w:szCs w:val="24"/>
        </w:rPr>
      </w:pPr>
      <w:r w:rsidRPr="00764311">
        <w:rPr>
          <w:rFonts w:eastAsia="Times New Roman"/>
          <w:sz w:val="24"/>
          <w:szCs w:val="24"/>
          <w:u w:val="single"/>
        </w:rPr>
        <w:t>22.16A:</w:t>
      </w:r>
      <w:r w:rsidRPr="00764311">
        <w:rPr>
          <w:sz w:val="24"/>
          <w:szCs w:val="24"/>
        </w:rPr>
        <w:tab/>
      </w:r>
      <w:r w:rsidRPr="00764311">
        <w:rPr>
          <w:rFonts w:eastAsia="Times New Roman"/>
          <w:sz w:val="24"/>
          <w:szCs w:val="24"/>
          <w:u w:val="single"/>
        </w:rPr>
        <w:t>Consumer Confidence Reporting Requirements</w:t>
      </w:r>
    </w:p>
    <w:p w14:paraId="281A214D" w14:textId="77777777" w:rsidR="004647B9" w:rsidRPr="00887C89" w:rsidRDefault="004647B9" w:rsidP="00887C89">
      <w:pPr>
        <w:rPr>
          <w:sz w:val="20"/>
          <w:szCs w:val="20"/>
        </w:rPr>
      </w:pPr>
    </w:p>
    <w:p w14:paraId="281A214E" w14:textId="77777777" w:rsidR="004647B9" w:rsidRPr="00764311" w:rsidRDefault="00E2436F" w:rsidP="00887C89">
      <w:pPr>
        <w:numPr>
          <w:ilvl w:val="0"/>
          <w:numId w:val="529"/>
        </w:numPr>
        <w:tabs>
          <w:tab w:val="left" w:pos="1601"/>
        </w:tabs>
        <w:ind w:left="1200"/>
        <w:jc w:val="both"/>
        <w:rPr>
          <w:rFonts w:eastAsia="Times New Roman"/>
          <w:sz w:val="24"/>
          <w:szCs w:val="24"/>
        </w:rPr>
      </w:pPr>
      <w:r w:rsidRPr="00764311">
        <w:rPr>
          <w:rFonts w:eastAsia="Times New Roman"/>
          <w:sz w:val="24"/>
          <w:szCs w:val="24"/>
        </w:rPr>
        <w:t>Each Community Water System in existence as of September 18, 1998, must deliver its first consumer confidence report to its customers by October 19, 1999, its second report by July 1, 2000, and subsequent reports by July 1</w:t>
      </w:r>
      <w:r w:rsidRPr="00764311">
        <w:rPr>
          <w:rFonts w:eastAsia="Times New Roman"/>
          <w:sz w:val="24"/>
          <w:szCs w:val="24"/>
          <w:vertAlign w:val="superscript"/>
        </w:rPr>
        <w:t>st</w:t>
      </w:r>
      <w:r w:rsidRPr="00764311">
        <w:rPr>
          <w:rFonts w:eastAsia="Times New Roman"/>
          <w:sz w:val="24"/>
          <w:szCs w:val="24"/>
        </w:rPr>
        <w:t xml:space="preserve"> annually thereafter. The first report must contain data collected during, or prior to, calendar year 1998, as provided in 310 CMR 22.16A(4)(h). Each report thereafter must contain data collected prior to or during the previous calendar year as specified at 310 CMR 22.16A(4)(h).</w:t>
      </w:r>
    </w:p>
    <w:p w14:paraId="281A214F" w14:textId="77777777" w:rsidR="004647B9" w:rsidRPr="00764311" w:rsidRDefault="004647B9" w:rsidP="00887C89">
      <w:pPr>
        <w:rPr>
          <w:rFonts w:eastAsia="Times New Roman"/>
          <w:sz w:val="24"/>
          <w:szCs w:val="24"/>
        </w:rPr>
      </w:pPr>
    </w:p>
    <w:p w14:paraId="281A2150" w14:textId="77777777" w:rsidR="004647B9" w:rsidRPr="00764311" w:rsidRDefault="00E2436F" w:rsidP="00887C89">
      <w:pPr>
        <w:numPr>
          <w:ilvl w:val="0"/>
          <w:numId w:val="529"/>
        </w:numPr>
        <w:tabs>
          <w:tab w:val="left" w:pos="1696"/>
        </w:tabs>
        <w:ind w:left="1200"/>
        <w:jc w:val="both"/>
        <w:rPr>
          <w:rFonts w:eastAsia="Times New Roman"/>
          <w:sz w:val="24"/>
          <w:szCs w:val="24"/>
        </w:rPr>
      </w:pPr>
      <w:r w:rsidRPr="00764311">
        <w:rPr>
          <w:rFonts w:eastAsia="Times New Roman"/>
          <w:sz w:val="24"/>
          <w:szCs w:val="24"/>
        </w:rPr>
        <w:t>Each Community Water System established after January 1, 1999, must deliver its first consumer confidence report to its customers by July 1</w:t>
      </w:r>
      <w:r w:rsidRPr="00764311">
        <w:rPr>
          <w:rFonts w:eastAsia="Times New Roman"/>
          <w:sz w:val="24"/>
          <w:szCs w:val="24"/>
          <w:vertAlign w:val="superscript"/>
        </w:rPr>
        <w:t>st</w:t>
      </w:r>
      <w:r w:rsidRPr="00764311">
        <w:rPr>
          <w:rFonts w:eastAsia="Times New Roman"/>
          <w:sz w:val="24"/>
          <w:szCs w:val="24"/>
        </w:rPr>
        <w:t xml:space="preserve"> of the year after its first full calendar year in operation and annually thereafter.</w:t>
      </w:r>
    </w:p>
    <w:p w14:paraId="281A2151" w14:textId="77777777" w:rsidR="004647B9" w:rsidRPr="00764311" w:rsidRDefault="004647B9" w:rsidP="00887C89">
      <w:pPr>
        <w:rPr>
          <w:rFonts w:eastAsia="Times New Roman"/>
          <w:sz w:val="24"/>
          <w:szCs w:val="24"/>
        </w:rPr>
      </w:pPr>
    </w:p>
    <w:p w14:paraId="281A2152" w14:textId="77777777" w:rsidR="004647B9" w:rsidRPr="00764311" w:rsidRDefault="00E2436F" w:rsidP="00887C89">
      <w:pPr>
        <w:numPr>
          <w:ilvl w:val="0"/>
          <w:numId w:val="529"/>
        </w:numPr>
        <w:tabs>
          <w:tab w:val="left" w:pos="1660"/>
        </w:tabs>
        <w:ind w:left="1200"/>
        <w:jc w:val="both"/>
        <w:rPr>
          <w:rFonts w:eastAsia="Times New Roman"/>
          <w:sz w:val="24"/>
          <w:szCs w:val="24"/>
        </w:rPr>
      </w:pPr>
      <w:r w:rsidRPr="00764311">
        <w:rPr>
          <w:rFonts w:eastAsia="Times New Roman"/>
          <w:sz w:val="24"/>
          <w:szCs w:val="24"/>
        </w:rPr>
        <w:t>A Public Water System that sells or provides water to another Community Water System shall deliver the applicable information required at 310 CMR 22.16A(4), to the buyer or receiving system:</w:t>
      </w:r>
    </w:p>
    <w:p w14:paraId="281A2154" w14:textId="77777777" w:rsidR="004647B9" w:rsidRPr="00764311" w:rsidRDefault="00E2436F" w:rsidP="00887C89">
      <w:pPr>
        <w:numPr>
          <w:ilvl w:val="1"/>
          <w:numId w:val="529"/>
        </w:numPr>
        <w:tabs>
          <w:tab w:val="left" w:pos="2000"/>
        </w:tabs>
        <w:ind w:left="2000" w:hanging="445"/>
        <w:rPr>
          <w:rFonts w:eastAsia="Times New Roman"/>
          <w:sz w:val="24"/>
          <w:szCs w:val="24"/>
        </w:rPr>
      </w:pPr>
      <w:r w:rsidRPr="00764311">
        <w:rPr>
          <w:rFonts w:eastAsia="Times New Roman"/>
          <w:sz w:val="24"/>
          <w:szCs w:val="24"/>
        </w:rPr>
        <w:t>no later than April 19, 1999, by April 1, 2000, and by April 1</w:t>
      </w:r>
      <w:r w:rsidRPr="00764311">
        <w:rPr>
          <w:rFonts w:eastAsia="Times New Roman"/>
          <w:sz w:val="24"/>
          <w:szCs w:val="24"/>
          <w:vertAlign w:val="superscript"/>
        </w:rPr>
        <w:t>st</w:t>
      </w:r>
      <w:r w:rsidRPr="00764311">
        <w:rPr>
          <w:rFonts w:eastAsia="Times New Roman"/>
          <w:sz w:val="24"/>
          <w:szCs w:val="24"/>
        </w:rPr>
        <w:t xml:space="preserve"> annually thereafter, or</w:t>
      </w:r>
    </w:p>
    <w:p w14:paraId="281A2155" w14:textId="77777777" w:rsidR="004647B9" w:rsidRPr="00764311" w:rsidRDefault="00E2436F" w:rsidP="00887C89">
      <w:pPr>
        <w:numPr>
          <w:ilvl w:val="1"/>
          <w:numId w:val="529"/>
        </w:numPr>
        <w:tabs>
          <w:tab w:val="left" w:pos="1962"/>
        </w:tabs>
        <w:ind w:left="1560" w:hanging="5"/>
        <w:rPr>
          <w:rFonts w:eastAsia="Times New Roman"/>
          <w:sz w:val="24"/>
          <w:szCs w:val="24"/>
        </w:rPr>
      </w:pPr>
      <w:r w:rsidRPr="00764311">
        <w:rPr>
          <w:rFonts w:eastAsia="Times New Roman"/>
          <w:sz w:val="24"/>
          <w:szCs w:val="24"/>
        </w:rPr>
        <w:t>on a date mutually agreed upon by the seller and the purchaser, and specifically included in a written contract between the parties.</w:t>
      </w:r>
    </w:p>
    <w:p w14:paraId="281A2156" w14:textId="77777777" w:rsidR="004647B9" w:rsidRPr="00764311" w:rsidRDefault="004647B9" w:rsidP="00887C89">
      <w:pPr>
        <w:rPr>
          <w:rFonts w:eastAsia="Times New Roman"/>
          <w:sz w:val="24"/>
          <w:szCs w:val="24"/>
        </w:rPr>
      </w:pPr>
    </w:p>
    <w:p w14:paraId="281A2157" w14:textId="77777777" w:rsidR="004647B9" w:rsidRPr="00764311" w:rsidRDefault="00E2436F" w:rsidP="00887C89">
      <w:pPr>
        <w:numPr>
          <w:ilvl w:val="0"/>
          <w:numId w:val="529"/>
        </w:numPr>
        <w:tabs>
          <w:tab w:val="left" w:pos="1645"/>
        </w:tabs>
        <w:ind w:left="1200"/>
        <w:rPr>
          <w:rFonts w:eastAsia="Times New Roman"/>
          <w:sz w:val="24"/>
          <w:szCs w:val="24"/>
        </w:rPr>
      </w:pPr>
      <w:r w:rsidRPr="00764311">
        <w:rPr>
          <w:rFonts w:eastAsia="Times New Roman"/>
          <w:sz w:val="24"/>
          <w:szCs w:val="24"/>
          <w:u w:val="single"/>
        </w:rPr>
        <w:t>Content of the Reports</w:t>
      </w:r>
      <w:r w:rsidRPr="00764311">
        <w:rPr>
          <w:rFonts w:eastAsia="Times New Roman"/>
          <w:sz w:val="24"/>
          <w:szCs w:val="24"/>
        </w:rPr>
        <w:t>. Each Community Water System must provide to its customers an annual report that contains the information specified in 310 CMR 22.16A(4).</w:t>
      </w:r>
    </w:p>
    <w:p w14:paraId="281A2159" w14:textId="77777777" w:rsidR="004647B9" w:rsidRPr="00764311" w:rsidRDefault="00E2436F" w:rsidP="00887C89">
      <w:pPr>
        <w:numPr>
          <w:ilvl w:val="1"/>
          <w:numId w:val="529"/>
        </w:numPr>
        <w:tabs>
          <w:tab w:val="left" w:pos="1970"/>
        </w:tabs>
        <w:ind w:left="1560" w:hanging="5"/>
        <w:rPr>
          <w:rFonts w:eastAsia="Times New Roman"/>
          <w:sz w:val="24"/>
          <w:szCs w:val="24"/>
        </w:rPr>
      </w:pPr>
      <w:r w:rsidRPr="00764311">
        <w:rPr>
          <w:rFonts w:eastAsia="Times New Roman"/>
          <w:sz w:val="24"/>
          <w:szCs w:val="24"/>
        </w:rPr>
        <w:t>Each report must identify the source(s) of the water delivered by the Community Water System by providing information on:</w:t>
      </w:r>
    </w:p>
    <w:p w14:paraId="281A215A" w14:textId="77777777" w:rsidR="004647B9" w:rsidRPr="00764311" w:rsidRDefault="00E2436F" w:rsidP="00887C89">
      <w:pPr>
        <w:numPr>
          <w:ilvl w:val="2"/>
          <w:numId w:val="529"/>
        </w:numPr>
        <w:tabs>
          <w:tab w:val="left" w:pos="2280"/>
        </w:tabs>
        <w:ind w:left="2280" w:hanging="365"/>
        <w:rPr>
          <w:rFonts w:eastAsia="Times New Roman"/>
          <w:sz w:val="24"/>
          <w:szCs w:val="24"/>
        </w:rPr>
      </w:pPr>
      <w:r w:rsidRPr="00764311">
        <w:rPr>
          <w:rFonts w:eastAsia="Times New Roman"/>
          <w:sz w:val="24"/>
          <w:szCs w:val="24"/>
        </w:rPr>
        <w:t xml:space="preserve">The type of the water: </w:t>
      </w:r>
      <w:r w:rsidRPr="00764311">
        <w:rPr>
          <w:rFonts w:eastAsia="Times New Roman"/>
          <w:i/>
          <w:iCs/>
          <w:sz w:val="24"/>
          <w:szCs w:val="24"/>
        </w:rPr>
        <w:t>e.g</w:t>
      </w:r>
      <w:r w:rsidRPr="00764311">
        <w:rPr>
          <w:rFonts w:eastAsia="Times New Roman"/>
          <w:sz w:val="24"/>
          <w:szCs w:val="24"/>
        </w:rPr>
        <w:t>., Surface Water, Groundwater; and</w:t>
      </w:r>
    </w:p>
    <w:p w14:paraId="281A215C" w14:textId="77777777" w:rsidR="004647B9" w:rsidRPr="00764311" w:rsidRDefault="00E2436F" w:rsidP="00887C89">
      <w:pPr>
        <w:numPr>
          <w:ilvl w:val="2"/>
          <w:numId w:val="529"/>
        </w:numPr>
        <w:tabs>
          <w:tab w:val="left" w:pos="2258"/>
        </w:tabs>
        <w:ind w:left="1920" w:hanging="5"/>
        <w:rPr>
          <w:rFonts w:eastAsia="Times New Roman"/>
          <w:sz w:val="24"/>
          <w:szCs w:val="24"/>
        </w:rPr>
      </w:pPr>
      <w:r w:rsidRPr="00764311">
        <w:rPr>
          <w:rFonts w:eastAsia="Times New Roman"/>
          <w:sz w:val="24"/>
          <w:szCs w:val="24"/>
        </w:rPr>
        <w:t>The commonly used name and the Department's source water identification number (if any) and location of the body (or bodies) of water.</w:t>
      </w:r>
    </w:p>
    <w:p w14:paraId="281A215D" w14:textId="77777777" w:rsidR="004647B9" w:rsidRPr="00764311" w:rsidRDefault="00E2436F" w:rsidP="00887C89">
      <w:pPr>
        <w:numPr>
          <w:ilvl w:val="1"/>
          <w:numId w:val="529"/>
        </w:numPr>
        <w:tabs>
          <w:tab w:val="left" w:pos="2013"/>
        </w:tabs>
        <w:ind w:left="1560" w:hanging="5"/>
        <w:jc w:val="both"/>
        <w:rPr>
          <w:rFonts w:eastAsia="Times New Roman"/>
          <w:sz w:val="24"/>
          <w:szCs w:val="24"/>
        </w:rPr>
      </w:pPr>
      <w:r w:rsidRPr="00764311">
        <w:rPr>
          <w:rFonts w:eastAsia="Times New Roman"/>
          <w:sz w:val="24"/>
          <w:szCs w:val="24"/>
        </w:rPr>
        <w:t>If a source water assessment has been completed, the report must notify consumers of the availability of this information and the means to obtain it. In addition, the Public Water Systems are encouraged to highlight in the report significant sources of contamination in the source water area if they have readily available information. Where a system has received a source water assessment from the Department, the report shall include a brief summary of the Public Water System's susceptibility to potential sources of contamination, using language provided by the Department.</w:t>
      </w:r>
    </w:p>
    <w:p w14:paraId="281A215F" w14:textId="77777777" w:rsidR="004647B9" w:rsidRPr="00764311" w:rsidRDefault="00E2436F" w:rsidP="00887C89">
      <w:pPr>
        <w:numPr>
          <w:ilvl w:val="1"/>
          <w:numId w:val="529"/>
        </w:numPr>
        <w:tabs>
          <w:tab w:val="left" w:pos="1960"/>
        </w:tabs>
        <w:ind w:left="1960" w:hanging="405"/>
        <w:rPr>
          <w:rFonts w:eastAsia="Times New Roman"/>
          <w:sz w:val="24"/>
          <w:szCs w:val="24"/>
        </w:rPr>
      </w:pPr>
      <w:r w:rsidRPr="00764311">
        <w:rPr>
          <w:rFonts w:eastAsia="Times New Roman"/>
          <w:sz w:val="24"/>
          <w:szCs w:val="24"/>
        </w:rPr>
        <w:t>Each report must include the following definitions for the purpose of 310 CMR 22.16A:</w:t>
      </w:r>
    </w:p>
    <w:p w14:paraId="281A2161" w14:textId="77777777" w:rsidR="004647B9" w:rsidRPr="00764311" w:rsidRDefault="00E2436F" w:rsidP="00887C89">
      <w:pPr>
        <w:numPr>
          <w:ilvl w:val="2"/>
          <w:numId w:val="529"/>
        </w:numPr>
        <w:tabs>
          <w:tab w:val="left" w:pos="2374"/>
        </w:tabs>
        <w:ind w:left="1920" w:hanging="5"/>
        <w:jc w:val="both"/>
        <w:rPr>
          <w:rFonts w:eastAsia="Times New Roman"/>
          <w:sz w:val="24"/>
          <w:szCs w:val="24"/>
        </w:rPr>
      </w:pPr>
      <w:r w:rsidRPr="00764311">
        <w:rPr>
          <w:rFonts w:eastAsia="Times New Roman"/>
          <w:sz w:val="24"/>
          <w:szCs w:val="24"/>
          <w:u w:val="single"/>
        </w:rPr>
        <w:t>Maximum Contaminant Level Goal or MCLG</w:t>
      </w:r>
      <w:r w:rsidRPr="00764311">
        <w:rPr>
          <w:rFonts w:eastAsia="Times New Roman"/>
          <w:sz w:val="24"/>
          <w:szCs w:val="24"/>
        </w:rPr>
        <w:t>. The level of a contaminant in drinking water below which there is no known or expected risk to health. MCLGs allow for a margin of safety.</w:t>
      </w:r>
    </w:p>
    <w:p w14:paraId="281A2163" w14:textId="77777777" w:rsidR="004647B9" w:rsidRPr="00764311" w:rsidRDefault="00E2436F" w:rsidP="00887C89">
      <w:pPr>
        <w:numPr>
          <w:ilvl w:val="2"/>
          <w:numId w:val="529"/>
        </w:numPr>
        <w:tabs>
          <w:tab w:val="left" w:pos="2287"/>
        </w:tabs>
        <w:ind w:left="1920" w:hanging="5"/>
        <w:jc w:val="both"/>
        <w:rPr>
          <w:rFonts w:eastAsia="Times New Roman"/>
          <w:sz w:val="24"/>
          <w:szCs w:val="24"/>
        </w:rPr>
      </w:pPr>
      <w:r w:rsidRPr="00764311">
        <w:rPr>
          <w:rFonts w:eastAsia="Times New Roman"/>
          <w:sz w:val="24"/>
          <w:szCs w:val="24"/>
          <w:u w:val="single"/>
        </w:rPr>
        <w:t>Maximum Contaminant Level or MCL</w:t>
      </w:r>
      <w:r w:rsidRPr="00764311">
        <w:rPr>
          <w:rFonts w:eastAsia="Times New Roman"/>
          <w:sz w:val="24"/>
          <w:szCs w:val="24"/>
        </w:rPr>
        <w:t>. The highest level of a contaminant that is allowed in drinking water. MCLs are set as close to the MCLGs as feasible using the best available treatment technology.</w:t>
      </w:r>
    </w:p>
    <w:p w14:paraId="281A2165" w14:textId="77777777" w:rsidR="004647B9" w:rsidRPr="00764311" w:rsidRDefault="00E2436F" w:rsidP="00887C89">
      <w:pPr>
        <w:numPr>
          <w:ilvl w:val="1"/>
          <w:numId w:val="529"/>
        </w:numPr>
        <w:tabs>
          <w:tab w:val="left" w:pos="2026"/>
        </w:tabs>
        <w:ind w:left="1560" w:hanging="5"/>
        <w:jc w:val="both"/>
        <w:rPr>
          <w:rFonts w:eastAsia="Times New Roman"/>
          <w:sz w:val="24"/>
          <w:szCs w:val="24"/>
        </w:rPr>
      </w:pPr>
      <w:r w:rsidRPr="00764311">
        <w:rPr>
          <w:rFonts w:eastAsia="Times New Roman"/>
          <w:sz w:val="24"/>
          <w:szCs w:val="24"/>
        </w:rPr>
        <w:t>A report for a Community Water System operating under a variance or an exemption issued by the Department must include the following definition: Variances and Exemptions. The Department or EPA permission not to meet an MCL or a Treatment Technique under certain conditions.</w:t>
      </w:r>
    </w:p>
    <w:p w14:paraId="281A2168" w14:textId="7C16F496" w:rsidR="004647B9" w:rsidRPr="00DC760C" w:rsidRDefault="00E2436F" w:rsidP="00887C89">
      <w:pPr>
        <w:numPr>
          <w:ilvl w:val="1"/>
          <w:numId w:val="529"/>
        </w:numPr>
        <w:tabs>
          <w:tab w:val="left" w:pos="1946"/>
        </w:tabs>
        <w:ind w:left="1560" w:hanging="5"/>
        <w:jc w:val="both"/>
        <w:rPr>
          <w:rFonts w:eastAsia="Times New Roman"/>
          <w:sz w:val="24"/>
          <w:szCs w:val="24"/>
        </w:rPr>
      </w:pPr>
      <w:r w:rsidRPr="00DC760C">
        <w:rPr>
          <w:rFonts w:eastAsia="Times New Roman"/>
          <w:sz w:val="24"/>
          <w:szCs w:val="24"/>
        </w:rPr>
        <w:t>A report that contains data on a contaminant, for which the Department or EPA regulates using any of the following terms, must include the applicable definitions for the purpose of</w:t>
      </w:r>
      <w:r w:rsidR="00DC760C">
        <w:rPr>
          <w:rFonts w:eastAsia="Times New Roman"/>
          <w:sz w:val="24"/>
          <w:szCs w:val="24"/>
        </w:rPr>
        <w:t xml:space="preserve"> </w:t>
      </w:r>
      <w:r w:rsidRPr="00DC760C">
        <w:rPr>
          <w:rFonts w:eastAsia="Times New Roman"/>
          <w:sz w:val="24"/>
          <w:szCs w:val="24"/>
        </w:rPr>
        <w:t>310 CMR 22.16A:</w:t>
      </w:r>
    </w:p>
    <w:p w14:paraId="281A216A" w14:textId="77777777" w:rsidR="004647B9" w:rsidRPr="00764311" w:rsidRDefault="00E2436F" w:rsidP="00887C89">
      <w:pPr>
        <w:numPr>
          <w:ilvl w:val="2"/>
          <w:numId w:val="529"/>
        </w:numPr>
        <w:tabs>
          <w:tab w:val="left" w:pos="2453"/>
        </w:tabs>
        <w:ind w:left="1920" w:hanging="5"/>
        <w:rPr>
          <w:rFonts w:eastAsia="Times New Roman"/>
          <w:sz w:val="24"/>
          <w:szCs w:val="24"/>
        </w:rPr>
      </w:pPr>
      <w:r w:rsidRPr="00764311">
        <w:rPr>
          <w:rFonts w:eastAsia="Times New Roman"/>
          <w:sz w:val="24"/>
          <w:szCs w:val="24"/>
          <w:u w:val="single"/>
        </w:rPr>
        <w:t>Treatment Technique</w:t>
      </w:r>
      <w:r w:rsidRPr="00764311">
        <w:rPr>
          <w:rFonts w:eastAsia="Times New Roman"/>
          <w:sz w:val="24"/>
          <w:szCs w:val="24"/>
        </w:rPr>
        <w:t>. A required process intended to reduce the level of a contaminant in drinking water.</w:t>
      </w:r>
    </w:p>
    <w:p w14:paraId="281A216B" w14:textId="77777777" w:rsidR="004647B9" w:rsidRPr="00764311" w:rsidRDefault="00E2436F" w:rsidP="00887C89">
      <w:pPr>
        <w:numPr>
          <w:ilvl w:val="2"/>
          <w:numId w:val="529"/>
        </w:numPr>
        <w:tabs>
          <w:tab w:val="left" w:pos="2359"/>
        </w:tabs>
        <w:ind w:left="1920" w:hanging="5"/>
        <w:rPr>
          <w:rFonts w:eastAsia="Times New Roman"/>
          <w:sz w:val="24"/>
          <w:szCs w:val="24"/>
        </w:rPr>
      </w:pPr>
      <w:r w:rsidRPr="00764311">
        <w:rPr>
          <w:rFonts w:eastAsia="Times New Roman"/>
          <w:sz w:val="24"/>
          <w:szCs w:val="24"/>
          <w:u w:val="single"/>
        </w:rPr>
        <w:t>Action Level</w:t>
      </w:r>
      <w:r w:rsidRPr="00764311">
        <w:rPr>
          <w:rFonts w:eastAsia="Times New Roman"/>
          <w:sz w:val="24"/>
          <w:szCs w:val="24"/>
        </w:rPr>
        <w:t>. The concentration of a contaminant which, if exceeded, triggers treatment or other requirements which a water system must follow.</w:t>
      </w:r>
    </w:p>
    <w:p w14:paraId="281A216C" w14:textId="77777777" w:rsidR="004647B9" w:rsidRPr="00764311" w:rsidRDefault="00E2436F" w:rsidP="00887C89">
      <w:pPr>
        <w:numPr>
          <w:ilvl w:val="2"/>
          <w:numId w:val="529"/>
        </w:numPr>
        <w:tabs>
          <w:tab w:val="left" w:pos="2287"/>
        </w:tabs>
        <w:ind w:left="1920" w:hanging="5"/>
        <w:jc w:val="both"/>
        <w:rPr>
          <w:rFonts w:eastAsia="Times New Roman"/>
          <w:sz w:val="24"/>
          <w:szCs w:val="24"/>
        </w:rPr>
      </w:pPr>
      <w:r w:rsidRPr="00764311">
        <w:rPr>
          <w:rFonts w:eastAsia="Times New Roman"/>
          <w:sz w:val="24"/>
          <w:szCs w:val="24"/>
          <w:u w:val="single"/>
        </w:rPr>
        <w:t>Maximum Residual Disinfectant Levels Goal or MRDLG</w:t>
      </w:r>
      <w:r w:rsidRPr="00764311">
        <w:rPr>
          <w:rFonts w:eastAsia="Times New Roman"/>
          <w:sz w:val="24"/>
          <w:szCs w:val="24"/>
        </w:rPr>
        <w:t>. The level of a drinking water disinfectant below which there is no known or expected risk to health MRDLGs do not reflect the benefits of the use of disinfectants to control microbial contaminants.</w:t>
      </w:r>
    </w:p>
    <w:p w14:paraId="281A216E" w14:textId="77777777" w:rsidR="004647B9" w:rsidRPr="00764311" w:rsidRDefault="00E2436F" w:rsidP="00887C89">
      <w:pPr>
        <w:numPr>
          <w:ilvl w:val="2"/>
          <w:numId w:val="529"/>
        </w:numPr>
        <w:tabs>
          <w:tab w:val="left" w:pos="2232"/>
        </w:tabs>
        <w:ind w:left="1920" w:hanging="5"/>
        <w:jc w:val="both"/>
        <w:rPr>
          <w:rFonts w:eastAsia="Times New Roman"/>
          <w:sz w:val="24"/>
          <w:szCs w:val="24"/>
        </w:rPr>
      </w:pPr>
      <w:r w:rsidRPr="00764311">
        <w:rPr>
          <w:rFonts w:eastAsia="Times New Roman"/>
          <w:sz w:val="24"/>
          <w:szCs w:val="24"/>
          <w:u w:val="single"/>
        </w:rPr>
        <w:t>Maximum Residual Disinfectant Level or MRDL</w:t>
      </w:r>
      <w:r w:rsidRPr="00764311">
        <w:rPr>
          <w:rFonts w:eastAsia="Times New Roman"/>
          <w:sz w:val="24"/>
          <w:szCs w:val="24"/>
        </w:rPr>
        <w:t>. The highest level of a disinfectant allowed in drinking water. There is convincing evidence that addition of a disinfectant is necessary for control of microbial contaminants.</w:t>
      </w:r>
    </w:p>
    <w:p w14:paraId="281A2170" w14:textId="61DAE8AF" w:rsidR="004647B9" w:rsidRPr="00764311" w:rsidRDefault="00E2436F" w:rsidP="00887C89">
      <w:pPr>
        <w:numPr>
          <w:ilvl w:val="1"/>
          <w:numId w:val="529"/>
        </w:numPr>
        <w:tabs>
          <w:tab w:val="left" w:pos="1915"/>
        </w:tabs>
        <w:ind w:left="1560" w:hanging="5"/>
        <w:jc w:val="both"/>
        <w:rPr>
          <w:rFonts w:eastAsia="Times New Roman"/>
          <w:sz w:val="24"/>
          <w:szCs w:val="24"/>
        </w:rPr>
      </w:pPr>
      <w:r w:rsidRPr="00764311">
        <w:rPr>
          <w:rFonts w:eastAsia="Times New Roman"/>
          <w:sz w:val="24"/>
          <w:szCs w:val="24"/>
          <w:u w:val="single"/>
        </w:rPr>
        <w:t>Information on Detected Contaminants</w:t>
      </w:r>
      <w:r w:rsidRPr="00764311">
        <w:rPr>
          <w:rFonts w:eastAsia="Times New Roman"/>
          <w:sz w:val="24"/>
          <w:szCs w:val="24"/>
        </w:rPr>
        <w:t>. 310 CMR 22.16A(4)</w:t>
      </w:r>
      <w:r w:rsidR="000173D1">
        <w:rPr>
          <w:rFonts w:eastAsia="Times New Roman"/>
          <w:sz w:val="24"/>
          <w:szCs w:val="24"/>
        </w:rPr>
        <w:t>(f) through (</w:t>
      </w:r>
      <w:r w:rsidR="005839C2">
        <w:rPr>
          <w:rFonts w:eastAsia="Times New Roman"/>
          <w:sz w:val="24"/>
          <w:szCs w:val="24"/>
        </w:rPr>
        <w:t>m</w:t>
      </w:r>
      <w:r w:rsidR="0044568F">
        <w:rPr>
          <w:rFonts w:eastAsia="Times New Roman"/>
          <w:sz w:val="24"/>
          <w:szCs w:val="24"/>
        </w:rPr>
        <w:t>)</w:t>
      </w:r>
      <w:r w:rsidRPr="00764311">
        <w:rPr>
          <w:rFonts w:eastAsia="Times New Roman"/>
          <w:sz w:val="24"/>
          <w:szCs w:val="24"/>
        </w:rPr>
        <w:t xml:space="preserve"> specifies the requirements for information to be included in each report for contaminants subject to mandatory monitoring (except </w:t>
      </w:r>
      <w:r w:rsidRPr="00764311">
        <w:rPr>
          <w:rFonts w:eastAsia="Times New Roman"/>
          <w:i/>
          <w:iCs/>
          <w:sz w:val="24"/>
          <w:szCs w:val="24"/>
        </w:rPr>
        <w:t>Cryptosporidium</w:t>
      </w:r>
      <w:r w:rsidRPr="00764311">
        <w:rPr>
          <w:rFonts w:eastAsia="Times New Roman"/>
          <w:sz w:val="24"/>
          <w:szCs w:val="24"/>
        </w:rPr>
        <w:t>). It applies to:</w:t>
      </w:r>
    </w:p>
    <w:p w14:paraId="281A2171" w14:textId="77777777" w:rsidR="004647B9" w:rsidRDefault="004647B9" w:rsidP="00887C89">
      <w:pPr>
        <w:sectPr w:rsidR="004647B9" w:rsidSect="00EF630C">
          <w:pgSz w:w="12240" w:h="20180"/>
          <w:pgMar w:top="708" w:right="1440" w:bottom="1006" w:left="600" w:header="0" w:footer="0" w:gutter="0"/>
          <w:cols w:space="720"/>
        </w:sectPr>
      </w:pPr>
    </w:p>
    <w:p w14:paraId="281A2172" w14:textId="77777777" w:rsidR="004647B9" w:rsidRDefault="00E2436F">
      <w:pPr>
        <w:tabs>
          <w:tab w:val="left" w:pos="160"/>
        </w:tabs>
        <w:jc w:val="center"/>
        <w:rPr>
          <w:sz w:val="20"/>
          <w:szCs w:val="20"/>
        </w:rPr>
      </w:pPr>
      <w:bookmarkStart w:id="210" w:name="page212"/>
      <w:bookmarkEnd w:id="21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173" w14:textId="77777777" w:rsidR="004647B9" w:rsidRDefault="004647B9" w:rsidP="00F53D78">
      <w:pPr>
        <w:rPr>
          <w:sz w:val="20"/>
          <w:szCs w:val="20"/>
        </w:rPr>
      </w:pPr>
    </w:p>
    <w:p w14:paraId="281A2174" w14:textId="77777777" w:rsidR="004647B9" w:rsidRDefault="004647B9" w:rsidP="00F53D78">
      <w:pPr>
        <w:rPr>
          <w:sz w:val="20"/>
          <w:szCs w:val="20"/>
        </w:rPr>
      </w:pPr>
    </w:p>
    <w:p w14:paraId="281A2175" w14:textId="77777777" w:rsidR="004647B9" w:rsidRPr="003B4234" w:rsidRDefault="00E2436F" w:rsidP="00F53D78">
      <w:pPr>
        <w:tabs>
          <w:tab w:val="left" w:pos="940"/>
        </w:tabs>
        <w:rPr>
          <w:sz w:val="24"/>
          <w:szCs w:val="24"/>
        </w:rPr>
      </w:pPr>
      <w:r w:rsidRPr="003B4234">
        <w:rPr>
          <w:rFonts w:eastAsia="Times New Roman"/>
          <w:sz w:val="24"/>
          <w:szCs w:val="24"/>
        </w:rPr>
        <w:t>22.16A:</w:t>
      </w:r>
      <w:r w:rsidRPr="003B4234">
        <w:rPr>
          <w:sz w:val="24"/>
          <w:szCs w:val="24"/>
        </w:rPr>
        <w:tab/>
      </w:r>
      <w:r w:rsidRPr="003B4234">
        <w:rPr>
          <w:rFonts w:eastAsia="Times New Roman"/>
          <w:sz w:val="24"/>
          <w:szCs w:val="24"/>
        </w:rPr>
        <w:t>continued</w:t>
      </w:r>
    </w:p>
    <w:p w14:paraId="281A2176" w14:textId="77777777" w:rsidR="004647B9" w:rsidRPr="00F53D78" w:rsidRDefault="004647B9" w:rsidP="00F53D78">
      <w:pPr>
        <w:rPr>
          <w:sz w:val="20"/>
          <w:szCs w:val="20"/>
        </w:rPr>
      </w:pPr>
    </w:p>
    <w:p w14:paraId="281A2177" w14:textId="77777777" w:rsidR="004647B9" w:rsidRPr="003B4234" w:rsidRDefault="00E2436F" w:rsidP="00563A54">
      <w:pPr>
        <w:numPr>
          <w:ilvl w:val="1"/>
          <w:numId w:val="530"/>
        </w:numPr>
        <w:tabs>
          <w:tab w:val="left" w:pos="2309"/>
        </w:tabs>
        <w:ind w:left="1920" w:hanging="5"/>
        <w:rPr>
          <w:rFonts w:eastAsia="Times New Roman"/>
          <w:sz w:val="24"/>
          <w:szCs w:val="24"/>
        </w:rPr>
      </w:pPr>
      <w:r w:rsidRPr="003B4234">
        <w:rPr>
          <w:rFonts w:eastAsia="Times New Roman"/>
          <w:sz w:val="24"/>
          <w:szCs w:val="24"/>
        </w:rPr>
        <w:t>Contaminants subject to an MCL, Action Level, Maximum Residual Disinfectant Level or Treatment Technique (regulated contaminants);</w:t>
      </w:r>
    </w:p>
    <w:p w14:paraId="281A2179" w14:textId="209DE1F5" w:rsidR="004647B9" w:rsidRPr="003B4234" w:rsidRDefault="002E7F6C" w:rsidP="00563A54">
      <w:pPr>
        <w:numPr>
          <w:ilvl w:val="1"/>
          <w:numId w:val="530"/>
        </w:numPr>
        <w:tabs>
          <w:tab w:val="left" w:pos="2294"/>
        </w:tabs>
        <w:ind w:left="1920" w:hanging="5"/>
        <w:rPr>
          <w:rFonts w:eastAsia="Times New Roman"/>
          <w:sz w:val="24"/>
          <w:szCs w:val="24"/>
        </w:rPr>
      </w:pPr>
      <w:r>
        <w:rPr>
          <w:rFonts w:eastAsia="Times New Roman"/>
          <w:sz w:val="24"/>
          <w:szCs w:val="24"/>
        </w:rPr>
        <w:t xml:space="preserve">Unregulated </w:t>
      </w:r>
      <w:r w:rsidR="00CA2BAE">
        <w:rPr>
          <w:rFonts w:eastAsia="Times New Roman"/>
          <w:sz w:val="24"/>
          <w:szCs w:val="24"/>
        </w:rPr>
        <w:t>c</w:t>
      </w:r>
      <w:r w:rsidR="00E2436F" w:rsidRPr="003B4234">
        <w:rPr>
          <w:rFonts w:eastAsia="Times New Roman"/>
          <w:sz w:val="24"/>
          <w:szCs w:val="24"/>
        </w:rPr>
        <w:t xml:space="preserve">ontaminants for which monitoring is required by </w:t>
      </w:r>
      <w:r w:rsidR="00885DC8">
        <w:rPr>
          <w:rFonts w:eastAsia="Times New Roman"/>
          <w:sz w:val="24"/>
          <w:szCs w:val="24"/>
        </w:rPr>
        <w:t>40 CFR 141.40</w:t>
      </w:r>
      <w:r w:rsidR="00911C2A">
        <w:rPr>
          <w:rFonts w:eastAsia="Times New Roman"/>
          <w:sz w:val="24"/>
          <w:szCs w:val="24"/>
        </w:rPr>
        <w:t xml:space="preserve"> </w:t>
      </w:r>
      <w:r w:rsidR="00CA2BAE">
        <w:rPr>
          <w:rFonts w:eastAsia="Times New Roman"/>
          <w:sz w:val="24"/>
          <w:szCs w:val="24"/>
        </w:rPr>
        <w:t xml:space="preserve">or </w:t>
      </w:r>
      <w:r w:rsidR="00E2436F" w:rsidRPr="003B4234">
        <w:rPr>
          <w:rFonts w:eastAsia="Times New Roman"/>
          <w:sz w:val="24"/>
          <w:szCs w:val="24"/>
        </w:rPr>
        <w:t>310 CMR 22.07C</w:t>
      </w:r>
      <w:r w:rsidR="009106B2">
        <w:rPr>
          <w:rFonts w:eastAsia="Times New Roman"/>
          <w:sz w:val="24"/>
          <w:szCs w:val="24"/>
        </w:rPr>
        <w:t xml:space="preserve">, or pursuant to the Department’s authority under </w:t>
      </w:r>
      <w:r w:rsidR="00536BD3">
        <w:rPr>
          <w:rFonts w:eastAsia="Times New Roman"/>
          <w:sz w:val="24"/>
          <w:szCs w:val="24"/>
        </w:rPr>
        <w:t>310 CMR 22.03(2)</w:t>
      </w:r>
      <w:r w:rsidR="00E2436F" w:rsidRPr="003B4234">
        <w:rPr>
          <w:rFonts w:eastAsia="Times New Roman"/>
          <w:sz w:val="24"/>
          <w:szCs w:val="24"/>
        </w:rPr>
        <w:t>; and</w:t>
      </w:r>
    </w:p>
    <w:p w14:paraId="281A217A" w14:textId="77777777" w:rsidR="004647B9" w:rsidRPr="003B4234" w:rsidRDefault="00E2436F" w:rsidP="00563A54">
      <w:pPr>
        <w:numPr>
          <w:ilvl w:val="1"/>
          <w:numId w:val="530"/>
        </w:numPr>
        <w:tabs>
          <w:tab w:val="left" w:pos="2225"/>
        </w:tabs>
        <w:ind w:left="1920" w:hanging="5"/>
        <w:jc w:val="both"/>
        <w:rPr>
          <w:rFonts w:eastAsia="Times New Roman"/>
          <w:sz w:val="24"/>
          <w:szCs w:val="24"/>
        </w:rPr>
      </w:pPr>
      <w:r w:rsidRPr="003B4234">
        <w:rPr>
          <w:rFonts w:eastAsia="Times New Roman"/>
          <w:sz w:val="24"/>
          <w:szCs w:val="24"/>
        </w:rPr>
        <w:t>Disinfection by-products or microbial contaminants for which monitoring is required by 40 CFR 141.142 and 141.143, except as provided at 310 CMR 22.16A(5)(a), and which are detected in the finished water.</w:t>
      </w:r>
    </w:p>
    <w:p w14:paraId="281A217C" w14:textId="77777777" w:rsidR="004647B9" w:rsidRPr="003B4234" w:rsidRDefault="00E2436F" w:rsidP="00563A54">
      <w:pPr>
        <w:numPr>
          <w:ilvl w:val="0"/>
          <w:numId w:val="531"/>
        </w:numPr>
        <w:tabs>
          <w:tab w:val="left" w:pos="2053"/>
        </w:tabs>
        <w:ind w:left="1560" w:hanging="5"/>
        <w:jc w:val="both"/>
        <w:rPr>
          <w:rFonts w:eastAsia="Times New Roman"/>
          <w:sz w:val="24"/>
          <w:szCs w:val="24"/>
        </w:rPr>
      </w:pPr>
      <w:r w:rsidRPr="003B4234">
        <w:rPr>
          <w:rFonts w:eastAsia="Times New Roman"/>
          <w:sz w:val="24"/>
          <w:szCs w:val="24"/>
        </w:rPr>
        <w:t>The data relating to these contaminants must be displayed in one table or in several adjacent tables. Any additional monitoring results which a Community Water System chooses to include in its report must be displayed separately.</w:t>
      </w:r>
    </w:p>
    <w:p w14:paraId="281A217E" w14:textId="77777777" w:rsidR="004647B9" w:rsidRPr="003B4234" w:rsidRDefault="00E2436F" w:rsidP="00563A54">
      <w:pPr>
        <w:numPr>
          <w:ilvl w:val="0"/>
          <w:numId w:val="531"/>
        </w:numPr>
        <w:tabs>
          <w:tab w:val="left" w:pos="2063"/>
        </w:tabs>
        <w:ind w:left="1560" w:hanging="5"/>
        <w:jc w:val="both"/>
        <w:rPr>
          <w:rFonts w:eastAsia="Times New Roman"/>
          <w:sz w:val="24"/>
          <w:szCs w:val="24"/>
        </w:rPr>
      </w:pPr>
      <w:r w:rsidRPr="003B4234">
        <w:rPr>
          <w:rFonts w:eastAsia="Times New Roman"/>
          <w:sz w:val="24"/>
          <w:szCs w:val="24"/>
        </w:rPr>
        <w:t>The data must be derived from data collected to comply with EPA and Department monitoring and analytical requirements during calendar year 1998 for the first report and subsequent calendar years thereafter except that:</w:t>
      </w:r>
    </w:p>
    <w:p w14:paraId="281A2180" w14:textId="77777777" w:rsidR="004647B9" w:rsidRPr="003B4234" w:rsidRDefault="00E2436F" w:rsidP="00563A54">
      <w:pPr>
        <w:numPr>
          <w:ilvl w:val="1"/>
          <w:numId w:val="531"/>
        </w:numPr>
        <w:tabs>
          <w:tab w:val="left" w:pos="2227"/>
        </w:tabs>
        <w:ind w:left="1920" w:hanging="5"/>
        <w:jc w:val="both"/>
        <w:rPr>
          <w:rFonts w:eastAsia="Times New Roman"/>
          <w:sz w:val="24"/>
          <w:szCs w:val="24"/>
        </w:rPr>
      </w:pPr>
      <w:r w:rsidRPr="003B4234">
        <w:rPr>
          <w:rFonts w:eastAsia="Times New Roman"/>
          <w:sz w:val="24"/>
          <w:szCs w:val="24"/>
        </w:rPr>
        <w:t>Where a system is allowed to monitor for regulated contaminants less often than once a year, the table(s) must include the date and results of the most recent sampling and the report must include a brief statement indicating that the data presented in the report are from the most recent testing done in accordance with the regulations. No data older than five years need be included.</w:t>
      </w:r>
    </w:p>
    <w:p w14:paraId="281A2182" w14:textId="77777777" w:rsidR="004647B9" w:rsidRPr="003B4234" w:rsidRDefault="00E2436F" w:rsidP="00563A54">
      <w:pPr>
        <w:numPr>
          <w:ilvl w:val="1"/>
          <w:numId w:val="531"/>
        </w:numPr>
        <w:tabs>
          <w:tab w:val="left" w:pos="2287"/>
        </w:tabs>
        <w:ind w:left="1920" w:hanging="5"/>
        <w:jc w:val="both"/>
        <w:rPr>
          <w:rFonts w:eastAsia="Times New Roman"/>
          <w:sz w:val="24"/>
          <w:szCs w:val="24"/>
        </w:rPr>
      </w:pPr>
      <w:r w:rsidRPr="003B4234">
        <w:rPr>
          <w:rFonts w:eastAsia="Times New Roman"/>
          <w:sz w:val="24"/>
          <w:szCs w:val="24"/>
        </w:rPr>
        <w:t>Results of monitoring in compliance with 40 CFR 141.142 and 141.143 need only be included for five years from the date of last sample or until any of the detected contaminants becomes regulated and subject to routine monitoring requirements, whichever comes first.</w:t>
      </w:r>
    </w:p>
    <w:p w14:paraId="281A2183" w14:textId="77777777" w:rsidR="004647B9" w:rsidRPr="003B4234" w:rsidRDefault="00E2436F" w:rsidP="00563A54">
      <w:pPr>
        <w:numPr>
          <w:ilvl w:val="0"/>
          <w:numId w:val="531"/>
        </w:numPr>
        <w:tabs>
          <w:tab w:val="left" w:pos="2082"/>
        </w:tabs>
        <w:ind w:left="1560" w:hanging="5"/>
        <w:rPr>
          <w:rFonts w:eastAsia="Times New Roman"/>
          <w:sz w:val="24"/>
          <w:szCs w:val="24"/>
        </w:rPr>
      </w:pPr>
      <w:r w:rsidRPr="003B4234">
        <w:rPr>
          <w:rFonts w:eastAsia="Times New Roman"/>
          <w:sz w:val="24"/>
          <w:szCs w:val="24"/>
        </w:rPr>
        <w:t>For detected regulated contaminants listed in 310 CMR 22.00, including without limitation in 310 CMR 22.16A(27), the table(s) shall contain:</w:t>
      </w:r>
    </w:p>
    <w:p w14:paraId="281A2184" w14:textId="77777777" w:rsidR="004647B9" w:rsidRPr="003B4234" w:rsidRDefault="00E2436F" w:rsidP="00563A54">
      <w:pPr>
        <w:numPr>
          <w:ilvl w:val="1"/>
          <w:numId w:val="531"/>
        </w:numPr>
        <w:tabs>
          <w:tab w:val="left" w:pos="2287"/>
        </w:tabs>
        <w:ind w:left="1920" w:hanging="5"/>
        <w:rPr>
          <w:rFonts w:eastAsia="Times New Roman"/>
          <w:sz w:val="24"/>
          <w:szCs w:val="24"/>
        </w:rPr>
      </w:pPr>
      <w:r w:rsidRPr="003B4234">
        <w:rPr>
          <w:rFonts w:eastAsia="Times New Roman"/>
          <w:sz w:val="24"/>
          <w:szCs w:val="24"/>
        </w:rPr>
        <w:t>The MCL for that contaminant expressed as a number equal to or greater than 1.0, as provided in 310 CMR 22.16A(27);</w:t>
      </w:r>
    </w:p>
    <w:p w14:paraId="281A2185" w14:textId="77777777" w:rsidR="004647B9" w:rsidRPr="003B4234" w:rsidRDefault="00E2436F" w:rsidP="00563A54">
      <w:pPr>
        <w:numPr>
          <w:ilvl w:val="1"/>
          <w:numId w:val="531"/>
        </w:numPr>
        <w:tabs>
          <w:tab w:val="left" w:pos="2280"/>
        </w:tabs>
        <w:ind w:left="2280" w:hanging="365"/>
        <w:rPr>
          <w:rFonts w:eastAsia="Times New Roman"/>
          <w:sz w:val="24"/>
          <w:szCs w:val="24"/>
        </w:rPr>
      </w:pPr>
      <w:r w:rsidRPr="003B4234">
        <w:rPr>
          <w:rFonts w:eastAsia="Times New Roman"/>
          <w:sz w:val="24"/>
          <w:szCs w:val="24"/>
        </w:rPr>
        <w:t>The MCLG for that contaminant expressed in the same units as the MCL;</w:t>
      </w:r>
    </w:p>
    <w:p w14:paraId="281A2187" w14:textId="77777777" w:rsidR="004647B9" w:rsidRPr="003B4234" w:rsidRDefault="00E2436F" w:rsidP="00563A54">
      <w:pPr>
        <w:numPr>
          <w:ilvl w:val="1"/>
          <w:numId w:val="531"/>
        </w:numPr>
        <w:tabs>
          <w:tab w:val="left" w:pos="2263"/>
        </w:tabs>
        <w:ind w:left="1920" w:hanging="5"/>
        <w:jc w:val="both"/>
        <w:rPr>
          <w:rFonts w:eastAsia="Times New Roman"/>
          <w:sz w:val="24"/>
          <w:szCs w:val="24"/>
        </w:rPr>
      </w:pPr>
      <w:r w:rsidRPr="003B4234">
        <w:rPr>
          <w:rFonts w:eastAsia="Times New Roman"/>
          <w:sz w:val="24"/>
          <w:szCs w:val="24"/>
        </w:rPr>
        <w:t>If there is no MCL for a detected contaminant, the table must indicate that there is a Treatment Technique, Maximum Residual Disinfectant Level, or specify the Action Level, applicable to that contaminant, and the report must include the definitions for Treatment Technique, Maximum Residual Disinfectant Level and/or Action Level, as appropriate, specified at 310 CMR 22.16</w:t>
      </w:r>
      <w:r w:rsidRPr="003B4234" w:rsidDel="007B206E">
        <w:rPr>
          <w:rFonts w:eastAsia="Times New Roman"/>
          <w:sz w:val="24"/>
          <w:szCs w:val="24"/>
        </w:rPr>
        <w:t>A(4</w:t>
      </w:r>
      <w:r w:rsidRPr="003B4234">
        <w:rPr>
          <w:rFonts w:eastAsia="Times New Roman"/>
          <w:sz w:val="24"/>
          <w:szCs w:val="24"/>
        </w:rPr>
        <w:t>)(e);</w:t>
      </w:r>
    </w:p>
    <w:p w14:paraId="281A2189" w14:textId="77777777" w:rsidR="004647B9" w:rsidRPr="003B4234" w:rsidRDefault="00E2436F" w:rsidP="00563A54">
      <w:pPr>
        <w:numPr>
          <w:ilvl w:val="1"/>
          <w:numId w:val="531"/>
        </w:numPr>
        <w:tabs>
          <w:tab w:val="left" w:pos="2366"/>
        </w:tabs>
        <w:ind w:left="1920" w:hanging="5"/>
        <w:jc w:val="both"/>
        <w:rPr>
          <w:rFonts w:eastAsia="Times New Roman"/>
          <w:sz w:val="24"/>
          <w:szCs w:val="24"/>
        </w:rPr>
      </w:pPr>
      <w:r w:rsidRPr="003B4234">
        <w:rPr>
          <w:rFonts w:eastAsia="Times New Roman"/>
          <w:sz w:val="24"/>
          <w:szCs w:val="24"/>
        </w:rPr>
        <w:t xml:space="preserve">For contaminants subject to an MCL, except Turbidity and </w:t>
      </w:r>
      <w:r w:rsidRPr="003B4234">
        <w:rPr>
          <w:rFonts w:eastAsia="Times New Roman"/>
          <w:i/>
          <w:iCs/>
          <w:sz w:val="24"/>
          <w:szCs w:val="24"/>
        </w:rPr>
        <w:t>E. coli</w:t>
      </w:r>
      <w:r w:rsidRPr="003B4234">
        <w:rPr>
          <w:rFonts w:eastAsia="Times New Roman"/>
          <w:sz w:val="24"/>
          <w:szCs w:val="24"/>
        </w:rPr>
        <w:t>, the highest contaminant level used to determine compliance with 310 CMR 22.00 and the range of detected levels, as follows:</w:t>
      </w:r>
    </w:p>
    <w:p w14:paraId="281A218B" w14:textId="77777777" w:rsidR="004647B9" w:rsidRPr="003B4234" w:rsidRDefault="00E2436F" w:rsidP="00563A54">
      <w:pPr>
        <w:numPr>
          <w:ilvl w:val="2"/>
          <w:numId w:val="531"/>
        </w:numPr>
        <w:tabs>
          <w:tab w:val="left" w:pos="2594"/>
        </w:tabs>
        <w:ind w:left="2280" w:hanging="5"/>
        <w:jc w:val="both"/>
        <w:rPr>
          <w:rFonts w:eastAsia="Times New Roman"/>
          <w:sz w:val="24"/>
          <w:szCs w:val="24"/>
        </w:rPr>
      </w:pPr>
      <w:r w:rsidRPr="003B4234">
        <w:rPr>
          <w:rFonts w:eastAsia="Times New Roman"/>
          <w:sz w:val="24"/>
          <w:szCs w:val="24"/>
        </w:rPr>
        <w:t>When compliance with the MCL is based on a single sample or the average of an initial and a confirmation sample: the highest detected level or average at any Sampling Point and the range of detected levels of all Sampling Points expressed in the same units as the MCL.</w:t>
      </w:r>
    </w:p>
    <w:p w14:paraId="281A218C" w14:textId="77777777" w:rsidR="004647B9" w:rsidRPr="003B4234" w:rsidRDefault="00E2436F" w:rsidP="00563A54">
      <w:pPr>
        <w:numPr>
          <w:ilvl w:val="2"/>
          <w:numId w:val="531"/>
        </w:numPr>
        <w:tabs>
          <w:tab w:val="left" w:pos="2647"/>
        </w:tabs>
        <w:ind w:left="2280" w:hanging="5"/>
        <w:jc w:val="both"/>
        <w:rPr>
          <w:rFonts w:eastAsia="Times New Roman"/>
          <w:sz w:val="24"/>
          <w:szCs w:val="24"/>
        </w:rPr>
      </w:pPr>
      <w:r w:rsidRPr="003B4234">
        <w:rPr>
          <w:rFonts w:eastAsia="Times New Roman"/>
          <w:sz w:val="24"/>
          <w:szCs w:val="24"/>
        </w:rPr>
        <w:t>When compliance with the MCL is determined annually or less frequently: the highest detected level at any Sampling Point and the range of detected levels expressed in the same units as the MCL.</w:t>
      </w:r>
    </w:p>
    <w:p w14:paraId="281A218E" w14:textId="77777777" w:rsidR="004647B9" w:rsidRPr="003B4234" w:rsidRDefault="00E2436F" w:rsidP="00563A54">
      <w:pPr>
        <w:numPr>
          <w:ilvl w:val="2"/>
          <w:numId w:val="531"/>
        </w:numPr>
        <w:tabs>
          <w:tab w:val="left" w:pos="2591"/>
        </w:tabs>
        <w:ind w:left="2280" w:hanging="5"/>
        <w:jc w:val="both"/>
        <w:rPr>
          <w:rFonts w:eastAsia="Times New Roman"/>
          <w:sz w:val="24"/>
          <w:szCs w:val="24"/>
        </w:rPr>
      </w:pPr>
      <w:r w:rsidRPr="003B4234">
        <w:rPr>
          <w:rFonts w:eastAsia="Times New Roman"/>
          <w:sz w:val="24"/>
          <w:szCs w:val="24"/>
        </w:rPr>
        <w:t>When compliance with the MCL is determined by calculating a Running Annual Average of all samples taken at a monitoring location: the highest average of any of the monitoring locations and the range of all Sampling Points expressed in the same units as the MCL. For the MCLs for TTHM and HAA5 in 310 CMR 22.07E(1)(c), Suppliers of Water shall include the highest Locational Running Annual Average for TTHM and HAA5 and the range of individual sample results for all monitoring locations expressed in the same units as the MCL. If more than one location exceeds the TTHM or HAA5 MCL, the Supplier of Water shall include the Locational Running Annual Averages for all locations that exceed the MCL.</w:t>
      </w:r>
    </w:p>
    <w:p w14:paraId="281A2190" w14:textId="77777777" w:rsidR="004647B9" w:rsidRPr="003B4234" w:rsidRDefault="00E2436F" w:rsidP="00563A54">
      <w:pPr>
        <w:numPr>
          <w:ilvl w:val="2"/>
          <w:numId w:val="531"/>
        </w:numPr>
        <w:tabs>
          <w:tab w:val="left" w:pos="2750"/>
        </w:tabs>
        <w:ind w:left="2280" w:hanging="5"/>
        <w:jc w:val="both"/>
        <w:rPr>
          <w:rFonts w:eastAsia="Times New Roman"/>
          <w:sz w:val="24"/>
          <w:szCs w:val="24"/>
        </w:rPr>
      </w:pPr>
      <w:r w:rsidRPr="003B4234">
        <w:rPr>
          <w:rFonts w:eastAsia="Times New Roman"/>
          <w:sz w:val="24"/>
          <w:szCs w:val="24"/>
        </w:rPr>
        <w:t>When compliance with the MCL is determined on a system-wide basis by calculating a Running Annual Average of all samples at all monitoring locations: the average and range of detection expressed in the same units as the MCL. The Supplier of Water shall include individual sample results for the IDSE conducted under 310 CMR 22.07F when determining the range of TTHM and HAA5 results to be reported in the annual consumer confidence report for the calendar year that the IDSE samples were taken.</w:t>
      </w:r>
    </w:p>
    <w:p w14:paraId="281A2191" w14:textId="77777777" w:rsidR="004647B9" w:rsidRDefault="004647B9">
      <w:pPr>
        <w:sectPr w:rsidR="004647B9" w:rsidSect="00EF630C">
          <w:pgSz w:w="12240" w:h="20180"/>
          <w:pgMar w:top="708" w:right="1440" w:bottom="1440" w:left="600" w:header="0" w:footer="0" w:gutter="0"/>
          <w:cols w:space="720"/>
        </w:sectPr>
      </w:pPr>
    </w:p>
    <w:p w14:paraId="281A2192" w14:textId="77777777" w:rsidR="004647B9" w:rsidRDefault="00E2436F">
      <w:pPr>
        <w:tabs>
          <w:tab w:val="left" w:pos="160"/>
        </w:tabs>
        <w:jc w:val="center"/>
        <w:rPr>
          <w:sz w:val="20"/>
          <w:szCs w:val="20"/>
        </w:rPr>
      </w:pPr>
      <w:bookmarkStart w:id="211" w:name="page213"/>
      <w:bookmarkEnd w:id="21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193" w14:textId="77777777" w:rsidR="004647B9" w:rsidRDefault="004647B9" w:rsidP="003001FF">
      <w:pPr>
        <w:rPr>
          <w:sz w:val="20"/>
          <w:szCs w:val="20"/>
        </w:rPr>
      </w:pPr>
    </w:p>
    <w:p w14:paraId="281A2194" w14:textId="77777777" w:rsidR="004647B9" w:rsidRDefault="004647B9" w:rsidP="003001FF">
      <w:pPr>
        <w:rPr>
          <w:sz w:val="20"/>
          <w:szCs w:val="20"/>
        </w:rPr>
      </w:pPr>
    </w:p>
    <w:p w14:paraId="281A2195" w14:textId="77777777" w:rsidR="004647B9" w:rsidRPr="003B4234" w:rsidRDefault="00E2436F" w:rsidP="003001FF">
      <w:pPr>
        <w:tabs>
          <w:tab w:val="left" w:pos="940"/>
        </w:tabs>
        <w:rPr>
          <w:sz w:val="24"/>
          <w:szCs w:val="24"/>
        </w:rPr>
      </w:pPr>
      <w:r w:rsidRPr="003B4234">
        <w:rPr>
          <w:rFonts w:eastAsia="Times New Roman"/>
          <w:sz w:val="24"/>
          <w:szCs w:val="24"/>
        </w:rPr>
        <w:t>22.16A:</w:t>
      </w:r>
      <w:r w:rsidRPr="003B4234">
        <w:rPr>
          <w:sz w:val="24"/>
          <w:szCs w:val="24"/>
        </w:rPr>
        <w:tab/>
      </w:r>
      <w:r w:rsidRPr="003B4234">
        <w:rPr>
          <w:rFonts w:eastAsia="Times New Roman"/>
          <w:sz w:val="24"/>
          <w:szCs w:val="24"/>
        </w:rPr>
        <w:t>continued</w:t>
      </w:r>
    </w:p>
    <w:p w14:paraId="281A2196" w14:textId="77777777" w:rsidR="004647B9" w:rsidRPr="003001FF" w:rsidRDefault="004647B9" w:rsidP="003001FF">
      <w:pPr>
        <w:rPr>
          <w:sz w:val="20"/>
          <w:szCs w:val="20"/>
        </w:rPr>
      </w:pPr>
    </w:p>
    <w:p w14:paraId="281A2197" w14:textId="64D6DDEC" w:rsidR="004647B9" w:rsidRDefault="00E2436F" w:rsidP="003001FF">
      <w:pPr>
        <w:numPr>
          <w:ilvl w:val="2"/>
          <w:numId w:val="532"/>
        </w:numPr>
        <w:tabs>
          <w:tab w:val="left" w:pos="2619"/>
        </w:tabs>
        <w:ind w:left="2280" w:hanging="5"/>
        <w:jc w:val="both"/>
        <w:rPr>
          <w:rFonts w:eastAsia="Times New Roman"/>
          <w:sz w:val="24"/>
          <w:szCs w:val="24"/>
        </w:rPr>
      </w:pPr>
      <w:r w:rsidRPr="003B4234">
        <w:rPr>
          <w:rFonts w:eastAsia="Times New Roman"/>
          <w:sz w:val="24"/>
          <w:szCs w:val="24"/>
        </w:rPr>
        <w:t>When rounding of results to determine compliance with the MCL is allowed by 310 CMR 22.00, rounding shall be done prior to multiplying the results by the factor listed in 310 CMR 22.16A(27).</w:t>
      </w:r>
    </w:p>
    <w:p w14:paraId="59E31D11" w14:textId="641CE129" w:rsidR="00BE1E6C" w:rsidRPr="003B4234" w:rsidRDefault="00BE1E6C" w:rsidP="003001FF">
      <w:pPr>
        <w:numPr>
          <w:ilvl w:val="2"/>
          <w:numId w:val="532"/>
        </w:numPr>
        <w:tabs>
          <w:tab w:val="left" w:pos="2619"/>
        </w:tabs>
        <w:ind w:left="2280" w:hanging="5"/>
        <w:jc w:val="both"/>
        <w:rPr>
          <w:rFonts w:eastAsia="Times New Roman"/>
          <w:sz w:val="24"/>
          <w:szCs w:val="24"/>
        </w:rPr>
      </w:pPr>
      <w:r>
        <w:rPr>
          <w:rFonts w:eastAsia="Times New Roman"/>
          <w:sz w:val="24"/>
          <w:szCs w:val="24"/>
        </w:rPr>
        <w:t xml:space="preserve">When compliance with the MCL is determined by calculating a quarterly average of all samples taken at a monitoring location:  the </w:t>
      </w:r>
      <w:r w:rsidR="007D618C">
        <w:rPr>
          <w:rFonts w:eastAsia="Times New Roman"/>
          <w:sz w:val="24"/>
          <w:szCs w:val="24"/>
        </w:rPr>
        <w:t xml:space="preserve">quarterly </w:t>
      </w:r>
      <w:r>
        <w:rPr>
          <w:rFonts w:eastAsia="Times New Roman"/>
          <w:sz w:val="24"/>
          <w:szCs w:val="24"/>
        </w:rPr>
        <w:t xml:space="preserve">average </w:t>
      </w:r>
      <w:r w:rsidR="007D618C">
        <w:rPr>
          <w:rFonts w:eastAsia="Times New Roman"/>
          <w:sz w:val="24"/>
          <w:szCs w:val="24"/>
        </w:rPr>
        <w:t xml:space="preserve">for </w:t>
      </w:r>
      <w:r w:rsidR="00752C15">
        <w:rPr>
          <w:rFonts w:eastAsia="Times New Roman"/>
          <w:sz w:val="24"/>
          <w:szCs w:val="24"/>
        </w:rPr>
        <w:t>each location</w:t>
      </w:r>
      <w:r>
        <w:rPr>
          <w:rFonts w:eastAsia="Times New Roman"/>
          <w:sz w:val="24"/>
          <w:szCs w:val="24"/>
        </w:rPr>
        <w:t xml:space="preserve"> </w:t>
      </w:r>
      <w:r w:rsidR="007D618C">
        <w:rPr>
          <w:rFonts w:eastAsia="Times New Roman"/>
          <w:sz w:val="24"/>
          <w:szCs w:val="24"/>
        </w:rPr>
        <w:t xml:space="preserve">that exceeded the MCL </w:t>
      </w:r>
      <w:r>
        <w:rPr>
          <w:rFonts w:eastAsia="Times New Roman"/>
          <w:sz w:val="24"/>
          <w:szCs w:val="24"/>
        </w:rPr>
        <w:t xml:space="preserve">and the range of </w:t>
      </w:r>
      <w:r w:rsidR="006024CB">
        <w:rPr>
          <w:rFonts w:eastAsia="Times New Roman"/>
          <w:sz w:val="24"/>
          <w:szCs w:val="24"/>
        </w:rPr>
        <w:t xml:space="preserve">results from </w:t>
      </w:r>
      <w:r>
        <w:rPr>
          <w:rFonts w:eastAsia="Times New Roman"/>
          <w:sz w:val="24"/>
          <w:szCs w:val="24"/>
        </w:rPr>
        <w:t>all Sampling Points expressed in the same units as the MCL.</w:t>
      </w:r>
    </w:p>
    <w:p w14:paraId="281A2199" w14:textId="77777777" w:rsidR="004647B9" w:rsidRPr="003B4234" w:rsidRDefault="00E2436F" w:rsidP="003001FF">
      <w:pPr>
        <w:numPr>
          <w:ilvl w:val="1"/>
          <w:numId w:val="533"/>
        </w:numPr>
        <w:tabs>
          <w:tab w:val="left" w:pos="2280"/>
        </w:tabs>
        <w:ind w:left="2280" w:hanging="365"/>
        <w:rPr>
          <w:rFonts w:eastAsia="Times New Roman"/>
          <w:sz w:val="24"/>
          <w:szCs w:val="24"/>
        </w:rPr>
      </w:pPr>
      <w:r w:rsidRPr="003B4234">
        <w:rPr>
          <w:rFonts w:eastAsia="Times New Roman"/>
          <w:sz w:val="24"/>
          <w:szCs w:val="24"/>
          <w:u w:val="single"/>
        </w:rPr>
        <w:t>For Turbidity</w:t>
      </w:r>
      <w:r w:rsidRPr="003B4234">
        <w:rPr>
          <w:rFonts w:eastAsia="Times New Roman"/>
          <w:sz w:val="24"/>
          <w:szCs w:val="24"/>
        </w:rPr>
        <w:t>.</w:t>
      </w:r>
    </w:p>
    <w:p w14:paraId="281A219B" w14:textId="77777777" w:rsidR="004647B9" w:rsidRPr="003B4234" w:rsidRDefault="00E2436F" w:rsidP="003001FF">
      <w:pPr>
        <w:numPr>
          <w:ilvl w:val="2"/>
          <w:numId w:val="533"/>
        </w:numPr>
        <w:tabs>
          <w:tab w:val="left" w:pos="2656"/>
        </w:tabs>
        <w:ind w:left="2280" w:hanging="5"/>
        <w:rPr>
          <w:rFonts w:eastAsia="Times New Roman"/>
          <w:sz w:val="24"/>
          <w:szCs w:val="24"/>
        </w:rPr>
      </w:pPr>
      <w:r w:rsidRPr="003B4234">
        <w:rPr>
          <w:rFonts w:eastAsia="Times New Roman"/>
          <w:sz w:val="24"/>
          <w:szCs w:val="24"/>
        </w:rPr>
        <w:t>When it is reported pursuant to 310 CMR 22.08, the highest average monthly value.</w:t>
      </w:r>
    </w:p>
    <w:p w14:paraId="281A219C" w14:textId="77777777" w:rsidR="004647B9" w:rsidRPr="003B4234" w:rsidRDefault="00E2436F" w:rsidP="003001FF">
      <w:pPr>
        <w:numPr>
          <w:ilvl w:val="2"/>
          <w:numId w:val="533"/>
        </w:numPr>
        <w:tabs>
          <w:tab w:val="left" w:pos="2676"/>
        </w:tabs>
        <w:ind w:left="2280" w:hanging="5"/>
        <w:jc w:val="both"/>
        <w:rPr>
          <w:rFonts w:eastAsia="Times New Roman"/>
          <w:sz w:val="24"/>
          <w:szCs w:val="24"/>
        </w:rPr>
      </w:pPr>
      <w:r w:rsidRPr="003B4234">
        <w:rPr>
          <w:rFonts w:eastAsia="Times New Roman"/>
          <w:sz w:val="24"/>
          <w:szCs w:val="24"/>
        </w:rPr>
        <w:t>When it is reported pursuant to the requirements of 310 CMR 22.20A(2), the highest monthly value. The report shall include an explanation of the reasons for measuring Turbidity.</w:t>
      </w:r>
    </w:p>
    <w:p w14:paraId="281A219E" w14:textId="77777777" w:rsidR="004647B9" w:rsidRPr="003B4234" w:rsidRDefault="00E2436F" w:rsidP="003001FF">
      <w:pPr>
        <w:numPr>
          <w:ilvl w:val="2"/>
          <w:numId w:val="533"/>
        </w:numPr>
        <w:tabs>
          <w:tab w:val="left" w:pos="2684"/>
        </w:tabs>
        <w:ind w:left="2280" w:hanging="5"/>
        <w:jc w:val="both"/>
        <w:rPr>
          <w:rFonts w:eastAsia="Times New Roman"/>
          <w:sz w:val="24"/>
          <w:szCs w:val="24"/>
        </w:rPr>
      </w:pPr>
      <w:r w:rsidRPr="003B4234">
        <w:rPr>
          <w:rFonts w:eastAsia="Times New Roman"/>
          <w:sz w:val="24"/>
          <w:szCs w:val="24"/>
        </w:rPr>
        <w:t>When it is reported pursuant to 310 CMR 22.20A(4), 22.20D or 22.20F, the highest single measurement and the lowest monthly percentage of samples meeting the Turbidity limits specified in 310 CMR 22.20A(4), 22.20D or 22.20F for the Filtration technology being used. The report shall include an explanation of the reasons for measuring Turbidity.</w:t>
      </w:r>
    </w:p>
    <w:p w14:paraId="281A21A0" w14:textId="77777777" w:rsidR="004647B9" w:rsidRPr="003B4234" w:rsidRDefault="00E2436F" w:rsidP="003001FF">
      <w:pPr>
        <w:numPr>
          <w:ilvl w:val="1"/>
          <w:numId w:val="533"/>
        </w:numPr>
        <w:tabs>
          <w:tab w:val="left" w:pos="2302"/>
        </w:tabs>
        <w:ind w:left="1920" w:hanging="5"/>
        <w:jc w:val="both"/>
        <w:rPr>
          <w:rFonts w:eastAsia="Times New Roman"/>
          <w:sz w:val="24"/>
          <w:szCs w:val="24"/>
        </w:rPr>
      </w:pPr>
      <w:r w:rsidRPr="003B4234">
        <w:rPr>
          <w:rFonts w:eastAsia="Times New Roman"/>
          <w:sz w:val="24"/>
          <w:szCs w:val="24"/>
          <w:u w:val="single"/>
        </w:rPr>
        <w:t>For Lead and Copper</w:t>
      </w:r>
      <w:r w:rsidRPr="003B4234">
        <w:rPr>
          <w:rFonts w:eastAsia="Times New Roman"/>
          <w:sz w:val="24"/>
          <w:szCs w:val="24"/>
        </w:rPr>
        <w:t>. For each contaminant, the 90</w:t>
      </w:r>
      <w:r w:rsidRPr="003B4234">
        <w:rPr>
          <w:rFonts w:eastAsia="Times New Roman"/>
          <w:sz w:val="24"/>
          <w:szCs w:val="24"/>
          <w:vertAlign w:val="superscript"/>
        </w:rPr>
        <w:t>th</w:t>
      </w:r>
      <w:r w:rsidRPr="003B4234">
        <w:rPr>
          <w:rFonts w:eastAsia="Times New Roman"/>
          <w:sz w:val="24"/>
          <w:szCs w:val="24"/>
        </w:rPr>
        <w:t xml:space="preserve"> percentile value of the most recent round of sampling, and the number of sampling sites exceeding the Action Level.</w:t>
      </w:r>
    </w:p>
    <w:p w14:paraId="281A21A1" w14:textId="77777777" w:rsidR="004647B9" w:rsidRPr="003B4234" w:rsidRDefault="00E2436F" w:rsidP="003001FF">
      <w:pPr>
        <w:numPr>
          <w:ilvl w:val="1"/>
          <w:numId w:val="533"/>
        </w:numPr>
        <w:tabs>
          <w:tab w:val="left" w:pos="2280"/>
        </w:tabs>
        <w:ind w:left="2280" w:hanging="365"/>
        <w:rPr>
          <w:rFonts w:eastAsia="Times New Roman"/>
          <w:sz w:val="24"/>
          <w:szCs w:val="24"/>
        </w:rPr>
      </w:pPr>
      <w:r w:rsidRPr="003B4234">
        <w:rPr>
          <w:rFonts w:eastAsia="Times New Roman"/>
          <w:sz w:val="24"/>
          <w:szCs w:val="24"/>
        </w:rPr>
        <w:t>For Total Coliform analytical results until March 31, 2016.</w:t>
      </w:r>
    </w:p>
    <w:p w14:paraId="281A21A3" w14:textId="77777777" w:rsidR="004647B9" w:rsidRPr="003B4234" w:rsidRDefault="00E2436F" w:rsidP="003001FF">
      <w:pPr>
        <w:numPr>
          <w:ilvl w:val="2"/>
          <w:numId w:val="533"/>
        </w:numPr>
        <w:tabs>
          <w:tab w:val="left" w:pos="2591"/>
        </w:tabs>
        <w:ind w:left="2280" w:hanging="5"/>
        <w:rPr>
          <w:rFonts w:eastAsia="Times New Roman"/>
          <w:sz w:val="24"/>
          <w:szCs w:val="24"/>
        </w:rPr>
      </w:pPr>
      <w:r w:rsidRPr="003B4234">
        <w:rPr>
          <w:rFonts w:eastAsia="Times New Roman"/>
          <w:sz w:val="24"/>
          <w:szCs w:val="24"/>
        </w:rPr>
        <w:t>The highest monthly number of total coliform-positive samples for Public Water Systems collecting fewer than 40 samples per month; or</w:t>
      </w:r>
    </w:p>
    <w:p w14:paraId="281A21A4" w14:textId="77777777" w:rsidR="004647B9" w:rsidRPr="003B4234" w:rsidRDefault="00E2436F" w:rsidP="003001FF">
      <w:pPr>
        <w:numPr>
          <w:ilvl w:val="2"/>
          <w:numId w:val="533"/>
        </w:numPr>
        <w:tabs>
          <w:tab w:val="left" w:pos="2654"/>
        </w:tabs>
        <w:ind w:left="2280" w:hanging="5"/>
        <w:rPr>
          <w:rFonts w:eastAsia="Times New Roman"/>
          <w:sz w:val="24"/>
          <w:szCs w:val="24"/>
        </w:rPr>
      </w:pPr>
      <w:r w:rsidRPr="003B4234">
        <w:rPr>
          <w:rFonts w:eastAsia="Times New Roman"/>
          <w:sz w:val="24"/>
          <w:szCs w:val="24"/>
        </w:rPr>
        <w:t>The highest monthly percentage of positive samples for Public Water Systems collecting at least 40 samples per month.</w:t>
      </w:r>
    </w:p>
    <w:p w14:paraId="281A21A5" w14:textId="77777777" w:rsidR="004647B9" w:rsidRPr="003B4234" w:rsidRDefault="00E2436F" w:rsidP="003001FF">
      <w:pPr>
        <w:numPr>
          <w:ilvl w:val="1"/>
          <w:numId w:val="533"/>
        </w:numPr>
        <w:tabs>
          <w:tab w:val="left" w:pos="2280"/>
        </w:tabs>
        <w:ind w:left="2280" w:hanging="365"/>
        <w:rPr>
          <w:rFonts w:eastAsia="Times New Roman"/>
          <w:sz w:val="24"/>
          <w:szCs w:val="24"/>
        </w:rPr>
      </w:pPr>
      <w:r w:rsidRPr="003B4234">
        <w:rPr>
          <w:rFonts w:eastAsia="Times New Roman"/>
          <w:sz w:val="24"/>
          <w:szCs w:val="24"/>
        </w:rPr>
        <w:t xml:space="preserve">For </w:t>
      </w:r>
      <w:r w:rsidRPr="003B4234">
        <w:rPr>
          <w:rFonts w:eastAsia="Times New Roman"/>
          <w:i/>
          <w:iCs/>
          <w:sz w:val="24"/>
          <w:szCs w:val="24"/>
        </w:rPr>
        <w:t>E. coli</w:t>
      </w:r>
      <w:r w:rsidRPr="003B4234">
        <w:rPr>
          <w:rFonts w:eastAsia="Times New Roman"/>
          <w:sz w:val="24"/>
          <w:szCs w:val="24"/>
        </w:rPr>
        <w:t xml:space="preserve">: the total number of </w:t>
      </w:r>
      <w:r w:rsidRPr="003B4234">
        <w:rPr>
          <w:rFonts w:eastAsia="Times New Roman"/>
          <w:i/>
          <w:iCs/>
          <w:sz w:val="24"/>
          <w:szCs w:val="24"/>
        </w:rPr>
        <w:t>E. coli</w:t>
      </w:r>
      <w:r w:rsidRPr="003B4234">
        <w:rPr>
          <w:rFonts w:eastAsia="Times New Roman"/>
          <w:sz w:val="24"/>
          <w:szCs w:val="24"/>
        </w:rPr>
        <w:t>-positive samples; and</w:t>
      </w:r>
    </w:p>
    <w:p w14:paraId="281A21A9" w14:textId="7EDB520E" w:rsidR="004647B9" w:rsidRPr="003B4234" w:rsidRDefault="00E2436F" w:rsidP="003001FF">
      <w:pPr>
        <w:numPr>
          <w:ilvl w:val="1"/>
          <w:numId w:val="533"/>
        </w:numPr>
        <w:tabs>
          <w:tab w:val="left" w:pos="2280"/>
        </w:tabs>
        <w:ind w:left="2340" w:hanging="425"/>
        <w:jc w:val="both"/>
        <w:rPr>
          <w:rFonts w:eastAsia="Times New Roman"/>
          <w:sz w:val="24"/>
          <w:szCs w:val="24"/>
        </w:rPr>
      </w:pPr>
      <w:r w:rsidRPr="003B4234">
        <w:rPr>
          <w:rFonts w:eastAsia="Times New Roman"/>
          <w:sz w:val="24"/>
          <w:szCs w:val="24"/>
        </w:rPr>
        <w:t>The likely source(s) of detected contaminants to the best of the Supplier o</w:t>
      </w:r>
      <w:r w:rsidRPr="003B4234" w:rsidDel="007B206E">
        <w:rPr>
          <w:rFonts w:eastAsia="Times New Roman"/>
          <w:sz w:val="24"/>
          <w:szCs w:val="24"/>
        </w:rPr>
        <w:t>f</w:t>
      </w:r>
      <w:r w:rsidRPr="003B4234">
        <w:rPr>
          <w:rFonts w:eastAsia="Times New Roman"/>
          <w:sz w:val="24"/>
          <w:szCs w:val="24"/>
        </w:rPr>
        <w:t xml:space="preserve"> Water's knowledge. Specific information regarding contaminants may be available in Sanitary Surveys and source water assessments, and should be used when available to the Supplier of Water. If the Supplier of Water lacks specific information on the likely source, the report shall include one or more of the typical sources for that contaminant listed in</w:t>
      </w:r>
      <w:r w:rsidR="003B4234">
        <w:rPr>
          <w:rFonts w:eastAsia="Times New Roman"/>
          <w:sz w:val="24"/>
          <w:szCs w:val="24"/>
        </w:rPr>
        <w:t xml:space="preserve"> 310 </w:t>
      </w:r>
      <w:r w:rsidRPr="003B4234">
        <w:rPr>
          <w:rFonts w:eastAsia="Times New Roman"/>
          <w:sz w:val="24"/>
          <w:szCs w:val="24"/>
        </w:rPr>
        <w:t>CMR 22.16A(27) that is most applicable to the system.</w:t>
      </w:r>
    </w:p>
    <w:p w14:paraId="281A21AB" w14:textId="77777777" w:rsidR="004647B9" w:rsidRPr="003B4234" w:rsidRDefault="00E2436F" w:rsidP="003001FF">
      <w:pPr>
        <w:numPr>
          <w:ilvl w:val="0"/>
          <w:numId w:val="534"/>
        </w:numPr>
        <w:tabs>
          <w:tab w:val="left" w:pos="2119"/>
        </w:tabs>
        <w:ind w:left="1555"/>
        <w:jc w:val="both"/>
        <w:rPr>
          <w:rFonts w:eastAsia="Times New Roman"/>
          <w:sz w:val="24"/>
          <w:szCs w:val="24"/>
        </w:rPr>
      </w:pPr>
      <w:r w:rsidRPr="003B4234">
        <w:rPr>
          <w:rFonts w:eastAsia="Times New Roman"/>
          <w:sz w:val="24"/>
          <w:szCs w:val="24"/>
        </w:rPr>
        <w:t>If a Community Water System distributes water to its customers from multiple hydraulically independent Distribution Systems that are fed by different Raw Water sources, the table should contain a separate column for each service area and the report should identify each separate Distribution System. Alternatively, systems could produce separate reports tailored to include data for each service area.</w:t>
      </w:r>
    </w:p>
    <w:p w14:paraId="281A21AD" w14:textId="77777777" w:rsidR="004647B9" w:rsidRPr="003B4234" w:rsidRDefault="00E2436F" w:rsidP="003001FF">
      <w:pPr>
        <w:numPr>
          <w:ilvl w:val="0"/>
          <w:numId w:val="534"/>
        </w:numPr>
        <w:tabs>
          <w:tab w:val="left" w:pos="2117"/>
        </w:tabs>
        <w:ind w:left="1555"/>
        <w:jc w:val="both"/>
        <w:rPr>
          <w:rFonts w:eastAsia="Times New Roman"/>
          <w:sz w:val="24"/>
          <w:szCs w:val="24"/>
        </w:rPr>
      </w:pPr>
      <w:r w:rsidRPr="003B4234">
        <w:rPr>
          <w:rFonts w:eastAsia="Times New Roman"/>
          <w:sz w:val="24"/>
          <w:szCs w:val="24"/>
        </w:rPr>
        <w:t>The table(s) must clearly identify any data indicating violations of MCLs, MRDLs or Treatment Techniques and the report must contain a clear and readily understandable explanation of the violation including: the length of the violation, the potential adverse health effects, and actions taken by the system to address the violation. To describe the potential health effects, the system must use the relevant language in 310 CMR 22.16A(27).</w:t>
      </w:r>
    </w:p>
    <w:p w14:paraId="281A21B1" w14:textId="54449761" w:rsidR="004647B9" w:rsidRPr="00FA73ED" w:rsidRDefault="00E2436F" w:rsidP="003001FF">
      <w:pPr>
        <w:numPr>
          <w:ilvl w:val="0"/>
          <w:numId w:val="534"/>
        </w:numPr>
        <w:tabs>
          <w:tab w:val="left" w:pos="2117"/>
        </w:tabs>
        <w:ind w:left="1555"/>
        <w:jc w:val="both"/>
        <w:rPr>
          <w:rFonts w:eastAsia="Times New Roman"/>
          <w:sz w:val="24"/>
          <w:szCs w:val="24"/>
        </w:rPr>
      </w:pPr>
      <w:r w:rsidRPr="00FA73ED">
        <w:rPr>
          <w:rFonts w:eastAsia="Times New Roman"/>
          <w:sz w:val="24"/>
          <w:szCs w:val="24"/>
        </w:rPr>
        <w:t>For detected unregulated contaminants for which monitoring is required (except</w:t>
      </w:r>
      <w:r w:rsidR="00FA73ED" w:rsidRPr="00FA73ED">
        <w:rPr>
          <w:rFonts w:eastAsia="Times New Roman"/>
          <w:sz w:val="24"/>
          <w:szCs w:val="24"/>
        </w:rPr>
        <w:t xml:space="preserve"> </w:t>
      </w:r>
      <w:r w:rsidRPr="00FA73ED">
        <w:rPr>
          <w:rFonts w:eastAsia="Times New Roman"/>
          <w:i/>
          <w:iCs/>
          <w:sz w:val="24"/>
          <w:szCs w:val="24"/>
        </w:rPr>
        <w:t>Cryptosporidium</w:t>
      </w:r>
      <w:r w:rsidRPr="00FA73ED">
        <w:rPr>
          <w:rFonts w:eastAsia="Times New Roman"/>
          <w:sz w:val="24"/>
          <w:szCs w:val="24"/>
        </w:rPr>
        <w:t>), the table(s) must contain the average and range at which the contaminant</w:t>
      </w:r>
      <w:r w:rsidRPr="00FA73ED">
        <w:rPr>
          <w:rFonts w:eastAsia="Times New Roman"/>
          <w:i/>
          <w:iCs/>
          <w:sz w:val="24"/>
          <w:szCs w:val="24"/>
        </w:rPr>
        <w:t xml:space="preserve"> </w:t>
      </w:r>
      <w:r w:rsidRPr="00FA73ED">
        <w:rPr>
          <w:rFonts w:eastAsia="Times New Roman"/>
          <w:sz w:val="24"/>
          <w:szCs w:val="24"/>
        </w:rPr>
        <w:t>was detected. The report may include a brief explanation of the reasons for monitoring for unregulated contamin</w:t>
      </w:r>
      <w:r w:rsidR="007B206E" w:rsidRPr="00FA73ED">
        <w:rPr>
          <w:rFonts w:eastAsia="Times New Roman"/>
          <w:sz w:val="24"/>
          <w:szCs w:val="24"/>
        </w:rPr>
        <w:t>a</w:t>
      </w:r>
      <w:r w:rsidRPr="00FA73ED">
        <w:rPr>
          <w:rFonts w:eastAsia="Times New Roman"/>
          <w:sz w:val="24"/>
          <w:szCs w:val="24"/>
        </w:rPr>
        <w:t>nts.</w:t>
      </w:r>
    </w:p>
    <w:p w14:paraId="273685A7" w14:textId="56163368" w:rsidR="00DC760C" w:rsidRDefault="00FA73ED" w:rsidP="003001FF">
      <w:pPr>
        <w:pStyle w:val="ListParagraph"/>
        <w:numPr>
          <w:ilvl w:val="0"/>
          <w:numId w:val="1024"/>
        </w:numPr>
        <w:tabs>
          <w:tab w:val="left" w:pos="2117"/>
        </w:tabs>
        <w:ind w:left="1555" w:firstLine="0"/>
        <w:jc w:val="both"/>
        <w:rPr>
          <w:sz w:val="24"/>
          <w:szCs w:val="24"/>
        </w:rPr>
      </w:pPr>
      <w:r>
        <w:rPr>
          <w:sz w:val="24"/>
          <w:szCs w:val="24"/>
        </w:rPr>
        <w:t>A report that contains information regarding a Level 1 or Level 2 Assessment required under 310 CMR 22.05 must include the applicable definitions for the purpose of 310 CMR 22.16A:</w:t>
      </w:r>
    </w:p>
    <w:p w14:paraId="5058FA79" w14:textId="5C4EA671" w:rsidR="00FA73ED" w:rsidRDefault="00FA73ED" w:rsidP="001E3538">
      <w:pPr>
        <w:pStyle w:val="ListParagraph"/>
        <w:numPr>
          <w:ilvl w:val="3"/>
          <w:numId w:val="1024"/>
        </w:numPr>
        <w:tabs>
          <w:tab w:val="left" w:pos="2117"/>
        </w:tabs>
        <w:ind w:left="2520" w:firstLine="0"/>
        <w:jc w:val="both"/>
        <w:rPr>
          <w:sz w:val="24"/>
          <w:szCs w:val="24"/>
        </w:rPr>
      </w:pPr>
      <w:r>
        <w:rPr>
          <w:sz w:val="24"/>
          <w:szCs w:val="24"/>
        </w:rPr>
        <w:t xml:space="preserve">Level 1 Assessment:  A Level 1 assessment is a study of the water system to identify potential problems and determine (if possible) why total coliform bacteria have been found in </w:t>
      </w:r>
      <w:r w:rsidR="00A4688C">
        <w:rPr>
          <w:sz w:val="24"/>
          <w:szCs w:val="24"/>
        </w:rPr>
        <w:t>our</w:t>
      </w:r>
      <w:r>
        <w:rPr>
          <w:sz w:val="24"/>
          <w:szCs w:val="24"/>
        </w:rPr>
        <w:t xml:space="preserve"> water system.</w:t>
      </w:r>
    </w:p>
    <w:p w14:paraId="317B4B8F" w14:textId="447500B5" w:rsidR="00FA73ED" w:rsidRPr="008C6935" w:rsidRDefault="38C18255" w:rsidP="001E3538">
      <w:pPr>
        <w:pStyle w:val="ListParagraph"/>
        <w:numPr>
          <w:ilvl w:val="3"/>
          <w:numId w:val="1024"/>
        </w:numPr>
        <w:tabs>
          <w:tab w:val="left" w:pos="2117"/>
        </w:tabs>
        <w:ind w:left="2520" w:firstLine="0"/>
        <w:jc w:val="both"/>
        <w:rPr>
          <w:sz w:val="24"/>
          <w:szCs w:val="24"/>
        </w:rPr>
      </w:pPr>
      <w:r w:rsidRPr="37768BFB">
        <w:rPr>
          <w:sz w:val="24"/>
          <w:szCs w:val="24"/>
        </w:rPr>
        <w:t xml:space="preserve">Level 2 Assessment:  A Level 2 assessment is a very detailed study of the water system to identify potential problems and determine (if possible) why an </w:t>
      </w:r>
      <w:r w:rsidRPr="37768BFB">
        <w:rPr>
          <w:i/>
          <w:iCs/>
          <w:sz w:val="24"/>
          <w:szCs w:val="24"/>
        </w:rPr>
        <w:t>E. coli</w:t>
      </w:r>
      <w:r w:rsidRPr="37768BFB">
        <w:rPr>
          <w:sz w:val="24"/>
          <w:szCs w:val="24"/>
        </w:rPr>
        <w:t xml:space="preserve"> MCL violation has occurred and/or why total coliform bacteria have been found in </w:t>
      </w:r>
      <w:r w:rsidR="00A4688C">
        <w:rPr>
          <w:sz w:val="24"/>
          <w:szCs w:val="24"/>
        </w:rPr>
        <w:t>our</w:t>
      </w:r>
      <w:r w:rsidRPr="37768BFB">
        <w:rPr>
          <w:sz w:val="24"/>
          <w:szCs w:val="24"/>
        </w:rPr>
        <w:t xml:space="preserve"> water system on multiple occasions.</w:t>
      </w:r>
    </w:p>
    <w:p w14:paraId="281A21B2" w14:textId="77777777" w:rsidR="004647B9" w:rsidRPr="003B4234" w:rsidRDefault="004647B9" w:rsidP="003001FF">
      <w:pPr>
        <w:rPr>
          <w:sz w:val="24"/>
          <w:szCs w:val="24"/>
        </w:rPr>
      </w:pPr>
    </w:p>
    <w:p w14:paraId="281A21B3" w14:textId="77777777" w:rsidR="004647B9" w:rsidRPr="003B4234" w:rsidRDefault="00E2436F" w:rsidP="003001FF">
      <w:pPr>
        <w:numPr>
          <w:ilvl w:val="0"/>
          <w:numId w:val="535"/>
        </w:numPr>
        <w:tabs>
          <w:tab w:val="left" w:pos="1660"/>
        </w:tabs>
        <w:ind w:left="1660" w:hanging="460"/>
        <w:rPr>
          <w:rFonts w:eastAsia="Times New Roman"/>
          <w:sz w:val="24"/>
          <w:szCs w:val="24"/>
        </w:rPr>
      </w:pPr>
      <w:r w:rsidRPr="003B4234">
        <w:rPr>
          <w:rFonts w:eastAsia="Times New Roman"/>
          <w:sz w:val="24"/>
          <w:szCs w:val="24"/>
          <w:u w:val="single"/>
        </w:rPr>
        <w:t>Information on</w:t>
      </w:r>
      <w:r w:rsidRPr="003B4234">
        <w:rPr>
          <w:rFonts w:eastAsia="Times New Roman"/>
          <w:sz w:val="24"/>
          <w:szCs w:val="24"/>
        </w:rPr>
        <w:t xml:space="preserve"> </w:t>
      </w:r>
      <w:r w:rsidRPr="003B4234">
        <w:rPr>
          <w:rFonts w:eastAsia="Times New Roman"/>
          <w:i/>
          <w:iCs/>
          <w:sz w:val="24"/>
          <w:szCs w:val="24"/>
          <w:u w:val="single"/>
        </w:rPr>
        <w:t>Cryptosporidium</w:t>
      </w:r>
      <w:r w:rsidRPr="003B4234">
        <w:rPr>
          <w:rFonts w:eastAsia="Times New Roman"/>
          <w:sz w:val="24"/>
          <w:szCs w:val="24"/>
          <w:u w:val="single"/>
        </w:rPr>
        <w:t>, Radon, and other Contaminants</w:t>
      </w:r>
      <w:r w:rsidRPr="003B4234">
        <w:rPr>
          <w:rFonts w:eastAsia="Times New Roman"/>
          <w:sz w:val="24"/>
          <w:szCs w:val="24"/>
        </w:rPr>
        <w:t>.</w:t>
      </w:r>
    </w:p>
    <w:p w14:paraId="281A21B5" w14:textId="45B4B283" w:rsidR="004647B9" w:rsidRPr="003B4234" w:rsidRDefault="00E2436F" w:rsidP="00C72841">
      <w:pPr>
        <w:numPr>
          <w:ilvl w:val="1"/>
          <w:numId w:val="535"/>
        </w:numPr>
        <w:tabs>
          <w:tab w:val="left" w:pos="2040"/>
        </w:tabs>
        <w:ind w:left="1555"/>
        <w:rPr>
          <w:rFonts w:eastAsia="Times New Roman"/>
          <w:sz w:val="24"/>
          <w:szCs w:val="24"/>
        </w:rPr>
      </w:pPr>
      <w:r w:rsidRPr="003B4234">
        <w:rPr>
          <w:rFonts w:eastAsia="Times New Roman"/>
          <w:sz w:val="24"/>
          <w:szCs w:val="24"/>
        </w:rPr>
        <w:t xml:space="preserve">If the system performed any monitoring for </w:t>
      </w:r>
      <w:r w:rsidRPr="003B4234">
        <w:rPr>
          <w:rFonts w:eastAsia="Times New Roman"/>
          <w:i/>
          <w:iCs/>
          <w:sz w:val="24"/>
          <w:szCs w:val="24"/>
        </w:rPr>
        <w:t>Cryptosporidium</w:t>
      </w:r>
      <w:r w:rsidRPr="003B4234">
        <w:rPr>
          <w:rFonts w:eastAsia="Times New Roman"/>
          <w:sz w:val="24"/>
          <w:szCs w:val="24"/>
        </w:rPr>
        <w:t>, including monitoring</w:t>
      </w:r>
      <w:r w:rsidR="00C72841">
        <w:rPr>
          <w:rFonts w:eastAsia="Times New Roman"/>
          <w:sz w:val="24"/>
          <w:szCs w:val="24"/>
        </w:rPr>
        <w:t xml:space="preserve"> </w:t>
      </w:r>
      <w:r w:rsidR="00C72841" w:rsidRPr="003B4234">
        <w:rPr>
          <w:rFonts w:eastAsia="Times New Roman"/>
          <w:sz w:val="24"/>
          <w:szCs w:val="24"/>
        </w:rPr>
        <w:t xml:space="preserve">performed to satisfy the requirements of 40 CFR 141.143, which indicates that </w:t>
      </w:r>
      <w:r w:rsidR="00C72841" w:rsidRPr="003B4234">
        <w:rPr>
          <w:rFonts w:eastAsia="Times New Roman"/>
          <w:i/>
          <w:iCs/>
          <w:sz w:val="24"/>
          <w:szCs w:val="24"/>
        </w:rPr>
        <w:t xml:space="preserve">Cryptosporidium </w:t>
      </w:r>
      <w:r w:rsidR="00C72841" w:rsidRPr="003B4234">
        <w:rPr>
          <w:rFonts w:eastAsia="Times New Roman"/>
          <w:sz w:val="24"/>
          <w:szCs w:val="24"/>
        </w:rPr>
        <w:t>may be present in the source water or the finished water, the report must</w:t>
      </w:r>
      <w:r w:rsidR="00C72841" w:rsidRPr="003B4234">
        <w:rPr>
          <w:rFonts w:eastAsia="Times New Roman"/>
          <w:i/>
          <w:iCs/>
          <w:sz w:val="24"/>
          <w:szCs w:val="24"/>
        </w:rPr>
        <w:t xml:space="preserve"> </w:t>
      </w:r>
      <w:r w:rsidR="00C72841" w:rsidRPr="003B4234">
        <w:rPr>
          <w:rFonts w:eastAsia="Times New Roman"/>
          <w:sz w:val="24"/>
          <w:szCs w:val="24"/>
        </w:rPr>
        <w:t>include</w:t>
      </w:r>
      <w:r w:rsidR="00C72841">
        <w:rPr>
          <w:rFonts w:eastAsia="Times New Roman"/>
          <w:sz w:val="24"/>
          <w:szCs w:val="24"/>
        </w:rPr>
        <w:t>:</w:t>
      </w:r>
    </w:p>
    <w:p w14:paraId="281A21B9" w14:textId="77777777" w:rsidR="004647B9" w:rsidRPr="003B4234" w:rsidRDefault="00E2436F" w:rsidP="002E3D2F">
      <w:pPr>
        <w:numPr>
          <w:ilvl w:val="1"/>
          <w:numId w:val="536"/>
        </w:numPr>
        <w:tabs>
          <w:tab w:val="left" w:pos="2280"/>
        </w:tabs>
        <w:ind w:left="1915"/>
        <w:rPr>
          <w:rFonts w:eastAsia="Times New Roman"/>
          <w:sz w:val="24"/>
          <w:szCs w:val="24"/>
        </w:rPr>
      </w:pPr>
      <w:r w:rsidRPr="003B4234">
        <w:rPr>
          <w:rFonts w:eastAsia="Times New Roman"/>
          <w:sz w:val="24"/>
          <w:szCs w:val="24"/>
        </w:rPr>
        <w:lastRenderedPageBreak/>
        <w:t>A summary of the results of the monitoring; and</w:t>
      </w:r>
    </w:p>
    <w:p w14:paraId="281A21BB" w14:textId="77777777" w:rsidR="004647B9" w:rsidRPr="003B4234" w:rsidRDefault="00E2436F" w:rsidP="002E3D2F">
      <w:pPr>
        <w:numPr>
          <w:ilvl w:val="1"/>
          <w:numId w:val="536"/>
        </w:numPr>
        <w:tabs>
          <w:tab w:val="left" w:pos="2280"/>
        </w:tabs>
        <w:ind w:left="1915"/>
        <w:rPr>
          <w:rFonts w:eastAsia="Times New Roman"/>
          <w:sz w:val="24"/>
          <w:szCs w:val="24"/>
        </w:rPr>
      </w:pPr>
      <w:r w:rsidRPr="003B4234">
        <w:rPr>
          <w:rFonts w:eastAsia="Times New Roman"/>
          <w:sz w:val="24"/>
          <w:szCs w:val="24"/>
        </w:rPr>
        <w:t>An explanation of the significance of the results.</w:t>
      </w:r>
    </w:p>
    <w:p w14:paraId="281A21BD" w14:textId="77777777" w:rsidR="004647B9" w:rsidRPr="003B4234" w:rsidRDefault="00E2436F" w:rsidP="003001FF">
      <w:pPr>
        <w:numPr>
          <w:ilvl w:val="0"/>
          <w:numId w:val="537"/>
        </w:numPr>
        <w:tabs>
          <w:tab w:val="left" w:pos="2042"/>
        </w:tabs>
        <w:ind w:left="1560" w:hanging="5"/>
        <w:rPr>
          <w:rFonts w:eastAsia="Times New Roman"/>
          <w:sz w:val="24"/>
          <w:szCs w:val="24"/>
        </w:rPr>
      </w:pPr>
      <w:r w:rsidRPr="003B4234">
        <w:rPr>
          <w:rFonts w:eastAsia="Times New Roman"/>
          <w:sz w:val="24"/>
          <w:szCs w:val="24"/>
        </w:rPr>
        <w:t>If the system performed any monitoring for radon which indicates that radon may be present in the finished water, the report must include:</w:t>
      </w:r>
    </w:p>
    <w:p w14:paraId="281A21BE" w14:textId="77777777" w:rsidR="004647B9" w:rsidRPr="003B4234" w:rsidRDefault="00E2436F" w:rsidP="003001FF">
      <w:pPr>
        <w:numPr>
          <w:ilvl w:val="1"/>
          <w:numId w:val="537"/>
        </w:numPr>
        <w:tabs>
          <w:tab w:val="left" w:pos="2280"/>
        </w:tabs>
        <w:ind w:left="2280" w:hanging="365"/>
        <w:rPr>
          <w:rFonts w:eastAsia="Times New Roman"/>
          <w:sz w:val="24"/>
          <w:szCs w:val="24"/>
        </w:rPr>
      </w:pPr>
      <w:r w:rsidRPr="003B4234">
        <w:rPr>
          <w:rFonts w:eastAsia="Times New Roman"/>
          <w:sz w:val="24"/>
          <w:szCs w:val="24"/>
        </w:rPr>
        <w:t>The results of the monitoring; and</w:t>
      </w:r>
    </w:p>
    <w:p w14:paraId="281A21C0" w14:textId="77777777" w:rsidR="004647B9" w:rsidRPr="003B4234" w:rsidRDefault="00E2436F" w:rsidP="003001FF">
      <w:pPr>
        <w:numPr>
          <w:ilvl w:val="1"/>
          <w:numId w:val="537"/>
        </w:numPr>
        <w:tabs>
          <w:tab w:val="left" w:pos="2280"/>
        </w:tabs>
        <w:ind w:left="2280" w:hanging="365"/>
        <w:rPr>
          <w:rFonts w:eastAsia="Times New Roman"/>
          <w:sz w:val="24"/>
          <w:szCs w:val="24"/>
        </w:rPr>
      </w:pPr>
      <w:r w:rsidRPr="003B4234">
        <w:rPr>
          <w:rFonts w:eastAsia="Times New Roman"/>
          <w:sz w:val="24"/>
          <w:szCs w:val="24"/>
        </w:rPr>
        <w:t>An explanation of the significance of the results.</w:t>
      </w:r>
    </w:p>
    <w:p w14:paraId="281A21C2" w14:textId="77777777" w:rsidR="004647B9" w:rsidRPr="003B4234" w:rsidRDefault="00E2436F" w:rsidP="003001FF">
      <w:pPr>
        <w:numPr>
          <w:ilvl w:val="0"/>
          <w:numId w:val="537"/>
        </w:numPr>
        <w:tabs>
          <w:tab w:val="left" w:pos="2033"/>
        </w:tabs>
        <w:ind w:left="1560" w:hanging="5"/>
        <w:jc w:val="both"/>
        <w:rPr>
          <w:rFonts w:eastAsia="Times New Roman"/>
          <w:sz w:val="24"/>
          <w:szCs w:val="24"/>
        </w:rPr>
      </w:pPr>
      <w:r w:rsidRPr="003B4234">
        <w:rPr>
          <w:rFonts w:eastAsia="Times New Roman"/>
          <w:sz w:val="24"/>
          <w:szCs w:val="24"/>
        </w:rPr>
        <w:t>If the system performed additional monitoring which indicates the presence of other contaminants in the finished water, the Public Water System is strongly encouraged to report any results which may indicate a health concern. The Department considers detects above a proposed MCL or health advisory level to indicate possible health concerns. For such contaminants, the Department recommends that the report include:</w:t>
      </w:r>
    </w:p>
    <w:p w14:paraId="281A21C3" w14:textId="77777777" w:rsidR="004647B9" w:rsidRDefault="004647B9" w:rsidP="003001FF">
      <w:pPr>
        <w:sectPr w:rsidR="004647B9" w:rsidSect="00EF630C">
          <w:pgSz w:w="12240" w:h="20180"/>
          <w:pgMar w:top="708" w:right="1440" w:bottom="1010" w:left="600" w:header="0" w:footer="0" w:gutter="0"/>
          <w:cols w:space="720"/>
        </w:sectPr>
      </w:pPr>
    </w:p>
    <w:p w14:paraId="281A21C4" w14:textId="77777777" w:rsidR="004647B9" w:rsidRDefault="00E2436F">
      <w:pPr>
        <w:tabs>
          <w:tab w:val="left" w:pos="160"/>
        </w:tabs>
        <w:jc w:val="center"/>
        <w:rPr>
          <w:sz w:val="20"/>
          <w:szCs w:val="20"/>
        </w:rPr>
      </w:pPr>
      <w:bookmarkStart w:id="212" w:name="page214"/>
      <w:bookmarkEnd w:id="21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1C5" w14:textId="77777777" w:rsidR="004647B9" w:rsidRDefault="004647B9" w:rsidP="00C72841">
      <w:pPr>
        <w:rPr>
          <w:sz w:val="20"/>
          <w:szCs w:val="20"/>
        </w:rPr>
      </w:pPr>
    </w:p>
    <w:p w14:paraId="281A21C6" w14:textId="77777777" w:rsidR="004647B9" w:rsidRDefault="004647B9" w:rsidP="00C72841">
      <w:pPr>
        <w:rPr>
          <w:sz w:val="20"/>
          <w:szCs w:val="20"/>
        </w:rPr>
      </w:pPr>
    </w:p>
    <w:p w14:paraId="281A21C7" w14:textId="77777777" w:rsidR="004647B9" w:rsidRPr="003B4234" w:rsidRDefault="00E2436F" w:rsidP="00C72841">
      <w:pPr>
        <w:tabs>
          <w:tab w:val="left" w:pos="940"/>
        </w:tabs>
        <w:rPr>
          <w:sz w:val="24"/>
          <w:szCs w:val="24"/>
        </w:rPr>
      </w:pPr>
      <w:r w:rsidRPr="003B4234">
        <w:rPr>
          <w:rFonts w:eastAsia="Times New Roman"/>
          <w:sz w:val="24"/>
          <w:szCs w:val="24"/>
        </w:rPr>
        <w:t>22.16A:</w:t>
      </w:r>
      <w:r w:rsidRPr="003B4234">
        <w:rPr>
          <w:sz w:val="24"/>
          <w:szCs w:val="24"/>
        </w:rPr>
        <w:tab/>
      </w:r>
      <w:r w:rsidRPr="003B4234">
        <w:rPr>
          <w:rFonts w:eastAsia="Times New Roman"/>
          <w:sz w:val="24"/>
          <w:szCs w:val="24"/>
        </w:rPr>
        <w:t>continued</w:t>
      </w:r>
    </w:p>
    <w:p w14:paraId="281A21C8" w14:textId="77777777" w:rsidR="004647B9" w:rsidRPr="00C72841" w:rsidRDefault="004647B9" w:rsidP="00C72841">
      <w:pPr>
        <w:rPr>
          <w:sz w:val="20"/>
          <w:szCs w:val="20"/>
        </w:rPr>
      </w:pPr>
    </w:p>
    <w:p w14:paraId="281A21C9" w14:textId="77777777" w:rsidR="004647B9" w:rsidRPr="003B4234" w:rsidRDefault="00E2436F" w:rsidP="00C72841">
      <w:pPr>
        <w:numPr>
          <w:ilvl w:val="2"/>
          <w:numId w:val="538"/>
        </w:numPr>
        <w:tabs>
          <w:tab w:val="left" w:pos="2280"/>
        </w:tabs>
        <w:ind w:left="2280" w:hanging="365"/>
        <w:rPr>
          <w:rFonts w:eastAsia="Times New Roman"/>
          <w:sz w:val="24"/>
          <w:szCs w:val="24"/>
        </w:rPr>
      </w:pPr>
      <w:r w:rsidRPr="003B4234">
        <w:rPr>
          <w:rFonts w:eastAsia="Times New Roman"/>
          <w:sz w:val="24"/>
          <w:szCs w:val="24"/>
        </w:rPr>
        <w:t>The results of the monitoring; and</w:t>
      </w:r>
    </w:p>
    <w:p w14:paraId="281A21CB" w14:textId="5F5D35ED" w:rsidR="004647B9" w:rsidRPr="003B4234" w:rsidRDefault="00E2436F" w:rsidP="00C72841">
      <w:pPr>
        <w:numPr>
          <w:ilvl w:val="2"/>
          <w:numId w:val="538"/>
        </w:numPr>
        <w:tabs>
          <w:tab w:val="left" w:pos="2330"/>
        </w:tabs>
        <w:ind w:left="1920" w:hanging="5"/>
        <w:rPr>
          <w:rFonts w:eastAsia="Times New Roman"/>
          <w:sz w:val="24"/>
          <w:szCs w:val="24"/>
        </w:rPr>
      </w:pPr>
      <w:r w:rsidRPr="003B4234">
        <w:rPr>
          <w:rFonts w:eastAsia="Times New Roman"/>
          <w:sz w:val="24"/>
          <w:szCs w:val="24"/>
        </w:rPr>
        <w:t>An explanation of the significance of the results noting the existence of a health advisory or a proposed regulation.</w:t>
      </w:r>
    </w:p>
    <w:p w14:paraId="15EAB45E" w14:textId="77777777" w:rsidR="0043261C" w:rsidRPr="003B4234" w:rsidRDefault="0043261C" w:rsidP="00C72841">
      <w:pPr>
        <w:tabs>
          <w:tab w:val="left" w:pos="2330"/>
        </w:tabs>
        <w:rPr>
          <w:rFonts w:eastAsia="Times New Roman"/>
          <w:sz w:val="24"/>
          <w:szCs w:val="24"/>
        </w:rPr>
      </w:pPr>
    </w:p>
    <w:p w14:paraId="281A21CD" w14:textId="77777777" w:rsidR="004647B9" w:rsidRPr="003B4234" w:rsidRDefault="00E2436F" w:rsidP="00C72841">
      <w:pPr>
        <w:numPr>
          <w:ilvl w:val="0"/>
          <w:numId w:val="539"/>
        </w:numPr>
        <w:tabs>
          <w:tab w:val="left" w:pos="1757"/>
        </w:tabs>
        <w:ind w:left="1200"/>
        <w:jc w:val="both"/>
        <w:rPr>
          <w:rFonts w:eastAsia="Times New Roman"/>
          <w:sz w:val="24"/>
          <w:szCs w:val="24"/>
        </w:rPr>
      </w:pPr>
      <w:r w:rsidRPr="003B4234">
        <w:rPr>
          <w:rFonts w:eastAsia="Times New Roman"/>
          <w:sz w:val="24"/>
          <w:szCs w:val="24"/>
        </w:rPr>
        <w:t>In addition, to the requirements of 310 CMR 22.16A(4)(k), the report must note any violation that occurred during the year covered by the report of a requirement listed in 310 CMR 22.16A(6)(a) through (g), and include a clear and readily understandable explanation of the violation, any potential adverse health effects, and the steps the system has taken to correct the violation.</w:t>
      </w:r>
    </w:p>
    <w:p w14:paraId="281A21CF" w14:textId="77777777" w:rsidR="004647B9" w:rsidRPr="003B4234" w:rsidRDefault="00E2436F" w:rsidP="00C72841">
      <w:pPr>
        <w:numPr>
          <w:ilvl w:val="1"/>
          <w:numId w:val="539"/>
        </w:numPr>
        <w:tabs>
          <w:tab w:val="left" w:pos="2000"/>
        </w:tabs>
        <w:ind w:left="2000" w:hanging="445"/>
        <w:rPr>
          <w:rFonts w:eastAsia="Times New Roman"/>
          <w:sz w:val="24"/>
          <w:szCs w:val="24"/>
        </w:rPr>
      </w:pPr>
      <w:r w:rsidRPr="003B4234">
        <w:rPr>
          <w:rFonts w:eastAsia="Times New Roman"/>
          <w:sz w:val="24"/>
          <w:szCs w:val="24"/>
        </w:rPr>
        <w:t>Monitoring and reporting of compliance data;</w:t>
      </w:r>
    </w:p>
    <w:p w14:paraId="281A21D1" w14:textId="77777777" w:rsidR="004647B9" w:rsidRPr="003B4234" w:rsidRDefault="00E2436F" w:rsidP="00C72841">
      <w:pPr>
        <w:numPr>
          <w:ilvl w:val="1"/>
          <w:numId w:val="539"/>
        </w:numPr>
        <w:tabs>
          <w:tab w:val="left" w:pos="1980"/>
        </w:tabs>
        <w:ind w:left="1560" w:hanging="5"/>
        <w:jc w:val="both"/>
        <w:rPr>
          <w:rFonts w:eastAsia="Times New Roman"/>
          <w:sz w:val="24"/>
          <w:szCs w:val="24"/>
        </w:rPr>
      </w:pPr>
      <w:r w:rsidRPr="003B4234">
        <w:rPr>
          <w:rFonts w:eastAsia="Times New Roman"/>
          <w:sz w:val="24"/>
          <w:szCs w:val="24"/>
          <w:u w:val="single"/>
        </w:rPr>
        <w:t>Filtration and Disinfection</w:t>
      </w:r>
      <w:r w:rsidRPr="003B4234">
        <w:rPr>
          <w:rFonts w:eastAsia="Times New Roman"/>
          <w:sz w:val="24"/>
          <w:szCs w:val="24"/>
        </w:rPr>
        <w:t>. For systems which have failed to install adequate Filtration or Disinfection equipment or processes, or have had a failure of such equipment or processes which constitutes a violation, the report must include the following language as part of the explanation of potential adverse health effects: Inadequately treated water may contain disease-causing organisms. These organisms include bacteria, Viruses, and parasites which can cause symptoms such as nausea, cramps, diarrhea, and associated headaches.</w:t>
      </w:r>
    </w:p>
    <w:p w14:paraId="281A21D3" w14:textId="77777777" w:rsidR="004647B9" w:rsidRPr="003B4234" w:rsidRDefault="00E2436F" w:rsidP="00C72841">
      <w:pPr>
        <w:numPr>
          <w:ilvl w:val="1"/>
          <w:numId w:val="539"/>
        </w:numPr>
        <w:tabs>
          <w:tab w:val="left" w:pos="1954"/>
        </w:tabs>
        <w:ind w:left="1560" w:hanging="5"/>
        <w:jc w:val="both"/>
        <w:rPr>
          <w:rFonts w:eastAsia="Times New Roman"/>
          <w:sz w:val="24"/>
          <w:szCs w:val="24"/>
        </w:rPr>
      </w:pPr>
      <w:r w:rsidRPr="003B4234">
        <w:rPr>
          <w:rFonts w:eastAsia="Times New Roman"/>
          <w:sz w:val="24"/>
          <w:szCs w:val="24"/>
          <w:u w:val="single"/>
        </w:rPr>
        <w:t>Lead and Copper Control</w:t>
      </w:r>
      <w:r w:rsidRPr="003B4234">
        <w:rPr>
          <w:rFonts w:eastAsia="Times New Roman"/>
          <w:sz w:val="24"/>
          <w:szCs w:val="24"/>
        </w:rPr>
        <w:t>. For systems which fail to take one or more actions prescribed by 310 CMR 22.06B(1)(d)(1), (3), (4) or (5), the report must include the applicable language of 310 CMR 22.16A(27) for lead, copper, or both.</w:t>
      </w:r>
    </w:p>
    <w:p w14:paraId="281A21D5" w14:textId="77777777" w:rsidR="004647B9" w:rsidRPr="003B4234" w:rsidRDefault="00E2436F" w:rsidP="00C72841">
      <w:pPr>
        <w:numPr>
          <w:ilvl w:val="1"/>
          <w:numId w:val="539"/>
        </w:numPr>
        <w:tabs>
          <w:tab w:val="left" w:pos="1973"/>
        </w:tabs>
        <w:ind w:left="1560" w:hanging="5"/>
        <w:jc w:val="both"/>
        <w:rPr>
          <w:rFonts w:eastAsia="Times New Roman"/>
          <w:sz w:val="24"/>
          <w:szCs w:val="24"/>
        </w:rPr>
      </w:pPr>
      <w:r w:rsidRPr="003B4234">
        <w:rPr>
          <w:rFonts w:eastAsia="Times New Roman"/>
          <w:sz w:val="24"/>
          <w:szCs w:val="24"/>
          <w:u w:val="single"/>
        </w:rPr>
        <w:t>Treatment Techniques for Acrylamide and Epichlorohydrin</w:t>
      </w:r>
      <w:r w:rsidRPr="003B4234">
        <w:rPr>
          <w:rFonts w:eastAsia="Times New Roman"/>
          <w:sz w:val="24"/>
          <w:szCs w:val="24"/>
        </w:rPr>
        <w:t>. For systems which violate the requirements of 310 CMR 22.04(10), the report must include the relevant language from 310 CMR 22.16A(27).</w:t>
      </w:r>
    </w:p>
    <w:p w14:paraId="281A21D7" w14:textId="77777777" w:rsidR="004647B9" w:rsidRPr="003B4234" w:rsidRDefault="00E2436F" w:rsidP="00C72841">
      <w:pPr>
        <w:numPr>
          <w:ilvl w:val="1"/>
          <w:numId w:val="539"/>
        </w:numPr>
        <w:tabs>
          <w:tab w:val="left" w:pos="2000"/>
        </w:tabs>
        <w:ind w:left="2000" w:hanging="445"/>
        <w:rPr>
          <w:rFonts w:eastAsia="Times New Roman"/>
          <w:sz w:val="24"/>
          <w:szCs w:val="24"/>
        </w:rPr>
      </w:pPr>
      <w:r w:rsidRPr="003B4234">
        <w:rPr>
          <w:rFonts w:eastAsia="Times New Roman"/>
          <w:sz w:val="24"/>
          <w:szCs w:val="24"/>
        </w:rPr>
        <w:t>Recordkeeping of compliance data.</w:t>
      </w:r>
    </w:p>
    <w:p w14:paraId="281A21D9" w14:textId="77777777" w:rsidR="004647B9" w:rsidRPr="003B4234" w:rsidRDefault="00E2436F" w:rsidP="00C72841">
      <w:pPr>
        <w:numPr>
          <w:ilvl w:val="1"/>
          <w:numId w:val="539"/>
        </w:numPr>
        <w:tabs>
          <w:tab w:val="left" w:pos="1980"/>
        </w:tabs>
        <w:ind w:left="1980" w:hanging="425"/>
        <w:rPr>
          <w:rFonts w:eastAsia="Times New Roman"/>
          <w:sz w:val="24"/>
          <w:szCs w:val="24"/>
        </w:rPr>
      </w:pPr>
      <w:r w:rsidRPr="003B4234">
        <w:rPr>
          <w:rFonts w:eastAsia="Times New Roman"/>
          <w:sz w:val="24"/>
          <w:szCs w:val="24"/>
        </w:rPr>
        <w:t>Special monitoring requirements prescribed by 310 CMR 22.07C and 22.06A; and</w:t>
      </w:r>
    </w:p>
    <w:p w14:paraId="281A21DB" w14:textId="77777777" w:rsidR="004647B9" w:rsidRPr="003B4234" w:rsidRDefault="00E2436F" w:rsidP="00C72841">
      <w:pPr>
        <w:numPr>
          <w:ilvl w:val="1"/>
          <w:numId w:val="539"/>
        </w:numPr>
        <w:tabs>
          <w:tab w:val="left" w:pos="2053"/>
        </w:tabs>
        <w:ind w:left="1560" w:hanging="5"/>
        <w:rPr>
          <w:rFonts w:eastAsia="Times New Roman"/>
          <w:sz w:val="24"/>
          <w:szCs w:val="24"/>
        </w:rPr>
      </w:pPr>
      <w:r w:rsidRPr="003B4234">
        <w:rPr>
          <w:rFonts w:eastAsia="Times New Roman"/>
          <w:sz w:val="24"/>
          <w:szCs w:val="24"/>
        </w:rPr>
        <w:t>Violation of the terms of a Variance, an Exemption, or an administrative or judicial order.</w:t>
      </w:r>
    </w:p>
    <w:p w14:paraId="281A21DC" w14:textId="77777777" w:rsidR="004647B9" w:rsidRPr="003B4234" w:rsidRDefault="004647B9" w:rsidP="00C72841">
      <w:pPr>
        <w:rPr>
          <w:rFonts w:eastAsia="Times New Roman"/>
          <w:sz w:val="24"/>
          <w:szCs w:val="24"/>
        </w:rPr>
      </w:pPr>
    </w:p>
    <w:p w14:paraId="281A21DD" w14:textId="77777777" w:rsidR="004647B9" w:rsidRPr="003B4234" w:rsidRDefault="00E2436F" w:rsidP="00C72841">
      <w:pPr>
        <w:numPr>
          <w:ilvl w:val="0"/>
          <w:numId w:val="539"/>
        </w:numPr>
        <w:tabs>
          <w:tab w:val="left" w:pos="1674"/>
        </w:tabs>
        <w:ind w:left="1200"/>
        <w:rPr>
          <w:rFonts w:eastAsia="Times New Roman"/>
          <w:sz w:val="24"/>
          <w:szCs w:val="24"/>
        </w:rPr>
      </w:pPr>
      <w:r w:rsidRPr="003B4234">
        <w:rPr>
          <w:rFonts w:eastAsia="Times New Roman"/>
          <w:sz w:val="24"/>
          <w:szCs w:val="24"/>
          <w:u w:val="single"/>
        </w:rPr>
        <w:t>Variances and Exemptions</w:t>
      </w:r>
      <w:r w:rsidRPr="003B4234">
        <w:rPr>
          <w:rFonts w:eastAsia="Times New Roman"/>
          <w:sz w:val="24"/>
          <w:szCs w:val="24"/>
        </w:rPr>
        <w:t>. If a system is operating under the terms of a Variance or an Exemption issued under 310 CMR 22.13, 22.13A or 22.14, the report must contain:</w:t>
      </w:r>
    </w:p>
    <w:p w14:paraId="281A21DF" w14:textId="77777777" w:rsidR="004647B9" w:rsidRPr="003B4234" w:rsidRDefault="00E2436F" w:rsidP="00C72841">
      <w:pPr>
        <w:numPr>
          <w:ilvl w:val="1"/>
          <w:numId w:val="539"/>
        </w:numPr>
        <w:tabs>
          <w:tab w:val="left" w:pos="2000"/>
        </w:tabs>
        <w:ind w:left="2000" w:hanging="445"/>
        <w:rPr>
          <w:rFonts w:eastAsia="Times New Roman"/>
          <w:sz w:val="24"/>
          <w:szCs w:val="24"/>
        </w:rPr>
      </w:pPr>
      <w:r w:rsidRPr="003B4234">
        <w:rPr>
          <w:rFonts w:eastAsia="Times New Roman"/>
          <w:sz w:val="24"/>
          <w:szCs w:val="24"/>
        </w:rPr>
        <w:t>An explanation of the reasons for the Variance or Exemption;</w:t>
      </w:r>
    </w:p>
    <w:p w14:paraId="281A21E1" w14:textId="77777777" w:rsidR="004647B9" w:rsidRPr="003B4234" w:rsidRDefault="00E2436F" w:rsidP="00C72841">
      <w:pPr>
        <w:numPr>
          <w:ilvl w:val="1"/>
          <w:numId w:val="539"/>
        </w:numPr>
        <w:tabs>
          <w:tab w:val="left" w:pos="2020"/>
        </w:tabs>
        <w:ind w:left="2020" w:hanging="465"/>
        <w:rPr>
          <w:rFonts w:eastAsia="Times New Roman"/>
          <w:sz w:val="24"/>
          <w:szCs w:val="24"/>
        </w:rPr>
      </w:pPr>
      <w:r w:rsidRPr="003B4234">
        <w:rPr>
          <w:rFonts w:eastAsia="Times New Roman"/>
          <w:sz w:val="24"/>
          <w:szCs w:val="24"/>
        </w:rPr>
        <w:t>The date on which the Variance or Exemption was issued;</w:t>
      </w:r>
    </w:p>
    <w:p w14:paraId="281A21E3" w14:textId="77777777" w:rsidR="004647B9" w:rsidRPr="003B4234" w:rsidRDefault="00E2436F" w:rsidP="00C72841">
      <w:pPr>
        <w:numPr>
          <w:ilvl w:val="1"/>
          <w:numId w:val="539"/>
        </w:numPr>
        <w:tabs>
          <w:tab w:val="left" w:pos="1954"/>
        </w:tabs>
        <w:ind w:left="1560" w:hanging="5"/>
        <w:jc w:val="both"/>
        <w:rPr>
          <w:rFonts w:eastAsia="Times New Roman"/>
          <w:sz w:val="24"/>
          <w:szCs w:val="24"/>
        </w:rPr>
      </w:pPr>
      <w:r w:rsidRPr="003B4234">
        <w:rPr>
          <w:rFonts w:eastAsia="Times New Roman"/>
          <w:sz w:val="24"/>
          <w:szCs w:val="24"/>
        </w:rPr>
        <w:t>A brief status report on the steps the system is taking to install treatment, find alternative sources of water, or otherwise comply with the terms and schedules of the Variance or Exemption; and</w:t>
      </w:r>
    </w:p>
    <w:p w14:paraId="281A21E5" w14:textId="77777777" w:rsidR="004647B9" w:rsidRPr="003B4234" w:rsidRDefault="00E2436F" w:rsidP="00C72841">
      <w:pPr>
        <w:numPr>
          <w:ilvl w:val="1"/>
          <w:numId w:val="539"/>
        </w:numPr>
        <w:tabs>
          <w:tab w:val="left" w:pos="2009"/>
        </w:tabs>
        <w:ind w:left="1560" w:hanging="5"/>
        <w:rPr>
          <w:rFonts w:eastAsia="Times New Roman"/>
          <w:sz w:val="24"/>
          <w:szCs w:val="24"/>
        </w:rPr>
      </w:pPr>
      <w:r w:rsidRPr="003B4234">
        <w:rPr>
          <w:rFonts w:eastAsia="Times New Roman"/>
          <w:sz w:val="24"/>
          <w:szCs w:val="24"/>
        </w:rPr>
        <w:t>A notice of any opportunity for public input in the review, or renewal, of the Variance or Exemption.</w:t>
      </w:r>
    </w:p>
    <w:p w14:paraId="281A21E6" w14:textId="77777777" w:rsidR="004647B9" w:rsidRPr="003B4234" w:rsidRDefault="004647B9" w:rsidP="00C72841">
      <w:pPr>
        <w:rPr>
          <w:rFonts w:eastAsia="Times New Roman"/>
          <w:sz w:val="24"/>
          <w:szCs w:val="24"/>
        </w:rPr>
      </w:pPr>
    </w:p>
    <w:p w14:paraId="281A21E7" w14:textId="77777777" w:rsidR="004647B9" w:rsidRPr="003B4234" w:rsidRDefault="00E2436F" w:rsidP="00C72841">
      <w:pPr>
        <w:numPr>
          <w:ilvl w:val="0"/>
          <w:numId w:val="539"/>
        </w:numPr>
        <w:tabs>
          <w:tab w:val="left" w:pos="1660"/>
        </w:tabs>
        <w:ind w:left="1660" w:hanging="460"/>
        <w:rPr>
          <w:rFonts w:eastAsia="Times New Roman"/>
          <w:sz w:val="24"/>
          <w:szCs w:val="24"/>
        </w:rPr>
      </w:pPr>
      <w:r w:rsidRPr="003B4234">
        <w:rPr>
          <w:rFonts w:eastAsia="Times New Roman"/>
          <w:sz w:val="24"/>
          <w:szCs w:val="24"/>
          <w:u w:val="single"/>
        </w:rPr>
        <w:t>Additional Information</w:t>
      </w:r>
      <w:r w:rsidRPr="003B4234">
        <w:rPr>
          <w:rFonts w:eastAsia="Times New Roman"/>
          <w:sz w:val="24"/>
          <w:szCs w:val="24"/>
        </w:rPr>
        <w:t>.</w:t>
      </w:r>
    </w:p>
    <w:p w14:paraId="281A21E9" w14:textId="77777777" w:rsidR="004647B9" w:rsidRPr="003B4234" w:rsidRDefault="00E2436F" w:rsidP="00C72841">
      <w:pPr>
        <w:numPr>
          <w:ilvl w:val="1"/>
          <w:numId w:val="539"/>
        </w:numPr>
        <w:tabs>
          <w:tab w:val="left" w:pos="2148"/>
        </w:tabs>
        <w:ind w:left="1560" w:hanging="5"/>
        <w:jc w:val="both"/>
        <w:rPr>
          <w:rFonts w:eastAsia="Times New Roman"/>
          <w:sz w:val="24"/>
          <w:szCs w:val="24"/>
        </w:rPr>
      </w:pPr>
      <w:r w:rsidRPr="003B4234">
        <w:rPr>
          <w:rFonts w:eastAsia="Times New Roman"/>
          <w:sz w:val="24"/>
          <w:szCs w:val="24"/>
        </w:rPr>
        <w:t>The report must contain a brief explanation regarding contaminants which may reasonably be expected to be found in drinking water including bottled water. This explanation may include the language in 310 CMR 22.16A(8)(a)1. through 3., or systems may use their own comparable language with Department approval. The report also must include the language of paragraph 310 CMR 22.16A(8)(a)4.</w:t>
      </w:r>
    </w:p>
    <w:p w14:paraId="281A21EB" w14:textId="77777777" w:rsidR="004647B9" w:rsidRPr="003B4234" w:rsidRDefault="00E2436F" w:rsidP="00C72841">
      <w:pPr>
        <w:numPr>
          <w:ilvl w:val="2"/>
          <w:numId w:val="539"/>
        </w:numPr>
        <w:tabs>
          <w:tab w:val="left" w:pos="2294"/>
        </w:tabs>
        <w:ind w:left="1920" w:hanging="5"/>
        <w:jc w:val="both"/>
        <w:rPr>
          <w:rFonts w:eastAsia="Times New Roman"/>
          <w:sz w:val="24"/>
          <w:szCs w:val="24"/>
        </w:rPr>
      </w:pPr>
      <w:r w:rsidRPr="003B4234">
        <w:rPr>
          <w:rFonts w:eastAsia="Times New Roman"/>
          <w:sz w:val="24"/>
          <w:szCs w:val="24"/>
        </w:rPr>
        <w:t>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281A21ED" w14:textId="77777777" w:rsidR="004647B9" w:rsidRPr="003B4234" w:rsidRDefault="00E2436F" w:rsidP="00C72841">
      <w:pPr>
        <w:numPr>
          <w:ilvl w:val="2"/>
          <w:numId w:val="539"/>
        </w:numPr>
        <w:tabs>
          <w:tab w:val="left" w:pos="2280"/>
        </w:tabs>
        <w:ind w:left="2280" w:hanging="365"/>
        <w:rPr>
          <w:rFonts w:eastAsia="Times New Roman"/>
          <w:sz w:val="24"/>
          <w:szCs w:val="24"/>
        </w:rPr>
      </w:pPr>
      <w:r w:rsidRPr="003B4234">
        <w:rPr>
          <w:rFonts w:eastAsia="Times New Roman"/>
          <w:sz w:val="24"/>
          <w:szCs w:val="24"/>
        </w:rPr>
        <w:t>Contaminants that may be present in source water include:</w:t>
      </w:r>
    </w:p>
    <w:p w14:paraId="281A21EF" w14:textId="77777777" w:rsidR="004647B9" w:rsidRPr="003B4234" w:rsidRDefault="00E2436F" w:rsidP="00C72841">
      <w:pPr>
        <w:numPr>
          <w:ilvl w:val="3"/>
          <w:numId w:val="539"/>
        </w:numPr>
        <w:tabs>
          <w:tab w:val="left" w:pos="2670"/>
        </w:tabs>
        <w:ind w:left="2280" w:hanging="5"/>
        <w:jc w:val="both"/>
        <w:rPr>
          <w:rFonts w:eastAsia="Times New Roman"/>
          <w:sz w:val="24"/>
          <w:szCs w:val="24"/>
        </w:rPr>
      </w:pPr>
      <w:r w:rsidRPr="003B4234">
        <w:rPr>
          <w:rFonts w:eastAsia="Times New Roman"/>
          <w:sz w:val="24"/>
          <w:szCs w:val="24"/>
        </w:rPr>
        <w:t>Microbial contaminants, such as Viruses and bacteria, which may come from sewage treatment plants, septic systems, agricultural livestock operations, and wildlife.</w:t>
      </w:r>
    </w:p>
    <w:p w14:paraId="281A21F1" w14:textId="77777777" w:rsidR="004647B9" w:rsidRPr="003B4234" w:rsidRDefault="00E2436F" w:rsidP="00C72841">
      <w:pPr>
        <w:numPr>
          <w:ilvl w:val="3"/>
          <w:numId w:val="539"/>
        </w:numPr>
        <w:tabs>
          <w:tab w:val="left" w:pos="2784"/>
        </w:tabs>
        <w:ind w:left="2280" w:hanging="5"/>
        <w:jc w:val="both"/>
        <w:rPr>
          <w:rFonts w:eastAsia="Times New Roman"/>
          <w:sz w:val="24"/>
          <w:szCs w:val="24"/>
        </w:rPr>
      </w:pPr>
      <w:r w:rsidRPr="003B4234">
        <w:rPr>
          <w:rFonts w:eastAsia="Times New Roman"/>
          <w:sz w:val="24"/>
          <w:szCs w:val="24"/>
        </w:rPr>
        <w:t>Inorganic contaminants, such as salts and metals, which can be naturally occurring or result from urban stormwater runoff, industrial or domestic wastewater discharges, oil and gas production, mining or farming.</w:t>
      </w:r>
    </w:p>
    <w:p w14:paraId="281A21F3" w14:textId="77777777" w:rsidR="004647B9" w:rsidRPr="003B4234" w:rsidRDefault="00E2436F" w:rsidP="00C72841">
      <w:pPr>
        <w:numPr>
          <w:ilvl w:val="3"/>
          <w:numId w:val="539"/>
        </w:numPr>
        <w:tabs>
          <w:tab w:val="left" w:pos="2670"/>
        </w:tabs>
        <w:ind w:left="2280" w:hanging="5"/>
        <w:rPr>
          <w:rFonts w:eastAsia="Times New Roman"/>
          <w:sz w:val="24"/>
          <w:szCs w:val="24"/>
        </w:rPr>
      </w:pPr>
      <w:r w:rsidRPr="003B4234">
        <w:rPr>
          <w:rFonts w:eastAsia="Times New Roman"/>
          <w:sz w:val="24"/>
          <w:szCs w:val="24"/>
        </w:rPr>
        <w:t>Pesticides and herbicides, which may come from a variety of sources such as agriculture, urban stormwater runoff, and residential uses.</w:t>
      </w:r>
    </w:p>
    <w:p w14:paraId="281A21F4" w14:textId="77777777" w:rsidR="004647B9" w:rsidRPr="003B4234" w:rsidRDefault="00E2436F" w:rsidP="00C72841">
      <w:pPr>
        <w:numPr>
          <w:ilvl w:val="3"/>
          <w:numId w:val="539"/>
        </w:numPr>
        <w:tabs>
          <w:tab w:val="left" w:pos="2827"/>
        </w:tabs>
        <w:ind w:left="2280" w:hanging="5"/>
        <w:jc w:val="both"/>
        <w:rPr>
          <w:rFonts w:eastAsia="Times New Roman"/>
          <w:sz w:val="24"/>
          <w:szCs w:val="24"/>
        </w:rPr>
      </w:pPr>
      <w:r w:rsidRPr="003B4234">
        <w:rPr>
          <w:rFonts w:eastAsia="Times New Roman"/>
          <w:sz w:val="24"/>
          <w:szCs w:val="24"/>
        </w:rPr>
        <w:t>Organic chemical contaminants, including synthetic and volatile organic chemicals, which are by-products of industrial processes and petroleum production, and can also come from gas stations, urban stormwater runoff, and septic systems.</w:t>
      </w:r>
    </w:p>
    <w:p w14:paraId="281A21F5" w14:textId="77777777" w:rsidR="004647B9" w:rsidRDefault="004647B9" w:rsidP="00C72841">
      <w:pPr>
        <w:sectPr w:rsidR="004647B9" w:rsidSect="00EF630C">
          <w:pgSz w:w="12240" w:h="20180"/>
          <w:pgMar w:top="708" w:right="1440" w:bottom="706" w:left="600" w:header="0" w:footer="0" w:gutter="0"/>
          <w:cols w:space="720"/>
        </w:sectPr>
      </w:pPr>
    </w:p>
    <w:p w14:paraId="281A21F6" w14:textId="77777777" w:rsidR="004647B9" w:rsidRDefault="00E2436F">
      <w:pPr>
        <w:tabs>
          <w:tab w:val="left" w:pos="160"/>
        </w:tabs>
        <w:jc w:val="center"/>
        <w:rPr>
          <w:sz w:val="20"/>
          <w:szCs w:val="20"/>
        </w:rPr>
      </w:pPr>
      <w:bookmarkStart w:id="213" w:name="page215"/>
      <w:bookmarkEnd w:id="21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1F7" w14:textId="77777777" w:rsidR="004647B9" w:rsidRDefault="004647B9" w:rsidP="005C23F8">
      <w:pPr>
        <w:rPr>
          <w:sz w:val="20"/>
          <w:szCs w:val="20"/>
        </w:rPr>
      </w:pPr>
    </w:p>
    <w:p w14:paraId="281A21F8" w14:textId="77777777" w:rsidR="004647B9" w:rsidRDefault="004647B9" w:rsidP="005C23F8">
      <w:pPr>
        <w:rPr>
          <w:sz w:val="20"/>
          <w:szCs w:val="20"/>
        </w:rPr>
      </w:pPr>
    </w:p>
    <w:p w14:paraId="281A21F9" w14:textId="77777777" w:rsidR="004647B9" w:rsidRPr="003B4234" w:rsidRDefault="00E2436F" w:rsidP="005C23F8">
      <w:pPr>
        <w:tabs>
          <w:tab w:val="left" w:pos="940"/>
        </w:tabs>
        <w:rPr>
          <w:sz w:val="24"/>
          <w:szCs w:val="24"/>
        </w:rPr>
      </w:pPr>
      <w:r w:rsidRPr="003B4234">
        <w:rPr>
          <w:rFonts w:eastAsia="Times New Roman"/>
          <w:sz w:val="24"/>
          <w:szCs w:val="24"/>
        </w:rPr>
        <w:t>22.16A:</w:t>
      </w:r>
      <w:r w:rsidRPr="003B4234">
        <w:rPr>
          <w:sz w:val="24"/>
          <w:szCs w:val="24"/>
        </w:rPr>
        <w:tab/>
      </w:r>
      <w:r w:rsidRPr="003B4234">
        <w:rPr>
          <w:rFonts w:eastAsia="Times New Roman"/>
          <w:sz w:val="24"/>
          <w:szCs w:val="24"/>
        </w:rPr>
        <w:t>continued</w:t>
      </w:r>
    </w:p>
    <w:p w14:paraId="281A21FA" w14:textId="77777777" w:rsidR="004647B9" w:rsidRPr="005C23F8" w:rsidRDefault="004647B9" w:rsidP="005C23F8">
      <w:pPr>
        <w:rPr>
          <w:sz w:val="20"/>
          <w:szCs w:val="20"/>
        </w:rPr>
      </w:pPr>
    </w:p>
    <w:p w14:paraId="281A21FB" w14:textId="77777777" w:rsidR="004647B9" w:rsidRPr="003B4234" w:rsidRDefault="00E2436F" w:rsidP="005C23F8">
      <w:pPr>
        <w:numPr>
          <w:ilvl w:val="2"/>
          <w:numId w:val="540"/>
        </w:numPr>
        <w:tabs>
          <w:tab w:val="left" w:pos="2576"/>
        </w:tabs>
        <w:ind w:left="2280" w:hanging="5"/>
        <w:rPr>
          <w:rFonts w:eastAsia="Times New Roman"/>
          <w:sz w:val="24"/>
          <w:szCs w:val="24"/>
        </w:rPr>
      </w:pPr>
      <w:r w:rsidRPr="003B4234">
        <w:rPr>
          <w:rFonts w:eastAsia="Times New Roman"/>
          <w:sz w:val="24"/>
          <w:szCs w:val="24"/>
        </w:rPr>
        <w:t>Radioactive contaminants, which can be naturally-occurring or be the result of oil and gas production and mining activities.</w:t>
      </w:r>
    </w:p>
    <w:p w14:paraId="281A21FD" w14:textId="77777777" w:rsidR="004647B9" w:rsidRPr="003B4234" w:rsidRDefault="00E2436F" w:rsidP="005C23F8">
      <w:pPr>
        <w:numPr>
          <w:ilvl w:val="1"/>
          <w:numId w:val="541"/>
        </w:numPr>
        <w:tabs>
          <w:tab w:val="left" w:pos="2266"/>
        </w:tabs>
        <w:ind w:left="1920" w:hanging="5"/>
        <w:jc w:val="both"/>
        <w:rPr>
          <w:rFonts w:eastAsia="Times New Roman"/>
          <w:sz w:val="24"/>
          <w:szCs w:val="24"/>
        </w:rPr>
      </w:pPr>
      <w:r w:rsidRPr="003B4234">
        <w:rPr>
          <w:rFonts w:eastAsia="Times New Roman"/>
          <w:sz w:val="24"/>
          <w:szCs w:val="24"/>
        </w:rPr>
        <w:t xml:space="preserve">In order to ensure that tap water is safe to drink, the Department and EPA prescribe regulations which limit the amount of certain contaminants in water provided by public water systems. FDA and 105 CMR 570.000: </w:t>
      </w:r>
      <w:r w:rsidRPr="003B4234">
        <w:rPr>
          <w:rFonts w:eastAsia="Times New Roman"/>
          <w:i/>
          <w:iCs/>
          <w:sz w:val="24"/>
          <w:szCs w:val="24"/>
        </w:rPr>
        <w:t>The Manufacture, Collection, and Bottling</w:t>
      </w:r>
      <w:r w:rsidRPr="003B4234">
        <w:rPr>
          <w:rFonts w:eastAsia="Times New Roman"/>
          <w:sz w:val="24"/>
          <w:szCs w:val="24"/>
        </w:rPr>
        <w:t xml:space="preserve"> </w:t>
      </w:r>
      <w:r w:rsidRPr="003B4234">
        <w:rPr>
          <w:rFonts w:eastAsia="Times New Roman"/>
          <w:i/>
          <w:iCs/>
          <w:sz w:val="24"/>
          <w:szCs w:val="24"/>
        </w:rPr>
        <w:t xml:space="preserve">of Water and Carbonated Nonalcoholic Beverages </w:t>
      </w:r>
      <w:r w:rsidRPr="003B4234">
        <w:rPr>
          <w:rFonts w:eastAsia="Times New Roman"/>
          <w:sz w:val="24"/>
          <w:szCs w:val="24"/>
        </w:rPr>
        <w:t>establish limits for contaminants in</w:t>
      </w:r>
      <w:r w:rsidRPr="003B4234">
        <w:rPr>
          <w:rFonts w:eastAsia="Times New Roman"/>
          <w:i/>
          <w:iCs/>
          <w:sz w:val="24"/>
          <w:szCs w:val="24"/>
        </w:rPr>
        <w:t xml:space="preserve"> </w:t>
      </w:r>
      <w:r w:rsidRPr="003B4234">
        <w:rPr>
          <w:rFonts w:eastAsia="Times New Roman"/>
          <w:sz w:val="24"/>
          <w:szCs w:val="24"/>
        </w:rPr>
        <w:t>bottled water which must provide the same protection for public health.</w:t>
      </w:r>
    </w:p>
    <w:p w14:paraId="281A21FF" w14:textId="77777777" w:rsidR="004647B9" w:rsidRPr="003B4234" w:rsidRDefault="00E2436F" w:rsidP="005C23F8">
      <w:pPr>
        <w:numPr>
          <w:ilvl w:val="1"/>
          <w:numId w:val="541"/>
        </w:numPr>
        <w:tabs>
          <w:tab w:val="left" w:pos="2294"/>
        </w:tabs>
        <w:ind w:left="1920" w:hanging="5"/>
        <w:jc w:val="both"/>
        <w:rPr>
          <w:rFonts w:eastAsia="Times New Roman"/>
          <w:sz w:val="24"/>
          <w:szCs w:val="24"/>
        </w:rPr>
      </w:pPr>
      <w:r w:rsidRPr="003B4234">
        <w:rPr>
          <w:rFonts w:eastAsia="Times New Roman"/>
          <w:sz w:val="24"/>
          <w:szCs w:val="24"/>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Environmental Protection</w:t>
      </w:r>
      <w:r w:rsidRPr="003B4234" w:rsidDel="007B206E">
        <w:rPr>
          <w:rFonts w:eastAsia="Times New Roman"/>
          <w:sz w:val="24"/>
          <w:szCs w:val="24"/>
        </w:rPr>
        <w:t xml:space="preserve"> </w:t>
      </w:r>
      <w:r w:rsidRPr="003B4234">
        <w:rPr>
          <w:rFonts w:eastAsia="Times New Roman"/>
          <w:sz w:val="24"/>
          <w:szCs w:val="24"/>
        </w:rPr>
        <w:t>Agency's Safe Drinking Water Hotline (800-426-4791) or your local water supplier.</w:t>
      </w:r>
    </w:p>
    <w:p w14:paraId="281A2201" w14:textId="77777777" w:rsidR="004647B9" w:rsidRPr="003B4234" w:rsidRDefault="00E2436F" w:rsidP="005C23F8">
      <w:pPr>
        <w:numPr>
          <w:ilvl w:val="0"/>
          <w:numId w:val="542"/>
        </w:numPr>
        <w:tabs>
          <w:tab w:val="left" w:pos="1955"/>
        </w:tabs>
        <w:ind w:left="1560" w:hanging="5"/>
        <w:jc w:val="both"/>
        <w:rPr>
          <w:rFonts w:eastAsia="Times New Roman"/>
          <w:sz w:val="24"/>
          <w:szCs w:val="24"/>
        </w:rPr>
      </w:pPr>
      <w:r w:rsidRPr="003B4234">
        <w:rPr>
          <w:rFonts w:eastAsia="Times New Roman"/>
          <w:sz w:val="24"/>
          <w:szCs w:val="24"/>
        </w:rPr>
        <w:t>The report must include the PWSID#, address, telephone number of the owner, operator, or designee of the Community Water System as a source of additional information concerning the report.</w:t>
      </w:r>
    </w:p>
    <w:p w14:paraId="281A2203" w14:textId="43C780FE" w:rsidR="004647B9" w:rsidRPr="004002AE" w:rsidRDefault="00832AA1" w:rsidP="005C23F8">
      <w:pPr>
        <w:numPr>
          <w:ilvl w:val="0"/>
          <w:numId w:val="542"/>
        </w:numPr>
        <w:tabs>
          <w:tab w:val="left" w:pos="1997"/>
        </w:tabs>
        <w:ind w:left="1560" w:hanging="5"/>
        <w:jc w:val="both"/>
        <w:rPr>
          <w:rFonts w:eastAsia="Times New Roman"/>
          <w:sz w:val="24"/>
          <w:szCs w:val="24"/>
        </w:rPr>
      </w:pPr>
      <w:r>
        <w:rPr>
          <w:rFonts w:eastAsia="Times New Roman"/>
          <w:sz w:val="24"/>
          <w:szCs w:val="24"/>
        </w:rPr>
        <w:t>For</w:t>
      </w:r>
      <w:r w:rsidR="00E2436F" w:rsidRPr="004002AE">
        <w:rPr>
          <w:rFonts w:eastAsia="Times New Roman"/>
          <w:sz w:val="24"/>
          <w:szCs w:val="24"/>
        </w:rPr>
        <w:t xml:space="preserve"> </w:t>
      </w:r>
      <w:r w:rsidR="00323E41" w:rsidRPr="004002AE">
        <w:rPr>
          <w:rFonts w:eastAsia="Times New Roman"/>
          <w:sz w:val="24"/>
          <w:szCs w:val="24"/>
        </w:rPr>
        <w:t xml:space="preserve">any </w:t>
      </w:r>
      <w:r>
        <w:rPr>
          <w:rFonts w:eastAsia="Times New Roman"/>
          <w:sz w:val="24"/>
          <w:szCs w:val="24"/>
        </w:rPr>
        <w:t>Public Water System</w:t>
      </w:r>
      <w:r w:rsidR="00323E41" w:rsidRPr="004002AE">
        <w:rPr>
          <w:rFonts w:eastAsia="Times New Roman"/>
          <w:sz w:val="24"/>
          <w:szCs w:val="24"/>
        </w:rPr>
        <w:t xml:space="preserve"> </w:t>
      </w:r>
      <w:r w:rsidR="00F43697" w:rsidRPr="004002AE">
        <w:rPr>
          <w:sz w:val="24"/>
          <w:szCs w:val="24"/>
        </w:rPr>
        <w:t xml:space="preserve">where </w:t>
      </w:r>
      <w:r w:rsidR="00CE6298">
        <w:rPr>
          <w:sz w:val="24"/>
          <w:szCs w:val="24"/>
        </w:rPr>
        <w:t>such</w:t>
      </w:r>
      <w:r w:rsidR="00F43697" w:rsidRPr="004002AE">
        <w:rPr>
          <w:sz w:val="24"/>
          <w:szCs w:val="24"/>
        </w:rPr>
        <w:t xml:space="preserve"> Supplier of Water’s consumers </w:t>
      </w:r>
      <w:r w:rsidR="00CE6298">
        <w:rPr>
          <w:sz w:val="24"/>
          <w:szCs w:val="24"/>
        </w:rPr>
        <w:t>reside in any census tract with</w:t>
      </w:r>
      <w:r w:rsidR="00F43697" w:rsidRPr="004002AE">
        <w:rPr>
          <w:sz w:val="24"/>
          <w:szCs w:val="24"/>
        </w:rPr>
        <w:t xml:space="preserve"> a minimum of either</w:t>
      </w:r>
      <w:r w:rsidR="00F43697" w:rsidRPr="004002AE">
        <w:rPr>
          <w:rFonts w:eastAsia="Times New Roman"/>
          <w:sz w:val="24"/>
          <w:szCs w:val="24"/>
        </w:rPr>
        <w:t xml:space="preserve"> 5</w:t>
      </w:r>
      <w:r w:rsidR="00E2436F" w:rsidRPr="004002AE">
        <w:rPr>
          <w:rFonts w:eastAsia="Times New Roman"/>
          <w:sz w:val="24"/>
          <w:szCs w:val="24"/>
        </w:rPr>
        <w:t>% or 1000 residents</w:t>
      </w:r>
      <w:r w:rsidR="00414490" w:rsidRPr="004002AE">
        <w:rPr>
          <w:rFonts w:eastAsia="Times New Roman"/>
          <w:sz w:val="24"/>
          <w:szCs w:val="24"/>
        </w:rPr>
        <w:t xml:space="preserve"> who </w:t>
      </w:r>
      <w:r w:rsidR="008A3F92">
        <w:rPr>
          <w:rFonts w:eastAsia="Times New Roman"/>
          <w:sz w:val="24"/>
          <w:szCs w:val="24"/>
        </w:rPr>
        <w:t>lack English</w:t>
      </w:r>
      <w:r w:rsidR="00414490" w:rsidRPr="004002AE">
        <w:rPr>
          <w:rFonts w:eastAsia="Times New Roman"/>
          <w:sz w:val="24"/>
          <w:szCs w:val="24"/>
        </w:rPr>
        <w:t xml:space="preserve"> language</w:t>
      </w:r>
      <w:r w:rsidR="008A3F92">
        <w:rPr>
          <w:rFonts w:eastAsia="Times New Roman"/>
          <w:sz w:val="24"/>
          <w:szCs w:val="24"/>
        </w:rPr>
        <w:t xml:space="preserve"> proficiency</w:t>
      </w:r>
      <w:r w:rsidR="00E2436F" w:rsidRPr="004002AE">
        <w:rPr>
          <w:rFonts w:eastAsia="Times New Roman"/>
          <w:sz w:val="24"/>
          <w:szCs w:val="24"/>
        </w:rPr>
        <w:t xml:space="preserve">, the report </w:t>
      </w:r>
      <w:r w:rsidR="00496417" w:rsidRPr="004002AE">
        <w:rPr>
          <w:rFonts w:eastAsia="Times New Roman"/>
          <w:sz w:val="24"/>
          <w:szCs w:val="24"/>
        </w:rPr>
        <w:t xml:space="preserve">shall </w:t>
      </w:r>
      <w:r w:rsidR="00E2436F" w:rsidRPr="004002AE">
        <w:rPr>
          <w:rFonts w:eastAsia="Times New Roman"/>
          <w:sz w:val="24"/>
          <w:szCs w:val="24"/>
        </w:rPr>
        <w:t xml:space="preserve">contain information in the language(s) </w:t>
      </w:r>
      <w:r w:rsidR="00496417" w:rsidRPr="004002AE">
        <w:rPr>
          <w:rFonts w:eastAsia="Times New Roman"/>
          <w:sz w:val="24"/>
          <w:szCs w:val="24"/>
        </w:rPr>
        <w:t>appropriate for each such group</w:t>
      </w:r>
      <w:r w:rsidR="00D20205" w:rsidRPr="004002AE">
        <w:rPr>
          <w:rFonts w:eastAsia="Times New Roman"/>
          <w:sz w:val="24"/>
          <w:szCs w:val="24"/>
        </w:rPr>
        <w:t xml:space="preserve"> of residents </w:t>
      </w:r>
      <w:r w:rsidR="00E2436F" w:rsidRPr="004002AE">
        <w:rPr>
          <w:rFonts w:eastAsia="Times New Roman"/>
          <w:sz w:val="24"/>
          <w:szCs w:val="24"/>
        </w:rPr>
        <w:t>regarding the importance of the report</w:t>
      </w:r>
      <w:r w:rsidR="008A3F92">
        <w:rPr>
          <w:rFonts w:eastAsia="Times New Roman"/>
          <w:sz w:val="24"/>
          <w:szCs w:val="24"/>
        </w:rPr>
        <w:t xml:space="preserve"> and that it should be translated</w:t>
      </w:r>
      <w:r w:rsidR="00E2436F" w:rsidRPr="004002AE">
        <w:rPr>
          <w:rFonts w:eastAsia="Times New Roman"/>
          <w:sz w:val="24"/>
          <w:szCs w:val="24"/>
        </w:rPr>
        <w:t xml:space="preserve">. </w:t>
      </w:r>
      <w:r w:rsidR="00D20205" w:rsidRPr="004002AE">
        <w:rPr>
          <w:rFonts w:eastAsia="Times New Roman"/>
          <w:sz w:val="24"/>
          <w:szCs w:val="24"/>
        </w:rPr>
        <w:t xml:space="preserve">If </w:t>
      </w:r>
      <w:r w:rsidR="00C85BB0">
        <w:rPr>
          <w:rFonts w:eastAsia="Times New Roman"/>
          <w:sz w:val="24"/>
          <w:szCs w:val="24"/>
        </w:rPr>
        <w:t>the service area of a Public Water System</w:t>
      </w:r>
      <w:r w:rsidR="00D20205" w:rsidRPr="004002AE">
        <w:rPr>
          <w:rFonts w:eastAsia="Times New Roman"/>
          <w:sz w:val="24"/>
          <w:szCs w:val="24"/>
        </w:rPr>
        <w:t xml:space="preserve"> </w:t>
      </w:r>
      <w:r w:rsidR="006A2B8F" w:rsidRPr="004002AE">
        <w:rPr>
          <w:rFonts w:eastAsia="Times New Roman"/>
          <w:sz w:val="24"/>
          <w:szCs w:val="24"/>
        </w:rPr>
        <w:t xml:space="preserve">includes </w:t>
      </w:r>
      <w:r w:rsidR="00C85BB0">
        <w:rPr>
          <w:rFonts w:eastAsia="Times New Roman"/>
          <w:sz w:val="24"/>
          <w:szCs w:val="24"/>
        </w:rPr>
        <w:t xml:space="preserve">some or all of any census tract with </w:t>
      </w:r>
      <w:r w:rsidR="006A2B8F" w:rsidRPr="004002AE">
        <w:rPr>
          <w:rFonts w:eastAsia="Times New Roman"/>
          <w:sz w:val="24"/>
          <w:szCs w:val="24"/>
        </w:rPr>
        <w:t xml:space="preserve">a minimum of </w:t>
      </w:r>
      <w:r w:rsidR="00E2436F" w:rsidRPr="004002AE">
        <w:rPr>
          <w:rFonts w:eastAsia="Times New Roman"/>
          <w:sz w:val="24"/>
          <w:szCs w:val="24"/>
        </w:rPr>
        <w:t xml:space="preserve">25% </w:t>
      </w:r>
      <w:r w:rsidR="00C85BB0">
        <w:rPr>
          <w:rFonts w:eastAsia="Times New Roman"/>
          <w:sz w:val="24"/>
          <w:szCs w:val="24"/>
        </w:rPr>
        <w:t>of</w:t>
      </w:r>
      <w:r w:rsidR="00E2436F" w:rsidRPr="004002AE">
        <w:rPr>
          <w:rFonts w:eastAsia="Times New Roman"/>
          <w:sz w:val="24"/>
          <w:szCs w:val="24"/>
        </w:rPr>
        <w:t xml:space="preserve"> residents</w:t>
      </w:r>
      <w:r w:rsidR="006A2B8F" w:rsidRPr="004002AE">
        <w:rPr>
          <w:rFonts w:eastAsia="Times New Roman"/>
          <w:sz w:val="24"/>
          <w:szCs w:val="24"/>
        </w:rPr>
        <w:t xml:space="preserve"> who </w:t>
      </w:r>
      <w:r w:rsidR="00C85BB0">
        <w:rPr>
          <w:rFonts w:eastAsia="Times New Roman"/>
          <w:sz w:val="24"/>
          <w:szCs w:val="24"/>
        </w:rPr>
        <w:t>lack Enlgish</w:t>
      </w:r>
      <w:r w:rsidR="006A2B8F" w:rsidRPr="004002AE">
        <w:rPr>
          <w:rFonts w:eastAsia="Times New Roman"/>
          <w:sz w:val="24"/>
          <w:szCs w:val="24"/>
        </w:rPr>
        <w:t xml:space="preserve"> language</w:t>
      </w:r>
      <w:r w:rsidR="00C85BB0">
        <w:rPr>
          <w:rFonts w:eastAsia="Times New Roman"/>
          <w:sz w:val="24"/>
          <w:szCs w:val="24"/>
        </w:rPr>
        <w:t xml:space="preserve"> proficiency</w:t>
      </w:r>
      <w:r w:rsidR="00E2436F" w:rsidRPr="004002AE">
        <w:rPr>
          <w:rFonts w:eastAsia="Times New Roman"/>
          <w:sz w:val="24"/>
          <w:szCs w:val="24"/>
        </w:rPr>
        <w:t xml:space="preserve">, </w:t>
      </w:r>
      <w:r w:rsidR="006A2B8F" w:rsidRPr="004002AE">
        <w:rPr>
          <w:rFonts w:eastAsia="Times New Roman"/>
          <w:sz w:val="24"/>
          <w:szCs w:val="24"/>
        </w:rPr>
        <w:t xml:space="preserve">then </w:t>
      </w:r>
      <w:r w:rsidR="00E2436F" w:rsidRPr="004002AE">
        <w:rPr>
          <w:rFonts w:eastAsia="Times New Roman"/>
          <w:sz w:val="24"/>
          <w:szCs w:val="24"/>
        </w:rPr>
        <w:t xml:space="preserve">the report </w:t>
      </w:r>
      <w:r w:rsidR="004002AE" w:rsidRPr="004002AE">
        <w:rPr>
          <w:rFonts w:eastAsia="Times New Roman"/>
          <w:sz w:val="24"/>
          <w:szCs w:val="24"/>
        </w:rPr>
        <w:t xml:space="preserve">shall also </w:t>
      </w:r>
      <w:r w:rsidR="00E2436F" w:rsidRPr="004002AE">
        <w:rPr>
          <w:rFonts w:eastAsia="Times New Roman"/>
          <w:sz w:val="24"/>
          <w:szCs w:val="24"/>
        </w:rPr>
        <w:t xml:space="preserve">contain a statement in the appropriate language(s) </w:t>
      </w:r>
      <w:r w:rsidR="004002AE" w:rsidRPr="004002AE">
        <w:rPr>
          <w:rFonts w:eastAsia="Times New Roman"/>
          <w:sz w:val="24"/>
          <w:szCs w:val="24"/>
        </w:rPr>
        <w:t xml:space="preserve">for each such group of residents </w:t>
      </w:r>
      <w:r w:rsidR="00E2436F" w:rsidRPr="004002AE">
        <w:rPr>
          <w:rFonts w:eastAsia="Times New Roman"/>
          <w:sz w:val="24"/>
          <w:szCs w:val="24"/>
        </w:rPr>
        <w:t xml:space="preserve">which includes a telephone number or address where </w:t>
      </w:r>
      <w:r w:rsidR="004002AE" w:rsidRPr="004002AE">
        <w:rPr>
          <w:rFonts w:eastAsia="Times New Roman"/>
          <w:sz w:val="24"/>
          <w:szCs w:val="24"/>
        </w:rPr>
        <w:t xml:space="preserve">those </w:t>
      </w:r>
      <w:r w:rsidR="00E2436F" w:rsidRPr="004002AE">
        <w:rPr>
          <w:rFonts w:eastAsia="Times New Roman"/>
          <w:sz w:val="24"/>
          <w:szCs w:val="24"/>
        </w:rPr>
        <w:t xml:space="preserve">residents may contact the </w:t>
      </w:r>
      <w:r w:rsidR="004002AE" w:rsidRPr="004002AE">
        <w:rPr>
          <w:rFonts w:eastAsia="Times New Roman"/>
          <w:sz w:val="24"/>
          <w:szCs w:val="24"/>
        </w:rPr>
        <w:t xml:space="preserve">affected Public Water System </w:t>
      </w:r>
      <w:r w:rsidR="00E2436F" w:rsidRPr="004002AE">
        <w:rPr>
          <w:rFonts w:eastAsia="Times New Roman"/>
          <w:sz w:val="24"/>
          <w:szCs w:val="24"/>
        </w:rPr>
        <w:t>to obtain a translated copy of the report or assistance in the appropriate language</w:t>
      </w:r>
      <w:r w:rsidR="004002AE" w:rsidRPr="004002AE">
        <w:rPr>
          <w:rFonts w:eastAsia="Times New Roman"/>
          <w:sz w:val="24"/>
          <w:szCs w:val="24"/>
        </w:rPr>
        <w:t>(s)</w:t>
      </w:r>
      <w:r w:rsidR="00E2436F" w:rsidRPr="004002AE">
        <w:rPr>
          <w:rFonts w:eastAsia="Times New Roman"/>
          <w:sz w:val="24"/>
          <w:szCs w:val="24"/>
        </w:rPr>
        <w:t>.</w:t>
      </w:r>
    </w:p>
    <w:p w14:paraId="281A2205" w14:textId="77777777" w:rsidR="004647B9" w:rsidRPr="003B4234" w:rsidRDefault="00E2436F" w:rsidP="005C23F8">
      <w:pPr>
        <w:numPr>
          <w:ilvl w:val="0"/>
          <w:numId w:val="542"/>
        </w:numPr>
        <w:tabs>
          <w:tab w:val="left" w:pos="1997"/>
        </w:tabs>
        <w:ind w:left="1560" w:hanging="5"/>
        <w:jc w:val="both"/>
        <w:rPr>
          <w:rFonts w:eastAsia="Times New Roman"/>
          <w:sz w:val="24"/>
          <w:szCs w:val="24"/>
        </w:rPr>
      </w:pPr>
      <w:r w:rsidRPr="003B4234">
        <w:rPr>
          <w:rFonts w:eastAsia="Times New Roman"/>
          <w:sz w:val="24"/>
          <w:szCs w:val="24"/>
        </w:rPr>
        <w:t>The report must include information (</w:t>
      </w:r>
      <w:r w:rsidRPr="003B4234">
        <w:rPr>
          <w:rFonts w:eastAsia="Times New Roman"/>
          <w:i/>
          <w:iCs/>
          <w:sz w:val="24"/>
          <w:szCs w:val="24"/>
        </w:rPr>
        <w:t>e.g</w:t>
      </w:r>
      <w:r w:rsidRPr="003B4234">
        <w:rPr>
          <w:rFonts w:eastAsia="Times New Roman"/>
          <w:sz w:val="24"/>
          <w:szCs w:val="24"/>
        </w:rPr>
        <w:t>., time and place of regularly scheduled board meetings) about opportunities for public participation in decisions that may affect the quality of the water.</w:t>
      </w:r>
    </w:p>
    <w:p w14:paraId="281A2207" w14:textId="77777777" w:rsidR="004647B9" w:rsidRPr="003B4234" w:rsidRDefault="00E2436F" w:rsidP="005C23F8">
      <w:pPr>
        <w:numPr>
          <w:ilvl w:val="0"/>
          <w:numId w:val="542"/>
        </w:numPr>
        <w:tabs>
          <w:tab w:val="left" w:pos="1963"/>
        </w:tabs>
        <w:ind w:left="1560" w:hanging="5"/>
        <w:rPr>
          <w:rFonts w:eastAsia="Times New Roman"/>
          <w:sz w:val="24"/>
          <w:szCs w:val="24"/>
        </w:rPr>
      </w:pPr>
      <w:r w:rsidRPr="003B4234">
        <w:rPr>
          <w:rFonts w:eastAsia="Times New Roman"/>
          <w:sz w:val="24"/>
          <w:szCs w:val="24"/>
        </w:rPr>
        <w:t>The systems may include such additional information as they deem necessary for public education consistent with, and not detracting from, the purpose of the report.</w:t>
      </w:r>
    </w:p>
    <w:p w14:paraId="281A2208" w14:textId="77777777" w:rsidR="004647B9" w:rsidRPr="003B4234" w:rsidRDefault="00E2436F" w:rsidP="005C23F8">
      <w:pPr>
        <w:numPr>
          <w:ilvl w:val="0"/>
          <w:numId w:val="542"/>
        </w:numPr>
        <w:tabs>
          <w:tab w:val="left" w:pos="2042"/>
        </w:tabs>
        <w:ind w:left="1560" w:hanging="5"/>
        <w:rPr>
          <w:rFonts w:eastAsia="Times New Roman"/>
          <w:sz w:val="24"/>
          <w:szCs w:val="24"/>
        </w:rPr>
      </w:pPr>
      <w:r w:rsidRPr="003B4234">
        <w:rPr>
          <w:rFonts w:eastAsia="Times New Roman"/>
          <w:sz w:val="24"/>
          <w:szCs w:val="24"/>
        </w:rPr>
        <w:t>The Public Water System shall include any additional language as specified by the Department.</w:t>
      </w:r>
    </w:p>
    <w:p w14:paraId="281A2209" w14:textId="77777777" w:rsidR="004647B9" w:rsidRPr="003B4234" w:rsidRDefault="00E2436F" w:rsidP="005C23F8">
      <w:pPr>
        <w:numPr>
          <w:ilvl w:val="0"/>
          <w:numId w:val="542"/>
        </w:numPr>
        <w:tabs>
          <w:tab w:val="left" w:pos="2020"/>
        </w:tabs>
        <w:ind w:left="2020" w:hanging="465"/>
        <w:rPr>
          <w:rFonts w:eastAsia="Times New Roman"/>
          <w:sz w:val="24"/>
          <w:szCs w:val="24"/>
        </w:rPr>
      </w:pPr>
      <w:r w:rsidRPr="003B4234">
        <w:rPr>
          <w:rFonts w:eastAsia="Times New Roman"/>
          <w:sz w:val="24"/>
          <w:szCs w:val="24"/>
          <w:u w:val="single"/>
        </w:rPr>
        <w:t>Systems Required to Comply with 310 CMR 22.26</w:t>
      </w:r>
      <w:r w:rsidRPr="003B4234">
        <w:rPr>
          <w:rFonts w:eastAsia="Times New Roman"/>
          <w:sz w:val="24"/>
          <w:szCs w:val="24"/>
        </w:rPr>
        <w:t>.</w:t>
      </w:r>
    </w:p>
    <w:p w14:paraId="281A220B" w14:textId="77777777" w:rsidR="004647B9" w:rsidRPr="003B4234" w:rsidRDefault="00E2436F" w:rsidP="005C23F8">
      <w:pPr>
        <w:numPr>
          <w:ilvl w:val="1"/>
          <w:numId w:val="542"/>
        </w:numPr>
        <w:tabs>
          <w:tab w:val="left" w:pos="2285"/>
        </w:tabs>
        <w:ind w:left="1920" w:hanging="5"/>
        <w:jc w:val="both"/>
        <w:rPr>
          <w:rFonts w:eastAsia="Times New Roman"/>
          <w:sz w:val="24"/>
          <w:szCs w:val="24"/>
        </w:rPr>
      </w:pPr>
      <w:r w:rsidRPr="003B4234">
        <w:rPr>
          <w:rFonts w:eastAsia="Times New Roman"/>
          <w:sz w:val="24"/>
          <w:szCs w:val="24"/>
        </w:rPr>
        <w:t>Any groundwater system that receives notice from the Department of a Significant Deficiency or notice from a laboratory of a fecal indicator-positive groundwater source sample that is not invalidated by the Department under 310 CMR 22.26(3)(d) must inform its customers of any Significant Deficiency that is uncorrected at the time of the next report or of any fecal indicator-positive groundwater source sample in the next report. The system must continue to inform the public annually until the Department determines that particular Significant Deficiency is corrected or the fecal contamination in the groundwater source is addressed under 310 CMR 22.26(4)(a). Each report must include the following elements.</w:t>
      </w:r>
    </w:p>
    <w:p w14:paraId="281A220D" w14:textId="77777777" w:rsidR="004647B9" w:rsidRPr="003B4234" w:rsidRDefault="00E2436F" w:rsidP="005C23F8">
      <w:pPr>
        <w:numPr>
          <w:ilvl w:val="2"/>
          <w:numId w:val="542"/>
        </w:numPr>
        <w:tabs>
          <w:tab w:val="left" w:pos="2690"/>
        </w:tabs>
        <w:ind w:left="2280" w:hanging="5"/>
        <w:jc w:val="both"/>
        <w:rPr>
          <w:rFonts w:eastAsia="Times New Roman"/>
          <w:sz w:val="24"/>
          <w:szCs w:val="24"/>
        </w:rPr>
      </w:pPr>
      <w:r w:rsidRPr="003B4234">
        <w:rPr>
          <w:rFonts w:eastAsia="Times New Roman"/>
          <w:sz w:val="24"/>
          <w:szCs w:val="24"/>
        </w:rPr>
        <w:t>The nature of the particular Significant Deficiency or the source of the fecal contamination (if the source is known) and the date the Significant Deficiency was identified by the Department or the dates of the fecal indicator-positive groundwater source samples;</w:t>
      </w:r>
    </w:p>
    <w:p w14:paraId="281A220E" w14:textId="77777777" w:rsidR="004647B9" w:rsidRPr="003B4234" w:rsidRDefault="00E2436F" w:rsidP="005C23F8">
      <w:pPr>
        <w:numPr>
          <w:ilvl w:val="2"/>
          <w:numId w:val="542"/>
        </w:numPr>
        <w:tabs>
          <w:tab w:val="left" w:pos="2647"/>
        </w:tabs>
        <w:ind w:left="2280" w:hanging="5"/>
        <w:rPr>
          <w:rFonts w:eastAsia="Times New Roman"/>
          <w:sz w:val="24"/>
          <w:szCs w:val="24"/>
        </w:rPr>
      </w:pPr>
      <w:r w:rsidRPr="003B4234">
        <w:rPr>
          <w:rFonts w:eastAsia="Times New Roman"/>
          <w:sz w:val="24"/>
          <w:szCs w:val="24"/>
        </w:rPr>
        <w:t>If the fecal contamination in the groundwater source has been addressed under 310 CMR 22.26(4)(a) and the date of such action;</w:t>
      </w:r>
    </w:p>
    <w:p w14:paraId="281A220F" w14:textId="77777777" w:rsidR="004647B9" w:rsidRPr="003B4234" w:rsidRDefault="00E2436F" w:rsidP="005C23F8">
      <w:pPr>
        <w:numPr>
          <w:ilvl w:val="2"/>
          <w:numId w:val="542"/>
        </w:numPr>
        <w:tabs>
          <w:tab w:val="left" w:pos="2573"/>
        </w:tabs>
        <w:ind w:left="2280" w:hanging="5"/>
        <w:jc w:val="both"/>
        <w:rPr>
          <w:rFonts w:eastAsia="Times New Roman"/>
          <w:sz w:val="24"/>
          <w:szCs w:val="24"/>
        </w:rPr>
      </w:pPr>
      <w:r w:rsidRPr="003B4234">
        <w:rPr>
          <w:rFonts w:eastAsia="Times New Roman"/>
          <w:sz w:val="24"/>
          <w:szCs w:val="24"/>
        </w:rPr>
        <w:t>For each Significant Deficiency or fecal contamination in the groundwater source that has not been addressed under 310 CMR 22.26(4)(a), the Department-approved plan and schedule for correction, including interim measures, progress to date, and any interim measures completed; and</w:t>
      </w:r>
    </w:p>
    <w:p w14:paraId="281A2210" w14:textId="77777777" w:rsidR="004647B9" w:rsidRPr="003B4234" w:rsidRDefault="00E2436F" w:rsidP="005C23F8">
      <w:pPr>
        <w:numPr>
          <w:ilvl w:val="2"/>
          <w:numId w:val="542"/>
        </w:numPr>
        <w:tabs>
          <w:tab w:val="left" w:pos="2683"/>
        </w:tabs>
        <w:ind w:left="2280" w:hanging="5"/>
        <w:jc w:val="both"/>
        <w:rPr>
          <w:rFonts w:eastAsia="Times New Roman"/>
          <w:sz w:val="24"/>
          <w:szCs w:val="24"/>
        </w:rPr>
      </w:pPr>
      <w:r w:rsidRPr="003B4234">
        <w:rPr>
          <w:rFonts w:eastAsia="Times New Roman"/>
          <w:sz w:val="24"/>
          <w:szCs w:val="24"/>
        </w:rPr>
        <w:t>If the system receives notice of a fecal indicator-positive groundwater source sample that is not invalidated by the Department under 310 CMR 22.26(3)(d), the potential health effects using the health effects language of 310 CMR 22.16A(27).</w:t>
      </w:r>
    </w:p>
    <w:p w14:paraId="281A2212" w14:textId="77777777" w:rsidR="004647B9" w:rsidRPr="003B4234" w:rsidRDefault="00E2436F" w:rsidP="005C23F8">
      <w:pPr>
        <w:numPr>
          <w:ilvl w:val="1"/>
          <w:numId w:val="542"/>
        </w:numPr>
        <w:tabs>
          <w:tab w:val="left" w:pos="2282"/>
        </w:tabs>
        <w:ind w:left="1920" w:hanging="5"/>
        <w:jc w:val="both"/>
        <w:rPr>
          <w:rFonts w:eastAsia="Times New Roman"/>
          <w:sz w:val="24"/>
          <w:szCs w:val="24"/>
        </w:rPr>
      </w:pPr>
      <w:r w:rsidRPr="003B4234">
        <w:rPr>
          <w:rFonts w:eastAsia="Times New Roman"/>
          <w:sz w:val="24"/>
          <w:szCs w:val="24"/>
        </w:rPr>
        <w:t>If directed by the Department a system with significant deficiencies that have been corrected before the next report is issued must inform its customers of the Significant Deficiency, how the deficiency was corrected, and the date of correction under 310 CMR 22.16A(8)(g)1.</w:t>
      </w:r>
    </w:p>
    <w:p w14:paraId="281A2213" w14:textId="77777777" w:rsidR="004647B9" w:rsidRDefault="004647B9" w:rsidP="005C23F8">
      <w:pPr>
        <w:sectPr w:rsidR="004647B9" w:rsidSect="00EF630C">
          <w:pgSz w:w="12240" w:h="20180"/>
          <w:pgMar w:top="708" w:right="1440" w:bottom="1440" w:left="600" w:header="0" w:footer="0" w:gutter="0"/>
          <w:cols w:space="720"/>
        </w:sectPr>
      </w:pPr>
    </w:p>
    <w:p w14:paraId="281A2214" w14:textId="77777777" w:rsidR="004647B9" w:rsidRDefault="00E2436F">
      <w:pPr>
        <w:tabs>
          <w:tab w:val="left" w:pos="160"/>
        </w:tabs>
        <w:jc w:val="center"/>
        <w:rPr>
          <w:sz w:val="20"/>
          <w:szCs w:val="20"/>
        </w:rPr>
      </w:pPr>
      <w:bookmarkStart w:id="214" w:name="page216"/>
      <w:bookmarkEnd w:id="21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215" w14:textId="77777777" w:rsidR="004647B9" w:rsidRDefault="004647B9" w:rsidP="00931F8F">
      <w:pPr>
        <w:rPr>
          <w:sz w:val="20"/>
          <w:szCs w:val="20"/>
        </w:rPr>
      </w:pPr>
    </w:p>
    <w:p w14:paraId="281A2216" w14:textId="77777777" w:rsidR="004647B9" w:rsidRDefault="004647B9" w:rsidP="00931F8F">
      <w:pPr>
        <w:rPr>
          <w:sz w:val="20"/>
          <w:szCs w:val="20"/>
        </w:rPr>
      </w:pPr>
    </w:p>
    <w:p w14:paraId="281A2217" w14:textId="77777777" w:rsidR="004647B9" w:rsidRPr="003B4234" w:rsidRDefault="00E2436F" w:rsidP="00931F8F">
      <w:pPr>
        <w:tabs>
          <w:tab w:val="left" w:pos="940"/>
        </w:tabs>
        <w:rPr>
          <w:sz w:val="24"/>
          <w:szCs w:val="24"/>
        </w:rPr>
      </w:pPr>
      <w:r w:rsidRPr="003B4234">
        <w:rPr>
          <w:rFonts w:eastAsia="Times New Roman"/>
          <w:sz w:val="24"/>
          <w:szCs w:val="24"/>
        </w:rPr>
        <w:t>22.16A:</w:t>
      </w:r>
      <w:r w:rsidRPr="003B4234">
        <w:rPr>
          <w:sz w:val="24"/>
          <w:szCs w:val="24"/>
        </w:rPr>
        <w:tab/>
      </w:r>
      <w:r w:rsidRPr="003B4234">
        <w:rPr>
          <w:rFonts w:eastAsia="Times New Roman"/>
          <w:sz w:val="24"/>
          <w:szCs w:val="24"/>
        </w:rPr>
        <w:t>continued</w:t>
      </w:r>
    </w:p>
    <w:p w14:paraId="281A2218" w14:textId="77777777" w:rsidR="004647B9" w:rsidRPr="00931F8F" w:rsidRDefault="004647B9" w:rsidP="00931F8F">
      <w:pPr>
        <w:rPr>
          <w:sz w:val="20"/>
          <w:szCs w:val="20"/>
        </w:rPr>
      </w:pPr>
    </w:p>
    <w:p w14:paraId="281A2219" w14:textId="77777777" w:rsidR="004647B9" w:rsidRPr="003B4234" w:rsidRDefault="00E2436F" w:rsidP="00931F8F">
      <w:pPr>
        <w:numPr>
          <w:ilvl w:val="0"/>
          <w:numId w:val="543"/>
        </w:numPr>
        <w:tabs>
          <w:tab w:val="left" w:pos="1980"/>
        </w:tabs>
        <w:ind w:left="1980" w:hanging="425"/>
        <w:rPr>
          <w:rFonts w:eastAsia="Times New Roman"/>
          <w:sz w:val="24"/>
          <w:szCs w:val="24"/>
        </w:rPr>
      </w:pPr>
      <w:r w:rsidRPr="003B4234">
        <w:rPr>
          <w:rFonts w:eastAsia="Times New Roman"/>
          <w:sz w:val="24"/>
          <w:szCs w:val="24"/>
          <w:u w:val="single"/>
        </w:rPr>
        <w:t>Systems Required to Comply with the Revised Total Coliform Rule (310 CMR 22.05)</w:t>
      </w:r>
      <w:r w:rsidRPr="003B4234">
        <w:rPr>
          <w:rFonts w:eastAsia="Times New Roman"/>
          <w:sz w:val="24"/>
          <w:szCs w:val="24"/>
        </w:rPr>
        <w:t>.</w:t>
      </w:r>
    </w:p>
    <w:p w14:paraId="281A221B" w14:textId="77777777" w:rsidR="004647B9" w:rsidRPr="003B4234" w:rsidRDefault="00E2436F" w:rsidP="00931F8F">
      <w:pPr>
        <w:numPr>
          <w:ilvl w:val="1"/>
          <w:numId w:val="543"/>
        </w:numPr>
        <w:tabs>
          <w:tab w:val="left" w:pos="2359"/>
        </w:tabs>
        <w:ind w:left="1920" w:hanging="5"/>
        <w:jc w:val="both"/>
        <w:rPr>
          <w:rFonts w:eastAsia="Times New Roman"/>
          <w:sz w:val="24"/>
          <w:szCs w:val="24"/>
        </w:rPr>
      </w:pPr>
      <w:r w:rsidRPr="003B4234">
        <w:rPr>
          <w:rFonts w:eastAsia="Times New Roman"/>
          <w:sz w:val="24"/>
          <w:szCs w:val="24"/>
        </w:rPr>
        <w:t xml:space="preserve">Any Supplier of Water required to perform a Level 1 Assessment or a Level 2 Assessment that is not due to an </w:t>
      </w:r>
      <w:r w:rsidRPr="003B4234">
        <w:rPr>
          <w:rFonts w:eastAsia="Times New Roman"/>
          <w:i/>
          <w:iCs/>
          <w:sz w:val="24"/>
          <w:szCs w:val="24"/>
        </w:rPr>
        <w:t>E. coli</w:t>
      </w:r>
      <w:r w:rsidRPr="003B4234">
        <w:rPr>
          <w:rFonts w:eastAsia="Times New Roman"/>
          <w:sz w:val="24"/>
          <w:szCs w:val="24"/>
        </w:rPr>
        <w:t xml:space="preserve"> MCL violation shall include in the report the language provided in 310 CMR 22.16A(8)(h)1.a.; and as appropriate 310 CMR 22.16A(8)(h)1.b. and c., inserting the appropriate information where indicated; and the language provided in 310 CMR 22.16A(8)(h)1.d.i. and ii., if appropriate.</w:t>
      </w:r>
    </w:p>
    <w:p w14:paraId="281A221D" w14:textId="77777777" w:rsidR="004647B9" w:rsidRPr="003B4234" w:rsidRDefault="00E2436F" w:rsidP="00931F8F">
      <w:pPr>
        <w:numPr>
          <w:ilvl w:val="2"/>
          <w:numId w:val="543"/>
        </w:numPr>
        <w:tabs>
          <w:tab w:val="left" w:pos="2599"/>
        </w:tabs>
        <w:ind w:left="2280" w:hanging="5"/>
        <w:jc w:val="both"/>
        <w:rPr>
          <w:rFonts w:eastAsia="Times New Roman"/>
          <w:sz w:val="24"/>
          <w:szCs w:val="24"/>
        </w:rPr>
      </w:pPr>
      <w:r w:rsidRPr="003B4234">
        <w:rPr>
          <w:rFonts w:eastAsia="Times New Roman"/>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81A221E" w14:textId="77777777" w:rsidR="004647B9" w:rsidRPr="003B4234" w:rsidRDefault="00E2436F" w:rsidP="00931F8F">
      <w:pPr>
        <w:numPr>
          <w:ilvl w:val="2"/>
          <w:numId w:val="543"/>
        </w:numPr>
        <w:tabs>
          <w:tab w:val="left" w:pos="2726"/>
        </w:tabs>
        <w:ind w:left="2280" w:hanging="5"/>
        <w:jc w:val="both"/>
        <w:rPr>
          <w:rFonts w:eastAsia="Times New Roman"/>
          <w:sz w:val="24"/>
          <w:szCs w:val="24"/>
        </w:rPr>
      </w:pPr>
      <w:r w:rsidRPr="003B4234">
        <w:rPr>
          <w:rFonts w:eastAsia="Times New Roman"/>
          <w:sz w:val="24"/>
          <w:szCs w:val="24"/>
        </w:rPr>
        <w:t>During the past year we were required to conduct [INSERT NUMBER OF LEVEL 1 ASSESSMENTS] Level 1 assessment(s). [INSERT NUMBER OF LEVEL 1 ASSESSMENTS] Level 1 assessment(s) were completed. In addition, we were required to take [INSERT NUMBER OF CORRECTIVE ACTIONS] corrective actions and we completed [INSERT NUMBER OF CORRECTIVE ACTIONS] of these actions.</w:t>
      </w:r>
    </w:p>
    <w:p w14:paraId="281A2220" w14:textId="77777777" w:rsidR="004647B9" w:rsidRPr="003B4234" w:rsidRDefault="00E2436F" w:rsidP="00931F8F">
      <w:pPr>
        <w:numPr>
          <w:ilvl w:val="2"/>
          <w:numId w:val="543"/>
        </w:numPr>
        <w:tabs>
          <w:tab w:val="left" w:pos="2728"/>
        </w:tabs>
        <w:ind w:left="2280" w:hanging="5"/>
        <w:jc w:val="both"/>
        <w:rPr>
          <w:rFonts w:eastAsia="Times New Roman"/>
          <w:sz w:val="24"/>
          <w:szCs w:val="24"/>
        </w:rPr>
      </w:pPr>
      <w:r w:rsidRPr="003B4234">
        <w:rPr>
          <w:rFonts w:eastAsia="Times New Roman"/>
          <w:sz w:val="24"/>
          <w:szCs w:val="24"/>
        </w:rPr>
        <w:t>During the past year [INSERT NUMBER OF LEVEL 2 ASSESSMENTS] Level 2 assessments were required to be completed for our water system. [INSERT NUMBER OF LEVEL 2 ASSESSMENTS] Level 2 assessments were completed. In addition, we were required to take [INSERT NUMBER OF CORRECTIVE ACTIONS] corrective actions and we completed [INSERT NUMBER OF CORRECTIVE ACTIONS] of these actions.</w:t>
      </w:r>
    </w:p>
    <w:p w14:paraId="281A2222" w14:textId="77777777" w:rsidR="004647B9" w:rsidRPr="003B4234" w:rsidRDefault="00E2436F" w:rsidP="00931F8F">
      <w:pPr>
        <w:numPr>
          <w:ilvl w:val="2"/>
          <w:numId w:val="543"/>
        </w:numPr>
        <w:tabs>
          <w:tab w:val="left" w:pos="2604"/>
        </w:tabs>
        <w:ind w:left="2280" w:hanging="5"/>
        <w:jc w:val="both"/>
        <w:rPr>
          <w:rFonts w:eastAsia="Times New Roman"/>
          <w:sz w:val="24"/>
          <w:szCs w:val="24"/>
        </w:rPr>
      </w:pPr>
      <w:r w:rsidRPr="003B4234">
        <w:rPr>
          <w:rFonts w:eastAsia="Times New Roman"/>
          <w:sz w:val="24"/>
          <w:szCs w:val="24"/>
        </w:rPr>
        <w:t>Any Supplier of Water that has failed to complete all the required assessments or correct all identified Sanitary Defects, is in violation of the Treatment Technique requirement and must also include one or both of the following statements, as appropriate:</w:t>
      </w:r>
    </w:p>
    <w:p w14:paraId="281A2223" w14:textId="77777777" w:rsidR="004647B9" w:rsidRPr="003B4234" w:rsidRDefault="00E2436F" w:rsidP="00931F8F">
      <w:pPr>
        <w:numPr>
          <w:ilvl w:val="3"/>
          <w:numId w:val="543"/>
        </w:numPr>
        <w:tabs>
          <w:tab w:val="left" w:pos="2940"/>
        </w:tabs>
        <w:ind w:left="2940" w:hanging="305"/>
        <w:rPr>
          <w:rFonts w:eastAsia="Times New Roman"/>
          <w:sz w:val="24"/>
          <w:szCs w:val="24"/>
        </w:rPr>
      </w:pPr>
      <w:r w:rsidRPr="003B4234">
        <w:rPr>
          <w:rFonts w:eastAsia="Times New Roman"/>
          <w:sz w:val="24"/>
          <w:szCs w:val="24"/>
        </w:rPr>
        <w:t>During the past year we failed to conduct all of the required assessment(s).</w:t>
      </w:r>
    </w:p>
    <w:p w14:paraId="281A2225" w14:textId="77777777" w:rsidR="004647B9" w:rsidRPr="00EF0AB6" w:rsidRDefault="00E2436F" w:rsidP="00931F8F">
      <w:pPr>
        <w:numPr>
          <w:ilvl w:val="3"/>
          <w:numId w:val="543"/>
        </w:numPr>
        <w:tabs>
          <w:tab w:val="left" w:pos="2966"/>
        </w:tabs>
        <w:ind w:left="2640" w:hanging="5"/>
        <w:rPr>
          <w:rFonts w:eastAsia="Times New Roman"/>
          <w:sz w:val="24"/>
          <w:szCs w:val="24"/>
        </w:rPr>
      </w:pPr>
      <w:r w:rsidRPr="003B4234">
        <w:rPr>
          <w:rFonts w:eastAsia="Times New Roman"/>
          <w:sz w:val="24"/>
          <w:szCs w:val="24"/>
        </w:rPr>
        <w:t>During the past year we failed to correct all identified defects that were</w:t>
      </w:r>
      <w:r w:rsidRPr="00EF0AB6">
        <w:rPr>
          <w:rFonts w:eastAsia="Times New Roman"/>
          <w:sz w:val="24"/>
          <w:szCs w:val="24"/>
        </w:rPr>
        <w:t xml:space="preserve"> found during the assessment.</w:t>
      </w:r>
    </w:p>
    <w:p w14:paraId="281A2226" w14:textId="381B9913" w:rsidR="004647B9" w:rsidRPr="00EF0AB6" w:rsidRDefault="00E2436F" w:rsidP="00931F8F">
      <w:pPr>
        <w:numPr>
          <w:ilvl w:val="1"/>
          <w:numId w:val="543"/>
        </w:numPr>
        <w:tabs>
          <w:tab w:val="left" w:pos="2280"/>
        </w:tabs>
        <w:ind w:left="1915"/>
        <w:rPr>
          <w:rFonts w:eastAsia="Times New Roman"/>
          <w:sz w:val="24"/>
          <w:szCs w:val="24"/>
        </w:rPr>
      </w:pPr>
      <w:r w:rsidRPr="00EF0AB6">
        <w:rPr>
          <w:rFonts w:eastAsia="Times New Roman"/>
          <w:sz w:val="24"/>
          <w:szCs w:val="24"/>
        </w:rPr>
        <w:t xml:space="preserve">Any Supplier of Water required to perform a Level 2 Assessment due to an </w:t>
      </w:r>
      <w:r w:rsidRPr="00EF0AB6">
        <w:rPr>
          <w:rFonts w:eastAsia="Times New Roman"/>
          <w:i/>
          <w:iCs/>
          <w:sz w:val="24"/>
          <w:szCs w:val="24"/>
        </w:rPr>
        <w:t>E. coli</w:t>
      </w:r>
      <w:r w:rsidR="00931F8F">
        <w:rPr>
          <w:rFonts w:eastAsia="Times New Roman"/>
          <w:i/>
          <w:iCs/>
          <w:sz w:val="24"/>
          <w:szCs w:val="24"/>
        </w:rPr>
        <w:t xml:space="preserve"> </w:t>
      </w:r>
      <w:r w:rsidR="00931F8F" w:rsidRPr="00EF0AB6">
        <w:rPr>
          <w:rFonts w:eastAsia="Times New Roman"/>
          <w:sz w:val="24"/>
          <w:szCs w:val="24"/>
        </w:rPr>
        <w:t>MCL violation shall include in the report the language provided in 310 CMR 22.16A(8)(h)2.a. and b., inserting the appropriate information where indicated; and the language provided in 310 CMR 22.16A(8)(h)2.c.i. and ii., if appropriate</w:t>
      </w:r>
    </w:p>
    <w:p w14:paraId="281A222A" w14:textId="77777777" w:rsidR="004647B9" w:rsidRPr="00EF0AB6" w:rsidRDefault="00E2436F" w:rsidP="00931F8F">
      <w:pPr>
        <w:numPr>
          <w:ilvl w:val="1"/>
          <w:numId w:val="544"/>
        </w:numPr>
        <w:tabs>
          <w:tab w:val="left" w:pos="2592"/>
        </w:tabs>
        <w:ind w:left="2280" w:hanging="5"/>
        <w:jc w:val="both"/>
        <w:rPr>
          <w:rFonts w:eastAsia="Times New Roman"/>
          <w:sz w:val="24"/>
          <w:szCs w:val="24"/>
        </w:rPr>
      </w:pPr>
      <w:r w:rsidRPr="00EF0AB6">
        <w:rPr>
          <w:rFonts w:eastAsia="Times New Roman"/>
          <w:i/>
          <w:iCs/>
          <w:sz w:val="24"/>
          <w:szCs w:val="24"/>
        </w:rPr>
        <w:t xml:space="preserve">E. coli </w:t>
      </w:r>
      <w:r w:rsidRPr="00EF0AB6">
        <w:rPr>
          <w:rFonts w:eastAsia="Times New Roman"/>
          <w:sz w:val="24"/>
          <w:szCs w:val="24"/>
        </w:rPr>
        <w:t>are bacteria whose presence indicates that the water may be contaminated</w:t>
      </w:r>
      <w:r w:rsidRPr="00EF0AB6">
        <w:rPr>
          <w:rFonts w:eastAsia="Times New Roman"/>
          <w:i/>
          <w:iCs/>
          <w:sz w:val="24"/>
          <w:szCs w:val="24"/>
        </w:rPr>
        <w:t xml:space="preserve"> </w:t>
      </w:r>
      <w:r w:rsidRPr="00EF0AB6">
        <w:rPr>
          <w:rFonts w:eastAsia="Times New Roman"/>
          <w:sz w:val="24"/>
          <w:szCs w:val="24"/>
        </w:rPr>
        <w:t xml:space="preserve">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EF0AB6">
        <w:rPr>
          <w:rFonts w:eastAsia="Times New Roman"/>
          <w:i/>
          <w:iCs/>
          <w:sz w:val="24"/>
          <w:szCs w:val="24"/>
        </w:rPr>
        <w:t>E. coli</w:t>
      </w:r>
      <w:r w:rsidRPr="00EF0AB6">
        <w:rPr>
          <w:rFonts w:eastAsia="Times New Roman"/>
          <w:sz w:val="24"/>
          <w:szCs w:val="24"/>
        </w:rPr>
        <w:t xml:space="preserve"> bacteria, indicating the need to look for potential problems in water treatment or distribution. When this occurs, we are required to conduct assessment(s) to identify problems and to correct any problems that were found during these assessments.</w:t>
      </w:r>
    </w:p>
    <w:p w14:paraId="281A222C" w14:textId="77777777" w:rsidR="004647B9" w:rsidRPr="00EF0AB6" w:rsidRDefault="00E2436F" w:rsidP="00931F8F">
      <w:pPr>
        <w:numPr>
          <w:ilvl w:val="1"/>
          <w:numId w:val="544"/>
        </w:numPr>
        <w:tabs>
          <w:tab w:val="left" w:pos="2618"/>
        </w:tabs>
        <w:ind w:left="2280" w:hanging="5"/>
        <w:jc w:val="both"/>
        <w:rPr>
          <w:rFonts w:eastAsia="Times New Roman"/>
          <w:sz w:val="24"/>
          <w:szCs w:val="24"/>
        </w:rPr>
      </w:pPr>
      <w:r w:rsidRPr="00EF0AB6">
        <w:rPr>
          <w:rFonts w:eastAsia="Times New Roman"/>
          <w:sz w:val="24"/>
          <w:szCs w:val="24"/>
        </w:rPr>
        <w:t xml:space="preserve">We were required to complete a Level 2 assessment because we found </w:t>
      </w:r>
      <w:r w:rsidRPr="00EF0AB6">
        <w:rPr>
          <w:rFonts w:eastAsia="Times New Roman"/>
          <w:i/>
          <w:iCs/>
          <w:sz w:val="24"/>
          <w:szCs w:val="24"/>
        </w:rPr>
        <w:t>E. coli</w:t>
      </w:r>
      <w:r w:rsidRPr="00EF0AB6">
        <w:rPr>
          <w:rFonts w:eastAsia="Times New Roman"/>
          <w:sz w:val="24"/>
          <w:szCs w:val="24"/>
        </w:rPr>
        <w:t xml:space="preserve"> in our water system. In addition, we were required to take [INSERT NUMBER OF CORRECTIVE ACTIONS] corrective actions and we completed [INSERT NUMBER OF CORRECTIVE ACTIONS] of these actions.</w:t>
      </w:r>
    </w:p>
    <w:p w14:paraId="281A222D" w14:textId="77777777" w:rsidR="004647B9" w:rsidRPr="00EF0AB6" w:rsidRDefault="00E2436F" w:rsidP="00931F8F">
      <w:pPr>
        <w:numPr>
          <w:ilvl w:val="1"/>
          <w:numId w:val="544"/>
        </w:numPr>
        <w:tabs>
          <w:tab w:val="left" w:pos="2675"/>
        </w:tabs>
        <w:ind w:left="2280" w:hanging="5"/>
        <w:jc w:val="both"/>
        <w:rPr>
          <w:rFonts w:eastAsia="Times New Roman"/>
          <w:sz w:val="24"/>
          <w:szCs w:val="24"/>
        </w:rPr>
      </w:pPr>
      <w:r w:rsidRPr="00EF0AB6">
        <w:rPr>
          <w:rFonts w:eastAsia="Times New Roman"/>
          <w:sz w:val="24"/>
          <w:szCs w:val="24"/>
        </w:rPr>
        <w:t>Any Supplier of Water that has failed to complete the required assessment or correct all identified Sanitary Defects, is in violation of the Treatment Technique requirement and shall also include one or both of the following statements, as appropriate:</w:t>
      </w:r>
    </w:p>
    <w:p w14:paraId="281A222E" w14:textId="77777777" w:rsidR="004647B9" w:rsidRPr="00EF0AB6" w:rsidRDefault="00E2436F" w:rsidP="00931F8F">
      <w:pPr>
        <w:numPr>
          <w:ilvl w:val="2"/>
          <w:numId w:val="544"/>
        </w:numPr>
        <w:tabs>
          <w:tab w:val="left" w:pos="2940"/>
        </w:tabs>
        <w:ind w:left="2940" w:hanging="305"/>
        <w:rPr>
          <w:rFonts w:eastAsia="Times New Roman"/>
          <w:sz w:val="24"/>
          <w:szCs w:val="24"/>
        </w:rPr>
      </w:pPr>
      <w:r w:rsidRPr="00EF0AB6">
        <w:rPr>
          <w:rFonts w:eastAsia="Times New Roman"/>
          <w:sz w:val="24"/>
          <w:szCs w:val="24"/>
        </w:rPr>
        <w:t>We failed to conduct the required assessment.</w:t>
      </w:r>
    </w:p>
    <w:p w14:paraId="281A2230" w14:textId="77777777" w:rsidR="004647B9" w:rsidRPr="00EF0AB6" w:rsidRDefault="00E2436F" w:rsidP="00B86D28">
      <w:pPr>
        <w:numPr>
          <w:ilvl w:val="2"/>
          <w:numId w:val="544"/>
        </w:numPr>
        <w:tabs>
          <w:tab w:val="left" w:pos="2938"/>
        </w:tabs>
        <w:ind w:left="2640" w:hanging="5"/>
        <w:rPr>
          <w:rFonts w:eastAsia="Times New Roman"/>
          <w:sz w:val="24"/>
          <w:szCs w:val="24"/>
        </w:rPr>
      </w:pPr>
      <w:r w:rsidRPr="00EF0AB6">
        <w:rPr>
          <w:rFonts w:eastAsia="Times New Roman"/>
          <w:sz w:val="24"/>
          <w:szCs w:val="24"/>
        </w:rPr>
        <w:t>We failed to correct all sanitary defects that were identified during the assessment that we conducted.</w:t>
      </w:r>
    </w:p>
    <w:p w14:paraId="281A2231" w14:textId="77777777" w:rsidR="004647B9" w:rsidRPr="00EF0AB6" w:rsidRDefault="00E2436F" w:rsidP="00931F8F">
      <w:pPr>
        <w:numPr>
          <w:ilvl w:val="0"/>
          <w:numId w:val="545"/>
        </w:numPr>
        <w:tabs>
          <w:tab w:val="left" w:pos="2338"/>
        </w:tabs>
        <w:ind w:left="1920" w:hanging="5"/>
        <w:jc w:val="both"/>
        <w:rPr>
          <w:rFonts w:eastAsia="Times New Roman"/>
          <w:sz w:val="24"/>
          <w:szCs w:val="24"/>
        </w:rPr>
      </w:pPr>
      <w:r w:rsidRPr="00EF0AB6">
        <w:rPr>
          <w:rFonts w:eastAsia="Times New Roman"/>
          <w:sz w:val="24"/>
          <w:szCs w:val="24"/>
        </w:rPr>
        <w:t xml:space="preserve">If a Supplier of Water detects </w:t>
      </w:r>
      <w:r w:rsidRPr="00EF0AB6">
        <w:rPr>
          <w:rFonts w:eastAsia="Times New Roman"/>
          <w:i/>
          <w:iCs/>
          <w:sz w:val="24"/>
          <w:szCs w:val="24"/>
        </w:rPr>
        <w:t>E. coli</w:t>
      </w:r>
      <w:r w:rsidRPr="00EF0AB6">
        <w:rPr>
          <w:rFonts w:eastAsia="Times New Roman"/>
          <w:sz w:val="24"/>
          <w:szCs w:val="24"/>
        </w:rPr>
        <w:t xml:space="preserve"> and has violated the </w:t>
      </w:r>
      <w:r w:rsidRPr="00EF0AB6">
        <w:rPr>
          <w:rFonts w:eastAsia="Times New Roman"/>
          <w:i/>
          <w:iCs/>
          <w:sz w:val="24"/>
          <w:szCs w:val="24"/>
        </w:rPr>
        <w:t>E. coli</w:t>
      </w:r>
      <w:r w:rsidRPr="00EF0AB6">
        <w:rPr>
          <w:rFonts w:eastAsia="Times New Roman"/>
          <w:sz w:val="24"/>
          <w:szCs w:val="24"/>
        </w:rPr>
        <w:t xml:space="preserve"> MCL, then in addition to completing the table as required in 310 CMR 22.16A(4)(i)4., the Supplier of Water shall also include one or more of the following statements to describe any noncompliance, as applicable:</w:t>
      </w:r>
    </w:p>
    <w:p w14:paraId="281A2232" w14:textId="77777777" w:rsidR="004647B9" w:rsidRDefault="004647B9" w:rsidP="00931F8F">
      <w:pPr>
        <w:sectPr w:rsidR="004647B9" w:rsidSect="00EF630C">
          <w:pgSz w:w="12240" w:h="20180"/>
          <w:pgMar w:top="708" w:right="1440" w:bottom="1006" w:left="600" w:header="0" w:footer="0" w:gutter="0"/>
          <w:cols w:space="720"/>
        </w:sectPr>
      </w:pPr>
    </w:p>
    <w:p w14:paraId="281A2233" w14:textId="77777777" w:rsidR="004647B9" w:rsidRDefault="00E2436F">
      <w:pPr>
        <w:tabs>
          <w:tab w:val="left" w:pos="160"/>
        </w:tabs>
        <w:jc w:val="center"/>
        <w:rPr>
          <w:sz w:val="20"/>
          <w:szCs w:val="20"/>
        </w:rPr>
      </w:pPr>
      <w:bookmarkStart w:id="215" w:name="page217"/>
      <w:bookmarkEnd w:id="21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234" w14:textId="77777777" w:rsidR="004647B9" w:rsidRDefault="004647B9" w:rsidP="00931F8F">
      <w:pPr>
        <w:rPr>
          <w:sz w:val="20"/>
          <w:szCs w:val="20"/>
        </w:rPr>
      </w:pPr>
    </w:p>
    <w:p w14:paraId="281A2235" w14:textId="77777777" w:rsidR="004647B9" w:rsidRDefault="004647B9" w:rsidP="00931F8F">
      <w:pPr>
        <w:rPr>
          <w:sz w:val="20"/>
          <w:szCs w:val="20"/>
        </w:rPr>
      </w:pPr>
    </w:p>
    <w:p w14:paraId="281A2236" w14:textId="77777777" w:rsidR="004647B9" w:rsidRPr="00230D9F" w:rsidRDefault="00E2436F" w:rsidP="00931F8F">
      <w:pPr>
        <w:tabs>
          <w:tab w:val="left" w:pos="940"/>
        </w:tabs>
        <w:rPr>
          <w:sz w:val="24"/>
          <w:szCs w:val="24"/>
        </w:rPr>
      </w:pPr>
      <w:r w:rsidRPr="00230D9F">
        <w:rPr>
          <w:rFonts w:eastAsia="Times New Roman"/>
          <w:sz w:val="24"/>
          <w:szCs w:val="24"/>
        </w:rPr>
        <w:t>22.16A:</w:t>
      </w:r>
      <w:r w:rsidRPr="00230D9F">
        <w:rPr>
          <w:sz w:val="24"/>
          <w:szCs w:val="24"/>
        </w:rPr>
        <w:tab/>
      </w:r>
      <w:r w:rsidRPr="00230D9F">
        <w:rPr>
          <w:rFonts w:eastAsia="Times New Roman"/>
          <w:sz w:val="24"/>
          <w:szCs w:val="24"/>
        </w:rPr>
        <w:t>continued</w:t>
      </w:r>
    </w:p>
    <w:p w14:paraId="281A2237" w14:textId="77777777" w:rsidR="004647B9" w:rsidRDefault="004647B9" w:rsidP="00931F8F">
      <w:pPr>
        <w:rPr>
          <w:sz w:val="20"/>
          <w:szCs w:val="20"/>
        </w:rPr>
      </w:pPr>
    </w:p>
    <w:p w14:paraId="281A2238" w14:textId="77777777" w:rsidR="004647B9" w:rsidRDefault="00E2436F" w:rsidP="00931F8F">
      <w:pPr>
        <w:numPr>
          <w:ilvl w:val="1"/>
          <w:numId w:val="546"/>
        </w:numPr>
        <w:tabs>
          <w:tab w:val="left" w:pos="2670"/>
        </w:tabs>
        <w:ind w:left="2280" w:hanging="5"/>
        <w:rPr>
          <w:rFonts w:eastAsia="Times New Roman"/>
          <w:sz w:val="24"/>
          <w:szCs w:val="24"/>
        </w:rPr>
      </w:pPr>
      <w:r>
        <w:rPr>
          <w:rFonts w:eastAsia="Times New Roman"/>
          <w:sz w:val="24"/>
          <w:szCs w:val="24"/>
        </w:rPr>
        <w:t xml:space="preserve">We had an </w:t>
      </w:r>
      <w:r>
        <w:rPr>
          <w:rFonts w:eastAsia="Times New Roman"/>
          <w:i/>
          <w:iCs/>
          <w:sz w:val="24"/>
          <w:szCs w:val="24"/>
        </w:rPr>
        <w:t>E. coli</w:t>
      </w:r>
      <w:r>
        <w:rPr>
          <w:rFonts w:eastAsia="Times New Roman"/>
          <w:sz w:val="24"/>
          <w:szCs w:val="24"/>
        </w:rPr>
        <w:t>-positive repeat sample following a total coliform- positive routine sample.</w:t>
      </w:r>
    </w:p>
    <w:p w14:paraId="281A223A" w14:textId="77777777" w:rsidR="004647B9" w:rsidRDefault="00E2436F" w:rsidP="00931F8F">
      <w:pPr>
        <w:numPr>
          <w:ilvl w:val="1"/>
          <w:numId w:val="546"/>
        </w:numPr>
        <w:tabs>
          <w:tab w:val="left" w:pos="2698"/>
        </w:tabs>
        <w:ind w:left="2280" w:hanging="5"/>
        <w:rPr>
          <w:rFonts w:eastAsia="Times New Roman"/>
          <w:sz w:val="24"/>
          <w:szCs w:val="24"/>
        </w:rPr>
      </w:pPr>
      <w:r>
        <w:rPr>
          <w:rFonts w:eastAsia="Times New Roman"/>
          <w:sz w:val="24"/>
          <w:szCs w:val="24"/>
        </w:rPr>
        <w:t xml:space="preserve">We had a total coliform-positive repeat sample following an </w:t>
      </w:r>
      <w:r>
        <w:rPr>
          <w:rFonts w:eastAsia="Times New Roman"/>
          <w:i/>
          <w:iCs/>
          <w:sz w:val="24"/>
          <w:szCs w:val="24"/>
        </w:rPr>
        <w:t>E. coli</w:t>
      </w:r>
      <w:r>
        <w:rPr>
          <w:rFonts w:eastAsia="Times New Roman"/>
          <w:sz w:val="24"/>
          <w:szCs w:val="24"/>
        </w:rPr>
        <w:t>-positive routine sample.</w:t>
      </w:r>
    </w:p>
    <w:p w14:paraId="281A223B" w14:textId="77777777" w:rsidR="004647B9" w:rsidRDefault="00E2436F" w:rsidP="00931F8F">
      <w:pPr>
        <w:numPr>
          <w:ilvl w:val="1"/>
          <w:numId w:val="546"/>
        </w:numPr>
        <w:tabs>
          <w:tab w:val="left" w:pos="2576"/>
        </w:tabs>
        <w:ind w:left="2280" w:hanging="5"/>
        <w:rPr>
          <w:rFonts w:eastAsia="Times New Roman"/>
          <w:sz w:val="24"/>
          <w:szCs w:val="24"/>
        </w:rPr>
      </w:pPr>
      <w:r>
        <w:rPr>
          <w:rFonts w:eastAsia="Times New Roman"/>
          <w:sz w:val="24"/>
          <w:szCs w:val="24"/>
        </w:rPr>
        <w:t xml:space="preserve">We failed to take all required repeat samples following an </w:t>
      </w:r>
      <w:r>
        <w:rPr>
          <w:rFonts w:eastAsia="Times New Roman"/>
          <w:i/>
          <w:iCs/>
          <w:sz w:val="24"/>
          <w:szCs w:val="24"/>
        </w:rPr>
        <w:t>E. coli</w:t>
      </w:r>
      <w:r>
        <w:rPr>
          <w:rFonts w:eastAsia="Times New Roman"/>
          <w:sz w:val="24"/>
          <w:szCs w:val="24"/>
        </w:rPr>
        <w:t>-positive routine sample.</w:t>
      </w:r>
    </w:p>
    <w:p w14:paraId="281A223C" w14:textId="77777777" w:rsidR="004647B9" w:rsidRDefault="00E2436F" w:rsidP="00931F8F">
      <w:pPr>
        <w:numPr>
          <w:ilvl w:val="1"/>
          <w:numId w:val="546"/>
        </w:numPr>
        <w:tabs>
          <w:tab w:val="left" w:pos="2719"/>
        </w:tabs>
        <w:ind w:left="2280" w:hanging="5"/>
        <w:rPr>
          <w:rFonts w:eastAsia="Times New Roman"/>
          <w:sz w:val="24"/>
          <w:szCs w:val="24"/>
        </w:rPr>
      </w:pPr>
      <w:r>
        <w:rPr>
          <w:rFonts w:eastAsia="Times New Roman"/>
          <w:sz w:val="24"/>
          <w:szCs w:val="24"/>
        </w:rPr>
        <w:t xml:space="preserve">We failed to test for </w:t>
      </w:r>
      <w:r>
        <w:rPr>
          <w:rFonts w:eastAsia="Times New Roman"/>
          <w:i/>
          <w:iCs/>
          <w:sz w:val="24"/>
          <w:szCs w:val="24"/>
        </w:rPr>
        <w:t>E. coli</w:t>
      </w:r>
      <w:r>
        <w:rPr>
          <w:rFonts w:eastAsia="Times New Roman"/>
          <w:sz w:val="24"/>
          <w:szCs w:val="24"/>
        </w:rPr>
        <w:t xml:space="preserve"> when any repeat sample tests positive for total coliform.</w:t>
      </w:r>
    </w:p>
    <w:p w14:paraId="281A223D" w14:textId="77777777" w:rsidR="004647B9" w:rsidRPr="00230D9F" w:rsidRDefault="00E2436F" w:rsidP="00931F8F">
      <w:pPr>
        <w:numPr>
          <w:ilvl w:val="0"/>
          <w:numId w:val="547"/>
        </w:numPr>
        <w:tabs>
          <w:tab w:val="left" w:pos="2359"/>
        </w:tabs>
        <w:ind w:left="1920" w:hanging="5"/>
        <w:jc w:val="both"/>
        <w:rPr>
          <w:rFonts w:eastAsia="Times New Roman"/>
          <w:sz w:val="24"/>
          <w:szCs w:val="24"/>
        </w:rPr>
      </w:pPr>
      <w:r>
        <w:rPr>
          <w:rFonts w:eastAsia="Times New Roman"/>
          <w:sz w:val="24"/>
          <w:szCs w:val="24"/>
        </w:rPr>
        <w:t xml:space="preserve">If a Supplier of Water detects </w:t>
      </w:r>
      <w:r>
        <w:rPr>
          <w:rFonts w:eastAsia="Times New Roman"/>
          <w:i/>
          <w:iCs/>
          <w:sz w:val="24"/>
          <w:szCs w:val="24"/>
        </w:rPr>
        <w:t>E. coli</w:t>
      </w:r>
      <w:r>
        <w:rPr>
          <w:rFonts w:eastAsia="Times New Roman"/>
          <w:sz w:val="24"/>
          <w:szCs w:val="24"/>
        </w:rPr>
        <w:t xml:space="preserve"> and has not violated the </w:t>
      </w:r>
      <w:r>
        <w:rPr>
          <w:rFonts w:eastAsia="Times New Roman"/>
          <w:i/>
          <w:iCs/>
          <w:sz w:val="24"/>
          <w:szCs w:val="24"/>
        </w:rPr>
        <w:t>E. coli</w:t>
      </w:r>
      <w:r>
        <w:rPr>
          <w:rFonts w:eastAsia="Times New Roman"/>
          <w:sz w:val="24"/>
          <w:szCs w:val="24"/>
        </w:rPr>
        <w:t xml:space="preserve"> MCL, in addition to completing the table as required in 310 CMR 22.16A(4)(i)4., the Supplier of Water may include a statement that explains that although they have detected </w:t>
      </w:r>
      <w:r>
        <w:rPr>
          <w:rFonts w:eastAsia="Times New Roman"/>
          <w:i/>
          <w:iCs/>
          <w:sz w:val="24"/>
          <w:szCs w:val="24"/>
        </w:rPr>
        <w:t>E. coli</w:t>
      </w:r>
      <w:r>
        <w:rPr>
          <w:rFonts w:eastAsia="Times New Roman"/>
          <w:sz w:val="24"/>
          <w:szCs w:val="24"/>
        </w:rPr>
        <w:t xml:space="preserve">, </w:t>
      </w:r>
      <w:r w:rsidRPr="00230D9F">
        <w:rPr>
          <w:rFonts w:eastAsia="Times New Roman"/>
          <w:sz w:val="24"/>
          <w:szCs w:val="24"/>
        </w:rPr>
        <w:t xml:space="preserve">they are not in violation of the </w:t>
      </w:r>
      <w:r w:rsidRPr="00230D9F">
        <w:rPr>
          <w:rFonts w:eastAsia="Times New Roman"/>
          <w:i/>
          <w:iCs/>
          <w:sz w:val="24"/>
          <w:szCs w:val="24"/>
        </w:rPr>
        <w:t>E. coli</w:t>
      </w:r>
      <w:r w:rsidRPr="00230D9F">
        <w:rPr>
          <w:rFonts w:eastAsia="Times New Roman"/>
          <w:sz w:val="24"/>
          <w:szCs w:val="24"/>
        </w:rPr>
        <w:t xml:space="preserve"> MCL.</w:t>
      </w:r>
    </w:p>
    <w:p w14:paraId="281A223E" w14:textId="77777777" w:rsidR="004647B9" w:rsidRPr="00230D9F" w:rsidRDefault="004647B9" w:rsidP="00931F8F">
      <w:pPr>
        <w:rPr>
          <w:sz w:val="24"/>
          <w:szCs w:val="24"/>
        </w:rPr>
      </w:pPr>
    </w:p>
    <w:p w14:paraId="281A223F" w14:textId="77777777" w:rsidR="004647B9" w:rsidRDefault="00E2436F" w:rsidP="00931F8F">
      <w:pPr>
        <w:numPr>
          <w:ilvl w:val="0"/>
          <w:numId w:val="548"/>
        </w:numPr>
        <w:tabs>
          <w:tab w:val="left" w:pos="1797"/>
        </w:tabs>
        <w:ind w:left="1200"/>
        <w:rPr>
          <w:rFonts w:eastAsia="Times New Roman"/>
          <w:sz w:val="24"/>
          <w:szCs w:val="24"/>
        </w:rPr>
      </w:pPr>
      <w:r>
        <w:rPr>
          <w:rFonts w:eastAsia="Times New Roman"/>
          <w:sz w:val="24"/>
          <w:szCs w:val="24"/>
          <w:u w:val="single"/>
        </w:rPr>
        <w:t>Required Additional Health Information</w:t>
      </w:r>
      <w:r>
        <w:rPr>
          <w:rFonts w:eastAsia="Times New Roman"/>
          <w:sz w:val="24"/>
          <w:szCs w:val="24"/>
        </w:rPr>
        <w:t>. All reports must prominently display the following language:</w:t>
      </w:r>
    </w:p>
    <w:p w14:paraId="281A2241" w14:textId="77777777" w:rsidR="004647B9" w:rsidRPr="00230D9F" w:rsidRDefault="00E2436F" w:rsidP="00931F8F">
      <w:pPr>
        <w:ind w:left="1560" w:right="360"/>
        <w:jc w:val="both"/>
        <w:rPr>
          <w:sz w:val="24"/>
          <w:szCs w:val="24"/>
        </w:rPr>
      </w:pPr>
      <w:r>
        <w:rPr>
          <w:rFonts w:eastAsia="Times New Roman"/>
          <w:i/>
          <w:iCs/>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w:t>
      </w:r>
      <w:r w:rsidRPr="00230D9F">
        <w:rPr>
          <w:rFonts w:eastAsia="Times New Roman"/>
          <w:i/>
          <w:iCs/>
          <w:sz w:val="24"/>
          <w:szCs w:val="24"/>
        </w:rPr>
        <w:t>available from the Safe Drinking Water Hotline (800-426-4791)</w:t>
      </w:r>
      <w:r w:rsidRPr="00230D9F">
        <w:rPr>
          <w:rFonts w:eastAsia="Times New Roman"/>
          <w:sz w:val="24"/>
          <w:szCs w:val="24"/>
        </w:rPr>
        <w:t>.</w:t>
      </w:r>
    </w:p>
    <w:p w14:paraId="281A2242" w14:textId="77777777" w:rsidR="004647B9" w:rsidRPr="00230D9F" w:rsidRDefault="004647B9" w:rsidP="00931F8F">
      <w:pPr>
        <w:rPr>
          <w:sz w:val="24"/>
          <w:szCs w:val="24"/>
        </w:rPr>
      </w:pPr>
    </w:p>
    <w:p w14:paraId="281A2243" w14:textId="77777777" w:rsidR="004647B9" w:rsidRPr="003B4234" w:rsidRDefault="00E2436F" w:rsidP="00931F8F">
      <w:pPr>
        <w:numPr>
          <w:ilvl w:val="0"/>
          <w:numId w:val="549"/>
        </w:numPr>
        <w:tabs>
          <w:tab w:val="left" w:pos="1786"/>
        </w:tabs>
        <w:ind w:left="1200"/>
        <w:rPr>
          <w:rFonts w:eastAsia="Times New Roman"/>
          <w:sz w:val="24"/>
          <w:szCs w:val="24"/>
        </w:rPr>
      </w:pPr>
      <w:r w:rsidRPr="003B4234">
        <w:rPr>
          <w:rFonts w:eastAsia="Times New Roman"/>
          <w:sz w:val="24"/>
          <w:szCs w:val="24"/>
        </w:rPr>
        <w:t>Beginning in the report due by July 1, 2002, a Community Water System which detects arsenic at levels above 0.005 mg/L, and up to and including 0.010 mg/L:</w:t>
      </w:r>
    </w:p>
    <w:p w14:paraId="281A2245" w14:textId="77777777" w:rsidR="004647B9" w:rsidRPr="003B4234" w:rsidRDefault="00E2436F" w:rsidP="00931F8F">
      <w:pPr>
        <w:numPr>
          <w:ilvl w:val="1"/>
          <w:numId w:val="549"/>
        </w:numPr>
        <w:tabs>
          <w:tab w:val="left" w:pos="1974"/>
        </w:tabs>
        <w:ind w:left="1560" w:hanging="5"/>
        <w:jc w:val="both"/>
        <w:rPr>
          <w:rFonts w:eastAsia="Times New Roman"/>
          <w:sz w:val="24"/>
          <w:szCs w:val="24"/>
        </w:rPr>
      </w:pPr>
      <w:r w:rsidRPr="003B4234">
        <w:rPr>
          <w:rFonts w:eastAsia="Times New Roman"/>
          <w:sz w:val="24"/>
          <w:szCs w:val="24"/>
        </w:rPr>
        <w:t>Shall include in its report a short informational statement about arsenic, using language such as: While your drinking water meets EPA's standard for arsenic, it does contain low levels of arsenic. EPA's standard balances the current understanding of arsenic's possible health effects against the costs of removing arsenic from drinking water. EPA continues to research the health effects of arsenic which is a mineral known to cause cancer in humans at high concentrations and is linked to other health effects such as skin damage and circulatory problems.</w:t>
      </w:r>
    </w:p>
    <w:p w14:paraId="281A2246" w14:textId="77777777" w:rsidR="004647B9" w:rsidRPr="003B4234" w:rsidRDefault="00E2436F" w:rsidP="00931F8F">
      <w:pPr>
        <w:numPr>
          <w:ilvl w:val="1"/>
          <w:numId w:val="549"/>
        </w:numPr>
        <w:tabs>
          <w:tab w:val="left" w:pos="1991"/>
        </w:tabs>
        <w:ind w:left="1560" w:hanging="5"/>
        <w:rPr>
          <w:rFonts w:eastAsia="Times New Roman"/>
          <w:sz w:val="24"/>
          <w:szCs w:val="24"/>
        </w:rPr>
      </w:pPr>
      <w:r w:rsidRPr="003B4234">
        <w:rPr>
          <w:rFonts w:eastAsia="Times New Roman"/>
          <w:sz w:val="24"/>
          <w:szCs w:val="24"/>
        </w:rPr>
        <w:t>May write its own educational statement, but only in consultation with and approval of the Department.</w:t>
      </w:r>
    </w:p>
    <w:p w14:paraId="281A2247" w14:textId="77777777" w:rsidR="004647B9" w:rsidRPr="003B4234" w:rsidRDefault="00E2436F" w:rsidP="00931F8F">
      <w:pPr>
        <w:numPr>
          <w:ilvl w:val="1"/>
          <w:numId w:val="549"/>
        </w:numPr>
        <w:tabs>
          <w:tab w:val="left" w:pos="1982"/>
        </w:tabs>
        <w:ind w:left="1560" w:hanging="5"/>
        <w:jc w:val="both"/>
        <w:rPr>
          <w:rFonts w:eastAsia="Times New Roman"/>
          <w:sz w:val="24"/>
          <w:szCs w:val="24"/>
        </w:rPr>
      </w:pPr>
      <w:r w:rsidRPr="003B4234">
        <w:rPr>
          <w:rFonts w:eastAsia="Times New Roman"/>
          <w:sz w:val="24"/>
          <w:szCs w:val="24"/>
        </w:rPr>
        <w:t>Beginning in the report due by July 1, 2002 and ending January 22, 2006, a community water system that detects arsenic above 0.010 mg/L and up to and including 0.05 mg/L shall include the arsenic health effects language prescribed by 310 CMR 22.16A(27).</w:t>
      </w:r>
    </w:p>
    <w:p w14:paraId="281A2248" w14:textId="77777777" w:rsidR="004647B9" w:rsidRPr="003B4234" w:rsidRDefault="004647B9" w:rsidP="00931F8F">
      <w:pPr>
        <w:rPr>
          <w:rFonts w:eastAsia="Times New Roman"/>
          <w:sz w:val="24"/>
          <w:szCs w:val="24"/>
        </w:rPr>
      </w:pPr>
    </w:p>
    <w:p w14:paraId="281A2249" w14:textId="77777777" w:rsidR="004647B9" w:rsidRPr="003B4234" w:rsidRDefault="00E2436F" w:rsidP="00931F8F">
      <w:pPr>
        <w:numPr>
          <w:ilvl w:val="0"/>
          <w:numId w:val="549"/>
        </w:numPr>
        <w:tabs>
          <w:tab w:val="left" w:pos="1780"/>
        </w:tabs>
        <w:ind w:left="1200"/>
        <w:rPr>
          <w:rFonts w:eastAsia="Times New Roman"/>
          <w:sz w:val="24"/>
          <w:szCs w:val="24"/>
        </w:rPr>
      </w:pPr>
      <w:r w:rsidRPr="003B4234">
        <w:rPr>
          <w:rFonts w:eastAsia="Times New Roman"/>
          <w:sz w:val="24"/>
          <w:szCs w:val="24"/>
        </w:rPr>
        <w:t>A Community Water System which detects nitrate at levels above 5 mg/l, but below the MCL:</w:t>
      </w:r>
    </w:p>
    <w:p w14:paraId="281A224B" w14:textId="77777777" w:rsidR="004647B9" w:rsidRPr="003B4234" w:rsidRDefault="00E2436F" w:rsidP="00931F8F">
      <w:pPr>
        <w:numPr>
          <w:ilvl w:val="1"/>
          <w:numId w:val="549"/>
        </w:numPr>
        <w:tabs>
          <w:tab w:val="left" w:pos="2011"/>
        </w:tabs>
        <w:ind w:left="1560" w:hanging="5"/>
        <w:jc w:val="both"/>
        <w:rPr>
          <w:rFonts w:eastAsia="Times New Roman"/>
          <w:sz w:val="24"/>
          <w:szCs w:val="24"/>
        </w:rPr>
      </w:pPr>
      <w:r w:rsidRPr="003B4234">
        <w:rPr>
          <w:rFonts w:eastAsia="Times New Roman"/>
          <w:sz w:val="24"/>
          <w:szCs w:val="24"/>
        </w:rPr>
        <w:t>Must include a short informational statement about the impacts of nitrate on children using language such as: Nitrate in drinking water at levels above 10 ppm is a health risk for infants of younger than six months old. High nitrate levels in drinking water can cause blue baby syndrome. Nitrate levels may rise quickly for short periods of time because of rainfall or agricultural activity. If you are caring for an infant you should ask advice from your health care provider.</w:t>
      </w:r>
    </w:p>
    <w:p w14:paraId="281A224D" w14:textId="77777777" w:rsidR="004647B9" w:rsidRPr="003B4234" w:rsidRDefault="00E2436F" w:rsidP="00931F8F">
      <w:pPr>
        <w:numPr>
          <w:ilvl w:val="1"/>
          <w:numId w:val="549"/>
        </w:numPr>
        <w:tabs>
          <w:tab w:val="left" w:pos="1991"/>
        </w:tabs>
        <w:ind w:left="1560" w:hanging="5"/>
        <w:rPr>
          <w:rFonts w:eastAsia="Times New Roman"/>
          <w:sz w:val="24"/>
          <w:szCs w:val="24"/>
        </w:rPr>
      </w:pPr>
      <w:r w:rsidRPr="003B4234">
        <w:rPr>
          <w:rFonts w:eastAsia="Times New Roman"/>
          <w:sz w:val="24"/>
          <w:szCs w:val="24"/>
        </w:rPr>
        <w:t>May write its own educational statement, but only in consultation with and approval of the Department.</w:t>
      </w:r>
    </w:p>
    <w:p w14:paraId="281A224E" w14:textId="77777777" w:rsidR="004647B9" w:rsidRDefault="004647B9" w:rsidP="00931F8F">
      <w:pPr>
        <w:sectPr w:rsidR="004647B9" w:rsidSect="00EF630C">
          <w:pgSz w:w="12240" w:h="20180"/>
          <w:pgMar w:top="708" w:right="1440" w:bottom="1440" w:left="600" w:header="0" w:footer="0" w:gutter="0"/>
          <w:cols w:space="720"/>
        </w:sectPr>
      </w:pPr>
    </w:p>
    <w:p w14:paraId="281A224F" w14:textId="77777777" w:rsidR="004647B9" w:rsidRDefault="00E2436F">
      <w:pPr>
        <w:tabs>
          <w:tab w:val="left" w:pos="160"/>
        </w:tabs>
        <w:jc w:val="center"/>
        <w:rPr>
          <w:sz w:val="20"/>
          <w:szCs w:val="20"/>
        </w:rPr>
      </w:pPr>
      <w:bookmarkStart w:id="216" w:name="page218"/>
      <w:bookmarkEnd w:id="21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250" w14:textId="77777777" w:rsidR="004647B9" w:rsidRDefault="004647B9" w:rsidP="00230D9F">
      <w:pPr>
        <w:rPr>
          <w:sz w:val="20"/>
          <w:szCs w:val="20"/>
        </w:rPr>
      </w:pPr>
    </w:p>
    <w:p w14:paraId="281A2251" w14:textId="77777777" w:rsidR="004647B9" w:rsidRDefault="004647B9" w:rsidP="00230D9F">
      <w:pPr>
        <w:rPr>
          <w:sz w:val="20"/>
          <w:szCs w:val="20"/>
        </w:rPr>
      </w:pPr>
    </w:p>
    <w:p w14:paraId="281A2252" w14:textId="77777777" w:rsidR="004647B9" w:rsidRPr="003B4234" w:rsidRDefault="00E2436F" w:rsidP="00230D9F">
      <w:pPr>
        <w:tabs>
          <w:tab w:val="left" w:pos="940"/>
        </w:tabs>
        <w:rPr>
          <w:sz w:val="24"/>
          <w:szCs w:val="24"/>
        </w:rPr>
      </w:pPr>
      <w:r w:rsidRPr="003B4234">
        <w:rPr>
          <w:rFonts w:eastAsia="Times New Roman"/>
          <w:sz w:val="24"/>
          <w:szCs w:val="24"/>
        </w:rPr>
        <w:t>22.16A:</w:t>
      </w:r>
      <w:r w:rsidRPr="003B4234">
        <w:rPr>
          <w:sz w:val="24"/>
          <w:szCs w:val="24"/>
        </w:rPr>
        <w:tab/>
      </w:r>
      <w:r w:rsidRPr="003B4234">
        <w:rPr>
          <w:rFonts w:eastAsia="Times New Roman"/>
          <w:sz w:val="24"/>
          <w:szCs w:val="24"/>
        </w:rPr>
        <w:t>continued</w:t>
      </w:r>
    </w:p>
    <w:p w14:paraId="281A2253" w14:textId="77777777" w:rsidR="004647B9" w:rsidRPr="00230D9F" w:rsidRDefault="004647B9" w:rsidP="00230D9F">
      <w:pPr>
        <w:rPr>
          <w:sz w:val="20"/>
          <w:szCs w:val="20"/>
        </w:rPr>
      </w:pPr>
    </w:p>
    <w:p w14:paraId="281A2254" w14:textId="77777777" w:rsidR="004647B9" w:rsidRPr="003B4234" w:rsidRDefault="00E2436F" w:rsidP="00230D9F">
      <w:pPr>
        <w:numPr>
          <w:ilvl w:val="0"/>
          <w:numId w:val="550"/>
        </w:numPr>
        <w:tabs>
          <w:tab w:val="left" w:pos="1780"/>
        </w:tabs>
        <w:ind w:left="1780" w:hanging="580"/>
        <w:rPr>
          <w:rFonts w:eastAsia="Times New Roman"/>
          <w:sz w:val="24"/>
          <w:szCs w:val="24"/>
        </w:rPr>
      </w:pPr>
      <w:r w:rsidRPr="003B4234">
        <w:rPr>
          <w:rFonts w:eastAsia="Times New Roman"/>
          <w:sz w:val="24"/>
          <w:szCs w:val="24"/>
        </w:rPr>
        <w:t>Every report must include the following lead-specific information:</w:t>
      </w:r>
    </w:p>
    <w:p w14:paraId="281A2256" w14:textId="6A22CFED" w:rsidR="004647B9" w:rsidRPr="003B4234" w:rsidRDefault="00E2436F" w:rsidP="00230D9F">
      <w:pPr>
        <w:numPr>
          <w:ilvl w:val="1"/>
          <w:numId w:val="550"/>
        </w:numPr>
        <w:tabs>
          <w:tab w:val="left" w:pos="1961"/>
        </w:tabs>
        <w:ind w:left="1560" w:hanging="5"/>
        <w:jc w:val="both"/>
        <w:rPr>
          <w:rFonts w:eastAsia="Times New Roman"/>
          <w:color w:val="0000FF"/>
          <w:sz w:val="24"/>
          <w:szCs w:val="24"/>
        </w:rPr>
      </w:pPr>
      <w:r w:rsidRPr="003B4234">
        <w:rPr>
          <w:rFonts w:eastAsia="Times New Roman"/>
          <w:sz w:val="24"/>
          <w:szCs w:val="24"/>
        </w:rPr>
        <w:t xml:space="preserve">A short informational statement about lead in drinking water and its effects on children. The statement must include the following information: If present, elevated levels of lead can cause serious health problems, especially for pregnant women and young children. Lead in drinking water is primarily from materials and components associated with service lines and home plumbing. [NAME OF UTILITY]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800-426-4791 or at </w:t>
      </w:r>
      <w:hyperlink r:id="rId15" w:history="1">
        <w:r w:rsidR="00815053" w:rsidRPr="00DB7E1A">
          <w:rPr>
            <w:rStyle w:val="Hyperlink"/>
            <w:rFonts w:eastAsia="Times New Roman"/>
            <w:sz w:val="24"/>
            <w:szCs w:val="24"/>
          </w:rPr>
          <w:t>http://www.epa.gov/safewater/lead</w:t>
        </w:r>
      </w:hyperlink>
      <w:r w:rsidRPr="003B4234">
        <w:rPr>
          <w:rFonts w:eastAsia="Times New Roman"/>
          <w:color w:val="000000"/>
          <w:sz w:val="24"/>
          <w:szCs w:val="24"/>
        </w:rPr>
        <w:t>.</w:t>
      </w:r>
    </w:p>
    <w:p w14:paraId="281A2258" w14:textId="77777777" w:rsidR="004647B9" w:rsidRPr="003B4234" w:rsidRDefault="00E2436F" w:rsidP="00230D9F">
      <w:pPr>
        <w:numPr>
          <w:ilvl w:val="1"/>
          <w:numId w:val="550"/>
        </w:numPr>
        <w:tabs>
          <w:tab w:val="left" w:pos="2034"/>
        </w:tabs>
        <w:ind w:left="1560" w:hanging="5"/>
        <w:rPr>
          <w:rFonts w:eastAsia="Times New Roman"/>
          <w:sz w:val="24"/>
          <w:szCs w:val="24"/>
        </w:rPr>
      </w:pPr>
      <w:r w:rsidRPr="003B4234">
        <w:rPr>
          <w:rFonts w:eastAsia="Times New Roman"/>
          <w:sz w:val="24"/>
          <w:szCs w:val="24"/>
        </w:rPr>
        <w:t>A system may write its own educational statement, but only in consultation with and with written approval of the Department.</w:t>
      </w:r>
    </w:p>
    <w:p w14:paraId="281A2259" w14:textId="77777777" w:rsidR="004647B9" w:rsidRPr="003B4234" w:rsidRDefault="004647B9" w:rsidP="00230D9F">
      <w:pPr>
        <w:rPr>
          <w:rFonts w:eastAsia="Times New Roman"/>
          <w:sz w:val="24"/>
          <w:szCs w:val="24"/>
        </w:rPr>
      </w:pPr>
    </w:p>
    <w:p w14:paraId="281A225A" w14:textId="77777777" w:rsidR="004647B9" w:rsidRPr="003B4234" w:rsidRDefault="00E2436F" w:rsidP="00230D9F">
      <w:pPr>
        <w:numPr>
          <w:ilvl w:val="0"/>
          <w:numId w:val="550"/>
        </w:numPr>
        <w:tabs>
          <w:tab w:val="left" w:pos="1715"/>
        </w:tabs>
        <w:ind w:left="1200"/>
        <w:jc w:val="both"/>
        <w:rPr>
          <w:rFonts w:eastAsia="Times New Roman"/>
          <w:sz w:val="24"/>
          <w:szCs w:val="24"/>
        </w:rPr>
      </w:pPr>
      <w:r w:rsidRPr="003B4234">
        <w:rPr>
          <w:rFonts w:eastAsia="Times New Roman"/>
          <w:sz w:val="24"/>
          <w:szCs w:val="24"/>
        </w:rPr>
        <w:t>Community Water Systems that detect TTHM above 0.080 mg/l, but below the MCL listed in 310 CMR 22.07 as an annual average, monitored and calculated under the provisions of 310 CMR 22.07, must include health effects language prescribed in 310 CMR 22.16A(27).</w:t>
      </w:r>
    </w:p>
    <w:p w14:paraId="281A225B" w14:textId="77777777" w:rsidR="004647B9" w:rsidRPr="003B4234" w:rsidRDefault="004647B9" w:rsidP="00230D9F">
      <w:pPr>
        <w:rPr>
          <w:rFonts w:eastAsia="Times New Roman"/>
          <w:sz w:val="24"/>
          <w:szCs w:val="24"/>
        </w:rPr>
      </w:pPr>
    </w:p>
    <w:p w14:paraId="281A225C" w14:textId="77777777" w:rsidR="004647B9" w:rsidRPr="003B4234" w:rsidRDefault="00E2436F" w:rsidP="00230D9F">
      <w:pPr>
        <w:numPr>
          <w:ilvl w:val="0"/>
          <w:numId w:val="550"/>
        </w:numPr>
        <w:tabs>
          <w:tab w:val="left" w:pos="1771"/>
        </w:tabs>
        <w:ind w:left="1200"/>
        <w:jc w:val="both"/>
        <w:rPr>
          <w:rFonts w:eastAsia="Times New Roman"/>
          <w:sz w:val="24"/>
          <w:szCs w:val="24"/>
        </w:rPr>
      </w:pPr>
      <w:r w:rsidRPr="003B4234">
        <w:rPr>
          <w:rFonts w:eastAsia="Times New Roman"/>
          <w:sz w:val="24"/>
          <w:szCs w:val="24"/>
          <w:u w:val="single"/>
        </w:rPr>
        <w:t>Report Delivery and Recordkeeping</w:t>
      </w:r>
      <w:r w:rsidRPr="003B4234">
        <w:rPr>
          <w:rFonts w:eastAsia="Times New Roman"/>
          <w:sz w:val="24"/>
          <w:szCs w:val="24"/>
        </w:rPr>
        <w:t>. Except as provided in 310 CMR 22.16A(20), each Community Water System must mail or otherwise directly deliver one copy of the Consumer Confidence Report to each customer.</w:t>
      </w:r>
    </w:p>
    <w:p w14:paraId="281A225D" w14:textId="77777777" w:rsidR="004647B9" w:rsidRPr="003B4234" w:rsidRDefault="004647B9" w:rsidP="00230D9F">
      <w:pPr>
        <w:rPr>
          <w:rFonts w:eastAsia="Times New Roman"/>
          <w:sz w:val="24"/>
          <w:szCs w:val="24"/>
        </w:rPr>
      </w:pPr>
    </w:p>
    <w:p w14:paraId="281A225E" w14:textId="77777777" w:rsidR="004647B9" w:rsidRPr="003B4234" w:rsidRDefault="00E2436F" w:rsidP="00230D9F">
      <w:pPr>
        <w:numPr>
          <w:ilvl w:val="0"/>
          <w:numId w:val="550"/>
        </w:numPr>
        <w:tabs>
          <w:tab w:val="left" w:pos="1758"/>
        </w:tabs>
        <w:ind w:left="1200"/>
        <w:rPr>
          <w:rFonts w:eastAsia="Times New Roman"/>
          <w:sz w:val="24"/>
          <w:szCs w:val="24"/>
        </w:rPr>
      </w:pPr>
      <w:r w:rsidRPr="003B4234">
        <w:rPr>
          <w:rFonts w:eastAsia="Times New Roman"/>
          <w:sz w:val="24"/>
          <w:szCs w:val="24"/>
        </w:rPr>
        <w:t>The Community Water System must make a good faith effort to reach consumers who do not get water bills, and are required to take a minimum of three of the following actions:</w:t>
      </w:r>
    </w:p>
    <w:p w14:paraId="281A2260" w14:textId="77777777" w:rsidR="004647B9" w:rsidRPr="003B4234" w:rsidRDefault="00E2436F" w:rsidP="00230D9F">
      <w:pPr>
        <w:numPr>
          <w:ilvl w:val="1"/>
          <w:numId w:val="550"/>
        </w:numPr>
        <w:tabs>
          <w:tab w:val="left" w:pos="2000"/>
        </w:tabs>
        <w:ind w:left="2000" w:hanging="445"/>
        <w:rPr>
          <w:rFonts w:eastAsia="Times New Roman"/>
          <w:sz w:val="24"/>
          <w:szCs w:val="24"/>
        </w:rPr>
      </w:pPr>
      <w:r w:rsidRPr="003B4234">
        <w:rPr>
          <w:rFonts w:eastAsia="Times New Roman"/>
          <w:sz w:val="24"/>
          <w:szCs w:val="24"/>
        </w:rPr>
        <w:t>Post report in the lobby of apartment complexes;</w:t>
      </w:r>
    </w:p>
    <w:p w14:paraId="281A2262" w14:textId="77777777" w:rsidR="004647B9" w:rsidRPr="003B4234" w:rsidRDefault="00E2436F" w:rsidP="00230D9F">
      <w:pPr>
        <w:numPr>
          <w:ilvl w:val="1"/>
          <w:numId w:val="550"/>
        </w:numPr>
        <w:tabs>
          <w:tab w:val="left" w:pos="2020"/>
        </w:tabs>
        <w:ind w:left="2020" w:hanging="465"/>
        <w:rPr>
          <w:rFonts w:eastAsia="Times New Roman"/>
          <w:sz w:val="24"/>
          <w:szCs w:val="24"/>
        </w:rPr>
      </w:pPr>
      <w:r w:rsidRPr="003B4234">
        <w:rPr>
          <w:rFonts w:eastAsia="Times New Roman"/>
          <w:sz w:val="24"/>
          <w:szCs w:val="24"/>
        </w:rPr>
        <w:t>Place an ad in a local newspaper stating where copies are available;</w:t>
      </w:r>
    </w:p>
    <w:p w14:paraId="281A2264" w14:textId="77777777" w:rsidR="004647B9" w:rsidRPr="003B4234" w:rsidRDefault="00E2436F" w:rsidP="00230D9F">
      <w:pPr>
        <w:numPr>
          <w:ilvl w:val="1"/>
          <w:numId w:val="550"/>
        </w:numPr>
        <w:tabs>
          <w:tab w:val="left" w:pos="2000"/>
        </w:tabs>
        <w:ind w:left="2000" w:hanging="445"/>
        <w:rPr>
          <w:rFonts w:eastAsia="Times New Roman"/>
          <w:sz w:val="24"/>
          <w:szCs w:val="24"/>
        </w:rPr>
      </w:pPr>
      <w:r w:rsidRPr="003B4234">
        <w:rPr>
          <w:rFonts w:eastAsia="Times New Roman"/>
          <w:sz w:val="24"/>
          <w:szCs w:val="24"/>
        </w:rPr>
        <w:t>Announce availability of the consumer confidence report on local radio stations;</w:t>
      </w:r>
    </w:p>
    <w:p w14:paraId="281A2266" w14:textId="77777777" w:rsidR="004647B9" w:rsidRPr="003B4234" w:rsidRDefault="00E2436F" w:rsidP="00230D9F">
      <w:pPr>
        <w:numPr>
          <w:ilvl w:val="1"/>
          <w:numId w:val="550"/>
        </w:numPr>
        <w:tabs>
          <w:tab w:val="left" w:pos="2020"/>
        </w:tabs>
        <w:ind w:left="2020" w:hanging="465"/>
        <w:rPr>
          <w:rFonts w:eastAsia="Times New Roman"/>
          <w:sz w:val="24"/>
          <w:szCs w:val="24"/>
        </w:rPr>
      </w:pPr>
      <w:r w:rsidRPr="003B4234">
        <w:rPr>
          <w:rFonts w:eastAsia="Times New Roman"/>
          <w:sz w:val="24"/>
          <w:szCs w:val="24"/>
        </w:rPr>
        <w:t>Post consumer confidence report in Town Hall;</w:t>
      </w:r>
    </w:p>
    <w:p w14:paraId="281A2268" w14:textId="77777777" w:rsidR="004647B9" w:rsidRPr="003B4234" w:rsidRDefault="00E2436F" w:rsidP="00230D9F">
      <w:pPr>
        <w:numPr>
          <w:ilvl w:val="1"/>
          <w:numId w:val="550"/>
        </w:numPr>
        <w:tabs>
          <w:tab w:val="left" w:pos="2000"/>
        </w:tabs>
        <w:ind w:left="2000" w:hanging="445"/>
        <w:rPr>
          <w:rFonts w:eastAsia="Times New Roman"/>
          <w:sz w:val="24"/>
          <w:szCs w:val="24"/>
        </w:rPr>
      </w:pPr>
      <w:r w:rsidRPr="003B4234">
        <w:rPr>
          <w:rFonts w:eastAsia="Times New Roman"/>
          <w:sz w:val="24"/>
          <w:szCs w:val="24"/>
        </w:rPr>
        <w:t>Place copies of the consumer confidence report in the local public library;</w:t>
      </w:r>
    </w:p>
    <w:p w14:paraId="281A226A" w14:textId="77777777" w:rsidR="004647B9" w:rsidRPr="003B4234" w:rsidRDefault="00E2436F" w:rsidP="00230D9F">
      <w:pPr>
        <w:numPr>
          <w:ilvl w:val="1"/>
          <w:numId w:val="550"/>
        </w:numPr>
        <w:tabs>
          <w:tab w:val="left" w:pos="2100"/>
        </w:tabs>
        <w:ind w:left="1560" w:hanging="5"/>
        <w:rPr>
          <w:rFonts w:eastAsia="Times New Roman"/>
          <w:sz w:val="24"/>
          <w:szCs w:val="24"/>
        </w:rPr>
      </w:pPr>
      <w:r w:rsidRPr="003B4234">
        <w:rPr>
          <w:rFonts w:eastAsia="Times New Roman"/>
          <w:sz w:val="24"/>
          <w:szCs w:val="24"/>
        </w:rPr>
        <w:t>Post a notice (in main lobby of apartment complexes) stating that the consumer confidence report is posted on a website, and give the website address;</w:t>
      </w:r>
    </w:p>
    <w:p w14:paraId="281A226B" w14:textId="77777777" w:rsidR="004647B9" w:rsidRDefault="00E2436F" w:rsidP="00230D9F">
      <w:pPr>
        <w:numPr>
          <w:ilvl w:val="1"/>
          <w:numId w:val="550"/>
        </w:numPr>
        <w:tabs>
          <w:tab w:val="left" w:pos="2020"/>
        </w:tabs>
        <w:ind w:left="2020" w:hanging="465"/>
        <w:rPr>
          <w:rFonts w:eastAsia="Times New Roman"/>
          <w:sz w:val="24"/>
          <w:szCs w:val="24"/>
        </w:rPr>
      </w:pPr>
      <w:r>
        <w:rPr>
          <w:rFonts w:eastAsia="Times New Roman"/>
          <w:sz w:val="24"/>
          <w:szCs w:val="24"/>
        </w:rPr>
        <w:t>Publish the report in local newspaper(s);</w:t>
      </w:r>
    </w:p>
    <w:p w14:paraId="281A226D" w14:textId="77777777" w:rsidR="004647B9" w:rsidRDefault="00E2436F" w:rsidP="00230D9F">
      <w:pPr>
        <w:numPr>
          <w:ilvl w:val="1"/>
          <w:numId w:val="550"/>
        </w:numPr>
        <w:tabs>
          <w:tab w:val="left" w:pos="2020"/>
        </w:tabs>
        <w:ind w:left="2020" w:hanging="465"/>
        <w:rPr>
          <w:rFonts w:eastAsia="Times New Roman"/>
          <w:sz w:val="24"/>
          <w:szCs w:val="24"/>
        </w:rPr>
      </w:pPr>
      <w:r>
        <w:rPr>
          <w:rFonts w:eastAsia="Times New Roman"/>
          <w:sz w:val="24"/>
          <w:szCs w:val="24"/>
        </w:rPr>
        <w:t>Deliver the report to community organizations.</w:t>
      </w:r>
    </w:p>
    <w:p w14:paraId="281A226E" w14:textId="77777777" w:rsidR="004647B9" w:rsidRDefault="004647B9" w:rsidP="00230D9F">
      <w:pPr>
        <w:rPr>
          <w:rFonts w:eastAsia="Times New Roman"/>
          <w:sz w:val="24"/>
          <w:szCs w:val="24"/>
        </w:rPr>
      </w:pPr>
    </w:p>
    <w:p w14:paraId="281A226F" w14:textId="77777777" w:rsidR="004647B9" w:rsidRDefault="00E2436F" w:rsidP="00230D9F">
      <w:pPr>
        <w:numPr>
          <w:ilvl w:val="0"/>
          <w:numId w:val="550"/>
        </w:numPr>
        <w:tabs>
          <w:tab w:val="left" w:pos="1759"/>
        </w:tabs>
        <w:ind w:left="1200"/>
        <w:rPr>
          <w:rFonts w:eastAsia="Times New Roman"/>
          <w:sz w:val="24"/>
          <w:szCs w:val="24"/>
        </w:rPr>
      </w:pPr>
      <w:r>
        <w:rPr>
          <w:rFonts w:eastAsia="Times New Roman"/>
          <w:sz w:val="24"/>
          <w:szCs w:val="24"/>
        </w:rPr>
        <w:t>No later than the date the Community Water System is required to distribute the report to its customers, the system shall submit:</w:t>
      </w:r>
    </w:p>
    <w:p w14:paraId="281A2271" w14:textId="77777777" w:rsidR="004647B9" w:rsidRDefault="00E2436F" w:rsidP="00230D9F">
      <w:pPr>
        <w:numPr>
          <w:ilvl w:val="1"/>
          <w:numId w:val="550"/>
        </w:numPr>
        <w:tabs>
          <w:tab w:val="left" w:pos="2112"/>
        </w:tabs>
        <w:ind w:left="1560" w:hanging="5"/>
        <w:jc w:val="both"/>
        <w:rPr>
          <w:rFonts w:eastAsia="Times New Roman"/>
          <w:sz w:val="24"/>
          <w:szCs w:val="24"/>
        </w:rPr>
      </w:pPr>
      <w:r>
        <w:rPr>
          <w:rFonts w:eastAsia="Times New Roman"/>
          <w:sz w:val="24"/>
          <w:szCs w:val="24"/>
        </w:rPr>
        <w:t>two copies of the consumer confidence report and the related attachments to the Department, one of which will be submitted to the applicable Department regional office and one will be submitted to the Boston office; and</w:t>
      </w:r>
    </w:p>
    <w:p w14:paraId="281A2273" w14:textId="77777777" w:rsidR="004647B9" w:rsidRPr="003B4234" w:rsidRDefault="00E2436F" w:rsidP="00230D9F">
      <w:pPr>
        <w:numPr>
          <w:ilvl w:val="1"/>
          <w:numId w:val="550"/>
        </w:numPr>
        <w:tabs>
          <w:tab w:val="left" w:pos="2085"/>
        </w:tabs>
        <w:ind w:left="1560" w:hanging="5"/>
        <w:jc w:val="both"/>
        <w:rPr>
          <w:rFonts w:eastAsia="Times New Roman"/>
          <w:sz w:val="24"/>
          <w:szCs w:val="24"/>
        </w:rPr>
      </w:pPr>
      <w:r>
        <w:rPr>
          <w:rFonts w:eastAsia="Times New Roman"/>
          <w:sz w:val="24"/>
          <w:szCs w:val="24"/>
        </w:rPr>
        <w:t xml:space="preserve">a certification, using the Department's form, that the report has been distributed to </w:t>
      </w:r>
      <w:r w:rsidRPr="003B4234">
        <w:rPr>
          <w:rFonts w:eastAsia="Times New Roman"/>
          <w:sz w:val="24"/>
          <w:szCs w:val="24"/>
        </w:rPr>
        <w:t>customers, and that the information is correct and consistent with the compliance monitoring data previously submitted to the Department.</w:t>
      </w:r>
    </w:p>
    <w:p w14:paraId="281A2274" w14:textId="77777777" w:rsidR="004647B9" w:rsidRPr="003B4234" w:rsidRDefault="004647B9" w:rsidP="00230D9F">
      <w:pPr>
        <w:rPr>
          <w:rFonts w:eastAsia="Times New Roman"/>
          <w:sz w:val="24"/>
          <w:szCs w:val="24"/>
        </w:rPr>
      </w:pPr>
    </w:p>
    <w:p w14:paraId="281A2275" w14:textId="77777777" w:rsidR="004647B9" w:rsidRPr="003B4234" w:rsidRDefault="00E2436F" w:rsidP="00230D9F">
      <w:pPr>
        <w:numPr>
          <w:ilvl w:val="0"/>
          <w:numId w:val="550"/>
        </w:numPr>
        <w:tabs>
          <w:tab w:val="left" w:pos="1765"/>
        </w:tabs>
        <w:ind w:left="1200"/>
        <w:jc w:val="both"/>
        <w:rPr>
          <w:rFonts w:eastAsia="Times New Roman"/>
          <w:sz w:val="24"/>
          <w:szCs w:val="24"/>
        </w:rPr>
      </w:pPr>
      <w:r w:rsidRPr="003B4234">
        <w:rPr>
          <w:rFonts w:eastAsia="Times New Roman"/>
          <w:sz w:val="24"/>
          <w:szCs w:val="24"/>
        </w:rPr>
        <w:t>No later than the date the system is required to distribute the report to its customers, each Community Water System must deliver the report to its local Board of Health or any other agency identified by the Department.</w:t>
      </w:r>
    </w:p>
    <w:p w14:paraId="281A2276" w14:textId="77777777" w:rsidR="004647B9" w:rsidRPr="003B4234" w:rsidRDefault="004647B9" w:rsidP="00230D9F">
      <w:pPr>
        <w:rPr>
          <w:rFonts w:eastAsia="Times New Roman"/>
          <w:sz w:val="24"/>
          <w:szCs w:val="24"/>
        </w:rPr>
      </w:pPr>
    </w:p>
    <w:p w14:paraId="281A2277" w14:textId="77777777" w:rsidR="004647B9" w:rsidRPr="003B4234" w:rsidRDefault="00E2436F" w:rsidP="00207D8F">
      <w:pPr>
        <w:numPr>
          <w:ilvl w:val="0"/>
          <w:numId w:val="550"/>
        </w:numPr>
        <w:tabs>
          <w:tab w:val="left" w:pos="1720"/>
        </w:tabs>
        <w:ind w:left="1195"/>
        <w:rPr>
          <w:rFonts w:eastAsia="Times New Roman"/>
          <w:sz w:val="24"/>
          <w:szCs w:val="24"/>
        </w:rPr>
      </w:pPr>
      <w:r w:rsidRPr="003B4234">
        <w:rPr>
          <w:rFonts w:eastAsia="Times New Roman"/>
          <w:sz w:val="24"/>
          <w:szCs w:val="24"/>
        </w:rPr>
        <w:t>Each Community Water System must make its reports available to the public upon request.</w:t>
      </w:r>
    </w:p>
    <w:p w14:paraId="281A2278" w14:textId="77777777" w:rsidR="004647B9" w:rsidRPr="003B4234" w:rsidRDefault="004647B9" w:rsidP="00230D9F">
      <w:pPr>
        <w:rPr>
          <w:rFonts w:eastAsia="Times New Roman"/>
          <w:sz w:val="24"/>
          <w:szCs w:val="24"/>
        </w:rPr>
      </w:pPr>
    </w:p>
    <w:p w14:paraId="281A2279" w14:textId="77777777" w:rsidR="004647B9" w:rsidRPr="003B4234" w:rsidRDefault="00E2436F" w:rsidP="00230D9F">
      <w:pPr>
        <w:numPr>
          <w:ilvl w:val="0"/>
          <w:numId w:val="550"/>
        </w:numPr>
        <w:tabs>
          <w:tab w:val="left" w:pos="1715"/>
        </w:tabs>
        <w:ind w:left="1200"/>
        <w:rPr>
          <w:rFonts w:eastAsia="Times New Roman"/>
          <w:sz w:val="24"/>
          <w:szCs w:val="24"/>
        </w:rPr>
      </w:pPr>
      <w:r w:rsidRPr="003B4234">
        <w:rPr>
          <w:rFonts w:eastAsia="Times New Roman"/>
          <w:sz w:val="24"/>
          <w:szCs w:val="24"/>
        </w:rPr>
        <w:t>Each Community Water System serving 100,000 or more persons must post its most recent report to a publicly-accessible site on the Internet.</w:t>
      </w:r>
    </w:p>
    <w:p w14:paraId="281A227A" w14:textId="77777777" w:rsidR="004647B9" w:rsidRPr="003B4234" w:rsidRDefault="004647B9" w:rsidP="00230D9F">
      <w:pPr>
        <w:rPr>
          <w:rFonts w:eastAsia="Times New Roman"/>
          <w:sz w:val="24"/>
          <w:szCs w:val="24"/>
        </w:rPr>
      </w:pPr>
    </w:p>
    <w:p w14:paraId="281A227B" w14:textId="77777777" w:rsidR="004647B9" w:rsidRPr="003B4234" w:rsidRDefault="00E2436F" w:rsidP="00230D9F">
      <w:pPr>
        <w:numPr>
          <w:ilvl w:val="0"/>
          <w:numId w:val="550"/>
        </w:numPr>
        <w:tabs>
          <w:tab w:val="left" w:pos="1750"/>
        </w:tabs>
        <w:ind w:left="1200"/>
        <w:jc w:val="both"/>
        <w:rPr>
          <w:rFonts w:eastAsia="Times New Roman"/>
          <w:sz w:val="24"/>
          <w:szCs w:val="24"/>
        </w:rPr>
      </w:pPr>
      <w:r w:rsidRPr="003B4234">
        <w:rPr>
          <w:rFonts w:eastAsia="Times New Roman"/>
          <w:sz w:val="24"/>
          <w:szCs w:val="24"/>
        </w:rPr>
        <w:t>A Community Water System serving fewer than 10,000 persons has the option of mailing or directly delivering copies of the consumer confidence report to each customer, as provided in 310 CMR 22.16A(14), or, alternatively, such system must comply with the following notice requirements:</w:t>
      </w:r>
    </w:p>
    <w:p w14:paraId="281A227D" w14:textId="77777777" w:rsidR="004647B9" w:rsidRPr="003B4234" w:rsidRDefault="00E2436F" w:rsidP="00230D9F">
      <w:pPr>
        <w:numPr>
          <w:ilvl w:val="1"/>
          <w:numId w:val="550"/>
        </w:numPr>
        <w:tabs>
          <w:tab w:val="left" w:pos="1968"/>
        </w:tabs>
        <w:ind w:left="1560" w:hanging="5"/>
        <w:rPr>
          <w:rFonts w:eastAsia="Times New Roman"/>
          <w:sz w:val="24"/>
          <w:szCs w:val="24"/>
        </w:rPr>
      </w:pPr>
      <w:r w:rsidRPr="003B4234">
        <w:rPr>
          <w:rFonts w:eastAsia="Times New Roman"/>
          <w:sz w:val="24"/>
          <w:szCs w:val="24"/>
        </w:rPr>
        <w:t>Publish the report in one or more local newspapers serving the area in which the system is located;</w:t>
      </w:r>
    </w:p>
    <w:p w14:paraId="281A227E" w14:textId="70FB4FA5" w:rsidR="004647B9" w:rsidRDefault="004647B9" w:rsidP="00DE0D7E">
      <w:pPr>
        <w:rPr>
          <w:sz w:val="20"/>
          <w:szCs w:val="20"/>
        </w:rPr>
      </w:pPr>
    </w:p>
    <w:p w14:paraId="281A227F" w14:textId="77777777" w:rsidR="004647B9" w:rsidRDefault="004647B9">
      <w:pPr>
        <w:sectPr w:rsidR="004647B9" w:rsidSect="00EF630C">
          <w:pgSz w:w="12240" w:h="20180"/>
          <w:pgMar w:top="708" w:right="1440" w:bottom="723" w:left="600" w:header="0" w:footer="0" w:gutter="0"/>
          <w:cols w:space="720"/>
        </w:sectPr>
      </w:pPr>
    </w:p>
    <w:p w14:paraId="281A2280" w14:textId="77777777" w:rsidR="004647B9" w:rsidRDefault="00E2436F">
      <w:pPr>
        <w:tabs>
          <w:tab w:val="left" w:pos="160"/>
        </w:tabs>
        <w:jc w:val="center"/>
        <w:rPr>
          <w:sz w:val="20"/>
          <w:szCs w:val="20"/>
        </w:rPr>
      </w:pPr>
      <w:bookmarkStart w:id="217" w:name="page219"/>
      <w:bookmarkEnd w:id="21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281" w14:textId="77777777" w:rsidR="004647B9" w:rsidRDefault="004647B9" w:rsidP="00BA47C3">
      <w:pPr>
        <w:rPr>
          <w:sz w:val="20"/>
          <w:szCs w:val="20"/>
        </w:rPr>
      </w:pPr>
    </w:p>
    <w:p w14:paraId="281A2282" w14:textId="77777777" w:rsidR="004647B9" w:rsidRDefault="004647B9" w:rsidP="00BA47C3">
      <w:pPr>
        <w:rPr>
          <w:sz w:val="20"/>
          <w:szCs w:val="20"/>
        </w:rPr>
      </w:pPr>
    </w:p>
    <w:p w14:paraId="281A2283" w14:textId="77777777" w:rsidR="004647B9" w:rsidRPr="003B4234" w:rsidRDefault="00E2436F" w:rsidP="00BA47C3">
      <w:pPr>
        <w:tabs>
          <w:tab w:val="left" w:pos="940"/>
        </w:tabs>
        <w:rPr>
          <w:sz w:val="24"/>
          <w:szCs w:val="24"/>
        </w:rPr>
      </w:pPr>
      <w:r w:rsidRPr="003B4234">
        <w:rPr>
          <w:rFonts w:eastAsia="Times New Roman"/>
          <w:sz w:val="24"/>
          <w:szCs w:val="24"/>
        </w:rPr>
        <w:t>22.16A:</w:t>
      </w:r>
      <w:r w:rsidRPr="003B4234">
        <w:rPr>
          <w:sz w:val="24"/>
          <w:szCs w:val="24"/>
        </w:rPr>
        <w:tab/>
      </w:r>
      <w:r w:rsidRPr="003B4234">
        <w:rPr>
          <w:rFonts w:eastAsia="Times New Roman"/>
          <w:sz w:val="24"/>
          <w:szCs w:val="24"/>
        </w:rPr>
        <w:t>continued</w:t>
      </w:r>
    </w:p>
    <w:p w14:paraId="281A2284" w14:textId="77777777" w:rsidR="004647B9" w:rsidRPr="00BA47C3" w:rsidRDefault="004647B9" w:rsidP="00BA47C3">
      <w:pPr>
        <w:rPr>
          <w:sz w:val="20"/>
          <w:szCs w:val="20"/>
        </w:rPr>
      </w:pPr>
    </w:p>
    <w:p w14:paraId="281A2285" w14:textId="77777777" w:rsidR="004647B9" w:rsidRPr="003B4234" w:rsidRDefault="00E2436F" w:rsidP="00BA47C3">
      <w:pPr>
        <w:numPr>
          <w:ilvl w:val="1"/>
          <w:numId w:val="551"/>
        </w:numPr>
        <w:tabs>
          <w:tab w:val="left" w:pos="1992"/>
        </w:tabs>
        <w:ind w:left="1560" w:hanging="5"/>
        <w:jc w:val="both"/>
        <w:rPr>
          <w:rFonts w:eastAsia="Times New Roman"/>
          <w:sz w:val="24"/>
          <w:szCs w:val="24"/>
        </w:rPr>
      </w:pPr>
      <w:r w:rsidRPr="003B4234">
        <w:rPr>
          <w:rFonts w:eastAsia="Times New Roman"/>
          <w:sz w:val="24"/>
          <w:szCs w:val="24"/>
        </w:rPr>
        <w:t>Inform the customers that the reports will not be mailed. Notification shall be either in the newspapers in which the reports are published or by a statement in a bill or newsletter; and</w:t>
      </w:r>
    </w:p>
    <w:p w14:paraId="281A2287" w14:textId="77777777" w:rsidR="004647B9" w:rsidRPr="003B4234" w:rsidRDefault="00E2436F" w:rsidP="00BA47C3">
      <w:pPr>
        <w:numPr>
          <w:ilvl w:val="1"/>
          <w:numId w:val="551"/>
        </w:numPr>
        <w:tabs>
          <w:tab w:val="left" w:pos="2000"/>
        </w:tabs>
        <w:ind w:left="2000" w:hanging="445"/>
        <w:rPr>
          <w:rFonts w:eastAsia="Times New Roman"/>
          <w:sz w:val="24"/>
          <w:szCs w:val="24"/>
        </w:rPr>
      </w:pPr>
      <w:r w:rsidRPr="003B4234">
        <w:rPr>
          <w:rFonts w:eastAsia="Times New Roman"/>
          <w:sz w:val="24"/>
          <w:szCs w:val="24"/>
        </w:rPr>
        <w:t>Make the reports available to the public upon request.</w:t>
      </w:r>
    </w:p>
    <w:p w14:paraId="281A2288" w14:textId="77777777" w:rsidR="004647B9" w:rsidRPr="003B4234" w:rsidRDefault="004647B9" w:rsidP="00BA47C3">
      <w:pPr>
        <w:rPr>
          <w:rFonts w:eastAsia="Times New Roman"/>
          <w:sz w:val="24"/>
          <w:szCs w:val="24"/>
        </w:rPr>
      </w:pPr>
    </w:p>
    <w:p w14:paraId="281A2289" w14:textId="77777777" w:rsidR="004647B9" w:rsidRPr="003B4234" w:rsidRDefault="00E2436F" w:rsidP="00BA47C3">
      <w:pPr>
        <w:numPr>
          <w:ilvl w:val="0"/>
          <w:numId w:val="552"/>
        </w:numPr>
        <w:tabs>
          <w:tab w:val="left" w:pos="1778"/>
        </w:tabs>
        <w:ind w:left="1200"/>
        <w:jc w:val="both"/>
        <w:rPr>
          <w:rFonts w:eastAsia="Times New Roman"/>
          <w:sz w:val="24"/>
          <w:szCs w:val="24"/>
        </w:rPr>
      </w:pPr>
      <w:r w:rsidRPr="003B4234">
        <w:rPr>
          <w:rFonts w:eastAsia="Times New Roman"/>
          <w:sz w:val="24"/>
          <w:szCs w:val="24"/>
        </w:rPr>
        <w:t>A Community Water System serving 500 or fewer persons may forego the requirements of 310 CMR 22.16A(20)(a) and (b), if the system provides a notice at least once per year to its customers by mail, door-to-door delivery or by posting in an appropriate location, that the report shall be available upon request.</w:t>
      </w:r>
    </w:p>
    <w:p w14:paraId="281A228A" w14:textId="77777777" w:rsidR="004647B9" w:rsidRPr="003B4234" w:rsidRDefault="004647B9" w:rsidP="00BA47C3">
      <w:pPr>
        <w:rPr>
          <w:rFonts w:eastAsia="Times New Roman"/>
          <w:sz w:val="24"/>
          <w:szCs w:val="24"/>
        </w:rPr>
      </w:pPr>
    </w:p>
    <w:p w14:paraId="281A228B" w14:textId="77777777" w:rsidR="004647B9" w:rsidRPr="003B4234" w:rsidRDefault="00E2436F" w:rsidP="00BA47C3">
      <w:pPr>
        <w:numPr>
          <w:ilvl w:val="0"/>
          <w:numId w:val="552"/>
        </w:numPr>
        <w:tabs>
          <w:tab w:val="left" w:pos="1765"/>
        </w:tabs>
        <w:ind w:left="1200"/>
        <w:rPr>
          <w:rFonts w:eastAsia="Times New Roman"/>
          <w:sz w:val="24"/>
          <w:szCs w:val="24"/>
        </w:rPr>
      </w:pPr>
      <w:r w:rsidRPr="003B4234">
        <w:rPr>
          <w:rFonts w:eastAsia="Times New Roman"/>
          <w:sz w:val="24"/>
          <w:szCs w:val="24"/>
        </w:rPr>
        <w:t>Any system subject to 310 CMR 22.16A, must retain copies of its Consumer Confidence Report for no less than three years.</w:t>
      </w:r>
    </w:p>
    <w:p w14:paraId="281A228C" w14:textId="77777777" w:rsidR="004647B9" w:rsidRPr="003B4234" w:rsidRDefault="004647B9" w:rsidP="00BA47C3">
      <w:pPr>
        <w:rPr>
          <w:rFonts w:eastAsia="Times New Roman"/>
          <w:sz w:val="24"/>
          <w:szCs w:val="24"/>
        </w:rPr>
      </w:pPr>
    </w:p>
    <w:p w14:paraId="281A228D" w14:textId="77777777" w:rsidR="004647B9" w:rsidRPr="003B4234" w:rsidRDefault="00E2436F" w:rsidP="00BA47C3">
      <w:pPr>
        <w:numPr>
          <w:ilvl w:val="0"/>
          <w:numId w:val="552"/>
        </w:numPr>
        <w:tabs>
          <w:tab w:val="left" w:pos="1780"/>
        </w:tabs>
        <w:ind w:left="1780" w:hanging="580"/>
        <w:rPr>
          <w:rFonts w:eastAsia="Times New Roman"/>
          <w:sz w:val="24"/>
          <w:szCs w:val="24"/>
        </w:rPr>
      </w:pPr>
      <w:r w:rsidRPr="003B4234">
        <w:rPr>
          <w:rFonts w:eastAsia="Times New Roman"/>
          <w:sz w:val="24"/>
          <w:szCs w:val="24"/>
        </w:rPr>
        <w:t>A Non-community Water System shall comply with the following:</w:t>
      </w:r>
    </w:p>
    <w:p w14:paraId="281A228F" w14:textId="77777777" w:rsidR="004647B9" w:rsidRPr="003B4234" w:rsidRDefault="00E2436F" w:rsidP="00BA47C3">
      <w:pPr>
        <w:numPr>
          <w:ilvl w:val="1"/>
          <w:numId w:val="552"/>
        </w:numPr>
        <w:tabs>
          <w:tab w:val="left" w:pos="1954"/>
        </w:tabs>
        <w:ind w:left="1560" w:hanging="5"/>
        <w:jc w:val="both"/>
        <w:rPr>
          <w:rFonts w:eastAsia="Times New Roman"/>
          <w:sz w:val="24"/>
          <w:szCs w:val="24"/>
        </w:rPr>
      </w:pPr>
      <w:r w:rsidRPr="003B4234">
        <w:rPr>
          <w:rFonts w:eastAsia="Times New Roman"/>
          <w:sz w:val="24"/>
          <w:szCs w:val="24"/>
        </w:rPr>
        <w:t>Post a Consumer Confidence Report within 30 days of notification from the Department that the report is available. Posting must be in a conspicuous location(s) for the public to read. The report shall remain posted until a new report is made available.</w:t>
      </w:r>
    </w:p>
    <w:p w14:paraId="281A2291" w14:textId="77777777" w:rsidR="004647B9" w:rsidRPr="003B4234" w:rsidRDefault="00E2436F" w:rsidP="00BA47C3">
      <w:pPr>
        <w:numPr>
          <w:ilvl w:val="1"/>
          <w:numId w:val="552"/>
        </w:numPr>
        <w:tabs>
          <w:tab w:val="left" w:pos="2063"/>
        </w:tabs>
        <w:ind w:left="1560" w:hanging="5"/>
        <w:rPr>
          <w:rFonts w:eastAsia="Times New Roman"/>
          <w:sz w:val="24"/>
          <w:szCs w:val="24"/>
        </w:rPr>
      </w:pPr>
      <w:r w:rsidRPr="003B4234">
        <w:rPr>
          <w:rFonts w:eastAsia="Times New Roman"/>
          <w:sz w:val="24"/>
          <w:szCs w:val="24"/>
        </w:rPr>
        <w:t>The Non-community Water System must retain copies of its Consumer Confidence Report for no less than three years and make it available to the public upon request.</w:t>
      </w:r>
    </w:p>
    <w:p w14:paraId="281A2292" w14:textId="77777777" w:rsidR="004647B9" w:rsidRPr="003B4234" w:rsidRDefault="004647B9" w:rsidP="00BA47C3">
      <w:pPr>
        <w:rPr>
          <w:rFonts w:eastAsia="Times New Roman"/>
          <w:sz w:val="24"/>
          <w:szCs w:val="24"/>
        </w:rPr>
      </w:pPr>
    </w:p>
    <w:p w14:paraId="281A2293" w14:textId="77777777" w:rsidR="004647B9" w:rsidRPr="003B4234" w:rsidRDefault="00E2436F" w:rsidP="00BA47C3">
      <w:pPr>
        <w:numPr>
          <w:ilvl w:val="0"/>
          <w:numId w:val="552"/>
        </w:numPr>
        <w:tabs>
          <w:tab w:val="left" w:pos="1780"/>
        </w:tabs>
        <w:ind w:left="1780" w:hanging="580"/>
        <w:rPr>
          <w:rFonts w:eastAsia="Times New Roman"/>
          <w:sz w:val="24"/>
          <w:szCs w:val="24"/>
        </w:rPr>
      </w:pPr>
      <w:r w:rsidRPr="003B4234">
        <w:rPr>
          <w:rFonts w:eastAsia="Times New Roman"/>
          <w:sz w:val="24"/>
          <w:szCs w:val="24"/>
          <w:u w:val="single"/>
        </w:rPr>
        <w:t>Consumer Confidence Reporting Requirements</w:t>
      </w:r>
      <w:r w:rsidRPr="003B4234">
        <w:rPr>
          <w:rFonts w:eastAsia="Times New Roman"/>
          <w:sz w:val="24"/>
          <w:szCs w:val="24"/>
        </w:rPr>
        <w:t>. (Reserved)</w:t>
      </w:r>
    </w:p>
    <w:p w14:paraId="281A2294" w14:textId="77777777" w:rsidR="004647B9" w:rsidRPr="003B4234" w:rsidRDefault="004647B9" w:rsidP="00BA47C3">
      <w:pPr>
        <w:rPr>
          <w:rFonts w:eastAsia="Times New Roman"/>
          <w:sz w:val="24"/>
          <w:szCs w:val="24"/>
        </w:rPr>
      </w:pPr>
    </w:p>
    <w:p w14:paraId="281A2295" w14:textId="77777777" w:rsidR="004647B9" w:rsidRPr="003B4234" w:rsidRDefault="00E2436F" w:rsidP="00BA47C3">
      <w:pPr>
        <w:numPr>
          <w:ilvl w:val="0"/>
          <w:numId w:val="552"/>
        </w:numPr>
        <w:tabs>
          <w:tab w:val="left" w:pos="1787"/>
        </w:tabs>
        <w:ind w:left="1200"/>
        <w:jc w:val="both"/>
        <w:rPr>
          <w:rFonts w:eastAsia="Times New Roman"/>
          <w:sz w:val="24"/>
          <w:szCs w:val="24"/>
        </w:rPr>
      </w:pPr>
      <w:r w:rsidRPr="003B4234">
        <w:rPr>
          <w:rFonts w:eastAsia="Times New Roman"/>
          <w:sz w:val="24"/>
          <w:szCs w:val="24"/>
          <w:u w:val="single"/>
        </w:rPr>
        <w:t>Consumer Confidence Report by the Department for Any Public Water System Subject to 310 CMR 22.16A</w:t>
      </w:r>
      <w:r w:rsidRPr="003B4234">
        <w:rPr>
          <w:rFonts w:eastAsia="Times New Roman"/>
          <w:sz w:val="24"/>
          <w:szCs w:val="24"/>
        </w:rPr>
        <w:t>. The Department may prepare and issue to the public a report as required by 310 CMR 22.16A on behalf of the Public Water System. The Public Water System remains legally responsible for ensuring that the requirements of 310 CMR 22.16A are met. The Department reserves the right to issue on behalf of the Public Water System the report to the public when not required by 310 CMR 22.16A in the event of a significant health problem. The Public Water System shall be responsible for all fees incurred by the Department as a result of issuing such report.</w:t>
      </w:r>
    </w:p>
    <w:p w14:paraId="281A2296" w14:textId="77777777" w:rsidR="004647B9" w:rsidRDefault="004647B9" w:rsidP="00BA47C3">
      <w:pPr>
        <w:rPr>
          <w:rFonts w:eastAsia="Times New Roman"/>
          <w:sz w:val="24"/>
          <w:szCs w:val="24"/>
        </w:rPr>
      </w:pPr>
    </w:p>
    <w:p w14:paraId="281A2297" w14:textId="77777777" w:rsidR="004647B9" w:rsidRDefault="00E2436F" w:rsidP="00BA47C3">
      <w:pPr>
        <w:numPr>
          <w:ilvl w:val="0"/>
          <w:numId w:val="552"/>
        </w:numPr>
        <w:tabs>
          <w:tab w:val="left" w:pos="1758"/>
        </w:tabs>
        <w:ind w:left="1200"/>
        <w:jc w:val="both"/>
        <w:rPr>
          <w:rFonts w:eastAsia="Times New Roman"/>
          <w:sz w:val="24"/>
          <w:szCs w:val="24"/>
        </w:rPr>
      </w:pPr>
      <w:r>
        <w:rPr>
          <w:rFonts w:eastAsia="Times New Roman"/>
          <w:sz w:val="24"/>
          <w:szCs w:val="24"/>
        </w:rPr>
        <w:t>A Public Water System receiving water from a source approved by the Department under an Emergency agreement shall comply with 310 CMR 22.16A(4) for the Emergency Source unless otherwise approved in writing by the Department.</w:t>
      </w:r>
    </w:p>
    <w:p w14:paraId="281A2298" w14:textId="77777777" w:rsidR="004647B9" w:rsidRDefault="004647B9" w:rsidP="00BA47C3">
      <w:pPr>
        <w:sectPr w:rsidR="004647B9" w:rsidSect="00EF630C">
          <w:pgSz w:w="12240" w:h="20180"/>
          <w:pgMar w:top="708" w:right="1440" w:bottom="1440" w:left="600" w:header="0" w:footer="0" w:gutter="0"/>
          <w:cols w:space="720"/>
        </w:sectPr>
      </w:pPr>
    </w:p>
    <w:p w14:paraId="281A2299" w14:textId="77777777" w:rsidR="004647B9" w:rsidRDefault="00E2436F">
      <w:pPr>
        <w:tabs>
          <w:tab w:val="left" w:pos="2860"/>
        </w:tabs>
        <w:ind w:left="1680"/>
        <w:rPr>
          <w:sz w:val="20"/>
          <w:szCs w:val="20"/>
        </w:rPr>
      </w:pPr>
      <w:bookmarkStart w:id="218" w:name="page220"/>
      <w:bookmarkEnd w:id="21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29A" w14:textId="77777777" w:rsidR="004647B9" w:rsidRDefault="004647B9" w:rsidP="009716D2">
      <w:pPr>
        <w:rPr>
          <w:sz w:val="20"/>
          <w:szCs w:val="20"/>
        </w:rPr>
      </w:pPr>
    </w:p>
    <w:p w14:paraId="281A229B" w14:textId="77777777" w:rsidR="004647B9" w:rsidRDefault="004647B9" w:rsidP="009716D2">
      <w:pPr>
        <w:rPr>
          <w:sz w:val="20"/>
          <w:szCs w:val="20"/>
        </w:rPr>
      </w:pPr>
    </w:p>
    <w:p w14:paraId="281A229C" w14:textId="77777777" w:rsidR="004647B9" w:rsidRPr="003B4234" w:rsidRDefault="00E2436F" w:rsidP="009716D2">
      <w:pPr>
        <w:tabs>
          <w:tab w:val="left" w:pos="940"/>
        </w:tabs>
        <w:rPr>
          <w:sz w:val="24"/>
          <w:szCs w:val="24"/>
        </w:rPr>
      </w:pPr>
      <w:r w:rsidRPr="003B4234">
        <w:rPr>
          <w:rFonts w:eastAsia="Times New Roman"/>
          <w:sz w:val="24"/>
          <w:szCs w:val="24"/>
        </w:rPr>
        <w:t>22.16A:</w:t>
      </w:r>
      <w:r w:rsidRPr="003B4234">
        <w:rPr>
          <w:sz w:val="24"/>
          <w:szCs w:val="24"/>
        </w:rPr>
        <w:tab/>
      </w:r>
      <w:r w:rsidRPr="003B4234">
        <w:rPr>
          <w:rFonts w:eastAsia="Times New Roman"/>
          <w:sz w:val="24"/>
          <w:szCs w:val="24"/>
        </w:rPr>
        <w:t>continued</w:t>
      </w:r>
    </w:p>
    <w:p w14:paraId="281A229D" w14:textId="77777777" w:rsidR="004647B9" w:rsidRPr="009716D2" w:rsidRDefault="004647B9" w:rsidP="009716D2">
      <w:pPr>
        <w:rPr>
          <w:sz w:val="20"/>
          <w:szCs w:val="20"/>
        </w:rPr>
      </w:pPr>
    </w:p>
    <w:p w14:paraId="281A229E" w14:textId="77777777" w:rsidR="004647B9" w:rsidRPr="003B4234" w:rsidRDefault="00E2436F" w:rsidP="009716D2">
      <w:pPr>
        <w:numPr>
          <w:ilvl w:val="0"/>
          <w:numId w:val="553"/>
        </w:numPr>
        <w:tabs>
          <w:tab w:val="left" w:pos="2016"/>
        </w:tabs>
        <w:ind w:left="1200" w:right="500"/>
        <w:rPr>
          <w:rFonts w:eastAsia="Times New Roman"/>
          <w:sz w:val="24"/>
          <w:szCs w:val="24"/>
        </w:rPr>
      </w:pPr>
      <w:r w:rsidRPr="003B4234">
        <w:rPr>
          <w:rFonts w:eastAsia="Times New Roman"/>
          <w:sz w:val="24"/>
          <w:szCs w:val="24"/>
          <w:u w:val="single"/>
        </w:rPr>
        <w:t>Charts for Regulated Contaminants, Unregulated Contaminants, and Secondary Contaminants</w:t>
      </w:r>
      <w:r w:rsidRPr="003B4234">
        <w:rPr>
          <w:rFonts w:eastAsia="Times New Roman"/>
          <w:sz w:val="24"/>
          <w:szCs w:val="24"/>
        </w:rPr>
        <w:t>.</w:t>
      </w:r>
    </w:p>
    <w:p w14:paraId="281A22A0" w14:textId="77777777" w:rsidR="004647B9" w:rsidRPr="003B4234" w:rsidRDefault="00E2436F" w:rsidP="009716D2">
      <w:pPr>
        <w:numPr>
          <w:ilvl w:val="1"/>
          <w:numId w:val="553"/>
        </w:numPr>
        <w:tabs>
          <w:tab w:val="left" w:pos="2000"/>
        </w:tabs>
        <w:ind w:left="2000" w:hanging="445"/>
        <w:rPr>
          <w:rFonts w:eastAsia="Times New Roman"/>
          <w:sz w:val="24"/>
          <w:szCs w:val="24"/>
        </w:rPr>
      </w:pPr>
      <w:r w:rsidRPr="003B4234">
        <w:rPr>
          <w:rFonts w:eastAsia="Times New Roman"/>
          <w:sz w:val="24"/>
          <w:szCs w:val="24"/>
          <w:u w:val="single"/>
        </w:rPr>
        <w:t>Table 1: Regulated Contaminants Chart</w:t>
      </w:r>
    </w:p>
    <w:p w14:paraId="281A22A2" w14:textId="77777777" w:rsidR="004647B9" w:rsidRDefault="00E2436F" w:rsidP="009716D2">
      <w:pPr>
        <w:rPr>
          <w:sz w:val="20"/>
          <w:szCs w:val="20"/>
        </w:rPr>
      </w:pPr>
      <w:r>
        <w:rPr>
          <w:rFonts w:eastAsia="Times New Roman"/>
        </w:rPr>
        <w:t>Key:</w:t>
      </w:r>
    </w:p>
    <w:p w14:paraId="281A22A3" w14:textId="77777777" w:rsidR="004647B9" w:rsidRDefault="004647B9" w:rsidP="009716D2">
      <w:pPr>
        <w:sectPr w:rsidR="004647B9" w:rsidSect="00EF630C">
          <w:pgSz w:w="12240" w:h="20180"/>
          <w:pgMar w:top="708" w:right="940" w:bottom="1440" w:left="600" w:header="0" w:footer="0" w:gutter="0"/>
          <w:cols w:space="720"/>
        </w:sectPr>
      </w:pPr>
    </w:p>
    <w:p w14:paraId="281A22A4" w14:textId="51F9B061" w:rsidR="004647B9" w:rsidRDefault="004647B9" w:rsidP="009716D2">
      <w:pPr>
        <w:rPr>
          <w:sz w:val="20"/>
          <w:szCs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330"/>
        <w:gridCol w:w="4130"/>
      </w:tblGrid>
      <w:tr w:rsidR="003235BD" w14:paraId="2020E77A" w14:textId="77777777" w:rsidTr="00660047">
        <w:trPr>
          <w:trHeight w:val="576"/>
        </w:trPr>
        <w:tc>
          <w:tcPr>
            <w:tcW w:w="3150" w:type="dxa"/>
            <w:vAlign w:val="center"/>
          </w:tcPr>
          <w:p w14:paraId="7D2336CD" w14:textId="08D33B48" w:rsidR="003235BD" w:rsidRDefault="003235BD" w:rsidP="00660047">
            <w:pPr>
              <w:rPr>
                <w:sz w:val="20"/>
                <w:szCs w:val="20"/>
              </w:rPr>
            </w:pPr>
            <w:r>
              <w:rPr>
                <w:rFonts w:eastAsia="Times New Roman"/>
                <w:b/>
                <w:bCs/>
                <w:sz w:val="18"/>
                <w:szCs w:val="18"/>
              </w:rPr>
              <w:t>AL=</w:t>
            </w:r>
            <w:r>
              <w:rPr>
                <w:rFonts w:eastAsia="Times New Roman"/>
                <w:sz w:val="18"/>
                <w:szCs w:val="18"/>
              </w:rPr>
              <w:t>Action Level</w:t>
            </w:r>
          </w:p>
        </w:tc>
        <w:tc>
          <w:tcPr>
            <w:tcW w:w="3330" w:type="dxa"/>
            <w:vAlign w:val="center"/>
          </w:tcPr>
          <w:p w14:paraId="4AFA5AF2" w14:textId="45BBBDF3" w:rsidR="003235BD" w:rsidRDefault="00660047" w:rsidP="00660047">
            <w:pPr>
              <w:rPr>
                <w:sz w:val="20"/>
                <w:szCs w:val="20"/>
              </w:rPr>
            </w:pPr>
            <w:r>
              <w:rPr>
                <w:rFonts w:eastAsia="Times New Roman"/>
                <w:b/>
                <w:bCs/>
                <w:sz w:val="18"/>
                <w:szCs w:val="18"/>
              </w:rPr>
              <w:t>MRDL=</w:t>
            </w:r>
            <w:r>
              <w:rPr>
                <w:rFonts w:eastAsia="Times New Roman"/>
                <w:sz w:val="18"/>
                <w:szCs w:val="18"/>
              </w:rPr>
              <w:t>Maximum Residual</w:t>
            </w:r>
            <w:r>
              <w:rPr>
                <w:rFonts w:eastAsia="Times New Roman"/>
                <w:b/>
                <w:bCs/>
                <w:sz w:val="18"/>
                <w:szCs w:val="18"/>
              </w:rPr>
              <w:t xml:space="preserve"> </w:t>
            </w:r>
            <w:r>
              <w:rPr>
                <w:rFonts w:eastAsia="Times New Roman"/>
                <w:sz w:val="18"/>
                <w:szCs w:val="18"/>
              </w:rPr>
              <w:t>Disinfectant Level</w:t>
            </w:r>
          </w:p>
        </w:tc>
        <w:tc>
          <w:tcPr>
            <w:tcW w:w="4130" w:type="dxa"/>
            <w:vAlign w:val="center"/>
          </w:tcPr>
          <w:p w14:paraId="017FD527" w14:textId="130734A5" w:rsidR="003235BD" w:rsidRDefault="003235BD" w:rsidP="00660047">
            <w:pPr>
              <w:rPr>
                <w:sz w:val="20"/>
                <w:szCs w:val="20"/>
              </w:rPr>
            </w:pPr>
            <w:r>
              <w:rPr>
                <w:rFonts w:eastAsia="Times New Roman"/>
                <w:b/>
                <w:bCs/>
                <w:sz w:val="18"/>
                <w:szCs w:val="18"/>
              </w:rPr>
              <w:t>ppm</w:t>
            </w:r>
            <w:r>
              <w:rPr>
                <w:rFonts w:eastAsia="Times New Roman"/>
                <w:sz w:val="18"/>
                <w:szCs w:val="18"/>
              </w:rPr>
              <w:t>=parts per million, or milligrams</w:t>
            </w:r>
            <w:r>
              <w:rPr>
                <w:rFonts w:eastAsia="Times New Roman"/>
                <w:b/>
                <w:bCs/>
                <w:sz w:val="18"/>
                <w:szCs w:val="18"/>
              </w:rPr>
              <w:t xml:space="preserve"> </w:t>
            </w:r>
            <w:r>
              <w:rPr>
                <w:rFonts w:eastAsia="Times New Roman"/>
                <w:sz w:val="18"/>
                <w:szCs w:val="18"/>
              </w:rPr>
              <w:t>per liter (mg/L)</w:t>
            </w:r>
          </w:p>
        </w:tc>
      </w:tr>
      <w:tr w:rsidR="00660047" w14:paraId="1B871331" w14:textId="77777777" w:rsidTr="00660047">
        <w:tc>
          <w:tcPr>
            <w:tcW w:w="3150" w:type="dxa"/>
            <w:vAlign w:val="center"/>
          </w:tcPr>
          <w:p w14:paraId="700A2A6E" w14:textId="52863FFB" w:rsidR="00660047" w:rsidRDefault="00660047" w:rsidP="00660047">
            <w:pPr>
              <w:rPr>
                <w:rFonts w:eastAsia="Times New Roman"/>
                <w:b/>
                <w:bCs/>
                <w:sz w:val="18"/>
                <w:szCs w:val="18"/>
              </w:rPr>
            </w:pPr>
            <w:r>
              <w:rPr>
                <w:rFonts w:eastAsia="Times New Roman"/>
                <w:b/>
                <w:bCs/>
                <w:sz w:val="18"/>
                <w:szCs w:val="18"/>
              </w:rPr>
              <w:t>CCR</w:t>
            </w:r>
            <w:r w:rsidRPr="005F7F77">
              <w:rPr>
                <w:rFonts w:eastAsia="Times New Roman"/>
                <w:sz w:val="18"/>
                <w:szCs w:val="18"/>
              </w:rPr>
              <w:t>=Consumer Confidence Report</w:t>
            </w:r>
          </w:p>
        </w:tc>
        <w:tc>
          <w:tcPr>
            <w:tcW w:w="3330" w:type="dxa"/>
            <w:vAlign w:val="center"/>
          </w:tcPr>
          <w:p w14:paraId="510AA882" w14:textId="247314B6" w:rsidR="00660047" w:rsidRDefault="00660047" w:rsidP="00660047">
            <w:pPr>
              <w:rPr>
                <w:rFonts w:eastAsia="Times New Roman"/>
                <w:b/>
                <w:bCs/>
                <w:sz w:val="18"/>
                <w:szCs w:val="18"/>
              </w:rPr>
            </w:pPr>
            <w:r>
              <w:rPr>
                <w:rFonts w:eastAsia="Times New Roman"/>
                <w:b/>
                <w:bCs/>
                <w:sz w:val="18"/>
                <w:szCs w:val="18"/>
              </w:rPr>
              <w:t>MRDLG</w:t>
            </w:r>
            <w:r>
              <w:rPr>
                <w:rFonts w:eastAsia="Times New Roman"/>
                <w:sz w:val="18"/>
                <w:szCs w:val="18"/>
              </w:rPr>
              <w:t>=Maximum Residual</w:t>
            </w:r>
            <w:r>
              <w:rPr>
                <w:rFonts w:eastAsia="Times New Roman"/>
                <w:b/>
                <w:bCs/>
                <w:sz w:val="18"/>
                <w:szCs w:val="18"/>
              </w:rPr>
              <w:t xml:space="preserve"> </w:t>
            </w:r>
            <w:r>
              <w:rPr>
                <w:rFonts w:eastAsia="Times New Roman"/>
                <w:sz w:val="18"/>
                <w:szCs w:val="18"/>
              </w:rPr>
              <w:t>Disinfectant Level Goal</w:t>
            </w:r>
          </w:p>
        </w:tc>
        <w:tc>
          <w:tcPr>
            <w:tcW w:w="4130" w:type="dxa"/>
            <w:vAlign w:val="center"/>
          </w:tcPr>
          <w:p w14:paraId="20EF6875" w14:textId="6C0F3842" w:rsidR="00660047" w:rsidRDefault="00660047" w:rsidP="00660047">
            <w:pPr>
              <w:rPr>
                <w:rFonts w:eastAsia="Times New Roman"/>
                <w:b/>
                <w:bCs/>
                <w:sz w:val="18"/>
                <w:szCs w:val="18"/>
              </w:rPr>
            </w:pPr>
            <w:r>
              <w:rPr>
                <w:rFonts w:eastAsia="Times New Roman"/>
                <w:b/>
                <w:bCs/>
                <w:sz w:val="18"/>
                <w:szCs w:val="18"/>
              </w:rPr>
              <w:t>ppb</w:t>
            </w:r>
            <w:r>
              <w:rPr>
                <w:rFonts w:eastAsia="Times New Roman"/>
                <w:sz w:val="18"/>
                <w:szCs w:val="18"/>
              </w:rPr>
              <w:t>=parts per billion, or micrograms</w:t>
            </w:r>
            <w:r>
              <w:rPr>
                <w:rFonts w:eastAsia="Times New Roman"/>
                <w:b/>
                <w:bCs/>
                <w:sz w:val="18"/>
                <w:szCs w:val="18"/>
              </w:rPr>
              <w:t xml:space="preserve"> </w:t>
            </w:r>
            <w:r>
              <w:rPr>
                <w:rFonts w:eastAsia="Times New Roman"/>
                <w:sz w:val="18"/>
                <w:szCs w:val="18"/>
              </w:rPr>
              <w:t>per liter (ug/L)</w:t>
            </w:r>
          </w:p>
        </w:tc>
      </w:tr>
      <w:tr w:rsidR="00660047" w14:paraId="4F6A5646" w14:textId="77777777" w:rsidTr="00660047">
        <w:tc>
          <w:tcPr>
            <w:tcW w:w="3150" w:type="dxa"/>
            <w:vAlign w:val="center"/>
          </w:tcPr>
          <w:p w14:paraId="295CF08A" w14:textId="2FC06102" w:rsidR="00660047" w:rsidRDefault="00660047" w:rsidP="00660047">
            <w:pPr>
              <w:rPr>
                <w:sz w:val="20"/>
                <w:szCs w:val="20"/>
              </w:rPr>
            </w:pPr>
            <w:r>
              <w:rPr>
                <w:rFonts w:eastAsia="Times New Roman"/>
                <w:b/>
                <w:bCs/>
                <w:sz w:val="18"/>
                <w:szCs w:val="18"/>
              </w:rPr>
              <w:t>MCL=</w:t>
            </w:r>
            <w:r>
              <w:rPr>
                <w:rFonts w:eastAsia="Times New Roman"/>
                <w:sz w:val="18"/>
                <w:szCs w:val="18"/>
              </w:rPr>
              <w:t>Maximum Contaminant Level</w:t>
            </w:r>
          </w:p>
        </w:tc>
        <w:tc>
          <w:tcPr>
            <w:tcW w:w="3330" w:type="dxa"/>
            <w:vAlign w:val="center"/>
          </w:tcPr>
          <w:p w14:paraId="6D84AC78" w14:textId="6DEE4A7A" w:rsidR="00660047" w:rsidRDefault="00660047" w:rsidP="00660047">
            <w:pPr>
              <w:rPr>
                <w:sz w:val="20"/>
                <w:szCs w:val="20"/>
              </w:rPr>
            </w:pPr>
            <w:r>
              <w:rPr>
                <w:rFonts w:eastAsia="Times New Roman"/>
                <w:b/>
                <w:bCs/>
                <w:sz w:val="18"/>
                <w:szCs w:val="18"/>
              </w:rPr>
              <w:t>mrem/year</w:t>
            </w:r>
            <w:r>
              <w:rPr>
                <w:rFonts w:eastAsia="Times New Roman"/>
                <w:sz w:val="18"/>
                <w:szCs w:val="18"/>
              </w:rPr>
              <w:t>=millirems per year (a</w:t>
            </w:r>
            <w:r>
              <w:rPr>
                <w:rFonts w:eastAsia="Times New Roman"/>
                <w:b/>
                <w:bCs/>
                <w:sz w:val="18"/>
                <w:szCs w:val="18"/>
              </w:rPr>
              <w:t xml:space="preserve"> </w:t>
            </w:r>
            <w:r>
              <w:rPr>
                <w:rFonts w:eastAsia="Times New Roman"/>
                <w:sz w:val="18"/>
                <w:szCs w:val="18"/>
              </w:rPr>
              <w:t>measure of radiation absorbed by the body)</w:t>
            </w:r>
          </w:p>
        </w:tc>
        <w:tc>
          <w:tcPr>
            <w:tcW w:w="4130" w:type="dxa"/>
            <w:vAlign w:val="center"/>
          </w:tcPr>
          <w:p w14:paraId="15D960FC" w14:textId="1EEE2E95" w:rsidR="00660047" w:rsidRDefault="00660047" w:rsidP="00660047">
            <w:pPr>
              <w:rPr>
                <w:sz w:val="20"/>
                <w:szCs w:val="20"/>
              </w:rPr>
            </w:pPr>
            <w:r>
              <w:rPr>
                <w:rFonts w:eastAsia="Times New Roman"/>
                <w:b/>
                <w:bCs/>
                <w:sz w:val="18"/>
                <w:szCs w:val="18"/>
              </w:rPr>
              <w:t>ppt</w:t>
            </w:r>
            <w:r>
              <w:rPr>
                <w:rFonts w:eastAsia="Times New Roman"/>
                <w:sz w:val="18"/>
                <w:szCs w:val="18"/>
              </w:rPr>
              <w:t>=parts per trillion, or nanograms</w:t>
            </w:r>
            <w:r>
              <w:rPr>
                <w:rFonts w:eastAsia="Times New Roman"/>
                <w:b/>
                <w:bCs/>
                <w:sz w:val="18"/>
                <w:szCs w:val="18"/>
              </w:rPr>
              <w:t xml:space="preserve"> </w:t>
            </w:r>
            <w:r>
              <w:rPr>
                <w:rFonts w:eastAsia="Times New Roman"/>
                <w:sz w:val="18"/>
                <w:szCs w:val="18"/>
              </w:rPr>
              <w:t>per liter</w:t>
            </w:r>
          </w:p>
        </w:tc>
      </w:tr>
      <w:tr w:rsidR="00660047" w14:paraId="70A05B0E" w14:textId="77777777" w:rsidTr="00660047">
        <w:tc>
          <w:tcPr>
            <w:tcW w:w="3150" w:type="dxa"/>
            <w:vAlign w:val="center"/>
          </w:tcPr>
          <w:p w14:paraId="3D7C9425" w14:textId="20D304A2" w:rsidR="00660047" w:rsidRDefault="00660047" w:rsidP="00660047">
            <w:pPr>
              <w:rPr>
                <w:sz w:val="20"/>
                <w:szCs w:val="20"/>
              </w:rPr>
            </w:pPr>
            <w:r>
              <w:rPr>
                <w:rFonts w:eastAsia="Times New Roman"/>
                <w:b/>
                <w:bCs/>
                <w:sz w:val="18"/>
                <w:szCs w:val="18"/>
              </w:rPr>
              <w:t>MCLG =</w:t>
            </w:r>
            <w:r>
              <w:rPr>
                <w:rFonts w:eastAsia="Times New Roman"/>
                <w:sz w:val="18"/>
                <w:szCs w:val="18"/>
              </w:rPr>
              <w:t>Maximum Contaminant Level Goal</w:t>
            </w:r>
          </w:p>
        </w:tc>
        <w:tc>
          <w:tcPr>
            <w:tcW w:w="3330" w:type="dxa"/>
            <w:vAlign w:val="center"/>
          </w:tcPr>
          <w:p w14:paraId="6F4C2BAD" w14:textId="69AC2BA5" w:rsidR="00660047" w:rsidRDefault="00660047" w:rsidP="00660047">
            <w:pPr>
              <w:rPr>
                <w:sz w:val="20"/>
                <w:szCs w:val="20"/>
              </w:rPr>
            </w:pPr>
            <w:r>
              <w:rPr>
                <w:rFonts w:eastAsia="Times New Roman"/>
                <w:b/>
                <w:bCs/>
                <w:sz w:val="18"/>
                <w:szCs w:val="18"/>
              </w:rPr>
              <w:t>NTU</w:t>
            </w:r>
            <w:r>
              <w:rPr>
                <w:rFonts w:eastAsia="Times New Roman"/>
                <w:sz w:val="18"/>
                <w:szCs w:val="18"/>
              </w:rPr>
              <w:t>=Nephelometric Turbidity Units</w:t>
            </w:r>
          </w:p>
        </w:tc>
        <w:tc>
          <w:tcPr>
            <w:tcW w:w="4130" w:type="dxa"/>
            <w:vAlign w:val="center"/>
          </w:tcPr>
          <w:p w14:paraId="58347CB0" w14:textId="327DC9E5" w:rsidR="00660047" w:rsidRDefault="00660047" w:rsidP="00660047">
            <w:pPr>
              <w:rPr>
                <w:sz w:val="20"/>
                <w:szCs w:val="20"/>
              </w:rPr>
            </w:pPr>
            <w:r>
              <w:rPr>
                <w:rFonts w:eastAsia="Times New Roman"/>
                <w:b/>
                <w:bCs/>
                <w:sz w:val="18"/>
                <w:szCs w:val="18"/>
              </w:rPr>
              <w:t>ppq</w:t>
            </w:r>
            <w:r>
              <w:rPr>
                <w:rFonts w:eastAsia="Times New Roman"/>
                <w:sz w:val="18"/>
                <w:szCs w:val="18"/>
              </w:rPr>
              <w:t>=parts per quadrillion, or</w:t>
            </w:r>
            <w:r>
              <w:rPr>
                <w:rFonts w:eastAsia="Times New Roman"/>
                <w:b/>
                <w:bCs/>
                <w:sz w:val="18"/>
                <w:szCs w:val="18"/>
              </w:rPr>
              <w:t xml:space="preserve"> </w:t>
            </w:r>
            <w:r>
              <w:rPr>
                <w:rFonts w:eastAsia="Times New Roman"/>
                <w:sz w:val="18"/>
                <w:szCs w:val="18"/>
              </w:rPr>
              <w:t>picograms per liter</w:t>
            </w:r>
          </w:p>
        </w:tc>
      </w:tr>
      <w:tr w:rsidR="00660047" w14:paraId="0A9C17BE" w14:textId="77777777" w:rsidTr="00660047">
        <w:tc>
          <w:tcPr>
            <w:tcW w:w="3150" w:type="dxa"/>
            <w:vAlign w:val="center"/>
          </w:tcPr>
          <w:p w14:paraId="52D2103C" w14:textId="5A469454" w:rsidR="00660047" w:rsidRDefault="00660047" w:rsidP="00660047">
            <w:pPr>
              <w:rPr>
                <w:sz w:val="20"/>
                <w:szCs w:val="20"/>
              </w:rPr>
            </w:pPr>
            <w:r>
              <w:rPr>
                <w:rFonts w:eastAsia="Times New Roman"/>
                <w:b/>
                <w:bCs/>
                <w:sz w:val="18"/>
                <w:szCs w:val="18"/>
              </w:rPr>
              <w:t>MFL=</w:t>
            </w:r>
            <w:r>
              <w:rPr>
                <w:rFonts w:eastAsia="Times New Roman"/>
                <w:sz w:val="18"/>
                <w:szCs w:val="18"/>
              </w:rPr>
              <w:t>Million Fibers per Liter</w:t>
            </w:r>
          </w:p>
        </w:tc>
        <w:tc>
          <w:tcPr>
            <w:tcW w:w="3330" w:type="dxa"/>
            <w:vAlign w:val="center"/>
          </w:tcPr>
          <w:p w14:paraId="5FC5BA37" w14:textId="0D134691" w:rsidR="00660047" w:rsidRDefault="00660047" w:rsidP="00660047">
            <w:pPr>
              <w:rPr>
                <w:sz w:val="20"/>
                <w:szCs w:val="20"/>
              </w:rPr>
            </w:pPr>
            <w:r>
              <w:rPr>
                <w:rFonts w:eastAsia="Times New Roman"/>
                <w:b/>
                <w:bCs/>
                <w:sz w:val="18"/>
                <w:szCs w:val="18"/>
              </w:rPr>
              <w:t>pCi/L</w:t>
            </w:r>
            <w:r>
              <w:rPr>
                <w:rFonts w:eastAsia="Times New Roman"/>
                <w:sz w:val="18"/>
                <w:szCs w:val="18"/>
              </w:rPr>
              <w:t>=picocuries per liter (a measure</w:t>
            </w:r>
            <w:r>
              <w:rPr>
                <w:rFonts w:eastAsia="Times New Roman"/>
                <w:b/>
                <w:bCs/>
                <w:sz w:val="18"/>
                <w:szCs w:val="18"/>
              </w:rPr>
              <w:t xml:space="preserve"> </w:t>
            </w:r>
            <w:r>
              <w:rPr>
                <w:rFonts w:eastAsia="Times New Roman"/>
                <w:sz w:val="18"/>
                <w:szCs w:val="18"/>
              </w:rPr>
              <w:t>of radioactivity)</w:t>
            </w:r>
          </w:p>
        </w:tc>
        <w:tc>
          <w:tcPr>
            <w:tcW w:w="4130" w:type="dxa"/>
            <w:vAlign w:val="center"/>
          </w:tcPr>
          <w:p w14:paraId="3F85C9D0" w14:textId="1EB71FC6" w:rsidR="00660047" w:rsidRDefault="00660047" w:rsidP="00660047">
            <w:pPr>
              <w:rPr>
                <w:sz w:val="20"/>
                <w:szCs w:val="20"/>
              </w:rPr>
            </w:pPr>
            <w:r>
              <w:rPr>
                <w:rFonts w:eastAsia="Times New Roman"/>
                <w:b/>
                <w:bCs/>
                <w:sz w:val="18"/>
                <w:szCs w:val="18"/>
              </w:rPr>
              <w:t>TT</w:t>
            </w:r>
            <w:r>
              <w:rPr>
                <w:rFonts w:eastAsia="Times New Roman"/>
                <w:sz w:val="18"/>
                <w:szCs w:val="18"/>
              </w:rPr>
              <w:t>=Treatment Technique</w:t>
            </w:r>
          </w:p>
        </w:tc>
      </w:tr>
    </w:tbl>
    <w:p w14:paraId="281A22BA" w14:textId="77777777" w:rsidR="004647B9" w:rsidRDefault="004647B9">
      <w:pPr>
        <w:spacing w:line="200" w:lineRule="exact"/>
        <w:rPr>
          <w:sz w:val="20"/>
          <w:szCs w:val="20"/>
        </w:rPr>
      </w:pPr>
    </w:p>
    <w:p w14:paraId="281A22BB" w14:textId="77777777" w:rsidR="004647B9" w:rsidRDefault="004647B9">
      <w:pPr>
        <w:sectPr w:rsidR="004647B9" w:rsidSect="00EF630C">
          <w:type w:val="continuous"/>
          <w:pgSz w:w="12240" w:h="20180"/>
          <w:pgMar w:top="708" w:right="940" w:bottom="1440" w:left="600" w:header="0" w:footer="0" w:gutter="0"/>
          <w:cols w:space="720"/>
        </w:sectPr>
      </w:pPr>
    </w:p>
    <w:p w14:paraId="281A22BC" w14:textId="77777777" w:rsidR="004647B9" w:rsidRDefault="004647B9">
      <w:pPr>
        <w:spacing w:line="166" w:lineRule="exact"/>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980"/>
        <w:gridCol w:w="2320"/>
      </w:tblGrid>
      <w:tr w:rsidR="00A55F1E" w14:paraId="281A22C6" w14:textId="77777777" w:rsidTr="00E23DEB">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281A22BF" w14:textId="306FB205" w:rsidR="00A55F1E" w:rsidRDefault="00A55F1E" w:rsidP="00A55F1E">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281A22C0" w14:textId="460A4F51" w:rsidR="00A55F1E" w:rsidRDefault="00A55F1E" w:rsidP="00A55F1E">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281A22C1" w14:textId="20778D67" w:rsidR="00A55F1E" w:rsidRDefault="00A55F1E" w:rsidP="00A55F1E">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281A22C2" w14:textId="1AE0C96A" w:rsidR="00A55F1E" w:rsidRDefault="00A55F1E" w:rsidP="00A55F1E">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281A22C3" w14:textId="51BF961B" w:rsidR="00A55F1E" w:rsidRDefault="00A55F1E" w:rsidP="00A55F1E">
            <w:pPr>
              <w:jc w:val="center"/>
              <w:rPr>
                <w:sz w:val="20"/>
                <w:szCs w:val="20"/>
              </w:rPr>
            </w:pPr>
            <w:r>
              <w:rPr>
                <w:rFonts w:eastAsia="Times New Roman"/>
                <w:sz w:val="18"/>
                <w:szCs w:val="18"/>
              </w:rPr>
              <w:t>MCLG in CCR units</w:t>
            </w:r>
          </w:p>
        </w:tc>
        <w:tc>
          <w:tcPr>
            <w:tcW w:w="1980" w:type="dxa"/>
            <w:tcBorders>
              <w:top w:val="single" w:sz="8" w:space="0" w:color="auto"/>
              <w:bottom w:val="single" w:sz="8" w:space="0" w:color="auto"/>
              <w:right w:val="single" w:sz="8" w:space="0" w:color="auto"/>
            </w:tcBorders>
            <w:vAlign w:val="center"/>
          </w:tcPr>
          <w:p w14:paraId="143E8771" w14:textId="03226943" w:rsidR="00A55F1E" w:rsidRDefault="00A55F1E" w:rsidP="00A55F1E">
            <w:pPr>
              <w:jc w:val="center"/>
              <w:rPr>
                <w:sz w:val="20"/>
                <w:szCs w:val="20"/>
              </w:rPr>
            </w:pPr>
            <w:r>
              <w:rPr>
                <w:rFonts w:eastAsia="Times New Roman"/>
                <w:sz w:val="18"/>
                <w:szCs w:val="18"/>
              </w:rPr>
              <w:t>Major Sources in Drinking</w:t>
            </w:r>
          </w:p>
          <w:p w14:paraId="281A22C4" w14:textId="5A2CE763" w:rsidR="00A55F1E" w:rsidRDefault="00A55F1E" w:rsidP="00A55F1E">
            <w:pPr>
              <w:jc w:val="center"/>
              <w:rPr>
                <w:sz w:val="20"/>
                <w:szCs w:val="20"/>
              </w:rPr>
            </w:pPr>
            <w:r>
              <w:rPr>
                <w:rFonts w:eastAsia="Times New Roman"/>
                <w:w w:val="98"/>
                <w:sz w:val="18"/>
                <w:szCs w:val="18"/>
              </w:rPr>
              <w:t>Water</w:t>
            </w:r>
          </w:p>
        </w:tc>
        <w:tc>
          <w:tcPr>
            <w:tcW w:w="2320" w:type="dxa"/>
            <w:tcBorders>
              <w:top w:val="single" w:sz="8" w:space="0" w:color="auto"/>
              <w:bottom w:val="single" w:sz="8" w:space="0" w:color="auto"/>
              <w:right w:val="single" w:sz="8" w:space="0" w:color="auto"/>
            </w:tcBorders>
            <w:vAlign w:val="center"/>
          </w:tcPr>
          <w:p w14:paraId="281A22C5" w14:textId="0F1BB818" w:rsidR="00A55F1E" w:rsidRDefault="00A55F1E" w:rsidP="00A55F1E">
            <w:pPr>
              <w:jc w:val="center"/>
              <w:rPr>
                <w:sz w:val="20"/>
                <w:szCs w:val="20"/>
              </w:rPr>
            </w:pPr>
            <w:r>
              <w:rPr>
                <w:rFonts w:eastAsia="Times New Roman"/>
                <w:sz w:val="18"/>
                <w:szCs w:val="18"/>
              </w:rPr>
              <w:t>Health Effects Language</w:t>
            </w:r>
          </w:p>
        </w:tc>
      </w:tr>
      <w:tr w:rsidR="00A55F1E" w14:paraId="281A22EA" w14:textId="77777777" w:rsidTr="00E23DEB">
        <w:trPr>
          <w:trHeight w:val="458"/>
        </w:trPr>
        <w:tc>
          <w:tcPr>
            <w:tcW w:w="10700" w:type="dxa"/>
            <w:gridSpan w:val="7"/>
            <w:tcBorders>
              <w:top w:val="single" w:sz="8" w:space="0" w:color="auto"/>
              <w:left w:val="single" w:sz="8" w:space="0" w:color="auto"/>
              <w:bottom w:val="single" w:sz="8" w:space="0" w:color="auto"/>
              <w:right w:val="single" w:sz="8" w:space="0" w:color="auto"/>
            </w:tcBorders>
            <w:vAlign w:val="center"/>
          </w:tcPr>
          <w:p w14:paraId="281A22E9" w14:textId="75ED2133" w:rsidR="00A55F1E" w:rsidRDefault="00A55F1E" w:rsidP="00A55F1E">
            <w:pPr>
              <w:ind w:left="144"/>
              <w:rPr>
                <w:sz w:val="24"/>
                <w:szCs w:val="24"/>
              </w:rPr>
            </w:pPr>
            <w:r>
              <w:rPr>
                <w:rFonts w:eastAsia="Times New Roman"/>
                <w:b/>
                <w:bCs/>
                <w:sz w:val="18"/>
                <w:szCs w:val="18"/>
              </w:rPr>
              <w:t>Microbiological Contaminants</w:t>
            </w:r>
          </w:p>
        </w:tc>
      </w:tr>
      <w:tr w:rsidR="00E23DEB" w14:paraId="281A22FD" w14:textId="77777777" w:rsidTr="00E23DEB">
        <w:trPr>
          <w:trHeight w:val="1574"/>
        </w:trPr>
        <w:tc>
          <w:tcPr>
            <w:tcW w:w="2100" w:type="dxa"/>
            <w:tcBorders>
              <w:top w:val="single" w:sz="8" w:space="0" w:color="auto"/>
              <w:left w:val="single" w:sz="8" w:space="0" w:color="auto"/>
              <w:bottom w:val="single" w:sz="8" w:space="0" w:color="auto"/>
              <w:right w:val="single" w:sz="8" w:space="0" w:color="auto"/>
            </w:tcBorders>
            <w:vAlign w:val="center"/>
          </w:tcPr>
          <w:p w14:paraId="281A22F6" w14:textId="02B6B698" w:rsidR="00E23DEB" w:rsidRPr="00A55F1E" w:rsidRDefault="00E23DEB" w:rsidP="00563A54">
            <w:pPr>
              <w:pStyle w:val="ListParagraph"/>
              <w:numPr>
                <w:ilvl w:val="2"/>
                <w:numId w:val="410"/>
              </w:numPr>
              <w:tabs>
                <w:tab w:val="left" w:pos="330"/>
              </w:tabs>
              <w:ind w:left="0" w:right="40"/>
              <w:rPr>
                <w:sz w:val="20"/>
                <w:szCs w:val="20"/>
              </w:rPr>
            </w:pPr>
            <w:r w:rsidRPr="00A55F1E">
              <w:rPr>
                <w:rFonts w:eastAsia="Times New Roman"/>
                <w:i/>
                <w:iCs/>
                <w:sz w:val="18"/>
                <w:szCs w:val="18"/>
              </w:rPr>
              <w:t>Cryptosporidium</w:t>
            </w:r>
          </w:p>
        </w:tc>
        <w:tc>
          <w:tcPr>
            <w:tcW w:w="1060" w:type="dxa"/>
            <w:tcBorders>
              <w:top w:val="single" w:sz="8" w:space="0" w:color="auto"/>
              <w:left w:val="single" w:sz="8" w:space="0" w:color="auto"/>
              <w:bottom w:val="single" w:sz="8" w:space="0" w:color="auto"/>
              <w:right w:val="single" w:sz="8" w:space="0" w:color="auto"/>
            </w:tcBorders>
            <w:vAlign w:val="center"/>
          </w:tcPr>
          <w:p w14:paraId="281A22F7" w14:textId="77777777" w:rsidR="00E23DEB" w:rsidRDefault="00E23DEB" w:rsidP="00A55F1E">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2F8" w14:textId="77777777" w:rsidR="00E23DEB" w:rsidRDefault="00E23DEB" w:rsidP="00A55F1E">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2F9" w14:textId="77777777" w:rsidR="00E23DEB" w:rsidRDefault="00E23DEB" w:rsidP="00A55F1E">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2FA" w14:textId="77777777" w:rsidR="00E23DEB" w:rsidRDefault="00E23DEB" w:rsidP="00A55F1E">
            <w:pPr>
              <w:jc w:val="center"/>
              <w:rPr>
                <w:sz w:val="20"/>
                <w:szCs w:val="20"/>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281A22FB" w14:textId="17787DE0" w:rsidR="00E23DEB" w:rsidRDefault="00E23DEB" w:rsidP="00E23DEB">
            <w:pPr>
              <w:spacing w:line="360" w:lineRule="auto"/>
              <w:ind w:left="144"/>
              <w:rPr>
                <w:sz w:val="20"/>
                <w:szCs w:val="20"/>
              </w:rPr>
            </w:pPr>
            <w:r>
              <w:rPr>
                <w:rFonts w:eastAsia="Times New Roman"/>
                <w:sz w:val="18"/>
                <w:szCs w:val="18"/>
              </w:rPr>
              <w:t>Discharged especially where water is contaminated with sewage or animal wastes.</w:t>
            </w:r>
          </w:p>
        </w:tc>
        <w:tc>
          <w:tcPr>
            <w:tcW w:w="2320" w:type="dxa"/>
            <w:tcBorders>
              <w:top w:val="single" w:sz="8" w:space="0" w:color="auto"/>
              <w:bottom w:val="single" w:sz="8" w:space="0" w:color="auto"/>
              <w:right w:val="single" w:sz="8" w:space="0" w:color="auto"/>
            </w:tcBorders>
          </w:tcPr>
          <w:p w14:paraId="281A22FC" w14:textId="3047DAFF" w:rsidR="00E23DEB" w:rsidRDefault="00E23DEB" w:rsidP="00E23DEB">
            <w:pPr>
              <w:spacing w:line="360" w:lineRule="auto"/>
              <w:ind w:left="144"/>
              <w:rPr>
                <w:sz w:val="20"/>
                <w:szCs w:val="20"/>
              </w:rPr>
            </w:pPr>
            <w:r>
              <w:rPr>
                <w:rFonts w:eastAsia="Times New Roman"/>
                <w:sz w:val="18"/>
                <w:szCs w:val="18"/>
              </w:rPr>
              <w:t xml:space="preserve">Some people who drink water containing </w:t>
            </w:r>
            <w:r>
              <w:rPr>
                <w:rFonts w:eastAsia="Times New Roman"/>
                <w:i/>
                <w:iCs/>
                <w:sz w:val="18"/>
                <w:szCs w:val="18"/>
              </w:rPr>
              <w:t xml:space="preserve">Cryptosporidium </w:t>
            </w:r>
            <w:r>
              <w:rPr>
                <w:rFonts w:eastAsia="Times New Roman"/>
                <w:sz w:val="18"/>
                <w:szCs w:val="18"/>
              </w:rPr>
              <w:t>could experience severe gastrointestinal effects.</w:t>
            </w:r>
          </w:p>
        </w:tc>
      </w:tr>
      <w:tr w:rsidR="00E23DEB" w14:paraId="281A2338" w14:textId="77777777" w:rsidTr="0034431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81A2331" w14:textId="0B615146" w:rsidR="00E23DEB" w:rsidRDefault="00E23DEB" w:rsidP="00563A54">
            <w:pPr>
              <w:pStyle w:val="ListParagraph"/>
              <w:numPr>
                <w:ilvl w:val="2"/>
                <w:numId w:val="410"/>
              </w:numPr>
              <w:tabs>
                <w:tab w:val="left" w:pos="330"/>
              </w:tabs>
              <w:ind w:left="0" w:right="40"/>
              <w:rPr>
                <w:sz w:val="20"/>
                <w:szCs w:val="20"/>
              </w:rPr>
            </w:pPr>
            <w:r>
              <w:rPr>
                <w:rFonts w:eastAsia="Times New Roman"/>
                <w:i/>
                <w:iCs/>
                <w:sz w:val="18"/>
                <w:szCs w:val="18"/>
              </w:rPr>
              <w:t>Giardia lamblia</w:t>
            </w:r>
          </w:p>
        </w:tc>
        <w:tc>
          <w:tcPr>
            <w:tcW w:w="1060" w:type="dxa"/>
            <w:tcBorders>
              <w:top w:val="single" w:sz="8" w:space="0" w:color="auto"/>
              <w:left w:val="single" w:sz="8" w:space="0" w:color="auto"/>
              <w:bottom w:val="single" w:sz="8" w:space="0" w:color="auto"/>
              <w:right w:val="single" w:sz="8" w:space="0" w:color="auto"/>
            </w:tcBorders>
            <w:vAlign w:val="center"/>
          </w:tcPr>
          <w:p w14:paraId="281A2332" w14:textId="77777777" w:rsidR="00E23DEB" w:rsidRDefault="00E23DEB" w:rsidP="00A55F1E">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333" w14:textId="77777777" w:rsidR="00E23DEB" w:rsidRDefault="00E23DEB" w:rsidP="00A55F1E">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334" w14:textId="77777777" w:rsidR="00E23DEB" w:rsidRDefault="00E23DEB" w:rsidP="00A55F1E">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335" w14:textId="77777777" w:rsidR="00E23DEB" w:rsidRDefault="00E23DEB" w:rsidP="00A55F1E">
            <w:pPr>
              <w:jc w:val="center"/>
              <w:rPr>
                <w:sz w:val="20"/>
                <w:szCs w:val="20"/>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281A2336" w14:textId="41F7F3EF" w:rsidR="00E23DEB" w:rsidRDefault="00E23DEB" w:rsidP="00E23DEB">
            <w:pPr>
              <w:spacing w:line="360" w:lineRule="auto"/>
              <w:ind w:left="144"/>
              <w:rPr>
                <w:sz w:val="20"/>
                <w:szCs w:val="20"/>
              </w:rPr>
            </w:pPr>
            <w:r>
              <w:rPr>
                <w:rFonts w:eastAsia="Times New Roman"/>
                <w:sz w:val="18"/>
                <w:szCs w:val="18"/>
              </w:rPr>
              <w:t>Discharged especially where water is contaminated with sewage or animal wastes.</w:t>
            </w:r>
          </w:p>
        </w:tc>
        <w:tc>
          <w:tcPr>
            <w:tcW w:w="2320" w:type="dxa"/>
            <w:tcBorders>
              <w:top w:val="single" w:sz="8" w:space="0" w:color="auto"/>
              <w:bottom w:val="single" w:sz="8" w:space="0" w:color="auto"/>
              <w:right w:val="single" w:sz="8" w:space="0" w:color="auto"/>
            </w:tcBorders>
          </w:tcPr>
          <w:p w14:paraId="281A2337" w14:textId="10C841B8" w:rsidR="00E23DEB" w:rsidRDefault="00E23DEB" w:rsidP="00E23DEB">
            <w:pPr>
              <w:spacing w:line="360" w:lineRule="auto"/>
              <w:ind w:left="144"/>
              <w:rPr>
                <w:sz w:val="20"/>
                <w:szCs w:val="20"/>
              </w:rPr>
            </w:pPr>
            <w:r>
              <w:rPr>
                <w:rFonts w:eastAsia="Times New Roman"/>
                <w:sz w:val="18"/>
                <w:szCs w:val="18"/>
              </w:rPr>
              <w:t xml:space="preserve">Some people who drink water containing </w:t>
            </w:r>
            <w:r>
              <w:rPr>
                <w:rFonts w:eastAsia="Times New Roman"/>
                <w:i/>
                <w:iCs/>
                <w:sz w:val="18"/>
                <w:szCs w:val="18"/>
              </w:rPr>
              <w:t xml:space="preserve">Giardia lamblia </w:t>
            </w:r>
            <w:r>
              <w:rPr>
                <w:rFonts w:eastAsia="Times New Roman"/>
                <w:sz w:val="18"/>
                <w:szCs w:val="18"/>
              </w:rPr>
              <w:t>could experience severe gastrointestinal effects.</w:t>
            </w:r>
          </w:p>
        </w:tc>
      </w:tr>
      <w:tr w:rsidR="00E6483D" w14:paraId="0D20704F" w14:textId="77777777" w:rsidTr="0034431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523A8CC" w14:textId="51EC19E7" w:rsidR="00E6483D" w:rsidRDefault="00E6483D" w:rsidP="00563A54">
            <w:pPr>
              <w:pStyle w:val="ListParagraph"/>
              <w:numPr>
                <w:ilvl w:val="2"/>
                <w:numId w:val="410"/>
              </w:numPr>
              <w:tabs>
                <w:tab w:val="left" w:pos="330"/>
              </w:tabs>
              <w:ind w:left="0" w:right="40"/>
              <w:rPr>
                <w:rFonts w:eastAsia="Times New Roman"/>
                <w:i/>
                <w:iCs/>
                <w:sz w:val="18"/>
                <w:szCs w:val="18"/>
              </w:rPr>
            </w:pPr>
            <w:r w:rsidRPr="00E6483D">
              <w:rPr>
                <w:rFonts w:eastAsia="Times New Roman"/>
                <w:i/>
                <w:iCs/>
                <w:sz w:val="18"/>
                <w:szCs w:val="18"/>
              </w:rPr>
              <w:t>Heterotrophic</w:t>
            </w:r>
            <w:r>
              <w:rPr>
                <w:rFonts w:eastAsia="Times New Roman"/>
                <w:sz w:val="18"/>
                <w:szCs w:val="18"/>
              </w:rPr>
              <w:t xml:space="preserve"> plate count</w:t>
            </w:r>
          </w:p>
        </w:tc>
        <w:tc>
          <w:tcPr>
            <w:tcW w:w="1060" w:type="dxa"/>
            <w:tcBorders>
              <w:top w:val="single" w:sz="8" w:space="0" w:color="auto"/>
              <w:left w:val="single" w:sz="8" w:space="0" w:color="auto"/>
              <w:bottom w:val="single" w:sz="8" w:space="0" w:color="auto"/>
              <w:right w:val="single" w:sz="8" w:space="0" w:color="auto"/>
            </w:tcBorders>
            <w:vAlign w:val="center"/>
          </w:tcPr>
          <w:p w14:paraId="440F47E4" w14:textId="69AA912D" w:rsidR="00E6483D" w:rsidRDefault="00E6483D" w:rsidP="00E6483D">
            <w:pPr>
              <w:jc w:val="center"/>
              <w:rPr>
                <w:rFonts w:eastAsia="Times New Roman"/>
                <w:sz w:val="18"/>
                <w:szCs w:val="18"/>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1945CEFF" w14:textId="4F905884" w:rsidR="00E6483D" w:rsidRDefault="00E6483D" w:rsidP="00E6483D">
            <w:pPr>
              <w:jc w:val="center"/>
              <w:rPr>
                <w:rFonts w:eastAsia="Times New Roman"/>
                <w:w w:val="99"/>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2622C5F5" w14:textId="6FA0B2BE" w:rsidR="00E6483D" w:rsidRDefault="00E6483D" w:rsidP="00E6483D">
            <w:pPr>
              <w:jc w:val="center"/>
              <w:rPr>
                <w:rFonts w:eastAsia="Times New Roman"/>
                <w:sz w:val="18"/>
                <w:szCs w:val="18"/>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1F11201F" w14:textId="02F6075B" w:rsidR="00E6483D" w:rsidRDefault="00E6483D" w:rsidP="00E6483D">
            <w:pPr>
              <w:jc w:val="center"/>
              <w:rPr>
                <w:rFonts w:eastAsia="Times New Roman"/>
                <w:sz w:val="18"/>
                <w:szCs w:val="18"/>
              </w:rPr>
            </w:pPr>
            <w:r>
              <w:rPr>
                <w:rFonts w:eastAsia="Times New Roman"/>
                <w:sz w:val="18"/>
                <w:szCs w:val="18"/>
              </w:rPr>
              <w:t>N/A</w:t>
            </w:r>
          </w:p>
        </w:tc>
        <w:tc>
          <w:tcPr>
            <w:tcW w:w="1980" w:type="dxa"/>
            <w:tcBorders>
              <w:top w:val="single" w:sz="8" w:space="0" w:color="auto"/>
              <w:bottom w:val="single" w:sz="8" w:space="0" w:color="auto"/>
              <w:right w:val="single" w:sz="8" w:space="0" w:color="auto"/>
            </w:tcBorders>
          </w:tcPr>
          <w:p w14:paraId="6F0A101D" w14:textId="3384E9ED" w:rsidR="00E6483D" w:rsidRDefault="00E6483D" w:rsidP="00E6483D">
            <w:pPr>
              <w:spacing w:line="360" w:lineRule="auto"/>
              <w:ind w:left="144"/>
              <w:rPr>
                <w:rFonts w:eastAsia="Times New Roman"/>
                <w:sz w:val="18"/>
                <w:szCs w:val="18"/>
              </w:rPr>
            </w:pPr>
            <w:r>
              <w:rPr>
                <w:rFonts w:eastAsia="Times New Roman"/>
                <w:sz w:val="18"/>
                <w:szCs w:val="18"/>
              </w:rPr>
              <w:t>Heterotrophic plate count is an indicator method that measures a range of naturally-occurring bacteria in the environment.</w:t>
            </w:r>
          </w:p>
        </w:tc>
        <w:tc>
          <w:tcPr>
            <w:tcW w:w="2320" w:type="dxa"/>
            <w:tcBorders>
              <w:top w:val="single" w:sz="8" w:space="0" w:color="auto"/>
              <w:bottom w:val="single" w:sz="8" w:space="0" w:color="auto"/>
              <w:right w:val="single" w:sz="8" w:space="0" w:color="auto"/>
            </w:tcBorders>
          </w:tcPr>
          <w:p w14:paraId="701913FB" w14:textId="767F5BC9" w:rsidR="00E6483D" w:rsidRPr="00E6483D" w:rsidRDefault="00E6483D" w:rsidP="00E6483D">
            <w:pPr>
              <w:spacing w:line="329" w:lineRule="auto"/>
              <w:ind w:left="144" w:right="60"/>
              <w:rPr>
                <w:sz w:val="20"/>
                <w:szCs w:val="20"/>
              </w:rPr>
            </w:pPr>
            <w:r>
              <w:rPr>
                <w:rFonts w:eastAsia="Times New Roman"/>
                <w:sz w:val="18"/>
                <w:szCs w:val="18"/>
              </w:rPr>
              <w:t>Heterotrophic plate count is not associated with health effects but is a method that measures the bacterial quality of the water as an indicator of the adequacy of water treatment.</w:t>
            </w:r>
          </w:p>
        </w:tc>
      </w:tr>
      <w:tr w:rsidR="00344313" w14:paraId="7D1A2FC7" w14:textId="77777777" w:rsidTr="0034431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47D771B2" w14:textId="09D06940" w:rsidR="00344313" w:rsidRPr="00E6483D" w:rsidRDefault="00344313" w:rsidP="00563A54">
            <w:pPr>
              <w:pStyle w:val="ListParagraph"/>
              <w:numPr>
                <w:ilvl w:val="2"/>
                <w:numId w:val="410"/>
              </w:numPr>
              <w:tabs>
                <w:tab w:val="left" w:pos="330"/>
              </w:tabs>
              <w:ind w:left="0" w:right="40"/>
              <w:rPr>
                <w:rFonts w:eastAsia="Times New Roman"/>
                <w:i/>
                <w:iCs/>
                <w:sz w:val="18"/>
                <w:szCs w:val="18"/>
              </w:rPr>
            </w:pPr>
            <w:r>
              <w:rPr>
                <w:rFonts w:eastAsia="Times New Roman"/>
                <w:i/>
                <w:iCs/>
                <w:sz w:val="18"/>
                <w:szCs w:val="18"/>
              </w:rPr>
              <w:t>Legionella</w:t>
            </w:r>
          </w:p>
        </w:tc>
        <w:tc>
          <w:tcPr>
            <w:tcW w:w="1060" w:type="dxa"/>
            <w:tcBorders>
              <w:top w:val="single" w:sz="8" w:space="0" w:color="auto"/>
              <w:left w:val="single" w:sz="8" w:space="0" w:color="auto"/>
              <w:bottom w:val="single" w:sz="8" w:space="0" w:color="auto"/>
              <w:right w:val="single" w:sz="8" w:space="0" w:color="auto"/>
            </w:tcBorders>
            <w:vAlign w:val="center"/>
          </w:tcPr>
          <w:p w14:paraId="2F318BB6" w14:textId="2BC97435" w:rsidR="00344313" w:rsidRDefault="00344313" w:rsidP="00344313">
            <w:pPr>
              <w:jc w:val="center"/>
              <w:rPr>
                <w:rFonts w:eastAsia="Times New Roman"/>
                <w:sz w:val="18"/>
                <w:szCs w:val="18"/>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1AC99AFD" w14:textId="6A7BE25A" w:rsidR="00344313" w:rsidRDefault="00344313" w:rsidP="00344313">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434B9588" w14:textId="10CDAD4F" w:rsidR="00344313" w:rsidRDefault="00344313" w:rsidP="00344313">
            <w:pPr>
              <w:jc w:val="center"/>
              <w:rPr>
                <w:rFonts w:eastAsia="Times New Roman"/>
                <w:sz w:val="18"/>
                <w:szCs w:val="18"/>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45B45008" w14:textId="3D7E6499" w:rsidR="00344313" w:rsidRDefault="00344313" w:rsidP="00344313">
            <w:pPr>
              <w:jc w:val="center"/>
              <w:rPr>
                <w:rFonts w:eastAsia="Times New Roman"/>
                <w:sz w:val="18"/>
                <w:szCs w:val="18"/>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316F23A4" w14:textId="3467C908" w:rsidR="00344313" w:rsidRDefault="00344313" w:rsidP="00344313">
            <w:pPr>
              <w:spacing w:line="360" w:lineRule="auto"/>
              <w:ind w:left="144"/>
              <w:rPr>
                <w:rFonts w:eastAsia="Times New Roman"/>
                <w:sz w:val="18"/>
                <w:szCs w:val="18"/>
              </w:rPr>
            </w:pPr>
            <w:r>
              <w:rPr>
                <w:rFonts w:eastAsia="Times New Roman"/>
                <w:sz w:val="18"/>
                <w:szCs w:val="18"/>
              </w:rPr>
              <w:t>Natural sources; multiplies in heating and air-conditioning systems.</w:t>
            </w:r>
          </w:p>
        </w:tc>
        <w:tc>
          <w:tcPr>
            <w:tcW w:w="2320" w:type="dxa"/>
            <w:tcBorders>
              <w:top w:val="single" w:sz="8" w:space="0" w:color="auto"/>
              <w:bottom w:val="single" w:sz="8" w:space="0" w:color="auto"/>
              <w:right w:val="single" w:sz="8" w:space="0" w:color="auto"/>
            </w:tcBorders>
          </w:tcPr>
          <w:p w14:paraId="0FB7112A" w14:textId="0434C27D" w:rsidR="00344313" w:rsidRDefault="00344313" w:rsidP="00344313">
            <w:pPr>
              <w:spacing w:line="360" w:lineRule="auto"/>
              <w:ind w:left="144"/>
              <w:rPr>
                <w:rFonts w:eastAsia="Times New Roman"/>
                <w:sz w:val="18"/>
                <w:szCs w:val="18"/>
              </w:rPr>
            </w:pPr>
            <w:r>
              <w:rPr>
                <w:rFonts w:eastAsia="Times New Roman"/>
                <w:sz w:val="18"/>
                <w:szCs w:val="18"/>
              </w:rPr>
              <w:t xml:space="preserve">Some people who use drinking water containing </w:t>
            </w:r>
            <w:r>
              <w:rPr>
                <w:rFonts w:eastAsia="Times New Roman"/>
                <w:i/>
                <w:iCs/>
                <w:sz w:val="18"/>
                <w:szCs w:val="18"/>
              </w:rPr>
              <w:t xml:space="preserve">Legionella </w:t>
            </w:r>
            <w:r>
              <w:rPr>
                <w:rFonts w:eastAsia="Times New Roman"/>
                <w:sz w:val="18"/>
                <w:szCs w:val="18"/>
              </w:rPr>
              <w:t>could experience Legionnaire's Disease, a type of pneumonia.</w:t>
            </w:r>
          </w:p>
        </w:tc>
      </w:tr>
    </w:tbl>
    <w:p w14:paraId="281A23E1" w14:textId="77777777" w:rsidR="004647B9" w:rsidRDefault="004647B9">
      <w:pPr>
        <w:sectPr w:rsidR="004647B9" w:rsidSect="00EF630C">
          <w:type w:val="continuous"/>
          <w:pgSz w:w="12240" w:h="20180"/>
          <w:pgMar w:top="708" w:right="940" w:bottom="1440" w:left="600" w:header="0" w:footer="0" w:gutter="0"/>
          <w:cols w:space="720"/>
        </w:sectPr>
      </w:pPr>
    </w:p>
    <w:p w14:paraId="281A23E2" w14:textId="77777777" w:rsidR="004647B9" w:rsidRPr="00584FA1" w:rsidRDefault="00E2436F" w:rsidP="00584FA1">
      <w:pPr>
        <w:tabs>
          <w:tab w:val="left" w:pos="2860"/>
        </w:tabs>
        <w:ind w:left="1680"/>
        <w:rPr>
          <w:rFonts w:eastAsia="Times New Roman"/>
          <w:sz w:val="24"/>
          <w:szCs w:val="24"/>
        </w:rPr>
      </w:pPr>
      <w:bookmarkStart w:id="219" w:name="page221"/>
      <w:bookmarkEnd w:id="219"/>
      <w:r>
        <w:rPr>
          <w:rFonts w:eastAsia="Times New Roman"/>
          <w:sz w:val="24"/>
          <w:szCs w:val="24"/>
        </w:rPr>
        <w:lastRenderedPageBreak/>
        <w:t>310 CMR:</w:t>
      </w:r>
      <w:r w:rsidRPr="00584FA1">
        <w:rPr>
          <w:rFonts w:eastAsia="Times New Roman"/>
          <w:sz w:val="24"/>
          <w:szCs w:val="24"/>
        </w:rPr>
        <w:tab/>
        <w:t>DEPARTMENT OF ENVIRONMENTAL PROTECTION</w:t>
      </w:r>
    </w:p>
    <w:p w14:paraId="281A23E3" w14:textId="77777777" w:rsidR="004647B9" w:rsidRDefault="004647B9" w:rsidP="009716D2">
      <w:pPr>
        <w:rPr>
          <w:sz w:val="20"/>
          <w:szCs w:val="20"/>
        </w:rPr>
      </w:pPr>
    </w:p>
    <w:p w14:paraId="52A42373" w14:textId="77777777" w:rsidR="009716D2" w:rsidRDefault="009716D2" w:rsidP="009716D2">
      <w:pPr>
        <w:rPr>
          <w:sz w:val="20"/>
          <w:szCs w:val="20"/>
        </w:rPr>
      </w:pPr>
    </w:p>
    <w:p w14:paraId="281A23E4" w14:textId="77777777" w:rsidR="004647B9" w:rsidRDefault="00E2436F" w:rsidP="009716D2">
      <w:pPr>
        <w:tabs>
          <w:tab w:val="left" w:pos="940"/>
        </w:tabs>
        <w:rPr>
          <w:sz w:val="20"/>
          <w:szCs w:val="20"/>
        </w:rPr>
      </w:pPr>
      <w:r>
        <w:rPr>
          <w:rFonts w:eastAsia="Times New Roman"/>
          <w:sz w:val="24"/>
          <w:szCs w:val="24"/>
        </w:rPr>
        <w:t>22.16A:</w:t>
      </w:r>
      <w:r>
        <w:rPr>
          <w:sz w:val="20"/>
          <w:szCs w:val="20"/>
        </w:rPr>
        <w:tab/>
      </w:r>
      <w:r>
        <w:rPr>
          <w:rFonts w:eastAsia="Times New Roman"/>
          <w:sz w:val="23"/>
          <w:szCs w:val="23"/>
        </w:rPr>
        <w:t>continued</w:t>
      </w:r>
    </w:p>
    <w:p w14:paraId="281A23E6" w14:textId="77777777" w:rsidR="004647B9" w:rsidRDefault="004647B9" w:rsidP="009716D2">
      <w:pPr>
        <w:sectPr w:rsidR="004647B9" w:rsidSect="00EF630C">
          <w:pgSz w:w="12240" w:h="20180"/>
          <w:pgMar w:top="708" w:right="940" w:bottom="1440" w:left="600" w:header="0" w:footer="0" w:gutter="0"/>
          <w:cols w:space="720"/>
        </w:sectPr>
      </w:pPr>
    </w:p>
    <w:p w14:paraId="281A23E7" w14:textId="737D8573" w:rsidR="004647B9" w:rsidRDefault="004647B9" w:rsidP="009716D2">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980"/>
        <w:gridCol w:w="2320"/>
      </w:tblGrid>
      <w:tr w:rsidR="00344313" w14:paraId="636C66DA"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459425D1" w14:textId="77777777" w:rsidR="00344313" w:rsidRDefault="00344313"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5F7B8A12" w14:textId="77777777" w:rsidR="00344313" w:rsidRDefault="00344313"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216CAD1B" w14:textId="77777777" w:rsidR="00344313" w:rsidRDefault="00344313"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6139B31B" w14:textId="77777777" w:rsidR="00344313" w:rsidRDefault="00344313"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7D990BE4" w14:textId="77777777" w:rsidR="00344313" w:rsidRDefault="00344313" w:rsidP="00DF6443">
            <w:pPr>
              <w:jc w:val="center"/>
              <w:rPr>
                <w:sz w:val="20"/>
                <w:szCs w:val="20"/>
              </w:rPr>
            </w:pPr>
            <w:r>
              <w:rPr>
                <w:rFonts w:eastAsia="Times New Roman"/>
                <w:sz w:val="18"/>
                <w:szCs w:val="18"/>
              </w:rPr>
              <w:t>MCLG in CCR units</w:t>
            </w:r>
          </w:p>
        </w:tc>
        <w:tc>
          <w:tcPr>
            <w:tcW w:w="1980" w:type="dxa"/>
            <w:tcBorders>
              <w:top w:val="single" w:sz="8" w:space="0" w:color="auto"/>
              <w:bottom w:val="single" w:sz="8" w:space="0" w:color="auto"/>
              <w:right w:val="single" w:sz="8" w:space="0" w:color="auto"/>
            </w:tcBorders>
            <w:vAlign w:val="center"/>
          </w:tcPr>
          <w:p w14:paraId="736A180B" w14:textId="77777777" w:rsidR="00344313" w:rsidRDefault="00344313" w:rsidP="00DF6443">
            <w:pPr>
              <w:jc w:val="center"/>
              <w:rPr>
                <w:sz w:val="20"/>
                <w:szCs w:val="20"/>
              </w:rPr>
            </w:pPr>
            <w:r>
              <w:rPr>
                <w:rFonts w:eastAsia="Times New Roman"/>
                <w:sz w:val="18"/>
                <w:szCs w:val="18"/>
              </w:rPr>
              <w:t>Major Sources in Drinking</w:t>
            </w:r>
          </w:p>
          <w:p w14:paraId="482965B1" w14:textId="77777777" w:rsidR="00344313" w:rsidRDefault="00344313" w:rsidP="00DF6443">
            <w:pPr>
              <w:jc w:val="center"/>
              <w:rPr>
                <w:sz w:val="20"/>
                <w:szCs w:val="20"/>
              </w:rPr>
            </w:pPr>
            <w:r>
              <w:rPr>
                <w:rFonts w:eastAsia="Times New Roman"/>
                <w:w w:val="98"/>
                <w:sz w:val="18"/>
                <w:szCs w:val="18"/>
              </w:rPr>
              <w:t>Water</w:t>
            </w:r>
          </w:p>
        </w:tc>
        <w:tc>
          <w:tcPr>
            <w:tcW w:w="2320" w:type="dxa"/>
            <w:tcBorders>
              <w:top w:val="single" w:sz="8" w:space="0" w:color="auto"/>
              <w:bottom w:val="single" w:sz="8" w:space="0" w:color="auto"/>
              <w:right w:val="single" w:sz="8" w:space="0" w:color="auto"/>
            </w:tcBorders>
            <w:vAlign w:val="center"/>
          </w:tcPr>
          <w:p w14:paraId="772F0F57" w14:textId="77777777" w:rsidR="00344313" w:rsidRDefault="00344313" w:rsidP="00DF6443">
            <w:pPr>
              <w:jc w:val="center"/>
              <w:rPr>
                <w:sz w:val="20"/>
                <w:szCs w:val="20"/>
              </w:rPr>
            </w:pPr>
            <w:r>
              <w:rPr>
                <w:rFonts w:eastAsia="Times New Roman"/>
                <w:sz w:val="18"/>
                <w:szCs w:val="18"/>
              </w:rPr>
              <w:t>Health Effects Language</w:t>
            </w:r>
          </w:p>
        </w:tc>
      </w:tr>
      <w:tr w:rsidR="002813E3" w14:paraId="741746D3" w14:textId="77777777" w:rsidTr="00DF6443">
        <w:trPr>
          <w:trHeight w:val="1574"/>
        </w:trPr>
        <w:tc>
          <w:tcPr>
            <w:tcW w:w="2100" w:type="dxa"/>
            <w:tcBorders>
              <w:top w:val="single" w:sz="8" w:space="0" w:color="auto"/>
              <w:left w:val="single" w:sz="8" w:space="0" w:color="auto"/>
              <w:bottom w:val="single" w:sz="8" w:space="0" w:color="auto"/>
              <w:right w:val="single" w:sz="8" w:space="0" w:color="auto"/>
            </w:tcBorders>
            <w:vAlign w:val="center"/>
          </w:tcPr>
          <w:p w14:paraId="319F6C04" w14:textId="03F24B17" w:rsidR="002813E3" w:rsidRPr="002813E3" w:rsidRDefault="002813E3" w:rsidP="00563A54">
            <w:pPr>
              <w:numPr>
                <w:ilvl w:val="0"/>
                <w:numId w:val="938"/>
              </w:numPr>
              <w:tabs>
                <w:tab w:val="left" w:pos="364"/>
              </w:tabs>
              <w:spacing w:line="353" w:lineRule="auto"/>
              <w:rPr>
                <w:rFonts w:eastAsia="Times New Roman"/>
                <w:sz w:val="18"/>
                <w:szCs w:val="18"/>
              </w:rPr>
            </w:pPr>
            <w:r>
              <w:rPr>
                <w:rFonts w:eastAsia="Times New Roman"/>
                <w:sz w:val="18"/>
                <w:szCs w:val="18"/>
              </w:rPr>
              <w:t>Total Coliform Bacteria</w:t>
            </w:r>
          </w:p>
        </w:tc>
        <w:tc>
          <w:tcPr>
            <w:tcW w:w="1060" w:type="dxa"/>
            <w:tcBorders>
              <w:top w:val="single" w:sz="8" w:space="0" w:color="auto"/>
              <w:left w:val="single" w:sz="8" w:space="0" w:color="auto"/>
              <w:bottom w:val="single" w:sz="8" w:space="0" w:color="auto"/>
              <w:right w:val="single" w:sz="8" w:space="0" w:color="auto"/>
            </w:tcBorders>
            <w:vAlign w:val="center"/>
          </w:tcPr>
          <w:p w14:paraId="4BFF9E0F" w14:textId="47127ACE" w:rsidR="002813E3" w:rsidRDefault="002813E3" w:rsidP="002813E3">
            <w:pPr>
              <w:jc w:val="center"/>
              <w:rPr>
                <w:sz w:val="20"/>
                <w:szCs w:val="20"/>
              </w:rPr>
            </w:pPr>
            <w:r>
              <w:rPr>
                <w:sz w:val="20"/>
                <w:szCs w:val="20"/>
              </w:rPr>
              <w:t>TT</w:t>
            </w:r>
          </w:p>
        </w:tc>
        <w:tc>
          <w:tcPr>
            <w:tcW w:w="1360" w:type="dxa"/>
            <w:tcBorders>
              <w:top w:val="single" w:sz="8" w:space="0" w:color="auto"/>
              <w:bottom w:val="single" w:sz="8" w:space="0" w:color="auto"/>
              <w:right w:val="single" w:sz="8" w:space="0" w:color="auto"/>
            </w:tcBorders>
            <w:vAlign w:val="center"/>
          </w:tcPr>
          <w:p w14:paraId="285F7FAA" w14:textId="2AFE1E4F" w:rsidR="002813E3" w:rsidRDefault="002813E3" w:rsidP="002813E3">
            <w:pPr>
              <w:jc w:val="center"/>
              <w:rPr>
                <w:sz w:val="20"/>
                <w:szCs w:val="20"/>
              </w:rPr>
            </w:pPr>
            <w:r>
              <w:rPr>
                <w:sz w:val="20"/>
                <w:szCs w:val="20"/>
              </w:rPr>
              <w:t>-</w:t>
            </w:r>
          </w:p>
        </w:tc>
        <w:tc>
          <w:tcPr>
            <w:tcW w:w="900" w:type="dxa"/>
            <w:tcBorders>
              <w:top w:val="single" w:sz="8" w:space="0" w:color="auto"/>
              <w:bottom w:val="single" w:sz="8" w:space="0" w:color="auto"/>
              <w:right w:val="single" w:sz="8" w:space="0" w:color="auto"/>
            </w:tcBorders>
            <w:vAlign w:val="center"/>
          </w:tcPr>
          <w:p w14:paraId="72B16AE8" w14:textId="5B07D345" w:rsidR="002813E3" w:rsidRDefault="002813E3" w:rsidP="002813E3">
            <w:pPr>
              <w:jc w:val="center"/>
              <w:rPr>
                <w:sz w:val="20"/>
                <w:szCs w:val="20"/>
              </w:rPr>
            </w:pPr>
            <w:r>
              <w:rPr>
                <w:sz w:val="20"/>
                <w:szCs w:val="20"/>
              </w:rPr>
              <w:t>TT</w:t>
            </w:r>
          </w:p>
        </w:tc>
        <w:tc>
          <w:tcPr>
            <w:tcW w:w="980" w:type="dxa"/>
            <w:tcBorders>
              <w:top w:val="single" w:sz="8" w:space="0" w:color="auto"/>
              <w:bottom w:val="single" w:sz="8" w:space="0" w:color="auto"/>
              <w:right w:val="single" w:sz="8" w:space="0" w:color="auto"/>
            </w:tcBorders>
            <w:vAlign w:val="center"/>
          </w:tcPr>
          <w:p w14:paraId="1B5F316E" w14:textId="77C2141B" w:rsidR="002813E3" w:rsidRDefault="002813E3" w:rsidP="002813E3">
            <w:pPr>
              <w:jc w:val="center"/>
              <w:rPr>
                <w:sz w:val="20"/>
                <w:szCs w:val="20"/>
              </w:rPr>
            </w:pPr>
            <w:r>
              <w:rPr>
                <w:sz w:val="20"/>
                <w:szCs w:val="20"/>
              </w:rPr>
              <w:t>N/A</w:t>
            </w:r>
          </w:p>
        </w:tc>
        <w:tc>
          <w:tcPr>
            <w:tcW w:w="1980" w:type="dxa"/>
            <w:tcBorders>
              <w:top w:val="single" w:sz="8" w:space="0" w:color="auto"/>
              <w:bottom w:val="single" w:sz="8" w:space="0" w:color="auto"/>
              <w:right w:val="single" w:sz="8" w:space="0" w:color="auto"/>
            </w:tcBorders>
          </w:tcPr>
          <w:p w14:paraId="2DF81936" w14:textId="792FDC5D" w:rsidR="002813E3" w:rsidRDefault="002813E3" w:rsidP="002813E3">
            <w:pPr>
              <w:spacing w:line="360" w:lineRule="auto"/>
              <w:ind w:left="144"/>
              <w:rPr>
                <w:sz w:val="20"/>
                <w:szCs w:val="20"/>
              </w:rPr>
            </w:pPr>
            <w:r>
              <w:rPr>
                <w:rFonts w:eastAsia="Times New Roman"/>
                <w:sz w:val="18"/>
                <w:szCs w:val="18"/>
              </w:rPr>
              <w:t>Naturally present in the environment</w:t>
            </w:r>
          </w:p>
        </w:tc>
        <w:tc>
          <w:tcPr>
            <w:tcW w:w="2320" w:type="dxa"/>
            <w:tcBorders>
              <w:top w:val="single" w:sz="8" w:space="0" w:color="auto"/>
              <w:bottom w:val="single" w:sz="8" w:space="0" w:color="auto"/>
              <w:right w:val="single" w:sz="8" w:space="0" w:color="auto"/>
            </w:tcBorders>
            <w:vAlign w:val="bottom"/>
          </w:tcPr>
          <w:p w14:paraId="21EBF4B3" w14:textId="784AAF85" w:rsidR="002813E3" w:rsidRDefault="002813E3" w:rsidP="00436424">
            <w:pPr>
              <w:spacing w:line="360" w:lineRule="auto"/>
              <w:ind w:left="40"/>
              <w:rPr>
                <w:sz w:val="20"/>
                <w:szCs w:val="20"/>
              </w:rPr>
            </w:pPr>
            <w:r>
              <w:rPr>
                <w:rFonts w:eastAsia="Times New Roman"/>
                <w:sz w:val="18"/>
                <w:szCs w:val="18"/>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w:t>
            </w:r>
            <w:r w:rsidR="00436424">
              <w:rPr>
                <w:rFonts w:eastAsia="Times New Roman"/>
                <w:sz w:val="18"/>
                <w:szCs w:val="18"/>
              </w:rPr>
              <w:t xml:space="preserve"> </w:t>
            </w:r>
            <w:r>
              <w:rPr>
                <w:rFonts w:eastAsia="Times New Roman"/>
                <w:sz w:val="18"/>
                <w:szCs w:val="18"/>
              </w:rPr>
              <w:t>required to conduct</w:t>
            </w:r>
            <w:r w:rsidR="00436424">
              <w:rPr>
                <w:rFonts w:eastAsia="Times New Roman"/>
                <w:sz w:val="18"/>
                <w:szCs w:val="18"/>
              </w:rPr>
              <w:t xml:space="preserve"> </w:t>
            </w:r>
            <w:r>
              <w:rPr>
                <w:rFonts w:eastAsia="Times New Roman"/>
                <w:sz w:val="18"/>
                <w:szCs w:val="18"/>
              </w:rPr>
              <w:t>assessment(s) to identify</w:t>
            </w:r>
            <w:r w:rsidR="00436424">
              <w:rPr>
                <w:rFonts w:eastAsia="Times New Roman"/>
                <w:sz w:val="18"/>
                <w:szCs w:val="18"/>
              </w:rPr>
              <w:t xml:space="preserve"> </w:t>
            </w:r>
            <w:r>
              <w:rPr>
                <w:rFonts w:eastAsia="Times New Roman"/>
                <w:sz w:val="18"/>
                <w:szCs w:val="18"/>
              </w:rPr>
              <w:t>problems and to correct</w:t>
            </w:r>
            <w:r w:rsidR="00436424">
              <w:rPr>
                <w:rFonts w:eastAsia="Times New Roman"/>
                <w:sz w:val="18"/>
                <w:szCs w:val="18"/>
              </w:rPr>
              <w:t xml:space="preserve"> </w:t>
            </w:r>
            <w:r>
              <w:rPr>
                <w:rFonts w:eastAsia="Times New Roman"/>
                <w:sz w:val="18"/>
                <w:szCs w:val="18"/>
              </w:rPr>
              <w:t>any problems that were</w:t>
            </w:r>
            <w:r w:rsidR="00436424">
              <w:rPr>
                <w:rFonts w:eastAsia="Times New Roman"/>
                <w:sz w:val="18"/>
                <w:szCs w:val="18"/>
              </w:rPr>
              <w:t xml:space="preserve"> </w:t>
            </w:r>
            <w:r>
              <w:rPr>
                <w:rFonts w:eastAsia="Times New Roman"/>
                <w:sz w:val="18"/>
                <w:szCs w:val="18"/>
              </w:rPr>
              <w:t>found during these</w:t>
            </w:r>
            <w:r w:rsidR="00436424">
              <w:rPr>
                <w:rFonts w:eastAsia="Times New Roman"/>
                <w:sz w:val="18"/>
                <w:szCs w:val="18"/>
              </w:rPr>
              <w:t xml:space="preserve"> </w:t>
            </w:r>
            <w:r>
              <w:rPr>
                <w:rFonts w:eastAsia="Times New Roman"/>
                <w:sz w:val="18"/>
                <w:szCs w:val="18"/>
              </w:rPr>
              <w:t>assessments.</w:t>
            </w:r>
          </w:p>
        </w:tc>
      </w:tr>
      <w:tr w:rsidR="00436424" w14:paraId="5B7DA748" w14:textId="77777777" w:rsidTr="00436424">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3C04F7A7" w14:textId="3BFEF3F5" w:rsidR="00436424" w:rsidRPr="00436424" w:rsidRDefault="00436424" w:rsidP="00563A54">
            <w:pPr>
              <w:numPr>
                <w:ilvl w:val="0"/>
                <w:numId w:val="938"/>
              </w:numPr>
              <w:tabs>
                <w:tab w:val="left" w:pos="364"/>
              </w:tabs>
              <w:rPr>
                <w:rFonts w:eastAsia="Times New Roman"/>
                <w:sz w:val="18"/>
                <w:szCs w:val="18"/>
              </w:rPr>
            </w:pPr>
            <w:r>
              <w:rPr>
                <w:rFonts w:eastAsia="Times New Roman"/>
                <w:i/>
                <w:iCs/>
                <w:sz w:val="18"/>
                <w:szCs w:val="18"/>
              </w:rPr>
              <w:t>E. coli</w:t>
            </w:r>
          </w:p>
        </w:tc>
        <w:tc>
          <w:tcPr>
            <w:tcW w:w="3320" w:type="dxa"/>
            <w:gridSpan w:val="3"/>
            <w:tcBorders>
              <w:top w:val="single" w:sz="8" w:space="0" w:color="auto"/>
              <w:left w:val="single" w:sz="8" w:space="0" w:color="auto"/>
              <w:bottom w:val="single" w:sz="8" w:space="0" w:color="auto"/>
              <w:right w:val="single" w:sz="8" w:space="0" w:color="auto"/>
            </w:tcBorders>
          </w:tcPr>
          <w:p w14:paraId="2B75EA7F" w14:textId="36F326C6" w:rsidR="00436424" w:rsidRDefault="00436424" w:rsidP="00436424">
            <w:pPr>
              <w:spacing w:line="360" w:lineRule="auto"/>
              <w:ind w:left="144"/>
              <w:rPr>
                <w:sz w:val="20"/>
                <w:szCs w:val="20"/>
              </w:rPr>
            </w:pPr>
            <w:r>
              <w:rPr>
                <w:rFonts w:eastAsia="Times New Roman"/>
                <w:sz w:val="18"/>
                <w:szCs w:val="18"/>
              </w:rPr>
              <w:t xml:space="preserve">Routine and repeat samples are total coliform-positive and either is </w:t>
            </w:r>
            <w:r>
              <w:rPr>
                <w:rFonts w:eastAsia="Times New Roman"/>
                <w:i/>
                <w:iCs/>
                <w:sz w:val="18"/>
                <w:szCs w:val="18"/>
              </w:rPr>
              <w:t>E. coli</w:t>
            </w:r>
            <w:r>
              <w:rPr>
                <w:rFonts w:eastAsia="Times New Roman"/>
                <w:sz w:val="18"/>
                <w:szCs w:val="18"/>
              </w:rPr>
              <w:t xml:space="preserve">-positive or Supplier of Water fails to take repeat samples following </w:t>
            </w:r>
            <w:r>
              <w:rPr>
                <w:rFonts w:eastAsia="Times New Roman"/>
                <w:i/>
                <w:iCs/>
                <w:sz w:val="18"/>
                <w:szCs w:val="18"/>
              </w:rPr>
              <w:t>E. coli</w:t>
            </w:r>
            <w:r>
              <w:rPr>
                <w:rFonts w:eastAsia="Times New Roman"/>
                <w:sz w:val="18"/>
                <w:szCs w:val="18"/>
              </w:rPr>
              <w:t xml:space="preserve">-positive routine sample or Supplier of Water fails to analyze total coliform-positive repeat sample for </w:t>
            </w:r>
            <w:r>
              <w:rPr>
                <w:rFonts w:eastAsia="Times New Roman"/>
                <w:i/>
                <w:iCs/>
                <w:sz w:val="18"/>
                <w:szCs w:val="18"/>
              </w:rPr>
              <w:t>E. coli</w:t>
            </w:r>
          </w:p>
        </w:tc>
        <w:tc>
          <w:tcPr>
            <w:tcW w:w="980" w:type="dxa"/>
            <w:tcBorders>
              <w:top w:val="single" w:sz="8" w:space="0" w:color="auto"/>
              <w:bottom w:val="single" w:sz="8" w:space="0" w:color="auto"/>
              <w:right w:val="single" w:sz="8" w:space="0" w:color="auto"/>
            </w:tcBorders>
            <w:vAlign w:val="center"/>
          </w:tcPr>
          <w:p w14:paraId="65B1D510" w14:textId="29234F20" w:rsidR="00436424" w:rsidRDefault="00436424" w:rsidP="00436424">
            <w:pPr>
              <w:jc w:val="center"/>
              <w:rPr>
                <w:sz w:val="20"/>
                <w:szCs w:val="20"/>
              </w:rPr>
            </w:pPr>
            <w:r>
              <w:rPr>
                <w:sz w:val="20"/>
                <w:szCs w:val="20"/>
              </w:rPr>
              <w:t>0</w:t>
            </w:r>
          </w:p>
        </w:tc>
        <w:tc>
          <w:tcPr>
            <w:tcW w:w="1980" w:type="dxa"/>
            <w:tcBorders>
              <w:top w:val="single" w:sz="8" w:space="0" w:color="auto"/>
              <w:bottom w:val="single" w:sz="8" w:space="0" w:color="auto"/>
              <w:right w:val="single" w:sz="8" w:space="0" w:color="auto"/>
            </w:tcBorders>
          </w:tcPr>
          <w:p w14:paraId="7247B93A" w14:textId="4E6D2431" w:rsidR="00436424" w:rsidRPr="00436424" w:rsidRDefault="00436424" w:rsidP="00436424">
            <w:pPr>
              <w:spacing w:line="360" w:lineRule="auto"/>
              <w:ind w:left="144"/>
              <w:rPr>
                <w:rFonts w:eastAsia="Times New Roman"/>
                <w:sz w:val="18"/>
                <w:szCs w:val="18"/>
              </w:rPr>
            </w:pPr>
            <w:r>
              <w:rPr>
                <w:rFonts w:eastAsia="Times New Roman"/>
                <w:sz w:val="18"/>
                <w:szCs w:val="18"/>
              </w:rPr>
              <w:t>Human and animal fecal waste.</w:t>
            </w:r>
          </w:p>
        </w:tc>
        <w:tc>
          <w:tcPr>
            <w:tcW w:w="2320" w:type="dxa"/>
            <w:tcBorders>
              <w:top w:val="single" w:sz="8" w:space="0" w:color="auto"/>
              <w:bottom w:val="single" w:sz="8" w:space="0" w:color="auto"/>
              <w:right w:val="single" w:sz="8" w:space="0" w:color="auto"/>
            </w:tcBorders>
          </w:tcPr>
          <w:p w14:paraId="4499CDEC" w14:textId="3115DB54" w:rsidR="00436424" w:rsidRPr="00436424" w:rsidRDefault="00436424" w:rsidP="00436424">
            <w:pPr>
              <w:spacing w:line="360" w:lineRule="auto"/>
              <w:ind w:left="144"/>
              <w:rPr>
                <w:rFonts w:eastAsia="Times New Roman"/>
                <w:sz w:val="18"/>
                <w:szCs w:val="18"/>
              </w:rPr>
            </w:pPr>
            <w:r>
              <w:rPr>
                <w:rFonts w:eastAsia="Times New Roman"/>
                <w:i/>
                <w:iCs/>
                <w:sz w:val="18"/>
                <w:szCs w:val="18"/>
              </w:rPr>
              <w:t xml:space="preserve">E. coli </w:t>
            </w:r>
            <w:r>
              <w:rPr>
                <w:rFonts w:eastAsia="Times New Roman"/>
                <w:sz w:val="18"/>
                <w:szCs w:val="18"/>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tc>
      </w:tr>
    </w:tbl>
    <w:p w14:paraId="281A2415" w14:textId="77777777" w:rsidR="004647B9" w:rsidRDefault="004647B9">
      <w:pPr>
        <w:spacing w:line="1" w:lineRule="exact"/>
        <w:rPr>
          <w:sz w:val="1"/>
          <w:szCs w:val="1"/>
        </w:rPr>
      </w:pPr>
    </w:p>
    <w:p w14:paraId="7816BA35" w14:textId="77777777" w:rsidR="00436424" w:rsidRDefault="00436424"/>
    <w:p w14:paraId="281A255F" w14:textId="1FBEDC50" w:rsidR="00436424" w:rsidRDefault="00436424">
      <w:pPr>
        <w:sectPr w:rsidR="00436424" w:rsidSect="00EF630C">
          <w:type w:val="continuous"/>
          <w:pgSz w:w="12240" w:h="20180"/>
          <w:pgMar w:top="708" w:right="940" w:bottom="1440" w:left="600" w:header="0" w:footer="0" w:gutter="0"/>
          <w:cols w:space="720"/>
        </w:sectPr>
      </w:pPr>
    </w:p>
    <w:p w14:paraId="281A2560" w14:textId="77777777" w:rsidR="004647B9" w:rsidRDefault="00E2436F">
      <w:pPr>
        <w:tabs>
          <w:tab w:val="left" w:pos="2860"/>
        </w:tabs>
        <w:ind w:left="1680"/>
        <w:rPr>
          <w:sz w:val="20"/>
          <w:szCs w:val="20"/>
        </w:rPr>
      </w:pPr>
      <w:bookmarkStart w:id="220" w:name="page222"/>
      <w:bookmarkEnd w:id="22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561" w14:textId="77777777" w:rsidR="004647B9" w:rsidRDefault="004647B9" w:rsidP="009716D2">
      <w:pPr>
        <w:rPr>
          <w:sz w:val="20"/>
          <w:szCs w:val="20"/>
        </w:rPr>
      </w:pPr>
    </w:p>
    <w:p w14:paraId="184E6D70" w14:textId="77777777" w:rsidR="009716D2" w:rsidRDefault="009716D2" w:rsidP="009716D2">
      <w:pPr>
        <w:rPr>
          <w:sz w:val="20"/>
          <w:szCs w:val="20"/>
        </w:rPr>
      </w:pPr>
    </w:p>
    <w:p w14:paraId="281A2562" w14:textId="77777777" w:rsidR="004647B9" w:rsidRDefault="00E2436F" w:rsidP="009716D2">
      <w:pPr>
        <w:tabs>
          <w:tab w:val="left" w:pos="940"/>
        </w:tabs>
        <w:rPr>
          <w:sz w:val="20"/>
          <w:szCs w:val="20"/>
        </w:rPr>
      </w:pPr>
      <w:r>
        <w:rPr>
          <w:rFonts w:eastAsia="Times New Roman"/>
          <w:sz w:val="24"/>
          <w:szCs w:val="24"/>
        </w:rPr>
        <w:t>22.16A:</w:t>
      </w:r>
      <w:r>
        <w:rPr>
          <w:sz w:val="20"/>
          <w:szCs w:val="20"/>
        </w:rPr>
        <w:tab/>
      </w:r>
      <w:r>
        <w:rPr>
          <w:rFonts w:eastAsia="Times New Roman"/>
          <w:sz w:val="23"/>
          <w:szCs w:val="23"/>
        </w:rPr>
        <w:t>continued</w:t>
      </w:r>
    </w:p>
    <w:p w14:paraId="281A2563" w14:textId="77777777" w:rsidR="004647B9" w:rsidRDefault="004647B9" w:rsidP="009716D2">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980"/>
        <w:gridCol w:w="2320"/>
      </w:tblGrid>
      <w:tr w:rsidR="003369B4" w14:paraId="328F9D66" w14:textId="77777777" w:rsidTr="00FC7F77">
        <w:trPr>
          <w:trHeight w:val="1037"/>
        </w:trPr>
        <w:tc>
          <w:tcPr>
            <w:tcW w:w="2100" w:type="dxa"/>
            <w:tcBorders>
              <w:top w:val="single" w:sz="8" w:space="0" w:color="auto"/>
              <w:left w:val="single" w:sz="8" w:space="0" w:color="auto"/>
              <w:bottom w:val="single" w:sz="8" w:space="0" w:color="auto"/>
              <w:right w:val="single" w:sz="8" w:space="0" w:color="auto"/>
            </w:tcBorders>
            <w:vAlign w:val="center"/>
          </w:tcPr>
          <w:p w14:paraId="20A6CAD2" w14:textId="0315B74C" w:rsidR="003369B4" w:rsidRDefault="003369B4" w:rsidP="003369B4">
            <w:pPr>
              <w:jc w:val="center"/>
              <w:rPr>
                <w:sz w:val="24"/>
                <w:szCs w:val="24"/>
              </w:rPr>
            </w:pPr>
            <w:r>
              <w:rPr>
                <w:rFonts w:eastAsia="Times New Roman"/>
                <w:sz w:val="18"/>
                <w:szCs w:val="18"/>
              </w:rPr>
              <w:t>Contaminant</w:t>
            </w:r>
          </w:p>
        </w:tc>
        <w:tc>
          <w:tcPr>
            <w:tcW w:w="1060" w:type="dxa"/>
            <w:tcBorders>
              <w:top w:val="single" w:sz="8" w:space="0" w:color="auto"/>
              <w:bottom w:val="single" w:sz="8" w:space="0" w:color="auto"/>
              <w:right w:val="single" w:sz="8" w:space="0" w:color="auto"/>
            </w:tcBorders>
            <w:vAlign w:val="center"/>
          </w:tcPr>
          <w:p w14:paraId="39BFAB5D" w14:textId="732581F9" w:rsidR="003369B4" w:rsidRDefault="003369B4" w:rsidP="003369B4">
            <w:pPr>
              <w:jc w:val="center"/>
              <w:rPr>
                <w:rFonts w:eastAsia="Times New Roman"/>
                <w:sz w:val="18"/>
                <w:szCs w:val="18"/>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091DD6CC" w14:textId="00F8237A" w:rsidR="003369B4" w:rsidRDefault="003369B4" w:rsidP="003369B4">
            <w:pPr>
              <w:jc w:val="center"/>
              <w:rPr>
                <w:rFonts w:eastAsia="Times New Roman"/>
                <w:sz w:val="18"/>
                <w:szCs w:val="18"/>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8C5F293" w14:textId="4A75A6A8" w:rsidR="003369B4" w:rsidRDefault="003369B4" w:rsidP="003369B4">
            <w:pPr>
              <w:jc w:val="center"/>
              <w:rPr>
                <w:rFonts w:eastAsia="Times New Roman"/>
                <w:sz w:val="18"/>
                <w:szCs w:val="18"/>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3CF7E086" w14:textId="1E8762BC" w:rsidR="003369B4" w:rsidRDefault="003369B4" w:rsidP="003369B4">
            <w:pPr>
              <w:jc w:val="center"/>
              <w:rPr>
                <w:rFonts w:eastAsia="Times New Roman"/>
                <w:sz w:val="18"/>
                <w:szCs w:val="18"/>
              </w:rPr>
            </w:pPr>
            <w:r>
              <w:rPr>
                <w:rFonts w:eastAsia="Times New Roman"/>
                <w:sz w:val="18"/>
                <w:szCs w:val="18"/>
              </w:rPr>
              <w:t>MCLG in CCR units</w:t>
            </w:r>
          </w:p>
        </w:tc>
        <w:tc>
          <w:tcPr>
            <w:tcW w:w="1980" w:type="dxa"/>
            <w:tcBorders>
              <w:top w:val="single" w:sz="8" w:space="0" w:color="auto"/>
              <w:bottom w:val="single" w:sz="8" w:space="0" w:color="auto"/>
              <w:right w:val="single" w:sz="8" w:space="0" w:color="auto"/>
            </w:tcBorders>
            <w:vAlign w:val="center"/>
          </w:tcPr>
          <w:p w14:paraId="4AE39439" w14:textId="77777777" w:rsidR="003369B4" w:rsidRDefault="003369B4" w:rsidP="003369B4">
            <w:pPr>
              <w:jc w:val="center"/>
              <w:rPr>
                <w:sz w:val="20"/>
                <w:szCs w:val="20"/>
              </w:rPr>
            </w:pPr>
            <w:r>
              <w:rPr>
                <w:rFonts w:eastAsia="Times New Roman"/>
                <w:sz w:val="18"/>
                <w:szCs w:val="18"/>
              </w:rPr>
              <w:t>Major Sources in Drinking</w:t>
            </w:r>
          </w:p>
          <w:p w14:paraId="0C6D3678" w14:textId="17BA24F4" w:rsidR="003369B4" w:rsidRDefault="003369B4" w:rsidP="003369B4">
            <w:pPr>
              <w:jc w:val="center"/>
              <w:rPr>
                <w:rFonts w:eastAsia="Times New Roman"/>
                <w:sz w:val="18"/>
                <w:szCs w:val="18"/>
              </w:rPr>
            </w:pPr>
            <w:r>
              <w:rPr>
                <w:rFonts w:eastAsia="Times New Roman"/>
                <w:w w:val="98"/>
                <w:sz w:val="18"/>
                <w:szCs w:val="18"/>
              </w:rPr>
              <w:t>Water</w:t>
            </w:r>
          </w:p>
        </w:tc>
        <w:tc>
          <w:tcPr>
            <w:tcW w:w="2320" w:type="dxa"/>
            <w:tcBorders>
              <w:top w:val="single" w:sz="8" w:space="0" w:color="auto"/>
              <w:bottom w:val="single" w:sz="8" w:space="0" w:color="auto"/>
              <w:right w:val="single" w:sz="8" w:space="0" w:color="auto"/>
            </w:tcBorders>
            <w:vAlign w:val="center"/>
          </w:tcPr>
          <w:p w14:paraId="54CF5F80" w14:textId="5B285ABD" w:rsidR="003369B4" w:rsidRDefault="003369B4" w:rsidP="003369B4">
            <w:pPr>
              <w:jc w:val="center"/>
              <w:rPr>
                <w:rFonts w:eastAsia="Times New Roman"/>
                <w:sz w:val="18"/>
                <w:szCs w:val="18"/>
              </w:rPr>
            </w:pPr>
            <w:r>
              <w:rPr>
                <w:rFonts w:eastAsia="Times New Roman"/>
                <w:sz w:val="18"/>
                <w:szCs w:val="18"/>
              </w:rPr>
              <w:t>Health Effects Language</w:t>
            </w:r>
          </w:p>
        </w:tc>
      </w:tr>
      <w:tr w:rsidR="008B004C" w14:paraId="281A2595" w14:textId="77777777" w:rsidTr="0037606F">
        <w:trPr>
          <w:trHeight w:val="4649"/>
        </w:trPr>
        <w:tc>
          <w:tcPr>
            <w:tcW w:w="2100" w:type="dxa"/>
            <w:tcBorders>
              <w:top w:val="single" w:sz="8" w:space="0" w:color="auto"/>
              <w:left w:val="single" w:sz="8" w:space="0" w:color="auto"/>
              <w:bottom w:val="single" w:sz="8" w:space="0" w:color="auto"/>
              <w:right w:val="single" w:sz="8" w:space="0" w:color="auto"/>
            </w:tcBorders>
            <w:vAlign w:val="center"/>
          </w:tcPr>
          <w:p w14:paraId="281A258E" w14:textId="339DE477" w:rsidR="008B004C" w:rsidRPr="008B004C" w:rsidRDefault="008B004C" w:rsidP="00563A54">
            <w:pPr>
              <w:numPr>
                <w:ilvl w:val="0"/>
                <w:numId w:val="938"/>
              </w:numPr>
              <w:tabs>
                <w:tab w:val="left" w:pos="364"/>
              </w:tabs>
              <w:rPr>
                <w:rFonts w:eastAsia="Times New Roman"/>
                <w:sz w:val="18"/>
                <w:szCs w:val="18"/>
              </w:rPr>
            </w:pPr>
            <w:r w:rsidRPr="008B004C">
              <w:rPr>
                <w:rFonts w:eastAsia="Times New Roman"/>
                <w:sz w:val="18"/>
                <w:szCs w:val="18"/>
              </w:rPr>
              <w:t>Fecal Indicators (</w:t>
            </w:r>
            <w:r w:rsidRPr="008B004C">
              <w:rPr>
                <w:rFonts w:eastAsia="Times New Roman"/>
                <w:i/>
                <w:iCs/>
                <w:sz w:val="18"/>
                <w:szCs w:val="18"/>
              </w:rPr>
              <w:t>E. coli</w:t>
            </w:r>
            <w:r w:rsidRPr="008B004C">
              <w:rPr>
                <w:rFonts w:eastAsia="Times New Roman"/>
                <w:sz w:val="18"/>
                <w:szCs w:val="18"/>
              </w:rPr>
              <w:t>, enterococci, or coliphage) Groundwater Rule</w:t>
            </w:r>
          </w:p>
        </w:tc>
        <w:tc>
          <w:tcPr>
            <w:tcW w:w="1060" w:type="dxa"/>
            <w:tcBorders>
              <w:top w:val="single" w:sz="8" w:space="0" w:color="auto"/>
              <w:left w:val="single" w:sz="8" w:space="0" w:color="auto"/>
              <w:bottom w:val="single" w:sz="8" w:space="0" w:color="auto"/>
              <w:right w:val="single" w:sz="8" w:space="0" w:color="auto"/>
            </w:tcBorders>
            <w:vAlign w:val="center"/>
          </w:tcPr>
          <w:p w14:paraId="281A258F" w14:textId="77777777" w:rsidR="008B004C" w:rsidRDefault="008B004C" w:rsidP="008B004C">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590" w14:textId="77777777" w:rsidR="008B004C" w:rsidRDefault="008B004C" w:rsidP="008B004C">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591" w14:textId="77777777" w:rsidR="008B004C" w:rsidRDefault="008B004C" w:rsidP="008B004C">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592" w14:textId="77777777" w:rsidR="008B004C" w:rsidRDefault="008B004C" w:rsidP="008B004C">
            <w:pPr>
              <w:jc w:val="center"/>
              <w:rPr>
                <w:sz w:val="20"/>
                <w:szCs w:val="20"/>
              </w:rPr>
            </w:pPr>
            <w:r>
              <w:rPr>
                <w:rFonts w:eastAsia="Times New Roman"/>
                <w:sz w:val="18"/>
                <w:szCs w:val="18"/>
              </w:rPr>
              <w:t>N/A</w:t>
            </w:r>
          </w:p>
        </w:tc>
        <w:tc>
          <w:tcPr>
            <w:tcW w:w="1980" w:type="dxa"/>
            <w:tcBorders>
              <w:top w:val="single" w:sz="8" w:space="0" w:color="auto"/>
              <w:bottom w:val="single" w:sz="8" w:space="0" w:color="auto"/>
              <w:right w:val="single" w:sz="8" w:space="0" w:color="auto"/>
            </w:tcBorders>
          </w:tcPr>
          <w:p w14:paraId="281A2593" w14:textId="3A9E5A8A" w:rsidR="008B004C" w:rsidRDefault="008B004C" w:rsidP="00FC7F77">
            <w:pPr>
              <w:spacing w:line="360" w:lineRule="auto"/>
              <w:ind w:left="144"/>
              <w:rPr>
                <w:sz w:val="20"/>
                <w:szCs w:val="20"/>
              </w:rPr>
            </w:pPr>
            <w:r>
              <w:rPr>
                <w:rFonts w:eastAsia="Times New Roman"/>
                <w:sz w:val="18"/>
                <w:szCs w:val="18"/>
              </w:rPr>
              <w:t>Human and animal fecal waste</w:t>
            </w:r>
          </w:p>
        </w:tc>
        <w:tc>
          <w:tcPr>
            <w:tcW w:w="2320" w:type="dxa"/>
            <w:tcBorders>
              <w:top w:val="single" w:sz="8" w:space="0" w:color="auto"/>
              <w:bottom w:val="single" w:sz="8" w:space="0" w:color="auto"/>
              <w:right w:val="single" w:sz="8" w:space="0" w:color="auto"/>
            </w:tcBorders>
          </w:tcPr>
          <w:p w14:paraId="281A2594" w14:textId="44F3EBCD" w:rsidR="008B004C" w:rsidRDefault="008B004C" w:rsidP="00FC7F77">
            <w:pPr>
              <w:spacing w:line="360" w:lineRule="auto"/>
              <w:ind w:left="144"/>
              <w:rPr>
                <w:sz w:val="20"/>
                <w:szCs w:val="20"/>
              </w:rPr>
            </w:pPr>
            <w:r>
              <w:rPr>
                <w:rFonts w:eastAsia="Times New Roman"/>
                <w:sz w:val="18"/>
                <w:szCs w:val="18"/>
              </w:rPr>
              <w:t>Fecal indicators are microbes whose presence</w:t>
            </w:r>
            <w:r w:rsidR="00FC7F77">
              <w:rPr>
                <w:rFonts w:eastAsia="Times New Roman"/>
                <w:sz w:val="18"/>
                <w:szCs w:val="18"/>
              </w:rPr>
              <w:t xml:space="preserve"> </w:t>
            </w:r>
            <w:r>
              <w:rPr>
                <w:rFonts w:eastAsia="Times New Roman"/>
                <w:sz w:val="18"/>
                <w:szCs w:val="18"/>
              </w:rPr>
              <w:t>indicates that the water may</w:t>
            </w:r>
            <w:r w:rsidR="00FC7F77">
              <w:rPr>
                <w:rFonts w:eastAsia="Times New Roman"/>
                <w:sz w:val="18"/>
                <w:szCs w:val="18"/>
              </w:rPr>
              <w:t xml:space="preserve"> </w:t>
            </w:r>
            <w:r>
              <w:rPr>
                <w:rFonts w:eastAsia="Times New Roman"/>
                <w:sz w:val="18"/>
                <w:szCs w:val="18"/>
              </w:rPr>
              <w:t>be contaminated with</w:t>
            </w:r>
            <w:r w:rsidR="00FC7F77">
              <w:rPr>
                <w:rFonts w:eastAsia="Times New Roman"/>
                <w:sz w:val="18"/>
                <w:szCs w:val="18"/>
              </w:rPr>
              <w:t xml:space="preserve"> </w:t>
            </w:r>
            <w:r>
              <w:rPr>
                <w:rFonts w:eastAsia="Times New Roman"/>
                <w:sz w:val="18"/>
                <w:szCs w:val="18"/>
              </w:rPr>
              <w:t>human or animal wastes.</w:t>
            </w:r>
            <w:r w:rsidR="00FC7F77">
              <w:rPr>
                <w:rFonts w:eastAsia="Times New Roman"/>
                <w:sz w:val="18"/>
                <w:szCs w:val="18"/>
              </w:rPr>
              <w:t xml:space="preserve"> </w:t>
            </w:r>
            <w:r>
              <w:rPr>
                <w:rFonts w:eastAsia="Times New Roman"/>
                <w:sz w:val="18"/>
                <w:szCs w:val="18"/>
              </w:rPr>
              <w:t>Microbes in these wastes</w:t>
            </w:r>
            <w:r w:rsidR="00FC7F77">
              <w:rPr>
                <w:rFonts w:eastAsia="Times New Roman"/>
                <w:sz w:val="18"/>
                <w:szCs w:val="18"/>
              </w:rPr>
              <w:t xml:space="preserve"> </w:t>
            </w:r>
            <w:r>
              <w:rPr>
                <w:rFonts w:eastAsia="Times New Roman"/>
                <w:sz w:val="18"/>
                <w:szCs w:val="18"/>
              </w:rPr>
              <w:t>can cause short-term health</w:t>
            </w:r>
            <w:r w:rsidR="00FC7F77">
              <w:rPr>
                <w:rFonts w:eastAsia="Times New Roman"/>
                <w:sz w:val="18"/>
                <w:szCs w:val="18"/>
              </w:rPr>
              <w:t xml:space="preserve"> </w:t>
            </w:r>
            <w:r>
              <w:rPr>
                <w:rFonts w:eastAsia="Times New Roman"/>
                <w:sz w:val="18"/>
                <w:szCs w:val="18"/>
              </w:rPr>
              <w:t>effects, such as diarrhea,</w:t>
            </w:r>
            <w:r w:rsidR="00FC7F77">
              <w:rPr>
                <w:rFonts w:eastAsia="Times New Roman"/>
                <w:sz w:val="18"/>
                <w:szCs w:val="18"/>
              </w:rPr>
              <w:t xml:space="preserve"> </w:t>
            </w:r>
            <w:r>
              <w:rPr>
                <w:rFonts w:eastAsia="Times New Roman"/>
                <w:sz w:val="18"/>
                <w:szCs w:val="18"/>
              </w:rPr>
              <w:t>cramps, nausea, headaches,</w:t>
            </w:r>
            <w:r w:rsidR="00FC7F77">
              <w:rPr>
                <w:rFonts w:eastAsia="Times New Roman"/>
                <w:sz w:val="18"/>
                <w:szCs w:val="18"/>
              </w:rPr>
              <w:t xml:space="preserve"> </w:t>
            </w:r>
            <w:r>
              <w:rPr>
                <w:rFonts w:eastAsia="Times New Roman"/>
                <w:sz w:val="18"/>
                <w:szCs w:val="18"/>
              </w:rPr>
              <w:t>or other symptoms.  They</w:t>
            </w:r>
            <w:r w:rsidR="00FC7F77">
              <w:rPr>
                <w:rFonts w:eastAsia="Times New Roman"/>
                <w:sz w:val="18"/>
                <w:szCs w:val="18"/>
              </w:rPr>
              <w:t xml:space="preserve"> </w:t>
            </w:r>
            <w:r>
              <w:rPr>
                <w:rFonts w:eastAsia="Times New Roman"/>
                <w:sz w:val="18"/>
                <w:szCs w:val="18"/>
              </w:rPr>
              <w:t>may pose a special health</w:t>
            </w:r>
            <w:r w:rsidR="00FC7F77">
              <w:rPr>
                <w:rFonts w:eastAsia="Times New Roman"/>
                <w:sz w:val="18"/>
                <w:szCs w:val="18"/>
              </w:rPr>
              <w:t xml:space="preserve"> </w:t>
            </w:r>
            <w:r>
              <w:rPr>
                <w:rFonts w:eastAsia="Times New Roman"/>
                <w:sz w:val="18"/>
                <w:szCs w:val="18"/>
              </w:rPr>
              <w:t>risk for infants, young</w:t>
            </w:r>
            <w:r w:rsidR="00FC7F77">
              <w:rPr>
                <w:rFonts w:eastAsia="Times New Roman"/>
                <w:sz w:val="18"/>
                <w:szCs w:val="18"/>
              </w:rPr>
              <w:t xml:space="preserve"> </w:t>
            </w:r>
            <w:r>
              <w:rPr>
                <w:rFonts w:eastAsia="Times New Roman"/>
                <w:sz w:val="18"/>
                <w:szCs w:val="18"/>
              </w:rPr>
              <w:t>children, some of the</w:t>
            </w:r>
            <w:r w:rsidR="00FC7F77">
              <w:rPr>
                <w:rFonts w:eastAsia="Times New Roman"/>
                <w:sz w:val="18"/>
                <w:szCs w:val="18"/>
              </w:rPr>
              <w:t xml:space="preserve"> </w:t>
            </w:r>
            <w:r>
              <w:rPr>
                <w:rFonts w:eastAsia="Times New Roman"/>
                <w:sz w:val="18"/>
                <w:szCs w:val="18"/>
              </w:rPr>
              <w:t>elderly, and people with</w:t>
            </w:r>
            <w:r w:rsidR="00FC7F77">
              <w:rPr>
                <w:rFonts w:eastAsia="Times New Roman"/>
                <w:sz w:val="18"/>
                <w:szCs w:val="18"/>
              </w:rPr>
              <w:t xml:space="preserve"> </w:t>
            </w:r>
            <w:r>
              <w:rPr>
                <w:rFonts w:eastAsia="Times New Roman"/>
                <w:sz w:val="18"/>
                <w:szCs w:val="18"/>
              </w:rPr>
              <w:t>severely compromised</w:t>
            </w:r>
            <w:r w:rsidR="00FC7F77">
              <w:rPr>
                <w:rFonts w:eastAsia="Times New Roman"/>
                <w:sz w:val="18"/>
                <w:szCs w:val="18"/>
              </w:rPr>
              <w:t xml:space="preserve"> </w:t>
            </w:r>
            <w:r>
              <w:rPr>
                <w:rFonts w:eastAsia="Times New Roman"/>
                <w:sz w:val="18"/>
                <w:szCs w:val="18"/>
              </w:rPr>
              <w:t>immune systems.</w:t>
            </w:r>
          </w:p>
        </w:tc>
      </w:tr>
      <w:tr w:rsidR="0037606F" w14:paraId="281A2638" w14:textId="77777777" w:rsidTr="0037606F">
        <w:trPr>
          <w:trHeight w:val="5208"/>
        </w:trPr>
        <w:tc>
          <w:tcPr>
            <w:tcW w:w="2100" w:type="dxa"/>
            <w:tcBorders>
              <w:top w:val="single" w:sz="8" w:space="0" w:color="auto"/>
              <w:left w:val="single" w:sz="8" w:space="0" w:color="auto"/>
              <w:bottom w:val="single" w:sz="8" w:space="0" w:color="auto"/>
              <w:right w:val="single" w:sz="8" w:space="0" w:color="auto"/>
            </w:tcBorders>
            <w:vAlign w:val="center"/>
          </w:tcPr>
          <w:p w14:paraId="281A2631" w14:textId="46335E47" w:rsidR="0037606F" w:rsidRPr="0037606F" w:rsidRDefault="0037606F" w:rsidP="00563A54">
            <w:pPr>
              <w:numPr>
                <w:ilvl w:val="0"/>
                <w:numId w:val="938"/>
              </w:numPr>
              <w:tabs>
                <w:tab w:val="left" w:pos="364"/>
              </w:tabs>
              <w:rPr>
                <w:rFonts w:eastAsia="Times New Roman"/>
                <w:sz w:val="18"/>
                <w:szCs w:val="18"/>
              </w:rPr>
            </w:pPr>
            <w:r>
              <w:rPr>
                <w:rFonts w:eastAsia="Times New Roman"/>
                <w:sz w:val="18"/>
                <w:szCs w:val="18"/>
              </w:rPr>
              <w:t>Total organic carbon</w:t>
            </w:r>
          </w:p>
        </w:tc>
        <w:tc>
          <w:tcPr>
            <w:tcW w:w="1060" w:type="dxa"/>
            <w:tcBorders>
              <w:top w:val="single" w:sz="8" w:space="0" w:color="auto"/>
              <w:left w:val="single" w:sz="8" w:space="0" w:color="auto"/>
              <w:bottom w:val="single" w:sz="8" w:space="0" w:color="auto"/>
              <w:right w:val="single" w:sz="8" w:space="0" w:color="auto"/>
            </w:tcBorders>
            <w:vAlign w:val="center"/>
          </w:tcPr>
          <w:p w14:paraId="281A2632" w14:textId="77777777" w:rsidR="0037606F" w:rsidRDefault="0037606F" w:rsidP="0037606F">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633" w14:textId="77777777" w:rsidR="0037606F" w:rsidRDefault="0037606F" w:rsidP="0037606F">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634" w14:textId="77777777" w:rsidR="0037606F" w:rsidRDefault="0037606F" w:rsidP="0037606F">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635" w14:textId="77777777" w:rsidR="0037606F" w:rsidRDefault="0037606F" w:rsidP="0037606F">
            <w:pPr>
              <w:jc w:val="center"/>
              <w:rPr>
                <w:sz w:val="20"/>
                <w:szCs w:val="20"/>
              </w:rPr>
            </w:pPr>
            <w:r>
              <w:rPr>
                <w:rFonts w:eastAsia="Times New Roman"/>
                <w:sz w:val="18"/>
                <w:szCs w:val="18"/>
              </w:rPr>
              <w:t>N/A</w:t>
            </w:r>
          </w:p>
        </w:tc>
        <w:tc>
          <w:tcPr>
            <w:tcW w:w="1980" w:type="dxa"/>
            <w:tcBorders>
              <w:top w:val="single" w:sz="8" w:space="0" w:color="auto"/>
              <w:bottom w:val="single" w:sz="8" w:space="0" w:color="auto"/>
              <w:right w:val="single" w:sz="8" w:space="0" w:color="auto"/>
            </w:tcBorders>
          </w:tcPr>
          <w:p w14:paraId="281A2636" w14:textId="0F9452D2" w:rsidR="0037606F" w:rsidRDefault="0037606F" w:rsidP="0037606F">
            <w:pPr>
              <w:spacing w:line="360" w:lineRule="auto"/>
              <w:ind w:left="144"/>
              <w:rPr>
                <w:sz w:val="20"/>
                <w:szCs w:val="20"/>
              </w:rPr>
            </w:pPr>
            <w:r>
              <w:rPr>
                <w:rFonts w:eastAsia="Times New Roman"/>
                <w:sz w:val="18"/>
                <w:szCs w:val="18"/>
              </w:rPr>
              <w:t>Naturally present in the environment</w:t>
            </w:r>
          </w:p>
        </w:tc>
        <w:tc>
          <w:tcPr>
            <w:tcW w:w="2320" w:type="dxa"/>
            <w:tcBorders>
              <w:top w:val="single" w:sz="8" w:space="0" w:color="auto"/>
              <w:bottom w:val="single" w:sz="8" w:space="0" w:color="auto"/>
              <w:right w:val="single" w:sz="8" w:space="0" w:color="auto"/>
            </w:tcBorders>
          </w:tcPr>
          <w:p w14:paraId="281A2637" w14:textId="4129D0C8" w:rsidR="0037606F" w:rsidRDefault="0037606F" w:rsidP="0037606F">
            <w:pPr>
              <w:spacing w:line="360" w:lineRule="auto"/>
              <w:ind w:left="144"/>
              <w:rPr>
                <w:sz w:val="20"/>
                <w:szCs w:val="20"/>
              </w:rPr>
            </w:pPr>
            <w:r>
              <w:rPr>
                <w:rFonts w:eastAsia="Times New Roman"/>
                <w:sz w:val="18"/>
                <w:szCs w:val="18"/>
              </w:rPr>
              <w:t>Total organic carbon (TOC) has no health effects.  However, total organic carbon provides a medium for the formation of disinfection by products. These byproducts include Trihalomethanes (THMs) and haloacetic acids (HAAs).  Drinking water containing these byproducts in excess of the MCL may lead to adverse health effects, liver or kidney problems, or nervous system effects, and may lead to an increase risk of getting cancer.</w:t>
            </w:r>
          </w:p>
        </w:tc>
      </w:tr>
      <w:tr w:rsidR="0037606F" w14:paraId="281A26F3" w14:textId="77777777" w:rsidTr="0037606F">
        <w:trPr>
          <w:trHeight w:val="4072"/>
        </w:trPr>
        <w:tc>
          <w:tcPr>
            <w:tcW w:w="2100" w:type="dxa"/>
            <w:tcBorders>
              <w:top w:val="single" w:sz="8" w:space="0" w:color="auto"/>
              <w:left w:val="single" w:sz="8" w:space="0" w:color="auto"/>
              <w:bottom w:val="single" w:sz="8" w:space="0" w:color="auto"/>
              <w:right w:val="single" w:sz="8" w:space="0" w:color="auto"/>
            </w:tcBorders>
            <w:vAlign w:val="center"/>
          </w:tcPr>
          <w:p w14:paraId="281A26EC" w14:textId="7EC83BD0" w:rsidR="0037606F" w:rsidRDefault="0037606F" w:rsidP="00563A54">
            <w:pPr>
              <w:numPr>
                <w:ilvl w:val="0"/>
                <w:numId w:val="938"/>
              </w:numPr>
              <w:tabs>
                <w:tab w:val="left" w:pos="364"/>
              </w:tabs>
              <w:rPr>
                <w:sz w:val="20"/>
                <w:szCs w:val="20"/>
              </w:rPr>
            </w:pPr>
            <w:r>
              <w:rPr>
                <w:rFonts w:eastAsia="Times New Roman"/>
                <w:sz w:val="18"/>
                <w:szCs w:val="18"/>
              </w:rPr>
              <w:t>Turbidity</w:t>
            </w:r>
          </w:p>
        </w:tc>
        <w:tc>
          <w:tcPr>
            <w:tcW w:w="1060" w:type="dxa"/>
            <w:tcBorders>
              <w:top w:val="single" w:sz="8" w:space="0" w:color="auto"/>
              <w:left w:val="single" w:sz="8" w:space="0" w:color="auto"/>
              <w:bottom w:val="single" w:sz="8" w:space="0" w:color="auto"/>
              <w:right w:val="single" w:sz="8" w:space="0" w:color="auto"/>
            </w:tcBorders>
            <w:vAlign w:val="center"/>
          </w:tcPr>
          <w:p w14:paraId="281A26ED" w14:textId="77777777" w:rsidR="0037606F" w:rsidRDefault="0037606F" w:rsidP="0037606F">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6EE" w14:textId="77777777" w:rsidR="0037606F" w:rsidRDefault="0037606F" w:rsidP="0037606F">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6EF" w14:textId="77777777" w:rsidR="0037606F" w:rsidRDefault="0037606F" w:rsidP="0037606F">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6F0" w14:textId="77777777" w:rsidR="0037606F" w:rsidRDefault="0037606F" w:rsidP="0037606F">
            <w:pPr>
              <w:jc w:val="center"/>
              <w:rPr>
                <w:sz w:val="20"/>
                <w:szCs w:val="20"/>
              </w:rPr>
            </w:pPr>
            <w:r>
              <w:rPr>
                <w:rFonts w:eastAsia="Times New Roman"/>
                <w:sz w:val="18"/>
                <w:szCs w:val="18"/>
              </w:rPr>
              <w:t>N/A</w:t>
            </w:r>
          </w:p>
        </w:tc>
        <w:tc>
          <w:tcPr>
            <w:tcW w:w="1980" w:type="dxa"/>
            <w:tcBorders>
              <w:top w:val="single" w:sz="8" w:space="0" w:color="auto"/>
              <w:bottom w:val="single" w:sz="8" w:space="0" w:color="auto"/>
              <w:right w:val="single" w:sz="8" w:space="0" w:color="auto"/>
            </w:tcBorders>
          </w:tcPr>
          <w:p w14:paraId="281A26F1" w14:textId="77777777" w:rsidR="0037606F" w:rsidRDefault="0037606F" w:rsidP="0037606F">
            <w:pPr>
              <w:spacing w:line="360" w:lineRule="auto"/>
              <w:ind w:left="144"/>
              <w:rPr>
                <w:sz w:val="20"/>
                <w:szCs w:val="20"/>
              </w:rPr>
            </w:pPr>
            <w:r>
              <w:rPr>
                <w:rFonts w:eastAsia="Times New Roman"/>
                <w:sz w:val="18"/>
                <w:szCs w:val="18"/>
              </w:rPr>
              <w:t>Soil runoff</w:t>
            </w:r>
          </w:p>
        </w:tc>
        <w:tc>
          <w:tcPr>
            <w:tcW w:w="2320" w:type="dxa"/>
            <w:tcBorders>
              <w:top w:val="single" w:sz="8" w:space="0" w:color="auto"/>
              <w:bottom w:val="single" w:sz="8" w:space="0" w:color="auto"/>
              <w:right w:val="single" w:sz="8" w:space="0" w:color="auto"/>
            </w:tcBorders>
          </w:tcPr>
          <w:p w14:paraId="281A26F2" w14:textId="505C9FAC" w:rsidR="0037606F" w:rsidRDefault="0037606F" w:rsidP="0037606F">
            <w:pPr>
              <w:spacing w:line="360" w:lineRule="auto"/>
              <w:ind w:left="144"/>
              <w:rPr>
                <w:sz w:val="20"/>
                <w:szCs w:val="20"/>
              </w:rPr>
            </w:pPr>
            <w:r>
              <w:rPr>
                <w:rFonts w:eastAsia="Times New Roman"/>
                <w:sz w:val="18"/>
                <w:szCs w:val="18"/>
              </w:rPr>
              <w:t>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bl>
    <w:p w14:paraId="281A2780" w14:textId="77777777" w:rsidR="004647B9" w:rsidRDefault="004647B9">
      <w:pPr>
        <w:sectPr w:rsidR="004647B9" w:rsidSect="00EF630C">
          <w:pgSz w:w="12240" w:h="20180"/>
          <w:pgMar w:top="708" w:right="940" w:bottom="1440" w:left="600" w:header="0" w:footer="0" w:gutter="0"/>
          <w:cols w:space="720"/>
        </w:sectPr>
      </w:pPr>
    </w:p>
    <w:p w14:paraId="281A2781" w14:textId="77777777" w:rsidR="004647B9" w:rsidRDefault="00E2436F">
      <w:pPr>
        <w:tabs>
          <w:tab w:val="left" w:pos="2860"/>
        </w:tabs>
        <w:ind w:left="1680"/>
        <w:rPr>
          <w:sz w:val="20"/>
          <w:szCs w:val="20"/>
        </w:rPr>
      </w:pPr>
      <w:bookmarkStart w:id="221" w:name="page223"/>
      <w:bookmarkEnd w:id="22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782" w14:textId="77777777" w:rsidR="004647B9" w:rsidRDefault="004647B9" w:rsidP="009716D2">
      <w:pPr>
        <w:rPr>
          <w:sz w:val="20"/>
          <w:szCs w:val="20"/>
        </w:rPr>
      </w:pPr>
    </w:p>
    <w:p w14:paraId="7823CD48" w14:textId="77777777" w:rsidR="009716D2" w:rsidRDefault="009716D2" w:rsidP="009716D2">
      <w:pPr>
        <w:rPr>
          <w:sz w:val="20"/>
          <w:szCs w:val="20"/>
        </w:rPr>
      </w:pPr>
    </w:p>
    <w:p w14:paraId="281A2783" w14:textId="77777777" w:rsidR="004647B9" w:rsidRPr="009716D2" w:rsidRDefault="00E2436F" w:rsidP="009716D2">
      <w:pPr>
        <w:tabs>
          <w:tab w:val="left" w:pos="940"/>
        </w:tabs>
        <w:rPr>
          <w:sz w:val="24"/>
          <w:szCs w:val="24"/>
        </w:rPr>
      </w:pPr>
      <w:r w:rsidRPr="009716D2">
        <w:rPr>
          <w:rFonts w:eastAsia="Times New Roman"/>
          <w:sz w:val="24"/>
          <w:szCs w:val="24"/>
        </w:rPr>
        <w:t>22.16A:</w:t>
      </w:r>
      <w:r w:rsidRPr="009716D2">
        <w:rPr>
          <w:sz w:val="24"/>
          <w:szCs w:val="24"/>
        </w:rPr>
        <w:tab/>
      </w:r>
      <w:r w:rsidRPr="009716D2">
        <w:rPr>
          <w:rFonts w:eastAsia="Times New Roman"/>
          <w:sz w:val="24"/>
          <w:szCs w:val="24"/>
        </w:rPr>
        <w:t>continued</w:t>
      </w:r>
    </w:p>
    <w:p w14:paraId="281A2784" w14:textId="77777777" w:rsidR="004647B9" w:rsidRDefault="004647B9" w:rsidP="009716D2">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980"/>
        <w:gridCol w:w="2320"/>
      </w:tblGrid>
      <w:tr w:rsidR="0037606F" w14:paraId="30260A76"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383F347F" w14:textId="77777777" w:rsidR="0037606F" w:rsidRDefault="0037606F"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6BCDBC62" w14:textId="77777777" w:rsidR="0037606F" w:rsidRDefault="0037606F"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4EC0EA0C" w14:textId="77777777" w:rsidR="0037606F" w:rsidRDefault="0037606F"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9DF9E4E" w14:textId="77777777" w:rsidR="0037606F" w:rsidRDefault="0037606F"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72C90F44" w14:textId="77777777" w:rsidR="0037606F" w:rsidRDefault="0037606F" w:rsidP="00DF6443">
            <w:pPr>
              <w:jc w:val="center"/>
              <w:rPr>
                <w:sz w:val="20"/>
                <w:szCs w:val="20"/>
              </w:rPr>
            </w:pPr>
            <w:r>
              <w:rPr>
                <w:rFonts w:eastAsia="Times New Roman"/>
                <w:sz w:val="18"/>
                <w:szCs w:val="18"/>
              </w:rPr>
              <w:t>MCLG in CCR units</w:t>
            </w:r>
          </w:p>
        </w:tc>
        <w:tc>
          <w:tcPr>
            <w:tcW w:w="1980" w:type="dxa"/>
            <w:tcBorders>
              <w:top w:val="single" w:sz="8" w:space="0" w:color="auto"/>
              <w:bottom w:val="single" w:sz="8" w:space="0" w:color="auto"/>
              <w:right w:val="single" w:sz="8" w:space="0" w:color="auto"/>
            </w:tcBorders>
            <w:vAlign w:val="center"/>
          </w:tcPr>
          <w:p w14:paraId="265BAA5A" w14:textId="77777777" w:rsidR="0037606F" w:rsidRDefault="0037606F" w:rsidP="00DF6443">
            <w:pPr>
              <w:jc w:val="center"/>
              <w:rPr>
                <w:sz w:val="20"/>
                <w:szCs w:val="20"/>
              </w:rPr>
            </w:pPr>
            <w:r>
              <w:rPr>
                <w:rFonts w:eastAsia="Times New Roman"/>
                <w:sz w:val="18"/>
                <w:szCs w:val="18"/>
              </w:rPr>
              <w:t>Major Sources in Drinking</w:t>
            </w:r>
          </w:p>
          <w:p w14:paraId="25A301E8" w14:textId="77777777" w:rsidR="0037606F" w:rsidRDefault="0037606F" w:rsidP="00DF6443">
            <w:pPr>
              <w:jc w:val="center"/>
              <w:rPr>
                <w:sz w:val="20"/>
                <w:szCs w:val="20"/>
              </w:rPr>
            </w:pPr>
            <w:r>
              <w:rPr>
                <w:rFonts w:eastAsia="Times New Roman"/>
                <w:w w:val="98"/>
                <w:sz w:val="18"/>
                <w:szCs w:val="18"/>
              </w:rPr>
              <w:t>Water</w:t>
            </w:r>
          </w:p>
        </w:tc>
        <w:tc>
          <w:tcPr>
            <w:tcW w:w="2320" w:type="dxa"/>
            <w:tcBorders>
              <w:top w:val="single" w:sz="8" w:space="0" w:color="auto"/>
              <w:bottom w:val="single" w:sz="8" w:space="0" w:color="auto"/>
              <w:right w:val="single" w:sz="8" w:space="0" w:color="auto"/>
            </w:tcBorders>
            <w:vAlign w:val="center"/>
          </w:tcPr>
          <w:p w14:paraId="798CF87F" w14:textId="77777777" w:rsidR="0037606F" w:rsidRDefault="0037606F" w:rsidP="00DF6443">
            <w:pPr>
              <w:jc w:val="center"/>
              <w:rPr>
                <w:sz w:val="20"/>
                <w:szCs w:val="20"/>
              </w:rPr>
            </w:pPr>
            <w:r>
              <w:rPr>
                <w:rFonts w:eastAsia="Times New Roman"/>
                <w:sz w:val="18"/>
                <w:szCs w:val="18"/>
              </w:rPr>
              <w:t>Health Effects Language</w:t>
            </w:r>
          </w:p>
        </w:tc>
      </w:tr>
      <w:tr w:rsidR="0037606F" w14:paraId="25840A9C" w14:textId="77777777" w:rsidTr="0037606F">
        <w:trPr>
          <w:trHeight w:val="1574"/>
        </w:trPr>
        <w:tc>
          <w:tcPr>
            <w:tcW w:w="2100" w:type="dxa"/>
            <w:tcBorders>
              <w:top w:val="single" w:sz="8" w:space="0" w:color="auto"/>
              <w:left w:val="single" w:sz="8" w:space="0" w:color="auto"/>
              <w:bottom w:val="single" w:sz="8" w:space="0" w:color="auto"/>
              <w:right w:val="single" w:sz="8" w:space="0" w:color="auto"/>
            </w:tcBorders>
            <w:vAlign w:val="center"/>
          </w:tcPr>
          <w:p w14:paraId="771FC3FB" w14:textId="1D7ACE8F" w:rsidR="0037606F" w:rsidRPr="00A55F1E" w:rsidRDefault="0037606F" w:rsidP="00563A54">
            <w:pPr>
              <w:pStyle w:val="ListParagraph"/>
              <w:numPr>
                <w:ilvl w:val="0"/>
                <w:numId w:val="939"/>
              </w:numPr>
              <w:tabs>
                <w:tab w:val="left" w:pos="330"/>
              </w:tabs>
              <w:ind w:right="40"/>
              <w:rPr>
                <w:sz w:val="20"/>
                <w:szCs w:val="20"/>
              </w:rPr>
            </w:pPr>
            <w:r>
              <w:rPr>
                <w:rFonts w:eastAsia="Times New Roman"/>
                <w:sz w:val="18"/>
                <w:szCs w:val="18"/>
              </w:rPr>
              <w:t>Viruses (enteric)</w:t>
            </w:r>
          </w:p>
        </w:tc>
        <w:tc>
          <w:tcPr>
            <w:tcW w:w="1060" w:type="dxa"/>
            <w:tcBorders>
              <w:top w:val="single" w:sz="8" w:space="0" w:color="auto"/>
              <w:left w:val="single" w:sz="8" w:space="0" w:color="auto"/>
              <w:bottom w:val="single" w:sz="8" w:space="0" w:color="auto"/>
              <w:right w:val="single" w:sz="8" w:space="0" w:color="auto"/>
            </w:tcBorders>
            <w:vAlign w:val="center"/>
          </w:tcPr>
          <w:p w14:paraId="18AE5F2F" w14:textId="24ED2D0E" w:rsidR="0037606F" w:rsidRDefault="0037606F" w:rsidP="0037606F">
            <w:pPr>
              <w:jc w:val="center"/>
              <w:rPr>
                <w:sz w:val="20"/>
                <w:szCs w:val="20"/>
              </w:rPr>
            </w:pPr>
            <w:r>
              <w:rPr>
                <w:sz w:val="20"/>
                <w:szCs w:val="20"/>
              </w:rPr>
              <w:t>TT</w:t>
            </w:r>
          </w:p>
        </w:tc>
        <w:tc>
          <w:tcPr>
            <w:tcW w:w="1360" w:type="dxa"/>
            <w:tcBorders>
              <w:top w:val="single" w:sz="8" w:space="0" w:color="auto"/>
              <w:bottom w:val="single" w:sz="8" w:space="0" w:color="auto"/>
              <w:right w:val="single" w:sz="8" w:space="0" w:color="auto"/>
            </w:tcBorders>
            <w:vAlign w:val="center"/>
          </w:tcPr>
          <w:p w14:paraId="7486503C" w14:textId="39E6463B" w:rsidR="0037606F" w:rsidRDefault="0037606F" w:rsidP="0037606F">
            <w:pPr>
              <w:jc w:val="center"/>
              <w:rPr>
                <w:sz w:val="20"/>
                <w:szCs w:val="20"/>
              </w:rPr>
            </w:pPr>
            <w:r>
              <w:rPr>
                <w:sz w:val="20"/>
                <w:szCs w:val="20"/>
              </w:rPr>
              <w:t>-</w:t>
            </w:r>
          </w:p>
        </w:tc>
        <w:tc>
          <w:tcPr>
            <w:tcW w:w="900" w:type="dxa"/>
            <w:tcBorders>
              <w:top w:val="single" w:sz="8" w:space="0" w:color="auto"/>
              <w:bottom w:val="single" w:sz="8" w:space="0" w:color="auto"/>
              <w:right w:val="single" w:sz="8" w:space="0" w:color="auto"/>
            </w:tcBorders>
            <w:vAlign w:val="center"/>
          </w:tcPr>
          <w:p w14:paraId="5FC0F68C" w14:textId="5B9FB344" w:rsidR="0037606F" w:rsidRDefault="0037606F" w:rsidP="0037606F">
            <w:pPr>
              <w:jc w:val="center"/>
              <w:rPr>
                <w:sz w:val="20"/>
                <w:szCs w:val="20"/>
              </w:rPr>
            </w:pPr>
            <w:r>
              <w:rPr>
                <w:sz w:val="20"/>
                <w:szCs w:val="20"/>
              </w:rPr>
              <w:t>TT</w:t>
            </w:r>
          </w:p>
        </w:tc>
        <w:tc>
          <w:tcPr>
            <w:tcW w:w="980" w:type="dxa"/>
            <w:tcBorders>
              <w:top w:val="single" w:sz="8" w:space="0" w:color="auto"/>
              <w:bottom w:val="single" w:sz="8" w:space="0" w:color="auto"/>
              <w:right w:val="single" w:sz="8" w:space="0" w:color="auto"/>
            </w:tcBorders>
            <w:vAlign w:val="center"/>
          </w:tcPr>
          <w:p w14:paraId="08BF304E" w14:textId="18AD0FD2" w:rsidR="0037606F" w:rsidRDefault="0037606F" w:rsidP="0037606F">
            <w:pPr>
              <w:jc w:val="center"/>
              <w:rPr>
                <w:sz w:val="20"/>
                <w:szCs w:val="20"/>
              </w:rPr>
            </w:pPr>
            <w:r>
              <w:rPr>
                <w:sz w:val="20"/>
                <w:szCs w:val="20"/>
              </w:rPr>
              <w:t>0</w:t>
            </w:r>
          </w:p>
        </w:tc>
        <w:tc>
          <w:tcPr>
            <w:tcW w:w="1980" w:type="dxa"/>
            <w:tcBorders>
              <w:top w:val="single" w:sz="8" w:space="0" w:color="auto"/>
              <w:bottom w:val="single" w:sz="8" w:space="0" w:color="auto"/>
              <w:right w:val="single" w:sz="8" w:space="0" w:color="auto"/>
            </w:tcBorders>
          </w:tcPr>
          <w:p w14:paraId="29ACD2D7" w14:textId="7965DFC4" w:rsidR="0037606F" w:rsidRDefault="0037606F" w:rsidP="00630F8D">
            <w:pPr>
              <w:spacing w:line="360" w:lineRule="auto"/>
              <w:ind w:left="144"/>
              <w:rPr>
                <w:sz w:val="20"/>
                <w:szCs w:val="20"/>
              </w:rPr>
            </w:pPr>
            <w:r>
              <w:rPr>
                <w:rFonts w:eastAsia="Times New Roman"/>
                <w:sz w:val="18"/>
                <w:szCs w:val="18"/>
              </w:rPr>
              <w:t>Discharged especially where water is contaminated with sewage or animal wastes</w:t>
            </w:r>
          </w:p>
        </w:tc>
        <w:tc>
          <w:tcPr>
            <w:tcW w:w="2320" w:type="dxa"/>
            <w:tcBorders>
              <w:top w:val="single" w:sz="8" w:space="0" w:color="auto"/>
              <w:bottom w:val="single" w:sz="8" w:space="0" w:color="auto"/>
              <w:right w:val="single" w:sz="8" w:space="0" w:color="auto"/>
            </w:tcBorders>
          </w:tcPr>
          <w:p w14:paraId="662145EA" w14:textId="1EC3110C" w:rsidR="0037606F" w:rsidRDefault="0037606F" w:rsidP="00630F8D">
            <w:pPr>
              <w:spacing w:line="360" w:lineRule="auto"/>
              <w:ind w:left="144"/>
              <w:rPr>
                <w:sz w:val="20"/>
                <w:szCs w:val="20"/>
              </w:rPr>
            </w:pPr>
            <w:r>
              <w:rPr>
                <w:rFonts w:eastAsia="Times New Roman"/>
                <w:sz w:val="18"/>
                <w:szCs w:val="18"/>
              </w:rPr>
              <w:t>Some people who drink water containing Viruses could experience severe gastrointestinal effects.</w:t>
            </w:r>
          </w:p>
        </w:tc>
      </w:tr>
      <w:tr w:rsidR="00630F8D" w14:paraId="77792D0F" w14:textId="77777777" w:rsidTr="00630F8D">
        <w:trPr>
          <w:trHeight w:val="461"/>
        </w:trPr>
        <w:tc>
          <w:tcPr>
            <w:tcW w:w="10700" w:type="dxa"/>
            <w:gridSpan w:val="7"/>
            <w:tcBorders>
              <w:top w:val="single" w:sz="8" w:space="0" w:color="auto"/>
              <w:left w:val="single" w:sz="8" w:space="0" w:color="auto"/>
              <w:bottom w:val="single" w:sz="8" w:space="0" w:color="auto"/>
              <w:right w:val="single" w:sz="8" w:space="0" w:color="auto"/>
            </w:tcBorders>
            <w:vAlign w:val="center"/>
          </w:tcPr>
          <w:p w14:paraId="190BDF10" w14:textId="22F7249E" w:rsidR="00630F8D" w:rsidRPr="00630F8D" w:rsidRDefault="00630F8D" w:rsidP="0037606F">
            <w:pPr>
              <w:spacing w:line="360" w:lineRule="auto"/>
              <w:ind w:left="144"/>
              <w:rPr>
                <w:b/>
                <w:bCs/>
                <w:sz w:val="18"/>
                <w:szCs w:val="18"/>
              </w:rPr>
            </w:pPr>
            <w:r w:rsidRPr="00630F8D">
              <w:rPr>
                <w:b/>
                <w:bCs/>
                <w:sz w:val="18"/>
                <w:szCs w:val="18"/>
              </w:rPr>
              <w:t>Radioactive Contaminants</w:t>
            </w:r>
          </w:p>
        </w:tc>
      </w:tr>
      <w:tr w:rsidR="009F3376" w14:paraId="3572CDB5" w14:textId="77777777" w:rsidTr="00DF644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7EC29B9C" w14:textId="6E82F0AB" w:rsidR="009F3376" w:rsidRDefault="009F3376"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Beta/photon emitters</w:t>
            </w:r>
          </w:p>
        </w:tc>
        <w:tc>
          <w:tcPr>
            <w:tcW w:w="1060" w:type="dxa"/>
            <w:tcBorders>
              <w:top w:val="single" w:sz="8" w:space="0" w:color="auto"/>
              <w:left w:val="single" w:sz="8" w:space="0" w:color="auto"/>
              <w:bottom w:val="single" w:sz="8" w:space="0" w:color="auto"/>
              <w:right w:val="single" w:sz="8" w:space="0" w:color="auto"/>
            </w:tcBorders>
            <w:vAlign w:val="center"/>
          </w:tcPr>
          <w:p w14:paraId="0AD89B59" w14:textId="02FDEC75" w:rsidR="009F3376" w:rsidRDefault="009F3376" w:rsidP="009F3376">
            <w:pPr>
              <w:jc w:val="center"/>
              <w:rPr>
                <w:rFonts w:eastAsia="Times New Roman"/>
                <w:sz w:val="18"/>
                <w:szCs w:val="18"/>
              </w:rPr>
            </w:pPr>
            <w:r>
              <w:rPr>
                <w:rFonts w:eastAsia="Times New Roman"/>
                <w:sz w:val="18"/>
                <w:szCs w:val="18"/>
              </w:rPr>
              <w:t>4 mrem/yr</w:t>
            </w:r>
          </w:p>
        </w:tc>
        <w:tc>
          <w:tcPr>
            <w:tcW w:w="1360" w:type="dxa"/>
            <w:tcBorders>
              <w:top w:val="single" w:sz="8" w:space="0" w:color="auto"/>
              <w:bottom w:val="single" w:sz="8" w:space="0" w:color="auto"/>
              <w:right w:val="single" w:sz="8" w:space="0" w:color="auto"/>
            </w:tcBorders>
            <w:vAlign w:val="center"/>
          </w:tcPr>
          <w:p w14:paraId="32CC598F" w14:textId="62650324" w:rsidR="009F3376" w:rsidRDefault="009F3376" w:rsidP="009F3376">
            <w:pPr>
              <w:jc w:val="center"/>
              <w:rPr>
                <w:rFonts w:eastAsia="Times New Roman"/>
                <w:w w:val="99"/>
                <w:sz w:val="18"/>
                <w:szCs w:val="18"/>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64948D93" w14:textId="7A94FBAE" w:rsidR="009F3376" w:rsidRDefault="009F3376" w:rsidP="009F3376">
            <w:pPr>
              <w:jc w:val="center"/>
              <w:rPr>
                <w:rFonts w:eastAsia="Times New Roman"/>
                <w:sz w:val="18"/>
                <w:szCs w:val="18"/>
              </w:rPr>
            </w:pPr>
            <w:r>
              <w:rPr>
                <w:rFonts w:eastAsia="Times New Roman"/>
                <w:sz w:val="18"/>
                <w:szCs w:val="18"/>
              </w:rPr>
              <w:t>4 mrem/yr</w:t>
            </w:r>
          </w:p>
        </w:tc>
        <w:tc>
          <w:tcPr>
            <w:tcW w:w="980" w:type="dxa"/>
            <w:tcBorders>
              <w:top w:val="single" w:sz="8" w:space="0" w:color="auto"/>
              <w:bottom w:val="single" w:sz="8" w:space="0" w:color="auto"/>
              <w:right w:val="single" w:sz="8" w:space="0" w:color="auto"/>
            </w:tcBorders>
            <w:vAlign w:val="center"/>
          </w:tcPr>
          <w:p w14:paraId="32083D4F" w14:textId="40884D0E" w:rsidR="009F3376" w:rsidRDefault="009F3376" w:rsidP="009F3376">
            <w:pPr>
              <w:jc w:val="center"/>
              <w:rPr>
                <w:rFonts w:eastAsia="Times New Roman"/>
                <w:sz w:val="18"/>
                <w:szCs w:val="18"/>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0124D1AD" w14:textId="3D4EB408" w:rsidR="009F3376" w:rsidRDefault="009F3376" w:rsidP="009F3376">
            <w:pPr>
              <w:spacing w:line="360" w:lineRule="auto"/>
              <w:ind w:left="144"/>
              <w:rPr>
                <w:rFonts w:eastAsia="Times New Roman"/>
                <w:sz w:val="18"/>
                <w:szCs w:val="18"/>
              </w:rPr>
            </w:pPr>
            <w:r>
              <w:rPr>
                <w:rFonts w:eastAsia="Times New Roman"/>
                <w:sz w:val="18"/>
                <w:szCs w:val="18"/>
              </w:rPr>
              <w:t>Decay of natural and man-made deposits</w:t>
            </w:r>
          </w:p>
        </w:tc>
        <w:tc>
          <w:tcPr>
            <w:tcW w:w="2320" w:type="dxa"/>
            <w:tcBorders>
              <w:top w:val="single" w:sz="8" w:space="0" w:color="auto"/>
              <w:bottom w:val="single" w:sz="8" w:space="0" w:color="auto"/>
              <w:right w:val="single" w:sz="8" w:space="0" w:color="auto"/>
            </w:tcBorders>
            <w:vAlign w:val="bottom"/>
          </w:tcPr>
          <w:p w14:paraId="7C8C8261" w14:textId="34172915" w:rsidR="009F3376" w:rsidRPr="00E6483D" w:rsidRDefault="009F3376" w:rsidP="009F3376">
            <w:pPr>
              <w:spacing w:line="360" w:lineRule="auto"/>
              <w:ind w:left="144"/>
              <w:rPr>
                <w:sz w:val="20"/>
                <w:szCs w:val="20"/>
              </w:rPr>
            </w:pPr>
            <w:r>
              <w:rPr>
                <w:rFonts w:eastAsia="Times New Roman"/>
                <w:sz w:val="18"/>
                <w:szCs w:val="18"/>
              </w:rPr>
              <w:t>Certain minerals are radioactive and may emit forms of radiation known as photons and beta radiation.  Some people who drink water containing beta and photon emitters in excess of the MCL over many years may have an increased risk of getting cancer.</w:t>
            </w:r>
          </w:p>
        </w:tc>
      </w:tr>
      <w:tr w:rsidR="009F3376" w14:paraId="328D06F4" w14:textId="77777777" w:rsidTr="00D8316E">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104A718C" w14:textId="7F26A231" w:rsidR="009F3376" w:rsidRPr="00E6483D" w:rsidRDefault="009F3376"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Alpha emitters</w:t>
            </w:r>
          </w:p>
        </w:tc>
        <w:tc>
          <w:tcPr>
            <w:tcW w:w="1060" w:type="dxa"/>
            <w:tcBorders>
              <w:top w:val="single" w:sz="8" w:space="0" w:color="auto"/>
              <w:left w:val="single" w:sz="8" w:space="0" w:color="auto"/>
              <w:bottom w:val="single" w:sz="8" w:space="0" w:color="auto"/>
              <w:right w:val="single" w:sz="8" w:space="0" w:color="auto"/>
            </w:tcBorders>
            <w:vAlign w:val="center"/>
          </w:tcPr>
          <w:p w14:paraId="12F2C4B4" w14:textId="6ED31D3B" w:rsidR="009F3376" w:rsidRPr="00B1203A" w:rsidRDefault="009F3376" w:rsidP="009F3376">
            <w:pPr>
              <w:jc w:val="center"/>
              <w:rPr>
                <w:rFonts w:eastAsia="Times New Roman"/>
                <w:sz w:val="18"/>
                <w:szCs w:val="18"/>
              </w:rPr>
            </w:pPr>
            <w:r w:rsidRPr="00B1203A">
              <w:rPr>
                <w:rFonts w:eastAsia="Times New Roman"/>
                <w:sz w:val="18"/>
                <w:szCs w:val="18"/>
              </w:rPr>
              <w:t>15 pCi/l</w:t>
            </w:r>
          </w:p>
        </w:tc>
        <w:tc>
          <w:tcPr>
            <w:tcW w:w="1360" w:type="dxa"/>
            <w:tcBorders>
              <w:top w:val="single" w:sz="8" w:space="0" w:color="auto"/>
              <w:bottom w:val="single" w:sz="8" w:space="0" w:color="auto"/>
              <w:right w:val="single" w:sz="8" w:space="0" w:color="auto"/>
            </w:tcBorders>
            <w:vAlign w:val="center"/>
          </w:tcPr>
          <w:p w14:paraId="0670F3C1" w14:textId="30A81BBA" w:rsidR="009F3376" w:rsidRDefault="009F3376" w:rsidP="009F3376">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3643D5BB" w14:textId="34154FEE" w:rsidR="009F3376" w:rsidRDefault="009F3376" w:rsidP="009F3376">
            <w:pPr>
              <w:jc w:val="center"/>
              <w:rPr>
                <w:rFonts w:eastAsia="Times New Roman"/>
                <w:sz w:val="18"/>
                <w:szCs w:val="18"/>
              </w:rPr>
            </w:pPr>
            <w:r>
              <w:rPr>
                <w:rFonts w:eastAsia="Times New Roman"/>
                <w:sz w:val="18"/>
                <w:szCs w:val="18"/>
              </w:rPr>
              <w:t xml:space="preserve">15 </w:t>
            </w:r>
            <w:r w:rsidRPr="00B1203A">
              <w:rPr>
                <w:rFonts w:eastAsia="Times New Roman"/>
                <w:sz w:val="18"/>
                <w:szCs w:val="18"/>
              </w:rPr>
              <w:t>p</w:t>
            </w:r>
            <w:r>
              <w:rPr>
                <w:rFonts w:eastAsia="Times New Roman"/>
                <w:sz w:val="18"/>
                <w:szCs w:val="18"/>
              </w:rPr>
              <w:t>Ci/l</w:t>
            </w:r>
          </w:p>
        </w:tc>
        <w:tc>
          <w:tcPr>
            <w:tcW w:w="980" w:type="dxa"/>
            <w:tcBorders>
              <w:top w:val="single" w:sz="8" w:space="0" w:color="auto"/>
              <w:bottom w:val="single" w:sz="8" w:space="0" w:color="auto"/>
              <w:right w:val="single" w:sz="8" w:space="0" w:color="auto"/>
            </w:tcBorders>
            <w:vAlign w:val="center"/>
          </w:tcPr>
          <w:p w14:paraId="636B3DA0" w14:textId="3C3C863D" w:rsidR="009F3376" w:rsidRDefault="009F3376" w:rsidP="009F3376">
            <w:pPr>
              <w:jc w:val="center"/>
              <w:rPr>
                <w:rFonts w:eastAsia="Times New Roman"/>
                <w:sz w:val="18"/>
                <w:szCs w:val="18"/>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24280309" w14:textId="34D35C45" w:rsidR="009F3376" w:rsidRDefault="009F3376" w:rsidP="00D8316E">
            <w:pPr>
              <w:spacing w:line="360" w:lineRule="auto"/>
              <w:ind w:left="144"/>
              <w:rPr>
                <w:rFonts w:eastAsia="Times New Roman"/>
                <w:sz w:val="18"/>
                <w:szCs w:val="18"/>
              </w:rPr>
            </w:pPr>
            <w:r>
              <w:rPr>
                <w:rFonts w:eastAsia="Times New Roman"/>
                <w:sz w:val="18"/>
                <w:szCs w:val="18"/>
              </w:rPr>
              <w:t>Erosion of natural deposits</w:t>
            </w:r>
          </w:p>
        </w:tc>
        <w:tc>
          <w:tcPr>
            <w:tcW w:w="2320" w:type="dxa"/>
            <w:tcBorders>
              <w:top w:val="single" w:sz="8" w:space="0" w:color="auto"/>
              <w:bottom w:val="single" w:sz="8" w:space="0" w:color="auto"/>
              <w:right w:val="single" w:sz="8" w:space="0" w:color="auto"/>
            </w:tcBorders>
          </w:tcPr>
          <w:p w14:paraId="2E0936EE" w14:textId="4582F345" w:rsidR="009F3376" w:rsidRDefault="009F3376" w:rsidP="00D8316E">
            <w:pPr>
              <w:spacing w:line="360" w:lineRule="auto"/>
              <w:ind w:left="144"/>
              <w:rPr>
                <w:rFonts w:eastAsia="Times New Roman"/>
                <w:sz w:val="18"/>
                <w:szCs w:val="18"/>
              </w:rPr>
            </w:pPr>
            <w:r>
              <w:rPr>
                <w:rFonts w:eastAsia="Times New Roman"/>
                <w:sz w:val="18"/>
                <w:szCs w:val="18"/>
              </w:rPr>
              <w:t>Certain minerals are radioactive and may emit a form of radiation known as alpha radiation. Some</w:t>
            </w:r>
            <w:r w:rsidR="00D8316E">
              <w:rPr>
                <w:rFonts w:eastAsia="Times New Roman"/>
                <w:sz w:val="18"/>
                <w:szCs w:val="18"/>
              </w:rPr>
              <w:t xml:space="preserve"> </w:t>
            </w:r>
            <w:r>
              <w:rPr>
                <w:rFonts w:eastAsia="Times New Roman"/>
                <w:sz w:val="18"/>
                <w:szCs w:val="18"/>
              </w:rPr>
              <w:t>people who drink water</w:t>
            </w:r>
            <w:r w:rsidR="00D8316E">
              <w:rPr>
                <w:rFonts w:eastAsia="Times New Roman"/>
                <w:sz w:val="18"/>
                <w:szCs w:val="18"/>
              </w:rPr>
              <w:t xml:space="preserve"> </w:t>
            </w:r>
            <w:r>
              <w:rPr>
                <w:rFonts w:eastAsia="Times New Roman"/>
                <w:sz w:val="18"/>
                <w:szCs w:val="18"/>
              </w:rPr>
              <w:t>containing alpha emitters in</w:t>
            </w:r>
            <w:r w:rsidR="00D8316E">
              <w:rPr>
                <w:rFonts w:eastAsia="Times New Roman"/>
                <w:sz w:val="18"/>
                <w:szCs w:val="18"/>
              </w:rPr>
              <w:t xml:space="preserve"> </w:t>
            </w:r>
            <w:r>
              <w:rPr>
                <w:rFonts w:eastAsia="Times New Roman"/>
                <w:sz w:val="18"/>
                <w:szCs w:val="18"/>
              </w:rPr>
              <w:t>excess of the MCL over</w:t>
            </w:r>
            <w:r w:rsidR="00D8316E">
              <w:rPr>
                <w:rFonts w:eastAsia="Times New Roman"/>
                <w:sz w:val="18"/>
                <w:szCs w:val="18"/>
              </w:rPr>
              <w:t xml:space="preserve"> </w:t>
            </w:r>
            <w:r>
              <w:rPr>
                <w:rFonts w:eastAsia="Times New Roman"/>
                <w:sz w:val="18"/>
                <w:szCs w:val="18"/>
              </w:rPr>
              <w:t>many years may have an</w:t>
            </w:r>
            <w:r w:rsidR="00D8316E">
              <w:rPr>
                <w:rFonts w:eastAsia="Times New Roman"/>
                <w:sz w:val="18"/>
                <w:szCs w:val="18"/>
              </w:rPr>
              <w:t xml:space="preserve"> </w:t>
            </w:r>
            <w:r>
              <w:rPr>
                <w:rFonts w:eastAsia="Times New Roman"/>
                <w:sz w:val="18"/>
                <w:szCs w:val="18"/>
              </w:rPr>
              <w:t>increased risk of getting</w:t>
            </w:r>
            <w:r w:rsidR="00D8316E">
              <w:rPr>
                <w:rFonts w:eastAsia="Times New Roman"/>
                <w:sz w:val="18"/>
                <w:szCs w:val="18"/>
              </w:rPr>
              <w:t xml:space="preserve"> </w:t>
            </w:r>
            <w:r>
              <w:rPr>
                <w:rFonts w:eastAsia="Times New Roman"/>
                <w:sz w:val="18"/>
                <w:szCs w:val="18"/>
              </w:rPr>
              <w:t>cancer.</w:t>
            </w:r>
          </w:p>
        </w:tc>
      </w:tr>
      <w:tr w:rsidR="00D8316E" w14:paraId="6C2E5F66" w14:textId="77777777" w:rsidTr="00D8316E">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35600733" w14:textId="551843D5" w:rsidR="00D8316E" w:rsidRDefault="00D8316E"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Combined radium</w:t>
            </w:r>
          </w:p>
        </w:tc>
        <w:tc>
          <w:tcPr>
            <w:tcW w:w="1060" w:type="dxa"/>
            <w:tcBorders>
              <w:top w:val="single" w:sz="8" w:space="0" w:color="auto"/>
              <w:left w:val="single" w:sz="8" w:space="0" w:color="auto"/>
              <w:bottom w:val="single" w:sz="8" w:space="0" w:color="auto"/>
              <w:right w:val="single" w:sz="8" w:space="0" w:color="auto"/>
            </w:tcBorders>
            <w:vAlign w:val="center"/>
          </w:tcPr>
          <w:p w14:paraId="40010FA9" w14:textId="3FFBCA56" w:rsidR="00D8316E" w:rsidRDefault="00D8316E" w:rsidP="00D8316E">
            <w:pPr>
              <w:jc w:val="center"/>
              <w:rPr>
                <w:rFonts w:eastAsia="Times New Roman"/>
                <w:sz w:val="18"/>
                <w:szCs w:val="18"/>
              </w:rPr>
            </w:pPr>
            <w:r>
              <w:rPr>
                <w:rFonts w:eastAsia="Times New Roman"/>
                <w:sz w:val="18"/>
                <w:szCs w:val="18"/>
              </w:rPr>
              <w:t xml:space="preserve">5 </w:t>
            </w:r>
            <w:r w:rsidRPr="00B1203A">
              <w:rPr>
                <w:rFonts w:eastAsia="Times New Roman"/>
                <w:sz w:val="18"/>
                <w:szCs w:val="18"/>
              </w:rPr>
              <w:t>p</w:t>
            </w:r>
            <w:r>
              <w:rPr>
                <w:rFonts w:eastAsia="Times New Roman"/>
                <w:sz w:val="18"/>
                <w:szCs w:val="18"/>
              </w:rPr>
              <w:t>Ci/l</w:t>
            </w:r>
          </w:p>
        </w:tc>
        <w:tc>
          <w:tcPr>
            <w:tcW w:w="1360" w:type="dxa"/>
            <w:tcBorders>
              <w:top w:val="single" w:sz="8" w:space="0" w:color="auto"/>
              <w:bottom w:val="single" w:sz="8" w:space="0" w:color="auto"/>
              <w:right w:val="single" w:sz="8" w:space="0" w:color="auto"/>
            </w:tcBorders>
            <w:vAlign w:val="center"/>
          </w:tcPr>
          <w:p w14:paraId="03C2A1F6" w14:textId="1A42F1B6" w:rsidR="00D8316E" w:rsidRDefault="00D8316E" w:rsidP="00D8316E">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5CCC0C7E" w14:textId="398E1185" w:rsidR="00D8316E" w:rsidRDefault="00D8316E" w:rsidP="00D8316E">
            <w:pPr>
              <w:jc w:val="center"/>
              <w:rPr>
                <w:rFonts w:eastAsia="Times New Roman"/>
                <w:sz w:val="18"/>
                <w:szCs w:val="18"/>
              </w:rPr>
            </w:pPr>
            <w:r>
              <w:rPr>
                <w:rFonts w:eastAsia="Times New Roman"/>
                <w:sz w:val="18"/>
                <w:szCs w:val="18"/>
              </w:rPr>
              <w:t xml:space="preserve">5 </w:t>
            </w:r>
            <w:r w:rsidRPr="00B1203A">
              <w:rPr>
                <w:rFonts w:eastAsia="Times New Roman"/>
                <w:sz w:val="18"/>
                <w:szCs w:val="18"/>
              </w:rPr>
              <w:t>p</w:t>
            </w:r>
            <w:r>
              <w:rPr>
                <w:rFonts w:eastAsia="Times New Roman"/>
                <w:sz w:val="18"/>
                <w:szCs w:val="18"/>
              </w:rPr>
              <w:t>Ci/l</w:t>
            </w:r>
          </w:p>
        </w:tc>
        <w:tc>
          <w:tcPr>
            <w:tcW w:w="980" w:type="dxa"/>
            <w:tcBorders>
              <w:top w:val="single" w:sz="8" w:space="0" w:color="auto"/>
              <w:bottom w:val="single" w:sz="8" w:space="0" w:color="auto"/>
              <w:right w:val="single" w:sz="8" w:space="0" w:color="auto"/>
            </w:tcBorders>
            <w:vAlign w:val="center"/>
          </w:tcPr>
          <w:p w14:paraId="1B082B79" w14:textId="153F9728" w:rsidR="00D8316E" w:rsidRDefault="00D8316E" w:rsidP="00D8316E">
            <w:pPr>
              <w:jc w:val="center"/>
              <w:rPr>
                <w:rFonts w:eastAsia="Times New Roman"/>
                <w:sz w:val="18"/>
                <w:szCs w:val="18"/>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23787170" w14:textId="6B020D11" w:rsidR="00D8316E" w:rsidRDefault="00D8316E" w:rsidP="00D8316E">
            <w:pPr>
              <w:spacing w:line="360" w:lineRule="auto"/>
              <w:ind w:left="144"/>
              <w:rPr>
                <w:rFonts w:eastAsia="Times New Roman"/>
                <w:sz w:val="18"/>
                <w:szCs w:val="18"/>
              </w:rPr>
            </w:pPr>
            <w:r>
              <w:rPr>
                <w:rFonts w:eastAsia="Times New Roman"/>
                <w:sz w:val="18"/>
                <w:szCs w:val="18"/>
              </w:rPr>
              <w:t>Erosion of natural deposits</w:t>
            </w:r>
          </w:p>
        </w:tc>
        <w:tc>
          <w:tcPr>
            <w:tcW w:w="2320" w:type="dxa"/>
            <w:tcBorders>
              <w:top w:val="single" w:sz="8" w:space="0" w:color="auto"/>
              <w:bottom w:val="single" w:sz="8" w:space="0" w:color="auto"/>
              <w:right w:val="single" w:sz="8" w:space="0" w:color="auto"/>
            </w:tcBorders>
          </w:tcPr>
          <w:p w14:paraId="5EA49D2B" w14:textId="2CE995B1" w:rsidR="00D8316E" w:rsidRDefault="00D8316E" w:rsidP="00D8316E">
            <w:pPr>
              <w:spacing w:line="360" w:lineRule="auto"/>
              <w:ind w:left="144"/>
              <w:rPr>
                <w:rFonts w:eastAsia="Times New Roman"/>
                <w:sz w:val="18"/>
                <w:szCs w:val="18"/>
              </w:rPr>
            </w:pPr>
            <w:r>
              <w:rPr>
                <w:rFonts w:eastAsia="Times New Roman"/>
                <w:sz w:val="18"/>
                <w:szCs w:val="18"/>
              </w:rPr>
              <w:t>Some people who drink water containing radium 226 or 228 in excess of the MCL over many years may have an increased risk of getting cancer.</w:t>
            </w:r>
          </w:p>
        </w:tc>
      </w:tr>
      <w:tr w:rsidR="00D8316E" w14:paraId="264B1673" w14:textId="77777777" w:rsidTr="00D8316E">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1A728145" w14:textId="3F59B09E" w:rsidR="00D8316E" w:rsidRDefault="00D8316E"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Uranium</w:t>
            </w:r>
          </w:p>
        </w:tc>
        <w:tc>
          <w:tcPr>
            <w:tcW w:w="1060" w:type="dxa"/>
            <w:tcBorders>
              <w:top w:val="single" w:sz="8" w:space="0" w:color="auto"/>
              <w:left w:val="single" w:sz="8" w:space="0" w:color="auto"/>
              <w:bottom w:val="single" w:sz="8" w:space="0" w:color="auto"/>
              <w:right w:val="single" w:sz="8" w:space="0" w:color="auto"/>
            </w:tcBorders>
            <w:vAlign w:val="center"/>
          </w:tcPr>
          <w:p w14:paraId="35D5FF85" w14:textId="09C17E4F" w:rsidR="00D8316E" w:rsidRDefault="00D8316E" w:rsidP="00D8316E">
            <w:pPr>
              <w:jc w:val="center"/>
              <w:rPr>
                <w:rFonts w:eastAsia="Times New Roman"/>
                <w:sz w:val="18"/>
                <w:szCs w:val="18"/>
              </w:rPr>
            </w:pPr>
            <w:r>
              <w:rPr>
                <w:rFonts w:eastAsia="Times New Roman"/>
                <w:sz w:val="18"/>
                <w:szCs w:val="18"/>
              </w:rPr>
              <w:t>0.030 mg/l</w:t>
            </w:r>
          </w:p>
        </w:tc>
        <w:tc>
          <w:tcPr>
            <w:tcW w:w="1360" w:type="dxa"/>
            <w:tcBorders>
              <w:top w:val="single" w:sz="8" w:space="0" w:color="auto"/>
              <w:bottom w:val="single" w:sz="8" w:space="0" w:color="auto"/>
              <w:right w:val="single" w:sz="8" w:space="0" w:color="auto"/>
            </w:tcBorders>
            <w:vAlign w:val="center"/>
          </w:tcPr>
          <w:p w14:paraId="6DB867C8" w14:textId="3BC42B7C" w:rsidR="00D8316E" w:rsidRDefault="00D8316E" w:rsidP="00D8316E">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56725506" w14:textId="4E4BB2D6" w:rsidR="00D8316E" w:rsidRDefault="00D8316E" w:rsidP="00D8316E">
            <w:pPr>
              <w:jc w:val="center"/>
              <w:rPr>
                <w:rFonts w:eastAsia="Times New Roman"/>
                <w:sz w:val="18"/>
                <w:szCs w:val="18"/>
              </w:rPr>
            </w:pPr>
            <w:r>
              <w:rPr>
                <w:rFonts w:eastAsia="Times New Roman"/>
                <w:sz w:val="18"/>
                <w:szCs w:val="18"/>
              </w:rPr>
              <w:t>30 ppb</w:t>
            </w:r>
            <w:r w:rsidRPr="00D309B4">
              <w:rPr>
                <w:rFonts w:eastAsia="Times New Roman"/>
                <w:sz w:val="18"/>
                <w:szCs w:val="18"/>
                <w:vertAlign w:val="superscript"/>
              </w:rPr>
              <w:t>1</w:t>
            </w:r>
          </w:p>
        </w:tc>
        <w:tc>
          <w:tcPr>
            <w:tcW w:w="980" w:type="dxa"/>
            <w:tcBorders>
              <w:top w:val="single" w:sz="8" w:space="0" w:color="auto"/>
              <w:bottom w:val="single" w:sz="8" w:space="0" w:color="auto"/>
              <w:right w:val="single" w:sz="8" w:space="0" w:color="auto"/>
            </w:tcBorders>
            <w:vAlign w:val="center"/>
          </w:tcPr>
          <w:p w14:paraId="7B349A46" w14:textId="2D1308F7" w:rsidR="00D8316E" w:rsidRDefault="00D8316E" w:rsidP="00D8316E">
            <w:pPr>
              <w:jc w:val="center"/>
              <w:rPr>
                <w:rFonts w:eastAsia="Times New Roman"/>
                <w:sz w:val="18"/>
                <w:szCs w:val="18"/>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2C0F5A21" w14:textId="73B64AF2" w:rsidR="00D8316E" w:rsidRDefault="00D8316E" w:rsidP="00D8316E">
            <w:pPr>
              <w:spacing w:line="360" w:lineRule="auto"/>
              <w:ind w:left="144"/>
              <w:rPr>
                <w:rFonts w:eastAsia="Times New Roman"/>
                <w:sz w:val="18"/>
                <w:szCs w:val="18"/>
              </w:rPr>
            </w:pPr>
            <w:r>
              <w:rPr>
                <w:rFonts w:eastAsia="Times New Roman"/>
                <w:sz w:val="18"/>
                <w:szCs w:val="18"/>
              </w:rPr>
              <w:t>Erosion of natural deposits</w:t>
            </w:r>
          </w:p>
        </w:tc>
        <w:tc>
          <w:tcPr>
            <w:tcW w:w="2320" w:type="dxa"/>
            <w:tcBorders>
              <w:top w:val="single" w:sz="8" w:space="0" w:color="auto"/>
              <w:bottom w:val="single" w:sz="8" w:space="0" w:color="auto"/>
              <w:right w:val="single" w:sz="8" w:space="0" w:color="auto"/>
            </w:tcBorders>
          </w:tcPr>
          <w:p w14:paraId="640170A3" w14:textId="01765C0B" w:rsidR="00D8316E" w:rsidRDefault="00D8316E" w:rsidP="00D8316E">
            <w:pPr>
              <w:spacing w:line="360" w:lineRule="auto"/>
              <w:ind w:left="144"/>
              <w:rPr>
                <w:rFonts w:eastAsia="Times New Roman"/>
                <w:sz w:val="18"/>
                <w:szCs w:val="18"/>
              </w:rPr>
            </w:pPr>
            <w:r>
              <w:rPr>
                <w:rFonts w:eastAsia="Times New Roman"/>
                <w:sz w:val="18"/>
                <w:szCs w:val="18"/>
              </w:rPr>
              <w:t>Some people who drink water containing uranium in excess of the MCL over many years may have an increased risk of getting cancer and kidney toxicity.</w:t>
            </w:r>
          </w:p>
        </w:tc>
      </w:tr>
    </w:tbl>
    <w:p w14:paraId="281A2785" w14:textId="77777777" w:rsidR="004647B9" w:rsidRDefault="004647B9">
      <w:pPr>
        <w:spacing w:line="347" w:lineRule="exact"/>
        <w:rPr>
          <w:sz w:val="20"/>
          <w:szCs w:val="20"/>
        </w:rPr>
      </w:pPr>
    </w:p>
    <w:p w14:paraId="281A2965" w14:textId="77777777" w:rsidR="004647B9" w:rsidRDefault="004647B9">
      <w:pPr>
        <w:sectPr w:rsidR="004647B9" w:rsidSect="00EF630C">
          <w:pgSz w:w="12240" w:h="20180"/>
          <w:pgMar w:top="708" w:right="940" w:bottom="1440" w:left="600" w:header="0" w:footer="0" w:gutter="0"/>
          <w:cols w:space="720"/>
        </w:sectPr>
      </w:pPr>
    </w:p>
    <w:p w14:paraId="281A2966" w14:textId="77777777" w:rsidR="004647B9" w:rsidRDefault="00E2436F">
      <w:pPr>
        <w:tabs>
          <w:tab w:val="left" w:pos="2860"/>
        </w:tabs>
        <w:ind w:left="1680"/>
        <w:rPr>
          <w:sz w:val="20"/>
          <w:szCs w:val="20"/>
        </w:rPr>
      </w:pPr>
      <w:bookmarkStart w:id="222" w:name="page224"/>
      <w:bookmarkEnd w:id="22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967" w14:textId="77777777" w:rsidR="004647B9" w:rsidRDefault="004647B9" w:rsidP="009716D2">
      <w:pPr>
        <w:rPr>
          <w:sz w:val="20"/>
          <w:szCs w:val="20"/>
        </w:rPr>
      </w:pPr>
    </w:p>
    <w:p w14:paraId="2885809A" w14:textId="77777777" w:rsidR="009716D2" w:rsidRDefault="009716D2" w:rsidP="009716D2">
      <w:pPr>
        <w:rPr>
          <w:sz w:val="20"/>
          <w:szCs w:val="20"/>
        </w:rPr>
      </w:pPr>
    </w:p>
    <w:p w14:paraId="281A2968" w14:textId="77777777" w:rsidR="004647B9" w:rsidRPr="009716D2" w:rsidRDefault="00E2436F" w:rsidP="009716D2">
      <w:pPr>
        <w:tabs>
          <w:tab w:val="left" w:pos="940"/>
        </w:tabs>
        <w:rPr>
          <w:sz w:val="24"/>
          <w:szCs w:val="24"/>
        </w:rPr>
      </w:pPr>
      <w:r w:rsidRPr="009716D2">
        <w:rPr>
          <w:rFonts w:eastAsia="Times New Roman"/>
          <w:sz w:val="24"/>
          <w:szCs w:val="24"/>
        </w:rPr>
        <w:t>22.16A:</w:t>
      </w:r>
      <w:r w:rsidRPr="009716D2">
        <w:rPr>
          <w:sz w:val="24"/>
          <w:szCs w:val="24"/>
        </w:rPr>
        <w:tab/>
      </w:r>
      <w:r w:rsidRPr="009716D2">
        <w:rPr>
          <w:rFonts w:eastAsia="Times New Roman"/>
          <w:sz w:val="24"/>
          <w:szCs w:val="24"/>
        </w:rPr>
        <w:t>continued</w:t>
      </w:r>
    </w:p>
    <w:p w14:paraId="281A2969" w14:textId="77777777" w:rsidR="004647B9" w:rsidRDefault="004647B9" w:rsidP="009716D2">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980"/>
        <w:gridCol w:w="2320"/>
      </w:tblGrid>
      <w:tr w:rsidR="00D8316E" w14:paraId="51A2ABF3"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2B32F860" w14:textId="77777777" w:rsidR="00D8316E" w:rsidRDefault="00D8316E"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5D6F5683" w14:textId="77777777" w:rsidR="00D8316E" w:rsidRDefault="00D8316E"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1356BF0D" w14:textId="77777777" w:rsidR="00D8316E" w:rsidRDefault="00D8316E"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01EC18F0" w14:textId="77777777" w:rsidR="00D8316E" w:rsidRDefault="00D8316E"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5985600A" w14:textId="77777777" w:rsidR="00D8316E" w:rsidRDefault="00D8316E" w:rsidP="00DF6443">
            <w:pPr>
              <w:jc w:val="center"/>
              <w:rPr>
                <w:sz w:val="20"/>
                <w:szCs w:val="20"/>
              </w:rPr>
            </w:pPr>
            <w:r>
              <w:rPr>
                <w:rFonts w:eastAsia="Times New Roman"/>
                <w:sz w:val="18"/>
                <w:szCs w:val="18"/>
              </w:rPr>
              <w:t>MCLG in CCR units</w:t>
            </w:r>
          </w:p>
        </w:tc>
        <w:tc>
          <w:tcPr>
            <w:tcW w:w="1980" w:type="dxa"/>
            <w:tcBorders>
              <w:top w:val="single" w:sz="8" w:space="0" w:color="auto"/>
              <w:bottom w:val="single" w:sz="8" w:space="0" w:color="auto"/>
              <w:right w:val="single" w:sz="8" w:space="0" w:color="auto"/>
            </w:tcBorders>
            <w:vAlign w:val="center"/>
          </w:tcPr>
          <w:p w14:paraId="6CC249F5" w14:textId="77777777" w:rsidR="00D8316E" w:rsidRDefault="00D8316E" w:rsidP="00DF6443">
            <w:pPr>
              <w:jc w:val="center"/>
              <w:rPr>
                <w:sz w:val="20"/>
                <w:szCs w:val="20"/>
              </w:rPr>
            </w:pPr>
            <w:r>
              <w:rPr>
                <w:rFonts w:eastAsia="Times New Roman"/>
                <w:sz w:val="18"/>
                <w:szCs w:val="18"/>
              </w:rPr>
              <w:t>Major Sources in Drinking</w:t>
            </w:r>
          </w:p>
          <w:p w14:paraId="749C232D" w14:textId="77777777" w:rsidR="00D8316E" w:rsidRDefault="00D8316E" w:rsidP="00DF6443">
            <w:pPr>
              <w:jc w:val="center"/>
              <w:rPr>
                <w:sz w:val="20"/>
                <w:szCs w:val="20"/>
              </w:rPr>
            </w:pPr>
            <w:r>
              <w:rPr>
                <w:rFonts w:eastAsia="Times New Roman"/>
                <w:w w:val="98"/>
                <w:sz w:val="18"/>
                <w:szCs w:val="18"/>
              </w:rPr>
              <w:t>Water</w:t>
            </w:r>
          </w:p>
        </w:tc>
        <w:tc>
          <w:tcPr>
            <w:tcW w:w="2320" w:type="dxa"/>
            <w:tcBorders>
              <w:top w:val="single" w:sz="8" w:space="0" w:color="auto"/>
              <w:bottom w:val="single" w:sz="8" w:space="0" w:color="auto"/>
              <w:right w:val="single" w:sz="8" w:space="0" w:color="auto"/>
            </w:tcBorders>
            <w:vAlign w:val="center"/>
          </w:tcPr>
          <w:p w14:paraId="24FE7A33" w14:textId="77777777" w:rsidR="00D8316E" w:rsidRDefault="00D8316E" w:rsidP="00DF6443">
            <w:pPr>
              <w:jc w:val="center"/>
              <w:rPr>
                <w:sz w:val="20"/>
                <w:szCs w:val="20"/>
              </w:rPr>
            </w:pPr>
            <w:r>
              <w:rPr>
                <w:rFonts w:eastAsia="Times New Roman"/>
                <w:sz w:val="18"/>
                <w:szCs w:val="18"/>
              </w:rPr>
              <w:t>Health Effects Language</w:t>
            </w:r>
          </w:p>
        </w:tc>
      </w:tr>
      <w:tr w:rsidR="00D8316E" w14:paraId="3F15D630" w14:textId="77777777" w:rsidTr="00DF6443">
        <w:trPr>
          <w:trHeight w:val="461"/>
        </w:trPr>
        <w:tc>
          <w:tcPr>
            <w:tcW w:w="10700" w:type="dxa"/>
            <w:gridSpan w:val="7"/>
            <w:tcBorders>
              <w:top w:val="single" w:sz="8" w:space="0" w:color="auto"/>
              <w:left w:val="single" w:sz="8" w:space="0" w:color="auto"/>
              <w:bottom w:val="single" w:sz="8" w:space="0" w:color="auto"/>
              <w:right w:val="single" w:sz="8" w:space="0" w:color="auto"/>
            </w:tcBorders>
            <w:vAlign w:val="center"/>
          </w:tcPr>
          <w:p w14:paraId="4B9F7344" w14:textId="5C22B32B" w:rsidR="00D8316E" w:rsidRPr="00630F8D" w:rsidRDefault="00D8316E" w:rsidP="00DF6443">
            <w:pPr>
              <w:spacing w:line="360" w:lineRule="auto"/>
              <w:ind w:left="144"/>
              <w:rPr>
                <w:b/>
                <w:bCs/>
                <w:sz w:val="18"/>
                <w:szCs w:val="18"/>
              </w:rPr>
            </w:pPr>
            <w:r>
              <w:rPr>
                <w:b/>
                <w:bCs/>
                <w:sz w:val="18"/>
                <w:szCs w:val="18"/>
              </w:rPr>
              <w:t>Inorganic</w:t>
            </w:r>
            <w:r w:rsidRPr="00630F8D">
              <w:rPr>
                <w:b/>
                <w:bCs/>
                <w:sz w:val="18"/>
                <w:szCs w:val="18"/>
              </w:rPr>
              <w:t xml:space="preserve"> Contaminants</w:t>
            </w:r>
          </w:p>
        </w:tc>
      </w:tr>
      <w:tr w:rsidR="00D8316E" w14:paraId="1BD598AC" w14:textId="77777777" w:rsidTr="00D8316E">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43C6CB26" w14:textId="3EC39CC0" w:rsidR="00D8316E" w:rsidRDefault="00D8316E"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Antimony</w:t>
            </w:r>
          </w:p>
        </w:tc>
        <w:tc>
          <w:tcPr>
            <w:tcW w:w="1060" w:type="dxa"/>
            <w:tcBorders>
              <w:top w:val="single" w:sz="8" w:space="0" w:color="auto"/>
              <w:left w:val="single" w:sz="8" w:space="0" w:color="auto"/>
              <w:bottom w:val="single" w:sz="8" w:space="0" w:color="auto"/>
              <w:right w:val="single" w:sz="8" w:space="0" w:color="auto"/>
            </w:tcBorders>
            <w:vAlign w:val="center"/>
          </w:tcPr>
          <w:p w14:paraId="3C6C573B" w14:textId="5D2F744B" w:rsidR="00D8316E" w:rsidRDefault="00D8316E" w:rsidP="00D8316E">
            <w:pPr>
              <w:jc w:val="center"/>
              <w:rPr>
                <w:rFonts w:eastAsia="Times New Roman"/>
                <w:sz w:val="18"/>
                <w:szCs w:val="18"/>
              </w:rPr>
            </w:pPr>
            <w:r>
              <w:rPr>
                <w:rFonts w:eastAsia="Times New Roman"/>
                <w:sz w:val="18"/>
                <w:szCs w:val="18"/>
              </w:rPr>
              <w:t>0.006 mg/l</w:t>
            </w:r>
          </w:p>
        </w:tc>
        <w:tc>
          <w:tcPr>
            <w:tcW w:w="1360" w:type="dxa"/>
            <w:tcBorders>
              <w:top w:val="single" w:sz="8" w:space="0" w:color="auto"/>
              <w:bottom w:val="single" w:sz="8" w:space="0" w:color="auto"/>
              <w:right w:val="single" w:sz="8" w:space="0" w:color="auto"/>
            </w:tcBorders>
            <w:vAlign w:val="center"/>
          </w:tcPr>
          <w:p w14:paraId="235B57E3" w14:textId="0735B134" w:rsidR="00D8316E" w:rsidRDefault="00D8316E" w:rsidP="00D8316E">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0247770F" w14:textId="6F7224F1" w:rsidR="00D8316E" w:rsidRDefault="00D8316E" w:rsidP="00D8316E">
            <w:pPr>
              <w:jc w:val="center"/>
              <w:rPr>
                <w:rFonts w:eastAsia="Times New Roman"/>
                <w:sz w:val="18"/>
                <w:szCs w:val="18"/>
              </w:rPr>
            </w:pPr>
            <w:r>
              <w:rPr>
                <w:rFonts w:eastAsia="Times New Roman"/>
                <w:sz w:val="18"/>
                <w:szCs w:val="18"/>
              </w:rPr>
              <w:t>6 ppb</w:t>
            </w:r>
          </w:p>
        </w:tc>
        <w:tc>
          <w:tcPr>
            <w:tcW w:w="980" w:type="dxa"/>
            <w:tcBorders>
              <w:top w:val="single" w:sz="8" w:space="0" w:color="auto"/>
              <w:bottom w:val="single" w:sz="8" w:space="0" w:color="auto"/>
              <w:right w:val="single" w:sz="8" w:space="0" w:color="auto"/>
            </w:tcBorders>
            <w:vAlign w:val="center"/>
          </w:tcPr>
          <w:p w14:paraId="0AAF3AE4" w14:textId="0B8592B7" w:rsidR="00D8316E" w:rsidRDefault="00D8316E" w:rsidP="00D8316E">
            <w:pPr>
              <w:jc w:val="center"/>
              <w:rPr>
                <w:rFonts w:eastAsia="Times New Roman"/>
                <w:sz w:val="18"/>
                <w:szCs w:val="18"/>
              </w:rPr>
            </w:pPr>
            <w:r>
              <w:rPr>
                <w:rFonts w:eastAsia="Times New Roman"/>
                <w:sz w:val="18"/>
                <w:szCs w:val="18"/>
              </w:rPr>
              <w:t>6 ppb</w:t>
            </w:r>
          </w:p>
        </w:tc>
        <w:tc>
          <w:tcPr>
            <w:tcW w:w="1980" w:type="dxa"/>
            <w:tcBorders>
              <w:top w:val="single" w:sz="8" w:space="0" w:color="auto"/>
              <w:bottom w:val="single" w:sz="8" w:space="0" w:color="auto"/>
              <w:right w:val="single" w:sz="8" w:space="0" w:color="auto"/>
            </w:tcBorders>
          </w:tcPr>
          <w:p w14:paraId="7F72F865" w14:textId="46112558" w:rsidR="00D8316E" w:rsidRDefault="00D8316E" w:rsidP="00D8316E">
            <w:pPr>
              <w:spacing w:line="360" w:lineRule="auto"/>
              <w:ind w:left="144"/>
              <w:rPr>
                <w:rFonts w:eastAsia="Times New Roman"/>
                <w:sz w:val="18"/>
                <w:szCs w:val="18"/>
              </w:rPr>
            </w:pPr>
            <w:r>
              <w:rPr>
                <w:rFonts w:eastAsia="Times New Roman"/>
                <w:sz w:val="18"/>
                <w:szCs w:val="18"/>
              </w:rPr>
              <w:t>Fire retardants; ceramics; electronics; solder</w:t>
            </w:r>
          </w:p>
        </w:tc>
        <w:tc>
          <w:tcPr>
            <w:tcW w:w="2320" w:type="dxa"/>
            <w:tcBorders>
              <w:top w:val="single" w:sz="8" w:space="0" w:color="auto"/>
              <w:bottom w:val="single" w:sz="8" w:space="0" w:color="auto"/>
              <w:right w:val="single" w:sz="8" w:space="0" w:color="auto"/>
            </w:tcBorders>
          </w:tcPr>
          <w:p w14:paraId="78B03B08" w14:textId="5EBD8A59" w:rsidR="00D8316E" w:rsidRPr="00E6483D" w:rsidRDefault="00D8316E" w:rsidP="00D8316E">
            <w:pPr>
              <w:spacing w:line="360" w:lineRule="auto"/>
              <w:ind w:left="144"/>
              <w:rPr>
                <w:sz w:val="20"/>
                <w:szCs w:val="20"/>
              </w:rPr>
            </w:pPr>
            <w:r>
              <w:rPr>
                <w:rFonts w:eastAsia="Times New Roman"/>
                <w:sz w:val="18"/>
                <w:szCs w:val="18"/>
              </w:rPr>
              <w:t>Some people who drink water containing antimony well in excess of the MCL over many years could experience increases in blood cholesterol and decreases in blood sugar.</w:t>
            </w:r>
          </w:p>
        </w:tc>
      </w:tr>
      <w:tr w:rsidR="00D8316E" w14:paraId="2B865453" w14:textId="77777777" w:rsidTr="00D8316E">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6C4EAE36" w14:textId="36A2E7FD" w:rsidR="00D8316E" w:rsidRPr="00E6483D" w:rsidRDefault="00D8316E"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Arsenic</w:t>
            </w:r>
          </w:p>
        </w:tc>
        <w:tc>
          <w:tcPr>
            <w:tcW w:w="1060" w:type="dxa"/>
            <w:tcBorders>
              <w:top w:val="single" w:sz="8" w:space="0" w:color="auto"/>
              <w:left w:val="single" w:sz="8" w:space="0" w:color="auto"/>
              <w:bottom w:val="single" w:sz="8" w:space="0" w:color="auto"/>
              <w:right w:val="single" w:sz="8" w:space="0" w:color="auto"/>
            </w:tcBorders>
            <w:vAlign w:val="center"/>
          </w:tcPr>
          <w:p w14:paraId="217E4282" w14:textId="32B57049" w:rsidR="00D8316E" w:rsidRDefault="00D8316E" w:rsidP="00D8316E">
            <w:pPr>
              <w:jc w:val="center"/>
              <w:rPr>
                <w:rFonts w:eastAsia="Times New Roman"/>
                <w:sz w:val="18"/>
                <w:szCs w:val="18"/>
              </w:rPr>
            </w:pPr>
            <w:r>
              <w:rPr>
                <w:rFonts w:eastAsia="Times New Roman"/>
                <w:sz w:val="18"/>
                <w:szCs w:val="18"/>
              </w:rPr>
              <w:t>0.01</w:t>
            </w:r>
            <w:r w:rsidR="006479E2">
              <w:rPr>
                <w:rFonts w:eastAsia="Times New Roman"/>
                <w:sz w:val="18"/>
                <w:szCs w:val="18"/>
              </w:rPr>
              <w:t>0</w:t>
            </w:r>
            <w:r>
              <w:rPr>
                <w:rFonts w:eastAsia="Times New Roman"/>
                <w:sz w:val="18"/>
                <w:szCs w:val="18"/>
              </w:rPr>
              <w:t xml:space="preserve"> mg/l</w:t>
            </w:r>
          </w:p>
        </w:tc>
        <w:tc>
          <w:tcPr>
            <w:tcW w:w="1360" w:type="dxa"/>
            <w:tcBorders>
              <w:top w:val="single" w:sz="8" w:space="0" w:color="auto"/>
              <w:bottom w:val="single" w:sz="8" w:space="0" w:color="auto"/>
              <w:right w:val="single" w:sz="8" w:space="0" w:color="auto"/>
            </w:tcBorders>
            <w:vAlign w:val="center"/>
          </w:tcPr>
          <w:p w14:paraId="03CA367E" w14:textId="48ED7014" w:rsidR="00D8316E" w:rsidRDefault="00D8316E" w:rsidP="00D8316E">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7F993B43" w14:textId="5C13DFA2" w:rsidR="00D8316E" w:rsidRDefault="00D8316E" w:rsidP="00D8316E">
            <w:pPr>
              <w:jc w:val="center"/>
              <w:rPr>
                <w:rFonts w:eastAsia="Times New Roman"/>
                <w:sz w:val="18"/>
                <w:szCs w:val="18"/>
              </w:rPr>
            </w:pPr>
            <w:r>
              <w:rPr>
                <w:rFonts w:eastAsia="Times New Roman"/>
                <w:sz w:val="18"/>
                <w:szCs w:val="18"/>
              </w:rPr>
              <w:t>10 ppb</w:t>
            </w:r>
          </w:p>
        </w:tc>
        <w:tc>
          <w:tcPr>
            <w:tcW w:w="980" w:type="dxa"/>
            <w:tcBorders>
              <w:top w:val="single" w:sz="8" w:space="0" w:color="auto"/>
              <w:bottom w:val="single" w:sz="8" w:space="0" w:color="auto"/>
              <w:right w:val="single" w:sz="8" w:space="0" w:color="auto"/>
            </w:tcBorders>
            <w:vAlign w:val="center"/>
          </w:tcPr>
          <w:p w14:paraId="34838216" w14:textId="548FAA09" w:rsidR="00D8316E" w:rsidRDefault="00601593" w:rsidP="00D8316E">
            <w:pPr>
              <w:jc w:val="center"/>
              <w:rPr>
                <w:rFonts w:eastAsia="Times New Roman"/>
                <w:sz w:val="18"/>
                <w:szCs w:val="18"/>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34224C80" w14:textId="19336182" w:rsidR="00D8316E" w:rsidRDefault="00D8316E" w:rsidP="00D8316E">
            <w:pPr>
              <w:spacing w:line="360" w:lineRule="auto"/>
              <w:ind w:left="144"/>
              <w:rPr>
                <w:rFonts w:eastAsia="Times New Roman"/>
                <w:sz w:val="18"/>
                <w:szCs w:val="18"/>
              </w:rPr>
            </w:pPr>
            <w:r>
              <w:rPr>
                <w:rFonts w:eastAsia="Times New Roman"/>
                <w:sz w:val="18"/>
                <w:szCs w:val="18"/>
              </w:rPr>
              <w:t>Erosion of natural deposits; runoff from orchards; runoff from glass and electronics production wastes</w:t>
            </w:r>
          </w:p>
        </w:tc>
        <w:tc>
          <w:tcPr>
            <w:tcW w:w="2320" w:type="dxa"/>
            <w:tcBorders>
              <w:top w:val="single" w:sz="8" w:space="0" w:color="auto"/>
              <w:bottom w:val="single" w:sz="8" w:space="0" w:color="auto"/>
              <w:right w:val="single" w:sz="8" w:space="0" w:color="auto"/>
            </w:tcBorders>
          </w:tcPr>
          <w:p w14:paraId="22DDA16B" w14:textId="5BD462F5" w:rsidR="00D8316E" w:rsidRDefault="00D8316E" w:rsidP="00D8316E">
            <w:pPr>
              <w:spacing w:line="360" w:lineRule="auto"/>
              <w:ind w:left="144"/>
              <w:rPr>
                <w:rFonts w:eastAsia="Times New Roman"/>
                <w:sz w:val="18"/>
                <w:szCs w:val="18"/>
              </w:rPr>
            </w:pPr>
            <w:r>
              <w:rPr>
                <w:rFonts w:eastAsia="Times New Roman"/>
                <w:sz w:val="18"/>
                <w:szCs w:val="18"/>
              </w:rPr>
              <w:t>Some people who drink water containing arsenic in excess of the MCL over many years could experience skin damage or problems with their circulatory system, and may have an increased risk of getting cancer.</w:t>
            </w:r>
          </w:p>
        </w:tc>
      </w:tr>
      <w:tr w:rsidR="00427D7B" w14:paraId="076C149E" w14:textId="77777777" w:rsidTr="00427D7B">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B5DAE72" w14:textId="1455EA50" w:rsidR="00427D7B" w:rsidRDefault="00427D7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Asbestos</w:t>
            </w:r>
          </w:p>
        </w:tc>
        <w:tc>
          <w:tcPr>
            <w:tcW w:w="1060" w:type="dxa"/>
            <w:tcBorders>
              <w:top w:val="single" w:sz="8" w:space="0" w:color="auto"/>
              <w:left w:val="single" w:sz="8" w:space="0" w:color="auto"/>
              <w:bottom w:val="single" w:sz="8" w:space="0" w:color="auto"/>
              <w:right w:val="single" w:sz="8" w:space="0" w:color="auto"/>
            </w:tcBorders>
            <w:vAlign w:val="center"/>
          </w:tcPr>
          <w:p w14:paraId="33FA3164" w14:textId="3A9DB279" w:rsidR="00427D7B" w:rsidRDefault="00427D7B" w:rsidP="00427D7B">
            <w:pPr>
              <w:jc w:val="center"/>
              <w:rPr>
                <w:rFonts w:eastAsia="Times New Roman"/>
                <w:sz w:val="18"/>
                <w:szCs w:val="18"/>
              </w:rPr>
            </w:pPr>
            <w:r>
              <w:rPr>
                <w:rFonts w:eastAsia="Times New Roman"/>
                <w:sz w:val="18"/>
                <w:szCs w:val="18"/>
              </w:rPr>
              <w:t>7 MFL</w:t>
            </w:r>
          </w:p>
        </w:tc>
        <w:tc>
          <w:tcPr>
            <w:tcW w:w="1360" w:type="dxa"/>
            <w:tcBorders>
              <w:top w:val="single" w:sz="8" w:space="0" w:color="auto"/>
              <w:bottom w:val="single" w:sz="8" w:space="0" w:color="auto"/>
              <w:right w:val="single" w:sz="8" w:space="0" w:color="auto"/>
            </w:tcBorders>
            <w:vAlign w:val="center"/>
          </w:tcPr>
          <w:p w14:paraId="2045AB56" w14:textId="3F7CB7D9" w:rsidR="00427D7B" w:rsidRDefault="00427D7B" w:rsidP="00427D7B">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2BCACC33" w14:textId="4ED4941D" w:rsidR="00427D7B" w:rsidRDefault="00427D7B" w:rsidP="00427D7B">
            <w:pPr>
              <w:jc w:val="center"/>
              <w:rPr>
                <w:rFonts w:eastAsia="Times New Roman"/>
                <w:sz w:val="18"/>
                <w:szCs w:val="18"/>
              </w:rPr>
            </w:pPr>
            <w:r>
              <w:rPr>
                <w:rFonts w:eastAsia="Times New Roman"/>
                <w:sz w:val="18"/>
                <w:szCs w:val="18"/>
              </w:rPr>
              <w:t>7 MFL</w:t>
            </w:r>
          </w:p>
        </w:tc>
        <w:tc>
          <w:tcPr>
            <w:tcW w:w="980" w:type="dxa"/>
            <w:tcBorders>
              <w:top w:val="single" w:sz="8" w:space="0" w:color="auto"/>
              <w:bottom w:val="single" w:sz="8" w:space="0" w:color="auto"/>
              <w:right w:val="single" w:sz="8" w:space="0" w:color="auto"/>
            </w:tcBorders>
            <w:vAlign w:val="center"/>
          </w:tcPr>
          <w:p w14:paraId="1E087EB8" w14:textId="4C42F34D" w:rsidR="00427D7B" w:rsidRDefault="00427D7B" w:rsidP="00427D7B">
            <w:pPr>
              <w:jc w:val="center"/>
              <w:rPr>
                <w:rFonts w:eastAsia="Times New Roman"/>
                <w:sz w:val="18"/>
                <w:szCs w:val="18"/>
              </w:rPr>
            </w:pPr>
            <w:r>
              <w:rPr>
                <w:rFonts w:eastAsia="Times New Roman"/>
                <w:sz w:val="18"/>
                <w:szCs w:val="18"/>
              </w:rPr>
              <w:t>7 MFL</w:t>
            </w:r>
          </w:p>
        </w:tc>
        <w:tc>
          <w:tcPr>
            <w:tcW w:w="1980" w:type="dxa"/>
            <w:tcBorders>
              <w:top w:val="single" w:sz="8" w:space="0" w:color="auto"/>
              <w:bottom w:val="single" w:sz="8" w:space="0" w:color="auto"/>
              <w:right w:val="single" w:sz="8" w:space="0" w:color="auto"/>
            </w:tcBorders>
          </w:tcPr>
          <w:p w14:paraId="46F2298B" w14:textId="5A1F58EA" w:rsidR="00427D7B" w:rsidRDefault="00427D7B" w:rsidP="00427D7B">
            <w:pPr>
              <w:spacing w:line="360" w:lineRule="auto"/>
              <w:ind w:left="144"/>
              <w:rPr>
                <w:rFonts w:eastAsia="Times New Roman"/>
                <w:sz w:val="18"/>
                <w:szCs w:val="18"/>
              </w:rPr>
            </w:pPr>
            <w:r>
              <w:rPr>
                <w:rFonts w:eastAsia="Times New Roman"/>
                <w:sz w:val="18"/>
                <w:szCs w:val="18"/>
              </w:rPr>
              <w:t>Decay of asbestos cement water mains; erosion of natural deposits</w:t>
            </w:r>
          </w:p>
        </w:tc>
        <w:tc>
          <w:tcPr>
            <w:tcW w:w="2320" w:type="dxa"/>
            <w:tcBorders>
              <w:top w:val="single" w:sz="8" w:space="0" w:color="auto"/>
              <w:bottom w:val="single" w:sz="8" w:space="0" w:color="auto"/>
              <w:right w:val="single" w:sz="8" w:space="0" w:color="auto"/>
            </w:tcBorders>
          </w:tcPr>
          <w:p w14:paraId="53308506" w14:textId="7A0A9F0E" w:rsidR="00427D7B" w:rsidRDefault="00427D7B" w:rsidP="0090533B">
            <w:pPr>
              <w:spacing w:line="360" w:lineRule="auto"/>
              <w:ind w:left="144"/>
              <w:rPr>
                <w:rFonts w:eastAsia="Times New Roman"/>
                <w:sz w:val="18"/>
                <w:szCs w:val="18"/>
              </w:rPr>
            </w:pPr>
            <w:r>
              <w:rPr>
                <w:rFonts w:eastAsia="Times New Roman"/>
                <w:sz w:val="18"/>
                <w:szCs w:val="18"/>
              </w:rPr>
              <w:t>Some people who drink</w:t>
            </w:r>
            <w:r w:rsidR="0090533B">
              <w:rPr>
                <w:rFonts w:eastAsia="Times New Roman"/>
                <w:sz w:val="18"/>
                <w:szCs w:val="18"/>
              </w:rPr>
              <w:t xml:space="preserve"> </w:t>
            </w:r>
            <w:r>
              <w:rPr>
                <w:rFonts w:eastAsia="Times New Roman"/>
                <w:sz w:val="18"/>
                <w:szCs w:val="18"/>
              </w:rPr>
              <w:t>water containing asbestos</w:t>
            </w:r>
            <w:r w:rsidR="0090533B">
              <w:rPr>
                <w:rFonts w:eastAsia="Times New Roman"/>
                <w:sz w:val="18"/>
                <w:szCs w:val="18"/>
              </w:rPr>
              <w:t xml:space="preserve"> </w:t>
            </w:r>
            <w:r>
              <w:rPr>
                <w:rFonts w:eastAsia="Times New Roman"/>
                <w:sz w:val="18"/>
                <w:szCs w:val="18"/>
              </w:rPr>
              <w:t>in excess of the MCL over</w:t>
            </w:r>
            <w:r w:rsidR="0090533B">
              <w:rPr>
                <w:rFonts w:eastAsia="Times New Roman"/>
                <w:sz w:val="18"/>
                <w:szCs w:val="18"/>
              </w:rPr>
              <w:t xml:space="preserve"> </w:t>
            </w:r>
            <w:r>
              <w:rPr>
                <w:rFonts w:eastAsia="Times New Roman"/>
                <w:sz w:val="18"/>
                <w:szCs w:val="18"/>
              </w:rPr>
              <w:t>many years may have an</w:t>
            </w:r>
            <w:r w:rsidR="0090533B">
              <w:rPr>
                <w:rFonts w:eastAsia="Times New Roman"/>
                <w:sz w:val="18"/>
                <w:szCs w:val="18"/>
              </w:rPr>
              <w:t xml:space="preserve"> </w:t>
            </w:r>
            <w:r>
              <w:rPr>
                <w:rFonts w:eastAsia="Times New Roman"/>
                <w:sz w:val="18"/>
                <w:szCs w:val="18"/>
              </w:rPr>
              <w:t>increased risk of</w:t>
            </w:r>
            <w:r w:rsidR="0090533B">
              <w:rPr>
                <w:rFonts w:eastAsia="Times New Roman"/>
                <w:sz w:val="18"/>
                <w:szCs w:val="18"/>
              </w:rPr>
              <w:t xml:space="preserve"> </w:t>
            </w:r>
            <w:r>
              <w:rPr>
                <w:rFonts w:eastAsia="Times New Roman"/>
                <w:sz w:val="18"/>
                <w:szCs w:val="18"/>
              </w:rPr>
              <w:t>developing benign</w:t>
            </w:r>
            <w:r w:rsidR="0090533B">
              <w:rPr>
                <w:rFonts w:eastAsia="Times New Roman"/>
                <w:sz w:val="18"/>
                <w:szCs w:val="18"/>
              </w:rPr>
              <w:t xml:space="preserve"> </w:t>
            </w:r>
            <w:r>
              <w:rPr>
                <w:rFonts w:eastAsia="Times New Roman"/>
                <w:sz w:val="18"/>
                <w:szCs w:val="18"/>
              </w:rPr>
              <w:t>intestinal polyps.</w:t>
            </w:r>
          </w:p>
        </w:tc>
      </w:tr>
      <w:tr w:rsidR="0090533B" w14:paraId="5E85DDDE" w14:textId="77777777" w:rsidTr="0090533B">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85FB848" w14:textId="2FBECCF5" w:rsidR="0090533B" w:rsidRDefault="0090533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Barium</w:t>
            </w:r>
          </w:p>
        </w:tc>
        <w:tc>
          <w:tcPr>
            <w:tcW w:w="1060" w:type="dxa"/>
            <w:tcBorders>
              <w:top w:val="single" w:sz="8" w:space="0" w:color="auto"/>
              <w:left w:val="single" w:sz="8" w:space="0" w:color="auto"/>
              <w:bottom w:val="single" w:sz="8" w:space="0" w:color="auto"/>
              <w:right w:val="single" w:sz="8" w:space="0" w:color="auto"/>
            </w:tcBorders>
            <w:vAlign w:val="center"/>
          </w:tcPr>
          <w:p w14:paraId="6B2D758D" w14:textId="02996F37" w:rsidR="0090533B" w:rsidRDefault="0090533B" w:rsidP="0090533B">
            <w:pPr>
              <w:jc w:val="center"/>
              <w:rPr>
                <w:rFonts w:eastAsia="Times New Roman"/>
                <w:sz w:val="18"/>
                <w:szCs w:val="18"/>
              </w:rPr>
            </w:pPr>
            <w:r>
              <w:rPr>
                <w:rFonts w:eastAsia="Times New Roman"/>
                <w:sz w:val="18"/>
                <w:szCs w:val="18"/>
              </w:rPr>
              <w:t>2 mg/l</w:t>
            </w:r>
          </w:p>
        </w:tc>
        <w:tc>
          <w:tcPr>
            <w:tcW w:w="1360" w:type="dxa"/>
            <w:tcBorders>
              <w:top w:val="single" w:sz="8" w:space="0" w:color="auto"/>
              <w:bottom w:val="single" w:sz="8" w:space="0" w:color="auto"/>
              <w:right w:val="single" w:sz="8" w:space="0" w:color="auto"/>
            </w:tcBorders>
            <w:vAlign w:val="center"/>
          </w:tcPr>
          <w:p w14:paraId="4A03826E" w14:textId="534C3DDD" w:rsidR="0090533B" w:rsidRDefault="0090533B" w:rsidP="0090533B">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03AF987F" w14:textId="096A3942" w:rsidR="0090533B" w:rsidRDefault="0090533B" w:rsidP="0090533B">
            <w:pPr>
              <w:jc w:val="center"/>
              <w:rPr>
                <w:rFonts w:eastAsia="Times New Roman"/>
                <w:sz w:val="18"/>
                <w:szCs w:val="18"/>
              </w:rPr>
            </w:pPr>
            <w:r>
              <w:rPr>
                <w:rFonts w:eastAsia="Times New Roman"/>
                <w:sz w:val="18"/>
                <w:szCs w:val="18"/>
              </w:rPr>
              <w:t>2 ppm</w:t>
            </w:r>
          </w:p>
        </w:tc>
        <w:tc>
          <w:tcPr>
            <w:tcW w:w="980" w:type="dxa"/>
            <w:tcBorders>
              <w:top w:val="single" w:sz="8" w:space="0" w:color="auto"/>
              <w:bottom w:val="single" w:sz="8" w:space="0" w:color="auto"/>
              <w:right w:val="single" w:sz="8" w:space="0" w:color="auto"/>
            </w:tcBorders>
            <w:vAlign w:val="center"/>
          </w:tcPr>
          <w:p w14:paraId="0279EE26" w14:textId="4B234FAD" w:rsidR="0090533B" w:rsidRDefault="0090533B" w:rsidP="0090533B">
            <w:pPr>
              <w:jc w:val="center"/>
              <w:rPr>
                <w:rFonts w:eastAsia="Times New Roman"/>
                <w:sz w:val="18"/>
                <w:szCs w:val="18"/>
              </w:rPr>
            </w:pPr>
            <w:r>
              <w:rPr>
                <w:rFonts w:eastAsia="Times New Roman"/>
                <w:sz w:val="18"/>
                <w:szCs w:val="18"/>
              </w:rPr>
              <w:t>2 ppm</w:t>
            </w:r>
          </w:p>
        </w:tc>
        <w:tc>
          <w:tcPr>
            <w:tcW w:w="1980" w:type="dxa"/>
            <w:tcBorders>
              <w:top w:val="single" w:sz="8" w:space="0" w:color="auto"/>
              <w:bottom w:val="single" w:sz="8" w:space="0" w:color="auto"/>
              <w:right w:val="single" w:sz="8" w:space="0" w:color="auto"/>
            </w:tcBorders>
          </w:tcPr>
          <w:p w14:paraId="1AB1C926" w14:textId="14741963" w:rsidR="0090533B" w:rsidRDefault="0090533B" w:rsidP="0090533B">
            <w:pPr>
              <w:spacing w:line="360" w:lineRule="auto"/>
              <w:ind w:left="144"/>
              <w:rPr>
                <w:rFonts w:eastAsia="Times New Roman"/>
                <w:sz w:val="18"/>
                <w:szCs w:val="18"/>
              </w:rPr>
            </w:pPr>
            <w:r>
              <w:rPr>
                <w:rFonts w:eastAsia="Times New Roman"/>
                <w:sz w:val="18"/>
                <w:szCs w:val="18"/>
              </w:rPr>
              <w:t>Discharge of drilling wastes; discharge from metal refineries; erosion of natural deposits</w:t>
            </w:r>
          </w:p>
        </w:tc>
        <w:tc>
          <w:tcPr>
            <w:tcW w:w="2320" w:type="dxa"/>
            <w:tcBorders>
              <w:top w:val="single" w:sz="8" w:space="0" w:color="auto"/>
              <w:bottom w:val="single" w:sz="8" w:space="0" w:color="auto"/>
              <w:right w:val="single" w:sz="8" w:space="0" w:color="auto"/>
            </w:tcBorders>
          </w:tcPr>
          <w:p w14:paraId="317E8A21" w14:textId="5541730D" w:rsidR="0090533B" w:rsidRDefault="0090533B" w:rsidP="0090533B">
            <w:pPr>
              <w:spacing w:line="360" w:lineRule="auto"/>
              <w:ind w:left="144"/>
              <w:rPr>
                <w:rFonts w:eastAsia="Times New Roman"/>
                <w:sz w:val="18"/>
                <w:szCs w:val="18"/>
              </w:rPr>
            </w:pPr>
            <w:r>
              <w:rPr>
                <w:rFonts w:eastAsia="Times New Roman"/>
                <w:sz w:val="18"/>
                <w:szCs w:val="18"/>
              </w:rPr>
              <w:t>Some people who drink water containing barium in excess of the MCL over many years could experience an increase in their blood pressure.</w:t>
            </w:r>
          </w:p>
        </w:tc>
      </w:tr>
      <w:tr w:rsidR="0090533B" w14:paraId="56BFA2DB" w14:textId="77777777" w:rsidTr="0090533B">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6F811230" w14:textId="34F79E57" w:rsidR="0090533B" w:rsidRDefault="0090533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Beryllium</w:t>
            </w:r>
          </w:p>
        </w:tc>
        <w:tc>
          <w:tcPr>
            <w:tcW w:w="1060" w:type="dxa"/>
            <w:tcBorders>
              <w:top w:val="single" w:sz="8" w:space="0" w:color="auto"/>
              <w:left w:val="single" w:sz="8" w:space="0" w:color="auto"/>
              <w:bottom w:val="single" w:sz="8" w:space="0" w:color="auto"/>
              <w:right w:val="single" w:sz="8" w:space="0" w:color="auto"/>
            </w:tcBorders>
            <w:vAlign w:val="center"/>
          </w:tcPr>
          <w:p w14:paraId="45A39EDE" w14:textId="52F6CFE0" w:rsidR="0090533B" w:rsidRDefault="0090533B" w:rsidP="0090533B">
            <w:pPr>
              <w:jc w:val="center"/>
              <w:rPr>
                <w:rFonts w:eastAsia="Times New Roman"/>
                <w:sz w:val="18"/>
                <w:szCs w:val="18"/>
              </w:rPr>
            </w:pPr>
            <w:r>
              <w:rPr>
                <w:rFonts w:eastAsia="Times New Roman"/>
                <w:sz w:val="18"/>
                <w:szCs w:val="18"/>
              </w:rPr>
              <w:t>0.004 mg/l</w:t>
            </w:r>
          </w:p>
        </w:tc>
        <w:tc>
          <w:tcPr>
            <w:tcW w:w="1360" w:type="dxa"/>
            <w:tcBorders>
              <w:top w:val="single" w:sz="8" w:space="0" w:color="auto"/>
              <w:bottom w:val="single" w:sz="8" w:space="0" w:color="auto"/>
              <w:right w:val="single" w:sz="8" w:space="0" w:color="auto"/>
            </w:tcBorders>
            <w:vAlign w:val="center"/>
          </w:tcPr>
          <w:p w14:paraId="311285FD" w14:textId="60FBE7E8" w:rsidR="0090533B" w:rsidRDefault="0090533B" w:rsidP="0090533B">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2EAAFE7F" w14:textId="0FD3C3F6" w:rsidR="0090533B" w:rsidRDefault="0090533B" w:rsidP="0090533B">
            <w:pPr>
              <w:jc w:val="center"/>
              <w:rPr>
                <w:rFonts w:eastAsia="Times New Roman"/>
                <w:sz w:val="18"/>
                <w:szCs w:val="18"/>
              </w:rPr>
            </w:pPr>
            <w:r>
              <w:rPr>
                <w:rFonts w:eastAsia="Times New Roman"/>
                <w:sz w:val="18"/>
                <w:szCs w:val="18"/>
              </w:rPr>
              <w:t>4 ppb</w:t>
            </w:r>
          </w:p>
        </w:tc>
        <w:tc>
          <w:tcPr>
            <w:tcW w:w="980" w:type="dxa"/>
            <w:tcBorders>
              <w:top w:val="single" w:sz="8" w:space="0" w:color="auto"/>
              <w:bottom w:val="single" w:sz="8" w:space="0" w:color="auto"/>
              <w:right w:val="single" w:sz="8" w:space="0" w:color="auto"/>
            </w:tcBorders>
            <w:vAlign w:val="center"/>
          </w:tcPr>
          <w:p w14:paraId="70F221D4" w14:textId="387687AE" w:rsidR="0090533B" w:rsidRDefault="0090533B" w:rsidP="0090533B">
            <w:pPr>
              <w:jc w:val="center"/>
              <w:rPr>
                <w:rFonts w:eastAsia="Times New Roman"/>
                <w:sz w:val="18"/>
                <w:szCs w:val="18"/>
              </w:rPr>
            </w:pPr>
            <w:r>
              <w:rPr>
                <w:rFonts w:eastAsia="Times New Roman"/>
                <w:sz w:val="18"/>
                <w:szCs w:val="18"/>
              </w:rPr>
              <w:t>4 ppb</w:t>
            </w:r>
          </w:p>
        </w:tc>
        <w:tc>
          <w:tcPr>
            <w:tcW w:w="1980" w:type="dxa"/>
            <w:tcBorders>
              <w:top w:val="single" w:sz="8" w:space="0" w:color="auto"/>
              <w:bottom w:val="single" w:sz="8" w:space="0" w:color="auto"/>
              <w:right w:val="single" w:sz="8" w:space="0" w:color="auto"/>
            </w:tcBorders>
          </w:tcPr>
          <w:p w14:paraId="1408BE1A" w14:textId="4BBD7CEC" w:rsidR="0090533B" w:rsidRDefault="0090533B" w:rsidP="0090533B">
            <w:pPr>
              <w:spacing w:line="360" w:lineRule="auto"/>
              <w:ind w:left="144"/>
              <w:rPr>
                <w:rFonts w:eastAsia="Times New Roman"/>
                <w:sz w:val="18"/>
                <w:szCs w:val="18"/>
              </w:rPr>
            </w:pPr>
            <w:r>
              <w:rPr>
                <w:rFonts w:eastAsia="Times New Roman"/>
                <w:sz w:val="18"/>
                <w:szCs w:val="18"/>
              </w:rPr>
              <w:t>Discharge from electrical, aerospace, and defense industries; erosion of natural deposits</w:t>
            </w:r>
          </w:p>
        </w:tc>
        <w:tc>
          <w:tcPr>
            <w:tcW w:w="2320" w:type="dxa"/>
            <w:tcBorders>
              <w:top w:val="single" w:sz="8" w:space="0" w:color="auto"/>
              <w:bottom w:val="single" w:sz="8" w:space="0" w:color="auto"/>
              <w:right w:val="single" w:sz="8" w:space="0" w:color="auto"/>
            </w:tcBorders>
          </w:tcPr>
          <w:p w14:paraId="2E719721" w14:textId="027EBB25" w:rsidR="0090533B" w:rsidRDefault="0090533B" w:rsidP="0090533B">
            <w:pPr>
              <w:spacing w:line="360" w:lineRule="auto"/>
              <w:ind w:left="144"/>
              <w:rPr>
                <w:rFonts w:eastAsia="Times New Roman"/>
                <w:sz w:val="18"/>
                <w:szCs w:val="18"/>
              </w:rPr>
            </w:pPr>
            <w:r>
              <w:rPr>
                <w:rFonts w:eastAsia="Times New Roman"/>
                <w:sz w:val="18"/>
                <w:szCs w:val="18"/>
              </w:rPr>
              <w:t>Some people who drink water containing beryllium well in excess of the MCL over many years could develop intestinal lesions.</w:t>
            </w:r>
          </w:p>
        </w:tc>
      </w:tr>
      <w:tr w:rsidR="0090533B" w14:paraId="73448F85" w14:textId="77777777" w:rsidTr="0090533B">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1CDFC8B" w14:textId="4FEEDC17" w:rsidR="0090533B" w:rsidRDefault="0090533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Bromate</w:t>
            </w:r>
          </w:p>
        </w:tc>
        <w:tc>
          <w:tcPr>
            <w:tcW w:w="1060" w:type="dxa"/>
            <w:tcBorders>
              <w:top w:val="single" w:sz="8" w:space="0" w:color="auto"/>
              <w:left w:val="single" w:sz="8" w:space="0" w:color="auto"/>
              <w:bottom w:val="single" w:sz="8" w:space="0" w:color="auto"/>
              <w:right w:val="single" w:sz="8" w:space="0" w:color="auto"/>
            </w:tcBorders>
            <w:vAlign w:val="center"/>
          </w:tcPr>
          <w:p w14:paraId="665E34F0" w14:textId="575F780B" w:rsidR="0090533B" w:rsidRDefault="0090533B" w:rsidP="0090533B">
            <w:pPr>
              <w:jc w:val="center"/>
              <w:rPr>
                <w:rFonts w:eastAsia="Times New Roman"/>
                <w:sz w:val="18"/>
                <w:szCs w:val="18"/>
              </w:rPr>
            </w:pPr>
            <w:r>
              <w:rPr>
                <w:rFonts w:eastAsia="Times New Roman"/>
                <w:sz w:val="18"/>
                <w:szCs w:val="18"/>
              </w:rPr>
              <w:t>0.010 mg/l</w:t>
            </w:r>
          </w:p>
        </w:tc>
        <w:tc>
          <w:tcPr>
            <w:tcW w:w="1360" w:type="dxa"/>
            <w:tcBorders>
              <w:top w:val="single" w:sz="8" w:space="0" w:color="auto"/>
              <w:bottom w:val="single" w:sz="8" w:space="0" w:color="auto"/>
              <w:right w:val="single" w:sz="8" w:space="0" w:color="auto"/>
            </w:tcBorders>
            <w:vAlign w:val="center"/>
          </w:tcPr>
          <w:p w14:paraId="4721D03A" w14:textId="25831021" w:rsidR="0090533B" w:rsidRDefault="0090533B" w:rsidP="0090533B">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773E1044" w14:textId="56DE8C81" w:rsidR="0090533B" w:rsidRDefault="0090533B" w:rsidP="0090533B">
            <w:pPr>
              <w:jc w:val="center"/>
              <w:rPr>
                <w:rFonts w:eastAsia="Times New Roman"/>
                <w:sz w:val="18"/>
                <w:szCs w:val="18"/>
              </w:rPr>
            </w:pPr>
            <w:r>
              <w:rPr>
                <w:rFonts w:eastAsia="Times New Roman"/>
                <w:sz w:val="18"/>
                <w:szCs w:val="18"/>
              </w:rPr>
              <w:t>10 ppb</w:t>
            </w:r>
          </w:p>
        </w:tc>
        <w:tc>
          <w:tcPr>
            <w:tcW w:w="980" w:type="dxa"/>
            <w:tcBorders>
              <w:top w:val="single" w:sz="8" w:space="0" w:color="auto"/>
              <w:bottom w:val="single" w:sz="8" w:space="0" w:color="auto"/>
              <w:right w:val="single" w:sz="8" w:space="0" w:color="auto"/>
            </w:tcBorders>
            <w:vAlign w:val="center"/>
          </w:tcPr>
          <w:p w14:paraId="230300AF" w14:textId="32C116EB" w:rsidR="0090533B" w:rsidRDefault="0090533B" w:rsidP="0090533B">
            <w:pPr>
              <w:jc w:val="center"/>
              <w:rPr>
                <w:rFonts w:eastAsia="Times New Roman"/>
                <w:sz w:val="18"/>
                <w:szCs w:val="18"/>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453DF657" w14:textId="506A576E" w:rsidR="0090533B" w:rsidRDefault="0090533B" w:rsidP="0090533B">
            <w:pPr>
              <w:spacing w:line="360" w:lineRule="auto"/>
              <w:ind w:left="144"/>
              <w:rPr>
                <w:rFonts w:eastAsia="Times New Roman"/>
                <w:sz w:val="18"/>
                <w:szCs w:val="18"/>
              </w:rPr>
            </w:pPr>
            <w:r>
              <w:rPr>
                <w:rFonts w:eastAsia="Times New Roman"/>
                <w:sz w:val="18"/>
                <w:szCs w:val="18"/>
              </w:rPr>
              <w:t>By-product of drinking water Disinfection</w:t>
            </w:r>
          </w:p>
        </w:tc>
        <w:tc>
          <w:tcPr>
            <w:tcW w:w="2320" w:type="dxa"/>
            <w:tcBorders>
              <w:top w:val="single" w:sz="8" w:space="0" w:color="auto"/>
              <w:bottom w:val="single" w:sz="8" w:space="0" w:color="auto"/>
              <w:right w:val="single" w:sz="8" w:space="0" w:color="auto"/>
            </w:tcBorders>
          </w:tcPr>
          <w:p w14:paraId="75204D5B" w14:textId="089EBF54" w:rsidR="0090533B" w:rsidRDefault="0090533B" w:rsidP="0090533B">
            <w:pPr>
              <w:spacing w:line="360" w:lineRule="auto"/>
              <w:ind w:left="144"/>
              <w:rPr>
                <w:rFonts w:eastAsia="Times New Roman"/>
                <w:sz w:val="18"/>
                <w:szCs w:val="18"/>
              </w:rPr>
            </w:pPr>
            <w:r>
              <w:rPr>
                <w:rFonts w:eastAsia="Times New Roman"/>
                <w:sz w:val="18"/>
                <w:szCs w:val="18"/>
              </w:rPr>
              <w:t>Some people who drink water containing bromate in excess of the MCL over many years have an increased risk of getting cancer.</w:t>
            </w:r>
          </w:p>
        </w:tc>
      </w:tr>
    </w:tbl>
    <w:p w14:paraId="281A296A" w14:textId="77777777" w:rsidR="004647B9" w:rsidRDefault="004647B9">
      <w:pPr>
        <w:spacing w:line="347" w:lineRule="exact"/>
        <w:rPr>
          <w:sz w:val="20"/>
          <w:szCs w:val="20"/>
        </w:rPr>
      </w:pPr>
    </w:p>
    <w:p w14:paraId="281A2B9D" w14:textId="77777777" w:rsidR="004647B9" w:rsidRDefault="004647B9">
      <w:pPr>
        <w:sectPr w:rsidR="004647B9" w:rsidSect="00EF630C">
          <w:pgSz w:w="12240" w:h="20180"/>
          <w:pgMar w:top="708" w:right="940" w:bottom="1440" w:left="600" w:header="0" w:footer="0" w:gutter="0"/>
          <w:cols w:space="720"/>
        </w:sectPr>
      </w:pPr>
    </w:p>
    <w:p w14:paraId="281A2B9E" w14:textId="77777777" w:rsidR="004647B9" w:rsidRDefault="00E2436F">
      <w:pPr>
        <w:tabs>
          <w:tab w:val="left" w:pos="2860"/>
        </w:tabs>
        <w:ind w:left="1680"/>
        <w:rPr>
          <w:sz w:val="20"/>
          <w:szCs w:val="20"/>
        </w:rPr>
      </w:pPr>
      <w:bookmarkStart w:id="223" w:name="page225"/>
      <w:bookmarkEnd w:id="22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B9F" w14:textId="77777777" w:rsidR="004647B9" w:rsidRDefault="004647B9" w:rsidP="00E023ED">
      <w:pPr>
        <w:rPr>
          <w:sz w:val="20"/>
          <w:szCs w:val="20"/>
        </w:rPr>
      </w:pPr>
    </w:p>
    <w:p w14:paraId="7CAAA0D4" w14:textId="77777777" w:rsidR="00E023ED" w:rsidRDefault="00E023ED" w:rsidP="00E023ED">
      <w:pPr>
        <w:rPr>
          <w:sz w:val="20"/>
          <w:szCs w:val="20"/>
        </w:rPr>
      </w:pPr>
    </w:p>
    <w:p w14:paraId="281A2BA0"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2BA1"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90533B" w14:paraId="16BADFEE" w14:textId="77777777" w:rsidTr="00F80A4F">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4423B430" w14:textId="77777777" w:rsidR="0090533B" w:rsidRDefault="0090533B"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28C48036" w14:textId="77777777" w:rsidR="0090533B" w:rsidRDefault="0090533B"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15776B3D" w14:textId="77777777" w:rsidR="0090533B" w:rsidRDefault="0090533B"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2159D1E9" w14:textId="77777777" w:rsidR="0090533B" w:rsidRDefault="0090533B"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0DD6ADD1" w14:textId="77777777" w:rsidR="0090533B" w:rsidRDefault="0090533B"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70782E97" w14:textId="6B1EFB77" w:rsidR="0090533B" w:rsidRDefault="0090533B" w:rsidP="00346179">
            <w:pPr>
              <w:jc w:val="center"/>
              <w:rPr>
                <w:sz w:val="20"/>
                <w:szCs w:val="20"/>
              </w:rPr>
            </w:pPr>
            <w:r>
              <w:rPr>
                <w:rFonts w:eastAsia="Times New Roman"/>
                <w:sz w:val="18"/>
                <w:szCs w:val="18"/>
              </w:rPr>
              <w:t>Major Sources in Drinking</w:t>
            </w:r>
            <w:r w:rsidR="00346179">
              <w:rPr>
                <w:rFonts w:eastAsia="Times New Roman"/>
                <w:sz w:val="18"/>
                <w:szCs w:val="18"/>
              </w:rPr>
              <w:t xml:space="preserve">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4DA03916" w14:textId="77777777" w:rsidR="0090533B" w:rsidRDefault="0090533B" w:rsidP="00DF6443">
            <w:pPr>
              <w:jc w:val="center"/>
              <w:rPr>
                <w:sz w:val="20"/>
                <w:szCs w:val="20"/>
              </w:rPr>
            </w:pPr>
            <w:r>
              <w:rPr>
                <w:rFonts w:eastAsia="Times New Roman"/>
                <w:sz w:val="18"/>
                <w:szCs w:val="18"/>
              </w:rPr>
              <w:t>Health Effects Language</w:t>
            </w:r>
          </w:p>
        </w:tc>
      </w:tr>
      <w:tr w:rsidR="0090533B" w14:paraId="70812285"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7C9E378C" w14:textId="37A0129C" w:rsidR="0090533B" w:rsidRDefault="0090533B"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Cadmium</w:t>
            </w:r>
          </w:p>
        </w:tc>
        <w:tc>
          <w:tcPr>
            <w:tcW w:w="1060" w:type="dxa"/>
            <w:tcBorders>
              <w:top w:val="single" w:sz="8" w:space="0" w:color="auto"/>
              <w:left w:val="single" w:sz="8" w:space="0" w:color="auto"/>
              <w:bottom w:val="single" w:sz="8" w:space="0" w:color="auto"/>
              <w:right w:val="single" w:sz="8" w:space="0" w:color="auto"/>
            </w:tcBorders>
            <w:vAlign w:val="center"/>
          </w:tcPr>
          <w:p w14:paraId="5CC5DEAF" w14:textId="777767BE" w:rsidR="0090533B" w:rsidRDefault="0090533B" w:rsidP="0090533B">
            <w:pPr>
              <w:jc w:val="center"/>
              <w:rPr>
                <w:rFonts w:eastAsia="Times New Roman"/>
                <w:sz w:val="18"/>
                <w:szCs w:val="18"/>
              </w:rPr>
            </w:pPr>
            <w:r>
              <w:rPr>
                <w:rFonts w:eastAsia="Times New Roman"/>
                <w:sz w:val="18"/>
                <w:szCs w:val="18"/>
              </w:rPr>
              <w:t>0.005 mg/l</w:t>
            </w:r>
          </w:p>
        </w:tc>
        <w:tc>
          <w:tcPr>
            <w:tcW w:w="1360" w:type="dxa"/>
            <w:tcBorders>
              <w:top w:val="single" w:sz="8" w:space="0" w:color="auto"/>
              <w:bottom w:val="single" w:sz="8" w:space="0" w:color="auto"/>
              <w:right w:val="single" w:sz="8" w:space="0" w:color="auto"/>
            </w:tcBorders>
            <w:vAlign w:val="center"/>
          </w:tcPr>
          <w:p w14:paraId="2DFCBDE9" w14:textId="61FFB53E" w:rsidR="0090533B" w:rsidRDefault="0090533B" w:rsidP="0090533B">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540E616B" w14:textId="50178C03" w:rsidR="0090533B" w:rsidRDefault="0090533B" w:rsidP="0090533B">
            <w:pPr>
              <w:jc w:val="center"/>
              <w:rPr>
                <w:rFonts w:eastAsia="Times New Roman"/>
                <w:sz w:val="18"/>
                <w:szCs w:val="18"/>
              </w:rPr>
            </w:pPr>
            <w:r>
              <w:rPr>
                <w:rFonts w:eastAsia="Times New Roman"/>
                <w:sz w:val="18"/>
                <w:szCs w:val="18"/>
              </w:rPr>
              <w:t>5 ppb</w:t>
            </w:r>
          </w:p>
        </w:tc>
        <w:tc>
          <w:tcPr>
            <w:tcW w:w="980" w:type="dxa"/>
            <w:tcBorders>
              <w:top w:val="single" w:sz="8" w:space="0" w:color="auto"/>
              <w:bottom w:val="single" w:sz="8" w:space="0" w:color="auto"/>
              <w:right w:val="single" w:sz="8" w:space="0" w:color="auto"/>
            </w:tcBorders>
            <w:vAlign w:val="center"/>
          </w:tcPr>
          <w:p w14:paraId="46BC348A" w14:textId="083205D8" w:rsidR="0090533B" w:rsidRDefault="0090533B" w:rsidP="0090533B">
            <w:pPr>
              <w:jc w:val="center"/>
              <w:rPr>
                <w:rFonts w:eastAsia="Times New Roman"/>
                <w:sz w:val="18"/>
                <w:szCs w:val="18"/>
              </w:rPr>
            </w:pPr>
            <w:r>
              <w:rPr>
                <w:rFonts w:eastAsia="Times New Roman"/>
                <w:sz w:val="18"/>
                <w:szCs w:val="18"/>
              </w:rPr>
              <w:t>5 ppb</w:t>
            </w:r>
          </w:p>
        </w:tc>
        <w:tc>
          <w:tcPr>
            <w:tcW w:w="1860" w:type="dxa"/>
            <w:tcBorders>
              <w:top w:val="single" w:sz="8" w:space="0" w:color="auto"/>
              <w:bottom w:val="single" w:sz="8" w:space="0" w:color="auto"/>
              <w:right w:val="single" w:sz="8" w:space="0" w:color="auto"/>
            </w:tcBorders>
          </w:tcPr>
          <w:p w14:paraId="3D3876D6" w14:textId="00C39A0F" w:rsidR="0090533B" w:rsidRDefault="0090533B" w:rsidP="0090533B">
            <w:pPr>
              <w:spacing w:line="360" w:lineRule="auto"/>
              <w:ind w:left="144"/>
              <w:rPr>
                <w:rFonts w:eastAsia="Times New Roman"/>
                <w:sz w:val="18"/>
                <w:szCs w:val="18"/>
              </w:rPr>
            </w:pPr>
            <w:r>
              <w:rPr>
                <w:rFonts w:eastAsia="Times New Roman"/>
                <w:sz w:val="18"/>
                <w:szCs w:val="18"/>
              </w:rPr>
              <w:t>Corrosion of galvanized pipes; erosion of natural deposits; discharge from metal refineries; runoff from waste batteries and paints</w:t>
            </w:r>
          </w:p>
        </w:tc>
        <w:tc>
          <w:tcPr>
            <w:tcW w:w="2440" w:type="dxa"/>
            <w:tcBorders>
              <w:top w:val="single" w:sz="8" w:space="0" w:color="auto"/>
              <w:bottom w:val="single" w:sz="8" w:space="0" w:color="auto"/>
              <w:right w:val="single" w:sz="8" w:space="0" w:color="auto"/>
            </w:tcBorders>
          </w:tcPr>
          <w:p w14:paraId="3A33CE61" w14:textId="66738694" w:rsidR="0090533B" w:rsidRPr="00E6483D" w:rsidRDefault="0090533B" w:rsidP="0090533B">
            <w:pPr>
              <w:spacing w:line="360" w:lineRule="auto"/>
              <w:ind w:left="144"/>
              <w:rPr>
                <w:sz w:val="20"/>
                <w:szCs w:val="20"/>
              </w:rPr>
            </w:pPr>
            <w:r>
              <w:rPr>
                <w:rFonts w:eastAsia="Times New Roman"/>
                <w:sz w:val="18"/>
                <w:szCs w:val="18"/>
              </w:rPr>
              <w:t>Some people who drink water containing cadmium in excess of the MCL over many years could experience kidney damage.</w:t>
            </w:r>
          </w:p>
        </w:tc>
      </w:tr>
      <w:tr w:rsidR="0090533B" w14:paraId="51471902"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5164CDE" w14:textId="536CA40C" w:rsidR="0090533B" w:rsidRPr="00E6483D" w:rsidRDefault="0090533B"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Chloramines</w:t>
            </w:r>
          </w:p>
        </w:tc>
        <w:tc>
          <w:tcPr>
            <w:tcW w:w="1060" w:type="dxa"/>
            <w:tcBorders>
              <w:top w:val="single" w:sz="8" w:space="0" w:color="auto"/>
              <w:left w:val="single" w:sz="8" w:space="0" w:color="auto"/>
              <w:bottom w:val="single" w:sz="8" w:space="0" w:color="auto"/>
              <w:right w:val="single" w:sz="8" w:space="0" w:color="auto"/>
            </w:tcBorders>
            <w:vAlign w:val="center"/>
          </w:tcPr>
          <w:p w14:paraId="638FA08F" w14:textId="44D5056C" w:rsidR="0090533B" w:rsidRDefault="0090533B" w:rsidP="0090533B">
            <w:pPr>
              <w:jc w:val="center"/>
              <w:rPr>
                <w:rFonts w:eastAsia="Times New Roman"/>
                <w:sz w:val="18"/>
                <w:szCs w:val="18"/>
              </w:rPr>
            </w:pPr>
            <w:r>
              <w:rPr>
                <w:rFonts w:eastAsia="Times New Roman"/>
                <w:sz w:val="18"/>
                <w:szCs w:val="18"/>
              </w:rPr>
              <w:t>MRDL</w:t>
            </w:r>
            <w:r w:rsidR="00A141DE">
              <w:rPr>
                <w:rFonts w:eastAsia="Times New Roman"/>
                <w:sz w:val="18"/>
                <w:szCs w:val="18"/>
              </w:rPr>
              <w:t xml:space="preserve"> </w:t>
            </w:r>
            <w:r>
              <w:rPr>
                <w:rFonts w:eastAsia="Times New Roman"/>
                <w:sz w:val="18"/>
                <w:szCs w:val="18"/>
              </w:rPr>
              <w:t>= 4 mg/l</w:t>
            </w:r>
          </w:p>
        </w:tc>
        <w:tc>
          <w:tcPr>
            <w:tcW w:w="1360" w:type="dxa"/>
            <w:tcBorders>
              <w:top w:val="single" w:sz="8" w:space="0" w:color="auto"/>
              <w:bottom w:val="single" w:sz="8" w:space="0" w:color="auto"/>
              <w:right w:val="single" w:sz="8" w:space="0" w:color="auto"/>
            </w:tcBorders>
            <w:vAlign w:val="center"/>
          </w:tcPr>
          <w:p w14:paraId="180F8BD5" w14:textId="3AF8C40E" w:rsidR="0090533B" w:rsidRDefault="0090533B" w:rsidP="0090533B">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277423DA" w14:textId="3B3DC971" w:rsidR="0090533B" w:rsidRDefault="0090533B" w:rsidP="0090533B">
            <w:pPr>
              <w:ind w:right="10"/>
              <w:jc w:val="center"/>
              <w:rPr>
                <w:rFonts w:eastAsia="Times New Roman"/>
                <w:sz w:val="18"/>
                <w:szCs w:val="18"/>
              </w:rPr>
            </w:pPr>
            <w:r>
              <w:rPr>
                <w:rFonts w:eastAsia="Times New Roman"/>
                <w:sz w:val="18"/>
                <w:szCs w:val="18"/>
              </w:rPr>
              <w:t>MRDL</w:t>
            </w:r>
            <w:r w:rsidR="00A141DE">
              <w:rPr>
                <w:rFonts w:eastAsia="Times New Roman"/>
                <w:sz w:val="18"/>
                <w:szCs w:val="18"/>
              </w:rPr>
              <w:t xml:space="preserve"> </w:t>
            </w:r>
            <w:r>
              <w:rPr>
                <w:rFonts w:eastAsia="Times New Roman"/>
                <w:sz w:val="18"/>
                <w:szCs w:val="18"/>
              </w:rPr>
              <w:t>= 4 ppm</w:t>
            </w:r>
          </w:p>
        </w:tc>
        <w:tc>
          <w:tcPr>
            <w:tcW w:w="980" w:type="dxa"/>
            <w:tcBorders>
              <w:top w:val="single" w:sz="8" w:space="0" w:color="auto"/>
              <w:bottom w:val="single" w:sz="8" w:space="0" w:color="auto"/>
              <w:right w:val="single" w:sz="8" w:space="0" w:color="auto"/>
            </w:tcBorders>
            <w:vAlign w:val="center"/>
          </w:tcPr>
          <w:p w14:paraId="2D9021E3" w14:textId="4C65B949" w:rsidR="0090533B" w:rsidRDefault="0090533B" w:rsidP="0090533B">
            <w:pPr>
              <w:jc w:val="center"/>
              <w:rPr>
                <w:rFonts w:eastAsia="Times New Roman"/>
                <w:sz w:val="18"/>
                <w:szCs w:val="18"/>
              </w:rPr>
            </w:pPr>
            <w:r>
              <w:rPr>
                <w:rFonts w:eastAsia="Times New Roman"/>
                <w:sz w:val="18"/>
                <w:szCs w:val="18"/>
              </w:rPr>
              <w:t>MRDLG</w:t>
            </w:r>
            <w:r w:rsidR="00A141DE">
              <w:rPr>
                <w:rFonts w:eastAsia="Times New Roman"/>
                <w:sz w:val="18"/>
                <w:szCs w:val="18"/>
              </w:rPr>
              <w:t xml:space="preserve"> </w:t>
            </w:r>
            <w:r>
              <w:rPr>
                <w:rFonts w:eastAsia="Times New Roman"/>
                <w:sz w:val="18"/>
                <w:szCs w:val="18"/>
              </w:rPr>
              <w:t>= 4 ppm</w:t>
            </w:r>
          </w:p>
        </w:tc>
        <w:tc>
          <w:tcPr>
            <w:tcW w:w="1860" w:type="dxa"/>
            <w:tcBorders>
              <w:top w:val="single" w:sz="8" w:space="0" w:color="auto"/>
              <w:bottom w:val="single" w:sz="8" w:space="0" w:color="auto"/>
              <w:right w:val="single" w:sz="8" w:space="0" w:color="auto"/>
            </w:tcBorders>
          </w:tcPr>
          <w:p w14:paraId="0D70C414" w14:textId="7CB1B106" w:rsidR="0090533B" w:rsidRDefault="0090533B" w:rsidP="0090533B">
            <w:pPr>
              <w:spacing w:line="360" w:lineRule="auto"/>
              <w:ind w:left="144"/>
              <w:rPr>
                <w:rFonts w:eastAsia="Times New Roman"/>
                <w:sz w:val="18"/>
                <w:szCs w:val="18"/>
              </w:rPr>
            </w:pPr>
            <w:r>
              <w:rPr>
                <w:rFonts w:eastAsia="Times New Roman"/>
                <w:sz w:val="18"/>
                <w:szCs w:val="18"/>
              </w:rPr>
              <w:t>Water additive used to control microbes</w:t>
            </w:r>
          </w:p>
        </w:tc>
        <w:tc>
          <w:tcPr>
            <w:tcW w:w="2440" w:type="dxa"/>
            <w:tcBorders>
              <w:top w:val="single" w:sz="8" w:space="0" w:color="auto"/>
              <w:bottom w:val="single" w:sz="8" w:space="0" w:color="auto"/>
              <w:right w:val="single" w:sz="8" w:space="0" w:color="auto"/>
            </w:tcBorders>
          </w:tcPr>
          <w:p w14:paraId="3A1EF919" w14:textId="01F57599" w:rsidR="0090533B" w:rsidRPr="0090533B" w:rsidRDefault="0090533B" w:rsidP="0090533B">
            <w:pPr>
              <w:spacing w:line="360" w:lineRule="auto"/>
              <w:ind w:left="144" w:right="100"/>
              <w:rPr>
                <w:sz w:val="20"/>
                <w:szCs w:val="20"/>
              </w:rPr>
            </w:pPr>
            <w:r>
              <w:rPr>
                <w:rFonts w:eastAsia="Times New Roman"/>
                <w:sz w:val="18"/>
                <w:szCs w:val="18"/>
              </w:rPr>
              <w:t>Some people who use water containing chloramines well in excess of the MRDL could experience irritating effects to their eyes and nose. Some people who drink water containing chloramines well in excess of the MRDL could experience stomach discomfort or anemia.</w:t>
            </w:r>
          </w:p>
        </w:tc>
      </w:tr>
      <w:tr w:rsidR="0090533B" w14:paraId="003A7FEE"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F975544" w14:textId="6E398F7A" w:rsidR="0090533B" w:rsidRDefault="0090533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Chlorine</w:t>
            </w:r>
          </w:p>
        </w:tc>
        <w:tc>
          <w:tcPr>
            <w:tcW w:w="1060" w:type="dxa"/>
            <w:tcBorders>
              <w:top w:val="single" w:sz="8" w:space="0" w:color="auto"/>
              <w:left w:val="single" w:sz="8" w:space="0" w:color="auto"/>
              <w:bottom w:val="single" w:sz="8" w:space="0" w:color="auto"/>
              <w:right w:val="single" w:sz="8" w:space="0" w:color="auto"/>
            </w:tcBorders>
            <w:vAlign w:val="center"/>
          </w:tcPr>
          <w:p w14:paraId="5BAEEEFD" w14:textId="16581848" w:rsidR="0090533B" w:rsidRDefault="0090533B" w:rsidP="0090533B">
            <w:pPr>
              <w:jc w:val="center"/>
              <w:rPr>
                <w:rFonts w:eastAsia="Times New Roman"/>
                <w:sz w:val="18"/>
                <w:szCs w:val="18"/>
              </w:rPr>
            </w:pPr>
            <w:r>
              <w:rPr>
                <w:rFonts w:eastAsia="Times New Roman"/>
                <w:sz w:val="18"/>
                <w:szCs w:val="18"/>
              </w:rPr>
              <w:t>MRDL</w:t>
            </w:r>
            <w:r w:rsidR="00A141DE">
              <w:rPr>
                <w:rFonts w:eastAsia="Times New Roman"/>
                <w:sz w:val="18"/>
                <w:szCs w:val="18"/>
              </w:rPr>
              <w:t xml:space="preserve"> </w:t>
            </w:r>
            <w:r>
              <w:rPr>
                <w:rFonts w:eastAsia="Times New Roman"/>
                <w:sz w:val="18"/>
                <w:szCs w:val="18"/>
              </w:rPr>
              <w:t>= 4 mg/l</w:t>
            </w:r>
          </w:p>
        </w:tc>
        <w:tc>
          <w:tcPr>
            <w:tcW w:w="1360" w:type="dxa"/>
            <w:tcBorders>
              <w:top w:val="single" w:sz="8" w:space="0" w:color="auto"/>
              <w:bottom w:val="single" w:sz="8" w:space="0" w:color="auto"/>
              <w:right w:val="single" w:sz="8" w:space="0" w:color="auto"/>
            </w:tcBorders>
            <w:vAlign w:val="center"/>
          </w:tcPr>
          <w:p w14:paraId="61133F38" w14:textId="04B26525" w:rsidR="0090533B" w:rsidRDefault="0090533B" w:rsidP="0090533B">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3A6D22FB" w14:textId="4CA83794" w:rsidR="0090533B" w:rsidRDefault="0090533B" w:rsidP="0090533B">
            <w:pPr>
              <w:jc w:val="center"/>
              <w:rPr>
                <w:rFonts w:eastAsia="Times New Roman"/>
                <w:sz w:val="18"/>
                <w:szCs w:val="18"/>
              </w:rPr>
            </w:pPr>
            <w:r>
              <w:rPr>
                <w:rFonts w:eastAsia="Times New Roman"/>
                <w:sz w:val="18"/>
                <w:szCs w:val="18"/>
              </w:rPr>
              <w:t>MRDL</w:t>
            </w:r>
            <w:r w:rsidR="00A141DE">
              <w:rPr>
                <w:rFonts w:eastAsia="Times New Roman"/>
                <w:sz w:val="18"/>
                <w:szCs w:val="18"/>
              </w:rPr>
              <w:t xml:space="preserve"> </w:t>
            </w:r>
            <w:r>
              <w:rPr>
                <w:rFonts w:eastAsia="Times New Roman"/>
                <w:sz w:val="18"/>
                <w:szCs w:val="18"/>
              </w:rPr>
              <w:t>= 4 ppm</w:t>
            </w:r>
          </w:p>
        </w:tc>
        <w:tc>
          <w:tcPr>
            <w:tcW w:w="980" w:type="dxa"/>
            <w:tcBorders>
              <w:top w:val="single" w:sz="8" w:space="0" w:color="auto"/>
              <w:bottom w:val="single" w:sz="8" w:space="0" w:color="auto"/>
              <w:right w:val="single" w:sz="8" w:space="0" w:color="auto"/>
            </w:tcBorders>
            <w:vAlign w:val="center"/>
          </w:tcPr>
          <w:p w14:paraId="07E3D6A5" w14:textId="6C691629" w:rsidR="0090533B" w:rsidRDefault="0090533B" w:rsidP="0090533B">
            <w:pPr>
              <w:jc w:val="center"/>
              <w:rPr>
                <w:rFonts w:eastAsia="Times New Roman"/>
                <w:sz w:val="18"/>
                <w:szCs w:val="18"/>
              </w:rPr>
            </w:pPr>
            <w:r>
              <w:rPr>
                <w:rFonts w:eastAsia="Times New Roman"/>
                <w:sz w:val="18"/>
                <w:szCs w:val="18"/>
              </w:rPr>
              <w:t>MRDLG</w:t>
            </w:r>
            <w:r w:rsidR="00A141DE">
              <w:rPr>
                <w:rFonts w:eastAsia="Times New Roman"/>
                <w:sz w:val="18"/>
                <w:szCs w:val="18"/>
              </w:rPr>
              <w:t xml:space="preserve"> </w:t>
            </w:r>
            <w:r>
              <w:rPr>
                <w:rFonts w:eastAsia="Times New Roman"/>
                <w:sz w:val="18"/>
                <w:szCs w:val="18"/>
              </w:rPr>
              <w:t>= 4 ppm</w:t>
            </w:r>
          </w:p>
        </w:tc>
        <w:tc>
          <w:tcPr>
            <w:tcW w:w="1860" w:type="dxa"/>
            <w:tcBorders>
              <w:top w:val="single" w:sz="8" w:space="0" w:color="auto"/>
              <w:bottom w:val="single" w:sz="8" w:space="0" w:color="auto"/>
              <w:right w:val="single" w:sz="8" w:space="0" w:color="auto"/>
            </w:tcBorders>
          </w:tcPr>
          <w:p w14:paraId="4AAE3B27" w14:textId="39D3E905" w:rsidR="0090533B" w:rsidRDefault="0090533B" w:rsidP="0090533B">
            <w:pPr>
              <w:spacing w:line="360" w:lineRule="auto"/>
              <w:ind w:left="144"/>
              <w:rPr>
                <w:rFonts w:eastAsia="Times New Roman"/>
                <w:sz w:val="18"/>
                <w:szCs w:val="18"/>
              </w:rPr>
            </w:pPr>
            <w:r>
              <w:rPr>
                <w:rFonts w:eastAsia="Times New Roman"/>
                <w:sz w:val="18"/>
                <w:szCs w:val="18"/>
              </w:rPr>
              <w:t>Water additive used to control microbes</w:t>
            </w:r>
          </w:p>
        </w:tc>
        <w:tc>
          <w:tcPr>
            <w:tcW w:w="2440" w:type="dxa"/>
            <w:tcBorders>
              <w:top w:val="single" w:sz="8" w:space="0" w:color="auto"/>
              <w:bottom w:val="single" w:sz="8" w:space="0" w:color="auto"/>
              <w:right w:val="single" w:sz="8" w:space="0" w:color="auto"/>
            </w:tcBorders>
          </w:tcPr>
          <w:p w14:paraId="19201E63" w14:textId="250BE554" w:rsidR="0090533B" w:rsidRPr="0090533B" w:rsidRDefault="0090533B" w:rsidP="0090533B">
            <w:pPr>
              <w:spacing w:line="360" w:lineRule="auto"/>
              <w:ind w:left="144" w:right="140"/>
              <w:rPr>
                <w:sz w:val="20"/>
                <w:szCs w:val="20"/>
              </w:rPr>
            </w:pPr>
            <w:r>
              <w:rPr>
                <w:rFonts w:eastAsia="Times New Roman"/>
                <w:sz w:val="18"/>
                <w:szCs w:val="18"/>
              </w:rPr>
              <w:t>Some people who use water containing chlorine well in excess of the MRDL could experience irritating effects to their eyes and nose. Some people who drink water containing chlorine well in excess of the MRDL could experience stomach discomfort.</w:t>
            </w:r>
          </w:p>
        </w:tc>
      </w:tr>
      <w:tr w:rsidR="00A141DE" w14:paraId="0DEF2C41"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F4A7745" w14:textId="64D2F00F" w:rsidR="00A141DE" w:rsidRDefault="00A141DE"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Chlorine dioxide</w:t>
            </w:r>
          </w:p>
        </w:tc>
        <w:tc>
          <w:tcPr>
            <w:tcW w:w="1060" w:type="dxa"/>
            <w:tcBorders>
              <w:top w:val="single" w:sz="8" w:space="0" w:color="auto"/>
              <w:left w:val="single" w:sz="8" w:space="0" w:color="auto"/>
              <w:bottom w:val="single" w:sz="8" w:space="0" w:color="auto"/>
              <w:right w:val="single" w:sz="8" w:space="0" w:color="auto"/>
            </w:tcBorders>
            <w:vAlign w:val="center"/>
          </w:tcPr>
          <w:p w14:paraId="46CE798B" w14:textId="2F777F36" w:rsidR="00A141DE" w:rsidRDefault="00A141DE" w:rsidP="00A141DE">
            <w:pPr>
              <w:jc w:val="center"/>
              <w:rPr>
                <w:rFonts w:eastAsia="Times New Roman"/>
                <w:sz w:val="18"/>
                <w:szCs w:val="18"/>
              </w:rPr>
            </w:pPr>
            <w:r>
              <w:rPr>
                <w:rFonts w:eastAsia="Times New Roman"/>
                <w:sz w:val="18"/>
                <w:szCs w:val="18"/>
              </w:rPr>
              <w:t>MRDL = 0.8 mg/l</w:t>
            </w:r>
          </w:p>
        </w:tc>
        <w:tc>
          <w:tcPr>
            <w:tcW w:w="1360" w:type="dxa"/>
            <w:tcBorders>
              <w:top w:val="single" w:sz="8" w:space="0" w:color="auto"/>
              <w:bottom w:val="single" w:sz="8" w:space="0" w:color="auto"/>
              <w:right w:val="single" w:sz="8" w:space="0" w:color="auto"/>
            </w:tcBorders>
            <w:vAlign w:val="center"/>
          </w:tcPr>
          <w:p w14:paraId="7A19ABCC" w14:textId="6C4505D7" w:rsidR="00A141DE" w:rsidRDefault="00A141DE" w:rsidP="00A141DE">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45E0BD4D" w14:textId="246D723D" w:rsidR="00A141DE" w:rsidRDefault="00A141DE" w:rsidP="00A141DE">
            <w:pPr>
              <w:jc w:val="center"/>
              <w:rPr>
                <w:rFonts w:eastAsia="Times New Roman"/>
                <w:sz w:val="18"/>
                <w:szCs w:val="18"/>
              </w:rPr>
            </w:pPr>
            <w:r>
              <w:rPr>
                <w:rFonts w:eastAsia="Times New Roman"/>
                <w:sz w:val="18"/>
                <w:szCs w:val="18"/>
              </w:rPr>
              <w:t>800 ppb</w:t>
            </w:r>
          </w:p>
        </w:tc>
        <w:tc>
          <w:tcPr>
            <w:tcW w:w="980" w:type="dxa"/>
            <w:tcBorders>
              <w:top w:val="single" w:sz="8" w:space="0" w:color="auto"/>
              <w:bottom w:val="single" w:sz="8" w:space="0" w:color="auto"/>
              <w:right w:val="single" w:sz="8" w:space="0" w:color="auto"/>
            </w:tcBorders>
            <w:vAlign w:val="center"/>
          </w:tcPr>
          <w:p w14:paraId="59CB071E" w14:textId="3A88DC48" w:rsidR="00A141DE" w:rsidRDefault="00A141DE" w:rsidP="00A141DE">
            <w:pPr>
              <w:jc w:val="center"/>
              <w:rPr>
                <w:rFonts w:eastAsia="Times New Roman"/>
                <w:sz w:val="18"/>
                <w:szCs w:val="18"/>
              </w:rPr>
            </w:pPr>
            <w:r>
              <w:rPr>
                <w:rFonts w:eastAsia="Times New Roman"/>
                <w:sz w:val="18"/>
                <w:szCs w:val="18"/>
              </w:rPr>
              <w:t>MRDLG = 800 ppb</w:t>
            </w:r>
          </w:p>
        </w:tc>
        <w:tc>
          <w:tcPr>
            <w:tcW w:w="1860" w:type="dxa"/>
            <w:tcBorders>
              <w:top w:val="single" w:sz="8" w:space="0" w:color="auto"/>
              <w:bottom w:val="single" w:sz="8" w:space="0" w:color="auto"/>
              <w:right w:val="single" w:sz="8" w:space="0" w:color="auto"/>
            </w:tcBorders>
          </w:tcPr>
          <w:p w14:paraId="5CDCE310" w14:textId="29AFE3B0" w:rsidR="00A141DE" w:rsidRDefault="00A141DE" w:rsidP="00CC5B2D">
            <w:pPr>
              <w:spacing w:line="360" w:lineRule="auto"/>
              <w:ind w:left="144"/>
              <w:rPr>
                <w:rFonts w:eastAsia="Times New Roman"/>
                <w:sz w:val="18"/>
                <w:szCs w:val="18"/>
              </w:rPr>
            </w:pPr>
            <w:r>
              <w:rPr>
                <w:rFonts w:eastAsia="Times New Roman"/>
                <w:sz w:val="18"/>
                <w:szCs w:val="18"/>
              </w:rPr>
              <w:t>Water additive used to control microbes</w:t>
            </w:r>
          </w:p>
        </w:tc>
        <w:tc>
          <w:tcPr>
            <w:tcW w:w="2440" w:type="dxa"/>
            <w:tcBorders>
              <w:top w:val="single" w:sz="8" w:space="0" w:color="auto"/>
              <w:bottom w:val="single" w:sz="8" w:space="0" w:color="auto"/>
              <w:right w:val="single" w:sz="8" w:space="0" w:color="auto"/>
            </w:tcBorders>
          </w:tcPr>
          <w:p w14:paraId="20FFBC80" w14:textId="77F71DBD" w:rsidR="00A141DE" w:rsidRDefault="00A141DE" w:rsidP="00CC5B2D">
            <w:pPr>
              <w:spacing w:line="360" w:lineRule="auto"/>
              <w:ind w:left="144" w:right="60"/>
              <w:rPr>
                <w:rFonts w:eastAsia="Times New Roman"/>
                <w:sz w:val="18"/>
                <w:szCs w:val="18"/>
              </w:rPr>
            </w:pPr>
            <w:r>
              <w:rPr>
                <w:rFonts w:eastAsia="Times New Roman"/>
                <w:sz w:val="18"/>
                <w:szCs w:val="18"/>
              </w:rPr>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2A4DED" w14:paraId="11D2F94E"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B818478" w14:textId="08763A6B" w:rsidR="002A4DED" w:rsidRDefault="002A4DED"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Chlorite</w:t>
            </w:r>
          </w:p>
        </w:tc>
        <w:tc>
          <w:tcPr>
            <w:tcW w:w="1060" w:type="dxa"/>
            <w:tcBorders>
              <w:top w:val="single" w:sz="8" w:space="0" w:color="auto"/>
              <w:left w:val="single" w:sz="8" w:space="0" w:color="auto"/>
              <w:bottom w:val="single" w:sz="8" w:space="0" w:color="auto"/>
              <w:right w:val="single" w:sz="8" w:space="0" w:color="auto"/>
            </w:tcBorders>
            <w:vAlign w:val="center"/>
          </w:tcPr>
          <w:p w14:paraId="22C3B4AE" w14:textId="5046586D" w:rsidR="002A4DED" w:rsidRDefault="002A4DED" w:rsidP="002A4DED">
            <w:pPr>
              <w:jc w:val="center"/>
              <w:rPr>
                <w:rFonts w:eastAsia="Times New Roman"/>
                <w:sz w:val="18"/>
                <w:szCs w:val="18"/>
              </w:rPr>
            </w:pPr>
            <w:r>
              <w:rPr>
                <w:rFonts w:eastAsia="Times New Roman"/>
                <w:sz w:val="18"/>
                <w:szCs w:val="18"/>
              </w:rPr>
              <w:t>1 mg/l</w:t>
            </w:r>
          </w:p>
        </w:tc>
        <w:tc>
          <w:tcPr>
            <w:tcW w:w="1360" w:type="dxa"/>
            <w:tcBorders>
              <w:top w:val="single" w:sz="8" w:space="0" w:color="auto"/>
              <w:bottom w:val="single" w:sz="8" w:space="0" w:color="auto"/>
              <w:right w:val="single" w:sz="8" w:space="0" w:color="auto"/>
            </w:tcBorders>
            <w:vAlign w:val="center"/>
          </w:tcPr>
          <w:p w14:paraId="48F73CD2" w14:textId="35BB3826" w:rsidR="002A4DED" w:rsidRDefault="002A4DED" w:rsidP="002A4DED">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4FE51450" w14:textId="37192C6C" w:rsidR="002A4DED" w:rsidRDefault="002A4DED" w:rsidP="002A4DED">
            <w:pPr>
              <w:jc w:val="center"/>
              <w:rPr>
                <w:rFonts w:eastAsia="Times New Roman"/>
                <w:sz w:val="18"/>
                <w:szCs w:val="18"/>
              </w:rPr>
            </w:pPr>
            <w:r>
              <w:rPr>
                <w:rFonts w:eastAsia="Times New Roman"/>
                <w:sz w:val="18"/>
                <w:szCs w:val="18"/>
              </w:rPr>
              <w:t>1 ppm</w:t>
            </w:r>
          </w:p>
        </w:tc>
        <w:tc>
          <w:tcPr>
            <w:tcW w:w="980" w:type="dxa"/>
            <w:tcBorders>
              <w:top w:val="single" w:sz="8" w:space="0" w:color="auto"/>
              <w:bottom w:val="single" w:sz="8" w:space="0" w:color="auto"/>
              <w:right w:val="single" w:sz="8" w:space="0" w:color="auto"/>
            </w:tcBorders>
            <w:vAlign w:val="center"/>
          </w:tcPr>
          <w:p w14:paraId="22491A9B" w14:textId="20E13EDB" w:rsidR="002A4DED" w:rsidRDefault="002A4DED" w:rsidP="002A4DED">
            <w:pPr>
              <w:jc w:val="center"/>
              <w:rPr>
                <w:rFonts w:eastAsia="Times New Roman"/>
                <w:sz w:val="18"/>
                <w:szCs w:val="18"/>
              </w:rPr>
            </w:pPr>
            <w:r>
              <w:rPr>
                <w:rFonts w:eastAsia="Times New Roman"/>
                <w:sz w:val="18"/>
                <w:szCs w:val="18"/>
              </w:rPr>
              <w:t>0.8 ppm</w:t>
            </w:r>
          </w:p>
        </w:tc>
        <w:tc>
          <w:tcPr>
            <w:tcW w:w="1860" w:type="dxa"/>
            <w:tcBorders>
              <w:top w:val="single" w:sz="8" w:space="0" w:color="auto"/>
              <w:bottom w:val="single" w:sz="8" w:space="0" w:color="auto"/>
              <w:right w:val="single" w:sz="8" w:space="0" w:color="auto"/>
            </w:tcBorders>
          </w:tcPr>
          <w:p w14:paraId="698E621B" w14:textId="5AB27843" w:rsidR="002A4DED" w:rsidRDefault="002A4DED" w:rsidP="002A4DED">
            <w:pPr>
              <w:spacing w:line="360" w:lineRule="auto"/>
              <w:ind w:left="144"/>
              <w:rPr>
                <w:rFonts w:eastAsia="Times New Roman"/>
                <w:sz w:val="18"/>
                <w:szCs w:val="18"/>
              </w:rPr>
            </w:pPr>
            <w:r>
              <w:rPr>
                <w:rFonts w:eastAsia="Times New Roman"/>
                <w:sz w:val="18"/>
                <w:szCs w:val="18"/>
              </w:rPr>
              <w:t>By-product of drinking water Disinfection</w:t>
            </w:r>
          </w:p>
        </w:tc>
        <w:tc>
          <w:tcPr>
            <w:tcW w:w="2440" w:type="dxa"/>
            <w:tcBorders>
              <w:top w:val="single" w:sz="8" w:space="0" w:color="auto"/>
              <w:bottom w:val="single" w:sz="8" w:space="0" w:color="auto"/>
              <w:right w:val="single" w:sz="8" w:space="0" w:color="auto"/>
            </w:tcBorders>
            <w:vAlign w:val="bottom"/>
          </w:tcPr>
          <w:p w14:paraId="16568FAF" w14:textId="10BE3E6C" w:rsidR="002A4DED" w:rsidRDefault="002A4DED" w:rsidP="002A4DED">
            <w:pPr>
              <w:spacing w:line="360" w:lineRule="auto"/>
              <w:ind w:left="144"/>
              <w:rPr>
                <w:rFonts w:eastAsia="Times New Roman"/>
                <w:sz w:val="18"/>
                <w:szCs w:val="18"/>
              </w:rPr>
            </w:pPr>
            <w:r>
              <w:rPr>
                <w:rFonts w:eastAsia="Times New Roman"/>
                <w:sz w:val="18"/>
                <w:szCs w:val="18"/>
              </w:rPr>
              <w:t>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tc>
      </w:tr>
    </w:tbl>
    <w:p w14:paraId="281A2C0F" w14:textId="77777777" w:rsidR="004647B9" w:rsidRDefault="004647B9" w:rsidP="0090533B">
      <w:pPr>
        <w:spacing w:line="360" w:lineRule="auto"/>
        <w:sectPr w:rsidR="004647B9" w:rsidSect="00EF630C">
          <w:pgSz w:w="12240" w:h="20180"/>
          <w:pgMar w:top="708" w:right="940" w:bottom="506" w:left="600" w:header="0" w:footer="0" w:gutter="0"/>
          <w:cols w:space="720"/>
        </w:sectPr>
      </w:pPr>
    </w:p>
    <w:p w14:paraId="281A2CDF" w14:textId="77777777" w:rsidR="004647B9" w:rsidRDefault="00E2436F">
      <w:pPr>
        <w:tabs>
          <w:tab w:val="left" w:pos="2860"/>
        </w:tabs>
        <w:ind w:left="1680"/>
        <w:rPr>
          <w:sz w:val="20"/>
          <w:szCs w:val="20"/>
        </w:rPr>
      </w:pPr>
      <w:bookmarkStart w:id="224" w:name="page226"/>
      <w:bookmarkEnd w:id="22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CE0" w14:textId="77777777" w:rsidR="004647B9" w:rsidRDefault="004647B9" w:rsidP="00E023ED">
      <w:pPr>
        <w:rPr>
          <w:sz w:val="20"/>
          <w:szCs w:val="20"/>
        </w:rPr>
      </w:pPr>
    </w:p>
    <w:p w14:paraId="664971EB" w14:textId="77777777" w:rsidR="00E023ED" w:rsidRDefault="00E023ED" w:rsidP="00E023ED">
      <w:pPr>
        <w:rPr>
          <w:sz w:val="20"/>
          <w:szCs w:val="20"/>
        </w:rPr>
      </w:pPr>
    </w:p>
    <w:p w14:paraId="281A2CE1"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2CE2"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F80A4F" w14:paraId="23557A1F"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71EEA0B6" w14:textId="77777777" w:rsidR="00F80A4F" w:rsidRDefault="00F80A4F"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6A985ED3" w14:textId="77777777" w:rsidR="00F80A4F" w:rsidRDefault="00F80A4F"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727AB677" w14:textId="77777777" w:rsidR="00F80A4F" w:rsidRDefault="00F80A4F"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68B6F00F" w14:textId="77777777" w:rsidR="00F80A4F" w:rsidRDefault="00F80A4F"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4D2460F7" w14:textId="77777777" w:rsidR="00F80A4F" w:rsidRDefault="00F80A4F"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07A8C4B1" w14:textId="77777777" w:rsidR="00F80A4F" w:rsidRDefault="00F80A4F"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708E6F6C" w14:textId="77777777" w:rsidR="00F80A4F" w:rsidRDefault="00F80A4F" w:rsidP="00DF6443">
            <w:pPr>
              <w:jc w:val="center"/>
              <w:rPr>
                <w:sz w:val="20"/>
                <w:szCs w:val="20"/>
              </w:rPr>
            </w:pPr>
            <w:r>
              <w:rPr>
                <w:rFonts w:eastAsia="Times New Roman"/>
                <w:sz w:val="18"/>
                <w:szCs w:val="18"/>
              </w:rPr>
              <w:t>Health Effects Language</w:t>
            </w:r>
          </w:p>
        </w:tc>
      </w:tr>
      <w:tr w:rsidR="00F80A4F" w14:paraId="2588A94E"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13AC2B7" w14:textId="0E7FC494" w:rsidR="00F80A4F" w:rsidRDefault="00F80A4F"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Chromium</w:t>
            </w:r>
          </w:p>
        </w:tc>
        <w:tc>
          <w:tcPr>
            <w:tcW w:w="1060" w:type="dxa"/>
            <w:tcBorders>
              <w:top w:val="single" w:sz="8" w:space="0" w:color="auto"/>
              <w:left w:val="single" w:sz="8" w:space="0" w:color="auto"/>
              <w:bottom w:val="single" w:sz="8" w:space="0" w:color="auto"/>
              <w:right w:val="single" w:sz="8" w:space="0" w:color="auto"/>
            </w:tcBorders>
            <w:vAlign w:val="center"/>
          </w:tcPr>
          <w:p w14:paraId="664CBCF2" w14:textId="502B936F" w:rsidR="00F80A4F" w:rsidRDefault="00F80A4F" w:rsidP="00F80A4F">
            <w:pPr>
              <w:jc w:val="center"/>
              <w:rPr>
                <w:rFonts w:eastAsia="Times New Roman"/>
                <w:sz w:val="18"/>
                <w:szCs w:val="18"/>
              </w:rPr>
            </w:pPr>
            <w:r>
              <w:rPr>
                <w:rFonts w:eastAsia="Times New Roman"/>
                <w:sz w:val="18"/>
                <w:szCs w:val="18"/>
              </w:rPr>
              <w:t>0.1 mg/l</w:t>
            </w:r>
          </w:p>
        </w:tc>
        <w:tc>
          <w:tcPr>
            <w:tcW w:w="1360" w:type="dxa"/>
            <w:tcBorders>
              <w:top w:val="single" w:sz="8" w:space="0" w:color="auto"/>
              <w:bottom w:val="single" w:sz="8" w:space="0" w:color="auto"/>
              <w:right w:val="single" w:sz="8" w:space="0" w:color="auto"/>
            </w:tcBorders>
            <w:vAlign w:val="center"/>
          </w:tcPr>
          <w:p w14:paraId="28F98148" w14:textId="6CD00930" w:rsidR="00F80A4F" w:rsidRDefault="00F80A4F" w:rsidP="00F80A4F">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06E17A2E" w14:textId="459DEBE3" w:rsidR="00F80A4F" w:rsidRDefault="00F80A4F" w:rsidP="00F80A4F">
            <w:pPr>
              <w:jc w:val="center"/>
              <w:rPr>
                <w:rFonts w:eastAsia="Times New Roman"/>
                <w:sz w:val="18"/>
                <w:szCs w:val="18"/>
              </w:rPr>
            </w:pPr>
            <w:r>
              <w:rPr>
                <w:rFonts w:eastAsia="Times New Roman"/>
                <w:sz w:val="18"/>
                <w:szCs w:val="18"/>
              </w:rPr>
              <w:t>100 ppb</w:t>
            </w:r>
          </w:p>
        </w:tc>
        <w:tc>
          <w:tcPr>
            <w:tcW w:w="980" w:type="dxa"/>
            <w:tcBorders>
              <w:top w:val="single" w:sz="8" w:space="0" w:color="auto"/>
              <w:bottom w:val="single" w:sz="8" w:space="0" w:color="auto"/>
              <w:right w:val="single" w:sz="8" w:space="0" w:color="auto"/>
            </w:tcBorders>
            <w:vAlign w:val="center"/>
          </w:tcPr>
          <w:p w14:paraId="1318F415" w14:textId="536D9A34" w:rsidR="00F80A4F" w:rsidRDefault="00F80A4F" w:rsidP="00F80A4F">
            <w:pPr>
              <w:jc w:val="center"/>
              <w:rPr>
                <w:rFonts w:eastAsia="Times New Roman"/>
                <w:sz w:val="18"/>
                <w:szCs w:val="18"/>
              </w:rPr>
            </w:pPr>
            <w:r>
              <w:rPr>
                <w:rFonts w:eastAsia="Times New Roman"/>
                <w:sz w:val="18"/>
                <w:szCs w:val="18"/>
              </w:rPr>
              <w:t>100 ppb</w:t>
            </w:r>
          </w:p>
        </w:tc>
        <w:tc>
          <w:tcPr>
            <w:tcW w:w="1860" w:type="dxa"/>
            <w:tcBorders>
              <w:top w:val="single" w:sz="8" w:space="0" w:color="auto"/>
              <w:bottom w:val="single" w:sz="8" w:space="0" w:color="auto"/>
              <w:right w:val="single" w:sz="8" w:space="0" w:color="auto"/>
            </w:tcBorders>
          </w:tcPr>
          <w:p w14:paraId="3F58740A" w14:textId="0BD5EAEF" w:rsidR="00F80A4F" w:rsidRDefault="00F80A4F" w:rsidP="00F80A4F">
            <w:pPr>
              <w:spacing w:line="360" w:lineRule="auto"/>
              <w:ind w:left="144"/>
              <w:rPr>
                <w:rFonts w:eastAsia="Times New Roman"/>
                <w:sz w:val="18"/>
                <w:szCs w:val="18"/>
              </w:rPr>
            </w:pPr>
            <w:r>
              <w:rPr>
                <w:rFonts w:eastAsia="Times New Roman"/>
                <w:sz w:val="18"/>
                <w:szCs w:val="18"/>
              </w:rPr>
              <w:t>Discharge from steel and pulp mills; erosion of natural deposits</w:t>
            </w:r>
          </w:p>
        </w:tc>
        <w:tc>
          <w:tcPr>
            <w:tcW w:w="2440" w:type="dxa"/>
            <w:tcBorders>
              <w:top w:val="single" w:sz="8" w:space="0" w:color="auto"/>
              <w:bottom w:val="single" w:sz="8" w:space="0" w:color="auto"/>
              <w:right w:val="single" w:sz="8" w:space="0" w:color="auto"/>
            </w:tcBorders>
          </w:tcPr>
          <w:p w14:paraId="3F687621" w14:textId="2780805B" w:rsidR="00F80A4F" w:rsidRPr="00E6483D" w:rsidRDefault="00F80A4F" w:rsidP="00F80A4F">
            <w:pPr>
              <w:spacing w:line="360" w:lineRule="auto"/>
              <w:ind w:left="144" w:right="100"/>
              <w:rPr>
                <w:sz w:val="20"/>
                <w:szCs w:val="20"/>
              </w:rPr>
            </w:pPr>
            <w:r>
              <w:rPr>
                <w:rFonts w:eastAsia="Times New Roman"/>
                <w:sz w:val="18"/>
                <w:szCs w:val="18"/>
              </w:rPr>
              <w:t>Some people who use water containing chromium well in excess of the MCL over many years could experience allergic dermatitis.</w:t>
            </w:r>
          </w:p>
        </w:tc>
      </w:tr>
      <w:tr w:rsidR="00F80A4F" w14:paraId="64722A2A"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6D3DC99" w14:textId="25038FBD" w:rsidR="00F80A4F" w:rsidRPr="00E6483D" w:rsidRDefault="00F80A4F"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Copper</w:t>
            </w:r>
          </w:p>
        </w:tc>
        <w:tc>
          <w:tcPr>
            <w:tcW w:w="1060" w:type="dxa"/>
            <w:tcBorders>
              <w:top w:val="single" w:sz="8" w:space="0" w:color="auto"/>
              <w:left w:val="single" w:sz="8" w:space="0" w:color="auto"/>
              <w:bottom w:val="single" w:sz="8" w:space="0" w:color="auto"/>
              <w:right w:val="single" w:sz="8" w:space="0" w:color="auto"/>
            </w:tcBorders>
            <w:vAlign w:val="center"/>
          </w:tcPr>
          <w:p w14:paraId="08C28319" w14:textId="7174C053" w:rsidR="00F80A4F" w:rsidRDefault="00F80A4F" w:rsidP="00F80A4F">
            <w:pPr>
              <w:jc w:val="center"/>
              <w:rPr>
                <w:rFonts w:eastAsia="Times New Roman"/>
                <w:sz w:val="18"/>
                <w:szCs w:val="18"/>
              </w:rPr>
            </w:pPr>
            <w:r>
              <w:rPr>
                <w:rFonts w:eastAsia="Times New Roman"/>
                <w:sz w:val="18"/>
                <w:szCs w:val="18"/>
              </w:rPr>
              <w:t>AL=1.3 mg/l</w:t>
            </w:r>
          </w:p>
        </w:tc>
        <w:tc>
          <w:tcPr>
            <w:tcW w:w="1360" w:type="dxa"/>
            <w:tcBorders>
              <w:top w:val="single" w:sz="8" w:space="0" w:color="auto"/>
              <w:bottom w:val="single" w:sz="8" w:space="0" w:color="auto"/>
              <w:right w:val="single" w:sz="8" w:space="0" w:color="auto"/>
            </w:tcBorders>
            <w:vAlign w:val="center"/>
          </w:tcPr>
          <w:p w14:paraId="292BFB53" w14:textId="270330F5" w:rsidR="00F80A4F" w:rsidRDefault="00F80A4F" w:rsidP="00F80A4F">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17555D32" w14:textId="62D581D5" w:rsidR="00F80A4F" w:rsidRDefault="00F80A4F" w:rsidP="00F80A4F">
            <w:pPr>
              <w:jc w:val="center"/>
              <w:rPr>
                <w:rFonts w:eastAsia="Times New Roman"/>
                <w:sz w:val="18"/>
                <w:szCs w:val="18"/>
              </w:rPr>
            </w:pPr>
            <w:r>
              <w:rPr>
                <w:rFonts w:eastAsia="Times New Roman"/>
                <w:sz w:val="18"/>
                <w:szCs w:val="18"/>
              </w:rPr>
              <w:t>AL=1.3 ppm</w:t>
            </w:r>
          </w:p>
        </w:tc>
        <w:tc>
          <w:tcPr>
            <w:tcW w:w="980" w:type="dxa"/>
            <w:tcBorders>
              <w:top w:val="single" w:sz="8" w:space="0" w:color="auto"/>
              <w:bottom w:val="single" w:sz="8" w:space="0" w:color="auto"/>
              <w:right w:val="single" w:sz="8" w:space="0" w:color="auto"/>
            </w:tcBorders>
            <w:vAlign w:val="center"/>
          </w:tcPr>
          <w:p w14:paraId="40E509ED" w14:textId="4EE329C0" w:rsidR="00F80A4F" w:rsidRDefault="00F80A4F" w:rsidP="00F80A4F">
            <w:pPr>
              <w:jc w:val="center"/>
              <w:rPr>
                <w:rFonts w:eastAsia="Times New Roman"/>
                <w:sz w:val="18"/>
                <w:szCs w:val="18"/>
              </w:rPr>
            </w:pPr>
            <w:r>
              <w:rPr>
                <w:rFonts w:eastAsia="Times New Roman"/>
                <w:sz w:val="18"/>
                <w:szCs w:val="18"/>
              </w:rPr>
              <w:t>1.3 ppm</w:t>
            </w:r>
          </w:p>
        </w:tc>
        <w:tc>
          <w:tcPr>
            <w:tcW w:w="1860" w:type="dxa"/>
            <w:tcBorders>
              <w:top w:val="single" w:sz="8" w:space="0" w:color="auto"/>
              <w:bottom w:val="single" w:sz="8" w:space="0" w:color="auto"/>
              <w:right w:val="single" w:sz="8" w:space="0" w:color="auto"/>
            </w:tcBorders>
          </w:tcPr>
          <w:p w14:paraId="2DBA9CDE" w14:textId="04C34625" w:rsidR="00F80A4F" w:rsidRDefault="00F80A4F" w:rsidP="00F80A4F">
            <w:pPr>
              <w:spacing w:line="360" w:lineRule="auto"/>
              <w:ind w:left="144"/>
              <w:rPr>
                <w:rFonts w:eastAsia="Times New Roman"/>
                <w:sz w:val="18"/>
                <w:szCs w:val="18"/>
              </w:rPr>
            </w:pPr>
            <w:r>
              <w:rPr>
                <w:rFonts w:eastAsia="Times New Roman"/>
                <w:sz w:val="18"/>
                <w:szCs w:val="18"/>
              </w:rPr>
              <w:t>Corrosion of household plumbing systems; erosion of natural deposits; leaching from wood preservatives</w:t>
            </w:r>
          </w:p>
        </w:tc>
        <w:tc>
          <w:tcPr>
            <w:tcW w:w="2440" w:type="dxa"/>
            <w:tcBorders>
              <w:top w:val="single" w:sz="8" w:space="0" w:color="auto"/>
              <w:bottom w:val="single" w:sz="8" w:space="0" w:color="auto"/>
              <w:right w:val="single" w:sz="8" w:space="0" w:color="auto"/>
            </w:tcBorders>
          </w:tcPr>
          <w:p w14:paraId="6B20CD55" w14:textId="4471883A" w:rsidR="00F80A4F" w:rsidRPr="0090533B" w:rsidRDefault="00F80A4F" w:rsidP="00F80A4F">
            <w:pPr>
              <w:spacing w:line="360" w:lineRule="auto"/>
              <w:ind w:left="144"/>
              <w:rPr>
                <w:sz w:val="20"/>
                <w:szCs w:val="20"/>
              </w:rPr>
            </w:pPr>
            <w:r>
              <w:rPr>
                <w:rFonts w:eastAsia="Times New Roman"/>
                <w:sz w:val="18"/>
                <w:szCs w:val="18"/>
              </w:rPr>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w:t>
            </w:r>
            <w:r w:rsidDel="007B206E">
              <w:rPr>
                <w:rFonts w:eastAsia="Times New Roman"/>
                <w:sz w:val="18"/>
                <w:szCs w:val="18"/>
              </w:rPr>
              <w:t xml:space="preserve"> </w:t>
            </w:r>
            <w:r>
              <w:rPr>
                <w:rFonts w:eastAsia="Times New Roman"/>
                <w:sz w:val="18"/>
                <w:szCs w:val="18"/>
              </w:rPr>
              <w:t>Wilson's Disease should consult their personal doctor.</w:t>
            </w:r>
          </w:p>
        </w:tc>
      </w:tr>
      <w:tr w:rsidR="00F80A4F" w14:paraId="2E1AC5C7"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AC889DE" w14:textId="2655D638" w:rsidR="00F80A4F" w:rsidRDefault="00F80A4F"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Cyanide</w:t>
            </w:r>
          </w:p>
        </w:tc>
        <w:tc>
          <w:tcPr>
            <w:tcW w:w="1060" w:type="dxa"/>
            <w:tcBorders>
              <w:top w:val="single" w:sz="8" w:space="0" w:color="auto"/>
              <w:left w:val="single" w:sz="8" w:space="0" w:color="auto"/>
              <w:bottom w:val="single" w:sz="8" w:space="0" w:color="auto"/>
              <w:right w:val="single" w:sz="8" w:space="0" w:color="auto"/>
            </w:tcBorders>
            <w:vAlign w:val="center"/>
          </w:tcPr>
          <w:p w14:paraId="4A5DBFBF" w14:textId="3712FCD0" w:rsidR="00F80A4F" w:rsidRDefault="00F80A4F" w:rsidP="00F80A4F">
            <w:pPr>
              <w:jc w:val="center"/>
              <w:rPr>
                <w:rFonts w:eastAsia="Times New Roman"/>
                <w:sz w:val="18"/>
                <w:szCs w:val="18"/>
              </w:rPr>
            </w:pPr>
            <w:r>
              <w:rPr>
                <w:rFonts w:eastAsia="Times New Roman"/>
                <w:sz w:val="18"/>
                <w:szCs w:val="18"/>
              </w:rPr>
              <w:t>0.2 mg/l</w:t>
            </w:r>
          </w:p>
        </w:tc>
        <w:tc>
          <w:tcPr>
            <w:tcW w:w="1360" w:type="dxa"/>
            <w:tcBorders>
              <w:top w:val="single" w:sz="8" w:space="0" w:color="auto"/>
              <w:bottom w:val="single" w:sz="8" w:space="0" w:color="auto"/>
              <w:right w:val="single" w:sz="8" w:space="0" w:color="auto"/>
            </w:tcBorders>
            <w:vAlign w:val="center"/>
          </w:tcPr>
          <w:p w14:paraId="0991E1C6" w14:textId="6C996F12" w:rsidR="00F80A4F" w:rsidRDefault="00F80A4F" w:rsidP="00F80A4F">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C8F252C" w14:textId="1CC31D05" w:rsidR="00F80A4F" w:rsidRDefault="00F80A4F" w:rsidP="00F80A4F">
            <w:pPr>
              <w:jc w:val="center"/>
              <w:rPr>
                <w:rFonts w:eastAsia="Times New Roman"/>
                <w:sz w:val="18"/>
                <w:szCs w:val="18"/>
              </w:rPr>
            </w:pPr>
            <w:r>
              <w:rPr>
                <w:rFonts w:eastAsia="Times New Roman"/>
                <w:sz w:val="18"/>
                <w:szCs w:val="18"/>
              </w:rPr>
              <w:t>200 ppb</w:t>
            </w:r>
          </w:p>
        </w:tc>
        <w:tc>
          <w:tcPr>
            <w:tcW w:w="980" w:type="dxa"/>
            <w:tcBorders>
              <w:top w:val="single" w:sz="8" w:space="0" w:color="auto"/>
              <w:bottom w:val="single" w:sz="8" w:space="0" w:color="auto"/>
              <w:right w:val="single" w:sz="8" w:space="0" w:color="auto"/>
            </w:tcBorders>
            <w:vAlign w:val="center"/>
          </w:tcPr>
          <w:p w14:paraId="5A91E452" w14:textId="006E185F" w:rsidR="00F80A4F" w:rsidRDefault="00F80A4F" w:rsidP="00F80A4F">
            <w:pPr>
              <w:jc w:val="center"/>
              <w:rPr>
                <w:rFonts w:eastAsia="Times New Roman"/>
                <w:sz w:val="18"/>
                <w:szCs w:val="18"/>
              </w:rPr>
            </w:pPr>
            <w:r>
              <w:rPr>
                <w:rFonts w:eastAsia="Times New Roman"/>
                <w:sz w:val="18"/>
                <w:szCs w:val="18"/>
              </w:rPr>
              <w:t>200 ppb</w:t>
            </w:r>
          </w:p>
        </w:tc>
        <w:tc>
          <w:tcPr>
            <w:tcW w:w="1860" w:type="dxa"/>
            <w:tcBorders>
              <w:top w:val="single" w:sz="8" w:space="0" w:color="auto"/>
              <w:bottom w:val="single" w:sz="8" w:space="0" w:color="auto"/>
              <w:right w:val="single" w:sz="8" w:space="0" w:color="auto"/>
            </w:tcBorders>
          </w:tcPr>
          <w:p w14:paraId="29F107BD" w14:textId="583E0F0B" w:rsidR="00F80A4F" w:rsidRDefault="00F80A4F" w:rsidP="00F80A4F">
            <w:pPr>
              <w:spacing w:line="360" w:lineRule="auto"/>
              <w:ind w:left="144"/>
              <w:rPr>
                <w:rFonts w:eastAsia="Times New Roman"/>
                <w:sz w:val="18"/>
                <w:szCs w:val="18"/>
              </w:rPr>
            </w:pPr>
            <w:r>
              <w:rPr>
                <w:rFonts w:eastAsia="Times New Roman"/>
                <w:sz w:val="18"/>
                <w:szCs w:val="18"/>
              </w:rPr>
              <w:t>Discharge from metal factories; discharge from plastic and fertilizer factories</w:t>
            </w:r>
          </w:p>
        </w:tc>
        <w:tc>
          <w:tcPr>
            <w:tcW w:w="2440" w:type="dxa"/>
            <w:tcBorders>
              <w:top w:val="single" w:sz="8" w:space="0" w:color="auto"/>
              <w:bottom w:val="single" w:sz="8" w:space="0" w:color="auto"/>
              <w:right w:val="single" w:sz="8" w:space="0" w:color="auto"/>
            </w:tcBorders>
          </w:tcPr>
          <w:p w14:paraId="1EC2B15B" w14:textId="2FAB5DA7" w:rsidR="00F80A4F" w:rsidRPr="0090533B" w:rsidRDefault="00F80A4F" w:rsidP="00F80A4F">
            <w:pPr>
              <w:spacing w:line="360" w:lineRule="auto"/>
              <w:ind w:left="144"/>
              <w:rPr>
                <w:sz w:val="20"/>
                <w:szCs w:val="20"/>
              </w:rPr>
            </w:pPr>
            <w:r>
              <w:rPr>
                <w:rFonts w:eastAsia="Times New Roman"/>
                <w:sz w:val="18"/>
                <w:szCs w:val="18"/>
              </w:rPr>
              <w:t>Some people who drink water containing cyanide well in excess of the MCL over many years could experience nerve damage or problems with their thyroid.</w:t>
            </w:r>
          </w:p>
        </w:tc>
      </w:tr>
      <w:tr w:rsidR="00F80A4F" w14:paraId="563E6F31" w14:textId="77777777" w:rsidTr="00F80A4F">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4223557" w14:textId="5E86CF25" w:rsidR="00F80A4F" w:rsidRDefault="00F80A4F" w:rsidP="00563A54">
            <w:pPr>
              <w:pStyle w:val="ListParagraph"/>
              <w:numPr>
                <w:ilvl w:val="0"/>
                <w:numId w:val="939"/>
              </w:numPr>
              <w:tabs>
                <w:tab w:val="left" w:pos="330"/>
              </w:tabs>
              <w:ind w:right="40"/>
              <w:rPr>
                <w:rFonts w:eastAsia="Times New Roman"/>
                <w:sz w:val="18"/>
                <w:szCs w:val="18"/>
              </w:rPr>
            </w:pPr>
            <w:r w:rsidRPr="003B4234">
              <w:rPr>
                <w:rFonts w:eastAsia="Times New Roman"/>
                <w:color w:val="000000" w:themeColor="text1"/>
                <w:sz w:val="18"/>
                <w:szCs w:val="18"/>
              </w:rPr>
              <w:t>Fluoride</w:t>
            </w:r>
            <w:r w:rsidRPr="003B4234">
              <w:rPr>
                <w:rFonts w:eastAsia="Times New Roman"/>
                <w:color w:val="000000" w:themeColor="text1"/>
                <w:sz w:val="18"/>
                <w:szCs w:val="18"/>
                <w:vertAlign w:val="superscript"/>
              </w:rPr>
              <w:t>3</w:t>
            </w:r>
          </w:p>
        </w:tc>
        <w:tc>
          <w:tcPr>
            <w:tcW w:w="1060" w:type="dxa"/>
            <w:tcBorders>
              <w:top w:val="single" w:sz="8" w:space="0" w:color="auto"/>
              <w:left w:val="single" w:sz="8" w:space="0" w:color="auto"/>
              <w:bottom w:val="single" w:sz="8" w:space="0" w:color="auto"/>
              <w:right w:val="single" w:sz="8" w:space="0" w:color="auto"/>
            </w:tcBorders>
            <w:vAlign w:val="center"/>
          </w:tcPr>
          <w:p w14:paraId="3F652079" w14:textId="0A0D856D" w:rsidR="00F80A4F" w:rsidRDefault="00F80A4F" w:rsidP="00F80A4F">
            <w:pPr>
              <w:jc w:val="center"/>
              <w:rPr>
                <w:rFonts w:eastAsia="Times New Roman"/>
                <w:sz w:val="18"/>
                <w:szCs w:val="18"/>
              </w:rPr>
            </w:pPr>
            <w:r>
              <w:rPr>
                <w:rFonts w:eastAsia="Times New Roman"/>
                <w:sz w:val="18"/>
                <w:szCs w:val="18"/>
              </w:rPr>
              <w:t>4 mg/l</w:t>
            </w:r>
          </w:p>
        </w:tc>
        <w:tc>
          <w:tcPr>
            <w:tcW w:w="1360" w:type="dxa"/>
            <w:tcBorders>
              <w:top w:val="single" w:sz="8" w:space="0" w:color="auto"/>
              <w:bottom w:val="single" w:sz="8" w:space="0" w:color="auto"/>
              <w:right w:val="single" w:sz="8" w:space="0" w:color="auto"/>
            </w:tcBorders>
            <w:vAlign w:val="center"/>
          </w:tcPr>
          <w:p w14:paraId="259BA1F1" w14:textId="43C46FF4" w:rsidR="00F80A4F" w:rsidRDefault="00F80A4F" w:rsidP="00F80A4F">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5EA0682D" w14:textId="24A29851" w:rsidR="00F80A4F" w:rsidRDefault="00F80A4F" w:rsidP="00F80A4F">
            <w:pPr>
              <w:jc w:val="center"/>
              <w:rPr>
                <w:rFonts w:eastAsia="Times New Roman"/>
                <w:sz w:val="18"/>
                <w:szCs w:val="18"/>
              </w:rPr>
            </w:pPr>
            <w:r>
              <w:rPr>
                <w:rFonts w:eastAsia="Times New Roman"/>
                <w:sz w:val="18"/>
                <w:szCs w:val="18"/>
              </w:rPr>
              <w:t>4 ppm</w:t>
            </w:r>
          </w:p>
        </w:tc>
        <w:tc>
          <w:tcPr>
            <w:tcW w:w="980" w:type="dxa"/>
            <w:tcBorders>
              <w:top w:val="single" w:sz="8" w:space="0" w:color="auto"/>
              <w:bottom w:val="single" w:sz="8" w:space="0" w:color="auto"/>
              <w:right w:val="single" w:sz="8" w:space="0" w:color="auto"/>
            </w:tcBorders>
            <w:vAlign w:val="center"/>
          </w:tcPr>
          <w:p w14:paraId="4AC96714" w14:textId="04A27381" w:rsidR="00F80A4F" w:rsidRDefault="00F80A4F" w:rsidP="00F80A4F">
            <w:pPr>
              <w:jc w:val="center"/>
              <w:rPr>
                <w:rFonts w:eastAsia="Times New Roman"/>
                <w:sz w:val="18"/>
                <w:szCs w:val="18"/>
              </w:rPr>
            </w:pPr>
            <w:r>
              <w:rPr>
                <w:rFonts w:eastAsia="Times New Roman"/>
                <w:sz w:val="18"/>
                <w:szCs w:val="18"/>
              </w:rPr>
              <w:t>4 ppm</w:t>
            </w:r>
          </w:p>
        </w:tc>
        <w:tc>
          <w:tcPr>
            <w:tcW w:w="1860" w:type="dxa"/>
            <w:tcBorders>
              <w:top w:val="single" w:sz="8" w:space="0" w:color="auto"/>
              <w:bottom w:val="single" w:sz="8" w:space="0" w:color="auto"/>
              <w:right w:val="single" w:sz="8" w:space="0" w:color="auto"/>
            </w:tcBorders>
          </w:tcPr>
          <w:p w14:paraId="2B845737" w14:textId="3D165A21" w:rsidR="00F80A4F" w:rsidRDefault="00F80A4F" w:rsidP="00F80A4F">
            <w:pPr>
              <w:spacing w:line="360" w:lineRule="auto"/>
              <w:ind w:left="144"/>
              <w:rPr>
                <w:rFonts w:eastAsia="Times New Roman"/>
                <w:sz w:val="18"/>
                <w:szCs w:val="18"/>
              </w:rPr>
            </w:pPr>
            <w:r>
              <w:rPr>
                <w:rFonts w:eastAsia="Times New Roman"/>
                <w:sz w:val="18"/>
                <w:szCs w:val="18"/>
              </w:rPr>
              <w:t>Erosion of natural deposits; water additive which promotes strong teeth; discharge from fertilizer and aluminum factories</w:t>
            </w:r>
          </w:p>
        </w:tc>
        <w:tc>
          <w:tcPr>
            <w:tcW w:w="2440" w:type="dxa"/>
            <w:tcBorders>
              <w:top w:val="single" w:sz="8" w:space="0" w:color="auto"/>
              <w:bottom w:val="single" w:sz="8" w:space="0" w:color="auto"/>
              <w:right w:val="single" w:sz="8" w:space="0" w:color="auto"/>
            </w:tcBorders>
          </w:tcPr>
          <w:p w14:paraId="0F129081" w14:textId="113D6DCA" w:rsidR="00F80A4F" w:rsidRDefault="00F80A4F" w:rsidP="00F80A4F">
            <w:pPr>
              <w:spacing w:line="360" w:lineRule="auto"/>
              <w:ind w:left="144"/>
              <w:rPr>
                <w:rFonts w:eastAsia="Times New Roman"/>
                <w:sz w:val="18"/>
                <w:szCs w:val="18"/>
              </w:rPr>
            </w:pPr>
            <w:r>
              <w:rPr>
                <w:rFonts w:eastAsia="Times New Roman"/>
                <w:sz w:val="18"/>
                <w:szCs w:val="18"/>
              </w:rPr>
              <w:t>Some people who drink water containing fluoride in excess of the MCL over many years could get bone disease, including pain and tenderness of the bones. Children may get mottled teeth.</w:t>
            </w:r>
          </w:p>
        </w:tc>
      </w:tr>
    </w:tbl>
    <w:p w14:paraId="281A2D09" w14:textId="77777777" w:rsidR="004647B9" w:rsidRDefault="004647B9" w:rsidP="00F80A4F">
      <w:pPr>
        <w:sectPr w:rsidR="004647B9" w:rsidSect="00EF630C">
          <w:pgSz w:w="12240" w:h="20180"/>
          <w:pgMar w:top="708" w:right="940" w:bottom="1440" w:left="600" w:header="0" w:footer="0" w:gutter="0"/>
          <w:cols w:space="720"/>
        </w:sectPr>
      </w:pPr>
    </w:p>
    <w:p w14:paraId="281A2E90" w14:textId="77777777" w:rsidR="004647B9" w:rsidRDefault="00E2436F">
      <w:pPr>
        <w:tabs>
          <w:tab w:val="left" w:pos="2860"/>
        </w:tabs>
        <w:ind w:left="1680"/>
        <w:rPr>
          <w:sz w:val="20"/>
          <w:szCs w:val="20"/>
        </w:rPr>
      </w:pPr>
      <w:bookmarkStart w:id="225" w:name="page227"/>
      <w:bookmarkEnd w:id="22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2E91" w14:textId="77777777" w:rsidR="004647B9" w:rsidRDefault="004647B9" w:rsidP="00E023ED">
      <w:pPr>
        <w:rPr>
          <w:sz w:val="20"/>
          <w:szCs w:val="20"/>
        </w:rPr>
      </w:pPr>
    </w:p>
    <w:p w14:paraId="1839A5CD" w14:textId="77777777" w:rsidR="00E023ED" w:rsidRDefault="00E023ED" w:rsidP="00E023ED">
      <w:pPr>
        <w:rPr>
          <w:sz w:val="20"/>
          <w:szCs w:val="20"/>
        </w:rPr>
      </w:pPr>
    </w:p>
    <w:p w14:paraId="281A2E92"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2E93"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434003" w14:paraId="36533D9C"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6761E540" w14:textId="77777777" w:rsidR="00434003" w:rsidRDefault="00434003"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31A4B9EB" w14:textId="77777777" w:rsidR="00434003" w:rsidRDefault="00434003"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177D34E8" w14:textId="77777777" w:rsidR="00434003" w:rsidRDefault="00434003"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3963552A" w14:textId="77777777" w:rsidR="00434003" w:rsidRDefault="00434003"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32C6FE88" w14:textId="77777777" w:rsidR="00434003" w:rsidRDefault="00434003"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171F6BD2" w14:textId="77777777" w:rsidR="00434003" w:rsidRDefault="00434003"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2B78048C" w14:textId="77777777" w:rsidR="00434003" w:rsidRDefault="00434003" w:rsidP="00DF6443">
            <w:pPr>
              <w:jc w:val="center"/>
              <w:rPr>
                <w:sz w:val="20"/>
                <w:szCs w:val="20"/>
              </w:rPr>
            </w:pPr>
            <w:r>
              <w:rPr>
                <w:rFonts w:eastAsia="Times New Roman"/>
                <w:sz w:val="18"/>
                <w:szCs w:val="18"/>
              </w:rPr>
              <w:t>Health Effects Language</w:t>
            </w:r>
          </w:p>
        </w:tc>
      </w:tr>
      <w:tr w:rsidR="00434003" w14:paraId="3B48AAEC" w14:textId="77777777" w:rsidTr="0043400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326F5FD7" w14:textId="772EAA55" w:rsidR="00434003" w:rsidRDefault="00434003"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Lead</w:t>
            </w:r>
          </w:p>
        </w:tc>
        <w:tc>
          <w:tcPr>
            <w:tcW w:w="1060" w:type="dxa"/>
            <w:tcBorders>
              <w:top w:val="single" w:sz="8" w:space="0" w:color="auto"/>
              <w:left w:val="single" w:sz="8" w:space="0" w:color="auto"/>
              <w:bottom w:val="single" w:sz="8" w:space="0" w:color="auto"/>
              <w:right w:val="single" w:sz="8" w:space="0" w:color="auto"/>
            </w:tcBorders>
            <w:vAlign w:val="center"/>
          </w:tcPr>
          <w:p w14:paraId="75BC9098" w14:textId="6B9EBE96" w:rsidR="00434003" w:rsidRDefault="00434003" w:rsidP="00434003">
            <w:pPr>
              <w:jc w:val="center"/>
              <w:rPr>
                <w:rFonts w:eastAsia="Times New Roman"/>
                <w:sz w:val="18"/>
                <w:szCs w:val="18"/>
              </w:rPr>
            </w:pPr>
            <w:r>
              <w:rPr>
                <w:rFonts w:eastAsia="Times New Roman"/>
                <w:sz w:val="18"/>
                <w:szCs w:val="18"/>
              </w:rPr>
              <w:t>AL = 0.015 mg/l</w:t>
            </w:r>
          </w:p>
        </w:tc>
        <w:tc>
          <w:tcPr>
            <w:tcW w:w="1360" w:type="dxa"/>
            <w:tcBorders>
              <w:top w:val="single" w:sz="8" w:space="0" w:color="auto"/>
              <w:bottom w:val="single" w:sz="8" w:space="0" w:color="auto"/>
              <w:right w:val="single" w:sz="8" w:space="0" w:color="auto"/>
            </w:tcBorders>
            <w:vAlign w:val="center"/>
          </w:tcPr>
          <w:p w14:paraId="5E042116" w14:textId="72BB0EFB" w:rsidR="00434003" w:rsidRDefault="00434003" w:rsidP="00434003">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5F762B39" w14:textId="74E4A4DC" w:rsidR="00434003" w:rsidRDefault="00434003" w:rsidP="00434003">
            <w:pPr>
              <w:jc w:val="center"/>
              <w:rPr>
                <w:rFonts w:eastAsia="Times New Roman"/>
                <w:sz w:val="18"/>
                <w:szCs w:val="18"/>
              </w:rPr>
            </w:pPr>
            <w:r>
              <w:rPr>
                <w:rFonts w:eastAsia="Times New Roman"/>
                <w:sz w:val="18"/>
                <w:szCs w:val="18"/>
              </w:rPr>
              <w:t>AL = 15 ppb</w:t>
            </w:r>
          </w:p>
        </w:tc>
        <w:tc>
          <w:tcPr>
            <w:tcW w:w="980" w:type="dxa"/>
            <w:tcBorders>
              <w:top w:val="single" w:sz="8" w:space="0" w:color="auto"/>
              <w:bottom w:val="single" w:sz="8" w:space="0" w:color="auto"/>
              <w:right w:val="single" w:sz="8" w:space="0" w:color="auto"/>
            </w:tcBorders>
            <w:vAlign w:val="center"/>
          </w:tcPr>
          <w:p w14:paraId="53650891" w14:textId="0295822A" w:rsidR="00434003" w:rsidRDefault="00434003" w:rsidP="00434003">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66067ADD" w14:textId="28A4D6D2" w:rsidR="00434003" w:rsidRDefault="00434003" w:rsidP="00434003">
            <w:pPr>
              <w:spacing w:line="360" w:lineRule="auto"/>
              <w:ind w:left="144"/>
              <w:rPr>
                <w:rFonts w:eastAsia="Times New Roman"/>
                <w:sz w:val="18"/>
                <w:szCs w:val="18"/>
              </w:rPr>
            </w:pPr>
            <w:r>
              <w:rPr>
                <w:rFonts w:eastAsia="Times New Roman"/>
                <w:sz w:val="18"/>
                <w:szCs w:val="18"/>
              </w:rPr>
              <w:t>Corrosion of household plumbing systems; erosion of natural deposits</w:t>
            </w:r>
          </w:p>
        </w:tc>
        <w:tc>
          <w:tcPr>
            <w:tcW w:w="2440" w:type="dxa"/>
            <w:tcBorders>
              <w:top w:val="single" w:sz="8" w:space="0" w:color="auto"/>
              <w:bottom w:val="single" w:sz="8" w:space="0" w:color="auto"/>
              <w:right w:val="single" w:sz="8" w:space="0" w:color="auto"/>
            </w:tcBorders>
          </w:tcPr>
          <w:p w14:paraId="21A46879" w14:textId="7E4929D0" w:rsidR="00434003" w:rsidRPr="00E6483D" w:rsidRDefault="00434003" w:rsidP="00434003">
            <w:pPr>
              <w:spacing w:line="360" w:lineRule="auto"/>
              <w:ind w:left="144"/>
              <w:rPr>
                <w:sz w:val="20"/>
                <w:szCs w:val="20"/>
              </w:rPr>
            </w:pPr>
            <w:r>
              <w:rPr>
                <w:rFonts w:eastAsia="Times New Roman"/>
                <w:sz w:val="18"/>
                <w:szCs w:val="18"/>
              </w:rPr>
              <w:t>Infants and children who drink water containing lead in excess of the action level could experience delays in their physical or mental development.  Children could show slight deficits in attention span and learning abilities.  Adults who drink this water over many years could develop kidney problems or high blood pressure.</w:t>
            </w:r>
          </w:p>
        </w:tc>
      </w:tr>
      <w:tr w:rsidR="0093735A" w14:paraId="504B422E" w14:textId="77777777" w:rsidTr="0093735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6DD1E5B7" w14:textId="6A0921D3" w:rsidR="0093735A" w:rsidRPr="00E6483D" w:rsidRDefault="0093735A"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Mercury [inorganic]</w:t>
            </w:r>
          </w:p>
        </w:tc>
        <w:tc>
          <w:tcPr>
            <w:tcW w:w="1060" w:type="dxa"/>
            <w:tcBorders>
              <w:top w:val="single" w:sz="8" w:space="0" w:color="auto"/>
              <w:left w:val="single" w:sz="8" w:space="0" w:color="auto"/>
              <w:bottom w:val="single" w:sz="8" w:space="0" w:color="auto"/>
              <w:right w:val="single" w:sz="8" w:space="0" w:color="auto"/>
            </w:tcBorders>
            <w:vAlign w:val="center"/>
          </w:tcPr>
          <w:p w14:paraId="28669059" w14:textId="1CE628E8" w:rsidR="0093735A" w:rsidRDefault="0093735A" w:rsidP="0093735A">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01BC6B58" w14:textId="40BFA62C" w:rsidR="0093735A" w:rsidRDefault="0093735A" w:rsidP="0093735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46ECD9C" w14:textId="40ABB173" w:rsidR="0093735A" w:rsidRDefault="0093735A" w:rsidP="0093735A">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19D2ADD2" w14:textId="0C4808C8" w:rsidR="0093735A" w:rsidRDefault="0093735A" w:rsidP="0093735A">
            <w:pPr>
              <w:jc w:val="center"/>
              <w:rPr>
                <w:rFonts w:eastAsia="Times New Roman"/>
                <w:sz w:val="18"/>
                <w:szCs w:val="18"/>
              </w:rPr>
            </w:pPr>
            <w:r>
              <w:rPr>
                <w:rFonts w:eastAsia="Times New Roman"/>
                <w:sz w:val="18"/>
                <w:szCs w:val="18"/>
              </w:rPr>
              <w:t>2 ppb</w:t>
            </w:r>
          </w:p>
        </w:tc>
        <w:tc>
          <w:tcPr>
            <w:tcW w:w="1860" w:type="dxa"/>
            <w:tcBorders>
              <w:top w:val="single" w:sz="8" w:space="0" w:color="auto"/>
              <w:bottom w:val="single" w:sz="8" w:space="0" w:color="auto"/>
              <w:right w:val="single" w:sz="8" w:space="0" w:color="auto"/>
            </w:tcBorders>
          </w:tcPr>
          <w:p w14:paraId="42631B18" w14:textId="3B341BE7" w:rsidR="0093735A" w:rsidRDefault="0093735A" w:rsidP="00DD1551">
            <w:pPr>
              <w:spacing w:line="360" w:lineRule="auto"/>
              <w:ind w:left="144"/>
              <w:rPr>
                <w:rFonts w:eastAsia="Times New Roman"/>
                <w:sz w:val="18"/>
                <w:szCs w:val="18"/>
              </w:rPr>
            </w:pPr>
            <w:r>
              <w:rPr>
                <w:rFonts w:eastAsia="Times New Roman"/>
                <w:sz w:val="18"/>
                <w:szCs w:val="18"/>
              </w:rPr>
              <w:t>Erosion of natural</w:t>
            </w:r>
            <w:r w:rsidR="00DD1551">
              <w:rPr>
                <w:rFonts w:eastAsia="Times New Roman"/>
                <w:sz w:val="18"/>
                <w:szCs w:val="18"/>
              </w:rPr>
              <w:t xml:space="preserve"> </w:t>
            </w:r>
            <w:r>
              <w:rPr>
                <w:rFonts w:eastAsia="Times New Roman"/>
                <w:sz w:val="18"/>
                <w:szCs w:val="18"/>
              </w:rPr>
              <w:t>deposits; discharge</w:t>
            </w:r>
            <w:r w:rsidR="00DD1551">
              <w:rPr>
                <w:rFonts w:eastAsia="Times New Roman"/>
                <w:sz w:val="18"/>
                <w:szCs w:val="18"/>
              </w:rPr>
              <w:t xml:space="preserve"> </w:t>
            </w:r>
            <w:r>
              <w:rPr>
                <w:rFonts w:eastAsia="Times New Roman"/>
                <w:sz w:val="18"/>
                <w:szCs w:val="18"/>
              </w:rPr>
              <w:t>from refineries and</w:t>
            </w:r>
            <w:r w:rsidR="00DD1551">
              <w:rPr>
                <w:rFonts w:eastAsia="Times New Roman"/>
                <w:sz w:val="18"/>
                <w:szCs w:val="18"/>
              </w:rPr>
              <w:t xml:space="preserve"> </w:t>
            </w:r>
            <w:r>
              <w:rPr>
                <w:rFonts w:eastAsia="Times New Roman"/>
                <w:sz w:val="18"/>
                <w:szCs w:val="18"/>
              </w:rPr>
              <w:t>factories; runoff from</w:t>
            </w:r>
            <w:r w:rsidR="00DD1551">
              <w:rPr>
                <w:rFonts w:eastAsia="Times New Roman"/>
                <w:sz w:val="18"/>
                <w:szCs w:val="18"/>
              </w:rPr>
              <w:t xml:space="preserve"> </w:t>
            </w:r>
            <w:r>
              <w:rPr>
                <w:rFonts w:eastAsia="Times New Roman"/>
                <w:sz w:val="18"/>
                <w:szCs w:val="18"/>
              </w:rPr>
              <w:t>landfills; runoff from</w:t>
            </w:r>
            <w:r w:rsidR="00DD1551">
              <w:rPr>
                <w:rFonts w:eastAsia="Times New Roman"/>
                <w:sz w:val="18"/>
                <w:szCs w:val="18"/>
              </w:rPr>
              <w:t xml:space="preserve"> </w:t>
            </w:r>
            <w:r>
              <w:rPr>
                <w:rFonts w:eastAsia="Times New Roman"/>
                <w:sz w:val="18"/>
                <w:szCs w:val="18"/>
              </w:rPr>
              <w:t>cropland</w:t>
            </w:r>
          </w:p>
        </w:tc>
        <w:tc>
          <w:tcPr>
            <w:tcW w:w="2440" w:type="dxa"/>
            <w:tcBorders>
              <w:top w:val="single" w:sz="8" w:space="0" w:color="auto"/>
              <w:bottom w:val="single" w:sz="8" w:space="0" w:color="auto"/>
              <w:right w:val="single" w:sz="8" w:space="0" w:color="auto"/>
            </w:tcBorders>
          </w:tcPr>
          <w:p w14:paraId="6F133E55" w14:textId="60FAE4A0" w:rsidR="0093735A" w:rsidRPr="0090533B" w:rsidRDefault="0093735A" w:rsidP="00DD1551">
            <w:pPr>
              <w:spacing w:line="360" w:lineRule="auto"/>
              <w:ind w:left="144"/>
              <w:rPr>
                <w:sz w:val="20"/>
                <w:szCs w:val="20"/>
              </w:rPr>
            </w:pPr>
            <w:r>
              <w:rPr>
                <w:rFonts w:eastAsia="Times New Roman"/>
                <w:sz w:val="18"/>
                <w:szCs w:val="18"/>
              </w:rPr>
              <w:t>Some people who drink</w:t>
            </w:r>
            <w:r w:rsidR="00DD1551">
              <w:rPr>
                <w:rFonts w:eastAsia="Times New Roman"/>
                <w:sz w:val="18"/>
                <w:szCs w:val="18"/>
              </w:rPr>
              <w:t xml:space="preserve"> </w:t>
            </w:r>
            <w:r>
              <w:rPr>
                <w:rFonts w:eastAsia="Times New Roman"/>
                <w:sz w:val="18"/>
                <w:szCs w:val="18"/>
              </w:rPr>
              <w:t>water containing inorganic</w:t>
            </w:r>
            <w:r w:rsidR="00DD1551">
              <w:rPr>
                <w:rFonts w:eastAsia="Times New Roman"/>
                <w:sz w:val="18"/>
                <w:szCs w:val="18"/>
              </w:rPr>
              <w:t xml:space="preserve"> </w:t>
            </w:r>
            <w:r>
              <w:rPr>
                <w:rFonts w:eastAsia="Times New Roman"/>
                <w:sz w:val="18"/>
                <w:szCs w:val="18"/>
              </w:rPr>
              <w:t>mercury well in excess of</w:t>
            </w:r>
            <w:r w:rsidR="00DD1551">
              <w:rPr>
                <w:rFonts w:eastAsia="Times New Roman"/>
                <w:sz w:val="18"/>
                <w:szCs w:val="18"/>
              </w:rPr>
              <w:t xml:space="preserve"> </w:t>
            </w:r>
            <w:r>
              <w:rPr>
                <w:rFonts w:eastAsia="Times New Roman"/>
                <w:sz w:val="18"/>
                <w:szCs w:val="18"/>
              </w:rPr>
              <w:t>the MCL over many years</w:t>
            </w:r>
            <w:r w:rsidR="00DD1551">
              <w:rPr>
                <w:rFonts w:eastAsia="Times New Roman"/>
                <w:sz w:val="18"/>
                <w:szCs w:val="18"/>
              </w:rPr>
              <w:t xml:space="preserve"> </w:t>
            </w:r>
            <w:r>
              <w:rPr>
                <w:rFonts w:eastAsia="Times New Roman"/>
                <w:sz w:val="18"/>
                <w:szCs w:val="18"/>
              </w:rPr>
              <w:t>could experience kidney</w:t>
            </w:r>
            <w:r w:rsidR="00DD1551">
              <w:rPr>
                <w:rFonts w:eastAsia="Times New Roman"/>
                <w:sz w:val="18"/>
                <w:szCs w:val="18"/>
              </w:rPr>
              <w:t xml:space="preserve"> </w:t>
            </w:r>
            <w:r>
              <w:rPr>
                <w:rFonts w:eastAsia="Times New Roman"/>
                <w:sz w:val="18"/>
                <w:szCs w:val="18"/>
              </w:rPr>
              <w:t>damage.</w:t>
            </w:r>
          </w:p>
        </w:tc>
      </w:tr>
      <w:tr w:rsidR="00DD1551" w14:paraId="02C819CC" w14:textId="77777777" w:rsidTr="00DD1551">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7236CFED" w14:textId="677B0153" w:rsidR="00DD1551" w:rsidRDefault="00DD1551"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Nitrate</w:t>
            </w:r>
          </w:p>
        </w:tc>
        <w:tc>
          <w:tcPr>
            <w:tcW w:w="1060" w:type="dxa"/>
            <w:tcBorders>
              <w:top w:val="single" w:sz="8" w:space="0" w:color="auto"/>
              <w:left w:val="single" w:sz="8" w:space="0" w:color="auto"/>
              <w:bottom w:val="single" w:sz="8" w:space="0" w:color="auto"/>
              <w:right w:val="single" w:sz="8" w:space="0" w:color="auto"/>
            </w:tcBorders>
            <w:vAlign w:val="center"/>
          </w:tcPr>
          <w:p w14:paraId="3BD3A28C" w14:textId="15B7DCD5" w:rsidR="00DD1551" w:rsidRDefault="00DD1551" w:rsidP="00DD1551">
            <w:pPr>
              <w:jc w:val="center"/>
              <w:rPr>
                <w:rFonts w:eastAsia="Times New Roman"/>
                <w:sz w:val="18"/>
                <w:szCs w:val="18"/>
              </w:rPr>
            </w:pPr>
            <w:r>
              <w:rPr>
                <w:rFonts w:eastAsia="Times New Roman"/>
                <w:sz w:val="18"/>
                <w:szCs w:val="18"/>
              </w:rPr>
              <w:t>10 mg/l</w:t>
            </w:r>
          </w:p>
        </w:tc>
        <w:tc>
          <w:tcPr>
            <w:tcW w:w="1360" w:type="dxa"/>
            <w:tcBorders>
              <w:top w:val="single" w:sz="8" w:space="0" w:color="auto"/>
              <w:bottom w:val="single" w:sz="8" w:space="0" w:color="auto"/>
              <w:right w:val="single" w:sz="8" w:space="0" w:color="auto"/>
            </w:tcBorders>
            <w:vAlign w:val="center"/>
          </w:tcPr>
          <w:p w14:paraId="410F9A9E" w14:textId="499F927F" w:rsidR="00DD1551" w:rsidRDefault="00DD1551" w:rsidP="00DD1551">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0EAB7D5D" w14:textId="2F47F742" w:rsidR="00DD1551" w:rsidRDefault="00DD1551" w:rsidP="00DD1551">
            <w:pPr>
              <w:jc w:val="center"/>
              <w:rPr>
                <w:rFonts w:eastAsia="Times New Roman"/>
                <w:sz w:val="18"/>
                <w:szCs w:val="18"/>
              </w:rPr>
            </w:pPr>
            <w:r>
              <w:rPr>
                <w:rFonts w:eastAsia="Times New Roman"/>
                <w:sz w:val="18"/>
                <w:szCs w:val="18"/>
              </w:rPr>
              <w:t>10 ppm</w:t>
            </w:r>
          </w:p>
        </w:tc>
        <w:tc>
          <w:tcPr>
            <w:tcW w:w="980" w:type="dxa"/>
            <w:tcBorders>
              <w:top w:val="single" w:sz="8" w:space="0" w:color="auto"/>
              <w:bottom w:val="single" w:sz="8" w:space="0" w:color="auto"/>
              <w:right w:val="single" w:sz="8" w:space="0" w:color="auto"/>
            </w:tcBorders>
            <w:vAlign w:val="center"/>
          </w:tcPr>
          <w:p w14:paraId="63F503B8" w14:textId="1D648DE5" w:rsidR="00DD1551" w:rsidRDefault="00DD1551" w:rsidP="00DD1551">
            <w:pPr>
              <w:jc w:val="center"/>
              <w:rPr>
                <w:rFonts w:eastAsia="Times New Roman"/>
                <w:sz w:val="18"/>
                <w:szCs w:val="18"/>
              </w:rPr>
            </w:pPr>
            <w:r>
              <w:rPr>
                <w:rFonts w:eastAsia="Times New Roman"/>
                <w:sz w:val="18"/>
                <w:szCs w:val="18"/>
              </w:rPr>
              <w:t>10 ppm</w:t>
            </w:r>
          </w:p>
        </w:tc>
        <w:tc>
          <w:tcPr>
            <w:tcW w:w="1860" w:type="dxa"/>
            <w:tcBorders>
              <w:top w:val="single" w:sz="8" w:space="0" w:color="auto"/>
              <w:bottom w:val="single" w:sz="8" w:space="0" w:color="auto"/>
              <w:right w:val="single" w:sz="8" w:space="0" w:color="auto"/>
            </w:tcBorders>
          </w:tcPr>
          <w:p w14:paraId="499C86C1" w14:textId="1A08FC59" w:rsidR="00DD1551" w:rsidRDefault="00DD1551" w:rsidP="00DD1551">
            <w:pPr>
              <w:spacing w:line="360" w:lineRule="auto"/>
              <w:ind w:left="144"/>
              <w:rPr>
                <w:rFonts w:eastAsia="Times New Roman"/>
                <w:sz w:val="18"/>
                <w:szCs w:val="18"/>
              </w:rPr>
            </w:pPr>
            <w:r>
              <w:rPr>
                <w:rFonts w:eastAsia="Times New Roman"/>
                <w:sz w:val="18"/>
                <w:szCs w:val="18"/>
              </w:rPr>
              <w:t>Runoff from fertilizer use; leaching from septic tanks, sewage; erosion of natural deposits</w:t>
            </w:r>
          </w:p>
        </w:tc>
        <w:tc>
          <w:tcPr>
            <w:tcW w:w="2440" w:type="dxa"/>
            <w:tcBorders>
              <w:top w:val="single" w:sz="8" w:space="0" w:color="auto"/>
              <w:bottom w:val="single" w:sz="8" w:space="0" w:color="auto"/>
              <w:right w:val="single" w:sz="8" w:space="0" w:color="auto"/>
            </w:tcBorders>
          </w:tcPr>
          <w:p w14:paraId="14EA7CF2" w14:textId="3C2B7147" w:rsidR="00DD1551" w:rsidRPr="0090533B" w:rsidRDefault="00DD1551" w:rsidP="00DD1551">
            <w:pPr>
              <w:spacing w:line="360" w:lineRule="auto"/>
              <w:ind w:left="144"/>
              <w:rPr>
                <w:sz w:val="20"/>
                <w:szCs w:val="20"/>
              </w:rPr>
            </w:pPr>
            <w:r>
              <w:rPr>
                <w:rFonts w:eastAsia="Times New Roman"/>
                <w:sz w:val="18"/>
                <w:szCs w:val="18"/>
              </w:rPr>
              <w:t>Infants younger than six months old who drink water containing nitrate in excess of the MCL could become seriously ill and, if untreated, may die. Symptoms include shortness of breath and blue baby syndrome.</w:t>
            </w:r>
          </w:p>
        </w:tc>
      </w:tr>
      <w:tr w:rsidR="00DD1551" w14:paraId="1225E729" w14:textId="77777777" w:rsidTr="00DD1551">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1925E55" w14:textId="0ABA64AD" w:rsidR="00DD1551" w:rsidRDefault="00DD1551"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Nitrite</w:t>
            </w:r>
          </w:p>
        </w:tc>
        <w:tc>
          <w:tcPr>
            <w:tcW w:w="1060" w:type="dxa"/>
            <w:tcBorders>
              <w:top w:val="single" w:sz="8" w:space="0" w:color="auto"/>
              <w:left w:val="single" w:sz="8" w:space="0" w:color="auto"/>
              <w:bottom w:val="single" w:sz="8" w:space="0" w:color="auto"/>
              <w:right w:val="single" w:sz="8" w:space="0" w:color="auto"/>
            </w:tcBorders>
            <w:vAlign w:val="center"/>
          </w:tcPr>
          <w:p w14:paraId="7739B7B2" w14:textId="17870299" w:rsidR="00DD1551" w:rsidRDefault="00DD1551" w:rsidP="00DD1551">
            <w:pPr>
              <w:jc w:val="center"/>
              <w:rPr>
                <w:rFonts w:eastAsia="Times New Roman"/>
                <w:sz w:val="18"/>
                <w:szCs w:val="18"/>
              </w:rPr>
            </w:pPr>
            <w:r>
              <w:rPr>
                <w:rFonts w:eastAsia="Times New Roman"/>
                <w:sz w:val="18"/>
                <w:szCs w:val="18"/>
              </w:rPr>
              <w:t>1 mg/l</w:t>
            </w:r>
          </w:p>
        </w:tc>
        <w:tc>
          <w:tcPr>
            <w:tcW w:w="1360" w:type="dxa"/>
            <w:tcBorders>
              <w:top w:val="single" w:sz="8" w:space="0" w:color="auto"/>
              <w:bottom w:val="single" w:sz="8" w:space="0" w:color="auto"/>
              <w:right w:val="single" w:sz="8" w:space="0" w:color="auto"/>
            </w:tcBorders>
            <w:vAlign w:val="center"/>
          </w:tcPr>
          <w:p w14:paraId="7C49302E" w14:textId="317B531E" w:rsidR="00DD1551" w:rsidRDefault="00DD1551" w:rsidP="00DD1551">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1ECA531E" w14:textId="7C4891CE" w:rsidR="00DD1551" w:rsidRDefault="00DD1551" w:rsidP="00DD1551">
            <w:pPr>
              <w:jc w:val="center"/>
              <w:rPr>
                <w:rFonts w:eastAsia="Times New Roman"/>
                <w:sz w:val="18"/>
                <w:szCs w:val="18"/>
              </w:rPr>
            </w:pPr>
            <w:r>
              <w:rPr>
                <w:rFonts w:eastAsia="Times New Roman"/>
                <w:sz w:val="18"/>
                <w:szCs w:val="18"/>
              </w:rPr>
              <w:t>1 ppm</w:t>
            </w:r>
          </w:p>
        </w:tc>
        <w:tc>
          <w:tcPr>
            <w:tcW w:w="980" w:type="dxa"/>
            <w:tcBorders>
              <w:top w:val="single" w:sz="8" w:space="0" w:color="auto"/>
              <w:bottom w:val="single" w:sz="8" w:space="0" w:color="auto"/>
              <w:right w:val="single" w:sz="8" w:space="0" w:color="auto"/>
            </w:tcBorders>
            <w:vAlign w:val="center"/>
          </w:tcPr>
          <w:p w14:paraId="52E369DC" w14:textId="519C568A" w:rsidR="00DD1551" w:rsidRDefault="00DD1551" w:rsidP="00DD1551">
            <w:pPr>
              <w:jc w:val="center"/>
              <w:rPr>
                <w:rFonts w:eastAsia="Times New Roman"/>
                <w:sz w:val="18"/>
                <w:szCs w:val="18"/>
              </w:rPr>
            </w:pPr>
            <w:r>
              <w:rPr>
                <w:rFonts w:eastAsia="Times New Roman"/>
                <w:sz w:val="18"/>
                <w:szCs w:val="18"/>
              </w:rPr>
              <w:t>1 ppm</w:t>
            </w:r>
          </w:p>
        </w:tc>
        <w:tc>
          <w:tcPr>
            <w:tcW w:w="1860" w:type="dxa"/>
            <w:tcBorders>
              <w:top w:val="single" w:sz="8" w:space="0" w:color="auto"/>
              <w:bottom w:val="single" w:sz="8" w:space="0" w:color="auto"/>
              <w:right w:val="single" w:sz="8" w:space="0" w:color="auto"/>
            </w:tcBorders>
          </w:tcPr>
          <w:p w14:paraId="7960ED18" w14:textId="556DA25E" w:rsidR="00DD1551" w:rsidRDefault="00DD1551" w:rsidP="008D5FCD">
            <w:pPr>
              <w:spacing w:line="360" w:lineRule="auto"/>
              <w:ind w:left="144"/>
              <w:rPr>
                <w:rFonts w:eastAsia="Times New Roman"/>
                <w:sz w:val="18"/>
                <w:szCs w:val="18"/>
              </w:rPr>
            </w:pPr>
            <w:r>
              <w:rPr>
                <w:rFonts w:eastAsia="Times New Roman"/>
                <w:sz w:val="18"/>
                <w:szCs w:val="18"/>
              </w:rPr>
              <w:t>Runoff from fertilizer</w:t>
            </w:r>
            <w:r w:rsidR="008D5FCD">
              <w:rPr>
                <w:rFonts w:eastAsia="Times New Roman"/>
                <w:sz w:val="18"/>
                <w:szCs w:val="18"/>
              </w:rPr>
              <w:t xml:space="preserve"> </w:t>
            </w:r>
            <w:r>
              <w:rPr>
                <w:rFonts w:eastAsia="Times New Roman"/>
                <w:sz w:val="18"/>
                <w:szCs w:val="18"/>
              </w:rPr>
              <w:t>use; leaching from</w:t>
            </w:r>
            <w:r w:rsidR="008D5FCD">
              <w:rPr>
                <w:rFonts w:eastAsia="Times New Roman"/>
                <w:sz w:val="18"/>
                <w:szCs w:val="18"/>
              </w:rPr>
              <w:t xml:space="preserve"> </w:t>
            </w:r>
            <w:r>
              <w:rPr>
                <w:rFonts w:eastAsia="Times New Roman"/>
                <w:sz w:val="18"/>
                <w:szCs w:val="18"/>
              </w:rPr>
              <w:t>septic tanks, sewage;</w:t>
            </w:r>
            <w:r w:rsidR="008D5FCD">
              <w:rPr>
                <w:rFonts w:eastAsia="Times New Roman"/>
                <w:sz w:val="18"/>
                <w:szCs w:val="18"/>
              </w:rPr>
              <w:t xml:space="preserve"> </w:t>
            </w:r>
            <w:r>
              <w:rPr>
                <w:rFonts w:eastAsia="Times New Roman"/>
                <w:sz w:val="18"/>
                <w:szCs w:val="18"/>
              </w:rPr>
              <w:t>erosion of natural</w:t>
            </w:r>
            <w:r w:rsidR="008D5FCD">
              <w:rPr>
                <w:rFonts w:eastAsia="Times New Roman"/>
                <w:sz w:val="18"/>
                <w:szCs w:val="18"/>
              </w:rPr>
              <w:t xml:space="preserve"> </w:t>
            </w:r>
            <w:r>
              <w:rPr>
                <w:rFonts w:eastAsia="Times New Roman"/>
                <w:sz w:val="18"/>
                <w:szCs w:val="18"/>
              </w:rPr>
              <w:t>deposits</w:t>
            </w:r>
          </w:p>
        </w:tc>
        <w:tc>
          <w:tcPr>
            <w:tcW w:w="2440" w:type="dxa"/>
            <w:tcBorders>
              <w:top w:val="single" w:sz="8" w:space="0" w:color="auto"/>
              <w:bottom w:val="single" w:sz="8" w:space="0" w:color="auto"/>
              <w:right w:val="single" w:sz="8" w:space="0" w:color="auto"/>
            </w:tcBorders>
          </w:tcPr>
          <w:p w14:paraId="16749933" w14:textId="486DE44A" w:rsidR="00DD1551" w:rsidRDefault="00DD1551" w:rsidP="008D5FCD">
            <w:pPr>
              <w:spacing w:line="360" w:lineRule="auto"/>
              <w:ind w:left="144"/>
              <w:rPr>
                <w:rFonts w:eastAsia="Times New Roman"/>
                <w:sz w:val="18"/>
                <w:szCs w:val="18"/>
              </w:rPr>
            </w:pPr>
            <w:r>
              <w:rPr>
                <w:rFonts w:eastAsia="Times New Roman"/>
                <w:sz w:val="18"/>
                <w:szCs w:val="18"/>
              </w:rPr>
              <w:t>Infants younger than six</w:t>
            </w:r>
            <w:r w:rsidR="008D5FCD">
              <w:rPr>
                <w:rFonts w:eastAsia="Times New Roman"/>
                <w:sz w:val="18"/>
                <w:szCs w:val="18"/>
              </w:rPr>
              <w:t xml:space="preserve"> </w:t>
            </w:r>
            <w:r>
              <w:rPr>
                <w:rFonts w:eastAsia="Times New Roman"/>
                <w:sz w:val="18"/>
                <w:szCs w:val="18"/>
              </w:rPr>
              <w:t>months old who drink</w:t>
            </w:r>
            <w:r w:rsidR="008D5FCD">
              <w:rPr>
                <w:rFonts w:eastAsia="Times New Roman"/>
                <w:sz w:val="18"/>
                <w:szCs w:val="18"/>
              </w:rPr>
              <w:t xml:space="preserve"> </w:t>
            </w:r>
            <w:r>
              <w:rPr>
                <w:rFonts w:eastAsia="Times New Roman"/>
                <w:sz w:val="18"/>
                <w:szCs w:val="18"/>
              </w:rPr>
              <w:t>water containing nitrite in</w:t>
            </w:r>
            <w:r w:rsidR="008D5FCD">
              <w:rPr>
                <w:rFonts w:eastAsia="Times New Roman"/>
                <w:sz w:val="18"/>
                <w:szCs w:val="18"/>
              </w:rPr>
              <w:t xml:space="preserve"> </w:t>
            </w:r>
            <w:r>
              <w:rPr>
                <w:rFonts w:eastAsia="Times New Roman"/>
                <w:sz w:val="18"/>
                <w:szCs w:val="18"/>
              </w:rPr>
              <w:t>excess of the MCL could</w:t>
            </w:r>
            <w:r w:rsidR="008D5FCD">
              <w:rPr>
                <w:rFonts w:eastAsia="Times New Roman"/>
                <w:sz w:val="18"/>
                <w:szCs w:val="18"/>
              </w:rPr>
              <w:t xml:space="preserve"> </w:t>
            </w:r>
            <w:r>
              <w:rPr>
                <w:rFonts w:eastAsia="Times New Roman"/>
                <w:sz w:val="18"/>
                <w:szCs w:val="18"/>
              </w:rPr>
              <w:t>become seriously ill and, if</w:t>
            </w:r>
            <w:r w:rsidR="008D5FCD">
              <w:rPr>
                <w:rFonts w:eastAsia="Times New Roman"/>
                <w:sz w:val="18"/>
                <w:szCs w:val="18"/>
              </w:rPr>
              <w:t xml:space="preserve"> </w:t>
            </w:r>
            <w:r>
              <w:rPr>
                <w:rFonts w:eastAsia="Times New Roman"/>
                <w:sz w:val="18"/>
                <w:szCs w:val="18"/>
              </w:rPr>
              <w:t>untreated, may die.</w:t>
            </w:r>
            <w:r w:rsidR="008D5FCD">
              <w:rPr>
                <w:rFonts w:eastAsia="Times New Roman"/>
                <w:sz w:val="18"/>
                <w:szCs w:val="18"/>
              </w:rPr>
              <w:t xml:space="preserve"> </w:t>
            </w:r>
            <w:r>
              <w:rPr>
                <w:rFonts w:eastAsia="Times New Roman"/>
                <w:sz w:val="18"/>
                <w:szCs w:val="18"/>
              </w:rPr>
              <w:t>Symptoms include</w:t>
            </w:r>
            <w:r w:rsidR="008D5FCD">
              <w:rPr>
                <w:rFonts w:eastAsia="Times New Roman"/>
                <w:sz w:val="18"/>
                <w:szCs w:val="18"/>
              </w:rPr>
              <w:t xml:space="preserve"> </w:t>
            </w:r>
            <w:r>
              <w:rPr>
                <w:rFonts w:eastAsia="Times New Roman"/>
                <w:sz w:val="18"/>
                <w:szCs w:val="18"/>
              </w:rPr>
              <w:t>shortness of breath and</w:t>
            </w:r>
            <w:r w:rsidR="008D5FCD">
              <w:rPr>
                <w:rFonts w:eastAsia="Times New Roman"/>
                <w:sz w:val="18"/>
                <w:szCs w:val="18"/>
              </w:rPr>
              <w:t xml:space="preserve"> </w:t>
            </w:r>
            <w:r>
              <w:rPr>
                <w:rFonts w:eastAsia="Times New Roman"/>
                <w:sz w:val="18"/>
                <w:szCs w:val="18"/>
              </w:rPr>
              <w:t>blue baby syndrome.</w:t>
            </w:r>
          </w:p>
        </w:tc>
      </w:tr>
    </w:tbl>
    <w:p w14:paraId="281A2E94" w14:textId="77777777" w:rsidR="004647B9" w:rsidRDefault="004647B9">
      <w:pPr>
        <w:spacing w:line="347" w:lineRule="exact"/>
        <w:rPr>
          <w:sz w:val="20"/>
          <w:szCs w:val="20"/>
        </w:rPr>
      </w:pPr>
    </w:p>
    <w:p w14:paraId="281A3052" w14:textId="77777777" w:rsidR="004647B9" w:rsidRDefault="004647B9">
      <w:pPr>
        <w:sectPr w:rsidR="004647B9" w:rsidSect="00EF630C">
          <w:pgSz w:w="12240" w:h="20180"/>
          <w:pgMar w:top="708" w:right="940" w:bottom="1440" w:left="600" w:header="0" w:footer="0" w:gutter="0"/>
          <w:cols w:space="720"/>
        </w:sectPr>
      </w:pPr>
    </w:p>
    <w:p w14:paraId="281A3053" w14:textId="77777777" w:rsidR="004647B9" w:rsidRDefault="00E2436F">
      <w:pPr>
        <w:tabs>
          <w:tab w:val="left" w:pos="2860"/>
        </w:tabs>
        <w:ind w:left="1680"/>
        <w:rPr>
          <w:sz w:val="20"/>
          <w:szCs w:val="20"/>
        </w:rPr>
      </w:pPr>
      <w:bookmarkStart w:id="226" w:name="page228"/>
      <w:bookmarkEnd w:id="22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054" w14:textId="77777777" w:rsidR="004647B9" w:rsidRDefault="004647B9" w:rsidP="00E023ED">
      <w:pPr>
        <w:rPr>
          <w:sz w:val="20"/>
          <w:szCs w:val="20"/>
        </w:rPr>
      </w:pPr>
    </w:p>
    <w:p w14:paraId="0C7E43E6" w14:textId="77777777" w:rsidR="00E023ED" w:rsidRDefault="00E023ED" w:rsidP="00E023ED">
      <w:pPr>
        <w:rPr>
          <w:sz w:val="20"/>
          <w:szCs w:val="20"/>
        </w:rPr>
      </w:pPr>
    </w:p>
    <w:p w14:paraId="281A3055"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3056"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8961BF" w14:paraId="52A139A8"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10D8CE74" w14:textId="77777777" w:rsidR="008961BF" w:rsidRDefault="008961BF"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6874F2E2" w14:textId="77777777" w:rsidR="008961BF" w:rsidRDefault="008961BF"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6996B186" w14:textId="77777777" w:rsidR="008961BF" w:rsidRDefault="008961BF"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5255152" w14:textId="77777777" w:rsidR="008961BF" w:rsidRDefault="008961BF"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13ADA95C" w14:textId="77777777" w:rsidR="008961BF" w:rsidRDefault="008961BF"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0846D77C" w14:textId="77777777" w:rsidR="008961BF" w:rsidRDefault="008961BF"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20C57834" w14:textId="77777777" w:rsidR="008961BF" w:rsidRDefault="008961BF" w:rsidP="00DF6443">
            <w:pPr>
              <w:jc w:val="center"/>
              <w:rPr>
                <w:sz w:val="20"/>
                <w:szCs w:val="20"/>
              </w:rPr>
            </w:pPr>
            <w:r>
              <w:rPr>
                <w:rFonts w:eastAsia="Times New Roman"/>
                <w:sz w:val="18"/>
                <w:szCs w:val="18"/>
              </w:rPr>
              <w:t>Health Effects Language</w:t>
            </w:r>
          </w:p>
        </w:tc>
      </w:tr>
      <w:tr w:rsidR="000275B4" w14:paraId="4BD1F052" w14:textId="77777777" w:rsidTr="000275B4">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E2DC8E9" w14:textId="3F5EDDA2" w:rsidR="000275B4" w:rsidRDefault="000275B4"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Perchlorate</w:t>
            </w:r>
          </w:p>
        </w:tc>
        <w:tc>
          <w:tcPr>
            <w:tcW w:w="1060" w:type="dxa"/>
            <w:tcBorders>
              <w:top w:val="single" w:sz="8" w:space="0" w:color="auto"/>
              <w:left w:val="single" w:sz="8" w:space="0" w:color="auto"/>
              <w:bottom w:val="single" w:sz="8" w:space="0" w:color="auto"/>
              <w:right w:val="single" w:sz="8" w:space="0" w:color="auto"/>
            </w:tcBorders>
            <w:vAlign w:val="center"/>
          </w:tcPr>
          <w:p w14:paraId="0D81552F" w14:textId="5836277C" w:rsidR="000275B4" w:rsidRDefault="000275B4" w:rsidP="000275B4">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35ADAAF1" w14:textId="46E796C5" w:rsidR="000275B4" w:rsidRDefault="000275B4" w:rsidP="000275B4">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6283A23C" w14:textId="47865988" w:rsidR="000275B4" w:rsidRDefault="000275B4" w:rsidP="000275B4">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6EF3CAF6" w14:textId="6453AE67" w:rsidR="000275B4" w:rsidRDefault="000275B4" w:rsidP="000275B4">
            <w:pPr>
              <w:jc w:val="center"/>
              <w:rPr>
                <w:rFonts w:eastAsia="Times New Roman"/>
                <w:sz w:val="18"/>
                <w:szCs w:val="18"/>
              </w:rPr>
            </w:pPr>
            <w:r>
              <w:rPr>
                <w:rFonts w:eastAsia="Times New Roman"/>
                <w:sz w:val="18"/>
                <w:szCs w:val="18"/>
              </w:rPr>
              <w:t>N/A</w:t>
            </w:r>
          </w:p>
        </w:tc>
        <w:tc>
          <w:tcPr>
            <w:tcW w:w="1860" w:type="dxa"/>
            <w:tcBorders>
              <w:top w:val="single" w:sz="8" w:space="0" w:color="auto"/>
              <w:bottom w:val="single" w:sz="8" w:space="0" w:color="auto"/>
              <w:right w:val="single" w:sz="8" w:space="0" w:color="auto"/>
            </w:tcBorders>
          </w:tcPr>
          <w:p w14:paraId="19BE202D" w14:textId="53A36B30" w:rsidR="000275B4" w:rsidRDefault="000275B4" w:rsidP="000275B4">
            <w:pPr>
              <w:spacing w:line="360" w:lineRule="auto"/>
              <w:ind w:left="144"/>
              <w:rPr>
                <w:rFonts w:eastAsia="Times New Roman"/>
                <w:sz w:val="18"/>
                <w:szCs w:val="18"/>
              </w:rPr>
            </w:pPr>
            <w:r>
              <w:rPr>
                <w:rFonts w:eastAsia="Times New Roman"/>
                <w:sz w:val="18"/>
                <w:szCs w:val="18"/>
              </w:rPr>
              <w:t>Rocket propellants, fireworks, munitions, flares, blasting agents</w:t>
            </w:r>
          </w:p>
        </w:tc>
        <w:tc>
          <w:tcPr>
            <w:tcW w:w="2440" w:type="dxa"/>
            <w:tcBorders>
              <w:top w:val="single" w:sz="8" w:space="0" w:color="auto"/>
              <w:bottom w:val="single" w:sz="8" w:space="0" w:color="auto"/>
              <w:right w:val="single" w:sz="8" w:space="0" w:color="auto"/>
            </w:tcBorders>
          </w:tcPr>
          <w:p w14:paraId="2DE52BE6" w14:textId="3D739B89" w:rsidR="000275B4" w:rsidRPr="00E6483D" w:rsidRDefault="000275B4" w:rsidP="000275B4">
            <w:pPr>
              <w:spacing w:line="360" w:lineRule="auto"/>
              <w:ind w:left="144"/>
              <w:rPr>
                <w:sz w:val="20"/>
                <w:szCs w:val="20"/>
              </w:rPr>
            </w:pPr>
            <w:r>
              <w:rPr>
                <w:rFonts w:eastAsia="Times New Roman"/>
                <w:sz w:val="18"/>
                <w:szCs w:val="18"/>
              </w:rPr>
              <w:t>Perchlorate interferes with the normal function of the thyroid gland and thus has the potential to affect growth and development, causing brain damage and other adverse effects, particularly in fetuses and infants.  Pregnant women, the fetus, infants, children younger than 12 years old, and people with a hypothyroid condition are particularly susceptible to perchlorate toxicity.</w:t>
            </w:r>
          </w:p>
        </w:tc>
      </w:tr>
      <w:tr w:rsidR="000275B4" w14:paraId="75A84625" w14:textId="77777777" w:rsidTr="000275B4">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4FFD447E" w14:textId="31DCDC6F" w:rsidR="000275B4" w:rsidRPr="00E6483D" w:rsidRDefault="000275B4"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Selenium</w:t>
            </w:r>
          </w:p>
        </w:tc>
        <w:tc>
          <w:tcPr>
            <w:tcW w:w="1060" w:type="dxa"/>
            <w:tcBorders>
              <w:top w:val="single" w:sz="8" w:space="0" w:color="auto"/>
              <w:left w:val="single" w:sz="8" w:space="0" w:color="auto"/>
              <w:bottom w:val="single" w:sz="8" w:space="0" w:color="auto"/>
              <w:right w:val="single" w:sz="8" w:space="0" w:color="auto"/>
            </w:tcBorders>
            <w:vAlign w:val="center"/>
          </w:tcPr>
          <w:p w14:paraId="42397349" w14:textId="015053C3" w:rsidR="000275B4" w:rsidRDefault="000275B4" w:rsidP="000275B4">
            <w:pPr>
              <w:jc w:val="center"/>
              <w:rPr>
                <w:rFonts w:eastAsia="Times New Roman"/>
                <w:sz w:val="18"/>
                <w:szCs w:val="18"/>
              </w:rPr>
            </w:pPr>
            <w:r>
              <w:rPr>
                <w:rFonts w:eastAsia="Times New Roman"/>
                <w:sz w:val="18"/>
                <w:szCs w:val="18"/>
              </w:rPr>
              <w:t>0.05 mg/l</w:t>
            </w:r>
          </w:p>
        </w:tc>
        <w:tc>
          <w:tcPr>
            <w:tcW w:w="1360" w:type="dxa"/>
            <w:tcBorders>
              <w:top w:val="single" w:sz="8" w:space="0" w:color="auto"/>
              <w:bottom w:val="single" w:sz="8" w:space="0" w:color="auto"/>
              <w:right w:val="single" w:sz="8" w:space="0" w:color="auto"/>
            </w:tcBorders>
            <w:vAlign w:val="center"/>
          </w:tcPr>
          <w:p w14:paraId="3108855F" w14:textId="4F0A47C3" w:rsidR="000275B4" w:rsidRDefault="000275B4" w:rsidP="000275B4">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2EF15CCA" w14:textId="63250B42" w:rsidR="000275B4" w:rsidRDefault="000275B4" w:rsidP="000275B4">
            <w:pPr>
              <w:jc w:val="center"/>
              <w:rPr>
                <w:rFonts w:eastAsia="Times New Roman"/>
                <w:sz w:val="18"/>
                <w:szCs w:val="18"/>
              </w:rPr>
            </w:pPr>
            <w:r>
              <w:rPr>
                <w:rFonts w:eastAsia="Times New Roman"/>
                <w:sz w:val="18"/>
                <w:szCs w:val="18"/>
              </w:rPr>
              <w:t>50 ppb</w:t>
            </w:r>
          </w:p>
        </w:tc>
        <w:tc>
          <w:tcPr>
            <w:tcW w:w="980" w:type="dxa"/>
            <w:tcBorders>
              <w:top w:val="single" w:sz="8" w:space="0" w:color="auto"/>
              <w:bottom w:val="single" w:sz="8" w:space="0" w:color="auto"/>
              <w:right w:val="single" w:sz="8" w:space="0" w:color="auto"/>
            </w:tcBorders>
            <w:vAlign w:val="center"/>
          </w:tcPr>
          <w:p w14:paraId="7C816B99" w14:textId="175A0707" w:rsidR="000275B4" w:rsidRDefault="000275B4" w:rsidP="000275B4">
            <w:pPr>
              <w:jc w:val="center"/>
              <w:rPr>
                <w:rFonts w:eastAsia="Times New Roman"/>
                <w:sz w:val="18"/>
                <w:szCs w:val="18"/>
              </w:rPr>
            </w:pPr>
            <w:r>
              <w:rPr>
                <w:rFonts w:eastAsia="Times New Roman"/>
                <w:sz w:val="18"/>
                <w:szCs w:val="18"/>
              </w:rPr>
              <w:t>50 ppb</w:t>
            </w:r>
          </w:p>
        </w:tc>
        <w:tc>
          <w:tcPr>
            <w:tcW w:w="1860" w:type="dxa"/>
            <w:tcBorders>
              <w:top w:val="single" w:sz="8" w:space="0" w:color="auto"/>
              <w:bottom w:val="single" w:sz="8" w:space="0" w:color="auto"/>
              <w:right w:val="single" w:sz="8" w:space="0" w:color="auto"/>
            </w:tcBorders>
          </w:tcPr>
          <w:p w14:paraId="0C09D1F5" w14:textId="1001E6D9" w:rsidR="000275B4" w:rsidRDefault="000275B4" w:rsidP="00C71037">
            <w:pPr>
              <w:spacing w:line="360" w:lineRule="auto"/>
              <w:ind w:left="144"/>
              <w:rPr>
                <w:rFonts w:eastAsia="Times New Roman"/>
                <w:sz w:val="18"/>
                <w:szCs w:val="18"/>
              </w:rPr>
            </w:pPr>
            <w:r>
              <w:rPr>
                <w:rFonts w:eastAsia="Times New Roman"/>
                <w:sz w:val="18"/>
                <w:szCs w:val="18"/>
              </w:rPr>
              <w:t>Discharge from metal</w:t>
            </w:r>
            <w:r w:rsidR="00C71037">
              <w:rPr>
                <w:rFonts w:eastAsia="Times New Roman"/>
                <w:sz w:val="18"/>
                <w:szCs w:val="18"/>
              </w:rPr>
              <w:t xml:space="preserve"> </w:t>
            </w:r>
            <w:r>
              <w:rPr>
                <w:rFonts w:eastAsia="Times New Roman"/>
                <w:sz w:val="18"/>
                <w:szCs w:val="18"/>
              </w:rPr>
              <w:t>refineries; erosion of</w:t>
            </w:r>
            <w:r w:rsidR="00C71037">
              <w:rPr>
                <w:rFonts w:eastAsia="Times New Roman"/>
                <w:sz w:val="18"/>
                <w:szCs w:val="18"/>
              </w:rPr>
              <w:t xml:space="preserve"> </w:t>
            </w:r>
            <w:r>
              <w:rPr>
                <w:rFonts w:eastAsia="Times New Roman"/>
                <w:sz w:val="18"/>
                <w:szCs w:val="18"/>
              </w:rPr>
              <w:t>natural deposits;</w:t>
            </w:r>
            <w:r w:rsidR="00C71037">
              <w:rPr>
                <w:rFonts w:eastAsia="Times New Roman"/>
                <w:sz w:val="18"/>
                <w:szCs w:val="18"/>
              </w:rPr>
              <w:t xml:space="preserve"> </w:t>
            </w:r>
            <w:r>
              <w:rPr>
                <w:rFonts w:eastAsia="Times New Roman"/>
                <w:sz w:val="18"/>
                <w:szCs w:val="18"/>
              </w:rPr>
              <w:t>discharge from mines</w:t>
            </w:r>
          </w:p>
        </w:tc>
        <w:tc>
          <w:tcPr>
            <w:tcW w:w="2440" w:type="dxa"/>
            <w:tcBorders>
              <w:top w:val="single" w:sz="8" w:space="0" w:color="auto"/>
              <w:bottom w:val="single" w:sz="8" w:space="0" w:color="auto"/>
              <w:right w:val="single" w:sz="8" w:space="0" w:color="auto"/>
            </w:tcBorders>
          </w:tcPr>
          <w:p w14:paraId="6FC863C4" w14:textId="1FE7F35B" w:rsidR="000275B4" w:rsidRPr="0090533B" w:rsidRDefault="00C71037" w:rsidP="00C71037">
            <w:pPr>
              <w:spacing w:line="360" w:lineRule="auto"/>
              <w:ind w:left="144"/>
              <w:rPr>
                <w:sz w:val="20"/>
                <w:szCs w:val="20"/>
              </w:rPr>
            </w:pPr>
            <w:r>
              <w:rPr>
                <w:rFonts w:eastAsia="Times New Roman"/>
                <w:sz w:val="18"/>
                <w:szCs w:val="18"/>
              </w:rPr>
              <w:t>Selenium is an essential nutrient.  However, some people who drink water containing selenium in excess of the MCL over many years could experience hair or fingernail losses, numbness in fingers or toes, or problems with their circulation.</w:t>
            </w:r>
          </w:p>
        </w:tc>
      </w:tr>
      <w:tr w:rsidR="00C71037" w14:paraId="0425F7FF" w14:textId="77777777" w:rsidTr="00C71037">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397E1AA" w14:textId="4A3B8C6B" w:rsidR="00C71037" w:rsidRDefault="00C71037"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Thallium</w:t>
            </w:r>
          </w:p>
        </w:tc>
        <w:tc>
          <w:tcPr>
            <w:tcW w:w="1060" w:type="dxa"/>
            <w:tcBorders>
              <w:top w:val="single" w:sz="8" w:space="0" w:color="auto"/>
              <w:left w:val="single" w:sz="8" w:space="0" w:color="auto"/>
              <w:bottom w:val="single" w:sz="8" w:space="0" w:color="auto"/>
              <w:right w:val="single" w:sz="8" w:space="0" w:color="auto"/>
            </w:tcBorders>
            <w:vAlign w:val="center"/>
          </w:tcPr>
          <w:p w14:paraId="04B92A14" w14:textId="2B89425B" w:rsidR="00C71037" w:rsidRDefault="00C71037" w:rsidP="00C71037">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4E8FE348" w14:textId="333CF522" w:rsidR="00C71037" w:rsidRDefault="00C71037" w:rsidP="00C71037">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10F2CD5" w14:textId="76F347E9" w:rsidR="00C71037" w:rsidRDefault="00C71037" w:rsidP="00C71037">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3E379B88" w14:textId="35EE7D91" w:rsidR="00C71037" w:rsidRDefault="00C71037" w:rsidP="00C71037">
            <w:pPr>
              <w:jc w:val="center"/>
              <w:rPr>
                <w:rFonts w:eastAsia="Times New Roman"/>
                <w:sz w:val="18"/>
                <w:szCs w:val="18"/>
              </w:rPr>
            </w:pPr>
            <w:r>
              <w:rPr>
                <w:rFonts w:eastAsia="Times New Roman"/>
                <w:sz w:val="18"/>
                <w:szCs w:val="18"/>
              </w:rPr>
              <w:t>0.5 ppb</w:t>
            </w:r>
          </w:p>
        </w:tc>
        <w:tc>
          <w:tcPr>
            <w:tcW w:w="1860" w:type="dxa"/>
            <w:tcBorders>
              <w:top w:val="single" w:sz="8" w:space="0" w:color="auto"/>
              <w:bottom w:val="single" w:sz="8" w:space="0" w:color="auto"/>
              <w:right w:val="single" w:sz="8" w:space="0" w:color="auto"/>
            </w:tcBorders>
          </w:tcPr>
          <w:p w14:paraId="76567411" w14:textId="5728B53B" w:rsidR="00C71037" w:rsidRDefault="00C71037" w:rsidP="00C71037">
            <w:pPr>
              <w:spacing w:line="360" w:lineRule="auto"/>
              <w:ind w:left="144"/>
              <w:rPr>
                <w:rFonts w:eastAsia="Times New Roman"/>
                <w:sz w:val="18"/>
                <w:szCs w:val="18"/>
              </w:rPr>
            </w:pPr>
            <w:r>
              <w:rPr>
                <w:rFonts w:eastAsia="Times New Roman"/>
                <w:sz w:val="18"/>
                <w:szCs w:val="18"/>
              </w:rPr>
              <w:t>Leaching from ore-processing sites; discharge from electronics, glass, and drug factories</w:t>
            </w:r>
          </w:p>
        </w:tc>
        <w:tc>
          <w:tcPr>
            <w:tcW w:w="2440" w:type="dxa"/>
            <w:tcBorders>
              <w:top w:val="single" w:sz="8" w:space="0" w:color="auto"/>
              <w:bottom w:val="single" w:sz="8" w:space="0" w:color="auto"/>
              <w:right w:val="single" w:sz="8" w:space="0" w:color="auto"/>
            </w:tcBorders>
          </w:tcPr>
          <w:p w14:paraId="6DAF964D" w14:textId="45893A74" w:rsidR="00C71037" w:rsidRPr="0090533B" w:rsidRDefault="00C71037" w:rsidP="00C71037">
            <w:pPr>
              <w:spacing w:line="360" w:lineRule="auto"/>
              <w:ind w:left="144"/>
              <w:rPr>
                <w:sz w:val="20"/>
                <w:szCs w:val="20"/>
              </w:rPr>
            </w:pPr>
            <w:r>
              <w:rPr>
                <w:rFonts w:eastAsia="Times New Roman"/>
                <w:sz w:val="18"/>
                <w:szCs w:val="18"/>
              </w:rPr>
              <w:t>Some people who drink water containing thallium in excess of the MCL over many years could experience hair loss, changes in their blood, or problems with their kidneys, intestines, or liver.</w:t>
            </w:r>
          </w:p>
        </w:tc>
      </w:tr>
    </w:tbl>
    <w:p w14:paraId="281A3057" w14:textId="77777777" w:rsidR="004647B9" w:rsidRDefault="004647B9">
      <w:pPr>
        <w:spacing w:line="347" w:lineRule="exact"/>
        <w:rPr>
          <w:sz w:val="20"/>
          <w:szCs w:val="20"/>
        </w:rPr>
      </w:pPr>
    </w:p>
    <w:p w14:paraId="281A31EF" w14:textId="77777777" w:rsidR="004647B9" w:rsidRDefault="004647B9">
      <w:pPr>
        <w:sectPr w:rsidR="004647B9" w:rsidSect="00EF630C">
          <w:pgSz w:w="12240" w:h="20180"/>
          <w:pgMar w:top="708" w:right="940" w:bottom="1440" w:left="600" w:header="0" w:footer="0" w:gutter="0"/>
          <w:cols w:space="720"/>
        </w:sectPr>
      </w:pPr>
    </w:p>
    <w:p w14:paraId="281A31F0" w14:textId="77777777" w:rsidR="004647B9" w:rsidRDefault="00E2436F">
      <w:pPr>
        <w:tabs>
          <w:tab w:val="left" w:pos="2860"/>
        </w:tabs>
        <w:ind w:left="1680"/>
        <w:rPr>
          <w:sz w:val="20"/>
          <w:szCs w:val="20"/>
        </w:rPr>
      </w:pPr>
      <w:bookmarkStart w:id="227" w:name="page229"/>
      <w:bookmarkEnd w:id="22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1F1" w14:textId="77777777" w:rsidR="004647B9" w:rsidRDefault="004647B9" w:rsidP="00E023ED">
      <w:pPr>
        <w:rPr>
          <w:sz w:val="20"/>
          <w:szCs w:val="20"/>
        </w:rPr>
      </w:pPr>
    </w:p>
    <w:p w14:paraId="3299D0F3" w14:textId="77777777" w:rsidR="00E023ED" w:rsidRDefault="00E023ED" w:rsidP="00E023ED">
      <w:pPr>
        <w:rPr>
          <w:sz w:val="20"/>
          <w:szCs w:val="20"/>
        </w:rPr>
      </w:pPr>
    </w:p>
    <w:p w14:paraId="281A31F2"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31F3"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C71037" w14:paraId="159B171B"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7FA0A9D5" w14:textId="77777777" w:rsidR="00C71037" w:rsidRDefault="00C71037"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51A03FCC" w14:textId="77777777" w:rsidR="00C71037" w:rsidRDefault="00C71037"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0BBC52D9" w14:textId="77777777" w:rsidR="00C71037" w:rsidRDefault="00C71037"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2C30B39" w14:textId="77777777" w:rsidR="00C71037" w:rsidRDefault="00C71037"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1F9272FC" w14:textId="77777777" w:rsidR="00C71037" w:rsidRDefault="00C71037"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5051E8E4" w14:textId="77777777" w:rsidR="00C71037" w:rsidRDefault="00C71037"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71604745" w14:textId="77777777" w:rsidR="00C71037" w:rsidRDefault="00C71037" w:rsidP="00DF6443">
            <w:pPr>
              <w:jc w:val="center"/>
              <w:rPr>
                <w:sz w:val="20"/>
                <w:szCs w:val="20"/>
              </w:rPr>
            </w:pPr>
            <w:r>
              <w:rPr>
                <w:rFonts w:eastAsia="Times New Roman"/>
                <w:sz w:val="18"/>
                <w:szCs w:val="18"/>
              </w:rPr>
              <w:t>Health Effects Language</w:t>
            </w:r>
          </w:p>
        </w:tc>
      </w:tr>
      <w:tr w:rsidR="00C71037" w14:paraId="275CA99A" w14:textId="77777777" w:rsidTr="00C71037">
        <w:trPr>
          <w:trHeight w:val="461"/>
        </w:trPr>
        <w:tc>
          <w:tcPr>
            <w:tcW w:w="10700" w:type="dxa"/>
            <w:gridSpan w:val="7"/>
            <w:tcBorders>
              <w:top w:val="single" w:sz="8" w:space="0" w:color="auto"/>
              <w:left w:val="single" w:sz="8" w:space="0" w:color="auto"/>
              <w:bottom w:val="single" w:sz="8" w:space="0" w:color="auto"/>
              <w:right w:val="single" w:sz="8" w:space="0" w:color="auto"/>
            </w:tcBorders>
            <w:vAlign w:val="center"/>
          </w:tcPr>
          <w:p w14:paraId="0208D193" w14:textId="512A7DFA" w:rsidR="00C71037" w:rsidRPr="00E6483D" w:rsidRDefault="00C71037" w:rsidP="00DF6443">
            <w:pPr>
              <w:spacing w:line="360" w:lineRule="auto"/>
              <w:ind w:left="144"/>
              <w:rPr>
                <w:sz w:val="20"/>
                <w:szCs w:val="20"/>
              </w:rPr>
            </w:pPr>
            <w:r>
              <w:rPr>
                <w:rFonts w:eastAsia="Times New Roman"/>
                <w:b/>
                <w:bCs/>
                <w:sz w:val="18"/>
                <w:szCs w:val="18"/>
              </w:rPr>
              <w:t>Synthetic Organic Contaminants Including Pesticides and Herbicides</w:t>
            </w:r>
          </w:p>
        </w:tc>
      </w:tr>
      <w:tr w:rsidR="00871D16" w14:paraId="436A45B2" w14:textId="77777777" w:rsidTr="00871D16">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8E35171" w14:textId="364F2CF9" w:rsidR="00871D16" w:rsidRPr="00E6483D" w:rsidRDefault="00871D16"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2,4-D</w:t>
            </w:r>
          </w:p>
        </w:tc>
        <w:tc>
          <w:tcPr>
            <w:tcW w:w="1060" w:type="dxa"/>
            <w:tcBorders>
              <w:top w:val="single" w:sz="8" w:space="0" w:color="auto"/>
              <w:left w:val="single" w:sz="8" w:space="0" w:color="auto"/>
              <w:bottom w:val="single" w:sz="8" w:space="0" w:color="auto"/>
              <w:right w:val="single" w:sz="8" w:space="0" w:color="auto"/>
            </w:tcBorders>
            <w:vAlign w:val="center"/>
          </w:tcPr>
          <w:p w14:paraId="33B81406" w14:textId="206F64DE" w:rsidR="00871D16" w:rsidRDefault="00871D16" w:rsidP="00871D16">
            <w:pPr>
              <w:jc w:val="center"/>
              <w:rPr>
                <w:rFonts w:eastAsia="Times New Roman"/>
                <w:sz w:val="18"/>
                <w:szCs w:val="18"/>
              </w:rPr>
            </w:pPr>
            <w:r>
              <w:rPr>
                <w:rFonts w:eastAsia="Times New Roman"/>
                <w:sz w:val="18"/>
                <w:szCs w:val="18"/>
              </w:rPr>
              <w:t>0.07 mg/l</w:t>
            </w:r>
          </w:p>
        </w:tc>
        <w:tc>
          <w:tcPr>
            <w:tcW w:w="1360" w:type="dxa"/>
            <w:tcBorders>
              <w:top w:val="single" w:sz="8" w:space="0" w:color="auto"/>
              <w:bottom w:val="single" w:sz="8" w:space="0" w:color="auto"/>
              <w:right w:val="single" w:sz="8" w:space="0" w:color="auto"/>
            </w:tcBorders>
            <w:vAlign w:val="center"/>
          </w:tcPr>
          <w:p w14:paraId="37E4F7F5" w14:textId="162806A5" w:rsidR="00871D16" w:rsidRDefault="00871D16" w:rsidP="00871D16">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66093A4F" w14:textId="67672CA5" w:rsidR="00871D16" w:rsidRDefault="00871D16" w:rsidP="00871D16">
            <w:pPr>
              <w:jc w:val="center"/>
              <w:rPr>
                <w:rFonts w:eastAsia="Times New Roman"/>
                <w:sz w:val="18"/>
                <w:szCs w:val="18"/>
              </w:rPr>
            </w:pPr>
            <w:r>
              <w:rPr>
                <w:rFonts w:eastAsia="Times New Roman"/>
                <w:sz w:val="18"/>
                <w:szCs w:val="18"/>
              </w:rPr>
              <w:t>70 ppb</w:t>
            </w:r>
          </w:p>
        </w:tc>
        <w:tc>
          <w:tcPr>
            <w:tcW w:w="980" w:type="dxa"/>
            <w:tcBorders>
              <w:top w:val="single" w:sz="8" w:space="0" w:color="auto"/>
              <w:bottom w:val="single" w:sz="8" w:space="0" w:color="auto"/>
              <w:right w:val="single" w:sz="8" w:space="0" w:color="auto"/>
            </w:tcBorders>
            <w:vAlign w:val="center"/>
          </w:tcPr>
          <w:p w14:paraId="0B0ECD68" w14:textId="0B935AC4" w:rsidR="00871D16" w:rsidRDefault="00871D16" w:rsidP="00871D16">
            <w:pPr>
              <w:jc w:val="center"/>
              <w:rPr>
                <w:rFonts w:eastAsia="Times New Roman"/>
                <w:sz w:val="18"/>
                <w:szCs w:val="18"/>
              </w:rPr>
            </w:pPr>
            <w:r>
              <w:rPr>
                <w:rFonts w:eastAsia="Times New Roman"/>
                <w:sz w:val="18"/>
                <w:szCs w:val="18"/>
              </w:rPr>
              <w:t>70 ppb</w:t>
            </w:r>
          </w:p>
        </w:tc>
        <w:tc>
          <w:tcPr>
            <w:tcW w:w="1860" w:type="dxa"/>
            <w:tcBorders>
              <w:top w:val="single" w:sz="8" w:space="0" w:color="auto"/>
              <w:bottom w:val="single" w:sz="8" w:space="0" w:color="auto"/>
              <w:right w:val="single" w:sz="8" w:space="0" w:color="auto"/>
            </w:tcBorders>
          </w:tcPr>
          <w:p w14:paraId="51EAC70D" w14:textId="3A83196D" w:rsidR="00871D16" w:rsidRDefault="00871D16" w:rsidP="00871D16">
            <w:pPr>
              <w:spacing w:line="360" w:lineRule="auto"/>
              <w:ind w:left="144"/>
              <w:rPr>
                <w:rFonts w:eastAsia="Times New Roman"/>
                <w:sz w:val="18"/>
                <w:szCs w:val="18"/>
              </w:rPr>
            </w:pPr>
            <w:r>
              <w:rPr>
                <w:rFonts w:eastAsia="Times New Roman"/>
                <w:sz w:val="18"/>
                <w:szCs w:val="18"/>
              </w:rPr>
              <w:t>Runoff from herbicide used on row crops</w:t>
            </w:r>
          </w:p>
        </w:tc>
        <w:tc>
          <w:tcPr>
            <w:tcW w:w="2440" w:type="dxa"/>
            <w:tcBorders>
              <w:top w:val="single" w:sz="8" w:space="0" w:color="auto"/>
              <w:bottom w:val="single" w:sz="8" w:space="0" w:color="auto"/>
              <w:right w:val="single" w:sz="8" w:space="0" w:color="auto"/>
            </w:tcBorders>
          </w:tcPr>
          <w:p w14:paraId="36E3275F" w14:textId="0859348F" w:rsidR="00871D16" w:rsidRPr="0090533B" w:rsidRDefault="00871D16" w:rsidP="00871D16">
            <w:pPr>
              <w:spacing w:line="360" w:lineRule="auto"/>
              <w:ind w:left="144"/>
              <w:rPr>
                <w:sz w:val="20"/>
                <w:szCs w:val="20"/>
              </w:rPr>
            </w:pPr>
            <w:r>
              <w:rPr>
                <w:rFonts w:eastAsia="Times New Roman"/>
                <w:sz w:val="18"/>
                <w:szCs w:val="18"/>
              </w:rPr>
              <w:t>Some people who drink water containing the weed killer 2,4-D well in excess of the MCL over many years could experience problems with their kidneys, liver, or adrenal glands.</w:t>
            </w:r>
          </w:p>
        </w:tc>
      </w:tr>
      <w:tr w:rsidR="00871D16" w14:paraId="21A42E81" w14:textId="77777777" w:rsidTr="00871D16">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F00A3DD" w14:textId="5EBD8CF3" w:rsidR="00871D16" w:rsidRDefault="00871D16"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2,4,5-TP [Silvex]</w:t>
            </w:r>
          </w:p>
        </w:tc>
        <w:tc>
          <w:tcPr>
            <w:tcW w:w="1060" w:type="dxa"/>
            <w:tcBorders>
              <w:top w:val="single" w:sz="8" w:space="0" w:color="auto"/>
              <w:left w:val="single" w:sz="8" w:space="0" w:color="auto"/>
              <w:bottom w:val="single" w:sz="8" w:space="0" w:color="auto"/>
              <w:right w:val="single" w:sz="8" w:space="0" w:color="auto"/>
            </w:tcBorders>
            <w:vAlign w:val="center"/>
          </w:tcPr>
          <w:p w14:paraId="369B4C32" w14:textId="4E76BBE1" w:rsidR="00871D16" w:rsidRDefault="00871D16" w:rsidP="00871D16">
            <w:pPr>
              <w:jc w:val="center"/>
              <w:rPr>
                <w:rFonts w:eastAsia="Times New Roman"/>
                <w:sz w:val="18"/>
                <w:szCs w:val="18"/>
              </w:rPr>
            </w:pPr>
            <w:r>
              <w:rPr>
                <w:rFonts w:eastAsia="Times New Roman"/>
                <w:sz w:val="18"/>
                <w:szCs w:val="18"/>
              </w:rPr>
              <w:t>0.05 mg/l</w:t>
            </w:r>
          </w:p>
        </w:tc>
        <w:tc>
          <w:tcPr>
            <w:tcW w:w="1360" w:type="dxa"/>
            <w:tcBorders>
              <w:top w:val="single" w:sz="8" w:space="0" w:color="auto"/>
              <w:bottom w:val="single" w:sz="8" w:space="0" w:color="auto"/>
              <w:right w:val="single" w:sz="8" w:space="0" w:color="auto"/>
            </w:tcBorders>
            <w:vAlign w:val="center"/>
          </w:tcPr>
          <w:p w14:paraId="7EC6FE1D" w14:textId="44B63525" w:rsidR="00871D16" w:rsidRDefault="00871D16" w:rsidP="00871D16">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30FAA94" w14:textId="66882583" w:rsidR="00871D16" w:rsidRDefault="00871D16" w:rsidP="00871D16">
            <w:pPr>
              <w:jc w:val="center"/>
              <w:rPr>
                <w:rFonts w:eastAsia="Times New Roman"/>
                <w:sz w:val="18"/>
                <w:szCs w:val="18"/>
              </w:rPr>
            </w:pPr>
            <w:r>
              <w:rPr>
                <w:rFonts w:eastAsia="Times New Roman"/>
                <w:sz w:val="18"/>
                <w:szCs w:val="18"/>
              </w:rPr>
              <w:t>50 ppb</w:t>
            </w:r>
          </w:p>
        </w:tc>
        <w:tc>
          <w:tcPr>
            <w:tcW w:w="980" w:type="dxa"/>
            <w:tcBorders>
              <w:top w:val="single" w:sz="8" w:space="0" w:color="auto"/>
              <w:bottom w:val="single" w:sz="8" w:space="0" w:color="auto"/>
              <w:right w:val="single" w:sz="8" w:space="0" w:color="auto"/>
            </w:tcBorders>
            <w:vAlign w:val="center"/>
          </w:tcPr>
          <w:p w14:paraId="7B0FB5F8" w14:textId="3881C023" w:rsidR="00871D16" w:rsidRDefault="00871D16" w:rsidP="00871D16">
            <w:pPr>
              <w:jc w:val="center"/>
              <w:rPr>
                <w:rFonts w:eastAsia="Times New Roman"/>
                <w:sz w:val="18"/>
                <w:szCs w:val="18"/>
              </w:rPr>
            </w:pPr>
            <w:r>
              <w:rPr>
                <w:rFonts w:eastAsia="Times New Roman"/>
                <w:sz w:val="18"/>
                <w:szCs w:val="18"/>
              </w:rPr>
              <w:t>50 ppb</w:t>
            </w:r>
          </w:p>
        </w:tc>
        <w:tc>
          <w:tcPr>
            <w:tcW w:w="1860" w:type="dxa"/>
            <w:tcBorders>
              <w:top w:val="single" w:sz="8" w:space="0" w:color="auto"/>
              <w:bottom w:val="single" w:sz="8" w:space="0" w:color="auto"/>
              <w:right w:val="single" w:sz="8" w:space="0" w:color="auto"/>
            </w:tcBorders>
          </w:tcPr>
          <w:p w14:paraId="24C4F2DE" w14:textId="1083EB3E" w:rsidR="00871D16" w:rsidRDefault="00871D16" w:rsidP="00871D16">
            <w:pPr>
              <w:spacing w:line="360" w:lineRule="auto"/>
              <w:ind w:left="144"/>
              <w:rPr>
                <w:rFonts w:eastAsia="Times New Roman"/>
                <w:sz w:val="18"/>
                <w:szCs w:val="18"/>
              </w:rPr>
            </w:pPr>
            <w:r>
              <w:rPr>
                <w:rFonts w:eastAsia="Times New Roman"/>
                <w:sz w:val="18"/>
                <w:szCs w:val="18"/>
              </w:rPr>
              <w:t>Residue of banned herbicide</w:t>
            </w:r>
          </w:p>
        </w:tc>
        <w:tc>
          <w:tcPr>
            <w:tcW w:w="2440" w:type="dxa"/>
            <w:tcBorders>
              <w:top w:val="single" w:sz="8" w:space="0" w:color="auto"/>
              <w:bottom w:val="single" w:sz="8" w:space="0" w:color="auto"/>
              <w:right w:val="single" w:sz="8" w:space="0" w:color="auto"/>
            </w:tcBorders>
          </w:tcPr>
          <w:p w14:paraId="32A5E738" w14:textId="7B0325BA" w:rsidR="00871D16" w:rsidRPr="0090533B" w:rsidRDefault="00871D16" w:rsidP="00871D16">
            <w:pPr>
              <w:spacing w:line="360" w:lineRule="auto"/>
              <w:ind w:left="144"/>
              <w:rPr>
                <w:sz w:val="20"/>
                <w:szCs w:val="20"/>
              </w:rPr>
            </w:pPr>
            <w:r>
              <w:rPr>
                <w:rFonts w:eastAsia="Times New Roman"/>
                <w:sz w:val="18"/>
                <w:szCs w:val="18"/>
              </w:rPr>
              <w:t>Some people who drink water containing silvex in excess of the MCL over many years could experience liver problems.</w:t>
            </w:r>
          </w:p>
        </w:tc>
      </w:tr>
      <w:tr w:rsidR="00871D16" w14:paraId="59162000" w14:textId="77777777" w:rsidTr="00871D16">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403FD76D" w14:textId="1CFC4BEE" w:rsidR="00871D16" w:rsidRDefault="00871D16"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Acrylamide</w:t>
            </w:r>
          </w:p>
        </w:tc>
        <w:tc>
          <w:tcPr>
            <w:tcW w:w="1060" w:type="dxa"/>
            <w:tcBorders>
              <w:top w:val="single" w:sz="8" w:space="0" w:color="auto"/>
              <w:left w:val="single" w:sz="8" w:space="0" w:color="auto"/>
              <w:bottom w:val="single" w:sz="8" w:space="0" w:color="auto"/>
              <w:right w:val="single" w:sz="8" w:space="0" w:color="auto"/>
            </w:tcBorders>
            <w:vAlign w:val="center"/>
          </w:tcPr>
          <w:p w14:paraId="6C3849D6" w14:textId="27E3485F" w:rsidR="00871D16" w:rsidRDefault="00871D16" w:rsidP="00871D16">
            <w:pPr>
              <w:jc w:val="center"/>
              <w:rPr>
                <w:rFonts w:eastAsia="Times New Roman"/>
                <w:sz w:val="18"/>
                <w:szCs w:val="18"/>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467588DC" w14:textId="555C3FB3" w:rsidR="00871D16" w:rsidRDefault="00871D16" w:rsidP="00871D16">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26102BFA" w14:textId="7D636591" w:rsidR="00871D16" w:rsidRDefault="00871D16" w:rsidP="00871D16">
            <w:pPr>
              <w:jc w:val="center"/>
              <w:rPr>
                <w:rFonts w:eastAsia="Times New Roman"/>
                <w:sz w:val="18"/>
                <w:szCs w:val="18"/>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5573D74F" w14:textId="693C6701" w:rsidR="00871D16" w:rsidRDefault="00871D16" w:rsidP="00871D16">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5817C219" w14:textId="50F5E001" w:rsidR="00871D16" w:rsidRDefault="00871D16" w:rsidP="00DC62E1">
            <w:pPr>
              <w:spacing w:line="360" w:lineRule="auto"/>
              <w:ind w:left="144"/>
              <w:rPr>
                <w:rFonts w:eastAsia="Times New Roman"/>
                <w:sz w:val="18"/>
                <w:szCs w:val="18"/>
              </w:rPr>
            </w:pPr>
            <w:r>
              <w:rPr>
                <w:rFonts w:eastAsia="Times New Roman"/>
                <w:sz w:val="18"/>
                <w:szCs w:val="18"/>
              </w:rPr>
              <w:t>Added to water during sewage/ wastewater treatment</w:t>
            </w:r>
          </w:p>
        </w:tc>
        <w:tc>
          <w:tcPr>
            <w:tcW w:w="2440" w:type="dxa"/>
            <w:tcBorders>
              <w:top w:val="single" w:sz="8" w:space="0" w:color="auto"/>
              <w:bottom w:val="single" w:sz="8" w:space="0" w:color="auto"/>
              <w:right w:val="single" w:sz="8" w:space="0" w:color="auto"/>
            </w:tcBorders>
          </w:tcPr>
          <w:p w14:paraId="227E0F1A" w14:textId="7E92D642" w:rsidR="00871D16" w:rsidRDefault="00871D16" w:rsidP="00DC62E1">
            <w:pPr>
              <w:spacing w:line="360" w:lineRule="auto"/>
              <w:ind w:left="144"/>
              <w:rPr>
                <w:rFonts w:eastAsia="Times New Roman"/>
                <w:sz w:val="18"/>
                <w:szCs w:val="18"/>
              </w:rPr>
            </w:pPr>
            <w:r>
              <w:rPr>
                <w:rFonts w:eastAsia="Times New Roman"/>
                <w:sz w:val="18"/>
                <w:szCs w:val="18"/>
              </w:rPr>
              <w:t>Some people who drink</w:t>
            </w:r>
            <w:r w:rsidR="00DC62E1">
              <w:rPr>
                <w:rFonts w:eastAsia="Times New Roman"/>
                <w:sz w:val="18"/>
                <w:szCs w:val="18"/>
              </w:rPr>
              <w:t xml:space="preserve"> water containing high levels of acrylamide over a long period of time could have problems with their nervous system or blood, and may have an increased risk of getting cancer.</w:t>
            </w:r>
          </w:p>
        </w:tc>
      </w:tr>
      <w:tr w:rsidR="00DC62E1" w14:paraId="60EBAB91" w14:textId="77777777" w:rsidTr="00DC62E1">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3DC823EA" w14:textId="58E6E05F" w:rsidR="00DC62E1" w:rsidRDefault="00DC62E1"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Alachlor</w:t>
            </w:r>
          </w:p>
        </w:tc>
        <w:tc>
          <w:tcPr>
            <w:tcW w:w="1060" w:type="dxa"/>
            <w:tcBorders>
              <w:top w:val="single" w:sz="8" w:space="0" w:color="auto"/>
              <w:left w:val="single" w:sz="8" w:space="0" w:color="auto"/>
              <w:bottom w:val="single" w:sz="8" w:space="0" w:color="auto"/>
              <w:right w:val="single" w:sz="8" w:space="0" w:color="auto"/>
            </w:tcBorders>
            <w:vAlign w:val="center"/>
          </w:tcPr>
          <w:p w14:paraId="42169C9A" w14:textId="169961E3" w:rsidR="00DC62E1" w:rsidRDefault="00DC62E1" w:rsidP="00DC62E1">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78829C8E" w14:textId="51E4002D" w:rsidR="00DC62E1" w:rsidRDefault="00DC62E1" w:rsidP="00DC62E1">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45BCE0E8" w14:textId="6C78000C" w:rsidR="00DC62E1" w:rsidRDefault="00DC62E1" w:rsidP="00DC62E1">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7A0CFEB7" w14:textId="52A6B6D5" w:rsidR="00DC62E1" w:rsidRDefault="00DC62E1" w:rsidP="00DC62E1">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5F94BBE6" w14:textId="7DEA80FF" w:rsidR="00DC62E1" w:rsidRDefault="00DC62E1" w:rsidP="00DC62E1">
            <w:pPr>
              <w:spacing w:line="360" w:lineRule="auto"/>
              <w:ind w:left="144"/>
              <w:rPr>
                <w:rFonts w:eastAsia="Times New Roman"/>
                <w:sz w:val="18"/>
                <w:szCs w:val="18"/>
              </w:rPr>
            </w:pPr>
            <w:r>
              <w:rPr>
                <w:rFonts w:eastAsia="Times New Roman"/>
                <w:sz w:val="18"/>
                <w:szCs w:val="18"/>
              </w:rPr>
              <w:t>Runoff from herbicide used on row crops</w:t>
            </w:r>
          </w:p>
        </w:tc>
        <w:tc>
          <w:tcPr>
            <w:tcW w:w="2440" w:type="dxa"/>
            <w:tcBorders>
              <w:top w:val="single" w:sz="8" w:space="0" w:color="auto"/>
              <w:bottom w:val="single" w:sz="8" w:space="0" w:color="auto"/>
              <w:right w:val="single" w:sz="8" w:space="0" w:color="auto"/>
            </w:tcBorders>
          </w:tcPr>
          <w:p w14:paraId="67F9457D" w14:textId="74B52A08" w:rsidR="00DC62E1" w:rsidRDefault="00DC62E1" w:rsidP="00DC62E1">
            <w:pPr>
              <w:spacing w:line="360" w:lineRule="auto"/>
              <w:ind w:left="144"/>
              <w:rPr>
                <w:rFonts w:eastAsia="Times New Roman"/>
                <w:sz w:val="18"/>
                <w:szCs w:val="18"/>
              </w:rPr>
            </w:pPr>
            <w:r>
              <w:rPr>
                <w:rFonts w:eastAsia="Times New Roman"/>
                <w:sz w:val="18"/>
                <w:szCs w:val="18"/>
              </w:rPr>
              <w:t>Some people who drink water containing alachlor in excess of the MCL over many years could have problems with their eyes, liver, kidneys, or spleen, or experience anemia, and may have an increased risk of getting cancer.</w:t>
            </w:r>
          </w:p>
        </w:tc>
      </w:tr>
      <w:tr w:rsidR="00BC4A1E" w14:paraId="683EF4F3" w14:textId="77777777" w:rsidTr="00BC4A1E">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4880E53" w14:textId="7913F58B" w:rsidR="00BC4A1E" w:rsidRDefault="00BC4A1E"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Atrazine</w:t>
            </w:r>
          </w:p>
        </w:tc>
        <w:tc>
          <w:tcPr>
            <w:tcW w:w="1060" w:type="dxa"/>
            <w:tcBorders>
              <w:top w:val="single" w:sz="8" w:space="0" w:color="auto"/>
              <w:left w:val="single" w:sz="8" w:space="0" w:color="auto"/>
              <w:bottom w:val="single" w:sz="8" w:space="0" w:color="auto"/>
              <w:right w:val="single" w:sz="8" w:space="0" w:color="auto"/>
            </w:tcBorders>
            <w:vAlign w:val="center"/>
          </w:tcPr>
          <w:p w14:paraId="729A37AD" w14:textId="0550DC2A" w:rsidR="00BC4A1E" w:rsidRDefault="00BC4A1E" w:rsidP="00BC4A1E">
            <w:pPr>
              <w:jc w:val="center"/>
              <w:rPr>
                <w:rFonts w:eastAsia="Times New Roman"/>
                <w:sz w:val="18"/>
                <w:szCs w:val="18"/>
              </w:rPr>
            </w:pPr>
            <w:r>
              <w:rPr>
                <w:rFonts w:eastAsia="Times New Roman"/>
                <w:sz w:val="18"/>
                <w:szCs w:val="18"/>
              </w:rPr>
              <w:t>0.003 mg/l</w:t>
            </w:r>
          </w:p>
        </w:tc>
        <w:tc>
          <w:tcPr>
            <w:tcW w:w="1360" w:type="dxa"/>
            <w:tcBorders>
              <w:top w:val="single" w:sz="8" w:space="0" w:color="auto"/>
              <w:bottom w:val="single" w:sz="8" w:space="0" w:color="auto"/>
              <w:right w:val="single" w:sz="8" w:space="0" w:color="auto"/>
            </w:tcBorders>
            <w:vAlign w:val="center"/>
          </w:tcPr>
          <w:p w14:paraId="2156EA86" w14:textId="695D099F" w:rsidR="00BC4A1E" w:rsidRDefault="00BC4A1E" w:rsidP="00BC4A1E">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1E6FE821" w14:textId="4E99A680" w:rsidR="00BC4A1E" w:rsidRDefault="00BC4A1E" w:rsidP="00BC4A1E">
            <w:pPr>
              <w:jc w:val="center"/>
              <w:rPr>
                <w:rFonts w:eastAsia="Times New Roman"/>
                <w:sz w:val="18"/>
                <w:szCs w:val="18"/>
              </w:rPr>
            </w:pPr>
            <w:r>
              <w:rPr>
                <w:rFonts w:eastAsia="Times New Roman"/>
                <w:sz w:val="18"/>
                <w:szCs w:val="18"/>
              </w:rPr>
              <w:t>3 ppb</w:t>
            </w:r>
          </w:p>
        </w:tc>
        <w:tc>
          <w:tcPr>
            <w:tcW w:w="980" w:type="dxa"/>
            <w:tcBorders>
              <w:top w:val="single" w:sz="8" w:space="0" w:color="auto"/>
              <w:bottom w:val="single" w:sz="8" w:space="0" w:color="auto"/>
              <w:right w:val="single" w:sz="8" w:space="0" w:color="auto"/>
            </w:tcBorders>
            <w:vAlign w:val="center"/>
          </w:tcPr>
          <w:p w14:paraId="4628FE79" w14:textId="70274391" w:rsidR="00BC4A1E" w:rsidRDefault="00BC4A1E" w:rsidP="00BC4A1E">
            <w:pPr>
              <w:jc w:val="center"/>
              <w:rPr>
                <w:rFonts w:eastAsia="Times New Roman"/>
                <w:sz w:val="18"/>
                <w:szCs w:val="18"/>
              </w:rPr>
            </w:pPr>
            <w:r>
              <w:rPr>
                <w:rFonts w:eastAsia="Times New Roman"/>
                <w:sz w:val="18"/>
                <w:szCs w:val="18"/>
              </w:rPr>
              <w:t>3 ppb</w:t>
            </w:r>
          </w:p>
        </w:tc>
        <w:tc>
          <w:tcPr>
            <w:tcW w:w="1860" w:type="dxa"/>
            <w:tcBorders>
              <w:top w:val="single" w:sz="8" w:space="0" w:color="auto"/>
              <w:bottom w:val="single" w:sz="8" w:space="0" w:color="auto"/>
              <w:right w:val="single" w:sz="8" w:space="0" w:color="auto"/>
            </w:tcBorders>
          </w:tcPr>
          <w:p w14:paraId="2DB7428C" w14:textId="42B0BD9C" w:rsidR="00BC4A1E" w:rsidRDefault="00BC4A1E" w:rsidP="00BC4A1E">
            <w:pPr>
              <w:spacing w:line="360" w:lineRule="auto"/>
              <w:ind w:left="144"/>
              <w:rPr>
                <w:rFonts w:eastAsia="Times New Roman"/>
                <w:sz w:val="18"/>
                <w:szCs w:val="18"/>
              </w:rPr>
            </w:pPr>
            <w:r>
              <w:rPr>
                <w:rFonts w:eastAsia="Times New Roman"/>
                <w:sz w:val="18"/>
                <w:szCs w:val="18"/>
              </w:rPr>
              <w:t>Runoff from herbicide used on row crops</w:t>
            </w:r>
          </w:p>
        </w:tc>
        <w:tc>
          <w:tcPr>
            <w:tcW w:w="2440" w:type="dxa"/>
            <w:tcBorders>
              <w:top w:val="single" w:sz="8" w:space="0" w:color="auto"/>
              <w:bottom w:val="single" w:sz="8" w:space="0" w:color="auto"/>
              <w:right w:val="single" w:sz="8" w:space="0" w:color="auto"/>
            </w:tcBorders>
          </w:tcPr>
          <w:p w14:paraId="6A80BF7C" w14:textId="2F03DFC4" w:rsidR="00BC4A1E" w:rsidRDefault="00BC4A1E" w:rsidP="00BC4A1E">
            <w:pPr>
              <w:spacing w:line="360" w:lineRule="auto"/>
              <w:ind w:left="144"/>
              <w:rPr>
                <w:rFonts w:eastAsia="Times New Roman"/>
                <w:sz w:val="18"/>
                <w:szCs w:val="18"/>
              </w:rPr>
            </w:pPr>
            <w:r>
              <w:rPr>
                <w:rFonts w:eastAsia="Times New Roman"/>
                <w:sz w:val="18"/>
                <w:szCs w:val="18"/>
              </w:rPr>
              <w:t>Some people who drink water containing atrazine well in excess of the MCL over many years could experience problems with their cardiovascular system or reproductive difficulties.</w:t>
            </w:r>
          </w:p>
        </w:tc>
      </w:tr>
    </w:tbl>
    <w:p w14:paraId="281A31F4" w14:textId="77777777" w:rsidR="004647B9" w:rsidRDefault="004647B9">
      <w:pPr>
        <w:spacing w:line="347" w:lineRule="exact"/>
        <w:rPr>
          <w:sz w:val="20"/>
          <w:szCs w:val="20"/>
        </w:rPr>
      </w:pPr>
    </w:p>
    <w:p w14:paraId="281A33F7" w14:textId="77777777" w:rsidR="004647B9" w:rsidRDefault="004647B9">
      <w:pPr>
        <w:sectPr w:rsidR="004647B9" w:rsidSect="00EF630C">
          <w:pgSz w:w="12240" w:h="20180"/>
          <w:pgMar w:top="708" w:right="940" w:bottom="1440" w:left="600" w:header="0" w:footer="0" w:gutter="0"/>
          <w:cols w:space="720"/>
        </w:sectPr>
      </w:pPr>
    </w:p>
    <w:p w14:paraId="281A33F8" w14:textId="77777777" w:rsidR="004647B9" w:rsidRDefault="00E2436F">
      <w:pPr>
        <w:tabs>
          <w:tab w:val="left" w:pos="2860"/>
        </w:tabs>
        <w:ind w:left="1680"/>
        <w:rPr>
          <w:sz w:val="20"/>
          <w:szCs w:val="20"/>
        </w:rPr>
      </w:pPr>
      <w:bookmarkStart w:id="228" w:name="page230"/>
      <w:bookmarkEnd w:id="22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3F9" w14:textId="77777777" w:rsidR="004647B9" w:rsidRDefault="004647B9" w:rsidP="00E023ED">
      <w:pPr>
        <w:rPr>
          <w:sz w:val="20"/>
          <w:szCs w:val="20"/>
        </w:rPr>
      </w:pPr>
    </w:p>
    <w:p w14:paraId="3A26C540" w14:textId="77777777" w:rsidR="00E023ED" w:rsidRDefault="00E023ED" w:rsidP="00E023ED">
      <w:pPr>
        <w:rPr>
          <w:sz w:val="20"/>
          <w:szCs w:val="20"/>
        </w:rPr>
      </w:pPr>
    </w:p>
    <w:p w14:paraId="281A33FA"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33FB"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8933F3" w14:paraId="5B11C49E"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2C965C1D" w14:textId="77777777" w:rsidR="008933F3" w:rsidRDefault="008933F3"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1F5881C1" w14:textId="77777777" w:rsidR="008933F3" w:rsidRDefault="008933F3"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21768BF4" w14:textId="77777777" w:rsidR="008933F3" w:rsidRDefault="008933F3"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BE3C404" w14:textId="77777777" w:rsidR="008933F3" w:rsidRDefault="008933F3"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4BE3A605" w14:textId="77777777" w:rsidR="008933F3" w:rsidRDefault="008933F3"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7764DC1D" w14:textId="77777777" w:rsidR="008933F3" w:rsidRDefault="008933F3"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735D3D9E" w14:textId="77777777" w:rsidR="008933F3" w:rsidRDefault="008933F3" w:rsidP="00DF6443">
            <w:pPr>
              <w:jc w:val="center"/>
              <w:rPr>
                <w:sz w:val="20"/>
                <w:szCs w:val="20"/>
              </w:rPr>
            </w:pPr>
            <w:r>
              <w:rPr>
                <w:rFonts w:eastAsia="Times New Roman"/>
                <w:sz w:val="18"/>
                <w:szCs w:val="18"/>
              </w:rPr>
              <w:t>Health Effects Language</w:t>
            </w:r>
          </w:p>
        </w:tc>
      </w:tr>
      <w:tr w:rsidR="008933F3" w14:paraId="0AD0D915" w14:textId="77777777" w:rsidTr="008933F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7CD7F5D5" w14:textId="03FBFA02" w:rsidR="008933F3" w:rsidRPr="00E6483D" w:rsidRDefault="008933F3"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Benzo(a)pyrene [PAH]</w:t>
            </w:r>
          </w:p>
        </w:tc>
        <w:tc>
          <w:tcPr>
            <w:tcW w:w="1060" w:type="dxa"/>
            <w:tcBorders>
              <w:top w:val="single" w:sz="8" w:space="0" w:color="auto"/>
              <w:left w:val="single" w:sz="8" w:space="0" w:color="auto"/>
              <w:bottom w:val="single" w:sz="8" w:space="0" w:color="auto"/>
              <w:right w:val="single" w:sz="8" w:space="0" w:color="auto"/>
            </w:tcBorders>
            <w:vAlign w:val="center"/>
          </w:tcPr>
          <w:p w14:paraId="03FEE012" w14:textId="2CAE0697" w:rsidR="008933F3" w:rsidRDefault="008933F3" w:rsidP="008933F3">
            <w:pPr>
              <w:jc w:val="center"/>
              <w:rPr>
                <w:rFonts w:eastAsia="Times New Roman"/>
                <w:sz w:val="18"/>
                <w:szCs w:val="18"/>
              </w:rPr>
            </w:pPr>
            <w:r>
              <w:rPr>
                <w:rFonts w:eastAsia="Times New Roman"/>
                <w:sz w:val="18"/>
                <w:szCs w:val="18"/>
              </w:rPr>
              <w:t>0.0002 mg/l</w:t>
            </w:r>
          </w:p>
        </w:tc>
        <w:tc>
          <w:tcPr>
            <w:tcW w:w="1360" w:type="dxa"/>
            <w:tcBorders>
              <w:top w:val="single" w:sz="8" w:space="0" w:color="auto"/>
              <w:bottom w:val="single" w:sz="8" w:space="0" w:color="auto"/>
              <w:right w:val="single" w:sz="8" w:space="0" w:color="auto"/>
            </w:tcBorders>
            <w:vAlign w:val="center"/>
          </w:tcPr>
          <w:p w14:paraId="63E6D765" w14:textId="013C9B15" w:rsidR="008933F3" w:rsidRDefault="008933F3" w:rsidP="008933F3">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29E23B1F" w14:textId="649E5799" w:rsidR="008933F3" w:rsidRDefault="008933F3" w:rsidP="008933F3">
            <w:pPr>
              <w:jc w:val="center"/>
              <w:rPr>
                <w:rFonts w:eastAsia="Times New Roman"/>
                <w:sz w:val="18"/>
                <w:szCs w:val="18"/>
              </w:rPr>
            </w:pPr>
            <w:r>
              <w:rPr>
                <w:rFonts w:eastAsia="Times New Roman"/>
                <w:sz w:val="18"/>
                <w:szCs w:val="18"/>
              </w:rPr>
              <w:t>200 ppt</w:t>
            </w:r>
          </w:p>
        </w:tc>
        <w:tc>
          <w:tcPr>
            <w:tcW w:w="980" w:type="dxa"/>
            <w:tcBorders>
              <w:top w:val="single" w:sz="8" w:space="0" w:color="auto"/>
              <w:bottom w:val="single" w:sz="8" w:space="0" w:color="auto"/>
              <w:right w:val="single" w:sz="8" w:space="0" w:color="auto"/>
            </w:tcBorders>
            <w:vAlign w:val="center"/>
          </w:tcPr>
          <w:p w14:paraId="6702F0A5" w14:textId="29936379" w:rsidR="008933F3" w:rsidRDefault="008933F3" w:rsidP="008933F3">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76D6E8B8" w14:textId="1A72B628" w:rsidR="008933F3" w:rsidRDefault="008933F3" w:rsidP="008933F3">
            <w:pPr>
              <w:spacing w:line="328" w:lineRule="auto"/>
              <w:ind w:left="144"/>
              <w:rPr>
                <w:rFonts w:eastAsia="Times New Roman"/>
                <w:sz w:val="18"/>
                <w:szCs w:val="18"/>
              </w:rPr>
            </w:pPr>
            <w:r>
              <w:rPr>
                <w:rFonts w:eastAsia="Times New Roman"/>
                <w:sz w:val="18"/>
                <w:szCs w:val="18"/>
              </w:rPr>
              <w:t>Leaching from linings of water storage tanks and distribution lines</w:t>
            </w:r>
          </w:p>
        </w:tc>
        <w:tc>
          <w:tcPr>
            <w:tcW w:w="2440" w:type="dxa"/>
            <w:tcBorders>
              <w:top w:val="single" w:sz="8" w:space="0" w:color="auto"/>
              <w:bottom w:val="single" w:sz="8" w:space="0" w:color="auto"/>
              <w:right w:val="single" w:sz="8" w:space="0" w:color="auto"/>
            </w:tcBorders>
          </w:tcPr>
          <w:p w14:paraId="2DAAC192" w14:textId="20C07D3C" w:rsidR="008933F3" w:rsidRPr="0090533B" w:rsidRDefault="008933F3" w:rsidP="008933F3">
            <w:pPr>
              <w:spacing w:line="328" w:lineRule="auto"/>
              <w:ind w:left="144"/>
              <w:rPr>
                <w:sz w:val="20"/>
                <w:szCs w:val="20"/>
              </w:rPr>
            </w:pPr>
            <w:r>
              <w:rPr>
                <w:rFonts w:eastAsia="Times New Roman"/>
                <w:sz w:val="18"/>
                <w:szCs w:val="18"/>
              </w:rPr>
              <w:t>Some people who drink water containing benzo(a)pyrene in excess of the MCL over many years may experience reproductive difficulties and may have an increased risk of getting cancer.</w:t>
            </w:r>
          </w:p>
        </w:tc>
      </w:tr>
      <w:tr w:rsidR="008933F3" w14:paraId="438FBDB2" w14:textId="77777777" w:rsidTr="008933F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924A258" w14:textId="03A1B7A7" w:rsidR="008933F3" w:rsidRDefault="008933F3"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Carbofuran</w:t>
            </w:r>
          </w:p>
        </w:tc>
        <w:tc>
          <w:tcPr>
            <w:tcW w:w="1060" w:type="dxa"/>
            <w:tcBorders>
              <w:top w:val="single" w:sz="8" w:space="0" w:color="auto"/>
              <w:left w:val="single" w:sz="8" w:space="0" w:color="auto"/>
              <w:bottom w:val="single" w:sz="8" w:space="0" w:color="auto"/>
              <w:right w:val="single" w:sz="8" w:space="0" w:color="auto"/>
            </w:tcBorders>
            <w:vAlign w:val="center"/>
          </w:tcPr>
          <w:p w14:paraId="5D74C7C8" w14:textId="16EFBFB9" w:rsidR="008933F3" w:rsidRDefault="008933F3" w:rsidP="008933F3">
            <w:pPr>
              <w:jc w:val="center"/>
              <w:rPr>
                <w:rFonts w:eastAsia="Times New Roman"/>
                <w:sz w:val="18"/>
                <w:szCs w:val="18"/>
              </w:rPr>
            </w:pPr>
            <w:r>
              <w:rPr>
                <w:rFonts w:eastAsia="Times New Roman"/>
                <w:sz w:val="18"/>
                <w:szCs w:val="18"/>
              </w:rPr>
              <w:t>0.04 mg/l</w:t>
            </w:r>
          </w:p>
        </w:tc>
        <w:tc>
          <w:tcPr>
            <w:tcW w:w="1360" w:type="dxa"/>
            <w:tcBorders>
              <w:top w:val="single" w:sz="8" w:space="0" w:color="auto"/>
              <w:bottom w:val="single" w:sz="8" w:space="0" w:color="auto"/>
              <w:right w:val="single" w:sz="8" w:space="0" w:color="auto"/>
            </w:tcBorders>
            <w:vAlign w:val="center"/>
          </w:tcPr>
          <w:p w14:paraId="64213E3D" w14:textId="231D3FA9" w:rsidR="008933F3" w:rsidRDefault="008933F3" w:rsidP="008933F3">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6A5D8A4A" w14:textId="23F1FAA3" w:rsidR="008933F3" w:rsidRDefault="008933F3" w:rsidP="008933F3">
            <w:pPr>
              <w:jc w:val="center"/>
              <w:rPr>
                <w:rFonts w:eastAsia="Times New Roman"/>
                <w:sz w:val="18"/>
                <w:szCs w:val="18"/>
              </w:rPr>
            </w:pPr>
            <w:r>
              <w:rPr>
                <w:rFonts w:eastAsia="Times New Roman"/>
                <w:sz w:val="18"/>
                <w:szCs w:val="18"/>
              </w:rPr>
              <w:t>40 ppb</w:t>
            </w:r>
          </w:p>
        </w:tc>
        <w:tc>
          <w:tcPr>
            <w:tcW w:w="980" w:type="dxa"/>
            <w:tcBorders>
              <w:top w:val="single" w:sz="8" w:space="0" w:color="auto"/>
              <w:bottom w:val="single" w:sz="8" w:space="0" w:color="auto"/>
              <w:right w:val="single" w:sz="8" w:space="0" w:color="auto"/>
            </w:tcBorders>
            <w:vAlign w:val="center"/>
          </w:tcPr>
          <w:p w14:paraId="218F3AD0" w14:textId="56FC9B80" w:rsidR="008933F3" w:rsidRDefault="008933F3" w:rsidP="008933F3">
            <w:pPr>
              <w:jc w:val="center"/>
              <w:rPr>
                <w:rFonts w:eastAsia="Times New Roman"/>
                <w:sz w:val="18"/>
                <w:szCs w:val="18"/>
              </w:rPr>
            </w:pPr>
            <w:r>
              <w:rPr>
                <w:rFonts w:eastAsia="Times New Roman"/>
                <w:sz w:val="18"/>
                <w:szCs w:val="18"/>
              </w:rPr>
              <w:t>40 ppb</w:t>
            </w:r>
          </w:p>
        </w:tc>
        <w:tc>
          <w:tcPr>
            <w:tcW w:w="1860" w:type="dxa"/>
            <w:tcBorders>
              <w:top w:val="single" w:sz="8" w:space="0" w:color="auto"/>
              <w:bottom w:val="single" w:sz="8" w:space="0" w:color="auto"/>
              <w:right w:val="single" w:sz="8" w:space="0" w:color="auto"/>
            </w:tcBorders>
          </w:tcPr>
          <w:p w14:paraId="0ECFEFB1" w14:textId="1D20ED94" w:rsidR="008933F3" w:rsidRDefault="008933F3" w:rsidP="008933F3">
            <w:pPr>
              <w:spacing w:line="328" w:lineRule="auto"/>
              <w:ind w:left="144"/>
              <w:rPr>
                <w:rFonts w:eastAsia="Times New Roman"/>
                <w:sz w:val="18"/>
                <w:szCs w:val="18"/>
              </w:rPr>
            </w:pPr>
            <w:r>
              <w:rPr>
                <w:rFonts w:eastAsia="Times New Roman"/>
                <w:sz w:val="18"/>
                <w:szCs w:val="18"/>
              </w:rPr>
              <w:t>Leaching of soil fumigant used on rice and alfalfa</w:t>
            </w:r>
          </w:p>
        </w:tc>
        <w:tc>
          <w:tcPr>
            <w:tcW w:w="2440" w:type="dxa"/>
            <w:tcBorders>
              <w:top w:val="single" w:sz="8" w:space="0" w:color="auto"/>
              <w:bottom w:val="single" w:sz="8" w:space="0" w:color="auto"/>
              <w:right w:val="single" w:sz="8" w:space="0" w:color="auto"/>
            </w:tcBorders>
          </w:tcPr>
          <w:p w14:paraId="5A2B20A2" w14:textId="54E2C30F" w:rsidR="008933F3" w:rsidRPr="008933F3" w:rsidRDefault="008933F3" w:rsidP="008933F3">
            <w:pPr>
              <w:spacing w:line="328" w:lineRule="auto"/>
              <w:ind w:left="144"/>
              <w:rPr>
                <w:rFonts w:eastAsia="Times New Roman"/>
                <w:sz w:val="18"/>
                <w:szCs w:val="18"/>
              </w:rPr>
            </w:pPr>
            <w:r>
              <w:rPr>
                <w:rFonts w:eastAsia="Times New Roman"/>
                <w:sz w:val="18"/>
                <w:szCs w:val="18"/>
              </w:rPr>
              <w:t>Some people who drink water containing carbofuran in excess of the MCL over many years could experience problems with their blood, or nervous or reproductive systems.</w:t>
            </w:r>
          </w:p>
        </w:tc>
      </w:tr>
      <w:tr w:rsidR="008933F3" w14:paraId="56B5D4DB" w14:textId="77777777" w:rsidTr="00DF644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7C6D1D24" w14:textId="39CD9E3F" w:rsidR="008933F3" w:rsidRDefault="008933F3"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Chlordane</w:t>
            </w:r>
          </w:p>
        </w:tc>
        <w:tc>
          <w:tcPr>
            <w:tcW w:w="1060" w:type="dxa"/>
            <w:tcBorders>
              <w:top w:val="single" w:sz="8" w:space="0" w:color="auto"/>
              <w:left w:val="single" w:sz="8" w:space="0" w:color="auto"/>
              <w:bottom w:val="single" w:sz="8" w:space="0" w:color="auto"/>
              <w:right w:val="single" w:sz="8" w:space="0" w:color="auto"/>
            </w:tcBorders>
            <w:vAlign w:val="center"/>
          </w:tcPr>
          <w:p w14:paraId="0103F939" w14:textId="613641A1" w:rsidR="008933F3" w:rsidRDefault="008933F3" w:rsidP="008933F3">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107CBF06" w14:textId="118373E5" w:rsidR="008933F3" w:rsidRDefault="008933F3" w:rsidP="008933F3">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1CB90F51" w14:textId="40237B22" w:rsidR="008933F3" w:rsidRDefault="008933F3" w:rsidP="008933F3">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028D5602" w14:textId="2C379F8B" w:rsidR="008933F3" w:rsidRDefault="008933F3" w:rsidP="008933F3">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03292FB5" w14:textId="6A9D42BA" w:rsidR="008933F3" w:rsidRDefault="008933F3" w:rsidP="008933F3">
            <w:pPr>
              <w:spacing w:line="328" w:lineRule="auto"/>
              <w:ind w:left="144"/>
              <w:rPr>
                <w:rFonts w:eastAsia="Times New Roman"/>
                <w:sz w:val="18"/>
                <w:szCs w:val="18"/>
              </w:rPr>
            </w:pPr>
            <w:r>
              <w:rPr>
                <w:rFonts w:eastAsia="Times New Roman"/>
                <w:sz w:val="18"/>
                <w:szCs w:val="18"/>
              </w:rPr>
              <w:t>Residue of banned termiticide</w:t>
            </w:r>
          </w:p>
        </w:tc>
        <w:tc>
          <w:tcPr>
            <w:tcW w:w="2440" w:type="dxa"/>
            <w:tcBorders>
              <w:top w:val="single" w:sz="8" w:space="0" w:color="auto"/>
              <w:bottom w:val="single" w:sz="8" w:space="0" w:color="auto"/>
              <w:right w:val="single" w:sz="8" w:space="0" w:color="auto"/>
            </w:tcBorders>
            <w:vAlign w:val="bottom"/>
          </w:tcPr>
          <w:p w14:paraId="5E17EB96" w14:textId="79944B91" w:rsidR="008933F3" w:rsidRDefault="008933F3" w:rsidP="008933F3">
            <w:pPr>
              <w:spacing w:line="328" w:lineRule="auto"/>
              <w:ind w:left="144"/>
              <w:rPr>
                <w:rFonts w:eastAsia="Times New Roman"/>
                <w:sz w:val="18"/>
                <w:szCs w:val="18"/>
              </w:rPr>
            </w:pPr>
            <w:r>
              <w:rPr>
                <w:rFonts w:eastAsia="Times New Roman"/>
                <w:sz w:val="18"/>
                <w:szCs w:val="18"/>
              </w:rPr>
              <w:t>Some people who drink water containing chlordane in excess of the MCL over many years could experience problems with their liver or nervous system, and may have an increased risk of getting cancer.</w:t>
            </w:r>
          </w:p>
        </w:tc>
      </w:tr>
      <w:tr w:rsidR="008933F3" w14:paraId="60F28762" w14:textId="77777777" w:rsidTr="008933F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18B3BDB6" w14:textId="3DFE1AD0" w:rsidR="008933F3" w:rsidRDefault="008933F3"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Dalapon</w:t>
            </w:r>
          </w:p>
        </w:tc>
        <w:tc>
          <w:tcPr>
            <w:tcW w:w="1060" w:type="dxa"/>
            <w:tcBorders>
              <w:top w:val="single" w:sz="8" w:space="0" w:color="auto"/>
              <w:left w:val="single" w:sz="8" w:space="0" w:color="auto"/>
              <w:bottom w:val="single" w:sz="8" w:space="0" w:color="auto"/>
              <w:right w:val="single" w:sz="8" w:space="0" w:color="auto"/>
            </w:tcBorders>
            <w:vAlign w:val="center"/>
          </w:tcPr>
          <w:p w14:paraId="4281B507" w14:textId="2310089D" w:rsidR="008933F3" w:rsidRDefault="008933F3" w:rsidP="008933F3">
            <w:pPr>
              <w:jc w:val="center"/>
              <w:rPr>
                <w:rFonts w:eastAsia="Times New Roman"/>
                <w:sz w:val="18"/>
                <w:szCs w:val="18"/>
              </w:rPr>
            </w:pPr>
            <w:r>
              <w:rPr>
                <w:rFonts w:eastAsia="Times New Roman"/>
                <w:sz w:val="18"/>
                <w:szCs w:val="18"/>
              </w:rPr>
              <w:t>0.2 mg/l</w:t>
            </w:r>
          </w:p>
        </w:tc>
        <w:tc>
          <w:tcPr>
            <w:tcW w:w="1360" w:type="dxa"/>
            <w:tcBorders>
              <w:top w:val="single" w:sz="8" w:space="0" w:color="auto"/>
              <w:bottom w:val="single" w:sz="8" w:space="0" w:color="auto"/>
              <w:right w:val="single" w:sz="8" w:space="0" w:color="auto"/>
            </w:tcBorders>
            <w:vAlign w:val="center"/>
          </w:tcPr>
          <w:p w14:paraId="050A9315" w14:textId="4975C1DB" w:rsidR="008933F3" w:rsidRDefault="008933F3" w:rsidP="008933F3">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1B92F53" w14:textId="3337718F" w:rsidR="008933F3" w:rsidRDefault="008933F3" w:rsidP="008933F3">
            <w:pPr>
              <w:jc w:val="center"/>
              <w:rPr>
                <w:rFonts w:eastAsia="Times New Roman"/>
                <w:sz w:val="18"/>
                <w:szCs w:val="18"/>
              </w:rPr>
            </w:pPr>
            <w:r>
              <w:rPr>
                <w:rFonts w:eastAsia="Times New Roman"/>
                <w:sz w:val="18"/>
                <w:szCs w:val="18"/>
              </w:rPr>
              <w:t>200 ppb</w:t>
            </w:r>
          </w:p>
        </w:tc>
        <w:tc>
          <w:tcPr>
            <w:tcW w:w="980" w:type="dxa"/>
            <w:tcBorders>
              <w:top w:val="single" w:sz="8" w:space="0" w:color="auto"/>
              <w:bottom w:val="single" w:sz="8" w:space="0" w:color="auto"/>
              <w:right w:val="single" w:sz="8" w:space="0" w:color="auto"/>
            </w:tcBorders>
            <w:vAlign w:val="center"/>
          </w:tcPr>
          <w:p w14:paraId="38593A73" w14:textId="12B7352E" w:rsidR="008933F3" w:rsidRDefault="008933F3" w:rsidP="008933F3">
            <w:pPr>
              <w:jc w:val="center"/>
              <w:rPr>
                <w:rFonts w:eastAsia="Times New Roman"/>
                <w:sz w:val="18"/>
                <w:szCs w:val="18"/>
              </w:rPr>
            </w:pPr>
            <w:r>
              <w:rPr>
                <w:rFonts w:eastAsia="Times New Roman"/>
                <w:sz w:val="18"/>
                <w:szCs w:val="18"/>
              </w:rPr>
              <w:t>200 ppb</w:t>
            </w:r>
          </w:p>
        </w:tc>
        <w:tc>
          <w:tcPr>
            <w:tcW w:w="1860" w:type="dxa"/>
            <w:tcBorders>
              <w:top w:val="single" w:sz="8" w:space="0" w:color="auto"/>
              <w:bottom w:val="single" w:sz="8" w:space="0" w:color="auto"/>
              <w:right w:val="single" w:sz="8" w:space="0" w:color="auto"/>
            </w:tcBorders>
          </w:tcPr>
          <w:p w14:paraId="52242991" w14:textId="0E43C394" w:rsidR="008933F3" w:rsidRDefault="008933F3" w:rsidP="0028574F">
            <w:pPr>
              <w:spacing w:line="328" w:lineRule="auto"/>
              <w:ind w:left="144"/>
              <w:rPr>
                <w:rFonts w:eastAsia="Times New Roman"/>
                <w:sz w:val="18"/>
                <w:szCs w:val="18"/>
              </w:rPr>
            </w:pPr>
            <w:r>
              <w:rPr>
                <w:rFonts w:eastAsia="Times New Roman"/>
                <w:sz w:val="18"/>
                <w:szCs w:val="18"/>
              </w:rPr>
              <w:t>Runoff from herbicide used on rights of way</w:t>
            </w:r>
          </w:p>
        </w:tc>
        <w:tc>
          <w:tcPr>
            <w:tcW w:w="2440" w:type="dxa"/>
            <w:tcBorders>
              <w:top w:val="single" w:sz="8" w:space="0" w:color="auto"/>
              <w:bottom w:val="single" w:sz="8" w:space="0" w:color="auto"/>
              <w:right w:val="single" w:sz="8" w:space="0" w:color="auto"/>
            </w:tcBorders>
          </w:tcPr>
          <w:p w14:paraId="505B7DB6" w14:textId="1E6EEF14" w:rsidR="008933F3" w:rsidRDefault="008933F3" w:rsidP="0028574F">
            <w:pPr>
              <w:spacing w:line="328" w:lineRule="auto"/>
              <w:ind w:left="144"/>
              <w:rPr>
                <w:rFonts w:eastAsia="Times New Roman"/>
                <w:sz w:val="18"/>
                <w:szCs w:val="18"/>
              </w:rPr>
            </w:pPr>
            <w:r>
              <w:rPr>
                <w:rFonts w:eastAsia="Times New Roman"/>
                <w:sz w:val="18"/>
                <w:szCs w:val="18"/>
              </w:rPr>
              <w:t>Some people who drink water containing dalapon</w:t>
            </w:r>
            <w:r w:rsidR="0028574F">
              <w:rPr>
                <w:rFonts w:eastAsia="Times New Roman"/>
                <w:sz w:val="18"/>
                <w:szCs w:val="18"/>
              </w:rPr>
              <w:t xml:space="preserve"> </w:t>
            </w:r>
            <w:r>
              <w:rPr>
                <w:rFonts w:eastAsia="Times New Roman"/>
                <w:sz w:val="18"/>
                <w:szCs w:val="18"/>
              </w:rPr>
              <w:t>well in excess of the MCL</w:t>
            </w:r>
            <w:r w:rsidR="0028574F">
              <w:rPr>
                <w:rFonts w:eastAsia="Times New Roman"/>
                <w:sz w:val="18"/>
                <w:szCs w:val="18"/>
              </w:rPr>
              <w:t xml:space="preserve"> </w:t>
            </w:r>
            <w:r>
              <w:rPr>
                <w:rFonts w:eastAsia="Times New Roman"/>
                <w:sz w:val="18"/>
                <w:szCs w:val="18"/>
              </w:rPr>
              <w:t>over many years could</w:t>
            </w:r>
            <w:r w:rsidR="0028574F">
              <w:rPr>
                <w:rFonts w:eastAsia="Times New Roman"/>
                <w:sz w:val="18"/>
                <w:szCs w:val="18"/>
              </w:rPr>
              <w:t xml:space="preserve"> </w:t>
            </w:r>
            <w:r>
              <w:rPr>
                <w:rFonts w:eastAsia="Times New Roman"/>
                <w:sz w:val="18"/>
                <w:szCs w:val="18"/>
              </w:rPr>
              <w:t>experience minor kidney</w:t>
            </w:r>
            <w:r w:rsidR="0028574F">
              <w:rPr>
                <w:rFonts w:eastAsia="Times New Roman"/>
                <w:sz w:val="18"/>
                <w:szCs w:val="18"/>
              </w:rPr>
              <w:t xml:space="preserve"> </w:t>
            </w:r>
            <w:r>
              <w:rPr>
                <w:rFonts w:eastAsia="Times New Roman"/>
                <w:sz w:val="18"/>
                <w:szCs w:val="18"/>
              </w:rPr>
              <w:t>changes.</w:t>
            </w:r>
          </w:p>
        </w:tc>
      </w:tr>
      <w:tr w:rsidR="0028574F" w14:paraId="59509C1F" w14:textId="77777777" w:rsidTr="00DF644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3409364" w14:textId="3EB0FA02" w:rsidR="0028574F" w:rsidRDefault="0028574F"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Di(2-ethylhexyl) adipate</w:t>
            </w:r>
          </w:p>
        </w:tc>
        <w:tc>
          <w:tcPr>
            <w:tcW w:w="1060" w:type="dxa"/>
            <w:tcBorders>
              <w:top w:val="single" w:sz="8" w:space="0" w:color="auto"/>
              <w:left w:val="single" w:sz="8" w:space="0" w:color="auto"/>
              <w:bottom w:val="single" w:sz="8" w:space="0" w:color="auto"/>
              <w:right w:val="single" w:sz="8" w:space="0" w:color="auto"/>
            </w:tcBorders>
            <w:vAlign w:val="center"/>
          </w:tcPr>
          <w:p w14:paraId="6F634688" w14:textId="024D7864" w:rsidR="0028574F" w:rsidRDefault="0028574F" w:rsidP="0028574F">
            <w:pPr>
              <w:jc w:val="center"/>
              <w:rPr>
                <w:rFonts w:eastAsia="Times New Roman"/>
                <w:sz w:val="18"/>
                <w:szCs w:val="18"/>
              </w:rPr>
            </w:pPr>
            <w:r>
              <w:rPr>
                <w:rFonts w:eastAsia="Times New Roman"/>
                <w:sz w:val="18"/>
                <w:szCs w:val="18"/>
              </w:rPr>
              <w:t>0.4 mg/l</w:t>
            </w:r>
          </w:p>
        </w:tc>
        <w:tc>
          <w:tcPr>
            <w:tcW w:w="1360" w:type="dxa"/>
            <w:tcBorders>
              <w:top w:val="single" w:sz="8" w:space="0" w:color="auto"/>
              <w:bottom w:val="single" w:sz="8" w:space="0" w:color="auto"/>
              <w:right w:val="single" w:sz="8" w:space="0" w:color="auto"/>
            </w:tcBorders>
            <w:vAlign w:val="center"/>
          </w:tcPr>
          <w:p w14:paraId="4E95BC20" w14:textId="57F41EA0" w:rsidR="0028574F" w:rsidRDefault="0028574F" w:rsidP="0028574F">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615F070B" w14:textId="3484E5B1" w:rsidR="0028574F" w:rsidRDefault="0028574F" w:rsidP="0028574F">
            <w:pPr>
              <w:jc w:val="center"/>
              <w:rPr>
                <w:rFonts w:eastAsia="Times New Roman"/>
                <w:sz w:val="18"/>
                <w:szCs w:val="18"/>
              </w:rPr>
            </w:pPr>
            <w:r>
              <w:rPr>
                <w:rFonts w:eastAsia="Times New Roman"/>
                <w:sz w:val="18"/>
                <w:szCs w:val="18"/>
              </w:rPr>
              <w:t>400 ppb</w:t>
            </w:r>
          </w:p>
        </w:tc>
        <w:tc>
          <w:tcPr>
            <w:tcW w:w="980" w:type="dxa"/>
            <w:tcBorders>
              <w:top w:val="single" w:sz="8" w:space="0" w:color="auto"/>
              <w:bottom w:val="single" w:sz="8" w:space="0" w:color="auto"/>
              <w:right w:val="single" w:sz="8" w:space="0" w:color="auto"/>
            </w:tcBorders>
            <w:vAlign w:val="center"/>
          </w:tcPr>
          <w:p w14:paraId="159E0EA9" w14:textId="2C763589" w:rsidR="0028574F" w:rsidRDefault="0028574F" w:rsidP="0028574F">
            <w:pPr>
              <w:jc w:val="center"/>
              <w:rPr>
                <w:rFonts w:eastAsia="Times New Roman"/>
                <w:sz w:val="18"/>
                <w:szCs w:val="18"/>
              </w:rPr>
            </w:pPr>
            <w:r>
              <w:rPr>
                <w:rFonts w:eastAsia="Times New Roman"/>
                <w:sz w:val="18"/>
                <w:szCs w:val="18"/>
              </w:rPr>
              <w:t>400 ppb</w:t>
            </w:r>
          </w:p>
        </w:tc>
        <w:tc>
          <w:tcPr>
            <w:tcW w:w="1860" w:type="dxa"/>
            <w:tcBorders>
              <w:top w:val="single" w:sz="8" w:space="0" w:color="auto"/>
              <w:bottom w:val="single" w:sz="8" w:space="0" w:color="auto"/>
              <w:right w:val="single" w:sz="8" w:space="0" w:color="auto"/>
            </w:tcBorders>
          </w:tcPr>
          <w:p w14:paraId="6BA51ED1" w14:textId="3DEADF19" w:rsidR="0028574F" w:rsidRDefault="0028574F" w:rsidP="0028574F">
            <w:pPr>
              <w:spacing w:line="328" w:lineRule="auto"/>
              <w:ind w:left="144"/>
              <w:rPr>
                <w:rFonts w:eastAsia="Times New Roman"/>
                <w:sz w:val="18"/>
                <w:szCs w:val="18"/>
              </w:rPr>
            </w:pPr>
            <w:r>
              <w:rPr>
                <w:rFonts w:eastAsia="Times New Roman"/>
                <w:sz w:val="18"/>
                <w:szCs w:val="18"/>
              </w:rPr>
              <w:t>Discharge from chemical factories</w:t>
            </w:r>
          </w:p>
        </w:tc>
        <w:tc>
          <w:tcPr>
            <w:tcW w:w="2440" w:type="dxa"/>
            <w:tcBorders>
              <w:top w:val="single" w:sz="8" w:space="0" w:color="auto"/>
              <w:bottom w:val="single" w:sz="8" w:space="0" w:color="auto"/>
              <w:right w:val="single" w:sz="8" w:space="0" w:color="auto"/>
            </w:tcBorders>
            <w:vAlign w:val="bottom"/>
          </w:tcPr>
          <w:p w14:paraId="389C2552" w14:textId="553B4057" w:rsidR="0028574F" w:rsidRDefault="0028574F" w:rsidP="0028574F">
            <w:pPr>
              <w:spacing w:line="328" w:lineRule="auto"/>
              <w:ind w:left="144"/>
              <w:rPr>
                <w:rFonts w:eastAsia="Times New Roman"/>
                <w:sz w:val="18"/>
                <w:szCs w:val="18"/>
              </w:rPr>
            </w:pPr>
            <w:r>
              <w:rPr>
                <w:rFonts w:eastAsia="Times New Roman"/>
                <w:sz w:val="18"/>
                <w:szCs w:val="18"/>
              </w:rPr>
              <w:t>Some people who drink water containing di(2-ethylhexyl) adipate well in excess of the MCL over many years could experience toxic effects such as weight loss, liver enlargement, or possible reproductive difficulties.</w:t>
            </w:r>
          </w:p>
        </w:tc>
      </w:tr>
    </w:tbl>
    <w:p w14:paraId="281A3422" w14:textId="77777777" w:rsidR="004647B9" w:rsidRDefault="004647B9" w:rsidP="008933F3">
      <w:pPr>
        <w:sectPr w:rsidR="004647B9" w:rsidSect="00EF630C">
          <w:pgSz w:w="12240" w:h="20180"/>
          <w:pgMar w:top="708" w:right="940" w:bottom="1440" w:left="600" w:header="0" w:footer="0" w:gutter="0"/>
          <w:cols w:space="720"/>
        </w:sectPr>
      </w:pPr>
    </w:p>
    <w:p w14:paraId="281A357C" w14:textId="77777777" w:rsidR="004647B9" w:rsidRDefault="00E2436F">
      <w:pPr>
        <w:tabs>
          <w:tab w:val="left" w:pos="2860"/>
        </w:tabs>
        <w:ind w:left="1680"/>
        <w:rPr>
          <w:sz w:val="20"/>
          <w:szCs w:val="20"/>
        </w:rPr>
      </w:pPr>
      <w:bookmarkStart w:id="229" w:name="page231"/>
      <w:bookmarkEnd w:id="22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57D" w14:textId="77777777" w:rsidR="004647B9" w:rsidRDefault="004647B9" w:rsidP="00E023ED">
      <w:pPr>
        <w:rPr>
          <w:sz w:val="20"/>
          <w:szCs w:val="20"/>
        </w:rPr>
      </w:pPr>
    </w:p>
    <w:p w14:paraId="6C15C698" w14:textId="77777777" w:rsidR="00E023ED" w:rsidRDefault="00E023ED" w:rsidP="00E023ED">
      <w:pPr>
        <w:rPr>
          <w:sz w:val="20"/>
          <w:szCs w:val="20"/>
        </w:rPr>
      </w:pPr>
    </w:p>
    <w:p w14:paraId="281A357E"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357F"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8C2304" w14:paraId="2CE4F362"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2DC7D86D" w14:textId="77777777" w:rsidR="008C2304" w:rsidRDefault="008C2304"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66C690BB" w14:textId="77777777" w:rsidR="008C2304" w:rsidRDefault="008C2304"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6AAB4C8B" w14:textId="77777777" w:rsidR="008C2304" w:rsidRDefault="008C2304"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48A45EF1" w14:textId="77777777" w:rsidR="008C2304" w:rsidRDefault="008C2304"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64DB1359" w14:textId="77777777" w:rsidR="008C2304" w:rsidRDefault="008C2304"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43822854" w14:textId="77777777" w:rsidR="008C2304" w:rsidRDefault="008C2304"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7352070A" w14:textId="77777777" w:rsidR="008C2304" w:rsidRDefault="008C2304" w:rsidP="00DF6443">
            <w:pPr>
              <w:jc w:val="center"/>
              <w:rPr>
                <w:sz w:val="20"/>
                <w:szCs w:val="20"/>
              </w:rPr>
            </w:pPr>
            <w:r>
              <w:rPr>
                <w:rFonts w:eastAsia="Times New Roman"/>
                <w:sz w:val="18"/>
                <w:szCs w:val="18"/>
              </w:rPr>
              <w:t>Health Effects Language</w:t>
            </w:r>
          </w:p>
        </w:tc>
      </w:tr>
      <w:tr w:rsidR="008C2304" w14:paraId="662B8822" w14:textId="77777777" w:rsidTr="00DF644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6659CE0A" w14:textId="4BB975C7" w:rsidR="008C2304" w:rsidRPr="00E6483D" w:rsidRDefault="008C2304" w:rsidP="00563A54">
            <w:pPr>
              <w:pStyle w:val="ListParagraph"/>
              <w:numPr>
                <w:ilvl w:val="0"/>
                <w:numId w:val="939"/>
              </w:numPr>
              <w:tabs>
                <w:tab w:val="left" w:pos="330"/>
              </w:tabs>
              <w:ind w:left="330" w:right="40" w:hanging="330"/>
              <w:rPr>
                <w:rFonts w:eastAsia="Times New Roman"/>
                <w:i/>
                <w:iCs/>
                <w:sz w:val="18"/>
                <w:szCs w:val="18"/>
              </w:rPr>
            </w:pPr>
            <w:r>
              <w:rPr>
                <w:rFonts w:eastAsia="Times New Roman"/>
                <w:sz w:val="18"/>
                <w:szCs w:val="18"/>
              </w:rPr>
              <w:t>Di(2-ethylhexyl) phthalate</w:t>
            </w:r>
          </w:p>
        </w:tc>
        <w:tc>
          <w:tcPr>
            <w:tcW w:w="1060" w:type="dxa"/>
            <w:tcBorders>
              <w:top w:val="single" w:sz="8" w:space="0" w:color="auto"/>
              <w:left w:val="single" w:sz="8" w:space="0" w:color="auto"/>
              <w:bottom w:val="single" w:sz="8" w:space="0" w:color="auto"/>
              <w:right w:val="single" w:sz="8" w:space="0" w:color="auto"/>
            </w:tcBorders>
            <w:vAlign w:val="center"/>
          </w:tcPr>
          <w:p w14:paraId="1E4254DD" w14:textId="719877EB" w:rsidR="008C2304" w:rsidRDefault="008C2304" w:rsidP="008C2304">
            <w:pPr>
              <w:jc w:val="center"/>
              <w:rPr>
                <w:rFonts w:eastAsia="Times New Roman"/>
                <w:sz w:val="18"/>
                <w:szCs w:val="18"/>
              </w:rPr>
            </w:pPr>
            <w:r>
              <w:rPr>
                <w:rFonts w:eastAsia="Times New Roman"/>
                <w:sz w:val="18"/>
                <w:szCs w:val="18"/>
              </w:rPr>
              <w:t>0.006 mg/l</w:t>
            </w:r>
          </w:p>
        </w:tc>
        <w:tc>
          <w:tcPr>
            <w:tcW w:w="1360" w:type="dxa"/>
            <w:tcBorders>
              <w:top w:val="single" w:sz="8" w:space="0" w:color="auto"/>
              <w:bottom w:val="single" w:sz="8" w:space="0" w:color="auto"/>
              <w:right w:val="single" w:sz="8" w:space="0" w:color="auto"/>
            </w:tcBorders>
            <w:vAlign w:val="center"/>
          </w:tcPr>
          <w:p w14:paraId="71BE6618" w14:textId="7FF2EFB2" w:rsidR="008C2304" w:rsidRDefault="008C2304" w:rsidP="008C2304">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05F8F52" w14:textId="2F242808" w:rsidR="008C2304" w:rsidRDefault="008C2304" w:rsidP="008C2304">
            <w:pPr>
              <w:jc w:val="center"/>
              <w:rPr>
                <w:rFonts w:eastAsia="Times New Roman"/>
                <w:sz w:val="18"/>
                <w:szCs w:val="18"/>
              </w:rPr>
            </w:pPr>
            <w:r>
              <w:rPr>
                <w:rFonts w:eastAsia="Times New Roman"/>
                <w:sz w:val="18"/>
                <w:szCs w:val="18"/>
              </w:rPr>
              <w:t>6 ppb</w:t>
            </w:r>
          </w:p>
        </w:tc>
        <w:tc>
          <w:tcPr>
            <w:tcW w:w="980" w:type="dxa"/>
            <w:tcBorders>
              <w:top w:val="single" w:sz="8" w:space="0" w:color="auto"/>
              <w:bottom w:val="single" w:sz="8" w:space="0" w:color="auto"/>
              <w:right w:val="single" w:sz="8" w:space="0" w:color="auto"/>
            </w:tcBorders>
            <w:vAlign w:val="center"/>
          </w:tcPr>
          <w:p w14:paraId="5D0A0624" w14:textId="192080D1" w:rsidR="008C2304" w:rsidRDefault="008C2304" w:rsidP="008C2304">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649A8C9C" w14:textId="102D5B08" w:rsidR="008C2304" w:rsidRDefault="008C2304" w:rsidP="008C2304">
            <w:pPr>
              <w:spacing w:line="328" w:lineRule="auto"/>
              <w:ind w:left="144"/>
              <w:rPr>
                <w:rFonts w:eastAsia="Times New Roman"/>
                <w:sz w:val="18"/>
                <w:szCs w:val="18"/>
              </w:rPr>
            </w:pPr>
            <w:r>
              <w:rPr>
                <w:rFonts w:eastAsia="Times New Roman"/>
                <w:sz w:val="18"/>
                <w:szCs w:val="18"/>
              </w:rPr>
              <w:t>Discharge from rubber and chemical factories</w:t>
            </w:r>
          </w:p>
        </w:tc>
        <w:tc>
          <w:tcPr>
            <w:tcW w:w="2440" w:type="dxa"/>
            <w:tcBorders>
              <w:top w:val="single" w:sz="8" w:space="0" w:color="auto"/>
              <w:bottom w:val="single" w:sz="8" w:space="0" w:color="auto"/>
              <w:right w:val="single" w:sz="8" w:space="0" w:color="auto"/>
            </w:tcBorders>
            <w:vAlign w:val="bottom"/>
          </w:tcPr>
          <w:p w14:paraId="18112E57" w14:textId="02EFE889" w:rsidR="008C2304" w:rsidRPr="008C2304" w:rsidRDefault="008C2304" w:rsidP="008C2304">
            <w:pPr>
              <w:spacing w:line="328" w:lineRule="auto"/>
              <w:ind w:left="144"/>
              <w:rPr>
                <w:rFonts w:eastAsia="Times New Roman"/>
                <w:sz w:val="18"/>
                <w:szCs w:val="18"/>
              </w:rPr>
            </w:pPr>
            <w:r>
              <w:rPr>
                <w:rFonts w:eastAsia="Times New Roman"/>
                <w:sz w:val="18"/>
                <w:szCs w:val="18"/>
              </w:rPr>
              <w:t>Some people who drink water containing di(2-ethylhexyl) phthalate well in excess of the MCL over many years may have problems with their liver, or experience reproductive difficulties, and may have an increased risk of getting cancer.</w:t>
            </w:r>
          </w:p>
        </w:tc>
      </w:tr>
      <w:tr w:rsidR="00532712" w14:paraId="2A5DF131" w14:textId="77777777" w:rsidTr="00DF644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F1279F6" w14:textId="4C2888A3" w:rsidR="00532712" w:rsidRDefault="00532712"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Dibromochloropropane (DBCP)</w:t>
            </w:r>
          </w:p>
        </w:tc>
        <w:tc>
          <w:tcPr>
            <w:tcW w:w="1060" w:type="dxa"/>
            <w:tcBorders>
              <w:top w:val="single" w:sz="8" w:space="0" w:color="auto"/>
              <w:left w:val="single" w:sz="8" w:space="0" w:color="auto"/>
              <w:bottom w:val="single" w:sz="8" w:space="0" w:color="auto"/>
              <w:right w:val="single" w:sz="8" w:space="0" w:color="auto"/>
            </w:tcBorders>
            <w:vAlign w:val="center"/>
          </w:tcPr>
          <w:p w14:paraId="72DDA4A3" w14:textId="06434C55" w:rsidR="00532712" w:rsidRDefault="00532712" w:rsidP="00532712">
            <w:pPr>
              <w:ind w:left="720" w:hanging="720"/>
              <w:jc w:val="center"/>
              <w:rPr>
                <w:rFonts w:eastAsia="Times New Roman"/>
                <w:sz w:val="18"/>
                <w:szCs w:val="18"/>
              </w:rPr>
            </w:pPr>
            <w:r>
              <w:rPr>
                <w:rFonts w:eastAsia="Times New Roman"/>
                <w:sz w:val="18"/>
                <w:szCs w:val="18"/>
              </w:rPr>
              <w:t>0.0002 mg/l</w:t>
            </w:r>
          </w:p>
        </w:tc>
        <w:tc>
          <w:tcPr>
            <w:tcW w:w="1360" w:type="dxa"/>
            <w:tcBorders>
              <w:top w:val="single" w:sz="8" w:space="0" w:color="auto"/>
              <w:bottom w:val="single" w:sz="8" w:space="0" w:color="auto"/>
              <w:right w:val="single" w:sz="8" w:space="0" w:color="auto"/>
            </w:tcBorders>
            <w:vAlign w:val="center"/>
          </w:tcPr>
          <w:p w14:paraId="3C01EBFD" w14:textId="0983C1B3" w:rsidR="00532712" w:rsidRDefault="00532712" w:rsidP="00532712">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30C71C9B" w14:textId="1776DA23" w:rsidR="00532712" w:rsidRDefault="00532712" w:rsidP="00532712">
            <w:pPr>
              <w:jc w:val="center"/>
              <w:rPr>
                <w:rFonts w:eastAsia="Times New Roman"/>
                <w:sz w:val="18"/>
                <w:szCs w:val="18"/>
              </w:rPr>
            </w:pPr>
            <w:r>
              <w:rPr>
                <w:rFonts w:eastAsia="Times New Roman"/>
                <w:sz w:val="18"/>
                <w:szCs w:val="18"/>
              </w:rPr>
              <w:t>200 ppt</w:t>
            </w:r>
          </w:p>
        </w:tc>
        <w:tc>
          <w:tcPr>
            <w:tcW w:w="980" w:type="dxa"/>
            <w:tcBorders>
              <w:top w:val="single" w:sz="8" w:space="0" w:color="auto"/>
              <w:bottom w:val="single" w:sz="8" w:space="0" w:color="auto"/>
              <w:right w:val="single" w:sz="8" w:space="0" w:color="auto"/>
            </w:tcBorders>
            <w:vAlign w:val="center"/>
          </w:tcPr>
          <w:p w14:paraId="61A13C06" w14:textId="459B23E4" w:rsidR="00532712" w:rsidRDefault="00532712" w:rsidP="00532712">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0188AA98" w14:textId="217A1F69" w:rsidR="00532712" w:rsidRDefault="00532712" w:rsidP="00532712">
            <w:pPr>
              <w:spacing w:line="328" w:lineRule="auto"/>
              <w:ind w:left="144"/>
              <w:rPr>
                <w:rFonts w:eastAsia="Times New Roman"/>
                <w:sz w:val="18"/>
                <w:szCs w:val="18"/>
              </w:rPr>
            </w:pPr>
            <w:r>
              <w:rPr>
                <w:rFonts w:eastAsia="Times New Roman"/>
                <w:sz w:val="18"/>
                <w:szCs w:val="18"/>
              </w:rPr>
              <w:t>Runoff/leaching from soil fumigant used on soybeans, cotton, and orchards</w:t>
            </w:r>
          </w:p>
        </w:tc>
        <w:tc>
          <w:tcPr>
            <w:tcW w:w="2440" w:type="dxa"/>
            <w:tcBorders>
              <w:top w:val="single" w:sz="8" w:space="0" w:color="auto"/>
              <w:bottom w:val="single" w:sz="8" w:space="0" w:color="auto"/>
              <w:right w:val="single" w:sz="8" w:space="0" w:color="auto"/>
            </w:tcBorders>
            <w:vAlign w:val="bottom"/>
          </w:tcPr>
          <w:p w14:paraId="730538B8" w14:textId="013EE81C" w:rsidR="00532712" w:rsidRPr="008933F3" w:rsidRDefault="00532712" w:rsidP="00532712">
            <w:pPr>
              <w:spacing w:line="328" w:lineRule="auto"/>
              <w:ind w:left="144"/>
              <w:rPr>
                <w:rFonts w:eastAsia="Times New Roman"/>
                <w:sz w:val="18"/>
                <w:szCs w:val="18"/>
              </w:rPr>
            </w:pPr>
            <w:r>
              <w:rPr>
                <w:rFonts w:eastAsia="Times New Roman"/>
                <w:sz w:val="18"/>
                <w:szCs w:val="18"/>
              </w:rPr>
              <w:t>Some people who drink water containing DBCP in excess of the MCL over many years could experience reproductive problems and may have an increased risk of getting cancer.</w:t>
            </w:r>
          </w:p>
        </w:tc>
      </w:tr>
      <w:tr w:rsidR="00532712" w14:paraId="4DA58B49" w14:textId="77777777" w:rsidTr="00532712">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70FABE0A" w14:textId="6A2985A8" w:rsidR="00532712" w:rsidRDefault="00532712"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Dinoseb</w:t>
            </w:r>
          </w:p>
        </w:tc>
        <w:tc>
          <w:tcPr>
            <w:tcW w:w="1060" w:type="dxa"/>
            <w:tcBorders>
              <w:top w:val="single" w:sz="8" w:space="0" w:color="auto"/>
              <w:left w:val="single" w:sz="8" w:space="0" w:color="auto"/>
              <w:bottom w:val="single" w:sz="8" w:space="0" w:color="auto"/>
              <w:right w:val="single" w:sz="8" w:space="0" w:color="auto"/>
            </w:tcBorders>
            <w:vAlign w:val="center"/>
          </w:tcPr>
          <w:p w14:paraId="5E596C48" w14:textId="60EBFD9C" w:rsidR="00532712" w:rsidRDefault="00532712" w:rsidP="00532712">
            <w:pPr>
              <w:jc w:val="center"/>
              <w:rPr>
                <w:rFonts w:eastAsia="Times New Roman"/>
                <w:sz w:val="18"/>
                <w:szCs w:val="18"/>
              </w:rPr>
            </w:pPr>
            <w:r>
              <w:rPr>
                <w:rFonts w:eastAsia="Times New Roman"/>
                <w:sz w:val="18"/>
                <w:szCs w:val="18"/>
              </w:rPr>
              <w:t>0.007 mg/l</w:t>
            </w:r>
          </w:p>
        </w:tc>
        <w:tc>
          <w:tcPr>
            <w:tcW w:w="1360" w:type="dxa"/>
            <w:tcBorders>
              <w:top w:val="single" w:sz="8" w:space="0" w:color="auto"/>
              <w:bottom w:val="single" w:sz="8" w:space="0" w:color="auto"/>
              <w:right w:val="single" w:sz="8" w:space="0" w:color="auto"/>
            </w:tcBorders>
            <w:vAlign w:val="center"/>
          </w:tcPr>
          <w:p w14:paraId="279C00AA" w14:textId="79A458B2" w:rsidR="00532712" w:rsidRDefault="00532712" w:rsidP="00532712">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26D252ED" w14:textId="416C1162" w:rsidR="00532712" w:rsidRDefault="00532712" w:rsidP="00532712">
            <w:pPr>
              <w:jc w:val="center"/>
              <w:rPr>
                <w:rFonts w:eastAsia="Times New Roman"/>
                <w:sz w:val="18"/>
                <w:szCs w:val="18"/>
              </w:rPr>
            </w:pPr>
            <w:r>
              <w:rPr>
                <w:rFonts w:eastAsia="Times New Roman"/>
                <w:sz w:val="18"/>
                <w:szCs w:val="18"/>
              </w:rPr>
              <w:t>7 ppb</w:t>
            </w:r>
          </w:p>
        </w:tc>
        <w:tc>
          <w:tcPr>
            <w:tcW w:w="980" w:type="dxa"/>
            <w:tcBorders>
              <w:top w:val="single" w:sz="8" w:space="0" w:color="auto"/>
              <w:bottom w:val="single" w:sz="8" w:space="0" w:color="auto"/>
              <w:right w:val="single" w:sz="8" w:space="0" w:color="auto"/>
            </w:tcBorders>
            <w:vAlign w:val="center"/>
          </w:tcPr>
          <w:p w14:paraId="6DC4076A" w14:textId="115DB476" w:rsidR="00532712" w:rsidRDefault="00532712" w:rsidP="00532712">
            <w:pPr>
              <w:jc w:val="center"/>
              <w:rPr>
                <w:rFonts w:eastAsia="Times New Roman"/>
                <w:sz w:val="18"/>
                <w:szCs w:val="18"/>
              </w:rPr>
            </w:pPr>
            <w:r>
              <w:rPr>
                <w:rFonts w:eastAsia="Times New Roman"/>
                <w:sz w:val="18"/>
                <w:szCs w:val="18"/>
              </w:rPr>
              <w:t>7 ppb</w:t>
            </w:r>
          </w:p>
        </w:tc>
        <w:tc>
          <w:tcPr>
            <w:tcW w:w="1860" w:type="dxa"/>
            <w:tcBorders>
              <w:top w:val="single" w:sz="8" w:space="0" w:color="auto"/>
              <w:bottom w:val="single" w:sz="8" w:space="0" w:color="auto"/>
              <w:right w:val="single" w:sz="8" w:space="0" w:color="auto"/>
            </w:tcBorders>
          </w:tcPr>
          <w:p w14:paraId="145D6BFD" w14:textId="582C11CD" w:rsidR="00532712" w:rsidRDefault="00532712" w:rsidP="00532712">
            <w:pPr>
              <w:spacing w:line="328" w:lineRule="auto"/>
              <w:ind w:left="144"/>
              <w:rPr>
                <w:rFonts w:eastAsia="Times New Roman"/>
                <w:sz w:val="18"/>
                <w:szCs w:val="18"/>
              </w:rPr>
            </w:pPr>
            <w:r>
              <w:rPr>
                <w:rFonts w:eastAsia="Times New Roman"/>
                <w:sz w:val="18"/>
                <w:szCs w:val="18"/>
              </w:rPr>
              <w:t>Runoff from herbicide used on soybeans and vegetables</w:t>
            </w:r>
          </w:p>
        </w:tc>
        <w:tc>
          <w:tcPr>
            <w:tcW w:w="2440" w:type="dxa"/>
            <w:tcBorders>
              <w:top w:val="single" w:sz="8" w:space="0" w:color="auto"/>
              <w:bottom w:val="single" w:sz="8" w:space="0" w:color="auto"/>
              <w:right w:val="single" w:sz="8" w:space="0" w:color="auto"/>
            </w:tcBorders>
          </w:tcPr>
          <w:p w14:paraId="5F0493C3" w14:textId="30C18BFA" w:rsidR="00532712" w:rsidRDefault="00532712" w:rsidP="00532712">
            <w:pPr>
              <w:spacing w:line="328" w:lineRule="auto"/>
              <w:ind w:left="144"/>
              <w:rPr>
                <w:rFonts w:eastAsia="Times New Roman"/>
                <w:sz w:val="18"/>
                <w:szCs w:val="18"/>
              </w:rPr>
            </w:pPr>
            <w:r>
              <w:rPr>
                <w:rFonts w:eastAsia="Times New Roman"/>
                <w:sz w:val="18"/>
                <w:szCs w:val="18"/>
              </w:rPr>
              <w:t>Some people who drink water containing dinoseb well in excess of the MCL over many years could experience reproductive difficulties.</w:t>
            </w:r>
          </w:p>
        </w:tc>
      </w:tr>
      <w:tr w:rsidR="00532712" w14:paraId="1E8C0D59" w14:textId="77777777" w:rsidTr="00532712">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62DD5B7D" w14:textId="4DC55B3C" w:rsidR="00532712" w:rsidRDefault="00532712"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Diquat</w:t>
            </w:r>
          </w:p>
        </w:tc>
        <w:tc>
          <w:tcPr>
            <w:tcW w:w="1060" w:type="dxa"/>
            <w:tcBorders>
              <w:top w:val="single" w:sz="8" w:space="0" w:color="auto"/>
              <w:left w:val="single" w:sz="8" w:space="0" w:color="auto"/>
              <w:bottom w:val="single" w:sz="8" w:space="0" w:color="auto"/>
              <w:right w:val="single" w:sz="8" w:space="0" w:color="auto"/>
            </w:tcBorders>
            <w:vAlign w:val="center"/>
          </w:tcPr>
          <w:p w14:paraId="610BC0CC" w14:textId="69FC7135" w:rsidR="00532712" w:rsidRDefault="00532712" w:rsidP="00532712">
            <w:pPr>
              <w:jc w:val="center"/>
              <w:rPr>
                <w:rFonts w:eastAsia="Times New Roman"/>
                <w:sz w:val="18"/>
                <w:szCs w:val="18"/>
              </w:rPr>
            </w:pPr>
            <w:r>
              <w:rPr>
                <w:rFonts w:eastAsia="Times New Roman"/>
                <w:sz w:val="18"/>
                <w:szCs w:val="18"/>
              </w:rPr>
              <w:t>0.02 mg/l</w:t>
            </w:r>
          </w:p>
        </w:tc>
        <w:tc>
          <w:tcPr>
            <w:tcW w:w="1360" w:type="dxa"/>
            <w:tcBorders>
              <w:top w:val="single" w:sz="8" w:space="0" w:color="auto"/>
              <w:bottom w:val="single" w:sz="8" w:space="0" w:color="auto"/>
              <w:right w:val="single" w:sz="8" w:space="0" w:color="auto"/>
            </w:tcBorders>
            <w:vAlign w:val="center"/>
          </w:tcPr>
          <w:p w14:paraId="1AF02BA7" w14:textId="2DEBB0F0" w:rsidR="00532712" w:rsidRDefault="00532712" w:rsidP="00532712">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AC75B78" w14:textId="32B14435" w:rsidR="00532712" w:rsidRDefault="00532712" w:rsidP="00532712">
            <w:pPr>
              <w:jc w:val="center"/>
              <w:rPr>
                <w:rFonts w:eastAsia="Times New Roman"/>
                <w:sz w:val="18"/>
                <w:szCs w:val="18"/>
              </w:rPr>
            </w:pPr>
            <w:r>
              <w:rPr>
                <w:rFonts w:eastAsia="Times New Roman"/>
                <w:sz w:val="18"/>
                <w:szCs w:val="18"/>
              </w:rPr>
              <w:t>20 ppb</w:t>
            </w:r>
          </w:p>
        </w:tc>
        <w:tc>
          <w:tcPr>
            <w:tcW w:w="980" w:type="dxa"/>
            <w:tcBorders>
              <w:top w:val="single" w:sz="8" w:space="0" w:color="auto"/>
              <w:bottom w:val="single" w:sz="8" w:space="0" w:color="auto"/>
              <w:right w:val="single" w:sz="8" w:space="0" w:color="auto"/>
            </w:tcBorders>
            <w:vAlign w:val="center"/>
          </w:tcPr>
          <w:p w14:paraId="1D0CCE1B" w14:textId="63A209B0" w:rsidR="00532712" w:rsidRDefault="00532712" w:rsidP="00532712">
            <w:pPr>
              <w:jc w:val="center"/>
              <w:rPr>
                <w:rFonts w:eastAsia="Times New Roman"/>
                <w:sz w:val="18"/>
                <w:szCs w:val="18"/>
              </w:rPr>
            </w:pPr>
            <w:r>
              <w:rPr>
                <w:rFonts w:eastAsia="Times New Roman"/>
                <w:sz w:val="18"/>
                <w:szCs w:val="18"/>
              </w:rPr>
              <w:t>20 ppb</w:t>
            </w:r>
          </w:p>
        </w:tc>
        <w:tc>
          <w:tcPr>
            <w:tcW w:w="1860" w:type="dxa"/>
            <w:tcBorders>
              <w:top w:val="single" w:sz="8" w:space="0" w:color="auto"/>
              <w:bottom w:val="single" w:sz="8" w:space="0" w:color="auto"/>
              <w:right w:val="single" w:sz="8" w:space="0" w:color="auto"/>
            </w:tcBorders>
          </w:tcPr>
          <w:p w14:paraId="0F4BAE8A" w14:textId="6DBEA169" w:rsidR="00532712" w:rsidRDefault="00532712" w:rsidP="00532712">
            <w:pPr>
              <w:spacing w:line="328" w:lineRule="auto"/>
              <w:ind w:left="144"/>
              <w:rPr>
                <w:rFonts w:eastAsia="Times New Roman"/>
                <w:sz w:val="18"/>
                <w:szCs w:val="18"/>
              </w:rPr>
            </w:pPr>
            <w:r>
              <w:rPr>
                <w:rFonts w:eastAsia="Times New Roman"/>
                <w:sz w:val="18"/>
                <w:szCs w:val="18"/>
              </w:rPr>
              <w:t>Runoff from herbicide use</w:t>
            </w:r>
          </w:p>
        </w:tc>
        <w:tc>
          <w:tcPr>
            <w:tcW w:w="2440" w:type="dxa"/>
            <w:tcBorders>
              <w:top w:val="single" w:sz="8" w:space="0" w:color="auto"/>
              <w:bottom w:val="single" w:sz="8" w:space="0" w:color="auto"/>
              <w:right w:val="single" w:sz="8" w:space="0" w:color="auto"/>
            </w:tcBorders>
          </w:tcPr>
          <w:p w14:paraId="6573979B" w14:textId="1BF0B49E" w:rsidR="00532712" w:rsidRDefault="00532712" w:rsidP="00532712">
            <w:pPr>
              <w:spacing w:line="328" w:lineRule="auto"/>
              <w:ind w:left="144"/>
              <w:rPr>
                <w:rFonts w:eastAsia="Times New Roman"/>
                <w:sz w:val="18"/>
                <w:szCs w:val="18"/>
              </w:rPr>
            </w:pPr>
            <w:r>
              <w:rPr>
                <w:rFonts w:eastAsia="Times New Roman"/>
                <w:sz w:val="18"/>
                <w:szCs w:val="18"/>
              </w:rPr>
              <w:t>Some people who drink water containing diquat in excess of the MCL over many years could get cataracts.</w:t>
            </w:r>
          </w:p>
        </w:tc>
      </w:tr>
      <w:tr w:rsidR="0086502A" w14:paraId="4E47FBD9"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7DE8C25B" w14:textId="1F0E93B1"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Dioxin [2,3,7,8-TCDD]</w:t>
            </w:r>
          </w:p>
        </w:tc>
        <w:tc>
          <w:tcPr>
            <w:tcW w:w="1060" w:type="dxa"/>
            <w:tcBorders>
              <w:top w:val="single" w:sz="8" w:space="0" w:color="auto"/>
              <w:left w:val="single" w:sz="8" w:space="0" w:color="auto"/>
              <w:bottom w:val="single" w:sz="8" w:space="0" w:color="auto"/>
              <w:right w:val="single" w:sz="8" w:space="0" w:color="auto"/>
            </w:tcBorders>
            <w:vAlign w:val="center"/>
          </w:tcPr>
          <w:p w14:paraId="657511A5" w14:textId="74E0DF99" w:rsidR="0086502A" w:rsidRDefault="0086502A" w:rsidP="0086502A">
            <w:pPr>
              <w:jc w:val="center"/>
              <w:rPr>
                <w:rFonts w:eastAsia="Times New Roman"/>
                <w:sz w:val="18"/>
                <w:szCs w:val="18"/>
              </w:rPr>
            </w:pPr>
            <w:r>
              <w:rPr>
                <w:rFonts w:eastAsia="Times New Roman"/>
                <w:sz w:val="18"/>
                <w:szCs w:val="18"/>
              </w:rPr>
              <w:t>0.00000003 mg/l</w:t>
            </w:r>
          </w:p>
        </w:tc>
        <w:tc>
          <w:tcPr>
            <w:tcW w:w="1360" w:type="dxa"/>
            <w:tcBorders>
              <w:top w:val="single" w:sz="8" w:space="0" w:color="auto"/>
              <w:bottom w:val="single" w:sz="8" w:space="0" w:color="auto"/>
              <w:right w:val="single" w:sz="8" w:space="0" w:color="auto"/>
            </w:tcBorders>
            <w:vAlign w:val="center"/>
          </w:tcPr>
          <w:p w14:paraId="5732D90E" w14:textId="0A0B5709" w:rsidR="0086502A" w:rsidRDefault="0086502A" w:rsidP="0086502A">
            <w:pPr>
              <w:jc w:val="center"/>
              <w:rPr>
                <w:rFonts w:eastAsia="Times New Roman"/>
                <w:sz w:val="18"/>
                <w:szCs w:val="18"/>
              </w:rPr>
            </w:pPr>
            <w:r>
              <w:rPr>
                <w:rFonts w:eastAsia="Times New Roman"/>
                <w:sz w:val="18"/>
                <w:szCs w:val="18"/>
              </w:rPr>
              <w:t>1,000,000,000</w:t>
            </w:r>
          </w:p>
        </w:tc>
        <w:tc>
          <w:tcPr>
            <w:tcW w:w="900" w:type="dxa"/>
            <w:tcBorders>
              <w:top w:val="single" w:sz="8" w:space="0" w:color="auto"/>
              <w:bottom w:val="single" w:sz="8" w:space="0" w:color="auto"/>
              <w:right w:val="single" w:sz="8" w:space="0" w:color="auto"/>
            </w:tcBorders>
            <w:vAlign w:val="center"/>
          </w:tcPr>
          <w:p w14:paraId="54BDE06D" w14:textId="4332870D" w:rsidR="0086502A" w:rsidRDefault="0086502A" w:rsidP="0086502A">
            <w:pPr>
              <w:jc w:val="center"/>
              <w:rPr>
                <w:rFonts w:eastAsia="Times New Roman"/>
                <w:sz w:val="18"/>
                <w:szCs w:val="18"/>
              </w:rPr>
            </w:pPr>
            <w:r>
              <w:rPr>
                <w:rFonts w:eastAsia="Times New Roman"/>
                <w:sz w:val="18"/>
                <w:szCs w:val="18"/>
              </w:rPr>
              <w:t>30 ppq</w:t>
            </w:r>
          </w:p>
        </w:tc>
        <w:tc>
          <w:tcPr>
            <w:tcW w:w="980" w:type="dxa"/>
            <w:tcBorders>
              <w:top w:val="single" w:sz="8" w:space="0" w:color="auto"/>
              <w:bottom w:val="single" w:sz="8" w:space="0" w:color="auto"/>
              <w:right w:val="single" w:sz="8" w:space="0" w:color="auto"/>
            </w:tcBorders>
            <w:vAlign w:val="center"/>
          </w:tcPr>
          <w:p w14:paraId="1357967C" w14:textId="0473C608"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2234C134" w14:textId="333719C6" w:rsidR="0086502A" w:rsidRDefault="0086502A" w:rsidP="0086502A">
            <w:pPr>
              <w:spacing w:line="328" w:lineRule="auto"/>
              <w:ind w:left="144"/>
              <w:rPr>
                <w:rFonts w:eastAsia="Times New Roman"/>
                <w:sz w:val="18"/>
                <w:szCs w:val="18"/>
              </w:rPr>
            </w:pPr>
            <w:r>
              <w:rPr>
                <w:rFonts w:eastAsia="Times New Roman"/>
                <w:sz w:val="18"/>
                <w:szCs w:val="18"/>
              </w:rPr>
              <w:t>Emissions from waste incineration and other combustion; discharge from chemical factories</w:t>
            </w:r>
          </w:p>
        </w:tc>
        <w:tc>
          <w:tcPr>
            <w:tcW w:w="2440" w:type="dxa"/>
            <w:tcBorders>
              <w:top w:val="single" w:sz="8" w:space="0" w:color="auto"/>
              <w:bottom w:val="single" w:sz="8" w:space="0" w:color="auto"/>
              <w:right w:val="single" w:sz="8" w:space="0" w:color="auto"/>
            </w:tcBorders>
          </w:tcPr>
          <w:p w14:paraId="5CE4BD88" w14:textId="2E297054"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dioxin in excess of the MCL over many years could experience reproductive difficulties and may have an increased risk of getting cancer.</w:t>
            </w:r>
          </w:p>
        </w:tc>
      </w:tr>
    </w:tbl>
    <w:p w14:paraId="281A3580" w14:textId="77777777" w:rsidR="004647B9" w:rsidRDefault="004647B9">
      <w:pPr>
        <w:spacing w:line="347" w:lineRule="exact"/>
        <w:rPr>
          <w:sz w:val="20"/>
          <w:szCs w:val="20"/>
        </w:rPr>
      </w:pPr>
    </w:p>
    <w:p w14:paraId="281A3745" w14:textId="77777777" w:rsidR="004647B9" w:rsidRDefault="004647B9">
      <w:pPr>
        <w:sectPr w:rsidR="004647B9" w:rsidSect="00EF630C">
          <w:pgSz w:w="12240" w:h="20180"/>
          <w:pgMar w:top="708" w:right="940" w:bottom="1440" w:left="600" w:header="0" w:footer="0" w:gutter="0"/>
          <w:cols w:space="720"/>
        </w:sectPr>
      </w:pPr>
    </w:p>
    <w:p w14:paraId="281A3746" w14:textId="77777777" w:rsidR="004647B9" w:rsidRDefault="00E2436F">
      <w:pPr>
        <w:tabs>
          <w:tab w:val="left" w:pos="2860"/>
        </w:tabs>
        <w:ind w:left="1680"/>
        <w:rPr>
          <w:sz w:val="20"/>
          <w:szCs w:val="20"/>
        </w:rPr>
      </w:pPr>
      <w:bookmarkStart w:id="230" w:name="page232"/>
      <w:bookmarkEnd w:id="23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747" w14:textId="77777777" w:rsidR="004647B9" w:rsidRDefault="004647B9" w:rsidP="00E023ED">
      <w:pPr>
        <w:rPr>
          <w:sz w:val="20"/>
          <w:szCs w:val="20"/>
        </w:rPr>
      </w:pPr>
    </w:p>
    <w:p w14:paraId="62C4ED39" w14:textId="77777777" w:rsidR="00E023ED" w:rsidRDefault="00E023ED" w:rsidP="00E023ED">
      <w:pPr>
        <w:rPr>
          <w:sz w:val="20"/>
          <w:szCs w:val="20"/>
        </w:rPr>
      </w:pPr>
    </w:p>
    <w:p w14:paraId="281A3748"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3749"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86502A" w14:paraId="408CB16C"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6A066614" w14:textId="77777777" w:rsidR="0086502A" w:rsidRDefault="0086502A"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1286FA4A" w14:textId="77777777" w:rsidR="0086502A" w:rsidRDefault="0086502A"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5F3CA75F" w14:textId="77777777" w:rsidR="0086502A" w:rsidRDefault="0086502A"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34EDD415" w14:textId="77777777" w:rsidR="0086502A" w:rsidRDefault="0086502A"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22EE0B0A" w14:textId="77777777" w:rsidR="0086502A" w:rsidRDefault="0086502A"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212A3735" w14:textId="77777777" w:rsidR="0086502A" w:rsidRDefault="0086502A"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6B94A50C" w14:textId="77777777" w:rsidR="0086502A" w:rsidRDefault="0086502A" w:rsidP="00DF6443">
            <w:pPr>
              <w:jc w:val="center"/>
              <w:rPr>
                <w:sz w:val="20"/>
                <w:szCs w:val="20"/>
              </w:rPr>
            </w:pPr>
            <w:r>
              <w:rPr>
                <w:rFonts w:eastAsia="Times New Roman"/>
                <w:sz w:val="18"/>
                <w:szCs w:val="18"/>
              </w:rPr>
              <w:t>Health Effects Language</w:t>
            </w:r>
          </w:p>
        </w:tc>
      </w:tr>
      <w:tr w:rsidR="0086502A" w14:paraId="7DD5BDBC"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707F6402" w14:textId="63C3772C" w:rsidR="0086502A" w:rsidRPr="00E6483D" w:rsidRDefault="0086502A" w:rsidP="00563A54">
            <w:pPr>
              <w:pStyle w:val="ListParagraph"/>
              <w:numPr>
                <w:ilvl w:val="0"/>
                <w:numId w:val="939"/>
              </w:numPr>
              <w:tabs>
                <w:tab w:val="left" w:pos="330"/>
              </w:tabs>
              <w:ind w:left="330" w:right="40" w:hanging="330"/>
              <w:rPr>
                <w:rFonts w:eastAsia="Times New Roman"/>
                <w:i/>
                <w:iCs/>
                <w:sz w:val="18"/>
                <w:szCs w:val="18"/>
              </w:rPr>
            </w:pPr>
            <w:r>
              <w:rPr>
                <w:rFonts w:eastAsia="Times New Roman"/>
                <w:sz w:val="18"/>
                <w:szCs w:val="18"/>
              </w:rPr>
              <w:t>Endothall</w:t>
            </w:r>
          </w:p>
        </w:tc>
        <w:tc>
          <w:tcPr>
            <w:tcW w:w="1060" w:type="dxa"/>
            <w:tcBorders>
              <w:top w:val="single" w:sz="8" w:space="0" w:color="auto"/>
              <w:left w:val="single" w:sz="8" w:space="0" w:color="auto"/>
              <w:bottom w:val="single" w:sz="8" w:space="0" w:color="auto"/>
              <w:right w:val="single" w:sz="8" w:space="0" w:color="auto"/>
            </w:tcBorders>
            <w:vAlign w:val="center"/>
          </w:tcPr>
          <w:p w14:paraId="622C9085" w14:textId="65B9865B" w:rsidR="0086502A" w:rsidRDefault="0086502A" w:rsidP="0086502A">
            <w:pPr>
              <w:jc w:val="center"/>
              <w:rPr>
                <w:rFonts w:eastAsia="Times New Roman"/>
                <w:sz w:val="18"/>
                <w:szCs w:val="18"/>
              </w:rPr>
            </w:pPr>
            <w:r>
              <w:rPr>
                <w:rFonts w:eastAsia="Times New Roman"/>
                <w:sz w:val="18"/>
                <w:szCs w:val="18"/>
              </w:rPr>
              <w:t>0.1 mg/l</w:t>
            </w:r>
          </w:p>
        </w:tc>
        <w:tc>
          <w:tcPr>
            <w:tcW w:w="1360" w:type="dxa"/>
            <w:tcBorders>
              <w:top w:val="single" w:sz="8" w:space="0" w:color="auto"/>
              <w:bottom w:val="single" w:sz="8" w:space="0" w:color="auto"/>
              <w:right w:val="single" w:sz="8" w:space="0" w:color="auto"/>
            </w:tcBorders>
            <w:vAlign w:val="center"/>
          </w:tcPr>
          <w:p w14:paraId="62B11874" w14:textId="204A3FB8"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F0407B0" w14:textId="32226F8E" w:rsidR="0086502A" w:rsidRDefault="0086502A" w:rsidP="0086502A">
            <w:pPr>
              <w:jc w:val="center"/>
              <w:rPr>
                <w:rFonts w:eastAsia="Times New Roman"/>
                <w:sz w:val="18"/>
                <w:szCs w:val="18"/>
              </w:rPr>
            </w:pPr>
            <w:r>
              <w:rPr>
                <w:rFonts w:eastAsia="Times New Roman"/>
                <w:sz w:val="18"/>
                <w:szCs w:val="18"/>
              </w:rPr>
              <w:t>100 ppb</w:t>
            </w:r>
          </w:p>
        </w:tc>
        <w:tc>
          <w:tcPr>
            <w:tcW w:w="980" w:type="dxa"/>
            <w:tcBorders>
              <w:top w:val="single" w:sz="8" w:space="0" w:color="auto"/>
              <w:bottom w:val="single" w:sz="8" w:space="0" w:color="auto"/>
              <w:right w:val="single" w:sz="8" w:space="0" w:color="auto"/>
            </w:tcBorders>
            <w:vAlign w:val="center"/>
          </w:tcPr>
          <w:p w14:paraId="18A7B3D8" w14:textId="69F64757" w:rsidR="0086502A" w:rsidRDefault="0086502A" w:rsidP="0086502A">
            <w:pPr>
              <w:jc w:val="center"/>
              <w:rPr>
                <w:rFonts w:eastAsia="Times New Roman"/>
                <w:sz w:val="18"/>
                <w:szCs w:val="18"/>
              </w:rPr>
            </w:pPr>
            <w:r>
              <w:rPr>
                <w:rFonts w:eastAsia="Times New Roman"/>
                <w:sz w:val="18"/>
                <w:szCs w:val="18"/>
              </w:rPr>
              <w:t>10</w:t>
            </w:r>
            <w:r w:rsidR="004329F4">
              <w:rPr>
                <w:rFonts w:eastAsia="Times New Roman"/>
                <w:sz w:val="18"/>
                <w:szCs w:val="18"/>
              </w:rPr>
              <w:t>0</w:t>
            </w:r>
            <w:r>
              <w:rPr>
                <w:rFonts w:eastAsia="Times New Roman"/>
                <w:sz w:val="18"/>
                <w:szCs w:val="18"/>
              </w:rPr>
              <w:t xml:space="preserve"> ppb</w:t>
            </w:r>
          </w:p>
        </w:tc>
        <w:tc>
          <w:tcPr>
            <w:tcW w:w="1860" w:type="dxa"/>
            <w:tcBorders>
              <w:top w:val="single" w:sz="8" w:space="0" w:color="auto"/>
              <w:bottom w:val="single" w:sz="8" w:space="0" w:color="auto"/>
              <w:right w:val="single" w:sz="8" w:space="0" w:color="auto"/>
            </w:tcBorders>
          </w:tcPr>
          <w:p w14:paraId="74AB3531" w14:textId="42A2E9A8" w:rsidR="0086502A" w:rsidRDefault="0086502A" w:rsidP="0086502A">
            <w:pPr>
              <w:spacing w:line="328" w:lineRule="auto"/>
              <w:ind w:left="144"/>
              <w:rPr>
                <w:rFonts w:eastAsia="Times New Roman"/>
                <w:sz w:val="18"/>
                <w:szCs w:val="18"/>
              </w:rPr>
            </w:pPr>
            <w:r>
              <w:rPr>
                <w:rFonts w:eastAsia="Times New Roman"/>
                <w:sz w:val="18"/>
                <w:szCs w:val="18"/>
              </w:rPr>
              <w:t>Runoff from herbicide use</w:t>
            </w:r>
          </w:p>
        </w:tc>
        <w:tc>
          <w:tcPr>
            <w:tcW w:w="2440" w:type="dxa"/>
            <w:tcBorders>
              <w:top w:val="single" w:sz="8" w:space="0" w:color="auto"/>
              <w:bottom w:val="single" w:sz="8" w:space="0" w:color="auto"/>
              <w:right w:val="single" w:sz="8" w:space="0" w:color="auto"/>
            </w:tcBorders>
          </w:tcPr>
          <w:p w14:paraId="67247CD4" w14:textId="6469C15B" w:rsidR="0086502A" w:rsidRPr="008C2304" w:rsidRDefault="0086502A" w:rsidP="0086502A">
            <w:pPr>
              <w:spacing w:line="328" w:lineRule="auto"/>
              <w:ind w:left="144"/>
              <w:rPr>
                <w:rFonts w:eastAsia="Times New Roman"/>
                <w:sz w:val="18"/>
                <w:szCs w:val="18"/>
              </w:rPr>
            </w:pPr>
            <w:r>
              <w:rPr>
                <w:rFonts w:eastAsia="Times New Roman"/>
                <w:sz w:val="18"/>
                <w:szCs w:val="18"/>
              </w:rPr>
              <w:t>Some people who drink water containing endothall in excess of the MCL over many years could experience problems with their stomach or intestines.</w:t>
            </w:r>
          </w:p>
        </w:tc>
      </w:tr>
      <w:tr w:rsidR="0086502A" w14:paraId="3652B584"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BDCC4A5" w14:textId="2F4A5812"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Endrin</w:t>
            </w:r>
          </w:p>
        </w:tc>
        <w:tc>
          <w:tcPr>
            <w:tcW w:w="1060" w:type="dxa"/>
            <w:tcBorders>
              <w:top w:val="single" w:sz="8" w:space="0" w:color="auto"/>
              <w:left w:val="single" w:sz="8" w:space="0" w:color="auto"/>
              <w:bottom w:val="single" w:sz="8" w:space="0" w:color="auto"/>
              <w:right w:val="single" w:sz="8" w:space="0" w:color="auto"/>
            </w:tcBorders>
            <w:vAlign w:val="center"/>
          </w:tcPr>
          <w:p w14:paraId="2F709E6C" w14:textId="6682A34D" w:rsidR="0086502A" w:rsidRDefault="0086502A" w:rsidP="0086502A">
            <w:pPr>
              <w:ind w:left="720" w:hanging="720"/>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0E7A5CB8" w14:textId="419B3C0B"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743BD43" w14:textId="219B86D2" w:rsidR="0086502A" w:rsidRDefault="0086502A" w:rsidP="0086502A">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4CC07294" w14:textId="589BE8FB" w:rsidR="0086502A" w:rsidRDefault="0086502A" w:rsidP="0086502A">
            <w:pPr>
              <w:jc w:val="center"/>
              <w:rPr>
                <w:rFonts w:eastAsia="Times New Roman"/>
                <w:sz w:val="18"/>
                <w:szCs w:val="18"/>
              </w:rPr>
            </w:pPr>
            <w:r>
              <w:rPr>
                <w:rFonts w:eastAsia="Times New Roman"/>
                <w:sz w:val="18"/>
                <w:szCs w:val="18"/>
              </w:rPr>
              <w:t>2 ppb</w:t>
            </w:r>
          </w:p>
        </w:tc>
        <w:tc>
          <w:tcPr>
            <w:tcW w:w="1860" w:type="dxa"/>
            <w:tcBorders>
              <w:top w:val="single" w:sz="8" w:space="0" w:color="auto"/>
              <w:bottom w:val="single" w:sz="8" w:space="0" w:color="auto"/>
              <w:right w:val="single" w:sz="8" w:space="0" w:color="auto"/>
            </w:tcBorders>
          </w:tcPr>
          <w:p w14:paraId="0DF87D4C" w14:textId="694366A6" w:rsidR="0086502A" w:rsidRDefault="0086502A" w:rsidP="0086502A">
            <w:pPr>
              <w:spacing w:line="328" w:lineRule="auto"/>
              <w:ind w:left="144"/>
              <w:rPr>
                <w:rFonts w:eastAsia="Times New Roman"/>
                <w:sz w:val="18"/>
                <w:szCs w:val="18"/>
              </w:rPr>
            </w:pPr>
            <w:r>
              <w:rPr>
                <w:rFonts w:eastAsia="Times New Roman"/>
                <w:sz w:val="18"/>
                <w:szCs w:val="18"/>
              </w:rPr>
              <w:t>Residue of banned insecticide</w:t>
            </w:r>
          </w:p>
        </w:tc>
        <w:tc>
          <w:tcPr>
            <w:tcW w:w="2440" w:type="dxa"/>
            <w:tcBorders>
              <w:top w:val="single" w:sz="8" w:space="0" w:color="auto"/>
              <w:bottom w:val="single" w:sz="8" w:space="0" w:color="auto"/>
              <w:right w:val="single" w:sz="8" w:space="0" w:color="auto"/>
            </w:tcBorders>
          </w:tcPr>
          <w:p w14:paraId="10EB84CF" w14:textId="7EA95E2D" w:rsidR="0086502A" w:rsidRPr="008933F3" w:rsidRDefault="0086502A" w:rsidP="0086502A">
            <w:pPr>
              <w:spacing w:line="328" w:lineRule="auto"/>
              <w:ind w:left="144"/>
              <w:rPr>
                <w:rFonts w:eastAsia="Times New Roman"/>
                <w:sz w:val="18"/>
                <w:szCs w:val="18"/>
              </w:rPr>
            </w:pPr>
            <w:r>
              <w:rPr>
                <w:rFonts w:eastAsia="Times New Roman"/>
                <w:sz w:val="18"/>
                <w:szCs w:val="18"/>
              </w:rPr>
              <w:t>Some people who drink water containing endrin in excess of the MCL over many years could experience liver problems.</w:t>
            </w:r>
          </w:p>
        </w:tc>
      </w:tr>
      <w:tr w:rsidR="0086502A" w14:paraId="0144FB77"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1E0A6B43" w14:textId="4E6F50B9" w:rsidR="0086502A" w:rsidRDefault="0086502A"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Epichlorohydrin</w:t>
            </w:r>
          </w:p>
        </w:tc>
        <w:tc>
          <w:tcPr>
            <w:tcW w:w="1060" w:type="dxa"/>
            <w:tcBorders>
              <w:top w:val="single" w:sz="8" w:space="0" w:color="auto"/>
              <w:left w:val="single" w:sz="8" w:space="0" w:color="auto"/>
              <w:bottom w:val="single" w:sz="8" w:space="0" w:color="auto"/>
              <w:right w:val="single" w:sz="8" w:space="0" w:color="auto"/>
            </w:tcBorders>
            <w:vAlign w:val="center"/>
          </w:tcPr>
          <w:p w14:paraId="10C1A8CF" w14:textId="71C358A6" w:rsidR="0086502A" w:rsidRDefault="0086502A" w:rsidP="0086502A">
            <w:pPr>
              <w:jc w:val="center"/>
              <w:rPr>
                <w:rFonts w:eastAsia="Times New Roman"/>
                <w:sz w:val="18"/>
                <w:szCs w:val="18"/>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7075BAE7" w14:textId="6E2CD85B" w:rsidR="0086502A" w:rsidRDefault="0086502A" w:rsidP="0086502A">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6F90287A" w14:textId="2956911C" w:rsidR="0086502A" w:rsidRDefault="0086502A" w:rsidP="0086502A">
            <w:pPr>
              <w:jc w:val="center"/>
              <w:rPr>
                <w:rFonts w:eastAsia="Times New Roman"/>
                <w:sz w:val="18"/>
                <w:szCs w:val="18"/>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086DB434" w14:textId="7909AF7E"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73A6E74F" w14:textId="55721EB2" w:rsidR="0086502A" w:rsidRDefault="0086502A" w:rsidP="0086502A">
            <w:pPr>
              <w:spacing w:line="328" w:lineRule="auto"/>
              <w:ind w:left="144"/>
              <w:rPr>
                <w:rFonts w:eastAsia="Times New Roman"/>
                <w:sz w:val="18"/>
                <w:szCs w:val="18"/>
              </w:rPr>
            </w:pPr>
            <w:r>
              <w:rPr>
                <w:rFonts w:eastAsia="Times New Roman"/>
                <w:sz w:val="18"/>
                <w:szCs w:val="18"/>
              </w:rPr>
              <w:t>Discharge from industrial chemical factories; an impurity of some water treatment chemicals</w:t>
            </w:r>
          </w:p>
        </w:tc>
        <w:tc>
          <w:tcPr>
            <w:tcW w:w="2440" w:type="dxa"/>
            <w:tcBorders>
              <w:top w:val="single" w:sz="8" w:space="0" w:color="auto"/>
              <w:bottom w:val="single" w:sz="8" w:space="0" w:color="auto"/>
              <w:right w:val="single" w:sz="8" w:space="0" w:color="auto"/>
            </w:tcBorders>
          </w:tcPr>
          <w:p w14:paraId="6504B948" w14:textId="6EDA1044"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high levels of epichlorohydrin over a long period of time could experience stomach problems, and may have an increased risk of getting cancer.</w:t>
            </w:r>
          </w:p>
        </w:tc>
      </w:tr>
      <w:tr w:rsidR="0086502A" w14:paraId="2F204C7C"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4E6FC4D1" w14:textId="58AA1257" w:rsidR="0086502A" w:rsidRDefault="0086502A"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Ethylene dibromide</w:t>
            </w:r>
          </w:p>
        </w:tc>
        <w:tc>
          <w:tcPr>
            <w:tcW w:w="1060" w:type="dxa"/>
            <w:tcBorders>
              <w:top w:val="single" w:sz="8" w:space="0" w:color="auto"/>
              <w:left w:val="single" w:sz="8" w:space="0" w:color="auto"/>
              <w:bottom w:val="single" w:sz="8" w:space="0" w:color="auto"/>
              <w:right w:val="single" w:sz="8" w:space="0" w:color="auto"/>
            </w:tcBorders>
            <w:vAlign w:val="center"/>
          </w:tcPr>
          <w:p w14:paraId="30DE75CC" w14:textId="42B789A0" w:rsidR="0086502A" w:rsidRDefault="0086502A" w:rsidP="0086502A">
            <w:pPr>
              <w:jc w:val="center"/>
              <w:rPr>
                <w:rFonts w:eastAsia="Times New Roman"/>
                <w:sz w:val="18"/>
                <w:szCs w:val="18"/>
              </w:rPr>
            </w:pPr>
            <w:r>
              <w:rPr>
                <w:rFonts w:eastAsia="Times New Roman"/>
                <w:sz w:val="18"/>
                <w:szCs w:val="18"/>
              </w:rPr>
              <w:t>0.00002 mg/l</w:t>
            </w:r>
          </w:p>
        </w:tc>
        <w:tc>
          <w:tcPr>
            <w:tcW w:w="1360" w:type="dxa"/>
            <w:tcBorders>
              <w:top w:val="single" w:sz="8" w:space="0" w:color="auto"/>
              <w:bottom w:val="single" w:sz="8" w:space="0" w:color="auto"/>
              <w:right w:val="single" w:sz="8" w:space="0" w:color="auto"/>
            </w:tcBorders>
            <w:vAlign w:val="center"/>
          </w:tcPr>
          <w:p w14:paraId="6159D951" w14:textId="2B5BEDF5" w:rsidR="0086502A" w:rsidRDefault="0086502A" w:rsidP="0086502A">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4EF2D9D5" w14:textId="157B293F" w:rsidR="0086502A" w:rsidRDefault="0086502A" w:rsidP="0086502A">
            <w:pPr>
              <w:jc w:val="center"/>
              <w:rPr>
                <w:rFonts w:eastAsia="Times New Roman"/>
                <w:sz w:val="18"/>
                <w:szCs w:val="18"/>
              </w:rPr>
            </w:pPr>
            <w:r>
              <w:rPr>
                <w:rFonts w:eastAsia="Times New Roman"/>
                <w:sz w:val="18"/>
                <w:szCs w:val="18"/>
              </w:rPr>
              <w:t>20 ppt</w:t>
            </w:r>
          </w:p>
        </w:tc>
        <w:tc>
          <w:tcPr>
            <w:tcW w:w="980" w:type="dxa"/>
            <w:tcBorders>
              <w:top w:val="single" w:sz="8" w:space="0" w:color="auto"/>
              <w:bottom w:val="single" w:sz="8" w:space="0" w:color="auto"/>
              <w:right w:val="single" w:sz="8" w:space="0" w:color="auto"/>
            </w:tcBorders>
            <w:vAlign w:val="center"/>
          </w:tcPr>
          <w:p w14:paraId="559B9F50" w14:textId="30EA0248"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4E3B9F39" w14:textId="6DC4682B" w:rsidR="0086502A" w:rsidRDefault="0086502A" w:rsidP="0086502A">
            <w:pPr>
              <w:spacing w:line="328" w:lineRule="auto"/>
              <w:ind w:left="144"/>
              <w:rPr>
                <w:rFonts w:eastAsia="Times New Roman"/>
                <w:sz w:val="18"/>
                <w:szCs w:val="18"/>
              </w:rPr>
            </w:pPr>
            <w:r>
              <w:rPr>
                <w:rFonts w:eastAsia="Times New Roman"/>
                <w:sz w:val="18"/>
                <w:szCs w:val="18"/>
              </w:rPr>
              <w:t>Discharge from petroleum refineries</w:t>
            </w:r>
          </w:p>
        </w:tc>
        <w:tc>
          <w:tcPr>
            <w:tcW w:w="2440" w:type="dxa"/>
            <w:tcBorders>
              <w:top w:val="single" w:sz="8" w:space="0" w:color="auto"/>
              <w:bottom w:val="single" w:sz="8" w:space="0" w:color="auto"/>
              <w:right w:val="single" w:sz="8" w:space="0" w:color="auto"/>
            </w:tcBorders>
          </w:tcPr>
          <w:p w14:paraId="60581B68" w14:textId="24EFED27"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ethylene dibromide in excess of the MCL over many years could experience problems with their liver, stomach, reproductive system, or kidneys, and may have an increased risk of getting cancer.</w:t>
            </w:r>
          </w:p>
        </w:tc>
      </w:tr>
      <w:tr w:rsidR="0086502A" w14:paraId="67971EC2"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522F383" w14:textId="51B7B512"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Glyphosate</w:t>
            </w:r>
          </w:p>
        </w:tc>
        <w:tc>
          <w:tcPr>
            <w:tcW w:w="1060" w:type="dxa"/>
            <w:tcBorders>
              <w:top w:val="single" w:sz="8" w:space="0" w:color="auto"/>
              <w:left w:val="single" w:sz="8" w:space="0" w:color="auto"/>
              <w:bottom w:val="single" w:sz="8" w:space="0" w:color="auto"/>
              <w:right w:val="single" w:sz="8" w:space="0" w:color="auto"/>
            </w:tcBorders>
            <w:vAlign w:val="center"/>
          </w:tcPr>
          <w:p w14:paraId="28E4A07D" w14:textId="5B13543F" w:rsidR="0086502A" w:rsidRDefault="0086502A" w:rsidP="0086502A">
            <w:pPr>
              <w:jc w:val="center"/>
              <w:rPr>
                <w:rFonts w:eastAsia="Times New Roman"/>
                <w:sz w:val="18"/>
                <w:szCs w:val="18"/>
              </w:rPr>
            </w:pPr>
            <w:r>
              <w:rPr>
                <w:rFonts w:eastAsia="Times New Roman"/>
                <w:sz w:val="18"/>
                <w:szCs w:val="18"/>
              </w:rPr>
              <w:t>0.7 mg/l</w:t>
            </w:r>
          </w:p>
        </w:tc>
        <w:tc>
          <w:tcPr>
            <w:tcW w:w="1360" w:type="dxa"/>
            <w:tcBorders>
              <w:top w:val="single" w:sz="8" w:space="0" w:color="auto"/>
              <w:bottom w:val="single" w:sz="8" w:space="0" w:color="auto"/>
              <w:right w:val="single" w:sz="8" w:space="0" w:color="auto"/>
            </w:tcBorders>
            <w:vAlign w:val="center"/>
          </w:tcPr>
          <w:p w14:paraId="65EDA237" w14:textId="06C6AA4A"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68750AC5" w14:textId="0F8D0ED2" w:rsidR="0086502A" w:rsidRDefault="0086502A" w:rsidP="0086502A">
            <w:pPr>
              <w:jc w:val="center"/>
              <w:rPr>
                <w:rFonts w:eastAsia="Times New Roman"/>
                <w:sz w:val="18"/>
                <w:szCs w:val="18"/>
              </w:rPr>
            </w:pPr>
            <w:r>
              <w:rPr>
                <w:rFonts w:eastAsia="Times New Roman"/>
                <w:sz w:val="18"/>
                <w:szCs w:val="18"/>
              </w:rPr>
              <w:t>700 ppb</w:t>
            </w:r>
          </w:p>
        </w:tc>
        <w:tc>
          <w:tcPr>
            <w:tcW w:w="980" w:type="dxa"/>
            <w:tcBorders>
              <w:top w:val="single" w:sz="8" w:space="0" w:color="auto"/>
              <w:bottom w:val="single" w:sz="8" w:space="0" w:color="auto"/>
              <w:right w:val="single" w:sz="8" w:space="0" w:color="auto"/>
            </w:tcBorders>
            <w:vAlign w:val="center"/>
          </w:tcPr>
          <w:p w14:paraId="6D2B0BE5" w14:textId="4473DB82" w:rsidR="0086502A" w:rsidRDefault="0086502A" w:rsidP="0086502A">
            <w:pPr>
              <w:jc w:val="center"/>
              <w:rPr>
                <w:rFonts w:eastAsia="Times New Roman"/>
                <w:sz w:val="18"/>
                <w:szCs w:val="18"/>
              </w:rPr>
            </w:pPr>
            <w:r>
              <w:rPr>
                <w:rFonts w:eastAsia="Times New Roman"/>
                <w:sz w:val="18"/>
                <w:szCs w:val="18"/>
              </w:rPr>
              <w:t>700 ppb</w:t>
            </w:r>
          </w:p>
        </w:tc>
        <w:tc>
          <w:tcPr>
            <w:tcW w:w="1860" w:type="dxa"/>
            <w:tcBorders>
              <w:top w:val="single" w:sz="8" w:space="0" w:color="auto"/>
              <w:bottom w:val="single" w:sz="8" w:space="0" w:color="auto"/>
              <w:right w:val="single" w:sz="8" w:space="0" w:color="auto"/>
            </w:tcBorders>
          </w:tcPr>
          <w:p w14:paraId="27743259" w14:textId="2EC5F1AA" w:rsidR="0086502A" w:rsidRDefault="0086502A" w:rsidP="0086502A">
            <w:pPr>
              <w:spacing w:line="328" w:lineRule="auto"/>
              <w:ind w:left="144"/>
              <w:rPr>
                <w:rFonts w:eastAsia="Times New Roman"/>
                <w:sz w:val="18"/>
                <w:szCs w:val="18"/>
              </w:rPr>
            </w:pPr>
            <w:r>
              <w:rPr>
                <w:rFonts w:eastAsia="Times New Roman"/>
                <w:sz w:val="18"/>
                <w:szCs w:val="18"/>
              </w:rPr>
              <w:t>Runoff from herbicide use</w:t>
            </w:r>
          </w:p>
        </w:tc>
        <w:tc>
          <w:tcPr>
            <w:tcW w:w="2440" w:type="dxa"/>
            <w:tcBorders>
              <w:top w:val="single" w:sz="8" w:space="0" w:color="auto"/>
              <w:bottom w:val="single" w:sz="8" w:space="0" w:color="auto"/>
              <w:right w:val="single" w:sz="8" w:space="0" w:color="auto"/>
            </w:tcBorders>
          </w:tcPr>
          <w:p w14:paraId="2FBC5860" w14:textId="14C50854"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glyphosate in excess of the MCL over many years could experience problems with their kidneys or reproductive difficulties.</w:t>
            </w:r>
          </w:p>
        </w:tc>
      </w:tr>
    </w:tbl>
    <w:p w14:paraId="281A374A" w14:textId="77777777" w:rsidR="004647B9" w:rsidRDefault="004647B9">
      <w:pPr>
        <w:spacing w:line="347" w:lineRule="exact"/>
        <w:rPr>
          <w:sz w:val="20"/>
          <w:szCs w:val="20"/>
        </w:rPr>
      </w:pPr>
    </w:p>
    <w:p w14:paraId="281A3907" w14:textId="77777777" w:rsidR="004647B9" w:rsidRDefault="004647B9">
      <w:pPr>
        <w:sectPr w:rsidR="004647B9" w:rsidSect="00EF630C">
          <w:pgSz w:w="12240" w:h="20180"/>
          <w:pgMar w:top="708" w:right="940" w:bottom="1440" w:left="600" w:header="0" w:footer="0" w:gutter="0"/>
          <w:cols w:space="720"/>
        </w:sectPr>
      </w:pPr>
    </w:p>
    <w:p w14:paraId="281A3908" w14:textId="77777777" w:rsidR="004647B9" w:rsidRDefault="00E2436F">
      <w:pPr>
        <w:tabs>
          <w:tab w:val="left" w:pos="2860"/>
        </w:tabs>
        <w:ind w:left="1680"/>
        <w:rPr>
          <w:sz w:val="20"/>
          <w:szCs w:val="20"/>
        </w:rPr>
      </w:pPr>
      <w:bookmarkStart w:id="231" w:name="page233"/>
      <w:bookmarkEnd w:id="23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909" w14:textId="77777777" w:rsidR="004647B9" w:rsidRDefault="004647B9" w:rsidP="00E023ED">
      <w:pPr>
        <w:rPr>
          <w:sz w:val="20"/>
          <w:szCs w:val="20"/>
        </w:rPr>
      </w:pPr>
    </w:p>
    <w:p w14:paraId="57D1188F" w14:textId="77777777" w:rsidR="00E023ED" w:rsidRDefault="00E023ED" w:rsidP="00E023ED">
      <w:pPr>
        <w:rPr>
          <w:sz w:val="20"/>
          <w:szCs w:val="20"/>
        </w:rPr>
      </w:pPr>
    </w:p>
    <w:p w14:paraId="281A390A" w14:textId="77777777" w:rsidR="004647B9" w:rsidRPr="00E023ED" w:rsidRDefault="00E2436F" w:rsidP="00E023ED">
      <w:pPr>
        <w:tabs>
          <w:tab w:val="left" w:pos="940"/>
        </w:tabs>
        <w:rPr>
          <w:sz w:val="24"/>
          <w:szCs w:val="24"/>
        </w:rPr>
      </w:pPr>
      <w:r w:rsidRPr="00E023ED">
        <w:rPr>
          <w:rFonts w:eastAsia="Times New Roman"/>
          <w:sz w:val="24"/>
          <w:szCs w:val="24"/>
        </w:rPr>
        <w:t>22.16A:</w:t>
      </w:r>
      <w:r w:rsidRPr="00E023ED">
        <w:rPr>
          <w:sz w:val="24"/>
          <w:szCs w:val="24"/>
        </w:rPr>
        <w:tab/>
      </w:r>
      <w:r w:rsidRPr="00E023ED">
        <w:rPr>
          <w:rFonts w:eastAsia="Times New Roman"/>
          <w:sz w:val="24"/>
          <w:szCs w:val="24"/>
        </w:rPr>
        <w:t>continued</w:t>
      </w:r>
    </w:p>
    <w:p w14:paraId="281A390B" w14:textId="77777777" w:rsidR="004647B9" w:rsidRDefault="004647B9" w:rsidP="00E023ED">
      <w:pPr>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860"/>
        <w:gridCol w:w="2440"/>
      </w:tblGrid>
      <w:tr w:rsidR="0086502A" w14:paraId="1B0EFE63"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2DC63A03" w14:textId="77777777" w:rsidR="0086502A" w:rsidRDefault="0086502A" w:rsidP="00DF6443">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28AC5F3B" w14:textId="77777777" w:rsidR="0086502A" w:rsidRDefault="0086502A"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77CE219D" w14:textId="77777777" w:rsidR="0086502A" w:rsidRDefault="0086502A"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39EC734E" w14:textId="77777777" w:rsidR="0086502A" w:rsidRDefault="0086502A"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3F104723" w14:textId="77777777" w:rsidR="0086502A" w:rsidRDefault="0086502A"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6E85CE59" w14:textId="77777777" w:rsidR="0086502A" w:rsidRDefault="0086502A"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0" w:type="dxa"/>
            <w:tcBorders>
              <w:top w:val="single" w:sz="8" w:space="0" w:color="auto"/>
              <w:bottom w:val="single" w:sz="8" w:space="0" w:color="auto"/>
              <w:right w:val="single" w:sz="8" w:space="0" w:color="auto"/>
            </w:tcBorders>
            <w:vAlign w:val="center"/>
          </w:tcPr>
          <w:p w14:paraId="1E4A14DC" w14:textId="77777777" w:rsidR="0086502A" w:rsidRDefault="0086502A" w:rsidP="00DF6443">
            <w:pPr>
              <w:jc w:val="center"/>
              <w:rPr>
                <w:sz w:val="20"/>
                <w:szCs w:val="20"/>
              </w:rPr>
            </w:pPr>
            <w:r>
              <w:rPr>
                <w:rFonts w:eastAsia="Times New Roman"/>
                <w:sz w:val="18"/>
                <w:szCs w:val="18"/>
              </w:rPr>
              <w:t>Health Effects Language</w:t>
            </w:r>
          </w:p>
        </w:tc>
      </w:tr>
      <w:tr w:rsidR="0086502A" w14:paraId="2976EB24"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941D3DD" w14:textId="6018F402" w:rsidR="0086502A" w:rsidRPr="00E6483D" w:rsidRDefault="0086502A" w:rsidP="00563A54">
            <w:pPr>
              <w:pStyle w:val="ListParagraph"/>
              <w:numPr>
                <w:ilvl w:val="0"/>
                <w:numId w:val="939"/>
              </w:numPr>
              <w:tabs>
                <w:tab w:val="left" w:pos="330"/>
              </w:tabs>
              <w:ind w:left="330" w:right="40" w:hanging="330"/>
              <w:rPr>
                <w:rFonts w:eastAsia="Times New Roman"/>
                <w:i/>
                <w:iCs/>
                <w:sz w:val="18"/>
                <w:szCs w:val="18"/>
              </w:rPr>
            </w:pPr>
            <w:r>
              <w:rPr>
                <w:rFonts w:eastAsia="Times New Roman"/>
                <w:sz w:val="18"/>
                <w:szCs w:val="18"/>
              </w:rPr>
              <w:t>Heptachlor</w:t>
            </w:r>
          </w:p>
        </w:tc>
        <w:tc>
          <w:tcPr>
            <w:tcW w:w="1060" w:type="dxa"/>
            <w:tcBorders>
              <w:top w:val="single" w:sz="8" w:space="0" w:color="auto"/>
              <w:left w:val="single" w:sz="8" w:space="0" w:color="auto"/>
              <w:bottom w:val="single" w:sz="8" w:space="0" w:color="auto"/>
              <w:right w:val="single" w:sz="8" w:space="0" w:color="auto"/>
            </w:tcBorders>
            <w:vAlign w:val="center"/>
          </w:tcPr>
          <w:p w14:paraId="5D698C17" w14:textId="3E3718D7" w:rsidR="0086502A" w:rsidRDefault="0086502A" w:rsidP="0086502A">
            <w:pPr>
              <w:jc w:val="center"/>
              <w:rPr>
                <w:rFonts w:eastAsia="Times New Roman"/>
                <w:sz w:val="18"/>
                <w:szCs w:val="18"/>
              </w:rPr>
            </w:pPr>
            <w:r>
              <w:rPr>
                <w:rFonts w:eastAsia="Times New Roman"/>
                <w:sz w:val="18"/>
                <w:szCs w:val="18"/>
              </w:rPr>
              <w:t>0.0004 mg/l</w:t>
            </w:r>
          </w:p>
        </w:tc>
        <w:tc>
          <w:tcPr>
            <w:tcW w:w="1360" w:type="dxa"/>
            <w:tcBorders>
              <w:top w:val="single" w:sz="8" w:space="0" w:color="auto"/>
              <w:bottom w:val="single" w:sz="8" w:space="0" w:color="auto"/>
              <w:right w:val="single" w:sz="8" w:space="0" w:color="auto"/>
            </w:tcBorders>
            <w:vAlign w:val="center"/>
          </w:tcPr>
          <w:p w14:paraId="35304126" w14:textId="0A1BE426" w:rsidR="0086502A" w:rsidRDefault="0086502A" w:rsidP="0086502A">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17400CC6" w14:textId="7DCDEFF0" w:rsidR="0086502A" w:rsidRDefault="0086502A" w:rsidP="0086502A">
            <w:pPr>
              <w:jc w:val="center"/>
              <w:rPr>
                <w:rFonts w:eastAsia="Times New Roman"/>
                <w:sz w:val="18"/>
                <w:szCs w:val="18"/>
              </w:rPr>
            </w:pPr>
            <w:r>
              <w:rPr>
                <w:rFonts w:eastAsia="Times New Roman"/>
                <w:sz w:val="18"/>
                <w:szCs w:val="18"/>
              </w:rPr>
              <w:t>400 ppt</w:t>
            </w:r>
          </w:p>
        </w:tc>
        <w:tc>
          <w:tcPr>
            <w:tcW w:w="980" w:type="dxa"/>
            <w:tcBorders>
              <w:top w:val="single" w:sz="8" w:space="0" w:color="auto"/>
              <w:bottom w:val="single" w:sz="8" w:space="0" w:color="auto"/>
              <w:right w:val="single" w:sz="8" w:space="0" w:color="auto"/>
            </w:tcBorders>
            <w:vAlign w:val="center"/>
          </w:tcPr>
          <w:p w14:paraId="0F36C3BA" w14:textId="607AD2A1"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42FF6819" w14:textId="0FCDDDF2" w:rsidR="0086502A" w:rsidRDefault="0086502A" w:rsidP="0086502A">
            <w:pPr>
              <w:spacing w:line="328" w:lineRule="auto"/>
              <w:ind w:left="144"/>
              <w:rPr>
                <w:rFonts w:eastAsia="Times New Roman"/>
                <w:sz w:val="18"/>
                <w:szCs w:val="18"/>
              </w:rPr>
            </w:pPr>
            <w:r>
              <w:rPr>
                <w:rFonts w:eastAsia="Times New Roman"/>
                <w:sz w:val="18"/>
                <w:szCs w:val="18"/>
              </w:rPr>
              <w:t>Residue of banned pesticide</w:t>
            </w:r>
          </w:p>
        </w:tc>
        <w:tc>
          <w:tcPr>
            <w:tcW w:w="2440" w:type="dxa"/>
            <w:tcBorders>
              <w:top w:val="single" w:sz="8" w:space="0" w:color="auto"/>
              <w:bottom w:val="single" w:sz="8" w:space="0" w:color="auto"/>
              <w:right w:val="single" w:sz="8" w:space="0" w:color="auto"/>
            </w:tcBorders>
          </w:tcPr>
          <w:p w14:paraId="5B496364" w14:textId="64FF0CAD" w:rsidR="0086502A" w:rsidRPr="008C2304" w:rsidRDefault="0086502A" w:rsidP="0086502A">
            <w:pPr>
              <w:spacing w:line="328" w:lineRule="auto"/>
              <w:ind w:left="144"/>
              <w:rPr>
                <w:rFonts w:eastAsia="Times New Roman"/>
                <w:sz w:val="18"/>
                <w:szCs w:val="18"/>
              </w:rPr>
            </w:pPr>
            <w:r>
              <w:rPr>
                <w:rFonts w:eastAsia="Times New Roman"/>
                <w:sz w:val="18"/>
                <w:szCs w:val="18"/>
              </w:rPr>
              <w:t>Some people who drink water containing heptachlor in excess of the MCL over many years could experience liver damage and may have an increased risk of getting cancer.</w:t>
            </w:r>
          </w:p>
        </w:tc>
      </w:tr>
      <w:tr w:rsidR="0086502A" w14:paraId="58FB038B"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52278890" w14:textId="557E0C39"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Heptachlor epoxide</w:t>
            </w:r>
          </w:p>
        </w:tc>
        <w:tc>
          <w:tcPr>
            <w:tcW w:w="1060" w:type="dxa"/>
            <w:tcBorders>
              <w:top w:val="single" w:sz="8" w:space="0" w:color="auto"/>
              <w:left w:val="single" w:sz="8" w:space="0" w:color="auto"/>
              <w:bottom w:val="single" w:sz="8" w:space="0" w:color="auto"/>
              <w:right w:val="single" w:sz="8" w:space="0" w:color="auto"/>
            </w:tcBorders>
            <w:vAlign w:val="center"/>
          </w:tcPr>
          <w:p w14:paraId="51AED6E6" w14:textId="7A548D56" w:rsidR="0086502A" w:rsidRDefault="0086502A" w:rsidP="0086502A">
            <w:pPr>
              <w:ind w:left="720" w:hanging="720"/>
              <w:jc w:val="center"/>
              <w:rPr>
                <w:rFonts w:eastAsia="Times New Roman"/>
                <w:sz w:val="18"/>
                <w:szCs w:val="18"/>
              </w:rPr>
            </w:pPr>
            <w:r>
              <w:rPr>
                <w:rFonts w:eastAsia="Times New Roman"/>
                <w:sz w:val="18"/>
                <w:szCs w:val="18"/>
              </w:rPr>
              <w:t>0.0002 mg/l</w:t>
            </w:r>
          </w:p>
        </w:tc>
        <w:tc>
          <w:tcPr>
            <w:tcW w:w="1360" w:type="dxa"/>
            <w:tcBorders>
              <w:top w:val="single" w:sz="8" w:space="0" w:color="auto"/>
              <w:bottom w:val="single" w:sz="8" w:space="0" w:color="auto"/>
              <w:right w:val="single" w:sz="8" w:space="0" w:color="auto"/>
            </w:tcBorders>
            <w:vAlign w:val="center"/>
          </w:tcPr>
          <w:p w14:paraId="3B77268C" w14:textId="49EC9317" w:rsidR="0086502A" w:rsidRDefault="0086502A" w:rsidP="0086502A">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650E9F66" w14:textId="49C05D6B" w:rsidR="0086502A" w:rsidRDefault="0086502A" w:rsidP="0086502A">
            <w:pPr>
              <w:jc w:val="center"/>
              <w:rPr>
                <w:rFonts w:eastAsia="Times New Roman"/>
                <w:sz w:val="18"/>
                <w:szCs w:val="18"/>
              </w:rPr>
            </w:pPr>
            <w:r>
              <w:rPr>
                <w:rFonts w:eastAsia="Times New Roman"/>
                <w:sz w:val="18"/>
                <w:szCs w:val="18"/>
              </w:rPr>
              <w:t>200 ppt</w:t>
            </w:r>
          </w:p>
        </w:tc>
        <w:tc>
          <w:tcPr>
            <w:tcW w:w="980" w:type="dxa"/>
            <w:tcBorders>
              <w:top w:val="single" w:sz="8" w:space="0" w:color="auto"/>
              <w:bottom w:val="single" w:sz="8" w:space="0" w:color="auto"/>
              <w:right w:val="single" w:sz="8" w:space="0" w:color="auto"/>
            </w:tcBorders>
            <w:vAlign w:val="center"/>
          </w:tcPr>
          <w:p w14:paraId="7D060463" w14:textId="37037F7C"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6AE33F3A" w14:textId="2DBA814D" w:rsidR="0086502A" w:rsidRDefault="0086502A" w:rsidP="0086502A">
            <w:pPr>
              <w:spacing w:line="328" w:lineRule="auto"/>
              <w:ind w:left="144"/>
              <w:rPr>
                <w:rFonts w:eastAsia="Times New Roman"/>
                <w:sz w:val="18"/>
                <w:szCs w:val="18"/>
              </w:rPr>
            </w:pPr>
            <w:r>
              <w:rPr>
                <w:rFonts w:eastAsia="Times New Roman"/>
                <w:sz w:val="18"/>
                <w:szCs w:val="18"/>
              </w:rPr>
              <w:t>Breakdown of heptachlor</w:t>
            </w:r>
          </w:p>
        </w:tc>
        <w:tc>
          <w:tcPr>
            <w:tcW w:w="2440" w:type="dxa"/>
            <w:tcBorders>
              <w:top w:val="single" w:sz="8" w:space="0" w:color="auto"/>
              <w:bottom w:val="single" w:sz="8" w:space="0" w:color="auto"/>
              <w:right w:val="single" w:sz="8" w:space="0" w:color="auto"/>
            </w:tcBorders>
          </w:tcPr>
          <w:p w14:paraId="2AFD7840" w14:textId="78E6E296" w:rsidR="0086502A" w:rsidRPr="008933F3" w:rsidRDefault="0086502A" w:rsidP="0086502A">
            <w:pPr>
              <w:spacing w:line="328" w:lineRule="auto"/>
              <w:ind w:left="144"/>
              <w:rPr>
                <w:rFonts w:eastAsia="Times New Roman"/>
                <w:sz w:val="18"/>
                <w:szCs w:val="18"/>
              </w:rPr>
            </w:pPr>
            <w:r>
              <w:rPr>
                <w:rFonts w:eastAsia="Times New Roman"/>
                <w:sz w:val="18"/>
                <w:szCs w:val="18"/>
              </w:rPr>
              <w:t>Some people who drink water containing heptachlor epoxide in excess of the MCL over many years could experience liver damage, and may have an increased risk of getting cancer.</w:t>
            </w:r>
          </w:p>
        </w:tc>
      </w:tr>
      <w:tr w:rsidR="0086502A" w14:paraId="1ABB76DA"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30C3D299" w14:textId="5C2A1D13" w:rsidR="0086502A" w:rsidRDefault="0086502A"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Hexachlorobenzene</w:t>
            </w:r>
          </w:p>
        </w:tc>
        <w:tc>
          <w:tcPr>
            <w:tcW w:w="1060" w:type="dxa"/>
            <w:tcBorders>
              <w:top w:val="single" w:sz="8" w:space="0" w:color="auto"/>
              <w:left w:val="single" w:sz="8" w:space="0" w:color="auto"/>
              <w:bottom w:val="single" w:sz="8" w:space="0" w:color="auto"/>
              <w:right w:val="single" w:sz="8" w:space="0" w:color="auto"/>
            </w:tcBorders>
            <w:vAlign w:val="center"/>
          </w:tcPr>
          <w:p w14:paraId="63730F06" w14:textId="423CCFD3" w:rsidR="0086502A" w:rsidRDefault="0086502A" w:rsidP="0086502A">
            <w:pPr>
              <w:jc w:val="center"/>
              <w:rPr>
                <w:rFonts w:eastAsia="Times New Roman"/>
                <w:sz w:val="18"/>
                <w:szCs w:val="18"/>
              </w:rPr>
            </w:pPr>
            <w:r>
              <w:rPr>
                <w:rFonts w:eastAsia="Times New Roman"/>
                <w:sz w:val="18"/>
                <w:szCs w:val="18"/>
              </w:rPr>
              <w:t>0.001 mg/l</w:t>
            </w:r>
          </w:p>
        </w:tc>
        <w:tc>
          <w:tcPr>
            <w:tcW w:w="1360" w:type="dxa"/>
            <w:tcBorders>
              <w:top w:val="single" w:sz="8" w:space="0" w:color="auto"/>
              <w:bottom w:val="single" w:sz="8" w:space="0" w:color="auto"/>
              <w:right w:val="single" w:sz="8" w:space="0" w:color="auto"/>
            </w:tcBorders>
            <w:vAlign w:val="center"/>
          </w:tcPr>
          <w:p w14:paraId="5014320B" w14:textId="69611873"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1D0BA2C" w14:textId="65A38217" w:rsidR="0086502A" w:rsidRDefault="0086502A" w:rsidP="0086502A">
            <w:pPr>
              <w:jc w:val="center"/>
              <w:rPr>
                <w:rFonts w:eastAsia="Times New Roman"/>
                <w:sz w:val="18"/>
                <w:szCs w:val="18"/>
              </w:rPr>
            </w:pPr>
            <w:r>
              <w:rPr>
                <w:rFonts w:eastAsia="Times New Roman"/>
                <w:sz w:val="18"/>
                <w:szCs w:val="18"/>
              </w:rPr>
              <w:t>1 ppb</w:t>
            </w:r>
          </w:p>
        </w:tc>
        <w:tc>
          <w:tcPr>
            <w:tcW w:w="980" w:type="dxa"/>
            <w:tcBorders>
              <w:top w:val="single" w:sz="8" w:space="0" w:color="auto"/>
              <w:bottom w:val="single" w:sz="8" w:space="0" w:color="auto"/>
              <w:right w:val="single" w:sz="8" w:space="0" w:color="auto"/>
            </w:tcBorders>
            <w:vAlign w:val="center"/>
          </w:tcPr>
          <w:p w14:paraId="2F82EC39" w14:textId="4CC2A165"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4CAD1010" w14:textId="75E8BE87" w:rsidR="0086502A" w:rsidRDefault="0086502A" w:rsidP="0086502A">
            <w:pPr>
              <w:spacing w:line="328" w:lineRule="auto"/>
              <w:ind w:left="144"/>
              <w:rPr>
                <w:rFonts w:eastAsia="Times New Roman"/>
                <w:sz w:val="18"/>
                <w:szCs w:val="18"/>
              </w:rPr>
            </w:pPr>
            <w:r>
              <w:rPr>
                <w:rFonts w:eastAsia="Times New Roman"/>
                <w:sz w:val="18"/>
                <w:szCs w:val="18"/>
              </w:rPr>
              <w:t>Discharge from metal refineries and agricultural chemical factories</w:t>
            </w:r>
          </w:p>
        </w:tc>
        <w:tc>
          <w:tcPr>
            <w:tcW w:w="2440" w:type="dxa"/>
            <w:tcBorders>
              <w:top w:val="single" w:sz="8" w:space="0" w:color="auto"/>
              <w:bottom w:val="single" w:sz="8" w:space="0" w:color="auto"/>
              <w:right w:val="single" w:sz="8" w:space="0" w:color="auto"/>
            </w:tcBorders>
          </w:tcPr>
          <w:p w14:paraId="264E08FC" w14:textId="0084EC71"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hexachlorobenzene in excess of the MCL over many years could experience problems with their liver or kidneys, or adverse reproductive effects, and may have an increased risk of getting cancer.</w:t>
            </w:r>
          </w:p>
        </w:tc>
      </w:tr>
      <w:tr w:rsidR="0086502A" w14:paraId="5FD65B1C"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4CB51BA" w14:textId="11BB6673"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Hexachlorocyclopentadiene</w:t>
            </w:r>
          </w:p>
        </w:tc>
        <w:tc>
          <w:tcPr>
            <w:tcW w:w="1060" w:type="dxa"/>
            <w:tcBorders>
              <w:top w:val="single" w:sz="8" w:space="0" w:color="auto"/>
              <w:left w:val="single" w:sz="8" w:space="0" w:color="auto"/>
              <w:bottom w:val="single" w:sz="8" w:space="0" w:color="auto"/>
              <w:right w:val="single" w:sz="8" w:space="0" w:color="auto"/>
            </w:tcBorders>
            <w:vAlign w:val="center"/>
          </w:tcPr>
          <w:p w14:paraId="270B1FD1" w14:textId="2CEF35ED" w:rsidR="0086502A" w:rsidRDefault="0086502A" w:rsidP="0086502A">
            <w:pPr>
              <w:jc w:val="center"/>
              <w:rPr>
                <w:rFonts w:eastAsia="Times New Roman"/>
                <w:sz w:val="18"/>
                <w:szCs w:val="18"/>
              </w:rPr>
            </w:pPr>
            <w:r>
              <w:rPr>
                <w:rFonts w:eastAsia="Times New Roman"/>
                <w:sz w:val="18"/>
                <w:szCs w:val="18"/>
              </w:rPr>
              <w:t>0.05 mg/l</w:t>
            </w:r>
          </w:p>
        </w:tc>
        <w:tc>
          <w:tcPr>
            <w:tcW w:w="1360" w:type="dxa"/>
            <w:tcBorders>
              <w:top w:val="single" w:sz="8" w:space="0" w:color="auto"/>
              <w:bottom w:val="single" w:sz="8" w:space="0" w:color="auto"/>
              <w:right w:val="single" w:sz="8" w:space="0" w:color="auto"/>
            </w:tcBorders>
            <w:vAlign w:val="center"/>
          </w:tcPr>
          <w:p w14:paraId="70D06732" w14:textId="122AF963"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613D3F1" w14:textId="44309C40" w:rsidR="0086502A" w:rsidRDefault="0086502A" w:rsidP="0086502A">
            <w:pPr>
              <w:jc w:val="center"/>
              <w:rPr>
                <w:rFonts w:eastAsia="Times New Roman"/>
                <w:sz w:val="18"/>
                <w:szCs w:val="18"/>
              </w:rPr>
            </w:pPr>
            <w:r>
              <w:rPr>
                <w:rFonts w:eastAsia="Times New Roman"/>
                <w:sz w:val="18"/>
                <w:szCs w:val="18"/>
              </w:rPr>
              <w:t>50 ppb</w:t>
            </w:r>
          </w:p>
        </w:tc>
        <w:tc>
          <w:tcPr>
            <w:tcW w:w="980" w:type="dxa"/>
            <w:tcBorders>
              <w:top w:val="single" w:sz="8" w:space="0" w:color="auto"/>
              <w:bottom w:val="single" w:sz="8" w:space="0" w:color="auto"/>
              <w:right w:val="single" w:sz="8" w:space="0" w:color="auto"/>
            </w:tcBorders>
            <w:vAlign w:val="center"/>
          </w:tcPr>
          <w:p w14:paraId="41B671E2" w14:textId="0E06FF60" w:rsidR="0086502A" w:rsidRDefault="0086502A" w:rsidP="0086502A">
            <w:pPr>
              <w:jc w:val="center"/>
              <w:rPr>
                <w:rFonts w:eastAsia="Times New Roman"/>
                <w:sz w:val="18"/>
                <w:szCs w:val="18"/>
              </w:rPr>
            </w:pPr>
            <w:r>
              <w:rPr>
                <w:rFonts w:eastAsia="Times New Roman"/>
                <w:sz w:val="18"/>
                <w:szCs w:val="18"/>
              </w:rPr>
              <w:t>50 ppb</w:t>
            </w:r>
          </w:p>
        </w:tc>
        <w:tc>
          <w:tcPr>
            <w:tcW w:w="1860" w:type="dxa"/>
            <w:tcBorders>
              <w:top w:val="single" w:sz="8" w:space="0" w:color="auto"/>
              <w:bottom w:val="single" w:sz="8" w:space="0" w:color="auto"/>
              <w:right w:val="single" w:sz="8" w:space="0" w:color="auto"/>
            </w:tcBorders>
          </w:tcPr>
          <w:p w14:paraId="0F3BC0D3" w14:textId="04CBDA69" w:rsidR="0086502A" w:rsidRDefault="0086502A" w:rsidP="0086502A">
            <w:pPr>
              <w:spacing w:line="328" w:lineRule="auto"/>
              <w:ind w:left="144"/>
              <w:rPr>
                <w:rFonts w:eastAsia="Times New Roman"/>
                <w:sz w:val="18"/>
                <w:szCs w:val="18"/>
              </w:rPr>
            </w:pPr>
            <w:r>
              <w:rPr>
                <w:rFonts w:eastAsia="Times New Roman"/>
                <w:sz w:val="18"/>
                <w:szCs w:val="18"/>
              </w:rPr>
              <w:t>Discharge from chemical factories</w:t>
            </w:r>
          </w:p>
        </w:tc>
        <w:tc>
          <w:tcPr>
            <w:tcW w:w="2440" w:type="dxa"/>
            <w:tcBorders>
              <w:top w:val="single" w:sz="8" w:space="0" w:color="auto"/>
              <w:bottom w:val="single" w:sz="8" w:space="0" w:color="auto"/>
              <w:right w:val="single" w:sz="8" w:space="0" w:color="auto"/>
            </w:tcBorders>
          </w:tcPr>
          <w:p w14:paraId="02610A57" w14:textId="1DC68437"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hexachlorocyclopentadiene well in excess of the MCL over many years could experience problems with their kidneys or stomach.</w:t>
            </w:r>
          </w:p>
        </w:tc>
      </w:tr>
      <w:tr w:rsidR="0086502A" w14:paraId="3C0D04A3" w14:textId="77777777" w:rsidTr="0086502A">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3D722128" w14:textId="3B897761"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Lindane</w:t>
            </w:r>
          </w:p>
        </w:tc>
        <w:tc>
          <w:tcPr>
            <w:tcW w:w="1060" w:type="dxa"/>
            <w:tcBorders>
              <w:top w:val="single" w:sz="8" w:space="0" w:color="auto"/>
              <w:left w:val="single" w:sz="8" w:space="0" w:color="auto"/>
              <w:bottom w:val="single" w:sz="8" w:space="0" w:color="auto"/>
              <w:right w:val="single" w:sz="8" w:space="0" w:color="auto"/>
            </w:tcBorders>
            <w:vAlign w:val="center"/>
          </w:tcPr>
          <w:p w14:paraId="5E6EE029" w14:textId="66558F13" w:rsidR="0086502A" w:rsidRDefault="0086502A" w:rsidP="0086502A">
            <w:pPr>
              <w:jc w:val="center"/>
              <w:rPr>
                <w:rFonts w:eastAsia="Times New Roman"/>
                <w:sz w:val="18"/>
                <w:szCs w:val="18"/>
              </w:rPr>
            </w:pPr>
            <w:r>
              <w:rPr>
                <w:rFonts w:eastAsia="Times New Roman"/>
                <w:sz w:val="18"/>
                <w:szCs w:val="18"/>
              </w:rPr>
              <w:t>0.0002 mg/l</w:t>
            </w:r>
          </w:p>
        </w:tc>
        <w:tc>
          <w:tcPr>
            <w:tcW w:w="1360" w:type="dxa"/>
            <w:tcBorders>
              <w:top w:val="single" w:sz="8" w:space="0" w:color="auto"/>
              <w:bottom w:val="single" w:sz="8" w:space="0" w:color="auto"/>
              <w:right w:val="single" w:sz="8" w:space="0" w:color="auto"/>
            </w:tcBorders>
            <w:vAlign w:val="center"/>
          </w:tcPr>
          <w:p w14:paraId="5E9A5C8F" w14:textId="4F69687F" w:rsidR="0086502A" w:rsidRDefault="0086502A" w:rsidP="0086502A">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62DDC7B8" w14:textId="7C806CE9" w:rsidR="0086502A" w:rsidRDefault="0086502A" w:rsidP="0086502A">
            <w:pPr>
              <w:jc w:val="center"/>
              <w:rPr>
                <w:rFonts w:eastAsia="Times New Roman"/>
                <w:sz w:val="18"/>
                <w:szCs w:val="18"/>
              </w:rPr>
            </w:pPr>
            <w:r>
              <w:rPr>
                <w:rFonts w:eastAsia="Times New Roman"/>
                <w:sz w:val="18"/>
                <w:szCs w:val="18"/>
              </w:rPr>
              <w:t>200 ppt</w:t>
            </w:r>
          </w:p>
        </w:tc>
        <w:tc>
          <w:tcPr>
            <w:tcW w:w="980" w:type="dxa"/>
            <w:tcBorders>
              <w:top w:val="single" w:sz="8" w:space="0" w:color="auto"/>
              <w:bottom w:val="single" w:sz="8" w:space="0" w:color="auto"/>
              <w:right w:val="single" w:sz="8" w:space="0" w:color="auto"/>
            </w:tcBorders>
            <w:vAlign w:val="center"/>
          </w:tcPr>
          <w:p w14:paraId="7143BBA7" w14:textId="495ECBC7" w:rsidR="0086502A" w:rsidRDefault="0086502A" w:rsidP="0086502A">
            <w:pPr>
              <w:jc w:val="center"/>
              <w:rPr>
                <w:rFonts w:eastAsia="Times New Roman"/>
                <w:sz w:val="18"/>
                <w:szCs w:val="18"/>
              </w:rPr>
            </w:pPr>
            <w:r>
              <w:rPr>
                <w:rFonts w:eastAsia="Times New Roman"/>
                <w:sz w:val="18"/>
                <w:szCs w:val="18"/>
              </w:rPr>
              <w:t>200 ppt</w:t>
            </w:r>
          </w:p>
        </w:tc>
        <w:tc>
          <w:tcPr>
            <w:tcW w:w="1860" w:type="dxa"/>
            <w:tcBorders>
              <w:top w:val="single" w:sz="8" w:space="0" w:color="auto"/>
              <w:bottom w:val="single" w:sz="8" w:space="0" w:color="auto"/>
              <w:right w:val="single" w:sz="8" w:space="0" w:color="auto"/>
            </w:tcBorders>
          </w:tcPr>
          <w:p w14:paraId="4E82DF64" w14:textId="2D9DFE13" w:rsidR="0086502A" w:rsidRDefault="0086502A" w:rsidP="0086502A">
            <w:pPr>
              <w:spacing w:line="328" w:lineRule="auto"/>
              <w:ind w:left="144"/>
              <w:rPr>
                <w:rFonts w:eastAsia="Times New Roman"/>
                <w:sz w:val="18"/>
                <w:szCs w:val="18"/>
              </w:rPr>
            </w:pPr>
            <w:r>
              <w:rPr>
                <w:rFonts w:eastAsia="Times New Roman"/>
                <w:sz w:val="18"/>
                <w:szCs w:val="18"/>
              </w:rPr>
              <w:t>Runoff/leaching from insecticide used on cattle, lumber, gardens</w:t>
            </w:r>
          </w:p>
        </w:tc>
        <w:tc>
          <w:tcPr>
            <w:tcW w:w="2440" w:type="dxa"/>
            <w:tcBorders>
              <w:top w:val="single" w:sz="8" w:space="0" w:color="auto"/>
              <w:bottom w:val="single" w:sz="8" w:space="0" w:color="auto"/>
              <w:right w:val="single" w:sz="8" w:space="0" w:color="auto"/>
            </w:tcBorders>
          </w:tcPr>
          <w:p w14:paraId="0DC0E48F" w14:textId="32FA429E"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lindane in excess of the MCL over many years could experience problems with their kidneys or liver.</w:t>
            </w:r>
          </w:p>
        </w:tc>
      </w:tr>
    </w:tbl>
    <w:p w14:paraId="281A390C" w14:textId="77777777" w:rsidR="004647B9" w:rsidRDefault="004647B9">
      <w:pPr>
        <w:spacing w:line="347" w:lineRule="exact"/>
        <w:rPr>
          <w:sz w:val="20"/>
          <w:szCs w:val="20"/>
        </w:rPr>
      </w:pPr>
    </w:p>
    <w:p w14:paraId="281A3AE4" w14:textId="77777777" w:rsidR="004647B9" w:rsidRDefault="004647B9">
      <w:pPr>
        <w:sectPr w:rsidR="004647B9" w:rsidSect="00EF630C">
          <w:pgSz w:w="12240" w:h="20180"/>
          <w:pgMar w:top="708" w:right="940" w:bottom="1440" w:left="600" w:header="0" w:footer="0" w:gutter="0"/>
          <w:cols w:space="720"/>
        </w:sectPr>
      </w:pPr>
    </w:p>
    <w:p w14:paraId="281A3AE5" w14:textId="77777777" w:rsidR="004647B9" w:rsidRDefault="00E2436F">
      <w:pPr>
        <w:tabs>
          <w:tab w:val="left" w:pos="2860"/>
        </w:tabs>
        <w:ind w:left="1680"/>
        <w:rPr>
          <w:sz w:val="20"/>
          <w:szCs w:val="20"/>
        </w:rPr>
      </w:pPr>
      <w:bookmarkStart w:id="232" w:name="page234"/>
      <w:bookmarkEnd w:id="23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AE6" w14:textId="77777777" w:rsidR="004647B9" w:rsidRDefault="004647B9" w:rsidP="00A25175">
      <w:pPr>
        <w:rPr>
          <w:sz w:val="20"/>
          <w:szCs w:val="20"/>
        </w:rPr>
      </w:pPr>
    </w:p>
    <w:p w14:paraId="4C3676C0" w14:textId="77777777" w:rsidR="00A25175" w:rsidRDefault="00A25175" w:rsidP="00A25175">
      <w:pPr>
        <w:rPr>
          <w:sz w:val="20"/>
          <w:szCs w:val="20"/>
        </w:rPr>
      </w:pPr>
    </w:p>
    <w:p w14:paraId="281A3AE7" w14:textId="77777777" w:rsidR="004647B9" w:rsidRPr="00A25175" w:rsidRDefault="00E2436F" w:rsidP="00A25175">
      <w:pPr>
        <w:tabs>
          <w:tab w:val="left" w:pos="940"/>
        </w:tabs>
        <w:rPr>
          <w:sz w:val="24"/>
          <w:szCs w:val="24"/>
        </w:rPr>
      </w:pPr>
      <w:r w:rsidRPr="00A25175">
        <w:rPr>
          <w:rFonts w:eastAsia="Times New Roman"/>
          <w:sz w:val="24"/>
          <w:szCs w:val="24"/>
        </w:rPr>
        <w:t>22.16A:</w:t>
      </w:r>
      <w:r w:rsidRPr="00A25175">
        <w:rPr>
          <w:sz w:val="24"/>
          <w:szCs w:val="24"/>
        </w:rPr>
        <w:tab/>
      </w:r>
      <w:r w:rsidRPr="00A25175">
        <w:rPr>
          <w:rFonts w:eastAsia="Times New Roman"/>
          <w:sz w:val="24"/>
          <w:szCs w:val="24"/>
        </w:rPr>
        <w:t>continued</w:t>
      </w:r>
    </w:p>
    <w:p w14:paraId="281A3AE9" w14:textId="77777777" w:rsidR="004647B9" w:rsidRDefault="004647B9" w:rsidP="00A25175">
      <w:pPr>
        <w:rPr>
          <w:sz w:val="20"/>
          <w:szCs w:val="20"/>
        </w:rPr>
      </w:pPr>
    </w:p>
    <w:tbl>
      <w:tblPr>
        <w:tblW w:w="1070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098"/>
        <w:gridCol w:w="1060"/>
        <w:gridCol w:w="1360"/>
        <w:gridCol w:w="900"/>
        <w:gridCol w:w="980"/>
        <w:gridCol w:w="1860"/>
        <w:gridCol w:w="2434"/>
        <w:gridCol w:w="8"/>
      </w:tblGrid>
      <w:tr w:rsidR="00F474D8" w14:paraId="281A3AF3" w14:textId="77777777" w:rsidTr="00FB35EC">
        <w:trPr>
          <w:gridAfter w:val="1"/>
          <w:wAfter w:w="8" w:type="dxa"/>
          <w:trHeight w:val="1033"/>
        </w:trPr>
        <w:tc>
          <w:tcPr>
            <w:tcW w:w="2098" w:type="dxa"/>
            <w:vAlign w:val="center"/>
          </w:tcPr>
          <w:p w14:paraId="281A3AEC" w14:textId="4977FA22" w:rsidR="00F474D8" w:rsidRDefault="00F474D8" w:rsidP="00F474D8">
            <w:pPr>
              <w:jc w:val="center"/>
              <w:rPr>
                <w:sz w:val="24"/>
                <w:szCs w:val="24"/>
              </w:rPr>
            </w:pPr>
            <w:r>
              <w:rPr>
                <w:rFonts w:eastAsia="Times New Roman"/>
                <w:sz w:val="18"/>
                <w:szCs w:val="18"/>
              </w:rPr>
              <w:t>Contaminant</w:t>
            </w:r>
          </w:p>
        </w:tc>
        <w:tc>
          <w:tcPr>
            <w:tcW w:w="1060" w:type="dxa"/>
            <w:vAlign w:val="center"/>
          </w:tcPr>
          <w:p w14:paraId="281A3AED" w14:textId="17665DB6" w:rsidR="00F474D8" w:rsidRDefault="00F474D8" w:rsidP="00F474D8">
            <w:pPr>
              <w:jc w:val="center"/>
              <w:rPr>
                <w:sz w:val="20"/>
                <w:szCs w:val="20"/>
              </w:rPr>
            </w:pPr>
            <w:r>
              <w:rPr>
                <w:rFonts w:eastAsia="Times New Roman"/>
                <w:sz w:val="18"/>
                <w:szCs w:val="18"/>
              </w:rPr>
              <w:t>Traditional MCL</w:t>
            </w:r>
          </w:p>
        </w:tc>
        <w:tc>
          <w:tcPr>
            <w:tcW w:w="1360" w:type="dxa"/>
            <w:vAlign w:val="center"/>
          </w:tcPr>
          <w:p w14:paraId="281A3AEE" w14:textId="016C179D" w:rsidR="00F474D8" w:rsidRDefault="00F474D8" w:rsidP="00F474D8">
            <w:pPr>
              <w:jc w:val="center"/>
              <w:rPr>
                <w:sz w:val="20"/>
                <w:szCs w:val="20"/>
              </w:rPr>
            </w:pPr>
            <w:r>
              <w:rPr>
                <w:rFonts w:eastAsia="Times New Roman"/>
                <w:sz w:val="18"/>
                <w:szCs w:val="18"/>
              </w:rPr>
              <w:t>To convert for CCR, multiply by</w:t>
            </w:r>
          </w:p>
        </w:tc>
        <w:tc>
          <w:tcPr>
            <w:tcW w:w="900" w:type="dxa"/>
            <w:vAlign w:val="center"/>
          </w:tcPr>
          <w:p w14:paraId="281A3AEF" w14:textId="1BC5832E" w:rsidR="00F474D8" w:rsidRDefault="00F474D8" w:rsidP="00F474D8">
            <w:pPr>
              <w:jc w:val="center"/>
              <w:rPr>
                <w:sz w:val="20"/>
                <w:szCs w:val="20"/>
              </w:rPr>
            </w:pPr>
            <w:r>
              <w:rPr>
                <w:rFonts w:eastAsia="Times New Roman"/>
                <w:sz w:val="18"/>
                <w:szCs w:val="18"/>
              </w:rPr>
              <w:t>MCL in CCR units</w:t>
            </w:r>
          </w:p>
        </w:tc>
        <w:tc>
          <w:tcPr>
            <w:tcW w:w="980" w:type="dxa"/>
            <w:vAlign w:val="center"/>
          </w:tcPr>
          <w:p w14:paraId="281A3AF0" w14:textId="6C5F8EC7" w:rsidR="00F474D8" w:rsidRDefault="00F474D8" w:rsidP="00F474D8">
            <w:pPr>
              <w:jc w:val="center"/>
              <w:rPr>
                <w:sz w:val="20"/>
                <w:szCs w:val="20"/>
              </w:rPr>
            </w:pPr>
            <w:r>
              <w:rPr>
                <w:rFonts w:eastAsia="Times New Roman"/>
                <w:sz w:val="18"/>
                <w:szCs w:val="18"/>
              </w:rPr>
              <w:t>MCLG in CCR units</w:t>
            </w:r>
          </w:p>
        </w:tc>
        <w:tc>
          <w:tcPr>
            <w:tcW w:w="1860" w:type="dxa"/>
            <w:vAlign w:val="center"/>
          </w:tcPr>
          <w:p w14:paraId="281A3AF1" w14:textId="0BBFC1D8" w:rsidR="00F474D8" w:rsidRDefault="00F474D8" w:rsidP="00F474D8">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vAlign w:val="center"/>
          </w:tcPr>
          <w:p w14:paraId="281A3AF2" w14:textId="42E9993E" w:rsidR="00F474D8" w:rsidRDefault="00F474D8" w:rsidP="00402118">
            <w:pPr>
              <w:jc w:val="center"/>
              <w:rPr>
                <w:sz w:val="20"/>
                <w:szCs w:val="20"/>
              </w:rPr>
            </w:pPr>
            <w:r>
              <w:rPr>
                <w:rFonts w:eastAsia="Times New Roman"/>
                <w:sz w:val="18"/>
                <w:szCs w:val="18"/>
              </w:rPr>
              <w:t>Health Effects Language</w:t>
            </w:r>
          </w:p>
        </w:tc>
      </w:tr>
      <w:tr w:rsidR="00402118" w14:paraId="281A3B1A" w14:textId="77777777" w:rsidTr="00FB35EC">
        <w:trPr>
          <w:trHeight w:val="1834"/>
        </w:trPr>
        <w:tc>
          <w:tcPr>
            <w:tcW w:w="2098" w:type="dxa"/>
            <w:vAlign w:val="center"/>
          </w:tcPr>
          <w:p w14:paraId="281A3B13" w14:textId="53975398" w:rsidR="00402118" w:rsidRPr="00402118" w:rsidRDefault="00402118" w:rsidP="00563A54">
            <w:pPr>
              <w:pStyle w:val="ListParagraph"/>
              <w:numPr>
                <w:ilvl w:val="0"/>
                <w:numId w:val="940"/>
              </w:numPr>
              <w:ind w:left="360"/>
              <w:rPr>
                <w:sz w:val="20"/>
                <w:szCs w:val="20"/>
              </w:rPr>
            </w:pPr>
            <w:r w:rsidRPr="00402118">
              <w:rPr>
                <w:rFonts w:eastAsia="Times New Roman"/>
                <w:sz w:val="18"/>
                <w:szCs w:val="18"/>
              </w:rPr>
              <w:t>Methoxychlor</w:t>
            </w:r>
          </w:p>
        </w:tc>
        <w:tc>
          <w:tcPr>
            <w:tcW w:w="1060" w:type="dxa"/>
            <w:vAlign w:val="center"/>
          </w:tcPr>
          <w:p w14:paraId="281A3B14" w14:textId="77777777" w:rsidR="00402118" w:rsidRDefault="00402118" w:rsidP="006B2987">
            <w:pPr>
              <w:jc w:val="center"/>
              <w:rPr>
                <w:sz w:val="20"/>
                <w:szCs w:val="20"/>
              </w:rPr>
            </w:pPr>
            <w:r>
              <w:rPr>
                <w:rFonts w:eastAsia="Times New Roman"/>
                <w:sz w:val="18"/>
                <w:szCs w:val="18"/>
              </w:rPr>
              <w:t>0.04 mg/l</w:t>
            </w:r>
          </w:p>
        </w:tc>
        <w:tc>
          <w:tcPr>
            <w:tcW w:w="1360" w:type="dxa"/>
            <w:vAlign w:val="center"/>
          </w:tcPr>
          <w:p w14:paraId="281A3B15" w14:textId="77777777" w:rsidR="00402118" w:rsidRDefault="00402118" w:rsidP="006B2987">
            <w:pPr>
              <w:jc w:val="center"/>
              <w:rPr>
                <w:sz w:val="20"/>
                <w:szCs w:val="20"/>
              </w:rPr>
            </w:pPr>
            <w:r>
              <w:rPr>
                <w:rFonts w:eastAsia="Times New Roman"/>
                <w:sz w:val="18"/>
                <w:szCs w:val="18"/>
              </w:rPr>
              <w:t>1000</w:t>
            </w:r>
          </w:p>
        </w:tc>
        <w:tc>
          <w:tcPr>
            <w:tcW w:w="900" w:type="dxa"/>
            <w:vAlign w:val="center"/>
          </w:tcPr>
          <w:p w14:paraId="281A3B16" w14:textId="77777777" w:rsidR="00402118" w:rsidRDefault="00402118" w:rsidP="006B2987">
            <w:pPr>
              <w:jc w:val="center"/>
              <w:rPr>
                <w:sz w:val="20"/>
                <w:szCs w:val="20"/>
              </w:rPr>
            </w:pPr>
            <w:r>
              <w:rPr>
                <w:rFonts w:eastAsia="Times New Roman"/>
                <w:sz w:val="18"/>
                <w:szCs w:val="18"/>
              </w:rPr>
              <w:t>40 ppb</w:t>
            </w:r>
          </w:p>
        </w:tc>
        <w:tc>
          <w:tcPr>
            <w:tcW w:w="980" w:type="dxa"/>
            <w:vAlign w:val="center"/>
          </w:tcPr>
          <w:p w14:paraId="281A3B17" w14:textId="77777777" w:rsidR="00402118" w:rsidRDefault="00402118" w:rsidP="006B2987">
            <w:pPr>
              <w:jc w:val="center"/>
              <w:rPr>
                <w:sz w:val="20"/>
                <w:szCs w:val="20"/>
              </w:rPr>
            </w:pPr>
            <w:r>
              <w:rPr>
                <w:rFonts w:eastAsia="Times New Roman"/>
                <w:sz w:val="18"/>
                <w:szCs w:val="18"/>
              </w:rPr>
              <w:t>40 ppb</w:t>
            </w:r>
          </w:p>
        </w:tc>
        <w:tc>
          <w:tcPr>
            <w:tcW w:w="1860" w:type="dxa"/>
          </w:tcPr>
          <w:p w14:paraId="281A3B18" w14:textId="3A510AFA" w:rsidR="00402118" w:rsidRDefault="00402118" w:rsidP="006B2987">
            <w:pPr>
              <w:spacing w:line="329" w:lineRule="auto"/>
              <w:ind w:left="43"/>
              <w:rPr>
                <w:sz w:val="20"/>
                <w:szCs w:val="20"/>
              </w:rPr>
            </w:pPr>
            <w:r>
              <w:rPr>
                <w:rFonts w:eastAsia="Times New Roman"/>
                <w:sz w:val="18"/>
                <w:szCs w:val="18"/>
              </w:rPr>
              <w:t>Runoff/leaching from</w:t>
            </w:r>
            <w:r w:rsidR="006B2987">
              <w:rPr>
                <w:rFonts w:eastAsia="Times New Roman"/>
                <w:sz w:val="18"/>
                <w:szCs w:val="18"/>
              </w:rPr>
              <w:t xml:space="preserve"> </w:t>
            </w:r>
            <w:r>
              <w:rPr>
                <w:rFonts w:eastAsia="Times New Roman"/>
                <w:sz w:val="18"/>
                <w:szCs w:val="18"/>
              </w:rPr>
              <w:t>insecticide used on</w:t>
            </w:r>
            <w:r w:rsidR="006B2987">
              <w:rPr>
                <w:rFonts w:eastAsia="Times New Roman"/>
                <w:sz w:val="18"/>
                <w:szCs w:val="18"/>
              </w:rPr>
              <w:t xml:space="preserve"> </w:t>
            </w:r>
            <w:r>
              <w:rPr>
                <w:rFonts w:eastAsia="Times New Roman"/>
                <w:sz w:val="18"/>
                <w:szCs w:val="18"/>
              </w:rPr>
              <w:t>fruits, vegetables,</w:t>
            </w:r>
            <w:r w:rsidR="006B2987">
              <w:rPr>
                <w:rFonts w:eastAsia="Times New Roman"/>
                <w:sz w:val="18"/>
                <w:szCs w:val="18"/>
              </w:rPr>
              <w:t xml:space="preserve"> </w:t>
            </w:r>
            <w:r>
              <w:rPr>
                <w:rFonts w:eastAsia="Times New Roman"/>
                <w:sz w:val="18"/>
                <w:szCs w:val="18"/>
              </w:rPr>
              <w:t>alfalfa, livestock</w:t>
            </w:r>
          </w:p>
        </w:tc>
        <w:tc>
          <w:tcPr>
            <w:tcW w:w="2442" w:type="dxa"/>
            <w:gridSpan w:val="2"/>
          </w:tcPr>
          <w:p w14:paraId="281A3B19" w14:textId="4BA195F3" w:rsidR="00402118" w:rsidRDefault="00402118" w:rsidP="006B2987">
            <w:pPr>
              <w:spacing w:line="329" w:lineRule="auto"/>
              <w:ind w:left="43"/>
              <w:rPr>
                <w:sz w:val="20"/>
                <w:szCs w:val="20"/>
              </w:rPr>
            </w:pPr>
            <w:r>
              <w:rPr>
                <w:rFonts w:eastAsia="Times New Roman"/>
                <w:sz w:val="18"/>
                <w:szCs w:val="18"/>
              </w:rPr>
              <w:t>Some people who drink</w:t>
            </w:r>
            <w:r w:rsidR="006B2987">
              <w:rPr>
                <w:rFonts w:eastAsia="Times New Roman"/>
                <w:sz w:val="18"/>
                <w:szCs w:val="18"/>
              </w:rPr>
              <w:t xml:space="preserve"> </w:t>
            </w:r>
            <w:r>
              <w:rPr>
                <w:rFonts w:eastAsia="Times New Roman"/>
                <w:sz w:val="18"/>
                <w:szCs w:val="18"/>
              </w:rPr>
              <w:t>water containing</w:t>
            </w:r>
            <w:r w:rsidR="006B2987">
              <w:rPr>
                <w:rFonts w:eastAsia="Times New Roman"/>
                <w:sz w:val="18"/>
                <w:szCs w:val="18"/>
              </w:rPr>
              <w:t xml:space="preserve"> </w:t>
            </w:r>
            <w:r>
              <w:rPr>
                <w:rFonts w:eastAsia="Times New Roman"/>
                <w:sz w:val="18"/>
                <w:szCs w:val="18"/>
              </w:rPr>
              <w:t>methoxychlor in excess of</w:t>
            </w:r>
            <w:r w:rsidR="006B2987">
              <w:rPr>
                <w:rFonts w:eastAsia="Times New Roman"/>
                <w:sz w:val="18"/>
                <w:szCs w:val="18"/>
              </w:rPr>
              <w:t xml:space="preserve"> </w:t>
            </w:r>
            <w:r>
              <w:rPr>
                <w:rFonts w:eastAsia="Times New Roman"/>
                <w:sz w:val="18"/>
                <w:szCs w:val="18"/>
              </w:rPr>
              <w:t>the MCL over many years</w:t>
            </w:r>
            <w:r w:rsidR="006B2987">
              <w:rPr>
                <w:rFonts w:eastAsia="Times New Roman"/>
                <w:sz w:val="18"/>
                <w:szCs w:val="18"/>
              </w:rPr>
              <w:t xml:space="preserve"> </w:t>
            </w:r>
            <w:r>
              <w:rPr>
                <w:rFonts w:eastAsia="Times New Roman"/>
                <w:sz w:val="18"/>
                <w:szCs w:val="18"/>
              </w:rPr>
              <w:t>could experience</w:t>
            </w:r>
            <w:r w:rsidR="006B2987">
              <w:rPr>
                <w:rFonts w:eastAsia="Times New Roman"/>
                <w:sz w:val="18"/>
                <w:szCs w:val="18"/>
              </w:rPr>
              <w:t xml:space="preserve"> </w:t>
            </w:r>
            <w:r>
              <w:rPr>
                <w:rFonts w:eastAsia="Times New Roman"/>
                <w:sz w:val="18"/>
                <w:szCs w:val="18"/>
              </w:rPr>
              <w:t>reproductive difficulties.</w:t>
            </w:r>
          </w:p>
        </w:tc>
      </w:tr>
      <w:tr w:rsidR="0082065C" w14:paraId="281A3B5F" w14:textId="77777777" w:rsidTr="00FB35EC">
        <w:trPr>
          <w:trHeight w:val="1844"/>
        </w:trPr>
        <w:tc>
          <w:tcPr>
            <w:tcW w:w="2098" w:type="dxa"/>
            <w:vAlign w:val="center"/>
          </w:tcPr>
          <w:p w14:paraId="281A3B58" w14:textId="1723897D" w:rsidR="0082065C" w:rsidRDefault="0082065C" w:rsidP="00563A54">
            <w:pPr>
              <w:pStyle w:val="ListParagraph"/>
              <w:numPr>
                <w:ilvl w:val="0"/>
                <w:numId w:val="940"/>
              </w:numPr>
              <w:ind w:left="360"/>
              <w:rPr>
                <w:sz w:val="20"/>
                <w:szCs w:val="20"/>
              </w:rPr>
            </w:pPr>
            <w:r w:rsidRPr="008631B7">
              <w:rPr>
                <w:rFonts w:eastAsia="Times New Roman"/>
                <w:sz w:val="18"/>
                <w:szCs w:val="18"/>
              </w:rPr>
              <w:t>Oxamyl</w:t>
            </w:r>
            <w:r>
              <w:rPr>
                <w:rFonts w:eastAsia="Times New Roman"/>
                <w:sz w:val="18"/>
                <w:szCs w:val="18"/>
              </w:rPr>
              <w:t xml:space="preserve"> [Vydate]</w:t>
            </w:r>
          </w:p>
        </w:tc>
        <w:tc>
          <w:tcPr>
            <w:tcW w:w="1060" w:type="dxa"/>
            <w:vAlign w:val="center"/>
          </w:tcPr>
          <w:p w14:paraId="281A3B59" w14:textId="77777777" w:rsidR="0082065C" w:rsidRDefault="0082065C" w:rsidP="0082065C">
            <w:pPr>
              <w:jc w:val="center"/>
              <w:rPr>
                <w:sz w:val="20"/>
                <w:szCs w:val="20"/>
              </w:rPr>
            </w:pPr>
            <w:r>
              <w:rPr>
                <w:rFonts w:eastAsia="Times New Roman"/>
                <w:sz w:val="18"/>
                <w:szCs w:val="18"/>
              </w:rPr>
              <w:t>0.2 mg/l</w:t>
            </w:r>
          </w:p>
        </w:tc>
        <w:tc>
          <w:tcPr>
            <w:tcW w:w="1360" w:type="dxa"/>
            <w:vAlign w:val="center"/>
          </w:tcPr>
          <w:p w14:paraId="281A3B5A" w14:textId="77777777" w:rsidR="0082065C" w:rsidRDefault="0082065C" w:rsidP="0082065C">
            <w:pPr>
              <w:jc w:val="center"/>
              <w:rPr>
                <w:sz w:val="20"/>
                <w:szCs w:val="20"/>
              </w:rPr>
            </w:pPr>
            <w:r>
              <w:rPr>
                <w:rFonts w:eastAsia="Times New Roman"/>
                <w:sz w:val="18"/>
                <w:szCs w:val="18"/>
              </w:rPr>
              <w:t>1000</w:t>
            </w:r>
          </w:p>
        </w:tc>
        <w:tc>
          <w:tcPr>
            <w:tcW w:w="900" w:type="dxa"/>
            <w:vAlign w:val="center"/>
          </w:tcPr>
          <w:p w14:paraId="281A3B5B" w14:textId="77777777" w:rsidR="0082065C" w:rsidRDefault="0082065C" w:rsidP="0082065C">
            <w:pPr>
              <w:jc w:val="center"/>
              <w:rPr>
                <w:sz w:val="20"/>
                <w:szCs w:val="20"/>
              </w:rPr>
            </w:pPr>
            <w:r>
              <w:rPr>
                <w:rFonts w:eastAsia="Times New Roman"/>
                <w:sz w:val="18"/>
                <w:szCs w:val="18"/>
              </w:rPr>
              <w:t>200 ppb</w:t>
            </w:r>
          </w:p>
        </w:tc>
        <w:tc>
          <w:tcPr>
            <w:tcW w:w="980" w:type="dxa"/>
            <w:vAlign w:val="center"/>
          </w:tcPr>
          <w:p w14:paraId="281A3B5C" w14:textId="77777777" w:rsidR="0082065C" w:rsidRDefault="0082065C" w:rsidP="0082065C">
            <w:pPr>
              <w:jc w:val="center"/>
              <w:rPr>
                <w:sz w:val="20"/>
                <w:szCs w:val="20"/>
              </w:rPr>
            </w:pPr>
            <w:r>
              <w:rPr>
                <w:rFonts w:eastAsia="Times New Roman"/>
                <w:sz w:val="18"/>
                <w:szCs w:val="18"/>
              </w:rPr>
              <w:t>200 ppb</w:t>
            </w:r>
          </w:p>
        </w:tc>
        <w:tc>
          <w:tcPr>
            <w:tcW w:w="1860" w:type="dxa"/>
          </w:tcPr>
          <w:p w14:paraId="281A3B5D" w14:textId="7F9B16FB" w:rsidR="0082065C" w:rsidRPr="0082065C" w:rsidRDefault="0082065C" w:rsidP="0082065C">
            <w:pPr>
              <w:spacing w:line="329" w:lineRule="auto"/>
              <w:ind w:left="43"/>
              <w:rPr>
                <w:rFonts w:eastAsia="Times New Roman"/>
                <w:sz w:val="18"/>
                <w:szCs w:val="18"/>
              </w:rPr>
            </w:pPr>
            <w:r>
              <w:rPr>
                <w:rFonts w:eastAsia="Times New Roman"/>
                <w:sz w:val="18"/>
                <w:szCs w:val="18"/>
              </w:rPr>
              <w:t>Runoff/leaching from insecticide used on apples, potatoes and tomatoes</w:t>
            </w:r>
          </w:p>
        </w:tc>
        <w:tc>
          <w:tcPr>
            <w:tcW w:w="2442" w:type="dxa"/>
            <w:gridSpan w:val="2"/>
          </w:tcPr>
          <w:p w14:paraId="281A3B5E" w14:textId="39ED78E0" w:rsidR="0082065C" w:rsidRPr="0082065C" w:rsidRDefault="0082065C" w:rsidP="0082065C">
            <w:pPr>
              <w:spacing w:line="329" w:lineRule="auto"/>
              <w:ind w:left="43"/>
              <w:rPr>
                <w:rFonts w:eastAsia="Times New Roman"/>
                <w:sz w:val="18"/>
                <w:szCs w:val="18"/>
              </w:rPr>
            </w:pPr>
            <w:r>
              <w:rPr>
                <w:rFonts w:eastAsia="Times New Roman"/>
                <w:sz w:val="18"/>
                <w:szCs w:val="18"/>
              </w:rPr>
              <w:t>Some people who drink water containing oxamyl in excess of the MCL over many years could experience slight nervous system effects.</w:t>
            </w:r>
          </w:p>
        </w:tc>
      </w:tr>
      <w:tr w:rsidR="000257E9" w14:paraId="281A3BA3" w14:textId="77777777" w:rsidTr="00FB35EC">
        <w:trPr>
          <w:trHeight w:val="3521"/>
        </w:trPr>
        <w:tc>
          <w:tcPr>
            <w:tcW w:w="2098" w:type="dxa"/>
            <w:vAlign w:val="center"/>
          </w:tcPr>
          <w:p w14:paraId="281A3B9C" w14:textId="08A1B045" w:rsidR="000257E9" w:rsidRPr="0082065C" w:rsidRDefault="000257E9" w:rsidP="00563A54">
            <w:pPr>
              <w:pStyle w:val="ListParagraph"/>
              <w:numPr>
                <w:ilvl w:val="0"/>
                <w:numId w:val="940"/>
              </w:numPr>
              <w:ind w:left="360"/>
              <w:rPr>
                <w:sz w:val="20"/>
                <w:szCs w:val="20"/>
              </w:rPr>
            </w:pPr>
            <w:r w:rsidRPr="0082065C">
              <w:rPr>
                <w:rFonts w:eastAsia="Times New Roman"/>
                <w:sz w:val="18"/>
                <w:szCs w:val="18"/>
              </w:rPr>
              <w:t>PCBs [Polychlorinated</w:t>
            </w:r>
            <w:r>
              <w:rPr>
                <w:rFonts w:eastAsia="Times New Roman"/>
                <w:sz w:val="18"/>
                <w:szCs w:val="18"/>
              </w:rPr>
              <w:t xml:space="preserve"> </w:t>
            </w:r>
            <w:r w:rsidRPr="0082065C">
              <w:rPr>
                <w:rFonts w:eastAsia="Times New Roman"/>
                <w:sz w:val="18"/>
                <w:szCs w:val="18"/>
              </w:rPr>
              <w:t>biphenyls]</w:t>
            </w:r>
          </w:p>
        </w:tc>
        <w:tc>
          <w:tcPr>
            <w:tcW w:w="1060" w:type="dxa"/>
            <w:vAlign w:val="center"/>
          </w:tcPr>
          <w:p w14:paraId="281A3B9D" w14:textId="660A78D8" w:rsidR="000257E9" w:rsidRDefault="000257E9" w:rsidP="000257E9">
            <w:pPr>
              <w:jc w:val="center"/>
              <w:rPr>
                <w:sz w:val="20"/>
                <w:szCs w:val="20"/>
              </w:rPr>
            </w:pPr>
            <w:r>
              <w:rPr>
                <w:rFonts w:eastAsia="Times New Roman"/>
                <w:sz w:val="18"/>
                <w:szCs w:val="18"/>
              </w:rPr>
              <w:t>0.0005 mg/l</w:t>
            </w:r>
          </w:p>
        </w:tc>
        <w:tc>
          <w:tcPr>
            <w:tcW w:w="1360" w:type="dxa"/>
            <w:vAlign w:val="center"/>
          </w:tcPr>
          <w:p w14:paraId="281A3B9E" w14:textId="77777777" w:rsidR="000257E9" w:rsidRDefault="000257E9" w:rsidP="000257E9">
            <w:pPr>
              <w:jc w:val="center"/>
              <w:rPr>
                <w:sz w:val="20"/>
                <w:szCs w:val="20"/>
              </w:rPr>
            </w:pPr>
            <w:r>
              <w:rPr>
                <w:rFonts w:eastAsia="Times New Roman"/>
                <w:sz w:val="18"/>
                <w:szCs w:val="18"/>
              </w:rPr>
              <w:t>1,000,000</w:t>
            </w:r>
          </w:p>
        </w:tc>
        <w:tc>
          <w:tcPr>
            <w:tcW w:w="900" w:type="dxa"/>
            <w:vAlign w:val="center"/>
          </w:tcPr>
          <w:p w14:paraId="281A3B9F" w14:textId="77777777" w:rsidR="000257E9" w:rsidRDefault="000257E9" w:rsidP="000257E9">
            <w:pPr>
              <w:jc w:val="center"/>
              <w:rPr>
                <w:sz w:val="20"/>
                <w:szCs w:val="20"/>
              </w:rPr>
            </w:pPr>
            <w:r>
              <w:rPr>
                <w:rFonts w:eastAsia="Times New Roman"/>
                <w:sz w:val="18"/>
                <w:szCs w:val="18"/>
              </w:rPr>
              <w:t>500 ppt</w:t>
            </w:r>
          </w:p>
        </w:tc>
        <w:tc>
          <w:tcPr>
            <w:tcW w:w="980" w:type="dxa"/>
            <w:vAlign w:val="center"/>
          </w:tcPr>
          <w:p w14:paraId="281A3BA0" w14:textId="77777777" w:rsidR="000257E9" w:rsidRDefault="000257E9" w:rsidP="000257E9">
            <w:pPr>
              <w:jc w:val="center"/>
              <w:rPr>
                <w:sz w:val="20"/>
                <w:szCs w:val="20"/>
              </w:rPr>
            </w:pPr>
            <w:r>
              <w:rPr>
                <w:rFonts w:eastAsia="Times New Roman"/>
                <w:sz w:val="18"/>
                <w:szCs w:val="18"/>
              </w:rPr>
              <w:t>0</w:t>
            </w:r>
          </w:p>
        </w:tc>
        <w:tc>
          <w:tcPr>
            <w:tcW w:w="1860" w:type="dxa"/>
          </w:tcPr>
          <w:p w14:paraId="281A3BA1" w14:textId="37EAF6E5" w:rsidR="000257E9" w:rsidRPr="000257E9" w:rsidRDefault="000257E9" w:rsidP="000257E9">
            <w:pPr>
              <w:spacing w:line="329" w:lineRule="auto"/>
              <w:ind w:left="43"/>
              <w:rPr>
                <w:rFonts w:eastAsia="Times New Roman"/>
                <w:sz w:val="18"/>
                <w:szCs w:val="18"/>
              </w:rPr>
            </w:pPr>
            <w:r>
              <w:rPr>
                <w:rFonts w:eastAsia="Times New Roman"/>
                <w:sz w:val="18"/>
                <w:szCs w:val="18"/>
              </w:rPr>
              <w:t>Runoff from landfills; discharge of waste chemicals</w:t>
            </w:r>
          </w:p>
        </w:tc>
        <w:tc>
          <w:tcPr>
            <w:tcW w:w="2442" w:type="dxa"/>
            <w:gridSpan w:val="2"/>
          </w:tcPr>
          <w:p w14:paraId="281A3BA2" w14:textId="37557F89" w:rsidR="000257E9" w:rsidRPr="000257E9" w:rsidRDefault="000257E9" w:rsidP="000257E9">
            <w:pPr>
              <w:spacing w:line="329" w:lineRule="auto"/>
              <w:ind w:left="43"/>
              <w:rPr>
                <w:rFonts w:eastAsia="Times New Roman"/>
                <w:sz w:val="18"/>
                <w:szCs w:val="18"/>
              </w:rPr>
            </w:pPr>
            <w:r>
              <w:rPr>
                <w:rFonts w:eastAsia="Times New Roman"/>
                <w:sz w:val="18"/>
                <w:szCs w:val="18"/>
              </w:rPr>
              <w:t>Some people who drink water containing PCBs in excess of the MCL over many years could experience changes in their skin, problems with their thymus gland, immune deficiencies, or reproductive or nervous system difficulties, and may have an increased risk of getting cancer.</w:t>
            </w:r>
          </w:p>
        </w:tc>
      </w:tr>
      <w:tr w:rsidR="000961DC" w14:paraId="281A3C22" w14:textId="77777777" w:rsidTr="00FB35EC">
        <w:trPr>
          <w:trHeight w:val="2684"/>
        </w:trPr>
        <w:tc>
          <w:tcPr>
            <w:tcW w:w="2098" w:type="dxa"/>
            <w:vAlign w:val="center"/>
          </w:tcPr>
          <w:p w14:paraId="281A3C1B" w14:textId="5BA9680F" w:rsidR="000961DC" w:rsidRPr="000257E9" w:rsidRDefault="000961DC" w:rsidP="00563A54">
            <w:pPr>
              <w:pStyle w:val="ListParagraph"/>
              <w:numPr>
                <w:ilvl w:val="0"/>
                <w:numId w:val="940"/>
              </w:numPr>
              <w:ind w:left="360"/>
              <w:rPr>
                <w:sz w:val="20"/>
                <w:szCs w:val="20"/>
              </w:rPr>
            </w:pPr>
            <w:r w:rsidRPr="000257E9">
              <w:rPr>
                <w:rFonts w:eastAsia="Times New Roman"/>
                <w:sz w:val="18"/>
                <w:szCs w:val="18"/>
              </w:rPr>
              <w:t>Pentachlorophenol</w:t>
            </w:r>
          </w:p>
        </w:tc>
        <w:tc>
          <w:tcPr>
            <w:tcW w:w="1060" w:type="dxa"/>
            <w:vAlign w:val="center"/>
          </w:tcPr>
          <w:p w14:paraId="281A3C1C" w14:textId="77777777" w:rsidR="000961DC" w:rsidRDefault="000961DC" w:rsidP="000961DC">
            <w:pPr>
              <w:jc w:val="center"/>
              <w:rPr>
                <w:sz w:val="20"/>
                <w:szCs w:val="20"/>
              </w:rPr>
            </w:pPr>
            <w:r>
              <w:rPr>
                <w:rFonts w:eastAsia="Times New Roman"/>
                <w:sz w:val="18"/>
                <w:szCs w:val="18"/>
              </w:rPr>
              <w:t>0.001 mg/l</w:t>
            </w:r>
          </w:p>
        </w:tc>
        <w:tc>
          <w:tcPr>
            <w:tcW w:w="1360" w:type="dxa"/>
            <w:vAlign w:val="center"/>
          </w:tcPr>
          <w:p w14:paraId="281A3C1D" w14:textId="77777777" w:rsidR="000961DC" w:rsidRDefault="000961DC" w:rsidP="000961DC">
            <w:pPr>
              <w:jc w:val="center"/>
              <w:rPr>
                <w:sz w:val="20"/>
                <w:szCs w:val="20"/>
              </w:rPr>
            </w:pPr>
            <w:r>
              <w:rPr>
                <w:rFonts w:eastAsia="Times New Roman"/>
                <w:sz w:val="18"/>
                <w:szCs w:val="18"/>
              </w:rPr>
              <w:t>1000</w:t>
            </w:r>
          </w:p>
        </w:tc>
        <w:tc>
          <w:tcPr>
            <w:tcW w:w="900" w:type="dxa"/>
            <w:vAlign w:val="center"/>
          </w:tcPr>
          <w:p w14:paraId="281A3C1E" w14:textId="77777777" w:rsidR="000961DC" w:rsidRDefault="000961DC" w:rsidP="000961DC">
            <w:pPr>
              <w:jc w:val="center"/>
              <w:rPr>
                <w:sz w:val="20"/>
                <w:szCs w:val="20"/>
              </w:rPr>
            </w:pPr>
            <w:r>
              <w:rPr>
                <w:rFonts w:eastAsia="Times New Roman"/>
                <w:sz w:val="18"/>
                <w:szCs w:val="18"/>
              </w:rPr>
              <w:t>1 ppb</w:t>
            </w:r>
          </w:p>
        </w:tc>
        <w:tc>
          <w:tcPr>
            <w:tcW w:w="980" w:type="dxa"/>
            <w:vAlign w:val="center"/>
          </w:tcPr>
          <w:p w14:paraId="281A3C1F" w14:textId="77777777" w:rsidR="000961DC" w:rsidRDefault="000961DC" w:rsidP="000961DC">
            <w:pPr>
              <w:jc w:val="center"/>
              <w:rPr>
                <w:sz w:val="20"/>
                <w:szCs w:val="20"/>
              </w:rPr>
            </w:pPr>
            <w:r>
              <w:rPr>
                <w:rFonts w:eastAsia="Times New Roman"/>
                <w:sz w:val="18"/>
                <w:szCs w:val="18"/>
              </w:rPr>
              <w:t>0</w:t>
            </w:r>
          </w:p>
        </w:tc>
        <w:tc>
          <w:tcPr>
            <w:tcW w:w="1860" w:type="dxa"/>
          </w:tcPr>
          <w:p w14:paraId="281A3C20" w14:textId="1F7307BC" w:rsidR="000961DC" w:rsidRPr="000961DC" w:rsidRDefault="000961DC" w:rsidP="000961DC">
            <w:pPr>
              <w:spacing w:line="329" w:lineRule="auto"/>
              <w:ind w:left="43"/>
              <w:rPr>
                <w:rFonts w:eastAsia="Times New Roman"/>
                <w:sz w:val="18"/>
                <w:szCs w:val="18"/>
              </w:rPr>
            </w:pPr>
            <w:r>
              <w:rPr>
                <w:rFonts w:eastAsia="Times New Roman"/>
                <w:sz w:val="18"/>
                <w:szCs w:val="18"/>
              </w:rPr>
              <w:t>Discharge from wood preserving factories</w:t>
            </w:r>
          </w:p>
        </w:tc>
        <w:tc>
          <w:tcPr>
            <w:tcW w:w="2442" w:type="dxa"/>
            <w:gridSpan w:val="2"/>
          </w:tcPr>
          <w:p w14:paraId="281A3C21" w14:textId="04BDD2DE" w:rsidR="000961DC" w:rsidRPr="000961DC" w:rsidRDefault="000961DC" w:rsidP="000961DC">
            <w:pPr>
              <w:spacing w:line="329" w:lineRule="auto"/>
              <w:ind w:left="43"/>
              <w:rPr>
                <w:rFonts w:eastAsia="Times New Roman"/>
                <w:sz w:val="18"/>
                <w:szCs w:val="18"/>
              </w:rPr>
            </w:pPr>
            <w:r>
              <w:rPr>
                <w:rFonts w:eastAsia="Times New Roman"/>
                <w:sz w:val="18"/>
                <w:szCs w:val="18"/>
              </w:rPr>
              <w:t>Some people who drink water containing pentachlorophenol in excess of the MCL over many years could experience problems with their liver or kidneys, and may have an increased risk of getting cancer.</w:t>
            </w:r>
          </w:p>
        </w:tc>
      </w:tr>
      <w:tr w:rsidR="00400DCA" w14:paraId="281A3C84" w14:textId="77777777" w:rsidTr="00FB35EC">
        <w:trPr>
          <w:trHeight w:val="1845"/>
        </w:trPr>
        <w:tc>
          <w:tcPr>
            <w:tcW w:w="2098" w:type="dxa"/>
            <w:vAlign w:val="center"/>
          </w:tcPr>
          <w:p w14:paraId="281A3C7D" w14:textId="77777777" w:rsidR="00400DCA" w:rsidRPr="00400DCA" w:rsidRDefault="00400DCA" w:rsidP="00563A54">
            <w:pPr>
              <w:pStyle w:val="ListParagraph"/>
              <w:numPr>
                <w:ilvl w:val="0"/>
                <w:numId w:val="940"/>
              </w:numPr>
              <w:ind w:left="360"/>
              <w:rPr>
                <w:sz w:val="20"/>
                <w:szCs w:val="20"/>
              </w:rPr>
            </w:pPr>
            <w:r w:rsidRPr="00400DCA">
              <w:rPr>
                <w:rFonts w:eastAsia="Times New Roman"/>
                <w:sz w:val="18"/>
                <w:szCs w:val="18"/>
              </w:rPr>
              <w:t>Picloram</w:t>
            </w:r>
          </w:p>
        </w:tc>
        <w:tc>
          <w:tcPr>
            <w:tcW w:w="1060" w:type="dxa"/>
            <w:vAlign w:val="center"/>
          </w:tcPr>
          <w:p w14:paraId="281A3C7E" w14:textId="77777777" w:rsidR="00400DCA" w:rsidRDefault="00400DCA" w:rsidP="00400DCA">
            <w:pPr>
              <w:jc w:val="center"/>
              <w:rPr>
                <w:sz w:val="20"/>
                <w:szCs w:val="20"/>
              </w:rPr>
            </w:pPr>
            <w:r>
              <w:rPr>
                <w:rFonts w:eastAsia="Times New Roman"/>
                <w:sz w:val="18"/>
                <w:szCs w:val="18"/>
              </w:rPr>
              <w:t>0.5 mg/l</w:t>
            </w:r>
          </w:p>
        </w:tc>
        <w:tc>
          <w:tcPr>
            <w:tcW w:w="1360" w:type="dxa"/>
            <w:vAlign w:val="center"/>
          </w:tcPr>
          <w:p w14:paraId="281A3C7F" w14:textId="77777777" w:rsidR="00400DCA" w:rsidRDefault="00400DCA" w:rsidP="00400DCA">
            <w:pPr>
              <w:jc w:val="center"/>
              <w:rPr>
                <w:sz w:val="20"/>
                <w:szCs w:val="20"/>
              </w:rPr>
            </w:pPr>
            <w:r>
              <w:rPr>
                <w:rFonts w:eastAsia="Times New Roman"/>
                <w:sz w:val="18"/>
                <w:szCs w:val="18"/>
              </w:rPr>
              <w:t>1000</w:t>
            </w:r>
          </w:p>
        </w:tc>
        <w:tc>
          <w:tcPr>
            <w:tcW w:w="900" w:type="dxa"/>
            <w:vAlign w:val="center"/>
          </w:tcPr>
          <w:p w14:paraId="281A3C80" w14:textId="77777777" w:rsidR="00400DCA" w:rsidRDefault="00400DCA" w:rsidP="00400DCA">
            <w:pPr>
              <w:jc w:val="center"/>
              <w:rPr>
                <w:sz w:val="20"/>
                <w:szCs w:val="20"/>
              </w:rPr>
            </w:pPr>
            <w:r>
              <w:rPr>
                <w:rFonts w:eastAsia="Times New Roman"/>
                <w:sz w:val="18"/>
                <w:szCs w:val="18"/>
              </w:rPr>
              <w:t>500 ppb</w:t>
            </w:r>
          </w:p>
        </w:tc>
        <w:tc>
          <w:tcPr>
            <w:tcW w:w="980" w:type="dxa"/>
            <w:vAlign w:val="center"/>
          </w:tcPr>
          <w:p w14:paraId="281A3C81" w14:textId="77777777" w:rsidR="00400DCA" w:rsidRDefault="00400DCA" w:rsidP="00400DCA">
            <w:pPr>
              <w:jc w:val="center"/>
              <w:rPr>
                <w:sz w:val="20"/>
                <w:szCs w:val="20"/>
              </w:rPr>
            </w:pPr>
            <w:r>
              <w:rPr>
                <w:rFonts w:eastAsia="Times New Roman"/>
                <w:sz w:val="18"/>
                <w:szCs w:val="18"/>
              </w:rPr>
              <w:t>500 ppb</w:t>
            </w:r>
          </w:p>
        </w:tc>
        <w:tc>
          <w:tcPr>
            <w:tcW w:w="1860" w:type="dxa"/>
          </w:tcPr>
          <w:p w14:paraId="281A3C82" w14:textId="77777777" w:rsidR="00400DCA" w:rsidRPr="00400DCA" w:rsidRDefault="00400DCA" w:rsidP="00400DCA">
            <w:pPr>
              <w:spacing w:line="329" w:lineRule="auto"/>
              <w:ind w:left="43"/>
              <w:rPr>
                <w:rFonts w:eastAsia="Times New Roman"/>
                <w:sz w:val="18"/>
                <w:szCs w:val="18"/>
              </w:rPr>
            </w:pPr>
            <w:r>
              <w:rPr>
                <w:rFonts w:eastAsia="Times New Roman"/>
                <w:sz w:val="18"/>
                <w:szCs w:val="18"/>
              </w:rPr>
              <w:t>Herbicide runoff</w:t>
            </w:r>
          </w:p>
        </w:tc>
        <w:tc>
          <w:tcPr>
            <w:tcW w:w="2442" w:type="dxa"/>
            <w:gridSpan w:val="2"/>
          </w:tcPr>
          <w:p w14:paraId="281A3C83" w14:textId="21845BA7" w:rsidR="00400DCA" w:rsidRPr="00400DCA" w:rsidRDefault="00400DCA" w:rsidP="00400DCA">
            <w:pPr>
              <w:spacing w:line="329" w:lineRule="auto"/>
              <w:ind w:left="43"/>
              <w:rPr>
                <w:rFonts w:eastAsia="Times New Roman"/>
                <w:sz w:val="18"/>
                <w:szCs w:val="18"/>
              </w:rPr>
            </w:pPr>
            <w:r>
              <w:rPr>
                <w:rFonts w:eastAsia="Times New Roman"/>
                <w:sz w:val="18"/>
                <w:szCs w:val="18"/>
              </w:rPr>
              <w:t>Some people who drink water containing picloram in excess of the MCL over many years could experience problems with their liver.</w:t>
            </w:r>
          </w:p>
        </w:tc>
      </w:tr>
      <w:tr w:rsidR="00400DCA" w14:paraId="281A3CC9" w14:textId="77777777" w:rsidTr="00FB35EC">
        <w:trPr>
          <w:trHeight w:val="1845"/>
        </w:trPr>
        <w:tc>
          <w:tcPr>
            <w:tcW w:w="2098" w:type="dxa"/>
            <w:vAlign w:val="center"/>
          </w:tcPr>
          <w:p w14:paraId="281A3CC2" w14:textId="77777777" w:rsidR="00400DCA" w:rsidRPr="00400DCA" w:rsidRDefault="00400DCA" w:rsidP="00563A54">
            <w:pPr>
              <w:pStyle w:val="ListParagraph"/>
              <w:numPr>
                <w:ilvl w:val="0"/>
                <w:numId w:val="940"/>
              </w:numPr>
              <w:ind w:left="360"/>
              <w:rPr>
                <w:sz w:val="20"/>
                <w:szCs w:val="20"/>
              </w:rPr>
            </w:pPr>
            <w:r w:rsidRPr="00400DCA">
              <w:rPr>
                <w:rFonts w:eastAsia="Times New Roman"/>
                <w:sz w:val="18"/>
                <w:szCs w:val="18"/>
              </w:rPr>
              <w:t>Simazine</w:t>
            </w:r>
          </w:p>
        </w:tc>
        <w:tc>
          <w:tcPr>
            <w:tcW w:w="1060" w:type="dxa"/>
            <w:vAlign w:val="center"/>
          </w:tcPr>
          <w:p w14:paraId="281A3CC3" w14:textId="77777777" w:rsidR="00400DCA" w:rsidRDefault="00400DCA" w:rsidP="00400DCA">
            <w:pPr>
              <w:jc w:val="center"/>
              <w:rPr>
                <w:sz w:val="20"/>
                <w:szCs w:val="20"/>
              </w:rPr>
            </w:pPr>
            <w:r>
              <w:rPr>
                <w:rFonts w:eastAsia="Times New Roman"/>
                <w:sz w:val="18"/>
                <w:szCs w:val="18"/>
              </w:rPr>
              <w:t>0.004 mg/l</w:t>
            </w:r>
          </w:p>
        </w:tc>
        <w:tc>
          <w:tcPr>
            <w:tcW w:w="1360" w:type="dxa"/>
            <w:vAlign w:val="center"/>
          </w:tcPr>
          <w:p w14:paraId="281A3CC4" w14:textId="77777777" w:rsidR="00400DCA" w:rsidRDefault="00400DCA" w:rsidP="00400DCA">
            <w:pPr>
              <w:jc w:val="center"/>
              <w:rPr>
                <w:sz w:val="20"/>
                <w:szCs w:val="20"/>
              </w:rPr>
            </w:pPr>
            <w:r>
              <w:rPr>
                <w:rFonts w:eastAsia="Times New Roman"/>
                <w:sz w:val="18"/>
                <w:szCs w:val="18"/>
              </w:rPr>
              <w:t>1000</w:t>
            </w:r>
          </w:p>
        </w:tc>
        <w:tc>
          <w:tcPr>
            <w:tcW w:w="900" w:type="dxa"/>
            <w:vAlign w:val="center"/>
          </w:tcPr>
          <w:p w14:paraId="281A3CC5" w14:textId="77777777" w:rsidR="00400DCA" w:rsidRDefault="00400DCA" w:rsidP="00400DCA">
            <w:pPr>
              <w:jc w:val="center"/>
              <w:rPr>
                <w:sz w:val="20"/>
                <w:szCs w:val="20"/>
              </w:rPr>
            </w:pPr>
            <w:r>
              <w:rPr>
                <w:rFonts w:eastAsia="Times New Roman"/>
                <w:sz w:val="18"/>
                <w:szCs w:val="18"/>
              </w:rPr>
              <w:t>4 ppb</w:t>
            </w:r>
          </w:p>
        </w:tc>
        <w:tc>
          <w:tcPr>
            <w:tcW w:w="980" w:type="dxa"/>
            <w:vAlign w:val="center"/>
          </w:tcPr>
          <w:p w14:paraId="281A3CC6" w14:textId="77777777" w:rsidR="00400DCA" w:rsidRDefault="00400DCA" w:rsidP="00400DCA">
            <w:pPr>
              <w:jc w:val="center"/>
              <w:rPr>
                <w:sz w:val="20"/>
                <w:szCs w:val="20"/>
              </w:rPr>
            </w:pPr>
            <w:r>
              <w:rPr>
                <w:rFonts w:eastAsia="Times New Roman"/>
                <w:sz w:val="18"/>
                <w:szCs w:val="18"/>
              </w:rPr>
              <w:t>4 ppb</w:t>
            </w:r>
          </w:p>
        </w:tc>
        <w:tc>
          <w:tcPr>
            <w:tcW w:w="1860" w:type="dxa"/>
          </w:tcPr>
          <w:p w14:paraId="281A3CC7" w14:textId="77777777" w:rsidR="00400DCA" w:rsidRPr="00400DCA" w:rsidRDefault="00400DCA" w:rsidP="00400DCA">
            <w:pPr>
              <w:spacing w:line="329" w:lineRule="auto"/>
              <w:ind w:left="43"/>
              <w:rPr>
                <w:rFonts w:eastAsia="Times New Roman"/>
                <w:sz w:val="18"/>
                <w:szCs w:val="18"/>
              </w:rPr>
            </w:pPr>
            <w:r>
              <w:rPr>
                <w:rFonts w:eastAsia="Times New Roman"/>
                <w:sz w:val="18"/>
                <w:szCs w:val="18"/>
              </w:rPr>
              <w:t>Herbicide runoff</w:t>
            </w:r>
          </w:p>
        </w:tc>
        <w:tc>
          <w:tcPr>
            <w:tcW w:w="2442" w:type="dxa"/>
            <w:gridSpan w:val="2"/>
          </w:tcPr>
          <w:p w14:paraId="281A3CC8" w14:textId="7B22AECD" w:rsidR="00400DCA" w:rsidRPr="00400DCA" w:rsidRDefault="00400DCA" w:rsidP="00400DCA">
            <w:pPr>
              <w:spacing w:line="329" w:lineRule="auto"/>
              <w:ind w:left="43"/>
              <w:rPr>
                <w:rFonts w:eastAsia="Times New Roman"/>
                <w:sz w:val="18"/>
                <w:szCs w:val="18"/>
              </w:rPr>
            </w:pPr>
            <w:r>
              <w:rPr>
                <w:rFonts w:eastAsia="Times New Roman"/>
                <w:sz w:val="18"/>
                <w:szCs w:val="18"/>
              </w:rPr>
              <w:t>Some people who drink water containing simazine in excess of the MCL over many years could experience problems with their blood.</w:t>
            </w:r>
          </w:p>
        </w:tc>
      </w:tr>
      <w:tr w:rsidR="00400DCA" w14:paraId="281A3D0E" w14:textId="77777777" w:rsidTr="00FB35EC">
        <w:trPr>
          <w:trHeight w:val="2386"/>
        </w:trPr>
        <w:tc>
          <w:tcPr>
            <w:tcW w:w="2098" w:type="dxa"/>
            <w:vAlign w:val="center"/>
          </w:tcPr>
          <w:p w14:paraId="281A3D07" w14:textId="77777777" w:rsidR="00400DCA" w:rsidRPr="00400DCA" w:rsidRDefault="00400DCA" w:rsidP="00563A54">
            <w:pPr>
              <w:pStyle w:val="ListParagraph"/>
              <w:numPr>
                <w:ilvl w:val="0"/>
                <w:numId w:val="940"/>
              </w:numPr>
              <w:ind w:left="360"/>
              <w:rPr>
                <w:sz w:val="20"/>
                <w:szCs w:val="20"/>
              </w:rPr>
            </w:pPr>
            <w:r w:rsidRPr="00400DCA">
              <w:rPr>
                <w:rFonts w:eastAsia="Times New Roman"/>
                <w:sz w:val="18"/>
                <w:szCs w:val="18"/>
              </w:rPr>
              <w:t>Toxaphene</w:t>
            </w:r>
          </w:p>
        </w:tc>
        <w:tc>
          <w:tcPr>
            <w:tcW w:w="1060" w:type="dxa"/>
            <w:vAlign w:val="center"/>
          </w:tcPr>
          <w:p w14:paraId="281A3D08" w14:textId="77777777" w:rsidR="00400DCA" w:rsidRDefault="00400DCA" w:rsidP="00400DCA">
            <w:pPr>
              <w:jc w:val="center"/>
              <w:rPr>
                <w:sz w:val="20"/>
                <w:szCs w:val="20"/>
              </w:rPr>
            </w:pPr>
            <w:r>
              <w:rPr>
                <w:rFonts w:eastAsia="Times New Roman"/>
                <w:sz w:val="18"/>
                <w:szCs w:val="18"/>
              </w:rPr>
              <w:t>0.003 mg/l</w:t>
            </w:r>
          </w:p>
        </w:tc>
        <w:tc>
          <w:tcPr>
            <w:tcW w:w="1360" w:type="dxa"/>
            <w:vAlign w:val="center"/>
          </w:tcPr>
          <w:p w14:paraId="281A3D09" w14:textId="77777777" w:rsidR="00400DCA" w:rsidRDefault="00400DCA" w:rsidP="00400DCA">
            <w:pPr>
              <w:jc w:val="center"/>
              <w:rPr>
                <w:sz w:val="20"/>
                <w:szCs w:val="20"/>
              </w:rPr>
            </w:pPr>
            <w:r>
              <w:rPr>
                <w:rFonts w:eastAsia="Times New Roman"/>
                <w:sz w:val="18"/>
                <w:szCs w:val="18"/>
              </w:rPr>
              <w:t>1000</w:t>
            </w:r>
          </w:p>
        </w:tc>
        <w:tc>
          <w:tcPr>
            <w:tcW w:w="900" w:type="dxa"/>
            <w:vAlign w:val="center"/>
          </w:tcPr>
          <w:p w14:paraId="281A3D0A" w14:textId="77777777" w:rsidR="00400DCA" w:rsidRDefault="00400DCA" w:rsidP="00400DCA">
            <w:pPr>
              <w:jc w:val="center"/>
              <w:rPr>
                <w:sz w:val="20"/>
                <w:szCs w:val="20"/>
              </w:rPr>
            </w:pPr>
            <w:r>
              <w:rPr>
                <w:rFonts w:eastAsia="Times New Roman"/>
                <w:sz w:val="18"/>
                <w:szCs w:val="18"/>
              </w:rPr>
              <w:t>3 ppb</w:t>
            </w:r>
          </w:p>
        </w:tc>
        <w:tc>
          <w:tcPr>
            <w:tcW w:w="980" w:type="dxa"/>
            <w:vAlign w:val="center"/>
          </w:tcPr>
          <w:p w14:paraId="281A3D0B" w14:textId="77777777" w:rsidR="00400DCA" w:rsidRDefault="00400DCA" w:rsidP="00400DCA">
            <w:pPr>
              <w:jc w:val="center"/>
              <w:rPr>
                <w:sz w:val="20"/>
                <w:szCs w:val="20"/>
              </w:rPr>
            </w:pPr>
            <w:r>
              <w:rPr>
                <w:rFonts w:eastAsia="Times New Roman"/>
                <w:sz w:val="18"/>
                <w:szCs w:val="18"/>
              </w:rPr>
              <w:t>0</w:t>
            </w:r>
          </w:p>
        </w:tc>
        <w:tc>
          <w:tcPr>
            <w:tcW w:w="1860" w:type="dxa"/>
          </w:tcPr>
          <w:p w14:paraId="281A3D0C" w14:textId="04EF3607" w:rsidR="00400DCA" w:rsidRPr="00400DCA" w:rsidRDefault="00400DCA" w:rsidP="00400DCA">
            <w:pPr>
              <w:spacing w:line="329" w:lineRule="auto"/>
              <w:ind w:left="43"/>
              <w:rPr>
                <w:rFonts w:eastAsia="Times New Roman"/>
                <w:sz w:val="18"/>
                <w:szCs w:val="18"/>
              </w:rPr>
            </w:pPr>
            <w:r>
              <w:rPr>
                <w:rFonts w:eastAsia="Times New Roman"/>
                <w:sz w:val="18"/>
                <w:szCs w:val="18"/>
              </w:rPr>
              <w:t>Runoff/leaching from insecticide used on cotton and cattle</w:t>
            </w:r>
          </w:p>
        </w:tc>
        <w:tc>
          <w:tcPr>
            <w:tcW w:w="2442" w:type="dxa"/>
            <w:gridSpan w:val="2"/>
          </w:tcPr>
          <w:p w14:paraId="281A3D0D" w14:textId="6538A4B4" w:rsidR="00400DCA" w:rsidRPr="00400DCA" w:rsidRDefault="00400DCA" w:rsidP="00400DCA">
            <w:pPr>
              <w:spacing w:line="329" w:lineRule="auto"/>
              <w:ind w:left="43"/>
              <w:rPr>
                <w:rFonts w:eastAsia="Times New Roman"/>
                <w:sz w:val="18"/>
                <w:szCs w:val="18"/>
              </w:rPr>
            </w:pPr>
            <w:r>
              <w:rPr>
                <w:rFonts w:eastAsia="Times New Roman"/>
                <w:sz w:val="18"/>
                <w:szCs w:val="18"/>
              </w:rPr>
              <w:t>Some people who drink water containing toxaphene in excess of the MCL over many years could have problems with their kidneys, liver, or thyroid, and may have an increased risk of getting cancer.</w:t>
            </w:r>
          </w:p>
        </w:tc>
      </w:tr>
    </w:tbl>
    <w:p w14:paraId="281A3D5F" w14:textId="77777777" w:rsidR="004647B9" w:rsidRDefault="004647B9">
      <w:pPr>
        <w:sectPr w:rsidR="004647B9" w:rsidSect="00EF630C">
          <w:pgSz w:w="12240" w:h="20180"/>
          <w:pgMar w:top="708" w:right="940" w:bottom="429" w:left="600" w:header="0" w:footer="0" w:gutter="0"/>
          <w:cols w:space="720"/>
        </w:sectPr>
      </w:pPr>
    </w:p>
    <w:p w14:paraId="281A3D60" w14:textId="77777777" w:rsidR="004647B9" w:rsidRDefault="00E2436F">
      <w:pPr>
        <w:tabs>
          <w:tab w:val="left" w:pos="2860"/>
        </w:tabs>
        <w:ind w:left="1680"/>
        <w:rPr>
          <w:sz w:val="20"/>
          <w:szCs w:val="20"/>
        </w:rPr>
      </w:pPr>
      <w:bookmarkStart w:id="233" w:name="page235"/>
      <w:bookmarkEnd w:id="23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D61" w14:textId="77777777" w:rsidR="004647B9" w:rsidRDefault="004647B9" w:rsidP="00A25175">
      <w:pPr>
        <w:rPr>
          <w:sz w:val="20"/>
          <w:szCs w:val="20"/>
        </w:rPr>
      </w:pPr>
    </w:p>
    <w:p w14:paraId="397598FE" w14:textId="77777777" w:rsidR="00A25175" w:rsidRDefault="00A25175" w:rsidP="00A25175">
      <w:pPr>
        <w:rPr>
          <w:sz w:val="20"/>
          <w:szCs w:val="20"/>
        </w:rPr>
      </w:pPr>
    </w:p>
    <w:p w14:paraId="281A3D62" w14:textId="77777777" w:rsidR="004647B9" w:rsidRPr="00A25175" w:rsidRDefault="00E2436F" w:rsidP="00A25175">
      <w:pPr>
        <w:tabs>
          <w:tab w:val="left" w:pos="940"/>
        </w:tabs>
        <w:rPr>
          <w:sz w:val="24"/>
          <w:szCs w:val="24"/>
        </w:rPr>
      </w:pPr>
      <w:r w:rsidRPr="00A25175">
        <w:rPr>
          <w:rFonts w:eastAsia="Times New Roman"/>
          <w:sz w:val="24"/>
          <w:szCs w:val="24"/>
        </w:rPr>
        <w:t>22.16A:</w:t>
      </w:r>
      <w:r w:rsidRPr="00A25175">
        <w:rPr>
          <w:sz w:val="24"/>
          <w:szCs w:val="24"/>
        </w:rPr>
        <w:tab/>
      </w:r>
      <w:r w:rsidRPr="00A25175">
        <w:rPr>
          <w:rFonts w:eastAsia="Times New Roman"/>
          <w:sz w:val="24"/>
          <w:szCs w:val="24"/>
        </w:rPr>
        <w:t>continued</w:t>
      </w:r>
    </w:p>
    <w:p w14:paraId="281A3D64" w14:textId="77777777" w:rsidR="004647B9" w:rsidRDefault="004647B9" w:rsidP="00A25175">
      <w:pPr>
        <w:rPr>
          <w:sz w:val="20"/>
          <w:szCs w:val="20"/>
        </w:rPr>
      </w:pPr>
    </w:p>
    <w:tbl>
      <w:tblPr>
        <w:tblW w:w="1070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098"/>
        <w:gridCol w:w="1060"/>
        <w:gridCol w:w="1360"/>
        <w:gridCol w:w="900"/>
        <w:gridCol w:w="980"/>
        <w:gridCol w:w="1860"/>
        <w:gridCol w:w="2434"/>
        <w:gridCol w:w="8"/>
      </w:tblGrid>
      <w:tr w:rsidR="00400DCA" w14:paraId="281A3D6E" w14:textId="77777777" w:rsidTr="00FB35EC">
        <w:trPr>
          <w:gridAfter w:val="1"/>
          <w:wAfter w:w="8" w:type="dxa"/>
          <w:trHeight w:val="1033"/>
        </w:trPr>
        <w:tc>
          <w:tcPr>
            <w:tcW w:w="2098" w:type="dxa"/>
            <w:vAlign w:val="center"/>
          </w:tcPr>
          <w:p w14:paraId="281A3D67" w14:textId="09405BB7" w:rsidR="00400DCA" w:rsidRDefault="00400DCA" w:rsidP="00400DCA">
            <w:pPr>
              <w:jc w:val="center"/>
              <w:rPr>
                <w:sz w:val="24"/>
                <w:szCs w:val="24"/>
              </w:rPr>
            </w:pPr>
            <w:r>
              <w:rPr>
                <w:rFonts w:eastAsia="Times New Roman"/>
                <w:sz w:val="18"/>
                <w:szCs w:val="18"/>
              </w:rPr>
              <w:t>Contaminant</w:t>
            </w:r>
          </w:p>
        </w:tc>
        <w:tc>
          <w:tcPr>
            <w:tcW w:w="1060" w:type="dxa"/>
            <w:vAlign w:val="center"/>
          </w:tcPr>
          <w:p w14:paraId="281A3D68" w14:textId="18999ED5" w:rsidR="00400DCA" w:rsidRDefault="00400DCA" w:rsidP="00400DCA">
            <w:pPr>
              <w:jc w:val="center"/>
              <w:rPr>
                <w:sz w:val="20"/>
                <w:szCs w:val="20"/>
              </w:rPr>
            </w:pPr>
            <w:r>
              <w:rPr>
                <w:rFonts w:eastAsia="Times New Roman"/>
                <w:sz w:val="18"/>
                <w:szCs w:val="18"/>
              </w:rPr>
              <w:t>Traditional MCL</w:t>
            </w:r>
          </w:p>
        </w:tc>
        <w:tc>
          <w:tcPr>
            <w:tcW w:w="1360" w:type="dxa"/>
            <w:vAlign w:val="center"/>
          </w:tcPr>
          <w:p w14:paraId="281A3D69" w14:textId="5DFF0930" w:rsidR="00400DCA" w:rsidRDefault="00400DCA" w:rsidP="00400DCA">
            <w:pPr>
              <w:jc w:val="center"/>
              <w:rPr>
                <w:sz w:val="20"/>
                <w:szCs w:val="20"/>
              </w:rPr>
            </w:pPr>
            <w:r>
              <w:rPr>
                <w:rFonts w:eastAsia="Times New Roman"/>
                <w:sz w:val="18"/>
                <w:szCs w:val="18"/>
              </w:rPr>
              <w:t>To convert for CCR, multiply by</w:t>
            </w:r>
          </w:p>
        </w:tc>
        <w:tc>
          <w:tcPr>
            <w:tcW w:w="900" w:type="dxa"/>
            <w:vAlign w:val="center"/>
          </w:tcPr>
          <w:p w14:paraId="281A3D6A" w14:textId="2FFB308D" w:rsidR="00400DCA" w:rsidRDefault="00400DCA" w:rsidP="00400DCA">
            <w:pPr>
              <w:jc w:val="center"/>
              <w:rPr>
                <w:sz w:val="20"/>
                <w:szCs w:val="20"/>
              </w:rPr>
            </w:pPr>
            <w:r>
              <w:rPr>
                <w:rFonts w:eastAsia="Times New Roman"/>
                <w:sz w:val="18"/>
                <w:szCs w:val="18"/>
              </w:rPr>
              <w:t>MCL in CCR units</w:t>
            </w:r>
          </w:p>
        </w:tc>
        <w:tc>
          <w:tcPr>
            <w:tcW w:w="980" w:type="dxa"/>
            <w:vAlign w:val="center"/>
          </w:tcPr>
          <w:p w14:paraId="281A3D6B" w14:textId="177AC035" w:rsidR="00400DCA" w:rsidRDefault="00400DCA" w:rsidP="00400DCA">
            <w:pPr>
              <w:jc w:val="center"/>
              <w:rPr>
                <w:sz w:val="20"/>
                <w:szCs w:val="20"/>
              </w:rPr>
            </w:pPr>
            <w:r>
              <w:rPr>
                <w:rFonts w:eastAsia="Times New Roman"/>
                <w:sz w:val="18"/>
                <w:szCs w:val="18"/>
              </w:rPr>
              <w:t>MCLG in CCR units</w:t>
            </w:r>
          </w:p>
        </w:tc>
        <w:tc>
          <w:tcPr>
            <w:tcW w:w="1860" w:type="dxa"/>
            <w:vAlign w:val="center"/>
          </w:tcPr>
          <w:p w14:paraId="281A3D6C" w14:textId="6714176D" w:rsidR="00400DCA" w:rsidRDefault="00400DCA" w:rsidP="00400DCA">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vAlign w:val="center"/>
          </w:tcPr>
          <w:p w14:paraId="281A3D6D" w14:textId="5EB1D3B8" w:rsidR="00400DCA" w:rsidRDefault="00400DCA" w:rsidP="00400DCA">
            <w:pPr>
              <w:jc w:val="center"/>
              <w:rPr>
                <w:sz w:val="20"/>
                <w:szCs w:val="20"/>
              </w:rPr>
            </w:pPr>
            <w:r>
              <w:rPr>
                <w:rFonts w:eastAsia="Times New Roman"/>
                <w:sz w:val="18"/>
                <w:szCs w:val="18"/>
              </w:rPr>
              <w:t>Health Effects Language</w:t>
            </w:r>
          </w:p>
        </w:tc>
      </w:tr>
      <w:tr w:rsidR="008E0BB2" w14:paraId="281A3D92" w14:textId="77777777" w:rsidTr="00FB35EC">
        <w:trPr>
          <w:trHeight w:val="364"/>
        </w:trPr>
        <w:tc>
          <w:tcPr>
            <w:tcW w:w="10700" w:type="dxa"/>
            <w:gridSpan w:val="8"/>
            <w:vAlign w:val="center"/>
          </w:tcPr>
          <w:p w14:paraId="281A3D91" w14:textId="3C3B3B0A" w:rsidR="008E0BB2" w:rsidRDefault="008E0BB2" w:rsidP="00DA0CFB">
            <w:pPr>
              <w:rPr>
                <w:sz w:val="24"/>
                <w:szCs w:val="24"/>
              </w:rPr>
            </w:pPr>
            <w:r>
              <w:rPr>
                <w:rFonts w:eastAsia="Times New Roman"/>
                <w:b/>
                <w:bCs/>
                <w:sz w:val="18"/>
                <w:szCs w:val="18"/>
              </w:rPr>
              <w:t>Volatile Organic Contaminants</w:t>
            </w:r>
          </w:p>
        </w:tc>
      </w:tr>
      <w:tr w:rsidR="00DA0CFB" w14:paraId="281A3DA5" w14:textId="77777777" w:rsidTr="00FB35EC">
        <w:trPr>
          <w:trHeight w:val="2404"/>
        </w:trPr>
        <w:tc>
          <w:tcPr>
            <w:tcW w:w="2098" w:type="dxa"/>
            <w:vAlign w:val="center"/>
          </w:tcPr>
          <w:p w14:paraId="281A3D9E" w14:textId="77777777" w:rsidR="00DA0CFB" w:rsidRPr="00DA0CFB" w:rsidRDefault="00DA0CFB" w:rsidP="00563A54">
            <w:pPr>
              <w:pStyle w:val="ListParagraph"/>
              <w:numPr>
                <w:ilvl w:val="0"/>
                <w:numId w:val="940"/>
              </w:numPr>
              <w:ind w:left="360"/>
              <w:rPr>
                <w:sz w:val="20"/>
                <w:szCs w:val="20"/>
              </w:rPr>
            </w:pPr>
            <w:r w:rsidRPr="00DA0CFB">
              <w:rPr>
                <w:rFonts w:eastAsia="Times New Roman"/>
                <w:sz w:val="18"/>
                <w:szCs w:val="18"/>
              </w:rPr>
              <w:t>Benzene</w:t>
            </w:r>
          </w:p>
        </w:tc>
        <w:tc>
          <w:tcPr>
            <w:tcW w:w="1060" w:type="dxa"/>
            <w:vAlign w:val="center"/>
          </w:tcPr>
          <w:p w14:paraId="281A3D9F" w14:textId="77777777" w:rsidR="00DA0CFB" w:rsidRDefault="00DA0CFB" w:rsidP="00DA0CFB">
            <w:pPr>
              <w:jc w:val="center"/>
              <w:rPr>
                <w:sz w:val="20"/>
                <w:szCs w:val="20"/>
              </w:rPr>
            </w:pPr>
            <w:r>
              <w:rPr>
                <w:rFonts w:eastAsia="Times New Roman"/>
                <w:sz w:val="18"/>
                <w:szCs w:val="18"/>
              </w:rPr>
              <w:t>0.005 mg/l</w:t>
            </w:r>
          </w:p>
        </w:tc>
        <w:tc>
          <w:tcPr>
            <w:tcW w:w="1360" w:type="dxa"/>
            <w:vAlign w:val="center"/>
          </w:tcPr>
          <w:p w14:paraId="281A3DA0" w14:textId="77777777" w:rsidR="00DA0CFB" w:rsidRDefault="00DA0CFB" w:rsidP="00DA0CFB">
            <w:pPr>
              <w:jc w:val="center"/>
              <w:rPr>
                <w:sz w:val="20"/>
                <w:szCs w:val="20"/>
              </w:rPr>
            </w:pPr>
            <w:r>
              <w:rPr>
                <w:rFonts w:eastAsia="Times New Roman"/>
                <w:sz w:val="18"/>
                <w:szCs w:val="18"/>
              </w:rPr>
              <w:t>1000</w:t>
            </w:r>
          </w:p>
        </w:tc>
        <w:tc>
          <w:tcPr>
            <w:tcW w:w="900" w:type="dxa"/>
            <w:vAlign w:val="center"/>
          </w:tcPr>
          <w:p w14:paraId="281A3DA1" w14:textId="77777777" w:rsidR="00DA0CFB" w:rsidRDefault="00DA0CFB" w:rsidP="00DA0CFB">
            <w:pPr>
              <w:jc w:val="center"/>
              <w:rPr>
                <w:sz w:val="20"/>
                <w:szCs w:val="20"/>
              </w:rPr>
            </w:pPr>
            <w:r>
              <w:rPr>
                <w:rFonts w:eastAsia="Times New Roman"/>
                <w:sz w:val="18"/>
                <w:szCs w:val="18"/>
              </w:rPr>
              <w:t>5 ppb</w:t>
            </w:r>
          </w:p>
        </w:tc>
        <w:tc>
          <w:tcPr>
            <w:tcW w:w="980" w:type="dxa"/>
            <w:vAlign w:val="center"/>
          </w:tcPr>
          <w:p w14:paraId="281A3DA2" w14:textId="77777777" w:rsidR="00DA0CFB" w:rsidRDefault="00DA0CFB" w:rsidP="00DA0CFB">
            <w:pPr>
              <w:jc w:val="center"/>
              <w:rPr>
                <w:sz w:val="20"/>
                <w:szCs w:val="20"/>
              </w:rPr>
            </w:pPr>
            <w:r>
              <w:rPr>
                <w:rFonts w:eastAsia="Times New Roman"/>
                <w:sz w:val="18"/>
                <w:szCs w:val="18"/>
              </w:rPr>
              <w:t>0</w:t>
            </w:r>
          </w:p>
        </w:tc>
        <w:tc>
          <w:tcPr>
            <w:tcW w:w="1860" w:type="dxa"/>
          </w:tcPr>
          <w:p w14:paraId="281A3DA3" w14:textId="0022F76C" w:rsidR="00DA0CFB" w:rsidRPr="00DA0CFB" w:rsidRDefault="00DA0CFB" w:rsidP="00DA0CFB">
            <w:pPr>
              <w:spacing w:line="329" w:lineRule="auto"/>
              <w:ind w:left="43"/>
              <w:rPr>
                <w:rFonts w:eastAsia="Times New Roman"/>
                <w:sz w:val="18"/>
                <w:szCs w:val="18"/>
              </w:rPr>
            </w:pPr>
            <w:r>
              <w:rPr>
                <w:rFonts w:eastAsia="Times New Roman"/>
                <w:sz w:val="18"/>
                <w:szCs w:val="18"/>
              </w:rPr>
              <w:t>Discharge from factories; leaching from gas storage tanks and landfills</w:t>
            </w:r>
          </w:p>
        </w:tc>
        <w:tc>
          <w:tcPr>
            <w:tcW w:w="2442" w:type="dxa"/>
            <w:gridSpan w:val="2"/>
          </w:tcPr>
          <w:p w14:paraId="281A3DA4" w14:textId="44AB7E42" w:rsidR="00DA0CFB" w:rsidRPr="00DA0CFB" w:rsidRDefault="00DA0CFB" w:rsidP="00DA0CFB">
            <w:pPr>
              <w:spacing w:line="329" w:lineRule="auto"/>
              <w:ind w:left="43"/>
              <w:rPr>
                <w:rFonts w:eastAsia="Times New Roman"/>
                <w:sz w:val="18"/>
                <w:szCs w:val="18"/>
              </w:rPr>
            </w:pPr>
            <w:r>
              <w:rPr>
                <w:rFonts w:eastAsia="Times New Roman"/>
                <w:sz w:val="18"/>
                <w:szCs w:val="18"/>
              </w:rPr>
              <w:t>Some people who drink water containing benzene in excess of the MCL over many years could experience anemia or a decrease in blood platelets, and may have an increased risk of getting cancer.</w:t>
            </w:r>
          </w:p>
        </w:tc>
      </w:tr>
      <w:tr w:rsidR="000B3164" w14:paraId="281A3DFE" w14:textId="77777777" w:rsidTr="00FB35EC">
        <w:trPr>
          <w:trHeight w:val="2404"/>
        </w:trPr>
        <w:tc>
          <w:tcPr>
            <w:tcW w:w="2098" w:type="dxa"/>
            <w:vAlign w:val="center"/>
          </w:tcPr>
          <w:p w14:paraId="281A3DF7" w14:textId="21E60FFF" w:rsidR="000B3164" w:rsidRPr="000B3164" w:rsidRDefault="000B3164" w:rsidP="00563A54">
            <w:pPr>
              <w:pStyle w:val="ListParagraph"/>
              <w:numPr>
                <w:ilvl w:val="0"/>
                <w:numId w:val="940"/>
              </w:numPr>
              <w:ind w:left="360"/>
              <w:rPr>
                <w:sz w:val="20"/>
                <w:szCs w:val="20"/>
              </w:rPr>
            </w:pPr>
            <w:r w:rsidRPr="000B3164">
              <w:rPr>
                <w:rFonts w:eastAsia="Times New Roman"/>
                <w:sz w:val="18"/>
                <w:szCs w:val="18"/>
              </w:rPr>
              <w:t>Carbon</w:t>
            </w:r>
            <w:r>
              <w:rPr>
                <w:rFonts w:eastAsia="Times New Roman"/>
                <w:sz w:val="18"/>
                <w:szCs w:val="18"/>
              </w:rPr>
              <w:t xml:space="preserve"> </w:t>
            </w:r>
            <w:r w:rsidRPr="000B3164">
              <w:rPr>
                <w:rFonts w:eastAsia="Times New Roman"/>
                <w:sz w:val="18"/>
                <w:szCs w:val="18"/>
              </w:rPr>
              <w:t>tetrachloride</w:t>
            </w:r>
          </w:p>
        </w:tc>
        <w:tc>
          <w:tcPr>
            <w:tcW w:w="1060" w:type="dxa"/>
            <w:vAlign w:val="center"/>
          </w:tcPr>
          <w:p w14:paraId="281A3DF8" w14:textId="77777777" w:rsidR="000B3164" w:rsidRDefault="000B3164" w:rsidP="000B3164">
            <w:pPr>
              <w:jc w:val="center"/>
              <w:rPr>
                <w:sz w:val="20"/>
                <w:szCs w:val="20"/>
              </w:rPr>
            </w:pPr>
            <w:r>
              <w:rPr>
                <w:rFonts w:eastAsia="Times New Roman"/>
                <w:sz w:val="18"/>
                <w:szCs w:val="18"/>
              </w:rPr>
              <w:t>0.005 mg/l</w:t>
            </w:r>
          </w:p>
        </w:tc>
        <w:tc>
          <w:tcPr>
            <w:tcW w:w="1360" w:type="dxa"/>
            <w:vAlign w:val="center"/>
          </w:tcPr>
          <w:p w14:paraId="281A3DF9" w14:textId="77777777" w:rsidR="000B3164" w:rsidRDefault="000B3164" w:rsidP="000B3164">
            <w:pPr>
              <w:jc w:val="center"/>
              <w:rPr>
                <w:sz w:val="20"/>
                <w:szCs w:val="20"/>
              </w:rPr>
            </w:pPr>
            <w:r>
              <w:rPr>
                <w:rFonts w:eastAsia="Times New Roman"/>
                <w:sz w:val="18"/>
                <w:szCs w:val="18"/>
              </w:rPr>
              <w:t>1000</w:t>
            </w:r>
          </w:p>
        </w:tc>
        <w:tc>
          <w:tcPr>
            <w:tcW w:w="900" w:type="dxa"/>
            <w:vAlign w:val="center"/>
          </w:tcPr>
          <w:p w14:paraId="281A3DFA" w14:textId="77777777" w:rsidR="000B3164" w:rsidRDefault="000B3164" w:rsidP="000B3164">
            <w:pPr>
              <w:jc w:val="center"/>
              <w:rPr>
                <w:sz w:val="20"/>
                <w:szCs w:val="20"/>
              </w:rPr>
            </w:pPr>
            <w:r>
              <w:rPr>
                <w:rFonts w:eastAsia="Times New Roman"/>
                <w:sz w:val="18"/>
                <w:szCs w:val="18"/>
              </w:rPr>
              <w:t>5 ppb</w:t>
            </w:r>
          </w:p>
        </w:tc>
        <w:tc>
          <w:tcPr>
            <w:tcW w:w="980" w:type="dxa"/>
            <w:vAlign w:val="center"/>
          </w:tcPr>
          <w:p w14:paraId="281A3DFB" w14:textId="77777777" w:rsidR="000B3164" w:rsidRDefault="000B3164" w:rsidP="000B3164">
            <w:pPr>
              <w:jc w:val="center"/>
              <w:rPr>
                <w:sz w:val="20"/>
                <w:szCs w:val="20"/>
              </w:rPr>
            </w:pPr>
            <w:r>
              <w:rPr>
                <w:rFonts w:eastAsia="Times New Roman"/>
                <w:sz w:val="18"/>
                <w:szCs w:val="18"/>
              </w:rPr>
              <w:t>0</w:t>
            </w:r>
          </w:p>
        </w:tc>
        <w:tc>
          <w:tcPr>
            <w:tcW w:w="1860" w:type="dxa"/>
          </w:tcPr>
          <w:p w14:paraId="281A3DFC" w14:textId="2EAB30AE" w:rsidR="000B3164" w:rsidRPr="000B3164" w:rsidRDefault="000B3164" w:rsidP="006764D3">
            <w:pPr>
              <w:spacing w:line="329" w:lineRule="auto"/>
              <w:ind w:left="43"/>
              <w:rPr>
                <w:rFonts w:eastAsia="Times New Roman"/>
                <w:sz w:val="18"/>
                <w:szCs w:val="18"/>
              </w:rPr>
            </w:pPr>
            <w:r>
              <w:rPr>
                <w:rFonts w:eastAsia="Times New Roman"/>
                <w:sz w:val="18"/>
                <w:szCs w:val="18"/>
              </w:rPr>
              <w:t>Discharge from</w:t>
            </w:r>
            <w:r w:rsidR="006764D3">
              <w:rPr>
                <w:rFonts w:eastAsia="Times New Roman"/>
                <w:sz w:val="18"/>
                <w:szCs w:val="18"/>
              </w:rPr>
              <w:t xml:space="preserve"> </w:t>
            </w:r>
            <w:r>
              <w:rPr>
                <w:rFonts w:eastAsia="Times New Roman"/>
                <w:sz w:val="18"/>
                <w:szCs w:val="18"/>
              </w:rPr>
              <w:t>chemical plants and</w:t>
            </w:r>
            <w:r w:rsidR="006764D3">
              <w:rPr>
                <w:rFonts w:eastAsia="Times New Roman"/>
                <w:sz w:val="18"/>
                <w:szCs w:val="18"/>
              </w:rPr>
              <w:t xml:space="preserve"> </w:t>
            </w:r>
            <w:r>
              <w:rPr>
                <w:rFonts w:eastAsia="Times New Roman"/>
                <w:sz w:val="18"/>
                <w:szCs w:val="18"/>
              </w:rPr>
              <w:t>other industrial</w:t>
            </w:r>
            <w:r w:rsidR="006764D3">
              <w:rPr>
                <w:rFonts w:eastAsia="Times New Roman"/>
                <w:sz w:val="18"/>
                <w:szCs w:val="18"/>
              </w:rPr>
              <w:t xml:space="preserve"> </w:t>
            </w:r>
            <w:r>
              <w:rPr>
                <w:rFonts w:eastAsia="Times New Roman"/>
                <w:sz w:val="18"/>
                <w:szCs w:val="18"/>
              </w:rPr>
              <w:t>activities</w:t>
            </w:r>
          </w:p>
        </w:tc>
        <w:tc>
          <w:tcPr>
            <w:tcW w:w="2442" w:type="dxa"/>
            <w:gridSpan w:val="2"/>
          </w:tcPr>
          <w:p w14:paraId="281A3DFD" w14:textId="39D04F34" w:rsidR="000B3164" w:rsidRPr="000B3164" w:rsidRDefault="000B3164" w:rsidP="006764D3">
            <w:pPr>
              <w:spacing w:line="329" w:lineRule="auto"/>
              <w:ind w:left="43"/>
              <w:rPr>
                <w:rFonts w:eastAsia="Times New Roman"/>
                <w:sz w:val="18"/>
                <w:szCs w:val="18"/>
              </w:rPr>
            </w:pPr>
            <w:r>
              <w:rPr>
                <w:rFonts w:eastAsia="Times New Roman"/>
                <w:sz w:val="18"/>
                <w:szCs w:val="18"/>
              </w:rPr>
              <w:t>Some people who drink</w:t>
            </w:r>
            <w:r w:rsidR="006764D3">
              <w:rPr>
                <w:rFonts w:eastAsia="Times New Roman"/>
                <w:sz w:val="18"/>
                <w:szCs w:val="18"/>
              </w:rPr>
              <w:t xml:space="preserve"> </w:t>
            </w:r>
            <w:r>
              <w:rPr>
                <w:rFonts w:eastAsia="Times New Roman"/>
                <w:sz w:val="18"/>
                <w:szCs w:val="18"/>
              </w:rPr>
              <w:t>water containing carbon</w:t>
            </w:r>
            <w:r w:rsidR="006764D3">
              <w:rPr>
                <w:rFonts w:eastAsia="Times New Roman"/>
                <w:sz w:val="18"/>
                <w:szCs w:val="18"/>
              </w:rPr>
              <w:t xml:space="preserve"> </w:t>
            </w:r>
            <w:r>
              <w:rPr>
                <w:rFonts w:eastAsia="Times New Roman"/>
                <w:sz w:val="18"/>
                <w:szCs w:val="18"/>
              </w:rPr>
              <w:t>tetrachloride in excess of</w:t>
            </w:r>
            <w:r w:rsidR="006764D3">
              <w:rPr>
                <w:rFonts w:eastAsia="Times New Roman"/>
                <w:sz w:val="18"/>
                <w:szCs w:val="18"/>
              </w:rPr>
              <w:t xml:space="preserve"> </w:t>
            </w:r>
            <w:r>
              <w:rPr>
                <w:rFonts w:eastAsia="Times New Roman"/>
                <w:sz w:val="18"/>
                <w:szCs w:val="18"/>
              </w:rPr>
              <w:t>the MCL over many years</w:t>
            </w:r>
            <w:r w:rsidR="006764D3">
              <w:rPr>
                <w:rFonts w:eastAsia="Times New Roman"/>
                <w:sz w:val="18"/>
                <w:szCs w:val="18"/>
              </w:rPr>
              <w:t xml:space="preserve"> </w:t>
            </w:r>
            <w:r>
              <w:rPr>
                <w:rFonts w:eastAsia="Times New Roman"/>
                <w:sz w:val="18"/>
                <w:szCs w:val="18"/>
              </w:rPr>
              <w:t>could experience problems</w:t>
            </w:r>
            <w:r w:rsidR="006764D3">
              <w:rPr>
                <w:rFonts w:eastAsia="Times New Roman"/>
                <w:sz w:val="18"/>
                <w:szCs w:val="18"/>
              </w:rPr>
              <w:t xml:space="preserve"> </w:t>
            </w:r>
            <w:r>
              <w:rPr>
                <w:rFonts w:eastAsia="Times New Roman"/>
                <w:sz w:val="18"/>
                <w:szCs w:val="18"/>
              </w:rPr>
              <w:t>with their liver and may</w:t>
            </w:r>
            <w:r w:rsidR="006764D3">
              <w:rPr>
                <w:rFonts w:eastAsia="Times New Roman"/>
                <w:sz w:val="18"/>
                <w:szCs w:val="18"/>
              </w:rPr>
              <w:t xml:space="preserve"> </w:t>
            </w:r>
            <w:r>
              <w:rPr>
                <w:rFonts w:eastAsia="Times New Roman"/>
                <w:sz w:val="18"/>
                <w:szCs w:val="18"/>
              </w:rPr>
              <w:t>have an increased risk of</w:t>
            </w:r>
            <w:r w:rsidR="006764D3">
              <w:rPr>
                <w:rFonts w:eastAsia="Times New Roman"/>
                <w:sz w:val="18"/>
                <w:szCs w:val="18"/>
              </w:rPr>
              <w:t xml:space="preserve"> </w:t>
            </w:r>
            <w:r>
              <w:rPr>
                <w:rFonts w:eastAsia="Times New Roman"/>
                <w:sz w:val="18"/>
                <w:szCs w:val="18"/>
              </w:rPr>
              <w:t>getting cancer.</w:t>
            </w:r>
          </w:p>
        </w:tc>
      </w:tr>
      <w:tr w:rsidR="006764D3" w14:paraId="281A3E56" w14:textId="77777777" w:rsidTr="00FB35EC">
        <w:trPr>
          <w:trHeight w:val="1845"/>
        </w:trPr>
        <w:tc>
          <w:tcPr>
            <w:tcW w:w="2098" w:type="dxa"/>
            <w:vAlign w:val="center"/>
          </w:tcPr>
          <w:p w14:paraId="281A3E4F" w14:textId="77777777" w:rsidR="006764D3" w:rsidRPr="006764D3" w:rsidRDefault="006764D3" w:rsidP="00563A54">
            <w:pPr>
              <w:pStyle w:val="ListParagraph"/>
              <w:numPr>
                <w:ilvl w:val="0"/>
                <w:numId w:val="940"/>
              </w:numPr>
              <w:ind w:left="360"/>
              <w:rPr>
                <w:sz w:val="20"/>
                <w:szCs w:val="20"/>
              </w:rPr>
            </w:pPr>
            <w:r w:rsidRPr="006764D3">
              <w:rPr>
                <w:rFonts w:eastAsia="Times New Roman"/>
                <w:sz w:val="18"/>
                <w:szCs w:val="18"/>
              </w:rPr>
              <w:t>Chlorobenzene</w:t>
            </w:r>
          </w:p>
        </w:tc>
        <w:tc>
          <w:tcPr>
            <w:tcW w:w="1060" w:type="dxa"/>
            <w:vAlign w:val="center"/>
          </w:tcPr>
          <w:p w14:paraId="281A3E50" w14:textId="77777777" w:rsidR="006764D3" w:rsidRDefault="006764D3" w:rsidP="006764D3">
            <w:pPr>
              <w:jc w:val="center"/>
              <w:rPr>
                <w:sz w:val="20"/>
                <w:szCs w:val="20"/>
              </w:rPr>
            </w:pPr>
            <w:r>
              <w:rPr>
                <w:rFonts w:eastAsia="Times New Roman"/>
                <w:sz w:val="18"/>
                <w:szCs w:val="18"/>
              </w:rPr>
              <w:t>0.1 mg/l</w:t>
            </w:r>
          </w:p>
        </w:tc>
        <w:tc>
          <w:tcPr>
            <w:tcW w:w="1360" w:type="dxa"/>
            <w:vAlign w:val="center"/>
          </w:tcPr>
          <w:p w14:paraId="281A3E51" w14:textId="77777777" w:rsidR="006764D3" w:rsidRDefault="006764D3" w:rsidP="006764D3">
            <w:pPr>
              <w:jc w:val="center"/>
              <w:rPr>
                <w:sz w:val="20"/>
                <w:szCs w:val="20"/>
              </w:rPr>
            </w:pPr>
            <w:r>
              <w:rPr>
                <w:rFonts w:eastAsia="Times New Roman"/>
                <w:sz w:val="18"/>
                <w:szCs w:val="18"/>
              </w:rPr>
              <w:t>1000</w:t>
            </w:r>
          </w:p>
        </w:tc>
        <w:tc>
          <w:tcPr>
            <w:tcW w:w="900" w:type="dxa"/>
            <w:vAlign w:val="center"/>
          </w:tcPr>
          <w:p w14:paraId="281A3E52" w14:textId="77777777" w:rsidR="006764D3" w:rsidRDefault="006764D3" w:rsidP="006764D3">
            <w:pPr>
              <w:jc w:val="center"/>
              <w:rPr>
                <w:sz w:val="20"/>
                <w:szCs w:val="20"/>
              </w:rPr>
            </w:pPr>
            <w:r>
              <w:rPr>
                <w:rFonts w:eastAsia="Times New Roman"/>
                <w:sz w:val="18"/>
                <w:szCs w:val="18"/>
              </w:rPr>
              <w:t>100 ppb</w:t>
            </w:r>
          </w:p>
        </w:tc>
        <w:tc>
          <w:tcPr>
            <w:tcW w:w="980" w:type="dxa"/>
            <w:vAlign w:val="center"/>
          </w:tcPr>
          <w:p w14:paraId="281A3E53" w14:textId="77777777" w:rsidR="006764D3" w:rsidRDefault="006764D3" w:rsidP="006764D3">
            <w:pPr>
              <w:jc w:val="center"/>
              <w:rPr>
                <w:sz w:val="20"/>
                <w:szCs w:val="20"/>
              </w:rPr>
            </w:pPr>
            <w:r>
              <w:rPr>
                <w:rFonts w:eastAsia="Times New Roman"/>
                <w:sz w:val="18"/>
                <w:szCs w:val="18"/>
              </w:rPr>
              <w:t>100 ppb</w:t>
            </w:r>
          </w:p>
        </w:tc>
        <w:tc>
          <w:tcPr>
            <w:tcW w:w="1860" w:type="dxa"/>
          </w:tcPr>
          <w:p w14:paraId="281A3E54" w14:textId="023461B7" w:rsidR="006764D3" w:rsidRPr="006764D3" w:rsidRDefault="006764D3" w:rsidP="006764D3">
            <w:pPr>
              <w:spacing w:line="329" w:lineRule="auto"/>
              <w:ind w:left="43"/>
              <w:rPr>
                <w:rFonts w:eastAsia="Times New Roman"/>
                <w:sz w:val="18"/>
                <w:szCs w:val="18"/>
              </w:rPr>
            </w:pPr>
            <w:r>
              <w:rPr>
                <w:rFonts w:eastAsia="Times New Roman"/>
                <w:sz w:val="18"/>
                <w:szCs w:val="18"/>
              </w:rPr>
              <w:t>Discharge from chemical and agricultural chemical factories</w:t>
            </w:r>
          </w:p>
        </w:tc>
        <w:tc>
          <w:tcPr>
            <w:tcW w:w="2442" w:type="dxa"/>
            <w:gridSpan w:val="2"/>
          </w:tcPr>
          <w:p w14:paraId="281A3E55" w14:textId="46E6C8C1" w:rsidR="006764D3" w:rsidRPr="006764D3" w:rsidRDefault="006764D3" w:rsidP="006764D3">
            <w:pPr>
              <w:spacing w:line="329" w:lineRule="auto"/>
              <w:ind w:left="43"/>
              <w:rPr>
                <w:rFonts w:eastAsia="Times New Roman"/>
                <w:sz w:val="18"/>
                <w:szCs w:val="18"/>
              </w:rPr>
            </w:pPr>
            <w:r>
              <w:rPr>
                <w:rFonts w:eastAsia="Times New Roman"/>
                <w:sz w:val="18"/>
                <w:szCs w:val="18"/>
              </w:rPr>
              <w:t>Some people who drink water containing chlorobenzene in excess of the MCL over many years could experience problems with their liver or kidneys.</w:t>
            </w:r>
          </w:p>
        </w:tc>
      </w:tr>
      <w:tr w:rsidR="006764D3" w14:paraId="281A3E9B" w14:textId="77777777" w:rsidTr="00FB35EC">
        <w:trPr>
          <w:trHeight w:val="2404"/>
        </w:trPr>
        <w:tc>
          <w:tcPr>
            <w:tcW w:w="2098" w:type="dxa"/>
            <w:vAlign w:val="center"/>
          </w:tcPr>
          <w:p w14:paraId="281A3E94" w14:textId="77777777" w:rsidR="006764D3" w:rsidRPr="006764D3" w:rsidRDefault="006764D3" w:rsidP="00563A54">
            <w:pPr>
              <w:pStyle w:val="ListParagraph"/>
              <w:numPr>
                <w:ilvl w:val="0"/>
                <w:numId w:val="940"/>
              </w:numPr>
              <w:ind w:left="360"/>
              <w:rPr>
                <w:sz w:val="20"/>
                <w:szCs w:val="20"/>
              </w:rPr>
            </w:pPr>
            <w:r w:rsidRPr="006764D3">
              <w:rPr>
                <w:rFonts w:eastAsia="Times New Roman"/>
                <w:sz w:val="18"/>
                <w:szCs w:val="18"/>
              </w:rPr>
              <w:t>o-Dichlorobenzene</w:t>
            </w:r>
          </w:p>
        </w:tc>
        <w:tc>
          <w:tcPr>
            <w:tcW w:w="1060" w:type="dxa"/>
            <w:vAlign w:val="center"/>
          </w:tcPr>
          <w:p w14:paraId="281A3E95" w14:textId="77777777" w:rsidR="006764D3" w:rsidRDefault="006764D3" w:rsidP="006764D3">
            <w:pPr>
              <w:jc w:val="center"/>
              <w:rPr>
                <w:sz w:val="20"/>
                <w:szCs w:val="20"/>
              </w:rPr>
            </w:pPr>
            <w:r>
              <w:rPr>
                <w:rFonts w:eastAsia="Times New Roman"/>
                <w:sz w:val="18"/>
                <w:szCs w:val="18"/>
              </w:rPr>
              <w:t>0.6 mg/l</w:t>
            </w:r>
          </w:p>
        </w:tc>
        <w:tc>
          <w:tcPr>
            <w:tcW w:w="1360" w:type="dxa"/>
            <w:vAlign w:val="center"/>
          </w:tcPr>
          <w:p w14:paraId="281A3E96" w14:textId="77777777" w:rsidR="006764D3" w:rsidRDefault="006764D3" w:rsidP="006764D3">
            <w:pPr>
              <w:jc w:val="center"/>
              <w:rPr>
                <w:sz w:val="20"/>
                <w:szCs w:val="20"/>
              </w:rPr>
            </w:pPr>
            <w:r>
              <w:rPr>
                <w:rFonts w:eastAsia="Times New Roman"/>
                <w:sz w:val="18"/>
                <w:szCs w:val="18"/>
              </w:rPr>
              <w:t>1000</w:t>
            </w:r>
          </w:p>
        </w:tc>
        <w:tc>
          <w:tcPr>
            <w:tcW w:w="900" w:type="dxa"/>
            <w:vAlign w:val="center"/>
          </w:tcPr>
          <w:p w14:paraId="281A3E97" w14:textId="77777777" w:rsidR="006764D3" w:rsidRDefault="006764D3" w:rsidP="006764D3">
            <w:pPr>
              <w:jc w:val="center"/>
              <w:rPr>
                <w:sz w:val="20"/>
                <w:szCs w:val="20"/>
              </w:rPr>
            </w:pPr>
            <w:r>
              <w:rPr>
                <w:rFonts w:eastAsia="Times New Roman"/>
                <w:sz w:val="18"/>
                <w:szCs w:val="18"/>
              </w:rPr>
              <w:t>600 ppb</w:t>
            </w:r>
          </w:p>
        </w:tc>
        <w:tc>
          <w:tcPr>
            <w:tcW w:w="980" w:type="dxa"/>
            <w:vAlign w:val="center"/>
          </w:tcPr>
          <w:p w14:paraId="281A3E98" w14:textId="77777777" w:rsidR="006764D3" w:rsidRDefault="006764D3" w:rsidP="006764D3">
            <w:pPr>
              <w:jc w:val="center"/>
              <w:rPr>
                <w:sz w:val="20"/>
                <w:szCs w:val="20"/>
              </w:rPr>
            </w:pPr>
            <w:r>
              <w:rPr>
                <w:rFonts w:eastAsia="Times New Roman"/>
                <w:sz w:val="18"/>
                <w:szCs w:val="18"/>
              </w:rPr>
              <w:t>600 ppb</w:t>
            </w:r>
          </w:p>
        </w:tc>
        <w:tc>
          <w:tcPr>
            <w:tcW w:w="1860" w:type="dxa"/>
          </w:tcPr>
          <w:p w14:paraId="281A3E99" w14:textId="3C9D0D8D" w:rsidR="006764D3" w:rsidRPr="006764D3" w:rsidRDefault="006764D3" w:rsidP="006764D3">
            <w:pPr>
              <w:spacing w:line="329" w:lineRule="auto"/>
              <w:ind w:left="43"/>
              <w:rPr>
                <w:rFonts w:eastAsia="Times New Roman"/>
                <w:sz w:val="18"/>
                <w:szCs w:val="18"/>
              </w:rPr>
            </w:pPr>
            <w:r>
              <w:rPr>
                <w:rFonts w:eastAsia="Times New Roman"/>
                <w:sz w:val="18"/>
                <w:szCs w:val="18"/>
              </w:rPr>
              <w:t>Discharge from industrial chemical factories</w:t>
            </w:r>
          </w:p>
        </w:tc>
        <w:tc>
          <w:tcPr>
            <w:tcW w:w="2442" w:type="dxa"/>
            <w:gridSpan w:val="2"/>
          </w:tcPr>
          <w:p w14:paraId="281A3E9A" w14:textId="63C1445A" w:rsidR="006764D3" w:rsidRPr="006764D3" w:rsidRDefault="006764D3" w:rsidP="006764D3">
            <w:pPr>
              <w:spacing w:line="329" w:lineRule="auto"/>
              <w:ind w:left="43"/>
              <w:rPr>
                <w:rFonts w:eastAsia="Times New Roman"/>
                <w:sz w:val="18"/>
                <w:szCs w:val="18"/>
              </w:rPr>
            </w:pPr>
            <w:r>
              <w:rPr>
                <w:rFonts w:eastAsia="Times New Roman"/>
                <w:sz w:val="18"/>
                <w:szCs w:val="18"/>
              </w:rPr>
              <w:t>Some people who drink water containing o-dichlorobenzene well in excess of the MCL over many years could experience problems with their liver, kidneys, or circulatory systems.</w:t>
            </w:r>
          </w:p>
        </w:tc>
      </w:tr>
      <w:tr w:rsidR="006764D3" w14:paraId="281A3EF4" w14:textId="77777777" w:rsidTr="00FB35EC">
        <w:trPr>
          <w:trHeight w:val="2682"/>
        </w:trPr>
        <w:tc>
          <w:tcPr>
            <w:tcW w:w="2098" w:type="dxa"/>
            <w:vAlign w:val="center"/>
          </w:tcPr>
          <w:p w14:paraId="281A3EED" w14:textId="77777777" w:rsidR="006764D3" w:rsidRPr="006764D3" w:rsidRDefault="006764D3" w:rsidP="00563A54">
            <w:pPr>
              <w:pStyle w:val="ListParagraph"/>
              <w:numPr>
                <w:ilvl w:val="0"/>
                <w:numId w:val="940"/>
              </w:numPr>
              <w:ind w:left="360"/>
              <w:rPr>
                <w:sz w:val="20"/>
                <w:szCs w:val="20"/>
              </w:rPr>
            </w:pPr>
            <w:r w:rsidRPr="006764D3">
              <w:rPr>
                <w:rFonts w:eastAsia="Times New Roman"/>
                <w:sz w:val="18"/>
                <w:szCs w:val="18"/>
              </w:rPr>
              <w:t>p-Dichlorobenzene</w:t>
            </w:r>
          </w:p>
        </w:tc>
        <w:tc>
          <w:tcPr>
            <w:tcW w:w="1060" w:type="dxa"/>
            <w:vAlign w:val="center"/>
          </w:tcPr>
          <w:p w14:paraId="281A3EEE" w14:textId="77777777" w:rsidR="006764D3" w:rsidRDefault="006764D3" w:rsidP="006764D3">
            <w:pPr>
              <w:jc w:val="center"/>
              <w:rPr>
                <w:sz w:val="20"/>
                <w:szCs w:val="20"/>
              </w:rPr>
            </w:pPr>
            <w:r>
              <w:rPr>
                <w:rFonts w:eastAsia="Times New Roman"/>
                <w:sz w:val="18"/>
                <w:szCs w:val="18"/>
              </w:rPr>
              <w:t>0.005 mg/l</w:t>
            </w:r>
          </w:p>
        </w:tc>
        <w:tc>
          <w:tcPr>
            <w:tcW w:w="1360" w:type="dxa"/>
            <w:vAlign w:val="center"/>
          </w:tcPr>
          <w:p w14:paraId="281A3EEF" w14:textId="77777777" w:rsidR="006764D3" w:rsidRDefault="006764D3" w:rsidP="006764D3">
            <w:pPr>
              <w:jc w:val="center"/>
              <w:rPr>
                <w:sz w:val="20"/>
                <w:szCs w:val="20"/>
              </w:rPr>
            </w:pPr>
            <w:r>
              <w:rPr>
                <w:rFonts w:eastAsia="Times New Roman"/>
                <w:sz w:val="18"/>
                <w:szCs w:val="18"/>
              </w:rPr>
              <w:t>1000</w:t>
            </w:r>
          </w:p>
        </w:tc>
        <w:tc>
          <w:tcPr>
            <w:tcW w:w="900" w:type="dxa"/>
            <w:vAlign w:val="center"/>
          </w:tcPr>
          <w:p w14:paraId="281A3EF0" w14:textId="77777777" w:rsidR="006764D3" w:rsidRDefault="006764D3" w:rsidP="006764D3">
            <w:pPr>
              <w:jc w:val="center"/>
              <w:rPr>
                <w:sz w:val="20"/>
                <w:szCs w:val="20"/>
              </w:rPr>
            </w:pPr>
            <w:r>
              <w:rPr>
                <w:rFonts w:eastAsia="Times New Roman"/>
                <w:sz w:val="18"/>
                <w:szCs w:val="18"/>
              </w:rPr>
              <w:t>5 ppb</w:t>
            </w:r>
          </w:p>
        </w:tc>
        <w:tc>
          <w:tcPr>
            <w:tcW w:w="980" w:type="dxa"/>
            <w:vAlign w:val="center"/>
          </w:tcPr>
          <w:p w14:paraId="281A3EF1" w14:textId="77777777" w:rsidR="006764D3" w:rsidRDefault="006764D3" w:rsidP="006764D3">
            <w:pPr>
              <w:jc w:val="center"/>
              <w:rPr>
                <w:sz w:val="20"/>
                <w:szCs w:val="20"/>
              </w:rPr>
            </w:pPr>
            <w:r>
              <w:rPr>
                <w:rFonts w:eastAsia="Times New Roman"/>
                <w:sz w:val="18"/>
                <w:szCs w:val="18"/>
              </w:rPr>
              <w:t>5 ppb</w:t>
            </w:r>
          </w:p>
        </w:tc>
        <w:tc>
          <w:tcPr>
            <w:tcW w:w="1860" w:type="dxa"/>
          </w:tcPr>
          <w:p w14:paraId="281A3EF2" w14:textId="258A1202" w:rsidR="006764D3" w:rsidRPr="006764D3" w:rsidRDefault="006764D3" w:rsidP="006764D3">
            <w:pPr>
              <w:spacing w:line="329" w:lineRule="auto"/>
              <w:ind w:left="43"/>
              <w:rPr>
                <w:rFonts w:eastAsia="Times New Roman"/>
                <w:sz w:val="18"/>
                <w:szCs w:val="18"/>
              </w:rPr>
            </w:pPr>
            <w:r>
              <w:rPr>
                <w:rFonts w:eastAsia="Times New Roman"/>
                <w:sz w:val="18"/>
                <w:szCs w:val="18"/>
              </w:rPr>
              <w:t>Discharge from industrial chemical factories</w:t>
            </w:r>
          </w:p>
        </w:tc>
        <w:tc>
          <w:tcPr>
            <w:tcW w:w="2442" w:type="dxa"/>
            <w:gridSpan w:val="2"/>
          </w:tcPr>
          <w:p w14:paraId="281A3EF3" w14:textId="4E13D9BC" w:rsidR="006764D3" w:rsidRPr="006764D3" w:rsidRDefault="006764D3" w:rsidP="006764D3">
            <w:pPr>
              <w:spacing w:line="329" w:lineRule="auto"/>
              <w:ind w:left="43"/>
              <w:rPr>
                <w:rFonts w:eastAsia="Times New Roman"/>
                <w:sz w:val="18"/>
                <w:szCs w:val="18"/>
              </w:rPr>
            </w:pPr>
            <w:r>
              <w:rPr>
                <w:rFonts w:eastAsia="Times New Roman"/>
                <w:sz w:val="18"/>
                <w:szCs w:val="18"/>
              </w:rPr>
              <w:t>Some people who drink water containing p-dichlorobenzene in excess of the MCL over many years could experience anemia, damage to their liver, kidneys, or spleen, or changes in their blood.</w:t>
            </w:r>
          </w:p>
        </w:tc>
      </w:tr>
      <w:tr w:rsidR="006764D3" w14:paraId="281A3F57" w14:textId="77777777" w:rsidTr="00FB35EC">
        <w:trPr>
          <w:trHeight w:val="2107"/>
        </w:trPr>
        <w:tc>
          <w:tcPr>
            <w:tcW w:w="2098" w:type="dxa"/>
            <w:vAlign w:val="center"/>
          </w:tcPr>
          <w:p w14:paraId="281A3F50" w14:textId="77777777" w:rsidR="006764D3" w:rsidRPr="006764D3" w:rsidRDefault="006764D3" w:rsidP="00563A54">
            <w:pPr>
              <w:pStyle w:val="ListParagraph"/>
              <w:numPr>
                <w:ilvl w:val="0"/>
                <w:numId w:val="940"/>
              </w:numPr>
              <w:ind w:left="360"/>
              <w:rPr>
                <w:sz w:val="20"/>
                <w:szCs w:val="20"/>
              </w:rPr>
            </w:pPr>
            <w:r w:rsidRPr="006764D3">
              <w:rPr>
                <w:rFonts w:eastAsia="Times New Roman"/>
                <w:sz w:val="18"/>
                <w:szCs w:val="18"/>
              </w:rPr>
              <w:t>1,2-Dichloroethane</w:t>
            </w:r>
          </w:p>
        </w:tc>
        <w:tc>
          <w:tcPr>
            <w:tcW w:w="1060" w:type="dxa"/>
            <w:vAlign w:val="center"/>
          </w:tcPr>
          <w:p w14:paraId="281A3F51" w14:textId="77777777" w:rsidR="006764D3" w:rsidRDefault="006764D3" w:rsidP="006764D3">
            <w:pPr>
              <w:jc w:val="center"/>
              <w:rPr>
                <w:sz w:val="20"/>
                <w:szCs w:val="20"/>
              </w:rPr>
            </w:pPr>
            <w:r>
              <w:rPr>
                <w:rFonts w:eastAsia="Times New Roman"/>
                <w:sz w:val="18"/>
                <w:szCs w:val="18"/>
              </w:rPr>
              <w:t>0.005 mg/l</w:t>
            </w:r>
          </w:p>
        </w:tc>
        <w:tc>
          <w:tcPr>
            <w:tcW w:w="1360" w:type="dxa"/>
            <w:vAlign w:val="center"/>
          </w:tcPr>
          <w:p w14:paraId="281A3F52" w14:textId="77777777" w:rsidR="006764D3" w:rsidRDefault="006764D3" w:rsidP="006764D3">
            <w:pPr>
              <w:jc w:val="center"/>
              <w:rPr>
                <w:sz w:val="20"/>
                <w:szCs w:val="20"/>
              </w:rPr>
            </w:pPr>
            <w:r>
              <w:rPr>
                <w:rFonts w:eastAsia="Times New Roman"/>
                <w:sz w:val="18"/>
                <w:szCs w:val="18"/>
              </w:rPr>
              <w:t>1000</w:t>
            </w:r>
          </w:p>
        </w:tc>
        <w:tc>
          <w:tcPr>
            <w:tcW w:w="900" w:type="dxa"/>
            <w:vAlign w:val="center"/>
          </w:tcPr>
          <w:p w14:paraId="281A3F53" w14:textId="77777777" w:rsidR="006764D3" w:rsidRDefault="006764D3" w:rsidP="006764D3">
            <w:pPr>
              <w:jc w:val="center"/>
              <w:rPr>
                <w:sz w:val="20"/>
                <w:szCs w:val="20"/>
              </w:rPr>
            </w:pPr>
            <w:r>
              <w:rPr>
                <w:rFonts w:eastAsia="Times New Roman"/>
                <w:sz w:val="18"/>
                <w:szCs w:val="18"/>
              </w:rPr>
              <w:t>5 ppb</w:t>
            </w:r>
          </w:p>
        </w:tc>
        <w:tc>
          <w:tcPr>
            <w:tcW w:w="980" w:type="dxa"/>
            <w:vAlign w:val="center"/>
          </w:tcPr>
          <w:p w14:paraId="281A3F54" w14:textId="77777777" w:rsidR="006764D3" w:rsidRDefault="006764D3" w:rsidP="006764D3">
            <w:pPr>
              <w:jc w:val="center"/>
              <w:rPr>
                <w:sz w:val="20"/>
                <w:szCs w:val="20"/>
              </w:rPr>
            </w:pPr>
            <w:r>
              <w:rPr>
                <w:rFonts w:eastAsia="Times New Roman"/>
                <w:sz w:val="18"/>
                <w:szCs w:val="18"/>
              </w:rPr>
              <w:t>0</w:t>
            </w:r>
          </w:p>
        </w:tc>
        <w:tc>
          <w:tcPr>
            <w:tcW w:w="1860" w:type="dxa"/>
          </w:tcPr>
          <w:p w14:paraId="281A3F55" w14:textId="721B78BA" w:rsidR="006764D3" w:rsidRPr="006764D3" w:rsidRDefault="006764D3" w:rsidP="006764D3">
            <w:pPr>
              <w:spacing w:line="329" w:lineRule="auto"/>
              <w:ind w:left="43"/>
              <w:rPr>
                <w:rFonts w:eastAsia="Times New Roman"/>
                <w:sz w:val="18"/>
                <w:szCs w:val="18"/>
              </w:rPr>
            </w:pPr>
            <w:r>
              <w:rPr>
                <w:rFonts w:eastAsia="Times New Roman"/>
                <w:sz w:val="18"/>
                <w:szCs w:val="18"/>
              </w:rPr>
              <w:t>Discharge from industrial chemical factories</w:t>
            </w:r>
          </w:p>
        </w:tc>
        <w:tc>
          <w:tcPr>
            <w:tcW w:w="2442" w:type="dxa"/>
            <w:gridSpan w:val="2"/>
          </w:tcPr>
          <w:p w14:paraId="281A3F56" w14:textId="11948CCC" w:rsidR="006764D3" w:rsidRPr="006764D3" w:rsidRDefault="006764D3" w:rsidP="006764D3">
            <w:pPr>
              <w:spacing w:line="329" w:lineRule="auto"/>
              <w:ind w:left="43"/>
              <w:rPr>
                <w:rFonts w:eastAsia="Times New Roman"/>
                <w:sz w:val="18"/>
                <w:szCs w:val="18"/>
              </w:rPr>
            </w:pPr>
            <w:r>
              <w:rPr>
                <w:rFonts w:eastAsia="Times New Roman"/>
                <w:sz w:val="18"/>
                <w:szCs w:val="18"/>
              </w:rPr>
              <w:t>Some people who drink water containing 1,2-dichloroethane in excess of the MCL over many years may have an increased risk of getting cancer.</w:t>
            </w:r>
          </w:p>
        </w:tc>
      </w:tr>
    </w:tbl>
    <w:p w14:paraId="281A3F9E" w14:textId="77777777" w:rsidR="004647B9" w:rsidRDefault="004647B9">
      <w:pPr>
        <w:sectPr w:rsidR="004647B9" w:rsidSect="00EF630C">
          <w:pgSz w:w="12240" w:h="20180"/>
          <w:pgMar w:top="708" w:right="940" w:bottom="1440" w:left="600" w:header="0" w:footer="0" w:gutter="0"/>
          <w:cols w:space="720"/>
        </w:sectPr>
      </w:pPr>
    </w:p>
    <w:p w14:paraId="281A3F9F" w14:textId="77777777" w:rsidR="004647B9" w:rsidRDefault="00E2436F">
      <w:pPr>
        <w:tabs>
          <w:tab w:val="left" w:pos="2860"/>
        </w:tabs>
        <w:ind w:left="1680"/>
        <w:rPr>
          <w:sz w:val="20"/>
          <w:szCs w:val="20"/>
        </w:rPr>
      </w:pPr>
      <w:bookmarkStart w:id="234" w:name="page236"/>
      <w:bookmarkEnd w:id="23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3FA0" w14:textId="77777777" w:rsidR="004647B9" w:rsidRDefault="004647B9" w:rsidP="00A25175">
      <w:pPr>
        <w:rPr>
          <w:sz w:val="20"/>
          <w:szCs w:val="20"/>
        </w:rPr>
      </w:pPr>
    </w:p>
    <w:p w14:paraId="2AD3E2A9" w14:textId="77777777" w:rsidR="00A25175" w:rsidRDefault="00A25175" w:rsidP="00A25175">
      <w:pPr>
        <w:rPr>
          <w:sz w:val="20"/>
          <w:szCs w:val="20"/>
        </w:rPr>
      </w:pPr>
    </w:p>
    <w:p w14:paraId="281A3FA1" w14:textId="77777777" w:rsidR="004647B9" w:rsidRPr="00A25175" w:rsidRDefault="00E2436F" w:rsidP="00A25175">
      <w:pPr>
        <w:tabs>
          <w:tab w:val="left" w:pos="940"/>
        </w:tabs>
        <w:rPr>
          <w:sz w:val="24"/>
          <w:szCs w:val="24"/>
        </w:rPr>
      </w:pPr>
      <w:r w:rsidRPr="00A25175">
        <w:rPr>
          <w:rFonts w:eastAsia="Times New Roman"/>
          <w:sz w:val="24"/>
          <w:szCs w:val="24"/>
        </w:rPr>
        <w:t>22.16A:</w:t>
      </w:r>
      <w:r w:rsidRPr="00A25175">
        <w:rPr>
          <w:sz w:val="24"/>
          <w:szCs w:val="24"/>
        </w:rPr>
        <w:tab/>
      </w:r>
      <w:r w:rsidRPr="00A25175">
        <w:rPr>
          <w:rFonts w:eastAsia="Times New Roman"/>
          <w:sz w:val="24"/>
          <w:szCs w:val="24"/>
        </w:rPr>
        <w:t>continued</w:t>
      </w:r>
    </w:p>
    <w:p w14:paraId="281A3FA3" w14:textId="77777777" w:rsidR="004647B9" w:rsidRDefault="004647B9" w:rsidP="00A25175">
      <w:pPr>
        <w:rPr>
          <w:sz w:val="20"/>
          <w:szCs w:val="20"/>
        </w:rPr>
      </w:pPr>
    </w:p>
    <w:tbl>
      <w:tblPr>
        <w:tblW w:w="1070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098"/>
        <w:gridCol w:w="1060"/>
        <w:gridCol w:w="1360"/>
        <w:gridCol w:w="900"/>
        <w:gridCol w:w="980"/>
        <w:gridCol w:w="1860"/>
        <w:gridCol w:w="2434"/>
        <w:gridCol w:w="8"/>
      </w:tblGrid>
      <w:tr w:rsidR="002B2ABD" w14:paraId="281A3FAD" w14:textId="77777777" w:rsidTr="00FB35EC">
        <w:trPr>
          <w:gridAfter w:val="1"/>
          <w:wAfter w:w="8" w:type="dxa"/>
          <w:trHeight w:val="1033"/>
        </w:trPr>
        <w:tc>
          <w:tcPr>
            <w:tcW w:w="2098" w:type="dxa"/>
            <w:vAlign w:val="center"/>
          </w:tcPr>
          <w:p w14:paraId="281A3FA6" w14:textId="1A04DE88" w:rsidR="002B2ABD" w:rsidRDefault="002B2ABD" w:rsidP="002B2ABD">
            <w:pPr>
              <w:jc w:val="center"/>
              <w:rPr>
                <w:sz w:val="24"/>
                <w:szCs w:val="24"/>
              </w:rPr>
            </w:pPr>
            <w:r>
              <w:rPr>
                <w:rFonts w:eastAsia="Times New Roman"/>
                <w:sz w:val="18"/>
                <w:szCs w:val="18"/>
              </w:rPr>
              <w:t>Contaminant</w:t>
            </w:r>
          </w:p>
        </w:tc>
        <w:tc>
          <w:tcPr>
            <w:tcW w:w="1060" w:type="dxa"/>
            <w:vAlign w:val="center"/>
          </w:tcPr>
          <w:p w14:paraId="281A3FA7" w14:textId="0CB18457" w:rsidR="002B2ABD" w:rsidRDefault="002B2ABD" w:rsidP="00580AE3">
            <w:pPr>
              <w:jc w:val="center"/>
              <w:rPr>
                <w:sz w:val="20"/>
                <w:szCs w:val="20"/>
              </w:rPr>
            </w:pPr>
            <w:r>
              <w:rPr>
                <w:rFonts w:eastAsia="Times New Roman"/>
                <w:sz w:val="18"/>
                <w:szCs w:val="18"/>
              </w:rPr>
              <w:t>Traditional</w:t>
            </w:r>
            <w:r w:rsidR="00580AE3">
              <w:rPr>
                <w:rFonts w:eastAsia="Times New Roman"/>
                <w:sz w:val="18"/>
                <w:szCs w:val="18"/>
              </w:rPr>
              <w:t xml:space="preserve"> </w:t>
            </w:r>
            <w:r>
              <w:rPr>
                <w:rFonts w:eastAsia="Times New Roman"/>
                <w:sz w:val="18"/>
                <w:szCs w:val="18"/>
              </w:rPr>
              <w:t>MCL</w:t>
            </w:r>
          </w:p>
        </w:tc>
        <w:tc>
          <w:tcPr>
            <w:tcW w:w="1360" w:type="dxa"/>
            <w:vAlign w:val="center"/>
          </w:tcPr>
          <w:p w14:paraId="281A3FA8" w14:textId="2109EDE8" w:rsidR="002B2ABD" w:rsidRDefault="002B2ABD" w:rsidP="00580AE3">
            <w:pPr>
              <w:jc w:val="center"/>
              <w:rPr>
                <w:sz w:val="20"/>
                <w:szCs w:val="20"/>
              </w:rPr>
            </w:pPr>
            <w:r>
              <w:rPr>
                <w:rFonts w:eastAsia="Times New Roman"/>
                <w:sz w:val="18"/>
                <w:szCs w:val="18"/>
              </w:rPr>
              <w:t>To convert for</w:t>
            </w:r>
            <w:r w:rsidR="00580AE3">
              <w:rPr>
                <w:rFonts w:eastAsia="Times New Roman"/>
                <w:sz w:val="18"/>
                <w:szCs w:val="18"/>
              </w:rPr>
              <w:t xml:space="preserve"> </w:t>
            </w:r>
            <w:r>
              <w:rPr>
                <w:rFonts w:eastAsia="Times New Roman"/>
                <w:sz w:val="18"/>
                <w:szCs w:val="18"/>
              </w:rPr>
              <w:t>CCR, multiply</w:t>
            </w:r>
            <w:r w:rsidR="00580AE3">
              <w:rPr>
                <w:rFonts w:eastAsia="Times New Roman"/>
                <w:sz w:val="18"/>
                <w:szCs w:val="18"/>
              </w:rPr>
              <w:t xml:space="preserve"> </w:t>
            </w:r>
            <w:r>
              <w:rPr>
                <w:rFonts w:eastAsia="Times New Roman"/>
                <w:sz w:val="18"/>
                <w:szCs w:val="18"/>
              </w:rPr>
              <w:t>by</w:t>
            </w:r>
          </w:p>
        </w:tc>
        <w:tc>
          <w:tcPr>
            <w:tcW w:w="900" w:type="dxa"/>
            <w:vAlign w:val="center"/>
          </w:tcPr>
          <w:p w14:paraId="281A3FA9" w14:textId="5E3F85B7" w:rsidR="002B2ABD" w:rsidRDefault="002B2ABD" w:rsidP="002B2ABD">
            <w:pPr>
              <w:jc w:val="center"/>
              <w:rPr>
                <w:sz w:val="20"/>
                <w:szCs w:val="20"/>
              </w:rPr>
            </w:pPr>
            <w:r>
              <w:rPr>
                <w:rFonts w:eastAsia="Times New Roman"/>
                <w:sz w:val="18"/>
                <w:szCs w:val="18"/>
              </w:rPr>
              <w:t>MCL in</w:t>
            </w:r>
            <w:r w:rsidR="00580AE3">
              <w:rPr>
                <w:rFonts w:eastAsia="Times New Roman"/>
                <w:sz w:val="18"/>
                <w:szCs w:val="18"/>
              </w:rPr>
              <w:t xml:space="preserve"> </w:t>
            </w:r>
            <w:r>
              <w:rPr>
                <w:rFonts w:eastAsia="Times New Roman"/>
                <w:sz w:val="18"/>
                <w:szCs w:val="18"/>
              </w:rPr>
              <w:t>CCR</w:t>
            </w:r>
            <w:r w:rsidR="00580AE3">
              <w:rPr>
                <w:rFonts w:eastAsia="Times New Roman"/>
                <w:sz w:val="18"/>
                <w:szCs w:val="18"/>
              </w:rPr>
              <w:t xml:space="preserve"> </w:t>
            </w:r>
            <w:r>
              <w:rPr>
                <w:rFonts w:eastAsia="Times New Roman"/>
                <w:sz w:val="18"/>
                <w:szCs w:val="18"/>
              </w:rPr>
              <w:t>units</w:t>
            </w:r>
          </w:p>
        </w:tc>
        <w:tc>
          <w:tcPr>
            <w:tcW w:w="980" w:type="dxa"/>
            <w:vAlign w:val="center"/>
          </w:tcPr>
          <w:p w14:paraId="281A3FAA" w14:textId="76D38C74" w:rsidR="002B2ABD" w:rsidRDefault="002B2ABD" w:rsidP="00F83B65">
            <w:pPr>
              <w:jc w:val="center"/>
              <w:rPr>
                <w:sz w:val="20"/>
                <w:szCs w:val="20"/>
              </w:rPr>
            </w:pPr>
            <w:r>
              <w:rPr>
                <w:rFonts w:eastAsia="Times New Roman"/>
                <w:sz w:val="18"/>
                <w:szCs w:val="18"/>
              </w:rPr>
              <w:t>MCLG in</w:t>
            </w:r>
            <w:r w:rsidR="00F83B65">
              <w:rPr>
                <w:rFonts w:eastAsia="Times New Roman"/>
                <w:sz w:val="18"/>
                <w:szCs w:val="18"/>
              </w:rPr>
              <w:t xml:space="preserve"> </w:t>
            </w:r>
            <w:r>
              <w:rPr>
                <w:rFonts w:eastAsia="Times New Roman"/>
                <w:sz w:val="18"/>
                <w:szCs w:val="18"/>
              </w:rPr>
              <w:t>CCR units</w:t>
            </w:r>
          </w:p>
        </w:tc>
        <w:tc>
          <w:tcPr>
            <w:tcW w:w="1860" w:type="dxa"/>
            <w:vAlign w:val="center"/>
          </w:tcPr>
          <w:p w14:paraId="281A3FAB" w14:textId="319C01BE" w:rsidR="002B2ABD" w:rsidRDefault="002B2ABD" w:rsidP="00F83B65">
            <w:pPr>
              <w:jc w:val="center"/>
              <w:rPr>
                <w:sz w:val="20"/>
                <w:szCs w:val="20"/>
              </w:rPr>
            </w:pPr>
            <w:r>
              <w:rPr>
                <w:rFonts w:eastAsia="Times New Roman"/>
                <w:sz w:val="18"/>
                <w:szCs w:val="18"/>
              </w:rPr>
              <w:t>Major Sources</w:t>
            </w:r>
            <w:r w:rsidR="00F83B65">
              <w:rPr>
                <w:rFonts w:eastAsia="Times New Roman"/>
                <w:sz w:val="18"/>
                <w:szCs w:val="18"/>
              </w:rPr>
              <w:t xml:space="preserve"> </w:t>
            </w:r>
            <w:r>
              <w:rPr>
                <w:rFonts w:eastAsia="Times New Roman"/>
                <w:sz w:val="18"/>
                <w:szCs w:val="18"/>
              </w:rPr>
              <w:t>in Drinking</w:t>
            </w:r>
            <w:r w:rsidR="00F83B65">
              <w:rPr>
                <w:rFonts w:eastAsia="Times New Roman"/>
                <w:sz w:val="18"/>
                <w:szCs w:val="18"/>
              </w:rPr>
              <w:t xml:space="preserve"> </w:t>
            </w:r>
            <w:r>
              <w:rPr>
                <w:rFonts w:eastAsia="Times New Roman"/>
                <w:w w:val="98"/>
                <w:sz w:val="18"/>
                <w:szCs w:val="18"/>
              </w:rPr>
              <w:t>Water</w:t>
            </w:r>
          </w:p>
        </w:tc>
        <w:tc>
          <w:tcPr>
            <w:tcW w:w="2434" w:type="dxa"/>
            <w:vAlign w:val="center"/>
          </w:tcPr>
          <w:p w14:paraId="281A3FAC" w14:textId="44C11BEA" w:rsidR="002B2ABD" w:rsidRDefault="002B2ABD" w:rsidP="00F83B65">
            <w:pPr>
              <w:jc w:val="center"/>
              <w:rPr>
                <w:sz w:val="20"/>
                <w:szCs w:val="20"/>
              </w:rPr>
            </w:pPr>
            <w:r>
              <w:rPr>
                <w:rFonts w:eastAsia="Times New Roman"/>
                <w:sz w:val="18"/>
                <w:szCs w:val="18"/>
              </w:rPr>
              <w:t>Health Effects</w:t>
            </w:r>
            <w:r w:rsidR="00F83B65">
              <w:rPr>
                <w:rFonts w:eastAsia="Times New Roman"/>
                <w:sz w:val="18"/>
                <w:szCs w:val="18"/>
              </w:rPr>
              <w:t xml:space="preserve"> </w:t>
            </w:r>
            <w:r>
              <w:rPr>
                <w:rFonts w:eastAsia="Times New Roman"/>
                <w:sz w:val="18"/>
                <w:szCs w:val="18"/>
              </w:rPr>
              <w:t>Language</w:t>
            </w:r>
          </w:p>
        </w:tc>
      </w:tr>
      <w:tr w:rsidR="00FB35EC" w14:paraId="281A3FD4" w14:textId="77777777" w:rsidTr="00FB35EC">
        <w:trPr>
          <w:trHeight w:val="2125"/>
        </w:trPr>
        <w:tc>
          <w:tcPr>
            <w:tcW w:w="2098" w:type="dxa"/>
            <w:vAlign w:val="center"/>
          </w:tcPr>
          <w:p w14:paraId="281A3FCD" w14:textId="26B8DC8C" w:rsidR="00FB35EC" w:rsidRPr="00F83B65" w:rsidRDefault="00FB35EC" w:rsidP="00563A54">
            <w:pPr>
              <w:pStyle w:val="ListParagraph"/>
              <w:numPr>
                <w:ilvl w:val="0"/>
                <w:numId w:val="940"/>
              </w:numPr>
              <w:ind w:left="360"/>
              <w:rPr>
                <w:sz w:val="20"/>
                <w:szCs w:val="20"/>
              </w:rPr>
            </w:pPr>
            <w:r w:rsidRPr="00F83B65">
              <w:rPr>
                <w:rFonts w:eastAsia="Times New Roman"/>
                <w:sz w:val="18"/>
                <w:szCs w:val="18"/>
              </w:rPr>
              <w:t>1,1-Dichloroethylene</w:t>
            </w:r>
          </w:p>
        </w:tc>
        <w:tc>
          <w:tcPr>
            <w:tcW w:w="1060" w:type="dxa"/>
            <w:vAlign w:val="center"/>
          </w:tcPr>
          <w:p w14:paraId="281A3FCE" w14:textId="3CCF09D5" w:rsidR="00FB35EC" w:rsidRDefault="00FB35EC" w:rsidP="00F83B65">
            <w:pPr>
              <w:jc w:val="center"/>
              <w:rPr>
                <w:sz w:val="20"/>
                <w:szCs w:val="20"/>
              </w:rPr>
            </w:pPr>
            <w:r>
              <w:rPr>
                <w:rFonts w:eastAsia="Times New Roman"/>
                <w:sz w:val="18"/>
                <w:szCs w:val="18"/>
              </w:rPr>
              <w:t>0.007 mg/l</w:t>
            </w:r>
          </w:p>
        </w:tc>
        <w:tc>
          <w:tcPr>
            <w:tcW w:w="1360" w:type="dxa"/>
            <w:vAlign w:val="center"/>
          </w:tcPr>
          <w:p w14:paraId="281A3FCF" w14:textId="77777777" w:rsidR="00FB35EC" w:rsidRDefault="00FB35EC" w:rsidP="00F83B65">
            <w:pPr>
              <w:jc w:val="center"/>
              <w:rPr>
                <w:sz w:val="20"/>
                <w:szCs w:val="20"/>
              </w:rPr>
            </w:pPr>
            <w:r>
              <w:rPr>
                <w:rFonts w:eastAsia="Times New Roman"/>
                <w:sz w:val="18"/>
                <w:szCs w:val="18"/>
              </w:rPr>
              <w:t>1000</w:t>
            </w:r>
          </w:p>
        </w:tc>
        <w:tc>
          <w:tcPr>
            <w:tcW w:w="900" w:type="dxa"/>
            <w:vAlign w:val="center"/>
          </w:tcPr>
          <w:p w14:paraId="281A3FD0" w14:textId="77777777" w:rsidR="00FB35EC" w:rsidRDefault="00FB35EC" w:rsidP="00F83B65">
            <w:pPr>
              <w:jc w:val="center"/>
              <w:rPr>
                <w:sz w:val="20"/>
                <w:szCs w:val="20"/>
              </w:rPr>
            </w:pPr>
            <w:r>
              <w:rPr>
                <w:rFonts w:eastAsia="Times New Roman"/>
                <w:sz w:val="18"/>
                <w:szCs w:val="18"/>
              </w:rPr>
              <w:t>7 ppb</w:t>
            </w:r>
          </w:p>
        </w:tc>
        <w:tc>
          <w:tcPr>
            <w:tcW w:w="980" w:type="dxa"/>
            <w:vAlign w:val="center"/>
          </w:tcPr>
          <w:p w14:paraId="281A3FD1" w14:textId="77777777" w:rsidR="00FB35EC" w:rsidRDefault="00FB35EC" w:rsidP="00F83B65">
            <w:pPr>
              <w:jc w:val="center"/>
              <w:rPr>
                <w:sz w:val="20"/>
                <w:szCs w:val="20"/>
              </w:rPr>
            </w:pPr>
            <w:r>
              <w:rPr>
                <w:rFonts w:eastAsia="Times New Roman"/>
                <w:sz w:val="18"/>
                <w:szCs w:val="18"/>
              </w:rPr>
              <w:t>7 ppb</w:t>
            </w:r>
          </w:p>
        </w:tc>
        <w:tc>
          <w:tcPr>
            <w:tcW w:w="1860" w:type="dxa"/>
          </w:tcPr>
          <w:p w14:paraId="281A3FD2" w14:textId="396EF2C4" w:rsidR="00FB35EC" w:rsidRPr="00FB35EC" w:rsidRDefault="00FB35EC" w:rsidP="00FB35EC">
            <w:pPr>
              <w:spacing w:line="329" w:lineRule="auto"/>
              <w:ind w:left="43"/>
              <w:rPr>
                <w:rFonts w:eastAsia="Times New Roman"/>
                <w:sz w:val="18"/>
                <w:szCs w:val="18"/>
              </w:rPr>
            </w:pPr>
            <w:r>
              <w:rPr>
                <w:rFonts w:eastAsia="Times New Roman"/>
                <w:sz w:val="18"/>
                <w:szCs w:val="18"/>
              </w:rPr>
              <w:t>Discharge from industrial chemical factories</w:t>
            </w:r>
          </w:p>
        </w:tc>
        <w:tc>
          <w:tcPr>
            <w:tcW w:w="2442" w:type="dxa"/>
            <w:gridSpan w:val="2"/>
          </w:tcPr>
          <w:p w14:paraId="281A3FD3" w14:textId="7DE4AD02" w:rsidR="00FB35EC" w:rsidRPr="00FB35EC" w:rsidRDefault="00FB35EC" w:rsidP="00FB35EC">
            <w:pPr>
              <w:spacing w:line="329" w:lineRule="auto"/>
              <w:ind w:left="43"/>
              <w:rPr>
                <w:rFonts w:eastAsia="Times New Roman"/>
                <w:sz w:val="18"/>
                <w:szCs w:val="18"/>
              </w:rPr>
            </w:pPr>
            <w:r>
              <w:rPr>
                <w:rFonts w:eastAsia="Times New Roman"/>
                <w:sz w:val="18"/>
                <w:szCs w:val="18"/>
              </w:rPr>
              <w:t>Some people who drink water containing 1,1-dichloroethylene in excess of the MCL over many years could experience problems with their liver.</w:t>
            </w:r>
          </w:p>
        </w:tc>
      </w:tr>
      <w:tr w:rsidR="00FB35EC" w14:paraId="281A4021" w14:textId="77777777" w:rsidTr="00FB35EC">
        <w:trPr>
          <w:trHeight w:val="2123"/>
        </w:trPr>
        <w:tc>
          <w:tcPr>
            <w:tcW w:w="2098" w:type="dxa"/>
            <w:vAlign w:val="center"/>
          </w:tcPr>
          <w:p w14:paraId="281A401A" w14:textId="32DA3651" w:rsidR="00FB35EC" w:rsidRPr="00FB35EC" w:rsidRDefault="00FB35EC" w:rsidP="00563A54">
            <w:pPr>
              <w:pStyle w:val="ListParagraph"/>
              <w:numPr>
                <w:ilvl w:val="0"/>
                <w:numId w:val="940"/>
              </w:numPr>
              <w:ind w:left="360"/>
              <w:rPr>
                <w:sz w:val="20"/>
                <w:szCs w:val="20"/>
              </w:rPr>
            </w:pPr>
            <w:r w:rsidRPr="00FB35EC">
              <w:rPr>
                <w:rFonts w:eastAsia="Times New Roman"/>
                <w:sz w:val="18"/>
                <w:szCs w:val="18"/>
              </w:rPr>
              <w:t>cis-1,2-Dichloroethylene</w:t>
            </w:r>
          </w:p>
        </w:tc>
        <w:tc>
          <w:tcPr>
            <w:tcW w:w="1060" w:type="dxa"/>
            <w:vAlign w:val="center"/>
          </w:tcPr>
          <w:p w14:paraId="281A401B" w14:textId="77777777" w:rsidR="00FB35EC" w:rsidRDefault="00FB35EC" w:rsidP="00FB35EC">
            <w:pPr>
              <w:jc w:val="center"/>
              <w:rPr>
                <w:sz w:val="20"/>
                <w:szCs w:val="20"/>
              </w:rPr>
            </w:pPr>
            <w:r>
              <w:rPr>
                <w:rFonts w:eastAsia="Times New Roman"/>
                <w:sz w:val="18"/>
                <w:szCs w:val="18"/>
              </w:rPr>
              <w:t>0.07 mg/l</w:t>
            </w:r>
          </w:p>
        </w:tc>
        <w:tc>
          <w:tcPr>
            <w:tcW w:w="1360" w:type="dxa"/>
            <w:vAlign w:val="center"/>
          </w:tcPr>
          <w:p w14:paraId="281A401C" w14:textId="77777777" w:rsidR="00FB35EC" w:rsidRDefault="00FB35EC" w:rsidP="00FB35EC">
            <w:pPr>
              <w:jc w:val="center"/>
              <w:rPr>
                <w:sz w:val="20"/>
                <w:szCs w:val="20"/>
              </w:rPr>
            </w:pPr>
            <w:r>
              <w:rPr>
                <w:rFonts w:eastAsia="Times New Roman"/>
                <w:sz w:val="18"/>
                <w:szCs w:val="18"/>
              </w:rPr>
              <w:t>1000</w:t>
            </w:r>
          </w:p>
        </w:tc>
        <w:tc>
          <w:tcPr>
            <w:tcW w:w="900" w:type="dxa"/>
            <w:vAlign w:val="center"/>
          </w:tcPr>
          <w:p w14:paraId="281A401D" w14:textId="77777777" w:rsidR="00FB35EC" w:rsidRDefault="00FB35EC" w:rsidP="00FB35EC">
            <w:pPr>
              <w:jc w:val="center"/>
              <w:rPr>
                <w:sz w:val="20"/>
                <w:szCs w:val="20"/>
              </w:rPr>
            </w:pPr>
            <w:r>
              <w:rPr>
                <w:rFonts w:eastAsia="Times New Roman"/>
                <w:sz w:val="18"/>
                <w:szCs w:val="18"/>
              </w:rPr>
              <w:t>70 ppb</w:t>
            </w:r>
          </w:p>
        </w:tc>
        <w:tc>
          <w:tcPr>
            <w:tcW w:w="980" w:type="dxa"/>
            <w:vAlign w:val="center"/>
          </w:tcPr>
          <w:p w14:paraId="281A401E" w14:textId="77777777" w:rsidR="00FB35EC" w:rsidRDefault="00FB35EC" w:rsidP="00FB35EC">
            <w:pPr>
              <w:jc w:val="center"/>
              <w:rPr>
                <w:sz w:val="20"/>
                <w:szCs w:val="20"/>
              </w:rPr>
            </w:pPr>
            <w:r>
              <w:rPr>
                <w:rFonts w:eastAsia="Times New Roman"/>
                <w:sz w:val="18"/>
                <w:szCs w:val="18"/>
              </w:rPr>
              <w:t>70 ppb</w:t>
            </w:r>
          </w:p>
        </w:tc>
        <w:tc>
          <w:tcPr>
            <w:tcW w:w="1860" w:type="dxa"/>
          </w:tcPr>
          <w:p w14:paraId="281A401F" w14:textId="00A3D17A" w:rsidR="00FB35EC" w:rsidRPr="00FB35EC" w:rsidRDefault="00FB35EC" w:rsidP="00FB35EC">
            <w:pPr>
              <w:spacing w:line="329" w:lineRule="auto"/>
              <w:ind w:left="43"/>
              <w:rPr>
                <w:rFonts w:eastAsia="Times New Roman"/>
                <w:sz w:val="18"/>
                <w:szCs w:val="18"/>
              </w:rPr>
            </w:pPr>
            <w:r>
              <w:rPr>
                <w:rFonts w:eastAsia="Times New Roman"/>
                <w:sz w:val="18"/>
                <w:szCs w:val="18"/>
              </w:rPr>
              <w:t>Discharge from industrial chemical factories</w:t>
            </w:r>
          </w:p>
        </w:tc>
        <w:tc>
          <w:tcPr>
            <w:tcW w:w="2442" w:type="dxa"/>
            <w:gridSpan w:val="2"/>
          </w:tcPr>
          <w:p w14:paraId="281A4020" w14:textId="740AFB66" w:rsidR="00FB35EC" w:rsidRPr="00FB35EC" w:rsidRDefault="00FB35EC" w:rsidP="00FB35EC">
            <w:pPr>
              <w:spacing w:line="329" w:lineRule="auto"/>
              <w:ind w:left="43"/>
              <w:rPr>
                <w:rFonts w:eastAsia="Times New Roman"/>
                <w:sz w:val="18"/>
                <w:szCs w:val="18"/>
              </w:rPr>
            </w:pPr>
            <w:r>
              <w:rPr>
                <w:rFonts w:eastAsia="Times New Roman"/>
                <w:sz w:val="18"/>
                <w:szCs w:val="18"/>
              </w:rPr>
              <w:t>Some people who drink water containing cis-1,2-dichloroethylene in excess of the MCL over many years could experience problems with their liver.</w:t>
            </w:r>
          </w:p>
        </w:tc>
      </w:tr>
      <w:tr w:rsidR="00FB35EC" w14:paraId="281A406C" w14:textId="77777777" w:rsidTr="00FB35EC">
        <w:trPr>
          <w:trHeight w:val="2255"/>
        </w:trPr>
        <w:tc>
          <w:tcPr>
            <w:tcW w:w="2098" w:type="dxa"/>
            <w:vAlign w:val="center"/>
          </w:tcPr>
          <w:p w14:paraId="281A4065" w14:textId="20693F7B" w:rsidR="00FB35EC" w:rsidRPr="00FB35EC" w:rsidRDefault="00FB35EC" w:rsidP="00563A54">
            <w:pPr>
              <w:pStyle w:val="ListParagraph"/>
              <w:numPr>
                <w:ilvl w:val="0"/>
                <w:numId w:val="940"/>
              </w:numPr>
              <w:ind w:left="360"/>
              <w:rPr>
                <w:sz w:val="20"/>
                <w:szCs w:val="20"/>
              </w:rPr>
            </w:pPr>
            <w:r w:rsidRPr="00FB35EC">
              <w:rPr>
                <w:rFonts w:eastAsia="Times New Roman"/>
                <w:sz w:val="18"/>
                <w:szCs w:val="18"/>
              </w:rPr>
              <w:t>trans-1,2-Dichloroethylene</w:t>
            </w:r>
          </w:p>
        </w:tc>
        <w:tc>
          <w:tcPr>
            <w:tcW w:w="1060" w:type="dxa"/>
            <w:vAlign w:val="center"/>
          </w:tcPr>
          <w:p w14:paraId="281A4066" w14:textId="77777777" w:rsidR="00FB35EC" w:rsidRDefault="00FB35EC" w:rsidP="00FB35EC">
            <w:pPr>
              <w:jc w:val="center"/>
              <w:rPr>
                <w:sz w:val="20"/>
                <w:szCs w:val="20"/>
              </w:rPr>
            </w:pPr>
            <w:r>
              <w:rPr>
                <w:rFonts w:eastAsia="Times New Roman"/>
                <w:sz w:val="18"/>
                <w:szCs w:val="18"/>
              </w:rPr>
              <w:t>0.1 mg/l</w:t>
            </w:r>
          </w:p>
        </w:tc>
        <w:tc>
          <w:tcPr>
            <w:tcW w:w="1360" w:type="dxa"/>
            <w:vAlign w:val="center"/>
          </w:tcPr>
          <w:p w14:paraId="281A4067" w14:textId="77777777" w:rsidR="00FB35EC" w:rsidRDefault="00FB35EC" w:rsidP="00FB35EC">
            <w:pPr>
              <w:jc w:val="center"/>
              <w:rPr>
                <w:sz w:val="20"/>
                <w:szCs w:val="20"/>
              </w:rPr>
            </w:pPr>
            <w:r>
              <w:rPr>
                <w:rFonts w:eastAsia="Times New Roman"/>
                <w:sz w:val="18"/>
                <w:szCs w:val="18"/>
              </w:rPr>
              <w:t>1000</w:t>
            </w:r>
          </w:p>
        </w:tc>
        <w:tc>
          <w:tcPr>
            <w:tcW w:w="900" w:type="dxa"/>
            <w:vAlign w:val="center"/>
          </w:tcPr>
          <w:p w14:paraId="281A4068" w14:textId="77777777" w:rsidR="00FB35EC" w:rsidRDefault="00FB35EC" w:rsidP="00FB35EC">
            <w:pPr>
              <w:jc w:val="center"/>
              <w:rPr>
                <w:sz w:val="20"/>
                <w:szCs w:val="20"/>
              </w:rPr>
            </w:pPr>
            <w:r>
              <w:rPr>
                <w:rFonts w:eastAsia="Times New Roman"/>
                <w:sz w:val="18"/>
                <w:szCs w:val="18"/>
              </w:rPr>
              <w:t>100 ppb</w:t>
            </w:r>
          </w:p>
        </w:tc>
        <w:tc>
          <w:tcPr>
            <w:tcW w:w="980" w:type="dxa"/>
            <w:vAlign w:val="center"/>
          </w:tcPr>
          <w:p w14:paraId="281A4069" w14:textId="77777777" w:rsidR="00FB35EC" w:rsidRDefault="00FB35EC" w:rsidP="00FB35EC">
            <w:pPr>
              <w:jc w:val="center"/>
              <w:rPr>
                <w:sz w:val="20"/>
                <w:szCs w:val="20"/>
              </w:rPr>
            </w:pPr>
            <w:r>
              <w:rPr>
                <w:rFonts w:eastAsia="Times New Roman"/>
                <w:sz w:val="18"/>
                <w:szCs w:val="18"/>
              </w:rPr>
              <w:t>100 ppb</w:t>
            </w:r>
          </w:p>
        </w:tc>
        <w:tc>
          <w:tcPr>
            <w:tcW w:w="1860" w:type="dxa"/>
          </w:tcPr>
          <w:p w14:paraId="281A406A" w14:textId="77D05176" w:rsidR="00FB35EC" w:rsidRPr="00FB35EC" w:rsidRDefault="00FB35EC" w:rsidP="005F20E7">
            <w:pPr>
              <w:spacing w:line="329" w:lineRule="auto"/>
              <w:ind w:left="43"/>
              <w:rPr>
                <w:rFonts w:eastAsia="Times New Roman"/>
                <w:sz w:val="18"/>
                <w:szCs w:val="18"/>
              </w:rPr>
            </w:pPr>
            <w:r>
              <w:rPr>
                <w:rFonts w:eastAsia="Times New Roman"/>
                <w:sz w:val="18"/>
                <w:szCs w:val="18"/>
              </w:rPr>
              <w:t>Discharge from</w:t>
            </w:r>
            <w:r w:rsidR="005F20E7">
              <w:rPr>
                <w:rFonts w:eastAsia="Times New Roman"/>
                <w:sz w:val="18"/>
                <w:szCs w:val="18"/>
              </w:rPr>
              <w:t xml:space="preserve"> </w:t>
            </w:r>
            <w:r>
              <w:rPr>
                <w:rFonts w:eastAsia="Times New Roman"/>
                <w:sz w:val="18"/>
                <w:szCs w:val="18"/>
              </w:rPr>
              <w:t>industrial chemical</w:t>
            </w:r>
            <w:r w:rsidR="005F20E7">
              <w:rPr>
                <w:rFonts w:eastAsia="Times New Roman"/>
                <w:sz w:val="18"/>
                <w:szCs w:val="18"/>
              </w:rPr>
              <w:t xml:space="preserve"> </w:t>
            </w:r>
            <w:r>
              <w:rPr>
                <w:rFonts w:eastAsia="Times New Roman"/>
                <w:sz w:val="18"/>
                <w:szCs w:val="18"/>
              </w:rPr>
              <w:t>factories</w:t>
            </w:r>
          </w:p>
        </w:tc>
        <w:tc>
          <w:tcPr>
            <w:tcW w:w="2442" w:type="dxa"/>
            <w:gridSpan w:val="2"/>
          </w:tcPr>
          <w:p w14:paraId="281A406B" w14:textId="7EE416B8" w:rsidR="00FB35EC" w:rsidRPr="00FB35EC" w:rsidRDefault="00FB35EC" w:rsidP="005F20E7">
            <w:pPr>
              <w:spacing w:line="329" w:lineRule="auto"/>
              <w:ind w:left="43"/>
              <w:rPr>
                <w:rFonts w:eastAsia="Times New Roman"/>
                <w:sz w:val="18"/>
                <w:szCs w:val="18"/>
              </w:rPr>
            </w:pPr>
            <w:r>
              <w:rPr>
                <w:rFonts w:eastAsia="Times New Roman"/>
                <w:sz w:val="18"/>
                <w:szCs w:val="18"/>
              </w:rPr>
              <w:t>Some people who drink</w:t>
            </w:r>
            <w:r w:rsidR="005F20E7">
              <w:rPr>
                <w:rFonts w:eastAsia="Times New Roman"/>
                <w:sz w:val="18"/>
                <w:szCs w:val="18"/>
              </w:rPr>
              <w:t xml:space="preserve"> </w:t>
            </w:r>
            <w:r>
              <w:rPr>
                <w:rFonts w:eastAsia="Times New Roman"/>
                <w:sz w:val="18"/>
                <w:szCs w:val="18"/>
              </w:rPr>
              <w:t>water containing</w:t>
            </w:r>
            <w:r w:rsidR="005F20E7">
              <w:rPr>
                <w:rFonts w:eastAsia="Times New Roman"/>
                <w:sz w:val="18"/>
                <w:szCs w:val="18"/>
              </w:rPr>
              <w:t xml:space="preserve"> </w:t>
            </w:r>
            <w:r>
              <w:rPr>
                <w:rFonts w:eastAsia="Times New Roman"/>
                <w:sz w:val="18"/>
                <w:szCs w:val="18"/>
              </w:rPr>
              <w:t>trans-1,2-dichloroethylene</w:t>
            </w:r>
            <w:r w:rsidR="005F20E7">
              <w:rPr>
                <w:rFonts w:eastAsia="Times New Roman"/>
                <w:sz w:val="18"/>
                <w:szCs w:val="18"/>
              </w:rPr>
              <w:t xml:space="preserve"> </w:t>
            </w:r>
            <w:r>
              <w:rPr>
                <w:rFonts w:eastAsia="Times New Roman"/>
                <w:sz w:val="18"/>
                <w:szCs w:val="18"/>
              </w:rPr>
              <w:t>well in exc•ess of the MCL</w:t>
            </w:r>
            <w:r w:rsidR="005F20E7">
              <w:rPr>
                <w:rFonts w:eastAsia="Times New Roman"/>
                <w:sz w:val="18"/>
                <w:szCs w:val="18"/>
              </w:rPr>
              <w:t xml:space="preserve"> </w:t>
            </w:r>
            <w:r>
              <w:rPr>
                <w:rFonts w:eastAsia="Times New Roman"/>
                <w:sz w:val="18"/>
                <w:szCs w:val="18"/>
              </w:rPr>
              <w:t>over many years could</w:t>
            </w:r>
            <w:r w:rsidR="005F20E7">
              <w:rPr>
                <w:rFonts w:eastAsia="Times New Roman"/>
                <w:sz w:val="18"/>
                <w:szCs w:val="18"/>
              </w:rPr>
              <w:t xml:space="preserve"> </w:t>
            </w:r>
            <w:r>
              <w:rPr>
                <w:rFonts w:eastAsia="Times New Roman"/>
                <w:sz w:val="18"/>
                <w:szCs w:val="18"/>
              </w:rPr>
              <w:t>experience problems with</w:t>
            </w:r>
            <w:r w:rsidR="005F20E7">
              <w:rPr>
                <w:rFonts w:eastAsia="Times New Roman"/>
                <w:sz w:val="18"/>
                <w:szCs w:val="18"/>
              </w:rPr>
              <w:t xml:space="preserve"> </w:t>
            </w:r>
            <w:r>
              <w:rPr>
                <w:rFonts w:eastAsia="Times New Roman"/>
                <w:sz w:val="18"/>
                <w:szCs w:val="18"/>
              </w:rPr>
              <w:t>their liver.</w:t>
            </w:r>
          </w:p>
        </w:tc>
      </w:tr>
      <w:tr w:rsidR="00870B78" w14:paraId="281A40B9" w14:textId="77777777" w:rsidTr="00870B78">
        <w:trPr>
          <w:trHeight w:val="2554"/>
        </w:trPr>
        <w:tc>
          <w:tcPr>
            <w:tcW w:w="2098" w:type="dxa"/>
            <w:vAlign w:val="center"/>
          </w:tcPr>
          <w:p w14:paraId="281A40B2" w14:textId="77777777" w:rsidR="00870B78" w:rsidRPr="005F20E7" w:rsidRDefault="00870B78" w:rsidP="00563A54">
            <w:pPr>
              <w:pStyle w:val="ListParagraph"/>
              <w:numPr>
                <w:ilvl w:val="0"/>
                <w:numId w:val="940"/>
              </w:numPr>
              <w:ind w:left="360"/>
              <w:rPr>
                <w:sz w:val="20"/>
                <w:szCs w:val="20"/>
              </w:rPr>
            </w:pPr>
            <w:r w:rsidRPr="005F20E7">
              <w:rPr>
                <w:rFonts w:eastAsia="Times New Roman"/>
                <w:sz w:val="18"/>
                <w:szCs w:val="18"/>
              </w:rPr>
              <w:t>Dichloromethane</w:t>
            </w:r>
          </w:p>
        </w:tc>
        <w:tc>
          <w:tcPr>
            <w:tcW w:w="1060" w:type="dxa"/>
            <w:vAlign w:val="center"/>
          </w:tcPr>
          <w:p w14:paraId="281A40B3" w14:textId="77777777" w:rsidR="00870B78" w:rsidRDefault="00870B78" w:rsidP="00870B78">
            <w:pPr>
              <w:jc w:val="center"/>
              <w:rPr>
                <w:sz w:val="20"/>
                <w:szCs w:val="20"/>
              </w:rPr>
            </w:pPr>
            <w:r>
              <w:rPr>
                <w:rFonts w:eastAsia="Times New Roman"/>
                <w:sz w:val="18"/>
                <w:szCs w:val="18"/>
              </w:rPr>
              <w:t>0.005 mg/l</w:t>
            </w:r>
          </w:p>
        </w:tc>
        <w:tc>
          <w:tcPr>
            <w:tcW w:w="1360" w:type="dxa"/>
            <w:vAlign w:val="center"/>
          </w:tcPr>
          <w:p w14:paraId="281A40B4" w14:textId="77777777" w:rsidR="00870B78" w:rsidRDefault="00870B78" w:rsidP="00870B78">
            <w:pPr>
              <w:jc w:val="center"/>
              <w:rPr>
                <w:sz w:val="20"/>
                <w:szCs w:val="20"/>
              </w:rPr>
            </w:pPr>
            <w:r>
              <w:rPr>
                <w:rFonts w:eastAsia="Times New Roman"/>
                <w:sz w:val="18"/>
                <w:szCs w:val="18"/>
              </w:rPr>
              <w:t>1000</w:t>
            </w:r>
          </w:p>
        </w:tc>
        <w:tc>
          <w:tcPr>
            <w:tcW w:w="900" w:type="dxa"/>
            <w:vAlign w:val="center"/>
          </w:tcPr>
          <w:p w14:paraId="281A40B5" w14:textId="77777777" w:rsidR="00870B78" w:rsidRDefault="00870B78" w:rsidP="00870B78">
            <w:pPr>
              <w:jc w:val="center"/>
              <w:rPr>
                <w:sz w:val="20"/>
                <w:szCs w:val="20"/>
              </w:rPr>
            </w:pPr>
            <w:r>
              <w:rPr>
                <w:rFonts w:eastAsia="Times New Roman"/>
                <w:sz w:val="18"/>
                <w:szCs w:val="18"/>
              </w:rPr>
              <w:t>5 ppb</w:t>
            </w:r>
          </w:p>
        </w:tc>
        <w:tc>
          <w:tcPr>
            <w:tcW w:w="980" w:type="dxa"/>
            <w:vAlign w:val="center"/>
          </w:tcPr>
          <w:p w14:paraId="281A40B6" w14:textId="77777777" w:rsidR="00870B78" w:rsidRDefault="00870B78" w:rsidP="00870B78">
            <w:pPr>
              <w:jc w:val="center"/>
              <w:rPr>
                <w:sz w:val="20"/>
                <w:szCs w:val="20"/>
              </w:rPr>
            </w:pPr>
            <w:r>
              <w:rPr>
                <w:rFonts w:eastAsia="Times New Roman"/>
                <w:sz w:val="18"/>
                <w:szCs w:val="18"/>
              </w:rPr>
              <w:t>0</w:t>
            </w:r>
          </w:p>
        </w:tc>
        <w:tc>
          <w:tcPr>
            <w:tcW w:w="1860" w:type="dxa"/>
          </w:tcPr>
          <w:p w14:paraId="281A40B7" w14:textId="43F30211" w:rsidR="00870B78" w:rsidRPr="00870B78" w:rsidRDefault="00870B78" w:rsidP="00870B78">
            <w:pPr>
              <w:spacing w:line="329" w:lineRule="auto"/>
              <w:ind w:left="43"/>
              <w:rPr>
                <w:rFonts w:eastAsia="Times New Roman"/>
                <w:sz w:val="18"/>
                <w:szCs w:val="18"/>
              </w:rPr>
            </w:pPr>
            <w:r>
              <w:rPr>
                <w:rFonts w:eastAsia="Times New Roman"/>
                <w:sz w:val="18"/>
                <w:szCs w:val="18"/>
              </w:rPr>
              <w:t>Discharge from pharmaceutical and chemical factories</w:t>
            </w:r>
          </w:p>
        </w:tc>
        <w:tc>
          <w:tcPr>
            <w:tcW w:w="2442" w:type="dxa"/>
            <w:gridSpan w:val="2"/>
          </w:tcPr>
          <w:p w14:paraId="281A40B8" w14:textId="6FC40515" w:rsidR="00870B78" w:rsidRPr="00870B78" w:rsidRDefault="00870B78" w:rsidP="00870B78">
            <w:pPr>
              <w:spacing w:line="329" w:lineRule="auto"/>
              <w:ind w:left="43"/>
              <w:rPr>
                <w:rFonts w:eastAsia="Times New Roman"/>
                <w:sz w:val="18"/>
                <w:szCs w:val="18"/>
              </w:rPr>
            </w:pPr>
            <w:r>
              <w:rPr>
                <w:rFonts w:eastAsia="Times New Roman"/>
                <w:sz w:val="18"/>
                <w:szCs w:val="18"/>
              </w:rPr>
              <w:t>Some people who drink water containing dichloromethane in excess of the MCL over many years could have liver problems and may have an increased risk of getting cancer.</w:t>
            </w:r>
          </w:p>
        </w:tc>
      </w:tr>
      <w:tr w:rsidR="00870B78" w14:paraId="281A4112" w14:textId="77777777" w:rsidTr="00870B78">
        <w:trPr>
          <w:trHeight w:val="2235"/>
        </w:trPr>
        <w:tc>
          <w:tcPr>
            <w:tcW w:w="2098" w:type="dxa"/>
            <w:vAlign w:val="center"/>
          </w:tcPr>
          <w:p w14:paraId="281A410B" w14:textId="4357E32D" w:rsidR="00870B78" w:rsidRPr="00870B78" w:rsidRDefault="00870B78" w:rsidP="00563A54">
            <w:pPr>
              <w:pStyle w:val="ListParagraph"/>
              <w:numPr>
                <w:ilvl w:val="0"/>
                <w:numId w:val="940"/>
              </w:numPr>
              <w:ind w:left="360"/>
              <w:rPr>
                <w:sz w:val="20"/>
                <w:szCs w:val="20"/>
              </w:rPr>
            </w:pPr>
            <w:r w:rsidRPr="00870B78">
              <w:rPr>
                <w:rFonts w:eastAsia="Times New Roman"/>
                <w:sz w:val="18"/>
                <w:szCs w:val="18"/>
              </w:rPr>
              <w:t>1,2-Dichloropropane</w:t>
            </w:r>
          </w:p>
        </w:tc>
        <w:tc>
          <w:tcPr>
            <w:tcW w:w="1060" w:type="dxa"/>
            <w:vAlign w:val="center"/>
          </w:tcPr>
          <w:p w14:paraId="281A410C" w14:textId="77777777" w:rsidR="00870B78" w:rsidRDefault="00870B78" w:rsidP="00870B78">
            <w:pPr>
              <w:jc w:val="center"/>
              <w:rPr>
                <w:sz w:val="20"/>
                <w:szCs w:val="20"/>
              </w:rPr>
            </w:pPr>
            <w:r>
              <w:rPr>
                <w:rFonts w:eastAsia="Times New Roman"/>
                <w:sz w:val="18"/>
                <w:szCs w:val="18"/>
              </w:rPr>
              <w:t>0.005 mg/l</w:t>
            </w:r>
          </w:p>
        </w:tc>
        <w:tc>
          <w:tcPr>
            <w:tcW w:w="1360" w:type="dxa"/>
            <w:vAlign w:val="center"/>
          </w:tcPr>
          <w:p w14:paraId="281A410D" w14:textId="77777777" w:rsidR="00870B78" w:rsidRDefault="00870B78" w:rsidP="00870B78">
            <w:pPr>
              <w:jc w:val="center"/>
              <w:rPr>
                <w:sz w:val="20"/>
                <w:szCs w:val="20"/>
              </w:rPr>
            </w:pPr>
            <w:r>
              <w:rPr>
                <w:rFonts w:eastAsia="Times New Roman"/>
                <w:sz w:val="18"/>
                <w:szCs w:val="18"/>
              </w:rPr>
              <w:t>1000</w:t>
            </w:r>
          </w:p>
        </w:tc>
        <w:tc>
          <w:tcPr>
            <w:tcW w:w="900" w:type="dxa"/>
            <w:vAlign w:val="center"/>
          </w:tcPr>
          <w:p w14:paraId="281A410E" w14:textId="77777777" w:rsidR="00870B78" w:rsidRDefault="00870B78" w:rsidP="00870B78">
            <w:pPr>
              <w:jc w:val="center"/>
              <w:rPr>
                <w:sz w:val="20"/>
                <w:szCs w:val="20"/>
              </w:rPr>
            </w:pPr>
            <w:r>
              <w:rPr>
                <w:rFonts w:eastAsia="Times New Roman"/>
                <w:sz w:val="18"/>
                <w:szCs w:val="18"/>
              </w:rPr>
              <w:t>5 ppb</w:t>
            </w:r>
          </w:p>
        </w:tc>
        <w:tc>
          <w:tcPr>
            <w:tcW w:w="980" w:type="dxa"/>
            <w:vAlign w:val="center"/>
          </w:tcPr>
          <w:p w14:paraId="281A410F" w14:textId="267B0D89" w:rsidR="00870B78" w:rsidRDefault="00B0064F" w:rsidP="00870B78">
            <w:pPr>
              <w:jc w:val="center"/>
              <w:rPr>
                <w:sz w:val="20"/>
                <w:szCs w:val="20"/>
              </w:rPr>
            </w:pPr>
            <w:r>
              <w:rPr>
                <w:rFonts w:eastAsia="Times New Roman"/>
                <w:sz w:val="18"/>
                <w:szCs w:val="18"/>
              </w:rPr>
              <w:t>0</w:t>
            </w:r>
          </w:p>
        </w:tc>
        <w:tc>
          <w:tcPr>
            <w:tcW w:w="1860" w:type="dxa"/>
          </w:tcPr>
          <w:p w14:paraId="281A4110" w14:textId="46044792" w:rsidR="00870B78" w:rsidRPr="00870B78" w:rsidRDefault="00870B78" w:rsidP="00870B78">
            <w:pPr>
              <w:spacing w:line="329" w:lineRule="auto"/>
              <w:ind w:left="43"/>
              <w:rPr>
                <w:rFonts w:eastAsia="Times New Roman"/>
                <w:sz w:val="18"/>
                <w:szCs w:val="18"/>
              </w:rPr>
            </w:pPr>
            <w:r>
              <w:rPr>
                <w:rFonts w:eastAsia="Times New Roman"/>
                <w:sz w:val="18"/>
                <w:szCs w:val="18"/>
              </w:rPr>
              <w:t>Discharge from industrial chemical factories</w:t>
            </w:r>
          </w:p>
        </w:tc>
        <w:tc>
          <w:tcPr>
            <w:tcW w:w="2442" w:type="dxa"/>
            <w:gridSpan w:val="2"/>
          </w:tcPr>
          <w:p w14:paraId="281A4111" w14:textId="12F3356F" w:rsidR="00870B78" w:rsidRPr="00870B78" w:rsidRDefault="00870B78" w:rsidP="00870B78">
            <w:pPr>
              <w:spacing w:line="329" w:lineRule="auto"/>
              <w:ind w:left="43"/>
              <w:rPr>
                <w:rFonts w:eastAsia="Times New Roman"/>
                <w:sz w:val="18"/>
                <w:szCs w:val="18"/>
              </w:rPr>
            </w:pPr>
            <w:r>
              <w:rPr>
                <w:rFonts w:eastAsia="Times New Roman"/>
                <w:sz w:val="18"/>
                <w:szCs w:val="18"/>
              </w:rPr>
              <w:t>Some people who drink water containing 1,2-dichloropropane in excess of the MCL over many years may have an increased risk of getting cancer.</w:t>
            </w:r>
          </w:p>
        </w:tc>
      </w:tr>
    </w:tbl>
    <w:p w14:paraId="281A4159" w14:textId="77777777" w:rsidR="004647B9" w:rsidRDefault="004647B9">
      <w:pPr>
        <w:sectPr w:rsidR="004647B9" w:rsidSect="00EF630C">
          <w:pgSz w:w="12240" w:h="20180"/>
          <w:pgMar w:top="708" w:right="940" w:bottom="1440" w:left="600" w:header="0" w:footer="0" w:gutter="0"/>
          <w:cols w:space="720"/>
        </w:sectPr>
      </w:pPr>
    </w:p>
    <w:p w14:paraId="281A415A" w14:textId="77777777" w:rsidR="004647B9" w:rsidRDefault="00E2436F">
      <w:pPr>
        <w:tabs>
          <w:tab w:val="left" w:pos="2860"/>
        </w:tabs>
        <w:ind w:left="1680"/>
        <w:rPr>
          <w:sz w:val="20"/>
          <w:szCs w:val="20"/>
        </w:rPr>
      </w:pPr>
      <w:bookmarkStart w:id="235" w:name="page237"/>
      <w:bookmarkEnd w:id="23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15B" w14:textId="77777777" w:rsidR="004647B9" w:rsidRDefault="004647B9" w:rsidP="00576EEB">
      <w:pPr>
        <w:rPr>
          <w:sz w:val="20"/>
          <w:szCs w:val="20"/>
        </w:rPr>
      </w:pPr>
    </w:p>
    <w:p w14:paraId="30E418FA" w14:textId="77777777" w:rsidR="00576EEB" w:rsidRDefault="00576EEB" w:rsidP="00576EEB">
      <w:pPr>
        <w:rPr>
          <w:sz w:val="20"/>
          <w:szCs w:val="20"/>
        </w:rPr>
      </w:pPr>
    </w:p>
    <w:p w14:paraId="281A415C" w14:textId="77777777" w:rsidR="004647B9" w:rsidRPr="00576EEB" w:rsidRDefault="00E2436F" w:rsidP="00576EEB">
      <w:pPr>
        <w:tabs>
          <w:tab w:val="left" w:pos="940"/>
        </w:tabs>
        <w:rPr>
          <w:sz w:val="24"/>
          <w:szCs w:val="24"/>
        </w:rPr>
      </w:pPr>
      <w:r w:rsidRPr="00576EEB">
        <w:rPr>
          <w:rFonts w:eastAsia="Times New Roman"/>
          <w:sz w:val="24"/>
          <w:szCs w:val="24"/>
        </w:rPr>
        <w:t>22.16A:</w:t>
      </w:r>
      <w:r w:rsidRPr="00576EEB">
        <w:rPr>
          <w:sz w:val="24"/>
          <w:szCs w:val="24"/>
        </w:rPr>
        <w:tab/>
      </w:r>
      <w:r w:rsidRPr="00576EEB">
        <w:rPr>
          <w:rFonts w:eastAsia="Times New Roman"/>
          <w:sz w:val="24"/>
          <w:szCs w:val="24"/>
        </w:rPr>
        <w:t>continued</w:t>
      </w:r>
    </w:p>
    <w:p w14:paraId="281A415E" w14:textId="77777777" w:rsidR="004647B9" w:rsidRDefault="004647B9" w:rsidP="00576EEB">
      <w:pPr>
        <w:rPr>
          <w:sz w:val="20"/>
          <w:szCs w:val="20"/>
        </w:rPr>
      </w:pPr>
    </w:p>
    <w:tbl>
      <w:tblPr>
        <w:tblW w:w="1070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097"/>
        <w:gridCol w:w="1059"/>
        <w:gridCol w:w="1360"/>
        <w:gridCol w:w="900"/>
        <w:gridCol w:w="980"/>
        <w:gridCol w:w="1860"/>
        <w:gridCol w:w="2434"/>
        <w:gridCol w:w="14"/>
      </w:tblGrid>
      <w:tr w:rsidR="00870B78" w14:paraId="281A4168" w14:textId="77777777" w:rsidTr="00314DAE">
        <w:trPr>
          <w:gridAfter w:val="1"/>
          <w:wAfter w:w="14" w:type="dxa"/>
          <w:trHeight w:val="1073"/>
        </w:trPr>
        <w:tc>
          <w:tcPr>
            <w:tcW w:w="2097" w:type="dxa"/>
            <w:vAlign w:val="center"/>
          </w:tcPr>
          <w:p w14:paraId="281A4161" w14:textId="7040DFC9" w:rsidR="00870B78" w:rsidRDefault="00870B78" w:rsidP="00870B78">
            <w:pPr>
              <w:jc w:val="center"/>
              <w:rPr>
                <w:sz w:val="24"/>
                <w:szCs w:val="24"/>
              </w:rPr>
            </w:pPr>
            <w:r>
              <w:rPr>
                <w:rFonts w:eastAsia="Times New Roman"/>
                <w:sz w:val="18"/>
                <w:szCs w:val="18"/>
              </w:rPr>
              <w:t>Contaminant</w:t>
            </w:r>
          </w:p>
        </w:tc>
        <w:tc>
          <w:tcPr>
            <w:tcW w:w="1059" w:type="dxa"/>
            <w:vAlign w:val="center"/>
          </w:tcPr>
          <w:p w14:paraId="281A4162" w14:textId="12405D30" w:rsidR="00870B78" w:rsidRDefault="00870B78" w:rsidP="00870B78">
            <w:pPr>
              <w:jc w:val="center"/>
              <w:rPr>
                <w:sz w:val="20"/>
                <w:szCs w:val="20"/>
              </w:rPr>
            </w:pPr>
            <w:r>
              <w:rPr>
                <w:rFonts w:eastAsia="Times New Roman"/>
                <w:sz w:val="18"/>
                <w:szCs w:val="18"/>
              </w:rPr>
              <w:t>Traditional MCL</w:t>
            </w:r>
          </w:p>
        </w:tc>
        <w:tc>
          <w:tcPr>
            <w:tcW w:w="1360" w:type="dxa"/>
            <w:vAlign w:val="center"/>
          </w:tcPr>
          <w:p w14:paraId="281A4163" w14:textId="1D47CEFC" w:rsidR="00870B78" w:rsidRDefault="00870B78" w:rsidP="00870B78">
            <w:pPr>
              <w:jc w:val="center"/>
              <w:rPr>
                <w:sz w:val="20"/>
                <w:szCs w:val="20"/>
              </w:rPr>
            </w:pPr>
            <w:r>
              <w:rPr>
                <w:rFonts w:eastAsia="Times New Roman"/>
                <w:sz w:val="18"/>
                <w:szCs w:val="18"/>
              </w:rPr>
              <w:t>To convert for CCR, multiply by</w:t>
            </w:r>
          </w:p>
        </w:tc>
        <w:tc>
          <w:tcPr>
            <w:tcW w:w="900" w:type="dxa"/>
            <w:vAlign w:val="center"/>
          </w:tcPr>
          <w:p w14:paraId="281A4164" w14:textId="4CD28537" w:rsidR="00870B78" w:rsidRDefault="00870B78" w:rsidP="00870B78">
            <w:pPr>
              <w:jc w:val="center"/>
              <w:rPr>
                <w:sz w:val="20"/>
                <w:szCs w:val="20"/>
              </w:rPr>
            </w:pPr>
            <w:r>
              <w:rPr>
                <w:rFonts w:eastAsia="Times New Roman"/>
                <w:sz w:val="18"/>
                <w:szCs w:val="18"/>
              </w:rPr>
              <w:t>MCL in CCR units</w:t>
            </w:r>
          </w:p>
        </w:tc>
        <w:tc>
          <w:tcPr>
            <w:tcW w:w="980" w:type="dxa"/>
            <w:vAlign w:val="center"/>
          </w:tcPr>
          <w:p w14:paraId="281A4165" w14:textId="7BF9616E" w:rsidR="00870B78" w:rsidRDefault="00870B78" w:rsidP="00870B78">
            <w:pPr>
              <w:jc w:val="center"/>
              <w:rPr>
                <w:sz w:val="20"/>
                <w:szCs w:val="20"/>
              </w:rPr>
            </w:pPr>
            <w:r>
              <w:rPr>
                <w:rFonts w:eastAsia="Times New Roman"/>
                <w:sz w:val="18"/>
                <w:szCs w:val="18"/>
              </w:rPr>
              <w:t>MCLG in CCR units</w:t>
            </w:r>
          </w:p>
        </w:tc>
        <w:tc>
          <w:tcPr>
            <w:tcW w:w="1860" w:type="dxa"/>
            <w:vAlign w:val="center"/>
          </w:tcPr>
          <w:p w14:paraId="281A4166" w14:textId="14896F17" w:rsidR="00870B78" w:rsidRDefault="00870B78" w:rsidP="00870B78">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vAlign w:val="center"/>
          </w:tcPr>
          <w:p w14:paraId="281A4167" w14:textId="7DC1966E" w:rsidR="00870B78" w:rsidRDefault="00870B78" w:rsidP="00870B78">
            <w:pPr>
              <w:jc w:val="center"/>
              <w:rPr>
                <w:sz w:val="20"/>
                <w:szCs w:val="20"/>
              </w:rPr>
            </w:pPr>
            <w:r>
              <w:rPr>
                <w:rFonts w:eastAsia="Times New Roman"/>
                <w:sz w:val="18"/>
                <w:szCs w:val="18"/>
              </w:rPr>
              <w:t>Health Effects Language</w:t>
            </w:r>
          </w:p>
        </w:tc>
      </w:tr>
      <w:tr w:rsidR="00870B78" w14:paraId="281A418F" w14:textId="77777777" w:rsidTr="00314DAE">
        <w:trPr>
          <w:trHeight w:val="2255"/>
        </w:trPr>
        <w:tc>
          <w:tcPr>
            <w:tcW w:w="2097" w:type="dxa"/>
            <w:vAlign w:val="center"/>
          </w:tcPr>
          <w:p w14:paraId="281A4188" w14:textId="77777777" w:rsidR="00870B78" w:rsidRPr="00870B78" w:rsidRDefault="00870B78" w:rsidP="00563A54">
            <w:pPr>
              <w:pStyle w:val="ListParagraph"/>
              <w:numPr>
                <w:ilvl w:val="0"/>
                <w:numId w:val="940"/>
              </w:numPr>
              <w:ind w:left="360"/>
              <w:rPr>
                <w:sz w:val="20"/>
                <w:szCs w:val="20"/>
              </w:rPr>
            </w:pPr>
            <w:r w:rsidRPr="00870B78">
              <w:rPr>
                <w:rFonts w:eastAsia="Times New Roman"/>
                <w:sz w:val="18"/>
                <w:szCs w:val="18"/>
              </w:rPr>
              <w:t>Ethylbenzene</w:t>
            </w:r>
          </w:p>
        </w:tc>
        <w:tc>
          <w:tcPr>
            <w:tcW w:w="1059" w:type="dxa"/>
            <w:vAlign w:val="center"/>
          </w:tcPr>
          <w:p w14:paraId="281A4189" w14:textId="77777777" w:rsidR="00870B78" w:rsidRDefault="00870B78" w:rsidP="00870B78">
            <w:pPr>
              <w:jc w:val="center"/>
              <w:rPr>
                <w:sz w:val="20"/>
                <w:szCs w:val="20"/>
              </w:rPr>
            </w:pPr>
            <w:r>
              <w:rPr>
                <w:rFonts w:eastAsia="Times New Roman"/>
                <w:sz w:val="18"/>
                <w:szCs w:val="18"/>
              </w:rPr>
              <w:t>0.7 mg/l</w:t>
            </w:r>
          </w:p>
        </w:tc>
        <w:tc>
          <w:tcPr>
            <w:tcW w:w="1360" w:type="dxa"/>
            <w:vAlign w:val="center"/>
          </w:tcPr>
          <w:p w14:paraId="281A418A" w14:textId="77777777" w:rsidR="00870B78" w:rsidRDefault="00870B78" w:rsidP="00870B78">
            <w:pPr>
              <w:jc w:val="center"/>
              <w:rPr>
                <w:sz w:val="20"/>
                <w:szCs w:val="20"/>
              </w:rPr>
            </w:pPr>
            <w:r>
              <w:rPr>
                <w:rFonts w:eastAsia="Times New Roman"/>
                <w:sz w:val="18"/>
                <w:szCs w:val="18"/>
              </w:rPr>
              <w:t>1000</w:t>
            </w:r>
          </w:p>
        </w:tc>
        <w:tc>
          <w:tcPr>
            <w:tcW w:w="900" w:type="dxa"/>
            <w:vAlign w:val="center"/>
          </w:tcPr>
          <w:p w14:paraId="281A418B" w14:textId="77777777" w:rsidR="00870B78" w:rsidRDefault="00870B78" w:rsidP="00870B78">
            <w:pPr>
              <w:jc w:val="center"/>
              <w:rPr>
                <w:sz w:val="20"/>
                <w:szCs w:val="20"/>
              </w:rPr>
            </w:pPr>
            <w:r>
              <w:rPr>
                <w:rFonts w:eastAsia="Times New Roman"/>
                <w:sz w:val="18"/>
                <w:szCs w:val="18"/>
              </w:rPr>
              <w:t>700 ppb</w:t>
            </w:r>
          </w:p>
        </w:tc>
        <w:tc>
          <w:tcPr>
            <w:tcW w:w="980" w:type="dxa"/>
            <w:vAlign w:val="center"/>
          </w:tcPr>
          <w:p w14:paraId="281A418C" w14:textId="77777777" w:rsidR="00870B78" w:rsidRDefault="00870B78" w:rsidP="00870B78">
            <w:pPr>
              <w:jc w:val="center"/>
              <w:rPr>
                <w:sz w:val="20"/>
                <w:szCs w:val="20"/>
              </w:rPr>
            </w:pPr>
            <w:r>
              <w:rPr>
                <w:rFonts w:eastAsia="Times New Roman"/>
                <w:sz w:val="18"/>
                <w:szCs w:val="18"/>
              </w:rPr>
              <w:t>700 ppb</w:t>
            </w:r>
          </w:p>
        </w:tc>
        <w:tc>
          <w:tcPr>
            <w:tcW w:w="1860" w:type="dxa"/>
          </w:tcPr>
          <w:p w14:paraId="281A418D" w14:textId="643AE9FB" w:rsidR="00870B78" w:rsidRPr="00870B78" w:rsidRDefault="00870B78" w:rsidP="00870B78">
            <w:pPr>
              <w:spacing w:line="329" w:lineRule="auto"/>
              <w:ind w:left="43"/>
              <w:rPr>
                <w:rFonts w:eastAsia="Times New Roman"/>
                <w:sz w:val="18"/>
                <w:szCs w:val="18"/>
              </w:rPr>
            </w:pPr>
            <w:r>
              <w:rPr>
                <w:rFonts w:eastAsia="Times New Roman"/>
                <w:sz w:val="18"/>
                <w:szCs w:val="18"/>
              </w:rPr>
              <w:t>Discharge from industrial chemical factories</w:t>
            </w:r>
          </w:p>
        </w:tc>
        <w:tc>
          <w:tcPr>
            <w:tcW w:w="2448" w:type="dxa"/>
            <w:gridSpan w:val="2"/>
          </w:tcPr>
          <w:p w14:paraId="281A418E" w14:textId="57C5B07C" w:rsidR="00870B78" w:rsidRPr="00870B78" w:rsidRDefault="00870B78" w:rsidP="00870B78">
            <w:pPr>
              <w:spacing w:line="329" w:lineRule="auto"/>
              <w:ind w:left="43"/>
              <w:rPr>
                <w:rFonts w:eastAsia="Times New Roman"/>
                <w:sz w:val="18"/>
                <w:szCs w:val="18"/>
              </w:rPr>
            </w:pPr>
            <w:r>
              <w:rPr>
                <w:rFonts w:eastAsia="Times New Roman"/>
                <w:sz w:val="18"/>
                <w:szCs w:val="18"/>
              </w:rPr>
              <w:t>Some people who drink water containing ethylbenzene well in excess of the MCL over many years could experience problems with their liver or kidneys.</w:t>
            </w:r>
          </w:p>
        </w:tc>
      </w:tr>
      <w:tr w:rsidR="00314DAE" w14:paraId="281A41DE" w14:textId="77777777" w:rsidTr="00314DAE">
        <w:trPr>
          <w:trHeight w:val="2088"/>
        </w:trPr>
        <w:tc>
          <w:tcPr>
            <w:tcW w:w="2097" w:type="dxa"/>
            <w:vAlign w:val="center"/>
          </w:tcPr>
          <w:p w14:paraId="281A41D7" w14:textId="23F4251E" w:rsidR="00314DAE" w:rsidRPr="00870B78" w:rsidRDefault="00314DAE" w:rsidP="00563A54">
            <w:pPr>
              <w:pStyle w:val="ListParagraph"/>
              <w:numPr>
                <w:ilvl w:val="0"/>
                <w:numId w:val="940"/>
              </w:numPr>
              <w:ind w:left="360"/>
              <w:rPr>
                <w:sz w:val="20"/>
                <w:szCs w:val="20"/>
              </w:rPr>
            </w:pPr>
            <w:r w:rsidRPr="00870B78">
              <w:rPr>
                <w:rFonts w:eastAsia="Times New Roman"/>
                <w:sz w:val="18"/>
                <w:szCs w:val="18"/>
              </w:rPr>
              <w:t>Haloacetic Acids</w:t>
            </w:r>
            <w:r>
              <w:rPr>
                <w:rFonts w:eastAsia="Times New Roman"/>
                <w:sz w:val="18"/>
                <w:szCs w:val="18"/>
              </w:rPr>
              <w:t xml:space="preserve"> </w:t>
            </w:r>
            <w:r w:rsidRPr="00870B78">
              <w:rPr>
                <w:rFonts w:eastAsia="Times New Roman"/>
                <w:sz w:val="18"/>
                <w:szCs w:val="18"/>
              </w:rPr>
              <w:t>(HAA5)</w:t>
            </w:r>
          </w:p>
        </w:tc>
        <w:tc>
          <w:tcPr>
            <w:tcW w:w="1059" w:type="dxa"/>
            <w:vAlign w:val="center"/>
          </w:tcPr>
          <w:p w14:paraId="281A41D8" w14:textId="77777777" w:rsidR="00314DAE" w:rsidRDefault="00314DAE" w:rsidP="009E72B9">
            <w:pPr>
              <w:jc w:val="center"/>
              <w:rPr>
                <w:sz w:val="20"/>
                <w:szCs w:val="20"/>
              </w:rPr>
            </w:pPr>
            <w:r>
              <w:rPr>
                <w:rFonts w:eastAsia="Times New Roman"/>
                <w:sz w:val="18"/>
                <w:szCs w:val="18"/>
              </w:rPr>
              <w:t>0.060 mg/l</w:t>
            </w:r>
          </w:p>
        </w:tc>
        <w:tc>
          <w:tcPr>
            <w:tcW w:w="1360" w:type="dxa"/>
            <w:vAlign w:val="center"/>
          </w:tcPr>
          <w:p w14:paraId="281A41D9" w14:textId="77777777" w:rsidR="00314DAE" w:rsidRDefault="00314DAE" w:rsidP="009E72B9">
            <w:pPr>
              <w:jc w:val="center"/>
              <w:rPr>
                <w:sz w:val="20"/>
                <w:szCs w:val="20"/>
              </w:rPr>
            </w:pPr>
            <w:r>
              <w:rPr>
                <w:rFonts w:eastAsia="Times New Roman"/>
                <w:sz w:val="18"/>
                <w:szCs w:val="18"/>
              </w:rPr>
              <w:t>1000</w:t>
            </w:r>
          </w:p>
        </w:tc>
        <w:tc>
          <w:tcPr>
            <w:tcW w:w="900" w:type="dxa"/>
            <w:vAlign w:val="center"/>
          </w:tcPr>
          <w:p w14:paraId="281A41DA" w14:textId="77777777" w:rsidR="00314DAE" w:rsidRDefault="00314DAE" w:rsidP="009E72B9">
            <w:pPr>
              <w:jc w:val="center"/>
              <w:rPr>
                <w:sz w:val="20"/>
                <w:szCs w:val="20"/>
              </w:rPr>
            </w:pPr>
            <w:r>
              <w:rPr>
                <w:rFonts w:eastAsia="Times New Roman"/>
                <w:sz w:val="18"/>
                <w:szCs w:val="18"/>
              </w:rPr>
              <w:t>60 ppb</w:t>
            </w:r>
          </w:p>
        </w:tc>
        <w:tc>
          <w:tcPr>
            <w:tcW w:w="980" w:type="dxa"/>
            <w:vAlign w:val="center"/>
          </w:tcPr>
          <w:p w14:paraId="281A41DB" w14:textId="77777777" w:rsidR="00314DAE" w:rsidRDefault="00314DAE" w:rsidP="009E72B9">
            <w:pPr>
              <w:jc w:val="center"/>
              <w:rPr>
                <w:sz w:val="20"/>
                <w:szCs w:val="20"/>
              </w:rPr>
            </w:pPr>
            <w:r>
              <w:rPr>
                <w:rFonts w:eastAsia="Times New Roman"/>
                <w:sz w:val="18"/>
                <w:szCs w:val="18"/>
              </w:rPr>
              <w:t>N/A</w:t>
            </w:r>
          </w:p>
        </w:tc>
        <w:tc>
          <w:tcPr>
            <w:tcW w:w="1860" w:type="dxa"/>
          </w:tcPr>
          <w:p w14:paraId="281A41DC" w14:textId="42F2BA51" w:rsidR="00314DAE" w:rsidRPr="00314DAE" w:rsidRDefault="00314DAE" w:rsidP="00314DAE">
            <w:pPr>
              <w:spacing w:line="329" w:lineRule="auto"/>
              <w:ind w:left="43"/>
              <w:rPr>
                <w:rFonts w:eastAsia="Times New Roman"/>
                <w:sz w:val="18"/>
                <w:szCs w:val="18"/>
              </w:rPr>
            </w:pPr>
            <w:r>
              <w:rPr>
                <w:rFonts w:eastAsia="Times New Roman"/>
                <w:sz w:val="18"/>
                <w:szCs w:val="18"/>
              </w:rPr>
              <w:t>By-product of drinking water Disinfection</w:t>
            </w:r>
          </w:p>
        </w:tc>
        <w:tc>
          <w:tcPr>
            <w:tcW w:w="2448" w:type="dxa"/>
            <w:gridSpan w:val="2"/>
          </w:tcPr>
          <w:p w14:paraId="281A41DD" w14:textId="784063AE" w:rsidR="00314DAE" w:rsidRPr="00314DAE" w:rsidRDefault="00314DAE" w:rsidP="00314DAE">
            <w:pPr>
              <w:spacing w:line="329" w:lineRule="auto"/>
              <w:ind w:left="43"/>
              <w:rPr>
                <w:rFonts w:eastAsia="Times New Roman"/>
                <w:sz w:val="18"/>
                <w:szCs w:val="18"/>
              </w:rPr>
            </w:pPr>
            <w:r>
              <w:rPr>
                <w:rFonts w:eastAsia="Times New Roman"/>
                <w:sz w:val="18"/>
                <w:szCs w:val="18"/>
              </w:rPr>
              <w:t>Some people who drink water containing haloacetic acids in excess of the MCL over many years may have an increased risk of getting cancer.</w:t>
            </w:r>
          </w:p>
        </w:tc>
      </w:tr>
      <w:tr w:rsidR="001A6DBB" w14:paraId="3605C3E0" w14:textId="77777777" w:rsidTr="001A6DBB">
        <w:trPr>
          <w:trHeight w:val="2088"/>
        </w:trPr>
        <w:tc>
          <w:tcPr>
            <w:tcW w:w="2097" w:type="dxa"/>
            <w:vAlign w:val="center"/>
          </w:tcPr>
          <w:p w14:paraId="031767EA" w14:textId="0608F38A" w:rsidR="001A6DBB" w:rsidRPr="00870B78" w:rsidRDefault="001A6DBB" w:rsidP="00563A54">
            <w:pPr>
              <w:pStyle w:val="ListParagraph"/>
              <w:numPr>
                <w:ilvl w:val="0"/>
                <w:numId w:val="940"/>
              </w:numPr>
              <w:ind w:left="360"/>
              <w:rPr>
                <w:rFonts w:eastAsia="Times New Roman"/>
                <w:sz w:val="18"/>
                <w:szCs w:val="18"/>
              </w:rPr>
            </w:pPr>
            <w:r>
              <w:rPr>
                <w:rFonts w:eastAsia="Times New Roman"/>
                <w:sz w:val="18"/>
                <w:szCs w:val="18"/>
              </w:rPr>
              <w:t>Styrene</w:t>
            </w:r>
          </w:p>
        </w:tc>
        <w:tc>
          <w:tcPr>
            <w:tcW w:w="1059" w:type="dxa"/>
            <w:vAlign w:val="center"/>
          </w:tcPr>
          <w:p w14:paraId="33FA3268" w14:textId="31EFDCBB" w:rsidR="001A6DBB" w:rsidRDefault="001A6DBB" w:rsidP="001A6DBB">
            <w:pPr>
              <w:jc w:val="center"/>
              <w:rPr>
                <w:rFonts w:eastAsia="Times New Roman"/>
                <w:sz w:val="18"/>
                <w:szCs w:val="18"/>
              </w:rPr>
            </w:pPr>
            <w:r>
              <w:rPr>
                <w:rFonts w:eastAsia="Times New Roman"/>
                <w:sz w:val="18"/>
                <w:szCs w:val="18"/>
              </w:rPr>
              <w:t>0.1 mg/l</w:t>
            </w:r>
          </w:p>
        </w:tc>
        <w:tc>
          <w:tcPr>
            <w:tcW w:w="1360" w:type="dxa"/>
            <w:vAlign w:val="center"/>
          </w:tcPr>
          <w:p w14:paraId="206C94AE" w14:textId="79329D49" w:rsidR="001A6DBB" w:rsidRDefault="001A6DBB" w:rsidP="001A6DBB">
            <w:pPr>
              <w:jc w:val="center"/>
              <w:rPr>
                <w:rFonts w:eastAsia="Times New Roman"/>
                <w:sz w:val="18"/>
                <w:szCs w:val="18"/>
              </w:rPr>
            </w:pPr>
            <w:r>
              <w:rPr>
                <w:rFonts w:eastAsia="Times New Roman"/>
                <w:sz w:val="18"/>
                <w:szCs w:val="18"/>
              </w:rPr>
              <w:t>1000</w:t>
            </w:r>
          </w:p>
        </w:tc>
        <w:tc>
          <w:tcPr>
            <w:tcW w:w="900" w:type="dxa"/>
            <w:vAlign w:val="center"/>
          </w:tcPr>
          <w:p w14:paraId="009099FA" w14:textId="48C1A31E" w:rsidR="001A6DBB" w:rsidRDefault="001A6DBB" w:rsidP="001A6DBB">
            <w:pPr>
              <w:jc w:val="center"/>
              <w:rPr>
                <w:rFonts w:eastAsia="Times New Roman"/>
                <w:sz w:val="18"/>
                <w:szCs w:val="18"/>
              </w:rPr>
            </w:pPr>
            <w:r>
              <w:rPr>
                <w:rFonts w:eastAsia="Times New Roman"/>
                <w:sz w:val="18"/>
                <w:szCs w:val="18"/>
              </w:rPr>
              <w:t>100 ppb</w:t>
            </w:r>
          </w:p>
        </w:tc>
        <w:tc>
          <w:tcPr>
            <w:tcW w:w="980" w:type="dxa"/>
            <w:vAlign w:val="center"/>
          </w:tcPr>
          <w:p w14:paraId="466FB93A" w14:textId="479B93C9" w:rsidR="001A6DBB" w:rsidRDefault="001A6DBB" w:rsidP="001A6DBB">
            <w:pPr>
              <w:jc w:val="center"/>
              <w:rPr>
                <w:rFonts w:eastAsia="Times New Roman"/>
                <w:sz w:val="18"/>
                <w:szCs w:val="18"/>
              </w:rPr>
            </w:pPr>
            <w:r>
              <w:rPr>
                <w:rFonts w:eastAsia="Times New Roman"/>
                <w:sz w:val="18"/>
                <w:szCs w:val="18"/>
              </w:rPr>
              <w:t>100 ppb</w:t>
            </w:r>
          </w:p>
        </w:tc>
        <w:tc>
          <w:tcPr>
            <w:tcW w:w="1860" w:type="dxa"/>
          </w:tcPr>
          <w:p w14:paraId="4721C2C2" w14:textId="2BFDD608" w:rsidR="001A6DBB" w:rsidRDefault="001A6DBB" w:rsidP="0011234D">
            <w:pPr>
              <w:spacing w:line="329" w:lineRule="auto"/>
              <w:ind w:left="43"/>
              <w:rPr>
                <w:rFonts w:eastAsia="Times New Roman"/>
                <w:sz w:val="18"/>
                <w:szCs w:val="18"/>
              </w:rPr>
            </w:pPr>
            <w:r>
              <w:rPr>
                <w:rFonts w:eastAsia="Times New Roman"/>
                <w:sz w:val="18"/>
                <w:szCs w:val="18"/>
              </w:rPr>
              <w:t>Discharge from rubber</w:t>
            </w:r>
            <w:r w:rsidR="0011234D">
              <w:rPr>
                <w:rFonts w:eastAsia="Times New Roman"/>
                <w:sz w:val="18"/>
                <w:szCs w:val="18"/>
              </w:rPr>
              <w:t xml:space="preserve"> </w:t>
            </w:r>
            <w:r>
              <w:rPr>
                <w:rFonts w:eastAsia="Times New Roman"/>
                <w:sz w:val="18"/>
                <w:szCs w:val="18"/>
              </w:rPr>
              <w:t>and plastic factories;</w:t>
            </w:r>
            <w:r w:rsidR="0011234D">
              <w:rPr>
                <w:rFonts w:eastAsia="Times New Roman"/>
                <w:sz w:val="18"/>
                <w:szCs w:val="18"/>
              </w:rPr>
              <w:t xml:space="preserve"> </w:t>
            </w:r>
            <w:r>
              <w:rPr>
                <w:rFonts w:eastAsia="Times New Roman"/>
                <w:sz w:val="18"/>
                <w:szCs w:val="18"/>
              </w:rPr>
              <w:t>leaching from landfills</w:t>
            </w:r>
          </w:p>
        </w:tc>
        <w:tc>
          <w:tcPr>
            <w:tcW w:w="2448" w:type="dxa"/>
            <w:gridSpan w:val="2"/>
          </w:tcPr>
          <w:p w14:paraId="753965DD" w14:textId="722BC27D" w:rsidR="001A6DBB" w:rsidRDefault="001A6DBB" w:rsidP="001A6DBB">
            <w:pPr>
              <w:spacing w:line="329" w:lineRule="auto"/>
              <w:ind w:left="43"/>
              <w:rPr>
                <w:rFonts w:eastAsia="Times New Roman"/>
                <w:sz w:val="18"/>
                <w:szCs w:val="18"/>
              </w:rPr>
            </w:pPr>
            <w:r>
              <w:rPr>
                <w:rFonts w:eastAsia="Times New Roman"/>
                <w:sz w:val="18"/>
                <w:szCs w:val="18"/>
              </w:rPr>
              <w:t>Some people who drink water containing styrene well in excess of the MCL over many years could have problems with their liver, kidneys, or circulatory system.</w:t>
            </w:r>
          </w:p>
        </w:tc>
      </w:tr>
      <w:tr w:rsidR="00825D59" w14:paraId="552C45E5" w14:textId="77777777" w:rsidTr="00825D59">
        <w:trPr>
          <w:trHeight w:val="2088"/>
        </w:trPr>
        <w:tc>
          <w:tcPr>
            <w:tcW w:w="2097" w:type="dxa"/>
            <w:vAlign w:val="center"/>
          </w:tcPr>
          <w:p w14:paraId="5EB653A1" w14:textId="6AF0B2D2" w:rsidR="00825D59" w:rsidRDefault="00825D59" w:rsidP="00563A54">
            <w:pPr>
              <w:pStyle w:val="ListParagraph"/>
              <w:numPr>
                <w:ilvl w:val="0"/>
                <w:numId w:val="940"/>
              </w:numPr>
              <w:ind w:left="360"/>
              <w:rPr>
                <w:rFonts w:eastAsia="Times New Roman"/>
                <w:sz w:val="18"/>
                <w:szCs w:val="18"/>
              </w:rPr>
            </w:pPr>
            <w:r>
              <w:rPr>
                <w:rFonts w:eastAsia="Times New Roman"/>
                <w:sz w:val="18"/>
                <w:szCs w:val="18"/>
              </w:rPr>
              <w:t>Tetrachloroethylene</w:t>
            </w:r>
          </w:p>
        </w:tc>
        <w:tc>
          <w:tcPr>
            <w:tcW w:w="1059" w:type="dxa"/>
            <w:vAlign w:val="center"/>
          </w:tcPr>
          <w:p w14:paraId="13B31F9B" w14:textId="2F090160" w:rsidR="00825D59" w:rsidRDefault="00825D59" w:rsidP="00825D59">
            <w:pPr>
              <w:jc w:val="center"/>
              <w:rPr>
                <w:rFonts w:eastAsia="Times New Roman"/>
                <w:sz w:val="18"/>
                <w:szCs w:val="18"/>
              </w:rPr>
            </w:pPr>
            <w:r>
              <w:rPr>
                <w:rFonts w:eastAsia="Times New Roman"/>
                <w:sz w:val="18"/>
                <w:szCs w:val="18"/>
              </w:rPr>
              <w:t>0.005 mg/l</w:t>
            </w:r>
          </w:p>
        </w:tc>
        <w:tc>
          <w:tcPr>
            <w:tcW w:w="1360" w:type="dxa"/>
            <w:vAlign w:val="center"/>
          </w:tcPr>
          <w:p w14:paraId="59D04829" w14:textId="078686B0" w:rsidR="00825D59" w:rsidRDefault="00825D59" w:rsidP="00825D59">
            <w:pPr>
              <w:jc w:val="center"/>
              <w:rPr>
                <w:rFonts w:eastAsia="Times New Roman"/>
                <w:sz w:val="18"/>
                <w:szCs w:val="18"/>
              </w:rPr>
            </w:pPr>
            <w:r>
              <w:rPr>
                <w:rFonts w:eastAsia="Times New Roman"/>
                <w:sz w:val="18"/>
                <w:szCs w:val="18"/>
              </w:rPr>
              <w:t>1000</w:t>
            </w:r>
          </w:p>
        </w:tc>
        <w:tc>
          <w:tcPr>
            <w:tcW w:w="900" w:type="dxa"/>
            <w:vAlign w:val="center"/>
          </w:tcPr>
          <w:p w14:paraId="266D3858" w14:textId="4EE9B400" w:rsidR="00825D59" w:rsidRDefault="00825D59" w:rsidP="00825D59">
            <w:pPr>
              <w:jc w:val="center"/>
              <w:rPr>
                <w:rFonts w:eastAsia="Times New Roman"/>
                <w:sz w:val="18"/>
                <w:szCs w:val="18"/>
              </w:rPr>
            </w:pPr>
            <w:r>
              <w:rPr>
                <w:rFonts w:eastAsia="Times New Roman"/>
                <w:sz w:val="18"/>
                <w:szCs w:val="18"/>
              </w:rPr>
              <w:t>5 ppb</w:t>
            </w:r>
          </w:p>
        </w:tc>
        <w:tc>
          <w:tcPr>
            <w:tcW w:w="980" w:type="dxa"/>
            <w:vAlign w:val="center"/>
          </w:tcPr>
          <w:p w14:paraId="47174D94" w14:textId="76AB4853" w:rsidR="00825D59" w:rsidRDefault="00825D59" w:rsidP="00825D59">
            <w:pPr>
              <w:jc w:val="center"/>
              <w:rPr>
                <w:rFonts w:eastAsia="Times New Roman"/>
                <w:sz w:val="18"/>
                <w:szCs w:val="18"/>
              </w:rPr>
            </w:pPr>
            <w:r>
              <w:rPr>
                <w:rFonts w:eastAsia="Times New Roman"/>
                <w:sz w:val="18"/>
                <w:szCs w:val="18"/>
              </w:rPr>
              <w:t>0</w:t>
            </w:r>
          </w:p>
        </w:tc>
        <w:tc>
          <w:tcPr>
            <w:tcW w:w="1860" w:type="dxa"/>
          </w:tcPr>
          <w:p w14:paraId="6407F6CA" w14:textId="2402A0AC" w:rsidR="00825D59" w:rsidRDefault="00825D59" w:rsidP="00825D59">
            <w:pPr>
              <w:spacing w:line="329" w:lineRule="auto"/>
              <w:ind w:left="43"/>
              <w:rPr>
                <w:rFonts w:eastAsia="Times New Roman"/>
                <w:sz w:val="18"/>
                <w:szCs w:val="18"/>
              </w:rPr>
            </w:pPr>
            <w:r>
              <w:rPr>
                <w:rFonts w:eastAsia="Times New Roman"/>
                <w:sz w:val="18"/>
                <w:szCs w:val="18"/>
              </w:rPr>
              <w:t>Discharge from factories and dry cleaners and asbestos cement lined pipes</w:t>
            </w:r>
          </w:p>
        </w:tc>
        <w:tc>
          <w:tcPr>
            <w:tcW w:w="2448" w:type="dxa"/>
            <w:gridSpan w:val="2"/>
          </w:tcPr>
          <w:p w14:paraId="20937CED" w14:textId="13DABE87" w:rsidR="00825D59" w:rsidRDefault="00825D59" w:rsidP="00825D59">
            <w:pPr>
              <w:spacing w:line="329" w:lineRule="auto"/>
              <w:ind w:left="43"/>
              <w:rPr>
                <w:rFonts w:eastAsia="Times New Roman"/>
                <w:sz w:val="18"/>
                <w:szCs w:val="18"/>
              </w:rPr>
            </w:pPr>
            <w:r>
              <w:rPr>
                <w:rFonts w:eastAsia="Times New Roman"/>
                <w:sz w:val="18"/>
                <w:szCs w:val="18"/>
              </w:rPr>
              <w:t>Some people who drink water containing tetrachloroethylene in excess of the MCL over many years could have problems with their liver, and may have an increased risk of getting cancer.</w:t>
            </w:r>
          </w:p>
        </w:tc>
      </w:tr>
      <w:tr w:rsidR="00825D59" w14:paraId="309CF790" w14:textId="77777777" w:rsidTr="00825D59">
        <w:trPr>
          <w:trHeight w:val="2088"/>
        </w:trPr>
        <w:tc>
          <w:tcPr>
            <w:tcW w:w="2097" w:type="dxa"/>
            <w:vAlign w:val="center"/>
          </w:tcPr>
          <w:p w14:paraId="6991FC1D" w14:textId="28E1D302" w:rsidR="00825D59" w:rsidRDefault="00825D59" w:rsidP="00563A54">
            <w:pPr>
              <w:pStyle w:val="ListParagraph"/>
              <w:numPr>
                <w:ilvl w:val="0"/>
                <w:numId w:val="940"/>
              </w:numPr>
              <w:ind w:left="360"/>
              <w:rPr>
                <w:rFonts w:eastAsia="Times New Roman"/>
                <w:sz w:val="18"/>
                <w:szCs w:val="18"/>
              </w:rPr>
            </w:pPr>
            <w:r>
              <w:rPr>
                <w:rFonts w:eastAsia="Times New Roman"/>
                <w:sz w:val="18"/>
                <w:szCs w:val="18"/>
              </w:rPr>
              <w:t>1,2,4-Trichlorobenzene</w:t>
            </w:r>
          </w:p>
        </w:tc>
        <w:tc>
          <w:tcPr>
            <w:tcW w:w="1059" w:type="dxa"/>
            <w:vAlign w:val="center"/>
          </w:tcPr>
          <w:p w14:paraId="2081C9FE" w14:textId="7A68C4F2" w:rsidR="00825D59" w:rsidRDefault="00825D59" w:rsidP="00825D59">
            <w:pPr>
              <w:jc w:val="center"/>
              <w:rPr>
                <w:rFonts w:eastAsia="Times New Roman"/>
                <w:sz w:val="18"/>
                <w:szCs w:val="18"/>
              </w:rPr>
            </w:pPr>
            <w:r>
              <w:rPr>
                <w:rFonts w:eastAsia="Times New Roman"/>
                <w:sz w:val="18"/>
                <w:szCs w:val="18"/>
              </w:rPr>
              <w:t>0.07 mg/l</w:t>
            </w:r>
          </w:p>
        </w:tc>
        <w:tc>
          <w:tcPr>
            <w:tcW w:w="1360" w:type="dxa"/>
            <w:vAlign w:val="center"/>
          </w:tcPr>
          <w:p w14:paraId="2E2EC681" w14:textId="20587439" w:rsidR="00825D59" w:rsidRDefault="00825D59" w:rsidP="00825D59">
            <w:pPr>
              <w:jc w:val="center"/>
              <w:rPr>
                <w:rFonts w:eastAsia="Times New Roman"/>
                <w:sz w:val="18"/>
                <w:szCs w:val="18"/>
              </w:rPr>
            </w:pPr>
            <w:r>
              <w:rPr>
                <w:rFonts w:eastAsia="Times New Roman"/>
                <w:sz w:val="18"/>
                <w:szCs w:val="18"/>
              </w:rPr>
              <w:t>1000</w:t>
            </w:r>
          </w:p>
        </w:tc>
        <w:tc>
          <w:tcPr>
            <w:tcW w:w="900" w:type="dxa"/>
            <w:vAlign w:val="center"/>
          </w:tcPr>
          <w:p w14:paraId="5382034D" w14:textId="7C6F6F5E" w:rsidR="00825D59" w:rsidRDefault="00825D59" w:rsidP="00825D59">
            <w:pPr>
              <w:jc w:val="center"/>
              <w:rPr>
                <w:rFonts w:eastAsia="Times New Roman"/>
                <w:sz w:val="18"/>
                <w:szCs w:val="18"/>
              </w:rPr>
            </w:pPr>
            <w:r>
              <w:rPr>
                <w:rFonts w:eastAsia="Times New Roman"/>
                <w:sz w:val="18"/>
                <w:szCs w:val="18"/>
              </w:rPr>
              <w:t>70 ppb</w:t>
            </w:r>
          </w:p>
        </w:tc>
        <w:tc>
          <w:tcPr>
            <w:tcW w:w="980" w:type="dxa"/>
            <w:vAlign w:val="center"/>
          </w:tcPr>
          <w:p w14:paraId="3DC582E8" w14:textId="5A105FFC" w:rsidR="00825D59" w:rsidRDefault="00825D59" w:rsidP="00825D59">
            <w:pPr>
              <w:jc w:val="center"/>
              <w:rPr>
                <w:rFonts w:eastAsia="Times New Roman"/>
                <w:sz w:val="18"/>
                <w:szCs w:val="18"/>
              </w:rPr>
            </w:pPr>
            <w:r>
              <w:rPr>
                <w:rFonts w:eastAsia="Times New Roman"/>
                <w:sz w:val="18"/>
                <w:szCs w:val="18"/>
              </w:rPr>
              <w:t>70 ppb</w:t>
            </w:r>
          </w:p>
        </w:tc>
        <w:tc>
          <w:tcPr>
            <w:tcW w:w="1860" w:type="dxa"/>
          </w:tcPr>
          <w:p w14:paraId="5D3BC144" w14:textId="6589EF76" w:rsidR="00825D59" w:rsidRDefault="00825D59" w:rsidP="00FA1FF5">
            <w:pPr>
              <w:spacing w:line="329" w:lineRule="auto"/>
              <w:ind w:left="43"/>
              <w:rPr>
                <w:rFonts w:eastAsia="Times New Roman"/>
                <w:sz w:val="18"/>
                <w:szCs w:val="18"/>
              </w:rPr>
            </w:pPr>
            <w:r>
              <w:rPr>
                <w:rFonts w:eastAsia="Times New Roman"/>
                <w:sz w:val="18"/>
                <w:szCs w:val="18"/>
              </w:rPr>
              <w:t>Discharge from textile-finishing factories</w:t>
            </w:r>
          </w:p>
        </w:tc>
        <w:tc>
          <w:tcPr>
            <w:tcW w:w="2448" w:type="dxa"/>
            <w:gridSpan w:val="2"/>
          </w:tcPr>
          <w:p w14:paraId="58723660" w14:textId="6FB6427A" w:rsidR="00825D59" w:rsidRDefault="00825D59" w:rsidP="00FA1FF5">
            <w:pPr>
              <w:spacing w:line="329" w:lineRule="auto"/>
              <w:ind w:left="43"/>
              <w:rPr>
                <w:rFonts w:eastAsia="Times New Roman"/>
                <w:sz w:val="18"/>
                <w:szCs w:val="18"/>
              </w:rPr>
            </w:pPr>
            <w:r>
              <w:rPr>
                <w:rFonts w:eastAsia="Times New Roman"/>
                <w:sz w:val="18"/>
                <w:szCs w:val="18"/>
              </w:rPr>
              <w:t>Some people who drink</w:t>
            </w:r>
            <w:r w:rsidR="00FA1FF5">
              <w:rPr>
                <w:rFonts w:eastAsia="Times New Roman"/>
                <w:sz w:val="18"/>
                <w:szCs w:val="18"/>
              </w:rPr>
              <w:t xml:space="preserve"> </w:t>
            </w:r>
            <w:r>
              <w:rPr>
                <w:rFonts w:eastAsia="Times New Roman"/>
                <w:sz w:val="18"/>
                <w:szCs w:val="18"/>
              </w:rPr>
              <w:t>water containing</w:t>
            </w:r>
            <w:r w:rsidR="00FA1FF5">
              <w:rPr>
                <w:rFonts w:eastAsia="Times New Roman"/>
                <w:sz w:val="18"/>
                <w:szCs w:val="18"/>
              </w:rPr>
              <w:t xml:space="preserve"> </w:t>
            </w:r>
            <w:r>
              <w:rPr>
                <w:rFonts w:eastAsia="Times New Roman"/>
                <w:sz w:val="18"/>
                <w:szCs w:val="18"/>
              </w:rPr>
              <w:t>1,2,4-trichlorobenzene well</w:t>
            </w:r>
            <w:r w:rsidR="00FA1FF5">
              <w:rPr>
                <w:rFonts w:eastAsia="Times New Roman"/>
                <w:sz w:val="18"/>
                <w:szCs w:val="18"/>
              </w:rPr>
              <w:t xml:space="preserve"> </w:t>
            </w:r>
            <w:r>
              <w:rPr>
                <w:rFonts w:eastAsia="Times New Roman"/>
                <w:sz w:val="18"/>
                <w:szCs w:val="18"/>
              </w:rPr>
              <w:t>in excess of the MCL over</w:t>
            </w:r>
            <w:r w:rsidR="00FA1FF5">
              <w:rPr>
                <w:rFonts w:eastAsia="Times New Roman"/>
                <w:sz w:val="18"/>
                <w:szCs w:val="18"/>
              </w:rPr>
              <w:t xml:space="preserve"> </w:t>
            </w:r>
            <w:r>
              <w:rPr>
                <w:rFonts w:eastAsia="Times New Roman"/>
                <w:sz w:val="18"/>
                <w:szCs w:val="18"/>
              </w:rPr>
              <w:t>many years could</w:t>
            </w:r>
            <w:r w:rsidR="00FA1FF5">
              <w:rPr>
                <w:rFonts w:eastAsia="Times New Roman"/>
                <w:sz w:val="18"/>
                <w:szCs w:val="18"/>
              </w:rPr>
              <w:t xml:space="preserve"> </w:t>
            </w:r>
            <w:r>
              <w:rPr>
                <w:rFonts w:eastAsia="Times New Roman"/>
                <w:sz w:val="18"/>
                <w:szCs w:val="18"/>
              </w:rPr>
              <w:t>experience changes in their</w:t>
            </w:r>
            <w:r w:rsidR="00FA1FF5">
              <w:rPr>
                <w:rFonts w:eastAsia="Times New Roman"/>
                <w:sz w:val="18"/>
                <w:szCs w:val="18"/>
              </w:rPr>
              <w:t xml:space="preserve"> </w:t>
            </w:r>
            <w:r>
              <w:rPr>
                <w:rFonts w:eastAsia="Times New Roman"/>
                <w:sz w:val="18"/>
                <w:szCs w:val="18"/>
              </w:rPr>
              <w:t>adrenal glands.</w:t>
            </w:r>
          </w:p>
        </w:tc>
      </w:tr>
      <w:tr w:rsidR="00FA1FF5" w14:paraId="3EA920C5" w14:textId="77777777" w:rsidTr="00FA1FF5">
        <w:trPr>
          <w:trHeight w:val="2088"/>
        </w:trPr>
        <w:tc>
          <w:tcPr>
            <w:tcW w:w="2097" w:type="dxa"/>
            <w:vAlign w:val="center"/>
          </w:tcPr>
          <w:p w14:paraId="40DEBBE5" w14:textId="4083C758" w:rsidR="00FA1FF5" w:rsidRPr="00FA1FF5" w:rsidRDefault="00FA1FF5" w:rsidP="00563A54">
            <w:pPr>
              <w:pStyle w:val="ListParagraph"/>
              <w:numPr>
                <w:ilvl w:val="0"/>
                <w:numId w:val="940"/>
              </w:numPr>
              <w:ind w:left="360"/>
              <w:rPr>
                <w:rFonts w:eastAsia="Times New Roman"/>
                <w:sz w:val="18"/>
                <w:szCs w:val="18"/>
              </w:rPr>
            </w:pPr>
            <w:r w:rsidRPr="00FA1FF5">
              <w:rPr>
                <w:rFonts w:eastAsia="Times New Roman"/>
                <w:sz w:val="18"/>
                <w:szCs w:val="18"/>
              </w:rPr>
              <w:t>1,1,1-Trichloroethane</w:t>
            </w:r>
          </w:p>
        </w:tc>
        <w:tc>
          <w:tcPr>
            <w:tcW w:w="1059" w:type="dxa"/>
            <w:vAlign w:val="center"/>
          </w:tcPr>
          <w:p w14:paraId="3BDB20A0" w14:textId="4F66329C" w:rsidR="00FA1FF5" w:rsidRDefault="00FA1FF5" w:rsidP="00FA1FF5">
            <w:pPr>
              <w:jc w:val="center"/>
              <w:rPr>
                <w:rFonts w:eastAsia="Times New Roman"/>
                <w:sz w:val="18"/>
                <w:szCs w:val="18"/>
              </w:rPr>
            </w:pPr>
            <w:r>
              <w:rPr>
                <w:rFonts w:eastAsia="Times New Roman"/>
                <w:sz w:val="18"/>
                <w:szCs w:val="18"/>
              </w:rPr>
              <w:t>0.2 mg/l</w:t>
            </w:r>
          </w:p>
        </w:tc>
        <w:tc>
          <w:tcPr>
            <w:tcW w:w="1360" w:type="dxa"/>
            <w:vAlign w:val="center"/>
          </w:tcPr>
          <w:p w14:paraId="607F6B32" w14:textId="1EB07466" w:rsidR="00FA1FF5" w:rsidRDefault="00FA1FF5" w:rsidP="00FA1FF5">
            <w:pPr>
              <w:jc w:val="center"/>
              <w:rPr>
                <w:rFonts w:eastAsia="Times New Roman"/>
                <w:sz w:val="18"/>
                <w:szCs w:val="18"/>
              </w:rPr>
            </w:pPr>
            <w:r>
              <w:rPr>
                <w:rFonts w:eastAsia="Times New Roman"/>
                <w:sz w:val="18"/>
                <w:szCs w:val="18"/>
              </w:rPr>
              <w:t>1000</w:t>
            </w:r>
          </w:p>
        </w:tc>
        <w:tc>
          <w:tcPr>
            <w:tcW w:w="900" w:type="dxa"/>
            <w:vAlign w:val="center"/>
          </w:tcPr>
          <w:p w14:paraId="13404B89" w14:textId="726E2BD8" w:rsidR="00FA1FF5" w:rsidRDefault="00FA1FF5" w:rsidP="00FA1FF5">
            <w:pPr>
              <w:jc w:val="center"/>
              <w:rPr>
                <w:rFonts w:eastAsia="Times New Roman"/>
                <w:sz w:val="18"/>
                <w:szCs w:val="18"/>
              </w:rPr>
            </w:pPr>
            <w:r>
              <w:rPr>
                <w:rFonts w:eastAsia="Times New Roman"/>
                <w:sz w:val="18"/>
                <w:szCs w:val="18"/>
              </w:rPr>
              <w:t>200 ppb</w:t>
            </w:r>
          </w:p>
        </w:tc>
        <w:tc>
          <w:tcPr>
            <w:tcW w:w="980" w:type="dxa"/>
            <w:vAlign w:val="center"/>
          </w:tcPr>
          <w:p w14:paraId="249E8F9A" w14:textId="0794DF8E" w:rsidR="00FA1FF5" w:rsidRDefault="00FA1FF5" w:rsidP="00FA1FF5">
            <w:pPr>
              <w:jc w:val="center"/>
              <w:rPr>
                <w:rFonts w:eastAsia="Times New Roman"/>
                <w:sz w:val="18"/>
                <w:szCs w:val="18"/>
              </w:rPr>
            </w:pPr>
            <w:r>
              <w:rPr>
                <w:rFonts w:eastAsia="Times New Roman"/>
                <w:sz w:val="18"/>
                <w:szCs w:val="18"/>
              </w:rPr>
              <w:t>200 ppb</w:t>
            </w:r>
          </w:p>
        </w:tc>
        <w:tc>
          <w:tcPr>
            <w:tcW w:w="1860" w:type="dxa"/>
          </w:tcPr>
          <w:p w14:paraId="71F7CFB3" w14:textId="50C9F330" w:rsidR="00FA1FF5" w:rsidRDefault="00FA1FF5" w:rsidP="00FA1FF5">
            <w:pPr>
              <w:spacing w:line="329" w:lineRule="auto"/>
              <w:ind w:left="43"/>
              <w:rPr>
                <w:rFonts w:eastAsia="Times New Roman"/>
                <w:sz w:val="18"/>
                <w:szCs w:val="18"/>
              </w:rPr>
            </w:pPr>
            <w:r>
              <w:rPr>
                <w:rFonts w:eastAsia="Times New Roman"/>
                <w:sz w:val="18"/>
                <w:szCs w:val="18"/>
              </w:rPr>
              <w:t>Discharge from metal degreasing sites and other factories</w:t>
            </w:r>
          </w:p>
        </w:tc>
        <w:tc>
          <w:tcPr>
            <w:tcW w:w="2448" w:type="dxa"/>
            <w:gridSpan w:val="2"/>
          </w:tcPr>
          <w:p w14:paraId="4AE7EE2D" w14:textId="0E218308" w:rsidR="00FA1FF5" w:rsidRDefault="00FA1FF5" w:rsidP="00FA1FF5">
            <w:pPr>
              <w:spacing w:line="329" w:lineRule="auto"/>
              <w:ind w:left="43"/>
              <w:rPr>
                <w:rFonts w:eastAsia="Times New Roman"/>
                <w:sz w:val="18"/>
                <w:szCs w:val="18"/>
              </w:rPr>
            </w:pPr>
            <w:r>
              <w:rPr>
                <w:rFonts w:eastAsia="Times New Roman"/>
                <w:sz w:val="18"/>
                <w:szCs w:val="18"/>
              </w:rPr>
              <w:t>Some people who drink water containing 1,1,1-trichloroethane in excess of the MCL over many years could experience problems with their liver, nervous system, or circulatory system.</w:t>
            </w:r>
          </w:p>
        </w:tc>
      </w:tr>
    </w:tbl>
    <w:p w14:paraId="2C9D06CD" w14:textId="77777777" w:rsidR="003D6BE7" w:rsidRDefault="003D6BE7"/>
    <w:p w14:paraId="281A421B" w14:textId="26949175" w:rsidR="003D6BE7" w:rsidRDefault="003D6BE7">
      <w:pPr>
        <w:sectPr w:rsidR="003D6BE7" w:rsidSect="00EF630C">
          <w:pgSz w:w="12240" w:h="20180"/>
          <w:pgMar w:top="708" w:right="940" w:bottom="1440" w:left="600" w:header="0" w:footer="0" w:gutter="0"/>
          <w:cols w:space="720"/>
        </w:sectPr>
      </w:pPr>
    </w:p>
    <w:p w14:paraId="281A4243" w14:textId="77777777" w:rsidR="004647B9" w:rsidRDefault="004647B9">
      <w:pPr>
        <w:spacing w:line="1" w:lineRule="exact"/>
        <w:rPr>
          <w:sz w:val="20"/>
          <w:szCs w:val="20"/>
        </w:rPr>
      </w:pPr>
    </w:p>
    <w:p w14:paraId="281A4244" w14:textId="77777777" w:rsidR="004647B9" w:rsidRDefault="004647B9">
      <w:pPr>
        <w:sectPr w:rsidR="004647B9" w:rsidSect="00EF630C">
          <w:type w:val="continuous"/>
          <w:pgSz w:w="12240" w:h="20180"/>
          <w:pgMar w:top="708" w:right="940" w:bottom="1440" w:left="600" w:header="0" w:footer="0" w:gutter="0"/>
          <w:cols w:space="720"/>
        </w:sectPr>
      </w:pPr>
    </w:p>
    <w:p w14:paraId="281A42DB" w14:textId="77777777" w:rsidR="004647B9" w:rsidRDefault="004647B9">
      <w:pPr>
        <w:spacing w:line="1" w:lineRule="exact"/>
        <w:rPr>
          <w:sz w:val="20"/>
          <w:szCs w:val="20"/>
        </w:rPr>
      </w:pPr>
    </w:p>
    <w:p w14:paraId="281A432D" w14:textId="77777777" w:rsidR="004647B9" w:rsidRDefault="004647B9">
      <w:pPr>
        <w:sectPr w:rsidR="004647B9" w:rsidSect="00EF630C">
          <w:type w:val="continuous"/>
          <w:pgSz w:w="12240" w:h="20180"/>
          <w:pgMar w:top="708" w:right="940" w:bottom="1440" w:left="600" w:header="0" w:footer="0" w:gutter="0"/>
          <w:cols w:space="720"/>
        </w:sectPr>
      </w:pPr>
    </w:p>
    <w:p w14:paraId="281A432E" w14:textId="77777777" w:rsidR="004647B9" w:rsidRDefault="00E2436F">
      <w:pPr>
        <w:tabs>
          <w:tab w:val="left" w:pos="2860"/>
        </w:tabs>
        <w:ind w:left="1680"/>
        <w:rPr>
          <w:sz w:val="20"/>
          <w:szCs w:val="20"/>
        </w:rPr>
      </w:pPr>
      <w:bookmarkStart w:id="236" w:name="page238"/>
      <w:bookmarkEnd w:id="23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32F" w14:textId="77777777" w:rsidR="004647B9" w:rsidRDefault="004647B9" w:rsidP="009118C6">
      <w:pPr>
        <w:rPr>
          <w:sz w:val="20"/>
          <w:szCs w:val="20"/>
        </w:rPr>
      </w:pPr>
    </w:p>
    <w:p w14:paraId="41C3C8EF" w14:textId="77777777" w:rsidR="009118C6" w:rsidRDefault="009118C6" w:rsidP="009118C6">
      <w:pPr>
        <w:rPr>
          <w:sz w:val="20"/>
          <w:szCs w:val="20"/>
        </w:rPr>
      </w:pPr>
    </w:p>
    <w:p w14:paraId="281A4330" w14:textId="2D17B471" w:rsidR="004647B9" w:rsidRPr="009118C6" w:rsidRDefault="00E2436F" w:rsidP="009118C6">
      <w:pPr>
        <w:tabs>
          <w:tab w:val="left" w:pos="940"/>
        </w:tabs>
        <w:rPr>
          <w:sz w:val="24"/>
          <w:szCs w:val="24"/>
        </w:rPr>
      </w:pPr>
      <w:r w:rsidRPr="009118C6">
        <w:rPr>
          <w:rFonts w:eastAsia="Times New Roman"/>
          <w:sz w:val="24"/>
          <w:szCs w:val="24"/>
        </w:rPr>
        <w:t>22.16A:</w:t>
      </w:r>
      <w:r w:rsidRPr="009118C6">
        <w:rPr>
          <w:sz w:val="24"/>
          <w:szCs w:val="24"/>
        </w:rPr>
        <w:tab/>
      </w:r>
      <w:r w:rsidRPr="009118C6">
        <w:rPr>
          <w:rFonts w:eastAsia="Times New Roman"/>
          <w:sz w:val="24"/>
          <w:szCs w:val="24"/>
        </w:rPr>
        <w:t>continued</w:t>
      </w:r>
    </w:p>
    <w:p w14:paraId="281A4332" w14:textId="77777777" w:rsidR="004647B9" w:rsidRDefault="004647B9" w:rsidP="009118C6">
      <w:pPr>
        <w:rPr>
          <w:sz w:val="20"/>
          <w:szCs w:val="20"/>
        </w:rPr>
      </w:pPr>
    </w:p>
    <w:tbl>
      <w:tblPr>
        <w:tblW w:w="1069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100"/>
        <w:gridCol w:w="1060"/>
        <w:gridCol w:w="1360"/>
        <w:gridCol w:w="900"/>
        <w:gridCol w:w="980"/>
        <w:gridCol w:w="1858"/>
        <w:gridCol w:w="2434"/>
      </w:tblGrid>
      <w:tr w:rsidR="00FA1FF5" w14:paraId="281A433C" w14:textId="77777777" w:rsidTr="00867475">
        <w:trPr>
          <w:trHeight w:val="1073"/>
        </w:trPr>
        <w:tc>
          <w:tcPr>
            <w:tcW w:w="2100" w:type="dxa"/>
            <w:vAlign w:val="center"/>
          </w:tcPr>
          <w:p w14:paraId="281A4335" w14:textId="21743583" w:rsidR="00FA1FF5" w:rsidRDefault="00FA1FF5" w:rsidP="00FA1FF5">
            <w:pPr>
              <w:jc w:val="center"/>
              <w:rPr>
                <w:sz w:val="24"/>
                <w:szCs w:val="24"/>
              </w:rPr>
            </w:pPr>
            <w:r>
              <w:rPr>
                <w:rFonts w:eastAsia="Times New Roman"/>
                <w:sz w:val="18"/>
                <w:szCs w:val="18"/>
              </w:rPr>
              <w:t>Contaminant</w:t>
            </w:r>
          </w:p>
        </w:tc>
        <w:tc>
          <w:tcPr>
            <w:tcW w:w="1060" w:type="dxa"/>
            <w:vAlign w:val="center"/>
          </w:tcPr>
          <w:p w14:paraId="281A4336" w14:textId="7A8CF3FE" w:rsidR="00FA1FF5" w:rsidRDefault="00FA1FF5" w:rsidP="00FA1FF5">
            <w:pPr>
              <w:jc w:val="center"/>
              <w:rPr>
                <w:sz w:val="20"/>
                <w:szCs w:val="20"/>
              </w:rPr>
            </w:pPr>
            <w:r>
              <w:rPr>
                <w:rFonts w:eastAsia="Times New Roman"/>
                <w:sz w:val="18"/>
                <w:szCs w:val="18"/>
              </w:rPr>
              <w:t>Traditional MCL</w:t>
            </w:r>
          </w:p>
        </w:tc>
        <w:tc>
          <w:tcPr>
            <w:tcW w:w="1360" w:type="dxa"/>
            <w:vAlign w:val="center"/>
          </w:tcPr>
          <w:p w14:paraId="281A4337" w14:textId="31561E92" w:rsidR="00FA1FF5" w:rsidRDefault="00FA1FF5" w:rsidP="00FA1FF5">
            <w:pPr>
              <w:jc w:val="center"/>
              <w:rPr>
                <w:sz w:val="20"/>
                <w:szCs w:val="20"/>
              </w:rPr>
            </w:pPr>
            <w:r>
              <w:rPr>
                <w:rFonts w:eastAsia="Times New Roman"/>
                <w:sz w:val="18"/>
                <w:szCs w:val="18"/>
              </w:rPr>
              <w:t>To convert for CCR, multiply by</w:t>
            </w:r>
          </w:p>
        </w:tc>
        <w:tc>
          <w:tcPr>
            <w:tcW w:w="900" w:type="dxa"/>
            <w:vAlign w:val="center"/>
          </w:tcPr>
          <w:p w14:paraId="281A4338" w14:textId="23E85786" w:rsidR="00FA1FF5" w:rsidRDefault="00FA1FF5" w:rsidP="00FA1FF5">
            <w:pPr>
              <w:jc w:val="center"/>
              <w:rPr>
                <w:sz w:val="20"/>
                <w:szCs w:val="20"/>
              </w:rPr>
            </w:pPr>
            <w:r>
              <w:rPr>
                <w:rFonts w:eastAsia="Times New Roman"/>
                <w:sz w:val="18"/>
                <w:szCs w:val="18"/>
              </w:rPr>
              <w:t>MCL in CCR units</w:t>
            </w:r>
          </w:p>
        </w:tc>
        <w:tc>
          <w:tcPr>
            <w:tcW w:w="980" w:type="dxa"/>
            <w:vAlign w:val="center"/>
          </w:tcPr>
          <w:p w14:paraId="281A4339" w14:textId="298D455B" w:rsidR="00FA1FF5" w:rsidRDefault="00FA1FF5" w:rsidP="00FA1FF5">
            <w:pPr>
              <w:jc w:val="center"/>
              <w:rPr>
                <w:sz w:val="20"/>
                <w:szCs w:val="20"/>
              </w:rPr>
            </w:pPr>
            <w:r>
              <w:rPr>
                <w:rFonts w:eastAsia="Times New Roman"/>
                <w:sz w:val="18"/>
                <w:szCs w:val="18"/>
              </w:rPr>
              <w:t>MCLG in CCR units</w:t>
            </w:r>
          </w:p>
        </w:tc>
        <w:tc>
          <w:tcPr>
            <w:tcW w:w="1858" w:type="dxa"/>
            <w:vAlign w:val="center"/>
          </w:tcPr>
          <w:p w14:paraId="281A433A" w14:textId="72717115" w:rsidR="00FA1FF5" w:rsidRDefault="00FA1FF5" w:rsidP="00FA1FF5">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vAlign w:val="center"/>
          </w:tcPr>
          <w:p w14:paraId="281A433B" w14:textId="5ED342EB" w:rsidR="00FA1FF5" w:rsidRDefault="00FA1FF5" w:rsidP="00FA1FF5">
            <w:pPr>
              <w:jc w:val="center"/>
              <w:rPr>
                <w:sz w:val="20"/>
                <w:szCs w:val="20"/>
              </w:rPr>
            </w:pPr>
            <w:r>
              <w:rPr>
                <w:rFonts w:eastAsia="Times New Roman"/>
                <w:sz w:val="18"/>
                <w:szCs w:val="18"/>
              </w:rPr>
              <w:t>Health Effects Language</w:t>
            </w:r>
          </w:p>
        </w:tc>
      </w:tr>
      <w:tr w:rsidR="00243988" w14:paraId="281A4361" w14:textId="77777777" w:rsidTr="00867475">
        <w:trPr>
          <w:trHeight w:val="2553"/>
        </w:trPr>
        <w:tc>
          <w:tcPr>
            <w:tcW w:w="2100" w:type="dxa"/>
            <w:vAlign w:val="center"/>
          </w:tcPr>
          <w:p w14:paraId="281A435A" w14:textId="54615D90" w:rsidR="00243988" w:rsidRPr="00064901" w:rsidRDefault="00243988" w:rsidP="00563A54">
            <w:pPr>
              <w:pStyle w:val="ListParagraph"/>
              <w:numPr>
                <w:ilvl w:val="0"/>
                <w:numId w:val="940"/>
              </w:numPr>
              <w:ind w:left="360"/>
              <w:rPr>
                <w:sz w:val="20"/>
                <w:szCs w:val="20"/>
              </w:rPr>
            </w:pPr>
            <w:r w:rsidRPr="00064901">
              <w:rPr>
                <w:rFonts w:eastAsia="Times New Roman"/>
                <w:sz w:val="18"/>
                <w:szCs w:val="18"/>
              </w:rPr>
              <w:t>1,1,2-Trichloroethane</w:t>
            </w:r>
          </w:p>
        </w:tc>
        <w:tc>
          <w:tcPr>
            <w:tcW w:w="1060" w:type="dxa"/>
            <w:vAlign w:val="center"/>
          </w:tcPr>
          <w:p w14:paraId="281A435B" w14:textId="77777777" w:rsidR="00243988" w:rsidRDefault="00243988" w:rsidP="00243988">
            <w:pPr>
              <w:jc w:val="center"/>
              <w:rPr>
                <w:sz w:val="20"/>
                <w:szCs w:val="20"/>
              </w:rPr>
            </w:pPr>
            <w:r>
              <w:rPr>
                <w:rFonts w:eastAsia="Times New Roman"/>
                <w:sz w:val="18"/>
                <w:szCs w:val="18"/>
              </w:rPr>
              <w:t>0.005 mg/l</w:t>
            </w:r>
          </w:p>
        </w:tc>
        <w:tc>
          <w:tcPr>
            <w:tcW w:w="1360" w:type="dxa"/>
            <w:vAlign w:val="center"/>
          </w:tcPr>
          <w:p w14:paraId="281A435C" w14:textId="77777777" w:rsidR="00243988" w:rsidRDefault="00243988" w:rsidP="00243988">
            <w:pPr>
              <w:jc w:val="center"/>
              <w:rPr>
                <w:sz w:val="20"/>
                <w:szCs w:val="20"/>
              </w:rPr>
            </w:pPr>
            <w:r>
              <w:rPr>
                <w:rFonts w:eastAsia="Times New Roman"/>
                <w:sz w:val="18"/>
                <w:szCs w:val="18"/>
              </w:rPr>
              <w:t>1000</w:t>
            </w:r>
          </w:p>
        </w:tc>
        <w:tc>
          <w:tcPr>
            <w:tcW w:w="900" w:type="dxa"/>
            <w:vAlign w:val="center"/>
          </w:tcPr>
          <w:p w14:paraId="281A435D" w14:textId="77777777" w:rsidR="00243988" w:rsidRDefault="00243988" w:rsidP="00243988">
            <w:pPr>
              <w:jc w:val="center"/>
              <w:rPr>
                <w:sz w:val="20"/>
                <w:szCs w:val="20"/>
              </w:rPr>
            </w:pPr>
            <w:r>
              <w:rPr>
                <w:rFonts w:eastAsia="Times New Roman"/>
                <w:sz w:val="18"/>
                <w:szCs w:val="18"/>
              </w:rPr>
              <w:t>5 ppb</w:t>
            </w:r>
          </w:p>
        </w:tc>
        <w:tc>
          <w:tcPr>
            <w:tcW w:w="980" w:type="dxa"/>
            <w:vAlign w:val="center"/>
          </w:tcPr>
          <w:p w14:paraId="281A435E" w14:textId="77777777" w:rsidR="00243988" w:rsidRDefault="00243988" w:rsidP="00243988">
            <w:pPr>
              <w:jc w:val="center"/>
              <w:rPr>
                <w:sz w:val="20"/>
                <w:szCs w:val="20"/>
              </w:rPr>
            </w:pPr>
            <w:r>
              <w:rPr>
                <w:rFonts w:eastAsia="Times New Roman"/>
                <w:sz w:val="18"/>
                <w:szCs w:val="18"/>
              </w:rPr>
              <w:t>3 ppb</w:t>
            </w:r>
          </w:p>
        </w:tc>
        <w:tc>
          <w:tcPr>
            <w:tcW w:w="1858" w:type="dxa"/>
          </w:tcPr>
          <w:p w14:paraId="281A435F" w14:textId="32F7CA86" w:rsidR="00243988" w:rsidRPr="00243988" w:rsidRDefault="00243988" w:rsidP="00243988">
            <w:pPr>
              <w:spacing w:line="329" w:lineRule="auto"/>
              <w:ind w:left="43"/>
              <w:rPr>
                <w:rFonts w:eastAsia="Times New Roman"/>
                <w:sz w:val="18"/>
                <w:szCs w:val="18"/>
              </w:rPr>
            </w:pPr>
            <w:r>
              <w:rPr>
                <w:rFonts w:eastAsia="Times New Roman"/>
                <w:sz w:val="18"/>
                <w:szCs w:val="18"/>
              </w:rPr>
              <w:t>Discharge from industrial chemical factories</w:t>
            </w:r>
          </w:p>
        </w:tc>
        <w:tc>
          <w:tcPr>
            <w:tcW w:w="2434" w:type="dxa"/>
          </w:tcPr>
          <w:p w14:paraId="281A4360" w14:textId="05EED550" w:rsidR="00243988" w:rsidRPr="00243988" w:rsidRDefault="00243988" w:rsidP="00243988">
            <w:pPr>
              <w:spacing w:line="329" w:lineRule="auto"/>
              <w:ind w:left="43"/>
              <w:rPr>
                <w:rFonts w:eastAsia="Times New Roman"/>
                <w:sz w:val="18"/>
                <w:szCs w:val="18"/>
              </w:rPr>
            </w:pPr>
            <w:r>
              <w:rPr>
                <w:rFonts w:eastAsia="Times New Roman"/>
                <w:sz w:val="18"/>
                <w:szCs w:val="18"/>
              </w:rPr>
              <w:t>Some people who drink water containing 1,1,2-trichloroethane well in excess of the MCL over many years could have problems with their liver, kidneys, or immune systems.</w:t>
            </w:r>
          </w:p>
        </w:tc>
      </w:tr>
      <w:tr w:rsidR="00243988" w14:paraId="281A43B8" w14:textId="77777777" w:rsidTr="00867475">
        <w:trPr>
          <w:trHeight w:val="2553"/>
        </w:trPr>
        <w:tc>
          <w:tcPr>
            <w:tcW w:w="2100" w:type="dxa"/>
            <w:vAlign w:val="center"/>
          </w:tcPr>
          <w:p w14:paraId="281A43B1" w14:textId="77777777" w:rsidR="00243988" w:rsidRPr="00243988" w:rsidRDefault="00243988" w:rsidP="00563A54">
            <w:pPr>
              <w:pStyle w:val="ListParagraph"/>
              <w:numPr>
                <w:ilvl w:val="0"/>
                <w:numId w:val="940"/>
              </w:numPr>
              <w:ind w:left="360"/>
              <w:rPr>
                <w:sz w:val="20"/>
                <w:szCs w:val="20"/>
              </w:rPr>
            </w:pPr>
            <w:r w:rsidRPr="00243988">
              <w:rPr>
                <w:rFonts w:eastAsia="Times New Roman"/>
                <w:sz w:val="18"/>
                <w:szCs w:val="18"/>
              </w:rPr>
              <w:t>Trichloroethylene</w:t>
            </w:r>
          </w:p>
        </w:tc>
        <w:tc>
          <w:tcPr>
            <w:tcW w:w="1060" w:type="dxa"/>
            <w:vAlign w:val="center"/>
          </w:tcPr>
          <w:p w14:paraId="281A43B2" w14:textId="77777777" w:rsidR="00243988" w:rsidRDefault="00243988" w:rsidP="00243988">
            <w:pPr>
              <w:jc w:val="center"/>
              <w:rPr>
                <w:sz w:val="20"/>
                <w:szCs w:val="20"/>
              </w:rPr>
            </w:pPr>
            <w:r>
              <w:rPr>
                <w:rFonts w:eastAsia="Times New Roman"/>
                <w:sz w:val="18"/>
                <w:szCs w:val="18"/>
              </w:rPr>
              <w:t>0.005 mg/l</w:t>
            </w:r>
          </w:p>
        </w:tc>
        <w:tc>
          <w:tcPr>
            <w:tcW w:w="1360" w:type="dxa"/>
            <w:vAlign w:val="center"/>
          </w:tcPr>
          <w:p w14:paraId="281A43B3" w14:textId="77777777" w:rsidR="00243988" w:rsidRDefault="00243988" w:rsidP="00243988">
            <w:pPr>
              <w:jc w:val="center"/>
              <w:rPr>
                <w:sz w:val="20"/>
                <w:szCs w:val="20"/>
              </w:rPr>
            </w:pPr>
            <w:r>
              <w:rPr>
                <w:rFonts w:eastAsia="Times New Roman"/>
                <w:sz w:val="18"/>
                <w:szCs w:val="18"/>
              </w:rPr>
              <w:t>1000</w:t>
            </w:r>
          </w:p>
        </w:tc>
        <w:tc>
          <w:tcPr>
            <w:tcW w:w="900" w:type="dxa"/>
            <w:vAlign w:val="center"/>
          </w:tcPr>
          <w:p w14:paraId="281A43B4" w14:textId="77777777" w:rsidR="00243988" w:rsidRDefault="00243988" w:rsidP="00243988">
            <w:pPr>
              <w:jc w:val="center"/>
              <w:rPr>
                <w:sz w:val="20"/>
                <w:szCs w:val="20"/>
              </w:rPr>
            </w:pPr>
            <w:r>
              <w:rPr>
                <w:rFonts w:eastAsia="Times New Roman"/>
                <w:sz w:val="18"/>
                <w:szCs w:val="18"/>
              </w:rPr>
              <w:t>5 ppb</w:t>
            </w:r>
          </w:p>
        </w:tc>
        <w:tc>
          <w:tcPr>
            <w:tcW w:w="980" w:type="dxa"/>
            <w:vAlign w:val="center"/>
          </w:tcPr>
          <w:p w14:paraId="281A43B5" w14:textId="77777777" w:rsidR="00243988" w:rsidRDefault="00243988" w:rsidP="00243988">
            <w:pPr>
              <w:jc w:val="center"/>
              <w:rPr>
                <w:sz w:val="20"/>
                <w:szCs w:val="20"/>
              </w:rPr>
            </w:pPr>
            <w:r>
              <w:rPr>
                <w:rFonts w:eastAsia="Times New Roman"/>
                <w:sz w:val="18"/>
                <w:szCs w:val="18"/>
              </w:rPr>
              <w:t>0</w:t>
            </w:r>
          </w:p>
        </w:tc>
        <w:tc>
          <w:tcPr>
            <w:tcW w:w="1858" w:type="dxa"/>
          </w:tcPr>
          <w:p w14:paraId="281A43B6" w14:textId="6E5F4151" w:rsidR="00243988" w:rsidRPr="00243988" w:rsidRDefault="00243988" w:rsidP="00243988">
            <w:pPr>
              <w:spacing w:line="329" w:lineRule="auto"/>
              <w:ind w:left="43"/>
              <w:rPr>
                <w:rFonts w:eastAsia="Times New Roman"/>
                <w:sz w:val="18"/>
                <w:szCs w:val="18"/>
              </w:rPr>
            </w:pPr>
            <w:r>
              <w:rPr>
                <w:rFonts w:eastAsia="Times New Roman"/>
                <w:sz w:val="18"/>
                <w:szCs w:val="18"/>
              </w:rPr>
              <w:t>Discharge from metal degreasing sites and other factories</w:t>
            </w:r>
          </w:p>
        </w:tc>
        <w:tc>
          <w:tcPr>
            <w:tcW w:w="2434" w:type="dxa"/>
          </w:tcPr>
          <w:p w14:paraId="281A43B7" w14:textId="653693D7" w:rsidR="00243988" w:rsidRPr="00243988" w:rsidRDefault="00243988" w:rsidP="00243988">
            <w:pPr>
              <w:spacing w:line="329" w:lineRule="auto"/>
              <w:ind w:left="43"/>
              <w:rPr>
                <w:rFonts w:eastAsia="Times New Roman"/>
                <w:sz w:val="18"/>
                <w:szCs w:val="18"/>
              </w:rPr>
            </w:pPr>
            <w:r>
              <w:rPr>
                <w:rFonts w:eastAsia="Times New Roman"/>
                <w:sz w:val="18"/>
                <w:szCs w:val="18"/>
              </w:rPr>
              <w:t>Some people who drink water containing trichloroethylene in excess of the MCL over many years could experience problems with their liver and may have an increased risk of getting cancer.</w:t>
            </w:r>
          </w:p>
        </w:tc>
      </w:tr>
      <w:tr w:rsidR="00243988" w14:paraId="281A4411" w14:textId="77777777" w:rsidTr="00867475">
        <w:trPr>
          <w:trHeight w:val="3152"/>
        </w:trPr>
        <w:tc>
          <w:tcPr>
            <w:tcW w:w="2100" w:type="dxa"/>
            <w:vAlign w:val="center"/>
          </w:tcPr>
          <w:p w14:paraId="281A440A" w14:textId="01800835" w:rsidR="00243988" w:rsidRPr="00243988" w:rsidRDefault="00243988" w:rsidP="00563A54">
            <w:pPr>
              <w:pStyle w:val="ListParagraph"/>
              <w:numPr>
                <w:ilvl w:val="0"/>
                <w:numId w:val="940"/>
              </w:numPr>
              <w:ind w:left="360"/>
              <w:rPr>
                <w:sz w:val="20"/>
                <w:szCs w:val="20"/>
              </w:rPr>
            </w:pPr>
            <w:r w:rsidRPr="00243988">
              <w:rPr>
                <w:rFonts w:eastAsia="Times New Roman"/>
                <w:sz w:val="18"/>
                <w:szCs w:val="18"/>
              </w:rPr>
              <w:t>TTHMs [Total</w:t>
            </w:r>
            <w:r>
              <w:rPr>
                <w:rFonts w:eastAsia="Times New Roman"/>
                <w:sz w:val="18"/>
                <w:szCs w:val="18"/>
              </w:rPr>
              <w:t xml:space="preserve"> </w:t>
            </w:r>
            <w:r w:rsidRPr="00243988">
              <w:rPr>
                <w:rFonts w:eastAsia="Times New Roman"/>
                <w:sz w:val="18"/>
                <w:szCs w:val="18"/>
              </w:rPr>
              <w:t>Trihalomethanes]</w:t>
            </w:r>
          </w:p>
        </w:tc>
        <w:tc>
          <w:tcPr>
            <w:tcW w:w="1060" w:type="dxa"/>
            <w:vAlign w:val="center"/>
          </w:tcPr>
          <w:p w14:paraId="281A440B" w14:textId="1AD8954D" w:rsidR="00243988" w:rsidRDefault="00243988" w:rsidP="00243988">
            <w:pPr>
              <w:jc w:val="center"/>
              <w:rPr>
                <w:sz w:val="20"/>
                <w:szCs w:val="20"/>
              </w:rPr>
            </w:pPr>
            <w:r>
              <w:rPr>
                <w:rFonts w:eastAsia="Times New Roman"/>
                <w:sz w:val="18"/>
                <w:szCs w:val="18"/>
              </w:rPr>
              <w:t>0.08</w:t>
            </w:r>
            <w:r w:rsidR="00A94C46">
              <w:rPr>
                <w:rFonts w:eastAsia="Times New Roman"/>
                <w:sz w:val="18"/>
                <w:szCs w:val="18"/>
              </w:rPr>
              <w:t>0</w:t>
            </w:r>
            <w:r>
              <w:rPr>
                <w:rFonts w:eastAsia="Times New Roman"/>
                <w:sz w:val="18"/>
                <w:szCs w:val="18"/>
              </w:rPr>
              <w:t xml:space="preserve"> mg/l</w:t>
            </w:r>
          </w:p>
        </w:tc>
        <w:tc>
          <w:tcPr>
            <w:tcW w:w="1360" w:type="dxa"/>
            <w:vAlign w:val="center"/>
          </w:tcPr>
          <w:p w14:paraId="281A440C" w14:textId="77777777" w:rsidR="00243988" w:rsidRDefault="00243988" w:rsidP="00243988">
            <w:pPr>
              <w:jc w:val="center"/>
              <w:rPr>
                <w:sz w:val="20"/>
                <w:szCs w:val="20"/>
              </w:rPr>
            </w:pPr>
            <w:r>
              <w:rPr>
                <w:rFonts w:eastAsia="Times New Roman"/>
                <w:sz w:val="18"/>
                <w:szCs w:val="18"/>
              </w:rPr>
              <w:t>1000</w:t>
            </w:r>
          </w:p>
        </w:tc>
        <w:tc>
          <w:tcPr>
            <w:tcW w:w="900" w:type="dxa"/>
            <w:vAlign w:val="center"/>
          </w:tcPr>
          <w:p w14:paraId="281A440D" w14:textId="77777777" w:rsidR="00243988" w:rsidRDefault="00243988" w:rsidP="00243988">
            <w:pPr>
              <w:jc w:val="center"/>
              <w:rPr>
                <w:sz w:val="20"/>
                <w:szCs w:val="20"/>
              </w:rPr>
            </w:pPr>
            <w:r>
              <w:rPr>
                <w:rFonts w:eastAsia="Times New Roman"/>
                <w:sz w:val="18"/>
                <w:szCs w:val="18"/>
              </w:rPr>
              <w:t>80 ppb</w:t>
            </w:r>
          </w:p>
        </w:tc>
        <w:tc>
          <w:tcPr>
            <w:tcW w:w="980" w:type="dxa"/>
            <w:vAlign w:val="center"/>
          </w:tcPr>
          <w:p w14:paraId="281A440E" w14:textId="77777777" w:rsidR="00243988" w:rsidRDefault="00243988" w:rsidP="00243988">
            <w:pPr>
              <w:jc w:val="center"/>
              <w:rPr>
                <w:sz w:val="20"/>
                <w:szCs w:val="20"/>
              </w:rPr>
            </w:pPr>
            <w:r>
              <w:rPr>
                <w:rFonts w:eastAsia="Times New Roman"/>
                <w:sz w:val="18"/>
                <w:szCs w:val="18"/>
              </w:rPr>
              <w:t>N/A</w:t>
            </w:r>
          </w:p>
        </w:tc>
        <w:tc>
          <w:tcPr>
            <w:tcW w:w="1858" w:type="dxa"/>
          </w:tcPr>
          <w:p w14:paraId="281A440F" w14:textId="07EEFC4B" w:rsidR="00243988" w:rsidRPr="00243988" w:rsidRDefault="00243988" w:rsidP="00243988">
            <w:pPr>
              <w:spacing w:line="329" w:lineRule="auto"/>
              <w:ind w:left="43"/>
              <w:rPr>
                <w:rFonts w:eastAsia="Times New Roman"/>
                <w:sz w:val="18"/>
                <w:szCs w:val="18"/>
              </w:rPr>
            </w:pPr>
            <w:r>
              <w:rPr>
                <w:rFonts w:eastAsia="Times New Roman"/>
                <w:sz w:val="18"/>
                <w:szCs w:val="18"/>
              </w:rPr>
              <w:t>By-product of drinking water Disinfection</w:t>
            </w:r>
          </w:p>
        </w:tc>
        <w:tc>
          <w:tcPr>
            <w:tcW w:w="2434" w:type="dxa"/>
          </w:tcPr>
          <w:p w14:paraId="281A4410" w14:textId="0B58FFE3" w:rsidR="00243988" w:rsidRPr="00243988" w:rsidRDefault="00243988" w:rsidP="00243988">
            <w:pPr>
              <w:spacing w:line="329" w:lineRule="auto"/>
              <w:ind w:left="43"/>
              <w:rPr>
                <w:rFonts w:eastAsia="Times New Roman"/>
                <w:sz w:val="18"/>
                <w:szCs w:val="18"/>
              </w:rPr>
            </w:pPr>
            <w:r>
              <w:rPr>
                <w:rFonts w:eastAsia="Times New Roman"/>
                <w:sz w:val="18"/>
                <w:szCs w:val="18"/>
              </w:rPr>
              <w:t>Some people who drink water containing trihalomethanes in excess of the MCL over many years may experience problems with their liver, kidneys, or central nervous systems, and may have an increased risk of getting cancer.</w:t>
            </w:r>
          </w:p>
        </w:tc>
      </w:tr>
      <w:tr w:rsidR="00867475" w14:paraId="281A447D" w14:textId="77777777" w:rsidTr="00867475">
        <w:trPr>
          <w:trHeight w:val="2237"/>
        </w:trPr>
        <w:tc>
          <w:tcPr>
            <w:tcW w:w="2100" w:type="dxa"/>
            <w:vAlign w:val="center"/>
          </w:tcPr>
          <w:p w14:paraId="281A4476" w14:textId="77777777" w:rsidR="00867475" w:rsidRPr="00243988" w:rsidRDefault="00867475" w:rsidP="00563A54">
            <w:pPr>
              <w:pStyle w:val="ListParagraph"/>
              <w:numPr>
                <w:ilvl w:val="0"/>
                <w:numId w:val="940"/>
              </w:numPr>
              <w:ind w:left="360"/>
              <w:rPr>
                <w:sz w:val="20"/>
                <w:szCs w:val="20"/>
              </w:rPr>
            </w:pPr>
            <w:r w:rsidRPr="00243988">
              <w:rPr>
                <w:rFonts w:eastAsia="Times New Roman"/>
                <w:sz w:val="18"/>
                <w:szCs w:val="18"/>
              </w:rPr>
              <w:t>Toluene</w:t>
            </w:r>
          </w:p>
        </w:tc>
        <w:tc>
          <w:tcPr>
            <w:tcW w:w="1060" w:type="dxa"/>
            <w:vAlign w:val="center"/>
          </w:tcPr>
          <w:p w14:paraId="281A4477" w14:textId="77777777" w:rsidR="00867475" w:rsidRDefault="00867475" w:rsidP="00867475">
            <w:pPr>
              <w:jc w:val="center"/>
              <w:rPr>
                <w:sz w:val="20"/>
                <w:szCs w:val="20"/>
              </w:rPr>
            </w:pPr>
            <w:r>
              <w:rPr>
                <w:rFonts w:eastAsia="Times New Roman"/>
                <w:sz w:val="18"/>
                <w:szCs w:val="18"/>
              </w:rPr>
              <w:t>1 mg/l</w:t>
            </w:r>
          </w:p>
        </w:tc>
        <w:tc>
          <w:tcPr>
            <w:tcW w:w="1360" w:type="dxa"/>
            <w:vAlign w:val="center"/>
          </w:tcPr>
          <w:p w14:paraId="281A4478" w14:textId="77777777" w:rsidR="00867475" w:rsidRDefault="00867475" w:rsidP="00867475">
            <w:pPr>
              <w:jc w:val="center"/>
              <w:rPr>
                <w:sz w:val="20"/>
                <w:szCs w:val="20"/>
              </w:rPr>
            </w:pPr>
            <w:r>
              <w:rPr>
                <w:rFonts w:eastAsia="Times New Roman"/>
                <w:w w:val="99"/>
                <w:sz w:val="18"/>
                <w:szCs w:val="18"/>
              </w:rPr>
              <w:t>-</w:t>
            </w:r>
          </w:p>
        </w:tc>
        <w:tc>
          <w:tcPr>
            <w:tcW w:w="900" w:type="dxa"/>
            <w:vAlign w:val="center"/>
          </w:tcPr>
          <w:p w14:paraId="281A4479" w14:textId="77777777" w:rsidR="00867475" w:rsidRDefault="00867475" w:rsidP="00867475">
            <w:pPr>
              <w:jc w:val="center"/>
              <w:rPr>
                <w:sz w:val="20"/>
                <w:szCs w:val="20"/>
              </w:rPr>
            </w:pPr>
            <w:r>
              <w:rPr>
                <w:rFonts w:eastAsia="Times New Roman"/>
                <w:sz w:val="18"/>
                <w:szCs w:val="18"/>
              </w:rPr>
              <w:t>1 ppm</w:t>
            </w:r>
          </w:p>
        </w:tc>
        <w:tc>
          <w:tcPr>
            <w:tcW w:w="980" w:type="dxa"/>
            <w:vAlign w:val="center"/>
          </w:tcPr>
          <w:p w14:paraId="281A447A" w14:textId="77777777" w:rsidR="00867475" w:rsidRDefault="00867475" w:rsidP="00867475">
            <w:pPr>
              <w:jc w:val="center"/>
              <w:rPr>
                <w:sz w:val="20"/>
                <w:szCs w:val="20"/>
              </w:rPr>
            </w:pPr>
            <w:r>
              <w:rPr>
                <w:rFonts w:eastAsia="Times New Roman"/>
                <w:sz w:val="18"/>
                <w:szCs w:val="18"/>
              </w:rPr>
              <w:t>1 ppm</w:t>
            </w:r>
          </w:p>
        </w:tc>
        <w:tc>
          <w:tcPr>
            <w:tcW w:w="1858" w:type="dxa"/>
          </w:tcPr>
          <w:p w14:paraId="281A447B" w14:textId="1AC2C661" w:rsidR="00867475" w:rsidRPr="00867475" w:rsidRDefault="00867475" w:rsidP="00591DD4">
            <w:pPr>
              <w:spacing w:line="329" w:lineRule="auto"/>
              <w:ind w:left="43"/>
              <w:rPr>
                <w:rFonts w:eastAsia="Times New Roman"/>
                <w:sz w:val="18"/>
                <w:szCs w:val="18"/>
              </w:rPr>
            </w:pPr>
            <w:r>
              <w:rPr>
                <w:rFonts w:eastAsia="Times New Roman"/>
                <w:sz w:val="18"/>
                <w:szCs w:val="18"/>
              </w:rPr>
              <w:t>Discharge from</w:t>
            </w:r>
            <w:r w:rsidR="00591DD4">
              <w:rPr>
                <w:rFonts w:eastAsia="Times New Roman"/>
                <w:sz w:val="18"/>
                <w:szCs w:val="18"/>
              </w:rPr>
              <w:t xml:space="preserve"> </w:t>
            </w:r>
            <w:r>
              <w:rPr>
                <w:rFonts w:eastAsia="Times New Roman"/>
                <w:sz w:val="18"/>
                <w:szCs w:val="18"/>
              </w:rPr>
              <w:t>petroleum factories</w:t>
            </w:r>
          </w:p>
        </w:tc>
        <w:tc>
          <w:tcPr>
            <w:tcW w:w="2434" w:type="dxa"/>
          </w:tcPr>
          <w:p w14:paraId="281A447C" w14:textId="7E1FBC20" w:rsidR="00867475" w:rsidRPr="00867475" w:rsidRDefault="00867475" w:rsidP="00591DD4">
            <w:pPr>
              <w:spacing w:line="329" w:lineRule="auto"/>
              <w:ind w:left="43"/>
              <w:rPr>
                <w:rFonts w:eastAsia="Times New Roman"/>
                <w:sz w:val="18"/>
                <w:szCs w:val="18"/>
              </w:rPr>
            </w:pPr>
            <w:r>
              <w:rPr>
                <w:rFonts w:eastAsia="Times New Roman"/>
                <w:sz w:val="18"/>
                <w:szCs w:val="18"/>
              </w:rPr>
              <w:t>Some people who drink</w:t>
            </w:r>
            <w:r w:rsidR="00591DD4">
              <w:rPr>
                <w:rFonts w:eastAsia="Times New Roman"/>
                <w:sz w:val="18"/>
                <w:szCs w:val="18"/>
              </w:rPr>
              <w:t xml:space="preserve"> </w:t>
            </w:r>
            <w:r>
              <w:rPr>
                <w:rFonts w:eastAsia="Times New Roman"/>
                <w:sz w:val="18"/>
                <w:szCs w:val="18"/>
              </w:rPr>
              <w:t>water containing toluene</w:t>
            </w:r>
            <w:r w:rsidR="00591DD4">
              <w:rPr>
                <w:rFonts w:eastAsia="Times New Roman"/>
                <w:sz w:val="18"/>
                <w:szCs w:val="18"/>
              </w:rPr>
              <w:t xml:space="preserve"> </w:t>
            </w:r>
            <w:r>
              <w:rPr>
                <w:rFonts w:eastAsia="Times New Roman"/>
                <w:sz w:val="18"/>
                <w:szCs w:val="18"/>
              </w:rPr>
              <w:t>well in excess of the MCL</w:t>
            </w:r>
            <w:r w:rsidR="00591DD4">
              <w:rPr>
                <w:rFonts w:eastAsia="Times New Roman"/>
                <w:sz w:val="18"/>
                <w:szCs w:val="18"/>
              </w:rPr>
              <w:t xml:space="preserve"> </w:t>
            </w:r>
            <w:r>
              <w:rPr>
                <w:rFonts w:eastAsia="Times New Roman"/>
                <w:sz w:val="18"/>
                <w:szCs w:val="18"/>
              </w:rPr>
              <w:t>over many years could</w:t>
            </w:r>
            <w:r w:rsidR="00591DD4">
              <w:rPr>
                <w:rFonts w:eastAsia="Times New Roman"/>
                <w:sz w:val="18"/>
                <w:szCs w:val="18"/>
              </w:rPr>
              <w:t xml:space="preserve"> </w:t>
            </w:r>
            <w:r>
              <w:rPr>
                <w:rFonts w:eastAsia="Times New Roman"/>
                <w:sz w:val="18"/>
                <w:szCs w:val="18"/>
              </w:rPr>
              <w:t>have problems with their</w:t>
            </w:r>
            <w:r w:rsidR="00591DD4">
              <w:rPr>
                <w:rFonts w:eastAsia="Times New Roman"/>
                <w:sz w:val="18"/>
                <w:szCs w:val="18"/>
              </w:rPr>
              <w:t xml:space="preserve"> </w:t>
            </w:r>
            <w:r>
              <w:rPr>
                <w:rFonts w:eastAsia="Times New Roman"/>
                <w:sz w:val="18"/>
                <w:szCs w:val="18"/>
              </w:rPr>
              <w:t>nervous system, kidneys, or</w:t>
            </w:r>
            <w:r w:rsidR="00591DD4">
              <w:rPr>
                <w:rFonts w:eastAsia="Times New Roman"/>
                <w:sz w:val="18"/>
                <w:szCs w:val="18"/>
              </w:rPr>
              <w:t xml:space="preserve"> </w:t>
            </w:r>
            <w:r>
              <w:rPr>
                <w:rFonts w:eastAsia="Times New Roman"/>
                <w:sz w:val="18"/>
                <w:szCs w:val="18"/>
              </w:rPr>
              <w:t>liver.</w:t>
            </w:r>
          </w:p>
        </w:tc>
      </w:tr>
    </w:tbl>
    <w:p w14:paraId="281A44C4" w14:textId="77777777" w:rsidR="004647B9" w:rsidRDefault="004647B9">
      <w:pPr>
        <w:sectPr w:rsidR="004647B9" w:rsidSect="00EF630C">
          <w:pgSz w:w="12240" w:h="20180"/>
          <w:pgMar w:top="708" w:right="940" w:bottom="1440" w:left="600" w:header="0" w:footer="0" w:gutter="0"/>
          <w:cols w:space="720"/>
        </w:sectPr>
      </w:pPr>
    </w:p>
    <w:p w14:paraId="281A44C5" w14:textId="77777777" w:rsidR="004647B9" w:rsidRDefault="00E2436F">
      <w:pPr>
        <w:tabs>
          <w:tab w:val="left" w:pos="2860"/>
        </w:tabs>
        <w:ind w:left="1680"/>
        <w:rPr>
          <w:sz w:val="20"/>
          <w:szCs w:val="20"/>
        </w:rPr>
      </w:pPr>
      <w:bookmarkStart w:id="237" w:name="page239"/>
      <w:bookmarkEnd w:id="23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4C6" w14:textId="77777777" w:rsidR="004647B9" w:rsidRDefault="004647B9" w:rsidP="009118C6">
      <w:pPr>
        <w:rPr>
          <w:sz w:val="20"/>
          <w:szCs w:val="20"/>
        </w:rPr>
      </w:pPr>
    </w:p>
    <w:p w14:paraId="2EA9181E" w14:textId="77777777" w:rsidR="009118C6" w:rsidRDefault="009118C6" w:rsidP="009118C6">
      <w:pPr>
        <w:rPr>
          <w:sz w:val="20"/>
          <w:szCs w:val="20"/>
        </w:rPr>
      </w:pPr>
    </w:p>
    <w:p w14:paraId="281A44C7" w14:textId="77777777" w:rsidR="004647B9" w:rsidRPr="009118C6" w:rsidRDefault="00E2436F" w:rsidP="009118C6">
      <w:pPr>
        <w:tabs>
          <w:tab w:val="left" w:pos="940"/>
        </w:tabs>
        <w:rPr>
          <w:sz w:val="24"/>
          <w:szCs w:val="24"/>
        </w:rPr>
      </w:pPr>
      <w:r w:rsidRPr="009118C6">
        <w:rPr>
          <w:rFonts w:eastAsia="Times New Roman"/>
          <w:sz w:val="24"/>
          <w:szCs w:val="24"/>
        </w:rPr>
        <w:t>22.16A:</w:t>
      </w:r>
      <w:r w:rsidRPr="009118C6">
        <w:rPr>
          <w:sz w:val="24"/>
          <w:szCs w:val="24"/>
        </w:rPr>
        <w:tab/>
      </w:r>
      <w:r w:rsidRPr="009118C6">
        <w:rPr>
          <w:rFonts w:eastAsia="Times New Roman"/>
          <w:sz w:val="24"/>
          <w:szCs w:val="24"/>
        </w:rPr>
        <w:t>continued</w:t>
      </w:r>
    </w:p>
    <w:p w14:paraId="281A44C9" w14:textId="77777777" w:rsidR="004647B9" w:rsidRDefault="004647B9">
      <w:pPr>
        <w:spacing w:line="347" w:lineRule="exact"/>
        <w:rPr>
          <w:sz w:val="20"/>
          <w:szCs w:val="20"/>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100"/>
        <w:gridCol w:w="1060"/>
        <w:gridCol w:w="1360"/>
        <w:gridCol w:w="900"/>
        <w:gridCol w:w="980"/>
        <w:gridCol w:w="1858"/>
        <w:gridCol w:w="2434"/>
      </w:tblGrid>
      <w:tr w:rsidR="00591DD4" w14:paraId="281A44D3" w14:textId="77777777" w:rsidTr="00591DD4">
        <w:trPr>
          <w:trHeight w:val="1073"/>
        </w:trPr>
        <w:tc>
          <w:tcPr>
            <w:tcW w:w="2100" w:type="dxa"/>
            <w:vAlign w:val="center"/>
          </w:tcPr>
          <w:p w14:paraId="281A44CC" w14:textId="035FCB7C" w:rsidR="00591DD4" w:rsidRDefault="00591DD4" w:rsidP="00591DD4">
            <w:pPr>
              <w:jc w:val="center"/>
              <w:rPr>
                <w:sz w:val="24"/>
                <w:szCs w:val="24"/>
              </w:rPr>
            </w:pPr>
            <w:r>
              <w:rPr>
                <w:rFonts w:eastAsia="Times New Roman"/>
                <w:sz w:val="18"/>
                <w:szCs w:val="18"/>
              </w:rPr>
              <w:t>Contaminant</w:t>
            </w:r>
          </w:p>
        </w:tc>
        <w:tc>
          <w:tcPr>
            <w:tcW w:w="1060" w:type="dxa"/>
            <w:vAlign w:val="center"/>
          </w:tcPr>
          <w:p w14:paraId="281A44CD" w14:textId="30D5523D" w:rsidR="00591DD4" w:rsidRDefault="00591DD4" w:rsidP="00591DD4">
            <w:pPr>
              <w:jc w:val="center"/>
              <w:rPr>
                <w:sz w:val="20"/>
                <w:szCs w:val="20"/>
              </w:rPr>
            </w:pPr>
            <w:r>
              <w:rPr>
                <w:rFonts w:eastAsia="Times New Roman"/>
                <w:sz w:val="18"/>
                <w:szCs w:val="18"/>
              </w:rPr>
              <w:t>Traditional MCL</w:t>
            </w:r>
          </w:p>
        </w:tc>
        <w:tc>
          <w:tcPr>
            <w:tcW w:w="1360" w:type="dxa"/>
            <w:vAlign w:val="center"/>
          </w:tcPr>
          <w:p w14:paraId="281A44CE" w14:textId="1BDFD2A2" w:rsidR="00591DD4" w:rsidRDefault="00591DD4" w:rsidP="00591DD4">
            <w:pPr>
              <w:jc w:val="center"/>
              <w:rPr>
                <w:sz w:val="20"/>
                <w:szCs w:val="20"/>
              </w:rPr>
            </w:pPr>
            <w:r>
              <w:rPr>
                <w:rFonts w:eastAsia="Times New Roman"/>
                <w:sz w:val="18"/>
                <w:szCs w:val="18"/>
              </w:rPr>
              <w:t>To convert for CCR, multiply by</w:t>
            </w:r>
          </w:p>
        </w:tc>
        <w:tc>
          <w:tcPr>
            <w:tcW w:w="900" w:type="dxa"/>
            <w:vAlign w:val="center"/>
          </w:tcPr>
          <w:p w14:paraId="281A44CF" w14:textId="45BC1BEF" w:rsidR="00591DD4" w:rsidRDefault="00591DD4" w:rsidP="00591DD4">
            <w:pPr>
              <w:jc w:val="center"/>
              <w:rPr>
                <w:sz w:val="20"/>
                <w:szCs w:val="20"/>
              </w:rPr>
            </w:pPr>
            <w:r>
              <w:rPr>
                <w:rFonts w:eastAsia="Times New Roman"/>
                <w:sz w:val="18"/>
                <w:szCs w:val="18"/>
              </w:rPr>
              <w:t>MCL in CCR units</w:t>
            </w:r>
          </w:p>
        </w:tc>
        <w:tc>
          <w:tcPr>
            <w:tcW w:w="980" w:type="dxa"/>
            <w:vAlign w:val="center"/>
          </w:tcPr>
          <w:p w14:paraId="281A44D0" w14:textId="07013587" w:rsidR="00591DD4" w:rsidRDefault="00591DD4" w:rsidP="00591DD4">
            <w:pPr>
              <w:jc w:val="center"/>
              <w:rPr>
                <w:sz w:val="20"/>
                <w:szCs w:val="20"/>
              </w:rPr>
            </w:pPr>
            <w:r>
              <w:rPr>
                <w:rFonts w:eastAsia="Times New Roman"/>
                <w:sz w:val="18"/>
                <w:szCs w:val="18"/>
              </w:rPr>
              <w:t>MCLG in CCR units</w:t>
            </w:r>
          </w:p>
        </w:tc>
        <w:tc>
          <w:tcPr>
            <w:tcW w:w="1858" w:type="dxa"/>
            <w:vAlign w:val="center"/>
          </w:tcPr>
          <w:p w14:paraId="281A44D1" w14:textId="62734E92" w:rsidR="00591DD4" w:rsidRDefault="00591DD4" w:rsidP="00591DD4">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vAlign w:val="center"/>
          </w:tcPr>
          <w:p w14:paraId="281A44D2" w14:textId="49C13632" w:rsidR="00591DD4" w:rsidRDefault="00591DD4" w:rsidP="00591DD4">
            <w:pPr>
              <w:jc w:val="center"/>
              <w:rPr>
                <w:sz w:val="20"/>
                <w:szCs w:val="20"/>
              </w:rPr>
            </w:pPr>
            <w:r>
              <w:rPr>
                <w:rFonts w:eastAsia="Times New Roman"/>
                <w:sz w:val="18"/>
                <w:szCs w:val="18"/>
              </w:rPr>
              <w:t>Health Effects Language</w:t>
            </w:r>
          </w:p>
        </w:tc>
      </w:tr>
      <w:tr w:rsidR="00393092" w14:paraId="281A44FA" w14:textId="77777777" w:rsidTr="0047461D">
        <w:trPr>
          <w:trHeight w:val="1954"/>
        </w:trPr>
        <w:tc>
          <w:tcPr>
            <w:tcW w:w="2100" w:type="dxa"/>
            <w:vAlign w:val="center"/>
          </w:tcPr>
          <w:p w14:paraId="281A44F3" w14:textId="77777777" w:rsidR="00393092" w:rsidRPr="00591DD4" w:rsidRDefault="00393092" w:rsidP="00563A54">
            <w:pPr>
              <w:pStyle w:val="ListParagraph"/>
              <w:numPr>
                <w:ilvl w:val="0"/>
                <w:numId w:val="940"/>
              </w:numPr>
              <w:ind w:left="360"/>
              <w:rPr>
                <w:sz w:val="20"/>
                <w:szCs w:val="20"/>
              </w:rPr>
            </w:pPr>
            <w:r w:rsidRPr="00591DD4">
              <w:rPr>
                <w:rFonts w:eastAsia="Times New Roman"/>
                <w:sz w:val="18"/>
                <w:szCs w:val="18"/>
              </w:rPr>
              <w:t>Vinyl Chloride</w:t>
            </w:r>
          </w:p>
        </w:tc>
        <w:tc>
          <w:tcPr>
            <w:tcW w:w="1060" w:type="dxa"/>
            <w:vAlign w:val="center"/>
          </w:tcPr>
          <w:p w14:paraId="281A44F4" w14:textId="77777777" w:rsidR="00393092" w:rsidRDefault="00393092" w:rsidP="00393092">
            <w:pPr>
              <w:jc w:val="center"/>
              <w:rPr>
                <w:sz w:val="20"/>
                <w:szCs w:val="20"/>
              </w:rPr>
            </w:pPr>
            <w:r>
              <w:rPr>
                <w:rFonts w:eastAsia="Times New Roman"/>
                <w:sz w:val="18"/>
                <w:szCs w:val="18"/>
              </w:rPr>
              <w:t>0.002 mg/l</w:t>
            </w:r>
          </w:p>
        </w:tc>
        <w:tc>
          <w:tcPr>
            <w:tcW w:w="1360" w:type="dxa"/>
            <w:vAlign w:val="center"/>
          </w:tcPr>
          <w:p w14:paraId="281A44F5" w14:textId="77777777" w:rsidR="00393092" w:rsidRDefault="00393092" w:rsidP="00393092">
            <w:pPr>
              <w:jc w:val="center"/>
              <w:rPr>
                <w:sz w:val="20"/>
                <w:szCs w:val="20"/>
              </w:rPr>
            </w:pPr>
            <w:r>
              <w:rPr>
                <w:rFonts w:eastAsia="Times New Roman"/>
                <w:sz w:val="18"/>
                <w:szCs w:val="18"/>
              </w:rPr>
              <w:t>1000</w:t>
            </w:r>
          </w:p>
        </w:tc>
        <w:tc>
          <w:tcPr>
            <w:tcW w:w="900" w:type="dxa"/>
            <w:vAlign w:val="center"/>
          </w:tcPr>
          <w:p w14:paraId="281A44F6" w14:textId="77777777" w:rsidR="00393092" w:rsidRDefault="00393092" w:rsidP="00393092">
            <w:pPr>
              <w:jc w:val="center"/>
              <w:rPr>
                <w:sz w:val="20"/>
                <w:szCs w:val="20"/>
              </w:rPr>
            </w:pPr>
            <w:r>
              <w:rPr>
                <w:rFonts w:eastAsia="Times New Roman"/>
                <w:sz w:val="18"/>
                <w:szCs w:val="18"/>
              </w:rPr>
              <w:t>2 ppb</w:t>
            </w:r>
          </w:p>
        </w:tc>
        <w:tc>
          <w:tcPr>
            <w:tcW w:w="980" w:type="dxa"/>
            <w:vAlign w:val="center"/>
          </w:tcPr>
          <w:p w14:paraId="281A44F7" w14:textId="77777777" w:rsidR="00393092" w:rsidRDefault="00393092" w:rsidP="00393092">
            <w:pPr>
              <w:jc w:val="center"/>
              <w:rPr>
                <w:sz w:val="20"/>
                <w:szCs w:val="20"/>
              </w:rPr>
            </w:pPr>
            <w:r>
              <w:rPr>
                <w:rFonts w:eastAsia="Times New Roman"/>
                <w:sz w:val="18"/>
                <w:szCs w:val="18"/>
              </w:rPr>
              <w:t>0</w:t>
            </w:r>
          </w:p>
        </w:tc>
        <w:tc>
          <w:tcPr>
            <w:tcW w:w="1858" w:type="dxa"/>
          </w:tcPr>
          <w:p w14:paraId="281A44F8" w14:textId="2B02D7B5" w:rsidR="00393092" w:rsidRPr="00393092" w:rsidRDefault="00393092" w:rsidP="00393092">
            <w:pPr>
              <w:spacing w:line="329" w:lineRule="auto"/>
              <w:ind w:left="43"/>
              <w:rPr>
                <w:rFonts w:eastAsia="Times New Roman"/>
                <w:sz w:val="18"/>
                <w:szCs w:val="18"/>
              </w:rPr>
            </w:pPr>
            <w:r>
              <w:rPr>
                <w:rFonts w:eastAsia="Times New Roman"/>
                <w:sz w:val="18"/>
                <w:szCs w:val="18"/>
              </w:rPr>
              <w:t>Leaching from PVC piping; discharge from plastics factories</w:t>
            </w:r>
          </w:p>
        </w:tc>
        <w:tc>
          <w:tcPr>
            <w:tcW w:w="2434" w:type="dxa"/>
          </w:tcPr>
          <w:p w14:paraId="281A44F9" w14:textId="4CAB0D53" w:rsidR="00393092" w:rsidRPr="00393092" w:rsidRDefault="00393092" w:rsidP="0047461D">
            <w:pPr>
              <w:spacing w:line="329" w:lineRule="auto"/>
              <w:ind w:left="43"/>
              <w:rPr>
                <w:rFonts w:eastAsia="Times New Roman"/>
                <w:sz w:val="18"/>
                <w:szCs w:val="18"/>
              </w:rPr>
            </w:pPr>
            <w:r>
              <w:rPr>
                <w:rFonts w:eastAsia="Times New Roman"/>
                <w:sz w:val="18"/>
                <w:szCs w:val="18"/>
              </w:rPr>
              <w:t>Some people who drink water containing vinyl chloride in excess of the</w:t>
            </w:r>
            <w:r w:rsidR="0047461D">
              <w:rPr>
                <w:rFonts w:eastAsia="Times New Roman"/>
                <w:sz w:val="18"/>
                <w:szCs w:val="18"/>
              </w:rPr>
              <w:t xml:space="preserve"> </w:t>
            </w:r>
            <w:r>
              <w:rPr>
                <w:rFonts w:eastAsia="Times New Roman"/>
                <w:sz w:val="18"/>
                <w:szCs w:val="18"/>
              </w:rPr>
              <w:t>MCL over many years may</w:t>
            </w:r>
            <w:r w:rsidR="0047461D">
              <w:rPr>
                <w:rFonts w:eastAsia="Times New Roman"/>
                <w:sz w:val="18"/>
                <w:szCs w:val="18"/>
              </w:rPr>
              <w:t xml:space="preserve"> </w:t>
            </w:r>
            <w:r>
              <w:rPr>
                <w:rFonts w:eastAsia="Times New Roman"/>
                <w:sz w:val="18"/>
                <w:szCs w:val="18"/>
              </w:rPr>
              <w:t>have an increased risk of</w:t>
            </w:r>
            <w:r w:rsidR="0047461D">
              <w:rPr>
                <w:rFonts w:eastAsia="Times New Roman"/>
                <w:sz w:val="18"/>
                <w:szCs w:val="18"/>
              </w:rPr>
              <w:t xml:space="preserve"> </w:t>
            </w:r>
            <w:r>
              <w:rPr>
                <w:rFonts w:eastAsia="Times New Roman"/>
                <w:sz w:val="18"/>
                <w:szCs w:val="18"/>
              </w:rPr>
              <w:t>getting cancer.</w:t>
            </w:r>
          </w:p>
        </w:tc>
      </w:tr>
      <w:tr w:rsidR="0047461D" w14:paraId="281A453F" w14:textId="77777777" w:rsidTr="0047461D">
        <w:trPr>
          <w:trHeight w:val="1936"/>
        </w:trPr>
        <w:tc>
          <w:tcPr>
            <w:tcW w:w="2100" w:type="dxa"/>
            <w:vAlign w:val="center"/>
          </w:tcPr>
          <w:p w14:paraId="281A4538" w14:textId="77777777" w:rsidR="0047461D" w:rsidRPr="0047461D" w:rsidRDefault="0047461D" w:rsidP="00563A54">
            <w:pPr>
              <w:pStyle w:val="ListParagraph"/>
              <w:numPr>
                <w:ilvl w:val="0"/>
                <w:numId w:val="940"/>
              </w:numPr>
              <w:ind w:left="360"/>
              <w:rPr>
                <w:sz w:val="20"/>
                <w:szCs w:val="20"/>
              </w:rPr>
            </w:pPr>
            <w:r w:rsidRPr="0047461D">
              <w:rPr>
                <w:rFonts w:eastAsia="Times New Roman"/>
                <w:sz w:val="18"/>
                <w:szCs w:val="18"/>
              </w:rPr>
              <w:t>Xylenes</w:t>
            </w:r>
          </w:p>
        </w:tc>
        <w:tc>
          <w:tcPr>
            <w:tcW w:w="1060" w:type="dxa"/>
            <w:vAlign w:val="center"/>
          </w:tcPr>
          <w:p w14:paraId="281A4539" w14:textId="1393DB9A" w:rsidR="0047461D" w:rsidRDefault="0047461D" w:rsidP="0047461D">
            <w:pPr>
              <w:jc w:val="center"/>
              <w:rPr>
                <w:sz w:val="20"/>
                <w:szCs w:val="20"/>
              </w:rPr>
            </w:pPr>
            <w:r>
              <w:rPr>
                <w:rFonts w:eastAsia="Times New Roman"/>
                <w:sz w:val="18"/>
                <w:szCs w:val="18"/>
              </w:rPr>
              <w:t>10 mg/l (10,000 ppb)</w:t>
            </w:r>
          </w:p>
        </w:tc>
        <w:tc>
          <w:tcPr>
            <w:tcW w:w="1360" w:type="dxa"/>
            <w:vAlign w:val="center"/>
          </w:tcPr>
          <w:p w14:paraId="281A453A" w14:textId="77777777" w:rsidR="0047461D" w:rsidRDefault="0047461D" w:rsidP="0047461D">
            <w:pPr>
              <w:jc w:val="center"/>
              <w:rPr>
                <w:sz w:val="20"/>
                <w:szCs w:val="20"/>
              </w:rPr>
            </w:pPr>
            <w:r>
              <w:rPr>
                <w:rFonts w:eastAsia="Times New Roman"/>
                <w:sz w:val="18"/>
                <w:szCs w:val="18"/>
              </w:rPr>
              <w:t>1000</w:t>
            </w:r>
          </w:p>
        </w:tc>
        <w:tc>
          <w:tcPr>
            <w:tcW w:w="900" w:type="dxa"/>
            <w:vAlign w:val="center"/>
          </w:tcPr>
          <w:p w14:paraId="281A453B" w14:textId="395C2B43" w:rsidR="0047461D" w:rsidRDefault="0047461D" w:rsidP="0047461D">
            <w:pPr>
              <w:jc w:val="center"/>
              <w:rPr>
                <w:sz w:val="20"/>
                <w:szCs w:val="20"/>
              </w:rPr>
            </w:pPr>
            <w:r>
              <w:rPr>
                <w:rFonts w:eastAsia="Times New Roman"/>
                <w:sz w:val="18"/>
                <w:szCs w:val="18"/>
              </w:rPr>
              <w:t>10 ppm 10,000 ppb</w:t>
            </w:r>
          </w:p>
        </w:tc>
        <w:tc>
          <w:tcPr>
            <w:tcW w:w="980" w:type="dxa"/>
            <w:vAlign w:val="center"/>
          </w:tcPr>
          <w:p w14:paraId="281A453C" w14:textId="77777777" w:rsidR="0047461D" w:rsidRDefault="0047461D" w:rsidP="0047461D">
            <w:pPr>
              <w:jc w:val="center"/>
              <w:rPr>
                <w:sz w:val="20"/>
                <w:szCs w:val="20"/>
              </w:rPr>
            </w:pPr>
            <w:r>
              <w:rPr>
                <w:rFonts w:eastAsia="Times New Roman"/>
                <w:sz w:val="18"/>
                <w:szCs w:val="18"/>
              </w:rPr>
              <w:t>10 ppm</w:t>
            </w:r>
          </w:p>
        </w:tc>
        <w:tc>
          <w:tcPr>
            <w:tcW w:w="1858" w:type="dxa"/>
          </w:tcPr>
          <w:p w14:paraId="281A453D" w14:textId="280A03F0" w:rsidR="0047461D" w:rsidRPr="0047461D" w:rsidRDefault="0047461D" w:rsidP="0047461D">
            <w:pPr>
              <w:spacing w:line="329" w:lineRule="auto"/>
              <w:ind w:left="43"/>
              <w:rPr>
                <w:rFonts w:eastAsia="Times New Roman"/>
                <w:sz w:val="18"/>
                <w:szCs w:val="18"/>
              </w:rPr>
            </w:pPr>
            <w:r>
              <w:rPr>
                <w:rFonts w:eastAsia="Times New Roman"/>
                <w:sz w:val="18"/>
                <w:szCs w:val="18"/>
              </w:rPr>
              <w:t>Discharge from petroleum factories; discharge from chemical factories</w:t>
            </w:r>
          </w:p>
        </w:tc>
        <w:tc>
          <w:tcPr>
            <w:tcW w:w="2434" w:type="dxa"/>
          </w:tcPr>
          <w:p w14:paraId="281A453E" w14:textId="10073D6F" w:rsidR="0047461D" w:rsidRPr="0047461D" w:rsidRDefault="0047461D" w:rsidP="0047461D">
            <w:pPr>
              <w:spacing w:line="329" w:lineRule="auto"/>
              <w:ind w:left="43"/>
              <w:rPr>
                <w:rFonts w:eastAsia="Times New Roman"/>
                <w:sz w:val="18"/>
                <w:szCs w:val="18"/>
              </w:rPr>
            </w:pPr>
            <w:r>
              <w:rPr>
                <w:rFonts w:eastAsia="Times New Roman"/>
                <w:sz w:val="18"/>
                <w:szCs w:val="18"/>
              </w:rPr>
              <w:t>Some people who drink water containing xylenes in excess of the MCL over many years could experience damage to their nervous system.</w:t>
            </w:r>
          </w:p>
        </w:tc>
      </w:tr>
      <w:tr w:rsidR="000A15D2" w14:paraId="32135FAB" w14:textId="77777777" w:rsidTr="000A15D2">
        <w:trPr>
          <w:trHeight w:val="360"/>
        </w:trPr>
        <w:tc>
          <w:tcPr>
            <w:tcW w:w="10692" w:type="dxa"/>
            <w:gridSpan w:val="7"/>
            <w:vAlign w:val="center"/>
          </w:tcPr>
          <w:p w14:paraId="670125C8" w14:textId="24692306" w:rsidR="000A15D2" w:rsidRDefault="000A15D2" w:rsidP="0047461D">
            <w:pPr>
              <w:spacing w:line="329" w:lineRule="auto"/>
              <w:ind w:left="43"/>
              <w:rPr>
                <w:rFonts w:eastAsia="Times New Roman"/>
                <w:sz w:val="18"/>
                <w:szCs w:val="18"/>
              </w:rPr>
            </w:pPr>
            <w:r w:rsidRPr="000A15D2">
              <w:rPr>
                <w:rFonts w:ascii="TimesNewRoman,Bold" w:hAnsi="TimesNewRoman,Bold" w:cs="TimesNewRoman,Bold"/>
                <w:b/>
                <w:bCs/>
                <w:sz w:val="18"/>
                <w:szCs w:val="18"/>
              </w:rPr>
              <w:t>Per- and Polyfluoroalkyl Substances (PFAS)</w:t>
            </w:r>
          </w:p>
        </w:tc>
      </w:tr>
      <w:tr w:rsidR="000A15D2" w14:paraId="27B1C394" w14:textId="77777777" w:rsidTr="0047461D">
        <w:trPr>
          <w:trHeight w:val="1936"/>
        </w:trPr>
        <w:tc>
          <w:tcPr>
            <w:tcW w:w="2100" w:type="dxa"/>
            <w:vAlign w:val="center"/>
          </w:tcPr>
          <w:p w14:paraId="4466AD8C" w14:textId="03099C4A" w:rsidR="000A15D2" w:rsidRPr="0047461D" w:rsidRDefault="000A15D2" w:rsidP="00563A54">
            <w:pPr>
              <w:pStyle w:val="ListParagraph"/>
              <w:numPr>
                <w:ilvl w:val="0"/>
                <w:numId w:val="940"/>
              </w:numPr>
              <w:ind w:left="360"/>
              <w:rPr>
                <w:rFonts w:eastAsia="Times New Roman"/>
                <w:sz w:val="18"/>
                <w:szCs w:val="18"/>
              </w:rPr>
            </w:pPr>
            <w:r>
              <w:rPr>
                <w:rFonts w:eastAsia="Times New Roman"/>
                <w:sz w:val="18"/>
                <w:szCs w:val="18"/>
              </w:rPr>
              <w:t>PFAS6</w:t>
            </w:r>
          </w:p>
        </w:tc>
        <w:tc>
          <w:tcPr>
            <w:tcW w:w="1060" w:type="dxa"/>
            <w:vAlign w:val="center"/>
          </w:tcPr>
          <w:p w14:paraId="321CB7D1" w14:textId="079167DD" w:rsidR="000A15D2" w:rsidRDefault="000A15D2" w:rsidP="0047461D">
            <w:pPr>
              <w:jc w:val="center"/>
              <w:rPr>
                <w:rFonts w:eastAsia="Times New Roman"/>
                <w:sz w:val="18"/>
                <w:szCs w:val="18"/>
              </w:rPr>
            </w:pPr>
            <w:r>
              <w:rPr>
                <w:rFonts w:eastAsia="Times New Roman"/>
                <w:sz w:val="18"/>
                <w:szCs w:val="18"/>
              </w:rPr>
              <w:t>0.000020 mg/l</w:t>
            </w:r>
          </w:p>
        </w:tc>
        <w:tc>
          <w:tcPr>
            <w:tcW w:w="1360" w:type="dxa"/>
            <w:vAlign w:val="center"/>
          </w:tcPr>
          <w:p w14:paraId="12C48C3E" w14:textId="09D4406E" w:rsidR="000A15D2" w:rsidRDefault="000A15D2" w:rsidP="0047461D">
            <w:pPr>
              <w:jc w:val="center"/>
              <w:rPr>
                <w:rFonts w:eastAsia="Times New Roman"/>
                <w:sz w:val="18"/>
                <w:szCs w:val="18"/>
              </w:rPr>
            </w:pPr>
            <w:r>
              <w:rPr>
                <w:rFonts w:eastAsia="Times New Roman"/>
                <w:sz w:val="18"/>
                <w:szCs w:val="18"/>
              </w:rPr>
              <w:t>1,000,000</w:t>
            </w:r>
          </w:p>
        </w:tc>
        <w:tc>
          <w:tcPr>
            <w:tcW w:w="900" w:type="dxa"/>
            <w:vAlign w:val="center"/>
          </w:tcPr>
          <w:p w14:paraId="1944ECA9" w14:textId="62675D40" w:rsidR="000A15D2" w:rsidRDefault="000A15D2" w:rsidP="0047461D">
            <w:pPr>
              <w:jc w:val="center"/>
              <w:rPr>
                <w:rFonts w:eastAsia="Times New Roman"/>
                <w:sz w:val="18"/>
                <w:szCs w:val="18"/>
              </w:rPr>
            </w:pPr>
            <w:r>
              <w:rPr>
                <w:rFonts w:eastAsia="Times New Roman"/>
                <w:sz w:val="18"/>
                <w:szCs w:val="18"/>
              </w:rPr>
              <w:t>20 ng/l (or ppt)</w:t>
            </w:r>
          </w:p>
        </w:tc>
        <w:tc>
          <w:tcPr>
            <w:tcW w:w="980" w:type="dxa"/>
            <w:vAlign w:val="center"/>
          </w:tcPr>
          <w:p w14:paraId="0437C379" w14:textId="30C9850E" w:rsidR="000A15D2" w:rsidRDefault="000A15D2" w:rsidP="0047461D">
            <w:pPr>
              <w:jc w:val="center"/>
              <w:rPr>
                <w:rFonts w:eastAsia="Times New Roman"/>
                <w:sz w:val="18"/>
                <w:szCs w:val="18"/>
              </w:rPr>
            </w:pPr>
            <w:r>
              <w:rPr>
                <w:rFonts w:eastAsia="Times New Roman"/>
                <w:sz w:val="18"/>
                <w:szCs w:val="18"/>
              </w:rPr>
              <w:t>None</w:t>
            </w:r>
          </w:p>
        </w:tc>
        <w:tc>
          <w:tcPr>
            <w:tcW w:w="1858" w:type="dxa"/>
          </w:tcPr>
          <w:p w14:paraId="6A52B5A6" w14:textId="566EAEF5" w:rsidR="000A15D2" w:rsidRDefault="00F93308" w:rsidP="00F93308">
            <w:pPr>
              <w:spacing w:line="329" w:lineRule="auto"/>
              <w:ind w:left="43"/>
              <w:rPr>
                <w:rFonts w:eastAsia="Times New Roman"/>
                <w:sz w:val="18"/>
                <w:szCs w:val="18"/>
              </w:rPr>
            </w:pPr>
            <w:r w:rsidRPr="00F93308">
              <w:rPr>
                <w:rFonts w:eastAsia="Times New Roman"/>
                <w:sz w:val="18"/>
                <w:szCs w:val="18"/>
              </w:rPr>
              <w:t>Discharges and</w:t>
            </w:r>
            <w:r>
              <w:rPr>
                <w:rFonts w:eastAsia="Times New Roman"/>
                <w:sz w:val="18"/>
                <w:szCs w:val="18"/>
              </w:rPr>
              <w:t xml:space="preserve"> </w:t>
            </w:r>
            <w:r w:rsidRPr="00F93308">
              <w:rPr>
                <w:rFonts w:eastAsia="Times New Roman"/>
                <w:sz w:val="18"/>
                <w:szCs w:val="18"/>
              </w:rPr>
              <w:t>emissions from</w:t>
            </w:r>
            <w:r>
              <w:rPr>
                <w:rFonts w:eastAsia="Times New Roman"/>
                <w:sz w:val="18"/>
                <w:szCs w:val="18"/>
              </w:rPr>
              <w:t xml:space="preserve"> </w:t>
            </w:r>
            <w:r w:rsidRPr="00F93308">
              <w:rPr>
                <w:rFonts w:eastAsia="Times New Roman"/>
                <w:sz w:val="18"/>
                <w:szCs w:val="18"/>
              </w:rPr>
              <w:t>industrial and</w:t>
            </w:r>
            <w:r>
              <w:rPr>
                <w:rFonts w:eastAsia="Times New Roman"/>
                <w:sz w:val="18"/>
                <w:szCs w:val="18"/>
              </w:rPr>
              <w:t xml:space="preserve"> </w:t>
            </w:r>
            <w:r w:rsidRPr="00F93308">
              <w:rPr>
                <w:rFonts w:eastAsia="Times New Roman"/>
                <w:sz w:val="18"/>
                <w:szCs w:val="18"/>
              </w:rPr>
              <w:t>manufacturing sources</w:t>
            </w:r>
            <w:r>
              <w:rPr>
                <w:rFonts w:eastAsia="Times New Roman"/>
                <w:sz w:val="18"/>
                <w:szCs w:val="18"/>
              </w:rPr>
              <w:t xml:space="preserve"> </w:t>
            </w:r>
            <w:r w:rsidRPr="00F93308">
              <w:rPr>
                <w:rFonts w:eastAsia="Times New Roman"/>
                <w:sz w:val="18"/>
                <w:szCs w:val="18"/>
              </w:rPr>
              <w:t>associated with the</w:t>
            </w:r>
            <w:r>
              <w:rPr>
                <w:rFonts w:eastAsia="Times New Roman"/>
                <w:sz w:val="18"/>
                <w:szCs w:val="18"/>
              </w:rPr>
              <w:t xml:space="preserve"> </w:t>
            </w:r>
            <w:r w:rsidRPr="00F93308">
              <w:rPr>
                <w:rFonts w:eastAsia="Times New Roman"/>
                <w:sz w:val="18"/>
                <w:szCs w:val="18"/>
              </w:rPr>
              <w:t>production or use of</w:t>
            </w:r>
            <w:r>
              <w:rPr>
                <w:rFonts w:eastAsia="Times New Roman"/>
                <w:sz w:val="18"/>
                <w:szCs w:val="18"/>
              </w:rPr>
              <w:t xml:space="preserve"> </w:t>
            </w:r>
            <w:r w:rsidRPr="00F93308">
              <w:rPr>
                <w:rFonts w:eastAsia="Times New Roman"/>
                <w:sz w:val="18"/>
                <w:szCs w:val="18"/>
              </w:rPr>
              <w:t>these PFAS, including</w:t>
            </w:r>
            <w:r>
              <w:rPr>
                <w:rFonts w:eastAsia="Times New Roman"/>
                <w:sz w:val="18"/>
                <w:szCs w:val="18"/>
              </w:rPr>
              <w:t xml:space="preserve"> </w:t>
            </w:r>
            <w:r w:rsidRPr="00F93308">
              <w:rPr>
                <w:rFonts w:eastAsia="Times New Roman"/>
                <w:sz w:val="18"/>
                <w:szCs w:val="18"/>
              </w:rPr>
              <w:t>production of moisture</w:t>
            </w:r>
            <w:r>
              <w:rPr>
                <w:rFonts w:eastAsia="Times New Roman"/>
                <w:sz w:val="18"/>
                <w:szCs w:val="18"/>
              </w:rPr>
              <w:t xml:space="preserve"> </w:t>
            </w:r>
            <w:r w:rsidRPr="00F93308">
              <w:rPr>
                <w:rFonts w:eastAsia="Times New Roman"/>
                <w:sz w:val="18"/>
                <w:szCs w:val="18"/>
              </w:rPr>
              <w:t>and oil resistant</w:t>
            </w:r>
            <w:r>
              <w:rPr>
                <w:rFonts w:eastAsia="Times New Roman"/>
                <w:sz w:val="18"/>
                <w:szCs w:val="18"/>
              </w:rPr>
              <w:t xml:space="preserve"> </w:t>
            </w:r>
            <w:r w:rsidRPr="00F93308">
              <w:rPr>
                <w:rFonts w:eastAsia="Times New Roman"/>
                <w:sz w:val="18"/>
                <w:szCs w:val="18"/>
              </w:rPr>
              <w:t>coatings on fabrics and</w:t>
            </w:r>
            <w:r>
              <w:rPr>
                <w:rFonts w:eastAsia="Times New Roman"/>
                <w:sz w:val="18"/>
                <w:szCs w:val="18"/>
              </w:rPr>
              <w:t xml:space="preserve"> </w:t>
            </w:r>
            <w:r w:rsidRPr="00F93308">
              <w:rPr>
                <w:rFonts w:eastAsia="Times New Roman"/>
                <w:sz w:val="18"/>
                <w:szCs w:val="18"/>
              </w:rPr>
              <w:t>other materials.</w:t>
            </w:r>
            <w:r>
              <w:rPr>
                <w:rFonts w:eastAsia="Times New Roman"/>
                <w:sz w:val="18"/>
                <w:szCs w:val="18"/>
              </w:rPr>
              <w:t xml:space="preserve"> </w:t>
            </w:r>
            <w:r w:rsidRPr="00F93308">
              <w:rPr>
                <w:rFonts w:eastAsia="Times New Roman"/>
                <w:sz w:val="18"/>
                <w:szCs w:val="18"/>
              </w:rPr>
              <w:t>Additional sources</w:t>
            </w:r>
            <w:r>
              <w:rPr>
                <w:rFonts w:eastAsia="Times New Roman"/>
                <w:sz w:val="18"/>
                <w:szCs w:val="18"/>
              </w:rPr>
              <w:t xml:space="preserve"> </w:t>
            </w:r>
            <w:r w:rsidRPr="00F93308">
              <w:rPr>
                <w:rFonts w:eastAsia="Times New Roman"/>
                <w:sz w:val="18"/>
                <w:szCs w:val="18"/>
              </w:rPr>
              <w:t>include the use and</w:t>
            </w:r>
            <w:r>
              <w:rPr>
                <w:rFonts w:eastAsia="Times New Roman"/>
                <w:sz w:val="18"/>
                <w:szCs w:val="18"/>
              </w:rPr>
              <w:t xml:space="preserve"> </w:t>
            </w:r>
            <w:r w:rsidRPr="00F93308">
              <w:rPr>
                <w:rFonts w:eastAsia="Times New Roman"/>
                <w:sz w:val="18"/>
                <w:szCs w:val="18"/>
              </w:rPr>
              <w:t>disposal of products</w:t>
            </w:r>
            <w:r>
              <w:rPr>
                <w:rFonts w:eastAsia="Times New Roman"/>
                <w:sz w:val="18"/>
                <w:szCs w:val="18"/>
              </w:rPr>
              <w:t xml:space="preserve"> </w:t>
            </w:r>
            <w:r w:rsidRPr="00F93308">
              <w:rPr>
                <w:rFonts w:eastAsia="Times New Roman"/>
                <w:sz w:val="18"/>
                <w:szCs w:val="18"/>
              </w:rPr>
              <w:t>containing these</w:t>
            </w:r>
            <w:r>
              <w:rPr>
                <w:rFonts w:eastAsia="Times New Roman"/>
                <w:sz w:val="18"/>
                <w:szCs w:val="18"/>
              </w:rPr>
              <w:t xml:space="preserve"> </w:t>
            </w:r>
            <w:r w:rsidRPr="00F93308">
              <w:rPr>
                <w:rFonts w:eastAsia="Times New Roman"/>
                <w:sz w:val="18"/>
                <w:szCs w:val="18"/>
              </w:rPr>
              <w:t>PFAS, such as</w:t>
            </w:r>
            <w:r>
              <w:rPr>
                <w:rFonts w:eastAsia="Times New Roman"/>
                <w:sz w:val="18"/>
                <w:szCs w:val="18"/>
              </w:rPr>
              <w:t xml:space="preserve"> </w:t>
            </w:r>
            <w:r w:rsidRPr="00F93308">
              <w:rPr>
                <w:rFonts w:eastAsia="Times New Roman"/>
                <w:sz w:val="18"/>
                <w:szCs w:val="18"/>
              </w:rPr>
              <w:t>fire-fighting foams.</w:t>
            </w:r>
          </w:p>
        </w:tc>
        <w:tc>
          <w:tcPr>
            <w:tcW w:w="2434" w:type="dxa"/>
          </w:tcPr>
          <w:p w14:paraId="020F8018" w14:textId="37F2AE8A" w:rsidR="000A15D2" w:rsidRDefault="008114BD" w:rsidP="008114BD">
            <w:pPr>
              <w:spacing w:line="329" w:lineRule="auto"/>
              <w:ind w:left="43"/>
              <w:rPr>
                <w:rFonts w:eastAsia="Times New Roman"/>
                <w:sz w:val="18"/>
                <w:szCs w:val="18"/>
              </w:rPr>
            </w:pPr>
            <w:r w:rsidRPr="008114BD">
              <w:rPr>
                <w:rFonts w:eastAsia="Times New Roman"/>
                <w:sz w:val="18"/>
                <w:szCs w:val="18"/>
              </w:rPr>
              <w:t>Some people who drink</w:t>
            </w:r>
            <w:r>
              <w:rPr>
                <w:rFonts w:eastAsia="Times New Roman"/>
                <w:sz w:val="18"/>
                <w:szCs w:val="18"/>
              </w:rPr>
              <w:t xml:space="preserve"> </w:t>
            </w:r>
            <w:r w:rsidRPr="008114BD">
              <w:rPr>
                <w:rFonts w:eastAsia="Times New Roman"/>
                <w:sz w:val="18"/>
                <w:szCs w:val="18"/>
              </w:rPr>
              <w:t>water containing these</w:t>
            </w:r>
            <w:r>
              <w:rPr>
                <w:rFonts w:eastAsia="Times New Roman"/>
                <w:sz w:val="18"/>
                <w:szCs w:val="18"/>
              </w:rPr>
              <w:t xml:space="preserve"> </w:t>
            </w:r>
            <w:r w:rsidRPr="008114BD">
              <w:rPr>
                <w:rFonts w:eastAsia="Times New Roman"/>
                <w:sz w:val="18"/>
                <w:szCs w:val="18"/>
              </w:rPr>
              <w:t>PFAS in excess of the</w:t>
            </w:r>
            <w:r>
              <w:rPr>
                <w:rFonts w:eastAsia="Times New Roman"/>
                <w:sz w:val="18"/>
                <w:szCs w:val="18"/>
              </w:rPr>
              <w:t xml:space="preserve"> </w:t>
            </w:r>
            <w:r w:rsidRPr="008114BD">
              <w:rPr>
                <w:rFonts w:eastAsia="Times New Roman"/>
                <w:sz w:val="18"/>
                <w:szCs w:val="18"/>
              </w:rPr>
              <w:t>MCL may experience</w:t>
            </w:r>
            <w:r>
              <w:rPr>
                <w:rFonts w:eastAsia="Times New Roman"/>
                <w:sz w:val="18"/>
                <w:szCs w:val="18"/>
              </w:rPr>
              <w:t xml:space="preserve"> </w:t>
            </w:r>
            <w:r w:rsidRPr="008114BD">
              <w:rPr>
                <w:rFonts w:eastAsia="Times New Roman"/>
                <w:sz w:val="18"/>
                <w:szCs w:val="18"/>
              </w:rPr>
              <w:t>certain adverse effects.</w:t>
            </w:r>
            <w:r>
              <w:rPr>
                <w:rFonts w:eastAsia="Times New Roman"/>
                <w:sz w:val="18"/>
                <w:szCs w:val="18"/>
              </w:rPr>
              <w:t xml:space="preserve"> </w:t>
            </w:r>
            <w:r w:rsidRPr="008114BD">
              <w:rPr>
                <w:rFonts w:eastAsia="Times New Roman"/>
                <w:sz w:val="18"/>
                <w:szCs w:val="18"/>
              </w:rPr>
              <w:t>These could include effects</w:t>
            </w:r>
            <w:r>
              <w:rPr>
                <w:rFonts w:eastAsia="Times New Roman"/>
                <w:sz w:val="18"/>
                <w:szCs w:val="18"/>
              </w:rPr>
              <w:t xml:space="preserve"> </w:t>
            </w:r>
            <w:r w:rsidRPr="008114BD">
              <w:rPr>
                <w:rFonts w:eastAsia="Times New Roman"/>
                <w:sz w:val="18"/>
                <w:szCs w:val="18"/>
              </w:rPr>
              <w:t>on the liver, blood, immune</w:t>
            </w:r>
            <w:r>
              <w:rPr>
                <w:rFonts w:eastAsia="Times New Roman"/>
                <w:sz w:val="18"/>
                <w:szCs w:val="18"/>
              </w:rPr>
              <w:t xml:space="preserve"> </w:t>
            </w:r>
            <w:r w:rsidRPr="008114BD">
              <w:rPr>
                <w:rFonts w:eastAsia="Times New Roman"/>
                <w:sz w:val="18"/>
                <w:szCs w:val="18"/>
              </w:rPr>
              <w:t>system, thyroid, and fetal</w:t>
            </w:r>
            <w:r>
              <w:rPr>
                <w:rFonts w:eastAsia="Times New Roman"/>
                <w:sz w:val="18"/>
                <w:szCs w:val="18"/>
              </w:rPr>
              <w:t xml:space="preserve"> </w:t>
            </w:r>
            <w:r w:rsidRPr="008114BD">
              <w:rPr>
                <w:rFonts w:eastAsia="Times New Roman"/>
                <w:sz w:val="18"/>
                <w:szCs w:val="18"/>
              </w:rPr>
              <w:t>development. These PFAS</w:t>
            </w:r>
            <w:r>
              <w:rPr>
                <w:rFonts w:eastAsia="Times New Roman"/>
                <w:sz w:val="18"/>
                <w:szCs w:val="18"/>
              </w:rPr>
              <w:t xml:space="preserve"> </w:t>
            </w:r>
            <w:r w:rsidRPr="008114BD">
              <w:rPr>
                <w:rFonts w:eastAsia="Times New Roman"/>
                <w:sz w:val="18"/>
                <w:szCs w:val="18"/>
              </w:rPr>
              <w:t>may also elevate the risk of</w:t>
            </w:r>
            <w:r>
              <w:rPr>
                <w:rFonts w:eastAsia="Times New Roman"/>
                <w:sz w:val="18"/>
                <w:szCs w:val="18"/>
              </w:rPr>
              <w:t xml:space="preserve"> </w:t>
            </w:r>
            <w:r w:rsidRPr="008114BD">
              <w:rPr>
                <w:rFonts w:eastAsia="Times New Roman"/>
                <w:sz w:val="18"/>
                <w:szCs w:val="18"/>
              </w:rPr>
              <w:t>certain cancers.</w:t>
            </w:r>
          </w:p>
        </w:tc>
      </w:tr>
    </w:tbl>
    <w:p w14:paraId="281A457C" w14:textId="77777777" w:rsidR="004647B9" w:rsidRPr="009118C6" w:rsidRDefault="004647B9" w:rsidP="009118C6">
      <w:pPr>
        <w:rPr>
          <w:sz w:val="24"/>
          <w:szCs w:val="24"/>
        </w:rPr>
      </w:pPr>
    </w:p>
    <w:p w14:paraId="281A457D" w14:textId="77777777" w:rsidR="004647B9" w:rsidRDefault="00E2436F" w:rsidP="009118C6">
      <w:pPr>
        <w:numPr>
          <w:ilvl w:val="0"/>
          <w:numId w:val="554"/>
        </w:numPr>
        <w:tabs>
          <w:tab w:val="left" w:pos="2080"/>
        </w:tabs>
        <w:ind w:left="2080" w:hanging="465"/>
        <w:rPr>
          <w:rFonts w:eastAsia="Times New Roman"/>
          <w:sz w:val="24"/>
          <w:szCs w:val="24"/>
        </w:rPr>
      </w:pPr>
      <w:r>
        <w:rPr>
          <w:rFonts w:eastAsia="Times New Roman"/>
          <w:sz w:val="24"/>
          <w:szCs w:val="24"/>
          <w:u w:val="single"/>
        </w:rPr>
        <w:t>Table 2 - Unregulated Contaminants Chart</w:t>
      </w:r>
      <w:r>
        <w:rPr>
          <w:rFonts w:eastAsia="Times New Roman"/>
          <w:sz w:val="24"/>
          <w:szCs w:val="24"/>
        </w:rPr>
        <w:t>.</w:t>
      </w:r>
    </w:p>
    <w:p w14:paraId="281A457E" w14:textId="77777777" w:rsidR="004647B9" w:rsidRPr="009118C6" w:rsidRDefault="004647B9" w:rsidP="009118C6">
      <w:pPr>
        <w:rPr>
          <w:sz w:val="24"/>
          <w:szCs w:val="24"/>
        </w:rPr>
      </w:pPr>
    </w:p>
    <w:p w14:paraId="281A457F" w14:textId="77777777" w:rsidR="004647B9" w:rsidRDefault="00E2436F" w:rsidP="009118C6">
      <w:pPr>
        <w:ind w:left="1260"/>
        <w:rPr>
          <w:sz w:val="20"/>
          <w:szCs w:val="20"/>
        </w:rPr>
      </w:pPr>
      <w:r>
        <w:rPr>
          <w:rFonts w:eastAsia="Times New Roman"/>
          <w:b/>
          <w:bCs/>
          <w:sz w:val="24"/>
          <w:szCs w:val="24"/>
        </w:rPr>
        <w:t>Sources to Drinking Water and Health Effects</w:t>
      </w:r>
    </w:p>
    <w:p w14:paraId="281A4580" w14:textId="77777777" w:rsidR="004647B9" w:rsidRDefault="004647B9" w:rsidP="009118C6">
      <w:pPr>
        <w:sectPr w:rsidR="004647B9" w:rsidSect="00EF630C">
          <w:pgSz w:w="12240" w:h="20180"/>
          <w:pgMar w:top="708" w:right="480" w:bottom="1440" w:left="600" w:header="0" w:footer="0" w:gutter="0"/>
          <w:cols w:space="720"/>
        </w:sectPr>
      </w:pPr>
    </w:p>
    <w:p w14:paraId="281A4581" w14:textId="77777777" w:rsidR="004647B9" w:rsidRDefault="004647B9" w:rsidP="009118C6">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700"/>
        <w:gridCol w:w="2520"/>
        <w:gridCol w:w="222"/>
      </w:tblGrid>
      <w:tr w:rsidR="0047461D" w:rsidDel="007B206E" w14:paraId="52AFA8E7" w14:textId="4F7525EB" w:rsidTr="0047461D">
        <w:trPr>
          <w:gridAfter w:val="1"/>
        </w:trPr>
        <w:tc>
          <w:tcPr>
            <w:tcW w:w="4500" w:type="dxa"/>
          </w:tcPr>
          <w:p w14:paraId="7581A1D6" w14:textId="694A250B" w:rsidR="0047461D" w:rsidRDefault="0047461D" w:rsidP="009118C6">
            <w:pPr>
              <w:rPr>
                <w:rFonts w:eastAsia="Times New Roman"/>
                <w:sz w:val="18"/>
                <w:szCs w:val="18"/>
              </w:rPr>
            </w:pPr>
            <w:r>
              <w:rPr>
                <w:rFonts w:eastAsia="Times New Roman"/>
                <w:sz w:val="18"/>
                <w:szCs w:val="18"/>
              </w:rPr>
              <w:t>Key:</w:t>
            </w:r>
          </w:p>
        </w:tc>
        <w:tc>
          <w:tcPr>
            <w:tcW w:w="2700" w:type="dxa"/>
          </w:tcPr>
          <w:p w14:paraId="092A8283" w14:textId="77777777" w:rsidR="0047461D" w:rsidRDefault="0047461D" w:rsidP="009118C6">
            <w:pPr>
              <w:rPr>
                <w:rFonts w:eastAsia="Times New Roman"/>
                <w:sz w:val="18"/>
                <w:szCs w:val="18"/>
              </w:rPr>
            </w:pPr>
          </w:p>
        </w:tc>
        <w:tc>
          <w:tcPr>
            <w:tcW w:w="2520" w:type="dxa"/>
          </w:tcPr>
          <w:p w14:paraId="3EDD8121" w14:textId="77777777" w:rsidR="0047461D" w:rsidRDefault="0047461D" w:rsidP="009118C6">
            <w:pPr>
              <w:rPr>
                <w:rFonts w:eastAsia="Times New Roman"/>
                <w:sz w:val="18"/>
                <w:szCs w:val="18"/>
              </w:rPr>
            </w:pPr>
          </w:p>
        </w:tc>
      </w:tr>
      <w:tr w:rsidR="0047461D" w14:paraId="39CB4738" w14:textId="77777777" w:rsidTr="0047461D">
        <w:trPr>
          <w:gridAfter w:val="1"/>
        </w:trPr>
        <w:tc>
          <w:tcPr>
            <w:tcW w:w="4500" w:type="dxa"/>
          </w:tcPr>
          <w:p w14:paraId="37EF7E8F" w14:textId="4BBF333E" w:rsidR="0047461D" w:rsidRDefault="0047461D" w:rsidP="009118C6">
            <w:pPr>
              <w:rPr>
                <w:rFonts w:eastAsia="Times New Roman"/>
                <w:sz w:val="18"/>
                <w:szCs w:val="18"/>
              </w:rPr>
            </w:pPr>
            <w:r>
              <w:rPr>
                <w:rFonts w:eastAsia="Times New Roman"/>
                <w:sz w:val="18"/>
                <w:szCs w:val="18"/>
              </w:rPr>
              <w:t>CASRN - Chemical Abstract Services Registry Numbe</w:t>
            </w:r>
            <w:r w:rsidDel="007B206E">
              <w:rPr>
                <w:rFonts w:eastAsia="Times New Roman"/>
                <w:sz w:val="18"/>
                <w:szCs w:val="18"/>
              </w:rPr>
              <w:t>r</w:t>
            </w:r>
          </w:p>
        </w:tc>
        <w:tc>
          <w:tcPr>
            <w:tcW w:w="2700" w:type="dxa"/>
          </w:tcPr>
          <w:p w14:paraId="79D70937" w14:textId="7F7D3DF1" w:rsidR="0047461D" w:rsidRDefault="00466A93" w:rsidP="009118C6">
            <w:pPr>
              <w:rPr>
                <w:rFonts w:eastAsia="Times New Roman"/>
                <w:sz w:val="18"/>
                <w:szCs w:val="18"/>
              </w:rPr>
            </w:pPr>
            <w:r>
              <w:rPr>
                <w:rFonts w:eastAsia="Times New Roman"/>
                <w:sz w:val="18"/>
                <w:szCs w:val="18"/>
              </w:rPr>
              <w:t>mg/L - milligrams per liter (same as pp</w:t>
            </w:r>
            <w:r w:rsidDel="007B206E">
              <w:rPr>
                <w:rFonts w:eastAsia="Times New Roman"/>
                <w:sz w:val="18"/>
                <w:szCs w:val="18"/>
              </w:rPr>
              <w:t>m</w:t>
            </w:r>
            <w:r>
              <w:rPr>
                <w:rFonts w:eastAsia="Times New Roman"/>
                <w:sz w:val="18"/>
                <w:szCs w:val="18"/>
              </w:rPr>
              <w:t>)</w:t>
            </w:r>
          </w:p>
        </w:tc>
        <w:tc>
          <w:tcPr>
            <w:tcW w:w="2520" w:type="dxa"/>
          </w:tcPr>
          <w:p w14:paraId="498977F1" w14:textId="773EFA83" w:rsidR="0047461D" w:rsidRDefault="00466A93" w:rsidP="009118C6">
            <w:pPr>
              <w:rPr>
                <w:rFonts w:eastAsia="Times New Roman"/>
                <w:sz w:val="18"/>
                <w:szCs w:val="18"/>
              </w:rPr>
            </w:pPr>
            <w:r>
              <w:rPr>
                <w:rFonts w:eastAsia="Times New Roman"/>
                <w:sz w:val="18"/>
                <w:szCs w:val="18"/>
              </w:rPr>
              <w:t>ppt - parts per trillion</w:t>
            </w:r>
          </w:p>
        </w:tc>
      </w:tr>
      <w:tr w:rsidR="00466A93" w14:paraId="47D685F8" w14:textId="77777777" w:rsidTr="0047461D">
        <w:tc>
          <w:tcPr>
            <w:tcW w:w="4500" w:type="dxa"/>
          </w:tcPr>
          <w:p w14:paraId="4678140C" w14:textId="7FA700D4" w:rsidR="00466A93" w:rsidRDefault="00466A93" w:rsidP="009118C6">
            <w:pPr>
              <w:rPr>
                <w:rFonts w:eastAsia="Times New Roman"/>
                <w:sz w:val="18"/>
                <w:szCs w:val="18"/>
              </w:rPr>
            </w:pPr>
            <w:r>
              <w:rPr>
                <w:rFonts w:eastAsia="Times New Roman"/>
                <w:sz w:val="18"/>
                <w:szCs w:val="18"/>
              </w:rPr>
              <w:t>CCR – Consumer Confidence Report</w:t>
            </w:r>
          </w:p>
        </w:tc>
        <w:tc>
          <w:tcPr>
            <w:tcW w:w="2700" w:type="dxa"/>
          </w:tcPr>
          <w:p w14:paraId="07A5EEFF" w14:textId="2E5F483C" w:rsidR="00466A93" w:rsidDel="007B206E" w:rsidRDefault="00466A93" w:rsidP="009118C6">
            <w:pPr>
              <w:rPr>
                <w:rFonts w:eastAsia="Times New Roman"/>
                <w:sz w:val="18"/>
                <w:szCs w:val="18"/>
              </w:rPr>
            </w:pPr>
            <w:r>
              <w:rPr>
                <w:rFonts w:eastAsia="Times New Roman"/>
                <w:sz w:val="18"/>
                <w:szCs w:val="18"/>
              </w:rPr>
              <w:t>ppm - parts per million</w:t>
            </w:r>
          </w:p>
        </w:tc>
        <w:tc>
          <w:tcPr>
            <w:tcW w:w="2520" w:type="dxa"/>
          </w:tcPr>
          <w:p w14:paraId="03CE6FED" w14:textId="42F19382" w:rsidR="00466A93" w:rsidDel="007B206E" w:rsidRDefault="00466A93" w:rsidP="009118C6">
            <w:pPr>
              <w:rPr>
                <w:rFonts w:eastAsia="Times New Roman"/>
                <w:sz w:val="18"/>
                <w:szCs w:val="18"/>
              </w:rPr>
            </w:pPr>
            <w:r>
              <w:rPr>
                <w:rFonts w:eastAsia="Times New Roman"/>
                <w:sz w:val="18"/>
                <w:szCs w:val="18"/>
              </w:rPr>
              <w:t>pCi/L - Picocuries per liter</w:t>
            </w:r>
          </w:p>
        </w:tc>
        <w:tc>
          <w:tcPr>
            <w:tcW w:w="0" w:type="auto"/>
          </w:tcPr>
          <w:p w14:paraId="21A88EEC" w14:textId="59C31AAF" w:rsidR="00466A93" w:rsidRDefault="00466A93" w:rsidP="009118C6"/>
        </w:tc>
      </w:tr>
      <w:tr w:rsidR="00466A93" w14:paraId="4EFF6143" w14:textId="77777777" w:rsidTr="0047461D">
        <w:trPr>
          <w:gridAfter w:val="1"/>
        </w:trPr>
        <w:tc>
          <w:tcPr>
            <w:tcW w:w="4500" w:type="dxa"/>
          </w:tcPr>
          <w:p w14:paraId="5A7FB392" w14:textId="3C4D9D4E" w:rsidR="00466A93" w:rsidRDefault="00466A93" w:rsidP="009118C6">
            <w:pPr>
              <w:rPr>
                <w:rFonts w:eastAsia="Times New Roman"/>
                <w:sz w:val="18"/>
                <w:szCs w:val="18"/>
              </w:rPr>
            </w:pPr>
            <w:r>
              <w:rPr>
                <w:rFonts w:eastAsia="Times New Roman"/>
                <w:sz w:val="18"/>
                <w:szCs w:val="18"/>
              </w:rPr>
              <w:t>ORSG - Office of Research and Standards Guideline</w:t>
            </w:r>
          </w:p>
        </w:tc>
        <w:tc>
          <w:tcPr>
            <w:tcW w:w="2700" w:type="dxa"/>
          </w:tcPr>
          <w:p w14:paraId="7018DEF3" w14:textId="18630410" w:rsidR="00466A93" w:rsidRDefault="00466A93" w:rsidP="009118C6">
            <w:pPr>
              <w:rPr>
                <w:rFonts w:eastAsia="Times New Roman"/>
                <w:sz w:val="18"/>
                <w:szCs w:val="18"/>
              </w:rPr>
            </w:pPr>
            <w:r>
              <w:rPr>
                <w:rFonts w:eastAsia="Times New Roman"/>
                <w:sz w:val="18"/>
                <w:szCs w:val="18"/>
              </w:rPr>
              <w:t>ppb - parts per billion</w:t>
            </w:r>
          </w:p>
        </w:tc>
        <w:tc>
          <w:tcPr>
            <w:tcW w:w="2520" w:type="dxa"/>
          </w:tcPr>
          <w:p w14:paraId="052DF43C" w14:textId="77777777" w:rsidR="00466A93" w:rsidRDefault="00466A93" w:rsidP="009118C6">
            <w:pPr>
              <w:rPr>
                <w:rFonts w:eastAsia="Times New Roman"/>
                <w:sz w:val="18"/>
                <w:szCs w:val="18"/>
              </w:rPr>
            </w:pPr>
          </w:p>
        </w:tc>
      </w:tr>
    </w:tbl>
    <w:p w14:paraId="281A4593" w14:textId="3AF4C7FF" w:rsidR="004647B9" w:rsidRPr="00704765" w:rsidRDefault="004647B9" w:rsidP="009118C6"/>
    <w:p w14:paraId="281A4594" w14:textId="77777777" w:rsidR="004647B9" w:rsidRPr="00704765" w:rsidRDefault="004647B9" w:rsidP="009118C6">
      <w:pPr>
        <w:sectPr w:rsidR="004647B9" w:rsidRPr="00704765" w:rsidSect="00EF630C">
          <w:type w:val="continuous"/>
          <w:pgSz w:w="12240" w:h="20180"/>
          <w:pgMar w:top="708" w:right="480" w:bottom="1440" w:left="600" w:header="0" w:footer="0" w:gutter="0"/>
          <w:cols w:space="720"/>
        </w:sectPr>
      </w:pPr>
    </w:p>
    <w:tbl>
      <w:tblPr>
        <w:tblW w:w="1115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75"/>
        <w:gridCol w:w="806"/>
        <w:gridCol w:w="1699"/>
        <w:gridCol w:w="1627"/>
        <w:gridCol w:w="2434"/>
        <w:gridCol w:w="2318"/>
      </w:tblGrid>
      <w:tr w:rsidR="0035400B" w14:paraId="4F0F08B8" w14:textId="77777777" w:rsidTr="00466A93">
        <w:trPr>
          <w:trHeight w:val="1073"/>
        </w:trPr>
        <w:tc>
          <w:tcPr>
            <w:tcW w:w="2275" w:type="dxa"/>
            <w:tcBorders>
              <w:bottom w:val="single" w:sz="8" w:space="0" w:color="auto"/>
            </w:tcBorders>
            <w:vAlign w:val="center"/>
          </w:tcPr>
          <w:p w14:paraId="07DDD8D2" w14:textId="77777777" w:rsidR="0035400B" w:rsidRDefault="0035400B" w:rsidP="00BC2BA7">
            <w:pPr>
              <w:rPr>
                <w:rFonts w:eastAsia="Times New Roman"/>
                <w:sz w:val="18"/>
                <w:szCs w:val="18"/>
              </w:rPr>
            </w:pPr>
            <w:r>
              <w:rPr>
                <w:rFonts w:eastAsia="Times New Roman"/>
                <w:sz w:val="18"/>
                <w:szCs w:val="18"/>
              </w:rPr>
              <w:t>Chemical</w:t>
            </w:r>
          </w:p>
          <w:p w14:paraId="5BA95076" w14:textId="64D3966D" w:rsidR="0035400B" w:rsidRDefault="0035400B" w:rsidP="00BC2BA7">
            <w:pPr>
              <w:rPr>
                <w:sz w:val="24"/>
                <w:szCs w:val="24"/>
              </w:rPr>
            </w:pPr>
            <w:r>
              <w:rPr>
                <w:rFonts w:eastAsia="Times New Roman"/>
                <w:sz w:val="18"/>
                <w:szCs w:val="18"/>
              </w:rPr>
              <w:t>(CASRN)</w:t>
            </w:r>
          </w:p>
        </w:tc>
        <w:tc>
          <w:tcPr>
            <w:tcW w:w="806" w:type="dxa"/>
            <w:tcBorders>
              <w:bottom w:val="single" w:sz="8" w:space="0" w:color="auto"/>
            </w:tcBorders>
            <w:vAlign w:val="center"/>
          </w:tcPr>
          <w:p w14:paraId="09809C02" w14:textId="1BA48871" w:rsidR="0035400B" w:rsidRDefault="0035400B" w:rsidP="0035400B">
            <w:pPr>
              <w:jc w:val="center"/>
              <w:rPr>
                <w:sz w:val="20"/>
                <w:szCs w:val="20"/>
              </w:rPr>
            </w:pPr>
            <w:r>
              <w:rPr>
                <w:rFonts w:eastAsia="Times New Roman"/>
                <w:sz w:val="18"/>
                <w:szCs w:val="18"/>
              </w:rPr>
              <w:t>ORSG</w:t>
            </w:r>
          </w:p>
        </w:tc>
        <w:tc>
          <w:tcPr>
            <w:tcW w:w="1699" w:type="dxa"/>
            <w:tcBorders>
              <w:bottom w:val="single" w:sz="8" w:space="0" w:color="auto"/>
            </w:tcBorders>
            <w:vAlign w:val="center"/>
          </w:tcPr>
          <w:p w14:paraId="25EDA3BD" w14:textId="77777777" w:rsidR="0035400B" w:rsidRDefault="0035400B" w:rsidP="0035400B">
            <w:pPr>
              <w:jc w:val="center"/>
              <w:rPr>
                <w:sz w:val="20"/>
                <w:szCs w:val="20"/>
              </w:rPr>
            </w:pPr>
            <w:r>
              <w:rPr>
                <w:rFonts w:eastAsia="Times New Roman"/>
                <w:sz w:val="18"/>
                <w:szCs w:val="18"/>
              </w:rPr>
              <w:t>To convert for CCR, multiply by</w:t>
            </w:r>
          </w:p>
        </w:tc>
        <w:tc>
          <w:tcPr>
            <w:tcW w:w="1627" w:type="dxa"/>
            <w:tcBorders>
              <w:bottom w:val="single" w:sz="8" w:space="0" w:color="auto"/>
            </w:tcBorders>
            <w:vAlign w:val="center"/>
          </w:tcPr>
          <w:p w14:paraId="28AF472E" w14:textId="3BD50B33" w:rsidR="0035400B" w:rsidRDefault="0035400B" w:rsidP="0035400B">
            <w:pPr>
              <w:jc w:val="center"/>
              <w:rPr>
                <w:sz w:val="20"/>
                <w:szCs w:val="20"/>
              </w:rPr>
            </w:pPr>
            <w:r>
              <w:rPr>
                <w:rFonts w:eastAsia="Times New Roman"/>
                <w:sz w:val="18"/>
                <w:szCs w:val="18"/>
              </w:rPr>
              <w:t>ORSG in CCR units</w:t>
            </w:r>
          </w:p>
        </w:tc>
        <w:tc>
          <w:tcPr>
            <w:tcW w:w="2434" w:type="dxa"/>
            <w:tcBorders>
              <w:bottom w:val="single" w:sz="8" w:space="0" w:color="auto"/>
            </w:tcBorders>
            <w:vAlign w:val="center"/>
          </w:tcPr>
          <w:p w14:paraId="2C86D1B4" w14:textId="5F1F9F48" w:rsidR="0035400B" w:rsidRDefault="0035400B" w:rsidP="0035400B">
            <w:pPr>
              <w:jc w:val="center"/>
              <w:rPr>
                <w:sz w:val="20"/>
                <w:szCs w:val="20"/>
              </w:rPr>
            </w:pPr>
            <w:r>
              <w:rPr>
                <w:rFonts w:eastAsia="Times New Roman"/>
                <w:sz w:val="18"/>
                <w:szCs w:val="18"/>
              </w:rPr>
              <w:t xml:space="preserve">Source to Drinking </w:t>
            </w:r>
            <w:r>
              <w:rPr>
                <w:rFonts w:eastAsia="Times New Roman"/>
                <w:w w:val="98"/>
                <w:sz w:val="18"/>
                <w:szCs w:val="18"/>
              </w:rPr>
              <w:t>Water</w:t>
            </w:r>
          </w:p>
        </w:tc>
        <w:tc>
          <w:tcPr>
            <w:tcW w:w="2318" w:type="dxa"/>
            <w:tcBorders>
              <w:bottom w:val="single" w:sz="8" w:space="0" w:color="auto"/>
            </w:tcBorders>
            <w:vAlign w:val="center"/>
          </w:tcPr>
          <w:p w14:paraId="4B27C074" w14:textId="6AC72DB7" w:rsidR="0035400B" w:rsidRDefault="0035400B" w:rsidP="0035400B">
            <w:pPr>
              <w:jc w:val="center"/>
              <w:rPr>
                <w:sz w:val="20"/>
                <w:szCs w:val="20"/>
              </w:rPr>
            </w:pPr>
            <w:r>
              <w:rPr>
                <w:rFonts w:eastAsia="Times New Roman"/>
                <w:sz w:val="18"/>
                <w:szCs w:val="18"/>
              </w:rPr>
              <w:t>Health Effects</w:t>
            </w:r>
          </w:p>
        </w:tc>
      </w:tr>
      <w:tr w:rsidR="0035400B" w14:paraId="78069EE8" w14:textId="77777777" w:rsidTr="00466A93">
        <w:trPr>
          <w:trHeight w:val="1954"/>
        </w:trPr>
        <w:tc>
          <w:tcPr>
            <w:tcW w:w="2275" w:type="dxa"/>
            <w:tcBorders>
              <w:bottom w:val="single" w:sz="4" w:space="0" w:color="auto"/>
            </w:tcBorders>
            <w:vAlign w:val="center"/>
          </w:tcPr>
          <w:p w14:paraId="05BCCA57" w14:textId="77777777" w:rsidR="0035400B" w:rsidRDefault="0035400B" w:rsidP="0035400B">
            <w:pPr>
              <w:ind w:left="60"/>
              <w:rPr>
                <w:rFonts w:eastAsia="Times New Roman"/>
                <w:sz w:val="18"/>
                <w:szCs w:val="18"/>
              </w:rPr>
            </w:pPr>
            <w:r>
              <w:rPr>
                <w:rFonts w:eastAsia="Times New Roman"/>
                <w:sz w:val="18"/>
                <w:szCs w:val="18"/>
              </w:rPr>
              <w:t>Acetone</w:t>
            </w:r>
          </w:p>
          <w:p w14:paraId="0ECE47E0" w14:textId="162E353B" w:rsidR="0035400B" w:rsidRPr="00591DD4" w:rsidRDefault="0035400B" w:rsidP="0035400B">
            <w:pPr>
              <w:ind w:left="60"/>
              <w:rPr>
                <w:sz w:val="20"/>
                <w:szCs w:val="20"/>
              </w:rPr>
            </w:pPr>
            <w:r>
              <w:rPr>
                <w:rFonts w:eastAsia="Times New Roman"/>
                <w:sz w:val="18"/>
                <w:szCs w:val="18"/>
              </w:rPr>
              <w:t>(67641)</w:t>
            </w:r>
          </w:p>
        </w:tc>
        <w:tc>
          <w:tcPr>
            <w:tcW w:w="806" w:type="dxa"/>
            <w:tcBorders>
              <w:bottom w:val="single" w:sz="4" w:space="0" w:color="auto"/>
            </w:tcBorders>
            <w:vAlign w:val="center"/>
          </w:tcPr>
          <w:p w14:paraId="1AA8055D" w14:textId="24497EC2" w:rsidR="0035400B" w:rsidRDefault="0035400B" w:rsidP="0035400B">
            <w:pPr>
              <w:jc w:val="center"/>
              <w:rPr>
                <w:sz w:val="20"/>
                <w:szCs w:val="20"/>
              </w:rPr>
            </w:pPr>
            <w:r>
              <w:rPr>
                <w:rFonts w:eastAsia="Times New Roman"/>
                <w:sz w:val="18"/>
                <w:szCs w:val="18"/>
              </w:rPr>
              <w:t>6.3 mg/l</w:t>
            </w:r>
          </w:p>
        </w:tc>
        <w:tc>
          <w:tcPr>
            <w:tcW w:w="1699" w:type="dxa"/>
            <w:tcBorders>
              <w:bottom w:val="single" w:sz="4" w:space="0" w:color="auto"/>
            </w:tcBorders>
            <w:vAlign w:val="center"/>
          </w:tcPr>
          <w:p w14:paraId="3AE281F9" w14:textId="7135C034" w:rsidR="0035400B" w:rsidRDefault="0035400B" w:rsidP="0035400B">
            <w:pPr>
              <w:jc w:val="center"/>
              <w:rPr>
                <w:sz w:val="20"/>
                <w:szCs w:val="20"/>
              </w:rPr>
            </w:pPr>
            <w:r>
              <w:rPr>
                <w:rFonts w:eastAsia="Times New Roman"/>
                <w:sz w:val="18"/>
                <w:szCs w:val="18"/>
              </w:rPr>
              <w:t>-</w:t>
            </w:r>
          </w:p>
        </w:tc>
        <w:tc>
          <w:tcPr>
            <w:tcW w:w="1627" w:type="dxa"/>
            <w:tcBorders>
              <w:bottom w:val="single" w:sz="4" w:space="0" w:color="auto"/>
            </w:tcBorders>
            <w:vAlign w:val="center"/>
          </w:tcPr>
          <w:p w14:paraId="1EA10859" w14:textId="5728C4AD" w:rsidR="0035400B" w:rsidRDefault="0035400B" w:rsidP="0035400B">
            <w:pPr>
              <w:jc w:val="center"/>
              <w:rPr>
                <w:sz w:val="20"/>
                <w:szCs w:val="20"/>
              </w:rPr>
            </w:pPr>
            <w:r>
              <w:rPr>
                <w:rFonts w:eastAsia="Times New Roman"/>
                <w:sz w:val="18"/>
                <w:szCs w:val="18"/>
              </w:rPr>
              <w:t>6.3 ppm</w:t>
            </w:r>
          </w:p>
        </w:tc>
        <w:tc>
          <w:tcPr>
            <w:tcW w:w="2434" w:type="dxa"/>
            <w:tcBorders>
              <w:bottom w:val="single" w:sz="4" w:space="0" w:color="auto"/>
            </w:tcBorders>
          </w:tcPr>
          <w:p w14:paraId="3A342E04" w14:textId="441FDB35" w:rsidR="0035400B" w:rsidRPr="00393092" w:rsidRDefault="0035400B" w:rsidP="0035400B">
            <w:pPr>
              <w:spacing w:line="329" w:lineRule="auto"/>
              <w:ind w:left="43"/>
              <w:rPr>
                <w:rFonts w:eastAsia="Times New Roman"/>
                <w:sz w:val="18"/>
                <w:szCs w:val="18"/>
              </w:rPr>
            </w:pPr>
            <w:r>
              <w:rPr>
                <w:rFonts w:eastAsia="Times New Roman"/>
                <w:sz w:val="18"/>
                <w:szCs w:val="18"/>
              </w:rPr>
              <w:t>Discharge from industrial production and use, in automobile exhaust, from landfills and natural sources</w:t>
            </w:r>
          </w:p>
        </w:tc>
        <w:tc>
          <w:tcPr>
            <w:tcW w:w="2318" w:type="dxa"/>
            <w:tcBorders>
              <w:bottom w:val="single" w:sz="4" w:space="0" w:color="auto"/>
            </w:tcBorders>
          </w:tcPr>
          <w:p w14:paraId="7ED622EB" w14:textId="6C9A9430" w:rsidR="0035400B" w:rsidRPr="00393092" w:rsidRDefault="0035400B" w:rsidP="0035400B">
            <w:pPr>
              <w:spacing w:line="329" w:lineRule="auto"/>
              <w:ind w:left="43" w:right="100"/>
              <w:rPr>
                <w:rFonts w:eastAsia="Times New Roman"/>
                <w:sz w:val="18"/>
                <w:szCs w:val="18"/>
              </w:rPr>
            </w:pPr>
            <w:r>
              <w:rPr>
                <w:rFonts w:eastAsia="Times New Roman"/>
                <w:sz w:val="18"/>
                <w:szCs w:val="18"/>
              </w:rPr>
              <w:t>Some people who drink water containing acetone at high concentrations for many years could experience effects on the blood, kidney, liver, and reproductive system.</w:t>
            </w:r>
          </w:p>
        </w:tc>
      </w:tr>
    </w:tbl>
    <w:p w14:paraId="281A464C" w14:textId="77777777" w:rsidR="004647B9" w:rsidRDefault="004647B9">
      <w:pPr>
        <w:sectPr w:rsidR="004647B9" w:rsidSect="00EF630C">
          <w:type w:val="continuous"/>
          <w:pgSz w:w="12240" w:h="20180"/>
          <w:pgMar w:top="708" w:right="480" w:bottom="1440" w:left="600" w:header="0" w:footer="0" w:gutter="0"/>
          <w:cols w:space="720"/>
        </w:sectPr>
      </w:pPr>
    </w:p>
    <w:p w14:paraId="0EB5C912" w14:textId="77777777" w:rsidR="00766749" w:rsidRDefault="00766749">
      <w:pPr>
        <w:rPr>
          <w:rFonts w:eastAsia="Times New Roman"/>
          <w:sz w:val="24"/>
          <w:szCs w:val="24"/>
        </w:rPr>
      </w:pPr>
      <w:r>
        <w:rPr>
          <w:rFonts w:eastAsia="Times New Roman"/>
          <w:sz w:val="24"/>
          <w:szCs w:val="24"/>
        </w:rPr>
        <w:br w:type="page"/>
      </w:r>
    </w:p>
    <w:p w14:paraId="281A464D" w14:textId="27CD6C05" w:rsidR="004647B9" w:rsidRDefault="00E2436F">
      <w:pPr>
        <w:tabs>
          <w:tab w:val="left" w:pos="2860"/>
        </w:tabs>
        <w:ind w:left="1680"/>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64E" w14:textId="77777777" w:rsidR="004647B9" w:rsidRDefault="004647B9" w:rsidP="00555E64">
      <w:pPr>
        <w:rPr>
          <w:sz w:val="20"/>
          <w:szCs w:val="20"/>
        </w:rPr>
      </w:pPr>
    </w:p>
    <w:p w14:paraId="4BCE302F" w14:textId="77777777" w:rsidR="009118C6" w:rsidRDefault="009118C6" w:rsidP="00555E64">
      <w:pPr>
        <w:rPr>
          <w:sz w:val="20"/>
          <w:szCs w:val="20"/>
        </w:rPr>
      </w:pPr>
    </w:p>
    <w:p w14:paraId="281A464F" w14:textId="77777777" w:rsidR="004647B9" w:rsidRPr="009118C6" w:rsidRDefault="00E2436F" w:rsidP="00555E64">
      <w:pPr>
        <w:tabs>
          <w:tab w:val="left" w:pos="940"/>
        </w:tabs>
        <w:rPr>
          <w:sz w:val="24"/>
          <w:szCs w:val="24"/>
        </w:rPr>
      </w:pPr>
      <w:r w:rsidRPr="009118C6">
        <w:rPr>
          <w:rFonts w:eastAsia="Times New Roman"/>
          <w:sz w:val="24"/>
          <w:szCs w:val="24"/>
        </w:rPr>
        <w:t>22.16A:</w:t>
      </w:r>
      <w:r w:rsidRPr="009118C6">
        <w:rPr>
          <w:sz w:val="24"/>
          <w:szCs w:val="24"/>
        </w:rPr>
        <w:tab/>
      </w:r>
      <w:r w:rsidRPr="009118C6">
        <w:rPr>
          <w:rFonts w:eastAsia="Times New Roman"/>
          <w:sz w:val="24"/>
          <w:szCs w:val="24"/>
        </w:rPr>
        <w:t>continued</w:t>
      </w:r>
    </w:p>
    <w:p w14:paraId="281A4651" w14:textId="77777777" w:rsidR="004647B9" w:rsidRDefault="004647B9" w:rsidP="00555E64">
      <w:pPr>
        <w:rPr>
          <w:sz w:val="20"/>
          <w:szCs w:val="20"/>
        </w:rPr>
      </w:pPr>
    </w:p>
    <w:tbl>
      <w:tblPr>
        <w:tblW w:w="11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BC2BA7" w14:paraId="281A4659" w14:textId="77777777" w:rsidTr="00BC2BA7">
        <w:trPr>
          <w:trHeight w:val="775"/>
        </w:trPr>
        <w:tc>
          <w:tcPr>
            <w:tcW w:w="2280" w:type="dxa"/>
            <w:vAlign w:val="center"/>
          </w:tcPr>
          <w:p w14:paraId="6F4289D9" w14:textId="77777777" w:rsidR="00BC2BA7" w:rsidRDefault="00BC2BA7" w:rsidP="00BC2BA7">
            <w:pPr>
              <w:rPr>
                <w:sz w:val="20"/>
                <w:szCs w:val="20"/>
              </w:rPr>
            </w:pPr>
            <w:r>
              <w:rPr>
                <w:rFonts w:eastAsia="Times New Roman"/>
                <w:sz w:val="18"/>
                <w:szCs w:val="18"/>
              </w:rPr>
              <w:t>Chemical</w:t>
            </w:r>
          </w:p>
          <w:p w14:paraId="281A4653" w14:textId="557C66FB" w:rsidR="00BC2BA7" w:rsidRDefault="00BC2BA7" w:rsidP="00BC2BA7">
            <w:pPr>
              <w:rPr>
                <w:sz w:val="24"/>
                <w:szCs w:val="24"/>
              </w:rPr>
            </w:pPr>
            <w:r>
              <w:rPr>
                <w:rFonts w:eastAsia="Times New Roman"/>
                <w:sz w:val="18"/>
                <w:szCs w:val="18"/>
              </w:rPr>
              <w:t>(CASRN)</w:t>
            </w:r>
          </w:p>
        </w:tc>
        <w:tc>
          <w:tcPr>
            <w:tcW w:w="800" w:type="dxa"/>
            <w:vAlign w:val="center"/>
          </w:tcPr>
          <w:p w14:paraId="281A4654" w14:textId="77777777" w:rsidR="00BC2BA7" w:rsidRDefault="00BC2BA7" w:rsidP="00BC2BA7">
            <w:pPr>
              <w:jc w:val="center"/>
              <w:rPr>
                <w:sz w:val="20"/>
                <w:szCs w:val="20"/>
              </w:rPr>
            </w:pPr>
            <w:r>
              <w:rPr>
                <w:rFonts w:eastAsia="Times New Roman"/>
                <w:sz w:val="18"/>
                <w:szCs w:val="18"/>
              </w:rPr>
              <w:t>ORSG</w:t>
            </w:r>
          </w:p>
        </w:tc>
        <w:tc>
          <w:tcPr>
            <w:tcW w:w="1700" w:type="dxa"/>
            <w:vAlign w:val="center"/>
          </w:tcPr>
          <w:p w14:paraId="281A4655" w14:textId="01ED22CC" w:rsidR="00BC2BA7" w:rsidRDefault="00BC2BA7" w:rsidP="00BC2BA7">
            <w:pPr>
              <w:jc w:val="center"/>
              <w:rPr>
                <w:sz w:val="20"/>
                <w:szCs w:val="20"/>
              </w:rPr>
            </w:pPr>
            <w:r>
              <w:rPr>
                <w:rFonts w:eastAsia="Times New Roman"/>
                <w:sz w:val="18"/>
                <w:szCs w:val="18"/>
              </w:rPr>
              <w:t>To convert for CCR, multiply by</w:t>
            </w:r>
          </w:p>
        </w:tc>
        <w:tc>
          <w:tcPr>
            <w:tcW w:w="1620" w:type="dxa"/>
            <w:vAlign w:val="center"/>
          </w:tcPr>
          <w:p w14:paraId="281A4656" w14:textId="025792F1" w:rsidR="00BC2BA7" w:rsidRDefault="00BC2BA7" w:rsidP="00BC2BA7">
            <w:pPr>
              <w:jc w:val="center"/>
              <w:rPr>
                <w:sz w:val="20"/>
                <w:szCs w:val="20"/>
              </w:rPr>
            </w:pPr>
            <w:r>
              <w:rPr>
                <w:rFonts w:eastAsia="Times New Roman"/>
                <w:sz w:val="18"/>
                <w:szCs w:val="18"/>
              </w:rPr>
              <w:t>ORSG in CCR units</w:t>
            </w:r>
          </w:p>
        </w:tc>
        <w:tc>
          <w:tcPr>
            <w:tcW w:w="2440" w:type="dxa"/>
            <w:vAlign w:val="center"/>
          </w:tcPr>
          <w:p w14:paraId="281A4657" w14:textId="74ACDD45" w:rsidR="00BC2BA7" w:rsidRDefault="00BC2BA7" w:rsidP="00BC2BA7">
            <w:pPr>
              <w:jc w:val="center"/>
              <w:rPr>
                <w:sz w:val="20"/>
                <w:szCs w:val="20"/>
              </w:rPr>
            </w:pPr>
            <w:r>
              <w:rPr>
                <w:rFonts w:eastAsia="Times New Roman"/>
                <w:sz w:val="18"/>
                <w:szCs w:val="18"/>
              </w:rPr>
              <w:t>Source to Drinking Water</w:t>
            </w:r>
          </w:p>
        </w:tc>
        <w:tc>
          <w:tcPr>
            <w:tcW w:w="2320" w:type="dxa"/>
            <w:vAlign w:val="center"/>
          </w:tcPr>
          <w:p w14:paraId="281A4658" w14:textId="77777777" w:rsidR="00BC2BA7" w:rsidRDefault="00BC2BA7" w:rsidP="00BC2BA7">
            <w:pPr>
              <w:jc w:val="center"/>
              <w:rPr>
                <w:sz w:val="20"/>
                <w:szCs w:val="20"/>
              </w:rPr>
            </w:pPr>
            <w:r>
              <w:rPr>
                <w:rFonts w:eastAsia="Times New Roman"/>
                <w:sz w:val="18"/>
                <w:szCs w:val="18"/>
              </w:rPr>
              <w:t>Health Effects</w:t>
            </w:r>
          </w:p>
        </w:tc>
      </w:tr>
      <w:tr w:rsidR="00F57A8F" w14:paraId="1EDFE44B" w14:textId="77777777" w:rsidTr="00F57A8F">
        <w:trPr>
          <w:trHeight w:val="1531"/>
        </w:trPr>
        <w:tc>
          <w:tcPr>
            <w:tcW w:w="2280" w:type="dxa"/>
            <w:vAlign w:val="center"/>
          </w:tcPr>
          <w:p w14:paraId="597462D2" w14:textId="77777777" w:rsidR="00F57A8F" w:rsidRDefault="00F57A8F" w:rsidP="00F57A8F">
            <w:pPr>
              <w:ind w:left="60"/>
              <w:rPr>
                <w:sz w:val="20"/>
                <w:szCs w:val="20"/>
              </w:rPr>
            </w:pPr>
            <w:r>
              <w:rPr>
                <w:rFonts w:eastAsia="Times New Roman"/>
                <w:sz w:val="18"/>
                <w:szCs w:val="18"/>
              </w:rPr>
              <w:t>Aldicarb</w:t>
            </w:r>
          </w:p>
          <w:p w14:paraId="5D44A741" w14:textId="60FFF185" w:rsidR="00F57A8F" w:rsidRDefault="00F57A8F" w:rsidP="00F57A8F">
            <w:pPr>
              <w:rPr>
                <w:rFonts w:eastAsia="Times New Roman"/>
                <w:sz w:val="18"/>
                <w:szCs w:val="18"/>
              </w:rPr>
            </w:pPr>
            <w:r>
              <w:rPr>
                <w:rFonts w:eastAsia="Times New Roman"/>
                <w:sz w:val="18"/>
                <w:szCs w:val="18"/>
              </w:rPr>
              <w:t>(116063)</w:t>
            </w:r>
          </w:p>
        </w:tc>
        <w:tc>
          <w:tcPr>
            <w:tcW w:w="800" w:type="dxa"/>
            <w:vAlign w:val="center"/>
          </w:tcPr>
          <w:p w14:paraId="2DD14A8C" w14:textId="55E17659" w:rsidR="00F57A8F" w:rsidRDefault="00F57A8F" w:rsidP="00F57A8F">
            <w:pPr>
              <w:jc w:val="center"/>
              <w:rPr>
                <w:rFonts w:eastAsia="Times New Roman"/>
                <w:sz w:val="18"/>
                <w:szCs w:val="18"/>
              </w:rPr>
            </w:pPr>
            <w:r>
              <w:rPr>
                <w:rFonts w:eastAsia="Times New Roman"/>
                <w:sz w:val="18"/>
                <w:szCs w:val="18"/>
              </w:rPr>
              <w:t>0.003 mg/L</w:t>
            </w:r>
          </w:p>
        </w:tc>
        <w:tc>
          <w:tcPr>
            <w:tcW w:w="1700" w:type="dxa"/>
            <w:vAlign w:val="center"/>
          </w:tcPr>
          <w:p w14:paraId="51259FD8" w14:textId="458617E9" w:rsidR="00F57A8F" w:rsidRDefault="00F57A8F" w:rsidP="00F57A8F">
            <w:pPr>
              <w:jc w:val="center"/>
              <w:rPr>
                <w:rFonts w:eastAsia="Times New Roman"/>
                <w:sz w:val="18"/>
                <w:szCs w:val="18"/>
              </w:rPr>
            </w:pPr>
            <w:r>
              <w:rPr>
                <w:rFonts w:eastAsia="Times New Roman"/>
                <w:sz w:val="18"/>
                <w:szCs w:val="18"/>
              </w:rPr>
              <w:t>1000</w:t>
            </w:r>
          </w:p>
        </w:tc>
        <w:tc>
          <w:tcPr>
            <w:tcW w:w="1620" w:type="dxa"/>
            <w:vAlign w:val="center"/>
          </w:tcPr>
          <w:p w14:paraId="2B720A25" w14:textId="44502ED8" w:rsidR="00F57A8F" w:rsidRDefault="00F57A8F" w:rsidP="00F57A8F">
            <w:pPr>
              <w:jc w:val="center"/>
              <w:rPr>
                <w:rFonts w:eastAsia="Times New Roman"/>
                <w:sz w:val="18"/>
                <w:szCs w:val="18"/>
              </w:rPr>
            </w:pPr>
            <w:r>
              <w:rPr>
                <w:rFonts w:eastAsia="Times New Roman"/>
                <w:sz w:val="18"/>
                <w:szCs w:val="18"/>
              </w:rPr>
              <w:t>3 ppb</w:t>
            </w:r>
          </w:p>
        </w:tc>
        <w:tc>
          <w:tcPr>
            <w:tcW w:w="2440" w:type="dxa"/>
          </w:tcPr>
          <w:p w14:paraId="50FBFDC4" w14:textId="5321EF35" w:rsidR="00F57A8F" w:rsidRDefault="00F57A8F" w:rsidP="00F57A8F">
            <w:pPr>
              <w:spacing w:line="329" w:lineRule="auto"/>
              <w:ind w:left="43"/>
              <w:rPr>
                <w:rFonts w:eastAsia="Times New Roman"/>
                <w:sz w:val="18"/>
                <w:szCs w:val="18"/>
              </w:rPr>
            </w:pPr>
            <w:r>
              <w:rPr>
                <w:rFonts w:eastAsia="Times New Roman"/>
                <w:sz w:val="18"/>
                <w:szCs w:val="18"/>
              </w:rPr>
              <w:t>Run-off from use as a pesticide</w:t>
            </w:r>
          </w:p>
        </w:tc>
        <w:tc>
          <w:tcPr>
            <w:tcW w:w="2320" w:type="dxa"/>
          </w:tcPr>
          <w:p w14:paraId="6E431740" w14:textId="57E29CD1" w:rsidR="00F57A8F" w:rsidRDefault="00F57A8F" w:rsidP="00F57A8F">
            <w:pPr>
              <w:spacing w:line="329" w:lineRule="auto"/>
              <w:ind w:left="43"/>
              <w:rPr>
                <w:rFonts w:eastAsia="Times New Roman"/>
                <w:sz w:val="18"/>
                <w:szCs w:val="18"/>
              </w:rPr>
            </w:pPr>
            <w:r>
              <w:rPr>
                <w:rFonts w:eastAsia="Times New Roman"/>
                <w:sz w:val="18"/>
                <w:szCs w:val="18"/>
              </w:rPr>
              <w:t>Some people who drink water containing aldicarb at high concentrations for many years could experience effects on the central nervous system.</w:t>
            </w:r>
          </w:p>
        </w:tc>
      </w:tr>
      <w:tr w:rsidR="00F57A8F" w14:paraId="43A4D1EE" w14:textId="77777777" w:rsidTr="00F57A8F">
        <w:trPr>
          <w:trHeight w:val="1513"/>
        </w:trPr>
        <w:tc>
          <w:tcPr>
            <w:tcW w:w="2280" w:type="dxa"/>
            <w:vAlign w:val="center"/>
          </w:tcPr>
          <w:p w14:paraId="2BA6F297" w14:textId="77777777" w:rsidR="00F57A8F" w:rsidRDefault="00F57A8F" w:rsidP="00F57A8F">
            <w:pPr>
              <w:rPr>
                <w:sz w:val="20"/>
                <w:szCs w:val="20"/>
              </w:rPr>
            </w:pPr>
            <w:r>
              <w:rPr>
                <w:rFonts w:eastAsia="Times New Roman"/>
                <w:sz w:val="18"/>
                <w:szCs w:val="18"/>
              </w:rPr>
              <w:t>Aldicarb sulfone</w:t>
            </w:r>
          </w:p>
          <w:p w14:paraId="034EC138" w14:textId="3EB55D94" w:rsidR="00F57A8F" w:rsidRDefault="00F57A8F" w:rsidP="00F57A8F">
            <w:pPr>
              <w:rPr>
                <w:rFonts w:eastAsia="Times New Roman"/>
                <w:sz w:val="18"/>
                <w:szCs w:val="18"/>
              </w:rPr>
            </w:pPr>
            <w:r>
              <w:rPr>
                <w:rFonts w:eastAsia="Times New Roman"/>
                <w:sz w:val="18"/>
                <w:szCs w:val="18"/>
              </w:rPr>
              <w:t>(1646884)</w:t>
            </w:r>
          </w:p>
        </w:tc>
        <w:tc>
          <w:tcPr>
            <w:tcW w:w="800" w:type="dxa"/>
            <w:vAlign w:val="center"/>
          </w:tcPr>
          <w:p w14:paraId="7F57332B" w14:textId="4ED3BE9F" w:rsidR="00F57A8F" w:rsidRDefault="00F57A8F" w:rsidP="00F57A8F">
            <w:pPr>
              <w:jc w:val="center"/>
              <w:rPr>
                <w:rFonts w:eastAsia="Times New Roman"/>
                <w:sz w:val="18"/>
                <w:szCs w:val="18"/>
              </w:rPr>
            </w:pPr>
            <w:r>
              <w:rPr>
                <w:rFonts w:eastAsia="Times New Roman"/>
                <w:sz w:val="18"/>
                <w:szCs w:val="18"/>
              </w:rPr>
              <w:t>0.002 mg/L</w:t>
            </w:r>
          </w:p>
        </w:tc>
        <w:tc>
          <w:tcPr>
            <w:tcW w:w="1700" w:type="dxa"/>
            <w:vAlign w:val="center"/>
          </w:tcPr>
          <w:p w14:paraId="4F52F0CF" w14:textId="2C44BB05" w:rsidR="00F57A8F" w:rsidRDefault="00F57A8F" w:rsidP="00F57A8F">
            <w:pPr>
              <w:jc w:val="center"/>
              <w:rPr>
                <w:rFonts w:eastAsia="Times New Roman"/>
                <w:sz w:val="18"/>
                <w:szCs w:val="18"/>
              </w:rPr>
            </w:pPr>
            <w:r>
              <w:rPr>
                <w:rFonts w:eastAsia="Times New Roman"/>
                <w:sz w:val="18"/>
                <w:szCs w:val="18"/>
              </w:rPr>
              <w:t>1000</w:t>
            </w:r>
          </w:p>
        </w:tc>
        <w:tc>
          <w:tcPr>
            <w:tcW w:w="1620" w:type="dxa"/>
            <w:vAlign w:val="center"/>
          </w:tcPr>
          <w:p w14:paraId="3BED0D3E" w14:textId="63C77FD0" w:rsidR="00F57A8F" w:rsidRDefault="00F57A8F" w:rsidP="00F57A8F">
            <w:pPr>
              <w:jc w:val="center"/>
              <w:rPr>
                <w:rFonts w:eastAsia="Times New Roman"/>
                <w:sz w:val="18"/>
                <w:szCs w:val="18"/>
              </w:rPr>
            </w:pPr>
            <w:r>
              <w:rPr>
                <w:rFonts w:eastAsia="Times New Roman"/>
                <w:sz w:val="18"/>
                <w:szCs w:val="18"/>
              </w:rPr>
              <w:t>2 ppb</w:t>
            </w:r>
          </w:p>
        </w:tc>
        <w:tc>
          <w:tcPr>
            <w:tcW w:w="2440" w:type="dxa"/>
          </w:tcPr>
          <w:p w14:paraId="1021C769" w14:textId="777F35F6" w:rsidR="00F57A8F" w:rsidRDefault="00F57A8F" w:rsidP="00F57A8F">
            <w:pPr>
              <w:spacing w:line="329" w:lineRule="auto"/>
              <w:ind w:left="43"/>
              <w:rPr>
                <w:rFonts w:eastAsia="Times New Roman"/>
                <w:sz w:val="18"/>
                <w:szCs w:val="18"/>
              </w:rPr>
            </w:pPr>
            <w:r>
              <w:rPr>
                <w:rFonts w:eastAsia="Times New Roman"/>
                <w:sz w:val="18"/>
                <w:szCs w:val="18"/>
              </w:rPr>
              <w:t>Degraded from aldicarb by plants</w:t>
            </w:r>
          </w:p>
        </w:tc>
        <w:tc>
          <w:tcPr>
            <w:tcW w:w="2320" w:type="dxa"/>
          </w:tcPr>
          <w:p w14:paraId="7AEBD059" w14:textId="664611AE" w:rsidR="00F57A8F" w:rsidRDefault="00F57A8F" w:rsidP="00F57A8F">
            <w:pPr>
              <w:spacing w:line="329" w:lineRule="auto"/>
              <w:ind w:left="43"/>
              <w:rPr>
                <w:rFonts w:eastAsia="Times New Roman"/>
                <w:sz w:val="18"/>
                <w:szCs w:val="18"/>
              </w:rPr>
            </w:pPr>
            <w:r>
              <w:rPr>
                <w:rFonts w:eastAsia="Times New Roman"/>
                <w:sz w:val="18"/>
                <w:szCs w:val="18"/>
              </w:rPr>
              <w:t>Some people who drink water containing aldicarb sulfone in high concentrations for many years could experience effects on the central nervous system.</w:t>
            </w:r>
          </w:p>
        </w:tc>
      </w:tr>
      <w:tr w:rsidR="00BC2BA7" w14:paraId="281A466F" w14:textId="77777777" w:rsidTr="00F57A8F">
        <w:trPr>
          <w:trHeight w:val="1774"/>
        </w:trPr>
        <w:tc>
          <w:tcPr>
            <w:tcW w:w="2280" w:type="dxa"/>
            <w:vAlign w:val="center"/>
          </w:tcPr>
          <w:p w14:paraId="5896C132" w14:textId="77777777" w:rsidR="00BC2BA7" w:rsidRDefault="00BC2BA7" w:rsidP="00BC2BA7">
            <w:pPr>
              <w:rPr>
                <w:sz w:val="20"/>
                <w:szCs w:val="20"/>
              </w:rPr>
            </w:pPr>
            <w:r>
              <w:rPr>
                <w:rFonts w:eastAsia="Times New Roman"/>
                <w:sz w:val="18"/>
                <w:szCs w:val="18"/>
              </w:rPr>
              <w:t>Aldicarb sulfoxide</w:t>
            </w:r>
          </w:p>
          <w:p w14:paraId="281A4669" w14:textId="2A7E9287" w:rsidR="00BC2BA7" w:rsidRDefault="00BC2BA7" w:rsidP="00BC2BA7">
            <w:pPr>
              <w:rPr>
                <w:sz w:val="20"/>
                <w:szCs w:val="20"/>
              </w:rPr>
            </w:pPr>
            <w:r>
              <w:rPr>
                <w:rFonts w:eastAsia="Times New Roman"/>
                <w:sz w:val="18"/>
                <w:szCs w:val="18"/>
              </w:rPr>
              <w:t>(74839)</w:t>
            </w:r>
          </w:p>
        </w:tc>
        <w:tc>
          <w:tcPr>
            <w:tcW w:w="800" w:type="dxa"/>
            <w:vAlign w:val="center"/>
          </w:tcPr>
          <w:p w14:paraId="281A466A" w14:textId="29C11DE3" w:rsidR="00BC2BA7" w:rsidRDefault="00BC2BA7" w:rsidP="00BC2BA7">
            <w:pPr>
              <w:jc w:val="center"/>
              <w:rPr>
                <w:sz w:val="20"/>
                <w:szCs w:val="20"/>
              </w:rPr>
            </w:pPr>
            <w:r>
              <w:rPr>
                <w:rFonts w:eastAsia="Times New Roman"/>
                <w:sz w:val="18"/>
                <w:szCs w:val="18"/>
              </w:rPr>
              <w:t>0.004 mg/L</w:t>
            </w:r>
          </w:p>
        </w:tc>
        <w:tc>
          <w:tcPr>
            <w:tcW w:w="1700" w:type="dxa"/>
            <w:vAlign w:val="center"/>
          </w:tcPr>
          <w:p w14:paraId="281A466B" w14:textId="77777777" w:rsidR="00BC2BA7" w:rsidRDefault="00BC2BA7" w:rsidP="00BC2BA7">
            <w:pPr>
              <w:jc w:val="center"/>
              <w:rPr>
                <w:sz w:val="20"/>
                <w:szCs w:val="20"/>
              </w:rPr>
            </w:pPr>
            <w:r>
              <w:rPr>
                <w:rFonts w:eastAsia="Times New Roman"/>
                <w:sz w:val="18"/>
                <w:szCs w:val="18"/>
              </w:rPr>
              <w:t>1000</w:t>
            </w:r>
          </w:p>
        </w:tc>
        <w:tc>
          <w:tcPr>
            <w:tcW w:w="1620" w:type="dxa"/>
            <w:vAlign w:val="center"/>
          </w:tcPr>
          <w:p w14:paraId="281A466C" w14:textId="77777777" w:rsidR="00BC2BA7" w:rsidRDefault="00BC2BA7" w:rsidP="00BC2BA7">
            <w:pPr>
              <w:jc w:val="center"/>
              <w:rPr>
                <w:sz w:val="20"/>
                <w:szCs w:val="20"/>
              </w:rPr>
            </w:pPr>
            <w:r>
              <w:rPr>
                <w:rFonts w:eastAsia="Times New Roman"/>
                <w:sz w:val="18"/>
                <w:szCs w:val="18"/>
              </w:rPr>
              <w:t>4 ppb</w:t>
            </w:r>
          </w:p>
        </w:tc>
        <w:tc>
          <w:tcPr>
            <w:tcW w:w="2440" w:type="dxa"/>
          </w:tcPr>
          <w:p w14:paraId="281A466D" w14:textId="7862051F" w:rsidR="00BC2BA7" w:rsidRPr="00BC2BA7" w:rsidRDefault="00BC2BA7" w:rsidP="00BC2BA7">
            <w:pPr>
              <w:spacing w:line="329" w:lineRule="auto"/>
              <w:ind w:left="43"/>
              <w:rPr>
                <w:rFonts w:eastAsia="Times New Roman"/>
                <w:sz w:val="18"/>
                <w:szCs w:val="18"/>
              </w:rPr>
            </w:pPr>
            <w:r>
              <w:rPr>
                <w:rFonts w:eastAsia="Times New Roman"/>
                <w:sz w:val="18"/>
                <w:szCs w:val="18"/>
              </w:rPr>
              <w:t>Degraded from aldicarb by plants</w:t>
            </w:r>
          </w:p>
        </w:tc>
        <w:tc>
          <w:tcPr>
            <w:tcW w:w="2320" w:type="dxa"/>
          </w:tcPr>
          <w:p w14:paraId="281A466E" w14:textId="37B2AD72" w:rsidR="00BC2BA7" w:rsidRPr="00BC2BA7" w:rsidRDefault="00BC2BA7" w:rsidP="00BC2BA7">
            <w:pPr>
              <w:spacing w:line="329" w:lineRule="auto"/>
              <w:ind w:left="43"/>
              <w:rPr>
                <w:rFonts w:eastAsia="Times New Roman"/>
                <w:sz w:val="18"/>
                <w:szCs w:val="18"/>
              </w:rPr>
            </w:pPr>
            <w:r>
              <w:rPr>
                <w:rFonts w:eastAsia="Times New Roman"/>
                <w:sz w:val="18"/>
                <w:szCs w:val="18"/>
              </w:rPr>
              <w:t>Some people who drink water containing aldicarb sulfoxide in high concentrations for many years could experience effects on the central nervous system.</w:t>
            </w:r>
          </w:p>
        </w:tc>
      </w:tr>
      <w:tr w:rsidR="00C20B98" w14:paraId="281A46AE" w14:textId="77777777" w:rsidTr="00C20B98">
        <w:trPr>
          <w:trHeight w:val="1954"/>
        </w:trPr>
        <w:tc>
          <w:tcPr>
            <w:tcW w:w="2280" w:type="dxa"/>
            <w:vAlign w:val="center"/>
          </w:tcPr>
          <w:p w14:paraId="281A46A8" w14:textId="77777777" w:rsidR="00C20B98" w:rsidRDefault="00C20B98" w:rsidP="00C20B98">
            <w:pPr>
              <w:rPr>
                <w:sz w:val="20"/>
                <w:szCs w:val="20"/>
              </w:rPr>
            </w:pPr>
            <w:r>
              <w:rPr>
                <w:rFonts w:eastAsia="Times New Roman"/>
                <w:sz w:val="18"/>
                <w:szCs w:val="18"/>
              </w:rPr>
              <w:t>Aldrin</w:t>
            </w:r>
          </w:p>
        </w:tc>
        <w:tc>
          <w:tcPr>
            <w:tcW w:w="800" w:type="dxa"/>
            <w:vAlign w:val="center"/>
          </w:tcPr>
          <w:p w14:paraId="281A46A9" w14:textId="77777777" w:rsidR="00C20B98" w:rsidRDefault="00C20B98" w:rsidP="00C20B98">
            <w:pPr>
              <w:jc w:val="center"/>
              <w:rPr>
                <w:sz w:val="20"/>
                <w:szCs w:val="20"/>
              </w:rPr>
            </w:pPr>
            <w:r>
              <w:rPr>
                <w:rFonts w:eastAsia="Times New Roman"/>
                <w:sz w:val="18"/>
                <w:szCs w:val="18"/>
              </w:rPr>
              <w:t>*</w:t>
            </w:r>
          </w:p>
        </w:tc>
        <w:tc>
          <w:tcPr>
            <w:tcW w:w="1700" w:type="dxa"/>
            <w:vAlign w:val="center"/>
          </w:tcPr>
          <w:p w14:paraId="281A46AA" w14:textId="77777777" w:rsidR="00C20B98" w:rsidRDefault="00C20B98" w:rsidP="00C20B98">
            <w:pPr>
              <w:jc w:val="center"/>
              <w:rPr>
                <w:sz w:val="20"/>
                <w:szCs w:val="20"/>
              </w:rPr>
            </w:pPr>
            <w:r>
              <w:rPr>
                <w:rFonts w:eastAsia="Times New Roman"/>
                <w:w w:val="99"/>
                <w:sz w:val="18"/>
                <w:szCs w:val="18"/>
              </w:rPr>
              <w:t>-</w:t>
            </w:r>
          </w:p>
        </w:tc>
        <w:tc>
          <w:tcPr>
            <w:tcW w:w="1620" w:type="dxa"/>
            <w:vAlign w:val="center"/>
          </w:tcPr>
          <w:p w14:paraId="281A46AB" w14:textId="77777777" w:rsidR="00C20B98" w:rsidRDefault="00C20B98" w:rsidP="00C20B98">
            <w:pPr>
              <w:jc w:val="center"/>
              <w:rPr>
                <w:sz w:val="20"/>
                <w:szCs w:val="20"/>
              </w:rPr>
            </w:pPr>
            <w:r>
              <w:rPr>
                <w:rFonts w:eastAsia="Times New Roman"/>
                <w:w w:val="99"/>
                <w:sz w:val="18"/>
                <w:szCs w:val="18"/>
              </w:rPr>
              <w:t>-</w:t>
            </w:r>
          </w:p>
        </w:tc>
        <w:tc>
          <w:tcPr>
            <w:tcW w:w="2440" w:type="dxa"/>
          </w:tcPr>
          <w:p w14:paraId="281A46AC" w14:textId="77777777" w:rsidR="00C20B98" w:rsidRPr="00C20B98" w:rsidRDefault="00C20B98" w:rsidP="00C20B98">
            <w:pPr>
              <w:spacing w:line="329" w:lineRule="auto"/>
              <w:ind w:left="43"/>
              <w:rPr>
                <w:rFonts w:eastAsia="Times New Roman"/>
                <w:sz w:val="18"/>
                <w:szCs w:val="18"/>
              </w:rPr>
            </w:pPr>
            <w:r>
              <w:rPr>
                <w:rFonts w:eastAsia="Times New Roman"/>
                <w:sz w:val="18"/>
                <w:szCs w:val="18"/>
              </w:rPr>
              <w:t>Run-off from insecticide use</w:t>
            </w:r>
          </w:p>
        </w:tc>
        <w:tc>
          <w:tcPr>
            <w:tcW w:w="2320" w:type="dxa"/>
          </w:tcPr>
          <w:p w14:paraId="281A46AD" w14:textId="356491E8" w:rsidR="00C20B98" w:rsidRPr="00C20B98" w:rsidRDefault="00C20B98" w:rsidP="00C20B98">
            <w:pPr>
              <w:spacing w:line="329" w:lineRule="auto"/>
              <w:ind w:left="43"/>
              <w:rPr>
                <w:rFonts w:eastAsia="Times New Roman"/>
                <w:sz w:val="18"/>
                <w:szCs w:val="18"/>
              </w:rPr>
            </w:pPr>
            <w:r>
              <w:rPr>
                <w:rFonts w:eastAsia="Times New Roman"/>
                <w:sz w:val="18"/>
                <w:szCs w:val="18"/>
              </w:rPr>
              <w:t>Some people who drink water containing aldrin in high concentrations for many years could experience liver damage, kidney effects.</w:t>
            </w:r>
          </w:p>
        </w:tc>
      </w:tr>
      <w:tr w:rsidR="00C20B98" w14:paraId="281A46E5" w14:textId="77777777" w:rsidTr="00C20B98">
        <w:trPr>
          <w:trHeight w:val="756"/>
        </w:trPr>
        <w:tc>
          <w:tcPr>
            <w:tcW w:w="2280" w:type="dxa"/>
            <w:vAlign w:val="center"/>
          </w:tcPr>
          <w:p w14:paraId="5E6C813E" w14:textId="77777777" w:rsidR="00C20B98" w:rsidRDefault="00C20B98" w:rsidP="00C20B98">
            <w:pPr>
              <w:rPr>
                <w:sz w:val="20"/>
                <w:szCs w:val="20"/>
              </w:rPr>
            </w:pPr>
            <w:r>
              <w:rPr>
                <w:rFonts w:eastAsia="Times New Roman"/>
                <w:sz w:val="18"/>
                <w:szCs w:val="18"/>
              </w:rPr>
              <w:t>4-androstene-3,17-dione</w:t>
            </w:r>
          </w:p>
          <w:p w14:paraId="281A46DF" w14:textId="03A720D6" w:rsidR="00C20B98" w:rsidRDefault="00C20B98" w:rsidP="00C20B98">
            <w:pPr>
              <w:rPr>
                <w:sz w:val="20"/>
                <w:szCs w:val="20"/>
              </w:rPr>
            </w:pPr>
            <w:r>
              <w:rPr>
                <w:rFonts w:eastAsia="Times New Roman"/>
                <w:sz w:val="18"/>
                <w:szCs w:val="18"/>
              </w:rPr>
              <w:t>(63058)</w:t>
            </w:r>
          </w:p>
        </w:tc>
        <w:tc>
          <w:tcPr>
            <w:tcW w:w="800" w:type="dxa"/>
            <w:vAlign w:val="center"/>
          </w:tcPr>
          <w:p w14:paraId="281A46E0" w14:textId="77777777" w:rsidR="00C20B98" w:rsidRDefault="00C20B98" w:rsidP="00C20B98">
            <w:pPr>
              <w:jc w:val="center"/>
              <w:rPr>
                <w:sz w:val="20"/>
                <w:szCs w:val="20"/>
              </w:rPr>
            </w:pPr>
            <w:r>
              <w:rPr>
                <w:rFonts w:eastAsia="Times New Roman"/>
                <w:sz w:val="18"/>
                <w:szCs w:val="18"/>
              </w:rPr>
              <w:t>*</w:t>
            </w:r>
          </w:p>
        </w:tc>
        <w:tc>
          <w:tcPr>
            <w:tcW w:w="1700" w:type="dxa"/>
            <w:vAlign w:val="center"/>
          </w:tcPr>
          <w:p w14:paraId="281A46E1" w14:textId="77777777" w:rsidR="00C20B98" w:rsidRDefault="00C20B98" w:rsidP="00C20B98">
            <w:pPr>
              <w:jc w:val="center"/>
              <w:rPr>
                <w:sz w:val="20"/>
                <w:szCs w:val="20"/>
              </w:rPr>
            </w:pPr>
            <w:r>
              <w:rPr>
                <w:rFonts w:eastAsia="Times New Roman"/>
                <w:w w:val="99"/>
                <w:sz w:val="18"/>
                <w:szCs w:val="18"/>
              </w:rPr>
              <w:t>-</w:t>
            </w:r>
          </w:p>
        </w:tc>
        <w:tc>
          <w:tcPr>
            <w:tcW w:w="1620" w:type="dxa"/>
            <w:vAlign w:val="center"/>
          </w:tcPr>
          <w:p w14:paraId="281A46E2" w14:textId="77777777" w:rsidR="00C20B98" w:rsidRDefault="00C20B98" w:rsidP="00C20B98">
            <w:pPr>
              <w:jc w:val="center"/>
              <w:rPr>
                <w:sz w:val="20"/>
                <w:szCs w:val="20"/>
              </w:rPr>
            </w:pPr>
            <w:r>
              <w:rPr>
                <w:rFonts w:eastAsia="Times New Roman"/>
                <w:w w:val="99"/>
                <w:sz w:val="18"/>
                <w:szCs w:val="18"/>
              </w:rPr>
              <w:t>-</w:t>
            </w:r>
          </w:p>
        </w:tc>
        <w:tc>
          <w:tcPr>
            <w:tcW w:w="2440" w:type="dxa"/>
            <w:vAlign w:val="center"/>
          </w:tcPr>
          <w:p w14:paraId="281A46E3" w14:textId="77777777" w:rsidR="00C20B98" w:rsidRDefault="00C20B98" w:rsidP="00C20B98">
            <w:pPr>
              <w:jc w:val="center"/>
              <w:rPr>
                <w:sz w:val="20"/>
                <w:szCs w:val="20"/>
              </w:rPr>
            </w:pPr>
            <w:r>
              <w:rPr>
                <w:rFonts w:eastAsia="Times New Roman"/>
                <w:sz w:val="18"/>
                <w:szCs w:val="18"/>
              </w:rPr>
              <w:t>-</w:t>
            </w:r>
          </w:p>
        </w:tc>
        <w:tc>
          <w:tcPr>
            <w:tcW w:w="2320" w:type="dxa"/>
            <w:vAlign w:val="center"/>
          </w:tcPr>
          <w:p w14:paraId="281A46E4" w14:textId="77777777" w:rsidR="00C20B98" w:rsidRDefault="00C20B98" w:rsidP="00C20B98">
            <w:pPr>
              <w:jc w:val="center"/>
              <w:rPr>
                <w:sz w:val="20"/>
                <w:szCs w:val="20"/>
              </w:rPr>
            </w:pPr>
            <w:r>
              <w:rPr>
                <w:rFonts w:eastAsia="Times New Roman"/>
                <w:sz w:val="18"/>
                <w:szCs w:val="18"/>
              </w:rPr>
              <w:t>-</w:t>
            </w:r>
          </w:p>
        </w:tc>
      </w:tr>
      <w:tr w:rsidR="00C20B98" w14:paraId="281A46FC" w14:textId="77777777" w:rsidTr="00C20B98">
        <w:trPr>
          <w:trHeight w:val="2255"/>
        </w:trPr>
        <w:tc>
          <w:tcPr>
            <w:tcW w:w="2280" w:type="dxa"/>
            <w:vAlign w:val="center"/>
          </w:tcPr>
          <w:p w14:paraId="0470901C" w14:textId="77777777" w:rsidR="00C20B98" w:rsidRDefault="00C20B98" w:rsidP="00C20B98">
            <w:pPr>
              <w:rPr>
                <w:sz w:val="20"/>
                <w:szCs w:val="20"/>
              </w:rPr>
            </w:pPr>
            <w:r>
              <w:rPr>
                <w:rFonts w:eastAsia="Times New Roman"/>
                <w:sz w:val="18"/>
                <w:szCs w:val="18"/>
              </w:rPr>
              <w:t>Bromobenzene</w:t>
            </w:r>
          </w:p>
          <w:p w14:paraId="281A46F6" w14:textId="6D552A7B" w:rsidR="00C20B98" w:rsidRDefault="00C20B98" w:rsidP="00C20B98">
            <w:pPr>
              <w:rPr>
                <w:sz w:val="20"/>
                <w:szCs w:val="20"/>
              </w:rPr>
            </w:pPr>
            <w:r>
              <w:rPr>
                <w:rFonts w:eastAsia="Times New Roman"/>
                <w:sz w:val="18"/>
                <w:szCs w:val="18"/>
              </w:rPr>
              <w:t>(108861)</w:t>
            </w:r>
          </w:p>
        </w:tc>
        <w:tc>
          <w:tcPr>
            <w:tcW w:w="800" w:type="dxa"/>
            <w:vAlign w:val="center"/>
          </w:tcPr>
          <w:p w14:paraId="281A46F7" w14:textId="77777777" w:rsidR="00C20B98" w:rsidRDefault="00C20B98" w:rsidP="00C20B98">
            <w:pPr>
              <w:jc w:val="center"/>
              <w:rPr>
                <w:sz w:val="20"/>
                <w:szCs w:val="20"/>
              </w:rPr>
            </w:pPr>
            <w:r>
              <w:rPr>
                <w:rFonts w:eastAsia="Times New Roman"/>
                <w:sz w:val="18"/>
                <w:szCs w:val="18"/>
              </w:rPr>
              <w:t>*</w:t>
            </w:r>
          </w:p>
        </w:tc>
        <w:tc>
          <w:tcPr>
            <w:tcW w:w="1700" w:type="dxa"/>
            <w:vAlign w:val="center"/>
          </w:tcPr>
          <w:p w14:paraId="281A46F8" w14:textId="77777777" w:rsidR="00C20B98" w:rsidRDefault="00C20B98" w:rsidP="00C20B98">
            <w:pPr>
              <w:jc w:val="center"/>
              <w:rPr>
                <w:sz w:val="20"/>
                <w:szCs w:val="20"/>
              </w:rPr>
            </w:pPr>
            <w:r>
              <w:rPr>
                <w:rFonts w:eastAsia="Times New Roman"/>
                <w:w w:val="99"/>
                <w:sz w:val="18"/>
                <w:szCs w:val="18"/>
              </w:rPr>
              <w:t>-</w:t>
            </w:r>
          </w:p>
        </w:tc>
        <w:tc>
          <w:tcPr>
            <w:tcW w:w="1620" w:type="dxa"/>
            <w:vAlign w:val="center"/>
          </w:tcPr>
          <w:p w14:paraId="281A46F9" w14:textId="77777777" w:rsidR="00C20B98" w:rsidRDefault="00C20B98" w:rsidP="00C20B98">
            <w:pPr>
              <w:jc w:val="center"/>
              <w:rPr>
                <w:sz w:val="20"/>
                <w:szCs w:val="20"/>
              </w:rPr>
            </w:pPr>
            <w:r>
              <w:rPr>
                <w:rFonts w:eastAsia="Times New Roman"/>
                <w:w w:val="99"/>
                <w:sz w:val="18"/>
                <w:szCs w:val="18"/>
              </w:rPr>
              <w:t>-</w:t>
            </w:r>
          </w:p>
        </w:tc>
        <w:tc>
          <w:tcPr>
            <w:tcW w:w="2440" w:type="dxa"/>
          </w:tcPr>
          <w:p w14:paraId="281A46FA" w14:textId="6C5794B7" w:rsidR="00C20B98" w:rsidRPr="00C20B98" w:rsidRDefault="00C20B98" w:rsidP="00C20B98">
            <w:pPr>
              <w:spacing w:line="329" w:lineRule="auto"/>
              <w:ind w:left="43"/>
              <w:rPr>
                <w:rFonts w:eastAsia="Times New Roman"/>
                <w:sz w:val="18"/>
                <w:szCs w:val="18"/>
              </w:rPr>
            </w:pPr>
            <w:r>
              <w:rPr>
                <w:rFonts w:eastAsia="Times New Roman"/>
                <w:sz w:val="18"/>
                <w:szCs w:val="18"/>
              </w:rPr>
              <w:t>Discharge from use in chemical manufacturing</w:t>
            </w:r>
          </w:p>
        </w:tc>
        <w:tc>
          <w:tcPr>
            <w:tcW w:w="2320" w:type="dxa"/>
          </w:tcPr>
          <w:p w14:paraId="281A46FB" w14:textId="0B0F5B9C" w:rsidR="00C20B98" w:rsidRPr="00C20B98" w:rsidRDefault="00C20B98" w:rsidP="00C20B98">
            <w:pPr>
              <w:spacing w:line="329" w:lineRule="auto"/>
              <w:ind w:left="43"/>
              <w:rPr>
                <w:rFonts w:eastAsia="Times New Roman"/>
                <w:sz w:val="18"/>
                <w:szCs w:val="18"/>
              </w:rPr>
            </w:pPr>
            <w:r>
              <w:rPr>
                <w:rFonts w:eastAsia="Times New Roman"/>
                <w:sz w:val="18"/>
                <w:szCs w:val="18"/>
              </w:rPr>
              <w:t>Some people who drink water containing bromobenzene in high concentrations for many years could experience central nervous system effects.</w:t>
            </w:r>
          </w:p>
        </w:tc>
      </w:tr>
      <w:tr w:rsidR="009A3190" w14:paraId="281A473B" w14:textId="77777777" w:rsidTr="009A3190">
        <w:trPr>
          <w:trHeight w:val="2253"/>
        </w:trPr>
        <w:tc>
          <w:tcPr>
            <w:tcW w:w="2280" w:type="dxa"/>
            <w:vAlign w:val="center"/>
          </w:tcPr>
          <w:p w14:paraId="6CD1A951" w14:textId="77777777" w:rsidR="009A3190" w:rsidRDefault="009A3190" w:rsidP="00C20B98">
            <w:pPr>
              <w:rPr>
                <w:sz w:val="20"/>
                <w:szCs w:val="20"/>
              </w:rPr>
            </w:pPr>
            <w:r>
              <w:rPr>
                <w:rFonts w:eastAsia="Times New Roman"/>
                <w:sz w:val="18"/>
                <w:szCs w:val="18"/>
              </w:rPr>
              <w:t>Bromomethane</w:t>
            </w:r>
          </w:p>
          <w:p w14:paraId="42597572" w14:textId="77777777" w:rsidR="009A3190" w:rsidRDefault="009A3190" w:rsidP="00C20B98">
            <w:pPr>
              <w:rPr>
                <w:sz w:val="20"/>
                <w:szCs w:val="20"/>
              </w:rPr>
            </w:pPr>
            <w:r>
              <w:rPr>
                <w:rFonts w:eastAsia="Times New Roman"/>
                <w:sz w:val="18"/>
                <w:szCs w:val="18"/>
              </w:rPr>
              <w:t>(methyl bromide)</w:t>
            </w:r>
          </w:p>
          <w:p w14:paraId="281A4735" w14:textId="7CFB7B57" w:rsidR="009A3190" w:rsidRDefault="009A3190" w:rsidP="00C20B98">
            <w:pPr>
              <w:rPr>
                <w:sz w:val="20"/>
                <w:szCs w:val="20"/>
              </w:rPr>
            </w:pPr>
            <w:r>
              <w:rPr>
                <w:rFonts w:eastAsia="Times New Roman"/>
                <w:sz w:val="18"/>
                <w:szCs w:val="18"/>
              </w:rPr>
              <w:t>(74839)</w:t>
            </w:r>
          </w:p>
        </w:tc>
        <w:tc>
          <w:tcPr>
            <w:tcW w:w="800" w:type="dxa"/>
            <w:vAlign w:val="center"/>
          </w:tcPr>
          <w:p w14:paraId="281A4736" w14:textId="05C09239" w:rsidR="009A3190" w:rsidRDefault="009A3190" w:rsidP="009A3190">
            <w:pPr>
              <w:jc w:val="center"/>
              <w:rPr>
                <w:sz w:val="20"/>
                <w:szCs w:val="20"/>
              </w:rPr>
            </w:pPr>
            <w:r>
              <w:rPr>
                <w:rFonts w:eastAsia="Times New Roman"/>
                <w:sz w:val="18"/>
                <w:szCs w:val="18"/>
              </w:rPr>
              <w:t>0.01 mg/L</w:t>
            </w:r>
          </w:p>
        </w:tc>
        <w:tc>
          <w:tcPr>
            <w:tcW w:w="1700" w:type="dxa"/>
            <w:vAlign w:val="center"/>
          </w:tcPr>
          <w:p w14:paraId="281A4737" w14:textId="77777777" w:rsidR="009A3190" w:rsidRDefault="009A3190" w:rsidP="009A3190">
            <w:pPr>
              <w:jc w:val="center"/>
              <w:rPr>
                <w:sz w:val="20"/>
                <w:szCs w:val="20"/>
              </w:rPr>
            </w:pPr>
            <w:r>
              <w:rPr>
                <w:rFonts w:eastAsia="Times New Roman"/>
                <w:sz w:val="18"/>
                <w:szCs w:val="18"/>
              </w:rPr>
              <w:t>1000</w:t>
            </w:r>
          </w:p>
        </w:tc>
        <w:tc>
          <w:tcPr>
            <w:tcW w:w="1620" w:type="dxa"/>
            <w:vAlign w:val="center"/>
          </w:tcPr>
          <w:p w14:paraId="281A4738" w14:textId="77777777" w:rsidR="009A3190" w:rsidRDefault="009A3190" w:rsidP="009A3190">
            <w:pPr>
              <w:jc w:val="center"/>
              <w:rPr>
                <w:sz w:val="20"/>
                <w:szCs w:val="20"/>
              </w:rPr>
            </w:pPr>
            <w:r>
              <w:rPr>
                <w:rFonts w:eastAsia="Times New Roman"/>
                <w:sz w:val="18"/>
                <w:szCs w:val="18"/>
              </w:rPr>
              <w:t>10 ppb</w:t>
            </w:r>
          </w:p>
        </w:tc>
        <w:tc>
          <w:tcPr>
            <w:tcW w:w="2440" w:type="dxa"/>
          </w:tcPr>
          <w:p w14:paraId="281A4739" w14:textId="2B32A3FE" w:rsidR="009A3190" w:rsidRPr="009A3190" w:rsidRDefault="009A3190" w:rsidP="009A3190">
            <w:pPr>
              <w:spacing w:line="329" w:lineRule="auto"/>
              <w:ind w:left="43"/>
              <w:rPr>
                <w:rFonts w:eastAsia="Times New Roman"/>
                <w:sz w:val="18"/>
                <w:szCs w:val="18"/>
              </w:rPr>
            </w:pPr>
            <w:r>
              <w:rPr>
                <w:rFonts w:eastAsia="Times New Roman"/>
                <w:sz w:val="18"/>
                <w:szCs w:val="18"/>
              </w:rPr>
              <w:t>Run-off from use as a fumigant</w:t>
            </w:r>
          </w:p>
        </w:tc>
        <w:tc>
          <w:tcPr>
            <w:tcW w:w="2320" w:type="dxa"/>
          </w:tcPr>
          <w:p w14:paraId="281A473A" w14:textId="1A58F5CB" w:rsidR="009A3190" w:rsidRPr="009A3190" w:rsidRDefault="009A3190" w:rsidP="009A3190">
            <w:pPr>
              <w:spacing w:line="329" w:lineRule="auto"/>
              <w:ind w:left="43"/>
              <w:rPr>
                <w:rFonts w:eastAsia="Times New Roman"/>
                <w:sz w:val="18"/>
                <w:szCs w:val="18"/>
              </w:rPr>
            </w:pPr>
            <w:r>
              <w:rPr>
                <w:rFonts w:eastAsia="Times New Roman"/>
                <w:sz w:val="18"/>
                <w:szCs w:val="18"/>
              </w:rPr>
              <w:t>Some people who drink water containing bromomethane at high concentrations for many years could experience digestive tract effects, and headaches.</w:t>
            </w:r>
          </w:p>
        </w:tc>
      </w:tr>
      <w:tr w:rsidR="00756EFC" w14:paraId="281A4779" w14:textId="77777777" w:rsidTr="00756EFC">
        <w:trPr>
          <w:trHeight w:val="2255"/>
        </w:trPr>
        <w:tc>
          <w:tcPr>
            <w:tcW w:w="2280" w:type="dxa"/>
            <w:vAlign w:val="center"/>
          </w:tcPr>
          <w:p w14:paraId="6B82657E" w14:textId="77777777" w:rsidR="00756EFC" w:rsidRDefault="00756EFC" w:rsidP="00756EFC">
            <w:pPr>
              <w:rPr>
                <w:sz w:val="20"/>
                <w:szCs w:val="20"/>
              </w:rPr>
            </w:pPr>
            <w:r>
              <w:rPr>
                <w:rFonts w:eastAsia="Times New Roman"/>
                <w:sz w:val="18"/>
                <w:szCs w:val="18"/>
              </w:rPr>
              <w:t>Bromodichloromethane</w:t>
            </w:r>
          </w:p>
          <w:p w14:paraId="281A4773" w14:textId="047C9454" w:rsidR="00756EFC" w:rsidRDefault="00756EFC" w:rsidP="00756EFC">
            <w:pPr>
              <w:rPr>
                <w:sz w:val="20"/>
                <w:szCs w:val="20"/>
              </w:rPr>
            </w:pPr>
            <w:r>
              <w:rPr>
                <w:rFonts w:eastAsia="Times New Roman"/>
                <w:sz w:val="18"/>
                <w:szCs w:val="18"/>
              </w:rPr>
              <w:t>(75274 )</w:t>
            </w:r>
          </w:p>
        </w:tc>
        <w:tc>
          <w:tcPr>
            <w:tcW w:w="800" w:type="dxa"/>
            <w:vAlign w:val="center"/>
          </w:tcPr>
          <w:p w14:paraId="281A4774" w14:textId="77777777" w:rsidR="00756EFC" w:rsidRDefault="00756EFC" w:rsidP="00756EFC">
            <w:pPr>
              <w:jc w:val="center"/>
              <w:rPr>
                <w:sz w:val="20"/>
                <w:szCs w:val="20"/>
              </w:rPr>
            </w:pPr>
            <w:r>
              <w:rPr>
                <w:rFonts w:eastAsia="Times New Roman"/>
                <w:sz w:val="18"/>
                <w:szCs w:val="18"/>
              </w:rPr>
              <w:t>*</w:t>
            </w:r>
          </w:p>
        </w:tc>
        <w:tc>
          <w:tcPr>
            <w:tcW w:w="1700" w:type="dxa"/>
            <w:vAlign w:val="center"/>
          </w:tcPr>
          <w:p w14:paraId="281A4775" w14:textId="77777777" w:rsidR="00756EFC" w:rsidRDefault="00756EFC" w:rsidP="00756EFC">
            <w:pPr>
              <w:jc w:val="center"/>
              <w:rPr>
                <w:sz w:val="20"/>
                <w:szCs w:val="20"/>
              </w:rPr>
            </w:pPr>
            <w:r>
              <w:rPr>
                <w:rFonts w:eastAsia="Times New Roman"/>
                <w:w w:val="99"/>
                <w:sz w:val="18"/>
                <w:szCs w:val="18"/>
              </w:rPr>
              <w:t>-</w:t>
            </w:r>
          </w:p>
        </w:tc>
        <w:tc>
          <w:tcPr>
            <w:tcW w:w="1620" w:type="dxa"/>
            <w:vAlign w:val="center"/>
          </w:tcPr>
          <w:p w14:paraId="281A4776" w14:textId="77777777" w:rsidR="00756EFC" w:rsidRDefault="00756EFC" w:rsidP="00756EFC">
            <w:pPr>
              <w:jc w:val="center"/>
              <w:rPr>
                <w:sz w:val="20"/>
                <w:szCs w:val="20"/>
              </w:rPr>
            </w:pPr>
            <w:r>
              <w:rPr>
                <w:rFonts w:eastAsia="Times New Roman"/>
                <w:w w:val="99"/>
                <w:sz w:val="18"/>
                <w:szCs w:val="18"/>
              </w:rPr>
              <w:t>-</w:t>
            </w:r>
          </w:p>
        </w:tc>
        <w:tc>
          <w:tcPr>
            <w:tcW w:w="2440" w:type="dxa"/>
          </w:tcPr>
          <w:p w14:paraId="281A4777" w14:textId="399FF679" w:rsidR="00756EFC" w:rsidRPr="00756EFC" w:rsidRDefault="00756EFC" w:rsidP="00756EFC">
            <w:pPr>
              <w:spacing w:line="329" w:lineRule="auto"/>
              <w:ind w:left="43"/>
              <w:rPr>
                <w:rFonts w:eastAsia="Times New Roman"/>
                <w:sz w:val="18"/>
                <w:szCs w:val="18"/>
              </w:rPr>
            </w:pPr>
            <w:r>
              <w:rPr>
                <w:rFonts w:eastAsia="Times New Roman"/>
                <w:sz w:val="18"/>
                <w:szCs w:val="18"/>
              </w:rPr>
              <w:t>Trihalomethane; by-product of drinking water chlorination</w:t>
            </w:r>
          </w:p>
        </w:tc>
        <w:tc>
          <w:tcPr>
            <w:tcW w:w="2320" w:type="dxa"/>
          </w:tcPr>
          <w:p w14:paraId="281A4778" w14:textId="69BE45CB" w:rsidR="00756EFC" w:rsidRPr="00756EFC" w:rsidRDefault="00756EFC" w:rsidP="00756EFC">
            <w:pPr>
              <w:spacing w:line="329" w:lineRule="auto"/>
              <w:ind w:left="43"/>
              <w:rPr>
                <w:rFonts w:eastAsia="Times New Roman"/>
                <w:sz w:val="18"/>
                <w:szCs w:val="18"/>
              </w:rPr>
            </w:pPr>
            <w:r>
              <w:rPr>
                <w:rFonts w:eastAsia="Times New Roman"/>
                <w:sz w:val="18"/>
                <w:szCs w:val="18"/>
              </w:rPr>
              <w:t>Some people who drink water containing bromodichloromethane at high concentrations for many years could experience liver and kidney problems.</w:t>
            </w:r>
          </w:p>
        </w:tc>
      </w:tr>
      <w:tr w:rsidR="00756EFC" w14:paraId="281A47B8" w14:textId="77777777" w:rsidTr="00756EFC">
        <w:trPr>
          <w:trHeight w:val="1055"/>
        </w:trPr>
        <w:tc>
          <w:tcPr>
            <w:tcW w:w="2280" w:type="dxa"/>
            <w:vAlign w:val="center"/>
          </w:tcPr>
          <w:p w14:paraId="5DC7ED5A" w14:textId="77777777" w:rsidR="00756EFC" w:rsidRDefault="00756EFC" w:rsidP="00756EFC">
            <w:pPr>
              <w:rPr>
                <w:sz w:val="20"/>
                <w:szCs w:val="20"/>
              </w:rPr>
            </w:pPr>
            <w:r>
              <w:rPr>
                <w:rFonts w:eastAsia="Times New Roman"/>
                <w:sz w:val="18"/>
                <w:szCs w:val="18"/>
              </w:rPr>
              <w:t>Bromochloromethane</w:t>
            </w:r>
          </w:p>
          <w:p w14:paraId="59E97082" w14:textId="77777777" w:rsidR="00756EFC" w:rsidRDefault="00756EFC" w:rsidP="00756EFC">
            <w:pPr>
              <w:rPr>
                <w:sz w:val="20"/>
                <w:szCs w:val="20"/>
              </w:rPr>
            </w:pPr>
            <w:r>
              <w:rPr>
                <w:rFonts w:eastAsia="Times New Roman"/>
                <w:sz w:val="18"/>
                <w:szCs w:val="18"/>
              </w:rPr>
              <w:t>(Halon 1001)</w:t>
            </w:r>
          </w:p>
          <w:p w14:paraId="281A47B2" w14:textId="6B8E0AC2" w:rsidR="00756EFC" w:rsidRDefault="00756EFC" w:rsidP="00756EFC">
            <w:pPr>
              <w:rPr>
                <w:sz w:val="20"/>
                <w:szCs w:val="20"/>
              </w:rPr>
            </w:pPr>
            <w:r>
              <w:rPr>
                <w:rFonts w:eastAsia="Times New Roman"/>
                <w:sz w:val="18"/>
                <w:szCs w:val="18"/>
              </w:rPr>
              <w:t>(74975)</w:t>
            </w:r>
          </w:p>
        </w:tc>
        <w:tc>
          <w:tcPr>
            <w:tcW w:w="800" w:type="dxa"/>
            <w:vAlign w:val="center"/>
          </w:tcPr>
          <w:p w14:paraId="281A47B3" w14:textId="77777777" w:rsidR="00756EFC" w:rsidRDefault="00756EFC" w:rsidP="00756EFC">
            <w:pPr>
              <w:jc w:val="center"/>
              <w:rPr>
                <w:sz w:val="20"/>
                <w:szCs w:val="20"/>
              </w:rPr>
            </w:pPr>
            <w:r>
              <w:rPr>
                <w:rFonts w:eastAsia="Times New Roman"/>
                <w:sz w:val="18"/>
                <w:szCs w:val="18"/>
              </w:rPr>
              <w:t>*</w:t>
            </w:r>
          </w:p>
        </w:tc>
        <w:tc>
          <w:tcPr>
            <w:tcW w:w="1700" w:type="dxa"/>
            <w:vAlign w:val="center"/>
          </w:tcPr>
          <w:p w14:paraId="281A47B4" w14:textId="77777777" w:rsidR="00756EFC" w:rsidRDefault="00756EFC" w:rsidP="00756EFC">
            <w:pPr>
              <w:jc w:val="center"/>
              <w:rPr>
                <w:sz w:val="20"/>
                <w:szCs w:val="20"/>
              </w:rPr>
            </w:pPr>
            <w:r>
              <w:rPr>
                <w:rFonts w:eastAsia="Times New Roman"/>
                <w:w w:val="99"/>
                <w:sz w:val="18"/>
                <w:szCs w:val="18"/>
              </w:rPr>
              <w:t>-</w:t>
            </w:r>
          </w:p>
        </w:tc>
        <w:tc>
          <w:tcPr>
            <w:tcW w:w="1620" w:type="dxa"/>
            <w:vAlign w:val="center"/>
          </w:tcPr>
          <w:p w14:paraId="281A47B5" w14:textId="77777777" w:rsidR="00756EFC" w:rsidRDefault="00756EFC" w:rsidP="00756EFC">
            <w:pPr>
              <w:jc w:val="center"/>
              <w:rPr>
                <w:sz w:val="20"/>
                <w:szCs w:val="20"/>
              </w:rPr>
            </w:pPr>
            <w:r>
              <w:rPr>
                <w:rFonts w:eastAsia="Times New Roman"/>
                <w:w w:val="99"/>
                <w:sz w:val="18"/>
                <w:szCs w:val="18"/>
              </w:rPr>
              <w:t>-</w:t>
            </w:r>
          </w:p>
        </w:tc>
        <w:tc>
          <w:tcPr>
            <w:tcW w:w="2440" w:type="dxa"/>
            <w:vAlign w:val="center"/>
          </w:tcPr>
          <w:p w14:paraId="281A47B6" w14:textId="77777777" w:rsidR="00756EFC" w:rsidRDefault="00756EFC" w:rsidP="00756EFC">
            <w:pPr>
              <w:jc w:val="center"/>
              <w:rPr>
                <w:sz w:val="20"/>
                <w:szCs w:val="20"/>
              </w:rPr>
            </w:pPr>
            <w:r>
              <w:rPr>
                <w:rFonts w:eastAsia="Times New Roman"/>
                <w:sz w:val="18"/>
                <w:szCs w:val="18"/>
              </w:rPr>
              <w:t>-</w:t>
            </w:r>
          </w:p>
        </w:tc>
        <w:tc>
          <w:tcPr>
            <w:tcW w:w="2320" w:type="dxa"/>
            <w:vAlign w:val="center"/>
          </w:tcPr>
          <w:p w14:paraId="281A47B7" w14:textId="77777777" w:rsidR="00756EFC" w:rsidRDefault="00756EFC" w:rsidP="00756EFC">
            <w:pPr>
              <w:jc w:val="center"/>
              <w:rPr>
                <w:sz w:val="20"/>
                <w:szCs w:val="20"/>
              </w:rPr>
            </w:pPr>
            <w:r>
              <w:rPr>
                <w:rFonts w:eastAsia="Times New Roman"/>
                <w:sz w:val="18"/>
                <w:szCs w:val="18"/>
              </w:rPr>
              <w:t>-</w:t>
            </w:r>
          </w:p>
        </w:tc>
      </w:tr>
    </w:tbl>
    <w:p w14:paraId="4705036C" w14:textId="77777777" w:rsidR="00555E64" w:rsidRDefault="00555E64">
      <w:pPr>
        <w:rPr>
          <w:rFonts w:eastAsia="Times New Roman"/>
          <w:sz w:val="24"/>
          <w:szCs w:val="24"/>
        </w:rPr>
      </w:pPr>
      <w:bookmarkStart w:id="238" w:name="page241"/>
      <w:bookmarkEnd w:id="238"/>
      <w:r>
        <w:rPr>
          <w:rFonts w:eastAsia="Times New Roman"/>
          <w:sz w:val="24"/>
          <w:szCs w:val="24"/>
        </w:rPr>
        <w:br w:type="page"/>
      </w:r>
    </w:p>
    <w:p w14:paraId="281A4808" w14:textId="788CA78F" w:rsidR="004647B9" w:rsidRDefault="00E2436F">
      <w:pPr>
        <w:tabs>
          <w:tab w:val="left" w:pos="2860"/>
        </w:tabs>
        <w:ind w:left="1680"/>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809" w14:textId="77777777" w:rsidR="004647B9" w:rsidRDefault="004647B9" w:rsidP="00555E64">
      <w:pPr>
        <w:rPr>
          <w:sz w:val="20"/>
          <w:szCs w:val="20"/>
        </w:rPr>
      </w:pPr>
    </w:p>
    <w:p w14:paraId="7538A70D" w14:textId="77777777" w:rsidR="009118C6" w:rsidRDefault="009118C6" w:rsidP="00555E64">
      <w:pPr>
        <w:rPr>
          <w:sz w:val="20"/>
          <w:szCs w:val="20"/>
        </w:rPr>
      </w:pPr>
    </w:p>
    <w:p w14:paraId="281A480A" w14:textId="77777777" w:rsidR="004647B9" w:rsidRPr="009118C6" w:rsidRDefault="00E2436F" w:rsidP="00555E64">
      <w:pPr>
        <w:tabs>
          <w:tab w:val="left" w:pos="940"/>
        </w:tabs>
        <w:rPr>
          <w:sz w:val="24"/>
          <w:szCs w:val="24"/>
        </w:rPr>
      </w:pPr>
      <w:r w:rsidRPr="009118C6">
        <w:rPr>
          <w:rFonts w:eastAsia="Times New Roman"/>
          <w:sz w:val="24"/>
          <w:szCs w:val="24"/>
        </w:rPr>
        <w:t>22.16A:</w:t>
      </w:r>
      <w:r w:rsidRPr="009118C6">
        <w:rPr>
          <w:sz w:val="24"/>
          <w:szCs w:val="24"/>
        </w:rPr>
        <w:tab/>
      </w:r>
      <w:r w:rsidRPr="009118C6">
        <w:rPr>
          <w:rFonts w:eastAsia="Times New Roman"/>
          <w:sz w:val="24"/>
          <w:szCs w:val="24"/>
        </w:rPr>
        <w:t>continued</w:t>
      </w:r>
    </w:p>
    <w:p w14:paraId="281A480C" w14:textId="77777777" w:rsidR="004647B9" w:rsidRDefault="004647B9" w:rsidP="00555E64">
      <w:pPr>
        <w:rPr>
          <w:sz w:val="20"/>
          <w:szCs w:val="20"/>
        </w:rPr>
      </w:pPr>
    </w:p>
    <w:tbl>
      <w:tblPr>
        <w:tblW w:w="11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756EFC" w14:paraId="281A4814" w14:textId="77777777" w:rsidTr="00267C10">
        <w:trPr>
          <w:trHeight w:val="755"/>
        </w:trPr>
        <w:tc>
          <w:tcPr>
            <w:tcW w:w="2280" w:type="dxa"/>
            <w:vAlign w:val="center"/>
          </w:tcPr>
          <w:p w14:paraId="4F176C24" w14:textId="77777777" w:rsidR="00756EFC" w:rsidRDefault="00756EFC" w:rsidP="00756EFC">
            <w:pPr>
              <w:rPr>
                <w:sz w:val="20"/>
                <w:szCs w:val="20"/>
              </w:rPr>
            </w:pPr>
            <w:r>
              <w:rPr>
                <w:rFonts w:eastAsia="Times New Roman"/>
                <w:sz w:val="18"/>
                <w:szCs w:val="18"/>
              </w:rPr>
              <w:t>Chemical</w:t>
            </w:r>
          </w:p>
          <w:p w14:paraId="281A480E" w14:textId="58D744EF" w:rsidR="00756EFC" w:rsidRDefault="00756EFC" w:rsidP="00756EFC">
            <w:pPr>
              <w:rPr>
                <w:sz w:val="24"/>
                <w:szCs w:val="24"/>
              </w:rPr>
            </w:pPr>
            <w:r>
              <w:rPr>
                <w:rFonts w:eastAsia="Times New Roman"/>
                <w:sz w:val="18"/>
                <w:szCs w:val="18"/>
              </w:rPr>
              <w:t>(CASRN)</w:t>
            </w:r>
          </w:p>
        </w:tc>
        <w:tc>
          <w:tcPr>
            <w:tcW w:w="800" w:type="dxa"/>
            <w:vAlign w:val="center"/>
          </w:tcPr>
          <w:p w14:paraId="281A480F" w14:textId="77777777" w:rsidR="00756EFC" w:rsidRDefault="00756EFC" w:rsidP="00756EFC">
            <w:pPr>
              <w:jc w:val="center"/>
              <w:rPr>
                <w:sz w:val="20"/>
                <w:szCs w:val="20"/>
              </w:rPr>
            </w:pPr>
            <w:r>
              <w:rPr>
                <w:rFonts w:eastAsia="Times New Roman"/>
                <w:sz w:val="18"/>
                <w:szCs w:val="18"/>
              </w:rPr>
              <w:t>ORSG</w:t>
            </w:r>
          </w:p>
        </w:tc>
        <w:tc>
          <w:tcPr>
            <w:tcW w:w="1700" w:type="dxa"/>
            <w:vAlign w:val="center"/>
          </w:tcPr>
          <w:p w14:paraId="281A4810" w14:textId="6DD2F0A2" w:rsidR="00756EFC" w:rsidRDefault="00756EFC" w:rsidP="00756EFC">
            <w:pPr>
              <w:jc w:val="center"/>
              <w:rPr>
                <w:sz w:val="20"/>
                <w:szCs w:val="20"/>
              </w:rPr>
            </w:pPr>
            <w:r>
              <w:rPr>
                <w:rFonts w:eastAsia="Times New Roman"/>
                <w:sz w:val="18"/>
                <w:szCs w:val="18"/>
              </w:rPr>
              <w:t>To convert for CCR, multiply by</w:t>
            </w:r>
          </w:p>
        </w:tc>
        <w:tc>
          <w:tcPr>
            <w:tcW w:w="1620" w:type="dxa"/>
            <w:vAlign w:val="center"/>
          </w:tcPr>
          <w:p w14:paraId="281A4811" w14:textId="1C4EC853" w:rsidR="00756EFC" w:rsidRDefault="00756EFC" w:rsidP="00756EFC">
            <w:pPr>
              <w:jc w:val="center"/>
              <w:rPr>
                <w:sz w:val="20"/>
                <w:szCs w:val="20"/>
              </w:rPr>
            </w:pPr>
            <w:r>
              <w:rPr>
                <w:rFonts w:eastAsia="Times New Roman"/>
                <w:sz w:val="18"/>
                <w:szCs w:val="18"/>
              </w:rPr>
              <w:t>ORSG in CCR units</w:t>
            </w:r>
          </w:p>
        </w:tc>
        <w:tc>
          <w:tcPr>
            <w:tcW w:w="2440" w:type="dxa"/>
            <w:vAlign w:val="center"/>
          </w:tcPr>
          <w:p w14:paraId="281A4812" w14:textId="1567D84B" w:rsidR="00756EFC" w:rsidRDefault="00756EFC" w:rsidP="00756EFC">
            <w:pPr>
              <w:jc w:val="center"/>
              <w:rPr>
                <w:sz w:val="20"/>
                <w:szCs w:val="20"/>
              </w:rPr>
            </w:pPr>
            <w:r>
              <w:rPr>
                <w:rFonts w:eastAsia="Times New Roman"/>
                <w:sz w:val="18"/>
                <w:szCs w:val="18"/>
              </w:rPr>
              <w:t>Source to Drinking Water</w:t>
            </w:r>
          </w:p>
        </w:tc>
        <w:tc>
          <w:tcPr>
            <w:tcW w:w="2320" w:type="dxa"/>
            <w:vAlign w:val="center"/>
          </w:tcPr>
          <w:p w14:paraId="281A4813" w14:textId="77777777" w:rsidR="00756EFC" w:rsidRDefault="00756EFC" w:rsidP="00756EFC">
            <w:pPr>
              <w:jc w:val="center"/>
              <w:rPr>
                <w:sz w:val="20"/>
                <w:szCs w:val="20"/>
              </w:rPr>
            </w:pPr>
            <w:r>
              <w:rPr>
                <w:rFonts w:eastAsia="Times New Roman"/>
                <w:sz w:val="18"/>
                <w:szCs w:val="18"/>
              </w:rPr>
              <w:t>Health Effects</w:t>
            </w:r>
          </w:p>
        </w:tc>
      </w:tr>
      <w:tr w:rsidR="00F57A8F" w14:paraId="0C2C9964" w14:textId="77777777" w:rsidTr="00F57A8F">
        <w:trPr>
          <w:trHeight w:val="1558"/>
        </w:trPr>
        <w:tc>
          <w:tcPr>
            <w:tcW w:w="2280" w:type="dxa"/>
            <w:vAlign w:val="center"/>
          </w:tcPr>
          <w:p w14:paraId="659F80D0" w14:textId="77777777" w:rsidR="00F57A8F" w:rsidRDefault="00F57A8F" w:rsidP="00F57A8F">
            <w:pPr>
              <w:rPr>
                <w:sz w:val="20"/>
                <w:szCs w:val="20"/>
              </w:rPr>
            </w:pPr>
            <w:r>
              <w:rPr>
                <w:rFonts w:eastAsia="Times New Roman"/>
                <w:sz w:val="18"/>
                <w:szCs w:val="18"/>
              </w:rPr>
              <w:t>Bromoform</w:t>
            </w:r>
          </w:p>
          <w:p w14:paraId="5A64F4F9" w14:textId="331DAB8B" w:rsidR="00F57A8F" w:rsidRDefault="00F57A8F" w:rsidP="00F57A8F">
            <w:pPr>
              <w:rPr>
                <w:rFonts w:eastAsia="Times New Roman"/>
                <w:sz w:val="18"/>
                <w:szCs w:val="18"/>
              </w:rPr>
            </w:pPr>
            <w:r>
              <w:rPr>
                <w:rFonts w:eastAsia="Times New Roman"/>
                <w:sz w:val="18"/>
                <w:szCs w:val="18"/>
              </w:rPr>
              <w:t>(75252)</w:t>
            </w:r>
          </w:p>
        </w:tc>
        <w:tc>
          <w:tcPr>
            <w:tcW w:w="800" w:type="dxa"/>
            <w:vAlign w:val="center"/>
          </w:tcPr>
          <w:p w14:paraId="6E16EAC4" w14:textId="144AB044" w:rsidR="00F57A8F" w:rsidRDefault="00F57A8F" w:rsidP="00F57A8F">
            <w:pPr>
              <w:jc w:val="center"/>
              <w:rPr>
                <w:rFonts w:eastAsia="Times New Roman"/>
                <w:sz w:val="18"/>
                <w:szCs w:val="18"/>
              </w:rPr>
            </w:pPr>
            <w:r>
              <w:rPr>
                <w:rFonts w:eastAsia="Times New Roman"/>
                <w:sz w:val="18"/>
                <w:szCs w:val="18"/>
              </w:rPr>
              <w:t>*</w:t>
            </w:r>
          </w:p>
        </w:tc>
        <w:tc>
          <w:tcPr>
            <w:tcW w:w="1700" w:type="dxa"/>
            <w:vAlign w:val="center"/>
          </w:tcPr>
          <w:p w14:paraId="00395A24" w14:textId="1058E018" w:rsidR="00F57A8F" w:rsidRDefault="00F57A8F" w:rsidP="00F57A8F">
            <w:pPr>
              <w:jc w:val="center"/>
              <w:rPr>
                <w:rFonts w:eastAsia="Times New Roman"/>
                <w:w w:val="99"/>
                <w:sz w:val="18"/>
                <w:szCs w:val="18"/>
              </w:rPr>
            </w:pPr>
            <w:r>
              <w:rPr>
                <w:rFonts w:eastAsia="Times New Roman"/>
                <w:w w:val="99"/>
                <w:sz w:val="18"/>
                <w:szCs w:val="18"/>
              </w:rPr>
              <w:t>-</w:t>
            </w:r>
          </w:p>
        </w:tc>
        <w:tc>
          <w:tcPr>
            <w:tcW w:w="1620" w:type="dxa"/>
            <w:vAlign w:val="center"/>
          </w:tcPr>
          <w:p w14:paraId="3343D126" w14:textId="3C99C5D2" w:rsidR="00F57A8F" w:rsidRDefault="00F57A8F" w:rsidP="00F57A8F">
            <w:pPr>
              <w:jc w:val="center"/>
              <w:rPr>
                <w:rFonts w:eastAsia="Times New Roman"/>
                <w:w w:val="99"/>
                <w:sz w:val="18"/>
                <w:szCs w:val="18"/>
              </w:rPr>
            </w:pPr>
            <w:r>
              <w:rPr>
                <w:rFonts w:eastAsia="Times New Roman"/>
                <w:w w:val="99"/>
                <w:sz w:val="18"/>
                <w:szCs w:val="18"/>
              </w:rPr>
              <w:t>-</w:t>
            </w:r>
          </w:p>
        </w:tc>
        <w:tc>
          <w:tcPr>
            <w:tcW w:w="2440" w:type="dxa"/>
          </w:tcPr>
          <w:p w14:paraId="4BBB6FE1" w14:textId="7246DF9B" w:rsidR="00F57A8F" w:rsidRDefault="00F57A8F" w:rsidP="00F57A8F">
            <w:pPr>
              <w:spacing w:line="329" w:lineRule="auto"/>
              <w:ind w:left="43"/>
              <w:rPr>
                <w:rFonts w:eastAsia="Times New Roman"/>
                <w:sz w:val="18"/>
                <w:szCs w:val="18"/>
              </w:rPr>
            </w:pPr>
            <w:r>
              <w:rPr>
                <w:rFonts w:eastAsia="Times New Roman"/>
                <w:sz w:val="18"/>
                <w:szCs w:val="18"/>
              </w:rPr>
              <w:t>Trihalomethane; by- product of drinking water chlorination</w:t>
            </w:r>
          </w:p>
        </w:tc>
        <w:tc>
          <w:tcPr>
            <w:tcW w:w="2320" w:type="dxa"/>
          </w:tcPr>
          <w:p w14:paraId="70BFE121" w14:textId="23FD20BE" w:rsidR="00F57A8F" w:rsidRDefault="00F57A8F" w:rsidP="00F57A8F">
            <w:pPr>
              <w:spacing w:line="329" w:lineRule="auto"/>
              <w:ind w:left="43"/>
              <w:rPr>
                <w:rFonts w:eastAsia="Times New Roman"/>
                <w:sz w:val="18"/>
                <w:szCs w:val="18"/>
              </w:rPr>
            </w:pPr>
            <w:r>
              <w:rPr>
                <w:rFonts w:eastAsia="Times New Roman"/>
                <w:sz w:val="18"/>
                <w:szCs w:val="18"/>
              </w:rPr>
              <w:t>Some people who drink water containing bromoform at high concentrations for many years could experience liver and kidney problems.</w:t>
            </w:r>
          </w:p>
        </w:tc>
      </w:tr>
      <w:tr w:rsidR="00756EFC" w14:paraId="281A482A" w14:textId="77777777" w:rsidTr="00F57A8F">
        <w:trPr>
          <w:trHeight w:val="1243"/>
        </w:trPr>
        <w:tc>
          <w:tcPr>
            <w:tcW w:w="2280" w:type="dxa"/>
            <w:vAlign w:val="center"/>
          </w:tcPr>
          <w:p w14:paraId="35C480FE" w14:textId="77777777" w:rsidR="00756EFC" w:rsidRDefault="00756EFC" w:rsidP="00756EFC">
            <w:pPr>
              <w:rPr>
                <w:sz w:val="20"/>
                <w:szCs w:val="20"/>
              </w:rPr>
            </w:pPr>
            <w:r>
              <w:rPr>
                <w:rFonts w:eastAsia="Times New Roman"/>
                <w:sz w:val="18"/>
                <w:szCs w:val="18"/>
              </w:rPr>
              <w:t>Butachlor</w:t>
            </w:r>
          </w:p>
          <w:p w14:paraId="281A4824" w14:textId="4E9554D5" w:rsidR="00756EFC" w:rsidRDefault="00756EFC" w:rsidP="00756EFC">
            <w:pPr>
              <w:rPr>
                <w:sz w:val="20"/>
                <w:szCs w:val="20"/>
              </w:rPr>
            </w:pPr>
            <w:r>
              <w:rPr>
                <w:rFonts w:eastAsia="Times New Roman"/>
                <w:sz w:val="18"/>
                <w:szCs w:val="18"/>
              </w:rPr>
              <w:t>(23184669)</w:t>
            </w:r>
          </w:p>
        </w:tc>
        <w:tc>
          <w:tcPr>
            <w:tcW w:w="800" w:type="dxa"/>
            <w:vAlign w:val="center"/>
          </w:tcPr>
          <w:p w14:paraId="281A4825" w14:textId="77777777" w:rsidR="00756EFC" w:rsidRDefault="00756EFC" w:rsidP="00756EFC">
            <w:pPr>
              <w:jc w:val="center"/>
              <w:rPr>
                <w:sz w:val="20"/>
                <w:szCs w:val="20"/>
              </w:rPr>
            </w:pPr>
            <w:r>
              <w:rPr>
                <w:rFonts w:eastAsia="Times New Roman"/>
                <w:sz w:val="18"/>
                <w:szCs w:val="18"/>
              </w:rPr>
              <w:t>*</w:t>
            </w:r>
          </w:p>
        </w:tc>
        <w:tc>
          <w:tcPr>
            <w:tcW w:w="1700" w:type="dxa"/>
            <w:vAlign w:val="center"/>
          </w:tcPr>
          <w:p w14:paraId="281A4826" w14:textId="77777777" w:rsidR="00756EFC" w:rsidRDefault="00756EFC" w:rsidP="00756EFC">
            <w:pPr>
              <w:jc w:val="center"/>
              <w:rPr>
                <w:sz w:val="20"/>
                <w:szCs w:val="20"/>
              </w:rPr>
            </w:pPr>
            <w:r>
              <w:rPr>
                <w:rFonts w:eastAsia="Times New Roman"/>
                <w:w w:val="99"/>
                <w:sz w:val="18"/>
                <w:szCs w:val="18"/>
              </w:rPr>
              <w:t>-</w:t>
            </w:r>
          </w:p>
        </w:tc>
        <w:tc>
          <w:tcPr>
            <w:tcW w:w="1620" w:type="dxa"/>
            <w:vAlign w:val="center"/>
          </w:tcPr>
          <w:p w14:paraId="281A4827" w14:textId="77777777" w:rsidR="00756EFC" w:rsidRDefault="00756EFC" w:rsidP="00756EFC">
            <w:pPr>
              <w:jc w:val="center"/>
              <w:rPr>
                <w:sz w:val="20"/>
                <w:szCs w:val="20"/>
              </w:rPr>
            </w:pPr>
            <w:r>
              <w:rPr>
                <w:rFonts w:eastAsia="Times New Roman"/>
                <w:w w:val="99"/>
                <w:sz w:val="18"/>
                <w:szCs w:val="18"/>
              </w:rPr>
              <w:t>-</w:t>
            </w:r>
          </w:p>
        </w:tc>
        <w:tc>
          <w:tcPr>
            <w:tcW w:w="2440" w:type="dxa"/>
          </w:tcPr>
          <w:p w14:paraId="281A4828" w14:textId="4C1B85FD" w:rsidR="00756EFC" w:rsidRPr="00756EFC" w:rsidRDefault="00756EFC" w:rsidP="00756EFC">
            <w:pPr>
              <w:spacing w:line="329" w:lineRule="auto"/>
              <w:ind w:left="43"/>
              <w:rPr>
                <w:rFonts w:eastAsia="Times New Roman"/>
                <w:sz w:val="18"/>
                <w:szCs w:val="18"/>
              </w:rPr>
            </w:pPr>
            <w:r>
              <w:rPr>
                <w:rFonts w:eastAsia="Times New Roman"/>
                <w:sz w:val="18"/>
                <w:szCs w:val="18"/>
              </w:rPr>
              <w:t>Run-off from use as a herbicide</w:t>
            </w:r>
          </w:p>
        </w:tc>
        <w:tc>
          <w:tcPr>
            <w:tcW w:w="2320" w:type="dxa"/>
          </w:tcPr>
          <w:p w14:paraId="281A4829" w14:textId="587A0005" w:rsidR="00756EFC" w:rsidRPr="00756EFC" w:rsidRDefault="00756EFC" w:rsidP="00756EFC">
            <w:pPr>
              <w:spacing w:line="329" w:lineRule="auto"/>
              <w:ind w:left="43"/>
              <w:rPr>
                <w:rFonts w:eastAsia="Times New Roman"/>
                <w:sz w:val="18"/>
                <w:szCs w:val="18"/>
              </w:rPr>
            </w:pPr>
            <w:r>
              <w:rPr>
                <w:rFonts w:eastAsia="Times New Roman"/>
                <w:sz w:val="18"/>
                <w:szCs w:val="18"/>
              </w:rPr>
              <w:t>Some people who drink water containing butachlor at high concentrations for many years could experience liver effects.</w:t>
            </w:r>
          </w:p>
        </w:tc>
      </w:tr>
      <w:tr w:rsidR="00756EFC" w14:paraId="281A4859" w14:textId="77777777" w:rsidTr="00267C10">
        <w:trPr>
          <w:trHeight w:val="756"/>
        </w:trPr>
        <w:tc>
          <w:tcPr>
            <w:tcW w:w="2280" w:type="dxa"/>
            <w:vAlign w:val="center"/>
          </w:tcPr>
          <w:p w14:paraId="57FD801D" w14:textId="77777777" w:rsidR="00756EFC" w:rsidRDefault="00756EFC" w:rsidP="00756EFC">
            <w:pPr>
              <w:rPr>
                <w:sz w:val="20"/>
                <w:szCs w:val="20"/>
              </w:rPr>
            </w:pPr>
            <w:r>
              <w:rPr>
                <w:rFonts w:eastAsia="Times New Roman"/>
                <w:sz w:val="18"/>
                <w:szCs w:val="18"/>
              </w:rPr>
              <w:t>1,3-Butadiene</w:t>
            </w:r>
          </w:p>
          <w:p w14:paraId="281A4853" w14:textId="3328CBDA" w:rsidR="00756EFC" w:rsidRDefault="00756EFC" w:rsidP="00756EFC">
            <w:pPr>
              <w:rPr>
                <w:sz w:val="20"/>
                <w:szCs w:val="20"/>
              </w:rPr>
            </w:pPr>
            <w:r>
              <w:rPr>
                <w:rFonts w:eastAsia="Times New Roman"/>
                <w:sz w:val="18"/>
                <w:szCs w:val="18"/>
              </w:rPr>
              <w:t>(106990)</w:t>
            </w:r>
          </w:p>
        </w:tc>
        <w:tc>
          <w:tcPr>
            <w:tcW w:w="800" w:type="dxa"/>
            <w:vAlign w:val="center"/>
          </w:tcPr>
          <w:p w14:paraId="281A4854" w14:textId="77777777" w:rsidR="00756EFC" w:rsidRDefault="00756EFC" w:rsidP="00756EFC">
            <w:pPr>
              <w:jc w:val="center"/>
              <w:rPr>
                <w:sz w:val="20"/>
                <w:szCs w:val="20"/>
              </w:rPr>
            </w:pPr>
            <w:r>
              <w:rPr>
                <w:rFonts w:eastAsia="Times New Roman"/>
                <w:sz w:val="18"/>
                <w:szCs w:val="18"/>
              </w:rPr>
              <w:t>*</w:t>
            </w:r>
          </w:p>
        </w:tc>
        <w:tc>
          <w:tcPr>
            <w:tcW w:w="1700" w:type="dxa"/>
            <w:vAlign w:val="center"/>
          </w:tcPr>
          <w:p w14:paraId="281A4855" w14:textId="77777777" w:rsidR="00756EFC" w:rsidRDefault="00756EFC" w:rsidP="00756EFC">
            <w:pPr>
              <w:jc w:val="center"/>
              <w:rPr>
                <w:sz w:val="20"/>
                <w:szCs w:val="20"/>
              </w:rPr>
            </w:pPr>
            <w:r>
              <w:rPr>
                <w:rFonts w:eastAsia="Times New Roman"/>
                <w:w w:val="99"/>
                <w:sz w:val="18"/>
                <w:szCs w:val="18"/>
              </w:rPr>
              <w:t>-</w:t>
            </w:r>
          </w:p>
        </w:tc>
        <w:tc>
          <w:tcPr>
            <w:tcW w:w="1620" w:type="dxa"/>
            <w:vAlign w:val="center"/>
          </w:tcPr>
          <w:p w14:paraId="281A4856" w14:textId="77777777" w:rsidR="00756EFC" w:rsidRDefault="00756EFC" w:rsidP="00756EFC">
            <w:pPr>
              <w:jc w:val="center"/>
              <w:rPr>
                <w:sz w:val="20"/>
                <w:szCs w:val="20"/>
              </w:rPr>
            </w:pPr>
            <w:r>
              <w:rPr>
                <w:rFonts w:eastAsia="Times New Roman"/>
                <w:w w:val="99"/>
                <w:sz w:val="18"/>
                <w:szCs w:val="18"/>
              </w:rPr>
              <w:t>-</w:t>
            </w:r>
          </w:p>
        </w:tc>
        <w:tc>
          <w:tcPr>
            <w:tcW w:w="2440" w:type="dxa"/>
            <w:vAlign w:val="center"/>
          </w:tcPr>
          <w:p w14:paraId="281A4857" w14:textId="77777777" w:rsidR="00756EFC" w:rsidRDefault="00756EFC" w:rsidP="00756EFC">
            <w:pPr>
              <w:jc w:val="center"/>
              <w:rPr>
                <w:sz w:val="20"/>
                <w:szCs w:val="20"/>
              </w:rPr>
            </w:pPr>
            <w:r>
              <w:rPr>
                <w:rFonts w:eastAsia="Times New Roman"/>
                <w:sz w:val="18"/>
                <w:szCs w:val="18"/>
              </w:rPr>
              <w:t>-</w:t>
            </w:r>
          </w:p>
        </w:tc>
        <w:tc>
          <w:tcPr>
            <w:tcW w:w="2320" w:type="dxa"/>
            <w:vAlign w:val="center"/>
          </w:tcPr>
          <w:p w14:paraId="281A4858" w14:textId="77777777" w:rsidR="00756EFC" w:rsidRDefault="00756EFC" w:rsidP="00756EFC">
            <w:pPr>
              <w:jc w:val="center"/>
              <w:rPr>
                <w:sz w:val="20"/>
                <w:szCs w:val="20"/>
              </w:rPr>
            </w:pPr>
            <w:r>
              <w:rPr>
                <w:rFonts w:eastAsia="Times New Roman"/>
                <w:sz w:val="18"/>
                <w:szCs w:val="18"/>
              </w:rPr>
              <w:t>-</w:t>
            </w:r>
          </w:p>
        </w:tc>
      </w:tr>
      <w:tr w:rsidR="004955CB" w14:paraId="281A4870" w14:textId="77777777" w:rsidTr="00F57A8F">
        <w:trPr>
          <w:trHeight w:val="1810"/>
        </w:trPr>
        <w:tc>
          <w:tcPr>
            <w:tcW w:w="2280" w:type="dxa"/>
            <w:vAlign w:val="center"/>
          </w:tcPr>
          <w:p w14:paraId="259F5580" w14:textId="77777777" w:rsidR="004955CB" w:rsidRDefault="004955CB" w:rsidP="004955CB">
            <w:pPr>
              <w:rPr>
                <w:sz w:val="20"/>
                <w:szCs w:val="20"/>
              </w:rPr>
            </w:pPr>
            <w:r>
              <w:rPr>
                <w:rFonts w:eastAsia="Times New Roman"/>
                <w:sz w:val="18"/>
                <w:szCs w:val="18"/>
              </w:rPr>
              <w:t>Butylbenzene isomers</w:t>
            </w:r>
          </w:p>
          <w:p w14:paraId="281A486A" w14:textId="38CEE715" w:rsidR="004955CB" w:rsidRDefault="004955CB" w:rsidP="004955CB">
            <w:pPr>
              <w:rPr>
                <w:sz w:val="20"/>
                <w:szCs w:val="20"/>
              </w:rPr>
            </w:pPr>
            <w:r>
              <w:rPr>
                <w:rFonts w:eastAsia="Times New Roman"/>
                <w:sz w:val="18"/>
                <w:szCs w:val="18"/>
              </w:rPr>
              <w:t>(n; sec; tert)</w:t>
            </w:r>
          </w:p>
        </w:tc>
        <w:tc>
          <w:tcPr>
            <w:tcW w:w="800" w:type="dxa"/>
            <w:vAlign w:val="center"/>
          </w:tcPr>
          <w:p w14:paraId="281A486B" w14:textId="77777777" w:rsidR="004955CB" w:rsidRDefault="004955CB" w:rsidP="004955CB">
            <w:pPr>
              <w:jc w:val="center"/>
              <w:rPr>
                <w:sz w:val="20"/>
                <w:szCs w:val="20"/>
              </w:rPr>
            </w:pPr>
            <w:r>
              <w:rPr>
                <w:rFonts w:eastAsia="Times New Roman"/>
                <w:sz w:val="18"/>
                <w:szCs w:val="18"/>
              </w:rPr>
              <w:t>*</w:t>
            </w:r>
          </w:p>
        </w:tc>
        <w:tc>
          <w:tcPr>
            <w:tcW w:w="1700" w:type="dxa"/>
            <w:vAlign w:val="center"/>
          </w:tcPr>
          <w:p w14:paraId="281A486C" w14:textId="77777777" w:rsidR="004955CB" w:rsidRDefault="004955CB" w:rsidP="004955CB">
            <w:pPr>
              <w:jc w:val="center"/>
              <w:rPr>
                <w:sz w:val="20"/>
                <w:szCs w:val="20"/>
              </w:rPr>
            </w:pPr>
            <w:r>
              <w:rPr>
                <w:rFonts w:eastAsia="Times New Roman"/>
                <w:w w:val="99"/>
                <w:sz w:val="18"/>
                <w:szCs w:val="18"/>
              </w:rPr>
              <w:t>-</w:t>
            </w:r>
          </w:p>
        </w:tc>
        <w:tc>
          <w:tcPr>
            <w:tcW w:w="1620" w:type="dxa"/>
            <w:vAlign w:val="center"/>
          </w:tcPr>
          <w:p w14:paraId="281A486D" w14:textId="77777777" w:rsidR="004955CB" w:rsidRDefault="004955CB" w:rsidP="004955CB">
            <w:pPr>
              <w:jc w:val="center"/>
              <w:rPr>
                <w:sz w:val="20"/>
                <w:szCs w:val="20"/>
              </w:rPr>
            </w:pPr>
            <w:r>
              <w:rPr>
                <w:rFonts w:eastAsia="Times New Roman"/>
                <w:w w:val="99"/>
                <w:sz w:val="18"/>
                <w:szCs w:val="18"/>
              </w:rPr>
              <w:t>-</w:t>
            </w:r>
          </w:p>
        </w:tc>
        <w:tc>
          <w:tcPr>
            <w:tcW w:w="2440" w:type="dxa"/>
          </w:tcPr>
          <w:p w14:paraId="281A486E" w14:textId="77777777" w:rsidR="004955CB" w:rsidRPr="004955CB" w:rsidRDefault="004955CB" w:rsidP="004955CB">
            <w:pPr>
              <w:spacing w:line="329" w:lineRule="auto"/>
              <w:ind w:left="43"/>
              <w:rPr>
                <w:rFonts w:eastAsia="Times New Roman"/>
                <w:sz w:val="18"/>
                <w:szCs w:val="18"/>
              </w:rPr>
            </w:pPr>
            <w:r>
              <w:rPr>
                <w:rFonts w:eastAsia="Times New Roman"/>
                <w:sz w:val="18"/>
                <w:szCs w:val="18"/>
              </w:rPr>
              <w:t>Run-off from industrial use</w:t>
            </w:r>
          </w:p>
        </w:tc>
        <w:tc>
          <w:tcPr>
            <w:tcW w:w="2320" w:type="dxa"/>
          </w:tcPr>
          <w:p w14:paraId="281A486F" w14:textId="0789FA71" w:rsidR="004955CB" w:rsidRPr="004955CB" w:rsidRDefault="004955CB" w:rsidP="004955CB">
            <w:pPr>
              <w:spacing w:line="329" w:lineRule="auto"/>
              <w:ind w:left="43"/>
              <w:rPr>
                <w:rFonts w:eastAsia="Times New Roman"/>
                <w:sz w:val="18"/>
                <w:szCs w:val="18"/>
              </w:rPr>
            </w:pPr>
            <w:r>
              <w:rPr>
                <w:rFonts w:eastAsia="Times New Roman"/>
                <w:sz w:val="18"/>
                <w:szCs w:val="18"/>
              </w:rPr>
              <w:t>Some people who drink water containing butylbenzene isomers at high concentrations for many years could experience central nervous system effects.</w:t>
            </w:r>
          </w:p>
        </w:tc>
      </w:tr>
      <w:tr w:rsidR="004955CB" w14:paraId="281A48AE" w14:textId="77777777" w:rsidTr="00F57A8F">
        <w:trPr>
          <w:trHeight w:val="1513"/>
        </w:trPr>
        <w:tc>
          <w:tcPr>
            <w:tcW w:w="2280" w:type="dxa"/>
            <w:vAlign w:val="center"/>
          </w:tcPr>
          <w:p w14:paraId="00BA1B24" w14:textId="77777777" w:rsidR="004955CB" w:rsidRDefault="004955CB" w:rsidP="004955CB">
            <w:pPr>
              <w:rPr>
                <w:sz w:val="20"/>
                <w:szCs w:val="20"/>
              </w:rPr>
            </w:pPr>
            <w:r>
              <w:rPr>
                <w:rFonts w:eastAsia="Times New Roman"/>
                <w:sz w:val="18"/>
                <w:szCs w:val="18"/>
              </w:rPr>
              <w:t>Carbaryl</w:t>
            </w:r>
          </w:p>
          <w:p w14:paraId="281A48A8" w14:textId="7EAFE142" w:rsidR="004955CB" w:rsidRDefault="004955CB" w:rsidP="004955CB">
            <w:pPr>
              <w:rPr>
                <w:sz w:val="20"/>
                <w:szCs w:val="20"/>
              </w:rPr>
            </w:pPr>
            <w:r>
              <w:rPr>
                <w:rFonts w:eastAsia="Times New Roman"/>
                <w:sz w:val="18"/>
                <w:szCs w:val="18"/>
              </w:rPr>
              <w:t>(63252)</w:t>
            </w:r>
          </w:p>
        </w:tc>
        <w:tc>
          <w:tcPr>
            <w:tcW w:w="800" w:type="dxa"/>
            <w:vAlign w:val="center"/>
          </w:tcPr>
          <w:p w14:paraId="281A48A9" w14:textId="77777777" w:rsidR="004955CB" w:rsidRDefault="004955CB" w:rsidP="004955CB">
            <w:pPr>
              <w:jc w:val="center"/>
              <w:rPr>
                <w:sz w:val="20"/>
                <w:szCs w:val="20"/>
              </w:rPr>
            </w:pPr>
            <w:r>
              <w:rPr>
                <w:rFonts w:eastAsia="Times New Roman"/>
                <w:sz w:val="18"/>
                <w:szCs w:val="18"/>
              </w:rPr>
              <w:t>*</w:t>
            </w:r>
          </w:p>
        </w:tc>
        <w:tc>
          <w:tcPr>
            <w:tcW w:w="1700" w:type="dxa"/>
            <w:vAlign w:val="center"/>
          </w:tcPr>
          <w:p w14:paraId="281A48AA" w14:textId="77777777" w:rsidR="004955CB" w:rsidRDefault="004955CB" w:rsidP="004955CB">
            <w:pPr>
              <w:jc w:val="center"/>
              <w:rPr>
                <w:sz w:val="20"/>
                <w:szCs w:val="20"/>
              </w:rPr>
            </w:pPr>
            <w:r>
              <w:rPr>
                <w:rFonts w:eastAsia="Times New Roman"/>
                <w:w w:val="99"/>
                <w:sz w:val="18"/>
                <w:szCs w:val="18"/>
              </w:rPr>
              <w:t>-</w:t>
            </w:r>
          </w:p>
        </w:tc>
        <w:tc>
          <w:tcPr>
            <w:tcW w:w="1620" w:type="dxa"/>
            <w:vAlign w:val="center"/>
          </w:tcPr>
          <w:p w14:paraId="281A48AB" w14:textId="77777777" w:rsidR="004955CB" w:rsidRDefault="004955CB" w:rsidP="004955CB">
            <w:pPr>
              <w:jc w:val="center"/>
              <w:rPr>
                <w:sz w:val="20"/>
                <w:szCs w:val="20"/>
              </w:rPr>
            </w:pPr>
            <w:r>
              <w:rPr>
                <w:rFonts w:eastAsia="Times New Roman"/>
                <w:w w:val="99"/>
                <w:sz w:val="18"/>
                <w:szCs w:val="18"/>
              </w:rPr>
              <w:t>-</w:t>
            </w:r>
          </w:p>
        </w:tc>
        <w:tc>
          <w:tcPr>
            <w:tcW w:w="2440" w:type="dxa"/>
          </w:tcPr>
          <w:p w14:paraId="281A48AC" w14:textId="2EE67149" w:rsidR="004955CB" w:rsidRPr="004955CB" w:rsidRDefault="004955CB" w:rsidP="004955CB">
            <w:pPr>
              <w:spacing w:line="329" w:lineRule="auto"/>
              <w:ind w:left="43"/>
              <w:rPr>
                <w:rFonts w:eastAsia="Times New Roman"/>
                <w:sz w:val="18"/>
                <w:szCs w:val="18"/>
              </w:rPr>
            </w:pPr>
            <w:r>
              <w:rPr>
                <w:rFonts w:eastAsia="Times New Roman"/>
                <w:sz w:val="18"/>
                <w:szCs w:val="18"/>
              </w:rPr>
              <w:t>Run-off from use as an insecticide</w:t>
            </w:r>
          </w:p>
        </w:tc>
        <w:tc>
          <w:tcPr>
            <w:tcW w:w="2320" w:type="dxa"/>
          </w:tcPr>
          <w:p w14:paraId="281A48AD" w14:textId="5CE4010C" w:rsidR="004955CB" w:rsidRPr="004955CB" w:rsidRDefault="004955CB" w:rsidP="004955CB">
            <w:pPr>
              <w:spacing w:line="329" w:lineRule="auto"/>
              <w:ind w:left="43"/>
              <w:rPr>
                <w:rFonts w:eastAsia="Times New Roman"/>
                <w:sz w:val="18"/>
                <w:szCs w:val="18"/>
              </w:rPr>
            </w:pPr>
            <w:r>
              <w:rPr>
                <w:rFonts w:eastAsia="Times New Roman"/>
                <w:sz w:val="18"/>
                <w:szCs w:val="18"/>
              </w:rPr>
              <w:t>Some people who drink water containing carbaryl at high concentrations for many years could experience kidney and liver effects.</w:t>
            </w:r>
          </w:p>
        </w:tc>
      </w:tr>
      <w:tr w:rsidR="004955CB" w14:paraId="281A48E5" w14:textId="77777777" w:rsidTr="00267C10">
        <w:trPr>
          <w:trHeight w:val="757"/>
        </w:trPr>
        <w:tc>
          <w:tcPr>
            <w:tcW w:w="2280" w:type="dxa"/>
            <w:vAlign w:val="center"/>
          </w:tcPr>
          <w:p w14:paraId="5E2C24B2" w14:textId="77777777" w:rsidR="004955CB" w:rsidRDefault="004955CB" w:rsidP="004955CB">
            <w:pPr>
              <w:rPr>
                <w:sz w:val="20"/>
                <w:szCs w:val="20"/>
              </w:rPr>
            </w:pPr>
            <w:r>
              <w:rPr>
                <w:rFonts w:eastAsia="Times New Roman"/>
                <w:sz w:val="18"/>
                <w:szCs w:val="18"/>
              </w:rPr>
              <w:t>Chlorate</w:t>
            </w:r>
          </w:p>
          <w:p w14:paraId="281A48DF" w14:textId="5E88AB96" w:rsidR="004955CB" w:rsidRDefault="004955CB" w:rsidP="004955CB">
            <w:pPr>
              <w:rPr>
                <w:sz w:val="20"/>
                <w:szCs w:val="20"/>
              </w:rPr>
            </w:pPr>
            <w:r>
              <w:rPr>
                <w:rFonts w:eastAsia="Times New Roman"/>
                <w:sz w:val="18"/>
                <w:szCs w:val="18"/>
              </w:rPr>
              <w:t>(14866683)</w:t>
            </w:r>
          </w:p>
        </w:tc>
        <w:tc>
          <w:tcPr>
            <w:tcW w:w="800" w:type="dxa"/>
            <w:vAlign w:val="center"/>
          </w:tcPr>
          <w:p w14:paraId="281A48E0" w14:textId="77777777" w:rsidR="004955CB" w:rsidRDefault="004955CB" w:rsidP="004955CB">
            <w:pPr>
              <w:jc w:val="center"/>
              <w:rPr>
                <w:sz w:val="20"/>
                <w:szCs w:val="20"/>
              </w:rPr>
            </w:pPr>
            <w:r>
              <w:rPr>
                <w:rFonts w:eastAsia="Times New Roman"/>
                <w:sz w:val="18"/>
                <w:szCs w:val="18"/>
              </w:rPr>
              <w:t>*</w:t>
            </w:r>
          </w:p>
        </w:tc>
        <w:tc>
          <w:tcPr>
            <w:tcW w:w="1700" w:type="dxa"/>
            <w:vAlign w:val="center"/>
          </w:tcPr>
          <w:p w14:paraId="281A48E1" w14:textId="77777777" w:rsidR="004955CB" w:rsidRDefault="004955CB" w:rsidP="004955CB">
            <w:pPr>
              <w:jc w:val="center"/>
              <w:rPr>
                <w:sz w:val="20"/>
                <w:szCs w:val="20"/>
              </w:rPr>
            </w:pPr>
            <w:r>
              <w:rPr>
                <w:rFonts w:eastAsia="Times New Roman"/>
                <w:w w:val="99"/>
                <w:sz w:val="18"/>
                <w:szCs w:val="18"/>
              </w:rPr>
              <w:t>-</w:t>
            </w:r>
          </w:p>
        </w:tc>
        <w:tc>
          <w:tcPr>
            <w:tcW w:w="1620" w:type="dxa"/>
            <w:vAlign w:val="center"/>
          </w:tcPr>
          <w:p w14:paraId="281A48E2" w14:textId="77777777" w:rsidR="004955CB" w:rsidRDefault="004955CB" w:rsidP="004955CB">
            <w:pPr>
              <w:jc w:val="center"/>
              <w:rPr>
                <w:sz w:val="20"/>
                <w:szCs w:val="20"/>
              </w:rPr>
            </w:pPr>
            <w:r>
              <w:rPr>
                <w:rFonts w:eastAsia="Times New Roman"/>
                <w:w w:val="99"/>
                <w:sz w:val="18"/>
                <w:szCs w:val="18"/>
              </w:rPr>
              <w:t>-</w:t>
            </w:r>
          </w:p>
        </w:tc>
        <w:tc>
          <w:tcPr>
            <w:tcW w:w="2440" w:type="dxa"/>
            <w:vAlign w:val="center"/>
          </w:tcPr>
          <w:p w14:paraId="281A48E3" w14:textId="77777777" w:rsidR="004955CB" w:rsidRDefault="004955CB" w:rsidP="004955CB">
            <w:pPr>
              <w:jc w:val="center"/>
              <w:rPr>
                <w:sz w:val="20"/>
                <w:szCs w:val="20"/>
              </w:rPr>
            </w:pPr>
            <w:r>
              <w:rPr>
                <w:rFonts w:eastAsia="Times New Roman"/>
                <w:sz w:val="18"/>
                <w:szCs w:val="18"/>
              </w:rPr>
              <w:t>-</w:t>
            </w:r>
          </w:p>
        </w:tc>
        <w:tc>
          <w:tcPr>
            <w:tcW w:w="2320" w:type="dxa"/>
            <w:vAlign w:val="center"/>
          </w:tcPr>
          <w:p w14:paraId="281A48E4" w14:textId="77777777" w:rsidR="004955CB" w:rsidRDefault="004955CB" w:rsidP="004955CB">
            <w:pPr>
              <w:jc w:val="center"/>
              <w:rPr>
                <w:sz w:val="20"/>
                <w:szCs w:val="20"/>
              </w:rPr>
            </w:pPr>
            <w:r>
              <w:rPr>
                <w:rFonts w:eastAsia="Times New Roman"/>
                <w:sz w:val="18"/>
                <w:szCs w:val="18"/>
              </w:rPr>
              <w:t>-</w:t>
            </w:r>
          </w:p>
        </w:tc>
      </w:tr>
      <w:tr w:rsidR="004955CB" w14:paraId="281A48FC" w14:textId="77777777" w:rsidTr="00267C10">
        <w:trPr>
          <w:trHeight w:val="757"/>
        </w:trPr>
        <w:tc>
          <w:tcPr>
            <w:tcW w:w="2280" w:type="dxa"/>
            <w:vAlign w:val="center"/>
          </w:tcPr>
          <w:p w14:paraId="42334A96" w14:textId="77777777" w:rsidR="004955CB" w:rsidRDefault="004955CB" w:rsidP="004955CB">
            <w:pPr>
              <w:rPr>
                <w:sz w:val="20"/>
                <w:szCs w:val="20"/>
              </w:rPr>
            </w:pPr>
            <w:r>
              <w:rPr>
                <w:rFonts w:eastAsia="Times New Roman"/>
                <w:sz w:val="18"/>
                <w:szCs w:val="18"/>
              </w:rPr>
              <w:t>Chlorodifluoromethane</w:t>
            </w:r>
          </w:p>
          <w:p w14:paraId="281A48F6" w14:textId="44C13595" w:rsidR="004955CB" w:rsidRDefault="004955CB" w:rsidP="004955CB">
            <w:pPr>
              <w:rPr>
                <w:sz w:val="20"/>
                <w:szCs w:val="20"/>
              </w:rPr>
            </w:pPr>
            <w:r>
              <w:rPr>
                <w:rFonts w:eastAsia="Times New Roman"/>
                <w:sz w:val="18"/>
                <w:szCs w:val="18"/>
              </w:rPr>
              <w:t>(HCFC-22) (75456)</w:t>
            </w:r>
          </w:p>
        </w:tc>
        <w:tc>
          <w:tcPr>
            <w:tcW w:w="800" w:type="dxa"/>
            <w:vAlign w:val="center"/>
          </w:tcPr>
          <w:p w14:paraId="281A48F7" w14:textId="77777777" w:rsidR="004955CB" w:rsidRDefault="004955CB" w:rsidP="004955CB">
            <w:pPr>
              <w:jc w:val="center"/>
              <w:rPr>
                <w:sz w:val="20"/>
                <w:szCs w:val="20"/>
              </w:rPr>
            </w:pPr>
            <w:r>
              <w:rPr>
                <w:rFonts w:eastAsia="Times New Roman"/>
                <w:sz w:val="18"/>
                <w:szCs w:val="18"/>
              </w:rPr>
              <w:t>*</w:t>
            </w:r>
          </w:p>
        </w:tc>
        <w:tc>
          <w:tcPr>
            <w:tcW w:w="1700" w:type="dxa"/>
            <w:vAlign w:val="center"/>
          </w:tcPr>
          <w:p w14:paraId="281A48F8" w14:textId="77777777" w:rsidR="004955CB" w:rsidRDefault="004955CB" w:rsidP="004955CB">
            <w:pPr>
              <w:jc w:val="center"/>
              <w:rPr>
                <w:sz w:val="20"/>
                <w:szCs w:val="20"/>
              </w:rPr>
            </w:pPr>
            <w:r>
              <w:rPr>
                <w:rFonts w:eastAsia="Times New Roman"/>
                <w:w w:val="99"/>
                <w:sz w:val="18"/>
                <w:szCs w:val="18"/>
              </w:rPr>
              <w:t>-</w:t>
            </w:r>
          </w:p>
        </w:tc>
        <w:tc>
          <w:tcPr>
            <w:tcW w:w="1620" w:type="dxa"/>
            <w:vAlign w:val="center"/>
          </w:tcPr>
          <w:p w14:paraId="281A48F9" w14:textId="77777777" w:rsidR="004955CB" w:rsidRDefault="004955CB" w:rsidP="004955CB">
            <w:pPr>
              <w:jc w:val="center"/>
              <w:rPr>
                <w:sz w:val="20"/>
                <w:szCs w:val="20"/>
              </w:rPr>
            </w:pPr>
            <w:r>
              <w:rPr>
                <w:rFonts w:eastAsia="Times New Roman"/>
                <w:w w:val="99"/>
                <w:sz w:val="18"/>
                <w:szCs w:val="18"/>
              </w:rPr>
              <w:t>-</w:t>
            </w:r>
          </w:p>
        </w:tc>
        <w:tc>
          <w:tcPr>
            <w:tcW w:w="2440" w:type="dxa"/>
            <w:vAlign w:val="center"/>
          </w:tcPr>
          <w:p w14:paraId="281A48FA" w14:textId="77777777" w:rsidR="004955CB" w:rsidRDefault="004955CB" w:rsidP="004955CB">
            <w:pPr>
              <w:jc w:val="center"/>
              <w:rPr>
                <w:sz w:val="20"/>
                <w:szCs w:val="20"/>
              </w:rPr>
            </w:pPr>
            <w:r>
              <w:rPr>
                <w:rFonts w:eastAsia="Times New Roman"/>
                <w:sz w:val="18"/>
                <w:szCs w:val="18"/>
              </w:rPr>
              <w:t>-</w:t>
            </w:r>
          </w:p>
        </w:tc>
        <w:tc>
          <w:tcPr>
            <w:tcW w:w="2320" w:type="dxa"/>
            <w:vAlign w:val="center"/>
          </w:tcPr>
          <w:p w14:paraId="281A48FB" w14:textId="77777777" w:rsidR="004955CB" w:rsidRDefault="004955CB" w:rsidP="004955CB">
            <w:pPr>
              <w:jc w:val="center"/>
              <w:rPr>
                <w:sz w:val="20"/>
                <w:szCs w:val="20"/>
              </w:rPr>
            </w:pPr>
            <w:r>
              <w:rPr>
                <w:rFonts w:eastAsia="Times New Roman"/>
                <w:sz w:val="18"/>
                <w:szCs w:val="18"/>
              </w:rPr>
              <w:t>-</w:t>
            </w:r>
          </w:p>
        </w:tc>
      </w:tr>
      <w:tr w:rsidR="004955CB" w14:paraId="281A4912" w14:textId="77777777" w:rsidTr="00F57A8F">
        <w:trPr>
          <w:trHeight w:val="1756"/>
        </w:trPr>
        <w:tc>
          <w:tcPr>
            <w:tcW w:w="2280" w:type="dxa"/>
            <w:vAlign w:val="center"/>
          </w:tcPr>
          <w:p w14:paraId="0D18B91F" w14:textId="77777777" w:rsidR="004955CB" w:rsidRDefault="004955CB" w:rsidP="004955CB">
            <w:pPr>
              <w:rPr>
                <w:sz w:val="20"/>
                <w:szCs w:val="20"/>
              </w:rPr>
            </w:pPr>
            <w:r>
              <w:rPr>
                <w:rFonts w:eastAsia="Times New Roman"/>
                <w:sz w:val="18"/>
                <w:szCs w:val="18"/>
              </w:rPr>
              <w:t>Chloroethane</w:t>
            </w:r>
          </w:p>
          <w:p w14:paraId="281A490C" w14:textId="088296E2" w:rsidR="004955CB" w:rsidRDefault="004955CB" w:rsidP="004955CB">
            <w:pPr>
              <w:rPr>
                <w:sz w:val="20"/>
                <w:szCs w:val="20"/>
              </w:rPr>
            </w:pPr>
            <w:r>
              <w:rPr>
                <w:rFonts w:eastAsia="Times New Roman"/>
                <w:sz w:val="18"/>
                <w:szCs w:val="18"/>
              </w:rPr>
              <w:t>(75003)</w:t>
            </w:r>
          </w:p>
        </w:tc>
        <w:tc>
          <w:tcPr>
            <w:tcW w:w="800" w:type="dxa"/>
            <w:vAlign w:val="center"/>
          </w:tcPr>
          <w:p w14:paraId="281A490D" w14:textId="77777777" w:rsidR="004955CB" w:rsidRDefault="004955CB" w:rsidP="004955CB">
            <w:pPr>
              <w:jc w:val="center"/>
              <w:rPr>
                <w:sz w:val="20"/>
                <w:szCs w:val="20"/>
              </w:rPr>
            </w:pPr>
            <w:r>
              <w:rPr>
                <w:rFonts w:eastAsia="Times New Roman"/>
                <w:sz w:val="18"/>
                <w:szCs w:val="18"/>
              </w:rPr>
              <w:t>*</w:t>
            </w:r>
          </w:p>
        </w:tc>
        <w:tc>
          <w:tcPr>
            <w:tcW w:w="1700" w:type="dxa"/>
            <w:vAlign w:val="center"/>
          </w:tcPr>
          <w:p w14:paraId="281A490E" w14:textId="77777777" w:rsidR="004955CB" w:rsidRDefault="004955CB" w:rsidP="004955CB">
            <w:pPr>
              <w:jc w:val="center"/>
              <w:rPr>
                <w:sz w:val="20"/>
                <w:szCs w:val="20"/>
              </w:rPr>
            </w:pPr>
            <w:r>
              <w:rPr>
                <w:rFonts w:eastAsia="Times New Roman"/>
                <w:w w:val="99"/>
                <w:sz w:val="18"/>
                <w:szCs w:val="18"/>
              </w:rPr>
              <w:t>-</w:t>
            </w:r>
          </w:p>
        </w:tc>
        <w:tc>
          <w:tcPr>
            <w:tcW w:w="1620" w:type="dxa"/>
            <w:vAlign w:val="center"/>
          </w:tcPr>
          <w:p w14:paraId="281A490F" w14:textId="77777777" w:rsidR="004955CB" w:rsidRDefault="004955CB" w:rsidP="004955CB">
            <w:pPr>
              <w:jc w:val="center"/>
              <w:rPr>
                <w:sz w:val="20"/>
                <w:szCs w:val="20"/>
              </w:rPr>
            </w:pPr>
            <w:r>
              <w:rPr>
                <w:rFonts w:eastAsia="Times New Roman"/>
                <w:w w:val="99"/>
                <w:sz w:val="18"/>
                <w:szCs w:val="18"/>
              </w:rPr>
              <w:t>-</w:t>
            </w:r>
          </w:p>
        </w:tc>
        <w:tc>
          <w:tcPr>
            <w:tcW w:w="2440" w:type="dxa"/>
          </w:tcPr>
          <w:p w14:paraId="281A4910" w14:textId="2BAC2A07" w:rsidR="004955CB" w:rsidRPr="004955CB" w:rsidRDefault="004955CB" w:rsidP="004955CB">
            <w:pPr>
              <w:spacing w:line="329" w:lineRule="auto"/>
              <w:ind w:left="43"/>
              <w:rPr>
                <w:rFonts w:eastAsia="Times New Roman"/>
                <w:sz w:val="18"/>
                <w:szCs w:val="18"/>
              </w:rPr>
            </w:pPr>
            <w:r>
              <w:rPr>
                <w:rFonts w:eastAsia="Times New Roman"/>
                <w:sz w:val="18"/>
                <w:szCs w:val="18"/>
              </w:rPr>
              <w:t>Discharge from industrial uses</w:t>
            </w:r>
          </w:p>
        </w:tc>
        <w:tc>
          <w:tcPr>
            <w:tcW w:w="2320" w:type="dxa"/>
          </w:tcPr>
          <w:p w14:paraId="281A4911" w14:textId="548B7828" w:rsidR="004955CB" w:rsidRPr="004955CB" w:rsidRDefault="004955CB" w:rsidP="004955CB">
            <w:pPr>
              <w:spacing w:line="329" w:lineRule="auto"/>
              <w:ind w:left="43"/>
              <w:rPr>
                <w:rFonts w:eastAsia="Times New Roman"/>
                <w:sz w:val="18"/>
                <w:szCs w:val="18"/>
              </w:rPr>
            </w:pPr>
            <w:r>
              <w:rPr>
                <w:rFonts w:eastAsia="Times New Roman"/>
                <w:sz w:val="18"/>
                <w:szCs w:val="18"/>
              </w:rPr>
              <w:t>Some people who drink water containing chloroethane at high concentrations for many years could experience dizziness, nausea, and vomiting.</w:t>
            </w:r>
          </w:p>
        </w:tc>
      </w:tr>
      <w:tr w:rsidR="00267C10" w14:paraId="34C9868B" w14:textId="77777777" w:rsidTr="00267C10">
        <w:trPr>
          <w:trHeight w:val="2252"/>
        </w:trPr>
        <w:tc>
          <w:tcPr>
            <w:tcW w:w="2280" w:type="dxa"/>
            <w:vAlign w:val="center"/>
          </w:tcPr>
          <w:p w14:paraId="0262AA03" w14:textId="77777777" w:rsidR="00267C10" w:rsidRDefault="00267C10" w:rsidP="00267C10">
            <w:pPr>
              <w:rPr>
                <w:sz w:val="20"/>
                <w:szCs w:val="20"/>
              </w:rPr>
            </w:pPr>
            <w:r>
              <w:rPr>
                <w:rFonts w:eastAsia="Times New Roman"/>
                <w:sz w:val="18"/>
                <w:szCs w:val="18"/>
              </w:rPr>
              <w:t>Chloroform</w:t>
            </w:r>
          </w:p>
          <w:p w14:paraId="43C9AA16" w14:textId="1E20F1B6" w:rsidR="00267C10" w:rsidRDefault="00267C10" w:rsidP="00267C10">
            <w:pPr>
              <w:rPr>
                <w:rFonts w:eastAsia="Times New Roman"/>
                <w:sz w:val="18"/>
                <w:szCs w:val="18"/>
              </w:rPr>
            </w:pPr>
            <w:r>
              <w:rPr>
                <w:rFonts w:eastAsia="Times New Roman"/>
                <w:sz w:val="18"/>
                <w:szCs w:val="18"/>
              </w:rPr>
              <w:t>( 67663 )</w:t>
            </w:r>
          </w:p>
        </w:tc>
        <w:tc>
          <w:tcPr>
            <w:tcW w:w="800" w:type="dxa"/>
            <w:vAlign w:val="center"/>
          </w:tcPr>
          <w:p w14:paraId="2A8EF52C" w14:textId="487DDBB5" w:rsidR="00267C10" w:rsidRDefault="00267C10" w:rsidP="00267C10">
            <w:pPr>
              <w:ind w:right="170"/>
              <w:jc w:val="center"/>
              <w:rPr>
                <w:rFonts w:eastAsia="Times New Roman"/>
                <w:sz w:val="18"/>
                <w:szCs w:val="18"/>
              </w:rPr>
            </w:pPr>
            <w:r>
              <w:rPr>
                <w:rFonts w:eastAsia="Times New Roman"/>
                <w:sz w:val="18"/>
                <w:szCs w:val="18"/>
              </w:rPr>
              <w:t>0.07 mg/L</w:t>
            </w:r>
          </w:p>
        </w:tc>
        <w:tc>
          <w:tcPr>
            <w:tcW w:w="1700" w:type="dxa"/>
            <w:vAlign w:val="center"/>
          </w:tcPr>
          <w:p w14:paraId="49605108" w14:textId="5D0E2019" w:rsidR="00267C10" w:rsidRDefault="00267C10" w:rsidP="00267C10">
            <w:pPr>
              <w:jc w:val="center"/>
              <w:rPr>
                <w:rFonts w:eastAsia="Times New Roman"/>
                <w:w w:val="99"/>
                <w:sz w:val="18"/>
                <w:szCs w:val="18"/>
              </w:rPr>
            </w:pPr>
            <w:r>
              <w:rPr>
                <w:rFonts w:eastAsia="Times New Roman"/>
                <w:sz w:val="18"/>
                <w:szCs w:val="18"/>
              </w:rPr>
              <w:t>1000</w:t>
            </w:r>
          </w:p>
        </w:tc>
        <w:tc>
          <w:tcPr>
            <w:tcW w:w="1620" w:type="dxa"/>
            <w:vAlign w:val="center"/>
          </w:tcPr>
          <w:p w14:paraId="0F1174A7" w14:textId="59501283" w:rsidR="00267C10" w:rsidRDefault="00267C10" w:rsidP="00267C10">
            <w:pPr>
              <w:jc w:val="center"/>
              <w:rPr>
                <w:rFonts w:eastAsia="Times New Roman"/>
                <w:w w:val="99"/>
                <w:sz w:val="18"/>
                <w:szCs w:val="18"/>
              </w:rPr>
            </w:pPr>
            <w:r>
              <w:rPr>
                <w:rFonts w:eastAsia="Times New Roman"/>
                <w:sz w:val="18"/>
                <w:szCs w:val="18"/>
              </w:rPr>
              <w:t>70 ppb</w:t>
            </w:r>
          </w:p>
        </w:tc>
        <w:tc>
          <w:tcPr>
            <w:tcW w:w="2440" w:type="dxa"/>
          </w:tcPr>
          <w:p w14:paraId="2BB4EEDB" w14:textId="3B44D440" w:rsidR="00267C10" w:rsidRDefault="00267C10" w:rsidP="00267C10">
            <w:pPr>
              <w:spacing w:line="329" w:lineRule="auto"/>
              <w:ind w:left="43"/>
              <w:rPr>
                <w:rFonts w:eastAsia="Times New Roman"/>
                <w:sz w:val="18"/>
                <w:szCs w:val="18"/>
              </w:rPr>
            </w:pPr>
            <w:r>
              <w:rPr>
                <w:rFonts w:eastAsia="Times New Roman"/>
                <w:sz w:val="18"/>
                <w:szCs w:val="18"/>
              </w:rPr>
              <w:t>Trihalomethane; by-product of drinking water chlorination. [In non-chlorinated sources, chloroform may be naturally occurring.]</w:t>
            </w:r>
          </w:p>
        </w:tc>
        <w:tc>
          <w:tcPr>
            <w:tcW w:w="2320" w:type="dxa"/>
          </w:tcPr>
          <w:p w14:paraId="573C0646" w14:textId="233D23FE" w:rsidR="00267C10" w:rsidRDefault="00267C10" w:rsidP="00267C10">
            <w:pPr>
              <w:spacing w:line="329" w:lineRule="auto"/>
              <w:ind w:left="43" w:right="160"/>
              <w:rPr>
                <w:rFonts w:eastAsia="Times New Roman"/>
                <w:sz w:val="18"/>
                <w:szCs w:val="18"/>
              </w:rPr>
            </w:pPr>
            <w:r>
              <w:rPr>
                <w:rFonts w:eastAsia="Times New Roman"/>
                <w:sz w:val="18"/>
                <w:szCs w:val="18"/>
              </w:rPr>
              <w:t>Some people who drink water containing chloroform at high concentrations for many years could experience liver and kidney problems and may have an increased risk of cancer.</w:t>
            </w:r>
          </w:p>
        </w:tc>
      </w:tr>
      <w:tr w:rsidR="00E104F1" w14:paraId="281A498A" w14:textId="77777777" w:rsidTr="00E104F1">
        <w:trPr>
          <w:trHeight w:val="1855"/>
        </w:trPr>
        <w:tc>
          <w:tcPr>
            <w:tcW w:w="2280" w:type="dxa"/>
            <w:vAlign w:val="center"/>
          </w:tcPr>
          <w:p w14:paraId="1D3A847D" w14:textId="77777777" w:rsidR="00E104F1" w:rsidRDefault="00E104F1" w:rsidP="00267C10">
            <w:pPr>
              <w:rPr>
                <w:sz w:val="20"/>
                <w:szCs w:val="20"/>
              </w:rPr>
            </w:pPr>
            <w:r>
              <w:rPr>
                <w:rFonts w:eastAsia="Times New Roman"/>
                <w:sz w:val="18"/>
                <w:szCs w:val="18"/>
              </w:rPr>
              <w:t>Chloromethane</w:t>
            </w:r>
          </w:p>
          <w:p w14:paraId="68F964AF" w14:textId="77777777" w:rsidR="00E104F1" w:rsidRDefault="00E104F1" w:rsidP="00267C10">
            <w:pPr>
              <w:rPr>
                <w:sz w:val="20"/>
                <w:szCs w:val="20"/>
              </w:rPr>
            </w:pPr>
            <w:r>
              <w:rPr>
                <w:rFonts w:eastAsia="Times New Roman"/>
                <w:sz w:val="18"/>
                <w:szCs w:val="18"/>
              </w:rPr>
              <w:t>(methyl chloride)</w:t>
            </w:r>
          </w:p>
          <w:p w14:paraId="281A4984" w14:textId="42986D08" w:rsidR="00E104F1" w:rsidRDefault="00E104F1" w:rsidP="00267C10">
            <w:pPr>
              <w:rPr>
                <w:sz w:val="24"/>
                <w:szCs w:val="24"/>
              </w:rPr>
            </w:pPr>
            <w:r>
              <w:rPr>
                <w:rFonts w:eastAsia="Times New Roman"/>
                <w:sz w:val="18"/>
                <w:szCs w:val="18"/>
              </w:rPr>
              <w:t>(74873)</w:t>
            </w:r>
          </w:p>
        </w:tc>
        <w:tc>
          <w:tcPr>
            <w:tcW w:w="800" w:type="dxa"/>
            <w:vAlign w:val="center"/>
          </w:tcPr>
          <w:p w14:paraId="281A4985" w14:textId="77777777" w:rsidR="00E104F1" w:rsidRDefault="00E104F1" w:rsidP="00E104F1">
            <w:pPr>
              <w:ind w:right="290"/>
              <w:jc w:val="center"/>
              <w:rPr>
                <w:sz w:val="20"/>
                <w:szCs w:val="20"/>
              </w:rPr>
            </w:pPr>
            <w:r>
              <w:rPr>
                <w:rFonts w:eastAsia="Times New Roman"/>
                <w:sz w:val="18"/>
                <w:szCs w:val="18"/>
              </w:rPr>
              <w:t>*</w:t>
            </w:r>
          </w:p>
        </w:tc>
        <w:tc>
          <w:tcPr>
            <w:tcW w:w="1700" w:type="dxa"/>
            <w:vAlign w:val="center"/>
          </w:tcPr>
          <w:p w14:paraId="281A4986" w14:textId="77777777" w:rsidR="00E104F1" w:rsidRDefault="00E104F1" w:rsidP="00E104F1">
            <w:pPr>
              <w:ind w:right="750"/>
              <w:jc w:val="center"/>
              <w:rPr>
                <w:sz w:val="20"/>
                <w:szCs w:val="20"/>
              </w:rPr>
            </w:pPr>
            <w:r>
              <w:rPr>
                <w:rFonts w:eastAsia="Times New Roman"/>
                <w:sz w:val="18"/>
                <w:szCs w:val="18"/>
              </w:rPr>
              <w:t>-</w:t>
            </w:r>
          </w:p>
        </w:tc>
        <w:tc>
          <w:tcPr>
            <w:tcW w:w="1620" w:type="dxa"/>
            <w:vAlign w:val="center"/>
          </w:tcPr>
          <w:p w14:paraId="281A4987" w14:textId="77777777" w:rsidR="00E104F1" w:rsidRDefault="00E104F1" w:rsidP="00E104F1">
            <w:pPr>
              <w:ind w:right="710"/>
              <w:jc w:val="center"/>
              <w:rPr>
                <w:sz w:val="20"/>
                <w:szCs w:val="20"/>
              </w:rPr>
            </w:pPr>
            <w:r>
              <w:rPr>
                <w:rFonts w:eastAsia="Times New Roman"/>
                <w:sz w:val="18"/>
                <w:szCs w:val="18"/>
              </w:rPr>
              <w:t>-</w:t>
            </w:r>
          </w:p>
        </w:tc>
        <w:tc>
          <w:tcPr>
            <w:tcW w:w="2440" w:type="dxa"/>
          </w:tcPr>
          <w:p w14:paraId="281A4988" w14:textId="7EEB2ECA" w:rsidR="00E104F1" w:rsidRPr="00E104F1" w:rsidRDefault="00E104F1" w:rsidP="00E104F1">
            <w:pPr>
              <w:spacing w:line="329" w:lineRule="auto"/>
              <w:ind w:left="43"/>
              <w:rPr>
                <w:rFonts w:eastAsia="Times New Roman"/>
                <w:sz w:val="18"/>
                <w:szCs w:val="18"/>
              </w:rPr>
            </w:pPr>
            <w:r>
              <w:rPr>
                <w:rFonts w:eastAsia="Times New Roman"/>
                <w:sz w:val="18"/>
                <w:szCs w:val="18"/>
              </w:rPr>
              <w:t>Discharge from industrial uses</w:t>
            </w:r>
          </w:p>
        </w:tc>
        <w:tc>
          <w:tcPr>
            <w:tcW w:w="2320" w:type="dxa"/>
          </w:tcPr>
          <w:p w14:paraId="281A4989" w14:textId="7D62B891" w:rsidR="00E104F1" w:rsidRPr="00E104F1" w:rsidRDefault="00E104F1" w:rsidP="00E104F1">
            <w:pPr>
              <w:spacing w:line="329" w:lineRule="auto"/>
              <w:ind w:left="43"/>
              <w:rPr>
                <w:rFonts w:eastAsia="Times New Roman"/>
                <w:sz w:val="18"/>
                <w:szCs w:val="18"/>
              </w:rPr>
            </w:pPr>
            <w:r>
              <w:rPr>
                <w:rFonts w:eastAsia="Times New Roman"/>
                <w:sz w:val="18"/>
                <w:szCs w:val="18"/>
              </w:rPr>
              <w:t>Some people who drink water containing chloromethane at high concentrations for many years could experience dizziness and fatigue.</w:t>
            </w:r>
          </w:p>
        </w:tc>
      </w:tr>
    </w:tbl>
    <w:p w14:paraId="281A49F9" w14:textId="77777777" w:rsidR="004647B9" w:rsidRDefault="004647B9">
      <w:pPr>
        <w:sectPr w:rsidR="004647B9" w:rsidSect="00EF630C">
          <w:type w:val="continuous"/>
          <w:pgSz w:w="12240" w:h="20180"/>
          <w:pgMar w:top="708" w:right="480" w:bottom="455" w:left="600" w:header="0" w:footer="0" w:gutter="0"/>
          <w:cols w:space="720"/>
        </w:sectPr>
      </w:pPr>
    </w:p>
    <w:p w14:paraId="281A49FA" w14:textId="77777777" w:rsidR="004647B9" w:rsidRDefault="00E2436F">
      <w:pPr>
        <w:tabs>
          <w:tab w:val="left" w:pos="2860"/>
        </w:tabs>
        <w:ind w:left="1680"/>
        <w:rPr>
          <w:sz w:val="20"/>
          <w:szCs w:val="20"/>
        </w:rPr>
      </w:pPr>
      <w:bookmarkStart w:id="239" w:name="page242"/>
      <w:bookmarkEnd w:id="23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9FB" w14:textId="77777777" w:rsidR="004647B9" w:rsidRDefault="004647B9" w:rsidP="009118C6">
      <w:pPr>
        <w:rPr>
          <w:sz w:val="20"/>
          <w:szCs w:val="20"/>
        </w:rPr>
      </w:pPr>
    </w:p>
    <w:p w14:paraId="34C5C883" w14:textId="77777777" w:rsidR="009118C6" w:rsidRDefault="009118C6" w:rsidP="009118C6">
      <w:pPr>
        <w:rPr>
          <w:sz w:val="20"/>
          <w:szCs w:val="20"/>
        </w:rPr>
      </w:pPr>
    </w:p>
    <w:p w14:paraId="281A49FC" w14:textId="77777777" w:rsidR="004647B9" w:rsidRPr="009118C6" w:rsidRDefault="00E2436F" w:rsidP="009118C6">
      <w:pPr>
        <w:tabs>
          <w:tab w:val="left" w:pos="940"/>
        </w:tabs>
        <w:rPr>
          <w:sz w:val="24"/>
          <w:szCs w:val="24"/>
        </w:rPr>
      </w:pPr>
      <w:r w:rsidRPr="009118C6">
        <w:rPr>
          <w:rFonts w:eastAsia="Times New Roman"/>
          <w:sz w:val="24"/>
          <w:szCs w:val="24"/>
        </w:rPr>
        <w:t>22.16A:</w:t>
      </w:r>
      <w:r w:rsidRPr="009118C6">
        <w:rPr>
          <w:sz w:val="24"/>
          <w:szCs w:val="24"/>
        </w:rPr>
        <w:tab/>
      </w:r>
      <w:r w:rsidRPr="009118C6">
        <w:rPr>
          <w:rFonts w:eastAsia="Times New Roman"/>
          <w:sz w:val="24"/>
          <w:szCs w:val="24"/>
        </w:rPr>
        <w:t>continued</w:t>
      </w:r>
    </w:p>
    <w:p w14:paraId="281A49FE" w14:textId="77777777" w:rsidR="004647B9" w:rsidRDefault="004647B9" w:rsidP="009118C6">
      <w:pPr>
        <w:rPr>
          <w:sz w:val="20"/>
          <w:szCs w:val="20"/>
        </w:rPr>
      </w:pPr>
    </w:p>
    <w:tbl>
      <w:tblPr>
        <w:tblW w:w="11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894968" w14:paraId="281A4A06" w14:textId="77777777" w:rsidTr="00894968">
        <w:trPr>
          <w:trHeight w:val="775"/>
        </w:trPr>
        <w:tc>
          <w:tcPr>
            <w:tcW w:w="2280" w:type="dxa"/>
            <w:vAlign w:val="center"/>
          </w:tcPr>
          <w:p w14:paraId="7D791056" w14:textId="77777777" w:rsidR="00894968" w:rsidRDefault="00894968" w:rsidP="00894968">
            <w:pPr>
              <w:rPr>
                <w:sz w:val="20"/>
                <w:szCs w:val="20"/>
              </w:rPr>
            </w:pPr>
            <w:r>
              <w:rPr>
                <w:rFonts w:eastAsia="Times New Roman"/>
                <w:sz w:val="18"/>
                <w:szCs w:val="18"/>
              </w:rPr>
              <w:t>Chemical</w:t>
            </w:r>
          </w:p>
          <w:p w14:paraId="281A4A00" w14:textId="014F4358" w:rsidR="00894968" w:rsidRDefault="00894968" w:rsidP="00894968">
            <w:pPr>
              <w:rPr>
                <w:sz w:val="24"/>
                <w:szCs w:val="24"/>
              </w:rPr>
            </w:pPr>
            <w:r>
              <w:rPr>
                <w:rFonts w:eastAsia="Times New Roman"/>
                <w:sz w:val="18"/>
                <w:szCs w:val="18"/>
              </w:rPr>
              <w:t>(CASRN)</w:t>
            </w:r>
          </w:p>
        </w:tc>
        <w:tc>
          <w:tcPr>
            <w:tcW w:w="800" w:type="dxa"/>
            <w:vAlign w:val="center"/>
          </w:tcPr>
          <w:p w14:paraId="281A4A01" w14:textId="77777777" w:rsidR="00894968" w:rsidRDefault="00894968" w:rsidP="00894968">
            <w:pPr>
              <w:jc w:val="center"/>
              <w:rPr>
                <w:sz w:val="20"/>
                <w:szCs w:val="20"/>
              </w:rPr>
            </w:pPr>
            <w:r>
              <w:rPr>
                <w:rFonts w:eastAsia="Times New Roman"/>
                <w:sz w:val="18"/>
                <w:szCs w:val="18"/>
              </w:rPr>
              <w:t>ORSG</w:t>
            </w:r>
          </w:p>
        </w:tc>
        <w:tc>
          <w:tcPr>
            <w:tcW w:w="1700" w:type="dxa"/>
            <w:vAlign w:val="center"/>
          </w:tcPr>
          <w:p w14:paraId="281A4A02" w14:textId="3DE02887" w:rsidR="00894968" w:rsidRDefault="00894968" w:rsidP="00894968">
            <w:pPr>
              <w:jc w:val="center"/>
              <w:rPr>
                <w:sz w:val="20"/>
                <w:szCs w:val="20"/>
              </w:rPr>
            </w:pPr>
            <w:r>
              <w:rPr>
                <w:rFonts w:eastAsia="Times New Roman"/>
                <w:sz w:val="18"/>
                <w:szCs w:val="18"/>
              </w:rPr>
              <w:t>To convert for CCR, multiply by</w:t>
            </w:r>
          </w:p>
        </w:tc>
        <w:tc>
          <w:tcPr>
            <w:tcW w:w="1620" w:type="dxa"/>
            <w:vAlign w:val="center"/>
          </w:tcPr>
          <w:p w14:paraId="281A4A03" w14:textId="35C0EC1A" w:rsidR="00894968" w:rsidRDefault="00894968" w:rsidP="00894968">
            <w:pPr>
              <w:jc w:val="center"/>
              <w:rPr>
                <w:sz w:val="20"/>
                <w:szCs w:val="20"/>
              </w:rPr>
            </w:pPr>
            <w:r>
              <w:rPr>
                <w:rFonts w:eastAsia="Times New Roman"/>
                <w:sz w:val="18"/>
                <w:szCs w:val="18"/>
              </w:rPr>
              <w:t>ORSG in CCR units</w:t>
            </w:r>
          </w:p>
        </w:tc>
        <w:tc>
          <w:tcPr>
            <w:tcW w:w="2440" w:type="dxa"/>
            <w:vAlign w:val="center"/>
          </w:tcPr>
          <w:p w14:paraId="281A4A04" w14:textId="452E7763" w:rsidR="00894968" w:rsidRDefault="00894968" w:rsidP="00894968">
            <w:pPr>
              <w:jc w:val="center"/>
              <w:rPr>
                <w:sz w:val="20"/>
                <w:szCs w:val="20"/>
              </w:rPr>
            </w:pPr>
            <w:r>
              <w:rPr>
                <w:rFonts w:eastAsia="Times New Roman"/>
                <w:sz w:val="18"/>
                <w:szCs w:val="18"/>
              </w:rPr>
              <w:t>Source to Drinking Water</w:t>
            </w:r>
          </w:p>
        </w:tc>
        <w:tc>
          <w:tcPr>
            <w:tcW w:w="2320" w:type="dxa"/>
            <w:vAlign w:val="center"/>
          </w:tcPr>
          <w:p w14:paraId="281A4A05" w14:textId="77777777" w:rsidR="00894968" w:rsidRDefault="00894968" w:rsidP="00894968">
            <w:pPr>
              <w:jc w:val="center"/>
              <w:rPr>
                <w:sz w:val="20"/>
                <w:szCs w:val="20"/>
              </w:rPr>
            </w:pPr>
            <w:r>
              <w:rPr>
                <w:rFonts w:eastAsia="Times New Roman"/>
                <w:sz w:val="18"/>
                <w:szCs w:val="18"/>
              </w:rPr>
              <w:t>Health Effects</w:t>
            </w:r>
          </w:p>
        </w:tc>
      </w:tr>
      <w:tr w:rsidR="00F57A8F" w14:paraId="36F94496" w14:textId="77777777" w:rsidTr="00DF6443">
        <w:trPr>
          <w:trHeight w:val="757"/>
        </w:trPr>
        <w:tc>
          <w:tcPr>
            <w:tcW w:w="2280" w:type="dxa"/>
            <w:vAlign w:val="center"/>
          </w:tcPr>
          <w:p w14:paraId="10949D7E" w14:textId="77777777" w:rsidR="00F57A8F" w:rsidRDefault="00F57A8F" w:rsidP="00F57A8F">
            <w:pPr>
              <w:rPr>
                <w:sz w:val="20"/>
                <w:szCs w:val="20"/>
              </w:rPr>
            </w:pPr>
            <w:r>
              <w:rPr>
                <w:rFonts w:eastAsia="Times New Roman"/>
                <w:sz w:val="18"/>
                <w:szCs w:val="18"/>
              </w:rPr>
              <w:t>o-Chlorotoluene</w:t>
            </w:r>
          </w:p>
          <w:p w14:paraId="7D622055" w14:textId="306AAE96" w:rsidR="00F57A8F" w:rsidRDefault="00F57A8F" w:rsidP="00F57A8F">
            <w:pPr>
              <w:rPr>
                <w:rFonts w:eastAsia="Times New Roman"/>
                <w:sz w:val="18"/>
                <w:szCs w:val="18"/>
              </w:rPr>
            </w:pPr>
            <w:r>
              <w:rPr>
                <w:rFonts w:eastAsia="Times New Roman"/>
                <w:sz w:val="18"/>
                <w:szCs w:val="18"/>
              </w:rPr>
              <w:t>(95498)</w:t>
            </w:r>
          </w:p>
        </w:tc>
        <w:tc>
          <w:tcPr>
            <w:tcW w:w="800" w:type="dxa"/>
            <w:vAlign w:val="center"/>
          </w:tcPr>
          <w:p w14:paraId="387F4D07" w14:textId="07B872BC" w:rsidR="00F57A8F" w:rsidRDefault="00F57A8F" w:rsidP="00F57A8F">
            <w:pPr>
              <w:jc w:val="center"/>
              <w:rPr>
                <w:rFonts w:eastAsia="Times New Roman"/>
                <w:sz w:val="18"/>
                <w:szCs w:val="18"/>
              </w:rPr>
            </w:pPr>
            <w:r>
              <w:rPr>
                <w:rFonts w:eastAsia="Times New Roman"/>
                <w:sz w:val="18"/>
                <w:szCs w:val="18"/>
              </w:rPr>
              <w:t>*</w:t>
            </w:r>
          </w:p>
        </w:tc>
        <w:tc>
          <w:tcPr>
            <w:tcW w:w="1700" w:type="dxa"/>
            <w:vAlign w:val="center"/>
          </w:tcPr>
          <w:p w14:paraId="06BAE408" w14:textId="4A16394A" w:rsidR="00F57A8F" w:rsidRDefault="00F57A8F" w:rsidP="00F57A8F">
            <w:pPr>
              <w:jc w:val="center"/>
              <w:rPr>
                <w:rFonts w:eastAsia="Times New Roman"/>
                <w:w w:val="99"/>
                <w:sz w:val="18"/>
                <w:szCs w:val="18"/>
              </w:rPr>
            </w:pPr>
            <w:r>
              <w:rPr>
                <w:rFonts w:eastAsia="Times New Roman"/>
                <w:sz w:val="18"/>
                <w:szCs w:val="18"/>
              </w:rPr>
              <w:t>-</w:t>
            </w:r>
          </w:p>
        </w:tc>
        <w:tc>
          <w:tcPr>
            <w:tcW w:w="1620" w:type="dxa"/>
            <w:vAlign w:val="center"/>
          </w:tcPr>
          <w:p w14:paraId="4ACABC41" w14:textId="51A09F0D" w:rsidR="00F57A8F" w:rsidRDefault="00F57A8F" w:rsidP="00F57A8F">
            <w:pPr>
              <w:jc w:val="center"/>
              <w:rPr>
                <w:rFonts w:eastAsia="Times New Roman"/>
                <w:w w:val="99"/>
                <w:sz w:val="18"/>
                <w:szCs w:val="18"/>
              </w:rPr>
            </w:pPr>
            <w:r>
              <w:rPr>
                <w:rFonts w:eastAsia="Times New Roman"/>
                <w:sz w:val="18"/>
                <w:szCs w:val="18"/>
              </w:rPr>
              <w:t>-</w:t>
            </w:r>
          </w:p>
        </w:tc>
        <w:tc>
          <w:tcPr>
            <w:tcW w:w="2440" w:type="dxa"/>
          </w:tcPr>
          <w:p w14:paraId="5EA4F00A" w14:textId="1A02A764" w:rsidR="00F57A8F" w:rsidRDefault="00F57A8F" w:rsidP="00F57A8F">
            <w:pPr>
              <w:jc w:val="center"/>
              <w:rPr>
                <w:rFonts w:eastAsia="Times New Roman"/>
                <w:sz w:val="18"/>
                <w:szCs w:val="18"/>
              </w:rPr>
            </w:pPr>
            <w:r>
              <w:rPr>
                <w:rFonts w:eastAsia="Times New Roman"/>
                <w:sz w:val="18"/>
                <w:szCs w:val="18"/>
              </w:rPr>
              <w:t>Discharge from industrial use</w:t>
            </w:r>
          </w:p>
        </w:tc>
        <w:tc>
          <w:tcPr>
            <w:tcW w:w="2320" w:type="dxa"/>
          </w:tcPr>
          <w:p w14:paraId="78999515" w14:textId="72DC6FDB" w:rsidR="00F57A8F" w:rsidRDefault="00F57A8F" w:rsidP="00F57A8F">
            <w:pPr>
              <w:jc w:val="center"/>
              <w:rPr>
                <w:rFonts w:eastAsia="Times New Roman"/>
                <w:sz w:val="18"/>
                <w:szCs w:val="18"/>
              </w:rPr>
            </w:pPr>
            <w:r>
              <w:rPr>
                <w:rFonts w:eastAsia="Times New Roman"/>
                <w:sz w:val="18"/>
                <w:szCs w:val="18"/>
              </w:rPr>
              <w:t>Some people who drink water containing o-chlorotoluene at high concentrations for many years could experience central nervous system effects.</w:t>
            </w:r>
          </w:p>
        </w:tc>
      </w:tr>
      <w:tr w:rsidR="00894968" w14:paraId="281A4A1C" w14:textId="77777777" w:rsidTr="00894968">
        <w:trPr>
          <w:trHeight w:val="757"/>
        </w:trPr>
        <w:tc>
          <w:tcPr>
            <w:tcW w:w="2280" w:type="dxa"/>
            <w:vAlign w:val="center"/>
          </w:tcPr>
          <w:p w14:paraId="43859797" w14:textId="77777777" w:rsidR="00894968" w:rsidRDefault="00894968" w:rsidP="00894968">
            <w:pPr>
              <w:rPr>
                <w:sz w:val="20"/>
                <w:szCs w:val="20"/>
              </w:rPr>
            </w:pPr>
            <w:r>
              <w:rPr>
                <w:rFonts w:eastAsia="Times New Roman"/>
                <w:sz w:val="18"/>
                <w:szCs w:val="18"/>
              </w:rPr>
              <w:t>Chromium-6</w:t>
            </w:r>
          </w:p>
          <w:p w14:paraId="281A4A16" w14:textId="771561AE" w:rsidR="00894968" w:rsidRDefault="00894968" w:rsidP="00894968">
            <w:pPr>
              <w:rPr>
                <w:sz w:val="20"/>
                <w:szCs w:val="20"/>
              </w:rPr>
            </w:pPr>
            <w:r>
              <w:rPr>
                <w:rFonts w:eastAsia="Times New Roman"/>
                <w:sz w:val="18"/>
                <w:szCs w:val="18"/>
              </w:rPr>
              <w:t>(18540299)</w:t>
            </w:r>
          </w:p>
        </w:tc>
        <w:tc>
          <w:tcPr>
            <w:tcW w:w="800" w:type="dxa"/>
            <w:vAlign w:val="center"/>
          </w:tcPr>
          <w:p w14:paraId="281A4A17" w14:textId="77777777" w:rsidR="00894968" w:rsidRDefault="00894968" w:rsidP="00894968">
            <w:pPr>
              <w:jc w:val="center"/>
              <w:rPr>
                <w:sz w:val="20"/>
                <w:szCs w:val="20"/>
              </w:rPr>
            </w:pPr>
            <w:r>
              <w:rPr>
                <w:rFonts w:eastAsia="Times New Roman"/>
                <w:sz w:val="18"/>
                <w:szCs w:val="18"/>
              </w:rPr>
              <w:t>*</w:t>
            </w:r>
          </w:p>
        </w:tc>
        <w:tc>
          <w:tcPr>
            <w:tcW w:w="1700" w:type="dxa"/>
            <w:vAlign w:val="center"/>
          </w:tcPr>
          <w:p w14:paraId="281A4A18" w14:textId="77777777" w:rsidR="00894968" w:rsidRDefault="00894968" w:rsidP="00894968">
            <w:pPr>
              <w:jc w:val="center"/>
              <w:rPr>
                <w:sz w:val="20"/>
                <w:szCs w:val="20"/>
              </w:rPr>
            </w:pPr>
            <w:r>
              <w:rPr>
                <w:rFonts w:eastAsia="Times New Roman"/>
                <w:w w:val="99"/>
                <w:sz w:val="18"/>
                <w:szCs w:val="18"/>
              </w:rPr>
              <w:t>-</w:t>
            </w:r>
          </w:p>
        </w:tc>
        <w:tc>
          <w:tcPr>
            <w:tcW w:w="1620" w:type="dxa"/>
            <w:vAlign w:val="center"/>
          </w:tcPr>
          <w:p w14:paraId="281A4A19" w14:textId="77777777" w:rsidR="00894968" w:rsidRDefault="00894968" w:rsidP="00894968">
            <w:pPr>
              <w:jc w:val="center"/>
              <w:rPr>
                <w:sz w:val="20"/>
                <w:szCs w:val="20"/>
              </w:rPr>
            </w:pPr>
            <w:r>
              <w:rPr>
                <w:rFonts w:eastAsia="Times New Roman"/>
                <w:w w:val="99"/>
                <w:sz w:val="18"/>
                <w:szCs w:val="18"/>
              </w:rPr>
              <w:t>-</w:t>
            </w:r>
          </w:p>
        </w:tc>
        <w:tc>
          <w:tcPr>
            <w:tcW w:w="2440" w:type="dxa"/>
            <w:vAlign w:val="center"/>
          </w:tcPr>
          <w:p w14:paraId="281A4A1A" w14:textId="77777777" w:rsidR="00894968" w:rsidRDefault="00894968" w:rsidP="00894968">
            <w:pPr>
              <w:jc w:val="center"/>
              <w:rPr>
                <w:sz w:val="20"/>
                <w:szCs w:val="20"/>
              </w:rPr>
            </w:pPr>
            <w:r>
              <w:rPr>
                <w:rFonts w:eastAsia="Times New Roman"/>
                <w:sz w:val="18"/>
                <w:szCs w:val="18"/>
              </w:rPr>
              <w:t>-</w:t>
            </w:r>
          </w:p>
        </w:tc>
        <w:tc>
          <w:tcPr>
            <w:tcW w:w="2320" w:type="dxa"/>
            <w:vAlign w:val="center"/>
          </w:tcPr>
          <w:p w14:paraId="281A4A1B" w14:textId="77777777" w:rsidR="00894968" w:rsidRDefault="00894968" w:rsidP="00894968">
            <w:pPr>
              <w:jc w:val="center"/>
              <w:rPr>
                <w:sz w:val="20"/>
                <w:szCs w:val="20"/>
              </w:rPr>
            </w:pPr>
            <w:r>
              <w:rPr>
                <w:rFonts w:eastAsia="Times New Roman"/>
                <w:sz w:val="18"/>
                <w:szCs w:val="18"/>
              </w:rPr>
              <w:t>-</w:t>
            </w:r>
          </w:p>
        </w:tc>
      </w:tr>
      <w:tr w:rsidR="00894968" w14:paraId="281A4A33" w14:textId="77777777" w:rsidTr="00894968">
        <w:trPr>
          <w:trHeight w:val="757"/>
        </w:trPr>
        <w:tc>
          <w:tcPr>
            <w:tcW w:w="2280" w:type="dxa"/>
            <w:vAlign w:val="center"/>
          </w:tcPr>
          <w:p w14:paraId="7BE74E8A" w14:textId="77777777" w:rsidR="00894968" w:rsidRDefault="00894968" w:rsidP="00894968">
            <w:pPr>
              <w:rPr>
                <w:sz w:val="20"/>
                <w:szCs w:val="20"/>
              </w:rPr>
            </w:pPr>
            <w:r>
              <w:rPr>
                <w:rFonts w:eastAsia="Times New Roman"/>
                <w:sz w:val="18"/>
                <w:szCs w:val="18"/>
              </w:rPr>
              <w:t>Cobalt</w:t>
            </w:r>
          </w:p>
          <w:p w14:paraId="281A4A2D" w14:textId="73BD08AE" w:rsidR="00894968" w:rsidRDefault="00894968" w:rsidP="00894968">
            <w:pPr>
              <w:rPr>
                <w:sz w:val="20"/>
                <w:szCs w:val="20"/>
              </w:rPr>
            </w:pPr>
            <w:r>
              <w:rPr>
                <w:rFonts w:eastAsia="Times New Roman"/>
                <w:sz w:val="18"/>
                <w:szCs w:val="18"/>
              </w:rPr>
              <w:t>(7440484)</w:t>
            </w:r>
          </w:p>
        </w:tc>
        <w:tc>
          <w:tcPr>
            <w:tcW w:w="800" w:type="dxa"/>
            <w:vAlign w:val="center"/>
          </w:tcPr>
          <w:p w14:paraId="281A4A2E" w14:textId="77777777" w:rsidR="00894968" w:rsidRDefault="00894968" w:rsidP="00894968">
            <w:pPr>
              <w:jc w:val="center"/>
              <w:rPr>
                <w:sz w:val="20"/>
                <w:szCs w:val="20"/>
              </w:rPr>
            </w:pPr>
            <w:r>
              <w:rPr>
                <w:rFonts w:eastAsia="Times New Roman"/>
                <w:sz w:val="18"/>
                <w:szCs w:val="18"/>
              </w:rPr>
              <w:t>*</w:t>
            </w:r>
          </w:p>
        </w:tc>
        <w:tc>
          <w:tcPr>
            <w:tcW w:w="1700" w:type="dxa"/>
            <w:vAlign w:val="center"/>
          </w:tcPr>
          <w:p w14:paraId="281A4A2F" w14:textId="77777777" w:rsidR="00894968" w:rsidRDefault="00894968" w:rsidP="00894968">
            <w:pPr>
              <w:jc w:val="center"/>
              <w:rPr>
                <w:sz w:val="20"/>
                <w:szCs w:val="20"/>
              </w:rPr>
            </w:pPr>
            <w:r>
              <w:rPr>
                <w:rFonts w:eastAsia="Times New Roman"/>
                <w:w w:val="99"/>
                <w:sz w:val="18"/>
                <w:szCs w:val="18"/>
              </w:rPr>
              <w:t>-</w:t>
            </w:r>
          </w:p>
        </w:tc>
        <w:tc>
          <w:tcPr>
            <w:tcW w:w="1620" w:type="dxa"/>
            <w:vAlign w:val="center"/>
          </w:tcPr>
          <w:p w14:paraId="281A4A30" w14:textId="77777777" w:rsidR="00894968" w:rsidRDefault="00894968" w:rsidP="00894968">
            <w:pPr>
              <w:jc w:val="center"/>
              <w:rPr>
                <w:sz w:val="20"/>
                <w:szCs w:val="20"/>
              </w:rPr>
            </w:pPr>
            <w:r>
              <w:rPr>
                <w:rFonts w:eastAsia="Times New Roman"/>
                <w:w w:val="99"/>
                <w:sz w:val="18"/>
                <w:szCs w:val="18"/>
              </w:rPr>
              <w:t>-</w:t>
            </w:r>
          </w:p>
        </w:tc>
        <w:tc>
          <w:tcPr>
            <w:tcW w:w="2440" w:type="dxa"/>
            <w:vAlign w:val="center"/>
          </w:tcPr>
          <w:p w14:paraId="281A4A31" w14:textId="77777777" w:rsidR="00894968" w:rsidRDefault="00894968" w:rsidP="00894968">
            <w:pPr>
              <w:jc w:val="center"/>
              <w:rPr>
                <w:sz w:val="20"/>
                <w:szCs w:val="20"/>
              </w:rPr>
            </w:pPr>
            <w:r>
              <w:rPr>
                <w:rFonts w:eastAsia="Times New Roman"/>
                <w:sz w:val="18"/>
                <w:szCs w:val="18"/>
              </w:rPr>
              <w:t>-</w:t>
            </w:r>
          </w:p>
        </w:tc>
        <w:tc>
          <w:tcPr>
            <w:tcW w:w="2320" w:type="dxa"/>
            <w:vAlign w:val="center"/>
          </w:tcPr>
          <w:p w14:paraId="281A4A32" w14:textId="77777777" w:rsidR="00894968" w:rsidRDefault="00894968" w:rsidP="00894968">
            <w:pPr>
              <w:jc w:val="center"/>
              <w:rPr>
                <w:sz w:val="20"/>
                <w:szCs w:val="20"/>
              </w:rPr>
            </w:pPr>
            <w:r>
              <w:rPr>
                <w:rFonts w:eastAsia="Times New Roman"/>
                <w:sz w:val="18"/>
                <w:szCs w:val="18"/>
              </w:rPr>
              <w:t>-</w:t>
            </w:r>
          </w:p>
        </w:tc>
      </w:tr>
      <w:tr w:rsidR="00894968" w14:paraId="281A4A4A" w14:textId="77777777" w:rsidTr="00933D47">
        <w:trPr>
          <w:trHeight w:val="1918"/>
        </w:trPr>
        <w:tc>
          <w:tcPr>
            <w:tcW w:w="2280" w:type="dxa"/>
            <w:vAlign w:val="center"/>
          </w:tcPr>
          <w:p w14:paraId="3E205C9B" w14:textId="77777777" w:rsidR="00894968" w:rsidRDefault="00894968" w:rsidP="00894968">
            <w:pPr>
              <w:rPr>
                <w:sz w:val="20"/>
                <w:szCs w:val="20"/>
              </w:rPr>
            </w:pPr>
            <w:r>
              <w:rPr>
                <w:rFonts w:eastAsia="Times New Roman"/>
                <w:sz w:val="18"/>
                <w:szCs w:val="18"/>
              </w:rPr>
              <w:t>Dibromochloromethane</w:t>
            </w:r>
          </w:p>
          <w:p w14:paraId="281A4A44" w14:textId="7A8D7701" w:rsidR="00894968" w:rsidRDefault="00894968" w:rsidP="00894968">
            <w:pPr>
              <w:rPr>
                <w:sz w:val="20"/>
                <w:szCs w:val="20"/>
              </w:rPr>
            </w:pPr>
            <w:r>
              <w:rPr>
                <w:rFonts w:eastAsia="Times New Roman"/>
                <w:sz w:val="18"/>
                <w:szCs w:val="18"/>
              </w:rPr>
              <w:t>(124481)</w:t>
            </w:r>
          </w:p>
        </w:tc>
        <w:tc>
          <w:tcPr>
            <w:tcW w:w="800" w:type="dxa"/>
            <w:vAlign w:val="center"/>
          </w:tcPr>
          <w:p w14:paraId="281A4A45" w14:textId="77777777" w:rsidR="00894968" w:rsidRDefault="00894968" w:rsidP="00894968">
            <w:pPr>
              <w:jc w:val="center"/>
              <w:rPr>
                <w:sz w:val="20"/>
                <w:szCs w:val="20"/>
              </w:rPr>
            </w:pPr>
            <w:r>
              <w:rPr>
                <w:rFonts w:eastAsia="Times New Roman"/>
                <w:sz w:val="18"/>
                <w:szCs w:val="18"/>
              </w:rPr>
              <w:t>*</w:t>
            </w:r>
          </w:p>
        </w:tc>
        <w:tc>
          <w:tcPr>
            <w:tcW w:w="1700" w:type="dxa"/>
            <w:vAlign w:val="center"/>
          </w:tcPr>
          <w:p w14:paraId="281A4A46" w14:textId="77777777" w:rsidR="00894968" w:rsidRDefault="00894968" w:rsidP="00894968">
            <w:pPr>
              <w:jc w:val="center"/>
              <w:rPr>
                <w:sz w:val="20"/>
                <w:szCs w:val="20"/>
              </w:rPr>
            </w:pPr>
            <w:r>
              <w:rPr>
                <w:rFonts w:eastAsia="Times New Roman"/>
                <w:w w:val="99"/>
                <w:sz w:val="18"/>
                <w:szCs w:val="18"/>
              </w:rPr>
              <w:t>-</w:t>
            </w:r>
          </w:p>
        </w:tc>
        <w:tc>
          <w:tcPr>
            <w:tcW w:w="1620" w:type="dxa"/>
            <w:vAlign w:val="center"/>
          </w:tcPr>
          <w:p w14:paraId="281A4A47" w14:textId="77777777" w:rsidR="00894968" w:rsidRDefault="00894968" w:rsidP="00894968">
            <w:pPr>
              <w:jc w:val="center"/>
              <w:rPr>
                <w:sz w:val="20"/>
                <w:szCs w:val="20"/>
              </w:rPr>
            </w:pPr>
            <w:r>
              <w:rPr>
                <w:rFonts w:eastAsia="Times New Roman"/>
                <w:w w:val="99"/>
                <w:sz w:val="18"/>
                <w:szCs w:val="18"/>
              </w:rPr>
              <w:t>-</w:t>
            </w:r>
          </w:p>
        </w:tc>
        <w:tc>
          <w:tcPr>
            <w:tcW w:w="2440" w:type="dxa"/>
          </w:tcPr>
          <w:p w14:paraId="281A4A48" w14:textId="4E90002D" w:rsidR="00894968" w:rsidRPr="00894968" w:rsidRDefault="00894968" w:rsidP="00894968">
            <w:pPr>
              <w:spacing w:line="329" w:lineRule="auto"/>
              <w:ind w:left="43"/>
              <w:rPr>
                <w:rFonts w:eastAsia="Times New Roman"/>
                <w:sz w:val="18"/>
                <w:szCs w:val="18"/>
              </w:rPr>
            </w:pPr>
            <w:r>
              <w:rPr>
                <w:rFonts w:eastAsia="Times New Roman"/>
                <w:sz w:val="18"/>
                <w:szCs w:val="18"/>
              </w:rPr>
              <w:t>Trihalomethane; by-product of drinking water chlorination</w:t>
            </w:r>
          </w:p>
        </w:tc>
        <w:tc>
          <w:tcPr>
            <w:tcW w:w="2320" w:type="dxa"/>
          </w:tcPr>
          <w:p w14:paraId="281A4A49" w14:textId="7025D613" w:rsidR="00894968" w:rsidRPr="00894968" w:rsidRDefault="00894968" w:rsidP="00894968">
            <w:pPr>
              <w:spacing w:line="329" w:lineRule="auto"/>
              <w:ind w:left="43"/>
              <w:rPr>
                <w:rFonts w:eastAsia="Times New Roman"/>
                <w:sz w:val="18"/>
                <w:szCs w:val="18"/>
              </w:rPr>
            </w:pPr>
            <w:r>
              <w:rPr>
                <w:rFonts w:eastAsia="Times New Roman"/>
                <w:sz w:val="18"/>
                <w:szCs w:val="18"/>
              </w:rPr>
              <w:t>Some people who drink water containing dibromochloromethane at high concentrations for many years could experience liver and kidney problems.</w:t>
            </w:r>
          </w:p>
        </w:tc>
      </w:tr>
      <w:tr w:rsidR="00C77038" w14:paraId="281A4A89" w14:textId="77777777" w:rsidTr="00933D47">
        <w:trPr>
          <w:trHeight w:val="1603"/>
        </w:trPr>
        <w:tc>
          <w:tcPr>
            <w:tcW w:w="2280" w:type="dxa"/>
            <w:vAlign w:val="center"/>
          </w:tcPr>
          <w:p w14:paraId="5093A46E" w14:textId="77777777" w:rsidR="00C77038" w:rsidRDefault="00C77038" w:rsidP="00894968">
            <w:pPr>
              <w:rPr>
                <w:sz w:val="20"/>
                <w:szCs w:val="20"/>
              </w:rPr>
            </w:pPr>
            <w:r>
              <w:rPr>
                <w:rFonts w:eastAsia="Times New Roman"/>
                <w:sz w:val="18"/>
                <w:szCs w:val="18"/>
              </w:rPr>
              <w:t>Dicamba</w:t>
            </w:r>
          </w:p>
          <w:p w14:paraId="281A4A83" w14:textId="4B17ED9F" w:rsidR="00C77038" w:rsidRDefault="00C77038" w:rsidP="00894968">
            <w:pPr>
              <w:rPr>
                <w:sz w:val="20"/>
                <w:szCs w:val="20"/>
              </w:rPr>
            </w:pPr>
            <w:r>
              <w:rPr>
                <w:rFonts w:eastAsia="Times New Roman"/>
                <w:sz w:val="18"/>
                <w:szCs w:val="18"/>
              </w:rPr>
              <w:t>(1918009)</w:t>
            </w:r>
          </w:p>
        </w:tc>
        <w:tc>
          <w:tcPr>
            <w:tcW w:w="800" w:type="dxa"/>
            <w:vAlign w:val="center"/>
          </w:tcPr>
          <w:p w14:paraId="281A4A84" w14:textId="77777777" w:rsidR="00C77038" w:rsidRDefault="00C77038" w:rsidP="00C77038">
            <w:pPr>
              <w:jc w:val="center"/>
              <w:rPr>
                <w:sz w:val="20"/>
                <w:szCs w:val="20"/>
              </w:rPr>
            </w:pPr>
            <w:r>
              <w:rPr>
                <w:rFonts w:eastAsia="Times New Roman"/>
                <w:sz w:val="18"/>
                <w:szCs w:val="18"/>
              </w:rPr>
              <w:t>*</w:t>
            </w:r>
          </w:p>
        </w:tc>
        <w:tc>
          <w:tcPr>
            <w:tcW w:w="1700" w:type="dxa"/>
            <w:vAlign w:val="center"/>
          </w:tcPr>
          <w:p w14:paraId="281A4A85" w14:textId="77777777" w:rsidR="00C77038" w:rsidRDefault="00C77038" w:rsidP="00C77038">
            <w:pPr>
              <w:jc w:val="center"/>
              <w:rPr>
                <w:sz w:val="20"/>
                <w:szCs w:val="20"/>
              </w:rPr>
            </w:pPr>
            <w:r>
              <w:rPr>
                <w:rFonts w:eastAsia="Times New Roman"/>
                <w:w w:val="99"/>
                <w:sz w:val="18"/>
                <w:szCs w:val="18"/>
              </w:rPr>
              <w:t>-</w:t>
            </w:r>
          </w:p>
        </w:tc>
        <w:tc>
          <w:tcPr>
            <w:tcW w:w="1620" w:type="dxa"/>
            <w:vAlign w:val="center"/>
          </w:tcPr>
          <w:p w14:paraId="281A4A86" w14:textId="77777777" w:rsidR="00C77038" w:rsidRDefault="00C77038" w:rsidP="00C77038">
            <w:pPr>
              <w:jc w:val="center"/>
              <w:rPr>
                <w:sz w:val="20"/>
                <w:szCs w:val="20"/>
              </w:rPr>
            </w:pPr>
            <w:r>
              <w:rPr>
                <w:rFonts w:eastAsia="Times New Roman"/>
                <w:w w:val="99"/>
                <w:sz w:val="18"/>
                <w:szCs w:val="18"/>
              </w:rPr>
              <w:t>-</w:t>
            </w:r>
          </w:p>
        </w:tc>
        <w:tc>
          <w:tcPr>
            <w:tcW w:w="2440" w:type="dxa"/>
          </w:tcPr>
          <w:p w14:paraId="281A4A87" w14:textId="153224BB" w:rsidR="00C77038" w:rsidRPr="00C77038" w:rsidRDefault="00C77038" w:rsidP="00C77038">
            <w:pPr>
              <w:spacing w:line="329" w:lineRule="auto"/>
              <w:ind w:left="43"/>
              <w:rPr>
                <w:rFonts w:eastAsia="Times New Roman"/>
                <w:sz w:val="18"/>
                <w:szCs w:val="18"/>
              </w:rPr>
            </w:pPr>
            <w:r>
              <w:rPr>
                <w:rFonts w:eastAsia="Times New Roman"/>
                <w:sz w:val="18"/>
                <w:szCs w:val="18"/>
              </w:rPr>
              <w:t>Run-off from use as a herbicide</w:t>
            </w:r>
          </w:p>
        </w:tc>
        <w:tc>
          <w:tcPr>
            <w:tcW w:w="2320" w:type="dxa"/>
          </w:tcPr>
          <w:p w14:paraId="281A4A88" w14:textId="57B296AA" w:rsidR="00C77038" w:rsidRPr="00C77038" w:rsidRDefault="00C77038" w:rsidP="00C77038">
            <w:pPr>
              <w:spacing w:line="329" w:lineRule="auto"/>
              <w:ind w:left="43"/>
              <w:rPr>
                <w:rFonts w:eastAsia="Times New Roman"/>
                <w:sz w:val="18"/>
                <w:szCs w:val="18"/>
              </w:rPr>
            </w:pPr>
            <w:r>
              <w:rPr>
                <w:rFonts w:eastAsia="Times New Roman"/>
                <w:sz w:val="18"/>
                <w:szCs w:val="18"/>
              </w:rPr>
              <w:t>Some people who drink water containing dicamba at high concentrations for many years could experience central nervous system effects.</w:t>
            </w:r>
          </w:p>
        </w:tc>
      </w:tr>
      <w:tr w:rsidR="00C77038" w14:paraId="281A4AC0" w14:textId="77777777" w:rsidTr="00933D47">
        <w:trPr>
          <w:trHeight w:val="1693"/>
        </w:trPr>
        <w:tc>
          <w:tcPr>
            <w:tcW w:w="2280" w:type="dxa"/>
            <w:vAlign w:val="center"/>
          </w:tcPr>
          <w:p w14:paraId="0AE031EF" w14:textId="77777777" w:rsidR="00C77038" w:rsidRDefault="00C77038" w:rsidP="00C77038">
            <w:pPr>
              <w:rPr>
                <w:sz w:val="20"/>
                <w:szCs w:val="20"/>
              </w:rPr>
            </w:pPr>
            <w:r>
              <w:rPr>
                <w:rFonts w:eastAsia="Times New Roman"/>
                <w:sz w:val="18"/>
                <w:szCs w:val="18"/>
              </w:rPr>
              <w:t>m-Dichlorobenzene</w:t>
            </w:r>
          </w:p>
          <w:p w14:paraId="281A4ABA" w14:textId="55E8630F" w:rsidR="00C77038" w:rsidRDefault="00C77038" w:rsidP="00C77038">
            <w:pPr>
              <w:rPr>
                <w:sz w:val="20"/>
                <w:szCs w:val="20"/>
              </w:rPr>
            </w:pPr>
            <w:r>
              <w:rPr>
                <w:rFonts w:eastAsia="Times New Roman"/>
                <w:sz w:val="18"/>
                <w:szCs w:val="18"/>
              </w:rPr>
              <w:t>(541731)</w:t>
            </w:r>
          </w:p>
        </w:tc>
        <w:tc>
          <w:tcPr>
            <w:tcW w:w="800" w:type="dxa"/>
            <w:vAlign w:val="center"/>
          </w:tcPr>
          <w:p w14:paraId="281A4ABB" w14:textId="77777777" w:rsidR="00C77038" w:rsidRDefault="00C77038" w:rsidP="00C77038">
            <w:pPr>
              <w:jc w:val="center"/>
              <w:rPr>
                <w:sz w:val="20"/>
                <w:szCs w:val="20"/>
              </w:rPr>
            </w:pPr>
            <w:r>
              <w:rPr>
                <w:rFonts w:eastAsia="Times New Roman"/>
                <w:sz w:val="18"/>
                <w:szCs w:val="18"/>
              </w:rPr>
              <w:t>*</w:t>
            </w:r>
          </w:p>
        </w:tc>
        <w:tc>
          <w:tcPr>
            <w:tcW w:w="1700" w:type="dxa"/>
            <w:vAlign w:val="center"/>
          </w:tcPr>
          <w:p w14:paraId="281A4ABC" w14:textId="77777777" w:rsidR="00C77038" w:rsidRDefault="00C77038" w:rsidP="00C77038">
            <w:pPr>
              <w:jc w:val="center"/>
              <w:rPr>
                <w:sz w:val="20"/>
                <w:szCs w:val="20"/>
              </w:rPr>
            </w:pPr>
            <w:r>
              <w:rPr>
                <w:rFonts w:eastAsia="Times New Roman"/>
                <w:w w:val="99"/>
                <w:sz w:val="18"/>
                <w:szCs w:val="18"/>
              </w:rPr>
              <w:t>-</w:t>
            </w:r>
          </w:p>
        </w:tc>
        <w:tc>
          <w:tcPr>
            <w:tcW w:w="1620" w:type="dxa"/>
            <w:vAlign w:val="center"/>
          </w:tcPr>
          <w:p w14:paraId="281A4ABD" w14:textId="77777777" w:rsidR="00C77038" w:rsidRDefault="00C77038" w:rsidP="00C77038">
            <w:pPr>
              <w:jc w:val="center"/>
              <w:rPr>
                <w:sz w:val="20"/>
                <w:szCs w:val="20"/>
              </w:rPr>
            </w:pPr>
            <w:r>
              <w:rPr>
                <w:rFonts w:eastAsia="Times New Roman"/>
                <w:w w:val="99"/>
                <w:sz w:val="18"/>
                <w:szCs w:val="18"/>
              </w:rPr>
              <w:t>-</w:t>
            </w:r>
          </w:p>
        </w:tc>
        <w:tc>
          <w:tcPr>
            <w:tcW w:w="2440" w:type="dxa"/>
          </w:tcPr>
          <w:p w14:paraId="281A4ABE" w14:textId="522495E0" w:rsidR="00C77038" w:rsidRPr="00C77038" w:rsidRDefault="00C77038" w:rsidP="00C77038">
            <w:pPr>
              <w:spacing w:line="329" w:lineRule="auto"/>
              <w:ind w:left="43"/>
              <w:rPr>
                <w:rFonts w:eastAsia="Times New Roman"/>
                <w:sz w:val="18"/>
                <w:szCs w:val="18"/>
              </w:rPr>
            </w:pPr>
            <w:r>
              <w:rPr>
                <w:rFonts w:eastAsia="Times New Roman"/>
                <w:sz w:val="18"/>
                <w:szCs w:val="18"/>
              </w:rPr>
              <w:t>Discharge from use in chemical manufacturing</w:t>
            </w:r>
          </w:p>
        </w:tc>
        <w:tc>
          <w:tcPr>
            <w:tcW w:w="2320" w:type="dxa"/>
          </w:tcPr>
          <w:p w14:paraId="281A4ABF" w14:textId="21108319" w:rsidR="00C77038" w:rsidRPr="00C77038" w:rsidRDefault="00C77038" w:rsidP="00C77038">
            <w:pPr>
              <w:spacing w:line="329" w:lineRule="auto"/>
              <w:ind w:left="43"/>
              <w:rPr>
                <w:rFonts w:eastAsia="Times New Roman"/>
                <w:sz w:val="18"/>
                <w:szCs w:val="18"/>
              </w:rPr>
            </w:pPr>
            <w:r>
              <w:rPr>
                <w:rFonts w:eastAsia="Times New Roman"/>
                <w:sz w:val="18"/>
                <w:szCs w:val="18"/>
              </w:rPr>
              <w:t>Some people who drink water containing m-dichlorobenzene at high concentrations for many years could experience damage to red blood cells.</w:t>
            </w:r>
          </w:p>
        </w:tc>
      </w:tr>
      <w:tr w:rsidR="00C77038" w14:paraId="281A4AF7" w14:textId="77777777" w:rsidTr="00C77038">
        <w:trPr>
          <w:trHeight w:val="2255"/>
        </w:trPr>
        <w:tc>
          <w:tcPr>
            <w:tcW w:w="2280" w:type="dxa"/>
            <w:vAlign w:val="center"/>
          </w:tcPr>
          <w:p w14:paraId="48E9EDBA" w14:textId="77777777" w:rsidR="00C77038" w:rsidRDefault="00C77038" w:rsidP="00C77038">
            <w:pPr>
              <w:rPr>
                <w:sz w:val="20"/>
                <w:szCs w:val="20"/>
              </w:rPr>
            </w:pPr>
            <w:r>
              <w:rPr>
                <w:rFonts w:eastAsia="Times New Roman"/>
                <w:sz w:val="18"/>
                <w:szCs w:val="18"/>
              </w:rPr>
              <w:t>Dichlorodifluoromethane</w:t>
            </w:r>
          </w:p>
          <w:p w14:paraId="281A4AF1" w14:textId="5151C55F" w:rsidR="00C77038" w:rsidRDefault="00C77038" w:rsidP="00C77038">
            <w:pPr>
              <w:rPr>
                <w:sz w:val="20"/>
                <w:szCs w:val="20"/>
              </w:rPr>
            </w:pPr>
            <w:r>
              <w:rPr>
                <w:rFonts w:eastAsia="Times New Roman"/>
                <w:sz w:val="18"/>
                <w:szCs w:val="18"/>
              </w:rPr>
              <w:t>(Freon 12) (75718)</w:t>
            </w:r>
          </w:p>
        </w:tc>
        <w:tc>
          <w:tcPr>
            <w:tcW w:w="800" w:type="dxa"/>
            <w:vAlign w:val="center"/>
          </w:tcPr>
          <w:p w14:paraId="281A4AF2" w14:textId="603C78E6" w:rsidR="00C77038" w:rsidRDefault="00C77038" w:rsidP="00C77038">
            <w:pPr>
              <w:jc w:val="center"/>
              <w:rPr>
                <w:sz w:val="20"/>
                <w:szCs w:val="20"/>
              </w:rPr>
            </w:pPr>
            <w:r>
              <w:rPr>
                <w:rFonts w:eastAsia="Times New Roman"/>
                <w:sz w:val="18"/>
                <w:szCs w:val="18"/>
              </w:rPr>
              <w:t>1.4 mg/L</w:t>
            </w:r>
          </w:p>
        </w:tc>
        <w:tc>
          <w:tcPr>
            <w:tcW w:w="1700" w:type="dxa"/>
            <w:vAlign w:val="center"/>
          </w:tcPr>
          <w:p w14:paraId="281A4AF3" w14:textId="77777777" w:rsidR="00C77038" w:rsidRDefault="00C77038" w:rsidP="00C77038">
            <w:pPr>
              <w:jc w:val="center"/>
              <w:rPr>
                <w:sz w:val="20"/>
                <w:szCs w:val="20"/>
              </w:rPr>
            </w:pPr>
            <w:r>
              <w:rPr>
                <w:rFonts w:eastAsia="Times New Roman"/>
                <w:w w:val="99"/>
                <w:sz w:val="18"/>
                <w:szCs w:val="18"/>
              </w:rPr>
              <w:t>-</w:t>
            </w:r>
          </w:p>
        </w:tc>
        <w:tc>
          <w:tcPr>
            <w:tcW w:w="1620" w:type="dxa"/>
            <w:vAlign w:val="center"/>
          </w:tcPr>
          <w:p w14:paraId="281A4AF4" w14:textId="77777777" w:rsidR="00C77038" w:rsidRDefault="00C77038" w:rsidP="00C77038">
            <w:pPr>
              <w:jc w:val="center"/>
              <w:rPr>
                <w:sz w:val="20"/>
                <w:szCs w:val="20"/>
              </w:rPr>
            </w:pPr>
            <w:r>
              <w:rPr>
                <w:rFonts w:eastAsia="Times New Roman"/>
                <w:sz w:val="18"/>
                <w:szCs w:val="18"/>
              </w:rPr>
              <w:t>1.4 ppm</w:t>
            </w:r>
          </w:p>
        </w:tc>
        <w:tc>
          <w:tcPr>
            <w:tcW w:w="2440" w:type="dxa"/>
          </w:tcPr>
          <w:p w14:paraId="281A4AF5" w14:textId="35A7263E" w:rsidR="00C77038" w:rsidRPr="00C77038" w:rsidRDefault="00C77038" w:rsidP="00C77038">
            <w:pPr>
              <w:spacing w:line="329" w:lineRule="auto"/>
              <w:ind w:left="43"/>
              <w:rPr>
                <w:rFonts w:eastAsia="Times New Roman"/>
                <w:sz w:val="18"/>
                <w:szCs w:val="18"/>
              </w:rPr>
            </w:pPr>
            <w:r>
              <w:rPr>
                <w:rFonts w:eastAsia="Times New Roman"/>
                <w:sz w:val="18"/>
                <w:szCs w:val="18"/>
              </w:rPr>
              <w:t>Discharge from use as a refrigerant</w:t>
            </w:r>
          </w:p>
        </w:tc>
        <w:tc>
          <w:tcPr>
            <w:tcW w:w="2320" w:type="dxa"/>
          </w:tcPr>
          <w:p w14:paraId="281A4AF6" w14:textId="2826C692" w:rsidR="00C77038" w:rsidRPr="00C77038" w:rsidRDefault="00C77038" w:rsidP="00C77038">
            <w:pPr>
              <w:spacing w:line="329" w:lineRule="auto"/>
              <w:ind w:left="43"/>
              <w:rPr>
                <w:rFonts w:eastAsia="Times New Roman"/>
                <w:sz w:val="18"/>
                <w:szCs w:val="18"/>
              </w:rPr>
            </w:pPr>
            <w:r>
              <w:rPr>
                <w:rFonts w:eastAsia="Times New Roman"/>
                <w:sz w:val="18"/>
                <w:szCs w:val="18"/>
              </w:rPr>
              <w:t>Some people who drink water containing dichlorodifluoromethane at high concentrations for many years could experience dizziness and headaches.</w:t>
            </w:r>
          </w:p>
        </w:tc>
      </w:tr>
      <w:tr w:rsidR="00C77038" w14:paraId="281A4B35" w14:textId="77777777" w:rsidTr="00C77038">
        <w:trPr>
          <w:trHeight w:val="1955"/>
        </w:trPr>
        <w:tc>
          <w:tcPr>
            <w:tcW w:w="2280" w:type="dxa"/>
            <w:vAlign w:val="center"/>
          </w:tcPr>
          <w:p w14:paraId="534B489E" w14:textId="77777777" w:rsidR="00C77038" w:rsidRDefault="00C77038" w:rsidP="00C77038">
            <w:pPr>
              <w:rPr>
                <w:sz w:val="20"/>
                <w:szCs w:val="20"/>
              </w:rPr>
            </w:pPr>
            <w:r>
              <w:rPr>
                <w:rFonts w:eastAsia="Times New Roman"/>
                <w:sz w:val="18"/>
                <w:szCs w:val="18"/>
              </w:rPr>
              <w:t>1,1-Dichloroethane</w:t>
            </w:r>
          </w:p>
          <w:p w14:paraId="281A4B2F" w14:textId="0A2DA8A6" w:rsidR="00C77038" w:rsidRDefault="00C77038" w:rsidP="00C77038">
            <w:pPr>
              <w:rPr>
                <w:sz w:val="20"/>
                <w:szCs w:val="20"/>
              </w:rPr>
            </w:pPr>
            <w:r>
              <w:rPr>
                <w:rFonts w:eastAsia="Times New Roman"/>
                <w:sz w:val="18"/>
                <w:szCs w:val="18"/>
              </w:rPr>
              <w:t>(75343)</w:t>
            </w:r>
          </w:p>
        </w:tc>
        <w:tc>
          <w:tcPr>
            <w:tcW w:w="800" w:type="dxa"/>
            <w:vAlign w:val="center"/>
          </w:tcPr>
          <w:p w14:paraId="281A4B30" w14:textId="1A849B66" w:rsidR="00C77038" w:rsidRDefault="00C77038" w:rsidP="00C77038">
            <w:pPr>
              <w:jc w:val="center"/>
              <w:rPr>
                <w:sz w:val="20"/>
                <w:szCs w:val="20"/>
              </w:rPr>
            </w:pPr>
            <w:r>
              <w:rPr>
                <w:rFonts w:eastAsia="Times New Roman"/>
                <w:sz w:val="18"/>
                <w:szCs w:val="18"/>
              </w:rPr>
              <w:t>0.07 mg/L</w:t>
            </w:r>
          </w:p>
        </w:tc>
        <w:tc>
          <w:tcPr>
            <w:tcW w:w="1700" w:type="dxa"/>
            <w:vAlign w:val="center"/>
          </w:tcPr>
          <w:p w14:paraId="281A4B31" w14:textId="77777777" w:rsidR="00C77038" w:rsidRDefault="00C77038" w:rsidP="00C77038">
            <w:pPr>
              <w:jc w:val="center"/>
              <w:rPr>
                <w:sz w:val="20"/>
                <w:szCs w:val="20"/>
              </w:rPr>
            </w:pPr>
            <w:r>
              <w:rPr>
                <w:rFonts w:eastAsia="Times New Roman"/>
                <w:sz w:val="18"/>
                <w:szCs w:val="18"/>
              </w:rPr>
              <w:t>1000</w:t>
            </w:r>
          </w:p>
        </w:tc>
        <w:tc>
          <w:tcPr>
            <w:tcW w:w="1620" w:type="dxa"/>
            <w:vAlign w:val="center"/>
          </w:tcPr>
          <w:p w14:paraId="281A4B32" w14:textId="77777777" w:rsidR="00C77038" w:rsidRDefault="00C77038" w:rsidP="00C77038">
            <w:pPr>
              <w:jc w:val="center"/>
              <w:rPr>
                <w:sz w:val="20"/>
                <w:szCs w:val="20"/>
              </w:rPr>
            </w:pPr>
            <w:r>
              <w:rPr>
                <w:rFonts w:eastAsia="Times New Roman"/>
                <w:sz w:val="18"/>
                <w:szCs w:val="18"/>
              </w:rPr>
              <w:t>70 ppb</w:t>
            </w:r>
          </w:p>
        </w:tc>
        <w:tc>
          <w:tcPr>
            <w:tcW w:w="2440" w:type="dxa"/>
          </w:tcPr>
          <w:p w14:paraId="281A4B33" w14:textId="6FF91214" w:rsidR="00C77038" w:rsidRPr="00C77038" w:rsidRDefault="00C77038" w:rsidP="00C77038">
            <w:pPr>
              <w:spacing w:line="329" w:lineRule="auto"/>
              <w:ind w:left="43"/>
              <w:rPr>
                <w:rFonts w:eastAsia="Times New Roman"/>
                <w:sz w:val="18"/>
                <w:szCs w:val="18"/>
              </w:rPr>
            </w:pPr>
            <w:r>
              <w:rPr>
                <w:rFonts w:eastAsia="Times New Roman"/>
                <w:sz w:val="18"/>
                <w:szCs w:val="18"/>
              </w:rPr>
              <w:t>Discharge from use as a degreasing agent</w:t>
            </w:r>
          </w:p>
        </w:tc>
        <w:tc>
          <w:tcPr>
            <w:tcW w:w="2320" w:type="dxa"/>
          </w:tcPr>
          <w:p w14:paraId="281A4B34" w14:textId="1EC88AB6" w:rsidR="00C77038" w:rsidRPr="00C77038" w:rsidRDefault="00C77038" w:rsidP="00C77038">
            <w:pPr>
              <w:spacing w:line="329" w:lineRule="auto"/>
              <w:ind w:left="43"/>
              <w:rPr>
                <w:rFonts w:eastAsia="Times New Roman"/>
                <w:sz w:val="18"/>
                <w:szCs w:val="18"/>
              </w:rPr>
            </w:pPr>
            <w:r>
              <w:rPr>
                <w:rFonts w:eastAsia="Times New Roman"/>
                <w:sz w:val="18"/>
                <w:szCs w:val="18"/>
              </w:rPr>
              <w:t>Some people who drink water containing 1,1-dichloroethane at high concentrations for many years could experience liver and kidney effects.</w:t>
            </w:r>
          </w:p>
        </w:tc>
      </w:tr>
      <w:tr w:rsidR="00127BE0" w14:paraId="281A4B6C" w14:textId="77777777" w:rsidTr="00127BE0">
        <w:trPr>
          <w:trHeight w:val="2253"/>
        </w:trPr>
        <w:tc>
          <w:tcPr>
            <w:tcW w:w="2280" w:type="dxa"/>
            <w:vAlign w:val="center"/>
          </w:tcPr>
          <w:p w14:paraId="281A4B66" w14:textId="77777777" w:rsidR="00127BE0" w:rsidRDefault="00127BE0" w:rsidP="00127BE0">
            <w:pPr>
              <w:rPr>
                <w:sz w:val="20"/>
                <w:szCs w:val="20"/>
              </w:rPr>
            </w:pPr>
            <w:r>
              <w:rPr>
                <w:rFonts w:eastAsia="Times New Roman"/>
                <w:sz w:val="18"/>
                <w:szCs w:val="18"/>
              </w:rPr>
              <w:t>2,2-Dichloropropane</w:t>
            </w:r>
          </w:p>
        </w:tc>
        <w:tc>
          <w:tcPr>
            <w:tcW w:w="800" w:type="dxa"/>
            <w:vAlign w:val="center"/>
          </w:tcPr>
          <w:p w14:paraId="281A4B67" w14:textId="77777777" w:rsidR="00127BE0" w:rsidRDefault="00127BE0" w:rsidP="00127BE0">
            <w:pPr>
              <w:jc w:val="center"/>
              <w:rPr>
                <w:sz w:val="20"/>
                <w:szCs w:val="20"/>
              </w:rPr>
            </w:pPr>
            <w:r>
              <w:rPr>
                <w:rFonts w:eastAsia="Times New Roman"/>
                <w:sz w:val="18"/>
                <w:szCs w:val="18"/>
              </w:rPr>
              <w:t>*</w:t>
            </w:r>
          </w:p>
        </w:tc>
        <w:tc>
          <w:tcPr>
            <w:tcW w:w="1700" w:type="dxa"/>
            <w:vAlign w:val="center"/>
          </w:tcPr>
          <w:p w14:paraId="281A4B68" w14:textId="77777777" w:rsidR="00127BE0" w:rsidRDefault="00127BE0" w:rsidP="00127BE0">
            <w:pPr>
              <w:jc w:val="center"/>
              <w:rPr>
                <w:sz w:val="20"/>
                <w:szCs w:val="20"/>
              </w:rPr>
            </w:pPr>
            <w:r>
              <w:rPr>
                <w:rFonts w:eastAsia="Times New Roman"/>
                <w:w w:val="99"/>
                <w:sz w:val="18"/>
                <w:szCs w:val="18"/>
              </w:rPr>
              <w:t>-</w:t>
            </w:r>
          </w:p>
        </w:tc>
        <w:tc>
          <w:tcPr>
            <w:tcW w:w="1620" w:type="dxa"/>
            <w:vAlign w:val="center"/>
          </w:tcPr>
          <w:p w14:paraId="281A4B69" w14:textId="77777777" w:rsidR="00127BE0" w:rsidRDefault="00127BE0" w:rsidP="00127BE0">
            <w:pPr>
              <w:jc w:val="center"/>
              <w:rPr>
                <w:sz w:val="20"/>
                <w:szCs w:val="20"/>
              </w:rPr>
            </w:pPr>
            <w:r>
              <w:rPr>
                <w:rFonts w:eastAsia="Times New Roman"/>
                <w:w w:val="99"/>
                <w:sz w:val="18"/>
                <w:szCs w:val="18"/>
              </w:rPr>
              <w:t>-</w:t>
            </w:r>
          </w:p>
        </w:tc>
        <w:tc>
          <w:tcPr>
            <w:tcW w:w="2440" w:type="dxa"/>
          </w:tcPr>
          <w:p w14:paraId="281A4B6A" w14:textId="4068E93B" w:rsidR="00127BE0" w:rsidRPr="00127BE0" w:rsidRDefault="00127BE0" w:rsidP="00127BE0">
            <w:pPr>
              <w:spacing w:line="329" w:lineRule="auto"/>
              <w:ind w:left="43"/>
              <w:rPr>
                <w:rFonts w:eastAsia="Times New Roman"/>
                <w:sz w:val="18"/>
                <w:szCs w:val="18"/>
              </w:rPr>
            </w:pPr>
            <w:r>
              <w:rPr>
                <w:rFonts w:eastAsia="Times New Roman"/>
                <w:sz w:val="18"/>
                <w:szCs w:val="18"/>
              </w:rPr>
              <w:t>Discharge from use in chemical manufacturing</w:t>
            </w:r>
          </w:p>
        </w:tc>
        <w:tc>
          <w:tcPr>
            <w:tcW w:w="2320" w:type="dxa"/>
          </w:tcPr>
          <w:p w14:paraId="281A4B6B" w14:textId="753BA61D" w:rsidR="00127BE0" w:rsidRPr="00127BE0" w:rsidRDefault="00127BE0" w:rsidP="00127BE0">
            <w:pPr>
              <w:spacing w:line="329" w:lineRule="auto"/>
              <w:ind w:left="43"/>
              <w:rPr>
                <w:rFonts w:eastAsia="Times New Roman"/>
                <w:sz w:val="18"/>
                <w:szCs w:val="18"/>
              </w:rPr>
            </w:pPr>
            <w:r>
              <w:rPr>
                <w:rFonts w:eastAsia="Times New Roman"/>
                <w:sz w:val="18"/>
                <w:szCs w:val="18"/>
              </w:rPr>
              <w:t>Some people who drink water containing 2,2-dichloropropane at high concentrations for many years could experience central nervous system effects.</w:t>
            </w:r>
          </w:p>
        </w:tc>
      </w:tr>
    </w:tbl>
    <w:p w14:paraId="281A4BE4" w14:textId="73253ED1" w:rsidR="00F57A8F" w:rsidRDefault="00F57A8F"/>
    <w:p w14:paraId="76E7D368" w14:textId="77777777" w:rsidR="00F57A8F" w:rsidRDefault="00F57A8F">
      <w:r>
        <w:br w:type="page"/>
      </w:r>
    </w:p>
    <w:p w14:paraId="51A99E28" w14:textId="77777777" w:rsidR="004647B9" w:rsidRDefault="004647B9">
      <w:pPr>
        <w:sectPr w:rsidR="004647B9" w:rsidSect="00EF630C">
          <w:pgSz w:w="12240" w:h="20180"/>
          <w:pgMar w:top="708" w:right="480" w:bottom="1440" w:left="600" w:header="0" w:footer="0" w:gutter="0"/>
          <w:cols w:space="720"/>
        </w:sectPr>
      </w:pPr>
      <w:bookmarkStart w:id="240" w:name="page243"/>
      <w:bookmarkEnd w:id="240"/>
    </w:p>
    <w:p w14:paraId="281A4BE5" w14:textId="77777777" w:rsidR="004647B9" w:rsidRDefault="00E2436F">
      <w:pPr>
        <w:tabs>
          <w:tab w:val="left" w:pos="2860"/>
        </w:tabs>
        <w:ind w:left="1680"/>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BE6" w14:textId="77777777" w:rsidR="004647B9" w:rsidRDefault="004647B9" w:rsidP="009118C6">
      <w:pPr>
        <w:rPr>
          <w:sz w:val="20"/>
          <w:szCs w:val="20"/>
        </w:rPr>
      </w:pPr>
    </w:p>
    <w:p w14:paraId="74111B41" w14:textId="77777777" w:rsidR="009118C6" w:rsidRDefault="009118C6" w:rsidP="009118C6">
      <w:pPr>
        <w:rPr>
          <w:sz w:val="20"/>
          <w:szCs w:val="20"/>
        </w:rPr>
      </w:pPr>
    </w:p>
    <w:p w14:paraId="281A4BE7" w14:textId="77777777" w:rsidR="004647B9" w:rsidRPr="009118C6" w:rsidRDefault="00E2436F" w:rsidP="009118C6">
      <w:pPr>
        <w:tabs>
          <w:tab w:val="left" w:pos="940"/>
        </w:tabs>
        <w:rPr>
          <w:sz w:val="24"/>
          <w:szCs w:val="24"/>
        </w:rPr>
      </w:pPr>
      <w:r w:rsidRPr="009118C6">
        <w:rPr>
          <w:rFonts w:eastAsia="Times New Roman"/>
          <w:sz w:val="24"/>
          <w:szCs w:val="24"/>
        </w:rPr>
        <w:t>22.16A:</w:t>
      </w:r>
      <w:r w:rsidRPr="009118C6">
        <w:rPr>
          <w:sz w:val="24"/>
          <w:szCs w:val="24"/>
        </w:rPr>
        <w:tab/>
      </w:r>
      <w:r w:rsidRPr="009118C6">
        <w:rPr>
          <w:rFonts w:eastAsia="Times New Roman"/>
          <w:sz w:val="24"/>
          <w:szCs w:val="24"/>
        </w:rPr>
        <w:t>continued</w:t>
      </w:r>
    </w:p>
    <w:p w14:paraId="281A4BE9" w14:textId="77777777" w:rsidR="004647B9" w:rsidRDefault="004647B9" w:rsidP="009118C6">
      <w:pPr>
        <w:rPr>
          <w:sz w:val="20"/>
          <w:szCs w:val="20"/>
        </w:rPr>
      </w:pPr>
    </w:p>
    <w:tbl>
      <w:tblPr>
        <w:tblW w:w="1115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79"/>
        <w:gridCol w:w="800"/>
        <w:gridCol w:w="1592"/>
        <w:gridCol w:w="1710"/>
        <w:gridCol w:w="2455"/>
        <w:gridCol w:w="2319"/>
      </w:tblGrid>
      <w:tr w:rsidR="00A4205D" w14:paraId="281A4BF1" w14:textId="77777777" w:rsidTr="00A4205D">
        <w:trPr>
          <w:trHeight w:val="755"/>
        </w:trPr>
        <w:tc>
          <w:tcPr>
            <w:tcW w:w="2279" w:type="dxa"/>
            <w:vAlign w:val="center"/>
          </w:tcPr>
          <w:p w14:paraId="481FE8B2" w14:textId="77777777" w:rsidR="00A4205D" w:rsidRDefault="00A4205D" w:rsidP="00933D47">
            <w:pPr>
              <w:rPr>
                <w:sz w:val="20"/>
                <w:szCs w:val="20"/>
              </w:rPr>
            </w:pPr>
            <w:r>
              <w:rPr>
                <w:rFonts w:eastAsia="Times New Roman"/>
                <w:sz w:val="18"/>
                <w:szCs w:val="18"/>
              </w:rPr>
              <w:t>Chemical</w:t>
            </w:r>
          </w:p>
          <w:p w14:paraId="281A4BEB" w14:textId="7CC3DF02" w:rsidR="00A4205D" w:rsidRDefault="00A4205D" w:rsidP="00933D47">
            <w:pPr>
              <w:rPr>
                <w:sz w:val="24"/>
                <w:szCs w:val="24"/>
              </w:rPr>
            </w:pPr>
            <w:r>
              <w:rPr>
                <w:rFonts w:eastAsia="Times New Roman"/>
                <w:sz w:val="18"/>
                <w:szCs w:val="18"/>
              </w:rPr>
              <w:t>(CASRN)</w:t>
            </w:r>
          </w:p>
        </w:tc>
        <w:tc>
          <w:tcPr>
            <w:tcW w:w="800" w:type="dxa"/>
            <w:vAlign w:val="center"/>
          </w:tcPr>
          <w:p w14:paraId="281A4BEC" w14:textId="77777777" w:rsidR="00A4205D" w:rsidRDefault="00A4205D" w:rsidP="00933D47">
            <w:pPr>
              <w:jc w:val="center"/>
              <w:rPr>
                <w:sz w:val="20"/>
                <w:szCs w:val="20"/>
              </w:rPr>
            </w:pPr>
            <w:r>
              <w:rPr>
                <w:rFonts w:eastAsia="Times New Roman"/>
                <w:sz w:val="18"/>
                <w:szCs w:val="18"/>
              </w:rPr>
              <w:t>ORSG</w:t>
            </w:r>
          </w:p>
        </w:tc>
        <w:tc>
          <w:tcPr>
            <w:tcW w:w="1592" w:type="dxa"/>
            <w:vAlign w:val="center"/>
          </w:tcPr>
          <w:p w14:paraId="281A4BED" w14:textId="07BC8632" w:rsidR="00A4205D" w:rsidRDefault="00A4205D" w:rsidP="00933D47">
            <w:pPr>
              <w:jc w:val="center"/>
              <w:rPr>
                <w:sz w:val="20"/>
                <w:szCs w:val="20"/>
              </w:rPr>
            </w:pPr>
            <w:r>
              <w:rPr>
                <w:rFonts w:eastAsia="Times New Roman"/>
                <w:sz w:val="18"/>
                <w:szCs w:val="18"/>
              </w:rPr>
              <w:t>To convert for CCR, multiply by</w:t>
            </w:r>
          </w:p>
        </w:tc>
        <w:tc>
          <w:tcPr>
            <w:tcW w:w="1710" w:type="dxa"/>
            <w:vAlign w:val="center"/>
          </w:tcPr>
          <w:p w14:paraId="281A4BEE" w14:textId="602BB59D" w:rsidR="00A4205D" w:rsidRDefault="00A4205D" w:rsidP="00933D47">
            <w:pPr>
              <w:jc w:val="center"/>
              <w:rPr>
                <w:sz w:val="20"/>
                <w:szCs w:val="20"/>
              </w:rPr>
            </w:pPr>
            <w:r>
              <w:rPr>
                <w:rFonts w:eastAsia="Times New Roman"/>
                <w:sz w:val="18"/>
                <w:szCs w:val="18"/>
              </w:rPr>
              <w:t>ORSG in CCR units</w:t>
            </w:r>
          </w:p>
        </w:tc>
        <w:tc>
          <w:tcPr>
            <w:tcW w:w="2455" w:type="dxa"/>
            <w:vAlign w:val="center"/>
          </w:tcPr>
          <w:p w14:paraId="281A4BEF" w14:textId="237010D9" w:rsidR="00A4205D" w:rsidRDefault="00A4205D" w:rsidP="00933D47">
            <w:pPr>
              <w:jc w:val="center"/>
              <w:rPr>
                <w:sz w:val="20"/>
                <w:szCs w:val="20"/>
              </w:rPr>
            </w:pPr>
            <w:r>
              <w:rPr>
                <w:rFonts w:eastAsia="Times New Roman"/>
                <w:sz w:val="18"/>
                <w:szCs w:val="18"/>
              </w:rPr>
              <w:t>Source to Drinking Water</w:t>
            </w:r>
          </w:p>
        </w:tc>
        <w:tc>
          <w:tcPr>
            <w:tcW w:w="2319" w:type="dxa"/>
            <w:vAlign w:val="center"/>
          </w:tcPr>
          <w:p w14:paraId="281A4BF0" w14:textId="77777777" w:rsidR="00A4205D" w:rsidRDefault="00A4205D" w:rsidP="00933D47">
            <w:pPr>
              <w:jc w:val="center"/>
              <w:rPr>
                <w:sz w:val="20"/>
                <w:szCs w:val="20"/>
              </w:rPr>
            </w:pPr>
            <w:r>
              <w:rPr>
                <w:rFonts w:eastAsia="Times New Roman"/>
                <w:sz w:val="18"/>
                <w:szCs w:val="18"/>
              </w:rPr>
              <w:t>Health Effects</w:t>
            </w:r>
          </w:p>
        </w:tc>
      </w:tr>
      <w:tr w:rsidR="00A4205D" w14:paraId="3D252670" w14:textId="77777777" w:rsidTr="00A4205D">
        <w:trPr>
          <w:trHeight w:val="1873"/>
        </w:trPr>
        <w:tc>
          <w:tcPr>
            <w:tcW w:w="2279" w:type="dxa"/>
            <w:vAlign w:val="center"/>
          </w:tcPr>
          <w:p w14:paraId="0CC386C3" w14:textId="77777777" w:rsidR="00A4205D" w:rsidRDefault="00A4205D" w:rsidP="00F57A8F">
            <w:pPr>
              <w:rPr>
                <w:sz w:val="20"/>
                <w:szCs w:val="20"/>
              </w:rPr>
            </w:pPr>
            <w:r>
              <w:rPr>
                <w:rFonts w:eastAsia="Times New Roman"/>
                <w:sz w:val="18"/>
                <w:szCs w:val="18"/>
              </w:rPr>
              <w:t>1,3-Dichloropropane</w:t>
            </w:r>
          </w:p>
          <w:p w14:paraId="6A680571" w14:textId="4415A7CE" w:rsidR="00A4205D" w:rsidRDefault="00A4205D" w:rsidP="00F57A8F">
            <w:pPr>
              <w:rPr>
                <w:rFonts w:eastAsia="Times New Roman"/>
                <w:sz w:val="18"/>
                <w:szCs w:val="18"/>
              </w:rPr>
            </w:pPr>
            <w:r>
              <w:rPr>
                <w:rFonts w:eastAsia="Times New Roman"/>
                <w:sz w:val="18"/>
                <w:szCs w:val="18"/>
              </w:rPr>
              <w:t>(142289)</w:t>
            </w:r>
          </w:p>
        </w:tc>
        <w:tc>
          <w:tcPr>
            <w:tcW w:w="800" w:type="dxa"/>
            <w:vAlign w:val="center"/>
          </w:tcPr>
          <w:p w14:paraId="33A5AA9A" w14:textId="0DD34FD3" w:rsidR="00A4205D" w:rsidRDefault="00A4205D" w:rsidP="00F57A8F">
            <w:pPr>
              <w:ind w:right="290"/>
              <w:jc w:val="center"/>
              <w:rPr>
                <w:rFonts w:eastAsia="Times New Roman"/>
                <w:sz w:val="18"/>
                <w:szCs w:val="18"/>
              </w:rPr>
            </w:pPr>
            <w:r>
              <w:rPr>
                <w:rFonts w:eastAsia="Times New Roman"/>
                <w:sz w:val="18"/>
                <w:szCs w:val="18"/>
              </w:rPr>
              <w:t>*</w:t>
            </w:r>
          </w:p>
        </w:tc>
        <w:tc>
          <w:tcPr>
            <w:tcW w:w="1592" w:type="dxa"/>
            <w:vAlign w:val="center"/>
          </w:tcPr>
          <w:p w14:paraId="758EA01F" w14:textId="2D4641EA" w:rsidR="00A4205D" w:rsidRDefault="00A4205D" w:rsidP="00F57A8F">
            <w:pPr>
              <w:jc w:val="center"/>
              <w:rPr>
                <w:rFonts w:eastAsia="Times New Roman"/>
                <w:w w:val="99"/>
                <w:sz w:val="18"/>
                <w:szCs w:val="18"/>
              </w:rPr>
            </w:pPr>
            <w:r>
              <w:rPr>
                <w:rFonts w:eastAsia="Times New Roman"/>
                <w:w w:val="99"/>
                <w:sz w:val="18"/>
                <w:szCs w:val="18"/>
              </w:rPr>
              <w:t>-</w:t>
            </w:r>
          </w:p>
        </w:tc>
        <w:tc>
          <w:tcPr>
            <w:tcW w:w="1710" w:type="dxa"/>
            <w:vAlign w:val="center"/>
          </w:tcPr>
          <w:p w14:paraId="7BA1BEB8" w14:textId="5993EBAE" w:rsidR="00A4205D" w:rsidRDefault="00A4205D" w:rsidP="00F57A8F">
            <w:pPr>
              <w:jc w:val="center"/>
              <w:rPr>
                <w:rFonts w:eastAsia="Times New Roman"/>
                <w:w w:val="99"/>
                <w:sz w:val="18"/>
                <w:szCs w:val="18"/>
              </w:rPr>
            </w:pPr>
            <w:r>
              <w:rPr>
                <w:rFonts w:eastAsia="Times New Roman"/>
                <w:w w:val="99"/>
                <w:sz w:val="18"/>
                <w:szCs w:val="18"/>
              </w:rPr>
              <w:t>-</w:t>
            </w:r>
          </w:p>
        </w:tc>
        <w:tc>
          <w:tcPr>
            <w:tcW w:w="2455" w:type="dxa"/>
          </w:tcPr>
          <w:p w14:paraId="071E839F" w14:textId="1AC55040" w:rsidR="00A4205D" w:rsidRDefault="00A4205D" w:rsidP="00F57A8F">
            <w:pPr>
              <w:spacing w:line="329" w:lineRule="auto"/>
              <w:ind w:left="43"/>
              <w:rPr>
                <w:rFonts w:eastAsia="Times New Roman"/>
                <w:sz w:val="18"/>
                <w:szCs w:val="18"/>
              </w:rPr>
            </w:pPr>
            <w:r>
              <w:rPr>
                <w:rFonts w:eastAsia="Times New Roman"/>
                <w:sz w:val="18"/>
                <w:szCs w:val="18"/>
              </w:rPr>
              <w:t>Discharge from use in chemical manufacturing</w:t>
            </w:r>
          </w:p>
        </w:tc>
        <w:tc>
          <w:tcPr>
            <w:tcW w:w="2319" w:type="dxa"/>
          </w:tcPr>
          <w:p w14:paraId="38AC1818" w14:textId="1EA45928" w:rsidR="00A4205D" w:rsidRDefault="00A4205D" w:rsidP="00F57A8F">
            <w:pPr>
              <w:spacing w:line="329" w:lineRule="auto"/>
              <w:ind w:left="43"/>
              <w:rPr>
                <w:rFonts w:eastAsia="Times New Roman"/>
                <w:sz w:val="18"/>
                <w:szCs w:val="18"/>
              </w:rPr>
            </w:pPr>
            <w:r>
              <w:rPr>
                <w:rFonts w:eastAsia="Times New Roman"/>
                <w:sz w:val="18"/>
                <w:szCs w:val="18"/>
              </w:rPr>
              <w:t>Some people who drink water containing 1,3-dichloropropane at high concentrations for many years could experience central nervous system effects.</w:t>
            </w:r>
          </w:p>
        </w:tc>
      </w:tr>
      <w:tr w:rsidR="00A4205D" w14:paraId="281A4C07" w14:textId="77777777" w:rsidTr="00A4205D">
        <w:trPr>
          <w:trHeight w:val="1873"/>
        </w:trPr>
        <w:tc>
          <w:tcPr>
            <w:tcW w:w="2279" w:type="dxa"/>
            <w:vAlign w:val="center"/>
          </w:tcPr>
          <w:p w14:paraId="281A4C01" w14:textId="77777777" w:rsidR="00A4205D" w:rsidRDefault="00A4205D" w:rsidP="00933D47">
            <w:pPr>
              <w:rPr>
                <w:sz w:val="20"/>
                <w:szCs w:val="20"/>
              </w:rPr>
            </w:pPr>
            <w:r>
              <w:rPr>
                <w:rFonts w:eastAsia="Times New Roman"/>
                <w:sz w:val="18"/>
                <w:szCs w:val="18"/>
              </w:rPr>
              <w:t>1,1-Dichloropropene</w:t>
            </w:r>
          </w:p>
        </w:tc>
        <w:tc>
          <w:tcPr>
            <w:tcW w:w="800" w:type="dxa"/>
            <w:vAlign w:val="center"/>
          </w:tcPr>
          <w:p w14:paraId="281A4C02" w14:textId="77777777" w:rsidR="00A4205D" w:rsidRDefault="00A4205D" w:rsidP="00933D47">
            <w:pPr>
              <w:ind w:right="290"/>
              <w:jc w:val="center"/>
              <w:rPr>
                <w:sz w:val="20"/>
                <w:szCs w:val="20"/>
              </w:rPr>
            </w:pPr>
            <w:r>
              <w:rPr>
                <w:rFonts w:eastAsia="Times New Roman"/>
                <w:sz w:val="18"/>
                <w:szCs w:val="18"/>
              </w:rPr>
              <w:t>*</w:t>
            </w:r>
          </w:p>
        </w:tc>
        <w:tc>
          <w:tcPr>
            <w:tcW w:w="1592" w:type="dxa"/>
            <w:vAlign w:val="center"/>
          </w:tcPr>
          <w:p w14:paraId="281A4C03" w14:textId="2302E687" w:rsidR="00A4205D" w:rsidRDefault="00A4205D" w:rsidP="00933D47">
            <w:pPr>
              <w:jc w:val="center"/>
              <w:rPr>
                <w:sz w:val="20"/>
                <w:szCs w:val="20"/>
              </w:rPr>
            </w:pPr>
            <w:r>
              <w:rPr>
                <w:rFonts w:eastAsia="Times New Roman"/>
                <w:w w:val="99"/>
                <w:sz w:val="18"/>
                <w:szCs w:val="18"/>
              </w:rPr>
              <w:t>-</w:t>
            </w:r>
          </w:p>
        </w:tc>
        <w:tc>
          <w:tcPr>
            <w:tcW w:w="1710" w:type="dxa"/>
            <w:vAlign w:val="center"/>
          </w:tcPr>
          <w:p w14:paraId="281A4C04" w14:textId="77777777" w:rsidR="00A4205D" w:rsidRDefault="00A4205D" w:rsidP="00933D47">
            <w:pPr>
              <w:jc w:val="center"/>
              <w:rPr>
                <w:sz w:val="20"/>
                <w:szCs w:val="20"/>
              </w:rPr>
            </w:pPr>
            <w:r>
              <w:rPr>
                <w:rFonts w:eastAsia="Times New Roman"/>
                <w:w w:val="99"/>
                <w:sz w:val="18"/>
                <w:szCs w:val="18"/>
              </w:rPr>
              <w:t>-</w:t>
            </w:r>
          </w:p>
        </w:tc>
        <w:tc>
          <w:tcPr>
            <w:tcW w:w="2455" w:type="dxa"/>
          </w:tcPr>
          <w:p w14:paraId="281A4C05" w14:textId="4E17F76E" w:rsidR="00A4205D" w:rsidRPr="00933D47" w:rsidRDefault="00A4205D" w:rsidP="00933D47">
            <w:pPr>
              <w:spacing w:line="329" w:lineRule="auto"/>
              <w:ind w:left="43"/>
              <w:rPr>
                <w:rFonts w:eastAsia="Times New Roman"/>
                <w:sz w:val="18"/>
                <w:szCs w:val="18"/>
              </w:rPr>
            </w:pPr>
            <w:r>
              <w:rPr>
                <w:rFonts w:eastAsia="Times New Roman"/>
                <w:sz w:val="18"/>
                <w:szCs w:val="18"/>
              </w:rPr>
              <w:t>Discharge from use in chemical manufacturing</w:t>
            </w:r>
          </w:p>
        </w:tc>
        <w:tc>
          <w:tcPr>
            <w:tcW w:w="2319" w:type="dxa"/>
          </w:tcPr>
          <w:p w14:paraId="281A4C06" w14:textId="07E804F9" w:rsidR="00A4205D" w:rsidRPr="00933D47" w:rsidRDefault="00A4205D" w:rsidP="00933D47">
            <w:pPr>
              <w:spacing w:line="329" w:lineRule="auto"/>
              <w:ind w:left="43"/>
              <w:rPr>
                <w:rFonts w:eastAsia="Times New Roman"/>
                <w:sz w:val="18"/>
                <w:szCs w:val="18"/>
              </w:rPr>
            </w:pPr>
            <w:r>
              <w:rPr>
                <w:rFonts w:eastAsia="Times New Roman"/>
                <w:sz w:val="18"/>
                <w:szCs w:val="18"/>
              </w:rPr>
              <w:t>Some people who drink water containing 1,1-dichloropropene at high concentrations for many years could experience central nervous system effects.</w:t>
            </w:r>
          </w:p>
        </w:tc>
      </w:tr>
      <w:tr w:rsidR="00A4205D" w14:paraId="57C2DE9E" w14:textId="77777777" w:rsidTr="00A4205D">
        <w:trPr>
          <w:trHeight w:val="2125"/>
        </w:trPr>
        <w:tc>
          <w:tcPr>
            <w:tcW w:w="2279" w:type="dxa"/>
            <w:vAlign w:val="center"/>
          </w:tcPr>
          <w:p w14:paraId="2860F25C" w14:textId="3B660CAA" w:rsidR="00A4205D" w:rsidRDefault="00A4205D" w:rsidP="00A733C2">
            <w:pPr>
              <w:rPr>
                <w:sz w:val="20"/>
                <w:szCs w:val="20"/>
              </w:rPr>
            </w:pPr>
            <w:r>
              <w:rPr>
                <w:rFonts w:eastAsia="Times New Roman"/>
                <w:sz w:val="18"/>
                <w:szCs w:val="18"/>
              </w:rPr>
              <w:t>1,3-Dichloropropene (cis, trans)</w:t>
            </w:r>
          </w:p>
          <w:p w14:paraId="76C3BAD1" w14:textId="2A3E6FBE" w:rsidR="00A4205D" w:rsidRDefault="00A4205D" w:rsidP="00A733C2">
            <w:pPr>
              <w:rPr>
                <w:rFonts w:eastAsia="Times New Roman"/>
                <w:sz w:val="18"/>
                <w:szCs w:val="18"/>
              </w:rPr>
            </w:pPr>
            <w:r>
              <w:rPr>
                <w:rFonts w:eastAsia="Times New Roman"/>
                <w:sz w:val="18"/>
                <w:szCs w:val="18"/>
              </w:rPr>
              <w:t>(542756)</w:t>
            </w:r>
          </w:p>
        </w:tc>
        <w:tc>
          <w:tcPr>
            <w:tcW w:w="800" w:type="dxa"/>
            <w:vAlign w:val="center"/>
          </w:tcPr>
          <w:p w14:paraId="4DE2CDF3" w14:textId="04973C42" w:rsidR="00A4205D" w:rsidRDefault="00A4205D" w:rsidP="00A733C2">
            <w:pPr>
              <w:ind w:right="70"/>
              <w:jc w:val="center"/>
              <w:rPr>
                <w:rFonts w:eastAsia="Times New Roman"/>
                <w:sz w:val="18"/>
                <w:szCs w:val="18"/>
              </w:rPr>
            </w:pPr>
            <w:r>
              <w:rPr>
                <w:rFonts w:eastAsia="Times New Roman"/>
                <w:sz w:val="18"/>
                <w:szCs w:val="18"/>
              </w:rPr>
              <w:t>0.0004 mg/L</w:t>
            </w:r>
          </w:p>
        </w:tc>
        <w:tc>
          <w:tcPr>
            <w:tcW w:w="1592" w:type="dxa"/>
            <w:vAlign w:val="center"/>
          </w:tcPr>
          <w:p w14:paraId="1103BE05" w14:textId="110D3B95" w:rsidR="00A4205D" w:rsidRDefault="00A4205D" w:rsidP="00A733C2">
            <w:pPr>
              <w:jc w:val="center"/>
              <w:rPr>
                <w:rFonts w:eastAsia="Times New Roman"/>
                <w:w w:val="99"/>
                <w:sz w:val="18"/>
                <w:szCs w:val="18"/>
              </w:rPr>
            </w:pPr>
            <w:r>
              <w:rPr>
                <w:rFonts w:eastAsia="Times New Roman"/>
                <w:sz w:val="18"/>
                <w:szCs w:val="18"/>
              </w:rPr>
              <w:t>1,000,000</w:t>
            </w:r>
          </w:p>
        </w:tc>
        <w:tc>
          <w:tcPr>
            <w:tcW w:w="1710" w:type="dxa"/>
            <w:vAlign w:val="center"/>
          </w:tcPr>
          <w:p w14:paraId="579D7804" w14:textId="1C5A8472" w:rsidR="00A4205D" w:rsidRDefault="00A4205D" w:rsidP="00A733C2">
            <w:pPr>
              <w:jc w:val="center"/>
              <w:rPr>
                <w:rFonts w:eastAsia="Times New Roman"/>
                <w:w w:val="99"/>
                <w:sz w:val="18"/>
                <w:szCs w:val="18"/>
              </w:rPr>
            </w:pPr>
            <w:r>
              <w:rPr>
                <w:rFonts w:eastAsia="Times New Roman"/>
                <w:sz w:val="18"/>
                <w:szCs w:val="18"/>
              </w:rPr>
              <w:t>400 ppt</w:t>
            </w:r>
          </w:p>
        </w:tc>
        <w:tc>
          <w:tcPr>
            <w:tcW w:w="2455" w:type="dxa"/>
          </w:tcPr>
          <w:p w14:paraId="4F12261E" w14:textId="23F28091" w:rsidR="00A4205D" w:rsidRDefault="00A4205D" w:rsidP="00A733C2">
            <w:pPr>
              <w:spacing w:line="329" w:lineRule="auto"/>
              <w:ind w:left="43"/>
              <w:rPr>
                <w:rFonts w:eastAsia="Times New Roman"/>
                <w:sz w:val="18"/>
                <w:szCs w:val="18"/>
              </w:rPr>
            </w:pPr>
            <w:r>
              <w:rPr>
                <w:rFonts w:eastAsia="Times New Roman"/>
                <w:sz w:val="18"/>
                <w:szCs w:val="18"/>
              </w:rPr>
              <w:t>Run-off from use as a nematocide</w:t>
            </w:r>
          </w:p>
        </w:tc>
        <w:tc>
          <w:tcPr>
            <w:tcW w:w="2319" w:type="dxa"/>
          </w:tcPr>
          <w:p w14:paraId="064D1FA0" w14:textId="77881187" w:rsidR="00A4205D" w:rsidRPr="00A733C2" w:rsidRDefault="00A4205D" w:rsidP="00A733C2">
            <w:pPr>
              <w:spacing w:line="329" w:lineRule="auto"/>
              <w:ind w:left="43" w:right="140"/>
              <w:rPr>
                <w:rFonts w:eastAsia="Times New Roman"/>
                <w:sz w:val="18"/>
                <w:szCs w:val="18"/>
              </w:rPr>
            </w:pPr>
            <w:r>
              <w:rPr>
                <w:rFonts w:eastAsia="Times New Roman"/>
                <w:sz w:val="18"/>
                <w:szCs w:val="18"/>
              </w:rPr>
              <w:t>Some people who drink water containing cis or trans-1.3-dichloropropene at high concentrations for many years could experience irritation of the eyes, ears, nose, and throat or cancer.</w:t>
            </w:r>
          </w:p>
        </w:tc>
      </w:tr>
      <w:tr w:rsidR="00A4205D" w14:paraId="281A4C69" w14:textId="77777777" w:rsidTr="00A4205D">
        <w:trPr>
          <w:trHeight w:val="1648"/>
        </w:trPr>
        <w:tc>
          <w:tcPr>
            <w:tcW w:w="2279" w:type="dxa"/>
            <w:vAlign w:val="center"/>
          </w:tcPr>
          <w:p w14:paraId="57CDD6FA" w14:textId="77777777" w:rsidR="00A4205D" w:rsidRDefault="00A4205D" w:rsidP="00A733C2">
            <w:pPr>
              <w:rPr>
                <w:sz w:val="20"/>
                <w:szCs w:val="20"/>
              </w:rPr>
            </w:pPr>
            <w:r>
              <w:rPr>
                <w:sz w:val="20"/>
                <w:szCs w:val="20"/>
              </w:rPr>
              <w:br w:type="column"/>
            </w:r>
            <w:r>
              <w:rPr>
                <w:rFonts w:eastAsia="Times New Roman"/>
                <w:sz w:val="18"/>
                <w:szCs w:val="18"/>
              </w:rPr>
              <w:t>Dieldrin</w:t>
            </w:r>
          </w:p>
          <w:p w14:paraId="281A4C63" w14:textId="0EBD0F1D" w:rsidR="00A4205D" w:rsidRDefault="00A4205D" w:rsidP="00A733C2">
            <w:pPr>
              <w:rPr>
                <w:sz w:val="24"/>
                <w:szCs w:val="24"/>
              </w:rPr>
            </w:pPr>
            <w:r>
              <w:rPr>
                <w:rFonts w:eastAsia="Times New Roman"/>
                <w:sz w:val="18"/>
                <w:szCs w:val="18"/>
              </w:rPr>
              <w:t>(60571)</w:t>
            </w:r>
          </w:p>
        </w:tc>
        <w:tc>
          <w:tcPr>
            <w:tcW w:w="800" w:type="dxa"/>
            <w:vAlign w:val="center"/>
          </w:tcPr>
          <w:p w14:paraId="281A4C64" w14:textId="77777777" w:rsidR="00A4205D" w:rsidRDefault="00A4205D" w:rsidP="00A733C2">
            <w:pPr>
              <w:jc w:val="center"/>
              <w:rPr>
                <w:sz w:val="20"/>
                <w:szCs w:val="20"/>
              </w:rPr>
            </w:pPr>
            <w:r>
              <w:rPr>
                <w:rFonts w:eastAsia="Times New Roman"/>
                <w:sz w:val="18"/>
                <w:szCs w:val="18"/>
              </w:rPr>
              <w:t>*</w:t>
            </w:r>
          </w:p>
        </w:tc>
        <w:tc>
          <w:tcPr>
            <w:tcW w:w="1592" w:type="dxa"/>
            <w:vAlign w:val="center"/>
          </w:tcPr>
          <w:p w14:paraId="281A4C65" w14:textId="3741E8C2" w:rsidR="00A4205D" w:rsidRDefault="00A4205D" w:rsidP="00A733C2">
            <w:pPr>
              <w:jc w:val="center"/>
              <w:rPr>
                <w:sz w:val="20"/>
                <w:szCs w:val="20"/>
              </w:rPr>
            </w:pPr>
            <w:r>
              <w:rPr>
                <w:rFonts w:eastAsia="Times New Roman"/>
                <w:sz w:val="18"/>
                <w:szCs w:val="18"/>
              </w:rPr>
              <w:t>-</w:t>
            </w:r>
          </w:p>
        </w:tc>
        <w:tc>
          <w:tcPr>
            <w:tcW w:w="1710" w:type="dxa"/>
            <w:vAlign w:val="center"/>
          </w:tcPr>
          <w:p w14:paraId="281A4C66" w14:textId="77777777" w:rsidR="00A4205D" w:rsidRDefault="00A4205D" w:rsidP="00A733C2">
            <w:pPr>
              <w:jc w:val="center"/>
              <w:rPr>
                <w:sz w:val="20"/>
                <w:szCs w:val="20"/>
              </w:rPr>
            </w:pPr>
            <w:r>
              <w:rPr>
                <w:rFonts w:eastAsia="Times New Roman"/>
                <w:sz w:val="18"/>
                <w:szCs w:val="18"/>
              </w:rPr>
              <w:t>-</w:t>
            </w:r>
          </w:p>
        </w:tc>
        <w:tc>
          <w:tcPr>
            <w:tcW w:w="2455" w:type="dxa"/>
          </w:tcPr>
          <w:p w14:paraId="281A4C67" w14:textId="6B9F0261" w:rsidR="00A4205D" w:rsidRPr="00A733C2" w:rsidRDefault="00A4205D" w:rsidP="00A733C2">
            <w:pPr>
              <w:spacing w:line="329" w:lineRule="auto"/>
              <w:ind w:left="43"/>
              <w:rPr>
                <w:rFonts w:eastAsia="Times New Roman"/>
                <w:sz w:val="18"/>
                <w:szCs w:val="18"/>
              </w:rPr>
            </w:pPr>
            <w:r>
              <w:rPr>
                <w:rFonts w:eastAsia="Times New Roman"/>
                <w:sz w:val="18"/>
                <w:szCs w:val="18"/>
              </w:rPr>
              <w:t>Run-off from pesticide application</w:t>
            </w:r>
          </w:p>
        </w:tc>
        <w:tc>
          <w:tcPr>
            <w:tcW w:w="2319" w:type="dxa"/>
          </w:tcPr>
          <w:p w14:paraId="281A4C68" w14:textId="78BE6BD5" w:rsidR="00A4205D" w:rsidRPr="00A733C2" w:rsidRDefault="00A4205D" w:rsidP="00A733C2">
            <w:pPr>
              <w:spacing w:line="329" w:lineRule="auto"/>
              <w:ind w:left="43"/>
              <w:rPr>
                <w:rFonts w:eastAsia="Times New Roman"/>
                <w:sz w:val="18"/>
                <w:szCs w:val="18"/>
              </w:rPr>
            </w:pPr>
            <w:r>
              <w:rPr>
                <w:rFonts w:eastAsia="Times New Roman"/>
                <w:sz w:val="18"/>
                <w:szCs w:val="18"/>
              </w:rPr>
              <w:t>Some people who drink water containing dieldrin at high concentrations for many years could experience liver damage, convulsions, or cancer.</w:t>
            </w:r>
          </w:p>
        </w:tc>
      </w:tr>
      <w:tr w:rsidR="00A4205D" w14:paraId="281A4CA0" w14:textId="77777777" w:rsidTr="00A4205D">
        <w:trPr>
          <w:trHeight w:val="1846"/>
        </w:trPr>
        <w:tc>
          <w:tcPr>
            <w:tcW w:w="2279" w:type="dxa"/>
            <w:vAlign w:val="center"/>
          </w:tcPr>
          <w:p w14:paraId="5F35907F" w14:textId="77777777" w:rsidR="00A4205D" w:rsidRDefault="00A4205D" w:rsidP="00A733C2">
            <w:pPr>
              <w:rPr>
                <w:sz w:val="20"/>
                <w:szCs w:val="20"/>
              </w:rPr>
            </w:pPr>
            <w:r>
              <w:rPr>
                <w:rFonts w:eastAsia="Times New Roman"/>
                <w:sz w:val="18"/>
                <w:szCs w:val="18"/>
              </w:rPr>
              <w:t>1,4-Dioxane</w:t>
            </w:r>
          </w:p>
          <w:p w14:paraId="281A4C9A" w14:textId="24F53905" w:rsidR="00A4205D" w:rsidRDefault="00A4205D" w:rsidP="00A733C2">
            <w:pPr>
              <w:rPr>
                <w:sz w:val="20"/>
                <w:szCs w:val="20"/>
              </w:rPr>
            </w:pPr>
            <w:r>
              <w:rPr>
                <w:rFonts w:eastAsia="Times New Roman"/>
                <w:sz w:val="18"/>
                <w:szCs w:val="18"/>
              </w:rPr>
              <w:t>(123911)</w:t>
            </w:r>
          </w:p>
        </w:tc>
        <w:tc>
          <w:tcPr>
            <w:tcW w:w="800" w:type="dxa"/>
            <w:vAlign w:val="center"/>
          </w:tcPr>
          <w:p w14:paraId="281A4C9B" w14:textId="2D6E546E" w:rsidR="00A4205D" w:rsidRDefault="00A4205D" w:rsidP="00A733C2">
            <w:pPr>
              <w:jc w:val="center"/>
              <w:rPr>
                <w:sz w:val="20"/>
                <w:szCs w:val="20"/>
              </w:rPr>
            </w:pPr>
            <w:r>
              <w:rPr>
                <w:rFonts w:eastAsia="Times New Roman"/>
                <w:sz w:val="18"/>
                <w:szCs w:val="18"/>
              </w:rPr>
              <w:t>0.0003 mg/L</w:t>
            </w:r>
          </w:p>
        </w:tc>
        <w:tc>
          <w:tcPr>
            <w:tcW w:w="1592" w:type="dxa"/>
            <w:vAlign w:val="center"/>
          </w:tcPr>
          <w:p w14:paraId="281A4C9C" w14:textId="6E5B7306" w:rsidR="00A4205D" w:rsidRDefault="00A4205D" w:rsidP="00A733C2">
            <w:pPr>
              <w:jc w:val="center"/>
              <w:rPr>
                <w:sz w:val="20"/>
                <w:szCs w:val="20"/>
              </w:rPr>
            </w:pPr>
            <w:r>
              <w:rPr>
                <w:rFonts w:eastAsia="Times New Roman"/>
                <w:sz w:val="18"/>
                <w:szCs w:val="18"/>
              </w:rPr>
              <w:t>1000</w:t>
            </w:r>
          </w:p>
        </w:tc>
        <w:tc>
          <w:tcPr>
            <w:tcW w:w="1710" w:type="dxa"/>
            <w:vAlign w:val="center"/>
          </w:tcPr>
          <w:p w14:paraId="281A4C9D" w14:textId="77777777" w:rsidR="00A4205D" w:rsidRDefault="00A4205D" w:rsidP="00A733C2">
            <w:pPr>
              <w:jc w:val="center"/>
              <w:rPr>
                <w:sz w:val="20"/>
                <w:szCs w:val="20"/>
              </w:rPr>
            </w:pPr>
            <w:r>
              <w:rPr>
                <w:rFonts w:eastAsia="Times New Roman"/>
                <w:sz w:val="18"/>
                <w:szCs w:val="18"/>
              </w:rPr>
              <w:t>0.3 ppb</w:t>
            </w:r>
          </w:p>
        </w:tc>
        <w:tc>
          <w:tcPr>
            <w:tcW w:w="2455" w:type="dxa"/>
          </w:tcPr>
          <w:p w14:paraId="281A4C9E" w14:textId="39A8E640" w:rsidR="00A4205D" w:rsidRPr="00A733C2" w:rsidRDefault="00A4205D" w:rsidP="00A733C2">
            <w:pPr>
              <w:spacing w:line="329" w:lineRule="auto"/>
              <w:ind w:left="43"/>
              <w:rPr>
                <w:rFonts w:eastAsia="Times New Roman"/>
                <w:sz w:val="18"/>
                <w:szCs w:val="18"/>
              </w:rPr>
            </w:pPr>
            <w:r>
              <w:rPr>
                <w:rFonts w:eastAsia="Times New Roman"/>
                <w:sz w:val="18"/>
                <w:szCs w:val="18"/>
              </w:rPr>
              <w:t>Discharge from chemical manufacturing and landfills</w:t>
            </w:r>
          </w:p>
        </w:tc>
        <w:tc>
          <w:tcPr>
            <w:tcW w:w="2319" w:type="dxa"/>
          </w:tcPr>
          <w:p w14:paraId="281A4C9F" w14:textId="7B0A34CF" w:rsidR="00A4205D" w:rsidRPr="00A733C2" w:rsidRDefault="00A4205D" w:rsidP="00A733C2">
            <w:pPr>
              <w:spacing w:line="329" w:lineRule="auto"/>
              <w:ind w:left="43"/>
              <w:rPr>
                <w:rFonts w:eastAsia="Times New Roman"/>
                <w:sz w:val="18"/>
                <w:szCs w:val="18"/>
              </w:rPr>
            </w:pPr>
            <w:r>
              <w:rPr>
                <w:rFonts w:eastAsia="Times New Roman"/>
                <w:sz w:val="18"/>
                <w:szCs w:val="18"/>
              </w:rPr>
              <w:t>Some people who drink water containing 1,4-dioxane at high concentrations for many years could experience chronic kidney and liver effects and liver cancer.</w:t>
            </w:r>
          </w:p>
        </w:tc>
      </w:tr>
      <w:tr w:rsidR="00A4205D" w14:paraId="63650A8E" w14:textId="77777777" w:rsidTr="00A4205D">
        <w:trPr>
          <w:trHeight w:val="694"/>
        </w:trPr>
        <w:tc>
          <w:tcPr>
            <w:tcW w:w="2279" w:type="dxa"/>
            <w:vAlign w:val="center"/>
          </w:tcPr>
          <w:p w14:paraId="6648C130" w14:textId="77777777" w:rsidR="00A4205D" w:rsidRDefault="00A4205D" w:rsidP="00452CD5">
            <w:pPr>
              <w:rPr>
                <w:sz w:val="20"/>
                <w:szCs w:val="20"/>
              </w:rPr>
            </w:pPr>
            <w:r>
              <w:rPr>
                <w:rFonts w:eastAsia="Times New Roman"/>
                <w:sz w:val="18"/>
                <w:szCs w:val="18"/>
              </w:rPr>
              <w:t>Enteroviruses</w:t>
            </w:r>
          </w:p>
          <w:p w14:paraId="03BD3203" w14:textId="1028316C" w:rsidR="00A4205D" w:rsidRDefault="00A4205D" w:rsidP="00452CD5">
            <w:pPr>
              <w:rPr>
                <w:rFonts w:eastAsia="Times New Roman"/>
                <w:sz w:val="18"/>
                <w:szCs w:val="18"/>
              </w:rPr>
            </w:pPr>
            <w:r>
              <w:rPr>
                <w:rFonts w:eastAsia="Times New Roman"/>
                <w:sz w:val="18"/>
                <w:szCs w:val="18"/>
              </w:rPr>
              <w:t>(N/A)</w:t>
            </w:r>
          </w:p>
        </w:tc>
        <w:tc>
          <w:tcPr>
            <w:tcW w:w="800" w:type="dxa"/>
            <w:vAlign w:val="center"/>
          </w:tcPr>
          <w:p w14:paraId="0C34451B" w14:textId="750E9E01" w:rsidR="00A4205D" w:rsidRDefault="00A4205D" w:rsidP="00452CD5">
            <w:pPr>
              <w:jc w:val="center"/>
              <w:rPr>
                <w:rFonts w:eastAsia="Times New Roman"/>
                <w:sz w:val="18"/>
                <w:szCs w:val="18"/>
              </w:rPr>
            </w:pPr>
            <w:r>
              <w:rPr>
                <w:rFonts w:eastAsia="Times New Roman"/>
                <w:sz w:val="18"/>
                <w:szCs w:val="18"/>
              </w:rPr>
              <w:t>*</w:t>
            </w:r>
          </w:p>
        </w:tc>
        <w:tc>
          <w:tcPr>
            <w:tcW w:w="1592" w:type="dxa"/>
            <w:vAlign w:val="center"/>
          </w:tcPr>
          <w:p w14:paraId="4C4BD022" w14:textId="7E76730E" w:rsidR="00A4205D" w:rsidRDefault="00A4205D" w:rsidP="00452CD5">
            <w:pPr>
              <w:jc w:val="center"/>
              <w:rPr>
                <w:rFonts w:eastAsia="Times New Roman"/>
                <w:sz w:val="18"/>
                <w:szCs w:val="18"/>
              </w:rPr>
            </w:pPr>
            <w:r>
              <w:rPr>
                <w:rFonts w:eastAsia="Times New Roman"/>
                <w:sz w:val="18"/>
                <w:szCs w:val="18"/>
              </w:rPr>
              <w:t>-</w:t>
            </w:r>
          </w:p>
        </w:tc>
        <w:tc>
          <w:tcPr>
            <w:tcW w:w="1710" w:type="dxa"/>
            <w:vAlign w:val="center"/>
          </w:tcPr>
          <w:p w14:paraId="137C9274" w14:textId="4610CB1B" w:rsidR="00A4205D" w:rsidRDefault="00A4205D" w:rsidP="00452CD5">
            <w:pPr>
              <w:jc w:val="center"/>
              <w:rPr>
                <w:rFonts w:eastAsia="Times New Roman"/>
                <w:sz w:val="18"/>
                <w:szCs w:val="18"/>
              </w:rPr>
            </w:pPr>
            <w:r>
              <w:rPr>
                <w:rFonts w:eastAsia="Times New Roman"/>
                <w:sz w:val="18"/>
                <w:szCs w:val="18"/>
              </w:rPr>
              <w:t>-</w:t>
            </w:r>
          </w:p>
        </w:tc>
        <w:tc>
          <w:tcPr>
            <w:tcW w:w="2455" w:type="dxa"/>
            <w:vAlign w:val="center"/>
          </w:tcPr>
          <w:p w14:paraId="2D0B2769" w14:textId="0D4CAC12" w:rsidR="00A4205D" w:rsidRDefault="00A4205D" w:rsidP="00452CD5">
            <w:pPr>
              <w:spacing w:line="329" w:lineRule="auto"/>
              <w:jc w:val="center"/>
              <w:rPr>
                <w:rFonts w:eastAsia="Times New Roman"/>
                <w:sz w:val="18"/>
                <w:szCs w:val="18"/>
              </w:rPr>
            </w:pPr>
            <w:r>
              <w:rPr>
                <w:rFonts w:eastAsia="Times New Roman"/>
                <w:sz w:val="18"/>
                <w:szCs w:val="18"/>
              </w:rPr>
              <w:t>-</w:t>
            </w:r>
          </w:p>
        </w:tc>
        <w:tc>
          <w:tcPr>
            <w:tcW w:w="2319" w:type="dxa"/>
            <w:vAlign w:val="center"/>
          </w:tcPr>
          <w:p w14:paraId="1FF3B49F" w14:textId="5171D92C" w:rsidR="00A4205D" w:rsidRDefault="00A4205D" w:rsidP="00452CD5">
            <w:pPr>
              <w:spacing w:line="329" w:lineRule="auto"/>
              <w:jc w:val="center"/>
              <w:rPr>
                <w:rFonts w:eastAsia="Times New Roman"/>
                <w:sz w:val="18"/>
                <w:szCs w:val="18"/>
              </w:rPr>
            </w:pPr>
            <w:r>
              <w:rPr>
                <w:rFonts w:eastAsia="Times New Roman"/>
                <w:sz w:val="18"/>
                <w:szCs w:val="18"/>
              </w:rPr>
              <w:t>-</w:t>
            </w:r>
          </w:p>
        </w:tc>
      </w:tr>
      <w:tr w:rsidR="00A4205D" w14:paraId="55F9F474" w14:textId="77777777" w:rsidTr="00A4205D">
        <w:trPr>
          <w:trHeight w:val="694"/>
        </w:trPr>
        <w:tc>
          <w:tcPr>
            <w:tcW w:w="2279" w:type="dxa"/>
            <w:vAlign w:val="center"/>
          </w:tcPr>
          <w:p w14:paraId="61AB3C4D" w14:textId="77777777" w:rsidR="00A4205D" w:rsidRDefault="00A4205D" w:rsidP="00452CD5">
            <w:pPr>
              <w:rPr>
                <w:sz w:val="20"/>
                <w:szCs w:val="20"/>
              </w:rPr>
            </w:pPr>
            <w:r>
              <w:rPr>
                <w:rFonts w:eastAsia="Times New Roman"/>
                <w:sz w:val="18"/>
                <w:szCs w:val="18"/>
              </w:rPr>
              <w:t>Equilin</w:t>
            </w:r>
          </w:p>
          <w:p w14:paraId="5E0750E3" w14:textId="01353596" w:rsidR="00A4205D" w:rsidRDefault="00A4205D" w:rsidP="00452CD5">
            <w:pPr>
              <w:rPr>
                <w:rFonts w:eastAsia="Times New Roman"/>
                <w:sz w:val="18"/>
                <w:szCs w:val="18"/>
              </w:rPr>
            </w:pPr>
            <w:r>
              <w:rPr>
                <w:rFonts w:eastAsia="Times New Roman"/>
                <w:sz w:val="18"/>
                <w:szCs w:val="18"/>
              </w:rPr>
              <w:t>(474862)</w:t>
            </w:r>
          </w:p>
        </w:tc>
        <w:tc>
          <w:tcPr>
            <w:tcW w:w="800" w:type="dxa"/>
            <w:vAlign w:val="center"/>
          </w:tcPr>
          <w:p w14:paraId="59B7041B" w14:textId="30E196FA" w:rsidR="00A4205D" w:rsidRDefault="00A4205D" w:rsidP="00452CD5">
            <w:pPr>
              <w:jc w:val="center"/>
              <w:rPr>
                <w:rFonts w:eastAsia="Times New Roman"/>
                <w:sz w:val="18"/>
                <w:szCs w:val="18"/>
              </w:rPr>
            </w:pPr>
            <w:r>
              <w:rPr>
                <w:rFonts w:eastAsia="Times New Roman"/>
                <w:sz w:val="18"/>
                <w:szCs w:val="18"/>
              </w:rPr>
              <w:t>*</w:t>
            </w:r>
          </w:p>
        </w:tc>
        <w:tc>
          <w:tcPr>
            <w:tcW w:w="1592" w:type="dxa"/>
            <w:vAlign w:val="center"/>
          </w:tcPr>
          <w:p w14:paraId="5D25725F" w14:textId="5B6834AE" w:rsidR="00A4205D" w:rsidRDefault="00A4205D" w:rsidP="00452CD5">
            <w:pPr>
              <w:jc w:val="center"/>
              <w:rPr>
                <w:rFonts w:eastAsia="Times New Roman"/>
                <w:sz w:val="18"/>
                <w:szCs w:val="18"/>
              </w:rPr>
            </w:pPr>
            <w:r>
              <w:rPr>
                <w:rFonts w:eastAsia="Times New Roman"/>
                <w:sz w:val="18"/>
                <w:szCs w:val="18"/>
              </w:rPr>
              <w:t>-</w:t>
            </w:r>
          </w:p>
        </w:tc>
        <w:tc>
          <w:tcPr>
            <w:tcW w:w="1710" w:type="dxa"/>
            <w:vAlign w:val="center"/>
          </w:tcPr>
          <w:p w14:paraId="00A19C4E" w14:textId="4AF07DA7" w:rsidR="00A4205D" w:rsidRDefault="00A4205D" w:rsidP="00452CD5">
            <w:pPr>
              <w:jc w:val="center"/>
              <w:rPr>
                <w:rFonts w:eastAsia="Times New Roman"/>
                <w:sz w:val="18"/>
                <w:szCs w:val="18"/>
              </w:rPr>
            </w:pPr>
            <w:r>
              <w:rPr>
                <w:rFonts w:eastAsia="Times New Roman"/>
                <w:sz w:val="18"/>
                <w:szCs w:val="18"/>
              </w:rPr>
              <w:t>-</w:t>
            </w:r>
          </w:p>
        </w:tc>
        <w:tc>
          <w:tcPr>
            <w:tcW w:w="2455" w:type="dxa"/>
            <w:vAlign w:val="center"/>
          </w:tcPr>
          <w:p w14:paraId="52F5FE21" w14:textId="07114EC1" w:rsidR="00A4205D" w:rsidRDefault="00A4205D" w:rsidP="00452CD5">
            <w:pPr>
              <w:spacing w:line="329" w:lineRule="auto"/>
              <w:jc w:val="center"/>
              <w:rPr>
                <w:rFonts w:eastAsia="Times New Roman"/>
                <w:sz w:val="18"/>
                <w:szCs w:val="18"/>
              </w:rPr>
            </w:pPr>
            <w:r>
              <w:rPr>
                <w:rFonts w:eastAsia="Times New Roman"/>
                <w:sz w:val="18"/>
                <w:szCs w:val="18"/>
              </w:rPr>
              <w:t>-</w:t>
            </w:r>
          </w:p>
        </w:tc>
        <w:tc>
          <w:tcPr>
            <w:tcW w:w="2319" w:type="dxa"/>
            <w:vAlign w:val="center"/>
          </w:tcPr>
          <w:p w14:paraId="42230EC2" w14:textId="3E0708D9" w:rsidR="00A4205D" w:rsidRDefault="00A4205D" w:rsidP="00452CD5">
            <w:pPr>
              <w:spacing w:line="329" w:lineRule="auto"/>
              <w:jc w:val="center"/>
              <w:rPr>
                <w:rFonts w:eastAsia="Times New Roman"/>
                <w:sz w:val="18"/>
                <w:szCs w:val="18"/>
              </w:rPr>
            </w:pPr>
            <w:r>
              <w:rPr>
                <w:rFonts w:eastAsia="Times New Roman"/>
                <w:sz w:val="18"/>
                <w:szCs w:val="18"/>
              </w:rPr>
              <w:t>-</w:t>
            </w:r>
          </w:p>
        </w:tc>
      </w:tr>
      <w:tr w:rsidR="00A4205D" w14:paraId="06A9289C" w14:textId="77777777" w:rsidTr="00A4205D">
        <w:trPr>
          <w:trHeight w:val="691"/>
        </w:trPr>
        <w:tc>
          <w:tcPr>
            <w:tcW w:w="2279" w:type="dxa"/>
            <w:vAlign w:val="center"/>
          </w:tcPr>
          <w:p w14:paraId="3C539E0B" w14:textId="77777777" w:rsidR="00A4205D" w:rsidRDefault="00A4205D" w:rsidP="00452CD5">
            <w:pPr>
              <w:rPr>
                <w:sz w:val="20"/>
                <w:szCs w:val="20"/>
              </w:rPr>
            </w:pPr>
            <w:r>
              <w:rPr>
                <w:rFonts w:eastAsia="Times New Roman"/>
                <w:sz w:val="18"/>
                <w:szCs w:val="18"/>
              </w:rPr>
              <w:t>17-B-estradiol</w:t>
            </w:r>
          </w:p>
          <w:p w14:paraId="0DA6F38A" w14:textId="6EE2E130" w:rsidR="00A4205D" w:rsidRDefault="00A4205D" w:rsidP="00452CD5">
            <w:pPr>
              <w:rPr>
                <w:rFonts w:eastAsia="Times New Roman"/>
                <w:sz w:val="18"/>
                <w:szCs w:val="18"/>
              </w:rPr>
            </w:pPr>
            <w:r>
              <w:rPr>
                <w:rFonts w:eastAsia="Times New Roman"/>
                <w:sz w:val="18"/>
                <w:szCs w:val="18"/>
              </w:rPr>
              <w:t>(50282)</w:t>
            </w:r>
          </w:p>
        </w:tc>
        <w:tc>
          <w:tcPr>
            <w:tcW w:w="800" w:type="dxa"/>
            <w:vAlign w:val="center"/>
          </w:tcPr>
          <w:p w14:paraId="58D9B1F9" w14:textId="01CC5947" w:rsidR="00A4205D" w:rsidRDefault="00A4205D" w:rsidP="00452CD5">
            <w:pPr>
              <w:jc w:val="center"/>
              <w:rPr>
                <w:rFonts w:eastAsia="Times New Roman"/>
                <w:sz w:val="18"/>
                <w:szCs w:val="18"/>
              </w:rPr>
            </w:pPr>
            <w:r>
              <w:rPr>
                <w:rFonts w:eastAsia="Times New Roman"/>
                <w:sz w:val="18"/>
                <w:szCs w:val="18"/>
              </w:rPr>
              <w:t>*</w:t>
            </w:r>
          </w:p>
        </w:tc>
        <w:tc>
          <w:tcPr>
            <w:tcW w:w="1592" w:type="dxa"/>
            <w:vAlign w:val="center"/>
          </w:tcPr>
          <w:p w14:paraId="328D8A2E" w14:textId="36D4BF53" w:rsidR="00A4205D" w:rsidRDefault="00A4205D" w:rsidP="00452CD5">
            <w:pPr>
              <w:jc w:val="center"/>
              <w:rPr>
                <w:rFonts w:eastAsia="Times New Roman"/>
                <w:sz w:val="18"/>
                <w:szCs w:val="18"/>
              </w:rPr>
            </w:pPr>
            <w:r>
              <w:rPr>
                <w:rFonts w:eastAsia="Times New Roman"/>
                <w:sz w:val="18"/>
                <w:szCs w:val="18"/>
              </w:rPr>
              <w:t>-</w:t>
            </w:r>
          </w:p>
        </w:tc>
        <w:tc>
          <w:tcPr>
            <w:tcW w:w="1710" w:type="dxa"/>
            <w:vAlign w:val="center"/>
          </w:tcPr>
          <w:p w14:paraId="7AFACFB0" w14:textId="1868FBD2" w:rsidR="00A4205D" w:rsidRDefault="00A4205D" w:rsidP="00452CD5">
            <w:pPr>
              <w:jc w:val="center"/>
              <w:rPr>
                <w:rFonts w:eastAsia="Times New Roman"/>
                <w:sz w:val="18"/>
                <w:szCs w:val="18"/>
              </w:rPr>
            </w:pPr>
            <w:r>
              <w:rPr>
                <w:rFonts w:eastAsia="Times New Roman"/>
                <w:sz w:val="18"/>
                <w:szCs w:val="18"/>
              </w:rPr>
              <w:t>-</w:t>
            </w:r>
          </w:p>
        </w:tc>
        <w:tc>
          <w:tcPr>
            <w:tcW w:w="2455" w:type="dxa"/>
            <w:vAlign w:val="center"/>
          </w:tcPr>
          <w:p w14:paraId="02FE8FFF" w14:textId="0E916183" w:rsidR="00A4205D" w:rsidRDefault="00A4205D" w:rsidP="00452CD5">
            <w:pPr>
              <w:spacing w:line="329" w:lineRule="auto"/>
              <w:jc w:val="center"/>
              <w:rPr>
                <w:rFonts w:eastAsia="Times New Roman"/>
                <w:sz w:val="18"/>
                <w:szCs w:val="18"/>
              </w:rPr>
            </w:pPr>
            <w:r>
              <w:rPr>
                <w:rFonts w:eastAsia="Times New Roman"/>
                <w:sz w:val="18"/>
                <w:szCs w:val="18"/>
              </w:rPr>
              <w:t>-</w:t>
            </w:r>
          </w:p>
        </w:tc>
        <w:tc>
          <w:tcPr>
            <w:tcW w:w="2319" w:type="dxa"/>
            <w:vAlign w:val="center"/>
          </w:tcPr>
          <w:p w14:paraId="7AE6E341" w14:textId="7A56973B" w:rsidR="00A4205D" w:rsidRDefault="00A4205D" w:rsidP="00452CD5">
            <w:pPr>
              <w:spacing w:line="329" w:lineRule="auto"/>
              <w:jc w:val="center"/>
              <w:rPr>
                <w:rFonts w:eastAsia="Times New Roman"/>
                <w:sz w:val="18"/>
                <w:szCs w:val="18"/>
              </w:rPr>
            </w:pPr>
            <w:r>
              <w:rPr>
                <w:rFonts w:eastAsia="Times New Roman"/>
                <w:sz w:val="18"/>
                <w:szCs w:val="18"/>
              </w:rPr>
              <w:t>-</w:t>
            </w:r>
          </w:p>
        </w:tc>
      </w:tr>
      <w:tr w:rsidR="00A4205D" w14:paraId="61008623" w14:textId="77777777" w:rsidTr="00A4205D">
        <w:trPr>
          <w:trHeight w:val="691"/>
        </w:trPr>
        <w:tc>
          <w:tcPr>
            <w:tcW w:w="2279" w:type="dxa"/>
            <w:vAlign w:val="center"/>
          </w:tcPr>
          <w:p w14:paraId="0B7CE04A" w14:textId="77777777" w:rsidR="00A4205D" w:rsidRDefault="00A4205D" w:rsidP="00452CD5">
            <w:pPr>
              <w:rPr>
                <w:sz w:val="20"/>
                <w:szCs w:val="20"/>
              </w:rPr>
            </w:pPr>
            <w:r>
              <w:rPr>
                <w:rFonts w:eastAsia="Times New Roman"/>
                <w:sz w:val="18"/>
                <w:szCs w:val="18"/>
              </w:rPr>
              <w:t>Estrone</w:t>
            </w:r>
          </w:p>
          <w:p w14:paraId="4859B770" w14:textId="50B5360C" w:rsidR="00A4205D" w:rsidRDefault="00A4205D" w:rsidP="00452CD5">
            <w:pPr>
              <w:rPr>
                <w:rFonts w:eastAsia="Times New Roman"/>
                <w:sz w:val="18"/>
                <w:szCs w:val="18"/>
              </w:rPr>
            </w:pPr>
            <w:r>
              <w:rPr>
                <w:rFonts w:eastAsia="Times New Roman"/>
                <w:sz w:val="18"/>
                <w:szCs w:val="18"/>
              </w:rPr>
              <w:t>(53167)</w:t>
            </w:r>
          </w:p>
        </w:tc>
        <w:tc>
          <w:tcPr>
            <w:tcW w:w="800" w:type="dxa"/>
            <w:vAlign w:val="center"/>
          </w:tcPr>
          <w:p w14:paraId="34DF106A" w14:textId="483D14F8" w:rsidR="00A4205D" w:rsidRDefault="00A4205D" w:rsidP="00452CD5">
            <w:pPr>
              <w:jc w:val="center"/>
              <w:rPr>
                <w:rFonts w:eastAsia="Times New Roman"/>
                <w:sz w:val="18"/>
                <w:szCs w:val="18"/>
              </w:rPr>
            </w:pPr>
            <w:r>
              <w:rPr>
                <w:rFonts w:eastAsia="Times New Roman"/>
                <w:sz w:val="18"/>
                <w:szCs w:val="18"/>
              </w:rPr>
              <w:t>*</w:t>
            </w:r>
          </w:p>
        </w:tc>
        <w:tc>
          <w:tcPr>
            <w:tcW w:w="1592" w:type="dxa"/>
            <w:vAlign w:val="center"/>
          </w:tcPr>
          <w:p w14:paraId="6C858C58" w14:textId="67509716" w:rsidR="00A4205D" w:rsidRDefault="00A4205D" w:rsidP="00452CD5">
            <w:pPr>
              <w:jc w:val="center"/>
              <w:rPr>
                <w:rFonts w:eastAsia="Times New Roman"/>
                <w:sz w:val="18"/>
                <w:szCs w:val="18"/>
              </w:rPr>
            </w:pPr>
            <w:r>
              <w:rPr>
                <w:rFonts w:eastAsia="Times New Roman"/>
                <w:sz w:val="18"/>
                <w:szCs w:val="18"/>
              </w:rPr>
              <w:t>-</w:t>
            </w:r>
          </w:p>
        </w:tc>
        <w:tc>
          <w:tcPr>
            <w:tcW w:w="1710" w:type="dxa"/>
            <w:vAlign w:val="center"/>
          </w:tcPr>
          <w:p w14:paraId="5A660401" w14:textId="229523DF" w:rsidR="00A4205D" w:rsidRDefault="00A4205D" w:rsidP="00452CD5">
            <w:pPr>
              <w:jc w:val="center"/>
              <w:rPr>
                <w:rFonts w:eastAsia="Times New Roman"/>
                <w:sz w:val="18"/>
                <w:szCs w:val="18"/>
              </w:rPr>
            </w:pPr>
            <w:r>
              <w:rPr>
                <w:rFonts w:eastAsia="Times New Roman"/>
                <w:sz w:val="18"/>
                <w:szCs w:val="18"/>
              </w:rPr>
              <w:t>-</w:t>
            </w:r>
          </w:p>
        </w:tc>
        <w:tc>
          <w:tcPr>
            <w:tcW w:w="2455" w:type="dxa"/>
            <w:vAlign w:val="center"/>
          </w:tcPr>
          <w:p w14:paraId="16B473E8" w14:textId="4E8DEB71" w:rsidR="00A4205D" w:rsidRDefault="00A4205D" w:rsidP="00452CD5">
            <w:pPr>
              <w:spacing w:line="329" w:lineRule="auto"/>
              <w:jc w:val="center"/>
              <w:rPr>
                <w:rFonts w:eastAsia="Times New Roman"/>
                <w:sz w:val="18"/>
                <w:szCs w:val="18"/>
              </w:rPr>
            </w:pPr>
            <w:r>
              <w:rPr>
                <w:rFonts w:eastAsia="Times New Roman"/>
                <w:sz w:val="18"/>
                <w:szCs w:val="18"/>
              </w:rPr>
              <w:t>-</w:t>
            </w:r>
          </w:p>
        </w:tc>
        <w:tc>
          <w:tcPr>
            <w:tcW w:w="2319" w:type="dxa"/>
            <w:vAlign w:val="center"/>
          </w:tcPr>
          <w:p w14:paraId="23CF4115" w14:textId="358E2831" w:rsidR="00A4205D" w:rsidRDefault="00A4205D" w:rsidP="00452CD5">
            <w:pPr>
              <w:spacing w:line="329" w:lineRule="auto"/>
              <w:jc w:val="center"/>
              <w:rPr>
                <w:rFonts w:eastAsia="Times New Roman"/>
                <w:sz w:val="18"/>
                <w:szCs w:val="18"/>
              </w:rPr>
            </w:pPr>
            <w:r>
              <w:rPr>
                <w:rFonts w:eastAsia="Times New Roman"/>
                <w:sz w:val="18"/>
                <w:szCs w:val="18"/>
              </w:rPr>
              <w:t>-</w:t>
            </w:r>
          </w:p>
        </w:tc>
      </w:tr>
      <w:tr w:rsidR="00A4205D" w14:paraId="3771836D" w14:textId="77777777" w:rsidTr="00A4205D">
        <w:trPr>
          <w:trHeight w:val="691"/>
        </w:trPr>
        <w:tc>
          <w:tcPr>
            <w:tcW w:w="2279" w:type="dxa"/>
            <w:vAlign w:val="center"/>
          </w:tcPr>
          <w:p w14:paraId="037B64D6" w14:textId="77777777" w:rsidR="00A4205D" w:rsidRDefault="00A4205D" w:rsidP="00452CD5">
            <w:pPr>
              <w:rPr>
                <w:sz w:val="20"/>
                <w:szCs w:val="20"/>
              </w:rPr>
            </w:pPr>
            <w:r>
              <w:rPr>
                <w:rFonts w:eastAsia="Times New Roman"/>
                <w:sz w:val="18"/>
                <w:szCs w:val="18"/>
              </w:rPr>
              <w:t>Ethylene glycol</w:t>
            </w:r>
          </w:p>
          <w:p w14:paraId="0430184E" w14:textId="2FD81493" w:rsidR="00A4205D" w:rsidRDefault="00A4205D" w:rsidP="00452CD5">
            <w:pPr>
              <w:rPr>
                <w:rFonts w:eastAsia="Times New Roman"/>
                <w:sz w:val="18"/>
                <w:szCs w:val="18"/>
              </w:rPr>
            </w:pPr>
            <w:r>
              <w:rPr>
                <w:rFonts w:eastAsia="Times New Roman"/>
                <w:sz w:val="18"/>
                <w:szCs w:val="18"/>
              </w:rPr>
              <w:t>(107211)</w:t>
            </w:r>
          </w:p>
        </w:tc>
        <w:tc>
          <w:tcPr>
            <w:tcW w:w="800" w:type="dxa"/>
            <w:vAlign w:val="center"/>
          </w:tcPr>
          <w:p w14:paraId="4421173E" w14:textId="65D32673" w:rsidR="00A4205D" w:rsidRDefault="00A4205D" w:rsidP="00452CD5">
            <w:pPr>
              <w:jc w:val="center"/>
              <w:rPr>
                <w:rFonts w:eastAsia="Times New Roman"/>
                <w:sz w:val="18"/>
                <w:szCs w:val="18"/>
              </w:rPr>
            </w:pPr>
            <w:r>
              <w:rPr>
                <w:rFonts w:eastAsia="Times New Roman"/>
                <w:sz w:val="18"/>
                <w:szCs w:val="18"/>
              </w:rPr>
              <w:t>14 mg/L</w:t>
            </w:r>
          </w:p>
        </w:tc>
        <w:tc>
          <w:tcPr>
            <w:tcW w:w="1592" w:type="dxa"/>
            <w:vAlign w:val="center"/>
          </w:tcPr>
          <w:p w14:paraId="44857420" w14:textId="07258352" w:rsidR="00A4205D" w:rsidRDefault="00A4205D" w:rsidP="00452CD5">
            <w:pPr>
              <w:jc w:val="center"/>
              <w:rPr>
                <w:rFonts w:eastAsia="Times New Roman"/>
                <w:sz w:val="18"/>
                <w:szCs w:val="18"/>
              </w:rPr>
            </w:pPr>
            <w:r>
              <w:rPr>
                <w:rFonts w:eastAsia="Times New Roman"/>
                <w:sz w:val="18"/>
                <w:szCs w:val="18"/>
              </w:rPr>
              <w:t>-</w:t>
            </w:r>
          </w:p>
        </w:tc>
        <w:tc>
          <w:tcPr>
            <w:tcW w:w="1710" w:type="dxa"/>
            <w:vAlign w:val="center"/>
          </w:tcPr>
          <w:p w14:paraId="4EC4B7DB" w14:textId="79232B88" w:rsidR="00A4205D" w:rsidRDefault="00A4205D" w:rsidP="00452CD5">
            <w:pPr>
              <w:jc w:val="center"/>
              <w:rPr>
                <w:rFonts w:eastAsia="Times New Roman"/>
                <w:sz w:val="18"/>
                <w:szCs w:val="18"/>
              </w:rPr>
            </w:pPr>
            <w:r>
              <w:rPr>
                <w:rFonts w:eastAsia="Times New Roman"/>
                <w:sz w:val="18"/>
                <w:szCs w:val="18"/>
              </w:rPr>
              <w:t>14 ppm</w:t>
            </w:r>
          </w:p>
        </w:tc>
        <w:tc>
          <w:tcPr>
            <w:tcW w:w="2455" w:type="dxa"/>
          </w:tcPr>
          <w:p w14:paraId="6BCE2A4B" w14:textId="5E736F3C" w:rsidR="00A4205D" w:rsidRDefault="00A4205D" w:rsidP="00452CD5">
            <w:pPr>
              <w:spacing w:line="329" w:lineRule="auto"/>
              <w:ind w:left="43"/>
              <w:rPr>
                <w:rFonts w:eastAsia="Times New Roman"/>
                <w:sz w:val="18"/>
                <w:szCs w:val="18"/>
              </w:rPr>
            </w:pPr>
            <w:r>
              <w:rPr>
                <w:rFonts w:eastAsia="Times New Roman"/>
                <w:sz w:val="18"/>
                <w:szCs w:val="18"/>
              </w:rPr>
              <w:t>Run-off from use as a deicing chemical; discharge from antifreeze and industrial solvents</w:t>
            </w:r>
          </w:p>
        </w:tc>
        <w:tc>
          <w:tcPr>
            <w:tcW w:w="2319" w:type="dxa"/>
            <w:vAlign w:val="center"/>
          </w:tcPr>
          <w:p w14:paraId="5F396200" w14:textId="2D4F47DB" w:rsidR="00A4205D" w:rsidRDefault="00A4205D" w:rsidP="00452CD5">
            <w:pPr>
              <w:spacing w:line="329" w:lineRule="auto"/>
              <w:ind w:left="43" w:right="240"/>
              <w:rPr>
                <w:rFonts w:eastAsia="Times New Roman"/>
                <w:sz w:val="18"/>
                <w:szCs w:val="18"/>
              </w:rPr>
            </w:pPr>
            <w:r>
              <w:rPr>
                <w:rFonts w:eastAsia="Times New Roman"/>
                <w:sz w:val="18"/>
                <w:szCs w:val="18"/>
              </w:rPr>
              <w:t>Some people who drink water containing ethylene glycol at high concentrations for many years could experience effects on the kidneys, nervous system, and the heart.</w:t>
            </w:r>
          </w:p>
        </w:tc>
      </w:tr>
    </w:tbl>
    <w:p w14:paraId="281A4D7E" w14:textId="7B39DFAB" w:rsidR="00A23DA3" w:rsidRDefault="00A23DA3"/>
    <w:p w14:paraId="76469DB3" w14:textId="77777777" w:rsidR="00A23DA3" w:rsidRDefault="00A23DA3">
      <w:r>
        <w:br w:type="page"/>
      </w:r>
    </w:p>
    <w:p w14:paraId="281A4D7F" w14:textId="77777777" w:rsidR="004647B9" w:rsidRDefault="00E2436F">
      <w:pPr>
        <w:tabs>
          <w:tab w:val="left" w:pos="2860"/>
        </w:tabs>
        <w:ind w:left="1680"/>
        <w:rPr>
          <w:sz w:val="20"/>
          <w:szCs w:val="20"/>
        </w:rPr>
      </w:pPr>
      <w:bookmarkStart w:id="241" w:name="page244"/>
      <w:bookmarkEnd w:id="24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D80" w14:textId="77777777" w:rsidR="004647B9" w:rsidRDefault="004647B9" w:rsidP="009118C6">
      <w:pPr>
        <w:rPr>
          <w:sz w:val="20"/>
          <w:szCs w:val="20"/>
        </w:rPr>
      </w:pPr>
    </w:p>
    <w:p w14:paraId="7ADC2CDB" w14:textId="77777777" w:rsidR="009118C6" w:rsidRDefault="009118C6" w:rsidP="009118C6">
      <w:pPr>
        <w:rPr>
          <w:sz w:val="20"/>
          <w:szCs w:val="20"/>
        </w:rPr>
      </w:pPr>
    </w:p>
    <w:p w14:paraId="281A4D81" w14:textId="77777777" w:rsidR="004647B9" w:rsidRPr="009118C6" w:rsidRDefault="00E2436F" w:rsidP="009118C6">
      <w:pPr>
        <w:tabs>
          <w:tab w:val="left" w:pos="940"/>
        </w:tabs>
        <w:rPr>
          <w:sz w:val="24"/>
          <w:szCs w:val="24"/>
        </w:rPr>
      </w:pPr>
      <w:r w:rsidRPr="009118C6">
        <w:rPr>
          <w:rFonts w:eastAsia="Times New Roman"/>
          <w:sz w:val="24"/>
          <w:szCs w:val="24"/>
        </w:rPr>
        <w:t>22.16A:</w:t>
      </w:r>
      <w:r w:rsidRPr="009118C6">
        <w:rPr>
          <w:sz w:val="24"/>
          <w:szCs w:val="24"/>
        </w:rPr>
        <w:tab/>
      </w:r>
      <w:r w:rsidRPr="009118C6">
        <w:rPr>
          <w:rFonts w:eastAsia="Times New Roman"/>
          <w:sz w:val="24"/>
          <w:szCs w:val="24"/>
        </w:rPr>
        <w:t>continued</w:t>
      </w:r>
    </w:p>
    <w:p w14:paraId="281A4D83" w14:textId="77777777" w:rsidR="004647B9" w:rsidRDefault="004647B9" w:rsidP="009118C6">
      <w:pPr>
        <w:rPr>
          <w:sz w:val="20"/>
          <w:szCs w:val="20"/>
        </w:rPr>
      </w:pPr>
    </w:p>
    <w:tbl>
      <w:tblPr>
        <w:tblW w:w="11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7F6E90" w14:paraId="281A4D8B" w14:textId="77777777" w:rsidTr="00721317">
        <w:trPr>
          <w:trHeight w:val="755"/>
        </w:trPr>
        <w:tc>
          <w:tcPr>
            <w:tcW w:w="2280" w:type="dxa"/>
            <w:vAlign w:val="center"/>
          </w:tcPr>
          <w:p w14:paraId="0B3C1866" w14:textId="77777777" w:rsidR="007F6E90" w:rsidRDefault="007F6E90" w:rsidP="007F6E90">
            <w:pPr>
              <w:rPr>
                <w:sz w:val="20"/>
                <w:szCs w:val="20"/>
              </w:rPr>
            </w:pPr>
            <w:r>
              <w:rPr>
                <w:rFonts w:eastAsia="Times New Roman"/>
                <w:sz w:val="18"/>
                <w:szCs w:val="18"/>
              </w:rPr>
              <w:t>Chemical</w:t>
            </w:r>
          </w:p>
          <w:p w14:paraId="281A4D85" w14:textId="20878E8A" w:rsidR="007F6E90" w:rsidRDefault="007F6E90" w:rsidP="007F6E90">
            <w:pPr>
              <w:rPr>
                <w:sz w:val="24"/>
                <w:szCs w:val="24"/>
              </w:rPr>
            </w:pPr>
            <w:r>
              <w:rPr>
                <w:rFonts w:eastAsia="Times New Roman"/>
                <w:sz w:val="18"/>
                <w:szCs w:val="18"/>
              </w:rPr>
              <w:t>(CASRN)</w:t>
            </w:r>
          </w:p>
        </w:tc>
        <w:tc>
          <w:tcPr>
            <w:tcW w:w="800" w:type="dxa"/>
            <w:vAlign w:val="center"/>
          </w:tcPr>
          <w:p w14:paraId="281A4D86" w14:textId="77777777" w:rsidR="007F6E90" w:rsidRDefault="007F6E90" w:rsidP="007F6E90">
            <w:pPr>
              <w:jc w:val="center"/>
              <w:rPr>
                <w:sz w:val="20"/>
                <w:szCs w:val="20"/>
              </w:rPr>
            </w:pPr>
            <w:r>
              <w:rPr>
                <w:rFonts w:eastAsia="Times New Roman"/>
                <w:sz w:val="18"/>
                <w:szCs w:val="18"/>
              </w:rPr>
              <w:t>ORSG</w:t>
            </w:r>
          </w:p>
        </w:tc>
        <w:tc>
          <w:tcPr>
            <w:tcW w:w="1700" w:type="dxa"/>
            <w:vAlign w:val="center"/>
          </w:tcPr>
          <w:p w14:paraId="281A4D87" w14:textId="1C4CE962" w:rsidR="007F6E90" w:rsidRDefault="007F6E90" w:rsidP="007F6E90">
            <w:pPr>
              <w:jc w:val="center"/>
              <w:rPr>
                <w:sz w:val="20"/>
                <w:szCs w:val="20"/>
              </w:rPr>
            </w:pPr>
            <w:r>
              <w:rPr>
                <w:rFonts w:eastAsia="Times New Roman"/>
                <w:sz w:val="18"/>
                <w:szCs w:val="18"/>
              </w:rPr>
              <w:t>To convert for CCR, multiply by</w:t>
            </w:r>
          </w:p>
        </w:tc>
        <w:tc>
          <w:tcPr>
            <w:tcW w:w="1620" w:type="dxa"/>
            <w:vAlign w:val="center"/>
          </w:tcPr>
          <w:p w14:paraId="281A4D88" w14:textId="1588D43C" w:rsidR="007F6E90" w:rsidRDefault="007F6E90" w:rsidP="007F6E90">
            <w:pPr>
              <w:jc w:val="center"/>
              <w:rPr>
                <w:sz w:val="20"/>
                <w:szCs w:val="20"/>
              </w:rPr>
            </w:pPr>
            <w:r>
              <w:rPr>
                <w:rFonts w:eastAsia="Times New Roman"/>
                <w:sz w:val="18"/>
                <w:szCs w:val="18"/>
              </w:rPr>
              <w:t>ORSG in CCR units</w:t>
            </w:r>
          </w:p>
        </w:tc>
        <w:tc>
          <w:tcPr>
            <w:tcW w:w="2440" w:type="dxa"/>
            <w:vAlign w:val="center"/>
          </w:tcPr>
          <w:p w14:paraId="281A4D89" w14:textId="3D42B6B2" w:rsidR="007F6E90" w:rsidRDefault="007F6E90" w:rsidP="007F6E90">
            <w:pPr>
              <w:jc w:val="center"/>
              <w:rPr>
                <w:sz w:val="20"/>
                <w:szCs w:val="20"/>
              </w:rPr>
            </w:pPr>
            <w:r>
              <w:rPr>
                <w:rFonts w:eastAsia="Times New Roman"/>
                <w:sz w:val="18"/>
                <w:szCs w:val="18"/>
              </w:rPr>
              <w:t>Source to Drinking Water</w:t>
            </w:r>
          </w:p>
        </w:tc>
        <w:tc>
          <w:tcPr>
            <w:tcW w:w="2320" w:type="dxa"/>
            <w:vAlign w:val="center"/>
          </w:tcPr>
          <w:p w14:paraId="281A4D8A" w14:textId="77777777" w:rsidR="007F6E90" w:rsidRDefault="007F6E90" w:rsidP="007F6E90">
            <w:pPr>
              <w:jc w:val="center"/>
              <w:rPr>
                <w:sz w:val="20"/>
                <w:szCs w:val="20"/>
              </w:rPr>
            </w:pPr>
            <w:r>
              <w:rPr>
                <w:rFonts w:eastAsia="Times New Roman"/>
                <w:sz w:val="18"/>
                <w:szCs w:val="18"/>
              </w:rPr>
              <w:t>Health Effects</w:t>
            </w:r>
          </w:p>
        </w:tc>
      </w:tr>
      <w:tr w:rsidR="00F57A8F" w14:paraId="492EEF4A" w14:textId="77777777" w:rsidTr="00F57A8F">
        <w:trPr>
          <w:trHeight w:val="973"/>
        </w:trPr>
        <w:tc>
          <w:tcPr>
            <w:tcW w:w="2280" w:type="dxa"/>
            <w:vAlign w:val="center"/>
          </w:tcPr>
          <w:p w14:paraId="4B226567" w14:textId="77777777" w:rsidR="00F57A8F" w:rsidRDefault="00F57A8F" w:rsidP="00F57A8F">
            <w:pPr>
              <w:rPr>
                <w:rFonts w:eastAsia="Times New Roman"/>
                <w:sz w:val="18"/>
                <w:szCs w:val="18"/>
              </w:rPr>
            </w:pPr>
            <w:r>
              <w:rPr>
                <w:rFonts w:eastAsia="Times New Roman"/>
                <w:sz w:val="18"/>
                <w:szCs w:val="18"/>
              </w:rPr>
              <w:t>17-a-ethynylestradiol (ethinyl estradiol)</w:t>
            </w:r>
          </w:p>
          <w:p w14:paraId="236ADCC2" w14:textId="0198F6E4" w:rsidR="00F57A8F" w:rsidRDefault="00F57A8F" w:rsidP="00F57A8F">
            <w:pPr>
              <w:rPr>
                <w:rFonts w:eastAsia="Times New Roman"/>
                <w:sz w:val="18"/>
                <w:szCs w:val="18"/>
              </w:rPr>
            </w:pPr>
            <w:r>
              <w:rPr>
                <w:rFonts w:eastAsia="Times New Roman"/>
                <w:sz w:val="18"/>
                <w:szCs w:val="18"/>
              </w:rPr>
              <w:t>(57636)</w:t>
            </w:r>
          </w:p>
        </w:tc>
        <w:tc>
          <w:tcPr>
            <w:tcW w:w="800" w:type="dxa"/>
            <w:vAlign w:val="center"/>
          </w:tcPr>
          <w:p w14:paraId="55A3B8D8" w14:textId="64442D77" w:rsidR="00F57A8F" w:rsidRDefault="00F57A8F" w:rsidP="00F57A8F">
            <w:pPr>
              <w:jc w:val="center"/>
              <w:rPr>
                <w:rFonts w:eastAsia="Times New Roman"/>
                <w:sz w:val="18"/>
                <w:szCs w:val="18"/>
              </w:rPr>
            </w:pPr>
            <w:r>
              <w:rPr>
                <w:rFonts w:eastAsia="Times New Roman"/>
                <w:sz w:val="18"/>
                <w:szCs w:val="18"/>
              </w:rPr>
              <w:t>*</w:t>
            </w:r>
          </w:p>
        </w:tc>
        <w:tc>
          <w:tcPr>
            <w:tcW w:w="1700" w:type="dxa"/>
            <w:vAlign w:val="center"/>
          </w:tcPr>
          <w:p w14:paraId="04F7236B" w14:textId="2691279E" w:rsidR="00F57A8F" w:rsidRDefault="00F57A8F" w:rsidP="00F57A8F">
            <w:pPr>
              <w:jc w:val="center"/>
              <w:rPr>
                <w:rFonts w:eastAsia="Times New Roman"/>
                <w:w w:val="99"/>
                <w:sz w:val="18"/>
                <w:szCs w:val="18"/>
              </w:rPr>
            </w:pPr>
            <w:r>
              <w:rPr>
                <w:rFonts w:eastAsia="Times New Roman"/>
                <w:sz w:val="18"/>
                <w:szCs w:val="18"/>
              </w:rPr>
              <w:t>-</w:t>
            </w:r>
          </w:p>
        </w:tc>
        <w:tc>
          <w:tcPr>
            <w:tcW w:w="1620" w:type="dxa"/>
            <w:vAlign w:val="center"/>
          </w:tcPr>
          <w:p w14:paraId="18167765" w14:textId="29A9A13B" w:rsidR="00F57A8F" w:rsidRDefault="00F57A8F" w:rsidP="00F57A8F">
            <w:pPr>
              <w:jc w:val="center"/>
              <w:rPr>
                <w:rFonts w:eastAsia="Times New Roman"/>
                <w:w w:val="99"/>
                <w:sz w:val="18"/>
                <w:szCs w:val="18"/>
              </w:rPr>
            </w:pPr>
            <w:r>
              <w:rPr>
                <w:rFonts w:eastAsia="Times New Roman"/>
                <w:sz w:val="18"/>
                <w:szCs w:val="18"/>
              </w:rPr>
              <w:t>-</w:t>
            </w:r>
          </w:p>
        </w:tc>
        <w:tc>
          <w:tcPr>
            <w:tcW w:w="2440" w:type="dxa"/>
            <w:vAlign w:val="center"/>
          </w:tcPr>
          <w:p w14:paraId="30EF2806" w14:textId="6B9B1D30" w:rsidR="00F57A8F" w:rsidRDefault="00F57A8F" w:rsidP="00F57A8F">
            <w:pPr>
              <w:spacing w:line="329" w:lineRule="auto"/>
              <w:ind w:left="43"/>
              <w:rPr>
                <w:rFonts w:eastAsia="Times New Roman"/>
                <w:sz w:val="18"/>
                <w:szCs w:val="18"/>
              </w:rPr>
            </w:pPr>
            <w:r>
              <w:rPr>
                <w:rFonts w:eastAsia="Times New Roman"/>
                <w:sz w:val="18"/>
                <w:szCs w:val="18"/>
              </w:rPr>
              <w:t>-</w:t>
            </w:r>
          </w:p>
        </w:tc>
        <w:tc>
          <w:tcPr>
            <w:tcW w:w="2320" w:type="dxa"/>
            <w:vAlign w:val="center"/>
          </w:tcPr>
          <w:p w14:paraId="61DF28D9" w14:textId="38BBA297" w:rsidR="00F57A8F" w:rsidRDefault="00F57A8F" w:rsidP="00F57A8F">
            <w:pPr>
              <w:spacing w:line="329" w:lineRule="auto"/>
              <w:ind w:left="43"/>
              <w:rPr>
                <w:rFonts w:eastAsia="Times New Roman"/>
                <w:sz w:val="18"/>
                <w:szCs w:val="18"/>
              </w:rPr>
            </w:pPr>
            <w:r>
              <w:rPr>
                <w:rFonts w:eastAsia="Times New Roman"/>
                <w:sz w:val="18"/>
                <w:szCs w:val="18"/>
              </w:rPr>
              <w:t>-</w:t>
            </w:r>
          </w:p>
        </w:tc>
      </w:tr>
      <w:tr w:rsidR="007F6E90" w14:paraId="281A4DA1" w14:textId="77777777" w:rsidTr="00721317">
        <w:trPr>
          <w:trHeight w:val="2253"/>
        </w:trPr>
        <w:tc>
          <w:tcPr>
            <w:tcW w:w="2280" w:type="dxa"/>
            <w:vAlign w:val="center"/>
          </w:tcPr>
          <w:p w14:paraId="343197CE" w14:textId="77777777" w:rsidR="007F6E90" w:rsidRDefault="007F6E90" w:rsidP="007F6E90">
            <w:pPr>
              <w:rPr>
                <w:sz w:val="20"/>
                <w:szCs w:val="20"/>
              </w:rPr>
            </w:pPr>
            <w:r>
              <w:rPr>
                <w:rFonts w:eastAsia="Times New Roman"/>
                <w:sz w:val="18"/>
                <w:szCs w:val="18"/>
              </w:rPr>
              <w:t>Hexachlorobutadiene</w:t>
            </w:r>
          </w:p>
          <w:p w14:paraId="281A4D9B" w14:textId="6D999612" w:rsidR="007F6E90" w:rsidRDefault="007F6E90" w:rsidP="007F6E90">
            <w:pPr>
              <w:rPr>
                <w:sz w:val="20"/>
                <w:szCs w:val="20"/>
              </w:rPr>
            </w:pPr>
            <w:r>
              <w:rPr>
                <w:rFonts w:eastAsia="Times New Roman"/>
                <w:sz w:val="18"/>
                <w:szCs w:val="18"/>
              </w:rPr>
              <w:t>(87683)</w:t>
            </w:r>
          </w:p>
        </w:tc>
        <w:tc>
          <w:tcPr>
            <w:tcW w:w="800" w:type="dxa"/>
            <w:vAlign w:val="center"/>
          </w:tcPr>
          <w:p w14:paraId="281A4D9C" w14:textId="77777777" w:rsidR="007F6E90" w:rsidRDefault="007F6E90" w:rsidP="007F6E90">
            <w:pPr>
              <w:jc w:val="center"/>
              <w:rPr>
                <w:sz w:val="20"/>
                <w:szCs w:val="20"/>
              </w:rPr>
            </w:pPr>
            <w:r>
              <w:rPr>
                <w:rFonts w:eastAsia="Times New Roman"/>
                <w:sz w:val="18"/>
                <w:szCs w:val="18"/>
              </w:rPr>
              <w:t>*</w:t>
            </w:r>
          </w:p>
        </w:tc>
        <w:tc>
          <w:tcPr>
            <w:tcW w:w="1700" w:type="dxa"/>
            <w:vAlign w:val="center"/>
          </w:tcPr>
          <w:p w14:paraId="281A4D9D" w14:textId="77777777" w:rsidR="007F6E90" w:rsidRDefault="007F6E90" w:rsidP="007F6E90">
            <w:pPr>
              <w:jc w:val="center"/>
              <w:rPr>
                <w:sz w:val="20"/>
                <w:szCs w:val="20"/>
              </w:rPr>
            </w:pPr>
            <w:r>
              <w:rPr>
                <w:rFonts w:eastAsia="Times New Roman"/>
                <w:w w:val="99"/>
                <w:sz w:val="18"/>
                <w:szCs w:val="18"/>
              </w:rPr>
              <w:t>-</w:t>
            </w:r>
          </w:p>
        </w:tc>
        <w:tc>
          <w:tcPr>
            <w:tcW w:w="1620" w:type="dxa"/>
            <w:vAlign w:val="center"/>
          </w:tcPr>
          <w:p w14:paraId="281A4D9E" w14:textId="77777777" w:rsidR="007F6E90" w:rsidRDefault="007F6E90" w:rsidP="007F6E90">
            <w:pPr>
              <w:jc w:val="center"/>
              <w:rPr>
                <w:sz w:val="20"/>
                <w:szCs w:val="20"/>
              </w:rPr>
            </w:pPr>
            <w:r>
              <w:rPr>
                <w:rFonts w:eastAsia="Times New Roman"/>
                <w:w w:val="99"/>
                <w:sz w:val="18"/>
                <w:szCs w:val="18"/>
              </w:rPr>
              <w:t>-</w:t>
            </w:r>
          </w:p>
        </w:tc>
        <w:tc>
          <w:tcPr>
            <w:tcW w:w="2440" w:type="dxa"/>
          </w:tcPr>
          <w:p w14:paraId="281A4D9F" w14:textId="432ADA86" w:rsidR="007F6E90" w:rsidRPr="007F6E90" w:rsidRDefault="007F6E90" w:rsidP="007F6E90">
            <w:pPr>
              <w:spacing w:line="329" w:lineRule="auto"/>
              <w:ind w:left="43"/>
              <w:rPr>
                <w:rFonts w:eastAsia="Times New Roman"/>
                <w:sz w:val="18"/>
                <w:szCs w:val="18"/>
              </w:rPr>
            </w:pPr>
            <w:r>
              <w:rPr>
                <w:rFonts w:eastAsia="Times New Roman"/>
                <w:sz w:val="18"/>
                <w:szCs w:val="18"/>
              </w:rPr>
              <w:t>Discharge from use as an industrial solvent</w:t>
            </w:r>
          </w:p>
        </w:tc>
        <w:tc>
          <w:tcPr>
            <w:tcW w:w="2320" w:type="dxa"/>
          </w:tcPr>
          <w:p w14:paraId="281A4DA0" w14:textId="4004DC76" w:rsidR="007F6E90" w:rsidRPr="007F6E90" w:rsidRDefault="007F6E90" w:rsidP="007F6E90">
            <w:pPr>
              <w:spacing w:line="329" w:lineRule="auto"/>
              <w:ind w:left="43"/>
              <w:rPr>
                <w:rFonts w:eastAsia="Times New Roman"/>
                <w:sz w:val="18"/>
                <w:szCs w:val="18"/>
              </w:rPr>
            </w:pPr>
            <w:r>
              <w:rPr>
                <w:rFonts w:eastAsia="Times New Roman"/>
                <w:sz w:val="18"/>
                <w:szCs w:val="18"/>
              </w:rPr>
              <w:t>Some people who drink water containing hexachlorobutadiene at high concentrations for many years could experience kidney effects and effects on a fetus.</w:t>
            </w:r>
          </w:p>
        </w:tc>
      </w:tr>
      <w:tr w:rsidR="007F6E90" w14:paraId="281A4DE0" w14:textId="77777777" w:rsidTr="00721317">
        <w:trPr>
          <w:trHeight w:val="1954"/>
        </w:trPr>
        <w:tc>
          <w:tcPr>
            <w:tcW w:w="2280" w:type="dxa"/>
            <w:vAlign w:val="center"/>
          </w:tcPr>
          <w:p w14:paraId="281A4DDA" w14:textId="77777777" w:rsidR="007F6E90" w:rsidRDefault="007F6E90" w:rsidP="007F6E90">
            <w:pPr>
              <w:rPr>
                <w:sz w:val="20"/>
                <w:szCs w:val="20"/>
              </w:rPr>
            </w:pPr>
            <w:r>
              <w:rPr>
                <w:rFonts w:eastAsia="Times New Roman"/>
                <w:sz w:val="18"/>
                <w:szCs w:val="18"/>
              </w:rPr>
              <w:t>3-Hydroxycarbofuran</w:t>
            </w:r>
          </w:p>
        </w:tc>
        <w:tc>
          <w:tcPr>
            <w:tcW w:w="800" w:type="dxa"/>
            <w:vAlign w:val="center"/>
          </w:tcPr>
          <w:p w14:paraId="281A4DDB" w14:textId="77777777" w:rsidR="007F6E90" w:rsidRDefault="007F6E90" w:rsidP="007F6E90">
            <w:pPr>
              <w:jc w:val="center"/>
              <w:rPr>
                <w:sz w:val="20"/>
                <w:szCs w:val="20"/>
              </w:rPr>
            </w:pPr>
            <w:r>
              <w:rPr>
                <w:rFonts w:eastAsia="Times New Roman"/>
                <w:sz w:val="18"/>
                <w:szCs w:val="18"/>
              </w:rPr>
              <w:t>*</w:t>
            </w:r>
          </w:p>
        </w:tc>
        <w:tc>
          <w:tcPr>
            <w:tcW w:w="1700" w:type="dxa"/>
            <w:vAlign w:val="center"/>
          </w:tcPr>
          <w:p w14:paraId="281A4DDC" w14:textId="77777777" w:rsidR="007F6E90" w:rsidRDefault="007F6E90" w:rsidP="007F6E90">
            <w:pPr>
              <w:jc w:val="center"/>
              <w:rPr>
                <w:sz w:val="20"/>
                <w:szCs w:val="20"/>
              </w:rPr>
            </w:pPr>
            <w:r>
              <w:rPr>
                <w:rFonts w:eastAsia="Times New Roman"/>
                <w:w w:val="99"/>
                <w:sz w:val="18"/>
                <w:szCs w:val="18"/>
              </w:rPr>
              <w:t>-</w:t>
            </w:r>
          </w:p>
        </w:tc>
        <w:tc>
          <w:tcPr>
            <w:tcW w:w="1620" w:type="dxa"/>
            <w:vAlign w:val="center"/>
          </w:tcPr>
          <w:p w14:paraId="281A4DDD" w14:textId="77777777" w:rsidR="007F6E90" w:rsidRDefault="007F6E90" w:rsidP="007F6E90">
            <w:pPr>
              <w:jc w:val="center"/>
              <w:rPr>
                <w:sz w:val="20"/>
                <w:szCs w:val="20"/>
              </w:rPr>
            </w:pPr>
            <w:r>
              <w:rPr>
                <w:rFonts w:eastAsia="Times New Roman"/>
                <w:w w:val="99"/>
                <w:sz w:val="18"/>
                <w:szCs w:val="18"/>
              </w:rPr>
              <w:t>-</w:t>
            </w:r>
          </w:p>
        </w:tc>
        <w:tc>
          <w:tcPr>
            <w:tcW w:w="2440" w:type="dxa"/>
          </w:tcPr>
          <w:p w14:paraId="281A4DDE" w14:textId="72999F9C" w:rsidR="007F6E90" w:rsidRPr="007F6E90" w:rsidRDefault="007F6E90" w:rsidP="007F6E90">
            <w:pPr>
              <w:spacing w:line="329" w:lineRule="auto"/>
              <w:ind w:left="43"/>
              <w:rPr>
                <w:rFonts w:eastAsia="Times New Roman"/>
                <w:sz w:val="18"/>
                <w:szCs w:val="18"/>
              </w:rPr>
            </w:pPr>
            <w:r>
              <w:rPr>
                <w:rFonts w:eastAsia="Times New Roman"/>
                <w:sz w:val="18"/>
                <w:szCs w:val="18"/>
              </w:rPr>
              <w:t>Breakdown product from the use of the pesticide carboxyfuran</w:t>
            </w:r>
          </w:p>
        </w:tc>
        <w:tc>
          <w:tcPr>
            <w:tcW w:w="2320" w:type="dxa"/>
          </w:tcPr>
          <w:p w14:paraId="281A4DDF" w14:textId="25553869" w:rsidR="007F6E90" w:rsidRPr="007F6E90" w:rsidRDefault="007F6E90" w:rsidP="007F6E90">
            <w:pPr>
              <w:spacing w:line="329" w:lineRule="auto"/>
              <w:ind w:left="43"/>
              <w:rPr>
                <w:rFonts w:eastAsia="Times New Roman"/>
                <w:sz w:val="18"/>
                <w:szCs w:val="18"/>
              </w:rPr>
            </w:pPr>
            <w:r>
              <w:rPr>
                <w:rFonts w:eastAsia="Times New Roman"/>
                <w:sz w:val="18"/>
                <w:szCs w:val="18"/>
              </w:rPr>
              <w:t>Some people who drink water containing 3-hydroxycarbofuran at high concentrations for many years could experience liver effects.</w:t>
            </w:r>
          </w:p>
        </w:tc>
      </w:tr>
      <w:tr w:rsidR="007F6E90" w14:paraId="281A4E17" w14:textId="77777777" w:rsidTr="00721317">
        <w:trPr>
          <w:trHeight w:val="2255"/>
        </w:trPr>
        <w:tc>
          <w:tcPr>
            <w:tcW w:w="2280" w:type="dxa"/>
            <w:vAlign w:val="center"/>
          </w:tcPr>
          <w:p w14:paraId="71C8BC6B" w14:textId="77777777" w:rsidR="007F6E90" w:rsidRDefault="007F6E90" w:rsidP="007F6E90">
            <w:pPr>
              <w:rPr>
                <w:sz w:val="20"/>
                <w:szCs w:val="20"/>
              </w:rPr>
            </w:pPr>
            <w:r>
              <w:rPr>
                <w:rFonts w:eastAsia="Times New Roman"/>
                <w:sz w:val="18"/>
                <w:szCs w:val="18"/>
              </w:rPr>
              <w:t>Isopropylbenzene</w:t>
            </w:r>
          </w:p>
          <w:p w14:paraId="281A4E11" w14:textId="3CF14544" w:rsidR="007F6E90" w:rsidRDefault="007F6E90" w:rsidP="007F6E90">
            <w:pPr>
              <w:rPr>
                <w:sz w:val="20"/>
                <w:szCs w:val="20"/>
              </w:rPr>
            </w:pPr>
            <w:r>
              <w:rPr>
                <w:rFonts w:eastAsia="Times New Roman"/>
                <w:sz w:val="18"/>
                <w:szCs w:val="18"/>
              </w:rPr>
              <w:t>(98828)</w:t>
            </w:r>
          </w:p>
        </w:tc>
        <w:tc>
          <w:tcPr>
            <w:tcW w:w="800" w:type="dxa"/>
            <w:vAlign w:val="center"/>
          </w:tcPr>
          <w:p w14:paraId="281A4E12" w14:textId="77777777" w:rsidR="007F6E90" w:rsidRDefault="007F6E90" w:rsidP="007F6E90">
            <w:pPr>
              <w:jc w:val="center"/>
              <w:rPr>
                <w:sz w:val="20"/>
                <w:szCs w:val="20"/>
              </w:rPr>
            </w:pPr>
            <w:r>
              <w:rPr>
                <w:rFonts w:eastAsia="Times New Roman"/>
                <w:sz w:val="18"/>
                <w:szCs w:val="18"/>
              </w:rPr>
              <w:t>*</w:t>
            </w:r>
          </w:p>
        </w:tc>
        <w:tc>
          <w:tcPr>
            <w:tcW w:w="1700" w:type="dxa"/>
            <w:vAlign w:val="center"/>
          </w:tcPr>
          <w:p w14:paraId="281A4E13" w14:textId="77777777" w:rsidR="007F6E90" w:rsidRDefault="007F6E90" w:rsidP="007F6E90">
            <w:pPr>
              <w:jc w:val="center"/>
              <w:rPr>
                <w:sz w:val="20"/>
                <w:szCs w:val="20"/>
              </w:rPr>
            </w:pPr>
            <w:r>
              <w:rPr>
                <w:rFonts w:eastAsia="Times New Roman"/>
                <w:w w:val="99"/>
                <w:sz w:val="18"/>
                <w:szCs w:val="18"/>
              </w:rPr>
              <w:t>-</w:t>
            </w:r>
          </w:p>
        </w:tc>
        <w:tc>
          <w:tcPr>
            <w:tcW w:w="1620" w:type="dxa"/>
            <w:vAlign w:val="center"/>
          </w:tcPr>
          <w:p w14:paraId="281A4E14" w14:textId="77777777" w:rsidR="007F6E90" w:rsidRDefault="007F6E90" w:rsidP="007F6E90">
            <w:pPr>
              <w:jc w:val="center"/>
              <w:rPr>
                <w:sz w:val="20"/>
                <w:szCs w:val="20"/>
              </w:rPr>
            </w:pPr>
            <w:r>
              <w:rPr>
                <w:rFonts w:eastAsia="Times New Roman"/>
                <w:w w:val="99"/>
                <w:sz w:val="18"/>
                <w:szCs w:val="18"/>
              </w:rPr>
              <w:t>-</w:t>
            </w:r>
          </w:p>
        </w:tc>
        <w:tc>
          <w:tcPr>
            <w:tcW w:w="2440" w:type="dxa"/>
          </w:tcPr>
          <w:p w14:paraId="281A4E15" w14:textId="65C2CD81" w:rsidR="007F6E90" w:rsidRPr="007F6E90" w:rsidRDefault="007F6E90" w:rsidP="007F6E90">
            <w:pPr>
              <w:spacing w:line="329" w:lineRule="auto"/>
              <w:ind w:left="43"/>
              <w:rPr>
                <w:rFonts w:eastAsia="Times New Roman"/>
                <w:sz w:val="18"/>
                <w:szCs w:val="18"/>
              </w:rPr>
            </w:pPr>
            <w:r>
              <w:rPr>
                <w:rFonts w:eastAsia="Times New Roman"/>
                <w:sz w:val="18"/>
                <w:szCs w:val="18"/>
              </w:rPr>
              <w:t>Discharge from chemical manufacturing</w:t>
            </w:r>
          </w:p>
        </w:tc>
        <w:tc>
          <w:tcPr>
            <w:tcW w:w="2320" w:type="dxa"/>
          </w:tcPr>
          <w:p w14:paraId="281A4E16" w14:textId="34997B0B" w:rsidR="007F6E90" w:rsidRPr="007F6E90" w:rsidRDefault="007F6E90" w:rsidP="007F6E90">
            <w:pPr>
              <w:spacing w:line="329" w:lineRule="auto"/>
              <w:ind w:left="43"/>
              <w:rPr>
                <w:rFonts w:eastAsia="Times New Roman"/>
                <w:sz w:val="18"/>
                <w:szCs w:val="18"/>
              </w:rPr>
            </w:pPr>
            <w:r>
              <w:rPr>
                <w:rFonts w:eastAsia="Times New Roman"/>
                <w:sz w:val="18"/>
                <w:szCs w:val="18"/>
              </w:rPr>
              <w:t>Some people who drink water containing isopropylbenzene at high concentrations for many years could experience central nervous system effects.</w:t>
            </w:r>
          </w:p>
        </w:tc>
      </w:tr>
      <w:tr w:rsidR="007F6E90" w14:paraId="281A4E56" w14:textId="77777777" w:rsidTr="00721317">
        <w:trPr>
          <w:trHeight w:val="2253"/>
        </w:trPr>
        <w:tc>
          <w:tcPr>
            <w:tcW w:w="2280" w:type="dxa"/>
            <w:vAlign w:val="center"/>
          </w:tcPr>
          <w:p w14:paraId="281A4E50" w14:textId="77777777" w:rsidR="007F6E90" w:rsidRDefault="007F6E90" w:rsidP="007F6E90">
            <w:pPr>
              <w:rPr>
                <w:sz w:val="20"/>
                <w:szCs w:val="20"/>
              </w:rPr>
            </w:pPr>
            <w:r>
              <w:rPr>
                <w:rFonts w:eastAsia="Times New Roman"/>
                <w:sz w:val="18"/>
                <w:szCs w:val="18"/>
              </w:rPr>
              <w:t>Isopropyltoluene</w:t>
            </w:r>
          </w:p>
        </w:tc>
        <w:tc>
          <w:tcPr>
            <w:tcW w:w="800" w:type="dxa"/>
            <w:vAlign w:val="center"/>
          </w:tcPr>
          <w:p w14:paraId="281A4E51" w14:textId="77777777" w:rsidR="007F6E90" w:rsidRDefault="007F6E90" w:rsidP="007F6E90">
            <w:pPr>
              <w:jc w:val="center"/>
              <w:rPr>
                <w:sz w:val="20"/>
                <w:szCs w:val="20"/>
              </w:rPr>
            </w:pPr>
            <w:r>
              <w:rPr>
                <w:rFonts w:eastAsia="Times New Roman"/>
                <w:sz w:val="18"/>
                <w:szCs w:val="18"/>
              </w:rPr>
              <w:t>*</w:t>
            </w:r>
          </w:p>
        </w:tc>
        <w:tc>
          <w:tcPr>
            <w:tcW w:w="1700" w:type="dxa"/>
            <w:vAlign w:val="center"/>
          </w:tcPr>
          <w:p w14:paraId="281A4E52" w14:textId="77777777" w:rsidR="007F6E90" w:rsidRDefault="007F6E90" w:rsidP="007F6E90">
            <w:pPr>
              <w:jc w:val="center"/>
              <w:rPr>
                <w:sz w:val="20"/>
                <w:szCs w:val="20"/>
              </w:rPr>
            </w:pPr>
            <w:r>
              <w:rPr>
                <w:rFonts w:eastAsia="Times New Roman"/>
                <w:w w:val="99"/>
                <w:sz w:val="18"/>
                <w:szCs w:val="18"/>
              </w:rPr>
              <w:t>-</w:t>
            </w:r>
          </w:p>
        </w:tc>
        <w:tc>
          <w:tcPr>
            <w:tcW w:w="1620" w:type="dxa"/>
            <w:vAlign w:val="center"/>
          </w:tcPr>
          <w:p w14:paraId="281A4E53" w14:textId="77777777" w:rsidR="007F6E90" w:rsidRDefault="007F6E90" w:rsidP="007F6E90">
            <w:pPr>
              <w:jc w:val="center"/>
              <w:rPr>
                <w:sz w:val="20"/>
                <w:szCs w:val="20"/>
              </w:rPr>
            </w:pPr>
            <w:r>
              <w:rPr>
                <w:rFonts w:eastAsia="Times New Roman"/>
                <w:w w:val="99"/>
                <w:sz w:val="18"/>
                <w:szCs w:val="18"/>
              </w:rPr>
              <w:t>-</w:t>
            </w:r>
          </w:p>
        </w:tc>
        <w:tc>
          <w:tcPr>
            <w:tcW w:w="2440" w:type="dxa"/>
          </w:tcPr>
          <w:p w14:paraId="281A4E54" w14:textId="25420B7C" w:rsidR="007F6E90" w:rsidRPr="007F6E90" w:rsidRDefault="007F6E90" w:rsidP="007F6E90">
            <w:pPr>
              <w:spacing w:line="329" w:lineRule="auto"/>
              <w:ind w:left="43"/>
              <w:rPr>
                <w:rFonts w:eastAsia="Times New Roman"/>
                <w:sz w:val="18"/>
                <w:szCs w:val="18"/>
              </w:rPr>
            </w:pPr>
            <w:r>
              <w:rPr>
                <w:rFonts w:eastAsia="Times New Roman"/>
                <w:sz w:val="18"/>
                <w:szCs w:val="18"/>
              </w:rPr>
              <w:t>Discharge from chemical manufacturing</w:t>
            </w:r>
          </w:p>
        </w:tc>
        <w:tc>
          <w:tcPr>
            <w:tcW w:w="2320" w:type="dxa"/>
          </w:tcPr>
          <w:p w14:paraId="281A4E55" w14:textId="199B4E43" w:rsidR="007F6E90" w:rsidRPr="007F6E90" w:rsidRDefault="007F6E90" w:rsidP="007F6E90">
            <w:pPr>
              <w:spacing w:line="329" w:lineRule="auto"/>
              <w:ind w:left="43"/>
              <w:rPr>
                <w:rFonts w:eastAsia="Times New Roman"/>
                <w:sz w:val="18"/>
                <w:szCs w:val="18"/>
              </w:rPr>
            </w:pPr>
            <w:r>
              <w:rPr>
                <w:rFonts w:eastAsia="Times New Roman"/>
                <w:sz w:val="18"/>
                <w:szCs w:val="18"/>
              </w:rPr>
              <w:t>Some people who drink water containing isopropyltoluene at high concentrations for many years may experience central nervous system effects.</w:t>
            </w:r>
          </w:p>
        </w:tc>
      </w:tr>
      <w:tr w:rsidR="007F6E90" w14:paraId="281A4E95" w14:textId="77777777" w:rsidTr="00721317">
        <w:trPr>
          <w:trHeight w:val="1953"/>
        </w:trPr>
        <w:tc>
          <w:tcPr>
            <w:tcW w:w="2280" w:type="dxa"/>
            <w:vAlign w:val="center"/>
          </w:tcPr>
          <w:p w14:paraId="40DD760B" w14:textId="77777777" w:rsidR="007F6E90" w:rsidRDefault="007F6E90" w:rsidP="007F6E90">
            <w:pPr>
              <w:rPr>
                <w:sz w:val="20"/>
                <w:szCs w:val="20"/>
              </w:rPr>
            </w:pPr>
            <w:r>
              <w:rPr>
                <w:rFonts w:eastAsia="Times New Roman"/>
                <w:sz w:val="18"/>
                <w:szCs w:val="18"/>
              </w:rPr>
              <w:t>Methyl ethyl ketone</w:t>
            </w:r>
          </w:p>
          <w:p w14:paraId="281A4E8F" w14:textId="0B066315" w:rsidR="007F6E90" w:rsidRDefault="007F6E90" w:rsidP="007F6E90">
            <w:pPr>
              <w:rPr>
                <w:sz w:val="20"/>
                <w:szCs w:val="20"/>
              </w:rPr>
            </w:pPr>
            <w:r>
              <w:rPr>
                <w:rFonts w:eastAsia="Times New Roman"/>
                <w:sz w:val="18"/>
                <w:szCs w:val="18"/>
              </w:rPr>
              <w:t>(78933)</w:t>
            </w:r>
          </w:p>
        </w:tc>
        <w:tc>
          <w:tcPr>
            <w:tcW w:w="800" w:type="dxa"/>
            <w:vAlign w:val="center"/>
          </w:tcPr>
          <w:p w14:paraId="281A4E90" w14:textId="41A39058" w:rsidR="007F6E90" w:rsidRDefault="007F6E90" w:rsidP="007F6E90">
            <w:pPr>
              <w:jc w:val="center"/>
              <w:rPr>
                <w:sz w:val="20"/>
                <w:szCs w:val="20"/>
              </w:rPr>
            </w:pPr>
            <w:r>
              <w:rPr>
                <w:rFonts w:eastAsia="Times New Roman"/>
                <w:sz w:val="18"/>
                <w:szCs w:val="18"/>
              </w:rPr>
              <w:t>0.35 mg/L</w:t>
            </w:r>
          </w:p>
        </w:tc>
        <w:tc>
          <w:tcPr>
            <w:tcW w:w="1700" w:type="dxa"/>
            <w:vAlign w:val="center"/>
          </w:tcPr>
          <w:p w14:paraId="281A4E91" w14:textId="77777777" w:rsidR="007F6E90" w:rsidRDefault="007F6E90" w:rsidP="007F6E90">
            <w:pPr>
              <w:jc w:val="center"/>
              <w:rPr>
                <w:sz w:val="20"/>
                <w:szCs w:val="20"/>
              </w:rPr>
            </w:pPr>
            <w:r>
              <w:rPr>
                <w:rFonts w:eastAsia="Times New Roman"/>
                <w:sz w:val="18"/>
                <w:szCs w:val="18"/>
              </w:rPr>
              <w:t>1000</w:t>
            </w:r>
          </w:p>
        </w:tc>
        <w:tc>
          <w:tcPr>
            <w:tcW w:w="1620" w:type="dxa"/>
            <w:vAlign w:val="center"/>
          </w:tcPr>
          <w:p w14:paraId="281A4E92" w14:textId="265AF74E" w:rsidR="007F6E90" w:rsidRDefault="007F6E90" w:rsidP="007F6E90">
            <w:pPr>
              <w:jc w:val="center"/>
              <w:rPr>
                <w:sz w:val="20"/>
                <w:szCs w:val="20"/>
              </w:rPr>
            </w:pPr>
            <w:r>
              <w:rPr>
                <w:rFonts w:eastAsia="Times New Roman"/>
                <w:sz w:val="18"/>
                <w:szCs w:val="18"/>
              </w:rPr>
              <w:t>350 ppm</w:t>
            </w:r>
          </w:p>
        </w:tc>
        <w:tc>
          <w:tcPr>
            <w:tcW w:w="2440" w:type="dxa"/>
          </w:tcPr>
          <w:p w14:paraId="281A4E93" w14:textId="599FAC7A" w:rsidR="007F6E90" w:rsidRPr="007F6E90" w:rsidRDefault="007F6E90" w:rsidP="007F6E90">
            <w:pPr>
              <w:spacing w:line="329" w:lineRule="auto"/>
              <w:ind w:left="43"/>
              <w:rPr>
                <w:rFonts w:eastAsia="Times New Roman"/>
                <w:sz w:val="18"/>
                <w:szCs w:val="18"/>
              </w:rPr>
            </w:pPr>
            <w:r>
              <w:rPr>
                <w:rFonts w:eastAsia="Times New Roman"/>
                <w:sz w:val="18"/>
                <w:szCs w:val="18"/>
              </w:rPr>
              <w:t>Discharge from use as a production solvent and degreaser</w:t>
            </w:r>
          </w:p>
        </w:tc>
        <w:tc>
          <w:tcPr>
            <w:tcW w:w="2320" w:type="dxa"/>
          </w:tcPr>
          <w:p w14:paraId="281A4E94" w14:textId="4B49D138" w:rsidR="007F6E90" w:rsidRPr="007F6E90" w:rsidRDefault="007F6E90" w:rsidP="007F6E90">
            <w:pPr>
              <w:spacing w:line="329" w:lineRule="auto"/>
              <w:ind w:left="43"/>
              <w:rPr>
                <w:rFonts w:eastAsia="Times New Roman"/>
                <w:sz w:val="18"/>
                <w:szCs w:val="18"/>
              </w:rPr>
            </w:pPr>
            <w:r>
              <w:rPr>
                <w:rFonts w:eastAsia="Times New Roman"/>
                <w:sz w:val="18"/>
                <w:szCs w:val="18"/>
              </w:rPr>
              <w:t>Some people who drink water containing methyl ethyl ketone at high concentrations for many years could experience effects on the kidney.</w:t>
            </w:r>
          </w:p>
        </w:tc>
      </w:tr>
      <w:tr w:rsidR="007F6E90" w14:paraId="15762F26" w14:textId="77777777" w:rsidTr="00721317">
        <w:trPr>
          <w:trHeight w:val="1953"/>
        </w:trPr>
        <w:tc>
          <w:tcPr>
            <w:tcW w:w="2280" w:type="dxa"/>
            <w:vAlign w:val="center"/>
          </w:tcPr>
          <w:p w14:paraId="110CB3AF" w14:textId="77777777" w:rsidR="007F6E90" w:rsidRDefault="007F6E90" w:rsidP="007F6E90">
            <w:pPr>
              <w:rPr>
                <w:sz w:val="20"/>
                <w:szCs w:val="20"/>
              </w:rPr>
            </w:pPr>
            <w:r>
              <w:rPr>
                <w:rFonts w:eastAsia="Times New Roman"/>
                <w:sz w:val="18"/>
                <w:szCs w:val="18"/>
              </w:rPr>
              <w:t>Methyl isobutyl ketone</w:t>
            </w:r>
          </w:p>
          <w:p w14:paraId="30636886" w14:textId="2F55EF8E" w:rsidR="007F6E90" w:rsidRDefault="007F6E90" w:rsidP="007F6E90">
            <w:pPr>
              <w:rPr>
                <w:rFonts w:eastAsia="Times New Roman"/>
                <w:sz w:val="18"/>
                <w:szCs w:val="18"/>
              </w:rPr>
            </w:pPr>
            <w:r>
              <w:rPr>
                <w:rFonts w:eastAsia="Times New Roman"/>
                <w:sz w:val="18"/>
                <w:szCs w:val="18"/>
              </w:rPr>
              <w:t>(108101)</w:t>
            </w:r>
          </w:p>
        </w:tc>
        <w:tc>
          <w:tcPr>
            <w:tcW w:w="800" w:type="dxa"/>
            <w:vAlign w:val="center"/>
          </w:tcPr>
          <w:p w14:paraId="70ADAF9F" w14:textId="45F0C0BC" w:rsidR="007F6E90" w:rsidRDefault="007F6E90" w:rsidP="007F6E90">
            <w:pPr>
              <w:jc w:val="center"/>
              <w:rPr>
                <w:rFonts w:eastAsia="Times New Roman"/>
                <w:sz w:val="18"/>
                <w:szCs w:val="18"/>
              </w:rPr>
            </w:pPr>
            <w:r>
              <w:rPr>
                <w:rFonts w:eastAsia="Times New Roman"/>
                <w:sz w:val="18"/>
                <w:szCs w:val="18"/>
              </w:rPr>
              <w:t>4.0 mg/L</w:t>
            </w:r>
          </w:p>
        </w:tc>
        <w:tc>
          <w:tcPr>
            <w:tcW w:w="1700" w:type="dxa"/>
            <w:vAlign w:val="center"/>
          </w:tcPr>
          <w:p w14:paraId="523769E3" w14:textId="1A265E06" w:rsidR="007F6E90" w:rsidRDefault="007F6E90" w:rsidP="007F6E90">
            <w:pPr>
              <w:jc w:val="center"/>
              <w:rPr>
                <w:rFonts w:eastAsia="Times New Roman"/>
                <w:sz w:val="18"/>
                <w:szCs w:val="18"/>
              </w:rPr>
            </w:pPr>
            <w:r>
              <w:rPr>
                <w:rFonts w:eastAsia="Times New Roman"/>
                <w:sz w:val="18"/>
                <w:szCs w:val="18"/>
              </w:rPr>
              <w:t>-</w:t>
            </w:r>
          </w:p>
        </w:tc>
        <w:tc>
          <w:tcPr>
            <w:tcW w:w="1620" w:type="dxa"/>
            <w:vAlign w:val="center"/>
          </w:tcPr>
          <w:p w14:paraId="32E5FE82" w14:textId="798FC88D" w:rsidR="007F6E90" w:rsidRDefault="007F6E90" w:rsidP="007F6E90">
            <w:pPr>
              <w:jc w:val="center"/>
              <w:rPr>
                <w:rFonts w:eastAsia="Times New Roman"/>
                <w:sz w:val="18"/>
                <w:szCs w:val="18"/>
              </w:rPr>
            </w:pPr>
            <w:r>
              <w:rPr>
                <w:rFonts w:eastAsia="Times New Roman"/>
                <w:sz w:val="18"/>
                <w:szCs w:val="18"/>
              </w:rPr>
              <w:t>4 ppm</w:t>
            </w:r>
          </w:p>
        </w:tc>
        <w:tc>
          <w:tcPr>
            <w:tcW w:w="2440" w:type="dxa"/>
          </w:tcPr>
          <w:p w14:paraId="3C61A149" w14:textId="2271CAC7" w:rsidR="007F6E90" w:rsidRDefault="007F6E90" w:rsidP="007F6E90">
            <w:pPr>
              <w:spacing w:line="329" w:lineRule="auto"/>
              <w:ind w:left="43"/>
              <w:rPr>
                <w:rFonts w:eastAsia="Times New Roman"/>
                <w:sz w:val="18"/>
                <w:szCs w:val="18"/>
              </w:rPr>
            </w:pPr>
            <w:r>
              <w:rPr>
                <w:rFonts w:eastAsia="Times New Roman"/>
                <w:sz w:val="18"/>
                <w:szCs w:val="18"/>
              </w:rPr>
              <w:t>Discharge from use as a production and extraction solvent</w:t>
            </w:r>
          </w:p>
        </w:tc>
        <w:tc>
          <w:tcPr>
            <w:tcW w:w="2320" w:type="dxa"/>
          </w:tcPr>
          <w:p w14:paraId="0875421E" w14:textId="528BC7E5" w:rsidR="007F6E90" w:rsidRPr="007F6E90" w:rsidRDefault="007F6E90" w:rsidP="007F6E90">
            <w:pPr>
              <w:spacing w:line="329" w:lineRule="auto"/>
              <w:ind w:left="43"/>
              <w:rPr>
                <w:rFonts w:eastAsia="Times New Roman"/>
                <w:sz w:val="18"/>
                <w:szCs w:val="18"/>
              </w:rPr>
            </w:pPr>
            <w:r>
              <w:rPr>
                <w:rFonts w:eastAsia="Times New Roman"/>
                <w:sz w:val="18"/>
                <w:szCs w:val="18"/>
              </w:rPr>
              <w:t>Some people who drink water containing methyl isobutyl ketone at high concentrations for many years could experience effects on the kidney and liver.</w:t>
            </w:r>
          </w:p>
        </w:tc>
      </w:tr>
      <w:tr w:rsidR="00A23DA3" w14:paraId="08C2AE14" w14:textId="77777777" w:rsidTr="00721317">
        <w:trPr>
          <w:trHeight w:val="1953"/>
        </w:trPr>
        <w:tc>
          <w:tcPr>
            <w:tcW w:w="2280" w:type="dxa"/>
            <w:tcBorders>
              <w:bottom w:val="single" w:sz="8" w:space="0" w:color="auto"/>
            </w:tcBorders>
            <w:vAlign w:val="center"/>
          </w:tcPr>
          <w:p w14:paraId="73A4B57E" w14:textId="364E1F1F" w:rsidR="00A23DA3" w:rsidRDefault="00A23DA3" w:rsidP="00A23DA3">
            <w:pPr>
              <w:rPr>
                <w:sz w:val="20"/>
                <w:szCs w:val="20"/>
              </w:rPr>
            </w:pPr>
            <w:r>
              <w:rPr>
                <w:rFonts w:eastAsia="Times New Roman"/>
                <w:sz w:val="18"/>
                <w:szCs w:val="18"/>
              </w:rPr>
              <w:t>Methyl tertiary butyl ether or MTBE</w:t>
            </w:r>
          </w:p>
          <w:p w14:paraId="30120049" w14:textId="10D3A30E" w:rsidR="00A23DA3" w:rsidRDefault="00A23DA3" w:rsidP="00A23DA3">
            <w:pPr>
              <w:rPr>
                <w:rFonts w:eastAsia="Times New Roman"/>
                <w:sz w:val="18"/>
                <w:szCs w:val="18"/>
              </w:rPr>
            </w:pPr>
            <w:r>
              <w:rPr>
                <w:rFonts w:eastAsia="Times New Roman"/>
                <w:sz w:val="18"/>
                <w:szCs w:val="18"/>
              </w:rPr>
              <w:t>(1634044)</w:t>
            </w:r>
          </w:p>
        </w:tc>
        <w:tc>
          <w:tcPr>
            <w:tcW w:w="800" w:type="dxa"/>
            <w:tcBorders>
              <w:bottom w:val="single" w:sz="8" w:space="0" w:color="auto"/>
            </w:tcBorders>
            <w:vAlign w:val="center"/>
          </w:tcPr>
          <w:p w14:paraId="3DA1B8FA" w14:textId="39260EA5" w:rsidR="00A23DA3" w:rsidRDefault="00A23DA3" w:rsidP="00A23DA3">
            <w:pPr>
              <w:ind w:right="170"/>
              <w:jc w:val="center"/>
              <w:rPr>
                <w:rFonts w:eastAsia="Times New Roman"/>
                <w:sz w:val="18"/>
                <w:szCs w:val="18"/>
              </w:rPr>
            </w:pPr>
            <w:r>
              <w:rPr>
                <w:rFonts w:eastAsia="Times New Roman"/>
                <w:sz w:val="18"/>
                <w:szCs w:val="18"/>
              </w:rPr>
              <w:t>0.07 mg/L</w:t>
            </w:r>
          </w:p>
        </w:tc>
        <w:tc>
          <w:tcPr>
            <w:tcW w:w="1700" w:type="dxa"/>
            <w:tcBorders>
              <w:bottom w:val="single" w:sz="8" w:space="0" w:color="auto"/>
            </w:tcBorders>
            <w:vAlign w:val="center"/>
          </w:tcPr>
          <w:p w14:paraId="00421B1A" w14:textId="2A1C3E36" w:rsidR="00A23DA3" w:rsidRDefault="00A23DA3" w:rsidP="00A23DA3">
            <w:pPr>
              <w:jc w:val="center"/>
              <w:rPr>
                <w:rFonts w:eastAsia="Times New Roman"/>
                <w:sz w:val="18"/>
                <w:szCs w:val="18"/>
              </w:rPr>
            </w:pPr>
            <w:r>
              <w:rPr>
                <w:rFonts w:eastAsia="Times New Roman"/>
                <w:sz w:val="18"/>
                <w:szCs w:val="18"/>
              </w:rPr>
              <w:t>1000</w:t>
            </w:r>
          </w:p>
        </w:tc>
        <w:tc>
          <w:tcPr>
            <w:tcW w:w="1620" w:type="dxa"/>
            <w:tcBorders>
              <w:bottom w:val="single" w:sz="8" w:space="0" w:color="auto"/>
            </w:tcBorders>
            <w:vAlign w:val="center"/>
          </w:tcPr>
          <w:p w14:paraId="0316647A" w14:textId="68D7E558" w:rsidR="00A23DA3" w:rsidRDefault="00A23DA3" w:rsidP="00A23DA3">
            <w:pPr>
              <w:jc w:val="center"/>
              <w:rPr>
                <w:rFonts w:eastAsia="Times New Roman"/>
                <w:sz w:val="18"/>
                <w:szCs w:val="18"/>
              </w:rPr>
            </w:pPr>
            <w:r>
              <w:rPr>
                <w:rFonts w:eastAsia="Times New Roman"/>
                <w:sz w:val="18"/>
                <w:szCs w:val="18"/>
              </w:rPr>
              <w:t>70 ppb</w:t>
            </w:r>
          </w:p>
        </w:tc>
        <w:tc>
          <w:tcPr>
            <w:tcW w:w="2440" w:type="dxa"/>
            <w:tcBorders>
              <w:bottom w:val="single" w:sz="8" w:space="0" w:color="auto"/>
            </w:tcBorders>
          </w:tcPr>
          <w:p w14:paraId="0D19605C" w14:textId="7D6B73FE" w:rsidR="00A23DA3" w:rsidRDefault="00A23DA3" w:rsidP="00721317">
            <w:pPr>
              <w:spacing w:line="329" w:lineRule="auto"/>
              <w:ind w:left="43"/>
              <w:rPr>
                <w:rFonts w:eastAsia="Times New Roman"/>
                <w:sz w:val="18"/>
                <w:szCs w:val="18"/>
              </w:rPr>
            </w:pPr>
            <w:r>
              <w:rPr>
                <w:rFonts w:eastAsia="Times New Roman"/>
                <w:sz w:val="18"/>
                <w:szCs w:val="18"/>
              </w:rPr>
              <w:t>Fuel additive; leaks and spills from gasoline storage tanks</w:t>
            </w:r>
          </w:p>
        </w:tc>
        <w:tc>
          <w:tcPr>
            <w:tcW w:w="2320" w:type="dxa"/>
            <w:tcBorders>
              <w:bottom w:val="single" w:sz="8" w:space="0" w:color="auto"/>
            </w:tcBorders>
          </w:tcPr>
          <w:p w14:paraId="21926894" w14:textId="7231C5A5" w:rsidR="00A23DA3" w:rsidRPr="00721317" w:rsidRDefault="00721317" w:rsidP="00721317">
            <w:pPr>
              <w:spacing w:line="329" w:lineRule="auto"/>
              <w:ind w:left="43" w:right="220"/>
              <w:rPr>
                <w:rFonts w:eastAsia="Times New Roman"/>
                <w:sz w:val="18"/>
                <w:szCs w:val="18"/>
              </w:rPr>
            </w:pPr>
            <w:r>
              <w:rPr>
                <w:rFonts w:eastAsia="Times New Roman"/>
                <w:sz w:val="18"/>
                <w:szCs w:val="18"/>
              </w:rPr>
              <w:t>Some people who drink water containing methyl tertiary butyl ether at high concentrations for many years could experience chronic effects on the kidney and liver and possible cancer.</w:t>
            </w:r>
          </w:p>
        </w:tc>
      </w:tr>
    </w:tbl>
    <w:p w14:paraId="281A4F34" w14:textId="0C6A4DA7" w:rsidR="00F57A8F" w:rsidRDefault="00F57A8F"/>
    <w:p w14:paraId="6531B756" w14:textId="77777777" w:rsidR="00F57A8F" w:rsidRDefault="00F57A8F">
      <w:r>
        <w:br w:type="page"/>
      </w:r>
    </w:p>
    <w:p w14:paraId="750CF044" w14:textId="77777777" w:rsidR="004647B9" w:rsidRDefault="004647B9">
      <w:pPr>
        <w:sectPr w:rsidR="004647B9" w:rsidSect="00EF630C">
          <w:type w:val="continuous"/>
          <w:pgSz w:w="12240" w:h="20180"/>
          <w:pgMar w:top="708" w:right="480" w:bottom="532" w:left="600" w:header="0" w:footer="0" w:gutter="0"/>
          <w:cols w:space="720"/>
        </w:sectPr>
      </w:pPr>
    </w:p>
    <w:p w14:paraId="281A4F35" w14:textId="77777777" w:rsidR="004647B9" w:rsidRDefault="00E2436F">
      <w:pPr>
        <w:tabs>
          <w:tab w:val="left" w:pos="2860"/>
        </w:tabs>
        <w:ind w:left="1680"/>
        <w:rPr>
          <w:sz w:val="20"/>
          <w:szCs w:val="20"/>
        </w:rPr>
      </w:pPr>
      <w:bookmarkStart w:id="242" w:name="page245"/>
      <w:bookmarkEnd w:id="24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4F36" w14:textId="77777777" w:rsidR="004647B9" w:rsidRDefault="004647B9" w:rsidP="009118C6">
      <w:pPr>
        <w:rPr>
          <w:sz w:val="20"/>
          <w:szCs w:val="20"/>
        </w:rPr>
      </w:pPr>
    </w:p>
    <w:p w14:paraId="242A0C44" w14:textId="77777777" w:rsidR="009118C6" w:rsidRDefault="009118C6" w:rsidP="009118C6">
      <w:pPr>
        <w:rPr>
          <w:sz w:val="20"/>
          <w:szCs w:val="20"/>
        </w:rPr>
      </w:pPr>
    </w:p>
    <w:p w14:paraId="281A4F37" w14:textId="77777777" w:rsidR="004647B9" w:rsidRPr="009118C6" w:rsidRDefault="00E2436F" w:rsidP="009118C6">
      <w:pPr>
        <w:tabs>
          <w:tab w:val="left" w:pos="940"/>
        </w:tabs>
        <w:rPr>
          <w:sz w:val="24"/>
          <w:szCs w:val="24"/>
        </w:rPr>
      </w:pPr>
      <w:r w:rsidRPr="009118C6">
        <w:rPr>
          <w:rFonts w:eastAsia="Times New Roman"/>
          <w:sz w:val="24"/>
          <w:szCs w:val="24"/>
        </w:rPr>
        <w:t>22.16A:</w:t>
      </w:r>
      <w:r w:rsidRPr="009118C6">
        <w:rPr>
          <w:sz w:val="24"/>
          <w:szCs w:val="24"/>
        </w:rPr>
        <w:tab/>
      </w:r>
      <w:r w:rsidRPr="009118C6">
        <w:rPr>
          <w:rFonts w:eastAsia="Times New Roman"/>
          <w:sz w:val="24"/>
          <w:szCs w:val="24"/>
        </w:rPr>
        <w:t>continued</w:t>
      </w:r>
    </w:p>
    <w:p w14:paraId="281A4F39" w14:textId="77777777" w:rsidR="004647B9" w:rsidRDefault="004647B9" w:rsidP="009118C6">
      <w:pPr>
        <w:rPr>
          <w:sz w:val="20"/>
          <w:szCs w:val="20"/>
        </w:rPr>
      </w:pPr>
    </w:p>
    <w:tbl>
      <w:tblPr>
        <w:tblW w:w="11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721317" w14:paraId="281A4F41" w14:textId="77777777" w:rsidTr="00721317">
        <w:trPr>
          <w:trHeight w:val="755"/>
        </w:trPr>
        <w:tc>
          <w:tcPr>
            <w:tcW w:w="2280" w:type="dxa"/>
            <w:vAlign w:val="center"/>
          </w:tcPr>
          <w:p w14:paraId="1E4021B9" w14:textId="77777777" w:rsidR="00721317" w:rsidRDefault="00721317" w:rsidP="00721317">
            <w:pPr>
              <w:rPr>
                <w:sz w:val="20"/>
                <w:szCs w:val="20"/>
              </w:rPr>
            </w:pPr>
            <w:r>
              <w:rPr>
                <w:rFonts w:eastAsia="Times New Roman"/>
                <w:sz w:val="18"/>
                <w:szCs w:val="18"/>
              </w:rPr>
              <w:t>Chemical</w:t>
            </w:r>
          </w:p>
          <w:p w14:paraId="281A4F3B" w14:textId="0B74186E" w:rsidR="00721317" w:rsidRDefault="00721317" w:rsidP="00721317">
            <w:pPr>
              <w:rPr>
                <w:sz w:val="24"/>
                <w:szCs w:val="24"/>
              </w:rPr>
            </w:pPr>
            <w:r>
              <w:rPr>
                <w:rFonts w:eastAsia="Times New Roman"/>
                <w:sz w:val="18"/>
                <w:szCs w:val="18"/>
              </w:rPr>
              <w:t>(CASRN)</w:t>
            </w:r>
          </w:p>
        </w:tc>
        <w:tc>
          <w:tcPr>
            <w:tcW w:w="800" w:type="dxa"/>
            <w:vAlign w:val="center"/>
          </w:tcPr>
          <w:p w14:paraId="281A4F3C" w14:textId="77777777" w:rsidR="00721317" w:rsidRDefault="00721317" w:rsidP="00721317">
            <w:pPr>
              <w:jc w:val="center"/>
              <w:rPr>
                <w:sz w:val="20"/>
                <w:szCs w:val="20"/>
              </w:rPr>
            </w:pPr>
            <w:r>
              <w:rPr>
                <w:rFonts w:eastAsia="Times New Roman"/>
                <w:sz w:val="18"/>
                <w:szCs w:val="18"/>
              </w:rPr>
              <w:t>ORSG</w:t>
            </w:r>
          </w:p>
        </w:tc>
        <w:tc>
          <w:tcPr>
            <w:tcW w:w="1700" w:type="dxa"/>
            <w:vAlign w:val="center"/>
          </w:tcPr>
          <w:p w14:paraId="281A4F3D" w14:textId="6EC2D67F" w:rsidR="00721317" w:rsidRDefault="00721317" w:rsidP="00721317">
            <w:pPr>
              <w:jc w:val="center"/>
              <w:rPr>
                <w:sz w:val="20"/>
                <w:szCs w:val="20"/>
              </w:rPr>
            </w:pPr>
            <w:r>
              <w:rPr>
                <w:rFonts w:eastAsia="Times New Roman"/>
                <w:sz w:val="18"/>
                <w:szCs w:val="18"/>
              </w:rPr>
              <w:t>To convert for CCR, multiply by</w:t>
            </w:r>
          </w:p>
        </w:tc>
        <w:tc>
          <w:tcPr>
            <w:tcW w:w="1620" w:type="dxa"/>
            <w:vAlign w:val="center"/>
          </w:tcPr>
          <w:p w14:paraId="281A4F3E" w14:textId="113F6048" w:rsidR="00721317" w:rsidRDefault="00721317" w:rsidP="00721317">
            <w:pPr>
              <w:jc w:val="center"/>
              <w:rPr>
                <w:sz w:val="20"/>
                <w:szCs w:val="20"/>
              </w:rPr>
            </w:pPr>
            <w:r>
              <w:rPr>
                <w:rFonts w:eastAsia="Times New Roman"/>
                <w:sz w:val="18"/>
                <w:szCs w:val="18"/>
              </w:rPr>
              <w:t>ORSG in CCR units</w:t>
            </w:r>
          </w:p>
        </w:tc>
        <w:tc>
          <w:tcPr>
            <w:tcW w:w="2440" w:type="dxa"/>
            <w:vAlign w:val="center"/>
          </w:tcPr>
          <w:p w14:paraId="281A4F3F" w14:textId="42A79A55" w:rsidR="00721317" w:rsidRDefault="00721317" w:rsidP="00721317">
            <w:pPr>
              <w:jc w:val="center"/>
              <w:rPr>
                <w:sz w:val="20"/>
                <w:szCs w:val="20"/>
              </w:rPr>
            </w:pPr>
            <w:r>
              <w:rPr>
                <w:rFonts w:eastAsia="Times New Roman"/>
                <w:sz w:val="18"/>
                <w:szCs w:val="18"/>
              </w:rPr>
              <w:t>Source to Drinking Water</w:t>
            </w:r>
          </w:p>
        </w:tc>
        <w:tc>
          <w:tcPr>
            <w:tcW w:w="2320" w:type="dxa"/>
            <w:vAlign w:val="center"/>
          </w:tcPr>
          <w:p w14:paraId="281A4F40" w14:textId="77777777" w:rsidR="00721317" w:rsidRDefault="00721317" w:rsidP="00721317">
            <w:pPr>
              <w:jc w:val="center"/>
              <w:rPr>
                <w:sz w:val="20"/>
                <w:szCs w:val="20"/>
              </w:rPr>
            </w:pPr>
            <w:r>
              <w:rPr>
                <w:rFonts w:eastAsia="Times New Roman"/>
                <w:sz w:val="18"/>
                <w:szCs w:val="18"/>
              </w:rPr>
              <w:t>Health Effects</w:t>
            </w:r>
          </w:p>
        </w:tc>
      </w:tr>
      <w:tr w:rsidR="00F57A8F" w14:paraId="75C8B0CF" w14:textId="77777777" w:rsidTr="00721317">
        <w:trPr>
          <w:trHeight w:val="1955"/>
        </w:trPr>
        <w:tc>
          <w:tcPr>
            <w:tcW w:w="2280" w:type="dxa"/>
            <w:vAlign w:val="center"/>
          </w:tcPr>
          <w:p w14:paraId="08175ABB" w14:textId="77777777" w:rsidR="00F57A8F" w:rsidRDefault="00F57A8F" w:rsidP="00F57A8F">
            <w:pPr>
              <w:rPr>
                <w:sz w:val="20"/>
                <w:szCs w:val="20"/>
              </w:rPr>
            </w:pPr>
            <w:r>
              <w:rPr>
                <w:rFonts w:eastAsia="Times New Roman"/>
                <w:sz w:val="18"/>
                <w:szCs w:val="18"/>
              </w:rPr>
              <w:t>Methomyl</w:t>
            </w:r>
          </w:p>
          <w:p w14:paraId="456B1C3D" w14:textId="03005CF4" w:rsidR="00F57A8F" w:rsidRDefault="00F57A8F" w:rsidP="00F57A8F">
            <w:pPr>
              <w:rPr>
                <w:rFonts w:eastAsia="Times New Roman"/>
                <w:sz w:val="18"/>
                <w:szCs w:val="18"/>
              </w:rPr>
            </w:pPr>
            <w:r>
              <w:rPr>
                <w:rFonts w:eastAsia="Times New Roman"/>
                <w:sz w:val="18"/>
                <w:szCs w:val="18"/>
              </w:rPr>
              <w:t>(16752775)</w:t>
            </w:r>
          </w:p>
        </w:tc>
        <w:tc>
          <w:tcPr>
            <w:tcW w:w="800" w:type="dxa"/>
            <w:vAlign w:val="center"/>
          </w:tcPr>
          <w:p w14:paraId="39273491" w14:textId="3FFAA5C7" w:rsidR="00F57A8F" w:rsidRDefault="00F57A8F" w:rsidP="00F57A8F">
            <w:pPr>
              <w:jc w:val="center"/>
              <w:rPr>
                <w:rFonts w:eastAsia="Times New Roman"/>
                <w:sz w:val="18"/>
                <w:szCs w:val="18"/>
              </w:rPr>
            </w:pPr>
            <w:r>
              <w:rPr>
                <w:rFonts w:eastAsia="Times New Roman"/>
                <w:sz w:val="18"/>
                <w:szCs w:val="18"/>
              </w:rPr>
              <w:t>*</w:t>
            </w:r>
          </w:p>
        </w:tc>
        <w:tc>
          <w:tcPr>
            <w:tcW w:w="1700" w:type="dxa"/>
            <w:vAlign w:val="center"/>
          </w:tcPr>
          <w:p w14:paraId="30186170" w14:textId="0DB6926C" w:rsidR="00F57A8F" w:rsidRDefault="00F57A8F" w:rsidP="00F57A8F">
            <w:pPr>
              <w:jc w:val="center"/>
              <w:rPr>
                <w:rFonts w:eastAsia="Times New Roman"/>
                <w:sz w:val="18"/>
                <w:szCs w:val="18"/>
              </w:rPr>
            </w:pPr>
            <w:r>
              <w:rPr>
                <w:rFonts w:eastAsia="Times New Roman"/>
                <w:sz w:val="18"/>
                <w:szCs w:val="18"/>
              </w:rPr>
              <w:t>-</w:t>
            </w:r>
          </w:p>
        </w:tc>
        <w:tc>
          <w:tcPr>
            <w:tcW w:w="1620" w:type="dxa"/>
            <w:vAlign w:val="center"/>
          </w:tcPr>
          <w:p w14:paraId="325ED975" w14:textId="301BFC85" w:rsidR="00F57A8F" w:rsidRDefault="00F57A8F" w:rsidP="00F57A8F">
            <w:pPr>
              <w:jc w:val="center"/>
              <w:rPr>
                <w:rFonts w:eastAsia="Times New Roman"/>
                <w:sz w:val="18"/>
                <w:szCs w:val="18"/>
              </w:rPr>
            </w:pPr>
            <w:r>
              <w:rPr>
                <w:rFonts w:eastAsia="Times New Roman"/>
                <w:sz w:val="18"/>
                <w:szCs w:val="18"/>
              </w:rPr>
              <w:t>-</w:t>
            </w:r>
          </w:p>
        </w:tc>
        <w:tc>
          <w:tcPr>
            <w:tcW w:w="2440" w:type="dxa"/>
          </w:tcPr>
          <w:p w14:paraId="7BC93A30" w14:textId="3CB35880" w:rsidR="00F57A8F" w:rsidRDefault="00F57A8F" w:rsidP="00F57A8F">
            <w:pPr>
              <w:spacing w:line="360" w:lineRule="auto"/>
              <w:ind w:left="43"/>
              <w:rPr>
                <w:rFonts w:eastAsia="Times New Roman"/>
                <w:sz w:val="18"/>
                <w:szCs w:val="18"/>
              </w:rPr>
            </w:pPr>
            <w:r>
              <w:rPr>
                <w:rFonts w:eastAsia="Times New Roman"/>
                <w:sz w:val="18"/>
                <w:szCs w:val="18"/>
              </w:rPr>
              <w:t>Runoff from use as an insecticide</w:t>
            </w:r>
          </w:p>
        </w:tc>
        <w:tc>
          <w:tcPr>
            <w:tcW w:w="2320" w:type="dxa"/>
          </w:tcPr>
          <w:p w14:paraId="71CA37B9" w14:textId="47570CB4" w:rsidR="00F57A8F" w:rsidRDefault="00F57A8F" w:rsidP="00F57A8F">
            <w:pPr>
              <w:spacing w:line="360" w:lineRule="auto"/>
              <w:ind w:left="43"/>
              <w:rPr>
                <w:rFonts w:eastAsia="Times New Roman"/>
                <w:sz w:val="18"/>
                <w:szCs w:val="18"/>
              </w:rPr>
            </w:pPr>
            <w:r>
              <w:rPr>
                <w:rFonts w:eastAsia="Times New Roman"/>
                <w:sz w:val="18"/>
                <w:szCs w:val="18"/>
              </w:rPr>
              <w:t>Some people who drink water containing methomyl at high concentrations for many years could experience kidney effects.</w:t>
            </w:r>
          </w:p>
        </w:tc>
      </w:tr>
      <w:tr w:rsidR="00721317" w14:paraId="281A4F57" w14:textId="77777777" w:rsidTr="00721317">
        <w:trPr>
          <w:trHeight w:val="1955"/>
        </w:trPr>
        <w:tc>
          <w:tcPr>
            <w:tcW w:w="2280" w:type="dxa"/>
            <w:vAlign w:val="center"/>
          </w:tcPr>
          <w:p w14:paraId="0669936C" w14:textId="77777777" w:rsidR="00721317" w:rsidRDefault="00721317" w:rsidP="00721317">
            <w:pPr>
              <w:rPr>
                <w:sz w:val="20"/>
                <w:szCs w:val="20"/>
              </w:rPr>
            </w:pPr>
            <w:r>
              <w:rPr>
                <w:rFonts w:eastAsia="Times New Roman"/>
                <w:sz w:val="18"/>
                <w:szCs w:val="18"/>
              </w:rPr>
              <w:t>Metolachlor</w:t>
            </w:r>
          </w:p>
          <w:p w14:paraId="281A4F51" w14:textId="1B494E49" w:rsidR="00721317" w:rsidRDefault="00721317" w:rsidP="00721317">
            <w:pPr>
              <w:rPr>
                <w:sz w:val="20"/>
                <w:szCs w:val="20"/>
              </w:rPr>
            </w:pPr>
            <w:r>
              <w:rPr>
                <w:rFonts w:eastAsia="Times New Roman"/>
                <w:sz w:val="18"/>
                <w:szCs w:val="18"/>
              </w:rPr>
              <w:t>(51218452)</w:t>
            </w:r>
          </w:p>
        </w:tc>
        <w:tc>
          <w:tcPr>
            <w:tcW w:w="800" w:type="dxa"/>
            <w:vAlign w:val="center"/>
          </w:tcPr>
          <w:p w14:paraId="281A4F52" w14:textId="431B62BE" w:rsidR="00721317" w:rsidRDefault="00721317" w:rsidP="00721317">
            <w:pPr>
              <w:jc w:val="center"/>
              <w:rPr>
                <w:sz w:val="20"/>
                <w:szCs w:val="20"/>
              </w:rPr>
            </w:pPr>
            <w:r>
              <w:rPr>
                <w:rFonts w:eastAsia="Times New Roman"/>
                <w:sz w:val="18"/>
                <w:szCs w:val="18"/>
              </w:rPr>
              <w:t>0.1 mg/L</w:t>
            </w:r>
          </w:p>
        </w:tc>
        <w:tc>
          <w:tcPr>
            <w:tcW w:w="1700" w:type="dxa"/>
            <w:vAlign w:val="center"/>
          </w:tcPr>
          <w:p w14:paraId="281A4F53" w14:textId="77777777" w:rsidR="00721317" w:rsidRDefault="00721317" w:rsidP="00721317">
            <w:pPr>
              <w:jc w:val="center"/>
              <w:rPr>
                <w:sz w:val="20"/>
                <w:szCs w:val="20"/>
              </w:rPr>
            </w:pPr>
            <w:r>
              <w:rPr>
                <w:rFonts w:eastAsia="Times New Roman"/>
                <w:sz w:val="18"/>
                <w:szCs w:val="18"/>
              </w:rPr>
              <w:t>1000</w:t>
            </w:r>
          </w:p>
        </w:tc>
        <w:tc>
          <w:tcPr>
            <w:tcW w:w="1620" w:type="dxa"/>
            <w:vAlign w:val="center"/>
          </w:tcPr>
          <w:p w14:paraId="281A4F54" w14:textId="77777777" w:rsidR="00721317" w:rsidRDefault="00721317" w:rsidP="00721317">
            <w:pPr>
              <w:jc w:val="center"/>
              <w:rPr>
                <w:sz w:val="20"/>
                <w:szCs w:val="20"/>
              </w:rPr>
            </w:pPr>
            <w:r>
              <w:rPr>
                <w:rFonts w:eastAsia="Times New Roman"/>
                <w:sz w:val="18"/>
                <w:szCs w:val="18"/>
              </w:rPr>
              <w:t>100 ppb</w:t>
            </w:r>
          </w:p>
        </w:tc>
        <w:tc>
          <w:tcPr>
            <w:tcW w:w="2440" w:type="dxa"/>
          </w:tcPr>
          <w:p w14:paraId="281A4F55" w14:textId="7770DEAF" w:rsidR="00721317" w:rsidRPr="00721317" w:rsidRDefault="00721317" w:rsidP="00765FC4">
            <w:pPr>
              <w:spacing w:line="360" w:lineRule="auto"/>
              <w:ind w:left="43"/>
              <w:rPr>
                <w:rFonts w:eastAsia="Times New Roman"/>
                <w:sz w:val="18"/>
                <w:szCs w:val="18"/>
              </w:rPr>
            </w:pPr>
            <w:r>
              <w:rPr>
                <w:rFonts w:eastAsia="Times New Roman"/>
                <w:sz w:val="18"/>
                <w:szCs w:val="18"/>
              </w:rPr>
              <w:t>Run-off from use as a herbicide</w:t>
            </w:r>
          </w:p>
        </w:tc>
        <w:tc>
          <w:tcPr>
            <w:tcW w:w="2320" w:type="dxa"/>
          </w:tcPr>
          <w:p w14:paraId="281A4F56" w14:textId="61AB6178" w:rsidR="00721317" w:rsidRPr="00721317" w:rsidRDefault="00721317" w:rsidP="00765FC4">
            <w:pPr>
              <w:spacing w:line="360" w:lineRule="auto"/>
              <w:ind w:left="43"/>
              <w:rPr>
                <w:rFonts w:eastAsia="Times New Roman"/>
                <w:sz w:val="18"/>
                <w:szCs w:val="18"/>
              </w:rPr>
            </w:pPr>
            <w:r>
              <w:rPr>
                <w:rFonts w:eastAsia="Times New Roman"/>
                <w:sz w:val="18"/>
                <w:szCs w:val="18"/>
              </w:rPr>
              <w:t>Some people who drink water containing metolochlor at high concentrations for many years could experience cancer.</w:t>
            </w:r>
          </w:p>
        </w:tc>
      </w:tr>
      <w:tr w:rsidR="00721317" w14:paraId="281A4F8E" w14:textId="77777777" w:rsidTr="00721317">
        <w:trPr>
          <w:trHeight w:val="1955"/>
        </w:trPr>
        <w:tc>
          <w:tcPr>
            <w:tcW w:w="2280" w:type="dxa"/>
            <w:vAlign w:val="center"/>
          </w:tcPr>
          <w:p w14:paraId="6E446EAC" w14:textId="77777777" w:rsidR="00721317" w:rsidRDefault="00721317" w:rsidP="00721317">
            <w:pPr>
              <w:rPr>
                <w:sz w:val="20"/>
                <w:szCs w:val="20"/>
              </w:rPr>
            </w:pPr>
            <w:r>
              <w:rPr>
                <w:rFonts w:eastAsia="Times New Roman"/>
                <w:sz w:val="18"/>
                <w:szCs w:val="18"/>
              </w:rPr>
              <w:t>Metribuzin</w:t>
            </w:r>
          </w:p>
          <w:p w14:paraId="281A4F88" w14:textId="5256A336" w:rsidR="00721317" w:rsidRDefault="00721317" w:rsidP="00721317">
            <w:pPr>
              <w:rPr>
                <w:sz w:val="20"/>
                <w:szCs w:val="20"/>
              </w:rPr>
            </w:pPr>
            <w:r>
              <w:rPr>
                <w:rFonts w:eastAsia="Times New Roman"/>
                <w:sz w:val="18"/>
                <w:szCs w:val="18"/>
              </w:rPr>
              <w:t>(21087649)</w:t>
            </w:r>
          </w:p>
        </w:tc>
        <w:tc>
          <w:tcPr>
            <w:tcW w:w="800" w:type="dxa"/>
            <w:vAlign w:val="center"/>
          </w:tcPr>
          <w:p w14:paraId="281A4F89" w14:textId="77777777" w:rsidR="00721317" w:rsidRDefault="00721317" w:rsidP="00721317">
            <w:pPr>
              <w:jc w:val="center"/>
              <w:rPr>
                <w:sz w:val="20"/>
                <w:szCs w:val="20"/>
              </w:rPr>
            </w:pPr>
            <w:r>
              <w:rPr>
                <w:rFonts w:eastAsia="Times New Roman"/>
                <w:sz w:val="18"/>
                <w:szCs w:val="18"/>
              </w:rPr>
              <w:t>*</w:t>
            </w:r>
          </w:p>
        </w:tc>
        <w:tc>
          <w:tcPr>
            <w:tcW w:w="1700" w:type="dxa"/>
            <w:vAlign w:val="center"/>
          </w:tcPr>
          <w:p w14:paraId="281A4F8A" w14:textId="77777777" w:rsidR="00721317" w:rsidRDefault="00721317" w:rsidP="00721317">
            <w:pPr>
              <w:jc w:val="center"/>
              <w:rPr>
                <w:sz w:val="20"/>
                <w:szCs w:val="20"/>
              </w:rPr>
            </w:pPr>
            <w:r>
              <w:rPr>
                <w:rFonts w:eastAsia="Times New Roman"/>
                <w:w w:val="99"/>
                <w:sz w:val="18"/>
                <w:szCs w:val="18"/>
              </w:rPr>
              <w:t>-</w:t>
            </w:r>
          </w:p>
        </w:tc>
        <w:tc>
          <w:tcPr>
            <w:tcW w:w="1620" w:type="dxa"/>
            <w:vAlign w:val="center"/>
          </w:tcPr>
          <w:p w14:paraId="281A4F8B" w14:textId="77777777" w:rsidR="00721317" w:rsidRDefault="00721317" w:rsidP="00721317">
            <w:pPr>
              <w:jc w:val="center"/>
              <w:rPr>
                <w:sz w:val="20"/>
                <w:szCs w:val="20"/>
              </w:rPr>
            </w:pPr>
            <w:r>
              <w:rPr>
                <w:rFonts w:eastAsia="Times New Roman"/>
                <w:w w:val="99"/>
                <w:sz w:val="18"/>
                <w:szCs w:val="18"/>
              </w:rPr>
              <w:t>-</w:t>
            </w:r>
          </w:p>
        </w:tc>
        <w:tc>
          <w:tcPr>
            <w:tcW w:w="2440" w:type="dxa"/>
          </w:tcPr>
          <w:p w14:paraId="281A4F8C" w14:textId="752E14E5" w:rsidR="00721317" w:rsidRPr="00721317" w:rsidRDefault="00721317" w:rsidP="00765FC4">
            <w:pPr>
              <w:spacing w:line="360" w:lineRule="auto"/>
              <w:ind w:left="43"/>
              <w:rPr>
                <w:rFonts w:eastAsia="Times New Roman"/>
                <w:sz w:val="18"/>
                <w:szCs w:val="18"/>
              </w:rPr>
            </w:pPr>
            <w:r>
              <w:rPr>
                <w:rFonts w:eastAsia="Times New Roman"/>
                <w:sz w:val="18"/>
                <w:szCs w:val="18"/>
              </w:rPr>
              <w:t>Run-off from use as a herbicide</w:t>
            </w:r>
          </w:p>
        </w:tc>
        <w:tc>
          <w:tcPr>
            <w:tcW w:w="2320" w:type="dxa"/>
          </w:tcPr>
          <w:p w14:paraId="281A4F8D" w14:textId="7F433A88" w:rsidR="00721317" w:rsidRPr="00721317" w:rsidRDefault="00721317" w:rsidP="00765FC4">
            <w:pPr>
              <w:spacing w:line="360" w:lineRule="auto"/>
              <w:ind w:left="43"/>
              <w:rPr>
                <w:rFonts w:eastAsia="Times New Roman"/>
                <w:sz w:val="18"/>
                <w:szCs w:val="18"/>
              </w:rPr>
            </w:pPr>
            <w:r>
              <w:rPr>
                <w:rFonts w:eastAsia="Times New Roman"/>
                <w:sz w:val="18"/>
                <w:szCs w:val="18"/>
              </w:rPr>
              <w:t>Some people who drink water containing metribuzin at high concentrations for many years could experience liver and kidney effects.</w:t>
            </w:r>
          </w:p>
        </w:tc>
      </w:tr>
      <w:tr w:rsidR="00721317" w14:paraId="281A4FC5" w14:textId="77777777" w:rsidTr="003D6946">
        <w:trPr>
          <w:trHeight w:val="691"/>
        </w:trPr>
        <w:tc>
          <w:tcPr>
            <w:tcW w:w="2280" w:type="dxa"/>
            <w:vAlign w:val="center"/>
          </w:tcPr>
          <w:p w14:paraId="449D8B8D" w14:textId="77777777" w:rsidR="00721317" w:rsidRDefault="00721317" w:rsidP="00721317">
            <w:pPr>
              <w:rPr>
                <w:sz w:val="20"/>
                <w:szCs w:val="20"/>
              </w:rPr>
            </w:pPr>
            <w:r>
              <w:rPr>
                <w:rFonts w:eastAsia="Times New Roman"/>
                <w:sz w:val="18"/>
                <w:szCs w:val="18"/>
              </w:rPr>
              <w:t>Molybdenum</w:t>
            </w:r>
          </w:p>
          <w:p w14:paraId="281A4FBF" w14:textId="6AFF74E4" w:rsidR="00721317" w:rsidRDefault="00721317" w:rsidP="00721317">
            <w:pPr>
              <w:rPr>
                <w:sz w:val="20"/>
                <w:szCs w:val="20"/>
              </w:rPr>
            </w:pPr>
            <w:r>
              <w:rPr>
                <w:rFonts w:eastAsia="Times New Roman"/>
                <w:sz w:val="18"/>
                <w:szCs w:val="18"/>
              </w:rPr>
              <w:t>(7439987)</w:t>
            </w:r>
          </w:p>
        </w:tc>
        <w:tc>
          <w:tcPr>
            <w:tcW w:w="800" w:type="dxa"/>
            <w:vAlign w:val="center"/>
          </w:tcPr>
          <w:p w14:paraId="281A4FC0" w14:textId="77777777" w:rsidR="00721317" w:rsidRDefault="00721317" w:rsidP="00721317">
            <w:pPr>
              <w:jc w:val="center"/>
              <w:rPr>
                <w:sz w:val="20"/>
                <w:szCs w:val="20"/>
              </w:rPr>
            </w:pPr>
            <w:r>
              <w:rPr>
                <w:rFonts w:eastAsia="Times New Roman"/>
                <w:sz w:val="18"/>
                <w:szCs w:val="18"/>
              </w:rPr>
              <w:t>*</w:t>
            </w:r>
          </w:p>
        </w:tc>
        <w:tc>
          <w:tcPr>
            <w:tcW w:w="1700" w:type="dxa"/>
            <w:vAlign w:val="center"/>
          </w:tcPr>
          <w:p w14:paraId="281A4FC1" w14:textId="77777777" w:rsidR="00721317" w:rsidRDefault="00721317" w:rsidP="00721317">
            <w:pPr>
              <w:jc w:val="center"/>
              <w:rPr>
                <w:sz w:val="20"/>
                <w:szCs w:val="20"/>
              </w:rPr>
            </w:pPr>
            <w:r>
              <w:rPr>
                <w:rFonts w:eastAsia="Times New Roman"/>
                <w:w w:val="99"/>
                <w:sz w:val="18"/>
                <w:szCs w:val="18"/>
              </w:rPr>
              <w:t>-</w:t>
            </w:r>
          </w:p>
        </w:tc>
        <w:tc>
          <w:tcPr>
            <w:tcW w:w="1620" w:type="dxa"/>
            <w:vAlign w:val="center"/>
          </w:tcPr>
          <w:p w14:paraId="281A4FC2" w14:textId="77777777" w:rsidR="00721317" w:rsidRDefault="00721317" w:rsidP="00721317">
            <w:pPr>
              <w:jc w:val="center"/>
              <w:rPr>
                <w:sz w:val="20"/>
                <w:szCs w:val="20"/>
              </w:rPr>
            </w:pPr>
            <w:r>
              <w:rPr>
                <w:rFonts w:eastAsia="Times New Roman"/>
                <w:w w:val="99"/>
                <w:sz w:val="18"/>
                <w:szCs w:val="18"/>
              </w:rPr>
              <w:t>-</w:t>
            </w:r>
          </w:p>
        </w:tc>
        <w:tc>
          <w:tcPr>
            <w:tcW w:w="2440" w:type="dxa"/>
            <w:vAlign w:val="center"/>
          </w:tcPr>
          <w:p w14:paraId="281A4FC3" w14:textId="77777777" w:rsidR="00721317" w:rsidRDefault="00721317" w:rsidP="00721317">
            <w:pPr>
              <w:jc w:val="center"/>
              <w:rPr>
                <w:sz w:val="20"/>
                <w:szCs w:val="20"/>
              </w:rPr>
            </w:pPr>
            <w:r>
              <w:rPr>
                <w:rFonts w:eastAsia="Times New Roman"/>
                <w:sz w:val="18"/>
                <w:szCs w:val="18"/>
              </w:rPr>
              <w:t>-</w:t>
            </w:r>
          </w:p>
        </w:tc>
        <w:tc>
          <w:tcPr>
            <w:tcW w:w="2320" w:type="dxa"/>
            <w:vAlign w:val="center"/>
          </w:tcPr>
          <w:p w14:paraId="281A4FC4" w14:textId="77777777" w:rsidR="00721317" w:rsidRDefault="00721317" w:rsidP="00721317">
            <w:pPr>
              <w:jc w:val="center"/>
              <w:rPr>
                <w:sz w:val="20"/>
                <w:szCs w:val="20"/>
              </w:rPr>
            </w:pPr>
            <w:r>
              <w:rPr>
                <w:rFonts w:eastAsia="Times New Roman"/>
                <w:sz w:val="18"/>
                <w:szCs w:val="18"/>
              </w:rPr>
              <w:t>-</w:t>
            </w:r>
          </w:p>
        </w:tc>
      </w:tr>
      <w:tr w:rsidR="00721317" w14:paraId="281A4FDC" w14:textId="77777777" w:rsidTr="00721317">
        <w:trPr>
          <w:trHeight w:val="2252"/>
        </w:trPr>
        <w:tc>
          <w:tcPr>
            <w:tcW w:w="2280" w:type="dxa"/>
            <w:vAlign w:val="center"/>
          </w:tcPr>
          <w:p w14:paraId="2A92862B" w14:textId="77777777" w:rsidR="00721317" w:rsidRDefault="00721317" w:rsidP="00721317">
            <w:pPr>
              <w:rPr>
                <w:sz w:val="20"/>
                <w:szCs w:val="20"/>
              </w:rPr>
            </w:pPr>
            <w:r>
              <w:rPr>
                <w:rFonts w:eastAsia="Times New Roman"/>
                <w:sz w:val="18"/>
                <w:szCs w:val="18"/>
              </w:rPr>
              <w:t>Naphthalene</w:t>
            </w:r>
          </w:p>
          <w:p w14:paraId="281A4FD6" w14:textId="5231DBCA" w:rsidR="00721317" w:rsidRDefault="00721317" w:rsidP="00721317">
            <w:pPr>
              <w:rPr>
                <w:sz w:val="20"/>
                <w:szCs w:val="20"/>
              </w:rPr>
            </w:pPr>
            <w:r>
              <w:rPr>
                <w:rFonts w:eastAsia="Times New Roman"/>
                <w:sz w:val="18"/>
                <w:szCs w:val="18"/>
              </w:rPr>
              <w:t>(91203)</w:t>
            </w:r>
          </w:p>
        </w:tc>
        <w:tc>
          <w:tcPr>
            <w:tcW w:w="800" w:type="dxa"/>
            <w:vAlign w:val="center"/>
          </w:tcPr>
          <w:p w14:paraId="281A4FD7" w14:textId="7D7ABD21" w:rsidR="00721317" w:rsidRDefault="00721317" w:rsidP="00721317">
            <w:pPr>
              <w:jc w:val="center"/>
              <w:rPr>
                <w:sz w:val="20"/>
                <w:szCs w:val="20"/>
              </w:rPr>
            </w:pPr>
            <w:r>
              <w:rPr>
                <w:rFonts w:eastAsia="Times New Roman"/>
                <w:sz w:val="18"/>
                <w:szCs w:val="18"/>
              </w:rPr>
              <w:t>0.140 mg/L</w:t>
            </w:r>
          </w:p>
        </w:tc>
        <w:tc>
          <w:tcPr>
            <w:tcW w:w="1700" w:type="dxa"/>
            <w:vAlign w:val="center"/>
          </w:tcPr>
          <w:p w14:paraId="281A4FD8" w14:textId="77777777" w:rsidR="00721317" w:rsidRDefault="00721317" w:rsidP="00721317">
            <w:pPr>
              <w:jc w:val="center"/>
              <w:rPr>
                <w:sz w:val="20"/>
                <w:szCs w:val="20"/>
              </w:rPr>
            </w:pPr>
            <w:r>
              <w:rPr>
                <w:rFonts w:eastAsia="Times New Roman"/>
                <w:sz w:val="18"/>
                <w:szCs w:val="18"/>
              </w:rPr>
              <w:t>1000</w:t>
            </w:r>
          </w:p>
        </w:tc>
        <w:tc>
          <w:tcPr>
            <w:tcW w:w="1620" w:type="dxa"/>
            <w:vAlign w:val="center"/>
          </w:tcPr>
          <w:p w14:paraId="281A4FD9" w14:textId="77777777" w:rsidR="00721317" w:rsidRDefault="00721317" w:rsidP="00721317">
            <w:pPr>
              <w:jc w:val="center"/>
              <w:rPr>
                <w:sz w:val="20"/>
                <w:szCs w:val="20"/>
              </w:rPr>
            </w:pPr>
            <w:r>
              <w:rPr>
                <w:rFonts w:eastAsia="Times New Roman"/>
                <w:sz w:val="18"/>
                <w:szCs w:val="18"/>
              </w:rPr>
              <w:t>140 ppb</w:t>
            </w:r>
          </w:p>
        </w:tc>
        <w:tc>
          <w:tcPr>
            <w:tcW w:w="2440" w:type="dxa"/>
          </w:tcPr>
          <w:p w14:paraId="281A4FDA" w14:textId="643F50DD" w:rsidR="00721317" w:rsidRPr="00721317" w:rsidRDefault="00721317" w:rsidP="00DE1119">
            <w:pPr>
              <w:spacing w:line="360" w:lineRule="auto"/>
              <w:ind w:left="43"/>
              <w:rPr>
                <w:rFonts w:eastAsia="Times New Roman"/>
                <w:sz w:val="18"/>
                <w:szCs w:val="18"/>
              </w:rPr>
            </w:pPr>
            <w:r>
              <w:rPr>
                <w:rFonts w:eastAsia="Times New Roman"/>
                <w:sz w:val="18"/>
                <w:szCs w:val="18"/>
              </w:rPr>
              <w:t>Discharge from use in mothballs and other domestic products</w:t>
            </w:r>
          </w:p>
        </w:tc>
        <w:tc>
          <w:tcPr>
            <w:tcW w:w="2320" w:type="dxa"/>
          </w:tcPr>
          <w:p w14:paraId="281A4FDB" w14:textId="4CC1037C" w:rsidR="00721317" w:rsidRPr="00721317" w:rsidRDefault="00721317" w:rsidP="00DE1119">
            <w:pPr>
              <w:spacing w:line="360" w:lineRule="auto"/>
              <w:ind w:left="43"/>
              <w:rPr>
                <w:rFonts w:eastAsia="Times New Roman"/>
                <w:sz w:val="18"/>
                <w:szCs w:val="18"/>
              </w:rPr>
            </w:pPr>
            <w:r>
              <w:rPr>
                <w:rFonts w:eastAsia="Times New Roman"/>
                <w:sz w:val="18"/>
                <w:szCs w:val="18"/>
              </w:rPr>
              <w:t>Some people who drink water containing naphthalene at high concentrations for many years could experience damage to red blood cells, nausea and vomiting.</w:t>
            </w:r>
          </w:p>
        </w:tc>
      </w:tr>
      <w:tr w:rsidR="00721317" w14:paraId="097AB380" w14:textId="77777777" w:rsidTr="00721317">
        <w:trPr>
          <w:trHeight w:val="2252"/>
        </w:trPr>
        <w:tc>
          <w:tcPr>
            <w:tcW w:w="2280" w:type="dxa"/>
            <w:vAlign w:val="center"/>
          </w:tcPr>
          <w:p w14:paraId="47032D0D" w14:textId="77777777" w:rsidR="00721317" w:rsidRDefault="00721317" w:rsidP="00721317">
            <w:pPr>
              <w:rPr>
                <w:sz w:val="20"/>
                <w:szCs w:val="20"/>
              </w:rPr>
            </w:pPr>
            <w:r>
              <w:rPr>
                <w:rFonts w:eastAsia="Times New Roman"/>
                <w:sz w:val="18"/>
                <w:szCs w:val="18"/>
              </w:rPr>
              <w:t>Nickel</w:t>
            </w:r>
          </w:p>
          <w:p w14:paraId="7C02752B" w14:textId="5FE433A6" w:rsidR="00721317" w:rsidRDefault="00721317" w:rsidP="00721317">
            <w:pPr>
              <w:rPr>
                <w:rFonts w:eastAsia="Times New Roman"/>
                <w:sz w:val="18"/>
                <w:szCs w:val="18"/>
              </w:rPr>
            </w:pPr>
            <w:r>
              <w:rPr>
                <w:rFonts w:eastAsia="Times New Roman"/>
                <w:sz w:val="18"/>
                <w:szCs w:val="18"/>
              </w:rPr>
              <w:t>(7440020)</w:t>
            </w:r>
          </w:p>
        </w:tc>
        <w:tc>
          <w:tcPr>
            <w:tcW w:w="800" w:type="dxa"/>
            <w:vAlign w:val="center"/>
          </w:tcPr>
          <w:p w14:paraId="0555F11B" w14:textId="3B1B6CCF" w:rsidR="00721317" w:rsidRDefault="00721317" w:rsidP="00721317">
            <w:pPr>
              <w:jc w:val="center"/>
              <w:rPr>
                <w:rFonts w:eastAsia="Times New Roman"/>
                <w:sz w:val="18"/>
                <w:szCs w:val="18"/>
              </w:rPr>
            </w:pPr>
            <w:r>
              <w:rPr>
                <w:rFonts w:eastAsia="Times New Roman"/>
                <w:sz w:val="18"/>
                <w:szCs w:val="18"/>
              </w:rPr>
              <w:t>0.1 mg/L</w:t>
            </w:r>
          </w:p>
        </w:tc>
        <w:tc>
          <w:tcPr>
            <w:tcW w:w="1700" w:type="dxa"/>
            <w:vAlign w:val="center"/>
          </w:tcPr>
          <w:p w14:paraId="4D0F3D4C" w14:textId="3465225D" w:rsidR="00721317" w:rsidRDefault="00721317" w:rsidP="00721317">
            <w:pPr>
              <w:jc w:val="center"/>
              <w:rPr>
                <w:rFonts w:eastAsia="Times New Roman"/>
                <w:sz w:val="18"/>
                <w:szCs w:val="18"/>
              </w:rPr>
            </w:pPr>
            <w:r>
              <w:rPr>
                <w:rFonts w:eastAsia="Times New Roman"/>
                <w:sz w:val="18"/>
                <w:szCs w:val="18"/>
              </w:rPr>
              <w:t>1000</w:t>
            </w:r>
          </w:p>
        </w:tc>
        <w:tc>
          <w:tcPr>
            <w:tcW w:w="1620" w:type="dxa"/>
            <w:vAlign w:val="center"/>
          </w:tcPr>
          <w:p w14:paraId="5CAF780E" w14:textId="2CCA2DB5" w:rsidR="00721317" w:rsidRDefault="00721317" w:rsidP="00721317">
            <w:pPr>
              <w:jc w:val="center"/>
              <w:rPr>
                <w:rFonts w:eastAsia="Times New Roman"/>
                <w:sz w:val="18"/>
                <w:szCs w:val="18"/>
              </w:rPr>
            </w:pPr>
            <w:r>
              <w:rPr>
                <w:rFonts w:eastAsia="Times New Roman"/>
                <w:sz w:val="18"/>
                <w:szCs w:val="18"/>
              </w:rPr>
              <w:t>100 ppb</w:t>
            </w:r>
          </w:p>
        </w:tc>
        <w:tc>
          <w:tcPr>
            <w:tcW w:w="2440" w:type="dxa"/>
          </w:tcPr>
          <w:p w14:paraId="529D9D0F" w14:textId="50CD91EA" w:rsidR="00721317" w:rsidRDefault="00721317" w:rsidP="00DE1119">
            <w:pPr>
              <w:spacing w:line="360" w:lineRule="auto"/>
              <w:ind w:left="43"/>
              <w:rPr>
                <w:rFonts w:eastAsia="Times New Roman"/>
                <w:sz w:val="18"/>
                <w:szCs w:val="18"/>
              </w:rPr>
            </w:pPr>
            <w:r>
              <w:rPr>
                <w:rFonts w:eastAsia="Times New Roman"/>
                <w:sz w:val="18"/>
                <w:szCs w:val="18"/>
              </w:rPr>
              <w:t>Discharge from domestic wastewater, landfills, and mining and smelting operations</w:t>
            </w:r>
          </w:p>
        </w:tc>
        <w:tc>
          <w:tcPr>
            <w:tcW w:w="2320" w:type="dxa"/>
          </w:tcPr>
          <w:p w14:paraId="039F187A" w14:textId="0CB83E2E" w:rsidR="00721317" w:rsidRPr="00721317" w:rsidRDefault="00721317" w:rsidP="00DE1119">
            <w:pPr>
              <w:spacing w:line="360" w:lineRule="auto"/>
              <w:ind w:left="43"/>
              <w:rPr>
                <w:rFonts w:eastAsia="Times New Roman"/>
                <w:sz w:val="18"/>
                <w:szCs w:val="18"/>
              </w:rPr>
            </w:pPr>
            <w:r>
              <w:rPr>
                <w:rFonts w:eastAsia="Times New Roman"/>
                <w:sz w:val="18"/>
                <w:szCs w:val="18"/>
              </w:rPr>
              <w:t>Some people who drink water containing nickel at high concentrations for many years could experience effects on the lung, stomach, blood, liver, kidneys, immune system, reproduction, and development.</w:t>
            </w:r>
          </w:p>
        </w:tc>
      </w:tr>
      <w:tr w:rsidR="00721317" w14:paraId="5B0FD04C" w14:textId="77777777" w:rsidTr="00721317">
        <w:trPr>
          <w:trHeight w:val="2252"/>
        </w:trPr>
        <w:tc>
          <w:tcPr>
            <w:tcW w:w="2280" w:type="dxa"/>
            <w:vAlign w:val="center"/>
          </w:tcPr>
          <w:p w14:paraId="53E12E37" w14:textId="77777777" w:rsidR="00721317" w:rsidRDefault="00721317" w:rsidP="00721317">
            <w:pPr>
              <w:rPr>
                <w:sz w:val="20"/>
                <w:szCs w:val="20"/>
              </w:rPr>
            </w:pPr>
            <w:r>
              <w:rPr>
                <w:rFonts w:eastAsia="Times New Roman"/>
                <w:sz w:val="18"/>
                <w:szCs w:val="18"/>
              </w:rPr>
              <w:t>N-nitrosodimethylamine</w:t>
            </w:r>
          </w:p>
          <w:p w14:paraId="27E979C1" w14:textId="00B6DBAF" w:rsidR="00721317" w:rsidRDefault="00721317" w:rsidP="00721317">
            <w:pPr>
              <w:rPr>
                <w:rFonts w:eastAsia="Times New Roman"/>
                <w:sz w:val="18"/>
                <w:szCs w:val="18"/>
              </w:rPr>
            </w:pPr>
            <w:r>
              <w:rPr>
                <w:rFonts w:eastAsia="Times New Roman"/>
                <w:sz w:val="18"/>
                <w:szCs w:val="18"/>
              </w:rPr>
              <w:t>(NDMA) (62759)</w:t>
            </w:r>
          </w:p>
        </w:tc>
        <w:tc>
          <w:tcPr>
            <w:tcW w:w="800" w:type="dxa"/>
            <w:vAlign w:val="center"/>
          </w:tcPr>
          <w:p w14:paraId="42F0B003" w14:textId="61969D97" w:rsidR="00721317" w:rsidRDefault="00721317" w:rsidP="00721317">
            <w:pPr>
              <w:jc w:val="center"/>
              <w:rPr>
                <w:rFonts w:eastAsia="Times New Roman"/>
                <w:sz w:val="18"/>
                <w:szCs w:val="18"/>
              </w:rPr>
            </w:pPr>
            <w:r>
              <w:rPr>
                <w:rFonts w:eastAsia="Times New Roman"/>
                <w:sz w:val="18"/>
                <w:szCs w:val="18"/>
              </w:rPr>
              <w:t>*</w:t>
            </w:r>
          </w:p>
        </w:tc>
        <w:tc>
          <w:tcPr>
            <w:tcW w:w="1700" w:type="dxa"/>
            <w:vAlign w:val="center"/>
          </w:tcPr>
          <w:p w14:paraId="269D4732" w14:textId="2F8EB9A3" w:rsidR="00721317" w:rsidRDefault="00721317" w:rsidP="00721317">
            <w:pPr>
              <w:jc w:val="center"/>
              <w:rPr>
                <w:rFonts w:eastAsia="Times New Roman"/>
                <w:sz w:val="18"/>
                <w:szCs w:val="18"/>
              </w:rPr>
            </w:pPr>
            <w:r>
              <w:rPr>
                <w:rFonts w:eastAsia="Times New Roman"/>
                <w:sz w:val="18"/>
                <w:szCs w:val="18"/>
              </w:rPr>
              <w:t>-</w:t>
            </w:r>
          </w:p>
        </w:tc>
        <w:tc>
          <w:tcPr>
            <w:tcW w:w="1620" w:type="dxa"/>
            <w:vAlign w:val="center"/>
          </w:tcPr>
          <w:p w14:paraId="7AC11669" w14:textId="216469A0" w:rsidR="00721317" w:rsidRDefault="00721317" w:rsidP="00721317">
            <w:pPr>
              <w:jc w:val="center"/>
              <w:rPr>
                <w:rFonts w:eastAsia="Times New Roman"/>
                <w:sz w:val="18"/>
                <w:szCs w:val="18"/>
              </w:rPr>
            </w:pPr>
            <w:r>
              <w:rPr>
                <w:rFonts w:eastAsia="Times New Roman"/>
                <w:sz w:val="18"/>
                <w:szCs w:val="18"/>
              </w:rPr>
              <w:t>-</w:t>
            </w:r>
          </w:p>
        </w:tc>
        <w:tc>
          <w:tcPr>
            <w:tcW w:w="2440" w:type="dxa"/>
          </w:tcPr>
          <w:p w14:paraId="5C85C4C3" w14:textId="4F076FA0" w:rsidR="00721317" w:rsidRDefault="00721317" w:rsidP="00DE1119">
            <w:pPr>
              <w:spacing w:line="360" w:lineRule="auto"/>
              <w:ind w:left="43"/>
              <w:rPr>
                <w:rFonts w:eastAsia="Times New Roman"/>
                <w:sz w:val="18"/>
                <w:szCs w:val="18"/>
              </w:rPr>
            </w:pPr>
            <w:r>
              <w:rPr>
                <w:rFonts w:eastAsia="Times New Roman"/>
                <w:sz w:val="18"/>
                <w:szCs w:val="18"/>
              </w:rPr>
              <w:t>Discharge from industrial use; as a by-product of drinking water treatment; produced from naturally occurring precursor chemicals</w:t>
            </w:r>
          </w:p>
        </w:tc>
        <w:tc>
          <w:tcPr>
            <w:tcW w:w="2320" w:type="dxa"/>
          </w:tcPr>
          <w:p w14:paraId="12DA482E" w14:textId="1655A76F" w:rsidR="00721317" w:rsidRPr="00721317" w:rsidRDefault="00721317" w:rsidP="00721317">
            <w:pPr>
              <w:spacing w:line="329" w:lineRule="auto"/>
              <w:ind w:left="43" w:right="60"/>
              <w:rPr>
                <w:rFonts w:eastAsia="Times New Roman"/>
                <w:sz w:val="18"/>
                <w:szCs w:val="18"/>
              </w:rPr>
            </w:pPr>
            <w:r>
              <w:rPr>
                <w:rFonts w:eastAsia="Times New Roman"/>
                <w:sz w:val="18"/>
                <w:szCs w:val="18"/>
              </w:rPr>
              <w:t>Some people who drink water containing NDMA at high concentrations as well as infants born to pregnant women who drink the water may experience an increased risk of cancer. This chemical may also produce liver disease and kidney effects after short-term exposure to high doses or long-term exposure to lower doses.</w:t>
            </w:r>
          </w:p>
        </w:tc>
      </w:tr>
      <w:tr w:rsidR="003D6946" w14:paraId="67D53C99" w14:textId="77777777" w:rsidTr="003D6946">
        <w:trPr>
          <w:trHeight w:val="691"/>
        </w:trPr>
        <w:tc>
          <w:tcPr>
            <w:tcW w:w="2280" w:type="dxa"/>
            <w:vAlign w:val="center"/>
          </w:tcPr>
          <w:p w14:paraId="0665C1A5" w14:textId="77777777" w:rsidR="003D6946" w:rsidRDefault="003D6946" w:rsidP="003D6946">
            <w:pPr>
              <w:rPr>
                <w:sz w:val="20"/>
                <w:szCs w:val="20"/>
              </w:rPr>
            </w:pPr>
            <w:r>
              <w:rPr>
                <w:rFonts w:eastAsia="Times New Roman"/>
                <w:sz w:val="18"/>
                <w:szCs w:val="18"/>
              </w:rPr>
              <w:t>Noroviruses</w:t>
            </w:r>
          </w:p>
          <w:p w14:paraId="026663B6" w14:textId="08C278BD" w:rsidR="003D6946" w:rsidRDefault="003D6946" w:rsidP="003D6946">
            <w:pPr>
              <w:rPr>
                <w:rFonts w:eastAsia="Times New Roman"/>
                <w:sz w:val="18"/>
                <w:szCs w:val="18"/>
              </w:rPr>
            </w:pPr>
            <w:r>
              <w:rPr>
                <w:rFonts w:eastAsia="Times New Roman"/>
                <w:sz w:val="18"/>
                <w:szCs w:val="18"/>
              </w:rPr>
              <w:t>(N/A)</w:t>
            </w:r>
          </w:p>
        </w:tc>
        <w:tc>
          <w:tcPr>
            <w:tcW w:w="800" w:type="dxa"/>
            <w:vAlign w:val="center"/>
          </w:tcPr>
          <w:p w14:paraId="2D0BFDB5" w14:textId="3186AC30" w:rsidR="003D6946" w:rsidRDefault="003D6946" w:rsidP="003D6946">
            <w:pPr>
              <w:jc w:val="center"/>
              <w:rPr>
                <w:rFonts w:eastAsia="Times New Roman"/>
                <w:sz w:val="18"/>
                <w:szCs w:val="18"/>
              </w:rPr>
            </w:pPr>
            <w:r>
              <w:rPr>
                <w:rFonts w:eastAsia="Times New Roman"/>
                <w:sz w:val="18"/>
                <w:szCs w:val="18"/>
              </w:rPr>
              <w:t>*</w:t>
            </w:r>
          </w:p>
        </w:tc>
        <w:tc>
          <w:tcPr>
            <w:tcW w:w="1700" w:type="dxa"/>
            <w:vAlign w:val="center"/>
          </w:tcPr>
          <w:p w14:paraId="4010D243" w14:textId="076E4486" w:rsidR="003D6946" w:rsidRDefault="003D6946" w:rsidP="003D6946">
            <w:pPr>
              <w:jc w:val="center"/>
              <w:rPr>
                <w:rFonts w:eastAsia="Times New Roman"/>
                <w:sz w:val="18"/>
                <w:szCs w:val="18"/>
              </w:rPr>
            </w:pPr>
            <w:r>
              <w:rPr>
                <w:rFonts w:eastAsia="Times New Roman"/>
                <w:sz w:val="18"/>
                <w:szCs w:val="18"/>
              </w:rPr>
              <w:t>-</w:t>
            </w:r>
          </w:p>
        </w:tc>
        <w:tc>
          <w:tcPr>
            <w:tcW w:w="1620" w:type="dxa"/>
            <w:vAlign w:val="center"/>
          </w:tcPr>
          <w:p w14:paraId="605F2616" w14:textId="3181569D" w:rsidR="003D6946" w:rsidRDefault="003D6946" w:rsidP="003D6946">
            <w:pPr>
              <w:jc w:val="center"/>
              <w:rPr>
                <w:rFonts w:eastAsia="Times New Roman"/>
                <w:sz w:val="18"/>
                <w:szCs w:val="18"/>
              </w:rPr>
            </w:pPr>
            <w:r>
              <w:rPr>
                <w:rFonts w:eastAsia="Times New Roman"/>
                <w:sz w:val="18"/>
                <w:szCs w:val="18"/>
              </w:rPr>
              <w:t>-</w:t>
            </w:r>
          </w:p>
        </w:tc>
        <w:tc>
          <w:tcPr>
            <w:tcW w:w="2440" w:type="dxa"/>
            <w:vAlign w:val="center"/>
          </w:tcPr>
          <w:p w14:paraId="3D44FA5A" w14:textId="49E4937C" w:rsidR="003D6946" w:rsidRDefault="003D6946" w:rsidP="003D6946">
            <w:pPr>
              <w:spacing w:line="329" w:lineRule="auto"/>
              <w:jc w:val="center"/>
              <w:rPr>
                <w:rFonts w:eastAsia="Times New Roman"/>
                <w:sz w:val="18"/>
                <w:szCs w:val="18"/>
              </w:rPr>
            </w:pPr>
            <w:r>
              <w:rPr>
                <w:rFonts w:eastAsia="Times New Roman"/>
                <w:sz w:val="18"/>
                <w:szCs w:val="18"/>
              </w:rPr>
              <w:t>-</w:t>
            </w:r>
          </w:p>
        </w:tc>
        <w:tc>
          <w:tcPr>
            <w:tcW w:w="2320" w:type="dxa"/>
            <w:vAlign w:val="center"/>
          </w:tcPr>
          <w:p w14:paraId="1A4518CD" w14:textId="60FAE834" w:rsidR="003D6946" w:rsidRDefault="003D6946" w:rsidP="003D6946">
            <w:pPr>
              <w:spacing w:line="329" w:lineRule="auto"/>
              <w:jc w:val="center"/>
              <w:rPr>
                <w:rFonts w:eastAsia="Times New Roman"/>
                <w:sz w:val="18"/>
                <w:szCs w:val="18"/>
              </w:rPr>
            </w:pPr>
            <w:r>
              <w:rPr>
                <w:rFonts w:eastAsia="Times New Roman"/>
                <w:sz w:val="18"/>
                <w:szCs w:val="18"/>
              </w:rPr>
              <w:t>-</w:t>
            </w:r>
          </w:p>
        </w:tc>
      </w:tr>
      <w:tr w:rsidR="00C01D07" w14:paraId="4F85C945" w14:textId="77777777" w:rsidTr="003D6946">
        <w:trPr>
          <w:trHeight w:val="691"/>
        </w:trPr>
        <w:tc>
          <w:tcPr>
            <w:tcW w:w="2280" w:type="dxa"/>
            <w:vAlign w:val="center"/>
          </w:tcPr>
          <w:p w14:paraId="0D857DD4" w14:textId="77777777" w:rsidR="007E6EEC" w:rsidRPr="00766749" w:rsidRDefault="007E6EEC" w:rsidP="007E6EEC">
            <w:pPr>
              <w:autoSpaceDE w:val="0"/>
              <w:autoSpaceDN w:val="0"/>
              <w:adjustRightInd w:val="0"/>
              <w:rPr>
                <w:sz w:val="18"/>
                <w:szCs w:val="18"/>
              </w:rPr>
            </w:pPr>
            <w:r w:rsidRPr="00766749">
              <w:rPr>
                <w:sz w:val="18"/>
                <w:szCs w:val="18"/>
              </w:rPr>
              <w:t>Hexafluoropropylene</w:t>
            </w:r>
          </w:p>
          <w:p w14:paraId="5538EB28" w14:textId="77777777" w:rsidR="007E6EEC" w:rsidRPr="00766749" w:rsidRDefault="007E6EEC" w:rsidP="007E6EEC">
            <w:pPr>
              <w:autoSpaceDE w:val="0"/>
              <w:autoSpaceDN w:val="0"/>
              <w:adjustRightInd w:val="0"/>
              <w:rPr>
                <w:sz w:val="18"/>
                <w:szCs w:val="18"/>
              </w:rPr>
            </w:pPr>
            <w:r w:rsidRPr="00766749">
              <w:rPr>
                <w:sz w:val="18"/>
                <w:szCs w:val="18"/>
              </w:rPr>
              <w:t>oxide dimer acid</w:t>
            </w:r>
          </w:p>
          <w:p w14:paraId="7CC8C67E" w14:textId="03A23FC4" w:rsidR="00C01D07" w:rsidRDefault="007E6EEC" w:rsidP="007E6EEC">
            <w:pPr>
              <w:rPr>
                <w:rFonts w:eastAsia="Times New Roman"/>
                <w:sz w:val="18"/>
                <w:szCs w:val="18"/>
              </w:rPr>
            </w:pPr>
            <w:r w:rsidRPr="00766749">
              <w:rPr>
                <w:sz w:val="18"/>
                <w:szCs w:val="18"/>
              </w:rPr>
              <w:t>(HFPO-DA) (13252-13-6)</w:t>
            </w:r>
          </w:p>
        </w:tc>
        <w:tc>
          <w:tcPr>
            <w:tcW w:w="800" w:type="dxa"/>
            <w:vAlign w:val="center"/>
          </w:tcPr>
          <w:p w14:paraId="3D73CB1B" w14:textId="0274FAB4" w:rsidR="00C01D07" w:rsidRDefault="007E6EEC" w:rsidP="003D6946">
            <w:pPr>
              <w:jc w:val="center"/>
              <w:rPr>
                <w:rFonts w:eastAsia="Times New Roman"/>
                <w:sz w:val="18"/>
                <w:szCs w:val="18"/>
              </w:rPr>
            </w:pPr>
            <w:r>
              <w:rPr>
                <w:rFonts w:eastAsia="Times New Roman"/>
                <w:sz w:val="18"/>
                <w:szCs w:val="18"/>
              </w:rPr>
              <w:t>*</w:t>
            </w:r>
          </w:p>
        </w:tc>
        <w:tc>
          <w:tcPr>
            <w:tcW w:w="1700" w:type="dxa"/>
            <w:vAlign w:val="center"/>
          </w:tcPr>
          <w:p w14:paraId="1E43A40D" w14:textId="5CC27D37" w:rsidR="00C01D07" w:rsidRDefault="007E6EEC" w:rsidP="003D6946">
            <w:pPr>
              <w:jc w:val="center"/>
              <w:rPr>
                <w:rFonts w:eastAsia="Times New Roman"/>
                <w:sz w:val="18"/>
                <w:szCs w:val="18"/>
              </w:rPr>
            </w:pPr>
            <w:r>
              <w:rPr>
                <w:rFonts w:eastAsia="Times New Roman"/>
                <w:sz w:val="18"/>
                <w:szCs w:val="18"/>
              </w:rPr>
              <w:t>-</w:t>
            </w:r>
          </w:p>
        </w:tc>
        <w:tc>
          <w:tcPr>
            <w:tcW w:w="1620" w:type="dxa"/>
            <w:vAlign w:val="center"/>
          </w:tcPr>
          <w:p w14:paraId="23F94703" w14:textId="2C4A9F2B" w:rsidR="00C01D07" w:rsidRDefault="007E6EEC" w:rsidP="003D6946">
            <w:pPr>
              <w:jc w:val="center"/>
              <w:rPr>
                <w:rFonts w:eastAsia="Times New Roman"/>
                <w:sz w:val="18"/>
                <w:szCs w:val="18"/>
              </w:rPr>
            </w:pPr>
            <w:r>
              <w:rPr>
                <w:rFonts w:eastAsia="Times New Roman"/>
                <w:sz w:val="18"/>
                <w:szCs w:val="18"/>
              </w:rPr>
              <w:t>-</w:t>
            </w:r>
          </w:p>
        </w:tc>
        <w:tc>
          <w:tcPr>
            <w:tcW w:w="2440" w:type="dxa"/>
            <w:vAlign w:val="center"/>
          </w:tcPr>
          <w:p w14:paraId="2D261216" w14:textId="45C90C96" w:rsidR="00C01D07" w:rsidRDefault="007E6EEC" w:rsidP="003D6946">
            <w:pPr>
              <w:spacing w:line="329" w:lineRule="auto"/>
              <w:jc w:val="center"/>
              <w:rPr>
                <w:rFonts w:eastAsia="Times New Roman"/>
                <w:sz w:val="18"/>
                <w:szCs w:val="18"/>
              </w:rPr>
            </w:pPr>
            <w:r>
              <w:rPr>
                <w:rFonts w:eastAsia="Times New Roman"/>
                <w:sz w:val="18"/>
                <w:szCs w:val="18"/>
              </w:rPr>
              <w:t>-</w:t>
            </w:r>
          </w:p>
        </w:tc>
        <w:tc>
          <w:tcPr>
            <w:tcW w:w="2320" w:type="dxa"/>
            <w:vAlign w:val="center"/>
          </w:tcPr>
          <w:p w14:paraId="2890A139" w14:textId="4CF4B9C6" w:rsidR="00C01D07" w:rsidRDefault="007E6EEC" w:rsidP="003D6946">
            <w:pPr>
              <w:spacing w:line="329" w:lineRule="auto"/>
              <w:jc w:val="center"/>
              <w:rPr>
                <w:rFonts w:eastAsia="Times New Roman"/>
                <w:sz w:val="18"/>
                <w:szCs w:val="18"/>
              </w:rPr>
            </w:pPr>
            <w:r>
              <w:rPr>
                <w:rFonts w:eastAsia="Times New Roman"/>
                <w:sz w:val="18"/>
                <w:szCs w:val="18"/>
              </w:rPr>
              <w:t>-</w:t>
            </w:r>
          </w:p>
        </w:tc>
      </w:tr>
    </w:tbl>
    <w:p w14:paraId="281A50C8" w14:textId="77777777" w:rsidR="004647B9" w:rsidRDefault="004647B9">
      <w:pPr>
        <w:sectPr w:rsidR="004647B9" w:rsidSect="00EF630C">
          <w:type w:val="continuous"/>
          <w:pgSz w:w="12240" w:h="20180"/>
          <w:pgMar w:top="708" w:right="480" w:bottom="914" w:left="600" w:header="0" w:footer="0" w:gutter="0"/>
          <w:cols w:space="720"/>
        </w:sectPr>
      </w:pPr>
    </w:p>
    <w:p w14:paraId="281A50C9" w14:textId="77777777" w:rsidR="004647B9" w:rsidRDefault="00E2436F">
      <w:pPr>
        <w:tabs>
          <w:tab w:val="left" w:pos="2860"/>
        </w:tabs>
        <w:ind w:left="1680"/>
        <w:rPr>
          <w:sz w:val="20"/>
          <w:szCs w:val="20"/>
        </w:rPr>
      </w:pPr>
      <w:bookmarkStart w:id="243" w:name="page246"/>
      <w:bookmarkEnd w:id="24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0CA" w14:textId="77777777" w:rsidR="004647B9" w:rsidRDefault="004647B9" w:rsidP="005455D4">
      <w:pPr>
        <w:rPr>
          <w:sz w:val="20"/>
          <w:szCs w:val="20"/>
        </w:rPr>
      </w:pPr>
    </w:p>
    <w:p w14:paraId="11466F6F" w14:textId="77777777" w:rsidR="005455D4" w:rsidRDefault="005455D4" w:rsidP="005455D4">
      <w:pPr>
        <w:rPr>
          <w:sz w:val="20"/>
          <w:szCs w:val="20"/>
        </w:rPr>
      </w:pPr>
    </w:p>
    <w:p w14:paraId="281A50CB" w14:textId="77777777" w:rsidR="004647B9" w:rsidRPr="005455D4" w:rsidRDefault="00E2436F" w:rsidP="005455D4">
      <w:pPr>
        <w:tabs>
          <w:tab w:val="left" w:pos="940"/>
        </w:tabs>
        <w:rPr>
          <w:sz w:val="24"/>
          <w:szCs w:val="24"/>
        </w:rPr>
      </w:pPr>
      <w:r w:rsidRPr="005455D4">
        <w:rPr>
          <w:rFonts w:eastAsia="Times New Roman"/>
          <w:sz w:val="24"/>
          <w:szCs w:val="24"/>
        </w:rPr>
        <w:t>22.16A:</w:t>
      </w:r>
      <w:r w:rsidRPr="005455D4">
        <w:rPr>
          <w:sz w:val="24"/>
          <w:szCs w:val="24"/>
        </w:rPr>
        <w:tab/>
      </w:r>
      <w:r w:rsidRPr="005455D4">
        <w:rPr>
          <w:rFonts w:eastAsia="Times New Roman"/>
          <w:sz w:val="24"/>
          <w:szCs w:val="24"/>
        </w:rPr>
        <w:t>continued</w:t>
      </w:r>
    </w:p>
    <w:p w14:paraId="281A50CD" w14:textId="77777777" w:rsidR="004647B9" w:rsidRDefault="004647B9" w:rsidP="005455D4">
      <w:pPr>
        <w:rPr>
          <w:sz w:val="20"/>
          <w:szCs w:val="20"/>
        </w:rPr>
      </w:pPr>
    </w:p>
    <w:tbl>
      <w:tblPr>
        <w:tblW w:w="11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0C2DCA" w14:paraId="281A50D5" w14:textId="77777777" w:rsidTr="000C2DCA">
        <w:trPr>
          <w:trHeight w:val="755"/>
        </w:trPr>
        <w:tc>
          <w:tcPr>
            <w:tcW w:w="2280" w:type="dxa"/>
            <w:vAlign w:val="center"/>
          </w:tcPr>
          <w:p w14:paraId="45DD0EE8" w14:textId="77777777" w:rsidR="000C2DCA" w:rsidRDefault="000C2DCA" w:rsidP="001F0992">
            <w:pPr>
              <w:rPr>
                <w:sz w:val="20"/>
                <w:szCs w:val="20"/>
              </w:rPr>
            </w:pPr>
            <w:r>
              <w:rPr>
                <w:rFonts w:eastAsia="Times New Roman"/>
                <w:sz w:val="18"/>
                <w:szCs w:val="18"/>
              </w:rPr>
              <w:t>Chemical</w:t>
            </w:r>
          </w:p>
          <w:p w14:paraId="281A50CF" w14:textId="7FD9F4B2" w:rsidR="000C2DCA" w:rsidRDefault="000C2DCA" w:rsidP="001F0992">
            <w:pPr>
              <w:rPr>
                <w:sz w:val="24"/>
                <w:szCs w:val="24"/>
              </w:rPr>
            </w:pPr>
            <w:r>
              <w:rPr>
                <w:rFonts w:eastAsia="Times New Roman"/>
                <w:sz w:val="18"/>
                <w:szCs w:val="18"/>
              </w:rPr>
              <w:t>(CASRN)</w:t>
            </w:r>
          </w:p>
        </w:tc>
        <w:tc>
          <w:tcPr>
            <w:tcW w:w="800" w:type="dxa"/>
            <w:vAlign w:val="center"/>
          </w:tcPr>
          <w:p w14:paraId="281A50D0" w14:textId="77777777" w:rsidR="000C2DCA" w:rsidRDefault="000C2DCA" w:rsidP="001F0992">
            <w:pPr>
              <w:jc w:val="center"/>
              <w:rPr>
                <w:sz w:val="20"/>
                <w:szCs w:val="20"/>
              </w:rPr>
            </w:pPr>
            <w:r>
              <w:rPr>
                <w:rFonts w:eastAsia="Times New Roman"/>
                <w:sz w:val="18"/>
                <w:szCs w:val="18"/>
              </w:rPr>
              <w:t>ORSG</w:t>
            </w:r>
          </w:p>
        </w:tc>
        <w:tc>
          <w:tcPr>
            <w:tcW w:w="1700" w:type="dxa"/>
            <w:vAlign w:val="center"/>
          </w:tcPr>
          <w:p w14:paraId="281A50D1" w14:textId="587A3732" w:rsidR="000C2DCA" w:rsidRDefault="000C2DCA" w:rsidP="001F0992">
            <w:pPr>
              <w:jc w:val="center"/>
              <w:rPr>
                <w:sz w:val="20"/>
                <w:szCs w:val="20"/>
              </w:rPr>
            </w:pPr>
            <w:r>
              <w:rPr>
                <w:rFonts w:eastAsia="Times New Roman"/>
                <w:sz w:val="18"/>
                <w:szCs w:val="18"/>
              </w:rPr>
              <w:t>To convert for CCR, multiply by</w:t>
            </w:r>
          </w:p>
        </w:tc>
        <w:tc>
          <w:tcPr>
            <w:tcW w:w="1620" w:type="dxa"/>
            <w:vAlign w:val="center"/>
          </w:tcPr>
          <w:p w14:paraId="281A50D2" w14:textId="18FBBA93" w:rsidR="000C2DCA" w:rsidRDefault="000C2DCA" w:rsidP="001F0992">
            <w:pPr>
              <w:jc w:val="center"/>
              <w:rPr>
                <w:sz w:val="20"/>
                <w:szCs w:val="20"/>
              </w:rPr>
            </w:pPr>
            <w:r>
              <w:rPr>
                <w:rFonts w:eastAsia="Times New Roman"/>
                <w:sz w:val="18"/>
                <w:szCs w:val="18"/>
              </w:rPr>
              <w:t>ORSG in CCR units</w:t>
            </w:r>
          </w:p>
        </w:tc>
        <w:tc>
          <w:tcPr>
            <w:tcW w:w="2440" w:type="dxa"/>
            <w:vAlign w:val="center"/>
          </w:tcPr>
          <w:p w14:paraId="281A50D3" w14:textId="60EF0B9D" w:rsidR="000C2DCA" w:rsidRDefault="000C2DCA" w:rsidP="000C2DCA">
            <w:pPr>
              <w:jc w:val="center"/>
              <w:rPr>
                <w:sz w:val="20"/>
                <w:szCs w:val="20"/>
              </w:rPr>
            </w:pPr>
            <w:r>
              <w:rPr>
                <w:rFonts w:eastAsia="Times New Roman"/>
                <w:sz w:val="18"/>
                <w:szCs w:val="18"/>
              </w:rPr>
              <w:t>Source to Drinking Water</w:t>
            </w:r>
          </w:p>
        </w:tc>
        <w:tc>
          <w:tcPr>
            <w:tcW w:w="2320" w:type="dxa"/>
            <w:vAlign w:val="center"/>
          </w:tcPr>
          <w:p w14:paraId="281A50D4" w14:textId="77777777" w:rsidR="000C2DCA" w:rsidRDefault="000C2DCA" w:rsidP="000C2DCA">
            <w:pPr>
              <w:jc w:val="center"/>
              <w:rPr>
                <w:sz w:val="20"/>
                <w:szCs w:val="20"/>
              </w:rPr>
            </w:pPr>
            <w:r>
              <w:rPr>
                <w:rFonts w:eastAsia="Times New Roman"/>
                <w:sz w:val="18"/>
                <w:szCs w:val="18"/>
              </w:rPr>
              <w:t>Health Effects</w:t>
            </w:r>
          </w:p>
        </w:tc>
      </w:tr>
      <w:tr w:rsidR="0037177B" w14:paraId="281A50EB" w14:textId="77777777" w:rsidTr="0037177B">
        <w:trPr>
          <w:trHeight w:val="1055"/>
        </w:trPr>
        <w:tc>
          <w:tcPr>
            <w:tcW w:w="2280" w:type="dxa"/>
            <w:vAlign w:val="center"/>
          </w:tcPr>
          <w:p w14:paraId="281A50E5" w14:textId="64799FA7" w:rsidR="0037177B" w:rsidRPr="00766749" w:rsidRDefault="00545753" w:rsidP="00CF32A3">
            <w:pPr>
              <w:autoSpaceDE w:val="0"/>
              <w:autoSpaceDN w:val="0"/>
              <w:adjustRightInd w:val="0"/>
              <w:rPr>
                <w:sz w:val="20"/>
                <w:szCs w:val="20"/>
              </w:rPr>
            </w:pPr>
            <w:r w:rsidRPr="00766749">
              <w:rPr>
                <w:sz w:val="18"/>
                <w:szCs w:val="18"/>
              </w:rPr>
              <w:t>N-ethyl</w:t>
            </w:r>
            <w:r w:rsidR="00817B07" w:rsidRPr="00766749">
              <w:rPr>
                <w:sz w:val="18"/>
                <w:szCs w:val="18"/>
              </w:rPr>
              <w:t xml:space="preserve"> </w:t>
            </w:r>
            <w:r w:rsidRPr="00766749">
              <w:rPr>
                <w:sz w:val="18"/>
                <w:szCs w:val="18"/>
              </w:rPr>
              <w:t>perfluorooctanesulfonamidoacetic acid</w:t>
            </w:r>
            <w:r w:rsidR="00CF32A3" w:rsidRPr="00766749">
              <w:rPr>
                <w:sz w:val="18"/>
                <w:szCs w:val="18"/>
              </w:rPr>
              <w:t xml:space="preserve"> </w:t>
            </w:r>
            <w:r w:rsidRPr="00766749">
              <w:rPr>
                <w:sz w:val="18"/>
                <w:szCs w:val="18"/>
              </w:rPr>
              <w:t>(NEtFOSAA) (2991-50-6)</w:t>
            </w:r>
          </w:p>
        </w:tc>
        <w:tc>
          <w:tcPr>
            <w:tcW w:w="800" w:type="dxa"/>
            <w:vAlign w:val="center"/>
          </w:tcPr>
          <w:p w14:paraId="281A50E6" w14:textId="77777777" w:rsidR="0037177B" w:rsidRDefault="0037177B" w:rsidP="0037177B">
            <w:pPr>
              <w:jc w:val="center"/>
              <w:rPr>
                <w:sz w:val="20"/>
                <w:szCs w:val="20"/>
              </w:rPr>
            </w:pPr>
            <w:r>
              <w:rPr>
                <w:rFonts w:eastAsia="Times New Roman"/>
                <w:sz w:val="18"/>
                <w:szCs w:val="18"/>
              </w:rPr>
              <w:t>*</w:t>
            </w:r>
          </w:p>
        </w:tc>
        <w:tc>
          <w:tcPr>
            <w:tcW w:w="1700" w:type="dxa"/>
            <w:vAlign w:val="center"/>
          </w:tcPr>
          <w:p w14:paraId="281A50E7" w14:textId="77777777" w:rsidR="0037177B" w:rsidRDefault="0037177B" w:rsidP="0037177B">
            <w:pPr>
              <w:jc w:val="center"/>
              <w:rPr>
                <w:sz w:val="20"/>
                <w:szCs w:val="20"/>
              </w:rPr>
            </w:pPr>
            <w:r>
              <w:rPr>
                <w:rFonts w:eastAsia="Times New Roman"/>
                <w:w w:val="99"/>
                <w:sz w:val="18"/>
                <w:szCs w:val="18"/>
              </w:rPr>
              <w:t>-</w:t>
            </w:r>
          </w:p>
        </w:tc>
        <w:tc>
          <w:tcPr>
            <w:tcW w:w="1620" w:type="dxa"/>
            <w:vAlign w:val="center"/>
          </w:tcPr>
          <w:p w14:paraId="281A50E8" w14:textId="77777777" w:rsidR="0037177B" w:rsidRDefault="0037177B" w:rsidP="0037177B">
            <w:pPr>
              <w:jc w:val="center"/>
              <w:rPr>
                <w:sz w:val="20"/>
                <w:szCs w:val="20"/>
              </w:rPr>
            </w:pPr>
            <w:r>
              <w:rPr>
                <w:rFonts w:eastAsia="Times New Roman"/>
                <w:w w:val="99"/>
                <w:sz w:val="18"/>
                <w:szCs w:val="18"/>
              </w:rPr>
              <w:t>-</w:t>
            </w:r>
          </w:p>
        </w:tc>
        <w:tc>
          <w:tcPr>
            <w:tcW w:w="2440" w:type="dxa"/>
            <w:vAlign w:val="center"/>
          </w:tcPr>
          <w:p w14:paraId="281A50E9" w14:textId="77777777" w:rsidR="0037177B" w:rsidRDefault="0037177B" w:rsidP="0037177B">
            <w:pPr>
              <w:jc w:val="center"/>
              <w:rPr>
                <w:sz w:val="20"/>
                <w:szCs w:val="20"/>
              </w:rPr>
            </w:pPr>
            <w:r>
              <w:rPr>
                <w:rFonts w:eastAsia="Times New Roman"/>
                <w:sz w:val="18"/>
                <w:szCs w:val="18"/>
              </w:rPr>
              <w:t>-</w:t>
            </w:r>
          </w:p>
        </w:tc>
        <w:tc>
          <w:tcPr>
            <w:tcW w:w="2320" w:type="dxa"/>
            <w:vAlign w:val="center"/>
          </w:tcPr>
          <w:p w14:paraId="281A50EA" w14:textId="77777777" w:rsidR="0037177B" w:rsidRDefault="0037177B" w:rsidP="0037177B">
            <w:pPr>
              <w:jc w:val="center"/>
              <w:rPr>
                <w:sz w:val="20"/>
                <w:szCs w:val="20"/>
              </w:rPr>
            </w:pPr>
            <w:r>
              <w:rPr>
                <w:rFonts w:eastAsia="Times New Roman"/>
                <w:sz w:val="18"/>
                <w:szCs w:val="18"/>
              </w:rPr>
              <w:t>-</w:t>
            </w:r>
          </w:p>
        </w:tc>
      </w:tr>
      <w:tr w:rsidR="0037177B" w14:paraId="281A5109" w14:textId="77777777" w:rsidTr="0037177B">
        <w:trPr>
          <w:trHeight w:val="1057"/>
        </w:trPr>
        <w:tc>
          <w:tcPr>
            <w:tcW w:w="2280" w:type="dxa"/>
            <w:vAlign w:val="center"/>
          </w:tcPr>
          <w:p w14:paraId="281A5103" w14:textId="0B47004A" w:rsidR="0037177B" w:rsidRPr="00766749" w:rsidRDefault="00545753" w:rsidP="00CF32A3">
            <w:pPr>
              <w:autoSpaceDE w:val="0"/>
              <w:autoSpaceDN w:val="0"/>
              <w:adjustRightInd w:val="0"/>
              <w:rPr>
                <w:sz w:val="20"/>
                <w:szCs w:val="20"/>
              </w:rPr>
            </w:pPr>
            <w:r w:rsidRPr="00766749">
              <w:rPr>
                <w:sz w:val="18"/>
                <w:szCs w:val="18"/>
              </w:rPr>
              <w:t>N-methyl</w:t>
            </w:r>
            <w:r w:rsidR="00817B07" w:rsidRPr="00766749">
              <w:rPr>
                <w:sz w:val="18"/>
                <w:szCs w:val="18"/>
              </w:rPr>
              <w:t xml:space="preserve"> </w:t>
            </w:r>
            <w:r w:rsidRPr="00766749">
              <w:rPr>
                <w:sz w:val="18"/>
                <w:szCs w:val="18"/>
              </w:rPr>
              <w:t>perfluorooctanesulfonamidoacetic acid</w:t>
            </w:r>
            <w:r w:rsidR="00CF32A3" w:rsidRPr="00766749">
              <w:rPr>
                <w:sz w:val="18"/>
                <w:szCs w:val="18"/>
              </w:rPr>
              <w:t xml:space="preserve"> </w:t>
            </w:r>
            <w:r w:rsidRPr="00766749">
              <w:rPr>
                <w:sz w:val="18"/>
                <w:szCs w:val="18"/>
              </w:rPr>
              <w:t>(NMeFOSAA)</w:t>
            </w:r>
            <w:r w:rsidR="00CF32A3" w:rsidRPr="00766749">
              <w:rPr>
                <w:sz w:val="18"/>
                <w:szCs w:val="18"/>
              </w:rPr>
              <w:t xml:space="preserve"> </w:t>
            </w:r>
            <w:r w:rsidRPr="00766749">
              <w:rPr>
                <w:sz w:val="18"/>
                <w:szCs w:val="18"/>
              </w:rPr>
              <w:t>(2355-31-9)</w:t>
            </w:r>
          </w:p>
        </w:tc>
        <w:tc>
          <w:tcPr>
            <w:tcW w:w="800" w:type="dxa"/>
            <w:vAlign w:val="center"/>
          </w:tcPr>
          <w:p w14:paraId="281A5104" w14:textId="77777777" w:rsidR="0037177B" w:rsidRDefault="0037177B" w:rsidP="0037177B">
            <w:pPr>
              <w:jc w:val="center"/>
              <w:rPr>
                <w:sz w:val="20"/>
                <w:szCs w:val="20"/>
              </w:rPr>
            </w:pPr>
            <w:r>
              <w:rPr>
                <w:rFonts w:eastAsia="Times New Roman"/>
                <w:sz w:val="18"/>
                <w:szCs w:val="18"/>
              </w:rPr>
              <w:t>*</w:t>
            </w:r>
          </w:p>
        </w:tc>
        <w:tc>
          <w:tcPr>
            <w:tcW w:w="1700" w:type="dxa"/>
            <w:vAlign w:val="center"/>
          </w:tcPr>
          <w:p w14:paraId="281A5105" w14:textId="77777777" w:rsidR="0037177B" w:rsidRDefault="0037177B" w:rsidP="0037177B">
            <w:pPr>
              <w:jc w:val="center"/>
              <w:rPr>
                <w:sz w:val="20"/>
                <w:szCs w:val="20"/>
              </w:rPr>
            </w:pPr>
            <w:r>
              <w:rPr>
                <w:rFonts w:eastAsia="Times New Roman"/>
                <w:w w:val="99"/>
                <w:sz w:val="18"/>
                <w:szCs w:val="18"/>
              </w:rPr>
              <w:t>-</w:t>
            </w:r>
          </w:p>
        </w:tc>
        <w:tc>
          <w:tcPr>
            <w:tcW w:w="1620" w:type="dxa"/>
            <w:vAlign w:val="center"/>
          </w:tcPr>
          <w:p w14:paraId="281A5106" w14:textId="77777777" w:rsidR="0037177B" w:rsidRDefault="0037177B" w:rsidP="0037177B">
            <w:pPr>
              <w:jc w:val="center"/>
              <w:rPr>
                <w:sz w:val="20"/>
                <w:szCs w:val="20"/>
              </w:rPr>
            </w:pPr>
            <w:r>
              <w:rPr>
                <w:rFonts w:eastAsia="Times New Roman"/>
                <w:w w:val="99"/>
                <w:sz w:val="18"/>
                <w:szCs w:val="18"/>
              </w:rPr>
              <w:t>-</w:t>
            </w:r>
          </w:p>
        </w:tc>
        <w:tc>
          <w:tcPr>
            <w:tcW w:w="2440" w:type="dxa"/>
            <w:vAlign w:val="center"/>
          </w:tcPr>
          <w:p w14:paraId="281A5107" w14:textId="77777777" w:rsidR="0037177B" w:rsidRDefault="0037177B" w:rsidP="0037177B">
            <w:pPr>
              <w:jc w:val="center"/>
              <w:rPr>
                <w:sz w:val="20"/>
                <w:szCs w:val="20"/>
              </w:rPr>
            </w:pPr>
            <w:r>
              <w:rPr>
                <w:rFonts w:eastAsia="Times New Roman"/>
                <w:sz w:val="18"/>
                <w:szCs w:val="18"/>
              </w:rPr>
              <w:t>-</w:t>
            </w:r>
          </w:p>
        </w:tc>
        <w:tc>
          <w:tcPr>
            <w:tcW w:w="2320" w:type="dxa"/>
            <w:vAlign w:val="center"/>
          </w:tcPr>
          <w:p w14:paraId="281A5108" w14:textId="77777777" w:rsidR="0037177B" w:rsidRDefault="0037177B" w:rsidP="0037177B">
            <w:pPr>
              <w:jc w:val="center"/>
              <w:rPr>
                <w:sz w:val="20"/>
                <w:szCs w:val="20"/>
              </w:rPr>
            </w:pPr>
            <w:r>
              <w:rPr>
                <w:rFonts w:eastAsia="Times New Roman"/>
                <w:sz w:val="18"/>
                <w:szCs w:val="18"/>
              </w:rPr>
              <w:t>-</w:t>
            </w:r>
          </w:p>
        </w:tc>
      </w:tr>
      <w:tr w:rsidR="0037177B" w14:paraId="281A5127" w14:textId="77777777" w:rsidTr="00E10C12">
        <w:trPr>
          <w:trHeight w:val="712"/>
        </w:trPr>
        <w:tc>
          <w:tcPr>
            <w:tcW w:w="2280" w:type="dxa"/>
            <w:tcBorders>
              <w:bottom w:val="single" w:sz="8" w:space="0" w:color="auto"/>
            </w:tcBorders>
            <w:vAlign w:val="center"/>
          </w:tcPr>
          <w:p w14:paraId="281A5121" w14:textId="4B964028" w:rsidR="0037177B" w:rsidRPr="00766749" w:rsidRDefault="00545753" w:rsidP="00CF32A3">
            <w:pPr>
              <w:autoSpaceDE w:val="0"/>
              <w:autoSpaceDN w:val="0"/>
              <w:adjustRightInd w:val="0"/>
              <w:rPr>
                <w:sz w:val="20"/>
                <w:szCs w:val="20"/>
              </w:rPr>
            </w:pPr>
            <w:r w:rsidRPr="00766749">
              <w:rPr>
                <w:sz w:val="18"/>
                <w:szCs w:val="18"/>
              </w:rPr>
              <w:t>Perfluorobutanesulfonic</w:t>
            </w:r>
            <w:r w:rsidR="00CF32A3" w:rsidRPr="00766749">
              <w:rPr>
                <w:sz w:val="18"/>
                <w:szCs w:val="18"/>
              </w:rPr>
              <w:t xml:space="preserve"> </w:t>
            </w:r>
            <w:r w:rsidRPr="00766749">
              <w:rPr>
                <w:sz w:val="18"/>
                <w:szCs w:val="18"/>
              </w:rPr>
              <w:t>Acid (PFBS)</w:t>
            </w:r>
            <w:r w:rsidR="00CF32A3" w:rsidRPr="00766749">
              <w:rPr>
                <w:sz w:val="18"/>
                <w:szCs w:val="18"/>
              </w:rPr>
              <w:t xml:space="preserve"> </w:t>
            </w:r>
            <w:r w:rsidRPr="00766749">
              <w:rPr>
                <w:sz w:val="18"/>
                <w:szCs w:val="18"/>
              </w:rPr>
              <w:t>(375735)</w:t>
            </w:r>
          </w:p>
        </w:tc>
        <w:tc>
          <w:tcPr>
            <w:tcW w:w="800" w:type="dxa"/>
            <w:tcBorders>
              <w:bottom w:val="single" w:sz="8" w:space="0" w:color="auto"/>
            </w:tcBorders>
            <w:vAlign w:val="center"/>
          </w:tcPr>
          <w:p w14:paraId="281A5122" w14:textId="77777777" w:rsidR="0037177B" w:rsidRDefault="0037177B" w:rsidP="0037177B">
            <w:pPr>
              <w:jc w:val="center"/>
              <w:rPr>
                <w:sz w:val="20"/>
                <w:szCs w:val="20"/>
              </w:rPr>
            </w:pPr>
            <w:r>
              <w:rPr>
                <w:rFonts w:eastAsia="Times New Roman"/>
                <w:sz w:val="18"/>
                <w:szCs w:val="18"/>
              </w:rPr>
              <w:t>*</w:t>
            </w:r>
          </w:p>
        </w:tc>
        <w:tc>
          <w:tcPr>
            <w:tcW w:w="1700" w:type="dxa"/>
            <w:tcBorders>
              <w:bottom w:val="single" w:sz="8" w:space="0" w:color="auto"/>
            </w:tcBorders>
            <w:vAlign w:val="center"/>
          </w:tcPr>
          <w:p w14:paraId="281A5123" w14:textId="77777777" w:rsidR="0037177B" w:rsidRDefault="0037177B" w:rsidP="0037177B">
            <w:pPr>
              <w:jc w:val="center"/>
              <w:rPr>
                <w:sz w:val="20"/>
                <w:szCs w:val="20"/>
              </w:rPr>
            </w:pPr>
            <w:r>
              <w:rPr>
                <w:rFonts w:eastAsia="Times New Roman"/>
                <w:w w:val="99"/>
                <w:sz w:val="18"/>
                <w:szCs w:val="18"/>
              </w:rPr>
              <w:t>-</w:t>
            </w:r>
          </w:p>
        </w:tc>
        <w:tc>
          <w:tcPr>
            <w:tcW w:w="1620" w:type="dxa"/>
            <w:tcBorders>
              <w:bottom w:val="single" w:sz="8" w:space="0" w:color="auto"/>
            </w:tcBorders>
            <w:vAlign w:val="center"/>
          </w:tcPr>
          <w:p w14:paraId="281A5124" w14:textId="77777777" w:rsidR="0037177B" w:rsidRDefault="0037177B" w:rsidP="0037177B">
            <w:pPr>
              <w:jc w:val="center"/>
              <w:rPr>
                <w:sz w:val="20"/>
                <w:szCs w:val="20"/>
              </w:rPr>
            </w:pPr>
            <w:r>
              <w:rPr>
                <w:rFonts w:eastAsia="Times New Roman"/>
                <w:w w:val="99"/>
                <w:sz w:val="18"/>
                <w:szCs w:val="18"/>
              </w:rPr>
              <w:t>-</w:t>
            </w:r>
          </w:p>
        </w:tc>
        <w:tc>
          <w:tcPr>
            <w:tcW w:w="2440" w:type="dxa"/>
            <w:tcBorders>
              <w:bottom w:val="single" w:sz="8" w:space="0" w:color="auto"/>
            </w:tcBorders>
            <w:vAlign w:val="center"/>
          </w:tcPr>
          <w:p w14:paraId="281A5125" w14:textId="77777777" w:rsidR="0037177B" w:rsidRDefault="0037177B" w:rsidP="0037177B">
            <w:pPr>
              <w:jc w:val="center"/>
              <w:rPr>
                <w:sz w:val="20"/>
                <w:szCs w:val="20"/>
              </w:rPr>
            </w:pPr>
            <w:r>
              <w:rPr>
                <w:rFonts w:eastAsia="Times New Roman"/>
                <w:sz w:val="18"/>
                <w:szCs w:val="18"/>
              </w:rPr>
              <w:t>-</w:t>
            </w:r>
          </w:p>
        </w:tc>
        <w:tc>
          <w:tcPr>
            <w:tcW w:w="2320" w:type="dxa"/>
            <w:tcBorders>
              <w:bottom w:val="single" w:sz="8" w:space="0" w:color="auto"/>
            </w:tcBorders>
            <w:vAlign w:val="center"/>
          </w:tcPr>
          <w:p w14:paraId="281A5126" w14:textId="77777777" w:rsidR="0037177B" w:rsidRDefault="0037177B" w:rsidP="0037177B">
            <w:pPr>
              <w:jc w:val="center"/>
              <w:rPr>
                <w:sz w:val="20"/>
                <w:szCs w:val="20"/>
              </w:rPr>
            </w:pPr>
            <w:r>
              <w:rPr>
                <w:rFonts w:eastAsia="Times New Roman"/>
                <w:sz w:val="18"/>
                <w:szCs w:val="18"/>
              </w:rPr>
              <w:t>-</w:t>
            </w:r>
          </w:p>
        </w:tc>
      </w:tr>
      <w:tr w:rsidR="00D60959" w14:paraId="281A5145" w14:textId="77777777" w:rsidTr="00E10C12">
        <w:trPr>
          <w:trHeight w:val="613"/>
        </w:trPr>
        <w:tc>
          <w:tcPr>
            <w:tcW w:w="2280" w:type="dxa"/>
            <w:tcBorders>
              <w:bottom w:val="single" w:sz="12" w:space="0" w:color="auto"/>
            </w:tcBorders>
            <w:vAlign w:val="center"/>
          </w:tcPr>
          <w:p w14:paraId="281A513F" w14:textId="06352CAF" w:rsidR="00D60959" w:rsidRPr="00766749" w:rsidRDefault="00545753" w:rsidP="00CF32A3">
            <w:pPr>
              <w:autoSpaceDE w:val="0"/>
              <w:autoSpaceDN w:val="0"/>
              <w:adjustRightInd w:val="0"/>
              <w:rPr>
                <w:sz w:val="20"/>
                <w:szCs w:val="20"/>
              </w:rPr>
            </w:pPr>
            <w:r w:rsidRPr="00766749">
              <w:rPr>
                <w:sz w:val="18"/>
                <w:szCs w:val="18"/>
              </w:rPr>
              <w:t>Perfluorododecanoic acid</w:t>
            </w:r>
            <w:r w:rsidR="00CF32A3" w:rsidRPr="00766749">
              <w:rPr>
                <w:sz w:val="18"/>
                <w:szCs w:val="18"/>
              </w:rPr>
              <w:t xml:space="preserve"> </w:t>
            </w:r>
            <w:r w:rsidRPr="00766749">
              <w:rPr>
                <w:sz w:val="18"/>
                <w:szCs w:val="18"/>
              </w:rPr>
              <w:t>(PFDoA) (307-55-1)</w:t>
            </w:r>
          </w:p>
        </w:tc>
        <w:tc>
          <w:tcPr>
            <w:tcW w:w="800" w:type="dxa"/>
            <w:tcBorders>
              <w:bottom w:val="single" w:sz="12" w:space="0" w:color="auto"/>
            </w:tcBorders>
            <w:vAlign w:val="center"/>
          </w:tcPr>
          <w:p w14:paraId="281A5140" w14:textId="77777777" w:rsidR="00D60959" w:rsidRDefault="00D60959" w:rsidP="00D60959">
            <w:pPr>
              <w:jc w:val="center"/>
              <w:rPr>
                <w:sz w:val="20"/>
                <w:szCs w:val="20"/>
              </w:rPr>
            </w:pPr>
            <w:r>
              <w:rPr>
                <w:rFonts w:eastAsia="Times New Roman"/>
                <w:sz w:val="18"/>
                <w:szCs w:val="18"/>
              </w:rPr>
              <w:t>*</w:t>
            </w:r>
          </w:p>
        </w:tc>
        <w:tc>
          <w:tcPr>
            <w:tcW w:w="1700" w:type="dxa"/>
            <w:tcBorders>
              <w:bottom w:val="single" w:sz="12" w:space="0" w:color="auto"/>
            </w:tcBorders>
            <w:vAlign w:val="center"/>
          </w:tcPr>
          <w:p w14:paraId="281A5141" w14:textId="77777777" w:rsidR="00D60959" w:rsidRDefault="00D60959" w:rsidP="00D60959">
            <w:pPr>
              <w:jc w:val="center"/>
              <w:rPr>
                <w:sz w:val="20"/>
                <w:szCs w:val="20"/>
              </w:rPr>
            </w:pPr>
            <w:r>
              <w:rPr>
                <w:rFonts w:eastAsia="Times New Roman"/>
                <w:w w:val="99"/>
                <w:sz w:val="18"/>
                <w:szCs w:val="18"/>
              </w:rPr>
              <w:t>-</w:t>
            </w:r>
          </w:p>
        </w:tc>
        <w:tc>
          <w:tcPr>
            <w:tcW w:w="1620" w:type="dxa"/>
            <w:tcBorders>
              <w:bottom w:val="single" w:sz="12" w:space="0" w:color="auto"/>
            </w:tcBorders>
            <w:vAlign w:val="center"/>
          </w:tcPr>
          <w:p w14:paraId="281A5142" w14:textId="77777777" w:rsidR="00D60959" w:rsidRDefault="00D60959" w:rsidP="00D60959">
            <w:pPr>
              <w:jc w:val="center"/>
              <w:rPr>
                <w:sz w:val="20"/>
                <w:szCs w:val="20"/>
              </w:rPr>
            </w:pPr>
            <w:r>
              <w:rPr>
                <w:rFonts w:eastAsia="Times New Roman"/>
                <w:w w:val="99"/>
                <w:sz w:val="18"/>
                <w:szCs w:val="18"/>
              </w:rPr>
              <w:t>-</w:t>
            </w:r>
          </w:p>
        </w:tc>
        <w:tc>
          <w:tcPr>
            <w:tcW w:w="2440" w:type="dxa"/>
            <w:tcBorders>
              <w:bottom w:val="single" w:sz="12" w:space="0" w:color="auto"/>
            </w:tcBorders>
            <w:vAlign w:val="center"/>
          </w:tcPr>
          <w:p w14:paraId="281A5143" w14:textId="77777777" w:rsidR="00D60959" w:rsidRDefault="00D60959" w:rsidP="00D60959">
            <w:pPr>
              <w:jc w:val="center"/>
              <w:rPr>
                <w:sz w:val="20"/>
                <w:szCs w:val="20"/>
              </w:rPr>
            </w:pPr>
            <w:r>
              <w:rPr>
                <w:rFonts w:eastAsia="Times New Roman"/>
                <w:sz w:val="18"/>
                <w:szCs w:val="18"/>
              </w:rPr>
              <w:t>-</w:t>
            </w:r>
          </w:p>
        </w:tc>
        <w:tc>
          <w:tcPr>
            <w:tcW w:w="2320" w:type="dxa"/>
            <w:tcBorders>
              <w:bottom w:val="single" w:sz="12" w:space="0" w:color="auto"/>
            </w:tcBorders>
            <w:vAlign w:val="center"/>
          </w:tcPr>
          <w:p w14:paraId="281A5144" w14:textId="77777777" w:rsidR="00D60959" w:rsidRDefault="00D60959" w:rsidP="00D60959">
            <w:pPr>
              <w:jc w:val="center"/>
              <w:rPr>
                <w:sz w:val="20"/>
                <w:szCs w:val="20"/>
              </w:rPr>
            </w:pPr>
            <w:r>
              <w:rPr>
                <w:rFonts w:eastAsia="Times New Roman"/>
                <w:sz w:val="18"/>
                <w:szCs w:val="18"/>
              </w:rPr>
              <w:t>-</w:t>
            </w:r>
          </w:p>
        </w:tc>
      </w:tr>
      <w:tr w:rsidR="00E10C12" w14:paraId="5CEB2231" w14:textId="77777777" w:rsidTr="00E10C12">
        <w:trPr>
          <w:trHeight w:val="594"/>
        </w:trPr>
        <w:tc>
          <w:tcPr>
            <w:tcW w:w="2280" w:type="dxa"/>
            <w:tcBorders>
              <w:bottom w:val="single" w:sz="12" w:space="0" w:color="auto"/>
            </w:tcBorders>
            <w:vAlign w:val="center"/>
          </w:tcPr>
          <w:p w14:paraId="511EB446" w14:textId="00AD845C" w:rsidR="00E10C12" w:rsidRPr="00766749" w:rsidRDefault="00E10C12" w:rsidP="00CF32A3">
            <w:pPr>
              <w:autoSpaceDE w:val="0"/>
              <w:autoSpaceDN w:val="0"/>
              <w:adjustRightInd w:val="0"/>
              <w:rPr>
                <w:sz w:val="18"/>
                <w:szCs w:val="18"/>
              </w:rPr>
            </w:pPr>
            <w:r w:rsidRPr="00766749">
              <w:rPr>
                <w:sz w:val="18"/>
                <w:szCs w:val="18"/>
              </w:rPr>
              <w:t>Perfluorohexanoic acid</w:t>
            </w:r>
            <w:r w:rsidR="00CF32A3" w:rsidRPr="00766749">
              <w:rPr>
                <w:sz w:val="18"/>
                <w:szCs w:val="18"/>
              </w:rPr>
              <w:t xml:space="preserve"> </w:t>
            </w:r>
            <w:r w:rsidRPr="00766749">
              <w:rPr>
                <w:sz w:val="18"/>
                <w:szCs w:val="18"/>
              </w:rPr>
              <w:t>(PFHxA) (307-24-4)</w:t>
            </w:r>
          </w:p>
        </w:tc>
        <w:tc>
          <w:tcPr>
            <w:tcW w:w="800" w:type="dxa"/>
            <w:tcBorders>
              <w:bottom w:val="single" w:sz="12" w:space="0" w:color="auto"/>
            </w:tcBorders>
            <w:vAlign w:val="center"/>
          </w:tcPr>
          <w:p w14:paraId="21F6C888" w14:textId="748CFB16" w:rsidR="00E10C12" w:rsidRDefault="00E10C12" w:rsidP="00E10C12">
            <w:pPr>
              <w:jc w:val="center"/>
              <w:rPr>
                <w:rFonts w:eastAsia="Times New Roman"/>
                <w:sz w:val="18"/>
                <w:szCs w:val="18"/>
              </w:rPr>
            </w:pPr>
            <w:r>
              <w:rPr>
                <w:rFonts w:eastAsia="Times New Roman"/>
                <w:sz w:val="18"/>
                <w:szCs w:val="18"/>
              </w:rPr>
              <w:t>*</w:t>
            </w:r>
          </w:p>
        </w:tc>
        <w:tc>
          <w:tcPr>
            <w:tcW w:w="1700" w:type="dxa"/>
            <w:tcBorders>
              <w:bottom w:val="single" w:sz="12" w:space="0" w:color="auto"/>
            </w:tcBorders>
            <w:vAlign w:val="center"/>
          </w:tcPr>
          <w:p w14:paraId="1377E0DA" w14:textId="5F895FEB" w:rsidR="00E10C12" w:rsidRDefault="00E10C12" w:rsidP="00E10C12">
            <w:pPr>
              <w:jc w:val="center"/>
              <w:rPr>
                <w:rFonts w:eastAsia="Times New Roman"/>
                <w:w w:val="99"/>
                <w:sz w:val="18"/>
                <w:szCs w:val="18"/>
              </w:rPr>
            </w:pPr>
            <w:r>
              <w:rPr>
                <w:rFonts w:eastAsia="Times New Roman"/>
                <w:w w:val="99"/>
                <w:sz w:val="18"/>
                <w:szCs w:val="18"/>
              </w:rPr>
              <w:t>-</w:t>
            </w:r>
          </w:p>
        </w:tc>
        <w:tc>
          <w:tcPr>
            <w:tcW w:w="1620" w:type="dxa"/>
            <w:tcBorders>
              <w:bottom w:val="single" w:sz="12" w:space="0" w:color="auto"/>
            </w:tcBorders>
            <w:vAlign w:val="center"/>
          </w:tcPr>
          <w:p w14:paraId="78F9BDB2" w14:textId="3431ADFD" w:rsidR="00E10C12" w:rsidRDefault="00E10C12" w:rsidP="00E10C12">
            <w:pPr>
              <w:jc w:val="center"/>
              <w:rPr>
                <w:rFonts w:eastAsia="Times New Roman"/>
                <w:w w:val="99"/>
                <w:sz w:val="18"/>
                <w:szCs w:val="18"/>
              </w:rPr>
            </w:pPr>
            <w:r>
              <w:rPr>
                <w:rFonts w:eastAsia="Times New Roman"/>
                <w:w w:val="99"/>
                <w:sz w:val="18"/>
                <w:szCs w:val="18"/>
              </w:rPr>
              <w:t>-</w:t>
            </w:r>
          </w:p>
        </w:tc>
        <w:tc>
          <w:tcPr>
            <w:tcW w:w="2440" w:type="dxa"/>
            <w:tcBorders>
              <w:bottom w:val="single" w:sz="12" w:space="0" w:color="auto"/>
            </w:tcBorders>
            <w:vAlign w:val="center"/>
          </w:tcPr>
          <w:p w14:paraId="1FEF3FD7" w14:textId="70EC80CC" w:rsidR="00E10C12" w:rsidRDefault="00E10C12" w:rsidP="00E10C12">
            <w:pPr>
              <w:jc w:val="center"/>
              <w:rPr>
                <w:rFonts w:eastAsia="Times New Roman"/>
                <w:sz w:val="18"/>
                <w:szCs w:val="18"/>
              </w:rPr>
            </w:pPr>
            <w:r>
              <w:rPr>
                <w:rFonts w:eastAsia="Times New Roman"/>
                <w:sz w:val="18"/>
                <w:szCs w:val="18"/>
              </w:rPr>
              <w:t>-</w:t>
            </w:r>
          </w:p>
        </w:tc>
        <w:tc>
          <w:tcPr>
            <w:tcW w:w="2320" w:type="dxa"/>
            <w:tcBorders>
              <w:bottom w:val="single" w:sz="12" w:space="0" w:color="auto"/>
            </w:tcBorders>
            <w:vAlign w:val="center"/>
          </w:tcPr>
          <w:p w14:paraId="3870DD6B" w14:textId="3C1613A9" w:rsidR="00E10C12" w:rsidRDefault="00E10C12" w:rsidP="00E10C12">
            <w:pPr>
              <w:jc w:val="center"/>
              <w:rPr>
                <w:rFonts w:eastAsia="Times New Roman"/>
                <w:sz w:val="18"/>
                <w:szCs w:val="18"/>
              </w:rPr>
            </w:pPr>
            <w:r>
              <w:rPr>
                <w:rFonts w:eastAsia="Times New Roman"/>
                <w:sz w:val="18"/>
                <w:szCs w:val="18"/>
              </w:rPr>
              <w:t>-</w:t>
            </w:r>
          </w:p>
        </w:tc>
      </w:tr>
      <w:tr w:rsidR="00E10C12" w14:paraId="31D1F30D" w14:textId="77777777" w:rsidTr="00E10C12">
        <w:trPr>
          <w:trHeight w:val="594"/>
        </w:trPr>
        <w:tc>
          <w:tcPr>
            <w:tcW w:w="2280" w:type="dxa"/>
            <w:tcBorders>
              <w:bottom w:val="single" w:sz="12" w:space="0" w:color="auto"/>
            </w:tcBorders>
            <w:vAlign w:val="center"/>
          </w:tcPr>
          <w:p w14:paraId="1323C1B0" w14:textId="3EA01D17" w:rsidR="00E10C12" w:rsidRPr="00766749" w:rsidRDefault="00E10C12" w:rsidP="00CF32A3">
            <w:pPr>
              <w:autoSpaceDE w:val="0"/>
              <w:autoSpaceDN w:val="0"/>
              <w:adjustRightInd w:val="0"/>
              <w:rPr>
                <w:sz w:val="18"/>
                <w:szCs w:val="18"/>
              </w:rPr>
            </w:pPr>
            <w:r w:rsidRPr="00766749">
              <w:rPr>
                <w:sz w:val="18"/>
                <w:szCs w:val="18"/>
              </w:rPr>
              <w:t>Perfluorotetradecanoic</w:t>
            </w:r>
            <w:r w:rsidR="00CF32A3" w:rsidRPr="00766749">
              <w:rPr>
                <w:sz w:val="18"/>
                <w:szCs w:val="18"/>
              </w:rPr>
              <w:t xml:space="preserve"> </w:t>
            </w:r>
            <w:r w:rsidRPr="00766749">
              <w:rPr>
                <w:sz w:val="18"/>
                <w:szCs w:val="18"/>
              </w:rPr>
              <w:t>acid (PFTA) (376-06-7)</w:t>
            </w:r>
          </w:p>
        </w:tc>
        <w:tc>
          <w:tcPr>
            <w:tcW w:w="800" w:type="dxa"/>
            <w:tcBorders>
              <w:bottom w:val="single" w:sz="12" w:space="0" w:color="auto"/>
            </w:tcBorders>
            <w:vAlign w:val="center"/>
          </w:tcPr>
          <w:p w14:paraId="5DCA416C" w14:textId="23BA633A" w:rsidR="00E10C12" w:rsidRDefault="00E10C12" w:rsidP="00E10C12">
            <w:pPr>
              <w:jc w:val="center"/>
              <w:rPr>
                <w:rFonts w:eastAsia="Times New Roman"/>
                <w:sz w:val="18"/>
                <w:szCs w:val="18"/>
              </w:rPr>
            </w:pPr>
            <w:r>
              <w:rPr>
                <w:rFonts w:eastAsia="Times New Roman"/>
                <w:sz w:val="18"/>
                <w:szCs w:val="18"/>
              </w:rPr>
              <w:t>*</w:t>
            </w:r>
          </w:p>
        </w:tc>
        <w:tc>
          <w:tcPr>
            <w:tcW w:w="1700" w:type="dxa"/>
            <w:tcBorders>
              <w:bottom w:val="single" w:sz="12" w:space="0" w:color="auto"/>
            </w:tcBorders>
            <w:vAlign w:val="center"/>
          </w:tcPr>
          <w:p w14:paraId="333CA6D3" w14:textId="407D70FA" w:rsidR="00E10C12" w:rsidRDefault="00E10C12" w:rsidP="00E10C12">
            <w:pPr>
              <w:jc w:val="center"/>
              <w:rPr>
                <w:rFonts w:eastAsia="Times New Roman"/>
                <w:w w:val="99"/>
                <w:sz w:val="18"/>
                <w:szCs w:val="18"/>
              </w:rPr>
            </w:pPr>
            <w:r>
              <w:rPr>
                <w:rFonts w:eastAsia="Times New Roman"/>
                <w:w w:val="99"/>
                <w:sz w:val="18"/>
                <w:szCs w:val="18"/>
              </w:rPr>
              <w:t>-</w:t>
            </w:r>
          </w:p>
        </w:tc>
        <w:tc>
          <w:tcPr>
            <w:tcW w:w="1620" w:type="dxa"/>
            <w:tcBorders>
              <w:bottom w:val="single" w:sz="12" w:space="0" w:color="auto"/>
            </w:tcBorders>
            <w:vAlign w:val="center"/>
          </w:tcPr>
          <w:p w14:paraId="38D8B748" w14:textId="2763F68C" w:rsidR="00E10C12" w:rsidRDefault="00E10C12" w:rsidP="00E10C12">
            <w:pPr>
              <w:jc w:val="center"/>
              <w:rPr>
                <w:rFonts w:eastAsia="Times New Roman"/>
                <w:w w:val="99"/>
                <w:sz w:val="18"/>
                <w:szCs w:val="18"/>
              </w:rPr>
            </w:pPr>
            <w:r>
              <w:rPr>
                <w:rFonts w:eastAsia="Times New Roman"/>
                <w:w w:val="99"/>
                <w:sz w:val="18"/>
                <w:szCs w:val="18"/>
              </w:rPr>
              <w:t>-</w:t>
            </w:r>
          </w:p>
        </w:tc>
        <w:tc>
          <w:tcPr>
            <w:tcW w:w="2440" w:type="dxa"/>
            <w:tcBorders>
              <w:bottom w:val="single" w:sz="12" w:space="0" w:color="auto"/>
            </w:tcBorders>
            <w:vAlign w:val="center"/>
          </w:tcPr>
          <w:p w14:paraId="6CFC1BB2" w14:textId="40F61687" w:rsidR="00E10C12" w:rsidRDefault="00E10C12" w:rsidP="00E10C12">
            <w:pPr>
              <w:jc w:val="center"/>
              <w:rPr>
                <w:rFonts w:eastAsia="Times New Roman"/>
                <w:sz w:val="18"/>
                <w:szCs w:val="18"/>
              </w:rPr>
            </w:pPr>
            <w:r>
              <w:rPr>
                <w:rFonts w:eastAsia="Times New Roman"/>
                <w:sz w:val="18"/>
                <w:szCs w:val="18"/>
              </w:rPr>
              <w:t>-</w:t>
            </w:r>
          </w:p>
        </w:tc>
        <w:tc>
          <w:tcPr>
            <w:tcW w:w="2320" w:type="dxa"/>
            <w:tcBorders>
              <w:bottom w:val="single" w:sz="12" w:space="0" w:color="auto"/>
            </w:tcBorders>
            <w:vAlign w:val="center"/>
          </w:tcPr>
          <w:p w14:paraId="1EBF7400" w14:textId="3BCAFF54" w:rsidR="00E10C12" w:rsidRDefault="00E10C12" w:rsidP="00E10C12">
            <w:pPr>
              <w:jc w:val="center"/>
              <w:rPr>
                <w:rFonts w:eastAsia="Times New Roman"/>
                <w:sz w:val="18"/>
                <w:szCs w:val="18"/>
              </w:rPr>
            </w:pPr>
            <w:r>
              <w:rPr>
                <w:rFonts w:eastAsia="Times New Roman"/>
                <w:sz w:val="18"/>
                <w:szCs w:val="18"/>
              </w:rPr>
              <w:t>-</w:t>
            </w:r>
          </w:p>
        </w:tc>
      </w:tr>
      <w:tr w:rsidR="00E10C12" w14:paraId="485055E1" w14:textId="77777777" w:rsidTr="00E10C12">
        <w:trPr>
          <w:trHeight w:val="603"/>
        </w:trPr>
        <w:tc>
          <w:tcPr>
            <w:tcW w:w="2280" w:type="dxa"/>
            <w:tcBorders>
              <w:bottom w:val="single" w:sz="12" w:space="0" w:color="auto"/>
            </w:tcBorders>
            <w:vAlign w:val="center"/>
          </w:tcPr>
          <w:p w14:paraId="15AA4ABE" w14:textId="02CDAD20" w:rsidR="00E10C12" w:rsidRPr="00766749" w:rsidRDefault="00E10C12" w:rsidP="00CF32A3">
            <w:pPr>
              <w:autoSpaceDE w:val="0"/>
              <w:autoSpaceDN w:val="0"/>
              <w:adjustRightInd w:val="0"/>
              <w:rPr>
                <w:sz w:val="18"/>
                <w:szCs w:val="18"/>
              </w:rPr>
            </w:pPr>
            <w:r w:rsidRPr="00766749">
              <w:rPr>
                <w:sz w:val="18"/>
                <w:szCs w:val="18"/>
              </w:rPr>
              <w:t>Perfluorotridecanoic acid</w:t>
            </w:r>
            <w:r w:rsidR="00CF32A3" w:rsidRPr="00766749">
              <w:rPr>
                <w:sz w:val="18"/>
                <w:szCs w:val="18"/>
              </w:rPr>
              <w:t xml:space="preserve"> </w:t>
            </w:r>
            <w:r w:rsidRPr="00766749">
              <w:rPr>
                <w:sz w:val="18"/>
                <w:szCs w:val="18"/>
              </w:rPr>
              <w:t>(PFTrDA) (72629-94-8)</w:t>
            </w:r>
          </w:p>
        </w:tc>
        <w:tc>
          <w:tcPr>
            <w:tcW w:w="800" w:type="dxa"/>
            <w:tcBorders>
              <w:bottom w:val="single" w:sz="12" w:space="0" w:color="auto"/>
            </w:tcBorders>
            <w:vAlign w:val="center"/>
          </w:tcPr>
          <w:p w14:paraId="41020E33" w14:textId="6A8B4B12" w:rsidR="00E10C12" w:rsidRDefault="00E10C12" w:rsidP="00E10C12">
            <w:pPr>
              <w:jc w:val="center"/>
              <w:rPr>
                <w:rFonts w:eastAsia="Times New Roman"/>
                <w:sz w:val="18"/>
                <w:szCs w:val="18"/>
              </w:rPr>
            </w:pPr>
            <w:r>
              <w:rPr>
                <w:rFonts w:eastAsia="Times New Roman"/>
                <w:sz w:val="18"/>
                <w:szCs w:val="18"/>
              </w:rPr>
              <w:t>*</w:t>
            </w:r>
          </w:p>
        </w:tc>
        <w:tc>
          <w:tcPr>
            <w:tcW w:w="1700" w:type="dxa"/>
            <w:tcBorders>
              <w:bottom w:val="single" w:sz="12" w:space="0" w:color="auto"/>
            </w:tcBorders>
            <w:vAlign w:val="center"/>
          </w:tcPr>
          <w:p w14:paraId="06E796B1" w14:textId="7CCBE2C1" w:rsidR="00E10C12" w:rsidRDefault="00E10C12" w:rsidP="00E10C12">
            <w:pPr>
              <w:jc w:val="center"/>
              <w:rPr>
                <w:rFonts w:eastAsia="Times New Roman"/>
                <w:w w:val="99"/>
                <w:sz w:val="18"/>
                <w:szCs w:val="18"/>
              </w:rPr>
            </w:pPr>
            <w:r>
              <w:rPr>
                <w:rFonts w:eastAsia="Times New Roman"/>
                <w:w w:val="99"/>
                <w:sz w:val="18"/>
                <w:szCs w:val="18"/>
              </w:rPr>
              <w:t>-</w:t>
            </w:r>
          </w:p>
        </w:tc>
        <w:tc>
          <w:tcPr>
            <w:tcW w:w="1620" w:type="dxa"/>
            <w:tcBorders>
              <w:bottom w:val="single" w:sz="12" w:space="0" w:color="auto"/>
            </w:tcBorders>
            <w:vAlign w:val="center"/>
          </w:tcPr>
          <w:p w14:paraId="7D8CC7CF" w14:textId="34C6F190" w:rsidR="00E10C12" w:rsidRDefault="00E10C12" w:rsidP="00E10C12">
            <w:pPr>
              <w:jc w:val="center"/>
              <w:rPr>
                <w:rFonts w:eastAsia="Times New Roman"/>
                <w:w w:val="99"/>
                <w:sz w:val="18"/>
                <w:szCs w:val="18"/>
              </w:rPr>
            </w:pPr>
            <w:r>
              <w:rPr>
                <w:rFonts w:eastAsia="Times New Roman"/>
                <w:w w:val="99"/>
                <w:sz w:val="18"/>
                <w:szCs w:val="18"/>
              </w:rPr>
              <w:t>-</w:t>
            </w:r>
          </w:p>
        </w:tc>
        <w:tc>
          <w:tcPr>
            <w:tcW w:w="2440" w:type="dxa"/>
            <w:tcBorders>
              <w:bottom w:val="single" w:sz="12" w:space="0" w:color="auto"/>
            </w:tcBorders>
            <w:vAlign w:val="center"/>
          </w:tcPr>
          <w:p w14:paraId="1CDA434B" w14:textId="4F2DE712" w:rsidR="00E10C12" w:rsidRDefault="00E10C12" w:rsidP="00E10C12">
            <w:pPr>
              <w:jc w:val="center"/>
              <w:rPr>
                <w:rFonts w:eastAsia="Times New Roman"/>
                <w:sz w:val="18"/>
                <w:szCs w:val="18"/>
              </w:rPr>
            </w:pPr>
            <w:r>
              <w:rPr>
                <w:rFonts w:eastAsia="Times New Roman"/>
                <w:sz w:val="18"/>
                <w:szCs w:val="18"/>
              </w:rPr>
              <w:t>-</w:t>
            </w:r>
          </w:p>
        </w:tc>
        <w:tc>
          <w:tcPr>
            <w:tcW w:w="2320" w:type="dxa"/>
            <w:tcBorders>
              <w:bottom w:val="single" w:sz="12" w:space="0" w:color="auto"/>
            </w:tcBorders>
            <w:vAlign w:val="center"/>
          </w:tcPr>
          <w:p w14:paraId="7C5447B8" w14:textId="2F067B80" w:rsidR="00E10C12" w:rsidRDefault="00E10C12" w:rsidP="00E10C12">
            <w:pPr>
              <w:jc w:val="center"/>
              <w:rPr>
                <w:rFonts w:eastAsia="Times New Roman"/>
                <w:sz w:val="18"/>
                <w:szCs w:val="18"/>
              </w:rPr>
            </w:pPr>
            <w:r>
              <w:rPr>
                <w:rFonts w:eastAsia="Times New Roman"/>
                <w:sz w:val="18"/>
                <w:szCs w:val="18"/>
              </w:rPr>
              <w:t>-</w:t>
            </w:r>
          </w:p>
        </w:tc>
      </w:tr>
      <w:tr w:rsidR="00E10C12" w14:paraId="76E3BC94" w14:textId="77777777" w:rsidTr="00817B07">
        <w:trPr>
          <w:trHeight w:val="612"/>
        </w:trPr>
        <w:tc>
          <w:tcPr>
            <w:tcW w:w="2280" w:type="dxa"/>
            <w:tcBorders>
              <w:bottom w:val="single" w:sz="12" w:space="0" w:color="auto"/>
            </w:tcBorders>
            <w:vAlign w:val="center"/>
          </w:tcPr>
          <w:p w14:paraId="549A6184" w14:textId="62DAA81C" w:rsidR="00E10C12" w:rsidRPr="00766749" w:rsidRDefault="00E10C12" w:rsidP="00CF32A3">
            <w:pPr>
              <w:autoSpaceDE w:val="0"/>
              <w:autoSpaceDN w:val="0"/>
              <w:adjustRightInd w:val="0"/>
              <w:rPr>
                <w:sz w:val="18"/>
                <w:szCs w:val="18"/>
              </w:rPr>
            </w:pPr>
            <w:r w:rsidRPr="00766749">
              <w:rPr>
                <w:sz w:val="18"/>
                <w:szCs w:val="18"/>
              </w:rPr>
              <w:t>Perfluoroundecanoic acid</w:t>
            </w:r>
            <w:r w:rsidR="00CF32A3" w:rsidRPr="00766749">
              <w:rPr>
                <w:sz w:val="18"/>
                <w:szCs w:val="18"/>
              </w:rPr>
              <w:t xml:space="preserve"> </w:t>
            </w:r>
            <w:r w:rsidRPr="00766749">
              <w:rPr>
                <w:sz w:val="18"/>
                <w:szCs w:val="18"/>
              </w:rPr>
              <w:t>(PFUnA) (2058-94-8)</w:t>
            </w:r>
          </w:p>
        </w:tc>
        <w:tc>
          <w:tcPr>
            <w:tcW w:w="800" w:type="dxa"/>
            <w:tcBorders>
              <w:bottom w:val="single" w:sz="12" w:space="0" w:color="auto"/>
            </w:tcBorders>
            <w:vAlign w:val="center"/>
          </w:tcPr>
          <w:p w14:paraId="419BD979" w14:textId="326675A5" w:rsidR="00E10C12" w:rsidRDefault="00E10C12" w:rsidP="00E10C12">
            <w:pPr>
              <w:jc w:val="center"/>
              <w:rPr>
                <w:rFonts w:eastAsia="Times New Roman"/>
                <w:sz w:val="18"/>
                <w:szCs w:val="18"/>
              </w:rPr>
            </w:pPr>
            <w:r>
              <w:rPr>
                <w:rFonts w:eastAsia="Times New Roman"/>
                <w:sz w:val="18"/>
                <w:szCs w:val="18"/>
              </w:rPr>
              <w:t>*</w:t>
            </w:r>
          </w:p>
        </w:tc>
        <w:tc>
          <w:tcPr>
            <w:tcW w:w="1700" w:type="dxa"/>
            <w:tcBorders>
              <w:bottom w:val="single" w:sz="12" w:space="0" w:color="auto"/>
            </w:tcBorders>
            <w:vAlign w:val="center"/>
          </w:tcPr>
          <w:p w14:paraId="12F2CC9A" w14:textId="1FBC0712" w:rsidR="00E10C12" w:rsidRDefault="00E10C12" w:rsidP="00E10C12">
            <w:pPr>
              <w:jc w:val="center"/>
              <w:rPr>
                <w:rFonts w:eastAsia="Times New Roman"/>
                <w:w w:val="99"/>
                <w:sz w:val="18"/>
                <w:szCs w:val="18"/>
              </w:rPr>
            </w:pPr>
            <w:r>
              <w:rPr>
                <w:rFonts w:eastAsia="Times New Roman"/>
                <w:w w:val="99"/>
                <w:sz w:val="18"/>
                <w:szCs w:val="18"/>
              </w:rPr>
              <w:t>-</w:t>
            </w:r>
          </w:p>
        </w:tc>
        <w:tc>
          <w:tcPr>
            <w:tcW w:w="1620" w:type="dxa"/>
            <w:tcBorders>
              <w:bottom w:val="single" w:sz="12" w:space="0" w:color="auto"/>
            </w:tcBorders>
            <w:vAlign w:val="center"/>
          </w:tcPr>
          <w:p w14:paraId="079FFB07" w14:textId="0B680600" w:rsidR="00E10C12" w:rsidRDefault="00E10C12" w:rsidP="00E10C12">
            <w:pPr>
              <w:jc w:val="center"/>
              <w:rPr>
                <w:rFonts w:eastAsia="Times New Roman"/>
                <w:w w:val="99"/>
                <w:sz w:val="18"/>
                <w:szCs w:val="18"/>
              </w:rPr>
            </w:pPr>
            <w:r>
              <w:rPr>
                <w:rFonts w:eastAsia="Times New Roman"/>
                <w:w w:val="99"/>
                <w:sz w:val="18"/>
                <w:szCs w:val="18"/>
              </w:rPr>
              <w:t>-</w:t>
            </w:r>
          </w:p>
        </w:tc>
        <w:tc>
          <w:tcPr>
            <w:tcW w:w="2440" w:type="dxa"/>
            <w:tcBorders>
              <w:bottom w:val="single" w:sz="12" w:space="0" w:color="auto"/>
            </w:tcBorders>
            <w:vAlign w:val="center"/>
          </w:tcPr>
          <w:p w14:paraId="1F6DEF2C" w14:textId="30BAD3EA" w:rsidR="00E10C12" w:rsidRDefault="00E10C12" w:rsidP="00E10C12">
            <w:pPr>
              <w:jc w:val="center"/>
              <w:rPr>
                <w:rFonts w:eastAsia="Times New Roman"/>
                <w:sz w:val="18"/>
                <w:szCs w:val="18"/>
              </w:rPr>
            </w:pPr>
            <w:r>
              <w:rPr>
                <w:rFonts w:eastAsia="Times New Roman"/>
                <w:sz w:val="18"/>
                <w:szCs w:val="18"/>
              </w:rPr>
              <w:t>-</w:t>
            </w:r>
          </w:p>
        </w:tc>
        <w:tc>
          <w:tcPr>
            <w:tcW w:w="2320" w:type="dxa"/>
            <w:tcBorders>
              <w:bottom w:val="single" w:sz="12" w:space="0" w:color="auto"/>
            </w:tcBorders>
            <w:vAlign w:val="center"/>
          </w:tcPr>
          <w:p w14:paraId="577D243A" w14:textId="0A608E67" w:rsidR="00E10C12" w:rsidRDefault="00E10C12" w:rsidP="00E10C12">
            <w:pPr>
              <w:jc w:val="center"/>
              <w:rPr>
                <w:rFonts w:eastAsia="Times New Roman"/>
                <w:sz w:val="18"/>
                <w:szCs w:val="18"/>
              </w:rPr>
            </w:pPr>
            <w:r>
              <w:rPr>
                <w:rFonts w:eastAsia="Times New Roman"/>
                <w:sz w:val="18"/>
                <w:szCs w:val="18"/>
              </w:rPr>
              <w:t>-</w:t>
            </w:r>
          </w:p>
        </w:tc>
      </w:tr>
      <w:tr w:rsidR="00E10C12" w14:paraId="00B7C15B" w14:textId="77777777" w:rsidTr="0069297D">
        <w:trPr>
          <w:trHeight w:val="1057"/>
        </w:trPr>
        <w:tc>
          <w:tcPr>
            <w:tcW w:w="2280" w:type="dxa"/>
            <w:tcBorders>
              <w:bottom w:val="single" w:sz="12" w:space="0" w:color="auto"/>
            </w:tcBorders>
            <w:vAlign w:val="center"/>
          </w:tcPr>
          <w:p w14:paraId="29357A51" w14:textId="4B55B3D7" w:rsidR="00E10C12" w:rsidRPr="00766749" w:rsidRDefault="00E10C12" w:rsidP="00CF32A3">
            <w:pPr>
              <w:autoSpaceDE w:val="0"/>
              <w:autoSpaceDN w:val="0"/>
              <w:adjustRightInd w:val="0"/>
              <w:rPr>
                <w:sz w:val="18"/>
                <w:szCs w:val="18"/>
              </w:rPr>
            </w:pPr>
            <w:r w:rsidRPr="00766749">
              <w:rPr>
                <w:sz w:val="18"/>
                <w:szCs w:val="18"/>
              </w:rPr>
              <w:t>11-chloroeicosafluoro-3-oxaundecane-1-sulfonic</w:t>
            </w:r>
            <w:r w:rsidR="00CF32A3" w:rsidRPr="00766749">
              <w:rPr>
                <w:sz w:val="18"/>
                <w:szCs w:val="18"/>
              </w:rPr>
              <w:t xml:space="preserve"> </w:t>
            </w:r>
            <w:r w:rsidRPr="00766749">
              <w:rPr>
                <w:sz w:val="18"/>
                <w:szCs w:val="18"/>
              </w:rPr>
              <w:t>acid (11Cl-PF3OUdS)</w:t>
            </w:r>
            <w:r w:rsidR="00CF32A3" w:rsidRPr="00766749">
              <w:rPr>
                <w:sz w:val="18"/>
                <w:szCs w:val="18"/>
              </w:rPr>
              <w:t xml:space="preserve"> </w:t>
            </w:r>
            <w:r w:rsidRPr="00766749">
              <w:rPr>
                <w:sz w:val="18"/>
                <w:szCs w:val="18"/>
              </w:rPr>
              <w:t>(763051-92-9)</w:t>
            </w:r>
          </w:p>
        </w:tc>
        <w:tc>
          <w:tcPr>
            <w:tcW w:w="800" w:type="dxa"/>
            <w:tcBorders>
              <w:bottom w:val="single" w:sz="12" w:space="0" w:color="auto"/>
            </w:tcBorders>
            <w:vAlign w:val="center"/>
          </w:tcPr>
          <w:p w14:paraId="03A247B3" w14:textId="1F1711F9" w:rsidR="00E10C12" w:rsidRDefault="00E10C12" w:rsidP="00E10C12">
            <w:pPr>
              <w:jc w:val="center"/>
              <w:rPr>
                <w:rFonts w:eastAsia="Times New Roman"/>
                <w:sz w:val="18"/>
                <w:szCs w:val="18"/>
              </w:rPr>
            </w:pPr>
            <w:r>
              <w:rPr>
                <w:rFonts w:eastAsia="Times New Roman"/>
                <w:sz w:val="18"/>
                <w:szCs w:val="18"/>
              </w:rPr>
              <w:t>*</w:t>
            </w:r>
          </w:p>
        </w:tc>
        <w:tc>
          <w:tcPr>
            <w:tcW w:w="1700" w:type="dxa"/>
            <w:tcBorders>
              <w:bottom w:val="single" w:sz="12" w:space="0" w:color="auto"/>
            </w:tcBorders>
            <w:vAlign w:val="center"/>
          </w:tcPr>
          <w:p w14:paraId="03A56271" w14:textId="531943D0" w:rsidR="00E10C12" w:rsidRDefault="00E10C12" w:rsidP="00E10C12">
            <w:pPr>
              <w:jc w:val="center"/>
              <w:rPr>
                <w:rFonts w:eastAsia="Times New Roman"/>
                <w:w w:val="99"/>
                <w:sz w:val="18"/>
                <w:szCs w:val="18"/>
              </w:rPr>
            </w:pPr>
            <w:r>
              <w:rPr>
                <w:rFonts w:eastAsia="Times New Roman"/>
                <w:w w:val="99"/>
                <w:sz w:val="18"/>
                <w:szCs w:val="18"/>
              </w:rPr>
              <w:t>-</w:t>
            </w:r>
          </w:p>
        </w:tc>
        <w:tc>
          <w:tcPr>
            <w:tcW w:w="1620" w:type="dxa"/>
            <w:tcBorders>
              <w:bottom w:val="single" w:sz="12" w:space="0" w:color="auto"/>
            </w:tcBorders>
            <w:vAlign w:val="center"/>
          </w:tcPr>
          <w:p w14:paraId="7ABE364E" w14:textId="0B4B71E9" w:rsidR="00E10C12" w:rsidRDefault="00E10C12" w:rsidP="00E10C12">
            <w:pPr>
              <w:jc w:val="center"/>
              <w:rPr>
                <w:rFonts w:eastAsia="Times New Roman"/>
                <w:w w:val="99"/>
                <w:sz w:val="18"/>
                <w:szCs w:val="18"/>
              </w:rPr>
            </w:pPr>
            <w:r>
              <w:rPr>
                <w:rFonts w:eastAsia="Times New Roman"/>
                <w:w w:val="99"/>
                <w:sz w:val="18"/>
                <w:szCs w:val="18"/>
              </w:rPr>
              <w:t>-</w:t>
            </w:r>
          </w:p>
        </w:tc>
        <w:tc>
          <w:tcPr>
            <w:tcW w:w="2440" w:type="dxa"/>
            <w:tcBorders>
              <w:bottom w:val="single" w:sz="12" w:space="0" w:color="auto"/>
            </w:tcBorders>
            <w:vAlign w:val="center"/>
          </w:tcPr>
          <w:p w14:paraId="6E364372" w14:textId="685DA7F9" w:rsidR="00E10C12" w:rsidRDefault="00E10C12" w:rsidP="00E10C12">
            <w:pPr>
              <w:jc w:val="center"/>
              <w:rPr>
                <w:rFonts w:eastAsia="Times New Roman"/>
                <w:sz w:val="18"/>
                <w:szCs w:val="18"/>
              </w:rPr>
            </w:pPr>
            <w:r>
              <w:rPr>
                <w:rFonts w:eastAsia="Times New Roman"/>
                <w:sz w:val="18"/>
                <w:szCs w:val="18"/>
              </w:rPr>
              <w:t>-</w:t>
            </w:r>
          </w:p>
        </w:tc>
        <w:tc>
          <w:tcPr>
            <w:tcW w:w="2320" w:type="dxa"/>
            <w:tcBorders>
              <w:bottom w:val="single" w:sz="12" w:space="0" w:color="auto"/>
            </w:tcBorders>
            <w:vAlign w:val="center"/>
          </w:tcPr>
          <w:p w14:paraId="32C66905" w14:textId="6C01DB5D" w:rsidR="00E10C12" w:rsidRDefault="00E10C12" w:rsidP="00E10C12">
            <w:pPr>
              <w:jc w:val="center"/>
              <w:rPr>
                <w:rFonts w:eastAsia="Times New Roman"/>
                <w:sz w:val="18"/>
                <w:szCs w:val="18"/>
              </w:rPr>
            </w:pPr>
            <w:r>
              <w:rPr>
                <w:rFonts w:eastAsia="Times New Roman"/>
                <w:sz w:val="18"/>
                <w:szCs w:val="18"/>
              </w:rPr>
              <w:t>-</w:t>
            </w:r>
          </w:p>
        </w:tc>
      </w:tr>
      <w:tr w:rsidR="00E10C12" w14:paraId="25C501B2" w14:textId="77777777" w:rsidTr="0069297D">
        <w:trPr>
          <w:trHeight w:val="1057"/>
        </w:trPr>
        <w:tc>
          <w:tcPr>
            <w:tcW w:w="2280" w:type="dxa"/>
            <w:tcBorders>
              <w:bottom w:val="single" w:sz="12" w:space="0" w:color="auto"/>
            </w:tcBorders>
            <w:vAlign w:val="center"/>
          </w:tcPr>
          <w:p w14:paraId="778A0447" w14:textId="6DF2466A" w:rsidR="00E10C12" w:rsidRPr="00766749" w:rsidRDefault="00E10C12" w:rsidP="00CF32A3">
            <w:pPr>
              <w:autoSpaceDE w:val="0"/>
              <w:autoSpaceDN w:val="0"/>
              <w:adjustRightInd w:val="0"/>
              <w:rPr>
                <w:sz w:val="18"/>
                <w:szCs w:val="18"/>
              </w:rPr>
            </w:pPr>
            <w:r w:rsidRPr="00766749">
              <w:rPr>
                <w:sz w:val="18"/>
                <w:szCs w:val="18"/>
              </w:rPr>
              <w:t>9-chlorohexadecafluoro-3-oxanone-1-sulfonic acid</w:t>
            </w:r>
            <w:r w:rsidR="00CF32A3" w:rsidRPr="00766749">
              <w:rPr>
                <w:sz w:val="18"/>
                <w:szCs w:val="18"/>
              </w:rPr>
              <w:t xml:space="preserve"> </w:t>
            </w:r>
            <w:r w:rsidRPr="00766749">
              <w:rPr>
                <w:sz w:val="18"/>
                <w:szCs w:val="18"/>
              </w:rPr>
              <w:t>(9Cl-PF3ONS)</w:t>
            </w:r>
            <w:r w:rsidR="00CF32A3" w:rsidRPr="00766749">
              <w:rPr>
                <w:sz w:val="18"/>
                <w:szCs w:val="18"/>
              </w:rPr>
              <w:t xml:space="preserve"> </w:t>
            </w:r>
            <w:r w:rsidRPr="00766749">
              <w:rPr>
                <w:sz w:val="18"/>
                <w:szCs w:val="18"/>
              </w:rPr>
              <w:t>(756426-58-1)</w:t>
            </w:r>
          </w:p>
        </w:tc>
        <w:tc>
          <w:tcPr>
            <w:tcW w:w="800" w:type="dxa"/>
            <w:tcBorders>
              <w:bottom w:val="single" w:sz="12" w:space="0" w:color="auto"/>
            </w:tcBorders>
            <w:vAlign w:val="center"/>
          </w:tcPr>
          <w:p w14:paraId="04D31633" w14:textId="20A41FC4" w:rsidR="00E10C12" w:rsidRDefault="00E10C12" w:rsidP="00E10C12">
            <w:pPr>
              <w:jc w:val="center"/>
              <w:rPr>
                <w:rFonts w:eastAsia="Times New Roman"/>
                <w:sz w:val="18"/>
                <w:szCs w:val="18"/>
              </w:rPr>
            </w:pPr>
            <w:r>
              <w:rPr>
                <w:rFonts w:eastAsia="Times New Roman"/>
                <w:sz w:val="18"/>
                <w:szCs w:val="18"/>
              </w:rPr>
              <w:t>*</w:t>
            </w:r>
          </w:p>
        </w:tc>
        <w:tc>
          <w:tcPr>
            <w:tcW w:w="1700" w:type="dxa"/>
            <w:tcBorders>
              <w:bottom w:val="single" w:sz="12" w:space="0" w:color="auto"/>
            </w:tcBorders>
            <w:vAlign w:val="center"/>
          </w:tcPr>
          <w:p w14:paraId="3107667D" w14:textId="5363656A" w:rsidR="00E10C12" w:rsidRDefault="00E10C12" w:rsidP="00E10C12">
            <w:pPr>
              <w:jc w:val="center"/>
              <w:rPr>
                <w:rFonts w:eastAsia="Times New Roman"/>
                <w:w w:val="99"/>
                <w:sz w:val="18"/>
                <w:szCs w:val="18"/>
              </w:rPr>
            </w:pPr>
            <w:r>
              <w:rPr>
                <w:rFonts w:eastAsia="Times New Roman"/>
                <w:w w:val="99"/>
                <w:sz w:val="18"/>
                <w:szCs w:val="18"/>
              </w:rPr>
              <w:t>-</w:t>
            </w:r>
          </w:p>
        </w:tc>
        <w:tc>
          <w:tcPr>
            <w:tcW w:w="1620" w:type="dxa"/>
            <w:tcBorders>
              <w:bottom w:val="single" w:sz="12" w:space="0" w:color="auto"/>
            </w:tcBorders>
            <w:vAlign w:val="center"/>
          </w:tcPr>
          <w:p w14:paraId="03F39996" w14:textId="27366ABA" w:rsidR="00E10C12" w:rsidRDefault="00E10C12" w:rsidP="00E10C12">
            <w:pPr>
              <w:jc w:val="center"/>
              <w:rPr>
                <w:rFonts w:eastAsia="Times New Roman"/>
                <w:w w:val="99"/>
                <w:sz w:val="18"/>
                <w:szCs w:val="18"/>
              </w:rPr>
            </w:pPr>
            <w:r>
              <w:rPr>
                <w:rFonts w:eastAsia="Times New Roman"/>
                <w:w w:val="99"/>
                <w:sz w:val="18"/>
                <w:szCs w:val="18"/>
              </w:rPr>
              <w:t>-</w:t>
            </w:r>
          </w:p>
        </w:tc>
        <w:tc>
          <w:tcPr>
            <w:tcW w:w="2440" w:type="dxa"/>
            <w:tcBorders>
              <w:bottom w:val="single" w:sz="12" w:space="0" w:color="auto"/>
            </w:tcBorders>
            <w:vAlign w:val="center"/>
          </w:tcPr>
          <w:p w14:paraId="3357D09B" w14:textId="6DA92587" w:rsidR="00E10C12" w:rsidRDefault="00E10C12" w:rsidP="00E10C12">
            <w:pPr>
              <w:jc w:val="center"/>
              <w:rPr>
                <w:rFonts w:eastAsia="Times New Roman"/>
                <w:sz w:val="18"/>
                <w:szCs w:val="18"/>
              </w:rPr>
            </w:pPr>
            <w:r>
              <w:rPr>
                <w:rFonts w:eastAsia="Times New Roman"/>
                <w:sz w:val="18"/>
                <w:szCs w:val="18"/>
              </w:rPr>
              <w:t>-</w:t>
            </w:r>
          </w:p>
        </w:tc>
        <w:tc>
          <w:tcPr>
            <w:tcW w:w="2320" w:type="dxa"/>
            <w:tcBorders>
              <w:bottom w:val="single" w:sz="12" w:space="0" w:color="auto"/>
            </w:tcBorders>
            <w:vAlign w:val="center"/>
          </w:tcPr>
          <w:p w14:paraId="4AEA9E3A" w14:textId="0D11A295" w:rsidR="00E10C12" w:rsidRDefault="00E10C12" w:rsidP="00E10C12">
            <w:pPr>
              <w:jc w:val="center"/>
              <w:rPr>
                <w:rFonts w:eastAsia="Times New Roman"/>
                <w:sz w:val="18"/>
                <w:szCs w:val="18"/>
              </w:rPr>
            </w:pPr>
            <w:r>
              <w:rPr>
                <w:rFonts w:eastAsia="Times New Roman"/>
                <w:sz w:val="18"/>
                <w:szCs w:val="18"/>
              </w:rPr>
              <w:t>-</w:t>
            </w:r>
          </w:p>
        </w:tc>
      </w:tr>
      <w:tr w:rsidR="00E10C12" w14:paraId="169A38BD" w14:textId="77777777" w:rsidTr="0069297D">
        <w:trPr>
          <w:trHeight w:val="1057"/>
        </w:trPr>
        <w:tc>
          <w:tcPr>
            <w:tcW w:w="2280" w:type="dxa"/>
            <w:tcBorders>
              <w:bottom w:val="single" w:sz="12" w:space="0" w:color="auto"/>
            </w:tcBorders>
            <w:vAlign w:val="center"/>
          </w:tcPr>
          <w:p w14:paraId="28823D4B" w14:textId="55B595BD" w:rsidR="00E10C12" w:rsidRPr="00766749" w:rsidRDefault="00E10C12" w:rsidP="00CF32A3">
            <w:pPr>
              <w:autoSpaceDE w:val="0"/>
              <w:autoSpaceDN w:val="0"/>
              <w:adjustRightInd w:val="0"/>
              <w:rPr>
                <w:sz w:val="18"/>
                <w:szCs w:val="18"/>
              </w:rPr>
            </w:pPr>
            <w:r w:rsidRPr="00766749">
              <w:rPr>
                <w:sz w:val="18"/>
                <w:szCs w:val="18"/>
              </w:rPr>
              <w:t>4,8-dioxa-3H-perfluorononanoic acid (ADONA)</w:t>
            </w:r>
            <w:r w:rsidR="00CF32A3" w:rsidRPr="00766749">
              <w:rPr>
                <w:sz w:val="18"/>
                <w:szCs w:val="18"/>
              </w:rPr>
              <w:t xml:space="preserve"> </w:t>
            </w:r>
            <w:r w:rsidRPr="00766749">
              <w:rPr>
                <w:sz w:val="18"/>
                <w:szCs w:val="18"/>
              </w:rPr>
              <w:t>(919005-14-4)</w:t>
            </w:r>
          </w:p>
        </w:tc>
        <w:tc>
          <w:tcPr>
            <w:tcW w:w="800" w:type="dxa"/>
            <w:tcBorders>
              <w:bottom w:val="single" w:sz="12" w:space="0" w:color="auto"/>
            </w:tcBorders>
            <w:vAlign w:val="center"/>
          </w:tcPr>
          <w:p w14:paraId="2776354C" w14:textId="7595E18E" w:rsidR="00E10C12" w:rsidRDefault="00E10C12" w:rsidP="00E10C12">
            <w:pPr>
              <w:jc w:val="center"/>
              <w:rPr>
                <w:rFonts w:eastAsia="Times New Roman"/>
                <w:sz w:val="18"/>
                <w:szCs w:val="18"/>
              </w:rPr>
            </w:pPr>
            <w:r>
              <w:rPr>
                <w:rFonts w:eastAsia="Times New Roman"/>
                <w:sz w:val="18"/>
                <w:szCs w:val="18"/>
              </w:rPr>
              <w:t>*</w:t>
            </w:r>
          </w:p>
        </w:tc>
        <w:tc>
          <w:tcPr>
            <w:tcW w:w="1700" w:type="dxa"/>
            <w:tcBorders>
              <w:bottom w:val="single" w:sz="12" w:space="0" w:color="auto"/>
            </w:tcBorders>
            <w:vAlign w:val="center"/>
          </w:tcPr>
          <w:p w14:paraId="7CE77049" w14:textId="11FAEC84" w:rsidR="00E10C12" w:rsidRDefault="00E10C12" w:rsidP="00E10C12">
            <w:pPr>
              <w:jc w:val="center"/>
              <w:rPr>
                <w:rFonts w:eastAsia="Times New Roman"/>
                <w:w w:val="99"/>
                <w:sz w:val="18"/>
                <w:szCs w:val="18"/>
              </w:rPr>
            </w:pPr>
            <w:r>
              <w:rPr>
                <w:rFonts w:eastAsia="Times New Roman"/>
                <w:w w:val="99"/>
                <w:sz w:val="18"/>
                <w:szCs w:val="18"/>
              </w:rPr>
              <w:t>-</w:t>
            </w:r>
          </w:p>
        </w:tc>
        <w:tc>
          <w:tcPr>
            <w:tcW w:w="1620" w:type="dxa"/>
            <w:tcBorders>
              <w:bottom w:val="single" w:sz="12" w:space="0" w:color="auto"/>
            </w:tcBorders>
            <w:vAlign w:val="center"/>
          </w:tcPr>
          <w:p w14:paraId="55CB8BE4" w14:textId="62503508" w:rsidR="00E10C12" w:rsidRDefault="00E10C12" w:rsidP="00E10C12">
            <w:pPr>
              <w:jc w:val="center"/>
              <w:rPr>
                <w:rFonts w:eastAsia="Times New Roman"/>
                <w:w w:val="99"/>
                <w:sz w:val="18"/>
                <w:szCs w:val="18"/>
              </w:rPr>
            </w:pPr>
            <w:r>
              <w:rPr>
                <w:rFonts w:eastAsia="Times New Roman"/>
                <w:w w:val="99"/>
                <w:sz w:val="18"/>
                <w:szCs w:val="18"/>
              </w:rPr>
              <w:t>-</w:t>
            </w:r>
          </w:p>
        </w:tc>
        <w:tc>
          <w:tcPr>
            <w:tcW w:w="2440" w:type="dxa"/>
            <w:tcBorders>
              <w:bottom w:val="single" w:sz="12" w:space="0" w:color="auto"/>
            </w:tcBorders>
            <w:vAlign w:val="center"/>
          </w:tcPr>
          <w:p w14:paraId="7CC28EE7" w14:textId="3A0F4CC6" w:rsidR="00E10C12" w:rsidRDefault="00E10C12" w:rsidP="00E10C12">
            <w:pPr>
              <w:jc w:val="center"/>
              <w:rPr>
                <w:rFonts w:eastAsia="Times New Roman"/>
                <w:sz w:val="18"/>
                <w:szCs w:val="18"/>
              </w:rPr>
            </w:pPr>
            <w:r>
              <w:rPr>
                <w:rFonts w:eastAsia="Times New Roman"/>
                <w:sz w:val="18"/>
                <w:szCs w:val="18"/>
              </w:rPr>
              <w:t>-</w:t>
            </w:r>
          </w:p>
        </w:tc>
        <w:tc>
          <w:tcPr>
            <w:tcW w:w="2320" w:type="dxa"/>
            <w:tcBorders>
              <w:bottom w:val="single" w:sz="12" w:space="0" w:color="auto"/>
            </w:tcBorders>
            <w:vAlign w:val="center"/>
          </w:tcPr>
          <w:p w14:paraId="4EF13565" w14:textId="78010BBD" w:rsidR="00E10C12" w:rsidRDefault="00E10C12" w:rsidP="00E10C12">
            <w:pPr>
              <w:jc w:val="center"/>
              <w:rPr>
                <w:rFonts w:eastAsia="Times New Roman"/>
                <w:sz w:val="18"/>
                <w:szCs w:val="18"/>
              </w:rPr>
            </w:pPr>
            <w:r>
              <w:rPr>
                <w:rFonts w:eastAsia="Times New Roman"/>
                <w:sz w:val="18"/>
                <w:szCs w:val="18"/>
              </w:rPr>
              <w:t>-</w:t>
            </w:r>
          </w:p>
        </w:tc>
      </w:tr>
      <w:tr w:rsidR="00F67228" w14:paraId="281A5163" w14:textId="77777777" w:rsidTr="00405EB4">
        <w:trPr>
          <w:trHeight w:val="432"/>
        </w:trPr>
        <w:tc>
          <w:tcPr>
            <w:tcW w:w="2280" w:type="dxa"/>
            <w:tcBorders>
              <w:top w:val="single" w:sz="12" w:space="0" w:color="auto"/>
              <w:bottom w:val="nil"/>
              <w:right w:val="single" w:sz="8" w:space="0" w:color="auto"/>
            </w:tcBorders>
            <w:vAlign w:val="center"/>
          </w:tcPr>
          <w:p w14:paraId="26525E3E" w14:textId="77777777" w:rsidR="00F67228" w:rsidRDefault="00F67228" w:rsidP="002544FE">
            <w:pPr>
              <w:ind w:left="60"/>
              <w:rPr>
                <w:sz w:val="20"/>
                <w:szCs w:val="20"/>
              </w:rPr>
            </w:pPr>
            <w:r>
              <w:rPr>
                <w:rFonts w:eastAsia="Times New Roman"/>
                <w:sz w:val="18"/>
                <w:szCs w:val="18"/>
              </w:rPr>
              <w:t>Petroleum hydrocarbons</w:t>
            </w:r>
          </w:p>
          <w:p w14:paraId="281A515D" w14:textId="3E0A053B" w:rsidR="00F67228" w:rsidRDefault="00F67228" w:rsidP="00BF0DC7">
            <w:pPr>
              <w:ind w:left="60"/>
              <w:rPr>
                <w:sz w:val="20"/>
                <w:szCs w:val="20"/>
              </w:rPr>
            </w:pPr>
            <w:r>
              <w:rPr>
                <w:rFonts w:eastAsia="Times New Roman"/>
                <w:sz w:val="18"/>
                <w:szCs w:val="18"/>
              </w:rPr>
              <w:t>Total P.H.</w:t>
            </w:r>
          </w:p>
        </w:tc>
        <w:tc>
          <w:tcPr>
            <w:tcW w:w="800" w:type="dxa"/>
            <w:tcBorders>
              <w:top w:val="single" w:sz="12" w:space="0" w:color="auto"/>
              <w:left w:val="single" w:sz="8" w:space="0" w:color="auto"/>
              <w:bottom w:val="nil"/>
              <w:right w:val="single" w:sz="8" w:space="0" w:color="auto"/>
            </w:tcBorders>
            <w:vAlign w:val="center"/>
          </w:tcPr>
          <w:p w14:paraId="281A515E" w14:textId="79B3B1E7" w:rsidR="00F67228" w:rsidRDefault="00F67228" w:rsidP="00A43152">
            <w:pPr>
              <w:jc w:val="center"/>
              <w:rPr>
                <w:sz w:val="20"/>
                <w:szCs w:val="20"/>
              </w:rPr>
            </w:pPr>
            <w:r>
              <w:rPr>
                <w:rFonts w:eastAsia="Times New Roman"/>
                <w:sz w:val="18"/>
                <w:szCs w:val="18"/>
              </w:rPr>
              <w:t>0.2</w:t>
            </w:r>
            <w:r w:rsidR="00A43152">
              <w:rPr>
                <w:rFonts w:eastAsia="Times New Roman"/>
                <w:sz w:val="18"/>
                <w:szCs w:val="18"/>
              </w:rPr>
              <w:t xml:space="preserve"> </w:t>
            </w:r>
            <w:r>
              <w:rPr>
                <w:rFonts w:eastAsia="Times New Roman"/>
                <w:sz w:val="18"/>
                <w:szCs w:val="18"/>
              </w:rPr>
              <w:t>mg/L</w:t>
            </w:r>
          </w:p>
        </w:tc>
        <w:tc>
          <w:tcPr>
            <w:tcW w:w="1700" w:type="dxa"/>
            <w:tcBorders>
              <w:top w:val="single" w:sz="12" w:space="0" w:color="auto"/>
              <w:left w:val="single" w:sz="8" w:space="0" w:color="auto"/>
              <w:bottom w:val="nil"/>
              <w:right w:val="single" w:sz="8" w:space="0" w:color="auto"/>
            </w:tcBorders>
            <w:vAlign w:val="center"/>
          </w:tcPr>
          <w:p w14:paraId="281A515F" w14:textId="4330EFCD" w:rsidR="00F67228" w:rsidRDefault="00F67228" w:rsidP="00A43152">
            <w:pPr>
              <w:jc w:val="center"/>
              <w:rPr>
                <w:sz w:val="20"/>
                <w:szCs w:val="20"/>
              </w:rPr>
            </w:pPr>
            <w:r>
              <w:rPr>
                <w:rFonts w:eastAsia="Times New Roman"/>
                <w:sz w:val="18"/>
                <w:szCs w:val="18"/>
              </w:rPr>
              <w:t>1000</w:t>
            </w:r>
          </w:p>
        </w:tc>
        <w:tc>
          <w:tcPr>
            <w:tcW w:w="1620" w:type="dxa"/>
            <w:tcBorders>
              <w:top w:val="single" w:sz="12" w:space="0" w:color="auto"/>
              <w:left w:val="single" w:sz="8" w:space="0" w:color="auto"/>
              <w:bottom w:val="nil"/>
            </w:tcBorders>
            <w:vAlign w:val="center"/>
          </w:tcPr>
          <w:p w14:paraId="281A5160" w14:textId="0767C047" w:rsidR="00F67228" w:rsidRDefault="00F67228" w:rsidP="00A43152">
            <w:pPr>
              <w:jc w:val="center"/>
              <w:rPr>
                <w:sz w:val="20"/>
                <w:szCs w:val="20"/>
              </w:rPr>
            </w:pPr>
            <w:r>
              <w:rPr>
                <w:rFonts w:eastAsia="Times New Roman"/>
                <w:sz w:val="18"/>
                <w:szCs w:val="18"/>
              </w:rPr>
              <w:t>200 ppb</w:t>
            </w:r>
          </w:p>
        </w:tc>
        <w:tc>
          <w:tcPr>
            <w:tcW w:w="2440" w:type="dxa"/>
            <w:vMerge w:val="restart"/>
            <w:tcBorders>
              <w:top w:val="single" w:sz="12" w:space="0" w:color="auto"/>
            </w:tcBorders>
          </w:tcPr>
          <w:p w14:paraId="281A5161" w14:textId="095ED3E8" w:rsidR="00F67228" w:rsidRDefault="00F67228" w:rsidP="00DE1119">
            <w:pPr>
              <w:spacing w:line="360" w:lineRule="auto"/>
              <w:ind w:left="40"/>
              <w:rPr>
                <w:sz w:val="20"/>
                <w:szCs w:val="20"/>
              </w:rPr>
            </w:pPr>
            <w:r>
              <w:rPr>
                <w:rFonts w:eastAsia="Times New Roman"/>
                <w:sz w:val="18"/>
                <w:szCs w:val="18"/>
              </w:rPr>
              <w:t>Discharge from the production, distribution, storage, and use of petroleum in transportation and industrial applications</w:t>
            </w:r>
          </w:p>
        </w:tc>
        <w:tc>
          <w:tcPr>
            <w:tcW w:w="2320" w:type="dxa"/>
            <w:vMerge w:val="restart"/>
            <w:tcBorders>
              <w:top w:val="single" w:sz="12" w:space="0" w:color="auto"/>
            </w:tcBorders>
          </w:tcPr>
          <w:p w14:paraId="281A5162" w14:textId="5C62F3D2" w:rsidR="00F67228" w:rsidRDefault="00F67228" w:rsidP="00DE1119">
            <w:pPr>
              <w:spacing w:line="360" w:lineRule="auto"/>
              <w:ind w:left="40"/>
              <w:rPr>
                <w:sz w:val="20"/>
                <w:szCs w:val="20"/>
              </w:rPr>
            </w:pPr>
            <w:r>
              <w:rPr>
                <w:rFonts w:eastAsia="Times New Roman"/>
                <w:sz w:val="18"/>
                <w:szCs w:val="18"/>
              </w:rPr>
              <w:t>Some people who drink water containing petroleum hydrocarbons at high concentrations for many years could experience effects on the central nervous system, blood, immune system, liver, spleen, kidneys, developing fetus, and lungs.</w:t>
            </w:r>
          </w:p>
        </w:tc>
      </w:tr>
      <w:tr w:rsidR="00405EB4" w14:paraId="28908DAB" w14:textId="77777777" w:rsidTr="00405EB4">
        <w:trPr>
          <w:trHeight w:val="432"/>
        </w:trPr>
        <w:tc>
          <w:tcPr>
            <w:tcW w:w="2280" w:type="dxa"/>
            <w:tcBorders>
              <w:top w:val="nil"/>
              <w:bottom w:val="nil"/>
              <w:right w:val="single" w:sz="8" w:space="0" w:color="auto"/>
            </w:tcBorders>
            <w:vAlign w:val="center"/>
          </w:tcPr>
          <w:p w14:paraId="05AF36BA" w14:textId="268DC0FA" w:rsidR="00405EB4" w:rsidRPr="00405EB4" w:rsidRDefault="00405EB4" w:rsidP="00405EB4">
            <w:pPr>
              <w:ind w:left="60"/>
              <w:rPr>
                <w:sz w:val="20"/>
                <w:szCs w:val="20"/>
              </w:rPr>
            </w:pPr>
            <w:r>
              <w:rPr>
                <w:rFonts w:eastAsia="Times New Roman"/>
                <w:sz w:val="18"/>
                <w:szCs w:val="18"/>
              </w:rPr>
              <w:t>Aliphatics</w:t>
            </w:r>
          </w:p>
        </w:tc>
        <w:tc>
          <w:tcPr>
            <w:tcW w:w="800" w:type="dxa"/>
            <w:tcBorders>
              <w:top w:val="nil"/>
              <w:left w:val="single" w:sz="8" w:space="0" w:color="auto"/>
              <w:bottom w:val="nil"/>
              <w:right w:val="single" w:sz="8" w:space="0" w:color="auto"/>
            </w:tcBorders>
            <w:vAlign w:val="center"/>
          </w:tcPr>
          <w:p w14:paraId="2DD32163" w14:textId="77777777" w:rsidR="00405EB4" w:rsidRDefault="00405EB4" w:rsidP="00A43152">
            <w:pPr>
              <w:jc w:val="center"/>
              <w:rPr>
                <w:rFonts w:eastAsia="Times New Roman"/>
                <w:sz w:val="18"/>
                <w:szCs w:val="18"/>
              </w:rPr>
            </w:pPr>
          </w:p>
        </w:tc>
        <w:tc>
          <w:tcPr>
            <w:tcW w:w="1700" w:type="dxa"/>
            <w:tcBorders>
              <w:top w:val="nil"/>
              <w:left w:val="single" w:sz="8" w:space="0" w:color="auto"/>
              <w:bottom w:val="nil"/>
              <w:right w:val="single" w:sz="8" w:space="0" w:color="auto"/>
            </w:tcBorders>
            <w:vAlign w:val="center"/>
          </w:tcPr>
          <w:p w14:paraId="17B4A610" w14:textId="77777777" w:rsidR="00405EB4" w:rsidRDefault="00405EB4" w:rsidP="00A43152">
            <w:pPr>
              <w:jc w:val="center"/>
              <w:rPr>
                <w:rFonts w:eastAsia="Times New Roman"/>
                <w:sz w:val="18"/>
                <w:szCs w:val="18"/>
              </w:rPr>
            </w:pPr>
          </w:p>
        </w:tc>
        <w:tc>
          <w:tcPr>
            <w:tcW w:w="1620" w:type="dxa"/>
            <w:tcBorders>
              <w:top w:val="nil"/>
              <w:left w:val="single" w:sz="8" w:space="0" w:color="auto"/>
              <w:bottom w:val="nil"/>
            </w:tcBorders>
            <w:vAlign w:val="center"/>
          </w:tcPr>
          <w:p w14:paraId="08537827" w14:textId="77777777" w:rsidR="00405EB4" w:rsidRDefault="00405EB4" w:rsidP="00A43152">
            <w:pPr>
              <w:jc w:val="center"/>
              <w:rPr>
                <w:rFonts w:eastAsia="Times New Roman"/>
                <w:sz w:val="18"/>
                <w:szCs w:val="18"/>
              </w:rPr>
            </w:pPr>
          </w:p>
        </w:tc>
        <w:tc>
          <w:tcPr>
            <w:tcW w:w="2440" w:type="dxa"/>
            <w:vMerge/>
            <w:tcBorders>
              <w:top w:val="nil"/>
            </w:tcBorders>
          </w:tcPr>
          <w:p w14:paraId="05351676" w14:textId="77777777" w:rsidR="00405EB4" w:rsidRDefault="00405EB4" w:rsidP="00632A83">
            <w:pPr>
              <w:ind w:left="40"/>
              <w:rPr>
                <w:rFonts w:eastAsia="Times New Roman"/>
                <w:sz w:val="18"/>
                <w:szCs w:val="18"/>
              </w:rPr>
            </w:pPr>
          </w:p>
        </w:tc>
        <w:tc>
          <w:tcPr>
            <w:tcW w:w="2320" w:type="dxa"/>
            <w:vMerge/>
          </w:tcPr>
          <w:p w14:paraId="60AB595F" w14:textId="77777777" w:rsidR="00405EB4" w:rsidRDefault="00405EB4" w:rsidP="00632A83">
            <w:pPr>
              <w:ind w:left="40"/>
              <w:rPr>
                <w:rFonts w:eastAsia="Times New Roman"/>
                <w:sz w:val="18"/>
                <w:szCs w:val="18"/>
              </w:rPr>
            </w:pPr>
          </w:p>
        </w:tc>
      </w:tr>
      <w:tr w:rsidR="00F67228" w14:paraId="66D3DFC3" w14:textId="77777777" w:rsidTr="00405EB4">
        <w:trPr>
          <w:trHeight w:val="288"/>
        </w:trPr>
        <w:tc>
          <w:tcPr>
            <w:tcW w:w="2280" w:type="dxa"/>
            <w:tcBorders>
              <w:top w:val="nil"/>
              <w:bottom w:val="nil"/>
              <w:right w:val="single" w:sz="8" w:space="0" w:color="auto"/>
            </w:tcBorders>
            <w:vAlign w:val="center"/>
          </w:tcPr>
          <w:p w14:paraId="365B5BF9" w14:textId="4701B01C" w:rsidR="00F67228" w:rsidRDefault="00BF0DC7" w:rsidP="003510BC">
            <w:pPr>
              <w:ind w:left="58"/>
              <w:rPr>
                <w:rFonts w:eastAsia="Times New Roman"/>
                <w:sz w:val="18"/>
                <w:szCs w:val="18"/>
              </w:rPr>
            </w:pPr>
            <w:r>
              <w:rPr>
                <w:rFonts w:eastAsia="Times New Roman"/>
                <w:sz w:val="18"/>
                <w:szCs w:val="18"/>
              </w:rPr>
              <w:t>C5-C8 (30080)</w:t>
            </w:r>
          </w:p>
        </w:tc>
        <w:tc>
          <w:tcPr>
            <w:tcW w:w="800" w:type="dxa"/>
            <w:tcBorders>
              <w:top w:val="nil"/>
              <w:left w:val="single" w:sz="8" w:space="0" w:color="auto"/>
              <w:bottom w:val="nil"/>
              <w:right w:val="single" w:sz="8" w:space="0" w:color="auto"/>
            </w:tcBorders>
            <w:vAlign w:val="center"/>
          </w:tcPr>
          <w:p w14:paraId="69E43E64" w14:textId="5C61576D" w:rsidR="00A43152" w:rsidRDefault="00A43152" w:rsidP="00A43152">
            <w:pPr>
              <w:jc w:val="center"/>
              <w:rPr>
                <w:rFonts w:eastAsia="Times New Roman"/>
                <w:sz w:val="18"/>
                <w:szCs w:val="18"/>
              </w:rPr>
            </w:pPr>
            <w:r>
              <w:rPr>
                <w:rFonts w:eastAsia="Times New Roman"/>
                <w:sz w:val="18"/>
                <w:szCs w:val="18"/>
              </w:rPr>
              <w:t>0.3 mg/L</w:t>
            </w:r>
          </w:p>
        </w:tc>
        <w:tc>
          <w:tcPr>
            <w:tcW w:w="1700" w:type="dxa"/>
            <w:tcBorders>
              <w:top w:val="nil"/>
              <w:left w:val="single" w:sz="8" w:space="0" w:color="auto"/>
              <w:bottom w:val="nil"/>
              <w:right w:val="single" w:sz="8" w:space="0" w:color="auto"/>
            </w:tcBorders>
            <w:vAlign w:val="center"/>
          </w:tcPr>
          <w:p w14:paraId="743A617C" w14:textId="2CB90B41" w:rsidR="00F67228" w:rsidRDefault="00A25822" w:rsidP="00A43152">
            <w:pPr>
              <w:jc w:val="center"/>
              <w:rPr>
                <w:rFonts w:eastAsia="Times New Roman"/>
                <w:sz w:val="18"/>
                <w:szCs w:val="18"/>
              </w:rPr>
            </w:pPr>
            <w:r>
              <w:rPr>
                <w:rFonts w:eastAsia="Times New Roman"/>
                <w:sz w:val="18"/>
                <w:szCs w:val="18"/>
              </w:rPr>
              <w:t>1000</w:t>
            </w:r>
          </w:p>
        </w:tc>
        <w:tc>
          <w:tcPr>
            <w:tcW w:w="1620" w:type="dxa"/>
            <w:tcBorders>
              <w:top w:val="nil"/>
              <w:left w:val="single" w:sz="8" w:space="0" w:color="auto"/>
              <w:bottom w:val="nil"/>
            </w:tcBorders>
            <w:vAlign w:val="center"/>
          </w:tcPr>
          <w:p w14:paraId="7EBAC61B" w14:textId="69621754" w:rsidR="00F67228" w:rsidRDefault="00A43152" w:rsidP="00A43152">
            <w:pPr>
              <w:jc w:val="center"/>
              <w:rPr>
                <w:rFonts w:eastAsia="Times New Roman"/>
                <w:sz w:val="18"/>
                <w:szCs w:val="18"/>
              </w:rPr>
            </w:pPr>
            <w:r>
              <w:rPr>
                <w:rFonts w:eastAsia="Times New Roman"/>
                <w:sz w:val="18"/>
                <w:szCs w:val="18"/>
              </w:rPr>
              <w:t>300 ppb</w:t>
            </w:r>
          </w:p>
        </w:tc>
        <w:tc>
          <w:tcPr>
            <w:tcW w:w="2440" w:type="dxa"/>
            <w:vMerge/>
            <w:tcBorders>
              <w:top w:val="nil"/>
            </w:tcBorders>
          </w:tcPr>
          <w:p w14:paraId="5E4F07F2" w14:textId="77777777" w:rsidR="00F67228" w:rsidRDefault="00F67228" w:rsidP="00632A83">
            <w:pPr>
              <w:ind w:left="40"/>
              <w:rPr>
                <w:rFonts w:eastAsia="Times New Roman"/>
                <w:sz w:val="18"/>
                <w:szCs w:val="18"/>
              </w:rPr>
            </w:pPr>
          </w:p>
        </w:tc>
        <w:tc>
          <w:tcPr>
            <w:tcW w:w="2320" w:type="dxa"/>
            <w:vMerge/>
          </w:tcPr>
          <w:p w14:paraId="18F0BEC9" w14:textId="77777777" w:rsidR="00F67228" w:rsidRDefault="00F67228" w:rsidP="00632A83">
            <w:pPr>
              <w:ind w:left="40"/>
              <w:rPr>
                <w:rFonts w:eastAsia="Times New Roman"/>
                <w:sz w:val="18"/>
                <w:szCs w:val="18"/>
              </w:rPr>
            </w:pPr>
          </w:p>
        </w:tc>
      </w:tr>
      <w:tr w:rsidR="00F67228" w14:paraId="3090A684" w14:textId="77777777" w:rsidTr="003510BC">
        <w:trPr>
          <w:trHeight w:val="288"/>
        </w:trPr>
        <w:tc>
          <w:tcPr>
            <w:tcW w:w="2280" w:type="dxa"/>
            <w:tcBorders>
              <w:top w:val="nil"/>
              <w:bottom w:val="nil"/>
              <w:right w:val="single" w:sz="8" w:space="0" w:color="auto"/>
            </w:tcBorders>
            <w:vAlign w:val="center"/>
          </w:tcPr>
          <w:p w14:paraId="693C2543" w14:textId="13D75C79" w:rsidR="00F67228" w:rsidRDefault="00BF0DC7" w:rsidP="00BF0DC7">
            <w:pPr>
              <w:ind w:left="60"/>
              <w:rPr>
                <w:rFonts w:eastAsia="Times New Roman"/>
                <w:sz w:val="18"/>
                <w:szCs w:val="18"/>
              </w:rPr>
            </w:pPr>
            <w:r>
              <w:rPr>
                <w:rFonts w:eastAsia="Times New Roman"/>
                <w:sz w:val="18"/>
                <w:szCs w:val="18"/>
              </w:rPr>
              <w:t>C9-C12(30089)</w:t>
            </w:r>
          </w:p>
        </w:tc>
        <w:tc>
          <w:tcPr>
            <w:tcW w:w="800" w:type="dxa"/>
            <w:tcBorders>
              <w:top w:val="nil"/>
              <w:left w:val="single" w:sz="8" w:space="0" w:color="auto"/>
              <w:bottom w:val="nil"/>
              <w:right w:val="single" w:sz="8" w:space="0" w:color="auto"/>
            </w:tcBorders>
            <w:vAlign w:val="center"/>
          </w:tcPr>
          <w:p w14:paraId="436E6AFC" w14:textId="6DA65F5F" w:rsidR="00F67228" w:rsidRDefault="00A43152" w:rsidP="00A43152">
            <w:pPr>
              <w:jc w:val="center"/>
              <w:rPr>
                <w:rFonts w:eastAsia="Times New Roman"/>
                <w:sz w:val="18"/>
                <w:szCs w:val="18"/>
              </w:rPr>
            </w:pPr>
            <w:r>
              <w:rPr>
                <w:rFonts w:eastAsia="Times New Roman"/>
                <w:sz w:val="18"/>
                <w:szCs w:val="18"/>
              </w:rPr>
              <w:t>0.7 mg/L</w:t>
            </w:r>
          </w:p>
        </w:tc>
        <w:tc>
          <w:tcPr>
            <w:tcW w:w="1700" w:type="dxa"/>
            <w:tcBorders>
              <w:top w:val="nil"/>
              <w:left w:val="single" w:sz="8" w:space="0" w:color="auto"/>
              <w:bottom w:val="nil"/>
              <w:right w:val="single" w:sz="8" w:space="0" w:color="auto"/>
            </w:tcBorders>
            <w:vAlign w:val="center"/>
          </w:tcPr>
          <w:p w14:paraId="7E0B11BF" w14:textId="606802BA" w:rsidR="00F67228" w:rsidRDefault="00A25822" w:rsidP="00A43152">
            <w:pPr>
              <w:jc w:val="center"/>
              <w:rPr>
                <w:rFonts w:eastAsia="Times New Roman"/>
                <w:sz w:val="18"/>
                <w:szCs w:val="18"/>
              </w:rPr>
            </w:pPr>
            <w:r>
              <w:rPr>
                <w:rFonts w:eastAsia="Times New Roman"/>
                <w:sz w:val="18"/>
                <w:szCs w:val="18"/>
              </w:rPr>
              <w:t>1000</w:t>
            </w:r>
          </w:p>
        </w:tc>
        <w:tc>
          <w:tcPr>
            <w:tcW w:w="1620" w:type="dxa"/>
            <w:tcBorders>
              <w:top w:val="nil"/>
              <w:left w:val="single" w:sz="8" w:space="0" w:color="auto"/>
              <w:bottom w:val="nil"/>
            </w:tcBorders>
            <w:vAlign w:val="center"/>
          </w:tcPr>
          <w:p w14:paraId="09B4C22D" w14:textId="122143DD" w:rsidR="00F67228" w:rsidRDefault="00A25822" w:rsidP="00A43152">
            <w:pPr>
              <w:jc w:val="center"/>
              <w:rPr>
                <w:rFonts w:eastAsia="Times New Roman"/>
                <w:sz w:val="18"/>
                <w:szCs w:val="18"/>
              </w:rPr>
            </w:pPr>
            <w:r>
              <w:rPr>
                <w:rFonts w:eastAsia="Times New Roman"/>
                <w:sz w:val="18"/>
                <w:szCs w:val="18"/>
              </w:rPr>
              <w:t>700</w:t>
            </w:r>
            <w:r w:rsidR="00A43152">
              <w:rPr>
                <w:rFonts w:eastAsia="Times New Roman"/>
                <w:sz w:val="18"/>
                <w:szCs w:val="18"/>
              </w:rPr>
              <w:t xml:space="preserve"> ppb</w:t>
            </w:r>
          </w:p>
        </w:tc>
        <w:tc>
          <w:tcPr>
            <w:tcW w:w="2440" w:type="dxa"/>
            <w:vMerge/>
            <w:tcBorders>
              <w:top w:val="nil"/>
            </w:tcBorders>
          </w:tcPr>
          <w:p w14:paraId="768A0080" w14:textId="77777777" w:rsidR="00F67228" w:rsidRDefault="00F67228" w:rsidP="00632A83">
            <w:pPr>
              <w:ind w:left="40"/>
              <w:rPr>
                <w:rFonts w:eastAsia="Times New Roman"/>
                <w:sz w:val="18"/>
                <w:szCs w:val="18"/>
              </w:rPr>
            </w:pPr>
          </w:p>
        </w:tc>
        <w:tc>
          <w:tcPr>
            <w:tcW w:w="2320" w:type="dxa"/>
            <w:vMerge/>
          </w:tcPr>
          <w:p w14:paraId="27422BA2" w14:textId="77777777" w:rsidR="00F67228" w:rsidRDefault="00F67228" w:rsidP="00632A83">
            <w:pPr>
              <w:ind w:left="40"/>
              <w:rPr>
                <w:rFonts w:eastAsia="Times New Roman"/>
                <w:sz w:val="18"/>
                <w:szCs w:val="18"/>
              </w:rPr>
            </w:pPr>
          </w:p>
        </w:tc>
      </w:tr>
      <w:tr w:rsidR="00F67228" w14:paraId="2DE48FC4" w14:textId="77777777" w:rsidTr="003510BC">
        <w:trPr>
          <w:trHeight w:val="288"/>
        </w:trPr>
        <w:tc>
          <w:tcPr>
            <w:tcW w:w="2280" w:type="dxa"/>
            <w:tcBorders>
              <w:top w:val="nil"/>
              <w:bottom w:val="nil"/>
              <w:right w:val="single" w:sz="8" w:space="0" w:color="auto"/>
            </w:tcBorders>
            <w:vAlign w:val="center"/>
          </w:tcPr>
          <w:p w14:paraId="3850E66D" w14:textId="3C4BBE3D" w:rsidR="00F67228" w:rsidRDefault="00BF0DC7" w:rsidP="00BF0DC7">
            <w:pPr>
              <w:ind w:left="60"/>
              <w:rPr>
                <w:rFonts w:eastAsia="Times New Roman"/>
                <w:sz w:val="18"/>
                <w:szCs w:val="18"/>
              </w:rPr>
            </w:pPr>
            <w:r>
              <w:rPr>
                <w:rFonts w:eastAsia="Times New Roman"/>
                <w:sz w:val="18"/>
                <w:szCs w:val="18"/>
              </w:rPr>
              <w:t>C9-C18(30092)</w:t>
            </w:r>
          </w:p>
        </w:tc>
        <w:tc>
          <w:tcPr>
            <w:tcW w:w="800" w:type="dxa"/>
            <w:tcBorders>
              <w:top w:val="nil"/>
              <w:left w:val="single" w:sz="8" w:space="0" w:color="auto"/>
              <w:bottom w:val="nil"/>
              <w:right w:val="single" w:sz="8" w:space="0" w:color="auto"/>
            </w:tcBorders>
            <w:vAlign w:val="center"/>
          </w:tcPr>
          <w:p w14:paraId="12A4C096" w14:textId="5B32E0DA" w:rsidR="00F67228" w:rsidRDefault="00A43152" w:rsidP="00A43152">
            <w:pPr>
              <w:jc w:val="center"/>
              <w:rPr>
                <w:rFonts w:eastAsia="Times New Roman"/>
                <w:sz w:val="18"/>
                <w:szCs w:val="18"/>
              </w:rPr>
            </w:pPr>
            <w:r>
              <w:rPr>
                <w:rFonts w:eastAsia="Times New Roman"/>
                <w:sz w:val="18"/>
                <w:szCs w:val="18"/>
              </w:rPr>
              <w:t>0.7 mg/L</w:t>
            </w:r>
          </w:p>
        </w:tc>
        <w:tc>
          <w:tcPr>
            <w:tcW w:w="1700" w:type="dxa"/>
            <w:tcBorders>
              <w:top w:val="nil"/>
              <w:left w:val="single" w:sz="8" w:space="0" w:color="auto"/>
              <w:bottom w:val="nil"/>
              <w:right w:val="single" w:sz="8" w:space="0" w:color="auto"/>
            </w:tcBorders>
            <w:vAlign w:val="center"/>
          </w:tcPr>
          <w:p w14:paraId="557CFDED" w14:textId="62477F61" w:rsidR="00F67228" w:rsidRDefault="00A25822" w:rsidP="00A43152">
            <w:pPr>
              <w:jc w:val="center"/>
              <w:rPr>
                <w:rFonts w:eastAsia="Times New Roman"/>
                <w:sz w:val="18"/>
                <w:szCs w:val="18"/>
              </w:rPr>
            </w:pPr>
            <w:r>
              <w:rPr>
                <w:rFonts w:eastAsia="Times New Roman"/>
                <w:sz w:val="18"/>
                <w:szCs w:val="18"/>
              </w:rPr>
              <w:t>1000</w:t>
            </w:r>
          </w:p>
        </w:tc>
        <w:tc>
          <w:tcPr>
            <w:tcW w:w="1620" w:type="dxa"/>
            <w:tcBorders>
              <w:top w:val="nil"/>
              <w:left w:val="single" w:sz="8" w:space="0" w:color="auto"/>
              <w:bottom w:val="nil"/>
            </w:tcBorders>
            <w:vAlign w:val="center"/>
          </w:tcPr>
          <w:p w14:paraId="37265938" w14:textId="52FB5F7B" w:rsidR="00F67228" w:rsidRDefault="00A43152" w:rsidP="00A43152">
            <w:pPr>
              <w:jc w:val="center"/>
              <w:rPr>
                <w:rFonts w:eastAsia="Times New Roman"/>
                <w:sz w:val="18"/>
                <w:szCs w:val="18"/>
              </w:rPr>
            </w:pPr>
            <w:r>
              <w:rPr>
                <w:rFonts w:eastAsia="Times New Roman"/>
                <w:sz w:val="18"/>
                <w:szCs w:val="18"/>
              </w:rPr>
              <w:t>700 ppb</w:t>
            </w:r>
          </w:p>
        </w:tc>
        <w:tc>
          <w:tcPr>
            <w:tcW w:w="2440" w:type="dxa"/>
            <w:vMerge/>
            <w:tcBorders>
              <w:top w:val="nil"/>
            </w:tcBorders>
          </w:tcPr>
          <w:p w14:paraId="5539974E" w14:textId="77777777" w:rsidR="00F67228" w:rsidRDefault="00F67228" w:rsidP="00632A83">
            <w:pPr>
              <w:ind w:left="40"/>
              <w:rPr>
                <w:rFonts w:eastAsia="Times New Roman"/>
                <w:sz w:val="18"/>
                <w:szCs w:val="18"/>
              </w:rPr>
            </w:pPr>
          </w:p>
        </w:tc>
        <w:tc>
          <w:tcPr>
            <w:tcW w:w="2320" w:type="dxa"/>
            <w:vMerge/>
          </w:tcPr>
          <w:p w14:paraId="1D6E5CA3" w14:textId="77777777" w:rsidR="00F67228" w:rsidRDefault="00F67228" w:rsidP="00632A83">
            <w:pPr>
              <w:ind w:left="40"/>
              <w:rPr>
                <w:rFonts w:eastAsia="Times New Roman"/>
                <w:sz w:val="18"/>
                <w:szCs w:val="18"/>
              </w:rPr>
            </w:pPr>
          </w:p>
        </w:tc>
      </w:tr>
      <w:tr w:rsidR="00F67228" w14:paraId="5C1D08C5" w14:textId="77777777" w:rsidTr="003510BC">
        <w:trPr>
          <w:trHeight w:val="288"/>
        </w:trPr>
        <w:tc>
          <w:tcPr>
            <w:tcW w:w="2280" w:type="dxa"/>
            <w:tcBorders>
              <w:top w:val="nil"/>
              <w:bottom w:val="nil"/>
              <w:right w:val="single" w:sz="8" w:space="0" w:color="auto"/>
            </w:tcBorders>
            <w:vAlign w:val="center"/>
          </w:tcPr>
          <w:p w14:paraId="346C0EAC" w14:textId="452C5AD5" w:rsidR="00F67228" w:rsidRDefault="00BF0DC7" w:rsidP="00BF0DC7">
            <w:pPr>
              <w:ind w:left="60"/>
              <w:rPr>
                <w:rFonts w:eastAsia="Times New Roman"/>
                <w:sz w:val="18"/>
                <w:szCs w:val="18"/>
              </w:rPr>
            </w:pPr>
            <w:r>
              <w:rPr>
                <w:rFonts w:eastAsia="Times New Roman"/>
                <w:sz w:val="18"/>
                <w:szCs w:val="18"/>
              </w:rPr>
              <w:t>C19-C36(30057)</w:t>
            </w:r>
          </w:p>
        </w:tc>
        <w:tc>
          <w:tcPr>
            <w:tcW w:w="800" w:type="dxa"/>
            <w:tcBorders>
              <w:top w:val="nil"/>
              <w:left w:val="single" w:sz="8" w:space="0" w:color="auto"/>
              <w:bottom w:val="nil"/>
              <w:right w:val="single" w:sz="8" w:space="0" w:color="auto"/>
            </w:tcBorders>
            <w:vAlign w:val="center"/>
          </w:tcPr>
          <w:p w14:paraId="307BA65D" w14:textId="49CA18BF" w:rsidR="00F67228" w:rsidRDefault="00A43152" w:rsidP="00A43152">
            <w:pPr>
              <w:jc w:val="center"/>
              <w:rPr>
                <w:rFonts w:eastAsia="Times New Roman"/>
                <w:sz w:val="18"/>
                <w:szCs w:val="18"/>
              </w:rPr>
            </w:pPr>
            <w:r>
              <w:rPr>
                <w:rFonts w:eastAsia="Times New Roman"/>
                <w:sz w:val="18"/>
                <w:szCs w:val="18"/>
              </w:rPr>
              <w:t>14.0 mg/L</w:t>
            </w:r>
          </w:p>
        </w:tc>
        <w:tc>
          <w:tcPr>
            <w:tcW w:w="1700" w:type="dxa"/>
            <w:tcBorders>
              <w:top w:val="nil"/>
              <w:left w:val="single" w:sz="8" w:space="0" w:color="auto"/>
              <w:bottom w:val="nil"/>
              <w:right w:val="single" w:sz="8" w:space="0" w:color="auto"/>
            </w:tcBorders>
            <w:vAlign w:val="center"/>
          </w:tcPr>
          <w:p w14:paraId="12AA1B60" w14:textId="4F91673A" w:rsidR="00F67228" w:rsidRDefault="00A25822" w:rsidP="00A43152">
            <w:pPr>
              <w:jc w:val="center"/>
              <w:rPr>
                <w:rFonts w:eastAsia="Times New Roman"/>
                <w:sz w:val="18"/>
                <w:szCs w:val="18"/>
              </w:rPr>
            </w:pPr>
            <w:r>
              <w:rPr>
                <w:rFonts w:eastAsia="Times New Roman"/>
                <w:sz w:val="18"/>
                <w:szCs w:val="18"/>
              </w:rPr>
              <w:t>-</w:t>
            </w:r>
          </w:p>
        </w:tc>
        <w:tc>
          <w:tcPr>
            <w:tcW w:w="1620" w:type="dxa"/>
            <w:tcBorders>
              <w:top w:val="nil"/>
              <w:left w:val="single" w:sz="8" w:space="0" w:color="auto"/>
              <w:bottom w:val="nil"/>
            </w:tcBorders>
            <w:vAlign w:val="center"/>
          </w:tcPr>
          <w:p w14:paraId="22E8E055" w14:textId="3EBA261A" w:rsidR="00F67228" w:rsidRDefault="00A43152" w:rsidP="00A43152">
            <w:pPr>
              <w:jc w:val="center"/>
              <w:rPr>
                <w:rFonts w:eastAsia="Times New Roman"/>
                <w:sz w:val="18"/>
                <w:szCs w:val="18"/>
              </w:rPr>
            </w:pPr>
            <w:r>
              <w:rPr>
                <w:rFonts w:eastAsia="Times New Roman"/>
                <w:sz w:val="18"/>
                <w:szCs w:val="18"/>
              </w:rPr>
              <w:t>14 ppm</w:t>
            </w:r>
          </w:p>
        </w:tc>
        <w:tc>
          <w:tcPr>
            <w:tcW w:w="2440" w:type="dxa"/>
            <w:vMerge/>
            <w:tcBorders>
              <w:top w:val="nil"/>
            </w:tcBorders>
          </w:tcPr>
          <w:p w14:paraId="5AF2E808" w14:textId="77777777" w:rsidR="00F67228" w:rsidRDefault="00F67228" w:rsidP="00632A83">
            <w:pPr>
              <w:ind w:left="40"/>
              <w:rPr>
                <w:rFonts w:eastAsia="Times New Roman"/>
                <w:sz w:val="18"/>
                <w:szCs w:val="18"/>
              </w:rPr>
            </w:pPr>
          </w:p>
        </w:tc>
        <w:tc>
          <w:tcPr>
            <w:tcW w:w="2320" w:type="dxa"/>
            <w:vMerge/>
          </w:tcPr>
          <w:p w14:paraId="33BC5BDD" w14:textId="77777777" w:rsidR="00F67228" w:rsidRDefault="00F67228" w:rsidP="00632A83">
            <w:pPr>
              <w:ind w:left="40"/>
              <w:rPr>
                <w:rFonts w:eastAsia="Times New Roman"/>
                <w:sz w:val="18"/>
                <w:szCs w:val="18"/>
              </w:rPr>
            </w:pPr>
          </w:p>
        </w:tc>
      </w:tr>
      <w:tr w:rsidR="00405EB4" w14:paraId="162F24C7" w14:textId="77777777" w:rsidTr="00405EB4">
        <w:trPr>
          <w:trHeight w:val="432"/>
        </w:trPr>
        <w:tc>
          <w:tcPr>
            <w:tcW w:w="2280" w:type="dxa"/>
            <w:tcBorders>
              <w:top w:val="nil"/>
              <w:bottom w:val="nil"/>
              <w:right w:val="single" w:sz="8" w:space="0" w:color="auto"/>
            </w:tcBorders>
            <w:vAlign w:val="center"/>
          </w:tcPr>
          <w:p w14:paraId="619AE346" w14:textId="29C083BA" w:rsidR="00405EB4" w:rsidRPr="00405EB4" w:rsidRDefault="00405EB4" w:rsidP="00405EB4">
            <w:pPr>
              <w:ind w:left="60"/>
              <w:rPr>
                <w:sz w:val="20"/>
                <w:szCs w:val="20"/>
              </w:rPr>
            </w:pPr>
            <w:r>
              <w:rPr>
                <w:rFonts w:eastAsia="Times New Roman"/>
                <w:sz w:val="18"/>
                <w:szCs w:val="18"/>
              </w:rPr>
              <w:t>Aromatics</w:t>
            </w:r>
          </w:p>
        </w:tc>
        <w:tc>
          <w:tcPr>
            <w:tcW w:w="800" w:type="dxa"/>
            <w:tcBorders>
              <w:top w:val="nil"/>
              <w:left w:val="single" w:sz="8" w:space="0" w:color="auto"/>
              <w:bottom w:val="nil"/>
              <w:right w:val="single" w:sz="8" w:space="0" w:color="auto"/>
            </w:tcBorders>
            <w:vAlign w:val="center"/>
          </w:tcPr>
          <w:p w14:paraId="0E0DE0C8" w14:textId="77777777" w:rsidR="00405EB4" w:rsidRDefault="00405EB4" w:rsidP="00A43152">
            <w:pPr>
              <w:jc w:val="center"/>
              <w:rPr>
                <w:rFonts w:eastAsia="Times New Roman"/>
                <w:sz w:val="18"/>
                <w:szCs w:val="18"/>
              </w:rPr>
            </w:pPr>
          </w:p>
        </w:tc>
        <w:tc>
          <w:tcPr>
            <w:tcW w:w="1700" w:type="dxa"/>
            <w:tcBorders>
              <w:top w:val="nil"/>
              <w:left w:val="single" w:sz="8" w:space="0" w:color="auto"/>
              <w:bottom w:val="nil"/>
              <w:right w:val="single" w:sz="8" w:space="0" w:color="auto"/>
            </w:tcBorders>
            <w:vAlign w:val="center"/>
          </w:tcPr>
          <w:p w14:paraId="4574FECB" w14:textId="77777777" w:rsidR="00405EB4" w:rsidRDefault="00405EB4" w:rsidP="00A43152">
            <w:pPr>
              <w:jc w:val="center"/>
              <w:rPr>
                <w:rFonts w:eastAsia="Times New Roman"/>
                <w:sz w:val="18"/>
                <w:szCs w:val="18"/>
              </w:rPr>
            </w:pPr>
          </w:p>
        </w:tc>
        <w:tc>
          <w:tcPr>
            <w:tcW w:w="1620" w:type="dxa"/>
            <w:tcBorders>
              <w:top w:val="nil"/>
              <w:left w:val="single" w:sz="8" w:space="0" w:color="auto"/>
              <w:bottom w:val="nil"/>
            </w:tcBorders>
            <w:vAlign w:val="center"/>
          </w:tcPr>
          <w:p w14:paraId="345F9D0B" w14:textId="77777777" w:rsidR="00405EB4" w:rsidRDefault="00405EB4" w:rsidP="00A43152">
            <w:pPr>
              <w:jc w:val="center"/>
              <w:rPr>
                <w:rFonts w:eastAsia="Times New Roman"/>
                <w:sz w:val="18"/>
                <w:szCs w:val="18"/>
              </w:rPr>
            </w:pPr>
          </w:p>
        </w:tc>
        <w:tc>
          <w:tcPr>
            <w:tcW w:w="2440" w:type="dxa"/>
            <w:vMerge/>
            <w:tcBorders>
              <w:top w:val="nil"/>
            </w:tcBorders>
          </w:tcPr>
          <w:p w14:paraId="53188D08" w14:textId="77777777" w:rsidR="00405EB4" w:rsidRDefault="00405EB4" w:rsidP="00632A83">
            <w:pPr>
              <w:ind w:left="40"/>
              <w:rPr>
                <w:rFonts w:eastAsia="Times New Roman"/>
                <w:sz w:val="18"/>
                <w:szCs w:val="18"/>
              </w:rPr>
            </w:pPr>
          </w:p>
        </w:tc>
        <w:tc>
          <w:tcPr>
            <w:tcW w:w="2320" w:type="dxa"/>
            <w:vMerge/>
          </w:tcPr>
          <w:p w14:paraId="6FE7442B" w14:textId="77777777" w:rsidR="00405EB4" w:rsidRDefault="00405EB4" w:rsidP="00632A83">
            <w:pPr>
              <w:ind w:left="40"/>
              <w:rPr>
                <w:rFonts w:eastAsia="Times New Roman"/>
                <w:sz w:val="18"/>
                <w:szCs w:val="18"/>
              </w:rPr>
            </w:pPr>
          </w:p>
        </w:tc>
      </w:tr>
      <w:tr w:rsidR="00F67228" w14:paraId="3F4E7BC6" w14:textId="77777777" w:rsidTr="00405EB4">
        <w:trPr>
          <w:trHeight w:val="288"/>
        </w:trPr>
        <w:tc>
          <w:tcPr>
            <w:tcW w:w="2280" w:type="dxa"/>
            <w:tcBorders>
              <w:top w:val="nil"/>
              <w:bottom w:val="nil"/>
              <w:right w:val="single" w:sz="8" w:space="0" w:color="auto"/>
            </w:tcBorders>
            <w:vAlign w:val="center"/>
          </w:tcPr>
          <w:p w14:paraId="60E66573" w14:textId="61920CA3" w:rsidR="00F67228" w:rsidRDefault="00825D7A" w:rsidP="00BF0DC7">
            <w:pPr>
              <w:ind w:left="60"/>
              <w:rPr>
                <w:rFonts w:eastAsia="Times New Roman"/>
                <w:sz w:val="18"/>
                <w:szCs w:val="18"/>
              </w:rPr>
            </w:pPr>
            <w:r>
              <w:rPr>
                <w:rFonts w:eastAsia="Times New Roman"/>
                <w:sz w:val="18"/>
                <w:szCs w:val="18"/>
              </w:rPr>
              <w:t>C9-C10(30087)</w:t>
            </w:r>
          </w:p>
        </w:tc>
        <w:tc>
          <w:tcPr>
            <w:tcW w:w="800" w:type="dxa"/>
            <w:tcBorders>
              <w:top w:val="nil"/>
              <w:left w:val="single" w:sz="8" w:space="0" w:color="auto"/>
              <w:bottom w:val="nil"/>
              <w:right w:val="single" w:sz="8" w:space="0" w:color="auto"/>
            </w:tcBorders>
            <w:vAlign w:val="center"/>
          </w:tcPr>
          <w:p w14:paraId="01CEDE99" w14:textId="285E126F" w:rsidR="00F67228" w:rsidRDefault="00A43152" w:rsidP="00A43152">
            <w:pPr>
              <w:jc w:val="center"/>
              <w:rPr>
                <w:rFonts w:eastAsia="Times New Roman"/>
                <w:sz w:val="18"/>
                <w:szCs w:val="18"/>
              </w:rPr>
            </w:pPr>
            <w:r>
              <w:rPr>
                <w:rFonts w:eastAsia="Times New Roman"/>
                <w:sz w:val="18"/>
                <w:szCs w:val="18"/>
              </w:rPr>
              <w:t>0.2 mg/L</w:t>
            </w:r>
          </w:p>
        </w:tc>
        <w:tc>
          <w:tcPr>
            <w:tcW w:w="1700" w:type="dxa"/>
            <w:tcBorders>
              <w:top w:val="nil"/>
              <w:left w:val="single" w:sz="8" w:space="0" w:color="auto"/>
              <w:bottom w:val="nil"/>
              <w:right w:val="single" w:sz="8" w:space="0" w:color="auto"/>
            </w:tcBorders>
            <w:vAlign w:val="center"/>
          </w:tcPr>
          <w:p w14:paraId="783E43AF" w14:textId="4CBCBDE0" w:rsidR="00F67228" w:rsidRDefault="00F67228" w:rsidP="00A43152">
            <w:pPr>
              <w:jc w:val="center"/>
              <w:rPr>
                <w:rFonts w:eastAsia="Times New Roman"/>
                <w:sz w:val="18"/>
                <w:szCs w:val="18"/>
              </w:rPr>
            </w:pPr>
            <w:r>
              <w:rPr>
                <w:rFonts w:eastAsia="Times New Roman"/>
                <w:sz w:val="18"/>
                <w:szCs w:val="18"/>
              </w:rPr>
              <w:t>1000</w:t>
            </w:r>
          </w:p>
        </w:tc>
        <w:tc>
          <w:tcPr>
            <w:tcW w:w="1620" w:type="dxa"/>
            <w:tcBorders>
              <w:top w:val="nil"/>
              <w:left w:val="single" w:sz="8" w:space="0" w:color="auto"/>
              <w:bottom w:val="nil"/>
            </w:tcBorders>
            <w:vAlign w:val="center"/>
          </w:tcPr>
          <w:p w14:paraId="07B781F2" w14:textId="16B960DE" w:rsidR="00F67228" w:rsidRDefault="00A43152" w:rsidP="00A43152">
            <w:pPr>
              <w:jc w:val="center"/>
              <w:rPr>
                <w:rFonts w:eastAsia="Times New Roman"/>
                <w:sz w:val="18"/>
                <w:szCs w:val="18"/>
              </w:rPr>
            </w:pPr>
            <w:r>
              <w:rPr>
                <w:rFonts w:eastAsia="Times New Roman"/>
                <w:sz w:val="18"/>
                <w:szCs w:val="18"/>
              </w:rPr>
              <w:t>200 ppb</w:t>
            </w:r>
          </w:p>
        </w:tc>
        <w:tc>
          <w:tcPr>
            <w:tcW w:w="2440" w:type="dxa"/>
            <w:vMerge/>
            <w:tcBorders>
              <w:top w:val="nil"/>
            </w:tcBorders>
          </w:tcPr>
          <w:p w14:paraId="2600E494" w14:textId="77777777" w:rsidR="00F67228" w:rsidRDefault="00F67228" w:rsidP="00632A83">
            <w:pPr>
              <w:ind w:left="40"/>
              <w:rPr>
                <w:rFonts w:eastAsia="Times New Roman"/>
                <w:sz w:val="18"/>
                <w:szCs w:val="18"/>
              </w:rPr>
            </w:pPr>
          </w:p>
        </w:tc>
        <w:tc>
          <w:tcPr>
            <w:tcW w:w="2320" w:type="dxa"/>
            <w:vMerge/>
          </w:tcPr>
          <w:p w14:paraId="0B4DB612" w14:textId="77777777" w:rsidR="00F67228" w:rsidRDefault="00F67228" w:rsidP="00632A83">
            <w:pPr>
              <w:ind w:left="40"/>
              <w:rPr>
                <w:rFonts w:eastAsia="Times New Roman"/>
                <w:sz w:val="18"/>
                <w:szCs w:val="18"/>
              </w:rPr>
            </w:pPr>
          </w:p>
        </w:tc>
      </w:tr>
      <w:tr w:rsidR="00F67228" w14:paraId="19AB39F5" w14:textId="77777777" w:rsidTr="003510BC">
        <w:trPr>
          <w:trHeight w:val="288"/>
        </w:trPr>
        <w:tc>
          <w:tcPr>
            <w:tcW w:w="2280" w:type="dxa"/>
            <w:tcBorders>
              <w:top w:val="nil"/>
              <w:bottom w:val="single" w:sz="12" w:space="0" w:color="auto"/>
              <w:right w:val="single" w:sz="8" w:space="0" w:color="auto"/>
            </w:tcBorders>
            <w:vAlign w:val="center"/>
          </w:tcPr>
          <w:p w14:paraId="40EF2D5A" w14:textId="6D0485C0" w:rsidR="00F67228" w:rsidRDefault="00825D7A" w:rsidP="002544FE">
            <w:pPr>
              <w:ind w:left="60"/>
              <w:rPr>
                <w:rFonts w:eastAsia="Times New Roman"/>
                <w:sz w:val="18"/>
                <w:szCs w:val="18"/>
              </w:rPr>
            </w:pPr>
            <w:r>
              <w:rPr>
                <w:rFonts w:eastAsia="Times New Roman"/>
                <w:sz w:val="18"/>
                <w:szCs w:val="18"/>
              </w:rPr>
              <w:t>C11-C22(30048)</w:t>
            </w:r>
          </w:p>
        </w:tc>
        <w:tc>
          <w:tcPr>
            <w:tcW w:w="800" w:type="dxa"/>
            <w:tcBorders>
              <w:top w:val="nil"/>
              <w:left w:val="single" w:sz="8" w:space="0" w:color="auto"/>
              <w:bottom w:val="single" w:sz="12" w:space="0" w:color="auto"/>
              <w:right w:val="single" w:sz="8" w:space="0" w:color="auto"/>
            </w:tcBorders>
            <w:vAlign w:val="center"/>
          </w:tcPr>
          <w:p w14:paraId="32ABA80B" w14:textId="3FBD576C" w:rsidR="00F67228" w:rsidRDefault="00A43152" w:rsidP="00A43152">
            <w:pPr>
              <w:jc w:val="center"/>
              <w:rPr>
                <w:rFonts w:eastAsia="Times New Roman"/>
                <w:sz w:val="18"/>
                <w:szCs w:val="18"/>
              </w:rPr>
            </w:pPr>
            <w:r>
              <w:rPr>
                <w:rFonts w:eastAsia="Times New Roman"/>
                <w:sz w:val="18"/>
                <w:szCs w:val="18"/>
              </w:rPr>
              <w:t>0.2 mg/L</w:t>
            </w:r>
          </w:p>
        </w:tc>
        <w:tc>
          <w:tcPr>
            <w:tcW w:w="1700" w:type="dxa"/>
            <w:tcBorders>
              <w:top w:val="nil"/>
              <w:left w:val="single" w:sz="8" w:space="0" w:color="auto"/>
              <w:bottom w:val="single" w:sz="12" w:space="0" w:color="auto"/>
              <w:right w:val="single" w:sz="8" w:space="0" w:color="auto"/>
            </w:tcBorders>
            <w:vAlign w:val="center"/>
          </w:tcPr>
          <w:p w14:paraId="7E5A795F" w14:textId="6EA95F7C" w:rsidR="00F67228" w:rsidRDefault="00F67228" w:rsidP="00A43152">
            <w:pPr>
              <w:jc w:val="center"/>
              <w:rPr>
                <w:rFonts w:eastAsia="Times New Roman"/>
                <w:sz w:val="18"/>
                <w:szCs w:val="18"/>
              </w:rPr>
            </w:pPr>
            <w:r>
              <w:rPr>
                <w:rFonts w:eastAsia="Times New Roman"/>
                <w:sz w:val="18"/>
                <w:szCs w:val="18"/>
              </w:rPr>
              <w:t>1000</w:t>
            </w:r>
          </w:p>
        </w:tc>
        <w:tc>
          <w:tcPr>
            <w:tcW w:w="1620" w:type="dxa"/>
            <w:tcBorders>
              <w:top w:val="nil"/>
              <w:left w:val="single" w:sz="8" w:space="0" w:color="auto"/>
              <w:bottom w:val="single" w:sz="12" w:space="0" w:color="auto"/>
            </w:tcBorders>
            <w:vAlign w:val="center"/>
          </w:tcPr>
          <w:p w14:paraId="6FEF275F" w14:textId="09FB9CD2" w:rsidR="00F67228" w:rsidRDefault="00A25822" w:rsidP="00A43152">
            <w:pPr>
              <w:jc w:val="center"/>
              <w:rPr>
                <w:rFonts w:eastAsia="Times New Roman"/>
                <w:sz w:val="18"/>
                <w:szCs w:val="18"/>
              </w:rPr>
            </w:pPr>
            <w:r>
              <w:rPr>
                <w:rFonts w:eastAsia="Times New Roman"/>
                <w:sz w:val="18"/>
                <w:szCs w:val="18"/>
              </w:rPr>
              <w:t>200</w:t>
            </w:r>
            <w:r w:rsidR="00A43152">
              <w:rPr>
                <w:rFonts w:eastAsia="Times New Roman"/>
                <w:sz w:val="18"/>
                <w:szCs w:val="18"/>
              </w:rPr>
              <w:t xml:space="preserve"> ppb</w:t>
            </w:r>
          </w:p>
        </w:tc>
        <w:tc>
          <w:tcPr>
            <w:tcW w:w="2440" w:type="dxa"/>
            <w:vMerge/>
            <w:tcBorders>
              <w:top w:val="nil"/>
              <w:bottom w:val="single" w:sz="12" w:space="0" w:color="auto"/>
            </w:tcBorders>
          </w:tcPr>
          <w:p w14:paraId="44C65D13" w14:textId="77777777" w:rsidR="00F67228" w:rsidRDefault="00F67228" w:rsidP="00632A83">
            <w:pPr>
              <w:ind w:left="40"/>
              <w:rPr>
                <w:rFonts w:eastAsia="Times New Roman"/>
                <w:sz w:val="18"/>
                <w:szCs w:val="18"/>
              </w:rPr>
            </w:pPr>
          </w:p>
        </w:tc>
        <w:tc>
          <w:tcPr>
            <w:tcW w:w="2320" w:type="dxa"/>
            <w:vMerge/>
            <w:tcBorders>
              <w:bottom w:val="single" w:sz="12" w:space="0" w:color="auto"/>
            </w:tcBorders>
          </w:tcPr>
          <w:p w14:paraId="08ED7B98" w14:textId="77777777" w:rsidR="00F67228" w:rsidRDefault="00F67228" w:rsidP="00632A83">
            <w:pPr>
              <w:ind w:left="40"/>
              <w:rPr>
                <w:rFonts w:eastAsia="Times New Roman"/>
                <w:sz w:val="18"/>
                <w:szCs w:val="18"/>
              </w:rPr>
            </w:pPr>
          </w:p>
        </w:tc>
      </w:tr>
    </w:tbl>
    <w:p w14:paraId="281A5290" w14:textId="77777777" w:rsidR="004647B9" w:rsidRDefault="004647B9">
      <w:pPr>
        <w:sectPr w:rsidR="004647B9" w:rsidSect="00EF630C">
          <w:pgSz w:w="12240" w:h="20180"/>
          <w:pgMar w:top="708" w:right="480" w:bottom="1440" w:left="600" w:header="0" w:footer="0" w:gutter="0"/>
          <w:cols w:space="720"/>
        </w:sectPr>
      </w:pPr>
    </w:p>
    <w:p w14:paraId="281A5291" w14:textId="1834DBF4" w:rsidR="004647B9" w:rsidRDefault="00E2436F">
      <w:pPr>
        <w:tabs>
          <w:tab w:val="left" w:pos="5620"/>
        </w:tabs>
        <w:ind w:right="2640"/>
        <w:jc w:val="right"/>
        <w:rPr>
          <w:sz w:val="20"/>
          <w:szCs w:val="20"/>
        </w:rPr>
      </w:pPr>
      <w:r>
        <w:rPr>
          <w:rFonts w:eastAsia="Times New Roman"/>
          <w:sz w:val="24"/>
          <w:szCs w:val="24"/>
        </w:rPr>
        <w:lastRenderedPageBreak/>
        <w:t>310 CMR:</w:t>
      </w:r>
      <w:r w:rsidR="005A3B49">
        <w:rPr>
          <w:sz w:val="20"/>
          <w:szCs w:val="20"/>
        </w:rPr>
        <w:t xml:space="preserve">  </w:t>
      </w:r>
      <w:r>
        <w:rPr>
          <w:rFonts w:eastAsia="Times New Roman"/>
          <w:sz w:val="23"/>
          <w:szCs w:val="23"/>
        </w:rPr>
        <w:t>DEPARTMENT OF ENVIRONMENTAL PROTECTION</w:t>
      </w:r>
    </w:p>
    <w:p w14:paraId="281A5292" w14:textId="77777777" w:rsidR="004647B9" w:rsidRDefault="004647B9" w:rsidP="005455D4">
      <w:pPr>
        <w:rPr>
          <w:sz w:val="20"/>
          <w:szCs w:val="20"/>
        </w:rPr>
      </w:pPr>
    </w:p>
    <w:p w14:paraId="6CA0DC4E" w14:textId="77777777" w:rsidR="005455D4" w:rsidRDefault="005455D4" w:rsidP="005455D4">
      <w:pPr>
        <w:rPr>
          <w:sz w:val="20"/>
          <w:szCs w:val="20"/>
        </w:rPr>
      </w:pPr>
    </w:p>
    <w:p w14:paraId="281A5293" w14:textId="77777777" w:rsidR="004647B9" w:rsidRPr="005455D4" w:rsidRDefault="00E2436F" w:rsidP="005455D4">
      <w:pPr>
        <w:tabs>
          <w:tab w:val="left" w:pos="940"/>
        </w:tabs>
        <w:rPr>
          <w:sz w:val="24"/>
          <w:szCs w:val="24"/>
        </w:rPr>
      </w:pPr>
      <w:r w:rsidRPr="005455D4">
        <w:rPr>
          <w:rFonts w:eastAsia="Times New Roman"/>
          <w:sz w:val="24"/>
          <w:szCs w:val="24"/>
        </w:rPr>
        <w:t>22.16A:</w:t>
      </w:r>
      <w:r w:rsidRPr="005455D4">
        <w:rPr>
          <w:sz w:val="24"/>
          <w:szCs w:val="24"/>
        </w:rPr>
        <w:tab/>
      </w:r>
      <w:r w:rsidRPr="005455D4">
        <w:rPr>
          <w:rFonts w:eastAsia="Times New Roman"/>
          <w:sz w:val="24"/>
          <w:szCs w:val="24"/>
        </w:rPr>
        <w:t>continued</w:t>
      </w:r>
    </w:p>
    <w:p w14:paraId="281A5294" w14:textId="606B3D6A" w:rsidR="004647B9" w:rsidRPr="00BD4A3A" w:rsidRDefault="004647B9" w:rsidP="005455D4">
      <w:pPr>
        <w:rPr>
          <w:sz w:val="24"/>
          <w:szCs w:val="24"/>
        </w:rPr>
      </w:pPr>
    </w:p>
    <w:tbl>
      <w:tblPr>
        <w:tblW w:w="11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BD4A3A" w14:paraId="58AD3536" w14:textId="77777777" w:rsidTr="00DF6443">
        <w:trPr>
          <w:trHeight w:val="755"/>
        </w:trPr>
        <w:tc>
          <w:tcPr>
            <w:tcW w:w="2280" w:type="dxa"/>
            <w:vAlign w:val="center"/>
          </w:tcPr>
          <w:p w14:paraId="07A5B3E7" w14:textId="77777777" w:rsidR="00BD4A3A" w:rsidRDefault="00BD4A3A" w:rsidP="00DF6443">
            <w:pPr>
              <w:rPr>
                <w:sz w:val="20"/>
                <w:szCs w:val="20"/>
              </w:rPr>
            </w:pPr>
            <w:r>
              <w:rPr>
                <w:rFonts w:eastAsia="Times New Roman"/>
                <w:sz w:val="18"/>
                <w:szCs w:val="18"/>
              </w:rPr>
              <w:t>Chemical</w:t>
            </w:r>
          </w:p>
          <w:p w14:paraId="7AF34AAE" w14:textId="678D4E77" w:rsidR="00BD4A3A" w:rsidRDefault="00BD4A3A" w:rsidP="00DF6443">
            <w:pPr>
              <w:rPr>
                <w:sz w:val="24"/>
                <w:szCs w:val="24"/>
              </w:rPr>
            </w:pPr>
            <w:r>
              <w:rPr>
                <w:rFonts w:eastAsia="Times New Roman"/>
                <w:sz w:val="18"/>
                <w:szCs w:val="18"/>
              </w:rPr>
              <w:t>(CASRN)</w:t>
            </w:r>
          </w:p>
        </w:tc>
        <w:tc>
          <w:tcPr>
            <w:tcW w:w="800" w:type="dxa"/>
            <w:vAlign w:val="center"/>
          </w:tcPr>
          <w:p w14:paraId="6284E407" w14:textId="77777777" w:rsidR="00BD4A3A" w:rsidRDefault="00BD4A3A" w:rsidP="00DF6443">
            <w:pPr>
              <w:jc w:val="center"/>
              <w:rPr>
                <w:sz w:val="20"/>
                <w:szCs w:val="20"/>
              </w:rPr>
            </w:pPr>
            <w:r>
              <w:rPr>
                <w:rFonts w:eastAsia="Times New Roman"/>
                <w:sz w:val="18"/>
                <w:szCs w:val="18"/>
              </w:rPr>
              <w:t>ORSG</w:t>
            </w:r>
          </w:p>
        </w:tc>
        <w:tc>
          <w:tcPr>
            <w:tcW w:w="1700" w:type="dxa"/>
            <w:vAlign w:val="center"/>
          </w:tcPr>
          <w:p w14:paraId="1F2CD343" w14:textId="77777777" w:rsidR="00BD4A3A" w:rsidRDefault="00BD4A3A" w:rsidP="00DF6443">
            <w:pPr>
              <w:jc w:val="center"/>
              <w:rPr>
                <w:sz w:val="20"/>
                <w:szCs w:val="20"/>
              </w:rPr>
            </w:pPr>
            <w:r>
              <w:rPr>
                <w:rFonts w:eastAsia="Times New Roman"/>
                <w:sz w:val="18"/>
                <w:szCs w:val="18"/>
              </w:rPr>
              <w:t>To convert for CCR, multiply by</w:t>
            </w:r>
          </w:p>
        </w:tc>
        <w:tc>
          <w:tcPr>
            <w:tcW w:w="1620" w:type="dxa"/>
            <w:vAlign w:val="center"/>
          </w:tcPr>
          <w:p w14:paraId="15B16857" w14:textId="77777777" w:rsidR="00BD4A3A" w:rsidRDefault="00BD4A3A" w:rsidP="00DF6443">
            <w:pPr>
              <w:jc w:val="center"/>
              <w:rPr>
                <w:sz w:val="20"/>
                <w:szCs w:val="20"/>
              </w:rPr>
            </w:pPr>
            <w:r>
              <w:rPr>
                <w:rFonts w:eastAsia="Times New Roman"/>
                <w:sz w:val="18"/>
                <w:szCs w:val="18"/>
              </w:rPr>
              <w:t>ORSG in CCR units</w:t>
            </w:r>
          </w:p>
        </w:tc>
        <w:tc>
          <w:tcPr>
            <w:tcW w:w="2440" w:type="dxa"/>
            <w:vAlign w:val="center"/>
          </w:tcPr>
          <w:p w14:paraId="51FC9185" w14:textId="77777777" w:rsidR="00BD4A3A" w:rsidRDefault="00BD4A3A" w:rsidP="00DF6443">
            <w:pPr>
              <w:jc w:val="center"/>
              <w:rPr>
                <w:sz w:val="20"/>
                <w:szCs w:val="20"/>
              </w:rPr>
            </w:pPr>
            <w:r>
              <w:rPr>
                <w:rFonts w:eastAsia="Times New Roman"/>
                <w:sz w:val="18"/>
                <w:szCs w:val="18"/>
              </w:rPr>
              <w:t>Source to Drinking Water</w:t>
            </w:r>
          </w:p>
        </w:tc>
        <w:tc>
          <w:tcPr>
            <w:tcW w:w="2320" w:type="dxa"/>
            <w:vAlign w:val="center"/>
          </w:tcPr>
          <w:p w14:paraId="616772D5" w14:textId="77777777" w:rsidR="00BD4A3A" w:rsidRDefault="00BD4A3A" w:rsidP="00DF6443">
            <w:pPr>
              <w:jc w:val="center"/>
              <w:rPr>
                <w:sz w:val="20"/>
                <w:szCs w:val="20"/>
              </w:rPr>
            </w:pPr>
            <w:r>
              <w:rPr>
                <w:rFonts w:eastAsia="Times New Roman"/>
                <w:sz w:val="18"/>
                <w:szCs w:val="18"/>
              </w:rPr>
              <w:t>Health Effects</w:t>
            </w:r>
          </w:p>
        </w:tc>
      </w:tr>
      <w:tr w:rsidR="00CF32A3" w14:paraId="449F9C3E" w14:textId="77777777" w:rsidTr="00BD4A3A">
        <w:trPr>
          <w:trHeight w:val="1055"/>
        </w:trPr>
        <w:tc>
          <w:tcPr>
            <w:tcW w:w="2280" w:type="dxa"/>
            <w:vAlign w:val="center"/>
          </w:tcPr>
          <w:p w14:paraId="1E7990F8" w14:textId="77777777" w:rsidR="00CF32A3" w:rsidRDefault="00CF32A3" w:rsidP="00CF32A3">
            <w:pPr>
              <w:ind w:left="60"/>
              <w:rPr>
                <w:sz w:val="20"/>
                <w:szCs w:val="20"/>
              </w:rPr>
            </w:pPr>
            <w:r>
              <w:rPr>
                <w:rFonts w:eastAsia="Times New Roman"/>
                <w:sz w:val="18"/>
                <w:szCs w:val="18"/>
              </w:rPr>
              <w:t>Propachlor</w:t>
            </w:r>
          </w:p>
          <w:p w14:paraId="48559275" w14:textId="38BB3969" w:rsidR="00CF32A3" w:rsidRDefault="00CF32A3" w:rsidP="00CF32A3">
            <w:pPr>
              <w:ind w:left="60"/>
              <w:rPr>
                <w:rFonts w:eastAsia="Times New Roman"/>
                <w:sz w:val="18"/>
                <w:szCs w:val="18"/>
              </w:rPr>
            </w:pPr>
            <w:r>
              <w:rPr>
                <w:rFonts w:eastAsia="Times New Roman"/>
                <w:sz w:val="18"/>
                <w:szCs w:val="18"/>
              </w:rPr>
              <w:t>(1918167)</w:t>
            </w:r>
          </w:p>
        </w:tc>
        <w:tc>
          <w:tcPr>
            <w:tcW w:w="800" w:type="dxa"/>
            <w:vAlign w:val="center"/>
          </w:tcPr>
          <w:p w14:paraId="15E0776F" w14:textId="01963748" w:rsidR="00CF32A3" w:rsidRDefault="00CF32A3" w:rsidP="00CF32A3">
            <w:pPr>
              <w:jc w:val="center"/>
              <w:rPr>
                <w:rFonts w:eastAsia="Times New Roman"/>
                <w:sz w:val="18"/>
                <w:szCs w:val="18"/>
              </w:rPr>
            </w:pPr>
            <w:r>
              <w:rPr>
                <w:rFonts w:eastAsia="Times New Roman"/>
                <w:sz w:val="18"/>
                <w:szCs w:val="18"/>
              </w:rPr>
              <w:t>*</w:t>
            </w:r>
          </w:p>
        </w:tc>
        <w:tc>
          <w:tcPr>
            <w:tcW w:w="1700" w:type="dxa"/>
            <w:vAlign w:val="center"/>
          </w:tcPr>
          <w:p w14:paraId="5F52AA80" w14:textId="7AD3793A" w:rsidR="00CF32A3" w:rsidRDefault="00CF32A3" w:rsidP="00CF32A3">
            <w:pPr>
              <w:jc w:val="center"/>
              <w:rPr>
                <w:rFonts w:eastAsia="Times New Roman"/>
                <w:w w:val="99"/>
                <w:sz w:val="18"/>
                <w:szCs w:val="18"/>
              </w:rPr>
            </w:pPr>
            <w:r>
              <w:rPr>
                <w:rFonts w:eastAsia="Times New Roman"/>
                <w:w w:val="99"/>
                <w:sz w:val="18"/>
                <w:szCs w:val="18"/>
              </w:rPr>
              <w:t>-</w:t>
            </w:r>
          </w:p>
        </w:tc>
        <w:tc>
          <w:tcPr>
            <w:tcW w:w="1620" w:type="dxa"/>
            <w:vAlign w:val="center"/>
          </w:tcPr>
          <w:p w14:paraId="0163CDCA" w14:textId="1DDEAF7E" w:rsidR="00CF32A3" w:rsidRDefault="00CF32A3" w:rsidP="00CF32A3">
            <w:pPr>
              <w:jc w:val="center"/>
              <w:rPr>
                <w:rFonts w:eastAsia="Times New Roman"/>
                <w:w w:val="99"/>
                <w:sz w:val="18"/>
                <w:szCs w:val="18"/>
              </w:rPr>
            </w:pPr>
            <w:r>
              <w:rPr>
                <w:rFonts w:eastAsia="Times New Roman"/>
                <w:w w:val="99"/>
                <w:sz w:val="18"/>
                <w:szCs w:val="18"/>
              </w:rPr>
              <w:t>-</w:t>
            </w:r>
          </w:p>
        </w:tc>
        <w:tc>
          <w:tcPr>
            <w:tcW w:w="2440" w:type="dxa"/>
          </w:tcPr>
          <w:p w14:paraId="6CDA7753" w14:textId="02FF38BD" w:rsidR="00CF32A3" w:rsidRDefault="00CF32A3" w:rsidP="00CF32A3">
            <w:pPr>
              <w:spacing w:line="360" w:lineRule="auto"/>
              <w:ind w:left="40"/>
              <w:rPr>
                <w:rFonts w:eastAsia="Times New Roman"/>
                <w:sz w:val="18"/>
                <w:szCs w:val="18"/>
              </w:rPr>
            </w:pPr>
            <w:r>
              <w:rPr>
                <w:rFonts w:eastAsia="Times New Roman"/>
                <w:sz w:val="18"/>
                <w:szCs w:val="18"/>
              </w:rPr>
              <w:t>Runoff from use as a herbicide</w:t>
            </w:r>
          </w:p>
        </w:tc>
        <w:tc>
          <w:tcPr>
            <w:tcW w:w="2320" w:type="dxa"/>
          </w:tcPr>
          <w:p w14:paraId="1420AD28" w14:textId="14305479" w:rsidR="00CF32A3" w:rsidRDefault="00CF32A3" w:rsidP="00CF32A3">
            <w:pPr>
              <w:spacing w:line="360" w:lineRule="auto"/>
              <w:ind w:right="140"/>
              <w:rPr>
                <w:rFonts w:eastAsia="Times New Roman"/>
                <w:sz w:val="18"/>
                <w:szCs w:val="18"/>
              </w:rPr>
            </w:pPr>
            <w:r>
              <w:rPr>
                <w:rFonts w:eastAsia="Times New Roman"/>
                <w:sz w:val="18"/>
                <w:szCs w:val="18"/>
              </w:rPr>
              <w:t>Some people who drink water containing propachlor at high concentrations for many years could experience liver effects.</w:t>
            </w:r>
          </w:p>
        </w:tc>
      </w:tr>
      <w:tr w:rsidR="00CF32A3" w14:paraId="55DE7E61" w14:textId="77777777" w:rsidTr="00BD4A3A">
        <w:trPr>
          <w:trHeight w:val="1055"/>
        </w:trPr>
        <w:tc>
          <w:tcPr>
            <w:tcW w:w="2280" w:type="dxa"/>
            <w:vAlign w:val="center"/>
          </w:tcPr>
          <w:p w14:paraId="1D256713" w14:textId="77777777" w:rsidR="00CF32A3" w:rsidRDefault="00CF32A3" w:rsidP="00CF32A3">
            <w:pPr>
              <w:ind w:left="60"/>
              <w:rPr>
                <w:sz w:val="20"/>
                <w:szCs w:val="20"/>
              </w:rPr>
            </w:pPr>
            <w:r>
              <w:rPr>
                <w:rFonts w:eastAsia="Times New Roman"/>
                <w:sz w:val="18"/>
                <w:szCs w:val="18"/>
              </w:rPr>
              <w:t>n-propylbenzene</w:t>
            </w:r>
          </w:p>
          <w:p w14:paraId="0834AFC0" w14:textId="3EF00876" w:rsidR="00CF32A3" w:rsidRDefault="00CF32A3" w:rsidP="00CF32A3">
            <w:pPr>
              <w:ind w:left="60"/>
              <w:rPr>
                <w:rFonts w:eastAsia="Times New Roman"/>
                <w:sz w:val="18"/>
                <w:szCs w:val="18"/>
              </w:rPr>
            </w:pPr>
            <w:r>
              <w:rPr>
                <w:rFonts w:eastAsia="Times New Roman"/>
                <w:sz w:val="18"/>
                <w:szCs w:val="18"/>
              </w:rPr>
              <w:t>(103651)</w:t>
            </w:r>
          </w:p>
        </w:tc>
        <w:tc>
          <w:tcPr>
            <w:tcW w:w="800" w:type="dxa"/>
            <w:vAlign w:val="center"/>
          </w:tcPr>
          <w:p w14:paraId="6847154A" w14:textId="1981786D" w:rsidR="00CF32A3" w:rsidRDefault="00CF32A3" w:rsidP="00CF32A3">
            <w:pPr>
              <w:jc w:val="center"/>
              <w:rPr>
                <w:rFonts w:eastAsia="Times New Roman"/>
                <w:sz w:val="18"/>
                <w:szCs w:val="18"/>
              </w:rPr>
            </w:pPr>
            <w:r>
              <w:rPr>
                <w:rFonts w:eastAsia="Times New Roman"/>
                <w:sz w:val="18"/>
                <w:szCs w:val="18"/>
              </w:rPr>
              <w:t>*</w:t>
            </w:r>
          </w:p>
        </w:tc>
        <w:tc>
          <w:tcPr>
            <w:tcW w:w="1700" w:type="dxa"/>
            <w:vAlign w:val="center"/>
          </w:tcPr>
          <w:p w14:paraId="0A08AF19" w14:textId="16F5B41C" w:rsidR="00CF32A3" w:rsidRDefault="00CF32A3" w:rsidP="00CF32A3">
            <w:pPr>
              <w:jc w:val="center"/>
              <w:rPr>
                <w:rFonts w:eastAsia="Times New Roman"/>
                <w:w w:val="99"/>
                <w:sz w:val="18"/>
                <w:szCs w:val="18"/>
              </w:rPr>
            </w:pPr>
            <w:r>
              <w:rPr>
                <w:rFonts w:eastAsia="Times New Roman"/>
                <w:w w:val="99"/>
                <w:sz w:val="18"/>
                <w:szCs w:val="18"/>
              </w:rPr>
              <w:t>-</w:t>
            </w:r>
          </w:p>
        </w:tc>
        <w:tc>
          <w:tcPr>
            <w:tcW w:w="1620" w:type="dxa"/>
            <w:vAlign w:val="center"/>
          </w:tcPr>
          <w:p w14:paraId="0A320530" w14:textId="6B0B46B9" w:rsidR="00CF32A3" w:rsidRDefault="00CF32A3" w:rsidP="00CF32A3">
            <w:pPr>
              <w:jc w:val="center"/>
              <w:rPr>
                <w:rFonts w:eastAsia="Times New Roman"/>
                <w:w w:val="99"/>
                <w:sz w:val="18"/>
                <w:szCs w:val="18"/>
              </w:rPr>
            </w:pPr>
            <w:r>
              <w:rPr>
                <w:rFonts w:eastAsia="Times New Roman"/>
                <w:w w:val="99"/>
                <w:sz w:val="18"/>
                <w:szCs w:val="18"/>
              </w:rPr>
              <w:t>-</w:t>
            </w:r>
          </w:p>
        </w:tc>
        <w:tc>
          <w:tcPr>
            <w:tcW w:w="2440" w:type="dxa"/>
          </w:tcPr>
          <w:p w14:paraId="3BFDB145" w14:textId="2AA51C06" w:rsidR="00CF32A3" w:rsidRDefault="00CF32A3" w:rsidP="00CF32A3">
            <w:pPr>
              <w:spacing w:line="360" w:lineRule="auto"/>
              <w:ind w:left="40"/>
              <w:rPr>
                <w:rFonts w:eastAsia="Times New Roman"/>
                <w:sz w:val="18"/>
                <w:szCs w:val="18"/>
              </w:rPr>
            </w:pPr>
            <w:r>
              <w:rPr>
                <w:rFonts w:eastAsia="Times New Roman"/>
                <w:sz w:val="18"/>
                <w:szCs w:val="18"/>
              </w:rPr>
              <w:t>Discharge from chemical manufacturing</w:t>
            </w:r>
          </w:p>
        </w:tc>
        <w:tc>
          <w:tcPr>
            <w:tcW w:w="2320" w:type="dxa"/>
          </w:tcPr>
          <w:p w14:paraId="0E866BB4" w14:textId="1B30CC8D" w:rsidR="00CF32A3" w:rsidRDefault="00CF32A3" w:rsidP="00CF32A3">
            <w:pPr>
              <w:spacing w:line="360" w:lineRule="auto"/>
              <w:ind w:right="140"/>
              <w:rPr>
                <w:rFonts w:eastAsia="Times New Roman"/>
                <w:sz w:val="18"/>
                <w:szCs w:val="18"/>
              </w:rPr>
            </w:pPr>
            <w:r>
              <w:rPr>
                <w:rFonts w:eastAsia="Times New Roman"/>
                <w:sz w:val="18"/>
                <w:szCs w:val="18"/>
              </w:rPr>
              <w:t>Some people who drink water containing n-propylbenzene at high concentrations for many years may experience central nervous system effects.</w:t>
            </w:r>
          </w:p>
        </w:tc>
      </w:tr>
      <w:tr w:rsidR="00CF32A3" w14:paraId="62C3360C" w14:textId="77777777" w:rsidTr="00BD4A3A">
        <w:trPr>
          <w:trHeight w:val="1055"/>
        </w:trPr>
        <w:tc>
          <w:tcPr>
            <w:tcW w:w="2280" w:type="dxa"/>
            <w:vAlign w:val="center"/>
          </w:tcPr>
          <w:p w14:paraId="3A2403CE" w14:textId="77777777" w:rsidR="00CF32A3" w:rsidRDefault="00CF32A3" w:rsidP="00CF32A3">
            <w:pPr>
              <w:ind w:left="60"/>
              <w:rPr>
                <w:sz w:val="20"/>
                <w:szCs w:val="20"/>
              </w:rPr>
            </w:pPr>
            <w:r>
              <w:rPr>
                <w:rFonts w:eastAsia="Times New Roman"/>
                <w:sz w:val="18"/>
                <w:szCs w:val="18"/>
              </w:rPr>
              <w:t>Radon-222</w:t>
            </w:r>
          </w:p>
          <w:p w14:paraId="7E526B05" w14:textId="12B2D3B9" w:rsidR="00CF32A3" w:rsidRDefault="00CF32A3" w:rsidP="00CF32A3">
            <w:pPr>
              <w:ind w:left="60"/>
              <w:rPr>
                <w:rFonts w:eastAsia="Times New Roman"/>
                <w:sz w:val="18"/>
                <w:szCs w:val="18"/>
              </w:rPr>
            </w:pPr>
            <w:r>
              <w:rPr>
                <w:rFonts w:eastAsia="Times New Roman"/>
                <w:sz w:val="18"/>
                <w:szCs w:val="18"/>
              </w:rPr>
              <w:t>(14869677)</w:t>
            </w:r>
          </w:p>
        </w:tc>
        <w:tc>
          <w:tcPr>
            <w:tcW w:w="800" w:type="dxa"/>
            <w:vAlign w:val="center"/>
          </w:tcPr>
          <w:p w14:paraId="3AE09893" w14:textId="71712A89" w:rsidR="00CF32A3" w:rsidRDefault="00CF32A3" w:rsidP="00CF32A3">
            <w:pPr>
              <w:jc w:val="center"/>
              <w:rPr>
                <w:rFonts w:eastAsia="Times New Roman"/>
                <w:sz w:val="18"/>
                <w:szCs w:val="18"/>
              </w:rPr>
            </w:pPr>
            <w:r>
              <w:rPr>
                <w:rFonts w:eastAsia="Times New Roman"/>
                <w:sz w:val="18"/>
                <w:szCs w:val="18"/>
              </w:rPr>
              <w:t>10,000 pCi/L</w:t>
            </w:r>
          </w:p>
        </w:tc>
        <w:tc>
          <w:tcPr>
            <w:tcW w:w="1700" w:type="dxa"/>
            <w:vAlign w:val="center"/>
          </w:tcPr>
          <w:p w14:paraId="554A1FAF" w14:textId="1D79AACE" w:rsidR="00CF32A3" w:rsidRDefault="00CF32A3" w:rsidP="00CF32A3">
            <w:pPr>
              <w:jc w:val="center"/>
              <w:rPr>
                <w:rFonts w:eastAsia="Times New Roman"/>
                <w:w w:val="99"/>
                <w:sz w:val="18"/>
                <w:szCs w:val="18"/>
              </w:rPr>
            </w:pPr>
            <w:r>
              <w:rPr>
                <w:rFonts w:eastAsia="Times New Roman"/>
                <w:w w:val="99"/>
                <w:sz w:val="18"/>
                <w:szCs w:val="18"/>
              </w:rPr>
              <w:t>-</w:t>
            </w:r>
          </w:p>
        </w:tc>
        <w:tc>
          <w:tcPr>
            <w:tcW w:w="1620" w:type="dxa"/>
            <w:vAlign w:val="center"/>
          </w:tcPr>
          <w:p w14:paraId="17AE6613" w14:textId="5F9A5D00" w:rsidR="00CF32A3" w:rsidRDefault="00CF32A3" w:rsidP="00CF32A3">
            <w:pPr>
              <w:jc w:val="center"/>
              <w:rPr>
                <w:rFonts w:eastAsia="Times New Roman"/>
                <w:w w:val="99"/>
                <w:sz w:val="18"/>
                <w:szCs w:val="18"/>
              </w:rPr>
            </w:pPr>
            <w:r>
              <w:rPr>
                <w:rFonts w:eastAsia="Times New Roman"/>
                <w:sz w:val="18"/>
                <w:szCs w:val="18"/>
              </w:rPr>
              <w:t>10,000 pCi/L</w:t>
            </w:r>
          </w:p>
        </w:tc>
        <w:tc>
          <w:tcPr>
            <w:tcW w:w="2440" w:type="dxa"/>
          </w:tcPr>
          <w:p w14:paraId="188EB727" w14:textId="3FEEC3BC" w:rsidR="00CF32A3" w:rsidRDefault="00CF32A3" w:rsidP="00CF32A3">
            <w:pPr>
              <w:spacing w:line="360" w:lineRule="auto"/>
              <w:ind w:left="40"/>
              <w:rPr>
                <w:rFonts w:eastAsia="Times New Roman"/>
                <w:sz w:val="18"/>
                <w:szCs w:val="18"/>
              </w:rPr>
            </w:pPr>
            <w:r>
              <w:rPr>
                <w:rFonts w:eastAsia="Times New Roman"/>
                <w:sz w:val="18"/>
                <w:szCs w:val="18"/>
              </w:rPr>
              <w:t>Natural sources</w:t>
            </w:r>
          </w:p>
        </w:tc>
        <w:tc>
          <w:tcPr>
            <w:tcW w:w="2320" w:type="dxa"/>
          </w:tcPr>
          <w:p w14:paraId="36151B40" w14:textId="45D7CB01" w:rsidR="00CF32A3" w:rsidRDefault="00CF32A3" w:rsidP="00CF32A3">
            <w:pPr>
              <w:spacing w:line="360" w:lineRule="auto"/>
              <w:ind w:right="140"/>
              <w:rPr>
                <w:rFonts w:eastAsia="Times New Roman"/>
                <w:sz w:val="18"/>
                <w:szCs w:val="18"/>
              </w:rPr>
            </w:pPr>
            <w:r>
              <w:rPr>
                <w:rFonts w:eastAsia="Times New Roman"/>
                <w:sz w:val="18"/>
                <w:szCs w:val="18"/>
              </w:rPr>
              <w:t>Some people who drink water containing radon-222 at high concentrations for many years could experience cancer of the lung.</w:t>
            </w:r>
          </w:p>
        </w:tc>
      </w:tr>
      <w:tr w:rsidR="00BD4A3A" w14:paraId="2598D6AD" w14:textId="77777777" w:rsidTr="00BD4A3A">
        <w:trPr>
          <w:trHeight w:val="1055"/>
        </w:trPr>
        <w:tc>
          <w:tcPr>
            <w:tcW w:w="2280" w:type="dxa"/>
            <w:vAlign w:val="center"/>
          </w:tcPr>
          <w:p w14:paraId="1544769A" w14:textId="77777777" w:rsidR="00BD4A3A" w:rsidRDefault="00BD4A3A" w:rsidP="00BD4A3A">
            <w:pPr>
              <w:ind w:left="60"/>
              <w:rPr>
                <w:sz w:val="20"/>
                <w:szCs w:val="20"/>
              </w:rPr>
            </w:pPr>
            <w:r>
              <w:rPr>
                <w:rFonts w:eastAsia="Times New Roman"/>
                <w:sz w:val="18"/>
                <w:szCs w:val="18"/>
              </w:rPr>
              <w:t>Sodium</w:t>
            </w:r>
          </w:p>
          <w:p w14:paraId="1A740F19" w14:textId="7E869EE6" w:rsidR="00BD4A3A" w:rsidRDefault="00BD4A3A" w:rsidP="00BD4A3A">
            <w:pPr>
              <w:rPr>
                <w:sz w:val="20"/>
                <w:szCs w:val="20"/>
              </w:rPr>
            </w:pPr>
            <w:r>
              <w:rPr>
                <w:rFonts w:eastAsia="Times New Roman"/>
                <w:sz w:val="18"/>
                <w:szCs w:val="18"/>
              </w:rPr>
              <w:t>(7440235)</w:t>
            </w:r>
          </w:p>
        </w:tc>
        <w:tc>
          <w:tcPr>
            <w:tcW w:w="800" w:type="dxa"/>
            <w:vAlign w:val="center"/>
          </w:tcPr>
          <w:p w14:paraId="7173F7EA" w14:textId="1B64D39B" w:rsidR="00BD4A3A" w:rsidRDefault="00BD4A3A" w:rsidP="00BD4A3A">
            <w:pPr>
              <w:jc w:val="center"/>
              <w:rPr>
                <w:sz w:val="20"/>
                <w:szCs w:val="20"/>
              </w:rPr>
            </w:pPr>
            <w:r>
              <w:rPr>
                <w:rFonts w:eastAsia="Times New Roman"/>
                <w:sz w:val="18"/>
                <w:szCs w:val="18"/>
              </w:rPr>
              <w:t>20 mg/L</w:t>
            </w:r>
          </w:p>
        </w:tc>
        <w:tc>
          <w:tcPr>
            <w:tcW w:w="1700" w:type="dxa"/>
            <w:vAlign w:val="center"/>
          </w:tcPr>
          <w:p w14:paraId="08FAB0F1" w14:textId="77777777" w:rsidR="00BD4A3A" w:rsidRDefault="00BD4A3A" w:rsidP="00BD4A3A">
            <w:pPr>
              <w:jc w:val="center"/>
              <w:rPr>
                <w:sz w:val="20"/>
                <w:szCs w:val="20"/>
              </w:rPr>
            </w:pPr>
            <w:r>
              <w:rPr>
                <w:rFonts w:eastAsia="Times New Roman"/>
                <w:w w:val="99"/>
                <w:sz w:val="18"/>
                <w:szCs w:val="18"/>
              </w:rPr>
              <w:t>-</w:t>
            </w:r>
          </w:p>
        </w:tc>
        <w:tc>
          <w:tcPr>
            <w:tcW w:w="1620" w:type="dxa"/>
            <w:vAlign w:val="center"/>
          </w:tcPr>
          <w:p w14:paraId="1462B471" w14:textId="6A785578" w:rsidR="00BD4A3A" w:rsidRDefault="00BD4A3A" w:rsidP="00BD4A3A">
            <w:pPr>
              <w:jc w:val="center"/>
              <w:rPr>
                <w:sz w:val="20"/>
                <w:szCs w:val="20"/>
              </w:rPr>
            </w:pPr>
            <w:r>
              <w:rPr>
                <w:rFonts w:eastAsia="Times New Roman"/>
                <w:w w:val="99"/>
                <w:sz w:val="18"/>
                <w:szCs w:val="18"/>
              </w:rPr>
              <w:t>20 ppm</w:t>
            </w:r>
          </w:p>
        </w:tc>
        <w:tc>
          <w:tcPr>
            <w:tcW w:w="2440" w:type="dxa"/>
          </w:tcPr>
          <w:p w14:paraId="29B110F1" w14:textId="4A8BC70A" w:rsidR="00BD4A3A" w:rsidRDefault="00BD4A3A" w:rsidP="00BD4A3A">
            <w:pPr>
              <w:spacing w:line="360" w:lineRule="auto"/>
              <w:ind w:left="40"/>
              <w:rPr>
                <w:sz w:val="20"/>
                <w:szCs w:val="20"/>
              </w:rPr>
            </w:pPr>
            <w:r>
              <w:rPr>
                <w:rFonts w:eastAsia="Times New Roman"/>
                <w:sz w:val="18"/>
                <w:szCs w:val="18"/>
              </w:rPr>
              <w:t>Discharge from the use and improper storage of sodium-containing deicing compounds or in water-softening agents</w:t>
            </w:r>
          </w:p>
        </w:tc>
        <w:tc>
          <w:tcPr>
            <w:tcW w:w="2320" w:type="dxa"/>
          </w:tcPr>
          <w:p w14:paraId="08E3C8BE" w14:textId="007090F0" w:rsidR="00BD4A3A" w:rsidRDefault="00BD4A3A" w:rsidP="00BD4A3A">
            <w:pPr>
              <w:spacing w:line="360" w:lineRule="auto"/>
              <w:ind w:right="140"/>
              <w:rPr>
                <w:sz w:val="20"/>
                <w:szCs w:val="20"/>
              </w:rPr>
            </w:pPr>
            <w:r>
              <w:rPr>
                <w:rFonts w:eastAsia="Times New Roman"/>
                <w:sz w:val="18"/>
                <w:szCs w:val="18"/>
              </w:rPr>
              <w:t>Some people who drink water containing sodium at high concentrations for many years could experience an increase in blood pressure.</w:t>
            </w:r>
          </w:p>
        </w:tc>
      </w:tr>
      <w:tr w:rsidR="00BD4A3A" w14:paraId="40DF9748" w14:textId="77777777" w:rsidTr="00BD4A3A">
        <w:trPr>
          <w:trHeight w:val="1057"/>
        </w:trPr>
        <w:tc>
          <w:tcPr>
            <w:tcW w:w="2280" w:type="dxa"/>
            <w:vAlign w:val="center"/>
          </w:tcPr>
          <w:p w14:paraId="1796C76C" w14:textId="77777777" w:rsidR="00BD4A3A" w:rsidRDefault="00BD4A3A" w:rsidP="00BD4A3A">
            <w:pPr>
              <w:ind w:left="60"/>
              <w:rPr>
                <w:sz w:val="20"/>
                <w:szCs w:val="20"/>
              </w:rPr>
            </w:pPr>
            <w:r>
              <w:rPr>
                <w:rFonts w:eastAsia="Times New Roman"/>
                <w:sz w:val="18"/>
                <w:szCs w:val="18"/>
              </w:rPr>
              <w:t>Strontium</w:t>
            </w:r>
          </w:p>
          <w:p w14:paraId="392FE434" w14:textId="0E6D2ADE" w:rsidR="00BD4A3A" w:rsidRDefault="00BD4A3A" w:rsidP="00BD4A3A">
            <w:pPr>
              <w:rPr>
                <w:sz w:val="20"/>
                <w:szCs w:val="20"/>
              </w:rPr>
            </w:pPr>
            <w:r>
              <w:rPr>
                <w:rFonts w:eastAsia="Times New Roman"/>
                <w:sz w:val="18"/>
                <w:szCs w:val="18"/>
              </w:rPr>
              <w:t>(7440246)</w:t>
            </w:r>
          </w:p>
        </w:tc>
        <w:tc>
          <w:tcPr>
            <w:tcW w:w="800" w:type="dxa"/>
            <w:vAlign w:val="center"/>
          </w:tcPr>
          <w:p w14:paraId="7D527820" w14:textId="699F9C22" w:rsidR="00BD4A3A" w:rsidRDefault="00BD4A3A" w:rsidP="00BD4A3A">
            <w:pPr>
              <w:jc w:val="center"/>
              <w:rPr>
                <w:sz w:val="20"/>
                <w:szCs w:val="20"/>
              </w:rPr>
            </w:pPr>
            <w:r>
              <w:rPr>
                <w:rFonts w:eastAsia="Times New Roman"/>
                <w:sz w:val="18"/>
                <w:szCs w:val="18"/>
              </w:rPr>
              <w:t>*</w:t>
            </w:r>
          </w:p>
        </w:tc>
        <w:tc>
          <w:tcPr>
            <w:tcW w:w="1700" w:type="dxa"/>
            <w:vAlign w:val="center"/>
          </w:tcPr>
          <w:p w14:paraId="5FD770A3" w14:textId="1D005F7B" w:rsidR="00BD4A3A" w:rsidRDefault="00BD4A3A" w:rsidP="00BD4A3A">
            <w:pPr>
              <w:jc w:val="center"/>
              <w:rPr>
                <w:sz w:val="20"/>
                <w:szCs w:val="20"/>
              </w:rPr>
            </w:pPr>
            <w:r>
              <w:rPr>
                <w:rFonts w:eastAsia="Times New Roman"/>
                <w:w w:val="99"/>
                <w:sz w:val="18"/>
                <w:szCs w:val="18"/>
              </w:rPr>
              <w:t>-</w:t>
            </w:r>
          </w:p>
        </w:tc>
        <w:tc>
          <w:tcPr>
            <w:tcW w:w="1620" w:type="dxa"/>
            <w:vAlign w:val="center"/>
          </w:tcPr>
          <w:p w14:paraId="670917B8" w14:textId="325BBF03" w:rsidR="00BD4A3A" w:rsidRDefault="00BD4A3A" w:rsidP="00BD4A3A">
            <w:pPr>
              <w:jc w:val="center"/>
              <w:rPr>
                <w:sz w:val="20"/>
                <w:szCs w:val="20"/>
              </w:rPr>
            </w:pPr>
            <w:r>
              <w:rPr>
                <w:rFonts w:eastAsia="Times New Roman"/>
                <w:w w:val="99"/>
                <w:sz w:val="18"/>
                <w:szCs w:val="18"/>
              </w:rPr>
              <w:t>-</w:t>
            </w:r>
          </w:p>
        </w:tc>
        <w:tc>
          <w:tcPr>
            <w:tcW w:w="2440" w:type="dxa"/>
            <w:vAlign w:val="center"/>
          </w:tcPr>
          <w:p w14:paraId="62DFED5F" w14:textId="04BB9AF4" w:rsidR="00BD4A3A" w:rsidRDefault="00BD4A3A" w:rsidP="00BD4A3A">
            <w:pPr>
              <w:jc w:val="center"/>
              <w:rPr>
                <w:sz w:val="20"/>
                <w:szCs w:val="20"/>
              </w:rPr>
            </w:pPr>
            <w:r>
              <w:rPr>
                <w:rFonts w:eastAsia="Times New Roman"/>
                <w:w w:val="99"/>
                <w:sz w:val="18"/>
                <w:szCs w:val="18"/>
              </w:rPr>
              <w:t>-</w:t>
            </w:r>
          </w:p>
        </w:tc>
        <w:tc>
          <w:tcPr>
            <w:tcW w:w="2320" w:type="dxa"/>
            <w:vAlign w:val="center"/>
          </w:tcPr>
          <w:p w14:paraId="43A23532" w14:textId="2C343358" w:rsidR="00BD4A3A" w:rsidRDefault="00BD4A3A" w:rsidP="00BD4A3A">
            <w:pPr>
              <w:jc w:val="center"/>
              <w:rPr>
                <w:sz w:val="20"/>
                <w:szCs w:val="20"/>
              </w:rPr>
            </w:pPr>
            <w:r>
              <w:rPr>
                <w:rFonts w:eastAsia="Times New Roman"/>
                <w:w w:val="99"/>
                <w:sz w:val="18"/>
                <w:szCs w:val="18"/>
              </w:rPr>
              <w:t>-</w:t>
            </w:r>
          </w:p>
        </w:tc>
      </w:tr>
      <w:tr w:rsidR="00BD4A3A" w14:paraId="03C330B5" w14:textId="77777777" w:rsidTr="00BD4A3A">
        <w:trPr>
          <w:trHeight w:val="1055"/>
        </w:trPr>
        <w:tc>
          <w:tcPr>
            <w:tcW w:w="2280" w:type="dxa"/>
            <w:tcBorders>
              <w:bottom w:val="single" w:sz="8" w:space="0" w:color="auto"/>
            </w:tcBorders>
            <w:vAlign w:val="center"/>
          </w:tcPr>
          <w:p w14:paraId="1DC4E82D" w14:textId="110C6B3E" w:rsidR="00BD4A3A" w:rsidRDefault="00BD4A3A" w:rsidP="00BD4A3A">
            <w:pPr>
              <w:rPr>
                <w:sz w:val="20"/>
                <w:szCs w:val="20"/>
              </w:rPr>
            </w:pPr>
            <w:r>
              <w:rPr>
                <w:rFonts w:eastAsia="Times New Roman"/>
                <w:sz w:val="18"/>
                <w:szCs w:val="18"/>
              </w:rPr>
              <w:t>Sulfate</w:t>
            </w:r>
          </w:p>
        </w:tc>
        <w:tc>
          <w:tcPr>
            <w:tcW w:w="800" w:type="dxa"/>
            <w:tcBorders>
              <w:bottom w:val="single" w:sz="8" w:space="0" w:color="auto"/>
            </w:tcBorders>
            <w:vAlign w:val="center"/>
          </w:tcPr>
          <w:p w14:paraId="260BCBF5" w14:textId="358AE6C6" w:rsidR="00BD4A3A" w:rsidRDefault="00BD4A3A" w:rsidP="00BD4A3A">
            <w:pPr>
              <w:jc w:val="center"/>
              <w:rPr>
                <w:sz w:val="20"/>
                <w:szCs w:val="20"/>
              </w:rPr>
            </w:pPr>
            <w:r>
              <w:rPr>
                <w:rFonts w:eastAsia="Times New Roman"/>
                <w:sz w:val="18"/>
                <w:szCs w:val="18"/>
              </w:rPr>
              <w:t>*</w:t>
            </w:r>
          </w:p>
        </w:tc>
        <w:tc>
          <w:tcPr>
            <w:tcW w:w="1700" w:type="dxa"/>
            <w:tcBorders>
              <w:bottom w:val="single" w:sz="8" w:space="0" w:color="auto"/>
            </w:tcBorders>
            <w:vAlign w:val="center"/>
          </w:tcPr>
          <w:p w14:paraId="2D9C4607" w14:textId="287EFEF3" w:rsidR="00BD4A3A" w:rsidRDefault="00BD4A3A" w:rsidP="00BD4A3A">
            <w:pPr>
              <w:jc w:val="center"/>
              <w:rPr>
                <w:sz w:val="20"/>
                <w:szCs w:val="20"/>
              </w:rPr>
            </w:pPr>
            <w:r>
              <w:rPr>
                <w:rFonts w:eastAsia="Times New Roman"/>
                <w:w w:val="99"/>
                <w:sz w:val="18"/>
                <w:szCs w:val="18"/>
              </w:rPr>
              <w:t>-</w:t>
            </w:r>
          </w:p>
        </w:tc>
        <w:tc>
          <w:tcPr>
            <w:tcW w:w="1620" w:type="dxa"/>
            <w:tcBorders>
              <w:bottom w:val="single" w:sz="8" w:space="0" w:color="auto"/>
            </w:tcBorders>
            <w:vAlign w:val="center"/>
          </w:tcPr>
          <w:p w14:paraId="5F375415" w14:textId="2B077B22" w:rsidR="00BD4A3A" w:rsidRDefault="00BD4A3A" w:rsidP="00BD4A3A">
            <w:pPr>
              <w:jc w:val="center"/>
              <w:rPr>
                <w:sz w:val="20"/>
                <w:szCs w:val="20"/>
              </w:rPr>
            </w:pPr>
            <w:r>
              <w:rPr>
                <w:rFonts w:eastAsia="Times New Roman"/>
                <w:w w:val="99"/>
                <w:sz w:val="18"/>
                <w:szCs w:val="18"/>
              </w:rPr>
              <w:t>-</w:t>
            </w:r>
          </w:p>
        </w:tc>
        <w:tc>
          <w:tcPr>
            <w:tcW w:w="2440" w:type="dxa"/>
            <w:tcBorders>
              <w:bottom w:val="single" w:sz="8" w:space="0" w:color="auto"/>
            </w:tcBorders>
          </w:tcPr>
          <w:p w14:paraId="68A185CA" w14:textId="3F25E164" w:rsidR="00BD4A3A" w:rsidRDefault="00BD4A3A" w:rsidP="00BD4A3A">
            <w:pPr>
              <w:rPr>
                <w:sz w:val="20"/>
                <w:szCs w:val="20"/>
              </w:rPr>
            </w:pPr>
            <w:r>
              <w:rPr>
                <w:rFonts w:eastAsia="Times New Roman"/>
                <w:sz w:val="18"/>
                <w:szCs w:val="18"/>
              </w:rPr>
              <w:t>Natural sources</w:t>
            </w:r>
          </w:p>
        </w:tc>
        <w:tc>
          <w:tcPr>
            <w:tcW w:w="2320" w:type="dxa"/>
            <w:tcBorders>
              <w:bottom w:val="single" w:sz="8" w:space="0" w:color="auto"/>
            </w:tcBorders>
          </w:tcPr>
          <w:p w14:paraId="17968042" w14:textId="5272BDD5" w:rsidR="00BD4A3A" w:rsidRDefault="00BD4A3A" w:rsidP="00BD4A3A">
            <w:pPr>
              <w:spacing w:line="360" w:lineRule="auto"/>
              <w:ind w:right="180"/>
              <w:rPr>
                <w:sz w:val="20"/>
                <w:szCs w:val="20"/>
              </w:rPr>
            </w:pPr>
            <w:r>
              <w:rPr>
                <w:rFonts w:eastAsia="Times New Roman"/>
                <w:sz w:val="18"/>
                <w:szCs w:val="18"/>
              </w:rPr>
              <w:t>Some people who drink water containing sulfate at high concentrations for many years could experience diarrhea.</w:t>
            </w:r>
          </w:p>
        </w:tc>
      </w:tr>
      <w:tr w:rsidR="00AB71D1" w14:paraId="32D0765B" w14:textId="77777777" w:rsidTr="00AB71D1">
        <w:trPr>
          <w:trHeight w:val="1057"/>
        </w:trPr>
        <w:tc>
          <w:tcPr>
            <w:tcW w:w="2280" w:type="dxa"/>
            <w:tcBorders>
              <w:bottom w:val="single" w:sz="12" w:space="0" w:color="auto"/>
            </w:tcBorders>
            <w:vAlign w:val="center"/>
          </w:tcPr>
          <w:p w14:paraId="66CE4FB3" w14:textId="0E039349" w:rsidR="00AB71D1" w:rsidRDefault="00AB71D1" w:rsidP="00AB71D1">
            <w:pPr>
              <w:ind w:left="60"/>
              <w:rPr>
                <w:sz w:val="20"/>
                <w:szCs w:val="20"/>
              </w:rPr>
            </w:pPr>
            <w:r>
              <w:rPr>
                <w:rFonts w:eastAsia="Times New Roman"/>
                <w:sz w:val="18"/>
                <w:szCs w:val="18"/>
              </w:rPr>
              <w:t>Tertiary-amyl methyl ether</w:t>
            </w:r>
          </w:p>
          <w:p w14:paraId="4090001B" w14:textId="2BF30B80" w:rsidR="00AB71D1" w:rsidRDefault="00AB71D1" w:rsidP="00AB71D1">
            <w:pPr>
              <w:rPr>
                <w:sz w:val="20"/>
                <w:szCs w:val="20"/>
              </w:rPr>
            </w:pPr>
            <w:r>
              <w:rPr>
                <w:rFonts w:eastAsia="Times New Roman"/>
                <w:sz w:val="18"/>
                <w:szCs w:val="18"/>
              </w:rPr>
              <w:t>(TAME) (994058)</w:t>
            </w:r>
          </w:p>
        </w:tc>
        <w:tc>
          <w:tcPr>
            <w:tcW w:w="800" w:type="dxa"/>
            <w:tcBorders>
              <w:bottom w:val="single" w:sz="12" w:space="0" w:color="auto"/>
            </w:tcBorders>
            <w:vAlign w:val="center"/>
          </w:tcPr>
          <w:p w14:paraId="6F60E558" w14:textId="505517EC" w:rsidR="00AB71D1" w:rsidRDefault="00AB71D1" w:rsidP="00AB71D1">
            <w:pPr>
              <w:ind w:right="170"/>
              <w:jc w:val="center"/>
              <w:rPr>
                <w:sz w:val="20"/>
                <w:szCs w:val="20"/>
              </w:rPr>
            </w:pPr>
            <w:r>
              <w:rPr>
                <w:rFonts w:eastAsia="Times New Roman"/>
                <w:sz w:val="18"/>
                <w:szCs w:val="18"/>
              </w:rPr>
              <w:t>0.09 mg/L</w:t>
            </w:r>
          </w:p>
        </w:tc>
        <w:tc>
          <w:tcPr>
            <w:tcW w:w="1700" w:type="dxa"/>
            <w:tcBorders>
              <w:bottom w:val="single" w:sz="12" w:space="0" w:color="auto"/>
            </w:tcBorders>
            <w:vAlign w:val="center"/>
          </w:tcPr>
          <w:p w14:paraId="734B637E" w14:textId="2C113853" w:rsidR="00AB71D1" w:rsidRDefault="00AB71D1" w:rsidP="00AB71D1">
            <w:pPr>
              <w:jc w:val="center"/>
              <w:rPr>
                <w:sz w:val="20"/>
                <w:szCs w:val="20"/>
              </w:rPr>
            </w:pPr>
            <w:r>
              <w:rPr>
                <w:rFonts w:eastAsia="Times New Roman"/>
                <w:sz w:val="18"/>
                <w:szCs w:val="18"/>
              </w:rPr>
              <w:t>1000</w:t>
            </w:r>
          </w:p>
        </w:tc>
        <w:tc>
          <w:tcPr>
            <w:tcW w:w="1620" w:type="dxa"/>
            <w:tcBorders>
              <w:bottom w:val="single" w:sz="12" w:space="0" w:color="auto"/>
            </w:tcBorders>
            <w:vAlign w:val="center"/>
          </w:tcPr>
          <w:p w14:paraId="2E34C2CC" w14:textId="6B960E39" w:rsidR="00AB71D1" w:rsidRDefault="00AB71D1" w:rsidP="00AB71D1">
            <w:pPr>
              <w:jc w:val="center"/>
              <w:rPr>
                <w:sz w:val="20"/>
                <w:szCs w:val="20"/>
              </w:rPr>
            </w:pPr>
            <w:r>
              <w:rPr>
                <w:rFonts w:eastAsia="Times New Roman"/>
                <w:sz w:val="18"/>
                <w:szCs w:val="18"/>
              </w:rPr>
              <w:t>90 ppb</w:t>
            </w:r>
          </w:p>
        </w:tc>
        <w:tc>
          <w:tcPr>
            <w:tcW w:w="2440" w:type="dxa"/>
            <w:tcBorders>
              <w:bottom w:val="single" w:sz="12" w:space="0" w:color="auto"/>
            </w:tcBorders>
          </w:tcPr>
          <w:p w14:paraId="3921E6D9" w14:textId="0691F135" w:rsidR="00AB71D1" w:rsidRDefault="00AB71D1" w:rsidP="00AB71D1">
            <w:pPr>
              <w:spacing w:line="360" w:lineRule="auto"/>
              <w:ind w:left="40"/>
              <w:rPr>
                <w:sz w:val="20"/>
                <w:szCs w:val="20"/>
              </w:rPr>
            </w:pPr>
            <w:r>
              <w:rPr>
                <w:rFonts w:eastAsia="Times New Roman"/>
                <w:sz w:val="18"/>
                <w:szCs w:val="18"/>
              </w:rPr>
              <w:t>Discharge from use as an octane enhancer and oxygenate in gasoline</w:t>
            </w:r>
          </w:p>
        </w:tc>
        <w:tc>
          <w:tcPr>
            <w:tcW w:w="2320" w:type="dxa"/>
            <w:tcBorders>
              <w:bottom w:val="single" w:sz="12" w:space="0" w:color="auto"/>
            </w:tcBorders>
          </w:tcPr>
          <w:p w14:paraId="64A1EB65" w14:textId="088D3E1E" w:rsidR="00AB71D1" w:rsidRDefault="00AB71D1" w:rsidP="00AB71D1">
            <w:pPr>
              <w:spacing w:line="360" w:lineRule="auto"/>
              <w:rPr>
                <w:sz w:val="20"/>
                <w:szCs w:val="20"/>
              </w:rPr>
            </w:pPr>
            <w:r>
              <w:rPr>
                <w:rFonts w:eastAsia="Times New Roman"/>
                <w:sz w:val="18"/>
                <w:szCs w:val="18"/>
              </w:rPr>
              <w:t>Some people who drink water containing TAME at high concentrations for many years could experience effects on the kidney and liver and possible cancer.</w:t>
            </w:r>
          </w:p>
        </w:tc>
      </w:tr>
      <w:tr w:rsidR="00AB71D1" w14:paraId="7F687699" w14:textId="77777777" w:rsidTr="00AB71D1">
        <w:trPr>
          <w:trHeight w:val="1800"/>
        </w:trPr>
        <w:tc>
          <w:tcPr>
            <w:tcW w:w="2280" w:type="dxa"/>
            <w:tcBorders>
              <w:top w:val="single" w:sz="12" w:space="0" w:color="auto"/>
              <w:right w:val="single" w:sz="8" w:space="0" w:color="auto"/>
            </w:tcBorders>
            <w:vAlign w:val="center"/>
          </w:tcPr>
          <w:p w14:paraId="6B2B7A15" w14:textId="77777777" w:rsidR="00AB71D1" w:rsidRDefault="00AB71D1" w:rsidP="00AB71D1">
            <w:pPr>
              <w:ind w:left="60"/>
              <w:rPr>
                <w:sz w:val="20"/>
                <w:szCs w:val="20"/>
              </w:rPr>
            </w:pPr>
            <w:r>
              <w:rPr>
                <w:rFonts w:eastAsia="Times New Roman"/>
                <w:sz w:val="18"/>
                <w:szCs w:val="18"/>
              </w:rPr>
              <w:t>Tertiary butyl alcohol</w:t>
            </w:r>
          </w:p>
          <w:p w14:paraId="37EFE783" w14:textId="7DF771C2" w:rsidR="00AB71D1" w:rsidRDefault="00AB71D1" w:rsidP="00AB71D1">
            <w:pPr>
              <w:ind w:left="60"/>
              <w:rPr>
                <w:sz w:val="20"/>
                <w:szCs w:val="20"/>
              </w:rPr>
            </w:pPr>
            <w:r>
              <w:rPr>
                <w:rFonts w:eastAsia="Times New Roman"/>
                <w:sz w:val="18"/>
                <w:szCs w:val="18"/>
              </w:rPr>
              <w:t>(TBA) (75650)</w:t>
            </w:r>
          </w:p>
        </w:tc>
        <w:tc>
          <w:tcPr>
            <w:tcW w:w="800" w:type="dxa"/>
            <w:tcBorders>
              <w:top w:val="single" w:sz="12" w:space="0" w:color="auto"/>
              <w:left w:val="single" w:sz="8" w:space="0" w:color="auto"/>
              <w:right w:val="single" w:sz="8" w:space="0" w:color="auto"/>
            </w:tcBorders>
            <w:vAlign w:val="center"/>
          </w:tcPr>
          <w:p w14:paraId="09916DDA" w14:textId="7DA8C649" w:rsidR="00AB71D1" w:rsidRDefault="00AB71D1" w:rsidP="00AB71D1">
            <w:pPr>
              <w:ind w:right="170"/>
              <w:jc w:val="center"/>
              <w:rPr>
                <w:sz w:val="20"/>
                <w:szCs w:val="20"/>
              </w:rPr>
            </w:pPr>
            <w:r>
              <w:rPr>
                <w:rFonts w:eastAsia="Times New Roman"/>
                <w:sz w:val="18"/>
                <w:szCs w:val="18"/>
              </w:rPr>
              <w:t>0.12 mg/L</w:t>
            </w:r>
          </w:p>
        </w:tc>
        <w:tc>
          <w:tcPr>
            <w:tcW w:w="1700" w:type="dxa"/>
            <w:tcBorders>
              <w:top w:val="single" w:sz="12" w:space="0" w:color="auto"/>
              <w:left w:val="single" w:sz="8" w:space="0" w:color="auto"/>
              <w:right w:val="single" w:sz="8" w:space="0" w:color="auto"/>
            </w:tcBorders>
            <w:vAlign w:val="center"/>
          </w:tcPr>
          <w:p w14:paraId="2B3005D6" w14:textId="4503DDEC" w:rsidR="00AB71D1" w:rsidRDefault="00AB71D1" w:rsidP="00AB71D1">
            <w:pPr>
              <w:jc w:val="center"/>
              <w:rPr>
                <w:sz w:val="20"/>
                <w:szCs w:val="20"/>
              </w:rPr>
            </w:pPr>
            <w:r>
              <w:rPr>
                <w:rFonts w:eastAsia="Times New Roman"/>
                <w:sz w:val="18"/>
                <w:szCs w:val="18"/>
              </w:rPr>
              <w:t>1000</w:t>
            </w:r>
          </w:p>
        </w:tc>
        <w:tc>
          <w:tcPr>
            <w:tcW w:w="1620" w:type="dxa"/>
            <w:tcBorders>
              <w:top w:val="single" w:sz="12" w:space="0" w:color="auto"/>
              <w:left w:val="single" w:sz="8" w:space="0" w:color="auto"/>
            </w:tcBorders>
            <w:vAlign w:val="center"/>
          </w:tcPr>
          <w:p w14:paraId="6C5C9AB6" w14:textId="41C49679" w:rsidR="00AB71D1" w:rsidRDefault="00AB71D1" w:rsidP="00AB71D1">
            <w:pPr>
              <w:jc w:val="center"/>
              <w:rPr>
                <w:sz w:val="20"/>
                <w:szCs w:val="20"/>
              </w:rPr>
            </w:pPr>
            <w:r>
              <w:rPr>
                <w:rFonts w:eastAsia="Times New Roman"/>
                <w:sz w:val="18"/>
                <w:szCs w:val="18"/>
              </w:rPr>
              <w:t>120 ppb</w:t>
            </w:r>
          </w:p>
        </w:tc>
        <w:tc>
          <w:tcPr>
            <w:tcW w:w="2440" w:type="dxa"/>
            <w:tcBorders>
              <w:top w:val="single" w:sz="12" w:space="0" w:color="auto"/>
            </w:tcBorders>
          </w:tcPr>
          <w:p w14:paraId="37A82C42" w14:textId="72A96455" w:rsidR="00AB71D1" w:rsidRDefault="00AB71D1" w:rsidP="00AB71D1">
            <w:pPr>
              <w:spacing w:line="360" w:lineRule="auto"/>
              <w:ind w:left="40"/>
              <w:rPr>
                <w:sz w:val="20"/>
                <w:szCs w:val="20"/>
              </w:rPr>
            </w:pPr>
            <w:r>
              <w:rPr>
                <w:rFonts w:eastAsia="Times New Roman"/>
                <w:sz w:val="18"/>
                <w:szCs w:val="18"/>
              </w:rPr>
              <w:t>Degraded from MTBE; discharged from use as an octane enhancer and oxygenate in gasoline</w:t>
            </w:r>
          </w:p>
        </w:tc>
        <w:tc>
          <w:tcPr>
            <w:tcW w:w="2320" w:type="dxa"/>
            <w:tcBorders>
              <w:top w:val="single" w:sz="12" w:space="0" w:color="auto"/>
            </w:tcBorders>
          </w:tcPr>
          <w:p w14:paraId="49B6A86F" w14:textId="75655ADF" w:rsidR="00AB71D1" w:rsidRDefault="00AB71D1" w:rsidP="00AB71D1">
            <w:pPr>
              <w:spacing w:line="360" w:lineRule="auto"/>
              <w:ind w:left="40"/>
              <w:rPr>
                <w:sz w:val="20"/>
                <w:szCs w:val="20"/>
              </w:rPr>
            </w:pPr>
            <w:r>
              <w:rPr>
                <w:rFonts w:eastAsia="Times New Roman"/>
                <w:sz w:val="18"/>
                <w:szCs w:val="18"/>
              </w:rPr>
              <w:t>Some people who drink water containing TBA at high concentrations for many years could experience effects on the kidney and bladder and possible cancer</w:t>
            </w:r>
          </w:p>
        </w:tc>
      </w:tr>
      <w:tr w:rsidR="00AB71D1" w14:paraId="65E40764" w14:textId="77777777" w:rsidTr="00AB71D1">
        <w:trPr>
          <w:trHeight w:val="802"/>
        </w:trPr>
        <w:tc>
          <w:tcPr>
            <w:tcW w:w="2280" w:type="dxa"/>
            <w:vAlign w:val="center"/>
          </w:tcPr>
          <w:p w14:paraId="5A1C757F" w14:textId="77777777" w:rsidR="00AB71D1" w:rsidRDefault="00AB71D1" w:rsidP="00AB71D1">
            <w:pPr>
              <w:ind w:left="60"/>
              <w:rPr>
                <w:sz w:val="20"/>
                <w:szCs w:val="20"/>
              </w:rPr>
            </w:pPr>
            <w:r>
              <w:rPr>
                <w:rFonts w:eastAsia="Times New Roman"/>
                <w:sz w:val="18"/>
                <w:szCs w:val="18"/>
              </w:rPr>
              <w:t>Testosterone</w:t>
            </w:r>
          </w:p>
          <w:p w14:paraId="2A710B4F" w14:textId="10D46FCB" w:rsidR="00AB71D1" w:rsidRDefault="00AB71D1" w:rsidP="00AB71D1">
            <w:pPr>
              <w:rPr>
                <w:sz w:val="20"/>
                <w:szCs w:val="20"/>
              </w:rPr>
            </w:pPr>
            <w:r>
              <w:rPr>
                <w:rFonts w:eastAsia="Times New Roman"/>
                <w:sz w:val="18"/>
                <w:szCs w:val="18"/>
              </w:rPr>
              <w:t>(58220)</w:t>
            </w:r>
          </w:p>
        </w:tc>
        <w:tc>
          <w:tcPr>
            <w:tcW w:w="800" w:type="dxa"/>
            <w:vAlign w:val="center"/>
          </w:tcPr>
          <w:p w14:paraId="4DCB8C52" w14:textId="3996E599" w:rsidR="00AB71D1" w:rsidRDefault="00AB71D1" w:rsidP="00AB71D1">
            <w:pPr>
              <w:jc w:val="center"/>
              <w:rPr>
                <w:sz w:val="20"/>
                <w:szCs w:val="20"/>
              </w:rPr>
            </w:pPr>
            <w:r>
              <w:rPr>
                <w:rFonts w:eastAsia="Times New Roman"/>
                <w:sz w:val="18"/>
                <w:szCs w:val="18"/>
              </w:rPr>
              <w:t>*</w:t>
            </w:r>
          </w:p>
        </w:tc>
        <w:tc>
          <w:tcPr>
            <w:tcW w:w="1700" w:type="dxa"/>
            <w:vAlign w:val="center"/>
          </w:tcPr>
          <w:p w14:paraId="14D30F97" w14:textId="67796B62" w:rsidR="00AB71D1" w:rsidRDefault="00AB71D1" w:rsidP="00AB71D1">
            <w:pPr>
              <w:jc w:val="center"/>
              <w:rPr>
                <w:sz w:val="20"/>
                <w:szCs w:val="20"/>
              </w:rPr>
            </w:pPr>
            <w:r>
              <w:rPr>
                <w:rFonts w:eastAsia="Times New Roman"/>
                <w:sz w:val="18"/>
                <w:szCs w:val="18"/>
              </w:rPr>
              <w:t>-</w:t>
            </w:r>
          </w:p>
        </w:tc>
        <w:tc>
          <w:tcPr>
            <w:tcW w:w="1620" w:type="dxa"/>
            <w:vAlign w:val="center"/>
          </w:tcPr>
          <w:p w14:paraId="0009D99E" w14:textId="381989DC" w:rsidR="00AB71D1" w:rsidRDefault="00AB71D1" w:rsidP="00AB71D1">
            <w:pPr>
              <w:jc w:val="center"/>
              <w:rPr>
                <w:sz w:val="20"/>
                <w:szCs w:val="20"/>
              </w:rPr>
            </w:pPr>
            <w:r>
              <w:rPr>
                <w:rFonts w:eastAsia="Times New Roman"/>
                <w:sz w:val="18"/>
                <w:szCs w:val="18"/>
              </w:rPr>
              <w:t>-</w:t>
            </w:r>
          </w:p>
        </w:tc>
        <w:tc>
          <w:tcPr>
            <w:tcW w:w="2440" w:type="dxa"/>
            <w:vAlign w:val="center"/>
          </w:tcPr>
          <w:p w14:paraId="14EE3A00" w14:textId="46CA8F0B" w:rsidR="00AB71D1" w:rsidRDefault="00AB71D1" w:rsidP="00AB71D1">
            <w:pPr>
              <w:spacing w:line="360" w:lineRule="auto"/>
              <w:ind w:left="40"/>
              <w:jc w:val="center"/>
              <w:rPr>
                <w:sz w:val="20"/>
                <w:szCs w:val="20"/>
              </w:rPr>
            </w:pPr>
            <w:r>
              <w:rPr>
                <w:rFonts w:eastAsia="Times New Roman"/>
                <w:sz w:val="18"/>
                <w:szCs w:val="18"/>
              </w:rPr>
              <w:t>-</w:t>
            </w:r>
          </w:p>
        </w:tc>
        <w:tc>
          <w:tcPr>
            <w:tcW w:w="2320" w:type="dxa"/>
            <w:vAlign w:val="center"/>
          </w:tcPr>
          <w:p w14:paraId="1233BCF0" w14:textId="63DE75D5" w:rsidR="00AB71D1" w:rsidRDefault="00AB71D1" w:rsidP="00AB71D1">
            <w:pPr>
              <w:spacing w:line="360" w:lineRule="auto"/>
              <w:ind w:left="40"/>
              <w:jc w:val="center"/>
              <w:rPr>
                <w:sz w:val="20"/>
                <w:szCs w:val="20"/>
              </w:rPr>
            </w:pPr>
            <w:r>
              <w:rPr>
                <w:rFonts w:eastAsia="Times New Roman"/>
                <w:sz w:val="18"/>
                <w:szCs w:val="18"/>
              </w:rPr>
              <w:t>-</w:t>
            </w:r>
          </w:p>
        </w:tc>
      </w:tr>
    </w:tbl>
    <w:p w14:paraId="281A5295" w14:textId="77777777" w:rsidR="004647B9" w:rsidRPr="00BD4A3A" w:rsidRDefault="004647B9" w:rsidP="00BD4A3A">
      <w:pPr>
        <w:rPr>
          <w:sz w:val="24"/>
          <w:szCs w:val="24"/>
        </w:rPr>
        <w:sectPr w:rsidR="004647B9" w:rsidRPr="00BD4A3A" w:rsidSect="00EF630C">
          <w:pgSz w:w="12240" w:h="20180"/>
          <w:pgMar w:top="708" w:right="480" w:bottom="912" w:left="600" w:header="0" w:footer="0" w:gutter="0"/>
          <w:cols w:space="720"/>
        </w:sectPr>
      </w:pPr>
    </w:p>
    <w:p w14:paraId="281A5403" w14:textId="77777777" w:rsidR="004647B9" w:rsidRPr="007B6E37" w:rsidRDefault="004647B9" w:rsidP="00C76DF0">
      <w:pPr>
        <w:rPr>
          <w:sz w:val="24"/>
          <w:szCs w:val="24"/>
        </w:rPr>
      </w:pPr>
    </w:p>
    <w:p w14:paraId="281A5405" w14:textId="77777777" w:rsidR="004647B9" w:rsidRPr="007B6E37" w:rsidRDefault="004647B9" w:rsidP="00C76DF0">
      <w:pPr>
        <w:rPr>
          <w:sz w:val="24"/>
          <w:szCs w:val="24"/>
        </w:rPr>
        <w:sectPr w:rsidR="004647B9" w:rsidRPr="007B6E37" w:rsidSect="00EF630C">
          <w:type w:val="continuous"/>
          <w:pgSz w:w="12240" w:h="20180"/>
          <w:pgMar w:top="708" w:right="480" w:bottom="912" w:left="600" w:header="0" w:footer="0" w:gutter="0"/>
          <w:cols w:space="720"/>
        </w:sectPr>
      </w:pPr>
    </w:p>
    <w:p w14:paraId="281A5406" w14:textId="77777777" w:rsidR="004647B9" w:rsidRDefault="00E2436F">
      <w:pPr>
        <w:tabs>
          <w:tab w:val="left" w:pos="2860"/>
        </w:tabs>
        <w:ind w:left="1680"/>
        <w:rPr>
          <w:sz w:val="20"/>
          <w:szCs w:val="20"/>
        </w:rPr>
      </w:pPr>
      <w:bookmarkStart w:id="244" w:name="page248"/>
      <w:bookmarkEnd w:id="24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407" w14:textId="77777777" w:rsidR="004647B9" w:rsidRDefault="004647B9" w:rsidP="005455D4">
      <w:pPr>
        <w:rPr>
          <w:sz w:val="20"/>
          <w:szCs w:val="20"/>
        </w:rPr>
      </w:pPr>
    </w:p>
    <w:p w14:paraId="0E073DE6" w14:textId="77777777" w:rsidR="005455D4" w:rsidRDefault="005455D4" w:rsidP="005455D4">
      <w:pPr>
        <w:rPr>
          <w:sz w:val="20"/>
          <w:szCs w:val="20"/>
        </w:rPr>
      </w:pPr>
    </w:p>
    <w:p w14:paraId="281A5408" w14:textId="77777777" w:rsidR="004647B9" w:rsidRPr="005455D4" w:rsidRDefault="00E2436F" w:rsidP="005455D4">
      <w:pPr>
        <w:tabs>
          <w:tab w:val="left" w:pos="940"/>
        </w:tabs>
        <w:rPr>
          <w:sz w:val="24"/>
          <w:szCs w:val="24"/>
        </w:rPr>
      </w:pPr>
      <w:r w:rsidRPr="005455D4">
        <w:rPr>
          <w:rFonts w:eastAsia="Times New Roman"/>
          <w:sz w:val="24"/>
          <w:szCs w:val="24"/>
        </w:rPr>
        <w:t>22.16A:</w:t>
      </w:r>
      <w:r w:rsidRPr="005455D4">
        <w:rPr>
          <w:sz w:val="24"/>
          <w:szCs w:val="24"/>
        </w:rPr>
        <w:tab/>
      </w:r>
      <w:r w:rsidRPr="005455D4">
        <w:rPr>
          <w:rFonts w:eastAsia="Times New Roman"/>
          <w:sz w:val="24"/>
          <w:szCs w:val="24"/>
        </w:rPr>
        <w:t>continued</w:t>
      </w:r>
    </w:p>
    <w:p w14:paraId="281A540A" w14:textId="77777777" w:rsidR="004647B9" w:rsidRDefault="004647B9" w:rsidP="005455D4">
      <w:pPr>
        <w:rPr>
          <w:sz w:val="20"/>
          <w:szCs w:val="20"/>
        </w:rPr>
      </w:pPr>
    </w:p>
    <w:tbl>
      <w:tblPr>
        <w:tblW w:w="11160" w:type="dxa"/>
        <w:tblInd w:w="10" w:type="dxa"/>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8E724B" w14:paraId="281A5412" w14:textId="77777777" w:rsidTr="008E724B">
        <w:trPr>
          <w:trHeight w:val="755"/>
        </w:trPr>
        <w:tc>
          <w:tcPr>
            <w:tcW w:w="2280" w:type="dxa"/>
            <w:tcBorders>
              <w:top w:val="single" w:sz="8" w:space="0" w:color="auto"/>
              <w:left w:val="single" w:sz="8" w:space="0" w:color="auto"/>
              <w:bottom w:val="single" w:sz="8" w:space="0" w:color="auto"/>
              <w:right w:val="single" w:sz="8" w:space="0" w:color="auto"/>
            </w:tcBorders>
            <w:vAlign w:val="center"/>
          </w:tcPr>
          <w:p w14:paraId="6B5562E8" w14:textId="77777777" w:rsidR="008E724B" w:rsidRDefault="008E724B" w:rsidP="008E724B">
            <w:pPr>
              <w:rPr>
                <w:sz w:val="20"/>
                <w:szCs w:val="20"/>
              </w:rPr>
            </w:pPr>
            <w:r>
              <w:rPr>
                <w:rFonts w:eastAsia="Times New Roman"/>
                <w:sz w:val="18"/>
                <w:szCs w:val="18"/>
              </w:rPr>
              <w:t>Chemical</w:t>
            </w:r>
          </w:p>
          <w:p w14:paraId="281A540C" w14:textId="45C04B27" w:rsidR="008E724B" w:rsidRDefault="008E724B" w:rsidP="008E724B">
            <w:pPr>
              <w:rPr>
                <w:sz w:val="24"/>
                <w:szCs w:val="24"/>
              </w:rPr>
            </w:pPr>
            <w:r>
              <w:rPr>
                <w:rFonts w:eastAsia="Times New Roman"/>
                <w:sz w:val="18"/>
                <w:szCs w:val="18"/>
              </w:rPr>
              <w:t>(CASRN )</w:t>
            </w:r>
          </w:p>
        </w:tc>
        <w:tc>
          <w:tcPr>
            <w:tcW w:w="800" w:type="dxa"/>
            <w:tcBorders>
              <w:top w:val="single" w:sz="8" w:space="0" w:color="auto"/>
              <w:left w:val="single" w:sz="8" w:space="0" w:color="auto"/>
              <w:bottom w:val="single" w:sz="8" w:space="0" w:color="auto"/>
              <w:right w:val="single" w:sz="8" w:space="0" w:color="auto"/>
            </w:tcBorders>
            <w:vAlign w:val="center"/>
          </w:tcPr>
          <w:p w14:paraId="281A540D" w14:textId="77777777" w:rsidR="008E724B" w:rsidRDefault="008E724B" w:rsidP="008E724B">
            <w:pPr>
              <w:jc w:val="center"/>
              <w:rPr>
                <w:sz w:val="20"/>
                <w:szCs w:val="20"/>
              </w:rPr>
            </w:pPr>
            <w:r>
              <w:rPr>
                <w:rFonts w:eastAsia="Times New Roman"/>
                <w:sz w:val="18"/>
                <w:szCs w:val="18"/>
              </w:rPr>
              <w:t>ORSG</w:t>
            </w:r>
          </w:p>
        </w:tc>
        <w:tc>
          <w:tcPr>
            <w:tcW w:w="1700" w:type="dxa"/>
            <w:tcBorders>
              <w:top w:val="single" w:sz="8" w:space="0" w:color="auto"/>
              <w:bottom w:val="single" w:sz="8" w:space="0" w:color="auto"/>
              <w:right w:val="single" w:sz="8" w:space="0" w:color="auto"/>
            </w:tcBorders>
            <w:vAlign w:val="center"/>
          </w:tcPr>
          <w:p w14:paraId="448B5B01" w14:textId="77777777" w:rsidR="008E724B" w:rsidRDefault="008E724B" w:rsidP="008E724B">
            <w:pPr>
              <w:jc w:val="center"/>
              <w:rPr>
                <w:sz w:val="20"/>
                <w:szCs w:val="20"/>
              </w:rPr>
            </w:pPr>
            <w:r>
              <w:rPr>
                <w:rFonts w:eastAsia="Times New Roman"/>
                <w:sz w:val="18"/>
                <w:szCs w:val="18"/>
              </w:rPr>
              <w:t>To convert for</w:t>
            </w:r>
          </w:p>
          <w:p w14:paraId="281A540E" w14:textId="312F1BA4" w:rsidR="008E724B" w:rsidRDefault="008E724B" w:rsidP="008E724B">
            <w:pPr>
              <w:jc w:val="center"/>
              <w:rPr>
                <w:sz w:val="20"/>
                <w:szCs w:val="20"/>
              </w:rPr>
            </w:pPr>
            <w:r>
              <w:rPr>
                <w:rFonts w:eastAsia="Times New Roman"/>
                <w:sz w:val="18"/>
                <w:szCs w:val="18"/>
              </w:rPr>
              <w:t>CCR, multiply by</w:t>
            </w:r>
          </w:p>
        </w:tc>
        <w:tc>
          <w:tcPr>
            <w:tcW w:w="1620" w:type="dxa"/>
            <w:tcBorders>
              <w:top w:val="single" w:sz="8" w:space="0" w:color="auto"/>
              <w:bottom w:val="single" w:sz="8" w:space="0" w:color="auto"/>
              <w:right w:val="single" w:sz="8" w:space="0" w:color="auto"/>
            </w:tcBorders>
            <w:vAlign w:val="center"/>
          </w:tcPr>
          <w:p w14:paraId="67D35CF9" w14:textId="77777777" w:rsidR="008E724B" w:rsidRDefault="008E724B" w:rsidP="008E724B">
            <w:pPr>
              <w:jc w:val="center"/>
              <w:rPr>
                <w:sz w:val="20"/>
                <w:szCs w:val="20"/>
              </w:rPr>
            </w:pPr>
            <w:r>
              <w:rPr>
                <w:rFonts w:eastAsia="Times New Roman"/>
                <w:sz w:val="18"/>
                <w:szCs w:val="18"/>
              </w:rPr>
              <w:t>ORSG</w:t>
            </w:r>
          </w:p>
          <w:p w14:paraId="281A540F" w14:textId="32A2BD8F" w:rsidR="008E724B" w:rsidRDefault="008E724B" w:rsidP="008E724B">
            <w:pPr>
              <w:jc w:val="center"/>
              <w:rPr>
                <w:sz w:val="20"/>
                <w:szCs w:val="20"/>
              </w:rPr>
            </w:pPr>
            <w:r>
              <w:rPr>
                <w:rFonts w:eastAsia="Times New Roman"/>
                <w:sz w:val="18"/>
                <w:szCs w:val="18"/>
              </w:rPr>
              <w:t>in CCR units</w:t>
            </w:r>
          </w:p>
        </w:tc>
        <w:tc>
          <w:tcPr>
            <w:tcW w:w="2440" w:type="dxa"/>
            <w:tcBorders>
              <w:top w:val="single" w:sz="8" w:space="0" w:color="auto"/>
              <w:bottom w:val="single" w:sz="8" w:space="0" w:color="auto"/>
              <w:right w:val="single" w:sz="8" w:space="0" w:color="auto"/>
            </w:tcBorders>
            <w:vAlign w:val="center"/>
          </w:tcPr>
          <w:p w14:paraId="281A5410" w14:textId="0CE1D906" w:rsidR="008E724B" w:rsidRDefault="008E724B" w:rsidP="008E724B">
            <w:pPr>
              <w:jc w:val="center"/>
              <w:rPr>
                <w:sz w:val="20"/>
                <w:szCs w:val="20"/>
              </w:rPr>
            </w:pPr>
            <w:r>
              <w:rPr>
                <w:rFonts w:eastAsia="Times New Roman"/>
                <w:sz w:val="18"/>
                <w:szCs w:val="18"/>
              </w:rPr>
              <w:t>Source to Drinking Water</w:t>
            </w:r>
          </w:p>
        </w:tc>
        <w:tc>
          <w:tcPr>
            <w:tcW w:w="2320" w:type="dxa"/>
            <w:tcBorders>
              <w:top w:val="single" w:sz="8" w:space="0" w:color="auto"/>
              <w:bottom w:val="single" w:sz="8" w:space="0" w:color="auto"/>
              <w:right w:val="single" w:sz="8" w:space="0" w:color="auto"/>
            </w:tcBorders>
            <w:vAlign w:val="center"/>
          </w:tcPr>
          <w:p w14:paraId="281A5411" w14:textId="77777777" w:rsidR="008E724B" w:rsidRDefault="008E724B" w:rsidP="008E724B">
            <w:pPr>
              <w:jc w:val="center"/>
              <w:rPr>
                <w:sz w:val="20"/>
                <w:szCs w:val="20"/>
              </w:rPr>
            </w:pPr>
            <w:r>
              <w:rPr>
                <w:rFonts w:eastAsia="Times New Roman"/>
                <w:sz w:val="18"/>
                <w:szCs w:val="18"/>
              </w:rPr>
              <w:t>Health Effects</w:t>
            </w:r>
          </w:p>
        </w:tc>
      </w:tr>
      <w:tr w:rsidR="00CF32A3" w14:paraId="3258FE6B" w14:textId="77777777" w:rsidTr="00864BA6">
        <w:trPr>
          <w:trHeight w:val="1855"/>
        </w:trPr>
        <w:tc>
          <w:tcPr>
            <w:tcW w:w="2280" w:type="dxa"/>
            <w:tcBorders>
              <w:top w:val="single" w:sz="8" w:space="0" w:color="auto"/>
              <w:left w:val="single" w:sz="8" w:space="0" w:color="auto"/>
              <w:bottom w:val="single" w:sz="8" w:space="0" w:color="auto"/>
              <w:right w:val="single" w:sz="8" w:space="0" w:color="auto"/>
            </w:tcBorders>
            <w:vAlign w:val="center"/>
          </w:tcPr>
          <w:p w14:paraId="0D7E6525" w14:textId="77777777" w:rsidR="00CF32A3" w:rsidRDefault="00CF32A3" w:rsidP="00CF32A3">
            <w:pPr>
              <w:ind w:left="60"/>
              <w:rPr>
                <w:sz w:val="20"/>
                <w:szCs w:val="20"/>
              </w:rPr>
            </w:pPr>
            <w:r>
              <w:rPr>
                <w:rFonts w:eastAsia="Times New Roman"/>
                <w:sz w:val="18"/>
                <w:szCs w:val="18"/>
              </w:rPr>
              <w:t>1,1,1,2-Tetrachloroethane</w:t>
            </w:r>
          </w:p>
          <w:p w14:paraId="6B04BAD5" w14:textId="44FAFCBB" w:rsidR="00CF32A3" w:rsidRDefault="00CF32A3" w:rsidP="00CF32A3">
            <w:pPr>
              <w:ind w:left="60"/>
              <w:rPr>
                <w:rFonts w:eastAsia="Times New Roman"/>
                <w:sz w:val="18"/>
                <w:szCs w:val="18"/>
              </w:rPr>
            </w:pPr>
            <w:r>
              <w:rPr>
                <w:rFonts w:eastAsia="Times New Roman"/>
                <w:sz w:val="18"/>
                <w:szCs w:val="18"/>
              </w:rPr>
              <w:t>(630206)</w:t>
            </w:r>
          </w:p>
        </w:tc>
        <w:tc>
          <w:tcPr>
            <w:tcW w:w="800" w:type="dxa"/>
            <w:tcBorders>
              <w:top w:val="single" w:sz="8" w:space="0" w:color="auto"/>
              <w:bottom w:val="single" w:sz="8" w:space="0" w:color="auto"/>
              <w:right w:val="single" w:sz="8" w:space="0" w:color="auto"/>
            </w:tcBorders>
            <w:vAlign w:val="center"/>
          </w:tcPr>
          <w:p w14:paraId="2F8067B4" w14:textId="6BBE65ED" w:rsidR="00CF32A3" w:rsidRDefault="00CF32A3" w:rsidP="00CF32A3">
            <w:pPr>
              <w:jc w:val="center"/>
              <w:rPr>
                <w:rFonts w:eastAsia="Times New Roman"/>
                <w:sz w:val="18"/>
                <w:szCs w:val="18"/>
              </w:rPr>
            </w:pPr>
            <w:r>
              <w:rPr>
                <w:rFonts w:eastAsia="Times New Roman"/>
                <w:sz w:val="18"/>
                <w:szCs w:val="18"/>
              </w:rPr>
              <w:t>*</w:t>
            </w:r>
          </w:p>
        </w:tc>
        <w:tc>
          <w:tcPr>
            <w:tcW w:w="1700" w:type="dxa"/>
            <w:tcBorders>
              <w:top w:val="single" w:sz="8" w:space="0" w:color="auto"/>
              <w:bottom w:val="single" w:sz="8" w:space="0" w:color="auto"/>
              <w:right w:val="single" w:sz="8" w:space="0" w:color="auto"/>
            </w:tcBorders>
            <w:vAlign w:val="center"/>
          </w:tcPr>
          <w:p w14:paraId="6C1734A3" w14:textId="025926B1" w:rsidR="00CF32A3" w:rsidRDefault="00CF32A3" w:rsidP="00CF32A3">
            <w:pPr>
              <w:jc w:val="center"/>
              <w:rPr>
                <w:rFonts w:eastAsia="Times New Roman"/>
                <w:w w:val="99"/>
                <w:sz w:val="18"/>
                <w:szCs w:val="18"/>
              </w:rPr>
            </w:pPr>
            <w:r>
              <w:rPr>
                <w:rFonts w:eastAsia="Times New Roman"/>
                <w:sz w:val="18"/>
                <w:szCs w:val="18"/>
              </w:rPr>
              <w:t>-</w:t>
            </w:r>
          </w:p>
        </w:tc>
        <w:tc>
          <w:tcPr>
            <w:tcW w:w="1620" w:type="dxa"/>
            <w:tcBorders>
              <w:top w:val="single" w:sz="8" w:space="0" w:color="auto"/>
              <w:bottom w:val="single" w:sz="8" w:space="0" w:color="auto"/>
              <w:right w:val="single" w:sz="8" w:space="0" w:color="auto"/>
            </w:tcBorders>
            <w:vAlign w:val="center"/>
          </w:tcPr>
          <w:p w14:paraId="514B3FA9" w14:textId="312E15DD" w:rsidR="00CF32A3" w:rsidRDefault="00CF32A3" w:rsidP="00CF32A3">
            <w:pPr>
              <w:jc w:val="center"/>
              <w:rPr>
                <w:rFonts w:eastAsia="Times New Roman"/>
                <w:w w:val="99"/>
                <w:sz w:val="18"/>
                <w:szCs w:val="18"/>
              </w:rPr>
            </w:pPr>
            <w:r>
              <w:rPr>
                <w:rFonts w:eastAsia="Times New Roman"/>
                <w:sz w:val="18"/>
                <w:szCs w:val="18"/>
              </w:rPr>
              <w:t>-</w:t>
            </w:r>
          </w:p>
        </w:tc>
        <w:tc>
          <w:tcPr>
            <w:tcW w:w="2440" w:type="dxa"/>
            <w:tcBorders>
              <w:top w:val="single" w:sz="8" w:space="0" w:color="auto"/>
              <w:bottom w:val="single" w:sz="8" w:space="0" w:color="auto"/>
              <w:right w:val="single" w:sz="8" w:space="0" w:color="auto"/>
            </w:tcBorders>
          </w:tcPr>
          <w:p w14:paraId="4ED60658" w14:textId="500996A7" w:rsidR="00CF32A3" w:rsidRDefault="00CF32A3" w:rsidP="00CF32A3">
            <w:pPr>
              <w:spacing w:line="360" w:lineRule="auto"/>
              <w:ind w:left="40"/>
              <w:rPr>
                <w:rFonts w:eastAsia="Times New Roman"/>
                <w:sz w:val="18"/>
                <w:szCs w:val="18"/>
              </w:rPr>
            </w:pPr>
            <w:r>
              <w:rPr>
                <w:rFonts w:eastAsia="Times New Roman"/>
                <w:sz w:val="18"/>
                <w:szCs w:val="18"/>
              </w:rPr>
              <w:t>Discharge from use in chemical manufacturing</w:t>
            </w:r>
          </w:p>
        </w:tc>
        <w:tc>
          <w:tcPr>
            <w:tcW w:w="2320" w:type="dxa"/>
            <w:tcBorders>
              <w:top w:val="single" w:sz="8" w:space="0" w:color="auto"/>
              <w:bottom w:val="single" w:sz="8" w:space="0" w:color="auto"/>
              <w:right w:val="single" w:sz="8" w:space="0" w:color="auto"/>
            </w:tcBorders>
          </w:tcPr>
          <w:p w14:paraId="03BE308B" w14:textId="1AE56D92" w:rsidR="00CF32A3" w:rsidRDefault="00CF32A3" w:rsidP="00CF32A3">
            <w:pPr>
              <w:spacing w:line="360" w:lineRule="auto"/>
              <w:ind w:left="40"/>
              <w:rPr>
                <w:rFonts w:eastAsia="Times New Roman"/>
                <w:sz w:val="18"/>
                <w:szCs w:val="18"/>
              </w:rPr>
            </w:pPr>
            <w:r>
              <w:rPr>
                <w:rFonts w:eastAsia="Times New Roman"/>
                <w:sz w:val="18"/>
                <w:szCs w:val="18"/>
              </w:rPr>
              <w:t>Some people who drink water containing 1,1,1,2-tetrachloroethane at high concentrations for many years could experience liver effects.</w:t>
            </w:r>
          </w:p>
        </w:tc>
      </w:tr>
      <w:tr w:rsidR="00CF32A3" w14:paraId="2683786A" w14:textId="77777777" w:rsidTr="00864BA6">
        <w:trPr>
          <w:trHeight w:val="1855"/>
        </w:trPr>
        <w:tc>
          <w:tcPr>
            <w:tcW w:w="2280" w:type="dxa"/>
            <w:tcBorders>
              <w:top w:val="single" w:sz="8" w:space="0" w:color="auto"/>
              <w:left w:val="single" w:sz="8" w:space="0" w:color="auto"/>
              <w:bottom w:val="single" w:sz="8" w:space="0" w:color="auto"/>
              <w:right w:val="single" w:sz="8" w:space="0" w:color="auto"/>
            </w:tcBorders>
            <w:vAlign w:val="center"/>
          </w:tcPr>
          <w:p w14:paraId="6EA938E7" w14:textId="77777777" w:rsidR="00CF32A3" w:rsidRDefault="00CF32A3" w:rsidP="00CF32A3">
            <w:pPr>
              <w:ind w:left="60"/>
              <w:rPr>
                <w:sz w:val="20"/>
                <w:szCs w:val="20"/>
              </w:rPr>
            </w:pPr>
            <w:r>
              <w:rPr>
                <w:rFonts w:eastAsia="Times New Roman"/>
                <w:sz w:val="18"/>
                <w:szCs w:val="18"/>
              </w:rPr>
              <w:t>1,1,2,2-Tetrachloroethane</w:t>
            </w:r>
          </w:p>
          <w:p w14:paraId="5CA0C62B" w14:textId="6CF8DEF7" w:rsidR="00CF32A3" w:rsidRDefault="00CF32A3" w:rsidP="00CF32A3">
            <w:pPr>
              <w:ind w:left="60"/>
              <w:rPr>
                <w:rFonts w:eastAsia="Times New Roman"/>
                <w:sz w:val="18"/>
                <w:szCs w:val="18"/>
              </w:rPr>
            </w:pPr>
            <w:r>
              <w:rPr>
                <w:rFonts w:eastAsia="Times New Roman"/>
                <w:sz w:val="18"/>
                <w:szCs w:val="18"/>
              </w:rPr>
              <w:t>(79345)</w:t>
            </w:r>
          </w:p>
        </w:tc>
        <w:tc>
          <w:tcPr>
            <w:tcW w:w="800" w:type="dxa"/>
            <w:tcBorders>
              <w:top w:val="single" w:sz="8" w:space="0" w:color="auto"/>
              <w:bottom w:val="single" w:sz="8" w:space="0" w:color="auto"/>
              <w:right w:val="single" w:sz="8" w:space="0" w:color="auto"/>
            </w:tcBorders>
            <w:vAlign w:val="center"/>
          </w:tcPr>
          <w:p w14:paraId="1EDF5230" w14:textId="228E9D0C" w:rsidR="00CF32A3" w:rsidRDefault="00CF32A3" w:rsidP="00CF32A3">
            <w:pPr>
              <w:jc w:val="center"/>
              <w:rPr>
                <w:rFonts w:eastAsia="Times New Roman"/>
                <w:sz w:val="18"/>
                <w:szCs w:val="18"/>
              </w:rPr>
            </w:pPr>
            <w:r>
              <w:rPr>
                <w:rFonts w:eastAsia="Times New Roman"/>
                <w:sz w:val="18"/>
                <w:szCs w:val="18"/>
              </w:rPr>
              <w:t>*</w:t>
            </w:r>
          </w:p>
        </w:tc>
        <w:tc>
          <w:tcPr>
            <w:tcW w:w="1700" w:type="dxa"/>
            <w:tcBorders>
              <w:top w:val="single" w:sz="8" w:space="0" w:color="auto"/>
              <w:bottom w:val="single" w:sz="8" w:space="0" w:color="auto"/>
              <w:right w:val="single" w:sz="8" w:space="0" w:color="auto"/>
            </w:tcBorders>
            <w:vAlign w:val="center"/>
          </w:tcPr>
          <w:p w14:paraId="7860CADC" w14:textId="542B9DD0" w:rsidR="00CF32A3" w:rsidRDefault="00CF32A3" w:rsidP="00CF32A3">
            <w:pPr>
              <w:jc w:val="center"/>
              <w:rPr>
                <w:rFonts w:eastAsia="Times New Roman"/>
                <w:w w:val="99"/>
                <w:sz w:val="18"/>
                <w:szCs w:val="18"/>
              </w:rPr>
            </w:pPr>
            <w:r>
              <w:rPr>
                <w:rFonts w:eastAsia="Times New Roman"/>
                <w:sz w:val="18"/>
                <w:szCs w:val="18"/>
              </w:rPr>
              <w:t>-</w:t>
            </w:r>
          </w:p>
        </w:tc>
        <w:tc>
          <w:tcPr>
            <w:tcW w:w="1620" w:type="dxa"/>
            <w:tcBorders>
              <w:top w:val="single" w:sz="8" w:space="0" w:color="auto"/>
              <w:bottom w:val="single" w:sz="8" w:space="0" w:color="auto"/>
              <w:right w:val="single" w:sz="8" w:space="0" w:color="auto"/>
            </w:tcBorders>
            <w:vAlign w:val="center"/>
          </w:tcPr>
          <w:p w14:paraId="34534871" w14:textId="28522734" w:rsidR="00CF32A3" w:rsidRDefault="00CF32A3" w:rsidP="00CF32A3">
            <w:pPr>
              <w:jc w:val="center"/>
              <w:rPr>
                <w:rFonts w:eastAsia="Times New Roman"/>
                <w:w w:val="99"/>
                <w:sz w:val="18"/>
                <w:szCs w:val="18"/>
              </w:rPr>
            </w:pPr>
            <w:r>
              <w:rPr>
                <w:rFonts w:eastAsia="Times New Roman"/>
                <w:sz w:val="18"/>
                <w:szCs w:val="18"/>
              </w:rPr>
              <w:t>-</w:t>
            </w:r>
          </w:p>
        </w:tc>
        <w:tc>
          <w:tcPr>
            <w:tcW w:w="2440" w:type="dxa"/>
            <w:tcBorders>
              <w:top w:val="single" w:sz="8" w:space="0" w:color="auto"/>
              <w:bottom w:val="single" w:sz="8" w:space="0" w:color="auto"/>
              <w:right w:val="single" w:sz="8" w:space="0" w:color="auto"/>
            </w:tcBorders>
          </w:tcPr>
          <w:p w14:paraId="7A0EEDE4" w14:textId="72B6CC48" w:rsidR="00CF32A3" w:rsidRDefault="00CF32A3" w:rsidP="00CF32A3">
            <w:pPr>
              <w:spacing w:line="360" w:lineRule="auto"/>
              <w:ind w:left="40"/>
              <w:rPr>
                <w:rFonts w:eastAsia="Times New Roman"/>
                <w:sz w:val="18"/>
                <w:szCs w:val="18"/>
              </w:rPr>
            </w:pPr>
            <w:r>
              <w:rPr>
                <w:rFonts w:eastAsia="Times New Roman"/>
                <w:sz w:val="18"/>
                <w:szCs w:val="18"/>
              </w:rPr>
              <w:t>Discharge from use in dry cleaning</w:t>
            </w:r>
          </w:p>
        </w:tc>
        <w:tc>
          <w:tcPr>
            <w:tcW w:w="2320" w:type="dxa"/>
            <w:tcBorders>
              <w:top w:val="single" w:sz="8" w:space="0" w:color="auto"/>
              <w:bottom w:val="single" w:sz="8" w:space="0" w:color="auto"/>
              <w:right w:val="single" w:sz="8" w:space="0" w:color="auto"/>
            </w:tcBorders>
          </w:tcPr>
          <w:p w14:paraId="29C931AD" w14:textId="69C7D08D" w:rsidR="00CF32A3" w:rsidRDefault="00CF32A3" w:rsidP="00CF32A3">
            <w:pPr>
              <w:spacing w:line="360" w:lineRule="auto"/>
              <w:ind w:left="40"/>
              <w:rPr>
                <w:rFonts w:eastAsia="Times New Roman"/>
                <w:sz w:val="18"/>
                <w:szCs w:val="18"/>
              </w:rPr>
            </w:pPr>
            <w:r>
              <w:rPr>
                <w:rFonts w:eastAsia="Times New Roman"/>
                <w:sz w:val="18"/>
                <w:szCs w:val="18"/>
              </w:rPr>
              <w:t>Some people who drink water containing 1,1,2,2-tetrachloroethane at high concentrations for many years could experience nausea, vomiting and liver damage.</w:t>
            </w:r>
          </w:p>
        </w:tc>
      </w:tr>
      <w:tr w:rsidR="00CF32A3" w14:paraId="5407272D" w14:textId="77777777" w:rsidTr="00864BA6">
        <w:trPr>
          <w:trHeight w:val="1855"/>
        </w:trPr>
        <w:tc>
          <w:tcPr>
            <w:tcW w:w="2280" w:type="dxa"/>
            <w:tcBorders>
              <w:top w:val="single" w:sz="8" w:space="0" w:color="auto"/>
              <w:left w:val="single" w:sz="8" w:space="0" w:color="auto"/>
              <w:bottom w:val="single" w:sz="8" w:space="0" w:color="auto"/>
              <w:right w:val="single" w:sz="8" w:space="0" w:color="auto"/>
            </w:tcBorders>
            <w:vAlign w:val="center"/>
          </w:tcPr>
          <w:p w14:paraId="3198AEBB" w14:textId="77777777" w:rsidR="00CF32A3" w:rsidRDefault="00CF32A3" w:rsidP="00CF32A3">
            <w:pPr>
              <w:ind w:left="60"/>
              <w:rPr>
                <w:sz w:val="20"/>
                <w:szCs w:val="20"/>
              </w:rPr>
            </w:pPr>
            <w:r>
              <w:rPr>
                <w:rFonts w:eastAsia="Times New Roman"/>
                <w:sz w:val="18"/>
                <w:szCs w:val="18"/>
              </w:rPr>
              <w:t>Tetrahydrofuran</w:t>
            </w:r>
          </w:p>
          <w:p w14:paraId="43087812" w14:textId="4973F8ED" w:rsidR="00CF32A3" w:rsidRDefault="00CF32A3" w:rsidP="00CF32A3">
            <w:pPr>
              <w:ind w:left="60"/>
              <w:rPr>
                <w:rFonts w:eastAsia="Times New Roman"/>
                <w:sz w:val="18"/>
                <w:szCs w:val="18"/>
              </w:rPr>
            </w:pPr>
            <w:r>
              <w:rPr>
                <w:rFonts w:eastAsia="Times New Roman"/>
                <w:sz w:val="18"/>
                <w:szCs w:val="18"/>
              </w:rPr>
              <w:t>(109999)</w:t>
            </w:r>
          </w:p>
        </w:tc>
        <w:tc>
          <w:tcPr>
            <w:tcW w:w="800" w:type="dxa"/>
            <w:tcBorders>
              <w:top w:val="single" w:sz="8" w:space="0" w:color="auto"/>
              <w:bottom w:val="single" w:sz="8" w:space="0" w:color="auto"/>
              <w:right w:val="single" w:sz="8" w:space="0" w:color="auto"/>
            </w:tcBorders>
            <w:vAlign w:val="center"/>
          </w:tcPr>
          <w:p w14:paraId="36F32E7F" w14:textId="01217065" w:rsidR="00CF32A3" w:rsidRDefault="00CF32A3" w:rsidP="00CF32A3">
            <w:pPr>
              <w:jc w:val="center"/>
              <w:rPr>
                <w:rFonts w:eastAsia="Times New Roman"/>
                <w:sz w:val="18"/>
                <w:szCs w:val="18"/>
              </w:rPr>
            </w:pPr>
            <w:r>
              <w:rPr>
                <w:rFonts w:eastAsia="Times New Roman"/>
                <w:sz w:val="18"/>
                <w:szCs w:val="18"/>
              </w:rPr>
              <w:t>1.3 mg/L</w:t>
            </w:r>
          </w:p>
        </w:tc>
        <w:tc>
          <w:tcPr>
            <w:tcW w:w="1700" w:type="dxa"/>
            <w:tcBorders>
              <w:top w:val="single" w:sz="8" w:space="0" w:color="auto"/>
              <w:bottom w:val="single" w:sz="8" w:space="0" w:color="auto"/>
              <w:right w:val="single" w:sz="8" w:space="0" w:color="auto"/>
            </w:tcBorders>
            <w:vAlign w:val="center"/>
          </w:tcPr>
          <w:p w14:paraId="2A4B7D74" w14:textId="7AE1936D" w:rsidR="00CF32A3" w:rsidRDefault="00CF32A3" w:rsidP="00CF32A3">
            <w:pPr>
              <w:jc w:val="center"/>
              <w:rPr>
                <w:rFonts w:eastAsia="Times New Roman"/>
                <w:w w:val="99"/>
                <w:sz w:val="18"/>
                <w:szCs w:val="18"/>
              </w:rPr>
            </w:pPr>
            <w:r>
              <w:rPr>
                <w:rFonts w:eastAsia="Times New Roman"/>
                <w:sz w:val="18"/>
                <w:szCs w:val="18"/>
              </w:rPr>
              <w:t>-</w:t>
            </w:r>
          </w:p>
        </w:tc>
        <w:tc>
          <w:tcPr>
            <w:tcW w:w="1620" w:type="dxa"/>
            <w:tcBorders>
              <w:top w:val="single" w:sz="8" w:space="0" w:color="auto"/>
              <w:bottom w:val="single" w:sz="8" w:space="0" w:color="auto"/>
              <w:right w:val="single" w:sz="8" w:space="0" w:color="auto"/>
            </w:tcBorders>
            <w:vAlign w:val="center"/>
          </w:tcPr>
          <w:p w14:paraId="2D189146" w14:textId="3AE1BA67" w:rsidR="00CF32A3" w:rsidRDefault="00CF32A3" w:rsidP="00CF32A3">
            <w:pPr>
              <w:jc w:val="center"/>
              <w:rPr>
                <w:rFonts w:eastAsia="Times New Roman"/>
                <w:w w:val="99"/>
                <w:sz w:val="18"/>
                <w:szCs w:val="18"/>
              </w:rPr>
            </w:pPr>
            <w:r>
              <w:rPr>
                <w:rFonts w:eastAsia="Times New Roman"/>
                <w:sz w:val="18"/>
                <w:szCs w:val="18"/>
              </w:rPr>
              <w:t>1.3 ppm</w:t>
            </w:r>
          </w:p>
        </w:tc>
        <w:tc>
          <w:tcPr>
            <w:tcW w:w="2440" w:type="dxa"/>
            <w:tcBorders>
              <w:top w:val="single" w:sz="8" w:space="0" w:color="auto"/>
              <w:bottom w:val="single" w:sz="8" w:space="0" w:color="auto"/>
              <w:right w:val="single" w:sz="8" w:space="0" w:color="auto"/>
            </w:tcBorders>
          </w:tcPr>
          <w:p w14:paraId="228A04DF" w14:textId="00B8E5E7" w:rsidR="00CF32A3" w:rsidRDefault="00CF32A3" w:rsidP="00CF32A3">
            <w:pPr>
              <w:spacing w:line="360" w:lineRule="auto"/>
              <w:ind w:left="40"/>
              <w:rPr>
                <w:rFonts w:eastAsia="Times New Roman"/>
                <w:sz w:val="18"/>
                <w:szCs w:val="18"/>
              </w:rPr>
            </w:pPr>
            <w:r>
              <w:rPr>
                <w:rFonts w:eastAsia="Times New Roman"/>
                <w:sz w:val="18"/>
                <w:szCs w:val="18"/>
              </w:rPr>
              <w:t>Discharge from use as an adhesive for joining pipes in water treatment systems and as a production solvent</w:t>
            </w:r>
          </w:p>
        </w:tc>
        <w:tc>
          <w:tcPr>
            <w:tcW w:w="2320" w:type="dxa"/>
            <w:tcBorders>
              <w:top w:val="single" w:sz="8" w:space="0" w:color="auto"/>
              <w:bottom w:val="single" w:sz="8" w:space="0" w:color="auto"/>
              <w:right w:val="single" w:sz="8" w:space="0" w:color="auto"/>
            </w:tcBorders>
          </w:tcPr>
          <w:p w14:paraId="23E99BB5" w14:textId="50587249" w:rsidR="00CF32A3" w:rsidRDefault="00CF32A3" w:rsidP="00CF32A3">
            <w:pPr>
              <w:spacing w:line="360" w:lineRule="auto"/>
              <w:ind w:left="40"/>
              <w:rPr>
                <w:rFonts w:eastAsia="Times New Roman"/>
                <w:sz w:val="18"/>
                <w:szCs w:val="18"/>
              </w:rPr>
            </w:pPr>
            <w:r>
              <w:rPr>
                <w:rFonts w:eastAsia="Times New Roman"/>
                <w:sz w:val="18"/>
                <w:szCs w:val="18"/>
              </w:rPr>
              <w:t>Some people who drink water containing tetrahydrofuran at high concentrations for many years could experience effects on the central nervous system, liver, kidney, and lung and possible cancer.</w:t>
            </w:r>
          </w:p>
        </w:tc>
      </w:tr>
      <w:tr w:rsidR="008E724B" w14:paraId="281A5428" w14:textId="77777777" w:rsidTr="00864BA6">
        <w:trPr>
          <w:trHeight w:val="1855"/>
        </w:trPr>
        <w:tc>
          <w:tcPr>
            <w:tcW w:w="2280" w:type="dxa"/>
            <w:tcBorders>
              <w:top w:val="single" w:sz="8" w:space="0" w:color="auto"/>
              <w:left w:val="single" w:sz="8" w:space="0" w:color="auto"/>
              <w:bottom w:val="single" w:sz="8" w:space="0" w:color="auto"/>
              <w:right w:val="single" w:sz="8" w:space="0" w:color="auto"/>
            </w:tcBorders>
            <w:vAlign w:val="center"/>
          </w:tcPr>
          <w:p w14:paraId="281A5422" w14:textId="77777777" w:rsidR="008E724B" w:rsidRDefault="008E724B" w:rsidP="008E724B">
            <w:pPr>
              <w:ind w:left="60"/>
              <w:rPr>
                <w:sz w:val="20"/>
                <w:szCs w:val="20"/>
              </w:rPr>
            </w:pPr>
            <w:r>
              <w:rPr>
                <w:rFonts w:eastAsia="Times New Roman"/>
                <w:sz w:val="18"/>
                <w:szCs w:val="18"/>
              </w:rPr>
              <w:t>1,2,3-Trichlorobenzene</w:t>
            </w:r>
          </w:p>
        </w:tc>
        <w:tc>
          <w:tcPr>
            <w:tcW w:w="800" w:type="dxa"/>
            <w:tcBorders>
              <w:top w:val="single" w:sz="8" w:space="0" w:color="auto"/>
              <w:bottom w:val="single" w:sz="8" w:space="0" w:color="auto"/>
              <w:right w:val="single" w:sz="8" w:space="0" w:color="auto"/>
            </w:tcBorders>
            <w:vAlign w:val="center"/>
          </w:tcPr>
          <w:p w14:paraId="281A5423" w14:textId="77777777" w:rsidR="008E724B" w:rsidRDefault="008E724B" w:rsidP="008E724B">
            <w:pPr>
              <w:jc w:val="center"/>
              <w:rPr>
                <w:sz w:val="20"/>
                <w:szCs w:val="20"/>
              </w:rPr>
            </w:pPr>
            <w:r>
              <w:rPr>
                <w:rFonts w:eastAsia="Times New Roman"/>
                <w:sz w:val="18"/>
                <w:szCs w:val="18"/>
              </w:rPr>
              <w:t>*</w:t>
            </w:r>
          </w:p>
        </w:tc>
        <w:tc>
          <w:tcPr>
            <w:tcW w:w="1700" w:type="dxa"/>
            <w:tcBorders>
              <w:top w:val="single" w:sz="8" w:space="0" w:color="auto"/>
              <w:bottom w:val="single" w:sz="8" w:space="0" w:color="auto"/>
              <w:right w:val="single" w:sz="8" w:space="0" w:color="auto"/>
            </w:tcBorders>
            <w:vAlign w:val="center"/>
          </w:tcPr>
          <w:p w14:paraId="281A5424" w14:textId="77777777" w:rsidR="008E724B" w:rsidRDefault="008E724B" w:rsidP="008E724B">
            <w:pPr>
              <w:jc w:val="center"/>
              <w:rPr>
                <w:sz w:val="20"/>
                <w:szCs w:val="20"/>
              </w:rPr>
            </w:pPr>
            <w:r>
              <w:rPr>
                <w:rFonts w:eastAsia="Times New Roman"/>
                <w:w w:val="99"/>
                <w:sz w:val="18"/>
                <w:szCs w:val="18"/>
              </w:rPr>
              <w:t>-</w:t>
            </w:r>
          </w:p>
        </w:tc>
        <w:tc>
          <w:tcPr>
            <w:tcW w:w="1620" w:type="dxa"/>
            <w:tcBorders>
              <w:top w:val="single" w:sz="8" w:space="0" w:color="auto"/>
              <w:bottom w:val="single" w:sz="8" w:space="0" w:color="auto"/>
              <w:right w:val="single" w:sz="8" w:space="0" w:color="auto"/>
            </w:tcBorders>
            <w:vAlign w:val="center"/>
          </w:tcPr>
          <w:p w14:paraId="281A5425" w14:textId="77777777" w:rsidR="008E724B" w:rsidRDefault="008E724B" w:rsidP="008E724B">
            <w:pPr>
              <w:jc w:val="center"/>
              <w:rPr>
                <w:sz w:val="20"/>
                <w:szCs w:val="20"/>
              </w:rPr>
            </w:pPr>
            <w:r>
              <w:rPr>
                <w:rFonts w:eastAsia="Times New Roman"/>
                <w:w w:val="99"/>
                <w:sz w:val="18"/>
                <w:szCs w:val="18"/>
              </w:rPr>
              <w:t>-</w:t>
            </w:r>
          </w:p>
        </w:tc>
        <w:tc>
          <w:tcPr>
            <w:tcW w:w="2440" w:type="dxa"/>
            <w:tcBorders>
              <w:top w:val="single" w:sz="8" w:space="0" w:color="auto"/>
              <w:bottom w:val="single" w:sz="8" w:space="0" w:color="auto"/>
              <w:right w:val="single" w:sz="8" w:space="0" w:color="auto"/>
            </w:tcBorders>
          </w:tcPr>
          <w:p w14:paraId="281A5426" w14:textId="4A57298D" w:rsidR="008E724B" w:rsidRDefault="008E724B" w:rsidP="008E724B">
            <w:pPr>
              <w:spacing w:line="360" w:lineRule="auto"/>
              <w:ind w:left="40"/>
              <w:rPr>
                <w:sz w:val="20"/>
                <w:szCs w:val="20"/>
              </w:rPr>
            </w:pPr>
            <w:r>
              <w:rPr>
                <w:rFonts w:eastAsia="Times New Roman"/>
                <w:sz w:val="18"/>
                <w:szCs w:val="18"/>
              </w:rPr>
              <w:t>Discharge from use in chemical manufacturing</w:t>
            </w:r>
          </w:p>
        </w:tc>
        <w:tc>
          <w:tcPr>
            <w:tcW w:w="2320" w:type="dxa"/>
            <w:tcBorders>
              <w:top w:val="single" w:sz="8" w:space="0" w:color="auto"/>
              <w:bottom w:val="single" w:sz="8" w:space="0" w:color="auto"/>
              <w:right w:val="single" w:sz="8" w:space="0" w:color="auto"/>
            </w:tcBorders>
          </w:tcPr>
          <w:p w14:paraId="281A5427" w14:textId="12D465D4" w:rsidR="008E724B" w:rsidRDefault="008E724B" w:rsidP="008E724B">
            <w:pPr>
              <w:spacing w:line="360" w:lineRule="auto"/>
              <w:ind w:left="40"/>
              <w:rPr>
                <w:sz w:val="20"/>
                <w:szCs w:val="20"/>
              </w:rPr>
            </w:pPr>
            <w:r>
              <w:rPr>
                <w:rFonts w:eastAsia="Times New Roman"/>
                <w:sz w:val="18"/>
                <w:szCs w:val="18"/>
              </w:rPr>
              <w:t>Some people who drink water containing 1,2,3-trichlorobenzene at high concentrations for many years could experience liver effects.</w:t>
            </w:r>
          </w:p>
        </w:tc>
      </w:tr>
      <w:tr w:rsidR="00864BA6" w14:paraId="281A545F" w14:textId="77777777" w:rsidTr="004B02C1">
        <w:trPr>
          <w:trHeight w:val="2414"/>
        </w:trPr>
        <w:tc>
          <w:tcPr>
            <w:tcW w:w="2280" w:type="dxa"/>
            <w:tcBorders>
              <w:top w:val="single" w:sz="8" w:space="0" w:color="auto"/>
              <w:left w:val="single" w:sz="8" w:space="0" w:color="auto"/>
              <w:bottom w:val="single" w:sz="8" w:space="0" w:color="auto"/>
              <w:right w:val="single" w:sz="8" w:space="0" w:color="auto"/>
            </w:tcBorders>
            <w:vAlign w:val="center"/>
          </w:tcPr>
          <w:p w14:paraId="6D4FE0B2" w14:textId="3682F08A" w:rsidR="00864BA6" w:rsidRDefault="00864BA6" w:rsidP="008E724B">
            <w:pPr>
              <w:ind w:left="60"/>
              <w:rPr>
                <w:sz w:val="20"/>
                <w:szCs w:val="20"/>
              </w:rPr>
            </w:pPr>
            <w:r>
              <w:rPr>
                <w:rFonts w:eastAsia="Times New Roman"/>
                <w:sz w:val="18"/>
                <w:szCs w:val="18"/>
              </w:rPr>
              <w:t>1,1,2-Trichloro-1,2,2-tri-fluoroethane</w:t>
            </w:r>
          </w:p>
          <w:p w14:paraId="281A5459" w14:textId="2C6C0EAB" w:rsidR="00864BA6" w:rsidRDefault="00864BA6" w:rsidP="008E724B">
            <w:pPr>
              <w:rPr>
                <w:sz w:val="20"/>
                <w:szCs w:val="20"/>
              </w:rPr>
            </w:pPr>
            <w:r>
              <w:rPr>
                <w:rFonts w:eastAsia="Times New Roman"/>
                <w:sz w:val="18"/>
                <w:szCs w:val="18"/>
              </w:rPr>
              <w:t>(76131)</w:t>
            </w:r>
          </w:p>
        </w:tc>
        <w:tc>
          <w:tcPr>
            <w:tcW w:w="800" w:type="dxa"/>
            <w:tcBorders>
              <w:top w:val="single" w:sz="8" w:space="0" w:color="auto"/>
              <w:bottom w:val="single" w:sz="8" w:space="0" w:color="auto"/>
              <w:right w:val="single" w:sz="8" w:space="0" w:color="auto"/>
            </w:tcBorders>
            <w:vAlign w:val="center"/>
          </w:tcPr>
          <w:p w14:paraId="36684CE4" w14:textId="77777777" w:rsidR="00864BA6" w:rsidRDefault="00864BA6" w:rsidP="00864BA6">
            <w:pPr>
              <w:jc w:val="center"/>
              <w:rPr>
                <w:sz w:val="20"/>
                <w:szCs w:val="20"/>
              </w:rPr>
            </w:pPr>
            <w:r>
              <w:rPr>
                <w:rFonts w:eastAsia="Times New Roman"/>
                <w:sz w:val="18"/>
                <w:szCs w:val="18"/>
              </w:rPr>
              <w:t>210</w:t>
            </w:r>
          </w:p>
          <w:p w14:paraId="281A545A" w14:textId="5A5AA157" w:rsidR="00864BA6" w:rsidRDefault="00864BA6" w:rsidP="00864BA6">
            <w:pPr>
              <w:jc w:val="center"/>
              <w:rPr>
                <w:sz w:val="20"/>
                <w:szCs w:val="20"/>
              </w:rPr>
            </w:pPr>
            <w:r>
              <w:rPr>
                <w:rFonts w:eastAsia="Times New Roman"/>
                <w:sz w:val="18"/>
                <w:szCs w:val="18"/>
              </w:rPr>
              <w:t>mg/L</w:t>
            </w:r>
          </w:p>
        </w:tc>
        <w:tc>
          <w:tcPr>
            <w:tcW w:w="1700" w:type="dxa"/>
            <w:tcBorders>
              <w:top w:val="single" w:sz="8" w:space="0" w:color="auto"/>
              <w:bottom w:val="single" w:sz="8" w:space="0" w:color="auto"/>
              <w:right w:val="single" w:sz="8" w:space="0" w:color="auto"/>
            </w:tcBorders>
            <w:vAlign w:val="center"/>
          </w:tcPr>
          <w:p w14:paraId="281A545B" w14:textId="77777777" w:rsidR="00864BA6" w:rsidRDefault="00864BA6" w:rsidP="00864BA6">
            <w:pPr>
              <w:jc w:val="center"/>
              <w:rPr>
                <w:sz w:val="20"/>
                <w:szCs w:val="20"/>
              </w:rPr>
            </w:pPr>
            <w:r>
              <w:rPr>
                <w:rFonts w:eastAsia="Times New Roman"/>
                <w:w w:val="99"/>
                <w:sz w:val="18"/>
                <w:szCs w:val="18"/>
              </w:rPr>
              <w:t>-</w:t>
            </w:r>
          </w:p>
        </w:tc>
        <w:tc>
          <w:tcPr>
            <w:tcW w:w="1620" w:type="dxa"/>
            <w:tcBorders>
              <w:top w:val="single" w:sz="8" w:space="0" w:color="auto"/>
              <w:bottom w:val="single" w:sz="8" w:space="0" w:color="auto"/>
              <w:right w:val="single" w:sz="8" w:space="0" w:color="auto"/>
            </w:tcBorders>
            <w:vAlign w:val="center"/>
          </w:tcPr>
          <w:p w14:paraId="281A545C" w14:textId="77777777" w:rsidR="00864BA6" w:rsidRDefault="00864BA6" w:rsidP="00864BA6">
            <w:pPr>
              <w:jc w:val="center"/>
              <w:rPr>
                <w:sz w:val="20"/>
                <w:szCs w:val="20"/>
              </w:rPr>
            </w:pPr>
            <w:r>
              <w:rPr>
                <w:rFonts w:eastAsia="Times New Roman"/>
                <w:sz w:val="18"/>
                <w:szCs w:val="18"/>
              </w:rPr>
              <w:t>210 ppm</w:t>
            </w:r>
          </w:p>
        </w:tc>
        <w:tc>
          <w:tcPr>
            <w:tcW w:w="2440" w:type="dxa"/>
            <w:tcBorders>
              <w:top w:val="single" w:sz="8" w:space="0" w:color="auto"/>
              <w:bottom w:val="single" w:sz="8" w:space="0" w:color="auto"/>
              <w:right w:val="single" w:sz="8" w:space="0" w:color="auto"/>
            </w:tcBorders>
          </w:tcPr>
          <w:p w14:paraId="281A545D" w14:textId="51ED8AA9" w:rsidR="00864BA6" w:rsidRDefault="00864BA6" w:rsidP="00864BA6">
            <w:pPr>
              <w:spacing w:line="360" w:lineRule="auto"/>
              <w:ind w:left="40"/>
              <w:rPr>
                <w:sz w:val="20"/>
                <w:szCs w:val="20"/>
              </w:rPr>
            </w:pPr>
            <w:r>
              <w:rPr>
                <w:rFonts w:eastAsia="Times New Roman"/>
                <w:sz w:val="18"/>
                <w:szCs w:val="18"/>
              </w:rPr>
              <w:t>Discharge from use as a cleaning agent, production solvent, and blowing agent</w:t>
            </w:r>
          </w:p>
        </w:tc>
        <w:tc>
          <w:tcPr>
            <w:tcW w:w="2320" w:type="dxa"/>
            <w:tcBorders>
              <w:top w:val="single" w:sz="8" w:space="0" w:color="auto"/>
              <w:bottom w:val="single" w:sz="8" w:space="0" w:color="auto"/>
              <w:right w:val="single" w:sz="8" w:space="0" w:color="auto"/>
            </w:tcBorders>
          </w:tcPr>
          <w:p w14:paraId="281A545E" w14:textId="31364596" w:rsidR="00864BA6" w:rsidRDefault="00864BA6" w:rsidP="00864BA6">
            <w:pPr>
              <w:spacing w:line="360" w:lineRule="auto"/>
              <w:ind w:left="40"/>
              <w:rPr>
                <w:sz w:val="20"/>
                <w:szCs w:val="20"/>
              </w:rPr>
            </w:pPr>
            <w:r>
              <w:rPr>
                <w:rFonts w:eastAsia="Times New Roman"/>
                <w:sz w:val="18"/>
                <w:szCs w:val="18"/>
              </w:rPr>
              <w:t>Some people who drink water containing 1,1,2-trichloro-1,2,2-tri-fluoroethane at high concentrations for many years could experience problems on the nervous system.</w:t>
            </w:r>
          </w:p>
        </w:tc>
      </w:tr>
      <w:tr w:rsidR="004B02C1" w14:paraId="281A54A5" w14:textId="77777777" w:rsidTr="004B02C1">
        <w:trPr>
          <w:trHeight w:val="2133"/>
        </w:trPr>
        <w:tc>
          <w:tcPr>
            <w:tcW w:w="2280" w:type="dxa"/>
            <w:tcBorders>
              <w:top w:val="single" w:sz="8" w:space="0" w:color="auto"/>
              <w:left w:val="single" w:sz="8" w:space="0" w:color="auto"/>
              <w:bottom w:val="single" w:sz="8" w:space="0" w:color="auto"/>
              <w:right w:val="single" w:sz="8" w:space="0" w:color="auto"/>
            </w:tcBorders>
            <w:vAlign w:val="center"/>
          </w:tcPr>
          <w:p w14:paraId="5BF816F7" w14:textId="77777777" w:rsidR="004B02C1" w:rsidRDefault="004B02C1" w:rsidP="004B02C1">
            <w:pPr>
              <w:ind w:left="60"/>
              <w:rPr>
                <w:sz w:val="20"/>
                <w:szCs w:val="20"/>
              </w:rPr>
            </w:pPr>
            <w:r>
              <w:rPr>
                <w:rFonts w:eastAsia="Times New Roman"/>
                <w:sz w:val="18"/>
                <w:szCs w:val="18"/>
              </w:rPr>
              <w:t>Trichlorofluoromethane</w:t>
            </w:r>
          </w:p>
          <w:p w14:paraId="5795FAD0" w14:textId="77777777" w:rsidR="004B02C1" w:rsidRDefault="004B02C1" w:rsidP="004B02C1">
            <w:pPr>
              <w:ind w:left="60"/>
              <w:rPr>
                <w:sz w:val="20"/>
                <w:szCs w:val="20"/>
              </w:rPr>
            </w:pPr>
            <w:r>
              <w:rPr>
                <w:rFonts w:eastAsia="Times New Roman"/>
                <w:sz w:val="18"/>
                <w:szCs w:val="18"/>
              </w:rPr>
              <w:t>(Freon 11)</w:t>
            </w:r>
          </w:p>
          <w:p w14:paraId="281A549F" w14:textId="2FC3EBC9" w:rsidR="004B02C1" w:rsidRDefault="004B02C1" w:rsidP="004B02C1">
            <w:pPr>
              <w:rPr>
                <w:sz w:val="20"/>
                <w:szCs w:val="20"/>
              </w:rPr>
            </w:pPr>
            <w:r>
              <w:rPr>
                <w:rFonts w:eastAsia="Times New Roman"/>
                <w:sz w:val="18"/>
                <w:szCs w:val="18"/>
              </w:rPr>
              <w:t>(75694)</w:t>
            </w:r>
          </w:p>
        </w:tc>
        <w:tc>
          <w:tcPr>
            <w:tcW w:w="800" w:type="dxa"/>
            <w:tcBorders>
              <w:top w:val="single" w:sz="8" w:space="0" w:color="auto"/>
              <w:bottom w:val="single" w:sz="8" w:space="0" w:color="auto"/>
              <w:right w:val="single" w:sz="8" w:space="0" w:color="auto"/>
            </w:tcBorders>
            <w:vAlign w:val="center"/>
          </w:tcPr>
          <w:p w14:paraId="281A54A0" w14:textId="77777777" w:rsidR="004B02C1" w:rsidRDefault="004B02C1" w:rsidP="004B02C1">
            <w:pPr>
              <w:jc w:val="center"/>
              <w:rPr>
                <w:sz w:val="20"/>
                <w:szCs w:val="20"/>
              </w:rPr>
            </w:pPr>
            <w:r>
              <w:rPr>
                <w:rFonts w:eastAsia="Times New Roman"/>
                <w:sz w:val="18"/>
                <w:szCs w:val="18"/>
              </w:rPr>
              <w:t>*</w:t>
            </w:r>
          </w:p>
        </w:tc>
        <w:tc>
          <w:tcPr>
            <w:tcW w:w="1700" w:type="dxa"/>
            <w:tcBorders>
              <w:top w:val="single" w:sz="8" w:space="0" w:color="auto"/>
              <w:bottom w:val="single" w:sz="8" w:space="0" w:color="auto"/>
              <w:right w:val="single" w:sz="8" w:space="0" w:color="auto"/>
            </w:tcBorders>
            <w:vAlign w:val="center"/>
          </w:tcPr>
          <w:p w14:paraId="281A54A1" w14:textId="77777777" w:rsidR="004B02C1" w:rsidRDefault="004B02C1" w:rsidP="004B02C1">
            <w:pPr>
              <w:jc w:val="center"/>
              <w:rPr>
                <w:sz w:val="20"/>
                <w:szCs w:val="20"/>
              </w:rPr>
            </w:pPr>
            <w:r>
              <w:rPr>
                <w:rFonts w:eastAsia="Times New Roman"/>
                <w:w w:val="99"/>
                <w:sz w:val="18"/>
                <w:szCs w:val="18"/>
              </w:rPr>
              <w:t>-</w:t>
            </w:r>
          </w:p>
        </w:tc>
        <w:tc>
          <w:tcPr>
            <w:tcW w:w="1620" w:type="dxa"/>
            <w:tcBorders>
              <w:top w:val="single" w:sz="8" w:space="0" w:color="auto"/>
              <w:bottom w:val="single" w:sz="8" w:space="0" w:color="auto"/>
              <w:right w:val="single" w:sz="8" w:space="0" w:color="auto"/>
            </w:tcBorders>
            <w:vAlign w:val="center"/>
          </w:tcPr>
          <w:p w14:paraId="281A54A2" w14:textId="77777777" w:rsidR="004B02C1" w:rsidRDefault="004B02C1" w:rsidP="004B02C1">
            <w:pPr>
              <w:jc w:val="center"/>
              <w:rPr>
                <w:sz w:val="20"/>
                <w:szCs w:val="20"/>
              </w:rPr>
            </w:pPr>
            <w:r>
              <w:rPr>
                <w:rFonts w:eastAsia="Times New Roman"/>
                <w:w w:val="99"/>
                <w:sz w:val="18"/>
                <w:szCs w:val="18"/>
              </w:rPr>
              <w:t>-</w:t>
            </w:r>
          </w:p>
        </w:tc>
        <w:tc>
          <w:tcPr>
            <w:tcW w:w="2440" w:type="dxa"/>
            <w:tcBorders>
              <w:top w:val="single" w:sz="8" w:space="0" w:color="auto"/>
              <w:bottom w:val="single" w:sz="8" w:space="0" w:color="auto"/>
              <w:right w:val="single" w:sz="8" w:space="0" w:color="auto"/>
            </w:tcBorders>
          </w:tcPr>
          <w:p w14:paraId="281A54A3" w14:textId="40C2AD7B" w:rsidR="004B02C1" w:rsidRDefault="004B02C1" w:rsidP="004B02C1">
            <w:pPr>
              <w:spacing w:line="360" w:lineRule="auto"/>
              <w:ind w:left="40"/>
              <w:rPr>
                <w:sz w:val="20"/>
                <w:szCs w:val="20"/>
              </w:rPr>
            </w:pPr>
            <w:r>
              <w:rPr>
                <w:rFonts w:eastAsia="Times New Roman"/>
                <w:sz w:val="18"/>
                <w:szCs w:val="18"/>
              </w:rPr>
              <w:t>Discharge from use as a refrigerant</w:t>
            </w:r>
          </w:p>
        </w:tc>
        <w:tc>
          <w:tcPr>
            <w:tcW w:w="2320" w:type="dxa"/>
            <w:tcBorders>
              <w:top w:val="single" w:sz="8" w:space="0" w:color="auto"/>
              <w:bottom w:val="single" w:sz="8" w:space="0" w:color="auto"/>
              <w:right w:val="single" w:sz="8" w:space="0" w:color="auto"/>
            </w:tcBorders>
          </w:tcPr>
          <w:p w14:paraId="281A54A4" w14:textId="43450417" w:rsidR="004B02C1" w:rsidRDefault="004B02C1" w:rsidP="004B02C1">
            <w:pPr>
              <w:spacing w:line="360" w:lineRule="auto"/>
              <w:ind w:left="40"/>
              <w:rPr>
                <w:sz w:val="20"/>
                <w:szCs w:val="20"/>
              </w:rPr>
            </w:pPr>
            <w:r>
              <w:rPr>
                <w:rFonts w:eastAsia="Times New Roman"/>
                <w:sz w:val="18"/>
                <w:szCs w:val="18"/>
              </w:rPr>
              <w:t>Some people who drink water containing trichlorofluoromethane at high concentrations for many years could experience central nervous system effects.</w:t>
            </w:r>
          </w:p>
        </w:tc>
      </w:tr>
      <w:tr w:rsidR="004B02C1" w14:paraId="281A54E3" w14:textId="77777777" w:rsidTr="004B02C1">
        <w:trPr>
          <w:trHeight w:val="1854"/>
        </w:trPr>
        <w:tc>
          <w:tcPr>
            <w:tcW w:w="2280" w:type="dxa"/>
            <w:tcBorders>
              <w:top w:val="single" w:sz="8" w:space="0" w:color="auto"/>
              <w:left w:val="single" w:sz="8" w:space="0" w:color="auto"/>
              <w:bottom w:val="single" w:sz="8" w:space="0" w:color="auto"/>
              <w:right w:val="single" w:sz="8" w:space="0" w:color="auto"/>
            </w:tcBorders>
            <w:vAlign w:val="center"/>
          </w:tcPr>
          <w:p w14:paraId="58BE9F39" w14:textId="77777777" w:rsidR="004B02C1" w:rsidRDefault="004B02C1" w:rsidP="004B02C1">
            <w:pPr>
              <w:ind w:left="60"/>
              <w:rPr>
                <w:sz w:val="20"/>
                <w:szCs w:val="20"/>
              </w:rPr>
            </w:pPr>
            <w:r>
              <w:rPr>
                <w:rFonts w:eastAsia="Times New Roman"/>
                <w:sz w:val="18"/>
                <w:szCs w:val="18"/>
              </w:rPr>
              <w:t>1,2,3-Trichloropropane</w:t>
            </w:r>
          </w:p>
          <w:p w14:paraId="281A54DD" w14:textId="23EF2EE4" w:rsidR="004B02C1" w:rsidRDefault="004B02C1" w:rsidP="004B02C1">
            <w:pPr>
              <w:rPr>
                <w:sz w:val="20"/>
                <w:szCs w:val="20"/>
              </w:rPr>
            </w:pPr>
            <w:r>
              <w:rPr>
                <w:rFonts w:eastAsia="Times New Roman"/>
                <w:sz w:val="18"/>
                <w:szCs w:val="18"/>
              </w:rPr>
              <w:t>(96184)</w:t>
            </w:r>
          </w:p>
        </w:tc>
        <w:tc>
          <w:tcPr>
            <w:tcW w:w="800" w:type="dxa"/>
            <w:tcBorders>
              <w:top w:val="single" w:sz="8" w:space="0" w:color="auto"/>
              <w:bottom w:val="single" w:sz="8" w:space="0" w:color="auto"/>
              <w:right w:val="single" w:sz="8" w:space="0" w:color="auto"/>
            </w:tcBorders>
            <w:vAlign w:val="center"/>
          </w:tcPr>
          <w:p w14:paraId="281A54DE" w14:textId="77777777" w:rsidR="004B02C1" w:rsidRDefault="004B02C1" w:rsidP="004B02C1">
            <w:pPr>
              <w:jc w:val="center"/>
              <w:rPr>
                <w:sz w:val="20"/>
                <w:szCs w:val="20"/>
              </w:rPr>
            </w:pPr>
            <w:r>
              <w:rPr>
                <w:rFonts w:eastAsia="Times New Roman"/>
                <w:sz w:val="18"/>
                <w:szCs w:val="18"/>
              </w:rPr>
              <w:t>*</w:t>
            </w:r>
          </w:p>
        </w:tc>
        <w:tc>
          <w:tcPr>
            <w:tcW w:w="1700" w:type="dxa"/>
            <w:tcBorders>
              <w:top w:val="single" w:sz="8" w:space="0" w:color="auto"/>
              <w:bottom w:val="single" w:sz="8" w:space="0" w:color="auto"/>
              <w:right w:val="single" w:sz="8" w:space="0" w:color="auto"/>
            </w:tcBorders>
            <w:vAlign w:val="center"/>
          </w:tcPr>
          <w:p w14:paraId="281A54DF" w14:textId="77777777" w:rsidR="004B02C1" w:rsidRDefault="004B02C1" w:rsidP="004B02C1">
            <w:pPr>
              <w:jc w:val="center"/>
              <w:rPr>
                <w:sz w:val="20"/>
                <w:szCs w:val="20"/>
              </w:rPr>
            </w:pPr>
            <w:r>
              <w:rPr>
                <w:rFonts w:eastAsia="Times New Roman"/>
                <w:w w:val="99"/>
                <w:sz w:val="18"/>
                <w:szCs w:val="18"/>
              </w:rPr>
              <w:t>-</w:t>
            </w:r>
          </w:p>
        </w:tc>
        <w:tc>
          <w:tcPr>
            <w:tcW w:w="1620" w:type="dxa"/>
            <w:tcBorders>
              <w:top w:val="single" w:sz="8" w:space="0" w:color="auto"/>
              <w:bottom w:val="single" w:sz="8" w:space="0" w:color="auto"/>
              <w:right w:val="single" w:sz="8" w:space="0" w:color="auto"/>
            </w:tcBorders>
            <w:vAlign w:val="center"/>
          </w:tcPr>
          <w:p w14:paraId="281A54E0" w14:textId="77777777" w:rsidR="004B02C1" w:rsidRDefault="004B02C1" w:rsidP="004B02C1">
            <w:pPr>
              <w:jc w:val="center"/>
              <w:rPr>
                <w:sz w:val="20"/>
                <w:szCs w:val="20"/>
              </w:rPr>
            </w:pPr>
            <w:r>
              <w:rPr>
                <w:rFonts w:eastAsia="Times New Roman"/>
                <w:w w:val="99"/>
                <w:sz w:val="18"/>
                <w:szCs w:val="18"/>
              </w:rPr>
              <w:t>-</w:t>
            </w:r>
          </w:p>
        </w:tc>
        <w:tc>
          <w:tcPr>
            <w:tcW w:w="2440" w:type="dxa"/>
            <w:tcBorders>
              <w:top w:val="single" w:sz="8" w:space="0" w:color="auto"/>
              <w:bottom w:val="single" w:sz="8" w:space="0" w:color="auto"/>
              <w:right w:val="single" w:sz="8" w:space="0" w:color="auto"/>
            </w:tcBorders>
          </w:tcPr>
          <w:p w14:paraId="281A54E1" w14:textId="72D74D78" w:rsidR="004B02C1" w:rsidRDefault="004B02C1" w:rsidP="004B02C1">
            <w:pPr>
              <w:spacing w:line="360" w:lineRule="auto"/>
              <w:ind w:left="40"/>
              <w:rPr>
                <w:sz w:val="20"/>
                <w:szCs w:val="20"/>
              </w:rPr>
            </w:pPr>
            <w:r>
              <w:rPr>
                <w:rFonts w:eastAsia="Times New Roman"/>
                <w:sz w:val="18"/>
                <w:szCs w:val="18"/>
              </w:rPr>
              <w:t>Discharge from use in paint and varnish removers</w:t>
            </w:r>
          </w:p>
        </w:tc>
        <w:tc>
          <w:tcPr>
            <w:tcW w:w="2320" w:type="dxa"/>
            <w:tcBorders>
              <w:top w:val="single" w:sz="8" w:space="0" w:color="auto"/>
              <w:bottom w:val="single" w:sz="8" w:space="0" w:color="auto"/>
              <w:right w:val="single" w:sz="8" w:space="0" w:color="auto"/>
            </w:tcBorders>
          </w:tcPr>
          <w:p w14:paraId="281A54E2" w14:textId="27D3F943" w:rsidR="004B02C1" w:rsidRDefault="004B02C1" w:rsidP="004B02C1">
            <w:pPr>
              <w:spacing w:line="360" w:lineRule="auto"/>
              <w:ind w:left="40"/>
              <w:rPr>
                <w:sz w:val="20"/>
                <w:szCs w:val="20"/>
              </w:rPr>
            </w:pPr>
            <w:r>
              <w:rPr>
                <w:rFonts w:eastAsia="Times New Roman"/>
                <w:sz w:val="18"/>
                <w:szCs w:val="18"/>
              </w:rPr>
              <w:t>Some people who drink water containing 1,2,3-trichloropropane at high concentrations for many years could experience liver damage.</w:t>
            </w:r>
          </w:p>
        </w:tc>
      </w:tr>
    </w:tbl>
    <w:p w14:paraId="079F318E" w14:textId="77777777" w:rsidR="00C76DF0" w:rsidRPr="00BD4A3A" w:rsidRDefault="00C76DF0" w:rsidP="00C76DF0">
      <w:pPr>
        <w:rPr>
          <w:sz w:val="24"/>
          <w:szCs w:val="24"/>
        </w:rPr>
        <w:sectPr w:rsidR="00C76DF0" w:rsidRPr="00BD4A3A" w:rsidSect="00EF630C">
          <w:pgSz w:w="12240" w:h="20180"/>
          <w:pgMar w:top="708" w:right="480" w:bottom="912" w:left="600" w:header="0" w:footer="0" w:gutter="0"/>
          <w:cols w:space="720"/>
        </w:sectPr>
      </w:pPr>
    </w:p>
    <w:p w14:paraId="274F6207" w14:textId="77777777" w:rsidR="00C76DF0" w:rsidRDefault="00C76DF0" w:rsidP="00C76DF0">
      <w:pPr>
        <w:tabs>
          <w:tab w:val="left" w:pos="2860"/>
        </w:tabs>
        <w:ind w:left="1680"/>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B70724C" w14:textId="77777777" w:rsidR="00C76DF0" w:rsidRDefault="00C76DF0" w:rsidP="005455D4">
      <w:pPr>
        <w:rPr>
          <w:sz w:val="20"/>
          <w:szCs w:val="20"/>
        </w:rPr>
      </w:pPr>
    </w:p>
    <w:p w14:paraId="2E480E2D" w14:textId="77777777" w:rsidR="005455D4" w:rsidRDefault="005455D4" w:rsidP="005455D4">
      <w:pPr>
        <w:rPr>
          <w:sz w:val="20"/>
          <w:szCs w:val="20"/>
        </w:rPr>
      </w:pPr>
    </w:p>
    <w:p w14:paraId="13DD9997" w14:textId="77777777" w:rsidR="00C76DF0" w:rsidRPr="005455D4" w:rsidRDefault="00C76DF0" w:rsidP="005455D4">
      <w:pPr>
        <w:tabs>
          <w:tab w:val="left" w:pos="940"/>
        </w:tabs>
        <w:rPr>
          <w:sz w:val="24"/>
          <w:szCs w:val="24"/>
        </w:rPr>
      </w:pPr>
      <w:r w:rsidRPr="005455D4">
        <w:rPr>
          <w:rFonts w:eastAsia="Times New Roman"/>
          <w:sz w:val="24"/>
          <w:szCs w:val="24"/>
        </w:rPr>
        <w:t>22.16A:</w:t>
      </w:r>
      <w:r w:rsidRPr="005455D4">
        <w:rPr>
          <w:sz w:val="24"/>
          <w:szCs w:val="24"/>
        </w:rPr>
        <w:tab/>
      </w:r>
      <w:r w:rsidRPr="005455D4">
        <w:rPr>
          <w:rFonts w:eastAsia="Times New Roman"/>
          <w:sz w:val="24"/>
          <w:szCs w:val="24"/>
        </w:rPr>
        <w:t>continued</w:t>
      </w:r>
    </w:p>
    <w:p w14:paraId="10676766" w14:textId="77777777" w:rsidR="00C76DF0" w:rsidRDefault="00C76DF0" w:rsidP="005455D4">
      <w:pPr>
        <w:rPr>
          <w:sz w:val="20"/>
          <w:szCs w:val="20"/>
        </w:rPr>
      </w:pPr>
    </w:p>
    <w:tbl>
      <w:tblPr>
        <w:tblW w:w="11160" w:type="dxa"/>
        <w:tblInd w:w="10" w:type="dxa"/>
        <w:tblLayout w:type="fixed"/>
        <w:tblCellMar>
          <w:left w:w="0" w:type="dxa"/>
          <w:right w:w="0" w:type="dxa"/>
        </w:tblCellMar>
        <w:tblLook w:val="04A0" w:firstRow="1" w:lastRow="0" w:firstColumn="1" w:lastColumn="0" w:noHBand="0" w:noVBand="1"/>
      </w:tblPr>
      <w:tblGrid>
        <w:gridCol w:w="2280"/>
        <w:gridCol w:w="800"/>
        <w:gridCol w:w="1700"/>
        <w:gridCol w:w="1620"/>
        <w:gridCol w:w="2440"/>
        <w:gridCol w:w="2320"/>
      </w:tblGrid>
      <w:tr w:rsidR="00C76DF0" w14:paraId="30660457" w14:textId="77777777" w:rsidTr="00DF6443">
        <w:trPr>
          <w:trHeight w:val="755"/>
        </w:trPr>
        <w:tc>
          <w:tcPr>
            <w:tcW w:w="2280" w:type="dxa"/>
            <w:tcBorders>
              <w:top w:val="single" w:sz="8" w:space="0" w:color="auto"/>
              <w:left w:val="single" w:sz="8" w:space="0" w:color="auto"/>
              <w:bottom w:val="single" w:sz="8" w:space="0" w:color="auto"/>
              <w:right w:val="single" w:sz="8" w:space="0" w:color="auto"/>
            </w:tcBorders>
            <w:vAlign w:val="center"/>
          </w:tcPr>
          <w:p w14:paraId="4C884999" w14:textId="77777777" w:rsidR="00C76DF0" w:rsidRDefault="00C76DF0" w:rsidP="00DF6443">
            <w:pPr>
              <w:rPr>
                <w:sz w:val="20"/>
                <w:szCs w:val="20"/>
              </w:rPr>
            </w:pPr>
            <w:r>
              <w:rPr>
                <w:rFonts w:eastAsia="Times New Roman"/>
                <w:sz w:val="18"/>
                <w:szCs w:val="18"/>
              </w:rPr>
              <w:t>Chemical</w:t>
            </w:r>
          </w:p>
          <w:p w14:paraId="237C4228" w14:textId="77777777" w:rsidR="00C76DF0" w:rsidRDefault="00C76DF0" w:rsidP="00DF6443">
            <w:pPr>
              <w:rPr>
                <w:sz w:val="24"/>
                <w:szCs w:val="24"/>
              </w:rPr>
            </w:pPr>
            <w:r>
              <w:rPr>
                <w:rFonts w:eastAsia="Times New Roman"/>
                <w:sz w:val="18"/>
                <w:szCs w:val="18"/>
              </w:rPr>
              <w:t>(CASRN )</w:t>
            </w:r>
          </w:p>
        </w:tc>
        <w:tc>
          <w:tcPr>
            <w:tcW w:w="800" w:type="dxa"/>
            <w:tcBorders>
              <w:top w:val="single" w:sz="8" w:space="0" w:color="auto"/>
              <w:left w:val="single" w:sz="8" w:space="0" w:color="auto"/>
              <w:bottom w:val="single" w:sz="8" w:space="0" w:color="auto"/>
              <w:right w:val="single" w:sz="8" w:space="0" w:color="auto"/>
            </w:tcBorders>
            <w:vAlign w:val="center"/>
          </w:tcPr>
          <w:p w14:paraId="7102CE9F" w14:textId="77777777" w:rsidR="00C76DF0" w:rsidRDefault="00C76DF0" w:rsidP="00DF6443">
            <w:pPr>
              <w:jc w:val="center"/>
              <w:rPr>
                <w:sz w:val="20"/>
                <w:szCs w:val="20"/>
              </w:rPr>
            </w:pPr>
            <w:r>
              <w:rPr>
                <w:rFonts w:eastAsia="Times New Roman"/>
                <w:sz w:val="18"/>
                <w:szCs w:val="18"/>
              </w:rPr>
              <w:t>ORSG</w:t>
            </w:r>
          </w:p>
        </w:tc>
        <w:tc>
          <w:tcPr>
            <w:tcW w:w="1700" w:type="dxa"/>
            <w:tcBorders>
              <w:top w:val="single" w:sz="8" w:space="0" w:color="auto"/>
              <w:bottom w:val="single" w:sz="8" w:space="0" w:color="auto"/>
              <w:right w:val="single" w:sz="8" w:space="0" w:color="auto"/>
            </w:tcBorders>
            <w:vAlign w:val="center"/>
          </w:tcPr>
          <w:p w14:paraId="13BD9EA7" w14:textId="77777777" w:rsidR="00C76DF0" w:rsidRDefault="00C76DF0" w:rsidP="00DF6443">
            <w:pPr>
              <w:jc w:val="center"/>
              <w:rPr>
                <w:sz w:val="20"/>
                <w:szCs w:val="20"/>
              </w:rPr>
            </w:pPr>
            <w:r>
              <w:rPr>
                <w:rFonts w:eastAsia="Times New Roman"/>
                <w:sz w:val="18"/>
                <w:szCs w:val="18"/>
              </w:rPr>
              <w:t>To convert for</w:t>
            </w:r>
          </w:p>
          <w:p w14:paraId="6C7C2DEE" w14:textId="77777777" w:rsidR="00C76DF0" w:rsidRDefault="00C76DF0" w:rsidP="00DF6443">
            <w:pPr>
              <w:jc w:val="center"/>
              <w:rPr>
                <w:sz w:val="20"/>
                <w:szCs w:val="20"/>
              </w:rPr>
            </w:pPr>
            <w:r>
              <w:rPr>
                <w:rFonts w:eastAsia="Times New Roman"/>
                <w:sz w:val="18"/>
                <w:szCs w:val="18"/>
              </w:rPr>
              <w:t>CCR, multiply by</w:t>
            </w:r>
          </w:p>
        </w:tc>
        <w:tc>
          <w:tcPr>
            <w:tcW w:w="1620" w:type="dxa"/>
            <w:tcBorders>
              <w:top w:val="single" w:sz="8" w:space="0" w:color="auto"/>
              <w:bottom w:val="single" w:sz="8" w:space="0" w:color="auto"/>
              <w:right w:val="single" w:sz="8" w:space="0" w:color="auto"/>
            </w:tcBorders>
            <w:vAlign w:val="center"/>
          </w:tcPr>
          <w:p w14:paraId="72FAE551" w14:textId="77777777" w:rsidR="00C76DF0" w:rsidRDefault="00C76DF0" w:rsidP="00DF6443">
            <w:pPr>
              <w:jc w:val="center"/>
              <w:rPr>
                <w:sz w:val="20"/>
                <w:szCs w:val="20"/>
              </w:rPr>
            </w:pPr>
            <w:r>
              <w:rPr>
                <w:rFonts w:eastAsia="Times New Roman"/>
                <w:sz w:val="18"/>
                <w:szCs w:val="18"/>
              </w:rPr>
              <w:t>ORSG</w:t>
            </w:r>
          </w:p>
          <w:p w14:paraId="1E3C36F5" w14:textId="77777777" w:rsidR="00C76DF0" w:rsidRDefault="00C76DF0" w:rsidP="00DF6443">
            <w:pPr>
              <w:jc w:val="center"/>
              <w:rPr>
                <w:sz w:val="20"/>
                <w:szCs w:val="20"/>
              </w:rPr>
            </w:pPr>
            <w:r>
              <w:rPr>
                <w:rFonts w:eastAsia="Times New Roman"/>
                <w:sz w:val="18"/>
                <w:szCs w:val="18"/>
              </w:rPr>
              <w:t>in CCR units</w:t>
            </w:r>
          </w:p>
        </w:tc>
        <w:tc>
          <w:tcPr>
            <w:tcW w:w="2440" w:type="dxa"/>
            <w:tcBorders>
              <w:top w:val="single" w:sz="8" w:space="0" w:color="auto"/>
              <w:bottom w:val="single" w:sz="8" w:space="0" w:color="auto"/>
              <w:right w:val="single" w:sz="8" w:space="0" w:color="auto"/>
            </w:tcBorders>
            <w:vAlign w:val="center"/>
          </w:tcPr>
          <w:p w14:paraId="07152974" w14:textId="77777777" w:rsidR="00C76DF0" w:rsidRDefault="00C76DF0" w:rsidP="00DF6443">
            <w:pPr>
              <w:jc w:val="center"/>
              <w:rPr>
                <w:sz w:val="20"/>
                <w:szCs w:val="20"/>
              </w:rPr>
            </w:pPr>
            <w:r>
              <w:rPr>
                <w:rFonts w:eastAsia="Times New Roman"/>
                <w:sz w:val="18"/>
                <w:szCs w:val="18"/>
              </w:rPr>
              <w:t>Source to Drinking Water</w:t>
            </w:r>
          </w:p>
        </w:tc>
        <w:tc>
          <w:tcPr>
            <w:tcW w:w="2320" w:type="dxa"/>
            <w:tcBorders>
              <w:top w:val="single" w:sz="8" w:space="0" w:color="auto"/>
              <w:bottom w:val="single" w:sz="8" w:space="0" w:color="auto"/>
              <w:right w:val="single" w:sz="8" w:space="0" w:color="auto"/>
            </w:tcBorders>
            <w:vAlign w:val="center"/>
          </w:tcPr>
          <w:p w14:paraId="51E3EF74" w14:textId="77777777" w:rsidR="00C76DF0" w:rsidRDefault="00C76DF0" w:rsidP="00DF6443">
            <w:pPr>
              <w:jc w:val="center"/>
              <w:rPr>
                <w:sz w:val="20"/>
                <w:szCs w:val="20"/>
              </w:rPr>
            </w:pPr>
            <w:r>
              <w:rPr>
                <w:rFonts w:eastAsia="Times New Roman"/>
                <w:sz w:val="18"/>
                <w:szCs w:val="18"/>
              </w:rPr>
              <w:t>Health Effects</w:t>
            </w:r>
          </w:p>
        </w:tc>
      </w:tr>
      <w:tr w:rsidR="00C76DF0" w14:paraId="119980FE" w14:textId="77777777" w:rsidTr="00DF6443">
        <w:trPr>
          <w:trHeight w:val="1855"/>
        </w:trPr>
        <w:tc>
          <w:tcPr>
            <w:tcW w:w="2280" w:type="dxa"/>
            <w:tcBorders>
              <w:top w:val="single" w:sz="8" w:space="0" w:color="auto"/>
              <w:left w:val="single" w:sz="8" w:space="0" w:color="auto"/>
              <w:bottom w:val="single" w:sz="8" w:space="0" w:color="auto"/>
              <w:right w:val="single" w:sz="8" w:space="0" w:color="auto"/>
            </w:tcBorders>
            <w:vAlign w:val="center"/>
          </w:tcPr>
          <w:p w14:paraId="269B7426" w14:textId="77777777" w:rsidR="00C76DF0" w:rsidRDefault="00C76DF0" w:rsidP="00C76DF0">
            <w:pPr>
              <w:ind w:left="60"/>
              <w:rPr>
                <w:sz w:val="20"/>
                <w:szCs w:val="20"/>
              </w:rPr>
            </w:pPr>
            <w:r>
              <w:rPr>
                <w:rFonts w:eastAsia="Times New Roman"/>
                <w:sz w:val="18"/>
                <w:szCs w:val="18"/>
              </w:rPr>
              <w:t>1,2,4-Trimethylbenzene</w:t>
            </w:r>
          </w:p>
          <w:p w14:paraId="183BE27A" w14:textId="34C398F1" w:rsidR="00C76DF0" w:rsidRDefault="00C76DF0" w:rsidP="00C76DF0">
            <w:pPr>
              <w:ind w:left="60"/>
              <w:rPr>
                <w:rFonts w:eastAsia="Times New Roman"/>
                <w:sz w:val="18"/>
                <w:szCs w:val="18"/>
              </w:rPr>
            </w:pPr>
            <w:r>
              <w:rPr>
                <w:rFonts w:eastAsia="Times New Roman"/>
                <w:sz w:val="18"/>
                <w:szCs w:val="18"/>
              </w:rPr>
              <w:t>(95636)</w:t>
            </w:r>
          </w:p>
        </w:tc>
        <w:tc>
          <w:tcPr>
            <w:tcW w:w="800" w:type="dxa"/>
            <w:tcBorders>
              <w:top w:val="single" w:sz="8" w:space="0" w:color="auto"/>
              <w:bottom w:val="single" w:sz="8" w:space="0" w:color="auto"/>
              <w:right w:val="single" w:sz="8" w:space="0" w:color="auto"/>
            </w:tcBorders>
            <w:vAlign w:val="center"/>
          </w:tcPr>
          <w:p w14:paraId="4C6C21B6" w14:textId="4ECF25CC" w:rsidR="00C76DF0" w:rsidRDefault="00C76DF0" w:rsidP="00C76DF0">
            <w:pPr>
              <w:jc w:val="center"/>
              <w:rPr>
                <w:rFonts w:eastAsia="Times New Roman"/>
                <w:sz w:val="18"/>
                <w:szCs w:val="18"/>
              </w:rPr>
            </w:pPr>
            <w:r>
              <w:rPr>
                <w:rFonts w:eastAsia="Times New Roman"/>
                <w:sz w:val="18"/>
                <w:szCs w:val="18"/>
              </w:rPr>
              <w:t>*</w:t>
            </w:r>
          </w:p>
        </w:tc>
        <w:tc>
          <w:tcPr>
            <w:tcW w:w="1700" w:type="dxa"/>
            <w:tcBorders>
              <w:top w:val="single" w:sz="8" w:space="0" w:color="auto"/>
              <w:bottom w:val="single" w:sz="8" w:space="0" w:color="auto"/>
              <w:right w:val="single" w:sz="8" w:space="0" w:color="auto"/>
            </w:tcBorders>
            <w:vAlign w:val="center"/>
          </w:tcPr>
          <w:p w14:paraId="6B561037" w14:textId="7BE9F18D" w:rsidR="00C76DF0" w:rsidRDefault="00C76DF0" w:rsidP="00C76DF0">
            <w:pPr>
              <w:jc w:val="center"/>
              <w:rPr>
                <w:rFonts w:eastAsia="Times New Roman"/>
                <w:w w:val="99"/>
                <w:sz w:val="18"/>
                <w:szCs w:val="18"/>
              </w:rPr>
            </w:pPr>
            <w:r>
              <w:rPr>
                <w:rFonts w:eastAsia="Times New Roman"/>
                <w:w w:val="99"/>
                <w:sz w:val="18"/>
                <w:szCs w:val="18"/>
              </w:rPr>
              <w:t>-</w:t>
            </w:r>
          </w:p>
        </w:tc>
        <w:tc>
          <w:tcPr>
            <w:tcW w:w="1620" w:type="dxa"/>
            <w:tcBorders>
              <w:top w:val="single" w:sz="8" w:space="0" w:color="auto"/>
              <w:bottom w:val="single" w:sz="8" w:space="0" w:color="auto"/>
              <w:right w:val="single" w:sz="8" w:space="0" w:color="auto"/>
            </w:tcBorders>
            <w:vAlign w:val="center"/>
          </w:tcPr>
          <w:p w14:paraId="5FB90AA9" w14:textId="58E4A462" w:rsidR="00C76DF0" w:rsidRDefault="00C76DF0" w:rsidP="00C76DF0">
            <w:pPr>
              <w:jc w:val="center"/>
              <w:rPr>
                <w:rFonts w:eastAsia="Times New Roman"/>
                <w:w w:val="99"/>
                <w:sz w:val="18"/>
                <w:szCs w:val="18"/>
              </w:rPr>
            </w:pPr>
            <w:r>
              <w:rPr>
                <w:rFonts w:eastAsia="Times New Roman"/>
                <w:w w:val="99"/>
                <w:sz w:val="18"/>
                <w:szCs w:val="18"/>
              </w:rPr>
              <w:t>-</w:t>
            </w:r>
          </w:p>
        </w:tc>
        <w:tc>
          <w:tcPr>
            <w:tcW w:w="2440" w:type="dxa"/>
            <w:tcBorders>
              <w:top w:val="single" w:sz="8" w:space="0" w:color="auto"/>
              <w:bottom w:val="single" w:sz="8" w:space="0" w:color="auto"/>
              <w:right w:val="single" w:sz="8" w:space="0" w:color="auto"/>
            </w:tcBorders>
          </w:tcPr>
          <w:p w14:paraId="58DAD8D3" w14:textId="56832EAC" w:rsidR="00C76DF0" w:rsidRDefault="00C76DF0" w:rsidP="00C76DF0">
            <w:pPr>
              <w:spacing w:line="360" w:lineRule="auto"/>
              <w:ind w:left="40"/>
              <w:rPr>
                <w:rFonts w:eastAsia="Times New Roman"/>
                <w:sz w:val="18"/>
                <w:szCs w:val="18"/>
              </w:rPr>
            </w:pPr>
            <w:r>
              <w:rPr>
                <w:rFonts w:eastAsia="Times New Roman"/>
                <w:sz w:val="18"/>
                <w:szCs w:val="18"/>
              </w:rPr>
              <w:t>Discharge from use in dyes and paints</w:t>
            </w:r>
          </w:p>
        </w:tc>
        <w:tc>
          <w:tcPr>
            <w:tcW w:w="2320" w:type="dxa"/>
            <w:tcBorders>
              <w:top w:val="single" w:sz="8" w:space="0" w:color="auto"/>
              <w:bottom w:val="single" w:sz="8" w:space="0" w:color="auto"/>
              <w:right w:val="single" w:sz="8" w:space="0" w:color="auto"/>
            </w:tcBorders>
          </w:tcPr>
          <w:p w14:paraId="5EBCF1EA" w14:textId="01A26BFB" w:rsidR="00C76DF0" w:rsidRDefault="00C76DF0" w:rsidP="00C76DF0">
            <w:pPr>
              <w:spacing w:line="360" w:lineRule="auto"/>
              <w:ind w:left="40"/>
              <w:rPr>
                <w:rFonts w:eastAsia="Times New Roman"/>
                <w:sz w:val="18"/>
                <w:szCs w:val="18"/>
              </w:rPr>
            </w:pPr>
            <w:r>
              <w:rPr>
                <w:rFonts w:eastAsia="Times New Roman"/>
                <w:sz w:val="18"/>
                <w:szCs w:val="18"/>
              </w:rPr>
              <w:t>Some people who drink water containing 1,2,4-trimethylbenzene at high concentrations for many years could experience central nervous system effects.</w:t>
            </w:r>
          </w:p>
        </w:tc>
      </w:tr>
      <w:tr w:rsidR="00C76DF0" w14:paraId="0A679F2E" w14:textId="77777777" w:rsidTr="00DF6443">
        <w:trPr>
          <w:trHeight w:val="1855"/>
        </w:trPr>
        <w:tc>
          <w:tcPr>
            <w:tcW w:w="2280" w:type="dxa"/>
            <w:tcBorders>
              <w:top w:val="single" w:sz="8" w:space="0" w:color="auto"/>
              <w:left w:val="single" w:sz="8" w:space="0" w:color="auto"/>
              <w:bottom w:val="single" w:sz="8" w:space="0" w:color="auto"/>
              <w:right w:val="single" w:sz="8" w:space="0" w:color="auto"/>
            </w:tcBorders>
            <w:vAlign w:val="center"/>
          </w:tcPr>
          <w:p w14:paraId="4F153A73" w14:textId="77777777" w:rsidR="00C76DF0" w:rsidRDefault="00C76DF0" w:rsidP="00C76DF0">
            <w:pPr>
              <w:ind w:left="60"/>
              <w:rPr>
                <w:sz w:val="20"/>
                <w:szCs w:val="20"/>
              </w:rPr>
            </w:pPr>
            <w:r>
              <w:rPr>
                <w:rFonts w:eastAsia="Times New Roman"/>
                <w:sz w:val="18"/>
                <w:szCs w:val="18"/>
              </w:rPr>
              <w:t>1,3,5-Trimethylbenzene</w:t>
            </w:r>
          </w:p>
          <w:p w14:paraId="2A4451EA" w14:textId="7C702571" w:rsidR="00C76DF0" w:rsidRDefault="00C76DF0" w:rsidP="00C76DF0">
            <w:pPr>
              <w:ind w:left="60"/>
              <w:rPr>
                <w:rFonts w:eastAsia="Times New Roman"/>
                <w:sz w:val="18"/>
                <w:szCs w:val="18"/>
              </w:rPr>
            </w:pPr>
            <w:r>
              <w:rPr>
                <w:rFonts w:eastAsia="Times New Roman"/>
                <w:sz w:val="18"/>
                <w:szCs w:val="18"/>
              </w:rPr>
              <w:t>(108678)</w:t>
            </w:r>
          </w:p>
        </w:tc>
        <w:tc>
          <w:tcPr>
            <w:tcW w:w="800" w:type="dxa"/>
            <w:tcBorders>
              <w:top w:val="single" w:sz="8" w:space="0" w:color="auto"/>
              <w:bottom w:val="single" w:sz="8" w:space="0" w:color="auto"/>
              <w:right w:val="single" w:sz="8" w:space="0" w:color="auto"/>
            </w:tcBorders>
            <w:vAlign w:val="center"/>
          </w:tcPr>
          <w:p w14:paraId="1A075394" w14:textId="75595948" w:rsidR="00C76DF0" w:rsidRDefault="00C76DF0" w:rsidP="00C76DF0">
            <w:pPr>
              <w:jc w:val="center"/>
              <w:rPr>
                <w:rFonts w:eastAsia="Times New Roman"/>
                <w:sz w:val="18"/>
                <w:szCs w:val="18"/>
              </w:rPr>
            </w:pPr>
            <w:r>
              <w:rPr>
                <w:rFonts w:eastAsia="Times New Roman"/>
                <w:sz w:val="18"/>
                <w:szCs w:val="18"/>
              </w:rPr>
              <w:t>*</w:t>
            </w:r>
          </w:p>
        </w:tc>
        <w:tc>
          <w:tcPr>
            <w:tcW w:w="1700" w:type="dxa"/>
            <w:tcBorders>
              <w:top w:val="single" w:sz="8" w:space="0" w:color="auto"/>
              <w:bottom w:val="single" w:sz="8" w:space="0" w:color="auto"/>
              <w:right w:val="single" w:sz="8" w:space="0" w:color="auto"/>
            </w:tcBorders>
            <w:vAlign w:val="center"/>
          </w:tcPr>
          <w:p w14:paraId="261E18E1" w14:textId="7FC31B75" w:rsidR="00C76DF0" w:rsidRDefault="00C76DF0" w:rsidP="00C76DF0">
            <w:pPr>
              <w:jc w:val="center"/>
              <w:rPr>
                <w:rFonts w:eastAsia="Times New Roman"/>
                <w:w w:val="99"/>
                <w:sz w:val="18"/>
                <w:szCs w:val="18"/>
              </w:rPr>
            </w:pPr>
            <w:r>
              <w:rPr>
                <w:rFonts w:eastAsia="Times New Roman"/>
                <w:w w:val="99"/>
                <w:sz w:val="18"/>
                <w:szCs w:val="18"/>
              </w:rPr>
              <w:t>-</w:t>
            </w:r>
          </w:p>
        </w:tc>
        <w:tc>
          <w:tcPr>
            <w:tcW w:w="1620" w:type="dxa"/>
            <w:tcBorders>
              <w:top w:val="single" w:sz="8" w:space="0" w:color="auto"/>
              <w:bottom w:val="single" w:sz="8" w:space="0" w:color="auto"/>
              <w:right w:val="single" w:sz="8" w:space="0" w:color="auto"/>
            </w:tcBorders>
            <w:vAlign w:val="center"/>
          </w:tcPr>
          <w:p w14:paraId="6BAD277C" w14:textId="7B0164E4" w:rsidR="00C76DF0" w:rsidRDefault="00C76DF0" w:rsidP="00C76DF0">
            <w:pPr>
              <w:jc w:val="center"/>
              <w:rPr>
                <w:rFonts w:eastAsia="Times New Roman"/>
                <w:w w:val="99"/>
                <w:sz w:val="18"/>
                <w:szCs w:val="18"/>
              </w:rPr>
            </w:pPr>
            <w:r>
              <w:rPr>
                <w:rFonts w:eastAsia="Times New Roman"/>
                <w:w w:val="99"/>
                <w:sz w:val="18"/>
                <w:szCs w:val="18"/>
              </w:rPr>
              <w:t>-</w:t>
            </w:r>
          </w:p>
        </w:tc>
        <w:tc>
          <w:tcPr>
            <w:tcW w:w="2440" w:type="dxa"/>
            <w:tcBorders>
              <w:top w:val="single" w:sz="8" w:space="0" w:color="auto"/>
              <w:bottom w:val="single" w:sz="8" w:space="0" w:color="auto"/>
              <w:right w:val="single" w:sz="8" w:space="0" w:color="auto"/>
            </w:tcBorders>
          </w:tcPr>
          <w:p w14:paraId="6CD09F47" w14:textId="7F8875BC" w:rsidR="00C76DF0" w:rsidRDefault="00C76DF0" w:rsidP="00C76DF0">
            <w:pPr>
              <w:spacing w:line="360" w:lineRule="auto"/>
              <w:ind w:left="40"/>
              <w:rPr>
                <w:rFonts w:eastAsia="Times New Roman"/>
                <w:sz w:val="18"/>
                <w:szCs w:val="18"/>
              </w:rPr>
            </w:pPr>
            <w:r>
              <w:rPr>
                <w:rFonts w:eastAsia="Times New Roman"/>
                <w:sz w:val="18"/>
                <w:szCs w:val="18"/>
              </w:rPr>
              <w:t>Discharge from use in chemical manufacturing</w:t>
            </w:r>
          </w:p>
        </w:tc>
        <w:tc>
          <w:tcPr>
            <w:tcW w:w="2320" w:type="dxa"/>
            <w:tcBorders>
              <w:top w:val="single" w:sz="8" w:space="0" w:color="auto"/>
              <w:bottom w:val="single" w:sz="8" w:space="0" w:color="auto"/>
              <w:right w:val="single" w:sz="8" w:space="0" w:color="auto"/>
            </w:tcBorders>
          </w:tcPr>
          <w:p w14:paraId="1A7B61E7" w14:textId="3119B7B1" w:rsidR="00C76DF0" w:rsidRDefault="00C76DF0" w:rsidP="00C76DF0">
            <w:pPr>
              <w:spacing w:line="360" w:lineRule="auto"/>
              <w:ind w:left="40"/>
              <w:rPr>
                <w:rFonts w:eastAsia="Times New Roman"/>
                <w:sz w:val="18"/>
                <w:szCs w:val="18"/>
              </w:rPr>
            </w:pPr>
            <w:r>
              <w:rPr>
                <w:rFonts w:eastAsia="Times New Roman"/>
                <w:sz w:val="18"/>
                <w:szCs w:val="18"/>
              </w:rPr>
              <w:t>Some people who drink water containing 1,3,5-trimethylbenzene at high concentrations for many years could experience central nervous system effects.</w:t>
            </w:r>
          </w:p>
        </w:tc>
      </w:tr>
      <w:tr w:rsidR="00C76DF0" w14:paraId="6A02ECEF" w14:textId="77777777" w:rsidTr="00DF6443">
        <w:trPr>
          <w:trHeight w:val="1855"/>
        </w:trPr>
        <w:tc>
          <w:tcPr>
            <w:tcW w:w="2280" w:type="dxa"/>
            <w:tcBorders>
              <w:top w:val="single" w:sz="8" w:space="0" w:color="auto"/>
              <w:left w:val="single" w:sz="8" w:space="0" w:color="auto"/>
              <w:bottom w:val="single" w:sz="8" w:space="0" w:color="auto"/>
              <w:right w:val="single" w:sz="8" w:space="0" w:color="auto"/>
            </w:tcBorders>
            <w:vAlign w:val="center"/>
          </w:tcPr>
          <w:p w14:paraId="42A8C7A9" w14:textId="77777777" w:rsidR="00C76DF0" w:rsidRDefault="00C76DF0" w:rsidP="00C76DF0">
            <w:pPr>
              <w:ind w:left="60"/>
              <w:rPr>
                <w:sz w:val="20"/>
                <w:szCs w:val="20"/>
              </w:rPr>
            </w:pPr>
            <w:r>
              <w:rPr>
                <w:rFonts w:eastAsia="Times New Roman"/>
                <w:sz w:val="18"/>
                <w:szCs w:val="18"/>
              </w:rPr>
              <w:t>Vanadium</w:t>
            </w:r>
          </w:p>
          <w:p w14:paraId="293B92AF" w14:textId="60006760" w:rsidR="00C76DF0" w:rsidRDefault="00C76DF0" w:rsidP="00C76DF0">
            <w:pPr>
              <w:ind w:left="60"/>
              <w:rPr>
                <w:rFonts w:eastAsia="Times New Roman"/>
                <w:sz w:val="18"/>
                <w:szCs w:val="18"/>
              </w:rPr>
            </w:pPr>
            <w:r>
              <w:rPr>
                <w:rFonts w:eastAsia="Times New Roman"/>
                <w:sz w:val="18"/>
                <w:szCs w:val="18"/>
              </w:rPr>
              <w:t>(7440622)</w:t>
            </w:r>
          </w:p>
        </w:tc>
        <w:tc>
          <w:tcPr>
            <w:tcW w:w="800" w:type="dxa"/>
            <w:tcBorders>
              <w:top w:val="single" w:sz="8" w:space="0" w:color="auto"/>
              <w:bottom w:val="single" w:sz="8" w:space="0" w:color="auto"/>
              <w:right w:val="single" w:sz="8" w:space="0" w:color="auto"/>
            </w:tcBorders>
            <w:vAlign w:val="center"/>
          </w:tcPr>
          <w:p w14:paraId="6D7718FD" w14:textId="0A8AA492" w:rsidR="00C76DF0" w:rsidRDefault="00C76DF0" w:rsidP="00C76DF0">
            <w:pPr>
              <w:jc w:val="center"/>
              <w:rPr>
                <w:rFonts w:eastAsia="Times New Roman"/>
                <w:sz w:val="18"/>
                <w:szCs w:val="18"/>
              </w:rPr>
            </w:pPr>
            <w:r>
              <w:rPr>
                <w:rFonts w:eastAsia="Times New Roman"/>
                <w:sz w:val="18"/>
                <w:szCs w:val="18"/>
              </w:rPr>
              <w:t>*</w:t>
            </w:r>
          </w:p>
        </w:tc>
        <w:tc>
          <w:tcPr>
            <w:tcW w:w="1700" w:type="dxa"/>
            <w:tcBorders>
              <w:top w:val="single" w:sz="8" w:space="0" w:color="auto"/>
              <w:bottom w:val="single" w:sz="8" w:space="0" w:color="auto"/>
              <w:right w:val="single" w:sz="8" w:space="0" w:color="auto"/>
            </w:tcBorders>
            <w:vAlign w:val="center"/>
          </w:tcPr>
          <w:p w14:paraId="0D06A4D0" w14:textId="03D82E97" w:rsidR="00C76DF0" w:rsidRDefault="00C76DF0" w:rsidP="00C76DF0">
            <w:pPr>
              <w:jc w:val="center"/>
              <w:rPr>
                <w:rFonts w:eastAsia="Times New Roman"/>
                <w:w w:val="99"/>
                <w:sz w:val="18"/>
                <w:szCs w:val="18"/>
              </w:rPr>
            </w:pPr>
            <w:r>
              <w:rPr>
                <w:rFonts w:eastAsia="Times New Roman"/>
                <w:w w:val="99"/>
                <w:sz w:val="18"/>
                <w:szCs w:val="18"/>
              </w:rPr>
              <w:t>-</w:t>
            </w:r>
          </w:p>
        </w:tc>
        <w:tc>
          <w:tcPr>
            <w:tcW w:w="1620" w:type="dxa"/>
            <w:tcBorders>
              <w:top w:val="single" w:sz="8" w:space="0" w:color="auto"/>
              <w:bottom w:val="single" w:sz="8" w:space="0" w:color="auto"/>
              <w:right w:val="single" w:sz="8" w:space="0" w:color="auto"/>
            </w:tcBorders>
            <w:vAlign w:val="center"/>
          </w:tcPr>
          <w:p w14:paraId="52ED7FA0" w14:textId="177FF727" w:rsidR="00C76DF0" w:rsidRDefault="00C76DF0" w:rsidP="00C76DF0">
            <w:pPr>
              <w:jc w:val="center"/>
              <w:rPr>
                <w:rFonts w:eastAsia="Times New Roman"/>
                <w:w w:val="99"/>
                <w:sz w:val="18"/>
                <w:szCs w:val="18"/>
              </w:rPr>
            </w:pPr>
            <w:r>
              <w:rPr>
                <w:rFonts w:eastAsia="Times New Roman"/>
                <w:w w:val="99"/>
                <w:sz w:val="18"/>
                <w:szCs w:val="18"/>
              </w:rPr>
              <w:t>-</w:t>
            </w:r>
          </w:p>
        </w:tc>
        <w:tc>
          <w:tcPr>
            <w:tcW w:w="2440" w:type="dxa"/>
            <w:tcBorders>
              <w:top w:val="single" w:sz="8" w:space="0" w:color="auto"/>
              <w:bottom w:val="single" w:sz="8" w:space="0" w:color="auto"/>
              <w:right w:val="single" w:sz="8" w:space="0" w:color="auto"/>
            </w:tcBorders>
            <w:vAlign w:val="center"/>
          </w:tcPr>
          <w:p w14:paraId="7C460293" w14:textId="233951A9" w:rsidR="00C76DF0" w:rsidRDefault="00C76DF0" w:rsidP="00C76DF0">
            <w:pPr>
              <w:spacing w:line="360" w:lineRule="auto"/>
              <w:ind w:left="40"/>
              <w:rPr>
                <w:rFonts w:eastAsia="Times New Roman"/>
                <w:sz w:val="18"/>
                <w:szCs w:val="18"/>
              </w:rPr>
            </w:pPr>
            <w:r>
              <w:rPr>
                <w:rFonts w:eastAsia="Times New Roman"/>
                <w:sz w:val="18"/>
                <w:szCs w:val="18"/>
              </w:rPr>
              <w:t>-</w:t>
            </w:r>
          </w:p>
        </w:tc>
        <w:tc>
          <w:tcPr>
            <w:tcW w:w="2320" w:type="dxa"/>
            <w:tcBorders>
              <w:top w:val="single" w:sz="8" w:space="0" w:color="auto"/>
              <w:bottom w:val="single" w:sz="8" w:space="0" w:color="auto"/>
              <w:right w:val="single" w:sz="8" w:space="0" w:color="auto"/>
            </w:tcBorders>
            <w:vAlign w:val="center"/>
          </w:tcPr>
          <w:p w14:paraId="24DDBF5C" w14:textId="68FE869A" w:rsidR="00C76DF0" w:rsidRDefault="00C76DF0" w:rsidP="00C76DF0">
            <w:pPr>
              <w:spacing w:line="360" w:lineRule="auto"/>
              <w:ind w:left="40"/>
              <w:rPr>
                <w:rFonts w:eastAsia="Times New Roman"/>
                <w:sz w:val="18"/>
                <w:szCs w:val="18"/>
              </w:rPr>
            </w:pPr>
            <w:r>
              <w:rPr>
                <w:rFonts w:eastAsia="Times New Roman"/>
                <w:sz w:val="18"/>
                <w:szCs w:val="18"/>
              </w:rPr>
              <w:t>-</w:t>
            </w:r>
          </w:p>
        </w:tc>
      </w:tr>
    </w:tbl>
    <w:p w14:paraId="31881487" w14:textId="77777777" w:rsidR="00C76DF0" w:rsidRDefault="00C76DF0" w:rsidP="005455D4">
      <w:pPr>
        <w:rPr>
          <w:sz w:val="20"/>
          <w:szCs w:val="20"/>
        </w:rPr>
      </w:pPr>
    </w:p>
    <w:p w14:paraId="7A930B26" w14:textId="3072A36D" w:rsidR="00C76DF0" w:rsidRPr="00C76DF0" w:rsidRDefault="00E2436F" w:rsidP="005455D4">
      <w:pPr>
        <w:numPr>
          <w:ilvl w:val="0"/>
          <w:numId w:val="555"/>
        </w:numPr>
        <w:tabs>
          <w:tab w:val="left" w:pos="540"/>
        </w:tabs>
        <w:ind w:left="540" w:right="960" w:hanging="540"/>
        <w:rPr>
          <w:rFonts w:eastAsia="Times New Roman"/>
          <w:sz w:val="18"/>
          <w:szCs w:val="18"/>
        </w:rPr>
      </w:pPr>
      <w:r w:rsidRPr="00C76DF0">
        <w:rPr>
          <w:rFonts w:eastAsia="Times New Roman"/>
          <w:sz w:val="18"/>
          <w:szCs w:val="18"/>
        </w:rPr>
        <w:t xml:space="preserve">There is no ORS Guideline issued as yet for these contaminants. Please contact the MassDEP Office of Research and Standards (ORS) at 617-292-5598 for health risk information for these chemicals. Other useful guidance can be found </w:t>
      </w:r>
      <w:r w:rsidR="005D077C">
        <w:rPr>
          <w:rFonts w:eastAsia="Times New Roman"/>
          <w:sz w:val="18"/>
          <w:szCs w:val="18"/>
        </w:rPr>
        <w:t xml:space="preserve">on the </w:t>
      </w:r>
      <w:r w:rsidR="00FF59A4">
        <w:rPr>
          <w:rFonts w:eastAsia="Times New Roman"/>
          <w:sz w:val="18"/>
          <w:szCs w:val="18"/>
        </w:rPr>
        <w:t>Department’s</w:t>
      </w:r>
      <w:r w:rsidR="005D077C">
        <w:rPr>
          <w:rFonts w:eastAsia="Times New Roman"/>
          <w:sz w:val="18"/>
          <w:szCs w:val="18"/>
        </w:rPr>
        <w:t xml:space="preserve"> and EPA</w:t>
      </w:r>
      <w:r w:rsidR="00FF59A4">
        <w:rPr>
          <w:rFonts w:eastAsia="Times New Roman"/>
          <w:sz w:val="18"/>
          <w:szCs w:val="18"/>
        </w:rPr>
        <w:t>’s</w:t>
      </w:r>
      <w:r w:rsidR="005D077C">
        <w:rPr>
          <w:rFonts w:eastAsia="Times New Roman"/>
          <w:sz w:val="18"/>
          <w:szCs w:val="18"/>
        </w:rPr>
        <w:t xml:space="preserve"> websites</w:t>
      </w:r>
      <w:r w:rsidR="006063DD" w:rsidRPr="00C76DF0">
        <w:rPr>
          <w:rFonts w:eastAsia="Times New Roman"/>
          <w:sz w:val="18"/>
          <w:szCs w:val="18"/>
        </w:rPr>
        <w:t>.</w:t>
      </w:r>
      <w:r w:rsidR="00C76DF0" w:rsidRPr="00C76DF0">
        <w:rPr>
          <w:rFonts w:eastAsia="Times New Roman"/>
          <w:sz w:val="18"/>
          <w:szCs w:val="18"/>
        </w:rPr>
        <w:br w:type="page"/>
      </w:r>
    </w:p>
    <w:p w14:paraId="281A55B8" w14:textId="77777777" w:rsidR="004647B9" w:rsidRDefault="00E2436F">
      <w:pPr>
        <w:tabs>
          <w:tab w:val="left" w:pos="2860"/>
        </w:tabs>
        <w:ind w:left="1680"/>
        <w:rPr>
          <w:sz w:val="20"/>
          <w:szCs w:val="20"/>
        </w:rPr>
      </w:pPr>
      <w:bookmarkStart w:id="245" w:name="page249"/>
      <w:bookmarkEnd w:id="24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5B9" w14:textId="77777777" w:rsidR="004647B9" w:rsidRDefault="004647B9" w:rsidP="00541572">
      <w:pPr>
        <w:rPr>
          <w:sz w:val="20"/>
          <w:szCs w:val="20"/>
        </w:rPr>
      </w:pPr>
    </w:p>
    <w:p w14:paraId="2095C6FF" w14:textId="77777777" w:rsidR="00541572" w:rsidRDefault="00541572" w:rsidP="00541572">
      <w:pPr>
        <w:rPr>
          <w:sz w:val="20"/>
          <w:szCs w:val="20"/>
        </w:rPr>
      </w:pPr>
    </w:p>
    <w:p w14:paraId="281A55BA" w14:textId="77777777" w:rsidR="004647B9" w:rsidRPr="00541572" w:rsidRDefault="00E2436F" w:rsidP="00541572">
      <w:pPr>
        <w:tabs>
          <w:tab w:val="left" w:pos="940"/>
        </w:tabs>
        <w:rPr>
          <w:sz w:val="24"/>
          <w:szCs w:val="24"/>
        </w:rPr>
      </w:pPr>
      <w:r w:rsidRPr="00541572">
        <w:rPr>
          <w:rFonts w:eastAsia="Times New Roman"/>
          <w:sz w:val="24"/>
          <w:szCs w:val="24"/>
        </w:rPr>
        <w:t>22.16A:</w:t>
      </w:r>
      <w:r w:rsidRPr="00541572">
        <w:rPr>
          <w:sz w:val="24"/>
          <w:szCs w:val="24"/>
        </w:rPr>
        <w:tab/>
      </w:r>
      <w:r w:rsidRPr="00541572">
        <w:rPr>
          <w:rFonts w:eastAsia="Times New Roman"/>
          <w:sz w:val="24"/>
          <w:szCs w:val="24"/>
        </w:rPr>
        <w:t>continued</w:t>
      </w:r>
    </w:p>
    <w:p w14:paraId="281A55BB" w14:textId="77777777" w:rsidR="004647B9" w:rsidRDefault="004647B9" w:rsidP="00541572">
      <w:pPr>
        <w:rPr>
          <w:sz w:val="20"/>
          <w:szCs w:val="20"/>
        </w:rPr>
      </w:pPr>
    </w:p>
    <w:p w14:paraId="39A19272" w14:textId="77777777" w:rsidR="00CE1779" w:rsidRDefault="00CE1779" w:rsidP="00541572">
      <w:pPr>
        <w:numPr>
          <w:ilvl w:val="0"/>
          <w:numId w:val="556"/>
        </w:numPr>
        <w:tabs>
          <w:tab w:val="left" w:pos="2060"/>
        </w:tabs>
        <w:ind w:left="2060" w:hanging="445"/>
        <w:rPr>
          <w:rFonts w:eastAsia="Times New Roman"/>
          <w:sz w:val="24"/>
          <w:szCs w:val="24"/>
        </w:rPr>
      </w:pPr>
      <w:r>
        <w:rPr>
          <w:rFonts w:eastAsia="Times New Roman"/>
          <w:sz w:val="24"/>
          <w:szCs w:val="24"/>
          <w:u w:val="single"/>
        </w:rPr>
        <w:t>Table 3 - Secondary Contaminants Chart</w:t>
      </w:r>
      <w:r>
        <w:rPr>
          <w:rFonts w:eastAsia="Times New Roman"/>
          <w:sz w:val="24"/>
          <w:szCs w:val="24"/>
        </w:rPr>
        <w:t>.</w:t>
      </w:r>
    </w:p>
    <w:p w14:paraId="067C0193" w14:textId="77777777" w:rsidR="00CE1779" w:rsidRDefault="00CE1779" w:rsidP="00541572">
      <w:pPr>
        <w:rPr>
          <w:rFonts w:eastAsia="Times New Roman"/>
          <w:sz w:val="18"/>
          <w:szCs w:val="18"/>
        </w:rPr>
      </w:pPr>
    </w:p>
    <w:p w14:paraId="5E5515EE" w14:textId="77777777" w:rsidR="00CE1779" w:rsidRDefault="00CE1779" w:rsidP="00541572">
      <w:pPr>
        <w:ind w:left="547"/>
        <w:rPr>
          <w:sz w:val="20"/>
          <w:szCs w:val="20"/>
        </w:rPr>
      </w:pPr>
      <w:r>
        <w:rPr>
          <w:rFonts w:eastAsia="Times New Roman"/>
          <w:b/>
          <w:bCs/>
          <w:sz w:val="24"/>
          <w:szCs w:val="24"/>
        </w:rPr>
        <w:t>Sources to Drinking Water and Health and/or Aesthetic Effects</w:t>
      </w:r>
    </w:p>
    <w:p w14:paraId="3BFDA861" w14:textId="77777777" w:rsidR="00CE1779" w:rsidRDefault="00CE1779" w:rsidP="00541572">
      <w:pPr>
        <w:rPr>
          <w:rFonts w:eastAsia="Times New Roman"/>
          <w:sz w:val="18"/>
          <w:szCs w:val="18"/>
        </w:rPr>
      </w:pPr>
    </w:p>
    <w:p w14:paraId="0D3155BA" w14:textId="77777777" w:rsidR="00CE1779" w:rsidDel="007B206E" w:rsidRDefault="00CE1779" w:rsidP="00541572">
      <w:pPr>
        <w:rPr>
          <w:sz w:val="20"/>
          <w:szCs w:val="20"/>
        </w:rPr>
      </w:pPr>
      <w:r>
        <w:rPr>
          <w:rFonts w:eastAsia="Times New Roman"/>
          <w:sz w:val="18"/>
          <w:szCs w:val="18"/>
        </w:rPr>
        <w:t>Key:</w:t>
      </w:r>
    </w:p>
    <w:p w14:paraId="32EF4CF4" w14:textId="77777777" w:rsidR="00CE1779" w:rsidRDefault="00CE1779" w:rsidP="00541572">
      <w:pPr>
        <w:tabs>
          <w:tab w:val="left" w:pos="5280"/>
        </w:tabs>
        <w:rPr>
          <w:sz w:val="20"/>
          <w:szCs w:val="20"/>
        </w:rPr>
      </w:pPr>
      <w:r>
        <w:rPr>
          <w:rFonts w:eastAsia="Times New Roman"/>
          <w:sz w:val="18"/>
          <w:szCs w:val="18"/>
        </w:rPr>
        <w:t>CASRN - Chemical Abstract Services Registry Numbe</w:t>
      </w:r>
      <w:r w:rsidDel="007B206E">
        <w:rPr>
          <w:rFonts w:eastAsia="Times New Roman"/>
          <w:sz w:val="18"/>
          <w:szCs w:val="18"/>
        </w:rPr>
        <w:t>r</w:t>
      </w:r>
      <w:r>
        <w:rPr>
          <w:sz w:val="20"/>
          <w:szCs w:val="20"/>
        </w:rPr>
        <w:tab/>
      </w:r>
      <w:r>
        <w:rPr>
          <w:rFonts w:eastAsia="Times New Roman"/>
          <w:sz w:val="18"/>
          <w:szCs w:val="18"/>
        </w:rPr>
        <w:t>mg/L - milligram per liter (same as ppm</w:t>
      </w:r>
      <w:r w:rsidDel="007B206E">
        <w:rPr>
          <w:rFonts w:eastAsia="Times New Roman"/>
          <w:sz w:val="18"/>
          <w:szCs w:val="18"/>
        </w:rPr>
        <w:t>)</w:t>
      </w:r>
    </w:p>
    <w:p w14:paraId="2BCDF0E3" w14:textId="77777777" w:rsidR="00CE1779" w:rsidRDefault="00CE1779" w:rsidP="00541572">
      <w:pPr>
        <w:tabs>
          <w:tab w:val="left" w:pos="5280"/>
        </w:tabs>
        <w:rPr>
          <w:sz w:val="20"/>
          <w:szCs w:val="20"/>
        </w:rPr>
      </w:pPr>
      <w:r>
        <w:rPr>
          <w:rFonts w:eastAsia="Times New Roman"/>
          <w:sz w:val="18"/>
          <w:szCs w:val="18"/>
        </w:rPr>
        <w:t>SMCL - Secondary Maximum Contaminant Level</w:t>
      </w:r>
      <w:r>
        <w:rPr>
          <w:sz w:val="20"/>
          <w:szCs w:val="20"/>
        </w:rPr>
        <w:tab/>
      </w:r>
      <w:r>
        <w:rPr>
          <w:rFonts w:eastAsia="Times New Roman"/>
          <w:sz w:val="18"/>
          <w:szCs w:val="18"/>
        </w:rPr>
        <w:t>ppm - parts per millio</w:t>
      </w:r>
      <w:r w:rsidDel="007B206E">
        <w:rPr>
          <w:rFonts w:eastAsia="Times New Roman"/>
          <w:sz w:val="18"/>
          <w:szCs w:val="18"/>
        </w:rPr>
        <w:t>n</w:t>
      </w:r>
    </w:p>
    <w:p w14:paraId="17557D35" w14:textId="2C02B902" w:rsidR="00CB44AC" w:rsidRDefault="00CB44AC" w:rsidP="00541572">
      <w:pPr>
        <w:tabs>
          <w:tab w:val="left" w:pos="5280"/>
        </w:tabs>
        <w:rPr>
          <w:sz w:val="20"/>
          <w:szCs w:val="20"/>
        </w:rPr>
      </w:pPr>
      <w:r>
        <w:rPr>
          <w:rFonts w:eastAsia="Times New Roman"/>
          <w:sz w:val="18"/>
          <w:szCs w:val="18"/>
        </w:rPr>
        <w:t>C.U. - Color Unit</w:t>
      </w:r>
      <w:r>
        <w:rPr>
          <w:sz w:val="20"/>
          <w:szCs w:val="20"/>
        </w:rPr>
        <w:tab/>
      </w:r>
      <w:r>
        <w:rPr>
          <w:rFonts w:eastAsia="Times New Roman"/>
          <w:sz w:val="18"/>
          <w:szCs w:val="18"/>
        </w:rPr>
        <w:t>ppb - parts per billion</w:t>
      </w:r>
    </w:p>
    <w:p w14:paraId="281A55BC" w14:textId="31B2B0A9" w:rsidR="004647B9" w:rsidRDefault="00CB44AC" w:rsidP="00541572">
      <w:pPr>
        <w:rPr>
          <w:rFonts w:eastAsia="Times New Roman"/>
          <w:sz w:val="18"/>
          <w:szCs w:val="18"/>
        </w:rPr>
      </w:pPr>
      <w:r w:rsidDel="007B206E">
        <w:rPr>
          <w:rFonts w:eastAsia="Times New Roman"/>
          <w:sz w:val="18"/>
          <w:szCs w:val="18"/>
        </w:rPr>
        <w:t>T</w:t>
      </w:r>
      <w:r>
        <w:rPr>
          <w:rFonts w:eastAsia="Times New Roman"/>
          <w:sz w:val="18"/>
          <w:szCs w:val="18"/>
        </w:rPr>
        <w:t>.O.N. - Threshold odor numbers</w:t>
      </w:r>
    </w:p>
    <w:p w14:paraId="2F302241" w14:textId="77777777" w:rsidR="00C57A4E" w:rsidRDefault="00C57A4E" w:rsidP="00541572">
      <w:pPr>
        <w:rPr>
          <w:sz w:val="20"/>
          <w:szCs w:val="20"/>
        </w:rPr>
      </w:pPr>
    </w:p>
    <w:tbl>
      <w:tblPr>
        <w:tblW w:w="11240" w:type="dxa"/>
        <w:tblLayout w:type="fixed"/>
        <w:tblCellMar>
          <w:left w:w="0" w:type="dxa"/>
          <w:right w:w="0" w:type="dxa"/>
        </w:tblCellMar>
        <w:tblLook w:val="04A0" w:firstRow="1" w:lastRow="0" w:firstColumn="1" w:lastColumn="0" w:noHBand="0" w:noVBand="1"/>
      </w:tblPr>
      <w:tblGrid>
        <w:gridCol w:w="2020"/>
        <w:gridCol w:w="1440"/>
        <w:gridCol w:w="1440"/>
        <w:gridCol w:w="1360"/>
        <w:gridCol w:w="2160"/>
        <w:gridCol w:w="2820"/>
      </w:tblGrid>
      <w:tr w:rsidR="00C57A4E" w14:paraId="281A55D6" w14:textId="77777777" w:rsidTr="00F87853">
        <w:trPr>
          <w:trHeight w:val="1016"/>
        </w:trPr>
        <w:tc>
          <w:tcPr>
            <w:tcW w:w="2020" w:type="dxa"/>
            <w:tcBorders>
              <w:top w:val="single" w:sz="8" w:space="0" w:color="auto"/>
              <w:left w:val="single" w:sz="8" w:space="0" w:color="auto"/>
              <w:bottom w:val="single" w:sz="8" w:space="0" w:color="auto"/>
              <w:right w:val="single" w:sz="8" w:space="0" w:color="auto"/>
            </w:tcBorders>
            <w:vAlign w:val="center"/>
          </w:tcPr>
          <w:p w14:paraId="37622D25" w14:textId="77777777" w:rsidR="00C57A4E" w:rsidRPr="00C57A4E" w:rsidRDefault="00C57A4E" w:rsidP="00C57A4E">
            <w:pPr>
              <w:jc w:val="center"/>
              <w:rPr>
                <w:b/>
                <w:bCs/>
                <w:sz w:val="20"/>
                <w:szCs w:val="20"/>
              </w:rPr>
            </w:pPr>
            <w:r w:rsidRPr="00C57A4E">
              <w:rPr>
                <w:rFonts w:eastAsia="Times New Roman"/>
                <w:b/>
                <w:bCs/>
                <w:sz w:val="18"/>
                <w:szCs w:val="18"/>
              </w:rPr>
              <w:t>Chemical</w:t>
            </w:r>
          </w:p>
          <w:p w14:paraId="281A55D0" w14:textId="220B97F8" w:rsidR="00C57A4E" w:rsidRPr="00C57A4E" w:rsidRDefault="00C57A4E" w:rsidP="00C57A4E">
            <w:pPr>
              <w:jc w:val="center"/>
              <w:rPr>
                <w:b/>
                <w:bCs/>
                <w:sz w:val="20"/>
                <w:szCs w:val="20"/>
              </w:rPr>
            </w:pPr>
            <w:r w:rsidRPr="00C57A4E">
              <w:rPr>
                <w:rFonts w:eastAsia="Times New Roman"/>
                <w:b/>
                <w:bCs/>
                <w:sz w:val="18"/>
                <w:szCs w:val="18"/>
              </w:rPr>
              <w:t>(CASRN)</w:t>
            </w:r>
          </w:p>
        </w:tc>
        <w:tc>
          <w:tcPr>
            <w:tcW w:w="1440" w:type="dxa"/>
            <w:tcBorders>
              <w:top w:val="single" w:sz="8" w:space="0" w:color="auto"/>
              <w:bottom w:val="single" w:sz="8" w:space="0" w:color="auto"/>
              <w:right w:val="single" w:sz="8" w:space="0" w:color="auto"/>
            </w:tcBorders>
            <w:vAlign w:val="center"/>
          </w:tcPr>
          <w:p w14:paraId="281A55D1" w14:textId="649EEFCD" w:rsidR="00C57A4E" w:rsidRPr="00C57A4E" w:rsidRDefault="00C57A4E" w:rsidP="00C57A4E">
            <w:pPr>
              <w:jc w:val="center"/>
              <w:rPr>
                <w:b/>
                <w:bCs/>
                <w:sz w:val="20"/>
                <w:szCs w:val="20"/>
              </w:rPr>
            </w:pPr>
            <w:r w:rsidRPr="00C57A4E">
              <w:rPr>
                <w:rFonts w:eastAsia="Times New Roman"/>
                <w:b/>
                <w:bCs/>
                <w:w w:val="99"/>
                <w:sz w:val="18"/>
                <w:szCs w:val="18"/>
              </w:rPr>
              <w:t>SMCL</w:t>
            </w:r>
          </w:p>
        </w:tc>
        <w:tc>
          <w:tcPr>
            <w:tcW w:w="1440" w:type="dxa"/>
            <w:tcBorders>
              <w:top w:val="single" w:sz="8" w:space="0" w:color="auto"/>
              <w:bottom w:val="single" w:sz="8" w:space="0" w:color="auto"/>
              <w:right w:val="single" w:sz="8" w:space="0" w:color="auto"/>
            </w:tcBorders>
            <w:vAlign w:val="center"/>
          </w:tcPr>
          <w:p w14:paraId="1FD8E4E1" w14:textId="77777777" w:rsidR="00C57A4E" w:rsidRPr="00C57A4E" w:rsidRDefault="00C57A4E" w:rsidP="00C57A4E">
            <w:pPr>
              <w:jc w:val="center"/>
              <w:rPr>
                <w:b/>
                <w:bCs/>
                <w:sz w:val="20"/>
                <w:szCs w:val="20"/>
              </w:rPr>
            </w:pPr>
            <w:r w:rsidRPr="00C57A4E">
              <w:rPr>
                <w:rFonts w:eastAsia="Times New Roman"/>
                <w:b/>
                <w:bCs/>
                <w:sz w:val="18"/>
                <w:szCs w:val="18"/>
              </w:rPr>
              <w:t>To convert for</w:t>
            </w:r>
          </w:p>
          <w:p w14:paraId="5ED15EFB" w14:textId="77777777" w:rsidR="00C57A4E" w:rsidRPr="00C57A4E" w:rsidRDefault="00C57A4E" w:rsidP="00C57A4E">
            <w:pPr>
              <w:jc w:val="center"/>
              <w:rPr>
                <w:b/>
                <w:bCs/>
                <w:sz w:val="20"/>
                <w:szCs w:val="20"/>
              </w:rPr>
            </w:pPr>
            <w:r w:rsidRPr="00C57A4E">
              <w:rPr>
                <w:rFonts w:eastAsia="Times New Roman"/>
                <w:b/>
                <w:bCs/>
                <w:sz w:val="18"/>
                <w:szCs w:val="18"/>
              </w:rPr>
              <w:t>CCR, multiply</w:t>
            </w:r>
          </w:p>
          <w:p w14:paraId="281A55D2" w14:textId="2135BBD2" w:rsidR="00C57A4E" w:rsidRPr="00C57A4E" w:rsidRDefault="00C57A4E" w:rsidP="00C57A4E">
            <w:pPr>
              <w:jc w:val="center"/>
              <w:rPr>
                <w:b/>
                <w:bCs/>
                <w:sz w:val="20"/>
                <w:szCs w:val="20"/>
              </w:rPr>
            </w:pPr>
            <w:r w:rsidRPr="00C57A4E">
              <w:rPr>
                <w:rFonts w:eastAsia="Times New Roman"/>
                <w:b/>
                <w:bCs/>
                <w:sz w:val="18"/>
                <w:szCs w:val="18"/>
              </w:rPr>
              <w:t>by</w:t>
            </w:r>
          </w:p>
        </w:tc>
        <w:tc>
          <w:tcPr>
            <w:tcW w:w="1360" w:type="dxa"/>
            <w:tcBorders>
              <w:top w:val="single" w:sz="8" w:space="0" w:color="auto"/>
              <w:bottom w:val="single" w:sz="8" w:space="0" w:color="auto"/>
              <w:right w:val="single" w:sz="8" w:space="0" w:color="auto"/>
            </w:tcBorders>
            <w:vAlign w:val="center"/>
          </w:tcPr>
          <w:p w14:paraId="38CBCBD2" w14:textId="77777777" w:rsidR="00C57A4E" w:rsidRPr="00C57A4E" w:rsidRDefault="00C57A4E" w:rsidP="00C57A4E">
            <w:pPr>
              <w:jc w:val="center"/>
              <w:rPr>
                <w:b/>
                <w:bCs/>
                <w:sz w:val="20"/>
                <w:szCs w:val="20"/>
              </w:rPr>
            </w:pPr>
            <w:r w:rsidRPr="00C57A4E">
              <w:rPr>
                <w:rFonts w:eastAsia="Times New Roman"/>
                <w:b/>
                <w:bCs/>
                <w:w w:val="99"/>
                <w:sz w:val="18"/>
                <w:szCs w:val="18"/>
              </w:rPr>
              <w:t>SMCL</w:t>
            </w:r>
          </w:p>
          <w:p w14:paraId="281A55D3" w14:textId="7D571C97" w:rsidR="00C57A4E" w:rsidRPr="00C57A4E" w:rsidRDefault="00C57A4E" w:rsidP="00C57A4E">
            <w:pPr>
              <w:jc w:val="center"/>
              <w:rPr>
                <w:b/>
                <w:bCs/>
                <w:sz w:val="20"/>
                <w:szCs w:val="20"/>
              </w:rPr>
            </w:pPr>
            <w:r w:rsidRPr="00C57A4E">
              <w:rPr>
                <w:rFonts w:eastAsia="Times New Roman"/>
                <w:b/>
                <w:bCs/>
                <w:sz w:val="18"/>
                <w:szCs w:val="18"/>
              </w:rPr>
              <w:t>in CCR units</w:t>
            </w:r>
          </w:p>
        </w:tc>
        <w:tc>
          <w:tcPr>
            <w:tcW w:w="2160" w:type="dxa"/>
            <w:tcBorders>
              <w:top w:val="single" w:sz="8" w:space="0" w:color="auto"/>
              <w:bottom w:val="single" w:sz="8" w:space="0" w:color="auto"/>
              <w:right w:val="single" w:sz="8" w:space="0" w:color="auto"/>
            </w:tcBorders>
            <w:vAlign w:val="center"/>
          </w:tcPr>
          <w:p w14:paraId="52603F29" w14:textId="77777777" w:rsidR="00C57A4E" w:rsidRPr="00C57A4E" w:rsidRDefault="00C57A4E" w:rsidP="00C57A4E">
            <w:pPr>
              <w:jc w:val="center"/>
              <w:rPr>
                <w:b/>
                <w:bCs/>
                <w:sz w:val="20"/>
                <w:szCs w:val="20"/>
              </w:rPr>
            </w:pPr>
            <w:r w:rsidRPr="00C57A4E">
              <w:rPr>
                <w:rFonts w:eastAsia="Times New Roman"/>
                <w:b/>
                <w:bCs/>
                <w:sz w:val="18"/>
                <w:szCs w:val="18"/>
              </w:rPr>
              <w:t>Source to Drinking</w:t>
            </w:r>
          </w:p>
          <w:p w14:paraId="281A55D4" w14:textId="5163D7D8" w:rsidR="00C57A4E" w:rsidRPr="00C57A4E" w:rsidRDefault="00C57A4E" w:rsidP="00C57A4E">
            <w:pPr>
              <w:jc w:val="center"/>
              <w:rPr>
                <w:b/>
                <w:bCs/>
                <w:sz w:val="20"/>
                <w:szCs w:val="20"/>
              </w:rPr>
            </w:pPr>
            <w:r w:rsidRPr="00C57A4E">
              <w:rPr>
                <w:rFonts w:eastAsia="Times New Roman"/>
                <w:b/>
                <w:bCs/>
                <w:sz w:val="18"/>
                <w:szCs w:val="18"/>
              </w:rPr>
              <w:t>Water</w:t>
            </w:r>
          </w:p>
        </w:tc>
        <w:tc>
          <w:tcPr>
            <w:tcW w:w="2820" w:type="dxa"/>
            <w:tcBorders>
              <w:top w:val="single" w:sz="8" w:space="0" w:color="auto"/>
              <w:bottom w:val="single" w:sz="8" w:space="0" w:color="auto"/>
              <w:right w:val="single" w:sz="8" w:space="0" w:color="auto"/>
            </w:tcBorders>
            <w:vAlign w:val="center"/>
          </w:tcPr>
          <w:p w14:paraId="281A55D5" w14:textId="77777777" w:rsidR="00C57A4E" w:rsidRPr="00C57A4E" w:rsidRDefault="00C57A4E" w:rsidP="00C57A4E">
            <w:pPr>
              <w:jc w:val="center"/>
              <w:rPr>
                <w:b/>
                <w:bCs/>
                <w:sz w:val="20"/>
                <w:szCs w:val="20"/>
              </w:rPr>
            </w:pPr>
            <w:r w:rsidRPr="00C57A4E">
              <w:rPr>
                <w:rFonts w:eastAsia="Times New Roman"/>
                <w:b/>
                <w:bCs/>
                <w:sz w:val="18"/>
                <w:szCs w:val="18"/>
              </w:rPr>
              <w:t>Health and/or Aesthetic Effects</w:t>
            </w:r>
          </w:p>
        </w:tc>
      </w:tr>
      <w:tr w:rsidR="007D0D44" w14:paraId="281A55F2" w14:textId="77777777" w:rsidTr="00F87853">
        <w:trPr>
          <w:trHeight w:val="1296"/>
        </w:trPr>
        <w:tc>
          <w:tcPr>
            <w:tcW w:w="2020" w:type="dxa"/>
            <w:tcBorders>
              <w:top w:val="single" w:sz="8" w:space="0" w:color="auto"/>
              <w:left w:val="single" w:sz="8" w:space="0" w:color="auto"/>
              <w:bottom w:val="single" w:sz="8" w:space="0" w:color="auto"/>
              <w:right w:val="single" w:sz="8" w:space="0" w:color="auto"/>
            </w:tcBorders>
            <w:vAlign w:val="center"/>
          </w:tcPr>
          <w:p w14:paraId="281A55EC" w14:textId="77777777" w:rsidR="007D0D44" w:rsidRDefault="007D0D44" w:rsidP="007D0D44">
            <w:pPr>
              <w:ind w:left="60"/>
              <w:rPr>
                <w:sz w:val="20"/>
                <w:szCs w:val="20"/>
              </w:rPr>
            </w:pPr>
            <w:r>
              <w:rPr>
                <w:rFonts w:eastAsia="Times New Roman"/>
                <w:sz w:val="18"/>
                <w:szCs w:val="18"/>
              </w:rPr>
              <w:t>Aluminum</w:t>
            </w:r>
          </w:p>
        </w:tc>
        <w:tc>
          <w:tcPr>
            <w:tcW w:w="1440" w:type="dxa"/>
            <w:tcBorders>
              <w:top w:val="single" w:sz="8" w:space="0" w:color="auto"/>
              <w:bottom w:val="single" w:sz="8" w:space="0" w:color="auto"/>
              <w:right w:val="single" w:sz="8" w:space="0" w:color="auto"/>
            </w:tcBorders>
            <w:vAlign w:val="center"/>
          </w:tcPr>
          <w:p w14:paraId="281A55ED" w14:textId="77777777" w:rsidR="007D0D44" w:rsidRDefault="007D0D44" w:rsidP="007D0D44">
            <w:pPr>
              <w:jc w:val="center"/>
              <w:rPr>
                <w:sz w:val="20"/>
                <w:szCs w:val="20"/>
              </w:rPr>
            </w:pPr>
            <w:r>
              <w:rPr>
                <w:rFonts w:eastAsia="Times New Roman"/>
                <w:sz w:val="18"/>
                <w:szCs w:val="18"/>
              </w:rPr>
              <w:t>0.2 mg/L</w:t>
            </w:r>
          </w:p>
        </w:tc>
        <w:tc>
          <w:tcPr>
            <w:tcW w:w="1440" w:type="dxa"/>
            <w:tcBorders>
              <w:top w:val="single" w:sz="8" w:space="0" w:color="auto"/>
              <w:bottom w:val="single" w:sz="8" w:space="0" w:color="auto"/>
              <w:right w:val="single" w:sz="8" w:space="0" w:color="auto"/>
            </w:tcBorders>
            <w:vAlign w:val="center"/>
          </w:tcPr>
          <w:p w14:paraId="281A55EE" w14:textId="77777777" w:rsidR="007D0D44" w:rsidRDefault="007D0D44" w:rsidP="007D0D44">
            <w:pPr>
              <w:jc w:val="center"/>
              <w:rPr>
                <w:sz w:val="20"/>
                <w:szCs w:val="20"/>
              </w:rPr>
            </w:pPr>
            <w:r>
              <w:rPr>
                <w:rFonts w:eastAsia="Times New Roman"/>
                <w:sz w:val="18"/>
                <w:szCs w:val="18"/>
              </w:rPr>
              <w:t>1000</w:t>
            </w:r>
          </w:p>
        </w:tc>
        <w:tc>
          <w:tcPr>
            <w:tcW w:w="1360" w:type="dxa"/>
            <w:tcBorders>
              <w:top w:val="single" w:sz="8" w:space="0" w:color="auto"/>
              <w:bottom w:val="single" w:sz="8" w:space="0" w:color="auto"/>
              <w:right w:val="single" w:sz="8" w:space="0" w:color="auto"/>
            </w:tcBorders>
            <w:vAlign w:val="center"/>
          </w:tcPr>
          <w:p w14:paraId="281A55EF" w14:textId="77777777" w:rsidR="007D0D44" w:rsidRDefault="007D0D44" w:rsidP="007D0D44">
            <w:pPr>
              <w:jc w:val="center"/>
              <w:rPr>
                <w:sz w:val="20"/>
                <w:szCs w:val="20"/>
              </w:rPr>
            </w:pPr>
            <w:r>
              <w:rPr>
                <w:rFonts w:eastAsia="Times New Roman"/>
                <w:sz w:val="18"/>
                <w:szCs w:val="18"/>
              </w:rPr>
              <w:t>200 ppb</w:t>
            </w:r>
          </w:p>
        </w:tc>
        <w:tc>
          <w:tcPr>
            <w:tcW w:w="2160" w:type="dxa"/>
            <w:tcBorders>
              <w:top w:val="single" w:sz="8" w:space="0" w:color="auto"/>
              <w:bottom w:val="single" w:sz="8" w:space="0" w:color="auto"/>
              <w:right w:val="single" w:sz="8" w:space="0" w:color="auto"/>
            </w:tcBorders>
          </w:tcPr>
          <w:p w14:paraId="281A55F0" w14:textId="12A9BA78" w:rsidR="007D0D44" w:rsidRDefault="007D0D44" w:rsidP="00F87853">
            <w:pPr>
              <w:spacing w:line="360" w:lineRule="auto"/>
              <w:ind w:left="40"/>
              <w:rPr>
                <w:sz w:val="20"/>
                <w:szCs w:val="20"/>
              </w:rPr>
            </w:pPr>
            <w:r>
              <w:rPr>
                <w:rFonts w:eastAsia="Times New Roman"/>
                <w:sz w:val="18"/>
                <w:szCs w:val="18"/>
              </w:rPr>
              <w:t>Residue from water treatment process</w:t>
            </w:r>
            <w:r w:rsidR="00F87853">
              <w:rPr>
                <w:rFonts w:eastAsia="Times New Roman"/>
                <w:sz w:val="18"/>
                <w:szCs w:val="18"/>
              </w:rPr>
              <w:t xml:space="preserve">; </w:t>
            </w:r>
            <w:r>
              <w:rPr>
                <w:rFonts w:eastAsia="Times New Roman"/>
                <w:sz w:val="18"/>
                <w:szCs w:val="18"/>
              </w:rPr>
              <w:t>erosion of natural</w:t>
            </w:r>
            <w:r w:rsidR="00F87853">
              <w:rPr>
                <w:rFonts w:eastAsia="Times New Roman"/>
                <w:sz w:val="18"/>
                <w:szCs w:val="18"/>
              </w:rPr>
              <w:t xml:space="preserve"> </w:t>
            </w:r>
            <w:r>
              <w:rPr>
                <w:rFonts w:eastAsia="Times New Roman"/>
                <w:sz w:val="18"/>
                <w:szCs w:val="18"/>
              </w:rPr>
              <w:t>deposits</w:t>
            </w:r>
          </w:p>
        </w:tc>
        <w:tc>
          <w:tcPr>
            <w:tcW w:w="2820" w:type="dxa"/>
            <w:tcBorders>
              <w:top w:val="single" w:sz="8" w:space="0" w:color="auto"/>
              <w:bottom w:val="single" w:sz="8" w:space="0" w:color="auto"/>
              <w:right w:val="single" w:sz="8" w:space="0" w:color="auto"/>
            </w:tcBorders>
          </w:tcPr>
          <w:p w14:paraId="281A55F1" w14:textId="77777777" w:rsidR="007D0D44" w:rsidRDefault="007D0D44" w:rsidP="00F87853">
            <w:pPr>
              <w:spacing w:line="360" w:lineRule="auto"/>
              <w:ind w:left="40"/>
              <w:rPr>
                <w:sz w:val="20"/>
                <w:szCs w:val="20"/>
              </w:rPr>
            </w:pPr>
            <w:r>
              <w:rPr>
                <w:rFonts w:eastAsia="Times New Roman"/>
                <w:sz w:val="18"/>
                <w:szCs w:val="18"/>
              </w:rPr>
              <w:t>May produce colored water.</w:t>
            </w:r>
          </w:p>
        </w:tc>
      </w:tr>
      <w:tr w:rsidR="00F87853" w14:paraId="281A5615" w14:textId="77777777" w:rsidTr="00F87853">
        <w:trPr>
          <w:trHeight w:val="1015"/>
        </w:trPr>
        <w:tc>
          <w:tcPr>
            <w:tcW w:w="2020" w:type="dxa"/>
            <w:tcBorders>
              <w:top w:val="single" w:sz="8" w:space="0" w:color="auto"/>
              <w:left w:val="single" w:sz="8" w:space="0" w:color="auto"/>
              <w:bottom w:val="single" w:sz="8" w:space="0" w:color="auto"/>
              <w:right w:val="single" w:sz="8" w:space="0" w:color="auto"/>
            </w:tcBorders>
            <w:vAlign w:val="center"/>
          </w:tcPr>
          <w:p w14:paraId="281A560F" w14:textId="77777777" w:rsidR="00F87853" w:rsidRDefault="00F87853" w:rsidP="00F87853">
            <w:pPr>
              <w:ind w:left="60"/>
              <w:rPr>
                <w:sz w:val="20"/>
                <w:szCs w:val="20"/>
              </w:rPr>
            </w:pPr>
            <w:r>
              <w:rPr>
                <w:rFonts w:eastAsia="Times New Roman"/>
                <w:sz w:val="18"/>
                <w:szCs w:val="18"/>
              </w:rPr>
              <w:t>Chloride</w:t>
            </w:r>
          </w:p>
        </w:tc>
        <w:tc>
          <w:tcPr>
            <w:tcW w:w="1440" w:type="dxa"/>
            <w:tcBorders>
              <w:top w:val="single" w:sz="8" w:space="0" w:color="auto"/>
              <w:bottom w:val="single" w:sz="8" w:space="0" w:color="auto"/>
              <w:right w:val="single" w:sz="8" w:space="0" w:color="auto"/>
            </w:tcBorders>
            <w:vAlign w:val="center"/>
          </w:tcPr>
          <w:p w14:paraId="281A5610" w14:textId="77777777" w:rsidR="00F87853" w:rsidRDefault="00F87853" w:rsidP="00F87853">
            <w:pPr>
              <w:jc w:val="center"/>
              <w:rPr>
                <w:sz w:val="20"/>
                <w:szCs w:val="20"/>
              </w:rPr>
            </w:pPr>
            <w:r>
              <w:rPr>
                <w:rFonts w:eastAsia="Times New Roman"/>
                <w:sz w:val="18"/>
                <w:szCs w:val="18"/>
              </w:rPr>
              <w:t>250 mg/L</w:t>
            </w:r>
          </w:p>
        </w:tc>
        <w:tc>
          <w:tcPr>
            <w:tcW w:w="1440" w:type="dxa"/>
            <w:tcBorders>
              <w:top w:val="single" w:sz="8" w:space="0" w:color="auto"/>
              <w:bottom w:val="single" w:sz="8" w:space="0" w:color="auto"/>
              <w:right w:val="single" w:sz="8" w:space="0" w:color="auto"/>
            </w:tcBorders>
            <w:vAlign w:val="center"/>
          </w:tcPr>
          <w:p w14:paraId="281A5611" w14:textId="77777777" w:rsidR="00F87853" w:rsidRDefault="00F87853" w:rsidP="00F87853">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281A5612" w14:textId="77777777" w:rsidR="00F87853" w:rsidRDefault="00F87853" w:rsidP="00F87853">
            <w:pPr>
              <w:jc w:val="center"/>
              <w:rPr>
                <w:sz w:val="20"/>
                <w:szCs w:val="20"/>
              </w:rPr>
            </w:pPr>
            <w:r>
              <w:rPr>
                <w:rFonts w:eastAsia="Times New Roman"/>
                <w:sz w:val="18"/>
                <w:szCs w:val="18"/>
              </w:rPr>
              <w:t>250 ppm</w:t>
            </w:r>
          </w:p>
        </w:tc>
        <w:tc>
          <w:tcPr>
            <w:tcW w:w="2160" w:type="dxa"/>
            <w:tcBorders>
              <w:top w:val="single" w:sz="8" w:space="0" w:color="auto"/>
              <w:bottom w:val="single" w:sz="8" w:space="0" w:color="auto"/>
              <w:right w:val="single" w:sz="8" w:space="0" w:color="auto"/>
            </w:tcBorders>
          </w:tcPr>
          <w:p w14:paraId="281A5613" w14:textId="327EEC11" w:rsidR="00F87853" w:rsidRDefault="00F87853" w:rsidP="00F87853">
            <w:pPr>
              <w:spacing w:line="360" w:lineRule="auto"/>
              <w:ind w:left="40"/>
              <w:rPr>
                <w:sz w:val="20"/>
                <w:szCs w:val="20"/>
              </w:rPr>
            </w:pPr>
            <w:r>
              <w:rPr>
                <w:rFonts w:eastAsia="Times New Roman"/>
                <w:sz w:val="18"/>
                <w:szCs w:val="18"/>
              </w:rPr>
              <w:t>Runoff and leaching from natural deposits; seawater influence</w:t>
            </w:r>
          </w:p>
        </w:tc>
        <w:tc>
          <w:tcPr>
            <w:tcW w:w="2820" w:type="dxa"/>
            <w:tcBorders>
              <w:top w:val="single" w:sz="8" w:space="0" w:color="auto"/>
              <w:bottom w:val="single" w:sz="8" w:space="0" w:color="auto"/>
              <w:right w:val="single" w:sz="8" w:space="0" w:color="auto"/>
            </w:tcBorders>
          </w:tcPr>
          <w:p w14:paraId="281A5614" w14:textId="77777777" w:rsidR="00F87853" w:rsidRDefault="00F87853" w:rsidP="00F87853">
            <w:pPr>
              <w:spacing w:line="360" w:lineRule="auto"/>
              <w:ind w:left="40"/>
              <w:rPr>
                <w:sz w:val="20"/>
                <w:szCs w:val="20"/>
              </w:rPr>
            </w:pPr>
            <w:r>
              <w:rPr>
                <w:rFonts w:eastAsia="Times New Roman"/>
                <w:sz w:val="18"/>
                <w:szCs w:val="18"/>
              </w:rPr>
              <w:t>May produce a salty taste.</w:t>
            </w:r>
          </w:p>
        </w:tc>
      </w:tr>
      <w:tr w:rsidR="00F87853" w14:paraId="281A5631" w14:textId="77777777" w:rsidTr="007E04EC">
        <w:trPr>
          <w:trHeight w:val="736"/>
        </w:trPr>
        <w:tc>
          <w:tcPr>
            <w:tcW w:w="2020" w:type="dxa"/>
            <w:tcBorders>
              <w:top w:val="single" w:sz="8" w:space="0" w:color="auto"/>
              <w:left w:val="single" w:sz="8" w:space="0" w:color="auto"/>
              <w:bottom w:val="single" w:sz="8" w:space="0" w:color="auto"/>
              <w:right w:val="single" w:sz="8" w:space="0" w:color="auto"/>
            </w:tcBorders>
            <w:vAlign w:val="center"/>
          </w:tcPr>
          <w:p w14:paraId="281A562B" w14:textId="77777777" w:rsidR="00F87853" w:rsidRDefault="00F87853" w:rsidP="00F87853">
            <w:pPr>
              <w:ind w:left="60"/>
              <w:rPr>
                <w:sz w:val="20"/>
                <w:szCs w:val="20"/>
              </w:rPr>
            </w:pPr>
            <w:r>
              <w:rPr>
                <w:rFonts w:eastAsia="Times New Roman"/>
                <w:sz w:val="18"/>
                <w:szCs w:val="18"/>
              </w:rPr>
              <w:t>Color</w:t>
            </w:r>
          </w:p>
        </w:tc>
        <w:tc>
          <w:tcPr>
            <w:tcW w:w="1440" w:type="dxa"/>
            <w:tcBorders>
              <w:top w:val="single" w:sz="8" w:space="0" w:color="auto"/>
              <w:bottom w:val="single" w:sz="8" w:space="0" w:color="auto"/>
              <w:right w:val="single" w:sz="8" w:space="0" w:color="auto"/>
            </w:tcBorders>
            <w:vAlign w:val="center"/>
          </w:tcPr>
          <w:p w14:paraId="281A562C" w14:textId="77777777" w:rsidR="00F87853" w:rsidRDefault="00F87853" w:rsidP="00F87853">
            <w:pPr>
              <w:jc w:val="center"/>
              <w:rPr>
                <w:sz w:val="20"/>
                <w:szCs w:val="20"/>
              </w:rPr>
            </w:pPr>
            <w:r>
              <w:rPr>
                <w:rFonts w:eastAsia="Times New Roman"/>
                <w:sz w:val="18"/>
                <w:szCs w:val="18"/>
              </w:rPr>
              <w:t>15 C.U.</w:t>
            </w:r>
          </w:p>
        </w:tc>
        <w:tc>
          <w:tcPr>
            <w:tcW w:w="1440" w:type="dxa"/>
            <w:tcBorders>
              <w:top w:val="single" w:sz="8" w:space="0" w:color="auto"/>
              <w:bottom w:val="single" w:sz="8" w:space="0" w:color="auto"/>
              <w:right w:val="single" w:sz="8" w:space="0" w:color="auto"/>
            </w:tcBorders>
            <w:vAlign w:val="center"/>
          </w:tcPr>
          <w:p w14:paraId="281A562D" w14:textId="77777777" w:rsidR="00F87853" w:rsidRDefault="00F87853" w:rsidP="00F87853">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281A562E" w14:textId="77777777" w:rsidR="00F87853" w:rsidRDefault="00F87853" w:rsidP="00F87853">
            <w:pPr>
              <w:jc w:val="center"/>
              <w:rPr>
                <w:sz w:val="20"/>
                <w:szCs w:val="20"/>
              </w:rPr>
            </w:pPr>
            <w:r>
              <w:rPr>
                <w:rFonts w:eastAsia="Times New Roman"/>
                <w:sz w:val="18"/>
                <w:szCs w:val="18"/>
              </w:rPr>
              <w:t>15 C.U.</w:t>
            </w:r>
          </w:p>
        </w:tc>
        <w:tc>
          <w:tcPr>
            <w:tcW w:w="2160" w:type="dxa"/>
            <w:tcBorders>
              <w:top w:val="single" w:sz="8" w:space="0" w:color="auto"/>
              <w:bottom w:val="single" w:sz="8" w:space="0" w:color="auto"/>
              <w:right w:val="single" w:sz="8" w:space="0" w:color="auto"/>
            </w:tcBorders>
          </w:tcPr>
          <w:p w14:paraId="281A562F" w14:textId="48477F20" w:rsidR="00F87853" w:rsidRDefault="00F87853" w:rsidP="00F87853">
            <w:pPr>
              <w:spacing w:line="360" w:lineRule="auto"/>
              <w:ind w:left="40"/>
              <w:rPr>
                <w:sz w:val="20"/>
                <w:szCs w:val="20"/>
              </w:rPr>
            </w:pPr>
            <w:r>
              <w:rPr>
                <w:rFonts w:eastAsia="Times New Roman"/>
                <w:sz w:val="18"/>
                <w:szCs w:val="18"/>
              </w:rPr>
              <w:t>Naturally occurring material</w:t>
            </w:r>
          </w:p>
        </w:tc>
        <w:tc>
          <w:tcPr>
            <w:tcW w:w="2820" w:type="dxa"/>
            <w:tcBorders>
              <w:top w:val="single" w:sz="8" w:space="0" w:color="auto"/>
              <w:bottom w:val="single" w:sz="8" w:space="0" w:color="auto"/>
              <w:right w:val="single" w:sz="8" w:space="0" w:color="auto"/>
            </w:tcBorders>
          </w:tcPr>
          <w:p w14:paraId="281A5630" w14:textId="77777777" w:rsidR="00F87853" w:rsidRDefault="00F87853" w:rsidP="00F87853">
            <w:pPr>
              <w:spacing w:line="360" w:lineRule="auto"/>
              <w:ind w:left="40"/>
              <w:rPr>
                <w:sz w:val="20"/>
                <w:szCs w:val="20"/>
              </w:rPr>
            </w:pPr>
            <w:r>
              <w:rPr>
                <w:rFonts w:eastAsia="Times New Roman"/>
                <w:sz w:val="18"/>
                <w:szCs w:val="18"/>
              </w:rPr>
              <w:t>May produce a visible tint.</w:t>
            </w:r>
          </w:p>
        </w:tc>
      </w:tr>
      <w:tr w:rsidR="007E04EC" w14:paraId="281A5646" w14:textId="77777777" w:rsidTr="007E04EC">
        <w:trPr>
          <w:trHeight w:val="1295"/>
        </w:trPr>
        <w:tc>
          <w:tcPr>
            <w:tcW w:w="2020" w:type="dxa"/>
            <w:tcBorders>
              <w:top w:val="single" w:sz="8" w:space="0" w:color="auto"/>
              <w:left w:val="single" w:sz="8" w:space="0" w:color="auto"/>
              <w:bottom w:val="single" w:sz="8" w:space="0" w:color="auto"/>
              <w:right w:val="single" w:sz="8" w:space="0" w:color="auto"/>
            </w:tcBorders>
            <w:vAlign w:val="center"/>
          </w:tcPr>
          <w:p w14:paraId="281A5640" w14:textId="77777777" w:rsidR="007E04EC" w:rsidRDefault="007E04EC" w:rsidP="007E04EC">
            <w:pPr>
              <w:ind w:left="60"/>
              <w:rPr>
                <w:sz w:val="20"/>
                <w:szCs w:val="20"/>
              </w:rPr>
            </w:pPr>
            <w:r>
              <w:rPr>
                <w:rFonts w:eastAsia="Times New Roman"/>
                <w:sz w:val="18"/>
                <w:szCs w:val="18"/>
              </w:rPr>
              <w:t>Copper</w:t>
            </w:r>
          </w:p>
        </w:tc>
        <w:tc>
          <w:tcPr>
            <w:tcW w:w="1440" w:type="dxa"/>
            <w:tcBorders>
              <w:top w:val="single" w:sz="8" w:space="0" w:color="auto"/>
              <w:bottom w:val="single" w:sz="8" w:space="0" w:color="auto"/>
              <w:right w:val="single" w:sz="8" w:space="0" w:color="auto"/>
            </w:tcBorders>
            <w:vAlign w:val="center"/>
          </w:tcPr>
          <w:p w14:paraId="281A5641" w14:textId="77777777" w:rsidR="007E04EC" w:rsidRDefault="007E04EC" w:rsidP="00F87853">
            <w:pPr>
              <w:jc w:val="center"/>
              <w:rPr>
                <w:sz w:val="20"/>
                <w:szCs w:val="20"/>
              </w:rPr>
            </w:pPr>
            <w:r>
              <w:rPr>
                <w:rFonts w:eastAsia="Times New Roman"/>
                <w:sz w:val="18"/>
                <w:szCs w:val="18"/>
              </w:rPr>
              <w:t>1 mg/L</w:t>
            </w:r>
          </w:p>
        </w:tc>
        <w:tc>
          <w:tcPr>
            <w:tcW w:w="1440" w:type="dxa"/>
            <w:tcBorders>
              <w:top w:val="single" w:sz="8" w:space="0" w:color="auto"/>
              <w:bottom w:val="single" w:sz="8" w:space="0" w:color="auto"/>
              <w:right w:val="single" w:sz="8" w:space="0" w:color="auto"/>
            </w:tcBorders>
            <w:vAlign w:val="center"/>
          </w:tcPr>
          <w:p w14:paraId="281A5642" w14:textId="77777777" w:rsidR="007E04EC" w:rsidRDefault="007E04EC" w:rsidP="00F87853">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281A5643" w14:textId="77777777" w:rsidR="007E04EC" w:rsidRDefault="007E04EC" w:rsidP="00F87853">
            <w:pPr>
              <w:jc w:val="center"/>
              <w:rPr>
                <w:sz w:val="20"/>
                <w:szCs w:val="20"/>
              </w:rPr>
            </w:pPr>
            <w:r>
              <w:rPr>
                <w:rFonts w:eastAsia="Times New Roman"/>
                <w:sz w:val="18"/>
                <w:szCs w:val="18"/>
              </w:rPr>
              <w:t>1 ppm</w:t>
            </w:r>
          </w:p>
        </w:tc>
        <w:tc>
          <w:tcPr>
            <w:tcW w:w="2160" w:type="dxa"/>
            <w:tcBorders>
              <w:top w:val="single" w:sz="8" w:space="0" w:color="auto"/>
              <w:bottom w:val="single" w:sz="8" w:space="0" w:color="auto"/>
              <w:right w:val="single" w:sz="8" w:space="0" w:color="auto"/>
            </w:tcBorders>
          </w:tcPr>
          <w:p w14:paraId="281A5644" w14:textId="53E864CE" w:rsidR="007E04EC" w:rsidRDefault="007E04EC" w:rsidP="007E04EC">
            <w:pPr>
              <w:spacing w:line="360" w:lineRule="auto"/>
              <w:ind w:left="40"/>
              <w:rPr>
                <w:sz w:val="20"/>
                <w:szCs w:val="20"/>
              </w:rPr>
            </w:pPr>
            <w:r>
              <w:rPr>
                <w:rFonts w:eastAsia="Times New Roman"/>
                <w:sz w:val="18"/>
                <w:szCs w:val="18"/>
              </w:rPr>
              <w:t>Internal corrosion of household plumbing; erosion of natural deposits</w:t>
            </w:r>
          </w:p>
        </w:tc>
        <w:tc>
          <w:tcPr>
            <w:tcW w:w="2820" w:type="dxa"/>
            <w:tcBorders>
              <w:top w:val="single" w:sz="8" w:space="0" w:color="auto"/>
              <w:bottom w:val="single" w:sz="8" w:space="0" w:color="auto"/>
              <w:right w:val="single" w:sz="8" w:space="0" w:color="auto"/>
            </w:tcBorders>
          </w:tcPr>
          <w:p w14:paraId="281A5645" w14:textId="114CBE85" w:rsidR="007E04EC" w:rsidRDefault="007E04EC" w:rsidP="007E04EC">
            <w:pPr>
              <w:spacing w:line="360" w:lineRule="auto"/>
              <w:ind w:left="40"/>
              <w:rPr>
                <w:sz w:val="20"/>
                <w:szCs w:val="20"/>
              </w:rPr>
            </w:pPr>
            <w:r>
              <w:rPr>
                <w:rFonts w:eastAsia="Times New Roman"/>
                <w:sz w:val="18"/>
                <w:szCs w:val="18"/>
              </w:rPr>
              <w:t>May produce a metallic taste; blue-green staining.</w:t>
            </w:r>
          </w:p>
        </w:tc>
      </w:tr>
      <w:tr w:rsidR="007E04EC" w14:paraId="281A5669" w14:textId="77777777" w:rsidTr="007E04EC">
        <w:trPr>
          <w:trHeight w:val="1576"/>
        </w:trPr>
        <w:tc>
          <w:tcPr>
            <w:tcW w:w="2020" w:type="dxa"/>
            <w:tcBorders>
              <w:top w:val="single" w:sz="8" w:space="0" w:color="auto"/>
              <w:left w:val="single" w:sz="8" w:space="0" w:color="auto"/>
              <w:bottom w:val="single" w:sz="8" w:space="0" w:color="auto"/>
              <w:right w:val="single" w:sz="8" w:space="0" w:color="auto"/>
            </w:tcBorders>
            <w:vAlign w:val="center"/>
          </w:tcPr>
          <w:p w14:paraId="281A5663" w14:textId="77777777" w:rsidR="007E04EC" w:rsidRDefault="007E04EC" w:rsidP="007E04EC">
            <w:pPr>
              <w:ind w:left="60"/>
              <w:rPr>
                <w:sz w:val="20"/>
                <w:szCs w:val="20"/>
              </w:rPr>
            </w:pPr>
            <w:r>
              <w:rPr>
                <w:rFonts w:eastAsia="Times New Roman"/>
                <w:sz w:val="18"/>
                <w:szCs w:val="18"/>
              </w:rPr>
              <w:t>Corrosivity</w:t>
            </w:r>
          </w:p>
        </w:tc>
        <w:tc>
          <w:tcPr>
            <w:tcW w:w="1440" w:type="dxa"/>
            <w:tcBorders>
              <w:top w:val="single" w:sz="8" w:space="0" w:color="auto"/>
              <w:bottom w:val="single" w:sz="8" w:space="0" w:color="auto"/>
              <w:right w:val="single" w:sz="8" w:space="0" w:color="auto"/>
            </w:tcBorders>
            <w:vAlign w:val="center"/>
          </w:tcPr>
          <w:p w14:paraId="281A5664" w14:textId="77777777" w:rsidR="007E04EC" w:rsidRDefault="007E04EC" w:rsidP="007E04EC">
            <w:pPr>
              <w:jc w:val="center"/>
              <w:rPr>
                <w:sz w:val="20"/>
                <w:szCs w:val="20"/>
              </w:rPr>
            </w:pPr>
            <w:r>
              <w:rPr>
                <w:rFonts w:eastAsia="Times New Roman"/>
                <w:sz w:val="18"/>
                <w:szCs w:val="18"/>
              </w:rPr>
              <w:t>Non-corrosive</w:t>
            </w:r>
          </w:p>
        </w:tc>
        <w:tc>
          <w:tcPr>
            <w:tcW w:w="1440" w:type="dxa"/>
            <w:tcBorders>
              <w:top w:val="single" w:sz="8" w:space="0" w:color="auto"/>
              <w:bottom w:val="single" w:sz="8" w:space="0" w:color="auto"/>
              <w:right w:val="single" w:sz="8" w:space="0" w:color="auto"/>
            </w:tcBorders>
            <w:vAlign w:val="center"/>
          </w:tcPr>
          <w:p w14:paraId="281A5665" w14:textId="77777777" w:rsidR="007E04EC" w:rsidRDefault="007E04EC" w:rsidP="007E04EC">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281A5666" w14:textId="77777777" w:rsidR="007E04EC" w:rsidRDefault="007E04EC" w:rsidP="007E04EC">
            <w:pPr>
              <w:jc w:val="center"/>
              <w:rPr>
                <w:sz w:val="20"/>
                <w:szCs w:val="20"/>
              </w:rPr>
            </w:pPr>
            <w:r>
              <w:rPr>
                <w:rFonts w:eastAsia="Times New Roman"/>
                <w:w w:val="99"/>
                <w:sz w:val="18"/>
                <w:szCs w:val="18"/>
              </w:rPr>
              <w:t>-</w:t>
            </w:r>
          </w:p>
        </w:tc>
        <w:tc>
          <w:tcPr>
            <w:tcW w:w="2160" w:type="dxa"/>
            <w:tcBorders>
              <w:top w:val="single" w:sz="8" w:space="0" w:color="auto"/>
              <w:bottom w:val="single" w:sz="8" w:space="0" w:color="auto"/>
              <w:right w:val="single" w:sz="8" w:space="0" w:color="auto"/>
            </w:tcBorders>
          </w:tcPr>
          <w:p w14:paraId="281A5667" w14:textId="2A4CF13E" w:rsidR="007E04EC" w:rsidRDefault="007E04EC" w:rsidP="007E04EC">
            <w:pPr>
              <w:spacing w:line="360" w:lineRule="auto"/>
              <w:ind w:left="40"/>
              <w:rPr>
                <w:sz w:val="20"/>
                <w:szCs w:val="20"/>
              </w:rPr>
            </w:pPr>
            <w:r>
              <w:rPr>
                <w:rFonts w:eastAsia="Times New Roman"/>
                <w:sz w:val="18"/>
                <w:szCs w:val="18"/>
              </w:rPr>
              <w:t>Balance of hydrogen, carbon, and oxygen in water, affected by temperature and other factors</w:t>
            </w:r>
          </w:p>
        </w:tc>
        <w:tc>
          <w:tcPr>
            <w:tcW w:w="2820" w:type="dxa"/>
            <w:tcBorders>
              <w:top w:val="single" w:sz="8" w:space="0" w:color="auto"/>
              <w:bottom w:val="single" w:sz="8" w:space="0" w:color="auto"/>
              <w:right w:val="single" w:sz="8" w:space="0" w:color="auto"/>
            </w:tcBorders>
          </w:tcPr>
          <w:p w14:paraId="281A5668" w14:textId="75F1C621" w:rsidR="007E04EC" w:rsidRDefault="007E04EC" w:rsidP="007E04EC">
            <w:pPr>
              <w:spacing w:line="360" w:lineRule="auto"/>
              <w:ind w:left="40"/>
              <w:rPr>
                <w:sz w:val="20"/>
                <w:szCs w:val="20"/>
              </w:rPr>
            </w:pPr>
            <w:r>
              <w:rPr>
                <w:rFonts w:eastAsia="Times New Roman"/>
                <w:sz w:val="18"/>
                <w:szCs w:val="18"/>
              </w:rPr>
              <w:t>May produce a metallic taste; corroded pipes; fixture staining.</w:t>
            </w:r>
          </w:p>
        </w:tc>
      </w:tr>
      <w:tr w:rsidR="007E04EC" w14:paraId="281A5693" w14:textId="77777777" w:rsidTr="007E04EC">
        <w:trPr>
          <w:trHeight w:val="737"/>
        </w:trPr>
        <w:tc>
          <w:tcPr>
            <w:tcW w:w="2020" w:type="dxa"/>
            <w:tcBorders>
              <w:top w:val="single" w:sz="8" w:space="0" w:color="auto"/>
              <w:left w:val="single" w:sz="8" w:space="0" w:color="auto"/>
              <w:bottom w:val="single" w:sz="8" w:space="0" w:color="auto"/>
              <w:right w:val="single" w:sz="8" w:space="0" w:color="auto"/>
            </w:tcBorders>
            <w:vAlign w:val="center"/>
          </w:tcPr>
          <w:p w14:paraId="281A568D" w14:textId="77777777" w:rsidR="007E04EC" w:rsidRDefault="007E04EC" w:rsidP="007E04EC">
            <w:pPr>
              <w:ind w:left="60"/>
              <w:rPr>
                <w:sz w:val="20"/>
                <w:szCs w:val="20"/>
              </w:rPr>
            </w:pPr>
            <w:r>
              <w:rPr>
                <w:rFonts w:eastAsia="Times New Roman"/>
                <w:sz w:val="18"/>
                <w:szCs w:val="18"/>
              </w:rPr>
              <w:t>Fluoride</w:t>
            </w:r>
          </w:p>
        </w:tc>
        <w:tc>
          <w:tcPr>
            <w:tcW w:w="1440" w:type="dxa"/>
            <w:tcBorders>
              <w:top w:val="single" w:sz="8" w:space="0" w:color="auto"/>
              <w:bottom w:val="single" w:sz="8" w:space="0" w:color="auto"/>
              <w:right w:val="single" w:sz="8" w:space="0" w:color="auto"/>
            </w:tcBorders>
            <w:vAlign w:val="center"/>
          </w:tcPr>
          <w:p w14:paraId="281A568E" w14:textId="77777777" w:rsidR="007E04EC" w:rsidRDefault="007E04EC" w:rsidP="007E04EC">
            <w:pPr>
              <w:jc w:val="center"/>
              <w:rPr>
                <w:sz w:val="20"/>
                <w:szCs w:val="20"/>
              </w:rPr>
            </w:pPr>
            <w:r>
              <w:rPr>
                <w:rFonts w:eastAsia="Times New Roman"/>
                <w:sz w:val="18"/>
                <w:szCs w:val="18"/>
              </w:rPr>
              <w:t>2.0 mg/L</w:t>
            </w:r>
          </w:p>
        </w:tc>
        <w:tc>
          <w:tcPr>
            <w:tcW w:w="1440" w:type="dxa"/>
            <w:tcBorders>
              <w:top w:val="single" w:sz="8" w:space="0" w:color="auto"/>
              <w:bottom w:val="single" w:sz="8" w:space="0" w:color="auto"/>
              <w:right w:val="single" w:sz="8" w:space="0" w:color="auto"/>
            </w:tcBorders>
            <w:vAlign w:val="center"/>
          </w:tcPr>
          <w:p w14:paraId="281A568F" w14:textId="77777777" w:rsidR="007E04EC" w:rsidRDefault="007E04EC" w:rsidP="007E04EC">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281A5690" w14:textId="77777777" w:rsidR="007E04EC" w:rsidRDefault="007E04EC" w:rsidP="007E04EC">
            <w:pPr>
              <w:jc w:val="center"/>
              <w:rPr>
                <w:sz w:val="20"/>
                <w:szCs w:val="20"/>
              </w:rPr>
            </w:pPr>
            <w:r>
              <w:rPr>
                <w:rFonts w:eastAsia="Times New Roman"/>
                <w:sz w:val="18"/>
                <w:szCs w:val="18"/>
              </w:rPr>
              <w:t>2 ppm</w:t>
            </w:r>
          </w:p>
        </w:tc>
        <w:tc>
          <w:tcPr>
            <w:tcW w:w="2160" w:type="dxa"/>
            <w:tcBorders>
              <w:top w:val="single" w:sz="8" w:space="0" w:color="auto"/>
              <w:bottom w:val="single" w:sz="8" w:space="0" w:color="auto"/>
              <w:right w:val="single" w:sz="8" w:space="0" w:color="auto"/>
            </w:tcBorders>
          </w:tcPr>
          <w:p w14:paraId="281A5691" w14:textId="69ED98FA" w:rsidR="007E04EC" w:rsidRDefault="007E04EC" w:rsidP="007E04EC">
            <w:pPr>
              <w:ind w:left="40"/>
              <w:rPr>
                <w:sz w:val="20"/>
                <w:szCs w:val="20"/>
              </w:rPr>
            </w:pPr>
            <w:r>
              <w:rPr>
                <w:rFonts w:eastAsia="Times New Roman"/>
                <w:sz w:val="18"/>
                <w:szCs w:val="18"/>
              </w:rPr>
              <w:t>Erosion of natural deposits</w:t>
            </w:r>
          </w:p>
        </w:tc>
        <w:tc>
          <w:tcPr>
            <w:tcW w:w="2820" w:type="dxa"/>
            <w:tcBorders>
              <w:top w:val="single" w:sz="8" w:space="0" w:color="auto"/>
              <w:bottom w:val="single" w:sz="8" w:space="0" w:color="auto"/>
              <w:right w:val="single" w:sz="8" w:space="0" w:color="auto"/>
            </w:tcBorders>
          </w:tcPr>
          <w:p w14:paraId="281A5692" w14:textId="77777777" w:rsidR="007E04EC" w:rsidRDefault="007E04EC" w:rsidP="007E04EC">
            <w:pPr>
              <w:ind w:left="40"/>
              <w:rPr>
                <w:sz w:val="20"/>
                <w:szCs w:val="20"/>
              </w:rPr>
            </w:pPr>
            <w:r>
              <w:rPr>
                <w:rFonts w:eastAsia="Times New Roman"/>
                <w:sz w:val="18"/>
                <w:szCs w:val="18"/>
              </w:rPr>
              <w:t>May produce tooth discoloration.</w:t>
            </w:r>
          </w:p>
        </w:tc>
      </w:tr>
      <w:tr w:rsidR="007E04EC" w14:paraId="281A56A8" w14:textId="77777777" w:rsidTr="007E04EC">
        <w:trPr>
          <w:trHeight w:val="737"/>
        </w:trPr>
        <w:tc>
          <w:tcPr>
            <w:tcW w:w="2020" w:type="dxa"/>
            <w:tcBorders>
              <w:top w:val="single" w:sz="8" w:space="0" w:color="auto"/>
              <w:left w:val="single" w:sz="8" w:space="0" w:color="auto"/>
              <w:bottom w:val="single" w:sz="8" w:space="0" w:color="auto"/>
              <w:right w:val="single" w:sz="8" w:space="0" w:color="auto"/>
            </w:tcBorders>
            <w:vAlign w:val="center"/>
          </w:tcPr>
          <w:p w14:paraId="281A56A2" w14:textId="77777777" w:rsidR="007E04EC" w:rsidRDefault="007E04EC" w:rsidP="007E04EC">
            <w:pPr>
              <w:ind w:left="60"/>
              <w:rPr>
                <w:sz w:val="20"/>
                <w:szCs w:val="20"/>
              </w:rPr>
            </w:pPr>
            <w:r>
              <w:rPr>
                <w:rFonts w:eastAsia="Times New Roman"/>
                <w:sz w:val="18"/>
                <w:szCs w:val="18"/>
              </w:rPr>
              <w:t>Foaming agents</w:t>
            </w:r>
          </w:p>
        </w:tc>
        <w:tc>
          <w:tcPr>
            <w:tcW w:w="1440" w:type="dxa"/>
            <w:tcBorders>
              <w:top w:val="single" w:sz="8" w:space="0" w:color="auto"/>
              <w:bottom w:val="single" w:sz="8" w:space="0" w:color="auto"/>
              <w:right w:val="single" w:sz="8" w:space="0" w:color="auto"/>
            </w:tcBorders>
            <w:vAlign w:val="center"/>
          </w:tcPr>
          <w:p w14:paraId="281A56A3" w14:textId="77777777" w:rsidR="007E04EC" w:rsidRDefault="007E04EC" w:rsidP="007E04EC">
            <w:pPr>
              <w:jc w:val="center"/>
              <w:rPr>
                <w:sz w:val="20"/>
                <w:szCs w:val="20"/>
              </w:rPr>
            </w:pPr>
            <w:r>
              <w:rPr>
                <w:rFonts w:eastAsia="Times New Roman"/>
                <w:sz w:val="18"/>
                <w:szCs w:val="18"/>
              </w:rPr>
              <w:t>0.5 mg/L</w:t>
            </w:r>
          </w:p>
        </w:tc>
        <w:tc>
          <w:tcPr>
            <w:tcW w:w="1440" w:type="dxa"/>
            <w:tcBorders>
              <w:top w:val="single" w:sz="8" w:space="0" w:color="auto"/>
              <w:bottom w:val="single" w:sz="8" w:space="0" w:color="auto"/>
              <w:right w:val="single" w:sz="8" w:space="0" w:color="auto"/>
            </w:tcBorders>
            <w:vAlign w:val="center"/>
          </w:tcPr>
          <w:p w14:paraId="281A56A4" w14:textId="77777777" w:rsidR="007E04EC" w:rsidRDefault="007E04EC" w:rsidP="007E04EC">
            <w:pPr>
              <w:jc w:val="center"/>
              <w:rPr>
                <w:sz w:val="20"/>
                <w:szCs w:val="20"/>
              </w:rPr>
            </w:pPr>
            <w:r>
              <w:rPr>
                <w:rFonts w:eastAsia="Times New Roman"/>
                <w:sz w:val="18"/>
                <w:szCs w:val="18"/>
              </w:rPr>
              <w:t>1000</w:t>
            </w:r>
          </w:p>
        </w:tc>
        <w:tc>
          <w:tcPr>
            <w:tcW w:w="1360" w:type="dxa"/>
            <w:tcBorders>
              <w:top w:val="single" w:sz="8" w:space="0" w:color="auto"/>
              <w:bottom w:val="single" w:sz="8" w:space="0" w:color="auto"/>
              <w:right w:val="single" w:sz="8" w:space="0" w:color="auto"/>
            </w:tcBorders>
            <w:vAlign w:val="center"/>
          </w:tcPr>
          <w:p w14:paraId="281A56A5" w14:textId="77777777" w:rsidR="007E04EC" w:rsidRDefault="007E04EC" w:rsidP="007E04EC">
            <w:pPr>
              <w:jc w:val="center"/>
              <w:rPr>
                <w:sz w:val="20"/>
                <w:szCs w:val="20"/>
              </w:rPr>
            </w:pPr>
            <w:r>
              <w:rPr>
                <w:rFonts w:eastAsia="Times New Roman"/>
                <w:sz w:val="18"/>
                <w:szCs w:val="18"/>
              </w:rPr>
              <w:t>500 ppb</w:t>
            </w:r>
          </w:p>
        </w:tc>
        <w:tc>
          <w:tcPr>
            <w:tcW w:w="2160" w:type="dxa"/>
            <w:tcBorders>
              <w:top w:val="single" w:sz="8" w:space="0" w:color="auto"/>
              <w:bottom w:val="single" w:sz="8" w:space="0" w:color="auto"/>
              <w:right w:val="single" w:sz="8" w:space="0" w:color="auto"/>
            </w:tcBorders>
          </w:tcPr>
          <w:p w14:paraId="281A56A6" w14:textId="11D53798" w:rsidR="007E04EC" w:rsidRDefault="007E04EC" w:rsidP="007E04EC">
            <w:pPr>
              <w:spacing w:line="360" w:lineRule="auto"/>
              <w:ind w:left="40"/>
              <w:rPr>
                <w:sz w:val="20"/>
                <w:szCs w:val="20"/>
              </w:rPr>
            </w:pPr>
            <w:r>
              <w:rPr>
                <w:rFonts w:eastAsia="Times New Roman"/>
                <w:sz w:val="18"/>
                <w:szCs w:val="18"/>
              </w:rPr>
              <w:t>Municipal and industrial waste discharge</w:t>
            </w:r>
          </w:p>
        </w:tc>
        <w:tc>
          <w:tcPr>
            <w:tcW w:w="2820" w:type="dxa"/>
            <w:tcBorders>
              <w:top w:val="single" w:sz="8" w:space="0" w:color="auto"/>
              <w:bottom w:val="single" w:sz="8" w:space="0" w:color="auto"/>
              <w:right w:val="single" w:sz="8" w:space="0" w:color="auto"/>
            </w:tcBorders>
          </w:tcPr>
          <w:p w14:paraId="281A56A7" w14:textId="481F009E" w:rsidR="007E04EC" w:rsidRDefault="007E04EC" w:rsidP="007E04EC">
            <w:pPr>
              <w:spacing w:line="360" w:lineRule="auto"/>
              <w:ind w:left="40"/>
              <w:rPr>
                <w:sz w:val="20"/>
                <w:szCs w:val="20"/>
              </w:rPr>
            </w:pPr>
            <w:r>
              <w:rPr>
                <w:rFonts w:eastAsia="Times New Roman"/>
                <w:sz w:val="18"/>
                <w:szCs w:val="18"/>
              </w:rPr>
              <w:t>May produce froth; cloudiness; bitter taste; odor.</w:t>
            </w:r>
          </w:p>
        </w:tc>
      </w:tr>
      <w:tr w:rsidR="007E04EC" w14:paraId="281A56BD" w14:textId="77777777" w:rsidTr="007E04EC">
        <w:trPr>
          <w:trHeight w:val="2396"/>
        </w:trPr>
        <w:tc>
          <w:tcPr>
            <w:tcW w:w="2020" w:type="dxa"/>
            <w:tcBorders>
              <w:top w:val="single" w:sz="8" w:space="0" w:color="auto"/>
              <w:left w:val="single" w:sz="8" w:space="0" w:color="auto"/>
              <w:bottom w:val="single" w:sz="8" w:space="0" w:color="auto"/>
              <w:right w:val="single" w:sz="8" w:space="0" w:color="auto"/>
            </w:tcBorders>
            <w:vAlign w:val="center"/>
          </w:tcPr>
          <w:p w14:paraId="281A56B7" w14:textId="77777777" w:rsidR="007E04EC" w:rsidRDefault="007E04EC" w:rsidP="007E04EC">
            <w:pPr>
              <w:ind w:left="60"/>
              <w:rPr>
                <w:sz w:val="20"/>
                <w:szCs w:val="20"/>
              </w:rPr>
            </w:pPr>
            <w:r>
              <w:rPr>
                <w:rFonts w:eastAsia="Times New Roman"/>
                <w:sz w:val="18"/>
                <w:szCs w:val="18"/>
              </w:rPr>
              <w:t>Iron</w:t>
            </w:r>
          </w:p>
        </w:tc>
        <w:tc>
          <w:tcPr>
            <w:tcW w:w="1440" w:type="dxa"/>
            <w:tcBorders>
              <w:top w:val="single" w:sz="8" w:space="0" w:color="auto"/>
              <w:bottom w:val="single" w:sz="8" w:space="0" w:color="auto"/>
              <w:right w:val="single" w:sz="8" w:space="0" w:color="auto"/>
            </w:tcBorders>
            <w:vAlign w:val="center"/>
          </w:tcPr>
          <w:p w14:paraId="281A56B8" w14:textId="77777777" w:rsidR="007E04EC" w:rsidRDefault="007E04EC" w:rsidP="007E04EC">
            <w:pPr>
              <w:jc w:val="center"/>
              <w:rPr>
                <w:sz w:val="20"/>
                <w:szCs w:val="20"/>
              </w:rPr>
            </w:pPr>
            <w:r>
              <w:rPr>
                <w:rFonts w:eastAsia="Times New Roman"/>
                <w:sz w:val="18"/>
                <w:szCs w:val="18"/>
              </w:rPr>
              <w:t>0.3 mg/L</w:t>
            </w:r>
          </w:p>
        </w:tc>
        <w:tc>
          <w:tcPr>
            <w:tcW w:w="1440" w:type="dxa"/>
            <w:tcBorders>
              <w:top w:val="single" w:sz="8" w:space="0" w:color="auto"/>
              <w:bottom w:val="single" w:sz="8" w:space="0" w:color="auto"/>
              <w:right w:val="single" w:sz="8" w:space="0" w:color="auto"/>
            </w:tcBorders>
            <w:vAlign w:val="center"/>
          </w:tcPr>
          <w:p w14:paraId="281A56B9" w14:textId="77777777" w:rsidR="007E04EC" w:rsidRDefault="007E04EC" w:rsidP="007E04EC">
            <w:pPr>
              <w:jc w:val="center"/>
              <w:rPr>
                <w:sz w:val="20"/>
                <w:szCs w:val="20"/>
              </w:rPr>
            </w:pPr>
            <w:r>
              <w:rPr>
                <w:rFonts w:eastAsia="Times New Roman"/>
                <w:sz w:val="18"/>
                <w:szCs w:val="18"/>
              </w:rPr>
              <w:t>1000</w:t>
            </w:r>
          </w:p>
        </w:tc>
        <w:tc>
          <w:tcPr>
            <w:tcW w:w="1360" w:type="dxa"/>
            <w:tcBorders>
              <w:top w:val="single" w:sz="8" w:space="0" w:color="auto"/>
              <w:bottom w:val="single" w:sz="8" w:space="0" w:color="auto"/>
              <w:right w:val="single" w:sz="8" w:space="0" w:color="auto"/>
            </w:tcBorders>
            <w:vAlign w:val="center"/>
          </w:tcPr>
          <w:p w14:paraId="281A56BA" w14:textId="77777777" w:rsidR="007E04EC" w:rsidRDefault="007E04EC" w:rsidP="007E04EC">
            <w:pPr>
              <w:jc w:val="center"/>
              <w:rPr>
                <w:sz w:val="20"/>
                <w:szCs w:val="20"/>
              </w:rPr>
            </w:pPr>
            <w:r>
              <w:rPr>
                <w:rFonts w:eastAsia="Times New Roman"/>
                <w:sz w:val="18"/>
                <w:szCs w:val="18"/>
              </w:rPr>
              <w:t>300 ppb</w:t>
            </w:r>
          </w:p>
        </w:tc>
        <w:tc>
          <w:tcPr>
            <w:tcW w:w="2160" w:type="dxa"/>
            <w:tcBorders>
              <w:top w:val="single" w:sz="8" w:space="0" w:color="auto"/>
              <w:bottom w:val="single" w:sz="8" w:space="0" w:color="auto"/>
              <w:right w:val="single" w:sz="8" w:space="0" w:color="auto"/>
            </w:tcBorders>
          </w:tcPr>
          <w:p w14:paraId="281A56BB" w14:textId="58DED449" w:rsidR="007E04EC" w:rsidRDefault="007E04EC" w:rsidP="007E04EC">
            <w:pPr>
              <w:spacing w:line="360" w:lineRule="auto"/>
              <w:ind w:left="40"/>
              <w:rPr>
                <w:sz w:val="20"/>
                <w:szCs w:val="20"/>
              </w:rPr>
            </w:pPr>
            <w:r>
              <w:rPr>
                <w:rFonts w:eastAsia="Times New Roman"/>
                <w:sz w:val="18"/>
                <w:szCs w:val="18"/>
              </w:rPr>
              <w:t>Natural and industrial sources as well as aging and corroding Distribution Systems and household pipes</w:t>
            </w:r>
          </w:p>
        </w:tc>
        <w:tc>
          <w:tcPr>
            <w:tcW w:w="2820" w:type="dxa"/>
            <w:tcBorders>
              <w:top w:val="single" w:sz="8" w:space="0" w:color="auto"/>
              <w:bottom w:val="single" w:sz="8" w:space="0" w:color="auto"/>
              <w:right w:val="single" w:sz="8" w:space="0" w:color="auto"/>
            </w:tcBorders>
          </w:tcPr>
          <w:p w14:paraId="281A56BC" w14:textId="4ABE2B65" w:rsidR="007E04EC" w:rsidRDefault="007E04EC" w:rsidP="007E04EC">
            <w:pPr>
              <w:spacing w:line="360" w:lineRule="auto"/>
              <w:ind w:left="40"/>
              <w:rPr>
                <w:sz w:val="20"/>
                <w:szCs w:val="20"/>
              </w:rPr>
            </w:pPr>
            <w:r>
              <w:rPr>
                <w:rFonts w:eastAsia="Times New Roman"/>
                <w:sz w:val="18"/>
                <w:szCs w:val="18"/>
              </w:rPr>
              <w:t>Use of water containing iron at concentrations above the secondary MCL may result in aesthetic issues including the staining of laundry and plumbing fixtures and water with an unpleasant metallic taste and rusty odor.</w:t>
            </w:r>
          </w:p>
        </w:tc>
      </w:tr>
    </w:tbl>
    <w:p w14:paraId="281A56F6" w14:textId="77777777" w:rsidR="004647B9" w:rsidRDefault="004647B9">
      <w:pPr>
        <w:sectPr w:rsidR="004647B9" w:rsidSect="00EF630C">
          <w:pgSz w:w="12240" w:h="20180"/>
          <w:pgMar w:top="708" w:right="400" w:bottom="1440" w:left="600" w:header="0" w:footer="0" w:gutter="0"/>
          <w:cols w:space="720"/>
        </w:sectPr>
      </w:pPr>
    </w:p>
    <w:p w14:paraId="281A56F7" w14:textId="785C9E2C" w:rsidR="004647B9" w:rsidRDefault="00E2436F">
      <w:pPr>
        <w:tabs>
          <w:tab w:val="left" w:pos="5620"/>
        </w:tabs>
        <w:ind w:right="2720"/>
        <w:jc w:val="right"/>
        <w:rPr>
          <w:sz w:val="20"/>
          <w:szCs w:val="20"/>
        </w:rPr>
      </w:pPr>
      <w:bookmarkStart w:id="246" w:name="page250"/>
      <w:bookmarkEnd w:id="246"/>
      <w:r>
        <w:rPr>
          <w:rFonts w:eastAsia="Times New Roman"/>
          <w:sz w:val="24"/>
          <w:szCs w:val="24"/>
        </w:rPr>
        <w:lastRenderedPageBreak/>
        <w:t>310 CMR:</w:t>
      </w:r>
      <w:r w:rsidR="008C1164">
        <w:rPr>
          <w:rFonts w:eastAsia="Times New Roman"/>
          <w:sz w:val="24"/>
          <w:szCs w:val="24"/>
        </w:rPr>
        <w:t xml:space="preserve">  </w:t>
      </w:r>
      <w:r>
        <w:rPr>
          <w:rFonts w:eastAsia="Times New Roman"/>
          <w:sz w:val="23"/>
          <w:szCs w:val="23"/>
        </w:rPr>
        <w:t>DEPARTMENT OF ENVIRONMENTAL PROTECTION</w:t>
      </w:r>
    </w:p>
    <w:p w14:paraId="281A56F8" w14:textId="77777777" w:rsidR="004647B9" w:rsidRDefault="004647B9">
      <w:pPr>
        <w:spacing w:line="283" w:lineRule="exact"/>
        <w:rPr>
          <w:sz w:val="20"/>
          <w:szCs w:val="20"/>
        </w:rPr>
      </w:pPr>
    </w:p>
    <w:p w14:paraId="7C3D9FE4" w14:textId="77777777" w:rsidR="000471F4" w:rsidRDefault="000471F4">
      <w:pPr>
        <w:spacing w:line="283" w:lineRule="exact"/>
        <w:rPr>
          <w:sz w:val="20"/>
          <w:szCs w:val="20"/>
        </w:rPr>
      </w:pPr>
    </w:p>
    <w:p w14:paraId="281A56F9" w14:textId="77777777" w:rsidR="004647B9" w:rsidRPr="00FD1D6B" w:rsidRDefault="00E2436F">
      <w:pPr>
        <w:tabs>
          <w:tab w:val="left" w:pos="940"/>
        </w:tabs>
        <w:rPr>
          <w:sz w:val="24"/>
          <w:szCs w:val="24"/>
        </w:rPr>
      </w:pPr>
      <w:r w:rsidRPr="00FD1D6B">
        <w:rPr>
          <w:rFonts w:eastAsia="Times New Roman"/>
          <w:sz w:val="24"/>
          <w:szCs w:val="24"/>
        </w:rPr>
        <w:t>22.16A:</w:t>
      </w:r>
      <w:r w:rsidRPr="00FD1D6B">
        <w:rPr>
          <w:sz w:val="24"/>
          <w:szCs w:val="24"/>
        </w:rPr>
        <w:tab/>
      </w:r>
      <w:r w:rsidRPr="00FD1D6B">
        <w:rPr>
          <w:rFonts w:eastAsia="Times New Roman"/>
          <w:sz w:val="24"/>
          <w:szCs w:val="24"/>
        </w:rPr>
        <w:t>continued</w:t>
      </w:r>
    </w:p>
    <w:p w14:paraId="281A56FA" w14:textId="0E6252E1" w:rsidR="004647B9" w:rsidRDefault="004647B9" w:rsidP="007E04EC">
      <w:pPr>
        <w:rPr>
          <w:sz w:val="20"/>
          <w:szCs w:val="20"/>
        </w:rPr>
      </w:pPr>
    </w:p>
    <w:p w14:paraId="281A56FB" w14:textId="77777777" w:rsidR="004647B9" w:rsidRDefault="004647B9" w:rsidP="007E04EC">
      <w:pPr>
        <w:sectPr w:rsidR="004647B9" w:rsidSect="00EF630C">
          <w:pgSz w:w="12240" w:h="20180"/>
          <w:pgMar w:top="708" w:right="400" w:bottom="904" w:left="600" w:header="0" w:footer="0" w:gutter="0"/>
          <w:cols w:space="720"/>
        </w:sectPr>
      </w:pPr>
    </w:p>
    <w:tbl>
      <w:tblPr>
        <w:tblW w:w="11240" w:type="dxa"/>
        <w:tblLayout w:type="fixed"/>
        <w:tblCellMar>
          <w:left w:w="0" w:type="dxa"/>
          <w:right w:w="0" w:type="dxa"/>
        </w:tblCellMar>
        <w:tblLook w:val="04A0" w:firstRow="1" w:lastRow="0" w:firstColumn="1" w:lastColumn="0" w:noHBand="0" w:noVBand="1"/>
      </w:tblPr>
      <w:tblGrid>
        <w:gridCol w:w="2020"/>
        <w:gridCol w:w="1440"/>
        <w:gridCol w:w="1440"/>
        <w:gridCol w:w="1360"/>
        <w:gridCol w:w="2160"/>
        <w:gridCol w:w="2820"/>
      </w:tblGrid>
      <w:tr w:rsidR="007E04EC" w14:paraId="4F49AB71" w14:textId="77777777" w:rsidTr="00DF6443">
        <w:trPr>
          <w:trHeight w:val="1016"/>
        </w:trPr>
        <w:tc>
          <w:tcPr>
            <w:tcW w:w="2020" w:type="dxa"/>
            <w:tcBorders>
              <w:top w:val="single" w:sz="8" w:space="0" w:color="auto"/>
              <w:left w:val="single" w:sz="8" w:space="0" w:color="auto"/>
              <w:bottom w:val="single" w:sz="8" w:space="0" w:color="auto"/>
              <w:right w:val="single" w:sz="8" w:space="0" w:color="auto"/>
            </w:tcBorders>
            <w:vAlign w:val="center"/>
          </w:tcPr>
          <w:p w14:paraId="4CA8DC28" w14:textId="77777777" w:rsidR="007E04EC" w:rsidRPr="00C57A4E" w:rsidRDefault="007E04EC" w:rsidP="00DF6443">
            <w:pPr>
              <w:jc w:val="center"/>
              <w:rPr>
                <w:b/>
                <w:bCs/>
                <w:sz w:val="20"/>
                <w:szCs w:val="20"/>
              </w:rPr>
            </w:pPr>
            <w:r w:rsidRPr="00C57A4E">
              <w:rPr>
                <w:rFonts w:eastAsia="Times New Roman"/>
                <w:b/>
                <w:bCs/>
                <w:sz w:val="18"/>
                <w:szCs w:val="18"/>
              </w:rPr>
              <w:t>Chemical</w:t>
            </w:r>
          </w:p>
          <w:p w14:paraId="0512D77B" w14:textId="77777777" w:rsidR="007E04EC" w:rsidRPr="00C57A4E" w:rsidRDefault="007E04EC" w:rsidP="00DF6443">
            <w:pPr>
              <w:jc w:val="center"/>
              <w:rPr>
                <w:b/>
                <w:bCs/>
                <w:sz w:val="20"/>
                <w:szCs w:val="20"/>
              </w:rPr>
            </w:pPr>
            <w:r w:rsidRPr="00C57A4E">
              <w:rPr>
                <w:rFonts w:eastAsia="Times New Roman"/>
                <w:b/>
                <w:bCs/>
                <w:sz w:val="18"/>
                <w:szCs w:val="18"/>
              </w:rPr>
              <w:t>(CASRN)</w:t>
            </w:r>
          </w:p>
        </w:tc>
        <w:tc>
          <w:tcPr>
            <w:tcW w:w="1440" w:type="dxa"/>
            <w:tcBorders>
              <w:top w:val="single" w:sz="8" w:space="0" w:color="auto"/>
              <w:bottom w:val="single" w:sz="8" w:space="0" w:color="auto"/>
              <w:right w:val="single" w:sz="8" w:space="0" w:color="auto"/>
            </w:tcBorders>
            <w:vAlign w:val="center"/>
          </w:tcPr>
          <w:p w14:paraId="3EE14135" w14:textId="77777777" w:rsidR="007E04EC" w:rsidRPr="00C57A4E" w:rsidRDefault="007E04EC" w:rsidP="00DF6443">
            <w:pPr>
              <w:jc w:val="center"/>
              <w:rPr>
                <w:b/>
                <w:bCs/>
                <w:sz w:val="20"/>
                <w:szCs w:val="20"/>
              </w:rPr>
            </w:pPr>
            <w:r w:rsidRPr="00C57A4E">
              <w:rPr>
                <w:rFonts w:eastAsia="Times New Roman"/>
                <w:b/>
                <w:bCs/>
                <w:w w:val="99"/>
                <w:sz w:val="18"/>
                <w:szCs w:val="18"/>
              </w:rPr>
              <w:t>SMCL</w:t>
            </w:r>
          </w:p>
        </w:tc>
        <w:tc>
          <w:tcPr>
            <w:tcW w:w="1440" w:type="dxa"/>
            <w:tcBorders>
              <w:top w:val="single" w:sz="8" w:space="0" w:color="auto"/>
              <w:bottom w:val="single" w:sz="8" w:space="0" w:color="auto"/>
              <w:right w:val="single" w:sz="8" w:space="0" w:color="auto"/>
            </w:tcBorders>
            <w:vAlign w:val="center"/>
          </w:tcPr>
          <w:p w14:paraId="628F5895" w14:textId="77777777" w:rsidR="007E04EC" w:rsidRPr="00C57A4E" w:rsidRDefault="007E04EC" w:rsidP="00DF6443">
            <w:pPr>
              <w:jc w:val="center"/>
              <w:rPr>
                <w:b/>
                <w:bCs/>
                <w:sz w:val="20"/>
                <w:szCs w:val="20"/>
              </w:rPr>
            </w:pPr>
            <w:r w:rsidRPr="00C57A4E">
              <w:rPr>
                <w:rFonts w:eastAsia="Times New Roman"/>
                <w:b/>
                <w:bCs/>
                <w:sz w:val="18"/>
                <w:szCs w:val="18"/>
              </w:rPr>
              <w:t>To convert for</w:t>
            </w:r>
          </w:p>
          <w:p w14:paraId="30462D2A" w14:textId="77777777" w:rsidR="007E04EC" w:rsidRPr="00C57A4E" w:rsidRDefault="007E04EC" w:rsidP="00DF6443">
            <w:pPr>
              <w:jc w:val="center"/>
              <w:rPr>
                <w:b/>
                <w:bCs/>
                <w:sz w:val="20"/>
                <w:szCs w:val="20"/>
              </w:rPr>
            </w:pPr>
            <w:r w:rsidRPr="00C57A4E">
              <w:rPr>
                <w:rFonts w:eastAsia="Times New Roman"/>
                <w:b/>
                <w:bCs/>
                <w:sz w:val="18"/>
                <w:szCs w:val="18"/>
              </w:rPr>
              <w:t>CCR, multiply</w:t>
            </w:r>
          </w:p>
          <w:p w14:paraId="0F3F605B" w14:textId="77777777" w:rsidR="007E04EC" w:rsidRPr="00C57A4E" w:rsidRDefault="007E04EC" w:rsidP="00DF6443">
            <w:pPr>
              <w:jc w:val="center"/>
              <w:rPr>
                <w:b/>
                <w:bCs/>
                <w:sz w:val="20"/>
                <w:szCs w:val="20"/>
              </w:rPr>
            </w:pPr>
            <w:r w:rsidRPr="00C57A4E">
              <w:rPr>
                <w:rFonts w:eastAsia="Times New Roman"/>
                <w:b/>
                <w:bCs/>
                <w:sz w:val="18"/>
                <w:szCs w:val="18"/>
              </w:rPr>
              <w:t>by</w:t>
            </w:r>
          </w:p>
        </w:tc>
        <w:tc>
          <w:tcPr>
            <w:tcW w:w="1360" w:type="dxa"/>
            <w:tcBorders>
              <w:top w:val="single" w:sz="8" w:space="0" w:color="auto"/>
              <w:bottom w:val="single" w:sz="8" w:space="0" w:color="auto"/>
              <w:right w:val="single" w:sz="8" w:space="0" w:color="auto"/>
            </w:tcBorders>
            <w:vAlign w:val="center"/>
          </w:tcPr>
          <w:p w14:paraId="0D602A1A" w14:textId="77777777" w:rsidR="007E04EC" w:rsidRPr="00C57A4E" w:rsidRDefault="007E04EC" w:rsidP="00DF6443">
            <w:pPr>
              <w:jc w:val="center"/>
              <w:rPr>
                <w:b/>
                <w:bCs/>
                <w:sz w:val="20"/>
                <w:szCs w:val="20"/>
              </w:rPr>
            </w:pPr>
            <w:r w:rsidRPr="00C57A4E">
              <w:rPr>
                <w:rFonts w:eastAsia="Times New Roman"/>
                <w:b/>
                <w:bCs/>
                <w:w w:val="99"/>
                <w:sz w:val="18"/>
                <w:szCs w:val="18"/>
              </w:rPr>
              <w:t>SMCL</w:t>
            </w:r>
          </w:p>
          <w:p w14:paraId="3D3BCCE9" w14:textId="77777777" w:rsidR="007E04EC" w:rsidRPr="00C57A4E" w:rsidRDefault="007E04EC" w:rsidP="00DF6443">
            <w:pPr>
              <w:jc w:val="center"/>
              <w:rPr>
                <w:b/>
                <w:bCs/>
                <w:sz w:val="20"/>
                <w:szCs w:val="20"/>
              </w:rPr>
            </w:pPr>
            <w:r w:rsidRPr="00C57A4E">
              <w:rPr>
                <w:rFonts w:eastAsia="Times New Roman"/>
                <w:b/>
                <w:bCs/>
                <w:sz w:val="18"/>
                <w:szCs w:val="18"/>
              </w:rPr>
              <w:t>in CCR units</w:t>
            </w:r>
          </w:p>
        </w:tc>
        <w:tc>
          <w:tcPr>
            <w:tcW w:w="2160" w:type="dxa"/>
            <w:tcBorders>
              <w:top w:val="single" w:sz="8" w:space="0" w:color="auto"/>
              <w:bottom w:val="single" w:sz="8" w:space="0" w:color="auto"/>
              <w:right w:val="single" w:sz="8" w:space="0" w:color="auto"/>
            </w:tcBorders>
            <w:vAlign w:val="center"/>
          </w:tcPr>
          <w:p w14:paraId="3A30D997" w14:textId="77777777" w:rsidR="007E04EC" w:rsidRPr="00C57A4E" w:rsidRDefault="007E04EC" w:rsidP="00DF6443">
            <w:pPr>
              <w:jc w:val="center"/>
              <w:rPr>
                <w:b/>
                <w:bCs/>
                <w:sz w:val="20"/>
                <w:szCs w:val="20"/>
              </w:rPr>
            </w:pPr>
            <w:r w:rsidRPr="00C57A4E">
              <w:rPr>
                <w:rFonts w:eastAsia="Times New Roman"/>
                <w:b/>
                <w:bCs/>
                <w:sz w:val="18"/>
                <w:szCs w:val="18"/>
              </w:rPr>
              <w:t>Source to Drinking</w:t>
            </w:r>
          </w:p>
          <w:p w14:paraId="7F18529D" w14:textId="77777777" w:rsidR="007E04EC" w:rsidRPr="00C57A4E" w:rsidRDefault="007E04EC" w:rsidP="00DF6443">
            <w:pPr>
              <w:jc w:val="center"/>
              <w:rPr>
                <w:b/>
                <w:bCs/>
                <w:sz w:val="20"/>
                <w:szCs w:val="20"/>
              </w:rPr>
            </w:pPr>
            <w:r w:rsidRPr="00C57A4E">
              <w:rPr>
                <w:rFonts w:eastAsia="Times New Roman"/>
                <w:b/>
                <w:bCs/>
                <w:sz w:val="18"/>
                <w:szCs w:val="18"/>
              </w:rPr>
              <w:t>Water</w:t>
            </w:r>
          </w:p>
        </w:tc>
        <w:tc>
          <w:tcPr>
            <w:tcW w:w="2820" w:type="dxa"/>
            <w:tcBorders>
              <w:top w:val="single" w:sz="8" w:space="0" w:color="auto"/>
              <w:bottom w:val="single" w:sz="8" w:space="0" w:color="auto"/>
              <w:right w:val="single" w:sz="8" w:space="0" w:color="auto"/>
            </w:tcBorders>
            <w:vAlign w:val="center"/>
          </w:tcPr>
          <w:p w14:paraId="63264C4A" w14:textId="77777777" w:rsidR="007E04EC" w:rsidRPr="00C57A4E" w:rsidRDefault="007E04EC" w:rsidP="00DF6443">
            <w:pPr>
              <w:jc w:val="center"/>
              <w:rPr>
                <w:b/>
                <w:bCs/>
                <w:sz w:val="20"/>
                <w:szCs w:val="20"/>
              </w:rPr>
            </w:pPr>
            <w:r w:rsidRPr="00C57A4E">
              <w:rPr>
                <w:rFonts w:eastAsia="Times New Roman"/>
                <w:b/>
                <w:bCs/>
                <w:sz w:val="18"/>
                <w:szCs w:val="18"/>
              </w:rPr>
              <w:t>Health and/or Aesthetic Effects</w:t>
            </w:r>
          </w:p>
        </w:tc>
      </w:tr>
      <w:tr w:rsidR="006022A6" w14:paraId="4200C20E" w14:textId="77777777" w:rsidTr="006022A6">
        <w:trPr>
          <w:trHeight w:val="1296"/>
        </w:trPr>
        <w:tc>
          <w:tcPr>
            <w:tcW w:w="2020" w:type="dxa"/>
            <w:tcBorders>
              <w:top w:val="single" w:sz="8" w:space="0" w:color="auto"/>
              <w:left w:val="single" w:sz="8" w:space="0" w:color="auto"/>
              <w:bottom w:val="single" w:sz="8" w:space="0" w:color="auto"/>
              <w:right w:val="single" w:sz="8" w:space="0" w:color="auto"/>
            </w:tcBorders>
            <w:vAlign w:val="center"/>
          </w:tcPr>
          <w:p w14:paraId="5842F1DB" w14:textId="2740FE03" w:rsidR="006022A6" w:rsidRDefault="006022A6" w:rsidP="006022A6">
            <w:pPr>
              <w:ind w:left="60"/>
              <w:rPr>
                <w:sz w:val="20"/>
                <w:szCs w:val="20"/>
              </w:rPr>
            </w:pPr>
            <w:r>
              <w:rPr>
                <w:rFonts w:eastAsia="Times New Roman"/>
                <w:sz w:val="18"/>
                <w:szCs w:val="18"/>
              </w:rPr>
              <w:t>Manganese</w:t>
            </w:r>
            <w:r>
              <w:rPr>
                <w:rFonts w:eastAsia="Times New Roman"/>
                <w:sz w:val="24"/>
                <w:szCs w:val="24"/>
                <w:vertAlign w:val="superscript"/>
              </w:rPr>
              <w:t>5</w:t>
            </w:r>
          </w:p>
        </w:tc>
        <w:tc>
          <w:tcPr>
            <w:tcW w:w="1440" w:type="dxa"/>
            <w:tcBorders>
              <w:top w:val="single" w:sz="8" w:space="0" w:color="auto"/>
              <w:bottom w:val="single" w:sz="8" w:space="0" w:color="auto"/>
              <w:right w:val="single" w:sz="8" w:space="0" w:color="auto"/>
            </w:tcBorders>
            <w:vAlign w:val="center"/>
          </w:tcPr>
          <w:p w14:paraId="306B70CA" w14:textId="77777777" w:rsidR="006022A6" w:rsidRDefault="006022A6" w:rsidP="006022A6">
            <w:pPr>
              <w:jc w:val="center"/>
              <w:rPr>
                <w:sz w:val="20"/>
                <w:szCs w:val="20"/>
              </w:rPr>
            </w:pPr>
            <w:r>
              <w:rPr>
                <w:rFonts w:eastAsia="Times New Roman"/>
                <w:sz w:val="18"/>
                <w:szCs w:val="18"/>
              </w:rPr>
              <w:t>0.05 mg/L</w:t>
            </w:r>
          </w:p>
          <w:p w14:paraId="24D2C722" w14:textId="77777777" w:rsidR="006022A6" w:rsidRDefault="006022A6" w:rsidP="006022A6">
            <w:pPr>
              <w:jc w:val="center"/>
              <w:rPr>
                <w:sz w:val="20"/>
                <w:szCs w:val="20"/>
              </w:rPr>
            </w:pPr>
            <w:r>
              <w:rPr>
                <w:rFonts w:eastAsia="Times New Roman"/>
                <w:sz w:val="18"/>
                <w:szCs w:val="18"/>
              </w:rPr>
              <w:t>(0.30 mg/L,</w:t>
            </w:r>
          </w:p>
          <w:p w14:paraId="1B45364D" w14:textId="452E1D59" w:rsidR="006022A6" w:rsidRDefault="006022A6" w:rsidP="006022A6">
            <w:pPr>
              <w:jc w:val="center"/>
              <w:rPr>
                <w:sz w:val="20"/>
                <w:szCs w:val="20"/>
              </w:rPr>
            </w:pPr>
            <w:r>
              <w:rPr>
                <w:rFonts w:eastAsia="Times New Roman"/>
                <w:sz w:val="18"/>
                <w:szCs w:val="18"/>
              </w:rPr>
              <w:t>ORSG)</w:t>
            </w:r>
          </w:p>
        </w:tc>
        <w:tc>
          <w:tcPr>
            <w:tcW w:w="1440" w:type="dxa"/>
            <w:tcBorders>
              <w:top w:val="single" w:sz="8" w:space="0" w:color="auto"/>
              <w:bottom w:val="single" w:sz="8" w:space="0" w:color="auto"/>
              <w:right w:val="single" w:sz="8" w:space="0" w:color="auto"/>
            </w:tcBorders>
            <w:vAlign w:val="center"/>
          </w:tcPr>
          <w:p w14:paraId="4940F659" w14:textId="0B792C58" w:rsidR="006022A6" w:rsidRDefault="006022A6" w:rsidP="006022A6">
            <w:pPr>
              <w:jc w:val="center"/>
              <w:rPr>
                <w:sz w:val="20"/>
                <w:szCs w:val="20"/>
              </w:rPr>
            </w:pPr>
            <w:r>
              <w:rPr>
                <w:sz w:val="20"/>
                <w:szCs w:val="20"/>
              </w:rPr>
              <w:t>1000</w:t>
            </w:r>
          </w:p>
        </w:tc>
        <w:tc>
          <w:tcPr>
            <w:tcW w:w="1360" w:type="dxa"/>
            <w:tcBorders>
              <w:top w:val="single" w:sz="8" w:space="0" w:color="auto"/>
              <w:bottom w:val="single" w:sz="8" w:space="0" w:color="auto"/>
              <w:right w:val="single" w:sz="8" w:space="0" w:color="auto"/>
            </w:tcBorders>
            <w:vAlign w:val="center"/>
          </w:tcPr>
          <w:p w14:paraId="5C378E05" w14:textId="3DC348F8" w:rsidR="006022A6" w:rsidRDefault="006022A6" w:rsidP="006022A6">
            <w:pPr>
              <w:jc w:val="center"/>
              <w:rPr>
                <w:sz w:val="20"/>
                <w:szCs w:val="20"/>
              </w:rPr>
            </w:pPr>
            <w:r>
              <w:rPr>
                <w:rFonts w:eastAsia="Times New Roman"/>
                <w:sz w:val="18"/>
                <w:szCs w:val="18"/>
              </w:rPr>
              <w:t>50 ppb (300 ppb, ORSG)</w:t>
            </w:r>
          </w:p>
        </w:tc>
        <w:tc>
          <w:tcPr>
            <w:tcW w:w="2160" w:type="dxa"/>
            <w:tcBorders>
              <w:top w:val="single" w:sz="8" w:space="0" w:color="auto"/>
              <w:bottom w:val="single" w:sz="8" w:space="0" w:color="auto"/>
              <w:right w:val="single" w:sz="8" w:space="0" w:color="auto"/>
            </w:tcBorders>
          </w:tcPr>
          <w:p w14:paraId="5A503FEA" w14:textId="4308C59F" w:rsidR="006022A6" w:rsidRDefault="006022A6" w:rsidP="006022A6">
            <w:pPr>
              <w:spacing w:line="360" w:lineRule="auto"/>
              <w:ind w:left="40"/>
              <w:rPr>
                <w:sz w:val="20"/>
                <w:szCs w:val="20"/>
              </w:rPr>
            </w:pPr>
            <w:r>
              <w:rPr>
                <w:rFonts w:eastAsia="Times New Roman"/>
                <w:sz w:val="18"/>
                <w:szCs w:val="18"/>
              </w:rPr>
              <w:t>Natural sources as well as discharges from industrial uses</w:t>
            </w:r>
          </w:p>
        </w:tc>
        <w:tc>
          <w:tcPr>
            <w:tcW w:w="2820" w:type="dxa"/>
            <w:tcBorders>
              <w:top w:val="single" w:sz="8" w:space="0" w:color="auto"/>
              <w:bottom w:val="single" w:sz="8" w:space="0" w:color="auto"/>
              <w:right w:val="single" w:sz="8" w:space="0" w:color="auto"/>
            </w:tcBorders>
          </w:tcPr>
          <w:p w14:paraId="53B0D5A3" w14:textId="1C514569" w:rsidR="006022A6" w:rsidRDefault="006022A6" w:rsidP="006022A6">
            <w:pPr>
              <w:spacing w:line="360" w:lineRule="auto"/>
              <w:ind w:left="40"/>
              <w:rPr>
                <w:sz w:val="20"/>
                <w:szCs w:val="20"/>
              </w:rPr>
            </w:pPr>
            <w:r>
              <w:rPr>
                <w:rFonts w:eastAsia="Times New Roman"/>
                <w:sz w:val="18"/>
                <w:szCs w:val="18"/>
              </w:rPr>
              <w:t>Drinking water may naturally have manganese and, when concentrations are greater than 50 ppb, the water may be discolored and taste bad. Over a lifetime, the EPA recommends that people drink water with manganese levels less than 300 ppb and over the short term, EPA recommends that people limit their consumption of water with levels over 1000 ppb, primarily due to concerns about possible neurological effects. Children younger than one year old should not be given water with manganese concentrations over 300 ppb, nor should formula for infants be made with that water for more than a total of ten days throughout the year</w:t>
            </w:r>
          </w:p>
        </w:tc>
      </w:tr>
      <w:tr w:rsidR="007345FE" w14:paraId="7B19ACDE" w14:textId="77777777" w:rsidTr="007345FE">
        <w:trPr>
          <w:trHeight w:val="1015"/>
        </w:trPr>
        <w:tc>
          <w:tcPr>
            <w:tcW w:w="2020" w:type="dxa"/>
            <w:tcBorders>
              <w:top w:val="single" w:sz="8" w:space="0" w:color="auto"/>
              <w:left w:val="single" w:sz="8" w:space="0" w:color="auto"/>
              <w:bottom w:val="single" w:sz="8" w:space="0" w:color="auto"/>
              <w:right w:val="single" w:sz="8" w:space="0" w:color="auto"/>
            </w:tcBorders>
            <w:vAlign w:val="center"/>
          </w:tcPr>
          <w:p w14:paraId="322165E2" w14:textId="14A47B76" w:rsidR="007345FE" w:rsidRDefault="007345FE" w:rsidP="007345FE">
            <w:pPr>
              <w:ind w:left="60"/>
              <w:rPr>
                <w:sz w:val="20"/>
                <w:szCs w:val="20"/>
              </w:rPr>
            </w:pPr>
            <w:r>
              <w:rPr>
                <w:rFonts w:eastAsia="Times New Roman"/>
                <w:sz w:val="18"/>
                <w:szCs w:val="18"/>
              </w:rPr>
              <w:t>Odor</w:t>
            </w:r>
          </w:p>
        </w:tc>
        <w:tc>
          <w:tcPr>
            <w:tcW w:w="1440" w:type="dxa"/>
            <w:tcBorders>
              <w:top w:val="single" w:sz="8" w:space="0" w:color="auto"/>
              <w:bottom w:val="single" w:sz="8" w:space="0" w:color="auto"/>
              <w:right w:val="single" w:sz="8" w:space="0" w:color="auto"/>
            </w:tcBorders>
            <w:vAlign w:val="center"/>
          </w:tcPr>
          <w:p w14:paraId="464E5DED" w14:textId="603C94A2" w:rsidR="007345FE" w:rsidRDefault="007345FE" w:rsidP="007345FE">
            <w:pPr>
              <w:jc w:val="center"/>
              <w:rPr>
                <w:sz w:val="20"/>
                <w:szCs w:val="20"/>
              </w:rPr>
            </w:pPr>
            <w:r>
              <w:rPr>
                <w:rFonts w:eastAsia="Times New Roman"/>
                <w:sz w:val="18"/>
                <w:szCs w:val="18"/>
              </w:rPr>
              <w:t>3 T.O.N.</w:t>
            </w:r>
          </w:p>
        </w:tc>
        <w:tc>
          <w:tcPr>
            <w:tcW w:w="1440" w:type="dxa"/>
            <w:tcBorders>
              <w:top w:val="single" w:sz="8" w:space="0" w:color="auto"/>
              <w:bottom w:val="single" w:sz="8" w:space="0" w:color="auto"/>
              <w:right w:val="single" w:sz="8" w:space="0" w:color="auto"/>
            </w:tcBorders>
            <w:vAlign w:val="center"/>
          </w:tcPr>
          <w:p w14:paraId="47762A3C" w14:textId="42EEC5A3" w:rsidR="007345FE" w:rsidRDefault="007345FE" w:rsidP="007345FE">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1B3F112C" w14:textId="12A1CDF8" w:rsidR="007345FE" w:rsidRDefault="007345FE" w:rsidP="007345FE">
            <w:pPr>
              <w:jc w:val="center"/>
              <w:rPr>
                <w:sz w:val="20"/>
                <w:szCs w:val="20"/>
              </w:rPr>
            </w:pPr>
            <w:r>
              <w:rPr>
                <w:rFonts w:eastAsia="Times New Roman"/>
                <w:sz w:val="18"/>
                <w:szCs w:val="18"/>
              </w:rPr>
              <w:t>3 T.O.N.</w:t>
            </w:r>
          </w:p>
        </w:tc>
        <w:tc>
          <w:tcPr>
            <w:tcW w:w="2160" w:type="dxa"/>
            <w:tcBorders>
              <w:top w:val="single" w:sz="8" w:space="0" w:color="auto"/>
              <w:bottom w:val="single" w:sz="8" w:space="0" w:color="auto"/>
              <w:right w:val="single" w:sz="8" w:space="0" w:color="auto"/>
            </w:tcBorders>
          </w:tcPr>
          <w:p w14:paraId="5D828280" w14:textId="2292F5B9" w:rsidR="007345FE" w:rsidRDefault="007345FE" w:rsidP="007345FE">
            <w:pPr>
              <w:spacing w:line="360" w:lineRule="auto"/>
              <w:ind w:left="40"/>
              <w:rPr>
                <w:sz w:val="20"/>
                <w:szCs w:val="20"/>
              </w:rPr>
            </w:pPr>
            <w:r>
              <w:rPr>
                <w:rFonts w:eastAsia="Times New Roman"/>
                <w:sz w:val="18"/>
                <w:szCs w:val="18"/>
              </w:rPr>
              <w:t>Naturally occurring organic materials that form ions when in water; seawater influence</w:t>
            </w:r>
          </w:p>
        </w:tc>
        <w:tc>
          <w:tcPr>
            <w:tcW w:w="2820" w:type="dxa"/>
            <w:tcBorders>
              <w:top w:val="single" w:sz="8" w:space="0" w:color="auto"/>
              <w:bottom w:val="single" w:sz="8" w:space="0" w:color="auto"/>
              <w:right w:val="single" w:sz="8" w:space="0" w:color="auto"/>
            </w:tcBorders>
          </w:tcPr>
          <w:p w14:paraId="72D54735" w14:textId="173B0EC5" w:rsidR="007345FE" w:rsidRDefault="007345FE" w:rsidP="007345FE">
            <w:pPr>
              <w:spacing w:line="360" w:lineRule="auto"/>
              <w:ind w:left="40"/>
              <w:rPr>
                <w:sz w:val="20"/>
                <w:szCs w:val="20"/>
              </w:rPr>
            </w:pPr>
            <w:r>
              <w:rPr>
                <w:rFonts w:eastAsia="Times New Roman"/>
                <w:sz w:val="18"/>
                <w:szCs w:val="18"/>
              </w:rPr>
              <w:t>May produce a "rotten-egg", musty, or chemical smell.</w:t>
            </w:r>
          </w:p>
        </w:tc>
      </w:tr>
      <w:tr w:rsidR="007345FE" w14:paraId="22734110" w14:textId="77777777" w:rsidTr="007345FE">
        <w:trPr>
          <w:trHeight w:val="736"/>
        </w:trPr>
        <w:tc>
          <w:tcPr>
            <w:tcW w:w="2020" w:type="dxa"/>
            <w:tcBorders>
              <w:top w:val="single" w:sz="8" w:space="0" w:color="auto"/>
              <w:left w:val="single" w:sz="8" w:space="0" w:color="auto"/>
              <w:bottom w:val="single" w:sz="8" w:space="0" w:color="auto"/>
              <w:right w:val="single" w:sz="8" w:space="0" w:color="auto"/>
            </w:tcBorders>
            <w:vAlign w:val="center"/>
          </w:tcPr>
          <w:p w14:paraId="2309C127" w14:textId="59E5071A" w:rsidR="007345FE" w:rsidRDefault="007345FE" w:rsidP="007345FE">
            <w:pPr>
              <w:ind w:left="60"/>
              <w:rPr>
                <w:sz w:val="20"/>
                <w:szCs w:val="20"/>
              </w:rPr>
            </w:pPr>
            <w:r>
              <w:rPr>
                <w:rFonts w:eastAsia="Times New Roman"/>
                <w:sz w:val="18"/>
                <w:szCs w:val="18"/>
              </w:rPr>
              <w:t>pH</w:t>
            </w:r>
          </w:p>
        </w:tc>
        <w:tc>
          <w:tcPr>
            <w:tcW w:w="1440" w:type="dxa"/>
            <w:tcBorders>
              <w:top w:val="single" w:sz="8" w:space="0" w:color="auto"/>
              <w:bottom w:val="single" w:sz="8" w:space="0" w:color="auto"/>
              <w:right w:val="single" w:sz="8" w:space="0" w:color="auto"/>
            </w:tcBorders>
            <w:vAlign w:val="center"/>
          </w:tcPr>
          <w:p w14:paraId="4843BC6D" w14:textId="45EF9F24" w:rsidR="007345FE" w:rsidRPr="007345FE" w:rsidRDefault="007345FE" w:rsidP="007345FE">
            <w:pPr>
              <w:jc w:val="center"/>
              <w:rPr>
                <w:sz w:val="18"/>
                <w:szCs w:val="18"/>
              </w:rPr>
            </w:pPr>
            <w:r w:rsidRPr="007345FE">
              <w:rPr>
                <w:sz w:val="18"/>
                <w:szCs w:val="18"/>
              </w:rPr>
              <w:t>6.5-8.5</w:t>
            </w:r>
          </w:p>
        </w:tc>
        <w:tc>
          <w:tcPr>
            <w:tcW w:w="1440" w:type="dxa"/>
            <w:tcBorders>
              <w:top w:val="single" w:sz="8" w:space="0" w:color="auto"/>
              <w:bottom w:val="single" w:sz="8" w:space="0" w:color="auto"/>
              <w:right w:val="single" w:sz="8" w:space="0" w:color="auto"/>
            </w:tcBorders>
            <w:vAlign w:val="center"/>
          </w:tcPr>
          <w:p w14:paraId="69A07178" w14:textId="3714C79A" w:rsidR="007345FE" w:rsidRDefault="007345FE" w:rsidP="007345FE">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4B2DFA8F" w14:textId="78201011" w:rsidR="007345FE" w:rsidRPr="007345FE" w:rsidRDefault="007345FE" w:rsidP="007345FE">
            <w:pPr>
              <w:jc w:val="center"/>
              <w:rPr>
                <w:sz w:val="18"/>
                <w:szCs w:val="18"/>
              </w:rPr>
            </w:pPr>
            <w:r w:rsidRPr="007345FE">
              <w:rPr>
                <w:sz w:val="18"/>
                <w:szCs w:val="18"/>
              </w:rPr>
              <w:t>6.5-8.5</w:t>
            </w:r>
          </w:p>
        </w:tc>
        <w:tc>
          <w:tcPr>
            <w:tcW w:w="2160" w:type="dxa"/>
            <w:tcBorders>
              <w:top w:val="single" w:sz="8" w:space="0" w:color="auto"/>
              <w:bottom w:val="single" w:sz="8" w:space="0" w:color="auto"/>
              <w:right w:val="single" w:sz="8" w:space="0" w:color="auto"/>
            </w:tcBorders>
          </w:tcPr>
          <w:p w14:paraId="3DF2245B" w14:textId="12A76BD8" w:rsidR="007345FE" w:rsidRDefault="007345FE" w:rsidP="007345FE">
            <w:pPr>
              <w:spacing w:line="360" w:lineRule="auto"/>
              <w:ind w:left="40"/>
              <w:rPr>
                <w:sz w:val="20"/>
                <w:szCs w:val="20"/>
              </w:rPr>
            </w:pPr>
            <w:r>
              <w:rPr>
                <w:rFonts w:eastAsia="Times New Roman"/>
                <w:sz w:val="18"/>
                <w:szCs w:val="18"/>
              </w:rPr>
              <w:t>Runoff and leaching from natural deposits; seawater influence</w:t>
            </w:r>
          </w:p>
        </w:tc>
        <w:tc>
          <w:tcPr>
            <w:tcW w:w="2820" w:type="dxa"/>
            <w:tcBorders>
              <w:top w:val="single" w:sz="8" w:space="0" w:color="auto"/>
              <w:bottom w:val="single" w:sz="8" w:space="0" w:color="auto"/>
              <w:right w:val="single" w:sz="8" w:space="0" w:color="auto"/>
            </w:tcBorders>
          </w:tcPr>
          <w:p w14:paraId="0D6979D3" w14:textId="1B94253E" w:rsidR="007345FE" w:rsidRDefault="007345FE" w:rsidP="007345FE">
            <w:pPr>
              <w:spacing w:line="360" w:lineRule="auto"/>
              <w:ind w:left="40"/>
              <w:rPr>
                <w:sz w:val="20"/>
                <w:szCs w:val="20"/>
              </w:rPr>
            </w:pPr>
            <w:r>
              <w:rPr>
                <w:rFonts w:eastAsia="Times New Roman"/>
                <w:sz w:val="18"/>
                <w:szCs w:val="18"/>
              </w:rPr>
              <w:t>Low pH may produce bitter metallic taste</w:t>
            </w:r>
            <w:r w:rsidR="00EF58BA">
              <w:rPr>
                <w:rFonts w:eastAsia="Times New Roman"/>
                <w:sz w:val="18"/>
                <w:szCs w:val="18"/>
              </w:rPr>
              <w:t>,</w:t>
            </w:r>
            <w:r>
              <w:rPr>
                <w:rFonts w:eastAsia="Times New Roman"/>
                <w:sz w:val="18"/>
                <w:szCs w:val="18"/>
              </w:rPr>
              <w:t xml:space="preserve"> corrosion</w:t>
            </w:r>
            <w:r w:rsidR="00EF58BA">
              <w:rPr>
                <w:rFonts w:eastAsia="Times New Roman"/>
                <w:sz w:val="18"/>
                <w:szCs w:val="18"/>
              </w:rPr>
              <w:t>;</w:t>
            </w:r>
            <w:r>
              <w:rPr>
                <w:rFonts w:eastAsia="Times New Roman"/>
                <w:sz w:val="18"/>
                <w:szCs w:val="18"/>
              </w:rPr>
              <w:t xml:space="preserve"> High pH may produce a slippery feel; soda taste; deposits.</w:t>
            </w:r>
          </w:p>
        </w:tc>
      </w:tr>
      <w:tr w:rsidR="00EF58BA" w14:paraId="59E27B57" w14:textId="77777777" w:rsidTr="00EF58BA">
        <w:trPr>
          <w:trHeight w:val="1295"/>
        </w:trPr>
        <w:tc>
          <w:tcPr>
            <w:tcW w:w="2020" w:type="dxa"/>
            <w:tcBorders>
              <w:top w:val="single" w:sz="8" w:space="0" w:color="auto"/>
              <w:left w:val="single" w:sz="8" w:space="0" w:color="auto"/>
              <w:bottom w:val="single" w:sz="8" w:space="0" w:color="auto"/>
              <w:right w:val="single" w:sz="8" w:space="0" w:color="auto"/>
            </w:tcBorders>
            <w:vAlign w:val="center"/>
          </w:tcPr>
          <w:p w14:paraId="3A93B923" w14:textId="7A5CF61E" w:rsidR="00EF58BA" w:rsidRDefault="00EF58BA" w:rsidP="00EF58BA">
            <w:pPr>
              <w:ind w:left="60"/>
              <w:rPr>
                <w:sz w:val="20"/>
                <w:szCs w:val="20"/>
              </w:rPr>
            </w:pPr>
            <w:r>
              <w:rPr>
                <w:rFonts w:eastAsia="Times New Roman"/>
                <w:sz w:val="18"/>
                <w:szCs w:val="18"/>
              </w:rPr>
              <w:t>Silver</w:t>
            </w:r>
          </w:p>
        </w:tc>
        <w:tc>
          <w:tcPr>
            <w:tcW w:w="1440" w:type="dxa"/>
            <w:tcBorders>
              <w:top w:val="single" w:sz="8" w:space="0" w:color="auto"/>
              <w:bottom w:val="single" w:sz="8" w:space="0" w:color="auto"/>
              <w:right w:val="single" w:sz="8" w:space="0" w:color="auto"/>
            </w:tcBorders>
            <w:vAlign w:val="center"/>
          </w:tcPr>
          <w:p w14:paraId="503241A4" w14:textId="033C93DE" w:rsidR="00EF58BA" w:rsidRDefault="00EF58BA" w:rsidP="00EF58BA">
            <w:pPr>
              <w:jc w:val="center"/>
              <w:rPr>
                <w:sz w:val="20"/>
                <w:szCs w:val="20"/>
              </w:rPr>
            </w:pPr>
            <w:r>
              <w:rPr>
                <w:rFonts w:eastAsia="Times New Roman"/>
                <w:sz w:val="18"/>
                <w:szCs w:val="18"/>
              </w:rPr>
              <w:t>0.10 mg/L</w:t>
            </w:r>
          </w:p>
        </w:tc>
        <w:tc>
          <w:tcPr>
            <w:tcW w:w="1440" w:type="dxa"/>
            <w:tcBorders>
              <w:top w:val="single" w:sz="8" w:space="0" w:color="auto"/>
              <w:bottom w:val="single" w:sz="8" w:space="0" w:color="auto"/>
              <w:right w:val="single" w:sz="8" w:space="0" w:color="auto"/>
            </w:tcBorders>
            <w:vAlign w:val="center"/>
          </w:tcPr>
          <w:p w14:paraId="330D06D2" w14:textId="702CBC09" w:rsidR="00EF58BA" w:rsidRPr="00EF58BA" w:rsidRDefault="00EF58BA" w:rsidP="00EF58BA">
            <w:pPr>
              <w:jc w:val="center"/>
              <w:rPr>
                <w:sz w:val="18"/>
                <w:szCs w:val="18"/>
              </w:rPr>
            </w:pPr>
            <w:r w:rsidRPr="00EF58BA">
              <w:rPr>
                <w:sz w:val="18"/>
                <w:szCs w:val="18"/>
              </w:rPr>
              <w:t>1000</w:t>
            </w:r>
          </w:p>
        </w:tc>
        <w:tc>
          <w:tcPr>
            <w:tcW w:w="1360" w:type="dxa"/>
            <w:tcBorders>
              <w:top w:val="single" w:sz="8" w:space="0" w:color="auto"/>
              <w:bottom w:val="single" w:sz="8" w:space="0" w:color="auto"/>
              <w:right w:val="single" w:sz="8" w:space="0" w:color="auto"/>
            </w:tcBorders>
            <w:vAlign w:val="center"/>
          </w:tcPr>
          <w:p w14:paraId="15CB82C1" w14:textId="791FD55F" w:rsidR="00EF58BA" w:rsidRPr="00EF58BA" w:rsidRDefault="00EF58BA" w:rsidP="00EF58BA">
            <w:pPr>
              <w:jc w:val="center"/>
              <w:rPr>
                <w:sz w:val="18"/>
                <w:szCs w:val="18"/>
              </w:rPr>
            </w:pPr>
            <w:r w:rsidRPr="00EF58BA">
              <w:rPr>
                <w:sz w:val="18"/>
                <w:szCs w:val="18"/>
              </w:rPr>
              <w:t>100 ppb</w:t>
            </w:r>
          </w:p>
        </w:tc>
        <w:tc>
          <w:tcPr>
            <w:tcW w:w="2160" w:type="dxa"/>
            <w:tcBorders>
              <w:top w:val="single" w:sz="8" w:space="0" w:color="auto"/>
              <w:bottom w:val="single" w:sz="8" w:space="0" w:color="auto"/>
              <w:right w:val="single" w:sz="8" w:space="0" w:color="auto"/>
            </w:tcBorders>
          </w:tcPr>
          <w:p w14:paraId="3B63DF22" w14:textId="16CA609F" w:rsidR="00EF58BA" w:rsidRDefault="00EF58BA" w:rsidP="00EF58BA">
            <w:pPr>
              <w:spacing w:line="360" w:lineRule="auto"/>
              <w:ind w:left="40"/>
              <w:rPr>
                <w:sz w:val="20"/>
                <w:szCs w:val="20"/>
              </w:rPr>
            </w:pPr>
            <w:r>
              <w:rPr>
                <w:rFonts w:eastAsia="Times New Roman"/>
                <w:sz w:val="18"/>
                <w:szCs w:val="18"/>
              </w:rPr>
              <w:t>Naturally occurring element</w:t>
            </w:r>
          </w:p>
        </w:tc>
        <w:tc>
          <w:tcPr>
            <w:tcW w:w="2820" w:type="dxa"/>
            <w:tcBorders>
              <w:top w:val="single" w:sz="8" w:space="0" w:color="auto"/>
              <w:bottom w:val="single" w:sz="8" w:space="0" w:color="auto"/>
              <w:right w:val="single" w:sz="8" w:space="0" w:color="auto"/>
            </w:tcBorders>
          </w:tcPr>
          <w:p w14:paraId="0173FDF6" w14:textId="1C86DC1B" w:rsidR="00EF58BA" w:rsidRDefault="00EF58BA" w:rsidP="00EF58BA">
            <w:pPr>
              <w:spacing w:line="360" w:lineRule="auto"/>
              <w:ind w:left="40"/>
              <w:rPr>
                <w:sz w:val="20"/>
                <w:szCs w:val="20"/>
              </w:rPr>
            </w:pPr>
            <w:r>
              <w:rPr>
                <w:rFonts w:eastAsia="Times New Roman"/>
                <w:sz w:val="18"/>
                <w:szCs w:val="18"/>
              </w:rPr>
              <w:t>May produce skin discoloration; graying of the white part of the eye.</w:t>
            </w:r>
          </w:p>
        </w:tc>
      </w:tr>
      <w:tr w:rsidR="00EF58BA" w14:paraId="43783325" w14:textId="77777777" w:rsidTr="00EF58BA">
        <w:trPr>
          <w:trHeight w:val="1576"/>
        </w:trPr>
        <w:tc>
          <w:tcPr>
            <w:tcW w:w="2020" w:type="dxa"/>
            <w:tcBorders>
              <w:top w:val="single" w:sz="8" w:space="0" w:color="auto"/>
              <w:left w:val="single" w:sz="8" w:space="0" w:color="auto"/>
              <w:bottom w:val="single" w:sz="8" w:space="0" w:color="auto"/>
              <w:right w:val="single" w:sz="8" w:space="0" w:color="auto"/>
            </w:tcBorders>
            <w:vAlign w:val="center"/>
          </w:tcPr>
          <w:p w14:paraId="60A2A28E" w14:textId="31FF137B" w:rsidR="00EF58BA" w:rsidRDefault="00EF58BA" w:rsidP="00EF58BA">
            <w:pPr>
              <w:ind w:left="60"/>
              <w:rPr>
                <w:sz w:val="20"/>
                <w:szCs w:val="20"/>
              </w:rPr>
            </w:pPr>
            <w:r>
              <w:rPr>
                <w:rFonts w:eastAsia="Times New Roman"/>
                <w:sz w:val="18"/>
                <w:szCs w:val="18"/>
              </w:rPr>
              <w:t>Sulfate</w:t>
            </w:r>
          </w:p>
        </w:tc>
        <w:tc>
          <w:tcPr>
            <w:tcW w:w="1440" w:type="dxa"/>
            <w:tcBorders>
              <w:top w:val="single" w:sz="8" w:space="0" w:color="auto"/>
              <w:bottom w:val="single" w:sz="8" w:space="0" w:color="auto"/>
              <w:right w:val="single" w:sz="8" w:space="0" w:color="auto"/>
            </w:tcBorders>
            <w:vAlign w:val="center"/>
          </w:tcPr>
          <w:p w14:paraId="5A4300BE" w14:textId="72C9FDA8" w:rsidR="00EF58BA" w:rsidRDefault="00EF58BA" w:rsidP="00EF58BA">
            <w:pPr>
              <w:jc w:val="center"/>
              <w:rPr>
                <w:sz w:val="20"/>
                <w:szCs w:val="20"/>
              </w:rPr>
            </w:pPr>
            <w:r>
              <w:rPr>
                <w:rFonts w:eastAsia="Times New Roman"/>
                <w:sz w:val="18"/>
                <w:szCs w:val="18"/>
              </w:rPr>
              <w:t>250 mg/L</w:t>
            </w:r>
          </w:p>
        </w:tc>
        <w:tc>
          <w:tcPr>
            <w:tcW w:w="1440" w:type="dxa"/>
            <w:tcBorders>
              <w:top w:val="single" w:sz="8" w:space="0" w:color="auto"/>
              <w:bottom w:val="single" w:sz="8" w:space="0" w:color="auto"/>
              <w:right w:val="single" w:sz="8" w:space="0" w:color="auto"/>
            </w:tcBorders>
            <w:vAlign w:val="center"/>
          </w:tcPr>
          <w:p w14:paraId="57806D16" w14:textId="1B9C8345" w:rsidR="00EF58BA" w:rsidRDefault="00EF58BA" w:rsidP="00EF58BA">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74E5CCB1" w14:textId="2057AED6" w:rsidR="00EF58BA" w:rsidRDefault="00EF58BA" w:rsidP="00EF58BA">
            <w:pPr>
              <w:jc w:val="center"/>
              <w:rPr>
                <w:sz w:val="20"/>
                <w:szCs w:val="20"/>
              </w:rPr>
            </w:pPr>
            <w:r>
              <w:rPr>
                <w:rFonts w:eastAsia="Times New Roman"/>
                <w:sz w:val="18"/>
                <w:szCs w:val="18"/>
              </w:rPr>
              <w:t xml:space="preserve">250 </w:t>
            </w:r>
            <w:r w:rsidR="004124FB">
              <w:rPr>
                <w:rFonts w:eastAsia="Times New Roman"/>
                <w:sz w:val="18"/>
                <w:szCs w:val="18"/>
              </w:rPr>
              <w:t>ppm</w:t>
            </w:r>
          </w:p>
        </w:tc>
        <w:tc>
          <w:tcPr>
            <w:tcW w:w="2160" w:type="dxa"/>
            <w:tcBorders>
              <w:top w:val="single" w:sz="8" w:space="0" w:color="auto"/>
              <w:bottom w:val="single" w:sz="8" w:space="0" w:color="auto"/>
              <w:right w:val="single" w:sz="8" w:space="0" w:color="auto"/>
            </w:tcBorders>
          </w:tcPr>
          <w:p w14:paraId="2EEA8B20" w14:textId="444E5766" w:rsidR="00EF58BA" w:rsidRDefault="00EF58BA" w:rsidP="00EF58BA">
            <w:pPr>
              <w:spacing w:line="360" w:lineRule="auto"/>
              <w:ind w:left="40"/>
              <w:rPr>
                <w:sz w:val="20"/>
                <w:szCs w:val="20"/>
              </w:rPr>
            </w:pPr>
            <w:r>
              <w:rPr>
                <w:rFonts w:eastAsia="Times New Roman"/>
                <w:sz w:val="18"/>
                <w:szCs w:val="18"/>
              </w:rPr>
              <w:t>Runoff and leaching from natural deposits; industrial wastes</w:t>
            </w:r>
          </w:p>
        </w:tc>
        <w:tc>
          <w:tcPr>
            <w:tcW w:w="2820" w:type="dxa"/>
            <w:tcBorders>
              <w:top w:val="single" w:sz="8" w:space="0" w:color="auto"/>
              <w:bottom w:val="single" w:sz="8" w:space="0" w:color="auto"/>
              <w:right w:val="single" w:sz="8" w:space="0" w:color="auto"/>
            </w:tcBorders>
          </w:tcPr>
          <w:p w14:paraId="76E828F5" w14:textId="07C7AB14" w:rsidR="00EF58BA" w:rsidRDefault="00EF58BA" w:rsidP="00EF58BA">
            <w:pPr>
              <w:spacing w:line="360" w:lineRule="auto"/>
              <w:ind w:left="40"/>
              <w:rPr>
                <w:sz w:val="20"/>
                <w:szCs w:val="20"/>
              </w:rPr>
            </w:pPr>
            <w:r>
              <w:rPr>
                <w:rFonts w:eastAsia="Times New Roman"/>
                <w:sz w:val="18"/>
                <w:szCs w:val="18"/>
              </w:rPr>
              <w:t>May produce a salty taste.</w:t>
            </w:r>
          </w:p>
        </w:tc>
      </w:tr>
      <w:tr w:rsidR="004124FB" w14:paraId="55F3C038" w14:textId="77777777" w:rsidTr="004124FB">
        <w:trPr>
          <w:trHeight w:val="737"/>
        </w:trPr>
        <w:tc>
          <w:tcPr>
            <w:tcW w:w="2020" w:type="dxa"/>
            <w:tcBorders>
              <w:top w:val="single" w:sz="8" w:space="0" w:color="auto"/>
              <w:left w:val="single" w:sz="8" w:space="0" w:color="auto"/>
              <w:bottom w:val="single" w:sz="8" w:space="0" w:color="auto"/>
              <w:right w:val="single" w:sz="8" w:space="0" w:color="auto"/>
            </w:tcBorders>
            <w:vAlign w:val="center"/>
          </w:tcPr>
          <w:p w14:paraId="2CCE0C8B" w14:textId="77777777" w:rsidR="004124FB" w:rsidRDefault="004124FB" w:rsidP="004124FB">
            <w:pPr>
              <w:ind w:left="60"/>
              <w:rPr>
                <w:sz w:val="20"/>
                <w:szCs w:val="20"/>
              </w:rPr>
            </w:pPr>
            <w:r>
              <w:rPr>
                <w:rFonts w:eastAsia="Times New Roman"/>
                <w:sz w:val="18"/>
                <w:szCs w:val="18"/>
              </w:rPr>
              <w:t>Total dissolved solids</w:t>
            </w:r>
          </w:p>
          <w:p w14:paraId="754EDAE5" w14:textId="77C3E9F7" w:rsidR="004124FB" w:rsidRDefault="004124FB" w:rsidP="004124FB">
            <w:pPr>
              <w:ind w:left="60"/>
              <w:rPr>
                <w:sz w:val="20"/>
                <w:szCs w:val="20"/>
              </w:rPr>
            </w:pPr>
            <w:r>
              <w:rPr>
                <w:rFonts w:eastAsia="Times New Roman"/>
                <w:sz w:val="18"/>
                <w:szCs w:val="18"/>
              </w:rPr>
              <w:t>(TDS)</w:t>
            </w:r>
          </w:p>
        </w:tc>
        <w:tc>
          <w:tcPr>
            <w:tcW w:w="1440" w:type="dxa"/>
            <w:tcBorders>
              <w:top w:val="single" w:sz="8" w:space="0" w:color="auto"/>
              <w:bottom w:val="single" w:sz="8" w:space="0" w:color="auto"/>
              <w:right w:val="single" w:sz="8" w:space="0" w:color="auto"/>
            </w:tcBorders>
            <w:vAlign w:val="center"/>
          </w:tcPr>
          <w:p w14:paraId="6D3075D4" w14:textId="2799B687" w:rsidR="004124FB" w:rsidRDefault="004124FB" w:rsidP="004124FB">
            <w:pPr>
              <w:jc w:val="center"/>
              <w:rPr>
                <w:sz w:val="20"/>
                <w:szCs w:val="20"/>
              </w:rPr>
            </w:pPr>
            <w:r>
              <w:rPr>
                <w:rFonts w:eastAsia="Times New Roman"/>
                <w:sz w:val="18"/>
                <w:szCs w:val="18"/>
              </w:rPr>
              <w:t>500 mg/L</w:t>
            </w:r>
          </w:p>
        </w:tc>
        <w:tc>
          <w:tcPr>
            <w:tcW w:w="1440" w:type="dxa"/>
            <w:tcBorders>
              <w:top w:val="single" w:sz="8" w:space="0" w:color="auto"/>
              <w:bottom w:val="single" w:sz="8" w:space="0" w:color="auto"/>
              <w:right w:val="single" w:sz="8" w:space="0" w:color="auto"/>
            </w:tcBorders>
            <w:vAlign w:val="center"/>
          </w:tcPr>
          <w:p w14:paraId="772542EB" w14:textId="46C8B802" w:rsidR="004124FB" w:rsidRDefault="004124FB" w:rsidP="004124FB">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6B8529C7" w14:textId="6F39573C" w:rsidR="004124FB" w:rsidRDefault="004124FB" w:rsidP="004124FB">
            <w:pPr>
              <w:jc w:val="center"/>
              <w:rPr>
                <w:sz w:val="20"/>
                <w:szCs w:val="20"/>
              </w:rPr>
            </w:pPr>
            <w:r>
              <w:rPr>
                <w:rFonts w:eastAsia="Times New Roman"/>
                <w:sz w:val="18"/>
                <w:szCs w:val="18"/>
              </w:rPr>
              <w:t>500 ppm</w:t>
            </w:r>
          </w:p>
        </w:tc>
        <w:tc>
          <w:tcPr>
            <w:tcW w:w="2160" w:type="dxa"/>
            <w:tcBorders>
              <w:top w:val="single" w:sz="8" w:space="0" w:color="auto"/>
              <w:bottom w:val="single" w:sz="8" w:space="0" w:color="auto"/>
              <w:right w:val="single" w:sz="8" w:space="0" w:color="auto"/>
            </w:tcBorders>
          </w:tcPr>
          <w:p w14:paraId="6EA0B399" w14:textId="01AD1F93" w:rsidR="004124FB" w:rsidRDefault="004124FB" w:rsidP="004124FB">
            <w:pPr>
              <w:spacing w:line="360" w:lineRule="auto"/>
              <w:ind w:left="40"/>
              <w:rPr>
                <w:sz w:val="20"/>
                <w:szCs w:val="20"/>
              </w:rPr>
            </w:pPr>
            <w:r>
              <w:rPr>
                <w:rFonts w:eastAsia="Times New Roman"/>
                <w:sz w:val="18"/>
                <w:szCs w:val="18"/>
              </w:rPr>
              <w:t>Runoff and leaching from natural deposits; seawater influence</w:t>
            </w:r>
          </w:p>
        </w:tc>
        <w:tc>
          <w:tcPr>
            <w:tcW w:w="2820" w:type="dxa"/>
            <w:tcBorders>
              <w:top w:val="single" w:sz="8" w:space="0" w:color="auto"/>
              <w:bottom w:val="single" w:sz="8" w:space="0" w:color="auto"/>
              <w:right w:val="single" w:sz="8" w:space="0" w:color="auto"/>
            </w:tcBorders>
          </w:tcPr>
          <w:p w14:paraId="2616DB9C" w14:textId="47E099ED" w:rsidR="004124FB" w:rsidRDefault="004124FB" w:rsidP="004124FB">
            <w:pPr>
              <w:spacing w:line="360" w:lineRule="auto"/>
              <w:ind w:left="40"/>
              <w:rPr>
                <w:sz w:val="20"/>
                <w:szCs w:val="20"/>
              </w:rPr>
            </w:pPr>
            <w:r>
              <w:rPr>
                <w:rFonts w:eastAsia="Times New Roman"/>
                <w:sz w:val="18"/>
                <w:szCs w:val="18"/>
              </w:rPr>
              <w:t>May produce hardness; deposits; colored water; staining; salty taste.</w:t>
            </w:r>
          </w:p>
        </w:tc>
      </w:tr>
      <w:tr w:rsidR="004124FB" w14:paraId="778B8DEF" w14:textId="77777777" w:rsidTr="004124FB">
        <w:trPr>
          <w:trHeight w:val="737"/>
        </w:trPr>
        <w:tc>
          <w:tcPr>
            <w:tcW w:w="2020" w:type="dxa"/>
            <w:tcBorders>
              <w:top w:val="single" w:sz="8" w:space="0" w:color="auto"/>
              <w:left w:val="single" w:sz="8" w:space="0" w:color="auto"/>
              <w:bottom w:val="single" w:sz="8" w:space="0" w:color="auto"/>
              <w:right w:val="single" w:sz="8" w:space="0" w:color="auto"/>
            </w:tcBorders>
            <w:vAlign w:val="center"/>
          </w:tcPr>
          <w:p w14:paraId="0322084D" w14:textId="428E233F" w:rsidR="004124FB" w:rsidRDefault="004124FB" w:rsidP="004124FB">
            <w:pPr>
              <w:ind w:left="60"/>
              <w:rPr>
                <w:sz w:val="20"/>
                <w:szCs w:val="20"/>
              </w:rPr>
            </w:pPr>
            <w:r>
              <w:rPr>
                <w:rFonts w:eastAsia="Times New Roman"/>
                <w:sz w:val="18"/>
                <w:szCs w:val="18"/>
              </w:rPr>
              <w:t>Zinc</w:t>
            </w:r>
          </w:p>
        </w:tc>
        <w:tc>
          <w:tcPr>
            <w:tcW w:w="1440" w:type="dxa"/>
            <w:tcBorders>
              <w:top w:val="single" w:sz="8" w:space="0" w:color="auto"/>
              <w:bottom w:val="single" w:sz="8" w:space="0" w:color="auto"/>
              <w:right w:val="single" w:sz="8" w:space="0" w:color="auto"/>
            </w:tcBorders>
            <w:vAlign w:val="center"/>
          </w:tcPr>
          <w:p w14:paraId="4BA53149" w14:textId="7E3704CD" w:rsidR="004124FB" w:rsidRDefault="004124FB" w:rsidP="004124FB">
            <w:pPr>
              <w:jc w:val="center"/>
              <w:rPr>
                <w:sz w:val="20"/>
                <w:szCs w:val="20"/>
              </w:rPr>
            </w:pPr>
            <w:r>
              <w:rPr>
                <w:rFonts w:eastAsia="Times New Roman"/>
                <w:sz w:val="18"/>
                <w:szCs w:val="18"/>
              </w:rPr>
              <w:t>5 mg/L</w:t>
            </w:r>
          </w:p>
        </w:tc>
        <w:tc>
          <w:tcPr>
            <w:tcW w:w="1440" w:type="dxa"/>
            <w:tcBorders>
              <w:top w:val="single" w:sz="8" w:space="0" w:color="auto"/>
              <w:bottom w:val="single" w:sz="8" w:space="0" w:color="auto"/>
              <w:right w:val="single" w:sz="8" w:space="0" w:color="auto"/>
            </w:tcBorders>
            <w:vAlign w:val="center"/>
          </w:tcPr>
          <w:p w14:paraId="1B60AA05" w14:textId="1C420496" w:rsidR="004124FB" w:rsidRDefault="004124FB" w:rsidP="004124FB">
            <w:pPr>
              <w:jc w:val="center"/>
              <w:rPr>
                <w:sz w:val="20"/>
                <w:szCs w:val="20"/>
              </w:rPr>
            </w:pPr>
            <w:r>
              <w:rPr>
                <w:rFonts w:eastAsia="Times New Roman"/>
                <w:w w:val="99"/>
                <w:sz w:val="18"/>
                <w:szCs w:val="18"/>
              </w:rPr>
              <w:t>-</w:t>
            </w:r>
          </w:p>
        </w:tc>
        <w:tc>
          <w:tcPr>
            <w:tcW w:w="1360" w:type="dxa"/>
            <w:tcBorders>
              <w:top w:val="single" w:sz="8" w:space="0" w:color="auto"/>
              <w:bottom w:val="single" w:sz="8" w:space="0" w:color="auto"/>
              <w:right w:val="single" w:sz="8" w:space="0" w:color="auto"/>
            </w:tcBorders>
            <w:vAlign w:val="center"/>
          </w:tcPr>
          <w:p w14:paraId="66674CE4" w14:textId="7CA4450E" w:rsidR="004124FB" w:rsidRDefault="004124FB" w:rsidP="004124FB">
            <w:pPr>
              <w:jc w:val="center"/>
              <w:rPr>
                <w:sz w:val="20"/>
                <w:szCs w:val="20"/>
              </w:rPr>
            </w:pPr>
            <w:r>
              <w:rPr>
                <w:rFonts w:eastAsia="Times New Roman"/>
                <w:sz w:val="18"/>
                <w:szCs w:val="18"/>
              </w:rPr>
              <w:t>5 ppm</w:t>
            </w:r>
          </w:p>
        </w:tc>
        <w:tc>
          <w:tcPr>
            <w:tcW w:w="2160" w:type="dxa"/>
            <w:tcBorders>
              <w:top w:val="single" w:sz="8" w:space="0" w:color="auto"/>
              <w:bottom w:val="single" w:sz="8" w:space="0" w:color="auto"/>
              <w:right w:val="single" w:sz="8" w:space="0" w:color="auto"/>
            </w:tcBorders>
          </w:tcPr>
          <w:p w14:paraId="23FDC72F" w14:textId="07AFBE12" w:rsidR="004124FB" w:rsidRDefault="004124FB" w:rsidP="004124FB">
            <w:pPr>
              <w:spacing w:line="360" w:lineRule="auto"/>
              <w:ind w:left="40"/>
              <w:rPr>
                <w:sz w:val="20"/>
                <w:szCs w:val="20"/>
              </w:rPr>
            </w:pPr>
            <w:r>
              <w:rPr>
                <w:rFonts w:eastAsia="Times New Roman"/>
                <w:sz w:val="18"/>
                <w:szCs w:val="18"/>
              </w:rPr>
              <w:t>Corrosion of household plumbing systems; erosion of natural deposits</w:t>
            </w:r>
          </w:p>
        </w:tc>
        <w:tc>
          <w:tcPr>
            <w:tcW w:w="2820" w:type="dxa"/>
            <w:tcBorders>
              <w:top w:val="single" w:sz="8" w:space="0" w:color="auto"/>
              <w:bottom w:val="single" w:sz="8" w:space="0" w:color="auto"/>
              <w:right w:val="single" w:sz="8" w:space="0" w:color="auto"/>
            </w:tcBorders>
          </w:tcPr>
          <w:p w14:paraId="59CF0F51" w14:textId="6BBA8465" w:rsidR="004124FB" w:rsidRDefault="004124FB" w:rsidP="004124FB">
            <w:pPr>
              <w:spacing w:line="360" w:lineRule="auto"/>
              <w:ind w:left="40"/>
              <w:rPr>
                <w:sz w:val="20"/>
                <w:szCs w:val="20"/>
              </w:rPr>
            </w:pPr>
            <w:r>
              <w:rPr>
                <w:rFonts w:eastAsia="Times New Roman"/>
                <w:sz w:val="18"/>
                <w:szCs w:val="18"/>
              </w:rPr>
              <w:t>May produce a metallic taste.</w:t>
            </w:r>
          </w:p>
        </w:tc>
      </w:tr>
    </w:tbl>
    <w:p w14:paraId="281A5813" w14:textId="77777777" w:rsidR="004647B9" w:rsidRDefault="004647B9" w:rsidP="00FD1D6B">
      <w:pPr>
        <w:rPr>
          <w:sz w:val="20"/>
          <w:szCs w:val="20"/>
        </w:rPr>
      </w:pPr>
    </w:p>
    <w:p w14:paraId="281A5814" w14:textId="09D82A25" w:rsidR="004647B9" w:rsidRPr="00357D61" w:rsidRDefault="00E2436F" w:rsidP="00FD1D6B">
      <w:pPr>
        <w:numPr>
          <w:ilvl w:val="0"/>
          <w:numId w:val="557"/>
        </w:numPr>
        <w:tabs>
          <w:tab w:val="left" w:pos="111"/>
        </w:tabs>
        <w:ind w:right="1100" w:firstLine="1"/>
        <w:rPr>
          <w:rFonts w:eastAsia="Times New Roman"/>
          <w:sz w:val="18"/>
          <w:szCs w:val="18"/>
          <w:vertAlign w:val="superscript"/>
        </w:rPr>
      </w:pPr>
      <w:r w:rsidRPr="00357D61">
        <w:rPr>
          <w:rFonts w:eastAsia="Times New Roman"/>
          <w:sz w:val="18"/>
          <w:szCs w:val="18"/>
        </w:rPr>
        <w:t>EPA has established a lifetime “Health Advisory” (HA) of 0.3 mg/L and an acute HA at 1.0 mg/L for Manganese and this HA contains a precautionary statemen</w:t>
      </w:r>
      <w:r w:rsidRPr="00357D61" w:rsidDel="007B206E">
        <w:rPr>
          <w:rFonts w:eastAsia="Times New Roman"/>
          <w:sz w:val="18"/>
          <w:szCs w:val="18"/>
        </w:rPr>
        <w:t>t</w:t>
      </w:r>
      <w:r w:rsidRPr="00357D61">
        <w:rPr>
          <w:rFonts w:eastAsia="Times New Roman"/>
          <w:sz w:val="18"/>
          <w:szCs w:val="18"/>
        </w:rPr>
        <w:t xml:space="preserve"> that "for infants younger than six months, the lifetime Health Advisory of 0.3 mg/L be used even for an acute exposure of ten days, because of the concerns for differences in manganese content in human milk and formula and the possibility of a higher absorption and lower excretion in young infants</w:t>
      </w:r>
      <w:r w:rsidR="003A055E" w:rsidRPr="00357D61">
        <w:rPr>
          <w:rFonts w:eastAsia="Times New Roman"/>
          <w:sz w:val="18"/>
          <w:szCs w:val="18"/>
        </w:rPr>
        <w:t>.</w:t>
      </w:r>
      <w:r w:rsidRPr="00357D61">
        <w:rPr>
          <w:rFonts w:eastAsia="Times New Roman"/>
          <w:sz w:val="18"/>
          <w:szCs w:val="18"/>
        </w:rPr>
        <w:t>" MassDEP extended that age to one year out of concerns for formula use up to that age and the potential susceptibility of this early life stage to excessive manganese exposure and potential resultant toxicity.</w:t>
      </w:r>
    </w:p>
    <w:p w14:paraId="281A5816" w14:textId="77777777" w:rsidR="004647B9" w:rsidRPr="00357D61" w:rsidRDefault="004647B9" w:rsidP="00FD1D6B">
      <w:pPr>
        <w:rPr>
          <w:sz w:val="18"/>
          <w:szCs w:val="18"/>
        </w:rPr>
      </w:pPr>
    </w:p>
    <w:p w14:paraId="281A5817" w14:textId="13A021A3" w:rsidR="004647B9" w:rsidRPr="00357D61" w:rsidRDefault="00E2436F" w:rsidP="00FD1D6B">
      <w:pPr>
        <w:ind w:right="1860"/>
        <w:rPr>
          <w:rFonts w:eastAsia="Times New Roman"/>
          <w:sz w:val="18"/>
          <w:szCs w:val="18"/>
        </w:rPr>
      </w:pPr>
      <w:r w:rsidRPr="00357D61">
        <w:rPr>
          <w:rFonts w:eastAsia="Times New Roman"/>
          <w:sz w:val="18"/>
          <w:szCs w:val="18"/>
        </w:rPr>
        <w:t>Please go to</w:t>
      </w:r>
      <w:r w:rsidR="005D077C">
        <w:rPr>
          <w:rFonts w:eastAsia="Times New Roman"/>
          <w:sz w:val="18"/>
          <w:szCs w:val="18"/>
        </w:rPr>
        <w:t xml:space="preserve"> EPA’s website</w:t>
      </w:r>
      <w:r w:rsidR="005D077C" w:rsidRPr="00357D61" w:rsidDel="005D077C">
        <w:rPr>
          <w:rFonts w:eastAsia="Times New Roman"/>
          <w:sz w:val="18"/>
          <w:szCs w:val="18"/>
        </w:rPr>
        <w:t xml:space="preserve"> </w:t>
      </w:r>
      <w:r w:rsidRPr="00357D61">
        <w:rPr>
          <w:rFonts w:eastAsia="Times New Roman"/>
          <w:sz w:val="18"/>
          <w:szCs w:val="18"/>
        </w:rPr>
        <w:t>for additional information on secondary contaminants.</w:t>
      </w:r>
    </w:p>
    <w:p w14:paraId="281A5818" w14:textId="1E678AA9" w:rsidR="004647B9" w:rsidRDefault="004647B9" w:rsidP="00FD1D6B">
      <w:pPr>
        <w:rPr>
          <w:sz w:val="20"/>
          <w:szCs w:val="20"/>
        </w:rPr>
      </w:pPr>
      <w:bookmarkStart w:id="247" w:name="page251"/>
      <w:bookmarkEnd w:id="247"/>
    </w:p>
    <w:p w14:paraId="281A5819" w14:textId="77777777" w:rsidR="004647B9" w:rsidRDefault="004647B9" w:rsidP="00FD1D6B">
      <w:pPr>
        <w:sectPr w:rsidR="004647B9" w:rsidSect="00EF630C">
          <w:type w:val="continuous"/>
          <w:pgSz w:w="12240" w:h="20180"/>
          <w:pgMar w:top="708" w:right="400" w:bottom="904" w:left="600" w:header="0" w:footer="0" w:gutter="0"/>
          <w:cols w:space="720"/>
        </w:sectPr>
      </w:pPr>
    </w:p>
    <w:p w14:paraId="281A581A" w14:textId="77777777" w:rsidR="004647B9" w:rsidRDefault="00E2436F">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81B" w14:textId="77777777" w:rsidR="004647B9" w:rsidRDefault="004647B9" w:rsidP="0044211A">
      <w:pPr>
        <w:rPr>
          <w:sz w:val="20"/>
          <w:szCs w:val="20"/>
        </w:rPr>
      </w:pPr>
    </w:p>
    <w:p w14:paraId="281A581C" w14:textId="77777777" w:rsidR="004647B9" w:rsidRDefault="004647B9" w:rsidP="0044211A">
      <w:pPr>
        <w:rPr>
          <w:sz w:val="20"/>
          <w:szCs w:val="20"/>
        </w:rPr>
      </w:pPr>
    </w:p>
    <w:p w14:paraId="281A581D" w14:textId="77777777" w:rsidR="004647B9" w:rsidRDefault="00E2436F" w:rsidP="0044211A">
      <w:pPr>
        <w:tabs>
          <w:tab w:val="left" w:pos="760"/>
        </w:tabs>
        <w:rPr>
          <w:sz w:val="20"/>
          <w:szCs w:val="20"/>
        </w:rPr>
      </w:pPr>
      <w:r>
        <w:rPr>
          <w:rFonts w:eastAsia="Times New Roman"/>
          <w:sz w:val="24"/>
          <w:szCs w:val="24"/>
          <w:u w:val="single"/>
        </w:rPr>
        <w:t>22.17:</w:t>
      </w:r>
      <w:r>
        <w:rPr>
          <w:rFonts w:eastAsia="Times New Roman"/>
          <w:sz w:val="24"/>
          <w:szCs w:val="24"/>
          <w:u w:val="single"/>
        </w:rPr>
        <w:tab/>
        <w:t>Record Maintenance</w:t>
      </w:r>
    </w:p>
    <w:p w14:paraId="281A581E" w14:textId="77777777" w:rsidR="004647B9" w:rsidRDefault="004647B9" w:rsidP="0044211A">
      <w:pPr>
        <w:rPr>
          <w:sz w:val="20"/>
          <w:szCs w:val="20"/>
        </w:rPr>
      </w:pPr>
    </w:p>
    <w:p w14:paraId="281A581F" w14:textId="77777777" w:rsidR="004647B9" w:rsidRDefault="00E2436F" w:rsidP="0044211A">
      <w:pPr>
        <w:ind w:left="1260"/>
        <w:rPr>
          <w:sz w:val="20"/>
          <w:szCs w:val="20"/>
        </w:rPr>
      </w:pPr>
      <w:r>
        <w:rPr>
          <w:rFonts w:eastAsia="Times New Roman"/>
          <w:sz w:val="24"/>
          <w:szCs w:val="24"/>
        </w:rPr>
        <w:t>All suppliers of water shall retain on their premises or at a convenient location near their premises in a form admissible as evidence in Massachusetts Courts the following records:</w:t>
      </w:r>
    </w:p>
    <w:p w14:paraId="281A5820" w14:textId="77777777" w:rsidR="004647B9" w:rsidRDefault="004647B9" w:rsidP="0044211A">
      <w:pPr>
        <w:rPr>
          <w:sz w:val="20"/>
          <w:szCs w:val="20"/>
        </w:rPr>
      </w:pPr>
    </w:p>
    <w:p w14:paraId="281A5821" w14:textId="77777777" w:rsidR="004647B9" w:rsidRDefault="00E2436F" w:rsidP="0044211A">
      <w:pPr>
        <w:numPr>
          <w:ilvl w:val="0"/>
          <w:numId w:val="558"/>
        </w:numPr>
        <w:tabs>
          <w:tab w:val="left" w:pos="1684"/>
        </w:tabs>
        <w:ind w:left="1260"/>
        <w:jc w:val="both"/>
        <w:rPr>
          <w:rFonts w:eastAsia="Times New Roman"/>
          <w:sz w:val="24"/>
          <w:szCs w:val="24"/>
        </w:rPr>
      </w:pPr>
      <w:r>
        <w:rPr>
          <w:rFonts w:eastAsia="Times New Roman"/>
          <w:sz w:val="24"/>
          <w:szCs w:val="24"/>
        </w:rPr>
        <w:t>Records of bacteriological analyses made pursuant to 310 CMR 22.00 shall be kept for not less than five years. Records of microbiological analyses and turbidity analyses made pursuant to 310 CMR 22.20G shall be kept for not less than five years. Records of analysis for other than microbiological contaminants (including total coliform, fecal coliform, and heterotrophic plate count), residual disinfectant concentration, other parameters necessary to determine disinfection effectiveness (including temperature and pH measurements), and turbidity shall be retained for not less than 12 years. Actual laboratory reports may be kept, or data may be transferred to tabular summaries, provided that such summaries are in a form admissible as evidence in Massachusetts Courts and shall include at least the following information in a form that demonstrates an unbroken chain of custody of the samples analyzed from sampling through analysis and includes at least the following:</w:t>
      </w:r>
    </w:p>
    <w:p w14:paraId="281A5823" w14:textId="77777777" w:rsidR="004647B9" w:rsidRDefault="00E2436F" w:rsidP="0044211A">
      <w:pPr>
        <w:numPr>
          <w:ilvl w:val="1"/>
          <w:numId w:val="558"/>
        </w:numPr>
        <w:tabs>
          <w:tab w:val="left" w:pos="2086"/>
        </w:tabs>
        <w:ind w:left="1620" w:hanging="5"/>
        <w:rPr>
          <w:rFonts w:eastAsia="Times New Roman"/>
          <w:sz w:val="24"/>
          <w:szCs w:val="24"/>
        </w:rPr>
      </w:pPr>
      <w:r>
        <w:rPr>
          <w:rFonts w:eastAsia="Times New Roman"/>
          <w:sz w:val="24"/>
          <w:szCs w:val="24"/>
        </w:rPr>
        <w:t>The date, place and time of sampling, the full name of the person who collected the sample and the agency or organization for which that person works;</w:t>
      </w:r>
    </w:p>
    <w:p w14:paraId="281A5824" w14:textId="77777777" w:rsidR="004647B9" w:rsidRDefault="00E2436F" w:rsidP="0044211A">
      <w:pPr>
        <w:numPr>
          <w:ilvl w:val="1"/>
          <w:numId w:val="558"/>
        </w:numPr>
        <w:tabs>
          <w:tab w:val="left" w:pos="2065"/>
        </w:tabs>
        <w:ind w:left="1620" w:hanging="5"/>
        <w:rPr>
          <w:rFonts w:eastAsia="Times New Roman"/>
          <w:sz w:val="24"/>
          <w:szCs w:val="24"/>
        </w:rPr>
      </w:pPr>
      <w:r>
        <w:rPr>
          <w:rFonts w:eastAsia="Times New Roman"/>
          <w:sz w:val="24"/>
          <w:szCs w:val="24"/>
        </w:rPr>
        <w:t>Identification of the sample as to whether it was a routine distribution system sample, check sample, raw or process water sample or other special purpose sample;</w:t>
      </w:r>
    </w:p>
    <w:p w14:paraId="281A5825" w14:textId="77777777" w:rsidR="004647B9" w:rsidRDefault="00E2436F" w:rsidP="0044211A">
      <w:pPr>
        <w:numPr>
          <w:ilvl w:val="1"/>
          <w:numId w:val="558"/>
        </w:numPr>
        <w:tabs>
          <w:tab w:val="left" w:pos="2060"/>
        </w:tabs>
        <w:ind w:left="2060" w:hanging="445"/>
        <w:rPr>
          <w:rFonts w:eastAsia="Times New Roman"/>
          <w:sz w:val="24"/>
          <w:szCs w:val="24"/>
        </w:rPr>
      </w:pPr>
      <w:r>
        <w:rPr>
          <w:rFonts w:eastAsia="Times New Roman"/>
          <w:sz w:val="24"/>
          <w:szCs w:val="24"/>
        </w:rPr>
        <w:t>Date of analysis;</w:t>
      </w:r>
    </w:p>
    <w:p w14:paraId="281A5827" w14:textId="77777777" w:rsidR="004647B9" w:rsidRDefault="00E2436F" w:rsidP="0044211A">
      <w:pPr>
        <w:numPr>
          <w:ilvl w:val="1"/>
          <w:numId w:val="558"/>
        </w:numPr>
        <w:tabs>
          <w:tab w:val="left" w:pos="2080"/>
        </w:tabs>
        <w:ind w:left="2080" w:hanging="465"/>
        <w:rPr>
          <w:rFonts w:eastAsia="Times New Roman"/>
          <w:sz w:val="24"/>
          <w:szCs w:val="24"/>
        </w:rPr>
      </w:pPr>
      <w:r>
        <w:rPr>
          <w:rFonts w:eastAsia="Times New Roman"/>
          <w:sz w:val="24"/>
          <w:szCs w:val="24"/>
        </w:rPr>
        <w:t>Laboratory and person responsible for performing analysis;</w:t>
      </w:r>
    </w:p>
    <w:p w14:paraId="281A5829" w14:textId="77777777" w:rsidR="004647B9" w:rsidRDefault="00E2436F" w:rsidP="0044211A">
      <w:pPr>
        <w:numPr>
          <w:ilvl w:val="1"/>
          <w:numId w:val="558"/>
        </w:numPr>
        <w:tabs>
          <w:tab w:val="left" w:pos="2060"/>
        </w:tabs>
        <w:ind w:left="2060" w:hanging="445"/>
        <w:rPr>
          <w:rFonts w:eastAsia="Times New Roman"/>
          <w:sz w:val="24"/>
          <w:szCs w:val="24"/>
        </w:rPr>
      </w:pPr>
      <w:r>
        <w:rPr>
          <w:rFonts w:eastAsia="Times New Roman"/>
          <w:sz w:val="24"/>
          <w:szCs w:val="24"/>
        </w:rPr>
        <w:t>The analytical technique/method and instruments used; and</w:t>
      </w:r>
    </w:p>
    <w:p w14:paraId="281A582B" w14:textId="77777777" w:rsidR="004647B9" w:rsidRDefault="00E2436F" w:rsidP="0044211A">
      <w:pPr>
        <w:numPr>
          <w:ilvl w:val="1"/>
          <w:numId w:val="558"/>
        </w:numPr>
        <w:tabs>
          <w:tab w:val="left" w:pos="2040"/>
        </w:tabs>
        <w:ind w:left="2040" w:hanging="425"/>
        <w:rPr>
          <w:rFonts w:eastAsia="Times New Roman"/>
          <w:sz w:val="24"/>
          <w:szCs w:val="24"/>
        </w:rPr>
      </w:pPr>
      <w:r>
        <w:rPr>
          <w:rFonts w:eastAsia="Times New Roman"/>
          <w:sz w:val="24"/>
          <w:szCs w:val="24"/>
        </w:rPr>
        <w:t>The results of the analysis.</w:t>
      </w:r>
    </w:p>
    <w:p w14:paraId="281A582C" w14:textId="77777777" w:rsidR="004647B9" w:rsidRDefault="004647B9" w:rsidP="0044211A">
      <w:pPr>
        <w:rPr>
          <w:rFonts w:eastAsia="Times New Roman"/>
          <w:sz w:val="24"/>
          <w:szCs w:val="24"/>
        </w:rPr>
      </w:pPr>
    </w:p>
    <w:p w14:paraId="281A582D" w14:textId="77777777" w:rsidR="004647B9" w:rsidRDefault="00E2436F" w:rsidP="0044211A">
      <w:pPr>
        <w:numPr>
          <w:ilvl w:val="0"/>
          <w:numId w:val="558"/>
        </w:numPr>
        <w:tabs>
          <w:tab w:val="left" w:pos="1691"/>
        </w:tabs>
        <w:ind w:left="1260"/>
        <w:jc w:val="both"/>
        <w:rPr>
          <w:rFonts w:eastAsia="Times New Roman"/>
          <w:sz w:val="24"/>
          <w:szCs w:val="24"/>
        </w:rPr>
      </w:pPr>
      <w:r>
        <w:rPr>
          <w:rFonts w:eastAsia="Times New Roman"/>
          <w:sz w:val="24"/>
          <w:szCs w:val="24"/>
        </w:rPr>
        <w:t>Records of action taken by the system to correct violation of 310 CMR 22.00 shall be kept for a period not less than three years after the last action taken with respect to the particular violation involved.</w:t>
      </w:r>
    </w:p>
    <w:p w14:paraId="281A582E" w14:textId="77777777" w:rsidR="004647B9" w:rsidRPr="00357D61" w:rsidRDefault="004647B9" w:rsidP="0044211A">
      <w:pPr>
        <w:rPr>
          <w:rFonts w:eastAsia="Times New Roman"/>
          <w:sz w:val="24"/>
          <w:szCs w:val="24"/>
        </w:rPr>
      </w:pPr>
    </w:p>
    <w:p w14:paraId="281A582F" w14:textId="77777777" w:rsidR="004647B9" w:rsidRPr="00357D61" w:rsidRDefault="00E2436F" w:rsidP="0044211A">
      <w:pPr>
        <w:numPr>
          <w:ilvl w:val="0"/>
          <w:numId w:val="558"/>
        </w:numPr>
        <w:tabs>
          <w:tab w:val="left" w:pos="1704"/>
        </w:tabs>
        <w:ind w:left="1260"/>
        <w:jc w:val="both"/>
        <w:rPr>
          <w:rFonts w:eastAsia="Times New Roman"/>
          <w:sz w:val="24"/>
          <w:szCs w:val="24"/>
        </w:rPr>
      </w:pPr>
      <w:r w:rsidRPr="00357D61">
        <w:rPr>
          <w:rFonts w:eastAsia="Times New Roman"/>
          <w:sz w:val="24"/>
          <w:szCs w:val="24"/>
        </w:rPr>
        <w:t>Copies of any written reports, summaries, or communications relating to sanitary surveys of the system conducted by the system itself, by a private consultant, or by any local, State or Federal agency, shall be kept for a period not less than ten years after completion of the sanitary survey involved.</w:t>
      </w:r>
    </w:p>
    <w:p w14:paraId="281A5830" w14:textId="77777777" w:rsidR="004647B9" w:rsidRPr="00357D61" w:rsidRDefault="004647B9" w:rsidP="0044211A">
      <w:pPr>
        <w:rPr>
          <w:rFonts w:eastAsia="Times New Roman"/>
          <w:sz w:val="24"/>
          <w:szCs w:val="24"/>
        </w:rPr>
      </w:pPr>
    </w:p>
    <w:p w14:paraId="281A5831" w14:textId="77777777" w:rsidR="004647B9" w:rsidRPr="00357D61" w:rsidRDefault="00E2436F" w:rsidP="0044211A">
      <w:pPr>
        <w:numPr>
          <w:ilvl w:val="0"/>
          <w:numId w:val="558"/>
        </w:numPr>
        <w:tabs>
          <w:tab w:val="left" w:pos="1662"/>
        </w:tabs>
        <w:ind w:left="1260"/>
        <w:rPr>
          <w:rFonts w:eastAsia="Times New Roman"/>
          <w:sz w:val="24"/>
          <w:szCs w:val="24"/>
        </w:rPr>
      </w:pPr>
      <w:r w:rsidRPr="00357D61">
        <w:rPr>
          <w:rFonts w:eastAsia="Times New Roman"/>
          <w:sz w:val="24"/>
          <w:szCs w:val="24"/>
        </w:rPr>
        <w:t>Records concerning a variance or exemption granted to the system shall be kept for a period ending not less than five years following the expiration of such variance or exemption.</w:t>
      </w:r>
    </w:p>
    <w:p w14:paraId="281A5832" w14:textId="77777777" w:rsidR="004647B9" w:rsidRPr="00357D61" w:rsidRDefault="004647B9" w:rsidP="0044211A">
      <w:pPr>
        <w:rPr>
          <w:rFonts w:eastAsia="Times New Roman"/>
          <w:sz w:val="24"/>
          <w:szCs w:val="24"/>
        </w:rPr>
      </w:pPr>
    </w:p>
    <w:p w14:paraId="281A5833" w14:textId="77777777" w:rsidR="004647B9" w:rsidRPr="00357D61" w:rsidRDefault="00E2436F" w:rsidP="0044211A">
      <w:pPr>
        <w:numPr>
          <w:ilvl w:val="0"/>
          <w:numId w:val="558"/>
        </w:numPr>
        <w:tabs>
          <w:tab w:val="left" w:pos="1663"/>
        </w:tabs>
        <w:ind w:left="1260"/>
        <w:rPr>
          <w:rFonts w:eastAsia="Times New Roman"/>
          <w:sz w:val="24"/>
          <w:szCs w:val="24"/>
        </w:rPr>
      </w:pPr>
      <w:r w:rsidRPr="00357D61">
        <w:rPr>
          <w:rFonts w:eastAsia="Times New Roman"/>
          <w:sz w:val="24"/>
          <w:szCs w:val="24"/>
        </w:rPr>
        <w:t>Records concerning the use of chemicals added to the water supply shall be kept for not less than five years. Said records shall include the information prescribed in 310 CMR 22.15(4).</w:t>
      </w:r>
    </w:p>
    <w:p w14:paraId="281A5834" w14:textId="77777777" w:rsidR="004647B9" w:rsidRPr="00357D61" w:rsidRDefault="004647B9" w:rsidP="0044211A">
      <w:pPr>
        <w:rPr>
          <w:rFonts w:eastAsia="Times New Roman"/>
          <w:sz w:val="24"/>
          <w:szCs w:val="24"/>
        </w:rPr>
      </w:pPr>
    </w:p>
    <w:p w14:paraId="281A5835" w14:textId="77777777" w:rsidR="004647B9" w:rsidRPr="00357D61" w:rsidRDefault="00E2436F" w:rsidP="0044211A">
      <w:pPr>
        <w:numPr>
          <w:ilvl w:val="0"/>
          <w:numId w:val="558"/>
        </w:numPr>
        <w:tabs>
          <w:tab w:val="left" w:pos="1706"/>
        </w:tabs>
        <w:ind w:left="1260"/>
        <w:jc w:val="both"/>
        <w:rPr>
          <w:rFonts w:eastAsia="Times New Roman"/>
          <w:sz w:val="24"/>
          <w:szCs w:val="24"/>
        </w:rPr>
      </w:pPr>
      <w:r w:rsidRPr="00357D61">
        <w:rPr>
          <w:rFonts w:eastAsia="Times New Roman"/>
          <w:sz w:val="24"/>
          <w:szCs w:val="24"/>
        </w:rPr>
        <w:t>Records of the sizes and materials of construction of all water mains, records of materials used in joints of water mains, and records of the materials of construction of all services shall be maintained.</w:t>
      </w:r>
    </w:p>
    <w:p w14:paraId="281A5836" w14:textId="77777777" w:rsidR="004647B9" w:rsidRPr="00357D61" w:rsidRDefault="004647B9" w:rsidP="0044211A">
      <w:pPr>
        <w:rPr>
          <w:rFonts w:eastAsia="Times New Roman"/>
          <w:sz w:val="24"/>
          <w:szCs w:val="24"/>
        </w:rPr>
      </w:pPr>
    </w:p>
    <w:p w14:paraId="281A5837" w14:textId="77777777" w:rsidR="004647B9" w:rsidRPr="00357D61" w:rsidRDefault="00E2436F" w:rsidP="0044211A">
      <w:pPr>
        <w:numPr>
          <w:ilvl w:val="0"/>
          <w:numId w:val="558"/>
        </w:numPr>
        <w:tabs>
          <w:tab w:val="left" w:pos="1705"/>
        </w:tabs>
        <w:ind w:left="1260"/>
        <w:jc w:val="both"/>
        <w:rPr>
          <w:rFonts w:eastAsia="Times New Roman"/>
          <w:sz w:val="24"/>
          <w:szCs w:val="24"/>
        </w:rPr>
      </w:pPr>
      <w:r w:rsidRPr="00357D61">
        <w:rPr>
          <w:rFonts w:eastAsia="Times New Roman"/>
          <w:sz w:val="24"/>
          <w:szCs w:val="24"/>
        </w:rPr>
        <w:t>Each supplier of water shall be responsible for maintaining current inventory information for the public water system in its charge and shall retain inventory records of public water systems for not less than 12 years. Said records shall include the information prescribed in 310 CMR 22.15(5).</w:t>
      </w:r>
    </w:p>
    <w:p w14:paraId="281A5838" w14:textId="77777777" w:rsidR="004647B9" w:rsidRPr="00357D61" w:rsidRDefault="004647B9" w:rsidP="0044211A">
      <w:pPr>
        <w:rPr>
          <w:rFonts w:eastAsia="Times New Roman"/>
          <w:sz w:val="24"/>
          <w:szCs w:val="24"/>
        </w:rPr>
      </w:pPr>
    </w:p>
    <w:p w14:paraId="281A5839" w14:textId="77777777" w:rsidR="004647B9" w:rsidRPr="00357D61" w:rsidRDefault="00E2436F" w:rsidP="0044211A">
      <w:pPr>
        <w:numPr>
          <w:ilvl w:val="0"/>
          <w:numId w:val="558"/>
        </w:numPr>
        <w:tabs>
          <w:tab w:val="left" w:pos="1714"/>
        </w:tabs>
        <w:ind w:left="1260"/>
        <w:jc w:val="both"/>
        <w:rPr>
          <w:rFonts w:eastAsia="Times New Roman"/>
          <w:sz w:val="24"/>
          <w:szCs w:val="24"/>
        </w:rPr>
      </w:pPr>
      <w:r w:rsidRPr="00357D61">
        <w:rPr>
          <w:rFonts w:eastAsia="Times New Roman"/>
          <w:sz w:val="24"/>
          <w:szCs w:val="24"/>
        </w:rPr>
        <w:t>A record of the most recent vulnerability determination, including the monitoring results and other data supporting the determination, the Department's findings based on the supporting data and any additional bases for such determination; except that it shall be kept in perpetuity or until a more current vulnerability determination has been issued.</w:t>
      </w:r>
    </w:p>
    <w:p w14:paraId="281A583A" w14:textId="77777777" w:rsidR="004647B9" w:rsidRPr="00357D61" w:rsidRDefault="004647B9" w:rsidP="0044211A">
      <w:pPr>
        <w:rPr>
          <w:rFonts w:eastAsia="Times New Roman"/>
          <w:sz w:val="24"/>
          <w:szCs w:val="24"/>
        </w:rPr>
      </w:pPr>
    </w:p>
    <w:p w14:paraId="281A583B" w14:textId="77777777" w:rsidR="004647B9" w:rsidRPr="00357D61" w:rsidRDefault="00E2436F" w:rsidP="0044211A">
      <w:pPr>
        <w:numPr>
          <w:ilvl w:val="0"/>
          <w:numId w:val="558"/>
        </w:numPr>
        <w:tabs>
          <w:tab w:val="left" w:pos="1685"/>
        </w:tabs>
        <w:ind w:left="1260"/>
        <w:jc w:val="both"/>
        <w:rPr>
          <w:rFonts w:eastAsia="Times New Roman"/>
          <w:sz w:val="24"/>
          <w:szCs w:val="24"/>
        </w:rPr>
      </w:pPr>
      <w:r w:rsidRPr="00357D61">
        <w:rPr>
          <w:rFonts w:eastAsia="Times New Roman"/>
          <w:sz w:val="24"/>
          <w:szCs w:val="24"/>
        </w:rPr>
        <w:t>A record of all current monitoring requirements and the most recent monitoring frequency decision pertaining to each contaminant, including the monitoring results and other data supporting the decision, the Department's findings based on the supporting data and any additional bases for such decision; except that the record shall be kept in perpetuity or until a more recent monitoring frequency decision has been issued.</w:t>
      </w:r>
    </w:p>
    <w:p w14:paraId="281A583C" w14:textId="77777777" w:rsidR="004647B9" w:rsidRDefault="004647B9" w:rsidP="0044211A">
      <w:pPr>
        <w:sectPr w:rsidR="004647B9" w:rsidSect="00EF630C">
          <w:pgSz w:w="12240" w:h="20180"/>
          <w:pgMar w:top="708" w:right="1440" w:bottom="1440" w:left="600" w:header="0" w:footer="0" w:gutter="0"/>
          <w:cols w:space="720"/>
        </w:sectPr>
      </w:pPr>
    </w:p>
    <w:p w14:paraId="281A583D" w14:textId="77777777" w:rsidR="004647B9" w:rsidRDefault="00E2436F">
      <w:pPr>
        <w:tabs>
          <w:tab w:val="left" w:pos="160"/>
        </w:tabs>
        <w:jc w:val="center"/>
        <w:rPr>
          <w:sz w:val="20"/>
          <w:szCs w:val="20"/>
        </w:rPr>
      </w:pPr>
      <w:bookmarkStart w:id="248" w:name="page252"/>
      <w:bookmarkEnd w:id="24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83E" w14:textId="77777777" w:rsidR="004647B9" w:rsidRDefault="004647B9" w:rsidP="0044211A">
      <w:pPr>
        <w:rPr>
          <w:sz w:val="20"/>
          <w:szCs w:val="20"/>
        </w:rPr>
      </w:pPr>
    </w:p>
    <w:p w14:paraId="281A583F" w14:textId="77777777" w:rsidR="004647B9" w:rsidRDefault="004647B9" w:rsidP="0044211A">
      <w:pPr>
        <w:rPr>
          <w:sz w:val="20"/>
          <w:szCs w:val="20"/>
        </w:rPr>
      </w:pPr>
    </w:p>
    <w:p w14:paraId="281A5840" w14:textId="77777777" w:rsidR="004647B9" w:rsidRPr="00357D61" w:rsidRDefault="00E2436F" w:rsidP="0044211A">
      <w:pPr>
        <w:tabs>
          <w:tab w:val="left" w:pos="760"/>
        </w:tabs>
        <w:rPr>
          <w:sz w:val="24"/>
          <w:szCs w:val="24"/>
        </w:rPr>
      </w:pPr>
      <w:r w:rsidRPr="00357D61">
        <w:rPr>
          <w:rFonts w:eastAsia="Times New Roman"/>
          <w:sz w:val="24"/>
          <w:szCs w:val="24"/>
        </w:rPr>
        <w:t>22.17:</w:t>
      </w:r>
      <w:r w:rsidRPr="00357D61">
        <w:rPr>
          <w:rFonts w:eastAsia="Times New Roman"/>
          <w:sz w:val="24"/>
          <w:szCs w:val="24"/>
        </w:rPr>
        <w:tab/>
        <w:t>continued</w:t>
      </w:r>
    </w:p>
    <w:p w14:paraId="281A5841" w14:textId="77777777" w:rsidR="004647B9" w:rsidRPr="0044211A" w:rsidRDefault="004647B9" w:rsidP="0044211A">
      <w:pPr>
        <w:rPr>
          <w:sz w:val="20"/>
          <w:szCs w:val="20"/>
        </w:rPr>
      </w:pPr>
    </w:p>
    <w:p w14:paraId="281A5842" w14:textId="77777777" w:rsidR="004647B9" w:rsidRPr="00357D61" w:rsidRDefault="00E2436F" w:rsidP="0044211A">
      <w:pPr>
        <w:numPr>
          <w:ilvl w:val="0"/>
          <w:numId w:val="559"/>
        </w:numPr>
        <w:tabs>
          <w:tab w:val="left" w:pos="1912"/>
        </w:tabs>
        <w:ind w:left="1260"/>
        <w:jc w:val="both"/>
        <w:rPr>
          <w:rFonts w:eastAsia="Times New Roman"/>
          <w:sz w:val="24"/>
          <w:szCs w:val="24"/>
        </w:rPr>
      </w:pPr>
      <w:r w:rsidRPr="00357D61">
        <w:rPr>
          <w:rFonts w:eastAsia="Times New Roman"/>
          <w:sz w:val="24"/>
          <w:szCs w:val="24"/>
        </w:rPr>
        <w:t>A record of the most recent asbestos repeat monitoring determination, including the monitoring results and other data supporting the determination, the Department's findings based on the supporting data and any additional bases for the determination and the repeat monitoring frequency; except that these records shall be maintained in perpetuity or until a more current repeat monitoring determination has been issued.</w:t>
      </w:r>
    </w:p>
    <w:p w14:paraId="281A5843" w14:textId="77777777" w:rsidR="004647B9" w:rsidRPr="00357D61" w:rsidRDefault="004647B9" w:rsidP="0044211A">
      <w:pPr>
        <w:rPr>
          <w:rFonts w:eastAsia="Times New Roman"/>
          <w:sz w:val="24"/>
          <w:szCs w:val="24"/>
        </w:rPr>
      </w:pPr>
    </w:p>
    <w:p w14:paraId="281A5844" w14:textId="77777777" w:rsidR="004647B9" w:rsidRPr="00357D61" w:rsidRDefault="00E2436F" w:rsidP="0044211A">
      <w:pPr>
        <w:numPr>
          <w:ilvl w:val="0"/>
          <w:numId w:val="559"/>
        </w:numPr>
        <w:tabs>
          <w:tab w:val="left" w:pos="1833"/>
        </w:tabs>
        <w:ind w:left="1260"/>
        <w:jc w:val="both"/>
        <w:rPr>
          <w:rFonts w:eastAsia="Times New Roman"/>
          <w:sz w:val="24"/>
          <w:szCs w:val="24"/>
        </w:rPr>
      </w:pPr>
      <w:r w:rsidRPr="00357D61">
        <w:rPr>
          <w:rFonts w:eastAsia="Times New Roman"/>
          <w:sz w:val="24"/>
          <w:szCs w:val="24"/>
        </w:rPr>
        <w:t>Copies of the public notices issued pursuant to 310 CMR 22.16 and certifications made to the Department pursuant to 310 CMR 22.15(3)(b) shall be kept for three years after issuance.</w:t>
      </w:r>
    </w:p>
    <w:p w14:paraId="281A5845" w14:textId="77777777" w:rsidR="004647B9" w:rsidRPr="00357D61" w:rsidRDefault="004647B9" w:rsidP="0044211A">
      <w:pPr>
        <w:rPr>
          <w:rFonts w:eastAsia="Times New Roman"/>
          <w:sz w:val="24"/>
          <w:szCs w:val="24"/>
        </w:rPr>
      </w:pPr>
    </w:p>
    <w:p w14:paraId="281A5846" w14:textId="77777777" w:rsidR="004647B9" w:rsidRPr="00357D61" w:rsidRDefault="00E2436F" w:rsidP="0044211A">
      <w:pPr>
        <w:numPr>
          <w:ilvl w:val="0"/>
          <w:numId w:val="559"/>
        </w:numPr>
        <w:tabs>
          <w:tab w:val="left" w:pos="1843"/>
        </w:tabs>
        <w:ind w:left="1260"/>
        <w:jc w:val="both"/>
        <w:rPr>
          <w:rFonts w:eastAsia="Times New Roman"/>
          <w:sz w:val="24"/>
          <w:szCs w:val="24"/>
        </w:rPr>
      </w:pPr>
      <w:r w:rsidRPr="00357D61">
        <w:rPr>
          <w:rFonts w:eastAsia="Times New Roman"/>
          <w:sz w:val="24"/>
          <w:szCs w:val="24"/>
        </w:rPr>
        <w:t>Each supplier of water who is subject to the requirements of 310 CMR 22.20F shall, in addition to recordkeeping requirements under 310 CMR 22.20A(6), maintain records as follows:</w:t>
      </w:r>
    </w:p>
    <w:p w14:paraId="281A5847" w14:textId="77777777" w:rsidR="004647B9" w:rsidRPr="00357D61" w:rsidRDefault="00E2436F" w:rsidP="0044211A">
      <w:pPr>
        <w:numPr>
          <w:ilvl w:val="1"/>
          <w:numId w:val="559"/>
        </w:numPr>
        <w:tabs>
          <w:tab w:val="left" w:pos="2048"/>
        </w:tabs>
        <w:ind w:left="1620" w:hanging="5"/>
        <w:jc w:val="both"/>
        <w:rPr>
          <w:rFonts w:eastAsia="Times New Roman"/>
          <w:sz w:val="24"/>
          <w:szCs w:val="24"/>
        </w:rPr>
      </w:pPr>
      <w:r w:rsidRPr="00357D61">
        <w:rPr>
          <w:rFonts w:eastAsia="Times New Roman"/>
          <w:sz w:val="24"/>
          <w:szCs w:val="24"/>
          <w:u w:val="single"/>
        </w:rPr>
        <w:t>Individual Filter Turbidity Requirements</w:t>
      </w:r>
      <w:r w:rsidRPr="00357D61">
        <w:rPr>
          <w:rFonts w:eastAsia="Times New Roman"/>
          <w:sz w:val="24"/>
          <w:szCs w:val="24"/>
        </w:rPr>
        <w:t>. The results of individual filter monitoring, conducted in accordance with 310 CMR 22.20D(6)(b) and 22.20F(7)(a) through (e), must be kept for at least three years.</w:t>
      </w:r>
    </w:p>
    <w:p w14:paraId="281A5849" w14:textId="77777777" w:rsidR="004647B9" w:rsidRPr="00357D61" w:rsidRDefault="00E2436F" w:rsidP="0044211A">
      <w:pPr>
        <w:numPr>
          <w:ilvl w:val="1"/>
          <w:numId w:val="559"/>
        </w:numPr>
        <w:tabs>
          <w:tab w:val="left" w:pos="2116"/>
        </w:tabs>
        <w:ind w:left="1620" w:hanging="5"/>
        <w:jc w:val="both"/>
        <w:rPr>
          <w:rFonts w:eastAsia="Times New Roman"/>
          <w:sz w:val="24"/>
          <w:szCs w:val="24"/>
        </w:rPr>
      </w:pPr>
      <w:r w:rsidRPr="00357D61">
        <w:rPr>
          <w:rFonts w:eastAsia="Times New Roman"/>
          <w:sz w:val="24"/>
          <w:szCs w:val="24"/>
          <w:u w:val="single"/>
        </w:rPr>
        <w:t>Disinfection Profiling</w:t>
      </w:r>
      <w:r w:rsidRPr="00357D61">
        <w:rPr>
          <w:rFonts w:eastAsia="Times New Roman"/>
          <w:sz w:val="24"/>
          <w:szCs w:val="24"/>
        </w:rPr>
        <w:t>. The results of the profile (including raw data and analysis), conducted in accordance with 310 CMR 22.20D(3)(b) and 22.20F(4)(a) through (g), must be kept indefinitely.</w:t>
      </w:r>
    </w:p>
    <w:p w14:paraId="281A584B" w14:textId="77777777" w:rsidR="004647B9" w:rsidRPr="00357D61" w:rsidRDefault="00E2436F" w:rsidP="0044211A">
      <w:pPr>
        <w:numPr>
          <w:ilvl w:val="1"/>
          <w:numId w:val="559"/>
        </w:numPr>
        <w:tabs>
          <w:tab w:val="left" w:pos="2194"/>
        </w:tabs>
        <w:ind w:left="1620" w:hanging="5"/>
        <w:jc w:val="both"/>
        <w:rPr>
          <w:rFonts w:eastAsia="Times New Roman"/>
          <w:sz w:val="24"/>
          <w:szCs w:val="24"/>
        </w:rPr>
      </w:pPr>
      <w:r w:rsidRPr="00357D61">
        <w:rPr>
          <w:rFonts w:eastAsia="Times New Roman"/>
          <w:sz w:val="24"/>
          <w:szCs w:val="24"/>
          <w:u w:val="single"/>
        </w:rPr>
        <w:t>Disinfection Benchmarking</w:t>
      </w:r>
      <w:r w:rsidRPr="00357D61">
        <w:rPr>
          <w:rFonts w:eastAsia="Times New Roman"/>
          <w:sz w:val="24"/>
          <w:szCs w:val="24"/>
        </w:rPr>
        <w:t>. The benchmark (including raw data and analysis), conducted in accordance with 310 CMR 22.20D(3)(c) and 22.20F(5)(a</w:t>
      </w:r>
      <w:r w:rsidRPr="00357D61" w:rsidDel="007B206E">
        <w:rPr>
          <w:rFonts w:eastAsia="Times New Roman"/>
          <w:sz w:val="24"/>
          <w:szCs w:val="24"/>
        </w:rPr>
        <w:t xml:space="preserve">) </w:t>
      </w:r>
      <w:r w:rsidRPr="00357D61">
        <w:rPr>
          <w:rFonts w:eastAsia="Times New Roman"/>
          <w:sz w:val="24"/>
          <w:szCs w:val="24"/>
        </w:rPr>
        <w:t>through (e), must be kept indefinitely.</w:t>
      </w:r>
    </w:p>
    <w:p w14:paraId="281A584C" w14:textId="77777777" w:rsidR="004647B9" w:rsidRPr="00357D61" w:rsidRDefault="004647B9" w:rsidP="0044211A">
      <w:pPr>
        <w:rPr>
          <w:rFonts w:eastAsia="Times New Roman"/>
          <w:sz w:val="24"/>
          <w:szCs w:val="24"/>
        </w:rPr>
      </w:pPr>
    </w:p>
    <w:p w14:paraId="281A584D" w14:textId="77777777" w:rsidR="004647B9" w:rsidRPr="00357D61" w:rsidRDefault="00E2436F" w:rsidP="0044211A">
      <w:pPr>
        <w:numPr>
          <w:ilvl w:val="0"/>
          <w:numId w:val="559"/>
        </w:numPr>
        <w:tabs>
          <w:tab w:val="left" w:pos="1811"/>
        </w:tabs>
        <w:ind w:left="1260"/>
        <w:jc w:val="both"/>
        <w:rPr>
          <w:rFonts w:eastAsia="Times New Roman"/>
          <w:sz w:val="24"/>
          <w:szCs w:val="24"/>
        </w:rPr>
      </w:pPr>
      <w:r w:rsidRPr="00357D61">
        <w:rPr>
          <w:rFonts w:eastAsia="Times New Roman"/>
          <w:sz w:val="24"/>
          <w:szCs w:val="24"/>
        </w:rPr>
        <w:t>Copies of monitoring plans developed pursuant to 310 CMR 22.07F shall be kept for the same period of time as the records of analyses taken under the plan are required to be kept under 310 CMR 22.17(1), except as specified elsewhere in 310 CMR 22.17.</w:t>
      </w:r>
    </w:p>
    <w:p w14:paraId="281A584E" w14:textId="77777777" w:rsidR="004647B9" w:rsidRPr="00357D61" w:rsidRDefault="004647B9" w:rsidP="0044211A">
      <w:pPr>
        <w:rPr>
          <w:sz w:val="24"/>
          <w:szCs w:val="24"/>
        </w:rPr>
      </w:pPr>
    </w:p>
    <w:p w14:paraId="281A584F" w14:textId="77777777" w:rsidR="004647B9" w:rsidRPr="00357D61" w:rsidRDefault="00E2436F" w:rsidP="0044211A">
      <w:pPr>
        <w:tabs>
          <w:tab w:val="left" w:pos="760"/>
        </w:tabs>
        <w:rPr>
          <w:sz w:val="24"/>
          <w:szCs w:val="24"/>
        </w:rPr>
      </w:pPr>
      <w:r w:rsidRPr="00357D61">
        <w:rPr>
          <w:rFonts w:eastAsia="Times New Roman"/>
          <w:sz w:val="24"/>
          <w:szCs w:val="24"/>
          <w:u w:val="single"/>
        </w:rPr>
        <w:t>22.18:</w:t>
      </w:r>
      <w:r w:rsidRPr="00357D61">
        <w:rPr>
          <w:rFonts w:eastAsia="Times New Roman"/>
          <w:sz w:val="24"/>
          <w:szCs w:val="24"/>
          <w:u w:val="single"/>
        </w:rPr>
        <w:tab/>
        <w:t>Right of Entry</w:t>
      </w:r>
    </w:p>
    <w:p w14:paraId="281A5850" w14:textId="77777777" w:rsidR="004647B9" w:rsidRPr="00357D61" w:rsidRDefault="004647B9" w:rsidP="0044211A">
      <w:pPr>
        <w:rPr>
          <w:sz w:val="24"/>
          <w:szCs w:val="24"/>
        </w:rPr>
      </w:pPr>
    </w:p>
    <w:p w14:paraId="281A5851" w14:textId="77777777" w:rsidR="004647B9" w:rsidRPr="00357D61" w:rsidRDefault="00E2436F" w:rsidP="0044211A">
      <w:pPr>
        <w:ind w:left="1260"/>
        <w:jc w:val="both"/>
        <w:rPr>
          <w:sz w:val="24"/>
          <w:szCs w:val="24"/>
        </w:rPr>
      </w:pPr>
      <w:r w:rsidRPr="00357D61">
        <w:rPr>
          <w:rFonts w:eastAsia="Times New Roman"/>
          <w:sz w:val="24"/>
          <w:szCs w:val="24"/>
        </w:rPr>
        <w:t>All suppliers of water shall authorize agents and employees of the Commonwealth, upon presentation of their credentials, to enter their premises, excluding dwelling places, without a warrant for the purpose of inspecting, surveying and sampling public water systems, whether or not the Commonwealth has evidence that the system is in violation of an applicable legal requirement.</w:t>
      </w:r>
    </w:p>
    <w:p w14:paraId="281A5852" w14:textId="77777777" w:rsidR="004647B9" w:rsidRPr="00357D61" w:rsidRDefault="004647B9" w:rsidP="0044211A">
      <w:pPr>
        <w:rPr>
          <w:sz w:val="24"/>
          <w:szCs w:val="24"/>
        </w:rPr>
      </w:pPr>
    </w:p>
    <w:p w14:paraId="281A5853" w14:textId="77777777" w:rsidR="004647B9" w:rsidRPr="00357D61" w:rsidRDefault="00E2436F" w:rsidP="0044211A">
      <w:pPr>
        <w:tabs>
          <w:tab w:val="left" w:pos="760"/>
        </w:tabs>
        <w:rPr>
          <w:sz w:val="24"/>
          <w:szCs w:val="24"/>
        </w:rPr>
      </w:pPr>
      <w:r w:rsidRPr="00357D61">
        <w:rPr>
          <w:rFonts w:eastAsia="Times New Roman"/>
          <w:sz w:val="24"/>
          <w:szCs w:val="24"/>
          <w:u w:val="single"/>
        </w:rPr>
        <w:t>22.19:</w:t>
      </w:r>
      <w:r w:rsidRPr="00357D61">
        <w:rPr>
          <w:sz w:val="24"/>
          <w:szCs w:val="24"/>
        </w:rPr>
        <w:tab/>
      </w:r>
      <w:r w:rsidRPr="00357D61">
        <w:rPr>
          <w:rFonts w:eastAsia="Times New Roman"/>
          <w:sz w:val="24"/>
          <w:szCs w:val="24"/>
          <w:u w:val="single"/>
        </w:rPr>
        <w:t>Distribution System Requirements</w:t>
      </w:r>
    </w:p>
    <w:p w14:paraId="281A5854" w14:textId="77777777" w:rsidR="004647B9" w:rsidRPr="00357D61" w:rsidRDefault="004647B9" w:rsidP="0044211A">
      <w:pPr>
        <w:rPr>
          <w:sz w:val="24"/>
          <w:szCs w:val="24"/>
        </w:rPr>
      </w:pPr>
    </w:p>
    <w:p w14:paraId="281A5855" w14:textId="77777777" w:rsidR="004647B9" w:rsidRPr="00357D61" w:rsidRDefault="00E2436F" w:rsidP="0044211A">
      <w:pPr>
        <w:ind w:left="1260"/>
        <w:jc w:val="both"/>
        <w:rPr>
          <w:sz w:val="24"/>
          <w:szCs w:val="24"/>
        </w:rPr>
      </w:pPr>
      <w:r w:rsidRPr="00357D61">
        <w:rPr>
          <w:rFonts w:eastAsia="Times New Roman"/>
          <w:sz w:val="24"/>
          <w:szCs w:val="24"/>
        </w:rPr>
        <w:t>In order to protect the distribution system of a public water system from contamination the following requirements shall be applied:</w:t>
      </w:r>
    </w:p>
    <w:p w14:paraId="281A5856" w14:textId="77777777" w:rsidR="004647B9" w:rsidRPr="00357D61" w:rsidRDefault="004647B9" w:rsidP="0044211A">
      <w:pPr>
        <w:rPr>
          <w:sz w:val="24"/>
          <w:szCs w:val="24"/>
        </w:rPr>
      </w:pPr>
    </w:p>
    <w:p w14:paraId="281A5857" w14:textId="77777777" w:rsidR="004647B9" w:rsidRPr="00357D61" w:rsidRDefault="00E2436F" w:rsidP="0044211A">
      <w:pPr>
        <w:numPr>
          <w:ilvl w:val="0"/>
          <w:numId w:val="560"/>
        </w:numPr>
        <w:tabs>
          <w:tab w:val="left" w:pos="1710"/>
        </w:tabs>
        <w:ind w:left="1260"/>
        <w:rPr>
          <w:rFonts w:eastAsia="Times New Roman"/>
          <w:sz w:val="24"/>
          <w:szCs w:val="24"/>
        </w:rPr>
      </w:pPr>
      <w:r w:rsidRPr="00357D61">
        <w:rPr>
          <w:rFonts w:eastAsia="Times New Roman"/>
          <w:sz w:val="24"/>
          <w:szCs w:val="24"/>
        </w:rPr>
        <w:t>All service connections shall have a minimum residual water pressure at street level of at least 20 pounds per square inch under all design conditions of flow.</w:t>
      </w:r>
    </w:p>
    <w:p w14:paraId="281A5858" w14:textId="77777777" w:rsidR="004647B9" w:rsidRPr="00357D61" w:rsidRDefault="004647B9" w:rsidP="0044211A">
      <w:pPr>
        <w:rPr>
          <w:rFonts w:eastAsia="Times New Roman"/>
          <w:sz w:val="24"/>
          <w:szCs w:val="24"/>
        </w:rPr>
      </w:pPr>
    </w:p>
    <w:p w14:paraId="281A5859" w14:textId="77777777" w:rsidR="004647B9" w:rsidRPr="00357D61" w:rsidRDefault="00E2436F" w:rsidP="0044211A">
      <w:pPr>
        <w:numPr>
          <w:ilvl w:val="0"/>
          <w:numId w:val="560"/>
        </w:numPr>
        <w:tabs>
          <w:tab w:val="left" w:pos="1741"/>
        </w:tabs>
        <w:ind w:left="1260"/>
        <w:jc w:val="both"/>
        <w:rPr>
          <w:rFonts w:eastAsia="Times New Roman"/>
          <w:sz w:val="24"/>
          <w:szCs w:val="24"/>
        </w:rPr>
      </w:pPr>
      <w:r w:rsidRPr="00357D61">
        <w:rPr>
          <w:rFonts w:eastAsia="Times New Roman"/>
          <w:sz w:val="24"/>
          <w:szCs w:val="24"/>
          <w:u w:val="single"/>
        </w:rPr>
        <w:t>Water Storage Tanks</w:t>
      </w:r>
      <w:r w:rsidRPr="00357D61">
        <w:rPr>
          <w:rFonts w:eastAsia="Times New Roman"/>
          <w:sz w:val="24"/>
          <w:szCs w:val="24"/>
        </w:rPr>
        <w:t>. All water storage tanks used for the storage of ground or treated water which are connected to a distribution system of a public water system shall be covered and constructed and located so as to adequately protect the water from contamination. Tank vents and overflow pipes shall be properly screened to prevent contamination and not be directly connected to sanitary sewers or to storm drainage systems. Sewers, drains, standing water and similar sources of possible contamination must be kept at least 50 feet from the tank. Water main pipe, pressure tested to 50 pounds per square inch without leakage, may be used for gravity sewers at distances greater than 20 feet and less than 50 feet from said water storage tank.</w:t>
      </w:r>
    </w:p>
    <w:p w14:paraId="281A585A" w14:textId="77777777" w:rsidR="004647B9" w:rsidRPr="00357D61" w:rsidRDefault="004647B9" w:rsidP="0044211A">
      <w:pPr>
        <w:rPr>
          <w:rFonts w:eastAsia="Times New Roman"/>
          <w:sz w:val="24"/>
          <w:szCs w:val="24"/>
        </w:rPr>
      </w:pPr>
    </w:p>
    <w:p w14:paraId="281A585B" w14:textId="77777777" w:rsidR="004647B9" w:rsidRDefault="00E2436F" w:rsidP="0044211A">
      <w:pPr>
        <w:numPr>
          <w:ilvl w:val="0"/>
          <w:numId w:val="560"/>
        </w:numPr>
        <w:tabs>
          <w:tab w:val="left" w:pos="1800"/>
        </w:tabs>
        <w:ind w:left="1260"/>
        <w:jc w:val="both"/>
        <w:rPr>
          <w:rFonts w:eastAsia="Times New Roman"/>
          <w:sz w:val="24"/>
          <w:szCs w:val="24"/>
        </w:rPr>
      </w:pPr>
      <w:r w:rsidRPr="00357D61">
        <w:rPr>
          <w:rFonts w:eastAsia="Times New Roman"/>
          <w:sz w:val="24"/>
          <w:szCs w:val="24"/>
          <w:u w:val="single"/>
        </w:rPr>
        <w:t>Storage Reservoirs</w:t>
      </w:r>
      <w:r w:rsidRPr="00357D61">
        <w:rPr>
          <w:rFonts w:eastAsia="Times New Roman"/>
          <w:sz w:val="24"/>
          <w:szCs w:val="24"/>
        </w:rPr>
        <w:t>. Open or uncovered earth embankment or reinforced concrete reservoirs, which are connected to a distribution system of a public water system, and used to store ground or treated water whose intended purpose is to equalize hourly and daily fluctuations of water, may continue to be used provided that said facility complies with the requirements of 310 CMR 22.20A</w:t>
      </w:r>
      <w:r>
        <w:rPr>
          <w:rFonts w:eastAsia="Times New Roman"/>
          <w:sz w:val="24"/>
          <w:szCs w:val="24"/>
        </w:rPr>
        <w:t>.</w:t>
      </w:r>
    </w:p>
    <w:p w14:paraId="281A585C" w14:textId="77777777" w:rsidR="004647B9" w:rsidRDefault="004647B9" w:rsidP="0044211A">
      <w:pPr>
        <w:sectPr w:rsidR="004647B9" w:rsidSect="00EF630C">
          <w:pgSz w:w="12240" w:h="20180"/>
          <w:pgMar w:top="708" w:right="1440" w:bottom="1440" w:left="600" w:header="0" w:footer="0" w:gutter="0"/>
          <w:cols w:space="720"/>
        </w:sectPr>
      </w:pPr>
    </w:p>
    <w:p w14:paraId="281A585D" w14:textId="77777777" w:rsidR="004647B9" w:rsidRDefault="00E2436F">
      <w:pPr>
        <w:tabs>
          <w:tab w:val="left" w:pos="160"/>
        </w:tabs>
        <w:jc w:val="center"/>
        <w:rPr>
          <w:sz w:val="20"/>
          <w:szCs w:val="20"/>
        </w:rPr>
      </w:pPr>
      <w:bookmarkStart w:id="249" w:name="page253"/>
      <w:bookmarkEnd w:id="24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85E" w14:textId="77777777" w:rsidR="004647B9" w:rsidRDefault="004647B9" w:rsidP="0044211A">
      <w:pPr>
        <w:rPr>
          <w:sz w:val="20"/>
          <w:szCs w:val="20"/>
        </w:rPr>
      </w:pPr>
    </w:p>
    <w:p w14:paraId="281A585F" w14:textId="77777777" w:rsidR="004647B9" w:rsidRDefault="004647B9" w:rsidP="0044211A">
      <w:pPr>
        <w:rPr>
          <w:sz w:val="20"/>
          <w:szCs w:val="20"/>
        </w:rPr>
      </w:pPr>
    </w:p>
    <w:p w14:paraId="281A5860" w14:textId="77777777" w:rsidR="004647B9" w:rsidRPr="00357D61" w:rsidRDefault="00E2436F" w:rsidP="0044211A">
      <w:pPr>
        <w:tabs>
          <w:tab w:val="left" w:pos="760"/>
        </w:tabs>
        <w:rPr>
          <w:sz w:val="24"/>
          <w:szCs w:val="24"/>
        </w:rPr>
      </w:pPr>
      <w:r w:rsidRPr="00357D61">
        <w:rPr>
          <w:rFonts w:eastAsia="Times New Roman"/>
          <w:sz w:val="24"/>
          <w:szCs w:val="24"/>
        </w:rPr>
        <w:t>22.19:</w:t>
      </w:r>
      <w:r w:rsidRPr="00357D61">
        <w:rPr>
          <w:rFonts w:eastAsia="Times New Roman"/>
          <w:sz w:val="24"/>
          <w:szCs w:val="24"/>
        </w:rPr>
        <w:tab/>
        <w:t>continued</w:t>
      </w:r>
    </w:p>
    <w:p w14:paraId="281A5861" w14:textId="77777777" w:rsidR="004647B9" w:rsidRPr="0044211A" w:rsidRDefault="004647B9" w:rsidP="0044211A">
      <w:pPr>
        <w:rPr>
          <w:sz w:val="20"/>
          <w:szCs w:val="20"/>
        </w:rPr>
      </w:pPr>
    </w:p>
    <w:p w14:paraId="281A5862" w14:textId="77777777" w:rsidR="004647B9" w:rsidRPr="00357D61" w:rsidRDefault="00E2436F" w:rsidP="0044211A">
      <w:pPr>
        <w:numPr>
          <w:ilvl w:val="0"/>
          <w:numId w:val="561"/>
        </w:numPr>
        <w:tabs>
          <w:tab w:val="left" w:pos="1848"/>
        </w:tabs>
        <w:ind w:left="1280" w:firstLine="9"/>
        <w:jc w:val="both"/>
        <w:rPr>
          <w:rFonts w:eastAsia="Times New Roman"/>
          <w:sz w:val="24"/>
          <w:szCs w:val="24"/>
        </w:rPr>
      </w:pPr>
      <w:r w:rsidRPr="00357D61">
        <w:rPr>
          <w:rFonts w:eastAsia="Times New Roman"/>
          <w:sz w:val="24"/>
          <w:szCs w:val="24"/>
          <w:u w:val="single"/>
        </w:rPr>
        <w:t>Construction Materials Evaluation</w:t>
      </w:r>
      <w:r w:rsidRPr="00357D61">
        <w:rPr>
          <w:rFonts w:eastAsia="Times New Roman"/>
          <w:sz w:val="24"/>
          <w:szCs w:val="24"/>
        </w:rPr>
        <w:t>. Community water supply systems shall identify whether the following construction materials are present in their distribution system and report to the Department:</w:t>
      </w:r>
    </w:p>
    <w:p w14:paraId="281A5864" w14:textId="77777777" w:rsidR="004647B9" w:rsidRPr="00357D61" w:rsidRDefault="00E2436F" w:rsidP="0044211A">
      <w:pPr>
        <w:numPr>
          <w:ilvl w:val="1"/>
          <w:numId w:val="561"/>
        </w:numPr>
        <w:tabs>
          <w:tab w:val="left" w:pos="2120"/>
        </w:tabs>
        <w:ind w:left="1640" w:firstLine="4"/>
        <w:rPr>
          <w:rFonts w:eastAsia="Times New Roman"/>
          <w:sz w:val="24"/>
          <w:szCs w:val="24"/>
        </w:rPr>
      </w:pPr>
      <w:r w:rsidRPr="00357D61">
        <w:rPr>
          <w:rFonts w:eastAsia="Times New Roman"/>
          <w:sz w:val="24"/>
          <w:szCs w:val="24"/>
        </w:rPr>
        <w:t>Lead from piping, solder, caulking, interior lining of distribution mains, alloys and home plumbing;</w:t>
      </w:r>
    </w:p>
    <w:p w14:paraId="281A5865" w14:textId="77777777" w:rsidR="004647B9" w:rsidRPr="00357D61" w:rsidRDefault="00E2436F" w:rsidP="0044211A">
      <w:pPr>
        <w:numPr>
          <w:ilvl w:val="1"/>
          <w:numId w:val="561"/>
        </w:numPr>
        <w:tabs>
          <w:tab w:val="left" w:pos="2100"/>
        </w:tabs>
        <w:ind w:left="2100" w:hanging="456"/>
        <w:rPr>
          <w:rFonts w:eastAsia="Times New Roman"/>
          <w:sz w:val="24"/>
          <w:szCs w:val="24"/>
        </w:rPr>
      </w:pPr>
      <w:r w:rsidRPr="00357D61">
        <w:rPr>
          <w:rFonts w:eastAsia="Times New Roman"/>
          <w:sz w:val="24"/>
          <w:szCs w:val="24"/>
        </w:rPr>
        <w:t>Copper from piping and alloys, service lines, and home plumbing;</w:t>
      </w:r>
    </w:p>
    <w:p w14:paraId="281A5867" w14:textId="77777777" w:rsidR="004647B9" w:rsidRPr="00357D61" w:rsidRDefault="00E2436F" w:rsidP="0044211A">
      <w:pPr>
        <w:numPr>
          <w:ilvl w:val="1"/>
          <w:numId w:val="561"/>
        </w:numPr>
        <w:tabs>
          <w:tab w:val="left" w:pos="2080"/>
        </w:tabs>
        <w:ind w:left="2080" w:hanging="436"/>
        <w:rPr>
          <w:rFonts w:eastAsia="Times New Roman"/>
          <w:sz w:val="24"/>
          <w:szCs w:val="24"/>
        </w:rPr>
      </w:pPr>
      <w:r w:rsidRPr="00357D61">
        <w:rPr>
          <w:rFonts w:eastAsia="Times New Roman"/>
          <w:sz w:val="24"/>
          <w:szCs w:val="24"/>
        </w:rPr>
        <w:t>Galvanized piping, service lines, and home plumbing;</w:t>
      </w:r>
    </w:p>
    <w:p w14:paraId="281A5869" w14:textId="77777777" w:rsidR="004647B9" w:rsidRPr="00357D61" w:rsidRDefault="00E2436F" w:rsidP="0044211A">
      <w:pPr>
        <w:numPr>
          <w:ilvl w:val="1"/>
          <w:numId w:val="561"/>
        </w:numPr>
        <w:tabs>
          <w:tab w:val="left" w:pos="2100"/>
        </w:tabs>
        <w:ind w:left="2100" w:hanging="456"/>
        <w:rPr>
          <w:rFonts w:eastAsia="Times New Roman"/>
          <w:sz w:val="24"/>
          <w:szCs w:val="24"/>
        </w:rPr>
      </w:pPr>
      <w:r w:rsidRPr="00357D61">
        <w:rPr>
          <w:rFonts w:eastAsia="Times New Roman"/>
          <w:sz w:val="24"/>
          <w:szCs w:val="24"/>
        </w:rPr>
        <w:t>Ferrous piping materials such as cast iron and steel; and</w:t>
      </w:r>
    </w:p>
    <w:p w14:paraId="281A586B" w14:textId="77777777" w:rsidR="004647B9" w:rsidRPr="00357D61" w:rsidRDefault="00E2436F" w:rsidP="0044211A">
      <w:pPr>
        <w:numPr>
          <w:ilvl w:val="1"/>
          <w:numId w:val="561"/>
        </w:numPr>
        <w:tabs>
          <w:tab w:val="left" w:pos="2080"/>
        </w:tabs>
        <w:ind w:left="2080" w:hanging="436"/>
        <w:rPr>
          <w:rFonts w:eastAsia="Times New Roman"/>
          <w:sz w:val="24"/>
          <w:szCs w:val="24"/>
        </w:rPr>
      </w:pPr>
      <w:r w:rsidRPr="00357D61">
        <w:rPr>
          <w:rFonts w:eastAsia="Times New Roman"/>
          <w:sz w:val="24"/>
          <w:szCs w:val="24"/>
        </w:rPr>
        <w:t>Asbestos cement pipe.</w:t>
      </w:r>
    </w:p>
    <w:p w14:paraId="281A586C" w14:textId="77777777" w:rsidR="004647B9" w:rsidRPr="00357D61" w:rsidRDefault="004647B9" w:rsidP="0044211A">
      <w:pPr>
        <w:rPr>
          <w:rFonts w:eastAsia="Times New Roman"/>
          <w:sz w:val="24"/>
          <w:szCs w:val="24"/>
        </w:rPr>
      </w:pPr>
    </w:p>
    <w:p w14:paraId="281A586D" w14:textId="77777777" w:rsidR="004647B9" w:rsidRPr="00357D61" w:rsidRDefault="00E2436F" w:rsidP="0044211A">
      <w:pPr>
        <w:numPr>
          <w:ilvl w:val="0"/>
          <w:numId w:val="561"/>
        </w:numPr>
        <w:tabs>
          <w:tab w:val="left" w:pos="1894"/>
        </w:tabs>
        <w:ind w:left="1280" w:firstLine="9"/>
        <w:jc w:val="both"/>
        <w:rPr>
          <w:rFonts w:eastAsia="Times New Roman"/>
          <w:sz w:val="24"/>
          <w:szCs w:val="24"/>
        </w:rPr>
      </w:pPr>
      <w:r w:rsidRPr="00357D61">
        <w:rPr>
          <w:rFonts w:eastAsia="Times New Roman"/>
          <w:sz w:val="24"/>
          <w:szCs w:val="24"/>
          <w:u w:val="single"/>
        </w:rPr>
        <w:t>Identification and Reporting of Other Materials of Construction</w:t>
      </w:r>
      <w:r w:rsidRPr="00357D61">
        <w:rPr>
          <w:rFonts w:eastAsia="Times New Roman"/>
          <w:sz w:val="24"/>
          <w:szCs w:val="24"/>
        </w:rPr>
        <w:t>. In addition, the Department may require identification and reporting of other materials of construction present in distribution systems that may contribute contaminants to the drinking water such as:</w:t>
      </w:r>
    </w:p>
    <w:p w14:paraId="281A586F" w14:textId="77777777" w:rsidR="004647B9" w:rsidRPr="00357D61" w:rsidRDefault="00E2436F" w:rsidP="0044211A">
      <w:pPr>
        <w:numPr>
          <w:ilvl w:val="1"/>
          <w:numId w:val="561"/>
        </w:numPr>
        <w:tabs>
          <w:tab w:val="left" w:pos="2080"/>
        </w:tabs>
        <w:ind w:left="2080" w:hanging="436"/>
        <w:rPr>
          <w:rFonts w:eastAsia="Times New Roman"/>
          <w:sz w:val="24"/>
          <w:szCs w:val="24"/>
        </w:rPr>
      </w:pPr>
      <w:r w:rsidRPr="00357D61">
        <w:rPr>
          <w:rFonts w:eastAsia="Times New Roman"/>
          <w:sz w:val="24"/>
          <w:szCs w:val="24"/>
        </w:rPr>
        <w:t>Vinyl lined asbestos cement pipe; and</w:t>
      </w:r>
    </w:p>
    <w:p w14:paraId="281A5871" w14:textId="77777777" w:rsidR="004647B9" w:rsidRPr="00357D61" w:rsidRDefault="00E2436F" w:rsidP="0044211A">
      <w:pPr>
        <w:numPr>
          <w:ilvl w:val="1"/>
          <w:numId w:val="561"/>
        </w:numPr>
        <w:tabs>
          <w:tab w:val="left" w:pos="2100"/>
        </w:tabs>
        <w:ind w:left="2100" w:hanging="456"/>
        <w:rPr>
          <w:rFonts w:eastAsia="Times New Roman"/>
          <w:sz w:val="24"/>
          <w:szCs w:val="24"/>
        </w:rPr>
      </w:pPr>
      <w:r w:rsidRPr="00357D61">
        <w:rPr>
          <w:rFonts w:eastAsia="Times New Roman"/>
          <w:sz w:val="24"/>
          <w:szCs w:val="24"/>
        </w:rPr>
        <w:t>Coal tar lined pipes and tanks.</w:t>
      </w:r>
    </w:p>
    <w:p w14:paraId="281A5872" w14:textId="77777777" w:rsidR="004647B9" w:rsidRPr="00357D61" w:rsidRDefault="004647B9" w:rsidP="0044211A">
      <w:pPr>
        <w:rPr>
          <w:rFonts w:eastAsia="Times New Roman"/>
          <w:sz w:val="24"/>
          <w:szCs w:val="24"/>
        </w:rPr>
      </w:pPr>
    </w:p>
    <w:p w14:paraId="281A5873" w14:textId="77777777" w:rsidR="004647B9" w:rsidRPr="00357D61" w:rsidRDefault="00E2436F" w:rsidP="0044211A">
      <w:pPr>
        <w:numPr>
          <w:ilvl w:val="0"/>
          <w:numId w:val="561"/>
        </w:numPr>
        <w:tabs>
          <w:tab w:val="left" w:pos="1689"/>
        </w:tabs>
        <w:ind w:left="1280" w:firstLine="9"/>
        <w:jc w:val="both"/>
        <w:rPr>
          <w:rFonts w:eastAsia="Times New Roman"/>
          <w:sz w:val="24"/>
          <w:szCs w:val="24"/>
        </w:rPr>
      </w:pPr>
      <w:r w:rsidRPr="00357D61">
        <w:rPr>
          <w:rFonts w:eastAsia="Times New Roman"/>
          <w:sz w:val="24"/>
          <w:szCs w:val="24"/>
        </w:rPr>
        <w:t>All suppliers of water shall develop, update and maintain maps and any relevant associated databases of their water system distribution system that include locations of wells, surface water intakes, treatment facilities, pumping stations, storage tanks, hydrants, direction of flow, pressure zones, sample collection points and other information, such as piping materials and pipe sizes, as requested by the Department. The supplier shall make these maps available to the Department upon request.</w:t>
      </w:r>
    </w:p>
    <w:p w14:paraId="281A5874" w14:textId="77777777" w:rsidR="004647B9" w:rsidRPr="00357D61" w:rsidRDefault="004647B9" w:rsidP="0044211A">
      <w:pPr>
        <w:rPr>
          <w:sz w:val="24"/>
          <w:szCs w:val="24"/>
        </w:rPr>
      </w:pPr>
    </w:p>
    <w:p w14:paraId="281A5875" w14:textId="77777777" w:rsidR="004647B9" w:rsidRPr="00357D61" w:rsidRDefault="00E2436F" w:rsidP="0044211A">
      <w:pPr>
        <w:tabs>
          <w:tab w:val="left" w:pos="960"/>
        </w:tabs>
        <w:ind w:left="20"/>
        <w:rPr>
          <w:sz w:val="24"/>
          <w:szCs w:val="24"/>
        </w:rPr>
      </w:pPr>
      <w:r w:rsidRPr="00357D61">
        <w:rPr>
          <w:rFonts w:eastAsia="Times New Roman"/>
          <w:sz w:val="24"/>
          <w:szCs w:val="24"/>
          <w:u w:val="single"/>
        </w:rPr>
        <w:t>22.20A:</w:t>
      </w:r>
      <w:r w:rsidRPr="00357D61">
        <w:rPr>
          <w:rFonts w:eastAsia="Times New Roman"/>
          <w:sz w:val="24"/>
          <w:szCs w:val="24"/>
          <w:u w:val="single"/>
        </w:rPr>
        <w:tab/>
        <w:t>Surface Water Treatment Rule</w:t>
      </w:r>
    </w:p>
    <w:p w14:paraId="281A5876" w14:textId="77777777" w:rsidR="004647B9" w:rsidRPr="00357D61" w:rsidRDefault="004647B9" w:rsidP="0044211A">
      <w:pPr>
        <w:rPr>
          <w:sz w:val="24"/>
          <w:szCs w:val="24"/>
        </w:rPr>
      </w:pPr>
    </w:p>
    <w:p w14:paraId="281A5877" w14:textId="77777777" w:rsidR="004647B9" w:rsidRPr="00357D61" w:rsidRDefault="00E2436F" w:rsidP="0044211A">
      <w:pPr>
        <w:numPr>
          <w:ilvl w:val="0"/>
          <w:numId w:val="562"/>
        </w:numPr>
        <w:tabs>
          <w:tab w:val="left" w:pos="1740"/>
        </w:tabs>
        <w:ind w:left="1740" w:hanging="451"/>
        <w:rPr>
          <w:rFonts w:eastAsia="Times New Roman"/>
          <w:sz w:val="24"/>
          <w:szCs w:val="24"/>
        </w:rPr>
      </w:pPr>
      <w:r w:rsidRPr="00357D61">
        <w:rPr>
          <w:rFonts w:eastAsia="Times New Roman"/>
          <w:sz w:val="24"/>
          <w:szCs w:val="24"/>
          <w:u w:val="single"/>
        </w:rPr>
        <w:t>General Requirements</w:t>
      </w:r>
      <w:r w:rsidRPr="00357D61">
        <w:rPr>
          <w:rFonts w:eastAsia="Times New Roman"/>
          <w:sz w:val="24"/>
          <w:szCs w:val="24"/>
        </w:rPr>
        <w:t>.</w:t>
      </w:r>
    </w:p>
    <w:p w14:paraId="281A5879" w14:textId="77777777" w:rsidR="004647B9" w:rsidRPr="00357D61" w:rsidRDefault="00E2436F" w:rsidP="0044211A">
      <w:pPr>
        <w:numPr>
          <w:ilvl w:val="1"/>
          <w:numId w:val="562"/>
        </w:numPr>
        <w:tabs>
          <w:tab w:val="left" w:pos="2041"/>
        </w:tabs>
        <w:ind w:left="1640" w:firstLine="4"/>
        <w:jc w:val="both"/>
        <w:rPr>
          <w:rFonts w:eastAsia="Times New Roman"/>
          <w:sz w:val="24"/>
          <w:szCs w:val="24"/>
        </w:rPr>
      </w:pPr>
      <w:r w:rsidRPr="00357D61">
        <w:rPr>
          <w:rFonts w:eastAsia="Times New Roman"/>
          <w:sz w:val="24"/>
          <w:szCs w:val="24"/>
        </w:rPr>
        <w:t xml:space="preserve">310 CMR 22.20A establishes criteria under which Filtration is required as a Treatment Technique for Public Water Systems supplied by Surface Water Sources and groundwater sources under the direct influence of surface water. In addition, 310 CMR 22.20A establishes Treatment Technique requirements in </w:t>
      </w:r>
      <w:r w:rsidRPr="00357D61">
        <w:rPr>
          <w:rFonts w:eastAsia="Times New Roman"/>
          <w:i/>
          <w:iCs/>
          <w:sz w:val="24"/>
          <w:szCs w:val="24"/>
        </w:rPr>
        <w:t>lieu</w:t>
      </w:r>
      <w:r w:rsidRPr="00357D61">
        <w:rPr>
          <w:rFonts w:eastAsia="Times New Roman"/>
          <w:sz w:val="24"/>
          <w:szCs w:val="24"/>
        </w:rPr>
        <w:t xml:space="preserve"> of Maximum Contaminant Levels for the following contaminants:</w:t>
      </w:r>
    </w:p>
    <w:p w14:paraId="281A587B" w14:textId="77777777" w:rsidR="004647B9" w:rsidRDefault="00E2436F" w:rsidP="0044211A">
      <w:pPr>
        <w:numPr>
          <w:ilvl w:val="2"/>
          <w:numId w:val="562"/>
        </w:numPr>
        <w:tabs>
          <w:tab w:val="left" w:pos="2360"/>
        </w:tabs>
        <w:ind w:left="2360" w:hanging="356"/>
        <w:rPr>
          <w:rFonts w:eastAsia="Times New Roman"/>
          <w:sz w:val="24"/>
          <w:szCs w:val="24"/>
        </w:rPr>
      </w:pPr>
      <w:r>
        <w:rPr>
          <w:rFonts w:eastAsia="Times New Roman"/>
          <w:i/>
          <w:iCs/>
          <w:sz w:val="24"/>
          <w:szCs w:val="24"/>
        </w:rPr>
        <w:t>Giardia lamblia</w:t>
      </w:r>
      <w:r>
        <w:rPr>
          <w:rFonts w:eastAsia="Times New Roman"/>
          <w:sz w:val="24"/>
          <w:szCs w:val="24"/>
        </w:rPr>
        <w:t>;</w:t>
      </w:r>
    </w:p>
    <w:p w14:paraId="281A587D" w14:textId="77777777" w:rsidR="004647B9" w:rsidRDefault="00E2436F" w:rsidP="0044211A">
      <w:pPr>
        <w:numPr>
          <w:ilvl w:val="2"/>
          <w:numId w:val="562"/>
        </w:numPr>
        <w:tabs>
          <w:tab w:val="left" w:pos="2360"/>
        </w:tabs>
        <w:ind w:left="2360" w:hanging="356"/>
        <w:rPr>
          <w:rFonts w:eastAsia="Times New Roman"/>
          <w:sz w:val="24"/>
          <w:szCs w:val="24"/>
        </w:rPr>
      </w:pPr>
      <w:r>
        <w:rPr>
          <w:rFonts w:eastAsia="Times New Roman"/>
          <w:sz w:val="24"/>
          <w:szCs w:val="24"/>
        </w:rPr>
        <w:t>Viruses;</w:t>
      </w:r>
    </w:p>
    <w:p w14:paraId="281A587F" w14:textId="77777777" w:rsidR="004647B9" w:rsidRDefault="00E2436F" w:rsidP="0044211A">
      <w:pPr>
        <w:numPr>
          <w:ilvl w:val="2"/>
          <w:numId w:val="562"/>
        </w:numPr>
        <w:tabs>
          <w:tab w:val="left" w:pos="2360"/>
        </w:tabs>
        <w:ind w:left="2360" w:hanging="356"/>
        <w:rPr>
          <w:rFonts w:eastAsia="Times New Roman"/>
          <w:sz w:val="24"/>
          <w:szCs w:val="24"/>
        </w:rPr>
      </w:pPr>
      <w:r>
        <w:rPr>
          <w:rFonts w:eastAsia="Times New Roman"/>
          <w:sz w:val="24"/>
          <w:szCs w:val="24"/>
        </w:rPr>
        <w:t>Heterotrophic plate count bacteria;</w:t>
      </w:r>
    </w:p>
    <w:p w14:paraId="281A5881" w14:textId="77777777" w:rsidR="004647B9" w:rsidRDefault="00E2436F" w:rsidP="0044211A">
      <w:pPr>
        <w:numPr>
          <w:ilvl w:val="2"/>
          <w:numId w:val="562"/>
        </w:numPr>
        <w:tabs>
          <w:tab w:val="left" w:pos="2360"/>
        </w:tabs>
        <w:ind w:left="2360" w:hanging="356"/>
        <w:rPr>
          <w:rFonts w:eastAsia="Times New Roman"/>
          <w:sz w:val="24"/>
          <w:szCs w:val="24"/>
        </w:rPr>
      </w:pPr>
      <w:r>
        <w:rPr>
          <w:rFonts w:eastAsia="Times New Roman"/>
          <w:i/>
          <w:iCs/>
          <w:sz w:val="24"/>
          <w:szCs w:val="24"/>
        </w:rPr>
        <w:t>Legionella</w:t>
      </w:r>
      <w:r>
        <w:rPr>
          <w:rFonts w:eastAsia="Times New Roman"/>
          <w:sz w:val="24"/>
          <w:szCs w:val="24"/>
        </w:rPr>
        <w:t>; and</w:t>
      </w:r>
    </w:p>
    <w:p w14:paraId="281A5883" w14:textId="77777777" w:rsidR="004647B9" w:rsidRDefault="00E2436F" w:rsidP="0044211A">
      <w:pPr>
        <w:numPr>
          <w:ilvl w:val="2"/>
          <w:numId w:val="562"/>
        </w:numPr>
        <w:tabs>
          <w:tab w:val="left" w:pos="2360"/>
        </w:tabs>
        <w:ind w:left="2360" w:hanging="356"/>
        <w:rPr>
          <w:rFonts w:eastAsia="Times New Roman"/>
          <w:sz w:val="24"/>
          <w:szCs w:val="24"/>
        </w:rPr>
      </w:pPr>
      <w:r>
        <w:rPr>
          <w:rFonts w:eastAsia="Times New Roman"/>
          <w:sz w:val="24"/>
          <w:szCs w:val="24"/>
        </w:rPr>
        <w:t>Turbidity.</w:t>
      </w:r>
    </w:p>
    <w:p w14:paraId="281A5885" w14:textId="77777777" w:rsidR="004647B9" w:rsidRDefault="00E2436F" w:rsidP="0044211A">
      <w:pPr>
        <w:numPr>
          <w:ilvl w:val="1"/>
          <w:numId w:val="562"/>
        </w:numPr>
        <w:tabs>
          <w:tab w:val="left" w:pos="2058"/>
        </w:tabs>
        <w:ind w:left="1640" w:firstLine="4"/>
        <w:jc w:val="both"/>
        <w:rPr>
          <w:rFonts w:eastAsia="Times New Roman"/>
          <w:sz w:val="24"/>
          <w:szCs w:val="24"/>
        </w:rPr>
      </w:pPr>
      <w:r>
        <w:rPr>
          <w:rFonts w:eastAsia="Times New Roman"/>
          <w:sz w:val="24"/>
          <w:szCs w:val="24"/>
        </w:rPr>
        <w:t>Each Supplier of Water with a Surface Water Source, or groundwater source under the direct influence of surface water, must provide treatment of that source water that complies with the Treatment Technique requirements set forth in 310 CMR 22.20A. The Treatment Technique requirements consist of installing and properly operating water treatment processes which reliably achieve:</w:t>
      </w:r>
    </w:p>
    <w:p w14:paraId="281A5887" w14:textId="77777777" w:rsidR="004647B9" w:rsidRDefault="00E2436F" w:rsidP="0044211A">
      <w:pPr>
        <w:numPr>
          <w:ilvl w:val="2"/>
          <w:numId w:val="562"/>
        </w:numPr>
        <w:tabs>
          <w:tab w:val="left" w:pos="2310"/>
        </w:tabs>
        <w:ind w:left="2000" w:firstLine="4"/>
        <w:jc w:val="both"/>
        <w:rPr>
          <w:rFonts w:eastAsia="Times New Roman"/>
          <w:sz w:val="24"/>
          <w:szCs w:val="24"/>
        </w:rPr>
      </w:pPr>
      <w:r>
        <w:rPr>
          <w:rFonts w:eastAsia="Times New Roman"/>
          <w:sz w:val="24"/>
          <w:szCs w:val="24"/>
        </w:rPr>
        <w:t xml:space="preserve">At least 99.9% (3 log) removal and/or inactivation of </w:t>
      </w:r>
      <w:r>
        <w:rPr>
          <w:rFonts w:eastAsia="Times New Roman"/>
          <w:i/>
          <w:iCs/>
          <w:sz w:val="24"/>
          <w:szCs w:val="24"/>
        </w:rPr>
        <w:t>Giardia lamblia</w:t>
      </w:r>
      <w:r>
        <w:rPr>
          <w:rFonts w:eastAsia="Times New Roman"/>
          <w:sz w:val="24"/>
          <w:szCs w:val="24"/>
        </w:rPr>
        <w:t xml:space="preserve"> cysts between a point where the Raw Water is not subject to recontamination by Surface Water runoff and a point downstream before or at the first customer; and</w:t>
      </w:r>
    </w:p>
    <w:p w14:paraId="281A5889" w14:textId="77777777" w:rsidR="004647B9" w:rsidRDefault="00E2436F" w:rsidP="0044211A">
      <w:pPr>
        <w:numPr>
          <w:ilvl w:val="2"/>
          <w:numId w:val="562"/>
        </w:numPr>
        <w:tabs>
          <w:tab w:val="left" w:pos="2410"/>
        </w:tabs>
        <w:ind w:left="2000" w:firstLine="4"/>
        <w:jc w:val="both"/>
        <w:rPr>
          <w:rFonts w:eastAsia="Times New Roman"/>
          <w:sz w:val="24"/>
          <w:szCs w:val="24"/>
        </w:rPr>
      </w:pPr>
      <w:r>
        <w:rPr>
          <w:rFonts w:eastAsia="Times New Roman"/>
          <w:sz w:val="24"/>
          <w:szCs w:val="24"/>
        </w:rPr>
        <w:t>At least 99.99% (4 log) removal and/or inactivation of Viruses between a point where the Raw Water is not subject to recontamination by Surface Water runoff and a point downstream before or at the first customer.</w:t>
      </w:r>
    </w:p>
    <w:p w14:paraId="281A588C" w14:textId="0F89AF4B" w:rsidR="004647B9" w:rsidRPr="00AA0073" w:rsidRDefault="00E2436F" w:rsidP="0044211A">
      <w:pPr>
        <w:numPr>
          <w:ilvl w:val="1"/>
          <w:numId w:val="562"/>
        </w:numPr>
        <w:tabs>
          <w:tab w:val="left" w:pos="2098"/>
        </w:tabs>
        <w:ind w:left="1640" w:firstLine="4"/>
        <w:jc w:val="both"/>
        <w:rPr>
          <w:rFonts w:eastAsia="Times New Roman"/>
          <w:sz w:val="24"/>
          <w:szCs w:val="24"/>
        </w:rPr>
      </w:pPr>
      <w:r w:rsidRPr="00AA0073">
        <w:rPr>
          <w:rFonts w:eastAsia="Times New Roman"/>
          <w:sz w:val="24"/>
          <w:szCs w:val="24"/>
        </w:rPr>
        <w:t>A Supplier of Water using a Surface Water Source or groundwater source under the direct influence of surface water shall be deemed in compliance with the requirements of</w:t>
      </w:r>
      <w:r w:rsidR="00AA0073" w:rsidRPr="00AA0073">
        <w:rPr>
          <w:rFonts w:eastAsia="Times New Roman"/>
          <w:sz w:val="24"/>
          <w:szCs w:val="24"/>
        </w:rPr>
        <w:t xml:space="preserve"> </w:t>
      </w:r>
      <w:r w:rsidRPr="00AA0073">
        <w:rPr>
          <w:rFonts w:eastAsia="Times New Roman"/>
          <w:sz w:val="24"/>
          <w:szCs w:val="24"/>
        </w:rPr>
        <w:t>310 CMR 22.20A(1)(a) and (b) if:</w:t>
      </w:r>
    </w:p>
    <w:p w14:paraId="281A588E" w14:textId="77777777" w:rsidR="004647B9" w:rsidRDefault="00E2436F" w:rsidP="0044211A">
      <w:pPr>
        <w:numPr>
          <w:ilvl w:val="2"/>
          <w:numId w:val="562"/>
        </w:numPr>
        <w:tabs>
          <w:tab w:val="left" w:pos="2389"/>
        </w:tabs>
        <w:ind w:left="2000" w:firstLine="4"/>
        <w:rPr>
          <w:rFonts w:eastAsia="Times New Roman"/>
          <w:sz w:val="24"/>
          <w:szCs w:val="24"/>
        </w:rPr>
      </w:pPr>
      <w:r>
        <w:rPr>
          <w:rFonts w:eastAsia="Times New Roman"/>
          <w:sz w:val="24"/>
          <w:szCs w:val="24"/>
        </w:rPr>
        <w:t>It meets the requirements for avoiding Filtration in 310 CMR 22.20A(2) and the Disinfection requirements in 310 CMR 22.20A(3)(a); or</w:t>
      </w:r>
    </w:p>
    <w:p w14:paraId="281A588F" w14:textId="77777777" w:rsidR="004647B9" w:rsidRDefault="00E2436F" w:rsidP="0044211A">
      <w:pPr>
        <w:numPr>
          <w:ilvl w:val="2"/>
          <w:numId w:val="562"/>
        </w:numPr>
        <w:tabs>
          <w:tab w:val="left" w:pos="2389"/>
        </w:tabs>
        <w:ind w:left="2000" w:firstLine="4"/>
        <w:rPr>
          <w:rFonts w:eastAsia="Times New Roman"/>
          <w:sz w:val="24"/>
          <w:szCs w:val="24"/>
        </w:rPr>
      </w:pPr>
      <w:r>
        <w:rPr>
          <w:rFonts w:eastAsia="Times New Roman"/>
          <w:sz w:val="24"/>
          <w:szCs w:val="24"/>
        </w:rPr>
        <w:t>It meets the Filtration requirements in 310 CMR 22.20A(4) and the Disinfection requirements in 310 CMR 22.20A(3)(b).</w:t>
      </w:r>
    </w:p>
    <w:p w14:paraId="281A5890" w14:textId="77777777" w:rsidR="004647B9" w:rsidRDefault="00E2436F" w:rsidP="0044211A">
      <w:pPr>
        <w:numPr>
          <w:ilvl w:val="1"/>
          <w:numId w:val="562"/>
        </w:numPr>
        <w:tabs>
          <w:tab w:val="left" w:pos="2089"/>
        </w:tabs>
        <w:ind w:left="1640" w:firstLine="4"/>
        <w:jc w:val="both"/>
        <w:rPr>
          <w:rFonts w:eastAsia="Times New Roman"/>
          <w:sz w:val="24"/>
          <w:szCs w:val="24"/>
        </w:rPr>
      </w:pPr>
      <w:r>
        <w:rPr>
          <w:rFonts w:eastAsia="Times New Roman"/>
          <w:sz w:val="24"/>
          <w:szCs w:val="24"/>
        </w:rPr>
        <w:t>Each Supplier of Water using a Surface Water Source or a groundwater source under the direct influence of surface water must be operated by a Certified Operator in compliance with 310 CMR 22.11B.</w:t>
      </w:r>
    </w:p>
    <w:p w14:paraId="281A5892" w14:textId="77777777" w:rsidR="004647B9" w:rsidRDefault="00E2436F" w:rsidP="0044211A">
      <w:pPr>
        <w:numPr>
          <w:ilvl w:val="1"/>
          <w:numId w:val="562"/>
        </w:numPr>
        <w:tabs>
          <w:tab w:val="left" w:pos="2134"/>
        </w:tabs>
        <w:ind w:left="1640" w:firstLine="4"/>
        <w:rPr>
          <w:rFonts w:eastAsia="Times New Roman"/>
          <w:sz w:val="24"/>
          <w:szCs w:val="24"/>
        </w:rPr>
      </w:pPr>
      <w:r>
        <w:rPr>
          <w:rFonts w:eastAsia="Times New Roman"/>
          <w:sz w:val="24"/>
          <w:szCs w:val="24"/>
        </w:rPr>
        <w:t>In addition to complying with requirements of 310 CMR 22.20A, systems serving at least 10,000 people shall also comply with the requirements of 310 CMR 22.20D.</w:t>
      </w:r>
    </w:p>
    <w:p w14:paraId="281A5893" w14:textId="77777777" w:rsidR="004647B9" w:rsidRDefault="004647B9">
      <w:pPr>
        <w:sectPr w:rsidR="004647B9" w:rsidSect="00EF630C">
          <w:pgSz w:w="12240" w:h="20180"/>
          <w:pgMar w:top="708" w:right="1440" w:bottom="1013" w:left="600" w:header="0" w:footer="0" w:gutter="0"/>
          <w:cols w:space="720"/>
        </w:sectPr>
      </w:pPr>
    </w:p>
    <w:p w14:paraId="281A5894" w14:textId="77777777" w:rsidR="004647B9" w:rsidRDefault="00E2436F">
      <w:pPr>
        <w:tabs>
          <w:tab w:val="left" w:pos="160"/>
        </w:tabs>
        <w:ind w:right="20"/>
        <w:jc w:val="center"/>
        <w:rPr>
          <w:sz w:val="20"/>
          <w:szCs w:val="20"/>
        </w:rPr>
      </w:pPr>
      <w:bookmarkStart w:id="250" w:name="page254"/>
      <w:bookmarkEnd w:id="25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895" w14:textId="77777777" w:rsidR="004647B9" w:rsidRDefault="004647B9" w:rsidP="0044211A">
      <w:pPr>
        <w:rPr>
          <w:sz w:val="20"/>
          <w:szCs w:val="20"/>
        </w:rPr>
      </w:pPr>
    </w:p>
    <w:p w14:paraId="281A5896" w14:textId="77777777" w:rsidR="004647B9" w:rsidRDefault="004647B9" w:rsidP="0044211A">
      <w:pPr>
        <w:rPr>
          <w:sz w:val="20"/>
          <w:szCs w:val="20"/>
        </w:rPr>
      </w:pPr>
    </w:p>
    <w:p w14:paraId="281A5897" w14:textId="77777777" w:rsidR="004647B9" w:rsidRPr="00357D61" w:rsidRDefault="00E2436F" w:rsidP="0044211A">
      <w:pPr>
        <w:tabs>
          <w:tab w:val="left" w:pos="940"/>
        </w:tabs>
        <w:rPr>
          <w:sz w:val="24"/>
          <w:szCs w:val="24"/>
        </w:rPr>
      </w:pPr>
      <w:r w:rsidRPr="00357D61">
        <w:rPr>
          <w:rFonts w:eastAsia="Times New Roman"/>
          <w:sz w:val="24"/>
          <w:szCs w:val="24"/>
        </w:rPr>
        <w:t>22.20A:</w:t>
      </w:r>
      <w:r w:rsidRPr="00357D61">
        <w:rPr>
          <w:rFonts w:eastAsia="Times New Roman"/>
          <w:sz w:val="24"/>
          <w:szCs w:val="24"/>
        </w:rPr>
        <w:tab/>
        <w:t>continued</w:t>
      </w:r>
    </w:p>
    <w:p w14:paraId="281A5898" w14:textId="77777777" w:rsidR="004647B9" w:rsidRPr="0044211A" w:rsidRDefault="004647B9" w:rsidP="0044211A">
      <w:pPr>
        <w:rPr>
          <w:sz w:val="20"/>
          <w:szCs w:val="20"/>
        </w:rPr>
      </w:pPr>
    </w:p>
    <w:p w14:paraId="281A5899" w14:textId="77777777" w:rsidR="004647B9" w:rsidRPr="00357D61" w:rsidRDefault="00E2436F" w:rsidP="0044211A">
      <w:pPr>
        <w:numPr>
          <w:ilvl w:val="1"/>
          <w:numId w:val="563"/>
        </w:numPr>
        <w:tabs>
          <w:tab w:val="left" w:pos="2016"/>
        </w:tabs>
        <w:ind w:left="1620" w:firstLine="4"/>
        <w:jc w:val="both"/>
        <w:rPr>
          <w:rFonts w:eastAsia="Times New Roman"/>
          <w:sz w:val="24"/>
          <w:szCs w:val="24"/>
        </w:rPr>
      </w:pPr>
      <w:r w:rsidRPr="00357D61">
        <w:rPr>
          <w:rFonts w:eastAsia="Times New Roman"/>
          <w:sz w:val="24"/>
          <w:szCs w:val="24"/>
        </w:rPr>
        <w:t>In addition to complying with the requirements of 310 CMR 22.20A, each Supplier of Water that serves fewer than 10,000 people must also comply with the requirements in 310 CMR 22.20F.</w:t>
      </w:r>
    </w:p>
    <w:p w14:paraId="281A589A" w14:textId="77777777" w:rsidR="004647B9" w:rsidRPr="00357D61" w:rsidRDefault="004647B9" w:rsidP="0044211A">
      <w:pPr>
        <w:rPr>
          <w:rFonts w:eastAsia="Times New Roman"/>
          <w:sz w:val="24"/>
          <w:szCs w:val="24"/>
        </w:rPr>
      </w:pPr>
    </w:p>
    <w:p w14:paraId="281A589B" w14:textId="77777777" w:rsidR="004647B9" w:rsidRPr="00357D61" w:rsidRDefault="00E2436F" w:rsidP="0044211A">
      <w:pPr>
        <w:numPr>
          <w:ilvl w:val="0"/>
          <w:numId w:val="564"/>
        </w:numPr>
        <w:tabs>
          <w:tab w:val="left" w:pos="1734"/>
        </w:tabs>
        <w:ind w:left="1260" w:firstLine="9"/>
        <w:jc w:val="both"/>
        <w:rPr>
          <w:rFonts w:eastAsia="Times New Roman"/>
          <w:sz w:val="24"/>
          <w:szCs w:val="24"/>
        </w:rPr>
      </w:pPr>
      <w:r w:rsidRPr="00357D61">
        <w:rPr>
          <w:rFonts w:eastAsia="Times New Roman"/>
          <w:sz w:val="24"/>
          <w:szCs w:val="24"/>
          <w:u w:val="single"/>
        </w:rPr>
        <w:t>Criteria for Avoiding Filtration</w:t>
      </w:r>
      <w:r w:rsidRPr="00357D61">
        <w:rPr>
          <w:rFonts w:eastAsia="Times New Roman"/>
          <w:sz w:val="24"/>
          <w:szCs w:val="24"/>
        </w:rPr>
        <w:t>. A Supplier of Water that uses a Surface Water Source must meet all of the conditions in 310 CMR 22.20A(2)(a) and (b) and is subject to 310 CMR 22.20A(2)(c) beginning June 29, 1991, unless the Department has notified it in writing that Filtration is required. A Supplier of Water that uses a groundwater source under the direct influence of surface water must meet all of the conditions in 310 CMR 22.20A(2)(a) and (b) and is subject to 310 CMR 22.20A(2)(c) beginning 18 months after the Department determines that it is under the direct influence of surface water, or June 29, 1991, whichever is later, unless the Department has notified it in writing that Filtration is required. If the Department determines in writing, before June 29, 1991 that Filtration is required, the Supplier of Water must have installed Filtration and meet the criteria for filtered systems specified in 310 CMR 22.20A(3)(b) and (4) by June 29, 1993. Within 18 months of the failure of a system using a Surface Water Source or a groundwater source under the direct influence of surface water to meet any one of the requirements in 310 CMR 22.20A(2)(a) and (b) or after June 29, 1993, whichever is later, the Supplier of Water must have installed Filtration and meet the criteria for filtered systems specified in 310 CMR 22.20A(3)(b) and (4).</w:t>
      </w:r>
    </w:p>
    <w:p w14:paraId="281A589D" w14:textId="77777777" w:rsidR="004647B9" w:rsidRPr="00357D61" w:rsidRDefault="00E2436F" w:rsidP="0044211A">
      <w:pPr>
        <w:numPr>
          <w:ilvl w:val="1"/>
          <w:numId w:val="564"/>
        </w:numPr>
        <w:tabs>
          <w:tab w:val="left" w:pos="2080"/>
        </w:tabs>
        <w:ind w:left="2080" w:hanging="456"/>
        <w:rPr>
          <w:rFonts w:eastAsia="Times New Roman"/>
          <w:sz w:val="24"/>
          <w:szCs w:val="24"/>
        </w:rPr>
      </w:pPr>
      <w:r w:rsidRPr="00357D61">
        <w:rPr>
          <w:rFonts w:eastAsia="Times New Roman"/>
          <w:sz w:val="24"/>
          <w:szCs w:val="24"/>
          <w:u w:val="single"/>
        </w:rPr>
        <w:t>Source Water Quality Conditions</w:t>
      </w:r>
      <w:r w:rsidRPr="00357D61">
        <w:rPr>
          <w:rFonts w:eastAsia="Times New Roman"/>
          <w:sz w:val="24"/>
          <w:szCs w:val="24"/>
        </w:rPr>
        <w:t>.</w:t>
      </w:r>
    </w:p>
    <w:p w14:paraId="281A589F" w14:textId="77777777" w:rsidR="004647B9" w:rsidRPr="00357D61" w:rsidRDefault="00E2436F" w:rsidP="0044211A">
      <w:pPr>
        <w:numPr>
          <w:ilvl w:val="2"/>
          <w:numId w:val="564"/>
        </w:numPr>
        <w:tabs>
          <w:tab w:val="left" w:pos="2290"/>
        </w:tabs>
        <w:ind w:left="1980" w:firstLine="4"/>
        <w:jc w:val="both"/>
        <w:rPr>
          <w:rFonts w:eastAsia="Times New Roman"/>
          <w:sz w:val="24"/>
          <w:szCs w:val="24"/>
        </w:rPr>
      </w:pPr>
      <w:r w:rsidRPr="00357D61">
        <w:rPr>
          <w:rFonts w:eastAsia="Times New Roman"/>
          <w:sz w:val="24"/>
          <w:szCs w:val="24"/>
        </w:rPr>
        <w:t>The fecal coliform concentration must be equal to or less than 20/100 ml, or the total coliform concentration must be equal to or less than 100/100 ml (measured as specified in 310 CMR 22.20A(5)(a)1. and (b)1. in representative samples of the source water immediately prior to the first or only Point of Disinfectant Application in at least 90% of the measurements made for the six previous months that the system served water to the public on an ongoing basis. If a system measures both fecal and total coliform, the fecal coliform criterion, but not the total coliform criterion, in 310 CMR 22.20A(2)(a)1. must be met.</w:t>
      </w:r>
    </w:p>
    <w:p w14:paraId="281A58A1" w14:textId="77777777" w:rsidR="004647B9" w:rsidRPr="00357D61" w:rsidRDefault="00E2436F" w:rsidP="0044211A">
      <w:pPr>
        <w:numPr>
          <w:ilvl w:val="2"/>
          <w:numId w:val="564"/>
        </w:numPr>
        <w:tabs>
          <w:tab w:val="left" w:pos="2366"/>
        </w:tabs>
        <w:ind w:left="1980" w:firstLine="4"/>
        <w:jc w:val="both"/>
        <w:rPr>
          <w:rFonts w:eastAsia="Times New Roman"/>
          <w:sz w:val="24"/>
          <w:szCs w:val="24"/>
        </w:rPr>
      </w:pPr>
      <w:r w:rsidRPr="00357D61">
        <w:rPr>
          <w:rFonts w:eastAsia="Times New Roman"/>
          <w:sz w:val="24"/>
          <w:szCs w:val="24"/>
        </w:rPr>
        <w:t>The Turbidity level cannot exceed one NTU (measured as specified in 310 CMR 22.20A(5)(a)1. and (b)2. in representative samples of the source water immediately prior to the first or only Point of Disinfectant Application except that five or fewer Turbidity units may be allowed if the Supplier of Water can demonstrate to the Department that the higher Turbidity does not do any of the following:</w:t>
      </w:r>
    </w:p>
    <w:p w14:paraId="281A58A3" w14:textId="77777777" w:rsidR="004647B9" w:rsidRPr="00357D61" w:rsidRDefault="00E2436F" w:rsidP="0044211A">
      <w:pPr>
        <w:numPr>
          <w:ilvl w:val="3"/>
          <w:numId w:val="564"/>
        </w:numPr>
        <w:tabs>
          <w:tab w:val="left" w:pos="2700"/>
        </w:tabs>
        <w:ind w:left="2700" w:hanging="356"/>
        <w:rPr>
          <w:rFonts w:eastAsia="Times New Roman"/>
          <w:sz w:val="24"/>
          <w:szCs w:val="24"/>
        </w:rPr>
      </w:pPr>
      <w:r w:rsidRPr="00357D61">
        <w:rPr>
          <w:rFonts w:eastAsia="Times New Roman"/>
          <w:sz w:val="24"/>
          <w:szCs w:val="24"/>
        </w:rPr>
        <w:t>Interfere with Disinfection.</w:t>
      </w:r>
    </w:p>
    <w:p w14:paraId="281A58A5" w14:textId="77777777" w:rsidR="004647B9" w:rsidRDefault="00E2436F" w:rsidP="006D0170">
      <w:pPr>
        <w:numPr>
          <w:ilvl w:val="3"/>
          <w:numId w:val="564"/>
        </w:numPr>
        <w:tabs>
          <w:tab w:val="left" w:pos="2707"/>
        </w:tabs>
        <w:ind w:left="2340" w:firstLine="4"/>
        <w:rPr>
          <w:rFonts w:eastAsia="Times New Roman"/>
          <w:sz w:val="24"/>
          <w:szCs w:val="24"/>
        </w:rPr>
      </w:pPr>
      <w:r w:rsidRPr="00357D61">
        <w:rPr>
          <w:rFonts w:eastAsia="Times New Roman"/>
          <w:sz w:val="24"/>
          <w:szCs w:val="24"/>
        </w:rPr>
        <w:t>Prevent maintenance of an effective Disinfectant agent throughout the</w:t>
      </w:r>
      <w:r>
        <w:rPr>
          <w:rFonts w:eastAsia="Times New Roman"/>
          <w:sz w:val="24"/>
          <w:szCs w:val="24"/>
        </w:rPr>
        <w:t xml:space="preserve"> Distribution System; or</w:t>
      </w:r>
    </w:p>
    <w:p w14:paraId="281A58A6" w14:textId="77777777" w:rsidR="004647B9" w:rsidRDefault="00E2436F" w:rsidP="0044211A">
      <w:pPr>
        <w:numPr>
          <w:ilvl w:val="3"/>
          <w:numId w:val="564"/>
        </w:numPr>
        <w:tabs>
          <w:tab w:val="left" w:pos="2700"/>
        </w:tabs>
        <w:ind w:left="2700" w:hanging="356"/>
        <w:rPr>
          <w:rFonts w:eastAsia="Times New Roman"/>
          <w:sz w:val="24"/>
          <w:szCs w:val="24"/>
        </w:rPr>
      </w:pPr>
      <w:r>
        <w:rPr>
          <w:rFonts w:eastAsia="Times New Roman"/>
          <w:sz w:val="24"/>
          <w:szCs w:val="24"/>
        </w:rPr>
        <w:t>Interfere with microbiological determinations.</w:t>
      </w:r>
    </w:p>
    <w:p w14:paraId="281A58A8" w14:textId="77777777" w:rsidR="004647B9" w:rsidRDefault="00E2436F" w:rsidP="0044211A">
      <w:pPr>
        <w:numPr>
          <w:ilvl w:val="2"/>
          <w:numId w:val="564"/>
        </w:numPr>
        <w:tabs>
          <w:tab w:val="left" w:pos="2340"/>
        </w:tabs>
        <w:ind w:left="2340" w:hanging="356"/>
        <w:rPr>
          <w:rFonts w:eastAsia="Times New Roman"/>
          <w:sz w:val="24"/>
          <w:szCs w:val="24"/>
        </w:rPr>
      </w:pPr>
      <w:r>
        <w:rPr>
          <w:rFonts w:eastAsia="Times New Roman"/>
          <w:sz w:val="24"/>
          <w:szCs w:val="24"/>
        </w:rPr>
        <w:t>The Turbidity level cannot exceed five NTU (at any time) unless:</w:t>
      </w:r>
    </w:p>
    <w:p w14:paraId="281A58AA" w14:textId="77777777" w:rsidR="004647B9" w:rsidRDefault="00E2436F" w:rsidP="0044211A">
      <w:pPr>
        <w:numPr>
          <w:ilvl w:val="3"/>
          <w:numId w:val="564"/>
        </w:numPr>
        <w:tabs>
          <w:tab w:val="left" w:pos="2701"/>
        </w:tabs>
        <w:ind w:left="2340" w:firstLine="4"/>
        <w:rPr>
          <w:rFonts w:eastAsia="Times New Roman"/>
          <w:sz w:val="24"/>
          <w:szCs w:val="24"/>
        </w:rPr>
      </w:pPr>
      <w:r>
        <w:rPr>
          <w:rFonts w:eastAsia="Times New Roman"/>
          <w:sz w:val="24"/>
          <w:szCs w:val="24"/>
        </w:rPr>
        <w:t>The Department determines that any such event was caused by circumstances that were unusual and unpredictable; and</w:t>
      </w:r>
    </w:p>
    <w:p w14:paraId="281A58AB" w14:textId="77777777" w:rsidR="004647B9" w:rsidRDefault="00E2436F" w:rsidP="0044211A">
      <w:pPr>
        <w:numPr>
          <w:ilvl w:val="3"/>
          <w:numId w:val="564"/>
        </w:numPr>
        <w:tabs>
          <w:tab w:val="left" w:pos="2700"/>
        </w:tabs>
        <w:ind w:left="2340" w:firstLine="4"/>
        <w:jc w:val="both"/>
        <w:rPr>
          <w:rFonts w:eastAsia="Times New Roman"/>
          <w:sz w:val="24"/>
          <w:szCs w:val="24"/>
        </w:rPr>
      </w:pPr>
      <w:r>
        <w:rPr>
          <w:rFonts w:eastAsia="Times New Roman"/>
          <w:sz w:val="24"/>
          <w:szCs w:val="24"/>
        </w:rPr>
        <w:t xml:space="preserve">As a result of any such </w:t>
      </w:r>
      <w:r w:rsidRPr="006D0170">
        <w:rPr>
          <w:rFonts w:eastAsia="Times New Roman"/>
          <w:sz w:val="24"/>
          <w:szCs w:val="24"/>
        </w:rPr>
        <w:t>event</w:t>
      </w:r>
      <w:r>
        <w:rPr>
          <w:rFonts w:eastAsia="Times New Roman"/>
          <w:sz w:val="24"/>
          <w:szCs w:val="24"/>
        </w:rPr>
        <w:t>, there have not been more than two events in the past 12 months the system served water to the public, or more than five events in the past 120 months the system served water to the public, in which the Turbidity level exceeded five NTU. An "event" is a series of consecutive days during which at least one Turbidity measurement each day exceeds five NTU.</w:t>
      </w:r>
    </w:p>
    <w:p w14:paraId="281A58AD" w14:textId="77777777" w:rsidR="004647B9" w:rsidRDefault="00E2436F" w:rsidP="0044211A">
      <w:pPr>
        <w:numPr>
          <w:ilvl w:val="1"/>
          <w:numId w:val="564"/>
        </w:numPr>
        <w:tabs>
          <w:tab w:val="left" w:pos="2080"/>
        </w:tabs>
        <w:ind w:left="2080" w:hanging="456"/>
        <w:rPr>
          <w:rFonts w:eastAsia="Times New Roman"/>
          <w:sz w:val="24"/>
          <w:szCs w:val="24"/>
        </w:rPr>
      </w:pPr>
      <w:r>
        <w:rPr>
          <w:rFonts w:eastAsia="Times New Roman"/>
          <w:sz w:val="24"/>
          <w:szCs w:val="24"/>
          <w:u w:val="single"/>
        </w:rPr>
        <w:t>Site Specific Conditions</w:t>
      </w:r>
      <w:r>
        <w:rPr>
          <w:rFonts w:eastAsia="Times New Roman"/>
          <w:sz w:val="24"/>
          <w:szCs w:val="24"/>
        </w:rPr>
        <w:t>.</w:t>
      </w:r>
    </w:p>
    <w:p w14:paraId="281A58AF" w14:textId="77777777" w:rsidR="004647B9" w:rsidRDefault="00E2436F" w:rsidP="0044211A">
      <w:pPr>
        <w:numPr>
          <w:ilvl w:val="2"/>
          <w:numId w:val="564"/>
        </w:numPr>
        <w:tabs>
          <w:tab w:val="left" w:pos="2369"/>
        </w:tabs>
        <w:ind w:left="1980" w:firstLine="4"/>
        <w:jc w:val="both"/>
        <w:rPr>
          <w:rFonts w:eastAsia="Times New Roman"/>
          <w:sz w:val="24"/>
          <w:szCs w:val="24"/>
        </w:rPr>
      </w:pPr>
      <w:r>
        <w:rPr>
          <w:rFonts w:eastAsia="Times New Roman"/>
          <w:sz w:val="24"/>
          <w:szCs w:val="24"/>
        </w:rPr>
        <w:t>A Supplier of Water must meet the requirements of 310 CMR 22.20A(3)(a)1. at least 11 of the 12 previous months that its system served water to the public on an ongoing basis, unless the system fails to meet the requirements during two of the 12 previous months that the system served water to the public, and the Department determines that at least one of the failures was caused by circumstances that were unusual and unpredictable.</w:t>
      </w:r>
    </w:p>
    <w:p w14:paraId="281A58B1" w14:textId="77777777" w:rsidR="004647B9" w:rsidRDefault="00E2436F" w:rsidP="0044211A">
      <w:pPr>
        <w:numPr>
          <w:ilvl w:val="2"/>
          <w:numId w:val="564"/>
        </w:numPr>
        <w:tabs>
          <w:tab w:val="left" w:pos="2316"/>
        </w:tabs>
        <w:ind w:left="1980" w:firstLine="4"/>
        <w:jc w:val="both"/>
        <w:rPr>
          <w:rFonts w:eastAsia="Times New Roman"/>
          <w:sz w:val="24"/>
          <w:szCs w:val="24"/>
        </w:rPr>
      </w:pPr>
      <w:r>
        <w:rPr>
          <w:rFonts w:eastAsia="Times New Roman"/>
          <w:sz w:val="24"/>
          <w:szCs w:val="24"/>
        </w:rPr>
        <w:t>A Supplier of Water must meet the requirements of 310 CMR 22.20A(3)(a)2. at all times its system serves water to the public unless otherwise approved by the Department.</w:t>
      </w:r>
    </w:p>
    <w:p w14:paraId="281A58B3" w14:textId="77777777" w:rsidR="004647B9" w:rsidRDefault="00E2436F" w:rsidP="0044211A">
      <w:pPr>
        <w:numPr>
          <w:ilvl w:val="2"/>
          <w:numId w:val="564"/>
        </w:numPr>
        <w:tabs>
          <w:tab w:val="left" w:pos="2318"/>
        </w:tabs>
        <w:ind w:left="1980" w:firstLine="4"/>
        <w:jc w:val="both"/>
        <w:rPr>
          <w:rFonts w:eastAsia="Times New Roman"/>
          <w:sz w:val="24"/>
          <w:szCs w:val="24"/>
        </w:rPr>
      </w:pPr>
      <w:r>
        <w:rPr>
          <w:rFonts w:eastAsia="Times New Roman"/>
          <w:sz w:val="24"/>
          <w:szCs w:val="24"/>
        </w:rPr>
        <w:t>A Supplier of Water must meet the requirements of 310 CMR 22.20A(3)(a)3. at all times its system serves water to the public unless the Department determines that any such failure was caused by circumstances that were unusual and unpredictable.</w:t>
      </w:r>
    </w:p>
    <w:p w14:paraId="281A58B4" w14:textId="77777777" w:rsidR="004647B9" w:rsidRDefault="004647B9">
      <w:pPr>
        <w:sectPr w:rsidR="004647B9" w:rsidSect="00EF630C">
          <w:pgSz w:w="12240" w:h="20180"/>
          <w:pgMar w:top="708" w:right="1440" w:bottom="1440" w:left="620" w:header="0" w:footer="0" w:gutter="0"/>
          <w:cols w:space="720"/>
        </w:sectPr>
      </w:pPr>
    </w:p>
    <w:p w14:paraId="281A58B5" w14:textId="77777777" w:rsidR="004647B9" w:rsidRDefault="00E2436F">
      <w:pPr>
        <w:tabs>
          <w:tab w:val="left" w:pos="160"/>
        </w:tabs>
        <w:ind w:right="20"/>
        <w:jc w:val="center"/>
        <w:rPr>
          <w:sz w:val="20"/>
          <w:szCs w:val="20"/>
        </w:rPr>
      </w:pPr>
      <w:bookmarkStart w:id="251" w:name="page255"/>
      <w:bookmarkEnd w:id="25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8B6" w14:textId="77777777" w:rsidR="004647B9" w:rsidRDefault="004647B9" w:rsidP="006C5F31">
      <w:pPr>
        <w:rPr>
          <w:sz w:val="20"/>
          <w:szCs w:val="20"/>
        </w:rPr>
      </w:pPr>
    </w:p>
    <w:p w14:paraId="281A58B7" w14:textId="77777777" w:rsidR="004647B9" w:rsidRDefault="004647B9" w:rsidP="006C5F31">
      <w:pPr>
        <w:rPr>
          <w:sz w:val="20"/>
          <w:szCs w:val="20"/>
        </w:rPr>
      </w:pPr>
    </w:p>
    <w:p w14:paraId="281A58B8" w14:textId="77777777" w:rsidR="004647B9" w:rsidRDefault="00E2436F" w:rsidP="006C5F31">
      <w:pPr>
        <w:tabs>
          <w:tab w:val="left" w:pos="940"/>
        </w:tabs>
        <w:rPr>
          <w:sz w:val="20"/>
          <w:szCs w:val="20"/>
        </w:rPr>
      </w:pPr>
      <w:r>
        <w:rPr>
          <w:rFonts w:eastAsia="Times New Roman"/>
          <w:sz w:val="24"/>
          <w:szCs w:val="24"/>
        </w:rPr>
        <w:t>22.20A:</w:t>
      </w:r>
      <w:r>
        <w:rPr>
          <w:rFonts w:eastAsia="Times New Roman"/>
          <w:sz w:val="24"/>
          <w:szCs w:val="24"/>
        </w:rPr>
        <w:tab/>
        <w:t>continued</w:t>
      </w:r>
    </w:p>
    <w:p w14:paraId="281A58B9" w14:textId="77777777" w:rsidR="004647B9" w:rsidRDefault="004647B9" w:rsidP="006C5F31">
      <w:pPr>
        <w:rPr>
          <w:sz w:val="20"/>
          <w:szCs w:val="20"/>
        </w:rPr>
      </w:pPr>
    </w:p>
    <w:p w14:paraId="281A58BA" w14:textId="77777777" w:rsidR="004647B9" w:rsidRPr="00357D61" w:rsidRDefault="00E2436F" w:rsidP="006C5F31">
      <w:pPr>
        <w:numPr>
          <w:ilvl w:val="0"/>
          <w:numId w:val="565"/>
        </w:numPr>
        <w:tabs>
          <w:tab w:val="left" w:pos="2304"/>
        </w:tabs>
        <w:ind w:left="1980" w:firstLine="4"/>
        <w:jc w:val="both"/>
        <w:rPr>
          <w:rFonts w:eastAsia="Times New Roman"/>
          <w:sz w:val="24"/>
          <w:szCs w:val="24"/>
        </w:rPr>
      </w:pPr>
      <w:r w:rsidRPr="00357D61">
        <w:rPr>
          <w:rFonts w:eastAsia="Times New Roman"/>
          <w:sz w:val="24"/>
          <w:szCs w:val="24"/>
        </w:rPr>
        <w:t>A Supplier of Water must meet the requirements of 310 CMR 22.20A(3)(a)4. on an ongoing basis, unless the Department determines that any such failure was not caused by a deficiency in treatment of the source water.</w:t>
      </w:r>
    </w:p>
    <w:p w14:paraId="281A58BC" w14:textId="77777777" w:rsidR="004647B9" w:rsidRPr="00357D61" w:rsidRDefault="00E2436F" w:rsidP="006C5F31">
      <w:pPr>
        <w:numPr>
          <w:ilvl w:val="0"/>
          <w:numId w:val="565"/>
        </w:numPr>
        <w:tabs>
          <w:tab w:val="left" w:pos="2347"/>
        </w:tabs>
        <w:ind w:left="1980" w:firstLine="4"/>
        <w:jc w:val="both"/>
        <w:rPr>
          <w:rFonts w:eastAsia="Times New Roman"/>
          <w:sz w:val="24"/>
          <w:szCs w:val="24"/>
        </w:rPr>
      </w:pPr>
      <w:r w:rsidRPr="00357D61">
        <w:rPr>
          <w:rFonts w:eastAsia="Times New Roman"/>
          <w:sz w:val="24"/>
          <w:szCs w:val="24"/>
        </w:rPr>
        <w:t xml:space="preserve">A Supplier of Water must maintain a Watershed Protection/Control Program that adequately minimizes the potential for contamination by </w:t>
      </w:r>
      <w:r w:rsidRPr="00357D61">
        <w:rPr>
          <w:rFonts w:eastAsia="Times New Roman"/>
          <w:i/>
          <w:iCs/>
          <w:sz w:val="24"/>
          <w:szCs w:val="24"/>
        </w:rPr>
        <w:t>Giardia lamblia</w:t>
      </w:r>
      <w:r w:rsidRPr="00357D61">
        <w:rPr>
          <w:rFonts w:eastAsia="Times New Roman"/>
          <w:sz w:val="24"/>
          <w:szCs w:val="24"/>
        </w:rPr>
        <w:t xml:space="preserve"> cysts,</w:t>
      </w:r>
    </w:p>
    <w:p w14:paraId="281A58BD" w14:textId="77777777" w:rsidR="004647B9" w:rsidRPr="00357D61" w:rsidRDefault="00E2436F" w:rsidP="006C5F31">
      <w:pPr>
        <w:ind w:left="1980"/>
        <w:jc w:val="both"/>
        <w:rPr>
          <w:sz w:val="24"/>
          <w:szCs w:val="24"/>
        </w:rPr>
      </w:pPr>
      <w:r w:rsidRPr="00357D61">
        <w:rPr>
          <w:rFonts w:eastAsia="Times New Roman"/>
          <w:i/>
          <w:iCs/>
          <w:sz w:val="24"/>
          <w:szCs w:val="24"/>
        </w:rPr>
        <w:t xml:space="preserve">Cryptosporidium oocysts </w:t>
      </w:r>
      <w:r w:rsidRPr="00357D61">
        <w:rPr>
          <w:rFonts w:eastAsia="Times New Roman"/>
          <w:sz w:val="24"/>
          <w:szCs w:val="24"/>
        </w:rPr>
        <w:t>and Viruses. During onsite inspection, the Department will</w:t>
      </w:r>
      <w:r w:rsidRPr="00357D61">
        <w:rPr>
          <w:rFonts w:eastAsia="Times New Roman"/>
          <w:i/>
          <w:iCs/>
          <w:sz w:val="24"/>
          <w:szCs w:val="24"/>
        </w:rPr>
        <w:t xml:space="preserve"> </w:t>
      </w:r>
      <w:r w:rsidRPr="00357D61">
        <w:rPr>
          <w:rFonts w:eastAsia="Times New Roman"/>
          <w:sz w:val="24"/>
          <w:szCs w:val="24"/>
        </w:rPr>
        <w:t xml:space="preserve">determine whether the Watershed Protection/Control Program is adequate to minimize the potential for contamination by </w:t>
      </w:r>
      <w:r w:rsidRPr="00357D61">
        <w:rPr>
          <w:rFonts w:eastAsia="Times New Roman"/>
          <w:i/>
          <w:iCs/>
          <w:sz w:val="24"/>
          <w:szCs w:val="24"/>
        </w:rPr>
        <w:t>Giardia lamblia</w:t>
      </w:r>
      <w:r w:rsidRPr="00357D61">
        <w:rPr>
          <w:rFonts w:eastAsia="Times New Roman"/>
          <w:sz w:val="24"/>
          <w:szCs w:val="24"/>
        </w:rPr>
        <w:t xml:space="preserve"> cysts, </w:t>
      </w:r>
      <w:r w:rsidRPr="00357D61">
        <w:rPr>
          <w:rFonts w:eastAsia="Times New Roman"/>
          <w:i/>
          <w:iCs/>
          <w:sz w:val="24"/>
          <w:szCs w:val="24"/>
        </w:rPr>
        <w:t>Cryptosporidium oocysts</w:t>
      </w:r>
      <w:r w:rsidRPr="00357D61">
        <w:rPr>
          <w:rFonts w:eastAsia="Times New Roman"/>
          <w:sz w:val="24"/>
          <w:szCs w:val="24"/>
        </w:rPr>
        <w:t xml:space="preserve"> and Viruses in the source water. The adequacy of the Watershed Protection/Control Program to prevent potential contamination of the source water and other contaminants must be based on:</w:t>
      </w:r>
    </w:p>
    <w:p w14:paraId="281A58BF" w14:textId="77777777" w:rsidR="004647B9" w:rsidRPr="00357D61" w:rsidRDefault="00E2436F" w:rsidP="006C5F31">
      <w:pPr>
        <w:numPr>
          <w:ilvl w:val="1"/>
          <w:numId w:val="566"/>
        </w:numPr>
        <w:tabs>
          <w:tab w:val="left" w:pos="2700"/>
        </w:tabs>
        <w:ind w:left="2700" w:hanging="356"/>
        <w:rPr>
          <w:rFonts w:eastAsia="Times New Roman"/>
          <w:sz w:val="24"/>
          <w:szCs w:val="24"/>
        </w:rPr>
      </w:pPr>
      <w:r w:rsidRPr="00357D61">
        <w:rPr>
          <w:rFonts w:eastAsia="Times New Roman"/>
          <w:sz w:val="24"/>
          <w:szCs w:val="24"/>
        </w:rPr>
        <w:t>The comprehensiveness of the watershed review;</w:t>
      </w:r>
    </w:p>
    <w:p w14:paraId="281A58C1" w14:textId="77777777" w:rsidR="004647B9" w:rsidRPr="00357D61" w:rsidRDefault="00E2436F" w:rsidP="006C5F31">
      <w:pPr>
        <w:numPr>
          <w:ilvl w:val="1"/>
          <w:numId w:val="566"/>
        </w:numPr>
        <w:tabs>
          <w:tab w:val="left" w:pos="2722"/>
        </w:tabs>
        <w:ind w:left="2340" w:firstLine="4"/>
        <w:rPr>
          <w:rFonts w:eastAsia="Times New Roman"/>
          <w:sz w:val="24"/>
          <w:szCs w:val="24"/>
        </w:rPr>
      </w:pPr>
      <w:r w:rsidRPr="00357D61">
        <w:rPr>
          <w:rFonts w:eastAsia="Times New Roman"/>
          <w:sz w:val="24"/>
          <w:szCs w:val="24"/>
        </w:rPr>
        <w:t>The effectiveness of the system's program to monitor and control detrimental activities occurring in the Watershed; and</w:t>
      </w:r>
    </w:p>
    <w:p w14:paraId="281A58C2" w14:textId="77777777" w:rsidR="004647B9" w:rsidRPr="00357D61" w:rsidRDefault="00E2436F" w:rsidP="006C5F31">
      <w:pPr>
        <w:numPr>
          <w:ilvl w:val="1"/>
          <w:numId w:val="566"/>
        </w:numPr>
        <w:tabs>
          <w:tab w:val="left" w:pos="2823"/>
        </w:tabs>
        <w:ind w:left="2340" w:firstLine="4"/>
        <w:rPr>
          <w:rFonts w:eastAsia="Times New Roman"/>
          <w:sz w:val="24"/>
          <w:szCs w:val="24"/>
        </w:rPr>
      </w:pPr>
      <w:r w:rsidRPr="00357D61">
        <w:rPr>
          <w:rFonts w:eastAsia="Times New Roman"/>
          <w:sz w:val="24"/>
          <w:szCs w:val="24"/>
        </w:rPr>
        <w:t>Extent to which the water system has maximized land ownership and/or controlled land use within the Watershed.</w:t>
      </w:r>
    </w:p>
    <w:p w14:paraId="281A58C3" w14:textId="77777777" w:rsidR="004647B9" w:rsidRPr="00357D61" w:rsidRDefault="00E2436F" w:rsidP="006C5F31">
      <w:pPr>
        <w:numPr>
          <w:ilvl w:val="1"/>
          <w:numId w:val="566"/>
        </w:numPr>
        <w:tabs>
          <w:tab w:val="left" w:pos="2796"/>
        </w:tabs>
        <w:ind w:left="2340" w:firstLine="4"/>
        <w:rPr>
          <w:rFonts w:eastAsia="Times New Roman"/>
          <w:sz w:val="24"/>
          <w:szCs w:val="24"/>
        </w:rPr>
      </w:pPr>
      <w:r w:rsidRPr="00357D61">
        <w:rPr>
          <w:rFonts w:eastAsia="Times New Roman"/>
          <w:sz w:val="24"/>
          <w:szCs w:val="24"/>
        </w:rPr>
        <w:t>At a minimum, a Watershed Protection/Control Program shall include the following information:</w:t>
      </w:r>
    </w:p>
    <w:p w14:paraId="281A58C4" w14:textId="77777777" w:rsidR="004647B9" w:rsidRPr="00357D61" w:rsidRDefault="00E2436F" w:rsidP="006C5F31">
      <w:pPr>
        <w:numPr>
          <w:ilvl w:val="2"/>
          <w:numId w:val="566"/>
        </w:numPr>
        <w:tabs>
          <w:tab w:val="left" w:pos="3043"/>
        </w:tabs>
        <w:ind w:left="2700" w:firstLine="4"/>
        <w:jc w:val="both"/>
        <w:rPr>
          <w:rFonts w:eastAsia="Times New Roman"/>
          <w:sz w:val="24"/>
          <w:szCs w:val="24"/>
        </w:rPr>
      </w:pPr>
      <w:r w:rsidRPr="00357D61">
        <w:rPr>
          <w:rFonts w:eastAsia="Times New Roman"/>
          <w:sz w:val="24"/>
          <w:szCs w:val="24"/>
        </w:rPr>
        <w:t>a Watershed description, including maps and accompanying narratives of major physical features, components of the water system, and hydrological characteristics;</w:t>
      </w:r>
    </w:p>
    <w:p w14:paraId="281A58C6" w14:textId="77777777" w:rsidR="004647B9" w:rsidRPr="00357D61" w:rsidRDefault="00E2436F" w:rsidP="006C5F31">
      <w:pPr>
        <w:numPr>
          <w:ilvl w:val="2"/>
          <w:numId w:val="566"/>
        </w:numPr>
        <w:tabs>
          <w:tab w:val="left" w:pos="3139"/>
        </w:tabs>
        <w:ind w:left="2700" w:firstLine="4"/>
        <w:rPr>
          <w:rFonts w:eastAsia="Times New Roman"/>
          <w:sz w:val="24"/>
          <w:szCs w:val="24"/>
        </w:rPr>
      </w:pPr>
      <w:r w:rsidRPr="00357D61">
        <w:rPr>
          <w:rFonts w:eastAsia="Times New Roman"/>
          <w:sz w:val="24"/>
          <w:szCs w:val="24"/>
        </w:rPr>
        <w:t>the Watershed characteristics and activities which may have an adverse effect on source water quality;</w:t>
      </w:r>
    </w:p>
    <w:p w14:paraId="281A58C7" w14:textId="77777777" w:rsidR="004647B9" w:rsidRPr="00357D61" w:rsidRDefault="00E2436F" w:rsidP="006C5F31">
      <w:pPr>
        <w:numPr>
          <w:ilvl w:val="2"/>
          <w:numId w:val="566"/>
        </w:numPr>
        <w:tabs>
          <w:tab w:val="left" w:pos="3111"/>
        </w:tabs>
        <w:ind w:left="2700" w:firstLine="4"/>
        <w:rPr>
          <w:rFonts w:eastAsia="Times New Roman"/>
          <w:sz w:val="24"/>
          <w:szCs w:val="24"/>
        </w:rPr>
      </w:pPr>
      <w:r w:rsidRPr="00357D61">
        <w:rPr>
          <w:rFonts w:eastAsia="Times New Roman"/>
          <w:sz w:val="24"/>
          <w:szCs w:val="24"/>
        </w:rPr>
        <w:t>a risk assessment and plan for controlling detrimental activities/events that may have an adverse impact on source water quality;</w:t>
      </w:r>
    </w:p>
    <w:p w14:paraId="281A58C8" w14:textId="77777777" w:rsidR="004647B9" w:rsidRPr="00357D61" w:rsidRDefault="00E2436F" w:rsidP="006C5F31">
      <w:pPr>
        <w:numPr>
          <w:ilvl w:val="2"/>
          <w:numId w:val="566"/>
        </w:numPr>
        <w:tabs>
          <w:tab w:val="left" w:pos="3084"/>
        </w:tabs>
        <w:ind w:left="2700" w:firstLine="4"/>
        <w:rPr>
          <w:rFonts w:eastAsia="Times New Roman"/>
          <w:sz w:val="24"/>
          <w:szCs w:val="24"/>
        </w:rPr>
      </w:pPr>
      <w:r w:rsidRPr="00357D61">
        <w:rPr>
          <w:rFonts w:eastAsia="Times New Roman"/>
          <w:sz w:val="24"/>
          <w:szCs w:val="24"/>
        </w:rPr>
        <w:t>a plan for monitoring Raw Water quality parameters at locations vulnerable to contamination from detrimental activities;</w:t>
      </w:r>
    </w:p>
    <w:p w14:paraId="281A58C9" w14:textId="77777777" w:rsidR="004647B9" w:rsidRPr="00357D61" w:rsidRDefault="00E2436F" w:rsidP="006C5F31">
      <w:pPr>
        <w:numPr>
          <w:ilvl w:val="2"/>
          <w:numId w:val="566"/>
        </w:numPr>
        <w:tabs>
          <w:tab w:val="left" w:pos="3010"/>
        </w:tabs>
        <w:ind w:left="2700" w:firstLine="4"/>
        <w:jc w:val="both"/>
        <w:rPr>
          <w:rFonts w:eastAsia="Times New Roman"/>
          <w:sz w:val="24"/>
          <w:szCs w:val="24"/>
        </w:rPr>
      </w:pPr>
      <w:r w:rsidRPr="00357D61">
        <w:rPr>
          <w:rFonts w:eastAsia="Times New Roman"/>
          <w:sz w:val="24"/>
          <w:szCs w:val="24"/>
        </w:rPr>
        <w:t>demonstrated control through land ownership and/or land use restrictions on all human activities within the Watershed which may have an adverse impact on the microbiological quality of the source water; and</w:t>
      </w:r>
    </w:p>
    <w:p w14:paraId="281A58CB" w14:textId="77777777" w:rsidR="004647B9" w:rsidRPr="00357D61" w:rsidRDefault="00E2436F" w:rsidP="006C5F31">
      <w:pPr>
        <w:numPr>
          <w:ilvl w:val="2"/>
          <w:numId w:val="566"/>
        </w:numPr>
        <w:tabs>
          <w:tab w:val="left" w:pos="3134"/>
        </w:tabs>
        <w:ind w:left="2700" w:firstLine="4"/>
        <w:jc w:val="both"/>
        <w:rPr>
          <w:rFonts w:eastAsia="Times New Roman"/>
          <w:sz w:val="24"/>
          <w:szCs w:val="24"/>
        </w:rPr>
      </w:pPr>
      <w:r w:rsidRPr="00357D61">
        <w:rPr>
          <w:rFonts w:eastAsia="Times New Roman"/>
          <w:sz w:val="24"/>
          <w:szCs w:val="24"/>
        </w:rPr>
        <w:t>a management plan for staffing, training and maintaining effective day to day operations (including Emergency response to contamination) and implementing a Department-approved Watershed Control/Protection Program.</w:t>
      </w:r>
    </w:p>
    <w:p w14:paraId="281A58CC" w14:textId="77777777" w:rsidR="004647B9" w:rsidRPr="00357D61" w:rsidRDefault="00E2436F" w:rsidP="006C5F31">
      <w:pPr>
        <w:numPr>
          <w:ilvl w:val="2"/>
          <w:numId w:val="566"/>
        </w:numPr>
        <w:tabs>
          <w:tab w:val="left" w:pos="3302"/>
        </w:tabs>
        <w:ind w:left="2700" w:firstLine="4"/>
        <w:jc w:val="both"/>
        <w:rPr>
          <w:rFonts w:eastAsia="Times New Roman"/>
          <w:sz w:val="24"/>
          <w:szCs w:val="24"/>
        </w:rPr>
      </w:pPr>
      <w:r w:rsidRPr="00357D61">
        <w:rPr>
          <w:rFonts w:eastAsia="Times New Roman"/>
          <w:sz w:val="24"/>
          <w:szCs w:val="24"/>
        </w:rPr>
        <w:t>a description of activities in the Watershed that affect water quality,</w:t>
      </w:r>
      <w:r>
        <w:rPr>
          <w:rFonts w:eastAsia="Times New Roman"/>
          <w:sz w:val="24"/>
          <w:szCs w:val="24"/>
        </w:rPr>
        <w:t xml:space="preserve"> projects what adverse activities are expected to occur in the future, describes </w:t>
      </w:r>
      <w:r w:rsidRPr="00357D61">
        <w:rPr>
          <w:rFonts w:eastAsia="Times New Roman"/>
          <w:sz w:val="24"/>
          <w:szCs w:val="24"/>
        </w:rPr>
        <w:t>how the Supplier of Water expects to address them and otherwise complies with 310 CMR 22.20B(9) and 22.21(4), if applicable.</w:t>
      </w:r>
    </w:p>
    <w:p w14:paraId="281A58CD" w14:textId="77777777" w:rsidR="004647B9" w:rsidRPr="00357D61" w:rsidRDefault="00E2436F" w:rsidP="006C5F31">
      <w:pPr>
        <w:numPr>
          <w:ilvl w:val="1"/>
          <w:numId w:val="566"/>
        </w:numPr>
        <w:tabs>
          <w:tab w:val="left" w:pos="2694"/>
        </w:tabs>
        <w:ind w:left="2340" w:firstLine="4"/>
        <w:jc w:val="both"/>
        <w:rPr>
          <w:rFonts w:eastAsia="Times New Roman"/>
          <w:sz w:val="24"/>
          <w:szCs w:val="24"/>
        </w:rPr>
      </w:pPr>
      <w:r w:rsidRPr="00357D61">
        <w:rPr>
          <w:rFonts w:eastAsia="Times New Roman"/>
          <w:sz w:val="24"/>
          <w:szCs w:val="24"/>
        </w:rPr>
        <w:t>The Supplier of Water shall submit an annual report on Department-approved forms to the Department. The annual report shall identify any special concerns about the Watershed and how they are being handled;</w:t>
      </w:r>
    </w:p>
    <w:p w14:paraId="281A58CF" w14:textId="77777777" w:rsidR="004647B9" w:rsidRPr="00357D61" w:rsidRDefault="00E2436F" w:rsidP="006C5F31">
      <w:pPr>
        <w:numPr>
          <w:ilvl w:val="0"/>
          <w:numId w:val="567"/>
        </w:numPr>
        <w:tabs>
          <w:tab w:val="left" w:pos="2434"/>
        </w:tabs>
        <w:ind w:left="1980" w:firstLine="4"/>
        <w:jc w:val="both"/>
        <w:rPr>
          <w:rFonts w:eastAsia="Times New Roman"/>
          <w:sz w:val="24"/>
          <w:szCs w:val="24"/>
        </w:rPr>
      </w:pPr>
      <w:r w:rsidRPr="00357D61">
        <w:rPr>
          <w:rFonts w:eastAsia="Times New Roman"/>
          <w:sz w:val="24"/>
          <w:szCs w:val="24"/>
        </w:rPr>
        <w:t>The Supplier of Water shall be subject to an annual on site inspection by the Department or a Person designated by the Department to assess the Watershed Protection/Control Program and Disinfection treatment process. A report of the on site inspection which summarizes all findings must be prepared every year. The on site inspection must indicate to the Department's satisfaction that the Watershed Protection/ Control Program and Disinfection treatment process are adequately designed and maintained. The on site inspection must include:</w:t>
      </w:r>
    </w:p>
    <w:p w14:paraId="281A58D1" w14:textId="77777777" w:rsidR="004647B9" w:rsidRPr="00357D61" w:rsidRDefault="00E2436F" w:rsidP="006C5F31">
      <w:pPr>
        <w:numPr>
          <w:ilvl w:val="1"/>
          <w:numId w:val="567"/>
        </w:numPr>
        <w:tabs>
          <w:tab w:val="left" w:pos="2620"/>
        </w:tabs>
        <w:ind w:left="2347"/>
        <w:rPr>
          <w:rFonts w:eastAsia="Times New Roman"/>
          <w:sz w:val="24"/>
          <w:szCs w:val="24"/>
        </w:rPr>
      </w:pPr>
      <w:r w:rsidRPr="00357D61">
        <w:rPr>
          <w:rFonts w:eastAsia="Times New Roman"/>
          <w:sz w:val="24"/>
          <w:szCs w:val="24"/>
        </w:rPr>
        <w:t>A review of the effectiveness of the Watershed Protection/Control Program Plan;</w:t>
      </w:r>
    </w:p>
    <w:p w14:paraId="281A58D3" w14:textId="77777777" w:rsidR="004647B9" w:rsidRPr="00357D61" w:rsidRDefault="00E2436F" w:rsidP="006C5F31">
      <w:pPr>
        <w:numPr>
          <w:ilvl w:val="1"/>
          <w:numId w:val="567"/>
        </w:numPr>
        <w:tabs>
          <w:tab w:val="left" w:pos="2779"/>
        </w:tabs>
        <w:ind w:left="2340" w:firstLine="4"/>
        <w:rPr>
          <w:rFonts w:eastAsia="Times New Roman"/>
          <w:sz w:val="24"/>
          <w:szCs w:val="24"/>
        </w:rPr>
      </w:pPr>
      <w:r w:rsidRPr="00357D61">
        <w:rPr>
          <w:rFonts w:eastAsia="Times New Roman"/>
          <w:sz w:val="24"/>
          <w:szCs w:val="24"/>
        </w:rPr>
        <w:t>A review of the physical condition of the source intake and how well it is protected;</w:t>
      </w:r>
    </w:p>
    <w:p w14:paraId="281A58D4" w14:textId="77777777" w:rsidR="004647B9" w:rsidRPr="00357D61" w:rsidRDefault="00E2436F" w:rsidP="006C5F31">
      <w:pPr>
        <w:numPr>
          <w:ilvl w:val="1"/>
          <w:numId w:val="567"/>
        </w:numPr>
        <w:tabs>
          <w:tab w:val="left" w:pos="2651"/>
        </w:tabs>
        <w:ind w:left="2340" w:firstLine="4"/>
        <w:rPr>
          <w:rFonts w:eastAsia="Times New Roman"/>
          <w:sz w:val="24"/>
          <w:szCs w:val="24"/>
        </w:rPr>
      </w:pPr>
      <w:r w:rsidRPr="00357D61">
        <w:rPr>
          <w:rFonts w:eastAsia="Times New Roman"/>
          <w:sz w:val="24"/>
          <w:szCs w:val="24"/>
        </w:rPr>
        <w:t>A review of the system's equipment maintenance program to ensure there is low probability for failure of the Disinfection process;</w:t>
      </w:r>
    </w:p>
    <w:p w14:paraId="281A58D5" w14:textId="77777777" w:rsidR="004647B9" w:rsidRPr="00357D61" w:rsidRDefault="00E2436F" w:rsidP="006C5F31">
      <w:pPr>
        <w:numPr>
          <w:ilvl w:val="1"/>
          <w:numId w:val="567"/>
        </w:numPr>
        <w:tabs>
          <w:tab w:val="left" w:pos="2700"/>
        </w:tabs>
        <w:ind w:left="2700" w:hanging="356"/>
        <w:rPr>
          <w:rFonts w:eastAsia="Times New Roman"/>
          <w:sz w:val="24"/>
          <w:szCs w:val="24"/>
        </w:rPr>
      </w:pPr>
      <w:r w:rsidRPr="00357D61">
        <w:rPr>
          <w:rFonts w:eastAsia="Times New Roman"/>
          <w:sz w:val="24"/>
          <w:szCs w:val="24"/>
        </w:rPr>
        <w:t>An inspection of the Disinfection equipment for physical deterioration;</w:t>
      </w:r>
    </w:p>
    <w:p w14:paraId="281A58D7" w14:textId="77777777" w:rsidR="004647B9" w:rsidRPr="00357D61" w:rsidRDefault="00E2436F" w:rsidP="006C5F31">
      <w:pPr>
        <w:numPr>
          <w:ilvl w:val="1"/>
          <w:numId w:val="567"/>
        </w:numPr>
        <w:tabs>
          <w:tab w:val="left" w:pos="2700"/>
        </w:tabs>
        <w:ind w:left="2700" w:hanging="356"/>
        <w:rPr>
          <w:rFonts w:eastAsia="Times New Roman"/>
          <w:sz w:val="24"/>
          <w:szCs w:val="24"/>
        </w:rPr>
      </w:pPr>
      <w:r w:rsidRPr="00357D61">
        <w:rPr>
          <w:rFonts w:eastAsia="Times New Roman"/>
          <w:sz w:val="24"/>
          <w:szCs w:val="24"/>
        </w:rPr>
        <w:t>A review of operating procedures;</w:t>
      </w:r>
    </w:p>
    <w:p w14:paraId="281A58D9" w14:textId="77777777" w:rsidR="004647B9" w:rsidRPr="00357D61" w:rsidRDefault="00E2436F" w:rsidP="006C5F31">
      <w:pPr>
        <w:numPr>
          <w:ilvl w:val="1"/>
          <w:numId w:val="567"/>
        </w:numPr>
        <w:tabs>
          <w:tab w:val="left" w:pos="2617"/>
        </w:tabs>
        <w:ind w:left="2340" w:firstLine="4"/>
        <w:rPr>
          <w:rFonts w:eastAsia="Times New Roman"/>
          <w:sz w:val="24"/>
          <w:szCs w:val="24"/>
        </w:rPr>
      </w:pPr>
      <w:r w:rsidRPr="00357D61">
        <w:rPr>
          <w:rFonts w:eastAsia="Times New Roman"/>
          <w:sz w:val="24"/>
          <w:szCs w:val="24"/>
        </w:rPr>
        <w:t>A review of data records to ensure that all required tests are being conducted and recorded and Disinfection is effectively practiced; and</w:t>
      </w:r>
    </w:p>
    <w:p w14:paraId="281A58DA" w14:textId="77777777" w:rsidR="004647B9" w:rsidRPr="00357D61" w:rsidRDefault="00E2436F" w:rsidP="006C5F31">
      <w:pPr>
        <w:numPr>
          <w:ilvl w:val="1"/>
          <w:numId w:val="567"/>
        </w:numPr>
        <w:tabs>
          <w:tab w:val="left" w:pos="2683"/>
        </w:tabs>
        <w:ind w:left="2340" w:firstLine="4"/>
        <w:rPr>
          <w:rFonts w:eastAsia="Times New Roman"/>
          <w:sz w:val="24"/>
          <w:szCs w:val="24"/>
        </w:rPr>
      </w:pPr>
      <w:r w:rsidRPr="00357D61">
        <w:rPr>
          <w:rFonts w:eastAsia="Times New Roman"/>
          <w:sz w:val="24"/>
          <w:szCs w:val="24"/>
        </w:rPr>
        <w:t>Identification of any improvements which are needed in the equipment, system maintenance and operation, or data collection.</w:t>
      </w:r>
    </w:p>
    <w:p w14:paraId="281A58DB" w14:textId="77777777" w:rsidR="004647B9" w:rsidRDefault="004647B9">
      <w:pPr>
        <w:sectPr w:rsidR="004647B9" w:rsidSect="00EF630C">
          <w:pgSz w:w="12240" w:h="20180"/>
          <w:pgMar w:top="708" w:right="1440" w:bottom="1440" w:left="620" w:header="0" w:footer="0" w:gutter="0"/>
          <w:cols w:space="720"/>
        </w:sectPr>
      </w:pPr>
    </w:p>
    <w:p w14:paraId="281A58DC" w14:textId="77777777" w:rsidR="004647B9" w:rsidRDefault="00E2436F">
      <w:pPr>
        <w:tabs>
          <w:tab w:val="left" w:pos="160"/>
        </w:tabs>
        <w:ind w:right="20"/>
        <w:jc w:val="center"/>
        <w:rPr>
          <w:sz w:val="20"/>
          <w:szCs w:val="20"/>
        </w:rPr>
      </w:pPr>
      <w:bookmarkStart w:id="252" w:name="page256"/>
      <w:bookmarkEnd w:id="25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8DD" w14:textId="77777777" w:rsidR="004647B9" w:rsidRDefault="004647B9" w:rsidP="006C5F31">
      <w:pPr>
        <w:rPr>
          <w:sz w:val="20"/>
          <w:szCs w:val="20"/>
        </w:rPr>
      </w:pPr>
    </w:p>
    <w:p w14:paraId="281A58DE" w14:textId="77777777" w:rsidR="004647B9" w:rsidRDefault="004647B9" w:rsidP="006C5F31">
      <w:pPr>
        <w:rPr>
          <w:sz w:val="20"/>
          <w:szCs w:val="20"/>
        </w:rPr>
      </w:pPr>
    </w:p>
    <w:p w14:paraId="281A58DF" w14:textId="77777777" w:rsidR="004647B9" w:rsidRDefault="00E2436F" w:rsidP="006C5F31">
      <w:pPr>
        <w:tabs>
          <w:tab w:val="left" w:pos="940"/>
        </w:tabs>
        <w:rPr>
          <w:sz w:val="20"/>
          <w:szCs w:val="20"/>
        </w:rPr>
      </w:pPr>
      <w:r>
        <w:rPr>
          <w:rFonts w:eastAsia="Times New Roman"/>
          <w:sz w:val="24"/>
          <w:szCs w:val="24"/>
        </w:rPr>
        <w:t>22.20A:</w:t>
      </w:r>
      <w:r>
        <w:rPr>
          <w:rFonts w:eastAsia="Times New Roman"/>
          <w:sz w:val="24"/>
          <w:szCs w:val="24"/>
        </w:rPr>
        <w:tab/>
        <w:t>continued</w:t>
      </w:r>
    </w:p>
    <w:p w14:paraId="281A58E0" w14:textId="77777777" w:rsidR="004647B9" w:rsidRDefault="004647B9" w:rsidP="006C5F31">
      <w:pPr>
        <w:rPr>
          <w:sz w:val="20"/>
          <w:szCs w:val="20"/>
        </w:rPr>
      </w:pPr>
    </w:p>
    <w:p w14:paraId="281A58E1" w14:textId="77777777" w:rsidR="004647B9" w:rsidRPr="00357D61" w:rsidRDefault="00E2436F" w:rsidP="006C5F31">
      <w:pPr>
        <w:numPr>
          <w:ilvl w:val="2"/>
          <w:numId w:val="568"/>
        </w:numPr>
        <w:tabs>
          <w:tab w:val="left" w:pos="2297"/>
        </w:tabs>
        <w:ind w:left="1980" w:firstLine="4"/>
        <w:jc w:val="both"/>
        <w:rPr>
          <w:rFonts w:eastAsia="Times New Roman"/>
          <w:sz w:val="24"/>
          <w:szCs w:val="24"/>
        </w:rPr>
      </w:pPr>
      <w:r w:rsidRPr="00357D61">
        <w:rPr>
          <w:rFonts w:eastAsia="Times New Roman"/>
          <w:sz w:val="24"/>
          <w:szCs w:val="24"/>
        </w:rPr>
        <w:t>The Public Water System must not have been identified as a source of a Waterborne Disease Outbreak, or if it has been so identified, the system must have been modified sufficiently to prevent another such occurrence, as determined by the Department.</w:t>
      </w:r>
    </w:p>
    <w:p w14:paraId="0C5F98CC" w14:textId="77777777" w:rsidR="00093379" w:rsidRPr="00357D61" w:rsidRDefault="00E2436F" w:rsidP="006C5F31">
      <w:pPr>
        <w:numPr>
          <w:ilvl w:val="2"/>
          <w:numId w:val="568"/>
        </w:numPr>
        <w:tabs>
          <w:tab w:val="left" w:pos="2350"/>
        </w:tabs>
        <w:ind w:left="1980" w:firstLine="4"/>
        <w:jc w:val="both"/>
        <w:rPr>
          <w:rFonts w:eastAsia="Times New Roman"/>
          <w:sz w:val="24"/>
          <w:szCs w:val="24"/>
        </w:rPr>
      </w:pPr>
      <w:r w:rsidRPr="00357D61">
        <w:rPr>
          <w:rFonts w:eastAsia="Times New Roman"/>
          <w:sz w:val="24"/>
          <w:szCs w:val="24"/>
        </w:rPr>
        <w:t xml:space="preserve">A Supplier of Water must comply with the Maximum Contaminant Level (MCL) for </w:t>
      </w:r>
      <w:r w:rsidRPr="00357D61">
        <w:rPr>
          <w:rFonts w:eastAsia="Times New Roman"/>
          <w:i/>
          <w:iCs/>
          <w:sz w:val="24"/>
          <w:szCs w:val="24"/>
        </w:rPr>
        <w:t>E. coli</w:t>
      </w:r>
      <w:r w:rsidRPr="00357D61">
        <w:rPr>
          <w:rFonts w:eastAsia="Times New Roman"/>
          <w:sz w:val="24"/>
          <w:szCs w:val="24"/>
        </w:rPr>
        <w:t xml:space="preserve"> in 310 CMR 22.05(8) at least 11 months of the 12 previous months that the system served water to the public, on an ongoing basis, unless the Department determines that failure to meet this requirement was not caused by a deficiency in treatment of the source water.</w:t>
      </w:r>
    </w:p>
    <w:p w14:paraId="281A58E8" w14:textId="19E8A070" w:rsidR="004647B9" w:rsidRPr="00357D61" w:rsidRDefault="00E2436F" w:rsidP="006C5F31">
      <w:pPr>
        <w:numPr>
          <w:ilvl w:val="2"/>
          <w:numId w:val="568"/>
        </w:numPr>
        <w:tabs>
          <w:tab w:val="left" w:pos="2350"/>
        </w:tabs>
        <w:ind w:left="1980" w:firstLine="4"/>
        <w:jc w:val="both"/>
        <w:rPr>
          <w:rFonts w:eastAsia="Times New Roman"/>
          <w:sz w:val="24"/>
          <w:szCs w:val="24"/>
        </w:rPr>
      </w:pPr>
      <w:r w:rsidRPr="00357D61">
        <w:rPr>
          <w:rFonts w:eastAsia="Times New Roman"/>
          <w:sz w:val="24"/>
          <w:szCs w:val="24"/>
        </w:rPr>
        <w:t>Each Supplier of Water shall comply with the requirements for Trihalomethanes in</w:t>
      </w:r>
      <w:r w:rsidR="00093379" w:rsidRPr="00357D61">
        <w:rPr>
          <w:rFonts w:eastAsia="Times New Roman"/>
          <w:sz w:val="24"/>
          <w:szCs w:val="24"/>
        </w:rPr>
        <w:t xml:space="preserve"> 310 </w:t>
      </w:r>
      <w:r w:rsidRPr="00357D61">
        <w:rPr>
          <w:rFonts w:eastAsia="Times New Roman"/>
          <w:sz w:val="24"/>
          <w:szCs w:val="24"/>
        </w:rPr>
        <w:t>CMR 22.07(1) and (2) until December 31, 2001. After January 1, 2002, the Public Water System shall comply with the requirements for Total Trihalomethanes, Haloacetic Acids (Five), bromate, chlorite, chlorine, chloramines and chlorine dioxide as appropriate or applicable depending on Disinfectant used and in accordance with</w:t>
      </w:r>
      <w:r w:rsidR="00093379" w:rsidRPr="00357D61">
        <w:rPr>
          <w:rFonts w:eastAsia="Times New Roman"/>
          <w:sz w:val="24"/>
          <w:szCs w:val="24"/>
        </w:rPr>
        <w:t xml:space="preserve"> 310 </w:t>
      </w:r>
      <w:r w:rsidRPr="00357D61">
        <w:rPr>
          <w:rFonts w:eastAsia="Times New Roman"/>
          <w:sz w:val="24"/>
          <w:szCs w:val="24"/>
        </w:rPr>
        <w:t>CMR 22.07E.</w:t>
      </w:r>
    </w:p>
    <w:p w14:paraId="281A58E9" w14:textId="77777777" w:rsidR="004647B9" w:rsidRPr="00357D61" w:rsidRDefault="00E2436F" w:rsidP="006C5F31">
      <w:pPr>
        <w:numPr>
          <w:ilvl w:val="1"/>
          <w:numId w:val="569"/>
        </w:numPr>
        <w:tabs>
          <w:tab w:val="left" w:pos="2080"/>
        </w:tabs>
        <w:ind w:left="2080" w:hanging="456"/>
        <w:rPr>
          <w:rFonts w:eastAsia="Times New Roman"/>
          <w:sz w:val="24"/>
          <w:szCs w:val="24"/>
        </w:rPr>
      </w:pPr>
      <w:r w:rsidRPr="00B86401">
        <w:rPr>
          <w:rFonts w:eastAsia="Times New Roman"/>
          <w:sz w:val="24"/>
          <w:szCs w:val="24"/>
          <w:u w:val="single"/>
        </w:rPr>
        <w:t>Treatment Technique Violations</w:t>
      </w:r>
      <w:r w:rsidRPr="00B86401">
        <w:rPr>
          <w:rFonts w:eastAsia="Times New Roman"/>
          <w:sz w:val="24"/>
          <w:szCs w:val="24"/>
        </w:rPr>
        <w:t>.</w:t>
      </w:r>
    </w:p>
    <w:p w14:paraId="281A58EA" w14:textId="77777777" w:rsidR="004647B9" w:rsidRPr="00357D61" w:rsidRDefault="00E2436F" w:rsidP="006C5F31">
      <w:pPr>
        <w:numPr>
          <w:ilvl w:val="2"/>
          <w:numId w:val="569"/>
        </w:numPr>
        <w:tabs>
          <w:tab w:val="left" w:pos="2455"/>
        </w:tabs>
        <w:ind w:left="1980" w:firstLine="4"/>
        <w:rPr>
          <w:rFonts w:eastAsia="Times New Roman"/>
          <w:sz w:val="24"/>
          <w:szCs w:val="24"/>
        </w:rPr>
      </w:pPr>
      <w:r w:rsidRPr="00357D61">
        <w:rPr>
          <w:rFonts w:eastAsia="Times New Roman"/>
          <w:sz w:val="24"/>
          <w:szCs w:val="24"/>
        </w:rPr>
        <w:t>A Supplier of Water shall be deemed in violation of a Treatment Technique requirement if it:</w:t>
      </w:r>
    </w:p>
    <w:p w14:paraId="281A58EC" w14:textId="57BEAD4A" w:rsidR="004647B9" w:rsidRPr="00357D61" w:rsidRDefault="00E2436F" w:rsidP="006C5F31">
      <w:pPr>
        <w:numPr>
          <w:ilvl w:val="3"/>
          <w:numId w:val="569"/>
        </w:numPr>
        <w:tabs>
          <w:tab w:val="left" w:pos="2737"/>
        </w:tabs>
        <w:ind w:left="2340" w:firstLine="4"/>
        <w:rPr>
          <w:rFonts w:eastAsia="Times New Roman"/>
          <w:sz w:val="24"/>
          <w:szCs w:val="24"/>
        </w:rPr>
      </w:pPr>
      <w:r w:rsidRPr="00357D61">
        <w:rPr>
          <w:rFonts w:eastAsia="Times New Roman"/>
          <w:sz w:val="24"/>
          <w:szCs w:val="24"/>
        </w:rPr>
        <w:t xml:space="preserve">fails to meet any one of the criteria in 310 CMR 22.20A(2)(a) or (b) and/or </w:t>
      </w:r>
      <w:r w:rsidR="00062B43">
        <w:rPr>
          <w:rFonts w:eastAsia="Times New Roman"/>
          <w:sz w:val="24"/>
          <w:szCs w:val="24"/>
        </w:rPr>
        <w:t>has been notified by</w:t>
      </w:r>
      <w:r w:rsidRPr="00357D61">
        <w:rPr>
          <w:rFonts w:eastAsia="Times New Roman"/>
          <w:sz w:val="24"/>
          <w:szCs w:val="24"/>
        </w:rPr>
        <w:t xml:space="preserve"> the Department in writing that Filtration is required; </w:t>
      </w:r>
      <w:r w:rsidR="00D57EE0">
        <w:rPr>
          <w:rFonts w:eastAsia="Times New Roman"/>
          <w:sz w:val="24"/>
          <w:szCs w:val="24"/>
        </w:rPr>
        <w:t>and</w:t>
      </w:r>
    </w:p>
    <w:p w14:paraId="281A58EE" w14:textId="77777777" w:rsidR="004647B9" w:rsidRPr="00357D61" w:rsidRDefault="00E2436F" w:rsidP="006C5F31">
      <w:pPr>
        <w:numPr>
          <w:ilvl w:val="3"/>
          <w:numId w:val="569"/>
        </w:numPr>
        <w:tabs>
          <w:tab w:val="left" w:pos="2700"/>
        </w:tabs>
        <w:ind w:left="2700" w:hanging="356"/>
        <w:rPr>
          <w:rFonts w:eastAsia="Times New Roman"/>
          <w:sz w:val="24"/>
          <w:szCs w:val="24"/>
        </w:rPr>
      </w:pPr>
      <w:r w:rsidRPr="00357D61">
        <w:rPr>
          <w:rFonts w:eastAsia="Times New Roman"/>
          <w:sz w:val="24"/>
          <w:szCs w:val="24"/>
        </w:rPr>
        <w:t>fails to install Filtration by the date specified in 310 CMR 22.20A(2).</w:t>
      </w:r>
    </w:p>
    <w:p w14:paraId="281A58EF" w14:textId="77777777" w:rsidR="004647B9" w:rsidRPr="00357D61" w:rsidRDefault="00E2436F" w:rsidP="006C5F31">
      <w:pPr>
        <w:numPr>
          <w:ilvl w:val="2"/>
          <w:numId w:val="569"/>
        </w:numPr>
        <w:tabs>
          <w:tab w:val="left" w:pos="2347"/>
        </w:tabs>
        <w:ind w:left="1980" w:firstLine="4"/>
        <w:rPr>
          <w:rFonts w:eastAsia="Times New Roman"/>
          <w:sz w:val="24"/>
          <w:szCs w:val="24"/>
        </w:rPr>
      </w:pPr>
      <w:r w:rsidRPr="00357D61">
        <w:rPr>
          <w:rFonts w:eastAsia="Times New Roman"/>
          <w:sz w:val="24"/>
          <w:szCs w:val="24"/>
        </w:rPr>
        <w:t>A Supplier of Water that has not installed Filtration is in violation of a Treatment Technique requirement if:</w:t>
      </w:r>
    </w:p>
    <w:p w14:paraId="281A58F1" w14:textId="77777777" w:rsidR="004647B9" w:rsidRPr="00357D61" w:rsidRDefault="00E2436F" w:rsidP="006C5F31">
      <w:pPr>
        <w:numPr>
          <w:ilvl w:val="3"/>
          <w:numId w:val="569"/>
        </w:numPr>
        <w:tabs>
          <w:tab w:val="left" w:pos="2622"/>
        </w:tabs>
        <w:ind w:left="2340" w:firstLine="4"/>
        <w:jc w:val="both"/>
        <w:rPr>
          <w:rFonts w:eastAsia="Times New Roman"/>
          <w:sz w:val="24"/>
          <w:szCs w:val="24"/>
        </w:rPr>
      </w:pPr>
      <w:r w:rsidRPr="00357D61">
        <w:rPr>
          <w:rFonts w:eastAsia="Times New Roman"/>
          <w:sz w:val="24"/>
          <w:szCs w:val="24"/>
        </w:rPr>
        <w:t>the Turbidity level (measured as specified in 310 CMR 22.20A(5)(a)1. and (b)2.) in a representative sample of the source water immediately prior to the first or only point of Disinfection exceeds one NTU unless five or fewer NTU units have been allowed by the Department; or</w:t>
      </w:r>
    </w:p>
    <w:p w14:paraId="281A58F3" w14:textId="77777777" w:rsidR="004647B9" w:rsidRPr="00357D61" w:rsidRDefault="00E2436F" w:rsidP="006C5F31">
      <w:pPr>
        <w:numPr>
          <w:ilvl w:val="3"/>
          <w:numId w:val="569"/>
        </w:numPr>
        <w:tabs>
          <w:tab w:val="left" w:pos="2700"/>
        </w:tabs>
        <w:ind w:left="2700" w:hanging="356"/>
        <w:rPr>
          <w:rFonts w:eastAsia="Times New Roman"/>
          <w:sz w:val="24"/>
          <w:szCs w:val="24"/>
        </w:rPr>
      </w:pPr>
      <w:r w:rsidRPr="00357D61">
        <w:rPr>
          <w:rFonts w:eastAsia="Times New Roman"/>
          <w:sz w:val="24"/>
          <w:szCs w:val="24"/>
        </w:rPr>
        <w:t>its system is identified as a source of a Waterborne Disease Outbreak.</w:t>
      </w:r>
    </w:p>
    <w:p w14:paraId="281A58F4" w14:textId="77777777" w:rsidR="004647B9" w:rsidRPr="00357D61" w:rsidRDefault="004647B9" w:rsidP="006C5F31">
      <w:pPr>
        <w:rPr>
          <w:rFonts w:eastAsia="Times New Roman"/>
          <w:sz w:val="24"/>
          <w:szCs w:val="24"/>
        </w:rPr>
      </w:pPr>
    </w:p>
    <w:p w14:paraId="281A58F5" w14:textId="77777777" w:rsidR="004647B9" w:rsidRPr="00357D61" w:rsidRDefault="00E2436F" w:rsidP="006C5F31">
      <w:pPr>
        <w:numPr>
          <w:ilvl w:val="0"/>
          <w:numId w:val="570"/>
        </w:numPr>
        <w:tabs>
          <w:tab w:val="left" w:pos="1691"/>
        </w:tabs>
        <w:ind w:left="1260" w:firstLine="9"/>
        <w:jc w:val="both"/>
        <w:rPr>
          <w:rFonts w:eastAsia="Times New Roman"/>
          <w:sz w:val="24"/>
          <w:szCs w:val="24"/>
        </w:rPr>
      </w:pPr>
      <w:r w:rsidRPr="00357D61">
        <w:rPr>
          <w:rFonts w:eastAsia="Times New Roman"/>
          <w:sz w:val="24"/>
          <w:szCs w:val="24"/>
          <w:u w:val="single"/>
        </w:rPr>
        <w:t>Disinfection</w:t>
      </w:r>
      <w:r w:rsidRPr="00357D61">
        <w:rPr>
          <w:rFonts w:eastAsia="Times New Roman"/>
          <w:sz w:val="24"/>
          <w:szCs w:val="24"/>
        </w:rPr>
        <w:t>. A Supplier of Water that uses a Surface Water Source and does not provide Filtration treatment must provide the Disinfection treatment specified in 310 CMR 22.20A(3)(a) beginning December 29, 1991, unless the Department notifies it in writing that Filtration is required. A Supplier of Water that uses a groundwater source under the direct influence of surface water and does not provide Filtration treatment must provide Disinfection treatment specified in 310 CMR 22.20A(3)(a) beginning December 29, 1991, or 18 months after the Department determines that the groundwater source is under the influence of surface water, whichever is later, unless the Department has notified it in writing that Filtration is required. If the Department has determined that Filtration is required, the Supplier of Water must comply with any interim Disinfection requirements the Department deems necessary before Filtration is installed. A Supplier of Water that uses a Surface Water Source that provides Filtration treatment must provide the Disinfection treatment specified in 310 CMR 22.20A(3)(b) beginning June 29, 1993, or beginning when Filtration is installed, whichever is later. A Supplier of Water that uses a groundwater source under the direct influence of surface water and provides Filtration treatment must provide Disinfection treatment as specified in 310 CMR 22.20A(3)(b) by June 29, 1993, or beginning when Filtration is installed, whichever is later. Failure to meet any requirement in 310 CMR 22.20A(3) after the applicable date is a Treatment Technique violation.</w:t>
      </w:r>
    </w:p>
    <w:p w14:paraId="281A58F7" w14:textId="77777777" w:rsidR="004647B9" w:rsidRPr="00357D61" w:rsidRDefault="00E2436F" w:rsidP="006C5F31">
      <w:pPr>
        <w:numPr>
          <w:ilvl w:val="1"/>
          <w:numId w:val="570"/>
        </w:numPr>
        <w:tabs>
          <w:tab w:val="left" w:pos="2045"/>
        </w:tabs>
        <w:ind w:left="1620" w:firstLine="4"/>
        <w:jc w:val="both"/>
        <w:rPr>
          <w:rFonts w:eastAsia="Times New Roman"/>
          <w:sz w:val="24"/>
          <w:szCs w:val="24"/>
        </w:rPr>
      </w:pPr>
      <w:r w:rsidRPr="0089090A">
        <w:rPr>
          <w:rFonts w:eastAsia="Times New Roman"/>
          <w:sz w:val="24"/>
          <w:szCs w:val="24"/>
          <w:u w:val="single"/>
        </w:rPr>
        <w:t>Disinfection requirements for Public Water Systems that do not provide Filtration</w:t>
      </w:r>
      <w:r w:rsidRPr="00357D61">
        <w:rPr>
          <w:rFonts w:eastAsia="Times New Roman"/>
          <w:sz w:val="24"/>
          <w:szCs w:val="24"/>
        </w:rPr>
        <w:t>. A Supplier of Water that does not provide Filtration treatment must provide Disinfection treatment as follows:</w:t>
      </w:r>
    </w:p>
    <w:p w14:paraId="281A58F9" w14:textId="77777777" w:rsidR="004647B9" w:rsidRPr="00357D61" w:rsidRDefault="00E2436F" w:rsidP="006C5F31">
      <w:pPr>
        <w:numPr>
          <w:ilvl w:val="2"/>
          <w:numId w:val="570"/>
        </w:numPr>
        <w:tabs>
          <w:tab w:val="left" w:pos="2419"/>
        </w:tabs>
        <w:ind w:left="1980" w:firstLine="4"/>
        <w:jc w:val="both"/>
        <w:rPr>
          <w:rFonts w:eastAsia="Times New Roman"/>
          <w:sz w:val="24"/>
          <w:szCs w:val="24"/>
        </w:rPr>
      </w:pPr>
      <w:r w:rsidRPr="00357D61">
        <w:rPr>
          <w:rFonts w:eastAsia="Times New Roman"/>
          <w:sz w:val="24"/>
          <w:szCs w:val="24"/>
        </w:rPr>
        <w:t xml:space="preserve">The Disinfection treatment must be sufficient to ensure at least 99.9% (3 log) inactivation of </w:t>
      </w:r>
      <w:r w:rsidRPr="00357D61">
        <w:rPr>
          <w:rFonts w:eastAsia="Times New Roman"/>
          <w:i/>
          <w:iCs/>
          <w:sz w:val="24"/>
          <w:szCs w:val="24"/>
        </w:rPr>
        <w:t>Giardia lamblia</w:t>
      </w:r>
      <w:r w:rsidRPr="00357D61">
        <w:rPr>
          <w:rFonts w:eastAsia="Times New Roman"/>
          <w:sz w:val="24"/>
          <w:szCs w:val="24"/>
        </w:rPr>
        <w:t xml:space="preserve"> cysts and 99.99% (4 log) inactivation of Viruses, every day the system serves water to the public, except any one day each month. Each day a system serves water to the public, the Supplier of Water must calculate the CT value(s) from the system's treatment parameters, using the procedure specified in 310 CMR 22.20A(5)(b)3., and determine whether this value(s) is sufficient to achieve the specified inactivation rates for </w:t>
      </w:r>
      <w:r w:rsidRPr="00357D61">
        <w:rPr>
          <w:rFonts w:eastAsia="Times New Roman"/>
          <w:i/>
          <w:iCs/>
          <w:sz w:val="24"/>
          <w:szCs w:val="24"/>
        </w:rPr>
        <w:t>Giardia lamblia</w:t>
      </w:r>
      <w:r w:rsidRPr="00357D61">
        <w:rPr>
          <w:rFonts w:eastAsia="Times New Roman"/>
          <w:sz w:val="24"/>
          <w:szCs w:val="24"/>
        </w:rPr>
        <w:t xml:space="preserve"> cysts and Viruses. If a system uses a Disinfectant other than chlorine, the Supplier of Water may demonstrate to the Department, through the use of a Department approved protocol for on site Disinfection challenge studies or other information satisfactory to the Department, that CT99.9 values other than those specified in 310 CMR 22.20A(5)(b)3.: </w:t>
      </w:r>
      <w:r w:rsidRPr="00357D61">
        <w:rPr>
          <w:rFonts w:eastAsia="Times New Roman"/>
          <w:i/>
          <w:iCs/>
          <w:sz w:val="24"/>
          <w:szCs w:val="24"/>
        </w:rPr>
        <w:t>Tables 2.1</w:t>
      </w:r>
      <w:r w:rsidRPr="00357D61">
        <w:rPr>
          <w:rFonts w:eastAsia="Times New Roman"/>
          <w:sz w:val="24"/>
          <w:szCs w:val="24"/>
        </w:rPr>
        <w:t xml:space="preserve"> and </w:t>
      </w:r>
      <w:r w:rsidRPr="00357D61">
        <w:rPr>
          <w:rFonts w:eastAsia="Times New Roman"/>
          <w:i/>
          <w:iCs/>
          <w:sz w:val="24"/>
          <w:szCs w:val="24"/>
        </w:rPr>
        <w:t>Table 3.1</w:t>
      </w:r>
      <w:r w:rsidRPr="00357D61">
        <w:rPr>
          <w:rFonts w:eastAsia="Times New Roman"/>
          <w:sz w:val="24"/>
          <w:szCs w:val="24"/>
        </w:rPr>
        <w:t xml:space="preserve"> in or other operational parameters are adequate to demonstrate that the system is achieving the minimum inactivation rates required by 310 CMR 22.20A(3)(a).</w:t>
      </w:r>
    </w:p>
    <w:p w14:paraId="281A58FA" w14:textId="77777777" w:rsidR="004647B9" w:rsidRDefault="004647B9">
      <w:pPr>
        <w:sectPr w:rsidR="004647B9" w:rsidSect="00EF630C">
          <w:pgSz w:w="12240" w:h="20180"/>
          <w:pgMar w:top="708" w:right="1440" w:bottom="719" w:left="620" w:header="0" w:footer="0" w:gutter="0"/>
          <w:cols w:space="720"/>
        </w:sectPr>
      </w:pPr>
    </w:p>
    <w:p w14:paraId="281A58FB" w14:textId="77777777" w:rsidR="004647B9" w:rsidRDefault="00E2436F">
      <w:pPr>
        <w:tabs>
          <w:tab w:val="left" w:pos="160"/>
        </w:tabs>
        <w:ind w:right="20"/>
        <w:jc w:val="center"/>
        <w:rPr>
          <w:sz w:val="20"/>
          <w:szCs w:val="20"/>
        </w:rPr>
      </w:pPr>
      <w:bookmarkStart w:id="253" w:name="page257"/>
      <w:bookmarkEnd w:id="25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8FC" w14:textId="77777777" w:rsidR="004647B9" w:rsidRDefault="004647B9" w:rsidP="003003CF">
      <w:pPr>
        <w:rPr>
          <w:sz w:val="20"/>
          <w:szCs w:val="20"/>
        </w:rPr>
      </w:pPr>
    </w:p>
    <w:p w14:paraId="281A58FD" w14:textId="77777777" w:rsidR="004647B9" w:rsidRDefault="004647B9" w:rsidP="003003CF">
      <w:pPr>
        <w:rPr>
          <w:sz w:val="20"/>
          <w:szCs w:val="20"/>
        </w:rPr>
      </w:pPr>
    </w:p>
    <w:p w14:paraId="281A58FE" w14:textId="77777777" w:rsidR="004647B9" w:rsidRDefault="00E2436F" w:rsidP="003003CF">
      <w:pPr>
        <w:tabs>
          <w:tab w:val="left" w:pos="940"/>
        </w:tabs>
        <w:rPr>
          <w:sz w:val="20"/>
          <w:szCs w:val="20"/>
        </w:rPr>
      </w:pPr>
      <w:r>
        <w:rPr>
          <w:rFonts w:eastAsia="Times New Roman"/>
          <w:sz w:val="24"/>
          <w:szCs w:val="24"/>
        </w:rPr>
        <w:t>22.20A:</w:t>
      </w:r>
      <w:r>
        <w:rPr>
          <w:rFonts w:eastAsia="Times New Roman"/>
          <w:sz w:val="24"/>
          <w:szCs w:val="24"/>
        </w:rPr>
        <w:tab/>
        <w:t>continued</w:t>
      </w:r>
    </w:p>
    <w:p w14:paraId="281A58FF" w14:textId="77777777" w:rsidR="004647B9" w:rsidRDefault="004647B9" w:rsidP="003003CF">
      <w:pPr>
        <w:rPr>
          <w:sz w:val="20"/>
          <w:szCs w:val="20"/>
        </w:rPr>
      </w:pPr>
    </w:p>
    <w:p w14:paraId="281A5900" w14:textId="77777777" w:rsidR="004647B9" w:rsidRPr="00357D61" w:rsidRDefault="00E2436F" w:rsidP="003003CF">
      <w:pPr>
        <w:numPr>
          <w:ilvl w:val="0"/>
          <w:numId w:val="571"/>
        </w:numPr>
        <w:tabs>
          <w:tab w:val="left" w:pos="2340"/>
        </w:tabs>
        <w:ind w:left="1980" w:firstLine="4"/>
        <w:jc w:val="both"/>
        <w:rPr>
          <w:rFonts w:eastAsia="Times New Roman"/>
          <w:sz w:val="24"/>
          <w:szCs w:val="24"/>
        </w:rPr>
      </w:pPr>
      <w:r w:rsidRPr="00357D61">
        <w:rPr>
          <w:rFonts w:eastAsia="Times New Roman"/>
          <w:sz w:val="24"/>
          <w:szCs w:val="24"/>
        </w:rPr>
        <w:t>The Disinfection system must have redundant components, including an auxiliary power supply with automatic start up and alarm to ensure that Disinfectant application is maintained continuously while water is being delivered to the Distribution System unless otherwise approved by the Department.</w:t>
      </w:r>
    </w:p>
    <w:p w14:paraId="281A5901" w14:textId="77777777" w:rsidR="004647B9" w:rsidRPr="00357D61" w:rsidRDefault="00E2436F" w:rsidP="003003CF">
      <w:pPr>
        <w:numPr>
          <w:ilvl w:val="0"/>
          <w:numId w:val="571"/>
        </w:numPr>
        <w:tabs>
          <w:tab w:val="left" w:pos="2412"/>
        </w:tabs>
        <w:ind w:left="1980" w:firstLine="4"/>
        <w:jc w:val="both"/>
        <w:rPr>
          <w:rFonts w:eastAsia="Times New Roman"/>
          <w:sz w:val="24"/>
          <w:szCs w:val="24"/>
        </w:rPr>
      </w:pPr>
      <w:r w:rsidRPr="00357D61">
        <w:rPr>
          <w:rFonts w:eastAsia="Times New Roman"/>
          <w:sz w:val="24"/>
          <w:szCs w:val="24"/>
        </w:rPr>
        <w:t>The Residual Disinfectant Concentration in the water entering the Distribution System, measured as specified in 310 CMR 22.20A(5)(a)2. and (b)5., cannot be less than 0.2 mg/l for more than four hours.</w:t>
      </w:r>
    </w:p>
    <w:p w14:paraId="281A5903" w14:textId="4ABCB6BD" w:rsidR="004647B9" w:rsidRPr="00357D61" w:rsidRDefault="00E2436F" w:rsidP="003003CF">
      <w:pPr>
        <w:numPr>
          <w:ilvl w:val="0"/>
          <w:numId w:val="571"/>
        </w:numPr>
        <w:tabs>
          <w:tab w:val="left" w:pos="2362"/>
        </w:tabs>
        <w:ind w:left="1980" w:firstLine="4"/>
        <w:jc w:val="both"/>
        <w:rPr>
          <w:rFonts w:eastAsia="Times New Roman"/>
          <w:sz w:val="24"/>
          <w:szCs w:val="24"/>
        </w:rPr>
      </w:pPr>
      <w:r w:rsidRPr="00357D61">
        <w:rPr>
          <w:rFonts w:eastAsia="Times New Roman"/>
          <w:sz w:val="24"/>
          <w:szCs w:val="24"/>
        </w:rPr>
        <w:t>The Residual Disinfectant Concentration in the Distribution System measured as free chlorine, total chlorine, combined chlorine, or chlorine dioxide, as specified in</w:t>
      </w:r>
      <w:r w:rsidR="003003CF">
        <w:rPr>
          <w:rFonts w:eastAsia="Times New Roman"/>
          <w:sz w:val="24"/>
          <w:szCs w:val="24"/>
        </w:rPr>
        <w:t xml:space="preserve"> 310 </w:t>
      </w:r>
      <w:r w:rsidR="003003CF" w:rsidRPr="00357D61">
        <w:rPr>
          <w:rFonts w:eastAsia="Times New Roman"/>
          <w:sz w:val="24"/>
          <w:szCs w:val="24"/>
        </w:rPr>
        <w:t>CMR 22.20A(5)(a)2. and (b)6., cannot be undetectable in more than 5% of the samples each month, for any two consecutive months that the system serves water to the public. Water in the Distribution System with a heterotrophic bacteria concentration less than or equal to 500/ml, measured as heterotrophic plate count (HPC) as specified in 310 CMR 22.20A(5)(a)1., is deemed to have a detectable Disinfectant residual for purposes of determining compliance with this requirement. Thu</w:t>
      </w:r>
      <w:r w:rsidR="003003CF" w:rsidRPr="00357D61" w:rsidDel="007B206E">
        <w:rPr>
          <w:rFonts w:eastAsia="Times New Roman"/>
          <w:sz w:val="24"/>
          <w:szCs w:val="24"/>
        </w:rPr>
        <w:t>s</w:t>
      </w:r>
      <w:r w:rsidR="003003CF" w:rsidRPr="00357D61">
        <w:rPr>
          <w:rFonts w:eastAsia="Times New Roman"/>
          <w:sz w:val="24"/>
          <w:szCs w:val="24"/>
        </w:rPr>
        <w:t>, the value "V" in the following formula cannot exceed 5% in one month, for any two consecutive months</w:t>
      </w:r>
      <w:r w:rsidR="00B64391">
        <w:rPr>
          <w:rFonts w:eastAsia="Times New Roman"/>
          <w:sz w:val="24"/>
          <w:szCs w:val="24"/>
        </w:rPr>
        <w:t>.</w:t>
      </w:r>
    </w:p>
    <w:p w14:paraId="281A5905" w14:textId="6B1699A7" w:rsidR="004647B9" w:rsidRDefault="004647B9" w:rsidP="003003CF">
      <w:pPr>
        <w:rPr>
          <w:sz w:val="20"/>
          <w:szCs w:val="20"/>
        </w:rPr>
      </w:pPr>
    </w:p>
    <w:p w14:paraId="281A5906" w14:textId="425EC691" w:rsidR="004647B9" w:rsidRDefault="000A7360" w:rsidP="003003CF">
      <w:pPr>
        <w:rPr>
          <w:sz w:val="20"/>
          <w:szCs w:val="20"/>
        </w:rPr>
      </w:pPr>
      <w:r>
        <w:rPr>
          <w:noProof/>
          <w:sz w:val="20"/>
          <w:szCs w:val="20"/>
        </w:rPr>
        <w:drawing>
          <wp:anchor distT="0" distB="0" distL="114300" distR="114300" simplePos="0" relativeHeight="251658263" behindDoc="1" locked="0" layoutInCell="0" allowOverlap="1" wp14:anchorId="3EF95F90" wp14:editId="571F08C9">
            <wp:simplePos x="0" y="0"/>
            <wp:positionH relativeFrom="column">
              <wp:posOffset>2311400</wp:posOffset>
            </wp:positionH>
            <wp:positionV relativeFrom="paragraph">
              <wp:posOffset>44282</wp:posOffset>
            </wp:positionV>
            <wp:extent cx="1405255" cy="329265"/>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405255" cy="329265"/>
                    </a:xfrm>
                    <a:prstGeom prst="rect">
                      <a:avLst/>
                    </a:prstGeom>
                    <a:noFill/>
                  </pic:spPr>
                </pic:pic>
              </a:graphicData>
            </a:graphic>
            <wp14:sizeRelH relativeFrom="margin">
              <wp14:pctWidth>0</wp14:pctWidth>
            </wp14:sizeRelH>
            <wp14:sizeRelV relativeFrom="margin">
              <wp14:pctHeight>0</wp14:pctHeight>
            </wp14:sizeRelV>
          </wp:anchor>
        </w:drawing>
      </w:r>
    </w:p>
    <w:p w14:paraId="281A5907" w14:textId="2B91ACFD" w:rsidR="004647B9" w:rsidRDefault="004647B9" w:rsidP="003003CF">
      <w:pPr>
        <w:rPr>
          <w:sz w:val="20"/>
          <w:szCs w:val="20"/>
        </w:rPr>
      </w:pPr>
    </w:p>
    <w:p w14:paraId="281A5908" w14:textId="32715F97" w:rsidR="004647B9" w:rsidRDefault="004647B9" w:rsidP="003003CF">
      <w:pPr>
        <w:rPr>
          <w:sz w:val="20"/>
          <w:szCs w:val="20"/>
        </w:rPr>
      </w:pPr>
    </w:p>
    <w:p w14:paraId="281A5909" w14:textId="77777777" w:rsidR="004647B9" w:rsidRDefault="004647B9" w:rsidP="003003CF">
      <w:pPr>
        <w:rPr>
          <w:sz w:val="20"/>
          <w:szCs w:val="20"/>
        </w:rPr>
      </w:pPr>
    </w:p>
    <w:p w14:paraId="281A590A" w14:textId="77777777" w:rsidR="004647B9" w:rsidRDefault="004647B9" w:rsidP="003003CF">
      <w:pPr>
        <w:rPr>
          <w:sz w:val="20"/>
          <w:szCs w:val="20"/>
        </w:rPr>
      </w:pPr>
    </w:p>
    <w:p w14:paraId="281A590B" w14:textId="77777777" w:rsidR="004647B9" w:rsidRPr="00357D61" w:rsidRDefault="00E2436F" w:rsidP="003003CF">
      <w:pPr>
        <w:ind w:left="1980"/>
        <w:rPr>
          <w:sz w:val="24"/>
          <w:szCs w:val="24"/>
        </w:rPr>
      </w:pPr>
      <w:r w:rsidRPr="00357D61">
        <w:rPr>
          <w:rFonts w:eastAsia="Times New Roman"/>
          <w:sz w:val="24"/>
          <w:szCs w:val="24"/>
        </w:rPr>
        <w:t>Where:</w:t>
      </w:r>
    </w:p>
    <w:p w14:paraId="0CBC2ABD" w14:textId="77777777" w:rsidR="00CE2766" w:rsidRDefault="00E2436F" w:rsidP="003003CF">
      <w:pPr>
        <w:ind w:left="2340"/>
        <w:jc w:val="both"/>
        <w:rPr>
          <w:rFonts w:eastAsia="Times New Roman"/>
          <w:sz w:val="24"/>
          <w:szCs w:val="24"/>
        </w:rPr>
      </w:pPr>
      <w:r w:rsidRPr="00357D61">
        <w:rPr>
          <w:rFonts w:eastAsia="Times New Roman"/>
          <w:sz w:val="24"/>
          <w:szCs w:val="24"/>
        </w:rPr>
        <w:t xml:space="preserve">a = number of instances where the Residual Disinfectant Concentration is measured; </w:t>
      </w:r>
    </w:p>
    <w:p w14:paraId="281A590D" w14:textId="38541526" w:rsidR="004647B9" w:rsidRPr="00357D61" w:rsidRDefault="00E2436F" w:rsidP="003003CF">
      <w:pPr>
        <w:ind w:left="2340"/>
        <w:jc w:val="both"/>
        <w:rPr>
          <w:sz w:val="24"/>
          <w:szCs w:val="24"/>
        </w:rPr>
      </w:pPr>
      <w:r w:rsidRPr="00357D61">
        <w:rPr>
          <w:rFonts w:eastAsia="Times New Roman"/>
          <w:sz w:val="24"/>
          <w:szCs w:val="24"/>
        </w:rPr>
        <w:t>b = number of instances where the Residual Disinfectant Concentration is not measured but heterotrophic bacteria plate count (HPC) is measured;</w:t>
      </w:r>
    </w:p>
    <w:p w14:paraId="281A590F" w14:textId="77777777" w:rsidR="004647B9" w:rsidRPr="00357D61" w:rsidRDefault="00E2436F" w:rsidP="003003CF">
      <w:pPr>
        <w:ind w:left="2340"/>
        <w:jc w:val="both"/>
        <w:rPr>
          <w:sz w:val="24"/>
          <w:szCs w:val="24"/>
        </w:rPr>
      </w:pPr>
      <w:r w:rsidRPr="00357D61">
        <w:rPr>
          <w:rFonts w:eastAsia="Times New Roman"/>
          <w:sz w:val="24"/>
          <w:szCs w:val="24"/>
        </w:rPr>
        <w:t>c = number of instances where the Residual Disinfectant Concentration is measured but not detected and no HPC is measured;</w:t>
      </w:r>
    </w:p>
    <w:p w14:paraId="281A5910" w14:textId="77777777" w:rsidR="004647B9" w:rsidRPr="00357D61" w:rsidRDefault="00E2436F" w:rsidP="003003CF">
      <w:pPr>
        <w:ind w:left="2340"/>
        <w:jc w:val="both"/>
        <w:rPr>
          <w:sz w:val="24"/>
          <w:szCs w:val="24"/>
        </w:rPr>
      </w:pPr>
      <w:r w:rsidRPr="00357D61">
        <w:rPr>
          <w:rFonts w:eastAsia="Times New Roman"/>
          <w:sz w:val="24"/>
          <w:szCs w:val="24"/>
        </w:rPr>
        <w:t>d = number of instances where the Residual Disinfectant Concentration is measured but not detected and where the HPC is &gt;500/ml; and</w:t>
      </w:r>
    </w:p>
    <w:p w14:paraId="281A5911" w14:textId="77777777" w:rsidR="004647B9" w:rsidRPr="00357D61" w:rsidRDefault="00E2436F" w:rsidP="003003CF">
      <w:pPr>
        <w:ind w:left="2340"/>
        <w:jc w:val="both"/>
        <w:rPr>
          <w:sz w:val="24"/>
          <w:szCs w:val="24"/>
        </w:rPr>
      </w:pPr>
      <w:r w:rsidRPr="00357D61">
        <w:rPr>
          <w:rFonts w:eastAsia="Times New Roman"/>
          <w:sz w:val="24"/>
          <w:szCs w:val="24"/>
        </w:rPr>
        <w:t>e = number of instances where the Residual Disinfectant Concentration is not measured and HPC is &gt;500/ml.</w:t>
      </w:r>
    </w:p>
    <w:p w14:paraId="281A5912" w14:textId="77777777" w:rsidR="004647B9" w:rsidRPr="00357D61" w:rsidRDefault="004647B9" w:rsidP="003003CF">
      <w:pPr>
        <w:rPr>
          <w:sz w:val="24"/>
          <w:szCs w:val="24"/>
        </w:rPr>
      </w:pPr>
    </w:p>
    <w:p w14:paraId="281A5913" w14:textId="77777777" w:rsidR="004647B9" w:rsidRPr="00357D61" w:rsidRDefault="00E2436F" w:rsidP="003003CF">
      <w:pPr>
        <w:numPr>
          <w:ilvl w:val="0"/>
          <w:numId w:val="573"/>
        </w:numPr>
        <w:tabs>
          <w:tab w:val="left" w:pos="2123"/>
        </w:tabs>
        <w:ind w:left="1620" w:firstLine="4"/>
        <w:jc w:val="both"/>
        <w:rPr>
          <w:rFonts w:eastAsia="Times New Roman"/>
          <w:sz w:val="24"/>
          <w:szCs w:val="24"/>
        </w:rPr>
      </w:pPr>
      <w:r w:rsidRPr="00357D61">
        <w:rPr>
          <w:rFonts w:eastAsia="Times New Roman"/>
          <w:sz w:val="24"/>
          <w:szCs w:val="24"/>
          <w:u w:val="single"/>
        </w:rPr>
        <w:t>Disinfection Requirements for Public Water Systems Which Provide Filtration</w:t>
      </w:r>
      <w:r w:rsidRPr="00357D61">
        <w:rPr>
          <w:rFonts w:eastAsia="Times New Roman"/>
          <w:sz w:val="24"/>
          <w:szCs w:val="24"/>
        </w:rPr>
        <w:t>. A Supplier of Water that provides Filtration treatment must provide Disinfection treatment as follows:</w:t>
      </w:r>
    </w:p>
    <w:p w14:paraId="281A5915" w14:textId="77777777" w:rsidR="004647B9" w:rsidRPr="00357D61" w:rsidRDefault="00E2436F" w:rsidP="003003CF">
      <w:pPr>
        <w:numPr>
          <w:ilvl w:val="1"/>
          <w:numId w:val="573"/>
        </w:numPr>
        <w:tabs>
          <w:tab w:val="left" w:pos="2340"/>
        </w:tabs>
        <w:ind w:left="2340" w:hanging="356"/>
        <w:jc w:val="both"/>
        <w:rPr>
          <w:rFonts w:eastAsia="Times New Roman"/>
          <w:sz w:val="24"/>
          <w:szCs w:val="24"/>
        </w:rPr>
      </w:pPr>
      <w:r w:rsidRPr="00357D61">
        <w:rPr>
          <w:rFonts w:eastAsia="Times New Roman"/>
          <w:sz w:val="24"/>
          <w:szCs w:val="24"/>
        </w:rPr>
        <w:t xml:space="preserve">a. The Disinfection treatment must be sufficient to ensure that the total treatment processes of that system achieve at least 99% (2-log) removal of </w:t>
      </w:r>
      <w:r w:rsidRPr="00357D61">
        <w:rPr>
          <w:rFonts w:eastAsia="Times New Roman"/>
          <w:i/>
          <w:iCs/>
          <w:sz w:val="24"/>
          <w:szCs w:val="24"/>
        </w:rPr>
        <w:t>Cryptosporidium</w:t>
      </w:r>
      <w:r w:rsidRPr="00357D61">
        <w:rPr>
          <w:rFonts w:eastAsia="Times New Roman"/>
          <w:sz w:val="24"/>
          <w:szCs w:val="24"/>
        </w:rPr>
        <w:t xml:space="preserve">, at least 99.9% (3 log) inactivation and/or removal of </w:t>
      </w:r>
      <w:r w:rsidRPr="00357D61">
        <w:rPr>
          <w:rFonts w:eastAsia="Times New Roman"/>
          <w:i/>
          <w:iCs/>
          <w:sz w:val="24"/>
          <w:szCs w:val="24"/>
        </w:rPr>
        <w:t>Giardia lamblia</w:t>
      </w:r>
      <w:r w:rsidRPr="00357D61">
        <w:rPr>
          <w:rFonts w:eastAsia="Times New Roman"/>
          <w:sz w:val="24"/>
          <w:szCs w:val="24"/>
        </w:rPr>
        <w:t xml:space="preserve"> cysts and at least 99.99% (4 log) inactivation and/or removal of Viruses, as determined by the</w:t>
      </w:r>
      <w:r w:rsidRPr="00357D61" w:rsidDel="007B206E">
        <w:rPr>
          <w:rFonts w:eastAsia="Times New Roman"/>
          <w:sz w:val="24"/>
          <w:szCs w:val="24"/>
        </w:rPr>
        <w:t xml:space="preserve"> De</w:t>
      </w:r>
      <w:r w:rsidRPr="00357D61">
        <w:rPr>
          <w:rFonts w:eastAsia="Times New Roman"/>
          <w:sz w:val="24"/>
          <w:szCs w:val="24"/>
        </w:rPr>
        <w:t>partment.</w:t>
      </w:r>
    </w:p>
    <w:p w14:paraId="281A5917" w14:textId="77777777" w:rsidR="004647B9" w:rsidRPr="00357D61" w:rsidRDefault="00E2436F" w:rsidP="003003CF">
      <w:pPr>
        <w:ind w:left="2340"/>
        <w:jc w:val="both"/>
        <w:rPr>
          <w:rFonts w:eastAsia="Times New Roman"/>
          <w:sz w:val="24"/>
          <w:szCs w:val="24"/>
        </w:rPr>
      </w:pPr>
      <w:r w:rsidRPr="00357D61">
        <w:rPr>
          <w:rFonts w:eastAsia="Times New Roman"/>
          <w:sz w:val="24"/>
          <w:szCs w:val="24"/>
        </w:rPr>
        <w:t>b. Failure to provide this Disinfection treatment on a daily basis constitutes a treatment technique violation of 310 CMR 22.20A(3)(b)1. The Department must be notified within 24 hours of the failure to provide Disinfection as required.</w:t>
      </w:r>
    </w:p>
    <w:p w14:paraId="281A5919" w14:textId="77777777" w:rsidR="004647B9" w:rsidRPr="00357D61" w:rsidRDefault="00E2436F" w:rsidP="003003CF">
      <w:pPr>
        <w:numPr>
          <w:ilvl w:val="1"/>
          <w:numId w:val="573"/>
        </w:numPr>
        <w:tabs>
          <w:tab w:val="left" w:pos="2412"/>
        </w:tabs>
        <w:ind w:left="1980" w:firstLine="4"/>
        <w:jc w:val="both"/>
        <w:rPr>
          <w:rFonts w:eastAsia="Times New Roman"/>
          <w:sz w:val="24"/>
          <w:szCs w:val="24"/>
        </w:rPr>
      </w:pPr>
      <w:r w:rsidRPr="00357D61">
        <w:rPr>
          <w:rFonts w:eastAsia="Times New Roman"/>
          <w:sz w:val="24"/>
          <w:szCs w:val="24"/>
        </w:rPr>
        <w:t>The Residual Disinfectant Concentration in the water entering the Distribution System, measured as specified in 310 CMR 22.20A(5)(a)2. and (c)2., cannot be less than 0.2 mg/l for more than four hours.</w:t>
      </w:r>
    </w:p>
    <w:p w14:paraId="281A591B" w14:textId="116CD044" w:rsidR="004647B9" w:rsidRPr="00357D61" w:rsidRDefault="00E2436F" w:rsidP="003003CF">
      <w:pPr>
        <w:numPr>
          <w:ilvl w:val="1"/>
          <w:numId w:val="573"/>
        </w:numPr>
        <w:tabs>
          <w:tab w:val="left" w:pos="2347"/>
        </w:tabs>
        <w:ind w:left="1980" w:firstLine="4"/>
        <w:jc w:val="both"/>
        <w:rPr>
          <w:rFonts w:eastAsia="Times New Roman"/>
          <w:sz w:val="24"/>
          <w:szCs w:val="24"/>
        </w:rPr>
      </w:pPr>
      <w:r w:rsidRPr="00357D61">
        <w:rPr>
          <w:rFonts w:eastAsia="Times New Roman"/>
          <w:sz w:val="24"/>
          <w:szCs w:val="24"/>
        </w:rPr>
        <w:t>The Residual Disinfectant Concentration in the Distribution System, measured as free chlorine, total chlorine, combined chlorine, or chlorine dioxide, as specified in</w:t>
      </w:r>
      <w:r w:rsidR="00B44EE7">
        <w:rPr>
          <w:rFonts w:eastAsia="Times New Roman"/>
          <w:sz w:val="24"/>
          <w:szCs w:val="24"/>
        </w:rPr>
        <w:t xml:space="preserve"> 310 </w:t>
      </w:r>
      <w:r w:rsidR="00B44EE7" w:rsidRPr="00357D61">
        <w:rPr>
          <w:rFonts w:eastAsia="Times New Roman"/>
          <w:sz w:val="24"/>
          <w:szCs w:val="24"/>
        </w:rPr>
        <w:t>CMR 22.20A(5)(a)2. and (c)3., cannot be undetectable in more than 5% of the samples each month, for any two consecutive months that the system serves water to the public. Water in the Distribution System with a heterotrophic bacteria concentration less than or equal to 500/ml, measured as heterotrophic plate count (HPC) as specified in 310 CMR 22.20A(5)(a)1., is deemed to have a detectable Disinfectant residual for purposes of determining compliance with this requirement. Thus the value "V" in the following formula cannot exceed 5% in one month, for any two consecutive months</w:t>
      </w:r>
      <w:r w:rsidR="00B44EE7">
        <w:rPr>
          <w:rFonts w:eastAsia="Times New Roman"/>
          <w:sz w:val="24"/>
          <w:szCs w:val="24"/>
        </w:rPr>
        <w:t>.</w:t>
      </w:r>
    </w:p>
    <w:p w14:paraId="281A591D" w14:textId="77777777" w:rsidR="004647B9" w:rsidRDefault="004647B9" w:rsidP="003003CF">
      <w:pPr>
        <w:sectPr w:rsidR="004647B9" w:rsidSect="00EF630C">
          <w:pgSz w:w="12240" w:h="20180"/>
          <w:pgMar w:top="708" w:right="1440" w:bottom="1440" w:left="620" w:header="0" w:footer="0" w:gutter="0"/>
          <w:cols w:space="720"/>
        </w:sectPr>
      </w:pPr>
    </w:p>
    <w:p w14:paraId="281A591E" w14:textId="77777777" w:rsidR="004647B9" w:rsidRDefault="00E2436F">
      <w:pPr>
        <w:tabs>
          <w:tab w:val="left" w:pos="160"/>
        </w:tabs>
        <w:ind w:right="20"/>
        <w:jc w:val="center"/>
        <w:rPr>
          <w:sz w:val="20"/>
          <w:szCs w:val="20"/>
        </w:rPr>
      </w:pPr>
      <w:bookmarkStart w:id="254" w:name="page258"/>
      <w:bookmarkEnd w:id="25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91F" w14:textId="77777777" w:rsidR="004647B9" w:rsidRDefault="004647B9" w:rsidP="00707E6D">
      <w:pPr>
        <w:rPr>
          <w:sz w:val="20"/>
          <w:szCs w:val="20"/>
        </w:rPr>
      </w:pPr>
    </w:p>
    <w:p w14:paraId="281A5920" w14:textId="77777777" w:rsidR="004647B9" w:rsidRDefault="004647B9" w:rsidP="00707E6D">
      <w:pPr>
        <w:rPr>
          <w:sz w:val="20"/>
          <w:szCs w:val="20"/>
        </w:rPr>
      </w:pPr>
    </w:p>
    <w:p w14:paraId="281A5921" w14:textId="77777777" w:rsidR="004647B9" w:rsidRPr="00707E6D" w:rsidRDefault="00E2436F" w:rsidP="00707E6D">
      <w:pPr>
        <w:tabs>
          <w:tab w:val="left" w:pos="940"/>
        </w:tabs>
        <w:rPr>
          <w:sz w:val="24"/>
          <w:szCs w:val="24"/>
        </w:rPr>
      </w:pPr>
      <w:r w:rsidRPr="00707E6D">
        <w:rPr>
          <w:rFonts w:eastAsia="Times New Roman"/>
          <w:sz w:val="24"/>
          <w:szCs w:val="24"/>
        </w:rPr>
        <w:t>22.20A:</w:t>
      </w:r>
      <w:r w:rsidRPr="00707E6D">
        <w:rPr>
          <w:rFonts w:eastAsia="Times New Roman"/>
          <w:sz w:val="24"/>
          <w:szCs w:val="24"/>
        </w:rPr>
        <w:tab/>
        <w:t>continued</w:t>
      </w:r>
    </w:p>
    <w:p w14:paraId="281A5922" w14:textId="7BABC353" w:rsidR="004647B9" w:rsidRDefault="004937DB" w:rsidP="00707E6D">
      <w:pPr>
        <w:rPr>
          <w:sz w:val="20"/>
          <w:szCs w:val="20"/>
        </w:rPr>
      </w:pPr>
      <w:r>
        <w:rPr>
          <w:noProof/>
          <w:sz w:val="20"/>
          <w:szCs w:val="20"/>
        </w:rPr>
        <w:drawing>
          <wp:anchor distT="0" distB="0" distL="114300" distR="114300" simplePos="0" relativeHeight="251658246" behindDoc="1" locked="0" layoutInCell="0" allowOverlap="1" wp14:anchorId="62FEE097" wp14:editId="1DB777D0">
            <wp:simplePos x="0" y="0"/>
            <wp:positionH relativeFrom="column">
              <wp:posOffset>2493202</wp:posOffset>
            </wp:positionH>
            <wp:positionV relativeFrom="paragraph">
              <wp:posOffset>132380</wp:posOffset>
            </wp:positionV>
            <wp:extent cx="1462405" cy="340360"/>
            <wp:effectExtent l="0" t="0" r="0" b="0"/>
            <wp:wrapNone/>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17"/>
                    <a:srcRect/>
                    <a:stretch>
                      <a:fillRect/>
                    </a:stretch>
                  </pic:blipFill>
                  <pic:spPr bwMode="auto">
                    <a:xfrm>
                      <a:off x="0" y="0"/>
                      <a:ext cx="1462405" cy="340360"/>
                    </a:xfrm>
                    <a:prstGeom prst="rect">
                      <a:avLst/>
                    </a:prstGeom>
                    <a:noFill/>
                  </pic:spPr>
                </pic:pic>
              </a:graphicData>
            </a:graphic>
          </wp:anchor>
        </w:drawing>
      </w:r>
    </w:p>
    <w:p w14:paraId="281A5923" w14:textId="1B0721E3" w:rsidR="004647B9" w:rsidRDefault="004647B9" w:rsidP="00707E6D">
      <w:pPr>
        <w:rPr>
          <w:sz w:val="20"/>
          <w:szCs w:val="20"/>
        </w:rPr>
      </w:pPr>
    </w:p>
    <w:p w14:paraId="281A5924" w14:textId="77777777" w:rsidR="004647B9" w:rsidRDefault="004647B9" w:rsidP="00707E6D">
      <w:pPr>
        <w:rPr>
          <w:sz w:val="20"/>
          <w:szCs w:val="20"/>
        </w:rPr>
      </w:pPr>
    </w:p>
    <w:p w14:paraId="281A5925" w14:textId="77777777" w:rsidR="004647B9" w:rsidRDefault="004647B9" w:rsidP="00707E6D">
      <w:pPr>
        <w:rPr>
          <w:sz w:val="20"/>
          <w:szCs w:val="20"/>
        </w:rPr>
      </w:pPr>
    </w:p>
    <w:p w14:paraId="281A5926" w14:textId="77777777" w:rsidR="004647B9" w:rsidRDefault="004647B9" w:rsidP="00707E6D">
      <w:pPr>
        <w:rPr>
          <w:sz w:val="20"/>
          <w:szCs w:val="20"/>
        </w:rPr>
      </w:pPr>
    </w:p>
    <w:p w14:paraId="281A5927" w14:textId="77777777" w:rsidR="004647B9" w:rsidRPr="00357D61" w:rsidRDefault="00E2436F" w:rsidP="00707E6D">
      <w:pPr>
        <w:ind w:left="1980"/>
        <w:rPr>
          <w:sz w:val="24"/>
          <w:szCs w:val="24"/>
        </w:rPr>
      </w:pPr>
      <w:r w:rsidRPr="00357D61">
        <w:rPr>
          <w:rFonts w:eastAsia="Times New Roman"/>
          <w:sz w:val="24"/>
          <w:szCs w:val="24"/>
        </w:rPr>
        <w:t>Where:</w:t>
      </w:r>
    </w:p>
    <w:p w14:paraId="564B2A5D" w14:textId="77777777" w:rsidR="00D30E8D" w:rsidRDefault="00E2436F" w:rsidP="00707E6D">
      <w:pPr>
        <w:ind w:left="2340"/>
        <w:jc w:val="both"/>
        <w:rPr>
          <w:rFonts w:eastAsia="Times New Roman"/>
          <w:sz w:val="24"/>
          <w:szCs w:val="24"/>
        </w:rPr>
      </w:pPr>
      <w:r w:rsidRPr="00357D61">
        <w:rPr>
          <w:rFonts w:eastAsia="Times New Roman"/>
          <w:sz w:val="24"/>
          <w:szCs w:val="24"/>
        </w:rPr>
        <w:t xml:space="preserve">a = number of instances where the Residual Disinfectant Concentration is measured; </w:t>
      </w:r>
    </w:p>
    <w:p w14:paraId="281A5929" w14:textId="60346D1F" w:rsidR="004647B9" w:rsidRPr="00357D61" w:rsidRDefault="00E2436F" w:rsidP="00707E6D">
      <w:pPr>
        <w:ind w:left="2340"/>
        <w:jc w:val="both"/>
        <w:rPr>
          <w:sz w:val="24"/>
          <w:szCs w:val="24"/>
        </w:rPr>
      </w:pPr>
      <w:r w:rsidRPr="00357D61">
        <w:rPr>
          <w:rFonts w:eastAsia="Times New Roman"/>
          <w:sz w:val="24"/>
          <w:szCs w:val="24"/>
        </w:rPr>
        <w:t>b = number of instances where the Residual Disinfectant Concentration is not measured but heterotrophic bacteria plate count (HPC) is measured;</w:t>
      </w:r>
    </w:p>
    <w:p w14:paraId="281A592B" w14:textId="77777777" w:rsidR="004647B9" w:rsidRPr="00357D61" w:rsidRDefault="00E2436F" w:rsidP="00707E6D">
      <w:pPr>
        <w:ind w:left="2340"/>
        <w:jc w:val="both"/>
        <w:rPr>
          <w:sz w:val="24"/>
          <w:szCs w:val="24"/>
        </w:rPr>
      </w:pPr>
      <w:r w:rsidRPr="00357D61">
        <w:rPr>
          <w:rFonts w:eastAsia="Times New Roman"/>
          <w:sz w:val="24"/>
          <w:szCs w:val="24"/>
        </w:rPr>
        <w:t>c = number of instances where the Residual Disinfectant Concentration is measured but not detected and no HPC is measured;</w:t>
      </w:r>
    </w:p>
    <w:p w14:paraId="281A592C" w14:textId="77777777" w:rsidR="004647B9" w:rsidRPr="00357D61" w:rsidRDefault="00E2436F" w:rsidP="00707E6D">
      <w:pPr>
        <w:ind w:left="2340"/>
        <w:jc w:val="both"/>
        <w:rPr>
          <w:sz w:val="24"/>
          <w:szCs w:val="24"/>
        </w:rPr>
      </w:pPr>
      <w:r w:rsidRPr="00357D61">
        <w:rPr>
          <w:rFonts w:eastAsia="Times New Roman"/>
          <w:sz w:val="24"/>
          <w:szCs w:val="24"/>
        </w:rPr>
        <w:t>d = number of instances where no Residual Disinfectant Concentration is measured but not detected and where the HPC is &gt;500/ml; and</w:t>
      </w:r>
    </w:p>
    <w:p w14:paraId="281A592D" w14:textId="77777777" w:rsidR="004647B9" w:rsidRPr="00357D61" w:rsidRDefault="00E2436F" w:rsidP="00707E6D">
      <w:pPr>
        <w:ind w:left="2340"/>
        <w:jc w:val="both"/>
        <w:rPr>
          <w:sz w:val="24"/>
          <w:szCs w:val="24"/>
        </w:rPr>
      </w:pPr>
      <w:r w:rsidRPr="00357D61">
        <w:rPr>
          <w:rFonts w:eastAsia="Times New Roman"/>
          <w:sz w:val="24"/>
          <w:szCs w:val="24"/>
        </w:rPr>
        <w:t>e = number of instances where the Residual Disinfectant Concentration is not measured and HPC is &gt;500/ml.</w:t>
      </w:r>
    </w:p>
    <w:p w14:paraId="281A592E" w14:textId="77777777" w:rsidR="004647B9" w:rsidRPr="00357D61" w:rsidRDefault="004647B9" w:rsidP="00707E6D">
      <w:pPr>
        <w:rPr>
          <w:sz w:val="24"/>
          <w:szCs w:val="24"/>
        </w:rPr>
      </w:pPr>
    </w:p>
    <w:p w14:paraId="281A592F" w14:textId="77777777" w:rsidR="004647B9" w:rsidRPr="00357D61" w:rsidRDefault="00E2436F" w:rsidP="00707E6D">
      <w:pPr>
        <w:numPr>
          <w:ilvl w:val="0"/>
          <w:numId w:val="575"/>
        </w:numPr>
        <w:tabs>
          <w:tab w:val="left" w:pos="1691"/>
        </w:tabs>
        <w:ind w:left="1260" w:firstLine="9"/>
        <w:jc w:val="both"/>
        <w:rPr>
          <w:rFonts w:eastAsia="Times New Roman"/>
          <w:sz w:val="24"/>
          <w:szCs w:val="24"/>
        </w:rPr>
      </w:pPr>
      <w:r w:rsidRPr="00357D61">
        <w:rPr>
          <w:rFonts w:eastAsia="Times New Roman"/>
          <w:sz w:val="24"/>
          <w:szCs w:val="24"/>
          <w:u w:val="single"/>
        </w:rPr>
        <w:t>Filtration</w:t>
      </w:r>
      <w:r w:rsidRPr="00357D61">
        <w:rPr>
          <w:rFonts w:eastAsia="Times New Roman"/>
          <w:sz w:val="24"/>
          <w:szCs w:val="24"/>
        </w:rPr>
        <w:t>. A Supplier of Water that uses a Surface Water Source or a groundwater source under the direct influence of surface water, and does not meet all of the criteria in 310 CMR 22.20A(2)(a) and (b) for avoiding Filtration, must provide treatment consisting of both Disinfection, as specified in 310 CMR 22.20A(3)(b), and Filtration treatment which complies with the requirements of 310 CMR 22.20A(4) by June 29, 1993, or within 18 months of the failure to meet any one of the criteria for avoiding Filtration in 310 CMR 22.20A(2)(a) and (b), whichever is later. Failure to meet any requirement of 310 CMR 22.20A after the date specified in 310 CMR 22.20A(4) is a Treatment Technique violation.</w:t>
      </w:r>
    </w:p>
    <w:p w14:paraId="281A5931" w14:textId="77777777" w:rsidR="004647B9" w:rsidRPr="00357D61" w:rsidRDefault="00E2436F" w:rsidP="00707E6D">
      <w:pPr>
        <w:numPr>
          <w:ilvl w:val="1"/>
          <w:numId w:val="575"/>
        </w:numPr>
        <w:tabs>
          <w:tab w:val="left" w:pos="2060"/>
        </w:tabs>
        <w:ind w:left="2060" w:hanging="436"/>
        <w:rPr>
          <w:rFonts w:eastAsia="Times New Roman"/>
          <w:sz w:val="24"/>
          <w:szCs w:val="24"/>
        </w:rPr>
      </w:pPr>
      <w:r w:rsidRPr="00357D61">
        <w:rPr>
          <w:rFonts w:eastAsia="Times New Roman"/>
          <w:sz w:val="24"/>
          <w:szCs w:val="24"/>
          <w:u w:val="single"/>
        </w:rPr>
        <w:t>Conventional Filtration Treatment or Direct Filtration</w:t>
      </w:r>
      <w:r w:rsidRPr="00357D61">
        <w:rPr>
          <w:rFonts w:eastAsia="Times New Roman"/>
          <w:sz w:val="24"/>
          <w:szCs w:val="24"/>
        </w:rPr>
        <w:t>.</w:t>
      </w:r>
    </w:p>
    <w:p w14:paraId="281A5934" w14:textId="22AD4BDE" w:rsidR="004647B9" w:rsidRPr="00357D61" w:rsidRDefault="00E2436F" w:rsidP="00707E6D">
      <w:pPr>
        <w:numPr>
          <w:ilvl w:val="2"/>
          <w:numId w:val="575"/>
        </w:numPr>
        <w:tabs>
          <w:tab w:val="left" w:pos="2462"/>
        </w:tabs>
        <w:ind w:left="1980" w:firstLine="4"/>
        <w:jc w:val="both"/>
        <w:rPr>
          <w:rFonts w:eastAsia="Times New Roman"/>
          <w:sz w:val="24"/>
          <w:szCs w:val="24"/>
        </w:rPr>
      </w:pPr>
      <w:r w:rsidRPr="00357D61">
        <w:rPr>
          <w:rFonts w:eastAsia="Times New Roman"/>
          <w:sz w:val="24"/>
          <w:szCs w:val="24"/>
        </w:rPr>
        <w:t>Beginning January 1, 2002, systems using conventional and Direct Filtration treatment serving at least 10,000 people shall meet the Turbidity requirements in</w:t>
      </w:r>
      <w:r w:rsidR="00FF0B5A" w:rsidRPr="00357D61">
        <w:rPr>
          <w:rFonts w:eastAsia="Times New Roman"/>
          <w:sz w:val="24"/>
          <w:szCs w:val="24"/>
        </w:rPr>
        <w:t xml:space="preserve"> 310 </w:t>
      </w:r>
      <w:r w:rsidRPr="00357D61">
        <w:rPr>
          <w:rFonts w:eastAsia="Times New Roman"/>
          <w:sz w:val="24"/>
          <w:szCs w:val="24"/>
        </w:rPr>
        <w:t>CMR 22.20D(4) and (5).</w:t>
      </w:r>
    </w:p>
    <w:p w14:paraId="281A5936" w14:textId="77777777" w:rsidR="004647B9" w:rsidRPr="00357D61" w:rsidRDefault="00E2436F" w:rsidP="00707E6D">
      <w:pPr>
        <w:numPr>
          <w:ilvl w:val="2"/>
          <w:numId w:val="576"/>
        </w:numPr>
        <w:tabs>
          <w:tab w:val="left" w:pos="2323"/>
        </w:tabs>
        <w:ind w:left="1980" w:firstLine="4"/>
        <w:rPr>
          <w:rFonts w:eastAsia="Times New Roman"/>
          <w:sz w:val="24"/>
          <w:szCs w:val="24"/>
        </w:rPr>
      </w:pPr>
      <w:r w:rsidRPr="00357D61">
        <w:rPr>
          <w:rFonts w:eastAsia="Times New Roman"/>
          <w:sz w:val="24"/>
          <w:szCs w:val="24"/>
        </w:rPr>
        <w:t>Beginning January 1, 2005, systems serving less than 10,000 people must meet the Turbidity requirements in 310 CMR 22.20F(6) and (7).</w:t>
      </w:r>
    </w:p>
    <w:p w14:paraId="281A5937" w14:textId="77777777" w:rsidR="004647B9" w:rsidRPr="00357D61" w:rsidRDefault="00E2436F" w:rsidP="00707E6D">
      <w:pPr>
        <w:numPr>
          <w:ilvl w:val="1"/>
          <w:numId w:val="577"/>
        </w:numPr>
        <w:tabs>
          <w:tab w:val="left" w:pos="2080"/>
        </w:tabs>
        <w:ind w:left="2080" w:hanging="456"/>
        <w:rPr>
          <w:rFonts w:eastAsia="Times New Roman"/>
          <w:sz w:val="24"/>
          <w:szCs w:val="24"/>
        </w:rPr>
      </w:pPr>
      <w:r w:rsidRPr="00357D61">
        <w:rPr>
          <w:rFonts w:eastAsia="Times New Roman"/>
          <w:sz w:val="24"/>
          <w:szCs w:val="24"/>
          <w:u w:val="single"/>
        </w:rPr>
        <w:t>Slow Sand Filtration</w:t>
      </w:r>
      <w:r w:rsidRPr="00357D61">
        <w:rPr>
          <w:rFonts w:eastAsia="Times New Roman"/>
          <w:sz w:val="24"/>
          <w:szCs w:val="24"/>
        </w:rPr>
        <w:t>.</w:t>
      </w:r>
    </w:p>
    <w:p w14:paraId="281A5939" w14:textId="77777777" w:rsidR="004647B9" w:rsidRPr="00357D61" w:rsidRDefault="00E2436F" w:rsidP="00707E6D">
      <w:pPr>
        <w:numPr>
          <w:ilvl w:val="2"/>
          <w:numId w:val="577"/>
        </w:numPr>
        <w:tabs>
          <w:tab w:val="left" w:pos="2455"/>
        </w:tabs>
        <w:ind w:left="1980" w:firstLine="4"/>
        <w:jc w:val="both"/>
        <w:rPr>
          <w:rFonts w:eastAsia="Times New Roman"/>
          <w:sz w:val="24"/>
          <w:szCs w:val="24"/>
        </w:rPr>
      </w:pPr>
      <w:r w:rsidRPr="00357D61">
        <w:rPr>
          <w:rFonts w:eastAsia="Times New Roman"/>
          <w:sz w:val="24"/>
          <w:szCs w:val="24"/>
        </w:rPr>
        <w:t>For systems using Slow Sand Filtration, the Turbidity level of representative sample</w:t>
      </w:r>
      <w:r w:rsidRPr="00357D61" w:rsidDel="007B206E">
        <w:rPr>
          <w:rFonts w:eastAsia="Times New Roman"/>
          <w:sz w:val="24"/>
          <w:szCs w:val="24"/>
        </w:rPr>
        <w:t>s</w:t>
      </w:r>
      <w:r w:rsidRPr="00357D61">
        <w:rPr>
          <w:rFonts w:eastAsia="Times New Roman"/>
          <w:sz w:val="24"/>
          <w:szCs w:val="24"/>
        </w:rPr>
        <w:t xml:space="preserve"> of a system's filtered water must be less than or equal to one NTU in at least 95% of the measurements taken each month, measured as specified in 310 CMR 22.20A(5)(a)1. and (c)1.</w:t>
      </w:r>
    </w:p>
    <w:p w14:paraId="281A593A" w14:textId="77777777" w:rsidR="004647B9" w:rsidRPr="00357D61" w:rsidRDefault="00E2436F" w:rsidP="00707E6D">
      <w:pPr>
        <w:numPr>
          <w:ilvl w:val="2"/>
          <w:numId w:val="577"/>
        </w:numPr>
        <w:tabs>
          <w:tab w:val="left" w:pos="2302"/>
        </w:tabs>
        <w:ind w:left="1980" w:firstLine="4"/>
        <w:rPr>
          <w:rFonts w:eastAsia="Times New Roman"/>
          <w:sz w:val="24"/>
          <w:szCs w:val="24"/>
        </w:rPr>
      </w:pPr>
      <w:r w:rsidRPr="00357D61">
        <w:rPr>
          <w:rFonts w:eastAsia="Times New Roman"/>
          <w:sz w:val="24"/>
          <w:szCs w:val="24"/>
        </w:rPr>
        <w:t>The Turbidity level of representative sample</w:t>
      </w:r>
      <w:r w:rsidRPr="00357D61" w:rsidDel="007B206E">
        <w:rPr>
          <w:rFonts w:eastAsia="Times New Roman"/>
          <w:sz w:val="24"/>
          <w:szCs w:val="24"/>
        </w:rPr>
        <w:t>s</w:t>
      </w:r>
      <w:r w:rsidRPr="00357D61">
        <w:rPr>
          <w:rFonts w:eastAsia="Times New Roman"/>
          <w:sz w:val="24"/>
          <w:szCs w:val="24"/>
        </w:rPr>
        <w:t xml:space="preserve"> of a system's filtered water must at no time exceed five NTU, measured as specified in 310 CMR 22.20A(5)(a)1. and (c)1.</w:t>
      </w:r>
    </w:p>
    <w:p w14:paraId="281A593C" w14:textId="77777777" w:rsidR="004647B9" w:rsidRPr="00357D61" w:rsidRDefault="00E2436F" w:rsidP="00707E6D">
      <w:pPr>
        <w:numPr>
          <w:ilvl w:val="1"/>
          <w:numId w:val="577"/>
        </w:numPr>
        <w:tabs>
          <w:tab w:val="left" w:pos="2060"/>
        </w:tabs>
        <w:ind w:left="2060" w:hanging="436"/>
        <w:rPr>
          <w:rFonts w:eastAsia="Times New Roman"/>
          <w:sz w:val="24"/>
          <w:szCs w:val="24"/>
        </w:rPr>
      </w:pPr>
      <w:r w:rsidRPr="00357D61">
        <w:rPr>
          <w:rFonts w:eastAsia="Times New Roman"/>
          <w:sz w:val="24"/>
          <w:szCs w:val="24"/>
          <w:u w:val="single"/>
        </w:rPr>
        <w:t>Diatomaceous Earth Filtration</w:t>
      </w:r>
      <w:r w:rsidRPr="00357D61">
        <w:rPr>
          <w:rFonts w:eastAsia="Times New Roman"/>
          <w:sz w:val="24"/>
          <w:szCs w:val="24"/>
        </w:rPr>
        <w:t>.</w:t>
      </w:r>
    </w:p>
    <w:p w14:paraId="281A5940" w14:textId="38ABBA2B" w:rsidR="004647B9" w:rsidRPr="00357D61" w:rsidRDefault="00E2436F" w:rsidP="00707E6D">
      <w:pPr>
        <w:numPr>
          <w:ilvl w:val="2"/>
          <w:numId w:val="577"/>
        </w:numPr>
        <w:tabs>
          <w:tab w:val="left" w:pos="2585"/>
        </w:tabs>
        <w:ind w:left="1980" w:firstLine="4"/>
        <w:jc w:val="both"/>
        <w:rPr>
          <w:rFonts w:eastAsia="Times New Roman"/>
          <w:sz w:val="24"/>
          <w:szCs w:val="24"/>
        </w:rPr>
      </w:pPr>
      <w:r w:rsidRPr="00357D61">
        <w:rPr>
          <w:rFonts w:eastAsia="Times New Roman"/>
          <w:sz w:val="24"/>
          <w:szCs w:val="24"/>
        </w:rPr>
        <w:t>For systems using Diatomaceous Earth Filtration, the Turbidity level of representative sample</w:t>
      </w:r>
      <w:r w:rsidRPr="00357D61" w:rsidDel="007B206E">
        <w:rPr>
          <w:rFonts w:eastAsia="Times New Roman"/>
          <w:sz w:val="24"/>
          <w:szCs w:val="24"/>
        </w:rPr>
        <w:t>s</w:t>
      </w:r>
      <w:r w:rsidRPr="00357D61">
        <w:rPr>
          <w:rFonts w:eastAsia="Times New Roman"/>
          <w:sz w:val="24"/>
          <w:szCs w:val="24"/>
        </w:rPr>
        <w:t xml:space="preserve"> of a system's filtered water must be less than or equal to one NTU in at least 95% of the measurements taken each month, measured as specified in</w:t>
      </w:r>
      <w:r w:rsidR="000F4AF5" w:rsidRPr="00357D61">
        <w:rPr>
          <w:rFonts w:eastAsia="Times New Roman"/>
          <w:sz w:val="24"/>
          <w:szCs w:val="24"/>
        </w:rPr>
        <w:t xml:space="preserve"> 310 </w:t>
      </w:r>
      <w:r w:rsidRPr="00357D61">
        <w:rPr>
          <w:rFonts w:eastAsia="Times New Roman"/>
          <w:sz w:val="24"/>
          <w:szCs w:val="24"/>
        </w:rPr>
        <w:t>CMR 22.20A(5)(a)1. and (c)1.</w:t>
      </w:r>
    </w:p>
    <w:p w14:paraId="281A5942" w14:textId="77777777" w:rsidR="004647B9" w:rsidRPr="00357D61" w:rsidRDefault="00E2436F" w:rsidP="00707E6D">
      <w:pPr>
        <w:numPr>
          <w:ilvl w:val="2"/>
          <w:numId w:val="578"/>
        </w:numPr>
        <w:tabs>
          <w:tab w:val="left" w:pos="2304"/>
        </w:tabs>
        <w:ind w:left="1980" w:firstLine="4"/>
        <w:rPr>
          <w:rFonts w:eastAsia="Times New Roman"/>
          <w:sz w:val="24"/>
          <w:szCs w:val="24"/>
        </w:rPr>
      </w:pPr>
      <w:r w:rsidRPr="00357D61">
        <w:rPr>
          <w:rFonts w:eastAsia="Times New Roman"/>
          <w:sz w:val="24"/>
          <w:szCs w:val="24"/>
        </w:rPr>
        <w:t>The Turbidity level of representative sample</w:t>
      </w:r>
      <w:r w:rsidRPr="00357D61" w:rsidDel="007B206E">
        <w:rPr>
          <w:rFonts w:eastAsia="Times New Roman"/>
          <w:sz w:val="24"/>
          <w:szCs w:val="24"/>
        </w:rPr>
        <w:t>s</w:t>
      </w:r>
      <w:r w:rsidRPr="00357D61">
        <w:rPr>
          <w:rFonts w:eastAsia="Times New Roman"/>
          <w:sz w:val="24"/>
          <w:szCs w:val="24"/>
        </w:rPr>
        <w:t xml:space="preserve"> of a system's filtered water must at no time exceed five NTU, measured as specified in 310 CMR 22.20A(5)(a)1. and (c)1.</w:t>
      </w:r>
    </w:p>
    <w:p w14:paraId="281A5944" w14:textId="77777777" w:rsidR="004647B9" w:rsidRPr="00357D61" w:rsidRDefault="00E2436F" w:rsidP="00707E6D">
      <w:pPr>
        <w:numPr>
          <w:ilvl w:val="1"/>
          <w:numId w:val="579"/>
        </w:numPr>
        <w:tabs>
          <w:tab w:val="left" w:pos="2026"/>
        </w:tabs>
        <w:ind w:left="1620" w:firstLine="4"/>
        <w:jc w:val="both"/>
        <w:rPr>
          <w:rFonts w:eastAsia="Times New Roman"/>
          <w:sz w:val="24"/>
          <w:szCs w:val="24"/>
        </w:rPr>
      </w:pPr>
      <w:r w:rsidRPr="00357D61">
        <w:rPr>
          <w:rFonts w:eastAsia="Times New Roman"/>
          <w:sz w:val="24"/>
          <w:szCs w:val="24"/>
          <w:u w:val="single"/>
        </w:rPr>
        <w:t>Other Filtration Technologies</w:t>
      </w:r>
      <w:r w:rsidRPr="00357D61">
        <w:rPr>
          <w:rFonts w:eastAsia="Times New Roman"/>
          <w:sz w:val="24"/>
          <w:szCs w:val="24"/>
        </w:rPr>
        <w:t xml:space="preserve">. Each Supplier of Water may use a Filtration technology not listed in 310 CMR 22.20A(4)(a) through (c), if it demonstrates to the Department, using pilot plant studies or other means, that the alternative Filtration technology, in combination with Disinfection treatment that meets the requirements of 310 CMR 22.20A(3)(b), consistently achieves 99.9% removal and/or inactivation of </w:t>
      </w:r>
      <w:r w:rsidRPr="00357D61">
        <w:rPr>
          <w:rFonts w:eastAsia="Times New Roman"/>
          <w:i/>
          <w:iCs/>
          <w:sz w:val="24"/>
          <w:szCs w:val="24"/>
        </w:rPr>
        <w:t>Giardia lamblia</w:t>
      </w:r>
      <w:r w:rsidRPr="00357D61">
        <w:rPr>
          <w:rFonts w:eastAsia="Times New Roman"/>
          <w:sz w:val="24"/>
          <w:szCs w:val="24"/>
        </w:rPr>
        <w:t xml:space="preserve"> cysts and 99.99% removal and/or inactivation of Viruses. For a Supplier of Water that makes this demonstration, the requirements of 310 CMR 22.20A(3)(b) apply. Beginning January 1, 2002, a Supplier of Water serving at least 10,000 people shall meet the requirements for other Filtration technologies as required in 310 CMR 22.20D(4)(b). Beginning January 1, 2005, a Supplier of Water serving fewer than 10,000 people must meet the requirements for other Filtration technologies as required in 310 CMR 22.20F(6)(c).</w:t>
      </w:r>
    </w:p>
    <w:p w14:paraId="281A5945" w14:textId="77777777" w:rsidR="004647B9" w:rsidRDefault="004647B9" w:rsidP="00707E6D">
      <w:pPr>
        <w:sectPr w:rsidR="004647B9" w:rsidSect="00EF630C">
          <w:pgSz w:w="12240" w:h="20180"/>
          <w:pgMar w:top="708" w:right="1440" w:bottom="1440" w:left="620" w:header="0" w:footer="0" w:gutter="0"/>
          <w:cols w:space="720"/>
        </w:sectPr>
      </w:pPr>
    </w:p>
    <w:p w14:paraId="281A5946" w14:textId="77777777" w:rsidR="004647B9" w:rsidRDefault="00E2436F">
      <w:pPr>
        <w:tabs>
          <w:tab w:val="left" w:pos="160"/>
        </w:tabs>
        <w:ind w:right="20"/>
        <w:jc w:val="center"/>
        <w:rPr>
          <w:sz w:val="20"/>
          <w:szCs w:val="20"/>
        </w:rPr>
      </w:pPr>
      <w:bookmarkStart w:id="255" w:name="page259"/>
      <w:bookmarkEnd w:id="25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947" w14:textId="77777777" w:rsidR="004647B9" w:rsidRDefault="004647B9" w:rsidP="00707E6D">
      <w:pPr>
        <w:rPr>
          <w:sz w:val="20"/>
          <w:szCs w:val="20"/>
        </w:rPr>
      </w:pPr>
    </w:p>
    <w:p w14:paraId="281A5948" w14:textId="77777777" w:rsidR="004647B9" w:rsidRDefault="004647B9" w:rsidP="00707E6D">
      <w:pPr>
        <w:rPr>
          <w:sz w:val="20"/>
          <w:szCs w:val="20"/>
        </w:rPr>
      </w:pPr>
    </w:p>
    <w:p w14:paraId="281A5949" w14:textId="77777777" w:rsidR="004647B9" w:rsidRPr="00357D61" w:rsidRDefault="00E2436F" w:rsidP="00707E6D">
      <w:pPr>
        <w:tabs>
          <w:tab w:val="left" w:pos="940"/>
        </w:tabs>
        <w:rPr>
          <w:sz w:val="24"/>
          <w:szCs w:val="24"/>
        </w:rPr>
      </w:pPr>
      <w:r w:rsidRPr="00357D61">
        <w:rPr>
          <w:rFonts w:eastAsia="Times New Roman"/>
          <w:sz w:val="24"/>
          <w:szCs w:val="24"/>
        </w:rPr>
        <w:t>22.20A:</w:t>
      </w:r>
      <w:r w:rsidRPr="00357D61">
        <w:rPr>
          <w:rFonts w:eastAsia="Times New Roman"/>
          <w:sz w:val="24"/>
          <w:szCs w:val="24"/>
        </w:rPr>
        <w:tab/>
        <w:t>continued</w:t>
      </w:r>
    </w:p>
    <w:p w14:paraId="281A594A" w14:textId="77777777" w:rsidR="004647B9" w:rsidRPr="00707E6D" w:rsidRDefault="004647B9" w:rsidP="00707E6D">
      <w:pPr>
        <w:rPr>
          <w:sz w:val="20"/>
          <w:szCs w:val="20"/>
        </w:rPr>
      </w:pPr>
    </w:p>
    <w:p w14:paraId="281A594B" w14:textId="77777777" w:rsidR="004647B9" w:rsidRPr="00357D61" w:rsidRDefault="00E2436F" w:rsidP="00707E6D">
      <w:pPr>
        <w:numPr>
          <w:ilvl w:val="0"/>
          <w:numId w:val="580"/>
        </w:numPr>
        <w:tabs>
          <w:tab w:val="left" w:pos="1720"/>
        </w:tabs>
        <w:ind w:left="1720" w:hanging="451"/>
        <w:rPr>
          <w:rFonts w:eastAsia="Times New Roman"/>
          <w:sz w:val="24"/>
          <w:szCs w:val="24"/>
        </w:rPr>
      </w:pPr>
      <w:r w:rsidRPr="00357D61">
        <w:rPr>
          <w:rFonts w:eastAsia="Times New Roman"/>
          <w:sz w:val="24"/>
          <w:szCs w:val="24"/>
          <w:u w:val="single"/>
        </w:rPr>
        <w:t>Analytical and Monitoring Requirements</w:t>
      </w:r>
      <w:r w:rsidRPr="00357D61">
        <w:rPr>
          <w:rFonts w:eastAsia="Times New Roman"/>
          <w:sz w:val="24"/>
          <w:szCs w:val="24"/>
        </w:rPr>
        <w:t>.</w:t>
      </w:r>
    </w:p>
    <w:p w14:paraId="281A594F" w14:textId="46AD775C" w:rsidR="004647B9" w:rsidRPr="00357D61" w:rsidRDefault="00E2436F" w:rsidP="00707E6D">
      <w:pPr>
        <w:numPr>
          <w:ilvl w:val="1"/>
          <w:numId w:val="580"/>
        </w:numPr>
        <w:tabs>
          <w:tab w:val="left" w:pos="2181"/>
        </w:tabs>
        <w:ind w:left="1620" w:firstLine="4"/>
        <w:jc w:val="both"/>
        <w:rPr>
          <w:rFonts w:eastAsia="Times New Roman"/>
          <w:sz w:val="24"/>
          <w:szCs w:val="24"/>
        </w:rPr>
      </w:pPr>
      <w:r w:rsidRPr="00357D61">
        <w:rPr>
          <w:rFonts w:eastAsia="Times New Roman"/>
          <w:sz w:val="24"/>
          <w:szCs w:val="24"/>
          <w:u w:val="single"/>
        </w:rPr>
        <w:t>Analytical Requirements</w:t>
      </w:r>
      <w:r w:rsidRPr="00357D61">
        <w:rPr>
          <w:rFonts w:eastAsia="Times New Roman"/>
          <w:sz w:val="24"/>
          <w:szCs w:val="24"/>
        </w:rPr>
        <w:t>. Only the analytical method(s) specified in 310 CMR 22.20A(5)(a), or otherwise approved by EPA, may be used to demonstrate compliance with the requirements of 310 CMR 22.20A(2) through (4). Measurements for pH, temperature, Turbidity, and Residual Disinfectant Concentrations must be conducted by a certified operator</w:t>
      </w:r>
      <w:r w:rsidR="0021444D">
        <w:rPr>
          <w:rFonts w:eastAsia="Times New Roman"/>
          <w:sz w:val="24"/>
          <w:szCs w:val="24"/>
        </w:rPr>
        <w:t xml:space="preserve"> or a person approved</w:t>
      </w:r>
      <w:r w:rsidR="00945E49">
        <w:rPr>
          <w:rFonts w:eastAsia="Times New Roman"/>
          <w:sz w:val="24"/>
          <w:szCs w:val="24"/>
        </w:rPr>
        <w:t xml:space="preserve"> in writing</w:t>
      </w:r>
      <w:r w:rsidR="0021444D">
        <w:rPr>
          <w:rFonts w:eastAsia="Times New Roman"/>
          <w:sz w:val="24"/>
          <w:szCs w:val="24"/>
        </w:rPr>
        <w:t xml:space="preserve"> by the Department</w:t>
      </w:r>
      <w:r w:rsidR="00731B7E">
        <w:rPr>
          <w:rFonts w:eastAsia="Times New Roman"/>
          <w:sz w:val="24"/>
          <w:szCs w:val="24"/>
        </w:rPr>
        <w:t xml:space="preserve"> based upon</w:t>
      </w:r>
      <w:r w:rsidR="008D5E07">
        <w:rPr>
          <w:rFonts w:eastAsia="Times New Roman"/>
          <w:sz w:val="24"/>
          <w:szCs w:val="24"/>
        </w:rPr>
        <w:t xml:space="preserve"> having been provided</w:t>
      </w:r>
      <w:r w:rsidR="00731B7E">
        <w:rPr>
          <w:rFonts w:eastAsia="Times New Roman"/>
          <w:sz w:val="24"/>
          <w:szCs w:val="24"/>
        </w:rPr>
        <w:t xml:space="preserve"> relevant</w:t>
      </w:r>
      <w:r w:rsidR="000F64B9">
        <w:rPr>
          <w:rFonts w:eastAsia="Times New Roman"/>
          <w:sz w:val="24"/>
          <w:szCs w:val="24"/>
        </w:rPr>
        <w:t xml:space="preserve"> and appropriate</w:t>
      </w:r>
      <w:r w:rsidR="00731B7E">
        <w:rPr>
          <w:rFonts w:eastAsia="Times New Roman"/>
          <w:sz w:val="24"/>
          <w:szCs w:val="24"/>
        </w:rPr>
        <w:t xml:space="preserve"> training</w:t>
      </w:r>
      <w:r w:rsidRPr="00357D61">
        <w:rPr>
          <w:rFonts w:eastAsia="Times New Roman"/>
          <w:sz w:val="24"/>
          <w:szCs w:val="24"/>
        </w:rPr>
        <w:t>. Measurements for total coliform, fecal coliform, and HPC must be conducted by a laboratory certified by the Department to do such analyses. The following procedures shall be performed in accordance with the publications listed in the 310 CMR 22.20A(6).</w:t>
      </w:r>
      <w:r w:rsidR="002653E1" w:rsidRPr="00357D61">
        <w:rPr>
          <w:rFonts w:eastAsia="Times New Roman"/>
          <w:sz w:val="24"/>
          <w:szCs w:val="24"/>
        </w:rPr>
        <w:t xml:space="preserve"> </w:t>
      </w:r>
      <w:r w:rsidRPr="00357D61">
        <w:rPr>
          <w:rFonts w:eastAsia="Times New Roman"/>
          <w:sz w:val="24"/>
          <w:szCs w:val="24"/>
        </w:rPr>
        <w:t xml:space="preserve">This incorporation by reference was approved by the Director of the Federal Register in accordance with 5 U.S.C. 552(a) and 1 CFR Part 51. Copies of the methods published in </w:t>
      </w:r>
      <w:r w:rsidRPr="00357D61">
        <w:rPr>
          <w:rFonts w:eastAsia="Times New Roman"/>
          <w:i/>
          <w:iCs/>
          <w:sz w:val="24"/>
          <w:szCs w:val="24"/>
        </w:rPr>
        <w:t xml:space="preserve">Standard Methods for the Examination of Water and Wastewater </w:t>
      </w:r>
      <w:r w:rsidRPr="00357D61">
        <w:rPr>
          <w:rFonts w:eastAsia="Times New Roman"/>
          <w:sz w:val="24"/>
          <w:szCs w:val="24"/>
        </w:rPr>
        <w:t>may be obtained from the</w:t>
      </w:r>
      <w:r w:rsidRPr="00357D61">
        <w:rPr>
          <w:rFonts w:eastAsia="Times New Roman"/>
          <w:i/>
          <w:iCs/>
          <w:sz w:val="24"/>
          <w:szCs w:val="24"/>
        </w:rPr>
        <w:t xml:space="preserve"> </w:t>
      </w:r>
      <w:r w:rsidRPr="00357D61">
        <w:rPr>
          <w:rFonts w:eastAsia="Times New Roman"/>
          <w:sz w:val="24"/>
          <w:szCs w:val="24"/>
        </w:rPr>
        <w:t xml:space="preserve">American Public Health Association, 1015 Fifteenth Street, N.W., Washington, D.C. 20005; copies of the Minimal Medium ONPG MUG Method as set forth in the article </w:t>
      </w:r>
      <w:r w:rsidRPr="00357D61">
        <w:rPr>
          <w:rFonts w:eastAsia="Times New Roman"/>
          <w:i/>
          <w:iCs/>
          <w:sz w:val="24"/>
          <w:szCs w:val="24"/>
        </w:rPr>
        <w:t>National</w:t>
      </w:r>
      <w:r w:rsidRPr="00357D61">
        <w:rPr>
          <w:rFonts w:eastAsia="Times New Roman"/>
          <w:sz w:val="24"/>
          <w:szCs w:val="24"/>
        </w:rPr>
        <w:t xml:space="preserve"> </w:t>
      </w:r>
      <w:r w:rsidRPr="00357D61">
        <w:rPr>
          <w:rFonts w:eastAsia="Times New Roman"/>
          <w:i/>
          <w:iCs/>
          <w:sz w:val="24"/>
          <w:szCs w:val="24"/>
        </w:rPr>
        <w:t xml:space="preserve">Field Evaluation of a Defined Substrate Method for the Simultaneous Enumeration of Total Coliform and Escherichia coli from Drinking Water: Comparison with the Standard Multiple Tube Fermentation Method </w:t>
      </w:r>
      <w:r w:rsidRPr="00357D61">
        <w:rPr>
          <w:rFonts w:eastAsia="Times New Roman"/>
          <w:sz w:val="24"/>
          <w:szCs w:val="24"/>
        </w:rPr>
        <w:t>(Edberg</w:t>
      </w:r>
      <w:r w:rsidRPr="00357D61">
        <w:rPr>
          <w:rFonts w:eastAsia="Times New Roman"/>
          <w:i/>
          <w:iCs/>
          <w:sz w:val="24"/>
          <w:szCs w:val="24"/>
        </w:rPr>
        <w:t xml:space="preserve"> et al</w:t>
      </w:r>
      <w:r w:rsidRPr="00357D61">
        <w:rPr>
          <w:rFonts w:eastAsia="Times New Roman"/>
          <w:sz w:val="24"/>
          <w:szCs w:val="24"/>
        </w:rPr>
        <w:t>.), Applied and Environmental</w:t>
      </w:r>
      <w:r w:rsidRPr="00357D61">
        <w:rPr>
          <w:rFonts w:eastAsia="Times New Roman"/>
          <w:i/>
          <w:iCs/>
          <w:sz w:val="24"/>
          <w:szCs w:val="24"/>
        </w:rPr>
        <w:t xml:space="preserve"> </w:t>
      </w:r>
      <w:r w:rsidRPr="00357D61">
        <w:rPr>
          <w:rFonts w:eastAsia="Times New Roman"/>
          <w:sz w:val="24"/>
          <w:szCs w:val="24"/>
        </w:rPr>
        <w:t xml:space="preserve">Microbiology, Volume 54, pp.1594 1601, June 1988 (as amended under Erratum, Applied and Environmental Microbiology, Volume 54, p. 3197, December 1988), may be obtained from the American Water Works Association Research Foundation, 6666 West Quincy Avenue, Denver, Colorado, 80235; and copies of the Indigo Method as set forth in the article </w:t>
      </w:r>
      <w:r w:rsidRPr="00357D61">
        <w:rPr>
          <w:rFonts w:eastAsia="Times New Roman"/>
          <w:i/>
          <w:iCs/>
          <w:sz w:val="24"/>
          <w:szCs w:val="24"/>
        </w:rPr>
        <w:t>Determination of Ozone in Water by the Indigo Method</w:t>
      </w:r>
      <w:r w:rsidRPr="00357D61">
        <w:rPr>
          <w:rFonts w:eastAsia="Times New Roman"/>
          <w:sz w:val="24"/>
          <w:szCs w:val="24"/>
        </w:rPr>
        <w:t xml:space="preserve"> (Bader and Hoigne), may be obtained from Ozone Science &amp; Engineering, Pergamon Press Ltd., Fairview Park, Elmsford, New York 10523. Copies may be inspected at the U.S. Environmental Protection Agency, Room EB15, 401 M Street, S.W., Washington, D.C. 20460 or at the Office of the Federal Register, 800 North Capitol Street, NW., suite 700 Washington, D.C.</w:t>
      </w:r>
    </w:p>
    <w:p w14:paraId="281A5951" w14:textId="3DAABD0B" w:rsidR="004647B9" w:rsidRPr="00357D61" w:rsidRDefault="00E2436F" w:rsidP="00707E6D">
      <w:pPr>
        <w:numPr>
          <w:ilvl w:val="0"/>
          <w:numId w:val="581"/>
        </w:numPr>
        <w:tabs>
          <w:tab w:val="left" w:pos="2326"/>
        </w:tabs>
        <w:ind w:left="1980" w:firstLine="4"/>
        <w:jc w:val="both"/>
        <w:rPr>
          <w:rFonts w:eastAsia="Times New Roman"/>
          <w:sz w:val="24"/>
          <w:szCs w:val="24"/>
        </w:rPr>
      </w:pPr>
      <w:r w:rsidRPr="00357D61">
        <w:rPr>
          <w:rFonts w:eastAsia="Times New Roman"/>
          <w:sz w:val="24"/>
          <w:szCs w:val="24"/>
        </w:rPr>
        <w:t xml:space="preserve">Public Water Systems must conduct analysis of pH and temperature in accordance with one of the methods listed in 310 CMR 22.06B(10). Public Water Systems must conduct </w:t>
      </w:r>
      <w:r w:rsidRPr="000774E6">
        <w:rPr>
          <w:rFonts w:eastAsia="Times New Roman"/>
          <w:sz w:val="24"/>
          <w:szCs w:val="24"/>
        </w:rPr>
        <w:t>analysis of total coliforms, fecal coliforms, Heterotrophic bacteria, and Turbidity in accordance with one of the following analyt</w:t>
      </w:r>
      <w:r w:rsidRPr="009324A2">
        <w:rPr>
          <w:rFonts w:eastAsia="Times New Roman"/>
          <w:sz w:val="24"/>
          <w:szCs w:val="24"/>
        </w:rPr>
        <w:t xml:space="preserve">ical methods and by using analytical test procedures contained in Technical Notes on Drinking Water Methods, EPA-600/R-94-173, October 1994, which is available </w:t>
      </w:r>
      <w:r w:rsidR="00C8526E" w:rsidRPr="000774E6">
        <w:rPr>
          <w:color w:val="000000"/>
          <w:sz w:val="24"/>
          <w:szCs w:val="24"/>
          <w:shd w:val="clear" w:color="auto" w:fill="FFFFFF"/>
        </w:rPr>
        <w:t>from the National Service Center for Environmental Publications (NSCEP), P.O. Box 42419, Cincinnati, OH 45242-0419 or </w:t>
      </w:r>
      <w:r w:rsidR="00B324DD" w:rsidRPr="000774E6">
        <w:rPr>
          <w:color w:val="000000"/>
          <w:sz w:val="24"/>
          <w:szCs w:val="24"/>
          <w:shd w:val="clear" w:color="auto" w:fill="FFFFFF"/>
        </w:rPr>
        <w:t>the NSCEP’s website</w:t>
      </w:r>
      <w:r w:rsidRPr="000774E6">
        <w:rPr>
          <w:rFonts w:eastAsia="Times New Roman"/>
          <w:sz w:val="24"/>
          <w:szCs w:val="24"/>
        </w:rPr>
        <w:t>.</w:t>
      </w:r>
    </w:p>
    <w:p w14:paraId="281A5952" w14:textId="77777777" w:rsidR="004647B9" w:rsidRPr="003021D7" w:rsidRDefault="004647B9" w:rsidP="00707E6D">
      <w:pPr>
        <w:rPr>
          <w:sz w:val="24"/>
          <w:szCs w:val="24"/>
        </w:rPr>
      </w:pPr>
    </w:p>
    <w:tbl>
      <w:tblPr>
        <w:tblW w:w="8820" w:type="dxa"/>
        <w:tblInd w:w="1370" w:type="dxa"/>
        <w:tblLayout w:type="fixed"/>
        <w:tblCellMar>
          <w:left w:w="0" w:type="dxa"/>
          <w:right w:w="0" w:type="dxa"/>
        </w:tblCellMar>
        <w:tblLook w:val="04A0" w:firstRow="1" w:lastRow="0" w:firstColumn="1" w:lastColumn="0" w:noHBand="0" w:noVBand="1"/>
      </w:tblPr>
      <w:tblGrid>
        <w:gridCol w:w="2800"/>
        <w:gridCol w:w="4420"/>
        <w:gridCol w:w="1600"/>
      </w:tblGrid>
      <w:tr w:rsidR="004647B9" w:rsidRPr="00423768" w14:paraId="281A5956" w14:textId="77777777" w:rsidTr="002474E6">
        <w:trPr>
          <w:trHeight w:val="281"/>
        </w:trPr>
        <w:tc>
          <w:tcPr>
            <w:tcW w:w="2800" w:type="dxa"/>
            <w:tcBorders>
              <w:top w:val="single" w:sz="8" w:space="0" w:color="auto"/>
              <w:left w:val="single" w:sz="8" w:space="0" w:color="auto"/>
              <w:bottom w:val="single" w:sz="8" w:space="0" w:color="auto"/>
              <w:right w:val="single" w:sz="8" w:space="0" w:color="auto"/>
            </w:tcBorders>
            <w:vAlign w:val="bottom"/>
          </w:tcPr>
          <w:p w14:paraId="281A5953" w14:textId="77777777" w:rsidR="004647B9" w:rsidRPr="00423768" w:rsidRDefault="00E2436F" w:rsidP="00707E6D">
            <w:pPr>
              <w:ind w:left="100"/>
              <w:rPr>
                <w:sz w:val="24"/>
                <w:szCs w:val="24"/>
              </w:rPr>
            </w:pPr>
            <w:r w:rsidRPr="00423768">
              <w:rPr>
                <w:rFonts w:eastAsia="Times New Roman"/>
                <w:sz w:val="24"/>
                <w:szCs w:val="24"/>
              </w:rPr>
              <w:t>Organism</w:t>
            </w:r>
          </w:p>
        </w:tc>
        <w:tc>
          <w:tcPr>
            <w:tcW w:w="4420" w:type="dxa"/>
            <w:tcBorders>
              <w:top w:val="single" w:sz="8" w:space="0" w:color="auto"/>
              <w:bottom w:val="single" w:sz="8" w:space="0" w:color="auto"/>
              <w:right w:val="single" w:sz="8" w:space="0" w:color="auto"/>
            </w:tcBorders>
            <w:vAlign w:val="bottom"/>
          </w:tcPr>
          <w:p w14:paraId="281A5954" w14:textId="77777777" w:rsidR="004647B9" w:rsidRPr="00423768" w:rsidRDefault="00E2436F" w:rsidP="00707E6D">
            <w:pPr>
              <w:ind w:left="100"/>
              <w:rPr>
                <w:sz w:val="24"/>
                <w:szCs w:val="24"/>
              </w:rPr>
            </w:pPr>
            <w:r w:rsidRPr="00423768">
              <w:rPr>
                <w:rFonts w:eastAsia="Times New Roman"/>
                <w:sz w:val="24"/>
                <w:szCs w:val="24"/>
              </w:rPr>
              <w:t>Methodology</w:t>
            </w:r>
          </w:p>
        </w:tc>
        <w:tc>
          <w:tcPr>
            <w:tcW w:w="1600" w:type="dxa"/>
            <w:tcBorders>
              <w:top w:val="single" w:sz="8" w:space="0" w:color="auto"/>
              <w:bottom w:val="single" w:sz="8" w:space="0" w:color="auto"/>
              <w:right w:val="single" w:sz="8" w:space="0" w:color="auto"/>
            </w:tcBorders>
            <w:vAlign w:val="bottom"/>
          </w:tcPr>
          <w:p w14:paraId="281A5955" w14:textId="77777777" w:rsidR="004647B9" w:rsidRPr="00423768" w:rsidRDefault="00E2436F" w:rsidP="00707E6D">
            <w:pPr>
              <w:ind w:left="80"/>
              <w:rPr>
                <w:sz w:val="24"/>
                <w:szCs w:val="24"/>
              </w:rPr>
            </w:pPr>
            <w:r w:rsidRPr="00423768">
              <w:rPr>
                <w:rFonts w:eastAsia="Times New Roman"/>
                <w:sz w:val="24"/>
                <w:szCs w:val="24"/>
              </w:rPr>
              <w:t>Citiation</w:t>
            </w:r>
            <w:r w:rsidRPr="00423768">
              <w:rPr>
                <w:rFonts w:eastAsia="Times New Roman"/>
                <w:sz w:val="24"/>
                <w:szCs w:val="24"/>
                <w:vertAlign w:val="superscript"/>
              </w:rPr>
              <w:t>1</w:t>
            </w:r>
          </w:p>
        </w:tc>
      </w:tr>
      <w:tr w:rsidR="002474E6" w:rsidRPr="00423768" w14:paraId="281A595B" w14:textId="77777777" w:rsidTr="002474E6">
        <w:trPr>
          <w:trHeight w:val="246"/>
        </w:trPr>
        <w:tc>
          <w:tcPr>
            <w:tcW w:w="2800" w:type="dxa"/>
            <w:tcBorders>
              <w:left w:val="single" w:sz="8" w:space="0" w:color="auto"/>
              <w:right w:val="single" w:sz="8" w:space="0" w:color="auto"/>
            </w:tcBorders>
            <w:vAlign w:val="bottom"/>
          </w:tcPr>
          <w:p w14:paraId="281A5957" w14:textId="77777777" w:rsidR="002474E6" w:rsidRPr="00423768" w:rsidRDefault="002474E6" w:rsidP="00707E6D">
            <w:pPr>
              <w:ind w:left="100"/>
              <w:rPr>
                <w:sz w:val="24"/>
                <w:szCs w:val="24"/>
              </w:rPr>
            </w:pPr>
            <w:r w:rsidRPr="00423768">
              <w:rPr>
                <w:rFonts w:eastAsia="Times New Roman"/>
                <w:sz w:val="24"/>
                <w:szCs w:val="24"/>
              </w:rPr>
              <w:t>Total Coliform</w:t>
            </w:r>
            <w:r w:rsidRPr="00423768">
              <w:rPr>
                <w:rFonts w:eastAsia="Times New Roman"/>
                <w:sz w:val="24"/>
                <w:szCs w:val="24"/>
                <w:vertAlign w:val="superscript"/>
              </w:rPr>
              <w:t>2</w:t>
            </w:r>
          </w:p>
        </w:tc>
        <w:tc>
          <w:tcPr>
            <w:tcW w:w="4420" w:type="dxa"/>
            <w:tcBorders>
              <w:right w:val="single" w:sz="8" w:space="0" w:color="auto"/>
            </w:tcBorders>
            <w:vAlign w:val="bottom"/>
          </w:tcPr>
          <w:p w14:paraId="281A5958" w14:textId="77777777" w:rsidR="002474E6" w:rsidRPr="00423768" w:rsidRDefault="002474E6" w:rsidP="00707E6D">
            <w:pPr>
              <w:ind w:left="100"/>
              <w:rPr>
                <w:sz w:val="24"/>
                <w:szCs w:val="24"/>
              </w:rPr>
            </w:pPr>
            <w:r w:rsidRPr="00423768">
              <w:rPr>
                <w:rFonts w:eastAsia="Times New Roman"/>
                <w:w w:val="99"/>
                <w:sz w:val="24"/>
                <w:szCs w:val="24"/>
              </w:rPr>
              <w:t>Total Coliform Fermentation Technique</w:t>
            </w:r>
            <w:r w:rsidRPr="00423768">
              <w:rPr>
                <w:rFonts w:eastAsia="Times New Roman"/>
                <w:w w:val="99"/>
                <w:sz w:val="24"/>
                <w:szCs w:val="24"/>
                <w:vertAlign w:val="superscript"/>
              </w:rPr>
              <w:t>3, 4, 5</w:t>
            </w:r>
          </w:p>
        </w:tc>
        <w:tc>
          <w:tcPr>
            <w:tcW w:w="1600" w:type="dxa"/>
            <w:tcBorders>
              <w:right w:val="single" w:sz="8" w:space="0" w:color="auto"/>
            </w:tcBorders>
            <w:vAlign w:val="bottom"/>
          </w:tcPr>
          <w:p w14:paraId="281A595A" w14:textId="5EF119C6" w:rsidR="002474E6" w:rsidRPr="00423768" w:rsidRDefault="002474E6" w:rsidP="00707E6D">
            <w:pPr>
              <w:ind w:left="80"/>
              <w:rPr>
                <w:sz w:val="24"/>
                <w:szCs w:val="24"/>
              </w:rPr>
            </w:pPr>
            <w:r w:rsidRPr="00423768">
              <w:rPr>
                <w:rFonts w:eastAsia="Times New Roman"/>
                <w:sz w:val="24"/>
                <w:szCs w:val="24"/>
              </w:rPr>
              <w:t>9221 A, B, C</w:t>
            </w:r>
          </w:p>
        </w:tc>
      </w:tr>
      <w:tr w:rsidR="002474E6" w:rsidRPr="00423768" w14:paraId="281A5960" w14:textId="77777777" w:rsidTr="00DF6443">
        <w:trPr>
          <w:trHeight w:val="278"/>
        </w:trPr>
        <w:tc>
          <w:tcPr>
            <w:tcW w:w="2800" w:type="dxa"/>
            <w:tcBorders>
              <w:left w:val="single" w:sz="8" w:space="0" w:color="auto"/>
              <w:right w:val="single" w:sz="8" w:space="0" w:color="auto"/>
            </w:tcBorders>
            <w:vAlign w:val="bottom"/>
          </w:tcPr>
          <w:p w14:paraId="281A595C" w14:textId="77777777" w:rsidR="002474E6" w:rsidRPr="00423768" w:rsidRDefault="002474E6" w:rsidP="00707E6D">
            <w:pPr>
              <w:rPr>
                <w:sz w:val="24"/>
                <w:szCs w:val="24"/>
              </w:rPr>
            </w:pPr>
          </w:p>
        </w:tc>
        <w:tc>
          <w:tcPr>
            <w:tcW w:w="4420" w:type="dxa"/>
            <w:tcBorders>
              <w:right w:val="single" w:sz="8" w:space="0" w:color="auto"/>
            </w:tcBorders>
            <w:vAlign w:val="bottom"/>
          </w:tcPr>
          <w:p w14:paraId="281A595D" w14:textId="77777777" w:rsidR="002474E6" w:rsidRPr="00423768" w:rsidRDefault="002474E6" w:rsidP="00707E6D">
            <w:pPr>
              <w:ind w:left="100"/>
              <w:rPr>
                <w:sz w:val="24"/>
                <w:szCs w:val="24"/>
              </w:rPr>
            </w:pPr>
            <w:r w:rsidRPr="00423768">
              <w:rPr>
                <w:rFonts w:eastAsia="Times New Roman"/>
                <w:w w:val="99"/>
                <w:sz w:val="24"/>
                <w:szCs w:val="24"/>
              </w:rPr>
              <w:t>Total Coliform Membrane Filter Technique</w:t>
            </w:r>
            <w:r w:rsidRPr="00423768">
              <w:rPr>
                <w:rFonts w:eastAsia="Times New Roman"/>
                <w:w w:val="99"/>
                <w:sz w:val="24"/>
                <w:szCs w:val="24"/>
                <w:vertAlign w:val="superscript"/>
              </w:rPr>
              <w:t>6</w:t>
            </w:r>
          </w:p>
        </w:tc>
        <w:tc>
          <w:tcPr>
            <w:tcW w:w="1600" w:type="dxa"/>
            <w:tcBorders>
              <w:right w:val="single" w:sz="8" w:space="0" w:color="auto"/>
            </w:tcBorders>
            <w:vAlign w:val="bottom"/>
          </w:tcPr>
          <w:p w14:paraId="281A595F" w14:textId="3575C2BF" w:rsidR="002474E6" w:rsidRPr="00423768" w:rsidRDefault="002474E6" w:rsidP="00707E6D">
            <w:pPr>
              <w:ind w:left="80"/>
              <w:rPr>
                <w:sz w:val="24"/>
                <w:szCs w:val="24"/>
              </w:rPr>
            </w:pPr>
            <w:r w:rsidRPr="00423768">
              <w:rPr>
                <w:rFonts w:eastAsia="Times New Roman"/>
                <w:sz w:val="24"/>
                <w:szCs w:val="24"/>
              </w:rPr>
              <w:t>9222 A, B, C</w:t>
            </w:r>
          </w:p>
        </w:tc>
      </w:tr>
      <w:tr w:rsidR="002474E6" w:rsidRPr="00423768" w14:paraId="281A5965" w14:textId="77777777" w:rsidTr="00DF6443">
        <w:trPr>
          <w:trHeight w:val="281"/>
        </w:trPr>
        <w:tc>
          <w:tcPr>
            <w:tcW w:w="2800" w:type="dxa"/>
            <w:tcBorders>
              <w:left w:val="single" w:sz="8" w:space="0" w:color="auto"/>
              <w:right w:val="single" w:sz="8" w:space="0" w:color="auto"/>
            </w:tcBorders>
            <w:vAlign w:val="bottom"/>
          </w:tcPr>
          <w:p w14:paraId="281A5961" w14:textId="77777777" w:rsidR="002474E6" w:rsidRPr="00423768" w:rsidRDefault="002474E6" w:rsidP="00707E6D">
            <w:pPr>
              <w:rPr>
                <w:sz w:val="24"/>
                <w:szCs w:val="24"/>
              </w:rPr>
            </w:pPr>
          </w:p>
        </w:tc>
        <w:tc>
          <w:tcPr>
            <w:tcW w:w="4420" w:type="dxa"/>
            <w:tcBorders>
              <w:right w:val="single" w:sz="8" w:space="0" w:color="auto"/>
            </w:tcBorders>
            <w:vAlign w:val="bottom"/>
          </w:tcPr>
          <w:p w14:paraId="281A5962" w14:textId="77777777" w:rsidR="002474E6" w:rsidRPr="00423768" w:rsidRDefault="002474E6" w:rsidP="00707E6D">
            <w:pPr>
              <w:ind w:left="100"/>
              <w:rPr>
                <w:sz w:val="24"/>
                <w:szCs w:val="24"/>
              </w:rPr>
            </w:pPr>
            <w:r w:rsidRPr="00423768">
              <w:rPr>
                <w:rFonts w:eastAsia="Times New Roman"/>
                <w:sz w:val="24"/>
                <w:szCs w:val="24"/>
              </w:rPr>
              <w:t>ONPG-MUG Test</w:t>
            </w:r>
            <w:r w:rsidRPr="00423768">
              <w:rPr>
                <w:rFonts w:eastAsia="Times New Roman"/>
                <w:sz w:val="24"/>
                <w:szCs w:val="24"/>
                <w:vertAlign w:val="superscript"/>
              </w:rPr>
              <w:t>7</w:t>
            </w:r>
          </w:p>
        </w:tc>
        <w:tc>
          <w:tcPr>
            <w:tcW w:w="1600" w:type="dxa"/>
            <w:tcBorders>
              <w:right w:val="single" w:sz="8" w:space="0" w:color="auto"/>
            </w:tcBorders>
            <w:vAlign w:val="bottom"/>
          </w:tcPr>
          <w:p w14:paraId="281A5964" w14:textId="7E63BA46" w:rsidR="002474E6" w:rsidRPr="00423768" w:rsidRDefault="002474E6" w:rsidP="00707E6D">
            <w:pPr>
              <w:ind w:left="80"/>
              <w:rPr>
                <w:rFonts w:eastAsia="Times New Roman"/>
                <w:sz w:val="24"/>
                <w:szCs w:val="24"/>
              </w:rPr>
            </w:pPr>
            <w:r w:rsidRPr="00423768">
              <w:rPr>
                <w:rFonts w:eastAsia="Times New Roman"/>
                <w:sz w:val="24"/>
                <w:szCs w:val="24"/>
              </w:rPr>
              <w:t>9223</w:t>
            </w:r>
          </w:p>
        </w:tc>
      </w:tr>
      <w:tr w:rsidR="002474E6" w:rsidRPr="00423768" w14:paraId="281A596A" w14:textId="77777777" w:rsidTr="00DF6443">
        <w:trPr>
          <w:trHeight w:val="278"/>
        </w:trPr>
        <w:tc>
          <w:tcPr>
            <w:tcW w:w="2800" w:type="dxa"/>
            <w:tcBorders>
              <w:left w:val="single" w:sz="8" w:space="0" w:color="auto"/>
              <w:right w:val="single" w:sz="8" w:space="0" w:color="auto"/>
            </w:tcBorders>
            <w:vAlign w:val="bottom"/>
          </w:tcPr>
          <w:p w14:paraId="281A5966" w14:textId="77777777" w:rsidR="002474E6" w:rsidRPr="00423768" w:rsidRDefault="002474E6" w:rsidP="00707E6D">
            <w:pPr>
              <w:ind w:left="100"/>
              <w:rPr>
                <w:sz w:val="24"/>
                <w:szCs w:val="24"/>
              </w:rPr>
            </w:pPr>
            <w:r w:rsidRPr="00423768">
              <w:rPr>
                <w:rFonts w:eastAsia="Times New Roman"/>
                <w:sz w:val="24"/>
                <w:szCs w:val="24"/>
              </w:rPr>
              <w:t>Fecal Coliforms</w:t>
            </w:r>
            <w:r w:rsidRPr="00423768">
              <w:rPr>
                <w:rFonts w:eastAsia="Times New Roman"/>
                <w:sz w:val="24"/>
                <w:szCs w:val="24"/>
                <w:vertAlign w:val="superscript"/>
              </w:rPr>
              <w:t>2</w:t>
            </w:r>
          </w:p>
        </w:tc>
        <w:tc>
          <w:tcPr>
            <w:tcW w:w="4420" w:type="dxa"/>
            <w:tcBorders>
              <w:right w:val="single" w:sz="8" w:space="0" w:color="auto"/>
            </w:tcBorders>
            <w:vAlign w:val="bottom"/>
          </w:tcPr>
          <w:p w14:paraId="281A5967" w14:textId="77777777" w:rsidR="002474E6" w:rsidRPr="00423768" w:rsidRDefault="002474E6" w:rsidP="00707E6D">
            <w:pPr>
              <w:ind w:left="100"/>
              <w:rPr>
                <w:sz w:val="24"/>
                <w:szCs w:val="24"/>
              </w:rPr>
            </w:pPr>
            <w:r w:rsidRPr="00423768">
              <w:rPr>
                <w:rFonts w:eastAsia="Times New Roman"/>
                <w:sz w:val="24"/>
                <w:szCs w:val="24"/>
              </w:rPr>
              <w:t>Fecal Coliform Procedure</w:t>
            </w:r>
            <w:r w:rsidRPr="00423768">
              <w:rPr>
                <w:rFonts w:eastAsia="Times New Roman"/>
                <w:sz w:val="24"/>
                <w:szCs w:val="24"/>
                <w:vertAlign w:val="superscript"/>
              </w:rPr>
              <w:t>8</w:t>
            </w:r>
          </w:p>
        </w:tc>
        <w:tc>
          <w:tcPr>
            <w:tcW w:w="1600" w:type="dxa"/>
            <w:tcBorders>
              <w:right w:val="single" w:sz="8" w:space="0" w:color="auto"/>
            </w:tcBorders>
            <w:vAlign w:val="bottom"/>
          </w:tcPr>
          <w:p w14:paraId="281A5969" w14:textId="78ECFF9A" w:rsidR="002474E6" w:rsidRPr="00423768" w:rsidRDefault="002474E6" w:rsidP="00707E6D">
            <w:pPr>
              <w:ind w:left="80"/>
              <w:rPr>
                <w:sz w:val="24"/>
                <w:szCs w:val="24"/>
              </w:rPr>
            </w:pPr>
            <w:r w:rsidRPr="00423768">
              <w:rPr>
                <w:rFonts w:eastAsia="Times New Roman"/>
                <w:sz w:val="24"/>
                <w:szCs w:val="24"/>
              </w:rPr>
              <w:t>9221 E</w:t>
            </w:r>
          </w:p>
        </w:tc>
      </w:tr>
      <w:tr w:rsidR="002474E6" w:rsidRPr="00423768" w14:paraId="281A596F" w14:textId="77777777" w:rsidTr="00DF6443">
        <w:trPr>
          <w:trHeight w:val="281"/>
        </w:trPr>
        <w:tc>
          <w:tcPr>
            <w:tcW w:w="2800" w:type="dxa"/>
            <w:tcBorders>
              <w:left w:val="single" w:sz="8" w:space="0" w:color="auto"/>
              <w:right w:val="single" w:sz="8" w:space="0" w:color="auto"/>
            </w:tcBorders>
            <w:vAlign w:val="bottom"/>
          </w:tcPr>
          <w:p w14:paraId="281A596B" w14:textId="77777777" w:rsidR="002474E6" w:rsidRPr="00423768" w:rsidRDefault="002474E6" w:rsidP="00707E6D">
            <w:pPr>
              <w:rPr>
                <w:sz w:val="24"/>
                <w:szCs w:val="24"/>
              </w:rPr>
            </w:pPr>
          </w:p>
        </w:tc>
        <w:tc>
          <w:tcPr>
            <w:tcW w:w="4420" w:type="dxa"/>
            <w:tcBorders>
              <w:right w:val="single" w:sz="8" w:space="0" w:color="auto"/>
            </w:tcBorders>
            <w:vAlign w:val="bottom"/>
          </w:tcPr>
          <w:p w14:paraId="281A596C" w14:textId="77777777" w:rsidR="002474E6" w:rsidRPr="00423768" w:rsidRDefault="002474E6" w:rsidP="00707E6D">
            <w:pPr>
              <w:ind w:left="100"/>
              <w:rPr>
                <w:sz w:val="24"/>
                <w:szCs w:val="24"/>
              </w:rPr>
            </w:pPr>
            <w:r w:rsidRPr="00423768">
              <w:rPr>
                <w:rFonts w:eastAsia="Times New Roman"/>
                <w:sz w:val="24"/>
                <w:szCs w:val="24"/>
              </w:rPr>
              <w:t>Fecal Coliform Filter Procedure</w:t>
            </w:r>
          </w:p>
        </w:tc>
        <w:tc>
          <w:tcPr>
            <w:tcW w:w="1600" w:type="dxa"/>
            <w:tcBorders>
              <w:right w:val="single" w:sz="8" w:space="0" w:color="auto"/>
            </w:tcBorders>
            <w:vAlign w:val="bottom"/>
          </w:tcPr>
          <w:p w14:paraId="281A596E" w14:textId="2FD0E793" w:rsidR="002474E6" w:rsidRPr="00423768" w:rsidRDefault="002474E6" w:rsidP="00707E6D">
            <w:pPr>
              <w:ind w:left="80"/>
              <w:rPr>
                <w:sz w:val="24"/>
                <w:szCs w:val="24"/>
              </w:rPr>
            </w:pPr>
            <w:r w:rsidRPr="00423768">
              <w:rPr>
                <w:rFonts w:eastAsia="Times New Roman"/>
                <w:sz w:val="24"/>
                <w:szCs w:val="24"/>
              </w:rPr>
              <w:t>9222 D</w:t>
            </w:r>
          </w:p>
        </w:tc>
      </w:tr>
      <w:tr w:rsidR="002474E6" w:rsidRPr="00423768" w14:paraId="281A5974" w14:textId="77777777" w:rsidTr="00DF6443">
        <w:trPr>
          <w:trHeight w:val="278"/>
        </w:trPr>
        <w:tc>
          <w:tcPr>
            <w:tcW w:w="2800" w:type="dxa"/>
            <w:tcBorders>
              <w:left w:val="single" w:sz="8" w:space="0" w:color="auto"/>
              <w:right w:val="single" w:sz="8" w:space="0" w:color="auto"/>
            </w:tcBorders>
            <w:vAlign w:val="bottom"/>
          </w:tcPr>
          <w:p w14:paraId="281A5970" w14:textId="77777777" w:rsidR="002474E6" w:rsidRPr="00423768" w:rsidRDefault="002474E6" w:rsidP="00707E6D">
            <w:pPr>
              <w:ind w:left="100"/>
              <w:rPr>
                <w:sz w:val="24"/>
                <w:szCs w:val="24"/>
              </w:rPr>
            </w:pPr>
            <w:r w:rsidRPr="00423768">
              <w:rPr>
                <w:rFonts w:eastAsia="Times New Roman"/>
                <w:sz w:val="24"/>
                <w:szCs w:val="24"/>
              </w:rPr>
              <w:t>Heterotrophic bacteria</w:t>
            </w:r>
            <w:r w:rsidRPr="00423768">
              <w:rPr>
                <w:rFonts w:eastAsia="Times New Roman"/>
                <w:sz w:val="24"/>
                <w:szCs w:val="24"/>
                <w:vertAlign w:val="superscript"/>
              </w:rPr>
              <w:t>2</w:t>
            </w:r>
          </w:p>
        </w:tc>
        <w:tc>
          <w:tcPr>
            <w:tcW w:w="4420" w:type="dxa"/>
            <w:tcBorders>
              <w:right w:val="single" w:sz="8" w:space="0" w:color="auto"/>
            </w:tcBorders>
            <w:vAlign w:val="bottom"/>
          </w:tcPr>
          <w:p w14:paraId="281A5971" w14:textId="77777777" w:rsidR="002474E6" w:rsidRPr="00423768" w:rsidRDefault="002474E6" w:rsidP="00707E6D">
            <w:pPr>
              <w:ind w:left="100"/>
              <w:rPr>
                <w:sz w:val="24"/>
                <w:szCs w:val="24"/>
              </w:rPr>
            </w:pPr>
            <w:r w:rsidRPr="00423768">
              <w:rPr>
                <w:rFonts w:eastAsia="Times New Roman"/>
                <w:sz w:val="24"/>
                <w:szCs w:val="24"/>
              </w:rPr>
              <w:t>Pour Plate Method</w:t>
            </w:r>
          </w:p>
        </w:tc>
        <w:tc>
          <w:tcPr>
            <w:tcW w:w="1600" w:type="dxa"/>
            <w:tcBorders>
              <w:right w:val="single" w:sz="8" w:space="0" w:color="auto"/>
            </w:tcBorders>
            <w:vAlign w:val="bottom"/>
          </w:tcPr>
          <w:p w14:paraId="281A5973" w14:textId="593F6C50" w:rsidR="002474E6" w:rsidRPr="00423768" w:rsidRDefault="002474E6" w:rsidP="00707E6D">
            <w:pPr>
              <w:ind w:left="80"/>
              <w:rPr>
                <w:sz w:val="24"/>
                <w:szCs w:val="24"/>
              </w:rPr>
            </w:pPr>
            <w:r w:rsidRPr="00423768">
              <w:rPr>
                <w:rFonts w:eastAsia="Times New Roman"/>
                <w:sz w:val="24"/>
                <w:szCs w:val="24"/>
              </w:rPr>
              <w:t>9215 B</w:t>
            </w:r>
          </w:p>
        </w:tc>
      </w:tr>
      <w:tr w:rsidR="00423768" w:rsidRPr="00423768" w14:paraId="281A5979" w14:textId="77777777" w:rsidTr="00DF6443">
        <w:trPr>
          <w:trHeight w:val="281"/>
        </w:trPr>
        <w:tc>
          <w:tcPr>
            <w:tcW w:w="2800" w:type="dxa"/>
            <w:tcBorders>
              <w:left w:val="single" w:sz="8" w:space="0" w:color="auto"/>
              <w:right w:val="single" w:sz="8" w:space="0" w:color="auto"/>
            </w:tcBorders>
            <w:vAlign w:val="bottom"/>
          </w:tcPr>
          <w:p w14:paraId="281A5975" w14:textId="77777777" w:rsidR="00423768" w:rsidRPr="00423768" w:rsidRDefault="00423768" w:rsidP="00707E6D">
            <w:pPr>
              <w:rPr>
                <w:sz w:val="24"/>
                <w:szCs w:val="24"/>
              </w:rPr>
            </w:pPr>
          </w:p>
        </w:tc>
        <w:tc>
          <w:tcPr>
            <w:tcW w:w="4420" w:type="dxa"/>
            <w:tcBorders>
              <w:right w:val="single" w:sz="8" w:space="0" w:color="auto"/>
            </w:tcBorders>
            <w:vAlign w:val="bottom"/>
          </w:tcPr>
          <w:p w14:paraId="281A5976" w14:textId="77777777" w:rsidR="00423768" w:rsidRPr="00423768" w:rsidRDefault="00423768" w:rsidP="00707E6D">
            <w:pPr>
              <w:ind w:left="100"/>
              <w:rPr>
                <w:sz w:val="24"/>
                <w:szCs w:val="24"/>
              </w:rPr>
            </w:pPr>
            <w:r w:rsidRPr="00423768">
              <w:rPr>
                <w:rFonts w:eastAsia="Times New Roman"/>
                <w:sz w:val="24"/>
                <w:szCs w:val="24"/>
              </w:rPr>
              <w:t>SimPlate</w:t>
            </w:r>
            <w:r w:rsidRPr="00423768">
              <w:rPr>
                <w:rFonts w:eastAsia="Times New Roman"/>
                <w:sz w:val="24"/>
                <w:szCs w:val="24"/>
                <w:vertAlign w:val="superscript"/>
              </w:rPr>
              <w:t>11</w:t>
            </w:r>
          </w:p>
        </w:tc>
        <w:tc>
          <w:tcPr>
            <w:tcW w:w="1600" w:type="dxa"/>
            <w:tcBorders>
              <w:right w:val="single" w:sz="8" w:space="0" w:color="auto"/>
            </w:tcBorders>
            <w:vAlign w:val="bottom"/>
          </w:tcPr>
          <w:p w14:paraId="281A5978" w14:textId="5A231354" w:rsidR="00423768" w:rsidRPr="00423768" w:rsidRDefault="00423768" w:rsidP="00707E6D">
            <w:pPr>
              <w:ind w:left="80"/>
              <w:rPr>
                <w:sz w:val="24"/>
                <w:szCs w:val="24"/>
              </w:rPr>
            </w:pPr>
          </w:p>
        </w:tc>
      </w:tr>
      <w:tr w:rsidR="005C4A53" w:rsidRPr="00423768" w14:paraId="281A5981" w14:textId="77777777" w:rsidTr="002474E6">
        <w:trPr>
          <w:trHeight w:val="281"/>
        </w:trPr>
        <w:tc>
          <w:tcPr>
            <w:tcW w:w="2800" w:type="dxa"/>
            <w:tcBorders>
              <w:left w:val="single" w:sz="8" w:space="0" w:color="auto"/>
              <w:right w:val="single" w:sz="8" w:space="0" w:color="auto"/>
            </w:tcBorders>
            <w:vAlign w:val="bottom"/>
          </w:tcPr>
          <w:p w14:paraId="281A597E" w14:textId="131E6654" w:rsidR="005C4A53" w:rsidRPr="00423768" w:rsidRDefault="005C4A53" w:rsidP="00707E6D">
            <w:pPr>
              <w:ind w:left="100"/>
              <w:rPr>
                <w:rFonts w:eastAsia="Times New Roman"/>
                <w:sz w:val="24"/>
                <w:szCs w:val="24"/>
              </w:rPr>
            </w:pPr>
            <w:r w:rsidRPr="00423768">
              <w:rPr>
                <w:rFonts w:eastAsia="Times New Roman"/>
                <w:sz w:val="24"/>
                <w:szCs w:val="24"/>
              </w:rPr>
              <w:t>Turbidity</w:t>
            </w:r>
            <w:r w:rsidRPr="00423768">
              <w:rPr>
                <w:rFonts w:eastAsia="Times New Roman"/>
                <w:sz w:val="24"/>
                <w:szCs w:val="24"/>
                <w:vertAlign w:val="superscript"/>
              </w:rPr>
              <w:t>13</w:t>
            </w:r>
          </w:p>
        </w:tc>
        <w:tc>
          <w:tcPr>
            <w:tcW w:w="4420" w:type="dxa"/>
            <w:tcBorders>
              <w:right w:val="single" w:sz="8" w:space="0" w:color="auto"/>
            </w:tcBorders>
            <w:vAlign w:val="bottom"/>
          </w:tcPr>
          <w:p w14:paraId="281A597F" w14:textId="77777777" w:rsidR="005C4A53" w:rsidRPr="00423768" w:rsidRDefault="005C4A53" w:rsidP="00707E6D">
            <w:pPr>
              <w:ind w:left="100"/>
              <w:rPr>
                <w:sz w:val="24"/>
                <w:szCs w:val="24"/>
              </w:rPr>
            </w:pPr>
            <w:r w:rsidRPr="00423768">
              <w:rPr>
                <w:rFonts w:eastAsia="Times New Roman"/>
                <w:sz w:val="24"/>
                <w:szCs w:val="24"/>
              </w:rPr>
              <w:t>Nephelometric Method</w:t>
            </w:r>
          </w:p>
        </w:tc>
        <w:tc>
          <w:tcPr>
            <w:tcW w:w="1600" w:type="dxa"/>
            <w:tcBorders>
              <w:right w:val="single" w:sz="8" w:space="0" w:color="auto"/>
            </w:tcBorders>
            <w:vAlign w:val="bottom"/>
          </w:tcPr>
          <w:p w14:paraId="281A5980" w14:textId="154EE448" w:rsidR="005C4A53" w:rsidRPr="00423768" w:rsidRDefault="005C4A53" w:rsidP="00707E6D">
            <w:pPr>
              <w:ind w:left="80"/>
              <w:rPr>
                <w:sz w:val="24"/>
                <w:szCs w:val="24"/>
              </w:rPr>
            </w:pPr>
            <w:r w:rsidRPr="00423768">
              <w:rPr>
                <w:rFonts w:eastAsia="Times New Roman"/>
                <w:sz w:val="24"/>
                <w:szCs w:val="24"/>
              </w:rPr>
              <w:t>2130 B</w:t>
            </w:r>
          </w:p>
        </w:tc>
      </w:tr>
      <w:tr w:rsidR="005C4A53" w:rsidRPr="00423768" w14:paraId="281A5985" w14:textId="77777777" w:rsidTr="002474E6">
        <w:trPr>
          <w:trHeight w:val="278"/>
        </w:trPr>
        <w:tc>
          <w:tcPr>
            <w:tcW w:w="2800" w:type="dxa"/>
            <w:tcBorders>
              <w:left w:val="single" w:sz="8" w:space="0" w:color="auto"/>
              <w:right w:val="single" w:sz="8" w:space="0" w:color="auto"/>
            </w:tcBorders>
            <w:vAlign w:val="bottom"/>
          </w:tcPr>
          <w:p w14:paraId="281A5982" w14:textId="77777777" w:rsidR="005C4A53" w:rsidRPr="00423768" w:rsidRDefault="005C4A53" w:rsidP="00707E6D">
            <w:pPr>
              <w:rPr>
                <w:sz w:val="24"/>
                <w:szCs w:val="24"/>
              </w:rPr>
            </w:pPr>
          </w:p>
        </w:tc>
        <w:tc>
          <w:tcPr>
            <w:tcW w:w="4420" w:type="dxa"/>
            <w:tcBorders>
              <w:right w:val="single" w:sz="8" w:space="0" w:color="auto"/>
            </w:tcBorders>
            <w:vAlign w:val="bottom"/>
          </w:tcPr>
          <w:p w14:paraId="281A5983" w14:textId="77777777" w:rsidR="005C4A53" w:rsidRPr="00423768" w:rsidRDefault="005C4A53" w:rsidP="00707E6D">
            <w:pPr>
              <w:ind w:left="100"/>
              <w:rPr>
                <w:sz w:val="24"/>
                <w:szCs w:val="24"/>
              </w:rPr>
            </w:pPr>
            <w:r w:rsidRPr="00423768">
              <w:rPr>
                <w:rFonts w:eastAsia="Times New Roman"/>
                <w:sz w:val="24"/>
                <w:szCs w:val="24"/>
              </w:rPr>
              <w:t>Nephelometric Method</w:t>
            </w:r>
          </w:p>
        </w:tc>
        <w:tc>
          <w:tcPr>
            <w:tcW w:w="1600" w:type="dxa"/>
            <w:tcBorders>
              <w:right w:val="single" w:sz="8" w:space="0" w:color="auto"/>
            </w:tcBorders>
            <w:vAlign w:val="bottom"/>
          </w:tcPr>
          <w:p w14:paraId="281A5984" w14:textId="03E54C83" w:rsidR="005C4A53" w:rsidRPr="00423768" w:rsidRDefault="005C4A53" w:rsidP="00707E6D">
            <w:pPr>
              <w:ind w:left="80"/>
              <w:rPr>
                <w:sz w:val="24"/>
                <w:szCs w:val="24"/>
              </w:rPr>
            </w:pPr>
            <w:r w:rsidRPr="00423768">
              <w:rPr>
                <w:rFonts w:eastAsia="Times New Roman"/>
                <w:sz w:val="24"/>
                <w:szCs w:val="24"/>
              </w:rPr>
              <w:t>180.1</w:t>
            </w:r>
            <w:r w:rsidRPr="00423768">
              <w:rPr>
                <w:rFonts w:eastAsia="Times New Roman"/>
                <w:sz w:val="24"/>
                <w:szCs w:val="24"/>
                <w:vertAlign w:val="superscript"/>
              </w:rPr>
              <w:t>9</w:t>
            </w:r>
          </w:p>
        </w:tc>
      </w:tr>
      <w:tr w:rsidR="005C4A53" w:rsidRPr="00423768" w14:paraId="281A598A" w14:textId="77777777" w:rsidTr="00DF6443">
        <w:trPr>
          <w:trHeight w:val="281"/>
        </w:trPr>
        <w:tc>
          <w:tcPr>
            <w:tcW w:w="2800" w:type="dxa"/>
            <w:tcBorders>
              <w:left w:val="single" w:sz="8" w:space="0" w:color="auto"/>
              <w:right w:val="single" w:sz="8" w:space="0" w:color="auto"/>
            </w:tcBorders>
            <w:vAlign w:val="bottom"/>
          </w:tcPr>
          <w:p w14:paraId="281A5986" w14:textId="77777777" w:rsidR="005C4A53" w:rsidRPr="00423768" w:rsidRDefault="005C4A53" w:rsidP="00707E6D">
            <w:pPr>
              <w:rPr>
                <w:sz w:val="24"/>
                <w:szCs w:val="24"/>
              </w:rPr>
            </w:pPr>
          </w:p>
        </w:tc>
        <w:tc>
          <w:tcPr>
            <w:tcW w:w="4420" w:type="dxa"/>
            <w:tcBorders>
              <w:right w:val="single" w:sz="8" w:space="0" w:color="auto"/>
            </w:tcBorders>
            <w:vAlign w:val="bottom"/>
          </w:tcPr>
          <w:p w14:paraId="281A5987" w14:textId="77777777" w:rsidR="005C4A53" w:rsidRPr="00423768" w:rsidRDefault="005C4A53" w:rsidP="00707E6D">
            <w:pPr>
              <w:ind w:left="100"/>
              <w:rPr>
                <w:sz w:val="24"/>
                <w:szCs w:val="24"/>
              </w:rPr>
            </w:pPr>
            <w:r w:rsidRPr="00423768">
              <w:rPr>
                <w:rFonts w:eastAsia="Times New Roman"/>
                <w:sz w:val="24"/>
                <w:szCs w:val="24"/>
              </w:rPr>
              <w:t>Great Lakes Instruments</w:t>
            </w:r>
          </w:p>
        </w:tc>
        <w:tc>
          <w:tcPr>
            <w:tcW w:w="1600" w:type="dxa"/>
            <w:tcBorders>
              <w:right w:val="single" w:sz="8" w:space="0" w:color="auto"/>
            </w:tcBorders>
            <w:vAlign w:val="bottom"/>
          </w:tcPr>
          <w:p w14:paraId="281A5989" w14:textId="4D5A78D0" w:rsidR="005C4A53" w:rsidRPr="00423768" w:rsidRDefault="005C4A53" w:rsidP="00707E6D">
            <w:pPr>
              <w:ind w:left="80"/>
              <w:rPr>
                <w:rFonts w:eastAsia="Times New Roman"/>
                <w:sz w:val="24"/>
                <w:szCs w:val="24"/>
              </w:rPr>
            </w:pPr>
            <w:r w:rsidRPr="00423768">
              <w:rPr>
                <w:rFonts w:eastAsia="Times New Roman"/>
                <w:sz w:val="24"/>
                <w:szCs w:val="24"/>
              </w:rPr>
              <w:t>Method 2</w:t>
            </w:r>
            <w:r w:rsidRPr="00423768">
              <w:rPr>
                <w:rFonts w:eastAsia="Times New Roman"/>
                <w:sz w:val="24"/>
                <w:szCs w:val="24"/>
                <w:vertAlign w:val="superscript"/>
              </w:rPr>
              <w:t>10</w:t>
            </w:r>
          </w:p>
        </w:tc>
      </w:tr>
      <w:tr w:rsidR="005C4A53" w:rsidRPr="00423768" w14:paraId="281A598F" w14:textId="77777777" w:rsidTr="00DF6443">
        <w:trPr>
          <w:trHeight w:val="303"/>
        </w:trPr>
        <w:tc>
          <w:tcPr>
            <w:tcW w:w="2800" w:type="dxa"/>
            <w:tcBorders>
              <w:left w:val="single" w:sz="8" w:space="0" w:color="auto"/>
              <w:bottom w:val="single" w:sz="8" w:space="0" w:color="auto"/>
              <w:right w:val="single" w:sz="8" w:space="0" w:color="auto"/>
            </w:tcBorders>
            <w:vAlign w:val="bottom"/>
          </w:tcPr>
          <w:p w14:paraId="281A598B" w14:textId="77777777" w:rsidR="005C4A53" w:rsidRPr="00423768" w:rsidRDefault="005C4A53" w:rsidP="00707E6D">
            <w:pPr>
              <w:rPr>
                <w:sz w:val="24"/>
                <w:szCs w:val="24"/>
              </w:rPr>
            </w:pPr>
          </w:p>
        </w:tc>
        <w:tc>
          <w:tcPr>
            <w:tcW w:w="4420" w:type="dxa"/>
            <w:tcBorders>
              <w:bottom w:val="single" w:sz="8" w:space="0" w:color="auto"/>
              <w:right w:val="single" w:sz="8" w:space="0" w:color="auto"/>
            </w:tcBorders>
            <w:vAlign w:val="bottom"/>
          </w:tcPr>
          <w:p w14:paraId="281A598C" w14:textId="77777777" w:rsidR="005C4A53" w:rsidRPr="00423768" w:rsidRDefault="005C4A53" w:rsidP="00707E6D">
            <w:pPr>
              <w:ind w:left="100"/>
              <w:rPr>
                <w:sz w:val="24"/>
                <w:szCs w:val="24"/>
              </w:rPr>
            </w:pPr>
            <w:r w:rsidRPr="00423768">
              <w:rPr>
                <w:rFonts w:eastAsia="Times New Roman"/>
                <w:sz w:val="24"/>
                <w:szCs w:val="24"/>
              </w:rPr>
              <w:t>Hach Filter Trak</w:t>
            </w:r>
          </w:p>
        </w:tc>
        <w:tc>
          <w:tcPr>
            <w:tcW w:w="1600" w:type="dxa"/>
            <w:tcBorders>
              <w:bottom w:val="single" w:sz="8" w:space="0" w:color="auto"/>
              <w:right w:val="single" w:sz="8" w:space="0" w:color="auto"/>
            </w:tcBorders>
            <w:vAlign w:val="bottom"/>
          </w:tcPr>
          <w:p w14:paraId="281A598E" w14:textId="50656BC5" w:rsidR="005C4A53" w:rsidRPr="00423768" w:rsidRDefault="005C4A53" w:rsidP="00707E6D">
            <w:pPr>
              <w:ind w:left="80"/>
              <w:rPr>
                <w:rFonts w:eastAsia="Times New Roman"/>
                <w:sz w:val="24"/>
                <w:szCs w:val="24"/>
              </w:rPr>
            </w:pPr>
            <w:r w:rsidRPr="00423768">
              <w:rPr>
                <w:rFonts w:eastAsia="Times New Roman"/>
                <w:sz w:val="24"/>
                <w:szCs w:val="24"/>
              </w:rPr>
              <w:t>10133</w:t>
            </w:r>
            <w:r w:rsidRPr="00423768">
              <w:rPr>
                <w:rFonts w:eastAsia="Times New Roman"/>
                <w:sz w:val="24"/>
                <w:szCs w:val="24"/>
                <w:vertAlign w:val="superscript"/>
              </w:rPr>
              <w:t>12</w:t>
            </w:r>
          </w:p>
        </w:tc>
      </w:tr>
    </w:tbl>
    <w:p w14:paraId="281A5990" w14:textId="77777777" w:rsidR="004647B9" w:rsidRPr="00524103" w:rsidRDefault="004647B9" w:rsidP="00707E6D">
      <w:pPr>
        <w:rPr>
          <w:sz w:val="24"/>
          <w:szCs w:val="24"/>
        </w:rPr>
      </w:pPr>
    </w:p>
    <w:p w14:paraId="281A5991" w14:textId="77777777" w:rsidR="004647B9" w:rsidRDefault="00E2436F" w:rsidP="00707E6D">
      <w:pPr>
        <w:ind w:left="360"/>
        <w:jc w:val="both"/>
        <w:rPr>
          <w:sz w:val="20"/>
          <w:szCs w:val="20"/>
        </w:rPr>
      </w:pPr>
      <w:r>
        <w:rPr>
          <w:rFonts w:eastAsia="Times New Roman"/>
          <w:sz w:val="24"/>
          <w:szCs w:val="24"/>
        </w:rPr>
        <w:t>The procedures shall be done in accordance with the documents listed below. The incorporation by reference of the following documents listed in footnotes 1, 6, 7, 9 and 10 was approved by the Director of the Federal Register in accordance with 5 U.S.C. 552(a) and 1 CFR part 51. Copies of the documents may be obtained from the sources listed below. Information regarding obtaining these documents can be obtained from the Safe Drinking Water Hotline at 800-426-4791. Documents may be inspected at EPA's Drinking Water Docket, 1200 Pennsylvania Ave., NW., Washington, DC 20460 (Telephone: 202-260-3027); or at the Office of the Federal Register, 800 North Capitol Street, NW, Suite 700, Washington, D.C. 20408.</w:t>
      </w:r>
    </w:p>
    <w:p w14:paraId="281A5992" w14:textId="77777777" w:rsidR="004647B9" w:rsidRDefault="004647B9">
      <w:pPr>
        <w:sectPr w:rsidR="004647B9" w:rsidSect="00EF630C">
          <w:pgSz w:w="12240" w:h="20180"/>
          <w:pgMar w:top="708" w:right="1440" w:bottom="1440" w:left="620" w:header="0" w:footer="0" w:gutter="0"/>
          <w:cols w:space="720"/>
        </w:sectPr>
      </w:pPr>
    </w:p>
    <w:p w14:paraId="281A5993" w14:textId="77777777" w:rsidR="004647B9" w:rsidRDefault="00E2436F">
      <w:pPr>
        <w:tabs>
          <w:tab w:val="left" w:pos="160"/>
        </w:tabs>
        <w:ind w:right="20"/>
        <w:jc w:val="center"/>
        <w:rPr>
          <w:sz w:val="20"/>
          <w:szCs w:val="20"/>
        </w:rPr>
      </w:pPr>
      <w:bookmarkStart w:id="256" w:name="page260"/>
      <w:bookmarkEnd w:id="25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994" w14:textId="77777777" w:rsidR="004647B9" w:rsidRDefault="004647B9" w:rsidP="00524103">
      <w:pPr>
        <w:rPr>
          <w:sz w:val="20"/>
          <w:szCs w:val="20"/>
        </w:rPr>
      </w:pPr>
    </w:p>
    <w:p w14:paraId="281A5995" w14:textId="77777777" w:rsidR="004647B9" w:rsidRDefault="004647B9" w:rsidP="00524103">
      <w:pPr>
        <w:rPr>
          <w:sz w:val="20"/>
          <w:szCs w:val="20"/>
        </w:rPr>
      </w:pPr>
    </w:p>
    <w:p w14:paraId="281A5996" w14:textId="77777777" w:rsidR="004647B9" w:rsidRPr="00357D61" w:rsidRDefault="00E2436F" w:rsidP="00524103">
      <w:pPr>
        <w:tabs>
          <w:tab w:val="left" w:pos="940"/>
        </w:tabs>
        <w:rPr>
          <w:sz w:val="24"/>
          <w:szCs w:val="24"/>
        </w:rPr>
      </w:pPr>
      <w:r w:rsidRPr="00357D61">
        <w:rPr>
          <w:rFonts w:eastAsia="Times New Roman"/>
          <w:sz w:val="24"/>
          <w:szCs w:val="24"/>
        </w:rPr>
        <w:t>22.20A:</w:t>
      </w:r>
      <w:r w:rsidRPr="00357D61">
        <w:rPr>
          <w:rFonts w:eastAsia="Times New Roman"/>
          <w:sz w:val="24"/>
          <w:szCs w:val="24"/>
        </w:rPr>
        <w:tab/>
        <w:t>continued</w:t>
      </w:r>
    </w:p>
    <w:p w14:paraId="281A5997" w14:textId="77777777" w:rsidR="004647B9" w:rsidRPr="00524103" w:rsidRDefault="004647B9" w:rsidP="00524103">
      <w:pPr>
        <w:rPr>
          <w:sz w:val="20"/>
          <w:szCs w:val="20"/>
        </w:rPr>
      </w:pPr>
    </w:p>
    <w:p w14:paraId="281A5998" w14:textId="6FF7A5E5" w:rsidR="004647B9" w:rsidRPr="00357D61" w:rsidRDefault="00E2436F" w:rsidP="00524103">
      <w:pPr>
        <w:numPr>
          <w:ilvl w:val="0"/>
          <w:numId w:val="582"/>
        </w:numPr>
        <w:tabs>
          <w:tab w:val="left" w:pos="360"/>
        </w:tabs>
        <w:ind w:left="360" w:hanging="351"/>
        <w:jc w:val="both"/>
        <w:rPr>
          <w:rFonts w:eastAsia="Times New Roman"/>
          <w:sz w:val="24"/>
          <w:szCs w:val="24"/>
        </w:rPr>
      </w:pPr>
      <w:r w:rsidRPr="00357D61">
        <w:rPr>
          <w:rFonts w:eastAsia="Times New Roman"/>
          <w:sz w:val="24"/>
          <w:szCs w:val="24"/>
        </w:rPr>
        <w:t xml:space="preserve">Except where noted, all methods refer to </w:t>
      </w:r>
      <w:r w:rsidRPr="00357D61">
        <w:rPr>
          <w:rFonts w:eastAsia="Times New Roman"/>
          <w:i/>
          <w:iCs/>
          <w:sz w:val="24"/>
          <w:szCs w:val="24"/>
        </w:rPr>
        <w:t>Standard Methods for the Examination of Water and</w:t>
      </w:r>
      <w:r w:rsidRPr="00357D61">
        <w:rPr>
          <w:rFonts w:eastAsia="Times New Roman"/>
          <w:sz w:val="24"/>
          <w:szCs w:val="24"/>
        </w:rPr>
        <w:t xml:space="preserve"> </w:t>
      </w:r>
      <w:r w:rsidRPr="00357D61">
        <w:rPr>
          <w:rFonts w:eastAsia="Times New Roman"/>
          <w:i/>
          <w:iCs/>
          <w:sz w:val="24"/>
          <w:szCs w:val="24"/>
        </w:rPr>
        <w:t>Wastewater</w:t>
      </w:r>
      <w:r w:rsidRPr="00357D61">
        <w:rPr>
          <w:rFonts w:eastAsia="Times New Roman"/>
          <w:sz w:val="24"/>
          <w:szCs w:val="24"/>
        </w:rPr>
        <w:t>, 18</w:t>
      </w:r>
      <w:r w:rsidRPr="00357D61">
        <w:rPr>
          <w:rFonts w:eastAsia="Times New Roman"/>
          <w:sz w:val="24"/>
          <w:szCs w:val="24"/>
          <w:vertAlign w:val="superscript"/>
        </w:rPr>
        <w:t>th</w:t>
      </w:r>
      <w:r w:rsidRPr="00357D61">
        <w:rPr>
          <w:rFonts w:eastAsia="Times New Roman"/>
          <w:i/>
          <w:iCs/>
          <w:sz w:val="24"/>
          <w:szCs w:val="24"/>
        </w:rPr>
        <w:t xml:space="preserve"> </w:t>
      </w:r>
      <w:r w:rsidRPr="00357D61">
        <w:rPr>
          <w:rFonts w:eastAsia="Times New Roman"/>
          <w:sz w:val="24"/>
          <w:szCs w:val="24"/>
        </w:rPr>
        <w:t>edition (1992), 19</w:t>
      </w:r>
      <w:r w:rsidRPr="00357D61">
        <w:rPr>
          <w:rFonts w:eastAsia="Times New Roman"/>
          <w:sz w:val="24"/>
          <w:szCs w:val="24"/>
          <w:vertAlign w:val="superscript"/>
        </w:rPr>
        <w:t>th</w:t>
      </w:r>
      <w:r w:rsidRPr="00357D61">
        <w:rPr>
          <w:rFonts w:eastAsia="Times New Roman"/>
          <w:i/>
          <w:iCs/>
          <w:sz w:val="24"/>
          <w:szCs w:val="24"/>
        </w:rPr>
        <w:t xml:space="preserve"> </w:t>
      </w:r>
      <w:r w:rsidRPr="00357D61">
        <w:rPr>
          <w:rFonts w:eastAsia="Times New Roman"/>
          <w:sz w:val="24"/>
          <w:szCs w:val="24"/>
        </w:rPr>
        <w:t>edition (1995), or 20</w:t>
      </w:r>
      <w:r w:rsidRPr="00357D61">
        <w:rPr>
          <w:rFonts w:eastAsia="Times New Roman"/>
          <w:sz w:val="24"/>
          <w:szCs w:val="24"/>
          <w:vertAlign w:val="superscript"/>
        </w:rPr>
        <w:t>th</w:t>
      </w:r>
      <w:r w:rsidRPr="00357D61">
        <w:rPr>
          <w:rFonts w:eastAsia="Times New Roman"/>
          <w:i/>
          <w:iCs/>
          <w:sz w:val="24"/>
          <w:szCs w:val="24"/>
        </w:rPr>
        <w:t xml:space="preserve"> </w:t>
      </w:r>
      <w:r w:rsidRPr="00357D61">
        <w:rPr>
          <w:rFonts w:eastAsia="Times New Roman"/>
          <w:sz w:val="24"/>
          <w:szCs w:val="24"/>
        </w:rPr>
        <w:t>edition (1998), American Public Health</w:t>
      </w:r>
      <w:r w:rsidRPr="00357D61">
        <w:rPr>
          <w:rFonts w:eastAsia="Times New Roman"/>
          <w:i/>
          <w:iCs/>
          <w:sz w:val="24"/>
          <w:szCs w:val="24"/>
        </w:rPr>
        <w:t xml:space="preserve"> </w:t>
      </w:r>
      <w:r w:rsidRPr="00357D61">
        <w:rPr>
          <w:rFonts w:eastAsia="Times New Roman"/>
          <w:sz w:val="24"/>
          <w:szCs w:val="24"/>
        </w:rPr>
        <w:t xml:space="preserve">Association, 1015 Fifteenth Street NW, Washington, D.C. 20005. The cited methods published in any of these three editions may be used. In addition, the following </w:t>
      </w:r>
      <w:r w:rsidR="00B76CF5">
        <w:rPr>
          <w:rFonts w:eastAsia="Times New Roman"/>
          <w:sz w:val="24"/>
          <w:szCs w:val="24"/>
        </w:rPr>
        <w:t>Standard Methods O</w:t>
      </w:r>
      <w:r w:rsidRPr="00357D61">
        <w:rPr>
          <w:rFonts w:eastAsia="Times New Roman"/>
          <w:sz w:val="24"/>
          <w:szCs w:val="24"/>
        </w:rPr>
        <w:t>nline versions may also be used: 2130 B-01, 9215 B-00, 9221 A, B, C, E-99, 9222 A, B, C, D-97, and 9223 B-97. The year in which each method was approved by the standard Methods Committee is designated by the last two digits in the method number. The methods listed are the only Online versions that may be used.</w:t>
      </w:r>
    </w:p>
    <w:p w14:paraId="281A599A" w14:textId="77777777" w:rsidR="004647B9" w:rsidRPr="00357D61" w:rsidRDefault="00E2436F" w:rsidP="00524103">
      <w:pPr>
        <w:numPr>
          <w:ilvl w:val="0"/>
          <w:numId w:val="582"/>
        </w:numPr>
        <w:tabs>
          <w:tab w:val="left" w:pos="360"/>
        </w:tabs>
        <w:ind w:left="360" w:hanging="350"/>
        <w:rPr>
          <w:rFonts w:eastAsia="Times New Roman"/>
          <w:sz w:val="24"/>
          <w:szCs w:val="24"/>
        </w:rPr>
      </w:pPr>
      <w:r w:rsidRPr="00357D61">
        <w:rPr>
          <w:rFonts w:eastAsia="Times New Roman"/>
          <w:sz w:val="24"/>
          <w:szCs w:val="24"/>
        </w:rPr>
        <w:t>The time from sample collection to initiation of analysis may not exceed eight hours. Systems must hold samples below 10°C during transit.</w:t>
      </w:r>
    </w:p>
    <w:p w14:paraId="281A599C" w14:textId="77777777" w:rsidR="004647B9" w:rsidRPr="00357D61" w:rsidRDefault="00E2436F" w:rsidP="00524103">
      <w:pPr>
        <w:numPr>
          <w:ilvl w:val="0"/>
          <w:numId w:val="582"/>
        </w:numPr>
        <w:tabs>
          <w:tab w:val="left" w:pos="360"/>
        </w:tabs>
        <w:ind w:left="360" w:hanging="352"/>
        <w:jc w:val="both"/>
        <w:rPr>
          <w:rFonts w:eastAsia="Times New Roman"/>
          <w:sz w:val="24"/>
          <w:szCs w:val="24"/>
        </w:rPr>
      </w:pPr>
      <w:r w:rsidRPr="00357D61">
        <w:rPr>
          <w:rFonts w:eastAsia="Times New Roman"/>
          <w:sz w:val="24"/>
          <w:szCs w:val="24"/>
        </w:rPr>
        <w:t xml:space="preserve">Lactose broth, as commercially available, may be used in </w:t>
      </w:r>
      <w:r w:rsidRPr="00357D61">
        <w:rPr>
          <w:rFonts w:eastAsia="Times New Roman"/>
          <w:i/>
          <w:iCs/>
          <w:sz w:val="24"/>
          <w:szCs w:val="24"/>
        </w:rPr>
        <w:t>lieu</w:t>
      </w:r>
      <w:r w:rsidRPr="00357D61">
        <w:rPr>
          <w:rFonts w:eastAsia="Times New Roman"/>
          <w:sz w:val="24"/>
          <w:szCs w:val="24"/>
        </w:rPr>
        <w:t xml:space="preserve"> of lauryl tryptose broth, if the system conducts at least 25 parallel tests between this medium and lauryl tryptose broth using the water normally tested, and this comparison demonstrates that the false-positive rate and false-negative rate for total coliform, using lactose broth, is less than 10%.</w:t>
      </w:r>
    </w:p>
    <w:p w14:paraId="281A599E" w14:textId="77777777" w:rsidR="004647B9" w:rsidRPr="00357D61" w:rsidRDefault="00E2436F" w:rsidP="00524103">
      <w:pPr>
        <w:numPr>
          <w:ilvl w:val="0"/>
          <w:numId w:val="582"/>
        </w:numPr>
        <w:tabs>
          <w:tab w:val="left" w:pos="360"/>
        </w:tabs>
        <w:ind w:left="360" w:hanging="351"/>
        <w:rPr>
          <w:rFonts w:eastAsia="Times New Roman"/>
          <w:sz w:val="24"/>
          <w:szCs w:val="24"/>
        </w:rPr>
      </w:pPr>
      <w:r w:rsidRPr="00357D61">
        <w:rPr>
          <w:rFonts w:eastAsia="Times New Roman"/>
          <w:sz w:val="24"/>
          <w:szCs w:val="24"/>
        </w:rPr>
        <w:t xml:space="preserve">Media should cover inverted tubes at least ½ to </w:t>
      </w:r>
      <w:r w:rsidRPr="00357D61">
        <w:rPr>
          <w:rFonts w:eastAsia="Arial"/>
          <w:sz w:val="24"/>
          <w:szCs w:val="24"/>
        </w:rPr>
        <w:t>b</w:t>
      </w:r>
      <w:r w:rsidRPr="00357D61">
        <w:rPr>
          <w:rFonts w:eastAsia="Times New Roman"/>
          <w:sz w:val="24"/>
          <w:szCs w:val="24"/>
        </w:rPr>
        <w:t xml:space="preserve"> after the sample is added.</w:t>
      </w:r>
    </w:p>
    <w:p w14:paraId="281A599F" w14:textId="77777777" w:rsidR="004647B9" w:rsidRPr="00357D61" w:rsidRDefault="00E2436F" w:rsidP="00524103">
      <w:pPr>
        <w:numPr>
          <w:ilvl w:val="0"/>
          <w:numId w:val="582"/>
        </w:numPr>
        <w:tabs>
          <w:tab w:val="left" w:pos="360"/>
        </w:tabs>
        <w:ind w:left="360" w:hanging="352"/>
        <w:rPr>
          <w:rFonts w:eastAsia="Times New Roman"/>
          <w:sz w:val="24"/>
          <w:szCs w:val="24"/>
        </w:rPr>
      </w:pPr>
      <w:r w:rsidRPr="00357D61">
        <w:rPr>
          <w:rFonts w:eastAsia="Times New Roman"/>
          <w:sz w:val="24"/>
          <w:szCs w:val="24"/>
        </w:rPr>
        <w:t>No requirement exists to run the completed phase on 10% of all total coliform-positive confirmed tubes.</w:t>
      </w:r>
    </w:p>
    <w:p w14:paraId="281A59A0" w14:textId="77777777" w:rsidR="004647B9" w:rsidRPr="00357D61" w:rsidRDefault="00E2436F" w:rsidP="00524103">
      <w:pPr>
        <w:numPr>
          <w:ilvl w:val="0"/>
          <w:numId w:val="582"/>
        </w:numPr>
        <w:tabs>
          <w:tab w:val="left" w:pos="360"/>
        </w:tabs>
        <w:ind w:left="360" w:hanging="350"/>
        <w:jc w:val="both"/>
        <w:rPr>
          <w:rFonts w:eastAsia="Times New Roman"/>
          <w:sz w:val="24"/>
          <w:szCs w:val="24"/>
        </w:rPr>
      </w:pPr>
      <w:r w:rsidRPr="00357D61">
        <w:rPr>
          <w:rFonts w:eastAsia="Times New Roman"/>
          <w:sz w:val="24"/>
          <w:szCs w:val="24"/>
        </w:rPr>
        <w:t xml:space="preserve">MI agar also may be used. Preparation and use of MI agar is set forth in the article, </w:t>
      </w:r>
      <w:r w:rsidRPr="00357D61">
        <w:rPr>
          <w:rFonts w:eastAsia="Times New Roman"/>
          <w:i/>
          <w:iCs/>
          <w:sz w:val="24"/>
          <w:szCs w:val="24"/>
        </w:rPr>
        <w:t>New Medium for the</w:t>
      </w:r>
      <w:r w:rsidRPr="00357D61">
        <w:rPr>
          <w:rFonts w:eastAsia="Times New Roman"/>
          <w:sz w:val="24"/>
          <w:szCs w:val="24"/>
        </w:rPr>
        <w:t xml:space="preserve"> </w:t>
      </w:r>
      <w:r w:rsidRPr="00357D61">
        <w:rPr>
          <w:rFonts w:eastAsia="Times New Roman"/>
          <w:i/>
          <w:iCs/>
          <w:sz w:val="24"/>
          <w:szCs w:val="24"/>
        </w:rPr>
        <w:t xml:space="preserve">Simultaneous Detection of Total Coliform and Escherichia Coli in Water </w:t>
      </w:r>
      <w:r w:rsidRPr="00357D61">
        <w:rPr>
          <w:rFonts w:eastAsia="Times New Roman"/>
          <w:sz w:val="24"/>
          <w:szCs w:val="24"/>
        </w:rPr>
        <w:t>by Brenner, K.P.,</w:t>
      </w:r>
      <w:r w:rsidRPr="00357D61">
        <w:rPr>
          <w:rFonts w:eastAsia="Times New Roman"/>
          <w:i/>
          <w:iCs/>
          <w:sz w:val="24"/>
          <w:szCs w:val="24"/>
        </w:rPr>
        <w:t xml:space="preserve"> et al.</w:t>
      </w:r>
      <w:r w:rsidRPr="00357D61">
        <w:rPr>
          <w:rFonts w:eastAsia="Times New Roman"/>
          <w:sz w:val="24"/>
          <w:szCs w:val="24"/>
        </w:rPr>
        <w:t>, 1993,</w:t>
      </w:r>
      <w:r w:rsidRPr="00357D61">
        <w:rPr>
          <w:rFonts w:eastAsia="Times New Roman"/>
          <w:i/>
          <w:iCs/>
          <w:sz w:val="24"/>
          <w:szCs w:val="24"/>
        </w:rPr>
        <w:t xml:space="preserve"> </w:t>
      </w:r>
      <w:r w:rsidRPr="00357D61">
        <w:rPr>
          <w:rFonts w:eastAsia="Times New Roman"/>
          <w:sz w:val="24"/>
          <w:szCs w:val="24"/>
        </w:rPr>
        <w:t>Appl. Environ. Microbiol. 59:3534-3544. Also available from the Office of Water Resource Center (RC-4100), 1200 Pennsylvania Ave., NW, Washington, DC 20460, EPA 600/J-99/225.</w:t>
      </w:r>
    </w:p>
    <w:p w14:paraId="281A59A2" w14:textId="77777777" w:rsidR="004647B9" w:rsidRPr="00357D61" w:rsidRDefault="00E2436F" w:rsidP="00524103">
      <w:pPr>
        <w:numPr>
          <w:ilvl w:val="0"/>
          <w:numId w:val="582"/>
        </w:numPr>
        <w:tabs>
          <w:tab w:val="left" w:pos="360"/>
        </w:tabs>
        <w:ind w:left="360" w:hanging="350"/>
        <w:rPr>
          <w:rFonts w:eastAsia="Times New Roman"/>
          <w:sz w:val="24"/>
          <w:szCs w:val="24"/>
        </w:rPr>
      </w:pPr>
      <w:r w:rsidRPr="00357D61">
        <w:rPr>
          <w:rFonts w:eastAsia="Times New Roman"/>
          <w:sz w:val="24"/>
          <w:szCs w:val="24"/>
        </w:rPr>
        <w:t>The ONPG-MUG Test is also known as the Autoanalysis Colilert System.</w:t>
      </w:r>
    </w:p>
    <w:p w14:paraId="281A59A3" w14:textId="77777777" w:rsidR="004647B9" w:rsidRPr="00357D61" w:rsidRDefault="00E2436F" w:rsidP="00524103">
      <w:pPr>
        <w:numPr>
          <w:ilvl w:val="0"/>
          <w:numId w:val="582"/>
        </w:numPr>
        <w:tabs>
          <w:tab w:val="left" w:pos="360"/>
        </w:tabs>
        <w:ind w:left="360" w:hanging="350"/>
        <w:rPr>
          <w:rFonts w:eastAsia="Times New Roman"/>
          <w:sz w:val="24"/>
          <w:szCs w:val="24"/>
        </w:rPr>
      </w:pPr>
      <w:r w:rsidRPr="00357D61">
        <w:rPr>
          <w:rFonts w:eastAsia="Times New Roman"/>
          <w:sz w:val="24"/>
          <w:szCs w:val="24"/>
        </w:rPr>
        <w:t>A-1 Broth may be held up to seven days in a tightly closed screw cap tube at 4°C.</w:t>
      </w:r>
    </w:p>
    <w:p w14:paraId="281A59A4" w14:textId="77777777" w:rsidR="004647B9" w:rsidRPr="00357D61" w:rsidRDefault="00E2436F" w:rsidP="00524103">
      <w:pPr>
        <w:numPr>
          <w:ilvl w:val="0"/>
          <w:numId w:val="582"/>
        </w:numPr>
        <w:tabs>
          <w:tab w:val="left" w:pos="360"/>
        </w:tabs>
        <w:ind w:left="360" w:hanging="351"/>
        <w:rPr>
          <w:rFonts w:eastAsia="Times New Roman"/>
          <w:sz w:val="24"/>
          <w:szCs w:val="24"/>
        </w:rPr>
      </w:pPr>
      <w:r w:rsidRPr="00357D61">
        <w:rPr>
          <w:rFonts w:eastAsia="Times New Roman"/>
          <w:i/>
          <w:iCs/>
          <w:sz w:val="24"/>
          <w:szCs w:val="24"/>
        </w:rPr>
        <w:t>Methods for the Determination of Inorganic Substances in Environmental Samples</w:t>
      </w:r>
      <w:r w:rsidRPr="00357D61">
        <w:rPr>
          <w:rFonts w:eastAsia="Times New Roman"/>
          <w:sz w:val="24"/>
          <w:szCs w:val="24"/>
        </w:rPr>
        <w:t>, EPA/600/R-93/100,</w:t>
      </w:r>
      <w:r w:rsidRPr="00357D61">
        <w:rPr>
          <w:rFonts w:eastAsia="Times New Roman"/>
          <w:i/>
          <w:iCs/>
          <w:sz w:val="24"/>
          <w:szCs w:val="24"/>
        </w:rPr>
        <w:t xml:space="preserve"> </w:t>
      </w:r>
      <w:r w:rsidRPr="00357D61">
        <w:rPr>
          <w:rFonts w:eastAsia="Times New Roman"/>
          <w:sz w:val="24"/>
          <w:szCs w:val="24"/>
        </w:rPr>
        <w:t>August 1993. Available at NTIS, PB94-121811.</w:t>
      </w:r>
    </w:p>
    <w:p w14:paraId="281A59A6" w14:textId="77777777" w:rsidR="004647B9" w:rsidRPr="00357D61" w:rsidRDefault="00E2436F" w:rsidP="00524103">
      <w:pPr>
        <w:numPr>
          <w:ilvl w:val="0"/>
          <w:numId w:val="582"/>
        </w:numPr>
        <w:tabs>
          <w:tab w:val="left" w:pos="360"/>
        </w:tabs>
        <w:ind w:left="360" w:hanging="352"/>
        <w:rPr>
          <w:rFonts w:eastAsia="Times New Roman"/>
          <w:sz w:val="24"/>
          <w:szCs w:val="24"/>
        </w:rPr>
      </w:pPr>
      <w:r w:rsidRPr="00357D61">
        <w:rPr>
          <w:rFonts w:eastAsia="Times New Roman"/>
          <w:sz w:val="24"/>
          <w:szCs w:val="24"/>
        </w:rPr>
        <w:t xml:space="preserve">GLI Method 2, </w:t>
      </w:r>
      <w:r w:rsidRPr="00357D61">
        <w:rPr>
          <w:rFonts w:eastAsia="Times New Roman"/>
          <w:i/>
          <w:iCs/>
          <w:sz w:val="24"/>
          <w:szCs w:val="24"/>
        </w:rPr>
        <w:t>Turbidity</w:t>
      </w:r>
      <w:r w:rsidRPr="00357D61">
        <w:rPr>
          <w:rFonts w:eastAsia="Times New Roman"/>
          <w:sz w:val="24"/>
          <w:szCs w:val="24"/>
        </w:rPr>
        <w:t>, November 2, 1992, Great Lakes Instruments, Inc., 8855 North 55</w:t>
      </w:r>
      <w:r w:rsidRPr="00357D61">
        <w:rPr>
          <w:rFonts w:eastAsia="Times New Roman"/>
          <w:sz w:val="24"/>
          <w:szCs w:val="24"/>
          <w:vertAlign w:val="superscript"/>
        </w:rPr>
        <w:t>th</w:t>
      </w:r>
      <w:r w:rsidRPr="00357D61">
        <w:rPr>
          <w:rFonts w:eastAsia="Times New Roman"/>
          <w:sz w:val="24"/>
          <w:szCs w:val="24"/>
        </w:rPr>
        <w:t xml:space="preserve"> Street, Milwaukee, Wisconsin 53223.</w:t>
      </w:r>
    </w:p>
    <w:p w14:paraId="281A59A8" w14:textId="77777777" w:rsidR="004647B9" w:rsidRPr="00357D61" w:rsidRDefault="00E2436F" w:rsidP="00524103">
      <w:pPr>
        <w:numPr>
          <w:ilvl w:val="0"/>
          <w:numId w:val="582"/>
        </w:numPr>
        <w:tabs>
          <w:tab w:val="left" w:pos="360"/>
        </w:tabs>
        <w:ind w:left="360" w:hanging="351"/>
        <w:jc w:val="both"/>
        <w:rPr>
          <w:rFonts w:eastAsia="Times New Roman"/>
          <w:sz w:val="24"/>
          <w:szCs w:val="24"/>
        </w:rPr>
      </w:pPr>
      <w:r w:rsidRPr="00357D61">
        <w:rPr>
          <w:rFonts w:eastAsia="Times New Roman"/>
          <w:sz w:val="24"/>
          <w:szCs w:val="24"/>
        </w:rPr>
        <w:t xml:space="preserve">A description of the SimPlate method, </w:t>
      </w:r>
      <w:r w:rsidRPr="00357D61">
        <w:rPr>
          <w:rFonts w:eastAsia="Times New Roman"/>
          <w:i/>
          <w:iCs/>
          <w:sz w:val="24"/>
          <w:szCs w:val="24"/>
        </w:rPr>
        <w:t>IDEXX SimPlate TM HPC Test Method for Heterotrophs in Water</w:t>
      </w:r>
      <w:r w:rsidRPr="00357D61">
        <w:rPr>
          <w:rFonts w:eastAsia="Times New Roman"/>
          <w:sz w:val="24"/>
          <w:szCs w:val="24"/>
        </w:rPr>
        <w:t>, November 2000, can be obtained from IDEXX Laboratories, Inc., 1 IDEXX Drive, Westbrook, ME 04092, telephone 800-321-0207.</w:t>
      </w:r>
    </w:p>
    <w:p w14:paraId="281A59AA" w14:textId="77777777" w:rsidR="004647B9" w:rsidRPr="00357D61" w:rsidRDefault="00E2436F" w:rsidP="00524103">
      <w:pPr>
        <w:numPr>
          <w:ilvl w:val="0"/>
          <w:numId w:val="582"/>
        </w:numPr>
        <w:tabs>
          <w:tab w:val="left" w:pos="360"/>
        </w:tabs>
        <w:ind w:left="360" w:hanging="351"/>
        <w:jc w:val="both"/>
        <w:rPr>
          <w:rFonts w:eastAsia="Times New Roman"/>
          <w:sz w:val="24"/>
          <w:szCs w:val="24"/>
        </w:rPr>
      </w:pPr>
      <w:r w:rsidRPr="00357D61">
        <w:rPr>
          <w:rFonts w:eastAsia="Times New Roman"/>
          <w:sz w:val="24"/>
          <w:szCs w:val="24"/>
        </w:rPr>
        <w:t xml:space="preserve">A description of the Hach Filter Trak Method 10133, </w:t>
      </w:r>
      <w:r w:rsidRPr="00357D61">
        <w:rPr>
          <w:rFonts w:eastAsia="Times New Roman"/>
          <w:i/>
          <w:iCs/>
          <w:sz w:val="24"/>
          <w:szCs w:val="24"/>
        </w:rPr>
        <w:t>Determination of Turbidity by Laser Nephelometry</w:t>
      </w:r>
      <w:r w:rsidRPr="00357D61">
        <w:rPr>
          <w:rFonts w:eastAsia="Times New Roman"/>
          <w:sz w:val="24"/>
          <w:szCs w:val="24"/>
        </w:rPr>
        <w:t>, January 2000, Revision 2.0, can be obtained from; Hach Co., P.O. Box 389, Loveland, CO 80539-0389, telephone: 800-227-4224.</w:t>
      </w:r>
    </w:p>
    <w:p w14:paraId="281A59AB" w14:textId="77777777" w:rsidR="004647B9" w:rsidRPr="009F2B5B" w:rsidRDefault="00E2436F" w:rsidP="00524103">
      <w:pPr>
        <w:numPr>
          <w:ilvl w:val="0"/>
          <w:numId w:val="582"/>
        </w:numPr>
        <w:tabs>
          <w:tab w:val="left" w:pos="360"/>
        </w:tabs>
        <w:ind w:left="360" w:hanging="352"/>
        <w:rPr>
          <w:rFonts w:eastAsia="Times New Roman"/>
          <w:sz w:val="24"/>
          <w:szCs w:val="24"/>
        </w:rPr>
      </w:pPr>
      <w:r w:rsidRPr="00357D61">
        <w:rPr>
          <w:rFonts w:eastAsia="Times New Roman"/>
          <w:sz w:val="24"/>
          <w:szCs w:val="24"/>
        </w:rPr>
        <w:t>Styrene divinyl benzene beads (</w:t>
      </w:r>
      <w:r w:rsidRPr="00357D61">
        <w:rPr>
          <w:rFonts w:eastAsia="Times New Roman"/>
          <w:i/>
          <w:iCs/>
          <w:sz w:val="24"/>
          <w:szCs w:val="24"/>
        </w:rPr>
        <w:t>e.g</w:t>
      </w:r>
      <w:r w:rsidRPr="00357D61">
        <w:rPr>
          <w:rFonts w:eastAsia="Times New Roman"/>
          <w:sz w:val="24"/>
          <w:szCs w:val="24"/>
        </w:rPr>
        <w:t>., AMCO-AEPA-1 or equivalent) and stabilized formazin (</w:t>
      </w:r>
      <w:r w:rsidRPr="00357D61">
        <w:rPr>
          <w:rFonts w:eastAsia="Times New Roman"/>
          <w:i/>
          <w:iCs/>
          <w:sz w:val="24"/>
          <w:szCs w:val="24"/>
        </w:rPr>
        <w:t>e.g.</w:t>
      </w:r>
      <w:r w:rsidRPr="00357D61">
        <w:rPr>
          <w:rFonts w:eastAsia="Times New Roman"/>
          <w:sz w:val="24"/>
          <w:szCs w:val="24"/>
        </w:rPr>
        <w:t>,</w:t>
      </w:r>
      <w:r w:rsidRPr="009F2B5B">
        <w:rPr>
          <w:rFonts w:eastAsia="Times New Roman"/>
          <w:sz w:val="24"/>
          <w:szCs w:val="24"/>
        </w:rPr>
        <w:t xml:space="preserve"> Hach StablCal or equivalent) are acceptable substitutes for formazin.</w:t>
      </w:r>
    </w:p>
    <w:p w14:paraId="281A59AC" w14:textId="77777777" w:rsidR="004647B9" w:rsidRPr="00C13CB9" w:rsidRDefault="004647B9" w:rsidP="00524103">
      <w:pPr>
        <w:rPr>
          <w:rFonts w:eastAsia="Times New Roman"/>
          <w:sz w:val="24"/>
          <w:szCs w:val="24"/>
        </w:rPr>
      </w:pPr>
    </w:p>
    <w:p w14:paraId="281A59AD" w14:textId="77777777" w:rsidR="004647B9" w:rsidRDefault="00E2436F" w:rsidP="00524103">
      <w:pPr>
        <w:numPr>
          <w:ilvl w:val="1"/>
          <w:numId w:val="582"/>
        </w:numPr>
        <w:tabs>
          <w:tab w:val="left" w:pos="2231"/>
        </w:tabs>
        <w:ind w:left="1900" w:hanging="5"/>
        <w:jc w:val="both"/>
        <w:rPr>
          <w:rFonts w:eastAsia="Times New Roman"/>
          <w:sz w:val="24"/>
          <w:szCs w:val="24"/>
        </w:rPr>
      </w:pPr>
      <w:r>
        <w:rPr>
          <w:rFonts w:eastAsia="Times New Roman"/>
          <w:sz w:val="24"/>
          <w:szCs w:val="24"/>
        </w:rPr>
        <w:t xml:space="preserve">Public Water Systems must measure Residual Disinfectant Concentrations with one of the following methods in the following table. Residual Disinfectant Concentrations for free chlorine and combined chlorine also may be measured by using digital meter versions of DPD colorimetric test kits. Suppliers serving less than or equal to 3,300 persons may use non-digital meter DPD colorimetric test kits. Free chlorine and total chlorine may be measured continuously by adapting a specified chlorine residual method for use with a continuous monitoring instrument provided the chemistry, accuracy, and precision remain the same. Instruments used for continuous monitoring must be calibrated with a grab sample measurement at least every five days, or with a protocol approved by the Department. In addition, Public Water Systems may use the ITS free chlorine test strip for the determination of free chlorine. Use of the test strips is described in Method D99-003, </w:t>
      </w:r>
      <w:r>
        <w:rPr>
          <w:rFonts w:eastAsia="Times New Roman"/>
          <w:i/>
          <w:iCs/>
          <w:sz w:val="24"/>
          <w:szCs w:val="24"/>
        </w:rPr>
        <w:t>Free Chlorine Species (HOCL- and OCL-) by Test Strip</w:t>
      </w:r>
      <w:r>
        <w:rPr>
          <w:rFonts w:eastAsia="Times New Roman"/>
          <w:sz w:val="24"/>
          <w:szCs w:val="24"/>
        </w:rPr>
        <w:t>, Revision 3.0, November 21, 2003, available from Industrial Test Systems, Inc., 1875 Langston St., Rock Hill, SC 29730.</w:t>
      </w:r>
    </w:p>
    <w:p w14:paraId="281A59AE" w14:textId="78EEEDD2" w:rsidR="004647B9" w:rsidRDefault="004647B9" w:rsidP="00524103">
      <w:pPr>
        <w:rPr>
          <w:sz w:val="20"/>
          <w:szCs w:val="20"/>
        </w:rPr>
      </w:pPr>
    </w:p>
    <w:p w14:paraId="281A59AF" w14:textId="77777777" w:rsidR="004647B9" w:rsidRDefault="004647B9" w:rsidP="00524103">
      <w:pPr>
        <w:sectPr w:rsidR="004647B9" w:rsidSect="00EF630C">
          <w:pgSz w:w="12240" w:h="20180"/>
          <w:pgMar w:top="708" w:right="1440" w:bottom="1440" w:left="620" w:header="0" w:footer="0" w:gutter="0"/>
          <w:cols w:space="720"/>
        </w:sectPr>
      </w:pPr>
    </w:p>
    <w:p w14:paraId="281A59B0" w14:textId="77777777" w:rsidR="004647B9" w:rsidRDefault="00E2436F">
      <w:pPr>
        <w:tabs>
          <w:tab w:val="left" w:pos="160"/>
        </w:tabs>
        <w:ind w:right="40"/>
        <w:jc w:val="center"/>
        <w:rPr>
          <w:sz w:val="20"/>
          <w:szCs w:val="20"/>
        </w:rPr>
      </w:pPr>
      <w:bookmarkStart w:id="257" w:name="page261"/>
      <w:bookmarkEnd w:id="25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9B1" w14:textId="77777777" w:rsidR="004647B9" w:rsidRDefault="004647B9" w:rsidP="003521AE">
      <w:pPr>
        <w:rPr>
          <w:sz w:val="20"/>
          <w:szCs w:val="20"/>
        </w:rPr>
      </w:pPr>
    </w:p>
    <w:p w14:paraId="281A59B2" w14:textId="77777777" w:rsidR="004647B9" w:rsidRDefault="004647B9" w:rsidP="003521AE">
      <w:pPr>
        <w:rPr>
          <w:sz w:val="20"/>
          <w:szCs w:val="20"/>
        </w:rPr>
      </w:pPr>
    </w:p>
    <w:p w14:paraId="281A59B3" w14:textId="77777777" w:rsidR="004647B9" w:rsidRPr="003521AE" w:rsidRDefault="00E2436F" w:rsidP="003521AE">
      <w:pPr>
        <w:tabs>
          <w:tab w:val="left" w:pos="940"/>
        </w:tabs>
        <w:rPr>
          <w:sz w:val="24"/>
          <w:szCs w:val="24"/>
        </w:rPr>
      </w:pPr>
      <w:r w:rsidRPr="003521AE">
        <w:rPr>
          <w:rFonts w:eastAsia="Times New Roman"/>
          <w:sz w:val="24"/>
          <w:szCs w:val="24"/>
        </w:rPr>
        <w:t>22.20A:</w:t>
      </w:r>
      <w:r w:rsidRPr="003521AE">
        <w:rPr>
          <w:rFonts w:eastAsia="Times New Roman"/>
          <w:sz w:val="24"/>
          <w:szCs w:val="24"/>
        </w:rPr>
        <w:tab/>
        <w:t>continued</w:t>
      </w:r>
    </w:p>
    <w:p w14:paraId="281A59B4" w14:textId="77777777" w:rsidR="004647B9" w:rsidRDefault="004647B9" w:rsidP="003521AE">
      <w:pPr>
        <w:rPr>
          <w:sz w:val="20"/>
          <w:szCs w:val="20"/>
        </w:rPr>
      </w:pPr>
    </w:p>
    <w:tbl>
      <w:tblPr>
        <w:tblW w:w="10190" w:type="dxa"/>
        <w:tblInd w:w="30" w:type="dxa"/>
        <w:tblLayout w:type="fixed"/>
        <w:tblCellMar>
          <w:left w:w="0" w:type="dxa"/>
          <w:right w:w="0" w:type="dxa"/>
        </w:tblCellMar>
        <w:tblLook w:val="04A0" w:firstRow="1" w:lastRow="0" w:firstColumn="1" w:lastColumn="0" w:noHBand="0" w:noVBand="1"/>
      </w:tblPr>
      <w:tblGrid>
        <w:gridCol w:w="1900"/>
        <w:gridCol w:w="2600"/>
        <w:gridCol w:w="1440"/>
        <w:gridCol w:w="1900"/>
        <w:gridCol w:w="2320"/>
        <w:gridCol w:w="30"/>
      </w:tblGrid>
      <w:tr w:rsidR="00C13CB9" w14:paraId="281A59BB" w14:textId="77777777" w:rsidTr="00C13CB9">
        <w:trPr>
          <w:trHeight w:val="571"/>
        </w:trPr>
        <w:tc>
          <w:tcPr>
            <w:tcW w:w="1900" w:type="dxa"/>
            <w:vMerge w:val="restart"/>
            <w:tcBorders>
              <w:top w:val="single" w:sz="8" w:space="0" w:color="auto"/>
              <w:left w:val="single" w:sz="8" w:space="0" w:color="auto"/>
              <w:right w:val="single" w:sz="8" w:space="0" w:color="auto"/>
            </w:tcBorders>
            <w:vAlign w:val="center"/>
          </w:tcPr>
          <w:p w14:paraId="281A59B5" w14:textId="77777777" w:rsidR="00C13CB9" w:rsidRDefault="00C13CB9" w:rsidP="003521AE">
            <w:pPr>
              <w:jc w:val="center"/>
              <w:rPr>
                <w:sz w:val="20"/>
                <w:szCs w:val="20"/>
              </w:rPr>
            </w:pPr>
            <w:r>
              <w:rPr>
                <w:rFonts w:eastAsia="Times New Roman"/>
                <w:sz w:val="24"/>
                <w:szCs w:val="24"/>
              </w:rPr>
              <w:t>Residual</w:t>
            </w:r>
          </w:p>
        </w:tc>
        <w:tc>
          <w:tcPr>
            <w:tcW w:w="2600" w:type="dxa"/>
            <w:vMerge w:val="restart"/>
            <w:tcBorders>
              <w:top w:val="single" w:sz="8" w:space="0" w:color="auto"/>
              <w:right w:val="single" w:sz="8" w:space="0" w:color="auto"/>
            </w:tcBorders>
            <w:vAlign w:val="center"/>
          </w:tcPr>
          <w:p w14:paraId="281A59B6" w14:textId="77777777" w:rsidR="00C13CB9" w:rsidRDefault="00C13CB9" w:rsidP="003521AE">
            <w:pPr>
              <w:jc w:val="center"/>
              <w:rPr>
                <w:sz w:val="20"/>
                <w:szCs w:val="20"/>
              </w:rPr>
            </w:pPr>
            <w:r>
              <w:rPr>
                <w:rFonts w:eastAsia="Times New Roman"/>
                <w:sz w:val="24"/>
                <w:szCs w:val="24"/>
              </w:rPr>
              <w:t>Methodology</w:t>
            </w:r>
          </w:p>
        </w:tc>
        <w:tc>
          <w:tcPr>
            <w:tcW w:w="1440" w:type="dxa"/>
            <w:vMerge w:val="restart"/>
            <w:tcBorders>
              <w:top w:val="single" w:sz="8" w:space="0" w:color="auto"/>
              <w:right w:val="single" w:sz="8" w:space="0" w:color="auto"/>
            </w:tcBorders>
            <w:vAlign w:val="center"/>
          </w:tcPr>
          <w:p w14:paraId="281A59B7" w14:textId="77777777" w:rsidR="00C13CB9" w:rsidRDefault="00C13CB9" w:rsidP="003521AE">
            <w:pPr>
              <w:jc w:val="center"/>
              <w:rPr>
                <w:sz w:val="20"/>
                <w:szCs w:val="20"/>
              </w:rPr>
            </w:pPr>
            <w:r>
              <w:rPr>
                <w:rFonts w:eastAsia="Times New Roman"/>
                <w:w w:val="98"/>
                <w:sz w:val="24"/>
                <w:szCs w:val="24"/>
              </w:rPr>
              <w:t>Methods SM</w:t>
            </w:r>
            <w:r>
              <w:rPr>
                <w:rFonts w:eastAsia="Times New Roman"/>
                <w:w w:val="98"/>
                <w:sz w:val="27"/>
                <w:szCs w:val="27"/>
                <w:vertAlign w:val="superscript"/>
              </w:rPr>
              <w:t>1</w:t>
            </w:r>
          </w:p>
        </w:tc>
        <w:tc>
          <w:tcPr>
            <w:tcW w:w="1900" w:type="dxa"/>
            <w:vMerge w:val="restart"/>
            <w:tcBorders>
              <w:top w:val="single" w:sz="8" w:space="0" w:color="auto"/>
              <w:right w:val="single" w:sz="8" w:space="0" w:color="auto"/>
            </w:tcBorders>
            <w:vAlign w:val="center"/>
          </w:tcPr>
          <w:p w14:paraId="281A59B8" w14:textId="77777777" w:rsidR="00C13CB9" w:rsidRDefault="00C13CB9" w:rsidP="003521AE">
            <w:pPr>
              <w:jc w:val="center"/>
              <w:rPr>
                <w:sz w:val="20"/>
                <w:szCs w:val="20"/>
              </w:rPr>
            </w:pPr>
            <w:r>
              <w:rPr>
                <w:rFonts w:eastAsia="Times New Roman"/>
                <w:w w:val="99"/>
                <w:sz w:val="24"/>
                <w:szCs w:val="24"/>
              </w:rPr>
              <w:t>SM Online</w:t>
            </w:r>
            <w:r>
              <w:rPr>
                <w:rFonts w:eastAsia="Times New Roman"/>
                <w:w w:val="99"/>
                <w:sz w:val="27"/>
                <w:szCs w:val="27"/>
                <w:vertAlign w:val="superscript"/>
              </w:rPr>
              <w:t>2</w:t>
            </w:r>
          </w:p>
        </w:tc>
        <w:tc>
          <w:tcPr>
            <w:tcW w:w="2320" w:type="dxa"/>
            <w:vMerge w:val="restart"/>
            <w:tcBorders>
              <w:top w:val="single" w:sz="8" w:space="0" w:color="auto"/>
              <w:right w:val="single" w:sz="8" w:space="0" w:color="auto"/>
            </w:tcBorders>
            <w:vAlign w:val="center"/>
          </w:tcPr>
          <w:p w14:paraId="281A59B9" w14:textId="77777777" w:rsidR="00C13CB9" w:rsidRDefault="00C13CB9" w:rsidP="003521AE">
            <w:pPr>
              <w:jc w:val="center"/>
              <w:rPr>
                <w:sz w:val="20"/>
                <w:szCs w:val="20"/>
              </w:rPr>
            </w:pPr>
            <w:r>
              <w:rPr>
                <w:rFonts w:eastAsia="Times New Roman"/>
                <w:w w:val="98"/>
                <w:sz w:val="24"/>
                <w:szCs w:val="24"/>
              </w:rPr>
              <w:t>Other</w:t>
            </w:r>
          </w:p>
        </w:tc>
        <w:tc>
          <w:tcPr>
            <w:tcW w:w="30" w:type="dxa"/>
            <w:vAlign w:val="bottom"/>
          </w:tcPr>
          <w:p w14:paraId="281A59BA" w14:textId="77777777" w:rsidR="00C13CB9" w:rsidRDefault="00C13CB9" w:rsidP="003521AE">
            <w:pPr>
              <w:rPr>
                <w:sz w:val="1"/>
                <w:szCs w:val="1"/>
              </w:rPr>
            </w:pPr>
          </w:p>
        </w:tc>
      </w:tr>
      <w:tr w:rsidR="00C13CB9" w14:paraId="281A59C2" w14:textId="77777777" w:rsidTr="00C13CB9">
        <w:trPr>
          <w:trHeight w:val="274"/>
        </w:trPr>
        <w:tc>
          <w:tcPr>
            <w:tcW w:w="1900" w:type="dxa"/>
            <w:vMerge/>
            <w:tcBorders>
              <w:left w:val="single" w:sz="8" w:space="0" w:color="auto"/>
              <w:bottom w:val="single" w:sz="8" w:space="0" w:color="auto"/>
              <w:right w:val="single" w:sz="8" w:space="0" w:color="auto"/>
            </w:tcBorders>
            <w:vAlign w:val="bottom"/>
          </w:tcPr>
          <w:p w14:paraId="281A59BC" w14:textId="77777777" w:rsidR="00C13CB9" w:rsidRDefault="00C13CB9" w:rsidP="003521AE">
            <w:pPr>
              <w:rPr>
                <w:sz w:val="23"/>
                <w:szCs w:val="23"/>
              </w:rPr>
            </w:pPr>
          </w:p>
        </w:tc>
        <w:tc>
          <w:tcPr>
            <w:tcW w:w="2600" w:type="dxa"/>
            <w:vMerge/>
            <w:tcBorders>
              <w:bottom w:val="single" w:sz="8" w:space="0" w:color="auto"/>
              <w:right w:val="single" w:sz="8" w:space="0" w:color="auto"/>
            </w:tcBorders>
            <w:vAlign w:val="bottom"/>
          </w:tcPr>
          <w:p w14:paraId="281A59BD" w14:textId="77777777" w:rsidR="00C13CB9" w:rsidRDefault="00C13CB9" w:rsidP="003521AE">
            <w:pPr>
              <w:rPr>
                <w:sz w:val="23"/>
                <w:szCs w:val="23"/>
              </w:rPr>
            </w:pPr>
          </w:p>
        </w:tc>
        <w:tc>
          <w:tcPr>
            <w:tcW w:w="1440" w:type="dxa"/>
            <w:vMerge/>
            <w:tcBorders>
              <w:bottom w:val="single" w:sz="8" w:space="0" w:color="auto"/>
              <w:right w:val="single" w:sz="8" w:space="0" w:color="auto"/>
            </w:tcBorders>
            <w:vAlign w:val="bottom"/>
          </w:tcPr>
          <w:p w14:paraId="281A59BE" w14:textId="77777777" w:rsidR="00C13CB9" w:rsidRDefault="00C13CB9" w:rsidP="003521AE">
            <w:pPr>
              <w:rPr>
                <w:sz w:val="23"/>
                <w:szCs w:val="23"/>
              </w:rPr>
            </w:pPr>
          </w:p>
        </w:tc>
        <w:tc>
          <w:tcPr>
            <w:tcW w:w="1900" w:type="dxa"/>
            <w:vMerge/>
            <w:tcBorders>
              <w:bottom w:val="single" w:sz="8" w:space="0" w:color="auto"/>
              <w:right w:val="single" w:sz="8" w:space="0" w:color="auto"/>
            </w:tcBorders>
            <w:vAlign w:val="bottom"/>
          </w:tcPr>
          <w:p w14:paraId="281A59BF" w14:textId="77777777" w:rsidR="00C13CB9" w:rsidRDefault="00C13CB9" w:rsidP="003521AE">
            <w:pPr>
              <w:rPr>
                <w:sz w:val="23"/>
                <w:szCs w:val="23"/>
              </w:rPr>
            </w:pPr>
          </w:p>
        </w:tc>
        <w:tc>
          <w:tcPr>
            <w:tcW w:w="2320" w:type="dxa"/>
            <w:vMerge/>
            <w:tcBorders>
              <w:bottom w:val="single" w:sz="8" w:space="0" w:color="auto"/>
              <w:right w:val="single" w:sz="8" w:space="0" w:color="auto"/>
            </w:tcBorders>
            <w:vAlign w:val="bottom"/>
          </w:tcPr>
          <w:p w14:paraId="281A59C0" w14:textId="77777777" w:rsidR="00C13CB9" w:rsidRDefault="00C13CB9" w:rsidP="003521AE">
            <w:pPr>
              <w:rPr>
                <w:sz w:val="23"/>
                <w:szCs w:val="23"/>
              </w:rPr>
            </w:pPr>
          </w:p>
        </w:tc>
        <w:tc>
          <w:tcPr>
            <w:tcW w:w="30" w:type="dxa"/>
            <w:vAlign w:val="bottom"/>
          </w:tcPr>
          <w:p w14:paraId="281A59C1" w14:textId="77777777" w:rsidR="00C13CB9" w:rsidRDefault="00C13CB9" w:rsidP="003521AE">
            <w:pPr>
              <w:rPr>
                <w:sz w:val="1"/>
                <w:szCs w:val="1"/>
              </w:rPr>
            </w:pPr>
          </w:p>
        </w:tc>
      </w:tr>
      <w:tr w:rsidR="004647B9" w14:paraId="281A59C9" w14:textId="77777777" w:rsidTr="000774E6">
        <w:trPr>
          <w:trHeight w:val="246"/>
        </w:trPr>
        <w:tc>
          <w:tcPr>
            <w:tcW w:w="1900" w:type="dxa"/>
            <w:tcBorders>
              <w:left w:val="single" w:sz="8" w:space="0" w:color="auto"/>
              <w:right w:val="single" w:sz="8" w:space="0" w:color="auto"/>
            </w:tcBorders>
            <w:vAlign w:val="bottom"/>
          </w:tcPr>
          <w:p w14:paraId="281A59C3" w14:textId="77777777" w:rsidR="004647B9" w:rsidRDefault="00E2436F" w:rsidP="003521AE">
            <w:pPr>
              <w:ind w:left="40"/>
              <w:rPr>
                <w:sz w:val="20"/>
                <w:szCs w:val="20"/>
              </w:rPr>
            </w:pPr>
            <w:r>
              <w:rPr>
                <w:rFonts w:eastAsia="Times New Roman"/>
                <w:sz w:val="24"/>
                <w:szCs w:val="24"/>
              </w:rPr>
              <w:t>Free Chlorine</w:t>
            </w:r>
          </w:p>
        </w:tc>
        <w:tc>
          <w:tcPr>
            <w:tcW w:w="2600" w:type="dxa"/>
            <w:tcBorders>
              <w:right w:val="single" w:sz="8" w:space="0" w:color="auto"/>
            </w:tcBorders>
            <w:vAlign w:val="center"/>
          </w:tcPr>
          <w:p w14:paraId="281A59C4" w14:textId="77777777" w:rsidR="004647B9" w:rsidRDefault="00E2436F" w:rsidP="003521AE">
            <w:pPr>
              <w:ind w:left="20"/>
              <w:rPr>
                <w:sz w:val="20"/>
                <w:szCs w:val="20"/>
              </w:rPr>
            </w:pPr>
            <w:r>
              <w:rPr>
                <w:rFonts w:eastAsia="Times New Roman"/>
                <w:sz w:val="24"/>
                <w:szCs w:val="24"/>
              </w:rPr>
              <w:t>Amperometric Titration</w:t>
            </w:r>
          </w:p>
        </w:tc>
        <w:tc>
          <w:tcPr>
            <w:tcW w:w="1440" w:type="dxa"/>
            <w:tcBorders>
              <w:right w:val="single" w:sz="8" w:space="0" w:color="auto"/>
            </w:tcBorders>
            <w:vAlign w:val="center"/>
          </w:tcPr>
          <w:p w14:paraId="281A59C5" w14:textId="77777777" w:rsidR="004647B9" w:rsidRDefault="00E2436F" w:rsidP="003521AE">
            <w:pPr>
              <w:jc w:val="center"/>
              <w:rPr>
                <w:sz w:val="20"/>
                <w:szCs w:val="20"/>
              </w:rPr>
            </w:pPr>
            <w:r>
              <w:rPr>
                <w:rFonts w:eastAsia="Times New Roman"/>
                <w:w w:val="99"/>
                <w:sz w:val="24"/>
                <w:szCs w:val="24"/>
              </w:rPr>
              <w:t>4500-Cl D</w:t>
            </w:r>
          </w:p>
        </w:tc>
        <w:tc>
          <w:tcPr>
            <w:tcW w:w="1900" w:type="dxa"/>
            <w:tcBorders>
              <w:right w:val="single" w:sz="8" w:space="0" w:color="auto"/>
            </w:tcBorders>
            <w:vAlign w:val="center"/>
          </w:tcPr>
          <w:p w14:paraId="281A59C6" w14:textId="77777777" w:rsidR="004647B9" w:rsidRDefault="00E2436F" w:rsidP="003521AE">
            <w:pPr>
              <w:jc w:val="center"/>
              <w:rPr>
                <w:sz w:val="20"/>
                <w:szCs w:val="20"/>
              </w:rPr>
            </w:pPr>
            <w:r>
              <w:rPr>
                <w:rFonts w:eastAsia="Times New Roman"/>
                <w:sz w:val="24"/>
                <w:szCs w:val="24"/>
              </w:rPr>
              <w:t>4500-C1 D-00</w:t>
            </w:r>
          </w:p>
        </w:tc>
        <w:tc>
          <w:tcPr>
            <w:tcW w:w="2320" w:type="dxa"/>
            <w:tcBorders>
              <w:right w:val="single" w:sz="8" w:space="0" w:color="auto"/>
            </w:tcBorders>
            <w:vAlign w:val="center"/>
          </w:tcPr>
          <w:p w14:paraId="281A59C7" w14:textId="77777777" w:rsidR="004647B9" w:rsidRDefault="00E2436F" w:rsidP="003521AE">
            <w:pPr>
              <w:jc w:val="center"/>
              <w:rPr>
                <w:sz w:val="20"/>
                <w:szCs w:val="20"/>
              </w:rPr>
            </w:pPr>
            <w:r>
              <w:rPr>
                <w:rFonts w:eastAsia="Times New Roman"/>
                <w:w w:val="98"/>
                <w:sz w:val="24"/>
                <w:szCs w:val="24"/>
              </w:rPr>
              <w:t>D 1253-03</w:t>
            </w:r>
            <w:r w:rsidRPr="005A2AD9">
              <w:rPr>
                <w:rFonts w:eastAsia="Times New Roman"/>
                <w:w w:val="98"/>
                <w:sz w:val="24"/>
                <w:szCs w:val="24"/>
                <w:vertAlign w:val="superscript"/>
              </w:rPr>
              <w:t>3</w:t>
            </w:r>
          </w:p>
        </w:tc>
        <w:tc>
          <w:tcPr>
            <w:tcW w:w="30" w:type="dxa"/>
            <w:vAlign w:val="bottom"/>
          </w:tcPr>
          <w:p w14:paraId="281A59C8" w14:textId="77777777" w:rsidR="004647B9" w:rsidRDefault="004647B9" w:rsidP="003521AE">
            <w:pPr>
              <w:rPr>
                <w:sz w:val="1"/>
                <w:szCs w:val="1"/>
              </w:rPr>
            </w:pPr>
          </w:p>
        </w:tc>
      </w:tr>
      <w:tr w:rsidR="004647B9" w14:paraId="281A59D0" w14:textId="77777777" w:rsidTr="000774E6">
        <w:trPr>
          <w:trHeight w:val="278"/>
        </w:trPr>
        <w:tc>
          <w:tcPr>
            <w:tcW w:w="1900" w:type="dxa"/>
            <w:tcBorders>
              <w:left w:val="single" w:sz="8" w:space="0" w:color="auto"/>
              <w:right w:val="single" w:sz="8" w:space="0" w:color="auto"/>
            </w:tcBorders>
            <w:vAlign w:val="bottom"/>
          </w:tcPr>
          <w:p w14:paraId="281A59CA" w14:textId="77777777" w:rsidR="004647B9" w:rsidRDefault="004647B9" w:rsidP="003521AE">
            <w:pPr>
              <w:rPr>
                <w:sz w:val="24"/>
                <w:szCs w:val="24"/>
              </w:rPr>
            </w:pPr>
          </w:p>
        </w:tc>
        <w:tc>
          <w:tcPr>
            <w:tcW w:w="2600" w:type="dxa"/>
            <w:tcBorders>
              <w:right w:val="single" w:sz="8" w:space="0" w:color="auto"/>
            </w:tcBorders>
            <w:vAlign w:val="center"/>
          </w:tcPr>
          <w:p w14:paraId="281A59CB" w14:textId="77777777" w:rsidR="004647B9" w:rsidRDefault="00E2436F" w:rsidP="003521AE">
            <w:pPr>
              <w:ind w:left="20"/>
              <w:rPr>
                <w:sz w:val="20"/>
                <w:szCs w:val="20"/>
              </w:rPr>
            </w:pPr>
            <w:r>
              <w:rPr>
                <w:rFonts w:eastAsia="Times New Roman"/>
                <w:sz w:val="24"/>
                <w:szCs w:val="24"/>
              </w:rPr>
              <w:t>DPD Ferrous Titrimetric</w:t>
            </w:r>
          </w:p>
        </w:tc>
        <w:tc>
          <w:tcPr>
            <w:tcW w:w="1440" w:type="dxa"/>
            <w:tcBorders>
              <w:right w:val="single" w:sz="8" w:space="0" w:color="auto"/>
            </w:tcBorders>
            <w:vAlign w:val="center"/>
          </w:tcPr>
          <w:p w14:paraId="281A59CC" w14:textId="77777777" w:rsidR="004647B9" w:rsidRPr="005A2AD9" w:rsidRDefault="00E2436F" w:rsidP="003521AE">
            <w:pPr>
              <w:jc w:val="center"/>
              <w:rPr>
                <w:rFonts w:eastAsia="Times New Roman"/>
                <w:w w:val="99"/>
                <w:sz w:val="24"/>
                <w:szCs w:val="24"/>
              </w:rPr>
            </w:pPr>
            <w:r>
              <w:rPr>
                <w:rFonts w:eastAsia="Times New Roman"/>
                <w:w w:val="99"/>
                <w:sz w:val="24"/>
                <w:szCs w:val="24"/>
              </w:rPr>
              <w:t>4500-Cl F</w:t>
            </w:r>
          </w:p>
        </w:tc>
        <w:tc>
          <w:tcPr>
            <w:tcW w:w="1900" w:type="dxa"/>
            <w:tcBorders>
              <w:right w:val="single" w:sz="8" w:space="0" w:color="auto"/>
            </w:tcBorders>
            <w:vAlign w:val="center"/>
          </w:tcPr>
          <w:p w14:paraId="281A59CD" w14:textId="77777777" w:rsidR="004647B9" w:rsidRDefault="00E2436F" w:rsidP="003521AE">
            <w:pPr>
              <w:jc w:val="center"/>
              <w:rPr>
                <w:sz w:val="20"/>
                <w:szCs w:val="20"/>
              </w:rPr>
            </w:pPr>
            <w:r>
              <w:rPr>
                <w:rFonts w:eastAsia="Times New Roman"/>
                <w:sz w:val="24"/>
                <w:szCs w:val="24"/>
              </w:rPr>
              <w:t>4500-C1 F-00</w:t>
            </w:r>
          </w:p>
        </w:tc>
        <w:tc>
          <w:tcPr>
            <w:tcW w:w="2320" w:type="dxa"/>
            <w:tcBorders>
              <w:right w:val="single" w:sz="8" w:space="0" w:color="auto"/>
            </w:tcBorders>
            <w:vAlign w:val="center"/>
          </w:tcPr>
          <w:p w14:paraId="281A59CE" w14:textId="77777777" w:rsidR="004647B9" w:rsidRDefault="004647B9" w:rsidP="003521AE">
            <w:pPr>
              <w:jc w:val="center"/>
              <w:rPr>
                <w:sz w:val="24"/>
                <w:szCs w:val="24"/>
              </w:rPr>
            </w:pPr>
          </w:p>
        </w:tc>
        <w:tc>
          <w:tcPr>
            <w:tcW w:w="30" w:type="dxa"/>
            <w:vAlign w:val="bottom"/>
          </w:tcPr>
          <w:p w14:paraId="281A59CF" w14:textId="77777777" w:rsidR="004647B9" w:rsidRDefault="004647B9" w:rsidP="003521AE">
            <w:pPr>
              <w:rPr>
                <w:sz w:val="1"/>
                <w:szCs w:val="1"/>
              </w:rPr>
            </w:pPr>
          </w:p>
        </w:tc>
      </w:tr>
      <w:tr w:rsidR="004647B9" w14:paraId="281A59D7" w14:textId="77777777" w:rsidTr="000774E6">
        <w:trPr>
          <w:trHeight w:val="281"/>
        </w:trPr>
        <w:tc>
          <w:tcPr>
            <w:tcW w:w="1900" w:type="dxa"/>
            <w:tcBorders>
              <w:left w:val="single" w:sz="8" w:space="0" w:color="auto"/>
              <w:right w:val="single" w:sz="8" w:space="0" w:color="auto"/>
            </w:tcBorders>
            <w:vAlign w:val="bottom"/>
          </w:tcPr>
          <w:p w14:paraId="281A59D1" w14:textId="77777777" w:rsidR="004647B9" w:rsidRDefault="004647B9" w:rsidP="003521AE">
            <w:pPr>
              <w:rPr>
                <w:sz w:val="24"/>
                <w:szCs w:val="24"/>
              </w:rPr>
            </w:pPr>
          </w:p>
        </w:tc>
        <w:tc>
          <w:tcPr>
            <w:tcW w:w="2600" w:type="dxa"/>
            <w:tcBorders>
              <w:right w:val="single" w:sz="8" w:space="0" w:color="auto"/>
            </w:tcBorders>
            <w:vAlign w:val="center"/>
          </w:tcPr>
          <w:p w14:paraId="281A59D2" w14:textId="77777777" w:rsidR="004647B9" w:rsidRDefault="00E2436F" w:rsidP="003521AE">
            <w:pPr>
              <w:ind w:left="20"/>
              <w:rPr>
                <w:sz w:val="20"/>
                <w:szCs w:val="20"/>
              </w:rPr>
            </w:pPr>
            <w:r>
              <w:rPr>
                <w:rFonts w:eastAsia="Times New Roman"/>
                <w:sz w:val="24"/>
                <w:szCs w:val="24"/>
              </w:rPr>
              <w:t>DPD Colorimetric</w:t>
            </w:r>
          </w:p>
        </w:tc>
        <w:tc>
          <w:tcPr>
            <w:tcW w:w="1440" w:type="dxa"/>
            <w:tcBorders>
              <w:right w:val="single" w:sz="8" w:space="0" w:color="auto"/>
            </w:tcBorders>
            <w:vAlign w:val="center"/>
          </w:tcPr>
          <w:p w14:paraId="281A59D3" w14:textId="77777777" w:rsidR="004647B9" w:rsidRPr="005A2AD9" w:rsidRDefault="00E2436F" w:rsidP="003521AE">
            <w:pPr>
              <w:jc w:val="center"/>
              <w:rPr>
                <w:rFonts w:eastAsia="Times New Roman"/>
                <w:w w:val="99"/>
                <w:sz w:val="24"/>
                <w:szCs w:val="24"/>
              </w:rPr>
            </w:pPr>
            <w:r>
              <w:rPr>
                <w:rFonts w:eastAsia="Times New Roman"/>
                <w:w w:val="99"/>
                <w:sz w:val="24"/>
                <w:szCs w:val="24"/>
              </w:rPr>
              <w:t>4500-Cl G</w:t>
            </w:r>
          </w:p>
        </w:tc>
        <w:tc>
          <w:tcPr>
            <w:tcW w:w="1900" w:type="dxa"/>
            <w:tcBorders>
              <w:right w:val="single" w:sz="8" w:space="0" w:color="auto"/>
            </w:tcBorders>
            <w:vAlign w:val="center"/>
          </w:tcPr>
          <w:p w14:paraId="281A59D4" w14:textId="77777777" w:rsidR="004647B9" w:rsidRDefault="00E2436F" w:rsidP="003521AE">
            <w:pPr>
              <w:jc w:val="center"/>
              <w:rPr>
                <w:sz w:val="20"/>
                <w:szCs w:val="20"/>
              </w:rPr>
            </w:pPr>
            <w:r>
              <w:rPr>
                <w:rFonts w:eastAsia="Times New Roman"/>
                <w:sz w:val="24"/>
                <w:szCs w:val="24"/>
              </w:rPr>
              <w:t>4500-C1 G-00</w:t>
            </w:r>
          </w:p>
        </w:tc>
        <w:tc>
          <w:tcPr>
            <w:tcW w:w="2320" w:type="dxa"/>
            <w:tcBorders>
              <w:right w:val="single" w:sz="8" w:space="0" w:color="auto"/>
            </w:tcBorders>
            <w:vAlign w:val="center"/>
          </w:tcPr>
          <w:p w14:paraId="281A59D5" w14:textId="77777777" w:rsidR="004647B9" w:rsidRDefault="004647B9" w:rsidP="003521AE">
            <w:pPr>
              <w:jc w:val="center"/>
              <w:rPr>
                <w:sz w:val="24"/>
                <w:szCs w:val="24"/>
              </w:rPr>
            </w:pPr>
          </w:p>
        </w:tc>
        <w:tc>
          <w:tcPr>
            <w:tcW w:w="30" w:type="dxa"/>
            <w:vAlign w:val="bottom"/>
          </w:tcPr>
          <w:p w14:paraId="281A59D6" w14:textId="77777777" w:rsidR="004647B9" w:rsidRDefault="004647B9" w:rsidP="003521AE">
            <w:pPr>
              <w:rPr>
                <w:sz w:val="1"/>
                <w:szCs w:val="1"/>
              </w:rPr>
            </w:pPr>
          </w:p>
        </w:tc>
      </w:tr>
      <w:tr w:rsidR="004647B9" w14:paraId="281A59DE" w14:textId="77777777" w:rsidTr="000774E6">
        <w:trPr>
          <w:trHeight w:val="278"/>
        </w:trPr>
        <w:tc>
          <w:tcPr>
            <w:tcW w:w="1900" w:type="dxa"/>
            <w:tcBorders>
              <w:left w:val="single" w:sz="8" w:space="0" w:color="auto"/>
              <w:right w:val="single" w:sz="8" w:space="0" w:color="auto"/>
            </w:tcBorders>
            <w:vAlign w:val="bottom"/>
          </w:tcPr>
          <w:p w14:paraId="281A59D8" w14:textId="0AA42879" w:rsidR="004647B9" w:rsidRDefault="004647B9" w:rsidP="003521AE">
            <w:pPr>
              <w:ind w:left="40"/>
              <w:rPr>
                <w:sz w:val="20"/>
                <w:szCs w:val="20"/>
              </w:rPr>
            </w:pPr>
          </w:p>
        </w:tc>
        <w:tc>
          <w:tcPr>
            <w:tcW w:w="2600" w:type="dxa"/>
            <w:tcBorders>
              <w:right w:val="single" w:sz="8" w:space="0" w:color="auto"/>
            </w:tcBorders>
            <w:vAlign w:val="center"/>
          </w:tcPr>
          <w:p w14:paraId="281A59D9" w14:textId="77777777" w:rsidR="004647B9" w:rsidRDefault="00E2436F" w:rsidP="003521AE">
            <w:pPr>
              <w:ind w:left="20"/>
              <w:rPr>
                <w:sz w:val="20"/>
                <w:szCs w:val="20"/>
              </w:rPr>
            </w:pPr>
            <w:r>
              <w:rPr>
                <w:rFonts w:eastAsia="Times New Roman"/>
                <w:sz w:val="24"/>
                <w:szCs w:val="24"/>
              </w:rPr>
              <w:t>Syringaldazine (FACTS)</w:t>
            </w:r>
          </w:p>
        </w:tc>
        <w:tc>
          <w:tcPr>
            <w:tcW w:w="1440" w:type="dxa"/>
            <w:tcBorders>
              <w:right w:val="single" w:sz="8" w:space="0" w:color="auto"/>
            </w:tcBorders>
            <w:vAlign w:val="center"/>
          </w:tcPr>
          <w:p w14:paraId="281A59DA" w14:textId="77777777" w:rsidR="004647B9" w:rsidRPr="005A2AD9" w:rsidRDefault="00E2436F" w:rsidP="003521AE">
            <w:pPr>
              <w:jc w:val="center"/>
              <w:rPr>
                <w:rFonts w:eastAsia="Times New Roman"/>
                <w:w w:val="99"/>
                <w:sz w:val="24"/>
                <w:szCs w:val="24"/>
              </w:rPr>
            </w:pPr>
            <w:r>
              <w:rPr>
                <w:rFonts w:eastAsia="Times New Roman"/>
                <w:w w:val="99"/>
                <w:sz w:val="24"/>
                <w:szCs w:val="24"/>
              </w:rPr>
              <w:t>4500-Cl H</w:t>
            </w:r>
          </w:p>
        </w:tc>
        <w:tc>
          <w:tcPr>
            <w:tcW w:w="1900" w:type="dxa"/>
            <w:tcBorders>
              <w:right w:val="single" w:sz="8" w:space="0" w:color="auto"/>
            </w:tcBorders>
            <w:vAlign w:val="center"/>
          </w:tcPr>
          <w:p w14:paraId="281A59DB" w14:textId="77777777" w:rsidR="004647B9" w:rsidRDefault="00E2436F" w:rsidP="003521AE">
            <w:pPr>
              <w:jc w:val="center"/>
              <w:rPr>
                <w:sz w:val="20"/>
                <w:szCs w:val="20"/>
              </w:rPr>
            </w:pPr>
            <w:r>
              <w:rPr>
                <w:rFonts w:eastAsia="Times New Roman"/>
                <w:sz w:val="24"/>
                <w:szCs w:val="24"/>
              </w:rPr>
              <w:t>4500 C1 H-00</w:t>
            </w:r>
          </w:p>
        </w:tc>
        <w:tc>
          <w:tcPr>
            <w:tcW w:w="2320" w:type="dxa"/>
            <w:tcBorders>
              <w:right w:val="single" w:sz="8" w:space="0" w:color="auto"/>
            </w:tcBorders>
            <w:vAlign w:val="center"/>
          </w:tcPr>
          <w:p w14:paraId="281A59DC" w14:textId="77777777" w:rsidR="004647B9" w:rsidRDefault="004647B9" w:rsidP="003521AE">
            <w:pPr>
              <w:jc w:val="center"/>
              <w:rPr>
                <w:sz w:val="24"/>
                <w:szCs w:val="24"/>
              </w:rPr>
            </w:pPr>
          </w:p>
        </w:tc>
        <w:tc>
          <w:tcPr>
            <w:tcW w:w="30" w:type="dxa"/>
            <w:vAlign w:val="bottom"/>
          </w:tcPr>
          <w:p w14:paraId="281A59DD" w14:textId="77777777" w:rsidR="004647B9" w:rsidRDefault="004647B9" w:rsidP="003521AE">
            <w:pPr>
              <w:rPr>
                <w:sz w:val="1"/>
                <w:szCs w:val="1"/>
              </w:rPr>
            </w:pPr>
          </w:p>
        </w:tc>
      </w:tr>
      <w:tr w:rsidR="004647B9" w14:paraId="281A59E5" w14:textId="77777777" w:rsidTr="000774E6">
        <w:trPr>
          <w:trHeight w:val="281"/>
        </w:trPr>
        <w:tc>
          <w:tcPr>
            <w:tcW w:w="1900" w:type="dxa"/>
            <w:tcBorders>
              <w:left w:val="single" w:sz="8" w:space="0" w:color="auto"/>
              <w:right w:val="single" w:sz="8" w:space="0" w:color="auto"/>
            </w:tcBorders>
            <w:vAlign w:val="bottom"/>
          </w:tcPr>
          <w:p w14:paraId="281A59DF" w14:textId="6A95397D" w:rsidR="004647B9" w:rsidRDefault="001F642F" w:rsidP="003521AE">
            <w:pPr>
              <w:rPr>
                <w:sz w:val="24"/>
                <w:szCs w:val="24"/>
              </w:rPr>
            </w:pPr>
            <w:r>
              <w:rPr>
                <w:rFonts w:eastAsia="Times New Roman"/>
                <w:sz w:val="24"/>
                <w:szCs w:val="24"/>
              </w:rPr>
              <w:t>Total Chlorine</w:t>
            </w:r>
          </w:p>
        </w:tc>
        <w:tc>
          <w:tcPr>
            <w:tcW w:w="2600" w:type="dxa"/>
            <w:tcBorders>
              <w:right w:val="single" w:sz="8" w:space="0" w:color="auto"/>
            </w:tcBorders>
            <w:vAlign w:val="center"/>
          </w:tcPr>
          <w:p w14:paraId="281A59E0" w14:textId="77777777" w:rsidR="004647B9" w:rsidRDefault="00E2436F" w:rsidP="003521AE">
            <w:pPr>
              <w:ind w:left="20"/>
              <w:rPr>
                <w:sz w:val="20"/>
                <w:szCs w:val="20"/>
              </w:rPr>
            </w:pPr>
            <w:r>
              <w:rPr>
                <w:rFonts w:eastAsia="Times New Roman"/>
                <w:sz w:val="24"/>
                <w:szCs w:val="24"/>
              </w:rPr>
              <w:t>Amperometric Titration</w:t>
            </w:r>
          </w:p>
        </w:tc>
        <w:tc>
          <w:tcPr>
            <w:tcW w:w="1440" w:type="dxa"/>
            <w:tcBorders>
              <w:right w:val="single" w:sz="8" w:space="0" w:color="auto"/>
            </w:tcBorders>
            <w:vAlign w:val="center"/>
          </w:tcPr>
          <w:p w14:paraId="281A59E1" w14:textId="77777777" w:rsidR="004647B9" w:rsidRPr="005A2AD9" w:rsidRDefault="00E2436F" w:rsidP="003521AE">
            <w:pPr>
              <w:jc w:val="center"/>
              <w:rPr>
                <w:rFonts w:eastAsia="Times New Roman"/>
                <w:w w:val="99"/>
                <w:sz w:val="24"/>
                <w:szCs w:val="24"/>
              </w:rPr>
            </w:pPr>
            <w:r>
              <w:rPr>
                <w:rFonts w:eastAsia="Times New Roman"/>
                <w:w w:val="99"/>
                <w:sz w:val="24"/>
                <w:szCs w:val="24"/>
              </w:rPr>
              <w:t>4500-Cl D</w:t>
            </w:r>
          </w:p>
        </w:tc>
        <w:tc>
          <w:tcPr>
            <w:tcW w:w="1900" w:type="dxa"/>
            <w:tcBorders>
              <w:right w:val="single" w:sz="8" w:space="0" w:color="auto"/>
            </w:tcBorders>
            <w:vAlign w:val="center"/>
          </w:tcPr>
          <w:p w14:paraId="281A59E2" w14:textId="77777777" w:rsidR="004647B9" w:rsidRDefault="00E2436F" w:rsidP="003521AE">
            <w:pPr>
              <w:jc w:val="center"/>
              <w:rPr>
                <w:sz w:val="20"/>
                <w:szCs w:val="20"/>
              </w:rPr>
            </w:pPr>
            <w:r>
              <w:rPr>
                <w:rFonts w:eastAsia="Times New Roman"/>
                <w:sz w:val="24"/>
                <w:szCs w:val="24"/>
              </w:rPr>
              <w:t>4500 C1 D-00</w:t>
            </w:r>
          </w:p>
        </w:tc>
        <w:tc>
          <w:tcPr>
            <w:tcW w:w="2320" w:type="dxa"/>
            <w:tcBorders>
              <w:right w:val="single" w:sz="8" w:space="0" w:color="auto"/>
            </w:tcBorders>
            <w:vAlign w:val="center"/>
          </w:tcPr>
          <w:p w14:paraId="281A59E3" w14:textId="77777777" w:rsidR="004647B9" w:rsidRDefault="00E2436F" w:rsidP="003521AE">
            <w:pPr>
              <w:jc w:val="center"/>
              <w:rPr>
                <w:sz w:val="20"/>
                <w:szCs w:val="20"/>
              </w:rPr>
            </w:pPr>
            <w:r>
              <w:rPr>
                <w:rFonts w:eastAsia="Times New Roman"/>
                <w:w w:val="97"/>
                <w:sz w:val="24"/>
                <w:szCs w:val="24"/>
              </w:rPr>
              <w:t>D 1253-03</w:t>
            </w:r>
            <w:r>
              <w:rPr>
                <w:rFonts w:eastAsia="Times New Roman"/>
                <w:w w:val="97"/>
                <w:sz w:val="27"/>
                <w:szCs w:val="27"/>
                <w:vertAlign w:val="superscript"/>
              </w:rPr>
              <w:t>3</w:t>
            </w:r>
          </w:p>
        </w:tc>
        <w:tc>
          <w:tcPr>
            <w:tcW w:w="30" w:type="dxa"/>
            <w:vAlign w:val="bottom"/>
          </w:tcPr>
          <w:p w14:paraId="281A59E4" w14:textId="77777777" w:rsidR="004647B9" w:rsidRDefault="004647B9" w:rsidP="003521AE">
            <w:pPr>
              <w:rPr>
                <w:sz w:val="1"/>
                <w:szCs w:val="1"/>
              </w:rPr>
            </w:pPr>
          </w:p>
        </w:tc>
      </w:tr>
      <w:tr w:rsidR="004647B9" w14:paraId="281A59EC" w14:textId="77777777" w:rsidTr="000774E6">
        <w:trPr>
          <w:trHeight w:val="278"/>
        </w:trPr>
        <w:tc>
          <w:tcPr>
            <w:tcW w:w="1900" w:type="dxa"/>
            <w:tcBorders>
              <w:left w:val="single" w:sz="8" w:space="0" w:color="auto"/>
              <w:right w:val="single" w:sz="8" w:space="0" w:color="auto"/>
            </w:tcBorders>
            <w:vAlign w:val="bottom"/>
          </w:tcPr>
          <w:p w14:paraId="281A59E6" w14:textId="77777777" w:rsidR="004647B9" w:rsidRDefault="004647B9" w:rsidP="003521AE">
            <w:pPr>
              <w:rPr>
                <w:sz w:val="24"/>
                <w:szCs w:val="24"/>
              </w:rPr>
            </w:pPr>
          </w:p>
        </w:tc>
        <w:tc>
          <w:tcPr>
            <w:tcW w:w="2600" w:type="dxa"/>
            <w:tcBorders>
              <w:right w:val="single" w:sz="8" w:space="0" w:color="auto"/>
            </w:tcBorders>
            <w:vAlign w:val="center"/>
          </w:tcPr>
          <w:p w14:paraId="281A59E7" w14:textId="72255A45" w:rsidR="004647B9" w:rsidRDefault="00E2436F" w:rsidP="003521AE">
            <w:pPr>
              <w:ind w:left="20"/>
              <w:rPr>
                <w:sz w:val="20"/>
                <w:szCs w:val="20"/>
              </w:rPr>
            </w:pPr>
            <w:r>
              <w:rPr>
                <w:rFonts w:eastAsia="Times New Roman"/>
                <w:sz w:val="24"/>
                <w:szCs w:val="24"/>
              </w:rPr>
              <w:t>Amperometric Titration</w:t>
            </w:r>
            <w:r w:rsidR="005A2AD9">
              <w:rPr>
                <w:rFonts w:eastAsia="Times New Roman"/>
                <w:sz w:val="24"/>
                <w:szCs w:val="24"/>
              </w:rPr>
              <w:t xml:space="preserve"> (low level measurement)</w:t>
            </w:r>
          </w:p>
        </w:tc>
        <w:tc>
          <w:tcPr>
            <w:tcW w:w="1440" w:type="dxa"/>
            <w:tcBorders>
              <w:right w:val="single" w:sz="8" w:space="0" w:color="auto"/>
            </w:tcBorders>
            <w:vAlign w:val="center"/>
          </w:tcPr>
          <w:p w14:paraId="281A59E8" w14:textId="77777777" w:rsidR="004647B9" w:rsidRPr="005A2AD9" w:rsidRDefault="00E2436F" w:rsidP="003521AE">
            <w:pPr>
              <w:jc w:val="center"/>
              <w:rPr>
                <w:rFonts w:eastAsia="Times New Roman"/>
                <w:w w:val="99"/>
                <w:sz w:val="24"/>
                <w:szCs w:val="24"/>
              </w:rPr>
            </w:pPr>
            <w:r w:rsidRPr="005A2AD9">
              <w:rPr>
                <w:rFonts w:eastAsia="Times New Roman"/>
                <w:w w:val="99"/>
                <w:sz w:val="24"/>
                <w:szCs w:val="24"/>
              </w:rPr>
              <w:t>4500-Cl E</w:t>
            </w:r>
          </w:p>
        </w:tc>
        <w:tc>
          <w:tcPr>
            <w:tcW w:w="1900" w:type="dxa"/>
            <w:tcBorders>
              <w:right w:val="single" w:sz="8" w:space="0" w:color="auto"/>
            </w:tcBorders>
            <w:vAlign w:val="center"/>
          </w:tcPr>
          <w:p w14:paraId="281A59E9" w14:textId="77777777" w:rsidR="004647B9" w:rsidRDefault="00E2436F" w:rsidP="003521AE">
            <w:pPr>
              <w:jc w:val="center"/>
              <w:rPr>
                <w:sz w:val="20"/>
                <w:szCs w:val="20"/>
              </w:rPr>
            </w:pPr>
            <w:r>
              <w:rPr>
                <w:rFonts w:eastAsia="Times New Roman"/>
                <w:w w:val="99"/>
                <w:sz w:val="24"/>
                <w:szCs w:val="24"/>
              </w:rPr>
              <w:t>4500 C1 E-00</w:t>
            </w:r>
          </w:p>
        </w:tc>
        <w:tc>
          <w:tcPr>
            <w:tcW w:w="2320" w:type="dxa"/>
            <w:tcBorders>
              <w:right w:val="single" w:sz="8" w:space="0" w:color="auto"/>
            </w:tcBorders>
            <w:vAlign w:val="center"/>
          </w:tcPr>
          <w:p w14:paraId="281A59EA" w14:textId="77777777" w:rsidR="004647B9" w:rsidRDefault="004647B9" w:rsidP="003521AE">
            <w:pPr>
              <w:jc w:val="center"/>
              <w:rPr>
                <w:sz w:val="24"/>
                <w:szCs w:val="24"/>
              </w:rPr>
            </w:pPr>
          </w:p>
        </w:tc>
        <w:tc>
          <w:tcPr>
            <w:tcW w:w="30" w:type="dxa"/>
            <w:vAlign w:val="bottom"/>
          </w:tcPr>
          <w:p w14:paraId="281A59EB" w14:textId="77777777" w:rsidR="004647B9" w:rsidRDefault="004647B9" w:rsidP="003521AE">
            <w:pPr>
              <w:rPr>
                <w:sz w:val="1"/>
                <w:szCs w:val="1"/>
              </w:rPr>
            </w:pPr>
          </w:p>
        </w:tc>
      </w:tr>
      <w:tr w:rsidR="004647B9" w14:paraId="281A59FA" w14:textId="77777777" w:rsidTr="000774E6">
        <w:trPr>
          <w:trHeight w:val="278"/>
        </w:trPr>
        <w:tc>
          <w:tcPr>
            <w:tcW w:w="1900" w:type="dxa"/>
            <w:tcBorders>
              <w:left w:val="single" w:sz="8" w:space="0" w:color="auto"/>
              <w:right w:val="single" w:sz="8" w:space="0" w:color="auto"/>
            </w:tcBorders>
            <w:vAlign w:val="bottom"/>
          </w:tcPr>
          <w:p w14:paraId="281A59F4" w14:textId="77777777" w:rsidR="004647B9" w:rsidRDefault="004647B9" w:rsidP="003521AE">
            <w:pPr>
              <w:rPr>
                <w:sz w:val="24"/>
                <w:szCs w:val="24"/>
              </w:rPr>
            </w:pPr>
          </w:p>
        </w:tc>
        <w:tc>
          <w:tcPr>
            <w:tcW w:w="2600" w:type="dxa"/>
            <w:tcBorders>
              <w:right w:val="single" w:sz="8" w:space="0" w:color="auto"/>
            </w:tcBorders>
            <w:vAlign w:val="center"/>
          </w:tcPr>
          <w:p w14:paraId="281A59F5" w14:textId="77777777" w:rsidR="004647B9" w:rsidRDefault="00E2436F" w:rsidP="003521AE">
            <w:pPr>
              <w:ind w:left="20"/>
              <w:rPr>
                <w:sz w:val="20"/>
                <w:szCs w:val="20"/>
              </w:rPr>
            </w:pPr>
            <w:r>
              <w:rPr>
                <w:rFonts w:eastAsia="Times New Roman"/>
                <w:sz w:val="24"/>
                <w:szCs w:val="24"/>
              </w:rPr>
              <w:t>DPD Ferrous Titrimetric</w:t>
            </w:r>
          </w:p>
        </w:tc>
        <w:tc>
          <w:tcPr>
            <w:tcW w:w="1440" w:type="dxa"/>
            <w:tcBorders>
              <w:right w:val="single" w:sz="8" w:space="0" w:color="auto"/>
            </w:tcBorders>
            <w:vAlign w:val="center"/>
          </w:tcPr>
          <w:p w14:paraId="281A59F6" w14:textId="77777777" w:rsidR="004647B9" w:rsidRPr="005A2AD9" w:rsidRDefault="00E2436F" w:rsidP="003521AE">
            <w:pPr>
              <w:jc w:val="center"/>
              <w:rPr>
                <w:rFonts w:eastAsia="Times New Roman"/>
                <w:w w:val="99"/>
                <w:sz w:val="24"/>
                <w:szCs w:val="24"/>
              </w:rPr>
            </w:pPr>
            <w:r>
              <w:rPr>
                <w:rFonts w:eastAsia="Times New Roman"/>
                <w:w w:val="99"/>
                <w:sz w:val="24"/>
                <w:szCs w:val="24"/>
              </w:rPr>
              <w:t>4500-Cl F</w:t>
            </w:r>
          </w:p>
        </w:tc>
        <w:tc>
          <w:tcPr>
            <w:tcW w:w="1900" w:type="dxa"/>
            <w:tcBorders>
              <w:right w:val="single" w:sz="8" w:space="0" w:color="auto"/>
            </w:tcBorders>
            <w:vAlign w:val="center"/>
          </w:tcPr>
          <w:p w14:paraId="281A59F7" w14:textId="77777777" w:rsidR="004647B9" w:rsidRDefault="00E2436F" w:rsidP="003521AE">
            <w:pPr>
              <w:jc w:val="center"/>
              <w:rPr>
                <w:sz w:val="20"/>
                <w:szCs w:val="20"/>
              </w:rPr>
            </w:pPr>
            <w:r>
              <w:rPr>
                <w:rFonts w:eastAsia="Times New Roman"/>
                <w:sz w:val="24"/>
                <w:szCs w:val="24"/>
              </w:rPr>
              <w:t>4500 C1 F-00</w:t>
            </w:r>
          </w:p>
        </w:tc>
        <w:tc>
          <w:tcPr>
            <w:tcW w:w="2320" w:type="dxa"/>
            <w:tcBorders>
              <w:right w:val="single" w:sz="8" w:space="0" w:color="auto"/>
            </w:tcBorders>
            <w:vAlign w:val="center"/>
          </w:tcPr>
          <w:p w14:paraId="281A59F8" w14:textId="77777777" w:rsidR="004647B9" w:rsidRDefault="004647B9" w:rsidP="003521AE">
            <w:pPr>
              <w:jc w:val="center"/>
              <w:rPr>
                <w:sz w:val="24"/>
                <w:szCs w:val="24"/>
              </w:rPr>
            </w:pPr>
          </w:p>
        </w:tc>
        <w:tc>
          <w:tcPr>
            <w:tcW w:w="30" w:type="dxa"/>
            <w:vAlign w:val="bottom"/>
          </w:tcPr>
          <w:p w14:paraId="281A59F9" w14:textId="77777777" w:rsidR="004647B9" w:rsidRDefault="004647B9" w:rsidP="003521AE">
            <w:pPr>
              <w:rPr>
                <w:sz w:val="1"/>
                <w:szCs w:val="1"/>
              </w:rPr>
            </w:pPr>
          </w:p>
        </w:tc>
      </w:tr>
      <w:tr w:rsidR="004647B9" w14:paraId="281A5A01" w14:textId="77777777" w:rsidTr="000774E6">
        <w:trPr>
          <w:trHeight w:val="281"/>
        </w:trPr>
        <w:tc>
          <w:tcPr>
            <w:tcW w:w="1900" w:type="dxa"/>
            <w:tcBorders>
              <w:left w:val="single" w:sz="8" w:space="0" w:color="auto"/>
              <w:right w:val="single" w:sz="8" w:space="0" w:color="auto"/>
            </w:tcBorders>
            <w:vAlign w:val="bottom"/>
          </w:tcPr>
          <w:p w14:paraId="281A59FB" w14:textId="56B15B2F" w:rsidR="004647B9" w:rsidRDefault="004647B9" w:rsidP="003521AE">
            <w:pPr>
              <w:ind w:left="40"/>
              <w:rPr>
                <w:sz w:val="20"/>
                <w:szCs w:val="20"/>
              </w:rPr>
            </w:pPr>
          </w:p>
        </w:tc>
        <w:tc>
          <w:tcPr>
            <w:tcW w:w="2600" w:type="dxa"/>
            <w:tcBorders>
              <w:right w:val="single" w:sz="8" w:space="0" w:color="auto"/>
            </w:tcBorders>
            <w:vAlign w:val="center"/>
          </w:tcPr>
          <w:p w14:paraId="281A59FC" w14:textId="77777777" w:rsidR="004647B9" w:rsidRDefault="00E2436F" w:rsidP="003521AE">
            <w:pPr>
              <w:ind w:left="20"/>
              <w:rPr>
                <w:sz w:val="20"/>
                <w:szCs w:val="20"/>
              </w:rPr>
            </w:pPr>
            <w:r>
              <w:rPr>
                <w:rFonts w:eastAsia="Times New Roman"/>
                <w:sz w:val="24"/>
                <w:szCs w:val="24"/>
              </w:rPr>
              <w:t>DPD Colorimetric</w:t>
            </w:r>
          </w:p>
        </w:tc>
        <w:tc>
          <w:tcPr>
            <w:tcW w:w="1440" w:type="dxa"/>
            <w:tcBorders>
              <w:right w:val="single" w:sz="8" w:space="0" w:color="auto"/>
            </w:tcBorders>
            <w:vAlign w:val="center"/>
          </w:tcPr>
          <w:p w14:paraId="281A59FD" w14:textId="77777777" w:rsidR="004647B9" w:rsidRPr="005A2AD9" w:rsidRDefault="00E2436F" w:rsidP="003521AE">
            <w:pPr>
              <w:jc w:val="center"/>
              <w:rPr>
                <w:rFonts w:eastAsia="Times New Roman"/>
                <w:w w:val="99"/>
                <w:sz w:val="24"/>
                <w:szCs w:val="24"/>
              </w:rPr>
            </w:pPr>
            <w:r>
              <w:rPr>
                <w:rFonts w:eastAsia="Times New Roman"/>
                <w:w w:val="99"/>
                <w:sz w:val="24"/>
                <w:szCs w:val="24"/>
              </w:rPr>
              <w:t>4500-Cl G</w:t>
            </w:r>
          </w:p>
        </w:tc>
        <w:tc>
          <w:tcPr>
            <w:tcW w:w="1900" w:type="dxa"/>
            <w:tcBorders>
              <w:right w:val="single" w:sz="8" w:space="0" w:color="auto"/>
            </w:tcBorders>
            <w:vAlign w:val="center"/>
          </w:tcPr>
          <w:p w14:paraId="281A59FE" w14:textId="77777777" w:rsidR="004647B9" w:rsidRDefault="00E2436F" w:rsidP="003521AE">
            <w:pPr>
              <w:jc w:val="center"/>
              <w:rPr>
                <w:sz w:val="20"/>
                <w:szCs w:val="20"/>
              </w:rPr>
            </w:pPr>
            <w:r>
              <w:rPr>
                <w:rFonts w:eastAsia="Times New Roman"/>
                <w:sz w:val="24"/>
                <w:szCs w:val="24"/>
              </w:rPr>
              <w:t>4500 C1 G-00</w:t>
            </w:r>
          </w:p>
        </w:tc>
        <w:tc>
          <w:tcPr>
            <w:tcW w:w="2320" w:type="dxa"/>
            <w:tcBorders>
              <w:right w:val="single" w:sz="8" w:space="0" w:color="auto"/>
            </w:tcBorders>
            <w:vAlign w:val="center"/>
          </w:tcPr>
          <w:p w14:paraId="281A59FF" w14:textId="77777777" w:rsidR="004647B9" w:rsidRDefault="004647B9" w:rsidP="003521AE">
            <w:pPr>
              <w:jc w:val="center"/>
              <w:rPr>
                <w:sz w:val="24"/>
                <w:szCs w:val="24"/>
              </w:rPr>
            </w:pPr>
          </w:p>
        </w:tc>
        <w:tc>
          <w:tcPr>
            <w:tcW w:w="30" w:type="dxa"/>
            <w:vAlign w:val="bottom"/>
          </w:tcPr>
          <w:p w14:paraId="281A5A00" w14:textId="77777777" w:rsidR="004647B9" w:rsidRDefault="004647B9" w:rsidP="003521AE">
            <w:pPr>
              <w:rPr>
                <w:sz w:val="1"/>
                <w:szCs w:val="1"/>
              </w:rPr>
            </w:pPr>
          </w:p>
        </w:tc>
      </w:tr>
      <w:tr w:rsidR="004647B9" w14:paraId="281A5A08" w14:textId="77777777" w:rsidTr="000774E6">
        <w:trPr>
          <w:trHeight w:val="278"/>
        </w:trPr>
        <w:tc>
          <w:tcPr>
            <w:tcW w:w="1900" w:type="dxa"/>
            <w:tcBorders>
              <w:left w:val="single" w:sz="8" w:space="0" w:color="auto"/>
              <w:right w:val="single" w:sz="8" w:space="0" w:color="auto"/>
            </w:tcBorders>
            <w:vAlign w:val="bottom"/>
          </w:tcPr>
          <w:p w14:paraId="281A5A02" w14:textId="77777777" w:rsidR="004647B9" w:rsidRDefault="004647B9" w:rsidP="003521AE">
            <w:pPr>
              <w:rPr>
                <w:sz w:val="24"/>
                <w:szCs w:val="24"/>
              </w:rPr>
            </w:pPr>
          </w:p>
        </w:tc>
        <w:tc>
          <w:tcPr>
            <w:tcW w:w="2600" w:type="dxa"/>
            <w:tcBorders>
              <w:right w:val="single" w:sz="8" w:space="0" w:color="auto"/>
            </w:tcBorders>
            <w:vAlign w:val="center"/>
          </w:tcPr>
          <w:p w14:paraId="281A5A03" w14:textId="77777777" w:rsidR="004647B9" w:rsidRDefault="00E2436F" w:rsidP="003521AE">
            <w:pPr>
              <w:ind w:left="20"/>
              <w:rPr>
                <w:sz w:val="20"/>
                <w:szCs w:val="20"/>
              </w:rPr>
            </w:pPr>
            <w:r>
              <w:rPr>
                <w:rFonts w:eastAsia="Times New Roman"/>
                <w:sz w:val="24"/>
                <w:szCs w:val="24"/>
              </w:rPr>
              <w:t>Iodometric Electrode</w:t>
            </w:r>
          </w:p>
        </w:tc>
        <w:tc>
          <w:tcPr>
            <w:tcW w:w="1440" w:type="dxa"/>
            <w:tcBorders>
              <w:right w:val="single" w:sz="8" w:space="0" w:color="auto"/>
            </w:tcBorders>
            <w:vAlign w:val="center"/>
          </w:tcPr>
          <w:p w14:paraId="281A5A04" w14:textId="77777777" w:rsidR="004647B9" w:rsidRPr="005A2AD9" w:rsidRDefault="00E2436F" w:rsidP="003521AE">
            <w:pPr>
              <w:jc w:val="center"/>
              <w:rPr>
                <w:rFonts w:eastAsia="Times New Roman"/>
                <w:w w:val="99"/>
                <w:sz w:val="24"/>
                <w:szCs w:val="24"/>
              </w:rPr>
            </w:pPr>
            <w:r w:rsidRPr="005A2AD9">
              <w:rPr>
                <w:rFonts w:eastAsia="Times New Roman"/>
                <w:w w:val="99"/>
                <w:sz w:val="24"/>
                <w:szCs w:val="24"/>
              </w:rPr>
              <w:t>4500-Cl I</w:t>
            </w:r>
          </w:p>
        </w:tc>
        <w:tc>
          <w:tcPr>
            <w:tcW w:w="1900" w:type="dxa"/>
            <w:tcBorders>
              <w:right w:val="single" w:sz="8" w:space="0" w:color="auto"/>
            </w:tcBorders>
            <w:vAlign w:val="center"/>
          </w:tcPr>
          <w:p w14:paraId="281A5A05" w14:textId="77777777" w:rsidR="004647B9" w:rsidRDefault="00E2436F" w:rsidP="003521AE">
            <w:pPr>
              <w:jc w:val="center"/>
              <w:rPr>
                <w:sz w:val="20"/>
                <w:szCs w:val="20"/>
              </w:rPr>
            </w:pPr>
            <w:r>
              <w:rPr>
                <w:rFonts w:eastAsia="Times New Roman"/>
                <w:w w:val="99"/>
                <w:sz w:val="24"/>
                <w:szCs w:val="24"/>
              </w:rPr>
              <w:t>4500 C1 I-00</w:t>
            </w:r>
          </w:p>
        </w:tc>
        <w:tc>
          <w:tcPr>
            <w:tcW w:w="2320" w:type="dxa"/>
            <w:tcBorders>
              <w:right w:val="single" w:sz="8" w:space="0" w:color="auto"/>
            </w:tcBorders>
            <w:vAlign w:val="center"/>
          </w:tcPr>
          <w:p w14:paraId="281A5A06" w14:textId="77777777" w:rsidR="004647B9" w:rsidRDefault="004647B9" w:rsidP="003521AE">
            <w:pPr>
              <w:jc w:val="center"/>
              <w:rPr>
                <w:sz w:val="24"/>
                <w:szCs w:val="24"/>
              </w:rPr>
            </w:pPr>
          </w:p>
        </w:tc>
        <w:tc>
          <w:tcPr>
            <w:tcW w:w="30" w:type="dxa"/>
            <w:vAlign w:val="bottom"/>
          </w:tcPr>
          <w:p w14:paraId="281A5A07" w14:textId="77777777" w:rsidR="004647B9" w:rsidRDefault="004647B9" w:rsidP="003521AE">
            <w:pPr>
              <w:rPr>
                <w:sz w:val="1"/>
                <w:szCs w:val="1"/>
              </w:rPr>
            </w:pPr>
          </w:p>
        </w:tc>
      </w:tr>
      <w:tr w:rsidR="004647B9" w14:paraId="281A5A0F" w14:textId="77777777" w:rsidTr="000774E6">
        <w:trPr>
          <w:trHeight w:val="293"/>
        </w:trPr>
        <w:tc>
          <w:tcPr>
            <w:tcW w:w="1900" w:type="dxa"/>
            <w:tcBorders>
              <w:left w:val="single" w:sz="8" w:space="0" w:color="auto"/>
              <w:right w:val="single" w:sz="8" w:space="0" w:color="auto"/>
            </w:tcBorders>
            <w:vAlign w:val="bottom"/>
          </w:tcPr>
          <w:p w14:paraId="281A5A09" w14:textId="21B5043D" w:rsidR="004647B9" w:rsidRDefault="001F642F" w:rsidP="003521AE">
            <w:pPr>
              <w:rPr>
                <w:sz w:val="24"/>
                <w:szCs w:val="24"/>
              </w:rPr>
            </w:pPr>
            <w:r>
              <w:rPr>
                <w:rFonts w:eastAsia="Times New Roman"/>
                <w:sz w:val="24"/>
                <w:szCs w:val="24"/>
              </w:rPr>
              <w:t>Chlorine Dioxide</w:t>
            </w:r>
          </w:p>
        </w:tc>
        <w:tc>
          <w:tcPr>
            <w:tcW w:w="2600" w:type="dxa"/>
            <w:tcBorders>
              <w:right w:val="single" w:sz="8" w:space="0" w:color="auto"/>
            </w:tcBorders>
            <w:vAlign w:val="center"/>
          </w:tcPr>
          <w:p w14:paraId="281A5A0A" w14:textId="77777777" w:rsidR="004647B9" w:rsidRDefault="00E2436F" w:rsidP="003521AE">
            <w:pPr>
              <w:ind w:left="20"/>
              <w:rPr>
                <w:sz w:val="20"/>
                <w:szCs w:val="20"/>
              </w:rPr>
            </w:pPr>
            <w:r>
              <w:rPr>
                <w:rFonts w:eastAsia="Times New Roman"/>
                <w:sz w:val="24"/>
                <w:szCs w:val="24"/>
              </w:rPr>
              <w:t>Amperometric Titration</w:t>
            </w:r>
          </w:p>
        </w:tc>
        <w:tc>
          <w:tcPr>
            <w:tcW w:w="1440" w:type="dxa"/>
            <w:tcBorders>
              <w:right w:val="single" w:sz="8" w:space="0" w:color="auto"/>
            </w:tcBorders>
            <w:vAlign w:val="center"/>
          </w:tcPr>
          <w:p w14:paraId="281A5A0B" w14:textId="77777777" w:rsidR="004647B9" w:rsidRPr="005A2AD9" w:rsidRDefault="00E2436F" w:rsidP="003521AE">
            <w:pPr>
              <w:jc w:val="center"/>
              <w:rPr>
                <w:rFonts w:eastAsia="Times New Roman"/>
                <w:w w:val="99"/>
                <w:sz w:val="24"/>
                <w:szCs w:val="24"/>
              </w:rPr>
            </w:pPr>
            <w:r>
              <w:rPr>
                <w:rFonts w:eastAsia="Times New Roman"/>
                <w:w w:val="99"/>
                <w:sz w:val="24"/>
                <w:szCs w:val="24"/>
              </w:rPr>
              <w:t>4500-ClO</w:t>
            </w:r>
            <w:r w:rsidRPr="00912EBA">
              <w:rPr>
                <w:rFonts w:eastAsia="Times New Roman"/>
                <w:w w:val="99"/>
                <w:sz w:val="24"/>
                <w:szCs w:val="24"/>
                <w:vertAlign w:val="subscript"/>
              </w:rPr>
              <w:t>2</w:t>
            </w:r>
            <w:r>
              <w:rPr>
                <w:rFonts w:eastAsia="Times New Roman"/>
                <w:w w:val="99"/>
                <w:sz w:val="24"/>
                <w:szCs w:val="24"/>
              </w:rPr>
              <w:t xml:space="preserve"> C</w:t>
            </w:r>
          </w:p>
        </w:tc>
        <w:tc>
          <w:tcPr>
            <w:tcW w:w="1900" w:type="dxa"/>
            <w:tcBorders>
              <w:right w:val="single" w:sz="8" w:space="0" w:color="auto"/>
            </w:tcBorders>
            <w:vAlign w:val="center"/>
          </w:tcPr>
          <w:p w14:paraId="281A5A0C" w14:textId="77777777" w:rsidR="004647B9" w:rsidRDefault="00E2436F" w:rsidP="003521AE">
            <w:pPr>
              <w:jc w:val="center"/>
              <w:rPr>
                <w:sz w:val="20"/>
                <w:szCs w:val="20"/>
              </w:rPr>
            </w:pPr>
            <w:r>
              <w:rPr>
                <w:rFonts w:eastAsia="Times New Roman"/>
                <w:w w:val="99"/>
                <w:sz w:val="24"/>
                <w:szCs w:val="24"/>
              </w:rPr>
              <w:t>4500-ClO</w:t>
            </w:r>
            <w:r w:rsidRPr="00912EBA">
              <w:rPr>
                <w:rFonts w:eastAsia="Times New Roman"/>
                <w:w w:val="99"/>
                <w:sz w:val="24"/>
                <w:szCs w:val="24"/>
                <w:vertAlign w:val="subscript"/>
              </w:rPr>
              <w:t>2</w:t>
            </w:r>
            <w:r>
              <w:rPr>
                <w:rFonts w:eastAsia="Times New Roman"/>
                <w:w w:val="99"/>
                <w:sz w:val="24"/>
                <w:szCs w:val="24"/>
              </w:rPr>
              <w:t xml:space="preserve"> C-00</w:t>
            </w:r>
          </w:p>
        </w:tc>
        <w:tc>
          <w:tcPr>
            <w:tcW w:w="2320" w:type="dxa"/>
            <w:tcBorders>
              <w:right w:val="single" w:sz="8" w:space="0" w:color="auto"/>
            </w:tcBorders>
            <w:vAlign w:val="center"/>
          </w:tcPr>
          <w:p w14:paraId="281A5A0D" w14:textId="77777777" w:rsidR="004647B9" w:rsidRDefault="004647B9" w:rsidP="003521AE">
            <w:pPr>
              <w:jc w:val="center"/>
              <w:rPr>
                <w:sz w:val="24"/>
                <w:szCs w:val="24"/>
              </w:rPr>
            </w:pPr>
          </w:p>
        </w:tc>
        <w:tc>
          <w:tcPr>
            <w:tcW w:w="30" w:type="dxa"/>
            <w:vAlign w:val="bottom"/>
          </w:tcPr>
          <w:p w14:paraId="281A5A0E" w14:textId="77777777" w:rsidR="004647B9" w:rsidRDefault="004647B9" w:rsidP="003521AE">
            <w:pPr>
              <w:rPr>
                <w:sz w:val="1"/>
                <w:szCs w:val="1"/>
              </w:rPr>
            </w:pPr>
          </w:p>
        </w:tc>
      </w:tr>
      <w:tr w:rsidR="001A5815" w14:paraId="5FDB69D1" w14:textId="77777777" w:rsidTr="000774E6">
        <w:trPr>
          <w:trHeight w:val="288"/>
        </w:trPr>
        <w:tc>
          <w:tcPr>
            <w:tcW w:w="1900" w:type="dxa"/>
            <w:tcBorders>
              <w:left w:val="single" w:sz="8" w:space="0" w:color="auto"/>
              <w:right w:val="single" w:sz="8" w:space="0" w:color="auto"/>
            </w:tcBorders>
            <w:vAlign w:val="bottom"/>
          </w:tcPr>
          <w:p w14:paraId="5C0DFBF3" w14:textId="77777777" w:rsidR="001A5815" w:rsidRDefault="001A5815" w:rsidP="003521AE">
            <w:pPr>
              <w:rPr>
                <w:sz w:val="24"/>
                <w:szCs w:val="24"/>
              </w:rPr>
            </w:pPr>
          </w:p>
        </w:tc>
        <w:tc>
          <w:tcPr>
            <w:tcW w:w="2600" w:type="dxa"/>
            <w:tcBorders>
              <w:right w:val="single" w:sz="8" w:space="0" w:color="auto"/>
            </w:tcBorders>
            <w:vAlign w:val="center"/>
          </w:tcPr>
          <w:p w14:paraId="1F877717" w14:textId="259C2D87" w:rsidR="001A5815" w:rsidRDefault="001F642F" w:rsidP="003521AE">
            <w:pPr>
              <w:ind w:left="20"/>
              <w:rPr>
                <w:rFonts w:eastAsia="Times New Roman"/>
                <w:sz w:val="24"/>
                <w:szCs w:val="24"/>
              </w:rPr>
            </w:pPr>
            <w:r>
              <w:rPr>
                <w:rFonts w:eastAsia="Times New Roman"/>
                <w:sz w:val="24"/>
                <w:szCs w:val="24"/>
              </w:rPr>
              <w:t>DPD Method</w:t>
            </w:r>
          </w:p>
        </w:tc>
        <w:tc>
          <w:tcPr>
            <w:tcW w:w="1440" w:type="dxa"/>
            <w:tcBorders>
              <w:right w:val="single" w:sz="8" w:space="0" w:color="auto"/>
            </w:tcBorders>
            <w:vAlign w:val="center"/>
          </w:tcPr>
          <w:p w14:paraId="2AF070B8" w14:textId="6638BF77" w:rsidR="001A5815" w:rsidRPr="005A2AD9" w:rsidRDefault="001A5815" w:rsidP="003521AE">
            <w:pPr>
              <w:jc w:val="center"/>
              <w:rPr>
                <w:rFonts w:eastAsia="Times New Roman"/>
                <w:w w:val="99"/>
                <w:sz w:val="24"/>
                <w:szCs w:val="24"/>
              </w:rPr>
            </w:pPr>
            <w:r w:rsidRPr="005A2AD9">
              <w:rPr>
                <w:rFonts w:eastAsia="Times New Roman"/>
                <w:w w:val="99"/>
                <w:sz w:val="24"/>
                <w:szCs w:val="24"/>
              </w:rPr>
              <w:t>4500-ClO</w:t>
            </w:r>
            <w:r w:rsidRPr="00912EBA">
              <w:rPr>
                <w:rFonts w:eastAsia="Times New Roman"/>
                <w:w w:val="99"/>
                <w:sz w:val="24"/>
                <w:szCs w:val="24"/>
                <w:vertAlign w:val="subscript"/>
              </w:rPr>
              <w:t>2</w:t>
            </w:r>
            <w:r w:rsidRPr="005A2AD9">
              <w:rPr>
                <w:rFonts w:eastAsia="Times New Roman"/>
                <w:w w:val="99"/>
                <w:sz w:val="24"/>
                <w:szCs w:val="24"/>
              </w:rPr>
              <w:t xml:space="preserve"> D</w:t>
            </w:r>
          </w:p>
        </w:tc>
        <w:tc>
          <w:tcPr>
            <w:tcW w:w="1900" w:type="dxa"/>
            <w:tcBorders>
              <w:right w:val="single" w:sz="8" w:space="0" w:color="auto"/>
            </w:tcBorders>
            <w:vAlign w:val="center"/>
          </w:tcPr>
          <w:p w14:paraId="652101A2" w14:textId="77777777" w:rsidR="001A5815" w:rsidRDefault="001A5815" w:rsidP="003521AE">
            <w:pPr>
              <w:jc w:val="center"/>
              <w:rPr>
                <w:sz w:val="20"/>
                <w:szCs w:val="20"/>
              </w:rPr>
            </w:pPr>
          </w:p>
        </w:tc>
        <w:tc>
          <w:tcPr>
            <w:tcW w:w="2320" w:type="dxa"/>
            <w:tcBorders>
              <w:right w:val="single" w:sz="8" w:space="0" w:color="auto"/>
            </w:tcBorders>
            <w:vAlign w:val="center"/>
          </w:tcPr>
          <w:p w14:paraId="3E4885EF" w14:textId="77777777" w:rsidR="001A5815" w:rsidRDefault="001A5815" w:rsidP="003521AE">
            <w:pPr>
              <w:jc w:val="center"/>
              <w:rPr>
                <w:sz w:val="24"/>
                <w:szCs w:val="24"/>
              </w:rPr>
            </w:pPr>
          </w:p>
        </w:tc>
        <w:tc>
          <w:tcPr>
            <w:tcW w:w="30" w:type="dxa"/>
            <w:vAlign w:val="bottom"/>
          </w:tcPr>
          <w:p w14:paraId="7F46F2BE" w14:textId="77777777" w:rsidR="001A5815" w:rsidRDefault="001A5815" w:rsidP="003521AE">
            <w:pPr>
              <w:rPr>
                <w:sz w:val="1"/>
                <w:szCs w:val="1"/>
              </w:rPr>
            </w:pPr>
          </w:p>
        </w:tc>
      </w:tr>
      <w:tr w:rsidR="00912EBA" w14:paraId="281A5A2B" w14:textId="77777777" w:rsidTr="000774E6">
        <w:trPr>
          <w:trHeight w:val="288"/>
        </w:trPr>
        <w:tc>
          <w:tcPr>
            <w:tcW w:w="1900" w:type="dxa"/>
            <w:tcBorders>
              <w:left w:val="single" w:sz="8" w:space="0" w:color="auto"/>
              <w:right w:val="single" w:sz="8" w:space="0" w:color="auto"/>
            </w:tcBorders>
            <w:vAlign w:val="bottom"/>
          </w:tcPr>
          <w:p w14:paraId="281A5A25" w14:textId="77777777" w:rsidR="00912EBA" w:rsidRDefault="00912EBA" w:rsidP="003521AE">
            <w:pPr>
              <w:jc w:val="center"/>
              <w:rPr>
                <w:sz w:val="24"/>
                <w:szCs w:val="24"/>
              </w:rPr>
            </w:pPr>
          </w:p>
        </w:tc>
        <w:tc>
          <w:tcPr>
            <w:tcW w:w="2600" w:type="dxa"/>
            <w:tcBorders>
              <w:right w:val="single" w:sz="8" w:space="0" w:color="auto"/>
            </w:tcBorders>
            <w:vAlign w:val="center"/>
          </w:tcPr>
          <w:p w14:paraId="281A5A26" w14:textId="77777777" w:rsidR="00912EBA" w:rsidRDefault="00912EBA" w:rsidP="003521AE">
            <w:pPr>
              <w:ind w:left="20"/>
              <w:rPr>
                <w:sz w:val="20"/>
                <w:szCs w:val="20"/>
              </w:rPr>
            </w:pPr>
            <w:r>
              <w:rPr>
                <w:rFonts w:eastAsia="Times New Roman"/>
                <w:sz w:val="24"/>
                <w:szCs w:val="24"/>
              </w:rPr>
              <w:t>Amperometric Titration</w:t>
            </w:r>
          </w:p>
        </w:tc>
        <w:tc>
          <w:tcPr>
            <w:tcW w:w="1440" w:type="dxa"/>
            <w:tcBorders>
              <w:right w:val="single" w:sz="8" w:space="0" w:color="auto"/>
            </w:tcBorders>
            <w:vAlign w:val="center"/>
          </w:tcPr>
          <w:p w14:paraId="281A5A27" w14:textId="68F8774E" w:rsidR="00912EBA" w:rsidRPr="005A2AD9" w:rsidRDefault="001F642F" w:rsidP="003521AE">
            <w:pPr>
              <w:jc w:val="center"/>
              <w:rPr>
                <w:rFonts w:eastAsia="Times New Roman"/>
                <w:w w:val="99"/>
                <w:sz w:val="24"/>
                <w:szCs w:val="24"/>
              </w:rPr>
            </w:pPr>
            <w:r w:rsidRPr="005A2AD9">
              <w:rPr>
                <w:rFonts w:eastAsia="Times New Roman"/>
                <w:w w:val="99"/>
                <w:sz w:val="24"/>
                <w:szCs w:val="24"/>
              </w:rPr>
              <w:t>4500-ClO</w:t>
            </w:r>
            <w:r w:rsidRPr="00912EBA">
              <w:rPr>
                <w:rFonts w:eastAsia="Times New Roman"/>
                <w:w w:val="99"/>
                <w:sz w:val="24"/>
                <w:szCs w:val="24"/>
                <w:vertAlign w:val="subscript"/>
              </w:rPr>
              <w:t>2</w:t>
            </w:r>
            <w:r w:rsidRPr="005A2AD9">
              <w:rPr>
                <w:rFonts w:eastAsia="Times New Roman"/>
                <w:w w:val="99"/>
                <w:sz w:val="24"/>
                <w:szCs w:val="24"/>
              </w:rPr>
              <w:t xml:space="preserve"> E</w:t>
            </w:r>
          </w:p>
        </w:tc>
        <w:tc>
          <w:tcPr>
            <w:tcW w:w="1900" w:type="dxa"/>
            <w:tcBorders>
              <w:right w:val="single" w:sz="8" w:space="0" w:color="auto"/>
            </w:tcBorders>
            <w:vAlign w:val="center"/>
          </w:tcPr>
          <w:p w14:paraId="281A5A28" w14:textId="5D8024B1" w:rsidR="00912EBA" w:rsidRDefault="0058464A" w:rsidP="003521AE">
            <w:pPr>
              <w:jc w:val="center"/>
              <w:rPr>
                <w:sz w:val="20"/>
                <w:szCs w:val="20"/>
              </w:rPr>
            </w:pPr>
            <w:r>
              <w:rPr>
                <w:rFonts w:eastAsia="Times New Roman"/>
                <w:sz w:val="24"/>
                <w:szCs w:val="24"/>
              </w:rPr>
              <w:t>4500 C1O</w:t>
            </w:r>
            <w:r w:rsidRPr="00912EBA">
              <w:rPr>
                <w:rFonts w:eastAsia="Times New Roman"/>
                <w:sz w:val="24"/>
                <w:szCs w:val="24"/>
                <w:vertAlign w:val="subscript"/>
              </w:rPr>
              <w:t>2</w:t>
            </w:r>
            <w:r>
              <w:rPr>
                <w:rFonts w:eastAsia="Times New Roman"/>
                <w:sz w:val="24"/>
                <w:szCs w:val="24"/>
                <w:vertAlign w:val="subscript"/>
              </w:rPr>
              <w:t xml:space="preserve"> </w:t>
            </w:r>
            <w:r>
              <w:rPr>
                <w:rFonts w:eastAsia="Times New Roman"/>
                <w:w w:val="98"/>
                <w:sz w:val="24"/>
                <w:szCs w:val="24"/>
              </w:rPr>
              <w:t>E-00</w:t>
            </w:r>
          </w:p>
        </w:tc>
        <w:tc>
          <w:tcPr>
            <w:tcW w:w="2320" w:type="dxa"/>
            <w:tcBorders>
              <w:right w:val="single" w:sz="8" w:space="0" w:color="auto"/>
            </w:tcBorders>
            <w:vAlign w:val="center"/>
          </w:tcPr>
          <w:p w14:paraId="281A5A29" w14:textId="77777777" w:rsidR="00912EBA" w:rsidRDefault="00912EBA" w:rsidP="003521AE">
            <w:pPr>
              <w:jc w:val="center"/>
              <w:rPr>
                <w:sz w:val="24"/>
                <w:szCs w:val="24"/>
              </w:rPr>
            </w:pPr>
          </w:p>
        </w:tc>
        <w:tc>
          <w:tcPr>
            <w:tcW w:w="30" w:type="dxa"/>
            <w:vAlign w:val="bottom"/>
          </w:tcPr>
          <w:p w14:paraId="281A5A2A" w14:textId="77777777" w:rsidR="00912EBA" w:rsidRDefault="00912EBA" w:rsidP="003521AE">
            <w:pPr>
              <w:rPr>
                <w:sz w:val="1"/>
                <w:szCs w:val="1"/>
              </w:rPr>
            </w:pPr>
          </w:p>
        </w:tc>
      </w:tr>
      <w:tr w:rsidR="00912EBA" w14:paraId="281A5A32" w14:textId="77777777" w:rsidTr="000C4E8A">
        <w:trPr>
          <w:trHeight w:hRule="exact" w:val="288"/>
        </w:trPr>
        <w:tc>
          <w:tcPr>
            <w:tcW w:w="1900" w:type="dxa"/>
            <w:tcBorders>
              <w:left w:val="single" w:sz="8" w:space="0" w:color="auto"/>
              <w:right w:val="single" w:sz="8" w:space="0" w:color="auto"/>
            </w:tcBorders>
            <w:vAlign w:val="bottom"/>
          </w:tcPr>
          <w:p w14:paraId="35ACF6C1" w14:textId="2FE59F9F" w:rsidR="00912EBA" w:rsidRDefault="00912EBA" w:rsidP="003521AE">
            <w:pPr>
              <w:ind w:left="40"/>
              <w:rPr>
                <w:rFonts w:eastAsia="Times New Roman"/>
                <w:sz w:val="24"/>
                <w:szCs w:val="24"/>
              </w:rPr>
            </w:pPr>
          </w:p>
          <w:p w14:paraId="281A5A2C" w14:textId="797C6EA0" w:rsidR="00912EBA" w:rsidRDefault="00912EBA" w:rsidP="003521AE">
            <w:pPr>
              <w:ind w:left="40"/>
              <w:rPr>
                <w:sz w:val="20"/>
                <w:szCs w:val="20"/>
              </w:rPr>
            </w:pPr>
          </w:p>
        </w:tc>
        <w:tc>
          <w:tcPr>
            <w:tcW w:w="2600" w:type="dxa"/>
            <w:tcBorders>
              <w:right w:val="single" w:sz="8" w:space="0" w:color="auto"/>
            </w:tcBorders>
            <w:vAlign w:val="center"/>
          </w:tcPr>
          <w:p w14:paraId="281A5A2D" w14:textId="77777777" w:rsidR="00912EBA" w:rsidRDefault="00912EBA" w:rsidP="003521AE">
            <w:pPr>
              <w:ind w:left="20"/>
              <w:rPr>
                <w:sz w:val="20"/>
                <w:szCs w:val="20"/>
              </w:rPr>
            </w:pPr>
            <w:r>
              <w:rPr>
                <w:rFonts w:eastAsia="Times New Roman"/>
                <w:sz w:val="24"/>
                <w:szCs w:val="24"/>
              </w:rPr>
              <w:t>Spectrophotometric</w:t>
            </w:r>
          </w:p>
        </w:tc>
        <w:tc>
          <w:tcPr>
            <w:tcW w:w="1440" w:type="dxa"/>
            <w:tcBorders>
              <w:right w:val="single" w:sz="8" w:space="0" w:color="auto"/>
            </w:tcBorders>
            <w:vAlign w:val="center"/>
          </w:tcPr>
          <w:p w14:paraId="281A5A2E" w14:textId="1866BF0B" w:rsidR="00912EBA" w:rsidRPr="005A2AD9" w:rsidRDefault="00912EBA" w:rsidP="003521AE">
            <w:pPr>
              <w:jc w:val="center"/>
              <w:rPr>
                <w:rFonts w:eastAsia="Times New Roman"/>
                <w:w w:val="99"/>
                <w:sz w:val="24"/>
                <w:szCs w:val="24"/>
              </w:rPr>
            </w:pPr>
          </w:p>
        </w:tc>
        <w:tc>
          <w:tcPr>
            <w:tcW w:w="1900" w:type="dxa"/>
            <w:tcBorders>
              <w:right w:val="single" w:sz="8" w:space="0" w:color="auto"/>
            </w:tcBorders>
            <w:vAlign w:val="center"/>
          </w:tcPr>
          <w:p w14:paraId="281A5A2F" w14:textId="77777777" w:rsidR="00912EBA" w:rsidRDefault="00912EBA" w:rsidP="003521AE">
            <w:pPr>
              <w:jc w:val="center"/>
              <w:rPr>
                <w:sz w:val="24"/>
                <w:szCs w:val="24"/>
              </w:rPr>
            </w:pPr>
          </w:p>
        </w:tc>
        <w:tc>
          <w:tcPr>
            <w:tcW w:w="2320" w:type="dxa"/>
            <w:tcBorders>
              <w:right w:val="single" w:sz="8" w:space="0" w:color="auto"/>
            </w:tcBorders>
            <w:vAlign w:val="center"/>
          </w:tcPr>
          <w:p w14:paraId="281A5A30" w14:textId="77777777" w:rsidR="00912EBA" w:rsidRPr="00F430E4" w:rsidRDefault="00912EBA" w:rsidP="003521AE">
            <w:pPr>
              <w:jc w:val="center"/>
              <w:rPr>
                <w:rFonts w:eastAsia="Times New Roman"/>
                <w:sz w:val="24"/>
                <w:szCs w:val="24"/>
              </w:rPr>
            </w:pPr>
            <w:r w:rsidRPr="00F430E4">
              <w:rPr>
                <w:rFonts w:eastAsia="Times New Roman"/>
                <w:sz w:val="24"/>
                <w:szCs w:val="24"/>
              </w:rPr>
              <w:t>327.0, Revision 1.1</w:t>
            </w:r>
            <w:r w:rsidRPr="00F430E4">
              <w:rPr>
                <w:rFonts w:eastAsia="Times New Roman"/>
                <w:sz w:val="24"/>
                <w:szCs w:val="24"/>
                <w:vertAlign w:val="superscript"/>
              </w:rPr>
              <w:t>4</w:t>
            </w:r>
          </w:p>
        </w:tc>
        <w:tc>
          <w:tcPr>
            <w:tcW w:w="30" w:type="dxa"/>
            <w:vAlign w:val="bottom"/>
          </w:tcPr>
          <w:p w14:paraId="281A5A31" w14:textId="77777777" w:rsidR="00912EBA" w:rsidRDefault="00912EBA" w:rsidP="003521AE">
            <w:pPr>
              <w:rPr>
                <w:sz w:val="1"/>
                <w:szCs w:val="1"/>
              </w:rPr>
            </w:pPr>
          </w:p>
        </w:tc>
      </w:tr>
      <w:tr w:rsidR="00912EBA" w14:paraId="281A5A39" w14:textId="77777777" w:rsidTr="000774E6">
        <w:trPr>
          <w:trHeight w:val="182"/>
        </w:trPr>
        <w:tc>
          <w:tcPr>
            <w:tcW w:w="1900" w:type="dxa"/>
            <w:tcBorders>
              <w:left w:val="single" w:sz="8" w:space="0" w:color="auto"/>
              <w:bottom w:val="single" w:sz="8" w:space="0" w:color="auto"/>
              <w:right w:val="single" w:sz="8" w:space="0" w:color="auto"/>
            </w:tcBorders>
            <w:vAlign w:val="bottom"/>
          </w:tcPr>
          <w:p w14:paraId="281A5A33" w14:textId="135BEFD7" w:rsidR="00912EBA" w:rsidRDefault="001F642F" w:rsidP="003521AE">
            <w:pPr>
              <w:rPr>
                <w:sz w:val="15"/>
                <w:szCs w:val="15"/>
              </w:rPr>
            </w:pPr>
            <w:r>
              <w:rPr>
                <w:rFonts w:eastAsia="Times New Roman"/>
                <w:sz w:val="24"/>
                <w:szCs w:val="24"/>
              </w:rPr>
              <w:t>Ozone</w:t>
            </w:r>
          </w:p>
        </w:tc>
        <w:tc>
          <w:tcPr>
            <w:tcW w:w="2600" w:type="dxa"/>
            <w:tcBorders>
              <w:bottom w:val="single" w:sz="8" w:space="0" w:color="auto"/>
              <w:right w:val="single" w:sz="8" w:space="0" w:color="auto"/>
            </w:tcBorders>
            <w:vAlign w:val="center"/>
          </w:tcPr>
          <w:p w14:paraId="281A5A34" w14:textId="2E0896BA" w:rsidR="00912EBA" w:rsidRDefault="0058464A" w:rsidP="003521AE">
            <w:pPr>
              <w:rPr>
                <w:sz w:val="15"/>
                <w:szCs w:val="15"/>
              </w:rPr>
            </w:pPr>
            <w:r>
              <w:rPr>
                <w:rFonts w:eastAsia="Times New Roman"/>
                <w:sz w:val="24"/>
                <w:szCs w:val="24"/>
              </w:rPr>
              <w:t>Indigo Method</w:t>
            </w:r>
          </w:p>
        </w:tc>
        <w:tc>
          <w:tcPr>
            <w:tcW w:w="1440" w:type="dxa"/>
            <w:tcBorders>
              <w:bottom w:val="single" w:sz="8" w:space="0" w:color="auto"/>
              <w:right w:val="single" w:sz="8" w:space="0" w:color="auto"/>
            </w:tcBorders>
            <w:vAlign w:val="center"/>
          </w:tcPr>
          <w:p w14:paraId="281A5A35" w14:textId="72A2782D" w:rsidR="00912EBA" w:rsidRPr="005A2AD9" w:rsidRDefault="001F642F" w:rsidP="003521AE">
            <w:pPr>
              <w:jc w:val="center"/>
              <w:rPr>
                <w:rFonts w:eastAsia="Times New Roman"/>
                <w:w w:val="99"/>
                <w:sz w:val="24"/>
                <w:szCs w:val="24"/>
              </w:rPr>
            </w:pPr>
            <w:r w:rsidRPr="005A2AD9">
              <w:rPr>
                <w:rFonts w:eastAsia="Times New Roman"/>
                <w:w w:val="99"/>
                <w:sz w:val="24"/>
                <w:szCs w:val="24"/>
              </w:rPr>
              <w:t>4500-O</w:t>
            </w:r>
            <w:r w:rsidRPr="00912EBA">
              <w:rPr>
                <w:rFonts w:eastAsia="Times New Roman"/>
                <w:w w:val="99"/>
                <w:sz w:val="24"/>
                <w:szCs w:val="24"/>
                <w:vertAlign w:val="subscript"/>
              </w:rPr>
              <w:t>3</w:t>
            </w:r>
            <w:r w:rsidRPr="005A2AD9">
              <w:rPr>
                <w:rFonts w:eastAsia="Times New Roman"/>
                <w:w w:val="99"/>
                <w:sz w:val="24"/>
                <w:szCs w:val="24"/>
              </w:rPr>
              <w:t xml:space="preserve"> B</w:t>
            </w:r>
          </w:p>
        </w:tc>
        <w:tc>
          <w:tcPr>
            <w:tcW w:w="1900" w:type="dxa"/>
            <w:tcBorders>
              <w:bottom w:val="single" w:sz="8" w:space="0" w:color="auto"/>
              <w:right w:val="single" w:sz="8" w:space="0" w:color="auto"/>
            </w:tcBorders>
            <w:vAlign w:val="center"/>
          </w:tcPr>
          <w:p w14:paraId="281A5A36" w14:textId="29482F8C" w:rsidR="00912EBA" w:rsidRDefault="0058464A" w:rsidP="003521AE">
            <w:pPr>
              <w:jc w:val="center"/>
              <w:rPr>
                <w:sz w:val="15"/>
                <w:szCs w:val="15"/>
              </w:rPr>
            </w:pPr>
            <w:r>
              <w:rPr>
                <w:rFonts w:eastAsia="Times New Roman"/>
                <w:sz w:val="24"/>
                <w:szCs w:val="24"/>
              </w:rPr>
              <w:t>4500-O</w:t>
            </w:r>
            <w:r w:rsidRPr="009324A2">
              <w:rPr>
                <w:rFonts w:eastAsia="Times New Roman"/>
                <w:sz w:val="24"/>
                <w:szCs w:val="24"/>
                <w:vertAlign w:val="subscript"/>
              </w:rPr>
              <w:t>3</w:t>
            </w:r>
            <w:r>
              <w:rPr>
                <w:rFonts w:eastAsia="Times New Roman"/>
                <w:sz w:val="24"/>
                <w:szCs w:val="24"/>
              </w:rPr>
              <w:t xml:space="preserve"> B-97</w:t>
            </w:r>
          </w:p>
        </w:tc>
        <w:tc>
          <w:tcPr>
            <w:tcW w:w="2320" w:type="dxa"/>
            <w:tcBorders>
              <w:bottom w:val="single" w:sz="8" w:space="0" w:color="auto"/>
              <w:right w:val="single" w:sz="8" w:space="0" w:color="auto"/>
            </w:tcBorders>
            <w:vAlign w:val="center"/>
          </w:tcPr>
          <w:p w14:paraId="281A5A37" w14:textId="77777777" w:rsidR="00912EBA" w:rsidRDefault="00912EBA" w:rsidP="003521AE">
            <w:pPr>
              <w:jc w:val="center"/>
              <w:rPr>
                <w:sz w:val="15"/>
                <w:szCs w:val="15"/>
              </w:rPr>
            </w:pPr>
          </w:p>
        </w:tc>
        <w:tc>
          <w:tcPr>
            <w:tcW w:w="30" w:type="dxa"/>
            <w:vAlign w:val="bottom"/>
          </w:tcPr>
          <w:p w14:paraId="281A5A38" w14:textId="77777777" w:rsidR="00912EBA" w:rsidRDefault="00912EBA" w:rsidP="003521AE">
            <w:pPr>
              <w:rPr>
                <w:sz w:val="1"/>
                <w:szCs w:val="1"/>
              </w:rPr>
            </w:pPr>
          </w:p>
        </w:tc>
      </w:tr>
    </w:tbl>
    <w:p w14:paraId="281A5A48" w14:textId="77777777" w:rsidR="004647B9" w:rsidRDefault="004647B9" w:rsidP="003521AE">
      <w:pPr>
        <w:rPr>
          <w:sz w:val="20"/>
          <w:szCs w:val="20"/>
        </w:rPr>
      </w:pPr>
    </w:p>
    <w:p w14:paraId="281A5A4A" w14:textId="2D63D6B7" w:rsidR="004647B9" w:rsidRPr="00357D61" w:rsidRDefault="00E2436F" w:rsidP="003521AE">
      <w:pPr>
        <w:pStyle w:val="ListParagraph"/>
        <w:numPr>
          <w:ilvl w:val="0"/>
          <w:numId w:val="941"/>
        </w:numPr>
        <w:ind w:right="20"/>
        <w:rPr>
          <w:sz w:val="20"/>
          <w:szCs w:val="20"/>
        </w:rPr>
      </w:pPr>
      <w:r w:rsidRPr="00357D61">
        <w:rPr>
          <w:rFonts w:eastAsia="Times New Roman"/>
          <w:sz w:val="20"/>
          <w:szCs w:val="20"/>
        </w:rPr>
        <w:t>All the listed Disinfectant residual methods are contained in the 18</w:t>
      </w:r>
      <w:r w:rsidRPr="00357D61">
        <w:rPr>
          <w:rFonts w:eastAsia="Times New Roman"/>
          <w:sz w:val="20"/>
          <w:szCs w:val="20"/>
          <w:vertAlign w:val="superscript"/>
        </w:rPr>
        <w:t>th</w:t>
      </w:r>
      <w:r w:rsidRPr="00357D61">
        <w:rPr>
          <w:rFonts w:eastAsia="Times New Roman"/>
          <w:sz w:val="20"/>
          <w:szCs w:val="20"/>
        </w:rPr>
        <w:t>, 19</w:t>
      </w:r>
      <w:r w:rsidRPr="00357D61">
        <w:rPr>
          <w:rFonts w:eastAsia="Times New Roman"/>
          <w:sz w:val="20"/>
          <w:szCs w:val="20"/>
          <w:vertAlign w:val="superscript"/>
        </w:rPr>
        <w:t>th</w:t>
      </w:r>
      <w:r w:rsidRPr="00357D61">
        <w:rPr>
          <w:rFonts w:eastAsia="Times New Roman"/>
          <w:sz w:val="20"/>
          <w:szCs w:val="20"/>
        </w:rPr>
        <w:t>, and 20</w:t>
      </w:r>
      <w:r w:rsidRPr="00357D61">
        <w:rPr>
          <w:rFonts w:eastAsia="Times New Roman"/>
          <w:sz w:val="20"/>
          <w:szCs w:val="20"/>
          <w:vertAlign w:val="superscript"/>
        </w:rPr>
        <w:t>th</w:t>
      </w:r>
      <w:r w:rsidRPr="00357D61">
        <w:rPr>
          <w:rFonts w:eastAsia="Times New Roman"/>
          <w:sz w:val="20"/>
          <w:szCs w:val="20"/>
        </w:rPr>
        <w:t xml:space="preserve"> editions of </w:t>
      </w:r>
      <w:r w:rsidRPr="00357D61">
        <w:rPr>
          <w:rFonts w:eastAsia="Times New Roman"/>
          <w:i/>
          <w:iCs/>
          <w:sz w:val="20"/>
          <w:szCs w:val="20"/>
        </w:rPr>
        <w:t>Standard</w:t>
      </w:r>
      <w:r w:rsidRPr="00357D61">
        <w:rPr>
          <w:rFonts w:eastAsia="Times New Roman"/>
          <w:sz w:val="20"/>
          <w:szCs w:val="20"/>
        </w:rPr>
        <w:t xml:space="preserve"> </w:t>
      </w:r>
      <w:r w:rsidRPr="00357D61">
        <w:rPr>
          <w:rFonts w:eastAsia="Times New Roman"/>
          <w:i/>
          <w:iCs/>
          <w:sz w:val="20"/>
          <w:szCs w:val="20"/>
        </w:rPr>
        <w:t>Methods for the Examination of Water and Wastewater</w:t>
      </w:r>
      <w:r w:rsidRPr="00357D61">
        <w:rPr>
          <w:rFonts w:eastAsia="Times New Roman"/>
          <w:sz w:val="20"/>
          <w:szCs w:val="20"/>
        </w:rPr>
        <w:t>, 1992, 1995, and 1998; the cited methods</w:t>
      </w:r>
    </w:p>
    <w:p w14:paraId="281A5A4C" w14:textId="77777777" w:rsidR="004647B9" w:rsidRPr="00357D61" w:rsidRDefault="00E2436F" w:rsidP="003521AE">
      <w:pPr>
        <w:ind w:left="360"/>
        <w:rPr>
          <w:sz w:val="20"/>
          <w:szCs w:val="20"/>
        </w:rPr>
      </w:pPr>
      <w:r w:rsidRPr="00357D61">
        <w:rPr>
          <w:rFonts w:eastAsia="Times New Roman"/>
          <w:sz w:val="20"/>
          <w:szCs w:val="20"/>
        </w:rPr>
        <w:t>published in any of these three editions may be used.</w:t>
      </w:r>
    </w:p>
    <w:p w14:paraId="281A5A50" w14:textId="000B3418" w:rsidR="004647B9" w:rsidRPr="00357D61" w:rsidRDefault="00E2436F" w:rsidP="003521AE">
      <w:pPr>
        <w:pStyle w:val="ListParagraph"/>
        <w:numPr>
          <w:ilvl w:val="0"/>
          <w:numId w:val="941"/>
        </w:numPr>
        <w:rPr>
          <w:sz w:val="20"/>
          <w:szCs w:val="20"/>
        </w:rPr>
      </w:pPr>
      <w:r w:rsidRPr="00357D61">
        <w:rPr>
          <w:rFonts w:eastAsia="Times New Roman"/>
          <w:sz w:val="20"/>
          <w:szCs w:val="20"/>
        </w:rPr>
        <w:t>Standard Methods Online. The year in which each method was approved by the Standard Methods Committee is designated by the last two digits in the</w:t>
      </w:r>
      <w:r w:rsidR="001E48C9" w:rsidRPr="00357D61">
        <w:rPr>
          <w:rFonts w:eastAsia="Times New Roman"/>
          <w:sz w:val="20"/>
          <w:szCs w:val="20"/>
        </w:rPr>
        <w:t xml:space="preserve"> </w:t>
      </w:r>
      <w:r w:rsidRPr="00357D61">
        <w:rPr>
          <w:rFonts w:eastAsia="Times New Roman"/>
          <w:sz w:val="20"/>
          <w:szCs w:val="20"/>
        </w:rPr>
        <w:t>method number. The methods listed are the only Online versions that may be used.</w:t>
      </w:r>
    </w:p>
    <w:p w14:paraId="770F9F6C" w14:textId="77777777" w:rsidR="00717017" w:rsidRPr="00357D61" w:rsidRDefault="00E2436F" w:rsidP="003521AE">
      <w:pPr>
        <w:pStyle w:val="ListParagraph"/>
        <w:numPr>
          <w:ilvl w:val="0"/>
          <w:numId w:val="941"/>
        </w:numPr>
        <w:rPr>
          <w:sz w:val="20"/>
          <w:szCs w:val="20"/>
        </w:rPr>
      </w:pPr>
      <w:r w:rsidRPr="00357D61">
        <w:rPr>
          <w:rFonts w:eastAsia="Times New Roman"/>
          <w:sz w:val="20"/>
          <w:szCs w:val="20"/>
        </w:rPr>
        <w:t>Annual Book of ASTM Standards, Vol. 11.01, 2004; ASTM International; any year containing the cited version of the method may be used. Copies of this method may be obtained from ASTM International,</w:t>
      </w:r>
      <w:r w:rsidR="001E48C9" w:rsidRPr="00357D61">
        <w:rPr>
          <w:rFonts w:eastAsia="Times New Roman"/>
          <w:sz w:val="20"/>
          <w:szCs w:val="20"/>
        </w:rPr>
        <w:t xml:space="preserve"> </w:t>
      </w:r>
      <w:r w:rsidRPr="00357D61">
        <w:rPr>
          <w:rFonts w:eastAsia="Times New Roman"/>
          <w:sz w:val="20"/>
          <w:szCs w:val="20"/>
        </w:rPr>
        <w:t>100 Barr Harbor Drive, P.O. Box C700 West Conshohocken, PA 19428-2959.</w:t>
      </w:r>
    </w:p>
    <w:p w14:paraId="281A5A57" w14:textId="5EAE62BD" w:rsidR="004647B9" w:rsidRPr="00357D61" w:rsidRDefault="00E2436F" w:rsidP="003521AE">
      <w:pPr>
        <w:pStyle w:val="ListParagraph"/>
        <w:numPr>
          <w:ilvl w:val="0"/>
          <w:numId w:val="941"/>
        </w:numPr>
        <w:rPr>
          <w:sz w:val="20"/>
          <w:szCs w:val="20"/>
        </w:rPr>
      </w:pPr>
      <w:r w:rsidRPr="00357D61">
        <w:rPr>
          <w:rFonts w:eastAsia="Times New Roman"/>
          <w:sz w:val="20"/>
          <w:szCs w:val="20"/>
        </w:rPr>
        <w:t xml:space="preserve">EPA Method 327.0, Revision 1.1, </w:t>
      </w:r>
      <w:r w:rsidRPr="00357D61">
        <w:rPr>
          <w:rFonts w:eastAsia="Times New Roman"/>
          <w:i/>
          <w:iCs/>
          <w:sz w:val="20"/>
          <w:szCs w:val="20"/>
        </w:rPr>
        <w:t xml:space="preserve">Determination of </w:t>
      </w:r>
      <w:r w:rsidR="003D6F78">
        <w:rPr>
          <w:rFonts w:eastAsia="Times New Roman"/>
          <w:i/>
          <w:iCs/>
          <w:sz w:val="20"/>
          <w:szCs w:val="20"/>
        </w:rPr>
        <w:t>C</w:t>
      </w:r>
      <w:r w:rsidRPr="00357D61">
        <w:rPr>
          <w:rFonts w:eastAsia="Times New Roman"/>
          <w:i/>
          <w:iCs/>
          <w:sz w:val="20"/>
          <w:szCs w:val="20"/>
        </w:rPr>
        <w:t>hlorine Dioxide and Chlorite Ion in Drinking Water</w:t>
      </w:r>
      <w:r w:rsidRPr="00357D61">
        <w:rPr>
          <w:rFonts w:eastAsia="Times New Roman"/>
          <w:sz w:val="20"/>
          <w:szCs w:val="20"/>
        </w:rPr>
        <w:t xml:space="preserve"> </w:t>
      </w:r>
      <w:r w:rsidRPr="00357D61">
        <w:rPr>
          <w:rFonts w:eastAsia="Times New Roman"/>
          <w:i/>
          <w:iCs/>
          <w:sz w:val="20"/>
          <w:szCs w:val="20"/>
        </w:rPr>
        <w:t>Using Lissamine Green B and Horseradish Peroxidase with Detection by Visible Spectrophotometry</w:t>
      </w:r>
      <w:r w:rsidRPr="00357D61">
        <w:rPr>
          <w:rFonts w:eastAsia="Times New Roman"/>
          <w:sz w:val="20"/>
          <w:szCs w:val="20"/>
        </w:rPr>
        <w:t>,</w:t>
      </w:r>
      <w:r w:rsidRPr="00357D61">
        <w:rPr>
          <w:rFonts w:eastAsia="Times New Roman"/>
          <w:i/>
          <w:iCs/>
          <w:sz w:val="20"/>
          <w:szCs w:val="20"/>
        </w:rPr>
        <w:t xml:space="preserve"> </w:t>
      </w:r>
      <w:r w:rsidRPr="00357D61">
        <w:rPr>
          <w:rFonts w:eastAsia="Times New Roman"/>
          <w:sz w:val="20"/>
          <w:szCs w:val="20"/>
        </w:rPr>
        <w:t>USEPA, May 2005, EPA 815-R-05-008.</w:t>
      </w:r>
      <w:r w:rsidR="00717017" w:rsidRPr="00357D61">
        <w:rPr>
          <w:rFonts w:eastAsia="Times New Roman"/>
          <w:sz w:val="20"/>
          <w:szCs w:val="20"/>
        </w:rPr>
        <w:t xml:space="preserve"> </w:t>
      </w:r>
      <w:r w:rsidRPr="00357D61">
        <w:rPr>
          <w:rFonts w:eastAsia="Times New Roman"/>
          <w:sz w:val="20"/>
          <w:szCs w:val="20"/>
        </w:rPr>
        <w:t xml:space="preserve">Available online </w:t>
      </w:r>
      <w:r w:rsidR="0009395C">
        <w:rPr>
          <w:rFonts w:eastAsia="Times New Roman"/>
          <w:sz w:val="20"/>
          <w:szCs w:val="20"/>
        </w:rPr>
        <w:t>from</w:t>
      </w:r>
      <w:r w:rsidR="00A2374B">
        <w:rPr>
          <w:rFonts w:eastAsia="Times New Roman"/>
          <w:sz w:val="20"/>
          <w:szCs w:val="20"/>
        </w:rPr>
        <w:t xml:space="preserve"> EPA’s </w:t>
      </w:r>
      <w:r w:rsidR="0009395C">
        <w:rPr>
          <w:rFonts w:eastAsia="Times New Roman"/>
          <w:sz w:val="20"/>
          <w:szCs w:val="20"/>
        </w:rPr>
        <w:t>NSCEP</w:t>
      </w:r>
      <w:r w:rsidRPr="00357D61">
        <w:rPr>
          <w:rFonts w:eastAsia="Times New Roman"/>
          <w:sz w:val="20"/>
          <w:szCs w:val="20"/>
        </w:rPr>
        <w:t>.</w:t>
      </w:r>
    </w:p>
    <w:p w14:paraId="281A5A58" w14:textId="77777777" w:rsidR="004647B9" w:rsidRDefault="004647B9" w:rsidP="003521AE">
      <w:pPr>
        <w:rPr>
          <w:rFonts w:eastAsia="Times New Roman"/>
          <w:sz w:val="24"/>
          <w:szCs w:val="24"/>
        </w:rPr>
      </w:pPr>
    </w:p>
    <w:p w14:paraId="281A5A59" w14:textId="77777777" w:rsidR="004647B9" w:rsidRDefault="00E2436F" w:rsidP="003521AE">
      <w:pPr>
        <w:numPr>
          <w:ilvl w:val="1"/>
          <w:numId w:val="583"/>
        </w:numPr>
        <w:tabs>
          <w:tab w:val="left" w:pos="2014"/>
        </w:tabs>
        <w:ind w:left="1540" w:right="20" w:hanging="5"/>
        <w:jc w:val="both"/>
        <w:rPr>
          <w:rFonts w:eastAsia="Times New Roman"/>
          <w:sz w:val="24"/>
          <w:szCs w:val="24"/>
        </w:rPr>
      </w:pPr>
      <w:r>
        <w:rPr>
          <w:rFonts w:eastAsia="Times New Roman"/>
          <w:sz w:val="24"/>
          <w:szCs w:val="24"/>
          <w:u w:val="single"/>
        </w:rPr>
        <w:t>Monitoring Requirements for Systems that Do Not Provide Filtration</w:t>
      </w:r>
      <w:r>
        <w:rPr>
          <w:rFonts w:eastAsia="Times New Roman"/>
          <w:sz w:val="24"/>
          <w:szCs w:val="24"/>
        </w:rPr>
        <w:t>. A Supplier of Water that uses a Surface Water Source and does not provide Filtration treatment must begin monitoring, as specified in 310 CMR 22.20A(5)(b) beginning May 1, 1990, unless the Department has notified it in writing that Filtration is required, in which case the Department may specify alternative monitoring requirements, as appropriate, until Filtration is in place. A Supplier of Water that uses a groundwater source under the direct influence of surface water and does not provide Filtration treatment must begin monitoring as specified in 310 CMR 22.20A(5)(b) beginning December 31, 1990 or six months after the Department determines that the groundwater source is under the direct influence of surface water, whichever is later, unless the Department has notified it in writing that Filtration is required, in which case the Department may specify alternative monitoring requirements, as appropriate, until Filtration is in place.</w:t>
      </w:r>
    </w:p>
    <w:p w14:paraId="281A5A5B" w14:textId="77777777" w:rsidR="004647B9" w:rsidRDefault="00E2436F" w:rsidP="003521AE">
      <w:pPr>
        <w:numPr>
          <w:ilvl w:val="2"/>
          <w:numId w:val="583"/>
        </w:numPr>
        <w:tabs>
          <w:tab w:val="left" w:pos="2320"/>
        </w:tabs>
        <w:ind w:left="2320" w:hanging="425"/>
        <w:rPr>
          <w:rFonts w:eastAsia="Times New Roman"/>
          <w:sz w:val="24"/>
          <w:szCs w:val="24"/>
        </w:rPr>
      </w:pPr>
      <w:r>
        <w:rPr>
          <w:rFonts w:eastAsia="Times New Roman"/>
          <w:sz w:val="24"/>
          <w:szCs w:val="24"/>
        </w:rPr>
        <w:t>Fecal coliform or total coliform density measurements as required by 310 CMR</w:t>
      </w:r>
    </w:p>
    <w:p w14:paraId="281A5A5D" w14:textId="77777777" w:rsidR="004647B9" w:rsidRDefault="00E2436F" w:rsidP="003521AE">
      <w:pPr>
        <w:numPr>
          <w:ilvl w:val="2"/>
          <w:numId w:val="584"/>
        </w:numPr>
        <w:tabs>
          <w:tab w:val="left" w:pos="2201"/>
        </w:tabs>
        <w:ind w:left="1900" w:right="20" w:hanging="5"/>
        <w:jc w:val="both"/>
        <w:rPr>
          <w:rFonts w:eastAsia="Times New Roman"/>
          <w:sz w:val="24"/>
          <w:szCs w:val="24"/>
        </w:rPr>
      </w:pPr>
      <w:r>
        <w:rPr>
          <w:rFonts w:eastAsia="Times New Roman"/>
          <w:sz w:val="24"/>
          <w:szCs w:val="24"/>
        </w:rPr>
        <w:t>20A(2)(a)1. must be performed on representative source water samples immediately prior to the first or only Point of Disinfectant Application. The Supplier of Water must sample for fecal or total coliform at the following minimum frequency each week the system serves water to the public:</w:t>
      </w:r>
    </w:p>
    <w:p w14:paraId="281A5A5E" w14:textId="77A63F0A" w:rsidR="004647B9" w:rsidRDefault="004647B9" w:rsidP="003521AE">
      <w:pPr>
        <w:rPr>
          <w:sz w:val="20"/>
          <w:szCs w:val="20"/>
        </w:rPr>
      </w:pPr>
    </w:p>
    <w:p w14:paraId="281A5A5F" w14:textId="77777777" w:rsidR="004647B9" w:rsidRDefault="004647B9" w:rsidP="003521AE">
      <w:pPr>
        <w:sectPr w:rsidR="004647B9" w:rsidSect="00EF630C">
          <w:pgSz w:w="12240" w:h="20180"/>
          <w:pgMar w:top="708" w:right="1420" w:bottom="1440" w:left="620" w:header="0" w:footer="0" w:gutter="0"/>
          <w:cols w:space="720"/>
        </w:sectPr>
      </w:pPr>
      <w:bookmarkStart w:id="258" w:name="page262"/>
      <w:bookmarkEnd w:id="258"/>
    </w:p>
    <w:p w14:paraId="281A5A60" w14:textId="77777777" w:rsidR="004647B9" w:rsidRDefault="00E2436F">
      <w:pPr>
        <w:tabs>
          <w:tab w:val="left" w:pos="160"/>
        </w:tabs>
        <w:ind w:right="20"/>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A61" w14:textId="77777777" w:rsidR="004647B9" w:rsidRDefault="004647B9" w:rsidP="00AB44F5">
      <w:pPr>
        <w:rPr>
          <w:sz w:val="20"/>
          <w:szCs w:val="20"/>
        </w:rPr>
      </w:pPr>
    </w:p>
    <w:p w14:paraId="281A5A62" w14:textId="77777777" w:rsidR="004647B9" w:rsidRDefault="004647B9" w:rsidP="00AB44F5">
      <w:pPr>
        <w:rPr>
          <w:sz w:val="20"/>
          <w:szCs w:val="20"/>
        </w:rPr>
      </w:pPr>
    </w:p>
    <w:p w14:paraId="281A5A63" w14:textId="77777777" w:rsidR="004647B9" w:rsidRPr="00AB44F5" w:rsidRDefault="00E2436F" w:rsidP="00AB44F5">
      <w:pPr>
        <w:tabs>
          <w:tab w:val="left" w:pos="940"/>
        </w:tabs>
        <w:rPr>
          <w:sz w:val="24"/>
          <w:szCs w:val="24"/>
        </w:rPr>
      </w:pPr>
      <w:r w:rsidRPr="00AB44F5">
        <w:rPr>
          <w:rFonts w:eastAsia="Times New Roman"/>
          <w:sz w:val="24"/>
          <w:szCs w:val="24"/>
        </w:rPr>
        <w:t>22.20A:</w:t>
      </w:r>
      <w:r w:rsidRPr="00AB44F5">
        <w:rPr>
          <w:rFonts w:eastAsia="Times New Roman"/>
          <w:sz w:val="24"/>
          <w:szCs w:val="24"/>
        </w:rPr>
        <w:tab/>
        <w:t>continued</w:t>
      </w:r>
    </w:p>
    <w:p w14:paraId="281A5A64" w14:textId="77777777" w:rsidR="004647B9" w:rsidRDefault="004647B9" w:rsidP="00AB44F5">
      <w:pPr>
        <w:rPr>
          <w:sz w:val="20"/>
          <w:szCs w:val="20"/>
        </w:rPr>
      </w:pPr>
    </w:p>
    <w:tbl>
      <w:tblPr>
        <w:tblW w:w="0" w:type="auto"/>
        <w:tblInd w:w="2740" w:type="dxa"/>
        <w:tblLayout w:type="fixed"/>
        <w:tblCellMar>
          <w:left w:w="0" w:type="dxa"/>
          <w:right w:w="0" w:type="dxa"/>
        </w:tblCellMar>
        <w:tblLook w:val="04A0" w:firstRow="1" w:lastRow="0" w:firstColumn="1" w:lastColumn="0" w:noHBand="0" w:noVBand="1"/>
      </w:tblPr>
      <w:tblGrid>
        <w:gridCol w:w="2930"/>
        <w:gridCol w:w="850"/>
        <w:gridCol w:w="1500"/>
      </w:tblGrid>
      <w:tr w:rsidR="00464D85" w14:paraId="281A5A67" w14:textId="77777777" w:rsidTr="00464D85">
        <w:trPr>
          <w:trHeight w:val="330"/>
        </w:trPr>
        <w:tc>
          <w:tcPr>
            <w:tcW w:w="2930" w:type="dxa"/>
            <w:vAlign w:val="bottom"/>
          </w:tcPr>
          <w:p w14:paraId="56C66149" w14:textId="77777777" w:rsidR="00464D85" w:rsidRDefault="00464D85" w:rsidP="00AB44F5">
            <w:pPr>
              <w:rPr>
                <w:sz w:val="20"/>
                <w:szCs w:val="20"/>
              </w:rPr>
            </w:pPr>
            <w:r>
              <w:rPr>
                <w:rFonts w:eastAsia="Times New Roman"/>
                <w:sz w:val="24"/>
                <w:szCs w:val="24"/>
              </w:rPr>
              <w:t>System Size (Persons Served)</w:t>
            </w:r>
          </w:p>
        </w:tc>
        <w:tc>
          <w:tcPr>
            <w:tcW w:w="850" w:type="dxa"/>
            <w:vAlign w:val="bottom"/>
          </w:tcPr>
          <w:p w14:paraId="281A5A65" w14:textId="1B459088" w:rsidR="00464D85" w:rsidRDefault="00464D85" w:rsidP="00AB44F5">
            <w:pPr>
              <w:rPr>
                <w:sz w:val="20"/>
                <w:szCs w:val="20"/>
              </w:rPr>
            </w:pPr>
          </w:p>
        </w:tc>
        <w:tc>
          <w:tcPr>
            <w:tcW w:w="1500" w:type="dxa"/>
            <w:vAlign w:val="bottom"/>
          </w:tcPr>
          <w:p w14:paraId="281A5A66" w14:textId="77777777" w:rsidR="00464D85" w:rsidRDefault="00464D85" w:rsidP="00AB44F5">
            <w:pPr>
              <w:rPr>
                <w:sz w:val="20"/>
                <w:szCs w:val="20"/>
              </w:rPr>
            </w:pPr>
            <w:r>
              <w:rPr>
                <w:rFonts w:eastAsia="Times New Roman"/>
                <w:w w:val="96"/>
                <w:sz w:val="24"/>
                <w:szCs w:val="24"/>
              </w:rPr>
              <w:t>Samples/Week</w:t>
            </w:r>
            <w:r>
              <w:rPr>
                <w:rFonts w:eastAsia="Times New Roman"/>
                <w:w w:val="96"/>
                <w:sz w:val="27"/>
                <w:szCs w:val="27"/>
                <w:vertAlign w:val="superscript"/>
              </w:rPr>
              <w:t>1</w:t>
            </w:r>
          </w:p>
        </w:tc>
      </w:tr>
      <w:tr w:rsidR="00464D85" w14:paraId="281A5A6C" w14:textId="77777777" w:rsidTr="00464D85">
        <w:trPr>
          <w:trHeight w:val="250"/>
        </w:trPr>
        <w:tc>
          <w:tcPr>
            <w:tcW w:w="2930" w:type="dxa"/>
            <w:tcBorders>
              <w:top w:val="single" w:sz="8" w:space="0" w:color="auto"/>
            </w:tcBorders>
            <w:vAlign w:val="center"/>
          </w:tcPr>
          <w:p w14:paraId="281A5A68" w14:textId="5B923A9D" w:rsidR="00464D85" w:rsidRDefault="00464D85" w:rsidP="00AB44F5">
            <w:pPr>
              <w:ind w:right="720"/>
              <w:jc w:val="center"/>
              <w:rPr>
                <w:sz w:val="20"/>
                <w:szCs w:val="20"/>
              </w:rPr>
            </w:pPr>
            <w:r>
              <w:rPr>
                <w:rFonts w:eastAsia="Times New Roman"/>
                <w:sz w:val="24"/>
                <w:szCs w:val="24"/>
              </w:rPr>
              <w:t>&lt;</w:t>
            </w:r>
            <w:r w:rsidDel="007B206E">
              <w:rPr>
                <w:rFonts w:eastAsia="Times New Roman"/>
                <w:sz w:val="24"/>
                <w:szCs w:val="24"/>
              </w:rPr>
              <w:t xml:space="preserve"> </w:t>
            </w:r>
            <w:r>
              <w:rPr>
                <w:rFonts w:eastAsia="Times New Roman"/>
                <w:sz w:val="24"/>
                <w:szCs w:val="24"/>
              </w:rPr>
              <w:t>500</w:t>
            </w:r>
          </w:p>
        </w:tc>
        <w:tc>
          <w:tcPr>
            <w:tcW w:w="850" w:type="dxa"/>
            <w:vAlign w:val="bottom"/>
          </w:tcPr>
          <w:p w14:paraId="281A5A69" w14:textId="77777777" w:rsidR="00464D85" w:rsidRDefault="00464D85" w:rsidP="00AB44F5">
            <w:pPr>
              <w:rPr>
                <w:sz w:val="21"/>
                <w:szCs w:val="21"/>
              </w:rPr>
            </w:pPr>
          </w:p>
        </w:tc>
        <w:tc>
          <w:tcPr>
            <w:tcW w:w="1500" w:type="dxa"/>
            <w:tcBorders>
              <w:top w:val="single" w:sz="8" w:space="0" w:color="auto"/>
            </w:tcBorders>
            <w:vAlign w:val="center"/>
          </w:tcPr>
          <w:p w14:paraId="281A5A6B" w14:textId="075005A4" w:rsidR="00464D85" w:rsidRDefault="00464D85" w:rsidP="00AB44F5">
            <w:pPr>
              <w:jc w:val="center"/>
              <w:rPr>
                <w:sz w:val="21"/>
                <w:szCs w:val="21"/>
              </w:rPr>
            </w:pPr>
            <w:r>
              <w:rPr>
                <w:rFonts w:eastAsia="Times New Roman"/>
                <w:sz w:val="24"/>
                <w:szCs w:val="24"/>
              </w:rPr>
              <w:t>1</w:t>
            </w:r>
          </w:p>
        </w:tc>
      </w:tr>
      <w:tr w:rsidR="00464D85" w14:paraId="281A5A71" w14:textId="77777777" w:rsidTr="00464D85">
        <w:trPr>
          <w:trHeight w:val="278"/>
        </w:trPr>
        <w:tc>
          <w:tcPr>
            <w:tcW w:w="2930" w:type="dxa"/>
            <w:vAlign w:val="center"/>
          </w:tcPr>
          <w:p w14:paraId="281A5A6D" w14:textId="13DF7CFE" w:rsidR="00464D85" w:rsidRDefault="00464D85" w:rsidP="00AB44F5">
            <w:pPr>
              <w:ind w:right="720"/>
              <w:jc w:val="center"/>
              <w:rPr>
                <w:sz w:val="20"/>
                <w:szCs w:val="20"/>
              </w:rPr>
            </w:pPr>
            <w:r>
              <w:rPr>
                <w:rFonts w:eastAsia="Times New Roman"/>
                <w:sz w:val="24"/>
                <w:szCs w:val="24"/>
              </w:rPr>
              <w:t>501 - 3,300</w:t>
            </w:r>
          </w:p>
        </w:tc>
        <w:tc>
          <w:tcPr>
            <w:tcW w:w="850" w:type="dxa"/>
            <w:vAlign w:val="bottom"/>
          </w:tcPr>
          <w:p w14:paraId="281A5A6E" w14:textId="77777777" w:rsidR="00464D85" w:rsidRDefault="00464D85" w:rsidP="00AB44F5">
            <w:pPr>
              <w:rPr>
                <w:sz w:val="24"/>
                <w:szCs w:val="24"/>
              </w:rPr>
            </w:pPr>
          </w:p>
        </w:tc>
        <w:tc>
          <w:tcPr>
            <w:tcW w:w="1500" w:type="dxa"/>
            <w:vAlign w:val="center"/>
          </w:tcPr>
          <w:p w14:paraId="281A5A70" w14:textId="2BE7EF55" w:rsidR="00464D85" w:rsidRDefault="00464D85" w:rsidP="00AB44F5">
            <w:pPr>
              <w:jc w:val="center"/>
              <w:rPr>
                <w:sz w:val="24"/>
                <w:szCs w:val="24"/>
              </w:rPr>
            </w:pPr>
            <w:r>
              <w:rPr>
                <w:rFonts w:eastAsia="Times New Roman"/>
                <w:sz w:val="24"/>
                <w:szCs w:val="24"/>
              </w:rPr>
              <w:t>2</w:t>
            </w:r>
          </w:p>
        </w:tc>
      </w:tr>
      <w:tr w:rsidR="00464D85" w14:paraId="281A5A76" w14:textId="77777777" w:rsidTr="00464D85">
        <w:trPr>
          <w:trHeight w:val="281"/>
        </w:trPr>
        <w:tc>
          <w:tcPr>
            <w:tcW w:w="2930" w:type="dxa"/>
            <w:vAlign w:val="center"/>
          </w:tcPr>
          <w:p w14:paraId="281A5A72" w14:textId="2456F5FE" w:rsidR="00464D85" w:rsidRDefault="00464D85" w:rsidP="00AB44F5">
            <w:pPr>
              <w:ind w:right="720"/>
              <w:jc w:val="center"/>
              <w:rPr>
                <w:sz w:val="20"/>
                <w:szCs w:val="20"/>
              </w:rPr>
            </w:pPr>
            <w:r>
              <w:rPr>
                <w:rFonts w:eastAsia="Times New Roman"/>
                <w:sz w:val="24"/>
                <w:szCs w:val="24"/>
              </w:rPr>
              <w:t>3,301 - 10,00</w:t>
            </w:r>
            <w:r w:rsidDel="007B206E">
              <w:rPr>
                <w:rFonts w:eastAsia="Times New Roman"/>
                <w:sz w:val="24"/>
                <w:szCs w:val="24"/>
              </w:rPr>
              <w:t>0</w:t>
            </w:r>
          </w:p>
        </w:tc>
        <w:tc>
          <w:tcPr>
            <w:tcW w:w="850" w:type="dxa"/>
            <w:vAlign w:val="bottom"/>
          </w:tcPr>
          <w:p w14:paraId="281A5A73" w14:textId="77777777" w:rsidR="00464D85" w:rsidRDefault="00464D85" w:rsidP="00AB44F5">
            <w:pPr>
              <w:rPr>
                <w:sz w:val="24"/>
                <w:szCs w:val="24"/>
              </w:rPr>
            </w:pPr>
          </w:p>
        </w:tc>
        <w:tc>
          <w:tcPr>
            <w:tcW w:w="1500" w:type="dxa"/>
            <w:vAlign w:val="center"/>
          </w:tcPr>
          <w:p w14:paraId="281A5A75" w14:textId="51585937" w:rsidR="00464D85" w:rsidRDefault="00464D85" w:rsidP="00AB44F5">
            <w:pPr>
              <w:jc w:val="center"/>
              <w:rPr>
                <w:sz w:val="24"/>
                <w:szCs w:val="24"/>
              </w:rPr>
            </w:pPr>
            <w:r>
              <w:rPr>
                <w:rFonts w:eastAsia="Times New Roman"/>
                <w:sz w:val="24"/>
                <w:szCs w:val="24"/>
              </w:rPr>
              <w:t>3</w:t>
            </w:r>
          </w:p>
        </w:tc>
      </w:tr>
      <w:tr w:rsidR="00464D85" w14:paraId="281A5A7B" w14:textId="77777777" w:rsidTr="00464D85">
        <w:trPr>
          <w:trHeight w:val="278"/>
        </w:trPr>
        <w:tc>
          <w:tcPr>
            <w:tcW w:w="2930" w:type="dxa"/>
            <w:vAlign w:val="center"/>
          </w:tcPr>
          <w:p w14:paraId="281A5A77" w14:textId="404C94F9" w:rsidR="00464D85" w:rsidRDefault="00464D85" w:rsidP="00AB44F5">
            <w:pPr>
              <w:ind w:right="720"/>
              <w:jc w:val="center"/>
              <w:rPr>
                <w:sz w:val="20"/>
                <w:szCs w:val="20"/>
              </w:rPr>
            </w:pPr>
            <w:r>
              <w:rPr>
                <w:rFonts w:eastAsia="Times New Roman"/>
                <w:sz w:val="24"/>
                <w:szCs w:val="24"/>
              </w:rPr>
              <w:t>10,001 - 25,000</w:t>
            </w:r>
          </w:p>
        </w:tc>
        <w:tc>
          <w:tcPr>
            <w:tcW w:w="850" w:type="dxa"/>
            <w:vAlign w:val="bottom"/>
          </w:tcPr>
          <w:p w14:paraId="281A5A78" w14:textId="77777777" w:rsidR="00464D85" w:rsidRDefault="00464D85" w:rsidP="00AB44F5">
            <w:pPr>
              <w:rPr>
                <w:sz w:val="24"/>
                <w:szCs w:val="24"/>
              </w:rPr>
            </w:pPr>
          </w:p>
        </w:tc>
        <w:tc>
          <w:tcPr>
            <w:tcW w:w="1500" w:type="dxa"/>
            <w:vAlign w:val="center"/>
          </w:tcPr>
          <w:p w14:paraId="281A5A7A" w14:textId="70F06B2A" w:rsidR="00464D85" w:rsidRDefault="00464D85" w:rsidP="00AB44F5">
            <w:pPr>
              <w:jc w:val="center"/>
              <w:rPr>
                <w:sz w:val="24"/>
                <w:szCs w:val="24"/>
              </w:rPr>
            </w:pPr>
            <w:r>
              <w:rPr>
                <w:rFonts w:eastAsia="Times New Roman"/>
                <w:sz w:val="24"/>
                <w:szCs w:val="24"/>
              </w:rPr>
              <w:t>4</w:t>
            </w:r>
          </w:p>
        </w:tc>
      </w:tr>
      <w:tr w:rsidR="00464D85" w14:paraId="281A5A80" w14:textId="77777777" w:rsidTr="00464D85">
        <w:trPr>
          <w:trHeight w:val="312"/>
        </w:trPr>
        <w:tc>
          <w:tcPr>
            <w:tcW w:w="2930" w:type="dxa"/>
            <w:vAlign w:val="center"/>
          </w:tcPr>
          <w:p w14:paraId="281A5A7C" w14:textId="77777777" w:rsidR="00464D85" w:rsidRDefault="00464D85" w:rsidP="00AB44F5">
            <w:pPr>
              <w:ind w:right="720"/>
              <w:jc w:val="center"/>
              <w:rPr>
                <w:sz w:val="20"/>
                <w:szCs w:val="20"/>
              </w:rPr>
            </w:pPr>
            <w:r>
              <w:rPr>
                <w:rFonts w:eastAsia="Times New Roman"/>
                <w:sz w:val="24"/>
                <w:szCs w:val="24"/>
              </w:rPr>
              <w:t>&gt; 25,000</w:t>
            </w:r>
          </w:p>
        </w:tc>
        <w:tc>
          <w:tcPr>
            <w:tcW w:w="850" w:type="dxa"/>
            <w:vAlign w:val="bottom"/>
          </w:tcPr>
          <w:p w14:paraId="281A5A7D" w14:textId="77777777" w:rsidR="00464D85" w:rsidRDefault="00464D85" w:rsidP="00AB44F5">
            <w:pPr>
              <w:rPr>
                <w:sz w:val="24"/>
                <w:szCs w:val="24"/>
              </w:rPr>
            </w:pPr>
          </w:p>
        </w:tc>
        <w:tc>
          <w:tcPr>
            <w:tcW w:w="1500" w:type="dxa"/>
            <w:vAlign w:val="center"/>
          </w:tcPr>
          <w:p w14:paraId="281A5A7F" w14:textId="679DD087" w:rsidR="00464D85" w:rsidRDefault="00464D85" w:rsidP="00AB44F5">
            <w:pPr>
              <w:jc w:val="center"/>
              <w:rPr>
                <w:sz w:val="24"/>
                <w:szCs w:val="24"/>
              </w:rPr>
            </w:pPr>
            <w:r>
              <w:rPr>
                <w:rFonts w:eastAsia="Times New Roman"/>
                <w:sz w:val="24"/>
                <w:szCs w:val="24"/>
              </w:rPr>
              <w:t>5</w:t>
            </w:r>
          </w:p>
        </w:tc>
      </w:tr>
    </w:tbl>
    <w:p w14:paraId="281A5A81" w14:textId="77777777" w:rsidR="004647B9" w:rsidRPr="00A65D9F" w:rsidRDefault="00E2436F" w:rsidP="00AB44F5">
      <w:pPr>
        <w:numPr>
          <w:ilvl w:val="0"/>
          <w:numId w:val="585"/>
        </w:numPr>
        <w:tabs>
          <w:tab w:val="left" w:pos="2940"/>
        </w:tabs>
        <w:ind w:left="2940" w:hanging="135"/>
        <w:rPr>
          <w:rFonts w:eastAsia="Times New Roman"/>
          <w:sz w:val="24"/>
          <w:szCs w:val="24"/>
        </w:rPr>
      </w:pPr>
      <w:r>
        <w:rPr>
          <w:rFonts w:eastAsia="Times New Roman"/>
          <w:sz w:val="24"/>
          <w:szCs w:val="24"/>
        </w:rPr>
        <w:t>Must be taken on separate days.</w:t>
      </w:r>
    </w:p>
    <w:p w14:paraId="281A5A82" w14:textId="77777777" w:rsidR="004647B9" w:rsidRDefault="004647B9" w:rsidP="00AB44F5">
      <w:pPr>
        <w:rPr>
          <w:sz w:val="20"/>
          <w:szCs w:val="20"/>
        </w:rPr>
      </w:pPr>
    </w:p>
    <w:p w14:paraId="281A5A83" w14:textId="77777777" w:rsidR="004647B9" w:rsidRPr="00357D61" w:rsidRDefault="00E2436F" w:rsidP="00AB44F5">
      <w:pPr>
        <w:ind w:left="1900" w:hanging="10"/>
        <w:jc w:val="both"/>
        <w:rPr>
          <w:sz w:val="24"/>
          <w:szCs w:val="24"/>
        </w:rPr>
      </w:pPr>
      <w:r w:rsidRPr="00357D61">
        <w:rPr>
          <w:rFonts w:eastAsia="Times New Roman"/>
          <w:sz w:val="24"/>
          <w:szCs w:val="24"/>
        </w:rPr>
        <w:t>In addition, one fecal or total coliform density measurement must be made every day the system serves water to the public and the Turbidity of the source water exceeds one NTU (these samples count towards the weekly coliform sampling requirement) unless the Department determines that the Supplier of Water for logistical reasons outside of</w:t>
      </w:r>
      <w:r w:rsidRPr="00357D61" w:rsidDel="007B206E">
        <w:rPr>
          <w:rFonts w:eastAsia="Times New Roman"/>
          <w:sz w:val="24"/>
          <w:szCs w:val="24"/>
        </w:rPr>
        <w:t xml:space="preserve"> </w:t>
      </w:r>
      <w:r w:rsidRPr="00357D61">
        <w:rPr>
          <w:rFonts w:eastAsia="Times New Roman"/>
          <w:sz w:val="24"/>
          <w:szCs w:val="24"/>
        </w:rPr>
        <w:t>the supplier's control, cannot have the sample analyzed within 30 hours of collection.</w:t>
      </w:r>
    </w:p>
    <w:p w14:paraId="281A5A85" w14:textId="77777777" w:rsidR="004647B9" w:rsidRPr="00357D61" w:rsidRDefault="00E2436F" w:rsidP="00AB44F5">
      <w:pPr>
        <w:numPr>
          <w:ilvl w:val="0"/>
          <w:numId w:val="586"/>
        </w:numPr>
        <w:tabs>
          <w:tab w:val="left" w:pos="2212"/>
        </w:tabs>
        <w:ind w:left="1900" w:hanging="5"/>
        <w:jc w:val="both"/>
        <w:rPr>
          <w:rFonts w:eastAsia="Times New Roman"/>
          <w:sz w:val="24"/>
          <w:szCs w:val="24"/>
        </w:rPr>
      </w:pPr>
      <w:r w:rsidRPr="00357D61">
        <w:rPr>
          <w:rFonts w:eastAsia="Times New Roman"/>
          <w:sz w:val="24"/>
          <w:szCs w:val="24"/>
        </w:rPr>
        <w:t>Turbidity measurements as required by 310 CMR 22.20A(2)(a)2. must be performed on representative grab samples of source water immediately prior to the first or only Point of Disinfectant Application every four hours (or more frequently) that the system serves water to the public. A Supplier of Water may substitute continuous Turbidity monitoring for grab sample monitoring if it validates the continuous measurement for accuracy on a regular basis using a protocol approved by the Department.</w:t>
      </w:r>
    </w:p>
    <w:p w14:paraId="281A5A89" w14:textId="0D509BFF" w:rsidR="004647B9" w:rsidRPr="00A65D9F" w:rsidRDefault="00E2436F" w:rsidP="00AB44F5">
      <w:pPr>
        <w:numPr>
          <w:ilvl w:val="0"/>
          <w:numId w:val="586"/>
        </w:numPr>
        <w:tabs>
          <w:tab w:val="left" w:pos="2332"/>
        </w:tabs>
        <w:ind w:left="1900"/>
        <w:jc w:val="both"/>
        <w:rPr>
          <w:sz w:val="24"/>
          <w:szCs w:val="24"/>
        </w:rPr>
      </w:pPr>
      <w:r w:rsidRPr="00A65D9F">
        <w:rPr>
          <w:rFonts w:eastAsia="Times New Roman"/>
          <w:sz w:val="24"/>
          <w:szCs w:val="24"/>
        </w:rPr>
        <w:t xml:space="preserve">The total inactivation ratio for each day that the system is in operation must be determined based on the CT99.9 values in 310 CMR 22.20A(5)(b)3.: </w:t>
      </w:r>
      <w:r w:rsidRPr="00A65D9F">
        <w:rPr>
          <w:rFonts w:eastAsia="Times New Roman"/>
          <w:i/>
          <w:iCs/>
          <w:sz w:val="24"/>
          <w:szCs w:val="24"/>
        </w:rPr>
        <w:t>Tables 1.1</w:t>
      </w:r>
      <w:r w:rsidRPr="00A65D9F">
        <w:rPr>
          <w:rFonts w:eastAsia="Times New Roman"/>
          <w:sz w:val="24"/>
          <w:szCs w:val="24"/>
        </w:rPr>
        <w:t xml:space="preserve"> through</w:t>
      </w:r>
      <w:r w:rsidR="00A65D9F" w:rsidRPr="00A65D9F">
        <w:rPr>
          <w:rFonts w:eastAsia="Times New Roman"/>
          <w:sz w:val="24"/>
          <w:szCs w:val="24"/>
        </w:rPr>
        <w:t xml:space="preserve"> </w:t>
      </w:r>
      <w:r w:rsidRPr="00A65D9F">
        <w:rPr>
          <w:rFonts w:eastAsia="Times New Roman"/>
          <w:i/>
          <w:iCs/>
          <w:sz w:val="24"/>
          <w:szCs w:val="24"/>
        </w:rPr>
        <w:t>1.6</w:t>
      </w:r>
      <w:r w:rsidRPr="00A65D9F">
        <w:rPr>
          <w:rFonts w:eastAsia="Times New Roman"/>
          <w:sz w:val="24"/>
          <w:szCs w:val="24"/>
        </w:rPr>
        <w:t>,</w:t>
      </w:r>
      <w:r w:rsidRPr="00A65D9F">
        <w:rPr>
          <w:rFonts w:eastAsia="Times New Roman"/>
          <w:i/>
          <w:iCs/>
          <w:sz w:val="24"/>
          <w:szCs w:val="24"/>
        </w:rPr>
        <w:t xml:space="preserve"> Table 2.1 </w:t>
      </w:r>
      <w:r w:rsidRPr="00A65D9F">
        <w:rPr>
          <w:rFonts w:eastAsia="Times New Roman"/>
          <w:sz w:val="24"/>
          <w:szCs w:val="24"/>
        </w:rPr>
        <w:t>and</w:t>
      </w:r>
      <w:r w:rsidRPr="00A65D9F">
        <w:rPr>
          <w:rFonts w:eastAsia="Times New Roman"/>
          <w:i/>
          <w:iCs/>
          <w:sz w:val="24"/>
          <w:szCs w:val="24"/>
        </w:rPr>
        <w:t xml:space="preserve"> Table 3.1</w:t>
      </w:r>
      <w:r w:rsidRPr="00A65D9F">
        <w:rPr>
          <w:rFonts w:eastAsia="Times New Roman"/>
          <w:sz w:val="24"/>
          <w:szCs w:val="24"/>
        </w:rPr>
        <w:t>. The parameters necessary to determine the total</w:t>
      </w:r>
      <w:r w:rsidRPr="00A65D9F">
        <w:rPr>
          <w:rFonts w:eastAsia="Times New Roman"/>
          <w:i/>
          <w:iCs/>
          <w:sz w:val="24"/>
          <w:szCs w:val="24"/>
        </w:rPr>
        <w:t xml:space="preserve"> </w:t>
      </w:r>
      <w:r w:rsidRPr="00A65D9F">
        <w:rPr>
          <w:rFonts w:eastAsia="Times New Roman"/>
          <w:sz w:val="24"/>
          <w:szCs w:val="24"/>
        </w:rPr>
        <w:t>inactivation ratio must be monitored as follows:</w:t>
      </w:r>
    </w:p>
    <w:p w14:paraId="281A5A8A" w14:textId="77777777" w:rsidR="004647B9" w:rsidRPr="00357D61" w:rsidRDefault="00E2436F" w:rsidP="00AB44F5">
      <w:pPr>
        <w:numPr>
          <w:ilvl w:val="0"/>
          <w:numId w:val="587"/>
        </w:numPr>
        <w:tabs>
          <w:tab w:val="left" w:pos="2585"/>
        </w:tabs>
        <w:ind w:left="2260" w:hanging="5"/>
        <w:rPr>
          <w:rFonts w:eastAsia="Times New Roman"/>
          <w:sz w:val="24"/>
          <w:szCs w:val="24"/>
        </w:rPr>
      </w:pPr>
      <w:r w:rsidRPr="00357D61">
        <w:rPr>
          <w:rFonts w:eastAsia="Times New Roman"/>
          <w:sz w:val="24"/>
          <w:szCs w:val="24"/>
        </w:rPr>
        <w:t>The temperature of the disinfected water must be measured at least once per day at each Residual Disinfectant Concentration Sampling Point.</w:t>
      </w:r>
    </w:p>
    <w:p w14:paraId="281A5A8B" w14:textId="77777777" w:rsidR="004647B9" w:rsidRPr="00357D61" w:rsidRDefault="00E2436F" w:rsidP="00AB44F5">
      <w:pPr>
        <w:numPr>
          <w:ilvl w:val="0"/>
          <w:numId w:val="587"/>
        </w:numPr>
        <w:tabs>
          <w:tab w:val="left" w:pos="2606"/>
        </w:tabs>
        <w:ind w:left="2260" w:hanging="5"/>
        <w:jc w:val="both"/>
        <w:rPr>
          <w:rFonts w:eastAsia="Times New Roman"/>
          <w:sz w:val="24"/>
          <w:szCs w:val="24"/>
        </w:rPr>
      </w:pPr>
      <w:r w:rsidRPr="00357D61">
        <w:rPr>
          <w:rFonts w:eastAsia="Times New Roman"/>
          <w:sz w:val="24"/>
          <w:szCs w:val="24"/>
        </w:rPr>
        <w:t>If the system uses chlorine, the pH of the disinfected water must be measured at least once per day at each chlorine Residual Disinfectant Concentration Sampling Point.</w:t>
      </w:r>
    </w:p>
    <w:p w14:paraId="281A5A8D" w14:textId="77777777" w:rsidR="004647B9" w:rsidRPr="00357D61" w:rsidRDefault="00E2436F" w:rsidP="00AB44F5">
      <w:pPr>
        <w:numPr>
          <w:ilvl w:val="0"/>
          <w:numId w:val="587"/>
        </w:numPr>
        <w:tabs>
          <w:tab w:val="left" w:pos="2591"/>
        </w:tabs>
        <w:ind w:left="2260" w:hanging="5"/>
        <w:rPr>
          <w:rFonts w:eastAsia="Times New Roman"/>
          <w:sz w:val="24"/>
          <w:szCs w:val="24"/>
        </w:rPr>
      </w:pPr>
      <w:r w:rsidRPr="00357D61">
        <w:rPr>
          <w:rFonts w:eastAsia="Times New Roman"/>
          <w:sz w:val="24"/>
          <w:szCs w:val="24"/>
        </w:rPr>
        <w:t>The Disinfectant Contact Time(s) ("T") must be determined for each day during peak hourly flow.</w:t>
      </w:r>
    </w:p>
    <w:p w14:paraId="281A5A8E" w14:textId="77777777" w:rsidR="004647B9" w:rsidRPr="00357D61" w:rsidRDefault="00E2436F" w:rsidP="00AB44F5">
      <w:pPr>
        <w:numPr>
          <w:ilvl w:val="0"/>
          <w:numId w:val="587"/>
        </w:numPr>
        <w:tabs>
          <w:tab w:val="left" w:pos="2642"/>
        </w:tabs>
        <w:ind w:left="2260" w:hanging="5"/>
        <w:rPr>
          <w:rFonts w:eastAsia="Times New Roman"/>
          <w:sz w:val="24"/>
          <w:szCs w:val="24"/>
        </w:rPr>
      </w:pPr>
      <w:r w:rsidRPr="00357D61">
        <w:rPr>
          <w:rFonts w:eastAsia="Times New Roman"/>
          <w:sz w:val="24"/>
          <w:szCs w:val="24"/>
        </w:rPr>
        <w:t>The Residual Disinfectant Concentration(s) ("C") of the water before or at the first customer must be measured each day during peak hourly flow.</w:t>
      </w:r>
    </w:p>
    <w:p w14:paraId="281A5A91" w14:textId="236368F7" w:rsidR="004647B9" w:rsidRPr="00A65D9F" w:rsidRDefault="00E2436F" w:rsidP="00AB44F5">
      <w:pPr>
        <w:numPr>
          <w:ilvl w:val="0"/>
          <w:numId w:val="587"/>
        </w:numPr>
        <w:tabs>
          <w:tab w:val="left" w:pos="2600"/>
        </w:tabs>
        <w:ind w:left="2260"/>
        <w:jc w:val="both"/>
        <w:rPr>
          <w:sz w:val="24"/>
          <w:szCs w:val="24"/>
        </w:rPr>
      </w:pPr>
      <w:r w:rsidRPr="00A65D9F">
        <w:rPr>
          <w:rFonts w:eastAsia="Times New Roman"/>
          <w:sz w:val="24"/>
          <w:szCs w:val="24"/>
        </w:rPr>
        <w:t xml:space="preserve">If a system uses a Disinfectant other than chlorine, the system may demonstrate to the Department, through the use of a Department approved protocol for on site Disinfection challenge studies or other information satisfactory to the Department, that CT99.9 values other than those specified in 310 CMR 22.20A(5)(b)3.: </w:t>
      </w:r>
      <w:r w:rsidRPr="00A65D9F">
        <w:rPr>
          <w:rFonts w:eastAsia="Times New Roman"/>
          <w:i/>
          <w:iCs/>
          <w:sz w:val="24"/>
          <w:szCs w:val="24"/>
        </w:rPr>
        <w:t>Table 2.1</w:t>
      </w:r>
      <w:r w:rsidR="00A65D9F" w:rsidRPr="00A65D9F">
        <w:rPr>
          <w:rFonts w:eastAsia="Times New Roman"/>
          <w:i/>
          <w:iCs/>
          <w:sz w:val="24"/>
          <w:szCs w:val="24"/>
        </w:rPr>
        <w:t xml:space="preserve"> </w:t>
      </w:r>
      <w:r w:rsidRPr="00A65D9F">
        <w:rPr>
          <w:rFonts w:eastAsia="Times New Roman"/>
          <w:sz w:val="24"/>
          <w:szCs w:val="24"/>
        </w:rPr>
        <w:t xml:space="preserve">and </w:t>
      </w:r>
      <w:r w:rsidRPr="00A65D9F">
        <w:rPr>
          <w:rFonts w:eastAsia="Times New Roman"/>
          <w:i/>
          <w:iCs/>
          <w:sz w:val="24"/>
          <w:szCs w:val="24"/>
        </w:rPr>
        <w:t>Table 3.1</w:t>
      </w:r>
      <w:r w:rsidRPr="00A65D9F">
        <w:rPr>
          <w:rFonts w:eastAsia="Times New Roman"/>
          <w:sz w:val="24"/>
          <w:szCs w:val="24"/>
        </w:rPr>
        <w:t xml:space="preserve"> in are adequate to demonstrate that the system is achieving the minimum inactivation rates required by 310 CMR 22.20A(3)(a)1</w:t>
      </w:r>
      <w:r w:rsidRPr="00A65D9F" w:rsidDel="007B206E">
        <w:rPr>
          <w:rFonts w:eastAsia="Times New Roman"/>
          <w:sz w:val="24"/>
          <w:szCs w:val="24"/>
        </w:rPr>
        <w:t>.</w:t>
      </w:r>
    </w:p>
    <w:p w14:paraId="281A5A92" w14:textId="77777777" w:rsidR="004647B9" w:rsidRPr="00A65D9F" w:rsidRDefault="004647B9" w:rsidP="00AB44F5">
      <w:pPr>
        <w:rPr>
          <w:sz w:val="24"/>
          <w:szCs w:val="24"/>
        </w:rPr>
      </w:pPr>
    </w:p>
    <w:p w14:paraId="281A5A93" w14:textId="77777777" w:rsidR="004647B9" w:rsidRPr="00A65D9F" w:rsidRDefault="00E2436F" w:rsidP="00AB44F5">
      <w:pPr>
        <w:jc w:val="center"/>
        <w:rPr>
          <w:sz w:val="24"/>
          <w:szCs w:val="24"/>
        </w:rPr>
      </w:pPr>
      <w:r w:rsidRPr="00A65D9F">
        <w:rPr>
          <w:rFonts w:eastAsia="Times New Roman"/>
          <w:sz w:val="24"/>
          <w:szCs w:val="24"/>
        </w:rPr>
        <w:t>TABLE 1.1 - 310 CMR 22.20A</w:t>
      </w:r>
    </w:p>
    <w:p w14:paraId="0A043B36" w14:textId="77777777" w:rsidR="00B55C84" w:rsidRPr="00A65D9F" w:rsidRDefault="00E2436F" w:rsidP="00AB44F5">
      <w:pPr>
        <w:jc w:val="center"/>
        <w:rPr>
          <w:rFonts w:eastAsia="Times New Roman"/>
          <w:i/>
          <w:iCs/>
          <w:sz w:val="24"/>
          <w:szCs w:val="24"/>
        </w:rPr>
      </w:pPr>
      <w:r w:rsidRPr="00A65D9F">
        <w:rPr>
          <w:rFonts w:eastAsia="Times New Roman"/>
          <w:sz w:val="24"/>
          <w:szCs w:val="24"/>
        </w:rPr>
        <w:t>CT VALUES (CT</w:t>
      </w:r>
      <w:r w:rsidRPr="00A65D9F">
        <w:rPr>
          <w:rFonts w:eastAsia="Times New Roman"/>
          <w:sz w:val="24"/>
          <w:szCs w:val="24"/>
          <w:vertAlign w:val="subscript"/>
        </w:rPr>
        <w:t>99.9</w:t>
      </w:r>
      <w:r w:rsidRPr="00A65D9F">
        <w:rPr>
          <w:rFonts w:eastAsia="Times New Roman"/>
          <w:sz w:val="24"/>
          <w:szCs w:val="24"/>
        </w:rPr>
        <w:t>) FOR 99.9% INACTIVATION OF</w:t>
      </w:r>
      <w:r w:rsidR="00B55C84" w:rsidRPr="00A65D9F">
        <w:rPr>
          <w:rFonts w:eastAsia="Times New Roman"/>
          <w:sz w:val="24"/>
          <w:szCs w:val="24"/>
        </w:rPr>
        <w:t xml:space="preserve"> </w:t>
      </w:r>
      <w:r w:rsidRPr="00A65D9F">
        <w:rPr>
          <w:rFonts w:eastAsia="Times New Roman"/>
          <w:i/>
          <w:iCs/>
          <w:sz w:val="24"/>
          <w:szCs w:val="24"/>
        </w:rPr>
        <w:t>GIARDIA</w:t>
      </w:r>
    </w:p>
    <w:p w14:paraId="281A5A96" w14:textId="7DB453EA" w:rsidR="004647B9" w:rsidRPr="00AB44F5" w:rsidRDefault="00E2436F" w:rsidP="00AB44F5">
      <w:pPr>
        <w:jc w:val="center"/>
        <w:rPr>
          <w:rFonts w:eastAsia="Times New Roman"/>
          <w:sz w:val="24"/>
          <w:szCs w:val="24"/>
        </w:rPr>
      </w:pPr>
      <w:r w:rsidRPr="00AB44F5">
        <w:rPr>
          <w:rFonts w:eastAsia="Times New Roman"/>
          <w:i/>
          <w:iCs/>
          <w:sz w:val="24"/>
          <w:szCs w:val="24"/>
        </w:rPr>
        <w:t xml:space="preserve"> LAMBLIA </w:t>
      </w:r>
      <w:r w:rsidRPr="00AB44F5">
        <w:rPr>
          <w:rFonts w:eastAsia="Times New Roman"/>
          <w:sz w:val="24"/>
          <w:szCs w:val="24"/>
        </w:rPr>
        <w:t>CYSTS BY FREE CHLORINE AT 0.5°C OR LOWER</w:t>
      </w:r>
      <w:r w:rsidRPr="00AB44F5">
        <w:rPr>
          <w:rFonts w:eastAsia="Times New Roman"/>
          <w:sz w:val="24"/>
          <w:szCs w:val="24"/>
          <w:vertAlign w:val="superscript"/>
        </w:rPr>
        <w:t>*</w:t>
      </w:r>
    </w:p>
    <w:p w14:paraId="51DD4E9E" w14:textId="77777777" w:rsidR="00545471" w:rsidRDefault="00545471" w:rsidP="00AB44F5">
      <w:pPr>
        <w:jc w:val="center"/>
        <w:rPr>
          <w:sz w:val="20"/>
          <w:szCs w:val="20"/>
        </w:rPr>
      </w:pPr>
    </w:p>
    <w:tbl>
      <w:tblPr>
        <w:tblW w:w="0" w:type="auto"/>
        <w:tblInd w:w="180" w:type="dxa"/>
        <w:tblLayout w:type="fixed"/>
        <w:tblCellMar>
          <w:left w:w="0" w:type="dxa"/>
          <w:right w:w="0" w:type="dxa"/>
        </w:tblCellMar>
        <w:tblLook w:val="04A0" w:firstRow="1" w:lastRow="0" w:firstColumn="1" w:lastColumn="0" w:noHBand="0" w:noVBand="1"/>
      </w:tblPr>
      <w:tblGrid>
        <w:gridCol w:w="1720"/>
        <w:gridCol w:w="1077"/>
        <w:gridCol w:w="1077"/>
        <w:gridCol w:w="1077"/>
        <w:gridCol w:w="1077"/>
        <w:gridCol w:w="1077"/>
        <w:gridCol w:w="1077"/>
        <w:gridCol w:w="1078"/>
      </w:tblGrid>
      <w:tr w:rsidR="00C06E60" w14:paraId="281A5AA1" w14:textId="77777777" w:rsidTr="00DF6443">
        <w:trPr>
          <w:trHeight w:val="557"/>
        </w:trPr>
        <w:tc>
          <w:tcPr>
            <w:tcW w:w="1720" w:type="dxa"/>
            <w:vMerge w:val="restart"/>
            <w:vAlign w:val="center"/>
          </w:tcPr>
          <w:p w14:paraId="59EE90B2" w14:textId="77777777" w:rsidR="00C06E60" w:rsidRDefault="00C06E60" w:rsidP="00AB44F5">
            <w:pPr>
              <w:rPr>
                <w:sz w:val="20"/>
                <w:szCs w:val="20"/>
              </w:rPr>
            </w:pPr>
            <w:r>
              <w:rPr>
                <w:rFonts w:eastAsia="Times New Roman"/>
                <w:sz w:val="24"/>
                <w:szCs w:val="24"/>
              </w:rPr>
              <w:t>Free</w:t>
            </w:r>
          </w:p>
          <w:p w14:paraId="3031F2AD" w14:textId="77777777" w:rsidR="00C06E60" w:rsidRDefault="00C06E60" w:rsidP="00AB44F5">
            <w:pPr>
              <w:rPr>
                <w:sz w:val="20"/>
                <w:szCs w:val="20"/>
              </w:rPr>
            </w:pPr>
            <w:r>
              <w:rPr>
                <w:rFonts w:eastAsia="Times New Roman"/>
                <w:sz w:val="24"/>
                <w:szCs w:val="24"/>
              </w:rPr>
              <w:t>Residual</w:t>
            </w:r>
          </w:p>
          <w:p w14:paraId="281A5A99" w14:textId="0737B3EA" w:rsidR="00C06E60" w:rsidRDefault="00C06E60" w:rsidP="00AB44F5">
            <w:pPr>
              <w:rPr>
                <w:sz w:val="20"/>
                <w:szCs w:val="20"/>
              </w:rPr>
            </w:pPr>
            <w:r>
              <w:rPr>
                <w:rFonts w:eastAsia="Times New Roman"/>
                <w:sz w:val="24"/>
                <w:szCs w:val="24"/>
              </w:rPr>
              <w:t>(mg/l)</w:t>
            </w:r>
          </w:p>
        </w:tc>
        <w:tc>
          <w:tcPr>
            <w:tcW w:w="7540" w:type="dxa"/>
            <w:gridSpan w:val="7"/>
            <w:vAlign w:val="center"/>
          </w:tcPr>
          <w:p w14:paraId="281A5AA0" w14:textId="0B958AEC" w:rsidR="00C06E60" w:rsidRDefault="00C06E60" w:rsidP="00AB44F5">
            <w:pPr>
              <w:jc w:val="center"/>
              <w:rPr>
                <w:sz w:val="21"/>
                <w:szCs w:val="21"/>
              </w:rPr>
            </w:pPr>
            <w:r>
              <w:rPr>
                <w:rFonts w:eastAsia="Times New Roman"/>
                <w:sz w:val="24"/>
                <w:szCs w:val="24"/>
              </w:rPr>
              <w:t>pH</w:t>
            </w:r>
          </w:p>
        </w:tc>
      </w:tr>
      <w:tr w:rsidR="00C06E60" w14:paraId="281A5AB7" w14:textId="77777777" w:rsidTr="001D2C43">
        <w:trPr>
          <w:trHeight w:val="275"/>
        </w:trPr>
        <w:tc>
          <w:tcPr>
            <w:tcW w:w="1720" w:type="dxa"/>
            <w:vMerge/>
            <w:tcBorders>
              <w:bottom w:val="single" w:sz="8" w:space="0" w:color="auto"/>
            </w:tcBorders>
            <w:vAlign w:val="center"/>
          </w:tcPr>
          <w:p w14:paraId="281A5AAF" w14:textId="0D8D1DBA" w:rsidR="00C06E60" w:rsidRDefault="00C06E60" w:rsidP="00AB44F5">
            <w:pPr>
              <w:rPr>
                <w:sz w:val="20"/>
                <w:szCs w:val="20"/>
              </w:rPr>
            </w:pPr>
          </w:p>
        </w:tc>
        <w:tc>
          <w:tcPr>
            <w:tcW w:w="1077" w:type="dxa"/>
            <w:tcBorders>
              <w:bottom w:val="single" w:sz="8" w:space="0" w:color="auto"/>
            </w:tcBorders>
            <w:vAlign w:val="center"/>
          </w:tcPr>
          <w:p w14:paraId="281A5AB0" w14:textId="77777777" w:rsidR="00C06E60" w:rsidRDefault="00C06E60" w:rsidP="00AB44F5">
            <w:pPr>
              <w:jc w:val="center"/>
              <w:rPr>
                <w:sz w:val="20"/>
                <w:szCs w:val="20"/>
              </w:rPr>
            </w:pPr>
            <w:r>
              <w:rPr>
                <w:rFonts w:eastAsia="Times New Roman"/>
                <w:sz w:val="24"/>
                <w:szCs w:val="24"/>
              </w:rPr>
              <w:t>&lt; 6.0</w:t>
            </w:r>
          </w:p>
        </w:tc>
        <w:tc>
          <w:tcPr>
            <w:tcW w:w="1077" w:type="dxa"/>
            <w:tcBorders>
              <w:bottom w:val="single" w:sz="8" w:space="0" w:color="auto"/>
            </w:tcBorders>
            <w:vAlign w:val="center"/>
          </w:tcPr>
          <w:p w14:paraId="281A5AB1" w14:textId="77777777" w:rsidR="00C06E60" w:rsidRDefault="00C06E60" w:rsidP="00AB44F5">
            <w:pPr>
              <w:jc w:val="center"/>
              <w:rPr>
                <w:sz w:val="20"/>
                <w:szCs w:val="20"/>
              </w:rPr>
            </w:pPr>
            <w:r>
              <w:rPr>
                <w:rFonts w:eastAsia="Times New Roman"/>
                <w:sz w:val="24"/>
                <w:szCs w:val="24"/>
              </w:rPr>
              <w:t>6.5</w:t>
            </w:r>
          </w:p>
        </w:tc>
        <w:tc>
          <w:tcPr>
            <w:tcW w:w="1077" w:type="dxa"/>
            <w:tcBorders>
              <w:bottom w:val="single" w:sz="8" w:space="0" w:color="auto"/>
            </w:tcBorders>
            <w:vAlign w:val="center"/>
          </w:tcPr>
          <w:p w14:paraId="281A5AB2" w14:textId="77777777" w:rsidR="00C06E60" w:rsidRDefault="00C06E60" w:rsidP="00AB44F5">
            <w:pPr>
              <w:jc w:val="center"/>
              <w:rPr>
                <w:sz w:val="20"/>
                <w:szCs w:val="20"/>
              </w:rPr>
            </w:pPr>
            <w:r>
              <w:rPr>
                <w:rFonts w:eastAsia="Times New Roman"/>
                <w:sz w:val="24"/>
                <w:szCs w:val="24"/>
              </w:rPr>
              <w:t>7.0</w:t>
            </w:r>
          </w:p>
        </w:tc>
        <w:tc>
          <w:tcPr>
            <w:tcW w:w="1077" w:type="dxa"/>
            <w:tcBorders>
              <w:bottom w:val="single" w:sz="8" w:space="0" w:color="auto"/>
            </w:tcBorders>
            <w:vAlign w:val="center"/>
          </w:tcPr>
          <w:p w14:paraId="281A5AB3" w14:textId="77777777" w:rsidR="00C06E60" w:rsidRDefault="00C06E60" w:rsidP="00AB44F5">
            <w:pPr>
              <w:jc w:val="center"/>
              <w:rPr>
                <w:sz w:val="20"/>
                <w:szCs w:val="20"/>
              </w:rPr>
            </w:pPr>
            <w:r>
              <w:rPr>
                <w:rFonts w:eastAsia="Times New Roman"/>
                <w:sz w:val="24"/>
                <w:szCs w:val="24"/>
              </w:rPr>
              <w:t>7.5</w:t>
            </w:r>
          </w:p>
        </w:tc>
        <w:tc>
          <w:tcPr>
            <w:tcW w:w="1077" w:type="dxa"/>
            <w:tcBorders>
              <w:bottom w:val="single" w:sz="8" w:space="0" w:color="auto"/>
            </w:tcBorders>
            <w:vAlign w:val="center"/>
          </w:tcPr>
          <w:p w14:paraId="281A5AB4" w14:textId="77777777" w:rsidR="00C06E60" w:rsidRDefault="00C06E60" w:rsidP="00AB44F5">
            <w:pPr>
              <w:jc w:val="center"/>
              <w:rPr>
                <w:sz w:val="20"/>
                <w:szCs w:val="20"/>
              </w:rPr>
            </w:pPr>
            <w:r>
              <w:rPr>
                <w:rFonts w:eastAsia="Times New Roman"/>
                <w:sz w:val="24"/>
                <w:szCs w:val="24"/>
              </w:rPr>
              <w:t>8.0</w:t>
            </w:r>
          </w:p>
        </w:tc>
        <w:tc>
          <w:tcPr>
            <w:tcW w:w="1077" w:type="dxa"/>
            <w:tcBorders>
              <w:bottom w:val="single" w:sz="8" w:space="0" w:color="auto"/>
            </w:tcBorders>
            <w:vAlign w:val="center"/>
          </w:tcPr>
          <w:p w14:paraId="281A5AB5" w14:textId="77777777" w:rsidR="00C06E60" w:rsidRDefault="00C06E60" w:rsidP="00AB44F5">
            <w:pPr>
              <w:jc w:val="center"/>
              <w:rPr>
                <w:sz w:val="20"/>
                <w:szCs w:val="20"/>
              </w:rPr>
            </w:pPr>
            <w:r>
              <w:rPr>
                <w:rFonts w:eastAsia="Times New Roman"/>
                <w:sz w:val="24"/>
                <w:szCs w:val="24"/>
              </w:rPr>
              <w:t>8.5</w:t>
            </w:r>
          </w:p>
        </w:tc>
        <w:tc>
          <w:tcPr>
            <w:tcW w:w="1078" w:type="dxa"/>
            <w:tcBorders>
              <w:bottom w:val="single" w:sz="8" w:space="0" w:color="auto"/>
            </w:tcBorders>
            <w:vAlign w:val="center"/>
          </w:tcPr>
          <w:p w14:paraId="281A5AB6" w14:textId="77777777" w:rsidR="00C06E60" w:rsidRDefault="00C06E60" w:rsidP="00AB44F5">
            <w:pPr>
              <w:jc w:val="center"/>
              <w:rPr>
                <w:sz w:val="20"/>
                <w:szCs w:val="20"/>
              </w:rPr>
            </w:pPr>
            <w:r>
              <w:rPr>
                <w:rFonts w:eastAsia="Times New Roman"/>
                <w:w w:val="96"/>
                <w:sz w:val="24"/>
                <w:szCs w:val="24"/>
              </w:rPr>
              <w:t>&lt; 9.0</w:t>
            </w:r>
          </w:p>
        </w:tc>
      </w:tr>
      <w:tr w:rsidR="00DC594A" w14:paraId="281A5AC1" w14:textId="77777777" w:rsidTr="00CE7749">
        <w:trPr>
          <w:trHeight w:val="299"/>
        </w:trPr>
        <w:tc>
          <w:tcPr>
            <w:tcW w:w="1720" w:type="dxa"/>
            <w:tcBorders>
              <w:top w:val="single" w:sz="8" w:space="0" w:color="auto"/>
            </w:tcBorders>
            <w:vAlign w:val="center"/>
          </w:tcPr>
          <w:p w14:paraId="281A5AB9" w14:textId="1FB67340" w:rsidR="00DC594A" w:rsidRDefault="00DC594A" w:rsidP="00AB44F5">
            <w:pPr>
              <w:jc w:val="center"/>
              <w:rPr>
                <w:sz w:val="20"/>
                <w:szCs w:val="20"/>
              </w:rPr>
            </w:pPr>
            <w:r>
              <w:rPr>
                <w:rFonts w:eastAsia="Times New Roman"/>
                <w:sz w:val="24"/>
                <w:szCs w:val="24"/>
              </w:rPr>
              <w:t>≤ 0.4</w:t>
            </w:r>
          </w:p>
        </w:tc>
        <w:tc>
          <w:tcPr>
            <w:tcW w:w="1077" w:type="dxa"/>
            <w:vAlign w:val="center"/>
          </w:tcPr>
          <w:p w14:paraId="281A5ABA" w14:textId="77777777" w:rsidR="00DC594A" w:rsidRDefault="00DC594A" w:rsidP="00AB44F5">
            <w:pPr>
              <w:jc w:val="center"/>
              <w:rPr>
                <w:sz w:val="20"/>
                <w:szCs w:val="20"/>
              </w:rPr>
            </w:pPr>
            <w:r>
              <w:rPr>
                <w:rFonts w:eastAsia="Times New Roman"/>
                <w:sz w:val="24"/>
                <w:szCs w:val="24"/>
              </w:rPr>
              <w:t>137</w:t>
            </w:r>
          </w:p>
        </w:tc>
        <w:tc>
          <w:tcPr>
            <w:tcW w:w="1077" w:type="dxa"/>
            <w:vAlign w:val="center"/>
          </w:tcPr>
          <w:p w14:paraId="281A5ABB" w14:textId="77777777" w:rsidR="00DC594A" w:rsidRDefault="00DC594A" w:rsidP="00AB44F5">
            <w:pPr>
              <w:jc w:val="center"/>
              <w:rPr>
                <w:sz w:val="20"/>
                <w:szCs w:val="20"/>
              </w:rPr>
            </w:pPr>
            <w:r>
              <w:rPr>
                <w:rFonts w:eastAsia="Times New Roman"/>
                <w:sz w:val="24"/>
                <w:szCs w:val="24"/>
              </w:rPr>
              <w:t>163</w:t>
            </w:r>
          </w:p>
        </w:tc>
        <w:tc>
          <w:tcPr>
            <w:tcW w:w="1077" w:type="dxa"/>
            <w:vAlign w:val="center"/>
          </w:tcPr>
          <w:p w14:paraId="281A5ABC" w14:textId="77777777" w:rsidR="00DC594A" w:rsidRDefault="00DC594A" w:rsidP="00AB44F5">
            <w:pPr>
              <w:jc w:val="center"/>
              <w:rPr>
                <w:sz w:val="20"/>
                <w:szCs w:val="20"/>
              </w:rPr>
            </w:pPr>
            <w:r>
              <w:rPr>
                <w:rFonts w:eastAsia="Times New Roman"/>
                <w:sz w:val="24"/>
                <w:szCs w:val="24"/>
              </w:rPr>
              <w:t>195</w:t>
            </w:r>
          </w:p>
        </w:tc>
        <w:tc>
          <w:tcPr>
            <w:tcW w:w="1077" w:type="dxa"/>
            <w:vAlign w:val="center"/>
          </w:tcPr>
          <w:p w14:paraId="281A5ABD" w14:textId="77777777" w:rsidR="00DC594A" w:rsidRDefault="00DC594A" w:rsidP="00AB44F5">
            <w:pPr>
              <w:jc w:val="center"/>
              <w:rPr>
                <w:sz w:val="20"/>
                <w:szCs w:val="20"/>
              </w:rPr>
            </w:pPr>
            <w:r>
              <w:rPr>
                <w:rFonts w:eastAsia="Times New Roman"/>
                <w:sz w:val="24"/>
                <w:szCs w:val="24"/>
              </w:rPr>
              <w:t>237</w:t>
            </w:r>
          </w:p>
        </w:tc>
        <w:tc>
          <w:tcPr>
            <w:tcW w:w="1077" w:type="dxa"/>
            <w:vAlign w:val="center"/>
          </w:tcPr>
          <w:p w14:paraId="281A5ABE" w14:textId="77777777" w:rsidR="00DC594A" w:rsidRDefault="00DC594A" w:rsidP="00AB44F5">
            <w:pPr>
              <w:jc w:val="center"/>
              <w:rPr>
                <w:sz w:val="20"/>
                <w:szCs w:val="20"/>
              </w:rPr>
            </w:pPr>
            <w:r>
              <w:rPr>
                <w:rFonts w:eastAsia="Times New Roman"/>
                <w:sz w:val="24"/>
                <w:szCs w:val="24"/>
              </w:rPr>
              <w:t>277</w:t>
            </w:r>
          </w:p>
        </w:tc>
        <w:tc>
          <w:tcPr>
            <w:tcW w:w="1077" w:type="dxa"/>
            <w:vAlign w:val="center"/>
          </w:tcPr>
          <w:p w14:paraId="281A5ABF" w14:textId="77777777" w:rsidR="00DC594A" w:rsidRDefault="00DC594A" w:rsidP="00AB44F5">
            <w:pPr>
              <w:jc w:val="center"/>
              <w:rPr>
                <w:sz w:val="20"/>
                <w:szCs w:val="20"/>
              </w:rPr>
            </w:pPr>
            <w:r>
              <w:rPr>
                <w:rFonts w:eastAsia="Times New Roman"/>
                <w:sz w:val="24"/>
                <w:szCs w:val="24"/>
              </w:rPr>
              <w:t>329</w:t>
            </w:r>
          </w:p>
        </w:tc>
        <w:tc>
          <w:tcPr>
            <w:tcW w:w="1078" w:type="dxa"/>
            <w:vAlign w:val="center"/>
          </w:tcPr>
          <w:p w14:paraId="281A5AC0" w14:textId="77777777" w:rsidR="00DC594A" w:rsidRDefault="00DC594A" w:rsidP="00AB44F5">
            <w:pPr>
              <w:jc w:val="center"/>
              <w:rPr>
                <w:sz w:val="20"/>
                <w:szCs w:val="20"/>
              </w:rPr>
            </w:pPr>
            <w:r>
              <w:rPr>
                <w:rFonts w:eastAsia="Times New Roman"/>
                <w:sz w:val="24"/>
                <w:szCs w:val="24"/>
              </w:rPr>
              <w:t>390</w:t>
            </w:r>
          </w:p>
        </w:tc>
      </w:tr>
      <w:tr w:rsidR="00DC594A" w14:paraId="281A5ACC" w14:textId="77777777" w:rsidTr="00CE7749">
        <w:trPr>
          <w:trHeight w:val="299"/>
        </w:trPr>
        <w:tc>
          <w:tcPr>
            <w:tcW w:w="1720" w:type="dxa"/>
            <w:vAlign w:val="center"/>
          </w:tcPr>
          <w:p w14:paraId="281A5AC4" w14:textId="77777777" w:rsidR="00DC594A" w:rsidRDefault="00DC594A" w:rsidP="00AB44F5">
            <w:pPr>
              <w:jc w:val="center"/>
              <w:rPr>
                <w:sz w:val="20"/>
                <w:szCs w:val="20"/>
              </w:rPr>
            </w:pPr>
            <w:r>
              <w:rPr>
                <w:rFonts w:eastAsia="Times New Roman"/>
                <w:sz w:val="24"/>
                <w:szCs w:val="24"/>
              </w:rPr>
              <w:t>0.6</w:t>
            </w:r>
          </w:p>
        </w:tc>
        <w:tc>
          <w:tcPr>
            <w:tcW w:w="1077" w:type="dxa"/>
            <w:vAlign w:val="center"/>
          </w:tcPr>
          <w:p w14:paraId="281A5AC5" w14:textId="77777777" w:rsidR="00DC594A" w:rsidRDefault="00DC594A" w:rsidP="00AB44F5">
            <w:pPr>
              <w:jc w:val="center"/>
              <w:rPr>
                <w:sz w:val="20"/>
                <w:szCs w:val="20"/>
              </w:rPr>
            </w:pPr>
            <w:r>
              <w:rPr>
                <w:rFonts w:eastAsia="Times New Roman"/>
                <w:sz w:val="24"/>
                <w:szCs w:val="24"/>
              </w:rPr>
              <w:t>141</w:t>
            </w:r>
          </w:p>
        </w:tc>
        <w:tc>
          <w:tcPr>
            <w:tcW w:w="1077" w:type="dxa"/>
            <w:vAlign w:val="center"/>
          </w:tcPr>
          <w:p w14:paraId="281A5AC6" w14:textId="77777777" w:rsidR="00DC594A" w:rsidRDefault="00DC594A" w:rsidP="00AB44F5">
            <w:pPr>
              <w:jc w:val="center"/>
              <w:rPr>
                <w:sz w:val="20"/>
                <w:szCs w:val="20"/>
              </w:rPr>
            </w:pPr>
            <w:r>
              <w:rPr>
                <w:rFonts w:eastAsia="Times New Roman"/>
                <w:sz w:val="24"/>
                <w:szCs w:val="24"/>
              </w:rPr>
              <w:t>168</w:t>
            </w:r>
          </w:p>
        </w:tc>
        <w:tc>
          <w:tcPr>
            <w:tcW w:w="1077" w:type="dxa"/>
            <w:vAlign w:val="center"/>
          </w:tcPr>
          <w:p w14:paraId="281A5AC7" w14:textId="77777777" w:rsidR="00DC594A" w:rsidRDefault="00DC594A" w:rsidP="00AB44F5">
            <w:pPr>
              <w:jc w:val="center"/>
              <w:rPr>
                <w:sz w:val="20"/>
                <w:szCs w:val="20"/>
              </w:rPr>
            </w:pPr>
            <w:r>
              <w:rPr>
                <w:rFonts w:eastAsia="Times New Roman"/>
                <w:sz w:val="24"/>
                <w:szCs w:val="24"/>
              </w:rPr>
              <w:t>200</w:t>
            </w:r>
          </w:p>
        </w:tc>
        <w:tc>
          <w:tcPr>
            <w:tcW w:w="1077" w:type="dxa"/>
            <w:vAlign w:val="center"/>
          </w:tcPr>
          <w:p w14:paraId="281A5AC8" w14:textId="77777777" w:rsidR="00DC594A" w:rsidRDefault="00DC594A" w:rsidP="00AB44F5">
            <w:pPr>
              <w:jc w:val="center"/>
              <w:rPr>
                <w:sz w:val="20"/>
                <w:szCs w:val="20"/>
              </w:rPr>
            </w:pPr>
            <w:r>
              <w:rPr>
                <w:rFonts w:eastAsia="Times New Roman"/>
                <w:sz w:val="24"/>
                <w:szCs w:val="24"/>
              </w:rPr>
              <w:t>239</w:t>
            </w:r>
          </w:p>
        </w:tc>
        <w:tc>
          <w:tcPr>
            <w:tcW w:w="1077" w:type="dxa"/>
            <w:vAlign w:val="center"/>
          </w:tcPr>
          <w:p w14:paraId="281A5AC9" w14:textId="77777777" w:rsidR="00DC594A" w:rsidRDefault="00DC594A" w:rsidP="00AB44F5">
            <w:pPr>
              <w:jc w:val="center"/>
              <w:rPr>
                <w:sz w:val="20"/>
                <w:szCs w:val="20"/>
              </w:rPr>
            </w:pPr>
            <w:r>
              <w:rPr>
                <w:rFonts w:eastAsia="Times New Roman"/>
                <w:sz w:val="24"/>
                <w:szCs w:val="24"/>
              </w:rPr>
              <w:t>286</w:t>
            </w:r>
          </w:p>
        </w:tc>
        <w:tc>
          <w:tcPr>
            <w:tcW w:w="1077" w:type="dxa"/>
            <w:vAlign w:val="center"/>
          </w:tcPr>
          <w:p w14:paraId="281A5ACA" w14:textId="77777777" w:rsidR="00DC594A" w:rsidRDefault="00DC594A" w:rsidP="00AB44F5">
            <w:pPr>
              <w:jc w:val="center"/>
              <w:rPr>
                <w:sz w:val="20"/>
                <w:szCs w:val="20"/>
              </w:rPr>
            </w:pPr>
            <w:r>
              <w:rPr>
                <w:rFonts w:eastAsia="Times New Roman"/>
                <w:sz w:val="24"/>
                <w:szCs w:val="24"/>
              </w:rPr>
              <w:t>342</w:t>
            </w:r>
          </w:p>
        </w:tc>
        <w:tc>
          <w:tcPr>
            <w:tcW w:w="1078" w:type="dxa"/>
            <w:vAlign w:val="center"/>
          </w:tcPr>
          <w:p w14:paraId="281A5ACB" w14:textId="77777777" w:rsidR="00DC594A" w:rsidRDefault="00DC594A" w:rsidP="00AB44F5">
            <w:pPr>
              <w:jc w:val="center"/>
              <w:rPr>
                <w:sz w:val="20"/>
                <w:szCs w:val="20"/>
              </w:rPr>
            </w:pPr>
            <w:r>
              <w:rPr>
                <w:rFonts w:eastAsia="Times New Roman"/>
                <w:sz w:val="24"/>
                <w:szCs w:val="24"/>
              </w:rPr>
              <w:t>407</w:t>
            </w:r>
          </w:p>
        </w:tc>
      </w:tr>
      <w:tr w:rsidR="00DC594A" w14:paraId="281A5AD7" w14:textId="77777777" w:rsidTr="00CE7749">
        <w:trPr>
          <w:trHeight w:val="299"/>
        </w:trPr>
        <w:tc>
          <w:tcPr>
            <w:tcW w:w="1720" w:type="dxa"/>
            <w:vAlign w:val="center"/>
          </w:tcPr>
          <w:p w14:paraId="281A5ACF" w14:textId="77777777" w:rsidR="00DC594A" w:rsidRDefault="00DC594A" w:rsidP="00AB44F5">
            <w:pPr>
              <w:jc w:val="center"/>
              <w:rPr>
                <w:sz w:val="20"/>
                <w:szCs w:val="20"/>
              </w:rPr>
            </w:pPr>
            <w:r>
              <w:rPr>
                <w:rFonts w:eastAsia="Times New Roman"/>
                <w:sz w:val="24"/>
                <w:szCs w:val="24"/>
              </w:rPr>
              <w:t>0.8</w:t>
            </w:r>
          </w:p>
        </w:tc>
        <w:tc>
          <w:tcPr>
            <w:tcW w:w="1077" w:type="dxa"/>
            <w:vAlign w:val="center"/>
          </w:tcPr>
          <w:p w14:paraId="281A5AD0" w14:textId="77777777" w:rsidR="00DC594A" w:rsidRDefault="00DC594A" w:rsidP="00AB44F5">
            <w:pPr>
              <w:jc w:val="center"/>
              <w:rPr>
                <w:sz w:val="20"/>
                <w:szCs w:val="20"/>
              </w:rPr>
            </w:pPr>
            <w:r>
              <w:rPr>
                <w:rFonts w:eastAsia="Times New Roman"/>
                <w:sz w:val="24"/>
                <w:szCs w:val="24"/>
              </w:rPr>
              <w:t>145</w:t>
            </w:r>
          </w:p>
        </w:tc>
        <w:tc>
          <w:tcPr>
            <w:tcW w:w="1077" w:type="dxa"/>
            <w:vAlign w:val="center"/>
          </w:tcPr>
          <w:p w14:paraId="281A5AD1" w14:textId="77777777" w:rsidR="00DC594A" w:rsidRDefault="00DC594A" w:rsidP="00AB44F5">
            <w:pPr>
              <w:jc w:val="center"/>
              <w:rPr>
                <w:sz w:val="20"/>
                <w:szCs w:val="20"/>
              </w:rPr>
            </w:pPr>
            <w:r>
              <w:rPr>
                <w:rFonts w:eastAsia="Times New Roman"/>
                <w:sz w:val="24"/>
                <w:szCs w:val="24"/>
              </w:rPr>
              <w:t>172</w:t>
            </w:r>
          </w:p>
        </w:tc>
        <w:tc>
          <w:tcPr>
            <w:tcW w:w="1077" w:type="dxa"/>
            <w:vAlign w:val="center"/>
          </w:tcPr>
          <w:p w14:paraId="281A5AD2" w14:textId="77777777" w:rsidR="00DC594A" w:rsidRDefault="00DC594A" w:rsidP="00AB44F5">
            <w:pPr>
              <w:jc w:val="center"/>
              <w:rPr>
                <w:sz w:val="20"/>
                <w:szCs w:val="20"/>
              </w:rPr>
            </w:pPr>
            <w:r>
              <w:rPr>
                <w:rFonts w:eastAsia="Times New Roman"/>
                <w:sz w:val="24"/>
                <w:szCs w:val="24"/>
              </w:rPr>
              <w:t>205</w:t>
            </w:r>
          </w:p>
        </w:tc>
        <w:tc>
          <w:tcPr>
            <w:tcW w:w="1077" w:type="dxa"/>
            <w:vAlign w:val="center"/>
          </w:tcPr>
          <w:p w14:paraId="281A5AD3" w14:textId="77777777" w:rsidR="00DC594A" w:rsidRDefault="00DC594A" w:rsidP="00AB44F5">
            <w:pPr>
              <w:jc w:val="center"/>
              <w:rPr>
                <w:sz w:val="20"/>
                <w:szCs w:val="20"/>
              </w:rPr>
            </w:pPr>
            <w:r>
              <w:rPr>
                <w:rFonts w:eastAsia="Times New Roman"/>
                <w:sz w:val="24"/>
                <w:szCs w:val="24"/>
              </w:rPr>
              <w:t>246</w:t>
            </w:r>
          </w:p>
        </w:tc>
        <w:tc>
          <w:tcPr>
            <w:tcW w:w="1077" w:type="dxa"/>
            <w:vAlign w:val="center"/>
          </w:tcPr>
          <w:p w14:paraId="281A5AD4" w14:textId="77777777" w:rsidR="00DC594A" w:rsidRDefault="00DC594A" w:rsidP="00AB44F5">
            <w:pPr>
              <w:jc w:val="center"/>
              <w:rPr>
                <w:sz w:val="20"/>
                <w:szCs w:val="20"/>
              </w:rPr>
            </w:pPr>
            <w:r>
              <w:rPr>
                <w:rFonts w:eastAsia="Times New Roman"/>
                <w:sz w:val="24"/>
                <w:szCs w:val="24"/>
              </w:rPr>
              <w:t>295</w:t>
            </w:r>
          </w:p>
        </w:tc>
        <w:tc>
          <w:tcPr>
            <w:tcW w:w="1077" w:type="dxa"/>
            <w:vAlign w:val="center"/>
          </w:tcPr>
          <w:p w14:paraId="281A5AD5" w14:textId="77777777" w:rsidR="00DC594A" w:rsidRDefault="00DC594A" w:rsidP="00AB44F5">
            <w:pPr>
              <w:jc w:val="center"/>
              <w:rPr>
                <w:sz w:val="20"/>
                <w:szCs w:val="20"/>
              </w:rPr>
            </w:pPr>
            <w:r>
              <w:rPr>
                <w:rFonts w:eastAsia="Times New Roman"/>
                <w:sz w:val="24"/>
                <w:szCs w:val="24"/>
              </w:rPr>
              <w:t>354</w:t>
            </w:r>
          </w:p>
        </w:tc>
        <w:tc>
          <w:tcPr>
            <w:tcW w:w="1078" w:type="dxa"/>
            <w:vAlign w:val="center"/>
          </w:tcPr>
          <w:p w14:paraId="281A5AD6" w14:textId="77777777" w:rsidR="00DC594A" w:rsidRDefault="00DC594A" w:rsidP="00AB44F5">
            <w:pPr>
              <w:jc w:val="center"/>
              <w:rPr>
                <w:sz w:val="20"/>
                <w:szCs w:val="20"/>
              </w:rPr>
            </w:pPr>
            <w:r>
              <w:rPr>
                <w:rFonts w:eastAsia="Times New Roman"/>
                <w:sz w:val="24"/>
                <w:szCs w:val="24"/>
              </w:rPr>
              <w:t>422</w:t>
            </w:r>
          </w:p>
        </w:tc>
      </w:tr>
      <w:tr w:rsidR="00DC594A" w14:paraId="281A5AE2" w14:textId="77777777" w:rsidTr="00CE7749">
        <w:trPr>
          <w:trHeight w:val="299"/>
        </w:trPr>
        <w:tc>
          <w:tcPr>
            <w:tcW w:w="1720" w:type="dxa"/>
            <w:vAlign w:val="center"/>
          </w:tcPr>
          <w:p w14:paraId="281A5ADA" w14:textId="77777777" w:rsidR="00DC594A" w:rsidRDefault="00DC594A" w:rsidP="00AB44F5">
            <w:pPr>
              <w:jc w:val="center"/>
              <w:rPr>
                <w:sz w:val="20"/>
                <w:szCs w:val="20"/>
              </w:rPr>
            </w:pPr>
            <w:r>
              <w:rPr>
                <w:rFonts w:eastAsia="Times New Roman"/>
                <w:sz w:val="24"/>
                <w:szCs w:val="24"/>
              </w:rPr>
              <w:t>1.0</w:t>
            </w:r>
          </w:p>
        </w:tc>
        <w:tc>
          <w:tcPr>
            <w:tcW w:w="1077" w:type="dxa"/>
            <w:vAlign w:val="center"/>
          </w:tcPr>
          <w:p w14:paraId="281A5ADB" w14:textId="77777777" w:rsidR="00DC594A" w:rsidRDefault="00DC594A" w:rsidP="00AB44F5">
            <w:pPr>
              <w:jc w:val="center"/>
              <w:rPr>
                <w:sz w:val="20"/>
                <w:szCs w:val="20"/>
              </w:rPr>
            </w:pPr>
            <w:r>
              <w:rPr>
                <w:rFonts w:eastAsia="Times New Roman"/>
                <w:sz w:val="24"/>
                <w:szCs w:val="24"/>
              </w:rPr>
              <w:t>148</w:t>
            </w:r>
          </w:p>
        </w:tc>
        <w:tc>
          <w:tcPr>
            <w:tcW w:w="1077" w:type="dxa"/>
            <w:vAlign w:val="center"/>
          </w:tcPr>
          <w:p w14:paraId="281A5ADC" w14:textId="77777777" w:rsidR="00DC594A" w:rsidRDefault="00DC594A" w:rsidP="00AB44F5">
            <w:pPr>
              <w:jc w:val="center"/>
              <w:rPr>
                <w:sz w:val="20"/>
                <w:szCs w:val="20"/>
              </w:rPr>
            </w:pPr>
            <w:r>
              <w:rPr>
                <w:rFonts w:eastAsia="Times New Roman"/>
                <w:sz w:val="24"/>
                <w:szCs w:val="24"/>
              </w:rPr>
              <w:t>176</w:t>
            </w:r>
          </w:p>
        </w:tc>
        <w:tc>
          <w:tcPr>
            <w:tcW w:w="1077" w:type="dxa"/>
            <w:vAlign w:val="center"/>
          </w:tcPr>
          <w:p w14:paraId="281A5ADD" w14:textId="77777777" w:rsidR="00DC594A" w:rsidRDefault="00DC594A" w:rsidP="00AB44F5">
            <w:pPr>
              <w:jc w:val="center"/>
              <w:rPr>
                <w:sz w:val="20"/>
                <w:szCs w:val="20"/>
              </w:rPr>
            </w:pPr>
            <w:r>
              <w:rPr>
                <w:rFonts w:eastAsia="Times New Roman"/>
                <w:sz w:val="24"/>
                <w:szCs w:val="24"/>
              </w:rPr>
              <w:t>210</w:t>
            </w:r>
          </w:p>
        </w:tc>
        <w:tc>
          <w:tcPr>
            <w:tcW w:w="1077" w:type="dxa"/>
            <w:vAlign w:val="center"/>
          </w:tcPr>
          <w:p w14:paraId="281A5ADE" w14:textId="77777777" w:rsidR="00DC594A" w:rsidRDefault="00DC594A" w:rsidP="00AB44F5">
            <w:pPr>
              <w:jc w:val="center"/>
              <w:rPr>
                <w:sz w:val="20"/>
                <w:szCs w:val="20"/>
              </w:rPr>
            </w:pPr>
            <w:r>
              <w:rPr>
                <w:rFonts w:eastAsia="Times New Roman"/>
                <w:sz w:val="24"/>
                <w:szCs w:val="24"/>
              </w:rPr>
              <w:t>253</w:t>
            </w:r>
          </w:p>
        </w:tc>
        <w:tc>
          <w:tcPr>
            <w:tcW w:w="1077" w:type="dxa"/>
            <w:vAlign w:val="center"/>
          </w:tcPr>
          <w:p w14:paraId="281A5ADF" w14:textId="77777777" w:rsidR="00DC594A" w:rsidRDefault="00DC594A" w:rsidP="00AB44F5">
            <w:pPr>
              <w:jc w:val="center"/>
              <w:rPr>
                <w:sz w:val="20"/>
                <w:szCs w:val="20"/>
              </w:rPr>
            </w:pPr>
            <w:r>
              <w:rPr>
                <w:rFonts w:eastAsia="Times New Roman"/>
                <w:sz w:val="24"/>
                <w:szCs w:val="24"/>
              </w:rPr>
              <w:t>304</w:t>
            </w:r>
          </w:p>
        </w:tc>
        <w:tc>
          <w:tcPr>
            <w:tcW w:w="1077" w:type="dxa"/>
            <w:vAlign w:val="center"/>
          </w:tcPr>
          <w:p w14:paraId="281A5AE0" w14:textId="77777777" w:rsidR="00DC594A" w:rsidRDefault="00DC594A" w:rsidP="00AB44F5">
            <w:pPr>
              <w:jc w:val="center"/>
              <w:rPr>
                <w:sz w:val="20"/>
                <w:szCs w:val="20"/>
              </w:rPr>
            </w:pPr>
            <w:r>
              <w:rPr>
                <w:rFonts w:eastAsia="Times New Roman"/>
                <w:sz w:val="24"/>
                <w:szCs w:val="24"/>
              </w:rPr>
              <w:t>365</w:t>
            </w:r>
          </w:p>
        </w:tc>
        <w:tc>
          <w:tcPr>
            <w:tcW w:w="1078" w:type="dxa"/>
            <w:vAlign w:val="center"/>
          </w:tcPr>
          <w:p w14:paraId="281A5AE1" w14:textId="77777777" w:rsidR="00DC594A" w:rsidRDefault="00DC594A" w:rsidP="00AB44F5">
            <w:pPr>
              <w:jc w:val="center"/>
              <w:rPr>
                <w:sz w:val="20"/>
                <w:szCs w:val="20"/>
              </w:rPr>
            </w:pPr>
            <w:r>
              <w:rPr>
                <w:rFonts w:eastAsia="Times New Roman"/>
                <w:sz w:val="24"/>
                <w:szCs w:val="24"/>
              </w:rPr>
              <w:t>437</w:t>
            </w:r>
          </w:p>
        </w:tc>
      </w:tr>
      <w:tr w:rsidR="00DC594A" w14:paraId="281A5AED" w14:textId="77777777" w:rsidTr="00CE7749">
        <w:trPr>
          <w:trHeight w:val="299"/>
        </w:trPr>
        <w:tc>
          <w:tcPr>
            <w:tcW w:w="1720" w:type="dxa"/>
            <w:vAlign w:val="center"/>
          </w:tcPr>
          <w:p w14:paraId="281A5AE5" w14:textId="77777777" w:rsidR="00DC594A" w:rsidRDefault="00DC594A" w:rsidP="00AB44F5">
            <w:pPr>
              <w:jc w:val="center"/>
              <w:rPr>
                <w:sz w:val="20"/>
                <w:szCs w:val="20"/>
              </w:rPr>
            </w:pPr>
            <w:r>
              <w:rPr>
                <w:rFonts w:eastAsia="Times New Roman"/>
                <w:sz w:val="24"/>
                <w:szCs w:val="24"/>
              </w:rPr>
              <w:t>1.2</w:t>
            </w:r>
          </w:p>
        </w:tc>
        <w:tc>
          <w:tcPr>
            <w:tcW w:w="1077" w:type="dxa"/>
            <w:vAlign w:val="center"/>
          </w:tcPr>
          <w:p w14:paraId="281A5AE6" w14:textId="77777777" w:rsidR="00DC594A" w:rsidRDefault="00DC594A" w:rsidP="00AB44F5">
            <w:pPr>
              <w:jc w:val="center"/>
              <w:rPr>
                <w:sz w:val="20"/>
                <w:szCs w:val="20"/>
              </w:rPr>
            </w:pPr>
            <w:r>
              <w:rPr>
                <w:rFonts w:eastAsia="Times New Roman"/>
                <w:sz w:val="24"/>
                <w:szCs w:val="24"/>
              </w:rPr>
              <w:t>152</w:t>
            </w:r>
          </w:p>
        </w:tc>
        <w:tc>
          <w:tcPr>
            <w:tcW w:w="1077" w:type="dxa"/>
            <w:vAlign w:val="center"/>
          </w:tcPr>
          <w:p w14:paraId="281A5AE7" w14:textId="77777777" w:rsidR="00DC594A" w:rsidRDefault="00DC594A" w:rsidP="00AB44F5">
            <w:pPr>
              <w:jc w:val="center"/>
              <w:rPr>
                <w:sz w:val="20"/>
                <w:szCs w:val="20"/>
              </w:rPr>
            </w:pPr>
            <w:r>
              <w:rPr>
                <w:rFonts w:eastAsia="Times New Roman"/>
                <w:sz w:val="24"/>
                <w:szCs w:val="24"/>
              </w:rPr>
              <w:t>180</w:t>
            </w:r>
          </w:p>
        </w:tc>
        <w:tc>
          <w:tcPr>
            <w:tcW w:w="1077" w:type="dxa"/>
            <w:vAlign w:val="center"/>
          </w:tcPr>
          <w:p w14:paraId="281A5AE8" w14:textId="77777777" w:rsidR="00DC594A" w:rsidRDefault="00DC594A" w:rsidP="00AB44F5">
            <w:pPr>
              <w:jc w:val="center"/>
              <w:rPr>
                <w:sz w:val="20"/>
                <w:szCs w:val="20"/>
              </w:rPr>
            </w:pPr>
            <w:r>
              <w:rPr>
                <w:rFonts w:eastAsia="Times New Roman"/>
                <w:sz w:val="24"/>
                <w:szCs w:val="24"/>
              </w:rPr>
              <w:t>215</w:t>
            </w:r>
          </w:p>
        </w:tc>
        <w:tc>
          <w:tcPr>
            <w:tcW w:w="1077" w:type="dxa"/>
            <w:vAlign w:val="center"/>
          </w:tcPr>
          <w:p w14:paraId="281A5AE9" w14:textId="77777777" w:rsidR="00DC594A" w:rsidRDefault="00DC594A" w:rsidP="00AB44F5">
            <w:pPr>
              <w:jc w:val="center"/>
              <w:rPr>
                <w:sz w:val="20"/>
                <w:szCs w:val="20"/>
              </w:rPr>
            </w:pPr>
            <w:r>
              <w:rPr>
                <w:rFonts w:eastAsia="Times New Roman"/>
                <w:sz w:val="24"/>
                <w:szCs w:val="24"/>
              </w:rPr>
              <w:t>259</w:t>
            </w:r>
          </w:p>
        </w:tc>
        <w:tc>
          <w:tcPr>
            <w:tcW w:w="1077" w:type="dxa"/>
            <w:vAlign w:val="center"/>
          </w:tcPr>
          <w:p w14:paraId="281A5AEA" w14:textId="77777777" w:rsidR="00DC594A" w:rsidRDefault="00DC594A" w:rsidP="00AB44F5">
            <w:pPr>
              <w:jc w:val="center"/>
              <w:rPr>
                <w:sz w:val="20"/>
                <w:szCs w:val="20"/>
              </w:rPr>
            </w:pPr>
            <w:r>
              <w:rPr>
                <w:rFonts w:eastAsia="Times New Roman"/>
                <w:sz w:val="24"/>
                <w:szCs w:val="24"/>
              </w:rPr>
              <w:t>313</w:t>
            </w:r>
          </w:p>
        </w:tc>
        <w:tc>
          <w:tcPr>
            <w:tcW w:w="1077" w:type="dxa"/>
            <w:vAlign w:val="center"/>
          </w:tcPr>
          <w:p w14:paraId="281A5AEB" w14:textId="77777777" w:rsidR="00DC594A" w:rsidRDefault="00DC594A" w:rsidP="00AB44F5">
            <w:pPr>
              <w:jc w:val="center"/>
              <w:rPr>
                <w:sz w:val="20"/>
                <w:szCs w:val="20"/>
              </w:rPr>
            </w:pPr>
            <w:r>
              <w:rPr>
                <w:rFonts w:eastAsia="Times New Roman"/>
                <w:sz w:val="24"/>
                <w:szCs w:val="24"/>
              </w:rPr>
              <w:t>376</w:t>
            </w:r>
          </w:p>
        </w:tc>
        <w:tc>
          <w:tcPr>
            <w:tcW w:w="1078" w:type="dxa"/>
            <w:vAlign w:val="center"/>
          </w:tcPr>
          <w:p w14:paraId="281A5AEC" w14:textId="77777777" w:rsidR="00DC594A" w:rsidRDefault="00DC594A" w:rsidP="00AB44F5">
            <w:pPr>
              <w:jc w:val="center"/>
              <w:rPr>
                <w:sz w:val="20"/>
                <w:szCs w:val="20"/>
              </w:rPr>
            </w:pPr>
            <w:r>
              <w:rPr>
                <w:rFonts w:eastAsia="Times New Roman"/>
                <w:sz w:val="24"/>
                <w:szCs w:val="24"/>
              </w:rPr>
              <w:t>451</w:t>
            </w:r>
          </w:p>
        </w:tc>
      </w:tr>
      <w:tr w:rsidR="00DC594A" w14:paraId="281A5AF8" w14:textId="77777777" w:rsidTr="00CE7749">
        <w:trPr>
          <w:trHeight w:val="299"/>
        </w:trPr>
        <w:tc>
          <w:tcPr>
            <w:tcW w:w="1720" w:type="dxa"/>
            <w:vAlign w:val="center"/>
          </w:tcPr>
          <w:p w14:paraId="281A5AF0" w14:textId="77777777" w:rsidR="00DC594A" w:rsidRDefault="00DC594A" w:rsidP="00AB44F5">
            <w:pPr>
              <w:jc w:val="center"/>
              <w:rPr>
                <w:sz w:val="20"/>
                <w:szCs w:val="20"/>
              </w:rPr>
            </w:pPr>
            <w:r>
              <w:rPr>
                <w:rFonts w:eastAsia="Times New Roman"/>
                <w:sz w:val="24"/>
                <w:szCs w:val="24"/>
              </w:rPr>
              <w:t>1.4</w:t>
            </w:r>
          </w:p>
        </w:tc>
        <w:tc>
          <w:tcPr>
            <w:tcW w:w="1077" w:type="dxa"/>
            <w:vAlign w:val="center"/>
          </w:tcPr>
          <w:p w14:paraId="281A5AF1" w14:textId="77777777" w:rsidR="00DC594A" w:rsidRDefault="00DC594A" w:rsidP="00AB44F5">
            <w:pPr>
              <w:jc w:val="center"/>
              <w:rPr>
                <w:sz w:val="20"/>
                <w:szCs w:val="20"/>
              </w:rPr>
            </w:pPr>
            <w:r>
              <w:rPr>
                <w:rFonts w:eastAsia="Times New Roman"/>
                <w:sz w:val="24"/>
                <w:szCs w:val="24"/>
              </w:rPr>
              <w:t>155</w:t>
            </w:r>
          </w:p>
        </w:tc>
        <w:tc>
          <w:tcPr>
            <w:tcW w:w="1077" w:type="dxa"/>
            <w:vAlign w:val="center"/>
          </w:tcPr>
          <w:p w14:paraId="281A5AF2" w14:textId="77777777" w:rsidR="00DC594A" w:rsidRDefault="00DC594A" w:rsidP="00AB44F5">
            <w:pPr>
              <w:jc w:val="center"/>
              <w:rPr>
                <w:sz w:val="20"/>
                <w:szCs w:val="20"/>
              </w:rPr>
            </w:pPr>
            <w:r>
              <w:rPr>
                <w:rFonts w:eastAsia="Times New Roman"/>
                <w:sz w:val="24"/>
                <w:szCs w:val="24"/>
              </w:rPr>
              <w:t>184</w:t>
            </w:r>
          </w:p>
        </w:tc>
        <w:tc>
          <w:tcPr>
            <w:tcW w:w="1077" w:type="dxa"/>
            <w:vAlign w:val="center"/>
          </w:tcPr>
          <w:p w14:paraId="281A5AF3" w14:textId="77777777" w:rsidR="00DC594A" w:rsidRDefault="00DC594A" w:rsidP="00AB44F5">
            <w:pPr>
              <w:jc w:val="center"/>
              <w:rPr>
                <w:sz w:val="20"/>
                <w:szCs w:val="20"/>
              </w:rPr>
            </w:pPr>
            <w:r>
              <w:rPr>
                <w:rFonts w:eastAsia="Times New Roman"/>
                <w:sz w:val="24"/>
                <w:szCs w:val="24"/>
              </w:rPr>
              <w:t>221</w:t>
            </w:r>
          </w:p>
        </w:tc>
        <w:tc>
          <w:tcPr>
            <w:tcW w:w="1077" w:type="dxa"/>
            <w:vAlign w:val="center"/>
          </w:tcPr>
          <w:p w14:paraId="281A5AF4" w14:textId="77777777" w:rsidR="00DC594A" w:rsidRDefault="00DC594A" w:rsidP="00AB44F5">
            <w:pPr>
              <w:jc w:val="center"/>
              <w:rPr>
                <w:sz w:val="20"/>
                <w:szCs w:val="20"/>
              </w:rPr>
            </w:pPr>
            <w:r>
              <w:rPr>
                <w:rFonts w:eastAsia="Times New Roman"/>
                <w:sz w:val="24"/>
                <w:szCs w:val="24"/>
              </w:rPr>
              <w:t>266</w:t>
            </w:r>
          </w:p>
        </w:tc>
        <w:tc>
          <w:tcPr>
            <w:tcW w:w="1077" w:type="dxa"/>
            <w:vAlign w:val="center"/>
          </w:tcPr>
          <w:p w14:paraId="281A5AF5" w14:textId="77777777" w:rsidR="00DC594A" w:rsidRDefault="00DC594A" w:rsidP="00AB44F5">
            <w:pPr>
              <w:jc w:val="center"/>
              <w:rPr>
                <w:sz w:val="20"/>
                <w:szCs w:val="20"/>
              </w:rPr>
            </w:pPr>
            <w:r>
              <w:rPr>
                <w:rFonts w:eastAsia="Times New Roman"/>
                <w:sz w:val="24"/>
                <w:szCs w:val="24"/>
              </w:rPr>
              <w:t>321</w:t>
            </w:r>
          </w:p>
        </w:tc>
        <w:tc>
          <w:tcPr>
            <w:tcW w:w="1077" w:type="dxa"/>
            <w:vAlign w:val="center"/>
          </w:tcPr>
          <w:p w14:paraId="281A5AF6" w14:textId="77777777" w:rsidR="00DC594A" w:rsidRDefault="00DC594A" w:rsidP="00AB44F5">
            <w:pPr>
              <w:jc w:val="center"/>
              <w:rPr>
                <w:sz w:val="20"/>
                <w:szCs w:val="20"/>
              </w:rPr>
            </w:pPr>
            <w:r>
              <w:rPr>
                <w:rFonts w:eastAsia="Times New Roman"/>
                <w:sz w:val="24"/>
                <w:szCs w:val="24"/>
              </w:rPr>
              <w:t>387</w:t>
            </w:r>
          </w:p>
        </w:tc>
        <w:tc>
          <w:tcPr>
            <w:tcW w:w="1078" w:type="dxa"/>
            <w:vAlign w:val="center"/>
          </w:tcPr>
          <w:p w14:paraId="281A5AF7" w14:textId="77777777" w:rsidR="00DC594A" w:rsidRDefault="00DC594A" w:rsidP="00AB44F5">
            <w:pPr>
              <w:jc w:val="center"/>
              <w:rPr>
                <w:sz w:val="20"/>
                <w:szCs w:val="20"/>
              </w:rPr>
            </w:pPr>
            <w:r>
              <w:rPr>
                <w:rFonts w:eastAsia="Times New Roman"/>
                <w:sz w:val="24"/>
                <w:szCs w:val="24"/>
              </w:rPr>
              <w:t>464</w:t>
            </w:r>
          </w:p>
        </w:tc>
      </w:tr>
      <w:tr w:rsidR="00DC594A" w14:paraId="281A5B03" w14:textId="77777777" w:rsidTr="00CE7749">
        <w:trPr>
          <w:trHeight w:val="299"/>
        </w:trPr>
        <w:tc>
          <w:tcPr>
            <w:tcW w:w="1720" w:type="dxa"/>
            <w:vAlign w:val="center"/>
          </w:tcPr>
          <w:p w14:paraId="281A5AFB" w14:textId="77777777" w:rsidR="00DC594A" w:rsidRDefault="00DC594A" w:rsidP="00AB44F5">
            <w:pPr>
              <w:jc w:val="center"/>
              <w:rPr>
                <w:sz w:val="20"/>
                <w:szCs w:val="20"/>
              </w:rPr>
            </w:pPr>
            <w:r>
              <w:rPr>
                <w:rFonts w:eastAsia="Times New Roman"/>
                <w:sz w:val="24"/>
                <w:szCs w:val="24"/>
              </w:rPr>
              <w:t>1.6</w:t>
            </w:r>
          </w:p>
        </w:tc>
        <w:tc>
          <w:tcPr>
            <w:tcW w:w="1077" w:type="dxa"/>
            <w:vAlign w:val="center"/>
          </w:tcPr>
          <w:p w14:paraId="281A5AFC" w14:textId="77777777" w:rsidR="00DC594A" w:rsidRDefault="00DC594A" w:rsidP="00AB44F5">
            <w:pPr>
              <w:jc w:val="center"/>
              <w:rPr>
                <w:sz w:val="20"/>
                <w:szCs w:val="20"/>
              </w:rPr>
            </w:pPr>
            <w:r>
              <w:rPr>
                <w:rFonts w:eastAsia="Times New Roman"/>
                <w:sz w:val="24"/>
                <w:szCs w:val="24"/>
              </w:rPr>
              <w:t>157</w:t>
            </w:r>
          </w:p>
        </w:tc>
        <w:tc>
          <w:tcPr>
            <w:tcW w:w="1077" w:type="dxa"/>
            <w:vAlign w:val="center"/>
          </w:tcPr>
          <w:p w14:paraId="281A5AFD" w14:textId="77777777" w:rsidR="00DC594A" w:rsidRDefault="00DC594A" w:rsidP="00AB44F5">
            <w:pPr>
              <w:jc w:val="center"/>
              <w:rPr>
                <w:sz w:val="20"/>
                <w:szCs w:val="20"/>
              </w:rPr>
            </w:pPr>
            <w:r>
              <w:rPr>
                <w:rFonts w:eastAsia="Times New Roman"/>
                <w:sz w:val="24"/>
                <w:szCs w:val="24"/>
              </w:rPr>
              <w:t>189</w:t>
            </w:r>
          </w:p>
        </w:tc>
        <w:tc>
          <w:tcPr>
            <w:tcW w:w="1077" w:type="dxa"/>
            <w:vAlign w:val="center"/>
          </w:tcPr>
          <w:p w14:paraId="281A5AFE" w14:textId="77777777" w:rsidR="00DC594A" w:rsidRDefault="00DC594A" w:rsidP="00AB44F5">
            <w:pPr>
              <w:jc w:val="center"/>
              <w:rPr>
                <w:sz w:val="20"/>
                <w:szCs w:val="20"/>
              </w:rPr>
            </w:pPr>
            <w:r>
              <w:rPr>
                <w:rFonts w:eastAsia="Times New Roman"/>
                <w:sz w:val="24"/>
                <w:szCs w:val="24"/>
              </w:rPr>
              <w:t>226</w:t>
            </w:r>
          </w:p>
        </w:tc>
        <w:tc>
          <w:tcPr>
            <w:tcW w:w="1077" w:type="dxa"/>
            <w:vAlign w:val="center"/>
          </w:tcPr>
          <w:p w14:paraId="281A5AFF" w14:textId="77777777" w:rsidR="00DC594A" w:rsidRDefault="00DC594A" w:rsidP="00AB44F5">
            <w:pPr>
              <w:jc w:val="center"/>
              <w:rPr>
                <w:sz w:val="20"/>
                <w:szCs w:val="20"/>
              </w:rPr>
            </w:pPr>
            <w:r>
              <w:rPr>
                <w:rFonts w:eastAsia="Times New Roman"/>
                <w:sz w:val="24"/>
                <w:szCs w:val="24"/>
              </w:rPr>
              <w:t>273</w:t>
            </w:r>
          </w:p>
        </w:tc>
        <w:tc>
          <w:tcPr>
            <w:tcW w:w="1077" w:type="dxa"/>
            <w:vAlign w:val="center"/>
          </w:tcPr>
          <w:p w14:paraId="281A5B00" w14:textId="77777777" w:rsidR="00DC594A" w:rsidRDefault="00DC594A" w:rsidP="00AB44F5">
            <w:pPr>
              <w:jc w:val="center"/>
              <w:rPr>
                <w:sz w:val="20"/>
                <w:szCs w:val="20"/>
              </w:rPr>
            </w:pPr>
            <w:r>
              <w:rPr>
                <w:rFonts w:eastAsia="Times New Roman"/>
                <w:sz w:val="24"/>
                <w:szCs w:val="24"/>
              </w:rPr>
              <w:t>329</w:t>
            </w:r>
          </w:p>
        </w:tc>
        <w:tc>
          <w:tcPr>
            <w:tcW w:w="1077" w:type="dxa"/>
            <w:vAlign w:val="center"/>
          </w:tcPr>
          <w:p w14:paraId="281A5B01" w14:textId="77777777" w:rsidR="00DC594A" w:rsidRDefault="00DC594A" w:rsidP="00AB44F5">
            <w:pPr>
              <w:jc w:val="center"/>
              <w:rPr>
                <w:sz w:val="20"/>
                <w:szCs w:val="20"/>
              </w:rPr>
            </w:pPr>
            <w:r>
              <w:rPr>
                <w:rFonts w:eastAsia="Times New Roman"/>
                <w:sz w:val="24"/>
                <w:szCs w:val="24"/>
              </w:rPr>
              <w:t>397</w:t>
            </w:r>
          </w:p>
        </w:tc>
        <w:tc>
          <w:tcPr>
            <w:tcW w:w="1078" w:type="dxa"/>
            <w:vAlign w:val="center"/>
          </w:tcPr>
          <w:p w14:paraId="281A5B02" w14:textId="77777777" w:rsidR="00DC594A" w:rsidRDefault="00DC594A" w:rsidP="00AB44F5">
            <w:pPr>
              <w:jc w:val="center"/>
              <w:rPr>
                <w:sz w:val="20"/>
                <w:szCs w:val="20"/>
              </w:rPr>
            </w:pPr>
            <w:r>
              <w:rPr>
                <w:rFonts w:eastAsia="Times New Roman"/>
                <w:sz w:val="24"/>
                <w:szCs w:val="24"/>
              </w:rPr>
              <w:t>477</w:t>
            </w:r>
          </w:p>
        </w:tc>
      </w:tr>
      <w:tr w:rsidR="00DC594A" w14:paraId="281A5B0E" w14:textId="77777777" w:rsidTr="00CE7749">
        <w:trPr>
          <w:trHeight w:val="299"/>
        </w:trPr>
        <w:tc>
          <w:tcPr>
            <w:tcW w:w="1720" w:type="dxa"/>
            <w:vAlign w:val="center"/>
          </w:tcPr>
          <w:p w14:paraId="281A5B06" w14:textId="77777777" w:rsidR="00DC594A" w:rsidRDefault="00DC594A" w:rsidP="00AB44F5">
            <w:pPr>
              <w:jc w:val="center"/>
              <w:rPr>
                <w:sz w:val="20"/>
                <w:szCs w:val="20"/>
              </w:rPr>
            </w:pPr>
            <w:r>
              <w:rPr>
                <w:rFonts w:eastAsia="Times New Roman"/>
                <w:sz w:val="24"/>
                <w:szCs w:val="24"/>
              </w:rPr>
              <w:t>1.8</w:t>
            </w:r>
          </w:p>
        </w:tc>
        <w:tc>
          <w:tcPr>
            <w:tcW w:w="1077" w:type="dxa"/>
            <w:vAlign w:val="center"/>
          </w:tcPr>
          <w:p w14:paraId="281A5B07" w14:textId="77777777" w:rsidR="00DC594A" w:rsidRDefault="00DC594A" w:rsidP="00AB44F5">
            <w:pPr>
              <w:jc w:val="center"/>
              <w:rPr>
                <w:sz w:val="20"/>
                <w:szCs w:val="20"/>
              </w:rPr>
            </w:pPr>
            <w:r>
              <w:rPr>
                <w:rFonts w:eastAsia="Times New Roman"/>
                <w:sz w:val="24"/>
                <w:szCs w:val="24"/>
              </w:rPr>
              <w:t>162</w:t>
            </w:r>
          </w:p>
        </w:tc>
        <w:tc>
          <w:tcPr>
            <w:tcW w:w="1077" w:type="dxa"/>
            <w:vAlign w:val="center"/>
          </w:tcPr>
          <w:p w14:paraId="281A5B08" w14:textId="77777777" w:rsidR="00DC594A" w:rsidRDefault="00DC594A" w:rsidP="00AB44F5">
            <w:pPr>
              <w:jc w:val="center"/>
              <w:rPr>
                <w:sz w:val="20"/>
                <w:szCs w:val="20"/>
              </w:rPr>
            </w:pPr>
            <w:r>
              <w:rPr>
                <w:rFonts w:eastAsia="Times New Roman"/>
                <w:sz w:val="24"/>
                <w:szCs w:val="24"/>
              </w:rPr>
              <w:t>193</w:t>
            </w:r>
          </w:p>
        </w:tc>
        <w:tc>
          <w:tcPr>
            <w:tcW w:w="1077" w:type="dxa"/>
            <w:vAlign w:val="center"/>
          </w:tcPr>
          <w:p w14:paraId="281A5B09" w14:textId="77777777" w:rsidR="00DC594A" w:rsidRDefault="00DC594A" w:rsidP="00AB44F5">
            <w:pPr>
              <w:jc w:val="center"/>
              <w:rPr>
                <w:sz w:val="20"/>
                <w:szCs w:val="20"/>
              </w:rPr>
            </w:pPr>
            <w:r>
              <w:rPr>
                <w:rFonts w:eastAsia="Times New Roman"/>
                <w:sz w:val="24"/>
                <w:szCs w:val="24"/>
              </w:rPr>
              <w:t>231</w:t>
            </w:r>
          </w:p>
        </w:tc>
        <w:tc>
          <w:tcPr>
            <w:tcW w:w="1077" w:type="dxa"/>
            <w:vAlign w:val="center"/>
          </w:tcPr>
          <w:p w14:paraId="281A5B0A" w14:textId="77777777" w:rsidR="00DC594A" w:rsidRDefault="00DC594A" w:rsidP="00AB44F5">
            <w:pPr>
              <w:jc w:val="center"/>
              <w:rPr>
                <w:sz w:val="20"/>
                <w:szCs w:val="20"/>
              </w:rPr>
            </w:pPr>
            <w:r>
              <w:rPr>
                <w:rFonts w:eastAsia="Times New Roman"/>
                <w:sz w:val="24"/>
                <w:szCs w:val="24"/>
              </w:rPr>
              <w:t>279</w:t>
            </w:r>
          </w:p>
        </w:tc>
        <w:tc>
          <w:tcPr>
            <w:tcW w:w="1077" w:type="dxa"/>
            <w:vAlign w:val="center"/>
          </w:tcPr>
          <w:p w14:paraId="281A5B0B" w14:textId="77777777" w:rsidR="00DC594A" w:rsidRDefault="00DC594A" w:rsidP="00AB44F5">
            <w:pPr>
              <w:jc w:val="center"/>
              <w:rPr>
                <w:sz w:val="20"/>
                <w:szCs w:val="20"/>
              </w:rPr>
            </w:pPr>
            <w:r>
              <w:rPr>
                <w:rFonts w:eastAsia="Times New Roman"/>
                <w:sz w:val="24"/>
                <w:szCs w:val="24"/>
              </w:rPr>
              <w:t>338</w:t>
            </w:r>
          </w:p>
        </w:tc>
        <w:tc>
          <w:tcPr>
            <w:tcW w:w="1077" w:type="dxa"/>
            <w:vAlign w:val="center"/>
          </w:tcPr>
          <w:p w14:paraId="281A5B0C" w14:textId="77777777" w:rsidR="00DC594A" w:rsidRDefault="00DC594A" w:rsidP="00AB44F5">
            <w:pPr>
              <w:jc w:val="center"/>
              <w:rPr>
                <w:sz w:val="20"/>
                <w:szCs w:val="20"/>
              </w:rPr>
            </w:pPr>
            <w:r>
              <w:rPr>
                <w:rFonts w:eastAsia="Times New Roman"/>
                <w:sz w:val="24"/>
                <w:szCs w:val="24"/>
              </w:rPr>
              <w:t>407</w:t>
            </w:r>
          </w:p>
        </w:tc>
        <w:tc>
          <w:tcPr>
            <w:tcW w:w="1078" w:type="dxa"/>
            <w:vAlign w:val="center"/>
          </w:tcPr>
          <w:p w14:paraId="281A5B0D" w14:textId="77777777" w:rsidR="00DC594A" w:rsidRDefault="00DC594A" w:rsidP="00AB44F5">
            <w:pPr>
              <w:jc w:val="center"/>
              <w:rPr>
                <w:sz w:val="20"/>
                <w:szCs w:val="20"/>
              </w:rPr>
            </w:pPr>
            <w:r>
              <w:rPr>
                <w:rFonts w:eastAsia="Times New Roman"/>
                <w:sz w:val="24"/>
                <w:szCs w:val="24"/>
              </w:rPr>
              <w:t>489</w:t>
            </w:r>
          </w:p>
        </w:tc>
      </w:tr>
      <w:tr w:rsidR="00DC594A" w14:paraId="281A5B19" w14:textId="77777777" w:rsidTr="00CE7749">
        <w:trPr>
          <w:trHeight w:val="299"/>
        </w:trPr>
        <w:tc>
          <w:tcPr>
            <w:tcW w:w="1720" w:type="dxa"/>
            <w:vAlign w:val="center"/>
          </w:tcPr>
          <w:p w14:paraId="281A5B11" w14:textId="77777777" w:rsidR="00DC594A" w:rsidRDefault="00DC594A" w:rsidP="00AB44F5">
            <w:pPr>
              <w:jc w:val="center"/>
              <w:rPr>
                <w:sz w:val="20"/>
                <w:szCs w:val="20"/>
              </w:rPr>
            </w:pPr>
            <w:r>
              <w:rPr>
                <w:rFonts w:eastAsia="Times New Roman"/>
                <w:sz w:val="24"/>
                <w:szCs w:val="24"/>
              </w:rPr>
              <w:t>2.0</w:t>
            </w:r>
          </w:p>
        </w:tc>
        <w:tc>
          <w:tcPr>
            <w:tcW w:w="1077" w:type="dxa"/>
            <w:vAlign w:val="center"/>
          </w:tcPr>
          <w:p w14:paraId="281A5B12" w14:textId="77777777" w:rsidR="00DC594A" w:rsidRDefault="00DC594A" w:rsidP="00AB44F5">
            <w:pPr>
              <w:jc w:val="center"/>
              <w:rPr>
                <w:sz w:val="20"/>
                <w:szCs w:val="20"/>
              </w:rPr>
            </w:pPr>
            <w:r>
              <w:rPr>
                <w:rFonts w:eastAsia="Times New Roman"/>
                <w:sz w:val="24"/>
                <w:szCs w:val="24"/>
              </w:rPr>
              <w:t>165</w:t>
            </w:r>
          </w:p>
        </w:tc>
        <w:tc>
          <w:tcPr>
            <w:tcW w:w="1077" w:type="dxa"/>
            <w:vAlign w:val="center"/>
          </w:tcPr>
          <w:p w14:paraId="281A5B13" w14:textId="77777777" w:rsidR="00DC594A" w:rsidRDefault="00DC594A" w:rsidP="00AB44F5">
            <w:pPr>
              <w:jc w:val="center"/>
              <w:rPr>
                <w:sz w:val="20"/>
                <w:szCs w:val="20"/>
              </w:rPr>
            </w:pPr>
            <w:r>
              <w:rPr>
                <w:rFonts w:eastAsia="Times New Roman"/>
                <w:sz w:val="24"/>
                <w:szCs w:val="24"/>
              </w:rPr>
              <w:t>197</w:t>
            </w:r>
          </w:p>
        </w:tc>
        <w:tc>
          <w:tcPr>
            <w:tcW w:w="1077" w:type="dxa"/>
            <w:vAlign w:val="center"/>
          </w:tcPr>
          <w:p w14:paraId="281A5B14" w14:textId="77777777" w:rsidR="00DC594A" w:rsidRDefault="00DC594A" w:rsidP="00AB44F5">
            <w:pPr>
              <w:jc w:val="center"/>
              <w:rPr>
                <w:sz w:val="20"/>
                <w:szCs w:val="20"/>
              </w:rPr>
            </w:pPr>
            <w:r>
              <w:rPr>
                <w:rFonts w:eastAsia="Times New Roman"/>
                <w:sz w:val="24"/>
                <w:szCs w:val="24"/>
              </w:rPr>
              <w:t>236</w:t>
            </w:r>
          </w:p>
        </w:tc>
        <w:tc>
          <w:tcPr>
            <w:tcW w:w="1077" w:type="dxa"/>
            <w:vAlign w:val="center"/>
          </w:tcPr>
          <w:p w14:paraId="281A5B15" w14:textId="77777777" w:rsidR="00DC594A" w:rsidRDefault="00DC594A" w:rsidP="00AB44F5">
            <w:pPr>
              <w:jc w:val="center"/>
              <w:rPr>
                <w:sz w:val="20"/>
                <w:szCs w:val="20"/>
              </w:rPr>
            </w:pPr>
            <w:r>
              <w:rPr>
                <w:rFonts w:eastAsia="Times New Roman"/>
                <w:sz w:val="24"/>
                <w:szCs w:val="24"/>
              </w:rPr>
              <w:t>286</w:t>
            </w:r>
          </w:p>
        </w:tc>
        <w:tc>
          <w:tcPr>
            <w:tcW w:w="1077" w:type="dxa"/>
            <w:vAlign w:val="center"/>
          </w:tcPr>
          <w:p w14:paraId="281A5B16" w14:textId="77777777" w:rsidR="00DC594A" w:rsidRDefault="00DC594A" w:rsidP="00AB44F5">
            <w:pPr>
              <w:jc w:val="center"/>
              <w:rPr>
                <w:sz w:val="20"/>
                <w:szCs w:val="20"/>
              </w:rPr>
            </w:pPr>
            <w:r>
              <w:rPr>
                <w:rFonts w:eastAsia="Times New Roman"/>
                <w:sz w:val="24"/>
                <w:szCs w:val="24"/>
              </w:rPr>
              <w:t>346</w:t>
            </w:r>
          </w:p>
        </w:tc>
        <w:tc>
          <w:tcPr>
            <w:tcW w:w="1077" w:type="dxa"/>
            <w:vAlign w:val="center"/>
          </w:tcPr>
          <w:p w14:paraId="281A5B17" w14:textId="77777777" w:rsidR="00DC594A" w:rsidRDefault="00DC594A" w:rsidP="00AB44F5">
            <w:pPr>
              <w:jc w:val="center"/>
              <w:rPr>
                <w:sz w:val="20"/>
                <w:szCs w:val="20"/>
              </w:rPr>
            </w:pPr>
            <w:r>
              <w:rPr>
                <w:rFonts w:eastAsia="Times New Roman"/>
                <w:sz w:val="24"/>
                <w:szCs w:val="24"/>
              </w:rPr>
              <w:t>417</w:t>
            </w:r>
          </w:p>
        </w:tc>
        <w:tc>
          <w:tcPr>
            <w:tcW w:w="1078" w:type="dxa"/>
            <w:vAlign w:val="center"/>
          </w:tcPr>
          <w:p w14:paraId="281A5B18" w14:textId="77777777" w:rsidR="00DC594A" w:rsidRDefault="00DC594A" w:rsidP="00AB44F5">
            <w:pPr>
              <w:jc w:val="center"/>
              <w:rPr>
                <w:sz w:val="20"/>
                <w:szCs w:val="20"/>
              </w:rPr>
            </w:pPr>
            <w:r>
              <w:rPr>
                <w:rFonts w:eastAsia="Times New Roman"/>
                <w:sz w:val="24"/>
                <w:szCs w:val="24"/>
              </w:rPr>
              <w:t>500</w:t>
            </w:r>
          </w:p>
        </w:tc>
      </w:tr>
      <w:tr w:rsidR="00DC594A" w14:paraId="281A5B24" w14:textId="77777777" w:rsidTr="00CE7749">
        <w:trPr>
          <w:trHeight w:val="299"/>
        </w:trPr>
        <w:tc>
          <w:tcPr>
            <w:tcW w:w="1720" w:type="dxa"/>
            <w:vAlign w:val="center"/>
          </w:tcPr>
          <w:p w14:paraId="281A5B1C" w14:textId="77777777" w:rsidR="00DC594A" w:rsidRDefault="00DC594A" w:rsidP="00AB44F5">
            <w:pPr>
              <w:jc w:val="center"/>
              <w:rPr>
                <w:sz w:val="20"/>
                <w:szCs w:val="20"/>
              </w:rPr>
            </w:pPr>
            <w:r>
              <w:rPr>
                <w:rFonts w:eastAsia="Times New Roman"/>
                <w:sz w:val="24"/>
                <w:szCs w:val="24"/>
              </w:rPr>
              <w:t>2.2</w:t>
            </w:r>
          </w:p>
        </w:tc>
        <w:tc>
          <w:tcPr>
            <w:tcW w:w="1077" w:type="dxa"/>
            <w:vAlign w:val="center"/>
          </w:tcPr>
          <w:p w14:paraId="281A5B1D" w14:textId="77777777" w:rsidR="00DC594A" w:rsidRDefault="00DC594A" w:rsidP="00AB44F5">
            <w:pPr>
              <w:jc w:val="center"/>
              <w:rPr>
                <w:sz w:val="20"/>
                <w:szCs w:val="20"/>
              </w:rPr>
            </w:pPr>
            <w:r>
              <w:rPr>
                <w:rFonts w:eastAsia="Times New Roman"/>
                <w:sz w:val="24"/>
                <w:szCs w:val="24"/>
              </w:rPr>
              <w:t>169</w:t>
            </w:r>
          </w:p>
        </w:tc>
        <w:tc>
          <w:tcPr>
            <w:tcW w:w="1077" w:type="dxa"/>
            <w:vAlign w:val="center"/>
          </w:tcPr>
          <w:p w14:paraId="281A5B1E" w14:textId="77777777" w:rsidR="00DC594A" w:rsidRDefault="00DC594A" w:rsidP="00AB44F5">
            <w:pPr>
              <w:jc w:val="center"/>
              <w:rPr>
                <w:sz w:val="20"/>
                <w:szCs w:val="20"/>
              </w:rPr>
            </w:pPr>
            <w:r>
              <w:rPr>
                <w:rFonts w:eastAsia="Times New Roman"/>
                <w:sz w:val="24"/>
                <w:szCs w:val="24"/>
              </w:rPr>
              <w:t>201</w:t>
            </w:r>
          </w:p>
        </w:tc>
        <w:tc>
          <w:tcPr>
            <w:tcW w:w="1077" w:type="dxa"/>
            <w:vAlign w:val="center"/>
          </w:tcPr>
          <w:p w14:paraId="281A5B1F" w14:textId="77777777" w:rsidR="00DC594A" w:rsidRDefault="00DC594A" w:rsidP="00AB44F5">
            <w:pPr>
              <w:jc w:val="center"/>
              <w:rPr>
                <w:sz w:val="20"/>
                <w:szCs w:val="20"/>
              </w:rPr>
            </w:pPr>
            <w:r>
              <w:rPr>
                <w:rFonts w:eastAsia="Times New Roman"/>
                <w:sz w:val="24"/>
                <w:szCs w:val="24"/>
              </w:rPr>
              <w:t>242</w:t>
            </w:r>
          </w:p>
        </w:tc>
        <w:tc>
          <w:tcPr>
            <w:tcW w:w="1077" w:type="dxa"/>
            <w:vAlign w:val="center"/>
          </w:tcPr>
          <w:p w14:paraId="281A5B20" w14:textId="77777777" w:rsidR="00DC594A" w:rsidRDefault="00DC594A" w:rsidP="00AB44F5">
            <w:pPr>
              <w:jc w:val="center"/>
              <w:rPr>
                <w:sz w:val="20"/>
                <w:szCs w:val="20"/>
              </w:rPr>
            </w:pPr>
            <w:r>
              <w:rPr>
                <w:rFonts w:eastAsia="Times New Roman"/>
                <w:sz w:val="24"/>
                <w:szCs w:val="24"/>
              </w:rPr>
              <w:t>297</w:t>
            </w:r>
          </w:p>
        </w:tc>
        <w:tc>
          <w:tcPr>
            <w:tcW w:w="1077" w:type="dxa"/>
            <w:vAlign w:val="center"/>
          </w:tcPr>
          <w:p w14:paraId="281A5B21" w14:textId="77777777" w:rsidR="00DC594A" w:rsidRDefault="00DC594A" w:rsidP="00AB44F5">
            <w:pPr>
              <w:jc w:val="center"/>
              <w:rPr>
                <w:sz w:val="20"/>
                <w:szCs w:val="20"/>
              </w:rPr>
            </w:pPr>
            <w:r>
              <w:rPr>
                <w:rFonts w:eastAsia="Times New Roman"/>
                <w:sz w:val="24"/>
                <w:szCs w:val="24"/>
              </w:rPr>
              <w:t>353</w:t>
            </w:r>
          </w:p>
        </w:tc>
        <w:tc>
          <w:tcPr>
            <w:tcW w:w="1077" w:type="dxa"/>
            <w:vAlign w:val="center"/>
          </w:tcPr>
          <w:p w14:paraId="281A5B22" w14:textId="77777777" w:rsidR="00DC594A" w:rsidRDefault="00DC594A" w:rsidP="00AB44F5">
            <w:pPr>
              <w:jc w:val="center"/>
              <w:rPr>
                <w:sz w:val="20"/>
                <w:szCs w:val="20"/>
              </w:rPr>
            </w:pPr>
            <w:r>
              <w:rPr>
                <w:rFonts w:eastAsia="Times New Roman"/>
                <w:sz w:val="24"/>
                <w:szCs w:val="24"/>
              </w:rPr>
              <w:t>426</w:t>
            </w:r>
          </w:p>
        </w:tc>
        <w:tc>
          <w:tcPr>
            <w:tcW w:w="1078" w:type="dxa"/>
            <w:vAlign w:val="center"/>
          </w:tcPr>
          <w:p w14:paraId="281A5B23" w14:textId="77777777" w:rsidR="00DC594A" w:rsidRDefault="00DC594A" w:rsidP="00AB44F5">
            <w:pPr>
              <w:jc w:val="center"/>
              <w:rPr>
                <w:sz w:val="20"/>
                <w:szCs w:val="20"/>
              </w:rPr>
            </w:pPr>
            <w:r>
              <w:rPr>
                <w:rFonts w:eastAsia="Times New Roman"/>
                <w:sz w:val="24"/>
                <w:szCs w:val="24"/>
              </w:rPr>
              <w:t>511</w:t>
            </w:r>
          </w:p>
        </w:tc>
      </w:tr>
      <w:tr w:rsidR="00DC594A" w14:paraId="281A5B2F" w14:textId="77777777" w:rsidTr="00CE7749">
        <w:trPr>
          <w:trHeight w:val="299"/>
        </w:trPr>
        <w:tc>
          <w:tcPr>
            <w:tcW w:w="1720" w:type="dxa"/>
            <w:vAlign w:val="center"/>
          </w:tcPr>
          <w:p w14:paraId="281A5B27" w14:textId="77777777" w:rsidR="00DC594A" w:rsidRDefault="00DC594A" w:rsidP="00AB44F5">
            <w:pPr>
              <w:jc w:val="center"/>
              <w:rPr>
                <w:sz w:val="20"/>
                <w:szCs w:val="20"/>
              </w:rPr>
            </w:pPr>
            <w:r>
              <w:rPr>
                <w:rFonts w:eastAsia="Times New Roman"/>
                <w:sz w:val="24"/>
                <w:szCs w:val="24"/>
              </w:rPr>
              <w:t>2.4</w:t>
            </w:r>
          </w:p>
        </w:tc>
        <w:tc>
          <w:tcPr>
            <w:tcW w:w="1077" w:type="dxa"/>
            <w:vAlign w:val="center"/>
          </w:tcPr>
          <w:p w14:paraId="281A5B28" w14:textId="77777777" w:rsidR="00DC594A" w:rsidRDefault="00DC594A" w:rsidP="00AB44F5">
            <w:pPr>
              <w:jc w:val="center"/>
              <w:rPr>
                <w:sz w:val="20"/>
                <w:szCs w:val="20"/>
              </w:rPr>
            </w:pPr>
            <w:r>
              <w:rPr>
                <w:rFonts w:eastAsia="Times New Roman"/>
                <w:sz w:val="24"/>
                <w:szCs w:val="24"/>
              </w:rPr>
              <w:t>172</w:t>
            </w:r>
          </w:p>
        </w:tc>
        <w:tc>
          <w:tcPr>
            <w:tcW w:w="1077" w:type="dxa"/>
            <w:vAlign w:val="center"/>
          </w:tcPr>
          <w:p w14:paraId="281A5B29" w14:textId="77777777" w:rsidR="00DC594A" w:rsidRDefault="00DC594A" w:rsidP="00AB44F5">
            <w:pPr>
              <w:jc w:val="center"/>
              <w:rPr>
                <w:sz w:val="20"/>
                <w:szCs w:val="20"/>
              </w:rPr>
            </w:pPr>
            <w:r>
              <w:rPr>
                <w:rFonts w:eastAsia="Times New Roman"/>
                <w:sz w:val="24"/>
                <w:szCs w:val="24"/>
              </w:rPr>
              <w:t>205</w:t>
            </w:r>
          </w:p>
        </w:tc>
        <w:tc>
          <w:tcPr>
            <w:tcW w:w="1077" w:type="dxa"/>
            <w:vAlign w:val="center"/>
          </w:tcPr>
          <w:p w14:paraId="281A5B2A" w14:textId="77777777" w:rsidR="00DC594A" w:rsidRDefault="00DC594A" w:rsidP="00AB44F5">
            <w:pPr>
              <w:jc w:val="center"/>
              <w:rPr>
                <w:sz w:val="20"/>
                <w:szCs w:val="20"/>
              </w:rPr>
            </w:pPr>
            <w:r>
              <w:rPr>
                <w:rFonts w:eastAsia="Times New Roman"/>
                <w:sz w:val="24"/>
                <w:szCs w:val="24"/>
              </w:rPr>
              <w:t>247</w:t>
            </w:r>
          </w:p>
        </w:tc>
        <w:tc>
          <w:tcPr>
            <w:tcW w:w="1077" w:type="dxa"/>
            <w:vAlign w:val="center"/>
          </w:tcPr>
          <w:p w14:paraId="281A5B2B" w14:textId="77777777" w:rsidR="00DC594A" w:rsidRDefault="00DC594A" w:rsidP="00AB44F5">
            <w:pPr>
              <w:jc w:val="center"/>
              <w:rPr>
                <w:sz w:val="20"/>
                <w:szCs w:val="20"/>
              </w:rPr>
            </w:pPr>
            <w:r>
              <w:rPr>
                <w:rFonts w:eastAsia="Times New Roman"/>
                <w:sz w:val="24"/>
                <w:szCs w:val="24"/>
              </w:rPr>
              <w:t>298</w:t>
            </w:r>
          </w:p>
        </w:tc>
        <w:tc>
          <w:tcPr>
            <w:tcW w:w="1077" w:type="dxa"/>
            <w:vAlign w:val="center"/>
          </w:tcPr>
          <w:p w14:paraId="281A5B2C" w14:textId="77777777" w:rsidR="00DC594A" w:rsidRDefault="00DC594A" w:rsidP="00AB44F5">
            <w:pPr>
              <w:jc w:val="center"/>
              <w:rPr>
                <w:sz w:val="20"/>
                <w:szCs w:val="20"/>
              </w:rPr>
            </w:pPr>
            <w:r>
              <w:rPr>
                <w:rFonts w:eastAsia="Times New Roman"/>
                <w:sz w:val="24"/>
                <w:szCs w:val="24"/>
              </w:rPr>
              <w:t>361</w:t>
            </w:r>
          </w:p>
        </w:tc>
        <w:tc>
          <w:tcPr>
            <w:tcW w:w="1077" w:type="dxa"/>
            <w:vAlign w:val="center"/>
          </w:tcPr>
          <w:p w14:paraId="281A5B2D" w14:textId="77777777" w:rsidR="00DC594A" w:rsidRDefault="00DC594A" w:rsidP="00AB44F5">
            <w:pPr>
              <w:jc w:val="center"/>
              <w:rPr>
                <w:sz w:val="20"/>
                <w:szCs w:val="20"/>
              </w:rPr>
            </w:pPr>
            <w:r>
              <w:rPr>
                <w:rFonts w:eastAsia="Times New Roman"/>
                <w:sz w:val="24"/>
                <w:szCs w:val="24"/>
              </w:rPr>
              <w:t>435</w:t>
            </w:r>
          </w:p>
        </w:tc>
        <w:tc>
          <w:tcPr>
            <w:tcW w:w="1078" w:type="dxa"/>
            <w:vAlign w:val="center"/>
          </w:tcPr>
          <w:p w14:paraId="281A5B2E" w14:textId="77777777" w:rsidR="00DC594A" w:rsidRDefault="00DC594A" w:rsidP="00AB44F5">
            <w:pPr>
              <w:jc w:val="center"/>
              <w:rPr>
                <w:sz w:val="20"/>
                <w:szCs w:val="20"/>
              </w:rPr>
            </w:pPr>
            <w:r>
              <w:rPr>
                <w:rFonts w:eastAsia="Times New Roman"/>
                <w:sz w:val="24"/>
                <w:szCs w:val="24"/>
              </w:rPr>
              <w:t>522</w:t>
            </w:r>
          </w:p>
        </w:tc>
      </w:tr>
      <w:tr w:rsidR="00DC594A" w14:paraId="281A5B3A" w14:textId="77777777" w:rsidTr="00CE7749">
        <w:trPr>
          <w:trHeight w:val="299"/>
        </w:trPr>
        <w:tc>
          <w:tcPr>
            <w:tcW w:w="1720" w:type="dxa"/>
            <w:vAlign w:val="center"/>
          </w:tcPr>
          <w:p w14:paraId="281A5B32" w14:textId="77777777" w:rsidR="00DC594A" w:rsidRDefault="00DC594A" w:rsidP="00AB44F5">
            <w:pPr>
              <w:jc w:val="center"/>
              <w:rPr>
                <w:sz w:val="20"/>
                <w:szCs w:val="20"/>
              </w:rPr>
            </w:pPr>
            <w:r>
              <w:rPr>
                <w:rFonts w:eastAsia="Times New Roman"/>
                <w:sz w:val="24"/>
                <w:szCs w:val="24"/>
              </w:rPr>
              <w:t>2.6</w:t>
            </w:r>
          </w:p>
        </w:tc>
        <w:tc>
          <w:tcPr>
            <w:tcW w:w="1077" w:type="dxa"/>
            <w:vAlign w:val="center"/>
          </w:tcPr>
          <w:p w14:paraId="281A5B33" w14:textId="77777777" w:rsidR="00DC594A" w:rsidRDefault="00DC594A" w:rsidP="00AB44F5">
            <w:pPr>
              <w:jc w:val="center"/>
              <w:rPr>
                <w:sz w:val="20"/>
                <w:szCs w:val="20"/>
              </w:rPr>
            </w:pPr>
            <w:r>
              <w:rPr>
                <w:rFonts w:eastAsia="Times New Roman"/>
                <w:sz w:val="24"/>
                <w:szCs w:val="24"/>
              </w:rPr>
              <w:t>175</w:t>
            </w:r>
          </w:p>
        </w:tc>
        <w:tc>
          <w:tcPr>
            <w:tcW w:w="1077" w:type="dxa"/>
            <w:vAlign w:val="center"/>
          </w:tcPr>
          <w:p w14:paraId="281A5B34" w14:textId="77777777" w:rsidR="00DC594A" w:rsidRDefault="00DC594A" w:rsidP="00AB44F5">
            <w:pPr>
              <w:jc w:val="center"/>
              <w:rPr>
                <w:sz w:val="20"/>
                <w:szCs w:val="20"/>
              </w:rPr>
            </w:pPr>
            <w:r>
              <w:rPr>
                <w:rFonts w:eastAsia="Times New Roman"/>
                <w:sz w:val="24"/>
                <w:szCs w:val="24"/>
              </w:rPr>
              <w:t>209</w:t>
            </w:r>
          </w:p>
        </w:tc>
        <w:tc>
          <w:tcPr>
            <w:tcW w:w="1077" w:type="dxa"/>
            <w:vAlign w:val="center"/>
          </w:tcPr>
          <w:p w14:paraId="281A5B35" w14:textId="77777777" w:rsidR="00DC594A" w:rsidRDefault="00DC594A" w:rsidP="00AB44F5">
            <w:pPr>
              <w:jc w:val="center"/>
              <w:rPr>
                <w:sz w:val="20"/>
                <w:szCs w:val="20"/>
              </w:rPr>
            </w:pPr>
            <w:r>
              <w:rPr>
                <w:rFonts w:eastAsia="Times New Roman"/>
                <w:sz w:val="24"/>
                <w:szCs w:val="24"/>
              </w:rPr>
              <w:t>252</w:t>
            </w:r>
          </w:p>
        </w:tc>
        <w:tc>
          <w:tcPr>
            <w:tcW w:w="1077" w:type="dxa"/>
            <w:vAlign w:val="center"/>
          </w:tcPr>
          <w:p w14:paraId="281A5B36" w14:textId="77777777" w:rsidR="00DC594A" w:rsidRDefault="00DC594A" w:rsidP="00AB44F5">
            <w:pPr>
              <w:jc w:val="center"/>
              <w:rPr>
                <w:sz w:val="20"/>
                <w:szCs w:val="20"/>
              </w:rPr>
            </w:pPr>
            <w:r>
              <w:rPr>
                <w:rFonts w:eastAsia="Times New Roman"/>
                <w:sz w:val="24"/>
                <w:szCs w:val="24"/>
              </w:rPr>
              <w:t>304</w:t>
            </w:r>
          </w:p>
        </w:tc>
        <w:tc>
          <w:tcPr>
            <w:tcW w:w="1077" w:type="dxa"/>
            <w:vAlign w:val="center"/>
          </w:tcPr>
          <w:p w14:paraId="281A5B37" w14:textId="77777777" w:rsidR="00DC594A" w:rsidRDefault="00DC594A" w:rsidP="00AB44F5">
            <w:pPr>
              <w:jc w:val="center"/>
              <w:rPr>
                <w:sz w:val="20"/>
                <w:szCs w:val="20"/>
              </w:rPr>
            </w:pPr>
            <w:r>
              <w:rPr>
                <w:rFonts w:eastAsia="Times New Roman"/>
                <w:sz w:val="24"/>
                <w:szCs w:val="24"/>
              </w:rPr>
              <w:t>368</w:t>
            </w:r>
          </w:p>
        </w:tc>
        <w:tc>
          <w:tcPr>
            <w:tcW w:w="1077" w:type="dxa"/>
            <w:vAlign w:val="center"/>
          </w:tcPr>
          <w:p w14:paraId="281A5B38" w14:textId="77777777" w:rsidR="00DC594A" w:rsidRDefault="00DC594A" w:rsidP="00AB44F5">
            <w:pPr>
              <w:jc w:val="center"/>
              <w:rPr>
                <w:sz w:val="20"/>
                <w:szCs w:val="20"/>
              </w:rPr>
            </w:pPr>
            <w:r>
              <w:rPr>
                <w:rFonts w:eastAsia="Times New Roman"/>
                <w:sz w:val="24"/>
                <w:szCs w:val="24"/>
              </w:rPr>
              <w:t>444</w:t>
            </w:r>
          </w:p>
        </w:tc>
        <w:tc>
          <w:tcPr>
            <w:tcW w:w="1078" w:type="dxa"/>
            <w:vAlign w:val="center"/>
          </w:tcPr>
          <w:p w14:paraId="281A5B39" w14:textId="77777777" w:rsidR="00DC594A" w:rsidRDefault="00DC594A" w:rsidP="00AB44F5">
            <w:pPr>
              <w:jc w:val="center"/>
              <w:rPr>
                <w:sz w:val="20"/>
                <w:szCs w:val="20"/>
              </w:rPr>
            </w:pPr>
            <w:r>
              <w:rPr>
                <w:rFonts w:eastAsia="Times New Roman"/>
                <w:sz w:val="24"/>
                <w:szCs w:val="24"/>
              </w:rPr>
              <w:t>533</w:t>
            </w:r>
          </w:p>
        </w:tc>
      </w:tr>
      <w:tr w:rsidR="00DC594A" w14:paraId="281A5B45" w14:textId="77777777" w:rsidTr="00CE7749">
        <w:trPr>
          <w:trHeight w:val="299"/>
        </w:trPr>
        <w:tc>
          <w:tcPr>
            <w:tcW w:w="1720" w:type="dxa"/>
            <w:vAlign w:val="center"/>
          </w:tcPr>
          <w:p w14:paraId="281A5B3D" w14:textId="77777777" w:rsidR="00DC594A" w:rsidRDefault="00DC594A" w:rsidP="00AB44F5">
            <w:pPr>
              <w:jc w:val="center"/>
              <w:rPr>
                <w:sz w:val="20"/>
                <w:szCs w:val="20"/>
              </w:rPr>
            </w:pPr>
            <w:r>
              <w:rPr>
                <w:rFonts w:eastAsia="Times New Roman"/>
                <w:sz w:val="24"/>
                <w:szCs w:val="24"/>
              </w:rPr>
              <w:t>2.8</w:t>
            </w:r>
          </w:p>
        </w:tc>
        <w:tc>
          <w:tcPr>
            <w:tcW w:w="1077" w:type="dxa"/>
            <w:vAlign w:val="center"/>
          </w:tcPr>
          <w:p w14:paraId="281A5B3E" w14:textId="77777777" w:rsidR="00DC594A" w:rsidRDefault="00DC594A" w:rsidP="00AB44F5">
            <w:pPr>
              <w:jc w:val="center"/>
              <w:rPr>
                <w:sz w:val="20"/>
                <w:szCs w:val="20"/>
              </w:rPr>
            </w:pPr>
            <w:r>
              <w:rPr>
                <w:rFonts w:eastAsia="Times New Roman"/>
                <w:sz w:val="24"/>
                <w:szCs w:val="24"/>
              </w:rPr>
              <w:t>178</w:t>
            </w:r>
          </w:p>
        </w:tc>
        <w:tc>
          <w:tcPr>
            <w:tcW w:w="1077" w:type="dxa"/>
            <w:vAlign w:val="center"/>
          </w:tcPr>
          <w:p w14:paraId="281A5B3F" w14:textId="77777777" w:rsidR="00DC594A" w:rsidRDefault="00DC594A" w:rsidP="00AB44F5">
            <w:pPr>
              <w:jc w:val="center"/>
              <w:rPr>
                <w:sz w:val="20"/>
                <w:szCs w:val="20"/>
              </w:rPr>
            </w:pPr>
            <w:r>
              <w:rPr>
                <w:rFonts w:eastAsia="Times New Roman"/>
                <w:sz w:val="24"/>
                <w:szCs w:val="24"/>
              </w:rPr>
              <w:t>213</w:t>
            </w:r>
          </w:p>
        </w:tc>
        <w:tc>
          <w:tcPr>
            <w:tcW w:w="1077" w:type="dxa"/>
            <w:vAlign w:val="center"/>
          </w:tcPr>
          <w:p w14:paraId="281A5B40" w14:textId="77777777" w:rsidR="00DC594A" w:rsidRDefault="00DC594A" w:rsidP="00AB44F5">
            <w:pPr>
              <w:jc w:val="center"/>
              <w:rPr>
                <w:sz w:val="20"/>
                <w:szCs w:val="20"/>
              </w:rPr>
            </w:pPr>
            <w:r>
              <w:rPr>
                <w:rFonts w:eastAsia="Times New Roman"/>
                <w:sz w:val="24"/>
                <w:szCs w:val="24"/>
              </w:rPr>
              <w:t>257</w:t>
            </w:r>
          </w:p>
        </w:tc>
        <w:tc>
          <w:tcPr>
            <w:tcW w:w="1077" w:type="dxa"/>
            <w:vAlign w:val="center"/>
          </w:tcPr>
          <w:p w14:paraId="281A5B41" w14:textId="77777777" w:rsidR="00DC594A" w:rsidRDefault="00DC594A" w:rsidP="00AB44F5">
            <w:pPr>
              <w:jc w:val="center"/>
              <w:rPr>
                <w:sz w:val="20"/>
                <w:szCs w:val="20"/>
              </w:rPr>
            </w:pPr>
            <w:r>
              <w:rPr>
                <w:rFonts w:eastAsia="Times New Roman"/>
                <w:sz w:val="24"/>
                <w:szCs w:val="24"/>
              </w:rPr>
              <w:t>310</w:t>
            </w:r>
          </w:p>
        </w:tc>
        <w:tc>
          <w:tcPr>
            <w:tcW w:w="1077" w:type="dxa"/>
            <w:vAlign w:val="center"/>
          </w:tcPr>
          <w:p w14:paraId="281A5B42" w14:textId="77777777" w:rsidR="00DC594A" w:rsidRDefault="00DC594A" w:rsidP="00AB44F5">
            <w:pPr>
              <w:jc w:val="center"/>
              <w:rPr>
                <w:sz w:val="20"/>
                <w:szCs w:val="20"/>
              </w:rPr>
            </w:pPr>
            <w:r>
              <w:rPr>
                <w:rFonts w:eastAsia="Times New Roman"/>
                <w:sz w:val="24"/>
                <w:szCs w:val="24"/>
              </w:rPr>
              <w:t>375</w:t>
            </w:r>
          </w:p>
        </w:tc>
        <w:tc>
          <w:tcPr>
            <w:tcW w:w="1077" w:type="dxa"/>
            <w:vAlign w:val="center"/>
          </w:tcPr>
          <w:p w14:paraId="281A5B43" w14:textId="77777777" w:rsidR="00DC594A" w:rsidRDefault="00DC594A" w:rsidP="00AB44F5">
            <w:pPr>
              <w:jc w:val="center"/>
              <w:rPr>
                <w:sz w:val="20"/>
                <w:szCs w:val="20"/>
              </w:rPr>
            </w:pPr>
            <w:r>
              <w:rPr>
                <w:rFonts w:eastAsia="Times New Roman"/>
                <w:sz w:val="24"/>
                <w:szCs w:val="24"/>
              </w:rPr>
              <w:t>452</w:t>
            </w:r>
          </w:p>
        </w:tc>
        <w:tc>
          <w:tcPr>
            <w:tcW w:w="1078" w:type="dxa"/>
            <w:vAlign w:val="center"/>
          </w:tcPr>
          <w:p w14:paraId="281A5B44" w14:textId="77777777" w:rsidR="00DC594A" w:rsidRDefault="00DC594A" w:rsidP="00AB44F5">
            <w:pPr>
              <w:jc w:val="center"/>
              <w:rPr>
                <w:sz w:val="20"/>
                <w:szCs w:val="20"/>
              </w:rPr>
            </w:pPr>
            <w:r>
              <w:rPr>
                <w:rFonts w:eastAsia="Times New Roman"/>
                <w:sz w:val="24"/>
                <w:szCs w:val="24"/>
              </w:rPr>
              <w:t>543</w:t>
            </w:r>
          </w:p>
        </w:tc>
      </w:tr>
      <w:tr w:rsidR="00DC594A" w14:paraId="281A5B50" w14:textId="77777777" w:rsidTr="00CE7749">
        <w:trPr>
          <w:trHeight w:val="299"/>
        </w:trPr>
        <w:tc>
          <w:tcPr>
            <w:tcW w:w="1720" w:type="dxa"/>
            <w:vAlign w:val="center"/>
          </w:tcPr>
          <w:p w14:paraId="281A5B48" w14:textId="77777777" w:rsidR="00DC594A" w:rsidRDefault="00DC594A" w:rsidP="00AB44F5">
            <w:pPr>
              <w:jc w:val="center"/>
              <w:rPr>
                <w:sz w:val="20"/>
                <w:szCs w:val="20"/>
              </w:rPr>
            </w:pPr>
            <w:r>
              <w:rPr>
                <w:rFonts w:eastAsia="Times New Roman"/>
                <w:sz w:val="24"/>
                <w:szCs w:val="24"/>
              </w:rPr>
              <w:t>3.0</w:t>
            </w:r>
          </w:p>
        </w:tc>
        <w:tc>
          <w:tcPr>
            <w:tcW w:w="1077" w:type="dxa"/>
            <w:vAlign w:val="center"/>
          </w:tcPr>
          <w:p w14:paraId="281A5B49" w14:textId="77777777" w:rsidR="00DC594A" w:rsidRDefault="00DC594A" w:rsidP="00AB44F5">
            <w:pPr>
              <w:jc w:val="center"/>
              <w:rPr>
                <w:sz w:val="20"/>
                <w:szCs w:val="20"/>
              </w:rPr>
            </w:pPr>
            <w:r>
              <w:rPr>
                <w:rFonts w:eastAsia="Times New Roman"/>
                <w:sz w:val="24"/>
                <w:szCs w:val="24"/>
              </w:rPr>
              <w:t>181</w:t>
            </w:r>
          </w:p>
        </w:tc>
        <w:tc>
          <w:tcPr>
            <w:tcW w:w="1077" w:type="dxa"/>
            <w:vAlign w:val="center"/>
          </w:tcPr>
          <w:p w14:paraId="281A5B4A" w14:textId="77777777" w:rsidR="00DC594A" w:rsidRDefault="00DC594A" w:rsidP="00AB44F5">
            <w:pPr>
              <w:jc w:val="center"/>
              <w:rPr>
                <w:sz w:val="20"/>
                <w:szCs w:val="20"/>
              </w:rPr>
            </w:pPr>
            <w:r>
              <w:rPr>
                <w:rFonts w:eastAsia="Times New Roman"/>
                <w:sz w:val="24"/>
                <w:szCs w:val="24"/>
              </w:rPr>
              <w:t>217</w:t>
            </w:r>
          </w:p>
        </w:tc>
        <w:tc>
          <w:tcPr>
            <w:tcW w:w="1077" w:type="dxa"/>
            <w:vAlign w:val="center"/>
          </w:tcPr>
          <w:p w14:paraId="281A5B4B" w14:textId="77777777" w:rsidR="00DC594A" w:rsidRDefault="00DC594A" w:rsidP="00AB44F5">
            <w:pPr>
              <w:jc w:val="center"/>
              <w:rPr>
                <w:sz w:val="20"/>
                <w:szCs w:val="20"/>
              </w:rPr>
            </w:pPr>
            <w:r>
              <w:rPr>
                <w:rFonts w:eastAsia="Times New Roman"/>
                <w:sz w:val="24"/>
                <w:szCs w:val="24"/>
              </w:rPr>
              <w:t>261</w:t>
            </w:r>
          </w:p>
        </w:tc>
        <w:tc>
          <w:tcPr>
            <w:tcW w:w="1077" w:type="dxa"/>
            <w:vAlign w:val="center"/>
          </w:tcPr>
          <w:p w14:paraId="281A5B4C" w14:textId="77777777" w:rsidR="00DC594A" w:rsidRDefault="00DC594A" w:rsidP="00AB44F5">
            <w:pPr>
              <w:jc w:val="center"/>
              <w:rPr>
                <w:sz w:val="20"/>
                <w:szCs w:val="20"/>
              </w:rPr>
            </w:pPr>
            <w:r>
              <w:rPr>
                <w:rFonts w:eastAsia="Times New Roman"/>
                <w:sz w:val="24"/>
                <w:szCs w:val="24"/>
              </w:rPr>
              <w:t>316</w:t>
            </w:r>
          </w:p>
        </w:tc>
        <w:tc>
          <w:tcPr>
            <w:tcW w:w="1077" w:type="dxa"/>
            <w:vAlign w:val="center"/>
          </w:tcPr>
          <w:p w14:paraId="281A5B4D" w14:textId="77777777" w:rsidR="00DC594A" w:rsidRDefault="00DC594A" w:rsidP="00AB44F5">
            <w:pPr>
              <w:jc w:val="center"/>
              <w:rPr>
                <w:sz w:val="20"/>
                <w:szCs w:val="20"/>
              </w:rPr>
            </w:pPr>
            <w:r>
              <w:rPr>
                <w:rFonts w:eastAsia="Times New Roman"/>
                <w:sz w:val="24"/>
                <w:szCs w:val="24"/>
              </w:rPr>
              <w:t>382</w:t>
            </w:r>
          </w:p>
        </w:tc>
        <w:tc>
          <w:tcPr>
            <w:tcW w:w="1077" w:type="dxa"/>
            <w:vAlign w:val="center"/>
          </w:tcPr>
          <w:p w14:paraId="281A5B4E" w14:textId="77777777" w:rsidR="00DC594A" w:rsidRDefault="00DC594A" w:rsidP="00AB44F5">
            <w:pPr>
              <w:jc w:val="center"/>
              <w:rPr>
                <w:sz w:val="20"/>
                <w:szCs w:val="20"/>
              </w:rPr>
            </w:pPr>
            <w:r>
              <w:rPr>
                <w:rFonts w:eastAsia="Times New Roman"/>
                <w:sz w:val="24"/>
                <w:szCs w:val="24"/>
              </w:rPr>
              <w:t>460</w:t>
            </w:r>
          </w:p>
        </w:tc>
        <w:tc>
          <w:tcPr>
            <w:tcW w:w="1078" w:type="dxa"/>
            <w:vAlign w:val="center"/>
          </w:tcPr>
          <w:p w14:paraId="281A5B4F" w14:textId="77777777" w:rsidR="00DC594A" w:rsidRDefault="00DC594A" w:rsidP="00AB44F5">
            <w:pPr>
              <w:jc w:val="center"/>
              <w:rPr>
                <w:sz w:val="20"/>
                <w:szCs w:val="20"/>
              </w:rPr>
            </w:pPr>
            <w:r>
              <w:rPr>
                <w:rFonts w:eastAsia="Times New Roman"/>
                <w:sz w:val="24"/>
                <w:szCs w:val="24"/>
              </w:rPr>
              <w:t>552</w:t>
            </w:r>
          </w:p>
        </w:tc>
      </w:tr>
    </w:tbl>
    <w:p w14:paraId="281A5B51" w14:textId="77777777" w:rsidR="004647B9" w:rsidRDefault="004647B9" w:rsidP="00AB44F5">
      <w:pPr>
        <w:sectPr w:rsidR="004647B9" w:rsidSect="00EF630C">
          <w:pgSz w:w="12240" w:h="20180"/>
          <w:pgMar w:top="708" w:right="1440" w:bottom="741" w:left="620" w:header="0" w:footer="0" w:gutter="0"/>
          <w:cols w:space="720"/>
        </w:sectPr>
      </w:pPr>
    </w:p>
    <w:p w14:paraId="281A5B52" w14:textId="77777777" w:rsidR="004647B9" w:rsidRDefault="00E2436F">
      <w:pPr>
        <w:tabs>
          <w:tab w:val="left" w:pos="160"/>
        </w:tabs>
        <w:ind w:right="20"/>
        <w:jc w:val="center"/>
        <w:rPr>
          <w:sz w:val="20"/>
          <w:szCs w:val="20"/>
        </w:rPr>
      </w:pPr>
      <w:bookmarkStart w:id="259" w:name="page263"/>
      <w:bookmarkEnd w:id="25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B53" w14:textId="77777777" w:rsidR="004647B9" w:rsidRDefault="004647B9" w:rsidP="00AB44F5">
      <w:pPr>
        <w:rPr>
          <w:sz w:val="20"/>
          <w:szCs w:val="20"/>
        </w:rPr>
      </w:pPr>
    </w:p>
    <w:p w14:paraId="281A5B54" w14:textId="77777777" w:rsidR="004647B9" w:rsidRDefault="004647B9" w:rsidP="00AB44F5">
      <w:pPr>
        <w:rPr>
          <w:sz w:val="20"/>
          <w:szCs w:val="20"/>
        </w:rPr>
      </w:pPr>
    </w:p>
    <w:p w14:paraId="281A5B55" w14:textId="77777777" w:rsidR="004647B9" w:rsidRPr="00AB44F5" w:rsidRDefault="00E2436F" w:rsidP="00AB44F5">
      <w:pPr>
        <w:tabs>
          <w:tab w:val="left" w:pos="940"/>
        </w:tabs>
        <w:rPr>
          <w:sz w:val="24"/>
          <w:szCs w:val="24"/>
        </w:rPr>
      </w:pPr>
      <w:r w:rsidRPr="00AB44F5">
        <w:rPr>
          <w:rFonts w:eastAsia="Times New Roman"/>
          <w:sz w:val="24"/>
          <w:szCs w:val="24"/>
        </w:rPr>
        <w:t>22.20A:</w:t>
      </w:r>
      <w:r w:rsidRPr="00AB44F5">
        <w:rPr>
          <w:rFonts w:eastAsia="Times New Roman"/>
          <w:sz w:val="24"/>
          <w:szCs w:val="24"/>
        </w:rPr>
        <w:tab/>
        <w:t>continued</w:t>
      </w:r>
    </w:p>
    <w:p w14:paraId="281A5B56" w14:textId="77777777" w:rsidR="004647B9" w:rsidRPr="00AB44F5" w:rsidRDefault="004647B9" w:rsidP="00AB44F5">
      <w:pPr>
        <w:rPr>
          <w:sz w:val="20"/>
          <w:szCs w:val="20"/>
        </w:rPr>
      </w:pPr>
    </w:p>
    <w:p w14:paraId="281A5B57" w14:textId="77777777" w:rsidR="004647B9" w:rsidRPr="00A65D9F" w:rsidRDefault="00E2436F" w:rsidP="00AB44F5">
      <w:pPr>
        <w:numPr>
          <w:ilvl w:val="0"/>
          <w:numId w:val="588"/>
        </w:numPr>
        <w:tabs>
          <w:tab w:val="left" w:pos="360"/>
        </w:tabs>
        <w:ind w:left="360" w:hanging="350"/>
        <w:jc w:val="both"/>
        <w:rPr>
          <w:rFonts w:eastAsia="Times New Roman"/>
          <w:sz w:val="24"/>
          <w:szCs w:val="24"/>
        </w:rPr>
      </w:pPr>
      <w:r w:rsidRPr="00A65D9F">
        <w:rPr>
          <w:rFonts w:eastAsia="Times New Roman"/>
          <w:sz w:val="24"/>
          <w:szCs w:val="24"/>
        </w:rPr>
        <w:t>These CT values achieve greater than a 99.99% inactivation of Viruses. CT values between the indicated pH values may be determined by linear interpolation. CT values between the indicated temperatures of different tables may be determined by linear interpolation. If no interpolation is used, use the CT</w:t>
      </w:r>
      <w:r w:rsidRPr="00A65D9F">
        <w:rPr>
          <w:rFonts w:eastAsia="Times New Roman"/>
          <w:sz w:val="24"/>
          <w:szCs w:val="24"/>
          <w:vertAlign w:val="subscript"/>
        </w:rPr>
        <w:t>99.9</w:t>
      </w:r>
      <w:r w:rsidRPr="00A65D9F">
        <w:rPr>
          <w:rFonts w:eastAsia="Times New Roman"/>
          <w:sz w:val="24"/>
          <w:szCs w:val="24"/>
        </w:rPr>
        <w:t xml:space="preserve"> value at the lower temperature and at the higher pH</w:t>
      </w:r>
      <w:r w:rsidRPr="00A65D9F" w:rsidDel="007B206E">
        <w:rPr>
          <w:rFonts w:eastAsia="Times New Roman"/>
          <w:sz w:val="24"/>
          <w:szCs w:val="24"/>
        </w:rPr>
        <w:t>.</w:t>
      </w:r>
    </w:p>
    <w:p w14:paraId="281A5B58" w14:textId="77777777" w:rsidR="004647B9" w:rsidRPr="00A65D9F" w:rsidRDefault="004647B9" w:rsidP="00AB44F5">
      <w:pPr>
        <w:rPr>
          <w:sz w:val="24"/>
          <w:szCs w:val="24"/>
        </w:rPr>
      </w:pPr>
    </w:p>
    <w:p w14:paraId="281A5B59" w14:textId="77777777" w:rsidR="004647B9" w:rsidRPr="00A65D9F" w:rsidRDefault="00E2436F" w:rsidP="00AB44F5">
      <w:pPr>
        <w:jc w:val="center"/>
        <w:rPr>
          <w:sz w:val="24"/>
          <w:szCs w:val="24"/>
        </w:rPr>
      </w:pPr>
      <w:r w:rsidRPr="00A65D9F">
        <w:rPr>
          <w:rFonts w:eastAsia="Times New Roman"/>
          <w:sz w:val="24"/>
          <w:szCs w:val="24"/>
        </w:rPr>
        <w:t>TABLE 1.2 - 310 CMR 22.20A</w:t>
      </w:r>
    </w:p>
    <w:p w14:paraId="281A5B5B" w14:textId="77777777" w:rsidR="004647B9" w:rsidRPr="00A65D9F" w:rsidRDefault="00E2436F" w:rsidP="00AB44F5">
      <w:pPr>
        <w:jc w:val="center"/>
        <w:rPr>
          <w:sz w:val="24"/>
          <w:szCs w:val="24"/>
        </w:rPr>
      </w:pPr>
      <w:r w:rsidRPr="00A65D9F">
        <w:rPr>
          <w:rFonts w:eastAsia="Times New Roman"/>
          <w:sz w:val="24"/>
          <w:szCs w:val="24"/>
        </w:rPr>
        <w:t>CT VALUES (CT</w:t>
      </w:r>
      <w:r w:rsidRPr="00A65D9F">
        <w:rPr>
          <w:rFonts w:eastAsia="Times New Roman"/>
          <w:sz w:val="24"/>
          <w:szCs w:val="24"/>
          <w:vertAlign w:val="subscript"/>
        </w:rPr>
        <w:t>99.9</w:t>
      </w:r>
      <w:r w:rsidRPr="00A65D9F">
        <w:rPr>
          <w:rFonts w:eastAsia="Times New Roman"/>
          <w:sz w:val="24"/>
          <w:szCs w:val="24"/>
        </w:rPr>
        <w:t xml:space="preserve">) FOR 99.9% INACTIVATION OF </w:t>
      </w:r>
      <w:r w:rsidRPr="00A65D9F">
        <w:rPr>
          <w:rFonts w:eastAsia="Times New Roman"/>
          <w:i/>
          <w:iCs/>
          <w:sz w:val="24"/>
          <w:szCs w:val="24"/>
        </w:rPr>
        <w:t>GIARDIA</w:t>
      </w:r>
    </w:p>
    <w:p w14:paraId="281A5B5C" w14:textId="2B172D00" w:rsidR="004647B9" w:rsidRPr="00AB44F5" w:rsidRDefault="00E2436F" w:rsidP="00AB44F5">
      <w:pPr>
        <w:jc w:val="center"/>
        <w:rPr>
          <w:rFonts w:eastAsia="Times New Roman"/>
          <w:sz w:val="24"/>
          <w:szCs w:val="24"/>
        </w:rPr>
      </w:pPr>
      <w:r w:rsidRPr="00A65D9F">
        <w:rPr>
          <w:rFonts w:eastAsia="Times New Roman"/>
          <w:i/>
          <w:iCs/>
          <w:sz w:val="24"/>
          <w:szCs w:val="24"/>
        </w:rPr>
        <w:t xml:space="preserve">LAMBLIA </w:t>
      </w:r>
      <w:r w:rsidRPr="00A65D9F">
        <w:rPr>
          <w:rFonts w:eastAsia="Times New Roman"/>
          <w:sz w:val="24"/>
          <w:szCs w:val="24"/>
        </w:rPr>
        <w:t>CYSTS BY FREE CHLORINE AT 5.0°C</w:t>
      </w:r>
      <w:r w:rsidRPr="00A65D9F">
        <w:rPr>
          <w:rFonts w:eastAsia="Times New Roman"/>
          <w:sz w:val="24"/>
          <w:szCs w:val="24"/>
          <w:vertAlign w:val="superscript"/>
        </w:rPr>
        <w:t>*</w:t>
      </w:r>
    </w:p>
    <w:p w14:paraId="33263025" w14:textId="77777777" w:rsidR="00545471" w:rsidRDefault="00545471" w:rsidP="00AB44F5">
      <w:pPr>
        <w:jc w:val="center"/>
        <w:rPr>
          <w:sz w:val="20"/>
          <w:szCs w:val="20"/>
        </w:rPr>
      </w:pPr>
    </w:p>
    <w:tbl>
      <w:tblPr>
        <w:tblW w:w="0" w:type="auto"/>
        <w:tblInd w:w="180" w:type="dxa"/>
        <w:tblLayout w:type="fixed"/>
        <w:tblCellMar>
          <w:left w:w="0" w:type="dxa"/>
          <w:right w:w="0" w:type="dxa"/>
        </w:tblCellMar>
        <w:tblLook w:val="04A0" w:firstRow="1" w:lastRow="0" w:firstColumn="1" w:lastColumn="0" w:noHBand="0" w:noVBand="1"/>
      </w:tblPr>
      <w:tblGrid>
        <w:gridCol w:w="1720"/>
        <w:gridCol w:w="1085"/>
        <w:gridCol w:w="1086"/>
        <w:gridCol w:w="1086"/>
        <w:gridCol w:w="1085"/>
        <w:gridCol w:w="1086"/>
        <w:gridCol w:w="1086"/>
        <w:gridCol w:w="1086"/>
      </w:tblGrid>
      <w:tr w:rsidR="004B1E13" w14:paraId="2881BB31" w14:textId="77777777" w:rsidTr="00CE7749">
        <w:trPr>
          <w:trHeight w:val="552"/>
        </w:trPr>
        <w:tc>
          <w:tcPr>
            <w:tcW w:w="1720" w:type="dxa"/>
            <w:vMerge w:val="restart"/>
            <w:tcBorders>
              <w:bottom w:val="single" w:sz="8" w:space="0" w:color="auto"/>
            </w:tcBorders>
            <w:vAlign w:val="center"/>
          </w:tcPr>
          <w:p w14:paraId="13BEE64C" w14:textId="77777777" w:rsidR="004B1E13" w:rsidRDefault="004B1E13" w:rsidP="00AB44F5">
            <w:pPr>
              <w:rPr>
                <w:sz w:val="20"/>
                <w:szCs w:val="20"/>
              </w:rPr>
            </w:pPr>
            <w:r>
              <w:rPr>
                <w:rFonts w:eastAsia="Times New Roman"/>
                <w:sz w:val="24"/>
                <w:szCs w:val="24"/>
              </w:rPr>
              <w:t>Free</w:t>
            </w:r>
          </w:p>
          <w:p w14:paraId="5154C899" w14:textId="77777777" w:rsidR="004B1E13" w:rsidRPr="004B1E13" w:rsidRDefault="004B1E13" w:rsidP="00AB44F5">
            <w:pPr>
              <w:rPr>
                <w:sz w:val="20"/>
                <w:szCs w:val="20"/>
              </w:rPr>
            </w:pPr>
            <w:r>
              <w:rPr>
                <w:rFonts w:eastAsia="Times New Roman"/>
                <w:sz w:val="24"/>
                <w:szCs w:val="24"/>
              </w:rPr>
              <w:t>Residual</w:t>
            </w:r>
          </w:p>
          <w:p w14:paraId="28D4097C" w14:textId="3CA083E1" w:rsidR="004B1E13" w:rsidRPr="004B1E13" w:rsidRDefault="004B1E13" w:rsidP="00AB44F5">
            <w:pPr>
              <w:rPr>
                <w:sz w:val="20"/>
                <w:szCs w:val="20"/>
              </w:rPr>
            </w:pPr>
            <w:r>
              <w:rPr>
                <w:rFonts w:eastAsia="Times New Roman"/>
                <w:sz w:val="24"/>
                <w:szCs w:val="24"/>
              </w:rPr>
              <w:t>(mg/l)</w:t>
            </w:r>
          </w:p>
        </w:tc>
        <w:tc>
          <w:tcPr>
            <w:tcW w:w="7600" w:type="dxa"/>
            <w:gridSpan w:val="7"/>
            <w:vAlign w:val="center"/>
          </w:tcPr>
          <w:p w14:paraId="2FE6135E" w14:textId="39AD98C2" w:rsidR="004B1E13" w:rsidRDefault="004B1E13" w:rsidP="00AB44F5">
            <w:pPr>
              <w:jc w:val="center"/>
              <w:rPr>
                <w:rFonts w:eastAsia="Times New Roman"/>
                <w:sz w:val="24"/>
                <w:szCs w:val="24"/>
              </w:rPr>
            </w:pPr>
            <w:r>
              <w:rPr>
                <w:rFonts w:eastAsia="Times New Roman"/>
                <w:sz w:val="24"/>
                <w:szCs w:val="24"/>
              </w:rPr>
              <w:t>pH</w:t>
            </w:r>
          </w:p>
        </w:tc>
      </w:tr>
      <w:tr w:rsidR="004B1E13" w14:paraId="281A5B6E" w14:textId="77777777" w:rsidTr="00CE7749">
        <w:trPr>
          <w:trHeight w:val="276"/>
        </w:trPr>
        <w:tc>
          <w:tcPr>
            <w:tcW w:w="1720" w:type="dxa"/>
            <w:vMerge/>
            <w:tcBorders>
              <w:bottom w:val="single" w:sz="8" w:space="0" w:color="auto"/>
            </w:tcBorders>
            <w:vAlign w:val="bottom"/>
          </w:tcPr>
          <w:p w14:paraId="281A5B66" w14:textId="11E18A7D" w:rsidR="004B1E13" w:rsidRDefault="004B1E13" w:rsidP="00AB44F5">
            <w:pPr>
              <w:ind w:left="280"/>
              <w:rPr>
                <w:sz w:val="20"/>
                <w:szCs w:val="20"/>
              </w:rPr>
            </w:pPr>
          </w:p>
        </w:tc>
        <w:tc>
          <w:tcPr>
            <w:tcW w:w="1085" w:type="dxa"/>
            <w:tcBorders>
              <w:bottom w:val="single" w:sz="8" w:space="0" w:color="auto"/>
            </w:tcBorders>
            <w:vAlign w:val="center"/>
          </w:tcPr>
          <w:p w14:paraId="281A5B67" w14:textId="77777777" w:rsidR="004B1E13" w:rsidRDefault="004B1E13" w:rsidP="00AB44F5">
            <w:pPr>
              <w:jc w:val="center"/>
              <w:rPr>
                <w:sz w:val="20"/>
                <w:szCs w:val="20"/>
              </w:rPr>
            </w:pPr>
            <w:r>
              <w:rPr>
                <w:rFonts w:eastAsia="Times New Roman"/>
                <w:sz w:val="24"/>
                <w:szCs w:val="24"/>
              </w:rPr>
              <w:t>&lt; 6.0</w:t>
            </w:r>
          </w:p>
        </w:tc>
        <w:tc>
          <w:tcPr>
            <w:tcW w:w="1086" w:type="dxa"/>
            <w:tcBorders>
              <w:bottom w:val="single" w:sz="8" w:space="0" w:color="auto"/>
            </w:tcBorders>
            <w:vAlign w:val="center"/>
          </w:tcPr>
          <w:p w14:paraId="281A5B68" w14:textId="77777777" w:rsidR="004B1E13" w:rsidRDefault="004B1E13" w:rsidP="00AB44F5">
            <w:pPr>
              <w:ind w:right="260"/>
              <w:jc w:val="center"/>
              <w:rPr>
                <w:sz w:val="20"/>
                <w:szCs w:val="20"/>
              </w:rPr>
            </w:pPr>
            <w:r>
              <w:rPr>
                <w:rFonts w:eastAsia="Times New Roman"/>
                <w:sz w:val="24"/>
                <w:szCs w:val="24"/>
              </w:rPr>
              <w:t>6.5</w:t>
            </w:r>
          </w:p>
        </w:tc>
        <w:tc>
          <w:tcPr>
            <w:tcW w:w="1086" w:type="dxa"/>
            <w:tcBorders>
              <w:bottom w:val="single" w:sz="8" w:space="0" w:color="auto"/>
            </w:tcBorders>
            <w:vAlign w:val="center"/>
          </w:tcPr>
          <w:p w14:paraId="281A5B69" w14:textId="77777777" w:rsidR="004B1E13" w:rsidRDefault="004B1E13" w:rsidP="00AB44F5">
            <w:pPr>
              <w:ind w:left="360"/>
              <w:jc w:val="center"/>
              <w:rPr>
                <w:sz w:val="20"/>
                <w:szCs w:val="20"/>
              </w:rPr>
            </w:pPr>
            <w:r>
              <w:rPr>
                <w:rFonts w:eastAsia="Times New Roman"/>
                <w:sz w:val="24"/>
                <w:szCs w:val="24"/>
              </w:rPr>
              <w:t>7.0</w:t>
            </w:r>
          </w:p>
        </w:tc>
        <w:tc>
          <w:tcPr>
            <w:tcW w:w="1085" w:type="dxa"/>
            <w:tcBorders>
              <w:bottom w:val="single" w:sz="8" w:space="0" w:color="auto"/>
            </w:tcBorders>
            <w:vAlign w:val="center"/>
          </w:tcPr>
          <w:p w14:paraId="281A5B6A" w14:textId="77777777" w:rsidR="004B1E13" w:rsidRDefault="004B1E13" w:rsidP="00AB44F5">
            <w:pPr>
              <w:ind w:right="260"/>
              <w:jc w:val="center"/>
              <w:rPr>
                <w:sz w:val="20"/>
                <w:szCs w:val="20"/>
              </w:rPr>
            </w:pPr>
            <w:r>
              <w:rPr>
                <w:rFonts w:eastAsia="Times New Roman"/>
                <w:sz w:val="24"/>
                <w:szCs w:val="24"/>
              </w:rPr>
              <w:t>7.5</w:t>
            </w:r>
          </w:p>
        </w:tc>
        <w:tc>
          <w:tcPr>
            <w:tcW w:w="1086" w:type="dxa"/>
            <w:tcBorders>
              <w:bottom w:val="single" w:sz="8" w:space="0" w:color="auto"/>
            </w:tcBorders>
            <w:vAlign w:val="center"/>
          </w:tcPr>
          <w:p w14:paraId="281A5B6B" w14:textId="77777777" w:rsidR="004B1E13" w:rsidRDefault="004B1E13" w:rsidP="00AB44F5">
            <w:pPr>
              <w:ind w:left="400"/>
              <w:jc w:val="center"/>
              <w:rPr>
                <w:sz w:val="20"/>
                <w:szCs w:val="20"/>
              </w:rPr>
            </w:pPr>
            <w:r>
              <w:rPr>
                <w:rFonts w:eastAsia="Times New Roman"/>
                <w:sz w:val="24"/>
                <w:szCs w:val="24"/>
              </w:rPr>
              <w:t>8.0</w:t>
            </w:r>
          </w:p>
        </w:tc>
        <w:tc>
          <w:tcPr>
            <w:tcW w:w="1086" w:type="dxa"/>
            <w:tcBorders>
              <w:bottom w:val="single" w:sz="8" w:space="0" w:color="auto"/>
            </w:tcBorders>
            <w:vAlign w:val="center"/>
          </w:tcPr>
          <w:p w14:paraId="281A5B6C" w14:textId="77777777" w:rsidR="004B1E13" w:rsidRDefault="004B1E13" w:rsidP="00AB44F5">
            <w:pPr>
              <w:ind w:left="460"/>
              <w:jc w:val="center"/>
              <w:rPr>
                <w:sz w:val="20"/>
                <w:szCs w:val="20"/>
              </w:rPr>
            </w:pPr>
            <w:r>
              <w:rPr>
                <w:rFonts w:eastAsia="Times New Roman"/>
                <w:sz w:val="24"/>
                <w:szCs w:val="24"/>
              </w:rPr>
              <w:t>8.5</w:t>
            </w:r>
          </w:p>
        </w:tc>
        <w:tc>
          <w:tcPr>
            <w:tcW w:w="1086" w:type="dxa"/>
            <w:tcBorders>
              <w:bottom w:val="single" w:sz="8" w:space="0" w:color="auto"/>
            </w:tcBorders>
            <w:vAlign w:val="center"/>
          </w:tcPr>
          <w:p w14:paraId="281A5B6D" w14:textId="77777777" w:rsidR="004B1E13" w:rsidRDefault="004B1E13" w:rsidP="00AB44F5">
            <w:pPr>
              <w:jc w:val="center"/>
              <w:rPr>
                <w:sz w:val="20"/>
                <w:szCs w:val="20"/>
              </w:rPr>
            </w:pPr>
            <w:r>
              <w:rPr>
                <w:rFonts w:eastAsia="Times New Roman"/>
                <w:sz w:val="24"/>
                <w:szCs w:val="24"/>
              </w:rPr>
              <w:t>&lt; 9.0</w:t>
            </w:r>
          </w:p>
        </w:tc>
      </w:tr>
      <w:tr w:rsidR="004B1E13" w14:paraId="281A5B85" w14:textId="77777777" w:rsidTr="00CE7749">
        <w:trPr>
          <w:trHeight w:val="299"/>
        </w:trPr>
        <w:tc>
          <w:tcPr>
            <w:tcW w:w="1720" w:type="dxa"/>
            <w:tcBorders>
              <w:top w:val="single" w:sz="8" w:space="0" w:color="auto"/>
            </w:tcBorders>
            <w:vAlign w:val="bottom"/>
          </w:tcPr>
          <w:p w14:paraId="281A5B7D" w14:textId="0088F746" w:rsidR="004B1E13" w:rsidRDefault="004B1E13" w:rsidP="00AB44F5">
            <w:pPr>
              <w:ind w:left="280"/>
              <w:rPr>
                <w:sz w:val="20"/>
                <w:szCs w:val="20"/>
              </w:rPr>
            </w:pPr>
            <w:r>
              <w:rPr>
                <w:rFonts w:eastAsia="Times New Roman"/>
                <w:sz w:val="24"/>
                <w:szCs w:val="24"/>
              </w:rPr>
              <w:t>≤ 0.4</w:t>
            </w:r>
          </w:p>
        </w:tc>
        <w:tc>
          <w:tcPr>
            <w:tcW w:w="1085" w:type="dxa"/>
            <w:tcBorders>
              <w:top w:val="single" w:sz="8" w:space="0" w:color="auto"/>
            </w:tcBorders>
            <w:vAlign w:val="center"/>
          </w:tcPr>
          <w:p w14:paraId="281A5B7E" w14:textId="77777777" w:rsidR="004B1E13" w:rsidRDefault="004B1E13" w:rsidP="00AB44F5">
            <w:pPr>
              <w:jc w:val="center"/>
              <w:rPr>
                <w:sz w:val="20"/>
                <w:szCs w:val="20"/>
              </w:rPr>
            </w:pPr>
            <w:r>
              <w:rPr>
                <w:rFonts w:eastAsia="Times New Roman"/>
                <w:sz w:val="24"/>
                <w:szCs w:val="24"/>
              </w:rPr>
              <w:t>97</w:t>
            </w:r>
          </w:p>
        </w:tc>
        <w:tc>
          <w:tcPr>
            <w:tcW w:w="1086" w:type="dxa"/>
            <w:tcBorders>
              <w:top w:val="single" w:sz="8" w:space="0" w:color="auto"/>
            </w:tcBorders>
            <w:vAlign w:val="center"/>
          </w:tcPr>
          <w:p w14:paraId="281A5B7F" w14:textId="77777777" w:rsidR="004B1E13" w:rsidRDefault="004B1E13" w:rsidP="00AB44F5">
            <w:pPr>
              <w:ind w:right="320"/>
              <w:jc w:val="center"/>
              <w:rPr>
                <w:sz w:val="20"/>
                <w:szCs w:val="20"/>
              </w:rPr>
            </w:pPr>
            <w:r>
              <w:rPr>
                <w:rFonts w:eastAsia="Times New Roman"/>
                <w:sz w:val="24"/>
                <w:szCs w:val="24"/>
              </w:rPr>
              <w:t>117</w:t>
            </w:r>
          </w:p>
        </w:tc>
        <w:tc>
          <w:tcPr>
            <w:tcW w:w="1086" w:type="dxa"/>
            <w:tcBorders>
              <w:top w:val="single" w:sz="8" w:space="0" w:color="auto"/>
            </w:tcBorders>
            <w:vAlign w:val="center"/>
          </w:tcPr>
          <w:p w14:paraId="281A5B80" w14:textId="77777777" w:rsidR="004B1E13" w:rsidRDefault="004B1E13" w:rsidP="00AB44F5">
            <w:pPr>
              <w:ind w:left="360"/>
              <w:jc w:val="center"/>
              <w:rPr>
                <w:sz w:val="20"/>
                <w:szCs w:val="20"/>
              </w:rPr>
            </w:pPr>
            <w:r>
              <w:rPr>
                <w:rFonts w:eastAsia="Times New Roman"/>
                <w:sz w:val="24"/>
                <w:szCs w:val="24"/>
              </w:rPr>
              <w:t>139</w:t>
            </w:r>
          </w:p>
        </w:tc>
        <w:tc>
          <w:tcPr>
            <w:tcW w:w="1085" w:type="dxa"/>
            <w:tcBorders>
              <w:top w:val="single" w:sz="8" w:space="0" w:color="auto"/>
            </w:tcBorders>
            <w:vAlign w:val="center"/>
          </w:tcPr>
          <w:p w14:paraId="281A5B81" w14:textId="77777777" w:rsidR="004B1E13" w:rsidRDefault="004B1E13" w:rsidP="00AB44F5">
            <w:pPr>
              <w:ind w:right="260"/>
              <w:jc w:val="center"/>
              <w:rPr>
                <w:sz w:val="20"/>
                <w:szCs w:val="20"/>
              </w:rPr>
            </w:pPr>
            <w:r>
              <w:rPr>
                <w:rFonts w:eastAsia="Times New Roman"/>
                <w:sz w:val="24"/>
                <w:szCs w:val="24"/>
              </w:rPr>
              <w:t>166</w:t>
            </w:r>
          </w:p>
        </w:tc>
        <w:tc>
          <w:tcPr>
            <w:tcW w:w="1086" w:type="dxa"/>
            <w:tcBorders>
              <w:top w:val="single" w:sz="8" w:space="0" w:color="auto"/>
            </w:tcBorders>
            <w:vAlign w:val="center"/>
          </w:tcPr>
          <w:p w14:paraId="281A5B82" w14:textId="77777777" w:rsidR="004B1E13" w:rsidRDefault="004B1E13" w:rsidP="00AB44F5">
            <w:pPr>
              <w:ind w:left="400"/>
              <w:jc w:val="center"/>
              <w:rPr>
                <w:sz w:val="20"/>
                <w:szCs w:val="20"/>
              </w:rPr>
            </w:pPr>
            <w:r>
              <w:rPr>
                <w:rFonts w:eastAsia="Times New Roman"/>
                <w:sz w:val="24"/>
                <w:szCs w:val="24"/>
              </w:rPr>
              <w:t>198</w:t>
            </w:r>
          </w:p>
        </w:tc>
        <w:tc>
          <w:tcPr>
            <w:tcW w:w="1086" w:type="dxa"/>
            <w:tcBorders>
              <w:top w:val="single" w:sz="8" w:space="0" w:color="auto"/>
            </w:tcBorders>
            <w:vAlign w:val="center"/>
          </w:tcPr>
          <w:p w14:paraId="281A5B83" w14:textId="77777777" w:rsidR="004B1E13" w:rsidRDefault="004B1E13" w:rsidP="00AB44F5">
            <w:pPr>
              <w:ind w:left="460"/>
              <w:jc w:val="center"/>
              <w:rPr>
                <w:sz w:val="20"/>
                <w:szCs w:val="20"/>
              </w:rPr>
            </w:pPr>
            <w:r>
              <w:rPr>
                <w:rFonts w:eastAsia="Times New Roman"/>
                <w:sz w:val="24"/>
                <w:szCs w:val="24"/>
              </w:rPr>
              <w:t>236</w:t>
            </w:r>
          </w:p>
        </w:tc>
        <w:tc>
          <w:tcPr>
            <w:tcW w:w="1086" w:type="dxa"/>
            <w:tcBorders>
              <w:top w:val="single" w:sz="8" w:space="0" w:color="auto"/>
            </w:tcBorders>
            <w:vAlign w:val="center"/>
          </w:tcPr>
          <w:p w14:paraId="281A5B84" w14:textId="77777777" w:rsidR="004B1E13" w:rsidRDefault="004B1E13" w:rsidP="00AB44F5">
            <w:pPr>
              <w:ind w:right="80"/>
              <w:jc w:val="center"/>
              <w:rPr>
                <w:sz w:val="20"/>
                <w:szCs w:val="20"/>
              </w:rPr>
            </w:pPr>
            <w:r>
              <w:rPr>
                <w:rFonts w:eastAsia="Times New Roman"/>
                <w:sz w:val="24"/>
                <w:szCs w:val="24"/>
              </w:rPr>
              <w:t>279</w:t>
            </w:r>
          </w:p>
        </w:tc>
      </w:tr>
      <w:tr w:rsidR="004B1E13" w14:paraId="281A5B90" w14:textId="77777777" w:rsidTr="00CE7749">
        <w:trPr>
          <w:trHeight w:val="299"/>
        </w:trPr>
        <w:tc>
          <w:tcPr>
            <w:tcW w:w="1720" w:type="dxa"/>
            <w:vAlign w:val="bottom"/>
          </w:tcPr>
          <w:p w14:paraId="281A5B88" w14:textId="77777777" w:rsidR="004B1E13" w:rsidRDefault="004B1E13" w:rsidP="00AB44F5">
            <w:pPr>
              <w:ind w:left="280"/>
              <w:rPr>
                <w:sz w:val="20"/>
                <w:szCs w:val="20"/>
              </w:rPr>
            </w:pPr>
            <w:r>
              <w:rPr>
                <w:rFonts w:eastAsia="Times New Roman"/>
                <w:sz w:val="24"/>
                <w:szCs w:val="24"/>
              </w:rPr>
              <w:t>0.6</w:t>
            </w:r>
          </w:p>
        </w:tc>
        <w:tc>
          <w:tcPr>
            <w:tcW w:w="1085" w:type="dxa"/>
            <w:vAlign w:val="center"/>
          </w:tcPr>
          <w:p w14:paraId="281A5B89" w14:textId="77777777" w:rsidR="004B1E13" w:rsidRDefault="004B1E13" w:rsidP="00AB44F5">
            <w:pPr>
              <w:jc w:val="center"/>
              <w:rPr>
                <w:sz w:val="20"/>
                <w:szCs w:val="20"/>
              </w:rPr>
            </w:pPr>
            <w:r>
              <w:rPr>
                <w:rFonts w:eastAsia="Times New Roman"/>
                <w:sz w:val="24"/>
                <w:szCs w:val="24"/>
              </w:rPr>
              <w:t>100</w:t>
            </w:r>
          </w:p>
        </w:tc>
        <w:tc>
          <w:tcPr>
            <w:tcW w:w="1086" w:type="dxa"/>
            <w:vAlign w:val="center"/>
          </w:tcPr>
          <w:p w14:paraId="281A5B8A" w14:textId="77777777" w:rsidR="004B1E13" w:rsidRDefault="004B1E13" w:rsidP="00AB44F5">
            <w:pPr>
              <w:ind w:right="320"/>
              <w:jc w:val="center"/>
              <w:rPr>
                <w:sz w:val="20"/>
                <w:szCs w:val="20"/>
              </w:rPr>
            </w:pPr>
            <w:r>
              <w:rPr>
                <w:rFonts w:eastAsia="Times New Roman"/>
                <w:sz w:val="24"/>
                <w:szCs w:val="24"/>
              </w:rPr>
              <w:t>120</w:t>
            </w:r>
          </w:p>
        </w:tc>
        <w:tc>
          <w:tcPr>
            <w:tcW w:w="1086" w:type="dxa"/>
            <w:vAlign w:val="center"/>
          </w:tcPr>
          <w:p w14:paraId="281A5B8B" w14:textId="77777777" w:rsidR="004B1E13" w:rsidRDefault="004B1E13" w:rsidP="00AB44F5">
            <w:pPr>
              <w:ind w:left="360"/>
              <w:jc w:val="center"/>
              <w:rPr>
                <w:sz w:val="20"/>
                <w:szCs w:val="20"/>
              </w:rPr>
            </w:pPr>
            <w:r>
              <w:rPr>
                <w:rFonts w:eastAsia="Times New Roman"/>
                <w:sz w:val="24"/>
                <w:szCs w:val="24"/>
              </w:rPr>
              <w:t>143</w:t>
            </w:r>
          </w:p>
        </w:tc>
        <w:tc>
          <w:tcPr>
            <w:tcW w:w="1085" w:type="dxa"/>
            <w:vAlign w:val="center"/>
          </w:tcPr>
          <w:p w14:paraId="281A5B8C" w14:textId="77777777" w:rsidR="004B1E13" w:rsidRDefault="004B1E13" w:rsidP="00AB44F5">
            <w:pPr>
              <w:ind w:right="260"/>
              <w:jc w:val="center"/>
              <w:rPr>
                <w:sz w:val="20"/>
                <w:szCs w:val="20"/>
              </w:rPr>
            </w:pPr>
            <w:r>
              <w:rPr>
                <w:rFonts w:eastAsia="Times New Roman"/>
                <w:sz w:val="24"/>
                <w:szCs w:val="24"/>
              </w:rPr>
              <w:t>171</w:t>
            </w:r>
          </w:p>
        </w:tc>
        <w:tc>
          <w:tcPr>
            <w:tcW w:w="1086" w:type="dxa"/>
            <w:vAlign w:val="center"/>
          </w:tcPr>
          <w:p w14:paraId="281A5B8D" w14:textId="77777777" w:rsidR="004B1E13" w:rsidRDefault="004B1E13" w:rsidP="00AB44F5">
            <w:pPr>
              <w:ind w:left="400"/>
              <w:jc w:val="center"/>
              <w:rPr>
                <w:sz w:val="20"/>
                <w:szCs w:val="20"/>
              </w:rPr>
            </w:pPr>
            <w:r>
              <w:rPr>
                <w:rFonts w:eastAsia="Times New Roman"/>
                <w:sz w:val="24"/>
                <w:szCs w:val="24"/>
              </w:rPr>
              <w:t>204</w:t>
            </w:r>
          </w:p>
        </w:tc>
        <w:tc>
          <w:tcPr>
            <w:tcW w:w="1086" w:type="dxa"/>
            <w:vAlign w:val="center"/>
          </w:tcPr>
          <w:p w14:paraId="281A5B8E" w14:textId="77777777" w:rsidR="004B1E13" w:rsidRDefault="004B1E13" w:rsidP="00AB44F5">
            <w:pPr>
              <w:ind w:left="460"/>
              <w:jc w:val="center"/>
              <w:rPr>
                <w:sz w:val="20"/>
                <w:szCs w:val="20"/>
              </w:rPr>
            </w:pPr>
            <w:r>
              <w:rPr>
                <w:rFonts w:eastAsia="Times New Roman"/>
                <w:sz w:val="24"/>
                <w:szCs w:val="24"/>
              </w:rPr>
              <w:t>244</w:t>
            </w:r>
          </w:p>
        </w:tc>
        <w:tc>
          <w:tcPr>
            <w:tcW w:w="1086" w:type="dxa"/>
            <w:vAlign w:val="center"/>
          </w:tcPr>
          <w:p w14:paraId="281A5B8F" w14:textId="77777777" w:rsidR="004B1E13" w:rsidRDefault="004B1E13" w:rsidP="00AB44F5">
            <w:pPr>
              <w:ind w:right="80"/>
              <w:jc w:val="center"/>
              <w:rPr>
                <w:sz w:val="20"/>
                <w:szCs w:val="20"/>
              </w:rPr>
            </w:pPr>
            <w:r>
              <w:rPr>
                <w:rFonts w:eastAsia="Times New Roman"/>
                <w:sz w:val="24"/>
                <w:szCs w:val="24"/>
              </w:rPr>
              <w:t>291</w:t>
            </w:r>
          </w:p>
        </w:tc>
      </w:tr>
      <w:tr w:rsidR="004B1E13" w14:paraId="281A5B9B" w14:textId="77777777" w:rsidTr="00CE7749">
        <w:trPr>
          <w:trHeight w:val="299"/>
        </w:trPr>
        <w:tc>
          <w:tcPr>
            <w:tcW w:w="1720" w:type="dxa"/>
            <w:vAlign w:val="bottom"/>
          </w:tcPr>
          <w:p w14:paraId="281A5B93" w14:textId="77777777" w:rsidR="004B1E13" w:rsidRDefault="004B1E13" w:rsidP="00AB44F5">
            <w:pPr>
              <w:ind w:left="280"/>
              <w:rPr>
                <w:sz w:val="20"/>
                <w:szCs w:val="20"/>
              </w:rPr>
            </w:pPr>
            <w:r>
              <w:rPr>
                <w:rFonts w:eastAsia="Times New Roman"/>
                <w:sz w:val="24"/>
                <w:szCs w:val="24"/>
              </w:rPr>
              <w:t>0.8</w:t>
            </w:r>
          </w:p>
        </w:tc>
        <w:tc>
          <w:tcPr>
            <w:tcW w:w="1085" w:type="dxa"/>
            <w:vAlign w:val="center"/>
          </w:tcPr>
          <w:p w14:paraId="281A5B94" w14:textId="77777777" w:rsidR="004B1E13" w:rsidRDefault="004B1E13" w:rsidP="00AB44F5">
            <w:pPr>
              <w:jc w:val="center"/>
              <w:rPr>
                <w:sz w:val="20"/>
                <w:szCs w:val="20"/>
              </w:rPr>
            </w:pPr>
            <w:r>
              <w:rPr>
                <w:rFonts w:eastAsia="Times New Roman"/>
                <w:sz w:val="24"/>
                <w:szCs w:val="24"/>
              </w:rPr>
              <w:t>103</w:t>
            </w:r>
          </w:p>
        </w:tc>
        <w:tc>
          <w:tcPr>
            <w:tcW w:w="1086" w:type="dxa"/>
            <w:vAlign w:val="center"/>
          </w:tcPr>
          <w:p w14:paraId="281A5B95" w14:textId="77777777" w:rsidR="004B1E13" w:rsidRDefault="004B1E13" w:rsidP="00AB44F5">
            <w:pPr>
              <w:ind w:right="320"/>
              <w:jc w:val="center"/>
              <w:rPr>
                <w:sz w:val="20"/>
                <w:szCs w:val="20"/>
              </w:rPr>
            </w:pPr>
            <w:r>
              <w:rPr>
                <w:rFonts w:eastAsia="Times New Roman"/>
                <w:sz w:val="24"/>
                <w:szCs w:val="24"/>
              </w:rPr>
              <w:t>122</w:t>
            </w:r>
          </w:p>
        </w:tc>
        <w:tc>
          <w:tcPr>
            <w:tcW w:w="1086" w:type="dxa"/>
            <w:vAlign w:val="center"/>
          </w:tcPr>
          <w:p w14:paraId="281A5B96" w14:textId="77777777" w:rsidR="004B1E13" w:rsidRDefault="004B1E13" w:rsidP="00AB44F5">
            <w:pPr>
              <w:ind w:left="360"/>
              <w:jc w:val="center"/>
              <w:rPr>
                <w:sz w:val="20"/>
                <w:szCs w:val="20"/>
              </w:rPr>
            </w:pPr>
            <w:r>
              <w:rPr>
                <w:rFonts w:eastAsia="Times New Roman"/>
                <w:sz w:val="24"/>
                <w:szCs w:val="24"/>
              </w:rPr>
              <w:t>146</w:t>
            </w:r>
          </w:p>
        </w:tc>
        <w:tc>
          <w:tcPr>
            <w:tcW w:w="1085" w:type="dxa"/>
            <w:vAlign w:val="center"/>
          </w:tcPr>
          <w:p w14:paraId="281A5B97" w14:textId="77777777" w:rsidR="004B1E13" w:rsidRDefault="004B1E13" w:rsidP="00AB44F5">
            <w:pPr>
              <w:ind w:right="260"/>
              <w:jc w:val="center"/>
              <w:rPr>
                <w:sz w:val="20"/>
                <w:szCs w:val="20"/>
              </w:rPr>
            </w:pPr>
            <w:r>
              <w:rPr>
                <w:rFonts w:eastAsia="Times New Roman"/>
                <w:sz w:val="24"/>
                <w:szCs w:val="24"/>
              </w:rPr>
              <w:t>175</w:t>
            </w:r>
          </w:p>
        </w:tc>
        <w:tc>
          <w:tcPr>
            <w:tcW w:w="1086" w:type="dxa"/>
            <w:vAlign w:val="center"/>
          </w:tcPr>
          <w:p w14:paraId="281A5B98" w14:textId="77777777" w:rsidR="004B1E13" w:rsidRDefault="004B1E13" w:rsidP="00AB44F5">
            <w:pPr>
              <w:ind w:left="400"/>
              <w:jc w:val="center"/>
              <w:rPr>
                <w:sz w:val="20"/>
                <w:szCs w:val="20"/>
              </w:rPr>
            </w:pPr>
            <w:r>
              <w:rPr>
                <w:rFonts w:eastAsia="Times New Roman"/>
                <w:sz w:val="24"/>
                <w:szCs w:val="24"/>
              </w:rPr>
              <w:t>210</w:t>
            </w:r>
          </w:p>
        </w:tc>
        <w:tc>
          <w:tcPr>
            <w:tcW w:w="1086" w:type="dxa"/>
            <w:vAlign w:val="center"/>
          </w:tcPr>
          <w:p w14:paraId="281A5B99" w14:textId="77777777" w:rsidR="004B1E13" w:rsidRDefault="004B1E13" w:rsidP="00AB44F5">
            <w:pPr>
              <w:ind w:left="460"/>
              <w:jc w:val="center"/>
              <w:rPr>
                <w:sz w:val="20"/>
                <w:szCs w:val="20"/>
              </w:rPr>
            </w:pPr>
            <w:r>
              <w:rPr>
                <w:rFonts w:eastAsia="Times New Roman"/>
                <w:sz w:val="24"/>
                <w:szCs w:val="24"/>
              </w:rPr>
              <w:t>252</w:t>
            </w:r>
          </w:p>
        </w:tc>
        <w:tc>
          <w:tcPr>
            <w:tcW w:w="1086" w:type="dxa"/>
            <w:vAlign w:val="center"/>
          </w:tcPr>
          <w:p w14:paraId="281A5B9A" w14:textId="77777777" w:rsidR="004B1E13" w:rsidRDefault="004B1E13" w:rsidP="00AB44F5">
            <w:pPr>
              <w:ind w:right="80"/>
              <w:jc w:val="center"/>
              <w:rPr>
                <w:sz w:val="20"/>
                <w:szCs w:val="20"/>
              </w:rPr>
            </w:pPr>
            <w:r>
              <w:rPr>
                <w:rFonts w:eastAsia="Times New Roman"/>
                <w:sz w:val="24"/>
                <w:szCs w:val="24"/>
              </w:rPr>
              <w:t>301</w:t>
            </w:r>
          </w:p>
        </w:tc>
      </w:tr>
      <w:tr w:rsidR="004B1E13" w14:paraId="281A5BA6" w14:textId="77777777" w:rsidTr="00CE7749">
        <w:trPr>
          <w:trHeight w:val="299"/>
        </w:trPr>
        <w:tc>
          <w:tcPr>
            <w:tcW w:w="1720" w:type="dxa"/>
            <w:vAlign w:val="bottom"/>
          </w:tcPr>
          <w:p w14:paraId="281A5B9E" w14:textId="77777777" w:rsidR="004B1E13" w:rsidRDefault="004B1E13" w:rsidP="00AB44F5">
            <w:pPr>
              <w:ind w:left="280"/>
              <w:rPr>
                <w:sz w:val="20"/>
                <w:szCs w:val="20"/>
              </w:rPr>
            </w:pPr>
            <w:r>
              <w:rPr>
                <w:rFonts w:eastAsia="Times New Roman"/>
                <w:sz w:val="24"/>
                <w:szCs w:val="24"/>
              </w:rPr>
              <w:t>1.0</w:t>
            </w:r>
          </w:p>
        </w:tc>
        <w:tc>
          <w:tcPr>
            <w:tcW w:w="1085" w:type="dxa"/>
            <w:vAlign w:val="center"/>
          </w:tcPr>
          <w:p w14:paraId="281A5B9F" w14:textId="77777777" w:rsidR="004B1E13" w:rsidRDefault="004B1E13" w:rsidP="00AB44F5">
            <w:pPr>
              <w:jc w:val="center"/>
              <w:rPr>
                <w:sz w:val="20"/>
                <w:szCs w:val="20"/>
              </w:rPr>
            </w:pPr>
            <w:r>
              <w:rPr>
                <w:rFonts w:eastAsia="Times New Roman"/>
                <w:sz w:val="24"/>
                <w:szCs w:val="24"/>
              </w:rPr>
              <w:t>105</w:t>
            </w:r>
          </w:p>
        </w:tc>
        <w:tc>
          <w:tcPr>
            <w:tcW w:w="1086" w:type="dxa"/>
            <w:vAlign w:val="center"/>
          </w:tcPr>
          <w:p w14:paraId="281A5BA0" w14:textId="77777777" w:rsidR="004B1E13" w:rsidRDefault="004B1E13" w:rsidP="00AB44F5">
            <w:pPr>
              <w:ind w:right="320"/>
              <w:jc w:val="center"/>
              <w:rPr>
                <w:sz w:val="20"/>
                <w:szCs w:val="20"/>
              </w:rPr>
            </w:pPr>
            <w:r>
              <w:rPr>
                <w:rFonts w:eastAsia="Times New Roman"/>
                <w:sz w:val="24"/>
                <w:szCs w:val="24"/>
              </w:rPr>
              <w:t>125</w:t>
            </w:r>
          </w:p>
        </w:tc>
        <w:tc>
          <w:tcPr>
            <w:tcW w:w="1086" w:type="dxa"/>
            <w:vAlign w:val="center"/>
          </w:tcPr>
          <w:p w14:paraId="281A5BA1" w14:textId="77777777" w:rsidR="004B1E13" w:rsidRDefault="004B1E13" w:rsidP="00AB44F5">
            <w:pPr>
              <w:ind w:left="360"/>
              <w:jc w:val="center"/>
              <w:rPr>
                <w:sz w:val="20"/>
                <w:szCs w:val="20"/>
              </w:rPr>
            </w:pPr>
            <w:r>
              <w:rPr>
                <w:rFonts w:eastAsia="Times New Roman"/>
                <w:sz w:val="24"/>
                <w:szCs w:val="24"/>
              </w:rPr>
              <w:t>149</w:t>
            </w:r>
          </w:p>
        </w:tc>
        <w:tc>
          <w:tcPr>
            <w:tcW w:w="1085" w:type="dxa"/>
            <w:vAlign w:val="center"/>
          </w:tcPr>
          <w:p w14:paraId="281A5BA2" w14:textId="77777777" w:rsidR="004B1E13" w:rsidRDefault="004B1E13" w:rsidP="00AB44F5">
            <w:pPr>
              <w:ind w:right="260"/>
              <w:jc w:val="center"/>
              <w:rPr>
                <w:sz w:val="20"/>
                <w:szCs w:val="20"/>
              </w:rPr>
            </w:pPr>
            <w:r>
              <w:rPr>
                <w:rFonts w:eastAsia="Times New Roman"/>
                <w:sz w:val="24"/>
                <w:szCs w:val="24"/>
              </w:rPr>
              <w:t>179</w:t>
            </w:r>
          </w:p>
        </w:tc>
        <w:tc>
          <w:tcPr>
            <w:tcW w:w="1086" w:type="dxa"/>
            <w:vAlign w:val="center"/>
          </w:tcPr>
          <w:p w14:paraId="281A5BA3" w14:textId="77777777" w:rsidR="004B1E13" w:rsidRDefault="004B1E13" w:rsidP="00AB44F5">
            <w:pPr>
              <w:ind w:left="400"/>
              <w:jc w:val="center"/>
              <w:rPr>
                <w:sz w:val="20"/>
                <w:szCs w:val="20"/>
              </w:rPr>
            </w:pPr>
            <w:r>
              <w:rPr>
                <w:rFonts w:eastAsia="Times New Roman"/>
                <w:sz w:val="24"/>
                <w:szCs w:val="24"/>
              </w:rPr>
              <w:t>216</w:t>
            </w:r>
          </w:p>
        </w:tc>
        <w:tc>
          <w:tcPr>
            <w:tcW w:w="1086" w:type="dxa"/>
            <w:vAlign w:val="center"/>
          </w:tcPr>
          <w:p w14:paraId="281A5BA4" w14:textId="77777777" w:rsidR="004B1E13" w:rsidRDefault="004B1E13" w:rsidP="00AB44F5">
            <w:pPr>
              <w:ind w:left="460"/>
              <w:jc w:val="center"/>
              <w:rPr>
                <w:sz w:val="20"/>
                <w:szCs w:val="20"/>
              </w:rPr>
            </w:pPr>
            <w:r>
              <w:rPr>
                <w:rFonts w:eastAsia="Times New Roman"/>
                <w:sz w:val="24"/>
                <w:szCs w:val="24"/>
              </w:rPr>
              <w:t>260</w:t>
            </w:r>
          </w:p>
        </w:tc>
        <w:tc>
          <w:tcPr>
            <w:tcW w:w="1086" w:type="dxa"/>
            <w:vAlign w:val="center"/>
          </w:tcPr>
          <w:p w14:paraId="281A5BA5" w14:textId="77777777" w:rsidR="004B1E13" w:rsidRDefault="004B1E13" w:rsidP="00AB44F5">
            <w:pPr>
              <w:ind w:right="80"/>
              <w:jc w:val="center"/>
              <w:rPr>
                <w:sz w:val="20"/>
                <w:szCs w:val="20"/>
              </w:rPr>
            </w:pPr>
            <w:r>
              <w:rPr>
                <w:rFonts w:eastAsia="Times New Roman"/>
                <w:sz w:val="24"/>
                <w:szCs w:val="24"/>
              </w:rPr>
              <w:t>312</w:t>
            </w:r>
          </w:p>
        </w:tc>
      </w:tr>
      <w:tr w:rsidR="004B1E13" w14:paraId="281A5BB1" w14:textId="77777777" w:rsidTr="00CE7749">
        <w:trPr>
          <w:trHeight w:val="299"/>
        </w:trPr>
        <w:tc>
          <w:tcPr>
            <w:tcW w:w="1720" w:type="dxa"/>
            <w:vAlign w:val="bottom"/>
          </w:tcPr>
          <w:p w14:paraId="281A5BA9" w14:textId="77777777" w:rsidR="004B1E13" w:rsidRDefault="004B1E13" w:rsidP="00AB44F5">
            <w:pPr>
              <w:ind w:left="280"/>
              <w:rPr>
                <w:sz w:val="20"/>
                <w:szCs w:val="20"/>
              </w:rPr>
            </w:pPr>
            <w:r>
              <w:rPr>
                <w:rFonts w:eastAsia="Times New Roman"/>
                <w:sz w:val="24"/>
                <w:szCs w:val="24"/>
              </w:rPr>
              <w:t>1.2</w:t>
            </w:r>
          </w:p>
        </w:tc>
        <w:tc>
          <w:tcPr>
            <w:tcW w:w="1085" w:type="dxa"/>
            <w:vAlign w:val="center"/>
          </w:tcPr>
          <w:p w14:paraId="281A5BAA" w14:textId="77777777" w:rsidR="004B1E13" w:rsidRDefault="004B1E13" w:rsidP="00AB44F5">
            <w:pPr>
              <w:jc w:val="center"/>
              <w:rPr>
                <w:sz w:val="20"/>
                <w:szCs w:val="20"/>
              </w:rPr>
            </w:pPr>
            <w:r>
              <w:rPr>
                <w:rFonts w:eastAsia="Times New Roman"/>
                <w:sz w:val="24"/>
                <w:szCs w:val="24"/>
              </w:rPr>
              <w:t>107</w:t>
            </w:r>
          </w:p>
        </w:tc>
        <w:tc>
          <w:tcPr>
            <w:tcW w:w="1086" w:type="dxa"/>
            <w:vAlign w:val="center"/>
          </w:tcPr>
          <w:p w14:paraId="281A5BAB" w14:textId="77777777" w:rsidR="004B1E13" w:rsidRDefault="004B1E13" w:rsidP="00AB44F5">
            <w:pPr>
              <w:ind w:right="320"/>
              <w:jc w:val="center"/>
              <w:rPr>
                <w:sz w:val="20"/>
                <w:szCs w:val="20"/>
              </w:rPr>
            </w:pPr>
            <w:r>
              <w:rPr>
                <w:rFonts w:eastAsia="Times New Roman"/>
                <w:sz w:val="24"/>
                <w:szCs w:val="24"/>
              </w:rPr>
              <w:t>127</w:t>
            </w:r>
          </w:p>
        </w:tc>
        <w:tc>
          <w:tcPr>
            <w:tcW w:w="1086" w:type="dxa"/>
            <w:vAlign w:val="center"/>
          </w:tcPr>
          <w:p w14:paraId="281A5BAC" w14:textId="77777777" w:rsidR="004B1E13" w:rsidRDefault="004B1E13" w:rsidP="00AB44F5">
            <w:pPr>
              <w:ind w:left="360"/>
              <w:jc w:val="center"/>
              <w:rPr>
                <w:sz w:val="20"/>
                <w:szCs w:val="20"/>
              </w:rPr>
            </w:pPr>
            <w:r>
              <w:rPr>
                <w:rFonts w:eastAsia="Times New Roman"/>
                <w:sz w:val="24"/>
                <w:szCs w:val="24"/>
              </w:rPr>
              <w:t>152</w:t>
            </w:r>
          </w:p>
        </w:tc>
        <w:tc>
          <w:tcPr>
            <w:tcW w:w="1085" w:type="dxa"/>
            <w:vAlign w:val="center"/>
          </w:tcPr>
          <w:p w14:paraId="281A5BAD" w14:textId="77777777" w:rsidR="004B1E13" w:rsidRDefault="004B1E13" w:rsidP="00AB44F5">
            <w:pPr>
              <w:ind w:right="260"/>
              <w:jc w:val="center"/>
              <w:rPr>
                <w:sz w:val="20"/>
                <w:szCs w:val="20"/>
              </w:rPr>
            </w:pPr>
            <w:r>
              <w:rPr>
                <w:rFonts w:eastAsia="Times New Roman"/>
                <w:sz w:val="24"/>
                <w:szCs w:val="24"/>
              </w:rPr>
              <w:t>183</w:t>
            </w:r>
          </w:p>
        </w:tc>
        <w:tc>
          <w:tcPr>
            <w:tcW w:w="1086" w:type="dxa"/>
            <w:vAlign w:val="center"/>
          </w:tcPr>
          <w:p w14:paraId="281A5BAE" w14:textId="77777777" w:rsidR="004B1E13" w:rsidRDefault="004B1E13" w:rsidP="00AB44F5">
            <w:pPr>
              <w:ind w:left="400"/>
              <w:jc w:val="center"/>
              <w:rPr>
                <w:sz w:val="20"/>
                <w:szCs w:val="20"/>
              </w:rPr>
            </w:pPr>
            <w:r>
              <w:rPr>
                <w:rFonts w:eastAsia="Times New Roman"/>
                <w:sz w:val="24"/>
                <w:szCs w:val="24"/>
              </w:rPr>
              <w:t>221</w:t>
            </w:r>
          </w:p>
        </w:tc>
        <w:tc>
          <w:tcPr>
            <w:tcW w:w="1086" w:type="dxa"/>
            <w:vAlign w:val="center"/>
          </w:tcPr>
          <w:p w14:paraId="281A5BAF" w14:textId="77777777" w:rsidR="004B1E13" w:rsidRDefault="004B1E13" w:rsidP="00AB44F5">
            <w:pPr>
              <w:ind w:left="460"/>
              <w:jc w:val="center"/>
              <w:rPr>
                <w:sz w:val="20"/>
                <w:szCs w:val="20"/>
              </w:rPr>
            </w:pPr>
            <w:r>
              <w:rPr>
                <w:rFonts w:eastAsia="Times New Roman"/>
                <w:sz w:val="24"/>
                <w:szCs w:val="24"/>
              </w:rPr>
              <w:t>267</w:t>
            </w:r>
          </w:p>
        </w:tc>
        <w:tc>
          <w:tcPr>
            <w:tcW w:w="1086" w:type="dxa"/>
            <w:vAlign w:val="center"/>
          </w:tcPr>
          <w:p w14:paraId="281A5BB0" w14:textId="77777777" w:rsidR="004B1E13" w:rsidRDefault="004B1E13" w:rsidP="00AB44F5">
            <w:pPr>
              <w:ind w:right="80"/>
              <w:jc w:val="center"/>
              <w:rPr>
                <w:sz w:val="20"/>
                <w:szCs w:val="20"/>
              </w:rPr>
            </w:pPr>
            <w:r>
              <w:rPr>
                <w:rFonts w:eastAsia="Times New Roman"/>
                <w:sz w:val="24"/>
                <w:szCs w:val="24"/>
              </w:rPr>
              <w:t>320</w:t>
            </w:r>
          </w:p>
        </w:tc>
      </w:tr>
      <w:tr w:rsidR="004B1E13" w14:paraId="281A5BBC" w14:textId="77777777" w:rsidTr="00CE7749">
        <w:trPr>
          <w:trHeight w:val="299"/>
        </w:trPr>
        <w:tc>
          <w:tcPr>
            <w:tcW w:w="1720" w:type="dxa"/>
            <w:vAlign w:val="bottom"/>
          </w:tcPr>
          <w:p w14:paraId="281A5BB4" w14:textId="77777777" w:rsidR="004B1E13" w:rsidRDefault="004B1E13" w:rsidP="00AB44F5">
            <w:pPr>
              <w:ind w:left="280"/>
              <w:rPr>
                <w:sz w:val="20"/>
                <w:szCs w:val="20"/>
              </w:rPr>
            </w:pPr>
            <w:r>
              <w:rPr>
                <w:rFonts w:eastAsia="Times New Roman"/>
                <w:sz w:val="24"/>
                <w:szCs w:val="24"/>
              </w:rPr>
              <w:t>1.4</w:t>
            </w:r>
          </w:p>
        </w:tc>
        <w:tc>
          <w:tcPr>
            <w:tcW w:w="1085" w:type="dxa"/>
            <w:vAlign w:val="center"/>
          </w:tcPr>
          <w:p w14:paraId="281A5BB5" w14:textId="77777777" w:rsidR="004B1E13" w:rsidRDefault="004B1E13" w:rsidP="00AB44F5">
            <w:pPr>
              <w:jc w:val="center"/>
              <w:rPr>
                <w:sz w:val="20"/>
                <w:szCs w:val="20"/>
              </w:rPr>
            </w:pPr>
            <w:r>
              <w:rPr>
                <w:rFonts w:eastAsia="Times New Roman"/>
                <w:sz w:val="24"/>
                <w:szCs w:val="24"/>
              </w:rPr>
              <w:t>109</w:t>
            </w:r>
          </w:p>
        </w:tc>
        <w:tc>
          <w:tcPr>
            <w:tcW w:w="1086" w:type="dxa"/>
            <w:vAlign w:val="center"/>
          </w:tcPr>
          <w:p w14:paraId="281A5BB6" w14:textId="77777777" w:rsidR="004B1E13" w:rsidRDefault="004B1E13" w:rsidP="00AB44F5">
            <w:pPr>
              <w:ind w:right="320"/>
              <w:jc w:val="center"/>
              <w:rPr>
                <w:sz w:val="20"/>
                <w:szCs w:val="20"/>
              </w:rPr>
            </w:pPr>
            <w:r>
              <w:rPr>
                <w:rFonts w:eastAsia="Times New Roman"/>
                <w:sz w:val="24"/>
                <w:szCs w:val="24"/>
              </w:rPr>
              <w:t>130</w:t>
            </w:r>
          </w:p>
        </w:tc>
        <w:tc>
          <w:tcPr>
            <w:tcW w:w="1086" w:type="dxa"/>
            <w:vAlign w:val="center"/>
          </w:tcPr>
          <w:p w14:paraId="281A5BB7" w14:textId="77777777" w:rsidR="004B1E13" w:rsidRDefault="004B1E13" w:rsidP="00AB44F5">
            <w:pPr>
              <w:ind w:left="360"/>
              <w:jc w:val="center"/>
              <w:rPr>
                <w:sz w:val="20"/>
                <w:szCs w:val="20"/>
              </w:rPr>
            </w:pPr>
            <w:r>
              <w:rPr>
                <w:rFonts w:eastAsia="Times New Roman"/>
                <w:sz w:val="24"/>
                <w:szCs w:val="24"/>
              </w:rPr>
              <w:t>155</w:t>
            </w:r>
          </w:p>
        </w:tc>
        <w:tc>
          <w:tcPr>
            <w:tcW w:w="1085" w:type="dxa"/>
            <w:vAlign w:val="center"/>
          </w:tcPr>
          <w:p w14:paraId="281A5BB8" w14:textId="77777777" w:rsidR="004B1E13" w:rsidRDefault="004B1E13" w:rsidP="00AB44F5">
            <w:pPr>
              <w:ind w:right="260"/>
              <w:jc w:val="center"/>
              <w:rPr>
                <w:sz w:val="20"/>
                <w:szCs w:val="20"/>
              </w:rPr>
            </w:pPr>
            <w:r>
              <w:rPr>
                <w:rFonts w:eastAsia="Times New Roman"/>
                <w:sz w:val="24"/>
                <w:szCs w:val="24"/>
              </w:rPr>
              <w:t>187</w:t>
            </w:r>
          </w:p>
        </w:tc>
        <w:tc>
          <w:tcPr>
            <w:tcW w:w="1086" w:type="dxa"/>
            <w:vAlign w:val="center"/>
          </w:tcPr>
          <w:p w14:paraId="281A5BB9" w14:textId="77777777" w:rsidR="004B1E13" w:rsidRDefault="004B1E13" w:rsidP="00AB44F5">
            <w:pPr>
              <w:ind w:left="400"/>
              <w:jc w:val="center"/>
              <w:rPr>
                <w:sz w:val="20"/>
                <w:szCs w:val="20"/>
              </w:rPr>
            </w:pPr>
            <w:r>
              <w:rPr>
                <w:rFonts w:eastAsia="Times New Roman"/>
                <w:sz w:val="24"/>
                <w:szCs w:val="24"/>
              </w:rPr>
              <w:t>227</w:t>
            </w:r>
          </w:p>
        </w:tc>
        <w:tc>
          <w:tcPr>
            <w:tcW w:w="1086" w:type="dxa"/>
            <w:vAlign w:val="center"/>
          </w:tcPr>
          <w:p w14:paraId="281A5BBA" w14:textId="77777777" w:rsidR="004B1E13" w:rsidRDefault="004B1E13" w:rsidP="00AB44F5">
            <w:pPr>
              <w:ind w:left="460"/>
              <w:jc w:val="center"/>
              <w:rPr>
                <w:sz w:val="20"/>
                <w:szCs w:val="20"/>
              </w:rPr>
            </w:pPr>
            <w:r>
              <w:rPr>
                <w:rFonts w:eastAsia="Times New Roman"/>
                <w:sz w:val="24"/>
                <w:szCs w:val="24"/>
              </w:rPr>
              <w:t>274</w:t>
            </w:r>
          </w:p>
        </w:tc>
        <w:tc>
          <w:tcPr>
            <w:tcW w:w="1086" w:type="dxa"/>
            <w:vAlign w:val="center"/>
          </w:tcPr>
          <w:p w14:paraId="281A5BBB" w14:textId="77777777" w:rsidR="004B1E13" w:rsidRDefault="004B1E13" w:rsidP="00AB44F5">
            <w:pPr>
              <w:ind w:right="80"/>
              <w:jc w:val="center"/>
              <w:rPr>
                <w:sz w:val="20"/>
                <w:szCs w:val="20"/>
              </w:rPr>
            </w:pPr>
            <w:r>
              <w:rPr>
                <w:rFonts w:eastAsia="Times New Roman"/>
                <w:sz w:val="24"/>
                <w:szCs w:val="24"/>
              </w:rPr>
              <w:t>329</w:t>
            </w:r>
          </w:p>
        </w:tc>
      </w:tr>
      <w:tr w:rsidR="004B1E13" w14:paraId="281A5BC7" w14:textId="77777777" w:rsidTr="00CE7749">
        <w:trPr>
          <w:trHeight w:val="299"/>
        </w:trPr>
        <w:tc>
          <w:tcPr>
            <w:tcW w:w="1720" w:type="dxa"/>
            <w:vAlign w:val="bottom"/>
          </w:tcPr>
          <w:p w14:paraId="281A5BBF" w14:textId="77777777" w:rsidR="004B1E13" w:rsidRDefault="004B1E13" w:rsidP="00AB44F5">
            <w:pPr>
              <w:ind w:left="280"/>
              <w:rPr>
                <w:sz w:val="20"/>
                <w:szCs w:val="20"/>
              </w:rPr>
            </w:pPr>
            <w:r>
              <w:rPr>
                <w:rFonts w:eastAsia="Times New Roman"/>
                <w:sz w:val="24"/>
                <w:szCs w:val="24"/>
              </w:rPr>
              <w:t>1.6</w:t>
            </w:r>
          </w:p>
        </w:tc>
        <w:tc>
          <w:tcPr>
            <w:tcW w:w="1085" w:type="dxa"/>
            <w:vAlign w:val="center"/>
          </w:tcPr>
          <w:p w14:paraId="281A5BC0" w14:textId="77777777" w:rsidR="004B1E13" w:rsidRDefault="004B1E13" w:rsidP="00AB44F5">
            <w:pPr>
              <w:jc w:val="center"/>
              <w:rPr>
                <w:sz w:val="20"/>
                <w:szCs w:val="20"/>
              </w:rPr>
            </w:pPr>
            <w:r>
              <w:rPr>
                <w:rFonts w:eastAsia="Times New Roman"/>
                <w:sz w:val="24"/>
                <w:szCs w:val="24"/>
              </w:rPr>
              <w:t>111</w:t>
            </w:r>
          </w:p>
        </w:tc>
        <w:tc>
          <w:tcPr>
            <w:tcW w:w="1086" w:type="dxa"/>
            <w:vAlign w:val="center"/>
          </w:tcPr>
          <w:p w14:paraId="281A5BC1" w14:textId="77777777" w:rsidR="004B1E13" w:rsidRDefault="004B1E13" w:rsidP="00AB44F5">
            <w:pPr>
              <w:ind w:right="320"/>
              <w:jc w:val="center"/>
              <w:rPr>
                <w:sz w:val="20"/>
                <w:szCs w:val="20"/>
              </w:rPr>
            </w:pPr>
            <w:r>
              <w:rPr>
                <w:rFonts w:eastAsia="Times New Roman"/>
                <w:sz w:val="24"/>
                <w:szCs w:val="24"/>
              </w:rPr>
              <w:t>132</w:t>
            </w:r>
          </w:p>
        </w:tc>
        <w:tc>
          <w:tcPr>
            <w:tcW w:w="1086" w:type="dxa"/>
            <w:vAlign w:val="center"/>
          </w:tcPr>
          <w:p w14:paraId="281A5BC2" w14:textId="77777777" w:rsidR="004B1E13" w:rsidRDefault="004B1E13" w:rsidP="00AB44F5">
            <w:pPr>
              <w:ind w:left="360"/>
              <w:jc w:val="center"/>
              <w:rPr>
                <w:sz w:val="20"/>
                <w:szCs w:val="20"/>
              </w:rPr>
            </w:pPr>
            <w:r>
              <w:rPr>
                <w:rFonts w:eastAsia="Times New Roman"/>
                <w:sz w:val="24"/>
                <w:szCs w:val="24"/>
              </w:rPr>
              <w:t>158</w:t>
            </w:r>
          </w:p>
        </w:tc>
        <w:tc>
          <w:tcPr>
            <w:tcW w:w="1085" w:type="dxa"/>
            <w:vAlign w:val="center"/>
          </w:tcPr>
          <w:p w14:paraId="281A5BC3" w14:textId="77777777" w:rsidR="004B1E13" w:rsidRDefault="004B1E13" w:rsidP="00AB44F5">
            <w:pPr>
              <w:ind w:right="260"/>
              <w:jc w:val="center"/>
              <w:rPr>
                <w:sz w:val="20"/>
                <w:szCs w:val="20"/>
              </w:rPr>
            </w:pPr>
            <w:r>
              <w:rPr>
                <w:rFonts w:eastAsia="Times New Roman"/>
                <w:sz w:val="24"/>
                <w:szCs w:val="24"/>
              </w:rPr>
              <w:t>192</w:t>
            </w:r>
          </w:p>
        </w:tc>
        <w:tc>
          <w:tcPr>
            <w:tcW w:w="1086" w:type="dxa"/>
            <w:vAlign w:val="center"/>
          </w:tcPr>
          <w:p w14:paraId="281A5BC4" w14:textId="77777777" w:rsidR="004B1E13" w:rsidRDefault="004B1E13" w:rsidP="00AB44F5">
            <w:pPr>
              <w:ind w:left="400"/>
              <w:jc w:val="center"/>
              <w:rPr>
                <w:sz w:val="20"/>
                <w:szCs w:val="20"/>
              </w:rPr>
            </w:pPr>
            <w:r>
              <w:rPr>
                <w:rFonts w:eastAsia="Times New Roman"/>
                <w:sz w:val="24"/>
                <w:szCs w:val="24"/>
              </w:rPr>
              <w:t>232</w:t>
            </w:r>
          </w:p>
        </w:tc>
        <w:tc>
          <w:tcPr>
            <w:tcW w:w="1086" w:type="dxa"/>
            <w:vAlign w:val="center"/>
          </w:tcPr>
          <w:p w14:paraId="281A5BC5" w14:textId="77777777" w:rsidR="004B1E13" w:rsidRDefault="004B1E13" w:rsidP="00AB44F5">
            <w:pPr>
              <w:ind w:left="460"/>
              <w:jc w:val="center"/>
              <w:rPr>
                <w:sz w:val="20"/>
                <w:szCs w:val="20"/>
              </w:rPr>
            </w:pPr>
            <w:r>
              <w:rPr>
                <w:rFonts w:eastAsia="Times New Roman"/>
                <w:sz w:val="24"/>
                <w:szCs w:val="24"/>
              </w:rPr>
              <w:t>281</w:t>
            </w:r>
          </w:p>
        </w:tc>
        <w:tc>
          <w:tcPr>
            <w:tcW w:w="1086" w:type="dxa"/>
            <w:vAlign w:val="center"/>
          </w:tcPr>
          <w:p w14:paraId="281A5BC6" w14:textId="77777777" w:rsidR="004B1E13" w:rsidRDefault="004B1E13" w:rsidP="00AB44F5">
            <w:pPr>
              <w:ind w:right="80"/>
              <w:jc w:val="center"/>
              <w:rPr>
                <w:sz w:val="20"/>
                <w:szCs w:val="20"/>
              </w:rPr>
            </w:pPr>
            <w:r>
              <w:rPr>
                <w:rFonts w:eastAsia="Times New Roman"/>
                <w:sz w:val="24"/>
                <w:szCs w:val="24"/>
              </w:rPr>
              <w:t>337</w:t>
            </w:r>
          </w:p>
        </w:tc>
      </w:tr>
      <w:tr w:rsidR="004B1E13" w14:paraId="281A5BD2" w14:textId="77777777" w:rsidTr="00CE7749">
        <w:trPr>
          <w:trHeight w:val="299"/>
        </w:trPr>
        <w:tc>
          <w:tcPr>
            <w:tcW w:w="1720" w:type="dxa"/>
            <w:vAlign w:val="bottom"/>
          </w:tcPr>
          <w:p w14:paraId="281A5BCA" w14:textId="77777777" w:rsidR="004B1E13" w:rsidRDefault="004B1E13" w:rsidP="00AB44F5">
            <w:pPr>
              <w:ind w:left="280"/>
              <w:rPr>
                <w:sz w:val="20"/>
                <w:szCs w:val="20"/>
              </w:rPr>
            </w:pPr>
            <w:r>
              <w:rPr>
                <w:rFonts w:eastAsia="Times New Roman"/>
                <w:sz w:val="24"/>
                <w:szCs w:val="24"/>
              </w:rPr>
              <w:t>1.8</w:t>
            </w:r>
          </w:p>
        </w:tc>
        <w:tc>
          <w:tcPr>
            <w:tcW w:w="1085" w:type="dxa"/>
            <w:vAlign w:val="center"/>
          </w:tcPr>
          <w:p w14:paraId="281A5BCB" w14:textId="77777777" w:rsidR="004B1E13" w:rsidRDefault="004B1E13" w:rsidP="00AB44F5">
            <w:pPr>
              <w:jc w:val="center"/>
              <w:rPr>
                <w:sz w:val="20"/>
                <w:szCs w:val="20"/>
              </w:rPr>
            </w:pPr>
            <w:r>
              <w:rPr>
                <w:rFonts w:eastAsia="Times New Roman"/>
                <w:sz w:val="24"/>
                <w:szCs w:val="24"/>
              </w:rPr>
              <w:t>114</w:t>
            </w:r>
          </w:p>
        </w:tc>
        <w:tc>
          <w:tcPr>
            <w:tcW w:w="1086" w:type="dxa"/>
            <w:vAlign w:val="center"/>
          </w:tcPr>
          <w:p w14:paraId="281A5BCC" w14:textId="77777777" w:rsidR="004B1E13" w:rsidRDefault="004B1E13" w:rsidP="00AB44F5">
            <w:pPr>
              <w:ind w:right="320"/>
              <w:jc w:val="center"/>
              <w:rPr>
                <w:sz w:val="20"/>
                <w:szCs w:val="20"/>
              </w:rPr>
            </w:pPr>
            <w:r>
              <w:rPr>
                <w:rFonts w:eastAsia="Times New Roman"/>
                <w:sz w:val="24"/>
                <w:szCs w:val="24"/>
              </w:rPr>
              <w:t>135</w:t>
            </w:r>
          </w:p>
        </w:tc>
        <w:tc>
          <w:tcPr>
            <w:tcW w:w="1086" w:type="dxa"/>
            <w:vAlign w:val="center"/>
          </w:tcPr>
          <w:p w14:paraId="281A5BCD" w14:textId="77777777" w:rsidR="004B1E13" w:rsidRDefault="004B1E13" w:rsidP="00AB44F5">
            <w:pPr>
              <w:ind w:left="360"/>
              <w:jc w:val="center"/>
              <w:rPr>
                <w:sz w:val="20"/>
                <w:szCs w:val="20"/>
              </w:rPr>
            </w:pPr>
            <w:r>
              <w:rPr>
                <w:rFonts w:eastAsia="Times New Roman"/>
                <w:sz w:val="24"/>
                <w:szCs w:val="24"/>
              </w:rPr>
              <w:t>162</w:t>
            </w:r>
          </w:p>
        </w:tc>
        <w:tc>
          <w:tcPr>
            <w:tcW w:w="1085" w:type="dxa"/>
            <w:vAlign w:val="center"/>
          </w:tcPr>
          <w:p w14:paraId="281A5BCE" w14:textId="77777777" w:rsidR="004B1E13" w:rsidRDefault="004B1E13" w:rsidP="00AB44F5">
            <w:pPr>
              <w:ind w:right="260"/>
              <w:jc w:val="center"/>
              <w:rPr>
                <w:sz w:val="20"/>
                <w:szCs w:val="20"/>
              </w:rPr>
            </w:pPr>
            <w:r>
              <w:rPr>
                <w:rFonts w:eastAsia="Times New Roman"/>
                <w:sz w:val="24"/>
                <w:szCs w:val="24"/>
              </w:rPr>
              <w:t>196</w:t>
            </w:r>
          </w:p>
        </w:tc>
        <w:tc>
          <w:tcPr>
            <w:tcW w:w="1086" w:type="dxa"/>
            <w:vAlign w:val="center"/>
          </w:tcPr>
          <w:p w14:paraId="281A5BCF" w14:textId="77777777" w:rsidR="004B1E13" w:rsidRDefault="004B1E13" w:rsidP="00AB44F5">
            <w:pPr>
              <w:ind w:left="400"/>
              <w:jc w:val="center"/>
              <w:rPr>
                <w:sz w:val="20"/>
                <w:szCs w:val="20"/>
              </w:rPr>
            </w:pPr>
            <w:r>
              <w:rPr>
                <w:rFonts w:eastAsia="Times New Roman"/>
                <w:sz w:val="24"/>
                <w:szCs w:val="24"/>
              </w:rPr>
              <w:t>238</w:t>
            </w:r>
          </w:p>
        </w:tc>
        <w:tc>
          <w:tcPr>
            <w:tcW w:w="1086" w:type="dxa"/>
            <w:vAlign w:val="center"/>
          </w:tcPr>
          <w:p w14:paraId="281A5BD0" w14:textId="77777777" w:rsidR="004B1E13" w:rsidRDefault="004B1E13" w:rsidP="00AB44F5">
            <w:pPr>
              <w:ind w:left="460"/>
              <w:jc w:val="center"/>
              <w:rPr>
                <w:sz w:val="20"/>
                <w:szCs w:val="20"/>
              </w:rPr>
            </w:pPr>
            <w:r>
              <w:rPr>
                <w:rFonts w:eastAsia="Times New Roman"/>
                <w:sz w:val="24"/>
                <w:szCs w:val="24"/>
              </w:rPr>
              <w:t>287</w:t>
            </w:r>
          </w:p>
        </w:tc>
        <w:tc>
          <w:tcPr>
            <w:tcW w:w="1086" w:type="dxa"/>
            <w:vAlign w:val="center"/>
          </w:tcPr>
          <w:p w14:paraId="281A5BD1" w14:textId="77777777" w:rsidR="004B1E13" w:rsidRDefault="004B1E13" w:rsidP="00AB44F5">
            <w:pPr>
              <w:ind w:right="80"/>
              <w:jc w:val="center"/>
              <w:rPr>
                <w:sz w:val="20"/>
                <w:szCs w:val="20"/>
              </w:rPr>
            </w:pPr>
            <w:r>
              <w:rPr>
                <w:rFonts w:eastAsia="Times New Roman"/>
                <w:sz w:val="24"/>
                <w:szCs w:val="24"/>
              </w:rPr>
              <w:t>345</w:t>
            </w:r>
          </w:p>
        </w:tc>
      </w:tr>
      <w:tr w:rsidR="004B1E13" w14:paraId="281A5BDD" w14:textId="77777777" w:rsidTr="00CE7749">
        <w:trPr>
          <w:trHeight w:val="299"/>
        </w:trPr>
        <w:tc>
          <w:tcPr>
            <w:tcW w:w="1720" w:type="dxa"/>
            <w:vAlign w:val="bottom"/>
          </w:tcPr>
          <w:p w14:paraId="281A5BD5" w14:textId="77777777" w:rsidR="004B1E13" w:rsidRDefault="004B1E13" w:rsidP="00AB44F5">
            <w:pPr>
              <w:ind w:left="280"/>
              <w:rPr>
                <w:sz w:val="20"/>
                <w:szCs w:val="20"/>
              </w:rPr>
            </w:pPr>
            <w:r>
              <w:rPr>
                <w:rFonts w:eastAsia="Times New Roman"/>
                <w:sz w:val="24"/>
                <w:szCs w:val="24"/>
              </w:rPr>
              <w:t>2.0</w:t>
            </w:r>
          </w:p>
        </w:tc>
        <w:tc>
          <w:tcPr>
            <w:tcW w:w="1085" w:type="dxa"/>
            <w:vAlign w:val="center"/>
          </w:tcPr>
          <w:p w14:paraId="281A5BD6" w14:textId="77777777" w:rsidR="004B1E13" w:rsidRDefault="004B1E13" w:rsidP="00AB44F5">
            <w:pPr>
              <w:jc w:val="center"/>
              <w:rPr>
                <w:sz w:val="20"/>
                <w:szCs w:val="20"/>
              </w:rPr>
            </w:pPr>
            <w:r>
              <w:rPr>
                <w:rFonts w:eastAsia="Times New Roman"/>
                <w:sz w:val="24"/>
                <w:szCs w:val="24"/>
              </w:rPr>
              <w:t>116</w:t>
            </w:r>
          </w:p>
        </w:tc>
        <w:tc>
          <w:tcPr>
            <w:tcW w:w="1086" w:type="dxa"/>
            <w:vAlign w:val="center"/>
          </w:tcPr>
          <w:p w14:paraId="281A5BD7" w14:textId="77777777" w:rsidR="004B1E13" w:rsidRDefault="004B1E13" w:rsidP="00AB44F5">
            <w:pPr>
              <w:ind w:right="320"/>
              <w:jc w:val="center"/>
              <w:rPr>
                <w:sz w:val="20"/>
                <w:szCs w:val="20"/>
              </w:rPr>
            </w:pPr>
            <w:r>
              <w:rPr>
                <w:rFonts w:eastAsia="Times New Roman"/>
                <w:sz w:val="24"/>
                <w:szCs w:val="24"/>
              </w:rPr>
              <w:t>138</w:t>
            </w:r>
          </w:p>
        </w:tc>
        <w:tc>
          <w:tcPr>
            <w:tcW w:w="1086" w:type="dxa"/>
            <w:vAlign w:val="center"/>
          </w:tcPr>
          <w:p w14:paraId="281A5BD8" w14:textId="77777777" w:rsidR="004B1E13" w:rsidRDefault="004B1E13" w:rsidP="00AB44F5">
            <w:pPr>
              <w:ind w:left="360"/>
              <w:jc w:val="center"/>
              <w:rPr>
                <w:sz w:val="20"/>
                <w:szCs w:val="20"/>
              </w:rPr>
            </w:pPr>
            <w:r>
              <w:rPr>
                <w:rFonts w:eastAsia="Times New Roman"/>
                <w:sz w:val="24"/>
                <w:szCs w:val="24"/>
              </w:rPr>
              <w:t>165</w:t>
            </w:r>
          </w:p>
        </w:tc>
        <w:tc>
          <w:tcPr>
            <w:tcW w:w="1085" w:type="dxa"/>
            <w:vAlign w:val="center"/>
          </w:tcPr>
          <w:p w14:paraId="281A5BD9" w14:textId="77777777" w:rsidR="004B1E13" w:rsidRDefault="004B1E13" w:rsidP="00AB44F5">
            <w:pPr>
              <w:ind w:right="260"/>
              <w:jc w:val="center"/>
              <w:rPr>
                <w:sz w:val="20"/>
                <w:szCs w:val="20"/>
              </w:rPr>
            </w:pPr>
            <w:r>
              <w:rPr>
                <w:rFonts w:eastAsia="Times New Roman"/>
                <w:sz w:val="24"/>
                <w:szCs w:val="24"/>
              </w:rPr>
              <w:t>200</w:t>
            </w:r>
          </w:p>
        </w:tc>
        <w:tc>
          <w:tcPr>
            <w:tcW w:w="1086" w:type="dxa"/>
            <w:vAlign w:val="center"/>
          </w:tcPr>
          <w:p w14:paraId="281A5BDA" w14:textId="77777777" w:rsidR="004B1E13" w:rsidRDefault="004B1E13" w:rsidP="00AB44F5">
            <w:pPr>
              <w:ind w:left="400"/>
              <w:jc w:val="center"/>
              <w:rPr>
                <w:sz w:val="20"/>
                <w:szCs w:val="20"/>
              </w:rPr>
            </w:pPr>
            <w:r>
              <w:rPr>
                <w:rFonts w:eastAsia="Times New Roman"/>
                <w:sz w:val="24"/>
                <w:szCs w:val="24"/>
              </w:rPr>
              <w:t>243</w:t>
            </w:r>
          </w:p>
        </w:tc>
        <w:tc>
          <w:tcPr>
            <w:tcW w:w="1086" w:type="dxa"/>
            <w:vAlign w:val="center"/>
          </w:tcPr>
          <w:p w14:paraId="281A5BDB" w14:textId="77777777" w:rsidR="004B1E13" w:rsidRDefault="004B1E13" w:rsidP="00AB44F5">
            <w:pPr>
              <w:ind w:left="460"/>
              <w:jc w:val="center"/>
              <w:rPr>
                <w:sz w:val="20"/>
                <w:szCs w:val="20"/>
              </w:rPr>
            </w:pPr>
            <w:r>
              <w:rPr>
                <w:rFonts w:eastAsia="Times New Roman"/>
                <w:sz w:val="24"/>
                <w:szCs w:val="24"/>
              </w:rPr>
              <w:t>294</w:t>
            </w:r>
          </w:p>
        </w:tc>
        <w:tc>
          <w:tcPr>
            <w:tcW w:w="1086" w:type="dxa"/>
            <w:vAlign w:val="center"/>
          </w:tcPr>
          <w:p w14:paraId="281A5BDC" w14:textId="77777777" w:rsidR="004B1E13" w:rsidRDefault="004B1E13" w:rsidP="00AB44F5">
            <w:pPr>
              <w:ind w:right="80"/>
              <w:jc w:val="center"/>
              <w:rPr>
                <w:sz w:val="20"/>
                <w:szCs w:val="20"/>
              </w:rPr>
            </w:pPr>
            <w:r>
              <w:rPr>
                <w:rFonts w:eastAsia="Times New Roman"/>
                <w:sz w:val="24"/>
                <w:szCs w:val="24"/>
              </w:rPr>
              <w:t>353</w:t>
            </w:r>
          </w:p>
        </w:tc>
      </w:tr>
      <w:tr w:rsidR="004B1E13" w14:paraId="281A5BE8" w14:textId="77777777" w:rsidTr="00CE7749">
        <w:trPr>
          <w:trHeight w:val="299"/>
        </w:trPr>
        <w:tc>
          <w:tcPr>
            <w:tcW w:w="1720" w:type="dxa"/>
            <w:vAlign w:val="bottom"/>
          </w:tcPr>
          <w:p w14:paraId="281A5BE0" w14:textId="77777777" w:rsidR="004B1E13" w:rsidRDefault="004B1E13" w:rsidP="00AB44F5">
            <w:pPr>
              <w:ind w:left="280"/>
              <w:rPr>
                <w:sz w:val="20"/>
                <w:szCs w:val="20"/>
              </w:rPr>
            </w:pPr>
            <w:r>
              <w:rPr>
                <w:rFonts w:eastAsia="Times New Roman"/>
                <w:sz w:val="24"/>
                <w:szCs w:val="24"/>
              </w:rPr>
              <w:t>2.2</w:t>
            </w:r>
          </w:p>
        </w:tc>
        <w:tc>
          <w:tcPr>
            <w:tcW w:w="1085" w:type="dxa"/>
            <w:vAlign w:val="center"/>
          </w:tcPr>
          <w:p w14:paraId="281A5BE1" w14:textId="77777777" w:rsidR="004B1E13" w:rsidRDefault="004B1E13" w:rsidP="00AB44F5">
            <w:pPr>
              <w:jc w:val="center"/>
              <w:rPr>
                <w:sz w:val="20"/>
                <w:szCs w:val="20"/>
              </w:rPr>
            </w:pPr>
            <w:r>
              <w:rPr>
                <w:rFonts w:eastAsia="Times New Roman"/>
                <w:sz w:val="24"/>
                <w:szCs w:val="24"/>
              </w:rPr>
              <w:t>118</w:t>
            </w:r>
          </w:p>
        </w:tc>
        <w:tc>
          <w:tcPr>
            <w:tcW w:w="1086" w:type="dxa"/>
            <w:vAlign w:val="center"/>
          </w:tcPr>
          <w:p w14:paraId="281A5BE2" w14:textId="77777777" w:rsidR="004B1E13" w:rsidRDefault="004B1E13" w:rsidP="00AB44F5">
            <w:pPr>
              <w:ind w:right="320"/>
              <w:jc w:val="center"/>
              <w:rPr>
                <w:sz w:val="20"/>
                <w:szCs w:val="20"/>
              </w:rPr>
            </w:pPr>
            <w:r>
              <w:rPr>
                <w:rFonts w:eastAsia="Times New Roman"/>
                <w:sz w:val="24"/>
                <w:szCs w:val="24"/>
              </w:rPr>
              <w:t>140</w:t>
            </w:r>
          </w:p>
        </w:tc>
        <w:tc>
          <w:tcPr>
            <w:tcW w:w="1086" w:type="dxa"/>
            <w:vAlign w:val="center"/>
          </w:tcPr>
          <w:p w14:paraId="281A5BE3" w14:textId="77777777" w:rsidR="004B1E13" w:rsidRDefault="004B1E13" w:rsidP="00AB44F5">
            <w:pPr>
              <w:ind w:left="360"/>
              <w:jc w:val="center"/>
              <w:rPr>
                <w:sz w:val="20"/>
                <w:szCs w:val="20"/>
              </w:rPr>
            </w:pPr>
            <w:r>
              <w:rPr>
                <w:rFonts w:eastAsia="Times New Roman"/>
                <w:sz w:val="24"/>
                <w:szCs w:val="24"/>
              </w:rPr>
              <w:t>169</w:t>
            </w:r>
          </w:p>
        </w:tc>
        <w:tc>
          <w:tcPr>
            <w:tcW w:w="1085" w:type="dxa"/>
            <w:vAlign w:val="center"/>
          </w:tcPr>
          <w:p w14:paraId="281A5BE4" w14:textId="77777777" w:rsidR="004B1E13" w:rsidRDefault="004B1E13" w:rsidP="00AB44F5">
            <w:pPr>
              <w:ind w:right="260"/>
              <w:jc w:val="center"/>
              <w:rPr>
                <w:sz w:val="20"/>
                <w:szCs w:val="20"/>
              </w:rPr>
            </w:pPr>
            <w:r>
              <w:rPr>
                <w:rFonts w:eastAsia="Times New Roman"/>
                <w:sz w:val="24"/>
                <w:szCs w:val="24"/>
              </w:rPr>
              <w:t>204</w:t>
            </w:r>
          </w:p>
        </w:tc>
        <w:tc>
          <w:tcPr>
            <w:tcW w:w="1086" w:type="dxa"/>
            <w:vAlign w:val="center"/>
          </w:tcPr>
          <w:p w14:paraId="281A5BE5" w14:textId="77777777" w:rsidR="004B1E13" w:rsidRDefault="004B1E13" w:rsidP="00AB44F5">
            <w:pPr>
              <w:ind w:left="400"/>
              <w:jc w:val="center"/>
              <w:rPr>
                <w:sz w:val="20"/>
                <w:szCs w:val="20"/>
              </w:rPr>
            </w:pPr>
            <w:r>
              <w:rPr>
                <w:rFonts w:eastAsia="Times New Roman"/>
                <w:sz w:val="24"/>
                <w:szCs w:val="24"/>
              </w:rPr>
              <w:t>248</w:t>
            </w:r>
          </w:p>
        </w:tc>
        <w:tc>
          <w:tcPr>
            <w:tcW w:w="1086" w:type="dxa"/>
            <w:vAlign w:val="center"/>
          </w:tcPr>
          <w:p w14:paraId="281A5BE6" w14:textId="77777777" w:rsidR="004B1E13" w:rsidRDefault="004B1E13" w:rsidP="00AB44F5">
            <w:pPr>
              <w:ind w:left="460"/>
              <w:jc w:val="center"/>
              <w:rPr>
                <w:sz w:val="20"/>
                <w:szCs w:val="20"/>
              </w:rPr>
            </w:pPr>
            <w:r>
              <w:rPr>
                <w:rFonts w:eastAsia="Times New Roman"/>
                <w:sz w:val="24"/>
                <w:szCs w:val="24"/>
              </w:rPr>
              <w:t>300</w:t>
            </w:r>
          </w:p>
        </w:tc>
        <w:tc>
          <w:tcPr>
            <w:tcW w:w="1086" w:type="dxa"/>
            <w:vAlign w:val="center"/>
          </w:tcPr>
          <w:p w14:paraId="281A5BE7" w14:textId="77777777" w:rsidR="004B1E13" w:rsidRDefault="004B1E13" w:rsidP="00AB44F5">
            <w:pPr>
              <w:ind w:right="80"/>
              <w:jc w:val="center"/>
              <w:rPr>
                <w:sz w:val="20"/>
                <w:szCs w:val="20"/>
              </w:rPr>
            </w:pPr>
            <w:r>
              <w:rPr>
                <w:rFonts w:eastAsia="Times New Roman"/>
                <w:sz w:val="24"/>
                <w:szCs w:val="24"/>
              </w:rPr>
              <w:t>361</w:t>
            </w:r>
          </w:p>
        </w:tc>
      </w:tr>
      <w:tr w:rsidR="004B1E13" w14:paraId="281A5BF3" w14:textId="77777777" w:rsidTr="00CE7749">
        <w:trPr>
          <w:trHeight w:val="299"/>
        </w:trPr>
        <w:tc>
          <w:tcPr>
            <w:tcW w:w="1720" w:type="dxa"/>
            <w:vAlign w:val="bottom"/>
          </w:tcPr>
          <w:p w14:paraId="281A5BEB" w14:textId="77777777" w:rsidR="004B1E13" w:rsidRDefault="004B1E13" w:rsidP="00AB44F5">
            <w:pPr>
              <w:ind w:left="280"/>
              <w:rPr>
                <w:sz w:val="20"/>
                <w:szCs w:val="20"/>
              </w:rPr>
            </w:pPr>
            <w:r>
              <w:rPr>
                <w:rFonts w:eastAsia="Times New Roman"/>
                <w:sz w:val="24"/>
                <w:szCs w:val="24"/>
              </w:rPr>
              <w:t>2.4</w:t>
            </w:r>
          </w:p>
        </w:tc>
        <w:tc>
          <w:tcPr>
            <w:tcW w:w="1085" w:type="dxa"/>
            <w:vAlign w:val="center"/>
          </w:tcPr>
          <w:p w14:paraId="281A5BEC" w14:textId="77777777" w:rsidR="004B1E13" w:rsidRDefault="004B1E13" w:rsidP="00AB44F5">
            <w:pPr>
              <w:jc w:val="center"/>
              <w:rPr>
                <w:sz w:val="20"/>
                <w:szCs w:val="20"/>
              </w:rPr>
            </w:pPr>
            <w:r>
              <w:rPr>
                <w:rFonts w:eastAsia="Times New Roman"/>
                <w:sz w:val="24"/>
                <w:szCs w:val="24"/>
              </w:rPr>
              <w:t>120</w:t>
            </w:r>
          </w:p>
        </w:tc>
        <w:tc>
          <w:tcPr>
            <w:tcW w:w="1086" w:type="dxa"/>
            <w:vAlign w:val="center"/>
          </w:tcPr>
          <w:p w14:paraId="281A5BED" w14:textId="77777777" w:rsidR="004B1E13" w:rsidRDefault="004B1E13" w:rsidP="00AB44F5">
            <w:pPr>
              <w:ind w:right="320"/>
              <w:jc w:val="center"/>
              <w:rPr>
                <w:sz w:val="20"/>
                <w:szCs w:val="20"/>
              </w:rPr>
            </w:pPr>
            <w:r>
              <w:rPr>
                <w:rFonts w:eastAsia="Times New Roman"/>
                <w:sz w:val="24"/>
                <w:szCs w:val="24"/>
              </w:rPr>
              <w:t>143</w:t>
            </w:r>
          </w:p>
        </w:tc>
        <w:tc>
          <w:tcPr>
            <w:tcW w:w="1086" w:type="dxa"/>
            <w:vAlign w:val="center"/>
          </w:tcPr>
          <w:p w14:paraId="281A5BEE" w14:textId="77777777" w:rsidR="004B1E13" w:rsidRDefault="004B1E13" w:rsidP="00AB44F5">
            <w:pPr>
              <w:ind w:left="360"/>
              <w:jc w:val="center"/>
              <w:rPr>
                <w:sz w:val="20"/>
                <w:szCs w:val="20"/>
              </w:rPr>
            </w:pPr>
            <w:r>
              <w:rPr>
                <w:rFonts w:eastAsia="Times New Roman"/>
                <w:sz w:val="24"/>
                <w:szCs w:val="24"/>
              </w:rPr>
              <w:t>172</w:t>
            </w:r>
          </w:p>
        </w:tc>
        <w:tc>
          <w:tcPr>
            <w:tcW w:w="1085" w:type="dxa"/>
            <w:vAlign w:val="center"/>
          </w:tcPr>
          <w:p w14:paraId="281A5BEF" w14:textId="77777777" w:rsidR="004B1E13" w:rsidRDefault="004B1E13" w:rsidP="00AB44F5">
            <w:pPr>
              <w:ind w:right="260"/>
              <w:jc w:val="center"/>
              <w:rPr>
                <w:sz w:val="20"/>
                <w:szCs w:val="20"/>
              </w:rPr>
            </w:pPr>
            <w:r>
              <w:rPr>
                <w:rFonts w:eastAsia="Times New Roman"/>
                <w:sz w:val="24"/>
                <w:szCs w:val="24"/>
              </w:rPr>
              <w:t>209</w:t>
            </w:r>
          </w:p>
        </w:tc>
        <w:tc>
          <w:tcPr>
            <w:tcW w:w="1086" w:type="dxa"/>
            <w:vAlign w:val="center"/>
          </w:tcPr>
          <w:p w14:paraId="281A5BF0" w14:textId="77777777" w:rsidR="004B1E13" w:rsidRDefault="004B1E13" w:rsidP="00AB44F5">
            <w:pPr>
              <w:ind w:left="400"/>
              <w:jc w:val="center"/>
              <w:rPr>
                <w:sz w:val="20"/>
                <w:szCs w:val="20"/>
              </w:rPr>
            </w:pPr>
            <w:r>
              <w:rPr>
                <w:rFonts w:eastAsia="Times New Roman"/>
                <w:sz w:val="24"/>
                <w:szCs w:val="24"/>
              </w:rPr>
              <w:t>253</w:t>
            </w:r>
          </w:p>
        </w:tc>
        <w:tc>
          <w:tcPr>
            <w:tcW w:w="1086" w:type="dxa"/>
            <w:vAlign w:val="center"/>
          </w:tcPr>
          <w:p w14:paraId="281A5BF1" w14:textId="77777777" w:rsidR="004B1E13" w:rsidRDefault="004B1E13" w:rsidP="00AB44F5">
            <w:pPr>
              <w:ind w:left="460"/>
              <w:jc w:val="center"/>
              <w:rPr>
                <w:sz w:val="20"/>
                <w:szCs w:val="20"/>
              </w:rPr>
            </w:pPr>
            <w:r>
              <w:rPr>
                <w:rFonts w:eastAsia="Times New Roman"/>
                <w:sz w:val="24"/>
                <w:szCs w:val="24"/>
              </w:rPr>
              <w:t>306</w:t>
            </w:r>
          </w:p>
        </w:tc>
        <w:tc>
          <w:tcPr>
            <w:tcW w:w="1086" w:type="dxa"/>
            <w:vAlign w:val="center"/>
          </w:tcPr>
          <w:p w14:paraId="281A5BF2" w14:textId="77777777" w:rsidR="004B1E13" w:rsidRDefault="004B1E13" w:rsidP="00AB44F5">
            <w:pPr>
              <w:ind w:right="80"/>
              <w:jc w:val="center"/>
              <w:rPr>
                <w:sz w:val="20"/>
                <w:szCs w:val="20"/>
              </w:rPr>
            </w:pPr>
            <w:r>
              <w:rPr>
                <w:rFonts w:eastAsia="Times New Roman"/>
                <w:sz w:val="24"/>
                <w:szCs w:val="24"/>
              </w:rPr>
              <w:t>368</w:t>
            </w:r>
          </w:p>
        </w:tc>
      </w:tr>
      <w:tr w:rsidR="004B1E13" w14:paraId="281A5BFE" w14:textId="77777777" w:rsidTr="00CE7749">
        <w:trPr>
          <w:trHeight w:val="299"/>
        </w:trPr>
        <w:tc>
          <w:tcPr>
            <w:tcW w:w="1720" w:type="dxa"/>
            <w:vAlign w:val="bottom"/>
          </w:tcPr>
          <w:p w14:paraId="281A5BF6" w14:textId="77777777" w:rsidR="004B1E13" w:rsidRDefault="004B1E13" w:rsidP="00AB44F5">
            <w:pPr>
              <w:ind w:left="280"/>
              <w:rPr>
                <w:sz w:val="20"/>
                <w:szCs w:val="20"/>
              </w:rPr>
            </w:pPr>
            <w:r>
              <w:rPr>
                <w:rFonts w:eastAsia="Times New Roman"/>
                <w:sz w:val="24"/>
                <w:szCs w:val="24"/>
              </w:rPr>
              <w:t>2.6</w:t>
            </w:r>
          </w:p>
        </w:tc>
        <w:tc>
          <w:tcPr>
            <w:tcW w:w="1085" w:type="dxa"/>
            <w:vAlign w:val="center"/>
          </w:tcPr>
          <w:p w14:paraId="281A5BF7" w14:textId="77777777" w:rsidR="004B1E13" w:rsidRDefault="004B1E13" w:rsidP="00AB44F5">
            <w:pPr>
              <w:jc w:val="center"/>
              <w:rPr>
                <w:sz w:val="20"/>
                <w:szCs w:val="20"/>
              </w:rPr>
            </w:pPr>
            <w:r>
              <w:rPr>
                <w:rFonts w:eastAsia="Times New Roman"/>
                <w:sz w:val="24"/>
                <w:szCs w:val="24"/>
              </w:rPr>
              <w:t>122</w:t>
            </w:r>
          </w:p>
        </w:tc>
        <w:tc>
          <w:tcPr>
            <w:tcW w:w="1086" w:type="dxa"/>
            <w:vAlign w:val="center"/>
          </w:tcPr>
          <w:p w14:paraId="281A5BF8" w14:textId="77777777" w:rsidR="004B1E13" w:rsidRDefault="004B1E13" w:rsidP="00AB44F5">
            <w:pPr>
              <w:ind w:right="320"/>
              <w:jc w:val="center"/>
              <w:rPr>
                <w:sz w:val="20"/>
                <w:szCs w:val="20"/>
              </w:rPr>
            </w:pPr>
            <w:r>
              <w:rPr>
                <w:rFonts w:eastAsia="Times New Roman"/>
                <w:sz w:val="24"/>
                <w:szCs w:val="24"/>
              </w:rPr>
              <w:t>146</w:t>
            </w:r>
          </w:p>
        </w:tc>
        <w:tc>
          <w:tcPr>
            <w:tcW w:w="1086" w:type="dxa"/>
            <w:vAlign w:val="center"/>
          </w:tcPr>
          <w:p w14:paraId="281A5BF9" w14:textId="77777777" w:rsidR="004B1E13" w:rsidRDefault="004B1E13" w:rsidP="00AB44F5">
            <w:pPr>
              <w:ind w:left="360"/>
              <w:jc w:val="center"/>
              <w:rPr>
                <w:sz w:val="20"/>
                <w:szCs w:val="20"/>
              </w:rPr>
            </w:pPr>
            <w:r>
              <w:rPr>
                <w:rFonts w:eastAsia="Times New Roman"/>
                <w:sz w:val="24"/>
                <w:szCs w:val="24"/>
              </w:rPr>
              <w:t>175</w:t>
            </w:r>
          </w:p>
        </w:tc>
        <w:tc>
          <w:tcPr>
            <w:tcW w:w="1085" w:type="dxa"/>
            <w:vAlign w:val="center"/>
          </w:tcPr>
          <w:p w14:paraId="281A5BFA" w14:textId="77777777" w:rsidR="004B1E13" w:rsidRDefault="004B1E13" w:rsidP="00AB44F5">
            <w:pPr>
              <w:ind w:right="260"/>
              <w:jc w:val="center"/>
              <w:rPr>
                <w:sz w:val="20"/>
                <w:szCs w:val="20"/>
              </w:rPr>
            </w:pPr>
            <w:r>
              <w:rPr>
                <w:rFonts w:eastAsia="Times New Roman"/>
                <w:sz w:val="24"/>
                <w:szCs w:val="24"/>
              </w:rPr>
              <w:t>213</w:t>
            </w:r>
          </w:p>
        </w:tc>
        <w:tc>
          <w:tcPr>
            <w:tcW w:w="1086" w:type="dxa"/>
            <w:vAlign w:val="center"/>
          </w:tcPr>
          <w:p w14:paraId="281A5BFB" w14:textId="77777777" w:rsidR="004B1E13" w:rsidRDefault="004B1E13" w:rsidP="00AB44F5">
            <w:pPr>
              <w:ind w:left="400"/>
              <w:jc w:val="center"/>
              <w:rPr>
                <w:sz w:val="20"/>
                <w:szCs w:val="20"/>
              </w:rPr>
            </w:pPr>
            <w:r>
              <w:rPr>
                <w:rFonts w:eastAsia="Times New Roman"/>
                <w:sz w:val="24"/>
                <w:szCs w:val="24"/>
              </w:rPr>
              <w:t>258</w:t>
            </w:r>
          </w:p>
        </w:tc>
        <w:tc>
          <w:tcPr>
            <w:tcW w:w="1086" w:type="dxa"/>
            <w:vAlign w:val="center"/>
          </w:tcPr>
          <w:p w14:paraId="281A5BFC" w14:textId="77777777" w:rsidR="004B1E13" w:rsidRDefault="004B1E13" w:rsidP="00AB44F5">
            <w:pPr>
              <w:ind w:left="460"/>
              <w:jc w:val="center"/>
              <w:rPr>
                <w:sz w:val="20"/>
                <w:szCs w:val="20"/>
              </w:rPr>
            </w:pPr>
            <w:r>
              <w:rPr>
                <w:rFonts w:eastAsia="Times New Roman"/>
                <w:sz w:val="24"/>
                <w:szCs w:val="24"/>
              </w:rPr>
              <w:t>312</w:t>
            </w:r>
          </w:p>
        </w:tc>
        <w:tc>
          <w:tcPr>
            <w:tcW w:w="1086" w:type="dxa"/>
            <w:vAlign w:val="center"/>
          </w:tcPr>
          <w:p w14:paraId="281A5BFD" w14:textId="77777777" w:rsidR="004B1E13" w:rsidRDefault="004B1E13" w:rsidP="00AB44F5">
            <w:pPr>
              <w:ind w:right="80"/>
              <w:jc w:val="center"/>
              <w:rPr>
                <w:sz w:val="20"/>
                <w:szCs w:val="20"/>
              </w:rPr>
            </w:pPr>
            <w:r>
              <w:rPr>
                <w:rFonts w:eastAsia="Times New Roman"/>
                <w:sz w:val="24"/>
                <w:szCs w:val="24"/>
              </w:rPr>
              <w:t>375</w:t>
            </w:r>
          </w:p>
        </w:tc>
      </w:tr>
      <w:tr w:rsidR="004B1E13" w14:paraId="281A5C09" w14:textId="77777777" w:rsidTr="00CE7749">
        <w:trPr>
          <w:trHeight w:val="299"/>
        </w:trPr>
        <w:tc>
          <w:tcPr>
            <w:tcW w:w="1720" w:type="dxa"/>
            <w:vAlign w:val="bottom"/>
          </w:tcPr>
          <w:p w14:paraId="281A5C01" w14:textId="77777777" w:rsidR="004B1E13" w:rsidRDefault="004B1E13" w:rsidP="00AB44F5">
            <w:pPr>
              <w:ind w:left="280"/>
              <w:rPr>
                <w:sz w:val="20"/>
                <w:szCs w:val="20"/>
              </w:rPr>
            </w:pPr>
            <w:r>
              <w:rPr>
                <w:rFonts w:eastAsia="Times New Roman"/>
                <w:sz w:val="24"/>
                <w:szCs w:val="24"/>
              </w:rPr>
              <w:t>2.8</w:t>
            </w:r>
          </w:p>
        </w:tc>
        <w:tc>
          <w:tcPr>
            <w:tcW w:w="1085" w:type="dxa"/>
            <w:vAlign w:val="center"/>
          </w:tcPr>
          <w:p w14:paraId="281A5C02" w14:textId="77777777" w:rsidR="004B1E13" w:rsidRDefault="004B1E13" w:rsidP="00AB44F5">
            <w:pPr>
              <w:jc w:val="center"/>
              <w:rPr>
                <w:sz w:val="20"/>
                <w:szCs w:val="20"/>
              </w:rPr>
            </w:pPr>
            <w:r>
              <w:rPr>
                <w:rFonts w:eastAsia="Times New Roman"/>
                <w:sz w:val="24"/>
                <w:szCs w:val="24"/>
              </w:rPr>
              <w:t>124</w:t>
            </w:r>
          </w:p>
        </w:tc>
        <w:tc>
          <w:tcPr>
            <w:tcW w:w="1086" w:type="dxa"/>
            <w:vAlign w:val="center"/>
          </w:tcPr>
          <w:p w14:paraId="281A5C03" w14:textId="77777777" w:rsidR="004B1E13" w:rsidRDefault="004B1E13" w:rsidP="00AB44F5">
            <w:pPr>
              <w:ind w:right="320"/>
              <w:jc w:val="center"/>
              <w:rPr>
                <w:sz w:val="20"/>
                <w:szCs w:val="20"/>
              </w:rPr>
            </w:pPr>
            <w:r>
              <w:rPr>
                <w:rFonts w:eastAsia="Times New Roman"/>
                <w:sz w:val="24"/>
                <w:szCs w:val="24"/>
              </w:rPr>
              <w:t>148</w:t>
            </w:r>
          </w:p>
        </w:tc>
        <w:tc>
          <w:tcPr>
            <w:tcW w:w="1086" w:type="dxa"/>
            <w:vAlign w:val="center"/>
          </w:tcPr>
          <w:p w14:paraId="281A5C04" w14:textId="77777777" w:rsidR="004B1E13" w:rsidRDefault="004B1E13" w:rsidP="00AB44F5">
            <w:pPr>
              <w:ind w:left="360"/>
              <w:jc w:val="center"/>
              <w:rPr>
                <w:sz w:val="20"/>
                <w:szCs w:val="20"/>
              </w:rPr>
            </w:pPr>
            <w:r>
              <w:rPr>
                <w:rFonts w:eastAsia="Times New Roman"/>
                <w:sz w:val="24"/>
                <w:szCs w:val="24"/>
              </w:rPr>
              <w:t>178</w:t>
            </w:r>
          </w:p>
        </w:tc>
        <w:tc>
          <w:tcPr>
            <w:tcW w:w="1085" w:type="dxa"/>
            <w:vAlign w:val="center"/>
          </w:tcPr>
          <w:p w14:paraId="281A5C05" w14:textId="77777777" w:rsidR="004B1E13" w:rsidRDefault="004B1E13" w:rsidP="00AB44F5">
            <w:pPr>
              <w:ind w:right="260"/>
              <w:jc w:val="center"/>
              <w:rPr>
                <w:sz w:val="20"/>
                <w:szCs w:val="20"/>
              </w:rPr>
            </w:pPr>
            <w:r>
              <w:rPr>
                <w:rFonts w:eastAsia="Times New Roman"/>
                <w:sz w:val="24"/>
                <w:szCs w:val="24"/>
              </w:rPr>
              <w:t>217</w:t>
            </w:r>
          </w:p>
        </w:tc>
        <w:tc>
          <w:tcPr>
            <w:tcW w:w="1086" w:type="dxa"/>
            <w:vAlign w:val="center"/>
          </w:tcPr>
          <w:p w14:paraId="281A5C06" w14:textId="77777777" w:rsidR="004B1E13" w:rsidRDefault="004B1E13" w:rsidP="00AB44F5">
            <w:pPr>
              <w:ind w:left="400"/>
              <w:jc w:val="center"/>
              <w:rPr>
                <w:sz w:val="20"/>
                <w:szCs w:val="20"/>
              </w:rPr>
            </w:pPr>
            <w:r>
              <w:rPr>
                <w:rFonts w:eastAsia="Times New Roman"/>
                <w:sz w:val="24"/>
                <w:szCs w:val="24"/>
              </w:rPr>
              <w:t>263</w:t>
            </w:r>
          </w:p>
        </w:tc>
        <w:tc>
          <w:tcPr>
            <w:tcW w:w="1086" w:type="dxa"/>
            <w:vAlign w:val="center"/>
          </w:tcPr>
          <w:p w14:paraId="281A5C07" w14:textId="77777777" w:rsidR="004B1E13" w:rsidRDefault="004B1E13" w:rsidP="00AB44F5">
            <w:pPr>
              <w:ind w:left="460"/>
              <w:jc w:val="center"/>
              <w:rPr>
                <w:sz w:val="20"/>
                <w:szCs w:val="20"/>
              </w:rPr>
            </w:pPr>
            <w:r>
              <w:rPr>
                <w:rFonts w:eastAsia="Times New Roman"/>
                <w:sz w:val="24"/>
                <w:szCs w:val="24"/>
              </w:rPr>
              <w:t>318</w:t>
            </w:r>
          </w:p>
        </w:tc>
        <w:tc>
          <w:tcPr>
            <w:tcW w:w="1086" w:type="dxa"/>
            <w:vAlign w:val="center"/>
          </w:tcPr>
          <w:p w14:paraId="281A5C08" w14:textId="77777777" w:rsidR="004B1E13" w:rsidRDefault="004B1E13" w:rsidP="00AB44F5">
            <w:pPr>
              <w:ind w:right="80"/>
              <w:jc w:val="center"/>
              <w:rPr>
                <w:sz w:val="20"/>
                <w:szCs w:val="20"/>
              </w:rPr>
            </w:pPr>
            <w:r>
              <w:rPr>
                <w:rFonts w:eastAsia="Times New Roman"/>
                <w:sz w:val="24"/>
                <w:szCs w:val="24"/>
              </w:rPr>
              <w:t>382</w:t>
            </w:r>
          </w:p>
        </w:tc>
      </w:tr>
      <w:tr w:rsidR="004B1E13" w14:paraId="281A5C14" w14:textId="77777777" w:rsidTr="00CE7749">
        <w:trPr>
          <w:trHeight w:val="299"/>
        </w:trPr>
        <w:tc>
          <w:tcPr>
            <w:tcW w:w="1720" w:type="dxa"/>
            <w:vAlign w:val="bottom"/>
          </w:tcPr>
          <w:p w14:paraId="281A5C0C" w14:textId="77777777" w:rsidR="004B1E13" w:rsidRDefault="004B1E13" w:rsidP="00AB44F5">
            <w:pPr>
              <w:ind w:left="280"/>
              <w:rPr>
                <w:sz w:val="20"/>
                <w:szCs w:val="20"/>
              </w:rPr>
            </w:pPr>
            <w:r>
              <w:rPr>
                <w:rFonts w:eastAsia="Times New Roman"/>
                <w:sz w:val="24"/>
                <w:szCs w:val="24"/>
              </w:rPr>
              <w:t>3.0</w:t>
            </w:r>
          </w:p>
        </w:tc>
        <w:tc>
          <w:tcPr>
            <w:tcW w:w="1085" w:type="dxa"/>
            <w:vAlign w:val="center"/>
          </w:tcPr>
          <w:p w14:paraId="281A5C0D" w14:textId="77777777" w:rsidR="004B1E13" w:rsidRDefault="004B1E13" w:rsidP="00AB44F5">
            <w:pPr>
              <w:jc w:val="center"/>
              <w:rPr>
                <w:sz w:val="20"/>
                <w:szCs w:val="20"/>
              </w:rPr>
            </w:pPr>
            <w:r>
              <w:rPr>
                <w:rFonts w:eastAsia="Times New Roman"/>
                <w:sz w:val="24"/>
                <w:szCs w:val="24"/>
              </w:rPr>
              <w:t>126</w:t>
            </w:r>
          </w:p>
        </w:tc>
        <w:tc>
          <w:tcPr>
            <w:tcW w:w="1086" w:type="dxa"/>
            <w:vAlign w:val="center"/>
          </w:tcPr>
          <w:p w14:paraId="281A5C0E" w14:textId="77777777" w:rsidR="004B1E13" w:rsidRDefault="004B1E13" w:rsidP="00AB44F5">
            <w:pPr>
              <w:ind w:right="320"/>
              <w:jc w:val="center"/>
              <w:rPr>
                <w:sz w:val="20"/>
                <w:szCs w:val="20"/>
              </w:rPr>
            </w:pPr>
            <w:r>
              <w:rPr>
                <w:rFonts w:eastAsia="Times New Roman"/>
                <w:sz w:val="24"/>
                <w:szCs w:val="24"/>
              </w:rPr>
              <w:t>151</w:t>
            </w:r>
          </w:p>
        </w:tc>
        <w:tc>
          <w:tcPr>
            <w:tcW w:w="1086" w:type="dxa"/>
            <w:vAlign w:val="center"/>
          </w:tcPr>
          <w:p w14:paraId="281A5C0F" w14:textId="77777777" w:rsidR="004B1E13" w:rsidRDefault="004B1E13" w:rsidP="00AB44F5">
            <w:pPr>
              <w:ind w:left="360"/>
              <w:jc w:val="center"/>
              <w:rPr>
                <w:sz w:val="20"/>
                <w:szCs w:val="20"/>
              </w:rPr>
            </w:pPr>
            <w:r>
              <w:rPr>
                <w:rFonts w:eastAsia="Times New Roman"/>
                <w:sz w:val="24"/>
                <w:szCs w:val="24"/>
              </w:rPr>
              <w:t>182</w:t>
            </w:r>
          </w:p>
        </w:tc>
        <w:tc>
          <w:tcPr>
            <w:tcW w:w="1085" w:type="dxa"/>
            <w:vAlign w:val="center"/>
          </w:tcPr>
          <w:p w14:paraId="281A5C10" w14:textId="77777777" w:rsidR="004B1E13" w:rsidRDefault="004B1E13" w:rsidP="00AB44F5">
            <w:pPr>
              <w:ind w:right="260"/>
              <w:jc w:val="center"/>
              <w:rPr>
                <w:sz w:val="20"/>
                <w:szCs w:val="20"/>
              </w:rPr>
            </w:pPr>
            <w:r>
              <w:rPr>
                <w:rFonts w:eastAsia="Times New Roman"/>
                <w:sz w:val="24"/>
                <w:szCs w:val="24"/>
              </w:rPr>
              <w:t>221</w:t>
            </w:r>
          </w:p>
        </w:tc>
        <w:tc>
          <w:tcPr>
            <w:tcW w:w="1086" w:type="dxa"/>
            <w:vAlign w:val="center"/>
          </w:tcPr>
          <w:p w14:paraId="281A5C11" w14:textId="77777777" w:rsidR="004B1E13" w:rsidRDefault="004B1E13" w:rsidP="00AB44F5">
            <w:pPr>
              <w:ind w:left="400"/>
              <w:jc w:val="center"/>
              <w:rPr>
                <w:sz w:val="20"/>
                <w:szCs w:val="20"/>
              </w:rPr>
            </w:pPr>
            <w:r>
              <w:rPr>
                <w:rFonts w:eastAsia="Times New Roman"/>
                <w:sz w:val="24"/>
                <w:szCs w:val="24"/>
              </w:rPr>
              <w:t>268</w:t>
            </w:r>
          </w:p>
        </w:tc>
        <w:tc>
          <w:tcPr>
            <w:tcW w:w="1086" w:type="dxa"/>
            <w:vAlign w:val="center"/>
          </w:tcPr>
          <w:p w14:paraId="281A5C12" w14:textId="77777777" w:rsidR="004B1E13" w:rsidRDefault="004B1E13" w:rsidP="00AB44F5">
            <w:pPr>
              <w:ind w:left="460"/>
              <w:jc w:val="center"/>
              <w:rPr>
                <w:sz w:val="20"/>
                <w:szCs w:val="20"/>
              </w:rPr>
            </w:pPr>
            <w:r>
              <w:rPr>
                <w:rFonts w:eastAsia="Times New Roman"/>
                <w:sz w:val="24"/>
                <w:szCs w:val="24"/>
              </w:rPr>
              <w:t>324</w:t>
            </w:r>
          </w:p>
        </w:tc>
        <w:tc>
          <w:tcPr>
            <w:tcW w:w="1086" w:type="dxa"/>
            <w:vAlign w:val="center"/>
          </w:tcPr>
          <w:p w14:paraId="281A5C13" w14:textId="77777777" w:rsidR="004B1E13" w:rsidRDefault="004B1E13" w:rsidP="00AB44F5">
            <w:pPr>
              <w:ind w:right="80"/>
              <w:jc w:val="center"/>
              <w:rPr>
                <w:sz w:val="20"/>
                <w:szCs w:val="20"/>
              </w:rPr>
            </w:pPr>
            <w:r>
              <w:rPr>
                <w:rFonts w:eastAsia="Times New Roman"/>
                <w:sz w:val="24"/>
                <w:szCs w:val="24"/>
              </w:rPr>
              <w:t>389</w:t>
            </w:r>
          </w:p>
        </w:tc>
      </w:tr>
    </w:tbl>
    <w:p w14:paraId="281A5C15" w14:textId="77777777" w:rsidR="004647B9" w:rsidRPr="00A65D9F" w:rsidRDefault="004647B9" w:rsidP="00AB44F5">
      <w:pPr>
        <w:rPr>
          <w:sz w:val="24"/>
          <w:szCs w:val="24"/>
        </w:rPr>
      </w:pPr>
    </w:p>
    <w:p w14:paraId="281A5C16" w14:textId="77777777" w:rsidR="004647B9" w:rsidRPr="00A65D9F" w:rsidRDefault="00E2436F" w:rsidP="00AB44F5">
      <w:pPr>
        <w:numPr>
          <w:ilvl w:val="0"/>
          <w:numId w:val="589"/>
        </w:numPr>
        <w:tabs>
          <w:tab w:val="left" w:pos="360"/>
        </w:tabs>
        <w:ind w:left="360" w:hanging="351"/>
        <w:jc w:val="both"/>
        <w:rPr>
          <w:rFonts w:eastAsia="Times New Roman"/>
          <w:sz w:val="24"/>
          <w:szCs w:val="24"/>
        </w:rPr>
      </w:pPr>
      <w:r w:rsidRPr="00A65D9F">
        <w:rPr>
          <w:rFonts w:eastAsia="Times New Roman"/>
          <w:sz w:val="24"/>
          <w:szCs w:val="24"/>
        </w:rPr>
        <w:t>These CT values achieve greater than a 99.99% inactivation of Viruses. CT values between the indicated pH values may be determined by linear interpolation. CT values between the indicated temperatures of different tables may be determined by linear interpolation. If no interpolation is used, use the CT</w:t>
      </w:r>
      <w:r w:rsidRPr="00A65D9F">
        <w:rPr>
          <w:rFonts w:eastAsia="Times New Roman"/>
          <w:sz w:val="24"/>
          <w:szCs w:val="24"/>
          <w:vertAlign w:val="subscript"/>
        </w:rPr>
        <w:t>99.9</w:t>
      </w:r>
      <w:r w:rsidRPr="00A65D9F">
        <w:rPr>
          <w:rFonts w:eastAsia="Times New Roman"/>
          <w:sz w:val="24"/>
          <w:szCs w:val="24"/>
        </w:rPr>
        <w:t xml:space="preserve"> value at the lower temperature, and at the higher pH. If no interpolation is used, use the CT99.9 value at the lower temperature, and at the higher pH</w:t>
      </w:r>
      <w:r w:rsidRPr="00A65D9F" w:rsidDel="007B206E">
        <w:rPr>
          <w:rFonts w:eastAsia="Times New Roman"/>
          <w:sz w:val="24"/>
          <w:szCs w:val="24"/>
        </w:rPr>
        <w:t>.</w:t>
      </w:r>
    </w:p>
    <w:p w14:paraId="281A5C17" w14:textId="77777777" w:rsidR="004647B9" w:rsidRPr="00A65D9F" w:rsidRDefault="004647B9" w:rsidP="00AB44F5">
      <w:pPr>
        <w:rPr>
          <w:sz w:val="24"/>
          <w:szCs w:val="24"/>
        </w:rPr>
      </w:pPr>
    </w:p>
    <w:p w14:paraId="281A5C18" w14:textId="77777777" w:rsidR="004647B9" w:rsidRPr="00A65D9F" w:rsidRDefault="00E2436F" w:rsidP="00AB44F5">
      <w:pPr>
        <w:jc w:val="center"/>
        <w:rPr>
          <w:sz w:val="24"/>
          <w:szCs w:val="24"/>
        </w:rPr>
      </w:pPr>
      <w:r w:rsidRPr="00A65D9F">
        <w:rPr>
          <w:rFonts w:eastAsia="Times New Roman"/>
          <w:sz w:val="24"/>
          <w:szCs w:val="24"/>
        </w:rPr>
        <w:t>TABLE 1.3 - 310 CMR 22.20A</w:t>
      </w:r>
    </w:p>
    <w:p w14:paraId="281A5C1A" w14:textId="77777777" w:rsidR="004647B9" w:rsidRPr="00A65D9F" w:rsidRDefault="00E2436F" w:rsidP="00AB44F5">
      <w:pPr>
        <w:jc w:val="center"/>
        <w:rPr>
          <w:sz w:val="24"/>
          <w:szCs w:val="24"/>
        </w:rPr>
      </w:pPr>
      <w:r w:rsidRPr="00A65D9F">
        <w:rPr>
          <w:rFonts w:eastAsia="Times New Roman"/>
          <w:sz w:val="24"/>
          <w:szCs w:val="24"/>
        </w:rPr>
        <w:t>CT VALUES (CT</w:t>
      </w:r>
      <w:r w:rsidRPr="00A65D9F">
        <w:rPr>
          <w:rFonts w:eastAsia="Times New Roman"/>
          <w:sz w:val="24"/>
          <w:szCs w:val="24"/>
          <w:vertAlign w:val="subscript"/>
        </w:rPr>
        <w:t>99.9</w:t>
      </w:r>
      <w:r w:rsidRPr="00A65D9F">
        <w:rPr>
          <w:rFonts w:eastAsia="Times New Roman"/>
          <w:sz w:val="24"/>
          <w:szCs w:val="24"/>
        </w:rPr>
        <w:t xml:space="preserve">) FOR 99.9% INACTIVATION OF </w:t>
      </w:r>
      <w:r w:rsidRPr="00A65D9F">
        <w:rPr>
          <w:rFonts w:eastAsia="Times New Roman"/>
          <w:i/>
          <w:iCs/>
          <w:sz w:val="24"/>
          <w:szCs w:val="24"/>
        </w:rPr>
        <w:t>GIARDIA</w:t>
      </w:r>
    </w:p>
    <w:p w14:paraId="281A5C1B" w14:textId="31A1F116" w:rsidR="004647B9" w:rsidRPr="00AB44F5" w:rsidRDefault="00E2436F" w:rsidP="00AB44F5">
      <w:pPr>
        <w:jc w:val="center"/>
        <w:rPr>
          <w:rFonts w:eastAsia="Times New Roman"/>
          <w:sz w:val="24"/>
          <w:szCs w:val="24"/>
        </w:rPr>
      </w:pPr>
      <w:r w:rsidRPr="00A65D9F">
        <w:rPr>
          <w:rFonts w:eastAsia="Times New Roman"/>
          <w:i/>
          <w:iCs/>
          <w:sz w:val="24"/>
          <w:szCs w:val="24"/>
        </w:rPr>
        <w:t xml:space="preserve">LAMBLIA </w:t>
      </w:r>
      <w:r w:rsidRPr="00A65D9F">
        <w:rPr>
          <w:rFonts w:eastAsia="Times New Roman"/>
          <w:sz w:val="24"/>
          <w:szCs w:val="24"/>
        </w:rPr>
        <w:t>CYSTS BY FREE CHLORINE AT 10°C</w:t>
      </w:r>
      <w:r w:rsidRPr="00A65D9F">
        <w:rPr>
          <w:rFonts w:eastAsia="Times New Roman"/>
          <w:sz w:val="24"/>
          <w:szCs w:val="24"/>
          <w:vertAlign w:val="superscript"/>
        </w:rPr>
        <w:t>*</w:t>
      </w:r>
    </w:p>
    <w:p w14:paraId="2CAAAF63" w14:textId="77777777" w:rsidR="00545471" w:rsidRPr="00AB44F5" w:rsidRDefault="00545471" w:rsidP="00AB44F5">
      <w:pPr>
        <w:jc w:val="center"/>
        <w:rPr>
          <w:sz w:val="24"/>
          <w:szCs w:val="24"/>
        </w:rPr>
      </w:pPr>
    </w:p>
    <w:tbl>
      <w:tblPr>
        <w:tblW w:w="0" w:type="auto"/>
        <w:tblInd w:w="180" w:type="dxa"/>
        <w:tblLayout w:type="fixed"/>
        <w:tblCellMar>
          <w:left w:w="0" w:type="dxa"/>
          <w:right w:w="0" w:type="dxa"/>
        </w:tblCellMar>
        <w:tblLook w:val="04A0" w:firstRow="1" w:lastRow="0" w:firstColumn="1" w:lastColumn="0" w:noHBand="0" w:noVBand="1"/>
      </w:tblPr>
      <w:tblGrid>
        <w:gridCol w:w="1720"/>
        <w:gridCol w:w="1077"/>
        <w:gridCol w:w="1077"/>
        <w:gridCol w:w="1077"/>
        <w:gridCol w:w="1077"/>
        <w:gridCol w:w="1077"/>
        <w:gridCol w:w="1077"/>
        <w:gridCol w:w="1078"/>
      </w:tblGrid>
      <w:tr w:rsidR="00CE7749" w14:paraId="75691BFD" w14:textId="77777777" w:rsidTr="00CE7749">
        <w:trPr>
          <w:trHeight w:val="276"/>
        </w:trPr>
        <w:tc>
          <w:tcPr>
            <w:tcW w:w="1720" w:type="dxa"/>
            <w:vMerge w:val="restart"/>
            <w:tcBorders>
              <w:bottom w:val="single" w:sz="8" w:space="0" w:color="auto"/>
            </w:tcBorders>
            <w:vAlign w:val="center"/>
          </w:tcPr>
          <w:p w14:paraId="5BC96264" w14:textId="77777777" w:rsidR="00CE7749" w:rsidRDefault="00CE7749" w:rsidP="00AB44F5">
            <w:pPr>
              <w:rPr>
                <w:sz w:val="20"/>
                <w:szCs w:val="20"/>
              </w:rPr>
            </w:pPr>
            <w:r>
              <w:rPr>
                <w:rFonts w:eastAsia="Times New Roman"/>
                <w:sz w:val="24"/>
                <w:szCs w:val="24"/>
              </w:rPr>
              <w:t>Free</w:t>
            </w:r>
          </w:p>
          <w:p w14:paraId="57D08C1D" w14:textId="77777777" w:rsidR="00CE7749" w:rsidRDefault="00CE7749" w:rsidP="00AB44F5">
            <w:pPr>
              <w:rPr>
                <w:sz w:val="20"/>
                <w:szCs w:val="20"/>
              </w:rPr>
            </w:pPr>
            <w:r>
              <w:rPr>
                <w:rFonts w:eastAsia="Times New Roman"/>
                <w:sz w:val="24"/>
                <w:szCs w:val="24"/>
              </w:rPr>
              <w:t>Residual</w:t>
            </w:r>
          </w:p>
          <w:p w14:paraId="09440036" w14:textId="4FA8701C" w:rsidR="00CE7749" w:rsidRDefault="00CE7749" w:rsidP="00AB44F5">
            <w:pPr>
              <w:rPr>
                <w:rFonts w:eastAsia="Times New Roman"/>
                <w:sz w:val="24"/>
                <w:szCs w:val="24"/>
              </w:rPr>
            </w:pPr>
            <w:r>
              <w:rPr>
                <w:rFonts w:eastAsia="Times New Roman"/>
                <w:sz w:val="24"/>
                <w:szCs w:val="24"/>
              </w:rPr>
              <w:t>(mg/l)</w:t>
            </w:r>
          </w:p>
        </w:tc>
        <w:tc>
          <w:tcPr>
            <w:tcW w:w="7540" w:type="dxa"/>
            <w:gridSpan w:val="7"/>
            <w:vAlign w:val="bottom"/>
          </w:tcPr>
          <w:p w14:paraId="7AF07298" w14:textId="17D33F28" w:rsidR="00CE7749" w:rsidRPr="00CE7749" w:rsidRDefault="00CE7749" w:rsidP="00AB44F5">
            <w:pPr>
              <w:jc w:val="center"/>
              <w:rPr>
                <w:sz w:val="20"/>
                <w:szCs w:val="20"/>
              </w:rPr>
            </w:pPr>
            <w:r>
              <w:rPr>
                <w:rFonts w:eastAsia="Times New Roman"/>
                <w:sz w:val="24"/>
                <w:szCs w:val="24"/>
              </w:rPr>
              <w:t>pH</w:t>
            </w:r>
          </w:p>
        </w:tc>
      </w:tr>
      <w:tr w:rsidR="00CE7749" w14:paraId="281A5C2D" w14:textId="77777777" w:rsidTr="00CE7749">
        <w:trPr>
          <w:trHeight w:val="276"/>
        </w:trPr>
        <w:tc>
          <w:tcPr>
            <w:tcW w:w="1720" w:type="dxa"/>
            <w:vMerge/>
            <w:tcBorders>
              <w:bottom w:val="single" w:sz="8" w:space="0" w:color="auto"/>
            </w:tcBorders>
            <w:vAlign w:val="bottom"/>
          </w:tcPr>
          <w:p w14:paraId="281A5C25" w14:textId="47969DAB" w:rsidR="00CE7749" w:rsidRDefault="00CE7749" w:rsidP="00AB44F5">
            <w:pPr>
              <w:ind w:left="280"/>
              <w:rPr>
                <w:sz w:val="20"/>
                <w:szCs w:val="20"/>
              </w:rPr>
            </w:pPr>
          </w:p>
        </w:tc>
        <w:tc>
          <w:tcPr>
            <w:tcW w:w="1077" w:type="dxa"/>
            <w:tcBorders>
              <w:bottom w:val="single" w:sz="8" w:space="0" w:color="auto"/>
            </w:tcBorders>
            <w:vAlign w:val="center"/>
          </w:tcPr>
          <w:p w14:paraId="281A5C26" w14:textId="77777777" w:rsidR="00CE7749" w:rsidRDefault="00CE7749" w:rsidP="00AB44F5">
            <w:pPr>
              <w:jc w:val="center"/>
              <w:rPr>
                <w:sz w:val="20"/>
                <w:szCs w:val="20"/>
              </w:rPr>
            </w:pPr>
            <w:r>
              <w:rPr>
                <w:rFonts w:eastAsia="Times New Roman"/>
                <w:sz w:val="24"/>
                <w:szCs w:val="24"/>
              </w:rPr>
              <w:t>&lt; 6.0</w:t>
            </w:r>
          </w:p>
        </w:tc>
        <w:tc>
          <w:tcPr>
            <w:tcW w:w="1077" w:type="dxa"/>
            <w:tcBorders>
              <w:bottom w:val="single" w:sz="8" w:space="0" w:color="auto"/>
            </w:tcBorders>
            <w:vAlign w:val="center"/>
          </w:tcPr>
          <w:p w14:paraId="281A5C27" w14:textId="77777777" w:rsidR="00CE7749" w:rsidRDefault="00CE7749" w:rsidP="00AB44F5">
            <w:pPr>
              <w:jc w:val="center"/>
              <w:rPr>
                <w:sz w:val="20"/>
                <w:szCs w:val="20"/>
              </w:rPr>
            </w:pPr>
            <w:r>
              <w:rPr>
                <w:rFonts w:eastAsia="Times New Roman"/>
                <w:sz w:val="24"/>
                <w:szCs w:val="24"/>
              </w:rPr>
              <w:t>6.5</w:t>
            </w:r>
          </w:p>
        </w:tc>
        <w:tc>
          <w:tcPr>
            <w:tcW w:w="1077" w:type="dxa"/>
            <w:tcBorders>
              <w:bottom w:val="single" w:sz="8" w:space="0" w:color="auto"/>
            </w:tcBorders>
            <w:vAlign w:val="center"/>
          </w:tcPr>
          <w:p w14:paraId="281A5C28" w14:textId="77777777" w:rsidR="00CE7749" w:rsidRDefault="00CE7749" w:rsidP="00AB44F5">
            <w:pPr>
              <w:jc w:val="center"/>
              <w:rPr>
                <w:sz w:val="20"/>
                <w:szCs w:val="20"/>
              </w:rPr>
            </w:pPr>
            <w:r>
              <w:rPr>
                <w:rFonts w:eastAsia="Times New Roman"/>
                <w:sz w:val="24"/>
                <w:szCs w:val="24"/>
              </w:rPr>
              <w:t>7.0</w:t>
            </w:r>
          </w:p>
        </w:tc>
        <w:tc>
          <w:tcPr>
            <w:tcW w:w="1077" w:type="dxa"/>
            <w:tcBorders>
              <w:bottom w:val="single" w:sz="8" w:space="0" w:color="auto"/>
            </w:tcBorders>
            <w:vAlign w:val="center"/>
          </w:tcPr>
          <w:p w14:paraId="281A5C29" w14:textId="77777777" w:rsidR="00CE7749" w:rsidRDefault="00CE7749" w:rsidP="00AB44F5">
            <w:pPr>
              <w:jc w:val="center"/>
              <w:rPr>
                <w:sz w:val="20"/>
                <w:szCs w:val="20"/>
              </w:rPr>
            </w:pPr>
            <w:r>
              <w:rPr>
                <w:rFonts w:eastAsia="Times New Roman"/>
                <w:sz w:val="24"/>
                <w:szCs w:val="24"/>
              </w:rPr>
              <w:t>7.5</w:t>
            </w:r>
          </w:p>
        </w:tc>
        <w:tc>
          <w:tcPr>
            <w:tcW w:w="1077" w:type="dxa"/>
            <w:tcBorders>
              <w:bottom w:val="single" w:sz="8" w:space="0" w:color="auto"/>
            </w:tcBorders>
            <w:vAlign w:val="center"/>
          </w:tcPr>
          <w:p w14:paraId="281A5C2A" w14:textId="77777777" w:rsidR="00CE7749" w:rsidRDefault="00CE7749" w:rsidP="00AB44F5">
            <w:pPr>
              <w:jc w:val="center"/>
              <w:rPr>
                <w:sz w:val="20"/>
                <w:szCs w:val="20"/>
              </w:rPr>
            </w:pPr>
            <w:r>
              <w:rPr>
                <w:rFonts w:eastAsia="Times New Roman"/>
                <w:sz w:val="24"/>
                <w:szCs w:val="24"/>
              </w:rPr>
              <w:t>8.0</w:t>
            </w:r>
          </w:p>
        </w:tc>
        <w:tc>
          <w:tcPr>
            <w:tcW w:w="1077" w:type="dxa"/>
            <w:tcBorders>
              <w:bottom w:val="single" w:sz="8" w:space="0" w:color="auto"/>
            </w:tcBorders>
            <w:vAlign w:val="center"/>
          </w:tcPr>
          <w:p w14:paraId="281A5C2B" w14:textId="77777777" w:rsidR="00CE7749" w:rsidRDefault="00CE7749" w:rsidP="00AB44F5">
            <w:pPr>
              <w:jc w:val="center"/>
              <w:rPr>
                <w:sz w:val="20"/>
                <w:szCs w:val="20"/>
              </w:rPr>
            </w:pPr>
            <w:r>
              <w:rPr>
                <w:rFonts w:eastAsia="Times New Roman"/>
                <w:sz w:val="24"/>
                <w:szCs w:val="24"/>
              </w:rPr>
              <w:t>8.5</w:t>
            </w:r>
          </w:p>
        </w:tc>
        <w:tc>
          <w:tcPr>
            <w:tcW w:w="1078" w:type="dxa"/>
            <w:tcBorders>
              <w:bottom w:val="single" w:sz="8" w:space="0" w:color="auto"/>
            </w:tcBorders>
            <w:vAlign w:val="center"/>
          </w:tcPr>
          <w:p w14:paraId="281A5C2C" w14:textId="77777777" w:rsidR="00CE7749" w:rsidRDefault="00CE7749" w:rsidP="00AB44F5">
            <w:pPr>
              <w:jc w:val="center"/>
              <w:rPr>
                <w:sz w:val="20"/>
                <w:szCs w:val="20"/>
              </w:rPr>
            </w:pPr>
            <w:r>
              <w:rPr>
                <w:rFonts w:eastAsia="Times New Roman"/>
                <w:w w:val="96"/>
                <w:sz w:val="24"/>
                <w:szCs w:val="24"/>
              </w:rPr>
              <w:t>&lt; 9.0</w:t>
            </w:r>
          </w:p>
        </w:tc>
      </w:tr>
      <w:tr w:rsidR="00CE7749" w14:paraId="281A5C47" w14:textId="77777777" w:rsidTr="00CE7749">
        <w:trPr>
          <w:trHeight w:val="539"/>
        </w:trPr>
        <w:tc>
          <w:tcPr>
            <w:tcW w:w="1720" w:type="dxa"/>
            <w:tcBorders>
              <w:top w:val="single" w:sz="8" w:space="0" w:color="auto"/>
            </w:tcBorders>
            <w:vAlign w:val="center"/>
          </w:tcPr>
          <w:p w14:paraId="281A5C3F" w14:textId="5EF9A6DA" w:rsidR="00CE7749" w:rsidRDefault="00CE7749" w:rsidP="00AB44F5">
            <w:pPr>
              <w:jc w:val="center"/>
              <w:rPr>
                <w:sz w:val="20"/>
                <w:szCs w:val="20"/>
              </w:rPr>
            </w:pPr>
            <w:r>
              <w:rPr>
                <w:rFonts w:eastAsia="Times New Roman"/>
                <w:sz w:val="24"/>
                <w:szCs w:val="24"/>
              </w:rPr>
              <w:t>≤ 0.4</w:t>
            </w:r>
          </w:p>
        </w:tc>
        <w:tc>
          <w:tcPr>
            <w:tcW w:w="1077" w:type="dxa"/>
            <w:tcBorders>
              <w:top w:val="single" w:sz="8" w:space="0" w:color="auto"/>
            </w:tcBorders>
            <w:vAlign w:val="center"/>
          </w:tcPr>
          <w:p w14:paraId="281A5C40" w14:textId="77777777" w:rsidR="00CE7749" w:rsidRDefault="00CE7749" w:rsidP="00AB44F5">
            <w:pPr>
              <w:jc w:val="center"/>
              <w:rPr>
                <w:sz w:val="20"/>
                <w:szCs w:val="20"/>
              </w:rPr>
            </w:pPr>
            <w:r>
              <w:rPr>
                <w:rFonts w:eastAsia="Times New Roman"/>
                <w:sz w:val="24"/>
                <w:szCs w:val="24"/>
              </w:rPr>
              <w:t>73</w:t>
            </w:r>
          </w:p>
        </w:tc>
        <w:tc>
          <w:tcPr>
            <w:tcW w:w="1077" w:type="dxa"/>
            <w:tcBorders>
              <w:top w:val="single" w:sz="8" w:space="0" w:color="auto"/>
            </w:tcBorders>
            <w:vAlign w:val="center"/>
          </w:tcPr>
          <w:p w14:paraId="281A5C41" w14:textId="77777777" w:rsidR="00CE7749" w:rsidRDefault="00CE7749" w:rsidP="00AB44F5">
            <w:pPr>
              <w:jc w:val="center"/>
              <w:rPr>
                <w:sz w:val="20"/>
                <w:szCs w:val="20"/>
              </w:rPr>
            </w:pPr>
            <w:r>
              <w:rPr>
                <w:rFonts w:eastAsia="Times New Roman"/>
                <w:sz w:val="24"/>
                <w:szCs w:val="24"/>
              </w:rPr>
              <w:t>88</w:t>
            </w:r>
          </w:p>
        </w:tc>
        <w:tc>
          <w:tcPr>
            <w:tcW w:w="1077" w:type="dxa"/>
            <w:tcBorders>
              <w:top w:val="single" w:sz="8" w:space="0" w:color="auto"/>
            </w:tcBorders>
            <w:vAlign w:val="center"/>
          </w:tcPr>
          <w:p w14:paraId="281A5C42" w14:textId="77777777" w:rsidR="00CE7749" w:rsidRDefault="00CE7749" w:rsidP="00AB44F5">
            <w:pPr>
              <w:jc w:val="center"/>
              <w:rPr>
                <w:sz w:val="20"/>
                <w:szCs w:val="20"/>
              </w:rPr>
            </w:pPr>
            <w:r>
              <w:rPr>
                <w:rFonts w:eastAsia="Times New Roman"/>
                <w:sz w:val="24"/>
                <w:szCs w:val="24"/>
              </w:rPr>
              <w:t>104</w:t>
            </w:r>
          </w:p>
        </w:tc>
        <w:tc>
          <w:tcPr>
            <w:tcW w:w="1077" w:type="dxa"/>
            <w:tcBorders>
              <w:top w:val="single" w:sz="8" w:space="0" w:color="auto"/>
            </w:tcBorders>
            <w:vAlign w:val="center"/>
          </w:tcPr>
          <w:p w14:paraId="281A5C43" w14:textId="77777777" w:rsidR="00CE7749" w:rsidRDefault="00CE7749" w:rsidP="00AB44F5">
            <w:pPr>
              <w:jc w:val="center"/>
              <w:rPr>
                <w:sz w:val="20"/>
                <w:szCs w:val="20"/>
              </w:rPr>
            </w:pPr>
            <w:r>
              <w:rPr>
                <w:rFonts w:eastAsia="Times New Roman"/>
                <w:sz w:val="24"/>
                <w:szCs w:val="24"/>
              </w:rPr>
              <w:t>125</w:t>
            </w:r>
          </w:p>
        </w:tc>
        <w:tc>
          <w:tcPr>
            <w:tcW w:w="1077" w:type="dxa"/>
            <w:tcBorders>
              <w:top w:val="single" w:sz="8" w:space="0" w:color="auto"/>
            </w:tcBorders>
            <w:vAlign w:val="center"/>
          </w:tcPr>
          <w:p w14:paraId="281A5C44" w14:textId="77777777" w:rsidR="00CE7749" w:rsidRDefault="00CE7749" w:rsidP="00AB44F5">
            <w:pPr>
              <w:jc w:val="center"/>
              <w:rPr>
                <w:sz w:val="20"/>
                <w:szCs w:val="20"/>
              </w:rPr>
            </w:pPr>
            <w:r>
              <w:rPr>
                <w:rFonts w:eastAsia="Times New Roman"/>
                <w:sz w:val="24"/>
                <w:szCs w:val="24"/>
              </w:rPr>
              <w:t>149</w:t>
            </w:r>
          </w:p>
        </w:tc>
        <w:tc>
          <w:tcPr>
            <w:tcW w:w="1077" w:type="dxa"/>
            <w:tcBorders>
              <w:top w:val="single" w:sz="8" w:space="0" w:color="auto"/>
            </w:tcBorders>
            <w:vAlign w:val="center"/>
          </w:tcPr>
          <w:p w14:paraId="281A5C45" w14:textId="77777777" w:rsidR="00CE7749" w:rsidRDefault="00CE7749" w:rsidP="00AB44F5">
            <w:pPr>
              <w:jc w:val="center"/>
              <w:rPr>
                <w:sz w:val="20"/>
                <w:szCs w:val="20"/>
              </w:rPr>
            </w:pPr>
            <w:r>
              <w:rPr>
                <w:rFonts w:eastAsia="Times New Roman"/>
                <w:w w:val="94"/>
                <w:sz w:val="24"/>
                <w:szCs w:val="24"/>
              </w:rPr>
              <w:t>177</w:t>
            </w:r>
          </w:p>
        </w:tc>
        <w:tc>
          <w:tcPr>
            <w:tcW w:w="1078" w:type="dxa"/>
            <w:tcBorders>
              <w:top w:val="single" w:sz="8" w:space="0" w:color="auto"/>
            </w:tcBorders>
            <w:vAlign w:val="center"/>
          </w:tcPr>
          <w:p w14:paraId="281A5C46" w14:textId="77777777" w:rsidR="00CE7749" w:rsidRDefault="00CE7749" w:rsidP="00AB44F5">
            <w:pPr>
              <w:jc w:val="center"/>
              <w:rPr>
                <w:sz w:val="20"/>
                <w:szCs w:val="20"/>
              </w:rPr>
            </w:pPr>
            <w:r>
              <w:rPr>
                <w:rFonts w:eastAsia="Times New Roman"/>
                <w:sz w:val="24"/>
                <w:szCs w:val="24"/>
              </w:rPr>
              <w:t>209</w:t>
            </w:r>
          </w:p>
        </w:tc>
      </w:tr>
      <w:tr w:rsidR="00CE7749" w14:paraId="281A5C52" w14:textId="77777777" w:rsidTr="00CE7749">
        <w:trPr>
          <w:trHeight w:val="264"/>
        </w:trPr>
        <w:tc>
          <w:tcPr>
            <w:tcW w:w="1720" w:type="dxa"/>
            <w:vAlign w:val="center"/>
          </w:tcPr>
          <w:p w14:paraId="281A5C4A" w14:textId="77777777" w:rsidR="00CE7749" w:rsidRDefault="00CE7749" w:rsidP="00AB44F5">
            <w:pPr>
              <w:jc w:val="center"/>
              <w:rPr>
                <w:sz w:val="20"/>
                <w:szCs w:val="20"/>
              </w:rPr>
            </w:pPr>
            <w:r>
              <w:rPr>
                <w:rFonts w:eastAsia="Times New Roman"/>
                <w:sz w:val="24"/>
                <w:szCs w:val="24"/>
              </w:rPr>
              <w:t>0.6</w:t>
            </w:r>
          </w:p>
        </w:tc>
        <w:tc>
          <w:tcPr>
            <w:tcW w:w="1077" w:type="dxa"/>
            <w:vAlign w:val="center"/>
          </w:tcPr>
          <w:p w14:paraId="281A5C4B" w14:textId="77777777" w:rsidR="00CE7749" w:rsidRDefault="00CE7749" w:rsidP="00AB44F5">
            <w:pPr>
              <w:jc w:val="center"/>
              <w:rPr>
                <w:sz w:val="20"/>
                <w:szCs w:val="20"/>
              </w:rPr>
            </w:pPr>
            <w:r>
              <w:rPr>
                <w:rFonts w:eastAsia="Times New Roman"/>
                <w:sz w:val="24"/>
                <w:szCs w:val="24"/>
              </w:rPr>
              <w:t>75</w:t>
            </w:r>
          </w:p>
        </w:tc>
        <w:tc>
          <w:tcPr>
            <w:tcW w:w="1077" w:type="dxa"/>
            <w:vAlign w:val="center"/>
          </w:tcPr>
          <w:p w14:paraId="281A5C4C" w14:textId="77777777" w:rsidR="00CE7749" w:rsidRDefault="00CE7749" w:rsidP="00AB44F5">
            <w:pPr>
              <w:jc w:val="center"/>
              <w:rPr>
                <w:sz w:val="20"/>
                <w:szCs w:val="20"/>
              </w:rPr>
            </w:pPr>
            <w:r>
              <w:rPr>
                <w:rFonts w:eastAsia="Times New Roman"/>
                <w:sz w:val="24"/>
                <w:szCs w:val="24"/>
              </w:rPr>
              <w:t>90</w:t>
            </w:r>
          </w:p>
        </w:tc>
        <w:tc>
          <w:tcPr>
            <w:tcW w:w="1077" w:type="dxa"/>
            <w:vAlign w:val="center"/>
          </w:tcPr>
          <w:p w14:paraId="281A5C4D" w14:textId="77777777" w:rsidR="00CE7749" w:rsidRDefault="00CE7749" w:rsidP="00AB44F5">
            <w:pPr>
              <w:jc w:val="center"/>
              <w:rPr>
                <w:sz w:val="20"/>
                <w:szCs w:val="20"/>
              </w:rPr>
            </w:pPr>
            <w:r>
              <w:rPr>
                <w:rFonts w:eastAsia="Times New Roman"/>
                <w:sz w:val="24"/>
                <w:szCs w:val="24"/>
              </w:rPr>
              <w:t>107</w:t>
            </w:r>
          </w:p>
        </w:tc>
        <w:tc>
          <w:tcPr>
            <w:tcW w:w="1077" w:type="dxa"/>
            <w:vAlign w:val="center"/>
          </w:tcPr>
          <w:p w14:paraId="281A5C4E" w14:textId="77777777" w:rsidR="00CE7749" w:rsidRDefault="00CE7749" w:rsidP="00AB44F5">
            <w:pPr>
              <w:jc w:val="center"/>
              <w:rPr>
                <w:sz w:val="20"/>
                <w:szCs w:val="20"/>
              </w:rPr>
            </w:pPr>
            <w:r>
              <w:rPr>
                <w:rFonts w:eastAsia="Times New Roman"/>
                <w:sz w:val="24"/>
                <w:szCs w:val="24"/>
              </w:rPr>
              <w:t>128</w:t>
            </w:r>
          </w:p>
        </w:tc>
        <w:tc>
          <w:tcPr>
            <w:tcW w:w="1077" w:type="dxa"/>
            <w:vAlign w:val="center"/>
          </w:tcPr>
          <w:p w14:paraId="281A5C4F" w14:textId="77777777" w:rsidR="00CE7749" w:rsidRDefault="00CE7749" w:rsidP="00AB44F5">
            <w:pPr>
              <w:jc w:val="center"/>
              <w:rPr>
                <w:sz w:val="20"/>
                <w:szCs w:val="20"/>
              </w:rPr>
            </w:pPr>
            <w:r>
              <w:rPr>
                <w:rFonts w:eastAsia="Times New Roman"/>
                <w:sz w:val="24"/>
                <w:szCs w:val="24"/>
              </w:rPr>
              <w:t>153</w:t>
            </w:r>
          </w:p>
        </w:tc>
        <w:tc>
          <w:tcPr>
            <w:tcW w:w="1077" w:type="dxa"/>
            <w:vAlign w:val="center"/>
          </w:tcPr>
          <w:p w14:paraId="281A5C50" w14:textId="77777777" w:rsidR="00CE7749" w:rsidRDefault="00CE7749" w:rsidP="00AB44F5">
            <w:pPr>
              <w:jc w:val="center"/>
              <w:rPr>
                <w:sz w:val="20"/>
                <w:szCs w:val="20"/>
              </w:rPr>
            </w:pPr>
            <w:r>
              <w:rPr>
                <w:rFonts w:eastAsia="Times New Roman"/>
                <w:w w:val="94"/>
                <w:sz w:val="24"/>
                <w:szCs w:val="24"/>
              </w:rPr>
              <w:t>183</w:t>
            </w:r>
          </w:p>
        </w:tc>
        <w:tc>
          <w:tcPr>
            <w:tcW w:w="1078" w:type="dxa"/>
            <w:vAlign w:val="center"/>
          </w:tcPr>
          <w:p w14:paraId="281A5C51" w14:textId="77777777" w:rsidR="00CE7749" w:rsidRDefault="00CE7749" w:rsidP="00AB44F5">
            <w:pPr>
              <w:jc w:val="center"/>
              <w:rPr>
                <w:sz w:val="20"/>
                <w:szCs w:val="20"/>
              </w:rPr>
            </w:pPr>
            <w:r>
              <w:rPr>
                <w:rFonts w:eastAsia="Times New Roman"/>
                <w:sz w:val="24"/>
                <w:szCs w:val="24"/>
              </w:rPr>
              <w:t>218</w:t>
            </w:r>
          </w:p>
        </w:tc>
      </w:tr>
      <w:tr w:rsidR="00CE7749" w14:paraId="281A5C5D" w14:textId="77777777" w:rsidTr="00CE7749">
        <w:trPr>
          <w:trHeight w:val="278"/>
        </w:trPr>
        <w:tc>
          <w:tcPr>
            <w:tcW w:w="1720" w:type="dxa"/>
            <w:vAlign w:val="center"/>
          </w:tcPr>
          <w:p w14:paraId="281A5C55" w14:textId="77777777" w:rsidR="00CE7749" w:rsidRDefault="00CE7749" w:rsidP="00AB44F5">
            <w:pPr>
              <w:jc w:val="center"/>
              <w:rPr>
                <w:sz w:val="20"/>
                <w:szCs w:val="20"/>
              </w:rPr>
            </w:pPr>
            <w:r>
              <w:rPr>
                <w:rFonts w:eastAsia="Times New Roman"/>
                <w:sz w:val="24"/>
                <w:szCs w:val="24"/>
              </w:rPr>
              <w:t>0.8</w:t>
            </w:r>
          </w:p>
        </w:tc>
        <w:tc>
          <w:tcPr>
            <w:tcW w:w="1077" w:type="dxa"/>
            <w:vAlign w:val="center"/>
          </w:tcPr>
          <w:p w14:paraId="281A5C56" w14:textId="77777777" w:rsidR="00CE7749" w:rsidRDefault="00CE7749" w:rsidP="00AB44F5">
            <w:pPr>
              <w:jc w:val="center"/>
              <w:rPr>
                <w:sz w:val="20"/>
                <w:szCs w:val="20"/>
              </w:rPr>
            </w:pPr>
            <w:r>
              <w:rPr>
                <w:rFonts w:eastAsia="Times New Roman"/>
                <w:sz w:val="24"/>
                <w:szCs w:val="24"/>
              </w:rPr>
              <w:t>78</w:t>
            </w:r>
          </w:p>
        </w:tc>
        <w:tc>
          <w:tcPr>
            <w:tcW w:w="1077" w:type="dxa"/>
            <w:vAlign w:val="center"/>
          </w:tcPr>
          <w:p w14:paraId="281A5C57" w14:textId="77777777" w:rsidR="00CE7749" w:rsidRDefault="00CE7749" w:rsidP="00AB44F5">
            <w:pPr>
              <w:jc w:val="center"/>
              <w:rPr>
                <w:sz w:val="20"/>
                <w:szCs w:val="20"/>
              </w:rPr>
            </w:pPr>
            <w:r>
              <w:rPr>
                <w:rFonts w:eastAsia="Times New Roman"/>
                <w:sz w:val="24"/>
                <w:szCs w:val="24"/>
              </w:rPr>
              <w:t>92</w:t>
            </w:r>
          </w:p>
        </w:tc>
        <w:tc>
          <w:tcPr>
            <w:tcW w:w="1077" w:type="dxa"/>
            <w:vAlign w:val="center"/>
          </w:tcPr>
          <w:p w14:paraId="281A5C58" w14:textId="77777777" w:rsidR="00CE7749" w:rsidRDefault="00CE7749" w:rsidP="00AB44F5">
            <w:pPr>
              <w:jc w:val="center"/>
              <w:rPr>
                <w:sz w:val="20"/>
                <w:szCs w:val="20"/>
              </w:rPr>
            </w:pPr>
            <w:r>
              <w:rPr>
                <w:rFonts w:eastAsia="Times New Roman"/>
                <w:sz w:val="24"/>
                <w:szCs w:val="24"/>
              </w:rPr>
              <w:t>110</w:t>
            </w:r>
          </w:p>
        </w:tc>
        <w:tc>
          <w:tcPr>
            <w:tcW w:w="1077" w:type="dxa"/>
            <w:vAlign w:val="center"/>
          </w:tcPr>
          <w:p w14:paraId="281A5C59" w14:textId="77777777" w:rsidR="00CE7749" w:rsidRDefault="00CE7749" w:rsidP="00AB44F5">
            <w:pPr>
              <w:jc w:val="center"/>
              <w:rPr>
                <w:sz w:val="20"/>
                <w:szCs w:val="20"/>
              </w:rPr>
            </w:pPr>
            <w:r>
              <w:rPr>
                <w:rFonts w:eastAsia="Times New Roman"/>
                <w:sz w:val="24"/>
                <w:szCs w:val="24"/>
              </w:rPr>
              <w:t>131</w:t>
            </w:r>
          </w:p>
        </w:tc>
        <w:tc>
          <w:tcPr>
            <w:tcW w:w="1077" w:type="dxa"/>
            <w:vAlign w:val="center"/>
          </w:tcPr>
          <w:p w14:paraId="281A5C5A" w14:textId="77777777" w:rsidR="00CE7749" w:rsidRDefault="00CE7749" w:rsidP="00AB44F5">
            <w:pPr>
              <w:jc w:val="center"/>
              <w:rPr>
                <w:sz w:val="20"/>
                <w:szCs w:val="20"/>
              </w:rPr>
            </w:pPr>
            <w:r>
              <w:rPr>
                <w:rFonts w:eastAsia="Times New Roman"/>
                <w:sz w:val="24"/>
                <w:szCs w:val="24"/>
              </w:rPr>
              <w:t>158</w:t>
            </w:r>
          </w:p>
        </w:tc>
        <w:tc>
          <w:tcPr>
            <w:tcW w:w="1077" w:type="dxa"/>
            <w:vAlign w:val="center"/>
          </w:tcPr>
          <w:p w14:paraId="281A5C5B" w14:textId="77777777" w:rsidR="00CE7749" w:rsidRDefault="00CE7749" w:rsidP="00AB44F5">
            <w:pPr>
              <w:jc w:val="center"/>
              <w:rPr>
                <w:sz w:val="20"/>
                <w:szCs w:val="20"/>
              </w:rPr>
            </w:pPr>
            <w:r>
              <w:rPr>
                <w:rFonts w:eastAsia="Times New Roman"/>
                <w:w w:val="94"/>
                <w:sz w:val="24"/>
                <w:szCs w:val="24"/>
              </w:rPr>
              <w:t>189</w:t>
            </w:r>
          </w:p>
        </w:tc>
        <w:tc>
          <w:tcPr>
            <w:tcW w:w="1078" w:type="dxa"/>
            <w:vAlign w:val="center"/>
          </w:tcPr>
          <w:p w14:paraId="281A5C5C" w14:textId="77777777" w:rsidR="00CE7749" w:rsidRDefault="00CE7749" w:rsidP="00AB44F5">
            <w:pPr>
              <w:jc w:val="center"/>
              <w:rPr>
                <w:sz w:val="20"/>
                <w:szCs w:val="20"/>
              </w:rPr>
            </w:pPr>
            <w:r>
              <w:rPr>
                <w:rFonts w:eastAsia="Times New Roman"/>
                <w:sz w:val="24"/>
                <w:szCs w:val="24"/>
              </w:rPr>
              <w:t>226</w:t>
            </w:r>
          </w:p>
        </w:tc>
      </w:tr>
      <w:tr w:rsidR="00CE7749" w14:paraId="281A5C68" w14:textId="77777777" w:rsidTr="00CE7749">
        <w:trPr>
          <w:trHeight w:val="281"/>
        </w:trPr>
        <w:tc>
          <w:tcPr>
            <w:tcW w:w="1720" w:type="dxa"/>
            <w:vAlign w:val="center"/>
          </w:tcPr>
          <w:p w14:paraId="281A5C60" w14:textId="77777777" w:rsidR="00CE7749" w:rsidRDefault="00CE7749" w:rsidP="00AB44F5">
            <w:pPr>
              <w:jc w:val="center"/>
              <w:rPr>
                <w:sz w:val="20"/>
                <w:szCs w:val="20"/>
              </w:rPr>
            </w:pPr>
            <w:r>
              <w:rPr>
                <w:rFonts w:eastAsia="Times New Roman"/>
                <w:sz w:val="24"/>
                <w:szCs w:val="24"/>
              </w:rPr>
              <w:t>1.0</w:t>
            </w:r>
          </w:p>
        </w:tc>
        <w:tc>
          <w:tcPr>
            <w:tcW w:w="1077" w:type="dxa"/>
            <w:vAlign w:val="center"/>
          </w:tcPr>
          <w:p w14:paraId="281A5C61" w14:textId="77777777" w:rsidR="00CE7749" w:rsidRDefault="00CE7749" w:rsidP="00AB44F5">
            <w:pPr>
              <w:jc w:val="center"/>
              <w:rPr>
                <w:sz w:val="20"/>
                <w:szCs w:val="20"/>
              </w:rPr>
            </w:pPr>
            <w:r>
              <w:rPr>
                <w:rFonts w:eastAsia="Times New Roman"/>
                <w:sz w:val="24"/>
                <w:szCs w:val="24"/>
              </w:rPr>
              <w:t>79</w:t>
            </w:r>
          </w:p>
        </w:tc>
        <w:tc>
          <w:tcPr>
            <w:tcW w:w="1077" w:type="dxa"/>
            <w:vAlign w:val="center"/>
          </w:tcPr>
          <w:p w14:paraId="281A5C62" w14:textId="77777777" w:rsidR="00CE7749" w:rsidRDefault="00CE7749" w:rsidP="00AB44F5">
            <w:pPr>
              <w:jc w:val="center"/>
              <w:rPr>
                <w:sz w:val="20"/>
                <w:szCs w:val="20"/>
              </w:rPr>
            </w:pPr>
            <w:r>
              <w:rPr>
                <w:rFonts w:eastAsia="Times New Roman"/>
                <w:sz w:val="24"/>
                <w:szCs w:val="24"/>
              </w:rPr>
              <w:t>94</w:t>
            </w:r>
          </w:p>
        </w:tc>
        <w:tc>
          <w:tcPr>
            <w:tcW w:w="1077" w:type="dxa"/>
            <w:vAlign w:val="center"/>
          </w:tcPr>
          <w:p w14:paraId="281A5C63" w14:textId="77777777" w:rsidR="00CE7749" w:rsidRDefault="00CE7749" w:rsidP="00AB44F5">
            <w:pPr>
              <w:jc w:val="center"/>
              <w:rPr>
                <w:sz w:val="20"/>
                <w:szCs w:val="20"/>
              </w:rPr>
            </w:pPr>
            <w:r>
              <w:rPr>
                <w:rFonts w:eastAsia="Times New Roman"/>
                <w:sz w:val="24"/>
                <w:szCs w:val="24"/>
              </w:rPr>
              <w:t>112</w:t>
            </w:r>
          </w:p>
        </w:tc>
        <w:tc>
          <w:tcPr>
            <w:tcW w:w="1077" w:type="dxa"/>
            <w:vAlign w:val="center"/>
          </w:tcPr>
          <w:p w14:paraId="281A5C64" w14:textId="77777777" w:rsidR="00CE7749" w:rsidRDefault="00CE7749" w:rsidP="00AB44F5">
            <w:pPr>
              <w:jc w:val="center"/>
              <w:rPr>
                <w:sz w:val="20"/>
                <w:szCs w:val="20"/>
              </w:rPr>
            </w:pPr>
            <w:r>
              <w:rPr>
                <w:rFonts w:eastAsia="Times New Roman"/>
                <w:sz w:val="24"/>
                <w:szCs w:val="24"/>
              </w:rPr>
              <w:t>134</w:t>
            </w:r>
          </w:p>
        </w:tc>
        <w:tc>
          <w:tcPr>
            <w:tcW w:w="1077" w:type="dxa"/>
            <w:vAlign w:val="center"/>
          </w:tcPr>
          <w:p w14:paraId="281A5C65" w14:textId="77777777" w:rsidR="00CE7749" w:rsidRDefault="00CE7749" w:rsidP="00AB44F5">
            <w:pPr>
              <w:jc w:val="center"/>
              <w:rPr>
                <w:sz w:val="20"/>
                <w:szCs w:val="20"/>
              </w:rPr>
            </w:pPr>
            <w:r>
              <w:rPr>
                <w:rFonts w:eastAsia="Times New Roman"/>
                <w:sz w:val="24"/>
                <w:szCs w:val="24"/>
              </w:rPr>
              <w:t>162</w:t>
            </w:r>
          </w:p>
        </w:tc>
        <w:tc>
          <w:tcPr>
            <w:tcW w:w="1077" w:type="dxa"/>
            <w:vAlign w:val="center"/>
          </w:tcPr>
          <w:p w14:paraId="281A5C66" w14:textId="77777777" w:rsidR="00CE7749" w:rsidRDefault="00CE7749" w:rsidP="00AB44F5">
            <w:pPr>
              <w:jc w:val="center"/>
              <w:rPr>
                <w:sz w:val="20"/>
                <w:szCs w:val="20"/>
              </w:rPr>
            </w:pPr>
            <w:r>
              <w:rPr>
                <w:rFonts w:eastAsia="Times New Roman"/>
                <w:w w:val="94"/>
                <w:sz w:val="24"/>
                <w:szCs w:val="24"/>
              </w:rPr>
              <w:t>195</w:t>
            </w:r>
          </w:p>
        </w:tc>
        <w:tc>
          <w:tcPr>
            <w:tcW w:w="1078" w:type="dxa"/>
            <w:vAlign w:val="center"/>
          </w:tcPr>
          <w:p w14:paraId="281A5C67" w14:textId="77777777" w:rsidR="00CE7749" w:rsidRDefault="00CE7749" w:rsidP="00AB44F5">
            <w:pPr>
              <w:jc w:val="center"/>
              <w:rPr>
                <w:sz w:val="20"/>
                <w:szCs w:val="20"/>
              </w:rPr>
            </w:pPr>
            <w:r>
              <w:rPr>
                <w:rFonts w:eastAsia="Times New Roman"/>
                <w:sz w:val="24"/>
                <w:szCs w:val="24"/>
              </w:rPr>
              <w:t>234</w:t>
            </w:r>
          </w:p>
        </w:tc>
      </w:tr>
      <w:tr w:rsidR="00CE7749" w14:paraId="281A5C73" w14:textId="77777777" w:rsidTr="00CE7749">
        <w:trPr>
          <w:trHeight w:val="278"/>
        </w:trPr>
        <w:tc>
          <w:tcPr>
            <w:tcW w:w="1720" w:type="dxa"/>
            <w:vAlign w:val="center"/>
          </w:tcPr>
          <w:p w14:paraId="281A5C6B" w14:textId="77777777" w:rsidR="00CE7749" w:rsidRDefault="00CE7749" w:rsidP="00AB44F5">
            <w:pPr>
              <w:jc w:val="center"/>
              <w:rPr>
                <w:sz w:val="20"/>
                <w:szCs w:val="20"/>
              </w:rPr>
            </w:pPr>
            <w:r>
              <w:rPr>
                <w:rFonts w:eastAsia="Times New Roman"/>
                <w:sz w:val="24"/>
                <w:szCs w:val="24"/>
              </w:rPr>
              <w:t>1.2</w:t>
            </w:r>
          </w:p>
        </w:tc>
        <w:tc>
          <w:tcPr>
            <w:tcW w:w="1077" w:type="dxa"/>
            <w:vAlign w:val="center"/>
          </w:tcPr>
          <w:p w14:paraId="281A5C6C" w14:textId="77777777" w:rsidR="00CE7749" w:rsidRDefault="00CE7749" w:rsidP="00AB44F5">
            <w:pPr>
              <w:jc w:val="center"/>
              <w:rPr>
                <w:sz w:val="20"/>
                <w:szCs w:val="20"/>
              </w:rPr>
            </w:pPr>
            <w:r>
              <w:rPr>
                <w:rFonts w:eastAsia="Times New Roman"/>
                <w:sz w:val="24"/>
                <w:szCs w:val="24"/>
              </w:rPr>
              <w:t>80</w:t>
            </w:r>
          </w:p>
        </w:tc>
        <w:tc>
          <w:tcPr>
            <w:tcW w:w="1077" w:type="dxa"/>
            <w:vAlign w:val="center"/>
          </w:tcPr>
          <w:p w14:paraId="281A5C6D" w14:textId="77777777" w:rsidR="00CE7749" w:rsidRDefault="00CE7749" w:rsidP="00AB44F5">
            <w:pPr>
              <w:jc w:val="center"/>
              <w:rPr>
                <w:sz w:val="20"/>
                <w:szCs w:val="20"/>
              </w:rPr>
            </w:pPr>
            <w:r>
              <w:rPr>
                <w:rFonts w:eastAsia="Times New Roman"/>
                <w:sz w:val="24"/>
                <w:szCs w:val="24"/>
              </w:rPr>
              <w:t>95</w:t>
            </w:r>
          </w:p>
        </w:tc>
        <w:tc>
          <w:tcPr>
            <w:tcW w:w="1077" w:type="dxa"/>
            <w:vAlign w:val="center"/>
          </w:tcPr>
          <w:p w14:paraId="281A5C6E" w14:textId="77777777" w:rsidR="00CE7749" w:rsidRDefault="00CE7749" w:rsidP="00AB44F5">
            <w:pPr>
              <w:jc w:val="center"/>
              <w:rPr>
                <w:sz w:val="20"/>
                <w:szCs w:val="20"/>
              </w:rPr>
            </w:pPr>
            <w:r>
              <w:rPr>
                <w:rFonts w:eastAsia="Times New Roman"/>
                <w:sz w:val="24"/>
                <w:szCs w:val="24"/>
              </w:rPr>
              <w:t>114</w:t>
            </w:r>
          </w:p>
        </w:tc>
        <w:tc>
          <w:tcPr>
            <w:tcW w:w="1077" w:type="dxa"/>
            <w:vAlign w:val="center"/>
          </w:tcPr>
          <w:p w14:paraId="281A5C6F" w14:textId="77777777" w:rsidR="00CE7749" w:rsidRDefault="00CE7749" w:rsidP="00AB44F5">
            <w:pPr>
              <w:jc w:val="center"/>
              <w:rPr>
                <w:sz w:val="20"/>
                <w:szCs w:val="20"/>
              </w:rPr>
            </w:pPr>
            <w:r>
              <w:rPr>
                <w:rFonts w:eastAsia="Times New Roman"/>
                <w:sz w:val="24"/>
                <w:szCs w:val="24"/>
              </w:rPr>
              <w:t>137</w:t>
            </w:r>
          </w:p>
        </w:tc>
        <w:tc>
          <w:tcPr>
            <w:tcW w:w="1077" w:type="dxa"/>
            <w:vAlign w:val="center"/>
          </w:tcPr>
          <w:p w14:paraId="281A5C70" w14:textId="77777777" w:rsidR="00CE7749" w:rsidRDefault="00CE7749" w:rsidP="00AB44F5">
            <w:pPr>
              <w:jc w:val="center"/>
              <w:rPr>
                <w:sz w:val="20"/>
                <w:szCs w:val="20"/>
              </w:rPr>
            </w:pPr>
            <w:r>
              <w:rPr>
                <w:rFonts w:eastAsia="Times New Roman"/>
                <w:sz w:val="24"/>
                <w:szCs w:val="24"/>
              </w:rPr>
              <w:t>166</w:t>
            </w:r>
          </w:p>
        </w:tc>
        <w:tc>
          <w:tcPr>
            <w:tcW w:w="1077" w:type="dxa"/>
            <w:vAlign w:val="center"/>
          </w:tcPr>
          <w:p w14:paraId="281A5C71" w14:textId="77777777" w:rsidR="00CE7749" w:rsidRDefault="00CE7749" w:rsidP="00AB44F5">
            <w:pPr>
              <w:jc w:val="center"/>
              <w:rPr>
                <w:sz w:val="20"/>
                <w:szCs w:val="20"/>
              </w:rPr>
            </w:pPr>
            <w:r>
              <w:rPr>
                <w:rFonts w:eastAsia="Times New Roman"/>
                <w:w w:val="94"/>
                <w:sz w:val="24"/>
                <w:szCs w:val="24"/>
              </w:rPr>
              <w:t>200</w:t>
            </w:r>
          </w:p>
        </w:tc>
        <w:tc>
          <w:tcPr>
            <w:tcW w:w="1078" w:type="dxa"/>
            <w:vAlign w:val="center"/>
          </w:tcPr>
          <w:p w14:paraId="281A5C72" w14:textId="77777777" w:rsidR="00CE7749" w:rsidRDefault="00CE7749" w:rsidP="00AB44F5">
            <w:pPr>
              <w:jc w:val="center"/>
              <w:rPr>
                <w:sz w:val="20"/>
                <w:szCs w:val="20"/>
              </w:rPr>
            </w:pPr>
            <w:r>
              <w:rPr>
                <w:rFonts w:eastAsia="Times New Roman"/>
                <w:sz w:val="24"/>
                <w:szCs w:val="24"/>
              </w:rPr>
              <w:t>240</w:t>
            </w:r>
          </w:p>
        </w:tc>
      </w:tr>
      <w:tr w:rsidR="00CE7749" w14:paraId="281A5C7E" w14:textId="77777777" w:rsidTr="00CE7749">
        <w:trPr>
          <w:trHeight w:val="281"/>
        </w:trPr>
        <w:tc>
          <w:tcPr>
            <w:tcW w:w="1720" w:type="dxa"/>
            <w:vAlign w:val="center"/>
          </w:tcPr>
          <w:p w14:paraId="281A5C76" w14:textId="77777777" w:rsidR="00CE7749" w:rsidRDefault="00CE7749" w:rsidP="00AB44F5">
            <w:pPr>
              <w:jc w:val="center"/>
              <w:rPr>
                <w:sz w:val="20"/>
                <w:szCs w:val="20"/>
              </w:rPr>
            </w:pPr>
            <w:r>
              <w:rPr>
                <w:rFonts w:eastAsia="Times New Roman"/>
                <w:sz w:val="24"/>
                <w:szCs w:val="24"/>
              </w:rPr>
              <w:t>1.4</w:t>
            </w:r>
          </w:p>
        </w:tc>
        <w:tc>
          <w:tcPr>
            <w:tcW w:w="1077" w:type="dxa"/>
            <w:vAlign w:val="center"/>
          </w:tcPr>
          <w:p w14:paraId="281A5C77" w14:textId="77777777" w:rsidR="00CE7749" w:rsidRDefault="00CE7749" w:rsidP="00AB44F5">
            <w:pPr>
              <w:jc w:val="center"/>
              <w:rPr>
                <w:sz w:val="20"/>
                <w:szCs w:val="20"/>
              </w:rPr>
            </w:pPr>
            <w:r>
              <w:rPr>
                <w:rFonts w:eastAsia="Times New Roman"/>
                <w:sz w:val="24"/>
                <w:szCs w:val="24"/>
              </w:rPr>
              <w:t>82</w:t>
            </w:r>
          </w:p>
        </w:tc>
        <w:tc>
          <w:tcPr>
            <w:tcW w:w="1077" w:type="dxa"/>
            <w:vAlign w:val="center"/>
          </w:tcPr>
          <w:p w14:paraId="281A5C78" w14:textId="77777777" w:rsidR="00CE7749" w:rsidRDefault="00CE7749" w:rsidP="00AB44F5">
            <w:pPr>
              <w:jc w:val="center"/>
              <w:rPr>
                <w:sz w:val="20"/>
                <w:szCs w:val="20"/>
              </w:rPr>
            </w:pPr>
            <w:r>
              <w:rPr>
                <w:rFonts w:eastAsia="Times New Roman"/>
                <w:sz w:val="24"/>
                <w:szCs w:val="24"/>
              </w:rPr>
              <w:t>98</w:t>
            </w:r>
          </w:p>
        </w:tc>
        <w:tc>
          <w:tcPr>
            <w:tcW w:w="1077" w:type="dxa"/>
            <w:vAlign w:val="center"/>
          </w:tcPr>
          <w:p w14:paraId="281A5C79" w14:textId="77777777" w:rsidR="00CE7749" w:rsidRDefault="00CE7749" w:rsidP="00AB44F5">
            <w:pPr>
              <w:jc w:val="center"/>
              <w:rPr>
                <w:sz w:val="20"/>
                <w:szCs w:val="20"/>
              </w:rPr>
            </w:pPr>
            <w:r>
              <w:rPr>
                <w:rFonts w:eastAsia="Times New Roman"/>
                <w:sz w:val="24"/>
                <w:szCs w:val="24"/>
              </w:rPr>
              <w:t>116</w:t>
            </w:r>
          </w:p>
        </w:tc>
        <w:tc>
          <w:tcPr>
            <w:tcW w:w="1077" w:type="dxa"/>
            <w:vAlign w:val="center"/>
          </w:tcPr>
          <w:p w14:paraId="281A5C7A" w14:textId="77777777" w:rsidR="00CE7749" w:rsidRDefault="00CE7749" w:rsidP="00AB44F5">
            <w:pPr>
              <w:jc w:val="center"/>
              <w:rPr>
                <w:sz w:val="20"/>
                <w:szCs w:val="20"/>
              </w:rPr>
            </w:pPr>
            <w:r>
              <w:rPr>
                <w:rFonts w:eastAsia="Times New Roman"/>
                <w:sz w:val="24"/>
                <w:szCs w:val="24"/>
              </w:rPr>
              <w:t>140</w:t>
            </w:r>
          </w:p>
        </w:tc>
        <w:tc>
          <w:tcPr>
            <w:tcW w:w="1077" w:type="dxa"/>
            <w:vAlign w:val="center"/>
          </w:tcPr>
          <w:p w14:paraId="281A5C7B" w14:textId="77777777" w:rsidR="00CE7749" w:rsidRDefault="00CE7749" w:rsidP="00AB44F5">
            <w:pPr>
              <w:jc w:val="center"/>
              <w:rPr>
                <w:sz w:val="20"/>
                <w:szCs w:val="20"/>
              </w:rPr>
            </w:pPr>
            <w:r>
              <w:rPr>
                <w:rFonts w:eastAsia="Times New Roman"/>
                <w:sz w:val="24"/>
                <w:szCs w:val="24"/>
              </w:rPr>
              <w:t>170</w:t>
            </w:r>
          </w:p>
        </w:tc>
        <w:tc>
          <w:tcPr>
            <w:tcW w:w="1077" w:type="dxa"/>
            <w:vAlign w:val="center"/>
          </w:tcPr>
          <w:p w14:paraId="281A5C7C" w14:textId="77777777" w:rsidR="00CE7749" w:rsidRDefault="00CE7749" w:rsidP="00AB44F5">
            <w:pPr>
              <w:jc w:val="center"/>
              <w:rPr>
                <w:sz w:val="20"/>
                <w:szCs w:val="20"/>
              </w:rPr>
            </w:pPr>
            <w:r>
              <w:rPr>
                <w:rFonts w:eastAsia="Times New Roman"/>
                <w:w w:val="94"/>
                <w:sz w:val="24"/>
                <w:szCs w:val="24"/>
              </w:rPr>
              <w:t>206</w:t>
            </w:r>
          </w:p>
        </w:tc>
        <w:tc>
          <w:tcPr>
            <w:tcW w:w="1078" w:type="dxa"/>
            <w:vAlign w:val="center"/>
          </w:tcPr>
          <w:p w14:paraId="281A5C7D" w14:textId="77777777" w:rsidR="00CE7749" w:rsidRDefault="00CE7749" w:rsidP="00AB44F5">
            <w:pPr>
              <w:jc w:val="center"/>
              <w:rPr>
                <w:sz w:val="20"/>
                <w:szCs w:val="20"/>
              </w:rPr>
            </w:pPr>
            <w:r>
              <w:rPr>
                <w:rFonts w:eastAsia="Times New Roman"/>
                <w:sz w:val="24"/>
                <w:szCs w:val="24"/>
              </w:rPr>
              <w:t>247</w:t>
            </w:r>
          </w:p>
        </w:tc>
      </w:tr>
      <w:tr w:rsidR="00CE7749" w14:paraId="281A5C89" w14:textId="77777777" w:rsidTr="00CE7749">
        <w:trPr>
          <w:trHeight w:val="278"/>
        </w:trPr>
        <w:tc>
          <w:tcPr>
            <w:tcW w:w="1720" w:type="dxa"/>
            <w:vAlign w:val="center"/>
          </w:tcPr>
          <w:p w14:paraId="281A5C81" w14:textId="77777777" w:rsidR="00CE7749" w:rsidRDefault="00CE7749" w:rsidP="00AB44F5">
            <w:pPr>
              <w:jc w:val="center"/>
              <w:rPr>
                <w:sz w:val="20"/>
                <w:szCs w:val="20"/>
              </w:rPr>
            </w:pPr>
            <w:r>
              <w:rPr>
                <w:rFonts w:eastAsia="Times New Roman"/>
                <w:sz w:val="24"/>
                <w:szCs w:val="24"/>
              </w:rPr>
              <w:t>1.6</w:t>
            </w:r>
          </w:p>
        </w:tc>
        <w:tc>
          <w:tcPr>
            <w:tcW w:w="1077" w:type="dxa"/>
            <w:vAlign w:val="center"/>
          </w:tcPr>
          <w:p w14:paraId="281A5C82" w14:textId="77777777" w:rsidR="00CE7749" w:rsidRDefault="00CE7749" w:rsidP="00AB44F5">
            <w:pPr>
              <w:jc w:val="center"/>
              <w:rPr>
                <w:sz w:val="20"/>
                <w:szCs w:val="20"/>
              </w:rPr>
            </w:pPr>
            <w:r>
              <w:rPr>
                <w:rFonts w:eastAsia="Times New Roman"/>
                <w:sz w:val="24"/>
                <w:szCs w:val="24"/>
              </w:rPr>
              <w:t>83</w:t>
            </w:r>
          </w:p>
        </w:tc>
        <w:tc>
          <w:tcPr>
            <w:tcW w:w="1077" w:type="dxa"/>
            <w:vAlign w:val="center"/>
          </w:tcPr>
          <w:p w14:paraId="281A5C83" w14:textId="77777777" w:rsidR="00CE7749" w:rsidRDefault="00CE7749" w:rsidP="00AB44F5">
            <w:pPr>
              <w:jc w:val="center"/>
              <w:rPr>
                <w:sz w:val="20"/>
                <w:szCs w:val="20"/>
              </w:rPr>
            </w:pPr>
            <w:r>
              <w:rPr>
                <w:rFonts w:eastAsia="Times New Roman"/>
                <w:sz w:val="24"/>
                <w:szCs w:val="24"/>
              </w:rPr>
              <w:t>99</w:t>
            </w:r>
          </w:p>
        </w:tc>
        <w:tc>
          <w:tcPr>
            <w:tcW w:w="1077" w:type="dxa"/>
            <w:vAlign w:val="center"/>
          </w:tcPr>
          <w:p w14:paraId="281A5C84" w14:textId="77777777" w:rsidR="00CE7749" w:rsidRDefault="00CE7749" w:rsidP="00AB44F5">
            <w:pPr>
              <w:jc w:val="center"/>
              <w:rPr>
                <w:sz w:val="20"/>
                <w:szCs w:val="20"/>
              </w:rPr>
            </w:pPr>
            <w:r>
              <w:rPr>
                <w:rFonts w:eastAsia="Times New Roman"/>
                <w:sz w:val="24"/>
                <w:szCs w:val="24"/>
              </w:rPr>
              <w:t>119</w:t>
            </w:r>
          </w:p>
        </w:tc>
        <w:tc>
          <w:tcPr>
            <w:tcW w:w="1077" w:type="dxa"/>
            <w:vAlign w:val="center"/>
          </w:tcPr>
          <w:p w14:paraId="281A5C85" w14:textId="77777777" w:rsidR="00CE7749" w:rsidRDefault="00CE7749" w:rsidP="00AB44F5">
            <w:pPr>
              <w:jc w:val="center"/>
              <w:rPr>
                <w:sz w:val="20"/>
                <w:szCs w:val="20"/>
              </w:rPr>
            </w:pPr>
            <w:r>
              <w:rPr>
                <w:rFonts w:eastAsia="Times New Roman"/>
                <w:sz w:val="24"/>
                <w:szCs w:val="24"/>
              </w:rPr>
              <w:t>144</w:t>
            </w:r>
          </w:p>
        </w:tc>
        <w:tc>
          <w:tcPr>
            <w:tcW w:w="1077" w:type="dxa"/>
            <w:vAlign w:val="center"/>
          </w:tcPr>
          <w:p w14:paraId="281A5C86" w14:textId="77777777" w:rsidR="00CE7749" w:rsidRDefault="00CE7749" w:rsidP="00AB44F5">
            <w:pPr>
              <w:jc w:val="center"/>
              <w:rPr>
                <w:sz w:val="20"/>
                <w:szCs w:val="20"/>
              </w:rPr>
            </w:pPr>
            <w:r>
              <w:rPr>
                <w:rFonts w:eastAsia="Times New Roman"/>
                <w:sz w:val="24"/>
                <w:szCs w:val="24"/>
              </w:rPr>
              <w:t>174</w:t>
            </w:r>
          </w:p>
        </w:tc>
        <w:tc>
          <w:tcPr>
            <w:tcW w:w="1077" w:type="dxa"/>
            <w:vAlign w:val="center"/>
          </w:tcPr>
          <w:p w14:paraId="281A5C87" w14:textId="77777777" w:rsidR="00CE7749" w:rsidRDefault="00CE7749" w:rsidP="00AB44F5">
            <w:pPr>
              <w:jc w:val="center"/>
              <w:rPr>
                <w:sz w:val="20"/>
                <w:szCs w:val="20"/>
              </w:rPr>
            </w:pPr>
            <w:r>
              <w:rPr>
                <w:rFonts w:eastAsia="Times New Roman"/>
                <w:w w:val="94"/>
                <w:sz w:val="24"/>
                <w:szCs w:val="24"/>
              </w:rPr>
              <w:t>211</w:t>
            </w:r>
          </w:p>
        </w:tc>
        <w:tc>
          <w:tcPr>
            <w:tcW w:w="1078" w:type="dxa"/>
            <w:vAlign w:val="center"/>
          </w:tcPr>
          <w:p w14:paraId="281A5C88" w14:textId="77777777" w:rsidR="00CE7749" w:rsidRDefault="00CE7749" w:rsidP="00AB44F5">
            <w:pPr>
              <w:jc w:val="center"/>
              <w:rPr>
                <w:sz w:val="20"/>
                <w:szCs w:val="20"/>
              </w:rPr>
            </w:pPr>
            <w:r>
              <w:rPr>
                <w:rFonts w:eastAsia="Times New Roman"/>
                <w:sz w:val="24"/>
                <w:szCs w:val="24"/>
              </w:rPr>
              <w:t>253</w:t>
            </w:r>
          </w:p>
        </w:tc>
      </w:tr>
      <w:tr w:rsidR="00CE7749" w14:paraId="281A5C94" w14:textId="77777777" w:rsidTr="00CE7749">
        <w:trPr>
          <w:trHeight w:val="281"/>
        </w:trPr>
        <w:tc>
          <w:tcPr>
            <w:tcW w:w="1720" w:type="dxa"/>
            <w:vAlign w:val="center"/>
          </w:tcPr>
          <w:p w14:paraId="281A5C8C" w14:textId="77777777" w:rsidR="00CE7749" w:rsidRDefault="00CE7749" w:rsidP="00AB44F5">
            <w:pPr>
              <w:jc w:val="center"/>
              <w:rPr>
                <w:sz w:val="20"/>
                <w:szCs w:val="20"/>
              </w:rPr>
            </w:pPr>
            <w:r>
              <w:rPr>
                <w:rFonts w:eastAsia="Times New Roman"/>
                <w:sz w:val="24"/>
                <w:szCs w:val="24"/>
              </w:rPr>
              <w:t>1.8</w:t>
            </w:r>
          </w:p>
        </w:tc>
        <w:tc>
          <w:tcPr>
            <w:tcW w:w="1077" w:type="dxa"/>
            <w:vAlign w:val="center"/>
          </w:tcPr>
          <w:p w14:paraId="281A5C8D" w14:textId="77777777" w:rsidR="00CE7749" w:rsidRDefault="00CE7749" w:rsidP="00AB44F5">
            <w:pPr>
              <w:jc w:val="center"/>
              <w:rPr>
                <w:sz w:val="20"/>
                <w:szCs w:val="20"/>
              </w:rPr>
            </w:pPr>
            <w:r>
              <w:rPr>
                <w:rFonts w:eastAsia="Times New Roman"/>
                <w:sz w:val="24"/>
                <w:szCs w:val="24"/>
              </w:rPr>
              <w:t>86</w:t>
            </w:r>
          </w:p>
        </w:tc>
        <w:tc>
          <w:tcPr>
            <w:tcW w:w="1077" w:type="dxa"/>
            <w:vAlign w:val="center"/>
          </w:tcPr>
          <w:p w14:paraId="281A5C8E" w14:textId="77777777" w:rsidR="00CE7749" w:rsidRDefault="00CE7749" w:rsidP="00AB44F5">
            <w:pPr>
              <w:jc w:val="center"/>
              <w:rPr>
                <w:sz w:val="20"/>
                <w:szCs w:val="20"/>
              </w:rPr>
            </w:pPr>
            <w:r>
              <w:rPr>
                <w:rFonts w:eastAsia="Times New Roman"/>
                <w:sz w:val="24"/>
                <w:szCs w:val="24"/>
              </w:rPr>
              <w:t>101</w:t>
            </w:r>
          </w:p>
        </w:tc>
        <w:tc>
          <w:tcPr>
            <w:tcW w:w="1077" w:type="dxa"/>
            <w:vAlign w:val="center"/>
          </w:tcPr>
          <w:p w14:paraId="281A5C8F" w14:textId="77777777" w:rsidR="00CE7749" w:rsidRDefault="00CE7749" w:rsidP="00AB44F5">
            <w:pPr>
              <w:jc w:val="center"/>
              <w:rPr>
                <w:sz w:val="20"/>
                <w:szCs w:val="20"/>
              </w:rPr>
            </w:pPr>
            <w:r>
              <w:rPr>
                <w:rFonts w:eastAsia="Times New Roman"/>
                <w:sz w:val="24"/>
                <w:szCs w:val="24"/>
              </w:rPr>
              <w:t>122</w:t>
            </w:r>
          </w:p>
        </w:tc>
        <w:tc>
          <w:tcPr>
            <w:tcW w:w="1077" w:type="dxa"/>
            <w:vAlign w:val="center"/>
          </w:tcPr>
          <w:p w14:paraId="281A5C90" w14:textId="77777777" w:rsidR="00CE7749" w:rsidRDefault="00CE7749" w:rsidP="00AB44F5">
            <w:pPr>
              <w:jc w:val="center"/>
              <w:rPr>
                <w:sz w:val="20"/>
                <w:szCs w:val="20"/>
              </w:rPr>
            </w:pPr>
            <w:r>
              <w:rPr>
                <w:rFonts w:eastAsia="Times New Roman"/>
                <w:sz w:val="24"/>
                <w:szCs w:val="24"/>
              </w:rPr>
              <w:t>147</w:t>
            </w:r>
          </w:p>
        </w:tc>
        <w:tc>
          <w:tcPr>
            <w:tcW w:w="1077" w:type="dxa"/>
            <w:vAlign w:val="center"/>
          </w:tcPr>
          <w:p w14:paraId="281A5C91" w14:textId="77777777" w:rsidR="00CE7749" w:rsidRDefault="00CE7749" w:rsidP="00AB44F5">
            <w:pPr>
              <w:jc w:val="center"/>
              <w:rPr>
                <w:sz w:val="20"/>
                <w:szCs w:val="20"/>
              </w:rPr>
            </w:pPr>
            <w:r>
              <w:rPr>
                <w:rFonts w:eastAsia="Times New Roman"/>
                <w:sz w:val="24"/>
                <w:szCs w:val="24"/>
              </w:rPr>
              <w:t>179</w:t>
            </w:r>
          </w:p>
        </w:tc>
        <w:tc>
          <w:tcPr>
            <w:tcW w:w="1077" w:type="dxa"/>
            <w:vAlign w:val="center"/>
          </w:tcPr>
          <w:p w14:paraId="281A5C92" w14:textId="77777777" w:rsidR="00CE7749" w:rsidRDefault="00CE7749" w:rsidP="00AB44F5">
            <w:pPr>
              <w:jc w:val="center"/>
              <w:rPr>
                <w:sz w:val="20"/>
                <w:szCs w:val="20"/>
              </w:rPr>
            </w:pPr>
            <w:r>
              <w:rPr>
                <w:rFonts w:eastAsia="Times New Roman"/>
                <w:w w:val="94"/>
                <w:sz w:val="24"/>
                <w:szCs w:val="24"/>
              </w:rPr>
              <w:t>215</w:t>
            </w:r>
          </w:p>
        </w:tc>
        <w:tc>
          <w:tcPr>
            <w:tcW w:w="1078" w:type="dxa"/>
            <w:vAlign w:val="center"/>
          </w:tcPr>
          <w:p w14:paraId="281A5C93" w14:textId="77777777" w:rsidR="00CE7749" w:rsidRDefault="00CE7749" w:rsidP="00AB44F5">
            <w:pPr>
              <w:jc w:val="center"/>
              <w:rPr>
                <w:sz w:val="20"/>
                <w:szCs w:val="20"/>
              </w:rPr>
            </w:pPr>
            <w:r>
              <w:rPr>
                <w:rFonts w:eastAsia="Times New Roman"/>
                <w:sz w:val="24"/>
                <w:szCs w:val="24"/>
              </w:rPr>
              <w:t>259</w:t>
            </w:r>
          </w:p>
        </w:tc>
      </w:tr>
      <w:tr w:rsidR="00CE7749" w14:paraId="281A5C9F" w14:textId="77777777" w:rsidTr="00CE7749">
        <w:trPr>
          <w:trHeight w:val="278"/>
        </w:trPr>
        <w:tc>
          <w:tcPr>
            <w:tcW w:w="1720" w:type="dxa"/>
            <w:vAlign w:val="center"/>
          </w:tcPr>
          <w:p w14:paraId="281A5C97" w14:textId="77777777" w:rsidR="00CE7749" w:rsidRDefault="00CE7749" w:rsidP="00AB44F5">
            <w:pPr>
              <w:jc w:val="center"/>
              <w:rPr>
                <w:sz w:val="20"/>
                <w:szCs w:val="20"/>
              </w:rPr>
            </w:pPr>
            <w:r>
              <w:rPr>
                <w:rFonts w:eastAsia="Times New Roman"/>
                <w:sz w:val="24"/>
                <w:szCs w:val="24"/>
              </w:rPr>
              <w:t>2.0</w:t>
            </w:r>
          </w:p>
        </w:tc>
        <w:tc>
          <w:tcPr>
            <w:tcW w:w="1077" w:type="dxa"/>
            <w:vAlign w:val="center"/>
          </w:tcPr>
          <w:p w14:paraId="281A5C98" w14:textId="77777777" w:rsidR="00CE7749" w:rsidRDefault="00CE7749" w:rsidP="00AB44F5">
            <w:pPr>
              <w:jc w:val="center"/>
              <w:rPr>
                <w:sz w:val="20"/>
                <w:szCs w:val="20"/>
              </w:rPr>
            </w:pPr>
            <w:r>
              <w:rPr>
                <w:rFonts w:eastAsia="Times New Roman"/>
                <w:sz w:val="24"/>
                <w:szCs w:val="24"/>
              </w:rPr>
              <w:t>87</w:t>
            </w:r>
          </w:p>
        </w:tc>
        <w:tc>
          <w:tcPr>
            <w:tcW w:w="1077" w:type="dxa"/>
            <w:vAlign w:val="center"/>
          </w:tcPr>
          <w:p w14:paraId="281A5C99" w14:textId="77777777" w:rsidR="00CE7749" w:rsidRDefault="00CE7749" w:rsidP="00AB44F5">
            <w:pPr>
              <w:jc w:val="center"/>
              <w:rPr>
                <w:sz w:val="20"/>
                <w:szCs w:val="20"/>
              </w:rPr>
            </w:pPr>
            <w:r>
              <w:rPr>
                <w:rFonts w:eastAsia="Times New Roman"/>
                <w:sz w:val="24"/>
                <w:szCs w:val="24"/>
              </w:rPr>
              <w:t>104</w:t>
            </w:r>
          </w:p>
        </w:tc>
        <w:tc>
          <w:tcPr>
            <w:tcW w:w="1077" w:type="dxa"/>
            <w:vAlign w:val="center"/>
          </w:tcPr>
          <w:p w14:paraId="281A5C9A" w14:textId="77777777" w:rsidR="00CE7749" w:rsidRDefault="00CE7749" w:rsidP="00AB44F5">
            <w:pPr>
              <w:jc w:val="center"/>
              <w:rPr>
                <w:sz w:val="20"/>
                <w:szCs w:val="20"/>
              </w:rPr>
            </w:pPr>
            <w:r>
              <w:rPr>
                <w:rFonts w:eastAsia="Times New Roman"/>
                <w:sz w:val="24"/>
                <w:szCs w:val="24"/>
              </w:rPr>
              <w:t>124</w:t>
            </w:r>
          </w:p>
        </w:tc>
        <w:tc>
          <w:tcPr>
            <w:tcW w:w="1077" w:type="dxa"/>
            <w:vAlign w:val="center"/>
          </w:tcPr>
          <w:p w14:paraId="281A5C9B" w14:textId="77777777" w:rsidR="00CE7749" w:rsidRDefault="00CE7749" w:rsidP="00AB44F5">
            <w:pPr>
              <w:jc w:val="center"/>
              <w:rPr>
                <w:sz w:val="20"/>
                <w:szCs w:val="20"/>
              </w:rPr>
            </w:pPr>
            <w:r>
              <w:rPr>
                <w:rFonts w:eastAsia="Times New Roman"/>
                <w:sz w:val="24"/>
                <w:szCs w:val="24"/>
              </w:rPr>
              <w:t>150</w:t>
            </w:r>
          </w:p>
        </w:tc>
        <w:tc>
          <w:tcPr>
            <w:tcW w:w="1077" w:type="dxa"/>
            <w:vAlign w:val="center"/>
          </w:tcPr>
          <w:p w14:paraId="281A5C9C" w14:textId="77777777" w:rsidR="00CE7749" w:rsidRDefault="00CE7749" w:rsidP="00AB44F5">
            <w:pPr>
              <w:jc w:val="center"/>
              <w:rPr>
                <w:sz w:val="20"/>
                <w:szCs w:val="20"/>
              </w:rPr>
            </w:pPr>
            <w:r>
              <w:rPr>
                <w:rFonts w:eastAsia="Times New Roman"/>
                <w:sz w:val="24"/>
                <w:szCs w:val="24"/>
              </w:rPr>
              <w:t>182</w:t>
            </w:r>
          </w:p>
        </w:tc>
        <w:tc>
          <w:tcPr>
            <w:tcW w:w="1077" w:type="dxa"/>
            <w:vAlign w:val="center"/>
          </w:tcPr>
          <w:p w14:paraId="281A5C9D" w14:textId="77777777" w:rsidR="00CE7749" w:rsidRDefault="00CE7749" w:rsidP="00AB44F5">
            <w:pPr>
              <w:jc w:val="center"/>
              <w:rPr>
                <w:sz w:val="20"/>
                <w:szCs w:val="20"/>
              </w:rPr>
            </w:pPr>
            <w:r>
              <w:rPr>
                <w:rFonts w:eastAsia="Times New Roman"/>
                <w:w w:val="94"/>
                <w:sz w:val="24"/>
                <w:szCs w:val="24"/>
              </w:rPr>
              <w:t>221</w:t>
            </w:r>
          </w:p>
        </w:tc>
        <w:tc>
          <w:tcPr>
            <w:tcW w:w="1078" w:type="dxa"/>
            <w:vAlign w:val="center"/>
          </w:tcPr>
          <w:p w14:paraId="281A5C9E" w14:textId="77777777" w:rsidR="00CE7749" w:rsidRDefault="00CE7749" w:rsidP="00AB44F5">
            <w:pPr>
              <w:jc w:val="center"/>
              <w:rPr>
                <w:sz w:val="20"/>
                <w:szCs w:val="20"/>
              </w:rPr>
            </w:pPr>
            <w:r>
              <w:rPr>
                <w:rFonts w:eastAsia="Times New Roman"/>
                <w:sz w:val="24"/>
                <w:szCs w:val="24"/>
              </w:rPr>
              <w:t>265</w:t>
            </w:r>
          </w:p>
        </w:tc>
      </w:tr>
      <w:tr w:rsidR="00CE7749" w14:paraId="281A5CAA" w14:textId="77777777" w:rsidTr="00CE7749">
        <w:trPr>
          <w:trHeight w:val="281"/>
        </w:trPr>
        <w:tc>
          <w:tcPr>
            <w:tcW w:w="1720" w:type="dxa"/>
            <w:vAlign w:val="center"/>
          </w:tcPr>
          <w:p w14:paraId="281A5CA2" w14:textId="77777777" w:rsidR="00CE7749" w:rsidRDefault="00CE7749" w:rsidP="00AB44F5">
            <w:pPr>
              <w:jc w:val="center"/>
              <w:rPr>
                <w:sz w:val="20"/>
                <w:szCs w:val="20"/>
              </w:rPr>
            </w:pPr>
            <w:r>
              <w:rPr>
                <w:rFonts w:eastAsia="Times New Roman"/>
                <w:sz w:val="24"/>
                <w:szCs w:val="24"/>
              </w:rPr>
              <w:t>2.2</w:t>
            </w:r>
          </w:p>
        </w:tc>
        <w:tc>
          <w:tcPr>
            <w:tcW w:w="1077" w:type="dxa"/>
            <w:vAlign w:val="center"/>
          </w:tcPr>
          <w:p w14:paraId="281A5CA3" w14:textId="77777777" w:rsidR="00CE7749" w:rsidRDefault="00CE7749" w:rsidP="00AB44F5">
            <w:pPr>
              <w:jc w:val="center"/>
              <w:rPr>
                <w:sz w:val="20"/>
                <w:szCs w:val="20"/>
              </w:rPr>
            </w:pPr>
            <w:r>
              <w:rPr>
                <w:rFonts w:eastAsia="Times New Roman"/>
                <w:sz w:val="24"/>
                <w:szCs w:val="24"/>
              </w:rPr>
              <w:t>89</w:t>
            </w:r>
          </w:p>
        </w:tc>
        <w:tc>
          <w:tcPr>
            <w:tcW w:w="1077" w:type="dxa"/>
            <w:vAlign w:val="center"/>
          </w:tcPr>
          <w:p w14:paraId="281A5CA4" w14:textId="77777777" w:rsidR="00CE7749" w:rsidRDefault="00CE7749" w:rsidP="00AB44F5">
            <w:pPr>
              <w:jc w:val="center"/>
              <w:rPr>
                <w:sz w:val="20"/>
                <w:szCs w:val="20"/>
              </w:rPr>
            </w:pPr>
            <w:r>
              <w:rPr>
                <w:rFonts w:eastAsia="Times New Roman"/>
                <w:sz w:val="24"/>
                <w:szCs w:val="24"/>
              </w:rPr>
              <w:t>105</w:t>
            </w:r>
          </w:p>
        </w:tc>
        <w:tc>
          <w:tcPr>
            <w:tcW w:w="1077" w:type="dxa"/>
            <w:vAlign w:val="center"/>
          </w:tcPr>
          <w:p w14:paraId="281A5CA5" w14:textId="77777777" w:rsidR="00CE7749" w:rsidRDefault="00CE7749" w:rsidP="00AB44F5">
            <w:pPr>
              <w:jc w:val="center"/>
              <w:rPr>
                <w:sz w:val="20"/>
                <w:szCs w:val="20"/>
              </w:rPr>
            </w:pPr>
            <w:r>
              <w:rPr>
                <w:rFonts w:eastAsia="Times New Roman"/>
                <w:sz w:val="24"/>
                <w:szCs w:val="24"/>
              </w:rPr>
              <w:t>127</w:t>
            </w:r>
          </w:p>
        </w:tc>
        <w:tc>
          <w:tcPr>
            <w:tcW w:w="1077" w:type="dxa"/>
            <w:vAlign w:val="center"/>
          </w:tcPr>
          <w:p w14:paraId="281A5CA6" w14:textId="77777777" w:rsidR="00CE7749" w:rsidRDefault="00CE7749" w:rsidP="00AB44F5">
            <w:pPr>
              <w:jc w:val="center"/>
              <w:rPr>
                <w:sz w:val="20"/>
                <w:szCs w:val="20"/>
              </w:rPr>
            </w:pPr>
            <w:r>
              <w:rPr>
                <w:rFonts w:eastAsia="Times New Roman"/>
                <w:sz w:val="24"/>
                <w:szCs w:val="24"/>
              </w:rPr>
              <w:t>153</w:t>
            </w:r>
          </w:p>
        </w:tc>
        <w:tc>
          <w:tcPr>
            <w:tcW w:w="1077" w:type="dxa"/>
            <w:vAlign w:val="center"/>
          </w:tcPr>
          <w:p w14:paraId="281A5CA7" w14:textId="77777777" w:rsidR="00CE7749" w:rsidRDefault="00CE7749" w:rsidP="00AB44F5">
            <w:pPr>
              <w:jc w:val="center"/>
              <w:rPr>
                <w:sz w:val="20"/>
                <w:szCs w:val="20"/>
              </w:rPr>
            </w:pPr>
            <w:r>
              <w:rPr>
                <w:rFonts w:eastAsia="Times New Roman"/>
                <w:sz w:val="24"/>
                <w:szCs w:val="24"/>
              </w:rPr>
              <w:t>186</w:t>
            </w:r>
          </w:p>
        </w:tc>
        <w:tc>
          <w:tcPr>
            <w:tcW w:w="1077" w:type="dxa"/>
            <w:vAlign w:val="center"/>
          </w:tcPr>
          <w:p w14:paraId="281A5CA8" w14:textId="77777777" w:rsidR="00CE7749" w:rsidRDefault="00CE7749" w:rsidP="00AB44F5">
            <w:pPr>
              <w:jc w:val="center"/>
              <w:rPr>
                <w:sz w:val="20"/>
                <w:szCs w:val="20"/>
              </w:rPr>
            </w:pPr>
            <w:r>
              <w:rPr>
                <w:rFonts w:eastAsia="Times New Roman"/>
                <w:w w:val="94"/>
                <w:sz w:val="24"/>
                <w:szCs w:val="24"/>
              </w:rPr>
              <w:t>225</w:t>
            </w:r>
          </w:p>
        </w:tc>
        <w:tc>
          <w:tcPr>
            <w:tcW w:w="1078" w:type="dxa"/>
            <w:vAlign w:val="center"/>
          </w:tcPr>
          <w:p w14:paraId="281A5CA9" w14:textId="77777777" w:rsidR="00CE7749" w:rsidRDefault="00CE7749" w:rsidP="00AB44F5">
            <w:pPr>
              <w:jc w:val="center"/>
              <w:rPr>
                <w:sz w:val="20"/>
                <w:szCs w:val="20"/>
              </w:rPr>
            </w:pPr>
            <w:r>
              <w:rPr>
                <w:rFonts w:eastAsia="Times New Roman"/>
                <w:sz w:val="24"/>
                <w:szCs w:val="24"/>
              </w:rPr>
              <w:t>271</w:t>
            </w:r>
          </w:p>
        </w:tc>
      </w:tr>
      <w:tr w:rsidR="00CE7749" w14:paraId="281A5CB5" w14:textId="77777777" w:rsidTr="00CE7749">
        <w:trPr>
          <w:trHeight w:val="278"/>
        </w:trPr>
        <w:tc>
          <w:tcPr>
            <w:tcW w:w="1720" w:type="dxa"/>
            <w:vAlign w:val="center"/>
          </w:tcPr>
          <w:p w14:paraId="281A5CAD" w14:textId="77777777" w:rsidR="00CE7749" w:rsidRDefault="00CE7749" w:rsidP="00AB44F5">
            <w:pPr>
              <w:jc w:val="center"/>
              <w:rPr>
                <w:sz w:val="20"/>
                <w:szCs w:val="20"/>
              </w:rPr>
            </w:pPr>
            <w:r>
              <w:rPr>
                <w:rFonts w:eastAsia="Times New Roman"/>
                <w:sz w:val="24"/>
                <w:szCs w:val="24"/>
              </w:rPr>
              <w:t>2.4</w:t>
            </w:r>
          </w:p>
        </w:tc>
        <w:tc>
          <w:tcPr>
            <w:tcW w:w="1077" w:type="dxa"/>
            <w:vAlign w:val="center"/>
          </w:tcPr>
          <w:p w14:paraId="281A5CAE" w14:textId="77777777" w:rsidR="00CE7749" w:rsidRDefault="00CE7749" w:rsidP="00AB44F5">
            <w:pPr>
              <w:jc w:val="center"/>
              <w:rPr>
                <w:sz w:val="20"/>
                <w:szCs w:val="20"/>
              </w:rPr>
            </w:pPr>
            <w:r>
              <w:rPr>
                <w:rFonts w:eastAsia="Times New Roman"/>
                <w:sz w:val="24"/>
                <w:szCs w:val="24"/>
              </w:rPr>
              <w:t>90</w:t>
            </w:r>
          </w:p>
        </w:tc>
        <w:tc>
          <w:tcPr>
            <w:tcW w:w="1077" w:type="dxa"/>
            <w:vAlign w:val="center"/>
          </w:tcPr>
          <w:p w14:paraId="281A5CAF" w14:textId="77777777" w:rsidR="00CE7749" w:rsidRDefault="00CE7749" w:rsidP="00AB44F5">
            <w:pPr>
              <w:jc w:val="center"/>
              <w:rPr>
                <w:sz w:val="20"/>
                <w:szCs w:val="20"/>
              </w:rPr>
            </w:pPr>
            <w:r>
              <w:rPr>
                <w:rFonts w:eastAsia="Times New Roman"/>
                <w:sz w:val="24"/>
                <w:szCs w:val="24"/>
              </w:rPr>
              <w:t>107</w:t>
            </w:r>
          </w:p>
        </w:tc>
        <w:tc>
          <w:tcPr>
            <w:tcW w:w="1077" w:type="dxa"/>
            <w:vAlign w:val="center"/>
          </w:tcPr>
          <w:p w14:paraId="281A5CB0" w14:textId="77777777" w:rsidR="00CE7749" w:rsidRDefault="00CE7749" w:rsidP="00AB44F5">
            <w:pPr>
              <w:jc w:val="center"/>
              <w:rPr>
                <w:sz w:val="20"/>
                <w:szCs w:val="20"/>
              </w:rPr>
            </w:pPr>
            <w:r>
              <w:rPr>
                <w:rFonts w:eastAsia="Times New Roman"/>
                <w:sz w:val="24"/>
                <w:szCs w:val="24"/>
              </w:rPr>
              <w:t>129</w:t>
            </w:r>
          </w:p>
        </w:tc>
        <w:tc>
          <w:tcPr>
            <w:tcW w:w="1077" w:type="dxa"/>
            <w:vAlign w:val="center"/>
          </w:tcPr>
          <w:p w14:paraId="281A5CB1" w14:textId="77777777" w:rsidR="00CE7749" w:rsidRDefault="00CE7749" w:rsidP="00AB44F5">
            <w:pPr>
              <w:jc w:val="center"/>
              <w:rPr>
                <w:sz w:val="20"/>
                <w:szCs w:val="20"/>
              </w:rPr>
            </w:pPr>
            <w:r>
              <w:rPr>
                <w:rFonts w:eastAsia="Times New Roman"/>
                <w:sz w:val="24"/>
                <w:szCs w:val="24"/>
              </w:rPr>
              <w:t>157</w:t>
            </w:r>
          </w:p>
        </w:tc>
        <w:tc>
          <w:tcPr>
            <w:tcW w:w="1077" w:type="dxa"/>
            <w:vAlign w:val="center"/>
          </w:tcPr>
          <w:p w14:paraId="281A5CB2" w14:textId="77777777" w:rsidR="00CE7749" w:rsidRDefault="00CE7749" w:rsidP="00AB44F5">
            <w:pPr>
              <w:jc w:val="center"/>
              <w:rPr>
                <w:sz w:val="20"/>
                <w:szCs w:val="20"/>
              </w:rPr>
            </w:pPr>
            <w:r>
              <w:rPr>
                <w:rFonts w:eastAsia="Times New Roman"/>
                <w:sz w:val="24"/>
                <w:szCs w:val="24"/>
              </w:rPr>
              <w:t>190</w:t>
            </w:r>
          </w:p>
        </w:tc>
        <w:tc>
          <w:tcPr>
            <w:tcW w:w="1077" w:type="dxa"/>
            <w:vAlign w:val="center"/>
          </w:tcPr>
          <w:p w14:paraId="281A5CB3" w14:textId="77777777" w:rsidR="00CE7749" w:rsidRDefault="00CE7749" w:rsidP="00AB44F5">
            <w:pPr>
              <w:jc w:val="center"/>
              <w:rPr>
                <w:sz w:val="20"/>
                <w:szCs w:val="20"/>
              </w:rPr>
            </w:pPr>
            <w:r>
              <w:rPr>
                <w:rFonts w:eastAsia="Times New Roman"/>
                <w:w w:val="94"/>
                <w:sz w:val="24"/>
                <w:szCs w:val="24"/>
              </w:rPr>
              <w:t>230</w:t>
            </w:r>
          </w:p>
        </w:tc>
        <w:tc>
          <w:tcPr>
            <w:tcW w:w="1078" w:type="dxa"/>
            <w:vAlign w:val="center"/>
          </w:tcPr>
          <w:p w14:paraId="281A5CB4" w14:textId="77777777" w:rsidR="00CE7749" w:rsidRDefault="00CE7749" w:rsidP="00AB44F5">
            <w:pPr>
              <w:jc w:val="center"/>
              <w:rPr>
                <w:sz w:val="20"/>
                <w:szCs w:val="20"/>
              </w:rPr>
            </w:pPr>
            <w:r>
              <w:rPr>
                <w:rFonts w:eastAsia="Times New Roman"/>
                <w:sz w:val="24"/>
                <w:szCs w:val="24"/>
              </w:rPr>
              <w:t>276</w:t>
            </w:r>
          </w:p>
        </w:tc>
      </w:tr>
      <w:tr w:rsidR="00CE7749" w14:paraId="281A5CC0" w14:textId="77777777" w:rsidTr="00CE7749">
        <w:trPr>
          <w:trHeight w:val="281"/>
        </w:trPr>
        <w:tc>
          <w:tcPr>
            <w:tcW w:w="1720" w:type="dxa"/>
            <w:vAlign w:val="center"/>
          </w:tcPr>
          <w:p w14:paraId="281A5CB8" w14:textId="77777777" w:rsidR="00CE7749" w:rsidRDefault="00CE7749" w:rsidP="00AB44F5">
            <w:pPr>
              <w:jc w:val="center"/>
              <w:rPr>
                <w:sz w:val="20"/>
                <w:szCs w:val="20"/>
              </w:rPr>
            </w:pPr>
            <w:r>
              <w:rPr>
                <w:rFonts w:eastAsia="Times New Roman"/>
                <w:sz w:val="24"/>
                <w:szCs w:val="24"/>
              </w:rPr>
              <w:t>2.6</w:t>
            </w:r>
          </w:p>
        </w:tc>
        <w:tc>
          <w:tcPr>
            <w:tcW w:w="1077" w:type="dxa"/>
            <w:vAlign w:val="center"/>
          </w:tcPr>
          <w:p w14:paraId="281A5CB9" w14:textId="77777777" w:rsidR="00CE7749" w:rsidRDefault="00CE7749" w:rsidP="00AB44F5">
            <w:pPr>
              <w:jc w:val="center"/>
              <w:rPr>
                <w:sz w:val="20"/>
                <w:szCs w:val="20"/>
              </w:rPr>
            </w:pPr>
            <w:r>
              <w:rPr>
                <w:rFonts w:eastAsia="Times New Roman"/>
                <w:sz w:val="24"/>
                <w:szCs w:val="24"/>
              </w:rPr>
              <w:t>92</w:t>
            </w:r>
          </w:p>
        </w:tc>
        <w:tc>
          <w:tcPr>
            <w:tcW w:w="1077" w:type="dxa"/>
            <w:vAlign w:val="center"/>
          </w:tcPr>
          <w:p w14:paraId="281A5CBA" w14:textId="77777777" w:rsidR="00CE7749" w:rsidRDefault="00CE7749" w:rsidP="00AB44F5">
            <w:pPr>
              <w:jc w:val="center"/>
              <w:rPr>
                <w:sz w:val="20"/>
                <w:szCs w:val="20"/>
              </w:rPr>
            </w:pPr>
            <w:r>
              <w:rPr>
                <w:rFonts w:eastAsia="Times New Roman"/>
                <w:sz w:val="24"/>
                <w:szCs w:val="24"/>
              </w:rPr>
              <w:t>110</w:t>
            </w:r>
          </w:p>
        </w:tc>
        <w:tc>
          <w:tcPr>
            <w:tcW w:w="1077" w:type="dxa"/>
            <w:vAlign w:val="center"/>
          </w:tcPr>
          <w:p w14:paraId="281A5CBB" w14:textId="77777777" w:rsidR="00CE7749" w:rsidRDefault="00CE7749" w:rsidP="00AB44F5">
            <w:pPr>
              <w:jc w:val="center"/>
              <w:rPr>
                <w:sz w:val="20"/>
                <w:szCs w:val="20"/>
              </w:rPr>
            </w:pPr>
            <w:r>
              <w:rPr>
                <w:rFonts w:eastAsia="Times New Roman"/>
                <w:sz w:val="24"/>
                <w:szCs w:val="24"/>
              </w:rPr>
              <w:t>131</w:t>
            </w:r>
          </w:p>
        </w:tc>
        <w:tc>
          <w:tcPr>
            <w:tcW w:w="1077" w:type="dxa"/>
            <w:vAlign w:val="center"/>
          </w:tcPr>
          <w:p w14:paraId="281A5CBC" w14:textId="77777777" w:rsidR="00CE7749" w:rsidRDefault="00CE7749" w:rsidP="00AB44F5">
            <w:pPr>
              <w:jc w:val="center"/>
              <w:rPr>
                <w:sz w:val="20"/>
                <w:szCs w:val="20"/>
              </w:rPr>
            </w:pPr>
            <w:r>
              <w:rPr>
                <w:rFonts w:eastAsia="Times New Roman"/>
                <w:sz w:val="24"/>
                <w:szCs w:val="24"/>
              </w:rPr>
              <w:t>160</w:t>
            </w:r>
          </w:p>
        </w:tc>
        <w:tc>
          <w:tcPr>
            <w:tcW w:w="1077" w:type="dxa"/>
            <w:vAlign w:val="center"/>
          </w:tcPr>
          <w:p w14:paraId="281A5CBD" w14:textId="77777777" w:rsidR="00CE7749" w:rsidRDefault="00CE7749" w:rsidP="00AB44F5">
            <w:pPr>
              <w:jc w:val="center"/>
              <w:rPr>
                <w:sz w:val="20"/>
                <w:szCs w:val="20"/>
              </w:rPr>
            </w:pPr>
            <w:r>
              <w:rPr>
                <w:rFonts w:eastAsia="Times New Roman"/>
                <w:sz w:val="24"/>
                <w:szCs w:val="24"/>
              </w:rPr>
              <w:t>194</w:t>
            </w:r>
          </w:p>
        </w:tc>
        <w:tc>
          <w:tcPr>
            <w:tcW w:w="1077" w:type="dxa"/>
            <w:vAlign w:val="center"/>
          </w:tcPr>
          <w:p w14:paraId="281A5CBE" w14:textId="77777777" w:rsidR="00CE7749" w:rsidRDefault="00CE7749" w:rsidP="00AB44F5">
            <w:pPr>
              <w:jc w:val="center"/>
              <w:rPr>
                <w:sz w:val="20"/>
                <w:szCs w:val="20"/>
              </w:rPr>
            </w:pPr>
            <w:r>
              <w:rPr>
                <w:rFonts w:eastAsia="Times New Roman"/>
                <w:w w:val="94"/>
                <w:sz w:val="24"/>
                <w:szCs w:val="24"/>
              </w:rPr>
              <w:t>234</w:t>
            </w:r>
          </w:p>
        </w:tc>
        <w:tc>
          <w:tcPr>
            <w:tcW w:w="1078" w:type="dxa"/>
            <w:vAlign w:val="center"/>
          </w:tcPr>
          <w:p w14:paraId="281A5CBF" w14:textId="77777777" w:rsidR="00CE7749" w:rsidRDefault="00CE7749" w:rsidP="00AB44F5">
            <w:pPr>
              <w:jc w:val="center"/>
              <w:rPr>
                <w:sz w:val="20"/>
                <w:szCs w:val="20"/>
              </w:rPr>
            </w:pPr>
            <w:r>
              <w:rPr>
                <w:rFonts w:eastAsia="Times New Roman"/>
                <w:sz w:val="24"/>
                <w:szCs w:val="24"/>
              </w:rPr>
              <w:t>281</w:t>
            </w:r>
          </w:p>
        </w:tc>
      </w:tr>
      <w:tr w:rsidR="00CE7749" w14:paraId="281A5CCB" w14:textId="77777777" w:rsidTr="00CE7749">
        <w:trPr>
          <w:trHeight w:val="278"/>
        </w:trPr>
        <w:tc>
          <w:tcPr>
            <w:tcW w:w="1720" w:type="dxa"/>
            <w:vAlign w:val="center"/>
          </w:tcPr>
          <w:p w14:paraId="281A5CC3" w14:textId="77777777" w:rsidR="00CE7749" w:rsidRDefault="00CE7749" w:rsidP="00AB44F5">
            <w:pPr>
              <w:jc w:val="center"/>
              <w:rPr>
                <w:sz w:val="20"/>
                <w:szCs w:val="20"/>
              </w:rPr>
            </w:pPr>
            <w:r>
              <w:rPr>
                <w:rFonts w:eastAsia="Times New Roman"/>
                <w:sz w:val="24"/>
                <w:szCs w:val="24"/>
              </w:rPr>
              <w:t>2.8</w:t>
            </w:r>
          </w:p>
        </w:tc>
        <w:tc>
          <w:tcPr>
            <w:tcW w:w="1077" w:type="dxa"/>
            <w:vAlign w:val="center"/>
          </w:tcPr>
          <w:p w14:paraId="281A5CC4" w14:textId="77777777" w:rsidR="00CE7749" w:rsidRDefault="00CE7749" w:rsidP="00AB44F5">
            <w:pPr>
              <w:jc w:val="center"/>
              <w:rPr>
                <w:sz w:val="20"/>
                <w:szCs w:val="20"/>
              </w:rPr>
            </w:pPr>
            <w:r>
              <w:rPr>
                <w:rFonts w:eastAsia="Times New Roman"/>
                <w:sz w:val="24"/>
                <w:szCs w:val="24"/>
              </w:rPr>
              <w:t>93</w:t>
            </w:r>
          </w:p>
        </w:tc>
        <w:tc>
          <w:tcPr>
            <w:tcW w:w="1077" w:type="dxa"/>
            <w:vAlign w:val="center"/>
          </w:tcPr>
          <w:p w14:paraId="281A5CC5" w14:textId="77777777" w:rsidR="00CE7749" w:rsidRDefault="00CE7749" w:rsidP="00AB44F5">
            <w:pPr>
              <w:jc w:val="center"/>
              <w:rPr>
                <w:sz w:val="20"/>
                <w:szCs w:val="20"/>
              </w:rPr>
            </w:pPr>
            <w:r>
              <w:rPr>
                <w:rFonts w:eastAsia="Times New Roman"/>
                <w:sz w:val="24"/>
                <w:szCs w:val="24"/>
              </w:rPr>
              <w:t>111</w:t>
            </w:r>
          </w:p>
        </w:tc>
        <w:tc>
          <w:tcPr>
            <w:tcW w:w="1077" w:type="dxa"/>
            <w:vAlign w:val="center"/>
          </w:tcPr>
          <w:p w14:paraId="281A5CC6" w14:textId="77777777" w:rsidR="00CE7749" w:rsidRDefault="00CE7749" w:rsidP="00AB44F5">
            <w:pPr>
              <w:jc w:val="center"/>
              <w:rPr>
                <w:sz w:val="20"/>
                <w:szCs w:val="20"/>
              </w:rPr>
            </w:pPr>
            <w:r>
              <w:rPr>
                <w:rFonts w:eastAsia="Times New Roman"/>
                <w:sz w:val="24"/>
                <w:szCs w:val="24"/>
              </w:rPr>
              <w:t>134</w:t>
            </w:r>
          </w:p>
        </w:tc>
        <w:tc>
          <w:tcPr>
            <w:tcW w:w="1077" w:type="dxa"/>
            <w:vAlign w:val="center"/>
          </w:tcPr>
          <w:p w14:paraId="281A5CC7" w14:textId="77777777" w:rsidR="00CE7749" w:rsidRDefault="00CE7749" w:rsidP="00AB44F5">
            <w:pPr>
              <w:jc w:val="center"/>
              <w:rPr>
                <w:sz w:val="20"/>
                <w:szCs w:val="20"/>
              </w:rPr>
            </w:pPr>
            <w:r>
              <w:rPr>
                <w:rFonts w:eastAsia="Times New Roman"/>
                <w:sz w:val="24"/>
                <w:szCs w:val="24"/>
              </w:rPr>
              <w:t>163</w:t>
            </w:r>
          </w:p>
        </w:tc>
        <w:tc>
          <w:tcPr>
            <w:tcW w:w="1077" w:type="dxa"/>
            <w:vAlign w:val="center"/>
          </w:tcPr>
          <w:p w14:paraId="281A5CC8" w14:textId="77777777" w:rsidR="00CE7749" w:rsidRDefault="00CE7749" w:rsidP="00AB44F5">
            <w:pPr>
              <w:jc w:val="center"/>
              <w:rPr>
                <w:sz w:val="20"/>
                <w:szCs w:val="20"/>
              </w:rPr>
            </w:pPr>
            <w:r>
              <w:rPr>
                <w:rFonts w:eastAsia="Times New Roman"/>
                <w:sz w:val="24"/>
                <w:szCs w:val="24"/>
              </w:rPr>
              <w:t>197</w:t>
            </w:r>
          </w:p>
        </w:tc>
        <w:tc>
          <w:tcPr>
            <w:tcW w:w="1077" w:type="dxa"/>
            <w:vAlign w:val="center"/>
          </w:tcPr>
          <w:p w14:paraId="281A5CC9" w14:textId="77777777" w:rsidR="00CE7749" w:rsidRDefault="00CE7749" w:rsidP="00AB44F5">
            <w:pPr>
              <w:jc w:val="center"/>
              <w:rPr>
                <w:sz w:val="20"/>
                <w:szCs w:val="20"/>
              </w:rPr>
            </w:pPr>
            <w:r>
              <w:rPr>
                <w:rFonts w:eastAsia="Times New Roman"/>
                <w:w w:val="94"/>
                <w:sz w:val="24"/>
                <w:szCs w:val="24"/>
              </w:rPr>
              <w:t>239</w:t>
            </w:r>
          </w:p>
        </w:tc>
        <w:tc>
          <w:tcPr>
            <w:tcW w:w="1078" w:type="dxa"/>
            <w:vAlign w:val="center"/>
          </w:tcPr>
          <w:p w14:paraId="281A5CCA" w14:textId="77777777" w:rsidR="00CE7749" w:rsidRDefault="00CE7749" w:rsidP="00AB44F5">
            <w:pPr>
              <w:jc w:val="center"/>
              <w:rPr>
                <w:sz w:val="20"/>
                <w:szCs w:val="20"/>
              </w:rPr>
            </w:pPr>
            <w:r>
              <w:rPr>
                <w:rFonts w:eastAsia="Times New Roman"/>
                <w:sz w:val="24"/>
                <w:szCs w:val="24"/>
              </w:rPr>
              <w:t>287</w:t>
            </w:r>
          </w:p>
        </w:tc>
      </w:tr>
      <w:tr w:rsidR="00CE7749" w14:paraId="281A5CD6" w14:textId="77777777" w:rsidTr="00CE7749">
        <w:trPr>
          <w:trHeight w:val="312"/>
        </w:trPr>
        <w:tc>
          <w:tcPr>
            <w:tcW w:w="1720" w:type="dxa"/>
            <w:vAlign w:val="center"/>
          </w:tcPr>
          <w:p w14:paraId="281A5CCE" w14:textId="77777777" w:rsidR="00CE7749" w:rsidRDefault="00CE7749" w:rsidP="00AB44F5">
            <w:pPr>
              <w:jc w:val="center"/>
              <w:rPr>
                <w:sz w:val="20"/>
                <w:szCs w:val="20"/>
              </w:rPr>
            </w:pPr>
            <w:r>
              <w:rPr>
                <w:rFonts w:eastAsia="Times New Roman"/>
                <w:sz w:val="24"/>
                <w:szCs w:val="24"/>
              </w:rPr>
              <w:t>3.0</w:t>
            </w:r>
          </w:p>
        </w:tc>
        <w:tc>
          <w:tcPr>
            <w:tcW w:w="1077" w:type="dxa"/>
            <w:vAlign w:val="center"/>
          </w:tcPr>
          <w:p w14:paraId="281A5CCF" w14:textId="77777777" w:rsidR="00CE7749" w:rsidRDefault="00CE7749" w:rsidP="00AB44F5">
            <w:pPr>
              <w:jc w:val="center"/>
              <w:rPr>
                <w:sz w:val="20"/>
                <w:szCs w:val="20"/>
              </w:rPr>
            </w:pPr>
            <w:r>
              <w:rPr>
                <w:rFonts w:eastAsia="Times New Roman"/>
                <w:sz w:val="24"/>
                <w:szCs w:val="24"/>
              </w:rPr>
              <w:t>95</w:t>
            </w:r>
          </w:p>
        </w:tc>
        <w:tc>
          <w:tcPr>
            <w:tcW w:w="1077" w:type="dxa"/>
            <w:vAlign w:val="center"/>
          </w:tcPr>
          <w:p w14:paraId="281A5CD0" w14:textId="77777777" w:rsidR="00CE7749" w:rsidRDefault="00CE7749" w:rsidP="00AB44F5">
            <w:pPr>
              <w:jc w:val="center"/>
              <w:rPr>
                <w:sz w:val="20"/>
                <w:szCs w:val="20"/>
              </w:rPr>
            </w:pPr>
            <w:r>
              <w:rPr>
                <w:rFonts w:eastAsia="Times New Roman"/>
                <w:sz w:val="24"/>
                <w:szCs w:val="24"/>
              </w:rPr>
              <w:t>113</w:t>
            </w:r>
          </w:p>
        </w:tc>
        <w:tc>
          <w:tcPr>
            <w:tcW w:w="1077" w:type="dxa"/>
            <w:vAlign w:val="center"/>
          </w:tcPr>
          <w:p w14:paraId="281A5CD1" w14:textId="77777777" w:rsidR="00CE7749" w:rsidRDefault="00CE7749" w:rsidP="00AB44F5">
            <w:pPr>
              <w:jc w:val="center"/>
              <w:rPr>
                <w:sz w:val="20"/>
                <w:szCs w:val="20"/>
              </w:rPr>
            </w:pPr>
            <w:r>
              <w:rPr>
                <w:rFonts w:eastAsia="Times New Roman"/>
                <w:sz w:val="24"/>
                <w:szCs w:val="24"/>
              </w:rPr>
              <w:t>137</w:t>
            </w:r>
          </w:p>
        </w:tc>
        <w:tc>
          <w:tcPr>
            <w:tcW w:w="1077" w:type="dxa"/>
            <w:vAlign w:val="center"/>
          </w:tcPr>
          <w:p w14:paraId="281A5CD2" w14:textId="77777777" w:rsidR="00CE7749" w:rsidRDefault="00CE7749" w:rsidP="00AB44F5">
            <w:pPr>
              <w:jc w:val="center"/>
              <w:rPr>
                <w:sz w:val="20"/>
                <w:szCs w:val="20"/>
              </w:rPr>
            </w:pPr>
            <w:r>
              <w:rPr>
                <w:rFonts w:eastAsia="Times New Roman"/>
                <w:sz w:val="24"/>
                <w:szCs w:val="24"/>
              </w:rPr>
              <w:t>166</w:t>
            </w:r>
          </w:p>
        </w:tc>
        <w:tc>
          <w:tcPr>
            <w:tcW w:w="1077" w:type="dxa"/>
            <w:vAlign w:val="center"/>
          </w:tcPr>
          <w:p w14:paraId="281A5CD3" w14:textId="77777777" w:rsidR="00CE7749" w:rsidRDefault="00CE7749" w:rsidP="00AB44F5">
            <w:pPr>
              <w:jc w:val="center"/>
              <w:rPr>
                <w:sz w:val="20"/>
                <w:szCs w:val="20"/>
              </w:rPr>
            </w:pPr>
            <w:r>
              <w:rPr>
                <w:rFonts w:eastAsia="Times New Roman"/>
                <w:sz w:val="24"/>
                <w:szCs w:val="24"/>
              </w:rPr>
              <w:t>201</w:t>
            </w:r>
          </w:p>
        </w:tc>
        <w:tc>
          <w:tcPr>
            <w:tcW w:w="1077" w:type="dxa"/>
            <w:vAlign w:val="center"/>
          </w:tcPr>
          <w:p w14:paraId="281A5CD4" w14:textId="77777777" w:rsidR="00CE7749" w:rsidRDefault="00CE7749" w:rsidP="00AB44F5">
            <w:pPr>
              <w:jc w:val="center"/>
              <w:rPr>
                <w:sz w:val="20"/>
                <w:szCs w:val="20"/>
              </w:rPr>
            </w:pPr>
            <w:r>
              <w:rPr>
                <w:rFonts w:eastAsia="Times New Roman"/>
                <w:w w:val="94"/>
                <w:sz w:val="24"/>
                <w:szCs w:val="24"/>
              </w:rPr>
              <w:t>243</w:t>
            </w:r>
          </w:p>
        </w:tc>
        <w:tc>
          <w:tcPr>
            <w:tcW w:w="1078" w:type="dxa"/>
            <w:vAlign w:val="center"/>
          </w:tcPr>
          <w:p w14:paraId="281A5CD5" w14:textId="77777777" w:rsidR="00CE7749" w:rsidRDefault="00CE7749" w:rsidP="00AB44F5">
            <w:pPr>
              <w:jc w:val="center"/>
              <w:rPr>
                <w:sz w:val="20"/>
                <w:szCs w:val="20"/>
              </w:rPr>
            </w:pPr>
            <w:r>
              <w:rPr>
                <w:rFonts w:eastAsia="Times New Roman"/>
                <w:sz w:val="24"/>
                <w:szCs w:val="24"/>
              </w:rPr>
              <w:t>292</w:t>
            </w:r>
          </w:p>
        </w:tc>
      </w:tr>
    </w:tbl>
    <w:p w14:paraId="281A5CD7" w14:textId="77777777" w:rsidR="004647B9" w:rsidRDefault="004647B9" w:rsidP="00AB44F5">
      <w:pPr>
        <w:sectPr w:rsidR="004647B9" w:rsidSect="00EF630C">
          <w:pgSz w:w="12240" w:h="20180"/>
          <w:pgMar w:top="708" w:right="1440" w:bottom="1440" w:left="620" w:header="0" w:footer="0" w:gutter="0"/>
          <w:cols w:space="720"/>
        </w:sectPr>
      </w:pPr>
    </w:p>
    <w:p w14:paraId="281A5CD8" w14:textId="77777777" w:rsidR="004647B9" w:rsidRDefault="00E2436F">
      <w:pPr>
        <w:tabs>
          <w:tab w:val="left" w:pos="160"/>
        </w:tabs>
        <w:ind w:right="20"/>
        <w:jc w:val="center"/>
        <w:rPr>
          <w:sz w:val="20"/>
          <w:szCs w:val="20"/>
        </w:rPr>
      </w:pPr>
      <w:bookmarkStart w:id="260" w:name="page264"/>
      <w:bookmarkEnd w:id="26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CD9" w14:textId="77777777" w:rsidR="004647B9" w:rsidRDefault="004647B9" w:rsidP="00AB44F5">
      <w:pPr>
        <w:rPr>
          <w:sz w:val="20"/>
          <w:szCs w:val="20"/>
        </w:rPr>
      </w:pPr>
    </w:p>
    <w:p w14:paraId="281A5CDA" w14:textId="77777777" w:rsidR="004647B9" w:rsidRDefault="004647B9" w:rsidP="00AB44F5">
      <w:pPr>
        <w:rPr>
          <w:sz w:val="20"/>
          <w:szCs w:val="20"/>
        </w:rPr>
      </w:pPr>
    </w:p>
    <w:p w14:paraId="281A5CDB" w14:textId="77777777" w:rsidR="004647B9" w:rsidRPr="00A65D9F" w:rsidRDefault="00E2436F" w:rsidP="00AB44F5">
      <w:pPr>
        <w:tabs>
          <w:tab w:val="left" w:pos="940"/>
        </w:tabs>
        <w:rPr>
          <w:sz w:val="24"/>
          <w:szCs w:val="24"/>
        </w:rPr>
      </w:pPr>
      <w:r w:rsidRPr="00A65D9F">
        <w:rPr>
          <w:rFonts w:eastAsia="Times New Roman"/>
          <w:sz w:val="24"/>
          <w:szCs w:val="24"/>
        </w:rPr>
        <w:t>22.20A:</w:t>
      </w:r>
      <w:r w:rsidRPr="00A65D9F">
        <w:rPr>
          <w:rFonts w:eastAsia="Times New Roman"/>
          <w:sz w:val="24"/>
          <w:szCs w:val="24"/>
        </w:rPr>
        <w:tab/>
        <w:t>continued</w:t>
      </w:r>
    </w:p>
    <w:p w14:paraId="281A5CDC" w14:textId="77777777" w:rsidR="004647B9" w:rsidRPr="00AB44F5" w:rsidRDefault="004647B9" w:rsidP="00AB44F5">
      <w:pPr>
        <w:rPr>
          <w:sz w:val="20"/>
          <w:szCs w:val="20"/>
        </w:rPr>
      </w:pPr>
    </w:p>
    <w:p w14:paraId="281A5CDD" w14:textId="77777777" w:rsidR="004647B9" w:rsidRPr="00A65D9F" w:rsidRDefault="00E2436F" w:rsidP="00AB44F5">
      <w:pPr>
        <w:numPr>
          <w:ilvl w:val="0"/>
          <w:numId w:val="590"/>
        </w:numPr>
        <w:tabs>
          <w:tab w:val="left" w:pos="360"/>
        </w:tabs>
        <w:ind w:left="360" w:hanging="350"/>
        <w:jc w:val="both"/>
        <w:rPr>
          <w:rFonts w:eastAsia="Times New Roman"/>
          <w:sz w:val="24"/>
          <w:szCs w:val="24"/>
        </w:rPr>
      </w:pPr>
      <w:r w:rsidRPr="00A65D9F">
        <w:rPr>
          <w:rFonts w:eastAsia="Times New Roman"/>
          <w:sz w:val="24"/>
          <w:szCs w:val="24"/>
        </w:rPr>
        <w:t>These CT values achieve greater than a 99.99% inactivation of Viruses. CT values between the indicated pH values may be determined by linear interpolation. CT values between the indicated temperatures of different tables may be determined by linear interpolation. If no interpolation is used, use the CT</w:t>
      </w:r>
      <w:r w:rsidRPr="00A65D9F">
        <w:rPr>
          <w:rFonts w:eastAsia="Times New Roman"/>
          <w:sz w:val="24"/>
          <w:szCs w:val="24"/>
          <w:vertAlign w:val="subscript"/>
        </w:rPr>
        <w:t>99.9</w:t>
      </w:r>
      <w:r w:rsidRPr="00A65D9F">
        <w:rPr>
          <w:rFonts w:eastAsia="Times New Roman"/>
          <w:sz w:val="24"/>
          <w:szCs w:val="24"/>
        </w:rPr>
        <w:t xml:space="preserve"> value at the lower temperature, and at the higher pH</w:t>
      </w:r>
      <w:r w:rsidRPr="00A65D9F" w:rsidDel="007B206E">
        <w:rPr>
          <w:rFonts w:eastAsia="Times New Roman"/>
          <w:sz w:val="24"/>
          <w:szCs w:val="24"/>
        </w:rPr>
        <w:t>.</w:t>
      </w:r>
    </w:p>
    <w:p w14:paraId="281A5CDE" w14:textId="77777777" w:rsidR="004647B9" w:rsidRPr="00A65D9F" w:rsidRDefault="004647B9" w:rsidP="00AB44F5">
      <w:pPr>
        <w:rPr>
          <w:sz w:val="24"/>
          <w:szCs w:val="24"/>
        </w:rPr>
      </w:pPr>
    </w:p>
    <w:p w14:paraId="281A5CDF" w14:textId="77777777" w:rsidR="004647B9" w:rsidRPr="00A65D9F" w:rsidRDefault="00E2436F" w:rsidP="00AB44F5">
      <w:pPr>
        <w:jc w:val="center"/>
        <w:rPr>
          <w:sz w:val="24"/>
          <w:szCs w:val="24"/>
        </w:rPr>
      </w:pPr>
      <w:r w:rsidRPr="00A65D9F">
        <w:rPr>
          <w:rFonts w:eastAsia="Times New Roman"/>
          <w:sz w:val="24"/>
          <w:szCs w:val="24"/>
        </w:rPr>
        <w:t>TABLE 1.4 - 310 CMR 22.20A</w:t>
      </w:r>
    </w:p>
    <w:p w14:paraId="281A5CE1" w14:textId="77777777" w:rsidR="004647B9" w:rsidRPr="00A65D9F" w:rsidRDefault="00E2436F" w:rsidP="00AB44F5">
      <w:pPr>
        <w:jc w:val="center"/>
        <w:rPr>
          <w:sz w:val="24"/>
          <w:szCs w:val="24"/>
        </w:rPr>
      </w:pPr>
      <w:r w:rsidRPr="00A65D9F">
        <w:rPr>
          <w:rFonts w:eastAsia="Times New Roman"/>
          <w:sz w:val="24"/>
          <w:szCs w:val="24"/>
        </w:rPr>
        <w:t>CT VALUES (CT</w:t>
      </w:r>
      <w:r w:rsidRPr="00A65D9F">
        <w:rPr>
          <w:rFonts w:eastAsia="Times New Roman"/>
          <w:sz w:val="24"/>
          <w:szCs w:val="24"/>
          <w:vertAlign w:val="subscript"/>
        </w:rPr>
        <w:t>99.9</w:t>
      </w:r>
      <w:r w:rsidRPr="00A65D9F">
        <w:rPr>
          <w:rFonts w:eastAsia="Times New Roman"/>
          <w:sz w:val="24"/>
          <w:szCs w:val="24"/>
        </w:rPr>
        <w:t xml:space="preserve">) FOR 99.9% INACTIVATION OF </w:t>
      </w:r>
      <w:r w:rsidRPr="00A65D9F">
        <w:rPr>
          <w:rFonts w:eastAsia="Times New Roman"/>
          <w:i/>
          <w:iCs/>
          <w:sz w:val="24"/>
          <w:szCs w:val="24"/>
        </w:rPr>
        <w:t>GIARDIA</w:t>
      </w:r>
    </w:p>
    <w:p w14:paraId="281A5CE2" w14:textId="77777777" w:rsidR="004647B9" w:rsidRPr="00A65D9F" w:rsidRDefault="00E2436F" w:rsidP="00AB44F5">
      <w:pPr>
        <w:jc w:val="center"/>
        <w:rPr>
          <w:sz w:val="24"/>
          <w:szCs w:val="24"/>
        </w:rPr>
      </w:pPr>
      <w:r w:rsidRPr="00A65D9F">
        <w:rPr>
          <w:rFonts w:eastAsia="Times New Roman"/>
          <w:i/>
          <w:iCs/>
          <w:sz w:val="24"/>
          <w:szCs w:val="24"/>
        </w:rPr>
        <w:t xml:space="preserve">LAMBLIA </w:t>
      </w:r>
      <w:r w:rsidRPr="00A65D9F">
        <w:rPr>
          <w:rFonts w:eastAsia="Times New Roman"/>
          <w:sz w:val="24"/>
          <w:szCs w:val="24"/>
        </w:rPr>
        <w:t>CYSTS BY FREE CHLORINE AT 15°C</w:t>
      </w:r>
      <w:r w:rsidRPr="00A65D9F">
        <w:rPr>
          <w:rFonts w:eastAsia="Times New Roman"/>
          <w:sz w:val="24"/>
          <w:szCs w:val="24"/>
          <w:vertAlign w:val="superscript"/>
        </w:rPr>
        <w:t>*</w:t>
      </w:r>
    </w:p>
    <w:p w14:paraId="281A5CE9" w14:textId="77777777" w:rsidR="004647B9" w:rsidRPr="00AB44F5" w:rsidRDefault="004647B9" w:rsidP="00AB44F5">
      <w:pPr>
        <w:rPr>
          <w:sz w:val="24"/>
          <w:szCs w:val="24"/>
        </w:rPr>
      </w:pPr>
    </w:p>
    <w:tbl>
      <w:tblPr>
        <w:tblW w:w="0" w:type="auto"/>
        <w:tblInd w:w="180" w:type="dxa"/>
        <w:tblLayout w:type="fixed"/>
        <w:tblCellMar>
          <w:left w:w="0" w:type="dxa"/>
          <w:right w:w="0" w:type="dxa"/>
        </w:tblCellMar>
        <w:tblLook w:val="04A0" w:firstRow="1" w:lastRow="0" w:firstColumn="1" w:lastColumn="0" w:noHBand="0" w:noVBand="1"/>
      </w:tblPr>
      <w:tblGrid>
        <w:gridCol w:w="1720"/>
        <w:gridCol w:w="1077"/>
        <w:gridCol w:w="1077"/>
        <w:gridCol w:w="1077"/>
        <w:gridCol w:w="1077"/>
        <w:gridCol w:w="1077"/>
        <w:gridCol w:w="1077"/>
        <w:gridCol w:w="1078"/>
      </w:tblGrid>
      <w:tr w:rsidR="009F5B16" w14:paraId="1A9DDE11" w14:textId="77777777" w:rsidTr="009F5B16">
        <w:trPr>
          <w:trHeight w:val="276"/>
        </w:trPr>
        <w:tc>
          <w:tcPr>
            <w:tcW w:w="1720" w:type="dxa"/>
            <w:vMerge w:val="restart"/>
            <w:tcBorders>
              <w:bottom w:val="single" w:sz="8" w:space="0" w:color="auto"/>
            </w:tcBorders>
            <w:vAlign w:val="bottom"/>
          </w:tcPr>
          <w:p w14:paraId="19C246EB" w14:textId="77777777" w:rsidR="009F5B16" w:rsidRDefault="009F5B16" w:rsidP="00AB44F5">
            <w:pPr>
              <w:rPr>
                <w:sz w:val="20"/>
                <w:szCs w:val="20"/>
              </w:rPr>
            </w:pPr>
            <w:r>
              <w:rPr>
                <w:rFonts w:eastAsia="Times New Roman"/>
                <w:sz w:val="24"/>
                <w:szCs w:val="24"/>
              </w:rPr>
              <w:t>Free</w:t>
            </w:r>
          </w:p>
          <w:p w14:paraId="4D27747F" w14:textId="77777777" w:rsidR="009F5B16" w:rsidRDefault="009F5B16" w:rsidP="00AB44F5">
            <w:pPr>
              <w:rPr>
                <w:sz w:val="20"/>
                <w:szCs w:val="20"/>
              </w:rPr>
            </w:pPr>
            <w:r>
              <w:rPr>
                <w:rFonts w:eastAsia="Times New Roman"/>
                <w:sz w:val="24"/>
                <w:szCs w:val="24"/>
              </w:rPr>
              <w:t>Residual</w:t>
            </w:r>
          </w:p>
          <w:p w14:paraId="236B0AE1" w14:textId="6A8A0D46" w:rsidR="009F5B16" w:rsidRDefault="009F5B16" w:rsidP="00AB44F5">
            <w:pPr>
              <w:rPr>
                <w:rFonts w:eastAsia="Times New Roman"/>
                <w:sz w:val="24"/>
                <w:szCs w:val="24"/>
              </w:rPr>
            </w:pPr>
            <w:r>
              <w:rPr>
                <w:rFonts w:eastAsia="Times New Roman"/>
                <w:sz w:val="24"/>
                <w:szCs w:val="24"/>
              </w:rPr>
              <w:t>(mg/l)</w:t>
            </w:r>
          </w:p>
        </w:tc>
        <w:tc>
          <w:tcPr>
            <w:tcW w:w="7540" w:type="dxa"/>
            <w:gridSpan w:val="7"/>
            <w:vAlign w:val="center"/>
          </w:tcPr>
          <w:p w14:paraId="789C2E01" w14:textId="3032F685" w:rsidR="009F5B16" w:rsidRPr="00A54681" w:rsidRDefault="009F5B16" w:rsidP="00AB44F5">
            <w:pPr>
              <w:jc w:val="center"/>
              <w:rPr>
                <w:sz w:val="20"/>
                <w:szCs w:val="20"/>
              </w:rPr>
            </w:pPr>
            <w:r>
              <w:rPr>
                <w:rFonts w:eastAsia="Times New Roman"/>
                <w:sz w:val="24"/>
                <w:szCs w:val="24"/>
              </w:rPr>
              <w:t>pH</w:t>
            </w:r>
          </w:p>
        </w:tc>
      </w:tr>
      <w:tr w:rsidR="009F5B16" w14:paraId="281A5CF4" w14:textId="77777777" w:rsidTr="009F5B16">
        <w:trPr>
          <w:trHeight w:val="276"/>
        </w:trPr>
        <w:tc>
          <w:tcPr>
            <w:tcW w:w="1720" w:type="dxa"/>
            <w:vMerge/>
            <w:tcBorders>
              <w:bottom w:val="single" w:sz="8" w:space="0" w:color="auto"/>
            </w:tcBorders>
            <w:vAlign w:val="bottom"/>
          </w:tcPr>
          <w:p w14:paraId="281A5CEC" w14:textId="1F6008BB" w:rsidR="009F5B16" w:rsidRDefault="009F5B16" w:rsidP="00AB44F5">
            <w:pPr>
              <w:ind w:left="280"/>
              <w:rPr>
                <w:sz w:val="20"/>
                <w:szCs w:val="20"/>
              </w:rPr>
            </w:pPr>
          </w:p>
        </w:tc>
        <w:tc>
          <w:tcPr>
            <w:tcW w:w="1077" w:type="dxa"/>
            <w:tcBorders>
              <w:bottom w:val="single" w:sz="8" w:space="0" w:color="auto"/>
            </w:tcBorders>
            <w:vAlign w:val="center"/>
          </w:tcPr>
          <w:p w14:paraId="281A5CED" w14:textId="77777777" w:rsidR="009F5B16" w:rsidRDefault="009F5B16" w:rsidP="00AB44F5">
            <w:pPr>
              <w:jc w:val="center"/>
              <w:rPr>
                <w:sz w:val="20"/>
                <w:szCs w:val="20"/>
              </w:rPr>
            </w:pPr>
            <w:r>
              <w:rPr>
                <w:rFonts w:eastAsia="Times New Roman"/>
                <w:sz w:val="24"/>
                <w:szCs w:val="24"/>
              </w:rPr>
              <w:t>&lt; 6.0</w:t>
            </w:r>
          </w:p>
        </w:tc>
        <w:tc>
          <w:tcPr>
            <w:tcW w:w="1077" w:type="dxa"/>
            <w:tcBorders>
              <w:bottom w:val="single" w:sz="8" w:space="0" w:color="auto"/>
            </w:tcBorders>
            <w:vAlign w:val="center"/>
          </w:tcPr>
          <w:p w14:paraId="281A5CEE" w14:textId="77777777" w:rsidR="009F5B16" w:rsidRDefault="009F5B16" w:rsidP="00AB44F5">
            <w:pPr>
              <w:jc w:val="center"/>
              <w:rPr>
                <w:sz w:val="20"/>
                <w:szCs w:val="20"/>
              </w:rPr>
            </w:pPr>
            <w:r>
              <w:rPr>
                <w:rFonts w:eastAsia="Times New Roman"/>
                <w:sz w:val="24"/>
                <w:szCs w:val="24"/>
              </w:rPr>
              <w:t>6.5</w:t>
            </w:r>
          </w:p>
        </w:tc>
        <w:tc>
          <w:tcPr>
            <w:tcW w:w="1077" w:type="dxa"/>
            <w:tcBorders>
              <w:bottom w:val="single" w:sz="8" w:space="0" w:color="auto"/>
            </w:tcBorders>
            <w:vAlign w:val="center"/>
          </w:tcPr>
          <w:p w14:paraId="281A5CEF" w14:textId="77777777" w:rsidR="009F5B16" w:rsidRDefault="009F5B16" w:rsidP="00AB44F5">
            <w:pPr>
              <w:jc w:val="center"/>
              <w:rPr>
                <w:sz w:val="20"/>
                <w:szCs w:val="20"/>
              </w:rPr>
            </w:pPr>
            <w:r>
              <w:rPr>
                <w:rFonts w:eastAsia="Times New Roman"/>
                <w:sz w:val="24"/>
                <w:szCs w:val="24"/>
              </w:rPr>
              <w:t>7.0</w:t>
            </w:r>
          </w:p>
        </w:tc>
        <w:tc>
          <w:tcPr>
            <w:tcW w:w="1077" w:type="dxa"/>
            <w:tcBorders>
              <w:bottom w:val="single" w:sz="8" w:space="0" w:color="auto"/>
            </w:tcBorders>
            <w:vAlign w:val="center"/>
          </w:tcPr>
          <w:p w14:paraId="281A5CF0" w14:textId="77777777" w:rsidR="009F5B16" w:rsidRDefault="009F5B16" w:rsidP="00AB44F5">
            <w:pPr>
              <w:jc w:val="center"/>
              <w:rPr>
                <w:sz w:val="20"/>
                <w:szCs w:val="20"/>
              </w:rPr>
            </w:pPr>
            <w:r>
              <w:rPr>
                <w:rFonts w:eastAsia="Times New Roman"/>
                <w:sz w:val="24"/>
                <w:szCs w:val="24"/>
              </w:rPr>
              <w:t>7.5</w:t>
            </w:r>
          </w:p>
        </w:tc>
        <w:tc>
          <w:tcPr>
            <w:tcW w:w="1077" w:type="dxa"/>
            <w:tcBorders>
              <w:bottom w:val="single" w:sz="8" w:space="0" w:color="auto"/>
            </w:tcBorders>
            <w:vAlign w:val="center"/>
          </w:tcPr>
          <w:p w14:paraId="281A5CF1" w14:textId="77777777" w:rsidR="009F5B16" w:rsidRDefault="009F5B16" w:rsidP="00AB44F5">
            <w:pPr>
              <w:jc w:val="center"/>
              <w:rPr>
                <w:sz w:val="20"/>
                <w:szCs w:val="20"/>
              </w:rPr>
            </w:pPr>
            <w:r>
              <w:rPr>
                <w:rFonts w:eastAsia="Times New Roman"/>
                <w:sz w:val="24"/>
                <w:szCs w:val="24"/>
              </w:rPr>
              <w:t>8.0</w:t>
            </w:r>
          </w:p>
        </w:tc>
        <w:tc>
          <w:tcPr>
            <w:tcW w:w="1077" w:type="dxa"/>
            <w:tcBorders>
              <w:bottom w:val="single" w:sz="8" w:space="0" w:color="auto"/>
            </w:tcBorders>
            <w:vAlign w:val="center"/>
          </w:tcPr>
          <w:p w14:paraId="281A5CF2" w14:textId="77777777" w:rsidR="009F5B16" w:rsidRDefault="009F5B16" w:rsidP="00AB44F5">
            <w:pPr>
              <w:jc w:val="center"/>
              <w:rPr>
                <w:sz w:val="20"/>
                <w:szCs w:val="20"/>
              </w:rPr>
            </w:pPr>
            <w:r>
              <w:rPr>
                <w:rFonts w:eastAsia="Times New Roman"/>
                <w:sz w:val="24"/>
                <w:szCs w:val="24"/>
              </w:rPr>
              <w:t>8.5</w:t>
            </w:r>
          </w:p>
        </w:tc>
        <w:tc>
          <w:tcPr>
            <w:tcW w:w="1078" w:type="dxa"/>
            <w:tcBorders>
              <w:bottom w:val="single" w:sz="8" w:space="0" w:color="auto"/>
            </w:tcBorders>
            <w:vAlign w:val="center"/>
          </w:tcPr>
          <w:p w14:paraId="281A5CF3" w14:textId="77777777" w:rsidR="009F5B16" w:rsidRDefault="009F5B16" w:rsidP="00AB44F5">
            <w:pPr>
              <w:jc w:val="center"/>
              <w:rPr>
                <w:sz w:val="20"/>
                <w:szCs w:val="20"/>
              </w:rPr>
            </w:pPr>
            <w:r>
              <w:rPr>
                <w:rFonts w:eastAsia="Times New Roman"/>
                <w:w w:val="96"/>
                <w:sz w:val="24"/>
                <w:szCs w:val="24"/>
              </w:rPr>
              <w:t>&lt; 9.0</w:t>
            </w:r>
          </w:p>
        </w:tc>
      </w:tr>
      <w:tr w:rsidR="009F5B16" w14:paraId="281A5D0E" w14:textId="77777777" w:rsidTr="009F5B16">
        <w:trPr>
          <w:trHeight w:val="539"/>
        </w:trPr>
        <w:tc>
          <w:tcPr>
            <w:tcW w:w="1720" w:type="dxa"/>
            <w:tcBorders>
              <w:top w:val="single" w:sz="8" w:space="0" w:color="auto"/>
            </w:tcBorders>
            <w:vAlign w:val="center"/>
          </w:tcPr>
          <w:p w14:paraId="281A5D06" w14:textId="538392C4" w:rsidR="009F5B16" w:rsidRDefault="009F5B16" w:rsidP="00AB44F5">
            <w:pPr>
              <w:jc w:val="center"/>
              <w:rPr>
                <w:sz w:val="20"/>
                <w:szCs w:val="20"/>
              </w:rPr>
            </w:pPr>
            <w:r>
              <w:rPr>
                <w:rFonts w:eastAsia="Times New Roman"/>
                <w:sz w:val="24"/>
                <w:szCs w:val="24"/>
              </w:rPr>
              <w:t>≤ 0.4</w:t>
            </w:r>
          </w:p>
        </w:tc>
        <w:tc>
          <w:tcPr>
            <w:tcW w:w="1077" w:type="dxa"/>
            <w:tcBorders>
              <w:top w:val="single" w:sz="8" w:space="0" w:color="auto"/>
            </w:tcBorders>
            <w:vAlign w:val="center"/>
          </w:tcPr>
          <w:p w14:paraId="281A5D07" w14:textId="77777777" w:rsidR="009F5B16" w:rsidRDefault="009F5B16" w:rsidP="00AB44F5">
            <w:pPr>
              <w:jc w:val="center"/>
              <w:rPr>
                <w:sz w:val="20"/>
                <w:szCs w:val="20"/>
              </w:rPr>
            </w:pPr>
            <w:r>
              <w:rPr>
                <w:rFonts w:eastAsia="Times New Roman"/>
                <w:sz w:val="24"/>
                <w:szCs w:val="24"/>
              </w:rPr>
              <w:t>49</w:t>
            </w:r>
          </w:p>
        </w:tc>
        <w:tc>
          <w:tcPr>
            <w:tcW w:w="1077" w:type="dxa"/>
            <w:tcBorders>
              <w:top w:val="single" w:sz="8" w:space="0" w:color="auto"/>
            </w:tcBorders>
            <w:vAlign w:val="center"/>
          </w:tcPr>
          <w:p w14:paraId="281A5D08" w14:textId="77777777" w:rsidR="009F5B16" w:rsidRDefault="009F5B16" w:rsidP="00AB44F5">
            <w:pPr>
              <w:jc w:val="center"/>
              <w:rPr>
                <w:sz w:val="20"/>
                <w:szCs w:val="20"/>
              </w:rPr>
            </w:pPr>
            <w:r>
              <w:rPr>
                <w:rFonts w:eastAsia="Times New Roman"/>
                <w:sz w:val="24"/>
                <w:szCs w:val="24"/>
              </w:rPr>
              <w:t>59</w:t>
            </w:r>
          </w:p>
        </w:tc>
        <w:tc>
          <w:tcPr>
            <w:tcW w:w="1077" w:type="dxa"/>
            <w:tcBorders>
              <w:top w:val="single" w:sz="8" w:space="0" w:color="auto"/>
            </w:tcBorders>
            <w:vAlign w:val="center"/>
          </w:tcPr>
          <w:p w14:paraId="281A5D09" w14:textId="77777777" w:rsidR="009F5B16" w:rsidRDefault="009F5B16" w:rsidP="00AB44F5">
            <w:pPr>
              <w:jc w:val="center"/>
              <w:rPr>
                <w:sz w:val="20"/>
                <w:szCs w:val="20"/>
              </w:rPr>
            </w:pPr>
            <w:r>
              <w:rPr>
                <w:rFonts w:eastAsia="Times New Roman"/>
                <w:sz w:val="24"/>
                <w:szCs w:val="24"/>
              </w:rPr>
              <w:t>70</w:t>
            </w:r>
          </w:p>
        </w:tc>
        <w:tc>
          <w:tcPr>
            <w:tcW w:w="1077" w:type="dxa"/>
            <w:tcBorders>
              <w:top w:val="single" w:sz="8" w:space="0" w:color="auto"/>
            </w:tcBorders>
            <w:vAlign w:val="center"/>
          </w:tcPr>
          <w:p w14:paraId="281A5D0A" w14:textId="77777777" w:rsidR="009F5B16" w:rsidRDefault="009F5B16" w:rsidP="00AB44F5">
            <w:pPr>
              <w:jc w:val="center"/>
              <w:rPr>
                <w:sz w:val="20"/>
                <w:szCs w:val="20"/>
              </w:rPr>
            </w:pPr>
            <w:r>
              <w:rPr>
                <w:rFonts w:eastAsia="Times New Roman"/>
                <w:sz w:val="24"/>
                <w:szCs w:val="24"/>
              </w:rPr>
              <w:t>83</w:t>
            </w:r>
          </w:p>
        </w:tc>
        <w:tc>
          <w:tcPr>
            <w:tcW w:w="1077" w:type="dxa"/>
            <w:tcBorders>
              <w:top w:val="single" w:sz="8" w:space="0" w:color="auto"/>
            </w:tcBorders>
            <w:vAlign w:val="center"/>
          </w:tcPr>
          <w:p w14:paraId="281A5D0B" w14:textId="77777777" w:rsidR="009F5B16" w:rsidRDefault="009F5B16" w:rsidP="00AB44F5">
            <w:pPr>
              <w:jc w:val="center"/>
              <w:rPr>
                <w:sz w:val="20"/>
                <w:szCs w:val="20"/>
              </w:rPr>
            </w:pPr>
            <w:r>
              <w:rPr>
                <w:rFonts w:eastAsia="Times New Roman"/>
                <w:sz w:val="24"/>
                <w:szCs w:val="24"/>
              </w:rPr>
              <w:t>99</w:t>
            </w:r>
          </w:p>
        </w:tc>
        <w:tc>
          <w:tcPr>
            <w:tcW w:w="1077" w:type="dxa"/>
            <w:tcBorders>
              <w:top w:val="single" w:sz="8" w:space="0" w:color="auto"/>
            </w:tcBorders>
            <w:vAlign w:val="center"/>
          </w:tcPr>
          <w:p w14:paraId="281A5D0C" w14:textId="77777777" w:rsidR="009F5B16" w:rsidRDefault="009F5B16" w:rsidP="00AB44F5">
            <w:pPr>
              <w:jc w:val="center"/>
              <w:rPr>
                <w:sz w:val="20"/>
                <w:szCs w:val="20"/>
              </w:rPr>
            </w:pPr>
            <w:r>
              <w:rPr>
                <w:rFonts w:eastAsia="Times New Roman"/>
                <w:w w:val="94"/>
                <w:sz w:val="24"/>
                <w:szCs w:val="24"/>
              </w:rPr>
              <w:t>118</w:t>
            </w:r>
          </w:p>
        </w:tc>
        <w:tc>
          <w:tcPr>
            <w:tcW w:w="1078" w:type="dxa"/>
            <w:tcBorders>
              <w:top w:val="single" w:sz="8" w:space="0" w:color="auto"/>
            </w:tcBorders>
            <w:vAlign w:val="center"/>
          </w:tcPr>
          <w:p w14:paraId="281A5D0D" w14:textId="77777777" w:rsidR="009F5B16" w:rsidRDefault="009F5B16" w:rsidP="00AB44F5">
            <w:pPr>
              <w:jc w:val="center"/>
              <w:rPr>
                <w:sz w:val="20"/>
                <w:szCs w:val="20"/>
              </w:rPr>
            </w:pPr>
            <w:r>
              <w:rPr>
                <w:rFonts w:eastAsia="Times New Roman"/>
                <w:sz w:val="24"/>
                <w:szCs w:val="24"/>
              </w:rPr>
              <w:t>140</w:t>
            </w:r>
          </w:p>
        </w:tc>
      </w:tr>
      <w:tr w:rsidR="009F5B16" w14:paraId="281A5D19" w14:textId="77777777" w:rsidTr="009F5B16">
        <w:trPr>
          <w:trHeight w:val="264"/>
        </w:trPr>
        <w:tc>
          <w:tcPr>
            <w:tcW w:w="1720" w:type="dxa"/>
            <w:vAlign w:val="center"/>
          </w:tcPr>
          <w:p w14:paraId="281A5D11" w14:textId="77777777" w:rsidR="009F5B16" w:rsidRDefault="009F5B16" w:rsidP="00AB44F5">
            <w:pPr>
              <w:jc w:val="center"/>
              <w:rPr>
                <w:sz w:val="20"/>
                <w:szCs w:val="20"/>
              </w:rPr>
            </w:pPr>
            <w:r>
              <w:rPr>
                <w:rFonts w:eastAsia="Times New Roman"/>
                <w:sz w:val="24"/>
                <w:szCs w:val="24"/>
              </w:rPr>
              <w:t>0.6</w:t>
            </w:r>
          </w:p>
        </w:tc>
        <w:tc>
          <w:tcPr>
            <w:tcW w:w="1077" w:type="dxa"/>
            <w:vAlign w:val="center"/>
          </w:tcPr>
          <w:p w14:paraId="281A5D12" w14:textId="77777777" w:rsidR="009F5B16" w:rsidRDefault="009F5B16" w:rsidP="00AB44F5">
            <w:pPr>
              <w:jc w:val="center"/>
              <w:rPr>
                <w:sz w:val="20"/>
                <w:szCs w:val="20"/>
              </w:rPr>
            </w:pPr>
            <w:r>
              <w:rPr>
                <w:rFonts w:eastAsia="Times New Roman"/>
                <w:sz w:val="24"/>
                <w:szCs w:val="24"/>
              </w:rPr>
              <w:t>50</w:t>
            </w:r>
          </w:p>
        </w:tc>
        <w:tc>
          <w:tcPr>
            <w:tcW w:w="1077" w:type="dxa"/>
            <w:vAlign w:val="center"/>
          </w:tcPr>
          <w:p w14:paraId="281A5D13" w14:textId="77777777" w:rsidR="009F5B16" w:rsidRDefault="009F5B16" w:rsidP="00AB44F5">
            <w:pPr>
              <w:jc w:val="center"/>
              <w:rPr>
                <w:sz w:val="20"/>
                <w:szCs w:val="20"/>
              </w:rPr>
            </w:pPr>
            <w:r>
              <w:rPr>
                <w:rFonts w:eastAsia="Times New Roman"/>
                <w:sz w:val="24"/>
                <w:szCs w:val="24"/>
              </w:rPr>
              <w:t>60</w:t>
            </w:r>
          </w:p>
        </w:tc>
        <w:tc>
          <w:tcPr>
            <w:tcW w:w="1077" w:type="dxa"/>
            <w:vAlign w:val="center"/>
          </w:tcPr>
          <w:p w14:paraId="281A5D14" w14:textId="77777777" w:rsidR="009F5B16" w:rsidRDefault="009F5B16" w:rsidP="00AB44F5">
            <w:pPr>
              <w:jc w:val="center"/>
              <w:rPr>
                <w:sz w:val="20"/>
                <w:szCs w:val="20"/>
              </w:rPr>
            </w:pPr>
            <w:r>
              <w:rPr>
                <w:rFonts w:eastAsia="Times New Roman"/>
                <w:sz w:val="24"/>
                <w:szCs w:val="24"/>
              </w:rPr>
              <w:t>72</w:t>
            </w:r>
          </w:p>
        </w:tc>
        <w:tc>
          <w:tcPr>
            <w:tcW w:w="1077" w:type="dxa"/>
            <w:vAlign w:val="center"/>
          </w:tcPr>
          <w:p w14:paraId="281A5D15" w14:textId="77777777" w:rsidR="009F5B16" w:rsidRDefault="009F5B16" w:rsidP="00AB44F5">
            <w:pPr>
              <w:jc w:val="center"/>
              <w:rPr>
                <w:sz w:val="20"/>
                <w:szCs w:val="20"/>
              </w:rPr>
            </w:pPr>
            <w:r>
              <w:rPr>
                <w:rFonts w:eastAsia="Times New Roman"/>
                <w:sz w:val="24"/>
                <w:szCs w:val="24"/>
              </w:rPr>
              <w:t>86</w:t>
            </w:r>
          </w:p>
        </w:tc>
        <w:tc>
          <w:tcPr>
            <w:tcW w:w="1077" w:type="dxa"/>
            <w:vAlign w:val="center"/>
          </w:tcPr>
          <w:p w14:paraId="281A5D16" w14:textId="77777777" w:rsidR="009F5B16" w:rsidRDefault="009F5B16" w:rsidP="00AB44F5">
            <w:pPr>
              <w:jc w:val="center"/>
              <w:rPr>
                <w:sz w:val="20"/>
                <w:szCs w:val="20"/>
              </w:rPr>
            </w:pPr>
            <w:r>
              <w:rPr>
                <w:rFonts w:eastAsia="Times New Roman"/>
                <w:sz w:val="24"/>
                <w:szCs w:val="24"/>
              </w:rPr>
              <w:t>102</w:t>
            </w:r>
          </w:p>
        </w:tc>
        <w:tc>
          <w:tcPr>
            <w:tcW w:w="1077" w:type="dxa"/>
            <w:vAlign w:val="center"/>
          </w:tcPr>
          <w:p w14:paraId="281A5D17" w14:textId="77777777" w:rsidR="009F5B16" w:rsidRDefault="009F5B16" w:rsidP="00AB44F5">
            <w:pPr>
              <w:jc w:val="center"/>
              <w:rPr>
                <w:sz w:val="20"/>
                <w:szCs w:val="20"/>
              </w:rPr>
            </w:pPr>
            <w:r>
              <w:rPr>
                <w:rFonts w:eastAsia="Times New Roman"/>
                <w:w w:val="94"/>
                <w:sz w:val="24"/>
                <w:szCs w:val="24"/>
              </w:rPr>
              <w:t>122</w:t>
            </w:r>
          </w:p>
        </w:tc>
        <w:tc>
          <w:tcPr>
            <w:tcW w:w="1078" w:type="dxa"/>
            <w:vAlign w:val="center"/>
          </w:tcPr>
          <w:p w14:paraId="281A5D18" w14:textId="77777777" w:rsidR="009F5B16" w:rsidRDefault="009F5B16" w:rsidP="00AB44F5">
            <w:pPr>
              <w:jc w:val="center"/>
              <w:rPr>
                <w:sz w:val="20"/>
                <w:szCs w:val="20"/>
              </w:rPr>
            </w:pPr>
            <w:r>
              <w:rPr>
                <w:rFonts w:eastAsia="Times New Roman"/>
                <w:sz w:val="24"/>
                <w:szCs w:val="24"/>
              </w:rPr>
              <w:t>146</w:t>
            </w:r>
          </w:p>
        </w:tc>
      </w:tr>
      <w:tr w:rsidR="009F5B16" w14:paraId="281A5D24" w14:textId="77777777" w:rsidTr="009F5B16">
        <w:trPr>
          <w:trHeight w:val="278"/>
        </w:trPr>
        <w:tc>
          <w:tcPr>
            <w:tcW w:w="1720" w:type="dxa"/>
            <w:vAlign w:val="center"/>
          </w:tcPr>
          <w:p w14:paraId="281A5D1C" w14:textId="77777777" w:rsidR="009F5B16" w:rsidRDefault="009F5B16" w:rsidP="00AB44F5">
            <w:pPr>
              <w:jc w:val="center"/>
              <w:rPr>
                <w:sz w:val="20"/>
                <w:szCs w:val="20"/>
              </w:rPr>
            </w:pPr>
            <w:r>
              <w:rPr>
                <w:rFonts w:eastAsia="Times New Roman"/>
                <w:sz w:val="24"/>
                <w:szCs w:val="24"/>
              </w:rPr>
              <w:t>0.8</w:t>
            </w:r>
          </w:p>
        </w:tc>
        <w:tc>
          <w:tcPr>
            <w:tcW w:w="1077" w:type="dxa"/>
            <w:vAlign w:val="center"/>
          </w:tcPr>
          <w:p w14:paraId="281A5D1D" w14:textId="77777777" w:rsidR="009F5B16" w:rsidRDefault="009F5B16" w:rsidP="00AB44F5">
            <w:pPr>
              <w:jc w:val="center"/>
              <w:rPr>
                <w:sz w:val="20"/>
                <w:szCs w:val="20"/>
              </w:rPr>
            </w:pPr>
            <w:r>
              <w:rPr>
                <w:rFonts w:eastAsia="Times New Roman"/>
                <w:sz w:val="24"/>
                <w:szCs w:val="24"/>
              </w:rPr>
              <w:t>52</w:t>
            </w:r>
          </w:p>
        </w:tc>
        <w:tc>
          <w:tcPr>
            <w:tcW w:w="1077" w:type="dxa"/>
            <w:vAlign w:val="center"/>
          </w:tcPr>
          <w:p w14:paraId="281A5D1E" w14:textId="77777777" w:rsidR="009F5B16" w:rsidRDefault="009F5B16" w:rsidP="00AB44F5">
            <w:pPr>
              <w:jc w:val="center"/>
              <w:rPr>
                <w:sz w:val="20"/>
                <w:szCs w:val="20"/>
              </w:rPr>
            </w:pPr>
            <w:r>
              <w:rPr>
                <w:rFonts w:eastAsia="Times New Roman"/>
                <w:sz w:val="24"/>
                <w:szCs w:val="24"/>
              </w:rPr>
              <w:t>61</w:t>
            </w:r>
          </w:p>
        </w:tc>
        <w:tc>
          <w:tcPr>
            <w:tcW w:w="1077" w:type="dxa"/>
            <w:vAlign w:val="center"/>
          </w:tcPr>
          <w:p w14:paraId="281A5D1F" w14:textId="77777777" w:rsidR="009F5B16" w:rsidRDefault="009F5B16" w:rsidP="00AB44F5">
            <w:pPr>
              <w:jc w:val="center"/>
              <w:rPr>
                <w:sz w:val="20"/>
                <w:szCs w:val="20"/>
              </w:rPr>
            </w:pPr>
            <w:r>
              <w:rPr>
                <w:rFonts w:eastAsia="Times New Roman"/>
                <w:sz w:val="24"/>
                <w:szCs w:val="24"/>
              </w:rPr>
              <w:t>73</w:t>
            </w:r>
          </w:p>
        </w:tc>
        <w:tc>
          <w:tcPr>
            <w:tcW w:w="1077" w:type="dxa"/>
            <w:vAlign w:val="center"/>
          </w:tcPr>
          <w:p w14:paraId="281A5D20" w14:textId="77777777" w:rsidR="009F5B16" w:rsidRDefault="009F5B16" w:rsidP="00AB44F5">
            <w:pPr>
              <w:jc w:val="center"/>
              <w:rPr>
                <w:sz w:val="20"/>
                <w:szCs w:val="20"/>
              </w:rPr>
            </w:pPr>
            <w:r>
              <w:rPr>
                <w:rFonts w:eastAsia="Times New Roman"/>
                <w:sz w:val="24"/>
                <w:szCs w:val="24"/>
              </w:rPr>
              <w:t>88</w:t>
            </w:r>
          </w:p>
        </w:tc>
        <w:tc>
          <w:tcPr>
            <w:tcW w:w="1077" w:type="dxa"/>
            <w:vAlign w:val="center"/>
          </w:tcPr>
          <w:p w14:paraId="281A5D21" w14:textId="77777777" w:rsidR="009F5B16" w:rsidRDefault="009F5B16" w:rsidP="00AB44F5">
            <w:pPr>
              <w:jc w:val="center"/>
              <w:rPr>
                <w:sz w:val="20"/>
                <w:szCs w:val="20"/>
              </w:rPr>
            </w:pPr>
            <w:r>
              <w:rPr>
                <w:rFonts w:eastAsia="Times New Roman"/>
                <w:sz w:val="24"/>
                <w:szCs w:val="24"/>
              </w:rPr>
              <w:t>105</w:t>
            </w:r>
          </w:p>
        </w:tc>
        <w:tc>
          <w:tcPr>
            <w:tcW w:w="1077" w:type="dxa"/>
            <w:vAlign w:val="center"/>
          </w:tcPr>
          <w:p w14:paraId="281A5D22" w14:textId="77777777" w:rsidR="009F5B16" w:rsidRDefault="009F5B16" w:rsidP="00AB44F5">
            <w:pPr>
              <w:jc w:val="center"/>
              <w:rPr>
                <w:sz w:val="20"/>
                <w:szCs w:val="20"/>
              </w:rPr>
            </w:pPr>
            <w:r>
              <w:rPr>
                <w:rFonts w:eastAsia="Times New Roman"/>
                <w:w w:val="94"/>
                <w:sz w:val="24"/>
                <w:szCs w:val="24"/>
              </w:rPr>
              <w:t>126</w:t>
            </w:r>
          </w:p>
        </w:tc>
        <w:tc>
          <w:tcPr>
            <w:tcW w:w="1078" w:type="dxa"/>
            <w:vAlign w:val="center"/>
          </w:tcPr>
          <w:p w14:paraId="281A5D23" w14:textId="77777777" w:rsidR="009F5B16" w:rsidRDefault="009F5B16" w:rsidP="00AB44F5">
            <w:pPr>
              <w:jc w:val="center"/>
              <w:rPr>
                <w:sz w:val="20"/>
                <w:szCs w:val="20"/>
              </w:rPr>
            </w:pPr>
            <w:r>
              <w:rPr>
                <w:rFonts w:eastAsia="Times New Roman"/>
                <w:sz w:val="24"/>
                <w:szCs w:val="24"/>
              </w:rPr>
              <w:t>151</w:t>
            </w:r>
          </w:p>
        </w:tc>
      </w:tr>
      <w:tr w:rsidR="009F5B16" w14:paraId="281A5D2F" w14:textId="77777777" w:rsidTr="009F5B16">
        <w:trPr>
          <w:trHeight w:val="281"/>
        </w:trPr>
        <w:tc>
          <w:tcPr>
            <w:tcW w:w="1720" w:type="dxa"/>
            <w:vAlign w:val="center"/>
          </w:tcPr>
          <w:p w14:paraId="281A5D27" w14:textId="77777777" w:rsidR="009F5B16" w:rsidRDefault="009F5B16" w:rsidP="00AB44F5">
            <w:pPr>
              <w:jc w:val="center"/>
              <w:rPr>
                <w:sz w:val="20"/>
                <w:szCs w:val="20"/>
              </w:rPr>
            </w:pPr>
            <w:r>
              <w:rPr>
                <w:rFonts w:eastAsia="Times New Roman"/>
                <w:sz w:val="24"/>
                <w:szCs w:val="24"/>
              </w:rPr>
              <w:t>1.0</w:t>
            </w:r>
          </w:p>
        </w:tc>
        <w:tc>
          <w:tcPr>
            <w:tcW w:w="1077" w:type="dxa"/>
            <w:vAlign w:val="center"/>
          </w:tcPr>
          <w:p w14:paraId="281A5D28" w14:textId="77777777" w:rsidR="009F5B16" w:rsidRDefault="009F5B16" w:rsidP="00AB44F5">
            <w:pPr>
              <w:jc w:val="center"/>
              <w:rPr>
                <w:sz w:val="20"/>
                <w:szCs w:val="20"/>
              </w:rPr>
            </w:pPr>
            <w:r>
              <w:rPr>
                <w:rFonts w:eastAsia="Times New Roman"/>
                <w:sz w:val="24"/>
                <w:szCs w:val="24"/>
              </w:rPr>
              <w:t>53</w:t>
            </w:r>
          </w:p>
        </w:tc>
        <w:tc>
          <w:tcPr>
            <w:tcW w:w="1077" w:type="dxa"/>
            <w:vAlign w:val="center"/>
          </w:tcPr>
          <w:p w14:paraId="281A5D29" w14:textId="77777777" w:rsidR="009F5B16" w:rsidRDefault="009F5B16" w:rsidP="00AB44F5">
            <w:pPr>
              <w:jc w:val="center"/>
              <w:rPr>
                <w:sz w:val="20"/>
                <w:szCs w:val="20"/>
              </w:rPr>
            </w:pPr>
            <w:r>
              <w:rPr>
                <w:rFonts w:eastAsia="Times New Roman"/>
                <w:sz w:val="24"/>
                <w:szCs w:val="24"/>
              </w:rPr>
              <w:t>63</w:t>
            </w:r>
          </w:p>
        </w:tc>
        <w:tc>
          <w:tcPr>
            <w:tcW w:w="1077" w:type="dxa"/>
            <w:vAlign w:val="center"/>
          </w:tcPr>
          <w:p w14:paraId="281A5D2A" w14:textId="77777777" w:rsidR="009F5B16" w:rsidRDefault="009F5B16" w:rsidP="00AB44F5">
            <w:pPr>
              <w:jc w:val="center"/>
              <w:rPr>
                <w:sz w:val="20"/>
                <w:szCs w:val="20"/>
              </w:rPr>
            </w:pPr>
            <w:r>
              <w:rPr>
                <w:rFonts w:eastAsia="Times New Roman"/>
                <w:sz w:val="24"/>
                <w:szCs w:val="24"/>
              </w:rPr>
              <w:t>75</w:t>
            </w:r>
          </w:p>
        </w:tc>
        <w:tc>
          <w:tcPr>
            <w:tcW w:w="1077" w:type="dxa"/>
            <w:vAlign w:val="center"/>
          </w:tcPr>
          <w:p w14:paraId="281A5D2B" w14:textId="77777777" w:rsidR="009F5B16" w:rsidRDefault="009F5B16" w:rsidP="00AB44F5">
            <w:pPr>
              <w:jc w:val="center"/>
              <w:rPr>
                <w:sz w:val="20"/>
                <w:szCs w:val="20"/>
              </w:rPr>
            </w:pPr>
            <w:r>
              <w:rPr>
                <w:rFonts w:eastAsia="Times New Roman"/>
                <w:sz w:val="24"/>
                <w:szCs w:val="24"/>
              </w:rPr>
              <w:t>90</w:t>
            </w:r>
          </w:p>
        </w:tc>
        <w:tc>
          <w:tcPr>
            <w:tcW w:w="1077" w:type="dxa"/>
            <w:vAlign w:val="center"/>
          </w:tcPr>
          <w:p w14:paraId="281A5D2C" w14:textId="77777777" w:rsidR="009F5B16" w:rsidRDefault="009F5B16" w:rsidP="00AB44F5">
            <w:pPr>
              <w:jc w:val="center"/>
              <w:rPr>
                <w:sz w:val="20"/>
                <w:szCs w:val="20"/>
              </w:rPr>
            </w:pPr>
            <w:r>
              <w:rPr>
                <w:rFonts w:eastAsia="Times New Roman"/>
                <w:sz w:val="24"/>
                <w:szCs w:val="24"/>
              </w:rPr>
              <w:t>108</w:t>
            </w:r>
          </w:p>
        </w:tc>
        <w:tc>
          <w:tcPr>
            <w:tcW w:w="1077" w:type="dxa"/>
            <w:vAlign w:val="center"/>
          </w:tcPr>
          <w:p w14:paraId="281A5D2D" w14:textId="77777777" w:rsidR="009F5B16" w:rsidRDefault="009F5B16" w:rsidP="00AB44F5">
            <w:pPr>
              <w:jc w:val="center"/>
              <w:rPr>
                <w:sz w:val="20"/>
                <w:szCs w:val="20"/>
              </w:rPr>
            </w:pPr>
            <w:r>
              <w:rPr>
                <w:rFonts w:eastAsia="Times New Roman"/>
                <w:w w:val="94"/>
                <w:sz w:val="24"/>
                <w:szCs w:val="24"/>
              </w:rPr>
              <w:t>130</w:t>
            </w:r>
          </w:p>
        </w:tc>
        <w:tc>
          <w:tcPr>
            <w:tcW w:w="1078" w:type="dxa"/>
            <w:vAlign w:val="center"/>
          </w:tcPr>
          <w:p w14:paraId="281A5D2E" w14:textId="77777777" w:rsidR="009F5B16" w:rsidRDefault="009F5B16" w:rsidP="00AB44F5">
            <w:pPr>
              <w:jc w:val="center"/>
              <w:rPr>
                <w:sz w:val="20"/>
                <w:szCs w:val="20"/>
              </w:rPr>
            </w:pPr>
            <w:r>
              <w:rPr>
                <w:rFonts w:eastAsia="Times New Roman"/>
                <w:sz w:val="24"/>
                <w:szCs w:val="24"/>
              </w:rPr>
              <w:t>156</w:t>
            </w:r>
          </w:p>
        </w:tc>
      </w:tr>
      <w:tr w:rsidR="009F5B16" w14:paraId="281A5D3A" w14:textId="77777777" w:rsidTr="009F5B16">
        <w:trPr>
          <w:trHeight w:val="278"/>
        </w:trPr>
        <w:tc>
          <w:tcPr>
            <w:tcW w:w="1720" w:type="dxa"/>
            <w:vAlign w:val="center"/>
          </w:tcPr>
          <w:p w14:paraId="281A5D32" w14:textId="77777777" w:rsidR="009F5B16" w:rsidRDefault="009F5B16" w:rsidP="00AB44F5">
            <w:pPr>
              <w:jc w:val="center"/>
              <w:rPr>
                <w:sz w:val="20"/>
                <w:szCs w:val="20"/>
              </w:rPr>
            </w:pPr>
            <w:r>
              <w:rPr>
                <w:rFonts w:eastAsia="Times New Roman"/>
                <w:sz w:val="24"/>
                <w:szCs w:val="24"/>
              </w:rPr>
              <w:t>1.2</w:t>
            </w:r>
          </w:p>
        </w:tc>
        <w:tc>
          <w:tcPr>
            <w:tcW w:w="1077" w:type="dxa"/>
            <w:vAlign w:val="center"/>
          </w:tcPr>
          <w:p w14:paraId="281A5D33" w14:textId="77777777" w:rsidR="009F5B16" w:rsidRDefault="009F5B16" w:rsidP="00AB44F5">
            <w:pPr>
              <w:jc w:val="center"/>
              <w:rPr>
                <w:sz w:val="20"/>
                <w:szCs w:val="20"/>
              </w:rPr>
            </w:pPr>
            <w:r>
              <w:rPr>
                <w:rFonts w:eastAsia="Times New Roman"/>
                <w:sz w:val="24"/>
                <w:szCs w:val="24"/>
              </w:rPr>
              <w:t>54</w:t>
            </w:r>
          </w:p>
        </w:tc>
        <w:tc>
          <w:tcPr>
            <w:tcW w:w="1077" w:type="dxa"/>
            <w:vAlign w:val="center"/>
          </w:tcPr>
          <w:p w14:paraId="281A5D34" w14:textId="77777777" w:rsidR="009F5B16" w:rsidRDefault="009F5B16" w:rsidP="00AB44F5">
            <w:pPr>
              <w:jc w:val="center"/>
              <w:rPr>
                <w:sz w:val="20"/>
                <w:szCs w:val="20"/>
              </w:rPr>
            </w:pPr>
            <w:r>
              <w:rPr>
                <w:rFonts w:eastAsia="Times New Roman"/>
                <w:sz w:val="24"/>
                <w:szCs w:val="24"/>
              </w:rPr>
              <w:t>64</w:t>
            </w:r>
          </w:p>
        </w:tc>
        <w:tc>
          <w:tcPr>
            <w:tcW w:w="1077" w:type="dxa"/>
            <w:vAlign w:val="center"/>
          </w:tcPr>
          <w:p w14:paraId="281A5D35" w14:textId="77777777" w:rsidR="009F5B16" w:rsidRDefault="009F5B16" w:rsidP="00AB44F5">
            <w:pPr>
              <w:jc w:val="center"/>
              <w:rPr>
                <w:sz w:val="20"/>
                <w:szCs w:val="20"/>
              </w:rPr>
            </w:pPr>
            <w:r>
              <w:rPr>
                <w:rFonts w:eastAsia="Times New Roman"/>
                <w:sz w:val="24"/>
                <w:szCs w:val="24"/>
              </w:rPr>
              <w:t>76</w:t>
            </w:r>
          </w:p>
        </w:tc>
        <w:tc>
          <w:tcPr>
            <w:tcW w:w="1077" w:type="dxa"/>
            <w:vAlign w:val="center"/>
          </w:tcPr>
          <w:p w14:paraId="281A5D36" w14:textId="77777777" w:rsidR="009F5B16" w:rsidRDefault="009F5B16" w:rsidP="00AB44F5">
            <w:pPr>
              <w:jc w:val="center"/>
              <w:rPr>
                <w:sz w:val="20"/>
                <w:szCs w:val="20"/>
              </w:rPr>
            </w:pPr>
            <w:r>
              <w:rPr>
                <w:rFonts w:eastAsia="Times New Roman"/>
                <w:sz w:val="24"/>
                <w:szCs w:val="24"/>
              </w:rPr>
              <w:t>92</w:t>
            </w:r>
          </w:p>
        </w:tc>
        <w:tc>
          <w:tcPr>
            <w:tcW w:w="1077" w:type="dxa"/>
            <w:vAlign w:val="center"/>
          </w:tcPr>
          <w:p w14:paraId="281A5D37" w14:textId="77777777" w:rsidR="009F5B16" w:rsidRDefault="009F5B16" w:rsidP="00AB44F5">
            <w:pPr>
              <w:jc w:val="center"/>
              <w:rPr>
                <w:sz w:val="20"/>
                <w:szCs w:val="20"/>
              </w:rPr>
            </w:pPr>
            <w:r>
              <w:rPr>
                <w:rFonts w:eastAsia="Times New Roman"/>
                <w:sz w:val="24"/>
                <w:szCs w:val="24"/>
              </w:rPr>
              <w:t>111</w:t>
            </w:r>
          </w:p>
        </w:tc>
        <w:tc>
          <w:tcPr>
            <w:tcW w:w="1077" w:type="dxa"/>
            <w:vAlign w:val="center"/>
          </w:tcPr>
          <w:p w14:paraId="281A5D38" w14:textId="77777777" w:rsidR="009F5B16" w:rsidRDefault="009F5B16" w:rsidP="00AB44F5">
            <w:pPr>
              <w:jc w:val="center"/>
              <w:rPr>
                <w:sz w:val="20"/>
                <w:szCs w:val="20"/>
              </w:rPr>
            </w:pPr>
            <w:r>
              <w:rPr>
                <w:rFonts w:eastAsia="Times New Roman"/>
                <w:w w:val="94"/>
                <w:sz w:val="24"/>
                <w:szCs w:val="24"/>
              </w:rPr>
              <w:t>134</w:t>
            </w:r>
          </w:p>
        </w:tc>
        <w:tc>
          <w:tcPr>
            <w:tcW w:w="1078" w:type="dxa"/>
            <w:vAlign w:val="center"/>
          </w:tcPr>
          <w:p w14:paraId="281A5D39" w14:textId="77777777" w:rsidR="009F5B16" w:rsidRDefault="009F5B16" w:rsidP="00AB44F5">
            <w:pPr>
              <w:jc w:val="center"/>
              <w:rPr>
                <w:sz w:val="20"/>
                <w:szCs w:val="20"/>
              </w:rPr>
            </w:pPr>
            <w:r>
              <w:rPr>
                <w:rFonts w:eastAsia="Times New Roman"/>
                <w:sz w:val="24"/>
                <w:szCs w:val="24"/>
              </w:rPr>
              <w:t>160</w:t>
            </w:r>
          </w:p>
        </w:tc>
      </w:tr>
      <w:tr w:rsidR="009F5B16" w14:paraId="281A5D45" w14:textId="77777777" w:rsidTr="009F5B16">
        <w:trPr>
          <w:trHeight w:val="281"/>
        </w:trPr>
        <w:tc>
          <w:tcPr>
            <w:tcW w:w="1720" w:type="dxa"/>
            <w:vAlign w:val="center"/>
          </w:tcPr>
          <w:p w14:paraId="281A5D3D" w14:textId="77777777" w:rsidR="009F5B16" w:rsidRDefault="009F5B16" w:rsidP="00AB44F5">
            <w:pPr>
              <w:jc w:val="center"/>
              <w:rPr>
                <w:sz w:val="20"/>
                <w:szCs w:val="20"/>
              </w:rPr>
            </w:pPr>
            <w:r>
              <w:rPr>
                <w:rFonts w:eastAsia="Times New Roman"/>
                <w:sz w:val="24"/>
                <w:szCs w:val="24"/>
              </w:rPr>
              <w:t>1.4</w:t>
            </w:r>
          </w:p>
        </w:tc>
        <w:tc>
          <w:tcPr>
            <w:tcW w:w="1077" w:type="dxa"/>
            <w:vAlign w:val="center"/>
          </w:tcPr>
          <w:p w14:paraId="281A5D3E" w14:textId="77777777" w:rsidR="009F5B16" w:rsidRDefault="009F5B16" w:rsidP="00AB44F5">
            <w:pPr>
              <w:jc w:val="center"/>
              <w:rPr>
                <w:sz w:val="20"/>
                <w:szCs w:val="20"/>
              </w:rPr>
            </w:pPr>
            <w:r>
              <w:rPr>
                <w:rFonts w:eastAsia="Times New Roman"/>
                <w:sz w:val="24"/>
                <w:szCs w:val="24"/>
              </w:rPr>
              <w:t>55</w:t>
            </w:r>
          </w:p>
        </w:tc>
        <w:tc>
          <w:tcPr>
            <w:tcW w:w="1077" w:type="dxa"/>
            <w:vAlign w:val="center"/>
          </w:tcPr>
          <w:p w14:paraId="281A5D3F" w14:textId="77777777" w:rsidR="009F5B16" w:rsidRDefault="009F5B16" w:rsidP="00AB44F5">
            <w:pPr>
              <w:jc w:val="center"/>
              <w:rPr>
                <w:sz w:val="20"/>
                <w:szCs w:val="20"/>
              </w:rPr>
            </w:pPr>
            <w:r>
              <w:rPr>
                <w:rFonts w:eastAsia="Times New Roman"/>
                <w:sz w:val="24"/>
                <w:szCs w:val="24"/>
              </w:rPr>
              <w:t>65</w:t>
            </w:r>
          </w:p>
        </w:tc>
        <w:tc>
          <w:tcPr>
            <w:tcW w:w="1077" w:type="dxa"/>
            <w:vAlign w:val="center"/>
          </w:tcPr>
          <w:p w14:paraId="281A5D40" w14:textId="77777777" w:rsidR="009F5B16" w:rsidRDefault="009F5B16" w:rsidP="00AB44F5">
            <w:pPr>
              <w:jc w:val="center"/>
              <w:rPr>
                <w:sz w:val="20"/>
                <w:szCs w:val="20"/>
              </w:rPr>
            </w:pPr>
            <w:r>
              <w:rPr>
                <w:rFonts w:eastAsia="Times New Roman"/>
                <w:sz w:val="24"/>
                <w:szCs w:val="24"/>
              </w:rPr>
              <w:t>78</w:t>
            </w:r>
          </w:p>
        </w:tc>
        <w:tc>
          <w:tcPr>
            <w:tcW w:w="1077" w:type="dxa"/>
            <w:vAlign w:val="center"/>
          </w:tcPr>
          <w:p w14:paraId="281A5D41" w14:textId="77777777" w:rsidR="009F5B16" w:rsidRDefault="009F5B16" w:rsidP="00AB44F5">
            <w:pPr>
              <w:jc w:val="center"/>
              <w:rPr>
                <w:sz w:val="20"/>
                <w:szCs w:val="20"/>
              </w:rPr>
            </w:pPr>
            <w:r>
              <w:rPr>
                <w:rFonts w:eastAsia="Times New Roman"/>
                <w:sz w:val="24"/>
                <w:szCs w:val="24"/>
              </w:rPr>
              <w:t>94</w:t>
            </w:r>
          </w:p>
        </w:tc>
        <w:tc>
          <w:tcPr>
            <w:tcW w:w="1077" w:type="dxa"/>
            <w:vAlign w:val="center"/>
          </w:tcPr>
          <w:p w14:paraId="281A5D42" w14:textId="77777777" w:rsidR="009F5B16" w:rsidRDefault="009F5B16" w:rsidP="00AB44F5">
            <w:pPr>
              <w:jc w:val="center"/>
              <w:rPr>
                <w:sz w:val="20"/>
                <w:szCs w:val="20"/>
              </w:rPr>
            </w:pPr>
            <w:r>
              <w:rPr>
                <w:rFonts w:eastAsia="Times New Roman"/>
                <w:sz w:val="24"/>
                <w:szCs w:val="24"/>
              </w:rPr>
              <w:t>114</w:t>
            </w:r>
          </w:p>
        </w:tc>
        <w:tc>
          <w:tcPr>
            <w:tcW w:w="1077" w:type="dxa"/>
            <w:vAlign w:val="center"/>
          </w:tcPr>
          <w:p w14:paraId="281A5D43" w14:textId="77777777" w:rsidR="009F5B16" w:rsidRDefault="009F5B16" w:rsidP="00AB44F5">
            <w:pPr>
              <w:jc w:val="center"/>
              <w:rPr>
                <w:sz w:val="20"/>
                <w:szCs w:val="20"/>
              </w:rPr>
            </w:pPr>
            <w:r>
              <w:rPr>
                <w:rFonts w:eastAsia="Times New Roman"/>
                <w:w w:val="94"/>
                <w:sz w:val="24"/>
                <w:szCs w:val="24"/>
              </w:rPr>
              <w:t>137</w:t>
            </w:r>
          </w:p>
        </w:tc>
        <w:tc>
          <w:tcPr>
            <w:tcW w:w="1078" w:type="dxa"/>
            <w:vAlign w:val="center"/>
          </w:tcPr>
          <w:p w14:paraId="281A5D44" w14:textId="77777777" w:rsidR="009F5B16" w:rsidRDefault="009F5B16" w:rsidP="00AB44F5">
            <w:pPr>
              <w:jc w:val="center"/>
              <w:rPr>
                <w:sz w:val="20"/>
                <w:szCs w:val="20"/>
              </w:rPr>
            </w:pPr>
            <w:r>
              <w:rPr>
                <w:rFonts w:eastAsia="Times New Roman"/>
                <w:sz w:val="24"/>
                <w:szCs w:val="24"/>
              </w:rPr>
              <w:t>165</w:t>
            </w:r>
          </w:p>
        </w:tc>
      </w:tr>
      <w:tr w:rsidR="009F5B16" w14:paraId="281A5D50" w14:textId="77777777" w:rsidTr="009F5B16">
        <w:trPr>
          <w:trHeight w:val="278"/>
        </w:trPr>
        <w:tc>
          <w:tcPr>
            <w:tcW w:w="1720" w:type="dxa"/>
            <w:vAlign w:val="center"/>
          </w:tcPr>
          <w:p w14:paraId="281A5D48" w14:textId="77777777" w:rsidR="009F5B16" w:rsidRDefault="009F5B16" w:rsidP="00AB44F5">
            <w:pPr>
              <w:jc w:val="center"/>
              <w:rPr>
                <w:sz w:val="20"/>
                <w:szCs w:val="20"/>
              </w:rPr>
            </w:pPr>
            <w:r>
              <w:rPr>
                <w:rFonts w:eastAsia="Times New Roman"/>
                <w:sz w:val="24"/>
                <w:szCs w:val="24"/>
              </w:rPr>
              <w:t>1.6</w:t>
            </w:r>
          </w:p>
        </w:tc>
        <w:tc>
          <w:tcPr>
            <w:tcW w:w="1077" w:type="dxa"/>
            <w:vAlign w:val="center"/>
          </w:tcPr>
          <w:p w14:paraId="281A5D49" w14:textId="77777777" w:rsidR="009F5B16" w:rsidRDefault="009F5B16" w:rsidP="00AB44F5">
            <w:pPr>
              <w:jc w:val="center"/>
              <w:rPr>
                <w:sz w:val="20"/>
                <w:szCs w:val="20"/>
              </w:rPr>
            </w:pPr>
            <w:r>
              <w:rPr>
                <w:rFonts w:eastAsia="Times New Roman"/>
                <w:sz w:val="24"/>
                <w:szCs w:val="24"/>
              </w:rPr>
              <w:t>56</w:t>
            </w:r>
          </w:p>
        </w:tc>
        <w:tc>
          <w:tcPr>
            <w:tcW w:w="1077" w:type="dxa"/>
            <w:vAlign w:val="center"/>
          </w:tcPr>
          <w:p w14:paraId="281A5D4A" w14:textId="77777777" w:rsidR="009F5B16" w:rsidRDefault="009F5B16" w:rsidP="00AB44F5">
            <w:pPr>
              <w:jc w:val="center"/>
              <w:rPr>
                <w:sz w:val="20"/>
                <w:szCs w:val="20"/>
              </w:rPr>
            </w:pPr>
            <w:r>
              <w:rPr>
                <w:rFonts w:eastAsia="Times New Roman"/>
                <w:sz w:val="24"/>
                <w:szCs w:val="24"/>
              </w:rPr>
              <w:t>66</w:t>
            </w:r>
          </w:p>
        </w:tc>
        <w:tc>
          <w:tcPr>
            <w:tcW w:w="1077" w:type="dxa"/>
            <w:vAlign w:val="center"/>
          </w:tcPr>
          <w:p w14:paraId="281A5D4B" w14:textId="77777777" w:rsidR="009F5B16" w:rsidRDefault="009F5B16" w:rsidP="00AB44F5">
            <w:pPr>
              <w:jc w:val="center"/>
              <w:rPr>
                <w:sz w:val="20"/>
                <w:szCs w:val="20"/>
              </w:rPr>
            </w:pPr>
            <w:r>
              <w:rPr>
                <w:rFonts w:eastAsia="Times New Roman"/>
                <w:sz w:val="24"/>
                <w:szCs w:val="24"/>
              </w:rPr>
              <w:t>79</w:t>
            </w:r>
          </w:p>
        </w:tc>
        <w:tc>
          <w:tcPr>
            <w:tcW w:w="1077" w:type="dxa"/>
            <w:vAlign w:val="center"/>
          </w:tcPr>
          <w:p w14:paraId="281A5D4C" w14:textId="77777777" w:rsidR="009F5B16" w:rsidRDefault="009F5B16" w:rsidP="00AB44F5">
            <w:pPr>
              <w:jc w:val="center"/>
              <w:rPr>
                <w:sz w:val="20"/>
                <w:szCs w:val="20"/>
              </w:rPr>
            </w:pPr>
            <w:r>
              <w:rPr>
                <w:rFonts w:eastAsia="Times New Roman"/>
                <w:sz w:val="24"/>
                <w:szCs w:val="24"/>
              </w:rPr>
              <w:t>96</w:t>
            </w:r>
          </w:p>
        </w:tc>
        <w:tc>
          <w:tcPr>
            <w:tcW w:w="1077" w:type="dxa"/>
            <w:vAlign w:val="center"/>
          </w:tcPr>
          <w:p w14:paraId="281A5D4D" w14:textId="77777777" w:rsidR="009F5B16" w:rsidRDefault="009F5B16" w:rsidP="00AB44F5">
            <w:pPr>
              <w:jc w:val="center"/>
              <w:rPr>
                <w:sz w:val="20"/>
                <w:szCs w:val="20"/>
              </w:rPr>
            </w:pPr>
            <w:r>
              <w:rPr>
                <w:rFonts w:eastAsia="Times New Roman"/>
                <w:sz w:val="24"/>
                <w:szCs w:val="24"/>
              </w:rPr>
              <w:t>116</w:t>
            </w:r>
          </w:p>
        </w:tc>
        <w:tc>
          <w:tcPr>
            <w:tcW w:w="1077" w:type="dxa"/>
            <w:vAlign w:val="center"/>
          </w:tcPr>
          <w:p w14:paraId="281A5D4E" w14:textId="77777777" w:rsidR="009F5B16" w:rsidRDefault="009F5B16" w:rsidP="00AB44F5">
            <w:pPr>
              <w:jc w:val="center"/>
              <w:rPr>
                <w:sz w:val="20"/>
                <w:szCs w:val="20"/>
              </w:rPr>
            </w:pPr>
            <w:r>
              <w:rPr>
                <w:rFonts w:eastAsia="Times New Roman"/>
                <w:w w:val="94"/>
                <w:sz w:val="24"/>
                <w:szCs w:val="24"/>
              </w:rPr>
              <w:t>141</w:t>
            </w:r>
          </w:p>
        </w:tc>
        <w:tc>
          <w:tcPr>
            <w:tcW w:w="1078" w:type="dxa"/>
            <w:vAlign w:val="center"/>
          </w:tcPr>
          <w:p w14:paraId="281A5D4F" w14:textId="77777777" w:rsidR="009F5B16" w:rsidRDefault="009F5B16" w:rsidP="00AB44F5">
            <w:pPr>
              <w:jc w:val="center"/>
              <w:rPr>
                <w:sz w:val="20"/>
                <w:szCs w:val="20"/>
              </w:rPr>
            </w:pPr>
            <w:r>
              <w:rPr>
                <w:rFonts w:eastAsia="Times New Roman"/>
                <w:sz w:val="24"/>
                <w:szCs w:val="24"/>
              </w:rPr>
              <w:t>169</w:t>
            </w:r>
          </w:p>
        </w:tc>
      </w:tr>
      <w:tr w:rsidR="009F5B16" w14:paraId="281A5D5B" w14:textId="77777777" w:rsidTr="009F5B16">
        <w:trPr>
          <w:trHeight w:val="281"/>
        </w:trPr>
        <w:tc>
          <w:tcPr>
            <w:tcW w:w="1720" w:type="dxa"/>
            <w:vAlign w:val="center"/>
          </w:tcPr>
          <w:p w14:paraId="281A5D53" w14:textId="77777777" w:rsidR="009F5B16" w:rsidRDefault="009F5B16" w:rsidP="00AB44F5">
            <w:pPr>
              <w:jc w:val="center"/>
              <w:rPr>
                <w:sz w:val="20"/>
                <w:szCs w:val="20"/>
              </w:rPr>
            </w:pPr>
            <w:r>
              <w:rPr>
                <w:rFonts w:eastAsia="Times New Roman"/>
                <w:sz w:val="24"/>
                <w:szCs w:val="24"/>
              </w:rPr>
              <w:t>1.8</w:t>
            </w:r>
          </w:p>
        </w:tc>
        <w:tc>
          <w:tcPr>
            <w:tcW w:w="1077" w:type="dxa"/>
            <w:vAlign w:val="center"/>
          </w:tcPr>
          <w:p w14:paraId="281A5D54" w14:textId="77777777" w:rsidR="009F5B16" w:rsidRDefault="009F5B16" w:rsidP="00AB44F5">
            <w:pPr>
              <w:jc w:val="center"/>
              <w:rPr>
                <w:sz w:val="20"/>
                <w:szCs w:val="20"/>
              </w:rPr>
            </w:pPr>
            <w:r>
              <w:rPr>
                <w:rFonts w:eastAsia="Times New Roman"/>
                <w:sz w:val="24"/>
                <w:szCs w:val="24"/>
              </w:rPr>
              <w:t>57</w:t>
            </w:r>
          </w:p>
        </w:tc>
        <w:tc>
          <w:tcPr>
            <w:tcW w:w="1077" w:type="dxa"/>
            <w:vAlign w:val="center"/>
          </w:tcPr>
          <w:p w14:paraId="281A5D55" w14:textId="77777777" w:rsidR="009F5B16" w:rsidRDefault="009F5B16" w:rsidP="00AB44F5">
            <w:pPr>
              <w:jc w:val="center"/>
              <w:rPr>
                <w:sz w:val="20"/>
                <w:szCs w:val="20"/>
              </w:rPr>
            </w:pPr>
            <w:r>
              <w:rPr>
                <w:rFonts w:eastAsia="Times New Roman"/>
                <w:sz w:val="24"/>
                <w:szCs w:val="24"/>
              </w:rPr>
              <w:t>68</w:t>
            </w:r>
          </w:p>
        </w:tc>
        <w:tc>
          <w:tcPr>
            <w:tcW w:w="1077" w:type="dxa"/>
            <w:vAlign w:val="center"/>
          </w:tcPr>
          <w:p w14:paraId="281A5D56" w14:textId="77777777" w:rsidR="009F5B16" w:rsidRDefault="009F5B16" w:rsidP="00AB44F5">
            <w:pPr>
              <w:jc w:val="center"/>
              <w:rPr>
                <w:sz w:val="20"/>
                <w:szCs w:val="20"/>
              </w:rPr>
            </w:pPr>
            <w:r>
              <w:rPr>
                <w:rFonts w:eastAsia="Times New Roman"/>
                <w:sz w:val="24"/>
                <w:szCs w:val="24"/>
              </w:rPr>
              <w:t>81</w:t>
            </w:r>
          </w:p>
        </w:tc>
        <w:tc>
          <w:tcPr>
            <w:tcW w:w="1077" w:type="dxa"/>
            <w:vAlign w:val="center"/>
          </w:tcPr>
          <w:p w14:paraId="281A5D57" w14:textId="77777777" w:rsidR="009F5B16" w:rsidRDefault="009F5B16" w:rsidP="00AB44F5">
            <w:pPr>
              <w:jc w:val="center"/>
              <w:rPr>
                <w:sz w:val="20"/>
                <w:szCs w:val="20"/>
              </w:rPr>
            </w:pPr>
            <w:r>
              <w:rPr>
                <w:rFonts w:eastAsia="Times New Roman"/>
                <w:sz w:val="24"/>
                <w:szCs w:val="24"/>
              </w:rPr>
              <w:t>98</w:t>
            </w:r>
          </w:p>
        </w:tc>
        <w:tc>
          <w:tcPr>
            <w:tcW w:w="1077" w:type="dxa"/>
            <w:vAlign w:val="center"/>
          </w:tcPr>
          <w:p w14:paraId="281A5D58" w14:textId="77777777" w:rsidR="009F5B16" w:rsidRDefault="009F5B16" w:rsidP="00AB44F5">
            <w:pPr>
              <w:jc w:val="center"/>
              <w:rPr>
                <w:sz w:val="20"/>
                <w:szCs w:val="20"/>
              </w:rPr>
            </w:pPr>
            <w:r>
              <w:rPr>
                <w:rFonts w:eastAsia="Times New Roman"/>
                <w:sz w:val="24"/>
                <w:szCs w:val="24"/>
              </w:rPr>
              <w:t>119</w:t>
            </w:r>
          </w:p>
        </w:tc>
        <w:tc>
          <w:tcPr>
            <w:tcW w:w="1077" w:type="dxa"/>
            <w:vAlign w:val="center"/>
          </w:tcPr>
          <w:p w14:paraId="281A5D59" w14:textId="77777777" w:rsidR="009F5B16" w:rsidRDefault="009F5B16" w:rsidP="00AB44F5">
            <w:pPr>
              <w:jc w:val="center"/>
              <w:rPr>
                <w:sz w:val="20"/>
                <w:szCs w:val="20"/>
              </w:rPr>
            </w:pPr>
            <w:r>
              <w:rPr>
                <w:rFonts w:eastAsia="Times New Roman"/>
                <w:w w:val="94"/>
                <w:sz w:val="24"/>
                <w:szCs w:val="24"/>
              </w:rPr>
              <w:t>144</w:t>
            </w:r>
          </w:p>
        </w:tc>
        <w:tc>
          <w:tcPr>
            <w:tcW w:w="1078" w:type="dxa"/>
            <w:vAlign w:val="center"/>
          </w:tcPr>
          <w:p w14:paraId="281A5D5A" w14:textId="77777777" w:rsidR="009F5B16" w:rsidRDefault="009F5B16" w:rsidP="00AB44F5">
            <w:pPr>
              <w:jc w:val="center"/>
              <w:rPr>
                <w:sz w:val="20"/>
                <w:szCs w:val="20"/>
              </w:rPr>
            </w:pPr>
            <w:r>
              <w:rPr>
                <w:rFonts w:eastAsia="Times New Roman"/>
                <w:sz w:val="24"/>
                <w:szCs w:val="24"/>
              </w:rPr>
              <w:t>173</w:t>
            </w:r>
          </w:p>
        </w:tc>
      </w:tr>
      <w:tr w:rsidR="009F5B16" w14:paraId="281A5D66" w14:textId="77777777" w:rsidTr="009F5B16">
        <w:trPr>
          <w:trHeight w:val="278"/>
        </w:trPr>
        <w:tc>
          <w:tcPr>
            <w:tcW w:w="1720" w:type="dxa"/>
            <w:vAlign w:val="center"/>
          </w:tcPr>
          <w:p w14:paraId="281A5D5E" w14:textId="77777777" w:rsidR="009F5B16" w:rsidRDefault="009F5B16" w:rsidP="00AB44F5">
            <w:pPr>
              <w:jc w:val="center"/>
              <w:rPr>
                <w:sz w:val="20"/>
                <w:szCs w:val="20"/>
              </w:rPr>
            </w:pPr>
            <w:r>
              <w:rPr>
                <w:rFonts w:eastAsia="Times New Roman"/>
                <w:sz w:val="24"/>
                <w:szCs w:val="24"/>
              </w:rPr>
              <w:t>2.0</w:t>
            </w:r>
          </w:p>
        </w:tc>
        <w:tc>
          <w:tcPr>
            <w:tcW w:w="1077" w:type="dxa"/>
            <w:vAlign w:val="center"/>
          </w:tcPr>
          <w:p w14:paraId="281A5D5F" w14:textId="77777777" w:rsidR="009F5B16" w:rsidRDefault="009F5B16" w:rsidP="00AB44F5">
            <w:pPr>
              <w:jc w:val="center"/>
              <w:rPr>
                <w:sz w:val="20"/>
                <w:szCs w:val="20"/>
              </w:rPr>
            </w:pPr>
            <w:r>
              <w:rPr>
                <w:rFonts w:eastAsia="Times New Roman"/>
                <w:sz w:val="24"/>
                <w:szCs w:val="24"/>
              </w:rPr>
              <w:t>58</w:t>
            </w:r>
          </w:p>
        </w:tc>
        <w:tc>
          <w:tcPr>
            <w:tcW w:w="1077" w:type="dxa"/>
            <w:vAlign w:val="center"/>
          </w:tcPr>
          <w:p w14:paraId="281A5D60" w14:textId="77777777" w:rsidR="009F5B16" w:rsidRDefault="009F5B16" w:rsidP="00AB44F5">
            <w:pPr>
              <w:jc w:val="center"/>
              <w:rPr>
                <w:sz w:val="20"/>
                <w:szCs w:val="20"/>
              </w:rPr>
            </w:pPr>
            <w:r>
              <w:rPr>
                <w:rFonts w:eastAsia="Times New Roman"/>
                <w:sz w:val="24"/>
                <w:szCs w:val="24"/>
              </w:rPr>
              <w:t>69</w:t>
            </w:r>
          </w:p>
        </w:tc>
        <w:tc>
          <w:tcPr>
            <w:tcW w:w="1077" w:type="dxa"/>
            <w:vAlign w:val="center"/>
          </w:tcPr>
          <w:p w14:paraId="281A5D61" w14:textId="77777777" w:rsidR="009F5B16" w:rsidRDefault="009F5B16" w:rsidP="00AB44F5">
            <w:pPr>
              <w:jc w:val="center"/>
              <w:rPr>
                <w:sz w:val="20"/>
                <w:szCs w:val="20"/>
              </w:rPr>
            </w:pPr>
            <w:r>
              <w:rPr>
                <w:rFonts w:eastAsia="Times New Roman"/>
                <w:sz w:val="24"/>
                <w:szCs w:val="24"/>
              </w:rPr>
              <w:t>83</w:t>
            </w:r>
          </w:p>
        </w:tc>
        <w:tc>
          <w:tcPr>
            <w:tcW w:w="1077" w:type="dxa"/>
            <w:vAlign w:val="center"/>
          </w:tcPr>
          <w:p w14:paraId="281A5D62" w14:textId="77777777" w:rsidR="009F5B16" w:rsidRDefault="009F5B16" w:rsidP="00AB44F5">
            <w:pPr>
              <w:jc w:val="center"/>
              <w:rPr>
                <w:sz w:val="20"/>
                <w:szCs w:val="20"/>
              </w:rPr>
            </w:pPr>
            <w:r>
              <w:rPr>
                <w:rFonts w:eastAsia="Times New Roman"/>
                <w:sz w:val="24"/>
                <w:szCs w:val="24"/>
              </w:rPr>
              <w:t>100</w:t>
            </w:r>
          </w:p>
        </w:tc>
        <w:tc>
          <w:tcPr>
            <w:tcW w:w="1077" w:type="dxa"/>
            <w:vAlign w:val="center"/>
          </w:tcPr>
          <w:p w14:paraId="281A5D63" w14:textId="77777777" w:rsidR="009F5B16" w:rsidRDefault="009F5B16" w:rsidP="00AB44F5">
            <w:pPr>
              <w:jc w:val="center"/>
              <w:rPr>
                <w:sz w:val="20"/>
                <w:szCs w:val="20"/>
              </w:rPr>
            </w:pPr>
            <w:r>
              <w:rPr>
                <w:rFonts w:eastAsia="Times New Roman"/>
                <w:sz w:val="24"/>
                <w:szCs w:val="24"/>
              </w:rPr>
              <w:t>122</w:t>
            </w:r>
          </w:p>
        </w:tc>
        <w:tc>
          <w:tcPr>
            <w:tcW w:w="1077" w:type="dxa"/>
            <w:vAlign w:val="center"/>
          </w:tcPr>
          <w:p w14:paraId="281A5D64" w14:textId="77777777" w:rsidR="009F5B16" w:rsidRDefault="009F5B16" w:rsidP="00AB44F5">
            <w:pPr>
              <w:jc w:val="center"/>
              <w:rPr>
                <w:sz w:val="20"/>
                <w:szCs w:val="20"/>
              </w:rPr>
            </w:pPr>
            <w:r>
              <w:rPr>
                <w:rFonts w:eastAsia="Times New Roman"/>
                <w:w w:val="94"/>
                <w:sz w:val="24"/>
                <w:szCs w:val="24"/>
              </w:rPr>
              <w:t>147</w:t>
            </w:r>
          </w:p>
        </w:tc>
        <w:tc>
          <w:tcPr>
            <w:tcW w:w="1078" w:type="dxa"/>
            <w:vAlign w:val="center"/>
          </w:tcPr>
          <w:p w14:paraId="281A5D65" w14:textId="77777777" w:rsidR="009F5B16" w:rsidRDefault="009F5B16" w:rsidP="00AB44F5">
            <w:pPr>
              <w:jc w:val="center"/>
              <w:rPr>
                <w:sz w:val="20"/>
                <w:szCs w:val="20"/>
              </w:rPr>
            </w:pPr>
            <w:r>
              <w:rPr>
                <w:rFonts w:eastAsia="Times New Roman"/>
                <w:sz w:val="24"/>
                <w:szCs w:val="24"/>
              </w:rPr>
              <w:t>177</w:t>
            </w:r>
          </w:p>
        </w:tc>
      </w:tr>
      <w:tr w:rsidR="009F5B16" w14:paraId="281A5D71" w14:textId="77777777" w:rsidTr="009F5B16">
        <w:trPr>
          <w:trHeight w:val="281"/>
        </w:trPr>
        <w:tc>
          <w:tcPr>
            <w:tcW w:w="1720" w:type="dxa"/>
            <w:vAlign w:val="center"/>
          </w:tcPr>
          <w:p w14:paraId="281A5D69" w14:textId="77777777" w:rsidR="009F5B16" w:rsidRDefault="009F5B16" w:rsidP="00AB44F5">
            <w:pPr>
              <w:jc w:val="center"/>
              <w:rPr>
                <w:sz w:val="20"/>
                <w:szCs w:val="20"/>
              </w:rPr>
            </w:pPr>
            <w:r>
              <w:rPr>
                <w:rFonts w:eastAsia="Times New Roman"/>
                <w:sz w:val="24"/>
                <w:szCs w:val="24"/>
              </w:rPr>
              <w:t>2.2</w:t>
            </w:r>
          </w:p>
        </w:tc>
        <w:tc>
          <w:tcPr>
            <w:tcW w:w="1077" w:type="dxa"/>
            <w:vAlign w:val="center"/>
          </w:tcPr>
          <w:p w14:paraId="281A5D6A" w14:textId="77777777" w:rsidR="009F5B16" w:rsidRDefault="009F5B16" w:rsidP="00AB44F5">
            <w:pPr>
              <w:jc w:val="center"/>
              <w:rPr>
                <w:sz w:val="20"/>
                <w:szCs w:val="20"/>
              </w:rPr>
            </w:pPr>
            <w:r>
              <w:rPr>
                <w:rFonts w:eastAsia="Times New Roman"/>
                <w:sz w:val="24"/>
                <w:szCs w:val="24"/>
              </w:rPr>
              <w:t>59</w:t>
            </w:r>
          </w:p>
        </w:tc>
        <w:tc>
          <w:tcPr>
            <w:tcW w:w="1077" w:type="dxa"/>
            <w:vAlign w:val="center"/>
          </w:tcPr>
          <w:p w14:paraId="281A5D6B" w14:textId="77777777" w:rsidR="009F5B16" w:rsidRDefault="009F5B16" w:rsidP="00AB44F5">
            <w:pPr>
              <w:jc w:val="center"/>
              <w:rPr>
                <w:sz w:val="20"/>
                <w:szCs w:val="20"/>
              </w:rPr>
            </w:pPr>
            <w:r>
              <w:rPr>
                <w:rFonts w:eastAsia="Times New Roman"/>
                <w:sz w:val="24"/>
                <w:szCs w:val="24"/>
              </w:rPr>
              <w:t>70</w:t>
            </w:r>
          </w:p>
        </w:tc>
        <w:tc>
          <w:tcPr>
            <w:tcW w:w="1077" w:type="dxa"/>
            <w:vAlign w:val="center"/>
          </w:tcPr>
          <w:p w14:paraId="281A5D6C" w14:textId="77777777" w:rsidR="009F5B16" w:rsidRDefault="009F5B16" w:rsidP="00AB44F5">
            <w:pPr>
              <w:jc w:val="center"/>
              <w:rPr>
                <w:sz w:val="20"/>
                <w:szCs w:val="20"/>
              </w:rPr>
            </w:pPr>
            <w:r>
              <w:rPr>
                <w:rFonts w:eastAsia="Times New Roman"/>
                <w:sz w:val="24"/>
                <w:szCs w:val="24"/>
              </w:rPr>
              <w:t>85</w:t>
            </w:r>
          </w:p>
        </w:tc>
        <w:tc>
          <w:tcPr>
            <w:tcW w:w="1077" w:type="dxa"/>
            <w:vAlign w:val="center"/>
          </w:tcPr>
          <w:p w14:paraId="281A5D6D" w14:textId="77777777" w:rsidR="009F5B16" w:rsidRDefault="009F5B16" w:rsidP="00AB44F5">
            <w:pPr>
              <w:jc w:val="center"/>
              <w:rPr>
                <w:sz w:val="20"/>
                <w:szCs w:val="20"/>
              </w:rPr>
            </w:pPr>
            <w:r>
              <w:rPr>
                <w:rFonts w:eastAsia="Times New Roman"/>
                <w:sz w:val="24"/>
                <w:szCs w:val="24"/>
              </w:rPr>
              <w:t>102</w:t>
            </w:r>
          </w:p>
        </w:tc>
        <w:tc>
          <w:tcPr>
            <w:tcW w:w="1077" w:type="dxa"/>
            <w:vAlign w:val="center"/>
          </w:tcPr>
          <w:p w14:paraId="281A5D6E" w14:textId="77777777" w:rsidR="009F5B16" w:rsidRDefault="009F5B16" w:rsidP="00AB44F5">
            <w:pPr>
              <w:jc w:val="center"/>
              <w:rPr>
                <w:sz w:val="20"/>
                <w:szCs w:val="20"/>
              </w:rPr>
            </w:pPr>
            <w:r>
              <w:rPr>
                <w:rFonts w:eastAsia="Times New Roman"/>
                <w:sz w:val="24"/>
                <w:szCs w:val="24"/>
              </w:rPr>
              <w:t>124</w:t>
            </w:r>
          </w:p>
        </w:tc>
        <w:tc>
          <w:tcPr>
            <w:tcW w:w="1077" w:type="dxa"/>
            <w:vAlign w:val="center"/>
          </w:tcPr>
          <w:p w14:paraId="281A5D6F" w14:textId="77777777" w:rsidR="009F5B16" w:rsidRDefault="009F5B16" w:rsidP="00AB44F5">
            <w:pPr>
              <w:jc w:val="center"/>
              <w:rPr>
                <w:sz w:val="20"/>
                <w:szCs w:val="20"/>
              </w:rPr>
            </w:pPr>
            <w:r>
              <w:rPr>
                <w:rFonts w:eastAsia="Times New Roman"/>
                <w:w w:val="94"/>
                <w:sz w:val="24"/>
                <w:szCs w:val="24"/>
              </w:rPr>
              <w:t>150</w:t>
            </w:r>
          </w:p>
        </w:tc>
        <w:tc>
          <w:tcPr>
            <w:tcW w:w="1078" w:type="dxa"/>
            <w:vAlign w:val="center"/>
          </w:tcPr>
          <w:p w14:paraId="281A5D70" w14:textId="77777777" w:rsidR="009F5B16" w:rsidRDefault="009F5B16" w:rsidP="00AB44F5">
            <w:pPr>
              <w:jc w:val="center"/>
              <w:rPr>
                <w:sz w:val="20"/>
                <w:szCs w:val="20"/>
              </w:rPr>
            </w:pPr>
            <w:r>
              <w:rPr>
                <w:rFonts w:eastAsia="Times New Roman"/>
                <w:sz w:val="24"/>
                <w:szCs w:val="24"/>
              </w:rPr>
              <w:t>181</w:t>
            </w:r>
          </w:p>
        </w:tc>
      </w:tr>
      <w:tr w:rsidR="009F5B16" w14:paraId="281A5D7C" w14:textId="77777777" w:rsidTr="009F5B16">
        <w:trPr>
          <w:trHeight w:val="278"/>
        </w:trPr>
        <w:tc>
          <w:tcPr>
            <w:tcW w:w="1720" w:type="dxa"/>
            <w:vAlign w:val="center"/>
          </w:tcPr>
          <w:p w14:paraId="281A5D74" w14:textId="77777777" w:rsidR="009F5B16" w:rsidRDefault="009F5B16" w:rsidP="00AB44F5">
            <w:pPr>
              <w:jc w:val="center"/>
              <w:rPr>
                <w:sz w:val="20"/>
                <w:szCs w:val="20"/>
              </w:rPr>
            </w:pPr>
            <w:r>
              <w:rPr>
                <w:rFonts w:eastAsia="Times New Roman"/>
                <w:sz w:val="24"/>
                <w:szCs w:val="24"/>
              </w:rPr>
              <w:t>2.4</w:t>
            </w:r>
          </w:p>
        </w:tc>
        <w:tc>
          <w:tcPr>
            <w:tcW w:w="1077" w:type="dxa"/>
            <w:vAlign w:val="center"/>
          </w:tcPr>
          <w:p w14:paraId="281A5D75" w14:textId="77777777" w:rsidR="009F5B16" w:rsidRDefault="009F5B16" w:rsidP="00AB44F5">
            <w:pPr>
              <w:jc w:val="center"/>
              <w:rPr>
                <w:sz w:val="20"/>
                <w:szCs w:val="20"/>
              </w:rPr>
            </w:pPr>
            <w:r>
              <w:rPr>
                <w:rFonts w:eastAsia="Times New Roman"/>
                <w:sz w:val="24"/>
                <w:szCs w:val="24"/>
              </w:rPr>
              <w:t>60</w:t>
            </w:r>
          </w:p>
        </w:tc>
        <w:tc>
          <w:tcPr>
            <w:tcW w:w="1077" w:type="dxa"/>
            <w:vAlign w:val="center"/>
          </w:tcPr>
          <w:p w14:paraId="281A5D76" w14:textId="77777777" w:rsidR="009F5B16" w:rsidRDefault="009F5B16" w:rsidP="00AB44F5">
            <w:pPr>
              <w:jc w:val="center"/>
              <w:rPr>
                <w:sz w:val="20"/>
                <w:szCs w:val="20"/>
              </w:rPr>
            </w:pPr>
            <w:r>
              <w:rPr>
                <w:rFonts w:eastAsia="Times New Roman"/>
                <w:sz w:val="24"/>
                <w:szCs w:val="24"/>
              </w:rPr>
              <w:t>72</w:t>
            </w:r>
          </w:p>
        </w:tc>
        <w:tc>
          <w:tcPr>
            <w:tcW w:w="1077" w:type="dxa"/>
            <w:vAlign w:val="center"/>
          </w:tcPr>
          <w:p w14:paraId="281A5D77" w14:textId="77777777" w:rsidR="009F5B16" w:rsidRDefault="009F5B16" w:rsidP="00AB44F5">
            <w:pPr>
              <w:jc w:val="center"/>
              <w:rPr>
                <w:sz w:val="20"/>
                <w:szCs w:val="20"/>
              </w:rPr>
            </w:pPr>
            <w:r>
              <w:rPr>
                <w:rFonts w:eastAsia="Times New Roman"/>
                <w:sz w:val="24"/>
                <w:szCs w:val="24"/>
              </w:rPr>
              <w:t>86</w:t>
            </w:r>
          </w:p>
        </w:tc>
        <w:tc>
          <w:tcPr>
            <w:tcW w:w="1077" w:type="dxa"/>
            <w:vAlign w:val="center"/>
          </w:tcPr>
          <w:p w14:paraId="281A5D78" w14:textId="77777777" w:rsidR="009F5B16" w:rsidRDefault="009F5B16" w:rsidP="00AB44F5">
            <w:pPr>
              <w:jc w:val="center"/>
              <w:rPr>
                <w:sz w:val="20"/>
                <w:szCs w:val="20"/>
              </w:rPr>
            </w:pPr>
            <w:r>
              <w:rPr>
                <w:rFonts w:eastAsia="Times New Roman"/>
                <w:sz w:val="24"/>
                <w:szCs w:val="24"/>
              </w:rPr>
              <w:t>105</w:t>
            </w:r>
          </w:p>
        </w:tc>
        <w:tc>
          <w:tcPr>
            <w:tcW w:w="1077" w:type="dxa"/>
            <w:vAlign w:val="center"/>
          </w:tcPr>
          <w:p w14:paraId="281A5D79" w14:textId="77777777" w:rsidR="009F5B16" w:rsidRDefault="009F5B16" w:rsidP="00AB44F5">
            <w:pPr>
              <w:jc w:val="center"/>
              <w:rPr>
                <w:sz w:val="20"/>
                <w:szCs w:val="20"/>
              </w:rPr>
            </w:pPr>
            <w:r>
              <w:rPr>
                <w:rFonts w:eastAsia="Times New Roman"/>
                <w:sz w:val="24"/>
                <w:szCs w:val="24"/>
              </w:rPr>
              <w:t>127</w:t>
            </w:r>
          </w:p>
        </w:tc>
        <w:tc>
          <w:tcPr>
            <w:tcW w:w="1077" w:type="dxa"/>
            <w:vAlign w:val="center"/>
          </w:tcPr>
          <w:p w14:paraId="281A5D7A" w14:textId="77777777" w:rsidR="009F5B16" w:rsidRDefault="009F5B16" w:rsidP="00AB44F5">
            <w:pPr>
              <w:jc w:val="center"/>
              <w:rPr>
                <w:sz w:val="20"/>
                <w:szCs w:val="20"/>
              </w:rPr>
            </w:pPr>
            <w:r>
              <w:rPr>
                <w:rFonts w:eastAsia="Times New Roman"/>
                <w:w w:val="94"/>
                <w:sz w:val="24"/>
                <w:szCs w:val="24"/>
              </w:rPr>
              <w:t>153</w:t>
            </w:r>
          </w:p>
        </w:tc>
        <w:tc>
          <w:tcPr>
            <w:tcW w:w="1078" w:type="dxa"/>
            <w:vAlign w:val="center"/>
          </w:tcPr>
          <w:p w14:paraId="281A5D7B" w14:textId="77777777" w:rsidR="009F5B16" w:rsidRDefault="009F5B16" w:rsidP="00AB44F5">
            <w:pPr>
              <w:jc w:val="center"/>
              <w:rPr>
                <w:sz w:val="20"/>
                <w:szCs w:val="20"/>
              </w:rPr>
            </w:pPr>
            <w:r>
              <w:rPr>
                <w:rFonts w:eastAsia="Times New Roman"/>
                <w:sz w:val="24"/>
                <w:szCs w:val="24"/>
              </w:rPr>
              <w:t>184</w:t>
            </w:r>
          </w:p>
        </w:tc>
      </w:tr>
      <w:tr w:rsidR="009F5B16" w14:paraId="281A5D87" w14:textId="77777777" w:rsidTr="009F5B16">
        <w:trPr>
          <w:trHeight w:val="281"/>
        </w:trPr>
        <w:tc>
          <w:tcPr>
            <w:tcW w:w="1720" w:type="dxa"/>
            <w:vAlign w:val="center"/>
          </w:tcPr>
          <w:p w14:paraId="281A5D7F" w14:textId="77777777" w:rsidR="009F5B16" w:rsidRDefault="009F5B16" w:rsidP="00AB44F5">
            <w:pPr>
              <w:jc w:val="center"/>
              <w:rPr>
                <w:sz w:val="20"/>
                <w:szCs w:val="20"/>
              </w:rPr>
            </w:pPr>
            <w:r>
              <w:rPr>
                <w:rFonts w:eastAsia="Times New Roman"/>
                <w:sz w:val="24"/>
                <w:szCs w:val="24"/>
              </w:rPr>
              <w:t>2.6</w:t>
            </w:r>
          </w:p>
        </w:tc>
        <w:tc>
          <w:tcPr>
            <w:tcW w:w="1077" w:type="dxa"/>
            <w:vAlign w:val="center"/>
          </w:tcPr>
          <w:p w14:paraId="281A5D80" w14:textId="77777777" w:rsidR="009F5B16" w:rsidRDefault="009F5B16" w:rsidP="00AB44F5">
            <w:pPr>
              <w:jc w:val="center"/>
              <w:rPr>
                <w:sz w:val="20"/>
                <w:szCs w:val="20"/>
              </w:rPr>
            </w:pPr>
            <w:r>
              <w:rPr>
                <w:rFonts w:eastAsia="Times New Roman"/>
                <w:sz w:val="24"/>
                <w:szCs w:val="24"/>
              </w:rPr>
              <w:t>61</w:t>
            </w:r>
          </w:p>
        </w:tc>
        <w:tc>
          <w:tcPr>
            <w:tcW w:w="1077" w:type="dxa"/>
            <w:vAlign w:val="center"/>
          </w:tcPr>
          <w:p w14:paraId="281A5D81" w14:textId="77777777" w:rsidR="009F5B16" w:rsidRDefault="009F5B16" w:rsidP="00AB44F5">
            <w:pPr>
              <w:jc w:val="center"/>
              <w:rPr>
                <w:sz w:val="20"/>
                <w:szCs w:val="20"/>
              </w:rPr>
            </w:pPr>
            <w:r>
              <w:rPr>
                <w:rFonts w:eastAsia="Times New Roman"/>
                <w:sz w:val="24"/>
                <w:szCs w:val="24"/>
              </w:rPr>
              <w:t>73</w:t>
            </w:r>
          </w:p>
        </w:tc>
        <w:tc>
          <w:tcPr>
            <w:tcW w:w="1077" w:type="dxa"/>
            <w:vAlign w:val="center"/>
          </w:tcPr>
          <w:p w14:paraId="281A5D82" w14:textId="77777777" w:rsidR="009F5B16" w:rsidRDefault="009F5B16" w:rsidP="00AB44F5">
            <w:pPr>
              <w:jc w:val="center"/>
              <w:rPr>
                <w:sz w:val="20"/>
                <w:szCs w:val="20"/>
              </w:rPr>
            </w:pPr>
            <w:r>
              <w:rPr>
                <w:rFonts w:eastAsia="Times New Roman"/>
                <w:sz w:val="24"/>
                <w:szCs w:val="24"/>
              </w:rPr>
              <w:t>88</w:t>
            </w:r>
          </w:p>
        </w:tc>
        <w:tc>
          <w:tcPr>
            <w:tcW w:w="1077" w:type="dxa"/>
            <w:vAlign w:val="center"/>
          </w:tcPr>
          <w:p w14:paraId="281A5D83" w14:textId="77777777" w:rsidR="009F5B16" w:rsidRDefault="009F5B16" w:rsidP="00AB44F5">
            <w:pPr>
              <w:jc w:val="center"/>
              <w:rPr>
                <w:sz w:val="20"/>
                <w:szCs w:val="20"/>
              </w:rPr>
            </w:pPr>
            <w:r>
              <w:rPr>
                <w:rFonts w:eastAsia="Times New Roman"/>
                <w:sz w:val="24"/>
                <w:szCs w:val="24"/>
              </w:rPr>
              <w:t>107</w:t>
            </w:r>
          </w:p>
        </w:tc>
        <w:tc>
          <w:tcPr>
            <w:tcW w:w="1077" w:type="dxa"/>
            <w:vAlign w:val="center"/>
          </w:tcPr>
          <w:p w14:paraId="281A5D84" w14:textId="77777777" w:rsidR="009F5B16" w:rsidRDefault="009F5B16" w:rsidP="00AB44F5">
            <w:pPr>
              <w:jc w:val="center"/>
              <w:rPr>
                <w:sz w:val="20"/>
                <w:szCs w:val="20"/>
              </w:rPr>
            </w:pPr>
            <w:r>
              <w:rPr>
                <w:rFonts w:eastAsia="Times New Roman"/>
                <w:sz w:val="24"/>
                <w:szCs w:val="24"/>
              </w:rPr>
              <w:t>129</w:t>
            </w:r>
          </w:p>
        </w:tc>
        <w:tc>
          <w:tcPr>
            <w:tcW w:w="1077" w:type="dxa"/>
            <w:vAlign w:val="center"/>
          </w:tcPr>
          <w:p w14:paraId="281A5D85" w14:textId="77777777" w:rsidR="009F5B16" w:rsidRDefault="009F5B16" w:rsidP="00AB44F5">
            <w:pPr>
              <w:jc w:val="center"/>
              <w:rPr>
                <w:sz w:val="20"/>
                <w:szCs w:val="20"/>
              </w:rPr>
            </w:pPr>
            <w:r>
              <w:rPr>
                <w:rFonts w:eastAsia="Times New Roman"/>
                <w:w w:val="94"/>
                <w:sz w:val="24"/>
                <w:szCs w:val="24"/>
              </w:rPr>
              <w:t>156</w:t>
            </w:r>
          </w:p>
        </w:tc>
        <w:tc>
          <w:tcPr>
            <w:tcW w:w="1078" w:type="dxa"/>
            <w:vAlign w:val="center"/>
          </w:tcPr>
          <w:p w14:paraId="281A5D86" w14:textId="77777777" w:rsidR="009F5B16" w:rsidRDefault="009F5B16" w:rsidP="00AB44F5">
            <w:pPr>
              <w:jc w:val="center"/>
              <w:rPr>
                <w:sz w:val="20"/>
                <w:szCs w:val="20"/>
              </w:rPr>
            </w:pPr>
            <w:r>
              <w:rPr>
                <w:rFonts w:eastAsia="Times New Roman"/>
                <w:sz w:val="24"/>
                <w:szCs w:val="24"/>
              </w:rPr>
              <w:t>188</w:t>
            </w:r>
          </w:p>
        </w:tc>
      </w:tr>
      <w:tr w:rsidR="009F5B16" w14:paraId="281A5D92" w14:textId="77777777" w:rsidTr="009F5B16">
        <w:trPr>
          <w:trHeight w:val="278"/>
        </w:trPr>
        <w:tc>
          <w:tcPr>
            <w:tcW w:w="1720" w:type="dxa"/>
            <w:vAlign w:val="center"/>
          </w:tcPr>
          <w:p w14:paraId="281A5D8A" w14:textId="77777777" w:rsidR="009F5B16" w:rsidRDefault="009F5B16" w:rsidP="00AB44F5">
            <w:pPr>
              <w:jc w:val="center"/>
              <w:rPr>
                <w:sz w:val="20"/>
                <w:szCs w:val="20"/>
              </w:rPr>
            </w:pPr>
            <w:r>
              <w:rPr>
                <w:rFonts w:eastAsia="Times New Roman"/>
                <w:sz w:val="24"/>
                <w:szCs w:val="24"/>
              </w:rPr>
              <w:t>2.8</w:t>
            </w:r>
          </w:p>
        </w:tc>
        <w:tc>
          <w:tcPr>
            <w:tcW w:w="1077" w:type="dxa"/>
            <w:vAlign w:val="center"/>
          </w:tcPr>
          <w:p w14:paraId="281A5D8B" w14:textId="77777777" w:rsidR="009F5B16" w:rsidRDefault="009F5B16" w:rsidP="00AB44F5">
            <w:pPr>
              <w:jc w:val="center"/>
              <w:rPr>
                <w:sz w:val="20"/>
                <w:szCs w:val="20"/>
              </w:rPr>
            </w:pPr>
            <w:r>
              <w:rPr>
                <w:rFonts w:eastAsia="Times New Roman"/>
                <w:sz w:val="24"/>
                <w:szCs w:val="24"/>
              </w:rPr>
              <w:t>62</w:t>
            </w:r>
          </w:p>
        </w:tc>
        <w:tc>
          <w:tcPr>
            <w:tcW w:w="1077" w:type="dxa"/>
            <w:vAlign w:val="center"/>
          </w:tcPr>
          <w:p w14:paraId="281A5D8C" w14:textId="77777777" w:rsidR="009F5B16" w:rsidRDefault="009F5B16" w:rsidP="00AB44F5">
            <w:pPr>
              <w:jc w:val="center"/>
              <w:rPr>
                <w:sz w:val="20"/>
                <w:szCs w:val="20"/>
              </w:rPr>
            </w:pPr>
            <w:r>
              <w:rPr>
                <w:rFonts w:eastAsia="Times New Roman"/>
                <w:sz w:val="24"/>
                <w:szCs w:val="24"/>
              </w:rPr>
              <w:t>74</w:t>
            </w:r>
          </w:p>
        </w:tc>
        <w:tc>
          <w:tcPr>
            <w:tcW w:w="1077" w:type="dxa"/>
            <w:vAlign w:val="center"/>
          </w:tcPr>
          <w:p w14:paraId="281A5D8D" w14:textId="77777777" w:rsidR="009F5B16" w:rsidRDefault="009F5B16" w:rsidP="00AB44F5">
            <w:pPr>
              <w:jc w:val="center"/>
              <w:rPr>
                <w:sz w:val="20"/>
                <w:szCs w:val="20"/>
              </w:rPr>
            </w:pPr>
            <w:r>
              <w:rPr>
                <w:rFonts w:eastAsia="Times New Roman"/>
                <w:sz w:val="24"/>
                <w:szCs w:val="24"/>
              </w:rPr>
              <w:t>89</w:t>
            </w:r>
          </w:p>
        </w:tc>
        <w:tc>
          <w:tcPr>
            <w:tcW w:w="1077" w:type="dxa"/>
            <w:vAlign w:val="center"/>
          </w:tcPr>
          <w:p w14:paraId="281A5D8E" w14:textId="77777777" w:rsidR="009F5B16" w:rsidRDefault="009F5B16" w:rsidP="00AB44F5">
            <w:pPr>
              <w:jc w:val="center"/>
              <w:rPr>
                <w:sz w:val="20"/>
                <w:szCs w:val="20"/>
              </w:rPr>
            </w:pPr>
            <w:r>
              <w:rPr>
                <w:rFonts w:eastAsia="Times New Roman"/>
                <w:sz w:val="24"/>
                <w:szCs w:val="24"/>
              </w:rPr>
              <w:t>109</w:t>
            </w:r>
          </w:p>
        </w:tc>
        <w:tc>
          <w:tcPr>
            <w:tcW w:w="1077" w:type="dxa"/>
            <w:vAlign w:val="center"/>
          </w:tcPr>
          <w:p w14:paraId="281A5D8F" w14:textId="77777777" w:rsidR="009F5B16" w:rsidRDefault="009F5B16" w:rsidP="00AB44F5">
            <w:pPr>
              <w:jc w:val="center"/>
              <w:rPr>
                <w:sz w:val="20"/>
                <w:szCs w:val="20"/>
              </w:rPr>
            </w:pPr>
            <w:r>
              <w:rPr>
                <w:rFonts w:eastAsia="Times New Roman"/>
                <w:sz w:val="24"/>
                <w:szCs w:val="24"/>
              </w:rPr>
              <w:t>132</w:t>
            </w:r>
          </w:p>
        </w:tc>
        <w:tc>
          <w:tcPr>
            <w:tcW w:w="1077" w:type="dxa"/>
            <w:vAlign w:val="center"/>
          </w:tcPr>
          <w:p w14:paraId="281A5D90" w14:textId="77777777" w:rsidR="009F5B16" w:rsidRDefault="009F5B16" w:rsidP="00AB44F5">
            <w:pPr>
              <w:jc w:val="center"/>
              <w:rPr>
                <w:sz w:val="20"/>
                <w:szCs w:val="20"/>
              </w:rPr>
            </w:pPr>
            <w:r>
              <w:rPr>
                <w:rFonts w:eastAsia="Times New Roman"/>
                <w:w w:val="94"/>
                <w:sz w:val="24"/>
                <w:szCs w:val="24"/>
              </w:rPr>
              <w:t>159</w:t>
            </w:r>
          </w:p>
        </w:tc>
        <w:tc>
          <w:tcPr>
            <w:tcW w:w="1078" w:type="dxa"/>
            <w:vAlign w:val="center"/>
          </w:tcPr>
          <w:p w14:paraId="281A5D91" w14:textId="77777777" w:rsidR="009F5B16" w:rsidRDefault="009F5B16" w:rsidP="00AB44F5">
            <w:pPr>
              <w:jc w:val="center"/>
              <w:rPr>
                <w:sz w:val="20"/>
                <w:szCs w:val="20"/>
              </w:rPr>
            </w:pPr>
            <w:r>
              <w:rPr>
                <w:rFonts w:eastAsia="Times New Roman"/>
                <w:sz w:val="24"/>
                <w:szCs w:val="24"/>
              </w:rPr>
              <w:t>191</w:t>
            </w:r>
          </w:p>
        </w:tc>
      </w:tr>
      <w:tr w:rsidR="009F5B16" w14:paraId="281A5D9D" w14:textId="77777777" w:rsidTr="009F5B16">
        <w:trPr>
          <w:trHeight w:val="312"/>
        </w:trPr>
        <w:tc>
          <w:tcPr>
            <w:tcW w:w="1720" w:type="dxa"/>
            <w:vAlign w:val="center"/>
          </w:tcPr>
          <w:p w14:paraId="281A5D95" w14:textId="77777777" w:rsidR="009F5B16" w:rsidRDefault="009F5B16" w:rsidP="00AB44F5">
            <w:pPr>
              <w:jc w:val="center"/>
              <w:rPr>
                <w:sz w:val="20"/>
                <w:szCs w:val="20"/>
              </w:rPr>
            </w:pPr>
            <w:r>
              <w:rPr>
                <w:rFonts w:eastAsia="Times New Roman"/>
                <w:sz w:val="24"/>
                <w:szCs w:val="24"/>
              </w:rPr>
              <w:t>3.0</w:t>
            </w:r>
          </w:p>
        </w:tc>
        <w:tc>
          <w:tcPr>
            <w:tcW w:w="1077" w:type="dxa"/>
            <w:vAlign w:val="center"/>
          </w:tcPr>
          <w:p w14:paraId="281A5D96" w14:textId="77777777" w:rsidR="009F5B16" w:rsidRDefault="009F5B16" w:rsidP="00AB44F5">
            <w:pPr>
              <w:jc w:val="center"/>
              <w:rPr>
                <w:sz w:val="20"/>
                <w:szCs w:val="20"/>
              </w:rPr>
            </w:pPr>
            <w:r>
              <w:rPr>
                <w:rFonts w:eastAsia="Times New Roman"/>
                <w:sz w:val="24"/>
                <w:szCs w:val="24"/>
              </w:rPr>
              <w:t>63</w:t>
            </w:r>
          </w:p>
        </w:tc>
        <w:tc>
          <w:tcPr>
            <w:tcW w:w="1077" w:type="dxa"/>
            <w:vAlign w:val="center"/>
          </w:tcPr>
          <w:p w14:paraId="281A5D97" w14:textId="77777777" w:rsidR="009F5B16" w:rsidRDefault="009F5B16" w:rsidP="00AB44F5">
            <w:pPr>
              <w:jc w:val="center"/>
              <w:rPr>
                <w:sz w:val="20"/>
                <w:szCs w:val="20"/>
              </w:rPr>
            </w:pPr>
            <w:r>
              <w:rPr>
                <w:rFonts w:eastAsia="Times New Roman"/>
                <w:sz w:val="24"/>
                <w:szCs w:val="24"/>
              </w:rPr>
              <w:t>76</w:t>
            </w:r>
          </w:p>
        </w:tc>
        <w:tc>
          <w:tcPr>
            <w:tcW w:w="1077" w:type="dxa"/>
            <w:vAlign w:val="center"/>
          </w:tcPr>
          <w:p w14:paraId="281A5D98" w14:textId="77777777" w:rsidR="009F5B16" w:rsidRDefault="009F5B16" w:rsidP="00AB44F5">
            <w:pPr>
              <w:jc w:val="center"/>
              <w:rPr>
                <w:sz w:val="20"/>
                <w:szCs w:val="20"/>
              </w:rPr>
            </w:pPr>
            <w:r>
              <w:rPr>
                <w:rFonts w:eastAsia="Times New Roman"/>
                <w:sz w:val="24"/>
                <w:szCs w:val="24"/>
              </w:rPr>
              <w:t>91</w:t>
            </w:r>
          </w:p>
        </w:tc>
        <w:tc>
          <w:tcPr>
            <w:tcW w:w="1077" w:type="dxa"/>
            <w:vAlign w:val="center"/>
          </w:tcPr>
          <w:p w14:paraId="281A5D99" w14:textId="77777777" w:rsidR="009F5B16" w:rsidRDefault="009F5B16" w:rsidP="00AB44F5">
            <w:pPr>
              <w:jc w:val="center"/>
              <w:rPr>
                <w:sz w:val="20"/>
                <w:szCs w:val="20"/>
              </w:rPr>
            </w:pPr>
            <w:r>
              <w:rPr>
                <w:rFonts w:eastAsia="Times New Roman"/>
                <w:sz w:val="24"/>
                <w:szCs w:val="24"/>
              </w:rPr>
              <w:t>111</w:t>
            </w:r>
          </w:p>
        </w:tc>
        <w:tc>
          <w:tcPr>
            <w:tcW w:w="1077" w:type="dxa"/>
            <w:vAlign w:val="center"/>
          </w:tcPr>
          <w:p w14:paraId="281A5D9A" w14:textId="77777777" w:rsidR="009F5B16" w:rsidRDefault="009F5B16" w:rsidP="00AB44F5">
            <w:pPr>
              <w:jc w:val="center"/>
              <w:rPr>
                <w:sz w:val="20"/>
                <w:szCs w:val="20"/>
              </w:rPr>
            </w:pPr>
            <w:r>
              <w:rPr>
                <w:rFonts w:eastAsia="Times New Roman"/>
                <w:sz w:val="24"/>
                <w:szCs w:val="24"/>
              </w:rPr>
              <w:t>134</w:t>
            </w:r>
          </w:p>
        </w:tc>
        <w:tc>
          <w:tcPr>
            <w:tcW w:w="1077" w:type="dxa"/>
            <w:vAlign w:val="center"/>
          </w:tcPr>
          <w:p w14:paraId="281A5D9B" w14:textId="77777777" w:rsidR="009F5B16" w:rsidRDefault="009F5B16" w:rsidP="00AB44F5">
            <w:pPr>
              <w:jc w:val="center"/>
              <w:rPr>
                <w:sz w:val="20"/>
                <w:szCs w:val="20"/>
              </w:rPr>
            </w:pPr>
            <w:r>
              <w:rPr>
                <w:rFonts w:eastAsia="Times New Roman"/>
                <w:w w:val="94"/>
                <w:sz w:val="24"/>
                <w:szCs w:val="24"/>
              </w:rPr>
              <w:t>162</w:t>
            </w:r>
          </w:p>
        </w:tc>
        <w:tc>
          <w:tcPr>
            <w:tcW w:w="1078" w:type="dxa"/>
            <w:vAlign w:val="center"/>
          </w:tcPr>
          <w:p w14:paraId="281A5D9C" w14:textId="77777777" w:rsidR="009F5B16" w:rsidRDefault="009F5B16" w:rsidP="00AB44F5">
            <w:pPr>
              <w:jc w:val="center"/>
              <w:rPr>
                <w:sz w:val="20"/>
                <w:szCs w:val="20"/>
              </w:rPr>
            </w:pPr>
            <w:r>
              <w:rPr>
                <w:rFonts w:eastAsia="Times New Roman"/>
                <w:sz w:val="24"/>
                <w:szCs w:val="24"/>
              </w:rPr>
              <w:t>195</w:t>
            </w:r>
          </w:p>
        </w:tc>
      </w:tr>
    </w:tbl>
    <w:p w14:paraId="281A5D9E" w14:textId="77777777" w:rsidR="004647B9" w:rsidRPr="00A65D9F" w:rsidRDefault="004647B9" w:rsidP="00AB44F5">
      <w:pPr>
        <w:rPr>
          <w:sz w:val="24"/>
          <w:szCs w:val="24"/>
        </w:rPr>
      </w:pPr>
    </w:p>
    <w:p w14:paraId="281A5D9F" w14:textId="77777777" w:rsidR="004647B9" w:rsidRPr="00A65D9F" w:rsidRDefault="00E2436F" w:rsidP="00AB44F5">
      <w:pPr>
        <w:numPr>
          <w:ilvl w:val="0"/>
          <w:numId w:val="591"/>
        </w:numPr>
        <w:tabs>
          <w:tab w:val="left" w:pos="360"/>
        </w:tabs>
        <w:ind w:left="360" w:hanging="351"/>
        <w:jc w:val="both"/>
        <w:rPr>
          <w:rFonts w:eastAsia="Times New Roman"/>
          <w:sz w:val="24"/>
          <w:szCs w:val="24"/>
        </w:rPr>
      </w:pPr>
      <w:r w:rsidRPr="00A65D9F">
        <w:rPr>
          <w:rFonts w:eastAsia="Times New Roman"/>
          <w:sz w:val="24"/>
          <w:szCs w:val="24"/>
        </w:rPr>
        <w:t>These CT values achieve greater than a 99.99% inactivation of Viruses. CT values between the indicated pH values may be determined by linear interpolation. CT values between the indicated temperatures of different tables may be determined by linear interpolation. If no interpolation is used, use the CT</w:t>
      </w:r>
      <w:r w:rsidRPr="00A65D9F">
        <w:rPr>
          <w:rFonts w:eastAsia="Times New Roman"/>
          <w:sz w:val="24"/>
          <w:szCs w:val="24"/>
          <w:vertAlign w:val="subscript"/>
        </w:rPr>
        <w:t>99.9</w:t>
      </w:r>
      <w:r w:rsidRPr="00A65D9F">
        <w:rPr>
          <w:rFonts w:eastAsia="Times New Roman"/>
          <w:sz w:val="24"/>
          <w:szCs w:val="24"/>
        </w:rPr>
        <w:t xml:space="preserve"> value at the lower temperature, and at the higher pH</w:t>
      </w:r>
      <w:r w:rsidRPr="00A65D9F" w:rsidDel="007B206E">
        <w:rPr>
          <w:rFonts w:eastAsia="Times New Roman"/>
          <w:sz w:val="24"/>
          <w:szCs w:val="24"/>
        </w:rPr>
        <w:t>.</w:t>
      </w:r>
    </w:p>
    <w:p w14:paraId="281A5DA0" w14:textId="77777777" w:rsidR="004647B9" w:rsidRPr="00A65D9F" w:rsidRDefault="004647B9" w:rsidP="00AB44F5">
      <w:pPr>
        <w:rPr>
          <w:sz w:val="24"/>
          <w:szCs w:val="24"/>
        </w:rPr>
      </w:pPr>
    </w:p>
    <w:p w14:paraId="281A5DA1" w14:textId="77777777" w:rsidR="004647B9" w:rsidRPr="00A65D9F" w:rsidRDefault="00E2436F" w:rsidP="00AB44F5">
      <w:pPr>
        <w:jc w:val="center"/>
        <w:rPr>
          <w:sz w:val="24"/>
          <w:szCs w:val="24"/>
        </w:rPr>
      </w:pPr>
      <w:r w:rsidRPr="00A65D9F">
        <w:rPr>
          <w:rFonts w:eastAsia="Times New Roman"/>
          <w:sz w:val="24"/>
          <w:szCs w:val="24"/>
        </w:rPr>
        <w:t>TABLE 1.5 - 310 CMR 22.20A</w:t>
      </w:r>
    </w:p>
    <w:p w14:paraId="281A5DA3" w14:textId="77777777" w:rsidR="004647B9" w:rsidRPr="00A65D9F" w:rsidRDefault="00E2436F" w:rsidP="00AB44F5">
      <w:pPr>
        <w:jc w:val="center"/>
        <w:rPr>
          <w:sz w:val="24"/>
          <w:szCs w:val="24"/>
        </w:rPr>
      </w:pPr>
      <w:r w:rsidRPr="00A65D9F">
        <w:rPr>
          <w:rFonts w:eastAsia="Times New Roman"/>
          <w:sz w:val="24"/>
          <w:szCs w:val="24"/>
        </w:rPr>
        <w:t>CT VALUES (CT</w:t>
      </w:r>
      <w:r w:rsidRPr="00A65D9F">
        <w:rPr>
          <w:rFonts w:eastAsia="Times New Roman"/>
          <w:sz w:val="24"/>
          <w:szCs w:val="24"/>
          <w:vertAlign w:val="subscript"/>
        </w:rPr>
        <w:t>99.9</w:t>
      </w:r>
      <w:r w:rsidRPr="00A65D9F">
        <w:rPr>
          <w:rFonts w:eastAsia="Times New Roman"/>
          <w:sz w:val="24"/>
          <w:szCs w:val="24"/>
        </w:rPr>
        <w:t xml:space="preserve">) FOR 99.9% INACTIVATION OF </w:t>
      </w:r>
      <w:r w:rsidRPr="00A65D9F">
        <w:rPr>
          <w:rFonts w:eastAsia="Times New Roman"/>
          <w:i/>
          <w:iCs/>
          <w:sz w:val="24"/>
          <w:szCs w:val="24"/>
        </w:rPr>
        <w:t>GIARDIA</w:t>
      </w:r>
    </w:p>
    <w:p w14:paraId="281A5DA4" w14:textId="77777777" w:rsidR="004647B9" w:rsidRPr="00A65D9F" w:rsidRDefault="00E2436F" w:rsidP="00AB44F5">
      <w:pPr>
        <w:jc w:val="center"/>
        <w:rPr>
          <w:sz w:val="24"/>
          <w:szCs w:val="24"/>
        </w:rPr>
      </w:pPr>
      <w:r w:rsidRPr="00A65D9F">
        <w:rPr>
          <w:rFonts w:eastAsia="Times New Roman"/>
          <w:i/>
          <w:iCs/>
          <w:sz w:val="24"/>
          <w:szCs w:val="24"/>
        </w:rPr>
        <w:t xml:space="preserve">LAMBLIA </w:t>
      </w:r>
      <w:r w:rsidRPr="00A65D9F">
        <w:rPr>
          <w:rFonts w:eastAsia="Times New Roman"/>
          <w:sz w:val="24"/>
          <w:szCs w:val="24"/>
        </w:rPr>
        <w:t>CYSTS BY FREE CHLORINE AT 20°C</w:t>
      </w:r>
      <w:r w:rsidRPr="00A65D9F">
        <w:rPr>
          <w:rFonts w:eastAsia="Times New Roman"/>
          <w:sz w:val="24"/>
          <w:szCs w:val="24"/>
          <w:vertAlign w:val="superscript"/>
        </w:rPr>
        <w:t>*</w:t>
      </w:r>
    </w:p>
    <w:p w14:paraId="281A5DAB" w14:textId="77777777" w:rsidR="004647B9" w:rsidRPr="00AB44F5" w:rsidRDefault="004647B9" w:rsidP="00AB44F5">
      <w:pPr>
        <w:rPr>
          <w:sz w:val="24"/>
          <w:szCs w:val="24"/>
        </w:rPr>
      </w:pPr>
    </w:p>
    <w:tbl>
      <w:tblPr>
        <w:tblW w:w="0" w:type="auto"/>
        <w:tblInd w:w="180" w:type="dxa"/>
        <w:tblLayout w:type="fixed"/>
        <w:tblCellMar>
          <w:left w:w="0" w:type="dxa"/>
          <w:right w:w="0" w:type="dxa"/>
        </w:tblCellMar>
        <w:tblLook w:val="04A0" w:firstRow="1" w:lastRow="0" w:firstColumn="1" w:lastColumn="0" w:noHBand="0" w:noVBand="1"/>
      </w:tblPr>
      <w:tblGrid>
        <w:gridCol w:w="1720"/>
        <w:gridCol w:w="1077"/>
        <w:gridCol w:w="1077"/>
        <w:gridCol w:w="1077"/>
        <w:gridCol w:w="1077"/>
        <w:gridCol w:w="1077"/>
        <w:gridCol w:w="1077"/>
        <w:gridCol w:w="1078"/>
      </w:tblGrid>
      <w:tr w:rsidR="00DD2EB1" w14:paraId="49E6F4A2" w14:textId="77777777" w:rsidTr="008F5895">
        <w:trPr>
          <w:trHeight w:val="276"/>
        </w:trPr>
        <w:tc>
          <w:tcPr>
            <w:tcW w:w="1720" w:type="dxa"/>
            <w:vMerge w:val="restart"/>
            <w:tcBorders>
              <w:bottom w:val="single" w:sz="8" w:space="0" w:color="auto"/>
            </w:tcBorders>
            <w:vAlign w:val="bottom"/>
          </w:tcPr>
          <w:p w14:paraId="0490A707" w14:textId="77777777" w:rsidR="00DD2EB1" w:rsidRDefault="00DD2EB1" w:rsidP="00AB44F5">
            <w:pPr>
              <w:rPr>
                <w:sz w:val="20"/>
                <w:szCs w:val="20"/>
              </w:rPr>
            </w:pPr>
            <w:r>
              <w:rPr>
                <w:rFonts w:eastAsia="Times New Roman"/>
                <w:sz w:val="24"/>
                <w:szCs w:val="24"/>
              </w:rPr>
              <w:t>Free</w:t>
            </w:r>
          </w:p>
          <w:p w14:paraId="3C64640D" w14:textId="77777777" w:rsidR="00DD2EB1" w:rsidRDefault="00DD2EB1" w:rsidP="00AB44F5">
            <w:pPr>
              <w:rPr>
                <w:sz w:val="20"/>
                <w:szCs w:val="20"/>
              </w:rPr>
            </w:pPr>
            <w:r>
              <w:rPr>
                <w:rFonts w:eastAsia="Times New Roman"/>
                <w:sz w:val="24"/>
                <w:szCs w:val="24"/>
              </w:rPr>
              <w:t>Residual</w:t>
            </w:r>
          </w:p>
          <w:p w14:paraId="6275D8E0" w14:textId="3DCF45E8" w:rsidR="00DD2EB1" w:rsidRDefault="00DD2EB1" w:rsidP="00AB44F5">
            <w:pPr>
              <w:rPr>
                <w:rFonts w:eastAsia="Times New Roman"/>
                <w:sz w:val="24"/>
                <w:szCs w:val="24"/>
              </w:rPr>
            </w:pPr>
            <w:r>
              <w:rPr>
                <w:rFonts w:eastAsia="Times New Roman"/>
                <w:sz w:val="24"/>
                <w:szCs w:val="24"/>
              </w:rPr>
              <w:t>(mg/l)</w:t>
            </w:r>
          </w:p>
        </w:tc>
        <w:tc>
          <w:tcPr>
            <w:tcW w:w="7540" w:type="dxa"/>
            <w:gridSpan w:val="7"/>
            <w:vAlign w:val="bottom"/>
          </w:tcPr>
          <w:p w14:paraId="5A06974B" w14:textId="02F03276" w:rsidR="00DD2EB1" w:rsidRPr="00DD2EB1" w:rsidRDefault="00DD2EB1" w:rsidP="00AB44F5">
            <w:pPr>
              <w:jc w:val="center"/>
              <w:rPr>
                <w:sz w:val="20"/>
                <w:szCs w:val="20"/>
              </w:rPr>
            </w:pPr>
            <w:r>
              <w:rPr>
                <w:rFonts w:eastAsia="Times New Roman"/>
                <w:sz w:val="24"/>
                <w:szCs w:val="24"/>
              </w:rPr>
              <w:t>pH</w:t>
            </w:r>
          </w:p>
        </w:tc>
      </w:tr>
      <w:tr w:rsidR="00DD2EB1" w14:paraId="281A5DB6" w14:textId="77777777" w:rsidTr="008F5895">
        <w:trPr>
          <w:trHeight w:val="276"/>
        </w:trPr>
        <w:tc>
          <w:tcPr>
            <w:tcW w:w="1720" w:type="dxa"/>
            <w:vMerge/>
            <w:tcBorders>
              <w:bottom w:val="single" w:sz="8" w:space="0" w:color="auto"/>
            </w:tcBorders>
            <w:vAlign w:val="bottom"/>
          </w:tcPr>
          <w:p w14:paraId="281A5DAE" w14:textId="07A4BD60" w:rsidR="00DD2EB1" w:rsidRDefault="00DD2EB1" w:rsidP="00AB44F5">
            <w:pPr>
              <w:ind w:left="280"/>
              <w:rPr>
                <w:sz w:val="20"/>
                <w:szCs w:val="20"/>
              </w:rPr>
            </w:pPr>
          </w:p>
        </w:tc>
        <w:tc>
          <w:tcPr>
            <w:tcW w:w="1077" w:type="dxa"/>
            <w:tcBorders>
              <w:bottom w:val="single" w:sz="8" w:space="0" w:color="auto"/>
            </w:tcBorders>
            <w:vAlign w:val="center"/>
          </w:tcPr>
          <w:p w14:paraId="281A5DAF" w14:textId="77777777" w:rsidR="00DD2EB1" w:rsidRDefault="00DD2EB1" w:rsidP="00AB44F5">
            <w:pPr>
              <w:jc w:val="center"/>
              <w:rPr>
                <w:sz w:val="20"/>
                <w:szCs w:val="20"/>
              </w:rPr>
            </w:pPr>
            <w:r>
              <w:rPr>
                <w:rFonts w:eastAsia="Times New Roman"/>
                <w:sz w:val="24"/>
                <w:szCs w:val="24"/>
              </w:rPr>
              <w:t>&lt; 6.0</w:t>
            </w:r>
          </w:p>
        </w:tc>
        <w:tc>
          <w:tcPr>
            <w:tcW w:w="1077" w:type="dxa"/>
            <w:tcBorders>
              <w:bottom w:val="single" w:sz="8" w:space="0" w:color="auto"/>
            </w:tcBorders>
            <w:vAlign w:val="center"/>
          </w:tcPr>
          <w:p w14:paraId="281A5DB0" w14:textId="77777777" w:rsidR="00DD2EB1" w:rsidRDefault="00DD2EB1" w:rsidP="00AB44F5">
            <w:pPr>
              <w:jc w:val="center"/>
              <w:rPr>
                <w:sz w:val="20"/>
                <w:szCs w:val="20"/>
              </w:rPr>
            </w:pPr>
            <w:r>
              <w:rPr>
                <w:rFonts w:eastAsia="Times New Roman"/>
                <w:sz w:val="24"/>
                <w:szCs w:val="24"/>
              </w:rPr>
              <w:t>6.5</w:t>
            </w:r>
          </w:p>
        </w:tc>
        <w:tc>
          <w:tcPr>
            <w:tcW w:w="1077" w:type="dxa"/>
            <w:tcBorders>
              <w:bottom w:val="single" w:sz="8" w:space="0" w:color="auto"/>
            </w:tcBorders>
            <w:vAlign w:val="center"/>
          </w:tcPr>
          <w:p w14:paraId="281A5DB1" w14:textId="77777777" w:rsidR="00DD2EB1" w:rsidRDefault="00DD2EB1" w:rsidP="00AB44F5">
            <w:pPr>
              <w:jc w:val="center"/>
              <w:rPr>
                <w:sz w:val="20"/>
                <w:szCs w:val="20"/>
              </w:rPr>
            </w:pPr>
            <w:r>
              <w:rPr>
                <w:rFonts w:eastAsia="Times New Roman"/>
                <w:sz w:val="24"/>
                <w:szCs w:val="24"/>
              </w:rPr>
              <w:t>7.0</w:t>
            </w:r>
          </w:p>
        </w:tc>
        <w:tc>
          <w:tcPr>
            <w:tcW w:w="1077" w:type="dxa"/>
            <w:tcBorders>
              <w:bottom w:val="single" w:sz="8" w:space="0" w:color="auto"/>
            </w:tcBorders>
            <w:vAlign w:val="center"/>
          </w:tcPr>
          <w:p w14:paraId="281A5DB2" w14:textId="77777777" w:rsidR="00DD2EB1" w:rsidRDefault="00DD2EB1" w:rsidP="00AB44F5">
            <w:pPr>
              <w:jc w:val="center"/>
              <w:rPr>
                <w:sz w:val="20"/>
                <w:szCs w:val="20"/>
              </w:rPr>
            </w:pPr>
            <w:r>
              <w:rPr>
                <w:rFonts w:eastAsia="Times New Roman"/>
                <w:sz w:val="24"/>
                <w:szCs w:val="24"/>
              </w:rPr>
              <w:t>7.5</w:t>
            </w:r>
          </w:p>
        </w:tc>
        <w:tc>
          <w:tcPr>
            <w:tcW w:w="1077" w:type="dxa"/>
            <w:tcBorders>
              <w:bottom w:val="single" w:sz="8" w:space="0" w:color="auto"/>
            </w:tcBorders>
            <w:vAlign w:val="center"/>
          </w:tcPr>
          <w:p w14:paraId="281A5DB3" w14:textId="77777777" w:rsidR="00DD2EB1" w:rsidRDefault="00DD2EB1" w:rsidP="00AB44F5">
            <w:pPr>
              <w:jc w:val="center"/>
              <w:rPr>
                <w:sz w:val="20"/>
                <w:szCs w:val="20"/>
              </w:rPr>
            </w:pPr>
            <w:r>
              <w:rPr>
                <w:rFonts w:eastAsia="Times New Roman"/>
                <w:sz w:val="24"/>
                <w:szCs w:val="24"/>
              </w:rPr>
              <w:t>8.0</w:t>
            </w:r>
          </w:p>
        </w:tc>
        <w:tc>
          <w:tcPr>
            <w:tcW w:w="1077" w:type="dxa"/>
            <w:tcBorders>
              <w:bottom w:val="single" w:sz="8" w:space="0" w:color="auto"/>
            </w:tcBorders>
            <w:vAlign w:val="center"/>
          </w:tcPr>
          <w:p w14:paraId="281A5DB4" w14:textId="77777777" w:rsidR="00DD2EB1" w:rsidRDefault="00DD2EB1" w:rsidP="00AB44F5">
            <w:pPr>
              <w:jc w:val="center"/>
              <w:rPr>
                <w:sz w:val="20"/>
                <w:szCs w:val="20"/>
              </w:rPr>
            </w:pPr>
            <w:r>
              <w:rPr>
                <w:rFonts w:eastAsia="Times New Roman"/>
                <w:sz w:val="24"/>
                <w:szCs w:val="24"/>
              </w:rPr>
              <w:t>8.5</w:t>
            </w:r>
          </w:p>
        </w:tc>
        <w:tc>
          <w:tcPr>
            <w:tcW w:w="1078" w:type="dxa"/>
            <w:tcBorders>
              <w:bottom w:val="single" w:sz="8" w:space="0" w:color="auto"/>
            </w:tcBorders>
            <w:vAlign w:val="center"/>
          </w:tcPr>
          <w:p w14:paraId="281A5DB5" w14:textId="77777777" w:rsidR="00DD2EB1" w:rsidRDefault="00DD2EB1" w:rsidP="00AB44F5">
            <w:pPr>
              <w:jc w:val="center"/>
              <w:rPr>
                <w:sz w:val="20"/>
                <w:szCs w:val="20"/>
              </w:rPr>
            </w:pPr>
            <w:r>
              <w:rPr>
                <w:rFonts w:eastAsia="Times New Roman"/>
                <w:w w:val="96"/>
                <w:sz w:val="24"/>
                <w:szCs w:val="24"/>
              </w:rPr>
              <w:t>&lt; 9.0</w:t>
            </w:r>
          </w:p>
        </w:tc>
      </w:tr>
      <w:tr w:rsidR="00DD2EB1" w14:paraId="281A5DD0" w14:textId="77777777" w:rsidTr="008F5895">
        <w:trPr>
          <w:trHeight w:val="539"/>
        </w:trPr>
        <w:tc>
          <w:tcPr>
            <w:tcW w:w="1720" w:type="dxa"/>
            <w:tcBorders>
              <w:top w:val="single" w:sz="8" w:space="0" w:color="auto"/>
            </w:tcBorders>
            <w:vAlign w:val="center"/>
          </w:tcPr>
          <w:p w14:paraId="281A5DC8" w14:textId="4E04408A" w:rsidR="00DD2EB1" w:rsidRDefault="00DD2EB1" w:rsidP="00AB44F5">
            <w:pPr>
              <w:jc w:val="center"/>
              <w:rPr>
                <w:sz w:val="20"/>
                <w:szCs w:val="20"/>
              </w:rPr>
            </w:pPr>
            <w:r>
              <w:rPr>
                <w:rFonts w:eastAsia="Times New Roman"/>
                <w:sz w:val="24"/>
                <w:szCs w:val="24"/>
              </w:rPr>
              <w:t>≤</w:t>
            </w:r>
            <w:r w:rsidR="008F5895">
              <w:rPr>
                <w:rFonts w:eastAsia="Times New Roman"/>
                <w:sz w:val="24"/>
                <w:szCs w:val="24"/>
              </w:rPr>
              <w:t xml:space="preserve"> </w:t>
            </w:r>
            <w:r>
              <w:rPr>
                <w:rFonts w:eastAsia="Times New Roman"/>
                <w:sz w:val="24"/>
                <w:szCs w:val="24"/>
              </w:rPr>
              <w:t>0.4</w:t>
            </w:r>
          </w:p>
        </w:tc>
        <w:tc>
          <w:tcPr>
            <w:tcW w:w="1077" w:type="dxa"/>
            <w:tcBorders>
              <w:top w:val="single" w:sz="8" w:space="0" w:color="auto"/>
            </w:tcBorders>
            <w:vAlign w:val="center"/>
          </w:tcPr>
          <w:p w14:paraId="281A5DC9" w14:textId="77777777" w:rsidR="00DD2EB1" w:rsidRDefault="00DD2EB1" w:rsidP="00AB44F5">
            <w:pPr>
              <w:jc w:val="center"/>
              <w:rPr>
                <w:sz w:val="20"/>
                <w:szCs w:val="20"/>
              </w:rPr>
            </w:pPr>
            <w:r>
              <w:rPr>
                <w:rFonts w:eastAsia="Times New Roman"/>
                <w:sz w:val="24"/>
                <w:szCs w:val="24"/>
              </w:rPr>
              <w:t>36</w:t>
            </w:r>
          </w:p>
        </w:tc>
        <w:tc>
          <w:tcPr>
            <w:tcW w:w="1077" w:type="dxa"/>
            <w:tcBorders>
              <w:top w:val="single" w:sz="8" w:space="0" w:color="auto"/>
            </w:tcBorders>
            <w:vAlign w:val="center"/>
          </w:tcPr>
          <w:p w14:paraId="281A5DCA" w14:textId="77777777" w:rsidR="00DD2EB1" w:rsidRDefault="00DD2EB1" w:rsidP="00AB44F5">
            <w:pPr>
              <w:jc w:val="center"/>
              <w:rPr>
                <w:sz w:val="20"/>
                <w:szCs w:val="20"/>
              </w:rPr>
            </w:pPr>
            <w:r>
              <w:rPr>
                <w:rFonts w:eastAsia="Times New Roman"/>
                <w:sz w:val="24"/>
                <w:szCs w:val="24"/>
              </w:rPr>
              <w:t>44</w:t>
            </w:r>
          </w:p>
        </w:tc>
        <w:tc>
          <w:tcPr>
            <w:tcW w:w="1077" w:type="dxa"/>
            <w:tcBorders>
              <w:top w:val="single" w:sz="8" w:space="0" w:color="auto"/>
            </w:tcBorders>
            <w:vAlign w:val="center"/>
          </w:tcPr>
          <w:p w14:paraId="281A5DCB" w14:textId="77777777" w:rsidR="00DD2EB1" w:rsidRDefault="00DD2EB1" w:rsidP="00AB44F5">
            <w:pPr>
              <w:jc w:val="center"/>
              <w:rPr>
                <w:sz w:val="20"/>
                <w:szCs w:val="20"/>
              </w:rPr>
            </w:pPr>
            <w:r>
              <w:rPr>
                <w:rFonts w:eastAsia="Times New Roman"/>
                <w:sz w:val="24"/>
                <w:szCs w:val="24"/>
              </w:rPr>
              <w:t>52</w:t>
            </w:r>
          </w:p>
        </w:tc>
        <w:tc>
          <w:tcPr>
            <w:tcW w:w="1077" w:type="dxa"/>
            <w:tcBorders>
              <w:top w:val="single" w:sz="8" w:space="0" w:color="auto"/>
            </w:tcBorders>
            <w:vAlign w:val="center"/>
          </w:tcPr>
          <w:p w14:paraId="281A5DCC" w14:textId="77777777" w:rsidR="00DD2EB1" w:rsidRDefault="00DD2EB1" w:rsidP="00AB44F5">
            <w:pPr>
              <w:jc w:val="center"/>
              <w:rPr>
                <w:sz w:val="20"/>
                <w:szCs w:val="20"/>
              </w:rPr>
            </w:pPr>
            <w:r>
              <w:rPr>
                <w:rFonts w:eastAsia="Times New Roman"/>
                <w:sz w:val="24"/>
                <w:szCs w:val="24"/>
              </w:rPr>
              <w:t>62</w:t>
            </w:r>
          </w:p>
        </w:tc>
        <w:tc>
          <w:tcPr>
            <w:tcW w:w="1077" w:type="dxa"/>
            <w:tcBorders>
              <w:top w:val="single" w:sz="8" w:space="0" w:color="auto"/>
            </w:tcBorders>
            <w:vAlign w:val="center"/>
          </w:tcPr>
          <w:p w14:paraId="281A5DCD" w14:textId="77777777" w:rsidR="00DD2EB1" w:rsidRDefault="00DD2EB1" w:rsidP="00AB44F5">
            <w:pPr>
              <w:jc w:val="center"/>
              <w:rPr>
                <w:sz w:val="20"/>
                <w:szCs w:val="20"/>
              </w:rPr>
            </w:pPr>
            <w:r>
              <w:rPr>
                <w:rFonts w:eastAsia="Times New Roman"/>
                <w:sz w:val="24"/>
                <w:szCs w:val="24"/>
              </w:rPr>
              <w:t>74</w:t>
            </w:r>
          </w:p>
        </w:tc>
        <w:tc>
          <w:tcPr>
            <w:tcW w:w="1077" w:type="dxa"/>
            <w:tcBorders>
              <w:top w:val="single" w:sz="8" w:space="0" w:color="auto"/>
            </w:tcBorders>
            <w:vAlign w:val="center"/>
          </w:tcPr>
          <w:p w14:paraId="281A5DCE" w14:textId="77777777" w:rsidR="00DD2EB1" w:rsidRDefault="00DD2EB1" w:rsidP="00AB44F5">
            <w:pPr>
              <w:jc w:val="center"/>
              <w:rPr>
                <w:sz w:val="20"/>
                <w:szCs w:val="20"/>
              </w:rPr>
            </w:pPr>
            <w:r>
              <w:rPr>
                <w:rFonts w:eastAsia="Times New Roman"/>
                <w:sz w:val="24"/>
                <w:szCs w:val="24"/>
              </w:rPr>
              <w:t>89</w:t>
            </w:r>
          </w:p>
        </w:tc>
        <w:tc>
          <w:tcPr>
            <w:tcW w:w="1078" w:type="dxa"/>
            <w:tcBorders>
              <w:top w:val="single" w:sz="8" w:space="0" w:color="auto"/>
            </w:tcBorders>
            <w:vAlign w:val="center"/>
          </w:tcPr>
          <w:p w14:paraId="281A5DCF" w14:textId="77777777" w:rsidR="00DD2EB1" w:rsidRDefault="00DD2EB1" w:rsidP="00AB44F5">
            <w:pPr>
              <w:jc w:val="center"/>
              <w:rPr>
                <w:sz w:val="20"/>
                <w:szCs w:val="20"/>
              </w:rPr>
            </w:pPr>
            <w:r>
              <w:rPr>
                <w:rFonts w:eastAsia="Times New Roman"/>
                <w:sz w:val="24"/>
                <w:szCs w:val="24"/>
              </w:rPr>
              <w:t>105</w:t>
            </w:r>
          </w:p>
        </w:tc>
      </w:tr>
      <w:tr w:rsidR="00DD2EB1" w14:paraId="281A5DDB" w14:textId="77777777" w:rsidTr="008F5895">
        <w:trPr>
          <w:trHeight w:val="264"/>
        </w:trPr>
        <w:tc>
          <w:tcPr>
            <w:tcW w:w="1720" w:type="dxa"/>
            <w:vAlign w:val="center"/>
          </w:tcPr>
          <w:p w14:paraId="281A5DD3" w14:textId="77777777" w:rsidR="00DD2EB1" w:rsidRDefault="00DD2EB1" w:rsidP="00AB44F5">
            <w:pPr>
              <w:jc w:val="center"/>
              <w:rPr>
                <w:sz w:val="20"/>
                <w:szCs w:val="20"/>
              </w:rPr>
            </w:pPr>
            <w:r>
              <w:rPr>
                <w:rFonts w:eastAsia="Times New Roman"/>
                <w:sz w:val="24"/>
                <w:szCs w:val="24"/>
              </w:rPr>
              <w:t>0.6</w:t>
            </w:r>
          </w:p>
        </w:tc>
        <w:tc>
          <w:tcPr>
            <w:tcW w:w="1077" w:type="dxa"/>
            <w:vAlign w:val="center"/>
          </w:tcPr>
          <w:p w14:paraId="281A5DD4" w14:textId="77777777" w:rsidR="00DD2EB1" w:rsidRDefault="00DD2EB1" w:rsidP="00AB44F5">
            <w:pPr>
              <w:jc w:val="center"/>
              <w:rPr>
                <w:sz w:val="20"/>
                <w:szCs w:val="20"/>
              </w:rPr>
            </w:pPr>
            <w:r>
              <w:rPr>
                <w:rFonts w:eastAsia="Times New Roman"/>
                <w:sz w:val="24"/>
                <w:szCs w:val="24"/>
              </w:rPr>
              <w:t>38</w:t>
            </w:r>
          </w:p>
        </w:tc>
        <w:tc>
          <w:tcPr>
            <w:tcW w:w="1077" w:type="dxa"/>
            <w:vAlign w:val="center"/>
          </w:tcPr>
          <w:p w14:paraId="281A5DD5" w14:textId="77777777" w:rsidR="00DD2EB1" w:rsidRDefault="00DD2EB1" w:rsidP="00AB44F5">
            <w:pPr>
              <w:jc w:val="center"/>
              <w:rPr>
                <w:sz w:val="20"/>
                <w:szCs w:val="20"/>
              </w:rPr>
            </w:pPr>
            <w:r>
              <w:rPr>
                <w:rFonts w:eastAsia="Times New Roman"/>
                <w:sz w:val="24"/>
                <w:szCs w:val="24"/>
              </w:rPr>
              <w:t>45</w:t>
            </w:r>
          </w:p>
        </w:tc>
        <w:tc>
          <w:tcPr>
            <w:tcW w:w="1077" w:type="dxa"/>
            <w:vAlign w:val="center"/>
          </w:tcPr>
          <w:p w14:paraId="281A5DD6" w14:textId="77777777" w:rsidR="00DD2EB1" w:rsidRDefault="00DD2EB1" w:rsidP="00AB44F5">
            <w:pPr>
              <w:jc w:val="center"/>
              <w:rPr>
                <w:sz w:val="20"/>
                <w:szCs w:val="20"/>
              </w:rPr>
            </w:pPr>
            <w:r>
              <w:rPr>
                <w:rFonts w:eastAsia="Times New Roman"/>
                <w:sz w:val="24"/>
                <w:szCs w:val="24"/>
              </w:rPr>
              <w:t>54</w:t>
            </w:r>
          </w:p>
        </w:tc>
        <w:tc>
          <w:tcPr>
            <w:tcW w:w="1077" w:type="dxa"/>
            <w:vAlign w:val="center"/>
          </w:tcPr>
          <w:p w14:paraId="281A5DD7" w14:textId="77777777" w:rsidR="00DD2EB1" w:rsidRDefault="00DD2EB1" w:rsidP="00AB44F5">
            <w:pPr>
              <w:jc w:val="center"/>
              <w:rPr>
                <w:sz w:val="20"/>
                <w:szCs w:val="20"/>
              </w:rPr>
            </w:pPr>
            <w:r>
              <w:rPr>
                <w:rFonts w:eastAsia="Times New Roman"/>
                <w:sz w:val="24"/>
                <w:szCs w:val="24"/>
              </w:rPr>
              <w:t>64</w:t>
            </w:r>
          </w:p>
        </w:tc>
        <w:tc>
          <w:tcPr>
            <w:tcW w:w="1077" w:type="dxa"/>
            <w:vAlign w:val="center"/>
          </w:tcPr>
          <w:p w14:paraId="281A5DD8" w14:textId="77777777" w:rsidR="00DD2EB1" w:rsidRDefault="00DD2EB1" w:rsidP="00AB44F5">
            <w:pPr>
              <w:jc w:val="center"/>
              <w:rPr>
                <w:sz w:val="20"/>
                <w:szCs w:val="20"/>
              </w:rPr>
            </w:pPr>
            <w:r>
              <w:rPr>
                <w:rFonts w:eastAsia="Times New Roman"/>
                <w:sz w:val="24"/>
                <w:szCs w:val="24"/>
              </w:rPr>
              <w:t>77</w:t>
            </w:r>
          </w:p>
        </w:tc>
        <w:tc>
          <w:tcPr>
            <w:tcW w:w="1077" w:type="dxa"/>
            <w:vAlign w:val="center"/>
          </w:tcPr>
          <w:p w14:paraId="281A5DD9" w14:textId="77777777" w:rsidR="00DD2EB1" w:rsidRDefault="00DD2EB1" w:rsidP="00AB44F5">
            <w:pPr>
              <w:jc w:val="center"/>
              <w:rPr>
                <w:sz w:val="20"/>
                <w:szCs w:val="20"/>
              </w:rPr>
            </w:pPr>
            <w:r>
              <w:rPr>
                <w:rFonts w:eastAsia="Times New Roman"/>
                <w:sz w:val="24"/>
                <w:szCs w:val="24"/>
              </w:rPr>
              <w:t>92</w:t>
            </w:r>
          </w:p>
        </w:tc>
        <w:tc>
          <w:tcPr>
            <w:tcW w:w="1078" w:type="dxa"/>
            <w:vAlign w:val="center"/>
          </w:tcPr>
          <w:p w14:paraId="281A5DDA" w14:textId="77777777" w:rsidR="00DD2EB1" w:rsidRDefault="00DD2EB1" w:rsidP="00AB44F5">
            <w:pPr>
              <w:jc w:val="center"/>
              <w:rPr>
                <w:sz w:val="20"/>
                <w:szCs w:val="20"/>
              </w:rPr>
            </w:pPr>
            <w:r>
              <w:rPr>
                <w:rFonts w:eastAsia="Times New Roman"/>
                <w:sz w:val="24"/>
                <w:szCs w:val="24"/>
              </w:rPr>
              <w:t>109</w:t>
            </w:r>
          </w:p>
        </w:tc>
      </w:tr>
      <w:tr w:rsidR="00DD2EB1" w14:paraId="281A5DE6" w14:textId="77777777" w:rsidTr="008F5895">
        <w:trPr>
          <w:trHeight w:val="281"/>
        </w:trPr>
        <w:tc>
          <w:tcPr>
            <w:tcW w:w="1720" w:type="dxa"/>
            <w:vAlign w:val="center"/>
          </w:tcPr>
          <w:p w14:paraId="281A5DDE" w14:textId="77777777" w:rsidR="00DD2EB1" w:rsidRDefault="00DD2EB1" w:rsidP="00AB44F5">
            <w:pPr>
              <w:jc w:val="center"/>
              <w:rPr>
                <w:sz w:val="20"/>
                <w:szCs w:val="20"/>
              </w:rPr>
            </w:pPr>
            <w:r>
              <w:rPr>
                <w:rFonts w:eastAsia="Times New Roman"/>
                <w:sz w:val="24"/>
                <w:szCs w:val="24"/>
              </w:rPr>
              <w:t>0.8</w:t>
            </w:r>
          </w:p>
        </w:tc>
        <w:tc>
          <w:tcPr>
            <w:tcW w:w="1077" w:type="dxa"/>
            <w:vAlign w:val="center"/>
          </w:tcPr>
          <w:p w14:paraId="281A5DDF" w14:textId="77777777" w:rsidR="00DD2EB1" w:rsidRDefault="00DD2EB1" w:rsidP="00AB44F5">
            <w:pPr>
              <w:jc w:val="center"/>
              <w:rPr>
                <w:sz w:val="20"/>
                <w:szCs w:val="20"/>
              </w:rPr>
            </w:pPr>
            <w:r>
              <w:rPr>
                <w:rFonts w:eastAsia="Times New Roman"/>
                <w:sz w:val="24"/>
                <w:szCs w:val="24"/>
              </w:rPr>
              <w:t>39</w:t>
            </w:r>
          </w:p>
        </w:tc>
        <w:tc>
          <w:tcPr>
            <w:tcW w:w="1077" w:type="dxa"/>
            <w:vAlign w:val="center"/>
          </w:tcPr>
          <w:p w14:paraId="281A5DE0" w14:textId="77777777" w:rsidR="00DD2EB1" w:rsidRDefault="00DD2EB1" w:rsidP="00AB44F5">
            <w:pPr>
              <w:jc w:val="center"/>
              <w:rPr>
                <w:sz w:val="20"/>
                <w:szCs w:val="20"/>
              </w:rPr>
            </w:pPr>
            <w:r>
              <w:rPr>
                <w:rFonts w:eastAsia="Times New Roman"/>
                <w:sz w:val="24"/>
                <w:szCs w:val="24"/>
              </w:rPr>
              <w:t>46</w:t>
            </w:r>
          </w:p>
        </w:tc>
        <w:tc>
          <w:tcPr>
            <w:tcW w:w="1077" w:type="dxa"/>
            <w:vAlign w:val="center"/>
          </w:tcPr>
          <w:p w14:paraId="281A5DE1" w14:textId="77777777" w:rsidR="00DD2EB1" w:rsidRDefault="00DD2EB1" w:rsidP="00AB44F5">
            <w:pPr>
              <w:jc w:val="center"/>
              <w:rPr>
                <w:sz w:val="20"/>
                <w:szCs w:val="20"/>
              </w:rPr>
            </w:pPr>
            <w:r>
              <w:rPr>
                <w:rFonts w:eastAsia="Times New Roman"/>
                <w:sz w:val="24"/>
                <w:szCs w:val="24"/>
              </w:rPr>
              <w:t>55</w:t>
            </w:r>
          </w:p>
        </w:tc>
        <w:tc>
          <w:tcPr>
            <w:tcW w:w="1077" w:type="dxa"/>
            <w:vAlign w:val="center"/>
          </w:tcPr>
          <w:p w14:paraId="281A5DE2" w14:textId="77777777" w:rsidR="00DD2EB1" w:rsidRDefault="00DD2EB1" w:rsidP="00AB44F5">
            <w:pPr>
              <w:jc w:val="center"/>
              <w:rPr>
                <w:sz w:val="20"/>
                <w:szCs w:val="20"/>
              </w:rPr>
            </w:pPr>
            <w:r>
              <w:rPr>
                <w:rFonts w:eastAsia="Times New Roman"/>
                <w:sz w:val="24"/>
                <w:szCs w:val="24"/>
              </w:rPr>
              <w:t>66</w:t>
            </w:r>
          </w:p>
        </w:tc>
        <w:tc>
          <w:tcPr>
            <w:tcW w:w="1077" w:type="dxa"/>
            <w:vAlign w:val="center"/>
          </w:tcPr>
          <w:p w14:paraId="281A5DE3" w14:textId="77777777" w:rsidR="00DD2EB1" w:rsidRDefault="00DD2EB1" w:rsidP="00AB44F5">
            <w:pPr>
              <w:jc w:val="center"/>
              <w:rPr>
                <w:sz w:val="20"/>
                <w:szCs w:val="20"/>
              </w:rPr>
            </w:pPr>
            <w:r>
              <w:rPr>
                <w:rFonts w:eastAsia="Times New Roman"/>
                <w:sz w:val="24"/>
                <w:szCs w:val="24"/>
              </w:rPr>
              <w:t>79</w:t>
            </w:r>
          </w:p>
        </w:tc>
        <w:tc>
          <w:tcPr>
            <w:tcW w:w="1077" w:type="dxa"/>
            <w:vAlign w:val="center"/>
          </w:tcPr>
          <w:p w14:paraId="281A5DE4" w14:textId="77777777" w:rsidR="00DD2EB1" w:rsidRDefault="00DD2EB1" w:rsidP="00AB44F5">
            <w:pPr>
              <w:jc w:val="center"/>
              <w:rPr>
                <w:sz w:val="20"/>
                <w:szCs w:val="20"/>
              </w:rPr>
            </w:pPr>
            <w:r>
              <w:rPr>
                <w:rFonts w:eastAsia="Times New Roman"/>
                <w:sz w:val="24"/>
                <w:szCs w:val="24"/>
              </w:rPr>
              <w:t>95</w:t>
            </w:r>
          </w:p>
        </w:tc>
        <w:tc>
          <w:tcPr>
            <w:tcW w:w="1078" w:type="dxa"/>
            <w:vAlign w:val="center"/>
          </w:tcPr>
          <w:p w14:paraId="281A5DE5" w14:textId="77777777" w:rsidR="00DD2EB1" w:rsidRDefault="00DD2EB1" w:rsidP="00AB44F5">
            <w:pPr>
              <w:jc w:val="center"/>
              <w:rPr>
                <w:sz w:val="20"/>
                <w:szCs w:val="20"/>
              </w:rPr>
            </w:pPr>
            <w:r>
              <w:rPr>
                <w:rFonts w:eastAsia="Times New Roman"/>
                <w:sz w:val="24"/>
                <w:szCs w:val="24"/>
              </w:rPr>
              <w:t>113</w:t>
            </w:r>
          </w:p>
        </w:tc>
      </w:tr>
      <w:tr w:rsidR="00DD2EB1" w14:paraId="281A5DF1" w14:textId="77777777" w:rsidTr="008F5895">
        <w:trPr>
          <w:trHeight w:val="278"/>
        </w:trPr>
        <w:tc>
          <w:tcPr>
            <w:tcW w:w="1720" w:type="dxa"/>
            <w:vAlign w:val="center"/>
          </w:tcPr>
          <w:p w14:paraId="281A5DE9" w14:textId="77777777" w:rsidR="00DD2EB1" w:rsidRDefault="00DD2EB1" w:rsidP="00AB44F5">
            <w:pPr>
              <w:jc w:val="center"/>
              <w:rPr>
                <w:sz w:val="20"/>
                <w:szCs w:val="20"/>
              </w:rPr>
            </w:pPr>
            <w:r>
              <w:rPr>
                <w:rFonts w:eastAsia="Times New Roman"/>
                <w:sz w:val="24"/>
                <w:szCs w:val="24"/>
              </w:rPr>
              <w:t>1.0</w:t>
            </w:r>
          </w:p>
        </w:tc>
        <w:tc>
          <w:tcPr>
            <w:tcW w:w="1077" w:type="dxa"/>
            <w:vAlign w:val="center"/>
          </w:tcPr>
          <w:p w14:paraId="281A5DEA" w14:textId="77777777" w:rsidR="00DD2EB1" w:rsidRDefault="00DD2EB1" w:rsidP="00AB44F5">
            <w:pPr>
              <w:jc w:val="center"/>
              <w:rPr>
                <w:sz w:val="20"/>
                <w:szCs w:val="20"/>
              </w:rPr>
            </w:pPr>
            <w:r>
              <w:rPr>
                <w:rFonts w:eastAsia="Times New Roman"/>
                <w:sz w:val="24"/>
                <w:szCs w:val="24"/>
              </w:rPr>
              <w:t>39</w:t>
            </w:r>
          </w:p>
        </w:tc>
        <w:tc>
          <w:tcPr>
            <w:tcW w:w="1077" w:type="dxa"/>
            <w:vAlign w:val="center"/>
          </w:tcPr>
          <w:p w14:paraId="281A5DEB" w14:textId="77777777" w:rsidR="00DD2EB1" w:rsidRDefault="00DD2EB1" w:rsidP="00AB44F5">
            <w:pPr>
              <w:jc w:val="center"/>
              <w:rPr>
                <w:sz w:val="20"/>
                <w:szCs w:val="20"/>
              </w:rPr>
            </w:pPr>
            <w:r>
              <w:rPr>
                <w:rFonts w:eastAsia="Times New Roman"/>
                <w:sz w:val="24"/>
                <w:szCs w:val="24"/>
              </w:rPr>
              <w:t>47</w:t>
            </w:r>
          </w:p>
        </w:tc>
        <w:tc>
          <w:tcPr>
            <w:tcW w:w="1077" w:type="dxa"/>
            <w:vAlign w:val="center"/>
          </w:tcPr>
          <w:p w14:paraId="281A5DEC" w14:textId="77777777" w:rsidR="00DD2EB1" w:rsidRDefault="00DD2EB1" w:rsidP="00AB44F5">
            <w:pPr>
              <w:jc w:val="center"/>
              <w:rPr>
                <w:sz w:val="20"/>
                <w:szCs w:val="20"/>
              </w:rPr>
            </w:pPr>
            <w:r>
              <w:rPr>
                <w:rFonts w:eastAsia="Times New Roman"/>
                <w:sz w:val="24"/>
                <w:szCs w:val="24"/>
              </w:rPr>
              <w:t>56</w:t>
            </w:r>
          </w:p>
        </w:tc>
        <w:tc>
          <w:tcPr>
            <w:tcW w:w="1077" w:type="dxa"/>
            <w:vAlign w:val="center"/>
          </w:tcPr>
          <w:p w14:paraId="281A5DED" w14:textId="77777777" w:rsidR="00DD2EB1" w:rsidRDefault="00DD2EB1" w:rsidP="00AB44F5">
            <w:pPr>
              <w:jc w:val="center"/>
              <w:rPr>
                <w:sz w:val="20"/>
                <w:szCs w:val="20"/>
              </w:rPr>
            </w:pPr>
            <w:r>
              <w:rPr>
                <w:rFonts w:eastAsia="Times New Roman"/>
                <w:sz w:val="24"/>
                <w:szCs w:val="24"/>
              </w:rPr>
              <w:t>67</w:t>
            </w:r>
          </w:p>
        </w:tc>
        <w:tc>
          <w:tcPr>
            <w:tcW w:w="1077" w:type="dxa"/>
            <w:vAlign w:val="center"/>
          </w:tcPr>
          <w:p w14:paraId="281A5DEE" w14:textId="77777777" w:rsidR="00DD2EB1" w:rsidRDefault="00DD2EB1" w:rsidP="00AB44F5">
            <w:pPr>
              <w:jc w:val="center"/>
              <w:rPr>
                <w:sz w:val="20"/>
                <w:szCs w:val="20"/>
              </w:rPr>
            </w:pPr>
            <w:r>
              <w:rPr>
                <w:rFonts w:eastAsia="Times New Roman"/>
                <w:sz w:val="24"/>
                <w:szCs w:val="24"/>
              </w:rPr>
              <w:t>81</w:t>
            </w:r>
          </w:p>
        </w:tc>
        <w:tc>
          <w:tcPr>
            <w:tcW w:w="1077" w:type="dxa"/>
            <w:vAlign w:val="center"/>
          </w:tcPr>
          <w:p w14:paraId="281A5DEF" w14:textId="77777777" w:rsidR="00DD2EB1" w:rsidRDefault="00DD2EB1" w:rsidP="00AB44F5">
            <w:pPr>
              <w:jc w:val="center"/>
              <w:rPr>
                <w:sz w:val="20"/>
                <w:szCs w:val="20"/>
              </w:rPr>
            </w:pPr>
            <w:r>
              <w:rPr>
                <w:rFonts w:eastAsia="Times New Roman"/>
                <w:sz w:val="24"/>
                <w:szCs w:val="24"/>
              </w:rPr>
              <w:t>98</w:t>
            </w:r>
          </w:p>
        </w:tc>
        <w:tc>
          <w:tcPr>
            <w:tcW w:w="1078" w:type="dxa"/>
            <w:vAlign w:val="center"/>
          </w:tcPr>
          <w:p w14:paraId="281A5DF0" w14:textId="77777777" w:rsidR="00DD2EB1" w:rsidRDefault="00DD2EB1" w:rsidP="00AB44F5">
            <w:pPr>
              <w:jc w:val="center"/>
              <w:rPr>
                <w:sz w:val="20"/>
                <w:szCs w:val="20"/>
              </w:rPr>
            </w:pPr>
            <w:r>
              <w:rPr>
                <w:rFonts w:eastAsia="Times New Roman"/>
                <w:sz w:val="24"/>
                <w:szCs w:val="24"/>
              </w:rPr>
              <w:t>117</w:t>
            </w:r>
          </w:p>
        </w:tc>
      </w:tr>
      <w:tr w:rsidR="00DD2EB1" w14:paraId="281A5DFC" w14:textId="77777777" w:rsidTr="008F5895">
        <w:trPr>
          <w:trHeight w:val="281"/>
        </w:trPr>
        <w:tc>
          <w:tcPr>
            <w:tcW w:w="1720" w:type="dxa"/>
            <w:vAlign w:val="center"/>
          </w:tcPr>
          <w:p w14:paraId="281A5DF4" w14:textId="77777777" w:rsidR="00DD2EB1" w:rsidRDefault="00DD2EB1" w:rsidP="00AB44F5">
            <w:pPr>
              <w:jc w:val="center"/>
              <w:rPr>
                <w:sz w:val="20"/>
                <w:szCs w:val="20"/>
              </w:rPr>
            </w:pPr>
            <w:r>
              <w:rPr>
                <w:rFonts w:eastAsia="Times New Roman"/>
                <w:sz w:val="24"/>
                <w:szCs w:val="24"/>
              </w:rPr>
              <w:t>1.2</w:t>
            </w:r>
          </w:p>
        </w:tc>
        <w:tc>
          <w:tcPr>
            <w:tcW w:w="1077" w:type="dxa"/>
            <w:vAlign w:val="center"/>
          </w:tcPr>
          <w:p w14:paraId="281A5DF5" w14:textId="77777777" w:rsidR="00DD2EB1" w:rsidRDefault="00DD2EB1" w:rsidP="00AB44F5">
            <w:pPr>
              <w:jc w:val="center"/>
              <w:rPr>
                <w:sz w:val="20"/>
                <w:szCs w:val="20"/>
              </w:rPr>
            </w:pPr>
            <w:r>
              <w:rPr>
                <w:rFonts w:eastAsia="Times New Roman"/>
                <w:sz w:val="24"/>
                <w:szCs w:val="24"/>
              </w:rPr>
              <w:t>40</w:t>
            </w:r>
          </w:p>
        </w:tc>
        <w:tc>
          <w:tcPr>
            <w:tcW w:w="1077" w:type="dxa"/>
            <w:vAlign w:val="center"/>
          </w:tcPr>
          <w:p w14:paraId="281A5DF6" w14:textId="77777777" w:rsidR="00DD2EB1" w:rsidRDefault="00DD2EB1" w:rsidP="00AB44F5">
            <w:pPr>
              <w:jc w:val="center"/>
              <w:rPr>
                <w:sz w:val="20"/>
                <w:szCs w:val="20"/>
              </w:rPr>
            </w:pPr>
            <w:r>
              <w:rPr>
                <w:rFonts w:eastAsia="Times New Roman"/>
                <w:sz w:val="24"/>
                <w:szCs w:val="24"/>
              </w:rPr>
              <w:t>48</w:t>
            </w:r>
          </w:p>
        </w:tc>
        <w:tc>
          <w:tcPr>
            <w:tcW w:w="1077" w:type="dxa"/>
            <w:vAlign w:val="center"/>
          </w:tcPr>
          <w:p w14:paraId="281A5DF7" w14:textId="77777777" w:rsidR="00DD2EB1" w:rsidRDefault="00DD2EB1" w:rsidP="00AB44F5">
            <w:pPr>
              <w:jc w:val="center"/>
              <w:rPr>
                <w:sz w:val="20"/>
                <w:szCs w:val="20"/>
              </w:rPr>
            </w:pPr>
            <w:r>
              <w:rPr>
                <w:rFonts w:eastAsia="Times New Roman"/>
                <w:sz w:val="24"/>
                <w:szCs w:val="24"/>
              </w:rPr>
              <w:t>57</w:t>
            </w:r>
          </w:p>
        </w:tc>
        <w:tc>
          <w:tcPr>
            <w:tcW w:w="1077" w:type="dxa"/>
            <w:vAlign w:val="center"/>
          </w:tcPr>
          <w:p w14:paraId="281A5DF8" w14:textId="77777777" w:rsidR="00DD2EB1" w:rsidRDefault="00DD2EB1" w:rsidP="00AB44F5">
            <w:pPr>
              <w:jc w:val="center"/>
              <w:rPr>
                <w:sz w:val="20"/>
                <w:szCs w:val="20"/>
              </w:rPr>
            </w:pPr>
            <w:r>
              <w:rPr>
                <w:rFonts w:eastAsia="Times New Roman"/>
                <w:sz w:val="24"/>
                <w:szCs w:val="24"/>
              </w:rPr>
              <w:t>69</w:t>
            </w:r>
          </w:p>
        </w:tc>
        <w:tc>
          <w:tcPr>
            <w:tcW w:w="1077" w:type="dxa"/>
            <w:vAlign w:val="center"/>
          </w:tcPr>
          <w:p w14:paraId="281A5DF9" w14:textId="77777777" w:rsidR="00DD2EB1" w:rsidRDefault="00DD2EB1" w:rsidP="00AB44F5">
            <w:pPr>
              <w:jc w:val="center"/>
              <w:rPr>
                <w:sz w:val="20"/>
                <w:szCs w:val="20"/>
              </w:rPr>
            </w:pPr>
            <w:r>
              <w:rPr>
                <w:rFonts w:eastAsia="Times New Roman"/>
                <w:sz w:val="24"/>
                <w:szCs w:val="24"/>
              </w:rPr>
              <w:t>83</w:t>
            </w:r>
          </w:p>
        </w:tc>
        <w:tc>
          <w:tcPr>
            <w:tcW w:w="1077" w:type="dxa"/>
            <w:vAlign w:val="center"/>
          </w:tcPr>
          <w:p w14:paraId="281A5DFA" w14:textId="77777777" w:rsidR="00DD2EB1" w:rsidRDefault="00DD2EB1" w:rsidP="00AB44F5">
            <w:pPr>
              <w:jc w:val="center"/>
              <w:rPr>
                <w:sz w:val="20"/>
                <w:szCs w:val="20"/>
              </w:rPr>
            </w:pPr>
            <w:r>
              <w:rPr>
                <w:rFonts w:eastAsia="Times New Roman"/>
                <w:w w:val="94"/>
                <w:sz w:val="24"/>
                <w:szCs w:val="24"/>
              </w:rPr>
              <w:t>100</w:t>
            </w:r>
          </w:p>
        </w:tc>
        <w:tc>
          <w:tcPr>
            <w:tcW w:w="1078" w:type="dxa"/>
            <w:vAlign w:val="center"/>
          </w:tcPr>
          <w:p w14:paraId="281A5DFB" w14:textId="77777777" w:rsidR="00DD2EB1" w:rsidRDefault="00DD2EB1" w:rsidP="00AB44F5">
            <w:pPr>
              <w:jc w:val="center"/>
              <w:rPr>
                <w:sz w:val="20"/>
                <w:szCs w:val="20"/>
              </w:rPr>
            </w:pPr>
            <w:r>
              <w:rPr>
                <w:rFonts w:eastAsia="Times New Roman"/>
                <w:sz w:val="24"/>
                <w:szCs w:val="24"/>
              </w:rPr>
              <w:t>120</w:t>
            </w:r>
          </w:p>
        </w:tc>
      </w:tr>
      <w:tr w:rsidR="00DD2EB1" w14:paraId="281A5E07" w14:textId="77777777" w:rsidTr="008F5895">
        <w:trPr>
          <w:trHeight w:val="278"/>
        </w:trPr>
        <w:tc>
          <w:tcPr>
            <w:tcW w:w="1720" w:type="dxa"/>
            <w:vAlign w:val="center"/>
          </w:tcPr>
          <w:p w14:paraId="281A5DFF" w14:textId="77777777" w:rsidR="00DD2EB1" w:rsidRDefault="00DD2EB1" w:rsidP="00AB44F5">
            <w:pPr>
              <w:jc w:val="center"/>
              <w:rPr>
                <w:sz w:val="20"/>
                <w:szCs w:val="20"/>
              </w:rPr>
            </w:pPr>
            <w:r>
              <w:rPr>
                <w:rFonts w:eastAsia="Times New Roman"/>
                <w:sz w:val="24"/>
                <w:szCs w:val="24"/>
              </w:rPr>
              <w:t>1.4</w:t>
            </w:r>
          </w:p>
        </w:tc>
        <w:tc>
          <w:tcPr>
            <w:tcW w:w="1077" w:type="dxa"/>
            <w:vAlign w:val="center"/>
          </w:tcPr>
          <w:p w14:paraId="281A5E00" w14:textId="77777777" w:rsidR="00DD2EB1" w:rsidRDefault="00DD2EB1" w:rsidP="00AB44F5">
            <w:pPr>
              <w:jc w:val="center"/>
              <w:rPr>
                <w:sz w:val="20"/>
                <w:szCs w:val="20"/>
              </w:rPr>
            </w:pPr>
            <w:r>
              <w:rPr>
                <w:rFonts w:eastAsia="Times New Roman"/>
                <w:sz w:val="24"/>
                <w:szCs w:val="24"/>
              </w:rPr>
              <w:t>41</w:t>
            </w:r>
          </w:p>
        </w:tc>
        <w:tc>
          <w:tcPr>
            <w:tcW w:w="1077" w:type="dxa"/>
            <w:vAlign w:val="center"/>
          </w:tcPr>
          <w:p w14:paraId="281A5E01" w14:textId="77777777" w:rsidR="00DD2EB1" w:rsidRDefault="00DD2EB1" w:rsidP="00AB44F5">
            <w:pPr>
              <w:jc w:val="center"/>
              <w:rPr>
                <w:sz w:val="20"/>
                <w:szCs w:val="20"/>
              </w:rPr>
            </w:pPr>
            <w:r>
              <w:rPr>
                <w:rFonts w:eastAsia="Times New Roman"/>
                <w:sz w:val="24"/>
                <w:szCs w:val="24"/>
              </w:rPr>
              <w:t>49</w:t>
            </w:r>
          </w:p>
        </w:tc>
        <w:tc>
          <w:tcPr>
            <w:tcW w:w="1077" w:type="dxa"/>
            <w:vAlign w:val="center"/>
          </w:tcPr>
          <w:p w14:paraId="281A5E02" w14:textId="77777777" w:rsidR="00DD2EB1" w:rsidRDefault="00DD2EB1" w:rsidP="00AB44F5">
            <w:pPr>
              <w:jc w:val="center"/>
              <w:rPr>
                <w:sz w:val="20"/>
                <w:szCs w:val="20"/>
              </w:rPr>
            </w:pPr>
            <w:r>
              <w:rPr>
                <w:rFonts w:eastAsia="Times New Roman"/>
                <w:sz w:val="24"/>
                <w:szCs w:val="24"/>
              </w:rPr>
              <w:t>58</w:t>
            </w:r>
          </w:p>
        </w:tc>
        <w:tc>
          <w:tcPr>
            <w:tcW w:w="1077" w:type="dxa"/>
            <w:vAlign w:val="center"/>
          </w:tcPr>
          <w:p w14:paraId="281A5E03" w14:textId="77777777" w:rsidR="00DD2EB1" w:rsidRDefault="00DD2EB1" w:rsidP="00AB44F5">
            <w:pPr>
              <w:jc w:val="center"/>
              <w:rPr>
                <w:sz w:val="20"/>
                <w:szCs w:val="20"/>
              </w:rPr>
            </w:pPr>
            <w:r>
              <w:rPr>
                <w:rFonts w:eastAsia="Times New Roman"/>
                <w:sz w:val="24"/>
                <w:szCs w:val="24"/>
              </w:rPr>
              <w:t>70</w:t>
            </w:r>
          </w:p>
        </w:tc>
        <w:tc>
          <w:tcPr>
            <w:tcW w:w="1077" w:type="dxa"/>
            <w:vAlign w:val="center"/>
          </w:tcPr>
          <w:p w14:paraId="281A5E04" w14:textId="77777777" w:rsidR="00DD2EB1" w:rsidRDefault="00DD2EB1" w:rsidP="00AB44F5">
            <w:pPr>
              <w:jc w:val="center"/>
              <w:rPr>
                <w:sz w:val="20"/>
                <w:szCs w:val="20"/>
              </w:rPr>
            </w:pPr>
            <w:r>
              <w:rPr>
                <w:rFonts w:eastAsia="Times New Roman"/>
                <w:sz w:val="24"/>
                <w:szCs w:val="24"/>
              </w:rPr>
              <w:t>85</w:t>
            </w:r>
          </w:p>
        </w:tc>
        <w:tc>
          <w:tcPr>
            <w:tcW w:w="1077" w:type="dxa"/>
            <w:vAlign w:val="center"/>
          </w:tcPr>
          <w:p w14:paraId="281A5E05" w14:textId="77777777" w:rsidR="00DD2EB1" w:rsidRDefault="00DD2EB1" w:rsidP="00AB44F5">
            <w:pPr>
              <w:jc w:val="center"/>
              <w:rPr>
                <w:sz w:val="20"/>
                <w:szCs w:val="20"/>
              </w:rPr>
            </w:pPr>
            <w:r>
              <w:rPr>
                <w:rFonts w:eastAsia="Times New Roman"/>
                <w:w w:val="94"/>
                <w:sz w:val="24"/>
                <w:szCs w:val="24"/>
              </w:rPr>
              <w:t>103</w:t>
            </w:r>
          </w:p>
        </w:tc>
        <w:tc>
          <w:tcPr>
            <w:tcW w:w="1078" w:type="dxa"/>
            <w:vAlign w:val="center"/>
          </w:tcPr>
          <w:p w14:paraId="281A5E06" w14:textId="77777777" w:rsidR="00DD2EB1" w:rsidRDefault="00DD2EB1" w:rsidP="00AB44F5">
            <w:pPr>
              <w:jc w:val="center"/>
              <w:rPr>
                <w:sz w:val="20"/>
                <w:szCs w:val="20"/>
              </w:rPr>
            </w:pPr>
            <w:r>
              <w:rPr>
                <w:rFonts w:eastAsia="Times New Roman"/>
                <w:sz w:val="24"/>
                <w:szCs w:val="24"/>
              </w:rPr>
              <w:t>123</w:t>
            </w:r>
          </w:p>
        </w:tc>
      </w:tr>
      <w:tr w:rsidR="00DD2EB1" w14:paraId="281A5E12" w14:textId="77777777" w:rsidTr="008F5895">
        <w:trPr>
          <w:trHeight w:val="281"/>
        </w:trPr>
        <w:tc>
          <w:tcPr>
            <w:tcW w:w="1720" w:type="dxa"/>
            <w:vAlign w:val="center"/>
          </w:tcPr>
          <w:p w14:paraId="281A5E0A" w14:textId="77777777" w:rsidR="00DD2EB1" w:rsidRDefault="00DD2EB1" w:rsidP="00AB44F5">
            <w:pPr>
              <w:jc w:val="center"/>
              <w:rPr>
                <w:sz w:val="20"/>
                <w:szCs w:val="20"/>
              </w:rPr>
            </w:pPr>
            <w:r>
              <w:rPr>
                <w:rFonts w:eastAsia="Times New Roman"/>
                <w:sz w:val="24"/>
                <w:szCs w:val="24"/>
              </w:rPr>
              <w:t>1.6</w:t>
            </w:r>
          </w:p>
        </w:tc>
        <w:tc>
          <w:tcPr>
            <w:tcW w:w="1077" w:type="dxa"/>
            <w:vAlign w:val="center"/>
          </w:tcPr>
          <w:p w14:paraId="281A5E0B" w14:textId="77777777" w:rsidR="00DD2EB1" w:rsidRDefault="00DD2EB1" w:rsidP="00AB44F5">
            <w:pPr>
              <w:jc w:val="center"/>
              <w:rPr>
                <w:sz w:val="20"/>
                <w:szCs w:val="20"/>
              </w:rPr>
            </w:pPr>
            <w:r>
              <w:rPr>
                <w:rFonts w:eastAsia="Times New Roman"/>
                <w:sz w:val="24"/>
                <w:szCs w:val="24"/>
              </w:rPr>
              <w:t>42</w:t>
            </w:r>
          </w:p>
        </w:tc>
        <w:tc>
          <w:tcPr>
            <w:tcW w:w="1077" w:type="dxa"/>
            <w:vAlign w:val="center"/>
          </w:tcPr>
          <w:p w14:paraId="281A5E0C" w14:textId="77777777" w:rsidR="00DD2EB1" w:rsidRDefault="00DD2EB1" w:rsidP="00AB44F5">
            <w:pPr>
              <w:jc w:val="center"/>
              <w:rPr>
                <w:sz w:val="20"/>
                <w:szCs w:val="20"/>
              </w:rPr>
            </w:pPr>
            <w:r>
              <w:rPr>
                <w:rFonts w:eastAsia="Times New Roman"/>
                <w:sz w:val="24"/>
                <w:szCs w:val="24"/>
              </w:rPr>
              <w:t>50</w:t>
            </w:r>
          </w:p>
        </w:tc>
        <w:tc>
          <w:tcPr>
            <w:tcW w:w="1077" w:type="dxa"/>
            <w:vAlign w:val="center"/>
          </w:tcPr>
          <w:p w14:paraId="281A5E0D" w14:textId="77777777" w:rsidR="00DD2EB1" w:rsidRDefault="00DD2EB1" w:rsidP="00AB44F5">
            <w:pPr>
              <w:jc w:val="center"/>
              <w:rPr>
                <w:sz w:val="20"/>
                <w:szCs w:val="20"/>
              </w:rPr>
            </w:pPr>
            <w:r>
              <w:rPr>
                <w:rFonts w:eastAsia="Times New Roman"/>
                <w:sz w:val="24"/>
                <w:szCs w:val="24"/>
              </w:rPr>
              <w:t>59</w:t>
            </w:r>
          </w:p>
        </w:tc>
        <w:tc>
          <w:tcPr>
            <w:tcW w:w="1077" w:type="dxa"/>
            <w:vAlign w:val="center"/>
          </w:tcPr>
          <w:p w14:paraId="281A5E0E" w14:textId="77777777" w:rsidR="00DD2EB1" w:rsidRDefault="00DD2EB1" w:rsidP="00AB44F5">
            <w:pPr>
              <w:jc w:val="center"/>
              <w:rPr>
                <w:sz w:val="20"/>
                <w:szCs w:val="20"/>
              </w:rPr>
            </w:pPr>
            <w:r>
              <w:rPr>
                <w:rFonts w:eastAsia="Times New Roman"/>
                <w:sz w:val="24"/>
                <w:szCs w:val="24"/>
              </w:rPr>
              <w:t>72</w:t>
            </w:r>
          </w:p>
        </w:tc>
        <w:tc>
          <w:tcPr>
            <w:tcW w:w="1077" w:type="dxa"/>
            <w:vAlign w:val="center"/>
          </w:tcPr>
          <w:p w14:paraId="281A5E0F" w14:textId="77777777" w:rsidR="00DD2EB1" w:rsidRDefault="00DD2EB1" w:rsidP="00AB44F5">
            <w:pPr>
              <w:jc w:val="center"/>
              <w:rPr>
                <w:sz w:val="20"/>
                <w:szCs w:val="20"/>
              </w:rPr>
            </w:pPr>
            <w:r>
              <w:rPr>
                <w:rFonts w:eastAsia="Times New Roman"/>
                <w:sz w:val="24"/>
                <w:szCs w:val="24"/>
              </w:rPr>
              <w:t>87</w:t>
            </w:r>
          </w:p>
        </w:tc>
        <w:tc>
          <w:tcPr>
            <w:tcW w:w="1077" w:type="dxa"/>
            <w:vAlign w:val="center"/>
          </w:tcPr>
          <w:p w14:paraId="281A5E10" w14:textId="77777777" w:rsidR="00DD2EB1" w:rsidRDefault="00DD2EB1" w:rsidP="00AB44F5">
            <w:pPr>
              <w:jc w:val="center"/>
              <w:rPr>
                <w:sz w:val="20"/>
                <w:szCs w:val="20"/>
              </w:rPr>
            </w:pPr>
            <w:r>
              <w:rPr>
                <w:rFonts w:eastAsia="Times New Roman"/>
                <w:w w:val="94"/>
                <w:sz w:val="24"/>
                <w:szCs w:val="24"/>
              </w:rPr>
              <w:t>105</w:t>
            </w:r>
          </w:p>
        </w:tc>
        <w:tc>
          <w:tcPr>
            <w:tcW w:w="1078" w:type="dxa"/>
            <w:vAlign w:val="center"/>
          </w:tcPr>
          <w:p w14:paraId="281A5E11" w14:textId="77777777" w:rsidR="00DD2EB1" w:rsidRDefault="00DD2EB1" w:rsidP="00AB44F5">
            <w:pPr>
              <w:jc w:val="center"/>
              <w:rPr>
                <w:sz w:val="20"/>
                <w:szCs w:val="20"/>
              </w:rPr>
            </w:pPr>
            <w:r>
              <w:rPr>
                <w:rFonts w:eastAsia="Times New Roman"/>
                <w:sz w:val="24"/>
                <w:szCs w:val="24"/>
              </w:rPr>
              <w:t>126</w:t>
            </w:r>
          </w:p>
        </w:tc>
      </w:tr>
      <w:tr w:rsidR="00DD2EB1" w14:paraId="281A5E1D" w14:textId="77777777" w:rsidTr="008F5895">
        <w:trPr>
          <w:trHeight w:val="278"/>
        </w:trPr>
        <w:tc>
          <w:tcPr>
            <w:tcW w:w="1720" w:type="dxa"/>
            <w:vAlign w:val="center"/>
          </w:tcPr>
          <w:p w14:paraId="281A5E15" w14:textId="77777777" w:rsidR="00DD2EB1" w:rsidRDefault="00DD2EB1" w:rsidP="00AB44F5">
            <w:pPr>
              <w:jc w:val="center"/>
              <w:rPr>
                <w:sz w:val="20"/>
                <w:szCs w:val="20"/>
              </w:rPr>
            </w:pPr>
            <w:r>
              <w:rPr>
                <w:rFonts w:eastAsia="Times New Roman"/>
                <w:sz w:val="24"/>
                <w:szCs w:val="24"/>
              </w:rPr>
              <w:t>1.8</w:t>
            </w:r>
          </w:p>
        </w:tc>
        <w:tc>
          <w:tcPr>
            <w:tcW w:w="1077" w:type="dxa"/>
            <w:vAlign w:val="center"/>
          </w:tcPr>
          <w:p w14:paraId="281A5E16" w14:textId="77777777" w:rsidR="00DD2EB1" w:rsidRDefault="00DD2EB1" w:rsidP="00AB44F5">
            <w:pPr>
              <w:jc w:val="center"/>
              <w:rPr>
                <w:sz w:val="20"/>
                <w:szCs w:val="20"/>
              </w:rPr>
            </w:pPr>
            <w:r>
              <w:rPr>
                <w:rFonts w:eastAsia="Times New Roman"/>
                <w:sz w:val="24"/>
                <w:szCs w:val="24"/>
              </w:rPr>
              <w:t>43</w:t>
            </w:r>
          </w:p>
        </w:tc>
        <w:tc>
          <w:tcPr>
            <w:tcW w:w="1077" w:type="dxa"/>
            <w:vAlign w:val="center"/>
          </w:tcPr>
          <w:p w14:paraId="281A5E17" w14:textId="77777777" w:rsidR="00DD2EB1" w:rsidRDefault="00DD2EB1" w:rsidP="00AB44F5">
            <w:pPr>
              <w:jc w:val="center"/>
              <w:rPr>
                <w:sz w:val="20"/>
                <w:szCs w:val="20"/>
              </w:rPr>
            </w:pPr>
            <w:r>
              <w:rPr>
                <w:rFonts w:eastAsia="Times New Roman"/>
                <w:sz w:val="24"/>
                <w:szCs w:val="24"/>
              </w:rPr>
              <w:t>51</w:t>
            </w:r>
          </w:p>
        </w:tc>
        <w:tc>
          <w:tcPr>
            <w:tcW w:w="1077" w:type="dxa"/>
            <w:vAlign w:val="center"/>
          </w:tcPr>
          <w:p w14:paraId="281A5E18" w14:textId="77777777" w:rsidR="00DD2EB1" w:rsidRDefault="00DD2EB1" w:rsidP="00AB44F5">
            <w:pPr>
              <w:jc w:val="center"/>
              <w:rPr>
                <w:sz w:val="20"/>
                <w:szCs w:val="20"/>
              </w:rPr>
            </w:pPr>
            <w:r>
              <w:rPr>
                <w:rFonts w:eastAsia="Times New Roman"/>
                <w:sz w:val="24"/>
                <w:szCs w:val="24"/>
              </w:rPr>
              <w:t>61</w:t>
            </w:r>
          </w:p>
        </w:tc>
        <w:tc>
          <w:tcPr>
            <w:tcW w:w="1077" w:type="dxa"/>
            <w:vAlign w:val="center"/>
          </w:tcPr>
          <w:p w14:paraId="281A5E19" w14:textId="77777777" w:rsidR="00DD2EB1" w:rsidRDefault="00DD2EB1" w:rsidP="00AB44F5">
            <w:pPr>
              <w:jc w:val="center"/>
              <w:rPr>
                <w:sz w:val="20"/>
                <w:szCs w:val="20"/>
              </w:rPr>
            </w:pPr>
            <w:r>
              <w:rPr>
                <w:rFonts w:eastAsia="Times New Roman"/>
                <w:sz w:val="24"/>
                <w:szCs w:val="24"/>
              </w:rPr>
              <w:t>74</w:t>
            </w:r>
          </w:p>
        </w:tc>
        <w:tc>
          <w:tcPr>
            <w:tcW w:w="1077" w:type="dxa"/>
            <w:vAlign w:val="center"/>
          </w:tcPr>
          <w:p w14:paraId="281A5E1A" w14:textId="77777777" w:rsidR="00DD2EB1" w:rsidRDefault="00DD2EB1" w:rsidP="00AB44F5">
            <w:pPr>
              <w:jc w:val="center"/>
              <w:rPr>
                <w:sz w:val="20"/>
                <w:szCs w:val="20"/>
              </w:rPr>
            </w:pPr>
            <w:r>
              <w:rPr>
                <w:rFonts w:eastAsia="Times New Roman"/>
                <w:sz w:val="24"/>
                <w:szCs w:val="24"/>
              </w:rPr>
              <w:t>89</w:t>
            </w:r>
          </w:p>
        </w:tc>
        <w:tc>
          <w:tcPr>
            <w:tcW w:w="1077" w:type="dxa"/>
            <w:vAlign w:val="center"/>
          </w:tcPr>
          <w:p w14:paraId="281A5E1B" w14:textId="77777777" w:rsidR="00DD2EB1" w:rsidRDefault="00DD2EB1" w:rsidP="00AB44F5">
            <w:pPr>
              <w:jc w:val="center"/>
              <w:rPr>
                <w:sz w:val="20"/>
                <w:szCs w:val="20"/>
              </w:rPr>
            </w:pPr>
            <w:r>
              <w:rPr>
                <w:rFonts w:eastAsia="Times New Roman"/>
                <w:w w:val="94"/>
                <w:sz w:val="24"/>
                <w:szCs w:val="24"/>
              </w:rPr>
              <w:t>108</w:t>
            </w:r>
          </w:p>
        </w:tc>
        <w:tc>
          <w:tcPr>
            <w:tcW w:w="1078" w:type="dxa"/>
            <w:vAlign w:val="center"/>
          </w:tcPr>
          <w:p w14:paraId="281A5E1C" w14:textId="77777777" w:rsidR="00DD2EB1" w:rsidRDefault="00DD2EB1" w:rsidP="00AB44F5">
            <w:pPr>
              <w:jc w:val="center"/>
              <w:rPr>
                <w:sz w:val="20"/>
                <w:szCs w:val="20"/>
              </w:rPr>
            </w:pPr>
            <w:r>
              <w:rPr>
                <w:rFonts w:eastAsia="Times New Roman"/>
                <w:sz w:val="24"/>
                <w:szCs w:val="24"/>
              </w:rPr>
              <w:t>129</w:t>
            </w:r>
          </w:p>
        </w:tc>
      </w:tr>
      <w:tr w:rsidR="00DD2EB1" w14:paraId="281A5E28" w14:textId="77777777" w:rsidTr="008F5895">
        <w:trPr>
          <w:trHeight w:val="281"/>
        </w:trPr>
        <w:tc>
          <w:tcPr>
            <w:tcW w:w="1720" w:type="dxa"/>
            <w:vAlign w:val="center"/>
          </w:tcPr>
          <w:p w14:paraId="281A5E20" w14:textId="77777777" w:rsidR="00DD2EB1" w:rsidRDefault="00DD2EB1" w:rsidP="00AB44F5">
            <w:pPr>
              <w:jc w:val="center"/>
              <w:rPr>
                <w:sz w:val="20"/>
                <w:szCs w:val="20"/>
              </w:rPr>
            </w:pPr>
            <w:r>
              <w:rPr>
                <w:rFonts w:eastAsia="Times New Roman"/>
                <w:sz w:val="24"/>
                <w:szCs w:val="24"/>
              </w:rPr>
              <w:t>2.0</w:t>
            </w:r>
          </w:p>
        </w:tc>
        <w:tc>
          <w:tcPr>
            <w:tcW w:w="1077" w:type="dxa"/>
            <w:vAlign w:val="center"/>
          </w:tcPr>
          <w:p w14:paraId="281A5E21" w14:textId="77777777" w:rsidR="00DD2EB1" w:rsidRDefault="00DD2EB1" w:rsidP="00AB44F5">
            <w:pPr>
              <w:jc w:val="center"/>
              <w:rPr>
                <w:sz w:val="20"/>
                <w:szCs w:val="20"/>
              </w:rPr>
            </w:pPr>
            <w:r>
              <w:rPr>
                <w:rFonts w:eastAsia="Times New Roman"/>
                <w:sz w:val="24"/>
                <w:szCs w:val="24"/>
              </w:rPr>
              <w:t>44</w:t>
            </w:r>
          </w:p>
        </w:tc>
        <w:tc>
          <w:tcPr>
            <w:tcW w:w="1077" w:type="dxa"/>
            <w:vAlign w:val="center"/>
          </w:tcPr>
          <w:p w14:paraId="281A5E22" w14:textId="77777777" w:rsidR="00DD2EB1" w:rsidRDefault="00DD2EB1" w:rsidP="00AB44F5">
            <w:pPr>
              <w:jc w:val="center"/>
              <w:rPr>
                <w:sz w:val="20"/>
                <w:szCs w:val="20"/>
              </w:rPr>
            </w:pPr>
            <w:r>
              <w:rPr>
                <w:rFonts w:eastAsia="Times New Roman"/>
                <w:sz w:val="24"/>
                <w:szCs w:val="24"/>
              </w:rPr>
              <w:t>52</w:t>
            </w:r>
          </w:p>
        </w:tc>
        <w:tc>
          <w:tcPr>
            <w:tcW w:w="1077" w:type="dxa"/>
            <w:vAlign w:val="center"/>
          </w:tcPr>
          <w:p w14:paraId="281A5E23" w14:textId="77777777" w:rsidR="00DD2EB1" w:rsidRDefault="00DD2EB1" w:rsidP="00AB44F5">
            <w:pPr>
              <w:jc w:val="center"/>
              <w:rPr>
                <w:sz w:val="20"/>
                <w:szCs w:val="20"/>
              </w:rPr>
            </w:pPr>
            <w:r>
              <w:rPr>
                <w:rFonts w:eastAsia="Times New Roman"/>
                <w:sz w:val="24"/>
                <w:szCs w:val="24"/>
              </w:rPr>
              <w:t>62</w:t>
            </w:r>
          </w:p>
        </w:tc>
        <w:tc>
          <w:tcPr>
            <w:tcW w:w="1077" w:type="dxa"/>
            <w:vAlign w:val="center"/>
          </w:tcPr>
          <w:p w14:paraId="281A5E24" w14:textId="77777777" w:rsidR="00DD2EB1" w:rsidRDefault="00DD2EB1" w:rsidP="00AB44F5">
            <w:pPr>
              <w:jc w:val="center"/>
              <w:rPr>
                <w:sz w:val="20"/>
                <w:szCs w:val="20"/>
              </w:rPr>
            </w:pPr>
            <w:r>
              <w:rPr>
                <w:rFonts w:eastAsia="Times New Roman"/>
                <w:sz w:val="24"/>
                <w:szCs w:val="24"/>
              </w:rPr>
              <w:t>75</w:t>
            </w:r>
          </w:p>
        </w:tc>
        <w:tc>
          <w:tcPr>
            <w:tcW w:w="1077" w:type="dxa"/>
            <w:vAlign w:val="center"/>
          </w:tcPr>
          <w:p w14:paraId="281A5E25" w14:textId="77777777" w:rsidR="00DD2EB1" w:rsidRDefault="00DD2EB1" w:rsidP="00AB44F5">
            <w:pPr>
              <w:jc w:val="center"/>
              <w:rPr>
                <w:sz w:val="20"/>
                <w:szCs w:val="20"/>
              </w:rPr>
            </w:pPr>
            <w:r>
              <w:rPr>
                <w:rFonts w:eastAsia="Times New Roman"/>
                <w:sz w:val="24"/>
                <w:szCs w:val="24"/>
              </w:rPr>
              <w:t>91</w:t>
            </w:r>
          </w:p>
        </w:tc>
        <w:tc>
          <w:tcPr>
            <w:tcW w:w="1077" w:type="dxa"/>
            <w:vAlign w:val="center"/>
          </w:tcPr>
          <w:p w14:paraId="281A5E26" w14:textId="77777777" w:rsidR="00DD2EB1" w:rsidRDefault="00DD2EB1" w:rsidP="00AB44F5">
            <w:pPr>
              <w:jc w:val="center"/>
              <w:rPr>
                <w:sz w:val="20"/>
                <w:szCs w:val="20"/>
              </w:rPr>
            </w:pPr>
            <w:r>
              <w:rPr>
                <w:rFonts w:eastAsia="Times New Roman"/>
                <w:w w:val="94"/>
                <w:sz w:val="24"/>
                <w:szCs w:val="24"/>
              </w:rPr>
              <w:t>110</w:t>
            </w:r>
          </w:p>
        </w:tc>
        <w:tc>
          <w:tcPr>
            <w:tcW w:w="1078" w:type="dxa"/>
            <w:vAlign w:val="center"/>
          </w:tcPr>
          <w:p w14:paraId="281A5E27" w14:textId="77777777" w:rsidR="00DD2EB1" w:rsidRDefault="00DD2EB1" w:rsidP="00AB44F5">
            <w:pPr>
              <w:jc w:val="center"/>
              <w:rPr>
                <w:sz w:val="20"/>
                <w:szCs w:val="20"/>
              </w:rPr>
            </w:pPr>
            <w:r>
              <w:rPr>
                <w:rFonts w:eastAsia="Times New Roman"/>
                <w:sz w:val="24"/>
                <w:szCs w:val="24"/>
              </w:rPr>
              <w:t>132</w:t>
            </w:r>
          </w:p>
        </w:tc>
      </w:tr>
      <w:tr w:rsidR="00DD2EB1" w14:paraId="281A5E33" w14:textId="77777777" w:rsidTr="008F5895">
        <w:trPr>
          <w:trHeight w:val="278"/>
        </w:trPr>
        <w:tc>
          <w:tcPr>
            <w:tcW w:w="1720" w:type="dxa"/>
            <w:vAlign w:val="center"/>
          </w:tcPr>
          <w:p w14:paraId="281A5E2B" w14:textId="77777777" w:rsidR="00DD2EB1" w:rsidRDefault="00DD2EB1" w:rsidP="00AB44F5">
            <w:pPr>
              <w:jc w:val="center"/>
              <w:rPr>
                <w:sz w:val="20"/>
                <w:szCs w:val="20"/>
              </w:rPr>
            </w:pPr>
            <w:r>
              <w:rPr>
                <w:rFonts w:eastAsia="Times New Roman"/>
                <w:sz w:val="24"/>
                <w:szCs w:val="24"/>
              </w:rPr>
              <w:t>2.2</w:t>
            </w:r>
          </w:p>
        </w:tc>
        <w:tc>
          <w:tcPr>
            <w:tcW w:w="1077" w:type="dxa"/>
            <w:vAlign w:val="center"/>
          </w:tcPr>
          <w:p w14:paraId="281A5E2C" w14:textId="77777777" w:rsidR="00DD2EB1" w:rsidRDefault="00DD2EB1" w:rsidP="00AB44F5">
            <w:pPr>
              <w:jc w:val="center"/>
              <w:rPr>
                <w:sz w:val="20"/>
                <w:szCs w:val="20"/>
              </w:rPr>
            </w:pPr>
            <w:r>
              <w:rPr>
                <w:rFonts w:eastAsia="Times New Roman"/>
                <w:sz w:val="24"/>
                <w:szCs w:val="24"/>
              </w:rPr>
              <w:t>44</w:t>
            </w:r>
          </w:p>
        </w:tc>
        <w:tc>
          <w:tcPr>
            <w:tcW w:w="1077" w:type="dxa"/>
            <w:vAlign w:val="center"/>
          </w:tcPr>
          <w:p w14:paraId="281A5E2D" w14:textId="77777777" w:rsidR="00DD2EB1" w:rsidRDefault="00DD2EB1" w:rsidP="00AB44F5">
            <w:pPr>
              <w:jc w:val="center"/>
              <w:rPr>
                <w:sz w:val="20"/>
                <w:szCs w:val="20"/>
              </w:rPr>
            </w:pPr>
            <w:r>
              <w:rPr>
                <w:rFonts w:eastAsia="Times New Roman"/>
                <w:sz w:val="24"/>
                <w:szCs w:val="24"/>
              </w:rPr>
              <w:t>53</w:t>
            </w:r>
          </w:p>
        </w:tc>
        <w:tc>
          <w:tcPr>
            <w:tcW w:w="1077" w:type="dxa"/>
            <w:vAlign w:val="center"/>
          </w:tcPr>
          <w:p w14:paraId="281A5E2E" w14:textId="77777777" w:rsidR="00DD2EB1" w:rsidRDefault="00DD2EB1" w:rsidP="00AB44F5">
            <w:pPr>
              <w:jc w:val="center"/>
              <w:rPr>
                <w:sz w:val="20"/>
                <w:szCs w:val="20"/>
              </w:rPr>
            </w:pPr>
            <w:r>
              <w:rPr>
                <w:rFonts w:eastAsia="Times New Roman"/>
                <w:sz w:val="24"/>
                <w:szCs w:val="24"/>
              </w:rPr>
              <w:t>63</w:t>
            </w:r>
          </w:p>
        </w:tc>
        <w:tc>
          <w:tcPr>
            <w:tcW w:w="1077" w:type="dxa"/>
            <w:vAlign w:val="center"/>
          </w:tcPr>
          <w:p w14:paraId="281A5E2F" w14:textId="77777777" w:rsidR="00DD2EB1" w:rsidRDefault="00DD2EB1" w:rsidP="00AB44F5">
            <w:pPr>
              <w:jc w:val="center"/>
              <w:rPr>
                <w:sz w:val="20"/>
                <w:szCs w:val="20"/>
              </w:rPr>
            </w:pPr>
            <w:r>
              <w:rPr>
                <w:rFonts w:eastAsia="Times New Roman"/>
                <w:sz w:val="24"/>
                <w:szCs w:val="24"/>
              </w:rPr>
              <w:t>77</w:t>
            </w:r>
          </w:p>
        </w:tc>
        <w:tc>
          <w:tcPr>
            <w:tcW w:w="1077" w:type="dxa"/>
            <w:vAlign w:val="center"/>
          </w:tcPr>
          <w:p w14:paraId="281A5E30" w14:textId="77777777" w:rsidR="00DD2EB1" w:rsidRDefault="00DD2EB1" w:rsidP="00AB44F5">
            <w:pPr>
              <w:jc w:val="center"/>
              <w:rPr>
                <w:sz w:val="20"/>
                <w:szCs w:val="20"/>
              </w:rPr>
            </w:pPr>
            <w:r>
              <w:rPr>
                <w:rFonts w:eastAsia="Times New Roman"/>
                <w:sz w:val="24"/>
                <w:szCs w:val="24"/>
              </w:rPr>
              <w:t>93</w:t>
            </w:r>
          </w:p>
        </w:tc>
        <w:tc>
          <w:tcPr>
            <w:tcW w:w="1077" w:type="dxa"/>
            <w:vAlign w:val="center"/>
          </w:tcPr>
          <w:p w14:paraId="281A5E31" w14:textId="77777777" w:rsidR="00DD2EB1" w:rsidRDefault="00DD2EB1" w:rsidP="00AB44F5">
            <w:pPr>
              <w:jc w:val="center"/>
              <w:rPr>
                <w:sz w:val="20"/>
                <w:szCs w:val="20"/>
              </w:rPr>
            </w:pPr>
            <w:r>
              <w:rPr>
                <w:rFonts w:eastAsia="Times New Roman"/>
                <w:w w:val="94"/>
                <w:sz w:val="24"/>
                <w:szCs w:val="24"/>
              </w:rPr>
              <w:t>113</w:t>
            </w:r>
          </w:p>
        </w:tc>
        <w:tc>
          <w:tcPr>
            <w:tcW w:w="1078" w:type="dxa"/>
            <w:vAlign w:val="center"/>
          </w:tcPr>
          <w:p w14:paraId="281A5E32" w14:textId="77777777" w:rsidR="00DD2EB1" w:rsidRDefault="00DD2EB1" w:rsidP="00AB44F5">
            <w:pPr>
              <w:jc w:val="center"/>
              <w:rPr>
                <w:sz w:val="20"/>
                <w:szCs w:val="20"/>
              </w:rPr>
            </w:pPr>
            <w:r>
              <w:rPr>
                <w:rFonts w:eastAsia="Times New Roman"/>
                <w:sz w:val="24"/>
                <w:szCs w:val="24"/>
              </w:rPr>
              <w:t>135</w:t>
            </w:r>
          </w:p>
        </w:tc>
      </w:tr>
      <w:tr w:rsidR="00DD2EB1" w14:paraId="281A5E3E" w14:textId="77777777" w:rsidTr="008F5895">
        <w:trPr>
          <w:trHeight w:val="281"/>
        </w:trPr>
        <w:tc>
          <w:tcPr>
            <w:tcW w:w="1720" w:type="dxa"/>
            <w:vAlign w:val="center"/>
          </w:tcPr>
          <w:p w14:paraId="281A5E36" w14:textId="77777777" w:rsidR="00DD2EB1" w:rsidRDefault="00DD2EB1" w:rsidP="00AB44F5">
            <w:pPr>
              <w:jc w:val="center"/>
              <w:rPr>
                <w:sz w:val="20"/>
                <w:szCs w:val="20"/>
              </w:rPr>
            </w:pPr>
            <w:r>
              <w:rPr>
                <w:rFonts w:eastAsia="Times New Roman"/>
                <w:sz w:val="24"/>
                <w:szCs w:val="24"/>
              </w:rPr>
              <w:t>2.4</w:t>
            </w:r>
          </w:p>
        </w:tc>
        <w:tc>
          <w:tcPr>
            <w:tcW w:w="1077" w:type="dxa"/>
            <w:vAlign w:val="center"/>
          </w:tcPr>
          <w:p w14:paraId="281A5E37" w14:textId="77777777" w:rsidR="00DD2EB1" w:rsidRDefault="00DD2EB1" w:rsidP="00AB44F5">
            <w:pPr>
              <w:jc w:val="center"/>
              <w:rPr>
                <w:sz w:val="20"/>
                <w:szCs w:val="20"/>
              </w:rPr>
            </w:pPr>
            <w:r>
              <w:rPr>
                <w:rFonts w:eastAsia="Times New Roman"/>
                <w:sz w:val="24"/>
                <w:szCs w:val="24"/>
              </w:rPr>
              <w:t>45</w:t>
            </w:r>
          </w:p>
        </w:tc>
        <w:tc>
          <w:tcPr>
            <w:tcW w:w="1077" w:type="dxa"/>
            <w:vAlign w:val="center"/>
          </w:tcPr>
          <w:p w14:paraId="281A5E38" w14:textId="77777777" w:rsidR="00DD2EB1" w:rsidRDefault="00DD2EB1" w:rsidP="00AB44F5">
            <w:pPr>
              <w:jc w:val="center"/>
              <w:rPr>
                <w:sz w:val="20"/>
                <w:szCs w:val="20"/>
              </w:rPr>
            </w:pPr>
            <w:r>
              <w:rPr>
                <w:rFonts w:eastAsia="Times New Roman"/>
                <w:sz w:val="24"/>
                <w:szCs w:val="24"/>
              </w:rPr>
              <w:t>54</w:t>
            </w:r>
          </w:p>
        </w:tc>
        <w:tc>
          <w:tcPr>
            <w:tcW w:w="1077" w:type="dxa"/>
            <w:vAlign w:val="center"/>
          </w:tcPr>
          <w:p w14:paraId="281A5E39" w14:textId="77777777" w:rsidR="00DD2EB1" w:rsidRDefault="00DD2EB1" w:rsidP="00AB44F5">
            <w:pPr>
              <w:jc w:val="center"/>
              <w:rPr>
                <w:sz w:val="20"/>
                <w:szCs w:val="20"/>
              </w:rPr>
            </w:pPr>
            <w:r>
              <w:rPr>
                <w:rFonts w:eastAsia="Times New Roman"/>
                <w:sz w:val="24"/>
                <w:szCs w:val="24"/>
              </w:rPr>
              <w:t>65</w:t>
            </w:r>
          </w:p>
        </w:tc>
        <w:tc>
          <w:tcPr>
            <w:tcW w:w="1077" w:type="dxa"/>
            <w:vAlign w:val="center"/>
          </w:tcPr>
          <w:p w14:paraId="281A5E3A" w14:textId="77777777" w:rsidR="00DD2EB1" w:rsidRDefault="00DD2EB1" w:rsidP="00AB44F5">
            <w:pPr>
              <w:jc w:val="center"/>
              <w:rPr>
                <w:sz w:val="20"/>
                <w:szCs w:val="20"/>
              </w:rPr>
            </w:pPr>
            <w:r>
              <w:rPr>
                <w:rFonts w:eastAsia="Times New Roman"/>
                <w:sz w:val="24"/>
                <w:szCs w:val="24"/>
              </w:rPr>
              <w:t>78</w:t>
            </w:r>
          </w:p>
        </w:tc>
        <w:tc>
          <w:tcPr>
            <w:tcW w:w="1077" w:type="dxa"/>
            <w:vAlign w:val="center"/>
          </w:tcPr>
          <w:p w14:paraId="281A5E3B" w14:textId="77777777" w:rsidR="00DD2EB1" w:rsidRDefault="00DD2EB1" w:rsidP="00AB44F5">
            <w:pPr>
              <w:jc w:val="center"/>
              <w:rPr>
                <w:sz w:val="20"/>
                <w:szCs w:val="20"/>
              </w:rPr>
            </w:pPr>
            <w:r>
              <w:rPr>
                <w:rFonts w:eastAsia="Times New Roman"/>
                <w:sz w:val="24"/>
                <w:szCs w:val="24"/>
              </w:rPr>
              <w:t>95</w:t>
            </w:r>
          </w:p>
        </w:tc>
        <w:tc>
          <w:tcPr>
            <w:tcW w:w="1077" w:type="dxa"/>
            <w:vAlign w:val="center"/>
          </w:tcPr>
          <w:p w14:paraId="281A5E3C" w14:textId="77777777" w:rsidR="00DD2EB1" w:rsidRDefault="00DD2EB1" w:rsidP="00AB44F5">
            <w:pPr>
              <w:jc w:val="center"/>
              <w:rPr>
                <w:sz w:val="20"/>
                <w:szCs w:val="20"/>
              </w:rPr>
            </w:pPr>
            <w:r>
              <w:rPr>
                <w:rFonts w:eastAsia="Times New Roman"/>
                <w:w w:val="94"/>
                <w:sz w:val="24"/>
                <w:szCs w:val="24"/>
              </w:rPr>
              <w:t>115</w:t>
            </w:r>
          </w:p>
        </w:tc>
        <w:tc>
          <w:tcPr>
            <w:tcW w:w="1078" w:type="dxa"/>
            <w:vAlign w:val="center"/>
          </w:tcPr>
          <w:p w14:paraId="281A5E3D" w14:textId="77777777" w:rsidR="00DD2EB1" w:rsidRDefault="00DD2EB1" w:rsidP="00AB44F5">
            <w:pPr>
              <w:jc w:val="center"/>
              <w:rPr>
                <w:sz w:val="20"/>
                <w:szCs w:val="20"/>
              </w:rPr>
            </w:pPr>
            <w:r>
              <w:rPr>
                <w:rFonts w:eastAsia="Times New Roman"/>
                <w:sz w:val="24"/>
                <w:szCs w:val="24"/>
              </w:rPr>
              <w:t>138</w:t>
            </w:r>
          </w:p>
        </w:tc>
      </w:tr>
      <w:tr w:rsidR="00DD2EB1" w14:paraId="281A5E49" w14:textId="77777777" w:rsidTr="008F5895">
        <w:trPr>
          <w:trHeight w:val="278"/>
        </w:trPr>
        <w:tc>
          <w:tcPr>
            <w:tcW w:w="1720" w:type="dxa"/>
            <w:vAlign w:val="center"/>
          </w:tcPr>
          <w:p w14:paraId="281A5E41" w14:textId="77777777" w:rsidR="00DD2EB1" w:rsidRDefault="00DD2EB1" w:rsidP="00AB44F5">
            <w:pPr>
              <w:jc w:val="center"/>
              <w:rPr>
                <w:sz w:val="20"/>
                <w:szCs w:val="20"/>
              </w:rPr>
            </w:pPr>
            <w:r>
              <w:rPr>
                <w:rFonts w:eastAsia="Times New Roman"/>
                <w:sz w:val="24"/>
                <w:szCs w:val="24"/>
              </w:rPr>
              <w:t>2.6</w:t>
            </w:r>
          </w:p>
        </w:tc>
        <w:tc>
          <w:tcPr>
            <w:tcW w:w="1077" w:type="dxa"/>
            <w:vAlign w:val="center"/>
          </w:tcPr>
          <w:p w14:paraId="281A5E42" w14:textId="77777777" w:rsidR="00DD2EB1" w:rsidRDefault="00DD2EB1" w:rsidP="00AB44F5">
            <w:pPr>
              <w:jc w:val="center"/>
              <w:rPr>
                <w:sz w:val="20"/>
                <w:szCs w:val="20"/>
              </w:rPr>
            </w:pPr>
            <w:r>
              <w:rPr>
                <w:rFonts w:eastAsia="Times New Roman"/>
                <w:sz w:val="24"/>
                <w:szCs w:val="24"/>
              </w:rPr>
              <w:t>46</w:t>
            </w:r>
          </w:p>
        </w:tc>
        <w:tc>
          <w:tcPr>
            <w:tcW w:w="1077" w:type="dxa"/>
            <w:vAlign w:val="center"/>
          </w:tcPr>
          <w:p w14:paraId="281A5E43" w14:textId="77777777" w:rsidR="00DD2EB1" w:rsidRDefault="00DD2EB1" w:rsidP="00AB44F5">
            <w:pPr>
              <w:jc w:val="center"/>
              <w:rPr>
                <w:sz w:val="20"/>
                <w:szCs w:val="20"/>
              </w:rPr>
            </w:pPr>
            <w:r>
              <w:rPr>
                <w:rFonts w:eastAsia="Times New Roman"/>
                <w:sz w:val="24"/>
                <w:szCs w:val="24"/>
              </w:rPr>
              <w:t>55</w:t>
            </w:r>
          </w:p>
        </w:tc>
        <w:tc>
          <w:tcPr>
            <w:tcW w:w="1077" w:type="dxa"/>
            <w:vAlign w:val="center"/>
          </w:tcPr>
          <w:p w14:paraId="281A5E44" w14:textId="77777777" w:rsidR="00DD2EB1" w:rsidRDefault="00DD2EB1" w:rsidP="00AB44F5">
            <w:pPr>
              <w:jc w:val="center"/>
              <w:rPr>
                <w:sz w:val="20"/>
                <w:szCs w:val="20"/>
              </w:rPr>
            </w:pPr>
            <w:r>
              <w:rPr>
                <w:rFonts w:eastAsia="Times New Roman"/>
                <w:sz w:val="24"/>
                <w:szCs w:val="24"/>
              </w:rPr>
              <w:t>66</w:t>
            </w:r>
          </w:p>
        </w:tc>
        <w:tc>
          <w:tcPr>
            <w:tcW w:w="1077" w:type="dxa"/>
            <w:vAlign w:val="center"/>
          </w:tcPr>
          <w:p w14:paraId="281A5E45" w14:textId="77777777" w:rsidR="00DD2EB1" w:rsidRDefault="00DD2EB1" w:rsidP="00AB44F5">
            <w:pPr>
              <w:jc w:val="center"/>
              <w:rPr>
                <w:sz w:val="20"/>
                <w:szCs w:val="20"/>
              </w:rPr>
            </w:pPr>
            <w:r>
              <w:rPr>
                <w:rFonts w:eastAsia="Times New Roman"/>
                <w:sz w:val="24"/>
                <w:szCs w:val="24"/>
              </w:rPr>
              <w:t>80</w:t>
            </w:r>
          </w:p>
        </w:tc>
        <w:tc>
          <w:tcPr>
            <w:tcW w:w="1077" w:type="dxa"/>
            <w:vAlign w:val="center"/>
          </w:tcPr>
          <w:p w14:paraId="281A5E46" w14:textId="77777777" w:rsidR="00DD2EB1" w:rsidRDefault="00DD2EB1" w:rsidP="00AB44F5">
            <w:pPr>
              <w:jc w:val="center"/>
              <w:rPr>
                <w:sz w:val="20"/>
                <w:szCs w:val="20"/>
              </w:rPr>
            </w:pPr>
            <w:r>
              <w:rPr>
                <w:rFonts w:eastAsia="Times New Roman"/>
                <w:sz w:val="24"/>
                <w:szCs w:val="24"/>
              </w:rPr>
              <w:t>97</w:t>
            </w:r>
          </w:p>
        </w:tc>
        <w:tc>
          <w:tcPr>
            <w:tcW w:w="1077" w:type="dxa"/>
            <w:vAlign w:val="center"/>
          </w:tcPr>
          <w:p w14:paraId="281A5E47" w14:textId="77777777" w:rsidR="00DD2EB1" w:rsidRDefault="00DD2EB1" w:rsidP="00AB44F5">
            <w:pPr>
              <w:jc w:val="center"/>
              <w:rPr>
                <w:sz w:val="20"/>
                <w:szCs w:val="20"/>
              </w:rPr>
            </w:pPr>
            <w:r>
              <w:rPr>
                <w:rFonts w:eastAsia="Times New Roman"/>
                <w:w w:val="94"/>
                <w:sz w:val="24"/>
                <w:szCs w:val="24"/>
              </w:rPr>
              <w:t>117</w:t>
            </w:r>
          </w:p>
        </w:tc>
        <w:tc>
          <w:tcPr>
            <w:tcW w:w="1078" w:type="dxa"/>
            <w:vAlign w:val="center"/>
          </w:tcPr>
          <w:p w14:paraId="281A5E48" w14:textId="77777777" w:rsidR="00DD2EB1" w:rsidRDefault="00DD2EB1" w:rsidP="00AB44F5">
            <w:pPr>
              <w:jc w:val="center"/>
              <w:rPr>
                <w:sz w:val="20"/>
                <w:szCs w:val="20"/>
              </w:rPr>
            </w:pPr>
            <w:r>
              <w:rPr>
                <w:rFonts w:eastAsia="Times New Roman"/>
                <w:sz w:val="24"/>
                <w:szCs w:val="24"/>
              </w:rPr>
              <w:t>141</w:t>
            </w:r>
          </w:p>
        </w:tc>
      </w:tr>
      <w:tr w:rsidR="00DD2EB1" w14:paraId="281A5E54" w14:textId="77777777" w:rsidTr="008F5895">
        <w:trPr>
          <w:trHeight w:val="281"/>
        </w:trPr>
        <w:tc>
          <w:tcPr>
            <w:tcW w:w="1720" w:type="dxa"/>
            <w:vAlign w:val="center"/>
          </w:tcPr>
          <w:p w14:paraId="281A5E4C" w14:textId="77777777" w:rsidR="00DD2EB1" w:rsidRDefault="00DD2EB1" w:rsidP="00AB44F5">
            <w:pPr>
              <w:jc w:val="center"/>
              <w:rPr>
                <w:sz w:val="20"/>
                <w:szCs w:val="20"/>
              </w:rPr>
            </w:pPr>
            <w:r>
              <w:rPr>
                <w:rFonts w:eastAsia="Times New Roman"/>
                <w:sz w:val="24"/>
                <w:szCs w:val="24"/>
              </w:rPr>
              <w:t>2.8</w:t>
            </w:r>
          </w:p>
        </w:tc>
        <w:tc>
          <w:tcPr>
            <w:tcW w:w="1077" w:type="dxa"/>
            <w:vAlign w:val="center"/>
          </w:tcPr>
          <w:p w14:paraId="281A5E4D" w14:textId="77777777" w:rsidR="00DD2EB1" w:rsidRDefault="00DD2EB1" w:rsidP="00AB44F5">
            <w:pPr>
              <w:jc w:val="center"/>
              <w:rPr>
                <w:sz w:val="20"/>
                <w:szCs w:val="20"/>
              </w:rPr>
            </w:pPr>
            <w:r>
              <w:rPr>
                <w:rFonts w:eastAsia="Times New Roman"/>
                <w:sz w:val="24"/>
                <w:szCs w:val="24"/>
              </w:rPr>
              <w:t>47</w:t>
            </w:r>
          </w:p>
        </w:tc>
        <w:tc>
          <w:tcPr>
            <w:tcW w:w="1077" w:type="dxa"/>
            <w:vAlign w:val="center"/>
          </w:tcPr>
          <w:p w14:paraId="281A5E4E" w14:textId="77777777" w:rsidR="00DD2EB1" w:rsidRDefault="00DD2EB1" w:rsidP="00AB44F5">
            <w:pPr>
              <w:jc w:val="center"/>
              <w:rPr>
                <w:sz w:val="20"/>
                <w:szCs w:val="20"/>
              </w:rPr>
            </w:pPr>
            <w:r>
              <w:rPr>
                <w:rFonts w:eastAsia="Times New Roman"/>
                <w:sz w:val="24"/>
                <w:szCs w:val="24"/>
              </w:rPr>
              <w:t>56</w:t>
            </w:r>
          </w:p>
        </w:tc>
        <w:tc>
          <w:tcPr>
            <w:tcW w:w="1077" w:type="dxa"/>
            <w:vAlign w:val="center"/>
          </w:tcPr>
          <w:p w14:paraId="281A5E4F" w14:textId="77777777" w:rsidR="00DD2EB1" w:rsidRDefault="00DD2EB1" w:rsidP="00AB44F5">
            <w:pPr>
              <w:jc w:val="center"/>
              <w:rPr>
                <w:sz w:val="20"/>
                <w:szCs w:val="20"/>
              </w:rPr>
            </w:pPr>
            <w:r>
              <w:rPr>
                <w:rFonts w:eastAsia="Times New Roman"/>
                <w:sz w:val="24"/>
                <w:szCs w:val="24"/>
              </w:rPr>
              <w:t>67</w:t>
            </w:r>
          </w:p>
        </w:tc>
        <w:tc>
          <w:tcPr>
            <w:tcW w:w="1077" w:type="dxa"/>
            <w:vAlign w:val="center"/>
          </w:tcPr>
          <w:p w14:paraId="281A5E50" w14:textId="77777777" w:rsidR="00DD2EB1" w:rsidRDefault="00DD2EB1" w:rsidP="00AB44F5">
            <w:pPr>
              <w:jc w:val="center"/>
              <w:rPr>
                <w:sz w:val="20"/>
                <w:szCs w:val="20"/>
              </w:rPr>
            </w:pPr>
            <w:r>
              <w:rPr>
                <w:rFonts w:eastAsia="Times New Roman"/>
                <w:sz w:val="24"/>
                <w:szCs w:val="24"/>
              </w:rPr>
              <w:t>81</w:t>
            </w:r>
          </w:p>
        </w:tc>
        <w:tc>
          <w:tcPr>
            <w:tcW w:w="1077" w:type="dxa"/>
            <w:vAlign w:val="center"/>
          </w:tcPr>
          <w:p w14:paraId="281A5E51" w14:textId="77777777" w:rsidR="00DD2EB1" w:rsidRDefault="00DD2EB1" w:rsidP="00AB44F5">
            <w:pPr>
              <w:jc w:val="center"/>
              <w:rPr>
                <w:sz w:val="20"/>
                <w:szCs w:val="20"/>
              </w:rPr>
            </w:pPr>
            <w:r>
              <w:rPr>
                <w:rFonts w:eastAsia="Times New Roman"/>
                <w:sz w:val="24"/>
                <w:szCs w:val="24"/>
              </w:rPr>
              <w:t>99</w:t>
            </w:r>
          </w:p>
        </w:tc>
        <w:tc>
          <w:tcPr>
            <w:tcW w:w="1077" w:type="dxa"/>
            <w:vAlign w:val="center"/>
          </w:tcPr>
          <w:p w14:paraId="281A5E52" w14:textId="77777777" w:rsidR="00DD2EB1" w:rsidRDefault="00DD2EB1" w:rsidP="00AB44F5">
            <w:pPr>
              <w:jc w:val="center"/>
              <w:rPr>
                <w:sz w:val="20"/>
                <w:szCs w:val="20"/>
              </w:rPr>
            </w:pPr>
            <w:r>
              <w:rPr>
                <w:rFonts w:eastAsia="Times New Roman"/>
                <w:w w:val="94"/>
                <w:sz w:val="24"/>
                <w:szCs w:val="24"/>
              </w:rPr>
              <w:t>119</w:t>
            </w:r>
          </w:p>
        </w:tc>
        <w:tc>
          <w:tcPr>
            <w:tcW w:w="1078" w:type="dxa"/>
            <w:vAlign w:val="center"/>
          </w:tcPr>
          <w:p w14:paraId="281A5E53" w14:textId="77777777" w:rsidR="00DD2EB1" w:rsidRDefault="00DD2EB1" w:rsidP="00AB44F5">
            <w:pPr>
              <w:jc w:val="center"/>
              <w:rPr>
                <w:sz w:val="20"/>
                <w:szCs w:val="20"/>
              </w:rPr>
            </w:pPr>
            <w:r>
              <w:rPr>
                <w:rFonts w:eastAsia="Times New Roman"/>
                <w:sz w:val="24"/>
                <w:szCs w:val="24"/>
              </w:rPr>
              <w:t>143</w:t>
            </w:r>
          </w:p>
        </w:tc>
      </w:tr>
      <w:tr w:rsidR="00DD2EB1" w14:paraId="281A5E5F" w14:textId="77777777" w:rsidTr="008F5895">
        <w:trPr>
          <w:trHeight w:val="312"/>
        </w:trPr>
        <w:tc>
          <w:tcPr>
            <w:tcW w:w="1720" w:type="dxa"/>
            <w:vAlign w:val="center"/>
          </w:tcPr>
          <w:p w14:paraId="281A5E57" w14:textId="77777777" w:rsidR="00DD2EB1" w:rsidRDefault="00DD2EB1" w:rsidP="00AB44F5">
            <w:pPr>
              <w:jc w:val="center"/>
              <w:rPr>
                <w:sz w:val="20"/>
                <w:szCs w:val="20"/>
              </w:rPr>
            </w:pPr>
            <w:r>
              <w:rPr>
                <w:rFonts w:eastAsia="Times New Roman"/>
                <w:sz w:val="24"/>
                <w:szCs w:val="24"/>
              </w:rPr>
              <w:t>3.0</w:t>
            </w:r>
          </w:p>
        </w:tc>
        <w:tc>
          <w:tcPr>
            <w:tcW w:w="1077" w:type="dxa"/>
            <w:vAlign w:val="center"/>
          </w:tcPr>
          <w:p w14:paraId="281A5E58" w14:textId="77777777" w:rsidR="00DD2EB1" w:rsidRDefault="00DD2EB1" w:rsidP="00AB44F5">
            <w:pPr>
              <w:jc w:val="center"/>
              <w:rPr>
                <w:sz w:val="20"/>
                <w:szCs w:val="20"/>
              </w:rPr>
            </w:pPr>
            <w:r>
              <w:rPr>
                <w:rFonts w:eastAsia="Times New Roman"/>
                <w:sz w:val="24"/>
                <w:szCs w:val="24"/>
              </w:rPr>
              <w:t>47</w:t>
            </w:r>
          </w:p>
        </w:tc>
        <w:tc>
          <w:tcPr>
            <w:tcW w:w="1077" w:type="dxa"/>
            <w:vAlign w:val="center"/>
          </w:tcPr>
          <w:p w14:paraId="281A5E59" w14:textId="77777777" w:rsidR="00DD2EB1" w:rsidRDefault="00DD2EB1" w:rsidP="00AB44F5">
            <w:pPr>
              <w:jc w:val="center"/>
              <w:rPr>
                <w:sz w:val="20"/>
                <w:szCs w:val="20"/>
              </w:rPr>
            </w:pPr>
            <w:r>
              <w:rPr>
                <w:rFonts w:eastAsia="Times New Roman"/>
                <w:sz w:val="24"/>
                <w:szCs w:val="24"/>
              </w:rPr>
              <w:t>57</w:t>
            </w:r>
          </w:p>
        </w:tc>
        <w:tc>
          <w:tcPr>
            <w:tcW w:w="1077" w:type="dxa"/>
            <w:vAlign w:val="center"/>
          </w:tcPr>
          <w:p w14:paraId="281A5E5A" w14:textId="77777777" w:rsidR="00DD2EB1" w:rsidRDefault="00DD2EB1" w:rsidP="00AB44F5">
            <w:pPr>
              <w:jc w:val="center"/>
              <w:rPr>
                <w:sz w:val="20"/>
                <w:szCs w:val="20"/>
              </w:rPr>
            </w:pPr>
            <w:r>
              <w:rPr>
                <w:rFonts w:eastAsia="Times New Roman"/>
                <w:sz w:val="24"/>
                <w:szCs w:val="24"/>
              </w:rPr>
              <w:t>68</w:t>
            </w:r>
          </w:p>
        </w:tc>
        <w:tc>
          <w:tcPr>
            <w:tcW w:w="1077" w:type="dxa"/>
            <w:vAlign w:val="center"/>
          </w:tcPr>
          <w:p w14:paraId="281A5E5B" w14:textId="77777777" w:rsidR="00DD2EB1" w:rsidRDefault="00DD2EB1" w:rsidP="00AB44F5">
            <w:pPr>
              <w:jc w:val="center"/>
              <w:rPr>
                <w:sz w:val="20"/>
                <w:szCs w:val="20"/>
              </w:rPr>
            </w:pPr>
            <w:r>
              <w:rPr>
                <w:rFonts w:eastAsia="Times New Roman"/>
                <w:sz w:val="24"/>
                <w:szCs w:val="24"/>
              </w:rPr>
              <w:t>83</w:t>
            </w:r>
          </w:p>
        </w:tc>
        <w:tc>
          <w:tcPr>
            <w:tcW w:w="1077" w:type="dxa"/>
            <w:vAlign w:val="center"/>
          </w:tcPr>
          <w:p w14:paraId="281A5E5C" w14:textId="77777777" w:rsidR="00DD2EB1" w:rsidRDefault="00DD2EB1" w:rsidP="00AB44F5">
            <w:pPr>
              <w:jc w:val="center"/>
              <w:rPr>
                <w:sz w:val="20"/>
                <w:szCs w:val="20"/>
              </w:rPr>
            </w:pPr>
            <w:r>
              <w:rPr>
                <w:rFonts w:eastAsia="Times New Roman"/>
                <w:sz w:val="24"/>
                <w:szCs w:val="24"/>
              </w:rPr>
              <w:t>101</w:t>
            </w:r>
          </w:p>
        </w:tc>
        <w:tc>
          <w:tcPr>
            <w:tcW w:w="1077" w:type="dxa"/>
            <w:vAlign w:val="center"/>
          </w:tcPr>
          <w:p w14:paraId="281A5E5D" w14:textId="77777777" w:rsidR="00DD2EB1" w:rsidRDefault="00DD2EB1" w:rsidP="00AB44F5">
            <w:pPr>
              <w:jc w:val="center"/>
              <w:rPr>
                <w:sz w:val="20"/>
                <w:szCs w:val="20"/>
              </w:rPr>
            </w:pPr>
            <w:r>
              <w:rPr>
                <w:rFonts w:eastAsia="Times New Roman"/>
                <w:w w:val="94"/>
                <w:sz w:val="24"/>
                <w:szCs w:val="24"/>
              </w:rPr>
              <w:t>122</w:t>
            </w:r>
          </w:p>
        </w:tc>
        <w:tc>
          <w:tcPr>
            <w:tcW w:w="1078" w:type="dxa"/>
            <w:vAlign w:val="center"/>
          </w:tcPr>
          <w:p w14:paraId="281A5E5E" w14:textId="77777777" w:rsidR="00DD2EB1" w:rsidRDefault="00DD2EB1" w:rsidP="00AB44F5">
            <w:pPr>
              <w:jc w:val="center"/>
              <w:rPr>
                <w:sz w:val="20"/>
                <w:szCs w:val="20"/>
              </w:rPr>
            </w:pPr>
            <w:r>
              <w:rPr>
                <w:rFonts w:eastAsia="Times New Roman"/>
                <w:sz w:val="24"/>
                <w:szCs w:val="24"/>
              </w:rPr>
              <w:t>146</w:t>
            </w:r>
          </w:p>
        </w:tc>
      </w:tr>
    </w:tbl>
    <w:p w14:paraId="281A5E60" w14:textId="77777777" w:rsidR="004647B9" w:rsidRDefault="004647B9" w:rsidP="00AB44F5">
      <w:pPr>
        <w:sectPr w:rsidR="004647B9" w:rsidSect="00EF630C">
          <w:pgSz w:w="12240" w:h="20180"/>
          <w:pgMar w:top="708" w:right="1440" w:bottom="1440" w:left="620" w:header="0" w:footer="0" w:gutter="0"/>
          <w:cols w:space="720"/>
        </w:sectPr>
      </w:pPr>
    </w:p>
    <w:p w14:paraId="281A5E61" w14:textId="77777777" w:rsidR="004647B9" w:rsidRDefault="00E2436F">
      <w:pPr>
        <w:tabs>
          <w:tab w:val="left" w:pos="160"/>
        </w:tabs>
        <w:ind w:right="20"/>
        <w:jc w:val="center"/>
        <w:rPr>
          <w:sz w:val="20"/>
          <w:szCs w:val="20"/>
        </w:rPr>
      </w:pPr>
      <w:bookmarkStart w:id="261" w:name="page265"/>
      <w:bookmarkEnd w:id="26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E62" w14:textId="77777777" w:rsidR="004647B9" w:rsidRDefault="004647B9" w:rsidP="00AB44F5">
      <w:pPr>
        <w:rPr>
          <w:sz w:val="20"/>
          <w:szCs w:val="20"/>
        </w:rPr>
      </w:pPr>
    </w:p>
    <w:p w14:paraId="281A5E63" w14:textId="77777777" w:rsidR="004647B9" w:rsidRDefault="004647B9" w:rsidP="00AB44F5">
      <w:pPr>
        <w:rPr>
          <w:sz w:val="20"/>
          <w:szCs w:val="20"/>
        </w:rPr>
      </w:pPr>
    </w:p>
    <w:p w14:paraId="281A5E64" w14:textId="77777777" w:rsidR="004647B9" w:rsidRPr="00A65D9F" w:rsidRDefault="00E2436F" w:rsidP="00AB44F5">
      <w:pPr>
        <w:tabs>
          <w:tab w:val="left" w:pos="940"/>
        </w:tabs>
        <w:rPr>
          <w:sz w:val="24"/>
          <w:szCs w:val="24"/>
        </w:rPr>
      </w:pPr>
      <w:r w:rsidRPr="00A65D9F">
        <w:rPr>
          <w:rFonts w:eastAsia="Times New Roman"/>
          <w:sz w:val="24"/>
          <w:szCs w:val="24"/>
        </w:rPr>
        <w:t>22.20A:</w:t>
      </w:r>
      <w:r w:rsidRPr="00A65D9F">
        <w:rPr>
          <w:rFonts w:eastAsia="Times New Roman"/>
          <w:sz w:val="24"/>
          <w:szCs w:val="24"/>
        </w:rPr>
        <w:tab/>
        <w:t>continued</w:t>
      </w:r>
    </w:p>
    <w:p w14:paraId="281A5E65" w14:textId="77777777" w:rsidR="004647B9" w:rsidRPr="00AB44F5" w:rsidRDefault="004647B9" w:rsidP="00AB44F5">
      <w:pPr>
        <w:rPr>
          <w:sz w:val="20"/>
          <w:szCs w:val="20"/>
        </w:rPr>
      </w:pPr>
    </w:p>
    <w:p w14:paraId="281A5E66" w14:textId="77777777" w:rsidR="004647B9" w:rsidRPr="00A65D9F" w:rsidRDefault="00E2436F" w:rsidP="00AB44F5">
      <w:pPr>
        <w:numPr>
          <w:ilvl w:val="0"/>
          <w:numId w:val="592"/>
        </w:numPr>
        <w:tabs>
          <w:tab w:val="left" w:pos="360"/>
        </w:tabs>
        <w:ind w:left="360" w:hanging="350"/>
        <w:jc w:val="both"/>
        <w:rPr>
          <w:rFonts w:eastAsia="Times New Roman"/>
          <w:sz w:val="24"/>
          <w:szCs w:val="24"/>
        </w:rPr>
      </w:pPr>
      <w:r w:rsidRPr="00A65D9F">
        <w:rPr>
          <w:rFonts w:eastAsia="Times New Roman"/>
          <w:sz w:val="24"/>
          <w:szCs w:val="24"/>
        </w:rPr>
        <w:t>These CT values achieve greater than a 99.99% inactivation of Viruses. CT values between the indicated pH values may be determined by linear interpolation. CT values between the indicated temperatures of different tables may be determined by linear interpolation. If no interpolation is used, use the CT</w:t>
      </w:r>
      <w:r w:rsidRPr="00A65D9F">
        <w:rPr>
          <w:rFonts w:eastAsia="Times New Roman"/>
          <w:sz w:val="24"/>
          <w:szCs w:val="24"/>
          <w:vertAlign w:val="subscript"/>
        </w:rPr>
        <w:t>99.9</w:t>
      </w:r>
      <w:r w:rsidRPr="00A65D9F">
        <w:rPr>
          <w:rFonts w:eastAsia="Times New Roman"/>
          <w:sz w:val="24"/>
          <w:szCs w:val="24"/>
        </w:rPr>
        <w:t xml:space="preserve"> value at the lower temperature, and at the higher pH</w:t>
      </w:r>
      <w:r w:rsidRPr="00A65D9F" w:rsidDel="007B206E">
        <w:rPr>
          <w:rFonts w:eastAsia="Times New Roman"/>
          <w:sz w:val="24"/>
          <w:szCs w:val="24"/>
        </w:rPr>
        <w:t>.</w:t>
      </w:r>
    </w:p>
    <w:p w14:paraId="281A5E67" w14:textId="77777777" w:rsidR="004647B9" w:rsidRPr="00A65D9F" w:rsidRDefault="004647B9" w:rsidP="00AB44F5">
      <w:pPr>
        <w:rPr>
          <w:sz w:val="24"/>
          <w:szCs w:val="24"/>
        </w:rPr>
      </w:pPr>
    </w:p>
    <w:p w14:paraId="281A5E68" w14:textId="77777777" w:rsidR="004647B9" w:rsidRPr="00A65D9F" w:rsidRDefault="00E2436F" w:rsidP="00AB44F5">
      <w:pPr>
        <w:jc w:val="center"/>
        <w:rPr>
          <w:sz w:val="24"/>
          <w:szCs w:val="24"/>
        </w:rPr>
      </w:pPr>
      <w:r w:rsidRPr="00A65D9F">
        <w:rPr>
          <w:rFonts w:eastAsia="Times New Roman"/>
          <w:sz w:val="24"/>
          <w:szCs w:val="24"/>
        </w:rPr>
        <w:t>TABLE 1.6 - 310 CMR 22.20A</w:t>
      </w:r>
    </w:p>
    <w:p w14:paraId="09F1F8C6" w14:textId="77777777" w:rsidR="00B55C84" w:rsidRPr="00A65D9F" w:rsidRDefault="00E2436F" w:rsidP="00AB44F5">
      <w:pPr>
        <w:jc w:val="center"/>
        <w:rPr>
          <w:rFonts w:eastAsia="Times New Roman"/>
          <w:sz w:val="24"/>
          <w:szCs w:val="24"/>
        </w:rPr>
      </w:pPr>
      <w:r w:rsidRPr="00A65D9F">
        <w:rPr>
          <w:rFonts w:eastAsia="Times New Roman"/>
          <w:sz w:val="24"/>
          <w:szCs w:val="24"/>
        </w:rPr>
        <w:t>CT VALUES (CT</w:t>
      </w:r>
      <w:r w:rsidRPr="00A65D9F">
        <w:rPr>
          <w:rFonts w:eastAsia="Times New Roman"/>
          <w:sz w:val="24"/>
          <w:szCs w:val="24"/>
          <w:vertAlign w:val="subscript"/>
        </w:rPr>
        <w:t>99.9</w:t>
      </w:r>
      <w:r w:rsidRPr="00A65D9F">
        <w:rPr>
          <w:rFonts w:eastAsia="Times New Roman"/>
          <w:sz w:val="24"/>
          <w:szCs w:val="24"/>
        </w:rPr>
        <w:t xml:space="preserve">) FOR 99.9% INACTIVATION OF </w:t>
      </w:r>
      <w:r w:rsidRPr="00A65D9F">
        <w:rPr>
          <w:rFonts w:eastAsia="Times New Roman"/>
          <w:i/>
          <w:iCs/>
          <w:sz w:val="24"/>
          <w:szCs w:val="24"/>
        </w:rPr>
        <w:t>GIARDIA</w:t>
      </w:r>
      <w:r w:rsidRPr="00A65D9F">
        <w:rPr>
          <w:rFonts w:eastAsia="Times New Roman"/>
          <w:sz w:val="24"/>
          <w:szCs w:val="24"/>
        </w:rPr>
        <w:t xml:space="preserve"> </w:t>
      </w:r>
    </w:p>
    <w:p w14:paraId="281A5E6A" w14:textId="3BA183CA" w:rsidR="004647B9" w:rsidRPr="00A65D9F" w:rsidRDefault="00E2436F" w:rsidP="00AB44F5">
      <w:pPr>
        <w:jc w:val="center"/>
        <w:rPr>
          <w:sz w:val="24"/>
          <w:szCs w:val="24"/>
        </w:rPr>
      </w:pPr>
      <w:r w:rsidRPr="00A65D9F">
        <w:rPr>
          <w:rFonts w:eastAsia="Times New Roman"/>
          <w:i/>
          <w:iCs/>
          <w:sz w:val="24"/>
          <w:szCs w:val="24"/>
        </w:rPr>
        <w:t xml:space="preserve">LAMBLIA </w:t>
      </w:r>
      <w:r w:rsidRPr="00A65D9F">
        <w:rPr>
          <w:rFonts w:eastAsia="Times New Roman"/>
          <w:sz w:val="24"/>
          <w:szCs w:val="24"/>
        </w:rPr>
        <w:t>CYSTS BY FREE CHLORINE AT 25°C</w:t>
      </w:r>
      <w:r w:rsidRPr="00A65D9F">
        <w:rPr>
          <w:rFonts w:eastAsia="Times New Roman"/>
          <w:sz w:val="24"/>
          <w:szCs w:val="24"/>
          <w:vertAlign w:val="superscript"/>
        </w:rPr>
        <w:t>*</w:t>
      </w:r>
      <w:r w:rsidRPr="00A65D9F">
        <w:rPr>
          <w:rFonts w:eastAsia="Times New Roman"/>
          <w:i/>
          <w:iCs/>
          <w:sz w:val="24"/>
          <w:szCs w:val="24"/>
        </w:rPr>
        <w:t xml:space="preserve"> </w:t>
      </w:r>
      <w:r w:rsidRPr="00A65D9F">
        <w:rPr>
          <w:rFonts w:eastAsia="Times New Roman"/>
          <w:sz w:val="24"/>
          <w:szCs w:val="24"/>
        </w:rPr>
        <w:t>AND HIGHER</w:t>
      </w:r>
    </w:p>
    <w:p w14:paraId="281A5E6F" w14:textId="77777777" w:rsidR="004647B9" w:rsidRPr="00AB44F5" w:rsidRDefault="004647B9" w:rsidP="00AB44F5">
      <w:pPr>
        <w:rPr>
          <w:sz w:val="24"/>
          <w:szCs w:val="24"/>
        </w:rPr>
      </w:pPr>
    </w:p>
    <w:tbl>
      <w:tblPr>
        <w:tblW w:w="0" w:type="auto"/>
        <w:tblInd w:w="180" w:type="dxa"/>
        <w:tblLayout w:type="fixed"/>
        <w:tblCellMar>
          <w:left w:w="0" w:type="dxa"/>
          <w:right w:w="0" w:type="dxa"/>
        </w:tblCellMar>
        <w:tblLook w:val="04A0" w:firstRow="1" w:lastRow="0" w:firstColumn="1" w:lastColumn="0" w:noHBand="0" w:noVBand="1"/>
      </w:tblPr>
      <w:tblGrid>
        <w:gridCol w:w="1720"/>
        <w:gridCol w:w="1077"/>
        <w:gridCol w:w="1077"/>
        <w:gridCol w:w="1077"/>
        <w:gridCol w:w="1077"/>
        <w:gridCol w:w="1077"/>
        <w:gridCol w:w="1077"/>
        <w:gridCol w:w="1078"/>
      </w:tblGrid>
      <w:tr w:rsidR="00D9539A" w14:paraId="61B28B9B" w14:textId="77777777" w:rsidTr="00DF0E65">
        <w:trPr>
          <w:trHeight w:val="276"/>
        </w:trPr>
        <w:tc>
          <w:tcPr>
            <w:tcW w:w="1720" w:type="dxa"/>
            <w:vMerge w:val="restart"/>
            <w:tcBorders>
              <w:bottom w:val="single" w:sz="8" w:space="0" w:color="auto"/>
            </w:tcBorders>
            <w:vAlign w:val="center"/>
          </w:tcPr>
          <w:p w14:paraId="31625175" w14:textId="77777777" w:rsidR="00D9539A" w:rsidRDefault="00D9539A" w:rsidP="00AB44F5">
            <w:pPr>
              <w:rPr>
                <w:sz w:val="20"/>
                <w:szCs w:val="20"/>
              </w:rPr>
            </w:pPr>
            <w:r>
              <w:rPr>
                <w:rFonts w:eastAsia="Times New Roman"/>
                <w:sz w:val="24"/>
                <w:szCs w:val="24"/>
              </w:rPr>
              <w:t>Free</w:t>
            </w:r>
          </w:p>
          <w:p w14:paraId="23DBD231" w14:textId="77777777" w:rsidR="00D9539A" w:rsidRDefault="00D9539A" w:rsidP="00AB44F5">
            <w:pPr>
              <w:rPr>
                <w:sz w:val="20"/>
                <w:szCs w:val="20"/>
              </w:rPr>
            </w:pPr>
            <w:r>
              <w:rPr>
                <w:rFonts w:eastAsia="Times New Roman"/>
                <w:sz w:val="24"/>
                <w:szCs w:val="24"/>
              </w:rPr>
              <w:t>Residual</w:t>
            </w:r>
          </w:p>
          <w:p w14:paraId="6652F7F0" w14:textId="0AAEF8ED" w:rsidR="00D9539A" w:rsidRDefault="00D9539A" w:rsidP="00AB44F5">
            <w:pPr>
              <w:rPr>
                <w:rFonts w:eastAsia="Times New Roman"/>
                <w:sz w:val="24"/>
                <w:szCs w:val="24"/>
              </w:rPr>
            </w:pPr>
            <w:r>
              <w:rPr>
                <w:rFonts w:eastAsia="Times New Roman"/>
                <w:sz w:val="24"/>
                <w:szCs w:val="24"/>
              </w:rPr>
              <w:t>(mg/l)</w:t>
            </w:r>
          </w:p>
        </w:tc>
        <w:tc>
          <w:tcPr>
            <w:tcW w:w="7540" w:type="dxa"/>
            <w:gridSpan w:val="7"/>
            <w:vAlign w:val="center"/>
          </w:tcPr>
          <w:p w14:paraId="5260ABFB" w14:textId="381AF018" w:rsidR="00D9539A" w:rsidRDefault="00D9539A" w:rsidP="00AB44F5">
            <w:pPr>
              <w:jc w:val="center"/>
              <w:rPr>
                <w:rFonts w:eastAsia="Times New Roman"/>
                <w:w w:val="96"/>
                <w:sz w:val="24"/>
                <w:szCs w:val="24"/>
              </w:rPr>
            </w:pPr>
            <w:r>
              <w:rPr>
                <w:rFonts w:eastAsia="Times New Roman"/>
                <w:w w:val="96"/>
                <w:sz w:val="24"/>
                <w:szCs w:val="24"/>
              </w:rPr>
              <w:t>pH</w:t>
            </w:r>
          </w:p>
        </w:tc>
      </w:tr>
      <w:tr w:rsidR="00D9539A" w14:paraId="281A5E7A" w14:textId="77777777" w:rsidTr="00DF0E65">
        <w:trPr>
          <w:trHeight w:val="276"/>
        </w:trPr>
        <w:tc>
          <w:tcPr>
            <w:tcW w:w="1720" w:type="dxa"/>
            <w:vMerge/>
            <w:tcBorders>
              <w:bottom w:val="single" w:sz="8" w:space="0" w:color="auto"/>
            </w:tcBorders>
            <w:vAlign w:val="bottom"/>
          </w:tcPr>
          <w:p w14:paraId="281A5E72" w14:textId="628E4DB5" w:rsidR="00D9539A" w:rsidRDefault="00D9539A" w:rsidP="00AB44F5">
            <w:pPr>
              <w:ind w:left="280"/>
              <w:rPr>
                <w:sz w:val="20"/>
                <w:szCs w:val="20"/>
              </w:rPr>
            </w:pPr>
          </w:p>
        </w:tc>
        <w:tc>
          <w:tcPr>
            <w:tcW w:w="1077" w:type="dxa"/>
            <w:tcBorders>
              <w:bottom w:val="single" w:sz="8" w:space="0" w:color="auto"/>
            </w:tcBorders>
            <w:vAlign w:val="center"/>
          </w:tcPr>
          <w:p w14:paraId="281A5E73" w14:textId="77777777" w:rsidR="00D9539A" w:rsidRDefault="00D9539A" w:rsidP="00AB44F5">
            <w:pPr>
              <w:jc w:val="center"/>
              <w:rPr>
                <w:sz w:val="20"/>
                <w:szCs w:val="20"/>
              </w:rPr>
            </w:pPr>
            <w:r>
              <w:rPr>
                <w:rFonts w:eastAsia="Times New Roman"/>
                <w:sz w:val="24"/>
                <w:szCs w:val="24"/>
              </w:rPr>
              <w:t>&lt; 6.0</w:t>
            </w:r>
          </w:p>
        </w:tc>
        <w:tc>
          <w:tcPr>
            <w:tcW w:w="1077" w:type="dxa"/>
            <w:tcBorders>
              <w:bottom w:val="single" w:sz="8" w:space="0" w:color="auto"/>
            </w:tcBorders>
            <w:vAlign w:val="center"/>
          </w:tcPr>
          <w:p w14:paraId="281A5E74" w14:textId="77777777" w:rsidR="00D9539A" w:rsidRDefault="00D9539A" w:rsidP="00AB44F5">
            <w:pPr>
              <w:jc w:val="center"/>
              <w:rPr>
                <w:sz w:val="20"/>
                <w:szCs w:val="20"/>
              </w:rPr>
            </w:pPr>
            <w:r>
              <w:rPr>
                <w:rFonts w:eastAsia="Times New Roman"/>
                <w:sz w:val="24"/>
                <w:szCs w:val="24"/>
              </w:rPr>
              <w:t>6.5</w:t>
            </w:r>
          </w:p>
        </w:tc>
        <w:tc>
          <w:tcPr>
            <w:tcW w:w="1077" w:type="dxa"/>
            <w:tcBorders>
              <w:bottom w:val="single" w:sz="8" w:space="0" w:color="auto"/>
            </w:tcBorders>
            <w:vAlign w:val="center"/>
          </w:tcPr>
          <w:p w14:paraId="281A5E75" w14:textId="77777777" w:rsidR="00D9539A" w:rsidRDefault="00D9539A" w:rsidP="00AB44F5">
            <w:pPr>
              <w:jc w:val="center"/>
              <w:rPr>
                <w:sz w:val="20"/>
                <w:szCs w:val="20"/>
              </w:rPr>
            </w:pPr>
            <w:r>
              <w:rPr>
                <w:rFonts w:eastAsia="Times New Roman"/>
                <w:sz w:val="24"/>
                <w:szCs w:val="24"/>
              </w:rPr>
              <w:t>7.0</w:t>
            </w:r>
          </w:p>
        </w:tc>
        <w:tc>
          <w:tcPr>
            <w:tcW w:w="1077" w:type="dxa"/>
            <w:tcBorders>
              <w:bottom w:val="single" w:sz="8" w:space="0" w:color="auto"/>
            </w:tcBorders>
            <w:vAlign w:val="center"/>
          </w:tcPr>
          <w:p w14:paraId="281A5E76" w14:textId="77777777" w:rsidR="00D9539A" w:rsidRDefault="00D9539A" w:rsidP="00AB44F5">
            <w:pPr>
              <w:jc w:val="center"/>
              <w:rPr>
                <w:sz w:val="20"/>
                <w:szCs w:val="20"/>
              </w:rPr>
            </w:pPr>
            <w:r>
              <w:rPr>
                <w:rFonts w:eastAsia="Times New Roman"/>
                <w:sz w:val="24"/>
                <w:szCs w:val="24"/>
              </w:rPr>
              <w:t>7.5</w:t>
            </w:r>
          </w:p>
        </w:tc>
        <w:tc>
          <w:tcPr>
            <w:tcW w:w="1077" w:type="dxa"/>
            <w:tcBorders>
              <w:bottom w:val="single" w:sz="8" w:space="0" w:color="auto"/>
            </w:tcBorders>
            <w:vAlign w:val="center"/>
          </w:tcPr>
          <w:p w14:paraId="281A5E77" w14:textId="77777777" w:rsidR="00D9539A" w:rsidRDefault="00D9539A" w:rsidP="00AB44F5">
            <w:pPr>
              <w:jc w:val="center"/>
              <w:rPr>
                <w:sz w:val="20"/>
                <w:szCs w:val="20"/>
              </w:rPr>
            </w:pPr>
            <w:r>
              <w:rPr>
                <w:rFonts w:eastAsia="Times New Roman"/>
                <w:sz w:val="24"/>
                <w:szCs w:val="24"/>
              </w:rPr>
              <w:t>8.0</w:t>
            </w:r>
          </w:p>
        </w:tc>
        <w:tc>
          <w:tcPr>
            <w:tcW w:w="1077" w:type="dxa"/>
            <w:tcBorders>
              <w:bottom w:val="single" w:sz="8" w:space="0" w:color="auto"/>
            </w:tcBorders>
            <w:vAlign w:val="center"/>
          </w:tcPr>
          <w:p w14:paraId="281A5E78" w14:textId="77777777" w:rsidR="00D9539A" w:rsidRDefault="00D9539A" w:rsidP="00AB44F5">
            <w:pPr>
              <w:jc w:val="center"/>
              <w:rPr>
                <w:sz w:val="20"/>
                <w:szCs w:val="20"/>
              </w:rPr>
            </w:pPr>
            <w:r>
              <w:rPr>
                <w:rFonts w:eastAsia="Times New Roman"/>
                <w:sz w:val="24"/>
                <w:szCs w:val="24"/>
              </w:rPr>
              <w:t>8.5</w:t>
            </w:r>
          </w:p>
        </w:tc>
        <w:tc>
          <w:tcPr>
            <w:tcW w:w="1078" w:type="dxa"/>
            <w:tcBorders>
              <w:bottom w:val="single" w:sz="8" w:space="0" w:color="auto"/>
            </w:tcBorders>
            <w:vAlign w:val="center"/>
          </w:tcPr>
          <w:p w14:paraId="281A5E79" w14:textId="77777777" w:rsidR="00D9539A" w:rsidRDefault="00D9539A" w:rsidP="00AB44F5">
            <w:pPr>
              <w:jc w:val="center"/>
              <w:rPr>
                <w:sz w:val="20"/>
                <w:szCs w:val="20"/>
              </w:rPr>
            </w:pPr>
            <w:r>
              <w:rPr>
                <w:rFonts w:eastAsia="Times New Roman"/>
                <w:w w:val="96"/>
                <w:sz w:val="24"/>
                <w:szCs w:val="24"/>
              </w:rPr>
              <w:t>&lt; 9.0</w:t>
            </w:r>
          </w:p>
        </w:tc>
      </w:tr>
      <w:tr w:rsidR="00D9539A" w14:paraId="281A5E94" w14:textId="77777777" w:rsidTr="00DF0E65">
        <w:trPr>
          <w:trHeight w:val="539"/>
        </w:trPr>
        <w:tc>
          <w:tcPr>
            <w:tcW w:w="1720" w:type="dxa"/>
            <w:tcBorders>
              <w:top w:val="single" w:sz="8" w:space="0" w:color="auto"/>
            </w:tcBorders>
            <w:vAlign w:val="center"/>
          </w:tcPr>
          <w:p w14:paraId="281A5E8C" w14:textId="3C7B76DB" w:rsidR="00D9539A" w:rsidRDefault="00D9539A" w:rsidP="00AB44F5">
            <w:pPr>
              <w:jc w:val="center"/>
              <w:rPr>
                <w:sz w:val="20"/>
                <w:szCs w:val="20"/>
              </w:rPr>
            </w:pPr>
            <w:r>
              <w:rPr>
                <w:rFonts w:eastAsia="Times New Roman"/>
                <w:sz w:val="24"/>
                <w:szCs w:val="24"/>
              </w:rPr>
              <w:t>≤0.4</w:t>
            </w:r>
          </w:p>
        </w:tc>
        <w:tc>
          <w:tcPr>
            <w:tcW w:w="1077" w:type="dxa"/>
            <w:tcBorders>
              <w:top w:val="single" w:sz="8" w:space="0" w:color="auto"/>
            </w:tcBorders>
            <w:vAlign w:val="center"/>
          </w:tcPr>
          <w:p w14:paraId="281A5E8D" w14:textId="77777777" w:rsidR="00D9539A" w:rsidRDefault="00D9539A" w:rsidP="00AB44F5">
            <w:pPr>
              <w:jc w:val="center"/>
              <w:rPr>
                <w:sz w:val="20"/>
                <w:szCs w:val="20"/>
              </w:rPr>
            </w:pPr>
            <w:r>
              <w:rPr>
                <w:rFonts w:eastAsia="Times New Roman"/>
                <w:sz w:val="24"/>
                <w:szCs w:val="24"/>
              </w:rPr>
              <w:t>24</w:t>
            </w:r>
          </w:p>
        </w:tc>
        <w:tc>
          <w:tcPr>
            <w:tcW w:w="1077" w:type="dxa"/>
            <w:tcBorders>
              <w:top w:val="single" w:sz="8" w:space="0" w:color="auto"/>
            </w:tcBorders>
            <w:vAlign w:val="center"/>
          </w:tcPr>
          <w:p w14:paraId="281A5E8E" w14:textId="77777777" w:rsidR="00D9539A" w:rsidRDefault="00D9539A" w:rsidP="00AB44F5">
            <w:pPr>
              <w:jc w:val="center"/>
              <w:rPr>
                <w:sz w:val="20"/>
                <w:szCs w:val="20"/>
              </w:rPr>
            </w:pPr>
            <w:r>
              <w:rPr>
                <w:rFonts w:eastAsia="Times New Roman"/>
                <w:sz w:val="24"/>
                <w:szCs w:val="24"/>
              </w:rPr>
              <w:t>29</w:t>
            </w:r>
          </w:p>
        </w:tc>
        <w:tc>
          <w:tcPr>
            <w:tcW w:w="1077" w:type="dxa"/>
            <w:tcBorders>
              <w:top w:val="single" w:sz="8" w:space="0" w:color="auto"/>
            </w:tcBorders>
            <w:vAlign w:val="center"/>
          </w:tcPr>
          <w:p w14:paraId="281A5E8F" w14:textId="77777777" w:rsidR="00D9539A" w:rsidRDefault="00D9539A" w:rsidP="00AB44F5">
            <w:pPr>
              <w:jc w:val="center"/>
              <w:rPr>
                <w:sz w:val="20"/>
                <w:szCs w:val="20"/>
              </w:rPr>
            </w:pPr>
            <w:r>
              <w:rPr>
                <w:rFonts w:eastAsia="Times New Roman"/>
                <w:sz w:val="24"/>
                <w:szCs w:val="24"/>
              </w:rPr>
              <w:t>35</w:t>
            </w:r>
          </w:p>
        </w:tc>
        <w:tc>
          <w:tcPr>
            <w:tcW w:w="1077" w:type="dxa"/>
            <w:tcBorders>
              <w:top w:val="single" w:sz="8" w:space="0" w:color="auto"/>
            </w:tcBorders>
            <w:vAlign w:val="center"/>
          </w:tcPr>
          <w:p w14:paraId="281A5E90" w14:textId="77777777" w:rsidR="00D9539A" w:rsidRDefault="00D9539A" w:rsidP="00AB44F5">
            <w:pPr>
              <w:jc w:val="center"/>
              <w:rPr>
                <w:sz w:val="20"/>
                <w:szCs w:val="20"/>
              </w:rPr>
            </w:pPr>
            <w:r>
              <w:rPr>
                <w:rFonts w:eastAsia="Times New Roman"/>
                <w:sz w:val="24"/>
                <w:szCs w:val="24"/>
              </w:rPr>
              <w:t>42</w:t>
            </w:r>
          </w:p>
        </w:tc>
        <w:tc>
          <w:tcPr>
            <w:tcW w:w="1077" w:type="dxa"/>
            <w:tcBorders>
              <w:top w:val="single" w:sz="8" w:space="0" w:color="auto"/>
            </w:tcBorders>
            <w:vAlign w:val="center"/>
          </w:tcPr>
          <w:p w14:paraId="281A5E91" w14:textId="77777777" w:rsidR="00D9539A" w:rsidRDefault="00D9539A" w:rsidP="00AB44F5">
            <w:pPr>
              <w:jc w:val="center"/>
              <w:rPr>
                <w:sz w:val="20"/>
                <w:szCs w:val="20"/>
              </w:rPr>
            </w:pPr>
            <w:r>
              <w:rPr>
                <w:rFonts w:eastAsia="Times New Roman"/>
                <w:sz w:val="24"/>
                <w:szCs w:val="24"/>
              </w:rPr>
              <w:t>50</w:t>
            </w:r>
          </w:p>
        </w:tc>
        <w:tc>
          <w:tcPr>
            <w:tcW w:w="1077" w:type="dxa"/>
            <w:tcBorders>
              <w:top w:val="single" w:sz="8" w:space="0" w:color="auto"/>
            </w:tcBorders>
            <w:vAlign w:val="center"/>
          </w:tcPr>
          <w:p w14:paraId="281A5E92" w14:textId="77777777" w:rsidR="00D9539A" w:rsidRDefault="00D9539A" w:rsidP="00AB44F5">
            <w:pPr>
              <w:jc w:val="center"/>
              <w:rPr>
                <w:sz w:val="20"/>
                <w:szCs w:val="20"/>
              </w:rPr>
            </w:pPr>
            <w:r>
              <w:rPr>
                <w:rFonts w:eastAsia="Times New Roman"/>
                <w:sz w:val="24"/>
                <w:szCs w:val="24"/>
              </w:rPr>
              <w:t>59</w:t>
            </w:r>
          </w:p>
        </w:tc>
        <w:tc>
          <w:tcPr>
            <w:tcW w:w="1078" w:type="dxa"/>
            <w:tcBorders>
              <w:top w:val="single" w:sz="8" w:space="0" w:color="auto"/>
            </w:tcBorders>
            <w:vAlign w:val="center"/>
          </w:tcPr>
          <w:p w14:paraId="281A5E93" w14:textId="77777777" w:rsidR="00D9539A" w:rsidRDefault="00D9539A" w:rsidP="00AB44F5">
            <w:pPr>
              <w:jc w:val="center"/>
              <w:rPr>
                <w:sz w:val="20"/>
                <w:szCs w:val="20"/>
              </w:rPr>
            </w:pPr>
            <w:r>
              <w:rPr>
                <w:rFonts w:eastAsia="Times New Roman"/>
                <w:sz w:val="24"/>
                <w:szCs w:val="24"/>
              </w:rPr>
              <w:t>70</w:t>
            </w:r>
          </w:p>
        </w:tc>
      </w:tr>
      <w:tr w:rsidR="00D9539A" w14:paraId="281A5E9F" w14:textId="77777777" w:rsidTr="00DF0E65">
        <w:trPr>
          <w:trHeight w:val="264"/>
        </w:trPr>
        <w:tc>
          <w:tcPr>
            <w:tcW w:w="1720" w:type="dxa"/>
            <w:vAlign w:val="center"/>
          </w:tcPr>
          <w:p w14:paraId="281A5E97" w14:textId="77777777" w:rsidR="00D9539A" w:rsidRDefault="00D9539A" w:rsidP="00AB44F5">
            <w:pPr>
              <w:jc w:val="center"/>
              <w:rPr>
                <w:sz w:val="20"/>
                <w:szCs w:val="20"/>
              </w:rPr>
            </w:pPr>
            <w:r>
              <w:rPr>
                <w:rFonts w:eastAsia="Times New Roman"/>
                <w:sz w:val="24"/>
                <w:szCs w:val="24"/>
              </w:rPr>
              <w:t>0.6</w:t>
            </w:r>
          </w:p>
        </w:tc>
        <w:tc>
          <w:tcPr>
            <w:tcW w:w="1077" w:type="dxa"/>
            <w:vAlign w:val="center"/>
          </w:tcPr>
          <w:p w14:paraId="281A5E98" w14:textId="77777777" w:rsidR="00D9539A" w:rsidRDefault="00D9539A" w:rsidP="00AB44F5">
            <w:pPr>
              <w:jc w:val="center"/>
              <w:rPr>
                <w:sz w:val="20"/>
                <w:szCs w:val="20"/>
              </w:rPr>
            </w:pPr>
            <w:r>
              <w:rPr>
                <w:rFonts w:eastAsia="Times New Roman"/>
                <w:sz w:val="24"/>
                <w:szCs w:val="24"/>
              </w:rPr>
              <w:t>25</w:t>
            </w:r>
          </w:p>
        </w:tc>
        <w:tc>
          <w:tcPr>
            <w:tcW w:w="1077" w:type="dxa"/>
            <w:vAlign w:val="center"/>
          </w:tcPr>
          <w:p w14:paraId="281A5E99" w14:textId="77777777" w:rsidR="00D9539A" w:rsidRDefault="00D9539A" w:rsidP="00AB44F5">
            <w:pPr>
              <w:jc w:val="center"/>
              <w:rPr>
                <w:sz w:val="20"/>
                <w:szCs w:val="20"/>
              </w:rPr>
            </w:pPr>
            <w:r>
              <w:rPr>
                <w:rFonts w:eastAsia="Times New Roman"/>
                <w:sz w:val="24"/>
                <w:szCs w:val="24"/>
              </w:rPr>
              <w:t>30</w:t>
            </w:r>
          </w:p>
        </w:tc>
        <w:tc>
          <w:tcPr>
            <w:tcW w:w="1077" w:type="dxa"/>
            <w:vAlign w:val="center"/>
          </w:tcPr>
          <w:p w14:paraId="281A5E9A" w14:textId="77777777" w:rsidR="00D9539A" w:rsidRDefault="00D9539A" w:rsidP="00AB44F5">
            <w:pPr>
              <w:jc w:val="center"/>
              <w:rPr>
                <w:sz w:val="20"/>
                <w:szCs w:val="20"/>
              </w:rPr>
            </w:pPr>
            <w:r>
              <w:rPr>
                <w:rFonts w:eastAsia="Times New Roman"/>
                <w:sz w:val="24"/>
                <w:szCs w:val="24"/>
              </w:rPr>
              <w:t>36</w:t>
            </w:r>
          </w:p>
        </w:tc>
        <w:tc>
          <w:tcPr>
            <w:tcW w:w="1077" w:type="dxa"/>
            <w:vAlign w:val="center"/>
          </w:tcPr>
          <w:p w14:paraId="281A5E9B" w14:textId="77777777" w:rsidR="00D9539A" w:rsidRDefault="00D9539A" w:rsidP="00AB44F5">
            <w:pPr>
              <w:jc w:val="center"/>
              <w:rPr>
                <w:sz w:val="20"/>
                <w:szCs w:val="20"/>
              </w:rPr>
            </w:pPr>
            <w:r>
              <w:rPr>
                <w:rFonts w:eastAsia="Times New Roman"/>
                <w:sz w:val="24"/>
                <w:szCs w:val="24"/>
              </w:rPr>
              <w:t>43</w:t>
            </w:r>
          </w:p>
        </w:tc>
        <w:tc>
          <w:tcPr>
            <w:tcW w:w="1077" w:type="dxa"/>
            <w:vAlign w:val="center"/>
          </w:tcPr>
          <w:p w14:paraId="281A5E9C" w14:textId="77777777" w:rsidR="00D9539A" w:rsidRDefault="00D9539A" w:rsidP="00AB44F5">
            <w:pPr>
              <w:jc w:val="center"/>
              <w:rPr>
                <w:sz w:val="20"/>
                <w:szCs w:val="20"/>
              </w:rPr>
            </w:pPr>
            <w:r>
              <w:rPr>
                <w:rFonts w:eastAsia="Times New Roman"/>
                <w:sz w:val="24"/>
                <w:szCs w:val="24"/>
              </w:rPr>
              <w:t>51</w:t>
            </w:r>
          </w:p>
        </w:tc>
        <w:tc>
          <w:tcPr>
            <w:tcW w:w="1077" w:type="dxa"/>
            <w:vAlign w:val="center"/>
          </w:tcPr>
          <w:p w14:paraId="281A5E9D" w14:textId="77777777" w:rsidR="00D9539A" w:rsidRDefault="00D9539A" w:rsidP="00AB44F5">
            <w:pPr>
              <w:jc w:val="center"/>
              <w:rPr>
                <w:sz w:val="20"/>
                <w:szCs w:val="20"/>
              </w:rPr>
            </w:pPr>
            <w:r>
              <w:rPr>
                <w:rFonts w:eastAsia="Times New Roman"/>
                <w:sz w:val="24"/>
                <w:szCs w:val="24"/>
              </w:rPr>
              <w:t>61</w:t>
            </w:r>
          </w:p>
        </w:tc>
        <w:tc>
          <w:tcPr>
            <w:tcW w:w="1078" w:type="dxa"/>
            <w:vAlign w:val="center"/>
          </w:tcPr>
          <w:p w14:paraId="281A5E9E" w14:textId="77777777" w:rsidR="00D9539A" w:rsidRDefault="00D9539A" w:rsidP="00AB44F5">
            <w:pPr>
              <w:jc w:val="center"/>
              <w:rPr>
                <w:sz w:val="20"/>
                <w:szCs w:val="20"/>
              </w:rPr>
            </w:pPr>
            <w:r>
              <w:rPr>
                <w:rFonts w:eastAsia="Times New Roman"/>
                <w:sz w:val="24"/>
                <w:szCs w:val="24"/>
              </w:rPr>
              <w:t>73</w:t>
            </w:r>
          </w:p>
        </w:tc>
      </w:tr>
      <w:tr w:rsidR="00D9539A" w14:paraId="281A5EAA" w14:textId="77777777" w:rsidTr="00DF0E65">
        <w:trPr>
          <w:trHeight w:val="278"/>
        </w:trPr>
        <w:tc>
          <w:tcPr>
            <w:tcW w:w="1720" w:type="dxa"/>
            <w:vAlign w:val="center"/>
          </w:tcPr>
          <w:p w14:paraId="281A5EA2" w14:textId="77777777" w:rsidR="00D9539A" w:rsidRDefault="00D9539A" w:rsidP="00AB44F5">
            <w:pPr>
              <w:jc w:val="center"/>
              <w:rPr>
                <w:sz w:val="20"/>
                <w:szCs w:val="20"/>
              </w:rPr>
            </w:pPr>
            <w:r>
              <w:rPr>
                <w:rFonts w:eastAsia="Times New Roman"/>
                <w:sz w:val="24"/>
                <w:szCs w:val="24"/>
              </w:rPr>
              <w:t>0.8</w:t>
            </w:r>
          </w:p>
        </w:tc>
        <w:tc>
          <w:tcPr>
            <w:tcW w:w="1077" w:type="dxa"/>
            <w:vAlign w:val="center"/>
          </w:tcPr>
          <w:p w14:paraId="281A5EA3" w14:textId="77777777" w:rsidR="00D9539A" w:rsidRDefault="00D9539A" w:rsidP="00AB44F5">
            <w:pPr>
              <w:jc w:val="center"/>
              <w:rPr>
                <w:sz w:val="20"/>
                <w:szCs w:val="20"/>
              </w:rPr>
            </w:pPr>
            <w:r>
              <w:rPr>
                <w:rFonts w:eastAsia="Times New Roman"/>
                <w:sz w:val="24"/>
                <w:szCs w:val="24"/>
              </w:rPr>
              <w:t>26</w:t>
            </w:r>
          </w:p>
        </w:tc>
        <w:tc>
          <w:tcPr>
            <w:tcW w:w="1077" w:type="dxa"/>
            <w:vAlign w:val="center"/>
          </w:tcPr>
          <w:p w14:paraId="281A5EA4" w14:textId="77777777" w:rsidR="00D9539A" w:rsidRDefault="00D9539A" w:rsidP="00AB44F5">
            <w:pPr>
              <w:jc w:val="center"/>
              <w:rPr>
                <w:sz w:val="20"/>
                <w:szCs w:val="20"/>
              </w:rPr>
            </w:pPr>
            <w:r>
              <w:rPr>
                <w:rFonts w:eastAsia="Times New Roman"/>
                <w:sz w:val="24"/>
                <w:szCs w:val="24"/>
              </w:rPr>
              <w:t>31</w:t>
            </w:r>
          </w:p>
        </w:tc>
        <w:tc>
          <w:tcPr>
            <w:tcW w:w="1077" w:type="dxa"/>
            <w:vAlign w:val="center"/>
          </w:tcPr>
          <w:p w14:paraId="281A5EA5" w14:textId="77777777" w:rsidR="00D9539A" w:rsidRDefault="00D9539A" w:rsidP="00AB44F5">
            <w:pPr>
              <w:jc w:val="center"/>
              <w:rPr>
                <w:sz w:val="20"/>
                <w:szCs w:val="20"/>
              </w:rPr>
            </w:pPr>
            <w:r>
              <w:rPr>
                <w:rFonts w:eastAsia="Times New Roman"/>
                <w:sz w:val="24"/>
                <w:szCs w:val="24"/>
              </w:rPr>
              <w:t>37</w:t>
            </w:r>
          </w:p>
        </w:tc>
        <w:tc>
          <w:tcPr>
            <w:tcW w:w="1077" w:type="dxa"/>
            <w:vAlign w:val="center"/>
          </w:tcPr>
          <w:p w14:paraId="281A5EA6" w14:textId="77777777" w:rsidR="00D9539A" w:rsidRDefault="00D9539A" w:rsidP="00AB44F5">
            <w:pPr>
              <w:jc w:val="center"/>
              <w:rPr>
                <w:sz w:val="20"/>
                <w:szCs w:val="20"/>
              </w:rPr>
            </w:pPr>
            <w:r>
              <w:rPr>
                <w:rFonts w:eastAsia="Times New Roman"/>
                <w:sz w:val="24"/>
                <w:szCs w:val="24"/>
              </w:rPr>
              <w:t>44</w:t>
            </w:r>
          </w:p>
        </w:tc>
        <w:tc>
          <w:tcPr>
            <w:tcW w:w="1077" w:type="dxa"/>
            <w:vAlign w:val="center"/>
          </w:tcPr>
          <w:p w14:paraId="281A5EA7" w14:textId="77777777" w:rsidR="00D9539A" w:rsidRDefault="00D9539A" w:rsidP="00AB44F5">
            <w:pPr>
              <w:jc w:val="center"/>
              <w:rPr>
                <w:sz w:val="20"/>
                <w:szCs w:val="20"/>
              </w:rPr>
            </w:pPr>
            <w:r>
              <w:rPr>
                <w:rFonts w:eastAsia="Times New Roman"/>
                <w:sz w:val="24"/>
                <w:szCs w:val="24"/>
              </w:rPr>
              <w:t>53</w:t>
            </w:r>
          </w:p>
        </w:tc>
        <w:tc>
          <w:tcPr>
            <w:tcW w:w="1077" w:type="dxa"/>
            <w:vAlign w:val="center"/>
          </w:tcPr>
          <w:p w14:paraId="281A5EA8" w14:textId="77777777" w:rsidR="00D9539A" w:rsidRDefault="00D9539A" w:rsidP="00AB44F5">
            <w:pPr>
              <w:jc w:val="center"/>
              <w:rPr>
                <w:sz w:val="20"/>
                <w:szCs w:val="20"/>
              </w:rPr>
            </w:pPr>
            <w:r>
              <w:rPr>
                <w:rFonts w:eastAsia="Times New Roman"/>
                <w:sz w:val="24"/>
                <w:szCs w:val="24"/>
              </w:rPr>
              <w:t>63</w:t>
            </w:r>
          </w:p>
        </w:tc>
        <w:tc>
          <w:tcPr>
            <w:tcW w:w="1078" w:type="dxa"/>
            <w:vAlign w:val="center"/>
          </w:tcPr>
          <w:p w14:paraId="281A5EA9" w14:textId="77777777" w:rsidR="00D9539A" w:rsidRDefault="00D9539A" w:rsidP="00AB44F5">
            <w:pPr>
              <w:jc w:val="center"/>
              <w:rPr>
                <w:sz w:val="20"/>
                <w:szCs w:val="20"/>
              </w:rPr>
            </w:pPr>
            <w:r>
              <w:rPr>
                <w:rFonts w:eastAsia="Times New Roman"/>
                <w:sz w:val="24"/>
                <w:szCs w:val="24"/>
              </w:rPr>
              <w:t>75</w:t>
            </w:r>
          </w:p>
        </w:tc>
      </w:tr>
      <w:tr w:rsidR="00D9539A" w14:paraId="281A5EB5" w14:textId="77777777" w:rsidTr="00DF0E65">
        <w:trPr>
          <w:trHeight w:val="281"/>
        </w:trPr>
        <w:tc>
          <w:tcPr>
            <w:tcW w:w="1720" w:type="dxa"/>
            <w:vAlign w:val="center"/>
          </w:tcPr>
          <w:p w14:paraId="281A5EAD" w14:textId="77777777" w:rsidR="00D9539A" w:rsidRDefault="00D9539A" w:rsidP="00AB44F5">
            <w:pPr>
              <w:jc w:val="center"/>
              <w:rPr>
                <w:sz w:val="20"/>
                <w:szCs w:val="20"/>
              </w:rPr>
            </w:pPr>
            <w:r>
              <w:rPr>
                <w:rFonts w:eastAsia="Times New Roman"/>
                <w:sz w:val="24"/>
                <w:szCs w:val="24"/>
              </w:rPr>
              <w:t>1.0</w:t>
            </w:r>
          </w:p>
        </w:tc>
        <w:tc>
          <w:tcPr>
            <w:tcW w:w="1077" w:type="dxa"/>
            <w:vAlign w:val="center"/>
          </w:tcPr>
          <w:p w14:paraId="281A5EAE" w14:textId="77777777" w:rsidR="00D9539A" w:rsidRDefault="00D9539A" w:rsidP="00AB44F5">
            <w:pPr>
              <w:jc w:val="center"/>
              <w:rPr>
                <w:sz w:val="20"/>
                <w:szCs w:val="20"/>
              </w:rPr>
            </w:pPr>
            <w:r>
              <w:rPr>
                <w:rFonts w:eastAsia="Times New Roman"/>
                <w:sz w:val="24"/>
                <w:szCs w:val="24"/>
              </w:rPr>
              <w:t>26</w:t>
            </w:r>
          </w:p>
        </w:tc>
        <w:tc>
          <w:tcPr>
            <w:tcW w:w="1077" w:type="dxa"/>
            <w:vAlign w:val="center"/>
          </w:tcPr>
          <w:p w14:paraId="281A5EAF" w14:textId="77777777" w:rsidR="00D9539A" w:rsidRDefault="00D9539A" w:rsidP="00AB44F5">
            <w:pPr>
              <w:jc w:val="center"/>
              <w:rPr>
                <w:sz w:val="20"/>
                <w:szCs w:val="20"/>
              </w:rPr>
            </w:pPr>
            <w:r>
              <w:rPr>
                <w:rFonts w:eastAsia="Times New Roman"/>
                <w:sz w:val="24"/>
                <w:szCs w:val="24"/>
              </w:rPr>
              <w:t>31</w:t>
            </w:r>
          </w:p>
        </w:tc>
        <w:tc>
          <w:tcPr>
            <w:tcW w:w="1077" w:type="dxa"/>
            <w:vAlign w:val="center"/>
          </w:tcPr>
          <w:p w14:paraId="281A5EB0" w14:textId="77777777" w:rsidR="00D9539A" w:rsidRDefault="00D9539A" w:rsidP="00AB44F5">
            <w:pPr>
              <w:jc w:val="center"/>
              <w:rPr>
                <w:sz w:val="20"/>
                <w:szCs w:val="20"/>
              </w:rPr>
            </w:pPr>
            <w:r>
              <w:rPr>
                <w:rFonts w:eastAsia="Times New Roman"/>
                <w:sz w:val="24"/>
                <w:szCs w:val="24"/>
              </w:rPr>
              <w:t>37</w:t>
            </w:r>
          </w:p>
        </w:tc>
        <w:tc>
          <w:tcPr>
            <w:tcW w:w="1077" w:type="dxa"/>
            <w:vAlign w:val="center"/>
          </w:tcPr>
          <w:p w14:paraId="281A5EB1" w14:textId="77777777" w:rsidR="00D9539A" w:rsidRDefault="00D9539A" w:rsidP="00AB44F5">
            <w:pPr>
              <w:jc w:val="center"/>
              <w:rPr>
                <w:sz w:val="20"/>
                <w:szCs w:val="20"/>
              </w:rPr>
            </w:pPr>
            <w:r>
              <w:rPr>
                <w:rFonts w:eastAsia="Times New Roman"/>
                <w:sz w:val="24"/>
                <w:szCs w:val="24"/>
              </w:rPr>
              <w:t>45</w:t>
            </w:r>
          </w:p>
        </w:tc>
        <w:tc>
          <w:tcPr>
            <w:tcW w:w="1077" w:type="dxa"/>
            <w:vAlign w:val="center"/>
          </w:tcPr>
          <w:p w14:paraId="281A5EB2" w14:textId="77777777" w:rsidR="00D9539A" w:rsidRDefault="00D9539A" w:rsidP="00AB44F5">
            <w:pPr>
              <w:jc w:val="center"/>
              <w:rPr>
                <w:sz w:val="20"/>
                <w:szCs w:val="20"/>
              </w:rPr>
            </w:pPr>
            <w:r>
              <w:rPr>
                <w:rFonts w:eastAsia="Times New Roman"/>
                <w:sz w:val="24"/>
                <w:szCs w:val="24"/>
              </w:rPr>
              <w:t>54</w:t>
            </w:r>
          </w:p>
        </w:tc>
        <w:tc>
          <w:tcPr>
            <w:tcW w:w="1077" w:type="dxa"/>
            <w:vAlign w:val="center"/>
          </w:tcPr>
          <w:p w14:paraId="281A5EB3" w14:textId="77777777" w:rsidR="00D9539A" w:rsidRDefault="00D9539A" w:rsidP="00AB44F5">
            <w:pPr>
              <w:jc w:val="center"/>
              <w:rPr>
                <w:sz w:val="20"/>
                <w:szCs w:val="20"/>
              </w:rPr>
            </w:pPr>
            <w:r>
              <w:rPr>
                <w:rFonts w:eastAsia="Times New Roman"/>
                <w:sz w:val="24"/>
                <w:szCs w:val="24"/>
              </w:rPr>
              <w:t>65</w:t>
            </w:r>
          </w:p>
        </w:tc>
        <w:tc>
          <w:tcPr>
            <w:tcW w:w="1078" w:type="dxa"/>
            <w:vAlign w:val="center"/>
          </w:tcPr>
          <w:p w14:paraId="281A5EB4" w14:textId="77777777" w:rsidR="00D9539A" w:rsidRDefault="00D9539A" w:rsidP="00AB44F5">
            <w:pPr>
              <w:jc w:val="center"/>
              <w:rPr>
                <w:sz w:val="20"/>
                <w:szCs w:val="20"/>
              </w:rPr>
            </w:pPr>
            <w:r>
              <w:rPr>
                <w:rFonts w:eastAsia="Times New Roman"/>
                <w:sz w:val="24"/>
                <w:szCs w:val="24"/>
              </w:rPr>
              <w:t>78</w:t>
            </w:r>
          </w:p>
        </w:tc>
      </w:tr>
      <w:tr w:rsidR="00D9539A" w14:paraId="281A5EC0" w14:textId="77777777" w:rsidTr="00DF0E65">
        <w:trPr>
          <w:trHeight w:val="278"/>
        </w:trPr>
        <w:tc>
          <w:tcPr>
            <w:tcW w:w="1720" w:type="dxa"/>
            <w:vAlign w:val="center"/>
          </w:tcPr>
          <w:p w14:paraId="281A5EB8" w14:textId="77777777" w:rsidR="00D9539A" w:rsidRDefault="00D9539A" w:rsidP="00AB44F5">
            <w:pPr>
              <w:jc w:val="center"/>
              <w:rPr>
                <w:sz w:val="20"/>
                <w:szCs w:val="20"/>
              </w:rPr>
            </w:pPr>
            <w:r>
              <w:rPr>
                <w:rFonts w:eastAsia="Times New Roman"/>
                <w:sz w:val="24"/>
                <w:szCs w:val="24"/>
              </w:rPr>
              <w:t>1.2</w:t>
            </w:r>
          </w:p>
        </w:tc>
        <w:tc>
          <w:tcPr>
            <w:tcW w:w="1077" w:type="dxa"/>
            <w:vAlign w:val="center"/>
          </w:tcPr>
          <w:p w14:paraId="281A5EB9" w14:textId="77777777" w:rsidR="00D9539A" w:rsidRDefault="00D9539A" w:rsidP="00AB44F5">
            <w:pPr>
              <w:jc w:val="center"/>
              <w:rPr>
                <w:sz w:val="20"/>
                <w:szCs w:val="20"/>
              </w:rPr>
            </w:pPr>
            <w:r>
              <w:rPr>
                <w:rFonts w:eastAsia="Times New Roman"/>
                <w:sz w:val="24"/>
                <w:szCs w:val="24"/>
              </w:rPr>
              <w:t>27</w:t>
            </w:r>
          </w:p>
        </w:tc>
        <w:tc>
          <w:tcPr>
            <w:tcW w:w="1077" w:type="dxa"/>
            <w:vAlign w:val="center"/>
          </w:tcPr>
          <w:p w14:paraId="281A5EBA" w14:textId="77777777" w:rsidR="00D9539A" w:rsidRDefault="00D9539A" w:rsidP="00AB44F5">
            <w:pPr>
              <w:jc w:val="center"/>
              <w:rPr>
                <w:sz w:val="20"/>
                <w:szCs w:val="20"/>
              </w:rPr>
            </w:pPr>
            <w:r>
              <w:rPr>
                <w:rFonts w:eastAsia="Times New Roman"/>
                <w:sz w:val="24"/>
                <w:szCs w:val="24"/>
              </w:rPr>
              <w:t>32</w:t>
            </w:r>
          </w:p>
        </w:tc>
        <w:tc>
          <w:tcPr>
            <w:tcW w:w="1077" w:type="dxa"/>
            <w:vAlign w:val="center"/>
          </w:tcPr>
          <w:p w14:paraId="281A5EBB" w14:textId="77777777" w:rsidR="00D9539A" w:rsidRDefault="00D9539A" w:rsidP="00AB44F5">
            <w:pPr>
              <w:jc w:val="center"/>
              <w:rPr>
                <w:sz w:val="20"/>
                <w:szCs w:val="20"/>
              </w:rPr>
            </w:pPr>
            <w:r>
              <w:rPr>
                <w:rFonts w:eastAsia="Times New Roman"/>
                <w:sz w:val="24"/>
                <w:szCs w:val="24"/>
              </w:rPr>
              <w:t>38</w:t>
            </w:r>
          </w:p>
        </w:tc>
        <w:tc>
          <w:tcPr>
            <w:tcW w:w="1077" w:type="dxa"/>
            <w:vAlign w:val="center"/>
          </w:tcPr>
          <w:p w14:paraId="281A5EBC" w14:textId="77777777" w:rsidR="00D9539A" w:rsidRDefault="00D9539A" w:rsidP="00AB44F5">
            <w:pPr>
              <w:jc w:val="center"/>
              <w:rPr>
                <w:sz w:val="20"/>
                <w:szCs w:val="20"/>
              </w:rPr>
            </w:pPr>
            <w:r>
              <w:rPr>
                <w:rFonts w:eastAsia="Times New Roman"/>
                <w:sz w:val="24"/>
                <w:szCs w:val="24"/>
              </w:rPr>
              <w:t>46</w:t>
            </w:r>
          </w:p>
        </w:tc>
        <w:tc>
          <w:tcPr>
            <w:tcW w:w="1077" w:type="dxa"/>
            <w:vAlign w:val="center"/>
          </w:tcPr>
          <w:p w14:paraId="281A5EBD" w14:textId="77777777" w:rsidR="00D9539A" w:rsidRDefault="00D9539A" w:rsidP="00AB44F5">
            <w:pPr>
              <w:jc w:val="center"/>
              <w:rPr>
                <w:sz w:val="20"/>
                <w:szCs w:val="20"/>
              </w:rPr>
            </w:pPr>
            <w:r>
              <w:rPr>
                <w:rFonts w:eastAsia="Times New Roman"/>
                <w:sz w:val="24"/>
                <w:szCs w:val="24"/>
              </w:rPr>
              <w:t>55</w:t>
            </w:r>
          </w:p>
        </w:tc>
        <w:tc>
          <w:tcPr>
            <w:tcW w:w="1077" w:type="dxa"/>
            <w:vAlign w:val="center"/>
          </w:tcPr>
          <w:p w14:paraId="281A5EBE" w14:textId="77777777" w:rsidR="00D9539A" w:rsidRDefault="00D9539A" w:rsidP="00AB44F5">
            <w:pPr>
              <w:jc w:val="center"/>
              <w:rPr>
                <w:sz w:val="20"/>
                <w:szCs w:val="20"/>
              </w:rPr>
            </w:pPr>
            <w:r>
              <w:rPr>
                <w:rFonts w:eastAsia="Times New Roman"/>
                <w:sz w:val="24"/>
                <w:szCs w:val="24"/>
              </w:rPr>
              <w:t>67</w:t>
            </w:r>
          </w:p>
        </w:tc>
        <w:tc>
          <w:tcPr>
            <w:tcW w:w="1078" w:type="dxa"/>
            <w:vAlign w:val="center"/>
          </w:tcPr>
          <w:p w14:paraId="281A5EBF" w14:textId="77777777" w:rsidR="00D9539A" w:rsidRDefault="00D9539A" w:rsidP="00AB44F5">
            <w:pPr>
              <w:jc w:val="center"/>
              <w:rPr>
                <w:sz w:val="20"/>
                <w:szCs w:val="20"/>
              </w:rPr>
            </w:pPr>
            <w:r>
              <w:rPr>
                <w:rFonts w:eastAsia="Times New Roman"/>
                <w:sz w:val="24"/>
                <w:szCs w:val="24"/>
              </w:rPr>
              <w:t>80</w:t>
            </w:r>
          </w:p>
        </w:tc>
      </w:tr>
      <w:tr w:rsidR="00D9539A" w14:paraId="281A5ECB" w14:textId="77777777" w:rsidTr="00DF0E65">
        <w:trPr>
          <w:trHeight w:val="281"/>
        </w:trPr>
        <w:tc>
          <w:tcPr>
            <w:tcW w:w="1720" w:type="dxa"/>
            <w:vAlign w:val="center"/>
          </w:tcPr>
          <w:p w14:paraId="281A5EC3" w14:textId="77777777" w:rsidR="00D9539A" w:rsidRDefault="00D9539A" w:rsidP="00AB44F5">
            <w:pPr>
              <w:jc w:val="center"/>
              <w:rPr>
                <w:sz w:val="20"/>
                <w:szCs w:val="20"/>
              </w:rPr>
            </w:pPr>
            <w:r>
              <w:rPr>
                <w:rFonts w:eastAsia="Times New Roman"/>
                <w:sz w:val="24"/>
                <w:szCs w:val="24"/>
              </w:rPr>
              <w:t>1.4</w:t>
            </w:r>
          </w:p>
        </w:tc>
        <w:tc>
          <w:tcPr>
            <w:tcW w:w="1077" w:type="dxa"/>
            <w:vAlign w:val="center"/>
          </w:tcPr>
          <w:p w14:paraId="281A5EC4" w14:textId="77777777" w:rsidR="00D9539A" w:rsidRDefault="00D9539A" w:rsidP="00AB44F5">
            <w:pPr>
              <w:jc w:val="center"/>
              <w:rPr>
                <w:sz w:val="20"/>
                <w:szCs w:val="20"/>
              </w:rPr>
            </w:pPr>
            <w:r>
              <w:rPr>
                <w:rFonts w:eastAsia="Times New Roman"/>
                <w:sz w:val="24"/>
                <w:szCs w:val="24"/>
              </w:rPr>
              <w:t>27</w:t>
            </w:r>
          </w:p>
        </w:tc>
        <w:tc>
          <w:tcPr>
            <w:tcW w:w="1077" w:type="dxa"/>
            <w:vAlign w:val="center"/>
          </w:tcPr>
          <w:p w14:paraId="281A5EC5" w14:textId="77777777" w:rsidR="00D9539A" w:rsidRDefault="00D9539A" w:rsidP="00AB44F5">
            <w:pPr>
              <w:jc w:val="center"/>
              <w:rPr>
                <w:sz w:val="20"/>
                <w:szCs w:val="20"/>
              </w:rPr>
            </w:pPr>
            <w:r>
              <w:rPr>
                <w:rFonts w:eastAsia="Times New Roman"/>
                <w:sz w:val="24"/>
                <w:szCs w:val="24"/>
              </w:rPr>
              <w:t>33</w:t>
            </w:r>
          </w:p>
        </w:tc>
        <w:tc>
          <w:tcPr>
            <w:tcW w:w="1077" w:type="dxa"/>
            <w:vAlign w:val="center"/>
          </w:tcPr>
          <w:p w14:paraId="281A5EC6" w14:textId="77777777" w:rsidR="00D9539A" w:rsidRDefault="00D9539A" w:rsidP="00AB44F5">
            <w:pPr>
              <w:jc w:val="center"/>
              <w:rPr>
                <w:sz w:val="20"/>
                <w:szCs w:val="20"/>
              </w:rPr>
            </w:pPr>
            <w:r>
              <w:rPr>
                <w:rFonts w:eastAsia="Times New Roman"/>
                <w:sz w:val="24"/>
                <w:szCs w:val="24"/>
              </w:rPr>
              <w:t>39</w:t>
            </w:r>
          </w:p>
        </w:tc>
        <w:tc>
          <w:tcPr>
            <w:tcW w:w="1077" w:type="dxa"/>
            <w:vAlign w:val="center"/>
          </w:tcPr>
          <w:p w14:paraId="281A5EC7" w14:textId="77777777" w:rsidR="00D9539A" w:rsidRDefault="00D9539A" w:rsidP="00AB44F5">
            <w:pPr>
              <w:jc w:val="center"/>
              <w:rPr>
                <w:sz w:val="20"/>
                <w:szCs w:val="20"/>
              </w:rPr>
            </w:pPr>
            <w:r>
              <w:rPr>
                <w:rFonts w:eastAsia="Times New Roman"/>
                <w:sz w:val="24"/>
                <w:szCs w:val="24"/>
              </w:rPr>
              <w:t>47</w:t>
            </w:r>
          </w:p>
        </w:tc>
        <w:tc>
          <w:tcPr>
            <w:tcW w:w="1077" w:type="dxa"/>
            <w:vAlign w:val="center"/>
          </w:tcPr>
          <w:p w14:paraId="281A5EC8" w14:textId="77777777" w:rsidR="00D9539A" w:rsidRDefault="00D9539A" w:rsidP="00AB44F5">
            <w:pPr>
              <w:jc w:val="center"/>
              <w:rPr>
                <w:sz w:val="20"/>
                <w:szCs w:val="20"/>
              </w:rPr>
            </w:pPr>
            <w:r>
              <w:rPr>
                <w:rFonts w:eastAsia="Times New Roman"/>
                <w:sz w:val="24"/>
                <w:szCs w:val="24"/>
              </w:rPr>
              <w:t>57</w:t>
            </w:r>
          </w:p>
        </w:tc>
        <w:tc>
          <w:tcPr>
            <w:tcW w:w="1077" w:type="dxa"/>
            <w:vAlign w:val="center"/>
          </w:tcPr>
          <w:p w14:paraId="281A5EC9" w14:textId="77777777" w:rsidR="00D9539A" w:rsidRDefault="00D9539A" w:rsidP="00AB44F5">
            <w:pPr>
              <w:jc w:val="center"/>
              <w:rPr>
                <w:sz w:val="20"/>
                <w:szCs w:val="20"/>
              </w:rPr>
            </w:pPr>
            <w:r>
              <w:rPr>
                <w:rFonts w:eastAsia="Times New Roman"/>
                <w:sz w:val="24"/>
                <w:szCs w:val="24"/>
              </w:rPr>
              <w:t>69</w:t>
            </w:r>
          </w:p>
        </w:tc>
        <w:tc>
          <w:tcPr>
            <w:tcW w:w="1078" w:type="dxa"/>
            <w:vAlign w:val="center"/>
          </w:tcPr>
          <w:p w14:paraId="281A5ECA" w14:textId="77777777" w:rsidR="00D9539A" w:rsidRDefault="00D9539A" w:rsidP="00AB44F5">
            <w:pPr>
              <w:jc w:val="center"/>
              <w:rPr>
                <w:sz w:val="20"/>
                <w:szCs w:val="20"/>
              </w:rPr>
            </w:pPr>
            <w:r>
              <w:rPr>
                <w:rFonts w:eastAsia="Times New Roman"/>
                <w:sz w:val="24"/>
                <w:szCs w:val="24"/>
              </w:rPr>
              <w:t>82</w:t>
            </w:r>
          </w:p>
        </w:tc>
      </w:tr>
      <w:tr w:rsidR="00D9539A" w14:paraId="281A5ED6" w14:textId="77777777" w:rsidTr="00DF0E65">
        <w:trPr>
          <w:trHeight w:val="278"/>
        </w:trPr>
        <w:tc>
          <w:tcPr>
            <w:tcW w:w="1720" w:type="dxa"/>
            <w:vAlign w:val="center"/>
          </w:tcPr>
          <w:p w14:paraId="281A5ECE" w14:textId="77777777" w:rsidR="00D9539A" w:rsidRDefault="00D9539A" w:rsidP="00AB44F5">
            <w:pPr>
              <w:jc w:val="center"/>
              <w:rPr>
                <w:sz w:val="20"/>
                <w:szCs w:val="20"/>
              </w:rPr>
            </w:pPr>
            <w:r>
              <w:rPr>
                <w:rFonts w:eastAsia="Times New Roman"/>
                <w:sz w:val="24"/>
                <w:szCs w:val="24"/>
              </w:rPr>
              <w:t>1.6</w:t>
            </w:r>
          </w:p>
        </w:tc>
        <w:tc>
          <w:tcPr>
            <w:tcW w:w="1077" w:type="dxa"/>
            <w:vAlign w:val="center"/>
          </w:tcPr>
          <w:p w14:paraId="281A5ECF" w14:textId="77777777" w:rsidR="00D9539A" w:rsidRDefault="00D9539A" w:rsidP="00AB44F5">
            <w:pPr>
              <w:jc w:val="center"/>
              <w:rPr>
                <w:sz w:val="20"/>
                <w:szCs w:val="20"/>
              </w:rPr>
            </w:pPr>
            <w:r>
              <w:rPr>
                <w:rFonts w:eastAsia="Times New Roman"/>
                <w:sz w:val="24"/>
                <w:szCs w:val="24"/>
              </w:rPr>
              <w:t>28</w:t>
            </w:r>
          </w:p>
        </w:tc>
        <w:tc>
          <w:tcPr>
            <w:tcW w:w="1077" w:type="dxa"/>
            <w:vAlign w:val="center"/>
          </w:tcPr>
          <w:p w14:paraId="281A5ED0" w14:textId="77777777" w:rsidR="00D9539A" w:rsidRDefault="00D9539A" w:rsidP="00AB44F5">
            <w:pPr>
              <w:jc w:val="center"/>
              <w:rPr>
                <w:sz w:val="20"/>
                <w:szCs w:val="20"/>
              </w:rPr>
            </w:pPr>
            <w:r>
              <w:rPr>
                <w:rFonts w:eastAsia="Times New Roman"/>
                <w:sz w:val="24"/>
                <w:szCs w:val="24"/>
              </w:rPr>
              <w:t>33</w:t>
            </w:r>
          </w:p>
        </w:tc>
        <w:tc>
          <w:tcPr>
            <w:tcW w:w="1077" w:type="dxa"/>
            <w:vAlign w:val="center"/>
          </w:tcPr>
          <w:p w14:paraId="281A5ED1" w14:textId="77777777" w:rsidR="00D9539A" w:rsidRDefault="00D9539A" w:rsidP="00AB44F5">
            <w:pPr>
              <w:jc w:val="center"/>
              <w:rPr>
                <w:sz w:val="20"/>
                <w:szCs w:val="20"/>
              </w:rPr>
            </w:pPr>
            <w:r>
              <w:rPr>
                <w:rFonts w:eastAsia="Times New Roman"/>
                <w:sz w:val="24"/>
                <w:szCs w:val="24"/>
              </w:rPr>
              <w:t>40</w:t>
            </w:r>
          </w:p>
        </w:tc>
        <w:tc>
          <w:tcPr>
            <w:tcW w:w="1077" w:type="dxa"/>
            <w:vAlign w:val="center"/>
          </w:tcPr>
          <w:p w14:paraId="281A5ED2" w14:textId="77777777" w:rsidR="00D9539A" w:rsidRDefault="00D9539A" w:rsidP="00AB44F5">
            <w:pPr>
              <w:jc w:val="center"/>
              <w:rPr>
                <w:sz w:val="20"/>
                <w:szCs w:val="20"/>
              </w:rPr>
            </w:pPr>
            <w:r>
              <w:rPr>
                <w:rFonts w:eastAsia="Times New Roman"/>
                <w:sz w:val="24"/>
                <w:szCs w:val="24"/>
              </w:rPr>
              <w:t>48</w:t>
            </w:r>
          </w:p>
        </w:tc>
        <w:tc>
          <w:tcPr>
            <w:tcW w:w="1077" w:type="dxa"/>
            <w:vAlign w:val="center"/>
          </w:tcPr>
          <w:p w14:paraId="281A5ED3" w14:textId="77777777" w:rsidR="00D9539A" w:rsidRDefault="00D9539A" w:rsidP="00AB44F5">
            <w:pPr>
              <w:jc w:val="center"/>
              <w:rPr>
                <w:sz w:val="20"/>
                <w:szCs w:val="20"/>
              </w:rPr>
            </w:pPr>
            <w:r>
              <w:rPr>
                <w:rFonts w:eastAsia="Times New Roman"/>
                <w:sz w:val="24"/>
                <w:szCs w:val="24"/>
              </w:rPr>
              <w:t>58</w:t>
            </w:r>
          </w:p>
        </w:tc>
        <w:tc>
          <w:tcPr>
            <w:tcW w:w="1077" w:type="dxa"/>
            <w:vAlign w:val="center"/>
          </w:tcPr>
          <w:p w14:paraId="281A5ED4" w14:textId="77777777" w:rsidR="00D9539A" w:rsidRDefault="00D9539A" w:rsidP="00AB44F5">
            <w:pPr>
              <w:jc w:val="center"/>
              <w:rPr>
                <w:sz w:val="20"/>
                <w:szCs w:val="20"/>
              </w:rPr>
            </w:pPr>
            <w:r>
              <w:rPr>
                <w:rFonts w:eastAsia="Times New Roman"/>
                <w:sz w:val="24"/>
                <w:szCs w:val="24"/>
              </w:rPr>
              <w:t>70</w:t>
            </w:r>
          </w:p>
        </w:tc>
        <w:tc>
          <w:tcPr>
            <w:tcW w:w="1078" w:type="dxa"/>
            <w:vAlign w:val="center"/>
          </w:tcPr>
          <w:p w14:paraId="281A5ED5" w14:textId="77777777" w:rsidR="00D9539A" w:rsidRDefault="00D9539A" w:rsidP="00AB44F5">
            <w:pPr>
              <w:jc w:val="center"/>
              <w:rPr>
                <w:sz w:val="20"/>
                <w:szCs w:val="20"/>
              </w:rPr>
            </w:pPr>
            <w:r>
              <w:rPr>
                <w:rFonts w:eastAsia="Times New Roman"/>
                <w:sz w:val="24"/>
                <w:szCs w:val="24"/>
              </w:rPr>
              <w:t>84</w:t>
            </w:r>
          </w:p>
        </w:tc>
      </w:tr>
      <w:tr w:rsidR="00D9539A" w14:paraId="281A5EE1" w14:textId="77777777" w:rsidTr="00DF0E65">
        <w:trPr>
          <w:trHeight w:val="281"/>
        </w:trPr>
        <w:tc>
          <w:tcPr>
            <w:tcW w:w="1720" w:type="dxa"/>
            <w:vAlign w:val="center"/>
          </w:tcPr>
          <w:p w14:paraId="281A5ED9" w14:textId="77777777" w:rsidR="00D9539A" w:rsidRDefault="00D9539A" w:rsidP="00AB44F5">
            <w:pPr>
              <w:jc w:val="center"/>
              <w:rPr>
                <w:sz w:val="20"/>
                <w:szCs w:val="20"/>
              </w:rPr>
            </w:pPr>
            <w:r>
              <w:rPr>
                <w:rFonts w:eastAsia="Times New Roman"/>
                <w:sz w:val="24"/>
                <w:szCs w:val="24"/>
              </w:rPr>
              <w:t>1.8</w:t>
            </w:r>
          </w:p>
        </w:tc>
        <w:tc>
          <w:tcPr>
            <w:tcW w:w="1077" w:type="dxa"/>
            <w:vAlign w:val="center"/>
          </w:tcPr>
          <w:p w14:paraId="281A5EDA" w14:textId="77777777" w:rsidR="00D9539A" w:rsidRDefault="00D9539A" w:rsidP="00AB44F5">
            <w:pPr>
              <w:jc w:val="center"/>
              <w:rPr>
                <w:sz w:val="20"/>
                <w:szCs w:val="20"/>
              </w:rPr>
            </w:pPr>
            <w:r>
              <w:rPr>
                <w:rFonts w:eastAsia="Times New Roman"/>
                <w:sz w:val="24"/>
                <w:szCs w:val="24"/>
              </w:rPr>
              <w:t>29</w:t>
            </w:r>
          </w:p>
        </w:tc>
        <w:tc>
          <w:tcPr>
            <w:tcW w:w="1077" w:type="dxa"/>
            <w:vAlign w:val="center"/>
          </w:tcPr>
          <w:p w14:paraId="281A5EDB" w14:textId="77777777" w:rsidR="00D9539A" w:rsidRDefault="00D9539A" w:rsidP="00AB44F5">
            <w:pPr>
              <w:jc w:val="center"/>
              <w:rPr>
                <w:sz w:val="20"/>
                <w:szCs w:val="20"/>
              </w:rPr>
            </w:pPr>
            <w:r>
              <w:rPr>
                <w:rFonts w:eastAsia="Times New Roman"/>
                <w:sz w:val="24"/>
                <w:szCs w:val="24"/>
              </w:rPr>
              <w:t>34</w:t>
            </w:r>
          </w:p>
        </w:tc>
        <w:tc>
          <w:tcPr>
            <w:tcW w:w="1077" w:type="dxa"/>
            <w:vAlign w:val="center"/>
          </w:tcPr>
          <w:p w14:paraId="281A5EDC" w14:textId="77777777" w:rsidR="00D9539A" w:rsidRDefault="00D9539A" w:rsidP="00AB44F5">
            <w:pPr>
              <w:jc w:val="center"/>
              <w:rPr>
                <w:sz w:val="20"/>
                <w:szCs w:val="20"/>
              </w:rPr>
            </w:pPr>
            <w:r>
              <w:rPr>
                <w:rFonts w:eastAsia="Times New Roman"/>
                <w:sz w:val="24"/>
                <w:szCs w:val="24"/>
              </w:rPr>
              <w:t>41</w:t>
            </w:r>
          </w:p>
        </w:tc>
        <w:tc>
          <w:tcPr>
            <w:tcW w:w="1077" w:type="dxa"/>
            <w:vAlign w:val="center"/>
          </w:tcPr>
          <w:p w14:paraId="281A5EDD" w14:textId="77777777" w:rsidR="00D9539A" w:rsidRDefault="00D9539A" w:rsidP="00AB44F5">
            <w:pPr>
              <w:jc w:val="center"/>
              <w:rPr>
                <w:sz w:val="20"/>
                <w:szCs w:val="20"/>
              </w:rPr>
            </w:pPr>
            <w:r>
              <w:rPr>
                <w:rFonts w:eastAsia="Times New Roman"/>
                <w:sz w:val="24"/>
                <w:szCs w:val="24"/>
              </w:rPr>
              <w:t>49</w:t>
            </w:r>
          </w:p>
        </w:tc>
        <w:tc>
          <w:tcPr>
            <w:tcW w:w="1077" w:type="dxa"/>
            <w:vAlign w:val="center"/>
          </w:tcPr>
          <w:p w14:paraId="281A5EDE" w14:textId="77777777" w:rsidR="00D9539A" w:rsidRDefault="00D9539A" w:rsidP="00AB44F5">
            <w:pPr>
              <w:jc w:val="center"/>
              <w:rPr>
                <w:sz w:val="20"/>
                <w:szCs w:val="20"/>
              </w:rPr>
            </w:pPr>
            <w:r>
              <w:rPr>
                <w:rFonts w:eastAsia="Times New Roman"/>
                <w:sz w:val="24"/>
                <w:szCs w:val="24"/>
              </w:rPr>
              <w:t>60</w:t>
            </w:r>
          </w:p>
        </w:tc>
        <w:tc>
          <w:tcPr>
            <w:tcW w:w="1077" w:type="dxa"/>
            <w:vAlign w:val="center"/>
          </w:tcPr>
          <w:p w14:paraId="281A5EDF" w14:textId="77777777" w:rsidR="00D9539A" w:rsidRDefault="00D9539A" w:rsidP="00AB44F5">
            <w:pPr>
              <w:jc w:val="center"/>
              <w:rPr>
                <w:sz w:val="20"/>
                <w:szCs w:val="20"/>
              </w:rPr>
            </w:pPr>
            <w:r>
              <w:rPr>
                <w:rFonts w:eastAsia="Times New Roman"/>
                <w:sz w:val="24"/>
                <w:szCs w:val="24"/>
              </w:rPr>
              <w:t>72</w:t>
            </w:r>
          </w:p>
        </w:tc>
        <w:tc>
          <w:tcPr>
            <w:tcW w:w="1078" w:type="dxa"/>
            <w:vAlign w:val="center"/>
          </w:tcPr>
          <w:p w14:paraId="281A5EE0" w14:textId="77777777" w:rsidR="00D9539A" w:rsidRDefault="00D9539A" w:rsidP="00AB44F5">
            <w:pPr>
              <w:jc w:val="center"/>
              <w:rPr>
                <w:sz w:val="20"/>
                <w:szCs w:val="20"/>
              </w:rPr>
            </w:pPr>
            <w:r>
              <w:rPr>
                <w:rFonts w:eastAsia="Times New Roman"/>
                <w:sz w:val="24"/>
                <w:szCs w:val="24"/>
              </w:rPr>
              <w:t>86</w:t>
            </w:r>
          </w:p>
        </w:tc>
      </w:tr>
      <w:tr w:rsidR="00D9539A" w14:paraId="281A5EEC" w14:textId="77777777" w:rsidTr="00DF0E65">
        <w:trPr>
          <w:trHeight w:val="278"/>
        </w:trPr>
        <w:tc>
          <w:tcPr>
            <w:tcW w:w="1720" w:type="dxa"/>
            <w:vAlign w:val="center"/>
          </w:tcPr>
          <w:p w14:paraId="281A5EE4" w14:textId="77777777" w:rsidR="00D9539A" w:rsidRDefault="00D9539A" w:rsidP="00AB44F5">
            <w:pPr>
              <w:jc w:val="center"/>
              <w:rPr>
                <w:sz w:val="20"/>
                <w:szCs w:val="20"/>
              </w:rPr>
            </w:pPr>
            <w:r>
              <w:rPr>
                <w:rFonts w:eastAsia="Times New Roman"/>
                <w:sz w:val="24"/>
                <w:szCs w:val="24"/>
              </w:rPr>
              <w:t>2.0</w:t>
            </w:r>
          </w:p>
        </w:tc>
        <w:tc>
          <w:tcPr>
            <w:tcW w:w="1077" w:type="dxa"/>
            <w:vAlign w:val="center"/>
          </w:tcPr>
          <w:p w14:paraId="281A5EE5" w14:textId="77777777" w:rsidR="00D9539A" w:rsidRDefault="00D9539A" w:rsidP="00AB44F5">
            <w:pPr>
              <w:jc w:val="center"/>
              <w:rPr>
                <w:sz w:val="20"/>
                <w:szCs w:val="20"/>
              </w:rPr>
            </w:pPr>
            <w:r>
              <w:rPr>
                <w:rFonts w:eastAsia="Times New Roman"/>
                <w:sz w:val="24"/>
                <w:szCs w:val="24"/>
              </w:rPr>
              <w:t>29</w:t>
            </w:r>
          </w:p>
        </w:tc>
        <w:tc>
          <w:tcPr>
            <w:tcW w:w="1077" w:type="dxa"/>
            <w:vAlign w:val="center"/>
          </w:tcPr>
          <w:p w14:paraId="281A5EE6" w14:textId="77777777" w:rsidR="00D9539A" w:rsidRDefault="00D9539A" w:rsidP="00AB44F5">
            <w:pPr>
              <w:jc w:val="center"/>
              <w:rPr>
                <w:sz w:val="20"/>
                <w:szCs w:val="20"/>
              </w:rPr>
            </w:pPr>
            <w:r>
              <w:rPr>
                <w:rFonts w:eastAsia="Times New Roman"/>
                <w:sz w:val="24"/>
                <w:szCs w:val="24"/>
              </w:rPr>
              <w:t>35</w:t>
            </w:r>
          </w:p>
        </w:tc>
        <w:tc>
          <w:tcPr>
            <w:tcW w:w="1077" w:type="dxa"/>
            <w:vAlign w:val="center"/>
          </w:tcPr>
          <w:p w14:paraId="281A5EE7" w14:textId="77777777" w:rsidR="00D9539A" w:rsidRDefault="00D9539A" w:rsidP="00AB44F5">
            <w:pPr>
              <w:jc w:val="center"/>
              <w:rPr>
                <w:sz w:val="20"/>
                <w:szCs w:val="20"/>
              </w:rPr>
            </w:pPr>
            <w:r>
              <w:rPr>
                <w:rFonts w:eastAsia="Times New Roman"/>
                <w:sz w:val="24"/>
                <w:szCs w:val="24"/>
              </w:rPr>
              <w:t>41</w:t>
            </w:r>
          </w:p>
        </w:tc>
        <w:tc>
          <w:tcPr>
            <w:tcW w:w="1077" w:type="dxa"/>
            <w:vAlign w:val="center"/>
          </w:tcPr>
          <w:p w14:paraId="281A5EE8" w14:textId="77777777" w:rsidR="00D9539A" w:rsidRDefault="00D9539A" w:rsidP="00AB44F5">
            <w:pPr>
              <w:jc w:val="center"/>
              <w:rPr>
                <w:sz w:val="20"/>
                <w:szCs w:val="20"/>
              </w:rPr>
            </w:pPr>
            <w:r>
              <w:rPr>
                <w:rFonts w:eastAsia="Times New Roman"/>
                <w:sz w:val="24"/>
                <w:szCs w:val="24"/>
              </w:rPr>
              <w:t>50</w:t>
            </w:r>
          </w:p>
        </w:tc>
        <w:tc>
          <w:tcPr>
            <w:tcW w:w="1077" w:type="dxa"/>
            <w:vAlign w:val="center"/>
          </w:tcPr>
          <w:p w14:paraId="281A5EE9" w14:textId="77777777" w:rsidR="00D9539A" w:rsidRDefault="00D9539A" w:rsidP="00AB44F5">
            <w:pPr>
              <w:jc w:val="center"/>
              <w:rPr>
                <w:sz w:val="20"/>
                <w:szCs w:val="20"/>
              </w:rPr>
            </w:pPr>
            <w:r>
              <w:rPr>
                <w:rFonts w:eastAsia="Times New Roman"/>
                <w:sz w:val="24"/>
                <w:szCs w:val="24"/>
              </w:rPr>
              <w:t>61</w:t>
            </w:r>
          </w:p>
        </w:tc>
        <w:tc>
          <w:tcPr>
            <w:tcW w:w="1077" w:type="dxa"/>
            <w:vAlign w:val="center"/>
          </w:tcPr>
          <w:p w14:paraId="281A5EEA" w14:textId="77777777" w:rsidR="00D9539A" w:rsidRDefault="00D9539A" w:rsidP="00AB44F5">
            <w:pPr>
              <w:jc w:val="center"/>
              <w:rPr>
                <w:sz w:val="20"/>
                <w:szCs w:val="20"/>
              </w:rPr>
            </w:pPr>
            <w:r>
              <w:rPr>
                <w:rFonts w:eastAsia="Times New Roman"/>
                <w:sz w:val="24"/>
                <w:szCs w:val="24"/>
              </w:rPr>
              <w:t>74</w:t>
            </w:r>
          </w:p>
        </w:tc>
        <w:tc>
          <w:tcPr>
            <w:tcW w:w="1078" w:type="dxa"/>
            <w:vAlign w:val="center"/>
          </w:tcPr>
          <w:p w14:paraId="281A5EEB" w14:textId="77777777" w:rsidR="00D9539A" w:rsidRDefault="00D9539A" w:rsidP="00AB44F5">
            <w:pPr>
              <w:jc w:val="center"/>
              <w:rPr>
                <w:sz w:val="20"/>
                <w:szCs w:val="20"/>
              </w:rPr>
            </w:pPr>
            <w:r>
              <w:rPr>
                <w:rFonts w:eastAsia="Times New Roman"/>
                <w:sz w:val="24"/>
                <w:szCs w:val="24"/>
              </w:rPr>
              <w:t>88</w:t>
            </w:r>
          </w:p>
        </w:tc>
      </w:tr>
      <w:tr w:rsidR="00D9539A" w14:paraId="281A5EF7" w14:textId="77777777" w:rsidTr="00DF0E65">
        <w:trPr>
          <w:trHeight w:val="281"/>
        </w:trPr>
        <w:tc>
          <w:tcPr>
            <w:tcW w:w="1720" w:type="dxa"/>
            <w:vAlign w:val="center"/>
          </w:tcPr>
          <w:p w14:paraId="281A5EEF" w14:textId="77777777" w:rsidR="00D9539A" w:rsidRDefault="00D9539A" w:rsidP="00AB44F5">
            <w:pPr>
              <w:jc w:val="center"/>
              <w:rPr>
                <w:sz w:val="20"/>
                <w:szCs w:val="20"/>
              </w:rPr>
            </w:pPr>
            <w:r>
              <w:rPr>
                <w:rFonts w:eastAsia="Times New Roman"/>
                <w:sz w:val="24"/>
                <w:szCs w:val="24"/>
              </w:rPr>
              <w:t>2.2</w:t>
            </w:r>
          </w:p>
        </w:tc>
        <w:tc>
          <w:tcPr>
            <w:tcW w:w="1077" w:type="dxa"/>
            <w:vAlign w:val="center"/>
          </w:tcPr>
          <w:p w14:paraId="281A5EF0" w14:textId="77777777" w:rsidR="00D9539A" w:rsidRDefault="00D9539A" w:rsidP="00AB44F5">
            <w:pPr>
              <w:jc w:val="center"/>
              <w:rPr>
                <w:sz w:val="20"/>
                <w:szCs w:val="20"/>
              </w:rPr>
            </w:pPr>
            <w:r>
              <w:rPr>
                <w:rFonts w:eastAsia="Times New Roman"/>
                <w:sz w:val="24"/>
                <w:szCs w:val="24"/>
              </w:rPr>
              <w:t>30</w:t>
            </w:r>
          </w:p>
        </w:tc>
        <w:tc>
          <w:tcPr>
            <w:tcW w:w="1077" w:type="dxa"/>
            <w:vAlign w:val="center"/>
          </w:tcPr>
          <w:p w14:paraId="281A5EF1" w14:textId="77777777" w:rsidR="00D9539A" w:rsidRDefault="00D9539A" w:rsidP="00AB44F5">
            <w:pPr>
              <w:jc w:val="center"/>
              <w:rPr>
                <w:sz w:val="20"/>
                <w:szCs w:val="20"/>
              </w:rPr>
            </w:pPr>
            <w:r>
              <w:rPr>
                <w:rFonts w:eastAsia="Times New Roman"/>
                <w:sz w:val="24"/>
                <w:szCs w:val="24"/>
              </w:rPr>
              <w:t>35</w:t>
            </w:r>
          </w:p>
        </w:tc>
        <w:tc>
          <w:tcPr>
            <w:tcW w:w="1077" w:type="dxa"/>
            <w:vAlign w:val="center"/>
          </w:tcPr>
          <w:p w14:paraId="281A5EF2" w14:textId="77777777" w:rsidR="00D9539A" w:rsidRDefault="00D9539A" w:rsidP="00AB44F5">
            <w:pPr>
              <w:jc w:val="center"/>
              <w:rPr>
                <w:sz w:val="20"/>
                <w:szCs w:val="20"/>
              </w:rPr>
            </w:pPr>
            <w:r>
              <w:rPr>
                <w:rFonts w:eastAsia="Times New Roman"/>
                <w:sz w:val="24"/>
                <w:szCs w:val="24"/>
              </w:rPr>
              <w:t>42</w:t>
            </w:r>
          </w:p>
        </w:tc>
        <w:tc>
          <w:tcPr>
            <w:tcW w:w="1077" w:type="dxa"/>
            <w:vAlign w:val="center"/>
          </w:tcPr>
          <w:p w14:paraId="281A5EF3" w14:textId="77777777" w:rsidR="00D9539A" w:rsidRDefault="00D9539A" w:rsidP="00AB44F5">
            <w:pPr>
              <w:jc w:val="center"/>
              <w:rPr>
                <w:sz w:val="20"/>
                <w:szCs w:val="20"/>
              </w:rPr>
            </w:pPr>
            <w:r>
              <w:rPr>
                <w:rFonts w:eastAsia="Times New Roman"/>
                <w:sz w:val="24"/>
                <w:szCs w:val="24"/>
              </w:rPr>
              <w:t>51</w:t>
            </w:r>
          </w:p>
        </w:tc>
        <w:tc>
          <w:tcPr>
            <w:tcW w:w="1077" w:type="dxa"/>
            <w:vAlign w:val="center"/>
          </w:tcPr>
          <w:p w14:paraId="281A5EF4" w14:textId="77777777" w:rsidR="00D9539A" w:rsidRDefault="00D9539A" w:rsidP="00AB44F5">
            <w:pPr>
              <w:jc w:val="center"/>
              <w:rPr>
                <w:sz w:val="20"/>
                <w:szCs w:val="20"/>
              </w:rPr>
            </w:pPr>
            <w:r>
              <w:rPr>
                <w:rFonts w:eastAsia="Times New Roman"/>
                <w:sz w:val="24"/>
                <w:szCs w:val="24"/>
              </w:rPr>
              <w:t>62</w:t>
            </w:r>
          </w:p>
        </w:tc>
        <w:tc>
          <w:tcPr>
            <w:tcW w:w="1077" w:type="dxa"/>
            <w:vAlign w:val="center"/>
          </w:tcPr>
          <w:p w14:paraId="281A5EF5" w14:textId="77777777" w:rsidR="00D9539A" w:rsidRDefault="00D9539A" w:rsidP="00AB44F5">
            <w:pPr>
              <w:jc w:val="center"/>
              <w:rPr>
                <w:sz w:val="20"/>
                <w:szCs w:val="20"/>
              </w:rPr>
            </w:pPr>
            <w:r>
              <w:rPr>
                <w:rFonts w:eastAsia="Times New Roman"/>
                <w:sz w:val="24"/>
                <w:szCs w:val="24"/>
              </w:rPr>
              <w:t>75</w:t>
            </w:r>
          </w:p>
        </w:tc>
        <w:tc>
          <w:tcPr>
            <w:tcW w:w="1078" w:type="dxa"/>
            <w:vAlign w:val="center"/>
          </w:tcPr>
          <w:p w14:paraId="281A5EF6" w14:textId="77777777" w:rsidR="00D9539A" w:rsidRDefault="00D9539A" w:rsidP="00AB44F5">
            <w:pPr>
              <w:jc w:val="center"/>
              <w:rPr>
                <w:sz w:val="20"/>
                <w:szCs w:val="20"/>
              </w:rPr>
            </w:pPr>
            <w:r>
              <w:rPr>
                <w:rFonts w:eastAsia="Times New Roman"/>
                <w:sz w:val="24"/>
                <w:szCs w:val="24"/>
              </w:rPr>
              <w:t>90</w:t>
            </w:r>
          </w:p>
        </w:tc>
      </w:tr>
      <w:tr w:rsidR="00D9539A" w14:paraId="281A5F02" w14:textId="77777777" w:rsidTr="00DF0E65">
        <w:trPr>
          <w:trHeight w:val="278"/>
        </w:trPr>
        <w:tc>
          <w:tcPr>
            <w:tcW w:w="1720" w:type="dxa"/>
            <w:vAlign w:val="center"/>
          </w:tcPr>
          <w:p w14:paraId="281A5EFA" w14:textId="77777777" w:rsidR="00D9539A" w:rsidRDefault="00D9539A" w:rsidP="00AB44F5">
            <w:pPr>
              <w:jc w:val="center"/>
              <w:rPr>
                <w:sz w:val="20"/>
                <w:szCs w:val="20"/>
              </w:rPr>
            </w:pPr>
            <w:r>
              <w:rPr>
                <w:rFonts w:eastAsia="Times New Roman"/>
                <w:sz w:val="24"/>
                <w:szCs w:val="24"/>
              </w:rPr>
              <w:t>2.4</w:t>
            </w:r>
          </w:p>
        </w:tc>
        <w:tc>
          <w:tcPr>
            <w:tcW w:w="1077" w:type="dxa"/>
            <w:vAlign w:val="center"/>
          </w:tcPr>
          <w:p w14:paraId="281A5EFB" w14:textId="77777777" w:rsidR="00D9539A" w:rsidRDefault="00D9539A" w:rsidP="00AB44F5">
            <w:pPr>
              <w:jc w:val="center"/>
              <w:rPr>
                <w:sz w:val="20"/>
                <w:szCs w:val="20"/>
              </w:rPr>
            </w:pPr>
            <w:r>
              <w:rPr>
                <w:rFonts w:eastAsia="Times New Roman"/>
                <w:sz w:val="24"/>
                <w:szCs w:val="24"/>
              </w:rPr>
              <w:t>30</w:t>
            </w:r>
          </w:p>
        </w:tc>
        <w:tc>
          <w:tcPr>
            <w:tcW w:w="1077" w:type="dxa"/>
            <w:vAlign w:val="center"/>
          </w:tcPr>
          <w:p w14:paraId="281A5EFC" w14:textId="77777777" w:rsidR="00D9539A" w:rsidRDefault="00D9539A" w:rsidP="00AB44F5">
            <w:pPr>
              <w:jc w:val="center"/>
              <w:rPr>
                <w:sz w:val="20"/>
                <w:szCs w:val="20"/>
              </w:rPr>
            </w:pPr>
            <w:r>
              <w:rPr>
                <w:rFonts w:eastAsia="Times New Roman"/>
                <w:sz w:val="24"/>
                <w:szCs w:val="24"/>
              </w:rPr>
              <w:t>36</w:t>
            </w:r>
          </w:p>
        </w:tc>
        <w:tc>
          <w:tcPr>
            <w:tcW w:w="1077" w:type="dxa"/>
            <w:vAlign w:val="center"/>
          </w:tcPr>
          <w:p w14:paraId="281A5EFD" w14:textId="77777777" w:rsidR="00D9539A" w:rsidRDefault="00D9539A" w:rsidP="00AB44F5">
            <w:pPr>
              <w:jc w:val="center"/>
              <w:rPr>
                <w:sz w:val="20"/>
                <w:szCs w:val="20"/>
              </w:rPr>
            </w:pPr>
            <w:r>
              <w:rPr>
                <w:rFonts w:eastAsia="Times New Roman"/>
                <w:sz w:val="24"/>
                <w:szCs w:val="24"/>
              </w:rPr>
              <w:t>43</w:t>
            </w:r>
          </w:p>
        </w:tc>
        <w:tc>
          <w:tcPr>
            <w:tcW w:w="1077" w:type="dxa"/>
            <w:vAlign w:val="center"/>
          </w:tcPr>
          <w:p w14:paraId="281A5EFE" w14:textId="77777777" w:rsidR="00D9539A" w:rsidRDefault="00D9539A" w:rsidP="00AB44F5">
            <w:pPr>
              <w:jc w:val="center"/>
              <w:rPr>
                <w:sz w:val="20"/>
                <w:szCs w:val="20"/>
              </w:rPr>
            </w:pPr>
            <w:r>
              <w:rPr>
                <w:rFonts w:eastAsia="Times New Roman"/>
                <w:sz w:val="24"/>
                <w:szCs w:val="24"/>
              </w:rPr>
              <w:t>52</w:t>
            </w:r>
          </w:p>
        </w:tc>
        <w:tc>
          <w:tcPr>
            <w:tcW w:w="1077" w:type="dxa"/>
            <w:vAlign w:val="center"/>
          </w:tcPr>
          <w:p w14:paraId="281A5EFF" w14:textId="77777777" w:rsidR="00D9539A" w:rsidRDefault="00D9539A" w:rsidP="00AB44F5">
            <w:pPr>
              <w:jc w:val="center"/>
              <w:rPr>
                <w:sz w:val="20"/>
                <w:szCs w:val="20"/>
              </w:rPr>
            </w:pPr>
            <w:r>
              <w:rPr>
                <w:rFonts w:eastAsia="Times New Roman"/>
                <w:sz w:val="24"/>
                <w:szCs w:val="24"/>
              </w:rPr>
              <w:t>63</w:t>
            </w:r>
          </w:p>
        </w:tc>
        <w:tc>
          <w:tcPr>
            <w:tcW w:w="1077" w:type="dxa"/>
            <w:vAlign w:val="center"/>
          </w:tcPr>
          <w:p w14:paraId="281A5F00" w14:textId="77777777" w:rsidR="00D9539A" w:rsidRDefault="00D9539A" w:rsidP="00AB44F5">
            <w:pPr>
              <w:jc w:val="center"/>
              <w:rPr>
                <w:sz w:val="20"/>
                <w:szCs w:val="20"/>
              </w:rPr>
            </w:pPr>
            <w:r>
              <w:rPr>
                <w:rFonts w:eastAsia="Times New Roman"/>
                <w:sz w:val="24"/>
                <w:szCs w:val="24"/>
              </w:rPr>
              <w:t>77</w:t>
            </w:r>
          </w:p>
        </w:tc>
        <w:tc>
          <w:tcPr>
            <w:tcW w:w="1078" w:type="dxa"/>
            <w:vAlign w:val="center"/>
          </w:tcPr>
          <w:p w14:paraId="281A5F01" w14:textId="77777777" w:rsidR="00D9539A" w:rsidRDefault="00D9539A" w:rsidP="00AB44F5">
            <w:pPr>
              <w:jc w:val="center"/>
              <w:rPr>
                <w:sz w:val="20"/>
                <w:szCs w:val="20"/>
              </w:rPr>
            </w:pPr>
            <w:r>
              <w:rPr>
                <w:rFonts w:eastAsia="Times New Roman"/>
                <w:sz w:val="24"/>
                <w:szCs w:val="24"/>
              </w:rPr>
              <w:t>92</w:t>
            </w:r>
          </w:p>
        </w:tc>
      </w:tr>
      <w:tr w:rsidR="00D9539A" w14:paraId="281A5F0D" w14:textId="77777777" w:rsidTr="00DF0E65">
        <w:trPr>
          <w:trHeight w:val="281"/>
        </w:trPr>
        <w:tc>
          <w:tcPr>
            <w:tcW w:w="1720" w:type="dxa"/>
            <w:vAlign w:val="center"/>
          </w:tcPr>
          <w:p w14:paraId="281A5F05" w14:textId="77777777" w:rsidR="00D9539A" w:rsidRDefault="00D9539A" w:rsidP="00AB44F5">
            <w:pPr>
              <w:jc w:val="center"/>
              <w:rPr>
                <w:sz w:val="20"/>
                <w:szCs w:val="20"/>
              </w:rPr>
            </w:pPr>
            <w:r>
              <w:rPr>
                <w:rFonts w:eastAsia="Times New Roman"/>
                <w:sz w:val="24"/>
                <w:szCs w:val="24"/>
              </w:rPr>
              <w:t>2.6</w:t>
            </w:r>
          </w:p>
        </w:tc>
        <w:tc>
          <w:tcPr>
            <w:tcW w:w="1077" w:type="dxa"/>
            <w:vAlign w:val="center"/>
          </w:tcPr>
          <w:p w14:paraId="281A5F06" w14:textId="77777777" w:rsidR="00D9539A" w:rsidRDefault="00D9539A" w:rsidP="00AB44F5">
            <w:pPr>
              <w:jc w:val="center"/>
              <w:rPr>
                <w:sz w:val="20"/>
                <w:szCs w:val="20"/>
              </w:rPr>
            </w:pPr>
            <w:r>
              <w:rPr>
                <w:rFonts w:eastAsia="Times New Roman"/>
                <w:sz w:val="24"/>
                <w:szCs w:val="24"/>
              </w:rPr>
              <w:t>31</w:t>
            </w:r>
          </w:p>
        </w:tc>
        <w:tc>
          <w:tcPr>
            <w:tcW w:w="1077" w:type="dxa"/>
            <w:vAlign w:val="center"/>
          </w:tcPr>
          <w:p w14:paraId="281A5F07" w14:textId="77777777" w:rsidR="00D9539A" w:rsidRDefault="00D9539A" w:rsidP="00AB44F5">
            <w:pPr>
              <w:jc w:val="center"/>
              <w:rPr>
                <w:sz w:val="20"/>
                <w:szCs w:val="20"/>
              </w:rPr>
            </w:pPr>
            <w:r>
              <w:rPr>
                <w:rFonts w:eastAsia="Times New Roman"/>
                <w:sz w:val="24"/>
                <w:szCs w:val="24"/>
              </w:rPr>
              <w:t>37</w:t>
            </w:r>
          </w:p>
        </w:tc>
        <w:tc>
          <w:tcPr>
            <w:tcW w:w="1077" w:type="dxa"/>
            <w:vAlign w:val="center"/>
          </w:tcPr>
          <w:p w14:paraId="281A5F08" w14:textId="77777777" w:rsidR="00D9539A" w:rsidRDefault="00D9539A" w:rsidP="00AB44F5">
            <w:pPr>
              <w:jc w:val="center"/>
              <w:rPr>
                <w:sz w:val="20"/>
                <w:szCs w:val="20"/>
              </w:rPr>
            </w:pPr>
            <w:r>
              <w:rPr>
                <w:rFonts w:eastAsia="Times New Roman"/>
                <w:sz w:val="24"/>
                <w:szCs w:val="24"/>
              </w:rPr>
              <w:t>44</w:t>
            </w:r>
          </w:p>
        </w:tc>
        <w:tc>
          <w:tcPr>
            <w:tcW w:w="1077" w:type="dxa"/>
            <w:vAlign w:val="center"/>
          </w:tcPr>
          <w:p w14:paraId="281A5F09" w14:textId="77777777" w:rsidR="00D9539A" w:rsidRDefault="00D9539A" w:rsidP="00AB44F5">
            <w:pPr>
              <w:jc w:val="center"/>
              <w:rPr>
                <w:sz w:val="20"/>
                <w:szCs w:val="20"/>
              </w:rPr>
            </w:pPr>
            <w:r>
              <w:rPr>
                <w:rFonts w:eastAsia="Times New Roman"/>
                <w:sz w:val="24"/>
                <w:szCs w:val="24"/>
              </w:rPr>
              <w:t>53</w:t>
            </w:r>
          </w:p>
        </w:tc>
        <w:tc>
          <w:tcPr>
            <w:tcW w:w="1077" w:type="dxa"/>
            <w:vAlign w:val="center"/>
          </w:tcPr>
          <w:p w14:paraId="281A5F0A" w14:textId="77777777" w:rsidR="00D9539A" w:rsidRDefault="00D9539A" w:rsidP="00AB44F5">
            <w:pPr>
              <w:jc w:val="center"/>
              <w:rPr>
                <w:sz w:val="20"/>
                <w:szCs w:val="20"/>
              </w:rPr>
            </w:pPr>
            <w:r>
              <w:rPr>
                <w:rFonts w:eastAsia="Times New Roman"/>
                <w:sz w:val="24"/>
                <w:szCs w:val="24"/>
              </w:rPr>
              <w:t>65</w:t>
            </w:r>
          </w:p>
        </w:tc>
        <w:tc>
          <w:tcPr>
            <w:tcW w:w="1077" w:type="dxa"/>
            <w:vAlign w:val="center"/>
          </w:tcPr>
          <w:p w14:paraId="281A5F0B" w14:textId="77777777" w:rsidR="00D9539A" w:rsidRDefault="00D9539A" w:rsidP="00AB44F5">
            <w:pPr>
              <w:jc w:val="center"/>
              <w:rPr>
                <w:sz w:val="20"/>
                <w:szCs w:val="20"/>
              </w:rPr>
            </w:pPr>
            <w:r>
              <w:rPr>
                <w:rFonts w:eastAsia="Times New Roman"/>
                <w:sz w:val="24"/>
                <w:szCs w:val="24"/>
              </w:rPr>
              <w:t>78</w:t>
            </w:r>
          </w:p>
        </w:tc>
        <w:tc>
          <w:tcPr>
            <w:tcW w:w="1078" w:type="dxa"/>
            <w:vAlign w:val="center"/>
          </w:tcPr>
          <w:p w14:paraId="281A5F0C" w14:textId="77777777" w:rsidR="00D9539A" w:rsidRDefault="00D9539A" w:rsidP="00AB44F5">
            <w:pPr>
              <w:jc w:val="center"/>
              <w:rPr>
                <w:sz w:val="20"/>
                <w:szCs w:val="20"/>
              </w:rPr>
            </w:pPr>
            <w:r>
              <w:rPr>
                <w:rFonts w:eastAsia="Times New Roman"/>
                <w:sz w:val="24"/>
                <w:szCs w:val="24"/>
              </w:rPr>
              <w:t>94</w:t>
            </w:r>
          </w:p>
        </w:tc>
      </w:tr>
      <w:tr w:rsidR="00D9539A" w14:paraId="281A5F18" w14:textId="77777777" w:rsidTr="00DF0E65">
        <w:trPr>
          <w:trHeight w:val="278"/>
        </w:trPr>
        <w:tc>
          <w:tcPr>
            <w:tcW w:w="1720" w:type="dxa"/>
            <w:vAlign w:val="center"/>
          </w:tcPr>
          <w:p w14:paraId="281A5F10" w14:textId="77777777" w:rsidR="00D9539A" w:rsidRDefault="00D9539A" w:rsidP="00AB44F5">
            <w:pPr>
              <w:jc w:val="center"/>
              <w:rPr>
                <w:sz w:val="20"/>
                <w:szCs w:val="20"/>
              </w:rPr>
            </w:pPr>
            <w:r>
              <w:rPr>
                <w:rFonts w:eastAsia="Times New Roman"/>
                <w:sz w:val="24"/>
                <w:szCs w:val="24"/>
              </w:rPr>
              <w:t>2.8</w:t>
            </w:r>
          </w:p>
        </w:tc>
        <w:tc>
          <w:tcPr>
            <w:tcW w:w="1077" w:type="dxa"/>
            <w:vAlign w:val="center"/>
          </w:tcPr>
          <w:p w14:paraId="281A5F11" w14:textId="77777777" w:rsidR="00D9539A" w:rsidRDefault="00D9539A" w:rsidP="00AB44F5">
            <w:pPr>
              <w:jc w:val="center"/>
              <w:rPr>
                <w:sz w:val="20"/>
                <w:szCs w:val="20"/>
              </w:rPr>
            </w:pPr>
            <w:r>
              <w:rPr>
                <w:rFonts w:eastAsia="Times New Roman"/>
                <w:sz w:val="24"/>
                <w:szCs w:val="24"/>
              </w:rPr>
              <w:t>31</w:t>
            </w:r>
          </w:p>
        </w:tc>
        <w:tc>
          <w:tcPr>
            <w:tcW w:w="1077" w:type="dxa"/>
            <w:vAlign w:val="center"/>
          </w:tcPr>
          <w:p w14:paraId="281A5F12" w14:textId="77777777" w:rsidR="00D9539A" w:rsidRDefault="00D9539A" w:rsidP="00AB44F5">
            <w:pPr>
              <w:jc w:val="center"/>
              <w:rPr>
                <w:sz w:val="20"/>
                <w:szCs w:val="20"/>
              </w:rPr>
            </w:pPr>
            <w:r>
              <w:rPr>
                <w:rFonts w:eastAsia="Times New Roman"/>
                <w:sz w:val="24"/>
                <w:szCs w:val="24"/>
              </w:rPr>
              <w:t>37</w:t>
            </w:r>
          </w:p>
        </w:tc>
        <w:tc>
          <w:tcPr>
            <w:tcW w:w="1077" w:type="dxa"/>
            <w:vAlign w:val="center"/>
          </w:tcPr>
          <w:p w14:paraId="281A5F13" w14:textId="77777777" w:rsidR="00D9539A" w:rsidRDefault="00D9539A" w:rsidP="00AB44F5">
            <w:pPr>
              <w:jc w:val="center"/>
              <w:rPr>
                <w:sz w:val="20"/>
                <w:szCs w:val="20"/>
              </w:rPr>
            </w:pPr>
            <w:r>
              <w:rPr>
                <w:rFonts w:eastAsia="Times New Roman"/>
                <w:sz w:val="24"/>
                <w:szCs w:val="24"/>
              </w:rPr>
              <w:t>45</w:t>
            </w:r>
          </w:p>
        </w:tc>
        <w:tc>
          <w:tcPr>
            <w:tcW w:w="1077" w:type="dxa"/>
            <w:vAlign w:val="center"/>
          </w:tcPr>
          <w:p w14:paraId="281A5F14" w14:textId="77777777" w:rsidR="00D9539A" w:rsidRDefault="00D9539A" w:rsidP="00AB44F5">
            <w:pPr>
              <w:jc w:val="center"/>
              <w:rPr>
                <w:sz w:val="20"/>
                <w:szCs w:val="20"/>
              </w:rPr>
            </w:pPr>
            <w:r>
              <w:rPr>
                <w:rFonts w:eastAsia="Times New Roman"/>
                <w:sz w:val="24"/>
                <w:szCs w:val="24"/>
              </w:rPr>
              <w:t>54</w:t>
            </w:r>
          </w:p>
        </w:tc>
        <w:tc>
          <w:tcPr>
            <w:tcW w:w="1077" w:type="dxa"/>
            <w:vAlign w:val="center"/>
          </w:tcPr>
          <w:p w14:paraId="281A5F15" w14:textId="77777777" w:rsidR="00D9539A" w:rsidRDefault="00D9539A" w:rsidP="00AB44F5">
            <w:pPr>
              <w:jc w:val="center"/>
              <w:rPr>
                <w:sz w:val="20"/>
                <w:szCs w:val="20"/>
              </w:rPr>
            </w:pPr>
            <w:r>
              <w:rPr>
                <w:rFonts w:eastAsia="Times New Roman"/>
                <w:sz w:val="24"/>
                <w:szCs w:val="24"/>
              </w:rPr>
              <w:t>66</w:t>
            </w:r>
          </w:p>
        </w:tc>
        <w:tc>
          <w:tcPr>
            <w:tcW w:w="1077" w:type="dxa"/>
            <w:vAlign w:val="center"/>
          </w:tcPr>
          <w:p w14:paraId="281A5F16" w14:textId="77777777" w:rsidR="00D9539A" w:rsidRDefault="00D9539A" w:rsidP="00AB44F5">
            <w:pPr>
              <w:jc w:val="center"/>
              <w:rPr>
                <w:sz w:val="20"/>
                <w:szCs w:val="20"/>
              </w:rPr>
            </w:pPr>
            <w:r>
              <w:rPr>
                <w:rFonts w:eastAsia="Times New Roman"/>
                <w:sz w:val="24"/>
                <w:szCs w:val="24"/>
              </w:rPr>
              <w:t>80</w:t>
            </w:r>
          </w:p>
        </w:tc>
        <w:tc>
          <w:tcPr>
            <w:tcW w:w="1078" w:type="dxa"/>
            <w:vAlign w:val="center"/>
          </w:tcPr>
          <w:p w14:paraId="281A5F17" w14:textId="77777777" w:rsidR="00D9539A" w:rsidRDefault="00D9539A" w:rsidP="00AB44F5">
            <w:pPr>
              <w:jc w:val="center"/>
              <w:rPr>
                <w:sz w:val="20"/>
                <w:szCs w:val="20"/>
              </w:rPr>
            </w:pPr>
            <w:r>
              <w:rPr>
                <w:rFonts w:eastAsia="Times New Roman"/>
                <w:sz w:val="24"/>
                <w:szCs w:val="24"/>
              </w:rPr>
              <w:t>96</w:t>
            </w:r>
          </w:p>
        </w:tc>
      </w:tr>
      <w:tr w:rsidR="00D9539A" w14:paraId="281A5F23" w14:textId="77777777" w:rsidTr="00DF0E65">
        <w:trPr>
          <w:trHeight w:val="312"/>
        </w:trPr>
        <w:tc>
          <w:tcPr>
            <w:tcW w:w="1720" w:type="dxa"/>
            <w:vAlign w:val="center"/>
          </w:tcPr>
          <w:p w14:paraId="281A5F1B" w14:textId="77777777" w:rsidR="00D9539A" w:rsidRDefault="00D9539A" w:rsidP="00AB44F5">
            <w:pPr>
              <w:jc w:val="center"/>
              <w:rPr>
                <w:sz w:val="20"/>
                <w:szCs w:val="20"/>
              </w:rPr>
            </w:pPr>
            <w:r>
              <w:rPr>
                <w:rFonts w:eastAsia="Times New Roman"/>
                <w:sz w:val="24"/>
                <w:szCs w:val="24"/>
              </w:rPr>
              <w:t>3.0</w:t>
            </w:r>
          </w:p>
        </w:tc>
        <w:tc>
          <w:tcPr>
            <w:tcW w:w="1077" w:type="dxa"/>
            <w:vAlign w:val="center"/>
          </w:tcPr>
          <w:p w14:paraId="281A5F1C" w14:textId="77777777" w:rsidR="00D9539A" w:rsidRDefault="00D9539A" w:rsidP="00AB44F5">
            <w:pPr>
              <w:jc w:val="center"/>
              <w:rPr>
                <w:sz w:val="20"/>
                <w:szCs w:val="20"/>
              </w:rPr>
            </w:pPr>
            <w:r>
              <w:rPr>
                <w:rFonts w:eastAsia="Times New Roman"/>
                <w:sz w:val="24"/>
                <w:szCs w:val="24"/>
              </w:rPr>
              <w:t>32</w:t>
            </w:r>
          </w:p>
        </w:tc>
        <w:tc>
          <w:tcPr>
            <w:tcW w:w="1077" w:type="dxa"/>
            <w:vAlign w:val="center"/>
          </w:tcPr>
          <w:p w14:paraId="281A5F1D" w14:textId="77777777" w:rsidR="00D9539A" w:rsidRDefault="00D9539A" w:rsidP="00AB44F5">
            <w:pPr>
              <w:jc w:val="center"/>
              <w:rPr>
                <w:sz w:val="20"/>
                <w:szCs w:val="20"/>
              </w:rPr>
            </w:pPr>
            <w:r>
              <w:rPr>
                <w:rFonts w:eastAsia="Times New Roman"/>
                <w:sz w:val="24"/>
                <w:szCs w:val="24"/>
              </w:rPr>
              <w:t>38</w:t>
            </w:r>
          </w:p>
        </w:tc>
        <w:tc>
          <w:tcPr>
            <w:tcW w:w="1077" w:type="dxa"/>
            <w:vAlign w:val="center"/>
          </w:tcPr>
          <w:p w14:paraId="281A5F1E" w14:textId="77777777" w:rsidR="00D9539A" w:rsidRDefault="00D9539A" w:rsidP="00AB44F5">
            <w:pPr>
              <w:jc w:val="center"/>
              <w:rPr>
                <w:sz w:val="20"/>
                <w:szCs w:val="20"/>
              </w:rPr>
            </w:pPr>
            <w:r>
              <w:rPr>
                <w:rFonts w:eastAsia="Times New Roman"/>
                <w:sz w:val="24"/>
                <w:szCs w:val="24"/>
              </w:rPr>
              <w:t>46</w:t>
            </w:r>
          </w:p>
        </w:tc>
        <w:tc>
          <w:tcPr>
            <w:tcW w:w="1077" w:type="dxa"/>
            <w:vAlign w:val="center"/>
          </w:tcPr>
          <w:p w14:paraId="281A5F1F" w14:textId="77777777" w:rsidR="00D9539A" w:rsidRDefault="00D9539A" w:rsidP="00AB44F5">
            <w:pPr>
              <w:jc w:val="center"/>
              <w:rPr>
                <w:sz w:val="20"/>
                <w:szCs w:val="20"/>
              </w:rPr>
            </w:pPr>
            <w:r>
              <w:rPr>
                <w:rFonts w:eastAsia="Times New Roman"/>
                <w:sz w:val="24"/>
                <w:szCs w:val="24"/>
              </w:rPr>
              <w:t>55</w:t>
            </w:r>
          </w:p>
        </w:tc>
        <w:tc>
          <w:tcPr>
            <w:tcW w:w="1077" w:type="dxa"/>
            <w:vAlign w:val="center"/>
          </w:tcPr>
          <w:p w14:paraId="281A5F20" w14:textId="77777777" w:rsidR="00D9539A" w:rsidRDefault="00D9539A" w:rsidP="00AB44F5">
            <w:pPr>
              <w:jc w:val="center"/>
              <w:rPr>
                <w:sz w:val="20"/>
                <w:szCs w:val="20"/>
              </w:rPr>
            </w:pPr>
            <w:r>
              <w:rPr>
                <w:rFonts w:eastAsia="Times New Roman"/>
                <w:sz w:val="24"/>
                <w:szCs w:val="24"/>
              </w:rPr>
              <w:t>67</w:t>
            </w:r>
          </w:p>
        </w:tc>
        <w:tc>
          <w:tcPr>
            <w:tcW w:w="1077" w:type="dxa"/>
            <w:vAlign w:val="center"/>
          </w:tcPr>
          <w:p w14:paraId="281A5F21" w14:textId="77777777" w:rsidR="00D9539A" w:rsidRDefault="00D9539A" w:rsidP="00AB44F5">
            <w:pPr>
              <w:jc w:val="center"/>
              <w:rPr>
                <w:sz w:val="20"/>
                <w:szCs w:val="20"/>
              </w:rPr>
            </w:pPr>
            <w:r>
              <w:rPr>
                <w:rFonts w:eastAsia="Times New Roman"/>
                <w:sz w:val="24"/>
                <w:szCs w:val="24"/>
              </w:rPr>
              <w:t>81</w:t>
            </w:r>
          </w:p>
        </w:tc>
        <w:tc>
          <w:tcPr>
            <w:tcW w:w="1078" w:type="dxa"/>
            <w:vAlign w:val="center"/>
          </w:tcPr>
          <w:p w14:paraId="281A5F22" w14:textId="77777777" w:rsidR="00D9539A" w:rsidRDefault="00D9539A" w:rsidP="00AB44F5">
            <w:pPr>
              <w:jc w:val="center"/>
              <w:rPr>
                <w:sz w:val="20"/>
                <w:szCs w:val="20"/>
              </w:rPr>
            </w:pPr>
            <w:r>
              <w:rPr>
                <w:rFonts w:eastAsia="Times New Roman"/>
                <w:sz w:val="24"/>
                <w:szCs w:val="24"/>
              </w:rPr>
              <w:t>97</w:t>
            </w:r>
          </w:p>
        </w:tc>
      </w:tr>
    </w:tbl>
    <w:p w14:paraId="281A5F24" w14:textId="77777777" w:rsidR="004647B9" w:rsidRPr="00AB44F5" w:rsidRDefault="004647B9" w:rsidP="00AB44F5">
      <w:pPr>
        <w:rPr>
          <w:sz w:val="24"/>
          <w:szCs w:val="24"/>
        </w:rPr>
      </w:pPr>
    </w:p>
    <w:p w14:paraId="281A5F25" w14:textId="77777777" w:rsidR="004647B9" w:rsidRPr="00A65D9F" w:rsidRDefault="00E2436F" w:rsidP="00AB44F5">
      <w:pPr>
        <w:numPr>
          <w:ilvl w:val="0"/>
          <w:numId w:val="593"/>
        </w:numPr>
        <w:tabs>
          <w:tab w:val="left" w:pos="360"/>
        </w:tabs>
        <w:ind w:left="360" w:hanging="350"/>
        <w:jc w:val="both"/>
        <w:rPr>
          <w:rFonts w:eastAsia="Times New Roman"/>
          <w:sz w:val="24"/>
          <w:szCs w:val="24"/>
        </w:rPr>
      </w:pPr>
      <w:r w:rsidRPr="00A65D9F">
        <w:rPr>
          <w:rFonts w:eastAsia="Times New Roman"/>
          <w:sz w:val="24"/>
          <w:szCs w:val="24"/>
        </w:rPr>
        <w:t>These CT values achieve greater than a 99.99% inactivation of Viruses. CT values between the indicated pH values may be determined by linear interpolation. CT values between the indicated temperatures of different tables may be determined by linear interpolation. If no interpolation is used, use the CT</w:t>
      </w:r>
      <w:r w:rsidRPr="00A65D9F">
        <w:rPr>
          <w:rFonts w:eastAsia="Times New Roman"/>
          <w:sz w:val="24"/>
          <w:szCs w:val="24"/>
          <w:vertAlign w:val="subscript"/>
        </w:rPr>
        <w:t>99.9</w:t>
      </w:r>
      <w:r w:rsidRPr="00A65D9F">
        <w:rPr>
          <w:rFonts w:eastAsia="Times New Roman"/>
          <w:sz w:val="24"/>
          <w:szCs w:val="24"/>
        </w:rPr>
        <w:t xml:space="preserve"> value at the lower temperature, and at the higher pH</w:t>
      </w:r>
      <w:r w:rsidRPr="00A65D9F" w:rsidDel="007B206E">
        <w:rPr>
          <w:rFonts w:eastAsia="Times New Roman"/>
          <w:sz w:val="24"/>
          <w:szCs w:val="24"/>
        </w:rPr>
        <w:t>.</w:t>
      </w:r>
    </w:p>
    <w:p w14:paraId="281A5F26" w14:textId="77777777" w:rsidR="004647B9" w:rsidRPr="00A65D9F" w:rsidRDefault="004647B9" w:rsidP="00AB44F5">
      <w:pPr>
        <w:rPr>
          <w:sz w:val="24"/>
          <w:szCs w:val="24"/>
        </w:rPr>
      </w:pPr>
    </w:p>
    <w:p w14:paraId="281A5F27" w14:textId="77777777" w:rsidR="004647B9" w:rsidRPr="00A65D9F" w:rsidRDefault="00E2436F" w:rsidP="00AB44F5">
      <w:pPr>
        <w:jc w:val="center"/>
        <w:rPr>
          <w:sz w:val="24"/>
          <w:szCs w:val="24"/>
        </w:rPr>
      </w:pPr>
      <w:r w:rsidRPr="00A65D9F">
        <w:rPr>
          <w:rFonts w:eastAsia="Times New Roman"/>
          <w:sz w:val="24"/>
          <w:szCs w:val="24"/>
        </w:rPr>
        <w:t>TABLE 2.1 - 310 CMR 22.20A</w:t>
      </w:r>
    </w:p>
    <w:p w14:paraId="281A5F29" w14:textId="77777777" w:rsidR="004647B9" w:rsidRPr="00A65D9F" w:rsidRDefault="00E2436F" w:rsidP="00AB44F5">
      <w:pPr>
        <w:jc w:val="center"/>
        <w:rPr>
          <w:sz w:val="24"/>
          <w:szCs w:val="24"/>
        </w:rPr>
      </w:pPr>
      <w:r w:rsidRPr="00A65D9F">
        <w:rPr>
          <w:rFonts w:eastAsia="Times New Roman"/>
          <w:sz w:val="24"/>
          <w:szCs w:val="24"/>
        </w:rPr>
        <w:t>CT VALUES (CT</w:t>
      </w:r>
      <w:r w:rsidRPr="00A65D9F">
        <w:rPr>
          <w:rFonts w:eastAsia="Times New Roman"/>
          <w:sz w:val="24"/>
          <w:szCs w:val="24"/>
          <w:vertAlign w:val="subscript"/>
        </w:rPr>
        <w:t>99.9</w:t>
      </w:r>
      <w:r w:rsidRPr="00A65D9F">
        <w:rPr>
          <w:rFonts w:eastAsia="Times New Roman"/>
          <w:sz w:val="24"/>
          <w:szCs w:val="24"/>
        </w:rPr>
        <w:t>) FOR 99.9% INACTIVATION OF</w:t>
      </w:r>
    </w:p>
    <w:p w14:paraId="281A5F2A" w14:textId="77777777" w:rsidR="004647B9" w:rsidRPr="00A65D9F" w:rsidRDefault="00E2436F" w:rsidP="00AB44F5">
      <w:pPr>
        <w:jc w:val="center"/>
        <w:rPr>
          <w:sz w:val="24"/>
          <w:szCs w:val="24"/>
        </w:rPr>
      </w:pPr>
      <w:r w:rsidRPr="00A65D9F">
        <w:rPr>
          <w:rFonts w:eastAsia="Times New Roman"/>
          <w:i/>
          <w:iCs/>
          <w:sz w:val="24"/>
          <w:szCs w:val="24"/>
        </w:rPr>
        <w:t xml:space="preserve">GIARDIA LAMBLIA </w:t>
      </w:r>
      <w:r w:rsidRPr="00A65D9F">
        <w:rPr>
          <w:rFonts w:eastAsia="Times New Roman"/>
          <w:sz w:val="24"/>
          <w:szCs w:val="24"/>
        </w:rPr>
        <w:t>CYSTS BY CHLORINE DIOXIDE AND OZONE</w:t>
      </w:r>
      <w:r w:rsidRPr="00A65D9F">
        <w:rPr>
          <w:rFonts w:eastAsia="Times New Roman"/>
          <w:sz w:val="24"/>
          <w:szCs w:val="24"/>
          <w:vertAlign w:val="superscript"/>
        </w:rPr>
        <w:t>*</w:t>
      </w:r>
    </w:p>
    <w:p w14:paraId="281A5F2B" w14:textId="77777777" w:rsidR="004647B9" w:rsidRPr="00AB44F5" w:rsidRDefault="004647B9" w:rsidP="00AB44F5">
      <w:pPr>
        <w:rPr>
          <w:sz w:val="24"/>
          <w:szCs w:val="24"/>
        </w:rPr>
      </w:pPr>
    </w:p>
    <w:tbl>
      <w:tblPr>
        <w:tblW w:w="9000" w:type="dxa"/>
        <w:jc w:val="center"/>
        <w:tblLayout w:type="fixed"/>
        <w:tblCellMar>
          <w:left w:w="0" w:type="dxa"/>
          <w:right w:w="0" w:type="dxa"/>
        </w:tblCellMar>
        <w:tblLook w:val="04A0" w:firstRow="1" w:lastRow="0" w:firstColumn="1" w:lastColumn="0" w:noHBand="0" w:noVBand="1"/>
      </w:tblPr>
      <w:tblGrid>
        <w:gridCol w:w="2720"/>
        <w:gridCol w:w="1160"/>
        <w:gridCol w:w="1100"/>
        <w:gridCol w:w="980"/>
        <w:gridCol w:w="900"/>
        <w:gridCol w:w="980"/>
        <w:gridCol w:w="1160"/>
      </w:tblGrid>
      <w:tr w:rsidR="00A259CD" w14:paraId="281A5F37" w14:textId="77777777" w:rsidTr="00540867">
        <w:trPr>
          <w:trHeight w:val="477"/>
          <w:jc w:val="center"/>
        </w:trPr>
        <w:tc>
          <w:tcPr>
            <w:tcW w:w="9000" w:type="dxa"/>
            <w:gridSpan w:val="7"/>
            <w:tcBorders>
              <w:top w:val="single" w:sz="8" w:space="0" w:color="auto"/>
              <w:left w:val="single" w:sz="8" w:space="0" w:color="auto"/>
              <w:bottom w:val="single" w:sz="8" w:space="0" w:color="auto"/>
              <w:right w:val="single" w:sz="8" w:space="0" w:color="auto"/>
            </w:tcBorders>
            <w:vAlign w:val="center"/>
          </w:tcPr>
          <w:p w14:paraId="281A5F36" w14:textId="346367A7" w:rsidR="00A259CD" w:rsidRDefault="00A259CD" w:rsidP="00AB44F5">
            <w:pPr>
              <w:jc w:val="center"/>
              <w:rPr>
                <w:sz w:val="24"/>
                <w:szCs w:val="24"/>
              </w:rPr>
            </w:pPr>
            <w:r>
              <w:rPr>
                <w:rFonts w:eastAsia="Times New Roman"/>
                <w:sz w:val="24"/>
                <w:szCs w:val="24"/>
              </w:rPr>
              <w:t>Temperature</w:t>
            </w:r>
          </w:p>
        </w:tc>
      </w:tr>
      <w:tr w:rsidR="00B86686" w14:paraId="281A5F50" w14:textId="77777777" w:rsidTr="00540867">
        <w:trPr>
          <w:trHeight w:val="646"/>
          <w:jc w:val="center"/>
        </w:trPr>
        <w:tc>
          <w:tcPr>
            <w:tcW w:w="2720" w:type="dxa"/>
            <w:tcBorders>
              <w:top w:val="single" w:sz="8" w:space="0" w:color="auto"/>
              <w:left w:val="single" w:sz="8" w:space="0" w:color="auto"/>
              <w:bottom w:val="single" w:sz="8" w:space="0" w:color="auto"/>
              <w:right w:val="single" w:sz="8" w:space="0" w:color="auto"/>
            </w:tcBorders>
            <w:vAlign w:val="bottom"/>
          </w:tcPr>
          <w:p w14:paraId="281A5F46" w14:textId="77777777" w:rsidR="00B86686" w:rsidRDefault="00B86686" w:rsidP="00AB44F5">
            <w:pPr>
              <w:rPr>
                <w:sz w:val="24"/>
                <w:szCs w:val="24"/>
              </w:rPr>
            </w:pPr>
          </w:p>
        </w:tc>
        <w:tc>
          <w:tcPr>
            <w:tcW w:w="1160" w:type="dxa"/>
            <w:tcBorders>
              <w:top w:val="single" w:sz="8" w:space="0" w:color="auto"/>
              <w:bottom w:val="single" w:sz="8" w:space="0" w:color="auto"/>
              <w:right w:val="single" w:sz="8" w:space="0" w:color="auto"/>
            </w:tcBorders>
            <w:vAlign w:val="center"/>
          </w:tcPr>
          <w:p w14:paraId="281A5F48" w14:textId="77777777" w:rsidR="00B86686" w:rsidRDefault="00B86686" w:rsidP="00AB44F5">
            <w:pPr>
              <w:jc w:val="center"/>
              <w:rPr>
                <w:sz w:val="20"/>
                <w:szCs w:val="20"/>
              </w:rPr>
            </w:pPr>
            <w:r>
              <w:rPr>
                <w:rFonts w:eastAsia="Times New Roman"/>
                <w:w w:val="97"/>
                <w:sz w:val="24"/>
                <w:szCs w:val="24"/>
              </w:rPr>
              <w:t>&lt; 1°C</w:t>
            </w:r>
          </w:p>
        </w:tc>
        <w:tc>
          <w:tcPr>
            <w:tcW w:w="1100" w:type="dxa"/>
            <w:tcBorders>
              <w:top w:val="single" w:sz="8" w:space="0" w:color="auto"/>
              <w:left w:val="single" w:sz="8" w:space="0" w:color="auto"/>
              <w:bottom w:val="single" w:sz="8" w:space="0" w:color="auto"/>
              <w:right w:val="single" w:sz="8" w:space="0" w:color="auto"/>
            </w:tcBorders>
            <w:vAlign w:val="center"/>
          </w:tcPr>
          <w:p w14:paraId="281A5F49" w14:textId="77777777" w:rsidR="00B86686" w:rsidRDefault="00B86686" w:rsidP="00AB44F5">
            <w:pPr>
              <w:jc w:val="center"/>
              <w:rPr>
                <w:sz w:val="20"/>
                <w:szCs w:val="20"/>
              </w:rPr>
            </w:pPr>
            <w:r>
              <w:rPr>
                <w:rFonts w:eastAsia="Times New Roman"/>
                <w:sz w:val="24"/>
                <w:szCs w:val="24"/>
              </w:rPr>
              <w:t>5°C</w:t>
            </w:r>
          </w:p>
        </w:tc>
        <w:tc>
          <w:tcPr>
            <w:tcW w:w="980" w:type="dxa"/>
            <w:tcBorders>
              <w:top w:val="single" w:sz="8" w:space="0" w:color="auto"/>
              <w:bottom w:val="single" w:sz="8" w:space="0" w:color="auto"/>
              <w:right w:val="single" w:sz="8" w:space="0" w:color="auto"/>
            </w:tcBorders>
            <w:vAlign w:val="center"/>
          </w:tcPr>
          <w:p w14:paraId="281A5F4B" w14:textId="77777777" w:rsidR="00B86686" w:rsidRDefault="00B86686" w:rsidP="00AB44F5">
            <w:pPr>
              <w:jc w:val="center"/>
              <w:rPr>
                <w:sz w:val="20"/>
                <w:szCs w:val="20"/>
              </w:rPr>
            </w:pPr>
            <w:r>
              <w:rPr>
                <w:rFonts w:eastAsia="Times New Roman"/>
                <w:sz w:val="24"/>
                <w:szCs w:val="24"/>
              </w:rPr>
              <w:t>10°C</w:t>
            </w:r>
          </w:p>
        </w:tc>
        <w:tc>
          <w:tcPr>
            <w:tcW w:w="900" w:type="dxa"/>
            <w:tcBorders>
              <w:top w:val="single" w:sz="8" w:space="0" w:color="auto"/>
              <w:left w:val="single" w:sz="8" w:space="0" w:color="auto"/>
              <w:bottom w:val="single" w:sz="8" w:space="0" w:color="auto"/>
              <w:right w:val="single" w:sz="8" w:space="0" w:color="auto"/>
            </w:tcBorders>
            <w:vAlign w:val="center"/>
          </w:tcPr>
          <w:p w14:paraId="281A5F4C" w14:textId="77777777" w:rsidR="00B86686" w:rsidRDefault="00B86686" w:rsidP="00AB44F5">
            <w:pPr>
              <w:jc w:val="center"/>
              <w:rPr>
                <w:sz w:val="20"/>
                <w:szCs w:val="20"/>
              </w:rPr>
            </w:pPr>
            <w:r>
              <w:rPr>
                <w:rFonts w:eastAsia="Times New Roman"/>
                <w:sz w:val="24"/>
                <w:szCs w:val="24"/>
              </w:rPr>
              <w:t>15°C</w:t>
            </w:r>
          </w:p>
        </w:tc>
        <w:tc>
          <w:tcPr>
            <w:tcW w:w="980" w:type="dxa"/>
            <w:tcBorders>
              <w:top w:val="single" w:sz="8" w:space="0" w:color="auto"/>
              <w:bottom w:val="single" w:sz="8" w:space="0" w:color="auto"/>
              <w:right w:val="single" w:sz="8" w:space="0" w:color="auto"/>
            </w:tcBorders>
            <w:vAlign w:val="center"/>
          </w:tcPr>
          <w:p w14:paraId="281A5F4D" w14:textId="77777777" w:rsidR="00B86686" w:rsidRDefault="00B86686" w:rsidP="00AB44F5">
            <w:pPr>
              <w:jc w:val="center"/>
              <w:rPr>
                <w:sz w:val="20"/>
                <w:szCs w:val="20"/>
              </w:rPr>
            </w:pPr>
            <w:r>
              <w:rPr>
                <w:rFonts w:eastAsia="Times New Roman"/>
                <w:sz w:val="24"/>
                <w:szCs w:val="24"/>
              </w:rPr>
              <w:t>20°C</w:t>
            </w:r>
          </w:p>
        </w:tc>
        <w:tc>
          <w:tcPr>
            <w:tcW w:w="1160" w:type="dxa"/>
            <w:tcBorders>
              <w:top w:val="single" w:sz="8" w:space="0" w:color="auto"/>
              <w:bottom w:val="single" w:sz="8" w:space="0" w:color="auto"/>
              <w:right w:val="single" w:sz="8" w:space="0" w:color="auto"/>
            </w:tcBorders>
            <w:vAlign w:val="center"/>
          </w:tcPr>
          <w:p w14:paraId="281A5F4F" w14:textId="66CB1EAA" w:rsidR="00B86686" w:rsidRDefault="0071749E" w:rsidP="00AB44F5">
            <w:pPr>
              <w:jc w:val="center"/>
              <w:rPr>
                <w:sz w:val="20"/>
                <w:szCs w:val="20"/>
              </w:rPr>
            </w:pPr>
            <w:r>
              <w:rPr>
                <w:rFonts w:eastAsia="Times New Roman"/>
                <w:sz w:val="24"/>
                <w:szCs w:val="24"/>
              </w:rPr>
              <w:t>≥</w:t>
            </w:r>
            <w:r w:rsidR="00B86686">
              <w:rPr>
                <w:rFonts w:eastAsia="Times New Roman"/>
                <w:sz w:val="24"/>
                <w:szCs w:val="24"/>
              </w:rPr>
              <w:t xml:space="preserve"> 25°C</w:t>
            </w:r>
          </w:p>
        </w:tc>
      </w:tr>
      <w:tr w:rsidR="00A74AB4" w14:paraId="281A5F68" w14:textId="77777777" w:rsidTr="00540867">
        <w:trPr>
          <w:trHeight w:val="458"/>
          <w:jc w:val="center"/>
        </w:trPr>
        <w:tc>
          <w:tcPr>
            <w:tcW w:w="2720" w:type="dxa"/>
            <w:tcBorders>
              <w:top w:val="single" w:sz="8" w:space="0" w:color="auto"/>
              <w:left w:val="single" w:sz="8" w:space="0" w:color="auto"/>
              <w:bottom w:val="single" w:sz="8" w:space="0" w:color="auto"/>
              <w:right w:val="single" w:sz="8" w:space="0" w:color="auto"/>
            </w:tcBorders>
            <w:vAlign w:val="center"/>
          </w:tcPr>
          <w:p w14:paraId="281A5F5F" w14:textId="77777777" w:rsidR="00A74AB4" w:rsidRDefault="00A74AB4" w:rsidP="00AB44F5">
            <w:pPr>
              <w:rPr>
                <w:sz w:val="20"/>
                <w:szCs w:val="20"/>
              </w:rPr>
            </w:pPr>
            <w:r>
              <w:rPr>
                <w:rFonts w:eastAsia="Times New Roman"/>
                <w:sz w:val="24"/>
                <w:szCs w:val="24"/>
              </w:rPr>
              <w:t>Chlorine dioxide</w:t>
            </w:r>
          </w:p>
        </w:tc>
        <w:tc>
          <w:tcPr>
            <w:tcW w:w="1160" w:type="dxa"/>
            <w:tcBorders>
              <w:top w:val="single" w:sz="8" w:space="0" w:color="auto"/>
              <w:bottom w:val="single" w:sz="8" w:space="0" w:color="auto"/>
              <w:right w:val="single" w:sz="8" w:space="0" w:color="auto"/>
            </w:tcBorders>
            <w:vAlign w:val="center"/>
          </w:tcPr>
          <w:p w14:paraId="281A5F60" w14:textId="77777777" w:rsidR="00A74AB4" w:rsidRDefault="00A74AB4" w:rsidP="00AB44F5">
            <w:pPr>
              <w:jc w:val="center"/>
              <w:rPr>
                <w:sz w:val="20"/>
                <w:szCs w:val="20"/>
              </w:rPr>
            </w:pPr>
            <w:r>
              <w:rPr>
                <w:rFonts w:eastAsia="Times New Roman"/>
                <w:w w:val="99"/>
                <w:sz w:val="24"/>
                <w:szCs w:val="24"/>
              </w:rPr>
              <w:t>63</w:t>
            </w:r>
          </w:p>
        </w:tc>
        <w:tc>
          <w:tcPr>
            <w:tcW w:w="1100" w:type="dxa"/>
            <w:tcBorders>
              <w:top w:val="single" w:sz="8" w:space="0" w:color="auto"/>
              <w:bottom w:val="single" w:sz="8" w:space="0" w:color="auto"/>
              <w:right w:val="single" w:sz="8" w:space="0" w:color="auto"/>
            </w:tcBorders>
            <w:vAlign w:val="center"/>
          </w:tcPr>
          <w:p w14:paraId="281A5F62" w14:textId="4A90FA64" w:rsidR="00A74AB4" w:rsidRDefault="00A74AB4" w:rsidP="00AB44F5">
            <w:pPr>
              <w:jc w:val="center"/>
              <w:rPr>
                <w:sz w:val="24"/>
                <w:szCs w:val="24"/>
              </w:rPr>
            </w:pPr>
            <w:r>
              <w:rPr>
                <w:rFonts w:eastAsia="Times New Roman"/>
                <w:w w:val="99"/>
                <w:sz w:val="24"/>
                <w:szCs w:val="24"/>
              </w:rPr>
              <w:t>26</w:t>
            </w:r>
          </w:p>
        </w:tc>
        <w:tc>
          <w:tcPr>
            <w:tcW w:w="980" w:type="dxa"/>
            <w:tcBorders>
              <w:top w:val="single" w:sz="8" w:space="0" w:color="auto"/>
              <w:left w:val="single" w:sz="8" w:space="0" w:color="auto"/>
              <w:bottom w:val="single" w:sz="8" w:space="0" w:color="auto"/>
              <w:right w:val="single" w:sz="8" w:space="0" w:color="auto"/>
            </w:tcBorders>
            <w:vAlign w:val="center"/>
          </w:tcPr>
          <w:p w14:paraId="281A5F64" w14:textId="77777777" w:rsidR="00A74AB4" w:rsidRDefault="00A74AB4" w:rsidP="00AB44F5">
            <w:pPr>
              <w:jc w:val="center"/>
              <w:rPr>
                <w:sz w:val="20"/>
                <w:szCs w:val="20"/>
              </w:rPr>
            </w:pPr>
            <w:r>
              <w:rPr>
                <w:rFonts w:eastAsia="Times New Roman"/>
                <w:w w:val="99"/>
                <w:sz w:val="24"/>
                <w:szCs w:val="24"/>
              </w:rPr>
              <w:t>23</w:t>
            </w:r>
          </w:p>
        </w:tc>
        <w:tc>
          <w:tcPr>
            <w:tcW w:w="900" w:type="dxa"/>
            <w:tcBorders>
              <w:top w:val="single" w:sz="8" w:space="0" w:color="auto"/>
              <w:left w:val="single" w:sz="8" w:space="0" w:color="auto"/>
              <w:bottom w:val="single" w:sz="8" w:space="0" w:color="auto"/>
              <w:right w:val="single" w:sz="8" w:space="0" w:color="auto"/>
            </w:tcBorders>
            <w:vAlign w:val="center"/>
          </w:tcPr>
          <w:p w14:paraId="281A5F65" w14:textId="77777777" w:rsidR="00A74AB4" w:rsidRDefault="00A74AB4" w:rsidP="00AB44F5">
            <w:pPr>
              <w:jc w:val="center"/>
              <w:rPr>
                <w:sz w:val="20"/>
                <w:szCs w:val="20"/>
              </w:rPr>
            </w:pPr>
            <w:r>
              <w:rPr>
                <w:rFonts w:eastAsia="Times New Roman"/>
                <w:w w:val="99"/>
                <w:sz w:val="24"/>
                <w:szCs w:val="24"/>
              </w:rPr>
              <w:t>19</w:t>
            </w:r>
          </w:p>
        </w:tc>
        <w:tc>
          <w:tcPr>
            <w:tcW w:w="980" w:type="dxa"/>
            <w:tcBorders>
              <w:top w:val="single" w:sz="8" w:space="0" w:color="auto"/>
              <w:bottom w:val="single" w:sz="8" w:space="0" w:color="auto"/>
              <w:right w:val="single" w:sz="8" w:space="0" w:color="auto"/>
            </w:tcBorders>
            <w:vAlign w:val="center"/>
          </w:tcPr>
          <w:p w14:paraId="281A5F66" w14:textId="77777777" w:rsidR="00A74AB4" w:rsidRDefault="00A74AB4" w:rsidP="00AB44F5">
            <w:pPr>
              <w:jc w:val="center"/>
              <w:rPr>
                <w:sz w:val="20"/>
                <w:szCs w:val="20"/>
              </w:rPr>
            </w:pPr>
            <w:r>
              <w:rPr>
                <w:rFonts w:eastAsia="Times New Roman"/>
                <w:w w:val="99"/>
                <w:sz w:val="24"/>
                <w:szCs w:val="24"/>
              </w:rPr>
              <w:t>15</w:t>
            </w:r>
          </w:p>
        </w:tc>
        <w:tc>
          <w:tcPr>
            <w:tcW w:w="1160" w:type="dxa"/>
            <w:tcBorders>
              <w:top w:val="single" w:sz="8" w:space="0" w:color="auto"/>
              <w:bottom w:val="single" w:sz="8" w:space="0" w:color="auto"/>
              <w:right w:val="single" w:sz="8" w:space="0" w:color="auto"/>
            </w:tcBorders>
            <w:vAlign w:val="center"/>
          </w:tcPr>
          <w:p w14:paraId="281A5F67" w14:textId="77777777" w:rsidR="00A74AB4" w:rsidRDefault="00A74AB4" w:rsidP="00AB44F5">
            <w:pPr>
              <w:jc w:val="center"/>
              <w:rPr>
                <w:sz w:val="20"/>
                <w:szCs w:val="20"/>
              </w:rPr>
            </w:pPr>
            <w:r>
              <w:rPr>
                <w:rFonts w:eastAsia="Times New Roman"/>
                <w:w w:val="99"/>
                <w:sz w:val="24"/>
                <w:szCs w:val="24"/>
              </w:rPr>
              <w:t>11</w:t>
            </w:r>
          </w:p>
        </w:tc>
      </w:tr>
      <w:tr w:rsidR="00A74AB4" w14:paraId="281A5F80" w14:textId="77777777" w:rsidTr="00540867">
        <w:trPr>
          <w:trHeight w:val="418"/>
          <w:jc w:val="center"/>
        </w:trPr>
        <w:tc>
          <w:tcPr>
            <w:tcW w:w="2720" w:type="dxa"/>
            <w:tcBorders>
              <w:top w:val="single" w:sz="8" w:space="0" w:color="auto"/>
              <w:left w:val="single" w:sz="8" w:space="0" w:color="auto"/>
              <w:bottom w:val="single" w:sz="8" w:space="0" w:color="auto"/>
              <w:right w:val="single" w:sz="8" w:space="0" w:color="auto"/>
            </w:tcBorders>
            <w:vAlign w:val="center"/>
          </w:tcPr>
          <w:p w14:paraId="281A5F77" w14:textId="77777777" w:rsidR="00A74AB4" w:rsidRDefault="00A74AB4" w:rsidP="00AB44F5">
            <w:pPr>
              <w:rPr>
                <w:sz w:val="20"/>
                <w:szCs w:val="20"/>
              </w:rPr>
            </w:pPr>
            <w:r>
              <w:rPr>
                <w:rFonts w:eastAsia="Times New Roman"/>
                <w:sz w:val="24"/>
                <w:szCs w:val="24"/>
              </w:rPr>
              <w:t>Ozone</w:t>
            </w:r>
          </w:p>
        </w:tc>
        <w:tc>
          <w:tcPr>
            <w:tcW w:w="1160" w:type="dxa"/>
            <w:tcBorders>
              <w:top w:val="single" w:sz="8" w:space="0" w:color="auto"/>
              <w:bottom w:val="single" w:sz="8" w:space="0" w:color="auto"/>
              <w:right w:val="single" w:sz="8" w:space="0" w:color="auto"/>
            </w:tcBorders>
            <w:vAlign w:val="center"/>
          </w:tcPr>
          <w:p w14:paraId="281A5F78" w14:textId="77777777" w:rsidR="00A74AB4" w:rsidRDefault="00A74AB4" w:rsidP="00AB44F5">
            <w:pPr>
              <w:jc w:val="center"/>
              <w:rPr>
                <w:sz w:val="20"/>
                <w:szCs w:val="20"/>
              </w:rPr>
            </w:pPr>
            <w:r>
              <w:rPr>
                <w:rFonts w:eastAsia="Times New Roman"/>
                <w:w w:val="99"/>
                <w:sz w:val="24"/>
                <w:szCs w:val="24"/>
              </w:rPr>
              <w:t>2.9</w:t>
            </w:r>
          </w:p>
        </w:tc>
        <w:tc>
          <w:tcPr>
            <w:tcW w:w="1100" w:type="dxa"/>
            <w:tcBorders>
              <w:top w:val="single" w:sz="8" w:space="0" w:color="auto"/>
              <w:bottom w:val="single" w:sz="8" w:space="0" w:color="auto"/>
              <w:right w:val="single" w:sz="8" w:space="0" w:color="auto"/>
            </w:tcBorders>
            <w:vAlign w:val="center"/>
          </w:tcPr>
          <w:p w14:paraId="281A5F7A" w14:textId="7906BA8E" w:rsidR="00A74AB4" w:rsidRDefault="00A74AB4" w:rsidP="00AB44F5">
            <w:pPr>
              <w:jc w:val="center"/>
              <w:rPr>
                <w:sz w:val="24"/>
                <w:szCs w:val="24"/>
              </w:rPr>
            </w:pPr>
            <w:r>
              <w:rPr>
                <w:rFonts w:eastAsia="Times New Roman"/>
                <w:w w:val="99"/>
                <w:sz w:val="24"/>
                <w:szCs w:val="24"/>
              </w:rPr>
              <w:t>1.9</w:t>
            </w:r>
          </w:p>
        </w:tc>
        <w:tc>
          <w:tcPr>
            <w:tcW w:w="980" w:type="dxa"/>
            <w:tcBorders>
              <w:top w:val="single" w:sz="8" w:space="0" w:color="auto"/>
              <w:left w:val="single" w:sz="8" w:space="0" w:color="auto"/>
              <w:bottom w:val="single" w:sz="8" w:space="0" w:color="auto"/>
              <w:right w:val="single" w:sz="8" w:space="0" w:color="auto"/>
            </w:tcBorders>
            <w:vAlign w:val="center"/>
          </w:tcPr>
          <w:p w14:paraId="281A5F7C" w14:textId="77777777" w:rsidR="00A74AB4" w:rsidRDefault="00A74AB4" w:rsidP="00AB44F5">
            <w:pPr>
              <w:jc w:val="center"/>
              <w:rPr>
                <w:sz w:val="20"/>
                <w:szCs w:val="20"/>
              </w:rPr>
            </w:pPr>
            <w:r>
              <w:rPr>
                <w:rFonts w:eastAsia="Times New Roman"/>
                <w:w w:val="99"/>
                <w:sz w:val="24"/>
                <w:szCs w:val="24"/>
              </w:rPr>
              <w:t>1.4</w:t>
            </w:r>
          </w:p>
        </w:tc>
        <w:tc>
          <w:tcPr>
            <w:tcW w:w="900" w:type="dxa"/>
            <w:tcBorders>
              <w:top w:val="single" w:sz="8" w:space="0" w:color="auto"/>
              <w:left w:val="single" w:sz="8" w:space="0" w:color="auto"/>
              <w:bottom w:val="single" w:sz="8" w:space="0" w:color="auto"/>
              <w:right w:val="single" w:sz="8" w:space="0" w:color="auto"/>
            </w:tcBorders>
            <w:vAlign w:val="center"/>
          </w:tcPr>
          <w:p w14:paraId="281A5F7D" w14:textId="77777777" w:rsidR="00A74AB4" w:rsidRDefault="00A74AB4" w:rsidP="00AB44F5">
            <w:pPr>
              <w:jc w:val="center"/>
              <w:rPr>
                <w:sz w:val="20"/>
                <w:szCs w:val="20"/>
              </w:rPr>
            </w:pPr>
            <w:r>
              <w:rPr>
                <w:rFonts w:eastAsia="Times New Roman"/>
                <w:w w:val="99"/>
                <w:sz w:val="24"/>
                <w:szCs w:val="24"/>
              </w:rPr>
              <w:t>0.95</w:t>
            </w:r>
          </w:p>
        </w:tc>
        <w:tc>
          <w:tcPr>
            <w:tcW w:w="980" w:type="dxa"/>
            <w:tcBorders>
              <w:top w:val="single" w:sz="8" w:space="0" w:color="auto"/>
              <w:bottom w:val="single" w:sz="8" w:space="0" w:color="auto"/>
              <w:right w:val="single" w:sz="8" w:space="0" w:color="auto"/>
            </w:tcBorders>
            <w:vAlign w:val="center"/>
          </w:tcPr>
          <w:p w14:paraId="281A5F7E" w14:textId="77777777" w:rsidR="00A74AB4" w:rsidRDefault="00A74AB4" w:rsidP="00AB44F5">
            <w:pPr>
              <w:jc w:val="center"/>
              <w:rPr>
                <w:sz w:val="20"/>
                <w:szCs w:val="20"/>
              </w:rPr>
            </w:pPr>
            <w:r>
              <w:rPr>
                <w:rFonts w:eastAsia="Times New Roman"/>
                <w:w w:val="99"/>
                <w:sz w:val="24"/>
                <w:szCs w:val="24"/>
              </w:rPr>
              <w:t>0.72</w:t>
            </w:r>
          </w:p>
        </w:tc>
        <w:tc>
          <w:tcPr>
            <w:tcW w:w="1160" w:type="dxa"/>
            <w:tcBorders>
              <w:top w:val="single" w:sz="8" w:space="0" w:color="auto"/>
              <w:bottom w:val="single" w:sz="8" w:space="0" w:color="auto"/>
              <w:right w:val="single" w:sz="8" w:space="0" w:color="auto"/>
            </w:tcBorders>
            <w:vAlign w:val="center"/>
          </w:tcPr>
          <w:p w14:paraId="281A5F7F" w14:textId="77777777" w:rsidR="00A74AB4" w:rsidRDefault="00A74AB4" w:rsidP="00AB44F5">
            <w:pPr>
              <w:jc w:val="center"/>
              <w:rPr>
                <w:sz w:val="20"/>
                <w:szCs w:val="20"/>
              </w:rPr>
            </w:pPr>
            <w:r>
              <w:rPr>
                <w:rFonts w:eastAsia="Times New Roman"/>
                <w:w w:val="99"/>
                <w:sz w:val="24"/>
                <w:szCs w:val="24"/>
              </w:rPr>
              <w:t>0.48</w:t>
            </w:r>
          </w:p>
        </w:tc>
      </w:tr>
    </w:tbl>
    <w:p w14:paraId="281A5F8F" w14:textId="77777777" w:rsidR="004647B9" w:rsidRPr="00AB44F5" w:rsidRDefault="004647B9" w:rsidP="00AB44F5">
      <w:pPr>
        <w:rPr>
          <w:sz w:val="24"/>
          <w:szCs w:val="24"/>
        </w:rPr>
      </w:pPr>
    </w:p>
    <w:p w14:paraId="281A5F90" w14:textId="77777777" w:rsidR="004647B9" w:rsidRPr="00A65D9F" w:rsidRDefault="00E2436F" w:rsidP="00AB44F5">
      <w:pPr>
        <w:numPr>
          <w:ilvl w:val="0"/>
          <w:numId w:val="594"/>
        </w:numPr>
        <w:tabs>
          <w:tab w:val="left" w:pos="360"/>
        </w:tabs>
        <w:ind w:left="360" w:hanging="350"/>
        <w:jc w:val="both"/>
        <w:rPr>
          <w:rFonts w:eastAsia="Times New Roman"/>
          <w:sz w:val="24"/>
          <w:szCs w:val="24"/>
        </w:rPr>
      </w:pPr>
      <w:r w:rsidRPr="00A65D9F">
        <w:rPr>
          <w:rFonts w:eastAsia="Times New Roman"/>
          <w:sz w:val="24"/>
          <w:szCs w:val="24"/>
        </w:rPr>
        <w:t>These CT values achieve greater than 99.99% inactivation of Viruses. CT values between the indicated temperatures may be determined by linear interpolation. If no interpolation is used, use the CT</w:t>
      </w:r>
      <w:r w:rsidRPr="00A65D9F">
        <w:rPr>
          <w:rFonts w:eastAsia="Times New Roman"/>
          <w:sz w:val="24"/>
          <w:szCs w:val="24"/>
          <w:vertAlign w:val="subscript"/>
        </w:rPr>
        <w:t>99.9</w:t>
      </w:r>
      <w:r w:rsidRPr="00A65D9F">
        <w:rPr>
          <w:rFonts w:eastAsia="Times New Roman"/>
          <w:sz w:val="24"/>
          <w:szCs w:val="24"/>
        </w:rPr>
        <w:t xml:space="preserve"> value at the lower temperature for determining CT</w:t>
      </w:r>
      <w:r w:rsidRPr="00A65D9F">
        <w:rPr>
          <w:rFonts w:eastAsia="Times New Roman"/>
          <w:sz w:val="24"/>
          <w:szCs w:val="24"/>
          <w:vertAlign w:val="subscript"/>
        </w:rPr>
        <w:t>99.9</w:t>
      </w:r>
      <w:r w:rsidRPr="00A65D9F">
        <w:rPr>
          <w:rFonts w:eastAsia="Times New Roman"/>
          <w:sz w:val="24"/>
          <w:szCs w:val="24"/>
        </w:rPr>
        <w:t xml:space="preserve"> values between indicated temperatures</w:t>
      </w:r>
      <w:r w:rsidRPr="00A65D9F" w:rsidDel="007B206E">
        <w:rPr>
          <w:rFonts w:eastAsia="Times New Roman"/>
          <w:sz w:val="24"/>
          <w:szCs w:val="24"/>
        </w:rPr>
        <w:t>.</w:t>
      </w:r>
    </w:p>
    <w:p w14:paraId="281A5F91" w14:textId="77777777" w:rsidR="004647B9" w:rsidRPr="00A65D9F" w:rsidRDefault="004647B9" w:rsidP="00AB44F5">
      <w:pPr>
        <w:rPr>
          <w:sz w:val="24"/>
          <w:szCs w:val="24"/>
        </w:rPr>
      </w:pPr>
    </w:p>
    <w:p w14:paraId="281A5F92" w14:textId="77777777" w:rsidR="004647B9" w:rsidRPr="00A65D9F" w:rsidRDefault="00E2436F" w:rsidP="00AB44F5">
      <w:pPr>
        <w:jc w:val="center"/>
        <w:rPr>
          <w:sz w:val="24"/>
          <w:szCs w:val="24"/>
        </w:rPr>
      </w:pPr>
      <w:r w:rsidRPr="00A65D9F">
        <w:rPr>
          <w:rFonts w:eastAsia="Times New Roman"/>
          <w:sz w:val="24"/>
          <w:szCs w:val="24"/>
        </w:rPr>
        <w:t>TABLE 3.1 - 310 CMR 22.20A</w:t>
      </w:r>
    </w:p>
    <w:p w14:paraId="281A5F94" w14:textId="77777777" w:rsidR="004647B9" w:rsidRPr="00A65D9F" w:rsidRDefault="00E2436F" w:rsidP="00AB44F5">
      <w:pPr>
        <w:jc w:val="center"/>
        <w:rPr>
          <w:sz w:val="24"/>
          <w:szCs w:val="24"/>
        </w:rPr>
      </w:pPr>
      <w:r w:rsidRPr="00A65D9F">
        <w:rPr>
          <w:rFonts w:eastAsia="Times New Roman"/>
          <w:sz w:val="24"/>
          <w:szCs w:val="24"/>
        </w:rPr>
        <w:t>CT VALUES (CT</w:t>
      </w:r>
      <w:r w:rsidRPr="00A65D9F">
        <w:rPr>
          <w:rFonts w:eastAsia="Times New Roman"/>
          <w:sz w:val="24"/>
          <w:szCs w:val="24"/>
          <w:vertAlign w:val="subscript"/>
        </w:rPr>
        <w:t>99.9</w:t>
      </w:r>
      <w:r w:rsidRPr="00A65D9F">
        <w:rPr>
          <w:rFonts w:eastAsia="Times New Roman"/>
          <w:sz w:val="24"/>
          <w:szCs w:val="24"/>
        </w:rPr>
        <w:t>) FOR 99.9% INACTIVATION</w:t>
      </w:r>
    </w:p>
    <w:p w14:paraId="281A5F95" w14:textId="77777777" w:rsidR="004647B9" w:rsidRPr="00A65D9F" w:rsidRDefault="00E2436F" w:rsidP="00AB44F5">
      <w:pPr>
        <w:jc w:val="center"/>
        <w:rPr>
          <w:sz w:val="24"/>
          <w:szCs w:val="24"/>
        </w:rPr>
      </w:pPr>
      <w:r w:rsidRPr="00A65D9F">
        <w:rPr>
          <w:rFonts w:eastAsia="Times New Roman"/>
          <w:sz w:val="24"/>
          <w:szCs w:val="24"/>
        </w:rPr>
        <w:t xml:space="preserve">OF </w:t>
      </w:r>
      <w:r w:rsidRPr="00A65D9F">
        <w:rPr>
          <w:rFonts w:eastAsia="Times New Roman"/>
          <w:i/>
          <w:iCs/>
          <w:sz w:val="24"/>
          <w:szCs w:val="24"/>
        </w:rPr>
        <w:t>GIARDIA LAMBLIA</w:t>
      </w:r>
      <w:r w:rsidRPr="00A65D9F">
        <w:rPr>
          <w:rFonts w:eastAsia="Times New Roman"/>
          <w:sz w:val="24"/>
          <w:szCs w:val="24"/>
        </w:rPr>
        <w:t xml:space="preserve"> CYSTS BY CHLORAMINE</w:t>
      </w:r>
      <w:r w:rsidRPr="00A65D9F">
        <w:rPr>
          <w:rFonts w:eastAsia="Times New Roman"/>
          <w:sz w:val="24"/>
          <w:szCs w:val="24"/>
          <w:vertAlign w:val="superscript"/>
        </w:rPr>
        <w:t>*</w:t>
      </w:r>
    </w:p>
    <w:p w14:paraId="281A5F96" w14:textId="77777777" w:rsidR="004647B9" w:rsidRPr="00AB44F5" w:rsidRDefault="004647B9" w:rsidP="00AB44F5">
      <w:pPr>
        <w:rPr>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920"/>
        <w:gridCol w:w="820"/>
        <w:gridCol w:w="900"/>
        <w:gridCol w:w="800"/>
        <w:gridCol w:w="1000"/>
        <w:gridCol w:w="1140"/>
      </w:tblGrid>
      <w:tr w:rsidR="00455DAB" w14:paraId="281A5FA0" w14:textId="77777777" w:rsidTr="00455DAB">
        <w:trPr>
          <w:trHeight w:val="474"/>
          <w:jc w:val="center"/>
        </w:trPr>
        <w:tc>
          <w:tcPr>
            <w:tcW w:w="5580" w:type="dxa"/>
            <w:gridSpan w:val="6"/>
            <w:tcBorders>
              <w:top w:val="single" w:sz="8" w:space="0" w:color="auto"/>
              <w:left w:val="single" w:sz="8" w:space="0" w:color="auto"/>
              <w:bottom w:val="single" w:sz="8" w:space="0" w:color="auto"/>
              <w:right w:val="single" w:sz="8" w:space="0" w:color="auto"/>
            </w:tcBorders>
            <w:vAlign w:val="center"/>
          </w:tcPr>
          <w:p w14:paraId="281A5F9F" w14:textId="4785A57B" w:rsidR="00455DAB" w:rsidRDefault="00455DAB" w:rsidP="00AB44F5">
            <w:pPr>
              <w:jc w:val="center"/>
              <w:rPr>
                <w:sz w:val="24"/>
                <w:szCs w:val="24"/>
              </w:rPr>
            </w:pPr>
            <w:r>
              <w:rPr>
                <w:rFonts w:eastAsia="Times New Roman"/>
                <w:w w:val="99"/>
                <w:sz w:val="24"/>
                <w:szCs w:val="24"/>
              </w:rPr>
              <w:t>Temperature</w:t>
            </w:r>
          </w:p>
        </w:tc>
      </w:tr>
      <w:tr w:rsidR="00455DAB" w14:paraId="281A5FB4" w14:textId="77777777" w:rsidTr="00455DAB">
        <w:trPr>
          <w:trHeight w:val="419"/>
          <w:jc w:val="center"/>
        </w:trPr>
        <w:tc>
          <w:tcPr>
            <w:tcW w:w="920" w:type="dxa"/>
            <w:tcBorders>
              <w:top w:val="single" w:sz="8" w:space="0" w:color="auto"/>
              <w:left w:val="single" w:sz="8" w:space="0" w:color="auto"/>
              <w:bottom w:val="single" w:sz="8" w:space="0" w:color="auto"/>
              <w:right w:val="single" w:sz="8" w:space="0" w:color="auto"/>
            </w:tcBorders>
            <w:vAlign w:val="center"/>
          </w:tcPr>
          <w:p w14:paraId="281A5FAD" w14:textId="77777777" w:rsidR="00455DAB" w:rsidRDefault="00455DAB" w:rsidP="00AB44F5">
            <w:pPr>
              <w:jc w:val="center"/>
              <w:rPr>
                <w:sz w:val="20"/>
                <w:szCs w:val="20"/>
              </w:rPr>
            </w:pPr>
            <w:r>
              <w:rPr>
                <w:rFonts w:eastAsia="Times New Roman"/>
                <w:sz w:val="24"/>
                <w:szCs w:val="24"/>
              </w:rPr>
              <w:t>&lt; 1°C</w:t>
            </w:r>
          </w:p>
        </w:tc>
        <w:tc>
          <w:tcPr>
            <w:tcW w:w="820" w:type="dxa"/>
            <w:tcBorders>
              <w:top w:val="single" w:sz="8" w:space="0" w:color="auto"/>
              <w:left w:val="single" w:sz="8" w:space="0" w:color="auto"/>
              <w:bottom w:val="single" w:sz="8" w:space="0" w:color="auto"/>
              <w:right w:val="single" w:sz="8" w:space="0" w:color="auto"/>
            </w:tcBorders>
            <w:vAlign w:val="center"/>
          </w:tcPr>
          <w:p w14:paraId="281A5FAE" w14:textId="77777777" w:rsidR="00455DAB" w:rsidRDefault="00455DAB" w:rsidP="00AB44F5">
            <w:pPr>
              <w:jc w:val="center"/>
              <w:rPr>
                <w:sz w:val="20"/>
                <w:szCs w:val="20"/>
              </w:rPr>
            </w:pPr>
            <w:r>
              <w:rPr>
                <w:rFonts w:eastAsia="Times New Roman"/>
                <w:sz w:val="24"/>
                <w:szCs w:val="24"/>
              </w:rPr>
              <w:t>5°C</w:t>
            </w:r>
          </w:p>
        </w:tc>
        <w:tc>
          <w:tcPr>
            <w:tcW w:w="900" w:type="dxa"/>
            <w:tcBorders>
              <w:top w:val="single" w:sz="8" w:space="0" w:color="auto"/>
              <w:bottom w:val="single" w:sz="8" w:space="0" w:color="auto"/>
              <w:right w:val="single" w:sz="8" w:space="0" w:color="auto"/>
            </w:tcBorders>
            <w:vAlign w:val="center"/>
          </w:tcPr>
          <w:p w14:paraId="281A5FAF" w14:textId="77777777" w:rsidR="00455DAB" w:rsidRDefault="00455DAB" w:rsidP="00AB44F5">
            <w:pPr>
              <w:jc w:val="center"/>
              <w:rPr>
                <w:sz w:val="20"/>
                <w:szCs w:val="20"/>
              </w:rPr>
            </w:pPr>
            <w:r>
              <w:rPr>
                <w:rFonts w:eastAsia="Times New Roman"/>
                <w:sz w:val="24"/>
                <w:szCs w:val="24"/>
              </w:rPr>
              <w:t>10°C</w:t>
            </w:r>
          </w:p>
        </w:tc>
        <w:tc>
          <w:tcPr>
            <w:tcW w:w="800" w:type="dxa"/>
            <w:tcBorders>
              <w:top w:val="single" w:sz="8" w:space="0" w:color="auto"/>
              <w:bottom w:val="single" w:sz="8" w:space="0" w:color="auto"/>
              <w:right w:val="single" w:sz="8" w:space="0" w:color="auto"/>
            </w:tcBorders>
            <w:vAlign w:val="center"/>
          </w:tcPr>
          <w:p w14:paraId="281A5FB0" w14:textId="77777777" w:rsidR="00455DAB" w:rsidRDefault="00455DAB" w:rsidP="00AB44F5">
            <w:pPr>
              <w:jc w:val="center"/>
              <w:rPr>
                <w:sz w:val="20"/>
                <w:szCs w:val="20"/>
              </w:rPr>
            </w:pPr>
            <w:r>
              <w:rPr>
                <w:rFonts w:eastAsia="Times New Roman"/>
                <w:sz w:val="24"/>
                <w:szCs w:val="24"/>
              </w:rPr>
              <w:t>15°C</w:t>
            </w:r>
          </w:p>
        </w:tc>
        <w:tc>
          <w:tcPr>
            <w:tcW w:w="1000" w:type="dxa"/>
            <w:tcBorders>
              <w:top w:val="single" w:sz="8" w:space="0" w:color="auto"/>
              <w:bottom w:val="single" w:sz="8" w:space="0" w:color="auto"/>
              <w:right w:val="single" w:sz="8" w:space="0" w:color="auto"/>
            </w:tcBorders>
            <w:vAlign w:val="center"/>
          </w:tcPr>
          <w:p w14:paraId="281A5FB1" w14:textId="77777777" w:rsidR="00455DAB" w:rsidRDefault="00455DAB" w:rsidP="00AB44F5">
            <w:pPr>
              <w:jc w:val="center"/>
              <w:rPr>
                <w:sz w:val="20"/>
                <w:szCs w:val="20"/>
              </w:rPr>
            </w:pPr>
            <w:r>
              <w:rPr>
                <w:rFonts w:eastAsia="Times New Roman"/>
                <w:sz w:val="24"/>
                <w:szCs w:val="24"/>
              </w:rPr>
              <w:t>20°C</w:t>
            </w:r>
          </w:p>
        </w:tc>
        <w:tc>
          <w:tcPr>
            <w:tcW w:w="1140" w:type="dxa"/>
            <w:tcBorders>
              <w:top w:val="single" w:sz="8" w:space="0" w:color="auto"/>
              <w:bottom w:val="single" w:sz="8" w:space="0" w:color="auto"/>
              <w:right w:val="single" w:sz="8" w:space="0" w:color="auto"/>
            </w:tcBorders>
            <w:vAlign w:val="center"/>
          </w:tcPr>
          <w:p w14:paraId="281A5FB3" w14:textId="302F0323" w:rsidR="00455DAB" w:rsidRDefault="00504819" w:rsidP="00AB44F5">
            <w:pPr>
              <w:jc w:val="center"/>
              <w:rPr>
                <w:sz w:val="20"/>
                <w:szCs w:val="20"/>
              </w:rPr>
            </w:pPr>
            <w:r>
              <w:rPr>
                <w:rFonts w:eastAsia="Times New Roman"/>
                <w:sz w:val="24"/>
                <w:szCs w:val="24"/>
              </w:rPr>
              <w:t xml:space="preserve">≥ </w:t>
            </w:r>
            <w:r w:rsidR="00455DAB">
              <w:rPr>
                <w:rFonts w:eastAsia="Times New Roman"/>
                <w:sz w:val="24"/>
                <w:szCs w:val="24"/>
              </w:rPr>
              <w:t>25°C</w:t>
            </w:r>
          </w:p>
        </w:tc>
      </w:tr>
      <w:tr w:rsidR="00455DAB" w14:paraId="281A5FC6" w14:textId="77777777" w:rsidTr="00455DAB">
        <w:trPr>
          <w:trHeight w:val="418"/>
          <w:jc w:val="center"/>
        </w:trPr>
        <w:tc>
          <w:tcPr>
            <w:tcW w:w="920" w:type="dxa"/>
            <w:tcBorders>
              <w:top w:val="single" w:sz="8" w:space="0" w:color="auto"/>
              <w:left w:val="single" w:sz="8" w:space="0" w:color="auto"/>
              <w:bottom w:val="single" w:sz="8" w:space="0" w:color="auto"/>
              <w:right w:val="single" w:sz="8" w:space="0" w:color="auto"/>
            </w:tcBorders>
            <w:vAlign w:val="center"/>
          </w:tcPr>
          <w:p w14:paraId="281A5FC0" w14:textId="77777777" w:rsidR="00455DAB" w:rsidRDefault="00455DAB" w:rsidP="00AB44F5">
            <w:pPr>
              <w:jc w:val="center"/>
              <w:rPr>
                <w:sz w:val="20"/>
                <w:szCs w:val="20"/>
              </w:rPr>
            </w:pPr>
            <w:r>
              <w:rPr>
                <w:rFonts w:eastAsia="Times New Roman"/>
                <w:sz w:val="24"/>
                <w:szCs w:val="24"/>
              </w:rPr>
              <w:t>3,800</w:t>
            </w:r>
          </w:p>
        </w:tc>
        <w:tc>
          <w:tcPr>
            <w:tcW w:w="820" w:type="dxa"/>
            <w:tcBorders>
              <w:top w:val="single" w:sz="8" w:space="0" w:color="auto"/>
              <w:bottom w:val="single" w:sz="8" w:space="0" w:color="auto"/>
              <w:right w:val="single" w:sz="8" w:space="0" w:color="auto"/>
            </w:tcBorders>
            <w:vAlign w:val="center"/>
          </w:tcPr>
          <w:p w14:paraId="281A5FC1" w14:textId="77777777" w:rsidR="00455DAB" w:rsidRDefault="00455DAB" w:rsidP="00AB44F5">
            <w:pPr>
              <w:jc w:val="center"/>
              <w:rPr>
                <w:sz w:val="20"/>
                <w:szCs w:val="20"/>
              </w:rPr>
            </w:pPr>
            <w:r>
              <w:rPr>
                <w:rFonts w:eastAsia="Times New Roman"/>
                <w:sz w:val="24"/>
                <w:szCs w:val="24"/>
              </w:rPr>
              <w:t>2,200</w:t>
            </w:r>
          </w:p>
        </w:tc>
        <w:tc>
          <w:tcPr>
            <w:tcW w:w="900" w:type="dxa"/>
            <w:tcBorders>
              <w:top w:val="single" w:sz="8" w:space="0" w:color="auto"/>
              <w:bottom w:val="single" w:sz="8" w:space="0" w:color="auto"/>
              <w:right w:val="single" w:sz="8" w:space="0" w:color="auto"/>
            </w:tcBorders>
            <w:vAlign w:val="center"/>
          </w:tcPr>
          <w:p w14:paraId="281A5FC2" w14:textId="77777777" w:rsidR="00455DAB" w:rsidRDefault="00455DAB" w:rsidP="00AB44F5">
            <w:pPr>
              <w:jc w:val="center"/>
              <w:rPr>
                <w:sz w:val="20"/>
                <w:szCs w:val="20"/>
              </w:rPr>
            </w:pPr>
            <w:r>
              <w:rPr>
                <w:rFonts w:eastAsia="Times New Roman"/>
                <w:sz w:val="24"/>
                <w:szCs w:val="24"/>
              </w:rPr>
              <w:t>1,850</w:t>
            </w:r>
          </w:p>
        </w:tc>
        <w:tc>
          <w:tcPr>
            <w:tcW w:w="800" w:type="dxa"/>
            <w:tcBorders>
              <w:top w:val="single" w:sz="8" w:space="0" w:color="auto"/>
              <w:bottom w:val="single" w:sz="8" w:space="0" w:color="auto"/>
              <w:right w:val="single" w:sz="8" w:space="0" w:color="auto"/>
            </w:tcBorders>
            <w:vAlign w:val="center"/>
          </w:tcPr>
          <w:p w14:paraId="281A5FC3" w14:textId="77777777" w:rsidR="00455DAB" w:rsidRDefault="00455DAB" w:rsidP="00AB44F5">
            <w:pPr>
              <w:jc w:val="center"/>
              <w:rPr>
                <w:sz w:val="20"/>
                <w:szCs w:val="20"/>
              </w:rPr>
            </w:pPr>
            <w:r>
              <w:rPr>
                <w:rFonts w:eastAsia="Times New Roman"/>
                <w:sz w:val="24"/>
                <w:szCs w:val="24"/>
              </w:rPr>
              <w:t>1,500</w:t>
            </w:r>
          </w:p>
        </w:tc>
        <w:tc>
          <w:tcPr>
            <w:tcW w:w="1000" w:type="dxa"/>
            <w:tcBorders>
              <w:top w:val="single" w:sz="8" w:space="0" w:color="auto"/>
              <w:bottom w:val="single" w:sz="8" w:space="0" w:color="auto"/>
              <w:right w:val="single" w:sz="8" w:space="0" w:color="auto"/>
            </w:tcBorders>
            <w:vAlign w:val="center"/>
          </w:tcPr>
          <w:p w14:paraId="281A5FC4" w14:textId="77777777" w:rsidR="00455DAB" w:rsidRDefault="00455DAB" w:rsidP="00AB44F5">
            <w:pPr>
              <w:jc w:val="center"/>
              <w:rPr>
                <w:sz w:val="20"/>
                <w:szCs w:val="20"/>
              </w:rPr>
            </w:pPr>
            <w:r>
              <w:rPr>
                <w:rFonts w:eastAsia="Times New Roman"/>
                <w:sz w:val="24"/>
                <w:szCs w:val="24"/>
              </w:rPr>
              <w:t>1,100</w:t>
            </w:r>
          </w:p>
        </w:tc>
        <w:tc>
          <w:tcPr>
            <w:tcW w:w="1140" w:type="dxa"/>
            <w:tcBorders>
              <w:top w:val="single" w:sz="8" w:space="0" w:color="auto"/>
              <w:bottom w:val="single" w:sz="8" w:space="0" w:color="auto"/>
              <w:right w:val="single" w:sz="8" w:space="0" w:color="auto"/>
            </w:tcBorders>
            <w:vAlign w:val="center"/>
          </w:tcPr>
          <w:p w14:paraId="281A5FC5" w14:textId="77777777" w:rsidR="00455DAB" w:rsidRDefault="00455DAB" w:rsidP="00AB44F5">
            <w:pPr>
              <w:jc w:val="center"/>
              <w:rPr>
                <w:sz w:val="20"/>
                <w:szCs w:val="20"/>
              </w:rPr>
            </w:pPr>
            <w:r>
              <w:rPr>
                <w:rFonts w:eastAsia="Times New Roman"/>
                <w:sz w:val="24"/>
                <w:szCs w:val="24"/>
              </w:rPr>
              <w:t>750</w:t>
            </w:r>
          </w:p>
        </w:tc>
      </w:tr>
    </w:tbl>
    <w:p w14:paraId="281A5FD2" w14:textId="77777777" w:rsidR="004647B9" w:rsidRDefault="004647B9" w:rsidP="00AB44F5">
      <w:pPr>
        <w:sectPr w:rsidR="004647B9" w:rsidSect="00EF630C">
          <w:pgSz w:w="12240" w:h="20180"/>
          <w:pgMar w:top="708" w:right="1440" w:bottom="1440" w:left="620" w:header="0" w:footer="0" w:gutter="0"/>
          <w:cols w:space="720"/>
        </w:sectPr>
      </w:pPr>
    </w:p>
    <w:p w14:paraId="281A5FD3" w14:textId="77777777" w:rsidR="004647B9" w:rsidRDefault="00E2436F">
      <w:pPr>
        <w:tabs>
          <w:tab w:val="left" w:pos="160"/>
        </w:tabs>
        <w:ind w:right="20"/>
        <w:jc w:val="center"/>
        <w:rPr>
          <w:sz w:val="20"/>
          <w:szCs w:val="20"/>
        </w:rPr>
      </w:pPr>
      <w:bookmarkStart w:id="262" w:name="page266"/>
      <w:bookmarkEnd w:id="26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5FD4" w14:textId="77777777" w:rsidR="004647B9" w:rsidRDefault="004647B9" w:rsidP="00AB44F5">
      <w:pPr>
        <w:rPr>
          <w:sz w:val="20"/>
          <w:szCs w:val="20"/>
        </w:rPr>
      </w:pPr>
    </w:p>
    <w:p w14:paraId="281A5FD5" w14:textId="77777777" w:rsidR="004647B9" w:rsidRDefault="004647B9" w:rsidP="00AB44F5">
      <w:pPr>
        <w:rPr>
          <w:sz w:val="20"/>
          <w:szCs w:val="20"/>
        </w:rPr>
      </w:pPr>
    </w:p>
    <w:p w14:paraId="281A5FD6" w14:textId="77777777" w:rsidR="004647B9" w:rsidRPr="00A65D9F" w:rsidRDefault="00E2436F" w:rsidP="00AB44F5">
      <w:pPr>
        <w:tabs>
          <w:tab w:val="left" w:pos="940"/>
        </w:tabs>
        <w:rPr>
          <w:sz w:val="24"/>
          <w:szCs w:val="24"/>
        </w:rPr>
      </w:pPr>
      <w:r w:rsidRPr="00A65D9F">
        <w:rPr>
          <w:rFonts w:eastAsia="Times New Roman"/>
          <w:sz w:val="24"/>
          <w:szCs w:val="24"/>
        </w:rPr>
        <w:t>22.20A:</w:t>
      </w:r>
      <w:r w:rsidRPr="00A65D9F">
        <w:rPr>
          <w:rFonts w:eastAsia="Times New Roman"/>
          <w:sz w:val="24"/>
          <w:szCs w:val="24"/>
        </w:rPr>
        <w:tab/>
        <w:t>continued</w:t>
      </w:r>
    </w:p>
    <w:p w14:paraId="281A5FD7" w14:textId="77777777" w:rsidR="004647B9" w:rsidRPr="00AB44F5" w:rsidRDefault="004647B9" w:rsidP="00AB44F5">
      <w:pPr>
        <w:rPr>
          <w:sz w:val="20"/>
          <w:szCs w:val="20"/>
        </w:rPr>
      </w:pPr>
    </w:p>
    <w:p w14:paraId="281A5FD8" w14:textId="77777777" w:rsidR="004647B9" w:rsidRPr="00A65D9F" w:rsidRDefault="00E2436F" w:rsidP="00AB44F5">
      <w:pPr>
        <w:numPr>
          <w:ilvl w:val="0"/>
          <w:numId w:val="595"/>
        </w:numPr>
        <w:tabs>
          <w:tab w:val="left" w:pos="360"/>
        </w:tabs>
        <w:ind w:left="360" w:hanging="351"/>
        <w:jc w:val="both"/>
        <w:rPr>
          <w:rFonts w:eastAsia="Times New Roman"/>
          <w:sz w:val="24"/>
          <w:szCs w:val="24"/>
        </w:rPr>
      </w:pPr>
      <w:r w:rsidRPr="00A65D9F">
        <w:rPr>
          <w:rFonts w:eastAsia="Times New Roman"/>
          <w:sz w:val="24"/>
          <w:szCs w:val="24"/>
        </w:rPr>
        <w:t>These values are for pH values of 6 through 9. These CT values may be assumed to achieve greater than 99.99% inactivation of Viruses only if chlorine is added and mixed in the water prior to the addition of ammonia. If this condition is not met, the system must demonstrate, based on on-site studies or other information, as approved by the State, that the system is achieving at least 99.99% inactivation of Viruses. CT values between the indicated temperatures may be determined by linear interpolation. If no interpolation is used, use the CT</w:t>
      </w:r>
      <w:r w:rsidRPr="00A65D9F">
        <w:rPr>
          <w:rFonts w:eastAsia="Times New Roman"/>
          <w:sz w:val="24"/>
          <w:szCs w:val="24"/>
          <w:vertAlign w:val="subscript"/>
        </w:rPr>
        <w:t>99.9</w:t>
      </w:r>
      <w:r w:rsidRPr="00A65D9F">
        <w:rPr>
          <w:rFonts w:eastAsia="Times New Roman"/>
          <w:sz w:val="24"/>
          <w:szCs w:val="24"/>
        </w:rPr>
        <w:t xml:space="preserve"> value at the lower temperature for determining CT</w:t>
      </w:r>
      <w:r w:rsidRPr="00A65D9F">
        <w:rPr>
          <w:rFonts w:eastAsia="Times New Roman"/>
          <w:sz w:val="24"/>
          <w:szCs w:val="24"/>
          <w:vertAlign w:val="subscript"/>
        </w:rPr>
        <w:t>99.9</w:t>
      </w:r>
      <w:r w:rsidRPr="00A65D9F">
        <w:rPr>
          <w:rFonts w:eastAsia="Times New Roman"/>
          <w:sz w:val="24"/>
          <w:szCs w:val="24"/>
        </w:rPr>
        <w:t xml:space="preserve"> values between indicated temperatures.</w:t>
      </w:r>
    </w:p>
    <w:p w14:paraId="281A5FD9" w14:textId="77777777" w:rsidR="004647B9" w:rsidRPr="00A65D9F" w:rsidRDefault="004647B9" w:rsidP="00AB44F5">
      <w:pPr>
        <w:rPr>
          <w:rFonts w:eastAsia="Times New Roman"/>
          <w:sz w:val="24"/>
          <w:szCs w:val="24"/>
        </w:rPr>
      </w:pPr>
    </w:p>
    <w:p w14:paraId="281A5FDA" w14:textId="77777777" w:rsidR="004647B9" w:rsidRPr="00A65D9F" w:rsidRDefault="00E2436F" w:rsidP="00AB44F5">
      <w:pPr>
        <w:numPr>
          <w:ilvl w:val="1"/>
          <w:numId w:val="595"/>
        </w:numPr>
        <w:tabs>
          <w:tab w:val="left" w:pos="2260"/>
        </w:tabs>
        <w:ind w:left="2260" w:hanging="365"/>
        <w:rPr>
          <w:rFonts w:eastAsia="Times New Roman"/>
          <w:sz w:val="24"/>
          <w:szCs w:val="24"/>
        </w:rPr>
      </w:pPr>
      <w:r w:rsidRPr="00A65D9F">
        <w:rPr>
          <w:rFonts w:eastAsia="Times New Roman"/>
          <w:sz w:val="24"/>
          <w:szCs w:val="24"/>
        </w:rPr>
        <w:t>The total inactivation ratio must be calculated</w:t>
      </w:r>
      <w:r w:rsidRPr="00A65D9F" w:rsidDel="007B206E">
        <w:rPr>
          <w:rFonts w:eastAsia="Times New Roman"/>
          <w:sz w:val="24"/>
          <w:szCs w:val="24"/>
        </w:rPr>
        <w:t xml:space="preserve"> as</w:t>
      </w:r>
      <w:r w:rsidRPr="00A65D9F">
        <w:rPr>
          <w:rFonts w:eastAsia="Times New Roman"/>
          <w:sz w:val="24"/>
          <w:szCs w:val="24"/>
        </w:rPr>
        <w:t xml:space="preserve"> follows:</w:t>
      </w:r>
    </w:p>
    <w:p w14:paraId="281A5FDC" w14:textId="77777777" w:rsidR="004647B9" w:rsidRPr="00A65D9F" w:rsidRDefault="00E2436F" w:rsidP="00AB44F5">
      <w:pPr>
        <w:ind w:left="2260"/>
        <w:jc w:val="both"/>
        <w:rPr>
          <w:rFonts w:eastAsia="Times New Roman"/>
          <w:sz w:val="24"/>
          <w:szCs w:val="24"/>
        </w:rPr>
      </w:pPr>
      <w:r w:rsidRPr="00A65D9F">
        <w:rPr>
          <w:rFonts w:eastAsia="Times New Roman"/>
          <w:sz w:val="24"/>
          <w:szCs w:val="24"/>
        </w:rPr>
        <w:t>a. If the system uses only one Point of Disinfectant Application, the Supplier of Water may determine the total inactivation ratio based on either of the following two methods:</w:t>
      </w:r>
    </w:p>
    <w:p w14:paraId="281A5FDE" w14:textId="712C7E6D" w:rsidR="004647B9" w:rsidRPr="00A65D9F" w:rsidRDefault="00E2436F" w:rsidP="00AB44F5">
      <w:pPr>
        <w:numPr>
          <w:ilvl w:val="3"/>
          <w:numId w:val="595"/>
        </w:numPr>
        <w:tabs>
          <w:tab w:val="left" w:pos="3000"/>
        </w:tabs>
        <w:ind w:left="2621"/>
        <w:rPr>
          <w:rFonts w:eastAsia="Times New Roman"/>
          <w:sz w:val="24"/>
          <w:szCs w:val="24"/>
        </w:rPr>
      </w:pPr>
      <w:r w:rsidRPr="00A65D9F">
        <w:rPr>
          <w:rFonts w:eastAsia="Times New Roman"/>
          <w:sz w:val="24"/>
          <w:szCs w:val="24"/>
        </w:rPr>
        <w:t>One inactiva</w:t>
      </w:r>
      <w:r w:rsidR="007B206E" w:rsidRPr="00A65D9F">
        <w:rPr>
          <w:rFonts w:eastAsia="Times New Roman"/>
          <w:sz w:val="24"/>
          <w:szCs w:val="24"/>
        </w:rPr>
        <w:t>t</w:t>
      </w:r>
      <w:r w:rsidRPr="00A65D9F">
        <w:rPr>
          <w:rFonts w:eastAsia="Times New Roman"/>
          <w:sz w:val="24"/>
          <w:szCs w:val="24"/>
        </w:rPr>
        <w:t>ion ratio (CTcalc/CT</w:t>
      </w:r>
      <w:r w:rsidRPr="00A65D9F">
        <w:rPr>
          <w:rFonts w:eastAsia="Times New Roman"/>
          <w:sz w:val="24"/>
          <w:szCs w:val="24"/>
          <w:vertAlign w:val="subscript"/>
        </w:rPr>
        <w:t>99.9</w:t>
      </w:r>
      <w:r w:rsidRPr="00A65D9F">
        <w:rPr>
          <w:rFonts w:eastAsia="Times New Roman"/>
          <w:sz w:val="24"/>
          <w:szCs w:val="24"/>
        </w:rPr>
        <w:t>) is determined before or at the first</w:t>
      </w:r>
      <w:r w:rsidR="00AB44F5">
        <w:rPr>
          <w:rFonts w:eastAsia="Times New Roman"/>
          <w:sz w:val="24"/>
          <w:szCs w:val="24"/>
        </w:rPr>
        <w:t xml:space="preserve"> </w:t>
      </w:r>
      <w:r w:rsidR="00AB44F5" w:rsidRPr="00A65D9F">
        <w:rPr>
          <w:rFonts w:eastAsia="Times New Roman"/>
          <w:sz w:val="24"/>
          <w:szCs w:val="24"/>
        </w:rPr>
        <w:t>customer during peak hourly flow and if the CTcalc/CT</w:t>
      </w:r>
      <w:r w:rsidR="00AB44F5" w:rsidRPr="00A65D9F">
        <w:rPr>
          <w:rFonts w:eastAsia="Times New Roman"/>
          <w:sz w:val="24"/>
          <w:szCs w:val="24"/>
          <w:vertAlign w:val="subscript"/>
        </w:rPr>
        <w:t>99.9</w:t>
      </w:r>
      <w:r w:rsidR="00AB44F5" w:rsidRPr="00A65D9F">
        <w:rPr>
          <w:rFonts w:eastAsia="Times New Roman"/>
          <w:sz w:val="24"/>
          <w:szCs w:val="24"/>
        </w:rPr>
        <w:t xml:space="preserve"> &gt; 1.0, the 99.9% </w:t>
      </w:r>
      <w:r w:rsidR="00AB44F5" w:rsidRPr="00A65D9F">
        <w:rPr>
          <w:rFonts w:eastAsia="Times New Roman"/>
          <w:i/>
          <w:iCs/>
          <w:sz w:val="24"/>
          <w:szCs w:val="24"/>
        </w:rPr>
        <w:t xml:space="preserve">Giardia lamblia </w:t>
      </w:r>
      <w:r w:rsidR="00AB44F5" w:rsidRPr="00A65D9F">
        <w:rPr>
          <w:rFonts w:eastAsia="Times New Roman"/>
          <w:sz w:val="24"/>
          <w:szCs w:val="24"/>
        </w:rPr>
        <w:t>inactivation requirement has been achieved; or</w:t>
      </w:r>
    </w:p>
    <w:p w14:paraId="281A5FE2" w14:textId="77777777" w:rsidR="004647B9" w:rsidRPr="00A65D9F" w:rsidRDefault="00E2436F" w:rsidP="00AB44F5">
      <w:pPr>
        <w:numPr>
          <w:ilvl w:val="0"/>
          <w:numId w:val="596"/>
        </w:numPr>
        <w:tabs>
          <w:tab w:val="left" w:pos="2963"/>
        </w:tabs>
        <w:ind w:left="2620" w:hanging="5"/>
        <w:jc w:val="both"/>
        <w:rPr>
          <w:rFonts w:eastAsia="Times New Roman"/>
          <w:sz w:val="24"/>
          <w:szCs w:val="24"/>
        </w:rPr>
      </w:pPr>
      <w:r w:rsidRPr="00A65D9F">
        <w:rPr>
          <w:rFonts w:eastAsia="Times New Roman"/>
          <w:sz w:val="24"/>
          <w:szCs w:val="24"/>
        </w:rPr>
        <w:t>Successive CTcalc/CT</w:t>
      </w:r>
      <w:r w:rsidRPr="00A65D9F">
        <w:rPr>
          <w:rFonts w:eastAsia="Times New Roman"/>
          <w:sz w:val="24"/>
          <w:szCs w:val="24"/>
          <w:vertAlign w:val="subscript"/>
        </w:rPr>
        <w:t>99.9</w:t>
      </w:r>
      <w:r w:rsidRPr="00A65D9F">
        <w:rPr>
          <w:rFonts w:eastAsia="Times New Roman"/>
          <w:sz w:val="24"/>
          <w:szCs w:val="24"/>
        </w:rPr>
        <w:t xml:space="preserve"> values, representing sequential inactivation ratios, are determined between the Point of Disinfectant Application and a point before or at the first customer during peak hourly flow. Under this alternative, the following method must be used to calculate the total inactivation ratio:</w:t>
      </w:r>
    </w:p>
    <w:p w14:paraId="281A5FE4" w14:textId="4627C54A" w:rsidR="004647B9" w:rsidRPr="00AB44F5" w:rsidRDefault="00C121AA" w:rsidP="00AB44F5">
      <w:pPr>
        <w:rPr>
          <w:sz w:val="24"/>
          <w:szCs w:val="24"/>
        </w:rPr>
      </w:pPr>
      <w:r w:rsidRPr="00AB44F5">
        <w:rPr>
          <w:noProof/>
          <w:sz w:val="24"/>
          <w:szCs w:val="24"/>
        </w:rPr>
        <mc:AlternateContent>
          <mc:Choice Requires="wpg">
            <w:drawing>
              <wp:anchor distT="0" distB="0" distL="114300" distR="114300" simplePos="0" relativeHeight="251658247" behindDoc="1" locked="0" layoutInCell="1" allowOverlap="1" wp14:anchorId="63FC3A3A" wp14:editId="4421F96B">
                <wp:simplePos x="0" y="0"/>
                <wp:positionH relativeFrom="column">
                  <wp:posOffset>2957111</wp:posOffset>
                </wp:positionH>
                <wp:positionV relativeFrom="paragraph">
                  <wp:posOffset>85665</wp:posOffset>
                </wp:positionV>
                <wp:extent cx="453390" cy="385169"/>
                <wp:effectExtent l="0" t="0" r="3810" b="0"/>
                <wp:wrapNone/>
                <wp:docPr id="22" name="Group 22"/>
                <wp:cNvGraphicFramePr/>
                <a:graphic xmlns:a="http://schemas.openxmlformats.org/drawingml/2006/main">
                  <a:graphicData uri="http://schemas.microsoft.com/office/word/2010/wordprocessingGroup">
                    <wpg:wgp>
                      <wpg:cNvGrpSpPr/>
                      <wpg:grpSpPr>
                        <a:xfrm>
                          <a:off x="0" y="0"/>
                          <a:ext cx="453390" cy="385169"/>
                          <a:chOff x="0" y="0"/>
                          <a:chExt cx="453390" cy="385169"/>
                        </a:xfrm>
                      </wpg:grpSpPr>
                      <pic:pic xmlns:pic="http://schemas.openxmlformats.org/drawingml/2006/picture">
                        <pic:nvPicPr>
                          <pic:cNvPr id="913" name="Picture 913"/>
                          <pic:cNvPicPr>
                            <a:picLocks noChangeAspect="1"/>
                          </pic:cNvPicPr>
                        </pic:nvPicPr>
                        <pic:blipFill>
                          <a:blip r:embed="rId11"/>
                          <a:srcRect/>
                          <a:stretch>
                            <a:fillRect/>
                          </a:stretch>
                        </pic:blipFill>
                        <pic:spPr bwMode="auto">
                          <a:xfrm>
                            <a:off x="0" y="0"/>
                            <a:ext cx="453390" cy="133350"/>
                          </a:xfrm>
                          <a:prstGeom prst="rect">
                            <a:avLst/>
                          </a:prstGeom>
                          <a:noFill/>
                        </pic:spPr>
                      </pic:pic>
                      <pic:pic xmlns:pic="http://schemas.openxmlformats.org/drawingml/2006/picture">
                        <pic:nvPicPr>
                          <pic:cNvPr id="917" name="Picture 917"/>
                          <pic:cNvPicPr>
                            <a:picLocks noChangeAspect="1"/>
                          </pic:cNvPicPr>
                        </pic:nvPicPr>
                        <pic:blipFill>
                          <a:blip r:embed="rId12"/>
                          <a:srcRect/>
                          <a:stretch>
                            <a:fillRect/>
                          </a:stretch>
                        </pic:blipFill>
                        <pic:spPr bwMode="auto">
                          <a:xfrm>
                            <a:off x="31805" y="206734"/>
                            <a:ext cx="379095" cy="178435"/>
                          </a:xfrm>
                          <a:prstGeom prst="rect">
                            <a:avLst/>
                          </a:prstGeom>
                          <a:noFill/>
                        </pic:spPr>
                      </pic:pic>
                    </wpg:wgp>
                  </a:graphicData>
                </a:graphic>
              </wp:anchor>
            </w:drawing>
          </mc:Choice>
          <mc:Fallback>
            <w:pict>
              <v:group w14:anchorId="524045C6" id="Group 22" o:spid="_x0000_s1026" style="position:absolute;margin-left:232.85pt;margin-top:6.75pt;width:35.7pt;height:30.35pt;z-index:-251658233" coordsize="453390,385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3" o:spid="_x0000_s1027" type="#_x0000_t75" style="position:absolute;width:45339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">
                  <v:imagedata r:id="rId18" o:title=""/>
                </v:shape>
                <v:shape id="Picture 917" o:spid="_x0000_s1028" type="#_x0000_t75" style="position:absolute;left:31805;top:206734;width:379095;height:178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">
                  <v:imagedata r:id="rId19" o:title=""/>
                </v:shape>
              </v:group>
            </w:pict>
          </mc:Fallback>
        </mc:AlternateContent>
      </w:r>
    </w:p>
    <w:p w14:paraId="281A5FE5" w14:textId="4BF9B87F" w:rsidR="004647B9" w:rsidRPr="00AB44F5" w:rsidRDefault="00E2436F" w:rsidP="00AB44F5">
      <w:pPr>
        <w:tabs>
          <w:tab w:val="left" w:pos="3360"/>
          <w:tab w:val="left" w:pos="5560"/>
        </w:tabs>
        <w:ind w:left="2980"/>
        <w:rPr>
          <w:sz w:val="24"/>
          <w:szCs w:val="24"/>
        </w:rPr>
      </w:pPr>
      <w:r w:rsidRPr="00AB44F5">
        <w:rPr>
          <w:rFonts w:eastAsia="Times New Roman"/>
          <w:sz w:val="24"/>
          <w:szCs w:val="24"/>
        </w:rPr>
        <w:t>A.</w:t>
      </w:r>
      <w:r w:rsidRPr="00AB44F5">
        <w:rPr>
          <w:rFonts w:eastAsia="Times New Roman"/>
          <w:sz w:val="24"/>
          <w:szCs w:val="24"/>
        </w:rPr>
        <w:tab/>
        <w:t>Determine</w:t>
      </w:r>
      <w:r w:rsidRPr="00AB44F5">
        <w:rPr>
          <w:sz w:val="24"/>
          <w:szCs w:val="24"/>
        </w:rPr>
        <w:tab/>
      </w:r>
      <w:r w:rsidRPr="00AB44F5">
        <w:rPr>
          <w:rFonts w:eastAsia="Times New Roman"/>
          <w:sz w:val="24"/>
          <w:szCs w:val="24"/>
        </w:rPr>
        <w:t>for each sequence.</w:t>
      </w:r>
    </w:p>
    <w:p w14:paraId="281A5FE7" w14:textId="0B6CCCE1" w:rsidR="004647B9" w:rsidRPr="00AB44F5" w:rsidRDefault="00E2436F" w:rsidP="00AB44F5">
      <w:pPr>
        <w:rPr>
          <w:sz w:val="24"/>
          <w:szCs w:val="24"/>
        </w:rPr>
      </w:pPr>
      <w:r w:rsidRPr="00AB44F5">
        <w:rPr>
          <w:noProof/>
          <w:sz w:val="24"/>
          <w:szCs w:val="24"/>
        </w:rPr>
        <mc:AlternateContent>
          <mc:Choice Requires="wps">
            <w:drawing>
              <wp:anchor distT="0" distB="0" distL="114300" distR="114300" simplePos="0" relativeHeight="251658244" behindDoc="1" locked="0" layoutInCell="0" allowOverlap="1" wp14:anchorId="281A802F" wp14:editId="60997B18">
                <wp:simplePos x="0" y="0"/>
                <wp:positionH relativeFrom="column">
                  <wp:posOffset>2931795</wp:posOffset>
                </wp:positionH>
                <wp:positionV relativeFrom="paragraph">
                  <wp:posOffset>-66040</wp:posOffset>
                </wp:positionV>
                <wp:extent cx="477520" cy="0"/>
                <wp:effectExtent l="0" t="0" r="0" b="0"/>
                <wp:wrapNone/>
                <wp:docPr id="916" name="Straight Connector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4763"/>
                        </a:xfrm>
                        <a:prstGeom prst="line">
                          <a:avLst/>
                        </a:prstGeom>
                        <a:solidFill>
                          <a:srgbClr val="FFFFFF"/>
                        </a:solidFill>
                        <a:ln w="18033">
                          <a:solidFill>
                            <a:srgbClr val="000000"/>
                          </a:solidFill>
                          <a:miter lim="800000"/>
                          <a:headEnd/>
                          <a:tailEnd/>
                        </a:ln>
                      </wps:spPr>
                      <wps:bodyPr/>
                    </wps:wsp>
                  </a:graphicData>
                </a:graphic>
              </wp:anchor>
            </w:drawing>
          </mc:Choice>
          <mc:Fallback>
            <w:pict>
              <v:line w14:anchorId="4F0867C8" id="Straight Connector 916" o:spid="_x0000_s1026" style="position:absolute;z-index:-251658236;visibility:visible;mso-wrap-style:square;mso-wrap-distance-left:9pt;mso-wrap-distance-top:0;mso-wrap-distance-right:9pt;mso-wrap-distance-bottom:0;mso-position-horizontal:absolute;mso-position-horizontal-relative:text;mso-position-vertical:absolute;mso-position-vertical-relative:text" from="230.85pt,-5.2pt" to="268.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" o:allowincell="f" filled="t" strokeweight=".50092mm">
                <v:stroke joinstyle="miter"/>
                <o:lock v:ext="edit" shapetype="f"/>
              </v:line>
            </w:pict>
          </mc:Fallback>
        </mc:AlternateContent>
      </w:r>
    </w:p>
    <w:p w14:paraId="6D6D4A58" w14:textId="6ADA409C" w:rsidR="00A55A74" w:rsidRPr="00AB44F5" w:rsidRDefault="00A55A74" w:rsidP="00AB44F5">
      <w:pPr>
        <w:rPr>
          <w:sz w:val="24"/>
          <w:szCs w:val="24"/>
        </w:rPr>
      </w:pPr>
    </w:p>
    <w:p w14:paraId="281A5FEC" w14:textId="0C532EC3" w:rsidR="004647B9" w:rsidRPr="00AB44F5" w:rsidRDefault="004647B9" w:rsidP="00AB44F5">
      <w:pPr>
        <w:rPr>
          <w:sz w:val="24"/>
          <w:szCs w:val="24"/>
        </w:rPr>
      </w:pPr>
    </w:p>
    <w:p w14:paraId="281A5FED" w14:textId="259A44D9" w:rsidR="004647B9" w:rsidRPr="00AB44F5" w:rsidRDefault="00AB44F5" w:rsidP="00AB44F5">
      <w:pPr>
        <w:rPr>
          <w:sz w:val="24"/>
          <w:szCs w:val="24"/>
        </w:rPr>
      </w:pPr>
      <w:r w:rsidRPr="00AB44F5">
        <w:rPr>
          <w:rFonts w:eastAsia="Times New Roman"/>
          <w:noProof/>
          <w:sz w:val="24"/>
          <w:szCs w:val="24"/>
        </w:rPr>
        <mc:AlternateContent>
          <mc:Choice Requires="wpg">
            <w:drawing>
              <wp:anchor distT="0" distB="0" distL="114300" distR="114300" simplePos="0" relativeHeight="251658249" behindDoc="1" locked="0" layoutInCell="1" allowOverlap="1" wp14:anchorId="35174A8D" wp14:editId="1BD0A303">
                <wp:simplePos x="0" y="0"/>
                <wp:positionH relativeFrom="column">
                  <wp:posOffset>4605655</wp:posOffset>
                </wp:positionH>
                <wp:positionV relativeFrom="paragraph">
                  <wp:posOffset>104775</wp:posOffset>
                </wp:positionV>
                <wp:extent cx="577850" cy="384810"/>
                <wp:effectExtent l="0" t="0" r="0" b="0"/>
                <wp:wrapNone/>
                <wp:docPr id="21" name="Group 21"/>
                <wp:cNvGraphicFramePr/>
                <a:graphic xmlns:a="http://schemas.openxmlformats.org/drawingml/2006/main">
                  <a:graphicData uri="http://schemas.microsoft.com/office/word/2010/wordprocessingGroup">
                    <wpg:wgp>
                      <wpg:cNvGrpSpPr/>
                      <wpg:grpSpPr>
                        <a:xfrm>
                          <a:off x="0" y="0"/>
                          <a:ext cx="577850" cy="384810"/>
                          <a:chOff x="0" y="0"/>
                          <a:chExt cx="577850" cy="385169"/>
                        </a:xfrm>
                      </wpg:grpSpPr>
                      <pic:pic xmlns:pic="http://schemas.openxmlformats.org/drawingml/2006/picture">
                        <pic:nvPicPr>
                          <pic:cNvPr id="914" name="Picture 914"/>
                          <pic:cNvPicPr>
                            <a:picLocks noChangeAspect="1"/>
                          </pic:cNvPicPr>
                        </pic:nvPicPr>
                        <pic:blipFill>
                          <a:blip r:embed="rId20"/>
                          <a:srcRect/>
                          <a:stretch>
                            <a:fillRect/>
                          </a:stretch>
                        </pic:blipFill>
                        <pic:spPr bwMode="auto">
                          <a:xfrm>
                            <a:off x="0" y="0"/>
                            <a:ext cx="577850" cy="179070"/>
                          </a:xfrm>
                          <a:prstGeom prst="rect">
                            <a:avLst/>
                          </a:prstGeom>
                          <a:noFill/>
                        </pic:spPr>
                      </pic:pic>
                      <pic:pic xmlns:pic="http://schemas.openxmlformats.org/drawingml/2006/picture">
                        <pic:nvPicPr>
                          <pic:cNvPr id="20" name="Picture 20"/>
                          <pic:cNvPicPr>
                            <a:picLocks noChangeAspect="1"/>
                          </pic:cNvPicPr>
                        </pic:nvPicPr>
                        <pic:blipFill>
                          <a:blip r:embed="rId12"/>
                          <a:srcRect/>
                          <a:stretch>
                            <a:fillRect/>
                          </a:stretch>
                        </pic:blipFill>
                        <pic:spPr bwMode="auto">
                          <a:xfrm>
                            <a:off x="119270" y="206734"/>
                            <a:ext cx="379095" cy="178435"/>
                          </a:xfrm>
                          <a:prstGeom prst="rect">
                            <a:avLst/>
                          </a:prstGeom>
                          <a:noFill/>
                        </pic:spPr>
                      </pic:pic>
                    </wpg:wgp>
                  </a:graphicData>
                </a:graphic>
              </wp:anchor>
            </w:drawing>
          </mc:Choice>
          <mc:Fallback>
            <w:pict>
              <v:group w14:anchorId="3E15780E" id="Group 21" o:spid="_x0000_s1026" style="position:absolute;margin-left:362.65pt;margin-top:8.25pt;width:45.5pt;height:30.3pt;z-index:-251658231" coordsize="5778,3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">
                <v:shape id="Picture 914" o:spid="_x0000_s1027" type="#_x0000_t75" style="position:absolute;width:5778;height:1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">
                  <v:imagedata r:id="rId21" o:title=""/>
                </v:shape>
                <v:shape id="Picture 20" o:spid="_x0000_s1028" type="#_x0000_t75" style="position:absolute;left:1192;top:2067;width:3791;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">
                  <v:imagedata r:id="rId19" o:title=""/>
                </v:shape>
              </v:group>
            </w:pict>
          </mc:Fallback>
        </mc:AlternateContent>
      </w:r>
      <w:r w:rsidRPr="00AB44F5">
        <w:rPr>
          <w:noProof/>
          <w:sz w:val="24"/>
          <w:szCs w:val="24"/>
        </w:rPr>
        <mc:AlternateContent>
          <mc:Choice Requires="wpg">
            <w:drawing>
              <wp:anchor distT="0" distB="0" distL="114300" distR="114300" simplePos="0" relativeHeight="251658248" behindDoc="0" locked="0" layoutInCell="1" allowOverlap="1" wp14:anchorId="4C954C99" wp14:editId="1008B22E">
                <wp:simplePos x="0" y="0"/>
                <wp:positionH relativeFrom="column">
                  <wp:posOffset>2734310</wp:posOffset>
                </wp:positionH>
                <wp:positionV relativeFrom="paragraph">
                  <wp:posOffset>108585</wp:posOffset>
                </wp:positionV>
                <wp:extent cx="540385" cy="384810"/>
                <wp:effectExtent l="0" t="0" r="31115" b="0"/>
                <wp:wrapNone/>
                <wp:docPr id="29" name="Group 29"/>
                <wp:cNvGraphicFramePr/>
                <a:graphic xmlns:a="http://schemas.openxmlformats.org/drawingml/2006/main">
                  <a:graphicData uri="http://schemas.microsoft.com/office/word/2010/wordprocessingGroup">
                    <wpg:wgp>
                      <wpg:cNvGrpSpPr/>
                      <wpg:grpSpPr>
                        <a:xfrm>
                          <a:off x="0" y="0"/>
                          <a:ext cx="540385" cy="384810"/>
                          <a:chOff x="0" y="0"/>
                          <a:chExt cx="540688" cy="385169"/>
                        </a:xfrm>
                      </wpg:grpSpPr>
                      <wpg:grpSp>
                        <wpg:cNvPr id="28" name="Group 28"/>
                        <wpg:cNvGrpSpPr/>
                        <wpg:grpSpPr>
                          <a:xfrm>
                            <a:off x="39756" y="0"/>
                            <a:ext cx="453390" cy="385169"/>
                            <a:chOff x="0" y="0"/>
                            <a:chExt cx="453390" cy="385169"/>
                          </a:xfrm>
                        </wpg:grpSpPr>
                        <pic:pic xmlns:pic="http://schemas.openxmlformats.org/drawingml/2006/picture">
                          <pic:nvPicPr>
                            <pic:cNvPr id="24" name="Picture 24"/>
                            <pic:cNvPicPr>
                              <a:picLocks noChangeAspect="1"/>
                            </pic:cNvPicPr>
                          </pic:nvPicPr>
                          <pic:blipFill>
                            <a:blip r:embed="rId11"/>
                            <a:srcRect/>
                            <a:stretch>
                              <a:fillRect/>
                            </a:stretch>
                          </pic:blipFill>
                          <pic:spPr bwMode="auto">
                            <a:xfrm>
                              <a:off x="0" y="0"/>
                              <a:ext cx="453390" cy="133350"/>
                            </a:xfrm>
                            <a:prstGeom prst="rect">
                              <a:avLst/>
                            </a:prstGeom>
                            <a:noFill/>
                          </pic:spPr>
                        </pic:pic>
                        <pic:pic xmlns:pic="http://schemas.openxmlformats.org/drawingml/2006/picture">
                          <pic:nvPicPr>
                            <pic:cNvPr id="25" name="Picture 25"/>
                            <pic:cNvPicPr>
                              <a:picLocks noChangeAspect="1"/>
                            </pic:cNvPicPr>
                          </pic:nvPicPr>
                          <pic:blipFill>
                            <a:blip r:embed="rId12"/>
                            <a:srcRect/>
                            <a:stretch>
                              <a:fillRect/>
                            </a:stretch>
                          </pic:blipFill>
                          <pic:spPr bwMode="auto">
                            <a:xfrm>
                              <a:off x="31805" y="206734"/>
                              <a:ext cx="379095" cy="178435"/>
                            </a:xfrm>
                            <a:prstGeom prst="rect">
                              <a:avLst/>
                            </a:prstGeom>
                            <a:noFill/>
                          </pic:spPr>
                        </pic:pic>
                      </wpg:grpSp>
                      <wps:wsp>
                        <wps:cNvPr id="27" name="Straight Connector 27"/>
                        <wps:cNvCnPr/>
                        <wps:spPr>
                          <a:xfrm>
                            <a:off x="0" y="166978"/>
                            <a:ext cx="540688" cy="0"/>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D63E8CC" id="Group 29" o:spid="_x0000_s1026" style="position:absolute;margin-left:215.3pt;margin-top:8.55pt;width:42.55pt;height:30.3pt;z-index:251658248" coordsize="5406,3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">
                <v:group id="Group 28" o:spid="_x0000_s1027" style="position:absolute;left:397;width:4534;height:3851" coordsize="453390,38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24" o:spid="_x0000_s1028" type="#_x0000_t75" style="position:absolute;width:45339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">
                    <v:imagedata r:id="rId18" o:title=""/>
                  </v:shape>
                  <v:shape id="Picture 25" o:spid="_x0000_s1029" type="#_x0000_t75" style="position:absolute;left:31805;top:206734;width:379095;height:178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">
                    <v:imagedata r:id="rId19" o:title=""/>
                  </v:shape>
                </v:group>
                <v:line id="Straight Connector 27" o:spid="_x0000_s1030" style="position:absolute;visibility:visible;mso-wrap-style:square" from="0,1669" to="5406,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" strokecolor="black [3040]" strokeweight="1.5pt"/>
              </v:group>
            </w:pict>
          </mc:Fallback>
        </mc:AlternateContent>
      </w:r>
    </w:p>
    <w:p w14:paraId="7E7B9405" w14:textId="44199C9E" w:rsidR="001D5529" w:rsidRPr="00AB44F5" w:rsidRDefault="001D5529" w:rsidP="00AB44F5">
      <w:pPr>
        <w:tabs>
          <w:tab w:val="left" w:pos="3360"/>
          <w:tab w:val="left" w:pos="5310"/>
          <w:tab w:val="left" w:pos="8460"/>
        </w:tabs>
        <w:ind w:left="2980"/>
        <w:rPr>
          <w:rFonts w:eastAsia="Times New Roman"/>
          <w:sz w:val="24"/>
          <w:szCs w:val="24"/>
        </w:rPr>
      </w:pPr>
      <w:r w:rsidRPr="00AB44F5">
        <w:rPr>
          <w:rFonts w:eastAsia="Times New Roman"/>
          <w:sz w:val="24"/>
          <w:szCs w:val="24"/>
        </w:rPr>
        <w:t>B.</w:t>
      </w:r>
      <w:r w:rsidRPr="00AB44F5">
        <w:rPr>
          <w:rFonts w:eastAsia="Times New Roman"/>
          <w:sz w:val="24"/>
          <w:szCs w:val="24"/>
        </w:rPr>
        <w:tab/>
        <w:t>Add the</w:t>
      </w:r>
      <w:r w:rsidRPr="00AB44F5">
        <w:rPr>
          <w:rFonts w:eastAsia="Times New Roman"/>
          <w:sz w:val="24"/>
          <w:szCs w:val="24"/>
        </w:rPr>
        <w:tab/>
        <w:t>values together ∑</w:t>
      </w:r>
      <w:r w:rsidR="00E1121A" w:rsidRPr="00AB44F5">
        <w:rPr>
          <w:rFonts w:eastAsia="Times New Roman"/>
          <w:sz w:val="24"/>
          <w:szCs w:val="24"/>
        </w:rPr>
        <w:tab/>
      </w:r>
    </w:p>
    <w:p w14:paraId="281A5FEE" w14:textId="5F42ED45" w:rsidR="004647B9" w:rsidRPr="00AB44F5" w:rsidRDefault="004647B9" w:rsidP="00AB44F5">
      <w:pPr>
        <w:rPr>
          <w:sz w:val="24"/>
          <w:szCs w:val="24"/>
        </w:rPr>
      </w:pPr>
    </w:p>
    <w:p w14:paraId="281A5FEF" w14:textId="1393AA27" w:rsidR="004647B9" w:rsidRPr="00AB44F5" w:rsidRDefault="004647B9" w:rsidP="00AB44F5">
      <w:pPr>
        <w:rPr>
          <w:sz w:val="24"/>
          <w:szCs w:val="24"/>
        </w:rPr>
      </w:pPr>
    </w:p>
    <w:p w14:paraId="281A5FF0" w14:textId="4EA2B62E" w:rsidR="004647B9" w:rsidRPr="00AB44F5" w:rsidRDefault="004647B9" w:rsidP="00AB44F5">
      <w:pPr>
        <w:rPr>
          <w:sz w:val="24"/>
          <w:szCs w:val="24"/>
        </w:rPr>
      </w:pPr>
    </w:p>
    <w:p w14:paraId="281A5FF1" w14:textId="65DA2AD0" w:rsidR="004647B9" w:rsidRPr="00AB44F5" w:rsidRDefault="00886027" w:rsidP="00AB44F5">
      <w:pPr>
        <w:rPr>
          <w:sz w:val="24"/>
          <w:szCs w:val="24"/>
        </w:rPr>
      </w:pPr>
      <w:r w:rsidRPr="00AB44F5">
        <w:rPr>
          <w:rFonts w:eastAsia="Times New Roman"/>
          <w:noProof/>
          <w:sz w:val="24"/>
          <w:szCs w:val="24"/>
        </w:rPr>
        <mc:AlternateContent>
          <mc:Choice Requires="wpg">
            <w:drawing>
              <wp:anchor distT="0" distB="0" distL="114300" distR="114300" simplePos="0" relativeHeight="251658250" behindDoc="1" locked="0" layoutInCell="1" allowOverlap="1" wp14:anchorId="1425C8B9" wp14:editId="5B6B1D35">
                <wp:simplePos x="0" y="0"/>
                <wp:positionH relativeFrom="column">
                  <wp:posOffset>2508250</wp:posOffset>
                </wp:positionH>
                <wp:positionV relativeFrom="paragraph">
                  <wp:posOffset>112395</wp:posOffset>
                </wp:positionV>
                <wp:extent cx="577850" cy="384810"/>
                <wp:effectExtent l="0" t="0" r="0" b="0"/>
                <wp:wrapNone/>
                <wp:docPr id="30" name="Group 30"/>
                <wp:cNvGraphicFramePr/>
                <a:graphic xmlns:a="http://schemas.openxmlformats.org/drawingml/2006/main">
                  <a:graphicData uri="http://schemas.microsoft.com/office/word/2010/wordprocessingGroup">
                    <wpg:wgp>
                      <wpg:cNvGrpSpPr/>
                      <wpg:grpSpPr>
                        <a:xfrm>
                          <a:off x="0" y="0"/>
                          <a:ext cx="577850" cy="384810"/>
                          <a:chOff x="0" y="0"/>
                          <a:chExt cx="577850" cy="385169"/>
                        </a:xfrm>
                      </wpg:grpSpPr>
                      <pic:pic xmlns:pic="http://schemas.openxmlformats.org/drawingml/2006/picture">
                        <pic:nvPicPr>
                          <pic:cNvPr id="31" name="Picture 31"/>
                          <pic:cNvPicPr>
                            <a:picLocks noChangeAspect="1"/>
                          </pic:cNvPicPr>
                        </pic:nvPicPr>
                        <pic:blipFill>
                          <a:blip r:embed="rId20"/>
                          <a:srcRect/>
                          <a:stretch>
                            <a:fillRect/>
                          </a:stretch>
                        </pic:blipFill>
                        <pic:spPr bwMode="auto">
                          <a:xfrm>
                            <a:off x="0" y="0"/>
                            <a:ext cx="577850" cy="179070"/>
                          </a:xfrm>
                          <a:prstGeom prst="rect">
                            <a:avLst/>
                          </a:prstGeom>
                          <a:noFill/>
                        </pic:spPr>
                      </pic:pic>
                      <pic:pic xmlns:pic="http://schemas.openxmlformats.org/drawingml/2006/picture">
                        <pic:nvPicPr>
                          <pic:cNvPr id="32" name="Picture 32"/>
                          <pic:cNvPicPr>
                            <a:picLocks noChangeAspect="1"/>
                          </pic:cNvPicPr>
                        </pic:nvPicPr>
                        <pic:blipFill>
                          <a:blip r:embed="rId12"/>
                          <a:srcRect/>
                          <a:stretch>
                            <a:fillRect/>
                          </a:stretch>
                        </pic:blipFill>
                        <pic:spPr bwMode="auto">
                          <a:xfrm>
                            <a:off x="119270" y="206734"/>
                            <a:ext cx="379095" cy="178435"/>
                          </a:xfrm>
                          <a:prstGeom prst="rect">
                            <a:avLst/>
                          </a:prstGeom>
                          <a:noFill/>
                        </pic:spPr>
                      </pic:pic>
                    </wpg:wgp>
                  </a:graphicData>
                </a:graphic>
              </wp:anchor>
            </w:drawing>
          </mc:Choice>
          <mc:Fallback>
            <w:pict>
              <v:group w14:anchorId="3A93BCA7" id="Group 30" o:spid="_x0000_s1026" style="position:absolute;margin-left:197.5pt;margin-top:8.85pt;width:45.5pt;height:30.3pt;z-index:-251658230" coordsize="5778,3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">
                <v:shape id="Picture 31" o:spid="_x0000_s1027" type="#_x0000_t75" style="position:absolute;width:5778;height:1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">
                  <v:imagedata r:id="rId21" o:title=""/>
                </v:shape>
                <v:shape id="Picture 32" o:spid="_x0000_s1028" type="#_x0000_t75" style="position:absolute;left:1192;top:2067;width:3791;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">
                  <v:imagedata r:id="rId19" o:title=""/>
                </v:shape>
              </v:group>
            </w:pict>
          </mc:Fallback>
        </mc:AlternateContent>
      </w:r>
    </w:p>
    <w:p w14:paraId="281A5FF2" w14:textId="28CD44EE" w:rsidR="004647B9" w:rsidRPr="00AB44F5" w:rsidRDefault="00E2436F" w:rsidP="00AB44F5">
      <w:pPr>
        <w:tabs>
          <w:tab w:val="left" w:pos="3340"/>
          <w:tab w:val="left" w:pos="5310"/>
        </w:tabs>
        <w:ind w:left="2980"/>
        <w:rPr>
          <w:sz w:val="24"/>
          <w:szCs w:val="24"/>
        </w:rPr>
      </w:pPr>
      <w:r w:rsidRPr="00AB44F5">
        <w:rPr>
          <w:rFonts w:eastAsia="Times New Roman"/>
          <w:sz w:val="24"/>
          <w:szCs w:val="24"/>
        </w:rPr>
        <w:t>C.</w:t>
      </w:r>
      <w:r w:rsidRPr="00AB44F5">
        <w:rPr>
          <w:rFonts w:eastAsia="Times New Roman"/>
          <w:sz w:val="24"/>
          <w:szCs w:val="24"/>
        </w:rPr>
        <w:tab/>
        <w:t xml:space="preserve">If </w:t>
      </w:r>
      <w:r w:rsidR="00E1121A" w:rsidRPr="00AB44F5">
        <w:rPr>
          <w:rFonts w:eastAsia="Times New Roman"/>
          <w:sz w:val="24"/>
          <w:szCs w:val="24"/>
        </w:rPr>
        <w:t>∑</w:t>
      </w:r>
      <w:r w:rsidR="00F30D8F" w:rsidRPr="00AB44F5">
        <w:rPr>
          <w:rFonts w:eastAsia="Times New Roman"/>
          <w:sz w:val="24"/>
          <w:szCs w:val="24"/>
        </w:rPr>
        <w:tab/>
        <w:t>≥ 1.0</w:t>
      </w:r>
      <w:r w:rsidRPr="00AB44F5">
        <w:rPr>
          <w:rFonts w:eastAsia="Times New Roman"/>
          <w:sz w:val="24"/>
          <w:szCs w:val="24"/>
        </w:rPr>
        <w:t xml:space="preserve">, then the 99.9% </w:t>
      </w:r>
      <w:r w:rsidRPr="00AB44F5">
        <w:rPr>
          <w:rFonts w:eastAsia="Times New Roman"/>
          <w:i/>
          <w:iCs/>
          <w:sz w:val="24"/>
          <w:szCs w:val="24"/>
        </w:rPr>
        <w:t>Giardia lamblia</w:t>
      </w:r>
      <w:r w:rsidRPr="00AB44F5">
        <w:rPr>
          <w:rFonts w:eastAsia="Times New Roman"/>
          <w:sz w:val="24"/>
          <w:szCs w:val="24"/>
        </w:rPr>
        <w:t xml:space="preserve"> inactivation</w:t>
      </w:r>
    </w:p>
    <w:p w14:paraId="5F3DCD02" w14:textId="77777777" w:rsidR="00FF7719" w:rsidRPr="00AB44F5" w:rsidRDefault="00FF7719" w:rsidP="00AB44F5">
      <w:pPr>
        <w:ind w:left="2980"/>
        <w:rPr>
          <w:rFonts w:eastAsia="Times New Roman"/>
          <w:sz w:val="24"/>
          <w:szCs w:val="24"/>
        </w:rPr>
      </w:pPr>
    </w:p>
    <w:p w14:paraId="281A5FF6" w14:textId="3B08E4C9" w:rsidR="004647B9" w:rsidRPr="00AB44F5" w:rsidRDefault="00E2436F" w:rsidP="00AB44F5">
      <w:pPr>
        <w:ind w:left="2980"/>
        <w:rPr>
          <w:sz w:val="24"/>
          <w:szCs w:val="24"/>
        </w:rPr>
      </w:pPr>
      <w:r w:rsidRPr="00AB44F5">
        <w:rPr>
          <w:rFonts w:eastAsia="Times New Roman"/>
          <w:sz w:val="24"/>
          <w:szCs w:val="24"/>
        </w:rPr>
        <w:t>requirement has been achieved.</w:t>
      </w:r>
    </w:p>
    <w:p w14:paraId="281A5FF9" w14:textId="77777777" w:rsidR="004647B9" w:rsidRPr="00AB44F5" w:rsidRDefault="00E2436F" w:rsidP="00AB44F5">
      <w:pPr>
        <w:numPr>
          <w:ilvl w:val="0"/>
          <w:numId w:val="597"/>
        </w:numPr>
        <w:tabs>
          <w:tab w:val="left" w:pos="2627"/>
        </w:tabs>
        <w:ind w:left="2260" w:hanging="5"/>
        <w:jc w:val="both"/>
        <w:rPr>
          <w:rFonts w:eastAsia="Times New Roman"/>
          <w:sz w:val="24"/>
          <w:szCs w:val="24"/>
        </w:rPr>
      </w:pPr>
      <w:r w:rsidRPr="00AB44F5">
        <w:rPr>
          <w:rFonts w:eastAsia="Times New Roman"/>
          <w:sz w:val="24"/>
          <w:szCs w:val="24"/>
        </w:rPr>
        <w:t>If the system uses more than one Point of Disinfectant Application before or at the first customer, the Supplier of Water must determine the CT value of each Disinfection sequence immediately prior to the next Point of Disinfectant Application during peak hourly flow. The CT</w:t>
      </w:r>
      <w:r w:rsidRPr="00AB44F5">
        <w:rPr>
          <w:rFonts w:eastAsia="Times New Roman"/>
          <w:sz w:val="24"/>
          <w:szCs w:val="24"/>
          <w:vertAlign w:val="subscript"/>
        </w:rPr>
        <w:t>calc</w:t>
      </w:r>
      <w:r w:rsidRPr="00AB44F5">
        <w:rPr>
          <w:rFonts w:eastAsia="Times New Roman"/>
          <w:sz w:val="24"/>
          <w:szCs w:val="24"/>
        </w:rPr>
        <w:t>/CT</w:t>
      </w:r>
      <w:r w:rsidRPr="00AB44F5">
        <w:rPr>
          <w:rFonts w:eastAsia="Times New Roman"/>
          <w:sz w:val="24"/>
          <w:szCs w:val="24"/>
          <w:vertAlign w:val="subscript"/>
        </w:rPr>
        <w:t>99.9</w:t>
      </w:r>
      <w:r w:rsidRPr="00AB44F5">
        <w:rPr>
          <w:rFonts w:eastAsia="Times New Roman"/>
          <w:sz w:val="24"/>
          <w:szCs w:val="24"/>
        </w:rPr>
        <w:t xml:space="preserve"> value of each sequence and</w:t>
      </w:r>
    </w:p>
    <w:p w14:paraId="281A5FFA" w14:textId="5CB71401" w:rsidR="004647B9" w:rsidRPr="00AB44F5" w:rsidRDefault="00D356E2" w:rsidP="00AB44F5">
      <w:pPr>
        <w:rPr>
          <w:sz w:val="24"/>
          <w:szCs w:val="24"/>
        </w:rPr>
      </w:pPr>
      <w:r w:rsidRPr="00AB44F5">
        <w:rPr>
          <w:noProof/>
          <w:sz w:val="24"/>
          <w:szCs w:val="24"/>
        </w:rPr>
        <w:drawing>
          <wp:anchor distT="0" distB="0" distL="114300" distR="114300" simplePos="0" relativeHeight="251658251" behindDoc="1" locked="0" layoutInCell="0" allowOverlap="1" wp14:anchorId="27A82162" wp14:editId="3377228C">
            <wp:simplePos x="0" y="0"/>
            <wp:positionH relativeFrom="column">
              <wp:posOffset>3017496</wp:posOffset>
            </wp:positionH>
            <wp:positionV relativeFrom="paragraph">
              <wp:posOffset>59750</wp:posOffset>
            </wp:positionV>
            <wp:extent cx="453390" cy="133350"/>
            <wp:effectExtent l="0" t="0" r="0" b="0"/>
            <wp:wrapNone/>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1"/>
                    <a:srcRect/>
                    <a:stretch>
                      <a:fillRect/>
                    </a:stretch>
                  </pic:blipFill>
                  <pic:spPr bwMode="auto">
                    <a:xfrm>
                      <a:off x="0" y="0"/>
                      <a:ext cx="453390" cy="133350"/>
                    </a:xfrm>
                    <a:prstGeom prst="rect">
                      <a:avLst/>
                    </a:prstGeom>
                    <a:noFill/>
                  </pic:spPr>
                </pic:pic>
              </a:graphicData>
            </a:graphic>
          </wp:anchor>
        </w:drawing>
      </w:r>
      <w:r w:rsidR="00E2436F" w:rsidRPr="00AB44F5">
        <w:rPr>
          <w:noProof/>
          <w:sz w:val="24"/>
          <w:szCs w:val="24"/>
        </w:rPr>
        <mc:AlternateContent>
          <mc:Choice Requires="wps">
            <w:drawing>
              <wp:anchor distT="0" distB="0" distL="114300" distR="114300" simplePos="0" relativeHeight="251658245" behindDoc="1" locked="0" layoutInCell="0" allowOverlap="1" wp14:anchorId="281A8047" wp14:editId="30AF1188">
                <wp:simplePos x="0" y="0"/>
                <wp:positionH relativeFrom="column">
                  <wp:posOffset>3000375</wp:posOffset>
                </wp:positionH>
                <wp:positionV relativeFrom="paragraph">
                  <wp:posOffset>236855</wp:posOffset>
                </wp:positionV>
                <wp:extent cx="477520" cy="0"/>
                <wp:effectExtent l="0" t="0" r="0" b="0"/>
                <wp:wrapNone/>
                <wp:docPr id="928" name="Straight Connector 9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4763"/>
                        </a:xfrm>
                        <a:prstGeom prst="line">
                          <a:avLst/>
                        </a:prstGeom>
                        <a:solidFill>
                          <a:srgbClr val="FFFFFF"/>
                        </a:solidFill>
                        <a:ln w="18034">
                          <a:solidFill>
                            <a:srgbClr val="000000"/>
                          </a:solidFill>
                          <a:miter lim="800000"/>
                          <a:headEnd/>
                          <a:tailEnd/>
                        </a:ln>
                      </wps:spPr>
                      <wps:bodyPr/>
                    </wps:wsp>
                  </a:graphicData>
                </a:graphic>
              </wp:anchor>
            </w:drawing>
          </mc:Choice>
          <mc:Fallback>
            <w:pict>
              <v:line w14:anchorId="2B197B75" id="Straight Connector 928" o:spid="_x0000_s1026" style="position:absolute;z-index:-251658235;visibility:visible;mso-wrap-style:square;mso-wrap-distance-left:9pt;mso-wrap-distance-top:0;mso-wrap-distance-right:9pt;mso-wrap-distance-bottom:0;mso-position-horizontal:absolute;mso-position-horizontal-relative:text;mso-position-vertical:absolute;mso-position-vertical-relative:text" from="236.25pt,18.65pt" to="273.8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" o:allowincell="f" filled="t" strokeweight="1.42pt">
                <v:stroke joinstyle="miter"/>
                <o:lock v:ext="edit" shapetype="f"/>
              </v:line>
            </w:pict>
          </mc:Fallback>
        </mc:AlternateContent>
      </w:r>
    </w:p>
    <w:p w14:paraId="281A5FFB" w14:textId="4761F4DD" w:rsidR="004647B9" w:rsidRPr="00AB44F5" w:rsidRDefault="00813FB0" w:rsidP="00AB44F5">
      <w:pPr>
        <w:rPr>
          <w:sz w:val="24"/>
          <w:szCs w:val="24"/>
        </w:rPr>
      </w:pPr>
      <w:r w:rsidRPr="00AB44F5">
        <w:rPr>
          <w:noProof/>
          <w:sz w:val="24"/>
          <w:szCs w:val="24"/>
        </w:rPr>
        <w:drawing>
          <wp:anchor distT="0" distB="0" distL="114300" distR="114300" simplePos="0" relativeHeight="251658252" behindDoc="1" locked="0" layoutInCell="0" allowOverlap="1" wp14:anchorId="6FE495FA" wp14:editId="351837B9">
            <wp:simplePos x="0" y="0"/>
            <wp:positionH relativeFrom="column">
              <wp:posOffset>3039481</wp:posOffset>
            </wp:positionH>
            <wp:positionV relativeFrom="paragraph">
              <wp:posOffset>126365</wp:posOffset>
            </wp:positionV>
            <wp:extent cx="379095" cy="178435"/>
            <wp:effectExtent l="0" t="0" r="1905" b="0"/>
            <wp:wrapNone/>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12"/>
                    <a:srcRect/>
                    <a:stretch>
                      <a:fillRect/>
                    </a:stretch>
                  </pic:blipFill>
                  <pic:spPr bwMode="auto">
                    <a:xfrm>
                      <a:off x="0" y="0"/>
                      <a:ext cx="379095" cy="178435"/>
                    </a:xfrm>
                    <a:prstGeom prst="rect">
                      <a:avLst/>
                    </a:prstGeom>
                    <a:noFill/>
                  </pic:spPr>
                </pic:pic>
              </a:graphicData>
            </a:graphic>
          </wp:anchor>
        </w:drawing>
      </w:r>
    </w:p>
    <w:p w14:paraId="281A5FFC" w14:textId="26272923" w:rsidR="004647B9" w:rsidRPr="00AB44F5" w:rsidRDefault="004647B9" w:rsidP="00AB44F5">
      <w:pPr>
        <w:rPr>
          <w:sz w:val="24"/>
          <w:szCs w:val="24"/>
        </w:rPr>
      </w:pPr>
    </w:p>
    <w:p w14:paraId="281A5FFD" w14:textId="77777777" w:rsidR="004647B9" w:rsidRPr="00AB44F5" w:rsidRDefault="004647B9" w:rsidP="00AB44F5">
      <w:pPr>
        <w:rPr>
          <w:sz w:val="24"/>
          <w:szCs w:val="24"/>
        </w:rPr>
      </w:pPr>
    </w:p>
    <w:p w14:paraId="281A6000" w14:textId="77777777" w:rsidR="004647B9" w:rsidRDefault="00E2436F" w:rsidP="00AB44F5">
      <w:pPr>
        <w:ind w:left="2260"/>
        <w:rPr>
          <w:sz w:val="20"/>
          <w:szCs w:val="20"/>
        </w:rPr>
      </w:pPr>
      <w:r>
        <w:rPr>
          <w:rFonts w:eastAsia="Times New Roman"/>
          <w:sz w:val="24"/>
          <w:szCs w:val="24"/>
        </w:rPr>
        <w:t>must be calculated using the method in 310 CMR 22.20A(5)(b)4.a.ii. to determine if the Supplier of Water is in compliance with 310 CMR 22.20A(3)(a).</w:t>
      </w:r>
    </w:p>
    <w:p w14:paraId="281A6002" w14:textId="77777777" w:rsidR="004647B9" w:rsidRDefault="00E2436F" w:rsidP="00AB44F5">
      <w:pPr>
        <w:numPr>
          <w:ilvl w:val="0"/>
          <w:numId w:val="598"/>
        </w:numPr>
        <w:tabs>
          <w:tab w:val="left" w:pos="2650"/>
        </w:tabs>
        <w:ind w:left="2260" w:hanging="5"/>
        <w:rPr>
          <w:rFonts w:eastAsia="Times New Roman"/>
          <w:sz w:val="24"/>
          <w:szCs w:val="24"/>
        </w:rPr>
      </w:pPr>
      <w:r>
        <w:rPr>
          <w:rFonts w:eastAsia="Times New Roman"/>
          <w:sz w:val="24"/>
          <w:szCs w:val="24"/>
        </w:rPr>
        <w:t>Although not required, the total percent inactivation for a system with one or more points of Residual Disinfectant Concentration following equation:</w:t>
      </w:r>
    </w:p>
    <w:p w14:paraId="281A6003" w14:textId="6CF70EFC" w:rsidR="004647B9" w:rsidRDefault="00A406D3" w:rsidP="00AB44F5">
      <w:pPr>
        <w:rPr>
          <w:sz w:val="20"/>
          <w:szCs w:val="20"/>
        </w:rPr>
      </w:pPr>
      <w:r>
        <w:rPr>
          <w:noProof/>
          <w:sz w:val="20"/>
          <w:szCs w:val="20"/>
        </w:rPr>
        <w:drawing>
          <wp:anchor distT="0" distB="0" distL="114300" distR="114300" simplePos="0" relativeHeight="251658253" behindDoc="1" locked="0" layoutInCell="0" allowOverlap="1" wp14:anchorId="5D06D8A0" wp14:editId="09E2F2E9">
            <wp:simplePos x="0" y="0"/>
            <wp:positionH relativeFrom="column">
              <wp:posOffset>2130725</wp:posOffset>
            </wp:positionH>
            <wp:positionV relativeFrom="paragraph">
              <wp:posOffset>137388</wp:posOffset>
            </wp:positionV>
            <wp:extent cx="2247265" cy="805180"/>
            <wp:effectExtent l="0" t="0" r="0" b="0"/>
            <wp:wrapNone/>
            <wp:docPr id="931" name="Picture 93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Picture 931" descr="Shape&#10;&#10;Description automatically generated with medium confidence"/>
                    <pic:cNvPicPr>
                      <a:picLocks noChangeAspect="1" noChangeArrowheads="1"/>
                    </pic:cNvPicPr>
                  </pic:nvPicPr>
                  <pic:blipFill>
                    <a:blip r:embed="rId22"/>
                    <a:srcRect/>
                    <a:stretch>
                      <a:fillRect/>
                    </a:stretch>
                  </pic:blipFill>
                  <pic:spPr bwMode="auto">
                    <a:xfrm>
                      <a:off x="0" y="0"/>
                      <a:ext cx="2247265" cy="805180"/>
                    </a:xfrm>
                    <a:prstGeom prst="rect">
                      <a:avLst/>
                    </a:prstGeom>
                    <a:noFill/>
                  </pic:spPr>
                </pic:pic>
              </a:graphicData>
            </a:graphic>
          </wp:anchor>
        </w:drawing>
      </w:r>
    </w:p>
    <w:p w14:paraId="281A6004" w14:textId="77777777" w:rsidR="004647B9" w:rsidRDefault="004647B9" w:rsidP="00AB44F5">
      <w:pPr>
        <w:sectPr w:rsidR="004647B9" w:rsidSect="00EF630C">
          <w:pgSz w:w="12240" w:h="20180"/>
          <w:pgMar w:top="708" w:right="1440" w:bottom="1440" w:left="620" w:header="0" w:footer="0" w:gutter="0"/>
          <w:cols w:space="720"/>
        </w:sectPr>
      </w:pPr>
      <w:bookmarkStart w:id="263" w:name="page267"/>
      <w:bookmarkEnd w:id="263"/>
    </w:p>
    <w:p w14:paraId="281A6005" w14:textId="77777777" w:rsidR="004647B9" w:rsidRDefault="00E2436F">
      <w:pPr>
        <w:tabs>
          <w:tab w:val="left" w:pos="160"/>
        </w:tabs>
        <w:ind w:right="20"/>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006" w14:textId="77777777" w:rsidR="004647B9" w:rsidRDefault="004647B9" w:rsidP="00B81A73">
      <w:pPr>
        <w:rPr>
          <w:sz w:val="20"/>
          <w:szCs w:val="20"/>
        </w:rPr>
      </w:pPr>
    </w:p>
    <w:p w14:paraId="281A6007" w14:textId="77777777" w:rsidR="004647B9" w:rsidRDefault="004647B9" w:rsidP="00B81A73">
      <w:pPr>
        <w:rPr>
          <w:sz w:val="20"/>
          <w:szCs w:val="20"/>
        </w:rPr>
      </w:pPr>
    </w:p>
    <w:p w14:paraId="281A6008" w14:textId="77777777" w:rsidR="004647B9" w:rsidRPr="00B81A73" w:rsidRDefault="00E2436F" w:rsidP="00B81A73">
      <w:pPr>
        <w:tabs>
          <w:tab w:val="left" w:pos="940"/>
        </w:tabs>
        <w:rPr>
          <w:sz w:val="24"/>
          <w:szCs w:val="24"/>
        </w:rPr>
      </w:pPr>
      <w:r w:rsidRPr="00B81A73">
        <w:rPr>
          <w:rFonts w:eastAsia="Times New Roman"/>
          <w:sz w:val="24"/>
          <w:szCs w:val="24"/>
        </w:rPr>
        <w:t>22.20A:</w:t>
      </w:r>
      <w:r w:rsidRPr="00B81A73">
        <w:rPr>
          <w:rFonts w:eastAsia="Times New Roman"/>
          <w:sz w:val="24"/>
          <w:szCs w:val="24"/>
        </w:rPr>
        <w:tab/>
        <w:t>continued</w:t>
      </w:r>
    </w:p>
    <w:p w14:paraId="281A6009" w14:textId="77777777" w:rsidR="004647B9" w:rsidRDefault="004647B9" w:rsidP="00B81A73">
      <w:pPr>
        <w:rPr>
          <w:sz w:val="20"/>
          <w:szCs w:val="20"/>
        </w:rPr>
      </w:pPr>
    </w:p>
    <w:p w14:paraId="281A600A" w14:textId="77777777" w:rsidR="004647B9" w:rsidRDefault="00E2436F" w:rsidP="00B81A73">
      <w:pPr>
        <w:numPr>
          <w:ilvl w:val="0"/>
          <w:numId w:val="599"/>
        </w:numPr>
        <w:tabs>
          <w:tab w:val="left" w:pos="2354"/>
        </w:tabs>
        <w:ind w:left="1900" w:hanging="5"/>
        <w:jc w:val="both"/>
        <w:rPr>
          <w:rFonts w:eastAsia="Times New Roman"/>
          <w:sz w:val="24"/>
          <w:szCs w:val="24"/>
        </w:rPr>
      </w:pPr>
      <w:r>
        <w:rPr>
          <w:rFonts w:eastAsia="Times New Roman"/>
          <w:sz w:val="24"/>
          <w:szCs w:val="24"/>
        </w:rPr>
        <w:t xml:space="preserve">The Residual Disinfectant Concentration of the water entering the Distribution System must be monitored continuously, and the lowest value must be recorded each day, except that if there is a failure in the continuous monitoring equipment, grab sampling every four hours may be conducted in </w:t>
      </w:r>
      <w:r>
        <w:rPr>
          <w:rFonts w:eastAsia="Times New Roman"/>
          <w:i/>
          <w:iCs/>
          <w:sz w:val="24"/>
          <w:szCs w:val="24"/>
        </w:rPr>
        <w:t>lieu</w:t>
      </w:r>
      <w:r>
        <w:rPr>
          <w:rFonts w:eastAsia="Times New Roman"/>
          <w:sz w:val="24"/>
          <w:szCs w:val="24"/>
        </w:rPr>
        <w:t xml:space="preserve"> of continuous monitoring, but for no more than five working days following the failure of the equipment. Systems serving 3,300 or fewer persons may take grab samples in </w:t>
      </w:r>
      <w:r>
        <w:rPr>
          <w:rFonts w:eastAsia="Times New Roman"/>
          <w:i/>
          <w:iCs/>
          <w:sz w:val="24"/>
          <w:szCs w:val="24"/>
        </w:rPr>
        <w:t>lieu</w:t>
      </w:r>
      <w:r>
        <w:rPr>
          <w:rFonts w:eastAsia="Times New Roman"/>
          <w:sz w:val="24"/>
          <w:szCs w:val="24"/>
        </w:rPr>
        <w:t xml:space="preserve"> of providing continuous monitoring on an ongoing basis at the frequencies prescribed below:</w:t>
      </w:r>
    </w:p>
    <w:p w14:paraId="281A600B" w14:textId="77777777" w:rsidR="004647B9" w:rsidRPr="00B81A73" w:rsidRDefault="004647B9" w:rsidP="00B81A73">
      <w:pPr>
        <w:rPr>
          <w:sz w:val="24"/>
          <w:szCs w:val="24"/>
        </w:rPr>
      </w:pPr>
    </w:p>
    <w:tbl>
      <w:tblPr>
        <w:tblW w:w="0" w:type="auto"/>
        <w:tblInd w:w="2880" w:type="dxa"/>
        <w:tblLayout w:type="fixed"/>
        <w:tblCellMar>
          <w:left w:w="0" w:type="dxa"/>
          <w:right w:w="0" w:type="dxa"/>
        </w:tblCellMar>
        <w:tblLook w:val="04A0" w:firstRow="1" w:lastRow="0" w:firstColumn="1" w:lastColumn="0" w:noHBand="0" w:noVBand="1"/>
      </w:tblPr>
      <w:tblGrid>
        <w:gridCol w:w="2520"/>
        <w:gridCol w:w="2340"/>
        <w:gridCol w:w="1340"/>
      </w:tblGrid>
      <w:tr w:rsidR="004647B9" w14:paraId="281A600F" w14:textId="77777777" w:rsidTr="00EC03A5">
        <w:trPr>
          <w:trHeight w:val="330"/>
        </w:trPr>
        <w:tc>
          <w:tcPr>
            <w:tcW w:w="2520" w:type="dxa"/>
            <w:vAlign w:val="bottom"/>
          </w:tcPr>
          <w:p w14:paraId="281A600C" w14:textId="77777777" w:rsidR="004647B9" w:rsidRDefault="00E2436F" w:rsidP="00B81A73">
            <w:pPr>
              <w:jc w:val="right"/>
              <w:rPr>
                <w:sz w:val="20"/>
                <w:szCs w:val="20"/>
              </w:rPr>
            </w:pPr>
            <w:r>
              <w:rPr>
                <w:rFonts w:eastAsia="Times New Roman"/>
                <w:w w:val="98"/>
                <w:sz w:val="24"/>
                <w:szCs w:val="24"/>
              </w:rPr>
              <w:t>System size by population</w:t>
            </w:r>
          </w:p>
        </w:tc>
        <w:tc>
          <w:tcPr>
            <w:tcW w:w="2340" w:type="dxa"/>
            <w:vAlign w:val="bottom"/>
          </w:tcPr>
          <w:p w14:paraId="281A600D" w14:textId="77777777" w:rsidR="004647B9" w:rsidRDefault="004647B9" w:rsidP="00B81A73">
            <w:pPr>
              <w:rPr>
                <w:sz w:val="24"/>
                <w:szCs w:val="24"/>
              </w:rPr>
            </w:pPr>
          </w:p>
        </w:tc>
        <w:tc>
          <w:tcPr>
            <w:tcW w:w="1340" w:type="dxa"/>
            <w:vAlign w:val="bottom"/>
          </w:tcPr>
          <w:p w14:paraId="281A600E" w14:textId="77777777" w:rsidR="004647B9" w:rsidRDefault="00E2436F" w:rsidP="00B81A73">
            <w:pPr>
              <w:rPr>
                <w:sz w:val="20"/>
                <w:szCs w:val="20"/>
              </w:rPr>
            </w:pPr>
            <w:r>
              <w:rPr>
                <w:rFonts w:eastAsia="Times New Roman"/>
                <w:w w:val="97"/>
                <w:sz w:val="24"/>
                <w:szCs w:val="24"/>
              </w:rPr>
              <w:t>Samples/day</w:t>
            </w:r>
            <w:r>
              <w:rPr>
                <w:rFonts w:eastAsia="Times New Roman"/>
                <w:w w:val="97"/>
                <w:sz w:val="27"/>
                <w:szCs w:val="27"/>
                <w:vertAlign w:val="superscript"/>
              </w:rPr>
              <w:t>*</w:t>
            </w:r>
          </w:p>
        </w:tc>
      </w:tr>
      <w:tr w:rsidR="004E3F4E" w14:paraId="281A6014" w14:textId="77777777" w:rsidTr="004E3F4E">
        <w:trPr>
          <w:trHeight w:val="244"/>
        </w:trPr>
        <w:tc>
          <w:tcPr>
            <w:tcW w:w="2520" w:type="dxa"/>
            <w:tcBorders>
              <w:top w:val="single" w:sz="8" w:space="0" w:color="auto"/>
            </w:tcBorders>
            <w:vAlign w:val="center"/>
          </w:tcPr>
          <w:p w14:paraId="281A6010" w14:textId="77777777" w:rsidR="004E3F4E" w:rsidRDefault="004E3F4E" w:rsidP="00B81A73">
            <w:pPr>
              <w:jc w:val="center"/>
              <w:rPr>
                <w:sz w:val="20"/>
                <w:szCs w:val="20"/>
              </w:rPr>
            </w:pPr>
            <w:r>
              <w:rPr>
                <w:rFonts w:eastAsia="Times New Roman"/>
                <w:sz w:val="24"/>
                <w:szCs w:val="24"/>
              </w:rPr>
              <w:t>&lt;</w:t>
            </w:r>
            <w:r w:rsidDel="007B206E">
              <w:rPr>
                <w:rFonts w:eastAsia="Times New Roman"/>
                <w:sz w:val="24"/>
                <w:szCs w:val="24"/>
              </w:rPr>
              <w:t xml:space="preserve"> </w:t>
            </w:r>
            <w:r>
              <w:rPr>
                <w:rFonts w:eastAsia="Times New Roman"/>
                <w:sz w:val="24"/>
                <w:szCs w:val="24"/>
              </w:rPr>
              <w:t>500</w:t>
            </w:r>
          </w:p>
        </w:tc>
        <w:tc>
          <w:tcPr>
            <w:tcW w:w="2340" w:type="dxa"/>
            <w:vAlign w:val="bottom"/>
          </w:tcPr>
          <w:p w14:paraId="281A6011" w14:textId="77777777" w:rsidR="004E3F4E" w:rsidRDefault="004E3F4E" w:rsidP="00B81A73">
            <w:pPr>
              <w:rPr>
                <w:sz w:val="21"/>
                <w:szCs w:val="21"/>
              </w:rPr>
            </w:pPr>
          </w:p>
        </w:tc>
        <w:tc>
          <w:tcPr>
            <w:tcW w:w="1340" w:type="dxa"/>
            <w:tcBorders>
              <w:top w:val="single" w:sz="8" w:space="0" w:color="auto"/>
            </w:tcBorders>
            <w:vAlign w:val="center"/>
          </w:tcPr>
          <w:p w14:paraId="281A6013" w14:textId="6F88B5AB" w:rsidR="004E3F4E" w:rsidRDefault="004E3F4E" w:rsidP="00B81A73">
            <w:pPr>
              <w:jc w:val="center"/>
              <w:rPr>
                <w:sz w:val="21"/>
                <w:szCs w:val="21"/>
              </w:rPr>
            </w:pPr>
            <w:r>
              <w:rPr>
                <w:rFonts w:eastAsia="Times New Roman"/>
                <w:sz w:val="24"/>
                <w:szCs w:val="24"/>
              </w:rPr>
              <w:t>1</w:t>
            </w:r>
          </w:p>
        </w:tc>
      </w:tr>
      <w:tr w:rsidR="00BD65A8" w14:paraId="281A601A" w14:textId="77777777" w:rsidTr="00DF6443">
        <w:trPr>
          <w:trHeight w:val="264"/>
        </w:trPr>
        <w:tc>
          <w:tcPr>
            <w:tcW w:w="2520" w:type="dxa"/>
            <w:vAlign w:val="bottom"/>
          </w:tcPr>
          <w:p w14:paraId="281A6017" w14:textId="4C070EAB" w:rsidR="00BD65A8" w:rsidRPr="004E3F4E" w:rsidRDefault="00BD65A8" w:rsidP="00B81A73">
            <w:pPr>
              <w:jc w:val="center"/>
              <w:rPr>
                <w:rFonts w:eastAsia="Times New Roman"/>
                <w:sz w:val="24"/>
                <w:szCs w:val="24"/>
              </w:rPr>
            </w:pPr>
            <w:r>
              <w:rPr>
                <w:rFonts w:eastAsia="Times New Roman"/>
                <w:sz w:val="24"/>
                <w:szCs w:val="24"/>
              </w:rPr>
              <w:t xml:space="preserve">501 - </w:t>
            </w:r>
            <w:r w:rsidRPr="004E3F4E">
              <w:rPr>
                <w:rFonts w:eastAsia="Times New Roman"/>
                <w:sz w:val="24"/>
                <w:szCs w:val="24"/>
              </w:rPr>
              <w:t>1,000</w:t>
            </w:r>
          </w:p>
        </w:tc>
        <w:tc>
          <w:tcPr>
            <w:tcW w:w="2340" w:type="dxa"/>
            <w:vAlign w:val="bottom"/>
          </w:tcPr>
          <w:p w14:paraId="29A3A95A" w14:textId="355FAD9F" w:rsidR="00BD65A8" w:rsidRDefault="00BD65A8" w:rsidP="00B81A73">
            <w:pPr>
              <w:ind w:right="600"/>
              <w:jc w:val="right"/>
              <w:rPr>
                <w:sz w:val="20"/>
                <w:szCs w:val="20"/>
              </w:rPr>
            </w:pPr>
          </w:p>
        </w:tc>
        <w:tc>
          <w:tcPr>
            <w:tcW w:w="1340" w:type="dxa"/>
            <w:vAlign w:val="center"/>
          </w:tcPr>
          <w:p w14:paraId="281A6019" w14:textId="420CB2C7" w:rsidR="00BD65A8" w:rsidRDefault="00BD65A8" w:rsidP="00B81A73">
            <w:pPr>
              <w:jc w:val="center"/>
            </w:pPr>
            <w:r>
              <w:rPr>
                <w:sz w:val="20"/>
                <w:szCs w:val="20"/>
              </w:rPr>
              <w:t>2</w:t>
            </w:r>
          </w:p>
        </w:tc>
      </w:tr>
      <w:tr w:rsidR="004E3F4E" w14:paraId="281A601E" w14:textId="77777777" w:rsidTr="004E3F4E">
        <w:trPr>
          <w:trHeight w:val="281"/>
        </w:trPr>
        <w:tc>
          <w:tcPr>
            <w:tcW w:w="2520" w:type="dxa"/>
            <w:vAlign w:val="center"/>
          </w:tcPr>
          <w:p w14:paraId="281A601B" w14:textId="09EA208C" w:rsidR="004E3F4E" w:rsidRPr="004E3F4E" w:rsidRDefault="004E3F4E" w:rsidP="00B81A73">
            <w:pPr>
              <w:jc w:val="center"/>
              <w:rPr>
                <w:rFonts w:eastAsia="Times New Roman"/>
                <w:sz w:val="24"/>
                <w:szCs w:val="24"/>
              </w:rPr>
            </w:pPr>
            <w:r>
              <w:rPr>
                <w:rFonts w:eastAsia="Times New Roman"/>
                <w:sz w:val="24"/>
                <w:szCs w:val="24"/>
              </w:rPr>
              <w:t>1,001</w:t>
            </w:r>
            <w:r w:rsidR="00BD65A8">
              <w:rPr>
                <w:rFonts w:eastAsia="Times New Roman"/>
                <w:sz w:val="24"/>
                <w:szCs w:val="24"/>
              </w:rPr>
              <w:t xml:space="preserve"> </w:t>
            </w:r>
            <w:r>
              <w:rPr>
                <w:rFonts w:eastAsia="Times New Roman"/>
                <w:sz w:val="24"/>
                <w:szCs w:val="24"/>
              </w:rPr>
              <w:t>-</w:t>
            </w:r>
            <w:r w:rsidR="00BD65A8">
              <w:rPr>
                <w:rFonts w:eastAsia="Times New Roman"/>
                <w:sz w:val="24"/>
                <w:szCs w:val="24"/>
              </w:rPr>
              <w:t xml:space="preserve"> </w:t>
            </w:r>
            <w:r>
              <w:rPr>
                <w:rFonts w:eastAsia="Times New Roman"/>
                <w:sz w:val="24"/>
                <w:szCs w:val="24"/>
              </w:rPr>
              <w:t>2,500</w:t>
            </w:r>
          </w:p>
        </w:tc>
        <w:tc>
          <w:tcPr>
            <w:tcW w:w="2340" w:type="dxa"/>
            <w:vAlign w:val="bottom"/>
          </w:tcPr>
          <w:p w14:paraId="0B87028B" w14:textId="32947A50" w:rsidR="004E3F4E" w:rsidRDefault="004E3F4E" w:rsidP="00B81A73">
            <w:pPr>
              <w:ind w:right="600"/>
              <w:jc w:val="right"/>
              <w:rPr>
                <w:sz w:val="20"/>
                <w:szCs w:val="20"/>
              </w:rPr>
            </w:pPr>
          </w:p>
        </w:tc>
        <w:tc>
          <w:tcPr>
            <w:tcW w:w="1340" w:type="dxa"/>
            <w:vAlign w:val="center"/>
          </w:tcPr>
          <w:p w14:paraId="281A601D" w14:textId="15BE0EA4" w:rsidR="004E3F4E" w:rsidRDefault="004E3F4E" w:rsidP="00B81A73">
            <w:pPr>
              <w:jc w:val="center"/>
              <w:rPr>
                <w:sz w:val="24"/>
                <w:szCs w:val="24"/>
              </w:rPr>
            </w:pPr>
            <w:r>
              <w:rPr>
                <w:sz w:val="20"/>
                <w:szCs w:val="20"/>
              </w:rPr>
              <w:t>3</w:t>
            </w:r>
          </w:p>
        </w:tc>
      </w:tr>
      <w:tr w:rsidR="004E3F4E" w14:paraId="281A6022" w14:textId="77777777" w:rsidTr="004E3F4E">
        <w:trPr>
          <w:trHeight w:val="312"/>
        </w:trPr>
        <w:tc>
          <w:tcPr>
            <w:tcW w:w="2520" w:type="dxa"/>
            <w:vAlign w:val="center"/>
          </w:tcPr>
          <w:p w14:paraId="281A601F" w14:textId="79915FEB" w:rsidR="004E3F4E" w:rsidRPr="004E3F4E" w:rsidDel="007B206E" w:rsidRDefault="004E3F4E" w:rsidP="00B81A73">
            <w:pPr>
              <w:jc w:val="center"/>
              <w:rPr>
                <w:rFonts w:eastAsia="Times New Roman"/>
                <w:sz w:val="24"/>
                <w:szCs w:val="24"/>
              </w:rPr>
            </w:pPr>
            <w:r>
              <w:rPr>
                <w:rFonts w:eastAsia="Times New Roman"/>
                <w:sz w:val="24"/>
                <w:szCs w:val="24"/>
              </w:rPr>
              <w:t>2,501</w:t>
            </w:r>
            <w:r w:rsidR="00BD65A8">
              <w:rPr>
                <w:rFonts w:eastAsia="Times New Roman"/>
                <w:sz w:val="24"/>
                <w:szCs w:val="24"/>
              </w:rPr>
              <w:t xml:space="preserve"> </w:t>
            </w:r>
            <w:r>
              <w:rPr>
                <w:rFonts w:eastAsia="Times New Roman"/>
                <w:sz w:val="24"/>
                <w:szCs w:val="24"/>
              </w:rPr>
              <w:t>-</w:t>
            </w:r>
            <w:r w:rsidR="00BD65A8">
              <w:rPr>
                <w:rFonts w:eastAsia="Times New Roman"/>
                <w:sz w:val="24"/>
                <w:szCs w:val="24"/>
              </w:rPr>
              <w:t xml:space="preserve"> </w:t>
            </w:r>
            <w:r>
              <w:rPr>
                <w:rFonts w:eastAsia="Times New Roman"/>
                <w:sz w:val="24"/>
                <w:szCs w:val="24"/>
              </w:rPr>
              <w:t>3,300</w:t>
            </w:r>
          </w:p>
        </w:tc>
        <w:tc>
          <w:tcPr>
            <w:tcW w:w="2340" w:type="dxa"/>
            <w:vAlign w:val="bottom"/>
          </w:tcPr>
          <w:p w14:paraId="724995B5" w14:textId="052528D5" w:rsidR="004E3F4E" w:rsidRDefault="004E3F4E" w:rsidP="00B81A73">
            <w:pPr>
              <w:ind w:right="600"/>
              <w:jc w:val="right"/>
              <w:rPr>
                <w:sz w:val="20"/>
                <w:szCs w:val="20"/>
              </w:rPr>
            </w:pPr>
          </w:p>
        </w:tc>
        <w:tc>
          <w:tcPr>
            <w:tcW w:w="1340" w:type="dxa"/>
            <w:vAlign w:val="center"/>
          </w:tcPr>
          <w:p w14:paraId="281A6021" w14:textId="0711C3D0" w:rsidR="004E3F4E" w:rsidRDefault="004E3F4E" w:rsidP="00B81A73">
            <w:pPr>
              <w:jc w:val="center"/>
              <w:rPr>
                <w:sz w:val="24"/>
                <w:szCs w:val="24"/>
              </w:rPr>
            </w:pPr>
            <w:r>
              <w:rPr>
                <w:sz w:val="20"/>
                <w:szCs w:val="20"/>
              </w:rPr>
              <w:t>4</w:t>
            </w:r>
          </w:p>
        </w:tc>
      </w:tr>
    </w:tbl>
    <w:p w14:paraId="281A6023" w14:textId="77777777" w:rsidR="004647B9" w:rsidRPr="00B81A73" w:rsidRDefault="004647B9" w:rsidP="00B81A73">
      <w:pPr>
        <w:rPr>
          <w:sz w:val="24"/>
          <w:szCs w:val="24"/>
        </w:rPr>
      </w:pPr>
    </w:p>
    <w:p w14:paraId="281A6024" w14:textId="77777777" w:rsidR="004647B9" w:rsidRPr="00E91366" w:rsidRDefault="00E2436F" w:rsidP="00B81A73">
      <w:pPr>
        <w:numPr>
          <w:ilvl w:val="0"/>
          <w:numId w:val="600"/>
        </w:numPr>
        <w:tabs>
          <w:tab w:val="left" w:pos="360"/>
        </w:tabs>
        <w:ind w:left="360" w:hanging="351"/>
        <w:rPr>
          <w:rFonts w:eastAsia="Times New Roman"/>
          <w:sz w:val="24"/>
          <w:szCs w:val="24"/>
        </w:rPr>
      </w:pPr>
      <w:r w:rsidRPr="00E91366">
        <w:rPr>
          <w:rFonts w:eastAsia="Times New Roman"/>
          <w:sz w:val="24"/>
          <w:szCs w:val="24"/>
        </w:rPr>
        <w:t>The day's samples cannot be taken at the same time. The sampling intervals are subject to Department review and approval.</w:t>
      </w:r>
    </w:p>
    <w:p w14:paraId="281A6025" w14:textId="77777777" w:rsidR="004647B9" w:rsidRPr="00E91366" w:rsidRDefault="004647B9" w:rsidP="00B81A73">
      <w:pPr>
        <w:rPr>
          <w:sz w:val="24"/>
          <w:szCs w:val="24"/>
        </w:rPr>
      </w:pPr>
    </w:p>
    <w:p w14:paraId="281A6026" w14:textId="77777777" w:rsidR="004647B9" w:rsidRPr="00E91366" w:rsidRDefault="00E2436F" w:rsidP="00B81A73">
      <w:pPr>
        <w:ind w:left="1900" w:hanging="10"/>
        <w:jc w:val="both"/>
        <w:rPr>
          <w:sz w:val="24"/>
          <w:szCs w:val="24"/>
        </w:rPr>
      </w:pPr>
      <w:r w:rsidRPr="00E91366">
        <w:rPr>
          <w:rFonts w:eastAsia="Times New Roman"/>
          <w:sz w:val="24"/>
          <w:szCs w:val="24"/>
        </w:rPr>
        <w:t xml:space="preserve">If at any time the Residual Disinfectant Concentration falls below 0.2 mg/l in a system using grab sampling in </w:t>
      </w:r>
      <w:r w:rsidRPr="00E91366">
        <w:rPr>
          <w:rFonts w:eastAsia="Times New Roman"/>
          <w:i/>
          <w:iCs/>
          <w:sz w:val="24"/>
          <w:szCs w:val="24"/>
        </w:rPr>
        <w:t>lieu</w:t>
      </w:r>
      <w:r w:rsidRPr="00E91366">
        <w:rPr>
          <w:rFonts w:eastAsia="Times New Roman"/>
          <w:sz w:val="24"/>
          <w:szCs w:val="24"/>
        </w:rPr>
        <w:t xml:space="preserve"> of continuous monitoring, the Supplier of Water must take a grab sample every four hours until the Residual Disinfectant Concentration is equal to or greater than 0.2 mg/l.</w:t>
      </w:r>
    </w:p>
    <w:p w14:paraId="281A6028" w14:textId="77777777" w:rsidR="004647B9" w:rsidRPr="00E91366" w:rsidRDefault="00E2436F" w:rsidP="00B81A73">
      <w:pPr>
        <w:numPr>
          <w:ilvl w:val="1"/>
          <w:numId w:val="601"/>
        </w:numPr>
        <w:tabs>
          <w:tab w:val="left" w:pos="2198"/>
        </w:tabs>
        <w:ind w:left="1900" w:hanging="5"/>
        <w:jc w:val="both"/>
        <w:rPr>
          <w:rFonts w:eastAsia="Times New Roman"/>
          <w:sz w:val="24"/>
          <w:szCs w:val="24"/>
        </w:rPr>
      </w:pPr>
      <w:r w:rsidRPr="00E91366">
        <w:rPr>
          <w:rFonts w:eastAsia="Times New Roman"/>
          <w:sz w:val="24"/>
          <w:szCs w:val="24"/>
        </w:rPr>
        <w:t xml:space="preserve">The Residual Disinfectant Concentration must be measured at least at the same points in the Distribution System and at the same time as total coliform are sampled, as specified in 310 CMR 22.05, except that the Department may allow a Supplier of Water which uses both a Surface Water Source or a groundwater source under direct influence of surface water, and a groundwater source, to take Disinfectant residual samples at points other than the total coliform Sampling Points if the Department determines that such points are more representative of treated (disinfected) water quality within the Distribution System. Heterotrophic bacteria, measured as heterotrophic plate count (HPC) as specified in 310 CMR 22.20A(5)(a)1., may be measured in </w:t>
      </w:r>
      <w:r w:rsidRPr="00E91366">
        <w:rPr>
          <w:rFonts w:eastAsia="Times New Roman"/>
          <w:i/>
          <w:iCs/>
          <w:sz w:val="24"/>
          <w:szCs w:val="24"/>
        </w:rPr>
        <w:t>lieu</w:t>
      </w:r>
      <w:r w:rsidRPr="00E91366">
        <w:rPr>
          <w:rFonts w:eastAsia="Times New Roman"/>
          <w:sz w:val="24"/>
          <w:szCs w:val="24"/>
        </w:rPr>
        <w:t xml:space="preserve"> of Residual Disinfectant Concentration.</w:t>
      </w:r>
    </w:p>
    <w:p w14:paraId="281A602A" w14:textId="77777777" w:rsidR="004647B9" w:rsidRPr="00E91366" w:rsidRDefault="00E2436F" w:rsidP="00B81A73">
      <w:pPr>
        <w:numPr>
          <w:ilvl w:val="0"/>
          <w:numId w:val="602"/>
        </w:numPr>
        <w:tabs>
          <w:tab w:val="left" w:pos="1934"/>
        </w:tabs>
        <w:ind w:left="1540" w:hanging="5"/>
        <w:jc w:val="both"/>
        <w:rPr>
          <w:rFonts w:eastAsia="Times New Roman"/>
          <w:sz w:val="24"/>
          <w:szCs w:val="24"/>
        </w:rPr>
      </w:pPr>
      <w:r w:rsidRPr="00E91366">
        <w:rPr>
          <w:rFonts w:eastAsia="Times New Roman"/>
          <w:sz w:val="24"/>
          <w:szCs w:val="24"/>
          <w:u w:val="single"/>
        </w:rPr>
        <w:t>Monitoring Requirements for Systems Using Filtration Treatment</w:t>
      </w:r>
      <w:r w:rsidRPr="00E91366">
        <w:rPr>
          <w:rFonts w:eastAsia="Times New Roman"/>
          <w:sz w:val="24"/>
          <w:szCs w:val="24"/>
        </w:rPr>
        <w:t xml:space="preserve">. A Supplier of Water that uses a Surface Water Source or a groundwater source under the influence of surface water and provides Filtration treatment must monitor in accordance with 310 </w:t>
      </w:r>
      <w:r w:rsidRPr="00E91366" w:rsidDel="007B206E">
        <w:rPr>
          <w:rFonts w:eastAsia="Times New Roman"/>
          <w:sz w:val="24"/>
          <w:szCs w:val="24"/>
        </w:rPr>
        <w:t>CMR</w:t>
      </w:r>
      <w:r w:rsidRPr="00E91366">
        <w:rPr>
          <w:rFonts w:eastAsia="Times New Roman"/>
          <w:sz w:val="24"/>
          <w:szCs w:val="24"/>
        </w:rPr>
        <w:t xml:space="preserve"> 22.20A(5)(c) beginning June 29, 1993, or when Filtration is installed, whichever is later.</w:t>
      </w:r>
    </w:p>
    <w:p w14:paraId="281A602C" w14:textId="77777777" w:rsidR="004647B9" w:rsidRPr="00E91366" w:rsidRDefault="00E2436F" w:rsidP="00B81A73">
      <w:pPr>
        <w:numPr>
          <w:ilvl w:val="1"/>
          <w:numId w:val="602"/>
        </w:numPr>
        <w:tabs>
          <w:tab w:val="left" w:pos="2246"/>
        </w:tabs>
        <w:ind w:left="1900" w:hanging="5"/>
        <w:jc w:val="both"/>
        <w:rPr>
          <w:rFonts w:eastAsia="Times New Roman"/>
          <w:sz w:val="24"/>
          <w:szCs w:val="24"/>
        </w:rPr>
      </w:pPr>
      <w:r w:rsidRPr="00E91366">
        <w:rPr>
          <w:rFonts w:eastAsia="Times New Roman"/>
          <w:sz w:val="24"/>
          <w:szCs w:val="24"/>
        </w:rPr>
        <w:t>Turbidity measurements as required by 310 CMR 22.20A(4) must be performed on representative samples of the system's filtered water every four hours (or more frequently) that the system serves water to the public. A Supplier of Water may substitute continuous Turbidity monitoring for grab sample monitoring if it validates the continuous measurement for accuracy on a regular basis using a protocol approved by the Department. For any systems using Slow Sand Filtration, the Department may reduce the sampling frequency to no less than once per day if it determines that less frequent monitoring is sufficient to indicate effective Filtration performance.</w:t>
      </w:r>
    </w:p>
    <w:p w14:paraId="281A602E" w14:textId="77777777" w:rsidR="004647B9" w:rsidRDefault="00E2436F" w:rsidP="00B81A73">
      <w:pPr>
        <w:numPr>
          <w:ilvl w:val="1"/>
          <w:numId w:val="602"/>
        </w:numPr>
        <w:tabs>
          <w:tab w:val="left" w:pos="2361"/>
        </w:tabs>
        <w:ind w:left="1900" w:hanging="5"/>
        <w:jc w:val="both"/>
        <w:rPr>
          <w:rFonts w:eastAsia="Times New Roman"/>
          <w:sz w:val="24"/>
          <w:szCs w:val="24"/>
        </w:rPr>
      </w:pPr>
      <w:r w:rsidRPr="00E91366">
        <w:rPr>
          <w:rFonts w:eastAsia="Times New Roman"/>
          <w:sz w:val="24"/>
          <w:szCs w:val="24"/>
        </w:rPr>
        <w:t xml:space="preserve">The Residual Disinfectant Concentration of the water entering the Distribution System must be monitored continuously, and the lowest value must be recorded each day, except that if there is a failure in the continuous monitoring equipment, grab sampling every four hours may be conducted in </w:t>
      </w:r>
      <w:r w:rsidRPr="00E91366">
        <w:rPr>
          <w:rFonts w:eastAsia="Times New Roman"/>
          <w:i/>
          <w:iCs/>
          <w:sz w:val="24"/>
          <w:szCs w:val="24"/>
        </w:rPr>
        <w:t>lieu</w:t>
      </w:r>
      <w:r w:rsidRPr="00E91366">
        <w:rPr>
          <w:rFonts w:eastAsia="Times New Roman"/>
          <w:sz w:val="24"/>
          <w:szCs w:val="24"/>
        </w:rPr>
        <w:t xml:space="preserve"> of continuous monitoring, but for</w:t>
      </w:r>
      <w:r>
        <w:rPr>
          <w:rFonts w:eastAsia="Times New Roman"/>
          <w:sz w:val="24"/>
          <w:szCs w:val="24"/>
        </w:rPr>
        <w:t xml:space="preserve"> no more than five working days following the failure of the equipment. Systems serving 3,300 or fewer persons may take grab samples in lieu of providing continuous monitoring on an ongoing basis at the frequencies each day prescribed below:</w:t>
      </w:r>
    </w:p>
    <w:p w14:paraId="281A602F" w14:textId="77777777" w:rsidR="004647B9" w:rsidRPr="00B81A73" w:rsidRDefault="004647B9" w:rsidP="00B81A73">
      <w:pPr>
        <w:rPr>
          <w:sz w:val="24"/>
          <w:szCs w:val="24"/>
        </w:rPr>
      </w:pPr>
    </w:p>
    <w:tbl>
      <w:tblPr>
        <w:tblW w:w="0" w:type="auto"/>
        <w:tblInd w:w="2880" w:type="dxa"/>
        <w:tblLayout w:type="fixed"/>
        <w:tblCellMar>
          <w:left w:w="0" w:type="dxa"/>
          <w:right w:w="0" w:type="dxa"/>
        </w:tblCellMar>
        <w:tblLook w:val="04A0" w:firstRow="1" w:lastRow="0" w:firstColumn="1" w:lastColumn="0" w:noHBand="0" w:noVBand="1"/>
      </w:tblPr>
      <w:tblGrid>
        <w:gridCol w:w="2520"/>
        <w:gridCol w:w="2340"/>
        <w:gridCol w:w="1340"/>
        <w:gridCol w:w="360"/>
      </w:tblGrid>
      <w:tr w:rsidR="006F53E1" w14:paraId="2C3506C3" w14:textId="77777777" w:rsidTr="00BD65A8">
        <w:trPr>
          <w:trHeight w:val="330"/>
        </w:trPr>
        <w:tc>
          <w:tcPr>
            <w:tcW w:w="2520" w:type="dxa"/>
            <w:vAlign w:val="bottom"/>
          </w:tcPr>
          <w:p w14:paraId="281A6030" w14:textId="77777777" w:rsidR="006F53E1" w:rsidRDefault="006F53E1" w:rsidP="00B81A73">
            <w:pPr>
              <w:jc w:val="right"/>
              <w:rPr>
                <w:sz w:val="20"/>
                <w:szCs w:val="20"/>
              </w:rPr>
            </w:pPr>
            <w:r>
              <w:rPr>
                <w:rFonts w:eastAsia="Times New Roman"/>
                <w:w w:val="98"/>
                <w:sz w:val="24"/>
                <w:szCs w:val="24"/>
              </w:rPr>
              <w:t>System size by population</w:t>
            </w:r>
          </w:p>
        </w:tc>
        <w:tc>
          <w:tcPr>
            <w:tcW w:w="2340" w:type="dxa"/>
            <w:vAlign w:val="bottom"/>
          </w:tcPr>
          <w:p w14:paraId="281A6031" w14:textId="77777777" w:rsidR="006F53E1" w:rsidRDefault="006F53E1" w:rsidP="00B81A73">
            <w:pPr>
              <w:rPr>
                <w:sz w:val="24"/>
                <w:szCs w:val="24"/>
              </w:rPr>
            </w:pPr>
          </w:p>
        </w:tc>
        <w:tc>
          <w:tcPr>
            <w:tcW w:w="1340" w:type="dxa"/>
            <w:vAlign w:val="bottom"/>
          </w:tcPr>
          <w:p w14:paraId="281A6032" w14:textId="77777777" w:rsidR="006F53E1" w:rsidDel="007B206E" w:rsidRDefault="006F53E1" w:rsidP="00B81A73">
            <w:pPr>
              <w:rPr>
                <w:sz w:val="20"/>
                <w:szCs w:val="20"/>
              </w:rPr>
            </w:pPr>
            <w:r>
              <w:rPr>
                <w:rFonts w:eastAsia="Times New Roman"/>
                <w:w w:val="97"/>
                <w:sz w:val="24"/>
                <w:szCs w:val="24"/>
              </w:rPr>
              <w:t>Samples/day</w:t>
            </w:r>
            <w:r>
              <w:rPr>
                <w:rFonts w:eastAsia="Times New Roman"/>
                <w:w w:val="97"/>
                <w:sz w:val="27"/>
                <w:szCs w:val="27"/>
                <w:vertAlign w:val="superscript"/>
              </w:rPr>
              <w:t>*</w:t>
            </w:r>
          </w:p>
        </w:tc>
        <w:tc>
          <w:tcPr>
            <w:tcW w:w="360" w:type="dxa"/>
          </w:tcPr>
          <w:p w14:paraId="281A6034" w14:textId="630ECE71" w:rsidR="006F53E1" w:rsidRDefault="006F53E1" w:rsidP="00B81A73"/>
        </w:tc>
      </w:tr>
      <w:tr w:rsidR="006F53E1" w14:paraId="281A603A" w14:textId="77777777" w:rsidTr="00CC3E1A">
        <w:trPr>
          <w:gridAfter w:val="1"/>
          <w:wAfter w:w="360" w:type="dxa"/>
          <w:trHeight w:val="247"/>
        </w:trPr>
        <w:tc>
          <w:tcPr>
            <w:tcW w:w="2520" w:type="dxa"/>
            <w:tcBorders>
              <w:top w:val="single" w:sz="8" w:space="0" w:color="auto"/>
            </w:tcBorders>
            <w:vAlign w:val="center"/>
          </w:tcPr>
          <w:p w14:paraId="281A6035" w14:textId="4D6A894E" w:rsidR="006F53E1" w:rsidRDefault="006F53E1" w:rsidP="00B81A73">
            <w:pPr>
              <w:jc w:val="center"/>
              <w:rPr>
                <w:sz w:val="20"/>
                <w:szCs w:val="20"/>
              </w:rPr>
            </w:pPr>
            <w:r>
              <w:rPr>
                <w:rFonts w:eastAsia="Times New Roman"/>
                <w:sz w:val="24"/>
                <w:szCs w:val="24"/>
              </w:rPr>
              <w:t>&lt; 500</w:t>
            </w:r>
          </w:p>
        </w:tc>
        <w:tc>
          <w:tcPr>
            <w:tcW w:w="2340" w:type="dxa"/>
            <w:vAlign w:val="bottom"/>
          </w:tcPr>
          <w:p w14:paraId="281A6036" w14:textId="77777777" w:rsidR="006F53E1" w:rsidRDefault="006F53E1" w:rsidP="00B81A73">
            <w:pPr>
              <w:rPr>
                <w:sz w:val="21"/>
                <w:szCs w:val="21"/>
              </w:rPr>
            </w:pPr>
          </w:p>
        </w:tc>
        <w:tc>
          <w:tcPr>
            <w:tcW w:w="1340" w:type="dxa"/>
            <w:tcBorders>
              <w:top w:val="single" w:sz="8" w:space="0" w:color="auto"/>
            </w:tcBorders>
            <w:vAlign w:val="center"/>
          </w:tcPr>
          <w:p w14:paraId="281A6038" w14:textId="39041AC7" w:rsidR="006F53E1" w:rsidRDefault="006F53E1" w:rsidP="00B81A73">
            <w:pPr>
              <w:jc w:val="center"/>
              <w:rPr>
                <w:sz w:val="21"/>
                <w:szCs w:val="21"/>
              </w:rPr>
            </w:pPr>
            <w:r>
              <w:rPr>
                <w:rFonts w:eastAsia="Times New Roman"/>
                <w:sz w:val="24"/>
                <w:szCs w:val="24"/>
              </w:rPr>
              <w:t>1</w:t>
            </w:r>
          </w:p>
        </w:tc>
      </w:tr>
      <w:tr w:rsidR="006F53E1" w14:paraId="281A6041" w14:textId="77777777" w:rsidTr="00CC3E1A">
        <w:trPr>
          <w:gridAfter w:val="1"/>
          <w:wAfter w:w="360" w:type="dxa"/>
          <w:trHeight w:val="20"/>
        </w:trPr>
        <w:tc>
          <w:tcPr>
            <w:tcW w:w="2520" w:type="dxa"/>
            <w:vMerge w:val="restart"/>
            <w:vAlign w:val="center"/>
          </w:tcPr>
          <w:p w14:paraId="281A603D" w14:textId="17E651CC" w:rsidR="006F53E1" w:rsidRDefault="006F53E1" w:rsidP="00B81A73">
            <w:pPr>
              <w:jc w:val="center"/>
              <w:rPr>
                <w:sz w:val="1"/>
                <w:szCs w:val="1"/>
              </w:rPr>
            </w:pPr>
            <w:r>
              <w:rPr>
                <w:rFonts w:eastAsia="Times New Roman"/>
                <w:sz w:val="24"/>
                <w:szCs w:val="24"/>
              </w:rPr>
              <w:t xml:space="preserve">501 - </w:t>
            </w:r>
            <w:r>
              <w:rPr>
                <w:rFonts w:eastAsia="Times New Roman"/>
                <w:w w:val="88"/>
                <w:sz w:val="24"/>
                <w:szCs w:val="24"/>
              </w:rPr>
              <w:t>1,00</w:t>
            </w:r>
            <w:r w:rsidDel="007B206E">
              <w:rPr>
                <w:rFonts w:eastAsia="Times New Roman"/>
                <w:w w:val="88"/>
                <w:sz w:val="24"/>
                <w:szCs w:val="24"/>
              </w:rPr>
              <w:t>0</w:t>
            </w:r>
          </w:p>
        </w:tc>
        <w:tc>
          <w:tcPr>
            <w:tcW w:w="2340" w:type="dxa"/>
            <w:vMerge w:val="restart"/>
            <w:vAlign w:val="bottom"/>
          </w:tcPr>
          <w:p w14:paraId="3AB7BF85" w14:textId="0A58DCF3" w:rsidR="006F53E1" w:rsidRDefault="006F53E1" w:rsidP="00B81A73">
            <w:pPr>
              <w:ind w:right="600"/>
              <w:jc w:val="right"/>
              <w:rPr>
                <w:sz w:val="20"/>
                <w:szCs w:val="20"/>
              </w:rPr>
            </w:pPr>
          </w:p>
        </w:tc>
        <w:tc>
          <w:tcPr>
            <w:tcW w:w="1340" w:type="dxa"/>
            <w:vMerge w:val="restart"/>
            <w:vAlign w:val="center"/>
          </w:tcPr>
          <w:p w14:paraId="281A603F" w14:textId="218CF359" w:rsidR="006F53E1" w:rsidRPr="006F53E1" w:rsidRDefault="006F53E1" w:rsidP="00B81A73">
            <w:pPr>
              <w:jc w:val="center"/>
              <w:rPr>
                <w:sz w:val="24"/>
                <w:szCs w:val="24"/>
              </w:rPr>
            </w:pPr>
            <w:r w:rsidRPr="006F53E1">
              <w:rPr>
                <w:sz w:val="24"/>
                <w:szCs w:val="24"/>
              </w:rPr>
              <w:t>2</w:t>
            </w:r>
          </w:p>
        </w:tc>
      </w:tr>
      <w:tr w:rsidR="006F53E1" w14:paraId="281A6047" w14:textId="77777777" w:rsidTr="00CC3E1A">
        <w:trPr>
          <w:gridAfter w:val="1"/>
          <w:wAfter w:w="360" w:type="dxa"/>
          <w:trHeight w:val="264"/>
        </w:trPr>
        <w:tc>
          <w:tcPr>
            <w:tcW w:w="2520" w:type="dxa"/>
            <w:vMerge/>
            <w:vAlign w:val="center"/>
          </w:tcPr>
          <w:p w14:paraId="281A6043" w14:textId="0D03CA97" w:rsidR="006F53E1" w:rsidRDefault="006F53E1" w:rsidP="00B81A73">
            <w:pPr>
              <w:jc w:val="center"/>
              <w:rPr>
                <w:sz w:val="20"/>
                <w:szCs w:val="20"/>
              </w:rPr>
            </w:pPr>
          </w:p>
        </w:tc>
        <w:tc>
          <w:tcPr>
            <w:tcW w:w="2340" w:type="dxa"/>
            <w:vMerge/>
            <w:vAlign w:val="bottom"/>
          </w:tcPr>
          <w:p w14:paraId="0FEC96CC" w14:textId="77777777" w:rsidR="006F53E1" w:rsidRDefault="006F53E1" w:rsidP="00B81A73"/>
        </w:tc>
        <w:tc>
          <w:tcPr>
            <w:tcW w:w="1340" w:type="dxa"/>
            <w:vMerge/>
            <w:vAlign w:val="center"/>
          </w:tcPr>
          <w:p w14:paraId="281A6045" w14:textId="77777777" w:rsidR="006F53E1" w:rsidRDefault="006F53E1" w:rsidP="00B81A73">
            <w:pPr>
              <w:jc w:val="center"/>
            </w:pPr>
          </w:p>
        </w:tc>
      </w:tr>
      <w:tr w:rsidR="006F53E1" w14:paraId="281A604C" w14:textId="77777777" w:rsidTr="00CC3E1A">
        <w:trPr>
          <w:gridAfter w:val="1"/>
          <w:wAfter w:w="360" w:type="dxa"/>
          <w:trHeight w:val="278"/>
        </w:trPr>
        <w:tc>
          <w:tcPr>
            <w:tcW w:w="2520" w:type="dxa"/>
            <w:vAlign w:val="center"/>
          </w:tcPr>
          <w:p w14:paraId="281A6048" w14:textId="218E23BF" w:rsidR="006F53E1" w:rsidRDefault="006F53E1" w:rsidP="00B81A73">
            <w:pPr>
              <w:jc w:val="center"/>
              <w:rPr>
                <w:sz w:val="20"/>
                <w:szCs w:val="20"/>
              </w:rPr>
            </w:pPr>
            <w:r>
              <w:rPr>
                <w:rFonts w:eastAsia="Times New Roman"/>
                <w:sz w:val="24"/>
                <w:szCs w:val="24"/>
              </w:rPr>
              <w:t xml:space="preserve">1,001 - </w:t>
            </w:r>
            <w:r w:rsidDel="007B206E">
              <w:rPr>
                <w:rFonts w:eastAsia="Times New Roman"/>
                <w:sz w:val="24"/>
                <w:szCs w:val="24"/>
              </w:rPr>
              <w:t>2</w:t>
            </w:r>
            <w:r>
              <w:rPr>
                <w:rFonts w:eastAsia="Times New Roman"/>
                <w:sz w:val="24"/>
                <w:szCs w:val="24"/>
              </w:rPr>
              <w:t>,500</w:t>
            </w:r>
          </w:p>
        </w:tc>
        <w:tc>
          <w:tcPr>
            <w:tcW w:w="2340" w:type="dxa"/>
            <w:vAlign w:val="bottom"/>
          </w:tcPr>
          <w:p w14:paraId="5D46E6EE" w14:textId="0E2101AA" w:rsidR="006F53E1" w:rsidRDefault="006F53E1" w:rsidP="00B81A73">
            <w:pPr>
              <w:ind w:right="600"/>
              <w:jc w:val="right"/>
              <w:rPr>
                <w:sz w:val="20"/>
                <w:szCs w:val="20"/>
              </w:rPr>
            </w:pPr>
          </w:p>
        </w:tc>
        <w:tc>
          <w:tcPr>
            <w:tcW w:w="1340" w:type="dxa"/>
            <w:vAlign w:val="center"/>
          </w:tcPr>
          <w:p w14:paraId="281A604A" w14:textId="34507415" w:rsidR="006F53E1" w:rsidRDefault="006F53E1" w:rsidP="00B81A73">
            <w:pPr>
              <w:jc w:val="center"/>
              <w:rPr>
                <w:sz w:val="24"/>
                <w:szCs w:val="24"/>
              </w:rPr>
            </w:pPr>
            <w:r>
              <w:rPr>
                <w:sz w:val="20"/>
                <w:szCs w:val="20"/>
              </w:rPr>
              <w:t>3</w:t>
            </w:r>
          </w:p>
        </w:tc>
      </w:tr>
      <w:tr w:rsidR="006F53E1" w14:paraId="281A6051" w14:textId="77777777" w:rsidTr="00CC3E1A">
        <w:trPr>
          <w:gridAfter w:val="1"/>
          <w:wAfter w:w="360" w:type="dxa"/>
          <w:trHeight w:val="312"/>
        </w:trPr>
        <w:tc>
          <w:tcPr>
            <w:tcW w:w="2520" w:type="dxa"/>
            <w:vAlign w:val="center"/>
          </w:tcPr>
          <w:p w14:paraId="281A604D" w14:textId="0259E31D" w:rsidR="006F53E1" w:rsidRDefault="006F53E1" w:rsidP="00B81A73">
            <w:pPr>
              <w:jc w:val="center"/>
              <w:rPr>
                <w:sz w:val="20"/>
                <w:szCs w:val="20"/>
              </w:rPr>
            </w:pPr>
            <w:r>
              <w:rPr>
                <w:rFonts w:eastAsia="Times New Roman"/>
                <w:sz w:val="24"/>
                <w:szCs w:val="24"/>
              </w:rPr>
              <w:t>2,501 - 3,300</w:t>
            </w:r>
          </w:p>
        </w:tc>
        <w:tc>
          <w:tcPr>
            <w:tcW w:w="2340" w:type="dxa"/>
            <w:vAlign w:val="bottom"/>
          </w:tcPr>
          <w:p w14:paraId="5287AEE1" w14:textId="234990C1" w:rsidR="006F53E1" w:rsidRDefault="006F53E1" w:rsidP="00B81A73">
            <w:pPr>
              <w:ind w:right="600"/>
              <w:jc w:val="right"/>
              <w:rPr>
                <w:sz w:val="20"/>
                <w:szCs w:val="20"/>
              </w:rPr>
            </w:pPr>
          </w:p>
        </w:tc>
        <w:tc>
          <w:tcPr>
            <w:tcW w:w="1340" w:type="dxa"/>
            <w:vAlign w:val="center"/>
          </w:tcPr>
          <w:p w14:paraId="281A604F" w14:textId="7F0E4E03" w:rsidR="006F53E1" w:rsidRDefault="006F53E1" w:rsidP="00B81A73">
            <w:pPr>
              <w:jc w:val="center"/>
              <w:rPr>
                <w:sz w:val="24"/>
                <w:szCs w:val="24"/>
              </w:rPr>
            </w:pPr>
            <w:r>
              <w:rPr>
                <w:sz w:val="20"/>
                <w:szCs w:val="20"/>
              </w:rPr>
              <w:t>4</w:t>
            </w:r>
          </w:p>
        </w:tc>
      </w:tr>
    </w:tbl>
    <w:p w14:paraId="281A6052" w14:textId="77777777" w:rsidR="004647B9" w:rsidRPr="00B81A73" w:rsidRDefault="004647B9" w:rsidP="00B81A73">
      <w:pPr>
        <w:rPr>
          <w:sz w:val="24"/>
          <w:szCs w:val="24"/>
        </w:rPr>
      </w:pPr>
    </w:p>
    <w:p w14:paraId="281A6053" w14:textId="77777777" w:rsidR="004647B9" w:rsidRPr="00CC3E1A" w:rsidRDefault="00E2436F" w:rsidP="00B81A73">
      <w:pPr>
        <w:numPr>
          <w:ilvl w:val="0"/>
          <w:numId w:val="603"/>
        </w:numPr>
        <w:tabs>
          <w:tab w:val="left" w:pos="360"/>
        </w:tabs>
        <w:ind w:left="360" w:hanging="352"/>
        <w:rPr>
          <w:rFonts w:eastAsia="Times New Roman"/>
          <w:sz w:val="24"/>
          <w:szCs w:val="24"/>
        </w:rPr>
      </w:pPr>
      <w:r>
        <w:rPr>
          <w:rFonts w:eastAsia="Times New Roman"/>
          <w:sz w:val="24"/>
          <w:szCs w:val="24"/>
        </w:rPr>
        <w:t>The day's samples cannot be taken at the same time. The sampling intervals are subject to Department review and approval.</w:t>
      </w:r>
    </w:p>
    <w:p w14:paraId="281A6054" w14:textId="77777777" w:rsidR="004647B9" w:rsidRDefault="004647B9" w:rsidP="00B81A73">
      <w:pPr>
        <w:sectPr w:rsidR="004647B9" w:rsidSect="00EF630C">
          <w:pgSz w:w="12240" w:h="20180"/>
          <w:pgMar w:top="708" w:right="1440" w:bottom="1020" w:left="620" w:header="0" w:footer="0" w:gutter="0"/>
          <w:cols w:space="720"/>
        </w:sectPr>
      </w:pPr>
    </w:p>
    <w:p w14:paraId="281A6055" w14:textId="77777777" w:rsidR="004647B9" w:rsidRDefault="00E2436F">
      <w:pPr>
        <w:tabs>
          <w:tab w:val="left" w:pos="160"/>
        </w:tabs>
        <w:ind w:right="20"/>
        <w:jc w:val="center"/>
        <w:rPr>
          <w:sz w:val="20"/>
          <w:szCs w:val="20"/>
        </w:rPr>
      </w:pPr>
      <w:bookmarkStart w:id="264" w:name="page268"/>
      <w:bookmarkEnd w:id="26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056" w14:textId="77777777" w:rsidR="004647B9" w:rsidRDefault="004647B9" w:rsidP="00B81A73">
      <w:pPr>
        <w:rPr>
          <w:sz w:val="20"/>
          <w:szCs w:val="20"/>
        </w:rPr>
      </w:pPr>
    </w:p>
    <w:p w14:paraId="281A6057" w14:textId="77777777" w:rsidR="004647B9" w:rsidRDefault="004647B9" w:rsidP="00B81A73">
      <w:pPr>
        <w:rPr>
          <w:sz w:val="20"/>
          <w:szCs w:val="20"/>
        </w:rPr>
      </w:pPr>
    </w:p>
    <w:p w14:paraId="281A6058" w14:textId="77777777" w:rsidR="004647B9" w:rsidRPr="00E91366" w:rsidRDefault="00E2436F" w:rsidP="00B81A73">
      <w:pPr>
        <w:tabs>
          <w:tab w:val="left" w:pos="940"/>
        </w:tabs>
        <w:rPr>
          <w:sz w:val="24"/>
          <w:szCs w:val="24"/>
        </w:rPr>
      </w:pPr>
      <w:r w:rsidRPr="00E91366">
        <w:rPr>
          <w:rFonts w:eastAsia="Times New Roman"/>
          <w:sz w:val="24"/>
          <w:szCs w:val="24"/>
        </w:rPr>
        <w:t>22.20A:</w:t>
      </w:r>
      <w:r w:rsidRPr="00E91366">
        <w:rPr>
          <w:rFonts w:eastAsia="Times New Roman"/>
          <w:sz w:val="24"/>
          <w:szCs w:val="24"/>
        </w:rPr>
        <w:tab/>
        <w:t>continued</w:t>
      </w:r>
    </w:p>
    <w:p w14:paraId="281A6059" w14:textId="77777777" w:rsidR="004647B9" w:rsidRPr="00B81A73" w:rsidRDefault="004647B9" w:rsidP="00B81A73">
      <w:pPr>
        <w:rPr>
          <w:sz w:val="20"/>
          <w:szCs w:val="20"/>
        </w:rPr>
      </w:pPr>
    </w:p>
    <w:p w14:paraId="281A605A" w14:textId="77777777" w:rsidR="004647B9" w:rsidRPr="00E91366" w:rsidRDefault="00E2436F" w:rsidP="00B81A73">
      <w:pPr>
        <w:numPr>
          <w:ilvl w:val="2"/>
          <w:numId w:val="604"/>
        </w:numPr>
        <w:tabs>
          <w:tab w:val="left" w:pos="2195"/>
        </w:tabs>
        <w:ind w:left="1900" w:hanging="5"/>
        <w:jc w:val="both"/>
        <w:rPr>
          <w:rFonts w:eastAsia="Times New Roman"/>
          <w:sz w:val="24"/>
          <w:szCs w:val="24"/>
        </w:rPr>
      </w:pPr>
      <w:r w:rsidRPr="00E91366">
        <w:rPr>
          <w:rFonts w:eastAsia="Times New Roman"/>
          <w:sz w:val="24"/>
          <w:szCs w:val="24"/>
        </w:rPr>
        <w:t xml:space="preserve">The Residual Disinfectant Concentration must be measured at least at the same points in the Distribution System and at the same time as total coliform are sampled, as specified in 310 CMR 22.05, except that the Department may allow a Supplier of Water which uses both a Surface Water Source or a groundwater source under direct influence of surface water, and a groundwater source to take Disinfectant residual samples at points other than the total coliform Sampling Points if the Department determines that such points are more representative of treated (disinfected) water quality within the Distribution System. Heterotrophic bacteria, measured as heterotrophic plate count (HPC) as specified in 310 CMR 22.20A(5)(a)1., may be measured in </w:t>
      </w:r>
      <w:r w:rsidRPr="00E91366">
        <w:rPr>
          <w:rFonts w:eastAsia="Times New Roman"/>
          <w:i/>
          <w:iCs/>
          <w:sz w:val="24"/>
          <w:szCs w:val="24"/>
        </w:rPr>
        <w:t>lieu</w:t>
      </w:r>
      <w:r w:rsidRPr="00E91366">
        <w:rPr>
          <w:rFonts w:eastAsia="Times New Roman"/>
          <w:sz w:val="24"/>
          <w:szCs w:val="24"/>
        </w:rPr>
        <w:t xml:space="preserve"> of Residual Disinfectant Concentration.</w:t>
      </w:r>
    </w:p>
    <w:p w14:paraId="281A605B" w14:textId="77777777" w:rsidR="004647B9" w:rsidRPr="00E91366" w:rsidRDefault="004647B9" w:rsidP="00B81A73">
      <w:pPr>
        <w:rPr>
          <w:rFonts w:eastAsia="Times New Roman"/>
          <w:sz w:val="24"/>
          <w:szCs w:val="24"/>
        </w:rPr>
      </w:pPr>
    </w:p>
    <w:p w14:paraId="281A605C" w14:textId="77777777" w:rsidR="004647B9" w:rsidRPr="00E91366" w:rsidRDefault="00E2436F" w:rsidP="00B81A73">
      <w:pPr>
        <w:numPr>
          <w:ilvl w:val="0"/>
          <w:numId w:val="605"/>
        </w:numPr>
        <w:tabs>
          <w:tab w:val="left" w:pos="1640"/>
        </w:tabs>
        <w:ind w:left="1640" w:hanging="460"/>
        <w:rPr>
          <w:rFonts w:eastAsia="Times New Roman"/>
          <w:sz w:val="24"/>
          <w:szCs w:val="24"/>
        </w:rPr>
      </w:pPr>
      <w:r w:rsidRPr="00E91366">
        <w:rPr>
          <w:rFonts w:eastAsia="Times New Roman"/>
          <w:sz w:val="24"/>
          <w:szCs w:val="24"/>
          <w:u w:val="single"/>
        </w:rPr>
        <w:t>Reporting and Recordkeeping Requirements</w:t>
      </w:r>
      <w:r w:rsidRPr="00E91366">
        <w:rPr>
          <w:rFonts w:eastAsia="Times New Roman"/>
          <w:sz w:val="24"/>
          <w:szCs w:val="24"/>
        </w:rPr>
        <w:t>.</w:t>
      </w:r>
    </w:p>
    <w:p w14:paraId="281A605E" w14:textId="77777777" w:rsidR="004647B9" w:rsidRPr="00E91366" w:rsidRDefault="00E2436F" w:rsidP="00B81A73">
      <w:pPr>
        <w:numPr>
          <w:ilvl w:val="1"/>
          <w:numId w:val="605"/>
        </w:numPr>
        <w:tabs>
          <w:tab w:val="left" w:pos="1986"/>
        </w:tabs>
        <w:ind w:left="1540" w:hanging="5"/>
        <w:jc w:val="both"/>
        <w:rPr>
          <w:rFonts w:eastAsia="Times New Roman"/>
          <w:sz w:val="24"/>
          <w:szCs w:val="24"/>
        </w:rPr>
      </w:pPr>
      <w:r w:rsidRPr="00E91366">
        <w:rPr>
          <w:rFonts w:eastAsia="Times New Roman"/>
          <w:sz w:val="24"/>
          <w:szCs w:val="24"/>
        </w:rPr>
        <w:t>A Supplier of Water that uses a Surface Water Source and does not provide Filtration treatment must report monthly to the Department the information specified in 310 CMR 22.20A(6)(a) beginning May 1, 1990, unless the Department has notified the Supplier of Water in writing that Filtration is required in writing, in which case the Department may specify alternative reporting requirements, as appropriate, until Filtration is in place. A Supplier of Water that uses a groundwater source under the direct influence of surface water and does not provide Filtration treatment must report monthly to the Department the information specified in 310 CMR 22.20A(6)(a) beginning December 31, 1990 or six months after the Department determines that the groundwater source is under the direct influence of surface water, whichever is later, unless the Department has notified it in writing that Filtration is required in which case the Department may specify alternative reporting requirements, as appropriate, until Filtration is in place.</w:t>
      </w:r>
    </w:p>
    <w:p w14:paraId="281A6060" w14:textId="77777777" w:rsidR="004647B9" w:rsidRPr="00E91366" w:rsidRDefault="00E2436F" w:rsidP="00B81A73">
      <w:pPr>
        <w:numPr>
          <w:ilvl w:val="2"/>
          <w:numId w:val="605"/>
        </w:numPr>
        <w:tabs>
          <w:tab w:val="left" w:pos="2217"/>
        </w:tabs>
        <w:ind w:left="1900" w:hanging="5"/>
        <w:jc w:val="both"/>
        <w:rPr>
          <w:rFonts w:eastAsia="Times New Roman"/>
          <w:sz w:val="24"/>
          <w:szCs w:val="24"/>
        </w:rPr>
      </w:pPr>
      <w:r w:rsidRPr="00E91366">
        <w:rPr>
          <w:rFonts w:eastAsia="Times New Roman"/>
          <w:sz w:val="24"/>
          <w:szCs w:val="24"/>
        </w:rPr>
        <w:t>Source water quality information must be reported to the Department within ten days after the end of each month the system serves water to the public. Information that must be reported includes:</w:t>
      </w:r>
    </w:p>
    <w:p w14:paraId="281A6062" w14:textId="77777777" w:rsidR="004647B9" w:rsidRPr="00E91366" w:rsidRDefault="00E2436F" w:rsidP="00905F85">
      <w:pPr>
        <w:numPr>
          <w:ilvl w:val="3"/>
          <w:numId w:val="605"/>
        </w:numPr>
        <w:tabs>
          <w:tab w:val="left" w:pos="2600"/>
        </w:tabs>
        <w:ind w:left="2261"/>
        <w:rPr>
          <w:rFonts w:eastAsia="Times New Roman"/>
          <w:sz w:val="24"/>
          <w:szCs w:val="24"/>
        </w:rPr>
      </w:pPr>
      <w:r w:rsidRPr="00E91366">
        <w:rPr>
          <w:rFonts w:eastAsia="Times New Roman"/>
          <w:sz w:val="24"/>
          <w:szCs w:val="24"/>
        </w:rPr>
        <w:t>The cumulative number of months for which results are reported.</w:t>
      </w:r>
    </w:p>
    <w:p w14:paraId="281A6064" w14:textId="77777777" w:rsidR="004647B9" w:rsidRPr="00E91366" w:rsidRDefault="00E2436F" w:rsidP="00905F85">
      <w:pPr>
        <w:numPr>
          <w:ilvl w:val="3"/>
          <w:numId w:val="605"/>
        </w:numPr>
        <w:tabs>
          <w:tab w:val="left" w:pos="2606"/>
        </w:tabs>
        <w:ind w:left="2260" w:hanging="5"/>
        <w:jc w:val="both"/>
        <w:rPr>
          <w:rFonts w:eastAsia="Times New Roman"/>
          <w:sz w:val="24"/>
          <w:szCs w:val="24"/>
        </w:rPr>
      </w:pPr>
      <w:r w:rsidRPr="00E91366">
        <w:rPr>
          <w:rFonts w:eastAsia="Times New Roman"/>
          <w:sz w:val="24"/>
          <w:szCs w:val="24"/>
        </w:rPr>
        <w:t>The number of fecal and/or total coliform samples, whichever are analyzed during the month (if a system monitors for both, only fecal coliform must be reported), the dates of sample collection, and the dates when the Turbidity level exceeded one NTU.</w:t>
      </w:r>
    </w:p>
    <w:p w14:paraId="281A6065" w14:textId="77777777" w:rsidR="004647B9" w:rsidRDefault="00E2436F" w:rsidP="00905F85">
      <w:pPr>
        <w:numPr>
          <w:ilvl w:val="3"/>
          <w:numId w:val="605"/>
        </w:numPr>
        <w:tabs>
          <w:tab w:val="left" w:pos="2606"/>
        </w:tabs>
        <w:ind w:left="2260" w:hanging="5"/>
        <w:jc w:val="both"/>
        <w:rPr>
          <w:rFonts w:eastAsia="Times New Roman"/>
          <w:sz w:val="24"/>
          <w:szCs w:val="24"/>
        </w:rPr>
      </w:pPr>
      <w:r w:rsidRPr="00E91366">
        <w:rPr>
          <w:rFonts w:eastAsia="Times New Roman"/>
          <w:sz w:val="24"/>
          <w:szCs w:val="24"/>
        </w:rPr>
        <w:t>The number of samples during the month that had equal to or less than 20/100</w:t>
      </w:r>
      <w:r>
        <w:rPr>
          <w:rFonts w:eastAsia="Times New Roman"/>
          <w:sz w:val="24"/>
          <w:szCs w:val="24"/>
        </w:rPr>
        <w:t xml:space="preserve"> ml fecal coliform and/or equal to or less than 100/100 ml total coliform, whichever are analyzed.</w:t>
      </w:r>
    </w:p>
    <w:p w14:paraId="281A6067" w14:textId="77777777" w:rsidR="004647B9" w:rsidRDefault="00E2436F" w:rsidP="00905F85">
      <w:pPr>
        <w:numPr>
          <w:ilvl w:val="3"/>
          <w:numId w:val="605"/>
        </w:numPr>
        <w:tabs>
          <w:tab w:val="left" w:pos="2606"/>
        </w:tabs>
        <w:ind w:left="2260" w:hanging="5"/>
        <w:rPr>
          <w:rFonts w:eastAsia="Times New Roman"/>
          <w:sz w:val="24"/>
          <w:szCs w:val="24"/>
        </w:rPr>
      </w:pPr>
      <w:r>
        <w:rPr>
          <w:rFonts w:eastAsia="Times New Roman"/>
          <w:sz w:val="24"/>
          <w:szCs w:val="24"/>
        </w:rPr>
        <w:t>The cumulative number of fecal or total coliform samples, whichever are analyzed, during the previous six months the system served water to the public.</w:t>
      </w:r>
    </w:p>
    <w:p w14:paraId="281A6068" w14:textId="77777777" w:rsidR="004647B9" w:rsidRDefault="00E2436F" w:rsidP="00905F85">
      <w:pPr>
        <w:numPr>
          <w:ilvl w:val="3"/>
          <w:numId w:val="605"/>
        </w:numPr>
        <w:tabs>
          <w:tab w:val="left" w:pos="2606"/>
        </w:tabs>
        <w:ind w:left="2260" w:hanging="5"/>
        <w:jc w:val="both"/>
        <w:rPr>
          <w:rFonts w:eastAsia="Times New Roman"/>
          <w:sz w:val="24"/>
          <w:szCs w:val="24"/>
        </w:rPr>
      </w:pPr>
      <w:r>
        <w:rPr>
          <w:rFonts w:eastAsia="Times New Roman"/>
          <w:sz w:val="24"/>
          <w:szCs w:val="24"/>
        </w:rPr>
        <w:t>The cumulative number of samples that had equal to or less than 20/100 ml fecal coliform or equal to or less than 100/100 ml total coliform, whichever are analyzed, during the previous six months the system served water to the public.</w:t>
      </w:r>
    </w:p>
    <w:p w14:paraId="281A606A" w14:textId="77777777" w:rsidR="004647B9" w:rsidRDefault="00E2436F" w:rsidP="00905F85">
      <w:pPr>
        <w:numPr>
          <w:ilvl w:val="3"/>
          <w:numId w:val="605"/>
        </w:numPr>
        <w:tabs>
          <w:tab w:val="left" w:pos="2606"/>
        </w:tabs>
        <w:ind w:left="2260" w:hanging="5"/>
        <w:jc w:val="both"/>
        <w:rPr>
          <w:rFonts w:eastAsia="Times New Roman"/>
          <w:sz w:val="24"/>
          <w:szCs w:val="24"/>
        </w:rPr>
      </w:pPr>
      <w:r>
        <w:rPr>
          <w:rFonts w:eastAsia="Times New Roman"/>
          <w:sz w:val="24"/>
          <w:szCs w:val="24"/>
        </w:rPr>
        <w:t>The percentage of samples that had equal to or less than 20/100 ml fecal coliform or equal to or less than 100/100 ml total coliform, whichever are analyzed, during the previous six months the system served water to the public.</w:t>
      </w:r>
    </w:p>
    <w:p w14:paraId="281A606C" w14:textId="77777777" w:rsidR="004647B9" w:rsidRDefault="00E2436F" w:rsidP="00905F85">
      <w:pPr>
        <w:numPr>
          <w:ilvl w:val="3"/>
          <w:numId w:val="605"/>
        </w:numPr>
        <w:tabs>
          <w:tab w:val="left" w:pos="2606"/>
        </w:tabs>
        <w:ind w:left="2260" w:hanging="5"/>
        <w:jc w:val="both"/>
        <w:rPr>
          <w:rFonts w:eastAsia="Times New Roman"/>
          <w:sz w:val="24"/>
          <w:szCs w:val="24"/>
        </w:rPr>
      </w:pPr>
      <w:r>
        <w:rPr>
          <w:rFonts w:eastAsia="Times New Roman"/>
          <w:sz w:val="24"/>
          <w:szCs w:val="24"/>
        </w:rPr>
        <w:t>The maximum Turbidity level measured during the month, the date(s) of occurrence for any measurement(s) which exceeded five NTU, and the date(s) the occurrence(s) was reported to the Department.</w:t>
      </w:r>
    </w:p>
    <w:p w14:paraId="281A606E" w14:textId="77777777" w:rsidR="004647B9" w:rsidRDefault="00E2436F" w:rsidP="00905F85">
      <w:pPr>
        <w:numPr>
          <w:ilvl w:val="3"/>
          <w:numId w:val="605"/>
        </w:numPr>
        <w:tabs>
          <w:tab w:val="left" w:pos="2606"/>
        </w:tabs>
        <w:ind w:left="2260" w:hanging="5"/>
        <w:jc w:val="both"/>
        <w:rPr>
          <w:rFonts w:eastAsia="Times New Roman"/>
          <w:sz w:val="24"/>
          <w:szCs w:val="24"/>
        </w:rPr>
      </w:pPr>
      <w:r>
        <w:rPr>
          <w:rFonts w:eastAsia="Times New Roman"/>
          <w:sz w:val="24"/>
          <w:szCs w:val="24"/>
        </w:rPr>
        <w:t>For the first 12 months of recordkeeping, the dates and cumulative number of events during which the Turbidity exceeded five NTU, and after one year of recordkeeping for Turbidity measurements, the dates and cumulative number of events during which the Turbidity exceeded five NTU in the previous 12 months the system served water to the public.</w:t>
      </w:r>
    </w:p>
    <w:p w14:paraId="281A6070" w14:textId="77777777" w:rsidR="004647B9" w:rsidRDefault="00E2436F" w:rsidP="00905F85">
      <w:pPr>
        <w:numPr>
          <w:ilvl w:val="3"/>
          <w:numId w:val="605"/>
        </w:numPr>
        <w:tabs>
          <w:tab w:val="left" w:pos="2606"/>
        </w:tabs>
        <w:ind w:left="2260" w:hanging="5"/>
        <w:jc w:val="both"/>
        <w:rPr>
          <w:rFonts w:eastAsia="Times New Roman"/>
          <w:sz w:val="24"/>
          <w:szCs w:val="24"/>
        </w:rPr>
      </w:pPr>
      <w:r>
        <w:rPr>
          <w:rFonts w:eastAsia="Times New Roman"/>
          <w:sz w:val="24"/>
          <w:szCs w:val="24"/>
        </w:rPr>
        <w:t>For the first 120 months of recordkeeping, the dates and cumulative number of events during which the Turbidity exceeded five NTU, and after ten years of recordkeeping for Turbidity measurements, the dates and cumulative number of events during which the Turbidity exceeded five NTU in the previous 120 months the system served water to the public.</w:t>
      </w:r>
    </w:p>
    <w:p w14:paraId="281A6072" w14:textId="77777777" w:rsidR="004647B9" w:rsidRDefault="00E2436F" w:rsidP="00B81A73">
      <w:pPr>
        <w:numPr>
          <w:ilvl w:val="2"/>
          <w:numId w:val="605"/>
        </w:numPr>
        <w:tabs>
          <w:tab w:val="left" w:pos="2210"/>
        </w:tabs>
        <w:ind w:left="1900" w:hanging="5"/>
        <w:jc w:val="both"/>
        <w:rPr>
          <w:rFonts w:eastAsia="Times New Roman"/>
          <w:sz w:val="24"/>
          <w:szCs w:val="24"/>
        </w:rPr>
      </w:pPr>
      <w:r>
        <w:rPr>
          <w:rFonts w:eastAsia="Times New Roman"/>
          <w:sz w:val="24"/>
          <w:szCs w:val="24"/>
        </w:rPr>
        <w:t>Disinfection information specified in 310 CMR 22.20A(5)(b) must be reported to the Department within ten days after the end of each month the system serves water to the public. Information that must be reported includes:</w:t>
      </w:r>
    </w:p>
    <w:p w14:paraId="281A6073" w14:textId="77777777" w:rsidR="004647B9" w:rsidRDefault="004647B9" w:rsidP="00B81A73">
      <w:pPr>
        <w:sectPr w:rsidR="004647B9" w:rsidSect="00EF630C">
          <w:pgSz w:w="12240" w:h="20180"/>
          <w:pgMar w:top="708" w:right="1440" w:bottom="1014" w:left="620" w:header="0" w:footer="0" w:gutter="0"/>
          <w:cols w:space="720"/>
        </w:sectPr>
      </w:pPr>
    </w:p>
    <w:p w14:paraId="281A6074" w14:textId="77777777" w:rsidR="004647B9" w:rsidRDefault="00E2436F">
      <w:pPr>
        <w:tabs>
          <w:tab w:val="left" w:pos="160"/>
        </w:tabs>
        <w:ind w:right="20"/>
        <w:jc w:val="center"/>
        <w:rPr>
          <w:sz w:val="20"/>
          <w:szCs w:val="20"/>
        </w:rPr>
      </w:pPr>
      <w:bookmarkStart w:id="265" w:name="page269"/>
      <w:bookmarkEnd w:id="26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075" w14:textId="77777777" w:rsidR="004647B9" w:rsidRDefault="004647B9" w:rsidP="00B81A73">
      <w:pPr>
        <w:rPr>
          <w:sz w:val="20"/>
          <w:szCs w:val="20"/>
        </w:rPr>
      </w:pPr>
    </w:p>
    <w:p w14:paraId="281A6076" w14:textId="77777777" w:rsidR="004647B9" w:rsidRDefault="004647B9" w:rsidP="00B81A73">
      <w:pPr>
        <w:rPr>
          <w:sz w:val="20"/>
          <w:szCs w:val="20"/>
        </w:rPr>
      </w:pPr>
    </w:p>
    <w:p w14:paraId="281A6077" w14:textId="77777777" w:rsidR="004647B9" w:rsidRPr="00E91366" w:rsidRDefault="00E2436F" w:rsidP="00B81A73">
      <w:pPr>
        <w:tabs>
          <w:tab w:val="left" w:pos="940"/>
        </w:tabs>
        <w:rPr>
          <w:sz w:val="24"/>
          <w:szCs w:val="24"/>
        </w:rPr>
      </w:pPr>
      <w:r w:rsidRPr="00E91366">
        <w:rPr>
          <w:rFonts w:eastAsia="Times New Roman"/>
          <w:sz w:val="24"/>
          <w:szCs w:val="24"/>
        </w:rPr>
        <w:t>22.20A:</w:t>
      </w:r>
      <w:r w:rsidRPr="00E91366">
        <w:rPr>
          <w:rFonts w:eastAsia="Times New Roman"/>
          <w:sz w:val="24"/>
          <w:szCs w:val="24"/>
        </w:rPr>
        <w:tab/>
        <w:t>continued</w:t>
      </w:r>
    </w:p>
    <w:p w14:paraId="281A6078" w14:textId="77777777" w:rsidR="004647B9" w:rsidRPr="00B81A73" w:rsidRDefault="004647B9" w:rsidP="00B81A73">
      <w:pPr>
        <w:rPr>
          <w:sz w:val="20"/>
          <w:szCs w:val="20"/>
        </w:rPr>
      </w:pPr>
    </w:p>
    <w:p w14:paraId="281A6079" w14:textId="77777777" w:rsidR="004647B9" w:rsidRPr="00E91366" w:rsidRDefault="00E2436F" w:rsidP="00905F85">
      <w:pPr>
        <w:numPr>
          <w:ilvl w:val="0"/>
          <w:numId w:val="606"/>
        </w:numPr>
        <w:tabs>
          <w:tab w:val="left" w:pos="2606"/>
        </w:tabs>
        <w:ind w:left="2260" w:hanging="5"/>
        <w:rPr>
          <w:rFonts w:eastAsia="Times New Roman"/>
          <w:sz w:val="24"/>
          <w:szCs w:val="24"/>
        </w:rPr>
      </w:pPr>
      <w:r w:rsidRPr="00E91366">
        <w:rPr>
          <w:rFonts w:eastAsia="Times New Roman"/>
          <w:sz w:val="24"/>
          <w:szCs w:val="24"/>
        </w:rPr>
        <w:t>For each day, the lowest measurement of Residual Disinfectant Concentration in mg/l in water entering the Distribution System.</w:t>
      </w:r>
    </w:p>
    <w:p w14:paraId="281A607B" w14:textId="77777777" w:rsidR="004647B9" w:rsidRPr="00E91366" w:rsidRDefault="00E2436F" w:rsidP="00905F85">
      <w:pPr>
        <w:numPr>
          <w:ilvl w:val="0"/>
          <w:numId w:val="606"/>
        </w:numPr>
        <w:tabs>
          <w:tab w:val="left" w:pos="2606"/>
        </w:tabs>
        <w:ind w:left="2260" w:hanging="5"/>
        <w:jc w:val="both"/>
        <w:rPr>
          <w:rFonts w:eastAsia="Times New Roman"/>
          <w:sz w:val="24"/>
          <w:szCs w:val="24"/>
        </w:rPr>
      </w:pPr>
      <w:r w:rsidRPr="00E91366">
        <w:rPr>
          <w:rFonts w:eastAsia="Times New Roman"/>
          <w:sz w:val="24"/>
          <w:szCs w:val="24"/>
        </w:rPr>
        <w:t>The date and duration of each period when the Residual Disinfectant Concentration in water entering the Distribution System fell below 0.2 mg/l and when the Department was notified of the occurrence.</w:t>
      </w:r>
    </w:p>
    <w:p w14:paraId="281A607D" w14:textId="77777777" w:rsidR="004647B9" w:rsidRPr="00E91366" w:rsidRDefault="00E2436F" w:rsidP="00905F85">
      <w:pPr>
        <w:numPr>
          <w:ilvl w:val="0"/>
          <w:numId w:val="606"/>
        </w:numPr>
        <w:tabs>
          <w:tab w:val="left" w:pos="2606"/>
        </w:tabs>
        <w:ind w:left="2260" w:hanging="5"/>
        <w:rPr>
          <w:rFonts w:eastAsia="Times New Roman"/>
          <w:sz w:val="24"/>
          <w:szCs w:val="24"/>
        </w:rPr>
      </w:pPr>
      <w:r w:rsidRPr="00E91366">
        <w:rPr>
          <w:rFonts w:eastAsia="Times New Roman"/>
          <w:sz w:val="24"/>
          <w:szCs w:val="24"/>
        </w:rPr>
        <w:t>The daily Residual Disinfectant Concentration(s) (in mg/l) and Disinfectant Contact Time(s) (in minutes) used for calculating the CT value(s).</w:t>
      </w:r>
    </w:p>
    <w:p w14:paraId="281A607E" w14:textId="77777777" w:rsidR="004647B9" w:rsidRPr="00E91366" w:rsidRDefault="00E2436F" w:rsidP="00905F85">
      <w:pPr>
        <w:numPr>
          <w:ilvl w:val="0"/>
          <w:numId w:val="606"/>
        </w:numPr>
        <w:tabs>
          <w:tab w:val="left" w:pos="2606"/>
        </w:tabs>
        <w:ind w:left="2260" w:hanging="5"/>
        <w:rPr>
          <w:rFonts w:eastAsia="Times New Roman"/>
          <w:sz w:val="24"/>
          <w:szCs w:val="24"/>
        </w:rPr>
      </w:pPr>
      <w:r w:rsidRPr="00E91366">
        <w:rPr>
          <w:rFonts w:eastAsia="Times New Roman"/>
          <w:sz w:val="24"/>
          <w:szCs w:val="24"/>
        </w:rPr>
        <w:t>If chlorine is used, the daily measurement(s) of pH of disinfected water following each point of chlorine Disinfection.</w:t>
      </w:r>
    </w:p>
    <w:p w14:paraId="281A607F" w14:textId="77777777" w:rsidR="004647B9" w:rsidRPr="00E91366" w:rsidRDefault="00E2436F" w:rsidP="00905F85">
      <w:pPr>
        <w:numPr>
          <w:ilvl w:val="0"/>
          <w:numId w:val="606"/>
        </w:numPr>
        <w:tabs>
          <w:tab w:val="left" w:pos="2606"/>
        </w:tabs>
        <w:ind w:left="2260" w:hanging="5"/>
        <w:rPr>
          <w:rFonts w:eastAsia="Times New Roman"/>
          <w:sz w:val="24"/>
          <w:szCs w:val="24"/>
        </w:rPr>
      </w:pPr>
      <w:r w:rsidRPr="00E91366">
        <w:rPr>
          <w:rFonts w:eastAsia="Times New Roman"/>
          <w:sz w:val="24"/>
          <w:szCs w:val="24"/>
        </w:rPr>
        <w:t>The daily measurement(s) of water temperature in C following each point of Disinfect</w:t>
      </w:r>
      <w:r w:rsidR="007B206E" w:rsidRPr="00E91366">
        <w:rPr>
          <w:rFonts w:eastAsia="Times New Roman"/>
          <w:sz w:val="24"/>
          <w:szCs w:val="24"/>
        </w:rPr>
        <w:t>i</w:t>
      </w:r>
      <w:r w:rsidRPr="00E91366">
        <w:rPr>
          <w:rFonts w:eastAsia="Times New Roman"/>
          <w:sz w:val="24"/>
          <w:szCs w:val="24"/>
        </w:rPr>
        <w:t>on.</w:t>
      </w:r>
    </w:p>
    <w:p w14:paraId="281A6082" w14:textId="29EEEAA0" w:rsidR="004647B9" w:rsidRPr="00E91366" w:rsidRDefault="00E2436F" w:rsidP="00905F85">
      <w:pPr>
        <w:numPr>
          <w:ilvl w:val="0"/>
          <w:numId w:val="606"/>
        </w:numPr>
        <w:tabs>
          <w:tab w:val="left" w:pos="2606"/>
        </w:tabs>
        <w:ind w:left="2260" w:firstLine="1"/>
        <w:rPr>
          <w:sz w:val="24"/>
          <w:szCs w:val="24"/>
        </w:rPr>
      </w:pPr>
      <w:r w:rsidRPr="00E91366">
        <w:rPr>
          <w:rFonts w:eastAsia="Times New Roman"/>
          <w:sz w:val="24"/>
          <w:szCs w:val="24"/>
        </w:rPr>
        <w:t>The da</w:t>
      </w:r>
      <w:r w:rsidR="007B206E" w:rsidRPr="00E91366">
        <w:rPr>
          <w:rFonts w:eastAsia="Times New Roman"/>
          <w:sz w:val="24"/>
          <w:szCs w:val="24"/>
        </w:rPr>
        <w:t>i</w:t>
      </w:r>
      <w:r w:rsidRPr="00E91366">
        <w:rPr>
          <w:rFonts w:eastAsia="Times New Roman"/>
          <w:sz w:val="24"/>
          <w:szCs w:val="24"/>
        </w:rPr>
        <w:t>ly CT</w:t>
      </w:r>
      <w:r w:rsidRPr="00D46D7E">
        <w:rPr>
          <w:rFonts w:eastAsia="Times New Roman"/>
          <w:sz w:val="24"/>
          <w:szCs w:val="24"/>
        </w:rPr>
        <w:t>calc</w:t>
      </w:r>
      <w:r w:rsidRPr="00E91366">
        <w:rPr>
          <w:rFonts w:eastAsia="Times New Roman"/>
          <w:sz w:val="24"/>
          <w:szCs w:val="24"/>
        </w:rPr>
        <w:t xml:space="preserve"> and CT</w:t>
      </w:r>
      <w:r w:rsidRPr="00D46D7E">
        <w:rPr>
          <w:rFonts w:eastAsia="Times New Roman"/>
          <w:sz w:val="24"/>
          <w:szCs w:val="24"/>
        </w:rPr>
        <w:t>calc</w:t>
      </w:r>
      <w:r w:rsidRPr="00E91366">
        <w:rPr>
          <w:rFonts w:eastAsia="Times New Roman"/>
          <w:sz w:val="24"/>
          <w:szCs w:val="24"/>
        </w:rPr>
        <w:t>/CT</w:t>
      </w:r>
      <w:r w:rsidRPr="00E91366">
        <w:rPr>
          <w:rFonts w:eastAsia="Times New Roman"/>
          <w:sz w:val="24"/>
          <w:szCs w:val="24"/>
          <w:vertAlign w:val="subscript"/>
        </w:rPr>
        <w:t>99.9</w:t>
      </w:r>
      <w:r w:rsidRPr="00E91366">
        <w:rPr>
          <w:rFonts w:eastAsia="Times New Roman"/>
          <w:sz w:val="24"/>
          <w:szCs w:val="24"/>
        </w:rPr>
        <w:t xml:space="preserve"> values for each Disinfectant measurement or</w:t>
      </w:r>
      <w:r w:rsidR="00AA12E2" w:rsidRPr="00E91366">
        <w:rPr>
          <w:rFonts w:eastAsia="Times New Roman"/>
          <w:sz w:val="24"/>
          <w:szCs w:val="24"/>
        </w:rPr>
        <w:t xml:space="preserve"> </w:t>
      </w:r>
      <w:r w:rsidRPr="00E91366">
        <w:rPr>
          <w:rFonts w:eastAsia="Times New Roman"/>
          <w:sz w:val="24"/>
          <w:szCs w:val="24"/>
        </w:rPr>
        <w:t xml:space="preserve">sequence and </w:t>
      </w:r>
      <w:r w:rsidR="007B206E" w:rsidRPr="00E91366">
        <w:rPr>
          <w:rFonts w:eastAsia="Times New Roman"/>
          <w:sz w:val="24"/>
          <w:szCs w:val="24"/>
        </w:rPr>
        <w:t>t</w:t>
      </w:r>
      <w:r w:rsidRPr="00E91366">
        <w:rPr>
          <w:rFonts w:eastAsia="Times New Roman"/>
          <w:sz w:val="24"/>
          <w:szCs w:val="24"/>
        </w:rPr>
        <w:t>he sum of all CT</w:t>
      </w:r>
      <w:r w:rsidRPr="00D46D7E">
        <w:rPr>
          <w:rFonts w:eastAsia="Times New Roman"/>
          <w:sz w:val="24"/>
          <w:szCs w:val="24"/>
        </w:rPr>
        <w:t>calc</w:t>
      </w:r>
      <w:r w:rsidRPr="00E91366">
        <w:rPr>
          <w:rFonts w:eastAsia="Times New Roman"/>
          <w:sz w:val="24"/>
          <w:szCs w:val="24"/>
        </w:rPr>
        <w:t>/CT</w:t>
      </w:r>
      <w:r w:rsidRPr="00E91366">
        <w:rPr>
          <w:rFonts w:eastAsia="Times New Roman"/>
          <w:sz w:val="24"/>
          <w:szCs w:val="24"/>
          <w:vertAlign w:val="subscript"/>
        </w:rPr>
        <w:t>99.9</w:t>
      </w:r>
      <w:r w:rsidRPr="00E91366">
        <w:rPr>
          <w:rFonts w:eastAsia="Times New Roman"/>
          <w:sz w:val="24"/>
          <w:szCs w:val="24"/>
        </w:rPr>
        <w:t xml:space="preserve"> values ((CTcalc/CT</w:t>
      </w:r>
      <w:r w:rsidRPr="00E91366">
        <w:rPr>
          <w:rFonts w:eastAsia="Times New Roman"/>
          <w:sz w:val="24"/>
          <w:szCs w:val="24"/>
          <w:vertAlign w:val="subscript"/>
        </w:rPr>
        <w:t>99.9</w:t>
      </w:r>
      <w:r w:rsidRPr="00E91366">
        <w:rPr>
          <w:rFonts w:eastAsia="Times New Roman"/>
          <w:sz w:val="24"/>
          <w:szCs w:val="24"/>
        </w:rPr>
        <w:t>)) before or at the first customer.</w:t>
      </w:r>
    </w:p>
    <w:p w14:paraId="281A6084" w14:textId="77777777" w:rsidR="004647B9" w:rsidRPr="00E91366" w:rsidRDefault="00E2436F" w:rsidP="00905F85">
      <w:pPr>
        <w:numPr>
          <w:ilvl w:val="0"/>
          <w:numId w:val="607"/>
        </w:numPr>
        <w:tabs>
          <w:tab w:val="left" w:pos="2606"/>
        </w:tabs>
        <w:ind w:left="2260" w:hanging="5"/>
        <w:jc w:val="both"/>
        <w:rPr>
          <w:rFonts w:eastAsia="Times New Roman"/>
          <w:sz w:val="24"/>
          <w:szCs w:val="24"/>
        </w:rPr>
      </w:pPr>
      <w:r w:rsidRPr="00E91366">
        <w:rPr>
          <w:rFonts w:eastAsia="Times New Roman"/>
          <w:sz w:val="24"/>
          <w:szCs w:val="24"/>
        </w:rPr>
        <w:t xml:space="preserve">The daily determination of whether Disinfection achieves adequate </w:t>
      </w:r>
      <w:r w:rsidRPr="00E91366">
        <w:rPr>
          <w:rFonts w:eastAsia="Times New Roman"/>
          <w:i/>
          <w:iCs/>
          <w:sz w:val="24"/>
          <w:szCs w:val="24"/>
        </w:rPr>
        <w:t>Giardia</w:t>
      </w:r>
      <w:r w:rsidRPr="00E91366">
        <w:rPr>
          <w:rFonts w:eastAsia="Times New Roman"/>
          <w:sz w:val="24"/>
          <w:szCs w:val="24"/>
        </w:rPr>
        <w:t xml:space="preserve"> cyst and Virus inactivation, </w:t>
      </w:r>
      <w:r w:rsidR="007B206E" w:rsidRPr="00E91366">
        <w:rPr>
          <w:rFonts w:eastAsia="Times New Roman"/>
          <w:i/>
          <w:iCs/>
          <w:sz w:val="24"/>
          <w:szCs w:val="24"/>
        </w:rPr>
        <w:t>i</w:t>
      </w:r>
      <w:r w:rsidRPr="00E91366">
        <w:rPr>
          <w:rFonts w:eastAsia="Times New Roman"/>
          <w:i/>
          <w:iCs/>
          <w:sz w:val="24"/>
          <w:szCs w:val="24"/>
        </w:rPr>
        <w:t>.e</w:t>
      </w:r>
      <w:r w:rsidRPr="00E91366">
        <w:rPr>
          <w:rFonts w:eastAsia="Times New Roman"/>
          <w:sz w:val="24"/>
          <w:szCs w:val="24"/>
        </w:rPr>
        <w:t>., whether (CTcalc/CT</w:t>
      </w:r>
      <w:r w:rsidRPr="00E91366">
        <w:rPr>
          <w:rFonts w:eastAsia="Times New Roman"/>
          <w:sz w:val="24"/>
          <w:szCs w:val="24"/>
          <w:vertAlign w:val="subscript"/>
        </w:rPr>
        <w:t>99.9</w:t>
      </w:r>
      <w:r w:rsidRPr="00E91366">
        <w:rPr>
          <w:rFonts w:eastAsia="Times New Roman"/>
          <w:sz w:val="24"/>
          <w:szCs w:val="24"/>
        </w:rPr>
        <w:t>) is at least 1.0 or, where Disinfectants other than chlorine are used, other indicator conditions that the Department determines are appropriate, are met.</w:t>
      </w:r>
    </w:p>
    <w:p w14:paraId="281A6086" w14:textId="77777777" w:rsidR="004647B9" w:rsidRPr="00E91366" w:rsidRDefault="00E2436F" w:rsidP="00905F85">
      <w:pPr>
        <w:numPr>
          <w:ilvl w:val="0"/>
          <w:numId w:val="607"/>
        </w:numPr>
        <w:tabs>
          <w:tab w:val="left" w:pos="2606"/>
        </w:tabs>
        <w:ind w:left="2260" w:hanging="5"/>
        <w:rPr>
          <w:rFonts w:eastAsia="Times New Roman"/>
          <w:sz w:val="24"/>
          <w:szCs w:val="24"/>
        </w:rPr>
      </w:pPr>
      <w:r w:rsidRPr="00E91366">
        <w:rPr>
          <w:rFonts w:eastAsia="Times New Roman"/>
          <w:sz w:val="24"/>
          <w:szCs w:val="24"/>
        </w:rPr>
        <w:t>The following information on the samples taken in the Distribution System in conjunction with total coliform monitoring pursuant to 310 CMR 22.20A(3):</w:t>
      </w:r>
    </w:p>
    <w:p w14:paraId="281A6087" w14:textId="77777777" w:rsidR="004647B9" w:rsidRPr="00E91366" w:rsidRDefault="00E2436F" w:rsidP="00905F85">
      <w:pPr>
        <w:numPr>
          <w:ilvl w:val="1"/>
          <w:numId w:val="607"/>
        </w:numPr>
        <w:tabs>
          <w:tab w:val="left" w:pos="2995"/>
        </w:tabs>
        <w:ind w:left="2621"/>
        <w:rPr>
          <w:rFonts w:eastAsia="Times New Roman"/>
          <w:sz w:val="24"/>
          <w:szCs w:val="24"/>
        </w:rPr>
      </w:pPr>
      <w:r w:rsidRPr="00E91366">
        <w:rPr>
          <w:rFonts w:eastAsia="Times New Roman"/>
          <w:sz w:val="24"/>
          <w:szCs w:val="24"/>
        </w:rPr>
        <w:t>Number of instances where the Residual Disinfectant Concentration is measured;</w:t>
      </w:r>
    </w:p>
    <w:p w14:paraId="281A6088" w14:textId="77777777" w:rsidR="004647B9" w:rsidRPr="00E91366" w:rsidRDefault="00E2436F" w:rsidP="00905F85">
      <w:pPr>
        <w:numPr>
          <w:ilvl w:val="1"/>
          <w:numId w:val="607"/>
        </w:numPr>
        <w:tabs>
          <w:tab w:val="left" w:pos="3008"/>
        </w:tabs>
        <w:ind w:left="2621"/>
        <w:rPr>
          <w:rFonts w:eastAsia="Times New Roman"/>
          <w:sz w:val="24"/>
          <w:szCs w:val="24"/>
        </w:rPr>
      </w:pPr>
      <w:r w:rsidRPr="00E91366">
        <w:rPr>
          <w:rFonts w:eastAsia="Times New Roman"/>
          <w:sz w:val="24"/>
          <w:szCs w:val="24"/>
        </w:rPr>
        <w:t>Number of instances where the Residual Disinfectant Concentration is not measured but heterotrophic bacteria plate count (HPC) is measured;</w:t>
      </w:r>
    </w:p>
    <w:p w14:paraId="281A6089" w14:textId="77777777" w:rsidR="004647B9" w:rsidRPr="00E91366" w:rsidRDefault="00E2436F" w:rsidP="00905F85">
      <w:pPr>
        <w:numPr>
          <w:ilvl w:val="1"/>
          <w:numId w:val="608"/>
        </w:numPr>
        <w:tabs>
          <w:tab w:val="left" w:pos="2995"/>
        </w:tabs>
        <w:ind w:left="2621"/>
        <w:rPr>
          <w:rFonts w:eastAsia="Times New Roman"/>
          <w:sz w:val="24"/>
          <w:szCs w:val="24"/>
        </w:rPr>
      </w:pPr>
      <w:r w:rsidRPr="00E91366">
        <w:rPr>
          <w:rFonts w:eastAsia="Times New Roman"/>
          <w:sz w:val="24"/>
          <w:szCs w:val="24"/>
        </w:rPr>
        <w:t>Number of instances where the Residual Disinfectant Concentration is measured but not detected and no HPC is measured;</w:t>
      </w:r>
    </w:p>
    <w:p w14:paraId="281A608A" w14:textId="77777777" w:rsidR="004647B9" w:rsidRPr="00E91366" w:rsidRDefault="00E2436F" w:rsidP="00905F85">
      <w:pPr>
        <w:numPr>
          <w:ilvl w:val="0"/>
          <w:numId w:val="609"/>
        </w:numPr>
        <w:tabs>
          <w:tab w:val="left" w:pos="2995"/>
        </w:tabs>
        <w:ind w:left="2621"/>
        <w:rPr>
          <w:rFonts w:eastAsia="Times New Roman"/>
          <w:sz w:val="24"/>
          <w:szCs w:val="24"/>
        </w:rPr>
      </w:pPr>
      <w:r w:rsidRPr="00E91366">
        <w:rPr>
          <w:rFonts w:eastAsia="Times New Roman"/>
          <w:sz w:val="24"/>
          <w:szCs w:val="24"/>
        </w:rPr>
        <w:t>Number of instances where the Residual Disinfectant Concentration is measured but not detected and where HPC is &gt;500/ml;</w:t>
      </w:r>
    </w:p>
    <w:p w14:paraId="281A608B" w14:textId="77777777" w:rsidR="004647B9" w:rsidRPr="00E91366" w:rsidRDefault="00E2436F" w:rsidP="00905F85">
      <w:pPr>
        <w:numPr>
          <w:ilvl w:val="0"/>
          <w:numId w:val="609"/>
        </w:numPr>
        <w:tabs>
          <w:tab w:val="left" w:pos="3002"/>
        </w:tabs>
        <w:ind w:left="2621"/>
        <w:rPr>
          <w:rFonts w:eastAsia="Times New Roman"/>
          <w:sz w:val="24"/>
          <w:szCs w:val="24"/>
        </w:rPr>
      </w:pPr>
      <w:r w:rsidRPr="00E91366">
        <w:rPr>
          <w:rFonts w:eastAsia="Times New Roman"/>
          <w:sz w:val="24"/>
          <w:szCs w:val="24"/>
        </w:rPr>
        <w:t>Number of instances where the Residual Disinfectant Concentration is not measured and HPC is &gt;500/ml;</w:t>
      </w:r>
    </w:p>
    <w:p w14:paraId="281A608C" w14:textId="77777777" w:rsidR="004647B9" w:rsidRPr="00E91366" w:rsidRDefault="00E2436F" w:rsidP="00905F85">
      <w:pPr>
        <w:numPr>
          <w:ilvl w:val="0"/>
          <w:numId w:val="609"/>
        </w:numPr>
        <w:tabs>
          <w:tab w:val="left" w:pos="2996"/>
        </w:tabs>
        <w:ind w:left="2621"/>
        <w:rPr>
          <w:rFonts w:eastAsia="Times New Roman"/>
          <w:sz w:val="24"/>
          <w:szCs w:val="24"/>
        </w:rPr>
      </w:pPr>
      <w:r w:rsidRPr="00E91366">
        <w:rPr>
          <w:rFonts w:eastAsia="Times New Roman"/>
          <w:sz w:val="24"/>
          <w:szCs w:val="24"/>
        </w:rPr>
        <w:t>For the current and previous month the system served water to the publi</w:t>
      </w:r>
      <w:r w:rsidRPr="00E91366" w:rsidDel="007B206E">
        <w:rPr>
          <w:rFonts w:eastAsia="Times New Roman"/>
          <w:sz w:val="24"/>
          <w:szCs w:val="24"/>
        </w:rPr>
        <w:t>c</w:t>
      </w:r>
      <w:r w:rsidRPr="00E91366">
        <w:rPr>
          <w:rFonts w:eastAsia="Times New Roman"/>
          <w:sz w:val="24"/>
          <w:szCs w:val="24"/>
        </w:rPr>
        <w:t>, the value of "V" in the following formula:</w:t>
      </w:r>
    </w:p>
    <w:p w14:paraId="281A608D" w14:textId="0B8721F5" w:rsidR="004647B9" w:rsidRPr="00B81A73" w:rsidRDefault="008E007D" w:rsidP="00B81A73">
      <w:pPr>
        <w:rPr>
          <w:sz w:val="24"/>
          <w:szCs w:val="24"/>
        </w:rPr>
      </w:pPr>
      <w:r w:rsidRPr="00B81A73">
        <w:rPr>
          <w:noProof/>
          <w:sz w:val="24"/>
          <w:szCs w:val="24"/>
        </w:rPr>
        <w:drawing>
          <wp:anchor distT="0" distB="0" distL="114300" distR="114300" simplePos="0" relativeHeight="251658254" behindDoc="1" locked="0" layoutInCell="0" allowOverlap="1" wp14:anchorId="577663D4" wp14:editId="097ECC4F">
            <wp:simplePos x="0" y="0"/>
            <wp:positionH relativeFrom="column">
              <wp:posOffset>2493034</wp:posOffset>
            </wp:positionH>
            <wp:positionV relativeFrom="paragraph">
              <wp:posOffset>137387</wp:posOffset>
            </wp:positionV>
            <wp:extent cx="1462405" cy="340360"/>
            <wp:effectExtent l="0" t="0" r="0" b="0"/>
            <wp:wrapNone/>
            <wp:docPr id="932" name="Picture 93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Picture 932" descr="Shape&#10;&#10;Description automatically generated with medium confidence"/>
                    <pic:cNvPicPr>
                      <a:picLocks noChangeAspect="1" noChangeArrowheads="1"/>
                    </pic:cNvPicPr>
                  </pic:nvPicPr>
                  <pic:blipFill>
                    <a:blip r:embed="rId17"/>
                    <a:srcRect/>
                    <a:stretch>
                      <a:fillRect/>
                    </a:stretch>
                  </pic:blipFill>
                  <pic:spPr bwMode="auto">
                    <a:xfrm>
                      <a:off x="0" y="0"/>
                      <a:ext cx="1462405" cy="340360"/>
                    </a:xfrm>
                    <a:prstGeom prst="rect">
                      <a:avLst/>
                    </a:prstGeom>
                    <a:noFill/>
                  </pic:spPr>
                </pic:pic>
              </a:graphicData>
            </a:graphic>
          </wp:anchor>
        </w:drawing>
      </w:r>
    </w:p>
    <w:p w14:paraId="281A608E" w14:textId="0E667445" w:rsidR="004647B9" w:rsidRPr="00B81A73" w:rsidRDefault="004647B9" w:rsidP="00B81A73">
      <w:pPr>
        <w:rPr>
          <w:sz w:val="24"/>
          <w:szCs w:val="24"/>
        </w:rPr>
      </w:pPr>
    </w:p>
    <w:p w14:paraId="281A608F" w14:textId="77777777" w:rsidR="004647B9" w:rsidRPr="00B81A73" w:rsidRDefault="004647B9" w:rsidP="00B81A73">
      <w:pPr>
        <w:rPr>
          <w:sz w:val="24"/>
          <w:szCs w:val="24"/>
        </w:rPr>
      </w:pPr>
    </w:p>
    <w:p w14:paraId="281A6090" w14:textId="77777777" w:rsidR="004647B9" w:rsidRPr="00B81A73" w:rsidRDefault="004647B9" w:rsidP="00B81A73">
      <w:pPr>
        <w:rPr>
          <w:sz w:val="24"/>
          <w:szCs w:val="24"/>
        </w:rPr>
      </w:pPr>
    </w:p>
    <w:p w14:paraId="281A6091" w14:textId="77777777" w:rsidR="004647B9" w:rsidRPr="00D46D7E" w:rsidRDefault="00E2436F" w:rsidP="00B81A73">
      <w:pPr>
        <w:ind w:left="2620"/>
        <w:rPr>
          <w:sz w:val="24"/>
          <w:szCs w:val="24"/>
        </w:rPr>
      </w:pPr>
      <w:r w:rsidRPr="00D46D7E">
        <w:rPr>
          <w:rFonts w:eastAsia="Times New Roman"/>
          <w:sz w:val="24"/>
          <w:szCs w:val="24"/>
        </w:rPr>
        <w:t>Where</w:t>
      </w:r>
    </w:p>
    <w:p w14:paraId="281A6093" w14:textId="77777777" w:rsidR="004647B9" w:rsidRPr="00D46D7E" w:rsidRDefault="00E2436F" w:rsidP="00B81A73">
      <w:pPr>
        <w:numPr>
          <w:ilvl w:val="3"/>
          <w:numId w:val="610"/>
        </w:numPr>
        <w:tabs>
          <w:tab w:val="left" w:pos="3200"/>
        </w:tabs>
        <w:ind w:left="3200" w:hanging="225"/>
        <w:rPr>
          <w:rFonts w:eastAsia="Times New Roman"/>
          <w:sz w:val="24"/>
          <w:szCs w:val="24"/>
        </w:rPr>
      </w:pPr>
      <w:r w:rsidRPr="00D46D7E">
        <w:rPr>
          <w:rFonts w:eastAsia="Times New Roman"/>
          <w:sz w:val="24"/>
          <w:szCs w:val="24"/>
        </w:rPr>
        <w:t>= the value in 310 CMR 22.20A(6)(a)2.h.i.</w:t>
      </w:r>
    </w:p>
    <w:p w14:paraId="281A6095" w14:textId="77777777" w:rsidR="004647B9" w:rsidRPr="00D46D7E" w:rsidRDefault="00E2436F" w:rsidP="00B81A73">
      <w:pPr>
        <w:numPr>
          <w:ilvl w:val="3"/>
          <w:numId w:val="610"/>
        </w:numPr>
        <w:tabs>
          <w:tab w:val="left" w:pos="3220"/>
        </w:tabs>
        <w:ind w:left="3220" w:hanging="245"/>
        <w:rPr>
          <w:rFonts w:eastAsia="Times New Roman"/>
          <w:sz w:val="24"/>
          <w:szCs w:val="24"/>
        </w:rPr>
      </w:pPr>
      <w:r w:rsidRPr="00D46D7E">
        <w:rPr>
          <w:rFonts w:eastAsia="Times New Roman"/>
          <w:sz w:val="24"/>
          <w:szCs w:val="24"/>
        </w:rPr>
        <w:t>= the value in 310 CMR 22.20A(6)(a)2.h.ii.</w:t>
      </w:r>
    </w:p>
    <w:p w14:paraId="281A6097" w14:textId="77777777" w:rsidR="004647B9" w:rsidRPr="00D46D7E" w:rsidRDefault="00E2436F" w:rsidP="00B81A73">
      <w:pPr>
        <w:numPr>
          <w:ilvl w:val="3"/>
          <w:numId w:val="610"/>
        </w:numPr>
        <w:tabs>
          <w:tab w:val="left" w:pos="3200"/>
        </w:tabs>
        <w:ind w:left="3200" w:hanging="225"/>
        <w:rPr>
          <w:rFonts w:eastAsia="Times New Roman"/>
          <w:sz w:val="24"/>
          <w:szCs w:val="24"/>
        </w:rPr>
      </w:pPr>
      <w:r w:rsidRPr="00D46D7E">
        <w:rPr>
          <w:rFonts w:eastAsia="Times New Roman"/>
          <w:sz w:val="24"/>
          <w:szCs w:val="24"/>
        </w:rPr>
        <w:t>= the value in 310 CMR 22.20A(6)(a)2.h.iii.</w:t>
      </w:r>
    </w:p>
    <w:p w14:paraId="281A6099" w14:textId="77777777" w:rsidR="004647B9" w:rsidRPr="00D46D7E" w:rsidRDefault="00E2436F" w:rsidP="00B81A73">
      <w:pPr>
        <w:numPr>
          <w:ilvl w:val="3"/>
          <w:numId w:val="610"/>
        </w:numPr>
        <w:tabs>
          <w:tab w:val="left" w:pos="3220"/>
        </w:tabs>
        <w:ind w:left="3220" w:hanging="245"/>
        <w:rPr>
          <w:rFonts w:eastAsia="Times New Roman"/>
          <w:sz w:val="24"/>
          <w:szCs w:val="24"/>
        </w:rPr>
      </w:pPr>
      <w:r w:rsidRPr="00D46D7E">
        <w:rPr>
          <w:rFonts w:eastAsia="Times New Roman"/>
          <w:sz w:val="24"/>
          <w:szCs w:val="24"/>
        </w:rPr>
        <w:t>= the value in 310 CMR 22.20A(6)(a)2.h.iv.</w:t>
      </w:r>
    </w:p>
    <w:p w14:paraId="281A609B" w14:textId="77777777" w:rsidR="004647B9" w:rsidRPr="00D46D7E" w:rsidRDefault="00E2436F" w:rsidP="00B81A73">
      <w:pPr>
        <w:numPr>
          <w:ilvl w:val="3"/>
          <w:numId w:val="610"/>
        </w:numPr>
        <w:tabs>
          <w:tab w:val="left" w:pos="3200"/>
        </w:tabs>
        <w:ind w:left="3200" w:hanging="225"/>
        <w:rPr>
          <w:rFonts w:eastAsia="Times New Roman"/>
          <w:sz w:val="24"/>
          <w:szCs w:val="24"/>
        </w:rPr>
      </w:pPr>
      <w:r w:rsidRPr="00D46D7E">
        <w:rPr>
          <w:rFonts w:eastAsia="Times New Roman"/>
          <w:sz w:val="24"/>
          <w:szCs w:val="24"/>
        </w:rPr>
        <w:t>= the value in 310 CMR 22.20A(6)(a)2.h.v.</w:t>
      </w:r>
    </w:p>
    <w:p w14:paraId="281A609C" w14:textId="77777777" w:rsidR="004647B9" w:rsidRPr="00D46D7E" w:rsidRDefault="004647B9" w:rsidP="00B81A73">
      <w:pPr>
        <w:rPr>
          <w:rFonts w:eastAsia="Times New Roman"/>
          <w:sz w:val="24"/>
          <w:szCs w:val="24"/>
        </w:rPr>
      </w:pPr>
    </w:p>
    <w:p w14:paraId="281A609D" w14:textId="77777777" w:rsidR="004647B9" w:rsidRPr="00D46D7E" w:rsidRDefault="00E2436F" w:rsidP="00B81A73">
      <w:pPr>
        <w:numPr>
          <w:ilvl w:val="1"/>
          <w:numId w:val="611"/>
        </w:numPr>
        <w:tabs>
          <w:tab w:val="left" w:pos="2603"/>
        </w:tabs>
        <w:ind w:left="2260" w:hanging="5"/>
        <w:jc w:val="both"/>
        <w:rPr>
          <w:rFonts w:eastAsia="Times New Roman"/>
          <w:sz w:val="24"/>
          <w:szCs w:val="24"/>
        </w:rPr>
      </w:pPr>
      <w:r w:rsidRPr="00D46D7E">
        <w:rPr>
          <w:rFonts w:eastAsia="Times New Roman"/>
          <w:sz w:val="24"/>
          <w:szCs w:val="24"/>
        </w:rPr>
        <w:t>A system need not report the data listed in 310 CMR 22.20A(6)(a)2.a., and c. through f., if all data listed in 310 CMR 22.20A(6)(a)2.a. through f. remains on file at the system, and the Department determines that:</w:t>
      </w:r>
    </w:p>
    <w:p w14:paraId="281A609F" w14:textId="77777777" w:rsidR="004647B9" w:rsidRPr="00D46D7E" w:rsidRDefault="00E2436F" w:rsidP="00B81A73">
      <w:pPr>
        <w:numPr>
          <w:ilvl w:val="2"/>
          <w:numId w:val="611"/>
        </w:numPr>
        <w:tabs>
          <w:tab w:val="left" w:pos="2942"/>
        </w:tabs>
        <w:ind w:left="2620" w:hanging="5"/>
        <w:rPr>
          <w:rFonts w:eastAsia="Times New Roman"/>
          <w:sz w:val="24"/>
          <w:szCs w:val="24"/>
        </w:rPr>
      </w:pPr>
      <w:r w:rsidRPr="00D46D7E">
        <w:rPr>
          <w:rFonts w:eastAsia="Times New Roman"/>
          <w:sz w:val="24"/>
          <w:szCs w:val="24"/>
        </w:rPr>
        <w:t>The Supplier of Water has submitted to the Department all the information required by 310 CMR 22.20A(6)(a)2.a. through h. for at least 12 months; and</w:t>
      </w:r>
    </w:p>
    <w:p w14:paraId="281A60A0" w14:textId="77777777" w:rsidR="004647B9" w:rsidRPr="00D46D7E" w:rsidRDefault="00E2436F" w:rsidP="00B81A73">
      <w:pPr>
        <w:numPr>
          <w:ilvl w:val="2"/>
          <w:numId w:val="611"/>
        </w:numPr>
        <w:tabs>
          <w:tab w:val="left" w:pos="3022"/>
        </w:tabs>
        <w:ind w:left="2620" w:hanging="5"/>
        <w:rPr>
          <w:rFonts w:eastAsia="Times New Roman"/>
          <w:sz w:val="24"/>
          <w:szCs w:val="24"/>
        </w:rPr>
      </w:pPr>
      <w:r w:rsidRPr="00D46D7E">
        <w:rPr>
          <w:rFonts w:eastAsia="Times New Roman"/>
          <w:sz w:val="24"/>
          <w:szCs w:val="24"/>
        </w:rPr>
        <w:t>The Department has determined that the system is not required to provide Filtration treatment.</w:t>
      </w:r>
    </w:p>
    <w:p w14:paraId="281A60A1" w14:textId="77777777" w:rsidR="004647B9" w:rsidRPr="00D46D7E" w:rsidRDefault="00E2436F" w:rsidP="00B81A73">
      <w:pPr>
        <w:numPr>
          <w:ilvl w:val="0"/>
          <w:numId w:val="612"/>
        </w:numPr>
        <w:tabs>
          <w:tab w:val="left" w:pos="2260"/>
        </w:tabs>
        <w:ind w:left="1900" w:hanging="5"/>
        <w:jc w:val="both"/>
        <w:rPr>
          <w:rFonts w:eastAsia="Times New Roman"/>
          <w:sz w:val="24"/>
          <w:szCs w:val="24"/>
        </w:rPr>
      </w:pPr>
      <w:r w:rsidRPr="00D46D7E">
        <w:rPr>
          <w:rFonts w:eastAsia="Times New Roman"/>
          <w:sz w:val="24"/>
          <w:szCs w:val="24"/>
        </w:rPr>
        <w:t>No later than January 10</w:t>
      </w:r>
      <w:r w:rsidRPr="00D46D7E">
        <w:rPr>
          <w:rFonts w:eastAsia="Times New Roman"/>
          <w:sz w:val="24"/>
          <w:szCs w:val="24"/>
          <w:vertAlign w:val="superscript"/>
        </w:rPr>
        <w:t>th</w:t>
      </w:r>
      <w:r w:rsidRPr="00D46D7E">
        <w:rPr>
          <w:rFonts w:eastAsia="Times New Roman"/>
          <w:sz w:val="24"/>
          <w:szCs w:val="24"/>
        </w:rPr>
        <w:t xml:space="preserve"> of each year, each Supplier of Water must provide to the Department a report which summarizes its compliance with all watershed control program requirements specified in 310 CMR 22.20A(2)(b)5.</w:t>
      </w:r>
    </w:p>
    <w:p w14:paraId="281A60A2" w14:textId="4F22F1C5" w:rsidR="004647B9" w:rsidRPr="00D46D7E" w:rsidRDefault="00E2436F" w:rsidP="00B81A73">
      <w:pPr>
        <w:numPr>
          <w:ilvl w:val="0"/>
          <w:numId w:val="612"/>
        </w:numPr>
        <w:tabs>
          <w:tab w:val="left" w:pos="2246"/>
        </w:tabs>
        <w:ind w:left="1900" w:hanging="5"/>
        <w:jc w:val="both"/>
        <w:rPr>
          <w:rFonts w:eastAsia="Times New Roman"/>
          <w:sz w:val="24"/>
          <w:szCs w:val="24"/>
        </w:rPr>
      </w:pPr>
      <w:r w:rsidRPr="00D46D7E">
        <w:rPr>
          <w:rFonts w:eastAsia="Times New Roman"/>
          <w:sz w:val="24"/>
          <w:szCs w:val="24"/>
        </w:rPr>
        <w:t>No later than January 10</w:t>
      </w:r>
      <w:r w:rsidRPr="00D46D7E">
        <w:rPr>
          <w:rFonts w:eastAsia="Times New Roman"/>
          <w:sz w:val="24"/>
          <w:szCs w:val="24"/>
          <w:vertAlign w:val="superscript"/>
        </w:rPr>
        <w:t>th</w:t>
      </w:r>
      <w:r w:rsidRPr="00D46D7E">
        <w:rPr>
          <w:rFonts w:eastAsia="Times New Roman"/>
          <w:sz w:val="24"/>
          <w:szCs w:val="24"/>
        </w:rPr>
        <w:t xml:space="preserve"> of each year each system must provide to the Department a report on the on site inspection conducted during that year pursuant to 310 CMR</w:t>
      </w:r>
      <w:r w:rsidR="00B81A73">
        <w:rPr>
          <w:rFonts w:eastAsia="Times New Roman"/>
          <w:sz w:val="24"/>
          <w:szCs w:val="24"/>
        </w:rPr>
        <w:t xml:space="preserve"> 22.</w:t>
      </w:r>
      <w:r w:rsidR="00B81A73" w:rsidRPr="00B81A73">
        <w:rPr>
          <w:rFonts w:eastAsia="Times New Roman"/>
          <w:sz w:val="24"/>
          <w:szCs w:val="24"/>
        </w:rPr>
        <w:t xml:space="preserve"> </w:t>
      </w:r>
      <w:r w:rsidR="00B81A73" w:rsidRPr="00D46D7E">
        <w:rPr>
          <w:rFonts w:eastAsia="Times New Roman"/>
          <w:sz w:val="24"/>
          <w:szCs w:val="24"/>
        </w:rPr>
        <w:t>20A(2)(b)6. unless the on site inspection was conducted by the Department</w:t>
      </w:r>
      <w:r w:rsidR="00B4547C">
        <w:rPr>
          <w:rFonts w:eastAsia="Times New Roman"/>
          <w:sz w:val="24"/>
          <w:szCs w:val="24"/>
        </w:rPr>
        <w:t>.</w:t>
      </w:r>
    </w:p>
    <w:p w14:paraId="281A60A5" w14:textId="77777777" w:rsidR="004647B9" w:rsidRDefault="00E2436F" w:rsidP="00B81A73">
      <w:pPr>
        <w:numPr>
          <w:ilvl w:val="0"/>
          <w:numId w:val="614"/>
        </w:numPr>
        <w:tabs>
          <w:tab w:val="left" w:pos="2339"/>
        </w:tabs>
        <w:ind w:left="1900" w:hanging="5"/>
        <w:jc w:val="both"/>
        <w:rPr>
          <w:rFonts w:eastAsia="Times New Roman"/>
          <w:sz w:val="23"/>
          <w:szCs w:val="23"/>
        </w:rPr>
      </w:pPr>
      <w:r w:rsidRPr="00D46D7E">
        <w:rPr>
          <w:rFonts w:eastAsia="Times New Roman"/>
          <w:sz w:val="24"/>
          <w:szCs w:val="24"/>
        </w:rPr>
        <w:t>Each Supplier of Water, upon discovering that a Waterborne Disease Outbreak potentially attributable to its water system has occurred, must report that occurrence to the Department as soon as possible, but no later than by the end of the next business day</w:t>
      </w:r>
      <w:r>
        <w:rPr>
          <w:rFonts w:eastAsia="Times New Roman"/>
          <w:sz w:val="23"/>
          <w:szCs w:val="23"/>
        </w:rPr>
        <w:t>.</w:t>
      </w:r>
    </w:p>
    <w:p w14:paraId="281A60A6" w14:textId="77777777" w:rsidR="004647B9" w:rsidRDefault="004647B9" w:rsidP="00B81A73">
      <w:pPr>
        <w:sectPr w:rsidR="004647B9" w:rsidSect="00EF630C">
          <w:pgSz w:w="12240" w:h="20180"/>
          <w:pgMar w:top="708" w:right="1440" w:bottom="1440" w:left="620" w:header="0" w:footer="0" w:gutter="0"/>
          <w:cols w:space="720"/>
        </w:sectPr>
      </w:pPr>
    </w:p>
    <w:p w14:paraId="281A60A7" w14:textId="77777777" w:rsidR="004647B9" w:rsidRDefault="00E2436F">
      <w:pPr>
        <w:tabs>
          <w:tab w:val="left" w:pos="160"/>
        </w:tabs>
        <w:ind w:right="20"/>
        <w:jc w:val="center"/>
        <w:rPr>
          <w:sz w:val="20"/>
          <w:szCs w:val="20"/>
        </w:rPr>
      </w:pPr>
      <w:bookmarkStart w:id="266" w:name="page270"/>
      <w:bookmarkEnd w:id="26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0A8" w14:textId="77777777" w:rsidR="004647B9" w:rsidRDefault="004647B9" w:rsidP="00B4547C">
      <w:pPr>
        <w:rPr>
          <w:sz w:val="20"/>
          <w:szCs w:val="20"/>
        </w:rPr>
      </w:pPr>
    </w:p>
    <w:p w14:paraId="281A60A9" w14:textId="77777777" w:rsidR="004647B9" w:rsidRDefault="004647B9" w:rsidP="00B4547C">
      <w:pPr>
        <w:rPr>
          <w:sz w:val="20"/>
          <w:szCs w:val="20"/>
        </w:rPr>
      </w:pPr>
    </w:p>
    <w:p w14:paraId="281A60AA" w14:textId="77777777" w:rsidR="004647B9" w:rsidRPr="00B4547C" w:rsidRDefault="00E2436F" w:rsidP="00B4547C">
      <w:pPr>
        <w:tabs>
          <w:tab w:val="left" w:pos="940"/>
        </w:tabs>
        <w:rPr>
          <w:sz w:val="24"/>
          <w:szCs w:val="24"/>
        </w:rPr>
      </w:pPr>
      <w:r w:rsidRPr="00B4547C">
        <w:rPr>
          <w:rFonts w:eastAsia="Times New Roman"/>
          <w:sz w:val="24"/>
          <w:szCs w:val="24"/>
        </w:rPr>
        <w:t>22.20A:</w:t>
      </w:r>
      <w:r w:rsidRPr="00B4547C">
        <w:rPr>
          <w:rFonts w:eastAsia="Times New Roman"/>
          <w:sz w:val="24"/>
          <w:szCs w:val="24"/>
        </w:rPr>
        <w:tab/>
        <w:t>continued</w:t>
      </w:r>
    </w:p>
    <w:p w14:paraId="281A60AB" w14:textId="77777777" w:rsidR="004647B9" w:rsidRDefault="004647B9" w:rsidP="00B4547C">
      <w:pPr>
        <w:rPr>
          <w:sz w:val="20"/>
          <w:szCs w:val="20"/>
        </w:rPr>
      </w:pPr>
    </w:p>
    <w:p w14:paraId="281A60AC" w14:textId="77777777" w:rsidR="004647B9" w:rsidRDefault="00E2436F" w:rsidP="00B4547C">
      <w:pPr>
        <w:numPr>
          <w:ilvl w:val="1"/>
          <w:numId w:val="615"/>
        </w:numPr>
        <w:tabs>
          <w:tab w:val="left" w:pos="2267"/>
        </w:tabs>
        <w:ind w:left="1900" w:hanging="5"/>
        <w:jc w:val="both"/>
        <w:rPr>
          <w:rFonts w:eastAsia="Times New Roman"/>
          <w:sz w:val="24"/>
          <w:szCs w:val="24"/>
        </w:rPr>
      </w:pPr>
      <w:r>
        <w:rPr>
          <w:rFonts w:eastAsia="Times New Roman"/>
          <w:sz w:val="24"/>
          <w:szCs w:val="24"/>
        </w:rPr>
        <w:t>If at any time the Turbidity exceeds five NTU, the Supplier of Water must consult with the Department as soon as practical, but not later than 24 hours after the exceedance is known, in accordance with the public notification requirements under 310 CMR 22.16(3)(b)3.</w:t>
      </w:r>
    </w:p>
    <w:p w14:paraId="281A60AD" w14:textId="77777777" w:rsidR="004647B9" w:rsidRDefault="00E2436F" w:rsidP="00B4547C">
      <w:pPr>
        <w:numPr>
          <w:ilvl w:val="1"/>
          <w:numId w:val="615"/>
        </w:numPr>
        <w:tabs>
          <w:tab w:val="left" w:pos="2246"/>
        </w:tabs>
        <w:ind w:left="1900" w:hanging="5"/>
        <w:jc w:val="both"/>
        <w:rPr>
          <w:rFonts w:eastAsia="Times New Roman"/>
          <w:sz w:val="24"/>
          <w:szCs w:val="24"/>
        </w:rPr>
      </w:pPr>
      <w:r>
        <w:rPr>
          <w:rFonts w:eastAsia="Times New Roman"/>
          <w:sz w:val="24"/>
          <w:szCs w:val="24"/>
        </w:rPr>
        <w:t>If at any time the residual falls below 0.2 mg/l in the water entering the Distribution System, the Supplier of Water must notify the Department as soon as possible, but no later than by the end of the next business day. The Supplier of Water also must notify the Department by the end of the next business day whether or not the residual was restored to at least 0.2 mg/l within four hours.</w:t>
      </w:r>
    </w:p>
    <w:p w14:paraId="281A60AF" w14:textId="77777777" w:rsidR="004647B9" w:rsidRDefault="00E2436F" w:rsidP="00B4547C">
      <w:pPr>
        <w:numPr>
          <w:ilvl w:val="0"/>
          <w:numId w:val="616"/>
        </w:numPr>
        <w:tabs>
          <w:tab w:val="left" w:pos="2001"/>
        </w:tabs>
        <w:ind w:left="1540" w:hanging="5"/>
        <w:jc w:val="both"/>
        <w:rPr>
          <w:rFonts w:eastAsia="Times New Roman"/>
          <w:sz w:val="24"/>
          <w:szCs w:val="24"/>
        </w:rPr>
      </w:pPr>
      <w:r>
        <w:rPr>
          <w:rFonts w:eastAsia="Times New Roman"/>
          <w:sz w:val="24"/>
          <w:szCs w:val="24"/>
        </w:rPr>
        <w:t>A Supplier of Water that uses a Surface Water Source or a groundwater source under the direct influence of surface water and provides Filtration treatment must report monthly to the Department the information specified in 310 CMR 22.20A(6)(b) beginning June 29, 1993, or when Filtration is installed, whichever is later.</w:t>
      </w:r>
    </w:p>
    <w:p w14:paraId="281A60B0" w14:textId="77777777" w:rsidR="004647B9" w:rsidRDefault="00E2436F" w:rsidP="00B4547C">
      <w:pPr>
        <w:numPr>
          <w:ilvl w:val="1"/>
          <w:numId w:val="616"/>
        </w:numPr>
        <w:tabs>
          <w:tab w:val="left" w:pos="2262"/>
        </w:tabs>
        <w:ind w:left="1900" w:hanging="5"/>
        <w:jc w:val="both"/>
        <w:rPr>
          <w:rFonts w:eastAsia="Times New Roman"/>
          <w:sz w:val="24"/>
          <w:szCs w:val="24"/>
        </w:rPr>
      </w:pPr>
      <w:r>
        <w:rPr>
          <w:rFonts w:eastAsia="Times New Roman"/>
          <w:sz w:val="24"/>
          <w:szCs w:val="24"/>
        </w:rPr>
        <w:t>Turbidity measurements as required by 310 CMR 22.20A(5)(c)1. must be reported within ten days after the end of each month the system serves water to the public. Information that must be reported includes:</w:t>
      </w:r>
    </w:p>
    <w:p w14:paraId="281A60B2" w14:textId="77777777" w:rsidR="004647B9" w:rsidRDefault="00E2436F" w:rsidP="00B4547C">
      <w:pPr>
        <w:numPr>
          <w:ilvl w:val="2"/>
          <w:numId w:val="616"/>
        </w:numPr>
        <w:tabs>
          <w:tab w:val="left" w:pos="2683"/>
        </w:tabs>
        <w:ind w:left="2260" w:hanging="5"/>
        <w:rPr>
          <w:rFonts w:eastAsia="Times New Roman"/>
          <w:sz w:val="24"/>
          <w:szCs w:val="24"/>
        </w:rPr>
      </w:pPr>
      <w:r>
        <w:rPr>
          <w:rFonts w:eastAsia="Times New Roman"/>
          <w:sz w:val="24"/>
          <w:szCs w:val="24"/>
        </w:rPr>
        <w:t>The total number of filtered water Turbidity measurements taken during the month.</w:t>
      </w:r>
    </w:p>
    <w:p w14:paraId="281A60B3" w14:textId="77777777" w:rsidR="004647B9" w:rsidRDefault="00E2436F" w:rsidP="00B4547C">
      <w:pPr>
        <w:numPr>
          <w:ilvl w:val="2"/>
          <w:numId w:val="616"/>
        </w:numPr>
        <w:tabs>
          <w:tab w:val="left" w:pos="2709"/>
        </w:tabs>
        <w:ind w:left="2260" w:hanging="5"/>
        <w:jc w:val="both"/>
        <w:rPr>
          <w:rFonts w:eastAsia="Times New Roman"/>
          <w:sz w:val="24"/>
          <w:szCs w:val="24"/>
        </w:rPr>
      </w:pPr>
      <w:r>
        <w:rPr>
          <w:rFonts w:eastAsia="Times New Roman"/>
          <w:sz w:val="24"/>
          <w:szCs w:val="24"/>
        </w:rPr>
        <w:t>The number and percentage of filtered water Turbidity measurements taken during the month which are less than or equal to the Turbidity limits specified in 310 CMR 22.20A(4) for the Filtration technology being used.</w:t>
      </w:r>
    </w:p>
    <w:p w14:paraId="281A60B5" w14:textId="77777777" w:rsidR="004647B9" w:rsidRDefault="00E2436F" w:rsidP="00B4547C">
      <w:pPr>
        <w:numPr>
          <w:ilvl w:val="2"/>
          <w:numId w:val="616"/>
        </w:numPr>
        <w:tabs>
          <w:tab w:val="left" w:pos="2560"/>
        </w:tabs>
        <w:ind w:left="2260" w:hanging="5"/>
        <w:rPr>
          <w:rFonts w:eastAsia="Times New Roman"/>
          <w:sz w:val="24"/>
          <w:szCs w:val="24"/>
        </w:rPr>
      </w:pPr>
      <w:r>
        <w:rPr>
          <w:rFonts w:eastAsia="Times New Roman"/>
          <w:sz w:val="24"/>
          <w:szCs w:val="24"/>
        </w:rPr>
        <w:t>The date and value of any Turbidity measurements taken during the month which exceed five NTU.</w:t>
      </w:r>
    </w:p>
    <w:p w14:paraId="281A60B6" w14:textId="77777777" w:rsidR="004647B9" w:rsidRDefault="00E2436F" w:rsidP="00B4547C">
      <w:pPr>
        <w:numPr>
          <w:ilvl w:val="1"/>
          <w:numId w:val="616"/>
        </w:numPr>
        <w:tabs>
          <w:tab w:val="left" w:pos="2214"/>
        </w:tabs>
        <w:ind w:left="1900" w:hanging="5"/>
        <w:jc w:val="both"/>
        <w:rPr>
          <w:rFonts w:eastAsia="Times New Roman"/>
          <w:sz w:val="24"/>
          <w:szCs w:val="24"/>
        </w:rPr>
      </w:pPr>
      <w:r>
        <w:rPr>
          <w:rFonts w:eastAsia="Times New Roman"/>
          <w:sz w:val="24"/>
          <w:szCs w:val="24"/>
        </w:rPr>
        <w:t>Disinfection information specified in 310 CMR 22.20A(5)(c) must be reported to the Department within ten days after the end of each month the system serves water to the public. Information that must be reported includes:</w:t>
      </w:r>
    </w:p>
    <w:p w14:paraId="281A60B8" w14:textId="77777777" w:rsidR="004647B9" w:rsidRDefault="00E2436F" w:rsidP="00B4547C">
      <w:pPr>
        <w:numPr>
          <w:ilvl w:val="2"/>
          <w:numId w:val="616"/>
        </w:numPr>
        <w:tabs>
          <w:tab w:val="left" w:pos="2578"/>
        </w:tabs>
        <w:ind w:left="2260" w:hanging="5"/>
        <w:rPr>
          <w:rFonts w:eastAsia="Times New Roman"/>
          <w:sz w:val="24"/>
          <w:szCs w:val="24"/>
        </w:rPr>
      </w:pPr>
      <w:r>
        <w:rPr>
          <w:rFonts w:eastAsia="Times New Roman"/>
          <w:sz w:val="24"/>
          <w:szCs w:val="24"/>
        </w:rPr>
        <w:t>For each day, the lowest measurement of Residual Disinfectant Concentration in mg/l in water entering the Distribution System.</w:t>
      </w:r>
    </w:p>
    <w:p w14:paraId="281A60B9" w14:textId="77777777" w:rsidR="004647B9" w:rsidRDefault="00E2436F" w:rsidP="00B4547C">
      <w:pPr>
        <w:numPr>
          <w:ilvl w:val="2"/>
          <w:numId w:val="616"/>
        </w:numPr>
        <w:tabs>
          <w:tab w:val="left" w:pos="2843"/>
        </w:tabs>
        <w:ind w:left="2260" w:hanging="5"/>
        <w:jc w:val="both"/>
        <w:rPr>
          <w:rFonts w:eastAsia="Times New Roman"/>
          <w:sz w:val="24"/>
          <w:szCs w:val="24"/>
        </w:rPr>
      </w:pPr>
      <w:r>
        <w:rPr>
          <w:rFonts w:eastAsia="Times New Roman"/>
          <w:sz w:val="24"/>
          <w:szCs w:val="24"/>
        </w:rPr>
        <w:t>The date and duration of each period when the Residual Disinfectant Concentration in water entering the Distribution System fell below 0.2 mg/l and when the Department was notified of the occurrence.</w:t>
      </w:r>
    </w:p>
    <w:p w14:paraId="281A60BB" w14:textId="77777777" w:rsidR="004647B9" w:rsidRDefault="00E2436F" w:rsidP="00B4547C">
      <w:pPr>
        <w:numPr>
          <w:ilvl w:val="2"/>
          <w:numId w:val="616"/>
        </w:numPr>
        <w:tabs>
          <w:tab w:val="left" w:pos="2628"/>
        </w:tabs>
        <w:ind w:left="2260" w:hanging="5"/>
        <w:rPr>
          <w:rFonts w:eastAsia="Times New Roman"/>
          <w:sz w:val="24"/>
          <w:szCs w:val="24"/>
        </w:rPr>
      </w:pPr>
      <w:r>
        <w:rPr>
          <w:rFonts w:eastAsia="Times New Roman"/>
          <w:sz w:val="24"/>
          <w:szCs w:val="24"/>
        </w:rPr>
        <w:t>The following information on the samples taken in the Distribution System in conjunction with total coliform monitoring pursuant to 310 CMR 22.20A(3):</w:t>
      </w:r>
    </w:p>
    <w:p w14:paraId="281A60BC" w14:textId="77777777" w:rsidR="004647B9" w:rsidRDefault="00E2436F" w:rsidP="00905F85">
      <w:pPr>
        <w:numPr>
          <w:ilvl w:val="3"/>
          <w:numId w:val="616"/>
        </w:numPr>
        <w:tabs>
          <w:tab w:val="left" w:pos="2995"/>
        </w:tabs>
        <w:ind w:left="2621"/>
        <w:rPr>
          <w:rFonts w:eastAsia="Times New Roman"/>
          <w:sz w:val="24"/>
          <w:szCs w:val="24"/>
        </w:rPr>
      </w:pPr>
      <w:r>
        <w:rPr>
          <w:rFonts w:eastAsia="Times New Roman"/>
          <w:sz w:val="24"/>
          <w:szCs w:val="24"/>
        </w:rPr>
        <w:t>Number of instances where the Residual Disinfectant Concentration is measured;</w:t>
      </w:r>
    </w:p>
    <w:p w14:paraId="281A60BD" w14:textId="77777777" w:rsidR="004647B9" w:rsidRDefault="00E2436F" w:rsidP="00905F85">
      <w:pPr>
        <w:numPr>
          <w:ilvl w:val="3"/>
          <w:numId w:val="616"/>
        </w:numPr>
        <w:tabs>
          <w:tab w:val="left" w:pos="3008"/>
        </w:tabs>
        <w:ind w:left="2621"/>
        <w:rPr>
          <w:rFonts w:eastAsia="Times New Roman"/>
          <w:sz w:val="24"/>
          <w:szCs w:val="24"/>
        </w:rPr>
      </w:pPr>
      <w:r>
        <w:rPr>
          <w:rFonts w:eastAsia="Times New Roman"/>
          <w:sz w:val="24"/>
          <w:szCs w:val="24"/>
        </w:rPr>
        <w:t>Number of instances where the Residual Disinfectant Concentration is not measured but heterotrophic bacteria plate count (HPC) is measured;</w:t>
      </w:r>
    </w:p>
    <w:p w14:paraId="281A60BE" w14:textId="77777777" w:rsidR="004647B9" w:rsidRDefault="00E2436F" w:rsidP="00905F85">
      <w:pPr>
        <w:numPr>
          <w:ilvl w:val="3"/>
          <w:numId w:val="616"/>
        </w:numPr>
        <w:tabs>
          <w:tab w:val="left" w:pos="2995"/>
        </w:tabs>
        <w:ind w:left="2621"/>
        <w:rPr>
          <w:rFonts w:eastAsia="Times New Roman"/>
          <w:sz w:val="24"/>
          <w:szCs w:val="24"/>
        </w:rPr>
      </w:pPr>
      <w:r>
        <w:rPr>
          <w:rFonts w:eastAsia="Times New Roman"/>
          <w:sz w:val="24"/>
          <w:szCs w:val="24"/>
        </w:rPr>
        <w:t>Number of instances where the Residual Disinfectant Concentration is measured but not detected and no HPC is measured;</w:t>
      </w:r>
    </w:p>
    <w:p w14:paraId="281A60BF" w14:textId="77777777" w:rsidR="004647B9" w:rsidRDefault="00E2436F" w:rsidP="00905F85">
      <w:pPr>
        <w:numPr>
          <w:ilvl w:val="3"/>
          <w:numId w:val="616"/>
        </w:numPr>
        <w:tabs>
          <w:tab w:val="left" w:pos="2982"/>
        </w:tabs>
        <w:ind w:left="2621"/>
        <w:rPr>
          <w:rFonts w:eastAsia="Times New Roman"/>
          <w:sz w:val="24"/>
          <w:szCs w:val="24"/>
        </w:rPr>
      </w:pPr>
      <w:r>
        <w:rPr>
          <w:rFonts w:eastAsia="Times New Roman"/>
          <w:sz w:val="24"/>
          <w:szCs w:val="24"/>
        </w:rPr>
        <w:t>Number of instances where Residual Disinfectant Concentration is measured but not detected and where HPC is &gt;500/ml;</w:t>
      </w:r>
    </w:p>
    <w:p w14:paraId="281A60C0" w14:textId="77777777" w:rsidR="004647B9" w:rsidRDefault="00E2436F" w:rsidP="00905F85">
      <w:pPr>
        <w:numPr>
          <w:ilvl w:val="3"/>
          <w:numId w:val="616"/>
        </w:numPr>
        <w:tabs>
          <w:tab w:val="left" w:pos="3002"/>
        </w:tabs>
        <w:ind w:left="2621"/>
        <w:rPr>
          <w:rFonts w:eastAsia="Times New Roman"/>
          <w:sz w:val="24"/>
          <w:szCs w:val="24"/>
        </w:rPr>
      </w:pPr>
      <w:r>
        <w:rPr>
          <w:rFonts w:eastAsia="Times New Roman"/>
          <w:sz w:val="24"/>
          <w:szCs w:val="24"/>
        </w:rPr>
        <w:t>Number of instances where the Residual Disinfectant Concentration is not measured and HPC is &gt;500/ml;</w:t>
      </w:r>
    </w:p>
    <w:p w14:paraId="281A60C1" w14:textId="77777777" w:rsidR="004647B9" w:rsidRDefault="00E2436F" w:rsidP="00905F85">
      <w:pPr>
        <w:numPr>
          <w:ilvl w:val="3"/>
          <w:numId w:val="616"/>
        </w:numPr>
        <w:tabs>
          <w:tab w:val="left" w:pos="2997"/>
        </w:tabs>
        <w:ind w:left="2621"/>
        <w:rPr>
          <w:rFonts w:eastAsia="Times New Roman"/>
          <w:sz w:val="24"/>
          <w:szCs w:val="24"/>
        </w:rPr>
      </w:pPr>
      <w:r>
        <w:rPr>
          <w:rFonts w:eastAsia="Times New Roman"/>
          <w:sz w:val="24"/>
          <w:szCs w:val="24"/>
        </w:rPr>
        <w:t>For the current and previous month the system serves water to the publi</w:t>
      </w:r>
      <w:r w:rsidDel="007B206E">
        <w:rPr>
          <w:rFonts w:eastAsia="Times New Roman"/>
          <w:sz w:val="24"/>
          <w:szCs w:val="24"/>
        </w:rPr>
        <w:t>c</w:t>
      </w:r>
      <w:r>
        <w:rPr>
          <w:rFonts w:eastAsia="Times New Roman"/>
          <w:sz w:val="24"/>
          <w:szCs w:val="24"/>
        </w:rPr>
        <w:t>, the value of "V" in the following formula:</w:t>
      </w:r>
    </w:p>
    <w:p w14:paraId="281A60C2" w14:textId="3BBACF40" w:rsidR="004647B9" w:rsidRPr="00B4547C" w:rsidRDefault="008B3623" w:rsidP="00B4547C">
      <w:pPr>
        <w:rPr>
          <w:sz w:val="24"/>
          <w:szCs w:val="24"/>
        </w:rPr>
      </w:pPr>
      <w:r w:rsidRPr="00B4547C">
        <w:rPr>
          <w:noProof/>
          <w:sz w:val="24"/>
          <w:szCs w:val="24"/>
        </w:rPr>
        <w:drawing>
          <wp:anchor distT="0" distB="0" distL="114300" distR="114300" simplePos="0" relativeHeight="251658255" behindDoc="1" locked="0" layoutInCell="0" allowOverlap="1" wp14:anchorId="4E400F6F" wp14:editId="15B48C29">
            <wp:simplePos x="0" y="0"/>
            <wp:positionH relativeFrom="column">
              <wp:posOffset>2458529</wp:posOffset>
            </wp:positionH>
            <wp:positionV relativeFrom="paragraph">
              <wp:posOffset>112143</wp:posOffset>
            </wp:positionV>
            <wp:extent cx="1462405" cy="340360"/>
            <wp:effectExtent l="0" t="0" r="0" b="0"/>
            <wp:wrapNone/>
            <wp:docPr id="933" name="Picture 93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Picture 933" descr="Shape&#10;&#10;Description automatically generated with medium confidence"/>
                    <pic:cNvPicPr>
                      <a:picLocks noChangeAspect="1" noChangeArrowheads="1"/>
                    </pic:cNvPicPr>
                  </pic:nvPicPr>
                  <pic:blipFill>
                    <a:blip r:embed="rId17"/>
                    <a:srcRect/>
                    <a:stretch>
                      <a:fillRect/>
                    </a:stretch>
                  </pic:blipFill>
                  <pic:spPr bwMode="auto">
                    <a:xfrm>
                      <a:off x="0" y="0"/>
                      <a:ext cx="1462405" cy="340360"/>
                    </a:xfrm>
                    <a:prstGeom prst="rect">
                      <a:avLst/>
                    </a:prstGeom>
                    <a:noFill/>
                  </pic:spPr>
                </pic:pic>
              </a:graphicData>
            </a:graphic>
          </wp:anchor>
        </w:drawing>
      </w:r>
    </w:p>
    <w:p w14:paraId="281A60C3" w14:textId="0F72A1EE" w:rsidR="004647B9" w:rsidRPr="00B4547C" w:rsidRDefault="004647B9" w:rsidP="00B4547C">
      <w:pPr>
        <w:rPr>
          <w:sz w:val="24"/>
          <w:szCs w:val="24"/>
        </w:rPr>
      </w:pPr>
    </w:p>
    <w:p w14:paraId="281A60C4" w14:textId="77777777" w:rsidR="004647B9" w:rsidRPr="00B4547C" w:rsidRDefault="004647B9" w:rsidP="00B4547C">
      <w:pPr>
        <w:rPr>
          <w:sz w:val="24"/>
          <w:szCs w:val="24"/>
        </w:rPr>
      </w:pPr>
    </w:p>
    <w:p w14:paraId="281A60C5" w14:textId="77777777" w:rsidR="004647B9" w:rsidRPr="00B4547C" w:rsidRDefault="004647B9" w:rsidP="00B4547C">
      <w:pPr>
        <w:rPr>
          <w:sz w:val="24"/>
          <w:szCs w:val="24"/>
        </w:rPr>
      </w:pPr>
    </w:p>
    <w:p w14:paraId="281A60C6" w14:textId="77777777" w:rsidR="004647B9" w:rsidRPr="00D46D7E" w:rsidRDefault="00E2436F" w:rsidP="00B4547C">
      <w:pPr>
        <w:ind w:left="2260"/>
        <w:rPr>
          <w:sz w:val="24"/>
          <w:szCs w:val="24"/>
        </w:rPr>
      </w:pPr>
      <w:r w:rsidRPr="00D46D7E">
        <w:rPr>
          <w:rFonts w:eastAsia="Times New Roman"/>
          <w:sz w:val="24"/>
          <w:szCs w:val="24"/>
        </w:rPr>
        <w:t>Where</w:t>
      </w:r>
    </w:p>
    <w:p w14:paraId="281A60C8" w14:textId="77777777" w:rsidR="004647B9" w:rsidRPr="00D46D7E" w:rsidRDefault="00E2436F" w:rsidP="00B4547C">
      <w:pPr>
        <w:numPr>
          <w:ilvl w:val="1"/>
          <w:numId w:val="617"/>
        </w:numPr>
        <w:tabs>
          <w:tab w:val="left" w:pos="2840"/>
        </w:tabs>
        <w:ind w:left="2840" w:hanging="225"/>
        <w:rPr>
          <w:rFonts w:eastAsia="Times New Roman"/>
          <w:sz w:val="24"/>
          <w:szCs w:val="24"/>
        </w:rPr>
      </w:pPr>
      <w:r w:rsidRPr="00D46D7E">
        <w:rPr>
          <w:rFonts w:eastAsia="Times New Roman"/>
          <w:sz w:val="24"/>
          <w:szCs w:val="24"/>
        </w:rPr>
        <w:t>= the value in 310 CMR 22.20A(6)(b)2.c.i.</w:t>
      </w:r>
    </w:p>
    <w:p w14:paraId="281A60CA" w14:textId="77777777" w:rsidR="004647B9" w:rsidRPr="00D46D7E" w:rsidRDefault="00E2436F" w:rsidP="00B4547C">
      <w:pPr>
        <w:numPr>
          <w:ilvl w:val="1"/>
          <w:numId w:val="617"/>
        </w:numPr>
        <w:tabs>
          <w:tab w:val="left" w:pos="2860"/>
        </w:tabs>
        <w:ind w:left="2860" w:hanging="245"/>
        <w:rPr>
          <w:rFonts w:eastAsia="Times New Roman"/>
          <w:sz w:val="24"/>
          <w:szCs w:val="24"/>
        </w:rPr>
      </w:pPr>
      <w:r w:rsidRPr="00D46D7E">
        <w:rPr>
          <w:rFonts w:eastAsia="Times New Roman"/>
          <w:sz w:val="24"/>
          <w:szCs w:val="24"/>
        </w:rPr>
        <w:t>= the value in 310 CMR 22.20A(6)(b)2.c.ii.</w:t>
      </w:r>
    </w:p>
    <w:p w14:paraId="281A60CC" w14:textId="77777777" w:rsidR="004647B9" w:rsidRPr="00D46D7E" w:rsidRDefault="00E2436F" w:rsidP="00B4547C">
      <w:pPr>
        <w:numPr>
          <w:ilvl w:val="1"/>
          <w:numId w:val="617"/>
        </w:numPr>
        <w:tabs>
          <w:tab w:val="left" w:pos="2840"/>
        </w:tabs>
        <w:ind w:left="2840" w:hanging="225"/>
        <w:rPr>
          <w:rFonts w:eastAsia="Times New Roman"/>
          <w:sz w:val="24"/>
          <w:szCs w:val="24"/>
        </w:rPr>
      </w:pPr>
      <w:r w:rsidRPr="00D46D7E">
        <w:rPr>
          <w:rFonts w:eastAsia="Times New Roman"/>
          <w:sz w:val="24"/>
          <w:szCs w:val="24"/>
        </w:rPr>
        <w:t>= the value in 310 CMR 22.20A(6)(b)2.c.iii.</w:t>
      </w:r>
    </w:p>
    <w:p w14:paraId="281A60CE" w14:textId="77777777" w:rsidR="004647B9" w:rsidRPr="00D46D7E" w:rsidRDefault="00E2436F" w:rsidP="00B4547C">
      <w:pPr>
        <w:numPr>
          <w:ilvl w:val="1"/>
          <w:numId w:val="617"/>
        </w:numPr>
        <w:tabs>
          <w:tab w:val="left" w:pos="2860"/>
        </w:tabs>
        <w:ind w:left="2860" w:hanging="245"/>
        <w:rPr>
          <w:rFonts w:eastAsia="Times New Roman"/>
          <w:sz w:val="24"/>
          <w:szCs w:val="24"/>
        </w:rPr>
      </w:pPr>
      <w:r w:rsidRPr="00D46D7E">
        <w:rPr>
          <w:rFonts w:eastAsia="Times New Roman"/>
          <w:sz w:val="24"/>
          <w:szCs w:val="24"/>
        </w:rPr>
        <w:t>= the value in 310 CMR 22.20A(6)(b)2.c.iv.</w:t>
      </w:r>
    </w:p>
    <w:p w14:paraId="281A60D0" w14:textId="77777777" w:rsidR="004647B9" w:rsidRPr="00D46D7E" w:rsidRDefault="00E2436F" w:rsidP="00B4547C">
      <w:pPr>
        <w:numPr>
          <w:ilvl w:val="1"/>
          <w:numId w:val="617"/>
        </w:numPr>
        <w:tabs>
          <w:tab w:val="left" w:pos="2840"/>
        </w:tabs>
        <w:ind w:left="2840" w:hanging="225"/>
        <w:rPr>
          <w:rFonts w:eastAsia="Times New Roman"/>
          <w:sz w:val="24"/>
          <w:szCs w:val="24"/>
        </w:rPr>
      </w:pPr>
      <w:r w:rsidRPr="00D46D7E">
        <w:rPr>
          <w:rFonts w:eastAsia="Times New Roman"/>
          <w:sz w:val="24"/>
          <w:szCs w:val="24"/>
        </w:rPr>
        <w:t>= the value in 310 CMR 22.20A(6)(b)2.c.v.</w:t>
      </w:r>
    </w:p>
    <w:p w14:paraId="281A60D1" w14:textId="77777777" w:rsidR="004647B9" w:rsidRPr="00D46D7E" w:rsidRDefault="004647B9" w:rsidP="00B4547C">
      <w:pPr>
        <w:rPr>
          <w:rFonts w:eastAsia="Times New Roman"/>
          <w:sz w:val="24"/>
          <w:szCs w:val="24"/>
        </w:rPr>
      </w:pPr>
    </w:p>
    <w:p w14:paraId="281A60D2" w14:textId="63A189FB" w:rsidR="004647B9" w:rsidRPr="00EE7B94" w:rsidRDefault="00E2436F" w:rsidP="00B4547C">
      <w:pPr>
        <w:numPr>
          <w:ilvl w:val="2"/>
          <w:numId w:val="616"/>
        </w:numPr>
        <w:tabs>
          <w:tab w:val="left" w:pos="2628"/>
        </w:tabs>
        <w:ind w:left="2260" w:hanging="5"/>
        <w:rPr>
          <w:rFonts w:eastAsia="Times New Roman"/>
          <w:sz w:val="24"/>
          <w:szCs w:val="24"/>
        </w:rPr>
      </w:pPr>
      <w:r w:rsidRPr="00EE7B94">
        <w:rPr>
          <w:rFonts w:eastAsia="Times New Roman"/>
          <w:sz w:val="24"/>
          <w:szCs w:val="24"/>
        </w:rPr>
        <w:t>A Supplier of Water need not report the data listed in 310 CMR 22.20A(6)(b)2.a. if all data listed in 310 CMR 22.20A(6)(b)2.a. through c. remains on file at the system and the Department determines that the system has submitted all the information required by 310 CMR 22.20A(6)(b)2.a. through c. for at least 12 months.</w:t>
      </w:r>
    </w:p>
    <w:p w14:paraId="281A60D3" w14:textId="77777777" w:rsidR="004647B9" w:rsidRDefault="004647B9" w:rsidP="00B4547C">
      <w:pPr>
        <w:sectPr w:rsidR="004647B9" w:rsidSect="00EF630C">
          <w:pgSz w:w="12240" w:h="20180"/>
          <w:pgMar w:top="708" w:right="1440" w:bottom="990" w:left="620" w:header="0" w:footer="0" w:gutter="0"/>
          <w:cols w:space="720"/>
        </w:sectPr>
      </w:pPr>
    </w:p>
    <w:p w14:paraId="281A60D4" w14:textId="77777777" w:rsidR="004647B9" w:rsidRDefault="00E2436F">
      <w:pPr>
        <w:tabs>
          <w:tab w:val="left" w:pos="160"/>
        </w:tabs>
        <w:ind w:right="20"/>
        <w:jc w:val="center"/>
        <w:rPr>
          <w:sz w:val="20"/>
          <w:szCs w:val="20"/>
        </w:rPr>
      </w:pPr>
      <w:bookmarkStart w:id="267" w:name="page271"/>
      <w:bookmarkEnd w:id="26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0D5" w14:textId="77777777" w:rsidR="004647B9" w:rsidRDefault="004647B9" w:rsidP="00B4547C">
      <w:pPr>
        <w:rPr>
          <w:sz w:val="20"/>
          <w:szCs w:val="20"/>
        </w:rPr>
      </w:pPr>
    </w:p>
    <w:p w14:paraId="281A60D6" w14:textId="77777777" w:rsidR="004647B9" w:rsidRDefault="004647B9" w:rsidP="00B4547C">
      <w:pPr>
        <w:rPr>
          <w:sz w:val="20"/>
          <w:szCs w:val="20"/>
        </w:rPr>
      </w:pPr>
    </w:p>
    <w:p w14:paraId="281A60D7" w14:textId="77777777" w:rsidR="004647B9" w:rsidRPr="00846636" w:rsidRDefault="00E2436F" w:rsidP="00B4547C">
      <w:pPr>
        <w:tabs>
          <w:tab w:val="left" w:pos="940"/>
        </w:tabs>
        <w:rPr>
          <w:sz w:val="24"/>
          <w:szCs w:val="24"/>
        </w:rPr>
      </w:pPr>
      <w:r w:rsidRPr="00846636">
        <w:rPr>
          <w:rFonts w:eastAsia="Times New Roman"/>
          <w:sz w:val="24"/>
          <w:szCs w:val="24"/>
        </w:rPr>
        <w:t>22.20A:</w:t>
      </w:r>
      <w:r w:rsidRPr="00846636">
        <w:rPr>
          <w:rFonts w:eastAsia="Times New Roman"/>
          <w:sz w:val="24"/>
          <w:szCs w:val="24"/>
        </w:rPr>
        <w:tab/>
        <w:t>continued</w:t>
      </w:r>
    </w:p>
    <w:p w14:paraId="281A60D8" w14:textId="77777777" w:rsidR="004647B9" w:rsidRPr="00B4547C" w:rsidRDefault="004647B9" w:rsidP="00B4547C">
      <w:pPr>
        <w:rPr>
          <w:sz w:val="20"/>
          <w:szCs w:val="20"/>
        </w:rPr>
      </w:pPr>
    </w:p>
    <w:p w14:paraId="281A60D9" w14:textId="77777777" w:rsidR="004647B9" w:rsidRPr="00846636" w:rsidRDefault="00E2436F" w:rsidP="00B4547C">
      <w:pPr>
        <w:numPr>
          <w:ilvl w:val="2"/>
          <w:numId w:val="618"/>
        </w:numPr>
        <w:tabs>
          <w:tab w:val="left" w:pos="2411"/>
        </w:tabs>
        <w:ind w:left="1900" w:hanging="5"/>
        <w:jc w:val="both"/>
        <w:rPr>
          <w:rFonts w:eastAsia="Times New Roman"/>
          <w:sz w:val="24"/>
          <w:szCs w:val="24"/>
        </w:rPr>
      </w:pPr>
      <w:r w:rsidRPr="00846636">
        <w:rPr>
          <w:rFonts w:eastAsia="Times New Roman"/>
          <w:sz w:val="24"/>
          <w:szCs w:val="24"/>
        </w:rPr>
        <w:t>A Supplier of Water, upon discovering that a Waterborne Disease Outbreak potentially attributable to its water system has occurred, must report that occurrence to the Department as soon as possible, but no later than by the end of the next business day.</w:t>
      </w:r>
    </w:p>
    <w:p w14:paraId="281A60DB" w14:textId="77777777" w:rsidR="004647B9" w:rsidRPr="00846636" w:rsidRDefault="00E2436F" w:rsidP="00B4547C">
      <w:pPr>
        <w:numPr>
          <w:ilvl w:val="2"/>
          <w:numId w:val="618"/>
        </w:numPr>
        <w:tabs>
          <w:tab w:val="left" w:pos="2267"/>
        </w:tabs>
        <w:ind w:left="1900" w:hanging="5"/>
        <w:jc w:val="both"/>
        <w:rPr>
          <w:rFonts w:eastAsia="Times New Roman"/>
          <w:sz w:val="24"/>
          <w:szCs w:val="24"/>
        </w:rPr>
      </w:pPr>
      <w:r w:rsidRPr="00846636">
        <w:rPr>
          <w:rFonts w:eastAsia="Times New Roman"/>
          <w:sz w:val="24"/>
          <w:szCs w:val="24"/>
        </w:rPr>
        <w:t>If at any time the Turbidity exceeds five NTU, the Supplier of Water must consult with the Department as soon as practical, but not later than 24 hours after the exceedance is known, in accordance with the public notification requirements under 310 CMR 22.16(3)(b)3.</w:t>
      </w:r>
    </w:p>
    <w:p w14:paraId="281A60DC" w14:textId="77777777" w:rsidR="004647B9" w:rsidRPr="00846636" w:rsidRDefault="00E2436F" w:rsidP="00B4547C">
      <w:pPr>
        <w:numPr>
          <w:ilvl w:val="2"/>
          <w:numId w:val="618"/>
        </w:numPr>
        <w:tabs>
          <w:tab w:val="left" w:pos="2238"/>
        </w:tabs>
        <w:ind w:left="1900" w:hanging="5"/>
        <w:jc w:val="both"/>
        <w:rPr>
          <w:rFonts w:eastAsia="Times New Roman"/>
          <w:sz w:val="24"/>
          <w:szCs w:val="24"/>
        </w:rPr>
      </w:pPr>
      <w:r w:rsidRPr="00846636">
        <w:rPr>
          <w:rFonts w:eastAsia="Times New Roman"/>
          <w:sz w:val="24"/>
          <w:szCs w:val="24"/>
        </w:rPr>
        <w:t>If at any time the residual falls below 0.2 mg/l in the water entering the Distribution System, the Supplier of Water must notify the Department as soon as possible, but no later than by the end of the next business day. The system also must notify the Department by the end of the next business day whether or not the residual was restored to at least 0.2 mg/l within four hours.</w:t>
      </w:r>
    </w:p>
    <w:p w14:paraId="281A60DD" w14:textId="77777777" w:rsidR="004647B9" w:rsidRPr="00846636" w:rsidRDefault="004647B9" w:rsidP="00B4547C">
      <w:pPr>
        <w:rPr>
          <w:rFonts w:eastAsia="Times New Roman"/>
          <w:sz w:val="24"/>
          <w:szCs w:val="24"/>
        </w:rPr>
      </w:pPr>
    </w:p>
    <w:p w14:paraId="281A60DE" w14:textId="77777777" w:rsidR="004647B9" w:rsidRPr="00846636" w:rsidRDefault="00E2436F" w:rsidP="00B4547C">
      <w:pPr>
        <w:numPr>
          <w:ilvl w:val="0"/>
          <w:numId w:val="619"/>
        </w:numPr>
        <w:tabs>
          <w:tab w:val="left" w:pos="1640"/>
        </w:tabs>
        <w:ind w:left="1640" w:hanging="460"/>
        <w:rPr>
          <w:rFonts w:eastAsia="Times New Roman"/>
          <w:sz w:val="24"/>
          <w:szCs w:val="24"/>
        </w:rPr>
      </w:pPr>
      <w:r w:rsidRPr="00846636">
        <w:rPr>
          <w:rFonts w:eastAsia="Times New Roman"/>
          <w:sz w:val="24"/>
          <w:szCs w:val="24"/>
          <w:u w:val="single"/>
        </w:rPr>
        <w:t>Review of Filtration Determinations</w:t>
      </w:r>
      <w:r w:rsidRPr="00846636" w:rsidDel="007B206E">
        <w:rPr>
          <w:rFonts w:eastAsia="Times New Roman"/>
          <w:sz w:val="24"/>
          <w:szCs w:val="24"/>
        </w:rPr>
        <w:t>.</w:t>
      </w:r>
    </w:p>
    <w:p w14:paraId="281A60E0" w14:textId="77777777" w:rsidR="004647B9" w:rsidRPr="00846636" w:rsidRDefault="00E2436F" w:rsidP="00B4547C">
      <w:pPr>
        <w:numPr>
          <w:ilvl w:val="1"/>
          <w:numId w:val="619"/>
        </w:numPr>
        <w:tabs>
          <w:tab w:val="left" w:pos="1998"/>
        </w:tabs>
        <w:ind w:left="1540" w:hanging="5"/>
        <w:jc w:val="both"/>
        <w:rPr>
          <w:rFonts w:eastAsia="Times New Roman"/>
          <w:sz w:val="24"/>
          <w:szCs w:val="24"/>
        </w:rPr>
      </w:pPr>
      <w:r w:rsidRPr="00846636">
        <w:rPr>
          <w:rFonts w:eastAsia="Times New Roman"/>
          <w:sz w:val="24"/>
          <w:szCs w:val="24"/>
        </w:rPr>
        <w:t>The Department's determination whether a Supplier of Water must provide Filtration will be made in writing based on the criteria set forth in 310 CMR 22.20A(2). The Supplier of Water shall publish a copy o</w:t>
      </w:r>
      <w:r w:rsidRPr="00846636" w:rsidDel="007B206E">
        <w:rPr>
          <w:rFonts w:eastAsia="Times New Roman"/>
          <w:sz w:val="24"/>
          <w:szCs w:val="24"/>
        </w:rPr>
        <w:t>f</w:t>
      </w:r>
      <w:r w:rsidRPr="00846636">
        <w:rPr>
          <w:rFonts w:eastAsia="Times New Roman"/>
          <w:sz w:val="24"/>
          <w:szCs w:val="24"/>
        </w:rPr>
        <w:t xml:space="preserve"> the Department's determination in a newspaper of general circulation in the area served by the Supplier of Water within ten days of receipt of the same. The determination will include a statement that the Supplier of Water and Persons served by the system may request a hearing in accordance with 310 CMR 22.20A(7)(b). Within ten days of publication, the Supplier of Water shall submit an affidavit to the Department attesting to the fact that the determination has been published.</w:t>
      </w:r>
    </w:p>
    <w:p w14:paraId="281A60E2" w14:textId="77777777" w:rsidR="004647B9" w:rsidRPr="00846636" w:rsidRDefault="00E2436F" w:rsidP="00B4547C">
      <w:pPr>
        <w:numPr>
          <w:ilvl w:val="1"/>
          <w:numId w:val="619"/>
        </w:numPr>
        <w:tabs>
          <w:tab w:val="left" w:pos="1964"/>
        </w:tabs>
        <w:ind w:left="1540" w:hanging="5"/>
        <w:jc w:val="both"/>
        <w:rPr>
          <w:rFonts w:eastAsia="Times New Roman"/>
          <w:sz w:val="24"/>
          <w:szCs w:val="24"/>
        </w:rPr>
      </w:pPr>
      <w:r w:rsidRPr="00846636">
        <w:rPr>
          <w:rFonts w:eastAsia="Times New Roman"/>
          <w:sz w:val="24"/>
          <w:szCs w:val="24"/>
        </w:rPr>
        <w:t>The Supplier of Water, and any Person served by the system, may request review of the determination at a public hearing by submitting a written request to the Regional Director a</w:t>
      </w:r>
      <w:r w:rsidRPr="00846636" w:rsidDel="007B206E">
        <w:rPr>
          <w:rFonts w:eastAsia="Times New Roman"/>
          <w:sz w:val="24"/>
          <w:szCs w:val="24"/>
        </w:rPr>
        <w:t>t</w:t>
      </w:r>
      <w:r w:rsidRPr="00846636">
        <w:rPr>
          <w:rFonts w:eastAsia="Times New Roman"/>
          <w:sz w:val="24"/>
          <w:szCs w:val="24"/>
        </w:rPr>
        <w:t xml:space="preserve"> the Department's Regional Office that serves the area where the Public Water System at issue is located within 15 days of the date of publication.</w:t>
      </w:r>
    </w:p>
    <w:p w14:paraId="281A60E3" w14:textId="77777777" w:rsidR="004647B9" w:rsidRPr="00846636" w:rsidRDefault="00E2436F" w:rsidP="00B4547C">
      <w:pPr>
        <w:numPr>
          <w:ilvl w:val="1"/>
          <w:numId w:val="619"/>
        </w:numPr>
        <w:tabs>
          <w:tab w:val="left" w:pos="1977"/>
        </w:tabs>
        <w:ind w:left="1540" w:hanging="5"/>
        <w:jc w:val="both"/>
        <w:rPr>
          <w:rFonts w:eastAsia="Times New Roman"/>
          <w:sz w:val="24"/>
          <w:szCs w:val="24"/>
        </w:rPr>
      </w:pPr>
      <w:r w:rsidRPr="00846636">
        <w:rPr>
          <w:rFonts w:eastAsia="Times New Roman"/>
          <w:sz w:val="24"/>
          <w:szCs w:val="24"/>
        </w:rPr>
        <w:t>Following receipt of a request for a public hearing, the Department will give notice of the hearing by mail to the Supplier of Water and, if the request was made by a Person other than the Supplier of Water, to the Person who submitted the request. The Supplier of Water shall publish a copy of the notice of hearing in a newspaper of general circulation in the area served by the system within ten days of receipt of the same. Within ten days of publication, the Supplier of Water shall submit an affidavit to the Department attesting to the fact that the notice has been published.</w:t>
      </w:r>
    </w:p>
    <w:p w14:paraId="281A60E5" w14:textId="77777777" w:rsidR="004647B9" w:rsidRPr="00846636" w:rsidRDefault="00E2436F" w:rsidP="00B4547C">
      <w:pPr>
        <w:numPr>
          <w:ilvl w:val="1"/>
          <w:numId w:val="619"/>
        </w:numPr>
        <w:tabs>
          <w:tab w:val="left" w:pos="2158"/>
        </w:tabs>
        <w:ind w:left="1540" w:hanging="5"/>
        <w:jc w:val="both"/>
        <w:rPr>
          <w:rFonts w:eastAsia="Times New Roman"/>
          <w:sz w:val="24"/>
          <w:szCs w:val="24"/>
        </w:rPr>
      </w:pPr>
      <w:r w:rsidRPr="00846636">
        <w:rPr>
          <w:rFonts w:eastAsia="Times New Roman"/>
          <w:sz w:val="24"/>
          <w:szCs w:val="24"/>
        </w:rPr>
        <w:t>The Department will accept written comments from the public relevant to the determination up to at least 14 days following the hearing. A determination following the hearing that a Supplier of Water must provide Filtration will not be subject to further review; a determination that a Supplier of Water meets all of the criteria for avoiding Filtration will be subject t</w:t>
      </w:r>
      <w:r w:rsidRPr="00846636" w:rsidDel="007B206E">
        <w:rPr>
          <w:rFonts w:eastAsia="Times New Roman"/>
          <w:sz w:val="24"/>
          <w:szCs w:val="24"/>
        </w:rPr>
        <w:t>o</w:t>
      </w:r>
      <w:r w:rsidRPr="00846636">
        <w:rPr>
          <w:rFonts w:eastAsia="Times New Roman"/>
          <w:sz w:val="24"/>
          <w:szCs w:val="24"/>
        </w:rPr>
        <w:t xml:space="preserve"> the Department's on going review. In the event the Department finds that a Supplier of Water no longer meets any one of the criteria for avoiding Filtration, the Department will issue a determination in writing that will be subject to review at a public hearing in accordance with 310 CMR 22.20A(7).</w:t>
      </w:r>
    </w:p>
    <w:p w14:paraId="281A60E6" w14:textId="77777777" w:rsidR="004647B9" w:rsidRPr="00846636" w:rsidRDefault="004647B9" w:rsidP="00B4547C">
      <w:pPr>
        <w:rPr>
          <w:sz w:val="24"/>
          <w:szCs w:val="24"/>
        </w:rPr>
      </w:pPr>
    </w:p>
    <w:p w14:paraId="281A60E7" w14:textId="77777777" w:rsidR="004647B9" w:rsidRPr="00846636" w:rsidRDefault="00E2436F" w:rsidP="00B4547C">
      <w:pPr>
        <w:tabs>
          <w:tab w:val="left" w:pos="940"/>
        </w:tabs>
        <w:rPr>
          <w:sz w:val="24"/>
          <w:szCs w:val="24"/>
        </w:rPr>
      </w:pPr>
      <w:r w:rsidRPr="00846636">
        <w:rPr>
          <w:rFonts w:eastAsia="Times New Roman"/>
          <w:sz w:val="24"/>
          <w:szCs w:val="24"/>
          <w:u w:val="single"/>
        </w:rPr>
        <w:t>22.20B:</w:t>
      </w:r>
      <w:r w:rsidRPr="00846636">
        <w:rPr>
          <w:sz w:val="24"/>
          <w:szCs w:val="24"/>
        </w:rPr>
        <w:tab/>
      </w:r>
      <w:r w:rsidRPr="00846636">
        <w:rPr>
          <w:rFonts w:eastAsia="Times New Roman"/>
          <w:sz w:val="24"/>
          <w:szCs w:val="24"/>
          <w:u w:val="single"/>
        </w:rPr>
        <w:t>Surface Water Supply Protection</w:t>
      </w:r>
    </w:p>
    <w:p w14:paraId="281A60E8" w14:textId="77777777" w:rsidR="004647B9" w:rsidRPr="00846636" w:rsidRDefault="004647B9" w:rsidP="00B4547C">
      <w:pPr>
        <w:rPr>
          <w:sz w:val="24"/>
          <w:szCs w:val="24"/>
        </w:rPr>
      </w:pPr>
    </w:p>
    <w:p w14:paraId="281A60E9" w14:textId="77777777" w:rsidR="004647B9" w:rsidRPr="00846636" w:rsidRDefault="00E2436F" w:rsidP="00B4547C">
      <w:pPr>
        <w:numPr>
          <w:ilvl w:val="0"/>
          <w:numId w:val="620"/>
        </w:numPr>
        <w:tabs>
          <w:tab w:val="left" w:pos="1604"/>
        </w:tabs>
        <w:ind w:left="1180"/>
        <w:jc w:val="both"/>
        <w:rPr>
          <w:rFonts w:eastAsia="Times New Roman"/>
          <w:sz w:val="24"/>
          <w:szCs w:val="24"/>
        </w:rPr>
      </w:pPr>
      <w:r w:rsidRPr="00846636">
        <w:rPr>
          <w:rFonts w:eastAsia="Times New Roman"/>
          <w:sz w:val="24"/>
          <w:szCs w:val="24"/>
        </w:rPr>
        <w:t>To protect surface waters used as sources of drinking water supply from contamination, the requirements of 310 CMR 22.20B shall apply to Zones A, B, C of a surface water source, except at:</w:t>
      </w:r>
    </w:p>
    <w:p w14:paraId="281A60ED" w14:textId="45549A6B" w:rsidR="004647B9" w:rsidRPr="007311CB" w:rsidRDefault="00E2436F" w:rsidP="00B4547C">
      <w:pPr>
        <w:numPr>
          <w:ilvl w:val="1"/>
          <w:numId w:val="620"/>
        </w:numPr>
        <w:tabs>
          <w:tab w:val="left" w:pos="2250"/>
        </w:tabs>
        <w:ind w:left="1555"/>
        <w:jc w:val="both"/>
        <w:rPr>
          <w:sz w:val="24"/>
          <w:szCs w:val="24"/>
        </w:rPr>
      </w:pPr>
      <w:r w:rsidRPr="007311CB">
        <w:rPr>
          <w:rFonts w:eastAsia="Times New Roman"/>
          <w:sz w:val="24"/>
          <w:szCs w:val="24"/>
        </w:rPr>
        <w:t>Rivers and streams designated as Class B waters pursuant to 314 CMR 4.00:</w:t>
      </w:r>
      <w:r w:rsidR="007311CB" w:rsidRPr="007311CB">
        <w:rPr>
          <w:rFonts w:eastAsia="Times New Roman"/>
          <w:sz w:val="24"/>
          <w:szCs w:val="24"/>
        </w:rPr>
        <w:t xml:space="preserve">  </w:t>
      </w:r>
      <w:r w:rsidRPr="007311CB">
        <w:rPr>
          <w:rFonts w:eastAsia="Times New Roman"/>
          <w:i/>
          <w:iCs/>
          <w:sz w:val="24"/>
          <w:szCs w:val="24"/>
        </w:rPr>
        <w:t xml:space="preserve">Massachusetts Surface Water Quality Standards </w:t>
      </w:r>
      <w:r w:rsidRPr="007311CB">
        <w:rPr>
          <w:rFonts w:eastAsia="Times New Roman"/>
          <w:sz w:val="24"/>
          <w:szCs w:val="24"/>
        </w:rPr>
        <w:t>which are used as drinking water sources</w:t>
      </w:r>
      <w:r w:rsidRPr="007311CB">
        <w:rPr>
          <w:rFonts w:eastAsia="Times New Roman"/>
          <w:i/>
          <w:iCs/>
          <w:sz w:val="24"/>
          <w:szCs w:val="24"/>
        </w:rPr>
        <w:t xml:space="preserve"> </w:t>
      </w:r>
      <w:r w:rsidRPr="007311CB">
        <w:rPr>
          <w:rFonts w:eastAsia="Times New Roman"/>
          <w:sz w:val="24"/>
          <w:szCs w:val="24"/>
        </w:rPr>
        <w:t>and are not impounded at some point by means of a dam or dike to create a reservoir at which the water supply intake is located;</w:t>
      </w:r>
    </w:p>
    <w:p w14:paraId="281A60EF" w14:textId="77777777" w:rsidR="004647B9" w:rsidRPr="00846636" w:rsidRDefault="00E2436F" w:rsidP="00B4547C">
      <w:pPr>
        <w:numPr>
          <w:ilvl w:val="1"/>
          <w:numId w:val="621"/>
        </w:numPr>
        <w:tabs>
          <w:tab w:val="left" w:pos="1940"/>
        </w:tabs>
        <w:ind w:left="1541"/>
        <w:rPr>
          <w:rFonts w:eastAsia="Times New Roman"/>
          <w:sz w:val="24"/>
          <w:szCs w:val="24"/>
        </w:rPr>
      </w:pPr>
      <w:r w:rsidRPr="00846636">
        <w:rPr>
          <w:rFonts w:eastAsia="Times New Roman"/>
          <w:sz w:val="24"/>
          <w:szCs w:val="24"/>
        </w:rPr>
        <w:t>Emergency sources approved by the Department under the provisions of M.G.L. c. 21G.</w:t>
      </w:r>
    </w:p>
    <w:p w14:paraId="281A60F0" w14:textId="77777777" w:rsidR="004647B9" w:rsidRPr="00846636" w:rsidRDefault="004647B9" w:rsidP="00B4547C">
      <w:pPr>
        <w:rPr>
          <w:rFonts w:eastAsia="Times New Roman"/>
          <w:sz w:val="24"/>
          <w:szCs w:val="24"/>
        </w:rPr>
      </w:pPr>
    </w:p>
    <w:p w14:paraId="281A60F1" w14:textId="77777777" w:rsidR="004647B9" w:rsidRPr="00846636" w:rsidRDefault="00E2436F" w:rsidP="00B4547C">
      <w:pPr>
        <w:numPr>
          <w:ilvl w:val="0"/>
          <w:numId w:val="622"/>
        </w:numPr>
        <w:tabs>
          <w:tab w:val="left" w:pos="1669"/>
        </w:tabs>
        <w:ind w:left="1180"/>
        <w:rPr>
          <w:rFonts w:eastAsia="Times New Roman"/>
          <w:sz w:val="24"/>
          <w:szCs w:val="24"/>
        </w:rPr>
      </w:pPr>
      <w:r w:rsidRPr="00846636">
        <w:rPr>
          <w:rFonts w:eastAsia="Times New Roman"/>
          <w:sz w:val="24"/>
          <w:szCs w:val="24"/>
        </w:rPr>
        <w:t>On and after January 1, 2001, a public water system shall prohibit the following new or expanded land uses within the Zone A of its surface water sources.</w:t>
      </w:r>
    </w:p>
    <w:p w14:paraId="281A60F3" w14:textId="77777777" w:rsidR="004647B9" w:rsidRPr="00846636" w:rsidRDefault="00E2436F" w:rsidP="00B4547C">
      <w:pPr>
        <w:numPr>
          <w:ilvl w:val="1"/>
          <w:numId w:val="622"/>
        </w:numPr>
        <w:tabs>
          <w:tab w:val="left" w:pos="1980"/>
        </w:tabs>
        <w:ind w:left="1980" w:hanging="445"/>
        <w:rPr>
          <w:rFonts w:eastAsia="Times New Roman"/>
          <w:sz w:val="24"/>
          <w:szCs w:val="24"/>
        </w:rPr>
      </w:pPr>
      <w:r w:rsidRPr="00846636">
        <w:rPr>
          <w:rFonts w:eastAsia="Times New Roman"/>
          <w:sz w:val="24"/>
          <w:szCs w:val="24"/>
        </w:rPr>
        <w:t>All underground storage tanks,</w:t>
      </w:r>
    </w:p>
    <w:p w14:paraId="281A60F5" w14:textId="77777777" w:rsidR="004647B9" w:rsidRPr="00846636" w:rsidRDefault="00E2436F" w:rsidP="00B4547C">
      <w:pPr>
        <w:numPr>
          <w:ilvl w:val="1"/>
          <w:numId w:val="622"/>
        </w:numPr>
        <w:tabs>
          <w:tab w:val="left" w:pos="2057"/>
        </w:tabs>
        <w:ind w:left="1540" w:hanging="5"/>
        <w:rPr>
          <w:rFonts w:eastAsia="Times New Roman"/>
          <w:sz w:val="24"/>
          <w:szCs w:val="24"/>
        </w:rPr>
      </w:pPr>
      <w:r w:rsidRPr="00846636">
        <w:rPr>
          <w:rFonts w:eastAsia="Times New Roman"/>
          <w:sz w:val="24"/>
          <w:szCs w:val="24"/>
        </w:rPr>
        <w:t>Above-ground storage of liquid hazardous material as defined in M.G.L. c. 21E, or liquid propane or liquid petroleum products, except as follows:</w:t>
      </w:r>
    </w:p>
    <w:p w14:paraId="281A60F6" w14:textId="77777777" w:rsidR="004647B9" w:rsidRDefault="00E2436F" w:rsidP="00B4547C">
      <w:pPr>
        <w:numPr>
          <w:ilvl w:val="2"/>
          <w:numId w:val="622"/>
        </w:numPr>
        <w:tabs>
          <w:tab w:val="left" w:pos="2260"/>
        </w:tabs>
        <w:ind w:left="2260" w:hanging="365"/>
        <w:rPr>
          <w:rFonts w:eastAsia="Times New Roman"/>
          <w:sz w:val="24"/>
          <w:szCs w:val="24"/>
        </w:rPr>
      </w:pPr>
      <w:r>
        <w:rPr>
          <w:rFonts w:eastAsia="Times New Roman"/>
          <w:sz w:val="24"/>
          <w:szCs w:val="24"/>
        </w:rPr>
        <w:t>The storage is</w:t>
      </w:r>
      <w:r w:rsidDel="007B206E">
        <w:rPr>
          <w:rFonts w:eastAsia="Times New Roman"/>
          <w:sz w:val="24"/>
          <w:szCs w:val="24"/>
        </w:rPr>
        <w:t xml:space="preserve"> inc</w:t>
      </w:r>
      <w:r>
        <w:rPr>
          <w:rFonts w:eastAsia="Times New Roman"/>
          <w:sz w:val="24"/>
          <w:szCs w:val="24"/>
        </w:rPr>
        <w:t>idental to:</w:t>
      </w:r>
    </w:p>
    <w:p w14:paraId="281A60F8" w14:textId="77777777" w:rsidR="004647B9" w:rsidRDefault="00E2436F" w:rsidP="00B4547C">
      <w:pPr>
        <w:ind w:left="2260"/>
        <w:rPr>
          <w:rFonts w:eastAsia="Times New Roman"/>
          <w:sz w:val="24"/>
          <w:szCs w:val="24"/>
        </w:rPr>
      </w:pPr>
      <w:r>
        <w:rPr>
          <w:rFonts w:eastAsia="Times New Roman"/>
          <w:sz w:val="24"/>
          <w:szCs w:val="24"/>
        </w:rPr>
        <w:t>a.  normal household use, outdoor maintenance, or the heating of a structure;</w:t>
      </w:r>
    </w:p>
    <w:p w14:paraId="281A60F9" w14:textId="77777777" w:rsidR="004647B9" w:rsidRDefault="004647B9" w:rsidP="00B4547C">
      <w:pPr>
        <w:sectPr w:rsidR="004647B9" w:rsidSect="00EF630C">
          <w:pgSz w:w="12240" w:h="20180"/>
          <w:pgMar w:top="708" w:right="1440" w:bottom="744" w:left="620" w:header="0" w:footer="0" w:gutter="0"/>
          <w:cols w:space="720"/>
        </w:sectPr>
      </w:pPr>
    </w:p>
    <w:p w14:paraId="281A60FA" w14:textId="77777777" w:rsidR="004647B9" w:rsidRDefault="00E2436F">
      <w:pPr>
        <w:tabs>
          <w:tab w:val="left" w:pos="160"/>
        </w:tabs>
        <w:ind w:right="20"/>
        <w:jc w:val="center"/>
        <w:rPr>
          <w:sz w:val="20"/>
          <w:szCs w:val="20"/>
        </w:rPr>
      </w:pPr>
      <w:bookmarkStart w:id="268" w:name="page272"/>
      <w:bookmarkEnd w:id="26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0FB" w14:textId="77777777" w:rsidR="004647B9" w:rsidRDefault="004647B9" w:rsidP="00B4547C">
      <w:pPr>
        <w:rPr>
          <w:sz w:val="20"/>
          <w:szCs w:val="20"/>
        </w:rPr>
      </w:pPr>
    </w:p>
    <w:p w14:paraId="281A60FC" w14:textId="77777777" w:rsidR="004647B9" w:rsidRDefault="004647B9" w:rsidP="00B4547C">
      <w:pPr>
        <w:rPr>
          <w:sz w:val="20"/>
          <w:szCs w:val="20"/>
        </w:rPr>
      </w:pPr>
    </w:p>
    <w:p w14:paraId="281A60FD" w14:textId="77777777" w:rsidR="004647B9" w:rsidRPr="00846636" w:rsidRDefault="00E2436F" w:rsidP="00B4547C">
      <w:pPr>
        <w:tabs>
          <w:tab w:val="left" w:pos="940"/>
        </w:tabs>
        <w:rPr>
          <w:sz w:val="24"/>
          <w:szCs w:val="24"/>
        </w:rPr>
      </w:pPr>
      <w:r w:rsidRPr="00846636">
        <w:rPr>
          <w:rFonts w:eastAsia="Times New Roman"/>
          <w:sz w:val="24"/>
          <w:szCs w:val="24"/>
        </w:rPr>
        <w:t>22.20B:</w:t>
      </w:r>
      <w:r w:rsidRPr="00846636">
        <w:rPr>
          <w:sz w:val="24"/>
          <w:szCs w:val="24"/>
        </w:rPr>
        <w:tab/>
      </w:r>
      <w:r w:rsidRPr="00846636">
        <w:rPr>
          <w:rFonts w:eastAsia="Times New Roman"/>
          <w:sz w:val="24"/>
          <w:szCs w:val="24"/>
        </w:rPr>
        <w:t>continued</w:t>
      </w:r>
    </w:p>
    <w:p w14:paraId="281A60FE" w14:textId="77777777" w:rsidR="004647B9" w:rsidRPr="00B4547C" w:rsidRDefault="004647B9" w:rsidP="00B4547C">
      <w:pPr>
        <w:rPr>
          <w:sz w:val="20"/>
          <w:szCs w:val="20"/>
        </w:rPr>
      </w:pPr>
    </w:p>
    <w:p w14:paraId="281A60FF" w14:textId="77777777" w:rsidR="004647B9" w:rsidRPr="00846636" w:rsidRDefault="00E2436F" w:rsidP="00B4547C">
      <w:pPr>
        <w:numPr>
          <w:ilvl w:val="3"/>
          <w:numId w:val="623"/>
        </w:numPr>
        <w:tabs>
          <w:tab w:val="left" w:pos="2620"/>
        </w:tabs>
        <w:ind w:left="2620" w:hanging="365"/>
        <w:rPr>
          <w:rFonts w:eastAsia="Times New Roman"/>
          <w:sz w:val="24"/>
          <w:szCs w:val="24"/>
        </w:rPr>
      </w:pPr>
      <w:r w:rsidRPr="00846636">
        <w:rPr>
          <w:rFonts w:eastAsia="Times New Roman"/>
          <w:sz w:val="24"/>
          <w:szCs w:val="24"/>
        </w:rPr>
        <w:t>use of emergency generators;</w:t>
      </w:r>
    </w:p>
    <w:p w14:paraId="281A6101" w14:textId="49A45198" w:rsidR="004647B9" w:rsidRPr="00846636" w:rsidRDefault="00E2436F" w:rsidP="00B4547C">
      <w:pPr>
        <w:numPr>
          <w:ilvl w:val="3"/>
          <w:numId w:val="623"/>
        </w:numPr>
        <w:tabs>
          <w:tab w:val="left" w:pos="2578"/>
        </w:tabs>
        <w:ind w:left="2260" w:hanging="5"/>
        <w:jc w:val="both"/>
        <w:rPr>
          <w:rFonts w:eastAsia="Times New Roman"/>
          <w:sz w:val="24"/>
          <w:szCs w:val="24"/>
        </w:rPr>
      </w:pPr>
      <w:r w:rsidRPr="00846636">
        <w:rPr>
          <w:rFonts w:eastAsia="Times New Roman"/>
          <w:sz w:val="24"/>
          <w:szCs w:val="24"/>
        </w:rPr>
        <w:t xml:space="preserve">a response action conducted or performed in accordance with M.G.L. c. 21E and 310 CMR 40.000: </w:t>
      </w:r>
      <w:r w:rsidRPr="00846636">
        <w:rPr>
          <w:rFonts w:eastAsia="Times New Roman"/>
          <w:i/>
          <w:iCs/>
          <w:sz w:val="24"/>
          <w:szCs w:val="24"/>
        </w:rPr>
        <w:t>Massachusetts Contingency Plan</w:t>
      </w:r>
      <w:r w:rsidRPr="00846636">
        <w:rPr>
          <w:rFonts w:eastAsia="Times New Roman"/>
          <w:sz w:val="24"/>
          <w:szCs w:val="24"/>
        </w:rPr>
        <w:t>; and</w:t>
      </w:r>
    </w:p>
    <w:p w14:paraId="281A6103" w14:textId="77777777" w:rsidR="004647B9" w:rsidRPr="00846636" w:rsidRDefault="00E2436F" w:rsidP="00B4547C">
      <w:pPr>
        <w:numPr>
          <w:ilvl w:val="2"/>
          <w:numId w:val="624"/>
        </w:numPr>
        <w:tabs>
          <w:tab w:val="left" w:pos="2294"/>
        </w:tabs>
        <w:ind w:left="1900" w:hanging="5"/>
        <w:jc w:val="both"/>
        <w:rPr>
          <w:rFonts w:eastAsia="Times New Roman"/>
          <w:sz w:val="24"/>
          <w:szCs w:val="24"/>
        </w:rPr>
      </w:pPr>
      <w:r w:rsidRPr="00846636">
        <w:rPr>
          <w:rFonts w:eastAsia="Times New Roman"/>
          <w:sz w:val="24"/>
          <w:szCs w:val="24"/>
        </w:rPr>
        <w:t>The storage is either in container(s) or above-ground tank(s) within a building, or outdoors in covered container(s) or above-ground tank(s) in an area that has a containment system designed and operated to hold either 10% of the total possible storage capacity of all containers, or 110% of the largest container's storage capacity, whichever is greater. However, these storage requirements do not apply to the replacement of existing tanks or systems for the keeping, dispensing or storing of gasoline provided the replacement is performed in accordance with applicable state and local requirements;</w:t>
      </w:r>
    </w:p>
    <w:p w14:paraId="281A6105" w14:textId="77777777" w:rsidR="004647B9" w:rsidRPr="00846636" w:rsidRDefault="00E2436F" w:rsidP="00B4547C">
      <w:pPr>
        <w:numPr>
          <w:ilvl w:val="1"/>
          <w:numId w:val="625"/>
        </w:numPr>
        <w:tabs>
          <w:tab w:val="left" w:pos="2061"/>
        </w:tabs>
        <w:ind w:left="1540" w:hanging="5"/>
        <w:jc w:val="both"/>
        <w:rPr>
          <w:rFonts w:eastAsia="Times New Roman"/>
          <w:sz w:val="24"/>
          <w:szCs w:val="24"/>
        </w:rPr>
      </w:pPr>
      <w:r w:rsidRPr="00846636">
        <w:rPr>
          <w:rFonts w:eastAsia="Times New Roman"/>
          <w:sz w:val="24"/>
          <w:szCs w:val="24"/>
        </w:rPr>
        <w:t xml:space="preserve">Treatment or disposal works subject to 314 CMR 3.00: </w:t>
      </w:r>
      <w:r w:rsidRPr="00846636">
        <w:rPr>
          <w:rFonts w:eastAsia="Times New Roman"/>
          <w:i/>
          <w:iCs/>
          <w:sz w:val="24"/>
          <w:szCs w:val="24"/>
        </w:rPr>
        <w:t>Surface Water Discharge</w:t>
      </w:r>
      <w:r w:rsidRPr="00846636">
        <w:rPr>
          <w:rFonts w:eastAsia="Times New Roman"/>
          <w:sz w:val="24"/>
          <w:szCs w:val="24"/>
        </w:rPr>
        <w:t xml:space="preserve"> </w:t>
      </w:r>
      <w:r w:rsidRPr="00846636">
        <w:rPr>
          <w:rFonts w:eastAsia="Times New Roman"/>
          <w:i/>
          <w:iCs/>
          <w:sz w:val="24"/>
          <w:szCs w:val="24"/>
        </w:rPr>
        <w:t xml:space="preserve">Permit Program </w:t>
      </w:r>
      <w:r w:rsidRPr="00846636">
        <w:rPr>
          <w:rFonts w:eastAsia="Times New Roman"/>
          <w:sz w:val="24"/>
          <w:szCs w:val="24"/>
        </w:rPr>
        <w:t>or 5.00:</w:t>
      </w:r>
      <w:r w:rsidRPr="00846636">
        <w:rPr>
          <w:rFonts w:eastAsia="Times New Roman"/>
          <w:i/>
          <w:iCs/>
          <w:sz w:val="24"/>
          <w:szCs w:val="24"/>
        </w:rPr>
        <w:t xml:space="preserve"> Ground Water Discharge Permit Program</w:t>
      </w:r>
      <w:r w:rsidRPr="00846636">
        <w:rPr>
          <w:rFonts w:eastAsia="Times New Roman"/>
          <w:sz w:val="24"/>
          <w:szCs w:val="24"/>
        </w:rPr>
        <w:t>, except the following:</w:t>
      </w:r>
    </w:p>
    <w:p w14:paraId="281A6106" w14:textId="77777777" w:rsidR="004647B9" w:rsidRPr="00846636" w:rsidRDefault="00E2436F" w:rsidP="00B4547C">
      <w:pPr>
        <w:numPr>
          <w:ilvl w:val="2"/>
          <w:numId w:val="625"/>
        </w:numPr>
        <w:tabs>
          <w:tab w:val="left" w:pos="2296"/>
        </w:tabs>
        <w:ind w:left="1900" w:hanging="5"/>
        <w:jc w:val="both"/>
        <w:rPr>
          <w:rFonts w:eastAsia="Times New Roman"/>
          <w:sz w:val="24"/>
          <w:szCs w:val="24"/>
        </w:rPr>
      </w:pPr>
      <w:r w:rsidRPr="00846636">
        <w:rPr>
          <w:rFonts w:eastAsia="Times New Roman"/>
          <w:sz w:val="24"/>
          <w:szCs w:val="24"/>
        </w:rPr>
        <w:t>the replacement or repair of an existing treatment or disposal works that will not result in a design capacity greater than the design capacity of the existing treatment or disposal works;</w:t>
      </w:r>
    </w:p>
    <w:p w14:paraId="281A6108" w14:textId="77777777" w:rsidR="004647B9" w:rsidRPr="00846636" w:rsidRDefault="00E2436F" w:rsidP="00B4547C">
      <w:pPr>
        <w:numPr>
          <w:ilvl w:val="2"/>
          <w:numId w:val="625"/>
        </w:numPr>
        <w:tabs>
          <w:tab w:val="left" w:pos="2219"/>
        </w:tabs>
        <w:ind w:left="1900" w:hanging="5"/>
        <w:jc w:val="both"/>
        <w:rPr>
          <w:rFonts w:eastAsia="Times New Roman"/>
          <w:sz w:val="24"/>
          <w:szCs w:val="24"/>
        </w:rPr>
      </w:pPr>
      <w:r w:rsidRPr="00846636">
        <w:rPr>
          <w:rFonts w:eastAsia="Times New Roman"/>
          <w:sz w:val="24"/>
          <w:szCs w:val="24"/>
        </w:rPr>
        <w:t xml:space="preserve">treatment or disposal works for sanitary sewage if necessary to treat existing sanitary sewage discharges in non-compliance with 310 CMR 15.000: </w:t>
      </w:r>
      <w:r w:rsidRPr="00846636">
        <w:rPr>
          <w:rFonts w:eastAsia="Times New Roman"/>
          <w:i/>
          <w:iCs/>
          <w:sz w:val="24"/>
          <w:szCs w:val="24"/>
        </w:rPr>
        <w:t>The State Environmental</w:t>
      </w:r>
      <w:r w:rsidRPr="00846636">
        <w:rPr>
          <w:rFonts w:eastAsia="Times New Roman"/>
          <w:sz w:val="24"/>
          <w:szCs w:val="24"/>
        </w:rPr>
        <w:t xml:space="preserve"> </w:t>
      </w:r>
      <w:r w:rsidRPr="00846636">
        <w:rPr>
          <w:rFonts w:eastAsia="Times New Roman"/>
          <w:i/>
          <w:iCs/>
          <w:sz w:val="24"/>
          <w:szCs w:val="24"/>
        </w:rPr>
        <w:t>Code, Title 5: Standard Requirements for the Siting, Construction, Inspection, Upgrade and Expansion of On-site Sewage Treatment and Disposal Systems and for the Transport and Disposal of Septage</w:t>
      </w:r>
      <w:r w:rsidRPr="00846636">
        <w:rPr>
          <w:rFonts w:eastAsia="Times New Roman"/>
          <w:sz w:val="24"/>
          <w:szCs w:val="24"/>
        </w:rPr>
        <w:t>, provided the facility owner demonstrates t</w:t>
      </w:r>
      <w:r w:rsidRPr="00846636" w:rsidDel="007B206E">
        <w:rPr>
          <w:rFonts w:eastAsia="Times New Roman"/>
          <w:sz w:val="24"/>
          <w:szCs w:val="24"/>
        </w:rPr>
        <w:t>o</w:t>
      </w:r>
      <w:r w:rsidRPr="00846636">
        <w:rPr>
          <w:rFonts w:eastAsia="Times New Roman"/>
          <w:sz w:val="24"/>
          <w:szCs w:val="24"/>
        </w:rPr>
        <w:t xml:space="preserve"> the Department's</w:t>
      </w:r>
      <w:r w:rsidRPr="00846636">
        <w:rPr>
          <w:rFonts w:eastAsia="Times New Roman"/>
          <w:i/>
          <w:iCs/>
          <w:sz w:val="24"/>
          <w:szCs w:val="24"/>
        </w:rPr>
        <w:t xml:space="preserve"> </w:t>
      </w:r>
      <w:r w:rsidRPr="00846636">
        <w:rPr>
          <w:rFonts w:eastAsia="Times New Roman"/>
          <w:sz w:val="24"/>
          <w:szCs w:val="24"/>
        </w:rPr>
        <w:t xml:space="preserve">satisfaction that there are no feasible siting locations outside of the Zone A. Any such facility shall be permitted in accordance with 314 CMR 5.00: </w:t>
      </w:r>
      <w:r w:rsidRPr="00846636">
        <w:rPr>
          <w:rFonts w:eastAsia="Times New Roman"/>
          <w:i/>
          <w:iCs/>
          <w:sz w:val="24"/>
          <w:szCs w:val="24"/>
        </w:rPr>
        <w:t>Ground Water Discharge</w:t>
      </w:r>
      <w:r w:rsidRPr="00846636">
        <w:rPr>
          <w:rFonts w:eastAsia="Times New Roman"/>
          <w:sz w:val="24"/>
          <w:szCs w:val="24"/>
        </w:rPr>
        <w:t xml:space="preserve"> </w:t>
      </w:r>
      <w:r w:rsidRPr="00846636">
        <w:rPr>
          <w:rFonts w:eastAsia="Times New Roman"/>
          <w:i/>
          <w:iCs/>
          <w:sz w:val="24"/>
          <w:szCs w:val="24"/>
        </w:rPr>
        <w:t xml:space="preserve">Permit Program </w:t>
      </w:r>
      <w:r w:rsidRPr="00846636">
        <w:rPr>
          <w:rFonts w:eastAsia="Times New Roman"/>
          <w:sz w:val="24"/>
          <w:szCs w:val="24"/>
        </w:rPr>
        <w:t>and shall be required to disinfect the effluent. The Department may also</w:t>
      </w:r>
      <w:r w:rsidRPr="00846636">
        <w:rPr>
          <w:rFonts w:eastAsia="Times New Roman"/>
          <w:i/>
          <w:iCs/>
          <w:sz w:val="24"/>
          <w:szCs w:val="24"/>
        </w:rPr>
        <w:t xml:space="preserve"> </w:t>
      </w:r>
      <w:r w:rsidRPr="00846636">
        <w:rPr>
          <w:rFonts w:eastAsia="Times New Roman"/>
          <w:sz w:val="24"/>
          <w:szCs w:val="24"/>
        </w:rPr>
        <w:t>require the facility to provide a higher level of treatment prior to discharge;</w:t>
      </w:r>
    </w:p>
    <w:p w14:paraId="281A610A" w14:textId="3FDB0A50" w:rsidR="004647B9" w:rsidRPr="00846636" w:rsidRDefault="00E2436F" w:rsidP="00B4547C">
      <w:pPr>
        <w:numPr>
          <w:ilvl w:val="2"/>
          <w:numId w:val="625"/>
        </w:numPr>
        <w:tabs>
          <w:tab w:val="left" w:pos="2218"/>
        </w:tabs>
        <w:ind w:left="1900" w:hanging="5"/>
        <w:jc w:val="both"/>
        <w:rPr>
          <w:rFonts w:eastAsia="Times New Roman"/>
          <w:sz w:val="24"/>
          <w:szCs w:val="24"/>
        </w:rPr>
      </w:pPr>
      <w:r w:rsidRPr="00846636">
        <w:rPr>
          <w:rFonts w:eastAsia="Times New Roman"/>
          <w:sz w:val="24"/>
          <w:szCs w:val="24"/>
        </w:rPr>
        <w:t>treatment works approved by the Department designed for the treatment of contaminated ground or surface waters and operated in compliance with 314 CMR 5.05(3)</w:t>
      </w:r>
      <w:r w:rsidR="006C6C17">
        <w:rPr>
          <w:rFonts w:eastAsia="Times New Roman"/>
          <w:sz w:val="24"/>
          <w:szCs w:val="24"/>
        </w:rPr>
        <w:t>,</w:t>
      </w:r>
      <w:r w:rsidRPr="00846636">
        <w:rPr>
          <w:rFonts w:eastAsia="Times New Roman"/>
          <w:sz w:val="24"/>
          <w:szCs w:val="24"/>
        </w:rPr>
        <w:t xml:space="preserve"> </w:t>
      </w:r>
      <w:r w:rsidR="006C6C17">
        <w:rPr>
          <w:rFonts w:eastAsia="Times New Roman"/>
          <w:sz w:val="24"/>
          <w:szCs w:val="24"/>
        </w:rPr>
        <w:t xml:space="preserve">(15) </w:t>
      </w:r>
      <w:r w:rsidRPr="00846636">
        <w:rPr>
          <w:rFonts w:eastAsia="Times New Roman"/>
          <w:sz w:val="24"/>
          <w:szCs w:val="24"/>
        </w:rPr>
        <w:t>or (1</w:t>
      </w:r>
      <w:r w:rsidR="00684AEB">
        <w:rPr>
          <w:rFonts w:eastAsia="Times New Roman"/>
          <w:sz w:val="24"/>
          <w:szCs w:val="24"/>
        </w:rPr>
        <w:t>6</w:t>
      </w:r>
      <w:r w:rsidRPr="00846636">
        <w:rPr>
          <w:rFonts w:eastAsia="Times New Roman"/>
          <w:sz w:val="24"/>
          <w:szCs w:val="24"/>
        </w:rPr>
        <w:t>).</w:t>
      </w:r>
    </w:p>
    <w:p w14:paraId="281A610C" w14:textId="77777777" w:rsidR="004647B9" w:rsidRPr="00846636" w:rsidRDefault="00E2436F" w:rsidP="00F61E34">
      <w:pPr>
        <w:numPr>
          <w:ilvl w:val="2"/>
          <w:numId w:val="625"/>
        </w:numPr>
        <w:tabs>
          <w:tab w:val="left" w:pos="2240"/>
        </w:tabs>
        <w:ind w:left="1901"/>
        <w:rPr>
          <w:rFonts w:eastAsia="Times New Roman"/>
          <w:sz w:val="24"/>
          <w:szCs w:val="24"/>
        </w:rPr>
      </w:pPr>
      <w:r w:rsidRPr="00846636">
        <w:rPr>
          <w:rFonts w:eastAsia="Times New Roman"/>
          <w:sz w:val="24"/>
          <w:szCs w:val="24"/>
        </w:rPr>
        <w:t>discharge by public water system of waters incidental to water treatment processes.</w:t>
      </w:r>
    </w:p>
    <w:p w14:paraId="281A610D" w14:textId="77777777" w:rsidR="004647B9" w:rsidRPr="00F61E34" w:rsidRDefault="004647B9" w:rsidP="00B4547C">
      <w:pPr>
        <w:rPr>
          <w:rFonts w:eastAsia="Times New Roman"/>
          <w:sz w:val="24"/>
          <w:szCs w:val="24"/>
        </w:rPr>
      </w:pPr>
    </w:p>
    <w:p w14:paraId="281A6110" w14:textId="3838FCB1" w:rsidR="004647B9" w:rsidRPr="000971B3" w:rsidRDefault="00E2436F" w:rsidP="00B4547C">
      <w:pPr>
        <w:numPr>
          <w:ilvl w:val="0"/>
          <w:numId w:val="626"/>
        </w:numPr>
        <w:tabs>
          <w:tab w:val="left" w:pos="2059"/>
        </w:tabs>
        <w:ind w:left="1540" w:hanging="360"/>
        <w:jc w:val="both"/>
        <w:rPr>
          <w:rFonts w:eastAsia="Times New Roman"/>
          <w:sz w:val="24"/>
          <w:szCs w:val="24"/>
        </w:rPr>
      </w:pPr>
      <w:r w:rsidRPr="000971B3">
        <w:rPr>
          <w:rFonts w:eastAsia="Times New Roman"/>
          <w:sz w:val="24"/>
          <w:szCs w:val="24"/>
        </w:rPr>
        <w:t>(a)</w:t>
      </w:r>
      <w:r w:rsidR="000971B3" w:rsidRPr="000971B3">
        <w:rPr>
          <w:rFonts w:eastAsia="Times New Roman"/>
          <w:sz w:val="24"/>
          <w:szCs w:val="24"/>
        </w:rPr>
        <w:tab/>
      </w:r>
      <w:r w:rsidRPr="000971B3">
        <w:rPr>
          <w:rFonts w:eastAsia="Times New Roman"/>
          <w:sz w:val="24"/>
          <w:szCs w:val="24"/>
        </w:rPr>
        <w:t xml:space="preserve">All on-site subsurface sewage disposal systems, as defined in 310 CMR 15.000:  </w:t>
      </w:r>
      <w:r w:rsidRPr="000971B3">
        <w:rPr>
          <w:rFonts w:eastAsia="Times New Roman"/>
          <w:i/>
          <w:iCs/>
          <w:sz w:val="24"/>
          <w:szCs w:val="24"/>
        </w:rPr>
        <w:t>The</w:t>
      </w:r>
      <w:r w:rsidR="000971B3">
        <w:rPr>
          <w:rFonts w:eastAsia="Times New Roman"/>
          <w:i/>
          <w:iCs/>
          <w:sz w:val="24"/>
          <w:szCs w:val="24"/>
        </w:rPr>
        <w:t xml:space="preserve"> </w:t>
      </w:r>
      <w:r w:rsidRPr="000971B3">
        <w:rPr>
          <w:rFonts w:eastAsia="Times New Roman"/>
          <w:i/>
          <w:iCs/>
          <w:sz w:val="24"/>
          <w:szCs w:val="24"/>
        </w:rPr>
        <w:t>State Environmental Code, Title 5: Standard Requirements for the Siting, Construction, Inspection, Upgrade and Expansion of On-site Sewage Treatment and Disposal Systems and for the Transport and Disposal of Septage</w:t>
      </w:r>
      <w:r w:rsidRPr="000971B3">
        <w:rPr>
          <w:rFonts w:eastAsia="Times New Roman"/>
          <w:sz w:val="24"/>
          <w:szCs w:val="24"/>
        </w:rPr>
        <w:t>, within Zones A, B, and C, shall be in compliance</w:t>
      </w:r>
      <w:r w:rsidRPr="000971B3">
        <w:rPr>
          <w:rFonts w:eastAsia="Times New Roman"/>
          <w:i/>
          <w:iCs/>
          <w:sz w:val="24"/>
          <w:szCs w:val="24"/>
        </w:rPr>
        <w:t xml:space="preserve"> </w:t>
      </w:r>
      <w:r w:rsidRPr="000971B3">
        <w:rPr>
          <w:rFonts w:eastAsia="Times New Roman"/>
          <w:sz w:val="24"/>
          <w:szCs w:val="24"/>
        </w:rPr>
        <w:t>with the requirements of 310 CMR 15.000.</w:t>
      </w:r>
    </w:p>
    <w:p w14:paraId="281A6112" w14:textId="77777777" w:rsidR="004647B9" w:rsidRDefault="00E2436F" w:rsidP="00B4547C">
      <w:pPr>
        <w:numPr>
          <w:ilvl w:val="1"/>
          <w:numId w:val="626"/>
        </w:numPr>
        <w:tabs>
          <w:tab w:val="left" w:pos="1982"/>
        </w:tabs>
        <w:ind w:left="1540" w:hanging="5"/>
        <w:jc w:val="both"/>
        <w:rPr>
          <w:rFonts w:eastAsia="Times New Roman"/>
          <w:sz w:val="24"/>
          <w:szCs w:val="24"/>
        </w:rPr>
      </w:pPr>
      <w:r>
        <w:rPr>
          <w:rFonts w:eastAsia="Times New Roman"/>
          <w:sz w:val="24"/>
          <w:szCs w:val="24"/>
        </w:rPr>
        <w:t>Within the Zone A of all surface water supplies and tributaries as defined in 310 CMR 22.02, all sewer lines and appurtenances are prohibited, except as required to eliminate existing or potential pollution to the water supply, or where the crossing of tributaries is necessary to construct a public sewer system. Where the exception is met, watertight construction of sewer lines and manholes shall be used.</w:t>
      </w:r>
    </w:p>
    <w:p w14:paraId="281A6114" w14:textId="77777777" w:rsidR="004647B9" w:rsidRDefault="00E2436F" w:rsidP="00B4547C">
      <w:pPr>
        <w:numPr>
          <w:ilvl w:val="1"/>
          <w:numId w:val="626"/>
        </w:numPr>
        <w:tabs>
          <w:tab w:val="left" w:pos="1993"/>
        </w:tabs>
        <w:ind w:left="1540" w:hanging="5"/>
        <w:jc w:val="both"/>
        <w:rPr>
          <w:rFonts w:eastAsia="Times New Roman"/>
          <w:sz w:val="24"/>
          <w:szCs w:val="24"/>
        </w:rPr>
      </w:pPr>
      <w:r>
        <w:rPr>
          <w:rFonts w:eastAsia="Times New Roman"/>
          <w:sz w:val="24"/>
          <w:szCs w:val="24"/>
        </w:rPr>
        <w:t>Within 1,000 feet of surface water supplies and tributaries, all pumping stations shall have standby power and high water alarms telemetered to an appropriate location that is manned at all times. An emergency contingency plan must be developed by the owner of the wastewater treatment facility and submitted to the Department for approval.</w:t>
      </w:r>
    </w:p>
    <w:p w14:paraId="281A6116" w14:textId="77777777" w:rsidR="004647B9" w:rsidRDefault="00E2436F" w:rsidP="00B4547C">
      <w:pPr>
        <w:numPr>
          <w:ilvl w:val="1"/>
          <w:numId w:val="626"/>
        </w:numPr>
        <w:tabs>
          <w:tab w:val="left" w:pos="1971"/>
        </w:tabs>
        <w:ind w:left="1540" w:hanging="5"/>
        <w:jc w:val="both"/>
        <w:rPr>
          <w:rFonts w:eastAsia="Times New Roman"/>
          <w:sz w:val="24"/>
          <w:szCs w:val="24"/>
        </w:rPr>
      </w:pPr>
      <w:r>
        <w:rPr>
          <w:rFonts w:eastAsia="Times New Roman"/>
          <w:sz w:val="24"/>
          <w:szCs w:val="24"/>
        </w:rPr>
        <w:t>Beyond 1,000 feet, and within the watershed of surface water supplies, the Department may in specific circumstances, after review, require additional controls when deemed necessary for protection of public health.</w:t>
      </w:r>
    </w:p>
    <w:p w14:paraId="281A6117" w14:textId="77777777" w:rsidR="004647B9" w:rsidRDefault="004647B9" w:rsidP="00B4547C">
      <w:pPr>
        <w:rPr>
          <w:rFonts w:eastAsia="Times New Roman"/>
          <w:sz w:val="24"/>
          <w:szCs w:val="24"/>
        </w:rPr>
      </w:pPr>
    </w:p>
    <w:p w14:paraId="281A6118" w14:textId="51276D96" w:rsidR="004647B9" w:rsidRPr="006A008F" w:rsidRDefault="00E2436F" w:rsidP="00B4547C">
      <w:pPr>
        <w:numPr>
          <w:ilvl w:val="0"/>
          <w:numId w:val="626"/>
        </w:numPr>
        <w:tabs>
          <w:tab w:val="left" w:pos="1626"/>
        </w:tabs>
        <w:ind w:left="1180"/>
        <w:jc w:val="both"/>
        <w:rPr>
          <w:rFonts w:eastAsia="Times New Roman"/>
          <w:sz w:val="24"/>
          <w:szCs w:val="24"/>
        </w:rPr>
      </w:pPr>
      <w:r w:rsidRPr="006A008F">
        <w:rPr>
          <w:rFonts w:eastAsia="Times New Roman"/>
          <w:sz w:val="24"/>
          <w:szCs w:val="24"/>
        </w:rPr>
        <w:t xml:space="preserve">No stabling, hitching, standing, feeding or grazing of livestock or other domestic animals shall be located, constructed, or maintained within 100 feet of the bank of a surface water source or tributary thereto. Owners and operators of agricultural operations should consult the Massachusetts Department of Agricultural Resources </w:t>
      </w:r>
      <w:r w:rsidRPr="006A008F">
        <w:rPr>
          <w:rFonts w:eastAsia="Times New Roman"/>
          <w:i/>
          <w:iCs/>
          <w:sz w:val="24"/>
          <w:szCs w:val="24"/>
        </w:rPr>
        <w:t>On-farm Strategies to Protec</w:t>
      </w:r>
      <w:r w:rsidRPr="006A008F" w:rsidDel="007B206E">
        <w:rPr>
          <w:rFonts w:eastAsia="Times New Roman"/>
          <w:i/>
          <w:iCs/>
          <w:sz w:val="24"/>
          <w:szCs w:val="24"/>
        </w:rPr>
        <w:t>t</w:t>
      </w:r>
      <w:r w:rsidRPr="006A008F">
        <w:rPr>
          <w:rFonts w:eastAsia="Times New Roman"/>
          <w:i/>
          <w:iCs/>
          <w:sz w:val="24"/>
          <w:szCs w:val="24"/>
        </w:rPr>
        <w:t xml:space="preserve"> Water</w:t>
      </w:r>
      <w:r w:rsidRPr="006A008F">
        <w:rPr>
          <w:rFonts w:eastAsia="Times New Roman"/>
          <w:sz w:val="24"/>
          <w:szCs w:val="24"/>
        </w:rPr>
        <w:t xml:space="preserve"> </w:t>
      </w:r>
      <w:r w:rsidRPr="006A008F">
        <w:rPr>
          <w:rFonts w:eastAsia="Times New Roman"/>
          <w:i/>
          <w:iCs/>
          <w:sz w:val="24"/>
          <w:szCs w:val="24"/>
        </w:rPr>
        <w:t xml:space="preserve">Quality - An Assessment &amp; Planning Tool for Best Management Practices </w:t>
      </w:r>
      <w:r w:rsidRPr="006A008F">
        <w:rPr>
          <w:rFonts w:eastAsia="Times New Roman"/>
          <w:sz w:val="24"/>
          <w:szCs w:val="24"/>
        </w:rPr>
        <w:t>(</w:t>
      </w:r>
      <w:r w:rsidR="00C1504C">
        <w:rPr>
          <w:rFonts w:eastAsia="Times New Roman"/>
          <w:sz w:val="24"/>
          <w:szCs w:val="24"/>
        </w:rPr>
        <w:t>October 1999</w:t>
      </w:r>
      <w:r w:rsidRPr="006A008F">
        <w:rPr>
          <w:rFonts w:eastAsia="Times New Roman"/>
          <w:sz w:val="24"/>
          <w:szCs w:val="24"/>
        </w:rPr>
        <w:t>) for</w:t>
      </w:r>
      <w:r w:rsidRPr="006A008F">
        <w:rPr>
          <w:rFonts w:eastAsia="Times New Roman"/>
          <w:i/>
          <w:iCs/>
          <w:sz w:val="24"/>
          <w:szCs w:val="24"/>
        </w:rPr>
        <w:t xml:space="preserve"> </w:t>
      </w:r>
      <w:r w:rsidRPr="006A008F">
        <w:rPr>
          <w:rFonts w:eastAsia="Times New Roman"/>
          <w:sz w:val="24"/>
          <w:szCs w:val="24"/>
        </w:rPr>
        <w:t>information about technical and financial assistance programs related to erosion and sediment control and nutrient, pest, pesticide, manure, waste, grazing, and irrigation management.</w:t>
      </w:r>
    </w:p>
    <w:p w14:paraId="281A6119" w14:textId="77777777" w:rsidR="004647B9" w:rsidRDefault="004647B9" w:rsidP="00B4547C">
      <w:pPr>
        <w:sectPr w:rsidR="004647B9" w:rsidSect="00EF630C">
          <w:pgSz w:w="12240" w:h="20180"/>
          <w:pgMar w:top="708" w:right="1440" w:bottom="1440" w:left="620" w:header="0" w:footer="0" w:gutter="0"/>
          <w:cols w:space="720"/>
        </w:sectPr>
      </w:pPr>
    </w:p>
    <w:p w14:paraId="281A611A" w14:textId="77777777" w:rsidR="004647B9" w:rsidRDefault="00E2436F">
      <w:pPr>
        <w:tabs>
          <w:tab w:val="left" w:pos="160"/>
        </w:tabs>
        <w:ind w:right="20"/>
        <w:jc w:val="center"/>
        <w:rPr>
          <w:sz w:val="20"/>
          <w:szCs w:val="20"/>
        </w:rPr>
      </w:pPr>
      <w:bookmarkStart w:id="269" w:name="page273"/>
      <w:bookmarkEnd w:id="26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11B" w14:textId="77777777" w:rsidR="004647B9" w:rsidRDefault="004647B9" w:rsidP="000C12D2">
      <w:pPr>
        <w:rPr>
          <w:sz w:val="20"/>
          <w:szCs w:val="20"/>
        </w:rPr>
      </w:pPr>
    </w:p>
    <w:p w14:paraId="281A611C" w14:textId="77777777" w:rsidR="004647B9" w:rsidRDefault="004647B9" w:rsidP="000C12D2">
      <w:pPr>
        <w:rPr>
          <w:sz w:val="20"/>
          <w:szCs w:val="20"/>
        </w:rPr>
      </w:pPr>
    </w:p>
    <w:p w14:paraId="281A611D" w14:textId="77777777" w:rsidR="004647B9" w:rsidRPr="00846636" w:rsidRDefault="00E2436F" w:rsidP="000C12D2">
      <w:pPr>
        <w:tabs>
          <w:tab w:val="left" w:pos="940"/>
        </w:tabs>
        <w:rPr>
          <w:sz w:val="24"/>
          <w:szCs w:val="24"/>
        </w:rPr>
      </w:pPr>
      <w:r w:rsidRPr="00846636">
        <w:rPr>
          <w:rFonts w:eastAsia="Times New Roman"/>
          <w:sz w:val="24"/>
          <w:szCs w:val="24"/>
        </w:rPr>
        <w:t>22.20B:</w:t>
      </w:r>
      <w:r w:rsidRPr="00846636">
        <w:rPr>
          <w:sz w:val="24"/>
          <w:szCs w:val="24"/>
        </w:rPr>
        <w:tab/>
      </w:r>
      <w:r w:rsidRPr="00846636">
        <w:rPr>
          <w:rFonts w:eastAsia="Times New Roman"/>
          <w:sz w:val="24"/>
          <w:szCs w:val="24"/>
        </w:rPr>
        <w:t>continued</w:t>
      </w:r>
    </w:p>
    <w:p w14:paraId="281A611E" w14:textId="77777777" w:rsidR="004647B9" w:rsidRPr="000C12D2" w:rsidRDefault="004647B9" w:rsidP="000C12D2">
      <w:pPr>
        <w:rPr>
          <w:sz w:val="20"/>
          <w:szCs w:val="20"/>
        </w:rPr>
      </w:pPr>
    </w:p>
    <w:p w14:paraId="281A611F" w14:textId="77777777" w:rsidR="004647B9" w:rsidRPr="00846636" w:rsidRDefault="00E2436F" w:rsidP="000C12D2">
      <w:pPr>
        <w:numPr>
          <w:ilvl w:val="0"/>
          <w:numId w:val="627"/>
        </w:numPr>
        <w:tabs>
          <w:tab w:val="left" w:pos="1798"/>
        </w:tabs>
        <w:ind w:left="1180"/>
        <w:jc w:val="both"/>
        <w:rPr>
          <w:rFonts w:eastAsia="Times New Roman"/>
          <w:sz w:val="24"/>
          <w:szCs w:val="24"/>
        </w:rPr>
      </w:pPr>
      <w:r w:rsidRPr="00846636">
        <w:rPr>
          <w:rFonts w:eastAsia="Times New Roman"/>
          <w:sz w:val="24"/>
          <w:szCs w:val="24"/>
        </w:rPr>
        <w:t>No burial shall be made, except by permission in writing by the Board of Water Commissioners or like body having jurisdiction over such source of supply, in any cemetery or other place within 100 feet of the high water mark of a source of public water supply or tributary thereto. No lands not under the control of cemetery authorities and used for cemetery purposes, from which lands the natural drainage flows into said source of water supply or tributary thereto, shall be taken or used for cemetery purposes until a plan and sufficient description of the lands is presented to the Department and until such taking or use is expressly approved in writing by the Department.</w:t>
      </w:r>
    </w:p>
    <w:p w14:paraId="281A6120" w14:textId="77777777" w:rsidR="004647B9" w:rsidRPr="00846636" w:rsidRDefault="004647B9" w:rsidP="000C12D2">
      <w:pPr>
        <w:rPr>
          <w:rFonts w:eastAsia="Times New Roman"/>
          <w:sz w:val="24"/>
          <w:szCs w:val="24"/>
        </w:rPr>
      </w:pPr>
    </w:p>
    <w:p w14:paraId="281A6121" w14:textId="77777777" w:rsidR="004647B9" w:rsidRPr="00846636" w:rsidRDefault="00E2436F" w:rsidP="000C12D2">
      <w:pPr>
        <w:numPr>
          <w:ilvl w:val="0"/>
          <w:numId w:val="627"/>
        </w:numPr>
        <w:tabs>
          <w:tab w:val="left" w:pos="1590"/>
        </w:tabs>
        <w:ind w:left="1180"/>
        <w:jc w:val="both"/>
        <w:rPr>
          <w:rFonts w:eastAsia="Times New Roman"/>
          <w:sz w:val="24"/>
          <w:szCs w:val="24"/>
        </w:rPr>
      </w:pPr>
      <w:r w:rsidRPr="00846636">
        <w:rPr>
          <w:rFonts w:eastAsia="Times New Roman"/>
          <w:sz w:val="24"/>
          <w:szCs w:val="24"/>
        </w:rPr>
        <w:t>No person shall swim, wade or bathe in any public surface water source and no person shall, unless permitted by written permit by the Board of Water Commissioners or like body having jurisdiction over such source, fish in; enter or go in any boat, seaplane, or other vehicle; enter upon the ice for any purpose, including the cutting or taking of ice; or cause or allow any animal to go into, or upon, any surface water source or tributary thereto.</w:t>
      </w:r>
    </w:p>
    <w:p w14:paraId="281A6122" w14:textId="77777777" w:rsidR="004647B9" w:rsidRPr="00846636" w:rsidRDefault="004647B9" w:rsidP="000C12D2">
      <w:pPr>
        <w:rPr>
          <w:rFonts w:eastAsia="Times New Roman"/>
          <w:sz w:val="24"/>
          <w:szCs w:val="24"/>
        </w:rPr>
      </w:pPr>
    </w:p>
    <w:p w14:paraId="281A6123" w14:textId="77777777" w:rsidR="004647B9" w:rsidRPr="00846636" w:rsidRDefault="00E2436F" w:rsidP="000C12D2">
      <w:pPr>
        <w:numPr>
          <w:ilvl w:val="0"/>
          <w:numId w:val="627"/>
        </w:numPr>
        <w:tabs>
          <w:tab w:val="left" w:pos="1640"/>
        </w:tabs>
        <w:ind w:left="1180"/>
        <w:rPr>
          <w:rFonts w:eastAsia="Times New Roman"/>
          <w:sz w:val="24"/>
          <w:szCs w:val="24"/>
        </w:rPr>
      </w:pPr>
      <w:r w:rsidRPr="00846636">
        <w:rPr>
          <w:rFonts w:eastAsia="Times New Roman"/>
          <w:sz w:val="24"/>
          <w:szCs w:val="24"/>
          <w:u w:val="single"/>
        </w:rPr>
        <w:t>Enforcement</w:t>
      </w:r>
      <w:r w:rsidRPr="00846636">
        <w:rPr>
          <w:rFonts w:eastAsia="Times New Roman"/>
          <w:sz w:val="24"/>
          <w:szCs w:val="24"/>
        </w:rPr>
        <w:t>. A public water system has the following enforcement responsibilities with respect to protection of the Zone A, B, and C of its surface water source(s)</w:t>
      </w:r>
    </w:p>
    <w:p w14:paraId="281A6125" w14:textId="77777777" w:rsidR="004647B9" w:rsidRPr="00846636" w:rsidRDefault="00E2436F" w:rsidP="000C12D2">
      <w:pPr>
        <w:numPr>
          <w:ilvl w:val="1"/>
          <w:numId w:val="627"/>
        </w:numPr>
        <w:tabs>
          <w:tab w:val="left" w:pos="1990"/>
        </w:tabs>
        <w:ind w:left="1540" w:hanging="5"/>
        <w:jc w:val="both"/>
        <w:rPr>
          <w:rFonts w:eastAsia="Times New Roman"/>
          <w:sz w:val="24"/>
          <w:szCs w:val="24"/>
        </w:rPr>
      </w:pPr>
      <w:r w:rsidRPr="00846636">
        <w:rPr>
          <w:rFonts w:eastAsia="Times New Roman"/>
          <w:sz w:val="24"/>
          <w:szCs w:val="24"/>
        </w:rPr>
        <w:t>A public water system shall conduct regular and thorough inspections of Zones A, B, and C to determine and enforce compliance with 310 CMR 22.20B. The public water system shall take prompt enforcement actions against persons violating 310 CMR 22.20B, and report all such enforcement actions to the Department in the system's Annual Statistical Report the results of the regular inspections made during the preceding calendar year. The report shall include the number and dates of the inspections, the number, nature and outcome of violations found, and enforced against by the public water system, and the general condition of the watershed at the time of the last inspection.</w:t>
      </w:r>
    </w:p>
    <w:p w14:paraId="281A6127" w14:textId="77777777" w:rsidR="004647B9" w:rsidRPr="00846636" w:rsidRDefault="00E2436F" w:rsidP="000C12D2">
      <w:pPr>
        <w:numPr>
          <w:ilvl w:val="1"/>
          <w:numId w:val="627"/>
        </w:numPr>
        <w:tabs>
          <w:tab w:val="left" w:pos="2043"/>
        </w:tabs>
        <w:ind w:left="1540" w:hanging="5"/>
        <w:jc w:val="both"/>
        <w:rPr>
          <w:rFonts w:eastAsia="Times New Roman"/>
          <w:sz w:val="24"/>
          <w:szCs w:val="24"/>
        </w:rPr>
      </w:pPr>
      <w:r w:rsidRPr="00846636">
        <w:rPr>
          <w:rFonts w:eastAsia="Times New Roman"/>
          <w:sz w:val="24"/>
          <w:szCs w:val="24"/>
        </w:rPr>
        <w:t>the public water system shall document on a form provided by the Department and submitted to the Department in calendar year 2001, that the public water system has established a protocol that provides the system with an opportunity to review and comment on all proposed new or expanded land uses or activities within the watershed of its surface water source(s) to local boards, commissions and other authorities with primary responsibilities for approving such uses and activities.</w:t>
      </w:r>
    </w:p>
    <w:p w14:paraId="281A6129" w14:textId="77777777" w:rsidR="004647B9" w:rsidRPr="00846636" w:rsidRDefault="00E2436F" w:rsidP="000C12D2">
      <w:pPr>
        <w:numPr>
          <w:ilvl w:val="1"/>
          <w:numId w:val="627"/>
        </w:numPr>
        <w:tabs>
          <w:tab w:val="left" w:pos="1977"/>
        </w:tabs>
        <w:ind w:left="1540" w:hanging="5"/>
        <w:jc w:val="both"/>
        <w:rPr>
          <w:rFonts w:eastAsia="Times New Roman"/>
          <w:sz w:val="24"/>
          <w:szCs w:val="24"/>
        </w:rPr>
      </w:pPr>
      <w:r w:rsidRPr="00846636">
        <w:rPr>
          <w:rFonts w:eastAsia="Times New Roman"/>
          <w:sz w:val="24"/>
          <w:szCs w:val="24"/>
        </w:rPr>
        <w:t>The Department may take enforcement actions against any public water system which fails to carry out its enforcement responsibilities under 310 CMR 22.20B, or may enforce directly against persons violating 310 CMR 22.20B.</w:t>
      </w:r>
    </w:p>
    <w:p w14:paraId="281A612A" w14:textId="77777777" w:rsidR="004647B9" w:rsidRDefault="004647B9" w:rsidP="000C12D2">
      <w:pPr>
        <w:rPr>
          <w:rFonts w:eastAsia="Times New Roman"/>
          <w:sz w:val="24"/>
          <w:szCs w:val="24"/>
        </w:rPr>
      </w:pPr>
    </w:p>
    <w:p w14:paraId="281A612B" w14:textId="77777777" w:rsidR="004647B9" w:rsidRPr="00846636" w:rsidRDefault="00E2436F" w:rsidP="000C12D2">
      <w:pPr>
        <w:numPr>
          <w:ilvl w:val="0"/>
          <w:numId w:val="627"/>
        </w:numPr>
        <w:tabs>
          <w:tab w:val="left" w:pos="1604"/>
        </w:tabs>
        <w:ind w:left="1180"/>
        <w:jc w:val="both"/>
        <w:rPr>
          <w:rFonts w:eastAsia="Times New Roman"/>
          <w:sz w:val="24"/>
          <w:szCs w:val="24"/>
        </w:rPr>
      </w:pPr>
      <w:r>
        <w:rPr>
          <w:rFonts w:eastAsia="Times New Roman"/>
          <w:sz w:val="24"/>
          <w:szCs w:val="24"/>
        </w:rPr>
        <w:t xml:space="preserve">No person shall apply herbicides to any surface water body including but not limited to any reservoir and their tributaries, which serve as a source of public water supply without a permit issued by the Department pursuant to M.G.L. c. 111, § 5E. This requirement does not apply to the application of algaecides containing copper by the public water system. However, </w:t>
      </w:r>
      <w:r w:rsidRPr="00846636">
        <w:rPr>
          <w:rFonts w:eastAsia="Times New Roman"/>
          <w:sz w:val="24"/>
          <w:szCs w:val="24"/>
        </w:rPr>
        <w:t>the public water system shall notify the Department in writing prior to the application of such algaecides.</w:t>
      </w:r>
    </w:p>
    <w:p w14:paraId="281A612C" w14:textId="77777777" w:rsidR="004647B9" w:rsidRPr="00846636" w:rsidRDefault="004647B9" w:rsidP="000C12D2">
      <w:pPr>
        <w:rPr>
          <w:sz w:val="24"/>
          <w:szCs w:val="24"/>
        </w:rPr>
      </w:pPr>
    </w:p>
    <w:p w14:paraId="281A612D" w14:textId="77777777" w:rsidR="004647B9" w:rsidRPr="00846636" w:rsidRDefault="00E2436F" w:rsidP="000C12D2">
      <w:pPr>
        <w:tabs>
          <w:tab w:val="left" w:pos="940"/>
        </w:tabs>
        <w:rPr>
          <w:sz w:val="24"/>
          <w:szCs w:val="24"/>
        </w:rPr>
      </w:pPr>
      <w:r w:rsidRPr="00846636">
        <w:rPr>
          <w:rFonts w:eastAsia="Times New Roman"/>
          <w:sz w:val="24"/>
          <w:szCs w:val="24"/>
          <w:u w:val="single"/>
        </w:rPr>
        <w:t>22.20C:</w:t>
      </w:r>
      <w:r w:rsidRPr="00846636">
        <w:rPr>
          <w:sz w:val="24"/>
          <w:szCs w:val="24"/>
        </w:rPr>
        <w:tab/>
      </w:r>
      <w:r w:rsidRPr="00846636">
        <w:rPr>
          <w:rFonts w:eastAsia="Times New Roman"/>
          <w:sz w:val="24"/>
          <w:szCs w:val="24"/>
          <w:u w:val="single"/>
        </w:rPr>
        <w:t>Surface Water Supply Protection for New and Expanded Class A Surface Water Sources</w:t>
      </w:r>
    </w:p>
    <w:p w14:paraId="281A612E" w14:textId="77777777" w:rsidR="004647B9" w:rsidRPr="00846636" w:rsidRDefault="004647B9" w:rsidP="000C12D2">
      <w:pPr>
        <w:rPr>
          <w:sz w:val="24"/>
          <w:szCs w:val="24"/>
        </w:rPr>
      </w:pPr>
    </w:p>
    <w:p w14:paraId="281A612F" w14:textId="77777777" w:rsidR="004647B9" w:rsidRPr="00846636" w:rsidRDefault="00E2436F" w:rsidP="000C12D2">
      <w:pPr>
        <w:numPr>
          <w:ilvl w:val="0"/>
          <w:numId w:val="628"/>
        </w:numPr>
        <w:tabs>
          <w:tab w:val="left" w:pos="1640"/>
        </w:tabs>
        <w:ind w:left="1640" w:hanging="460"/>
        <w:rPr>
          <w:rFonts w:eastAsia="Times New Roman"/>
          <w:sz w:val="24"/>
          <w:szCs w:val="24"/>
        </w:rPr>
      </w:pPr>
      <w:r w:rsidRPr="00846636">
        <w:rPr>
          <w:rFonts w:eastAsia="Times New Roman"/>
          <w:sz w:val="24"/>
          <w:szCs w:val="24"/>
          <w:u w:val="single"/>
        </w:rPr>
        <w:t>Source Approval</w:t>
      </w:r>
      <w:r w:rsidRPr="00846636">
        <w:rPr>
          <w:rFonts w:eastAsia="Times New Roman"/>
          <w:sz w:val="24"/>
          <w:szCs w:val="24"/>
        </w:rPr>
        <w:t>.</w:t>
      </w:r>
    </w:p>
    <w:p w14:paraId="281A6131" w14:textId="77777777" w:rsidR="004647B9" w:rsidRPr="00846636" w:rsidRDefault="00E2436F" w:rsidP="000C12D2">
      <w:pPr>
        <w:numPr>
          <w:ilvl w:val="1"/>
          <w:numId w:val="628"/>
        </w:numPr>
        <w:tabs>
          <w:tab w:val="left" w:pos="1980"/>
        </w:tabs>
        <w:ind w:left="1980" w:hanging="445"/>
        <w:rPr>
          <w:rFonts w:eastAsia="Times New Roman"/>
          <w:sz w:val="24"/>
          <w:szCs w:val="24"/>
        </w:rPr>
      </w:pPr>
      <w:r w:rsidRPr="00846636">
        <w:rPr>
          <w:rFonts w:eastAsia="Times New Roman"/>
          <w:sz w:val="24"/>
          <w:szCs w:val="24"/>
        </w:rPr>
        <w:t>A public water system shall obtain prior written approval of the Department for:</w:t>
      </w:r>
    </w:p>
    <w:p w14:paraId="281A6133" w14:textId="77777777" w:rsidR="004647B9" w:rsidRPr="00846636" w:rsidRDefault="00E2436F" w:rsidP="000C12D2">
      <w:pPr>
        <w:numPr>
          <w:ilvl w:val="2"/>
          <w:numId w:val="628"/>
        </w:numPr>
        <w:tabs>
          <w:tab w:val="left" w:pos="2260"/>
        </w:tabs>
        <w:ind w:left="2260" w:hanging="365"/>
        <w:rPr>
          <w:rFonts w:eastAsia="Times New Roman"/>
          <w:sz w:val="24"/>
          <w:szCs w:val="24"/>
        </w:rPr>
      </w:pPr>
      <w:r w:rsidRPr="00846636">
        <w:rPr>
          <w:rFonts w:eastAsia="Times New Roman"/>
          <w:sz w:val="24"/>
          <w:szCs w:val="24"/>
        </w:rPr>
        <w:t>the development of a new surface water source;</w:t>
      </w:r>
    </w:p>
    <w:p w14:paraId="281A6135" w14:textId="77777777" w:rsidR="004647B9" w:rsidRPr="00846636" w:rsidRDefault="00E2436F" w:rsidP="000C12D2">
      <w:pPr>
        <w:numPr>
          <w:ilvl w:val="2"/>
          <w:numId w:val="628"/>
        </w:numPr>
        <w:tabs>
          <w:tab w:val="left" w:pos="2310"/>
        </w:tabs>
        <w:ind w:left="1900" w:hanging="5"/>
        <w:rPr>
          <w:rFonts w:eastAsia="Times New Roman"/>
          <w:sz w:val="24"/>
          <w:szCs w:val="24"/>
        </w:rPr>
      </w:pPr>
      <w:r w:rsidRPr="00846636">
        <w:rPr>
          <w:rFonts w:eastAsia="Times New Roman"/>
          <w:sz w:val="24"/>
          <w:szCs w:val="24"/>
        </w:rPr>
        <w:t>the physical expansion of an existing surface water source or the replacement or modification of an existing intake structure;</w:t>
      </w:r>
    </w:p>
    <w:p w14:paraId="281A6137" w14:textId="77777777" w:rsidR="004647B9" w:rsidRPr="00846636" w:rsidRDefault="00E2436F" w:rsidP="000C12D2">
      <w:pPr>
        <w:numPr>
          <w:ilvl w:val="2"/>
          <w:numId w:val="628"/>
        </w:numPr>
        <w:tabs>
          <w:tab w:val="left" w:pos="2294"/>
        </w:tabs>
        <w:ind w:left="1900" w:hanging="5"/>
        <w:jc w:val="both"/>
        <w:rPr>
          <w:rFonts w:eastAsia="Times New Roman"/>
          <w:sz w:val="24"/>
          <w:szCs w:val="24"/>
        </w:rPr>
      </w:pPr>
      <w:r w:rsidRPr="00846636">
        <w:rPr>
          <w:rFonts w:eastAsia="Times New Roman"/>
          <w:sz w:val="24"/>
          <w:szCs w:val="24"/>
        </w:rPr>
        <w:t xml:space="preserve">any increase in withdrawal from an existing surface water source in excess of the permitted threshold volume as defined in 310 CMR 36.00: </w:t>
      </w:r>
      <w:r w:rsidRPr="00846636">
        <w:rPr>
          <w:rFonts w:eastAsia="Times New Roman"/>
          <w:i/>
          <w:iCs/>
          <w:sz w:val="24"/>
          <w:szCs w:val="24"/>
        </w:rPr>
        <w:t>Massachusetts Water</w:t>
      </w:r>
      <w:r w:rsidRPr="00846636">
        <w:rPr>
          <w:rFonts w:eastAsia="Times New Roman"/>
          <w:sz w:val="24"/>
          <w:szCs w:val="24"/>
        </w:rPr>
        <w:t xml:space="preserve"> </w:t>
      </w:r>
      <w:r w:rsidRPr="00846636">
        <w:rPr>
          <w:rFonts w:eastAsia="Times New Roman"/>
          <w:i/>
          <w:iCs/>
          <w:sz w:val="24"/>
          <w:szCs w:val="24"/>
        </w:rPr>
        <w:t>Resources Management Program</w:t>
      </w:r>
      <w:r w:rsidRPr="00846636">
        <w:rPr>
          <w:rFonts w:eastAsia="Times New Roman"/>
          <w:sz w:val="24"/>
          <w:szCs w:val="24"/>
        </w:rPr>
        <w:t>; or</w:t>
      </w:r>
    </w:p>
    <w:p w14:paraId="281A6139" w14:textId="77777777" w:rsidR="004647B9" w:rsidRPr="00846636" w:rsidRDefault="00E2436F" w:rsidP="000C12D2">
      <w:pPr>
        <w:numPr>
          <w:ilvl w:val="2"/>
          <w:numId w:val="628"/>
        </w:numPr>
        <w:tabs>
          <w:tab w:val="left" w:pos="2260"/>
        </w:tabs>
        <w:ind w:left="2260" w:hanging="365"/>
        <w:rPr>
          <w:rFonts w:eastAsia="Times New Roman"/>
          <w:sz w:val="24"/>
          <w:szCs w:val="24"/>
        </w:rPr>
      </w:pPr>
      <w:r w:rsidRPr="00846636">
        <w:rPr>
          <w:rFonts w:eastAsia="Times New Roman"/>
          <w:sz w:val="24"/>
          <w:szCs w:val="24"/>
        </w:rPr>
        <w:t>placing an existing unapproved or inactive surface water on-line.</w:t>
      </w:r>
    </w:p>
    <w:p w14:paraId="281A613B" w14:textId="6FBAA2B5" w:rsidR="004647B9" w:rsidRPr="00846636" w:rsidRDefault="00E2436F" w:rsidP="000C12D2">
      <w:pPr>
        <w:numPr>
          <w:ilvl w:val="1"/>
          <w:numId w:val="628"/>
        </w:numPr>
        <w:tabs>
          <w:tab w:val="left" w:pos="2008"/>
        </w:tabs>
        <w:ind w:left="1540" w:hanging="5"/>
        <w:jc w:val="both"/>
        <w:rPr>
          <w:rFonts w:eastAsia="Times New Roman"/>
          <w:sz w:val="24"/>
          <w:szCs w:val="24"/>
        </w:rPr>
      </w:pPr>
      <w:r w:rsidRPr="00846636">
        <w:rPr>
          <w:rFonts w:eastAsia="Times New Roman"/>
          <w:sz w:val="24"/>
          <w:szCs w:val="24"/>
        </w:rPr>
        <w:t>Persons seeking Department approval for any of the activities described in 310 CMR 22.20C(1)(a) are required to follow the procedures set forth in the "Guidelines and Policies for Public Water System</w:t>
      </w:r>
      <w:r w:rsidR="006A008F" w:rsidRPr="00846636">
        <w:rPr>
          <w:rFonts w:eastAsia="Times New Roman"/>
          <w:sz w:val="24"/>
          <w:szCs w:val="24"/>
        </w:rPr>
        <w:t>.</w:t>
      </w:r>
      <w:r w:rsidRPr="00846636">
        <w:rPr>
          <w:rFonts w:eastAsia="Times New Roman"/>
          <w:sz w:val="24"/>
          <w:szCs w:val="24"/>
        </w:rPr>
        <w:t>"</w:t>
      </w:r>
    </w:p>
    <w:p w14:paraId="281A613D" w14:textId="77777777" w:rsidR="004647B9" w:rsidRPr="00846636" w:rsidRDefault="00E2436F" w:rsidP="000C12D2">
      <w:pPr>
        <w:numPr>
          <w:ilvl w:val="1"/>
          <w:numId w:val="628"/>
        </w:numPr>
        <w:tabs>
          <w:tab w:val="left" w:pos="1993"/>
        </w:tabs>
        <w:ind w:left="1540" w:hanging="5"/>
        <w:rPr>
          <w:rFonts w:eastAsia="Times New Roman"/>
          <w:sz w:val="24"/>
          <w:szCs w:val="24"/>
        </w:rPr>
      </w:pPr>
      <w:r w:rsidRPr="00846636">
        <w:rPr>
          <w:rFonts w:eastAsia="Times New Roman"/>
          <w:sz w:val="24"/>
          <w:szCs w:val="24"/>
        </w:rPr>
        <w:t xml:space="preserve">In determining whether to grant such approval, the Department will apply the criteria set forth in 310 CMR 22.20C and the </w:t>
      </w:r>
      <w:r w:rsidRPr="00846636">
        <w:rPr>
          <w:rFonts w:eastAsia="Times New Roman"/>
          <w:i/>
          <w:iCs/>
          <w:sz w:val="24"/>
          <w:szCs w:val="24"/>
        </w:rPr>
        <w:t>Guidelines and Policies for Public Water Systems</w:t>
      </w:r>
      <w:r w:rsidRPr="00846636">
        <w:rPr>
          <w:rFonts w:eastAsia="Times New Roman"/>
          <w:sz w:val="24"/>
          <w:szCs w:val="24"/>
        </w:rPr>
        <w:t>.</w:t>
      </w:r>
    </w:p>
    <w:p w14:paraId="281A613F" w14:textId="77777777" w:rsidR="004647B9" w:rsidRPr="00846636" w:rsidRDefault="00E2436F" w:rsidP="000C12D2">
      <w:pPr>
        <w:numPr>
          <w:ilvl w:val="1"/>
          <w:numId w:val="628"/>
        </w:numPr>
        <w:tabs>
          <w:tab w:val="left" w:pos="1964"/>
        </w:tabs>
        <w:ind w:left="1540" w:hanging="5"/>
        <w:rPr>
          <w:rFonts w:eastAsia="Times New Roman"/>
          <w:sz w:val="24"/>
          <w:szCs w:val="24"/>
        </w:rPr>
      </w:pPr>
      <w:r w:rsidRPr="00846636">
        <w:rPr>
          <w:rFonts w:eastAsia="Times New Roman"/>
          <w:sz w:val="24"/>
          <w:szCs w:val="24"/>
        </w:rPr>
        <w:t>The Department will not grant its approval pursuant to 310 CMR 22.20C(1), unless the public water system demonstrates to the Department’s satisfaction that the system:</w:t>
      </w:r>
    </w:p>
    <w:p w14:paraId="281A6140" w14:textId="77777777" w:rsidR="004647B9" w:rsidRDefault="004647B9" w:rsidP="000C12D2">
      <w:pPr>
        <w:sectPr w:rsidR="004647B9" w:rsidSect="00EF630C">
          <w:pgSz w:w="12240" w:h="20180"/>
          <w:pgMar w:top="708" w:right="1440" w:bottom="1113" w:left="620" w:header="0" w:footer="0" w:gutter="0"/>
          <w:cols w:space="720"/>
        </w:sectPr>
      </w:pPr>
    </w:p>
    <w:p w14:paraId="281A6141" w14:textId="77777777" w:rsidR="004647B9" w:rsidRDefault="00E2436F">
      <w:pPr>
        <w:tabs>
          <w:tab w:val="left" w:pos="160"/>
        </w:tabs>
        <w:ind w:right="20"/>
        <w:jc w:val="center"/>
        <w:rPr>
          <w:sz w:val="20"/>
          <w:szCs w:val="20"/>
        </w:rPr>
      </w:pPr>
      <w:bookmarkStart w:id="270" w:name="page274"/>
      <w:bookmarkEnd w:id="27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142" w14:textId="77777777" w:rsidR="004647B9" w:rsidRDefault="004647B9" w:rsidP="00717BCC">
      <w:pPr>
        <w:rPr>
          <w:sz w:val="20"/>
          <w:szCs w:val="20"/>
        </w:rPr>
      </w:pPr>
    </w:p>
    <w:p w14:paraId="281A6143" w14:textId="77777777" w:rsidR="004647B9" w:rsidRDefault="004647B9" w:rsidP="00717BCC">
      <w:pPr>
        <w:rPr>
          <w:sz w:val="20"/>
          <w:szCs w:val="20"/>
        </w:rPr>
      </w:pPr>
    </w:p>
    <w:p w14:paraId="281A6144" w14:textId="77777777" w:rsidR="004647B9" w:rsidRPr="00846636" w:rsidRDefault="00E2436F" w:rsidP="00717BCC">
      <w:pPr>
        <w:tabs>
          <w:tab w:val="left" w:pos="940"/>
        </w:tabs>
        <w:rPr>
          <w:sz w:val="24"/>
          <w:szCs w:val="24"/>
        </w:rPr>
      </w:pPr>
      <w:r w:rsidRPr="00846636">
        <w:rPr>
          <w:rFonts w:eastAsia="Times New Roman"/>
          <w:sz w:val="24"/>
          <w:szCs w:val="24"/>
        </w:rPr>
        <w:t>22.20C:</w:t>
      </w:r>
      <w:r w:rsidRPr="00846636">
        <w:rPr>
          <w:sz w:val="24"/>
          <w:szCs w:val="24"/>
        </w:rPr>
        <w:tab/>
      </w:r>
      <w:r w:rsidRPr="00846636">
        <w:rPr>
          <w:rFonts w:eastAsia="Times New Roman"/>
          <w:sz w:val="24"/>
          <w:szCs w:val="24"/>
        </w:rPr>
        <w:t>continued</w:t>
      </w:r>
    </w:p>
    <w:p w14:paraId="281A6145" w14:textId="77777777" w:rsidR="004647B9" w:rsidRPr="00717BCC" w:rsidRDefault="004647B9" w:rsidP="00717BCC">
      <w:pPr>
        <w:rPr>
          <w:sz w:val="20"/>
          <w:szCs w:val="20"/>
        </w:rPr>
      </w:pPr>
    </w:p>
    <w:p w14:paraId="281A6146" w14:textId="77777777" w:rsidR="004647B9" w:rsidRPr="00846636" w:rsidRDefault="00E2436F" w:rsidP="00717BCC">
      <w:pPr>
        <w:numPr>
          <w:ilvl w:val="0"/>
          <w:numId w:val="629"/>
        </w:numPr>
        <w:tabs>
          <w:tab w:val="left" w:pos="2260"/>
        </w:tabs>
        <w:ind w:left="2260" w:hanging="365"/>
        <w:rPr>
          <w:rFonts w:eastAsia="Times New Roman"/>
          <w:sz w:val="24"/>
          <w:szCs w:val="24"/>
        </w:rPr>
      </w:pPr>
      <w:r w:rsidRPr="00846636">
        <w:rPr>
          <w:rFonts w:eastAsia="Times New Roman"/>
          <w:sz w:val="24"/>
          <w:szCs w:val="24"/>
        </w:rPr>
        <w:t xml:space="preserve">complies with the applicable </w:t>
      </w:r>
      <w:r w:rsidRPr="00846636">
        <w:rPr>
          <w:rFonts w:eastAsia="Times New Roman"/>
          <w:i/>
          <w:iCs/>
          <w:sz w:val="24"/>
          <w:szCs w:val="24"/>
        </w:rPr>
        <w:t>Guidelines and Policies for Public Water Systems</w:t>
      </w:r>
      <w:r w:rsidRPr="00846636">
        <w:rPr>
          <w:rFonts w:eastAsia="Times New Roman"/>
          <w:sz w:val="24"/>
          <w:szCs w:val="24"/>
        </w:rPr>
        <w:t>;</w:t>
      </w:r>
    </w:p>
    <w:p w14:paraId="281A6148" w14:textId="77777777" w:rsidR="004647B9" w:rsidRPr="00846636" w:rsidRDefault="00E2436F" w:rsidP="00717BCC">
      <w:pPr>
        <w:numPr>
          <w:ilvl w:val="0"/>
          <w:numId w:val="629"/>
        </w:numPr>
        <w:tabs>
          <w:tab w:val="left" w:pos="2282"/>
        </w:tabs>
        <w:ind w:left="1900" w:hanging="5"/>
        <w:rPr>
          <w:rFonts w:eastAsia="Times New Roman"/>
          <w:sz w:val="24"/>
          <w:szCs w:val="24"/>
        </w:rPr>
      </w:pPr>
      <w:r w:rsidRPr="00846636">
        <w:rPr>
          <w:rFonts w:eastAsia="Times New Roman"/>
          <w:sz w:val="24"/>
          <w:szCs w:val="24"/>
        </w:rPr>
        <w:t>meets all applicable water quality standards set forth in 310 CMR 22.00, and will meet the requirements of 310 CMR 22.20A through 22.20C;</w:t>
      </w:r>
    </w:p>
    <w:p w14:paraId="281A614A" w14:textId="77777777" w:rsidR="004647B9" w:rsidRPr="00846636" w:rsidRDefault="00E2436F" w:rsidP="00717BCC">
      <w:pPr>
        <w:numPr>
          <w:ilvl w:val="0"/>
          <w:numId w:val="629"/>
        </w:numPr>
        <w:tabs>
          <w:tab w:val="left" w:pos="2260"/>
        </w:tabs>
        <w:ind w:left="1900" w:hanging="5"/>
        <w:rPr>
          <w:rFonts w:eastAsia="Times New Roman"/>
          <w:sz w:val="24"/>
          <w:szCs w:val="24"/>
        </w:rPr>
      </w:pPr>
      <w:r w:rsidRPr="00846636">
        <w:rPr>
          <w:rFonts w:eastAsia="Times New Roman"/>
          <w:sz w:val="24"/>
          <w:szCs w:val="24"/>
        </w:rPr>
        <w:t>has delineated and mapped Zones A, B and C of the proposed surface water source and provided a map depicting existing land uses existing within Zones A, B and C;</w:t>
      </w:r>
    </w:p>
    <w:p w14:paraId="281A614B" w14:textId="6C371F0A" w:rsidR="004647B9" w:rsidRPr="00846636" w:rsidRDefault="00E2436F" w:rsidP="00717BCC">
      <w:pPr>
        <w:numPr>
          <w:ilvl w:val="0"/>
          <w:numId w:val="629"/>
        </w:numPr>
        <w:tabs>
          <w:tab w:val="left" w:pos="2360"/>
        </w:tabs>
        <w:ind w:left="1901"/>
        <w:rPr>
          <w:rFonts w:eastAsia="Times New Roman"/>
          <w:sz w:val="24"/>
          <w:szCs w:val="24"/>
        </w:rPr>
      </w:pPr>
      <w:r w:rsidRPr="00846636">
        <w:rPr>
          <w:rFonts w:eastAsia="Times New Roman"/>
          <w:sz w:val="24"/>
          <w:szCs w:val="24"/>
        </w:rPr>
        <w:t>has developed a Surface Water Supply Protection Plan in accordance with the</w:t>
      </w:r>
      <w:r w:rsidR="00717BCC">
        <w:rPr>
          <w:rFonts w:eastAsia="Times New Roman"/>
          <w:sz w:val="24"/>
          <w:szCs w:val="24"/>
        </w:rPr>
        <w:t xml:space="preserve"> </w:t>
      </w:r>
      <w:r w:rsidR="00717BCC" w:rsidRPr="00846636">
        <w:rPr>
          <w:rFonts w:eastAsia="Times New Roman"/>
          <w:i/>
          <w:iCs/>
          <w:sz w:val="24"/>
          <w:szCs w:val="24"/>
        </w:rPr>
        <w:t xml:space="preserve">Department’s Guidelines and Policies for Public Water Systems </w:t>
      </w:r>
      <w:r w:rsidR="00717BCC" w:rsidRPr="00846636">
        <w:rPr>
          <w:rFonts w:eastAsia="Times New Roman"/>
          <w:sz w:val="24"/>
          <w:szCs w:val="24"/>
        </w:rPr>
        <w:t>and</w:t>
      </w:r>
      <w:r w:rsidR="00717BCC" w:rsidRPr="00846636">
        <w:rPr>
          <w:rFonts w:eastAsia="Times New Roman"/>
          <w:i/>
          <w:iCs/>
          <w:sz w:val="24"/>
          <w:szCs w:val="24"/>
        </w:rPr>
        <w:t xml:space="preserve"> Developing a Local Surface Water Supply Protection Plan </w:t>
      </w:r>
      <w:r w:rsidR="00717BCC" w:rsidRPr="00846636">
        <w:rPr>
          <w:rFonts w:eastAsia="Times New Roman"/>
          <w:sz w:val="24"/>
          <w:szCs w:val="24"/>
        </w:rPr>
        <w:t>(revised May 2000), which shall be updated by</w:t>
      </w:r>
      <w:r w:rsidR="00717BCC" w:rsidRPr="00846636">
        <w:rPr>
          <w:rFonts w:eastAsia="Times New Roman"/>
          <w:i/>
          <w:iCs/>
          <w:sz w:val="24"/>
          <w:szCs w:val="24"/>
        </w:rPr>
        <w:t xml:space="preserve"> </w:t>
      </w:r>
      <w:r w:rsidR="00717BCC" w:rsidRPr="00846636">
        <w:rPr>
          <w:rFonts w:eastAsia="Times New Roman"/>
          <w:sz w:val="24"/>
          <w:szCs w:val="24"/>
        </w:rPr>
        <w:t>the public water system, with a copy submitted to the Department, every three years thereafter; and</w:t>
      </w:r>
    </w:p>
    <w:p w14:paraId="281A614F" w14:textId="77777777" w:rsidR="004647B9" w:rsidRPr="00846636" w:rsidRDefault="00E2436F" w:rsidP="00717BCC">
      <w:pPr>
        <w:numPr>
          <w:ilvl w:val="1"/>
          <w:numId w:val="630"/>
        </w:numPr>
        <w:tabs>
          <w:tab w:val="left" w:pos="2277"/>
        </w:tabs>
        <w:ind w:left="1900" w:hanging="5"/>
        <w:jc w:val="both"/>
        <w:rPr>
          <w:rFonts w:eastAsia="Times New Roman"/>
          <w:sz w:val="24"/>
          <w:szCs w:val="24"/>
        </w:rPr>
      </w:pPr>
      <w:r w:rsidRPr="00846636">
        <w:rPr>
          <w:rFonts w:eastAsia="Times New Roman"/>
          <w:sz w:val="24"/>
          <w:szCs w:val="24"/>
        </w:rPr>
        <w:t>has developed a reservoir and watershed public control plan, to specify allowable and non-allowable uses on existing public surface water sources and within adjacent public surface water supplier-owned lands at new and existing sources, and contains provisions for public education, inspection, and enforcement;</w:t>
      </w:r>
    </w:p>
    <w:p w14:paraId="281A6151" w14:textId="77777777" w:rsidR="004647B9" w:rsidRPr="00846636" w:rsidRDefault="00E2436F" w:rsidP="00717BCC">
      <w:pPr>
        <w:numPr>
          <w:ilvl w:val="1"/>
          <w:numId w:val="630"/>
        </w:numPr>
        <w:tabs>
          <w:tab w:val="left" w:pos="2296"/>
        </w:tabs>
        <w:ind w:left="1900" w:hanging="5"/>
        <w:jc w:val="both"/>
        <w:rPr>
          <w:rFonts w:eastAsia="Times New Roman"/>
          <w:sz w:val="24"/>
          <w:szCs w:val="24"/>
        </w:rPr>
      </w:pPr>
      <w:r w:rsidRPr="00846636">
        <w:rPr>
          <w:rFonts w:eastAsia="Times New Roman"/>
          <w:sz w:val="24"/>
          <w:szCs w:val="24"/>
        </w:rPr>
        <w:t xml:space="preserve">obtain a permit or permit amendment for any withdrawal, in accordance with the Water Management Act, M.G.L. c. 21G, and 310 CMR 36.00: </w:t>
      </w:r>
      <w:r w:rsidRPr="00846636">
        <w:rPr>
          <w:rFonts w:eastAsia="Times New Roman"/>
          <w:i/>
          <w:iCs/>
          <w:sz w:val="24"/>
          <w:szCs w:val="24"/>
        </w:rPr>
        <w:t>Massachusetts Water</w:t>
      </w:r>
      <w:r w:rsidRPr="00846636">
        <w:rPr>
          <w:rFonts w:eastAsia="Times New Roman"/>
          <w:sz w:val="24"/>
          <w:szCs w:val="24"/>
        </w:rPr>
        <w:t xml:space="preserve"> </w:t>
      </w:r>
      <w:r w:rsidRPr="00846636">
        <w:rPr>
          <w:rFonts w:eastAsia="Times New Roman"/>
          <w:i/>
          <w:iCs/>
          <w:sz w:val="24"/>
          <w:szCs w:val="24"/>
        </w:rPr>
        <w:t>Resources Management Program</w:t>
      </w:r>
      <w:r w:rsidRPr="00846636">
        <w:rPr>
          <w:rFonts w:eastAsia="Times New Roman"/>
          <w:sz w:val="24"/>
          <w:szCs w:val="24"/>
        </w:rPr>
        <w:t>.</w:t>
      </w:r>
    </w:p>
    <w:p w14:paraId="281A6153" w14:textId="77777777" w:rsidR="004647B9" w:rsidRPr="00846636" w:rsidRDefault="00E2436F" w:rsidP="00717BCC">
      <w:pPr>
        <w:numPr>
          <w:ilvl w:val="0"/>
          <w:numId w:val="631"/>
        </w:numPr>
        <w:tabs>
          <w:tab w:val="left" w:pos="1980"/>
        </w:tabs>
        <w:ind w:left="1980" w:hanging="445"/>
        <w:rPr>
          <w:rFonts w:eastAsia="Times New Roman"/>
          <w:sz w:val="24"/>
          <w:szCs w:val="24"/>
        </w:rPr>
      </w:pPr>
      <w:r w:rsidRPr="00846636">
        <w:rPr>
          <w:rFonts w:eastAsia="Times New Roman"/>
          <w:sz w:val="24"/>
          <w:szCs w:val="24"/>
          <w:u w:val="single"/>
        </w:rPr>
        <w:t>Municipal Source</w:t>
      </w:r>
      <w:r w:rsidRPr="00846636">
        <w:rPr>
          <w:rFonts w:eastAsia="Times New Roman"/>
          <w:sz w:val="24"/>
          <w:szCs w:val="24"/>
        </w:rPr>
        <w:t>.</w:t>
      </w:r>
    </w:p>
    <w:p w14:paraId="281A6155" w14:textId="77777777" w:rsidR="004647B9" w:rsidRPr="00846636" w:rsidRDefault="00E2436F" w:rsidP="00717BCC">
      <w:pPr>
        <w:numPr>
          <w:ilvl w:val="1"/>
          <w:numId w:val="631"/>
        </w:numPr>
        <w:tabs>
          <w:tab w:val="left" w:pos="2224"/>
        </w:tabs>
        <w:ind w:left="1900" w:hanging="5"/>
        <w:rPr>
          <w:rFonts w:eastAsia="Times New Roman"/>
          <w:sz w:val="24"/>
          <w:szCs w:val="24"/>
        </w:rPr>
      </w:pPr>
      <w:r w:rsidRPr="00846636">
        <w:rPr>
          <w:rFonts w:eastAsia="Times New Roman"/>
          <w:sz w:val="24"/>
          <w:szCs w:val="24"/>
        </w:rPr>
        <w:t>No new municipal surface water source, or physical expansion of an existing surface water source shall be placed on line or allowed to expand, unless:</w:t>
      </w:r>
    </w:p>
    <w:p w14:paraId="281A6157" w14:textId="77777777" w:rsidR="004647B9" w:rsidRPr="00846636" w:rsidRDefault="00E2436F" w:rsidP="00717BCC">
      <w:pPr>
        <w:numPr>
          <w:ilvl w:val="2"/>
          <w:numId w:val="631"/>
        </w:numPr>
        <w:tabs>
          <w:tab w:val="left" w:pos="2686"/>
        </w:tabs>
        <w:ind w:left="2260" w:hanging="5"/>
        <w:jc w:val="both"/>
        <w:rPr>
          <w:rFonts w:eastAsia="Times New Roman"/>
          <w:sz w:val="24"/>
          <w:szCs w:val="24"/>
        </w:rPr>
      </w:pPr>
      <w:r w:rsidRPr="00846636">
        <w:rPr>
          <w:rFonts w:eastAsia="Times New Roman"/>
          <w:sz w:val="24"/>
          <w:szCs w:val="24"/>
        </w:rPr>
        <w:t>For those portions of Zone A that are within the municipal boundaries, has adopted and has in effect surface water protection zoning or nonzoning controls that prohibit siting within the Zone A of each source the land uses set forth in 310 CMR 22.20C(2) unless the land uses are designed in accordance with the performance standards specified in 310 CMR 22.20C(2); and</w:t>
      </w:r>
    </w:p>
    <w:p w14:paraId="281A6159" w14:textId="77777777" w:rsidR="004647B9" w:rsidRPr="00846636" w:rsidRDefault="00E2436F" w:rsidP="00717BCC">
      <w:pPr>
        <w:numPr>
          <w:ilvl w:val="2"/>
          <w:numId w:val="631"/>
        </w:numPr>
        <w:tabs>
          <w:tab w:val="left" w:pos="2678"/>
        </w:tabs>
        <w:ind w:left="2260" w:hanging="5"/>
        <w:jc w:val="both"/>
        <w:rPr>
          <w:rFonts w:eastAsia="Times New Roman"/>
          <w:sz w:val="24"/>
          <w:szCs w:val="24"/>
        </w:rPr>
      </w:pPr>
      <w:r w:rsidRPr="00846636">
        <w:rPr>
          <w:rFonts w:eastAsia="Times New Roman"/>
          <w:sz w:val="24"/>
          <w:szCs w:val="24"/>
        </w:rPr>
        <w:t>Those portions of Zone A that are outside of the municipal boundaries have zoning or nonzoning controls in effect that prohibit the siting within Zone A of land uses set forth in 310 CMR 22.20C(2) unless the land uses are designed in accordance with the performance standards specified in 310 CMR 22.20C(2), or the municipal supplier of water demonstrates to the Department’s satisfaction that it has used best efforts to have such zoning or nonzoning controls adopted and in effect; and</w:t>
      </w:r>
    </w:p>
    <w:p w14:paraId="281A615B" w14:textId="77777777" w:rsidR="004647B9" w:rsidRPr="00846636" w:rsidRDefault="00E2436F" w:rsidP="00717BCC">
      <w:pPr>
        <w:numPr>
          <w:ilvl w:val="2"/>
          <w:numId w:val="631"/>
        </w:numPr>
        <w:tabs>
          <w:tab w:val="left" w:pos="2607"/>
        </w:tabs>
        <w:ind w:left="2260" w:hanging="5"/>
        <w:jc w:val="both"/>
        <w:rPr>
          <w:rFonts w:eastAsia="Times New Roman"/>
          <w:sz w:val="24"/>
          <w:szCs w:val="24"/>
        </w:rPr>
      </w:pPr>
      <w:r w:rsidRPr="00846636">
        <w:rPr>
          <w:rFonts w:eastAsia="Times New Roman"/>
          <w:sz w:val="24"/>
          <w:szCs w:val="24"/>
        </w:rPr>
        <w:t>the municipality has submitted to the Department a copy of the adopted zoning or nonzoning controls, if any, including any local legislation that provides a variance, waiver or exemption process related to surface water protection zoning and nonzoning controls applicable to the Zone A of the municipal source.</w:t>
      </w:r>
    </w:p>
    <w:p w14:paraId="281A615D" w14:textId="1D9D9EDB" w:rsidR="004647B9" w:rsidRPr="00846636" w:rsidRDefault="00E2436F" w:rsidP="00717BCC">
      <w:pPr>
        <w:numPr>
          <w:ilvl w:val="1"/>
          <w:numId w:val="631"/>
        </w:numPr>
        <w:tabs>
          <w:tab w:val="left" w:pos="2332"/>
        </w:tabs>
        <w:ind w:left="1900" w:hanging="5"/>
        <w:jc w:val="both"/>
        <w:rPr>
          <w:rFonts w:eastAsia="Times New Roman"/>
          <w:sz w:val="24"/>
          <w:szCs w:val="24"/>
        </w:rPr>
      </w:pPr>
      <w:r w:rsidRPr="00846636">
        <w:rPr>
          <w:rFonts w:eastAsia="Times New Roman"/>
          <w:sz w:val="24"/>
          <w:szCs w:val="24"/>
        </w:rPr>
        <w:t>An owner or operator of a municipal surface water source that will increase its withdrawal of water by more than the threshold volume, as defined in 310 CMR</w:t>
      </w:r>
      <w:r w:rsidR="00717BCC">
        <w:rPr>
          <w:rFonts w:eastAsia="Times New Roman"/>
          <w:sz w:val="24"/>
          <w:szCs w:val="24"/>
        </w:rPr>
        <w:t xml:space="preserve"> 36.</w:t>
      </w:r>
      <w:r w:rsidR="00717BCC" w:rsidRPr="00846636">
        <w:rPr>
          <w:rFonts w:eastAsia="Times New Roman"/>
          <w:sz w:val="24"/>
          <w:szCs w:val="24"/>
        </w:rPr>
        <w:t xml:space="preserve">00: </w:t>
      </w:r>
      <w:r w:rsidR="00717BCC" w:rsidRPr="00846636">
        <w:rPr>
          <w:rFonts w:eastAsia="Times New Roman"/>
          <w:i/>
          <w:iCs/>
          <w:sz w:val="24"/>
          <w:szCs w:val="24"/>
        </w:rPr>
        <w:t>Massachusetts Water Resources Management Program</w:t>
      </w:r>
      <w:r w:rsidR="00717BCC" w:rsidRPr="00846636">
        <w:rPr>
          <w:rFonts w:eastAsia="Times New Roman"/>
          <w:sz w:val="24"/>
          <w:szCs w:val="24"/>
        </w:rPr>
        <w:t>, shall, within two years of the effective date of a Water Management Act permit or permit amendment that authorizes the increase:</w:t>
      </w:r>
    </w:p>
    <w:p w14:paraId="281A6161" w14:textId="77777777" w:rsidR="004647B9" w:rsidRPr="00846636" w:rsidRDefault="00E2436F" w:rsidP="00717BCC">
      <w:pPr>
        <w:numPr>
          <w:ilvl w:val="2"/>
          <w:numId w:val="632"/>
        </w:numPr>
        <w:tabs>
          <w:tab w:val="left" w:pos="2585"/>
        </w:tabs>
        <w:ind w:left="2260" w:hanging="5"/>
        <w:jc w:val="both"/>
        <w:rPr>
          <w:rFonts w:eastAsia="Times New Roman"/>
          <w:sz w:val="24"/>
          <w:szCs w:val="24"/>
        </w:rPr>
      </w:pPr>
      <w:r w:rsidRPr="00846636">
        <w:rPr>
          <w:rFonts w:eastAsia="Times New Roman"/>
          <w:sz w:val="24"/>
          <w:szCs w:val="24"/>
        </w:rPr>
        <w:t>For those portions in the Zone A that are within the municipal boundaries, adopt and have in effect surface water protection zoning or nonzoning controls that prohibit siting within the Zone A of the source the land uses set forth in 310 CMR 22.20C(2), unless the land uses are designed in accordance with the performance standards specified in 310 CMR 22.20C(2);and</w:t>
      </w:r>
    </w:p>
    <w:p w14:paraId="281A6163" w14:textId="77777777" w:rsidR="004647B9" w:rsidRPr="00846636" w:rsidRDefault="00E2436F" w:rsidP="00717BCC">
      <w:pPr>
        <w:numPr>
          <w:ilvl w:val="2"/>
          <w:numId w:val="632"/>
        </w:numPr>
        <w:tabs>
          <w:tab w:val="left" w:pos="2562"/>
        </w:tabs>
        <w:ind w:left="2260" w:hanging="5"/>
        <w:jc w:val="both"/>
        <w:rPr>
          <w:rFonts w:eastAsia="Times New Roman"/>
          <w:sz w:val="24"/>
          <w:szCs w:val="24"/>
        </w:rPr>
      </w:pPr>
      <w:r w:rsidRPr="00846636">
        <w:rPr>
          <w:rFonts w:eastAsia="Times New Roman"/>
          <w:sz w:val="24"/>
          <w:szCs w:val="24"/>
        </w:rPr>
        <w:t>for those portions of the Zone A that are outside of the municipal boundaries have zoning or nonzoning controls in effect that prohibit the siting within Zone A of land uses set forth in 310 CMR 22.20C(2) unless the land uses are designed in accordance with performance standards specified in 310 CMR 22.20C(2), or the municipal supplier of water demonstrates t</w:t>
      </w:r>
      <w:r w:rsidRPr="00846636" w:rsidDel="007B206E">
        <w:rPr>
          <w:rFonts w:eastAsia="Times New Roman"/>
          <w:sz w:val="24"/>
          <w:szCs w:val="24"/>
        </w:rPr>
        <w:t>o</w:t>
      </w:r>
      <w:r w:rsidRPr="00846636">
        <w:rPr>
          <w:rFonts w:eastAsia="Times New Roman"/>
          <w:sz w:val="24"/>
          <w:szCs w:val="24"/>
        </w:rPr>
        <w:t xml:space="preserve"> the Department's satisfaction that it has used best efforts to have such zoning or nonzoning controls adopted and in effect; and</w:t>
      </w:r>
    </w:p>
    <w:p w14:paraId="281A6165" w14:textId="77777777" w:rsidR="004647B9" w:rsidRPr="00846636" w:rsidRDefault="00E2436F" w:rsidP="00717BCC">
      <w:pPr>
        <w:numPr>
          <w:ilvl w:val="2"/>
          <w:numId w:val="632"/>
        </w:numPr>
        <w:tabs>
          <w:tab w:val="left" w:pos="2563"/>
        </w:tabs>
        <w:ind w:left="2260" w:hanging="5"/>
        <w:jc w:val="both"/>
        <w:rPr>
          <w:rFonts w:eastAsia="Times New Roman"/>
          <w:sz w:val="24"/>
          <w:szCs w:val="24"/>
        </w:rPr>
      </w:pPr>
      <w:r w:rsidRPr="00846636">
        <w:rPr>
          <w:rFonts w:eastAsia="Times New Roman"/>
          <w:sz w:val="24"/>
          <w:szCs w:val="24"/>
        </w:rPr>
        <w:t>submit to the department a copy of the zoning or nonzoning controls in effect and any local legislation that provides a variance or exemption process related the surface water protection zoning and nonzoning controls.</w:t>
      </w:r>
    </w:p>
    <w:p w14:paraId="281A6166" w14:textId="77777777" w:rsidR="004647B9" w:rsidRDefault="004647B9" w:rsidP="00717BCC">
      <w:pPr>
        <w:sectPr w:rsidR="004647B9" w:rsidSect="00EF630C">
          <w:pgSz w:w="12240" w:h="20180"/>
          <w:pgMar w:top="708" w:right="1440" w:bottom="1440" w:left="620" w:header="0" w:footer="0" w:gutter="0"/>
          <w:cols w:space="720"/>
        </w:sectPr>
      </w:pPr>
    </w:p>
    <w:p w14:paraId="281A6167" w14:textId="77777777" w:rsidR="004647B9" w:rsidRDefault="00E2436F">
      <w:pPr>
        <w:tabs>
          <w:tab w:val="left" w:pos="160"/>
        </w:tabs>
        <w:ind w:right="20"/>
        <w:jc w:val="center"/>
        <w:rPr>
          <w:sz w:val="20"/>
          <w:szCs w:val="20"/>
        </w:rPr>
      </w:pPr>
      <w:bookmarkStart w:id="271" w:name="page275"/>
      <w:bookmarkEnd w:id="27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168" w14:textId="77777777" w:rsidR="004647B9" w:rsidRDefault="004647B9" w:rsidP="00717BCC">
      <w:pPr>
        <w:rPr>
          <w:sz w:val="20"/>
          <w:szCs w:val="20"/>
        </w:rPr>
      </w:pPr>
    </w:p>
    <w:p w14:paraId="281A6169" w14:textId="77777777" w:rsidR="004647B9" w:rsidRDefault="004647B9" w:rsidP="00717BCC">
      <w:pPr>
        <w:rPr>
          <w:sz w:val="20"/>
          <w:szCs w:val="20"/>
        </w:rPr>
      </w:pPr>
    </w:p>
    <w:p w14:paraId="281A616A" w14:textId="77777777" w:rsidR="004647B9" w:rsidRPr="00846636" w:rsidRDefault="00E2436F" w:rsidP="00717BCC">
      <w:pPr>
        <w:tabs>
          <w:tab w:val="left" w:pos="940"/>
        </w:tabs>
        <w:rPr>
          <w:sz w:val="24"/>
          <w:szCs w:val="24"/>
        </w:rPr>
      </w:pPr>
      <w:r w:rsidRPr="00846636">
        <w:rPr>
          <w:rFonts w:eastAsia="Times New Roman"/>
          <w:sz w:val="24"/>
          <w:szCs w:val="24"/>
        </w:rPr>
        <w:t>22.20C:</w:t>
      </w:r>
      <w:r w:rsidRPr="00846636">
        <w:rPr>
          <w:sz w:val="24"/>
          <w:szCs w:val="24"/>
        </w:rPr>
        <w:tab/>
      </w:r>
      <w:r w:rsidRPr="00846636">
        <w:rPr>
          <w:rFonts w:eastAsia="Times New Roman"/>
          <w:sz w:val="24"/>
          <w:szCs w:val="24"/>
        </w:rPr>
        <w:t>continued</w:t>
      </w:r>
    </w:p>
    <w:p w14:paraId="281A616B" w14:textId="77777777" w:rsidR="004647B9" w:rsidRPr="00BF1F8F" w:rsidRDefault="004647B9" w:rsidP="00717BCC">
      <w:pPr>
        <w:rPr>
          <w:sz w:val="20"/>
          <w:szCs w:val="20"/>
        </w:rPr>
      </w:pPr>
    </w:p>
    <w:p w14:paraId="281A616C" w14:textId="77777777" w:rsidR="004647B9" w:rsidRPr="00846636" w:rsidRDefault="00E2436F" w:rsidP="00717BCC">
      <w:pPr>
        <w:numPr>
          <w:ilvl w:val="1"/>
          <w:numId w:val="633"/>
        </w:numPr>
        <w:tabs>
          <w:tab w:val="left" w:pos="1929"/>
        </w:tabs>
        <w:ind w:left="1540" w:hanging="5"/>
        <w:jc w:val="both"/>
        <w:rPr>
          <w:rFonts w:eastAsia="Times New Roman"/>
          <w:sz w:val="24"/>
          <w:szCs w:val="24"/>
        </w:rPr>
      </w:pPr>
      <w:r w:rsidRPr="00846636">
        <w:rPr>
          <w:rFonts w:eastAsia="Times New Roman"/>
          <w:sz w:val="24"/>
          <w:szCs w:val="24"/>
          <w:u w:val="single"/>
        </w:rPr>
        <w:t>Non-municipal Sources</w:t>
      </w:r>
      <w:r w:rsidRPr="00846636">
        <w:rPr>
          <w:rFonts w:eastAsia="Times New Roman"/>
          <w:sz w:val="24"/>
          <w:szCs w:val="24"/>
        </w:rPr>
        <w:t xml:space="preserve">. No new surface water source, or existing surface water source physically expanding that will be used in a non-municipal public water system owned or operated by a non-municipal entity shall be placed on-line or allowed to expand until the public water system has demonstrated to the Department’s satisfaction that it has used its best efforts to have all municipalities in which Zone A of the surface water source is located establish zoning or nonzoning controls that prohibit siting within Zone A the land uses set forth in 310 CMR 22.20C(2), unless the land uses are designed in accordance with the performance standards specified in 310 CMR 22.02C(2). An owner or operator of a non-municipal surface water source that will increase its withdrawal of water by more than the threshold volume, as defined in 310 CMR 36.00: </w:t>
      </w:r>
      <w:r w:rsidRPr="00846636">
        <w:rPr>
          <w:rFonts w:eastAsia="Times New Roman"/>
          <w:i/>
          <w:iCs/>
          <w:sz w:val="24"/>
          <w:szCs w:val="24"/>
        </w:rPr>
        <w:t>Massachusetts Water Resources</w:t>
      </w:r>
      <w:r w:rsidRPr="00846636">
        <w:rPr>
          <w:rFonts w:eastAsia="Times New Roman"/>
          <w:sz w:val="24"/>
          <w:szCs w:val="24"/>
        </w:rPr>
        <w:t xml:space="preserve"> </w:t>
      </w:r>
      <w:r w:rsidRPr="00846636">
        <w:rPr>
          <w:rFonts w:eastAsia="Times New Roman"/>
          <w:i/>
          <w:iCs/>
          <w:sz w:val="24"/>
          <w:szCs w:val="24"/>
        </w:rPr>
        <w:t>Management Program</w:t>
      </w:r>
      <w:r w:rsidRPr="00846636">
        <w:rPr>
          <w:rFonts w:eastAsia="Times New Roman"/>
          <w:sz w:val="24"/>
          <w:szCs w:val="24"/>
        </w:rPr>
        <w:t>, shall, within two years of the effective date of a Water Management</w:t>
      </w:r>
      <w:r w:rsidRPr="00846636">
        <w:rPr>
          <w:rFonts w:eastAsia="Times New Roman"/>
          <w:i/>
          <w:iCs/>
          <w:sz w:val="24"/>
          <w:szCs w:val="24"/>
        </w:rPr>
        <w:t xml:space="preserve"> </w:t>
      </w:r>
      <w:r w:rsidRPr="00846636">
        <w:rPr>
          <w:rFonts w:eastAsia="Times New Roman"/>
          <w:sz w:val="24"/>
          <w:szCs w:val="24"/>
        </w:rPr>
        <w:t>Act permit or permit amendment that authorizes the increase, meet these same best effort requirements.</w:t>
      </w:r>
    </w:p>
    <w:p w14:paraId="281A616E" w14:textId="77777777" w:rsidR="004647B9" w:rsidRPr="00846636" w:rsidRDefault="00E2436F" w:rsidP="00717BCC">
      <w:pPr>
        <w:numPr>
          <w:ilvl w:val="1"/>
          <w:numId w:val="633"/>
        </w:numPr>
        <w:tabs>
          <w:tab w:val="left" w:pos="2054"/>
        </w:tabs>
        <w:ind w:left="1540" w:hanging="5"/>
        <w:jc w:val="both"/>
        <w:rPr>
          <w:rFonts w:eastAsia="Times New Roman"/>
          <w:sz w:val="24"/>
          <w:szCs w:val="24"/>
        </w:rPr>
      </w:pPr>
      <w:r w:rsidRPr="00846636">
        <w:rPr>
          <w:rFonts w:eastAsia="Times New Roman"/>
          <w:sz w:val="24"/>
          <w:szCs w:val="24"/>
        </w:rPr>
        <w:t>The proponent may meet the requirements set forth in 310 CMR 22.20C(1)(e) and 310 CMR 22.20C(1)(f) by demonstrating that the water supplier has acquired land for water supply purposes or the existing rights in perpetuity or for a specific period of years stated in the form of a restriction, easement, covenant or condition in a deed or other instrument, or other mechanism approved by the Department, prohibiting the siting within Zone A of the land uses set forth in 310 CMR 22.20C(2).</w:t>
      </w:r>
    </w:p>
    <w:p w14:paraId="281A6170" w14:textId="77777777" w:rsidR="004647B9" w:rsidRPr="00846636" w:rsidRDefault="00E2436F" w:rsidP="00717BCC">
      <w:pPr>
        <w:numPr>
          <w:ilvl w:val="1"/>
          <w:numId w:val="633"/>
        </w:numPr>
        <w:tabs>
          <w:tab w:val="left" w:pos="1942"/>
        </w:tabs>
        <w:ind w:left="1540" w:hanging="5"/>
        <w:jc w:val="both"/>
        <w:rPr>
          <w:rFonts w:eastAsia="Times New Roman"/>
          <w:sz w:val="24"/>
          <w:szCs w:val="24"/>
        </w:rPr>
      </w:pPr>
      <w:r w:rsidRPr="00846636">
        <w:rPr>
          <w:rFonts w:eastAsia="Times New Roman"/>
          <w:sz w:val="24"/>
          <w:szCs w:val="24"/>
          <w:u w:val="single"/>
        </w:rPr>
        <w:t>Amendment or Repeal of Zoning/Nonzoning Controls</w:t>
      </w:r>
      <w:r w:rsidRPr="00846636">
        <w:rPr>
          <w:rFonts w:eastAsia="Times New Roman"/>
          <w:sz w:val="24"/>
          <w:szCs w:val="24"/>
        </w:rPr>
        <w:t>. No public water system surface water source shall remain on-line more than 120 days following the amendment or repeal of surface water protection zoning or nonzoning controls protecting that surface water source, or the expiration of any rights stated in a deed or other instrument approved pursuant to 310 CMR 22.20C(1)(g), unless the Department finds in writing that the water supplier meets the requirements set forth in 310 CMR 22.20C(1)(e) or (f), whichever is applicable, or grants a variance in accordance with 310 CMR 22.20C(3).</w:t>
      </w:r>
    </w:p>
    <w:p w14:paraId="281A6172" w14:textId="77777777" w:rsidR="004647B9" w:rsidRPr="00846636" w:rsidRDefault="00E2436F" w:rsidP="00717BCC">
      <w:pPr>
        <w:numPr>
          <w:ilvl w:val="1"/>
          <w:numId w:val="633"/>
        </w:numPr>
        <w:tabs>
          <w:tab w:val="left" w:pos="1954"/>
        </w:tabs>
        <w:ind w:left="1540" w:hanging="5"/>
        <w:jc w:val="both"/>
        <w:rPr>
          <w:rFonts w:eastAsia="Times New Roman"/>
          <w:sz w:val="24"/>
          <w:szCs w:val="24"/>
        </w:rPr>
      </w:pPr>
      <w:r w:rsidRPr="00846636">
        <w:rPr>
          <w:rFonts w:eastAsia="Times New Roman"/>
          <w:sz w:val="24"/>
          <w:szCs w:val="24"/>
          <w:u w:val="single"/>
        </w:rPr>
        <w:t>Water Supply Emergency</w:t>
      </w:r>
      <w:r w:rsidRPr="00846636">
        <w:rPr>
          <w:rFonts w:eastAsia="Times New Roman"/>
          <w:sz w:val="24"/>
          <w:szCs w:val="24"/>
        </w:rPr>
        <w:t>. The Department may exempt a water supplier from any of the requirements set forth in 310 CMR 22.20C(1) while a declaration of a state of water supply emergency pursuant to M.G.L. c. 21G is in effect. In the event that the Department declares a state of water supply emergency, the surface water source shall operate, for the duration of the state of water supply emergency, as directed by the Department.</w:t>
      </w:r>
    </w:p>
    <w:p w14:paraId="281A6173" w14:textId="77777777" w:rsidR="004647B9" w:rsidRPr="00846636" w:rsidRDefault="004647B9" w:rsidP="00717BCC">
      <w:pPr>
        <w:rPr>
          <w:rFonts w:eastAsia="Times New Roman"/>
          <w:sz w:val="24"/>
          <w:szCs w:val="24"/>
        </w:rPr>
      </w:pPr>
    </w:p>
    <w:p w14:paraId="281A6174" w14:textId="77777777" w:rsidR="004647B9" w:rsidRPr="00846636" w:rsidRDefault="00E2436F" w:rsidP="00717BCC">
      <w:pPr>
        <w:numPr>
          <w:ilvl w:val="0"/>
          <w:numId w:val="634"/>
        </w:numPr>
        <w:tabs>
          <w:tab w:val="left" w:pos="1618"/>
        </w:tabs>
        <w:ind w:left="1180"/>
        <w:jc w:val="both"/>
        <w:rPr>
          <w:rFonts w:eastAsia="Times New Roman"/>
          <w:sz w:val="24"/>
          <w:szCs w:val="24"/>
        </w:rPr>
      </w:pPr>
      <w:r w:rsidRPr="00846636">
        <w:rPr>
          <w:rFonts w:eastAsia="Times New Roman"/>
          <w:sz w:val="24"/>
          <w:szCs w:val="24"/>
          <w:u w:val="single"/>
        </w:rPr>
        <w:t>Restricted Activities upon Surface Water Sources and Within Protection Zones</w:t>
      </w:r>
      <w:r w:rsidRPr="00846636">
        <w:rPr>
          <w:rFonts w:eastAsia="Times New Roman"/>
          <w:sz w:val="24"/>
          <w:szCs w:val="24"/>
        </w:rPr>
        <w:t>. Required Surface Water Protection Controls Applicable to Zone A: Surface water protection zoning and nonzoning controls submitted to the Department in accordance with 310 CMR 22.20C(1), shall collectively prohibit the siting of the following new land uses within Zone A:</w:t>
      </w:r>
    </w:p>
    <w:p w14:paraId="281A6175" w14:textId="77777777" w:rsidR="004647B9" w:rsidRPr="00846636" w:rsidRDefault="00E2436F">
      <w:pPr>
        <w:numPr>
          <w:ilvl w:val="1"/>
          <w:numId w:val="634"/>
        </w:numPr>
        <w:tabs>
          <w:tab w:val="left" w:pos="1980"/>
        </w:tabs>
        <w:ind w:left="1980" w:hanging="445"/>
        <w:rPr>
          <w:rFonts w:eastAsia="Times New Roman"/>
          <w:sz w:val="24"/>
          <w:szCs w:val="24"/>
        </w:rPr>
      </w:pPr>
      <w:r w:rsidRPr="00846636">
        <w:rPr>
          <w:rFonts w:eastAsia="Times New Roman"/>
          <w:sz w:val="24"/>
          <w:szCs w:val="24"/>
        </w:rPr>
        <w:t>land uses described in 310 CMR 22.20B(2);</w:t>
      </w:r>
    </w:p>
    <w:p w14:paraId="281A6177" w14:textId="77777777" w:rsidR="004647B9" w:rsidRPr="00846636" w:rsidRDefault="00E2436F" w:rsidP="00905F85">
      <w:pPr>
        <w:numPr>
          <w:ilvl w:val="1"/>
          <w:numId w:val="634"/>
        </w:numPr>
        <w:tabs>
          <w:tab w:val="left" w:pos="1987"/>
        </w:tabs>
        <w:ind w:left="1540" w:hanging="5"/>
        <w:jc w:val="both"/>
        <w:rPr>
          <w:rFonts w:eastAsia="Times New Roman"/>
          <w:sz w:val="24"/>
          <w:szCs w:val="24"/>
        </w:rPr>
      </w:pPr>
      <w:r w:rsidRPr="00846636">
        <w:rPr>
          <w:rFonts w:eastAsia="Times New Roman"/>
          <w:sz w:val="24"/>
          <w:szCs w:val="24"/>
        </w:rPr>
        <w:t xml:space="preserve">facilities that, through their acts or processes, generate, treat, store or dispose of hazardous waste that are subject to M.G.L. c. 21C and 310 CMR 30.000: </w:t>
      </w:r>
      <w:r w:rsidRPr="00846636">
        <w:rPr>
          <w:rFonts w:eastAsia="Times New Roman"/>
          <w:i/>
          <w:iCs/>
          <w:sz w:val="24"/>
          <w:szCs w:val="24"/>
        </w:rPr>
        <w:t>Hazardous Waste</w:t>
      </w:r>
      <w:r w:rsidRPr="00846636">
        <w:rPr>
          <w:rFonts w:eastAsia="Times New Roman"/>
          <w:sz w:val="24"/>
          <w:szCs w:val="24"/>
        </w:rPr>
        <w:t>, except for the following:</w:t>
      </w:r>
    </w:p>
    <w:p w14:paraId="281A6179" w14:textId="77777777" w:rsidR="004647B9" w:rsidRPr="00846636" w:rsidRDefault="00E2436F" w:rsidP="00905F85">
      <w:pPr>
        <w:numPr>
          <w:ilvl w:val="2"/>
          <w:numId w:val="634"/>
        </w:numPr>
        <w:tabs>
          <w:tab w:val="left" w:pos="1987"/>
        </w:tabs>
        <w:ind w:left="1901"/>
        <w:rPr>
          <w:rFonts w:eastAsia="Times New Roman"/>
          <w:sz w:val="24"/>
          <w:szCs w:val="24"/>
        </w:rPr>
      </w:pPr>
      <w:r w:rsidRPr="00846636">
        <w:rPr>
          <w:rFonts w:eastAsia="Times New Roman"/>
          <w:sz w:val="24"/>
          <w:szCs w:val="24"/>
        </w:rPr>
        <w:t xml:space="preserve">very small quantity generators, as defined by 310 CMR 30.000: </w:t>
      </w:r>
      <w:r w:rsidRPr="00846636">
        <w:rPr>
          <w:rFonts w:eastAsia="Times New Roman"/>
          <w:i/>
          <w:iCs/>
          <w:sz w:val="24"/>
          <w:szCs w:val="24"/>
        </w:rPr>
        <w:t>Hazardous Waste</w:t>
      </w:r>
      <w:r w:rsidRPr="00846636">
        <w:rPr>
          <w:rFonts w:eastAsia="Times New Roman"/>
          <w:sz w:val="24"/>
          <w:szCs w:val="24"/>
        </w:rPr>
        <w:t>;</w:t>
      </w:r>
    </w:p>
    <w:p w14:paraId="281A617D" w14:textId="02658913" w:rsidR="004647B9" w:rsidRPr="00D03C38" w:rsidRDefault="00E2436F" w:rsidP="00905F85">
      <w:pPr>
        <w:numPr>
          <w:ilvl w:val="2"/>
          <w:numId w:val="634"/>
        </w:numPr>
        <w:tabs>
          <w:tab w:val="left" w:pos="1987"/>
        </w:tabs>
        <w:ind w:left="1900" w:hanging="5"/>
        <w:rPr>
          <w:rFonts w:eastAsia="Times New Roman"/>
          <w:sz w:val="24"/>
          <w:szCs w:val="24"/>
        </w:rPr>
      </w:pPr>
      <w:r w:rsidRPr="00846636">
        <w:rPr>
          <w:rFonts w:eastAsia="Times New Roman"/>
          <w:sz w:val="24"/>
          <w:szCs w:val="24"/>
        </w:rPr>
        <w:t>treatment works approved by the Department designed in accordance with 314 CMR</w:t>
      </w:r>
      <w:r w:rsidR="00D03C38">
        <w:rPr>
          <w:rFonts w:eastAsia="Times New Roman"/>
          <w:sz w:val="24"/>
          <w:szCs w:val="24"/>
        </w:rPr>
        <w:t xml:space="preserve"> 5.</w:t>
      </w:r>
      <w:r w:rsidRPr="00D03C38">
        <w:rPr>
          <w:rFonts w:eastAsia="Times New Roman"/>
          <w:sz w:val="24"/>
          <w:szCs w:val="24"/>
        </w:rPr>
        <w:t xml:space="preserve">00: </w:t>
      </w:r>
      <w:r w:rsidRPr="00D03C38">
        <w:rPr>
          <w:rFonts w:eastAsia="Times New Roman"/>
          <w:i/>
          <w:iCs/>
          <w:sz w:val="24"/>
          <w:szCs w:val="24"/>
        </w:rPr>
        <w:t>Ground Water Discharge Permit Program</w:t>
      </w:r>
      <w:r w:rsidRPr="00D03C38">
        <w:rPr>
          <w:rFonts w:eastAsia="Times New Roman"/>
          <w:sz w:val="24"/>
          <w:szCs w:val="24"/>
        </w:rPr>
        <w:t xml:space="preserve"> for the treatment of contaminated ground or surface waters;</w:t>
      </w:r>
    </w:p>
    <w:p w14:paraId="281A617F" w14:textId="77777777" w:rsidR="004647B9" w:rsidRPr="00846636" w:rsidRDefault="00E2436F">
      <w:pPr>
        <w:numPr>
          <w:ilvl w:val="1"/>
          <w:numId w:val="635"/>
        </w:numPr>
        <w:tabs>
          <w:tab w:val="left" w:pos="1980"/>
        </w:tabs>
        <w:ind w:left="1980" w:hanging="445"/>
        <w:rPr>
          <w:rFonts w:eastAsia="Times New Roman"/>
          <w:sz w:val="24"/>
          <w:szCs w:val="24"/>
        </w:rPr>
      </w:pPr>
      <w:r w:rsidRPr="00846636">
        <w:rPr>
          <w:rFonts w:eastAsia="Times New Roman"/>
          <w:sz w:val="24"/>
          <w:szCs w:val="24"/>
        </w:rPr>
        <w:t>sand and gravel excavation operations;</w:t>
      </w:r>
    </w:p>
    <w:p w14:paraId="281A6181" w14:textId="77777777" w:rsidR="004647B9" w:rsidRPr="00846636" w:rsidRDefault="00E2436F">
      <w:pPr>
        <w:numPr>
          <w:ilvl w:val="1"/>
          <w:numId w:val="635"/>
        </w:numPr>
        <w:tabs>
          <w:tab w:val="left" w:pos="2000"/>
        </w:tabs>
        <w:ind w:left="2000" w:hanging="465"/>
        <w:rPr>
          <w:rFonts w:eastAsia="Times New Roman"/>
          <w:sz w:val="24"/>
          <w:szCs w:val="24"/>
        </w:rPr>
      </w:pPr>
      <w:r w:rsidRPr="00846636">
        <w:rPr>
          <w:rFonts w:eastAsia="Times New Roman"/>
          <w:sz w:val="24"/>
          <w:szCs w:val="24"/>
        </w:rPr>
        <w:t>uncovered or uncontained storage of fertilizers;</w:t>
      </w:r>
    </w:p>
    <w:p w14:paraId="281A6183" w14:textId="77777777" w:rsidR="004647B9" w:rsidRPr="00846636" w:rsidRDefault="00E2436F" w:rsidP="00905F85">
      <w:pPr>
        <w:numPr>
          <w:ilvl w:val="1"/>
          <w:numId w:val="635"/>
        </w:numPr>
        <w:tabs>
          <w:tab w:val="left" w:pos="1987"/>
        </w:tabs>
        <w:ind w:left="1541"/>
        <w:rPr>
          <w:rFonts w:eastAsia="Times New Roman"/>
          <w:sz w:val="24"/>
          <w:szCs w:val="24"/>
        </w:rPr>
      </w:pPr>
      <w:r w:rsidRPr="00846636">
        <w:rPr>
          <w:rFonts w:eastAsia="Times New Roman"/>
          <w:sz w:val="24"/>
          <w:szCs w:val="24"/>
        </w:rPr>
        <w:t>uncovered or uncontained storage of road or parking lot de-icing and sanding materials;</w:t>
      </w:r>
    </w:p>
    <w:p w14:paraId="281A6185" w14:textId="77777777" w:rsidR="004647B9" w:rsidRPr="00846636" w:rsidRDefault="00E2436F" w:rsidP="00905F85">
      <w:pPr>
        <w:numPr>
          <w:ilvl w:val="1"/>
          <w:numId w:val="635"/>
        </w:numPr>
        <w:tabs>
          <w:tab w:val="left" w:pos="1987"/>
        </w:tabs>
        <w:ind w:left="1540" w:hanging="5"/>
        <w:rPr>
          <w:rFonts w:eastAsia="Times New Roman"/>
          <w:sz w:val="24"/>
          <w:szCs w:val="24"/>
        </w:rPr>
      </w:pPr>
      <w:r w:rsidRPr="00846636">
        <w:rPr>
          <w:rFonts w:eastAsia="Times New Roman"/>
          <w:sz w:val="24"/>
          <w:szCs w:val="24"/>
        </w:rPr>
        <w:t>storage or disposal of snow or ice, removed from highways and streets outside the Zone A, that contains deicing chemicals;</w:t>
      </w:r>
    </w:p>
    <w:p w14:paraId="281A6187" w14:textId="77777777" w:rsidR="004647B9" w:rsidRPr="00846636" w:rsidRDefault="00E2436F">
      <w:pPr>
        <w:numPr>
          <w:ilvl w:val="1"/>
          <w:numId w:val="635"/>
        </w:numPr>
        <w:tabs>
          <w:tab w:val="left" w:pos="2000"/>
        </w:tabs>
        <w:ind w:left="2000" w:hanging="465"/>
        <w:rPr>
          <w:rFonts w:eastAsia="Times New Roman"/>
          <w:sz w:val="24"/>
          <w:szCs w:val="24"/>
        </w:rPr>
      </w:pPr>
      <w:r w:rsidRPr="00846636">
        <w:rPr>
          <w:rFonts w:eastAsia="Times New Roman"/>
          <w:sz w:val="24"/>
          <w:szCs w:val="24"/>
        </w:rPr>
        <w:t>uncovered or uncontained storage of manure;</w:t>
      </w:r>
    </w:p>
    <w:p w14:paraId="281A6189" w14:textId="77777777" w:rsidR="004647B9" w:rsidRPr="00846636" w:rsidRDefault="00E2436F">
      <w:pPr>
        <w:numPr>
          <w:ilvl w:val="1"/>
          <w:numId w:val="635"/>
        </w:numPr>
        <w:tabs>
          <w:tab w:val="left" w:pos="2000"/>
        </w:tabs>
        <w:ind w:left="2000" w:hanging="465"/>
        <w:rPr>
          <w:rFonts w:eastAsia="Times New Roman"/>
          <w:sz w:val="24"/>
          <w:szCs w:val="24"/>
        </w:rPr>
      </w:pPr>
      <w:r w:rsidRPr="00846636">
        <w:rPr>
          <w:rFonts w:eastAsia="Times New Roman"/>
          <w:sz w:val="24"/>
          <w:szCs w:val="24"/>
        </w:rPr>
        <w:t>junk and salvage operations;</w:t>
      </w:r>
    </w:p>
    <w:p w14:paraId="281A618B" w14:textId="77777777" w:rsidR="004647B9" w:rsidRPr="00846636" w:rsidRDefault="00E2436F" w:rsidP="00905F85">
      <w:pPr>
        <w:numPr>
          <w:ilvl w:val="1"/>
          <w:numId w:val="635"/>
        </w:numPr>
        <w:tabs>
          <w:tab w:val="left" w:pos="1987"/>
        </w:tabs>
        <w:ind w:left="1940" w:hanging="405"/>
        <w:rPr>
          <w:rFonts w:eastAsia="Times New Roman"/>
          <w:sz w:val="24"/>
          <w:szCs w:val="24"/>
        </w:rPr>
      </w:pPr>
      <w:r w:rsidRPr="00846636">
        <w:rPr>
          <w:rFonts w:eastAsia="Times New Roman"/>
          <w:sz w:val="24"/>
          <w:szCs w:val="24"/>
        </w:rPr>
        <w:t>motor vehicle repair operations;</w:t>
      </w:r>
    </w:p>
    <w:p w14:paraId="281A618D" w14:textId="77777777" w:rsidR="004647B9" w:rsidRPr="00846636" w:rsidRDefault="00E2436F" w:rsidP="00905F85">
      <w:pPr>
        <w:numPr>
          <w:ilvl w:val="1"/>
          <w:numId w:val="635"/>
        </w:numPr>
        <w:tabs>
          <w:tab w:val="left" w:pos="1987"/>
        </w:tabs>
        <w:ind w:left="1940" w:hanging="405"/>
        <w:rPr>
          <w:rFonts w:eastAsia="Times New Roman"/>
          <w:sz w:val="24"/>
          <w:szCs w:val="24"/>
        </w:rPr>
      </w:pPr>
      <w:r w:rsidRPr="00846636">
        <w:rPr>
          <w:rFonts w:eastAsia="Times New Roman"/>
          <w:sz w:val="24"/>
          <w:szCs w:val="24"/>
        </w:rPr>
        <w:t>cemeteries (human and animal) and mausoleums;</w:t>
      </w:r>
    </w:p>
    <w:p w14:paraId="281A618F" w14:textId="77777777" w:rsidR="004647B9" w:rsidRPr="00846636" w:rsidRDefault="00E2436F" w:rsidP="00905F85">
      <w:pPr>
        <w:numPr>
          <w:ilvl w:val="1"/>
          <w:numId w:val="635"/>
        </w:numPr>
        <w:tabs>
          <w:tab w:val="left" w:pos="1987"/>
        </w:tabs>
        <w:ind w:left="1540" w:hanging="5"/>
        <w:rPr>
          <w:rFonts w:eastAsia="Times New Roman"/>
          <w:sz w:val="24"/>
          <w:szCs w:val="24"/>
        </w:rPr>
      </w:pPr>
      <w:r w:rsidRPr="00846636">
        <w:rPr>
          <w:rFonts w:eastAsia="Times New Roman"/>
          <w:sz w:val="24"/>
          <w:szCs w:val="24"/>
        </w:rPr>
        <w:t xml:space="preserve">solid waste combustion facilities or handling facilities as defined at 310 CMR 16.00: </w:t>
      </w:r>
      <w:r w:rsidRPr="00846636">
        <w:rPr>
          <w:rFonts w:eastAsia="Times New Roman"/>
          <w:i/>
          <w:iCs/>
          <w:sz w:val="24"/>
          <w:szCs w:val="24"/>
        </w:rPr>
        <w:t>Site Assignment Regulations for Solid Waste Facilities</w:t>
      </w:r>
      <w:r w:rsidRPr="00846636">
        <w:rPr>
          <w:rFonts w:eastAsia="Times New Roman"/>
          <w:sz w:val="24"/>
          <w:szCs w:val="24"/>
        </w:rPr>
        <w:t>;</w:t>
      </w:r>
    </w:p>
    <w:p w14:paraId="281A6191" w14:textId="77777777" w:rsidR="004647B9" w:rsidRPr="00846636" w:rsidRDefault="00E2436F" w:rsidP="00905F85">
      <w:pPr>
        <w:numPr>
          <w:ilvl w:val="1"/>
          <w:numId w:val="635"/>
        </w:numPr>
        <w:tabs>
          <w:tab w:val="left" w:pos="1987"/>
        </w:tabs>
        <w:ind w:left="1540" w:hanging="5"/>
        <w:rPr>
          <w:rFonts w:eastAsia="Times New Roman"/>
          <w:sz w:val="24"/>
          <w:szCs w:val="24"/>
        </w:rPr>
      </w:pPr>
      <w:r w:rsidRPr="00846636">
        <w:rPr>
          <w:rFonts w:eastAsia="Times New Roman"/>
          <w:sz w:val="24"/>
          <w:szCs w:val="24"/>
        </w:rPr>
        <w:t>land uses that result in the rendering impervious of more than 15%, or more than 20% with artificial recharge, or 2500 square feet of any lot, whichever is greater; and</w:t>
      </w:r>
    </w:p>
    <w:p w14:paraId="281A6193" w14:textId="77777777" w:rsidR="004647B9" w:rsidRDefault="00E2436F" w:rsidP="00905F85">
      <w:pPr>
        <w:numPr>
          <w:ilvl w:val="1"/>
          <w:numId w:val="635"/>
        </w:numPr>
        <w:tabs>
          <w:tab w:val="left" w:pos="1987"/>
        </w:tabs>
        <w:ind w:left="2060" w:hanging="525"/>
        <w:rPr>
          <w:rFonts w:eastAsia="Times New Roman"/>
          <w:sz w:val="24"/>
          <w:szCs w:val="24"/>
        </w:rPr>
      </w:pPr>
      <w:r w:rsidRPr="00846636">
        <w:rPr>
          <w:rFonts w:eastAsia="Times New Roman"/>
          <w:sz w:val="24"/>
          <w:szCs w:val="24"/>
        </w:rPr>
        <w:t>commercial outdoor washing of vehicles, commercial car washes</w:t>
      </w:r>
      <w:r>
        <w:rPr>
          <w:rFonts w:eastAsia="Times New Roman"/>
          <w:sz w:val="24"/>
          <w:szCs w:val="24"/>
        </w:rPr>
        <w:t>.</w:t>
      </w:r>
    </w:p>
    <w:p w14:paraId="281A6194" w14:textId="77777777" w:rsidR="004647B9" w:rsidRDefault="004647B9" w:rsidP="00717BCC">
      <w:pPr>
        <w:sectPr w:rsidR="004647B9" w:rsidSect="00EF630C">
          <w:pgSz w:w="12240" w:h="20180"/>
          <w:pgMar w:top="708" w:right="1440" w:bottom="1440" w:left="620" w:header="0" w:footer="0" w:gutter="0"/>
          <w:cols w:space="720"/>
        </w:sectPr>
      </w:pPr>
    </w:p>
    <w:p w14:paraId="281A6195" w14:textId="77777777" w:rsidR="004647B9" w:rsidRDefault="00E2436F">
      <w:pPr>
        <w:tabs>
          <w:tab w:val="left" w:pos="160"/>
        </w:tabs>
        <w:ind w:right="20"/>
        <w:jc w:val="center"/>
        <w:rPr>
          <w:sz w:val="20"/>
          <w:szCs w:val="20"/>
        </w:rPr>
      </w:pPr>
      <w:bookmarkStart w:id="272" w:name="page276"/>
      <w:bookmarkEnd w:id="27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196" w14:textId="77777777" w:rsidR="004647B9" w:rsidRDefault="004647B9" w:rsidP="00BF1F8F">
      <w:pPr>
        <w:rPr>
          <w:sz w:val="20"/>
          <w:szCs w:val="20"/>
        </w:rPr>
      </w:pPr>
    </w:p>
    <w:p w14:paraId="281A6197" w14:textId="77777777" w:rsidR="004647B9" w:rsidRDefault="004647B9" w:rsidP="00BF1F8F">
      <w:pPr>
        <w:rPr>
          <w:sz w:val="20"/>
          <w:szCs w:val="20"/>
        </w:rPr>
      </w:pPr>
    </w:p>
    <w:p w14:paraId="281A6198" w14:textId="77777777" w:rsidR="004647B9" w:rsidRPr="00D03C38" w:rsidRDefault="00E2436F" w:rsidP="00BF1F8F">
      <w:pPr>
        <w:tabs>
          <w:tab w:val="left" w:pos="940"/>
        </w:tabs>
        <w:rPr>
          <w:sz w:val="24"/>
          <w:szCs w:val="24"/>
        </w:rPr>
      </w:pPr>
      <w:r w:rsidRPr="00D03C38">
        <w:rPr>
          <w:rFonts w:eastAsia="Times New Roman"/>
          <w:sz w:val="24"/>
          <w:szCs w:val="24"/>
        </w:rPr>
        <w:t>22.20C:</w:t>
      </w:r>
      <w:r w:rsidRPr="00D03C38">
        <w:rPr>
          <w:sz w:val="24"/>
          <w:szCs w:val="24"/>
        </w:rPr>
        <w:tab/>
      </w:r>
      <w:r w:rsidRPr="00D03C38">
        <w:rPr>
          <w:rFonts w:eastAsia="Times New Roman"/>
          <w:sz w:val="24"/>
          <w:szCs w:val="24"/>
        </w:rPr>
        <w:t>continued</w:t>
      </w:r>
    </w:p>
    <w:p w14:paraId="281A6199" w14:textId="77777777" w:rsidR="004647B9" w:rsidRPr="00BF1F8F" w:rsidRDefault="004647B9" w:rsidP="00BF1F8F">
      <w:pPr>
        <w:rPr>
          <w:sz w:val="20"/>
          <w:szCs w:val="20"/>
        </w:rPr>
      </w:pPr>
    </w:p>
    <w:p w14:paraId="281A619A" w14:textId="77777777" w:rsidR="004647B9" w:rsidRPr="00D03C38" w:rsidRDefault="00E2436F" w:rsidP="00BF1F8F">
      <w:pPr>
        <w:numPr>
          <w:ilvl w:val="0"/>
          <w:numId w:val="636"/>
        </w:numPr>
        <w:tabs>
          <w:tab w:val="left" w:pos="1640"/>
        </w:tabs>
        <w:ind w:left="1640" w:hanging="460"/>
        <w:rPr>
          <w:rFonts w:eastAsia="Times New Roman"/>
          <w:sz w:val="24"/>
          <w:szCs w:val="24"/>
        </w:rPr>
      </w:pPr>
      <w:r w:rsidRPr="00D03C38">
        <w:rPr>
          <w:rFonts w:eastAsia="Times New Roman"/>
          <w:sz w:val="24"/>
          <w:szCs w:val="24"/>
          <w:u w:val="single"/>
        </w:rPr>
        <w:t>Department Variances</w:t>
      </w:r>
      <w:r w:rsidRPr="00D03C38">
        <w:rPr>
          <w:rFonts w:eastAsia="Times New Roman"/>
          <w:sz w:val="24"/>
          <w:szCs w:val="24"/>
        </w:rPr>
        <w:t>.</w:t>
      </w:r>
    </w:p>
    <w:p w14:paraId="281A619C" w14:textId="77777777" w:rsidR="004647B9" w:rsidRPr="00D03C38" w:rsidRDefault="00E2436F" w:rsidP="00BF1F8F">
      <w:pPr>
        <w:numPr>
          <w:ilvl w:val="1"/>
          <w:numId w:val="636"/>
        </w:numPr>
        <w:tabs>
          <w:tab w:val="left" w:pos="1953"/>
        </w:tabs>
        <w:ind w:left="1540" w:hanging="5"/>
        <w:jc w:val="both"/>
        <w:rPr>
          <w:rFonts w:eastAsia="Times New Roman"/>
          <w:sz w:val="24"/>
          <w:szCs w:val="24"/>
        </w:rPr>
      </w:pPr>
      <w:r w:rsidRPr="00D03C38">
        <w:rPr>
          <w:rFonts w:eastAsia="Times New Roman"/>
          <w:sz w:val="24"/>
          <w:szCs w:val="24"/>
        </w:rPr>
        <w:t>The Department may grant a variance from the requirements of 310 CMR 22.20C(1)(f) to a proponent that, despite its best efforts, is unable to adopt one or more of the requirements set forth in 310 CMR 22.20C(2) if the Department finds that strict compliance with such requirements would result in an undue hardship and would not serve to further the intent of 310 CMR 22.20A through 22.20C.</w:t>
      </w:r>
    </w:p>
    <w:p w14:paraId="281A619E" w14:textId="77777777" w:rsidR="004647B9" w:rsidRPr="00D03C38" w:rsidRDefault="00E2436F" w:rsidP="00BF1F8F">
      <w:pPr>
        <w:numPr>
          <w:ilvl w:val="1"/>
          <w:numId w:val="636"/>
        </w:numPr>
        <w:tabs>
          <w:tab w:val="left" w:pos="1982"/>
        </w:tabs>
        <w:ind w:left="1540" w:hanging="5"/>
        <w:rPr>
          <w:rFonts w:eastAsia="Times New Roman"/>
          <w:sz w:val="24"/>
          <w:szCs w:val="24"/>
        </w:rPr>
      </w:pPr>
      <w:r w:rsidRPr="00D03C38">
        <w:rPr>
          <w:rFonts w:eastAsia="Times New Roman"/>
          <w:sz w:val="24"/>
          <w:szCs w:val="24"/>
        </w:rPr>
        <w:t>The Department will consider the following factors in making the finding necessary to grant a variance pursuant to 310 CMR 22.20C(3):</w:t>
      </w:r>
    </w:p>
    <w:p w14:paraId="281A61A0" w14:textId="77777777" w:rsidR="004647B9" w:rsidRPr="00D03C38" w:rsidRDefault="00E2436F" w:rsidP="00BF1F8F">
      <w:pPr>
        <w:numPr>
          <w:ilvl w:val="2"/>
          <w:numId w:val="636"/>
        </w:numPr>
        <w:tabs>
          <w:tab w:val="left" w:pos="2260"/>
        </w:tabs>
        <w:ind w:left="2260" w:hanging="365"/>
        <w:rPr>
          <w:rFonts w:eastAsia="Times New Roman"/>
          <w:sz w:val="24"/>
          <w:szCs w:val="24"/>
        </w:rPr>
      </w:pPr>
      <w:r w:rsidRPr="00D03C38">
        <w:rPr>
          <w:rFonts w:eastAsia="Times New Roman"/>
          <w:sz w:val="24"/>
          <w:szCs w:val="24"/>
        </w:rPr>
        <w:t>the reasonableness of available alternatives to the proposed surface water source;</w:t>
      </w:r>
    </w:p>
    <w:p w14:paraId="281A61A2" w14:textId="77777777" w:rsidR="004647B9" w:rsidRPr="00D03C38" w:rsidRDefault="00E2436F" w:rsidP="00BF1F8F">
      <w:pPr>
        <w:numPr>
          <w:ilvl w:val="2"/>
          <w:numId w:val="636"/>
        </w:numPr>
        <w:tabs>
          <w:tab w:val="left" w:pos="2322"/>
        </w:tabs>
        <w:ind w:left="1900" w:hanging="5"/>
        <w:jc w:val="both"/>
        <w:rPr>
          <w:rFonts w:eastAsia="Times New Roman"/>
          <w:sz w:val="24"/>
          <w:szCs w:val="24"/>
        </w:rPr>
      </w:pPr>
      <w:r w:rsidRPr="00D03C38">
        <w:rPr>
          <w:rFonts w:eastAsia="Times New Roman"/>
          <w:sz w:val="24"/>
          <w:szCs w:val="24"/>
        </w:rPr>
        <w:t>the overall effectiveness of existing land use controls and other measures on the protection of the proposed surface water source and any other water sources used by the supplier of water;</w:t>
      </w:r>
    </w:p>
    <w:p w14:paraId="281A61A4" w14:textId="77777777" w:rsidR="004647B9" w:rsidRPr="00D03C38" w:rsidRDefault="00E2436F" w:rsidP="00BF1F8F">
      <w:pPr>
        <w:numPr>
          <w:ilvl w:val="2"/>
          <w:numId w:val="636"/>
        </w:numPr>
        <w:tabs>
          <w:tab w:val="left" w:pos="2318"/>
        </w:tabs>
        <w:ind w:left="1900" w:hanging="5"/>
        <w:rPr>
          <w:rFonts w:eastAsia="Times New Roman"/>
          <w:sz w:val="24"/>
          <w:szCs w:val="24"/>
        </w:rPr>
      </w:pPr>
      <w:r w:rsidRPr="00D03C38">
        <w:rPr>
          <w:rFonts w:eastAsia="Times New Roman"/>
          <w:sz w:val="24"/>
          <w:szCs w:val="24"/>
        </w:rPr>
        <w:t>the nature and extent of the risk of contamination to the proposed surface water source that would result from the granting of the variance; and</w:t>
      </w:r>
    </w:p>
    <w:p w14:paraId="281A61A6" w14:textId="77777777" w:rsidR="004647B9" w:rsidRPr="00D03C38" w:rsidRDefault="00E2436F" w:rsidP="00BF1F8F">
      <w:pPr>
        <w:numPr>
          <w:ilvl w:val="2"/>
          <w:numId w:val="636"/>
        </w:numPr>
        <w:tabs>
          <w:tab w:val="left" w:pos="2402"/>
        </w:tabs>
        <w:ind w:left="1900" w:hanging="5"/>
        <w:rPr>
          <w:rFonts w:eastAsia="Times New Roman"/>
          <w:sz w:val="24"/>
          <w:szCs w:val="24"/>
        </w:rPr>
      </w:pPr>
      <w:r w:rsidRPr="00D03C38">
        <w:rPr>
          <w:rFonts w:eastAsia="Times New Roman"/>
          <w:sz w:val="24"/>
          <w:szCs w:val="24"/>
        </w:rPr>
        <w:t>whether the variance is necessary to accommodate an overriding community, regional, state, or national public interest;</w:t>
      </w:r>
    </w:p>
    <w:p w14:paraId="281A61A8" w14:textId="77777777" w:rsidR="004647B9" w:rsidRPr="00D03C38" w:rsidRDefault="00E2436F" w:rsidP="00BF1F8F">
      <w:pPr>
        <w:numPr>
          <w:ilvl w:val="2"/>
          <w:numId w:val="636"/>
        </w:numPr>
        <w:tabs>
          <w:tab w:val="left" w:pos="2260"/>
        </w:tabs>
        <w:ind w:left="1900" w:hanging="5"/>
        <w:jc w:val="both"/>
        <w:rPr>
          <w:rFonts w:eastAsia="Times New Roman"/>
          <w:sz w:val="24"/>
          <w:szCs w:val="24"/>
        </w:rPr>
      </w:pPr>
      <w:r w:rsidRPr="00D03C38">
        <w:rPr>
          <w:rFonts w:eastAsia="Times New Roman"/>
          <w:sz w:val="24"/>
          <w:szCs w:val="24"/>
        </w:rPr>
        <w:t>These factors need not be weighed equally, nor must all of these factors be present for the Department to grant a variance. The presence of any single factor may be sufficient for the granting of a variance.</w:t>
      </w:r>
    </w:p>
    <w:p w14:paraId="281A61AA" w14:textId="77777777" w:rsidR="004647B9" w:rsidRPr="00D03C38" w:rsidRDefault="00E2436F" w:rsidP="00BF1F8F">
      <w:pPr>
        <w:numPr>
          <w:ilvl w:val="1"/>
          <w:numId w:val="636"/>
        </w:numPr>
        <w:tabs>
          <w:tab w:val="left" w:pos="2063"/>
        </w:tabs>
        <w:ind w:left="1540" w:hanging="5"/>
        <w:rPr>
          <w:rFonts w:eastAsia="Times New Roman"/>
          <w:sz w:val="24"/>
          <w:szCs w:val="24"/>
        </w:rPr>
      </w:pPr>
      <w:r w:rsidRPr="00D03C38">
        <w:rPr>
          <w:rFonts w:eastAsia="Times New Roman"/>
          <w:sz w:val="24"/>
          <w:szCs w:val="24"/>
        </w:rPr>
        <w:t>A variance granted pursuant to 310 CMR 22.20C(3) shall be conditioned on such monitoring, public education or other requirements as the Department may prescribe.</w:t>
      </w:r>
    </w:p>
    <w:p w14:paraId="281A61AC" w14:textId="77777777" w:rsidR="004647B9" w:rsidRPr="00D03C38" w:rsidRDefault="00E2436F" w:rsidP="00BF1F8F">
      <w:pPr>
        <w:numPr>
          <w:ilvl w:val="1"/>
          <w:numId w:val="636"/>
        </w:numPr>
        <w:tabs>
          <w:tab w:val="left" w:pos="2093"/>
        </w:tabs>
        <w:ind w:left="1540" w:hanging="5"/>
        <w:jc w:val="both"/>
        <w:rPr>
          <w:rFonts w:eastAsia="Times New Roman"/>
          <w:sz w:val="24"/>
          <w:szCs w:val="24"/>
        </w:rPr>
      </w:pPr>
      <w:r w:rsidRPr="00D03C38">
        <w:rPr>
          <w:rFonts w:eastAsia="Times New Roman"/>
          <w:sz w:val="24"/>
          <w:szCs w:val="24"/>
        </w:rPr>
        <w:t>Requests for variances shall be made in writing and clearly state the provision or requirement from which the variance is sought and the reasons and facts that support the granting of a variance, and shall include an evaluation of the reasonableness of alternatives to the proposed surface water source.</w:t>
      </w:r>
    </w:p>
    <w:p w14:paraId="281A61AE" w14:textId="77777777" w:rsidR="004647B9" w:rsidRPr="00D03C38" w:rsidRDefault="00E2436F" w:rsidP="00BF1F8F">
      <w:pPr>
        <w:numPr>
          <w:ilvl w:val="1"/>
          <w:numId w:val="636"/>
        </w:numPr>
        <w:tabs>
          <w:tab w:val="left" w:pos="2063"/>
        </w:tabs>
        <w:ind w:left="1540" w:hanging="5"/>
        <w:jc w:val="both"/>
        <w:rPr>
          <w:rFonts w:eastAsia="Times New Roman"/>
          <w:sz w:val="24"/>
          <w:szCs w:val="24"/>
        </w:rPr>
      </w:pPr>
      <w:r w:rsidRPr="00D03C38">
        <w:rPr>
          <w:rFonts w:eastAsia="Times New Roman"/>
          <w:sz w:val="24"/>
          <w:szCs w:val="24"/>
        </w:rPr>
        <w:t>Within 14 days of filing a request for variance under 310 CMR 22.20C(3)(a), the proponent filing the request shall notify persons served by the supplier of water by direct mail and by publication on not less than three consecutive days in a newspaper of general circulation in the service area of the supplier of water. The notice shall include:</w:t>
      </w:r>
    </w:p>
    <w:p w14:paraId="281A61B0" w14:textId="77777777" w:rsidR="004647B9" w:rsidRPr="00D03C38" w:rsidRDefault="00E2436F" w:rsidP="00BF1F8F">
      <w:pPr>
        <w:numPr>
          <w:ilvl w:val="2"/>
          <w:numId w:val="636"/>
        </w:numPr>
        <w:tabs>
          <w:tab w:val="left" w:pos="2260"/>
        </w:tabs>
        <w:ind w:left="2260" w:hanging="365"/>
        <w:rPr>
          <w:rFonts w:eastAsia="Times New Roman"/>
          <w:sz w:val="24"/>
          <w:szCs w:val="24"/>
        </w:rPr>
      </w:pPr>
      <w:r w:rsidRPr="00D03C38">
        <w:rPr>
          <w:rFonts w:eastAsia="Times New Roman"/>
          <w:sz w:val="24"/>
          <w:szCs w:val="24"/>
        </w:rPr>
        <w:t>the provision or requirement from which the variance is being sought;</w:t>
      </w:r>
    </w:p>
    <w:p w14:paraId="281A61B2" w14:textId="77777777" w:rsidR="004647B9" w:rsidRPr="00D03C38" w:rsidRDefault="00E2436F" w:rsidP="00BF1F8F">
      <w:pPr>
        <w:numPr>
          <w:ilvl w:val="2"/>
          <w:numId w:val="636"/>
        </w:numPr>
        <w:tabs>
          <w:tab w:val="left" w:pos="2260"/>
        </w:tabs>
        <w:ind w:left="2260" w:hanging="365"/>
        <w:rPr>
          <w:rFonts w:eastAsia="Times New Roman"/>
          <w:sz w:val="24"/>
          <w:szCs w:val="24"/>
        </w:rPr>
      </w:pPr>
      <w:r w:rsidRPr="00D03C38">
        <w:rPr>
          <w:rFonts w:eastAsia="Times New Roman"/>
          <w:sz w:val="24"/>
          <w:szCs w:val="24"/>
        </w:rPr>
        <w:t>the identity of the proponent of the surface water source;</w:t>
      </w:r>
    </w:p>
    <w:p w14:paraId="281A61B4" w14:textId="77777777" w:rsidR="004647B9" w:rsidRDefault="00E2436F" w:rsidP="00BF1F8F">
      <w:pPr>
        <w:numPr>
          <w:ilvl w:val="2"/>
          <w:numId w:val="636"/>
        </w:numPr>
        <w:tabs>
          <w:tab w:val="left" w:pos="2282"/>
        </w:tabs>
        <w:ind w:left="1900" w:hanging="5"/>
        <w:jc w:val="both"/>
        <w:rPr>
          <w:rFonts w:eastAsia="Times New Roman"/>
          <w:sz w:val="24"/>
          <w:szCs w:val="24"/>
        </w:rPr>
      </w:pPr>
      <w:r w:rsidRPr="00D03C38">
        <w:rPr>
          <w:rFonts w:eastAsia="Times New Roman"/>
          <w:sz w:val="24"/>
          <w:szCs w:val="24"/>
        </w:rPr>
        <w:t>the identity of the person requesting the variance, the address where a copy of the request for variance will be available for public inspection, and the times it will be</w:t>
      </w:r>
      <w:r>
        <w:rPr>
          <w:rFonts w:eastAsia="Times New Roman"/>
          <w:sz w:val="24"/>
          <w:szCs w:val="24"/>
        </w:rPr>
        <w:t xml:space="preserve"> available; and</w:t>
      </w:r>
    </w:p>
    <w:p w14:paraId="281A61B6" w14:textId="77777777" w:rsidR="004647B9" w:rsidRDefault="00E2436F" w:rsidP="00BF1F8F">
      <w:pPr>
        <w:numPr>
          <w:ilvl w:val="2"/>
          <w:numId w:val="636"/>
        </w:numPr>
        <w:tabs>
          <w:tab w:val="left" w:pos="2193"/>
        </w:tabs>
        <w:ind w:left="1900" w:hanging="5"/>
        <w:jc w:val="both"/>
        <w:rPr>
          <w:rFonts w:eastAsia="Times New Roman"/>
          <w:sz w:val="24"/>
          <w:szCs w:val="24"/>
        </w:rPr>
      </w:pPr>
      <w:r>
        <w:rPr>
          <w:rFonts w:eastAsia="Times New Roman"/>
          <w:sz w:val="24"/>
          <w:szCs w:val="24"/>
        </w:rPr>
        <w:t>a statement that the Department will receive written comments concerning the request from the public for a 30 day period commencing on the last date of newspaper publication.</w:t>
      </w:r>
    </w:p>
    <w:p w14:paraId="281A61B8" w14:textId="77777777" w:rsidR="004647B9" w:rsidRDefault="00E2436F" w:rsidP="00BF1F8F">
      <w:pPr>
        <w:numPr>
          <w:ilvl w:val="1"/>
          <w:numId w:val="636"/>
        </w:numPr>
        <w:tabs>
          <w:tab w:val="left" w:pos="1919"/>
        </w:tabs>
        <w:ind w:left="1540" w:hanging="5"/>
        <w:jc w:val="both"/>
        <w:rPr>
          <w:rFonts w:eastAsia="Times New Roman"/>
          <w:sz w:val="24"/>
          <w:szCs w:val="24"/>
        </w:rPr>
      </w:pPr>
      <w:r>
        <w:rPr>
          <w:rFonts w:eastAsia="Times New Roman"/>
          <w:sz w:val="24"/>
          <w:szCs w:val="24"/>
        </w:rPr>
        <w:t>Each proponent submitting a request for variance shall submit to the Department a copy of the public notice required by 310 CMR 22.20C(3)(e) and affidavits attesting to the fact that the notices have been given. The Department will receive written comments concerning the request from the public for a 30-day period commencing on the last date of newspaper publication.</w:t>
      </w:r>
    </w:p>
    <w:p w14:paraId="281A61BA" w14:textId="77777777" w:rsidR="004647B9" w:rsidRDefault="00E2436F" w:rsidP="00BF1F8F">
      <w:pPr>
        <w:numPr>
          <w:ilvl w:val="1"/>
          <w:numId w:val="636"/>
        </w:numPr>
        <w:tabs>
          <w:tab w:val="left" w:pos="2090"/>
        </w:tabs>
        <w:ind w:left="1540" w:hanging="5"/>
        <w:jc w:val="both"/>
        <w:rPr>
          <w:rFonts w:eastAsia="Times New Roman"/>
          <w:sz w:val="24"/>
          <w:szCs w:val="24"/>
        </w:rPr>
      </w:pPr>
      <w:r>
        <w:rPr>
          <w:rFonts w:eastAsia="Times New Roman"/>
          <w:sz w:val="24"/>
          <w:szCs w:val="24"/>
        </w:rPr>
        <w:t>Within 30 days of the close of the comment period, each proponent requesting a variance under 310 CMR 22.20C(3)(a) shall respond in writing to all reasonable public comments received by the Department.</w:t>
      </w:r>
    </w:p>
    <w:p w14:paraId="281A61BC" w14:textId="77777777" w:rsidR="004647B9" w:rsidRDefault="00E2436F" w:rsidP="00BF1F8F">
      <w:pPr>
        <w:numPr>
          <w:ilvl w:val="1"/>
          <w:numId w:val="636"/>
        </w:numPr>
        <w:tabs>
          <w:tab w:val="left" w:pos="2000"/>
        </w:tabs>
        <w:ind w:left="1540" w:hanging="5"/>
        <w:jc w:val="both"/>
        <w:rPr>
          <w:rFonts w:eastAsia="Times New Roman"/>
          <w:sz w:val="24"/>
          <w:szCs w:val="24"/>
        </w:rPr>
      </w:pPr>
      <w:r>
        <w:rPr>
          <w:rFonts w:eastAsia="Times New Roman"/>
          <w:sz w:val="24"/>
          <w:szCs w:val="24"/>
        </w:rPr>
        <w:t>The Department may schedule a public hearing on any request for variance submitted in accordance with 310 CMR 22.20C(3) if it determines on the basis of the public comments received that such a hearing is in the public interest. In the event that the Department schedules a hearing, the proponent filing the request shall notify persons served by the supplier of water of the hearing by publication on not less than three consecutive days in a newspaper of general circulation in the service area of the supplier of water. In addition, the proponent filing the request shall notify each person who submitted written comment concerning the request to the Department by direct mail. The proponent filing the request shall submit to the Department a copy of the public notices required by 310 CMR 22.20C(3)(h), and an affidavit attesting to the fact that the notices have been given, prior to the hearing. Proponents filing a request for a variance under 310 CMR 22.20C(3) shall pay in full the cost of any hearing scheduled.</w:t>
      </w:r>
    </w:p>
    <w:p w14:paraId="281A61BD" w14:textId="77777777" w:rsidR="004647B9" w:rsidRDefault="004647B9" w:rsidP="00BF1F8F">
      <w:pPr>
        <w:sectPr w:rsidR="004647B9" w:rsidSect="00EF630C">
          <w:pgSz w:w="12240" w:h="20180"/>
          <w:pgMar w:top="708" w:right="1440" w:bottom="1440" w:left="620" w:header="0" w:footer="0" w:gutter="0"/>
          <w:cols w:space="720"/>
        </w:sectPr>
      </w:pPr>
    </w:p>
    <w:p w14:paraId="281A61BE" w14:textId="77777777" w:rsidR="004647B9" w:rsidRDefault="00E2436F">
      <w:pPr>
        <w:tabs>
          <w:tab w:val="left" w:pos="160"/>
        </w:tabs>
        <w:ind w:right="20"/>
        <w:jc w:val="center"/>
        <w:rPr>
          <w:sz w:val="20"/>
          <w:szCs w:val="20"/>
        </w:rPr>
      </w:pPr>
      <w:bookmarkStart w:id="273" w:name="page277"/>
      <w:bookmarkEnd w:id="27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1BF" w14:textId="77777777" w:rsidR="004647B9" w:rsidRDefault="004647B9" w:rsidP="00BF1F8F">
      <w:pPr>
        <w:rPr>
          <w:sz w:val="20"/>
          <w:szCs w:val="20"/>
        </w:rPr>
      </w:pPr>
    </w:p>
    <w:p w14:paraId="281A61C0" w14:textId="77777777" w:rsidR="004647B9" w:rsidRDefault="004647B9" w:rsidP="00BF1F8F">
      <w:pPr>
        <w:rPr>
          <w:sz w:val="20"/>
          <w:szCs w:val="20"/>
        </w:rPr>
      </w:pPr>
    </w:p>
    <w:p w14:paraId="281A61C1" w14:textId="77777777" w:rsidR="004647B9" w:rsidRPr="00D03C38" w:rsidRDefault="00E2436F" w:rsidP="00BF1F8F">
      <w:pPr>
        <w:tabs>
          <w:tab w:val="left" w:pos="940"/>
        </w:tabs>
        <w:rPr>
          <w:sz w:val="24"/>
          <w:szCs w:val="24"/>
        </w:rPr>
      </w:pPr>
      <w:r w:rsidRPr="00D03C38">
        <w:rPr>
          <w:rFonts w:eastAsia="Times New Roman"/>
          <w:sz w:val="24"/>
          <w:szCs w:val="24"/>
        </w:rPr>
        <w:t>22.20C:</w:t>
      </w:r>
      <w:r w:rsidRPr="00D03C38">
        <w:rPr>
          <w:sz w:val="24"/>
          <w:szCs w:val="24"/>
        </w:rPr>
        <w:tab/>
      </w:r>
      <w:r w:rsidRPr="00D03C38">
        <w:rPr>
          <w:rFonts w:eastAsia="Times New Roman"/>
          <w:sz w:val="24"/>
          <w:szCs w:val="24"/>
        </w:rPr>
        <w:t>continued</w:t>
      </w:r>
    </w:p>
    <w:p w14:paraId="281A61C2" w14:textId="77777777" w:rsidR="004647B9" w:rsidRPr="00BF1F8F" w:rsidRDefault="004647B9" w:rsidP="00BF1F8F">
      <w:pPr>
        <w:rPr>
          <w:sz w:val="20"/>
          <w:szCs w:val="20"/>
        </w:rPr>
      </w:pPr>
    </w:p>
    <w:p w14:paraId="281A61C3" w14:textId="77777777" w:rsidR="004647B9" w:rsidRPr="00D03C38" w:rsidRDefault="00E2436F" w:rsidP="00BF1F8F">
      <w:pPr>
        <w:numPr>
          <w:ilvl w:val="0"/>
          <w:numId w:val="637"/>
        </w:numPr>
        <w:tabs>
          <w:tab w:val="left" w:pos="1896"/>
        </w:tabs>
        <w:ind w:left="1540" w:hanging="5"/>
        <w:jc w:val="both"/>
        <w:rPr>
          <w:rFonts w:eastAsia="Times New Roman"/>
          <w:sz w:val="24"/>
          <w:szCs w:val="24"/>
        </w:rPr>
      </w:pPr>
      <w:r w:rsidRPr="00D03C38">
        <w:rPr>
          <w:rFonts w:eastAsia="Times New Roman"/>
          <w:sz w:val="24"/>
          <w:szCs w:val="24"/>
        </w:rPr>
        <w:t>Within 30 days of the grant of a variance under 310 CMR 22.20C(3), any proponent who receives a variance shall notify persons served by the supplier of water of the granting of the variance, including any conditions imposed by the Department, by direct mail and by publication on not less than three consecutive days in a newspaper of general circulation in the service area of the supplier of water. The proponent who receives the variance shall submit to the Department a copy of the public notices and an affidavit attesting to the fact that the notices have been given upon completion of the public notification.</w:t>
      </w:r>
    </w:p>
    <w:p w14:paraId="281A61C4" w14:textId="77777777" w:rsidR="004647B9" w:rsidRPr="00D03C38" w:rsidRDefault="004647B9" w:rsidP="00BF1F8F">
      <w:pPr>
        <w:rPr>
          <w:sz w:val="24"/>
          <w:szCs w:val="24"/>
        </w:rPr>
      </w:pPr>
    </w:p>
    <w:p w14:paraId="281A61C5" w14:textId="77777777" w:rsidR="004647B9" w:rsidRPr="00D03C38" w:rsidRDefault="00E2436F" w:rsidP="00BF1F8F">
      <w:pPr>
        <w:tabs>
          <w:tab w:val="left" w:pos="940"/>
        </w:tabs>
        <w:rPr>
          <w:sz w:val="24"/>
          <w:szCs w:val="24"/>
        </w:rPr>
      </w:pPr>
      <w:r w:rsidRPr="00D03C38">
        <w:rPr>
          <w:rFonts w:eastAsia="Times New Roman"/>
          <w:sz w:val="24"/>
          <w:szCs w:val="24"/>
          <w:u w:val="single"/>
        </w:rPr>
        <w:t>22.20D:</w:t>
      </w:r>
      <w:r w:rsidRPr="00D03C38">
        <w:rPr>
          <w:sz w:val="24"/>
          <w:szCs w:val="24"/>
        </w:rPr>
        <w:tab/>
      </w:r>
      <w:r w:rsidRPr="00D03C38">
        <w:rPr>
          <w:rFonts w:eastAsia="Times New Roman"/>
          <w:sz w:val="24"/>
          <w:szCs w:val="24"/>
          <w:u w:val="single"/>
        </w:rPr>
        <w:t>Interim Enhanced Surface Water Treatment Rule</w:t>
      </w:r>
    </w:p>
    <w:p w14:paraId="281A61C6" w14:textId="77777777" w:rsidR="004647B9" w:rsidRPr="00D03C38" w:rsidRDefault="004647B9" w:rsidP="00BF1F8F">
      <w:pPr>
        <w:rPr>
          <w:sz w:val="24"/>
          <w:szCs w:val="24"/>
        </w:rPr>
      </w:pPr>
    </w:p>
    <w:p w14:paraId="281A61C7" w14:textId="77777777" w:rsidR="004647B9" w:rsidRPr="00D03C38" w:rsidRDefault="00E2436F" w:rsidP="00BF1F8F">
      <w:pPr>
        <w:numPr>
          <w:ilvl w:val="0"/>
          <w:numId w:val="638"/>
        </w:numPr>
        <w:tabs>
          <w:tab w:val="left" w:pos="1640"/>
        </w:tabs>
        <w:ind w:left="1640" w:hanging="460"/>
        <w:rPr>
          <w:rFonts w:eastAsia="Times New Roman"/>
          <w:sz w:val="24"/>
          <w:szCs w:val="24"/>
        </w:rPr>
      </w:pPr>
      <w:r w:rsidRPr="00D03C38">
        <w:rPr>
          <w:rFonts w:eastAsia="Times New Roman"/>
          <w:sz w:val="24"/>
          <w:szCs w:val="24"/>
          <w:u w:val="single"/>
        </w:rPr>
        <w:t>General Requirements</w:t>
      </w:r>
      <w:r w:rsidRPr="00D03C38">
        <w:rPr>
          <w:rFonts w:eastAsia="Times New Roman"/>
          <w:sz w:val="24"/>
          <w:szCs w:val="24"/>
        </w:rPr>
        <w:t>.</w:t>
      </w:r>
    </w:p>
    <w:p w14:paraId="281A61C9" w14:textId="77777777" w:rsidR="004647B9" w:rsidRPr="00D03C38" w:rsidRDefault="00E2436F" w:rsidP="00BF1F8F">
      <w:pPr>
        <w:numPr>
          <w:ilvl w:val="1"/>
          <w:numId w:val="638"/>
        </w:numPr>
        <w:tabs>
          <w:tab w:val="left" w:pos="2000"/>
        </w:tabs>
        <w:ind w:left="1540" w:hanging="5"/>
        <w:jc w:val="both"/>
        <w:rPr>
          <w:rFonts w:eastAsia="Times New Roman"/>
          <w:sz w:val="24"/>
          <w:szCs w:val="24"/>
        </w:rPr>
      </w:pPr>
      <w:r w:rsidRPr="00D03C38">
        <w:rPr>
          <w:rFonts w:eastAsia="Times New Roman"/>
          <w:sz w:val="24"/>
          <w:szCs w:val="24"/>
        </w:rPr>
        <w:t>310 CMR 22.20D establishes requirements for filtration and disinfection that are in addition to criteria established under 310 CMR 22.20A. The requirements of 310 CMR 22.20D apply to all public water supplies serving at least 10,000 people, beginning January 1, 2002 unless otherwise specified. 310 CMR 22.20D establishes or extends treatment technique requirements in lieu of maximum contaminant levels for the following contaminants:</w:t>
      </w:r>
    </w:p>
    <w:p w14:paraId="281A61CB" w14:textId="77777777" w:rsidR="004647B9" w:rsidRPr="00D03C38" w:rsidRDefault="00E2436F" w:rsidP="00BF1F8F">
      <w:pPr>
        <w:numPr>
          <w:ilvl w:val="2"/>
          <w:numId w:val="638"/>
        </w:numPr>
        <w:tabs>
          <w:tab w:val="left" w:pos="2260"/>
        </w:tabs>
        <w:ind w:left="2260" w:hanging="365"/>
        <w:rPr>
          <w:rFonts w:eastAsia="Times New Roman"/>
          <w:sz w:val="24"/>
          <w:szCs w:val="24"/>
        </w:rPr>
      </w:pPr>
      <w:r w:rsidRPr="00D03C38">
        <w:rPr>
          <w:rFonts w:eastAsia="Times New Roman"/>
          <w:i/>
          <w:iCs/>
          <w:sz w:val="24"/>
          <w:szCs w:val="24"/>
        </w:rPr>
        <w:t>Giardia lamblia</w:t>
      </w:r>
      <w:r w:rsidRPr="00D03C38">
        <w:rPr>
          <w:rFonts w:eastAsia="Times New Roman"/>
          <w:sz w:val="24"/>
          <w:szCs w:val="24"/>
        </w:rPr>
        <w:t>;</w:t>
      </w:r>
    </w:p>
    <w:p w14:paraId="281A61CD" w14:textId="77777777" w:rsidR="004647B9" w:rsidRPr="00D03C38" w:rsidRDefault="00E2436F" w:rsidP="00BF1F8F">
      <w:pPr>
        <w:numPr>
          <w:ilvl w:val="2"/>
          <w:numId w:val="638"/>
        </w:numPr>
        <w:tabs>
          <w:tab w:val="left" w:pos="2260"/>
        </w:tabs>
        <w:ind w:left="2260" w:hanging="365"/>
        <w:rPr>
          <w:rFonts w:eastAsia="Times New Roman"/>
          <w:sz w:val="24"/>
          <w:szCs w:val="24"/>
        </w:rPr>
      </w:pPr>
      <w:r w:rsidRPr="00D03C38">
        <w:rPr>
          <w:rFonts w:eastAsia="Times New Roman"/>
          <w:sz w:val="24"/>
          <w:szCs w:val="24"/>
        </w:rPr>
        <w:t>Viruses;</w:t>
      </w:r>
    </w:p>
    <w:p w14:paraId="281A61CF" w14:textId="77777777" w:rsidR="004647B9" w:rsidRPr="00D03C38" w:rsidRDefault="00E2436F" w:rsidP="00BF1F8F">
      <w:pPr>
        <w:numPr>
          <w:ilvl w:val="2"/>
          <w:numId w:val="638"/>
        </w:numPr>
        <w:tabs>
          <w:tab w:val="left" w:pos="2260"/>
        </w:tabs>
        <w:ind w:left="2260" w:hanging="365"/>
        <w:rPr>
          <w:rFonts w:eastAsia="Times New Roman"/>
          <w:sz w:val="24"/>
          <w:szCs w:val="24"/>
        </w:rPr>
      </w:pPr>
      <w:r w:rsidRPr="00D03C38">
        <w:rPr>
          <w:rFonts w:eastAsia="Times New Roman"/>
          <w:sz w:val="24"/>
          <w:szCs w:val="24"/>
        </w:rPr>
        <w:t>Heterotrophic plate count bacteria;</w:t>
      </w:r>
    </w:p>
    <w:p w14:paraId="281A61D1" w14:textId="77777777" w:rsidR="004647B9" w:rsidRPr="00D03C38" w:rsidRDefault="00E2436F" w:rsidP="00BF1F8F">
      <w:pPr>
        <w:numPr>
          <w:ilvl w:val="2"/>
          <w:numId w:val="638"/>
        </w:numPr>
        <w:tabs>
          <w:tab w:val="left" w:pos="2260"/>
        </w:tabs>
        <w:ind w:left="2260" w:hanging="365"/>
        <w:rPr>
          <w:rFonts w:eastAsia="Times New Roman"/>
          <w:sz w:val="24"/>
          <w:szCs w:val="24"/>
        </w:rPr>
      </w:pPr>
      <w:r w:rsidRPr="00D03C38">
        <w:rPr>
          <w:rFonts w:eastAsia="Times New Roman"/>
          <w:i/>
          <w:iCs/>
          <w:sz w:val="24"/>
          <w:szCs w:val="24"/>
        </w:rPr>
        <w:t>Legionella;</w:t>
      </w:r>
    </w:p>
    <w:p w14:paraId="281A61D3" w14:textId="77777777" w:rsidR="004647B9" w:rsidRPr="00D03C38" w:rsidRDefault="00E2436F" w:rsidP="00BF1F8F">
      <w:pPr>
        <w:numPr>
          <w:ilvl w:val="2"/>
          <w:numId w:val="638"/>
        </w:numPr>
        <w:tabs>
          <w:tab w:val="left" w:pos="2260"/>
        </w:tabs>
        <w:ind w:left="2260" w:hanging="365"/>
        <w:rPr>
          <w:rFonts w:eastAsia="Times New Roman"/>
          <w:sz w:val="24"/>
          <w:szCs w:val="24"/>
        </w:rPr>
      </w:pPr>
      <w:r w:rsidRPr="00D03C38">
        <w:rPr>
          <w:rFonts w:eastAsia="Times New Roman"/>
          <w:i/>
          <w:iCs/>
          <w:sz w:val="24"/>
          <w:szCs w:val="24"/>
        </w:rPr>
        <w:t>Cryptosporidium</w:t>
      </w:r>
      <w:r w:rsidRPr="00D03C38">
        <w:rPr>
          <w:rFonts w:eastAsia="Times New Roman"/>
          <w:sz w:val="24"/>
          <w:szCs w:val="24"/>
        </w:rPr>
        <w:t>; and</w:t>
      </w:r>
    </w:p>
    <w:p w14:paraId="281A61D5" w14:textId="77777777" w:rsidR="004647B9" w:rsidRPr="00D03C38" w:rsidRDefault="00E2436F" w:rsidP="00BF1F8F">
      <w:pPr>
        <w:numPr>
          <w:ilvl w:val="2"/>
          <w:numId w:val="638"/>
        </w:numPr>
        <w:tabs>
          <w:tab w:val="left" w:pos="2260"/>
        </w:tabs>
        <w:ind w:left="2260" w:hanging="365"/>
        <w:rPr>
          <w:rFonts w:eastAsia="Times New Roman"/>
          <w:sz w:val="24"/>
          <w:szCs w:val="24"/>
        </w:rPr>
      </w:pPr>
      <w:r w:rsidRPr="00D03C38">
        <w:rPr>
          <w:rFonts w:eastAsia="Times New Roman"/>
          <w:sz w:val="24"/>
          <w:szCs w:val="24"/>
        </w:rPr>
        <w:t>Turbidity.</w:t>
      </w:r>
    </w:p>
    <w:p w14:paraId="281A61D7" w14:textId="77777777" w:rsidR="004647B9" w:rsidRPr="00D03C38" w:rsidRDefault="00E2436F" w:rsidP="00BF1F8F">
      <w:pPr>
        <w:numPr>
          <w:ilvl w:val="1"/>
          <w:numId w:val="638"/>
        </w:numPr>
        <w:tabs>
          <w:tab w:val="left" w:pos="2000"/>
        </w:tabs>
        <w:ind w:left="1540" w:hanging="5"/>
        <w:jc w:val="both"/>
        <w:rPr>
          <w:rFonts w:eastAsia="Times New Roman"/>
          <w:sz w:val="24"/>
          <w:szCs w:val="24"/>
        </w:rPr>
      </w:pPr>
      <w:r w:rsidRPr="00D03C38">
        <w:rPr>
          <w:rFonts w:eastAsia="Times New Roman"/>
          <w:sz w:val="24"/>
          <w:szCs w:val="24"/>
        </w:rPr>
        <w:t>Each supplier of water serving at least 10,000 people using a surface water source, or ground water source under the direct influence of surface water shall provide treatment of its source water that complies with the treatment technique requirements set forth in 310 CMR 22.20D in addition to the requirements identified in 310 CMR 22.20A. The treatment technique requirements set out in 310 CMR 22.20D consist of installing and properly operating water treatment processes which reliably achieve:</w:t>
      </w:r>
    </w:p>
    <w:p w14:paraId="281A61D9" w14:textId="77777777" w:rsidR="004647B9" w:rsidRPr="00D03C38" w:rsidRDefault="00E2436F" w:rsidP="00BF1F8F">
      <w:pPr>
        <w:numPr>
          <w:ilvl w:val="2"/>
          <w:numId w:val="638"/>
        </w:numPr>
        <w:tabs>
          <w:tab w:val="left" w:pos="2214"/>
        </w:tabs>
        <w:ind w:left="1900" w:hanging="5"/>
        <w:jc w:val="both"/>
        <w:rPr>
          <w:rFonts w:eastAsia="Times New Roman"/>
          <w:sz w:val="24"/>
          <w:szCs w:val="24"/>
        </w:rPr>
      </w:pPr>
      <w:r w:rsidRPr="00D03C38">
        <w:rPr>
          <w:rFonts w:eastAsia="Times New Roman"/>
          <w:sz w:val="24"/>
          <w:szCs w:val="24"/>
        </w:rPr>
        <w:t xml:space="preserve">At least 99% (2-log) removal of </w:t>
      </w:r>
      <w:r w:rsidRPr="00D03C38">
        <w:rPr>
          <w:rFonts w:eastAsia="Times New Roman"/>
          <w:i/>
          <w:iCs/>
          <w:sz w:val="24"/>
          <w:szCs w:val="24"/>
        </w:rPr>
        <w:t>Cryptosporidium</w:t>
      </w:r>
      <w:r w:rsidRPr="00D03C38">
        <w:rPr>
          <w:rFonts w:eastAsia="Times New Roman"/>
          <w:sz w:val="24"/>
          <w:szCs w:val="24"/>
        </w:rPr>
        <w:t xml:space="preserve"> between a point where water is not subject to recontamination by surface water runoff and a point downstream before</w:t>
      </w:r>
      <w:r>
        <w:rPr>
          <w:rFonts w:eastAsia="Times New Roman"/>
          <w:sz w:val="24"/>
          <w:szCs w:val="24"/>
        </w:rPr>
        <w:t xml:space="preserve"> or at the first customer for filtered systems, or </w:t>
      </w:r>
      <w:r>
        <w:rPr>
          <w:rFonts w:eastAsia="Times New Roman"/>
          <w:i/>
          <w:iCs/>
          <w:sz w:val="24"/>
          <w:szCs w:val="24"/>
        </w:rPr>
        <w:t>Cryptosporidium</w:t>
      </w:r>
      <w:r>
        <w:rPr>
          <w:rFonts w:eastAsia="Times New Roman"/>
          <w:sz w:val="24"/>
          <w:szCs w:val="24"/>
        </w:rPr>
        <w:t xml:space="preserve"> control under the </w:t>
      </w:r>
      <w:r w:rsidRPr="00D03C38">
        <w:rPr>
          <w:rFonts w:eastAsia="Times New Roman"/>
          <w:sz w:val="24"/>
          <w:szCs w:val="24"/>
        </w:rPr>
        <w:t>watershed control plan for unfiltered systems.</w:t>
      </w:r>
    </w:p>
    <w:p w14:paraId="281A61DD" w14:textId="453D9287" w:rsidR="004647B9" w:rsidRPr="00D03C38" w:rsidRDefault="00E2436F" w:rsidP="00BF1F8F">
      <w:pPr>
        <w:numPr>
          <w:ilvl w:val="2"/>
          <w:numId w:val="638"/>
        </w:numPr>
        <w:tabs>
          <w:tab w:val="left" w:pos="2430"/>
        </w:tabs>
        <w:ind w:left="1890" w:firstLine="5"/>
        <w:rPr>
          <w:rFonts w:eastAsia="Times New Roman"/>
          <w:sz w:val="24"/>
          <w:szCs w:val="24"/>
        </w:rPr>
      </w:pPr>
      <w:r w:rsidRPr="00D03C38">
        <w:rPr>
          <w:rFonts w:eastAsia="Times New Roman"/>
          <w:sz w:val="24"/>
          <w:szCs w:val="24"/>
        </w:rPr>
        <w:t>Compliance with the profiling and benchmark requirements under the provisions of</w:t>
      </w:r>
      <w:r w:rsidR="00BB6B89" w:rsidRPr="00D03C38">
        <w:rPr>
          <w:rFonts w:eastAsia="Times New Roman"/>
          <w:sz w:val="24"/>
          <w:szCs w:val="24"/>
        </w:rPr>
        <w:t xml:space="preserve"> 310 </w:t>
      </w:r>
      <w:r w:rsidRPr="00D03C38">
        <w:rPr>
          <w:rFonts w:eastAsia="Times New Roman"/>
          <w:sz w:val="24"/>
          <w:szCs w:val="24"/>
        </w:rPr>
        <w:t>CMR 22.20D(3).</w:t>
      </w:r>
    </w:p>
    <w:p w14:paraId="281A61DF" w14:textId="77777777" w:rsidR="004647B9" w:rsidRPr="00D03C38" w:rsidRDefault="00E2436F" w:rsidP="00BF1F8F">
      <w:pPr>
        <w:numPr>
          <w:ilvl w:val="1"/>
          <w:numId w:val="639"/>
        </w:numPr>
        <w:tabs>
          <w:tab w:val="left" w:pos="1948"/>
        </w:tabs>
        <w:ind w:left="1540" w:hanging="5"/>
        <w:rPr>
          <w:rFonts w:eastAsia="Times New Roman"/>
          <w:sz w:val="24"/>
          <w:szCs w:val="24"/>
        </w:rPr>
      </w:pPr>
      <w:r w:rsidRPr="00D03C38">
        <w:rPr>
          <w:rFonts w:eastAsia="Times New Roman"/>
          <w:sz w:val="24"/>
          <w:szCs w:val="24"/>
        </w:rPr>
        <w:t>A public water system subject to the requirements of 310 CMR 22.20D is deemed to be in compliance with the requirements of 310 CMR 22.20D(1)(a) and (b) if:</w:t>
      </w:r>
    </w:p>
    <w:p w14:paraId="281A61E1" w14:textId="77777777" w:rsidR="004647B9" w:rsidRPr="00D03C38" w:rsidRDefault="00E2436F" w:rsidP="00BF1F8F">
      <w:pPr>
        <w:numPr>
          <w:ilvl w:val="2"/>
          <w:numId w:val="639"/>
        </w:numPr>
        <w:tabs>
          <w:tab w:val="left" w:pos="2397"/>
        </w:tabs>
        <w:ind w:left="1900" w:hanging="5"/>
        <w:jc w:val="both"/>
        <w:rPr>
          <w:rFonts w:eastAsia="Times New Roman"/>
          <w:sz w:val="24"/>
          <w:szCs w:val="24"/>
        </w:rPr>
      </w:pPr>
      <w:r w:rsidRPr="00D03C38">
        <w:rPr>
          <w:rFonts w:eastAsia="Times New Roman"/>
          <w:sz w:val="24"/>
          <w:szCs w:val="24"/>
        </w:rPr>
        <w:t>It meets the requirements for avoiding filtration in 310 CMR 22.20A(2) and 22.20D(2) and the disinfection requirements in 310 CMR 22.20A(3) and 22.20D(3); or,</w:t>
      </w:r>
    </w:p>
    <w:p w14:paraId="281A61E2" w14:textId="77777777" w:rsidR="004647B9" w:rsidRPr="00D03C38" w:rsidRDefault="00E2436F" w:rsidP="00BF1F8F">
      <w:pPr>
        <w:numPr>
          <w:ilvl w:val="2"/>
          <w:numId w:val="639"/>
        </w:numPr>
        <w:tabs>
          <w:tab w:val="left" w:pos="2339"/>
        </w:tabs>
        <w:ind w:left="1900" w:hanging="5"/>
        <w:rPr>
          <w:rFonts w:eastAsia="Times New Roman"/>
          <w:sz w:val="24"/>
          <w:szCs w:val="24"/>
        </w:rPr>
      </w:pPr>
      <w:r w:rsidRPr="00D03C38">
        <w:rPr>
          <w:rFonts w:eastAsia="Times New Roman"/>
          <w:sz w:val="24"/>
          <w:szCs w:val="24"/>
        </w:rPr>
        <w:t>It meets the applicable filtration requirements in either 310 CMR 22.20A(4) or 22.20D(4) and the disinfection requirements in 310 CMR 22.20A(3) and 22.20D(3).</w:t>
      </w:r>
    </w:p>
    <w:p w14:paraId="281A61E4" w14:textId="77777777" w:rsidR="004647B9" w:rsidRPr="00D03C38" w:rsidRDefault="00E2436F" w:rsidP="00BF1F8F">
      <w:pPr>
        <w:numPr>
          <w:ilvl w:val="1"/>
          <w:numId w:val="639"/>
        </w:numPr>
        <w:tabs>
          <w:tab w:val="left" w:pos="2063"/>
        </w:tabs>
        <w:ind w:left="1540" w:hanging="5"/>
        <w:rPr>
          <w:rFonts w:eastAsia="Times New Roman"/>
          <w:sz w:val="24"/>
          <w:szCs w:val="24"/>
        </w:rPr>
      </w:pPr>
      <w:r w:rsidRPr="00D03C38">
        <w:rPr>
          <w:rFonts w:eastAsia="Times New Roman"/>
          <w:sz w:val="24"/>
          <w:szCs w:val="24"/>
        </w:rPr>
        <w:t>A supplier of water is not permitted to construct uncovered finished water storage facilities.</w:t>
      </w:r>
    </w:p>
    <w:p w14:paraId="281A61E6" w14:textId="77777777" w:rsidR="004647B9" w:rsidRPr="00D03C38" w:rsidRDefault="00E2436F" w:rsidP="00BF1F8F">
      <w:pPr>
        <w:numPr>
          <w:ilvl w:val="1"/>
          <w:numId w:val="639"/>
        </w:numPr>
        <w:tabs>
          <w:tab w:val="left" w:pos="1991"/>
        </w:tabs>
        <w:ind w:left="1540" w:hanging="5"/>
        <w:jc w:val="both"/>
        <w:rPr>
          <w:rFonts w:eastAsia="Times New Roman"/>
          <w:sz w:val="24"/>
          <w:szCs w:val="24"/>
        </w:rPr>
      </w:pPr>
      <w:r w:rsidRPr="00D03C38">
        <w:rPr>
          <w:rFonts w:eastAsia="Times New Roman"/>
          <w:sz w:val="24"/>
          <w:szCs w:val="24"/>
        </w:rPr>
        <w:t>A supplier of water that uses a surface water source or ground water source under the direct influence of surface water that did not conduct disinfection profiling under 310 CMR 22.20D(3)(b) because they served fewer than 10,000 persons when such monitoring was required, but serve more than 10,000 persons prior to January 14, 2005 must comply with 310 CMR 22.20D(1), (2) and (4) through (6). These systems must also consult with the Department to establish a disinfection benchmark. A supplier of water that decides to make a significant change to its disinfection practice, as described in 310 CMR 22.20D(3)(c)1.a. through e. must consult with the Department prior to making such change.</w:t>
      </w:r>
    </w:p>
    <w:p w14:paraId="281A61E7" w14:textId="77777777" w:rsidR="004647B9" w:rsidRPr="00D03C38" w:rsidRDefault="004647B9" w:rsidP="00BF1F8F">
      <w:pPr>
        <w:rPr>
          <w:rFonts w:eastAsia="Times New Roman"/>
          <w:sz w:val="24"/>
          <w:szCs w:val="24"/>
        </w:rPr>
      </w:pPr>
    </w:p>
    <w:p w14:paraId="281A61E8" w14:textId="77777777" w:rsidR="004647B9" w:rsidRPr="00D03C38" w:rsidRDefault="00E2436F" w:rsidP="00BF1F8F">
      <w:pPr>
        <w:numPr>
          <w:ilvl w:val="0"/>
          <w:numId w:val="640"/>
        </w:numPr>
        <w:tabs>
          <w:tab w:val="left" w:pos="1697"/>
        </w:tabs>
        <w:ind w:left="1180"/>
        <w:jc w:val="both"/>
        <w:rPr>
          <w:rFonts w:eastAsia="Times New Roman"/>
          <w:sz w:val="24"/>
          <w:szCs w:val="24"/>
        </w:rPr>
      </w:pPr>
      <w:r w:rsidRPr="00D03C38">
        <w:rPr>
          <w:rFonts w:eastAsia="Times New Roman"/>
          <w:sz w:val="24"/>
          <w:szCs w:val="24"/>
          <w:u w:val="single"/>
        </w:rPr>
        <w:t>Criteria for Avoiding Filtration</w:t>
      </w:r>
      <w:r w:rsidRPr="00D03C38">
        <w:rPr>
          <w:rFonts w:eastAsia="Times New Roman"/>
          <w:sz w:val="24"/>
          <w:szCs w:val="24"/>
        </w:rPr>
        <w:t>. 310 CMR 22.20D(2) establishes criteria for avoiding filtration for a supplier of water that uses a surface water source or a ground water source under the influence of surface water to serve a population of at least 10,000 people in addition to the requirements of 310 CMR 22.20A(2). Each supplier of water shall meet all of the following conditions:</w:t>
      </w:r>
    </w:p>
    <w:p w14:paraId="281A61EA" w14:textId="77777777" w:rsidR="004647B9" w:rsidRPr="00D03C38" w:rsidRDefault="00E2436F" w:rsidP="00BF1F8F">
      <w:pPr>
        <w:numPr>
          <w:ilvl w:val="1"/>
          <w:numId w:val="640"/>
        </w:numPr>
        <w:tabs>
          <w:tab w:val="left" w:pos="2188"/>
        </w:tabs>
        <w:ind w:left="1540" w:hanging="5"/>
        <w:jc w:val="both"/>
        <w:rPr>
          <w:rFonts w:eastAsia="Times New Roman"/>
          <w:sz w:val="24"/>
          <w:szCs w:val="24"/>
        </w:rPr>
      </w:pPr>
      <w:r w:rsidRPr="00D03C38">
        <w:rPr>
          <w:rFonts w:eastAsia="Times New Roman"/>
          <w:sz w:val="24"/>
          <w:szCs w:val="24"/>
          <w:u w:val="single"/>
        </w:rPr>
        <w:t>Site-specific Conditions</w:t>
      </w:r>
      <w:r w:rsidRPr="00D03C38">
        <w:rPr>
          <w:rFonts w:eastAsia="Times New Roman"/>
          <w:sz w:val="24"/>
          <w:szCs w:val="24"/>
        </w:rPr>
        <w:t xml:space="preserve">. In addition to site-specific conditions in 310 CMR 22.20A(2)(b), a supplier of water shall maintain the watershed control program under 310 CMR 22.20A(2)(b)5. to minimize the potential for contamination by </w:t>
      </w:r>
      <w:r w:rsidRPr="00D03C38">
        <w:rPr>
          <w:rFonts w:eastAsia="Times New Roman"/>
          <w:i/>
          <w:iCs/>
          <w:sz w:val="24"/>
          <w:szCs w:val="24"/>
        </w:rPr>
        <w:t>Cryptosporidium</w:t>
      </w:r>
      <w:r w:rsidRPr="00D03C38">
        <w:rPr>
          <w:rFonts w:eastAsia="Times New Roman"/>
          <w:sz w:val="24"/>
          <w:szCs w:val="24"/>
        </w:rPr>
        <w:t xml:space="preserve"> </w:t>
      </w:r>
      <w:r w:rsidRPr="00D03C38">
        <w:rPr>
          <w:rFonts w:eastAsia="Times New Roman"/>
          <w:i/>
          <w:iCs/>
          <w:sz w:val="24"/>
          <w:szCs w:val="24"/>
        </w:rPr>
        <w:t xml:space="preserve">oocysts </w:t>
      </w:r>
      <w:r w:rsidRPr="00D03C38">
        <w:rPr>
          <w:rFonts w:eastAsia="Times New Roman"/>
          <w:sz w:val="24"/>
          <w:szCs w:val="24"/>
        </w:rPr>
        <w:t>in the source water. The watershed control program shall, for</w:t>
      </w:r>
      <w:r w:rsidRPr="00D03C38">
        <w:rPr>
          <w:rFonts w:eastAsia="Times New Roman"/>
          <w:i/>
          <w:iCs/>
          <w:sz w:val="24"/>
          <w:szCs w:val="24"/>
        </w:rPr>
        <w:t xml:space="preserve"> Cryptosporidium</w:t>
      </w:r>
      <w:r w:rsidRPr="00D03C38">
        <w:rPr>
          <w:rFonts w:eastAsia="Times New Roman"/>
          <w:sz w:val="24"/>
          <w:szCs w:val="24"/>
        </w:rPr>
        <w:t>:</w:t>
      </w:r>
    </w:p>
    <w:p w14:paraId="281A61EB" w14:textId="77777777" w:rsidR="004647B9" w:rsidRDefault="004647B9" w:rsidP="00BF1F8F">
      <w:pPr>
        <w:sectPr w:rsidR="004647B9" w:rsidSect="00EF630C">
          <w:pgSz w:w="12240" w:h="20180"/>
          <w:pgMar w:top="708" w:right="1440" w:bottom="841" w:left="620" w:header="0" w:footer="0" w:gutter="0"/>
          <w:cols w:space="720"/>
        </w:sectPr>
      </w:pPr>
    </w:p>
    <w:p w14:paraId="281A61EC" w14:textId="77777777" w:rsidR="004647B9" w:rsidRDefault="00E2436F">
      <w:pPr>
        <w:tabs>
          <w:tab w:val="left" w:pos="160"/>
        </w:tabs>
        <w:ind w:right="20"/>
        <w:jc w:val="center"/>
        <w:rPr>
          <w:sz w:val="20"/>
          <w:szCs w:val="20"/>
        </w:rPr>
      </w:pPr>
      <w:bookmarkStart w:id="274" w:name="page278"/>
      <w:bookmarkEnd w:id="27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1ED" w14:textId="77777777" w:rsidR="004647B9" w:rsidRPr="00BF1F8F" w:rsidRDefault="004647B9" w:rsidP="00BF1F8F">
      <w:pPr>
        <w:rPr>
          <w:sz w:val="20"/>
          <w:szCs w:val="20"/>
        </w:rPr>
      </w:pPr>
    </w:p>
    <w:p w14:paraId="281A61EE" w14:textId="77777777" w:rsidR="004647B9" w:rsidRPr="00BF1F8F" w:rsidRDefault="004647B9" w:rsidP="00BF1F8F">
      <w:pPr>
        <w:rPr>
          <w:sz w:val="20"/>
          <w:szCs w:val="20"/>
        </w:rPr>
      </w:pPr>
    </w:p>
    <w:p w14:paraId="281A61EF" w14:textId="77777777" w:rsidR="004647B9" w:rsidRPr="00D03C38" w:rsidRDefault="00E2436F" w:rsidP="00BF1F8F">
      <w:pPr>
        <w:tabs>
          <w:tab w:val="left" w:pos="940"/>
        </w:tabs>
        <w:rPr>
          <w:sz w:val="24"/>
          <w:szCs w:val="24"/>
        </w:rPr>
      </w:pPr>
      <w:r w:rsidRPr="00D03C38">
        <w:rPr>
          <w:rFonts w:eastAsia="Times New Roman"/>
          <w:sz w:val="24"/>
          <w:szCs w:val="24"/>
        </w:rPr>
        <w:t>22.20D:</w:t>
      </w:r>
      <w:r w:rsidRPr="00D03C38">
        <w:rPr>
          <w:rFonts w:eastAsia="Times New Roman"/>
          <w:sz w:val="24"/>
          <w:szCs w:val="24"/>
        </w:rPr>
        <w:tab/>
        <w:t>continued</w:t>
      </w:r>
    </w:p>
    <w:p w14:paraId="281A61F0" w14:textId="77777777" w:rsidR="004647B9" w:rsidRPr="00BF1F8F" w:rsidRDefault="004647B9" w:rsidP="00BF1F8F">
      <w:pPr>
        <w:rPr>
          <w:sz w:val="20"/>
          <w:szCs w:val="20"/>
        </w:rPr>
      </w:pPr>
    </w:p>
    <w:p w14:paraId="281A61F1" w14:textId="77777777" w:rsidR="004647B9" w:rsidRPr="00D03C38" w:rsidRDefault="00E2436F" w:rsidP="00BF1F8F">
      <w:pPr>
        <w:numPr>
          <w:ilvl w:val="1"/>
          <w:numId w:val="641"/>
        </w:numPr>
        <w:tabs>
          <w:tab w:val="left" w:pos="2217"/>
        </w:tabs>
        <w:ind w:left="1900" w:hanging="5"/>
        <w:rPr>
          <w:rFonts w:eastAsia="Times New Roman"/>
          <w:sz w:val="24"/>
          <w:szCs w:val="24"/>
        </w:rPr>
      </w:pPr>
      <w:r w:rsidRPr="00D03C38">
        <w:rPr>
          <w:rFonts w:eastAsia="Times New Roman"/>
          <w:sz w:val="24"/>
          <w:szCs w:val="24"/>
        </w:rPr>
        <w:t>Identify watershed characteristics and activities which may have an adverse effect on source water quality; and,</w:t>
      </w:r>
    </w:p>
    <w:p w14:paraId="281A61F3" w14:textId="77777777" w:rsidR="004647B9" w:rsidRPr="00D03C38" w:rsidRDefault="00E2436F" w:rsidP="00BF1F8F">
      <w:pPr>
        <w:numPr>
          <w:ilvl w:val="1"/>
          <w:numId w:val="641"/>
        </w:numPr>
        <w:tabs>
          <w:tab w:val="left" w:pos="2231"/>
        </w:tabs>
        <w:ind w:left="1900" w:hanging="5"/>
        <w:rPr>
          <w:rFonts w:eastAsia="Times New Roman"/>
          <w:sz w:val="24"/>
          <w:szCs w:val="24"/>
        </w:rPr>
      </w:pPr>
      <w:r w:rsidRPr="00D03C38">
        <w:rPr>
          <w:rFonts w:eastAsia="Times New Roman"/>
          <w:sz w:val="24"/>
          <w:szCs w:val="24"/>
        </w:rPr>
        <w:t>Monitor the occurrence of activities that may have an adverse effect on source water quality.</w:t>
      </w:r>
    </w:p>
    <w:p w14:paraId="281A61F5" w14:textId="7573C8F4" w:rsidR="004647B9" w:rsidRPr="00D03C38" w:rsidRDefault="00E2436F" w:rsidP="00BF1F8F">
      <w:pPr>
        <w:numPr>
          <w:ilvl w:val="0"/>
          <w:numId w:val="642"/>
        </w:numPr>
        <w:tabs>
          <w:tab w:val="left" w:pos="2258"/>
        </w:tabs>
        <w:ind w:left="1540" w:hanging="5"/>
        <w:jc w:val="both"/>
        <w:rPr>
          <w:rFonts w:eastAsia="Times New Roman"/>
          <w:sz w:val="24"/>
          <w:szCs w:val="24"/>
        </w:rPr>
      </w:pPr>
      <w:r w:rsidRPr="00D03C38">
        <w:rPr>
          <w:rFonts w:eastAsia="Times New Roman"/>
          <w:sz w:val="24"/>
          <w:szCs w:val="24"/>
        </w:rPr>
        <w:t>During the onsite inspection conducted under the provisions of 310 CMR 22.20A(2)(b)(3), the Department will determine whether the watershed control program established under 310 CMR 22.20A(2)(b)5. is adequate to limit potential contamination by</w:t>
      </w:r>
      <w:r w:rsidR="00BF1F8F">
        <w:rPr>
          <w:rFonts w:eastAsia="Times New Roman"/>
          <w:sz w:val="24"/>
          <w:szCs w:val="24"/>
        </w:rPr>
        <w:t xml:space="preserve"> </w:t>
      </w:r>
      <w:r w:rsidR="00BF1F8F" w:rsidRPr="00D03C38">
        <w:rPr>
          <w:rFonts w:eastAsia="Times New Roman"/>
          <w:i/>
          <w:iCs/>
          <w:sz w:val="24"/>
          <w:szCs w:val="24"/>
        </w:rPr>
        <w:t>Cryptosporidium oocysts</w:t>
      </w:r>
      <w:r w:rsidR="00BF1F8F" w:rsidRPr="00D03C38">
        <w:rPr>
          <w:rFonts w:eastAsia="Times New Roman"/>
          <w:sz w:val="24"/>
          <w:szCs w:val="24"/>
        </w:rPr>
        <w:t>.</w:t>
      </w:r>
    </w:p>
    <w:p w14:paraId="281A61F7" w14:textId="77777777" w:rsidR="004647B9" w:rsidRPr="00D03C38" w:rsidRDefault="004647B9" w:rsidP="00BF1F8F">
      <w:pPr>
        <w:rPr>
          <w:sz w:val="24"/>
          <w:szCs w:val="24"/>
        </w:rPr>
      </w:pPr>
    </w:p>
    <w:p w14:paraId="281A61F8" w14:textId="77777777" w:rsidR="004647B9" w:rsidRPr="00D03C38" w:rsidRDefault="00E2436F" w:rsidP="00BF1F8F">
      <w:pPr>
        <w:numPr>
          <w:ilvl w:val="0"/>
          <w:numId w:val="643"/>
        </w:numPr>
        <w:tabs>
          <w:tab w:val="left" w:pos="1589"/>
        </w:tabs>
        <w:ind w:left="1180"/>
        <w:jc w:val="both"/>
        <w:rPr>
          <w:rFonts w:eastAsia="Times New Roman"/>
          <w:sz w:val="24"/>
          <w:szCs w:val="24"/>
        </w:rPr>
      </w:pPr>
      <w:r w:rsidRPr="00D03C38">
        <w:rPr>
          <w:rFonts w:eastAsia="Times New Roman"/>
          <w:sz w:val="24"/>
          <w:szCs w:val="24"/>
          <w:u w:val="single"/>
        </w:rPr>
        <w:t>Disinfection Profiling and Benchmarking</w:t>
      </w:r>
      <w:r w:rsidRPr="00D03C38">
        <w:rPr>
          <w:rFonts w:eastAsia="Times New Roman"/>
          <w:sz w:val="24"/>
          <w:szCs w:val="24"/>
        </w:rPr>
        <w:t>. 310 CMR 22.20D(3) establishes criteria that the Department will use to determine public water systems that are required to profile. A supplier of water subject to the requirements of 310 CMR 22.20D(3) had to determine its TTHM annual average using the procedure in 310 CMR 22.20D(3)(a) and its HAA5 annual average using the procedure of 310 CMR 22.20D(3)(b). The annual average is the arithmetic average of the quarterly averages of four consecutive quarters of monitoring.</w:t>
      </w:r>
    </w:p>
    <w:p w14:paraId="281A61FA" w14:textId="77777777" w:rsidR="004647B9" w:rsidRPr="00D03C38" w:rsidRDefault="00E2436F" w:rsidP="00BF1F8F">
      <w:pPr>
        <w:numPr>
          <w:ilvl w:val="1"/>
          <w:numId w:val="643"/>
        </w:numPr>
        <w:tabs>
          <w:tab w:val="left" w:pos="1980"/>
        </w:tabs>
        <w:ind w:left="1980" w:hanging="445"/>
        <w:rPr>
          <w:rFonts w:eastAsia="Times New Roman"/>
          <w:sz w:val="24"/>
          <w:szCs w:val="24"/>
        </w:rPr>
      </w:pPr>
      <w:r w:rsidRPr="00D03C38">
        <w:rPr>
          <w:rFonts w:eastAsia="Times New Roman"/>
          <w:sz w:val="24"/>
          <w:szCs w:val="24"/>
          <w:u w:val="single"/>
        </w:rPr>
        <w:t>Determination of Systems Required to Profile</w:t>
      </w:r>
      <w:r w:rsidRPr="00D03C38">
        <w:rPr>
          <w:rFonts w:eastAsia="Times New Roman"/>
          <w:sz w:val="24"/>
          <w:szCs w:val="24"/>
        </w:rPr>
        <w:t>.</w:t>
      </w:r>
    </w:p>
    <w:p w14:paraId="281A61FC" w14:textId="77777777" w:rsidR="004647B9" w:rsidRPr="00D03C38" w:rsidRDefault="00E2436F" w:rsidP="00BF1F8F">
      <w:pPr>
        <w:numPr>
          <w:ilvl w:val="2"/>
          <w:numId w:val="643"/>
        </w:numPr>
        <w:tabs>
          <w:tab w:val="left" w:pos="2229"/>
        </w:tabs>
        <w:ind w:left="1900" w:hanging="5"/>
        <w:rPr>
          <w:rFonts w:eastAsia="Times New Roman"/>
          <w:sz w:val="24"/>
          <w:szCs w:val="24"/>
        </w:rPr>
      </w:pPr>
      <w:r w:rsidRPr="00D03C38">
        <w:rPr>
          <w:rFonts w:eastAsia="Times New Roman"/>
          <w:sz w:val="24"/>
          <w:szCs w:val="24"/>
        </w:rPr>
        <w:t>The TTHM annual average is the annual average determined during the same period as was used for the HAA5 annual average:</w:t>
      </w:r>
    </w:p>
    <w:p w14:paraId="281A61FE" w14:textId="77777777" w:rsidR="004647B9" w:rsidRPr="00D03C38" w:rsidRDefault="00E2436F" w:rsidP="00BF1F8F">
      <w:pPr>
        <w:numPr>
          <w:ilvl w:val="3"/>
          <w:numId w:val="643"/>
        </w:numPr>
        <w:tabs>
          <w:tab w:val="left" w:pos="2599"/>
        </w:tabs>
        <w:ind w:left="2260" w:hanging="5"/>
        <w:jc w:val="both"/>
        <w:rPr>
          <w:rFonts w:eastAsia="Times New Roman"/>
          <w:sz w:val="24"/>
          <w:szCs w:val="24"/>
        </w:rPr>
      </w:pPr>
      <w:r w:rsidRPr="00D03C38">
        <w:rPr>
          <w:rFonts w:eastAsia="Times New Roman"/>
          <w:sz w:val="24"/>
          <w:szCs w:val="24"/>
        </w:rPr>
        <w:t>A supplier of water who collected data under the provisions of the "Information Collection Rule"(ICR) was required to use the results of the samples collected during the last four quarters of required monitoring under the "disinfection byproduct and related monitoring" of the ICR.</w:t>
      </w:r>
    </w:p>
    <w:p w14:paraId="281A6200" w14:textId="5DE58FC1" w:rsidR="004647B9" w:rsidRPr="00D03C38" w:rsidRDefault="00E2436F" w:rsidP="00BF1F8F">
      <w:pPr>
        <w:numPr>
          <w:ilvl w:val="3"/>
          <w:numId w:val="643"/>
        </w:numPr>
        <w:tabs>
          <w:tab w:val="left" w:pos="2562"/>
        </w:tabs>
        <w:ind w:left="2260" w:hanging="5"/>
        <w:jc w:val="both"/>
        <w:rPr>
          <w:rFonts w:eastAsia="Times New Roman"/>
          <w:sz w:val="24"/>
          <w:szCs w:val="24"/>
        </w:rPr>
      </w:pPr>
      <w:r w:rsidRPr="00D03C38">
        <w:rPr>
          <w:rFonts w:eastAsia="Times New Roman"/>
          <w:sz w:val="24"/>
          <w:szCs w:val="24"/>
        </w:rPr>
        <w:t xml:space="preserve">A supplier of water who used </w:t>
      </w:r>
      <w:r w:rsidR="00B2681E">
        <w:rPr>
          <w:rFonts w:eastAsia="Times New Roman"/>
          <w:sz w:val="24"/>
          <w:szCs w:val="24"/>
        </w:rPr>
        <w:t>previously collected</w:t>
      </w:r>
      <w:r w:rsidRPr="00D03C38">
        <w:rPr>
          <w:rFonts w:eastAsia="Times New Roman"/>
          <w:sz w:val="24"/>
          <w:szCs w:val="24"/>
        </w:rPr>
        <w:t xml:space="preserve"> HAA5 occurrence data that met the provisions of 310 CMR 22.20D(3)(a)2.b. shall use TTHM data collected at the same time under the provisions of 310 CMR 22.07E.</w:t>
      </w:r>
    </w:p>
    <w:p w14:paraId="281A6202" w14:textId="77777777" w:rsidR="004647B9" w:rsidRPr="00D03C38" w:rsidRDefault="00E2436F" w:rsidP="00BF1F8F">
      <w:pPr>
        <w:numPr>
          <w:ilvl w:val="3"/>
          <w:numId w:val="643"/>
        </w:numPr>
        <w:tabs>
          <w:tab w:val="left" w:pos="2599"/>
        </w:tabs>
        <w:ind w:left="2260" w:hanging="5"/>
        <w:jc w:val="both"/>
        <w:rPr>
          <w:rFonts w:eastAsia="Times New Roman"/>
          <w:sz w:val="24"/>
          <w:szCs w:val="24"/>
        </w:rPr>
      </w:pPr>
      <w:r w:rsidRPr="00D03C38">
        <w:rPr>
          <w:rFonts w:eastAsia="Times New Roman"/>
          <w:sz w:val="24"/>
          <w:szCs w:val="24"/>
        </w:rPr>
        <w:t>A supplier of water who used HAA5 occurrence data that met the provisions of 310 CMR 22.20D(3)(a)2.c.(i) was required to use TTHM data collected at the same time under the provisions of 310 CMR 22.07(2) and 22.07E.</w:t>
      </w:r>
    </w:p>
    <w:p w14:paraId="281A6204" w14:textId="77777777" w:rsidR="004647B9" w:rsidRPr="00D03C38" w:rsidRDefault="00E2436F" w:rsidP="00BF1F8F">
      <w:pPr>
        <w:numPr>
          <w:ilvl w:val="2"/>
          <w:numId w:val="643"/>
        </w:numPr>
        <w:tabs>
          <w:tab w:val="left" w:pos="2231"/>
        </w:tabs>
        <w:ind w:left="1900" w:hanging="5"/>
        <w:rPr>
          <w:rFonts w:eastAsia="Times New Roman"/>
          <w:sz w:val="24"/>
          <w:szCs w:val="24"/>
        </w:rPr>
      </w:pPr>
      <w:r w:rsidRPr="00D03C38">
        <w:rPr>
          <w:rFonts w:eastAsia="Times New Roman"/>
          <w:sz w:val="24"/>
          <w:szCs w:val="24"/>
        </w:rPr>
        <w:t>The HAA5 annual average is the annual average during the same period as was used for the TTHM annual average with the following provisions:</w:t>
      </w:r>
    </w:p>
    <w:p w14:paraId="281A6206" w14:textId="77777777" w:rsidR="004647B9" w:rsidRPr="00D03C38" w:rsidRDefault="00E2436F" w:rsidP="00BF1F8F">
      <w:pPr>
        <w:numPr>
          <w:ilvl w:val="3"/>
          <w:numId w:val="643"/>
        </w:numPr>
        <w:tabs>
          <w:tab w:val="left" w:pos="2636"/>
        </w:tabs>
        <w:ind w:left="2260" w:hanging="5"/>
        <w:jc w:val="both"/>
        <w:rPr>
          <w:rFonts w:eastAsia="Times New Roman"/>
          <w:sz w:val="24"/>
          <w:szCs w:val="24"/>
        </w:rPr>
      </w:pPr>
      <w:r w:rsidRPr="00D03C38">
        <w:rPr>
          <w:rFonts w:eastAsia="Times New Roman"/>
          <w:sz w:val="24"/>
          <w:szCs w:val="24"/>
        </w:rPr>
        <w:t>A supplier of water who collected data under the Information Collection Rule shall have used the results of the samples collected during the last four quarters of required monitoring under the ICR.</w:t>
      </w:r>
    </w:p>
    <w:p w14:paraId="281A6208" w14:textId="77777777" w:rsidR="004647B9" w:rsidRPr="00D03C38" w:rsidRDefault="00E2436F" w:rsidP="00BF1F8F">
      <w:pPr>
        <w:numPr>
          <w:ilvl w:val="3"/>
          <w:numId w:val="643"/>
        </w:numPr>
        <w:tabs>
          <w:tab w:val="left" w:pos="2634"/>
        </w:tabs>
        <w:ind w:left="2260" w:hanging="5"/>
        <w:jc w:val="both"/>
        <w:rPr>
          <w:rFonts w:eastAsia="Times New Roman"/>
          <w:sz w:val="24"/>
          <w:szCs w:val="24"/>
        </w:rPr>
      </w:pPr>
      <w:r w:rsidRPr="00D03C38">
        <w:rPr>
          <w:rFonts w:eastAsia="Times New Roman"/>
          <w:sz w:val="24"/>
          <w:szCs w:val="24"/>
        </w:rPr>
        <w:t>A supplier of water who collected four quarters of HAA5 occurrence data that met the routine monitoring sample number and location requirements for TTHMs in 310 CMR 22.07E(1), (2) and the handling and analytical method requirements of the ICR may use that data to determine whether the requirements of 310 CMR 22.20D(3) apply.</w:t>
      </w:r>
    </w:p>
    <w:p w14:paraId="281A620A" w14:textId="55C1C6D5" w:rsidR="004647B9" w:rsidRPr="00D03C38" w:rsidRDefault="00E2436F" w:rsidP="00BF1F8F">
      <w:pPr>
        <w:numPr>
          <w:ilvl w:val="3"/>
          <w:numId w:val="643"/>
        </w:numPr>
        <w:tabs>
          <w:tab w:val="left" w:pos="2607"/>
        </w:tabs>
        <w:ind w:left="2260" w:hanging="5"/>
        <w:jc w:val="both"/>
        <w:rPr>
          <w:rFonts w:eastAsia="Times New Roman"/>
          <w:sz w:val="24"/>
          <w:szCs w:val="24"/>
        </w:rPr>
      </w:pPr>
      <w:r w:rsidRPr="00D03C38">
        <w:rPr>
          <w:rFonts w:eastAsia="Times New Roman"/>
          <w:sz w:val="24"/>
          <w:szCs w:val="24"/>
        </w:rPr>
        <w:t>A supplier of water who did not collect four quarters of HAA5 occurrence data that met the provisions of either 310 CMR 22.20D(3)(a)2.a. and b. by March 31,</w:t>
      </w:r>
      <w:r w:rsidR="00924208">
        <w:rPr>
          <w:rFonts w:eastAsia="Times New Roman"/>
          <w:sz w:val="24"/>
          <w:szCs w:val="24"/>
        </w:rPr>
        <w:t xml:space="preserve"> </w:t>
      </w:r>
      <w:r w:rsidR="00924208" w:rsidRPr="00D03C38">
        <w:rPr>
          <w:rFonts w:eastAsia="Times New Roman"/>
          <w:sz w:val="24"/>
          <w:szCs w:val="24"/>
        </w:rPr>
        <w:t>1999 must either:</w:t>
      </w:r>
    </w:p>
    <w:p w14:paraId="281A620D" w14:textId="77777777" w:rsidR="004647B9" w:rsidRPr="00D03C38" w:rsidRDefault="00E2436F" w:rsidP="00BF1F8F">
      <w:pPr>
        <w:numPr>
          <w:ilvl w:val="4"/>
          <w:numId w:val="643"/>
        </w:numPr>
        <w:tabs>
          <w:tab w:val="left" w:pos="2963"/>
        </w:tabs>
        <w:ind w:left="2620" w:hanging="5"/>
        <w:jc w:val="both"/>
        <w:rPr>
          <w:rFonts w:eastAsia="Times New Roman"/>
          <w:sz w:val="24"/>
          <w:szCs w:val="24"/>
        </w:rPr>
      </w:pPr>
      <w:r w:rsidRPr="00D03C38">
        <w:rPr>
          <w:rFonts w:eastAsia="Times New Roman"/>
          <w:sz w:val="24"/>
          <w:szCs w:val="24"/>
        </w:rPr>
        <w:t>have conducted monitoring for HAA5 that met the routine monitoring sample number and location requirements for TTHM in 310 CMR 22.07(2) and 22.07E and the handling and analytical method requirements of 310 CMR 22.07E to determine the HAA5 annual average and whether the requirements of 310 CMR 22.07C(3) apply, which monitoring shall have been completed so that the applicability determination could be made no later than March 31, 2000; or,</w:t>
      </w:r>
    </w:p>
    <w:p w14:paraId="281A620F" w14:textId="77777777" w:rsidR="004647B9" w:rsidRPr="00D03C38" w:rsidRDefault="00E2436F" w:rsidP="00BF1F8F">
      <w:pPr>
        <w:numPr>
          <w:ilvl w:val="4"/>
          <w:numId w:val="643"/>
        </w:numPr>
        <w:tabs>
          <w:tab w:val="left" w:pos="3151"/>
        </w:tabs>
        <w:ind w:left="2620" w:hanging="5"/>
        <w:jc w:val="both"/>
        <w:rPr>
          <w:rFonts w:eastAsia="Times New Roman"/>
          <w:sz w:val="24"/>
          <w:szCs w:val="24"/>
        </w:rPr>
      </w:pPr>
      <w:r w:rsidRPr="00D03C38">
        <w:rPr>
          <w:rFonts w:eastAsia="Times New Roman"/>
          <w:sz w:val="24"/>
          <w:szCs w:val="24"/>
        </w:rPr>
        <w:t>comply with all other provisions of 310 CMR 22.20D(3)(b)2. as if the HAA5 monitoring had been conducted and the results required compliance with 310 CMR 22.20D(3)(b).</w:t>
      </w:r>
    </w:p>
    <w:p w14:paraId="281A6211" w14:textId="77777777" w:rsidR="004647B9" w:rsidRPr="00D03C38" w:rsidRDefault="00E2436F" w:rsidP="00BF1F8F">
      <w:pPr>
        <w:numPr>
          <w:ilvl w:val="2"/>
          <w:numId w:val="643"/>
        </w:numPr>
        <w:tabs>
          <w:tab w:val="left" w:pos="2289"/>
        </w:tabs>
        <w:ind w:left="1900" w:hanging="5"/>
        <w:jc w:val="both"/>
        <w:rPr>
          <w:rFonts w:eastAsia="Times New Roman"/>
          <w:sz w:val="24"/>
          <w:szCs w:val="24"/>
        </w:rPr>
      </w:pPr>
      <w:r w:rsidRPr="00D03C38">
        <w:rPr>
          <w:rFonts w:eastAsia="Times New Roman"/>
          <w:sz w:val="24"/>
          <w:szCs w:val="24"/>
        </w:rPr>
        <w:t>The supplier of water may request the Department approve a more representative annual data set than the data set determined in 310 CMR 22.20D(3)(a)1. or 2. for the purpose of determining applicability of the requirements of 310 CMR 22.20D(3). A representative data set was to be determined based on the following:</w:t>
      </w:r>
    </w:p>
    <w:p w14:paraId="281A6213" w14:textId="77777777" w:rsidR="004647B9" w:rsidRPr="00D03C38" w:rsidRDefault="00E2436F" w:rsidP="00BF1F8F">
      <w:pPr>
        <w:numPr>
          <w:ilvl w:val="3"/>
          <w:numId w:val="643"/>
        </w:numPr>
        <w:tabs>
          <w:tab w:val="left" w:pos="2628"/>
        </w:tabs>
        <w:ind w:left="2260" w:hanging="5"/>
        <w:rPr>
          <w:rFonts w:eastAsia="Times New Roman"/>
          <w:sz w:val="24"/>
          <w:szCs w:val="24"/>
        </w:rPr>
      </w:pPr>
      <w:r w:rsidRPr="00D03C38">
        <w:rPr>
          <w:rFonts w:eastAsia="Times New Roman"/>
          <w:sz w:val="24"/>
          <w:szCs w:val="24"/>
        </w:rPr>
        <w:t>Whether the method of collection was in accordance with 310 CMR 22.07(2), 22.07E and 22.20D(3);</w:t>
      </w:r>
    </w:p>
    <w:p w14:paraId="281A6215" w14:textId="77777777" w:rsidR="004647B9" w:rsidRPr="00D03C38" w:rsidRDefault="00E2436F" w:rsidP="00BF1F8F">
      <w:pPr>
        <w:numPr>
          <w:ilvl w:val="3"/>
          <w:numId w:val="643"/>
        </w:numPr>
        <w:tabs>
          <w:tab w:val="left" w:pos="2634"/>
        </w:tabs>
        <w:ind w:left="2260" w:hanging="5"/>
        <w:rPr>
          <w:rFonts w:eastAsia="Times New Roman"/>
          <w:sz w:val="24"/>
          <w:szCs w:val="24"/>
        </w:rPr>
      </w:pPr>
      <w:r w:rsidRPr="00D03C38">
        <w:rPr>
          <w:rFonts w:eastAsia="Times New Roman"/>
          <w:sz w:val="24"/>
          <w:szCs w:val="24"/>
        </w:rPr>
        <w:t>Whether the annual set presented is representative of the plant's current and/or long-term disinfection practices.</w:t>
      </w:r>
    </w:p>
    <w:p w14:paraId="281A6217" w14:textId="77777777" w:rsidR="004647B9" w:rsidRDefault="00E2436F" w:rsidP="00BF1F8F">
      <w:pPr>
        <w:numPr>
          <w:ilvl w:val="2"/>
          <w:numId w:val="643"/>
        </w:numPr>
        <w:tabs>
          <w:tab w:val="left" w:pos="2236"/>
        </w:tabs>
        <w:ind w:left="1900" w:hanging="5"/>
        <w:jc w:val="both"/>
        <w:rPr>
          <w:rFonts w:eastAsia="Times New Roman"/>
          <w:sz w:val="24"/>
          <w:szCs w:val="24"/>
        </w:rPr>
      </w:pPr>
      <w:r w:rsidRPr="00D03C38">
        <w:rPr>
          <w:rFonts w:eastAsia="Times New Roman"/>
          <w:sz w:val="24"/>
          <w:szCs w:val="24"/>
        </w:rPr>
        <w:t>The Department may require that a system use a more representative annual data set than the data set determined under 310 CMR 22.20D(3)(a)1. or 2. for the purpose of determining applicability of the requirements of 310 CMR 22.20D</w:t>
      </w:r>
      <w:r>
        <w:rPr>
          <w:rFonts w:eastAsia="Times New Roman"/>
          <w:sz w:val="24"/>
          <w:szCs w:val="24"/>
        </w:rPr>
        <w:t>.</w:t>
      </w:r>
    </w:p>
    <w:p w14:paraId="281A6218" w14:textId="77777777" w:rsidR="004647B9" w:rsidRDefault="004647B9" w:rsidP="00BF1F8F">
      <w:pPr>
        <w:sectPr w:rsidR="004647B9" w:rsidSect="00EF630C">
          <w:pgSz w:w="12240" w:h="20180"/>
          <w:pgMar w:top="708" w:right="1440" w:bottom="840" w:left="620" w:header="0" w:footer="0" w:gutter="0"/>
          <w:cols w:space="720"/>
        </w:sectPr>
      </w:pPr>
    </w:p>
    <w:p w14:paraId="281A6219" w14:textId="77777777" w:rsidR="004647B9" w:rsidRPr="00DA2E32" w:rsidRDefault="00E2436F" w:rsidP="00DA2E32">
      <w:pPr>
        <w:tabs>
          <w:tab w:val="left" w:pos="160"/>
        </w:tabs>
        <w:ind w:right="20"/>
        <w:jc w:val="center"/>
        <w:rPr>
          <w:sz w:val="24"/>
          <w:szCs w:val="24"/>
        </w:rPr>
      </w:pPr>
      <w:bookmarkStart w:id="275" w:name="page279"/>
      <w:bookmarkEnd w:id="275"/>
      <w:r w:rsidRPr="00DA2E32">
        <w:rPr>
          <w:rFonts w:eastAsia="Times New Roman"/>
          <w:sz w:val="24"/>
          <w:szCs w:val="24"/>
        </w:rPr>
        <w:lastRenderedPageBreak/>
        <w:t>310 CMR:</w:t>
      </w:r>
      <w:r w:rsidRPr="00DA2E32">
        <w:rPr>
          <w:sz w:val="24"/>
          <w:szCs w:val="24"/>
        </w:rPr>
        <w:tab/>
      </w:r>
      <w:r w:rsidRPr="00DA2E32">
        <w:rPr>
          <w:rFonts w:eastAsia="Times New Roman"/>
          <w:sz w:val="24"/>
          <w:szCs w:val="24"/>
        </w:rPr>
        <w:t>DEPARTMENT OF ENVIRONMENTAL PROTECTION</w:t>
      </w:r>
    </w:p>
    <w:p w14:paraId="281A621A" w14:textId="77777777" w:rsidR="004647B9" w:rsidRPr="008A4859" w:rsidRDefault="004647B9" w:rsidP="00DA2E32">
      <w:pPr>
        <w:rPr>
          <w:sz w:val="20"/>
          <w:szCs w:val="20"/>
        </w:rPr>
      </w:pPr>
    </w:p>
    <w:p w14:paraId="281A621B" w14:textId="77777777" w:rsidR="004647B9" w:rsidRPr="008A4859" w:rsidRDefault="004647B9" w:rsidP="00DA2E32">
      <w:pPr>
        <w:rPr>
          <w:sz w:val="20"/>
          <w:szCs w:val="20"/>
        </w:rPr>
      </w:pPr>
    </w:p>
    <w:p w14:paraId="281A621C" w14:textId="77777777" w:rsidR="004647B9" w:rsidRPr="00DA2E32" w:rsidRDefault="00E2436F" w:rsidP="00DA2E32">
      <w:pPr>
        <w:tabs>
          <w:tab w:val="left" w:pos="940"/>
        </w:tabs>
        <w:rPr>
          <w:sz w:val="24"/>
          <w:szCs w:val="24"/>
        </w:rPr>
      </w:pPr>
      <w:r w:rsidRPr="00DA2E32">
        <w:rPr>
          <w:rFonts w:eastAsia="Times New Roman"/>
          <w:sz w:val="24"/>
          <w:szCs w:val="24"/>
        </w:rPr>
        <w:t>22.20D:</w:t>
      </w:r>
      <w:r w:rsidRPr="00DA2E32">
        <w:rPr>
          <w:rFonts w:eastAsia="Times New Roman"/>
          <w:sz w:val="24"/>
          <w:szCs w:val="24"/>
        </w:rPr>
        <w:tab/>
        <w:t>continued</w:t>
      </w:r>
    </w:p>
    <w:p w14:paraId="281A621D" w14:textId="77777777" w:rsidR="004647B9" w:rsidRPr="008A4859" w:rsidRDefault="004647B9" w:rsidP="00DA2E32">
      <w:pPr>
        <w:rPr>
          <w:sz w:val="20"/>
          <w:szCs w:val="20"/>
        </w:rPr>
      </w:pPr>
    </w:p>
    <w:p w14:paraId="281A621E" w14:textId="77777777" w:rsidR="004647B9" w:rsidRPr="00DA2E32" w:rsidRDefault="00E2436F" w:rsidP="00563A54">
      <w:pPr>
        <w:numPr>
          <w:ilvl w:val="1"/>
          <w:numId w:val="644"/>
        </w:numPr>
        <w:tabs>
          <w:tab w:val="left" w:pos="2265"/>
        </w:tabs>
        <w:ind w:left="1900" w:hanging="5"/>
        <w:rPr>
          <w:rFonts w:eastAsia="Times New Roman"/>
          <w:sz w:val="24"/>
          <w:szCs w:val="24"/>
        </w:rPr>
      </w:pPr>
      <w:r w:rsidRPr="00DA2E32">
        <w:rPr>
          <w:rFonts w:eastAsia="Times New Roman"/>
          <w:sz w:val="24"/>
          <w:szCs w:val="24"/>
        </w:rPr>
        <w:t>The supplier of water must have submitted data to the Department on the schedule as shown below:</w:t>
      </w:r>
    </w:p>
    <w:p w14:paraId="281A6220" w14:textId="77777777" w:rsidR="004647B9" w:rsidRPr="00DA2E32" w:rsidRDefault="00E2436F" w:rsidP="00563A54">
      <w:pPr>
        <w:numPr>
          <w:ilvl w:val="2"/>
          <w:numId w:val="644"/>
        </w:numPr>
        <w:tabs>
          <w:tab w:val="left" w:pos="2607"/>
        </w:tabs>
        <w:ind w:left="2260" w:hanging="5"/>
        <w:jc w:val="both"/>
        <w:rPr>
          <w:rFonts w:eastAsia="Times New Roman"/>
          <w:sz w:val="24"/>
          <w:szCs w:val="24"/>
        </w:rPr>
      </w:pPr>
      <w:r w:rsidRPr="00DA2E32">
        <w:rPr>
          <w:rFonts w:eastAsia="Times New Roman"/>
          <w:sz w:val="24"/>
          <w:szCs w:val="24"/>
        </w:rPr>
        <w:t>A supplier of water who collected TTHM and HAA5 data under the provisions of Information Collection Rule (ICR), as was required by 310 CMR 22.20D(3)(a)1.a. and 2.a., must have submitted the results of the samples collected during the last 12 months of required monitoring under the ICR not later than December 31, 1999.</w:t>
      </w:r>
    </w:p>
    <w:p w14:paraId="281A6222" w14:textId="77777777" w:rsidR="004647B9" w:rsidRPr="00DA2E32" w:rsidRDefault="00E2436F" w:rsidP="00563A54">
      <w:pPr>
        <w:numPr>
          <w:ilvl w:val="2"/>
          <w:numId w:val="644"/>
        </w:numPr>
        <w:tabs>
          <w:tab w:val="left" w:pos="2606"/>
        </w:tabs>
        <w:ind w:left="2260" w:hanging="5"/>
        <w:jc w:val="both"/>
        <w:rPr>
          <w:rFonts w:eastAsia="Times New Roman"/>
          <w:sz w:val="24"/>
          <w:szCs w:val="24"/>
        </w:rPr>
      </w:pPr>
      <w:r w:rsidRPr="00DA2E32">
        <w:rPr>
          <w:rFonts w:eastAsia="Times New Roman"/>
          <w:sz w:val="24"/>
          <w:szCs w:val="24"/>
        </w:rPr>
        <w:t>A supplier of water who collected four consecutive quarters of data that met the routine monitoring sample number and location for TTHM in 310 CMR 22.07A and 310 CMR 22.07E for handling and analytical method requirements, as was allowed by 310 CMR 22.20D(3)(a)1.b. and 2.b., must have submitted that data to the Department not later than April 16, 1999. Until the Department has approved the data, the system shall conduct monitoring for HAA5 using the monitoring requirements specified under 310 CMR 22.20D(3)(a) 2.c.</w:t>
      </w:r>
    </w:p>
    <w:p w14:paraId="281A6224" w14:textId="77777777" w:rsidR="004647B9" w:rsidRPr="00DA2E32" w:rsidRDefault="00E2436F" w:rsidP="00563A54">
      <w:pPr>
        <w:numPr>
          <w:ilvl w:val="2"/>
          <w:numId w:val="644"/>
        </w:numPr>
        <w:tabs>
          <w:tab w:val="left" w:pos="2603"/>
        </w:tabs>
        <w:ind w:left="2260" w:hanging="5"/>
        <w:jc w:val="both"/>
        <w:rPr>
          <w:rFonts w:eastAsia="Times New Roman"/>
          <w:sz w:val="24"/>
          <w:szCs w:val="24"/>
        </w:rPr>
      </w:pPr>
      <w:r w:rsidRPr="00DA2E32">
        <w:rPr>
          <w:rFonts w:eastAsia="Times New Roman"/>
          <w:sz w:val="24"/>
          <w:szCs w:val="24"/>
        </w:rPr>
        <w:t>A supplier of water who conducted monitoring for HAA5 using the monitoring requirements specified by 310 CMR 22.20D(3)(a)1.c. and 2.c.(i), must have submitted TTHM and HAA5 data not later than March 31, 2000.</w:t>
      </w:r>
    </w:p>
    <w:p w14:paraId="281A6228" w14:textId="3274ADC0" w:rsidR="004647B9" w:rsidRPr="00DA2E32" w:rsidRDefault="00E2436F" w:rsidP="00563A54">
      <w:pPr>
        <w:numPr>
          <w:ilvl w:val="2"/>
          <w:numId w:val="644"/>
        </w:numPr>
        <w:tabs>
          <w:tab w:val="left" w:pos="2580"/>
        </w:tabs>
        <w:ind w:left="2260"/>
        <w:jc w:val="both"/>
        <w:rPr>
          <w:rFonts w:eastAsia="Times New Roman"/>
          <w:sz w:val="24"/>
          <w:szCs w:val="24"/>
        </w:rPr>
      </w:pPr>
      <w:r w:rsidRPr="00DA2E32">
        <w:rPr>
          <w:rFonts w:eastAsia="Times New Roman"/>
          <w:sz w:val="24"/>
          <w:szCs w:val="24"/>
        </w:rPr>
        <w:t>A supplier of water who elected to comply with all other provisions of 310 CMR</w:t>
      </w:r>
      <w:r w:rsidR="00DA2E32" w:rsidRPr="00DA2E32">
        <w:rPr>
          <w:rFonts w:eastAsia="Times New Roman"/>
          <w:sz w:val="24"/>
          <w:szCs w:val="24"/>
        </w:rPr>
        <w:t xml:space="preserve"> </w:t>
      </w:r>
      <w:r w:rsidRPr="00DA2E32">
        <w:rPr>
          <w:rFonts w:eastAsia="Times New Roman"/>
          <w:sz w:val="24"/>
          <w:szCs w:val="24"/>
        </w:rPr>
        <w:t>22.20D(3) as if the HAA5 monitoring had been conducted and the results required compliance with 310 CMR 22.20D(3)(a), as was allowed under 310 CMR 22.20D(3)(a)2.c.(i), must have notified the Department in writing of their election not later than March 31, 2000.</w:t>
      </w:r>
    </w:p>
    <w:p w14:paraId="281A622A" w14:textId="77777777" w:rsidR="004647B9" w:rsidRPr="00DA2E32" w:rsidRDefault="00E2436F" w:rsidP="00563A54">
      <w:pPr>
        <w:numPr>
          <w:ilvl w:val="2"/>
          <w:numId w:val="644"/>
        </w:numPr>
        <w:tabs>
          <w:tab w:val="left" w:pos="2628"/>
        </w:tabs>
        <w:ind w:left="2260" w:hanging="5"/>
        <w:jc w:val="both"/>
        <w:rPr>
          <w:rFonts w:eastAsia="Times New Roman"/>
          <w:sz w:val="24"/>
          <w:szCs w:val="24"/>
        </w:rPr>
      </w:pPr>
      <w:r w:rsidRPr="00DA2E32">
        <w:rPr>
          <w:rFonts w:eastAsia="Times New Roman"/>
          <w:sz w:val="24"/>
          <w:szCs w:val="24"/>
        </w:rPr>
        <w:t>If the supplier of water elected to request that the Department approve a more representative annual data set than the data set determined under 310 CMR 22.20D(3)(a)2.a., the system must have submitted this request in writing not later than March 31, 2000.</w:t>
      </w:r>
    </w:p>
    <w:p w14:paraId="281A622C" w14:textId="77777777" w:rsidR="004647B9" w:rsidRPr="00DA2E32" w:rsidRDefault="00E2436F" w:rsidP="00563A54">
      <w:pPr>
        <w:numPr>
          <w:ilvl w:val="1"/>
          <w:numId w:val="644"/>
        </w:numPr>
        <w:tabs>
          <w:tab w:val="left" w:pos="2231"/>
        </w:tabs>
        <w:ind w:left="1900" w:hanging="5"/>
        <w:jc w:val="both"/>
        <w:rPr>
          <w:rFonts w:eastAsia="Times New Roman"/>
          <w:sz w:val="24"/>
          <w:szCs w:val="24"/>
        </w:rPr>
      </w:pPr>
      <w:r w:rsidRPr="00DA2E32">
        <w:rPr>
          <w:rFonts w:eastAsia="Times New Roman"/>
          <w:sz w:val="24"/>
          <w:szCs w:val="24"/>
        </w:rPr>
        <w:t>Any supplier of water having either a TTHM annual average greater than or equal to 0.064 mg/L or an HAA5 annual average greater than or equal to 0.048 mg/L during the period identified in 310 CMR 22.20D(3)(a)1. and 2. shall comply with 310 CMR 22.20D(3)(b).</w:t>
      </w:r>
    </w:p>
    <w:p w14:paraId="281A622E" w14:textId="77777777" w:rsidR="004647B9" w:rsidRPr="00DA2E32" w:rsidRDefault="00E2436F" w:rsidP="00563A54">
      <w:pPr>
        <w:numPr>
          <w:ilvl w:val="1"/>
          <w:numId w:val="644"/>
        </w:numPr>
        <w:tabs>
          <w:tab w:val="left" w:pos="2361"/>
        </w:tabs>
        <w:ind w:left="1900" w:hanging="5"/>
        <w:jc w:val="both"/>
        <w:rPr>
          <w:rFonts w:eastAsia="Times New Roman"/>
          <w:sz w:val="24"/>
          <w:szCs w:val="24"/>
        </w:rPr>
      </w:pPr>
      <w:r w:rsidRPr="00DA2E32">
        <w:rPr>
          <w:rFonts w:eastAsia="Times New Roman"/>
          <w:sz w:val="24"/>
          <w:szCs w:val="24"/>
        </w:rPr>
        <w:t>An owner or operator of a consecutive systems was not required to develop a disinfection profile; however, they are required to meet the requirements of 310 CMR 22.07E.</w:t>
      </w:r>
    </w:p>
    <w:p w14:paraId="281A6230" w14:textId="77777777" w:rsidR="004647B9" w:rsidRPr="00DA2E32" w:rsidRDefault="00E2436F" w:rsidP="00563A54">
      <w:pPr>
        <w:numPr>
          <w:ilvl w:val="0"/>
          <w:numId w:val="645"/>
        </w:numPr>
        <w:tabs>
          <w:tab w:val="left" w:pos="2000"/>
        </w:tabs>
        <w:ind w:left="2000" w:hanging="465"/>
        <w:rPr>
          <w:rFonts w:eastAsia="Times New Roman"/>
          <w:sz w:val="24"/>
          <w:szCs w:val="24"/>
        </w:rPr>
      </w:pPr>
      <w:r w:rsidRPr="00DA2E32">
        <w:rPr>
          <w:rFonts w:eastAsia="Times New Roman"/>
          <w:sz w:val="24"/>
          <w:szCs w:val="24"/>
          <w:u w:val="single"/>
        </w:rPr>
        <w:t>Disinfection Profiling</w:t>
      </w:r>
      <w:r w:rsidRPr="00DA2E32">
        <w:rPr>
          <w:rFonts w:eastAsia="Times New Roman"/>
          <w:sz w:val="24"/>
          <w:szCs w:val="24"/>
        </w:rPr>
        <w:t>.</w:t>
      </w:r>
    </w:p>
    <w:p w14:paraId="281A6232" w14:textId="77777777" w:rsidR="004647B9" w:rsidRPr="00DA2E32" w:rsidRDefault="00E2436F" w:rsidP="00563A54">
      <w:pPr>
        <w:numPr>
          <w:ilvl w:val="1"/>
          <w:numId w:val="645"/>
        </w:numPr>
        <w:tabs>
          <w:tab w:val="left" w:pos="2224"/>
        </w:tabs>
        <w:ind w:left="1900" w:hanging="5"/>
        <w:rPr>
          <w:rFonts w:eastAsia="Times New Roman"/>
          <w:sz w:val="24"/>
          <w:szCs w:val="24"/>
        </w:rPr>
      </w:pPr>
      <w:r w:rsidRPr="00DA2E32">
        <w:rPr>
          <w:rFonts w:eastAsia="Times New Roman"/>
          <w:sz w:val="24"/>
          <w:szCs w:val="24"/>
        </w:rPr>
        <w:t>A supplier of water who meets the criteria in 310 CMR 22.20D(3)(a)6. shall develop a disinfection profile of their disinfection practice for a period of up to three years.</w:t>
      </w:r>
    </w:p>
    <w:p w14:paraId="281A6236" w14:textId="69E97750" w:rsidR="004647B9" w:rsidRPr="00DA2E32" w:rsidRDefault="00E2436F" w:rsidP="00563A54">
      <w:pPr>
        <w:numPr>
          <w:ilvl w:val="1"/>
          <w:numId w:val="645"/>
        </w:numPr>
        <w:tabs>
          <w:tab w:val="left" w:pos="2334"/>
        </w:tabs>
        <w:ind w:left="1900"/>
        <w:jc w:val="both"/>
        <w:rPr>
          <w:sz w:val="24"/>
          <w:szCs w:val="24"/>
        </w:rPr>
      </w:pPr>
      <w:r w:rsidRPr="00DA2E32">
        <w:rPr>
          <w:rFonts w:eastAsia="Times New Roman"/>
          <w:sz w:val="24"/>
          <w:szCs w:val="24"/>
        </w:rPr>
        <w:t>A supplier of water shall monitor daily for a period of 12 consecutive calendar months to determine the total logs of inactivation for each day of operation, based on the</w:t>
      </w:r>
      <w:r w:rsidR="00D03C38" w:rsidRPr="00DA2E32">
        <w:rPr>
          <w:rFonts w:eastAsia="Times New Roman"/>
          <w:sz w:val="24"/>
          <w:szCs w:val="24"/>
        </w:rPr>
        <w:t xml:space="preserve"> </w:t>
      </w:r>
      <w:r w:rsidRPr="00DA2E32">
        <w:rPr>
          <w:rFonts w:eastAsia="Times New Roman"/>
          <w:sz w:val="24"/>
          <w:szCs w:val="24"/>
        </w:rPr>
        <w:t>CT</w:t>
      </w:r>
      <w:r w:rsidRPr="00DA2E32">
        <w:rPr>
          <w:rFonts w:eastAsia="Times New Roman"/>
          <w:sz w:val="24"/>
          <w:szCs w:val="24"/>
          <w:vertAlign w:val="subscript"/>
        </w:rPr>
        <w:t>99.9</w:t>
      </w:r>
      <w:r w:rsidRPr="00DA2E32">
        <w:rPr>
          <w:rFonts w:eastAsia="Times New Roman"/>
          <w:sz w:val="24"/>
          <w:szCs w:val="24"/>
        </w:rPr>
        <w:t xml:space="preserve"> values in 310 CMR 22.20A(5)(b):</w:t>
      </w:r>
      <w:r w:rsidRPr="00DA2E32">
        <w:rPr>
          <w:sz w:val="24"/>
          <w:szCs w:val="24"/>
        </w:rPr>
        <w:tab/>
      </w:r>
      <w:r w:rsidRPr="00DA2E32">
        <w:rPr>
          <w:rFonts w:eastAsia="Times New Roman"/>
          <w:i/>
          <w:iCs/>
          <w:sz w:val="24"/>
          <w:szCs w:val="24"/>
        </w:rPr>
        <w:t xml:space="preserve">Tables 1.1 </w:t>
      </w:r>
      <w:r w:rsidRPr="00DA2E32">
        <w:rPr>
          <w:rFonts w:eastAsia="Times New Roman"/>
          <w:sz w:val="24"/>
          <w:szCs w:val="24"/>
        </w:rPr>
        <w:t>through</w:t>
      </w:r>
      <w:r w:rsidRPr="00DA2E32">
        <w:rPr>
          <w:rFonts w:eastAsia="Times New Roman"/>
          <w:i/>
          <w:iCs/>
          <w:sz w:val="24"/>
          <w:szCs w:val="24"/>
        </w:rPr>
        <w:t xml:space="preserve"> 1.6</w:t>
      </w:r>
      <w:r w:rsidRPr="00DA2E32">
        <w:rPr>
          <w:rFonts w:eastAsia="Times New Roman"/>
          <w:sz w:val="24"/>
          <w:szCs w:val="24"/>
        </w:rPr>
        <w:t>,</w:t>
      </w:r>
      <w:r w:rsidRPr="00DA2E32">
        <w:rPr>
          <w:rFonts w:eastAsia="Times New Roman"/>
          <w:i/>
          <w:iCs/>
          <w:sz w:val="24"/>
          <w:szCs w:val="24"/>
        </w:rPr>
        <w:t xml:space="preserve"> 2.1</w:t>
      </w:r>
      <w:r w:rsidRPr="00DA2E32">
        <w:rPr>
          <w:rFonts w:eastAsia="Times New Roman"/>
          <w:sz w:val="24"/>
          <w:szCs w:val="24"/>
        </w:rPr>
        <w:t>, and</w:t>
      </w:r>
      <w:r w:rsidRPr="00DA2E32">
        <w:rPr>
          <w:rFonts w:eastAsia="Times New Roman"/>
          <w:i/>
          <w:iCs/>
          <w:sz w:val="24"/>
          <w:szCs w:val="24"/>
        </w:rPr>
        <w:t xml:space="preserve"> 3.1 </w:t>
      </w:r>
      <w:r w:rsidRPr="00DA2E32">
        <w:rPr>
          <w:rFonts w:eastAsia="Times New Roman"/>
          <w:sz w:val="24"/>
          <w:szCs w:val="24"/>
        </w:rPr>
        <w:t>and</w:t>
      </w:r>
      <w:r w:rsidR="00A77BEE" w:rsidRPr="00DA2E32">
        <w:rPr>
          <w:rFonts w:eastAsia="Times New Roman"/>
          <w:sz w:val="24"/>
          <w:szCs w:val="24"/>
        </w:rPr>
        <w:t xml:space="preserve"> </w:t>
      </w:r>
      <w:r w:rsidRPr="00DA2E32">
        <w:rPr>
          <w:rFonts w:eastAsia="Times New Roman"/>
          <w:sz w:val="24"/>
          <w:szCs w:val="24"/>
        </w:rPr>
        <w:t xml:space="preserve">310 CMR 22.20D(3): </w:t>
      </w:r>
      <w:r w:rsidRPr="00DA2E32">
        <w:rPr>
          <w:rFonts w:eastAsia="Times New Roman"/>
          <w:i/>
          <w:iCs/>
          <w:sz w:val="24"/>
          <w:szCs w:val="24"/>
        </w:rPr>
        <w:t>Tables C1</w:t>
      </w:r>
      <w:r w:rsidRPr="00DA2E32">
        <w:rPr>
          <w:rFonts w:eastAsia="Times New Roman"/>
          <w:sz w:val="24"/>
          <w:szCs w:val="24"/>
        </w:rPr>
        <w:t xml:space="preserve"> through </w:t>
      </w:r>
      <w:r w:rsidRPr="00DA2E32">
        <w:rPr>
          <w:rFonts w:eastAsia="Times New Roman"/>
          <w:i/>
          <w:iCs/>
          <w:sz w:val="24"/>
          <w:szCs w:val="24"/>
        </w:rPr>
        <w:t>C13</w:t>
      </w:r>
      <w:r w:rsidRPr="00DA2E32">
        <w:rPr>
          <w:rFonts w:eastAsia="Times New Roman"/>
          <w:sz w:val="24"/>
          <w:szCs w:val="24"/>
        </w:rPr>
        <w:t>, as appropriate, through the entire treatment plant. The supplier of water shall have begun this monitoring not later than April 1, 2000. As a minimum, the supplier of water using a single point of disinfectant application prior to entrance to the distribution system shall conduct monitoring in accordance with 310 CMR 22.20D(3)(b)2.a. through d. A supplier of water using a system with more than one point of disinfectant application shall conduct the monitoring in accordance with 310 CMR 22.20D(3)(b)2.a. through d. for each disinfection segment. The supplier of water shall monitor the parameters necessary to determine the total inactivation ratio, using analytical methods in 310 CMR 22.20A(5), as follows:</w:t>
      </w:r>
    </w:p>
    <w:p w14:paraId="281A6238" w14:textId="77777777" w:rsidR="004647B9" w:rsidRPr="00DA2E32" w:rsidRDefault="00E2436F" w:rsidP="00563A54">
      <w:pPr>
        <w:numPr>
          <w:ilvl w:val="0"/>
          <w:numId w:val="646"/>
        </w:numPr>
        <w:tabs>
          <w:tab w:val="left" w:pos="2628"/>
        </w:tabs>
        <w:ind w:left="2260" w:hanging="5"/>
        <w:rPr>
          <w:rFonts w:eastAsia="Times New Roman"/>
          <w:sz w:val="24"/>
          <w:szCs w:val="24"/>
        </w:rPr>
      </w:pPr>
      <w:r w:rsidRPr="00DA2E32">
        <w:rPr>
          <w:rFonts w:eastAsia="Times New Roman"/>
          <w:sz w:val="24"/>
          <w:szCs w:val="24"/>
        </w:rPr>
        <w:t>The temperature of the disinfected water shall be measured once daily at each residual disinfectant concentration sampling point during peak hourly flow.</w:t>
      </w:r>
    </w:p>
    <w:p w14:paraId="281A623A" w14:textId="77777777" w:rsidR="004647B9" w:rsidRPr="00DA2E32" w:rsidRDefault="00E2436F" w:rsidP="00563A54">
      <w:pPr>
        <w:numPr>
          <w:ilvl w:val="0"/>
          <w:numId w:val="646"/>
        </w:numPr>
        <w:tabs>
          <w:tab w:val="left" w:pos="2649"/>
        </w:tabs>
        <w:ind w:left="2260" w:hanging="5"/>
        <w:jc w:val="both"/>
        <w:rPr>
          <w:rFonts w:eastAsia="Times New Roman"/>
          <w:sz w:val="24"/>
          <w:szCs w:val="24"/>
        </w:rPr>
      </w:pPr>
      <w:r w:rsidRPr="00DA2E32">
        <w:rPr>
          <w:rFonts w:eastAsia="Times New Roman"/>
          <w:sz w:val="24"/>
          <w:szCs w:val="24"/>
        </w:rPr>
        <w:t>If the system uses chlorine, the pH of the disinfected water shall be measured once daily at each chlorine residual disinfectant concentration sampling point during peak hourly flow.</w:t>
      </w:r>
    </w:p>
    <w:p w14:paraId="281A623C" w14:textId="77777777" w:rsidR="004647B9" w:rsidRPr="00DA2E32" w:rsidRDefault="00E2436F" w:rsidP="00563A54">
      <w:pPr>
        <w:numPr>
          <w:ilvl w:val="0"/>
          <w:numId w:val="646"/>
        </w:numPr>
        <w:tabs>
          <w:tab w:val="left" w:pos="2638"/>
        </w:tabs>
        <w:ind w:left="2260" w:hanging="5"/>
        <w:rPr>
          <w:rFonts w:eastAsia="Times New Roman"/>
          <w:sz w:val="24"/>
          <w:szCs w:val="24"/>
        </w:rPr>
      </w:pPr>
      <w:r w:rsidRPr="00DA2E32">
        <w:rPr>
          <w:rFonts w:eastAsia="Times New Roman"/>
          <w:sz w:val="24"/>
          <w:szCs w:val="24"/>
        </w:rPr>
        <w:t>The disinfectant contact time(s) ("T") shall be determined for each day during peak hourly flow.</w:t>
      </w:r>
    </w:p>
    <w:p w14:paraId="281A623E" w14:textId="77777777" w:rsidR="004647B9" w:rsidRPr="00DA2E32" w:rsidRDefault="00E2436F" w:rsidP="00563A54">
      <w:pPr>
        <w:numPr>
          <w:ilvl w:val="0"/>
          <w:numId w:val="646"/>
        </w:numPr>
        <w:tabs>
          <w:tab w:val="left" w:pos="2584"/>
        </w:tabs>
        <w:ind w:left="2260" w:hanging="5"/>
        <w:jc w:val="both"/>
        <w:rPr>
          <w:rFonts w:eastAsia="Times New Roman"/>
          <w:sz w:val="24"/>
          <w:szCs w:val="24"/>
        </w:rPr>
      </w:pPr>
      <w:r w:rsidRPr="00DA2E32">
        <w:rPr>
          <w:rFonts w:eastAsia="Times New Roman"/>
          <w:sz w:val="24"/>
          <w:szCs w:val="24"/>
        </w:rPr>
        <w:t>The residual disinfectant concentration(s) ("C") of the water before or at the first customer and prior to each additional point of disinfection shall be measured daily during peak hourly flow.</w:t>
      </w:r>
    </w:p>
    <w:p w14:paraId="281A623F" w14:textId="77777777" w:rsidR="004647B9" w:rsidRDefault="004647B9">
      <w:pPr>
        <w:sectPr w:rsidR="004647B9" w:rsidSect="00EF630C">
          <w:pgSz w:w="12240" w:h="20180"/>
          <w:pgMar w:top="708" w:right="1440" w:bottom="1440" w:left="620" w:header="0" w:footer="0" w:gutter="0"/>
          <w:cols w:space="720"/>
        </w:sectPr>
      </w:pPr>
    </w:p>
    <w:p w14:paraId="281A6240" w14:textId="77777777" w:rsidR="004647B9" w:rsidRDefault="00E2436F">
      <w:pPr>
        <w:tabs>
          <w:tab w:val="left" w:pos="160"/>
        </w:tabs>
        <w:ind w:right="20"/>
        <w:jc w:val="center"/>
        <w:rPr>
          <w:sz w:val="20"/>
          <w:szCs w:val="20"/>
        </w:rPr>
      </w:pPr>
      <w:bookmarkStart w:id="276" w:name="page280"/>
      <w:bookmarkEnd w:id="27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241" w14:textId="77777777" w:rsidR="004647B9" w:rsidRPr="008A4859" w:rsidRDefault="004647B9" w:rsidP="008A4859">
      <w:pPr>
        <w:rPr>
          <w:sz w:val="20"/>
          <w:szCs w:val="20"/>
        </w:rPr>
      </w:pPr>
    </w:p>
    <w:p w14:paraId="281A6242" w14:textId="77777777" w:rsidR="004647B9" w:rsidRPr="008A4859" w:rsidRDefault="004647B9" w:rsidP="008A4859">
      <w:pPr>
        <w:rPr>
          <w:sz w:val="20"/>
          <w:szCs w:val="20"/>
        </w:rPr>
      </w:pPr>
    </w:p>
    <w:p w14:paraId="281A6243" w14:textId="77777777" w:rsidR="004647B9" w:rsidRPr="00D03C38" w:rsidRDefault="00E2436F" w:rsidP="008A4859">
      <w:pPr>
        <w:tabs>
          <w:tab w:val="left" w:pos="940"/>
        </w:tabs>
        <w:rPr>
          <w:sz w:val="24"/>
          <w:szCs w:val="24"/>
        </w:rPr>
      </w:pPr>
      <w:r w:rsidRPr="00D03C38">
        <w:rPr>
          <w:rFonts w:eastAsia="Times New Roman"/>
          <w:sz w:val="24"/>
          <w:szCs w:val="24"/>
        </w:rPr>
        <w:t>22.20D:</w:t>
      </w:r>
      <w:r w:rsidRPr="00D03C38">
        <w:rPr>
          <w:rFonts w:eastAsia="Times New Roman"/>
          <w:sz w:val="24"/>
          <w:szCs w:val="24"/>
        </w:rPr>
        <w:tab/>
        <w:t>continued</w:t>
      </w:r>
    </w:p>
    <w:p w14:paraId="281A6244" w14:textId="77777777" w:rsidR="004647B9" w:rsidRPr="008A4859" w:rsidRDefault="004647B9" w:rsidP="008A4859">
      <w:pPr>
        <w:rPr>
          <w:sz w:val="20"/>
          <w:szCs w:val="20"/>
        </w:rPr>
      </w:pPr>
    </w:p>
    <w:p w14:paraId="281A6245" w14:textId="77777777" w:rsidR="004647B9" w:rsidRPr="00D03C38" w:rsidRDefault="00E2436F" w:rsidP="008A4859">
      <w:pPr>
        <w:numPr>
          <w:ilvl w:val="0"/>
          <w:numId w:val="647"/>
        </w:numPr>
        <w:tabs>
          <w:tab w:val="left" w:pos="2205"/>
        </w:tabs>
        <w:ind w:left="1900" w:hanging="5"/>
        <w:jc w:val="both"/>
        <w:rPr>
          <w:rFonts w:eastAsia="Times New Roman"/>
          <w:sz w:val="24"/>
          <w:szCs w:val="24"/>
        </w:rPr>
      </w:pPr>
      <w:r w:rsidRPr="00D03C38">
        <w:rPr>
          <w:rFonts w:eastAsia="Times New Roman"/>
          <w:sz w:val="24"/>
          <w:szCs w:val="24"/>
        </w:rPr>
        <w:t xml:space="preserve">In </w:t>
      </w:r>
      <w:r w:rsidRPr="00D03C38">
        <w:rPr>
          <w:rFonts w:eastAsia="Times New Roman"/>
          <w:i/>
          <w:iCs/>
          <w:sz w:val="24"/>
          <w:szCs w:val="24"/>
        </w:rPr>
        <w:t>lieu</w:t>
      </w:r>
      <w:r w:rsidRPr="00D03C38">
        <w:rPr>
          <w:rFonts w:eastAsia="Times New Roman"/>
          <w:sz w:val="24"/>
          <w:szCs w:val="24"/>
        </w:rPr>
        <w:t xml:space="preserve"> of the monitoring conducted under the provisions of 310 CMR 22.20D(3)(b)2. to develop the disinfection profile, the supplier of water may have elected to meet the requirements of paragraph 310 CMR 22.20D(3)(b)3.a. In addition to the monitoring conducted under the of 310 CMR 22.20D(3)(b)2. to develop the disinfection profile, the system may elect to meet the requirements of 310 CMR 22.20D(3)(b)3.b.</w:t>
      </w:r>
    </w:p>
    <w:p w14:paraId="281A6246" w14:textId="77777777" w:rsidR="004647B9" w:rsidRPr="00D03C38" w:rsidRDefault="00E2436F" w:rsidP="008A4859">
      <w:pPr>
        <w:numPr>
          <w:ilvl w:val="1"/>
          <w:numId w:val="647"/>
        </w:numPr>
        <w:tabs>
          <w:tab w:val="left" w:pos="2603"/>
        </w:tabs>
        <w:ind w:left="2260" w:hanging="5"/>
        <w:jc w:val="both"/>
        <w:rPr>
          <w:rFonts w:eastAsia="Times New Roman"/>
          <w:sz w:val="24"/>
          <w:szCs w:val="24"/>
        </w:rPr>
      </w:pPr>
      <w:r w:rsidRPr="00D03C38">
        <w:rPr>
          <w:rFonts w:eastAsia="Times New Roman"/>
          <w:sz w:val="24"/>
          <w:szCs w:val="24"/>
        </w:rPr>
        <w:t xml:space="preserve">A supplier of water who has three years of existing operational data could have submitted that data, a profile generated using that data, and a request that the Department approve the use of that data in </w:t>
      </w:r>
      <w:r w:rsidRPr="00D03C38">
        <w:rPr>
          <w:rFonts w:eastAsia="Times New Roman"/>
          <w:i/>
          <w:iCs/>
          <w:sz w:val="24"/>
          <w:szCs w:val="24"/>
        </w:rPr>
        <w:t>lieu</w:t>
      </w:r>
      <w:r w:rsidRPr="00D03C38">
        <w:rPr>
          <w:rFonts w:eastAsia="Times New Roman"/>
          <w:sz w:val="24"/>
          <w:szCs w:val="24"/>
        </w:rPr>
        <w:t xml:space="preserve"> of monitoring under the provisions of 310 CMR 22.20D(3)(b)2. not later than March 31, 2000. This data shall be representative of </w:t>
      </w:r>
      <w:r w:rsidRPr="00D03C38">
        <w:rPr>
          <w:rFonts w:eastAsia="Times New Roman"/>
          <w:i/>
          <w:iCs/>
          <w:sz w:val="24"/>
          <w:szCs w:val="24"/>
        </w:rPr>
        <w:t>Giardia lamblia</w:t>
      </w:r>
      <w:r w:rsidRPr="00D03C38">
        <w:rPr>
          <w:rFonts w:eastAsia="Times New Roman"/>
          <w:sz w:val="24"/>
          <w:szCs w:val="24"/>
        </w:rPr>
        <w:t xml:space="preserve"> inactivation through the entire treatment plant and not just of certain treatment segments. Until the Department approves this request, the supplier of water is required to conduct monitoring under the provisions of 310 CMR 22.20D(3)(b)2.</w:t>
      </w:r>
    </w:p>
    <w:p w14:paraId="281A624A" w14:textId="2DDF15AC" w:rsidR="004647B9" w:rsidRPr="00F82321" w:rsidRDefault="00E2436F" w:rsidP="008A4859">
      <w:pPr>
        <w:numPr>
          <w:ilvl w:val="1"/>
          <w:numId w:val="647"/>
        </w:numPr>
        <w:tabs>
          <w:tab w:val="left" w:pos="2580"/>
        </w:tabs>
        <w:ind w:left="2261"/>
        <w:rPr>
          <w:rFonts w:eastAsia="Times New Roman"/>
          <w:sz w:val="24"/>
          <w:szCs w:val="24"/>
        </w:rPr>
      </w:pPr>
      <w:r w:rsidRPr="00D03C38">
        <w:rPr>
          <w:rFonts w:eastAsia="Times New Roman"/>
          <w:sz w:val="24"/>
          <w:szCs w:val="24"/>
        </w:rPr>
        <w:t>In addition to the disinfection profile generated under 310 CMR 22.20D(3)(b)2.,</w:t>
      </w:r>
      <w:r w:rsidR="00F82321">
        <w:rPr>
          <w:rFonts w:eastAsia="Times New Roman"/>
          <w:sz w:val="24"/>
          <w:szCs w:val="24"/>
        </w:rPr>
        <w:t xml:space="preserve"> a </w:t>
      </w:r>
      <w:r w:rsidRPr="00F82321">
        <w:rPr>
          <w:rFonts w:eastAsia="Times New Roman"/>
          <w:sz w:val="24"/>
          <w:szCs w:val="24"/>
        </w:rPr>
        <w:t>supplier of water who has existing operational data may use that data to develop a disinfection profile for additional years. The supplier of water may use these additional yearly disinfection profiles to develop a benchmark under the provisions of 310 CMR 22.20D(3)(c). The Department will determine whether these operational data are substantially equivalent to data collected under the provisions of 310 CMR 22.20D(3)(b)2. These data shall be representative of inactivation through the entire treatment plant, and not just of certain treatment segments.</w:t>
      </w:r>
    </w:p>
    <w:p w14:paraId="281A624C" w14:textId="77777777" w:rsidR="004647B9" w:rsidRPr="00D03C38" w:rsidRDefault="00E2436F" w:rsidP="008A4859">
      <w:pPr>
        <w:numPr>
          <w:ilvl w:val="0"/>
          <w:numId w:val="649"/>
        </w:numPr>
        <w:tabs>
          <w:tab w:val="left" w:pos="2260"/>
        </w:tabs>
        <w:ind w:left="2260" w:hanging="365"/>
        <w:rPr>
          <w:rFonts w:eastAsia="Times New Roman"/>
          <w:sz w:val="24"/>
          <w:szCs w:val="24"/>
        </w:rPr>
      </w:pPr>
      <w:r w:rsidRPr="00D03C38">
        <w:rPr>
          <w:rFonts w:eastAsia="Times New Roman"/>
          <w:sz w:val="24"/>
          <w:szCs w:val="24"/>
        </w:rPr>
        <w:t>The supplier of water shall calculate the total inactivation ratio as follows:</w:t>
      </w:r>
    </w:p>
    <w:p w14:paraId="281A624E" w14:textId="77777777" w:rsidR="004647B9" w:rsidRPr="00D03C38" w:rsidRDefault="00E2436F" w:rsidP="008A4859">
      <w:pPr>
        <w:numPr>
          <w:ilvl w:val="1"/>
          <w:numId w:val="649"/>
        </w:numPr>
        <w:tabs>
          <w:tab w:val="left" w:pos="2700"/>
        </w:tabs>
        <w:ind w:left="2260" w:hanging="5"/>
        <w:jc w:val="both"/>
        <w:rPr>
          <w:rFonts w:eastAsia="Times New Roman"/>
          <w:sz w:val="24"/>
          <w:szCs w:val="24"/>
        </w:rPr>
      </w:pPr>
      <w:r w:rsidRPr="00D03C38">
        <w:rPr>
          <w:rFonts w:eastAsia="Times New Roman"/>
          <w:sz w:val="24"/>
          <w:szCs w:val="24"/>
        </w:rPr>
        <w:t>If the supplier of water uses only one point of disinfectant application, the supplier of water may determine the total inactivation ratio for the disinfection segment based on either of the methods below:</w:t>
      </w:r>
    </w:p>
    <w:p w14:paraId="281A6250" w14:textId="77777777" w:rsidR="004647B9" w:rsidRPr="00D03C38" w:rsidRDefault="00E2436F" w:rsidP="008A4859">
      <w:pPr>
        <w:numPr>
          <w:ilvl w:val="2"/>
          <w:numId w:val="649"/>
        </w:numPr>
        <w:tabs>
          <w:tab w:val="left" w:pos="2973"/>
        </w:tabs>
        <w:ind w:left="2620" w:hanging="5"/>
        <w:rPr>
          <w:rFonts w:eastAsia="Times New Roman"/>
          <w:sz w:val="24"/>
          <w:szCs w:val="24"/>
        </w:rPr>
      </w:pPr>
      <w:r w:rsidRPr="00D03C38">
        <w:rPr>
          <w:rFonts w:eastAsia="Times New Roman"/>
          <w:sz w:val="24"/>
          <w:szCs w:val="24"/>
        </w:rPr>
        <w:t>Determine one inactivation ratio CTcalc/CT</w:t>
      </w:r>
      <w:r w:rsidRPr="00D03C38">
        <w:rPr>
          <w:rFonts w:eastAsia="Times New Roman"/>
          <w:sz w:val="24"/>
          <w:szCs w:val="24"/>
          <w:vertAlign w:val="subscript"/>
        </w:rPr>
        <w:t>99.9</w:t>
      </w:r>
      <w:r w:rsidRPr="00D03C38">
        <w:rPr>
          <w:rFonts w:eastAsia="Times New Roman"/>
          <w:sz w:val="24"/>
          <w:szCs w:val="24"/>
        </w:rPr>
        <w:t xml:space="preserve"> before or at the first customer during peak hourly flow; or,</w:t>
      </w:r>
    </w:p>
    <w:p w14:paraId="281A6252" w14:textId="3002C5D1" w:rsidR="004647B9" w:rsidRPr="00D03C38" w:rsidRDefault="00E2436F" w:rsidP="00905F85">
      <w:pPr>
        <w:numPr>
          <w:ilvl w:val="2"/>
          <w:numId w:val="649"/>
        </w:numPr>
        <w:tabs>
          <w:tab w:val="left" w:pos="2966"/>
        </w:tabs>
        <w:ind w:left="2621"/>
        <w:jc w:val="both"/>
        <w:rPr>
          <w:rFonts w:eastAsia="Times New Roman"/>
          <w:sz w:val="24"/>
          <w:szCs w:val="24"/>
        </w:rPr>
      </w:pPr>
      <w:r w:rsidRPr="00D03C38">
        <w:rPr>
          <w:rFonts w:eastAsia="Times New Roman"/>
          <w:sz w:val="24"/>
          <w:szCs w:val="24"/>
        </w:rPr>
        <w:t>Determine successive CTcalc/CT</w:t>
      </w:r>
      <w:r w:rsidRPr="00D03C38">
        <w:rPr>
          <w:rFonts w:eastAsia="Times New Roman"/>
          <w:sz w:val="24"/>
          <w:szCs w:val="24"/>
          <w:vertAlign w:val="subscript"/>
        </w:rPr>
        <w:t>99.9</w:t>
      </w:r>
      <w:r w:rsidRPr="00D03C38">
        <w:rPr>
          <w:rFonts w:eastAsia="Times New Roman"/>
          <w:sz w:val="24"/>
          <w:szCs w:val="24"/>
        </w:rPr>
        <w:t xml:space="preserve"> values, representing sequential inactivation ratios, between the point of disinfectant application and a point before or at the first customer during peak hourly flow. Under this alternative, the supplier of water shall calculate the total inactivation ratio by determining</w:t>
      </w:r>
      <w:r w:rsidR="008A4859">
        <w:rPr>
          <w:rFonts w:eastAsia="Times New Roman"/>
          <w:sz w:val="24"/>
          <w:szCs w:val="24"/>
        </w:rPr>
        <w:t xml:space="preserve"> </w:t>
      </w:r>
      <w:r w:rsidR="008A4859" w:rsidRPr="00D03C38">
        <w:rPr>
          <w:rFonts w:eastAsia="Times New Roman"/>
          <w:sz w:val="24"/>
          <w:szCs w:val="24"/>
        </w:rPr>
        <w:t>CTcalc/CT</w:t>
      </w:r>
      <w:r w:rsidR="008A4859" w:rsidRPr="00D03C38">
        <w:rPr>
          <w:rFonts w:eastAsia="Times New Roman"/>
          <w:sz w:val="24"/>
          <w:szCs w:val="24"/>
          <w:vertAlign w:val="subscript"/>
        </w:rPr>
        <w:t>99.9</w:t>
      </w:r>
      <w:r w:rsidR="008A4859" w:rsidRPr="00D03C38">
        <w:rPr>
          <w:rFonts w:eastAsia="Times New Roman"/>
          <w:sz w:val="24"/>
          <w:szCs w:val="24"/>
        </w:rPr>
        <w:t xml:space="preserve"> for each sequence and then add the CTcalc/CT 99.9 values</w:t>
      </w:r>
      <w:r w:rsidR="008A4859">
        <w:rPr>
          <w:rFonts w:eastAsia="Times New Roman"/>
          <w:sz w:val="24"/>
          <w:szCs w:val="24"/>
        </w:rPr>
        <w:t xml:space="preserve"> together:</w:t>
      </w:r>
    </w:p>
    <w:p w14:paraId="281A6255" w14:textId="7F83FECB" w:rsidR="004647B9" w:rsidRPr="008A4859" w:rsidRDefault="00494405" w:rsidP="008A4859">
      <w:pPr>
        <w:ind w:firstLine="1"/>
        <w:rPr>
          <w:sz w:val="24"/>
          <w:szCs w:val="24"/>
        </w:rPr>
      </w:pPr>
      <w:r>
        <w:rPr>
          <w:noProof/>
          <w:sz w:val="20"/>
          <w:szCs w:val="20"/>
        </w:rPr>
        <w:drawing>
          <wp:anchor distT="0" distB="0" distL="114300" distR="114300" simplePos="0" relativeHeight="251658256" behindDoc="1" locked="0" layoutInCell="0" allowOverlap="1" wp14:anchorId="14792250" wp14:editId="6E0F0B8B">
            <wp:simplePos x="0" y="0"/>
            <wp:positionH relativeFrom="column">
              <wp:posOffset>2898140</wp:posOffset>
            </wp:positionH>
            <wp:positionV relativeFrom="paragraph">
              <wp:posOffset>64135</wp:posOffset>
            </wp:positionV>
            <wp:extent cx="805180" cy="409575"/>
            <wp:effectExtent l="0" t="0" r="0" b="9525"/>
            <wp:wrapNone/>
            <wp:docPr id="934" name="Picture 93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Picture 934" descr="Shape&#10;&#10;Description automatically generated with medium confidence"/>
                    <pic:cNvPicPr>
                      <a:picLocks noChangeAspect="1" noChangeArrowheads="1"/>
                    </pic:cNvPicPr>
                  </pic:nvPicPr>
                  <pic:blipFill>
                    <a:blip r:embed="rId23"/>
                    <a:srcRect/>
                    <a:stretch>
                      <a:fillRect/>
                    </a:stretch>
                  </pic:blipFill>
                  <pic:spPr bwMode="auto">
                    <a:xfrm>
                      <a:off x="0" y="0"/>
                      <a:ext cx="805180" cy="409575"/>
                    </a:xfrm>
                    <a:prstGeom prst="rect">
                      <a:avLst/>
                    </a:prstGeom>
                    <a:noFill/>
                  </pic:spPr>
                </pic:pic>
              </a:graphicData>
            </a:graphic>
          </wp:anchor>
        </w:drawing>
      </w:r>
    </w:p>
    <w:p w14:paraId="281A6256" w14:textId="38BB2B96" w:rsidR="004647B9" w:rsidRPr="008A4859" w:rsidRDefault="004647B9" w:rsidP="008A4859">
      <w:pPr>
        <w:rPr>
          <w:sz w:val="24"/>
          <w:szCs w:val="24"/>
        </w:rPr>
      </w:pPr>
    </w:p>
    <w:p w14:paraId="281A6257" w14:textId="77777777" w:rsidR="004647B9" w:rsidRPr="008A4859" w:rsidRDefault="004647B9" w:rsidP="008A4859">
      <w:pPr>
        <w:rPr>
          <w:sz w:val="24"/>
          <w:szCs w:val="24"/>
        </w:rPr>
      </w:pPr>
    </w:p>
    <w:p w14:paraId="281A6258" w14:textId="4AC8C1A5" w:rsidR="004647B9" w:rsidRPr="00D03C38" w:rsidRDefault="00E2436F" w:rsidP="008A4859">
      <w:pPr>
        <w:numPr>
          <w:ilvl w:val="0"/>
          <w:numId w:val="650"/>
        </w:numPr>
        <w:tabs>
          <w:tab w:val="left" w:pos="2685"/>
        </w:tabs>
        <w:ind w:left="2260" w:hanging="5"/>
        <w:jc w:val="both"/>
        <w:rPr>
          <w:rFonts w:eastAsia="Times New Roman"/>
          <w:sz w:val="24"/>
          <w:szCs w:val="24"/>
        </w:rPr>
      </w:pPr>
      <w:r w:rsidRPr="00D03C38">
        <w:rPr>
          <w:rFonts w:eastAsia="Times New Roman"/>
          <w:sz w:val="24"/>
          <w:szCs w:val="24"/>
        </w:rPr>
        <w:t>If the supplier of water uses more than one point of disinfectant application before the first customer, the supplier of water shall determine the CT value of each disinfection segment immediately prior to the next point of disinfectant application, or for the final segment, before or at the first customer, during peak hourly flow. The supplier of water shall calculate the CTcalc/CT</w:t>
      </w:r>
      <w:r w:rsidRPr="00D03C38">
        <w:rPr>
          <w:rFonts w:eastAsia="Times New Roman"/>
          <w:sz w:val="24"/>
          <w:szCs w:val="24"/>
          <w:vertAlign w:val="subscript"/>
        </w:rPr>
        <w:t>99.9</w:t>
      </w:r>
      <w:r w:rsidRPr="00D03C38">
        <w:rPr>
          <w:rFonts w:eastAsia="Times New Roman"/>
          <w:sz w:val="24"/>
          <w:szCs w:val="24"/>
        </w:rPr>
        <w:t xml:space="preserve"> value of each segment and </w:t>
      </w:r>
      <w:r w:rsidR="00B80287">
        <w:rPr>
          <w:rFonts w:eastAsia="Times New Roman"/>
          <w:sz w:val="24"/>
          <w:szCs w:val="24"/>
        </w:rPr>
        <w:t>∑</w:t>
      </w:r>
      <w:r w:rsidRPr="00D03C38">
        <w:rPr>
          <w:rFonts w:eastAsia="Times New Roman"/>
          <w:sz w:val="24"/>
          <w:szCs w:val="24"/>
        </w:rPr>
        <w:t>(CTcalc/CT</w:t>
      </w:r>
      <w:r w:rsidRPr="00D03C38">
        <w:rPr>
          <w:rFonts w:eastAsia="Times New Roman"/>
          <w:sz w:val="24"/>
          <w:szCs w:val="24"/>
          <w:vertAlign w:val="subscript"/>
        </w:rPr>
        <w:t>99.9</w:t>
      </w:r>
      <w:r w:rsidRPr="00D03C38">
        <w:rPr>
          <w:rFonts w:eastAsia="Times New Roman"/>
          <w:sz w:val="24"/>
          <w:szCs w:val="24"/>
        </w:rPr>
        <w:t>) using the method in 310 CMR 22.20D(3)(b)4.a.</w:t>
      </w:r>
    </w:p>
    <w:p w14:paraId="281A625A" w14:textId="15F336AD" w:rsidR="004647B9" w:rsidRPr="00D03C38" w:rsidRDefault="00E2436F" w:rsidP="008A4859">
      <w:pPr>
        <w:numPr>
          <w:ilvl w:val="0"/>
          <w:numId w:val="650"/>
        </w:numPr>
        <w:tabs>
          <w:tab w:val="left" w:pos="2729"/>
        </w:tabs>
        <w:ind w:left="2260" w:hanging="5"/>
        <w:jc w:val="both"/>
        <w:rPr>
          <w:rFonts w:eastAsia="Times New Roman"/>
          <w:sz w:val="24"/>
          <w:szCs w:val="24"/>
        </w:rPr>
      </w:pPr>
      <w:r w:rsidRPr="00D03C38">
        <w:rPr>
          <w:rFonts w:eastAsia="Times New Roman"/>
          <w:sz w:val="24"/>
          <w:szCs w:val="24"/>
        </w:rPr>
        <w:t>The supplier of water shall determine the total logs of inactivation (z) by multiplying the value calculated in 310 CMR 22.20D(b)4.a. or b. by 3.0 as shown below:</w:t>
      </w:r>
    </w:p>
    <w:p w14:paraId="281A625B" w14:textId="6B6E3847" w:rsidR="004647B9" w:rsidRDefault="00350012" w:rsidP="008A4859">
      <w:pPr>
        <w:rPr>
          <w:sz w:val="20"/>
          <w:szCs w:val="20"/>
        </w:rPr>
      </w:pPr>
      <w:r>
        <w:rPr>
          <w:noProof/>
          <w:sz w:val="20"/>
          <w:szCs w:val="20"/>
        </w:rPr>
        <w:drawing>
          <wp:anchor distT="0" distB="0" distL="114300" distR="114300" simplePos="0" relativeHeight="251658257" behindDoc="1" locked="0" layoutInCell="0" allowOverlap="1" wp14:anchorId="6917442D" wp14:editId="74C3840E">
            <wp:simplePos x="0" y="0"/>
            <wp:positionH relativeFrom="column">
              <wp:posOffset>2247265</wp:posOffset>
            </wp:positionH>
            <wp:positionV relativeFrom="paragraph">
              <wp:posOffset>51123</wp:posOffset>
            </wp:positionV>
            <wp:extent cx="2247265" cy="775970"/>
            <wp:effectExtent l="0" t="0" r="0" b="0"/>
            <wp:wrapNone/>
            <wp:docPr id="937" name="Picture 93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Picture 937" descr="Shape&#10;&#10;Description automatically generated with medium confidence"/>
                    <pic:cNvPicPr>
                      <a:picLocks noChangeAspect="1" noChangeArrowheads="1"/>
                    </pic:cNvPicPr>
                  </pic:nvPicPr>
                  <pic:blipFill>
                    <a:blip r:embed="rId24"/>
                    <a:srcRect/>
                    <a:stretch>
                      <a:fillRect/>
                    </a:stretch>
                  </pic:blipFill>
                  <pic:spPr bwMode="auto">
                    <a:xfrm>
                      <a:off x="0" y="0"/>
                      <a:ext cx="2247265" cy="775970"/>
                    </a:xfrm>
                    <a:prstGeom prst="rect">
                      <a:avLst/>
                    </a:prstGeom>
                    <a:noFill/>
                  </pic:spPr>
                </pic:pic>
              </a:graphicData>
            </a:graphic>
          </wp:anchor>
        </w:drawing>
      </w:r>
    </w:p>
    <w:p w14:paraId="281A625C" w14:textId="79DAA195" w:rsidR="004647B9" w:rsidRDefault="00810C3F" w:rsidP="008A4859">
      <w:pPr>
        <w:rPr>
          <w:sz w:val="20"/>
          <w:szCs w:val="20"/>
        </w:rPr>
      </w:pPr>
      <w:r>
        <w:rPr>
          <w:noProof/>
          <w:sz w:val="20"/>
          <w:szCs w:val="20"/>
        </w:rPr>
        <w:drawing>
          <wp:anchor distT="0" distB="0" distL="114300" distR="114300" simplePos="0" relativeHeight="251658259" behindDoc="1" locked="0" layoutInCell="0" allowOverlap="1" wp14:anchorId="5375BBE7" wp14:editId="077E4E36">
            <wp:simplePos x="0" y="0"/>
            <wp:positionH relativeFrom="column">
              <wp:posOffset>2807599</wp:posOffset>
            </wp:positionH>
            <wp:positionV relativeFrom="paragraph">
              <wp:posOffset>27305</wp:posOffset>
            </wp:positionV>
            <wp:extent cx="83185" cy="55880"/>
            <wp:effectExtent l="0" t="0" r="0" b="1270"/>
            <wp:wrapSquare wrapText="bothSides"/>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25"/>
                    <a:srcRect/>
                    <a:stretch>
                      <a:fillRect/>
                    </a:stretch>
                  </pic:blipFill>
                  <pic:spPr bwMode="auto">
                    <a:xfrm>
                      <a:off x="0" y="0"/>
                      <a:ext cx="83185" cy="55880"/>
                    </a:xfrm>
                    <a:prstGeom prst="rect">
                      <a:avLst/>
                    </a:prstGeom>
                    <a:noFill/>
                  </pic:spPr>
                </pic:pic>
              </a:graphicData>
            </a:graphic>
          </wp:anchor>
        </w:drawing>
      </w:r>
      <w:r w:rsidR="006317B5">
        <w:rPr>
          <w:noProof/>
          <w:sz w:val="20"/>
          <w:szCs w:val="20"/>
        </w:rPr>
        <w:drawing>
          <wp:anchor distT="0" distB="0" distL="114300" distR="114300" simplePos="0" relativeHeight="251658258" behindDoc="1" locked="0" layoutInCell="0" allowOverlap="1" wp14:anchorId="209A4EB0" wp14:editId="2D85F58C">
            <wp:simplePos x="0" y="0"/>
            <wp:positionH relativeFrom="column">
              <wp:posOffset>2604135</wp:posOffset>
            </wp:positionH>
            <wp:positionV relativeFrom="paragraph">
              <wp:posOffset>8890</wp:posOffset>
            </wp:positionV>
            <wp:extent cx="89535" cy="90805"/>
            <wp:effectExtent l="0" t="0" r="5715" b="4445"/>
            <wp:wrapSquare wrapText="bothSides"/>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26"/>
                    <a:srcRect/>
                    <a:stretch>
                      <a:fillRect/>
                    </a:stretch>
                  </pic:blipFill>
                  <pic:spPr bwMode="auto">
                    <a:xfrm>
                      <a:off x="0" y="0"/>
                      <a:ext cx="89535" cy="90805"/>
                    </a:xfrm>
                    <a:prstGeom prst="rect">
                      <a:avLst/>
                    </a:prstGeom>
                    <a:noFill/>
                  </pic:spPr>
                </pic:pic>
              </a:graphicData>
            </a:graphic>
            <wp14:sizeRelH relativeFrom="margin">
              <wp14:pctWidth>0</wp14:pctWidth>
            </wp14:sizeRelH>
            <wp14:sizeRelV relativeFrom="margin">
              <wp14:pctHeight>0</wp14:pctHeight>
            </wp14:sizeRelV>
          </wp:anchor>
        </w:drawing>
      </w:r>
    </w:p>
    <w:p w14:paraId="281A625D" w14:textId="77777777" w:rsidR="004647B9" w:rsidRDefault="004647B9" w:rsidP="008A4859">
      <w:pPr>
        <w:rPr>
          <w:sz w:val="20"/>
          <w:szCs w:val="20"/>
        </w:rPr>
      </w:pPr>
    </w:p>
    <w:p w14:paraId="281A625E" w14:textId="77777777" w:rsidR="004647B9" w:rsidRDefault="004647B9" w:rsidP="008A4859">
      <w:pPr>
        <w:rPr>
          <w:sz w:val="20"/>
          <w:szCs w:val="20"/>
        </w:rPr>
      </w:pPr>
    </w:p>
    <w:p w14:paraId="281A625F" w14:textId="77777777" w:rsidR="004647B9" w:rsidRDefault="004647B9" w:rsidP="008A4859">
      <w:pPr>
        <w:rPr>
          <w:sz w:val="20"/>
          <w:szCs w:val="20"/>
        </w:rPr>
      </w:pPr>
    </w:p>
    <w:p w14:paraId="281A6260" w14:textId="77777777" w:rsidR="004647B9" w:rsidRDefault="004647B9" w:rsidP="008A4859">
      <w:pPr>
        <w:rPr>
          <w:sz w:val="20"/>
          <w:szCs w:val="20"/>
        </w:rPr>
      </w:pPr>
    </w:p>
    <w:p w14:paraId="281A6261" w14:textId="77777777" w:rsidR="004647B9" w:rsidRDefault="004647B9" w:rsidP="008A4859">
      <w:pPr>
        <w:rPr>
          <w:sz w:val="20"/>
          <w:szCs w:val="20"/>
        </w:rPr>
      </w:pPr>
    </w:p>
    <w:p w14:paraId="281A6262" w14:textId="77777777" w:rsidR="004647B9" w:rsidRDefault="00E2436F" w:rsidP="008A4859">
      <w:pPr>
        <w:numPr>
          <w:ilvl w:val="0"/>
          <w:numId w:val="651"/>
        </w:numPr>
        <w:tabs>
          <w:tab w:val="left" w:pos="2210"/>
        </w:tabs>
        <w:ind w:left="1900" w:hanging="5"/>
        <w:jc w:val="both"/>
        <w:rPr>
          <w:rFonts w:eastAsia="Times New Roman"/>
          <w:sz w:val="24"/>
          <w:szCs w:val="24"/>
        </w:rPr>
      </w:pPr>
      <w:r>
        <w:rPr>
          <w:rFonts w:eastAsia="Times New Roman"/>
          <w:sz w:val="24"/>
          <w:szCs w:val="24"/>
        </w:rPr>
        <w:t>Each supplier of water who uses either chloramines or ozone for primary disinfection shall also calculate the logs of inactivation for Viruses using a method approved by the Department.</w:t>
      </w:r>
    </w:p>
    <w:p w14:paraId="281A6263" w14:textId="77777777" w:rsidR="004647B9" w:rsidRDefault="00E2436F" w:rsidP="008A4859">
      <w:pPr>
        <w:numPr>
          <w:ilvl w:val="0"/>
          <w:numId w:val="651"/>
        </w:numPr>
        <w:tabs>
          <w:tab w:val="left" w:pos="2303"/>
        </w:tabs>
        <w:ind w:left="1900" w:hanging="5"/>
        <w:rPr>
          <w:rFonts w:eastAsia="Times New Roman"/>
          <w:sz w:val="24"/>
          <w:szCs w:val="24"/>
        </w:rPr>
      </w:pPr>
      <w:r>
        <w:rPr>
          <w:rFonts w:eastAsia="Times New Roman"/>
          <w:sz w:val="24"/>
          <w:szCs w:val="24"/>
        </w:rPr>
        <w:t>A supplier of water who uses mixed oxidants shall calculate the overall "CT" by finding the summation of the individual "CTs" of each disinfectant within the mix.</w:t>
      </w:r>
    </w:p>
    <w:p w14:paraId="281A6265" w14:textId="77777777" w:rsidR="004647B9" w:rsidRDefault="00E2436F" w:rsidP="008A4859">
      <w:pPr>
        <w:numPr>
          <w:ilvl w:val="0"/>
          <w:numId w:val="651"/>
        </w:numPr>
        <w:tabs>
          <w:tab w:val="left" w:pos="2246"/>
        </w:tabs>
        <w:ind w:left="1900" w:hanging="5"/>
        <w:jc w:val="both"/>
        <w:rPr>
          <w:rFonts w:eastAsia="Times New Roman"/>
          <w:sz w:val="24"/>
          <w:szCs w:val="24"/>
        </w:rPr>
      </w:pPr>
      <w:r>
        <w:rPr>
          <w:rFonts w:eastAsia="Times New Roman"/>
          <w:sz w:val="24"/>
          <w:szCs w:val="24"/>
        </w:rPr>
        <w:t>Each supplier of water shall retain the disinfection profile data in graphic form, as a spreadsheet, or in some other format acceptable to the Department for review as part of sanitary surveys conducted by the Department.</w:t>
      </w:r>
    </w:p>
    <w:p w14:paraId="281A6266" w14:textId="77777777" w:rsidR="004647B9" w:rsidRDefault="004647B9" w:rsidP="008A4859">
      <w:pPr>
        <w:sectPr w:rsidR="004647B9" w:rsidSect="00EF630C">
          <w:pgSz w:w="12240" w:h="20180"/>
          <w:pgMar w:top="708" w:right="1440" w:bottom="1440" w:left="620" w:header="0" w:footer="0" w:gutter="0"/>
          <w:cols w:space="720"/>
        </w:sectPr>
      </w:pPr>
    </w:p>
    <w:p w14:paraId="281A6267" w14:textId="77777777" w:rsidR="004647B9" w:rsidRPr="00070A7A" w:rsidRDefault="00E2436F" w:rsidP="00070A7A">
      <w:pPr>
        <w:tabs>
          <w:tab w:val="left" w:pos="160"/>
        </w:tabs>
        <w:ind w:right="20"/>
        <w:jc w:val="center"/>
        <w:rPr>
          <w:sz w:val="24"/>
          <w:szCs w:val="24"/>
        </w:rPr>
      </w:pPr>
      <w:bookmarkStart w:id="277" w:name="page281"/>
      <w:bookmarkEnd w:id="277"/>
      <w:r w:rsidRPr="00070A7A">
        <w:rPr>
          <w:rFonts w:eastAsia="Times New Roman"/>
          <w:sz w:val="24"/>
          <w:szCs w:val="24"/>
        </w:rPr>
        <w:lastRenderedPageBreak/>
        <w:t>310 CMR:</w:t>
      </w:r>
      <w:r w:rsidRPr="00070A7A">
        <w:rPr>
          <w:sz w:val="24"/>
          <w:szCs w:val="24"/>
        </w:rPr>
        <w:tab/>
      </w:r>
      <w:r w:rsidRPr="00070A7A">
        <w:rPr>
          <w:rFonts w:eastAsia="Times New Roman"/>
          <w:sz w:val="24"/>
          <w:szCs w:val="24"/>
        </w:rPr>
        <w:t>DEPARTMENT OF ENVIRONMENTAL PROTECTION</w:t>
      </w:r>
    </w:p>
    <w:p w14:paraId="281A6268" w14:textId="77777777" w:rsidR="004647B9" w:rsidRPr="0017104E" w:rsidRDefault="004647B9" w:rsidP="00070A7A">
      <w:pPr>
        <w:rPr>
          <w:sz w:val="20"/>
          <w:szCs w:val="20"/>
        </w:rPr>
      </w:pPr>
    </w:p>
    <w:p w14:paraId="281A6269" w14:textId="77777777" w:rsidR="004647B9" w:rsidRPr="0017104E" w:rsidRDefault="004647B9" w:rsidP="00070A7A">
      <w:pPr>
        <w:rPr>
          <w:sz w:val="20"/>
          <w:szCs w:val="20"/>
        </w:rPr>
      </w:pPr>
    </w:p>
    <w:p w14:paraId="281A626A" w14:textId="77777777" w:rsidR="004647B9" w:rsidRPr="00070A7A" w:rsidRDefault="00E2436F" w:rsidP="00070A7A">
      <w:pPr>
        <w:tabs>
          <w:tab w:val="left" w:pos="940"/>
        </w:tabs>
        <w:rPr>
          <w:sz w:val="24"/>
          <w:szCs w:val="24"/>
        </w:rPr>
      </w:pPr>
      <w:r w:rsidRPr="00070A7A">
        <w:rPr>
          <w:rFonts w:eastAsia="Times New Roman"/>
          <w:sz w:val="24"/>
          <w:szCs w:val="24"/>
        </w:rPr>
        <w:t>22.20D:</w:t>
      </w:r>
      <w:r w:rsidRPr="00070A7A">
        <w:rPr>
          <w:rFonts w:eastAsia="Times New Roman"/>
          <w:sz w:val="24"/>
          <w:szCs w:val="24"/>
        </w:rPr>
        <w:tab/>
        <w:t>continued</w:t>
      </w:r>
    </w:p>
    <w:p w14:paraId="281A626B" w14:textId="77777777" w:rsidR="004647B9" w:rsidRPr="0017104E" w:rsidRDefault="004647B9" w:rsidP="00070A7A">
      <w:pPr>
        <w:rPr>
          <w:sz w:val="20"/>
          <w:szCs w:val="20"/>
        </w:rPr>
      </w:pPr>
    </w:p>
    <w:p w14:paraId="281A626C" w14:textId="77777777" w:rsidR="004647B9" w:rsidRPr="00070A7A" w:rsidRDefault="00E2436F" w:rsidP="00563A54">
      <w:pPr>
        <w:numPr>
          <w:ilvl w:val="0"/>
          <w:numId w:val="652"/>
        </w:numPr>
        <w:tabs>
          <w:tab w:val="left" w:pos="2040"/>
        </w:tabs>
        <w:ind w:left="2040" w:hanging="505"/>
        <w:rPr>
          <w:rFonts w:eastAsia="Times New Roman"/>
          <w:sz w:val="24"/>
          <w:szCs w:val="24"/>
        </w:rPr>
      </w:pPr>
      <w:r w:rsidRPr="00070A7A">
        <w:rPr>
          <w:rFonts w:eastAsia="Times New Roman"/>
          <w:sz w:val="24"/>
          <w:szCs w:val="24"/>
          <w:u w:val="single"/>
        </w:rPr>
        <w:t>Disinfection Benchmarking</w:t>
      </w:r>
      <w:r w:rsidRPr="00070A7A">
        <w:rPr>
          <w:rFonts w:eastAsia="Times New Roman"/>
          <w:sz w:val="24"/>
          <w:szCs w:val="24"/>
        </w:rPr>
        <w:t>.</w:t>
      </w:r>
    </w:p>
    <w:p w14:paraId="281A626E" w14:textId="77777777" w:rsidR="004647B9" w:rsidRPr="00070A7A" w:rsidRDefault="00E2436F" w:rsidP="00563A54">
      <w:pPr>
        <w:numPr>
          <w:ilvl w:val="1"/>
          <w:numId w:val="652"/>
        </w:numPr>
        <w:tabs>
          <w:tab w:val="left" w:pos="2210"/>
        </w:tabs>
        <w:ind w:left="1900" w:hanging="5"/>
        <w:jc w:val="both"/>
        <w:rPr>
          <w:rFonts w:eastAsia="Times New Roman"/>
          <w:sz w:val="24"/>
          <w:szCs w:val="24"/>
        </w:rPr>
      </w:pPr>
      <w:r w:rsidRPr="00070A7A">
        <w:rPr>
          <w:rFonts w:eastAsia="Times New Roman"/>
          <w:sz w:val="24"/>
          <w:szCs w:val="24"/>
        </w:rPr>
        <w:t>Each supplier of water required to develop a disinfection profile under the provisions of 310 CMR 22.20D(a) and (b) who decides to make a significant change to a disinfection practice shall consult with the Department prior to making the change. A significant change to disinfection practice is any of the following:</w:t>
      </w:r>
    </w:p>
    <w:p w14:paraId="281A6270" w14:textId="77777777" w:rsidR="004647B9" w:rsidRPr="00070A7A" w:rsidRDefault="00E2436F" w:rsidP="00563A54">
      <w:pPr>
        <w:numPr>
          <w:ilvl w:val="2"/>
          <w:numId w:val="652"/>
        </w:numPr>
        <w:tabs>
          <w:tab w:val="left" w:pos="2600"/>
        </w:tabs>
        <w:ind w:left="2600" w:hanging="345"/>
        <w:rPr>
          <w:rFonts w:eastAsia="Times New Roman"/>
          <w:sz w:val="24"/>
          <w:szCs w:val="24"/>
        </w:rPr>
      </w:pPr>
      <w:r w:rsidRPr="00070A7A">
        <w:rPr>
          <w:rFonts w:eastAsia="Times New Roman"/>
          <w:sz w:val="24"/>
          <w:szCs w:val="24"/>
        </w:rPr>
        <w:t>A change to the point of disinfection;</w:t>
      </w:r>
    </w:p>
    <w:p w14:paraId="281A6271" w14:textId="77777777" w:rsidR="004647B9" w:rsidRPr="00070A7A" w:rsidRDefault="00E2436F" w:rsidP="00563A54">
      <w:pPr>
        <w:numPr>
          <w:ilvl w:val="2"/>
          <w:numId w:val="652"/>
        </w:numPr>
        <w:tabs>
          <w:tab w:val="left" w:pos="2620"/>
        </w:tabs>
        <w:ind w:left="2620" w:hanging="365"/>
        <w:rPr>
          <w:rFonts w:eastAsia="Times New Roman"/>
          <w:sz w:val="24"/>
          <w:szCs w:val="24"/>
        </w:rPr>
      </w:pPr>
      <w:r w:rsidRPr="00070A7A">
        <w:rPr>
          <w:rFonts w:eastAsia="Times New Roman"/>
          <w:sz w:val="24"/>
          <w:szCs w:val="24"/>
        </w:rPr>
        <w:t>A change to the disinfectant(s) used in the treatment plant;</w:t>
      </w:r>
    </w:p>
    <w:p w14:paraId="281A6272" w14:textId="77777777" w:rsidR="004647B9" w:rsidRPr="00070A7A" w:rsidRDefault="00E2436F" w:rsidP="00563A54">
      <w:pPr>
        <w:numPr>
          <w:ilvl w:val="2"/>
          <w:numId w:val="652"/>
        </w:numPr>
        <w:tabs>
          <w:tab w:val="left" w:pos="2600"/>
        </w:tabs>
        <w:ind w:left="2600" w:hanging="345"/>
        <w:rPr>
          <w:rFonts w:eastAsia="Times New Roman"/>
          <w:sz w:val="24"/>
          <w:szCs w:val="24"/>
        </w:rPr>
      </w:pPr>
      <w:r w:rsidRPr="00070A7A">
        <w:rPr>
          <w:rFonts w:eastAsia="Times New Roman"/>
          <w:sz w:val="24"/>
          <w:szCs w:val="24"/>
        </w:rPr>
        <w:t>A change to the disinfection process;</w:t>
      </w:r>
    </w:p>
    <w:p w14:paraId="281A6273" w14:textId="77777777" w:rsidR="004647B9" w:rsidRPr="00070A7A" w:rsidRDefault="00E2436F" w:rsidP="00563A54">
      <w:pPr>
        <w:numPr>
          <w:ilvl w:val="2"/>
          <w:numId w:val="652"/>
        </w:numPr>
        <w:tabs>
          <w:tab w:val="left" w:pos="2582"/>
        </w:tabs>
        <w:ind w:left="2260" w:hanging="5"/>
        <w:rPr>
          <w:rFonts w:eastAsia="Times New Roman"/>
          <w:sz w:val="24"/>
          <w:szCs w:val="24"/>
        </w:rPr>
      </w:pPr>
      <w:r w:rsidRPr="00070A7A">
        <w:rPr>
          <w:rFonts w:eastAsia="Times New Roman"/>
          <w:sz w:val="24"/>
          <w:szCs w:val="24"/>
        </w:rPr>
        <w:t>A physical modification(s) that directly or indirectly effects the detention time of any unit process;</w:t>
      </w:r>
    </w:p>
    <w:p w14:paraId="281A6275" w14:textId="77777777" w:rsidR="004647B9" w:rsidRPr="00070A7A" w:rsidRDefault="00E2436F" w:rsidP="00563A54">
      <w:pPr>
        <w:numPr>
          <w:ilvl w:val="2"/>
          <w:numId w:val="652"/>
        </w:numPr>
        <w:tabs>
          <w:tab w:val="left" w:pos="2600"/>
        </w:tabs>
        <w:ind w:left="2600" w:hanging="345"/>
        <w:rPr>
          <w:rFonts w:eastAsia="Times New Roman"/>
          <w:sz w:val="24"/>
          <w:szCs w:val="24"/>
        </w:rPr>
      </w:pPr>
      <w:r w:rsidRPr="00070A7A">
        <w:rPr>
          <w:rFonts w:eastAsia="Times New Roman"/>
          <w:sz w:val="24"/>
          <w:szCs w:val="24"/>
        </w:rPr>
        <w:t>Any other modification identified by the Department.</w:t>
      </w:r>
    </w:p>
    <w:p w14:paraId="281A6276" w14:textId="77777777" w:rsidR="004647B9" w:rsidRPr="00070A7A" w:rsidRDefault="00E2436F" w:rsidP="00563A54">
      <w:pPr>
        <w:numPr>
          <w:ilvl w:val="1"/>
          <w:numId w:val="652"/>
        </w:numPr>
        <w:tabs>
          <w:tab w:val="left" w:pos="2382"/>
        </w:tabs>
        <w:ind w:left="1900" w:hanging="5"/>
        <w:rPr>
          <w:rFonts w:eastAsia="Times New Roman"/>
          <w:sz w:val="24"/>
          <w:szCs w:val="24"/>
        </w:rPr>
      </w:pPr>
      <w:r w:rsidRPr="00070A7A">
        <w:rPr>
          <w:rFonts w:eastAsia="Times New Roman"/>
          <w:sz w:val="24"/>
          <w:szCs w:val="24"/>
        </w:rPr>
        <w:t>Each supplier of water who proposes to modify its disinfection practice shall calculate the disinfection benchmark using the following procedure:</w:t>
      </w:r>
    </w:p>
    <w:p w14:paraId="281A6278" w14:textId="0F14B2B5" w:rsidR="004647B9" w:rsidRPr="00070A7A" w:rsidRDefault="00E2436F" w:rsidP="00563A54">
      <w:pPr>
        <w:numPr>
          <w:ilvl w:val="2"/>
          <w:numId w:val="652"/>
        </w:numPr>
        <w:tabs>
          <w:tab w:val="left" w:pos="2751"/>
        </w:tabs>
        <w:ind w:left="2260" w:hanging="5"/>
        <w:jc w:val="both"/>
        <w:rPr>
          <w:rFonts w:eastAsia="Times New Roman"/>
          <w:sz w:val="24"/>
          <w:szCs w:val="24"/>
        </w:rPr>
      </w:pPr>
      <w:r w:rsidRPr="00070A7A">
        <w:rPr>
          <w:rFonts w:eastAsia="Times New Roman"/>
          <w:sz w:val="24"/>
          <w:szCs w:val="24"/>
        </w:rPr>
        <w:t>For each year of profiling data collected and calculated under 310 CMR 22.20D(3)(b), the supplier of water shall determine the lowest average monthly</w:t>
      </w:r>
      <w:r w:rsidR="001D14F7">
        <w:rPr>
          <w:rFonts w:eastAsia="Times New Roman"/>
          <w:sz w:val="24"/>
          <w:szCs w:val="24"/>
        </w:rPr>
        <w:t xml:space="preserve"> </w:t>
      </w:r>
      <w:r w:rsidR="001D14F7" w:rsidRPr="00070A7A">
        <w:rPr>
          <w:rFonts w:eastAsia="Times New Roman"/>
          <w:i/>
          <w:iCs/>
          <w:sz w:val="24"/>
          <w:szCs w:val="24"/>
        </w:rPr>
        <w:t xml:space="preserve">Giardia lamblia </w:t>
      </w:r>
      <w:r w:rsidR="001D14F7" w:rsidRPr="00070A7A">
        <w:rPr>
          <w:rFonts w:eastAsia="Times New Roman"/>
          <w:sz w:val="24"/>
          <w:szCs w:val="24"/>
        </w:rPr>
        <w:t>inactivation in each year of profiling data. The supplier of water</w:t>
      </w:r>
      <w:r w:rsidR="001D14F7" w:rsidRPr="00070A7A">
        <w:rPr>
          <w:rFonts w:eastAsia="Times New Roman"/>
          <w:i/>
          <w:iCs/>
          <w:sz w:val="24"/>
          <w:szCs w:val="24"/>
        </w:rPr>
        <w:t xml:space="preserve"> </w:t>
      </w:r>
      <w:r w:rsidR="001D14F7" w:rsidRPr="00070A7A">
        <w:rPr>
          <w:rFonts w:eastAsia="Times New Roman"/>
          <w:sz w:val="24"/>
          <w:szCs w:val="24"/>
        </w:rPr>
        <w:t xml:space="preserve">shall determine the average </w:t>
      </w:r>
      <w:r w:rsidR="001D14F7" w:rsidRPr="00070A7A">
        <w:rPr>
          <w:rFonts w:eastAsia="Times New Roman"/>
          <w:i/>
          <w:iCs/>
          <w:sz w:val="24"/>
          <w:szCs w:val="24"/>
        </w:rPr>
        <w:t>Giardia lamblia</w:t>
      </w:r>
      <w:r w:rsidR="001D14F7" w:rsidRPr="00070A7A">
        <w:rPr>
          <w:rFonts w:eastAsia="Times New Roman"/>
          <w:sz w:val="24"/>
          <w:szCs w:val="24"/>
        </w:rPr>
        <w:t xml:space="preserve"> inactivation for each calendar month for each year of profiling data by dividing the sum of daily </w:t>
      </w:r>
      <w:r w:rsidR="001D14F7" w:rsidRPr="00070A7A">
        <w:rPr>
          <w:rFonts w:eastAsia="Times New Roman"/>
          <w:i/>
          <w:iCs/>
          <w:sz w:val="24"/>
          <w:szCs w:val="24"/>
        </w:rPr>
        <w:t>Giardia lamblia</w:t>
      </w:r>
      <w:r w:rsidR="001D14F7" w:rsidRPr="00070A7A">
        <w:rPr>
          <w:rFonts w:eastAsia="Times New Roman"/>
          <w:sz w:val="24"/>
          <w:szCs w:val="24"/>
        </w:rPr>
        <w:t xml:space="preserve"> of inactivation by the number of values calculated for that month.</w:t>
      </w:r>
    </w:p>
    <w:p w14:paraId="281A627C" w14:textId="77777777" w:rsidR="004647B9" w:rsidRPr="00070A7A" w:rsidRDefault="00E2436F" w:rsidP="00563A54">
      <w:pPr>
        <w:numPr>
          <w:ilvl w:val="3"/>
          <w:numId w:val="653"/>
        </w:numPr>
        <w:tabs>
          <w:tab w:val="left" w:pos="2661"/>
        </w:tabs>
        <w:ind w:left="2260" w:hanging="5"/>
        <w:jc w:val="both"/>
        <w:rPr>
          <w:rFonts w:eastAsia="Times New Roman"/>
          <w:sz w:val="24"/>
          <w:szCs w:val="24"/>
        </w:rPr>
      </w:pPr>
      <w:r w:rsidRPr="00070A7A">
        <w:rPr>
          <w:rFonts w:eastAsia="Times New Roman"/>
          <w:sz w:val="24"/>
          <w:szCs w:val="24"/>
        </w:rPr>
        <w:t xml:space="preserve">The disinfection benchmark is the lowest monthly average value (for systems with one year of profiling data) or average of lowest monthly average values (for systems with more than one year of profiling data) of the monthly logs of </w:t>
      </w:r>
      <w:r w:rsidRPr="00070A7A">
        <w:rPr>
          <w:rFonts w:eastAsia="Times New Roman"/>
          <w:i/>
          <w:iCs/>
          <w:sz w:val="24"/>
          <w:szCs w:val="24"/>
        </w:rPr>
        <w:t>Giardia</w:t>
      </w:r>
      <w:r w:rsidRPr="00070A7A">
        <w:rPr>
          <w:rFonts w:eastAsia="Times New Roman"/>
          <w:sz w:val="24"/>
          <w:szCs w:val="24"/>
        </w:rPr>
        <w:t xml:space="preserve"> </w:t>
      </w:r>
      <w:r w:rsidRPr="00070A7A">
        <w:rPr>
          <w:rFonts w:eastAsia="Times New Roman"/>
          <w:i/>
          <w:iCs/>
          <w:sz w:val="24"/>
          <w:szCs w:val="24"/>
        </w:rPr>
        <w:t xml:space="preserve">lamblia </w:t>
      </w:r>
      <w:r w:rsidRPr="00070A7A">
        <w:rPr>
          <w:rFonts w:eastAsia="Times New Roman"/>
          <w:sz w:val="24"/>
          <w:szCs w:val="24"/>
        </w:rPr>
        <w:t>inactivation in each year of profiling data.</w:t>
      </w:r>
    </w:p>
    <w:p w14:paraId="281A627E" w14:textId="77777777" w:rsidR="004647B9" w:rsidRPr="00070A7A" w:rsidRDefault="00E2436F" w:rsidP="00563A54">
      <w:pPr>
        <w:numPr>
          <w:ilvl w:val="2"/>
          <w:numId w:val="654"/>
        </w:numPr>
        <w:tabs>
          <w:tab w:val="left" w:pos="2210"/>
        </w:tabs>
        <w:ind w:left="1900" w:hanging="5"/>
        <w:jc w:val="both"/>
        <w:rPr>
          <w:rFonts w:eastAsia="Times New Roman"/>
          <w:sz w:val="24"/>
          <w:szCs w:val="24"/>
        </w:rPr>
      </w:pPr>
      <w:r w:rsidRPr="00070A7A">
        <w:rPr>
          <w:rFonts w:eastAsia="Times New Roman"/>
          <w:sz w:val="24"/>
          <w:szCs w:val="24"/>
        </w:rPr>
        <w:t>Each supplier of water who uses either chloramines or ozone for primary disinfection shall also calculate the disinfection benchmark for Viruses using a method approved by the Department.</w:t>
      </w:r>
    </w:p>
    <w:p w14:paraId="281A6281" w14:textId="668427D8" w:rsidR="004647B9" w:rsidRPr="00070A7A" w:rsidRDefault="00E2436F" w:rsidP="00563A54">
      <w:pPr>
        <w:numPr>
          <w:ilvl w:val="2"/>
          <w:numId w:val="654"/>
        </w:numPr>
        <w:tabs>
          <w:tab w:val="left" w:pos="2210"/>
        </w:tabs>
        <w:ind w:left="1900" w:hanging="5"/>
        <w:jc w:val="both"/>
        <w:rPr>
          <w:rFonts w:eastAsia="Times New Roman"/>
          <w:sz w:val="24"/>
          <w:szCs w:val="24"/>
        </w:rPr>
      </w:pPr>
      <w:r w:rsidRPr="00070A7A">
        <w:rPr>
          <w:rFonts w:eastAsia="Times New Roman"/>
          <w:sz w:val="24"/>
          <w:szCs w:val="24"/>
        </w:rPr>
        <w:t>Each supplier of water shall submit the information required in 310 CMR</w:t>
      </w:r>
      <w:r w:rsidR="00192AD9" w:rsidRPr="00070A7A">
        <w:rPr>
          <w:rFonts w:eastAsia="Times New Roman"/>
          <w:sz w:val="24"/>
          <w:szCs w:val="24"/>
        </w:rPr>
        <w:t xml:space="preserve"> 22.</w:t>
      </w:r>
      <w:r w:rsidRPr="00070A7A">
        <w:rPr>
          <w:rFonts w:eastAsia="Times New Roman"/>
          <w:sz w:val="24"/>
          <w:szCs w:val="24"/>
        </w:rPr>
        <w:t>20D(3)(c) and the information required in 310 CMR 22.20D(3)(c)4.a. through c. to the Department as part of the consultation process including:</w:t>
      </w:r>
    </w:p>
    <w:p w14:paraId="281A6283" w14:textId="0725D486" w:rsidR="004647B9" w:rsidRPr="00070A7A" w:rsidRDefault="00E2436F" w:rsidP="00563A54">
      <w:pPr>
        <w:numPr>
          <w:ilvl w:val="3"/>
          <w:numId w:val="655"/>
        </w:numPr>
        <w:tabs>
          <w:tab w:val="left" w:pos="2600"/>
        </w:tabs>
        <w:ind w:left="2600" w:hanging="345"/>
        <w:rPr>
          <w:rFonts w:eastAsia="Times New Roman"/>
          <w:sz w:val="24"/>
          <w:szCs w:val="24"/>
        </w:rPr>
      </w:pPr>
      <w:r w:rsidRPr="00070A7A">
        <w:rPr>
          <w:rFonts w:eastAsia="Times New Roman"/>
          <w:sz w:val="24"/>
          <w:szCs w:val="24"/>
        </w:rPr>
        <w:t>A description of the proposed change</w:t>
      </w:r>
      <w:r w:rsidR="00192AD9" w:rsidRPr="00070A7A">
        <w:rPr>
          <w:rFonts w:eastAsia="Times New Roman"/>
          <w:sz w:val="24"/>
          <w:szCs w:val="24"/>
        </w:rPr>
        <w:t>;</w:t>
      </w:r>
    </w:p>
    <w:p w14:paraId="281A6285" w14:textId="2D2653AE" w:rsidR="004647B9" w:rsidRPr="00070A7A" w:rsidRDefault="00E2436F" w:rsidP="00563A54">
      <w:pPr>
        <w:numPr>
          <w:ilvl w:val="3"/>
          <w:numId w:val="655"/>
        </w:numPr>
        <w:tabs>
          <w:tab w:val="left" w:pos="2620"/>
        </w:tabs>
        <w:ind w:left="2260" w:hanging="10"/>
        <w:rPr>
          <w:rFonts w:eastAsia="Times New Roman"/>
          <w:sz w:val="24"/>
          <w:szCs w:val="24"/>
        </w:rPr>
      </w:pPr>
      <w:r w:rsidRPr="00070A7A">
        <w:rPr>
          <w:rFonts w:eastAsia="Times New Roman"/>
          <w:sz w:val="24"/>
          <w:szCs w:val="24"/>
        </w:rPr>
        <w:t xml:space="preserve">The disinfection profile for </w:t>
      </w:r>
      <w:r w:rsidRPr="00070A7A">
        <w:rPr>
          <w:rFonts w:eastAsia="Times New Roman"/>
          <w:i/>
          <w:iCs/>
          <w:sz w:val="24"/>
          <w:szCs w:val="24"/>
        </w:rPr>
        <w:t>Giardia lamblia</w:t>
      </w:r>
      <w:r w:rsidRPr="00070A7A">
        <w:rPr>
          <w:rFonts w:eastAsia="Times New Roman"/>
          <w:sz w:val="24"/>
          <w:szCs w:val="24"/>
        </w:rPr>
        <w:t xml:space="preserve"> (and, if necessary, Viruses) under</w:t>
      </w:r>
      <w:r w:rsidR="00192AD9" w:rsidRPr="00070A7A">
        <w:rPr>
          <w:rFonts w:eastAsia="Times New Roman"/>
          <w:sz w:val="24"/>
          <w:szCs w:val="24"/>
        </w:rPr>
        <w:t xml:space="preserve"> </w:t>
      </w:r>
      <w:r w:rsidRPr="00070A7A">
        <w:rPr>
          <w:rFonts w:eastAsia="Times New Roman"/>
          <w:sz w:val="24"/>
          <w:szCs w:val="24"/>
        </w:rPr>
        <w:t>310 CMR 22.20D(3)(b) and benchmark as required by 310 CMR 22.20D(3)(c)2.; and</w:t>
      </w:r>
    </w:p>
    <w:p w14:paraId="281A6287" w14:textId="77777777" w:rsidR="004647B9" w:rsidRPr="00070A7A" w:rsidRDefault="00E2436F" w:rsidP="00563A54">
      <w:pPr>
        <w:numPr>
          <w:ilvl w:val="3"/>
          <w:numId w:val="655"/>
        </w:numPr>
        <w:tabs>
          <w:tab w:val="left" w:pos="2743"/>
        </w:tabs>
        <w:ind w:left="2260" w:hanging="5"/>
        <w:rPr>
          <w:rFonts w:eastAsia="Times New Roman"/>
          <w:sz w:val="24"/>
          <w:szCs w:val="24"/>
        </w:rPr>
      </w:pPr>
      <w:r w:rsidRPr="00070A7A">
        <w:rPr>
          <w:rFonts w:eastAsia="Times New Roman"/>
          <w:sz w:val="24"/>
          <w:szCs w:val="24"/>
        </w:rPr>
        <w:t>An analysis of how the proposed change will affect the current levels of disinfection.</w:t>
      </w:r>
    </w:p>
    <w:p w14:paraId="281A6288" w14:textId="77777777" w:rsidR="004647B9" w:rsidRPr="00070A7A" w:rsidRDefault="004647B9" w:rsidP="00070A7A">
      <w:pPr>
        <w:rPr>
          <w:rFonts w:eastAsia="Times New Roman"/>
          <w:sz w:val="24"/>
          <w:szCs w:val="24"/>
        </w:rPr>
      </w:pPr>
    </w:p>
    <w:p w14:paraId="281A628B" w14:textId="14FC033C" w:rsidR="004647B9" w:rsidRPr="00070A7A" w:rsidRDefault="00E2436F" w:rsidP="00563A54">
      <w:pPr>
        <w:numPr>
          <w:ilvl w:val="0"/>
          <w:numId w:val="656"/>
        </w:numPr>
        <w:tabs>
          <w:tab w:val="left" w:pos="1626"/>
        </w:tabs>
        <w:ind w:left="1180"/>
        <w:jc w:val="both"/>
        <w:rPr>
          <w:rFonts w:eastAsia="Times New Roman"/>
          <w:sz w:val="24"/>
          <w:szCs w:val="24"/>
        </w:rPr>
      </w:pPr>
      <w:r w:rsidRPr="00070A7A">
        <w:rPr>
          <w:rFonts w:eastAsia="Times New Roman"/>
          <w:sz w:val="24"/>
          <w:szCs w:val="24"/>
          <w:u w:val="single"/>
        </w:rPr>
        <w:t>Filtration</w:t>
      </w:r>
      <w:r w:rsidRPr="00070A7A">
        <w:rPr>
          <w:rFonts w:eastAsia="Times New Roman"/>
          <w:sz w:val="24"/>
          <w:szCs w:val="24"/>
        </w:rPr>
        <w:t>. Each supplier of water using a system subject to the requirements of 310 CMR 22.20D that does not meet all of the criteria of 310 CMR 22.20D(2) and the criteria in 310 CMR</w:t>
      </w:r>
      <w:r w:rsidR="00A40582" w:rsidRPr="00070A7A">
        <w:rPr>
          <w:rFonts w:eastAsia="Times New Roman"/>
          <w:sz w:val="24"/>
          <w:szCs w:val="24"/>
        </w:rPr>
        <w:t xml:space="preserve"> </w:t>
      </w:r>
      <w:r w:rsidRPr="00070A7A">
        <w:rPr>
          <w:rFonts w:eastAsia="Times New Roman"/>
          <w:sz w:val="24"/>
          <w:szCs w:val="24"/>
        </w:rPr>
        <w:t>22.20A(2) for avoiding filtration shall provide treatment consisting of both disinfection, as specified in 310 CMR 22.20A(3)(b), and filtration treatment that complies with the requirements of 310 CMR 22.20A(4)(b) or (c) and 22.20D(4)(a) or (b) and by December 31, 2001.</w:t>
      </w:r>
    </w:p>
    <w:p w14:paraId="281A628C" w14:textId="77777777" w:rsidR="004647B9" w:rsidRPr="00070A7A" w:rsidRDefault="00E2436F" w:rsidP="00563A54">
      <w:pPr>
        <w:numPr>
          <w:ilvl w:val="1"/>
          <w:numId w:val="656"/>
        </w:numPr>
        <w:tabs>
          <w:tab w:val="left" w:pos="1980"/>
        </w:tabs>
        <w:ind w:left="1980" w:hanging="445"/>
        <w:rPr>
          <w:rFonts w:eastAsia="Times New Roman"/>
          <w:sz w:val="24"/>
          <w:szCs w:val="24"/>
        </w:rPr>
      </w:pPr>
      <w:r w:rsidRPr="00070A7A">
        <w:rPr>
          <w:rFonts w:eastAsia="Times New Roman"/>
          <w:sz w:val="24"/>
          <w:szCs w:val="24"/>
          <w:u w:val="single"/>
        </w:rPr>
        <w:t>Conventional Filtration Treatment or Direct Filtration</w:t>
      </w:r>
      <w:r w:rsidRPr="00070A7A">
        <w:rPr>
          <w:rFonts w:eastAsia="Times New Roman"/>
          <w:sz w:val="24"/>
          <w:szCs w:val="24"/>
        </w:rPr>
        <w:t>.</w:t>
      </w:r>
    </w:p>
    <w:p w14:paraId="5024852B" w14:textId="77777777" w:rsidR="006172AE" w:rsidRPr="00070A7A" w:rsidRDefault="00E2436F" w:rsidP="00563A54">
      <w:pPr>
        <w:numPr>
          <w:ilvl w:val="2"/>
          <w:numId w:val="656"/>
        </w:numPr>
        <w:tabs>
          <w:tab w:val="left" w:pos="2202"/>
        </w:tabs>
        <w:ind w:left="1900" w:hanging="5"/>
        <w:jc w:val="both"/>
        <w:rPr>
          <w:rFonts w:eastAsia="Times New Roman"/>
          <w:sz w:val="24"/>
          <w:szCs w:val="24"/>
        </w:rPr>
      </w:pPr>
      <w:r w:rsidRPr="00070A7A">
        <w:rPr>
          <w:rFonts w:eastAsia="Times New Roman"/>
          <w:sz w:val="24"/>
          <w:szCs w:val="24"/>
        </w:rPr>
        <w:t>Each supplier of water using conventional filtration or direct filtration, shall maintain a turbidity level in representative samples of a system's filtered water of less than or equal to 0.3 NTU in at least 95% of the measurements taken each month, measured as specified in 310 CMR 22.20A(5)(a) and (c).</w:t>
      </w:r>
    </w:p>
    <w:p w14:paraId="281A6291" w14:textId="635BB465" w:rsidR="004647B9" w:rsidRPr="00070A7A" w:rsidRDefault="00E2436F" w:rsidP="00563A54">
      <w:pPr>
        <w:numPr>
          <w:ilvl w:val="2"/>
          <w:numId w:val="656"/>
        </w:numPr>
        <w:tabs>
          <w:tab w:val="left" w:pos="2202"/>
        </w:tabs>
        <w:ind w:left="1900" w:hanging="5"/>
        <w:jc w:val="both"/>
        <w:rPr>
          <w:rFonts w:eastAsia="Times New Roman"/>
          <w:sz w:val="24"/>
          <w:szCs w:val="24"/>
        </w:rPr>
      </w:pPr>
      <w:r w:rsidRPr="00070A7A">
        <w:rPr>
          <w:rFonts w:eastAsia="Times New Roman"/>
          <w:sz w:val="24"/>
          <w:szCs w:val="24"/>
        </w:rPr>
        <w:t>Each supplier of water must maintain a turbidity level of representative samples of a system's filtered water that at no time exceed one NTU, measured as specified in</w:t>
      </w:r>
      <w:r w:rsidR="00A40582" w:rsidRPr="00070A7A">
        <w:rPr>
          <w:rFonts w:eastAsia="Times New Roman"/>
          <w:sz w:val="24"/>
          <w:szCs w:val="24"/>
        </w:rPr>
        <w:t xml:space="preserve"> 310 </w:t>
      </w:r>
      <w:r w:rsidRPr="00070A7A">
        <w:rPr>
          <w:rFonts w:eastAsia="Times New Roman"/>
          <w:sz w:val="24"/>
          <w:szCs w:val="24"/>
        </w:rPr>
        <w:t>CMR 22.20A(5)(a) and (c).</w:t>
      </w:r>
    </w:p>
    <w:p w14:paraId="281A6292" w14:textId="77777777" w:rsidR="004647B9" w:rsidRPr="00070A7A" w:rsidRDefault="00E2436F" w:rsidP="00563A54">
      <w:pPr>
        <w:numPr>
          <w:ilvl w:val="2"/>
          <w:numId w:val="657"/>
        </w:numPr>
        <w:tabs>
          <w:tab w:val="left" w:pos="2207"/>
        </w:tabs>
        <w:ind w:left="1900" w:hanging="5"/>
        <w:rPr>
          <w:rFonts w:eastAsia="Times New Roman"/>
          <w:sz w:val="24"/>
          <w:szCs w:val="24"/>
        </w:rPr>
      </w:pPr>
      <w:r w:rsidRPr="00070A7A">
        <w:rPr>
          <w:rFonts w:eastAsia="Times New Roman"/>
          <w:sz w:val="24"/>
          <w:szCs w:val="24"/>
        </w:rPr>
        <w:t>A supplier of water who uses lime softening may acidify representative samples prior to analysis in accordance with a protocol approved by the Department.</w:t>
      </w:r>
    </w:p>
    <w:p w14:paraId="281A6294" w14:textId="77DBAFF8" w:rsidR="004647B9" w:rsidRPr="00070A7A" w:rsidRDefault="00E2436F" w:rsidP="00563A54">
      <w:pPr>
        <w:numPr>
          <w:ilvl w:val="1"/>
          <w:numId w:val="658"/>
        </w:numPr>
        <w:tabs>
          <w:tab w:val="left" w:pos="1928"/>
        </w:tabs>
        <w:ind w:left="1540" w:hanging="5"/>
        <w:rPr>
          <w:rFonts w:eastAsia="Times New Roman"/>
          <w:sz w:val="24"/>
          <w:szCs w:val="24"/>
        </w:rPr>
      </w:pPr>
      <w:r w:rsidRPr="006F6793">
        <w:rPr>
          <w:rFonts w:eastAsia="Times New Roman"/>
          <w:sz w:val="24"/>
          <w:szCs w:val="24"/>
          <w:u w:val="single"/>
        </w:rPr>
        <w:t xml:space="preserve">Filtration </w:t>
      </w:r>
      <w:r w:rsidR="00DF181B" w:rsidRPr="006F6793">
        <w:rPr>
          <w:rFonts w:eastAsia="Times New Roman"/>
          <w:sz w:val="24"/>
          <w:szCs w:val="24"/>
          <w:u w:val="single"/>
        </w:rPr>
        <w:t>T</w:t>
      </w:r>
      <w:r w:rsidRPr="006F6793">
        <w:rPr>
          <w:rFonts w:eastAsia="Times New Roman"/>
          <w:sz w:val="24"/>
          <w:szCs w:val="24"/>
          <w:u w:val="single"/>
        </w:rPr>
        <w:t xml:space="preserve">echnologies </w:t>
      </w:r>
      <w:r w:rsidR="003D3C77" w:rsidRPr="006F6793">
        <w:rPr>
          <w:rFonts w:eastAsia="Times New Roman"/>
          <w:sz w:val="24"/>
          <w:szCs w:val="24"/>
          <w:u w:val="single"/>
        </w:rPr>
        <w:t>O</w:t>
      </w:r>
      <w:r w:rsidRPr="006F6793">
        <w:rPr>
          <w:rFonts w:eastAsia="Times New Roman"/>
          <w:sz w:val="24"/>
          <w:szCs w:val="24"/>
          <w:u w:val="single"/>
        </w:rPr>
        <w:t xml:space="preserve">ther than </w:t>
      </w:r>
      <w:r w:rsidR="003D3C77" w:rsidRPr="006F6793">
        <w:rPr>
          <w:rFonts w:eastAsia="Times New Roman"/>
          <w:sz w:val="24"/>
          <w:szCs w:val="24"/>
          <w:u w:val="single"/>
        </w:rPr>
        <w:t>C</w:t>
      </w:r>
      <w:r w:rsidRPr="006F6793">
        <w:rPr>
          <w:rFonts w:eastAsia="Times New Roman"/>
          <w:sz w:val="24"/>
          <w:szCs w:val="24"/>
          <w:u w:val="single"/>
        </w:rPr>
        <w:t xml:space="preserve">onventional </w:t>
      </w:r>
      <w:r w:rsidR="003D3C77" w:rsidRPr="006F6793">
        <w:rPr>
          <w:rFonts w:eastAsia="Times New Roman"/>
          <w:sz w:val="24"/>
          <w:szCs w:val="24"/>
          <w:u w:val="single"/>
        </w:rPr>
        <w:t>F</w:t>
      </w:r>
      <w:r w:rsidRPr="006F6793">
        <w:rPr>
          <w:rFonts w:eastAsia="Times New Roman"/>
          <w:sz w:val="24"/>
          <w:szCs w:val="24"/>
          <w:u w:val="single"/>
        </w:rPr>
        <w:t xml:space="preserve">iltration </w:t>
      </w:r>
      <w:r w:rsidR="003D3C77" w:rsidRPr="006F6793">
        <w:rPr>
          <w:rFonts w:eastAsia="Times New Roman"/>
          <w:sz w:val="24"/>
          <w:szCs w:val="24"/>
          <w:u w:val="single"/>
        </w:rPr>
        <w:t>T</w:t>
      </w:r>
      <w:r w:rsidRPr="006F6793">
        <w:rPr>
          <w:rFonts w:eastAsia="Times New Roman"/>
          <w:sz w:val="24"/>
          <w:szCs w:val="24"/>
          <w:u w:val="single"/>
        </w:rPr>
        <w:t xml:space="preserve">reatment, </w:t>
      </w:r>
      <w:r w:rsidR="003D3C77" w:rsidRPr="006F6793">
        <w:rPr>
          <w:rFonts w:eastAsia="Times New Roman"/>
          <w:sz w:val="24"/>
          <w:szCs w:val="24"/>
          <w:u w:val="single"/>
        </w:rPr>
        <w:t>D</w:t>
      </w:r>
      <w:r w:rsidRPr="006F6793">
        <w:rPr>
          <w:rFonts w:eastAsia="Times New Roman"/>
          <w:sz w:val="24"/>
          <w:szCs w:val="24"/>
          <w:u w:val="single"/>
        </w:rPr>
        <w:t xml:space="preserve">irect </w:t>
      </w:r>
      <w:r w:rsidR="003D3C77" w:rsidRPr="006F6793">
        <w:rPr>
          <w:rFonts w:eastAsia="Times New Roman"/>
          <w:sz w:val="24"/>
          <w:szCs w:val="24"/>
          <w:u w:val="single"/>
        </w:rPr>
        <w:t>F</w:t>
      </w:r>
      <w:r w:rsidRPr="006F6793">
        <w:rPr>
          <w:rFonts w:eastAsia="Times New Roman"/>
          <w:sz w:val="24"/>
          <w:szCs w:val="24"/>
          <w:u w:val="single"/>
        </w:rPr>
        <w:t xml:space="preserve">iltration, </w:t>
      </w:r>
      <w:r w:rsidR="003D3C77" w:rsidRPr="006F6793">
        <w:rPr>
          <w:rFonts w:eastAsia="Times New Roman"/>
          <w:sz w:val="24"/>
          <w:szCs w:val="24"/>
          <w:u w:val="single"/>
        </w:rPr>
        <w:t>S</w:t>
      </w:r>
      <w:r w:rsidRPr="006F6793">
        <w:rPr>
          <w:rFonts w:eastAsia="Times New Roman"/>
          <w:sz w:val="24"/>
          <w:szCs w:val="24"/>
          <w:u w:val="single"/>
        </w:rPr>
        <w:t xml:space="preserve">low </w:t>
      </w:r>
      <w:r w:rsidR="003D3C77" w:rsidRPr="006F6793">
        <w:rPr>
          <w:rFonts w:eastAsia="Times New Roman"/>
          <w:sz w:val="24"/>
          <w:szCs w:val="24"/>
          <w:u w:val="single"/>
        </w:rPr>
        <w:t>S</w:t>
      </w:r>
      <w:r w:rsidRPr="006F6793">
        <w:rPr>
          <w:rFonts w:eastAsia="Times New Roman"/>
          <w:sz w:val="24"/>
          <w:szCs w:val="24"/>
          <w:u w:val="single"/>
        </w:rPr>
        <w:t xml:space="preserve">and </w:t>
      </w:r>
      <w:r w:rsidR="003D3C77" w:rsidRPr="006F6793">
        <w:rPr>
          <w:rFonts w:eastAsia="Times New Roman"/>
          <w:sz w:val="24"/>
          <w:szCs w:val="24"/>
          <w:u w:val="single"/>
        </w:rPr>
        <w:t>F</w:t>
      </w:r>
      <w:r w:rsidRPr="006F6793">
        <w:rPr>
          <w:rFonts w:eastAsia="Times New Roman"/>
          <w:sz w:val="24"/>
          <w:szCs w:val="24"/>
          <w:u w:val="single"/>
        </w:rPr>
        <w:t xml:space="preserve">iltration, or </w:t>
      </w:r>
      <w:r w:rsidR="003D3C77" w:rsidRPr="006F6793">
        <w:rPr>
          <w:rFonts w:eastAsia="Times New Roman"/>
          <w:sz w:val="24"/>
          <w:szCs w:val="24"/>
          <w:u w:val="single"/>
        </w:rPr>
        <w:t>D</w:t>
      </w:r>
      <w:r w:rsidRPr="006F6793">
        <w:rPr>
          <w:rFonts w:eastAsia="Times New Roman"/>
          <w:sz w:val="24"/>
          <w:szCs w:val="24"/>
          <w:u w:val="single"/>
        </w:rPr>
        <w:t xml:space="preserve">iatomaceous </w:t>
      </w:r>
      <w:r w:rsidR="003D3C77" w:rsidRPr="006F6793">
        <w:rPr>
          <w:rFonts w:eastAsia="Times New Roman"/>
          <w:sz w:val="24"/>
          <w:szCs w:val="24"/>
          <w:u w:val="single"/>
        </w:rPr>
        <w:t>E</w:t>
      </w:r>
      <w:r w:rsidRPr="006F6793">
        <w:rPr>
          <w:rFonts w:eastAsia="Times New Roman"/>
          <w:sz w:val="24"/>
          <w:szCs w:val="24"/>
          <w:u w:val="single"/>
        </w:rPr>
        <w:t xml:space="preserve">arth </w:t>
      </w:r>
      <w:r w:rsidR="003D3C77" w:rsidRPr="006F6793">
        <w:rPr>
          <w:rFonts w:eastAsia="Times New Roman"/>
          <w:sz w:val="24"/>
          <w:szCs w:val="24"/>
          <w:u w:val="single"/>
        </w:rPr>
        <w:t>F</w:t>
      </w:r>
      <w:r w:rsidRPr="006F6793">
        <w:rPr>
          <w:rFonts w:eastAsia="Times New Roman"/>
          <w:sz w:val="24"/>
          <w:szCs w:val="24"/>
          <w:u w:val="single"/>
        </w:rPr>
        <w:t>iltration</w:t>
      </w:r>
      <w:r w:rsidRPr="00070A7A">
        <w:rPr>
          <w:rFonts w:eastAsia="Times New Roman"/>
          <w:sz w:val="24"/>
          <w:szCs w:val="24"/>
        </w:rPr>
        <w:t>.</w:t>
      </w:r>
    </w:p>
    <w:p w14:paraId="281A6298" w14:textId="21514350" w:rsidR="004647B9" w:rsidRPr="00070A7A" w:rsidRDefault="00E2436F" w:rsidP="00563A54">
      <w:pPr>
        <w:numPr>
          <w:ilvl w:val="2"/>
          <w:numId w:val="658"/>
        </w:numPr>
        <w:tabs>
          <w:tab w:val="left" w:pos="2411"/>
        </w:tabs>
        <w:ind w:left="1900" w:hanging="5"/>
        <w:jc w:val="both"/>
        <w:rPr>
          <w:sz w:val="24"/>
          <w:szCs w:val="24"/>
        </w:rPr>
      </w:pPr>
      <w:r w:rsidRPr="00070A7A">
        <w:rPr>
          <w:rFonts w:eastAsia="Times New Roman"/>
          <w:sz w:val="24"/>
          <w:szCs w:val="24"/>
        </w:rPr>
        <w:t>A supplier of water may use a filtration technology not listed in 310 CMR 22.20A(4)(b) or (c) or 22.20D(4)(a) if the supplier of water demonstrates to the Department, using pilot plant studies or other means, that the alternative filtration</w:t>
      </w:r>
      <w:r w:rsidR="006172AE" w:rsidRPr="00070A7A">
        <w:rPr>
          <w:rFonts w:eastAsia="Times New Roman"/>
          <w:sz w:val="24"/>
          <w:szCs w:val="24"/>
        </w:rPr>
        <w:t xml:space="preserve"> </w:t>
      </w:r>
      <w:r w:rsidRPr="00070A7A">
        <w:rPr>
          <w:rFonts w:eastAsia="Times New Roman"/>
          <w:sz w:val="24"/>
          <w:szCs w:val="24"/>
        </w:rPr>
        <w:t xml:space="preserve">technology, in combination with disinfection treatment that meets the requirements of 310 CMR 22.20A(3)(b), consistently achieves 99.9% removal and/or inactivation of </w:t>
      </w:r>
      <w:r w:rsidRPr="00070A7A">
        <w:rPr>
          <w:rFonts w:eastAsia="Times New Roman"/>
          <w:i/>
          <w:iCs/>
          <w:sz w:val="24"/>
          <w:szCs w:val="24"/>
        </w:rPr>
        <w:t xml:space="preserve">Giardia lamblia </w:t>
      </w:r>
      <w:r w:rsidRPr="00070A7A">
        <w:rPr>
          <w:rFonts w:eastAsia="Times New Roman"/>
          <w:sz w:val="24"/>
          <w:szCs w:val="24"/>
        </w:rPr>
        <w:t>cysts and 99.99% removal and/or inactivation of Viruses, and 99%</w:t>
      </w:r>
      <w:r w:rsidRPr="00070A7A">
        <w:rPr>
          <w:rFonts w:eastAsia="Times New Roman"/>
          <w:i/>
          <w:iCs/>
          <w:sz w:val="24"/>
          <w:szCs w:val="24"/>
        </w:rPr>
        <w:t xml:space="preserve"> </w:t>
      </w:r>
      <w:r w:rsidRPr="00070A7A">
        <w:rPr>
          <w:rFonts w:eastAsia="Times New Roman"/>
          <w:sz w:val="24"/>
          <w:szCs w:val="24"/>
        </w:rPr>
        <w:t xml:space="preserve">removal of </w:t>
      </w:r>
      <w:r w:rsidRPr="00070A7A">
        <w:rPr>
          <w:rFonts w:eastAsia="Times New Roman"/>
          <w:i/>
          <w:iCs/>
          <w:sz w:val="24"/>
          <w:szCs w:val="24"/>
        </w:rPr>
        <w:t>Cryptosporidium oocysts</w:t>
      </w:r>
      <w:r w:rsidRPr="00070A7A">
        <w:rPr>
          <w:rFonts w:eastAsia="Times New Roman"/>
          <w:sz w:val="24"/>
          <w:szCs w:val="24"/>
        </w:rPr>
        <w:t xml:space="preserve">, and the Department approves the use of the filtration technology. For each approval, the supplier of water shall maintain the turbidity level of representative samples of the system's filtered water at less than or </w:t>
      </w:r>
      <w:r w:rsidRPr="00070A7A">
        <w:rPr>
          <w:rFonts w:eastAsia="Times New Roman"/>
          <w:sz w:val="24"/>
          <w:szCs w:val="24"/>
        </w:rPr>
        <w:lastRenderedPageBreak/>
        <w:t>equal to 0.3 NTU at least 95% of the time and that the system shall not exceed one NTU at any time.</w:t>
      </w:r>
    </w:p>
    <w:p w14:paraId="281A6299" w14:textId="77777777" w:rsidR="004647B9" w:rsidRDefault="004647B9">
      <w:pPr>
        <w:sectPr w:rsidR="004647B9" w:rsidSect="00EF630C">
          <w:pgSz w:w="12240" w:h="20180"/>
          <w:pgMar w:top="708" w:right="1440" w:bottom="710" w:left="620" w:header="0" w:footer="0" w:gutter="0"/>
          <w:cols w:space="720"/>
        </w:sectPr>
      </w:pPr>
    </w:p>
    <w:p w14:paraId="281A629A" w14:textId="77777777" w:rsidR="004647B9" w:rsidRDefault="00E2436F">
      <w:pPr>
        <w:tabs>
          <w:tab w:val="left" w:pos="160"/>
        </w:tabs>
        <w:ind w:right="20"/>
        <w:jc w:val="center"/>
        <w:rPr>
          <w:sz w:val="20"/>
          <w:szCs w:val="20"/>
        </w:rPr>
      </w:pPr>
      <w:bookmarkStart w:id="278" w:name="page282"/>
      <w:bookmarkEnd w:id="27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29B" w14:textId="77777777" w:rsidR="004647B9" w:rsidRPr="001426D9" w:rsidRDefault="004647B9" w:rsidP="001426D9">
      <w:pPr>
        <w:rPr>
          <w:sz w:val="20"/>
          <w:szCs w:val="20"/>
        </w:rPr>
      </w:pPr>
    </w:p>
    <w:p w14:paraId="281A629C" w14:textId="77777777" w:rsidR="004647B9" w:rsidRPr="001426D9" w:rsidRDefault="004647B9" w:rsidP="001426D9">
      <w:pPr>
        <w:rPr>
          <w:sz w:val="20"/>
          <w:szCs w:val="20"/>
        </w:rPr>
      </w:pPr>
    </w:p>
    <w:p w14:paraId="281A629D" w14:textId="77777777" w:rsidR="004647B9" w:rsidRPr="008B495F" w:rsidRDefault="00E2436F" w:rsidP="001426D9">
      <w:pPr>
        <w:tabs>
          <w:tab w:val="left" w:pos="940"/>
        </w:tabs>
        <w:rPr>
          <w:sz w:val="24"/>
          <w:szCs w:val="24"/>
        </w:rPr>
      </w:pPr>
      <w:r w:rsidRPr="008B495F">
        <w:rPr>
          <w:rFonts w:eastAsia="Times New Roman"/>
          <w:sz w:val="24"/>
          <w:szCs w:val="24"/>
        </w:rPr>
        <w:t>22.20D:</w:t>
      </w:r>
      <w:r w:rsidRPr="008B495F">
        <w:rPr>
          <w:rFonts w:eastAsia="Times New Roman"/>
          <w:sz w:val="24"/>
          <w:szCs w:val="24"/>
        </w:rPr>
        <w:tab/>
        <w:t>continued</w:t>
      </w:r>
    </w:p>
    <w:p w14:paraId="281A629E" w14:textId="77777777" w:rsidR="004647B9" w:rsidRPr="001426D9" w:rsidRDefault="004647B9" w:rsidP="001426D9">
      <w:pPr>
        <w:rPr>
          <w:sz w:val="20"/>
          <w:szCs w:val="20"/>
        </w:rPr>
      </w:pPr>
    </w:p>
    <w:p w14:paraId="281A629F" w14:textId="77777777" w:rsidR="004647B9" w:rsidRPr="008B495F" w:rsidRDefault="00E2436F" w:rsidP="001426D9">
      <w:pPr>
        <w:numPr>
          <w:ilvl w:val="2"/>
          <w:numId w:val="659"/>
        </w:numPr>
        <w:tabs>
          <w:tab w:val="left" w:pos="2224"/>
        </w:tabs>
        <w:ind w:left="1900" w:hanging="5"/>
        <w:rPr>
          <w:rFonts w:eastAsia="Times New Roman"/>
          <w:sz w:val="24"/>
          <w:szCs w:val="24"/>
        </w:rPr>
      </w:pPr>
      <w:r w:rsidRPr="008B495F">
        <w:rPr>
          <w:rFonts w:eastAsia="Times New Roman"/>
          <w:sz w:val="24"/>
          <w:szCs w:val="24"/>
        </w:rPr>
        <w:t>The performance standards of slow sand filters and diatomateous earth filters are the same as indicated in 310 CMR 22.20A.</w:t>
      </w:r>
    </w:p>
    <w:p w14:paraId="281A62A0" w14:textId="77777777" w:rsidR="004647B9" w:rsidRPr="008B495F" w:rsidRDefault="004647B9" w:rsidP="001426D9">
      <w:pPr>
        <w:rPr>
          <w:rFonts w:eastAsia="Times New Roman"/>
          <w:sz w:val="24"/>
          <w:szCs w:val="24"/>
        </w:rPr>
      </w:pPr>
    </w:p>
    <w:p w14:paraId="281A62A1" w14:textId="77777777" w:rsidR="004647B9" w:rsidRPr="008B495F" w:rsidRDefault="00E2436F" w:rsidP="001426D9">
      <w:pPr>
        <w:numPr>
          <w:ilvl w:val="0"/>
          <w:numId w:val="660"/>
        </w:numPr>
        <w:tabs>
          <w:tab w:val="left" w:pos="1640"/>
        </w:tabs>
        <w:ind w:left="1640" w:hanging="460"/>
        <w:rPr>
          <w:rFonts w:eastAsia="Times New Roman"/>
          <w:sz w:val="24"/>
          <w:szCs w:val="24"/>
        </w:rPr>
      </w:pPr>
      <w:r w:rsidRPr="008B495F">
        <w:rPr>
          <w:rFonts w:eastAsia="Times New Roman"/>
          <w:sz w:val="24"/>
          <w:szCs w:val="24"/>
          <w:u w:val="single"/>
        </w:rPr>
        <w:t>Monitoring Requirements for Systems Using Filtration Treatment</w:t>
      </w:r>
      <w:r w:rsidRPr="008B495F">
        <w:rPr>
          <w:rFonts w:eastAsia="Times New Roman"/>
          <w:sz w:val="24"/>
          <w:szCs w:val="24"/>
        </w:rPr>
        <w:t>.</w:t>
      </w:r>
    </w:p>
    <w:p w14:paraId="281A62A3" w14:textId="698C6469" w:rsidR="004647B9" w:rsidRPr="008B495F" w:rsidRDefault="00E2436F" w:rsidP="001426D9">
      <w:pPr>
        <w:numPr>
          <w:ilvl w:val="1"/>
          <w:numId w:val="660"/>
        </w:numPr>
        <w:tabs>
          <w:tab w:val="left" w:pos="2013"/>
        </w:tabs>
        <w:ind w:left="1540" w:hanging="5"/>
        <w:jc w:val="both"/>
        <w:rPr>
          <w:rFonts w:eastAsia="Times New Roman"/>
          <w:sz w:val="24"/>
          <w:szCs w:val="24"/>
        </w:rPr>
      </w:pPr>
      <w:r w:rsidRPr="008B495F">
        <w:rPr>
          <w:rFonts w:eastAsia="Times New Roman"/>
          <w:sz w:val="24"/>
          <w:szCs w:val="24"/>
        </w:rPr>
        <w:t>In addition to monitoring required by 310 CMR 22.20A(5), a supplier of water who relies upon a public water system subject to the requirements of 310 CMR 22.20D that provides conventional filtration treatment or direct filtration shall conduct continuous monitoring of turbidity for each individual filter using an approved method in 310 CMR 22.20A(5)(a), and shall calibrate turbidimeters using the procedure specified by the manufacturer. The supplier of water</w:t>
      </w:r>
      <w:r w:rsidR="00F0223B" w:rsidRPr="008B495F">
        <w:rPr>
          <w:rFonts w:eastAsia="Times New Roman"/>
          <w:sz w:val="24"/>
          <w:szCs w:val="24"/>
        </w:rPr>
        <w:t xml:space="preserve"> </w:t>
      </w:r>
      <w:r w:rsidRPr="008B495F">
        <w:rPr>
          <w:rFonts w:eastAsia="Times New Roman"/>
          <w:sz w:val="24"/>
          <w:szCs w:val="24"/>
        </w:rPr>
        <w:t>shall record the results of individual filter monitoring every 15 minutes.</w:t>
      </w:r>
    </w:p>
    <w:p w14:paraId="281A62A5" w14:textId="77777777" w:rsidR="004647B9" w:rsidRPr="008B495F" w:rsidRDefault="00E2436F" w:rsidP="001426D9">
      <w:pPr>
        <w:numPr>
          <w:ilvl w:val="1"/>
          <w:numId w:val="660"/>
        </w:numPr>
        <w:tabs>
          <w:tab w:val="left" w:pos="2021"/>
        </w:tabs>
        <w:ind w:left="1540" w:hanging="5"/>
        <w:jc w:val="both"/>
        <w:rPr>
          <w:rFonts w:eastAsia="Times New Roman"/>
          <w:sz w:val="24"/>
          <w:szCs w:val="24"/>
        </w:rPr>
      </w:pPr>
      <w:r w:rsidRPr="008B495F">
        <w:rPr>
          <w:rFonts w:eastAsia="Times New Roman"/>
          <w:sz w:val="24"/>
          <w:szCs w:val="24"/>
        </w:rPr>
        <w:t>If there is a failure in the continuous turbidity monitoring equipment, the supplier of water shall conduct grab sampling every four hours in lieu of continuous monitoring, but for no more than five working days following the failure of the equipment.</w:t>
      </w:r>
    </w:p>
    <w:p w14:paraId="281A62A6" w14:textId="77777777" w:rsidR="004647B9" w:rsidRPr="008B495F" w:rsidRDefault="004647B9" w:rsidP="001426D9">
      <w:pPr>
        <w:rPr>
          <w:rFonts w:eastAsia="Times New Roman"/>
          <w:sz w:val="24"/>
          <w:szCs w:val="24"/>
        </w:rPr>
      </w:pPr>
    </w:p>
    <w:p w14:paraId="281A62A7" w14:textId="77777777" w:rsidR="004647B9" w:rsidRPr="008B495F" w:rsidRDefault="00E2436F" w:rsidP="001426D9">
      <w:pPr>
        <w:numPr>
          <w:ilvl w:val="0"/>
          <w:numId w:val="660"/>
        </w:numPr>
        <w:tabs>
          <w:tab w:val="left" w:pos="1575"/>
        </w:tabs>
        <w:ind w:left="1180"/>
        <w:jc w:val="both"/>
        <w:rPr>
          <w:rFonts w:eastAsia="Times New Roman"/>
          <w:sz w:val="24"/>
          <w:szCs w:val="24"/>
        </w:rPr>
      </w:pPr>
      <w:r w:rsidRPr="008B495F">
        <w:rPr>
          <w:rFonts w:eastAsia="Times New Roman"/>
          <w:sz w:val="24"/>
          <w:szCs w:val="24"/>
          <w:u w:val="single"/>
        </w:rPr>
        <w:t>Reporting and Recordkeeping Requirements</w:t>
      </w:r>
      <w:r w:rsidRPr="008B495F">
        <w:rPr>
          <w:rFonts w:eastAsia="Times New Roman"/>
          <w:sz w:val="24"/>
          <w:szCs w:val="24"/>
        </w:rPr>
        <w:t xml:space="preserve">. In addition to the reporting and recordkeeping requirements in 310 CMR 22.20A(6), a supplier of water who is subject to the requirements of 310 CMR 22.20D who provides conventional filtration treatment or direct filtration shall report monthly to the Department the information specified in 310 CMR 22.20D(6)(a) and (b) beginning January 1, 2002. In addition to the reporting and recordkeeping requirements in 310 CMR 22.20A(6), a supplier of water who is subject to the requirements of 310 CMR 22.20D that provides filtration approved under 310 CMR 22.20D(4)(b) shall report monthly to the Department the information specified in 310 CMR 22.20D(6)(a) beginning January 1, 2002. This reporting in 310 CMR 22.20D(6)(a) is in </w:t>
      </w:r>
      <w:r w:rsidRPr="008B495F">
        <w:rPr>
          <w:rFonts w:eastAsia="Times New Roman"/>
          <w:i/>
          <w:iCs/>
          <w:sz w:val="24"/>
          <w:szCs w:val="24"/>
        </w:rPr>
        <w:t>lieu</w:t>
      </w:r>
      <w:r w:rsidRPr="008B495F">
        <w:rPr>
          <w:rFonts w:eastAsia="Times New Roman"/>
          <w:sz w:val="24"/>
          <w:szCs w:val="24"/>
        </w:rPr>
        <w:t xml:space="preserve"> of the reporting specified in 310 CMR 22.20A(6).</w:t>
      </w:r>
    </w:p>
    <w:p w14:paraId="281A62A9" w14:textId="77777777" w:rsidR="004647B9" w:rsidRPr="008B495F" w:rsidRDefault="00E2436F" w:rsidP="001426D9">
      <w:pPr>
        <w:numPr>
          <w:ilvl w:val="1"/>
          <w:numId w:val="660"/>
        </w:numPr>
        <w:tabs>
          <w:tab w:val="left" w:pos="2036"/>
        </w:tabs>
        <w:ind w:left="1540" w:hanging="5"/>
        <w:jc w:val="both"/>
        <w:rPr>
          <w:rFonts w:eastAsia="Times New Roman"/>
          <w:sz w:val="24"/>
          <w:szCs w:val="24"/>
        </w:rPr>
      </w:pPr>
      <w:r w:rsidRPr="008B495F">
        <w:rPr>
          <w:rFonts w:eastAsia="Times New Roman"/>
          <w:sz w:val="24"/>
          <w:szCs w:val="24"/>
        </w:rPr>
        <w:t>The supplier of water shall report turbidity measurements as required by 310 CMR 22.20D(4) within ten days after the end of each month the system serves water to the public. Information that shall be reported to the Department includes:</w:t>
      </w:r>
    </w:p>
    <w:p w14:paraId="281A62AB" w14:textId="77777777" w:rsidR="004647B9" w:rsidRPr="008B495F" w:rsidRDefault="00E2436F" w:rsidP="001426D9">
      <w:pPr>
        <w:numPr>
          <w:ilvl w:val="2"/>
          <w:numId w:val="660"/>
        </w:numPr>
        <w:tabs>
          <w:tab w:val="left" w:pos="2260"/>
        </w:tabs>
        <w:ind w:left="1901"/>
        <w:rPr>
          <w:rFonts w:eastAsia="Times New Roman"/>
          <w:sz w:val="24"/>
          <w:szCs w:val="24"/>
        </w:rPr>
      </w:pPr>
      <w:r w:rsidRPr="008B495F">
        <w:rPr>
          <w:rFonts w:eastAsia="Times New Roman"/>
          <w:sz w:val="24"/>
          <w:szCs w:val="24"/>
        </w:rPr>
        <w:t>The total number of filtered water turbidity measurements taken during the month.</w:t>
      </w:r>
    </w:p>
    <w:p w14:paraId="281A62AD" w14:textId="77777777" w:rsidR="004647B9" w:rsidRPr="008B495F" w:rsidRDefault="00E2436F" w:rsidP="001426D9">
      <w:pPr>
        <w:numPr>
          <w:ilvl w:val="2"/>
          <w:numId w:val="660"/>
        </w:numPr>
        <w:tabs>
          <w:tab w:val="left" w:pos="2202"/>
        </w:tabs>
        <w:ind w:left="1900" w:hanging="5"/>
        <w:jc w:val="both"/>
        <w:rPr>
          <w:rFonts w:eastAsia="Times New Roman"/>
          <w:sz w:val="24"/>
          <w:szCs w:val="24"/>
        </w:rPr>
      </w:pPr>
      <w:r w:rsidRPr="008B495F">
        <w:rPr>
          <w:rFonts w:eastAsia="Times New Roman"/>
          <w:sz w:val="24"/>
          <w:szCs w:val="24"/>
        </w:rPr>
        <w:t>The number and percentage of filtered water turbidity measurements taken during the month which are less than or equal to the turbidity limits specified in 310 CMR 22.20D(4)(a) or (b).</w:t>
      </w:r>
    </w:p>
    <w:p w14:paraId="281A62AF" w14:textId="77777777" w:rsidR="004647B9" w:rsidRPr="008B495F" w:rsidRDefault="00E2436F" w:rsidP="001426D9">
      <w:pPr>
        <w:numPr>
          <w:ilvl w:val="2"/>
          <w:numId w:val="660"/>
        </w:numPr>
        <w:tabs>
          <w:tab w:val="left" w:pos="2296"/>
        </w:tabs>
        <w:ind w:left="1900" w:hanging="5"/>
        <w:jc w:val="both"/>
        <w:rPr>
          <w:rFonts w:eastAsia="Times New Roman"/>
          <w:sz w:val="24"/>
          <w:szCs w:val="24"/>
        </w:rPr>
      </w:pPr>
      <w:r w:rsidRPr="008B495F">
        <w:rPr>
          <w:rFonts w:eastAsia="Times New Roman"/>
          <w:sz w:val="24"/>
          <w:szCs w:val="24"/>
        </w:rPr>
        <w:t>The date and value of any turbidity measurements taken during the month which exceed one NTU for systems using conventional filtration treatment or direct filtration, or exceed the maximum level set by the Department in 310 CMR 22.20D(4)(b).</w:t>
      </w:r>
    </w:p>
    <w:p w14:paraId="281A62B0" w14:textId="77777777" w:rsidR="004647B9" w:rsidRPr="008B495F" w:rsidRDefault="00E2436F" w:rsidP="001426D9">
      <w:pPr>
        <w:numPr>
          <w:ilvl w:val="1"/>
          <w:numId w:val="660"/>
        </w:numPr>
        <w:tabs>
          <w:tab w:val="left" w:pos="1978"/>
        </w:tabs>
        <w:ind w:left="1540" w:hanging="5"/>
        <w:jc w:val="both"/>
        <w:rPr>
          <w:rFonts w:eastAsia="Times New Roman"/>
          <w:sz w:val="24"/>
          <w:szCs w:val="24"/>
        </w:rPr>
      </w:pPr>
      <w:r w:rsidRPr="008B495F">
        <w:rPr>
          <w:rFonts w:eastAsia="Times New Roman"/>
          <w:sz w:val="24"/>
          <w:szCs w:val="24"/>
        </w:rPr>
        <w:t>The supplier of water shall maintain the results of individual filter monitoring taken as required in 310 CMR 22.20D(5) for at least three years. Each supplier of water shall report that individual filter turbidity monitoring was conducted in accordance with 310 CMR 22.20D(5) within ten days after the end of each month the system serves water to the public. Each supplier of water shall report individual filter turbidity measurement results taken under 310 CMR 22.20D(5) within ten days after the end of each month the system serves water to the public only if measurements demonstrate one or more of the conditions in 310 CMR 22.20D(6)(b)1. through 3. Each supplier of water who uses lime softening may apply to the Department for alternative exceedance levels for the levels specified in 310 CMR 22.20D(6)(b)1. through 4. if the supplier can demonstrate that higher turbidity levels in individual filters are due to lime carryover only and not due to degraded filter performance. A supplier of water shall report the filter number, the turbidity measurement, and the date(s) on which an exceedance occurred for any individual filter that has a measured turbidity level of greater than 1.0 NTU in two consecutive measurements taken 15 minutes apart. In addition, the supplier of water shall either produce a filter profile for the filter within seven days of the exceedance (if the supplier is not able to identify an obvious reason for the abnormal filter performance) and report that the profile has been produced or report the obvious reason for the exceedance.</w:t>
      </w:r>
    </w:p>
    <w:p w14:paraId="281A62B2" w14:textId="77777777" w:rsidR="004647B9" w:rsidRPr="008B495F" w:rsidRDefault="00E2436F" w:rsidP="001426D9">
      <w:pPr>
        <w:numPr>
          <w:ilvl w:val="2"/>
          <w:numId w:val="660"/>
        </w:numPr>
        <w:tabs>
          <w:tab w:val="left" w:pos="2246"/>
        </w:tabs>
        <w:ind w:left="1900" w:hanging="5"/>
        <w:jc w:val="both"/>
        <w:rPr>
          <w:rFonts w:eastAsia="Times New Roman"/>
          <w:sz w:val="24"/>
          <w:szCs w:val="24"/>
        </w:rPr>
      </w:pPr>
      <w:r w:rsidRPr="008B495F">
        <w:rPr>
          <w:rFonts w:eastAsia="Times New Roman"/>
          <w:sz w:val="24"/>
          <w:szCs w:val="24"/>
        </w:rPr>
        <w:t>For any individual filter that has a measured turbidity level of greater than 0.5 NTU in two consecutive measurements taken 15 minutes apart at the end of the first four hours of continuous filter operation after the filter has been backwashed or otherwise taken offline, the supplier of water shall report the filter number, the turbidity, and the date(s) on which the exceedance occurred. In addition, the supplier of water shall either produce a filter profile for the filter within seven days of the exceedance (if the system is not able to identify an obvious reason for the abnormal filter performance) and report that the profile has been produced or report the obvious reason for the exceedance.</w:t>
      </w:r>
    </w:p>
    <w:p w14:paraId="281A62B3" w14:textId="77777777" w:rsidR="004647B9" w:rsidRDefault="004647B9" w:rsidP="001426D9">
      <w:pPr>
        <w:sectPr w:rsidR="004647B9" w:rsidSect="00EF630C">
          <w:pgSz w:w="12240" w:h="20180"/>
          <w:pgMar w:top="708" w:right="1440" w:bottom="831" w:left="620" w:header="0" w:footer="0" w:gutter="0"/>
          <w:cols w:space="720"/>
        </w:sectPr>
      </w:pPr>
    </w:p>
    <w:p w14:paraId="281A62B4" w14:textId="77777777" w:rsidR="004647B9" w:rsidRDefault="00E2436F">
      <w:pPr>
        <w:tabs>
          <w:tab w:val="left" w:pos="160"/>
        </w:tabs>
        <w:ind w:right="20"/>
        <w:jc w:val="center"/>
        <w:rPr>
          <w:sz w:val="20"/>
          <w:szCs w:val="20"/>
        </w:rPr>
      </w:pPr>
      <w:bookmarkStart w:id="279" w:name="page283"/>
      <w:bookmarkEnd w:id="27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2B5" w14:textId="77777777" w:rsidR="004647B9" w:rsidRDefault="004647B9" w:rsidP="001426D9">
      <w:pPr>
        <w:rPr>
          <w:sz w:val="20"/>
          <w:szCs w:val="20"/>
        </w:rPr>
      </w:pPr>
    </w:p>
    <w:p w14:paraId="281A62B6" w14:textId="77777777" w:rsidR="004647B9" w:rsidRDefault="004647B9" w:rsidP="001426D9">
      <w:pPr>
        <w:rPr>
          <w:sz w:val="20"/>
          <w:szCs w:val="20"/>
        </w:rPr>
      </w:pPr>
    </w:p>
    <w:p w14:paraId="281A62B7" w14:textId="77777777" w:rsidR="004647B9" w:rsidRPr="001426D9" w:rsidRDefault="00E2436F" w:rsidP="001426D9">
      <w:pPr>
        <w:tabs>
          <w:tab w:val="left" w:pos="940"/>
        </w:tabs>
        <w:rPr>
          <w:sz w:val="24"/>
          <w:szCs w:val="24"/>
        </w:rPr>
      </w:pPr>
      <w:r w:rsidRPr="001426D9">
        <w:rPr>
          <w:rFonts w:eastAsia="Times New Roman"/>
          <w:sz w:val="24"/>
          <w:szCs w:val="24"/>
        </w:rPr>
        <w:t>22.20D:</w:t>
      </w:r>
      <w:r w:rsidRPr="001426D9">
        <w:rPr>
          <w:rFonts w:eastAsia="Times New Roman"/>
          <w:sz w:val="24"/>
          <w:szCs w:val="24"/>
        </w:rPr>
        <w:tab/>
        <w:t>continued</w:t>
      </w:r>
    </w:p>
    <w:p w14:paraId="281A62B8" w14:textId="77777777" w:rsidR="004647B9" w:rsidRDefault="004647B9" w:rsidP="001426D9">
      <w:pPr>
        <w:rPr>
          <w:sz w:val="20"/>
          <w:szCs w:val="20"/>
        </w:rPr>
      </w:pPr>
    </w:p>
    <w:p w14:paraId="281A62B9" w14:textId="77777777" w:rsidR="004647B9" w:rsidRPr="00F0223B" w:rsidRDefault="00E2436F" w:rsidP="001426D9">
      <w:pPr>
        <w:numPr>
          <w:ilvl w:val="1"/>
          <w:numId w:val="661"/>
        </w:numPr>
        <w:tabs>
          <w:tab w:val="left" w:pos="2246"/>
        </w:tabs>
        <w:ind w:left="1900" w:hanging="5"/>
        <w:jc w:val="both"/>
        <w:rPr>
          <w:rFonts w:eastAsia="Times New Roman"/>
          <w:sz w:val="24"/>
          <w:szCs w:val="24"/>
        </w:rPr>
      </w:pPr>
      <w:r w:rsidRPr="00F0223B">
        <w:rPr>
          <w:rFonts w:eastAsia="Times New Roman"/>
          <w:sz w:val="24"/>
          <w:szCs w:val="24"/>
        </w:rPr>
        <w:t>For any individual filter that has a measured turbidity level of greater than 1.0 NTU in two consecutive measurements taken 15 minutes apart at any time in each of three consecutive months, the supplier of water shall report the filter number, the turbidity measurement, and the date(s) on which the exceedance occurred. In addition, the supplier of water shall conduct a self-assessment of the filter within 14 days of the exceedance and report that the self-assessment was conducted. The self-assessment shall consist of at least the following components: assessment of filter performance; development of a filter profile; identification and prioritization of factors limiting filter performance; assessment of the applicability of corrections; and preparation of a filter self-assessment report.</w:t>
      </w:r>
    </w:p>
    <w:p w14:paraId="281A62BB" w14:textId="77777777" w:rsidR="004647B9" w:rsidRPr="00F0223B" w:rsidRDefault="00E2436F" w:rsidP="001426D9">
      <w:pPr>
        <w:numPr>
          <w:ilvl w:val="1"/>
          <w:numId w:val="661"/>
        </w:numPr>
        <w:tabs>
          <w:tab w:val="left" w:pos="2246"/>
        </w:tabs>
        <w:ind w:left="1900" w:hanging="5"/>
        <w:jc w:val="both"/>
        <w:rPr>
          <w:rFonts w:eastAsia="Times New Roman"/>
          <w:sz w:val="24"/>
          <w:szCs w:val="24"/>
        </w:rPr>
      </w:pPr>
      <w:r w:rsidRPr="00F0223B">
        <w:rPr>
          <w:rFonts w:eastAsia="Times New Roman"/>
          <w:sz w:val="24"/>
          <w:szCs w:val="24"/>
        </w:rPr>
        <w:t>For any individual filter that has a measured turbidity level of greater than 2.0 NTU in two consecutive measurements taken 15 minutes apart at any time in each of two consecutive months, the supplier of water shall report the filter number, the turbidity measurement, and the date(s) on which the exceedance occurred. In addition, the supplier of water shall arrange for the Department to conduct a Comprehensive Performance Evaluation no later than 30 days following the exceedance and have the evaluation completed no later than 90 days following the exceedance.</w:t>
      </w:r>
    </w:p>
    <w:p w14:paraId="281A62BD" w14:textId="0BB308C0" w:rsidR="004647B9" w:rsidRDefault="00E2436F" w:rsidP="001426D9">
      <w:pPr>
        <w:numPr>
          <w:ilvl w:val="0"/>
          <w:numId w:val="662"/>
        </w:numPr>
        <w:tabs>
          <w:tab w:val="left" w:pos="1980"/>
        </w:tabs>
        <w:ind w:left="1980" w:hanging="445"/>
        <w:rPr>
          <w:rFonts w:eastAsia="Times New Roman"/>
          <w:sz w:val="24"/>
          <w:szCs w:val="24"/>
        </w:rPr>
      </w:pPr>
      <w:r>
        <w:rPr>
          <w:rFonts w:eastAsia="Times New Roman"/>
          <w:sz w:val="24"/>
          <w:szCs w:val="24"/>
          <w:u w:val="single"/>
        </w:rPr>
        <w:t>Additional Reporting Requirements</w:t>
      </w:r>
      <w:r>
        <w:rPr>
          <w:rFonts w:eastAsia="Times New Roman"/>
          <w:sz w:val="24"/>
          <w:szCs w:val="24"/>
        </w:rPr>
        <w:t>.</w:t>
      </w:r>
    </w:p>
    <w:p w14:paraId="281A62BF" w14:textId="77777777" w:rsidR="004647B9" w:rsidRDefault="00E2436F" w:rsidP="001426D9">
      <w:pPr>
        <w:numPr>
          <w:ilvl w:val="1"/>
          <w:numId w:val="662"/>
        </w:numPr>
        <w:tabs>
          <w:tab w:val="left" w:pos="2246"/>
        </w:tabs>
        <w:ind w:left="1900" w:hanging="5"/>
        <w:jc w:val="both"/>
        <w:rPr>
          <w:rFonts w:eastAsia="Times New Roman"/>
          <w:sz w:val="24"/>
          <w:szCs w:val="24"/>
        </w:rPr>
      </w:pPr>
      <w:r>
        <w:rPr>
          <w:rFonts w:eastAsia="Times New Roman"/>
          <w:sz w:val="24"/>
          <w:szCs w:val="24"/>
        </w:rPr>
        <w:t>If at any at time the turbidity exceeds one NTU in representative samples of filtered water in a system using conventional treatment or direct filtration, the supplier of water shall inform the Department as soon as possible, but not later than the end of the next business day.</w:t>
      </w:r>
    </w:p>
    <w:p w14:paraId="281A62C0" w14:textId="77777777" w:rsidR="004647B9" w:rsidRDefault="00E2436F" w:rsidP="001426D9">
      <w:pPr>
        <w:numPr>
          <w:ilvl w:val="1"/>
          <w:numId w:val="662"/>
        </w:numPr>
        <w:tabs>
          <w:tab w:val="left" w:pos="2246"/>
        </w:tabs>
        <w:ind w:left="1900" w:hanging="5"/>
        <w:jc w:val="both"/>
        <w:rPr>
          <w:rFonts w:eastAsia="Times New Roman"/>
          <w:sz w:val="24"/>
          <w:szCs w:val="24"/>
        </w:rPr>
      </w:pPr>
      <w:r>
        <w:rPr>
          <w:rFonts w:eastAsia="Times New Roman"/>
          <w:sz w:val="24"/>
          <w:szCs w:val="24"/>
        </w:rPr>
        <w:t>If at any at time the turbidity exceeds one NTU in representative samples of filtered water in a system using filtration technologies other than conventional filtration treatment, direct filtration, slow sand filtration, or diatomaceous earth filtration, the supplier of water shall inform the Department as soon as possible, but not later than the end of the next business day.</w:t>
      </w:r>
    </w:p>
    <w:p w14:paraId="281A62C1" w14:textId="77777777" w:rsidR="004647B9" w:rsidRPr="001426D9" w:rsidRDefault="004647B9" w:rsidP="001426D9">
      <w:pPr>
        <w:rPr>
          <w:sz w:val="24"/>
          <w:szCs w:val="24"/>
        </w:rPr>
      </w:pPr>
    </w:p>
    <w:p w14:paraId="281A62C2" w14:textId="77777777" w:rsidR="004647B9" w:rsidRPr="008B495F" w:rsidRDefault="00E2436F" w:rsidP="001426D9">
      <w:pPr>
        <w:tabs>
          <w:tab w:val="left" w:pos="920"/>
        </w:tabs>
        <w:rPr>
          <w:sz w:val="24"/>
          <w:szCs w:val="24"/>
        </w:rPr>
      </w:pPr>
      <w:r w:rsidRPr="008B495F">
        <w:rPr>
          <w:rFonts w:eastAsia="Times New Roman"/>
          <w:sz w:val="24"/>
          <w:szCs w:val="24"/>
          <w:u w:val="single"/>
        </w:rPr>
        <w:t>22.20E:</w:t>
      </w:r>
      <w:r w:rsidRPr="008B495F">
        <w:rPr>
          <w:sz w:val="24"/>
          <w:szCs w:val="24"/>
        </w:rPr>
        <w:tab/>
      </w:r>
      <w:r w:rsidRPr="008B495F">
        <w:rPr>
          <w:rFonts w:eastAsia="Times New Roman"/>
          <w:sz w:val="24"/>
          <w:szCs w:val="24"/>
          <w:u w:val="single"/>
        </w:rPr>
        <w:t>Filter Backwash Recycling Rule</w:t>
      </w:r>
    </w:p>
    <w:p w14:paraId="281A62C3" w14:textId="77777777" w:rsidR="004647B9" w:rsidRPr="008B495F" w:rsidRDefault="004647B9" w:rsidP="001426D9">
      <w:pPr>
        <w:rPr>
          <w:sz w:val="24"/>
          <w:szCs w:val="24"/>
        </w:rPr>
      </w:pPr>
    </w:p>
    <w:p w14:paraId="281A62C4" w14:textId="77777777" w:rsidR="004647B9" w:rsidRPr="008B495F" w:rsidRDefault="00E2436F" w:rsidP="001426D9">
      <w:pPr>
        <w:numPr>
          <w:ilvl w:val="0"/>
          <w:numId w:val="663"/>
        </w:numPr>
        <w:tabs>
          <w:tab w:val="left" w:pos="1619"/>
        </w:tabs>
        <w:ind w:left="1180"/>
        <w:jc w:val="both"/>
        <w:rPr>
          <w:rFonts w:eastAsia="Times New Roman"/>
          <w:sz w:val="24"/>
          <w:szCs w:val="24"/>
        </w:rPr>
      </w:pPr>
      <w:r w:rsidRPr="008B495F">
        <w:rPr>
          <w:rFonts w:eastAsia="Times New Roman"/>
          <w:sz w:val="24"/>
          <w:szCs w:val="24"/>
          <w:u w:val="single"/>
        </w:rPr>
        <w:t>Applicability</w:t>
      </w:r>
      <w:r w:rsidRPr="008B495F">
        <w:rPr>
          <w:rFonts w:eastAsia="Times New Roman"/>
          <w:sz w:val="24"/>
          <w:szCs w:val="24"/>
        </w:rPr>
        <w:t>. Each supplier of water using a surface water source or ground water source under direct influence of surface water that employs conventional filtration, direct filtration, softening, or contact clarification treatment and that recycles spent filter backwash water, thickener supernatant, or liquids from dewatering processes shall meet the requirements in 310 CMR 22.20E(2) through (4).</w:t>
      </w:r>
    </w:p>
    <w:p w14:paraId="281A62C5" w14:textId="77777777" w:rsidR="004647B9" w:rsidRPr="008B495F" w:rsidRDefault="004647B9" w:rsidP="001426D9">
      <w:pPr>
        <w:rPr>
          <w:rFonts w:eastAsia="Times New Roman"/>
          <w:sz w:val="24"/>
          <w:szCs w:val="24"/>
        </w:rPr>
      </w:pPr>
    </w:p>
    <w:p w14:paraId="281A62C6" w14:textId="77777777" w:rsidR="004647B9" w:rsidRPr="008B495F" w:rsidRDefault="00E2436F" w:rsidP="001426D9">
      <w:pPr>
        <w:numPr>
          <w:ilvl w:val="0"/>
          <w:numId w:val="663"/>
        </w:numPr>
        <w:tabs>
          <w:tab w:val="left" w:pos="1676"/>
        </w:tabs>
        <w:ind w:left="1180"/>
        <w:jc w:val="both"/>
        <w:rPr>
          <w:rFonts w:eastAsia="Times New Roman"/>
          <w:sz w:val="24"/>
          <w:szCs w:val="24"/>
        </w:rPr>
      </w:pPr>
      <w:r w:rsidRPr="008B495F">
        <w:rPr>
          <w:rFonts w:eastAsia="Times New Roman"/>
          <w:sz w:val="24"/>
          <w:szCs w:val="24"/>
          <w:u w:val="single"/>
        </w:rPr>
        <w:t>Reporting</w:t>
      </w:r>
      <w:r w:rsidRPr="008B495F">
        <w:rPr>
          <w:rFonts w:eastAsia="Times New Roman"/>
          <w:sz w:val="24"/>
          <w:szCs w:val="24"/>
        </w:rPr>
        <w:t>. Each supplier of water using a surface water source or ground water source under direct influence of surface water that employs conventional filtration, direct filtration, softening, or contact clarification treatment shall notify the Department in writing by December 8, 2003, if the system recycles spent filter backwash water, thickener supernatant, or liquids from dewatering processes. This notification shall include, at a minimum, the information specified in 310 CMR 22.20E(2)(a) and (b).</w:t>
      </w:r>
    </w:p>
    <w:p w14:paraId="281A62C8" w14:textId="77777777" w:rsidR="004647B9" w:rsidRPr="008B495F" w:rsidRDefault="00E2436F" w:rsidP="001426D9">
      <w:pPr>
        <w:numPr>
          <w:ilvl w:val="1"/>
          <w:numId w:val="663"/>
        </w:numPr>
        <w:tabs>
          <w:tab w:val="left" w:pos="1984"/>
        </w:tabs>
        <w:ind w:left="1540" w:hanging="5"/>
        <w:jc w:val="both"/>
        <w:rPr>
          <w:rFonts w:eastAsia="Times New Roman"/>
          <w:sz w:val="24"/>
          <w:szCs w:val="24"/>
        </w:rPr>
      </w:pPr>
      <w:r w:rsidRPr="008B495F">
        <w:rPr>
          <w:rFonts w:eastAsia="Times New Roman"/>
          <w:sz w:val="24"/>
          <w:szCs w:val="24"/>
        </w:rPr>
        <w:t>A plant schematic showing the origin of all flows that are recycled (including, but not limited to, spent filter backwash water, thickener supernatant, and liquids from dewatering processes), the hydraulic conveyance used to transport them, and the location where they are re-introduced back into the treatment plant.</w:t>
      </w:r>
    </w:p>
    <w:p w14:paraId="281A62C9" w14:textId="77777777" w:rsidR="004647B9" w:rsidRPr="008B495F" w:rsidRDefault="00E2436F" w:rsidP="001426D9">
      <w:pPr>
        <w:numPr>
          <w:ilvl w:val="1"/>
          <w:numId w:val="663"/>
        </w:numPr>
        <w:tabs>
          <w:tab w:val="left" w:pos="2072"/>
        </w:tabs>
        <w:ind w:left="1540" w:hanging="5"/>
        <w:jc w:val="both"/>
        <w:rPr>
          <w:rFonts w:eastAsia="Times New Roman"/>
          <w:sz w:val="24"/>
          <w:szCs w:val="24"/>
        </w:rPr>
      </w:pPr>
      <w:r w:rsidRPr="008B495F">
        <w:rPr>
          <w:rFonts w:eastAsia="Times New Roman"/>
          <w:sz w:val="24"/>
          <w:szCs w:val="24"/>
        </w:rPr>
        <w:t>Typical recycle flow in gallons per minute (gpm), the highest observed plant flow experienced in the previous year (gpm), design flow for the treatment plant (gpm), and Department-approved operating capacity for the plant where the Department has made such determinations.</w:t>
      </w:r>
    </w:p>
    <w:p w14:paraId="281A62CA" w14:textId="77777777" w:rsidR="004647B9" w:rsidRPr="008B495F" w:rsidRDefault="004647B9" w:rsidP="001426D9">
      <w:pPr>
        <w:rPr>
          <w:rFonts w:eastAsia="Times New Roman"/>
          <w:sz w:val="24"/>
          <w:szCs w:val="24"/>
        </w:rPr>
      </w:pPr>
    </w:p>
    <w:p w14:paraId="281A62CB" w14:textId="77777777" w:rsidR="004647B9" w:rsidRPr="008B495F" w:rsidRDefault="00E2436F" w:rsidP="001426D9">
      <w:pPr>
        <w:numPr>
          <w:ilvl w:val="0"/>
          <w:numId w:val="663"/>
        </w:numPr>
        <w:tabs>
          <w:tab w:val="left" w:pos="1611"/>
        </w:tabs>
        <w:ind w:left="1180"/>
        <w:jc w:val="both"/>
        <w:rPr>
          <w:rFonts w:eastAsia="Times New Roman"/>
          <w:sz w:val="24"/>
          <w:szCs w:val="24"/>
        </w:rPr>
      </w:pPr>
      <w:r w:rsidRPr="008B495F">
        <w:rPr>
          <w:rFonts w:eastAsia="Times New Roman"/>
          <w:sz w:val="24"/>
          <w:szCs w:val="24"/>
          <w:u w:val="single"/>
        </w:rPr>
        <w:t>Treatment Technique Requirement</w:t>
      </w:r>
      <w:r w:rsidRPr="008B495F">
        <w:rPr>
          <w:rFonts w:eastAsia="Times New Roman"/>
          <w:sz w:val="24"/>
          <w:szCs w:val="24"/>
        </w:rPr>
        <w:t>. Each supplier of water using a surface water source or ground water source under direct influence of surface water that employs conventional filtration, direct filtration, softening, or contact clarification treatment that recycles spent filter backwash water, thickener supernatant, or liquids from dewatering processes must return these flows through the processes of a system's existing conventional filtration, direct filtration, softening, or contact clarification system or at an alternate location approved by the Department by June 8, 2004. If capital improvements are required to modify the recycle location to meet this requirement, all capital improvements shall be completed no later than June 8, 2006.</w:t>
      </w:r>
    </w:p>
    <w:p w14:paraId="281A62CC" w14:textId="77777777" w:rsidR="004647B9" w:rsidRDefault="004647B9" w:rsidP="001426D9">
      <w:pPr>
        <w:sectPr w:rsidR="004647B9" w:rsidSect="00EF630C">
          <w:pgSz w:w="12240" w:h="20180"/>
          <w:pgMar w:top="708" w:right="1440" w:bottom="998" w:left="620" w:header="0" w:footer="0" w:gutter="0"/>
          <w:cols w:space="720"/>
        </w:sectPr>
      </w:pPr>
    </w:p>
    <w:p w14:paraId="281A62CD" w14:textId="77777777" w:rsidR="004647B9" w:rsidRDefault="00E2436F">
      <w:pPr>
        <w:tabs>
          <w:tab w:val="left" w:pos="160"/>
        </w:tabs>
        <w:ind w:right="20"/>
        <w:jc w:val="center"/>
        <w:rPr>
          <w:sz w:val="20"/>
          <w:szCs w:val="20"/>
        </w:rPr>
      </w:pPr>
      <w:bookmarkStart w:id="280" w:name="page284"/>
      <w:bookmarkEnd w:id="28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2CE" w14:textId="77777777" w:rsidR="004647B9" w:rsidRDefault="004647B9" w:rsidP="001426D9">
      <w:pPr>
        <w:rPr>
          <w:sz w:val="20"/>
          <w:szCs w:val="20"/>
        </w:rPr>
      </w:pPr>
    </w:p>
    <w:p w14:paraId="281A62CF" w14:textId="77777777" w:rsidR="004647B9" w:rsidRDefault="004647B9" w:rsidP="001426D9">
      <w:pPr>
        <w:rPr>
          <w:sz w:val="20"/>
          <w:szCs w:val="20"/>
        </w:rPr>
      </w:pPr>
    </w:p>
    <w:p w14:paraId="281A62D0" w14:textId="77777777" w:rsidR="004647B9" w:rsidRPr="008B495F" w:rsidRDefault="00E2436F" w:rsidP="001426D9">
      <w:pPr>
        <w:tabs>
          <w:tab w:val="left" w:pos="920"/>
        </w:tabs>
        <w:rPr>
          <w:sz w:val="24"/>
          <w:szCs w:val="24"/>
        </w:rPr>
      </w:pPr>
      <w:r w:rsidRPr="008B495F">
        <w:rPr>
          <w:rFonts w:eastAsia="Times New Roman"/>
          <w:sz w:val="24"/>
          <w:szCs w:val="24"/>
        </w:rPr>
        <w:t>22.20E:</w:t>
      </w:r>
      <w:r w:rsidRPr="008B495F">
        <w:rPr>
          <w:sz w:val="24"/>
          <w:szCs w:val="24"/>
        </w:rPr>
        <w:tab/>
      </w:r>
      <w:r w:rsidRPr="008B495F">
        <w:rPr>
          <w:rFonts w:eastAsia="Times New Roman"/>
          <w:sz w:val="24"/>
          <w:szCs w:val="24"/>
        </w:rPr>
        <w:t>continued</w:t>
      </w:r>
    </w:p>
    <w:p w14:paraId="281A62D1" w14:textId="77777777" w:rsidR="004647B9" w:rsidRPr="001426D9" w:rsidRDefault="004647B9" w:rsidP="001426D9">
      <w:pPr>
        <w:rPr>
          <w:sz w:val="20"/>
          <w:szCs w:val="20"/>
        </w:rPr>
      </w:pPr>
    </w:p>
    <w:p w14:paraId="281A62D2" w14:textId="77777777" w:rsidR="004647B9" w:rsidRPr="008B495F" w:rsidRDefault="00E2436F" w:rsidP="001426D9">
      <w:pPr>
        <w:numPr>
          <w:ilvl w:val="0"/>
          <w:numId w:val="664"/>
        </w:numPr>
        <w:tabs>
          <w:tab w:val="left" w:pos="1733"/>
        </w:tabs>
        <w:ind w:left="1180"/>
        <w:jc w:val="both"/>
        <w:rPr>
          <w:rFonts w:eastAsia="Times New Roman"/>
          <w:sz w:val="24"/>
          <w:szCs w:val="24"/>
        </w:rPr>
      </w:pPr>
      <w:r w:rsidRPr="008B495F">
        <w:rPr>
          <w:rFonts w:eastAsia="Times New Roman"/>
          <w:sz w:val="24"/>
          <w:szCs w:val="24"/>
          <w:u w:val="single"/>
        </w:rPr>
        <w:t>Recordkeeping</w:t>
      </w:r>
      <w:r w:rsidRPr="008B495F">
        <w:rPr>
          <w:rFonts w:eastAsia="Times New Roman"/>
          <w:sz w:val="24"/>
          <w:szCs w:val="24"/>
        </w:rPr>
        <w:t>. The system shall collect and retain on file recycle flow information specified in 310 CMR 22.20E(4)(a) through (f) for review and evaluation by the Department beginning June 8, 2004:</w:t>
      </w:r>
    </w:p>
    <w:p w14:paraId="281A62D4" w14:textId="77777777" w:rsidR="004647B9" w:rsidRPr="008B495F" w:rsidRDefault="00E2436F" w:rsidP="001426D9">
      <w:pPr>
        <w:numPr>
          <w:ilvl w:val="1"/>
          <w:numId w:val="664"/>
        </w:numPr>
        <w:tabs>
          <w:tab w:val="left" w:pos="2013"/>
        </w:tabs>
        <w:ind w:left="1540" w:hanging="5"/>
        <w:rPr>
          <w:rFonts w:eastAsia="Times New Roman"/>
          <w:sz w:val="24"/>
          <w:szCs w:val="24"/>
        </w:rPr>
      </w:pPr>
      <w:r w:rsidRPr="008B495F">
        <w:rPr>
          <w:rFonts w:eastAsia="Times New Roman"/>
          <w:sz w:val="24"/>
          <w:szCs w:val="24"/>
        </w:rPr>
        <w:t>Copy of the recycle notification and information submitted to the Department under 310 CMR 22.20E(2),</w:t>
      </w:r>
    </w:p>
    <w:p w14:paraId="281A62D5" w14:textId="77777777" w:rsidR="004647B9" w:rsidRPr="008B495F" w:rsidRDefault="00E2436F" w:rsidP="001426D9">
      <w:pPr>
        <w:numPr>
          <w:ilvl w:val="1"/>
          <w:numId w:val="664"/>
        </w:numPr>
        <w:tabs>
          <w:tab w:val="left" w:pos="2000"/>
        </w:tabs>
        <w:ind w:left="2000" w:hanging="465"/>
        <w:rPr>
          <w:rFonts w:eastAsia="Times New Roman"/>
          <w:sz w:val="24"/>
          <w:szCs w:val="24"/>
        </w:rPr>
      </w:pPr>
      <w:r w:rsidRPr="008B495F">
        <w:rPr>
          <w:rFonts w:eastAsia="Times New Roman"/>
          <w:sz w:val="24"/>
          <w:szCs w:val="24"/>
        </w:rPr>
        <w:t>List of all recycle flows and the frequency with which they are returned,</w:t>
      </w:r>
    </w:p>
    <w:p w14:paraId="281A62D7" w14:textId="77777777" w:rsidR="004647B9" w:rsidRPr="008B495F" w:rsidRDefault="00E2436F" w:rsidP="001426D9">
      <w:pPr>
        <w:numPr>
          <w:ilvl w:val="1"/>
          <w:numId w:val="664"/>
        </w:numPr>
        <w:tabs>
          <w:tab w:val="left" w:pos="2042"/>
        </w:tabs>
        <w:ind w:left="1540" w:hanging="5"/>
        <w:rPr>
          <w:rFonts w:eastAsia="Times New Roman"/>
          <w:sz w:val="24"/>
          <w:szCs w:val="24"/>
        </w:rPr>
      </w:pPr>
      <w:r w:rsidRPr="008B495F">
        <w:rPr>
          <w:rFonts w:eastAsia="Times New Roman"/>
          <w:sz w:val="24"/>
          <w:szCs w:val="24"/>
        </w:rPr>
        <w:t>Average and maximum backwash flow rate through the filters and the average and maximum duration of the filter backwash process in minutes,</w:t>
      </w:r>
    </w:p>
    <w:p w14:paraId="281A62D8" w14:textId="77777777" w:rsidR="004647B9" w:rsidRPr="008B495F" w:rsidRDefault="00E2436F" w:rsidP="001426D9">
      <w:pPr>
        <w:numPr>
          <w:ilvl w:val="1"/>
          <w:numId w:val="664"/>
        </w:numPr>
        <w:tabs>
          <w:tab w:val="left" w:pos="1980"/>
        </w:tabs>
        <w:ind w:left="1541"/>
        <w:rPr>
          <w:rFonts w:eastAsia="Times New Roman"/>
          <w:sz w:val="24"/>
          <w:szCs w:val="24"/>
        </w:rPr>
      </w:pPr>
      <w:r w:rsidRPr="008B495F">
        <w:rPr>
          <w:rFonts w:eastAsia="Times New Roman"/>
          <w:sz w:val="24"/>
          <w:szCs w:val="24"/>
        </w:rPr>
        <w:t>Typical filter run length and a written summary of how filter run length is determined,</w:t>
      </w:r>
    </w:p>
    <w:p w14:paraId="281A62DA" w14:textId="77777777" w:rsidR="004647B9" w:rsidRPr="008B495F" w:rsidRDefault="00E2436F" w:rsidP="001426D9">
      <w:pPr>
        <w:numPr>
          <w:ilvl w:val="1"/>
          <w:numId w:val="664"/>
        </w:numPr>
        <w:tabs>
          <w:tab w:val="left" w:pos="1980"/>
        </w:tabs>
        <w:ind w:left="1980" w:hanging="445"/>
        <w:rPr>
          <w:rFonts w:eastAsia="Times New Roman"/>
          <w:sz w:val="24"/>
          <w:szCs w:val="24"/>
        </w:rPr>
      </w:pPr>
      <w:r w:rsidRPr="008B495F">
        <w:rPr>
          <w:rFonts w:eastAsia="Times New Roman"/>
          <w:sz w:val="24"/>
          <w:szCs w:val="24"/>
        </w:rPr>
        <w:t>The type of treatment provided for the recycle flow, and</w:t>
      </w:r>
    </w:p>
    <w:p w14:paraId="281A62DC" w14:textId="77777777" w:rsidR="004647B9" w:rsidRPr="008B495F" w:rsidRDefault="00E2436F" w:rsidP="001426D9">
      <w:pPr>
        <w:numPr>
          <w:ilvl w:val="1"/>
          <w:numId w:val="664"/>
        </w:numPr>
        <w:tabs>
          <w:tab w:val="left" w:pos="1943"/>
        </w:tabs>
        <w:ind w:left="1540" w:hanging="5"/>
        <w:jc w:val="both"/>
        <w:rPr>
          <w:rFonts w:eastAsia="Times New Roman"/>
          <w:sz w:val="24"/>
          <w:szCs w:val="24"/>
        </w:rPr>
      </w:pPr>
      <w:r w:rsidRPr="008B495F">
        <w:rPr>
          <w:rFonts w:eastAsia="Times New Roman"/>
          <w:sz w:val="24"/>
          <w:szCs w:val="24"/>
        </w:rPr>
        <w:t>Data on the physical dimensions of the equalization and/or treatment units, typical and maximum hydraulic loading rates, type of treatment chemicals used and average dose and frequency of use, and frequency at which solids are removed, if applicable.</w:t>
      </w:r>
    </w:p>
    <w:p w14:paraId="281A62DD" w14:textId="77777777" w:rsidR="004647B9" w:rsidRPr="008B495F" w:rsidRDefault="004647B9" w:rsidP="001426D9">
      <w:pPr>
        <w:rPr>
          <w:sz w:val="24"/>
          <w:szCs w:val="24"/>
        </w:rPr>
      </w:pPr>
    </w:p>
    <w:p w14:paraId="281A62DE" w14:textId="77777777" w:rsidR="004647B9" w:rsidRPr="008B495F" w:rsidRDefault="00E2436F" w:rsidP="001426D9">
      <w:pPr>
        <w:tabs>
          <w:tab w:val="left" w:pos="900"/>
        </w:tabs>
        <w:rPr>
          <w:sz w:val="24"/>
          <w:szCs w:val="24"/>
        </w:rPr>
      </w:pPr>
      <w:r w:rsidRPr="008B495F">
        <w:rPr>
          <w:rFonts w:eastAsia="Times New Roman"/>
          <w:sz w:val="24"/>
          <w:szCs w:val="24"/>
          <w:u w:val="single"/>
        </w:rPr>
        <w:t>22.20F:</w:t>
      </w:r>
      <w:r w:rsidRPr="008B495F">
        <w:rPr>
          <w:sz w:val="24"/>
          <w:szCs w:val="24"/>
        </w:rPr>
        <w:tab/>
      </w:r>
      <w:r w:rsidRPr="008B495F">
        <w:rPr>
          <w:rFonts w:eastAsia="Times New Roman"/>
          <w:sz w:val="24"/>
          <w:szCs w:val="24"/>
          <w:u w:val="single"/>
        </w:rPr>
        <w:t>Long Term 1 Enhanced Surface Water Treatment Rule</w:t>
      </w:r>
    </w:p>
    <w:p w14:paraId="281A62DF" w14:textId="77777777" w:rsidR="004647B9" w:rsidRPr="008B495F" w:rsidRDefault="004647B9" w:rsidP="001426D9">
      <w:pPr>
        <w:rPr>
          <w:sz w:val="24"/>
          <w:szCs w:val="24"/>
        </w:rPr>
      </w:pPr>
    </w:p>
    <w:p w14:paraId="281A62E0" w14:textId="77777777" w:rsidR="004647B9" w:rsidRPr="008B495F" w:rsidRDefault="00E2436F" w:rsidP="001426D9">
      <w:pPr>
        <w:numPr>
          <w:ilvl w:val="0"/>
          <w:numId w:val="665"/>
        </w:numPr>
        <w:tabs>
          <w:tab w:val="left" w:pos="1640"/>
        </w:tabs>
        <w:ind w:left="1640" w:hanging="460"/>
        <w:rPr>
          <w:rFonts w:eastAsia="Times New Roman"/>
          <w:sz w:val="24"/>
          <w:szCs w:val="24"/>
        </w:rPr>
      </w:pPr>
      <w:r w:rsidRPr="008B495F">
        <w:rPr>
          <w:rFonts w:eastAsia="Times New Roman"/>
          <w:sz w:val="24"/>
          <w:szCs w:val="24"/>
          <w:u w:val="single"/>
        </w:rPr>
        <w:t>General Requirements</w:t>
      </w:r>
      <w:r w:rsidRPr="008B495F">
        <w:rPr>
          <w:rFonts w:eastAsia="Times New Roman"/>
          <w:sz w:val="24"/>
          <w:szCs w:val="24"/>
        </w:rPr>
        <w:t>.</w:t>
      </w:r>
    </w:p>
    <w:p w14:paraId="281A62E2" w14:textId="77777777" w:rsidR="004647B9" w:rsidRPr="008B495F" w:rsidRDefault="00E2436F" w:rsidP="001426D9">
      <w:pPr>
        <w:numPr>
          <w:ilvl w:val="1"/>
          <w:numId w:val="665"/>
        </w:numPr>
        <w:tabs>
          <w:tab w:val="left" w:pos="2036"/>
        </w:tabs>
        <w:ind w:left="1540" w:hanging="5"/>
        <w:jc w:val="both"/>
        <w:rPr>
          <w:rFonts w:eastAsia="Times New Roman"/>
          <w:sz w:val="24"/>
          <w:szCs w:val="24"/>
        </w:rPr>
      </w:pPr>
      <w:r w:rsidRPr="008B495F">
        <w:rPr>
          <w:rFonts w:eastAsia="Times New Roman"/>
          <w:sz w:val="24"/>
          <w:szCs w:val="24"/>
        </w:rPr>
        <w:t xml:space="preserve">310 CMR 22.20F establishes requirements for filtration and disinfection that are in addition to criteria under 310 CMR 22.20A. The requirements of 310 CMR 22.20F apply to public water systems serving fewer than 10,000 people using a surface water source or ground water source under the direct influence of surface water, beginning January 1, 2005 unless otherwise specified. 310 CMR 22.20F establishes or extends treatment technique requirements in </w:t>
      </w:r>
      <w:r w:rsidRPr="008B495F">
        <w:rPr>
          <w:rFonts w:eastAsia="Times New Roman"/>
          <w:i/>
          <w:iCs/>
          <w:sz w:val="24"/>
          <w:szCs w:val="24"/>
        </w:rPr>
        <w:t>lieu</w:t>
      </w:r>
      <w:r w:rsidRPr="008B495F">
        <w:rPr>
          <w:rFonts w:eastAsia="Times New Roman"/>
          <w:sz w:val="24"/>
          <w:szCs w:val="24"/>
        </w:rPr>
        <w:t xml:space="preserve"> of maximum contaminant levels for the following contaminants:</w:t>
      </w:r>
    </w:p>
    <w:p w14:paraId="281A62E4" w14:textId="77777777" w:rsidR="004647B9" w:rsidRPr="008B495F" w:rsidRDefault="00E2436F" w:rsidP="001426D9">
      <w:pPr>
        <w:numPr>
          <w:ilvl w:val="2"/>
          <w:numId w:val="665"/>
        </w:numPr>
        <w:tabs>
          <w:tab w:val="left" w:pos="2260"/>
        </w:tabs>
        <w:ind w:left="2260" w:hanging="365"/>
        <w:rPr>
          <w:rFonts w:eastAsia="Times New Roman"/>
          <w:sz w:val="24"/>
          <w:szCs w:val="24"/>
        </w:rPr>
      </w:pPr>
      <w:r w:rsidRPr="008B495F">
        <w:rPr>
          <w:rFonts w:eastAsia="Times New Roman"/>
          <w:i/>
          <w:iCs/>
          <w:sz w:val="24"/>
          <w:szCs w:val="24"/>
        </w:rPr>
        <w:t>Giardia lamblia</w:t>
      </w:r>
      <w:r w:rsidRPr="008B495F">
        <w:rPr>
          <w:rFonts w:eastAsia="Times New Roman"/>
          <w:sz w:val="24"/>
          <w:szCs w:val="24"/>
        </w:rPr>
        <w:t>;</w:t>
      </w:r>
    </w:p>
    <w:p w14:paraId="281A62E6" w14:textId="77777777" w:rsidR="004647B9" w:rsidRPr="008B495F" w:rsidRDefault="00E2436F" w:rsidP="001426D9">
      <w:pPr>
        <w:numPr>
          <w:ilvl w:val="2"/>
          <w:numId w:val="665"/>
        </w:numPr>
        <w:tabs>
          <w:tab w:val="left" w:pos="2260"/>
        </w:tabs>
        <w:ind w:left="2260" w:hanging="365"/>
        <w:rPr>
          <w:rFonts w:eastAsia="Times New Roman"/>
          <w:sz w:val="24"/>
          <w:szCs w:val="24"/>
        </w:rPr>
      </w:pPr>
      <w:r w:rsidRPr="008B495F">
        <w:rPr>
          <w:rFonts w:eastAsia="Times New Roman"/>
          <w:sz w:val="24"/>
          <w:szCs w:val="24"/>
        </w:rPr>
        <w:t>Viruses;</w:t>
      </w:r>
    </w:p>
    <w:p w14:paraId="281A62E8" w14:textId="77777777" w:rsidR="004647B9" w:rsidRPr="008B495F" w:rsidRDefault="00E2436F" w:rsidP="001426D9">
      <w:pPr>
        <w:numPr>
          <w:ilvl w:val="2"/>
          <w:numId w:val="665"/>
        </w:numPr>
        <w:tabs>
          <w:tab w:val="left" w:pos="2260"/>
        </w:tabs>
        <w:ind w:left="2260" w:hanging="365"/>
        <w:rPr>
          <w:rFonts w:eastAsia="Times New Roman"/>
          <w:sz w:val="24"/>
          <w:szCs w:val="24"/>
        </w:rPr>
      </w:pPr>
      <w:r w:rsidRPr="008B495F">
        <w:rPr>
          <w:rFonts w:eastAsia="Times New Roman"/>
          <w:sz w:val="24"/>
          <w:szCs w:val="24"/>
        </w:rPr>
        <w:t>Heterotrophic plate count bacteria;</w:t>
      </w:r>
    </w:p>
    <w:p w14:paraId="281A62EA" w14:textId="77777777" w:rsidR="004647B9" w:rsidRPr="008B495F" w:rsidRDefault="00E2436F" w:rsidP="001426D9">
      <w:pPr>
        <w:numPr>
          <w:ilvl w:val="2"/>
          <w:numId w:val="665"/>
        </w:numPr>
        <w:tabs>
          <w:tab w:val="left" w:pos="2260"/>
        </w:tabs>
        <w:ind w:left="2260" w:hanging="365"/>
        <w:rPr>
          <w:rFonts w:eastAsia="Times New Roman"/>
          <w:sz w:val="24"/>
          <w:szCs w:val="24"/>
        </w:rPr>
      </w:pPr>
      <w:r w:rsidRPr="008B495F">
        <w:rPr>
          <w:rFonts w:eastAsia="Times New Roman"/>
          <w:i/>
          <w:iCs/>
          <w:sz w:val="24"/>
          <w:szCs w:val="24"/>
        </w:rPr>
        <w:t>Legionella</w:t>
      </w:r>
      <w:r w:rsidRPr="008B495F">
        <w:rPr>
          <w:rFonts w:eastAsia="Times New Roman"/>
          <w:sz w:val="24"/>
          <w:szCs w:val="24"/>
        </w:rPr>
        <w:t>;</w:t>
      </w:r>
    </w:p>
    <w:p w14:paraId="281A62EC" w14:textId="77777777" w:rsidR="004647B9" w:rsidRPr="008B495F" w:rsidRDefault="00E2436F" w:rsidP="001426D9">
      <w:pPr>
        <w:numPr>
          <w:ilvl w:val="2"/>
          <w:numId w:val="665"/>
        </w:numPr>
        <w:tabs>
          <w:tab w:val="left" w:pos="2260"/>
        </w:tabs>
        <w:ind w:left="2260" w:hanging="365"/>
        <w:rPr>
          <w:rFonts w:eastAsia="Times New Roman"/>
          <w:sz w:val="24"/>
          <w:szCs w:val="24"/>
        </w:rPr>
      </w:pPr>
      <w:r w:rsidRPr="008B495F">
        <w:rPr>
          <w:rFonts w:eastAsia="Times New Roman"/>
          <w:i/>
          <w:iCs/>
          <w:sz w:val="24"/>
          <w:szCs w:val="24"/>
        </w:rPr>
        <w:t>Cryptosporidium</w:t>
      </w:r>
      <w:r w:rsidRPr="008B495F">
        <w:rPr>
          <w:rFonts w:eastAsia="Times New Roman"/>
          <w:sz w:val="24"/>
          <w:szCs w:val="24"/>
        </w:rPr>
        <w:t>; and</w:t>
      </w:r>
    </w:p>
    <w:p w14:paraId="281A62EE" w14:textId="77777777" w:rsidR="004647B9" w:rsidRPr="008B495F" w:rsidRDefault="00E2436F" w:rsidP="001426D9">
      <w:pPr>
        <w:numPr>
          <w:ilvl w:val="2"/>
          <w:numId w:val="665"/>
        </w:numPr>
        <w:tabs>
          <w:tab w:val="left" w:pos="2260"/>
        </w:tabs>
        <w:ind w:left="2260" w:hanging="365"/>
        <w:rPr>
          <w:rFonts w:eastAsia="Times New Roman"/>
          <w:sz w:val="24"/>
          <w:szCs w:val="24"/>
        </w:rPr>
      </w:pPr>
      <w:r w:rsidRPr="008B495F">
        <w:rPr>
          <w:rFonts w:eastAsia="Times New Roman"/>
          <w:sz w:val="24"/>
          <w:szCs w:val="24"/>
        </w:rPr>
        <w:t>Turbidity.</w:t>
      </w:r>
    </w:p>
    <w:p w14:paraId="281A62F0" w14:textId="77777777" w:rsidR="004647B9" w:rsidRDefault="00E2436F" w:rsidP="001426D9">
      <w:pPr>
        <w:numPr>
          <w:ilvl w:val="1"/>
          <w:numId w:val="665"/>
        </w:numPr>
        <w:tabs>
          <w:tab w:val="left" w:pos="2000"/>
        </w:tabs>
        <w:ind w:left="1540" w:hanging="5"/>
        <w:jc w:val="both"/>
        <w:rPr>
          <w:rFonts w:eastAsia="Times New Roman"/>
          <w:sz w:val="24"/>
          <w:szCs w:val="24"/>
        </w:rPr>
      </w:pPr>
      <w:r w:rsidRPr="008B495F">
        <w:rPr>
          <w:rFonts w:eastAsia="Times New Roman"/>
          <w:sz w:val="24"/>
          <w:szCs w:val="24"/>
        </w:rPr>
        <w:t>Each supplier of water serving fewer than 10,000 people using a surface water source</w:t>
      </w:r>
      <w:r>
        <w:rPr>
          <w:rFonts w:eastAsia="Times New Roman"/>
          <w:sz w:val="24"/>
          <w:szCs w:val="24"/>
        </w:rPr>
        <w:t xml:space="preserve"> or ground water source under the direct influence of surface water shall provide treatment of its source water that complies with the treatment technique requirements set forth in 310 CMR 22.20F in addition to the requirements identified in 310 CMR 22.20A. The treatment technique requirements set out in 310 CMR 22.20F consist of installing and properly operating water treatment processes that reliably achieve:</w:t>
      </w:r>
    </w:p>
    <w:p w14:paraId="281A62F2" w14:textId="77777777" w:rsidR="004647B9" w:rsidRDefault="00E2436F" w:rsidP="001426D9">
      <w:pPr>
        <w:numPr>
          <w:ilvl w:val="2"/>
          <w:numId w:val="665"/>
        </w:numPr>
        <w:tabs>
          <w:tab w:val="left" w:pos="2217"/>
        </w:tabs>
        <w:ind w:left="1900" w:hanging="5"/>
        <w:jc w:val="both"/>
        <w:rPr>
          <w:rFonts w:eastAsia="Times New Roman"/>
          <w:sz w:val="24"/>
          <w:szCs w:val="24"/>
        </w:rPr>
      </w:pPr>
      <w:r>
        <w:rPr>
          <w:rFonts w:eastAsia="Times New Roman"/>
          <w:sz w:val="24"/>
          <w:szCs w:val="24"/>
        </w:rPr>
        <w:t xml:space="preserve">At least 99% (2-log) removal of </w:t>
      </w:r>
      <w:r>
        <w:rPr>
          <w:rFonts w:eastAsia="Times New Roman"/>
          <w:i/>
          <w:iCs/>
          <w:sz w:val="24"/>
          <w:szCs w:val="24"/>
        </w:rPr>
        <w:t>Cryptosporidium</w:t>
      </w:r>
      <w:r>
        <w:rPr>
          <w:rFonts w:eastAsia="Times New Roman"/>
          <w:sz w:val="24"/>
          <w:szCs w:val="24"/>
        </w:rPr>
        <w:t xml:space="preserve"> between a point where water is not subject to recontamination by surface water runoff and a point downstream before or at the first customer for filtered systems, or </w:t>
      </w:r>
      <w:r>
        <w:rPr>
          <w:rFonts w:eastAsia="Times New Roman"/>
          <w:i/>
          <w:iCs/>
          <w:sz w:val="24"/>
          <w:szCs w:val="24"/>
        </w:rPr>
        <w:t>Cryptosporidium</w:t>
      </w:r>
      <w:r>
        <w:rPr>
          <w:rFonts w:eastAsia="Times New Roman"/>
          <w:sz w:val="24"/>
          <w:szCs w:val="24"/>
        </w:rPr>
        <w:t xml:space="preserve"> control under the watershed control plan for unfiltered systems.</w:t>
      </w:r>
    </w:p>
    <w:p w14:paraId="281A62F3" w14:textId="77777777" w:rsidR="004647B9" w:rsidRDefault="00E2436F" w:rsidP="001426D9">
      <w:pPr>
        <w:numPr>
          <w:ilvl w:val="2"/>
          <w:numId w:val="665"/>
        </w:numPr>
        <w:tabs>
          <w:tab w:val="left" w:pos="2493"/>
        </w:tabs>
        <w:ind w:left="1900" w:hanging="5"/>
        <w:rPr>
          <w:rFonts w:eastAsia="Times New Roman"/>
          <w:sz w:val="24"/>
          <w:szCs w:val="24"/>
        </w:rPr>
      </w:pPr>
      <w:r>
        <w:rPr>
          <w:rFonts w:eastAsia="Times New Roman"/>
          <w:sz w:val="24"/>
          <w:szCs w:val="24"/>
        </w:rPr>
        <w:t>Compliance with the profiling and benchmark requirements in 310 CMR 22.20F(4)(a) through (5)(e).</w:t>
      </w:r>
    </w:p>
    <w:p w14:paraId="281A62F4" w14:textId="77777777" w:rsidR="004647B9" w:rsidRDefault="00E2436F" w:rsidP="001426D9">
      <w:pPr>
        <w:numPr>
          <w:ilvl w:val="1"/>
          <w:numId w:val="665"/>
        </w:numPr>
        <w:tabs>
          <w:tab w:val="left" w:pos="1970"/>
        </w:tabs>
        <w:ind w:left="1540" w:hanging="5"/>
        <w:rPr>
          <w:rFonts w:eastAsia="Times New Roman"/>
          <w:sz w:val="24"/>
          <w:szCs w:val="24"/>
        </w:rPr>
      </w:pPr>
      <w:r>
        <w:rPr>
          <w:rFonts w:eastAsia="Times New Roman"/>
          <w:sz w:val="24"/>
          <w:szCs w:val="24"/>
        </w:rPr>
        <w:t>A public water system subject to the requirements of 310 CMR 22.20F shall also meet the following requirements:</w:t>
      </w:r>
    </w:p>
    <w:p w14:paraId="281A62F5" w14:textId="77777777" w:rsidR="004647B9" w:rsidRDefault="00E2436F" w:rsidP="001426D9">
      <w:pPr>
        <w:numPr>
          <w:ilvl w:val="2"/>
          <w:numId w:val="665"/>
        </w:numPr>
        <w:tabs>
          <w:tab w:val="left" w:pos="2229"/>
        </w:tabs>
        <w:ind w:left="1900" w:hanging="5"/>
        <w:rPr>
          <w:rFonts w:eastAsia="Times New Roman"/>
          <w:sz w:val="24"/>
          <w:szCs w:val="24"/>
        </w:rPr>
      </w:pPr>
      <w:r>
        <w:rPr>
          <w:rFonts w:eastAsia="Times New Roman"/>
          <w:sz w:val="24"/>
          <w:szCs w:val="24"/>
        </w:rPr>
        <w:t>It shall cover any finished water reservoir that started construction on or after March 15, 2002 as described in 310 CMR 22.20F(2)(a) and (b).</w:t>
      </w:r>
    </w:p>
    <w:p w14:paraId="281A62F6" w14:textId="77777777" w:rsidR="004647B9" w:rsidRDefault="00E2436F" w:rsidP="001426D9">
      <w:pPr>
        <w:numPr>
          <w:ilvl w:val="2"/>
          <w:numId w:val="665"/>
        </w:numPr>
        <w:tabs>
          <w:tab w:val="left" w:pos="2332"/>
        </w:tabs>
        <w:ind w:left="1900" w:hanging="5"/>
        <w:rPr>
          <w:rFonts w:eastAsia="Times New Roman"/>
          <w:sz w:val="24"/>
          <w:szCs w:val="24"/>
        </w:rPr>
      </w:pPr>
      <w:r>
        <w:rPr>
          <w:rFonts w:eastAsia="Times New Roman"/>
          <w:sz w:val="24"/>
          <w:szCs w:val="24"/>
        </w:rPr>
        <w:t>If it is an unfiltered system, it shall comply with the updated watershed control requirements described in 310 CMR 22.20F(3)(a) through (c).</w:t>
      </w:r>
    </w:p>
    <w:p w14:paraId="281A62F7" w14:textId="77777777" w:rsidR="004647B9" w:rsidRDefault="00E2436F" w:rsidP="001426D9">
      <w:pPr>
        <w:numPr>
          <w:ilvl w:val="2"/>
          <w:numId w:val="665"/>
        </w:numPr>
        <w:tabs>
          <w:tab w:val="left" w:pos="2231"/>
        </w:tabs>
        <w:ind w:left="1900" w:hanging="5"/>
        <w:rPr>
          <w:rFonts w:eastAsia="Times New Roman"/>
          <w:sz w:val="24"/>
          <w:szCs w:val="24"/>
        </w:rPr>
      </w:pPr>
      <w:r>
        <w:rPr>
          <w:rFonts w:eastAsia="Times New Roman"/>
          <w:sz w:val="24"/>
          <w:szCs w:val="24"/>
        </w:rPr>
        <w:t>If it is a community or non-transient non-community water systems, it shall develop a disinfection profile as described in 310 CMR 22.20F(4)(a) through (g).</w:t>
      </w:r>
    </w:p>
    <w:p w14:paraId="281A62F8" w14:textId="77777777" w:rsidR="004647B9" w:rsidRDefault="00E2436F" w:rsidP="001426D9">
      <w:pPr>
        <w:numPr>
          <w:ilvl w:val="2"/>
          <w:numId w:val="665"/>
        </w:numPr>
        <w:tabs>
          <w:tab w:val="left" w:pos="2267"/>
        </w:tabs>
        <w:ind w:left="1900" w:hanging="5"/>
        <w:jc w:val="both"/>
        <w:rPr>
          <w:rFonts w:eastAsia="Times New Roman"/>
          <w:sz w:val="24"/>
          <w:szCs w:val="24"/>
        </w:rPr>
      </w:pPr>
      <w:r>
        <w:rPr>
          <w:rFonts w:eastAsia="Times New Roman"/>
          <w:sz w:val="24"/>
          <w:szCs w:val="24"/>
        </w:rPr>
        <w:t>If it is considering making a significant change to its disinfection practices, it shall develop a disinfection benchmark and consult with the Department for approval of the change as described in 310 CMR 22.20F(5)(a) through (e).</w:t>
      </w:r>
    </w:p>
    <w:p w14:paraId="281A62FA" w14:textId="77777777" w:rsidR="004647B9" w:rsidRDefault="00E2436F" w:rsidP="001426D9">
      <w:pPr>
        <w:numPr>
          <w:ilvl w:val="2"/>
          <w:numId w:val="665"/>
        </w:numPr>
        <w:tabs>
          <w:tab w:val="left" w:pos="2202"/>
        </w:tabs>
        <w:ind w:left="1900" w:hanging="5"/>
        <w:rPr>
          <w:rFonts w:eastAsia="Times New Roman"/>
          <w:sz w:val="24"/>
          <w:szCs w:val="24"/>
        </w:rPr>
      </w:pPr>
      <w:r>
        <w:rPr>
          <w:rFonts w:eastAsia="Times New Roman"/>
          <w:sz w:val="24"/>
          <w:szCs w:val="24"/>
        </w:rPr>
        <w:t>If it is a filtered system, it shall comply with the combined filter effluent requirements as described in 310 CMR 22.20F(6)(a) through (d).</w:t>
      </w:r>
    </w:p>
    <w:p w14:paraId="281A62FB" w14:textId="77777777" w:rsidR="004647B9" w:rsidRDefault="00E2436F" w:rsidP="001426D9">
      <w:pPr>
        <w:numPr>
          <w:ilvl w:val="2"/>
          <w:numId w:val="665"/>
        </w:numPr>
        <w:tabs>
          <w:tab w:val="left" w:pos="2212"/>
        </w:tabs>
        <w:ind w:left="1900" w:hanging="5"/>
        <w:jc w:val="both"/>
        <w:rPr>
          <w:rFonts w:eastAsia="Times New Roman"/>
          <w:sz w:val="24"/>
          <w:szCs w:val="24"/>
        </w:rPr>
      </w:pPr>
      <w:r>
        <w:rPr>
          <w:rFonts w:eastAsia="Times New Roman"/>
          <w:sz w:val="24"/>
          <w:szCs w:val="24"/>
        </w:rPr>
        <w:t>If it is a filtered system that uses conventional or direct filtration, it shall comply with the individual filter turbidity requirements as described in 310 CMR 22.20F(7)(a) through (e).</w:t>
      </w:r>
    </w:p>
    <w:p w14:paraId="281A62FD" w14:textId="77777777" w:rsidR="004647B9" w:rsidRDefault="00E2436F" w:rsidP="001426D9">
      <w:pPr>
        <w:numPr>
          <w:ilvl w:val="2"/>
          <w:numId w:val="665"/>
        </w:numPr>
        <w:tabs>
          <w:tab w:val="left" w:pos="2303"/>
        </w:tabs>
        <w:ind w:left="1900" w:hanging="5"/>
        <w:rPr>
          <w:rFonts w:eastAsia="Times New Roman"/>
          <w:sz w:val="24"/>
          <w:szCs w:val="24"/>
        </w:rPr>
      </w:pPr>
      <w:r>
        <w:rPr>
          <w:rFonts w:eastAsia="Times New Roman"/>
          <w:sz w:val="24"/>
          <w:szCs w:val="24"/>
        </w:rPr>
        <w:t>It shall comply with the applicable reporting and record keeping requirements as described in 310 CMR 22.20F(8)(a) and (b).</w:t>
      </w:r>
    </w:p>
    <w:p w14:paraId="281A62FE" w14:textId="77777777" w:rsidR="004647B9" w:rsidRDefault="004647B9" w:rsidP="001426D9">
      <w:pPr>
        <w:sectPr w:rsidR="004647B9" w:rsidSect="00EF630C">
          <w:pgSz w:w="12240" w:h="20180"/>
          <w:pgMar w:top="708" w:right="1440" w:bottom="1013" w:left="620" w:header="0" w:footer="0" w:gutter="0"/>
          <w:cols w:space="720"/>
        </w:sectPr>
      </w:pPr>
    </w:p>
    <w:p w14:paraId="281A62FF" w14:textId="77777777" w:rsidR="004647B9" w:rsidRDefault="00E2436F">
      <w:pPr>
        <w:tabs>
          <w:tab w:val="left" w:pos="160"/>
        </w:tabs>
        <w:ind w:right="20"/>
        <w:jc w:val="center"/>
        <w:rPr>
          <w:sz w:val="20"/>
          <w:szCs w:val="20"/>
        </w:rPr>
      </w:pPr>
      <w:bookmarkStart w:id="281" w:name="page285"/>
      <w:bookmarkEnd w:id="28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300" w14:textId="77777777" w:rsidR="004647B9" w:rsidRDefault="004647B9" w:rsidP="001426D9">
      <w:pPr>
        <w:rPr>
          <w:sz w:val="20"/>
          <w:szCs w:val="20"/>
        </w:rPr>
      </w:pPr>
    </w:p>
    <w:p w14:paraId="281A6301" w14:textId="77777777" w:rsidR="004647B9" w:rsidRDefault="004647B9" w:rsidP="001426D9">
      <w:pPr>
        <w:rPr>
          <w:sz w:val="20"/>
          <w:szCs w:val="20"/>
        </w:rPr>
      </w:pPr>
    </w:p>
    <w:p w14:paraId="281A6302" w14:textId="77777777" w:rsidR="004647B9" w:rsidRPr="008B495F" w:rsidRDefault="00E2436F" w:rsidP="001426D9">
      <w:pPr>
        <w:tabs>
          <w:tab w:val="left" w:pos="900"/>
        </w:tabs>
        <w:rPr>
          <w:sz w:val="24"/>
          <w:szCs w:val="24"/>
        </w:rPr>
      </w:pPr>
      <w:r w:rsidRPr="008B495F">
        <w:rPr>
          <w:rFonts w:eastAsia="Times New Roman"/>
          <w:sz w:val="24"/>
          <w:szCs w:val="24"/>
        </w:rPr>
        <w:t>22.20F:</w:t>
      </w:r>
      <w:r w:rsidRPr="008B495F">
        <w:rPr>
          <w:rFonts w:eastAsia="Times New Roman"/>
          <w:sz w:val="24"/>
          <w:szCs w:val="24"/>
        </w:rPr>
        <w:tab/>
        <w:t>continued</w:t>
      </w:r>
    </w:p>
    <w:p w14:paraId="281A6303" w14:textId="77777777" w:rsidR="004647B9" w:rsidRPr="001426D9" w:rsidRDefault="004647B9" w:rsidP="001426D9">
      <w:pPr>
        <w:rPr>
          <w:sz w:val="20"/>
          <w:szCs w:val="20"/>
        </w:rPr>
      </w:pPr>
    </w:p>
    <w:p w14:paraId="281A6304" w14:textId="77777777" w:rsidR="004647B9" w:rsidRPr="008B495F" w:rsidRDefault="00E2436F" w:rsidP="001426D9">
      <w:pPr>
        <w:numPr>
          <w:ilvl w:val="0"/>
          <w:numId w:val="666"/>
        </w:numPr>
        <w:tabs>
          <w:tab w:val="left" w:pos="1640"/>
        </w:tabs>
        <w:ind w:left="1640" w:hanging="460"/>
        <w:rPr>
          <w:rFonts w:eastAsia="Times New Roman"/>
          <w:sz w:val="24"/>
          <w:szCs w:val="24"/>
        </w:rPr>
      </w:pPr>
      <w:r w:rsidRPr="008B495F">
        <w:rPr>
          <w:rFonts w:eastAsia="Times New Roman"/>
          <w:sz w:val="24"/>
          <w:szCs w:val="24"/>
          <w:u w:val="single"/>
        </w:rPr>
        <w:t>Finished Water Reservoirs</w:t>
      </w:r>
      <w:r w:rsidRPr="008B495F">
        <w:rPr>
          <w:rFonts w:eastAsia="Times New Roman"/>
          <w:sz w:val="24"/>
          <w:szCs w:val="24"/>
        </w:rPr>
        <w:t>.</w:t>
      </w:r>
    </w:p>
    <w:p w14:paraId="281A6306" w14:textId="77777777" w:rsidR="004647B9" w:rsidRPr="008B495F" w:rsidRDefault="00E2436F" w:rsidP="001426D9">
      <w:pPr>
        <w:numPr>
          <w:ilvl w:val="1"/>
          <w:numId w:val="666"/>
        </w:numPr>
        <w:tabs>
          <w:tab w:val="left" w:pos="1984"/>
        </w:tabs>
        <w:ind w:left="1540" w:hanging="5"/>
        <w:jc w:val="both"/>
        <w:rPr>
          <w:rFonts w:eastAsia="Times New Roman"/>
          <w:sz w:val="24"/>
          <w:szCs w:val="24"/>
        </w:rPr>
      </w:pPr>
      <w:r w:rsidRPr="008B495F">
        <w:rPr>
          <w:rFonts w:eastAsia="Times New Roman"/>
          <w:sz w:val="24"/>
          <w:szCs w:val="24"/>
        </w:rPr>
        <w:t>Each supplier of water serving fewer than 10,000 people using a surface water source or ground water source under the direct influence of surface water is subject to 310 CMR 22.20F(2)(b).</w:t>
      </w:r>
    </w:p>
    <w:p w14:paraId="281A6308" w14:textId="77777777" w:rsidR="004647B9" w:rsidRPr="008B495F" w:rsidRDefault="00E2436F" w:rsidP="001426D9">
      <w:pPr>
        <w:numPr>
          <w:ilvl w:val="1"/>
          <w:numId w:val="666"/>
        </w:numPr>
        <w:tabs>
          <w:tab w:val="left" w:pos="2043"/>
        </w:tabs>
        <w:ind w:left="1540" w:hanging="5"/>
        <w:jc w:val="both"/>
        <w:rPr>
          <w:rFonts w:eastAsia="Times New Roman"/>
          <w:sz w:val="24"/>
          <w:szCs w:val="24"/>
        </w:rPr>
      </w:pPr>
      <w:r w:rsidRPr="008B495F">
        <w:rPr>
          <w:rFonts w:eastAsia="Times New Roman"/>
          <w:sz w:val="24"/>
          <w:szCs w:val="24"/>
        </w:rPr>
        <w:t>If the supplier of water begins construction of a finished water reservoir on or after March 15, 2002 the reservoir shall be covered. Finished water reservoirs for which the supplier of water began construction prior to March 15, 2002 are not subject to 310 CMR 22.20F(2), but are subject to 310 CMR 22.20A.</w:t>
      </w:r>
    </w:p>
    <w:p w14:paraId="281A6309" w14:textId="77777777" w:rsidR="004647B9" w:rsidRPr="008B495F" w:rsidRDefault="004647B9" w:rsidP="001426D9">
      <w:pPr>
        <w:rPr>
          <w:rFonts w:eastAsia="Times New Roman"/>
          <w:sz w:val="24"/>
          <w:szCs w:val="24"/>
        </w:rPr>
      </w:pPr>
    </w:p>
    <w:p w14:paraId="281A630A" w14:textId="77777777" w:rsidR="004647B9" w:rsidRPr="008B495F" w:rsidRDefault="00E2436F" w:rsidP="001426D9">
      <w:pPr>
        <w:numPr>
          <w:ilvl w:val="0"/>
          <w:numId w:val="666"/>
        </w:numPr>
        <w:tabs>
          <w:tab w:val="left" w:pos="1640"/>
        </w:tabs>
        <w:ind w:left="1640" w:hanging="460"/>
        <w:rPr>
          <w:rFonts w:eastAsia="Times New Roman"/>
          <w:sz w:val="24"/>
          <w:szCs w:val="24"/>
        </w:rPr>
      </w:pPr>
      <w:r w:rsidRPr="008B495F">
        <w:rPr>
          <w:rFonts w:eastAsia="Times New Roman"/>
          <w:sz w:val="24"/>
          <w:szCs w:val="24"/>
          <w:u w:val="single"/>
        </w:rPr>
        <w:t>Additional Watershed Control Requirements for Unfiltered Systems</w:t>
      </w:r>
      <w:r w:rsidRPr="008B495F">
        <w:rPr>
          <w:rFonts w:eastAsia="Times New Roman"/>
          <w:sz w:val="24"/>
          <w:szCs w:val="24"/>
        </w:rPr>
        <w:t>.</w:t>
      </w:r>
    </w:p>
    <w:p w14:paraId="281A630E" w14:textId="13FC7088" w:rsidR="004647B9" w:rsidRPr="008B495F" w:rsidRDefault="00E2436F" w:rsidP="001426D9">
      <w:pPr>
        <w:numPr>
          <w:ilvl w:val="1"/>
          <w:numId w:val="666"/>
        </w:numPr>
        <w:tabs>
          <w:tab w:val="left" w:pos="1991"/>
        </w:tabs>
        <w:ind w:left="1541"/>
        <w:jc w:val="both"/>
        <w:rPr>
          <w:rFonts w:eastAsia="Times New Roman"/>
          <w:sz w:val="24"/>
          <w:szCs w:val="24"/>
        </w:rPr>
      </w:pPr>
      <w:r w:rsidRPr="008B495F">
        <w:rPr>
          <w:rFonts w:eastAsia="Times New Roman"/>
          <w:sz w:val="24"/>
          <w:szCs w:val="24"/>
        </w:rPr>
        <w:t>Each supplier of water serving fewer than 10,000 people using a surface water source or ground water source under the direct influence of surface water which does not provide filtration shall continue to comply with all of the filtration avoidance criteria in 310 CMR 22.20A(2), as well as the additional watershed control requirements in 310 CMR</w:t>
      </w:r>
      <w:r w:rsidR="00C8011E" w:rsidRPr="008B495F">
        <w:rPr>
          <w:rFonts w:eastAsia="Times New Roman"/>
          <w:sz w:val="24"/>
          <w:szCs w:val="24"/>
        </w:rPr>
        <w:t xml:space="preserve"> </w:t>
      </w:r>
      <w:r w:rsidRPr="008B495F">
        <w:rPr>
          <w:rFonts w:eastAsia="Times New Roman"/>
          <w:sz w:val="24"/>
          <w:szCs w:val="24"/>
        </w:rPr>
        <w:t>22.20F(3)(b).</w:t>
      </w:r>
    </w:p>
    <w:p w14:paraId="281A6310" w14:textId="77777777" w:rsidR="004647B9" w:rsidRPr="008B495F" w:rsidRDefault="00E2436F" w:rsidP="001426D9">
      <w:pPr>
        <w:numPr>
          <w:ilvl w:val="1"/>
          <w:numId w:val="666"/>
        </w:numPr>
        <w:tabs>
          <w:tab w:val="left" w:pos="1953"/>
        </w:tabs>
        <w:ind w:left="1541"/>
        <w:jc w:val="both"/>
        <w:rPr>
          <w:rFonts w:eastAsia="Times New Roman"/>
          <w:sz w:val="24"/>
          <w:szCs w:val="24"/>
        </w:rPr>
      </w:pPr>
      <w:r w:rsidRPr="008B495F">
        <w:rPr>
          <w:rFonts w:eastAsia="Times New Roman"/>
          <w:sz w:val="24"/>
          <w:szCs w:val="24"/>
        </w:rPr>
        <w:t xml:space="preserve">The supplier of water must take any additional steps necessary to minimize the potential for contamination by </w:t>
      </w:r>
      <w:r w:rsidRPr="008B495F">
        <w:rPr>
          <w:rFonts w:eastAsia="Times New Roman"/>
          <w:i/>
          <w:iCs/>
          <w:sz w:val="24"/>
          <w:szCs w:val="24"/>
        </w:rPr>
        <w:t>Cryptosporidium oocysts</w:t>
      </w:r>
      <w:r w:rsidRPr="008B495F">
        <w:rPr>
          <w:rFonts w:eastAsia="Times New Roman"/>
          <w:sz w:val="24"/>
          <w:szCs w:val="24"/>
        </w:rPr>
        <w:t xml:space="preserve"> in the source water. The supplier of water’s watershed control program shall, for </w:t>
      </w:r>
      <w:r w:rsidRPr="008B495F">
        <w:rPr>
          <w:rFonts w:eastAsia="Times New Roman"/>
          <w:i/>
          <w:iCs/>
          <w:sz w:val="24"/>
          <w:szCs w:val="24"/>
        </w:rPr>
        <w:t>Cryptosporidium</w:t>
      </w:r>
      <w:r w:rsidRPr="008B495F">
        <w:rPr>
          <w:rFonts w:eastAsia="Times New Roman"/>
          <w:sz w:val="24"/>
          <w:szCs w:val="24"/>
        </w:rPr>
        <w:t>:</w:t>
      </w:r>
    </w:p>
    <w:p w14:paraId="281A6312" w14:textId="77777777" w:rsidR="004647B9" w:rsidRPr="008B495F" w:rsidRDefault="00E2436F" w:rsidP="001426D9">
      <w:pPr>
        <w:numPr>
          <w:ilvl w:val="2"/>
          <w:numId w:val="666"/>
        </w:numPr>
        <w:tabs>
          <w:tab w:val="left" w:pos="2217"/>
        </w:tabs>
        <w:ind w:left="1900" w:hanging="5"/>
        <w:rPr>
          <w:rFonts w:eastAsia="Times New Roman"/>
          <w:sz w:val="24"/>
          <w:szCs w:val="24"/>
        </w:rPr>
      </w:pPr>
      <w:r w:rsidRPr="008B495F">
        <w:rPr>
          <w:rFonts w:eastAsia="Times New Roman"/>
          <w:sz w:val="24"/>
          <w:szCs w:val="24"/>
        </w:rPr>
        <w:t>Identify watershed characteristics and activities which may have an adverse effect on source water quality; and</w:t>
      </w:r>
    </w:p>
    <w:p w14:paraId="281A6313" w14:textId="77777777" w:rsidR="004647B9" w:rsidRPr="008B495F" w:rsidRDefault="00E2436F" w:rsidP="001426D9">
      <w:pPr>
        <w:numPr>
          <w:ilvl w:val="2"/>
          <w:numId w:val="666"/>
        </w:numPr>
        <w:tabs>
          <w:tab w:val="left" w:pos="2289"/>
        </w:tabs>
        <w:ind w:left="1900" w:hanging="5"/>
        <w:rPr>
          <w:rFonts w:eastAsia="Times New Roman"/>
          <w:sz w:val="24"/>
          <w:szCs w:val="24"/>
        </w:rPr>
      </w:pPr>
      <w:r w:rsidRPr="008B495F">
        <w:rPr>
          <w:rFonts w:eastAsia="Times New Roman"/>
          <w:sz w:val="24"/>
          <w:szCs w:val="24"/>
        </w:rPr>
        <w:t>Monitor the occurrence of activities, which may have an adverse effect on source water quality.</w:t>
      </w:r>
    </w:p>
    <w:p w14:paraId="281A6314" w14:textId="77777777" w:rsidR="004647B9" w:rsidRPr="008B495F" w:rsidRDefault="00E2436F" w:rsidP="001426D9">
      <w:pPr>
        <w:numPr>
          <w:ilvl w:val="1"/>
          <w:numId w:val="666"/>
        </w:numPr>
        <w:tabs>
          <w:tab w:val="left" w:pos="1987"/>
        </w:tabs>
        <w:ind w:left="1541"/>
        <w:jc w:val="both"/>
        <w:rPr>
          <w:rFonts w:eastAsia="Times New Roman"/>
          <w:sz w:val="24"/>
          <w:szCs w:val="24"/>
        </w:rPr>
      </w:pPr>
      <w:r w:rsidRPr="008B495F">
        <w:rPr>
          <w:rFonts w:eastAsia="Times New Roman"/>
          <w:sz w:val="24"/>
          <w:szCs w:val="24"/>
        </w:rPr>
        <w:t xml:space="preserve">During an onsite inspection conducted under the provisions of 310 CMR 22.20A(2)(b)5., the Department will determine whether the watershed control program is adequate to limit potential contamination by </w:t>
      </w:r>
      <w:r w:rsidRPr="008B495F">
        <w:rPr>
          <w:rFonts w:eastAsia="Times New Roman"/>
          <w:i/>
          <w:iCs/>
          <w:sz w:val="24"/>
          <w:szCs w:val="24"/>
        </w:rPr>
        <w:t>Cryptosporidium oocysts</w:t>
      </w:r>
      <w:r w:rsidRPr="008B495F">
        <w:rPr>
          <w:rFonts w:eastAsia="Times New Roman"/>
          <w:sz w:val="24"/>
          <w:szCs w:val="24"/>
        </w:rPr>
        <w:t>. The adequacy of the program will be based on the comprehensiveness of the watershed review; the effectiveness of the program to monitor and control detrimental activities occurring in the watershed; and the extent to which the supplier of water has maximized land ownership and/or controlled land use within the watershed.</w:t>
      </w:r>
    </w:p>
    <w:p w14:paraId="281A6315" w14:textId="77777777" w:rsidR="004647B9" w:rsidRDefault="004647B9" w:rsidP="001426D9">
      <w:pPr>
        <w:rPr>
          <w:rFonts w:eastAsia="Times New Roman"/>
          <w:sz w:val="24"/>
          <w:szCs w:val="24"/>
        </w:rPr>
      </w:pPr>
    </w:p>
    <w:p w14:paraId="281A6316" w14:textId="77777777" w:rsidR="004647B9" w:rsidRDefault="00E2436F" w:rsidP="001426D9">
      <w:pPr>
        <w:numPr>
          <w:ilvl w:val="0"/>
          <w:numId w:val="666"/>
        </w:numPr>
        <w:tabs>
          <w:tab w:val="left" w:pos="1640"/>
        </w:tabs>
        <w:ind w:left="1640" w:hanging="460"/>
        <w:rPr>
          <w:rFonts w:eastAsia="Times New Roman"/>
          <w:sz w:val="24"/>
          <w:szCs w:val="24"/>
        </w:rPr>
      </w:pPr>
      <w:r>
        <w:rPr>
          <w:rFonts w:eastAsia="Times New Roman"/>
          <w:sz w:val="24"/>
          <w:szCs w:val="24"/>
          <w:u w:val="single"/>
        </w:rPr>
        <w:t>Disinfection Profiling</w:t>
      </w:r>
      <w:r>
        <w:rPr>
          <w:rFonts w:eastAsia="Times New Roman"/>
          <w:sz w:val="24"/>
          <w:szCs w:val="24"/>
        </w:rPr>
        <w:t>.</w:t>
      </w:r>
    </w:p>
    <w:p w14:paraId="281A6318" w14:textId="77777777" w:rsidR="004647B9" w:rsidRDefault="00E2436F" w:rsidP="001426D9">
      <w:pPr>
        <w:numPr>
          <w:ilvl w:val="1"/>
          <w:numId w:val="666"/>
        </w:numPr>
        <w:tabs>
          <w:tab w:val="left" w:pos="2058"/>
        </w:tabs>
        <w:ind w:left="1540" w:hanging="5"/>
        <w:jc w:val="both"/>
        <w:rPr>
          <w:rFonts w:eastAsia="Times New Roman"/>
          <w:sz w:val="24"/>
          <w:szCs w:val="24"/>
        </w:rPr>
      </w:pPr>
      <w:r>
        <w:rPr>
          <w:rFonts w:eastAsia="Times New Roman"/>
          <w:sz w:val="24"/>
          <w:szCs w:val="24"/>
        </w:rPr>
        <w:t>Each supplier of water, community or non-transient non-community water system, serving fewer than 10,000 people using a surface water source or ground water source under the direct influence of surface water shall develop a disinfection profile unless the Department determines that the system’s profile is unnecessary. The Department may approve the use of a more representative data set for disinfection profiling than the data set required in 310 CMR 22.20F(4)(c) through (g).</w:t>
      </w:r>
    </w:p>
    <w:p w14:paraId="281A631A" w14:textId="77777777" w:rsidR="004647B9" w:rsidRDefault="00E2436F" w:rsidP="001426D9">
      <w:pPr>
        <w:numPr>
          <w:ilvl w:val="1"/>
          <w:numId w:val="666"/>
        </w:numPr>
        <w:tabs>
          <w:tab w:val="left" w:pos="1957"/>
        </w:tabs>
        <w:ind w:left="1540" w:hanging="5"/>
        <w:jc w:val="both"/>
        <w:rPr>
          <w:rFonts w:eastAsia="Times New Roman"/>
          <w:sz w:val="24"/>
          <w:szCs w:val="24"/>
        </w:rPr>
      </w:pPr>
      <w:r>
        <w:rPr>
          <w:rFonts w:eastAsia="Times New Roman"/>
          <w:sz w:val="24"/>
          <w:szCs w:val="24"/>
        </w:rPr>
        <w:t>The Department may only determine that a system’s profile is unnecessary if a system’s TTHM and HAA5 levels are below 0.064 mg/L and 0.048 mg/L, respectively. To determine these levels, TTHM and HAA5 samples must be collected after January 1, 1998, during the month with the warmest water temperature, and at the point of maximum residence time in the distribution system.</w:t>
      </w:r>
    </w:p>
    <w:p w14:paraId="281A631C" w14:textId="77777777" w:rsidR="004647B9" w:rsidRDefault="00E2436F" w:rsidP="001426D9">
      <w:pPr>
        <w:numPr>
          <w:ilvl w:val="1"/>
          <w:numId w:val="666"/>
        </w:numPr>
        <w:tabs>
          <w:tab w:val="left" w:pos="1980"/>
        </w:tabs>
        <w:ind w:left="1980" w:hanging="445"/>
        <w:rPr>
          <w:rFonts w:eastAsia="Times New Roman"/>
          <w:sz w:val="24"/>
          <w:szCs w:val="24"/>
        </w:rPr>
      </w:pPr>
      <w:r>
        <w:rPr>
          <w:rFonts w:eastAsia="Times New Roman"/>
          <w:sz w:val="24"/>
          <w:szCs w:val="24"/>
        </w:rPr>
        <w:t>A disinfection profile shall be developed using the following three steps:</w:t>
      </w:r>
    </w:p>
    <w:p w14:paraId="281A631E" w14:textId="77777777" w:rsidR="004647B9" w:rsidRDefault="00E2436F" w:rsidP="001426D9">
      <w:pPr>
        <w:numPr>
          <w:ilvl w:val="2"/>
          <w:numId w:val="666"/>
        </w:numPr>
        <w:tabs>
          <w:tab w:val="left" w:pos="2318"/>
        </w:tabs>
        <w:ind w:left="1900" w:hanging="5"/>
        <w:jc w:val="both"/>
        <w:rPr>
          <w:rFonts w:eastAsia="Times New Roman"/>
          <w:sz w:val="24"/>
          <w:szCs w:val="24"/>
        </w:rPr>
      </w:pPr>
      <w:r>
        <w:rPr>
          <w:rFonts w:eastAsia="Times New Roman"/>
          <w:sz w:val="24"/>
          <w:szCs w:val="24"/>
        </w:rPr>
        <w:t>The supplier of water shall collect data for several parameters from the plant as required in 310 CMR 22.20F(4)(d) over the course of 12 months. If the system serves between 500 and 9,999 persons the supplier of water must begin to collect data no later than July 1, 2003. If the system serves fewer than 500 persons the supplier of water must begin to collect data no later than January 1, 2004;</w:t>
      </w:r>
    </w:p>
    <w:p w14:paraId="281A6320" w14:textId="77777777" w:rsidR="004647B9" w:rsidRDefault="00E2436F" w:rsidP="001426D9">
      <w:pPr>
        <w:numPr>
          <w:ilvl w:val="2"/>
          <w:numId w:val="666"/>
        </w:numPr>
        <w:tabs>
          <w:tab w:val="left" w:pos="2339"/>
        </w:tabs>
        <w:ind w:left="1900" w:hanging="5"/>
        <w:rPr>
          <w:rFonts w:eastAsia="Times New Roman"/>
          <w:sz w:val="24"/>
          <w:szCs w:val="24"/>
        </w:rPr>
      </w:pPr>
      <w:r>
        <w:rPr>
          <w:rFonts w:eastAsia="Times New Roman"/>
          <w:sz w:val="24"/>
          <w:szCs w:val="24"/>
        </w:rPr>
        <w:t>The supplier of water shall use the data to calculate weekly log inactivation as required in 310 CMR 22.20F(4)(e) and (f); and</w:t>
      </w:r>
    </w:p>
    <w:p w14:paraId="281A6321" w14:textId="77777777" w:rsidR="004647B9" w:rsidRDefault="00E2436F" w:rsidP="001426D9">
      <w:pPr>
        <w:numPr>
          <w:ilvl w:val="2"/>
          <w:numId w:val="666"/>
        </w:numPr>
        <w:tabs>
          <w:tab w:val="left" w:pos="2426"/>
        </w:tabs>
        <w:ind w:left="1900" w:hanging="5"/>
        <w:rPr>
          <w:rFonts w:eastAsia="Times New Roman"/>
          <w:sz w:val="24"/>
          <w:szCs w:val="24"/>
        </w:rPr>
      </w:pPr>
      <w:r>
        <w:rPr>
          <w:rFonts w:eastAsia="Times New Roman"/>
          <w:sz w:val="24"/>
          <w:szCs w:val="24"/>
        </w:rPr>
        <w:t>The supplier of water shall use these weekly log inactivations to develop a disinfection profile as specified in 310 CMR 22.20F(4)(g).</w:t>
      </w:r>
    </w:p>
    <w:p w14:paraId="281A6322" w14:textId="77777777" w:rsidR="004647B9" w:rsidRDefault="00E2436F" w:rsidP="001426D9">
      <w:pPr>
        <w:numPr>
          <w:ilvl w:val="1"/>
          <w:numId w:val="666"/>
        </w:numPr>
        <w:tabs>
          <w:tab w:val="left" w:pos="1978"/>
        </w:tabs>
        <w:ind w:left="1540" w:hanging="5"/>
        <w:jc w:val="both"/>
        <w:rPr>
          <w:rFonts w:eastAsia="Times New Roman"/>
          <w:sz w:val="24"/>
          <w:szCs w:val="24"/>
        </w:rPr>
      </w:pPr>
      <w:r>
        <w:rPr>
          <w:rFonts w:eastAsia="Times New Roman"/>
          <w:sz w:val="24"/>
          <w:szCs w:val="24"/>
        </w:rPr>
        <w:t>The supplier of water shall monitor the following parameters to determine the total log inactivation using the analytical methods in 310 CMR 22.20A(5)(a), once per week on the same calendar day, over 12 consecutive months:</w:t>
      </w:r>
    </w:p>
    <w:p w14:paraId="281A6324" w14:textId="77777777" w:rsidR="004647B9" w:rsidRDefault="00E2436F" w:rsidP="001426D9">
      <w:pPr>
        <w:numPr>
          <w:ilvl w:val="2"/>
          <w:numId w:val="666"/>
        </w:numPr>
        <w:tabs>
          <w:tab w:val="left" w:pos="2253"/>
        </w:tabs>
        <w:ind w:left="1900" w:hanging="5"/>
        <w:rPr>
          <w:rFonts w:eastAsia="Times New Roman"/>
          <w:sz w:val="24"/>
          <w:szCs w:val="24"/>
        </w:rPr>
      </w:pPr>
      <w:r>
        <w:rPr>
          <w:rFonts w:eastAsia="Times New Roman"/>
          <w:sz w:val="24"/>
          <w:szCs w:val="24"/>
        </w:rPr>
        <w:t>The temperature of the disinfected water at each residual disinfectant concentration sampling point during peak hourly flow;</w:t>
      </w:r>
    </w:p>
    <w:p w14:paraId="281A6325" w14:textId="77777777" w:rsidR="004647B9" w:rsidRDefault="00E2436F" w:rsidP="001426D9">
      <w:pPr>
        <w:numPr>
          <w:ilvl w:val="2"/>
          <w:numId w:val="666"/>
        </w:numPr>
        <w:tabs>
          <w:tab w:val="left" w:pos="2397"/>
        </w:tabs>
        <w:ind w:left="1900" w:hanging="5"/>
        <w:rPr>
          <w:rFonts w:eastAsia="Times New Roman"/>
          <w:sz w:val="24"/>
          <w:szCs w:val="24"/>
        </w:rPr>
      </w:pPr>
      <w:r>
        <w:rPr>
          <w:rFonts w:eastAsia="Times New Roman"/>
          <w:sz w:val="24"/>
          <w:szCs w:val="24"/>
        </w:rPr>
        <w:t>If the system uses chlorine, the pH of the disinfected water at each residual disinfectant concentration sampling point during peak hourly flow;</w:t>
      </w:r>
    </w:p>
    <w:p w14:paraId="281A6326" w14:textId="77777777" w:rsidR="004647B9" w:rsidRDefault="004647B9" w:rsidP="001426D9">
      <w:pPr>
        <w:sectPr w:rsidR="004647B9" w:rsidSect="00EF630C">
          <w:pgSz w:w="12240" w:h="20180"/>
          <w:pgMar w:top="708" w:right="1440" w:bottom="1013" w:left="620" w:header="0" w:footer="0" w:gutter="0"/>
          <w:cols w:space="720"/>
        </w:sectPr>
      </w:pPr>
    </w:p>
    <w:p w14:paraId="281A6327" w14:textId="77777777" w:rsidR="004647B9" w:rsidRDefault="00E2436F">
      <w:pPr>
        <w:tabs>
          <w:tab w:val="left" w:pos="160"/>
        </w:tabs>
        <w:ind w:right="20"/>
        <w:jc w:val="center"/>
        <w:rPr>
          <w:sz w:val="20"/>
          <w:szCs w:val="20"/>
        </w:rPr>
      </w:pPr>
      <w:bookmarkStart w:id="282" w:name="page286"/>
      <w:bookmarkEnd w:id="28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328" w14:textId="77777777" w:rsidR="004647B9" w:rsidRDefault="004647B9" w:rsidP="001426D9">
      <w:pPr>
        <w:rPr>
          <w:sz w:val="20"/>
          <w:szCs w:val="20"/>
        </w:rPr>
      </w:pPr>
    </w:p>
    <w:p w14:paraId="281A6329" w14:textId="77777777" w:rsidR="004647B9" w:rsidRDefault="004647B9" w:rsidP="001426D9">
      <w:pPr>
        <w:rPr>
          <w:sz w:val="20"/>
          <w:szCs w:val="20"/>
        </w:rPr>
      </w:pPr>
    </w:p>
    <w:p w14:paraId="281A632A" w14:textId="77777777" w:rsidR="004647B9" w:rsidRPr="001426D9" w:rsidRDefault="00E2436F" w:rsidP="001426D9">
      <w:pPr>
        <w:tabs>
          <w:tab w:val="left" w:pos="900"/>
        </w:tabs>
        <w:rPr>
          <w:sz w:val="24"/>
          <w:szCs w:val="24"/>
        </w:rPr>
      </w:pPr>
      <w:r w:rsidRPr="001426D9">
        <w:rPr>
          <w:rFonts w:eastAsia="Times New Roman"/>
          <w:sz w:val="24"/>
          <w:szCs w:val="24"/>
        </w:rPr>
        <w:t>22.20F:</w:t>
      </w:r>
      <w:r w:rsidRPr="001426D9">
        <w:rPr>
          <w:rFonts w:eastAsia="Times New Roman"/>
          <w:sz w:val="24"/>
          <w:szCs w:val="24"/>
        </w:rPr>
        <w:tab/>
        <w:t>continued</w:t>
      </w:r>
    </w:p>
    <w:p w14:paraId="281A632B" w14:textId="77777777" w:rsidR="004647B9" w:rsidRDefault="004647B9" w:rsidP="001426D9">
      <w:pPr>
        <w:rPr>
          <w:sz w:val="20"/>
          <w:szCs w:val="20"/>
        </w:rPr>
      </w:pPr>
    </w:p>
    <w:p w14:paraId="281A632C" w14:textId="77777777" w:rsidR="004647B9" w:rsidRPr="00817881" w:rsidRDefault="00E2436F" w:rsidP="001426D9">
      <w:pPr>
        <w:numPr>
          <w:ilvl w:val="2"/>
          <w:numId w:val="667"/>
        </w:numPr>
        <w:tabs>
          <w:tab w:val="left" w:pos="2260"/>
        </w:tabs>
        <w:ind w:left="2260" w:hanging="365"/>
        <w:rPr>
          <w:rFonts w:eastAsia="Times New Roman"/>
          <w:sz w:val="24"/>
          <w:szCs w:val="24"/>
        </w:rPr>
      </w:pPr>
      <w:r w:rsidRPr="00817881">
        <w:rPr>
          <w:rFonts w:eastAsia="Times New Roman"/>
          <w:sz w:val="24"/>
          <w:szCs w:val="24"/>
        </w:rPr>
        <w:t>The disinfectant contact time(s) (“T”) during peak hourly flow; and</w:t>
      </w:r>
    </w:p>
    <w:p w14:paraId="281A632E" w14:textId="77777777" w:rsidR="004647B9" w:rsidRPr="00817881" w:rsidRDefault="00E2436F" w:rsidP="001426D9">
      <w:pPr>
        <w:numPr>
          <w:ilvl w:val="2"/>
          <w:numId w:val="667"/>
        </w:numPr>
        <w:tabs>
          <w:tab w:val="left" w:pos="2296"/>
        </w:tabs>
        <w:ind w:left="1900" w:hanging="5"/>
        <w:rPr>
          <w:rFonts w:eastAsia="Times New Roman"/>
          <w:sz w:val="24"/>
          <w:szCs w:val="24"/>
        </w:rPr>
      </w:pPr>
      <w:r w:rsidRPr="00817881">
        <w:rPr>
          <w:rFonts w:eastAsia="Times New Roman"/>
          <w:sz w:val="24"/>
          <w:szCs w:val="24"/>
        </w:rPr>
        <w:t>The residual disinfectant concentration(s) (“C”) of the water before or at the first customer and prior to each additional point of disinfection during peak hourly flow.</w:t>
      </w:r>
    </w:p>
    <w:p w14:paraId="281A632F" w14:textId="77777777" w:rsidR="004647B9" w:rsidRPr="00817881" w:rsidRDefault="00E2436F" w:rsidP="001426D9">
      <w:pPr>
        <w:numPr>
          <w:ilvl w:val="1"/>
          <w:numId w:val="668"/>
        </w:numPr>
        <w:tabs>
          <w:tab w:val="left" w:pos="1953"/>
        </w:tabs>
        <w:ind w:left="1540" w:hanging="5"/>
        <w:jc w:val="both"/>
        <w:rPr>
          <w:rFonts w:eastAsia="Times New Roman"/>
          <w:sz w:val="24"/>
          <w:szCs w:val="24"/>
        </w:rPr>
      </w:pPr>
      <w:r w:rsidRPr="00817881">
        <w:rPr>
          <w:rFonts w:eastAsia="Times New Roman"/>
          <w:sz w:val="24"/>
          <w:szCs w:val="24"/>
        </w:rPr>
        <w:t>Use the tables in 310 CMR 22.20A(5)(b)3.e. to determine the appropriate CT</w:t>
      </w:r>
      <w:r w:rsidRPr="00817881">
        <w:rPr>
          <w:rFonts w:eastAsia="Times New Roman"/>
          <w:sz w:val="24"/>
          <w:szCs w:val="24"/>
          <w:vertAlign w:val="subscript"/>
        </w:rPr>
        <w:t>99.9</w:t>
      </w:r>
      <w:r w:rsidRPr="00817881">
        <w:rPr>
          <w:rFonts w:eastAsia="Times New Roman"/>
          <w:sz w:val="24"/>
          <w:szCs w:val="24"/>
        </w:rPr>
        <w:t xml:space="preserve"> value. The supplier of water shall calculate the total inactivation ratio as follows, and multiply the value by 3.0 to determine the log inactivation of </w:t>
      </w:r>
      <w:r w:rsidRPr="00817881">
        <w:rPr>
          <w:rFonts w:eastAsia="Times New Roman"/>
          <w:i/>
          <w:iCs/>
          <w:sz w:val="24"/>
          <w:szCs w:val="24"/>
        </w:rPr>
        <w:t>Giardia lamblia</w:t>
      </w:r>
      <w:r w:rsidRPr="00817881">
        <w:rPr>
          <w:rFonts w:eastAsia="Times New Roman"/>
          <w:sz w:val="24"/>
          <w:szCs w:val="24"/>
        </w:rPr>
        <w:t>:</w:t>
      </w:r>
    </w:p>
    <w:p w14:paraId="281A6330" w14:textId="77777777" w:rsidR="004647B9" w:rsidRPr="00817881" w:rsidRDefault="00E2436F" w:rsidP="001426D9">
      <w:pPr>
        <w:numPr>
          <w:ilvl w:val="2"/>
          <w:numId w:val="668"/>
        </w:numPr>
        <w:tabs>
          <w:tab w:val="left" w:pos="2260"/>
        </w:tabs>
        <w:ind w:left="1900" w:hanging="5"/>
        <w:jc w:val="both"/>
        <w:rPr>
          <w:rFonts w:eastAsia="Times New Roman"/>
          <w:sz w:val="24"/>
          <w:szCs w:val="24"/>
        </w:rPr>
      </w:pPr>
      <w:r w:rsidRPr="00817881">
        <w:rPr>
          <w:rFonts w:eastAsia="Times New Roman"/>
          <w:sz w:val="24"/>
          <w:szCs w:val="24"/>
        </w:rPr>
        <w:t>If the supplier of water uses only one point of disinfectant application, the supplier of water shall determine the total inactivation ratio for the disinfection segment based on either of the following methods:</w:t>
      </w:r>
    </w:p>
    <w:p w14:paraId="281A6332" w14:textId="77777777" w:rsidR="004647B9" w:rsidRPr="00817881" w:rsidRDefault="00E2436F" w:rsidP="001426D9">
      <w:pPr>
        <w:numPr>
          <w:ilvl w:val="3"/>
          <w:numId w:val="668"/>
        </w:numPr>
        <w:tabs>
          <w:tab w:val="left" w:pos="2614"/>
        </w:tabs>
        <w:ind w:left="2260" w:hanging="5"/>
        <w:rPr>
          <w:rFonts w:eastAsia="Times New Roman"/>
          <w:sz w:val="24"/>
          <w:szCs w:val="24"/>
        </w:rPr>
      </w:pPr>
      <w:r w:rsidRPr="00817881">
        <w:rPr>
          <w:rFonts w:eastAsia="Times New Roman"/>
          <w:sz w:val="24"/>
          <w:szCs w:val="24"/>
        </w:rPr>
        <w:t>Determine one inactivation ratio (CTcalc/CT</w:t>
      </w:r>
      <w:r w:rsidRPr="00817881">
        <w:rPr>
          <w:rFonts w:eastAsia="Times New Roman"/>
          <w:sz w:val="24"/>
          <w:szCs w:val="24"/>
          <w:vertAlign w:val="subscript"/>
        </w:rPr>
        <w:t>99.9</w:t>
      </w:r>
      <w:r w:rsidRPr="00817881">
        <w:rPr>
          <w:rFonts w:eastAsia="Times New Roman"/>
          <w:sz w:val="24"/>
          <w:szCs w:val="24"/>
        </w:rPr>
        <w:t>) before or at the first customer during peak hourly flow; or</w:t>
      </w:r>
    </w:p>
    <w:p w14:paraId="281A6334" w14:textId="41FABCEC" w:rsidR="004647B9" w:rsidRPr="00817881" w:rsidRDefault="00E2436F" w:rsidP="001426D9">
      <w:pPr>
        <w:numPr>
          <w:ilvl w:val="3"/>
          <w:numId w:val="668"/>
        </w:numPr>
        <w:tabs>
          <w:tab w:val="left" w:pos="2594"/>
        </w:tabs>
        <w:ind w:left="2260" w:hanging="4"/>
        <w:jc w:val="both"/>
        <w:rPr>
          <w:rFonts w:eastAsia="Times New Roman"/>
          <w:sz w:val="24"/>
          <w:szCs w:val="24"/>
        </w:rPr>
      </w:pPr>
      <w:r w:rsidRPr="00817881">
        <w:rPr>
          <w:rFonts w:eastAsia="Times New Roman"/>
          <w:sz w:val="24"/>
          <w:szCs w:val="24"/>
        </w:rPr>
        <w:t>Determine successive CTcalc/CT</w:t>
      </w:r>
      <w:r w:rsidRPr="00817881">
        <w:rPr>
          <w:rFonts w:eastAsia="Times New Roman"/>
          <w:sz w:val="24"/>
          <w:szCs w:val="24"/>
          <w:vertAlign w:val="subscript"/>
        </w:rPr>
        <w:t>99.9</w:t>
      </w:r>
      <w:r w:rsidRPr="00817881">
        <w:rPr>
          <w:rFonts w:eastAsia="Times New Roman"/>
          <w:sz w:val="24"/>
          <w:szCs w:val="24"/>
        </w:rPr>
        <w:t xml:space="preserve"> values, representing sequential inactivation ratios, between the point of disinfectant application and a point before or at the first customer during peak hourly flow. Under this alternative, the system must calculate the total inactivation ratio by determining (CTcalc/CT</w:t>
      </w:r>
      <w:r w:rsidRPr="00817881">
        <w:rPr>
          <w:rFonts w:eastAsia="Times New Roman"/>
          <w:sz w:val="24"/>
          <w:szCs w:val="24"/>
          <w:vertAlign w:val="subscript"/>
        </w:rPr>
        <w:t>99.9</w:t>
      </w:r>
      <w:r w:rsidRPr="00817881">
        <w:rPr>
          <w:rFonts w:eastAsia="Times New Roman"/>
          <w:sz w:val="24"/>
          <w:szCs w:val="24"/>
        </w:rPr>
        <w:t>) for each sequence and then add the (CTcalc/CT</w:t>
      </w:r>
      <w:r w:rsidRPr="00817881">
        <w:rPr>
          <w:rFonts w:eastAsia="Times New Roman"/>
          <w:sz w:val="24"/>
          <w:szCs w:val="24"/>
          <w:vertAlign w:val="subscript"/>
        </w:rPr>
        <w:t>99.9</w:t>
      </w:r>
      <w:r w:rsidRPr="00817881">
        <w:rPr>
          <w:rFonts w:eastAsia="Times New Roman"/>
          <w:sz w:val="24"/>
          <w:szCs w:val="24"/>
        </w:rPr>
        <w:t>) values together to determine (</w:t>
      </w:r>
      <w:r w:rsidR="00AB2316">
        <w:rPr>
          <w:rFonts w:eastAsia="Times New Roman"/>
          <w:sz w:val="24"/>
          <w:szCs w:val="24"/>
        </w:rPr>
        <w:t>∑</w:t>
      </w:r>
      <w:r w:rsidRPr="00817881">
        <w:rPr>
          <w:rFonts w:eastAsia="Times New Roman"/>
          <w:sz w:val="24"/>
          <w:szCs w:val="24"/>
        </w:rPr>
        <w:t>CTcalc/CT</w:t>
      </w:r>
      <w:r w:rsidRPr="00817881">
        <w:rPr>
          <w:rFonts w:eastAsia="Times New Roman"/>
          <w:sz w:val="24"/>
          <w:szCs w:val="24"/>
          <w:vertAlign w:val="subscript"/>
        </w:rPr>
        <w:t>99.9</w:t>
      </w:r>
      <w:r w:rsidRPr="00817881">
        <w:rPr>
          <w:rFonts w:eastAsia="Times New Roman"/>
          <w:sz w:val="24"/>
          <w:szCs w:val="24"/>
        </w:rPr>
        <w:t>).</w:t>
      </w:r>
    </w:p>
    <w:p w14:paraId="281A6336" w14:textId="77777777" w:rsidR="004647B9" w:rsidRPr="00817881" w:rsidRDefault="00E2436F" w:rsidP="001426D9">
      <w:pPr>
        <w:numPr>
          <w:ilvl w:val="2"/>
          <w:numId w:val="668"/>
        </w:numPr>
        <w:tabs>
          <w:tab w:val="left" w:pos="2267"/>
        </w:tabs>
        <w:ind w:left="1900" w:hanging="5"/>
        <w:jc w:val="both"/>
        <w:rPr>
          <w:rFonts w:eastAsia="Times New Roman"/>
          <w:sz w:val="24"/>
          <w:szCs w:val="24"/>
        </w:rPr>
      </w:pPr>
      <w:r w:rsidRPr="00817881">
        <w:rPr>
          <w:rFonts w:eastAsia="Times New Roman"/>
          <w:sz w:val="24"/>
          <w:szCs w:val="24"/>
        </w:rPr>
        <w:t>If the supplier of water uses more than one point of disinfectant application before the first customer, the supplier of water shall determine the (CTcalc/CT</w:t>
      </w:r>
      <w:r w:rsidRPr="00817881">
        <w:rPr>
          <w:rFonts w:eastAsia="Times New Roman"/>
          <w:sz w:val="24"/>
          <w:szCs w:val="24"/>
          <w:vertAlign w:val="subscript"/>
        </w:rPr>
        <w:t>99.9</w:t>
      </w:r>
      <w:r w:rsidRPr="00817881">
        <w:rPr>
          <w:rFonts w:eastAsia="Times New Roman"/>
          <w:sz w:val="24"/>
          <w:szCs w:val="24"/>
        </w:rPr>
        <w:t>) value of each disinfection segment immediately prior to the next point of disinfectant application, or for the final segment, before or at the first customer, during peak hourly flow using the procedure specified in 310 CMR 22.20F(4)(e)1.b.</w:t>
      </w:r>
    </w:p>
    <w:p w14:paraId="281A6338" w14:textId="77777777" w:rsidR="004647B9" w:rsidRPr="00817881" w:rsidRDefault="00E2436F" w:rsidP="001426D9">
      <w:pPr>
        <w:numPr>
          <w:ilvl w:val="1"/>
          <w:numId w:val="668"/>
        </w:numPr>
        <w:tabs>
          <w:tab w:val="left" w:pos="2066"/>
        </w:tabs>
        <w:ind w:left="1540" w:hanging="5"/>
        <w:jc w:val="both"/>
        <w:rPr>
          <w:rFonts w:eastAsia="Times New Roman"/>
          <w:sz w:val="24"/>
          <w:szCs w:val="24"/>
        </w:rPr>
      </w:pPr>
      <w:r w:rsidRPr="00817881">
        <w:rPr>
          <w:rFonts w:eastAsia="Times New Roman"/>
          <w:sz w:val="24"/>
          <w:szCs w:val="24"/>
        </w:rPr>
        <w:t>If the supplier of water uses chloramines, ozone, or chlorine dioxide for primary disinfection, the supplier of water shall also calculate the logs of inactivation for Viruses and develop an additional disinfection profile for Viruses using methods approved by the Department.</w:t>
      </w:r>
    </w:p>
    <w:p w14:paraId="281A6339" w14:textId="77777777" w:rsidR="004647B9" w:rsidRPr="00817881" w:rsidRDefault="00E2436F" w:rsidP="001426D9">
      <w:pPr>
        <w:numPr>
          <w:ilvl w:val="1"/>
          <w:numId w:val="668"/>
        </w:numPr>
        <w:tabs>
          <w:tab w:val="left" w:pos="1990"/>
        </w:tabs>
        <w:ind w:left="1540" w:hanging="5"/>
        <w:jc w:val="both"/>
        <w:rPr>
          <w:rFonts w:eastAsia="Times New Roman"/>
          <w:sz w:val="24"/>
          <w:szCs w:val="24"/>
        </w:rPr>
      </w:pPr>
      <w:r w:rsidRPr="00817881">
        <w:rPr>
          <w:rFonts w:eastAsia="Times New Roman"/>
          <w:sz w:val="24"/>
          <w:szCs w:val="24"/>
        </w:rPr>
        <w:t>Each supplier of water will use each log inactivation as a data point in the disinfection profile. The supplier of water will have obtained 52 measurements (one for every week of the year). This will allow the supplier of water and the Department the opportunity to evaluate how microbial inactivation varied over the course of the year by looking at all 52 measurements (the Disinfection Profile). The supplier of water shall retain the Disinfection Profile data in graphic form, such as a spreadsheet, which must be available for review by the Department as part of a sanitary survey. The supplier of water shall use this data to calculate a benchmark if they are considering changes to disinfection practices.</w:t>
      </w:r>
    </w:p>
    <w:p w14:paraId="281A633A" w14:textId="77777777" w:rsidR="004647B9" w:rsidRPr="00385ED9" w:rsidRDefault="004647B9" w:rsidP="001426D9">
      <w:pPr>
        <w:rPr>
          <w:rFonts w:eastAsia="Times New Roman"/>
          <w:sz w:val="24"/>
          <w:szCs w:val="24"/>
        </w:rPr>
      </w:pPr>
    </w:p>
    <w:p w14:paraId="281A633B" w14:textId="77777777" w:rsidR="004647B9" w:rsidRDefault="00E2436F" w:rsidP="001426D9">
      <w:pPr>
        <w:numPr>
          <w:ilvl w:val="0"/>
          <w:numId w:val="669"/>
        </w:numPr>
        <w:tabs>
          <w:tab w:val="left" w:pos="1640"/>
        </w:tabs>
        <w:ind w:left="1640" w:hanging="460"/>
        <w:rPr>
          <w:rFonts w:eastAsia="Times New Roman"/>
          <w:sz w:val="24"/>
          <w:szCs w:val="24"/>
        </w:rPr>
      </w:pPr>
      <w:r>
        <w:rPr>
          <w:rFonts w:eastAsia="Times New Roman"/>
          <w:sz w:val="24"/>
          <w:szCs w:val="24"/>
          <w:u w:val="single"/>
        </w:rPr>
        <w:t>Disinfection Benchmark</w:t>
      </w:r>
      <w:r>
        <w:rPr>
          <w:rFonts w:eastAsia="Times New Roman"/>
          <w:sz w:val="24"/>
          <w:szCs w:val="24"/>
        </w:rPr>
        <w:t>.</w:t>
      </w:r>
    </w:p>
    <w:p w14:paraId="281A633D" w14:textId="77777777" w:rsidR="004647B9" w:rsidRDefault="00E2436F" w:rsidP="001426D9">
      <w:pPr>
        <w:numPr>
          <w:ilvl w:val="1"/>
          <w:numId w:val="669"/>
        </w:numPr>
        <w:tabs>
          <w:tab w:val="left" w:pos="1991"/>
        </w:tabs>
        <w:ind w:left="1540" w:hanging="5"/>
        <w:jc w:val="both"/>
        <w:rPr>
          <w:rFonts w:eastAsia="Times New Roman"/>
          <w:sz w:val="24"/>
          <w:szCs w:val="24"/>
        </w:rPr>
      </w:pPr>
      <w:r>
        <w:rPr>
          <w:rFonts w:eastAsia="Times New Roman"/>
          <w:sz w:val="24"/>
          <w:szCs w:val="24"/>
        </w:rPr>
        <w:t>A supplier of water serving fewer than 10,000 people using a surface water source or ground water source under the direct influence of surface water required to develop a disinfection profile under 310 CMR 22.20F(4), shall develop a Disinfection Benchmark if the supplier of water decides to make a significant change to the disinfection practice. The supplier of water shall consult with the Department for approval before implementing a significant disinfection practice change.</w:t>
      </w:r>
    </w:p>
    <w:p w14:paraId="281A633F" w14:textId="77777777" w:rsidR="004647B9" w:rsidRDefault="00E2436F" w:rsidP="001426D9">
      <w:pPr>
        <w:numPr>
          <w:ilvl w:val="1"/>
          <w:numId w:val="669"/>
        </w:numPr>
        <w:tabs>
          <w:tab w:val="left" w:pos="2000"/>
        </w:tabs>
        <w:ind w:left="2000" w:hanging="465"/>
        <w:rPr>
          <w:rFonts w:eastAsia="Times New Roman"/>
          <w:sz w:val="24"/>
          <w:szCs w:val="24"/>
        </w:rPr>
      </w:pPr>
      <w:r>
        <w:rPr>
          <w:rFonts w:eastAsia="Times New Roman"/>
          <w:sz w:val="24"/>
          <w:szCs w:val="24"/>
        </w:rPr>
        <w:t>Significant changes to disinfection practice include:</w:t>
      </w:r>
    </w:p>
    <w:p w14:paraId="281A6341" w14:textId="77777777" w:rsidR="004647B9" w:rsidRDefault="00E2436F" w:rsidP="001426D9">
      <w:pPr>
        <w:numPr>
          <w:ilvl w:val="2"/>
          <w:numId w:val="669"/>
        </w:numPr>
        <w:tabs>
          <w:tab w:val="left" w:pos="2260"/>
        </w:tabs>
        <w:ind w:left="2260" w:hanging="365"/>
        <w:rPr>
          <w:rFonts w:eastAsia="Times New Roman"/>
          <w:sz w:val="24"/>
          <w:szCs w:val="24"/>
        </w:rPr>
      </w:pPr>
      <w:r>
        <w:rPr>
          <w:rFonts w:eastAsia="Times New Roman"/>
          <w:sz w:val="24"/>
          <w:szCs w:val="24"/>
        </w:rPr>
        <w:t>Changes to the point of disinfection;</w:t>
      </w:r>
    </w:p>
    <w:p w14:paraId="281A6343" w14:textId="77777777" w:rsidR="004647B9" w:rsidRDefault="00E2436F" w:rsidP="001426D9">
      <w:pPr>
        <w:numPr>
          <w:ilvl w:val="2"/>
          <w:numId w:val="669"/>
        </w:numPr>
        <w:tabs>
          <w:tab w:val="left" w:pos="2260"/>
        </w:tabs>
        <w:ind w:left="2260" w:hanging="365"/>
        <w:rPr>
          <w:rFonts w:eastAsia="Times New Roman"/>
          <w:sz w:val="24"/>
          <w:szCs w:val="24"/>
        </w:rPr>
      </w:pPr>
      <w:r>
        <w:rPr>
          <w:rFonts w:eastAsia="Times New Roman"/>
          <w:sz w:val="24"/>
          <w:szCs w:val="24"/>
        </w:rPr>
        <w:t>Changes to the disinfectant(s) used in the treatment plant;</w:t>
      </w:r>
    </w:p>
    <w:p w14:paraId="281A6345" w14:textId="77777777" w:rsidR="004647B9" w:rsidRDefault="00E2436F" w:rsidP="001426D9">
      <w:pPr>
        <w:numPr>
          <w:ilvl w:val="2"/>
          <w:numId w:val="669"/>
        </w:numPr>
        <w:tabs>
          <w:tab w:val="left" w:pos="2260"/>
        </w:tabs>
        <w:ind w:left="2260" w:hanging="365"/>
        <w:rPr>
          <w:rFonts w:eastAsia="Times New Roman"/>
          <w:sz w:val="24"/>
          <w:szCs w:val="24"/>
        </w:rPr>
      </w:pPr>
      <w:r>
        <w:rPr>
          <w:rFonts w:eastAsia="Times New Roman"/>
          <w:sz w:val="24"/>
          <w:szCs w:val="24"/>
        </w:rPr>
        <w:t>Changes to the disinfection process; or</w:t>
      </w:r>
    </w:p>
    <w:p w14:paraId="281A6347" w14:textId="77777777" w:rsidR="004647B9" w:rsidRDefault="00E2436F" w:rsidP="001426D9">
      <w:pPr>
        <w:numPr>
          <w:ilvl w:val="2"/>
          <w:numId w:val="669"/>
        </w:numPr>
        <w:tabs>
          <w:tab w:val="left" w:pos="2320"/>
        </w:tabs>
        <w:ind w:left="2320" w:hanging="425"/>
        <w:rPr>
          <w:rFonts w:eastAsia="Times New Roman"/>
          <w:sz w:val="24"/>
          <w:szCs w:val="24"/>
        </w:rPr>
      </w:pPr>
      <w:r>
        <w:rPr>
          <w:rFonts w:eastAsia="Times New Roman"/>
          <w:sz w:val="24"/>
          <w:szCs w:val="24"/>
        </w:rPr>
        <w:t>Any other modification identified by the Department.</w:t>
      </w:r>
    </w:p>
    <w:p w14:paraId="281A6349" w14:textId="77777777" w:rsidR="004647B9" w:rsidRDefault="00E2436F" w:rsidP="001426D9">
      <w:pPr>
        <w:numPr>
          <w:ilvl w:val="1"/>
          <w:numId w:val="669"/>
        </w:numPr>
        <w:tabs>
          <w:tab w:val="left" w:pos="1991"/>
        </w:tabs>
        <w:ind w:left="1540" w:hanging="5"/>
        <w:jc w:val="both"/>
        <w:rPr>
          <w:rFonts w:eastAsia="Times New Roman"/>
          <w:sz w:val="24"/>
          <w:szCs w:val="24"/>
        </w:rPr>
      </w:pPr>
      <w:r>
        <w:rPr>
          <w:rFonts w:eastAsia="Times New Roman"/>
          <w:sz w:val="24"/>
          <w:szCs w:val="24"/>
        </w:rPr>
        <w:t>If the supplier of water is considering a significant change to its disinfection practice, the supplier of water shall calculate a disinfection benchmark(s) as described in 310 CMR 22.20F(5)(d) and (e) and provide the benchmark(s) to the Department. The supplier of water may only make a significant disinfection practice change after consulting with and obtaining the approval of the Department. The system shall submit the following information to the Department as part of the consultation and approval process:</w:t>
      </w:r>
    </w:p>
    <w:p w14:paraId="281A634B" w14:textId="77777777" w:rsidR="004647B9" w:rsidRDefault="00E2436F" w:rsidP="001426D9">
      <w:pPr>
        <w:numPr>
          <w:ilvl w:val="2"/>
          <w:numId w:val="669"/>
        </w:numPr>
        <w:tabs>
          <w:tab w:val="left" w:pos="2260"/>
        </w:tabs>
        <w:ind w:left="2260" w:hanging="365"/>
        <w:rPr>
          <w:rFonts w:eastAsia="Times New Roman"/>
          <w:sz w:val="24"/>
          <w:szCs w:val="24"/>
        </w:rPr>
      </w:pPr>
      <w:r>
        <w:rPr>
          <w:rFonts w:eastAsia="Times New Roman"/>
          <w:sz w:val="24"/>
          <w:szCs w:val="24"/>
        </w:rPr>
        <w:t>A description of the proposed change,</w:t>
      </w:r>
    </w:p>
    <w:p w14:paraId="281A634D" w14:textId="77777777" w:rsidR="004647B9" w:rsidRDefault="00E2436F" w:rsidP="001426D9">
      <w:pPr>
        <w:numPr>
          <w:ilvl w:val="2"/>
          <w:numId w:val="669"/>
        </w:numPr>
        <w:tabs>
          <w:tab w:val="left" w:pos="2404"/>
        </w:tabs>
        <w:ind w:left="1900" w:hanging="5"/>
        <w:rPr>
          <w:rFonts w:eastAsia="Times New Roman"/>
          <w:sz w:val="24"/>
          <w:szCs w:val="24"/>
        </w:rPr>
      </w:pPr>
      <w:r>
        <w:rPr>
          <w:rFonts w:eastAsia="Times New Roman"/>
          <w:sz w:val="24"/>
          <w:szCs w:val="24"/>
        </w:rPr>
        <w:t xml:space="preserve">The disinfection profile for </w:t>
      </w:r>
      <w:r>
        <w:rPr>
          <w:rFonts w:eastAsia="Times New Roman"/>
          <w:i/>
          <w:iCs/>
          <w:sz w:val="24"/>
          <w:szCs w:val="24"/>
        </w:rPr>
        <w:t>Giardia lamblia</w:t>
      </w:r>
      <w:r>
        <w:rPr>
          <w:rFonts w:eastAsia="Times New Roman"/>
          <w:sz w:val="24"/>
          <w:szCs w:val="24"/>
        </w:rPr>
        <w:t xml:space="preserve"> (and, if necessary, Viruses) and disinfection benchmark,</w:t>
      </w:r>
    </w:p>
    <w:p w14:paraId="281A634E" w14:textId="77777777" w:rsidR="004647B9" w:rsidRDefault="00E2436F" w:rsidP="001426D9">
      <w:pPr>
        <w:numPr>
          <w:ilvl w:val="2"/>
          <w:numId w:val="669"/>
        </w:numPr>
        <w:tabs>
          <w:tab w:val="left" w:pos="2224"/>
        </w:tabs>
        <w:ind w:left="1900" w:hanging="5"/>
        <w:rPr>
          <w:rFonts w:eastAsia="Times New Roman"/>
          <w:sz w:val="24"/>
          <w:szCs w:val="24"/>
        </w:rPr>
      </w:pPr>
      <w:r>
        <w:rPr>
          <w:rFonts w:eastAsia="Times New Roman"/>
          <w:sz w:val="24"/>
          <w:szCs w:val="24"/>
        </w:rPr>
        <w:t>An analysis of how the proposed change will affect the current levels of disinfection, and</w:t>
      </w:r>
    </w:p>
    <w:p w14:paraId="281A634F" w14:textId="77777777" w:rsidR="004647B9" w:rsidRDefault="00E2436F" w:rsidP="001426D9">
      <w:pPr>
        <w:numPr>
          <w:ilvl w:val="2"/>
          <w:numId w:val="669"/>
        </w:numPr>
        <w:tabs>
          <w:tab w:val="left" w:pos="2260"/>
        </w:tabs>
        <w:ind w:left="2260" w:hanging="365"/>
        <w:rPr>
          <w:rFonts w:eastAsia="Times New Roman"/>
          <w:sz w:val="24"/>
          <w:szCs w:val="24"/>
        </w:rPr>
      </w:pPr>
      <w:r>
        <w:rPr>
          <w:rFonts w:eastAsia="Times New Roman"/>
          <w:sz w:val="24"/>
          <w:szCs w:val="24"/>
        </w:rPr>
        <w:t>Any additional information requested by the Department.</w:t>
      </w:r>
    </w:p>
    <w:p w14:paraId="281A6350" w14:textId="77777777" w:rsidR="004647B9" w:rsidRDefault="004647B9" w:rsidP="001426D9">
      <w:pPr>
        <w:sectPr w:rsidR="004647B9" w:rsidSect="00EF630C">
          <w:pgSz w:w="12240" w:h="20180"/>
          <w:pgMar w:top="708" w:right="1440" w:bottom="1440" w:left="620" w:header="0" w:footer="0" w:gutter="0"/>
          <w:cols w:space="720"/>
        </w:sectPr>
      </w:pPr>
    </w:p>
    <w:p w14:paraId="281A6351" w14:textId="77777777" w:rsidR="004647B9" w:rsidRDefault="00E2436F">
      <w:pPr>
        <w:tabs>
          <w:tab w:val="left" w:pos="160"/>
        </w:tabs>
        <w:ind w:right="20"/>
        <w:jc w:val="center"/>
        <w:rPr>
          <w:sz w:val="20"/>
          <w:szCs w:val="20"/>
        </w:rPr>
      </w:pPr>
      <w:bookmarkStart w:id="283" w:name="page287"/>
      <w:bookmarkEnd w:id="28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352" w14:textId="77777777" w:rsidR="004647B9" w:rsidRDefault="004647B9" w:rsidP="00385ED9">
      <w:pPr>
        <w:rPr>
          <w:sz w:val="20"/>
          <w:szCs w:val="20"/>
        </w:rPr>
      </w:pPr>
    </w:p>
    <w:p w14:paraId="281A6353" w14:textId="77777777" w:rsidR="004647B9" w:rsidRDefault="004647B9" w:rsidP="00385ED9">
      <w:pPr>
        <w:rPr>
          <w:sz w:val="20"/>
          <w:szCs w:val="20"/>
        </w:rPr>
      </w:pPr>
    </w:p>
    <w:p w14:paraId="281A6354" w14:textId="77777777" w:rsidR="004647B9" w:rsidRPr="008B495F" w:rsidRDefault="00E2436F" w:rsidP="00385ED9">
      <w:pPr>
        <w:tabs>
          <w:tab w:val="left" w:pos="900"/>
        </w:tabs>
        <w:rPr>
          <w:sz w:val="24"/>
          <w:szCs w:val="24"/>
        </w:rPr>
      </w:pPr>
      <w:r w:rsidRPr="008B495F">
        <w:rPr>
          <w:rFonts w:eastAsia="Times New Roman"/>
          <w:sz w:val="24"/>
          <w:szCs w:val="24"/>
        </w:rPr>
        <w:t>22.20F:</w:t>
      </w:r>
      <w:r w:rsidRPr="008B495F">
        <w:rPr>
          <w:rFonts w:eastAsia="Times New Roman"/>
          <w:sz w:val="24"/>
          <w:szCs w:val="24"/>
        </w:rPr>
        <w:tab/>
        <w:t>continued</w:t>
      </w:r>
    </w:p>
    <w:p w14:paraId="281A6355" w14:textId="77777777" w:rsidR="004647B9" w:rsidRPr="00385ED9" w:rsidRDefault="004647B9" w:rsidP="00385ED9">
      <w:pPr>
        <w:rPr>
          <w:sz w:val="20"/>
          <w:szCs w:val="20"/>
        </w:rPr>
      </w:pPr>
    </w:p>
    <w:p w14:paraId="281A6356" w14:textId="77777777" w:rsidR="004647B9" w:rsidRPr="008B495F" w:rsidRDefault="00E2436F" w:rsidP="00385ED9">
      <w:pPr>
        <w:numPr>
          <w:ilvl w:val="0"/>
          <w:numId w:val="670"/>
        </w:numPr>
        <w:tabs>
          <w:tab w:val="left" w:pos="2007"/>
        </w:tabs>
        <w:ind w:left="1540" w:hanging="5"/>
        <w:rPr>
          <w:rFonts w:eastAsia="Times New Roman"/>
          <w:sz w:val="24"/>
          <w:szCs w:val="24"/>
        </w:rPr>
      </w:pPr>
      <w:r w:rsidRPr="008B495F">
        <w:rPr>
          <w:rFonts w:eastAsia="Times New Roman"/>
          <w:sz w:val="24"/>
          <w:szCs w:val="24"/>
        </w:rPr>
        <w:t>If the supplier of water is making a significant change to its disinfection practice, the supplier of water shall calculate a disinfection benchmark using the following procedure:</w:t>
      </w:r>
    </w:p>
    <w:p w14:paraId="281A6358" w14:textId="77777777" w:rsidR="004647B9" w:rsidRPr="008B495F" w:rsidRDefault="00E2436F" w:rsidP="00385ED9">
      <w:pPr>
        <w:numPr>
          <w:ilvl w:val="1"/>
          <w:numId w:val="670"/>
        </w:numPr>
        <w:tabs>
          <w:tab w:val="left" w:pos="2289"/>
        </w:tabs>
        <w:ind w:left="1900" w:hanging="5"/>
        <w:jc w:val="both"/>
        <w:rPr>
          <w:rFonts w:eastAsia="Times New Roman"/>
          <w:sz w:val="24"/>
          <w:szCs w:val="24"/>
        </w:rPr>
      </w:pPr>
      <w:r w:rsidRPr="008B495F">
        <w:rPr>
          <w:rFonts w:eastAsia="Times New Roman"/>
          <w:sz w:val="24"/>
          <w:szCs w:val="24"/>
        </w:rPr>
        <w:t xml:space="preserve">Using the data the supplier of water collected to develop the Disinfection Profile, determine the average </w:t>
      </w:r>
      <w:r w:rsidRPr="008B495F">
        <w:rPr>
          <w:rFonts w:eastAsia="Times New Roman"/>
          <w:i/>
          <w:iCs/>
          <w:sz w:val="24"/>
          <w:szCs w:val="24"/>
        </w:rPr>
        <w:t>Giardia lamblia</w:t>
      </w:r>
      <w:r w:rsidRPr="008B495F">
        <w:rPr>
          <w:rFonts w:eastAsia="Times New Roman"/>
          <w:sz w:val="24"/>
          <w:szCs w:val="24"/>
        </w:rPr>
        <w:t xml:space="preserve"> inactivation for each calendar month by dividing the sum of all </w:t>
      </w:r>
      <w:r w:rsidRPr="008B495F">
        <w:rPr>
          <w:rFonts w:eastAsia="Times New Roman"/>
          <w:i/>
          <w:iCs/>
          <w:sz w:val="24"/>
          <w:szCs w:val="24"/>
        </w:rPr>
        <w:t>Giardia lamblia</w:t>
      </w:r>
      <w:r w:rsidRPr="008B495F">
        <w:rPr>
          <w:rFonts w:eastAsia="Times New Roman"/>
          <w:sz w:val="24"/>
          <w:szCs w:val="24"/>
        </w:rPr>
        <w:t xml:space="preserve"> inactivations for that month by the number of values calculated for that month.</w:t>
      </w:r>
    </w:p>
    <w:p w14:paraId="281A6359" w14:textId="77777777" w:rsidR="004647B9" w:rsidRPr="008B495F" w:rsidRDefault="00E2436F" w:rsidP="00385ED9">
      <w:pPr>
        <w:numPr>
          <w:ilvl w:val="1"/>
          <w:numId w:val="670"/>
        </w:numPr>
        <w:tabs>
          <w:tab w:val="left" w:pos="2274"/>
        </w:tabs>
        <w:ind w:left="1900" w:hanging="5"/>
        <w:rPr>
          <w:rFonts w:eastAsia="Times New Roman"/>
          <w:sz w:val="24"/>
          <w:szCs w:val="24"/>
        </w:rPr>
      </w:pPr>
      <w:r w:rsidRPr="008B495F">
        <w:rPr>
          <w:rFonts w:eastAsia="Times New Roman"/>
          <w:sz w:val="24"/>
          <w:szCs w:val="24"/>
        </w:rPr>
        <w:t>Determine the lowest monthly average value out of the twelve values. This value becomes the disinfection benchmark.</w:t>
      </w:r>
    </w:p>
    <w:p w14:paraId="281A635C" w14:textId="0B814AB9" w:rsidR="004647B9" w:rsidRPr="008B495F" w:rsidRDefault="00E2436F" w:rsidP="00385ED9">
      <w:pPr>
        <w:numPr>
          <w:ilvl w:val="0"/>
          <w:numId w:val="670"/>
        </w:numPr>
        <w:tabs>
          <w:tab w:val="left" w:pos="2099"/>
        </w:tabs>
        <w:ind w:left="1540" w:hanging="5"/>
        <w:jc w:val="both"/>
        <w:rPr>
          <w:sz w:val="24"/>
          <w:szCs w:val="24"/>
        </w:rPr>
      </w:pPr>
      <w:r w:rsidRPr="008B495F">
        <w:rPr>
          <w:rFonts w:eastAsia="Times New Roman"/>
          <w:sz w:val="24"/>
          <w:szCs w:val="24"/>
        </w:rPr>
        <w:t xml:space="preserve">If the supplier of water uses chloramines, ozone or chlorine dioxide for primary disinfection, the supplier of water shall calculate the disinfection benchmark from the data the system collected for Viruses to develop the disinfection profile in addition to the </w:t>
      </w:r>
      <w:r w:rsidRPr="008B495F">
        <w:rPr>
          <w:rFonts w:eastAsia="Times New Roman"/>
          <w:i/>
          <w:iCs/>
          <w:sz w:val="24"/>
          <w:szCs w:val="24"/>
        </w:rPr>
        <w:t>Giardia</w:t>
      </w:r>
      <w:r w:rsidRPr="008B495F">
        <w:rPr>
          <w:rFonts w:eastAsia="Times New Roman"/>
          <w:sz w:val="24"/>
          <w:szCs w:val="24"/>
        </w:rPr>
        <w:t xml:space="preserve"> </w:t>
      </w:r>
      <w:r w:rsidRPr="008B495F">
        <w:rPr>
          <w:rFonts w:eastAsia="Times New Roman"/>
          <w:i/>
          <w:iCs/>
          <w:sz w:val="24"/>
          <w:szCs w:val="24"/>
        </w:rPr>
        <w:t xml:space="preserve">lamblia </w:t>
      </w:r>
      <w:r w:rsidRPr="008B495F">
        <w:rPr>
          <w:rFonts w:eastAsia="Times New Roman"/>
          <w:sz w:val="24"/>
          <w:szCs w:val="24"/>
        </w:rPr>
        <w:t>disinfection benchmark calculated under 310 CMR 22.20F(5)(d). This viral</w:t>
      </w:r>
      <w:r w:rsidR="00817881" w:rsidRPr="008B495F">
        <w:rPr>
          <w:rFonts w:eastAsia="Times New Roman"/>
          <w:sz w:val="24"/>
          <w:szCs w:val="24"/>
        </w:rPr>
        <w:t xml:space="preserve"> </w:t>
      </w:r>
      <w:r w:rsidRPr="008B495F">
        <w:rPr>
          <w:rFonts w:eastAsia="Times New Roman"/>
          <w:sz w:val="24"/>
          <w:szCs w:val="24"/>
        </w:rPr>
        <w:t xml:space="preserve">benchmark shall be calculated in the same manner used to calculate the </w:t>
      </w:r>
      <w:r w:rsidRPr="008B495F">
        <w:rPr>
          <w:rFonts w:eastAsia="Times New Roman"/>
          <w:i/>
          <w:iCs/>
          <w:sz w:val="24"/>
          <w:szCs w:val="24"/>
        </w:rPr>
        <w:t>Giardia lamblia</w:t>
      </w:r>
      <w:r w:rsidRPr="008B495F">
        <w:rPr>
          <w:rFonts w:eastAsia="Times New Roman"/>
          <w:sz w:val="24"/>
          <w:szCs w:val="24"/>
        </w:rPr>
        <w:t xml:space="preserve"> disinfection benchmark in 310 CMR 22.20F(5)(d).</w:t>
      </w:r>
    </w:p>
    <w:p w14:paraId="281A635D" w14:textId="77777777" w:rsidR="004647B9" w:rsidRPr="008B495F" w:rsidRDefault="004647B9" w:rsidP="00385ED9">
      <w:pPr>
        <w:rPr>
          <w:sz w:val="24"/>
          <w:szCs w:val="24"/>
        </w:rPr>
      </w:pPr>
    </w:p>
    <w:p w14:paraId="281A635E" w14:textId="77777777" w:rsidR="004647B9" w:rsidRPr="008B495F" w:rsidRDefault="00E2436F" w:rsidP="00385ED9">
      <w:pPr>
        <w:numPr>
          <w:ilvl w:val="0"/>
          <w:numId w:val="671"/>
        </w:numPr>
        <w:tabs>
          <w:tab w:val="left" w:pos="1640"/>
        </w:tabs>
        <w:ind w:left="1640" w:hanging="460"/>
        <w:rPr>
          <w:rFonts w:eastAsia="Times New Roman"/>
          <w:sz w:val="24"/>
          <w:szCs w:val="24"/>
        </w:rPr>
      </w:pPr>
      <w:r w:rsidRPr="008B495F">
        <w:rPr>
          <w:rFonts w:eastAsia="Times New Roman"/>
          <w:sz w:val="24"/>
          <w:szCs w:val="24"/>
          <w:u w:val="single"/>
        </w:rPr>
        <w:t>Combined Filter Effluent Requirements</w:t>
      </w:r>
      <w:r w:rsidRPr="008B495F">
        <w:rPr>
          <w:rFonts w:eastAsia="Times New Roman"/>
          <w:sz w:val="24"/>
          <w:szCs w:val="24"/>
        </w:rPr>
        <w:t>.</w:t>
      </w:r>
    </w:p>
    <w:p w14:paraId="281A6360" w14:textId="77777777" w:rsidR="004647B9" w:rsidRPr="008B495F" w:rsidRDefault="00E2436F" w:rsidP="00385ED9">
      <w:pPr>
        <w:numPr>
          <w:ilvl w:val="1"/>
          <w:numId w:val="671"/>
        </w:numPr>
        <w:tabs>
          <w:tab w:val="left" w:pos="1931"/>
        </w:tabs>
        <w:ind w:left="1540" w:hanging="5"/>
        <w:jc w:val="both"/>
        <w:rPr>
          <w:rFonts w:eastAsia="Times New Roman"/>
          <w:sz w:val="24"/>
          <w:szCs w:val="24"/>
        </w:rPr>
      </w:pPr>
      <w:r w:rsidRPr="008B495F">
        <w:rPr>
          <w:rFonts w:eastAsia="Times New Roman"/>
          <w:sz w:val="24"/>
          <w:szCs w:val="24"/>
        </w:rPr>
        <w:t>Each supplier of water that serves fewer than 10,000 people using a surface water source or ground water source under the direct influence of surface water is required to filter, and each supplier of water that utilizes filtration other than slow sand filtration or diatomaceous earth filtration shall meet the combined filter effluent (CFE) turbidity requirements of 310 CMR 22.20F(6)(b) through (d). If the supplier of water uses slow sand or diatomaceous earth filtration the supplier of water is not required to meet the CFE turbidity limits of 310 CMR 22.20F, but such supplier of water shall continue to meet the CFE turbidity limits in 310 CMR 22.20A(4).</w:t>
      </w:r>
    </w:p>
    <w:p w14:paraId="281A6362" w14:textId="77777777" w:rsidR="004647B9" w:rsidRPr="008B495F" w:rsidRDefault="00E2436F" w:rsidP="00385ED9">
      <w:pPr>
        <w:numPr>
          <w:ilvl w:val="1"/>
          <w:numId w:val="671"/>
        </w:numPr>
        <w:tabs>
          <w:tab w:val="left" w:pos="1942"/>
        </w:tabs>
        <w:ind w:left="1540" w:hanging="5"/>
        <w:jc w:val="both"/>
        <w:rPr>
          <w:rFonts w:eastAsia="Times New Roman"/>
          <w:sz w:val="24"/>
          <w:szCs w:val="24"/>
        </w:rPr>
      </w:pPr>
      <w:r w:rsidRPr="008B495F">
        <w:rPr>
          <w:rFonts w:eastAsia="Times New Roman"/>
          <w:sz w:val="24"/>
          <w:szCs w:val="24"/>
        </w:rPr>
        <w:t>Each supplier of water that serves fewer than 10,000 people using a surface water source or ground water source under the direct influence of surface water is required to filter, and each supplier of water that utilizes filtration other than slow sand filtration or diatomaceous earth filtration shall meet two strengthened CFE turbidity limits as follows:</w:t>
      </w:r>
    </w:p>
    <w:p w14:paraId="281A6363" w14:textId="65A990DA" w:rsidR="004647B9" w:rsidRDefault="00E2436F" w:rsidP="00385ED9">
      <w:pPr>
        <w:numPr>
          <w:ilvl w:val="2"/>
          <w:numId w:val="671"/>
        </w:numPr>
        <w:tabs>
          <w:tab w:val="left" w:pos="2224"/>
        </w:tabs>
        <w:ind w:left="1900" w:hanging="5"/>
        <w:jc w:val="both"/>
        <w:rPr>
          <w:rFonts w:eastAsia="Times New Roman"/>
          <w:sz w:val="24"/>
          <w:szCs w:val="24"/>
        </w:rPr>
      </w:pPr>
      <w:r w:rsidRPr="008B495F">
        <w:rPr>
          <w:rFonts w:eastAsia="Times New Roman"/>
          <w:sz w:val="24"/>
          <w:szCs w:val="24"/>
        </w:rPr>
        <w:t>The first CFE turbidity limit is a “95</w:t>
      </w:r>
      <w:r w:rsidRPr="008B495F">
        <w:rPr>
          <w:rFonts w:eastAsia="Times New Roman"/>
          <w:sz w:val="24"/>
          <w:szCs w:val="24"/>
          <w:vertAlign w:val="superscript"/>
        </w:rPr>
        <w:t>th</w:t>
      </w:r>
      <w:r w:rsidRPr="008B495F">
        <w:rPr>
          <w:rFonts w:eastAsia="Times New Roman"/>
          <w:sz w:val="24"/>
          <w:szCs w:val="24"/>
        </w:rPr>
        <w:t xml:space="preserve"> percentile” turbidity limit that the system shall meet in at least 95% of the turbidity measurements taken each month. Measurements must continue to be taken as described in 310 CMR 22.20A(5)(</w:t>
      </w:r>
      <w:r w:rsidR="00E23CC1">
        <w:rPr>
          <w:rFonts w:eastAsia="Times New Roman"/>
          <w:sz w:val="24"/>
          <w:szCs w:val="24"/>
        </w:rPr>
        <w:t>a</w:t>
      </w:r>
      <w:r w:rsidRPr="008B495F">
        <w:rPr>
          <w:rFonts w:eastAsia="Times New Roman"/>
          <w:sz w:val="24"/>
          <w:szCs w:val="24"/>
        </w:rPr>
        <w:t>) and</w:t>
      </w:r>
      <w:r>
        <w:rPr>
          <w:rFonts w:eastAsia="Times New Roman"/>
          <w:sz w:val="24"/>
          <w:szCs w:val="24"/>
        </w:rPr>
        <w:t xml:space="preserve"> </w:t>
      </w:r>
      <w:r w:rsidR="00E23CC1">
        <w:rPr>
          <w:rFonts w:eastAsia="Times New Roman"/>
          <w:sz w:val="24"/>
          <w:szCs w:val="24"/>
        </w:rPr>
        <w:t>(c)</w:t>
      </w:r>
      <w:r>
        <w:rPr>
          <w:rFonts w:eastAsia="Times New Roman"/>
          <w:sz w:val="24"/>
          <w:szCs w:val="24"/>
        </w:rPr>
        <w:t>. Monthly reporting shall be completed according to 310 CMR 22.20F(8).</w:t>
      </w:r>
    </w:p>
    <w:p w14:paraId="281A6365" w14:textId="77777777" w:rsidR="004647B9" w:rsidRDefault="00E2436F" w:rsidP="00385ED9">
      <w:pPr>
        <w:numPr>
          <w:ilvl w:val="3"/>
          <w:numId w:val="671"/>
        </w:numPr>
        <w:tabs>
          <w:tab w:val="left" w:pos="2722"/>
        </w:tabs>
        <w:ind w:left="2260" w:hanging="5"/>
        <w:jc w:val="both"/>
        <w:rPr>
          <w:rFonts w:eastAsia="Times New Roman"/>
          <w:sz w:val="24"/>
          <w:szCs w:val="24"/>
        </w:rPr>
      </w:pPr>
      <w:r>
        <w:rPr>
          <w:rFonts w:eastAsia="Times New Roman"/>
          <w:sz w:val="24"/>
          <w:szCs w:val="24"/>
        </w:rPr>
        <w:t>If the supplier of water uses conventional filtration or direct filtration, the turbidity level of representative samples of a system's filtered water shall be less than or equal to 0.3 NTU in at least 95% of the measurements taken each month, measured as specified in 310 CMR 22.20A(5)(a) and (c).</w:t>
      </w:r>
    </w:p>
    <w:p w14:paraId="281A6366" w14:textId="77777777" w:rsidR="004647B9" w:rsidRDefault="00E2436F" w:rsidP="00385ED9">
      <w:pPr>
        <w:numPr>
          <w:ilvl w:val="3"/>
          <w:numId w:val="671"/>
        </w:numPr>
        <w:tabs>
          <w:tab w:val="left" w:pos="2776"/>
        </w:tabs>
        <w:ind w:left="2260" w:hanging="5"/>
        <w:jc w:val="both"/>
        <w:rPr>
          <w:rFonts w:eastAsia="Times New Roman"/>
          <w:sz w:val="24"/>
          <w:szCs w:val="24"/>
        </w:rPr>
      </w:pPr>
      <w:r>
        <w:rPr>
          <w:rFonts w:eastAsia="Times New Roman"/>
          <w:sz w:val="24"/>
          <w:szCs w:val="24"/>
        </w:rPr>
        <w:t>If the supplier of water uses “alternative filtration” the turbidity level of representative samples of the system's filtered water shall be less than or equal to 0.3 NTU in at least 95% of the measurements taken each month, measured as specified in 310 CMR 22.20A(5)(a) and (c).</w:t>
      </w:r>
    </w:p>
    <w:p w14:paraId="281A6367" w14:textId="77777777" w:rsidR="004647B9" w:rsidRDefault="00E2436F" w:rsidP="00385ED9">
      <w:pPr>
        <w:numPr>
          <w:ilvl w:val="2"/>
          <w:numId w:val="671"/>
        </w:numPr>
        <w:tabs>
          <w:tab w:val="left" w:pos="2253"/>
        </w:tabs>
        <w:ind w:left="1900" w:hanging="5"/>
        <w:jc w:val="both"/>
        <w:rPr>
          <w:rFonts w:eastAsia="Times New Roman"/>
          <w:sz w:val="24"/>
          <w:szCs w:val="24"/>
        </w:rPr>
      </w:pPr>
      <w:r>
        <w:rPr>
          <w:rFonts w:eastAsia="Times New Roman"/>
          <w:sz w:val="24"/>
          <w:szCs w:val="24"/>
        </w:rPr>
        <w:t>The second CFE turbidity limit is a “maximum” turbidity limit that the system may not exceed at any time during the month. Measurements shall continue to be taken as described in 310 CMR 22.20A(5)(b)1. and 3. Monthly reporting shall be completed according to 310 CMR 22.20F(8)(a). The following is a description of the required limits for specific filtration technologies:</w:t>
      </w:r>
    </w:p>
    <w:p w14:paraId="281A6369" w14:textId="77777777" w:rsidR="004647B9" w:rsidRDefault="00E2436F" w:rsidP="00385ED9">
      <w:pPr>
        <w:numPr>
          <w:ilvl w:val="3"/>
          <w:numId w:val="671"/>
        </w:numPr>
        <w:tabs>
          <w:tab w:val="left" w:pos="2722"/>
        </w:tabs>
        <w:ind w:left="2260" w:hanging="5"/>
        <w:rPr>
          <w:rFonts w:eastAsia="Times New Roman"/>
          <w:sz w:val="24"/>
          <w:szCs w:val="24"/>
        </w:rPr>
      </w:pPr>
      <w:r>
        <w:rPr>
          <w:rFonts w:eastAsia="Times New Roman"/>
          <w:sz w:val="24"/>
          <w:szCs w:val="24"/>
        </w:rPr>
        <w:t>If the supplier of water uses conventional filtration or direct filtration, the “maximum” turbidity level is one NTU.</w:t>
      </w:r>
    </w:p>
    <w:p w14:paraId="281A636A" w14:textId="77777777" w:rsidR="004647B9" w:rsidRDefault="00E2436F" w:rsidP="00385ED9">
      <w:pPr>
        <w:numPr>
          <w:ilvl w:val="3"/>
          <w:numId w:val="671"/>
        </w:numPr>
        <w:tabs>
          <w:tab w:val="left" w:pos="2555"/>
        </w:tabs>
        <w:ind w:left="2260" w:hanging="5"/>
        <w:rPr>
          <w:rFonts w:eastAsia="Times New Roman"/>
          <w:sz w:val="24"/>
          <w:szCs w:val="24"/>
        </w:rPr>
      </w:pPr>
      <w:r>
        <w:rPr>
          <w:rFonts w:eastAsia="Times New Roman"/>
          <w:sz w:val="24"/>
          <w:szCs w:val="24"/>
        </w:rPr>
        <w:t>If the supplier of water uses “alternative filtration” the “maximum” turbidity level is one NTU.</w:t>
      </w:r>
    </w:p>
    <w:p w14:paraId="281A636B" w14:textId="77777777" w:rsidR="004647B9" w:rsidRDefault="00E2436F" w:rsidP="00385ED9">
      <w:pPr>
        <w:numPr>
          <w:ilvl w:val="1"/>
          <w:numId w:val="671"/>
        </w:numPr>
        <w:tabs>
          <w:tab w:val="left" w:pos="1934"/>
        </w:tabs>
        <w:ind w:left="1540" w:hanging="5"/>
        <w:jc w:val="both"/>
        <w:rPr>
          <w:rFonts w:eastAsia="Times New Roman"/>
          <w:sz w:val="24"/>
          <w:szCs w:val="24"/>
        </w:rPr>
      </w:pPr>
      <w:r>
        <w:rPr>
          <w:rFonts w:eastAsia="Times New Roman"/>
          <w:sz w:val="24"/>
          <w:szCs w:val="24"/>
        </w:rPr>
        <w:t>Each supplier of water that serves fewer than 10,000 people using a surface water source or ground water source under the direct influence of surface water that uses a system that consists of alternative filtration (filtration other than slow sand filtration, diatomaceous earth filtration, conventional filtration, or direct filtration) is required to conduct a demonstration. The supplier of water shall demonstrate to the Department, using pilot plant studies or other means, that the system’s filtration, in combination with disinfection treatment, consistently achieves:</w:t>
      </w:r>
    </w:p>
    <w:p w14:paraId="281A636C" w14:textId="77777777" w:rsidR="004647B9" w:rsidRDefault="00E2436F" w:rsidP="00385ED9">
      <w:pPr>
        <w:numPr>
          <w:ilvl w:val="2"/>
          <w:numId w:val="671"/>
        </w:numPr>
        <w:tabs>
          <w:tab w:val="left" w:pos="2260"/>
        </w:tabs>
        <w:ind w:left="2260" w:hanging="365"/>
        <w:rPr>
          <w:rFonts w:eastAsia="Times New Roman"/>
          <w:sz w:val="24"/>
          <w:szCs w:val="24"/>
        </w:rPr>
      </w:pPr>
      <w:r>
        <w:rPr>
          <w:rFonts w:eastAsia="Times New Roman"/>
          <w:sz w:val="24"/>
          <w:szCs w:val="24"/>
        </w:rPr>
        <w:t xml:space="preserve">99% removal of </w:t>
      </w:r>
      <w:r>
        <w:rPr>
          <w:rFonts w:eastAsia="Times New Roman"/>
          <w:i/>
          <w:iCs/>
          <w:sz w:val="24"/>
          <w:szCs w:val="24"/>
        </w:rPr>
        <w:t>Cryptosporidium oocysts</w:t>
      </w:r>
      <w:r>
        <w:rPr>
          <w:rFonts w:eastAsia="Times New Roman"/>
          <w:sz w:val="24"/>
          <w:szCs w:val="24"/>
        </w:rPr>
        <w:t>;</w:t>
      </w:r>
    </w:p>
    <w:p w14:paraId="281A636E" w14:textId="77777777" w:rsidR="004647B9" w:rsidRDefault="00E2436F" w:rsidP="00385ED9">
      <w:pPr>
        <w:numPr>
          <w:ilvl w:val="2"/>
          <w:numId w:val="671"/>
        </w:numPr>
        <w:tabs>
          <w:tab w:val="left" w:pos="2260"/>
        </w:tabs>
        <w:ind w:left="2260" w:hanging="365"/>
        <w:rPr>
          <w:rFonts w:eastAsia="Times New Roman"/>
          <w:sz w:val="24"/>
          <w:szCs w:val="24"/>
        </w:rPr>
      </w:pPr>
      <w:r>
        <w:rPr>
          <w:rFonts w:eastAsia="Times New Roman"/>
          <w:sz w:val="24"/>
          <w:szCs w:val="24"/>
        </w:rPr>
        <w:t xml:space="preserve">99.9% removal and/or inactivation of </w:t>
      </w:r>
      <w:r>
        <w:rPr>
          <w:rFonts w:eastAsia="Times New Roman"/>
          <w:i/>
          <w:iCs/>
          <w:sz w:val="24"/>
          <w:szCs w:val="24"/>
        </w:rPr>
        <w:t>Giardia lamblia</w:t>
      </w:r>
      <w:r>
        <w:rPr>
          <w:rFonts w:eastAsia="Times New Roman"/>
          <w:sz w:val="24"/>
          <w:szCs w:val="24"/>
        </w:rPr>
        <w:t xml:space="preserve"> cysts; and</w:t>
      </w:r>
    </w:p>
    <w:p w14:paraId="281A6370" w14:textId="77777777" w:rsidR="004647B9" w:rsidRDefault="00E2436F" w:rsidP="00385ED9">
      <w:pPr>
        <w:numPr>
          <w:ilvl w:val="2"/>
          <w:numId w:val="671"/>
        </w:numPr>
        <w:tabs>
          <w:tab w:val="left" w:pos="2260"/>
        </w:tabs>
        <w:ind w:left="2260" w:hanging="365"/>
        <w:rPr>
          <w:rFonts w:eastAsia="Times New Roman"/>
          <w:sz w:val="24"/>
          <w:szCs w:val="24"/>
        </w:rPr>
      </w:pPr>
      <w:r>
        <w:rPr>
          <w:rFonts w:eastAsia="Times New Roman"/>
          <w:sz w:val="24"/>
          <w:szCs w:val="24"/>
        </w:rPr>
        <w:t>99.99% removal and/or inactivation of Viruses.</w:t>
      </w:r>
    </w:p>
    <w:p w14:paraId="281A6371" w14:textId="77777777" w:rsidR="004647B9" w:rsidRDefault="004647B9" w:rsidP="00385ED9">
      <w:pPr>
        <w:sectPr w:rsidR="004647B9" w:rsidSect="00EF630C">
          <w:pgSz w:w="12240" w:h="20180"/>
          <w:pgMar w:top="708" w:right="1440" w:bottom="1024" w:left="620" w:header="0" w:footer="0" w:gutter="0"/>
          <w:cols w:space="720"/>
        </w:sectPr>
      </w:pPr>
    </w:p>
    <w:p w14:paraId="281A6372" w14:textId="77777777" w:rsidR="004647B9" w:rsidRDefault="00E2436F">
      <w:pPr>
        <w:tabs>
          <w:tab w:val="left" w:pos="160"/>
        </w:tabs>
        <w:ind w:right="20"/>
        <w:jc w:val="center"/>
        <w:rPr>
          <w:sz w:val="20"/>
          <w:szCs w:val="20"/>
        </w:rPr>
      </w:pPr>
      <w:bookmarkStart w:id="284" w:name="page288"/>
      <w:bookmarkEnd w:id="28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373" w14:textId="77777777" w:rsidR="004647B9" w:rsidRDefault="004647B9" w:rsidP="009E7FDD">
      <w:pPr>
        <w:rPr>
          <w:sz w:val="20"/>
          <w:szCs w:val="20"/>
        </w:rPr>
      </w:pPr>
    </w:p>
    <w:p w14:paraId="281A6374" w14:textId="77777777" w:rsidR="004647B9" w:rsidRDefault="004647B9" w:rsidP="009E7FDD">
      <w:pPr>
        <w:rPr>
          <w:sz w:val="20"/>
          <w:szCs w:val="20"/>
        </w:rPr>
      </w:pPr>
    </w:p>
    <w:p w14:paraId="281A6375" w14:textId="77777777" w:rsidR="004647B9" w:rsidRPr="008B495F" w:rsidRDefault="00E2436F" w:rsidP="009E7FDD">
      <w:pPr>
        <w:tabs>
          <w:tab w:val="left" w:pos="900"/>
        </w:tabs>
        <w:rPr>
          <w:sz w:val="24"/>
          <w:szCs w:val="24"/>
        </w:rPr>
      </w:pPr>
      <w:r w:rsidRPr="008B495F">
        <w:rPr>
          <w:rFonts w:eastAsia="Times New Roman"/>
          <w:sz w:val="24"/>
          <w:szCs w:val="24"/>
        </w:rPr>
        <w:t>22.20F:</w:t>
      </w:r>
      <w:r w:rsidRPr="008B495F">
        <w:rPr>
          <w:rFonts w:eastAsia="Times New Roman"/>
          <w:sz w:val="24"/>
          <w:szCs w:val="24"/>
        </w:rPr>
        <w:tab/>
        <w:t>continued</w:t>
      </w:r>
    </w:p>
    <w:p w14:paraId="281A6376" w14:textId="77777777" w:rsidR="004647B9" w:rsidRPr="009E7FDD" w:rsidRDefault="004647B9" w:rsidP="009E7FDD">
      <w:pPr>
        <w:rPr>
          <w:sz w:val="20"/>
          <w:szCs w:val="20"/>
        </w:rPr>
      </w:pPr>
    </w:p>
    <w:p w14:paraId="281A6377" w14:textId="77777777" w:rsidR="004647B9" w:rsidRPr="008B495F" w:rsidRDefault="00E2436F" w:rsidP="009E7FDD">
      <w:pPr>
        <w:numPr>
          <w:ilvl w:val="1"/>
          <w:numId w:val="672"/>
        </w:numPr>
        <w:tabs>
          <w:tab w:val="left" w:pos="1998"/>
        </w:tabs>
        <w:ind w:left="1540" w:hanging="5"/>
        <w:jc w:val="both"/>
        <w:rPr>
          <w:rFonts w:eastAsia="Times New Roman"/>
          <w:sz w:val="24"/>
          <w:szCs w:val="24"/>
        </w:rPr>
      </w:pPr>
      <w:r w:rsidRPr="008B495F">
        <w:rPr>
          <w:rFonts w:eastAsia="Times New Roman"/>
          <w:sz w:val="24"/>
          <w:szCs w:val="24"/>
        </w:rPr>
        <w:t>Each supplier of water serving fewer than 10,000 people using a surface water source or ground water source under the direct influence of surface water that practices lime softening, may acidify representative CFE turbidity samples prior to analysis using a protocol approved by the Department.</w:t>
      </w:r>
    </w:p>
    <w:p w14:paraId="281A6378" w14:textId="77777777" w:rsidR="004647B9" w:rsidRPr="008B495F" w:rsidRDefault="004647B9" w:rsidP="009E7FDD">
      <w:pPr>
        <w:rPr>
          <w:rFonts w:eastAsia="Times New Roman"/>
          <w:sz w:val="24"/>
          <w:szCs w:val="24"/>
        </w:rPr>
      </w:pPr>
    </w:p>
    <w:p w14:paraId="281A6379" w14:textId="77777777" w:rsidR="004647B9" w:rsidRPr="008B495F" w:rsidRDefault="00E2436F" w:rsidP="009E7FDD">
      <w:pPr>
        <w:numPr>
          <w:ilvl w:val="0"/>
          <w:numId w:val="673"/>
        </w:numPr>
        <w:tabs>
          <w:tab w:val="left" w:pos="1640"/>
        </w:tabs>
        <w:ind w:left="1640" w:hanging="460"/>
        <w:rPr>
          <w:rFonts w:eastAsia="Times New Roman"/>
          <w:sz w:val="24"/>
          <w:szCs w:val="24"/>
        </w:rPr>
      </w:pPr>
      <w:r w:rsidRPr="008B495F">
        <w:rPr>
          <w:rFonts w:eastAsia="Times New Roman"/>
          <w:sz w:val="24"/>
          <w:szCs w:val="24"/>
          <w:u w:val="single"/>
        </w:rPr>
        <w:t>Individual Filter Turbidity Requirements</w:t>
      </w:r>
      <w:r w:rsidRPr="008B495F">
        <w:rPr>
          <w:rFonts w:eastAsia="Times New Roman"/>
          <w:sz w:val="24"/>
          <w:szCs w:val="24"/>
        </w:rPr>
        <w:t>.</w:t>
      </w:r>
    </w:p>
    <w:p w14:paraId="281A637B" w14:textId="77777777" w:rsidR="004647B9" w:rsidRPr="008B495F" w:rsidRDefault="00E2436F" w:rsidP="009E7FDD">
      <w:pPr>
        <w:numPr>
          <w:ilvl w:val="1"/>
          <w:numId w:val="673"/>
        </w:numPr>
        <w:tabs>
          <w:tab w:val="left" w:pos="1986"/>
        </w:tabs>
        <w:ind w:left="1540" w:hanging="5"/>
        <w:jc w:val="both"/>
        <w:rPr>
          <w:rFonts w:eastAsia="Times New Roman"/>
          <w:sz w:val="24"/>
          <w:szCs w:val="24"/>
        </w:rPr>
      </w:pPr>
      <w:r w:rsidRPr="008B495F">
        <w:rPr>
          <w:rFonts w:eastAsia="Times New Roman"/>
          <w:sz w:val="24"/>
          <w:szCs w:val="24"/>
        </w:rPr>
        <w:t>Each supplier of water serving fewer than 10,000 people using a surface water source or ground water source under the direct influence of surface water that utilizes conventional filtration or direct filtration, shall conduct continuous monitoring of turbidity for each individual filter at the filtration facility. The following requirements apply to continuous turbidity monitoring:</w:t>
      </w:r>
    </w:p>
    <w:p w14:paraId="281A637D" w14:textId="77777777" w:rsidR="004647B9" w:rsidRPr="008B495F" w:rsidRDefault="00E2436F" w:rsidP="009E7FDD">
      <w:pPr>
        <w:numPr>
          <w:ilvl w:val="2"/>
          <w:numId w:val="673"/>
        </w:numPr>
        <w:tabs>
          <w:tab w:val="left" w:pos="2430"/>
        </w:tabs>
        <w:ind w:left="1901"/>
        <w:rPr>
          <w:rFonts w:eastAsia="Times New Roman"/>
          <w:sz w:val="24"/>
          <w:szCs w:val="24"/>
        </w:rPr>
      </w:pPr>
      <w:r w:rsidRPr="008B495F">
        <w:rPr>
          <w:rFonts w:eastAsia="Times New Roman"/>
          <w:sz w:val="24"/>
          <w:szCs w:val="24"/>
        </w:rPr>
        <w:t>Monitoring must be conducted using an approved method in 310 CMR 22.20A(5)(a);</w:t>
      </w:r>
    </w:p>
    <w:p w14:paraId="281A637F" w14:textId="77777777" w:rsidR="004647B9" w:rsidRPr="008B495F" w:rsidRDefault="00E2436F" w:rsidP="009E7FDD">
      <w:pPr>
        <w:numPr>
          <w:ilvl w:val="2"/>
          <w:numId w:val="673"/>
        </w:numPr>
        <w:tabs>
          <w:tab w:val="left" w:pos="2289"/>
        </w:tabs>
        <w:ind w:left="1901"/>
        <w:rPr>
          <w:rFonts w:eastAsia="Times New Roman"/>
          <w:sz w:val="24"/>
          <w:szCs w:val="24"/>
        </w:rPr>
      </w:pPr>
      <w:r w:rsidRPr="008B495F">
        <w:rPr>
          <w:rFonts w:eastAsia="Times New Roman"/>
          <w:sz w:val="24"/>
          <w:szCs w:val="24"/>
        </w:rPr>
        <w:t>Calibration of turbidimeters shall be conducted using procedures specified by the manufacturer;</w:t>
      </w:r>
    </w:p>
    <w:p w14:paraId="281A6380" w14:textId="77777777" w:rsidR="004647B9" w:rsidRPr="008B495F" w:rsidRDefault="00E2436F" w:rsidP="009E7FDD">
      <w:pPr>
        <w:numPr>
          <w:ilvl w:val="2"/>
          <w:numId w:val="673"/>
        </w:numPr>
        <w:tabs>
          <w:tab w:val="left" w:pos="2260"/>
        </w:tabs>
        <w:ind w:left="2260" w:hanging="365"/>
        <w:rPr>
          <w:rFonts w:eastAsia="Times New Roman"/>
          <w:sz w:val="24"/>
          <w:szCs w:val="24"/>
        </w:rPr>
      </w:pPr>
      <w:r w:rsidRPr="008B495F">
        <w:rPr>
          <w:rFonts w:eastAsia="Times New Roman"/>
          <w:sz w:val="24"/>
          <w:szCs w:val="24"/>
        </w:rPr>
        <w:t>Results of turbidity monitoring shall be recorded at least every 15 minutes;</w:t>
      </w:r>
    </w:p>
    <w:p w14:paraId="281A6382" w14:textId="77777777" w:rsidR="004647B9" w:rsidRPr="008B495F" w:rsidRDefault="00E2436F" w:rsidP="009E7FDD">
      <w:pPr>
        <w:numPr>
          <w:ilvl w:val="2"/>
          <w:numId w:val="673"/>
        </w:numPr>
        <w:tabs>
          <w:tab w:val="left" w:pos="2260"/>
        </w:tabs>
        <w:ind w:left="2260" w:hanging="365"/>
        <w:rPr>
          <w:rFonts w:eastAsia="Times New Roman"/>
          <w:sz w:val="24"/>
          <w:szCs w:val="24"/>
        </w:rPr>
      </w:pPr>
      <w:r w:rsidRPr="008B495F">
        <w:rPr>
          <w:rFonts w:eastAsia="Times New Roman"/>
          <w:sz w:val="24"/>
          <w:szCs w:val="24"/>
        </w:rPr>
        <w:t>Monthly reporting must be completed according to 310 CMR 22.20F(8)(a); and</w:t>
      </w:r>
    </w:p>
    <w:p w14:paraId="281A6384" w14:textId="77777777" w:rsidR="004647B9" w:rsidRPr="008B495F" w:rsidRDefault="00E2436F" w:rsidP="009E7FDD">
      <w:pPr>
        <w:numPr>
          <w:ilvl w:val="2"/>
          <w:numId w:val="673"/>
        </w:numPr>
        <w:tabs>
          <w:tab w:val="left" w:pos="2260"/>
        </w:tabs>
        <w:ind w:left="2260" w:hanging="365"/>
        <w:rPr>
          <w:rFonts w:eastAsia="Times New Roman"/>
          <w:sz w:val="24"/>
          <w:szCs w:val="24"/>
        </w:rPr>
      </w:pPr>
      <w:r w:rsidRPr="008B495F">
        <w:rPr>
          <w:rFonts w:eastAsia="Times New Roman"/>
          <w:sz w:val="24"/>
          <w:szCs w:val="24"/>
        </w:rPr>
        <w:t>Records shall be maintained according to 310 CMR 22.20F(8)(b).</w:t>
      </w:r>
    </w:p>
    <w:p w14:paraId="281A6386" w14:textId="77777777" w:rsidR="004647B9" w:rsidRPr="008B495F" w:rsidRDefault="00E2436F" w:rsidP="009E7FDD">
      <w:pPr>
        <w:numPr>
          <w:ilvl w:val="1"/>
          <w:numId w:val="673"/>
        </w:numPr>
        <w:tabs>
          <w:tab w:val="left" w:pos="2021"/>
        </w:tabs>
        <w:ind w:left="1540" w:hanging="5"/>
        <w:jc w:val="both"/>
        <w:rPr>
          <w:rFonts w:eastAsia="Times New Roman"/>
          <w:sz w:val="24"/>
          <w:szCs w:val="24"/>
        </w:rPr>
      </w:pPr>
      <w:r w:rsidRPr="008B495F">
        <w:rPr>
          <w:rFonts w:eastAsia="Times New Roman"/>
          <w:sz w:val="24"/>
          <w:szCs w:val="24"/>
        </w:rPr>
        <w:t>If there is a failure in the continuous turbidity monitoring equipment, the supplier of water shall conduct grab sampling every four hours in lieu of continuous monitoring until the turbidimeter is back on-line. The system has 14 days to resume continuous monitoring before a violation is incurred.</w:t>
      </w:r>
    </w:p>
    <w:p w14:paraId="281A6387" w14:textId="70A92DED" w:rsidR="004647B9" w:rsidRPr="008B495F" w:rsidRDefault="00E2436F" w:rsidP="009E7FDD">
      <w:pPr>
        <w:numPr>
          <w:ilvl w:val="1"/>
          <w:numId w:val="673"/>
        </w:numPr>
        <w:tabs>
          <w:tab w:val="left" w:pos="1955"/>
        </w:tabs>
        <w:ind w:left="1540" w:hanging="5"/>
        <w:jc w:val="both"/>
        <w:rPr>
          <w:rFonts w:eastAsia="Times New Roman"/>
          <w:sz w:val="24"/>
          <w:szCs w:val="24"/>
        </w:rPr>
      </w:pPr>
      <w:r w:rsidRPr="008B495F">
        <w:rPr>
          <w:rFonts w:eastAsia="Times New Roman"/>
          <w:sz w:val="24"/>
          <w:szCs w:val="24"/>
        </w:rPr>
        <w:t>If the system only consists of one or two</w:t>
      </w:r>
      <w:r w:rsidR="00AD1EA8">
        <w:rPr>
          <w:rFonts w:eastAsia="Times New Roman"/>
          <w:sz w:val="24"/>
          <w:szCs w:val="24"/>
        </w:rPr>
        <w:t xml:space="preserve"> filters</w:t>
      </w:r>
      <w:r w:rsidRPr="008B495F">
        <w:rPr>
          <w:rFonts w:eastAsia="Times New Roman"/>
          <w:sz w:val="24"/>
          <w:szCs w:val="24"/>
        </w:rPr>
        <w:t>, the supplier of water may conduct continuous monitoring of the CFE turbidity in lieu of individual filter effluent turbidity monitoring. Continuous monitoring shall meet the same requirements set forth in 310 CMR 22.20F(7)(a)1. through 4. and (b).</w:t>
      </w:r>
    </w:p>
    <w:p w14:paraId="281A6388" w14:textId="77777777" w:rsidR="004647B9" w:rsidRPr="008B495F" w:rsidRDefault="00E2436F" w:rsidP="009E7FDD">
      <w:pPr>
        <w:numPr>
          <w:ilvl w:val="1"/>
          <w:numId w:val="673"/>
        </w:numPr>
        <w:tabs>
          <w:tab w:val="left" w:pos="2008"/>
        </w:tabs>
        <w:ind w:left="1540" w:hanging="5"/>
        <w:rPr>
          <w:rFonts w:eastAsia="Times New Roman"/>
          <w:sz w:val="24"/>
          <w:szCs w:val="24"/>
        </w:rPr>
      </w:pPr>
      <w:r w:rsidRPr="008B495F">
        <w:rPr>
          <w:rFonts w:eastAsia="Times New Roman"/>
          <w:sz w:val="24"/>
          <w:szCs w:val="24"/>
        </w:rPr>
        <w:t>If the supplier of water conducts continuous turbidity monitoring, follow-up action is required as follows:</w:t>
      </w:r>
    </w:p>
    <w:p w14:paraId="281A6389" w14:textId="77777777" w:rsidR="004647B9" w:rsidRPr="00D04C4C" w:rsidRDefault="00E2436F" w:rsidP="009E7FDD">
      <w:pPr>
        <w:numPr>
          <w:ilvl w:val="2"/>
          <w:numId w:val="673"/>
        </w:numPr>
        <w:tabs>
          <w:tab w:val="left" w:pos="2224"/>
        </w:tabs>
        <w:ind w:left="1900" w:hanging="5"/>
        <w:jc w:val="both"/>
        <w:rPr>
          <w:rFonts w:eastAsia="Times New Roman"/>
          <w:sz w:val="24"/>
          <w:szCs w:val="24"/>
        </w:rPr>
      </w:pPr>
      <w:r w:rsidRPr="008B495F">
        <w:rPr>
          <w:rFonts w:eastAsia="Times New Roman"/>
          <w:sz w:val="24"/>
          <w:szCs w:val="24"/>
        </w:rPr>
        <w:t xml:space="preserve">If the turbidity of an individual filter or the turbidity of the CFE for systems with two filters that monitor CFE in </w:t>
      </w:r>
      <w:r w:rsidRPr="008B495F">
        <w:rPr>
          <w:rFonts w:eastAsia="Times New Roman"/>
          <w:i/>
          <w:iCs/>
          <w:sz w:val="24"/>
          <w:szCs w:val="24"/>
        </w:rPr>
        <w:t>lieu</w:t>
      </w:r>
      <w:r w:rsidRPr="008B495F">
        <w:rPr>
          <w:rFonts w:eastAsia="Times New Roman"/>
          <w:sz w:val="24"/>
          <w:szCs w:val="24"/>
        </w:rPr>
        <w:t xml:space="preserve"> of individual filters exceeds 1.0 NTU in two consecutive recordings 15 minutes apart, the supplier of water shall report to the Department by the tenth day of the following month and include the filter number(s), corresponding date(s), turbidity value(s) which exceeded 1.0 NTU, and the cause (if</w:t>
      </w:r>
      <w:r w:rsidRPr="00D04C4C">
        <w:rPr>
          <w:rFonts w:eastAsia="Times New Roman"/>
          <w:sz w:val="24"/>
          <w:szCs w:val="24"/>
        </w:rPr>
        <w:t xml:space="preserve"> known) for the exceedance(s).</w:t>
      </w:r>
    </w:p>
    <w:p w14:paraId="281A638B" w14:textId="77777777" w:rsidR="004647B9" w:rsidRPr="00D04C4C" w:rsidRDefault="00E2436F" w:rsidP="009E7FDD">
      <w:pPr>
        <w:numPr>
          <w:ilvl w:val="2"/>
          <w:numId w:val="673"/>
        </w:numPr>
        <w:tabs>
          <w:tab w:val="left" w:pos="2241"/>
        </w:tabs>
        <w:ind w:left="1900" w:hanging="5"/>
        <w:jc w:val="both"/>
        <w:rPr>
          <w:rFonts w:eastAsia="Times New Roman"/>
          <w:sz w:val="24"/>
          <w:szCs w:val="24"/>
        </w:rPr>
      </w:pPr>
      <w:r w:rsidRPr="00D04C4C">
        <w:rPr>
          <w:rFonts w:eastAsia="Times New Roman"/>
          <w:sz w:val="24"/>
          <w:szCs w:val="24"/>
        </w:rPr>
        <w:t xml:space="preserve">If the supplier of water was required to report to the Department for three months in a row and turbidity exceeded 1.0 NTU in two consecutive recordings 15 minutes apart at the same filter or CFE for systems with two filters that monitor CFE in </w:t>
      </w:r>
      <w:r w:rsidRPr="00D04C4C">
        <w:rPr>
          <w:rFonts w:eastAsia="Times New Roman"/>
          <w:i/>
          <w:iCs/>
          <w:sz w:val="24"/>
          <w:szCs w:val="24"/>
        </w:rPr>
        <w:t>lieu</w:t>
      </w:r>
      <w:r w:rsidRPr="00D04C4C">
        <w:rPr>
          <w:rFonts w:eastAsia="Times New Roman"/>
          <w:sz w:val="24"/>
          <w:szCs w:val="24"/>
        </w:rPr>
        <w:t xml:space="preserve"> of individual filters, the supplier of water shall conduct a self-assessment of the filter(s) within 14 days of the day the filter exceeded 1.0 NTU in two consecutive measurements for the third straight month unless a Comprehensive Performance Evaluation (CPE) as specified in 310 CMR 22.20F(7)(d)3. was required. Systems with two filters that monitor CFE in </w:t>
      </w:r>
      <w:r w:rsidRPr="00D04C4C">
        <w:rPr>
          <w:rFonts w:eastAsia="Times New Roman"/>
          <w:i/>
          <w:iCs/>
          <w:sz w:val="24"/>
          <w:szCs w:val="24"/>
        </w:rPr>
        <w:t>lieu</w:t>
      </w:r>
      <w:r w:rsidRPr="00D04C4C">
        <w:rPr>
          <w:rFonts w:eastAsia="Times New Roman"/>
          <w:sz w:val="24"/>
          <w:szCs w:val="24"/>
        </w:rPr>
        <w:t xml:space="preserve"> of individual filters shall conduct a self-assessment on both filters. The self-assessment must consist of at least the following components: assessment of filter performance; development of a filter profile; identification and prioritization of factors limiting filter performance; assessment of the applicability of corrections; and preparation of a filter self-assessment report. If a self-assessment is required, the date that it was triggered and the date that it was completed shall be included.</w:t>
      </w:r>
    </w:p>
    <w:p w14:paraId="281A638D" w14:textId="77777777" w:rsidR="004647B9" w:rsidRPr="00D04C4C" w:rsidRDefault="00E2436F" w:rsidP="009E7FDD">
      <w:pPr>
        <w:numPr>
          <w:ilvl w:val="2"/>
          <w:numId w:val="673"/>
        </w:numPr>
        <w:tabs>
          <w:tab w:val="left" w:pos="2260"/>
        </w:tabs>
        <w:ind w:left="1900" w:hanging="5"/>
        <w:jc w:val="both"/>
        <w:rPr>
          <w:rFonts w:eastAsia="Times New Roman"/>
          <w:sz w:val="24"/>
          <w:szCs w:val="24"/>
        </w:rPr>
      </w:pPr>
      <w:r w:rsidRPr="00D04C4C">
        <w:rPr>
          <w:rFonts w:eastAsia="Times New Roman"/>
          <w:sz w:val="24"/>
          <w:szCs w:val="24"/>
        </w:rPr>
        <w:t xml:space="preserve">If the supplier of water was required to report to the Department for two months in a row and turbidity exceeded 2.0 NTU in two consecutive recordings 15 minutes apart at the same filter or CFE for systems with two filters that monitor CFE in </w:t>
      </w:r>
      <w:r w:rsidRPr="00D04C4C">
        <w:rPr>
          <w:rFonts w:eastAsia="Times New Roman"/>
          <w:i/>
          <w:iCs/>
          <w:sz w:val="24"/>
          <w:szCs w:val="24"/>
        </w:rPr>
        <w:t>lieu</w:t>
      </w:r>
      <w:r w:rsidRPr="00D04C4C">
        <w:rPr>
          <w:rFonts w:eastAsia="Times New Roman"/>
          <w:sz w:val="24"/>
          <w:szCs w:val="24"/>
        </w:rPr>
        <w:t xml:space="preserve"> of individual filters, the supplier of water shall arrange to have a CPE conducted by the Department no later than 60 days following the day the filter exceeded 2.0 NTU in two consecutive measurements for the second straight month. If a CPE has been completed by the Department within the 12 prior months or the supplier of water and the Department are jointly participating in an ongoing Comprehensive Technical Assistance (CTA) project at the system, a new CPE is not required. If conducted, a CPE must be completed and submitted to the Department no later than 120 days following the day the filter exceeded 2.0 NTU in two consecutive measurements for the second straight month.</w:t>
      </w:r>
    </w:p>
    <w:p w14:paraId="281A638E" w14:textId="77777777" w:rsidR="004647B9" w:rsidRDefault="004647B9" w:rsidP="009E7FDD">
      <w:pPr>
        <w:sectPr w:rsidR="004647B9" w:rsidSect="00EF630C">
          <w:pgSz w:w="12240" w:h="20180"/>
          <w:pgMar w:top="708" w:right="1440" w:bottom="1440" w:left="620" w:header="0" w:footer="0" w:gutter="0"/>
          <w:cols w:space="720"/>
        </w:sectPr>
      </w:pPr>
    </w:p>
    <w:p w14:paraId="281A638F" w14:textId="77777777" w:rsidR="004647B9" w:rsidRDefault="00E2436F">
      <w:pPr>
        <w:tabs>
          <w:tab w:val="left" w:pos="160"/>
        </w:tabs>
        <w:ind w:right="20"/>
        <w:jc w:val="center"/>
        <w:rPr>
          <w:sz w:val="20"/>
          <w:szCs w:val="20"/>
        </w:rPr>
      </w:pPr>
      <w:bookmarkStart w:id="285" w:name="page289"/>
      <w:bookmarkEnd w:id="28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390" w14:textId="77777777" w:rsidR="004647B9" w:rsidRDefault="004647B9" w:rsidP="003E2F35">
      <w:pPr>
        <w:rPr>
          <w:sz w:val="20"/>
          <w:szCs w:val="20"/>
        </w:rPr>
      </w:pPr>
    </w:p>
    <w:p w14:paraId="281A6391" w14:textId="77777777" w:rsidR="004647B9" w:rsidRDefault="004647B9" w:rsidP="003E2F35">
      <w:pPr>
        <w:rPr>
          <w:sz w:val="20"/>
          <w:szCs w:val="20"/>
        </w:rPr>
      </w:pPr>
    </w:p>
    <w:p w14:paraId="281A6392" w14:textId="77777777" w:rsidR="004647B9" w:rsidRPr="003E2F35" w:rsidRDefault="00E2436F" w:rsidP="003E2F35">
      <w:pPr>
        <w:tabs>
          <w:tab w:val="left" w:pos="900"/>
        </w:tabs>
        <w:rPr>
          <w:sz w:val="24"/>
          <w:szCs w:val="24"/>
        </w:rPr>
      </w:pPr>
      <w:r w:rsidRPr="003E2F35">
        <w:rPr>
          <w:rFonts w:eastAsia="Times New Roman"/>
          <w:sz w:val="24"/>
          <w:szCs w:val="24"/>
        </w:rPr>
        <w:t>22.20F:</w:t>
      </w:r>
      <w:r w:rsidRPr="003E2F35">
        <w:rPr>
          <w:rFonts w:eastAsia="Times New Roman"/>
          <w:sz w:val="24"/>
          <w:szCs w:val="24"/>
        </w:rPr>
        <w:tab/>
        <w:t>continued</w:t>
      </w:r>
    </w:p>
    <w:p w14:paraId="281A6393" w14:textId="77777777" w:rsidR="004647B9" w:rsidRPr="003E2F35" w:rsidRDefault="004647B9" w:rsidP="003E2F35">
      <w:pPr>
        <w:rPr>
          <w:sz w:val="20"/>
          <w:szCs w:val="20"/>
        </w:rPr>
      </w:pPr>
    </w:p>
    <w:p w14:paraId="281A6394" w14:textId="77777777" w:rsidR="004647B9" w:rsidRPr="00D04C4C" w:rsidRDefault="00E2436F" w:rsidP="003E2F35">
      <w:pPr>
        <w:numPr>
          <w:ilvl w:val="1"/>
          <w:numId w:val="674"/>
        </w:numPr>
        <w:tabs>
          <w:tab w:val="left" w:pos="1970"/>
        </w:tabs>
        <w:ind w:left="1540" w:hanging="5"/>
        <w:jc w:val="both"/>
        <w:rPr>
          <w:rFonts w:eastAsia="Times New Roman"/>
          <w:sz w:val="24"/>
          <w:szCs w:val="24"/>
        </w:rPr>
      </w:pPr>
      <w:r w:rsidRPr="00D04C4C">
        <w:rPr>
          <w:rFonts w:eastAsia="Times New Roman"/>
          <w:sz w:val="24"/>
          <w:szCs w:val="24"/>
        </w:rPr>
        <w:t>If the supplier of water practices lime softening, the supplier of water may apply to the Department for alternative turbidity exceedance levels for the levels specified in 310 CMR 22.20F(7)(d). The supplier of water shall be able to demonstrate to the Department that higher turbidity levels are due to lime carryover only, and not due to degraded filter performance.</w:t>
      </w:r>
    </w:p>
    <w:p w14:paraId="281A6395" w14:textId="77777777" w:rsidR="004647B9" w:rsidRPr="00D04C4C" w:rsidRDefault="004647B9" w:rsidP="003E2F35">
      <w:pPr>
        <w:rPr>
          <w:rFonts w:eastAsia="Times New Roman"/>
          <w:sz w:val="24"/>
          <w:szCs w:val="24"/>
        </w:rPr>
      </w:pPr>
    </w:p>
    <w:p w14:paraId="281A6396" w14:textId="77777777" w:rsidR="004647B9" w:rsidRPr="00D04C4C" w:rsidRDefault="00E2436F" w:rsidP="003E2F35">
      <w:pPr>
        <w:numPr>
          <w:ilvl w:val="0"/>
          <w:numId w:val="675"/>
        </w:numPr>
        <w:tabs>
          <w:tab w:val="left" w:pos="1640"/>
        </w:tabs>
        <w:ind w:left="1640" w:hanging="460"/>
        <w:rPr>
          <w:rFonts w:eastAsia="Times New Roman"/>
          <w:sz w:val="24"/>
          <w:szCs w:val="24"/>
        </w:rPr>
      </w:pPr>
      <w:r w:rsidRPr="00D04C4C">
        <w:rPr>
          <w:rFonts w:eastAsia="Times New Roman"/>
          <w:sz w:val="24"/>
          <w:szCs w:val="24"/>
          <w:u w:val="single"/>
        </w:rPr>
        <w:t>Reporting and Recordkeeping</w:t>
      </w:r>
      <w:r w:rsidRPr="00D04C4C">
        <w:rPr>
          <w:rFonts w:eastAsia="Times New Roman"/>
          <w:sz w:val="24"/>
          <w:szCs w:val="24"/>
        </w:rPr>
        <w:t>.</w:t>
      </w:r>
    </w:p>
    <w:p w14:paraId="281A6398" w14:textId="77777777" w:rsidR="004647B9" w:rsidRPr="00D04C4C" w:rsidRDefault="00E2436F" w:rsidP="003E2F35">
      <w:pPr>
        <w:numPr>
          <w:ilvl w:val="1"/>
          <w:numId w:val="675"/>
        </w:numPr>
        <w:tabs>
          <w:tab w:val="left" w:pos="1962"/>
        </w:tabs>
        <w:ind w:left="1540" w:hanging="5"/>
        <w:jc w:val="both"/>
        <w:rPr>
          <w:rFonts w:eastAsia="Times New Roman"/>
          <w:sz w:val="24"/>
          <w:szCs w:val="24"/>
        </w:rPr>
      </w:pPr>
      <w:r w:rsidRPr="00D04C4C">
        <w:rPr>
          <w:rFonts w:eastAsia="Times New Roman"/>
          <w:sz w:val="24"/>
          <w:szCs w:val="24"/>
        </w:rPr>
        <w:t>In addition to the reporting and recordkeeping requirements in 310 CMR 22.20A, each supplier of water who is subject to the requirements of 310 CMR 22.20F shall report the following information to the Department at the frequency specified, if the supplier of water is subject to the specific requirement.</w:t>
      </w:r>
    </w:p>
    <w:p w14:paraId="281A6399" w14:textId="77777777" w:rsidR="004647B9" w:rsidRPr="00D04C4C" w:rsidRDefault="00E2436F" w:rsidP="003E2F35">
      <w:pPr>
        <w:numPr>
          <w:ilvl w:val="2"/>
          <w:numId w:val="675"/>
        </w:numPr>
        <w:tabs>
          <w:tab w:val="left" w:pos="2253"/>
        </w:tabs>
        <w:ind w:left="1900" w:hanging="5"/>
        <w:rPr>
          <w:rFonts w:eastAsia="Times New Roman"/>
          <w:sz w:val="24"/>
          <w:szCs w:val="24"/>
        </w:rPr>
      </w:pPr>
      <w:r w:rsidRPr="00D04C4C">
        <w:rPr>
          <w:rFonts w:eastAsia="Times New Roman"/>
          <w:sz w:val="24"/>
          <w:szCs w:val="24"/>
        </w:rPr>
        <w:t>Combined filter requirements that shall be reported within ten days after the end of each month shall include:</w:t>
      </w:r>
    </w:p>
    <w:p w14:paraId="281A639A" w14:textId="77777777" w:rsidR="004647B9" w:rsidRPr="00D04C4C" w:rsidRDefault="00E2436F" w:rsidP="003E2F35">
      <w:pPr>
        <w:numPr>
          <w:ilvl w:val="3"/>
          <w:numId w:val="675"/>
        </w:numPr>
        <w:tabs>
          <w:tab w:val="left" w:pos="2693"/>
        </w:tabs>
        <w:ind w:left="2260" w:hanging="5"/>
        <w:rPr>
          <w:rFonts w:eastAsia="Times New Roman"/>
          <w:sz w:val="24"/>
          <w:szCs w:val="24"/>
        </w:rPr>
      </w:pPr>
      <w:r w:rsidRPr="00D04C4C">
        <w:rPr>
          <w:rFonts w:eastAsia="Times New Roman"/>
          <w:sz w:val="24"/>
          <w:szCs w:val="24"/>
        </w:rPr>
        <w:t>The total number of filtered water turbidity measurements taken during the month.</w:t>
      </w:r>
    </w:p>
    <w:p w14:paraId="281A639B" w14:textId="77777777" w:rsidR="004647B9" w:rsidRPr="00D04C4C" w:rsidRDefault="00E2436F" w:rsidP="003E2F35">
      <w:pPr>
        <w:numPr>
          <w:ilvl w:val="3"/>
          <w:numId w:val="675"/>
        </w:numPr>
        <w:tabs>
          <w:tab w:val="left" w:pos="2555"/>
        </w:tabs>
        <w:ind w:left="2260" w:hanging="5"/>
        <w:jc w:val="both"/>
        <w:rPr>
          <w:rFonts w:eastAsia="Times New Roman"/>
          <w:sz w:val="24"/>
          <w:szCs w:val="24"/>
        </w:rPr>
      </w:pPr>
      <w:r w:rsidRPr="00D04C4C">
        <w:rPr>
          <w:rFonts w:eastAsia="Times New Roman"/>
          <w:sz w:val="24"/>
          <w:szCs w:val="24"/>
        </w:rPr>
        <w:t>The number and percentage of filtered water turbidity measurements taken during the month which are less than or equal to the turbidity limits specified in 310 CMR 22.20F(7).</w:t>
      </w:r>
    </w:p>
    <w:p w14:paraId="281A639D" w14:textId="77777777" w:rsidR="004647B9" w:rsidRPr="00D04C4C" w:rsidRDefault="00E2436F" w:rsidP="003E2F35">
      <w:pPr>
        <w:numPr>
          <w:ilvl w:val="3"/>
          <w:numId w:val="675"/>
        </w:numPr>
        <w:tabs>
          <w:tab w:val="left" w:pos="2578"/>
        </w:tabs>
        <w:ind w:left="2260" w:hanging="5"/>
        <w:jc w:val="both"/>
        <w:rPr>
          <w:rFonts w:eastAsia="Times New Roman"/>
          <w:sz w:val="24"/>
          <w:szCs w:val="24"/>
        </w:rPr>
      </w:pPr>
      <w:r w:rsidRPr="00D04C4C">
        <w:rPr>
          <w:rFonts w:eastAsia="Times New Roman"/>
          <w:sz w:val="24"/>
          <w:szCs w:val="24"/>
        </w:rPr>
        <w:t>The date and value of any turbidity measurements taken during the month which exceed 1.0 NTU for systems using conventional filtration treatment or direct filtration, or exceed the maximum level set by the Department 310 CMR 22.20F(7).</w:t>
      </w:r>
    </w:p>
    <w:p w14:paraId="281A639F" w14:textId="4BB1E415" w:rsidR="004647B9" w:rsidRPr="00297364" w:rsidRDefault="00E2436F" w:rsidP="003E2F35">
      <w:pPr>
        <w:numPr>
          <w:ilvl w:val="2"/>
          <w:numId w:val="675"/>
        </w:numPr>
        <w:tabs>
          <w:tab w:val="left" w:pos="2234"/>
        </w:tabs>
        <w:ind w:left="1900" w:hanging="5"/>
        <w:jc w:val="both"/>
        <w:rPr>
          <w:rFonts w:eastAsia="Times New Roman"/>
          <w:sz w:val="24"/>
          <w:szCs w:val="24"/>
        </w:rPr>
      </w:pPr>
      <w:r w:rsidRPr="00D04C4C">
        <w:rPr>
          <w:rFonts w:eastAsia="Times New Roman"/>
          <w:sz w:val="24"/>
          <w:szCs w:val="24"/>
        </w:rPr>
        <w:t>The individual turbidity requirements that shall be reported within ten days after the end of each month, except as otherwise provided in 310 CMR 22.20F(8)2.c. and</w:t>
      </w:r>
      <w:r w:rsidR="00297364">
        <w:rPr>
          <w:rFonts w:eastAsia="Times New Roman"/>
          <w:sz w:val="24"/>
          <w:szCs w:val="24"/>
        </w:rPr>
        <w:t xml:space="preserve"> 310 </w:t>
      </w:r>
      <w:r w:rsidRPr="00297364">
        <w:rPr>
          <w:rFonts w:eastAsia="Times New Roman"/>
          <w:sz w:val="24"/>
          <w:szCs w:val="24"/>
        </w:rPr>
        <w:t>CMR 22.20F(8)2.e., shall include:</w:t>
      </w:r>
    </w:p>
    <w:p w14:paraId="281A63A1" w14:textId="77777777" w:rsidR="004647B9" w:rsidRPr="00D04C4C" w:rsidRDefault="00E2436F" w:rsidP="003E2F35">
      <w:pPr>
        <w:numPr>
          <w:ilvl w:val="3"/>
          <w:numId w:val="676"/>
        </w:numPr>
        <w:tabs>
          <w:tab w:val="left" w:pos="2563"/>
        </w:tabs>
        <w:ind w:left="2260" w:hanging="5"/>
        <w:rPr>
          <w:rFonts w:eastAsia="Times New Roman"/>
          <w:sz w:val="24"/>
          <w:szCs w:val="24"/>
        </w:rPr>
      </w:pPr>
      <w:r w:rsidRPr="00D04C4C">
        <w:rPr>
          <w:rFonts w:eastAsia="Times New Roman"/>
          <w:sz w:val="24"/>
          <w:szCs w:val="24"/>
        </w:rPr>
        <w:t>That the supplier of water conducted individual filter turbidity monitoring during the month.</w:t>
      </w:r>
    </w:p>
    <w:p w14:paraId="281A63A2" w14:textId="77777777" w:rsidR="004647B9" w:rsidRPr="00D04C4C" w:rsidRDefault="00E2436F" w:rsidP="003E2F35">
      <w:pPr>
        <w:numPr>
          <w:ilvl w:val="3"/>
          <w:numId w:val="676"/>
        </w:numPr>
        <w:tabs>
          <w:tab w:val="left" w:pos="2591"/>
        </w:tabs>
        <w:ind w:left="2260" w:hanging="5"/>
        <w:jc w:val="both"/>
        <w:rPr>
          <w:rFonts w:eastAsia="Times New Roman"/>
          <w:sz w:val="24"/>
          <w:szCs w:val="24"/>
        </w:rPr>
      </w:pPr>
      <w:r w:rsidRPr="00D04C4C">
        <w:rPr>
          <w:rFonts w:eastAsia="Times New Roman"/>
          <w:sz w:val="24"/>
          <w:szCs w:val="24"/>
        </w:rPr>
        <w:t>The filter number(s), corresponding date(s), and turbidity value(s) that exceeded 1.0 NTU during the month, and the cause (if known) for the exceedance(s) but only in if two consecutive measurements exceeded 1.0 NTU.</w:t>
      </w:r>
    </w:p>
    <w:p w14:paraId="281A63A4" w14:textId="77777777" w:rsidR="004647B9" w:rsidRDefault="00E2436F" w:rsidP="003E2F35">
      <w:pPr>
        <w:numPr>
          <w:ilvl w:val="3"/>
          <w:numId w:val="676"/>
        </w:numPr>
        <w:tabs>
          <w:tab w:val="left" w:pos="2606"/>
        </w:tabs>
        <w:ind w:left="2260" w:hanging="5"/>
        <w:jc w:val="both"/>
        <w:rPr>
          <w:rFonts w:eastAsia="Times New Roman"/>
          <w:sz w:val="24"/>
          <w:szCs w:val="24"/>
        </w:rPr>
      </w:pPr>
      <w:r w:rsidRPr="00D04C4C">
        <w:rPr>
          <w:rFonts w:eastAsia="Times New Roman"/>
          <w:sz w:val="24"/>
          <w:szCs w:val="24"/>
        </w:rPr>
        <w:t>If a self-assessment is required, the date that it was triggered and the date that it was completed. If the self-assessment was triggered during the last four days of the month, the date that it was triggered and the date that it was completed shall be</w:t>
      </w:r>
      <w:r>
        <w:rPr>
          <w:rFonts w:eastAsia="Times New Roman"/>
          <w:sz w:val="24"/>
          <w:szCs w:val="24"/>
        </w:rPr>
        <w:t xml:space="preserve"> reported within 14 days after the date the self-assessment was triggered.</w:t>
      </w:r>
    </w:p>
    <w:p w14:paraId="281A63A5" w14:textId="77777777" w:rsidR="004647B9" w:rsidRDefault="00E2436F" w:rsidP="003E2F35">
      <w:pPr>
        <w:numPr>
          <w:ilvl w:val="3"/>
          <w:numId w:val="676"/>
        </w:numPr>
        <w:tabs>
          <w:tab w:val="left" w:pos="2620"/>
        </w:tabs>
        <w:ind w:left="2620" w:hanging="365"/>
        <w:rPr>
          <w:rFonts w:eastAsia="Times New Roman"/>
          <w:sz w:val="24"/>
          <w:szCs w:val="24"/>
        </w:rPr>
      </w:pPr>
      <w:r>
        <w:rPr>
          <w:rFonts w:eastAsia="Times New Roman"/>
          <w:sz w:val="24"/>
          <w:szCs w:val="24"/>
        </w:rPr>
        <w:t>If a CPE is required and the date that it was triggered.</w:t>
      </w:r>
    </w:p>
    <w:p w14:paraId="281A63A7" w14:textId="77777777" w:rsidR="004647B9" w:rsidRDefault="00E2436F" w:rsidP="003E2F35">
      <w:pPr>
        <w:numPr>
          <w:ilvl w:val="3"/>
          <w:numId w:val="676"/>
        </w:numPr>
        <w:tabs>
          <w:tab w:val="left" w:pos="2600"/>
        </w:tabs>
        <w:ind w:left="2600" w:hanging="345"/>
        <w:rPr>
          <w:rFonts w:eastAsia="Times New Roman"/>
          <w:sz w:val="24"/>
          <w:szCs w:val="24"/>
        </w:rPr>
      </w:pPr>
      <w:r>
        <w:rPr>
          <w:rFonts w:eastAsia="Times New Roman"/>
          <w:sz w:val="24"/>
          <w:szCs w:val="24"/>
        </w:rPr>
        <w:t>Copy of completed CPE report within 120 days after the CPE was triggered.</w:t>
      </w:r>
    </w:p>
    <w:p w14:paraId="281A63A9" w14:textId="77777777" w:rsidR="004647B9" w:rsidRDefault="00E2436F" w:rsidP="003E2F35">
      <w:pPr>
        <w:numPr>
          <w:ilvl w:val="2"/>
          <w:numId w:val="677"/>
        </w:numPr>
        <w:tabs>
          <w:tab w:val="left" w:pos="2260"/>
        </w:tabs>
        <w:ind w:left="2260" w:hanging="365"/>
        <w:rPr>
          <w:rFonts w:eastAsia="Times New Roman"/>
          <w:sz w:val="24"/>
          <w:szCs w:val="24"/>
        </w:rPr>
      </w:pPr>
      <w:r>
        <w:rPr>
          <w:rFonts w:eastAsia="Times New Roman"/>
          <w:sz w:val="24"/>
          <w:szCs w:val="24"/>
        </w:rPr>
        <w:t>Disinfection Profiling shall include:</w:t>
      </w:r>
    </w:p>
    <w:p w14:paraId="281A63AB" w14:textId="77777777" w:rsidR="004647B9" w:rsidRPr="00D04C4C" w:rsidRDefault="00E2436F" w:rsidP="003E2F35">
      <w:pPr>
        <w:numPr>
          <w:ilvl w:val="3"/>
          <w:numId w:val="677"/>
        </w:numPr>
        <w:tabs>
          <w:tab w:val="left" w:pos="2599"/>
        </w:tabs>
        <w:ind w:left="2260" w:hanging="5"/>
        <w:jc w:val="both"/>
        <w:rPr>
          <w:rFonts w:eastAsia="Times New Roman"/>
          <w:sz w:val="24"/>
          <w:szCs w:val="24"/>
        </w:rPr>
      </w:pPr>
      <w:r>
        <w:rPr>
          <w:rFonts w:eastAsia="Times New Roman"/>
          <w:sz w:val="24"/>
          <w:szCs w:val="24"/>
        </w:rPr>
        <w:t xml:space="preserve">Results of optional monitoring that show TTHM levels &lt;0.064 mg/l and HAA5 </w:t>
      </w:r>
      <w:r w:rsidRPr="00D04C4C">
        <w:rPr>
          <w:rFonts w:eastAsia="Times New Roman"/>
          <w:sz w:val="24"/>
          <w:szCs w:val="24"/>
        </w:rPr>
        <w:t>levels &lt;0.048 mg/l (only if the system wishes to forgo profiling) or that the system has begun disinfection profiling.</w:t>
      </w:r>
    </w:p>
    <w:p w14:paraId="281A63AD" w14:textId="77777777" w:rsidR="004647B9" w:rsidRPr="00D04C4C" w:rsidRDefault="00E2436F" w:rsidP="003E2F35">
      <w:pPr>
        <w:numPr>
          <w:ilvl w:val="4"/>
          <w:numId w:val="677"/>
        </w:numPr>
        <w:tabs>
          <w:tab w:val="left" w:pos="2920"/>
        </w:tabs>
        <w:ind w:left="2920" w:hanging="305"/>
        <w:rPr>
          <w:rFonts w:eastAsia="Times New Roman"/>
          <w:sz w:val="24"/>
          <w:szCs w:val="24"/>
        </w:rPr>
      </w:pPr>
      <w:r w:rsidRPr="00D04C4C">
        <w:rPr>
          <w:rFonts w:eastAsia="Times New Roman"/>
          <w:sz w:val="24"/>
          <w:szCs w:val="24"/>
        </w:rPr>
        <w:t>For systems serving 500–9,999 by July 1, 2003;</w:t>
      </w:r>
    </w:p>
    <w:p w14:paraId="281A63AF" w14:textId="77777777" w:rsidR="004647B9" w:rsidRPr="00D04C4C" w:rsidRDefault="00E2436F" w:rsidP="003E2F35">
      <w:pPr>
        <w:numPr>
          <w:ilvl w:val="4"/>
          <w:numId w:val="677"/>
        </w:numPr>
        <w:tabs>
          <w:tab w:val="left" w:pos="2980"/>
        </w:tabs>
        <w:ind w:left="2980" w:hanging="365"/>
        <w:rPr>
          <w:rFonts w:eastAsia="Times New Roman"/>
          <w:sz w:val="24"/>
          <w:szCs w:val="24"/>
        </w:rPr>
      </w:pPr>
      <w:r w:rsidRPr="00D04C4C">
        <w:rPr>
          <w:rFonts w:eastAsia="Times New Roman"/>
          <w:sz w:val="24"/>
          <w:szCs w:val="24"/>
        </w:rPr>
        <w:t>For systems serving fewer than 500 by January 1, 2004.</w:t>
      </w:r>
    </w:p>
    <w:p w14:paraId="281A63B1" w14:textId="77777777" w:rsidR="004647B9" w:rsidRPr="00D04C4C" w:rsidRDefault="00E2436F" w:rsidP="003E2F35">
      <w:pPr>
        <w:numPr>
          <w:ilvl w:val="2"/>
          <w:numId w:val="677"/>
        </w:numPr>
        <w:tabs>
          <w:tab w:val="left" w:pos="2253"/>
        </w:tabs>
        <w:ind w:left="1900" w:hanging="5"/>
        <w:jc w:val="both"/>
        <w:rPr>
          <w:rFonts w:eastAsia="Times New Roman"/>
          <w:sz w:val="24"/>
          <w:szCs w:val="24"/>
        </w:rPr>
      </w:pPr>
      <w:r w:rsidRPr="00D04C4C">
        <w:rPr>
          <w:rFonts w:eastAsia="Times New Roman"/>
          <w:sz w:val="24"/>
          <w:szCs w:val="24"/>
        </w:rPr>
        <w:t xml:space="preserve">Disinfection Benchmarking shall include: A description of the proposed change in disinfection, the system’s disinfection profile for </w:t>
      </w:r>
      <w:r w:rsidRPr="00D04C4C">
        <w:rPr>
          <w:rFonts w:eastAsia="Times New Roman"/>
          <w:i/>
          <w:iCs/>
          <w:sz w:val="24"/>
          <w:szCs w:val="24"/>
        </w:rPr>
        <w:t>Giardia lamblia</w:t>
      </w:r>
      <w:r w:rsidRPr="00D04C4C">
        <w:rPr>
          <w:rFonts w:eastAsia="Times New Roman"/>
          <w:sz w:val="24"/>
          <w:szCs w:val="24"/>
        </w:rPr>
        <w:t xml:space="preserve"> (and, if necessary, Viruses) and disinfection benchmark, and an analysis of how the proposed change will affect the current levels of disinfection anytime a significant change in disinfection practices is being considered.</w:t>
      </w:r>
    </w:p>
    <w:p w14:paraId="281A63B3" w14:textId="77777777" w:rsidR="004647B9" w:rsidRPr="00D04C4C" w:rsidRDefault="00E2436F" w:rsidP="003E2F35">
      <w:pPr>
        <w:numPr>
          <w:ilvl w:val="1"/>
          <w:numId w:val="678"/>
        </w:numPr>
        <w:tabs>
          <w:tab w:val="left" w:pos="1979"/>
        </w:tabs>
        <w:ind w:left="1540" w:hanging="5"/>
        <w:jc w:val="both"/>
        <w:rPr>
          <w:rFonts w:eastAsia="Times New Roman"/>
          <w:sz w:val="24"/>
          <w:szCs w:val="24"/>
        </w:rPr>
      </w:pPr>
      <w:r w:rsidRPr="00D04C4C">
        <w:rPr>
          <w:rFonts w:eastAsia="Times New Roman"/>
          <w:sz w:val="24"/>
          <w:szCs w:val="24"/>
        </w:rPr>
        <w:t>Each supplier of water who is subject to the requirements of 310 CMR 22.20F shall, in addition to recordkeeping requirements under 310 CMR 22.20A(6), maintain records in accordance with 310 CMR 22.17(12).</w:t>
      </w:r>
    </w:p>
    <w:p w14:paraId="281A63B4" w14:textId="77777777" w:rsidR="004647B9" w:rsidRPr="00D04C4C" w:rsidRDefault="004647B9" w:rsidP="003E2F35">
      <w:pPr>
        <w:rPr>
          <w:sz w:val="24"/>
          <w:szCs w:val="24"/>
        </w:rPr>
      </w:pPr>
    </w:p>
    <w:p w14:paraId="281A63B5" w14:textId="77777777" w:rsidR="004647B9" w:rsidRPr="00D04C4C" w:rsidRDefault="00E2436F" w:rsidP="003E2F35">
      <w:pPr>
        <w:tabs>
          <w:tab w:val="left" w:pos="940"/>
        </w:tabs>
        <w:rPr>
          <w:sz w:val="24"/>
          <w:szCs w:val="24"/>
        </w:rPr>
      </w:pPr>
      <w:r w:rsidRPr="00D04C4C">
        <w:rPr>
          <w:rFonts w:eastAsia="Times New Roman"/>
          <w:sz w:val="24"/>
          <w:szCs w:val="24"/>
          <w:u w:val="single"/>
        </w:rPr>
        <w:t>22.20G:</w:t>
      </w:r>
      <w:r w:rsidRPr="00D04C4C">
        <w:rPr>
          <w:sz w:val="24"/>
          <w:szCs w:val="24"/>
        </w:rPr>
        <w:tab/>
      </w:r>
      <w:r w:rsidRPr="00D04C4C">
        <w:rPr>
          <w:rFonts w:eastAsia="Times New Roman"/>
          <w:sz w:val="24"/>
          <w:szCs w:val="24"/>
          <w:u w:val="single"/>
        </w:rPr>
        <w:t>Long Term Two Enhanced Surface Water Treatment Rule</w:t>
      </w:r>
    </w:p>
    <w:p w14:paraId="281A63B6" w14:textId="77777777" w:rsidR="004647B9" w:rsidRPr="00D04C4C" w:rsidRDefault="004647B9" w:rsidP="003E2F35">
      <w:pPr>
        <w:rPr>
          <w:sz w:val="24"/>
          <w:szCs w:val="24"/>
        </w:rPr>
      </w:pPr>
    </w:p>
    <w:p w14:paraId="281A63B7" w14:textId="77777777" w:rsidR="004647B9" w:rsidRPr="00D04C4C" w:rsidRDefault="00E2436F" w:rsidP="003E2F35">
      <w:pPr>
        <w:numPr>
          <w:ilvl w:val="0"/>
          <w:numId w:val="679"/>
        </w:numPr>
        <w:tabs>
          <w:tab w:val="left" w:pos="1640"/>
        </w:tabs>
        <w:ind w:left="1640" w:hanging="460"/>
        <w:rPr>
          <w:rFonts w:eastAsia="Times New Roman"/>
          <w:sz w:val="24"/>
          <w:szCs w:val="24"/>
        </w:rPr>
      </w:pPr>
      <w:r w:rsidRPr="00D04C4C">
        <w:rPr>
          <w:rFonts w:eastAsia="Times New Roman"/>
          <w:sz w:val="24"/>
          <w:szCs w:val="24"/>
          <w:u w:val="single"/>
        </w:rPr>
        <w:t>General Requirements</w:t>
      </w:r>
      <w:r w:rsidRPr="00D04C4C">
        <w:rPr>
          <w:rFonts w:eastAsia="Times New Roman"/>
          <w:sz w:val="24"/>
          <w:szCs w:val="24"/>
        </w:rPr>
        <w:t>.</w:t>
      </w:r>
    </w:p>
    <w:p w14:paraId="281A63B9" w14:textId="77777777" w:rsidR="004647B9" w:rsidRPr="00D04C4C" w:rsidRDefault="00E2436F" w:rsidP="003E2F35">
      <w:pPr>
        <w:numPr>
          <w:ilvl w:val="1"/>
          <w:numId w:val="679"/>
        </w:numPr>
        <w:tabs>
          <w:tab w:val="left" w:pos="1977"/>
        </w:tabs>
        <w:ind w:left="1540" w:hanging="5"/>
        <w:jc w:val="both"/>
        <w:rPr>
          <w:rFonts w:eastAsia="Times New Roman"/>
          <w:sz w:val="24"/>
          <w:szCs w:val="24"/>
        </w:rPr>
      </w:pPr>
      <w:r w:rsidRPr="00D04C4C">
        <w:rPr>
          <w:rFonts w:eastAsia="Times New Roman"/>
          <w:sz w:val="24"/>
          <w:szCs w:val="24"/>
        </w:rPr>
        <w:t xml:space="preserve">310 CMR 22.20G establishes or extends Treatment Technique requirements in </w:t>
      </w:r>
      <w:r w:rsidRPr="00D04C4C">
        <w:rPr>
          <w:rFonts w:eastAsia="Times New Roman"/>
          <w:i/>
          <w:iCs/>
          <w:sz w:val="24"/>
          <w:szCs w:val="24"/>
        </w:rPr>
        <w:t>lieu</w:t>
      </w:r>
      <w:r w:rsidRPr="00D04C4C">
        <w:rPr>
          <w:rFonts w:eastAsia="Times New Roman"/>
          <w:sz w:val="24"/>
          <w:szCs w:val="24"/>
        </w:rPr>
        <w:t xml:space="preserve"> of Maximum Contaminant Levels for </w:t>
      </w:r>
      <w:r w:rsidRPr="00D04C4C">
        <w:rPr>
          <w:rFonts w:eastAsia="Times New Roman"/>
          <w:i/>
          <w:iCs/>
          <w:sz w:val="24"/>
          <w:szCs w:val="24"/>
        </w:rPr>
        <w:t>Cryptosporidium</w:t>
      </w:r>
      <w:r w:rsidRPr="00D04C4C">
        <w:rPr>
          <w:rFonts w:eastAsia="Times New Roman"/>
          <w:sz w:val="24"/>
          <w:szCs w:val="24"/>
        </w:rPr>
        <w:t>. These requirements are in addition to requirements for Filtration and Disinfection in 310 CMR 22.20A, 22.20D, and 22.20F.</w:t>
      </w:r>
    </w:p>
    <w:p w14:paraId="281A63BB" w14:textId="77777777" w:rsidR="004647B9" w:rsidRPr="00D04C4C" w:rsidRDefault="00E2436F" w:rsidP="003E2F35">
      <w:pPr>
        <w:numPr>
          <w:ilvl w:val="1"/>
          <w:numId w:val="679"/>
        </w:numPr>
        <w:tabs>
          <w:tab w:val="left" w:pos="1971"/>
        </w:tabs>
        <w:ind w:left="1540" w:hanging="5"/>
        <w:rPr>
          <w:rFonts w:eastAsia="Times New Roman"/>
          <w:sz w:val="24"/>
          <w:szCs w:val="24"/>
        </w:rPr>
      </w:pPr>
      <w:r w:rsidRPr="00D04C4C">
        <w:rPr>
          <w:rFonts w:eastAsia="Times New Roman"/>
          <w:sz w:val="24"/>
          <w:szCs w:val="24"/>
        </w:rPr>
        <w:t>Applicability. 310 CMR 22.20G applies to all suppliers of water using a Surface Water Source, or groundwater source under the direct influence of surface water.</w:t>
      </w:r>
    </w:p>
    <w:p w14:paraId="281A63BC" w14:textId="77777777" w:rsidR="004647B9" w:rsidRDefault="004647B9" w:rsidP="003E2F35">
      <w:pPr>
        <w:sectPr w:rsidR="004647B9" w:rsidSect="00EF630C">
          <w:pgSz w:w="12240" w:h="20180"/>
          <w:pgMar w:top="708" w:right="1440" w:bottom="1440" w:left="620" w:header="0" w:footer="0" w:gutter="0"/>
          <w:cols w:space="720"/>
        </w:sectPr>
      </w:pPr>
    </w:p>
    <w:p w14:paraId="281A63BD" w14:textId="77777777" w:rsidR="004647B9" w:rsidRDefault="00E2436F">
      <w:pPr>
        <w:tabs>
          <w:tab w:val="left" w:pos="160"/>
        </w:tabs>
        <w:ind w:right="20"/>
        <w:jc w:val="center"/>
        <w:rPr>
          <w:sz w:val="20"/>
          <w:szCs w:val="20"/>
        </w:rPr>
      </w:pPr>
      <w:bookmarkStart w:id="286" w:name="page290"/>
      <w:bookmarkEnd w:id="28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3BE" w14:textId="77777777" w:rsidR="004647B9" w:rsidRDefault="004647B9" w:rsidP="003E2F35">
      <w:pPr>
        <w:rPr>
          <w:sz w:val="20"/>
          <w:szCs w:val="20"/>
        </w:rPr>
      </w:pPr>
    </w:p>
    <w:p w14:paraId="281A63BF" w14:textId="77777777" w:rsidR="004647B9" w:rsidRDefault="004647B9" w:rsidP="003E2F35">
      <w:pPr>
        <w:rPr>
          <w:sz w:val="20"/>
          <w:szCs w:val="20"/>
        </w:rPr>
      </w:pPr>
    </w:p>
    <w:p w14:paraId="281A63C0" w14:textId="77777777" w:rsidR="004647B9" w:rsidRDefault="00E2436F" w:rsidP="003E2F35">
      <w:pPr>
        <w:tabs>
          <w:tab w:val="left" w:pos="940"/>
        </w:tabs>
        <w:rPr>
          <w:sz w:val="20"/>
          <w:szCs w:val="20"/>
        </w:rPr>
      </w:pPr>
      <w:r>
        <w:rPr>
          <w:rFonts w:eastAsia="Times New Roman"/>
          <w:sz w:val="24"/>
          <w:szCs w:val="24"/>
        </w:rPr>
        <w:t>22.20G:</w:t>
      </w:r>
      <w:r>
        <w:rPr>
          <w:rFonts w:eastAsia="Times New Roman"/>
          <w:sz w:val="24"/>
          <w:szCs w:val="24"/>
        </w:rPr>
        <w:tab/>
        <w:t>continued</w:t>
      </w:r>
    </w:p>
    <w:p w14:paraId="281A63C1" w14:textId="77777777" w:rsidR="004647B9" w:rsidRDefault="004647B9" w:rsidP="003E2F35">
      <w:pPr>
        <w:rPr>
          <w:sz w:val="20"/>
          <w:szCs w:val="20"/>
        </w:rPr>
      </w:pPr>
    </w:p>
    <w:p w14:paraId="281A63C2" w14:textId="77777777" w:rsidR="004647B9" w:rsidRPr="00D04C4C" w:rsidRDefault="00E2436F" w:rsidP="003E2F35">
      <w:pPr>
        <w:numPr>
          <w:ilvl w:val="1"/>
          <w:numId w:val="680"/>
        </w:numPr>
        <w:tabs>
          <w:tab w:val="left" w:pos="2447"/>
        </w:tabs>
        <w:ind w:left="1900" w:hanging="5"/>
        <w:jc w:val="both"/>
        <w:rPr>
          <w:rFonts w:eastAsia="Times New Roman"/>
          <w:sz w:val="24"/>
          <w:szCs w:val="24"/>
        </w:rPr>
      </w:pPr>
      <w:r w:rsidRPr="00D04C4C">
        <w:rPr>
          <w:rFonts w:eastAsia="Times New Roman"/>
          <w:sz w:val="24"/>
          <w:szCs w:val="24"/>
        </w:rPr>
        <w:t>Wholesale Systems, as defined in 310 CMR 22.02, must comply with the requirements of 310 CMR 22.20G based on the population of the largest system in the Combined Distribution System.</w:t>
      </w:r>
    </w:p>
    <w:p w14:paraId="281A63C4" w14:textId="77777777" w:rsidR="004647B9" w:rsidRPr="00D04C4C" w:rsidRDefault="00E2436F" w:rsidP="003E2F35">
      <w:pPr>
        <w:numPr>
          <w:ilvl w:val="1"/>
          <w:numId w:val="680"/>
        </w:numPr>
        <w:tabs>
          <w:tab w:val="left" w:pos="2219"/>
        </w:tabs>
        <w:ind w:left="1900" w:hanging="5"/>
        <w:jc w:val="both"/>
        <w:rPr>
          <w:rFonts w:eastAsia="Times New Roman"/>
          <w:sz w:val="24"/>
          <w:szCs w:val="24"/>
        </w:rPr>
      </w:pPr>
      <w:r w:rsidRPr="00D04C4C">
        <w:rPr>
          <w:rFonts w:eastAsia="Times New Roman"/>
          <w:sz w:val="24"/>
          <w:szCs w:val="24"/>
        </w:rPr>
        <w:t>The requirements of 310 CMR 22.20G for filtered systems apply to systems required by National Primary Drinking Water Regulations and 310 CMR 22.00 to provide Filtration treatment, whether or not the system is currently operating a Filtration system.</w:t>
      </w:r>
    </w:p>
    <w:p w14:paraId="281A63C8" w14:textId="339C87BC" w:rsidR="004647B9" w:rsidRPr="002E15BB" w:rsidRDefault="00E2436F" w:rsidP="003E2F35">
      <w:pPr>
        <w:numPr>
          <w:ilvl w:val="1"/>
          <w:numId w:val="680"/>
        </w:numPr>
        <w:tabs>
          <w:tab w:val="left" w:pos="2210"/>
        </w:tabs>
        <w:ind w:left="1900" w:hanging="5"/>
        <w:jc w:val="both"/>
        <w:rPr>
          <w:rFonts w:eastAsia="Times New Roman"/>
          <w:sz w:val="24"/>
          <w:szCs w:val="24"/>
        </w:rPr>
      </w:pPr>
      <w:r w:rsidRPr="00D04C4C">
        <w:rPr>
          <w:rFonts w:eastAsia="Times New Roman"/>
          <w:sz w:val="24"/>
          <w:szCs w:val="24"/>
        </w:rPr>
        <w:t>The requirements of 310 CMR 22.20G for unfiltered systems apply only to unfiltered systems that timely met and continue to meet the Filtration avoidance criteria in</w:t>
      </w:r>
      <w:r w:rsidR="002E15BB">
        <w:rPr>
          <w:rFonts w:eastAsia="Times New Roman"/>
          <w:sz w:val="24"/>
          <w:szCs w:val="24"/>
        </w:rPr>
        <w:t xml:space="preserve"> 310 </w:t>
      </w:r>
      <w:r w:rsidRPr="002E15BB">
        <w:rPr>
          <w:rFonts w:eastAsia="Times New Roman"/>
          <w:sz w:val="24"/>
          <w:szCs w:val="24"/>
        </w:rPr>
        <w:t>CMR 22.20A, 22.20D, and 22.20F, as applicable.</w:t>
      </w:r>
    </w:p>
    <w:p w14:paraId="281A63CA" w14:textId="77777777" w:rsidR="004647B9" w:rsidRPr="00D04C4C" w:rsidRDefault="00E2436F" w:rsidP="003E2F35">
      <w:pPr>
        <w:numPr>
          <w:ilvl w:val="0"/>
          <w:numId w:val="681"/>
        </w:numPr>
        <w:tabs>
          <w:tab w:val="left" w:pos="1977"/>
        </w:tabs>
        <w:ind w:left="1540" w:hanging="5"/>
        <w:rPr>
          <w:rFonts w:eastAsia="Times New Roman"/>
          <w:sz w:val="24"/>
          <w:szCs w:val="24"/>
        </w:rPr>
      </w:pPr>
      <w:r w:rsidRPr="00D04C4C">
        <w:rPr>
          <w:rFonts w:eastAsia="Times New Roman"/>
          <w:sz w:val="24"/>
          <w:szCs w:val="24"/>
          <w:u w:val="single"/>
        </w:rPr>
        <w:t>Requirements</w:t>
      </w:r>
      <w:r w:rsidRPr="00D04C4C">
        <w:rPr>
          <w:rFonts w:eastAsia="Times New Roman"/>
          <w:sz w:val="24"/>
          <w:szCs w:val="24"/>
        </w:rPr>
        <w:t>. Systems subject to 310 CMR 22.20G must comply with the following requirements:</w:t>
      </w:r>
    </w:p>
    <w:p w14:paraId="281A63CD" w14:textId="59952CFE" w:rsidR="004647B9" w:rsidRPr="00D04C4C" w:rsidRDefault="00E2436F" w:rsidP="003E2F35">
      <w:pPr>
        <w:numPr>
          <w:ilvl w:val="1"/>
          <w:numId w:val="681"/>
        </w:numPr>
        <w:tabs>
          <w:tab w:val="left" w:pos="2253"/>
        </w:tabs>
        <w:ind w:left="1900" w:hanging="5"/>
        <w:jc w:val="both"/>
        <w:rPr>
          <w:sz w:val="24"/>
          <w:szCs w:val="24"/>
        </w:rPr>
      </w:pPr>
      <w:r w:rsidRPr="00D04C4C">
        <w:rPr>
          <w:rFonts w:eastAsia="Times New Roman"/>
          <w:sz w:val="24"/>
          <w:szCs w:val="24"/>
        </w:rPr>
        <w:t xml:space="preserve">Systems must conduct an initial and a second round of source water monitoring for each plant supplied by a Surface Water Source, or groundwater source under the direct influence of surface water. This monitoring may include sampling for </w:t>
      </w:r>
      <w:r w:rsidRPr="00D04C4C">
        <w:rPr>
          <w:rFonts w:eastAsia="Times New Roman"/>
          <w:i/>
          <w:iCs/>
          <w:sz w:val="24"/>
          <w:szCs w:val="24"/>
        </w:rPr>
        <w:t>Cryptosporidium</w:t>
      </w:r>
      <w:r w:rsidRPr="00D04C4C">
        <w:rPr>
          <w:rFonts w:eastAsia="Times New Roman"/>
          <w:sz w:val="24"/>
          <w:szCs w:val="24"/>
        </w:rPr>
        <w:t>,</w:t>
      </w:r>
      <w:r w:rsidR="00D04C4C" w:rsidRPr="00D04C4C">
        <w:rPr>
          <w:rFonts w:eastAsia="Times New Roman"/>
          <w:sz w:val="24"/>
          <w:szCs w:val="24"/>
        </w:rPr>
        <w:t xml:space="preserve"> </w:t>
      </w:r>
      <w:r w:rsidRPr="00D04C4C">
        <w:rPr>
          <w:rFonts w:eastAsia="Times New Roman"/>
          <w:i/>
          <w:iCs/>
          <w:sz w:val="24"/>
          <w:szCs w:val="24"/>
        </w:rPr>
        <w:t>E. coli</w:t>
      </w:r>
      <w:r w:rsidRPr="00D04C4C">
        <w:rPr>
          <w:rFonts w:eastAsia="Times New Roman"/>
          <w:sz w:val="24"/>
          <w:szCs w:val="24"/>
        </w:rPr>
        <w:t>, and Turbidity as described in 310 CMR 22.20G(2) through (7), to determine what</w:t>
      </w:r>
      <w:r w:rsidRPr="00D04C4C">
        <w:rPr>
          <w:rFonts w:eastAsia="Times New Roman"/>
          <w:i/>
          <w:iCs/>
          <w:sz w:val="24"/>
          <w:szCs w:val="24"/>
        </w:rPr>
        <w:t xml:space="preserve"> </w:t>
      </w:r>
      <w:r w:rsidRPr="00D04C4C">
        <w:rPr>
          <w:rFonts w:eastAsia="Times New Roman"/>
          <w:sz w:val="24"/>
          <w:szCs w:val="24"/>
        </w:rPr>
        <w:t xml:space="preserve">level, if any, of additional </w:t>
      </w:r>
      <w:r w:rsidRPr="00D04C4C">
        <w:rPr>
          <w:rFonts w:eastAsia="Times New Roman"/>
          <w:i/>
          <w:iCs/>
          <w:sz w:val="24"/>
          <w:szCs w:val="24"/>
        </w:rPr>
        <w:t>Cryptosporidium</w:t>
      </w:r>
      <w:r w:rsidRPr="00D04C4C">
        <w:rPr>
          <w:rFonts w:eastAsia="Times New Roman"/>
          <w:sz w:val="24"/>
          <w:szCs w:val="24"/>
        </w:rPr>
        <w:t xml:space="preserve"> treatment the public water supplier must provide.</w:t>
      </w:r>
    </w:p>
    <w:p w14:paraId="281A63D0" w14:textId="29B06025" w:rsidR="004647B9" w:rsidRPr="004A1E1F" w:rsidRDefault="00E2436F" w:rsidP="003E2F35">
      <w:pPr>
        <w:numPr>
          <w:ilvl w:val="0"/>
          <w:numId w:val="682"/>
        </w:numPr>
        <w:tabs>
          <w:tab w:val="left" w:pos="2274"/>
        </w:tabs>
        <w:ind w:left="1900" w:hanging="5"/>
        <w:jc w:val="both"/>
        <w:rPr>
          <w:rFonts w:eastAsia="Times New Roman"/>
          <w:sz w:val="24"/>
          <w:szCs w:val="24"/>
        </w:rPr>
      </w:pPr>
      <w:r w:rsidRPr="00D04C4C">
        <w:rPr>
          <w:rFonts w:eastAsia="Times New Roman"/>
          <w:sz w:val="24"/>
          <w:szCs w:val="24"/>
        </w:rPr>
        <w:t>Systems that plan to make a significant change to their Disinfection practice must develop Disinfection Profiles and calculate Disinfection benchmarks, as described in</w:t>
      </w:r>
      <w:r w:rsidR="004A1E1F">
        <w:rPr>
          <w:rFonts w:eastAsia="Times New Roman"/>
          <w:sz w:val="24"/>
          <w:szCs w:val="24"/>
        </w:rPr>
        <w:t xml:space="preserve"> 310 </w:t>
      </w:r>
      <w:r w:rsidRPr="004A1E1F">
        <w:rPr>
          <w:rFonts w:eastAsia="Times New Roman"/>
          <w:sz w:val="24"/>
          <w:szCs w:val="24"/>
        </w:rPr>
        <w:t>CMR 22.20G(9) through (10).</w:t>
      </w:r>
    </w:p>
    <w:p w14:paraId="281A63D4" w14:textId="6B10D5E2" w:rsidR="004647B9" w:rsidRPr="00846CFF" w:rsidRDefault="00E2436F" w:rsidP="003E2F35">
      <w:pPr>
        <w:numPr>
          <w:ilvl w:val="0"/>
          <w:numId w:val="683"/>
        </w:numPr>
        <w:tabs>
          <w:tab w:val="left" w:pos="2253"/>
        </w:tabs>
        <w:ind w:left="1900" w:hanging="5"/>
        <w:jc w:val="both"/>
        <w:rPr>
          <w:rFonts w:eastAsia="Times New Roman"/>
          <w:sz w:val="24"/>
          <w:szCs w:val="24"/>
        </w:rPr>
      </w:pPr>
      <w:r w:rsidRPr="00D04C4C">
        <w:rPr>
          <w:rFonts w:eastAsia="Times New Roman"/>
          <w:sz w:val="24"/>
          <w:szCs w:val="24"/>
        </w:rPr>
        <w:t xml:space="preserve">Filtered systems must determine their </w:t>
      </w:r>
      <w:r w:rsidRPr="00D04C4C">
        <w:rPr>
          <w:rFonts w:eastAsia="Times New Roman"/>
          <w:i/>
          <w:iCs/>
          <w:sz w:val="24"/>
          <w:szCs w:val="24"/>
        </w:rPr>
        <w:t>Cryptosporidium</w:t>
      </w:r>
      <w:r w:rsidRPr="00D04C4C">
        <w:rPr>
          <w:rFonts w:eastAsia="Times New Roman"/>
          <w:sz w:val="24"/>
          <w:szCs w:val="24"/>
        </w:rPr>
        <w:t xml:space="preserve"> treatment bin classification as described in 310 CMR 22.20G(11) and provide additional treatment for</w:t>
      </w:r>
      <w:r w:rsidR="00846CFF">
        <w:rPr>
          <w:rFonts w:eastAsia="Times New Roman"/>
          <w:sz w:val="24"/>
          <w:szCs w:val="24"/>
        </w:rPr>
        <w:t xml:space="preserve"> </w:t>
      </w:r>
      <w:r w:rsidRPr="00846CFF">
        <w:rPr>
          <w:rFonts w:eastAsia="Times New Roman"/>
          <w:i/>
          <w:iCs/>
          <w:sz w:val="24"/>
          <w:szCs w:val="24"/>
        </w:rPr>
        <w:t>Cryptosporidium</w:t>
      </w:r>
      <w:r w:rsidRPr="00846CFF">
        <w:rPr>
          <w:rFonts w:eastAsia="Times New Roman"/>
          <w:sz w:val="24"/>
          <w:szCs w:val="24"/>
        </w:rPr>
        <w:t>, if required, as described in 310 CMR 22.20G(12). All unfiltered</w:t>
      </w:r>
      <w:r w:rsidRPr="00846CFF">
        <w:rPr>
          <w:rFonts w:eastAsia="Times New Roman"/>
          <w:i/>
          <w:iCs/>
          <w:sz w:val="24"/>
          <w:szCs w:val="24"/>
        </w:rPr>
        <w:t xml:space="preserve"> </w:t>
      </w:r>
      <w:r w:rsidRPr="00846CFF">
        <w:rPr>
          <w:rFonts w:eastAsia="Times New Roman"/>
          <w:sz w:val="24"/>
          <w:szCs w:val="24"/>
        </w:rPr>
        <w:t xml:space="preserve">systems must provide treatment for </w:t>
      </w:r>
      <w:r w:rsidRPr="00846CFF">
        <w:rPr>
          <w:rFonts w:eastAsia="Times New Roman"/>
          <w:i/>
          <w:iCs/>
          <w:sz w:val="24"/>
          <w:szCs w:val="24"/>
        </w:rPr>
        <w:t>Cryptosporidium</w:t>
      </w:r>
      <w:r w:rsidRPr="00846CFF">
        <w:rPr>
          <w:rFonts w:eastAsia="Times New Roman"/>
          <w:sz w:val="24"/>
          <w:szCs w:val="24"/>
        </w:rPr>
        <w:t xml:space="preserve"> as described in 310 CMR 22.20G(13). Filtered and unfiltered systems must implement </w:t>
      </w:r>
      <w:r w:rsidRPr="00846CFF">
        <w:rPr>
          <w:rFonts w:eastAsia="Times New Roman"/>
          <w:i/>
          <w:iCs/>
          <w:sz w:val="24"/>
          <w:szCs w:val="24"/>
        </w:rPr>
        <w:t>Cryptosporidium</w:t>
      </w:r>
      <w:r w:rsidRPr="00846CFF">
        <w:rPr>
          <w:rFonts w:eastAsia="Times New Roman"/>
          <w:sz w:val="24"/>
          <w:szCs w:val="24"/>
        </w:rPr>
        <w:t xml:space="preserve"> treatment according to the schedule in 310 CMR 22.20G(14).</w:t>
      </w:r>
    </w:p>
    <w:p w14:paraId="281A63D8" w14:textId="7752D244" w:rsidR="004647B9" w:rsidRPr="004A1E1F" w:rsidRDefault="00E2436F" w:rsidP="003E2F35">
      <w:pPr>
        <w:numPr>
          <w:ilvl w:val="2"/>
          <w:numId w:val="684"/>
        </w:numPr>
        <w:tabs>
          <w:tab w:val="left" w:pos="2346"/>
        </w:tabs>
        <w:ind w:left="1900" w:hanging="5"/>
        <w:jc w:val="both"/>
        <w:rPr>
          <w:rFonts w:eastAsia="Times New Roman"/>
          <w:sz w:val="24"/>
          <w:szCs w:val="24"/>
        </w:rPr>
      </w:pPr>
      <w:r w:rsidRPr="00D04C4C">
        <w:rPr>
          <w:rFonts w:eastAsia="Times New Roman"/>
          <w:sz w:val="24"/>
          <w:szCs w:val="24"/>
        </w:rPr>
        <w:t>Systems with uncovered finished water storage facilities must comply with the requirements to cover the facility or treat the discharge from the facility as described in</w:t>
      </w:r>
      <w:r w:rsidR="004A1E1F">
        <w:rPr>
          <w:rFonts w:eastAsia="Times New Roman"/>
          <w:sz w:val="24"/>
          <w:szCs w:val="24"/>
        </w:rPr>
        <w:t xml:space="preserve"> 310 </w:t>
      </w:r>
      <w:r w:rsidRPr="004A1E1F">
        <w:rPr>
          <w:rFonts w:eastAsia="Times New Roman"/>
          <w:sz w:val="24"/>
          <w:szCs w:val="24"/>
        </w:rPr>
        <w:t>CMR 22.20G(15).</w:t>
      </w:r>
    </w:p>
    <w:p w14:paraId="281A63DB" w14:textId="131B1452" w:rsidR="004647B9" w:rsidRPr="004A1E1F" w:rsidRDefault="00E2436F" w:rsidP="003E2F35">
      <w:pPr>
        <w:numPr>
          <w:ilvl w:val="2"/>
          <w:numId w:val="685"/>
        </w:numPr>
        <w:tabs>
          <w:tab w:val="left" w:pos="2442"/>
        </w:tabs>
        <w:ind w:left="1900" w:hanging="5"/>
        <w:jc w:val="both"/>
        <w:rPr>
          <w:rFonts w:eastAsia="Times New Roman"/>
          <w:sz w:val="24"/>
          <w:szCs w:val="24"/>
        </w:rPr>
      </w:pPr>
      <w:r w:rsidRPr="00D04C4C">
        <w:rPr>
          <w:rFonts w:eastAsia="Times New Roman"/>
          <w:sz w:val="24"/>
          <w:szCs w:val="24"/>
        </w:rPr>
        <w:t xml:space="preserve">Systems required to provide additional treatment for </w:t>
      </w:r>
      <w:r w:rsidRPr="00D04C4C">
        <w:rPr>
          <w:rFonts w:eastAsia="Times New Roman"/>
          <w:i/>
          <w:iCs/>
          <w:sz w:val="24"/>
          <w:szCs w:val="24"/>
        </w:rPr>
        <w:t>Cryptosporidium</w:t>
      </w:r>
      <w:r w:rsidRPr="00D04C4C">
        <w:rPr>
          <w:rFonts w:eastAsia="Times New Roman"/>
          <w:sz w:val="24"/>
          <w:szCs w:val="24"/>
        </w:rPr>
        <w:t xml:space="preserve"> must implement microbial toolbox options that are designed and operated as described in</w:t>
      </w:r>
      <w:r w:rsidR="004A1E1F">
        <w:rPr>
          <w:rFonts w:eastAsia="Times New Roman"/>
          <w:sz w:val="24"/>
          <w:szCs w:val="24"/>
        </w:rPr>
        <w:t xml:space="preserve"> 310 </w:t>
      </w:r>
      <w:r w:rsidRPr="004A1E1F">
        <w:rPr>
          <w:rFonts w:eastAsia="Times New Roman"/>
          <w:sz w:val="24"/>
          <w:szCs w:val="24"/>
        </w:rPr>
        <w:t>CMR 22.20G(19) through (23).</w:t>
      </w:r>
    </w:p>
    <w:p w14:paraId="281A63DD" w14:textId="77777777" w:rsidR="004647B9" w:rsidRPr="00D04C4C" w:rsidRDefault="00E2436F" w:rsidP="003E2F35">
      <w:pPr>
        <w:numPr>
          <w:ilvl w:val="2"/>
          <w:numId w:val="686"/>
        </w:numPr>
        <w:tabs>
          <w:tab w:val="left" w:pos="2224"/>
        </w:tabs>
        <w:ind w:left="1900" w:hanging="5"/>
        <w:rPr>
          <w:rFonts w:eastAsia="Times New Roman"/>
          <w:sz w:val="24"/>
          <w:szCs w:val="24"/>
        </w:rPr>
      </w:pPr>
      <w:r w:rsidRPr="00D04C4C">
        <w:rPr>
          <w:rFonts w:eastAsia="Times New Roman"/>
          <w:sz w:val="24"/>
          <w:szCs w:val="24"/>
        </w:rPr>
        <w:t>Systems must comply with the applicable recordkeeping and reporting requirements described in 310 CMR 22.20G(16) and (17).</w:t>
      </w:r>
    </w:p>
    <w:p w14:paraId="281A63DE" w14:textId="77777777" w:rsidR="004647B9" w:rsidRPr="00D04C4C" w:rsidRDefault="004647B9" w:rsidP="003E2F35">
      <w:pPr>
        <w:rPr>
          <w:rFonts w:eastAsia="Times New Roman"/>
          <w:sz w:val="24"/>
          <w:szCs w:val="24"/>
        </w:rPr>
      </w:pPr>
    </w:p>
    <w:p w14:paraId="281A63DF" w14:textId="77777777" w:rsidR="004647B9" w:rsidRPr="00D04C4C" w:rsidRDefault="00E2436F" w:rsidP="003E2F35">
      <w:pPr>
        <w:numPr>
          <w:ilvl w:val="0"/>
          <w:numId w:val="687"/>
        </w:numPr>
        <w:tabs>
          <w:tab w:val="left" w:pos="1640"/>
        </w:tabs>
        <w:ind w:left="1640" w:hanging="460"/>
        <w:rPr>
          <w:rFonts w:eastAsia="Times New Roman"/>
          <w:sz w:val="24"/>
          <w:szCs w:val="24"/>
        </w:rPr>
      </w:pPr>
      <w:r w:rsidRPr="00D04C4C">
        <w:rPr>
          <w:rFonts w:eastAsia="Times New Roman"/>
          <w:sz w:val="24"/>
          <w:szCs w:val="24"/>
          <w:u w:val="single"/>
        </w:rPr>
        <w:t>Source Water Monitoring</w:t>
      </w:r>
      <w:r w:rsidRPr="00D04C4C">
        <w:rPr>
          <w:rFonts w:eastAsia="Times New Roman"/>
          <w:sz w:val="24"/>
          <w:szCs w:val="24"/>
        </w:rPr>
        <w:t>.</w:t>
      </w:r>
    </w:p>
    <w:p w14:paraId="281A63E1" w14:textId="77777777" w:rsidR="004647B9" w:rsidRPr="00D04C4C" w:rsidRDefault="00E2436F" w:rsidP="003E2F35">
      <w:pPr>
        <w:numPr>
          <w:ilvl w:val="1"/>
          <w:numId w:val="687"/>
        </w:numPr>
        <w:tabs>
          <w:tab w:val="left" w:pos="2085"/>
        </w:tabs>
        <w:ind w:left="1540" w:hanging="5"/>
        <w:jc w:val="both"/>
        <w:rPr>
          <w:rFonts w:eastAsia="Times New Roman"/>
          <w:sz w:val="24"/>
          <w:szCs w:val="24"/>
        </w:rPr>
      </w:pPr>
      <w:r w:rsidRPr="00D04C4C">
        <w:rPr>
          <w:rFonts w:eastAsia="Times New Roman"/>
          <w:sz w:val="24"/>
          <w:szCs w:val="24"/>
          <w:u w:val="single"/>
        </w:rPr>
        <w:t>Initial Round of Source Water Monitoring</w:t>
      </w:r>
      <w:r w:rsidRPr="00D04C4C">
        <w:rPr>
          <w:rFonts w:eastAsia="Times New Roman"/>
          <w:sz w:val="24"/>
          <w:szCs w:val="24"/>
        </w:rPr>
        <w:t>. Systems must conduct the following monitoring on the schedule in 310 CMR 22.20G(2)(c) unless they meet the monitoring exemption criteria in 310 CMR 22.20G(2)(d).</w:t>
      </w:r>
    </w:p>
    <w:p w14:paraId="281A63E5" w14:textId="7DEAF8F8" w:rsidR="004647B9" w:rsidRPr="00846CFF" w:rsidRDefault="00E2436F" w:rsidP="003E2F35">
      <w:pPr>
        <w:numPr>
          <w:ilvl w:val="2"/>
          <w:numId w:val="687"/>
        </w:numPr>
        <w:tabs>
          <w:tab w:val="left" w:pos="2260"/>
        </w:tabs>
        <w:ind w:left="1901"/>
        <w:rPr>
          <w:rFonts w:eastAsia="Times New Roman"/>
          <w:sz w:val="24"/>
          <w:szCs w:val="24"/>
        </w:rPr>
      </w:pPr>
      <w:r w:rsidRPr="00D04C4C">
        <w:rPr>
          <w:rFonts w:eastAsia="Times New Roman"/>
          <w:sz w:val="24"/>
          <w:szCs w:val="24"/>
        </w:rPr>
        <w:t>Filtered systems serving at least 10,000 people must sample their source water for</w:t>
      </w:r>
      <w:r w:rsidR="00846CFF">
        <w:rPr>
          <w:rFonts w:eastAsia="Times New Roman"/>
          <w:sz w:val="24"/>
          <w:szCs w:val="24"/>
        </w:rPr>
        <w:t xml:space="preserve"> </w:t>
      </w:r>
      <w:r w:rsidRPr="00846CFF">
        <w:rPr>
          <w:rFonts w:eastAsia="Times New Roman"/>
          <w:i/>
          <w:iCs/>
          <w:sz w:val="24"/>
          <w:szCs w:val="24"/>
        </w:rPr>
        <w:t>Cryptosporidium</w:t>
      </w:r>
      <w:r w:rsidRPr="00846CFF">
        <w:rPr>
          <w:rFonts w:eastAsia="Times New Roman"/>
          <w:sz w:val="24"/>
          <w:szCs w:val="24"/>
        </w:rPr>
        <w:t>,</w:t>
      </w:r>
      <w:r w:rsidRPr="00846CFF">
        <w:rPr>
          <w:rFonts w:eastAsia="Times New Roman"/>
          <w:i/>
          <w:iCs/>
          <w:sz w:val="24"/>
          <w:szCs w:val="24"/>
        </w:rPr>
        <w:t xml:space="preserve"> E. coli</w:t>
      </w:r>
      <w:r w:rsidRPr="00846CFF">
        <w:rPr>
          <w:rFonts w:eastAsia="Times New Roman"/>
          <w:sz w:val="24"/>
          <w:szCs w:val="24"/>
        </w:rPr>
        <w:t>, and Turbidity at least monthly for 24 months.</w:t>
      </w:r>
    </w:p>
    <w:p w14:paraId="281A63E7" w14:textId="77777777" w:rsidR="004647B9" w:rsidRPr="00D04C4C" w:rsidRDefault="00E2436F" w:rsidP="003E2F35">
      <w:pPr>
        <w:ind w:left="1900"/>
        <w:rPr>
          <w:sz w:val="24"/>
          <w:szCs w:val="24"/>
        </w:rPr>
      </w:pPr>
      <w:r w:rsidRPr="00D04C4C">
        <w:rPr>
          <w:rFonts w:eastAsia="Times New Roman"/>
          <w:sz w:val="24"/>
          <w:szCs w:val="24"/>
        </w:rPr>
        <w:t xml:space="preserve">2. Unfiltered systems serving at least 10,000 people must sample their source water for </w:t>
      </w:r>
      <w:r w:rsidRPr="00D04C4C">
        <w:rPr>
          <w:rFonts w:eastAsia="Times New Roman"/>
          <w:i/>
          <w:iCs/>
          <w:sz w:val="24"/>
          <w:szCs w:val="24"/>
        </w:rPr>
        <w:t xml:space="preserve">Cryptosporidium </w:t>
      </w:r>
      <w:r w:rsidRPr="00D04C4C">
        <w:rPr>
          <w:rFonts w:eastAsia="Times New Roman"/>
          <w:sz w:val="24"/>
          <w:szCs w:val="24"/>
        </w:rPr>
        <w:t>at least monthly for 24 months.</w:t>
      </w:r>
    </w:p>
    <w:p w14:paraId="281A63E8" w14:textId="77777777" w:rsidR="004647B9" w:rsidRPr="00D04C4C" w:rsidRDefault="00E2436F" w:rsidP="003E2F35">
      <w:pPr>
        <w:numPr>
          <w:ilvl w:val="0"/>
          <w:numId w:val="688"/>
        </w:numPr>
        <w:tabs>
          <w:tab w:val="left" w:pos="2260"/>
        </w:tabs>
        <w:ind w:left="2260" w:hanging="365"/>
        <w:rPr>
          <w:rFonts w:eastAsia="Times New Roman"/>
          <w:sz w:val="24"/>
          <w:szCs w:val="24"/>
        </w:rPr>
      </w:pPr>
      <w:r w:rsidRPr="00D04C4C">
        <w:rPr>
          <w:rFonts w:eastAsia="Times New Roman"/>
          <w:sz w:val="24"/>
          <w:szCs w:val="24"/>
        </w:rPr>
        <w:t xml:space="preserve">a. Filtered systems serving fewer than 10,000 people must sample their source water for </w:t>
      </w:r>
      <w:r w:rsidRPr="00D04C4C">
        <w:rPr>
          <w:rFonts w:eastAsia="Times New Roman"/>
          <w:i/>
          <w:iCs/>
          <w:sz w:val="24"/>
          <w:szCs w:val="24"/>
        </w:rPr>
        <w:t>E. coli</w:t>
      </w:r>
      <w:r w:rsidRPr="00D04C4C">
        <w:rPr>
          <w:rFonts w:eastAsia="Times New Roman"/>
          <w:sz w:val="24"/>
          <w:szCs w:val="24"/>
        </w:rPr>
        <w:t xml:space="preserve"> at least once every two weeks for 12 months.</w:t>
      </w:r>
    </w:p>
    <w:p w14:paraId="281A63E9" w14:textId="77777777" w:rsidR="004647B9" w:rsidRPr="00D04C4C" w:rsidRDefault="00E2436F" w:rsidP="003E2F35">
      <w:pPr>
        <w:ind w:left="2260"/>
        <w:jc w:val="both"/>
        <w:rPr>
          <w:rFonts w:eastAsia="Times New Roman"/>
          <w:sz w:val="24"/>
          <w:szCs w:val="24"/>
        </w:rPr>
      </w:pPr>
      <w:r w:rsidRPr="00D04C4C">
        <w:rPr>
          <w:rFonts w:eastAsia="Times New Roman"/>
          <w:sz w:val="24"/>
          <w:szCs w:val="24"/>
        </w:rPr>
        <w:t xml:space="preserve">b. A filtered system serving fewer than 10,000 people may avoid </w:t>
      </w:r>
      <w:r w:rsidRPr="00D04C4C">
        <w:rPr>
          <w:rFonts w:eastAsia="Times New Roman"/>
          <w:i/>
          <w:iCs/>
          <w:sz w:val="24"/>
          <w:szCs w:val="24"/>
        </w:rPr>
        <w:t>E. coli</w:t>
      </w:r>
      <w:r w:rsidRPr="00D04C4C">
        <w:rPr>
          <w:rFonts w:eastAsia="Times New Roman"/>
          <w:sz w:val="24"/>
          <w:szCs w:val="24"/>
        </w:rPr>
        <w:t xml:space="preserve"> monitoring if the system notifies the Department that it will monitor for </w:t>
      </w:r>
      <w:r w:rsidRPr="00D04C4C">
        <w:rPr>
          <w:rFonts w:eastAsia="Times New Roman"/>
          <w:i/>
          <w:iCs/>
          <w:sz w:val="24"/>
          <w:szCs w:val="24"/>
        </w:rPr>
        <w:t>Cryptosporidium</w:t>
      </w:r>
      <w:r w:rsidRPr="00D04C4C">
        <w:rPr>
          <w:rFonts w:eastAsia="Times New Roman"/>
          <w:sz w:val="24"/>
          <w:szCs w:val="24"/>
        </w:rPr>
        <w:t xml:space="preserve"> as described in 310 CMR 22.20G(2)(a)4. The system must notify the Department no later than three months prior to the date the system is otherwise required to start </w:t>
      </w:r>
      <w:r w:rsidRPr="00D04C4C">
        <w:rPr>
          <w:rFonts w:eastAsia="Times New Roman"/>
          <w:i/>
          <w:iCs/>
          <w:sz w:val="24"/>
          <w:szCs w:val="24"/>
        </w:rPr>
        <w:t>E.</w:t>
      </w:r>
      <w:r w:rsidRPr="00D04C4C">
        <w:rPr>
          <w:rFonts w:eastAsia="Times New Roman"/>
          <w:sz w:val="24"/>
          <w:szCs w:val="24"/>
        </w:rPr>
        <w:t xml:space="preserve"> </w:t>
      </w:r>
      <w:r w:rsidRPr="00D04C4C">
        <w:rPr>
          <w:rFonts w:eastAsia="Times New Roman"/>
          <w:i/>
          <w:iCs/>
          <w:sz w:val="24"/>
          <w:szCs w:val="24"/>
        </w:rPr>
        <w:t xml:space="preserve">coli </w:t>
      </w:r>
      <w:r w:rsidRPr="00D04C4C">
        <w:rPr>
          <w:rFonts w:eastAsia="Times New Roman"/>
          <w:sz w:val="24"/>
          <w:szCs w:val="24"/>
        </w:rPr>
        <w:t>monitoring under 310 CMR 22.20G(2)(c).</w:t>
      </w:r>
    </w:p>
    <w:p w14:paraId="281A63ED" w14:textId="52C2AB17" w:rsidR="004647B9" w:rsidRPr="002E15BB" w:rsidRDefault="00E2436F" w:rsidP="003E2F35">
      <w:pPr>
        <w:numPr>
          <w:ilvl w:val="0"/>
          <w:numId w:val="688"/>
        </w:numPr>
        <w:tabs>
          <w:tab w:val="left" w:pos="2250"/>
        </w:tabs>
        <w:ind w:left="1944"/>
        <w:jc w:val="both"/>
        <w:rPr>
          <w:sz w:val="24"/>
          <w:szCs w:val="24"/>
        </w:rPr>
      </w:pPr>
      <w:r w:rsidRPr="002E15BB">
        <w:rPr>
          <w:rFonts w:eastAsia="Times New Roman"/>
          <w:sz w:val="24"/>
          <w:szCs w:val="24"/>
        </w:rPr>
        <w:t>Filtered systems serving fewer than 10,000 people must sample their source water for</w:t>
      </w:r>
      <w:r w:rsidR="004A1E1F" w:rsidRPr="002E15BB">
        <w:rPr>
          <w:rFonts w:eastAsia="Times New Roman"/>
          <w:sz w:val="24"/>
          <w:szCs w:val="24"/>
        </w:rPr>
        <w:t xml:space="preserve"> </w:t>
      </w:r>
      <w:r w:rsidRPr="002E15BB">
        <w:rPr>
          <w:rFonts w:eastAsia="Times New Roman"/>
          <w:i/>
          <w:iCs/>
          <w:sz w:val="24"/>
          <w:szCs w:val="24"/>
        </w:rPr>
        <w:t xml:space="preserve">Cryptosporidium </w:t>
      </w:r>
      <w:r w:rsidRPr="002E15BB">
        <w:rPr>
          <w:rFonts w:eastAsia="Times New Roman"/>
          <w:sz w:val="24"/>
          <w:szCs w:val="24"/>
        </w:rPr>
        <w:t>at least twice per month for 12 months or at least monthly for 24</w:t>
      </w:r>
      <w:r w:rsidRPr="002E15BB">
        <w:rPr>
          <w:rFonts w:eastAsia="Times New Roman"/>
          <w:i/>
          <w:iCs/>
          <w:sz w:val="24"/>
          <w:szCs w:val="24"/>
        </w:rPr>
        <w:t xml:space="preserve"> </w:t>
      </w:r>
      <w:r w:rsidRPr="002E15BB">
        <w:rPr>
          <w:rFonts w:eastAsia="Times New Roman"/>
          <w:sz w:val="24"/>
          <w:szCs w:val="24"/>
        </w:rPr>
        <w:t>months if they meet one of the following, based on monitoring conducted in accordance with the requirements of 310 CMR 22.20G(2)(a)3.:</w:t>
      </w:r>
    </w:p>
    <w:p w14:paraId="281A63EF" w14:textId="77777777" w:rsidR="004647B9" w:rsidRPr="00D04C4C" w:rsidRDefault="00E2436F" w:rsidP="003E2F35">
      <w:pPr>
        <w:numPr>
          <w:ilvl w:val="0"/>
          <w:numId w:val="689"/>
        </w:numPr>
        <w:tabs>
          <w:tab w:val="left" w:pos="2563"/>
        </w:tabs>
        <w:ind w:left="2260" w:hanging="5"/>
        <w:rPr>
          <w:rFonts w:eastAsia="Times New Roman"/>
          <w:sz w:val="24"/>
          <w:szCs w:val="24"/>
        </w:rPr>
      </w:pPr>
      <w:r w:rsidRPr="00D04C4C">
        <w:rPr>
          <w:rFonts w:eastAsia="Times New Roman"/>
          <w:sz w:val="24"/>
          <w:szCs w:val="24"/>
        </w:rPr>
        <w:t xml:space="preserve">For systems using Lake/Reservoir sources, the annual mean </w:t>
      </w:r>
      <w:r w:rsidRPr="00D04C4C">
        <w:rPr>
          <w:rFonts w:eastAsia="Times New Roman"/>
          <w:i/>
          <w:iCs/>
          <w:sz w:val="24"/>
          <w:szCs w:val="24"/>
        </w:rPr>
        <w:t>E. coli</w:t>
      </w:r>
      <w:r w:rsidRPr="00D04C4C">
        <w:rPr>
          <w:rFonts w:eastAsia="Times New Roman"/>
          <w:sz w:val="24"/>
          <w:szCs w:val="24"/>
        </w:rPr>
        <w:t xml:space="preserve"> concentration is greater than 10 </w:t>
      </w:r>
      <w:r w:rsidRPr="00D04C4C">
        <w:rPr>
          <w:rFonts w:eastAsia="Times New Roman"/>
          <w:i/>
          <w:iCs/>
          <w:sz w:val="24"/>
          <w:szCs w:val="24"/>
        </w:rPr>
        <w:t>E. coli</w:t>
      </w:r>
      <w:r w:rsidRPr="00D04C4C">
        <w:rPr>
          <w:rFonts w:eastAsia="Times New Roman"/>
          <w:sz w:val="24"/>
          <w:szCs w:val="24"/>
        </w:rPr>
        <w:t>/ 100 mL.</w:t>
      </w:r>
    </w:p>
    <w:p w14:paraId="281A63F0" w14:textId="77777777" w:rsidR="004647B9" w:rsidRDefault="00E2436F" w:rsidP="003E2F35">
      <w:pPr>
        <w:numPr>
          <w:ilvl w:val="0"/>
          <w:numId w:val="689"/>
        </w:numPr>
        <w:tabs>
          <w:tab w:val="left" w:pos="2582"/>
        </w:tabs>
        <w:ind w:left="2260" w:hanging="5"/>
        <w:rPr>
          <w:rFonts w:eastAsia="Times New Roman"/>
          <w:sz w:val="24"/>
          <w:szCs w:val="24"/>
        </w:rPr>
      </w:pPr>
      <w:r w:rsidRPr="00D04C4C">
        <w:rPr>
          <w:rFonts w:eastAsia="Times New Roman"/>
          <w:sz w:val="24"/>
          <w:szCs w:val="24"/>
        </w:rPr>
        <w:t xml:space="preserve">For systems using flowing stream sources, the annual mean </w:t>
      </w:r>
      <w:r w:rsidRPr="00D04C4C">
        <w:rPr>
          <w:rFonts w:eastAsia="Times New Roman"/>
          <w:i/>
          <w:iCs/>
          <w:sz w:val="24"/>
          <w:szCs w:val="24"/>
        </w:rPr>
        <w:t>E. coli</w:t>
      </w:r>
      <w:r w:rsidRPr="00D04C4C">
        <w:rPr>
          <w:rFonts w:eastAsia="Times New Roman"/>
          <w:sz w:val="24"/>
          <w:szCs w:val="24"/>
        </w:rPr>
        <w:t xml:space="preserve"> concentration is greater than 50 </w:t>
      </w:r>
      <w:r w:rsidRPr="00D04C4C">
        <w:rPr>
          <w:rFonts w:eastAsia="Times New Roman"/>
          <w:i/>
          <w:iCs/>
          <w:sz w:val="24"/>
          <w:szCs w:val="24"/>
        </w:rPr>
        <w:t>E. coli</w:t>
      </w:r>
      <w:r w:rsidRPr="00D04C4C">
        <w:rPr>
          <w:rFonts w:eastAsia="Times New Roman"/>
          <w:sz w:val="24"/>
          <w:szCs w:val="24"/>
        </w:rPr>
        <w:t>/ 100 mL.</w:t>
      </w:r>
    </w:p>
    <w:p w14:paraId="281A63F1" w14:textId="77777777" w:rsidR="004647B9" w:rsidRDefault="004647B9" w:rsidP="003E2F35">
      <w:pPr>
        <w:sectPr w:rsidR="004647B9" w:rsidSect="00EF630C">
          <w:pgSz w:w="12240" w:h="20180"/>
          <w:pgMar w:top="708" w:right="1440" w:bottom="1440" w:left="620" w:header="0" w:footer="0" w:gutter="0"/>
          <w:cols w:space="720"/>
        </w:sectPr>
      </w:pPr>
    </w:p>
    <w:p w14:paraId="281A63F2" w14:textId="77777777" w:rsidR="004647B9" w:rsidRDefault="00E2436F">
      <w:pPr>
        <w:tabs>
          <w:tab w:val="left" w:pos="160"/>
        </w:tabs>
        <w:ind w:right="20"/>
        <w:jc w:val="center"/>
        <w:rPr>
          <w:sz w:val="20"/>
          <w:szCs w:val="20"/>
        </w:rPr>
      </w:pPr>
      <w:bookmarkStart w:id="287" w:name="page291"/>
      <w:bookmarkEnd w:id="28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3F3" w14:textId="77777777" w:rsidR="004647B9" w:rsidRDefault="004647B9" w:rsidP="00C2505C">
      <w:pPr>
        <w:rPr>
          <w:sz w:val="20"/>
          <w:szCs w:val="20"/>
        </w:rPr>
      </w:pPr>
    </w:p>
    <w:p w14:paraId="281A63F4" w14:textId="77777777" w:rsidR="004647B9" w:rsidRDefault="004647B9" w:rsidP="00C2505C">
      <w:pPr>
        <w:rPr>
          <w:sz w:val="20"/>
          <w:szCs w:val="20"/>
        </w:rPr>
      </w:pPr>
    </w:p>
    <w:p w14:paraId="281A63F5" w14:textId="77777777" w:rsidR="004647B9" w:rsidRPr="00C2505C" w:rsidRDefault="00E2436F" w:rsidP="00C2505C">
      <w:pPr>
        <w:tabs>
          <w:tab w:val="left" w:pos="940"/>
        </w:tabs>
        <w:rPr>
          <w:sz w:val="24"/>
          <w:szCs w:val="24"/>
        </w:rPr>
      </w:pPr>
      <w:r w:rsidRPr="00C2505C">
        <w:rPr>
          <w:rFonts w:eastAsia="Times New Roman"/>
          <w:sz w:val="24"/>
          <w:szCs w:val="24"/>
        </w:rPr>
        <w:t>22.20G:</w:t>
      </w:r>
      <w:r w:rsidRPr="00C2505C">
        <w:rPr>
          <w:rFonts w:eastAsia="Times New Roman"/>
          <w:sz w:val="24"/>
          <w:szCs w:val="24"/>
        </w:rPr>
        <w:tab/>
        <w:t>continued</w:t>
      </w:r>
    </w:p>
    <w:p w14:paraId="281A63F6" w14:textId="77777777" w:rsidR="004647B9" w:rsidRDefault="004647B9" w:rsidP="00C2505C">
      <w:pPr>
        <w:rPr>
          <w:sz w:val="20"/>
          <w:szCs w:val="20"/>
        </w:rPr>
      </w:pPr>
    </w:p>
    <w:p w14:paraId="281A63F7" w14:textId="77777777" w:rsidR="004647B9" w:rsidRPr="002E15BB" w:rsidRDefault="00E2436F" w:rsidP="00C2505C">
      <w:pPr>
        <w:numPr>
          <w:ilvl w:val="2"/>
          <w:numId w:val="690"/>
        </w:numPr>
        <w:tabs>
          <w:tab w:val="left" w:pos="2699"/>
        </w:tabs>
        <w:ind w:left="2260" w:hanging="5"/>
        <w:rPr>
          <w:rFonts w:eastAsia="Times New Roman"/>
          <w:sz w:val="24"/>
          <w:szCs w:val="24"/>
        </w:rPr>
      </w:pPr>
      <w:r w:rsidRPr="002E15BB">
        <w:rPr>
          <w:rFonts w:eastAsia="Times New Roman"/>
          <w:sz w:val="24"/>
          <w:szCs w:val="24"/>
        </w:rPr>
        <w:t xml:space="preserve">The system does not conduct </w:t>
      </w:r>
      <w:r w:rsidRPr="002E15BB">
        <w:rPr>
          <w:rFonts w:eastAsia="Times New Roman"/>
          <w:i/>
          <w:iCs/>
          <w:sz w:val="24"/>
          <w:szCs w:val="24"/>
        </w:rPr>
        <w:t>E. coli</w:t>
      </w:r>
      <w:r w:rsidRPr="002E15BB">
        <w:rPr>
          <w:rFonts w:eastAsia="Times New Roman"/>
          <w:sz w:val="24"/>
          <w:szCs w:val="24"/>
        </w:rPr>
        <w:t xml:space="preserve"> monitoring as described in 310 CMR 22.20G(2)(a)3.</w:t>
      </w:r>
    </w:p>
    <w:p w14:paraId="281A63F9" w14:textId="77777777" w:rsidR="004647B9" w:rsidRPr="002E15BB" w:rsidRDefault="00E2436F" w:rsidP="00C2505C">
      <w:pPr>
        <w:numPr>
          <w:ilvl w:val="2"/>
          <w:numId w:val="690"/>
        </w:numPr>
        <w:tabs>
          <w:tab w:val="left" w:pos="2634"/>
        </w:tabs>
        <w:ind w:left="2260" w:hanging="5"/>
        <w:jc w:val="both"/>
        <w:rPr>
          <w:rFonts w:eastAsia="Times New Roman"/>
          <w:sz w:val="24"/>
          <w:szCs w:val="24"/>
        </w:rPr>
      </w:pPr>
      <w:r w:rsidRPr="002E15BB">
        <w:rPr>
          <w:rFonts w:eastAsia="Times New Roman"/>
          <w:sz w:val="24"/>
          <w:szCs w:val="24"/>
        </w:rPr>
        <w:t xml:space="preserve">Systems using Groundwater under the Direct Influence of Surface Water must comply with the requirements of 310 CMR 22.20G(2)(a)4. based on the </w:t>
      </w:r>
      <w:r w:rsidRPr="002E15BB">
        <w:rPr>
          <w:rFonts w:eastAsia="Times New Roman"/>
          <w:i/>
          <w:iCs/>
          <w:sz w:val="24"/>
          <w:szCs w:val="24"/>
        </w:rPr>
        <w:t>E. coli</w:t>
      </w:r>
      <w:r w:rsidRPr="002E15BB">
        <w:rPr>
          <w:rFonts w:eastAsia="Times New Roman"/>
          <w:sz w:val="24"/>
          <w:szCs w:val="24"/>
        </w:rPr>
        <w:t xml:space="preserve"> level that applies to the nearest Surface Water body. If no Surface Water body is nearby, the system must comply based on the requirements that apply to systems using Lake/Reservoir sources.</w:t>
      </w:r>
    </w:p>
    <w:p w14:paraId="281A63FD" w14:textId="6C432F25" w:rsidR="004647B9" w:rsidRPr="002E15BB" w:rsidRDefault="00E2436F" w:rsidP="00C2505C">
      <w:pPr>
        <w:numPr>
          <w:ilvl w:val="1"/>
          <w:numId w:val="691"/>
        </w:numPr>
        <w:tabs>
          <w:tab w:val="left" w:pos="2231"/>
        </w:tabs>
        <w:ind w:left="1900" w:hanging="5"/>
        <w:jc w:val="both"/>
        <w:rPr>
          <w:rFonts w:eastAsia="Times New Roman"/>
          <w:sz w:val="24"/>
          <w:szCs w:val="24"/>
        </w:rPr>
      </w:pPr>
      <w:r w:rsidRPr="002E15BB">
        <w:rPr>
          <w:rFonts w:eastAsia="Times New Roman"/>
          <w:sz w:val="24"/>
          <w:szCs w:val="24"/>
        </w:rPr>
        <w:t xml:space="preserve">For filtered systems serving fewer than 10,000 people, the Department may approve monitoring for an indicator other than </w:t>
      </w:r>
      <w:r w:rsidRPr="002E15BB">
        <w:rPr>
          <w:rFonts w:eastAsia="Times New Roman"/>
          <w:i/>
          <w:iCs/>
          <w:sz w:val="24"/>
          <w:szCs w:val="24"/>
        </w:rPr>
        <w:t>E. coli</w:t>
      </w:r>
      <w:r w:rsidRPr="002E15BB">
        <w:rPr>
          <w:rFonts w:eastAsia="Times New Roman"/>
          <w:sz w:val="24"/>
          <w:szCs w:val="24"/>
        </w:rPr>
        <w:t xml:space="preserve"> under 310 CMR 22.20G(2)(a)3. The Department also may approve an alternative to the </w:t>
      </w:r>
      <w:r w:rsidRPr="002E15BB">
        <w:rPr>
          <w:rFonts w:eastAsia="Times New Roman"/>
          <w:i/>
          <w:iCs/>
          <w:sz w:val="24"/>
          <w:szCs w:val="24"/>
        </w:rPr>
        <w:t>E. coli</w:t>
      </w:r>
      <w:r w:rsidRPr="002E15BB">
        <w:rPr>
          <w:rFonts w:eastAsia="Times New Roman"/>
          <w:sz w:val="24"/>
          <w:szCs w:val="24"/>
        </w:rPr>
        <w:t xml:space="preserve"> concentration as specified in</w:t>
      </w:r>
      <w:r w:rsidR="002E15BB">
        <w:rPr>
          <w:rFonts w:eastAsia="Times New Roman"/>
          <w:sz w:val="24"/>
          <w:szCs w:val="24"/>
        </w:rPr>
        <w:t xml:space="preserve"> 310 </w:t>
      </w:r>
      <w:r w:rsidRPr="002E15BB">
        <w:rPr>
          <w:rFonts w:eastAsia="Times New Roman"/>
          <w:sz w:val="24"/>
          <w:szCs w:val="24"/>
        </w:rPr>
        <w:t xml:space="preserve">CMR 22.20G(2)(a)4.a., b. or d. to trigger </w:t>
      </w:r>
      <w:r w:rsidRPr="002E15BB">
        <w:rPr>
          <w:rFonts w:eastAsia="Times New Roman"/>
          <w:i/>
          <w:iCs/>
          <w:sz w:val="24"/>
          <w:szCs w:val="24"/>
        </w:rPr>
        <w:t>Cryptosporidium</w:t>
      </w:r>
      <w:r w:rsidRPr="002E15BB">
        <w:rPr>
          <w:rFonts w:eastAsia="Times New Roman"/>
          <w:sz w:val="24"/>
          <w:szCs w:val="24"/>
        </w:rPr>
        <w:t xml:space="preserve"> monitoring. This approval by the Department will be provided to the system in writing and will include the basis for the Department's determination that the alternative indicator and/or trigger level will provide a more accurate identification of whether a system will exceed the Bin 1 </w:t>
      </w:r>
      <w:r w:rsidRPr="002E15BB">
        <w:rPr>
          <w:rFonts w:eastAsia="Times New Roman"/>
          <w:i/>
          <w:iCs/>
          <w:sz w:val="24"/>
          <w:szCs w:val="24"/>
        </w:rPr>
        <w:t>Cryptosporidium</w:t>
      </w:r>
      <w:r w:rsidRPr="002E15BB">
        <w:rPr>
          <w:rFonts w:eastAsia="Times New Roman"/>
          <w:sz w:val="24"/>
          <w:szCs w:val="24"/>
        </w:rPr>
        <w:t xml:space="preserve"> level in 310 CMR 22.20G(11).</w:t>
      </w:r>
    </w:p>
    <w:p w14:paraId="281A63FF" w14:textId="77777777" w:rsidR="004647B9" w:rsidRPr="002E15BB" w:rsidRDefault="00E2436F" w:rsidP="00C2505C">
      <w:pPr>
        <w:numPr>
          <w:ilvl w:val="1"/>
          <w:numId w:val="692"/>
        </w:numPr>
        <w:tabs>
          <w:tab w:val="left" w:pos="2224"/>
        </w:tabs>
        <w:ind w:left="1900" w:hanging="5"/>
        <w:jc w:val="both"/>
        <w:rPr>
          <w:rFonts w:eastAsia="Times New Roman"/>
          <w:sz w:val="24"/>
          <w:szCs w:val="24"/>
        </w:rPr>
      </w:pPr>
      <w:r w:rsidRPr="002E15BB">
        <w:rPr>
          <w:rFonts w:eastAsia="Times New Roman"/>
          <w:sz w:val="24"/>
          <w:szCs w:val="24"/>
        </w:rPr>
        <w:t xml:space="preserve">Unfiltered systems serving fewer than 10,000 people must sample their source water for </w:t>
      </w:r>
      <w:r w:rsidRPr="002E15BB">
        <w:rPr>
          <w:rFonts w:eastAsia="Times New Roman"/>
          <w:i/>
          <w:iCs/>
          <w:sz w:val="24"/>
          <w:szCs w:val="24"/>
        </w:rPr>
        <w:t>Cryptosporidium</w:t>
      </w:r>
      <w:r w:rsidRPr="002E15BB">
        <w:rPr>
          <w:rFonts w:eastAsia="Times New Roman"/>
          <w:sz w:val="24"/>
          <w:szCs w:val="24"/>
        </w:rPr>
        <w:t xml:space="preserve"> at least twice per month for 12 months or at least monthly for 24 months.</w:t>
      </w:r>
    </w:p>
    <w:p w14:paraId="281A6401" w14:textId="77777777" w:rsidR="004647B9" w:rsidRPr="002E15BB" w:rsidRDefault="00E2436F" w:rsidP="00C2505C">
      <w:pPr>
        <w:numPr>
          <w:ilvl w:val="1"/>
          <w:numId w:val="692"/>
        </w:numPr>
        <w:tabs>
          <w:tab w:val="left" w:pos="2217"/>
        </w:tabs>
        <w:ind w:left="1900" w:hanging="5"/>
        <w:rPr>
          <w:rFonts w:eastAsia="Times New Roman"/>
          <w:sz w:val="24"/>
          <w:szCs w:val="24"/>
        </w:rPr>
      </w:pPr>
      <w:r w:rsidRPr="002E15BB">
        <w:rPr>
          <w:rFonts w:eastAsia="Times New Roman"/>
          <w:sz w:val="24"/>
          <w:szCs w:val="24"/>
        </w:rPr>
        <w:t>Systems may sample more frequently than required under 310 CMR 22.20G(2) if the sampling frequency is evenly spaced throughout the monitoring period.</w:t>
      </w:r>
    </w:p>
    <w:p w14:paraId="281A6402" w14:textId="77777777" w:rsidR="004647B9" w:rsidRPr="002E15BB" w:rsidRDefault="00E2436F" w:rsidP="00C2505C">
      <w:pPr>
        <w:numPr>
          <w:ilvl w:val="0"/>
          <w:numId w:val="693"/>
        </w:numPr>
        <w:tabs>
          <w:tab w:val="left" w:pos="1985"/>
        </w:tabs>
        <w:ind w:left="1540" w:hanging="5"/>
        <w:jc w:val="both"/>
        <w:rPr>
          <w:rFonts w:eastAsia="Times New Roman"/>
          <w:sz w:val="24"/>
          <w:szCs w:val="24"/>
        </w:rPr>
      </w:pPr>
      <w:r w:rsidRPr="002E15BB">
        <w:rPr>
          <w:rFonts w:eastAsia="Times New Roman"/>
          <w:sz w:val="24"/>
          <w:szCs w:val="24"/>
          <w:u w:val="single"/>
        </w:rPr>
        <w:t>Second Round of Source Water Monitoring</w:t>
      </w:r>
      <w:r w:rsidRPr="002E15BB">
        <w:rPr>
          <w:rFonts w:eastAsia="Times New Roman"/>
          <w:sz w:val="24"/>
          <w:szCs w:val="24"/>
        </w:rPr>
        <w:t>. Systems must conduct a second round of source water monitoring that meets the requirements for monitoring parameters, frequency, and duration described in 310 CMR 22.20G(2)(a), unless they meet the monitoring exemption criteria in 310 CMR 22.20G(2)(d). Systems must conduct this monitoring on the schedule in 310 CMR 22.20G(2)(c).</w:t>
      </w:r>
    </w:p>
    <w:p w14:paraId="281A6405" w14:textId="08F935F6" w:rsidR="004647B9" w:rsidRPr="00DC4D74" w:rsidRDefault="00E2436F" w:rsidP="00C2505C">
      <w:pPr>
        <w:numPr>
          <w:ilvl w:val="0"/>
          <w:numId w:val="693"/>
        </w:numPr>
        <w:tabs>
          <w:tab w:val="left" w:pos="2087"/>
        </w:tabs>
        <w:ind w:left="1540" w:hanging="5"/>
        <w:jc w:val="both"/>
        <w:rPr>
          <w:rFonts w:eastAsia="Times New Roman"/>
          <w:sz w:val="24"/>
          <w:szCs w:val="24"/>
        </w:rPr>
      </w:pPr>
      <w:r>
        <w:rPr>
          <w:rFonts w:eastAsia="Times New Roman"/>
          <w:sz w:val="24"/>
          <w:szCs w:val="24"/>
          <w:u w:val="single"/>
        </w:rPr>
        <w:t>Monitoring Schedule</w:t>
      </w:r>
      <w:r>
        <w:rPr>
          <w:rFonts w:eastAsia="Times New Roman"/>
          <w:sz w:val="24"/>
          <w:szCs w:val="24"/>
        </w:rPr>
        <w:t>. Systems must begin the monitoring required in 310 CMR 22.20G(2)(a) and (b) no later than the month beginning with the date listed in 310 CMR</w:t>
      </w:r>
      <w:r w:rsidR="00DC4D74">
        <w:rPr>
          <w:rFonts w:eastAsia="Times New Roman"/>
          <w:sz w:val="24"/>
          <w:szCs w:val="24"/>
        </w:rPr>
        <w:t xml:space="preserve"> </w:t>
      </w:r>
      <w:r w:rsidRPr="00DC4D74">
        <w:rPr>
          <w:rFonts w:eastAsia="Times New Roman"/>
          <w:sz w:val="24"/>
          <w:szCs w:val="24"/>
        </w:rPr>
        <w:t xml:space="preserve">22.20G:  </w:t>
      </w:r>
      <w:r w:rsidRPr="00DC4D74">
        <w:rPr>
          <w:rFonts w:eastAsia="Times New Roman"/>
          <w:i/>
          <w:iCs/>
          <w:sz w:val="24"/>
          <w:szCs w:val="24"/>
        </w:rPr>
        <w:t>Table 1</w:t>
      </w:r>
      <w:r w:rsidRPr="00DC4D74">
        <w:rPr>
          <w:rFonts w:eastAsia="Times New Roman"/>
          <w:sz w:val="24"/>
          <w:szCs w:val="24"/>
        </w:rPr>
        <w:t>.</w:t>
      </w:r>
    </w:p>
    <w:p w14:paraId="281A6406" w14:textId="77777777" w:rsidR="004647B9" w:rsidRPr="00E740D0" w:rsidRDefault="004647B9" w:rsidP="00C2505C">
      <w:pPr>
        <w:rPr>
          <w:sz w:val="24"/>
          <w:szCs w:val="24"/>
        </w:rPr>
      </w:pPr>
    </w:p>
    <w:p w14:paraId="281A6407" w14:textId="77777777" w:rsidR="004647B9" w:rsidRPr="00E740D0" w:rsidRDefault="00E2436F" w:rsidP="00C2505C">
      <w:pPr>
        <w:jc w:val="center"/>
        <w:rPr>
          <w:sz w:val="24"/>
          <w:szCs w:val="24"/>
        </w:rPr>
      </w:pPr>
      <w:r w:rsidRPr="00E740D0">
        <w:rPr>
          <w:rFonts w:eastAsia="Times New Roman"/>
          <w:sz w:val="24"/>
          <w:szCs w:val="24"/>
        </w:rPr>
        <w:t xml:space="preserve">310 CMR 22.20G:  </w:t>
      </w:r>
      <w:r w:rsidRPr="00E740D0">
        <w:rPr>
          <w:rFonts w:eastAsia="Times New Roman"/>
          <w:i/>
          <w:iCs/>
          <w:sz w:val="24"/>
          <w:szCs w:val="24"/>
        </w:rPr>
        <w:t>Table 1</w:t>
      </w:r>
    </w:p>
    <w:p w14:paraId="281A6408" w14:textId="77777777" w:rsidR="004647B9" w:rsidRPr="00E740D0" w:rsidRDefault="004647B9" w:rsidP="00C2505C">
      <w:pPr>
        <w:jc w:val="center"/>
        <w:rPr>
          <w:sz w:val="24"/>
          <w:szCs w:val="24"/>
        </w:rPr>
      </w:pPr>
    </w:p>
    <w:p w14:paraId="281A6409" w14:textId="77777777" w:rsidR="004647B9" w:rsidRPr="00E740D0" w:rsidRDefault="00E2436F" w:rsidP="00C2505C">
      <w:pPr>
        <w:jc w:val="center"/>
        <w:rPr>
          <w:sz w:val="24"/>
          <w:szCs w:val="24"/>
        </w:rPr>
      </w:pPr>
      <w:r w:rsidRPr="00E740D0">
        <w:rPr>
          <w:rFonts w:eastAsia="Times New Roman"/>
          <w:sz w:val="24"/>
          <w:szCs w:val="24"/>
        </w:rPr>
        <w:t>SOURCE WATER MONITORING STARTING DATES</w:t>
      </w:r>
    </w:p>
    <w:p w14:paraId="281A640A" w14:textId="77777777" w:rsidR="004647B9" w:rsidRPr="00E740D0" w:rsidRDefault="004647B9" w:rsidP="00C2505C">
      <w:pPr>
        <w:rPr>
          <w:sz w:val="24"/>
          <w:szCs w:val="24"/>
        </w:rPr>
      </w:pPr>
    </w:p>
    <w:tbl>
      <w:tblPr>
        <w:tblW w:w="9360" w:type="dxa"/>
        <w:tblInd w:w="830" w:type="dxa"/>
        <w:tblLayout w:type="fixed"/>
        <w:tblCellMar>
          <w:left w:w="0" w:type="dxa"/>
          <w:right w:w="0" w:type="dxa"/>
        </w:tblCellMar>
        <w:tblLook w:val="04A0" w:firstRow="1" w:lastRow="0" w:firstColumn="1" w:lastColumn="0" w:noHBand="0" w:noVBand="1"/>
      </w:tblPr>
      <w:tblGrid>
        <w:gridCol w:w="3200"/>
        <w:gridCol w:w="2960"/>
        <w:gridCol w:w="3200"/>
      </w:tblGrid>
      <w:tr w:rsidR="00F61319" w14:paraId="281A640E" w14:textId="77777777" w:rsidTr="00F61319">
        <w:trPr>
          <w:trHeight w:val="1143"/>
        </w:trPr>
        <w:tc>
          <w:tcPr>
            <w:tcW w:w="3200" w:type="dxa"/>
            <w:tcBorders>
              <w:top w:val="single" w:sz="8" w:space="0" w:color="auto"/>
              <w:left w:val="single" w:sz="8" w:space="0" w:color="auto"/>
              <w:bottom w:val="single" w:sz="8" w:space="0" w:color="auto"/>
              <w:right w:val="single" w:sz="8" w:space="0" w:color="auto"/>
            </w:tcBorders>
          </w:tcPr>
          <w:p w14:paraId="281A640B" w14:textId="77777777" w:rsidR="00F61319" w:rsidRDefault="00F61319" w:rsidP="00C2505C">
            <w:pPr>
              <w:ind w:left="60"/>
              <w:rPr>
                <w:sz w:val="20"/>
                <w:szCs w:val="20"/>
              </w:rPr>
            </w:pPr>
            <w:r>
              <w:rPr>
                <w:rFonts w:eastAsia="Times New Roman"/>
                <w:sz w:val="24"/>
                <w:szCs w:val="24"/>
              </w:rPr>
              <w:t>Systems that serve:</w:t>
            </w:r>
          </w:p>
        </w:tc>
        <w:tc>
          <w:tcPr>
            <w:tcW w:w="2960" w:type="dxa"/>
            <w:tcBorders>
              <w:top w:val="single" w:sz="8" w:space="0" w:color="auto"/>
              <w:bottom w:val="single" w:sz="8" w:space="0" w:color="auto"/>
              <w:right w:val="single" w:sz="8" w:space="0" w:color="auto"/>
            </w:tcBorders>
          </w:tcPr>
          <w:p w14:paraId="281A640C" w14:textId="4C3FC019" w:rsidR="00F61319" w:rsidRDefault="00F61319" w:rsidP="00C2505C">
            <w:pPr>
              <w:ind w:left="40"/>
              <w:rPr>
                <w:sz w:val="20"/>
                <w:szCs w:val="20"/>
              </w:rPr>
            </w:pPr>
            <w:r>
              <w:rPr>
                <w:rFonts w:eastAsia="Times New Roman"/>
                <w:sz w:val="24"/>
                <w:szCs w:val="24"/>
              </w:rPr>
              <w:t>Must begin the first round of source water monitoring no later than the month beginning:</w:t>
            </w:r>
          </w:p>
        </w:tc>
        <w:tc>
          <w:tcPr>
            <w:tcW w:w="3200" w:type="dxa"/>
            <w:tcBorders>
              <w:top w:val="single" w:sz="8" w:space="0" w:color="auto"/>
              <w:bottom w:val="single" w:sz="8" w:space="0" w:color="auto"/>
              <w:right w:val="single" w:sz="8" w:space="0" w:color="auto"/>
            </w:tcBorders>
          </w:tcPr>
          <w:p w14:paraId="281A640D" w14:textId="15A44DC7" w:rsidR="00F61319" w:rsidRDefault="00F61319" w:rsidP="00C2505C">
            <w:pPr>
              <w:ind w:left="40"/>
              <w:rPr>
                <w:sz w:val="20"/>
                <w:szCs w:val="20"/>
              </w:rPr>
            </w:pPr>
            <w:r>
              <w:rPr>
                <w:rFonts w:eastAsia="Times New Roman"/>
                <w:sz w:val="24"/>
                <w:szCs w:val="24"/>
              </w:rPr>
              <w:t>And must begin the second round of source water monitoring no later than the month beginning:</w:t>
            </w:r>
          </w:p>
        </w:tc>
      </w:tr>
      <w:tr w:rsidR="004647B9" w14:paraId="281A641E" w14:textId="77777777" w:rsidTr="00F61319">
        <w:trPr>
          <w:trHeight w:val="273"/>
        </w:trPr>
        <w:tc>
          <w:tcPr>
            <w:tcW w:w="3200" w:type="dxa"/>
            <w:tcBorders>
              <w:top w:val="single" w:sz="8" w:space="0" w:color="auto"/>
              <w:left w:val="single" w:sz="8" w:space="0" w:color="auto"/>
              <w:bottom w:val="single" w:sz="8" w:space="0" w:color="auto"/>
              <w:right w:val="single" w:sz="8" w:space="0" w:color="auto"/>
            </w:tcBorders>
            <w:vAlign w:val="bottom"/>
          </w:tcPr>
          <w:p w14:paraId="281A641B" w14:textId="77777777" w:rsidR="004647B9" w:rsidRDefault="00E2436F" w:rsidP="00C2505C">
            <w:pPr>
              <w:ind w:left="60"/>
              <w:rPr>
                <w:sz w:val="20"/>
                <w:szCs w:val="20"/>
              </w:rPr>
            </w:pPr>
            <w:r>
              <w:rPr>
                <w:rFonts w:eastAsia="Times New Roman"/>
                <w:sz w:val="24"/>
                <w:szCs w:val="24"/>
              </w:rPr>
              <w:t>At least 100,000 people</w:t>
            </w:r>
          </w:p>
        </w:tc>
        <w:tc>
          <w:tcPr>
            <w:tcW w:w="2960" w:type="dxa"/>
            <w:tcBorders>
              <w:top w:val="single" w:sz="8" w:space="0" w:color="auto"/>
              <w:bottom w:val="single" w:sz="8" w:space="0" w:color="auto"/>
              <w:right w:val="single" w:sz="8" w:space="0" w:color="auto"/>
            </w:tcBorders>
            <w:vAlign w:val="bottom"/>
          </w:tcPr>
          <w:p w14:paraId="281A641C" w14:textId="77777777" w:rsidR="004647B9" w:rsidRDefault="00E2436F" w:rsidP="00C2505C">
            <w:pPr>
              <w:ind w:left="40"/>
              <w:rPr>
                <w:sz w:val="20"/>
                <w:szCs w:val="20"/>
              </w:rPr>
            </w:pPr>
            <w:r>
              <w:rPr>
                <w:rFonts w:eastAsia="Times New Roman"/>
                <w:sz w:val="24"/>
                <w:szCs w:val="24"/>
              </w:rPr>
              <w:t>October 1, 2006</w:t>
            </w:r>
          </w:p>
        </w:tc>
        <w:tc>
          <w:tcPr>
            <w:tcW w:w="3200" w:type="dxa"/>
            <w:tcBorders>
              <w:top w:val="single" w:sz="8" w:space="0" w:color="auto"/>
              <w:bottom w:val="single" w:sz="8" w:space="0" w:color="auto"/>
              <w:right w:val="single" w:sz="8" w:space="0" w:color="auto"/>
            </w:tcBorders>
            <w:vAlign w:val="bottom"/>
          </w:tcPr>
          <w:p w14:paraId="281A641D" w14:textId="77777777" w:rsidR="004647B9" w:rsidRDefault="00E2436F" w:rsidP="00C2505C">
            <w:pPr>
              <w:ind w:left="40"/>
              <w:rPr>
                <w:sz w:val="20"/>
                <w:szCs w:val="20"/>
              </w:rPr>
            </w:pPr>
            <w:r>
              <w:rPr>
                <w:rFonts w:eastAsia="Times New Roman"/>
                <w:sz w:val="24"/>
                <w:szCs w:val="24"/>
              </w:rPr>
              <w:t>April 1, 2015</w:t>
            </w:r>
          </w:p>
        </w:tc>
      </w:tr>
      <w:tr w:rsidR="004647B9" w14:paraId="281A6422" w14:textId="77777777" w:rsidTr="00F61319">
        <w:trPr>
          <w:trHeight w:val="270"/>
        </w:trPr>
        <w:tc>
          <w:tcPr>
            <w:tcW w:w="3200" w:type="dxa"/>
            <w:tcBorders>
              <w:left w:val="single" w:sz="8" w:space="0" w:color="auto"/>
              <w:bottom w:val="single" w:sz="8" w:space="0" w:color="auto"/>
              <w:right w:val="single" w:sz="8" w:space="0" w:color="auto"/>
            </w:tcBorders>
            <w:vAlign w:val="bottom"/>
          </w:tcPr>
          <w:p w14:paraId="281A641F" w14:textId="77777777" w:rsidR="004647B9" w:rsidRDefault="00E2436F" w:rsidP="00C2505C">
            <w:pPr>
              <w:ind w:left="60"/>
              <w:rPr>
                <w:sz w:val="20"/>
                <w:szCs w:val="20"/>
              </w:rPr>
            </w:pPr>
            <w:r>
              <w:rPr>
                <w:rFonts w:eastAsia="Times New Roman"/>
                <w:sz w:val="24"/>
                <w:szCs w:val="24"/>
              </w:rPr>
              <w:t>From 50,000 to 99,999 people</w:t>
            </w:r>
          </w:p>
        </w:tc>
        <w:tc>
          <w:tcPr>
            <w:tcW w:w="2960" w:type="dxa"/>
            <w:tcBorders>
              <w:bottom w:val="single" w:sz="8" w:space="0" w:color="auto"/>
              <w:right w:val="single" w:sz="8" w:space="0" w:color="auto"/>
            </w:tcBorders>
            <w:vAlign w:val="bottom"/>
          </w:tcPr>
          <w:p w14:paraId="281A6420" w14:textId="77777777" w:rsidR="004647B9" w:rsidRDefault="00E2436F" w:rsidP="00C2505C">
            <w:pPr>
              <w:ind w:left="40"/>
              <w:rPr>
                <w:sz w:val="20"/>
                <w:szCs w:val="20"/>
              </w:rPr>
            </w:pPr>
            <w:r>
              <w:rPr>
                <w:rFonts w:eastAsia="Times New Roman"/>
                <w:sz w:val="24"/>
                <w:szCs w:val="24"/>
              </w:rPr>
              <w:t>April 1, 2007</w:t>
            </w:r>
          </w:p>
        </w:tc>
        <w:tc>
          <w:tcPr>
            <w:tcW w:w="3200" w:type="dxa"/>
            <w:tcBorders>
              <w:bottom w:val="single" w:sz="8" w:space="0" w:color="auto"/>
              <w:right w:val="single" w:sz="8" w:space="0" w:color="auto"/>
            </w:tcBorders>
            <w:vAlign w:val="bottom"/>
          </w:tcPr>
          <w:p w14:paraId="281A6421" w14:textId="77777777" w:rsidR="004647B9" w:rsidRDefault="00E2436F" w:rsidP="00C2505C">
            <w:pPr>
              <w:ind w:left="40"/>
              <w:rPr>
                <w:sz w:val="20"/>
                <w:szCs w:val="20"/>
              </w:rPr>
            </w:pPr>
            <w:r>
              <w:rPr>
                <w:rFonts w:eastAsia="Times New Roman"/>
                <w:sz w:val="24"/>
                <w:szCs w:val="24"/>
              </w:rPr>
              <w:t>October 1, 2015</w:t>
            </w:r>
          </w:p>
        </w:tc>
      </w:tr>
      <w:tr w:rsidR="004647B9" w14:paraId="281A6426" w14:textId="77777777" w:rsidTr="00F61319">
        <w:trPr>
          <w:trHeight w:val="273"/>
        </w:trPr>
        <w:tc>
          <w:tcPr>
            <w:tcW w:w="3200" w:type="dxa"/>
            <w:tcBorders>
              <w:left w:val="single" w:sz="8" w:space="0" w:color="auto"/>
              <w:bottom w:val="single" w:sz="8" w:space="0" w:color="auto"/>
              <w:right w:val="single" w:sz="8" w:space="0" w:color="auto"/>
            </w:tcBorders>
            <w:vAlign w:val="bottom"/>
          </w:tcPr>
          <w:p w14:paraId="281A6423" w14:textId="77777777" w:rsidR="004647B9" w:rsidRDefault="00E2436F" w:rsidP="00C2505C">
            <w:pPr>
              <w:ind w:left="60"/>
              <w:rPr>
                <w:sz w:val="20"/>
                <w:szCs w:val="20"/>
              </w:rPr>
            </w:pPr>
            <w:r>
              <w:rPr>
                <w:rFonts w:eastAsia="Times New Roman"/>
                <w:sz w:val="24"/>
                <w:szCs w:val="24"/>
              </w:rPr>
              <w:t>From 10,000 to 49,999 people</w:t>
            </w:r>
          </w:p>
        </w:tc>
        <w:tc>
          <w:tcPr>
            <w:tcW w:w="2960" w:type="dxa"/>
            <w:tcBorders>
              <w:bottom w:val="single" w:sz="8" w:space="0" w:color="auto"/>
              <w:right w:val="single" w:sz="8" w:space="0" w:color="auto"/>
            </w:tcBorders>
            <w:vAlign w:val="bottom"/>
          </w:tcPr>
          <w:p w14:paraId="281A6424" w14:textId="77777777" w:rsidR="004647B9" w:rsidRDefault="00E2436F" w:rsidP="00C2505C">
            <w:pPr>
              <w:ind w:left="40"/>
              <w:rPr>
                <w:sz w:val="20"/>
                <w:szCs w:val="20"/>
              </w:rPr>
            </w:pPr>
            <w:r>
              <w:rPr>
                <w:rFonts w:eastAsia="Times New Roman"/>
                <w:sz w:val="24"/>
                <w:szCs w:val="24"/>
              </w:rPr>
              <w:t>April 1, 2008</w:t>
            </w:r>
          </w:p>
        </w:tc>
        <w:tc>
          <w:tcPr>
            <w:tcW w:w="3200" w:type="dxa"/>
            <w:tcBorders>
              <w:bottom w:val="single" w:sz="8" w:space="0" w:color="auto"/>
              <w:right w:val="single" w:sz="8" w:space="0" w:color="auto"/>
            </w:tcBorders>
            <w:vAlign w:val="bottom"/>
          </w:tcPr>
          <w:p w14:paraId="281A6425" w14:textId="77777777" w:rsidR="004647B9" w:rsidRDefault="00E2436F" w:rsidP="00C2505C">
            <w:pPr>
              <w:ind w:left="40"/>
              <w:rPr>
                <w:sz w:val="20"/>
                <w:szCs w:val="20"/>
              </w:rPr>
            </w:pPr>
            <w:r>
              <w:rPr>
                <w:rFonts w:eastAsia="Times New Roman"/>
                <w:sz w:val="24"/>
                <w:szCs w:val="24"/>
              </w:rPr>
              <w:t>October 1, 2016</w:t>
            </w:r>
          </w:p>
        </w:tc>
      </w:tr>
      <w:tr w:rsidR="00F61319" w14:paraId="281A642A" w14:textId="77777777" w:rsidTr="00F61319">
        <w:trPr>
          <w:trHeight w:val="551"/>
        </w:trPr>
        <w:tc>
          <w:tcPr>
            <w:tcW w:w="3200" w:type="dxa"/>
            <w:tcBorders>
              <w:top w:val="single" w:sz="8" w:space="0" w:color="auto"/>
              <w:left w:val="single" w:sz="8" w:space="0" w:color="auto"/>
              <w:bottom w:val="single" w:sz="8" w:space="0" w:color="auto"/>
              <w:right w:val="single" w:sz="8" w:space="0" w:color="auto"/>
            </w:tcBorders>
          </w:tcPr>
          <w:p w14:paraId="281A6427" w14:textId="081F0211" w:rsidR="00F61319" w:rsidRDefault="00F61319" w:rsidP="00C2505C">
            <w:pPr>
              <w:ind w:left="60"/>
              <w:rPr>
                <w:sz w:val="20"/>
                <w:szCs w:val="20"/>
              </w:rPr>
            </w:pPr>
            <w:r>
              <w:rPr>
                <w:rFonts w:eastAsia="Times New Roman"/>
                <w:sz w:val="24"/>
                <w:szCs w:val="24"/>
              </w:rPr>
              <w:t xml:space="preserve">Fewer than 10,000 and monitor for </w:t>
            </w:r>
            <w:r>
              <w:rPr>
                <w:rFonts w:eastAsia="Times New Roman"/>
                <w:i/>
                <w:iCs/>
                <w:sz w:val="24"/>
                <w:szCs w:val="24"/>
              </w:rPr>
              <w:t>E. coli</w:t>
            </w:r>
            <w:r>
              <w:rPr>
                <w:rFonts w:eastAsia="Times New Roman"/>
                <w:sz w:val="27"/>
                <w:szCs w:val="27"/>
                <w:vertAlign w:val="superscript"/>
              </w:rPr>
              <w:t>1</w:t>
            </w:r>
          </w:p>
        </w:tc>
        <w:tc>
          <w:tcPr>
            <w:tcW w:w="2960" w:type="dxa"/>
            <w:tcBorders>
              <w:top w:val="single" w:sz="8" w:space="0" w:color="auto"/>
              <w:bottom w:val="single" w:sz="8" w:space="0" w:color="auto"/>
              <w:right w:val="single" w:sz="8" w:space="0" w:color="auto"/>
            </w:tcBorders>
          </w:tcPr>
          <w:p w14:paraId="281A6428" w14:textId="77777777" w:rsidR="00F61319" w:rsidRDefault="00F61319" w:rsidP="00C2505C">
            <w:pPr>
              <w:ind w:left="40"/>
              <w:rPr>
                <w:sz w:val="20"/>
                <w:szCs w:val="20"/>
              </w:rPr>
            </w:pPr>
            <w:r>
              <w:rPr>
                <w:rFonts w:eastAsia="Times New Roman"/>
                <w:sz w:val="24"/>
                <w:szCs w:val="24"/>
              </w:rPr>
              <w:t>October 1, 2008</w:t>
            </w:r>
          </w:p>
        </w:tc>
        <w:tc>
          <w:tcPr>
            <w:tcW w:w="3200" w:type="dxa"/>
            <w:tcBorders>
              <w:top w:val="single" w:sz="8" w:space="0" w:color="auto"/>
              <w:bottom w:val="single" w:sz="8" w:space="0" w:color="auto"/>
              <w:right w:val="single" w:sz="8" w:space="0" w:color="auto"/>
            </w:tcBorders>
          </w:tcPr>
          <w:p w14:paraId="281A6429" w14:textId="77777777" w:rsidR="00F61319" w:rsidRDefault="00F61319" w:rsidP="00C2505C">
            <w:pPr>
              <w:ind w:left="40"/>
              <w:rPr>
                <w:sz w:val="20"/>
                <w:szCs w:val="20"/>
              </w:rPr>
            </w:pPr>
            <w:r>
              <w:rPr>
                <w:rFonts w:eastAsia="Times New Roman"/>
                <w:sz w:val="24"/>
                <w:szCs w:val="24"/>
              </w:rPr>
              <w:t>October 1, 2017</w:t>
            </w:r>
          </w:p>
        </w:tc>
      </w:tr>
      <w:tr w:rsidR="00F61319" w14:paraId="281A6432" w14:textId="77777777" w:rsidTr="00F61319">
        <w:trPr>
          <w:trHeight w:val="571"/>
        </w:trPr>
        <w:tc>
          <w:tcPr>
            <w:tcW w:w="3200" w:type="dxa"/>
            <w:tcBorders>
              <w:top w:val="single" w:sz="8" w:space="0" w:color="auto"/>
              <w:left w:val="single" w:sz="8" w:space="0" w:color="auto"/>
              <w:bottom w:val="single" w:sz="8" w:space="0" w:color="auto"/>
              <w:right w:val="single" w:sz="8" w:space="0" w:color="auto"/>
            </w:tcBorders>
          </w:tcPr>
          <w:p w14:paraId="281A642F" w14:textId="2FF8F9DF" w:rsidR="00F61319" w:rsidRDefault="00F61319" w:rsidP="00C2505C">
            <w:pPr>
              <w:ind w:left="60"/>
              <w:rPr>
                <w:sz w:val="20"/>
                <w:szCs w:val="20"/>
              </w:rPr>
            </w:pPr>
            <w:r>
              <w:rPr>
                <w:rFonts w:eastAsia="Times New Roman"/>
                <w:sz w:val="24"/>
                <w:szCs w:val="24"/>
              </w:rPr>
              <w:t xml:space="preserve">Fewer than 10,000 and monitor for </w:t>
            </w:r>
            <w:r>
              <w:rPr>
                <w:rFonts w:eastAsia="Times New Roman"/>
                <w:i/>
                <w:iCs/>
                <w:sz w:val="24"/>
                <w:szCs w:val="24"/>
              </w:rPr>
              <w:t>Cryptosporidium</w:t>
            </w:r>
            <w:r>
              <w:rPr>
                <w:rFonts w:eastAsia="Times New Roman"/>
                <w:sz w:val="27"/>
                <w:szCs w:val="27"/>
                <w:vertAlign w:val="superscript"/>
              </w:rPr>
              <w:t>2</w:t>
            </w:r>
          </w:p>
        </w:tc>
        <w:tc>
          <w:tcPr>
            <w:tcW w:w="2960" w:type="dxa"/>
            <w:tcBorders>
              <w:top w:val="single" w:sz="8" w:space="0" w:color="auto"/>
              <w:bottom w:val="single" w:sz="8" w:space="0" w:color="auto"/>
              <w:right w:val="single" w:sz="8" w:space="0" w:color="auto"/>
            </w:tcBorders>
          </w:tcPr>
          <w:p w14:paraId="281A6430" w14:textId="77777777" w:rsidR="00F61319" w:rsidRDefault="00F61319" w:rsidP="00C2505C">
            <w:pPr>
              <w:ind w:left="40"/>
              <w:rPr>
                <w:sz w:val="20"/>
                <w:szCs w:val="20"/>
              </w:rPr>
            </w:pPr>
            <w:r>
              <w:rPr>
                <w:rFonts w:eastAsia="Times New Roman"/>
                <w:sz w:val="24"/>
                <w:szCs w:val="24"/>
              </w:rPr>
              <w:t>April 1, 2010</w:t>
            </w:r>
          </w:p>
        </w:tc>
        <w:tc>
          <w:tcPr>
            <w:tcW w:w="3200" w:type="dxa"/>
            <w:tcBorders>
              <w:top w:val="single" w:sz="8" w:space="0" w:color="auto"/>
              <w:bottom w:val="single" w:sz="8" w:space="0" w:color="auto"/>
              <w:right w:val="single" w:sz="8" w:space="0" w:color="auto"/>
            </w:tcBorders>
          </w:tcPr>
          <w:p w14:paraId="281A6431" w14:textId="77777777" w:rsidR="00F61319" w:rsidRDefault="00F61319" w:rsidP="00C2505C">
            <w:pPr>
              <w:ind w:left="40"/>
              <w:rPr>
                <w:sz w:val="20"/>
                <w:szCs w:val="20"/>
              </w:rPr>
            </w:pPr>
            <w:r>
              <w:rPr>
                <w:rFonts w:eastAsia="Times New Roman"/>
                <w:sz w:val="24"/>
                <w:szCs w:val="24"/>
              </w:rPr>
              <w:t>April 1, 2019</w:t>
            </w:r>
          </w:p>
        </w:tc>
      </w:tr>
    </w:tbl>
    <w:p w14:paraId="281A6437" w14:textId="77777777" w:rsidR="004647B9" w:rsidRPr="00DC4D74" w:rsidRDefault="004647B9" w:rsidP="00C2505C">
      <w:pPr>
        <w:rPr>
          <w:sz w:val="24"/>
          <w:szCs w:val="24"/>
        </w:rPr>
      </w:pPr>
    </w:p>
    <w:p w14:paraId="281A6438" w14:textId="77777777" w:rsidR="004647B9" w:rsidRDefault="00E2436F" w:rsidP="00C2505C">
      <w:pPr>
        <w:numPr>
          <w:ilvl w:val="0"/>
          <w:numId w:val="694"/>
        </w:numPr>
        <w:tabs>
          <w:tab w:val="left" w:pos="140"/>
        </w:tabs>
        <w:ind w:left="140" w:hanging="130"/>
        <w:rPr>
          <w:rFonts w:eastAsia="Times New Roman"/>
          <w:sz w:val="28"/>
          <w:szCs w:val="28"/>
          <w:vertAlign w:val="superscript"/>
        </w:rPr>
      </w:pPr>
      <w:r>
        <w:rPr>
          <w:rFonts w:eastAsia="Times New Roman"/>
          <w:sz w:val="24"/>
          <w:szCs w:val="24"/>
        </w:rPr>
        <w:t>Applies only to filtered systems.</w:t>
      </w:r>
    </w:p>
    <w:p w14:paraId="281A6439" w14:textId="77777777" w:rsidR="004647B9" w:rsidRDefault="00E2436F" w:rsidP="00C2505C">
      <w:pPr>
        <w:numPr>
          <w:ilvl w:val="0"/>
          <w:numId w:val="694"/>
        </w:numPr>
        <w:tabs>
          <w:tab w:val="left" w:pos="140"/>
        </w:tabs>
        <w:ind w:left="140" w:hanging="131"/>
        <w:rPr>
          <w:rFonts w:eastAsia="Times New Roman"/>
          <w:sz w:val="28"/>
          <w:szCs w:val="28"/>
          <w:vertAlign w:val="superscript"/>
        </w:rPr>
      </w:pPr>
      <w:r>
        <w:rPr>
          <w:rFonts w:eastAsia="Times New Roman"/>
          <w:sz w:val="24"/>
          <w:szCs w:val="24"/>
        </w:rPr>
        <w:t>Applies to filtered systems that meet the conditions of 310 CMR 22.20G(2)(a)4. and unfiltered systems.</w:t>
      </w:r>
    </w:p>
    <w:p w14:paraId="281A643A" w14:textId="77777777" w:rsidR="004647B9" w:rsidRPr="00DC4D74" w:rsidRDefault="004647B9" w:rsidP="00C2505C">
      <w:pPr>
        <w:rPr>
          <w:rFonts w:eastAsia="Times New Roman"/>
          <w:sz w:val="24"/>
          <w:szCs w:val="24"/>
        </w:rPr>
      </w:pPr>
    </w:p>
    <w:p w14:paraId="281A643B" w14:textId="77777777" w:rsidR="004647B9" w:rsidRPr="00EE017C" w:rsidRDefault="00E2436F" w:rsidP="00C2505C">
      <w:pPr>
        <w:numPr>
          <w:ilvl w:val="1"/>
          <w:numId w:val="694"/>
        </w:numPr>
        <w:tabs>
          <w:tab w:val="left" w:pos="2000"/>
        </w:tabs>
        <w:ind w:left="2000" w:hanging="465"/>
        <w:rPr>
          <w:rFonts w:eastAsia="Times New Roman"/>
          <w:sz w:val="24"/>
          <w:szCs w:val="24"/>
        </w:rPr>
      </w:pPr>
      <w:r w:rsidRPr="00EE017C">
        <w:rPr>
          <w:rFonts w:eastAsia="Times New Roman"/>
          <w:sz w:val="24"/>
          <w:szCs w:val="24"/>
          <w:u w:val="single"/>
        </w:rPr>
        <w:t>Monitoring Avoidance</w:t>
      </w:r>
      <w:r w:rsidRPr="00EE017C">
        <w:rPr>
          <w:rFonts w:eastAsia="Times New Roman"/>
          <w:sz w:val="24"/>
          <w:szCs w:val="24"/>
        </w:rPr>
        <w:t>.</w:t>
      </w:r>
    </w:p>
    <w:p w14:paraId="281A6441" w14:textId="15E57F21" w:rsidR="004647B9" w:rsidRPr="00EE017C" w:rsidRDefault="00E2436F" w:rsidP="00C2505C">
      <w:pPr>
        <w:numPr>
          <w:ilvl w:val="0"/>
          <w:numId w:val="695"/>
        </w:numPr>
        <w:tabs>
          <w:tab w:val="left" w:pos="2250"/>
        </w:tabs>
        <w:ind w:left="1901"/>
        <w:rPr>
          <w:rFonts w:eastAsia="Times New Roman"/>
          <w:sz w:val="24"/>
          <w:szCs w:val="24"/>
        </w:rPr>
      </w:pPr>
      <w:r w:rsidRPr="00EE017C">
        <w:rPr>
          <w:rFonts w:eastAsia="Times New Roman"/>
          <w:sz w:val="24"/>
          <w:szCs w:val="24"/>
        </w:rPr>
        <w:t>Filtered systems are not required to conduct source water monitoring under 310 CMR</w:t>
      </w:r>
      <w:r w:rsidR="0061172F" w:rsidRPr="00EE017C">
        <w:rPr>
          <w:rFonts w:eastAsia="Times New Roman"/>
          <w:sz w:val="24"/>
          <w:szCs w:val="24"/>
        </w:rPr>
        <w:t xml:space="preserve"> </w:t>
      </w:r>
      <w:r w:rsidRPr="00EE017C">
        <w:rPr>
          <w:rFonts w:eastAsia="Times New Roman"/>
          <w:sz w:val="24"/>
          <w:szCs w:val="24"/>
        </w:rPr>
        <w:t>22.20G if the system will provide a total of at least 5.5-log of treatment for</w:t>
      </w:r>
      <w:r w:rsidR="0061172F" w:rsidRPr="00EE017C">
        <w:rPr>
          <w:rFonts w:eastAsia="Times New Roman"/>
          <w:sz w:val="24"/>
          <w:szCs w:val="24"/>
        </w:rPr>
        <w:t xml:space="preserve"> </w:t>
      </w:r>
      <w:r w:rsidRPr="00EE017C">
        <w:rPr>
          <w:rFonts w:eastAsia="Times New Roman"/>
          <w:i/>
          <w:iCs/>
          <w:sz w:val="24"/>
          <w:szCs w:val="24"/>
        </w:rPr>
        <w:t>Cryptosporidium</w:t>
      </w:r>
      <w:r w:rsidRPr="00EE017C">
        <w:rPr>
          <w:rFonts w:eastAsia="Times New Roman"/>
          <w:sz w:val="24"/>
          <w:szCs w:val="24"/>
        </w:rPr>
        <w:t>, equivalent to meeting the treatment requirements of Bin 4 in 310 CMR</w:t>
      </w:r>
      <w:r w:rsidRPr="00EE017C">
        <w:rPr>
          <w:rFonts w:eastAsia="Times New Roman"/>
          <w:i/>
          <w:iCs/>
          <w:sz w:val="24"/>
          <w:szCs w:val="24"/>
        </w:rPr>
        <w:t xml:space="preserve"> </w:t>
      </w:r>
      <w:r w:rsidRPr="00EE017C">
        <w:rPr>
          <w:rFonts w:eastAsia="Times New Roman"/>
          <w:sz w:val="24"/>
          <w:szCs w:val="24"/>
        </w:rPr>
        <w:t>22.20G(12).</w:t>
      </w:r>
    </w:p>
    <w:p w14:paraId="281A6446" w14:textId="0C1340B1" w:rsidR="004647B9" w:rsidRPr="00EE017C" w:rsidRDefault="00E2436F" w:rsidP="00C2505C">
      <w:pPr>
        <w:numPr>
          <w:ilvl w:val="0"/>
          <w:numId w:val="695"/>
        </w:numPr>
        <w:tabs>
          <w:tab w:val="left" w:pos="2250"/>
        </w:tabs>
        <w:ind w:left="1901"/>
        <w:rPr>
          <w:rFonts w:eastAsia="Times New Roman"/>
          <w:sz w:val="24"/>
          <w:szCs w:val="24"/>
        </w:rPr>
      </w:pPr>
      <w:r w:rsidRPr="00EE017C">
        <w:rPr>
          <w:rFonts w:eastAsia="Times New Roman"/>
          <w:sz w:val="24"/>
          <w:szCs w:val="24"/>
        </w:rPr>
        <w:t>Unfiltered systems are not required to conduct source water monitoring under</w:t>
      </w:r>
      <w:r w:rsidR="00EE017C" w:rsidRPr="00EE017C">
        <w:rPr>
          <w:rFonts w:eastAsia="Times New Roman"/>
          <w:sz w:val="24"/>
          <w:szCs w:val="24"/>
        </w:rPr>
        <w:t xml:space="preserve"> 310 </w:t>
      </w:r>
      <w:r w:rsidRPr="00EE017C">
        <w:rPr>
          <w:rFonts w:eastAsia="Times New Roman"/>
          <w:sz w:val="24"/>
          <w:szCs w:val="24"/>
        </w:rPr>
        <w:t xml:space="preserve">CMR 22.20G if the system will provide a total of at least 3-log </w:t>
      </w:r>
      <w:r w:rsidRPr="00EE017C">
        <w:rPr>
          <w:rFonts w:eastAsia="Times New Roman"/>
          <w:i/>
          <w:iCs/>
          <w:sz w:val="24"/>
          <w:szCs w:val="24"/>
        </w:rPr>
        <w:t>Cryptosporidium</w:t>
      </w:r>
      <w:r w:rsidR="00EE017C" w:rsidRPr="00EE017C">
        <w:rPr>
          <w:rFonts w:eastAsia="Times New Roman"/>
          <w:sz w:val="24"/>
          <w:szCs w:val="24"/>
        </w:rPr>
        <w:t xml:space="preserve"> </w:t>
      </w:r>
      <w:r w:rsidRPr="00EE017C">
        <w:rPr>
          <w:rFonts w:eastAsia="Times New Roman"/>
          <w:sz w:val="24"/>
          <w:szCs w:val="24"/>
        </w:rPr>
        <w:t xml:space="preserve">inactivation, equivalent to meeting the treatment requirements for unfiltered systems with a mean </w:t>
      </w:r>
      <w:r w:rsidRPr="00EE017C">
        <w:rPr>
          <w:rFonts w:eastAsia="Times New Roman"/>
          <w:i/>
          <w:iCs/>
          <w:sz w:val="24"/>
          <w:szCs w:val="24"/>
        </w:rPr>
        <w:t>Cryptosporidium</w:t>
      </w:r>
      <w:r w:rsidRPr="00EE017C">
        <w:rPr>
          <w:rFonts w:eastAsia="Times New Roman"/>
          <w:sz w:val="24"/>
          <w:szCs w:val="24"/>
        </w:rPr>
        <w:t xml:space="preserve"> concentration of greater than 0.01 oocysts/L in 310 CMR 22.20G(13).</w:t>
      </w:r>
    </w:p>
    <w:p w14:paraId="281A6447" w14:textId="77777777" w:rsidR="004647B9" w:rsidRDefault="004647B9" w:rsidP="00C2505C">
      <w:pPr>
        <w:sectPr w:rsidR="004647B9" w:rsidSect="00EF630C">
          <w:pgSz w:w="12240" w:h="20180"/>
          <w:pgMar w:top="708" w:right="1440" w:bottom="1440" w:left="620" w:header="0" w:footer="0" w:gutter="0"/>
          <w:cols w:space="720"/>
        </w:sectPr>
      </w:pPr>
    </w:p>
    <w:p w14:paraId="281A6448" w14:textId="77777777" w:rsidR="004647B9" w:rsidRDefault="00E2436F">
      <w:pPr>
        <w:tabs>
          <w:tab w:val="left" w:pos="160"/>
        </w:tabs>
        <w:ind w:right="20"/>
        <w:jc w:val="center"/>
        <w:rPr>
          <w:sz w:val="20"/>
          <w:szCs w:val="20"/>
        </w:rPr>
      </w:pPr>
      <w:bookmarkStart w:id="288" w:name="page292"/>
      <w:bookmarkEnd w:id="28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449" w14:textId="77777777" w:rsidR="004647B9" w:rsidRDefault="004647B9" w:rsidP="00E740D0">
      <w:pPr>
        <w:rPr>
          <w:sz w:val="20"/>
          <w:szCs w:val="20"/>
        </w:rPr>
      </w:pPr>
    </w:p>
    <w:p w14:paraId="281A644A" w14:textId="77777777" w:rsidR="004647B9" w:rsidRDefault="004647B9" w:rsidP="00E740D0">
      <w:pPr>
        <w:rPr>
          <w:sz w:val="20"/>
          <w:szCs w:val="20"/>
        </w:rPr>
      </w:pPr>
    </w:p>
    <w:p w14:paraId="281A644B" w14:textId="77777777" w:rsidR="004647B9" w:rsidRDefault="00E2436F" w:rsidP="00E740D0">
      <w:pPr>
        <w:tabs>
          <w:tab w:val="left" w:pos="940"/>
        </w:tabs>
        <w:rPr>
          <w:sz w:val="20"/>
          <w:szCs w:val="20"/>
        </w:rPr>
      </w:pPr>
      <w:r>
        <w:rPr>
          <w:rFonts w:eastAsia="Times New Roman"/>
          <w:sz w:val="24"/>
          <w:szCs w:val="24"/>
        </w:rPr>
        <w:t>22.20G:</w:t>
      </w:r>
      <w:r>
        <w:rPr>
          <w:rFonts w:eastAsia="Times New Roman"/>
          <w:sz w:val="24"/>
          <w:szCs w:val="24"/>
        </w:rPr>
        <w:tab/>
        <w:t>continued</w:t>
      </w:r>
    </w:p>
    <w:p w14:paraId="281A644C" w14:textId="77777777" w:rsidR="004647B9" w:rsidRDefault="004647B9" w:rsidP="00E740D0">
      <w:pPr>
        <w:rPr>
          <w:sz w:val="20"/>
          <w:szCs w:val="20"/>
        </w:rPr>
      </w:pPr>
    </w:p>
    <w:p w14:paraId="281A644D" w14:textId="77777777" w:rsidR="004647B9" w:rsidRPr="003A1085" w:rsidRDefault="00E2436F" w:rsidP="00E740D0">
      <w:pPr>
        <w:numPr>
          <w:ilvl w:val="1"/>
          <w:numId w:val="696"/>
        </w:numPr>
        <w:tabs>
          <w:tab w:val="left" w:pos="2243"/>
        </w:tabs>
        <w:ind w:left="1900" w:hanging="5"/>
        <w:jc w:val="both"/>
        <w:rPr>
          <w:rFonts w:eastAsia="Times New Roman"/>
          <w:sz w:val="24"/>
          <w:szCs w:val="24"/>
        </w:rPr>
      </w:pPr>
      <w:r w:rsidRPr="003A1085">
        <w:rPr>
          <w:rFonts w:eastAsia="Times New Roman"/>
          <w:sz w:val="24"/>
          <w:szCs w:val="24"/>
        </w:rPr>
        <w:t>If a system chooses to provide the level of treatment in 310 CMR 22.20G(2)(d)1. or 2., as applicable, rather than start source water monitoring, the system must notify the Department in writing no later than the date the system is otherwise required to submit a sampling schedule for monitoring under 310 CMR 22.20G(3). Alternatively, a system may choose to stop sampling at any point after it has initiated monitoring if it notifies the Department in writing that it will provide this level of treatment. Systems must install and operate technologies to provide this level of treatment by the applicable treatment compliance date in 310 CMR 22.20G(14).</w:t>
      </w:r>
    </w:p>
    <w:p w14:paraId="281A6450" w14:textId="6771E5AE" w:rsidR="004647B9" w:rsidRPr="003A1085" w:rsidRDefault="00E2436F" w:rsidP="00E740D0">
      <w:pPr>
        <w:numPr>
          <w:ilvl w:val="0"/>
          <w:numId w:val="697"/>
        </w:numPr>
        <w:tabs>
          <w:tab w:val="left" w:pos="2027"/>
        </w:tabs>
        <w:ind w:left="1540"/>
        <w:jc w:val="both"/>
        <w:rPr>
          <w:rFonts w:eastAsia="Times New Roman"/>
          <w:sz w:val="24"/>
          <w:szCs w:val="24"/>
        </w:rPr>
      </w:pPr>
      <w:r w:rsidRPr="003A1085">
        <w:rPr>
          <w:rFonts w:eastAsia="Times New Roman"/>
          <w:sz w:val="24"/>
          <w:szCs w:val="24"/>
          <w:u w:val="single"/>
        </w:rPr>
        <w:t>Plants Operating Only Part of the Year</w:t>
      </w:r>
      <w:r w:rsidRPr="003A1085">
        <w:rPr>
          <w:rFonts w:eastAsia="Times New Roman"/>
          <w:sz w:val="24"/>
          <w:szCs w:val="24"/>
        </w:rPr>
        <w:t>. Suppliers of water with plants served by a Surface Water Source or groundwater source under the direct influence of surface water that operate for only part of the year must conduct source water monitoring in accordance with</w:t>
      </w:r>
      <w:r w:rsidR="00297358" w:rsidRPr="003A1085">
        <w:rPr>
          <w:rFonts w:eastAsia="Times New Roman"/>
          <w:sz w:val="24"/>
          <w:szCs w:val="24"/>
        </w:rPr>
        <w:t xml:space="preserve"> </w:t>
      </w:r>
      <w:r w:rsidRPr="003A1085">
        <w:rPr>
          <w:rFonts w:eastAsia="Times New Roman"/>
          <w:sz w:val="24"/>
          <w:szCs w:val="24"/>
        </w:rPr>
        <w:t>310 CMR 22.20G, but with the following modifications:</w:t>
      </w:r>
    </w:p>
    <w:p w14:paraId="281A6452" w14:textId="77777777" w:rsidR="004647B9" w:rsidRPr="003A1085" w:rsidRDefault="00E2436F" w:rsidP="00E740D0">
      <w:pPr>
        <w:numPr>
          <w:ilvl w:val="1"/>
          <w:numId w:val="697"/>
        </w:numPr>
        <w:tabs>
          <w:tab w:val="left" w:pos="2250"/>
        </w:tabs>
        <w:ind w:left="1900" w:hanging="5"/>
        <w:jc w:val="both"/>
        <w:rPr>
          <w:rFonts w:eastAsia="Times New Roman"/>
          <w:sz w:val="24"/>
          <w:szCs w:val="24"/>
        </w:rPr>
      </w:pPr>
      <w:r w:rsidRPr="003A1085">
        <w:rPr>
          <w:rFonts w:eastAsia="Times New Roman"/>
          <w:sz w:val="24"/>
          <w:szCs w:val="24"/>
        </w:rPr>
        <w:t>Systems must sample their source water only during the months that the plant operates unless the Department specifies another monitoring period based on plant operating practices.</w:t>
      </w:r>
    </w:p>
    <w:p w14:paraId="281A6456" w14:textId="1A45F299" w:rsidR="004647B9" w:rsidRPr="003A1085" w:rsidRDefault="00E2436F" w:rsidP="00E740D0">
      <w:pPr>
        <w:numPr>
          <w:ilvl w:val="1"/>
          <w:numId w:val="697"/>
        </w:numPr>
        <w:tabs>
          <w:tab w:val="left" w:pos="2250"/>
        </w:tabs>
        <w:ind w:left="1900"/>
        <w:jc w:val="both"/>
        <w:rPr>
          <w:rFonts w:eastAsia="Times New Roman"/>
          <w:sz w:val="24"/>
          <w:szCs w:val="24"/>
        </w:rPr>
      </w:pPr>
      <w:r w:rsidRPr="003A1085">
        <w:rPr>
          <w:rFonts w:eastAsia="Times New Roman"/>
          <w:sz w:val="24"/>
          <w:szCs w:val="24"/>
        </w:rPr>
        <w:t>Systems with plants that operate less than six months per year and that monitor for</w:t>
      </w:r>
      <w:r w:rsidR="00297358" w:rsidRPr="003A1085">
        <w:rPr>
          <w:rFonts w:eastAsia="Times New Roman"/>
          <w:sz w:val="24"/>
          <w:szCs w:val="24"/>
        </w:rPr>
        <w:t xml:space="preserve"> </w:t>
      </w:r>
      <w:r w:rsidRPr="003A1085">
        <w:rPr>
          <w:rFonts w:eastAsia="Times New Roman"/>
          <w:i/>
          <w:iCs/>
          <w:sz w:val="24"/>
          <w:szCs w:val="24"/>
        </w:rPr>
        <w:t>Cryptosporidium</w:t>
      </w:r>
      <w:r w:rsidRPr="003A1085">
        <w:rPr>
          <w:rFonts w:eastAsia="Times New Roman"/>
          <w:sz w:val="24"/>
          <w:szCs w:val="24"/>
        </w:rPr>
        <w:t xml:space="preserve"> must collect at least six </w:t>
      </w:r>
      <w:r w:rsidRPr="003A1085">
        <w:rPr>
          <w:rFonts w:eastAsia="Times New Roman"/>
          <w:i/>
          <w:iCs/>
          <w:sz w:val="24"/>
          <w:szCs w:val="24"/>
        </w:rPr>
        <w:t>Cryptosporidium</w:t>
      </w:r>
      <w:r w:rsidRPr="003A1085">
        <w:rPr>
          <w:rFonts w:eastAsia="Times New Roman"/>
          <w:sz w:val="24"/>
          <w:szCs w:val="24"/>
        </w:rPr>
        <w:t xml:space="preserve"> samples per year during each of two years of monitoring. Samples must be evenly spaced throughout the period the plant operates.</w:t>
      </w:r>
    </w:p>
    <w:p w14:paraId="281A6458" w14:textId="77777777" w:rsidR="004647B9" w:rsidRDefault="00E2436F" w:rsidP="00E740D0">
      <w:pPr>
        <w:numPr>
          <w:ilvl w:val="1"/>
          <w:numId w:val="698"/>
        </w:numPr>
        <w:tabs>
          <w:tab w:val="left" w:pos="1900"/>
        </w:tabs>
        <w:ind w:left="1900" w:hanging="365"/>
        <w:jc w:val="both"/>
        <w:rPr>
          <w:rFonts w:eastAsia="Times New Roman"/>
          <w:sz w:val="24"/>
          <w:szCs w:val="24"/>
        </w:rPr>
      </w:pPr>
      <w:r w:rsidRPr="003A1085">
        <w:rPr>
          <w:rFonts w:eastAsia="Times New Roman"/>
          <w:sz w:val="24"/>
          <w:szCs w:val="24"/>
        </w:rPr>
        <w:t xml:space="preserve">1. </w:t>
      </w:r>
      <w:r w:rsidRPr="003A1085">
        <w:rPr>
          <w:rFonts w:eastAsia="Times New Roman"/>
          <w:sz w:val="24"/>
          <w:szCs w:val="24"/>
          <w:u w:val="single"/>
        </w:rPr>
        <w:t>New Sources</w:t>
      </w:r>
      <w:r w:rsidRPr="003A1085">
        <w:rPr>
          <w:rFonts w:eastAsia="Times New Roman"/>
          <w:sz w:val="24"/>
          <w:szCs w:val="24"/>
        </w:rPr>
        <w:t xml:space="preserve">. A system that begins using a New Source of Surface Water or groundwater under the direct influence of surface water after the system is required to begin monitoring under 310 CMR 22.20G(2)(c) must monitor the New Source on a schedule the Department approves. Source water monitoring must meet the requirements of 310 CMR 22.20G. The system must also meet the bin classification and </w:t>
      </w:r>
      <w:r w:rsidRPr="003A1085">
        <w:rPr>
          <w:rFonts w:eastAsia="Times New Roman"/>
          <w:i/>
          <w:iCs/>
          <w:sz w:val="24"/>
          <w:szCs w:val="24"/>
        </w:rPr>
        <w:t xml:space="preserve">Cryptosporidium </w:t>
      </w:r>
      <w:r w:rsidRPr="003A1085">
        <w:rPr>
          <w:rFonts w:eastAsia="Times New Roman"/>
          <w:sz w:val="24"/>
          <w:szCs w:val="24"/>
        </w:rPr>
        <w:t>treatment requirements of 310 CMR 22.20G(11) and (12) or (13),</w:t>
      </w:r>
      <w:r>
        <w:rPr>
          <w:rFonts w:eastAsia="Times New Roman"/>
          <w:sz w:val="24"/>
          <w:szCs w:val="24"/>
        </w:rPr>
        <w:t xml:space="preserve"> as</w:t>
      </w:r>
      <w:r>
        <w:rPr>
          <w:rFonts w:eastAsia="Times New Roman"/>
          <w:i/>
          <w:iCs/>
          <w:sz w:val="24"/>
          <w:szCs w:val="24"/>
        </w:rPr>
        <w:t xml:space="preserve"> </w:t>
      </w:r>
      <w:r>
        <w:rPr>
          <w:rFonts w:eastAsia="Times New Roman"/>
          <w:sz w:val="24"/>
          <w:szCs w:val="24"/>
        </w:rPr>
        <w:t>applicable, for the New Source on a schedule the Department approves.</w:t>
      </w:r>
    </w:p>
    <w:p w14:paraId="281A645A" w14:textId="53F299A8" w:rsidR="004647B9" w:rsidRPr="008B495F" w:rsidRDefault="00E2436F" w:rsidP="00E740D0">
      <w:pPr>
        <w:numPr>
          <w:ilvl w:val="2"/>
          <w:numId w:val="698"/>
        </w:numPr>
        <w:tabs>
          <w:tab w:val="left" w:pos="2246"/>
        </w:tabs>
        <w:ind w:left="1901"/>
        <w:jc w:val="both"/>
        <w:rPr>
          <w:rFonts w:eastAsia="Times New Roman"/>
          <w:sz w:val="24"/>
          <w:szCs w:val="24"/>
        </w:rPr>
      </w:pPr>
      <w:r w:rsidRPr="00297358">
        <w:rPr>
          <w:rFonts w:eastAsia="Times New Roman"/>
          <w:sz w:val="24"/>
          <w:szCs w:val="24"/>
        </w:rPr>
        <w:t xml:space="preserve">The requirements of 310 CMR 22.20G(2)(f) apply to suppliers of water with a Surface Water Source or groundwater source under the direct influence of surface water that begin operation after the monitoring start date applicable to the system’s </w:t>
      </w:r>
      <w:r w:rsidRPr="008B495F">
        <w:rPr>
          <w:rFonts w:eastAsia="Times New Roman"/>
          <w:sz w:val="24"/>
          <w:szCs w:val="24"/>
        </w:rPr>
        <w:t>size under</w:t>
      </w:r>
      <w:r w:rsidR="00E57506" w:rsidRPr="008B495F">
        <w:rPr>
          <w:rFonts w:eastAsia="Times New Roman"/>
          <w:sz w:val="24"/>
          <w:szCs w:val="24"/>
        </w:rPr>
        <w:t xml:space="preserve"> 310 </w:t>
      </w:r>
      <w:r w:rsidRPr="008B495F">
        <w:rPr>
          <w:rFonts w:eastAsia="Times New Roman"/>
          <w:sz w:val="24"/>
          <w:szCs w:val="24"/>
        </w:rPr>
        <w:t>CMR 22.20G(2)(c).</w:t>
      </w:r>
    </w:p>
    <w:p w14:paraId="281A645C" w14:textId="77777777" w:rsidR="004647B9" w:rsidRPr="008B495F" w:rsidRDefault="00E2436F" w:rsidP="00E740D0">
      <w:pPr>
        <w:numPr>
          <w:ilvl w:val="2"/>
          <w:numId w:val="699"/>
        </w:numPr>
        <w:tabs>
          <w:tab w:val="left" w:pos="2246"/>
        </w:tabs>
        <w:ind w:left="1900" w:hanging="5"/>
        <w:jc w:val="both"/>
        <w:rPr>
          <w:rFonts w:eastAsia="Times New Roman"/>
          <w:sz w:val="24"/>
          <w:szCs w:val="24"/>
        </w:rPr>
      </w:pPr>
      <w:r w:rsidRPr="008B495F">
        <w:rPr>
          <w:rFonts w:eastAsia="Times New Roman"/>
          <w:sz w:val="24"/>
          <w:szCs w:val="24"/>
        </w:rPr>
        <w:t xml:space="preserve">The system must begin a second round of source water monitoring no later than six years following initial bin classification under 310 CMR 22.20G(11) or determination of the mean </w:t>
      </w:r>
      <w:r w:rsidRPr="008B495F">
        <w:rPr>
          <w:rFonts w:eastAsia="Times New Roman"/>
          <w:i/>
          <w:iCs/>
          <w:sz w:val="24"/>
          <w:szCs w:val="24"/>
        </w:rPr>
        <w:t>Cryptosporidium</w:t>
      </w:r>
      <w:r w:rsidRPr="008B495F">
        <w:rPr>
          <w:rFonts w:eastAsia="Times New Roman"/>
          <w:sz w:val="24"/>
          <w:szCs w:val="24"/>
        </w:rPr>
        <w:t xml:space="preserve"> level under 310 CMR 22.20G(13), as applicable.</w:t>
      </w:r>
    </w:p>
    <w:p w14:paraId="281A645D" w14:textId="77777777" w:rsidR="004647B9" w:rsidRPr="008B495F" w:rsidRDefault="00E2436F" w:rsidP="00E740D0">
      <w:pPr>
        <w:numPr>
          <w:ilvl w:val="1"/>
          <w:numId w:val="700"/>
        </w:numPr>
        <w:tabs>
          <w:tab w:val="left" w:pos="2030"/>
        </w:tabs>
        <w:ind w:left="1540" w:hanging="5"/>
        <w:jc w:val="both"/>
        <w:rPr>
          <w:rFonts w:eastAsia="Times New Roman"/>
          <w:sz w:val="24"/>
          <w:szCs w:val="24"/>
        </w:rPr>
      </w:pPr>
      <w:r w:rsidRPr="008B495F">
        <w:rPr>
          <w:rFonts w:eastAsia="Times New Roman"/>
          <w:sz w:val="24"/>
          <w:szCs w:val="24"/>
        </w:rPr>
        <w:t>Failure to collect any source water sample required under 310 CMR 22.20G(2) in accordance with the sampling schedule, sampling location, analytical method, approved laboratory, and reporting requirements of 310 CMR 22.20G(3) through (7) is a monitoring violation.</w:t>
      </w:r>
    </w:p>
    <w:p w14:paraId="281A645E" w14:textId="1C2ECE15" w:rsidR="004647B9" w:rsidRPr="008B495F" w:rsidRDefault="00EA7C8B" w:rsidP="00E740D0">
      <w:pPr>
        <w:numPr>
          <w:ilvl w:val="1"/>
          <w:numId w:val="700"/>
        </w:numPr>
        <w:tabs>
          <w:tab w:val="left" w:pos="2030"/>
        </w:tabs>
        <w:ind w:left="1540" w:hanging="5"/>
        <w:jc w:val="both"/>
        <w:rPr>
          <w:rFonts w:eastAsia="Times New Roman"/>
          <w:sz w:val="24"/>
          <w:szCs w:val="24"/>
        </w:rPr>
      </w:pPr>
      <w:r>
        <w:rPr>
          <w:rFonts w:eastAsia="Times New Roman"/>
          <w:sz w:val="24"/>
          <w:szCs w:val="24"/>
          <w:u w:val="single"/>
        </w:rPr>
        <w:t>Previously</w:t>
      </w:r>
      <w:r w:rsidR="00C505A0">
        <w:rPr>
          <w:rFonts w:eastAsia="Times New Roman"/>
          <w:sz w:val="24"/>
          <w:szCs w:val="24"/>
          <w:u w:val="single"/>
        </w:rPr>
        <w:t xml:space="preserve"> Collected</w:t>
      </w:r>
      <w:r>
        <w:rPr>
          <w:rFonts w:eastAsia="Times New Roman"/>
          <w:sz w:val="24"/>
          <w:szCs w:val="24"/>
          <w:u w:val="single"/>
        </w:rPr>
        <w:t xml:space="preserve"> </w:t>
      </w:r>
      <w:r w:rsidR="00E2436F" w:rsidRPr="008B495F">
        <w:rPr>
          <w:rFonts w:eastAsia="Times New Roman"/>
          <w:sz w:val="24"/>
          <w:szCs w:val="24"/>
          <w:u w:val="single"/>
        </w:rPr>
        <w:t>Monitoring Data</w:t>
      </w:r>
      <w:r w:rsidR="00E2436F" w:rsidRPr="008B495F">
        <w:rPr>
          <w:rFonts w:eastAsia="Times New Roman"/>
          <w:sz w:val="24"/>
          <w:szCs w:val="24"/>
        </w:rPr>
        <w:t xml:space="preserve">. Systems may use monitoring data collected prior to the applicable monitoring start date in 310 CMR 22.20G(2)(c) to meet the initial source water monitoring requirements in 310 CMR 22.20G(a). </w:t>
      </w:r>
      <w:r w:rsidR="00C505A0">
        <w:rPr>
          <w:rFonts w:eastAsia="Times New Roman"/>
          <w:sz w:val="24"/>
          <w:szCs w:val="24"/>
        </w:rPr>
        <w:t>Previously collected</w:t>
      </w:r>
      <w:r w:rsidR="00E2436F" w:rsidRPr="008B495F">
        <w:rPr>
          <w:rFonts w:eastAsia="Times New Roman"/>
          <w:sz w:val="24"/>
          <w:szCs w:val="24"/>
        </w:rPr>
        <w:t xml:space="preserve"> data may substitute for an equivalent number of months at the end of the monitoring period. All data submitted under 310 CMR 22.20G(2)(h) must meet the requirements in 310 CMR 22.20G(8).</w:t>
      </w:r>
    </w:p>
    <w:p w14:paraId="281A645F" w14:textId="77777777" w:rsidR="004647B9" w:rsidRPr="008B495F" w:rsidRDefault="004647B9" w:rsidP="00E740D0">
      <w:pPr>
        <w:rPr>
          <w:rFonts w:eastAsia="Times New Roman"/>
          <w:sz w:val="24"/>
          <w:szCs w:val="24"/>
        </w:rPr>
      </w:pPr>
    </w:p>
    <w:p w14:paraId="281A6460" w14:textId="77777777" w:rsidR="004647B9" w:rsidRPr="008B495F" w:rsidRDefault="00E2436F" w:rsidP="00E740D0">
      <w:pPr>
        <w:numPr>
          <w:ilvl w:val="0"/>
          <w:numId w:val="701"/>
        </w:numPr>
        <w:tabs>
          <w:tab w:val="left" w:pos="1640"/>
        </w:tabs>
        <w:ind w:left="1640" w:hanging="460"/>
        <w:rPr>
          <w:rFonts w:eastAsia="Times New Roman"/>
          <w:sz w:val="24"/>
          <w:szCs w:val="24"/>
        </w:rPr>
      </w:pPr>
      <w:r w:rsidRPr="008B495F">
        <w:rPr>
          <w:rFonts w:eastAsia="Times New Roman"/>
          <w:sz w:val="24"/>
          <w:szCs w:val="24"/>
          <w:u w:val="single"/>
        </w:rPr>
        <w:t>Sampling Schedules</w:t>
      </w:r>
      <w:r w:rsidRPr="008B495F">
        <w:rPr>
          <w:rFonts w:eastAsia="Times New Roman"/>
          <w:sz w:val="24"/>
          <w:szCs w:val="24"/>
        </w:rPr>
        <w:t>.</w:t>
      </w:r>
    </w:p>
    <w:p w14:paraId="281A6462" w14:textId="77777777" w:rsidR="004647B9" w:rsidRPr="008B495F" w:rsidRDefault="00E2436F" w:rsidP="00E740D0">
      <w:pPr>
        <w:numPr>
          <w:ilvl w:val="1"/>
          <w:numId w:val="701"/>
        </w:numPr>
        <w:tabs>
          <w:tab w:val="left" w:pos="1964"/>
        </w:tabs>
        <w:ind w:left="1540" w:hanging="5"/>
        <w:jc w:val="both"/>
        <w:rPr>
          <w:rFonts w:eastAsia="Times New Roman"/>
          <w:sz w:val="24"/>
          <w:szCs w:val="24"/>
        </w:rPr>
      </w:pPr>
      <w:r w:rsidRPr="008B495F">
        <w:rPr>
          <w:rFonts w:eastAsia="Times New Roman"/>
          <w:sz w:val="24"/>
          <w:szCs w:val="24"/>
        </w:rPr>
        <w:t>Systems required to conduct source water monitoring under 310 CMR 22.20G(2) must submit a sampling schedule that specifies the calendar dates when the system will collect each required sample.</w:t>
      </w:r>
    </w:p>
    <w:p w14:paraId="281A6464" w14:textId="77777777" w:rsidR="004647B9" w:rsidRPr="008B495F" w:rsidRDefault="00E2436F" w:rsidP="00E740D0">
      <w:pPr>
        <w:numPr>
          <w:ilvl w:val="2"/>
          <w:numId w:val="701"/>
        </w:numPr>
        <w:tabs>
          <w:tab w:val="left" w:pos="2246"/>
        </w:tabs>
        <w:ind w:left="1900" w:hanging="5"/>
        <w:jc w:val="both"/>
        <w:rPr>
          <w:rFonts w:eastAsia="Times New Roman"/>
          <w:sz w:val="24"/>
          <w:szCs w:val="24"/>
        </w:rPr>
      </w:pPr>
      <w:r w:rsidRPr="008B495F">
        <w:rPr>
          <w:rFonts w:eastAsia="Times New Roman"/>
          <w:sz w:val="24"/>
          <w:szCs w:val="24"/>
        </w:rPr>
        <w:t>Systems must submit sampling schedules no later than three months prior to the applicable date listed in 310 CMR 22.20G(2)(c) for each round of required monitoring.</w:t>
      </w:r>
    </w:p>
    <w:p w14:paraId="281A6466" w14:textId="77777777" w:rsidR="004647B9" w:rsidRPr="008B495F" w:rsidRDefault="00E2436F" w:rsidP="00E740D0">
      <w:pPr>
        <w:numPr>
          <w:ilvl w:val="2"/>
          <w:numId w:val="701"/>
        </w:numPr>
        <w:tabs>
          <w:tab w:val="left" w:pos="2246"/>
        </w:tabs>
        <w:ind w:left="2260" w:hanging="365"/>
        <w:jc w:val="both"/>
        <w:rPr>
          <w:rFonts w:eastAsia="Times New Roman"/>
          <w:sz w:val="24"/>
          <w:szCs w:val="24"/>
        </w:rPr>
      </w:pPr>
      <w:r w:rsidRPr="008B495F">
        <w:rPr>
          <w:rFonts w:eastAsia="Times New Roman"/>
          <w:sz w:val="24"/>
          <w:szCs w:val="24"/>
        </w:rPr>
        <w:t xml:space="preserve">a. Systems serving at least 10,000 people must submit their sampling schedule for the initial round of source water monitoring under 310 CMR 22.20G(2)(a) to EPA electronically at </w:t>
      </w:r>
      <w:hyperlink r:id="rId27">
        <w:r w:rsidRPr="008B495F">
          <w:rPr>
            <w:rFonts w:eastAsia="Times New Roman"/>
            <w:color w:val="0000FF"/>
            <w:sz w:val="24"/>
            <w:szCs w:val="24"/>
          </w:rPr>
          <w:t>https://intranet.epa.gov/lt2/</w:t>
        </w:r>
      </w:hyperlink>
      <w:r w:rsidRPr="008B495F">
        <w:rPr>
          <w:rFonts w:eastAsia="Times New Roman"/>
          <w:sz w:val="24"/>
          <w:szCs w:val="24"/>
        </w:rPr>
        <w:t>.</w:t>
      </w:r>
    </w:p>
    <w:p w14:paraId="281A6468" w14:textId="77777777" w:rsidR="004647B9" w:rsidRPr="008B495F" w:rsidRDefault="00E2436F" w:rsidP="00E740D0">
      <w:pPr>
        <w:tabs>
          <w:tab w:val="left" w:pos="2246"/>
        </w:tabs>
        <w:ind w:left="2250"/>
        <w:jc w:val="both"/>
        <w:rPr>
          <w:rFonts w:eastAsia="Times New Roman"/>
          <w:sz w:val="24"/>
          <w:szCs w:val="24"/>
        </w:rPr>
      </w:pPr>
      <w:r w:rsidRPr="008B495F">
        <w:rPr>
          <w:rFonts w:eastAsia="Times New Roman"/>
          <w:sz w:val="24"/>
          <w:szCs w:val="24"/>
        </w:rPr>
        <w:t>b. If a system is unable to submit the sampling schedule electronically, the system may use an alternative approach for submitting the sampling schedule that EPA or the Department approves.</w:t>
      </w:r>
    </w:p>
    <w:p w14:paraId="281A6469" w14:textId="7683A6C8" w:rsidR="004647B9" w:rsidRDefault="004647B9" w:rsidP="00E740D0">
      <w:pPr>
        <w:rPr>
          <w:sz w:val="20"/>
          <w:szCs w:val="20"/>
        </w:rPr>
      </w:pPr>
    </w:p>
    <w:p w14:paraId="281A646A" w14:textId="77777777" w:rsidR="004647B9" w:rsidRDefault="004647B9" w:rsidP="00E740D0">
      <w:pPr>
        <w:sectPr w:rsidR="004647B9" w:rsidSect="00EF630C">
          <w:pgSz w:w="12240" w:h="20180"/>
          <w:pgMar w:top="708" w:right="1440" w:bottom="1440" w:left="620" w:header="0" w:footer="0" w:gutter="0"/>
          <w:cols w:space="720"/>
        </w:sectPr>
      </w:pPr>
      <w:bookmarkStart w:id="289" w:name="page293"/>
      <w:bookmarkEnd w:id="289"/>
    </w:p>
    <w:p w14:paraId="281A646B" w14:textId="77777777" w:rsidR="004647B9" w:rsidRDefault="00E2436F" w:rsidP="00F668AD">
      <w:pPr>
        <w:tabs>
          <w:tab w:val="left" w:pos="160"/>
        </w:tabs>
        <w:ind w:right="20"/>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46D" w14:textId="77777777" w:rsidR="004647B9" w:rsidRDefault="004647B9" w:rsidP="00050E50">
      <w:pPr>
        <w:rPr>
          <w:sz w:val="20"/>
          <w:szCs w:val="20"/>
        </w:rPr>
      </w:pPr>
    </w:p>
    <w:p w14:paraId="52B99F0D" w14:textId="77777777" w:rsidR="00050E50" w:rsidRDefault="00050E50" w:rsidP="00050E50">
      <w:pPr>
        <w:rPr>
          <w:sz w:val="20"/>
          <w:szCs w:val="20"/>
        </w:rPr>
      </w:pPr>
    </w:p>
    <w:p w14:paraId="281A646E" w14:textId="77777777" w:rsidR="004647B9" w:rsidRPr="00050E50" w:rsidRDefault="00E2436F" w:rsidP="00050E50">
      <w:pPr>
        <w:tabs>
          <w:tab w:val="left" w:pos="940"/>
        </w:tabs>
        <w:rPr>
          <w:sz w:val="24"/>
          <w:szCs w:val="24"/>
        </w:rPr>
      </w:pPr>
      <w:r w:rsidRPr="00050E50">
        <w:rPr>
          <w:rFonts w:eastAsia="Times New Roman"/>
          <w:sz w:val="24"/>
          <w:szCs w:val="24"/>
        </w:rPr>
        <w:t>22.20G:</w:t>
      </w:r>
      <w:r w:rsidRPr="00050E50">
        <w:rPr>
          <w:rFonts w:eastAsia="Times New Roman"/>
          <w:sz w:val="24"/>
          <w:szCs w:val="24"/>
        </w:rPr>
        <w:tab/>
        <w:t>continued</w:t>
      </w:r>
    </w:p>
    <w:p w14:paraId="281A646F" w14:textId="77777777" w:rsidR="004647B9" w:rsidRDefault="004647B9" w:rsidP="00050E50">
      <w:pPr>
        <w:rPr>
          <w:sz w:val="20"/>
          <w:szCs w:val="20"/>
        </w:rPr>
      </w:pPr>
    </w:p>
    <w:p w14:paraId="281A6470" w14:textId="77777777" w:rsidR="004647B9" w:rsidRPr="0061258E" w:rsidRDefault="00E2436F" w:rsidP="00050E50">
      <w:pPr>
        <w:numPr>
          <w:ilvl w:val="2"/>
          <w:numId w:val="702"/>
        </w:numPr>
        <w:tabs>
          <w:tab w:val="left" w:pos="2246"/>
        </w:tabs>
        <w:ind w:left="1900" w:hanging="5"/>
        <w:jc w:val="both"/>
        <w:rPr>
          <w:rFonts w:eastAsia="Times New Roman"/>
          <w:sz w:val="24"/>
          <w:szCs w:val="24"/>
        </w:rPr>
      </w:pPr>
      <w:r w:rsidRPr="0061258E">
        <w:rPr>
          <w:rFonts w:eastAsia="Times New Roman"/>
          <w:sz w:val="24"/>
          <w:szCs w:val="24"/>
        </w:rPr>
        <w:t>Systems serving fewer than 10,000 people must submit their sampling schedules for the initial round of source water monitoring 310 CMR 22.20G(2)(a) to the Department.</w:t>
      </w:r>
    </w:p>
    <w:p w14:paraId="281A6471" w14:textId="77777777" w:rsidR="004647B9" w:rsidRPr="0061258E" w:rsidRDefault="00E2436F" w:rsidP="00050E50">
      <w:pPr>
        <w:numPr>
          <w:ilvl w:val="2"/>
          <w:numId w:val="702"/>
        </w:numPr>
        <w:tabs>
          <w:tab w:val="left" w:pos="2246"/>
        </w:tabs>
        <w:ind w:left="1900" w:hanging="5"/>
        <w:rPr>
          <w:rFonts w:eastAsia="Times New Roman"/>
          <w:sz w:val="24"/>
          <w:szCs w:val="24"/>
        </w:rPr>
      </w:pPr>
      <w:r w:rsidRPr="0061258E">
        <w:rPr>
          <w:rFonts w:eastAsia="Times New Roman"/>
          <w:sz w:val="24"/>
          <w:szCs w:val="24"/>
        </w:rPr>
        <w:t>Systems must submit sampling schedules for the second round of source water monitoring 310 CMR 22.20G(2)(b) to the Department.</w:t>
      </w:r>
    </w:p>
    <w:p w14:paraId="281A6472" w14:textId="77777777" w:rsidR="004647B9" w:rsidRPr="0061258E" w:rsidRDefault="00E2436F" w:rsidP="00050E50">
      <w:pPr>
        <w:numPr>
          <w:ilvl w:val="2"/>
          <w:numId w:val="702"/>
        </w:numPr>
        <w:tabs>
          <w:tab w:val="left" w:pos="2246"/>
        </w:tabs>
        <w:ind w:left="1900" w:hanging="5"/>
        <w:rPr>
          <w:rFonts w:eastAsia="Times New Roman"/>
          <w:sz w:val="24"/>
          <w:szCs w:val="24"/>
        </w:rPr>
      </w:pPr>
      <w:r w:rsidRPr="0061258E">
        <w:rPr>
          <w:rFonts w:eastAsia="Times New Roman"/>
          <w:sz w:val="24"/>
          <w:szCs w:val="24"/>
        </w:rPr>
        <w:t>If the Department does not respond to a system regarding its sampling schedule, the system must sample at the reported schedule.</w:t>
      </w:r>
    </w:p>
    <w:p w14:paraId="281A6473" w14:textId="77777777" w:rsidR="004647B9" w:rsidRDefault="00E2436F" w:rsidP="00050E50">
      <w:pPr>
        <w:numPr>
          <w:ilvl w:val="1"/>
          <w:numId w:val="703"/>
        </w:numPr>
        <w:tabs>
          <w:tab w:val="left" w:pos="2093"/>
        </w:tabs>
        <w:ind w:left="1540" w:hanging="5"/>
        <w:jc w:val="both"/>
        <w:rPr>
          <w:rFonts w:eastAsia="Times New Roman"/>
          <w:sz w:val="24"/>
          <w:szCs w:val="24"/>
        </w:rPr>
      </w:pPr>
      <w:r>
        <w:rPr>
          <w:rFonts w:eastAsia="Times New Roman"/>
          <w:sz w:val="24"/>
          <w:szCs w:val="24"/>
        </w:rPr>
        <w:t>Systems must collect samples within two days before or two days after the dates indicated in their sampling schedule (</w:t>
      </w:r>
      <w:r>
        <w:rPr>
          <w:rFonts w:eastAsia="Times New Roman"/>
          <w:i/>
          <w:iCs/>
          <w:sz w:val="24"/>
          <w:szCs w:val="24"/>
        </w:rPr>
        <w:t>i.e</w:t>
      </w:r>
      <w:r>
        <w:rPr>
          <w:rFonts w:eastAsia="Times New Roman"/>
          <w:sz w:val="24"/>
          <w:szCs w:val="24"/>
        </w:rPr>
        <w:t>., within a five-day period around the schedule date) unless one of the conditions of 310 CMR 22.20G(3)(b)1. or 2. applies.</w:t>
      </w:r>
    </w:p>
    <w:p w14:paraId="281A6475" w14:textId="77777777" w:rsidR="004647B9" w:rsidRDefault="00E2436F" w:rsidP="00050E50">
      <w:pPr>
        <w:numPr>
          <w:ilvl w:val="2"/>
          <w:numId w:val="703"/>
        </w:numPr>
        <w:tabs>
          <w:tab w:val="left" w:pos="2246"/>
        </w:tabs>
        <w:ind w:left="1900" w:hanging="5"/>
        <w:jc w:val="both"/>
        <w:rPr>
          <w:rFonts w:eastAsia="Times New Roman"/>
          <w:sz w:val="24"/>
          <w:szCs w:val="24"/>
        </w:rPr>
      </w:pPr>
      <w:r>
        <w:rPr>
          <w:rFonts w:eastAsia="Times New Roman"/>
          <w:sz w:val="24"/>
          <w:szCs w:val="24"/>
        </w:rPr>
        <w:t>If an extreme condition or situation exists that may pose danger to the sample collector, or that cannot be avoided and causes the system to be unable to sample in the scheduled five-day period, the system must sample as close to the scheduled date as is feasible unless the Department approves an alternative sampling date. The system must submit an explanation for the delayed sampling date to the Department concurrent with the shipment of the sample to the laboratory.</w:t>
      </w:r>
    </w:p>
    <w:p w14:paraId="281A6477" w14:textId="77777777" w:rsidR="004647B9" w:rsidRPr="00F07D25" w:rsidRDefault="00E2436F" w:rsidP="00050E50">
      <w:pPr>
        <w:numPr>
          <w:ilvl w:val="2"/>
          <w:numId w:val="703"/>
        </w:numPr>
        <w:tabs>
          <w:tab w:val="left" w:pos="2260"/>
        </w:tabs>
        <w:ind w:left="2260" w:hanging="365"/>
        <w:jc w:val="both"/>
        <w:rPr>
          <w:rFonts w:eastAsia="Times New Roman"/>
          <w:sz w:val="24"/>
          <w:szCs w:val="24"/>
        </w:rPr>
      </w:pPr>
      <w:r w:rsidRPr="00F07D25">
        <w:rPr>
          <w:rFonts w:eastAsia="Times New Roman"/>
          <w:sz w:val="24"/>
          <w:szCs w:val="24"/>
        </w:rPr>
        <w:t>a. If a system is unable to report a valid analytical result for a scheduled sampling date due to equipment failure, loss of or damage to the sample, failure to comply with the analytical method requirements, including the quality control requirements in 310 CMR 22.20G(5), or the failure of an approved laboratory to analyze the sample, then the system must collect a replacement sample.</w:t>
      </w:r>
    </w:p>
    <w:p w14:paraId="281A6479" w14:textId="77777777" w:rsidR="004647B9" w:rsidRPr="00F07D25" w:rsidRDefault="00E2436F" w:rsidP="00050E50">
      <w:pPr>
        <w:ind w:left="2260"/>
        <w:jc w:val="both"/>
        <w:rPr>
          <w:rFonts w:eastAsia="Times New Roman"/>
          <w:sz w:val="24"/>
          <w:szCs w:val="24"/>
        </w:rPr>
      </w:pPr>
      <w:r w:rsidRPr="00F07D25">
        <w:rPr>
          <w:rFonts w:eastAsia="Times New Roman"/>
          <w:sz w:val="24"/>
          <w:szCs w:val="24"/>
        </w:rPr>
        <w:t>b. The system must collect the replacement sample not later than 21 days after receiving information that an analytical result cannot be reported for the scheduled date unless the system demonstrates that collecting a replacement sample within this time frame is not feasible or the Department approves an alternative resampling date. The system must submit an explanation for the delayed sampling date to the Department concurrent with the shipment of the sample to the laboratory.</w:t>
      </w:r>
    </w:p>
    <w:p w14:paraId="281A647B" w14:textId="77777777" w:rsidR="004647B9" w:rsidRPr="00F07D25" w:rsidRDefault="00E2436F" w:rsidP="00050E50">
      <w:pPr>
        <w:numPr>
          <w:ilvl w:val="1"/>
          <w:numId w:val="703"/>
        </w:numPr>
        <w:tabs>
          <w:tab w:val="left" w:pos="2006"/>
        </w:tabs>
        <w:ind w:left="1540" w:hanging="5"/>
        <w:jc w:val="both"/>
        <w:rPr>
          <w:rFonts w:eastAsia="Times New Roman"/>
          <w:sz w:val="24"/>
          <w:szCs w:val="24"/>
        </w:rPr>
      </w:pPr>
      <w:r w:rsidRPr="00F07D25">
        <w:rPr>
          <w:rFonts w:eastAsia="Times New Roman"/>
          <w:sz w:val="24"/>
          <w:szCs w:val="24"/>
        </w:rPr>
        <w:t>Systems that fail to meet the criteria of 310 CMR 22.20G(3)(b) for any source water sample required under 310 CMR 22.20G(2) must revise their sampling schedules to add dates for collecting all missed samples. Systems must submit the revised schedule to the Department for approval prior to when the system begins collecting the missed samples.</w:t>
      </w:r>
    </w:p>
    <w:p w14:paraId="281A647C" w14:textId="77777777" w:rsidR="004647B9" w:rsidRDefault="004647B9" w:rsidP="00050E50">
      <w:pPr>
        <w:rPr>
          <w:rFonts w:eastAsia="Times New Roman"/>
          <w:sz w:val="24"/>
          <w:szCs w:val="24"/>
        </w:rPr>
      </w:pPr>
    </w:p>
    <w:p w14:paraId="281A647D" w14:textId="77777777" w:rsidR="004647B9" w:rsidRPr="00F07D25" w:rsidRDefault="00E2436F" w:rsidP="00050E50">
      <w:pPr>
        <w:numPr>
          <w:ilvl w:val="0"/>
          <w:numId w:val="704"/>
        </w:numPr>
        <w:tabs>
          <w:tab w:val="left" w:pos="1640"/>
        </w:tabs>
        <w:ind w:left="1640" w:hanging="460"/>
        <w:rPr>
          <w:rFonts w:eastAsia="Times New Roman"/>
          <w:sz w:val="24"/>
          <w:szCs w:val="24"/>
        </w:rPr>
      </w:pPr>
      <w:r w:rsidRPr="00F07D25">
        <w:rPr>
          <w:rFonts w:eastAsia="Times New Roman"/>
          <w:sz w:val="24"/>
          <w:szCs w:val="24"/>
          <w:u w:val="single"/>
        </w:rPr>
        <w:t>Sampling Locations</w:t>
      </w:r>
      <w:r w:rsidRPr="00F07D25">
        <w:rPr>
          <w:rFonts w:eastAsia="Times New Roman"/>
          <w:sz w:val="24"/>
          <w:szCs w:val="24"/>
        </w:rPr>
        <w:t>.</w:t>
      </w:r>
    </w:p>
    <w:p w14:paraId="281A647F" w14:textId="77777777" w:rsidR="004647B9" w:rsidRPr="00F07D25" w:rsidRDefault="00E2436F" w:rsidP="00050E50">
      <w:pPr>
        <w:numPr>
          <w:ilvl w:val="1"/>
          <w:numId w:val="704"/>
        </w:numPr>
        <w:tabs>
          <w:tab w:val="left" w:pos="1958"/>
        </w:tabs>
        <w:ind w:left="1540" w:hanging="5"/>
        <w:jc w:val="both"/>
        <w:rPr>
          <w:rFonts w:eastAsia="Times New Roman"/>
          <w:sz w:val="24"/>
          <w:szCs w:val="24"/>
        </w:rPr>
      </w:pPr>
      <w:r w:rsidRPr="00F07D25">
        <w:rPr>
          <w:rFonts w:eastAsia="Times New Roman"/>
          <w:sz w:val="24"/>
          <w:szCs w:val="24"/>
        </w:rPr>
        <w:t>Systems required to conduct source water monitoring under 310 CMR 22.20G(2) must collect samples for each plant that treats a Surface Water Source, or a groundwater source under the direct influence of surface water. Where multiple plants draw water from the same influent, such as the same pipe or intake, the Department may approve one set of monitoring results to be used to satisfy the requirements of 310 CMR 22.20G(2) for all plants.</w:t>
      </w:r>
    </w:p>
    <w:p w14:paraId="281A6481" w14:textId="77777777" w:rsidR="004647B9" w:rsidRPr="00F07D25" w:rsidRDefault="00E2436F" w:rsidP="00050E50">
      <w:pPr>
        <w:numPr>
          <w:ilvl w:val="1"/>
          <w:numId w:val="704"/>
        </w:numPr>
        <w:tabs>
          <w:tab w:val="left" w:pos="1900"/>
        </w:tabs>
        <w:ind w:left="1900" w:hanging="365"/>
        <w:jc w:val="both"/>
        <w:rPr>
          <w:rFonts w:eastAsia="Times New Roman"/>
          <w:sz w:val="24"/>
          <w:szCs w:val="24"/>
        </w:rPr>
      </w:pPr>
      <w:r w:rsidRPr="00F07D25">
        <w:rPr>
          <w:rFonts w:eastAsia="Times New Roman"/>
          <w:sz w:val="24"/>
          <w:szCs w:val="24"/>
        </w:rPr>
        <w:t>1. Systems must collect source water samples prior to chemical treatment, such as coagulants, oxidants and disinfectants, unless the system meets the condition specified in 310 CMR 22.20G(4)(b)2.</w:t>
      </w:r>
    </w:p>
    <w:p w14:paraId="281A6483" w14:textId="77777777" w:rsidR="004647B9" w:rsidRPr="00F07D25" w:rsidRDefault="00E2436F" w:rsidP="00050E50">
      <w:pPr>
        <w:numPr>
          <w:ilvl w:val="2"/>
          <w:numId w:val="704"/>
        </w:numPr>
        <w:tabs>
          <w:tab w:val="left" w:pos="2368"/>
        </w:tabs>
        <w:ind w:left="1900" w:hanging="5"/>
        <w:jc w:val="both"/>
        <w:rPr>
          <w:rFonts w:eastAsia="Times New Roman"/>
          <w:sz w:val="24"/>
          <w:szCs w:val="24"/>
        </w:rPr>
      </w:pPr>
      <w:r w:rsidRPr="00F07D25">
        <w:rPr>
          <w:rFonts w:eastAsia="Times New Roman"/>
          <w:sz w:val="24"/>
          <w:szCs w:val="24"/>
        </w:rPr>
        <w:t>The Department may approve a system to collect a source water sample after chemical treatment. To grant this approval, the Department will determine that collecting a sample prior to chemical treatment is not feasible for the system and that the chemical treatment is unlikely to have a significant adverse effect on the analysis of the sample.</w:t>
      </w:r>
    </w:p>
    <w:p w14:paraId="281A6485" w14:textId="77777777" w:rsidR="004647B9" w:rsidRPr="00F07D25" w:rsidRDefault="00E2436F" w:rsidP="00050E50">
      <w:pPr>
        <w:numPr>
          <w:ilvl w:val="1"/>
          <w:numId w:val="704"/>
        </w:numPr>
        <w:tabs>
          <w:tab w:val="left" w:pos="1984"/>
        </w:tabs>
        <w:ind w:left="1540" w:hanging="5"/>
        <w:rPr>
          <w:rFonts w:eastAsia="Times New Roman"/>
          <w:sz w:val="24"/>
          <w:szCs w:val="24"/>
        </w:rPr>
      </w:pPr>
      <w:r w:rsidRPr="00F07D25">
        <w:rPr>
          <w:rFonts w:eastAsia="Times New Roman"/>
          <w:sz w:val="24"/>
          <w:szCs w:val="24"/>
        </w:rPr>
        <w:t>Systems that recycle filter backwash water must collect source water samples prior to the point of filter backwash water addition.</w:t>
      </w:r>
    </w:p>
    <w:p w14:paraId="281A6486" w14:textId="77777777" w:rsidR="004647B9" w:rsidRPr="00F07D25" w:rsidRDefault="00E2436F" w:rsidP="00050E50">
      <w:pPr>
        <w:numPr>
          <w:ilvl w:val="1"/>
          <w:numId w:val="704"/>
        </w:numPr>
        <w:tabs>
          <w:tab w:val="left" w:pos="2000"/>
        </w:tabs>
        <w:ind w:left="2000" w:hanging="465"/>
        <w:rPr>
          <w:rFonts w:eastAsia="Times New Roman"/>
          <w:sz w:val="24"/>
          <w:szCs w:val="24"/>
        </w:rPr>
      </w:pPr>
      <w:r w:rsidRPr="00F07D25">
        <w:rPr>
          <w:rFonts w:eastAsia="Times New Roman"/>
          <w:sz w:val="24"/>
          <w:szCs w:val="24"/>
          <w:u w:val="single"/>
        </w:rPr>
        <w:t>Bank Filtration</w:t>
      </w:r>
      <w:r w:rsidRPr="00F07D25">
        <w:rPr>
          <w:rFonts w:eastAsia="Times New Roman"/>
          <w:sz w:val="24"/>
          <w:szCs w:val="24"/>
        </w:rPr>
        <w:t>.</w:t>
      </w:r>
    </w:p>
    <w:p w14:paraId="281A648A" w14:textId="0B69C963" w:rsidR="004647B9" w:rsidRPr="006F29E6" w:rsidRDefault="00E2436F" w:rsidP="00050E50">
      <w:pPr>
        <w:numPr>
          <w:ilvl w:val="2"/>
          <w:numId w:val="705"/>
        </w:numPr>
        <w:tabs>
          <w:tab w:val="left" w:pos="2340"/>
        </w:tabs>
        <w:ind w:left="1900" w:hanging="5"/>
        <w:rPr>
          <w:rFonts w:eastAsia="Times New Roman"/>
          <w:sz w:val="24"/>
          <w:szCs w:val="24"/>
        </w:rPr>
      </w:pPr>
      <w:r w:rsidRPr="00F07D25">
        <w:rPr>
          <w:rFonts w:eastAsia="Times New Roman"/>
          <w:sz w:val="24"/>
          <w:szCs w:val="24"/>
        </w:rPr>
        <w:t xml:space="preserve">Systems that receive </w:t>
      </w:r>
      <w:r w:rsidRPr="00F07D25">
        <w:rPr>
          <w:rFonts w:eastAsia="Times New Roman"/>
          <w:i/>
          <w:iCs/>
          <w:sz w:val="24"/>
          <w:szCs w:val="24"/>
        </w:rPr>
        <w:t>Cryptosporidium</w:t>
      </w:r>
      <w:r w:rsidRPr="00F07D25">
        <w:rPr>
          <w:rFonts w:eastAsia="Times New Roman"/>
          <w:sz w:val="24"/>
          <w:szCs w:val="24"/>
        </w:rPr>
        <w:t xml:space="preserve"> treatment credit for Bank Filtration under</w:t>
      </w:r>
      <w:r w:rsidR="00974ECA">
        <w:rPr>
          <w:rFonts w:eastAsia="Times New Roman"/>
          <w:sz w:val="24"/>
          <w:szCs w:val="24"/>
        </w:rPr>
        <w:t xml:space="preserve"> </w:t>
      </w:r>
      <w:r w:rsidRPr="006F29E6">
        <w:rPr>
          <w:rFonts w:eastAsia="Times New Roman"/>
          <w:sz w:val="24"/>
          <w:szCs w:val="24"/>
        </w:rPr>
        <w:t>CMR 22.20D(4)(b) or 22.20F(6)(c), as applicable, must collect source water samples in the Surface Water prior to Bank Filtration.</w:t>
      </w:r>
    </w:p>
    <w:p w14:paraId="281A648D" w14:textId="18B0DE2B" w:rsidR="004647B9" w:rsidRPr="00974ECA" w:rsidRDefault="00E2436F" w:rsidP="00050E50">
      <w:pPr>
        <w:numPr>
          <w:ilvl w:val="2"/>
          <w:numId w:val="706"/>
        </w:numPr>
        <w:tabs>
          <w:tab w:val="left" w:pos="2289"/>
        </w:tabs>
        <w:ind w:left="1900"/>
        <w:jc w:val="both"/>
        <w:rPr>
          <w:sz w:val="24"/>
          <w:szCs w:val="24"/>
        </w:rPr>
      </w:pPr>
      <w:r w:rsidRPr="00974ECA">
        <w:rPr>
          <w:rFonts w:eastAsia="Times New Roman"/>
          <w:sz w:val="24"/>
          <w:szCs w:val="24"/>
        </w:rPr>
        <w:t>Systems that use Bank Filtration as pretreatment to a Filtration plant must collect source water samples from the well (</w:t>
      </w:r>
      <w:r w:rsidRPr="00974ECA">
        <w:rPr>
          <w:rFonts w:eastAsia="Times New Roman"/>
          <w:i/>
          <w:iCs/>
          <w:sz w:val="24"/>
          <w:szCs w:val="24"/>
        </w:rPr>
        <w:t>i.e</w:t>
      </w:r>
      <w:r w:rsidRPr="00974ECA">
        <w:rPr>
          <w:rFonts w:eastAsia="Times New Roman"/>
          <w:sz w:val="24"/>
          <w:szCs w:val="24"/>
        </w:rPr>
        <w:t xml:space="preserve">., after Bank Filtration). Use of Bank Filtration during monitoring must be consistent with routine operational practice. Systems collecting samples after a Bank Filtration process may not receive treatment credit for the bank filtration under the </w:t>
      </w:r>
      <w:r w:rsidRPr="00974ECA">
        <w:rPr>
          <w:rFonts w:eastAsia="Times New Roman"/>
          <w:i/>
          <w:iCs/>
          <w:sz w:val="24"/>
          <w:szCs w:val="24"/>
        </w:rPr>
        <w:t>Massachusetts Drinking Water Guidelines and Policies,</w:t>
      </w:r>
      <w:r w:rsidRPr="00974ECA">
        <w:rPr>
          <w:rFonts w:eastAsia="Times New Roman"/>
          <w:sz w:val="24"/>
          <w:szCs w:val="24"/>
        </w:rPr>
        <w:t xml:space="preserve"> </w:t>
      </w:r>
      <w:r w:rsidRPr="00974ECA">
        <w:rPr>
          <w:rFonts w:eastAsia="Times New Roman"/>
          <w:i/>
          <w:iCs/>
          <w:sz w:val="24"/>
          <w:szCs w:val="24"/>
        </w:rPr>
        <w:t>Appendix N</w:t>
      </w:r>
      <w:r w:rsidRPr="00974ECA">
        <w:rPr>
          <w:rFonts w:eastAsia="Times New Roman"/>
          <w:sz w:val="24"/>
          <w:szCs w:val="24"/>
        </w:rPr>
        <w:t>, Requirements for Microbial Toolbox Options for Meeting</w:t>
      </w:r>
      <w:r w:rsidRPr="00974ECA">
        <w:rPr>
          <w:rFonts w:eastAsia="Times New Roman"/>
          <w:i/>
          <w:iCs/>
          <w:sz w:val="24"/>
          <w:szCs w:val="24"/>
        </w:rPr>
        <w:t xml:space="preserve"> Cryptosporidium</w:t>
      </w:r>
      <w:r w:rsidR="00974ECA" w:rsidRPr="00974ECA">
        <w:rPr>
          <w:rFonts w:eastAsia="Times New Roman"/>
          <w:i/>
          <w:iCs/>
          <w:sz w:val="24"/>
          <w:szCs w:val="24"/>
        </w:rPr>
        <w:t xml:space="preserve"> </w:t>
      </w:r>
      <w:r w:rsidRPr="00974ECA">
        <w:rPr>
          <w:rFonts w:eastAsia="Times New Roman"/>
          <w:sz w:val="24"/>
          <w:szCs w:val="24"/>
        </w:rPr>
        <w:t>Treatment Requirements under the Long Term 2 Enhanced Surface Water Treatment Rule for Public Water Systems.</w:t>
      </w:r>
    </w:p>
    <w:p w14:paraId="281A648E" w14:textId="77777777" w:rsidR="004647B9" w:rsidRDefault="004647B9" w:rsidP="00050E50">
      <w:pPr>
        <w:sectPr w:rsidR="004647B9" w:rsidSect="00EF630C">
          <w:pgSz w:w="12240" w:h="20180"/>
          <w:pgMar w:top="708" w:right="1440" w:bottom="1013" w:left="620" w:header="0" w:footer="0" w:gutter="0"/>
          <w:cols w:space="720"/>
        </w:sectPr>
      </w:pPr>
    </w:p>
    <w:p w14:paraId="281A648F" w14:textId="77777777" w:rsidR="004647B9" w:rsidRDefault="00E2436F">
      <w:pPr>
        <w:tabs>
          <w:tab w:val="left" w:pos="160"/>
        </w:tabs>
        <w:ind w:right="20"/>
        <w:jc w:val="center"/>
        <w:rPr>
          <w:sz w:val="20"/>
          <w:szCs w:val="20"/>
        </w:rPr>
      </w:pPr>
      <w:bookmarkStart w:id="290" w:name="page294"/>
      <w:bookmarkEnd w:id="29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490" w14:textId="77777777" w:rsidR="004647B9" w:rsidRDefault="004647B9" w:rsidP="003A4D43">
      <w:pPr>
        <w:rPr>
          <w:sz w:val="20"/>
          <w:szCs w:val="20"/>
        </w:rPr>
      </w:pPr>
    </w:p>
    <w:p w14:paraId="281A6491" w14:textId="77777777" w:rsidR="004647B9" w:rsidRDefault="004647B9" w:rsidP="003A4D43">
      <w:pPr>
        <w:rPr>
          <w:sz w:val="20"/>
          <w:szCs w:val="20"/>
        </w:rPr>
      </w:pPr>
    </w:p>
    <w:p w14:paraId="281A6492" w14:textId="77777777" w:rsidR="004647B9" w:rsidRPr="003A4D43" w:rsidRDefault="00E2436F" w:rsidP="003A4D43">
      <w:pPr>
        <w:tabs>
          <w:tab w:val="left" w:pos="940"/>
        </w:tabs>
        <w:rPr>
          <w:sz w:val="24"/>
          <w:szCs w:val="24"/>
        </w:rPr>
      </w:pPr>
      <w:r w:rsidRPr="003A4D43">
        <w:rPr>
          <w:rFonts w:eastAsia="Times New Roman"/>
          <w:sz w:val="24"/>
          <w:szCs w:val="24"/>
        </w:rPr>
        <w:t>22.20G:</w:t>
      </w:r>
      <w:r w:rsidRPr="003A4D43">
        <w:rPr>
          <w:rFonts w:eastAsia="Times New Roman"/>
          <w:sz w:val="24"/>
          <w:szCs w:val="24"/>
        </w:rPr>
        <w:tab/>
        <w:t>continued</w:t>
      </w:r>
    </w:p>
    <w:p w14:paraId="281A6493" w14:textId="77777777" w:rsidR="004647B9" w:rsidRDefault="004647B9" w:rsidP="003A4D43">
      <w:pPr>
        <w:rPr>
          <w:sz w:val="20"/>
          <w:szCs w:val="20"/>
        </w:rPr>
      </w:pPr>
    </w:p>
    <w:p w14:paraId="281A6494" w14:textId="77777777" w:rsidR="004647B9" w:rsidRPr="00B1021D" w:rsidRDefault="00E2436F" w:rsidP="003A4D43">
      <w:pPr>
        <w:numPr>
          <w:ilvl w:val="1"/>
          <w:numId w:val="707"/>
        </w:numPr>
        <w:tabs>
          <w:tab w:val="left" w:pos="2070"/>
        </w:tabs>
        <w:ind w:left="1540" w:hanging="5"/>
        <w:jc w:val="both"/>
        <w:rPr>
          <w:rFonts w:eastAsia="Times New Roman"/>
          <w:sz w:val="24"/>
          <w:szCs w:val="24"/>
        </w:rPr>
      </w:pPr>
      <w:r w:rsidRPr="00B1021D">
        <w:rPr>
          <w:rFonts w:eastAsia="Times New Roman"/>
          <w:sz w:val="24"/>
          <w:szCs w:val="24"/>
          <w:u w:val="single"/>
        </w:rPr>
        <w:t>Multiple Sources</w:t>
      </w:r>
      <w:r w:rsidRPr="00B1021D">
        <w:rPr>
          <w:rFonts w:eastAsia="Times New Roman"/>
          <w:sz w:val="24"/>
          <w:szCs w:val="24"/>
        </w:rPr>
        <w:t>. Systems with plants that use multiple water sources, including multiple Surface Water Sources and blended Surface Water and groundwater sources, must collect samples as specified in 310 CMR 22.20G(4)(e)1. or 2. The use of multiple sources during monitoring must be consistent with routine operational practice.</w:t>
      </w:r>
    </w:p>
    <w:p w14:paraId="281A6495" w14:textId="77777777" w:rsidR="004647B9" w:rsidRPr="00B1021D" w:rsidRDefault="00E2436F" w:rsidP="003A4D43">
      <w:pPr>
        <w:numPr>
          <w:ilvl w:val="2"/>
          <w:numId w:val="707"/>
        </w:numPr>
        <w:tabs>
          <w:tab w:val="left" w:pos="2303"/>
        </w:tabs>
        <w:ind w:left="1900" w:hanging="5"/>
        <w:rPr>
          <w:rFonts w:eastAsia="Times New Roman"/>
          <w:sz w:val="24"/>
          <w:szCs w:val="24"/>
        </w:rPr>
      </w:pPr>
      <w:r w:rsidRPr="00B1021D">
        <w:rPr>
          <w:rFonts w:eastAsia="Times New Roman"/>
          <w:sz w:val="24"/>
          <w:szCs w:val="24"/>
        </w:rPr>
        <w:t>If a sampling tap is available where the sources are combined prior to treatment, systems must collect samples from the tap.</w:t>
      </w:r>
    </w:p>
    <w:p w14:paraId="281A6496" w14:textId="77777777" w:rsidR="004647B9" w:rsidRPr="00B1021D" w:rsidRDefault="00E2436F" w:rsidP="003A4D43">
      <w:pPr>
        <w:numPr>
          <w:ilvl w:val="2"/>
          <w:numId w:val="707"/>
        </w:numPr>
        <w:tabs>
          <w:tab w:val="left" w:pos="2238"/>
        </w:tabs>
        <w:ind w:left="1900" w:hanging="5"/>
        <w:jc w:val="both"/>
        <w:rPr>
          <w:rFonts w:eastAsia="Times New Roman"/>
          <w:sz w:val="24"/>
          <w:szCs w:val="24"/>
        </w:rPr>
      </w:pPr>
      <w:r w:rsidRPr="00B1021D">
        <w:rPr>
          <w:rFonts w:eastAsia="Times New Roman"/>
          <w:sz w:val="24"/>
          <w:szCs w:val="24"/>
        </w:rPr>
        <w:t>If a sampling tap where the sources are combined prior to treatment is not available, systems must collect samples at each source near the intake on the same day and must follow either 310 CMR 22.20G(4)(e)2.a. or b. for sample analysis.</w:t>
      </w:r>
    </w:p>
    <w:p w14:paraId="281A6498" w14:textId="77777777" w:rsidR="004647B9" w:rsidRPr="00B1021D" w:rsidRDefault="00E2436F" w:rsidP="003A4D43">
      <w:pPr>
        <w:numPr>
          <w:ilvl w:val="3"/>
          <w:numId w:val="707"/>
        </w:numPr>
        <w:tabs>
          <w:tab w:val="left" w:pos="2686"/>
        </w:tabs>
        <w:ind w:left="2260" w:hanging="5"/>
        <w:jc w:val="both"/>
        <w:rPr>
          <w:rFonts w:eastAsia="Times New Roman"/>
          <w:sz w:val="24"/>
          <w:szCs w:val="24"/>
        </w:rPr>
      </w:pPr>
      <w:r w:rsidRPr="00B1021D">
        <w:rPr>
          <w:rFonts w:eastAsia="Times New Roman"/>
          <w:sz w:val="24"/>
          <w:szCs w:val="24"/>
        </w:rPr>
        <w:t>Systems may composite samples from each source into one sample prior to analysis. The volume of sample from each source must be weighted according to the proportion of the source in the total plant flow at the time the sample is collected.</w:t>
      </w:r>
    </w:p>
    <w:p w14:paraId="281A649A" w14:textId="77777777" w:rsidR="004647B9" w:rsidRPr="00B1021D" w:rsidRDefault="00E2436F" w:rsidP="003A4D43">
      <w:pPr>
        <w:numPr>
          <w:ilvl w:val="3"/>
          <w:numId w:val="707"/>
        </w:numPr>
        <w:tabs>
          <w:tab w:val="left" w:pos="2728"/>
        </w:tabs>
        <w:ind w:left="2260" w:hanging="5"/>
        <w:jc w:val="both"/>
        <w:rPr>
          <w:rFonts w:eastAsia="Times New Roman"/>
          <w:sz w:val="24"/>
          <w:szCs w:val="24"/>
        </w:rPr>
      </w:pPr>
      <w:r w:rsidRPr="00B1021D">
        <w:rPr>
          <w:rFonts w:eastAsia="Times New Roman"/>
          <w:sz w:val="24"/>
          <w:szCs w:val="24"/>
        </w:rPr>
        <w:t>Systems may analyze samples from each source separately and calculate a weighted average of the analysis results for each sampling date. The weighted average must be calculated by multiplying the analysis result for each source by the fraction the source contributed to total plant flow at the time the sample was collected and then summing these values.</w:t>
      </w:r>
    </w:p>
    <w:p w14:paraId="281A649C" w14:textId="77777777" w:rsidR="004647B9" w:rsidRPr="00B1021D" w:rsidRDefault="00E2436F" w:rsidP="003A4D43">
      <w:pPr>
        <w:numPr>
          <w:ilvl w:val="1"/>
          <w:numId w:val="707"/>
        </w:numPr>
        <w:tabs>
          <w:tab w:val="left" w:pos="2094"/>
        </w:tabs>
        <w:ind w:left="1540" w:hanging="5"/>
        <w:jc w:val="both"/>
        <w:rPr>
          <w:rFonts w:eastAsia="Times New Roman"/>
          <w:sz w:val="24"/>
          <w:szCs w:val="24"/>
        </w:rPr>
      </w:pPr>
      <w:r w:rsidRPr="00B1021D">
        <w:rPr>
          <w:rFonts w:eastAsia="Times New Roman"/>
          <w:sz w:val="24"/>
          <w:szCs w:val="24"/>
          <w:u w:val="single"/>
        </w:rPr>
        <w:t>Additional Requirements</w:t>
      </w:r>
      <w:r w:rsidRPr="00B1021D">
        <w:rPr>
          <w:rFonts w:eastAsia="Times New Roman"/>
          <w:sz w:val="24"/>
          <w:szCs w:val="24"/>
        </w:rPr>
        <w:t>. Systems must submit a description of their sampling location(s) to the Department at the same time as the sampling schedule required under 310 CMR 22.20G(3). This description must address the position of the sampling location in relation to the system’s water source(s) and treatment processes, including pretreatment, points of chemical treatment, and filter backwash recycle. If the Department does not respond to a system regarding sampling location(s), the system must sample at the reported location(s).</w:t>
      </w:r>
    </w:p>
    <w:p w14:paraId="281A649D" w14:textId="77777777" w:rsidR="004647B9" w:rsidRDefault="004647B9" w:rsidP="003A4D43">
      <w:pPr>
        <w:rPr>
          <w:rFonts w:eastAsia="Times New Roman"/>
          <w:sz w:val="24"/>
          <w:szCs w:val="24"/>
        </w:rPr>
      </w:pPr>
    </w:p>
    <w:p w14:paraId="281A649E" w14:textId="77777777" w:rsidR="004647B9" w:rsidRPr="00B1021D" w:rsidRDefault="00E2436F" w:rsidP="003A4D43">
      <w:pPr>
        <w:numPr>
          <w:ilvl w:val="0"/>
          <w:numId w:val="708"/>
        </w:numPr>
        <w:tabs>
          <w:tab w:val="left" w:pos="1640"/>
        </w:tabs>
        <w:ind w:left="1640" w:hanging="460"/>
        <w:rPr>
          <w:rFonts w:eastAsia="Times New Roman"/>
          <w:sz w:val="24"/>
          <w:szCs w:val="24"/>
        </w:rPr>
      </w:pPr>
      <w:r w:rsidRPr="00B1021D">
        <w:rPr>
          <w:rFonts w:eastAsia="Times New Roman"/>
          <w:sz w:val="24"/>
          <w:szCs w:val="24"/>
          <w:u w:val="single"/>
        </w:rPr>
        <w:t>Analytical Methods</w:t>
      </w:r>
      <w:r w:rsidRPr="00B1021D">
        <w:rPr>
          <w:rFonts w:eastAsia="Times New Roman"/>
          <w:sz w:val="24"/>
          <w:szCs w:val="24"/>
        </w:rPr>
        <w:t>.</w:t>
      </w:r>
    </w:p>
    <w:p w14:paraId="281A64A0" w14:textId="77777777" w:rsidR="004647B9" w:rsidRPr="00B1021D" w:rsidRDefault="00E2436F" w:rsidP="003A4D43">
      <w:pPr>
        <w:numPr>
          <w:ilvl w:val="1"/>
          <w:numId w:val="708"/>
        </w:numPr>
        <w:tabs>
          <w:tab w:val="left" w:pos="2042"/>
        </w:tabs>
        <w:ind w:left="1540" w:hanging="5"/>
        <w:jc w:val="both"/>
        <w:rPr>
          <w:rFonts w:eastAsia="Times New Roman"/>
          <w:sz w:val="24"/>
          <w:szCs w:val="24"/>
        </w:rPr>
      </w:pPr>
      <w:r w:rsidRPr="00B1021D">
        <w:rPr>
          <w:rFonts w:eastAsia="Times New Roman"/>
          <w:i/>
          <w:iCs/>
          <w:sz w:val="24"/>
          <w:szCs w:val="24"/>
          <w:u w:val="single"/>
        </w:rPr>
        <w:t>Cryptosporidium</w:t>
      </w:r>
      <w:r w:rsidRPr="00B1021D">
        <w:rPr>
          <w:rFonts w:eastAsia="Times New Roman"/>
          <w:sz w:val="24"/>
          <w:szCs w:val="24"/>
        </w:rPr>
        <w:t>. Systems must analyze for</w:t>
      </w:r>
      <w:r w:rsidRPr="00B1021D">
        <w:rPr>
          <w:rFonts w:eastAsia="Times New Roman"/>
          <w:i/>
          <w:iCs/>
          <w:sz w:val="24"/>
          <w:szCs w:val="24"/>
        </w:rPr>
        <w:t xml:space="preserve"> Cryptosporidium </w:t>
      </w:r>
      <w:r w:rsidRPr="00B1021D">
        <w:rPr>
          <w:rFonts w:eastAsia="Times New Roman"/>
          <w:sz w:val="24"/>
          <w:szCs w:val="24"/>
        </w:rPr>
        <w:t>using</w:t>
      </w:r>
      <w:r w:rsidRPr="00B1021D">
        <w:rPr>
          <w:rFonts w:eastAsia="Times New Roman"/>
          <w:i/>
          <w:iCs/>
          <w:sz w:val="24"/>
          <w:szCs w:val="24"/>
        </w:rPr>
        <w:t xml:space="preserve"> Method 1623: Cryptosporidium and Giardia in Water by Filtration/IMS/FA, </w:t>
      </w:r>
      <w:r w:rsidRPr="00B1021D">
        <w:rPr>
          <w:rFonts w:eastAsia="Times New Roman"/>
          <w:sz w:val="24"/>
          <w:szCs w:val="24"/>
        </w:rPr>
        <w:t>2005, United States</w:t>
      </w:r>
      <w:r w:rsidRPr="00B1021D">
        <w:rPr>
          <w:rFonts w:eastAsia="Times New Roman"/>
          <w:i/>
          <w:iCs/>
          <w:sz w:val="24"/>
          <w:szCs w:val="24"/>
        </w:rPr>
        <w:t xml:space="preserve"> </w:t>
      </w:r>
      <w:r w:rsidRPr="00B1021D">
        <w:rPr>
          <w:rFonts w:eastAsia="Times New Roman"/>
          <w:sz w:val="24"/>
          <w:szCs w:val="24"/>
        </w:rPr>
        <w:t xml:space="preserve">Environmental Protection Agency, EPA–815-R–05–002 or </w:t>
      </w:r>
      <w:r w:rsidRPr="00B1021D">
        <w:rPr>
          <w:rFonts w:eastAsia="Times New Roman"/>
          <w:i/>
          <w:iCs/>
          <w:sz w:val="24"/>
          <w:szCs w:val="24"/>
        </w:rPr>
        <w:t>Method 1622: Cryptosporidium</w:t>
      </w:r>
      <w:r w:rsidRPr="00B1021D">
        <w:rPr>
          <w:rFonts w:eastAsia="Times New Roman"/>
          <w:sz w:val="24"/>
          <w:szCs w:val="24"/>
        </w:rPr>
        <w:t xml:space="preserve"> </w:t>
      </w:r>
      <w:r w:rsidRPr="00B1021D">
        <w:rPr>
          <w:rFonts w:eastAsia="Times New Roman"/>
          <w:i/>
          <w:iCs/>
          <w:sz w:val="24"/>
          <w:szCs w:val="24"/>
        </w:rPr>
        <w:t xml:space="preserve">in Water by Filtration/IMS/FA, </w:t>
      </w:r>
      <w:r w:rsidRPr="00B1021D">
        <w:rPr>
          <w:rFonts w:eastAsia="Times New Roman"/>
          <w:sz w:val="24"/>
          <w:szCs w:val="24"/>
        </w:rPr>
        <w:t>2005, United States Environmental Protection Agency,</w:t>
      </w:r>
      <w:r w:rsidRPr="00B1021D">
        <w:rPr>
          <w:rFonts w:eastAsia="Times New Roman"/>
          <w:i/>
          <w:iCs/>
          <w:sz w:val="24"/>
          <w:szCs w:val="24"/>
        </w:rPr>
        <w:t xml:space="preserve"> </w:t>
      </w:r>
      <w:r w:rsidRPr="00B1021D">
        <w:rPr>
          <w:rFonts w:eastAsia="Times New Roman"/>
          <w:sz w:val="24"/>
          <w:szCs w:val="24"/>
        </w:rPr>
        <w:t>EPA–815–R–05–001, which are incorporated by reference.</w:t>
      </w:r>
    </w:p>
    <w:p w14:paraId="281A64A2" w14:textId="77777777" w:rsidR="004647B9" w:rsidRPr="00B1021D" w:rsidRDefault="00E2436F" w:rsidP="003A4D43">
      <w:pPr>
        <w:numPr>
          <w:ilvl w:val="2"/>
          <w:numId w:val="708"/>
        </w:numPr>
        <w:tabs>
          <w:tab w:val="left" w:pos="2260"/>
        </w:tabs>
        <w:ind w:left="1900" w:hanging="5"/>
        <w:jc w:val="both"/>
        <w:rPr>
          <w:rFonts w:eastAsia="Times New Roman"/>
          <w:sz w:val="24"/>
          <w:szCs w:val="24"/>
        </w:rPr>
      </w:pPr>
      <w:r w:rsidRPr="00B1021D">
        <w:rPr>
          <w:rFonts w:eastAsia="Times New Roman"/>
          <w:sz w:val="24"/>
          <w:szCs w:val="24"/>
        </w:rPr>
        <w:t>Systems must analyze at least a 10 L sample or a packed pellet volume of at least 2 mL as generated by the methods listed in 310 CMR 22.20G(5)(a). Systems unable to process a 10 L sample must analyze as much sample volume as can be filtered by two filters approved by EPA and the Department for the methods listed in 310 CMR 22.20G(5)(a), up to a packed pellet volume of at least 2 mL.</w:t>
      </w:r>
    </w:p>
    <w:p w14:paraId="281A64A6" w14:textId="52F35756" w:rsidR="004647B9" w:rsidRPr="00AB5B97" w:rsidRDefault="00E2436F" w:rsidP="003A4D43">
      <w:pPr>
        <w:numPr>
          <w:ilvl w:val="2"/>
          <w:numId w:val="708"/>
        </w:numPr>
        <w:tabs>
          <w:tab w:val="left" w:pos="2253"/>
        </w:tabs>
        <w:ind w:left="1900" w:hanging="5"/>
        <w:jc w:val="both"/>
        <w:rPr>
          <w:rFonts w:eastAsia="Times New Roman"/>
          <w:sz w:val="24"/>
          <w:szCs w:val="24"/>
        </w:rPr>
      </w:pPr>
      <w:r w:rsidRPr="00B1021D">
        <w:rPr>
          <w:rFonts w:eastAsia="Times New Roman"/>
          <w:sz w:val="24"/>
          <w:szCs w:val="24"/>
        </w:rPr>
        <w:t xml:space="preserve">Matrix spike (MS) samples, as required by the methods in 310 CMR 22.20G(5)(a), must be spiked and filtered by a laboratory approved for </w:t>
      </w:r>
      <w:r w:rsidRPr="00B1021D">
        <w:rPr>
          <w:rFonts w:eastAsia="Times New Roman"/>
          <w:i/>
          <w:iCs/>
          <w:sz w:val="24"/>
          <w:szCs w:val="24"/>
        </w:rPr>
        <w:t>Cryptosporidium</w:t>
      </w:r>
      <w:r w:rsidRPr="00B1021D">
        <w:rPr>
          <w:rFonts w:eastAsia="Times New Roman"/>
          <w:sz w:val="24"/>
          <w:szCs w:val="24"/>
        </w:rPr>
        <w:t xml:space="preserve"> analysis under</w:t>
      </w:r>
      <w:r w:rsidR="00AB5B97">
        <w:rPr>
          <w:rFonts w:eastAsia="Times New Roman"/>
          <w:sz w:val="24"/>
          <w:szCs w:val="24"/>
        </w:rPr>
        <w:t xml:space="preserve"> 310 </w:t>
      </w:r>
      <w:r w:rsidRPr="00AB5B97">
        <w:rPr>
          <w:rFonts w:eastAsia="Times New Roman"/>
          <w:sz w:val="24"/>
          <w:szCs w:val="24"/>
        </w:rPr>
        <w:t>CMR 22.20G(6). If the volume of the MS sample is greater than 10 L, the system may filter all but 10 L of the MS sample in the field, and ship the filtered sample and the remaining 10 L of source water to the laboratory. In this case, the laboratory must spike the remaining 10 L of water and filter it through the filter used to collect the balance of the sample in the field.</w:t>
      </w:r>
    </w:p>
    <w:p w14:paraId="281A64A8" w14:textId="77777777" w:rsidR="004647B9" w:rsidRPr="00B1021D" w:rsidRDefault="00E2436F" w:rsidP="003A4D43">
      <w:pPr>
        <w:numPr>
          <w:ilvl w:val="2"/>
          <w:numId w:val="709"/>
        </w:numPr>
        <w:tabs>
          <w:tab w:val="left" w:pos="2332"/>
        </w:tabs>
        <w:ind w:left="1900" w:hanging="5"/>
        <w:rPr>
          <w:rFonts w:eastAsia="Times New Roman"/>
          <w:sz w:val="24"/>
          <w:szCs w:val="24"/>
        </w:rPr>
      </w:pPr>
      <w:r w:rsidRPr="00B1021D">
        <w:rPr>
          <w:rFonts w:eastAsia="Times New Roman"/>
          <w:sz w:val="24"/>
          <w:szCs w:val="24"/>
        </w:rPr>
        <w:t>Flow cytometer-counted spiking suspensions must be used for MS samples and ongoing precision and recovery (OPR) samples.</w:t>
      </w:r>
    </w:p>
    <w:p w14:paraId="281A64A9" w14:textId="77777777" w:rsidR="004647B9" w:rsidRPr="00B1021D" w:rsidRDefault="00E2436F" w:rsidP="003A4D43">
      <w:pPr>
        <w:numPr>
          <w:ilvl w:val="1"/>
          <w:numId w:val="710"/>
        </w:numPr>
        <w:tabs>
          <w:tab w:val="left" w:pos="1962"/>
        </w:tabs>
        <w:ind w:left="1540" w:hanging="5"/>
        <w:rPr>
          <w:rFonts w:eastAsia="Times New Roman"/>
          <w:sz w:val="24"/>
          <w:szCs w:val="24"/>
        </w:rPr>
      </w:pPr>
      <w:r w:rsidRPr="00B1021D">
        <w:rPr>
          <w:rFonts w:eastAsia="Times New Roman"/>
          <w:i/>
          <w:iCs/>
          <w:sz w:val="24"/>
          <w:szCs w:val="24"/>
          <w:u w:val="single"/>
        </w:rPr>
        <w:t>E. coli</w:t>
      </w:r>
      <w:r w:rsidRPr="00B1021D">
        <w:rPr>
          <w:rFonts w:eastAsia="Times New Roman"/>
          <w:sz w:val="24"/>
          <w:szCs w:val="24"/>
        </w:rPr>
        <w:t>. Systems must use methods for enumeration of</w:t>
      </w:r>
      <w:r w:rsidRPr="00B1021D">
        <w:rPr>
          <w:rFonts w:eastAsia="Times New Roman"/>
          <w:i/>
          <w:iCs/>
          <w:sz w:val="24"/>
          <w:szCs w:val="24"/>
        </w:rPr>
        <w:t xml:space="preserve"> E. coli </w:t>
      </w:r>
      <w:r w:rsidRPr="00B1021D">
        <w:rPr>
          <w:rFonts w:eastAsia="Times New Roman"/>
          <w:sz w:val="24"/>
          <w:szCs w:val="24"/>
        </w:rPr>
        <w:t>in source water approved</w:t>
      </w:r>
      <w:r w:rsidRPr="00B1021D">
        <w:rPr>
          <w:rFonts w:eastAsia="Times New Roman"/>
          <w:i/>
          <w:iCs/>
          <w:sz w:val="24"/>
          <w:szCs w:val="24"/>
        </w:rPr>
        <w:t xml:space="preserve"> </w:t>
      </w:r>
      <w:r w:rsidRPr="00B1021D">
        <w:rPr>
          <w:rFonts w:eastAsia="Times New Roman"/>
          <w:sz w:val="24"/>
          <w:szCs w:val="24"/>
        </w:rPr>
        <w:t>in accordance with 310 CMR 22.26(3)(c).</w:t>
      </w:r>
    </w:p>
    <w:p w14:paraId="281A64AA" w14:textId="77777777" w:rsidR="004647B9" w:rsidRPr="00B1021D" w:rsidRDefault="00E2436F" w:rsidP="003A4D43">
      <w:pPr>
        <w:numPr>
          <w:ilvl w:val="2"/>
          <w:numId w:val="710"/>
        </w:numPr>
        <w:tabs>
          <w:tab w:val="left" w:pos="2274"/>
        </w:tabs>
        <w:ind w:left="1900" w:hanging="5"/>
        <w:rPr>
          <w:rFonts w:eastAsia="Times New Roman"/>
          <w:sz w:val="24"/>
          <w:szCs w:val="24"/>
        </w:rPr>
      </w:pPr>
      <w:r w:rsidRPr="00B1021D">
        <w:rPr>
          <w:rFonts w:eastAsia="Times New Roman"/>
          <w:sz w:val="24"/>
          <w:szCs w:val="24"/>
        </w:rPr>
        <w:t>The time from sample collection to initiation of analysis may not exceed 30 hours unless the system meets the condition of 310 CMR 22.20G(5)(b)2.</w:t>
      </w:r>
    </w:p>
    <w:p w14:paraId="281A64AD" w14:textId="2CFF3359" w:rsidR="004647B9" w:rsidRPr="00AB5B97" w:rsidRDefault="00E2436F" w:rsidP="003A4D43">
      <w:pPr>
        <w:numPr>
          <w:ilvl w:val="2"/>
          <w:numId w:val="710"/>
        </w:numPr>
        <w:tabs>
          <w:tab w:val="left" w:pos="2320"/>
        </w:tabs>
        <w:ind w:left="1900"/>
        <w:jc w:val="both"/>
        <w:rPr>
          <w:sz w:val="24"/>
          <w:szCs w:val="24"/>
        </w:rPr>
      </w:pPr>
      <w:r w:rsidRPr="00AB5B97">
        <w:rPr>
          <w:rFonts w:eastAsia="Times New Roman"/>
          <w:sz w:val="24"/>
          <w:szCs w:val="24"/>
        </w:rPr>
        <w:t xml:space="preserve">The Department may approve on a case-by-case basis the holding of an </w:t>
      </w:r>
      <w:r w:rsidRPr="00AB5B97">
        <w:rPr>
          <w:rFonts w:eastAsia="Times New Roman"/>
          <w:i/>
          <w:iCs/>
          <w:sz w:val="24"/>
          <w:szCs w:val="24"/>
        </w:rPr>
        <w:t>E. coli</w:t>
      </w:r>
      <w:r w:rsidR="00AB5B97" w:rsidRPr="00AB5B97">
        <w:rPr>
          <w:rFonts w:eastAsia="Times New Roman"/>
          <w:i/>
          <w:iCs/>
          <w:sz w:val="24"/>
          <w:szCs w:val="24"/>
        </w:rPr>
        <w:t xml:space="preserve"> </w:t>
      </w:r>
      <w:r w:rsidRPr="00AB5B97">
        <w:rPr>
          <w:rFonts w:eastAsia="Times New Roman"/>
          <w:sz w:val="24"/>
          <w:szCs w:val="24"/>
        </w:rPr>
        <w:t xml:space="preserve">sample for up to 48 hours between sample collection and initiation of analysis if the Department determines that analyzing an </w:t>
      </w:r>
      <w:r w:rsidRPr="00AB5B97">
        <w:rPr>
          <w:rFonts w:eastAsia="Times New Roman"/>
          <w:i/>
          <w:iCs/>
          <w:sz w:val="24"/>
          <w:szCs w:val="24"/>
        </w:rPr>
        <w:t>E. coli</w:t>
      </w:r>
      <w:r w:rsidRPr="00AB5B97">
        <w:rPr>
          <w:rFonts w:eastAsia="Times New Roman"/>
          <w:sz w:val="24"/>
          <w:szCs w:val="24"/>
        </w:rPr>
        <w:t xml:space="preserve"> sample within 30 hours is not feasible. </w:t>
      </w:r>
      <w:r w:rsidRPr="00AB5B97">
        <w:rPr>
          <w:rFonts w:eastAsia="Times New Roman"/>
          <w:i/>
          <w:iCs/>
          <w:sz w:val="24"/>
          <w:szCs w:val="24"/>
        </w:rPr>
        <w:t xml:space="preserve">E. coli </w:t>
      </w:r>
      <w:r w:rsidRPr="00AB5B97">
        <w:rPr>
          <w:rFonts w:eastAsia="Times New Roman"/>
          <w:sz w:val="24"/>
          <w:szCs w:val="24"/>
        </w:rPr>
        <w:t>samples held between 30 to 48 hours must be analyzed by the Colilert reagent</w:t>
      </w:r>
      <w:r w:rsidRPr="00AB5B97">
        <w:rPr>
          <w:rFonts w:eastAsia="Times New Roman"/>
          <w:i/>
          <w:iCs/>
          <w:sz w:val="24"/>
          <w:szCs w:val="24"/>
        </w:rPr>
        <w:t xml:space="preserve"> </w:t>
      </w:r>
      <w:r w:rsidRPr="00AB5B97">
        <w:rPr>
          <w:rFonts w:eastAsia="Times New Roman"/>
          <w:sz w:val="24"/>
          <w:szCs w:val="24"/>
        </w:rPr>
        <w:t>version of Standard Method 9223B as listed in 310 CMR 22.26(3)(c).</w:t>
      </w:r>
    </w:p>
    <w:p w14:paraId="281A64AF" w14:textId="77777777" w:rsidR="004647B9" w:rsidRPr="00B1021D" w:rsidRDefault="00E2436F" w:rsidP="003A4D43">
      <w:pPr>
        <w:numPr>
          <w:ilvl w:val="1"/>
          <w:numId w:val="711"/>
        </w:numPr>
        <w:tabs>
          <w:tab w:val="left" w:pos="2238"/>
        </w:tabs>
        <w:ind w:left="1900" w:hanging="5"/>
        <w:rPr>
          <w:rFonts w:eastAsia="Times New Roman"/>
          <w:sz w:val="24"/>
          <w:szCs w:val="24"/>
        </w:rPr>
      </w:pPr>
      <w:r w:rsidRPr="00B1021D">
        <w:rPr>
          <w:rFonts w:eastAsia="Times New Roman"/>
          <w:sz w:val="24"/>
          <w:szCs w:val="24"/>
        </w:rPr>
        <w:t>Systems must maintain samples between 0/C and 10/C during storage and transit to the laboratory.</w:t>
      </w:r>
    </w:p>
    <w:p w14:paraId="281A64B0" w14:textId="77777777" w:rsidR="004647B9" w:rsidRPr="00B1021D" w:rsidRDefault="00E2436F" w:rsidP="003A4D43">
      <w:pPr>
        <w:numPr>
          <w:ilvl w:val="0"/>
          <w:numId w:val="712"/>
        </w:numPr>
        <w:tabs>
          <w:tab w:val="left" w:pos="1921"/>
        </w:tabs>
        <w:ind w:left="1540" w:hanging="5"/>
        <w:rPr>
          <w:rFonts w:eastAsia="Times New Roman"/>
          <w:sz w:val="24"/>
          <w:szCs w:val="24"/>
        </w:rPr>
      </w:pPr>
      <w:r w:rsidRPr="00B1021D">
        <w:rPr>
          <w:rFonts w:eastAsia="Times New Roman"/>
          <w:sz w:val="24"/>
          <w:szCs w:val="24"/>
          <w:u w:val="single"/>
        </w:rPr>
        <w:t>Turbidity</w:t>
      </w:r>
      <w:r w:rsidRPr="00B1021D">
        <w:rPr>
          <w:rFonts w:eastAsia="Times New Roman"/>
          <w:sz w:val="24"/>
          <w:szCs w:val="24"/>
        </w:rPr>
        <w:t>. Systems must use methods for Turbidity measurement approved in 310 CMR 22.20A(5)(a)1.</w:t>
      </w:r>
    </w:p>
    <w:p w14:paraId="281A64B1" w14:textId="77777777" w:rsidR="004647B9" w:rsidRDefault="004647B9" w:rsidP="003A4D43">
      <w:pPr>
        <w:sectPr w:rsidR="004647B9" w:rsidSect="00EF630C">
          <w:pgSz w:w="12240" w:h="20180"/>
          <w:pgMar w:top="708" w:right="1440" w:bottom="1440" w:left="620" w:header="0" w:footer="0" w:gutter="0"/>
          <w:cols w:space="720"/>
        </w:sectPr>
      </w:pPr>
    </w:p>
    <w:p w14:paraId="281A64B2" w14:textId="77777777" w:rsidR="004647B9" w:rsidRDefault="00E2436F">
      <w:pPr>
        <w:tabs>
          <w:tab w:val="left" w:pos="160"/>
        </w:tabs>
        <w:ind w:right="20"/>
        <w:jc w:val="center"/>
        <w:rPr>
          <w:sz w:val="20"/>
          <w:szCs w:val="20"/>
        </w:rPr>
      </w:pPr>
      <w:bookmarkStart w:id="291" w:name="page295"/>
      <w:bookmarkEnd w:id="29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4B3" w14:textId="77777777" w:rsidR="004647B9" w:rsidRDefault="004647B9" w:rsidP="003A4D43">
      <w:pPr>
        <w:rPr>
          <w:sz w:val="20"/>
          <w:szCs w:val="20"/>
        </w:rPr>
      </w:pPr>
    </w:p>
    <w:p w14:paraId="281A64B4" w14:textId="77777777" w:rsidR="004647B9" w:rsidRDefault="004647B9" w:rsidP="003A4D43">
      <w:pPr>
        <w:rPr>
          <w:sz w:val="20"/>
          <w:szCs w:val="20"/>
        </w:rPr>
      </w:pPr>
    </w:p>
    <w:p w14:paraId="281A64B5" w14:textId="77777777" w:rsidR="004647B9" w:rsidRPr="008B495F" w:rsidRDefault="00E2436F" w:rsidP="003A4D43">
      <w:pPr>
        <w:tabs>
          <w:tab w:val="left" w:pos="940"/>
        </w:tabs>
        <w:rPr>
          <w:sz w:val="24"/>
          <w:szCs w:val="24"/>
        </w:rPr>
      </w:pPr>
      <w:r w:rsidRPr="008B495F">
        <w:rPr>
          <w:rFonts w:eastAsia="Times New Roman"/>
          <w:sz w:val="24"/>
          <w:szCs w:val="24"/>
        </w:rPr>
        <w:t>22.20G:</w:t>
      </w:r>
      <w:r w:rsidRPr="008B495F">
        <w:rPr>
          <w:rFonts w:eastAsia="Times New Roman"/>
          <w:sz w:val="24"/>
          <w:szCs w:val="24"/>
        </w:rPr>
        <w:tab/>
        <w:t>continued</w:t>
      </w:r>
    </w:p>
    <w:p w14:paraId="281A64B6" w14:textId="77777777" w:rsidR="004647B9" w:rsidRPr="003A4D43" w:rsidRDefault="004647B9" w:rsidP="003A4D43">
      <w:pPr>
        <w:rPr>
          <w:sz w:val="20"/>
          <w:szCs w:val="20"/>
        </w:rPr>
      </w:pPr>
    </w:p>
    <w:p w14:paraId="281A64B7" w14:textId="77777777" w:rsidR="004647B9" w:rsidRPr="008B495F" w:rsidRDefault="00E2436F" w:rsidP="003A4D43">
      <w:pPr>
        <w:numPr>
          <w:ilvl w:val="0"/>
          <w:numId w:val="713"/>
        </w:numPr>
        <w:tabs>
          <w:tab w:val="left" w:pos="1640"/>
        </w:tabs>
        <w:ind w:left="1640" w:hanging="460"/>
        <w:rPr>
          <w:rFonts w:eastAsia="Times New Roman"/>
          <w:sz w:val="24"/>
          <w:szCs w:val="24"/>
        </w:rPr>
      </w:pPr>
      <w:r w:rsidRPr="008B495F">
        <w:rPr>
          <w:rFonts w:eastAsia="Times New Roman"/>
          <w:sz w:val="24"/>
          <w:szCs w:val="24"/>
          <w:u w:val="single"/>
        </w:rPr>
        <w:t>Approved Laboratories</w:t>
      </w:r>
      <w:r w:rsidRPr="008B495F">
        <w:rPr>
          <w:rFonts w:eastAsia="Times New Roman"/>
          <w:sz w:val="24"/>
          <w:szCs w:val="24"/>
        </w:rPr>
        <w:t>.</w:t>
      </w:r>
    </w:p>
    <w:p w14:paraId="281A64BB" w14:textId="082449E7" w:rsidR="004647B9" w:rsidRPr="008B495F" w:rsidRDefault="00E2436F" w:rsidP="003A4D43">
      <w:pPr>
        <w:numPr>
          <w:ilvl w:val="1"/>
          <w:numId w:val="713"/>
        </w:numPr>
        <w:tabs>
          <w:tab w:val="left" w:pos="2142"/>
        </w:tabs>
        <w:ind w:left="1540"/>
        <w:jc w:val="both"/>
        <w:rPr>
          <w:sz w:val="24"/>
          <w:szCs w:val="24"/>
        </w:rPr>
      </w:pPr>
      <w:r w:rsidRPr="008B495F">
        <w:rPr>
          <w:rFonts w:eastAsia="Times New Roman"/>
          <w:i/>
          <w:iCs/>
          <w:sz w:val="24"/>
          <w:szCs w:val="24"/>
          <w:u w:val="single"/>
        </w:rPr>
        <w:t>Cryptosporidium</w:t>
      </w:r>
      <w:r w:rsidRPr="008B495F">
        <w:rPr>
          <w:rFonts w:eastAsia="Times New Roman"/>
          <w:sz w:val="24"/>
          <w:szCs w:val="24"/>
        </w:rPr>
        <w:t>. Systems must have</w:t>
      </w:r>
      <w:r w:rsidRPr="008B495F">
        <w:rPr>
          <w:rFonts w:eastAsia="Times New Roman"/>
          <w:i/>
          <w:iCs/>
          <w:sz w:val="24"/>
          <w:szCs w:val="24"/>
        </w:rPr>
        <w:t xml:space="preserve"> Cryptosporidium </w:t>
      </w:r>
      <w:r w:rsidRPr="008B495F">
        <w:rPr>
          <w:rFonts w:eastAsia="Times New Roman"/>
          <w:sz w:val="24"/>
          <w:szCs w:val="24"/>
        </w:rPr>
        <w:t>samples analyzed by a</w:t>
      </w:r>
      <w:r w:rsidRPr="008B495F">
        <w:rPr>
          <w:rFonts w:eastAsia="Times New Roman"/>
          <w:i/>
          <w:iCs/>
          <w:sz w:val="24"/>
          <w:szCs w:val="24"/>
        </w:rPr>
        <w:t xml:space="preserve"> </w:t>
      </w:r>
      <w:r w:rsidRPr="008B495F">
        <w:rPr>
          <w:rFonts w:eastAsia="Times New Roman"/>
          <w:sz w:val="24"/>
          <w:szCs w:val="24"/>
        </w:rPr>
        <w:t xml:space="preserve">laboratory that is approved under EPA’s Laboratory Quality Assurance Evaluation Program for Analysis of </w:t>
      </w:r>
      <w:r w:rsidRPr="008B495F">
        <w:rPr>
          <w:rFonts w:eastAsia="Times New Roman"/>
          <w:i/>
          <w:iCs/>
          <w:sz w:val="24"/>
          <w:szCs w:val="24"/>
        </w:rPr>
        <w:t>Cryptosporidium</w:t>
      </w:r>
      <w:r w:rsidRPr="008B495F">
        <w:rPr>
          <w:rFonts w:eastAsia="Times New Roman"/>
          <w:sz w:val="24"/>
          <w:szCs w:val="24"/>
        </w:rPr>
        <w:t xml:space="preserve"> in Water or a laboratory that has been certified for</w:t>
      </w:r>
      <w:r w:rsidR="00E87C31" w:rsidRPr="008B495F">
        <w:rPr>
          <w:rFonts w:eastAsia="Times New Roman"/>
          <w:sz w:val="24"/>
          <w:szCs w:val="24"/>
        </w:rPr>
        <w:t xml:space="preserve"> </w:t>
      </w:r>
      <w:r w:rsidRPr="008B495F">
        <w:rPr>
          <w:rFonts w:eastAsia="Times New Roman"/>
          <w:i/>
          <w:iCs/>
          <w:sz w:val="24"/>
          <w:szCs w:val="24"/>
        </w:rPr>
        <w:t xml:space="preserve">Cryptosporidium </w:t>
      </w:r>
      <w:r w:rsidRPr="008B495F">
        <w:rPr>
          <w:rFonts w:eastAsia="Times New Roman"/>
          <w:sz w:val="24"/>
          <w:szCs w:val="24"/>
        </w:rPr>
        <w:t>analysis by an equivalent Department laboratory certification program.</w:t>
      </w:r>
    </w:p>
    <w:p w14:paraId="281A64BD" w14:textId="77777777" w:rsidR="004647B9" w:rsidRPr="008B495F" w:rsidRDefault="00E2436F" w:rsidP="003A4D43">
      <w:pPr>
        <w:numPr>
          <w:ilvl w:val="1"/>
          <w:numId w:val="714"/>
        </w:numPr>
        <w:tabs>
          <w:tab w:val="left" w:pos="2006"/>
        </w:tabs>
        <w:ind w:left="1540" w:hanging="5"/>
        <w:jc w:val="both"/>
        <w:rPr>
          <w:rFonts w:eastAsia="Times New Roman"/>
          <w:sz w:val="24"/>
          <w:szCs w:val="24"/>
        </w:rPr>
      </w:pPr>
      <w:r w:rsidRPr="008B495F">
        <w:rPr>
          <w:rFonts w:eastAsia="Times New Roman"/>
          <w:i/>
          <w:iCs/>
          <w:sz w:val="24"/>
          <w:szCs w:val="24"/>
          <w:u w:val="single"/>
        </w:rPr>
        <w:t>E. coli</w:t>
      </w:r>
      <w:r w:rsidRPr="008B495F">
        <w:rPr>
          <w:rFonts w:eastAsia="Times New Roman"/>
          <w:sz w:val="24"/>
          <w:szCs w:val="24"/>
        </w:rPr>
        <w:t>. Any laboratory certified by the EPA, the National Environmental Laboratory</w:t>
      </w:r>
      <w:r w:rsidRPr="008B495F">
        <w:rPr>
          <w:rFonts w:eastAsia="Times New Roman"/>
          <w:i/>
          <w:iCs/>
          <w:sz w:val="24"/>
          <w:szCs w:val="24"/>
        </w:rPr>
        <w:t xml:space="preserve"> </w:t>
      </w:r>
      <w:r w:rsidRPr="008B495F">
        <w:rPr>
          <w:rFonts w:eastAsia="Times New Roman"/>
          <w:sz w:val="24"/>
          <w:szCs w:val="24"/>
        </w:rPr>
        <w:t xml:space="preserve">Accreditation Conference or the Department for total coliform or fecal coliform analysis under 310 CMR 22.20A(5) is approved for </w:t>
      </w:r>
      <w:r w:rsidRPr="008B495F">
        <w:rPr>
          <w:rFonts w:eastAsia="Times New Roman"/>
          <w:i/>
          <w:iCs/>
          <w:sz w:val="24"/>
          <w:szCs w:val="24"/>
        </w:rPr>
        <w:t>E. coli</w:t>
      </w:r>
      <w:r w:rsidRPr="008B495F">
        <w:rPr>
          <w:rFonts w:eastAsia="Times New Roman"/>
          <w:sz w:val="24"/>
          <w:szCs w:val="24"/>
        </w:rPr>
        <w:t xml:space="preserve"> analysis under 310 CMR 22.20G when the laboratory uses the same technique for </w:t>
      </w:r>
      <w:r w:rsidRPr="008B495F">
        <w:rPr>
          <w:rFonts w:eastAsia="Times New Roman"/>
          <w:i/>
          <w:iCs/>
          <w:sz w:val="24"/>
          <w:szCs w:val="24"/>
        </w:rPr>
        <w:t>E. coli</w:t>
      </w:r>
      <w:r w:rsidRPr="008B495F">
        <w:rPr>
          <w:rFonts w:eastAsia="Times New Roman"/>
          <w:sz w:val="24"/>
          <w:szCs w:val="24"/>
        </w:rPr>
        <w:t xml:space="preserve"> that the laboratory uses for 310 CMR 22.20A(5).</w:t>
      </w:r>
    </w:p>
    <w:p w14:paraId="281A64BF" w14:textId="77777777" w:rsidR="004647B9" w:rsidRPr="008B495F" w:rsidRDefault="00E2436F" w:rsidP="003A4D43">
      <w:pPr>
        <w:numPr>
          <w:ilvl w:val="1"/>
          <w:numId w:val="714"/>
        </w:numPr>
        <w:tabs>
          <w:tab w:val="left" w:pos="2078"/>
        </w:tabs>
        <w:ind w:left="1540" w:hanging="5"/>
        <w:rPr>
          <w:rFonts w:eastAsia="Times New Roman"/>
          <w:sz w:val="24"/>
          <w:szCs w:val="24"/>
        </w:rPr>
      </w:pPr>
      <w:r w:rsidRPr="008B495F">
        <w:rPr>
          <w:rFonts w:eastAsia="Times New Roman"/>
          <w:sz w:val="24"/>
          <w:szCs w:val="24"/>
          <w:u w:val="single"/>
        </w:rPr>
        <w:t>Turbidity</w:t>
      </w:r>
      <w:r w:rsidRPr="008B495F">
        <w:rPr>
          <w:rFonts w:eastAsia="Times New Roman"/>
          <w:sz w:val="24"/>
          <w:szCs w:val="24"/>
        </w:rPr>
        <w:t>. Measurements of Turbidity must be made by a party approved by the Department.</w:t>
      </w:r>
    </w:p>
    <w:p w14:paraId="281A64C0" w14:textId="77777777" w:rsidR="004647B9" w:rsidRPr="008B495F" w:rsidRDefault="004647B9" w:rsidP="003A4D43">
      <w:pPr>
        <w:rPr>
          <w:rFonts w:eastAsia="Times New Roman"/>
          <w:sz w:val="24"/>
          <w:szCs w:val="24"/>
        </w:rPr>
      </w:pPr>
    </w:p>
    <w:p w14:paraId="281A64C1" w14:textId="77777777" w:rsidR="004647B9" w:rsidRPr="008B495F" w:rsidRDefault="00E2436F" w:rsidP="003A4D43">
      <w:pPr>
        <w:numPr>
          <w:ilvl w:val="0"/>
          <w:numId w:val="715"/>
        </w:numPr>
        <w:tabs>
          <w:tab w:val="left" w:pos="1640"/>
        </w:tabs>
        <w:ind w:left="1640" w:hanging="460"/>
        <w:rPr>
          <w:rFonts w:eastAsia="Times New Roman"/>
          <w:sz w:val="24"/>
          <w:szCs w:val="24"/>
        </w:rPr>
      </w:pPr>
      <w:r w:rsidRPr="008B495F">
        <w:rPr>
          <w:rFonts w:eastAsia="Times New Roman"/>
          <w:sz w:val="24"/>
          <w:szCs w:val="24"/>
          <w:u w:val="single"/>
        </w:rPr>
        <w:t>Reporting Source Water Monitoring Results</w:t>
      </w:r>
      <w:r w:rsidRPr="008B495F">
        <w:rPr>
          <w:rFonts w:eastAsia="Times New Roman"/>
          <w:sz w:val="24"/>
          <w:szCs w:val="24"/>
        </w:rPr>
        <w:t>.</w:t>
      </w:r>
    </w:p>
    <w:p w14:paraId="281A64C3" w14:textId="77777777" w:rsidR="004647B9" w:rsidRPr="008B495F" w:rsidRDefault="00E2436F" w:rsidP="003A4D43">
      <w:pPr>
        <w:numPr>
          <w:ilvl w:val="1"/>
          <w:numId w:val="715"/>
        </w:numPr>
        <w:tabs>
          <w:tab w:val="left" w:pos="1943"/>
        </w:tabs>
        <w:ind w:left="1540" w:hanging="5"/>
        <w:jc w:val="both"/>
        <w:rPr>
          <w:rFonts w:eastAsia="Times New Roman"/>
          <w:sz w:val="24"/>
          <w:szCs w:val="24"/>
        </w:rPr>
      </w:pPr>
      <w:r w:rsidRPr="008B495F">
        <w:rPr>
          <w:rFonts w:eastAsia="Times New Roman"/>
          <w:sz w:val="24"/>
          <w:szCs w:val="24"/>
        </w:rPr>
        <w:t>Systems must report results from the source water monitoring required under 310 CMR 22.20G(2) no later than ten days after the end of the first month following the month when the sample is collected.</w:t>
      </w:r>
    </w:p>
    <w:p w14:paraId="4B6F3A55" w14:textId="25977857" w:rsidR="00717E07" w:rsidRPr="008B495F" w:rsidRDefault="00E2436F" w:rsidP="003A4D43">
      <w:pPr>
        <w:numPr>
          <w:ilvl w:val="1"/>
          <w:numId w:val="715"/>
        </w:numPr>
        <w:tabs>
          <w:tab w:val="left" w:pos="1957"/>
        </w:tabs>
        <w:ind w:left="1540" w:hanging="5"/>
        <w:jc w:val="both"/>
        <w:rPr>
          <w:rFonts w:eastAsia="Times New Roman"/>
          <w:sz w:val="24"/>
          <w:szCs w:val="24"/>
        </w:rPr>
      </w:pPr>
      <w:r w:rsidRPr="008B495F">
        <w:rPr>
          <w:rFonts w:eastAsia="Times New Roman"/>
          <w:sz w:val="24"/>
          <w:szCs w:val="24"/>
        </w:rPr>
        <w:t xml:space="preserve">All systems serving at least 10,000 people must report the results from the initial source water monitoring required under 310 CMR 22.20G(2)(a) to EPA electronically at </w:t>
      </w:r>
      <w:hyperlink r:id="rId28" w:history="1">
        <w:r w:rsidR="00110EFA" w:rsidRPr="00DB7E1A">
          <w:rPr>
            <w:rStyle w:val="Hyperlink"/>
            <w:rFonts w:eastAsia="Times New Roman"/>
            <w:sz w:val="24"/>
            <w:szCs w:val="24"/>
          </w:rPr>
          <w:t>https://intranet.epa.gov/lt2/</w:t>
        </w:r>
      </w:hyperlink>
      <w:r w:rsidRPr="008B495F">
        <w:rPr>
          <w:rFonts w:eastAsia="Times New Roman"/>
          <w:sz w:val="24"/>
          <w:szCs w:val="24"/>
        </w:rPr>
        <w:t>. If a system is unable to report monitoring results electronically, the system may use an alternative approach for reporting monitoring results that</w:t>
      </w:r>
      <w:r w:rsidR="003904CE" w:rsidRPr="008B495F">
        <w:rPr>
          <w:rFonts w:eastAsia="Times New Roman"/>
          <w:sz w:val="24"/>
          <w:szCs w:val="24"/>
        </w:rPr>
        <w:t xml:space="preserve"> </w:t>
      </w:r>
      <w:r w:rsidRPr="008B495F">
        <w:rPr>
          <w:rFonts w:eastAsia="Times New Roman"/>
          <w:sz w:val="24"/>
          <w:szCs w:val="24"/>
        </w:rPr>
        <w:t>EPA approves.</w:t>
      </w:r>
    </w:p>
    <w:p w14:paraId="281A64C7" w14:textId="16B8D279" w:rsidR="004647B9" w:rsidRPr="008B495F" w:rsidRDefault="00E2436F" w:rsidP="003A4D43">
      <w:pPr>
        <w:numPr>
          <w:ilvl w:val="1"/>
          <w:numId w:val="715"/>
        </w:numPr>
        <w:tabs>
          <w:tab w:val="left" w:pos="1957"/>
        </w:tabs>
        <w:ind w:left="1540" w:hanging="5"/>
        <w:jc w:val="both"/>
        <w:rPr>
          <w:rFonts w:eastAsia="Times New Roman"/>
          <w:sz w:val="24"/>
          <w:szCs w:val="24"/>
        </w:rPr>
      </w:pPr>
      <w:r w:rsidRPr="008B495F">
        <w:rPr>
          <w:rFonts w:eastAsia="Times New Roman"/>
          <w:sz w:val="24"/>
          <w:szCs w:val="24"/>
        </w:rPr>
        <w:t>Systems serving fewer than 10,000 individuals must report results from the initial source water monitoring required under 310 CMR 22.20G(2)(a) to the Department.</w:t>
      </w:r>
    </w:p>
    <w:p w14:paraId="281A64C8" w14:textId="77777777" w:rsidR="004647B9" w:rsidRPr="008B495F" w:rsidRDefault="00E2436F" w:rsidP="003A4D43">
      <w:pPr>
        <w:numPr>
          <w:ilvl w:val="1"/>
          <w:numId w:val="715"/>
        </w:numPr>
        <w:tabs>
          <w:tab w:val="left" w:pos="1943"/>
        </w:tabs>
        <w:ind w:left="1540" w:hanging="5"/>
        <w:jc w:val="both"/>
        <w:rPr>
          <w:rFonts w:eastAsia="Times New Roman"/>
          <w:sz w:val="24"/>
          <w:szCs w:val="24"/>
        </w:rPr>
      </w:pPr>
      <w:r w:rsidRPr="008B495F">
        <w:rPr>
          <w:rFonts w:eastAsia="Times New Roman"/>
          <w:sz w:val="24"/>
          <w:szCs w:val="24"/>
        </w:rPr>
        <w:t>All systems must report results from the second round of source water monitoring required under 310 CMR 22.20G(2)(b) to the Department.</w:t>
      </w:r>
    </w:p>
    <w:p w14:paraId="281A64C9" w14:textId="77777777" w:rsidR="004647B9" w:rsidRPr="008B495F" w:rsidRDefault="00E2436F" w:rsidP="003A4D43">
      <w:pPr>
        <w:numPr>
          <w:ilvl w:val="1"/>
          <w:numId w:val="715"/>
        </w:numPr>
        <w:tabs>
          <w:tab w:val="left" w:pos="1938"/>
        </w:tabs>
        <w:ind w:left="1540" w:hanging="5"/>
        <w:jc w:val="both"/>
        <w:rPr>
          <w:rFonts w:eastAsia="Times New Roman"/>
          <w:sz w:val="24"/>
          <w:szCs w:val="24"/>
        </w:rPr>
      </w:pPr>
      <w:r w:rsidRPr="008B495F">
        <w:rPr>
          <w:rFonts w:eastAsia="Times New Roman"/>
          <w:sz w:val="24"/>
          <w:szCs w:val="24"/>
        </w:rPr>
        <w:t>Systems must report the applicable information in paragraphs 310 CMR 22.20G(7)(e)1. and 2. for the source water monitoring required under 310 CMR 22.20G(2).</w:t>
      </w:r>
    </w:p>
    <w:p w14:paraId="281A64CB" w14:textId="77777777" w:rsidR="004647B9" w:rsidRPr="008B495F" w:rsidRDefault="00E2436F" w:rsidP="003D2EF9">
      <w:pPr>
        <w:numPr>
          <w:ilvl w:val="2"/>
          <w:numId w:val="715"/>
        </w:numPr>
        <w:tabs>
          <w:tab w:val="left" w:pos="2220"/>
        </w:tabs>
        <w:ind w:left="1901"/>
        <w:rPr>
          <w:rFonts w:eastAsia="Times New Roman"/>
          <w:sz w:val="24"/>
          <w:szCs w:val="24"/>
        </w:rPr>
      </w:pPr>
      <w:r w:rsidRPr="008B495F">
        <w:rPr>
          <w:rFonts w:eastAsia="Times New Roman"/>
          <w:sz w:val="24"/>
          <w:szCs w:val="24"/>
        </w:rPr>
        <w:t xml:space="preserve">Systems must report the following data elements for each </w:t>
      </w:r>
      <w:r w:rsidRPr="008B495F">
        <w:rPr>
          <w:rFonts w:eastAsia="Times New Roman"/>
          <w:i/>
          <w:iCs/>
          <w:sz w:val="24"/>
          <w:szCs w:val="24"/>
        </w:rPr>
        <w:t>Cryptosporidium</w:t>
      </w:r>
      <w:r w:rsidRPr="008B495F">
        <w:rPr>
          <w:rFonts w:eastAsia="Times New Roman"/>
          <w:sz w:val="24"/>
          <w:szCs w:val="24"/>
        </w:rPr>
        <w:t xml:space="preserve"> analysis:</w:t>
      </w:r>
    </w:p>
    <w:p w14:paraId="281A64CD" w14:textId="77777777" w:rsidR="004647B9" w:rsidRPr="008B495F" w:rsidRDefault="00E2436F" w:rsidP="003A4D43">
      <w:pPr>
        <w:numPr>
          <w:ilvl w:val="3"/>
          <w:numId w:val="715"/>
        </w:numPr>
        <w:tabs>
          <w:tab w:val="left" w:pos="2600"/>
        </w:tabs>
        <w:ind w:left="2600" w:hanging="345"/>
        <w:rPr>
          <w:rFonts w:eastAsia="Times New Roman"/>
          <w:sz w:val="24"/>
          <w:szCs w:val="24"/>
        </w:rPr>
      </w:pPr>
      <w:r w:rsidRPr="008B495F">
        <w:rPr>
          <w:rFonts w:eastAsia="Times New Roman"/>
          <w:sz w:val="24"/>
          <w:szCs w:val="24"/>
        </w:rPr>
        <w:t>PWS ID;</w:t>
      </w:r>
    </w:p>
    <w:p w14:paraId="281A64CF" w14:textId="77777777" w:rsidR="004647B9" w:rsidRPr="008B495F" w:rsidRDefault="00E2436F" w:rsidP="003A4D43">
      <w:pPr>
        <w:numPr>
          <w:ilvl w:val="3"/>
          <w:numId w:val="715"/>
        </w:numPr>
        <w:tabs>
          <w:tab w:val="left" w:pos="2620"/>
        </w:tabs>
        <w:ind w:left="2620" w:hanging="365"/>
        <w:rPr>
          <w:rFonts w:eastAsia="Times New Roman"/>
          <w:sz w:val="24"/>
          <w:szCs w:val="24"/>
        </w:rPr>
      </w:pPr>
      <w:r w:rsidRPr="008B495F">
        <w:rPr>
          <w:rFonts w:eastAsia="Times New Roman"/>
          <w:sz w:val="24"/>
          <w:szCs w:val="24"/>
        </w:rPr>
        <w:t>Facility ID;</w:t>
      </w:r>
    </w:p>
    <w:p w14:paraId="281A64D1" w14:textId="77777777" w:rsidR="004647B9" w:rsidRPr="008B495F" w:rsidRDefault="00E2436F" w:rsidP="003A4D43">
      <w:pPr>
        <w:numPr>
          <w:ilvl w:val="3"/>
          <w:numId w:val="715"/>
        </w:numPr>
        <w:tabs>
          <w:tab w:val="left" w:pos="2600"/>
        </w:tabs>
        <w:ind w:left="2600" w:hanging="345"/>
        <w:rPr>
          <w:rFonts w:eastAsia="Times New Roman"/>
          <w:sz w:val="24"/>
          <w:szCs w:val="24"/>
        </w:rPr>
      </w:pPr>
      <w:r w:rsidRPr="008B495F">
        <w:rPr>
          <w:rFonts w:eastAsia="Times New Roman"/>
          <w:sz w:val="24"/>
          <w:szCs w:val="24"/>
        </w:rPr>
        <w:t>Sample collection date;</w:t>
      </w:r>
    </w:p>
    <w:p w14:paraId="281A64D3" w14:textId="77777777" w:rsidR="004647B9" w:rsidRPr="008B495F" w:rsidRDefault="00E2436F" w:rsidP="003A4D43">
      <w:pPr>
        <w:numPr>
          <w:ilvl w:val="3"/>
          <w:numId w:val="715"/>
        </w:numPr>
        <w:tabs>
          <w:tab w:val="left" w:pos="2620"/>
        </w:tabs>
        <w:ind w:left="2620" w:hanging="365"/>
        <w:rPr>
          <w:rFonts w:eastAsia="Times New Roman"/>
          <w:sz w:val="24"/>
          <w:szCs w:val="24"/>
        </w:rPr>
      </w:pPr>
      <w:r w:rsidRPr="008B495F">
        <w:rPr>
          <w:rFonts w:eastAsia="Times New Roman"/>
          <w:sz w:val="24"/>
          <w:szCs w:val="24"/>
        </w:rPr>
        <w:t>Sample type (field or matrix spike);</w:t>
      </w:r>
    </w:p>
    <w:p w14:paraId="281A64D5" w14:textId="77777777" w:rsidR="004647B9" w:rsidRPr="008B495F" w:rsidRDefault="00E2436F" w:rsidP="003A4D43">
      <w:pPr>
        <w:numPr>
          <w:ilvl w:val="3"/>
          <w:numId w:val="715"/>
        </w:numPr>
        <w:tabs>
          <w:tab w:val="left" w:pos="2600"/>
        </w:tabs>
        <w:ind w:left="2600" w:hanging="345"/>
        <w:rPr>
          <w:rFonts w:eastAsia="Times New Roman"/>
          <w:sz w:val="24"/>
          <w:szCs w:val="24"/>
        </w:rPr>
      </w:pPr>
      <w:r w:rsidRPr="008B495F">
        <w:rPr>
          <w:rFonts w:eastAsia="Times New Roman"/>
          <w:sz w:val="24"/>
          <w:szCs w:val="24"/>
        </w:rPr>
        <w:t>Sample volume filtered (L), to nearest ¼ L;</w:t>
      </w:r>
    </w:p>
    <w:p w14:paraId="281A64D7" w14:textId="77777777" w:rsidR="004647B9" w:rsidRPr="008B495F" w:rsidRDefault="00E2436F" w:rsidP="003A4D43">
      <w:pPr>
        <w:numPr>
          <w:ilvl w:val="3"/>
          <w:numId w:val="715"/>
        </w:numPr>
        <w:tabs>
          <w:tab w:val="left" w:pos="2580"/>
        </w:tabs>
        <w:ind w:left="2580" w:hanging="325"/>
        <w:rPr>
          <w:rFonts w:eastAsia="Times New Roman"/>
          <w:sz w:val="24"/>
          <w:szCs w:val="24"/>
        </w:rPr>
      </w:pPr>
      <w:r w:rsidRPr="008B495F">
        <w:rPr>
          <w:rFonts w:eastAsia="Times New Roman"/>
          <w:sz w:val="24"/>
          <w:szCs w:val="24"/>
        </w:rPr>
        <w:t>Was 100% of filtered volume examined; and</w:t>
      </w:r>
    </w:p>
    <w:p w14:paraId="281A64D9" w14:textId="77777777" w:rsidR="004647B9" w:rsidRPr="008B495F" w:rsidRDefault="00E2436F" w:rsidP="003A4D43">
      <w:pPr>
        <w:numPr>
          <w:ilvl w:val="3"/>
          <w:numId w:val="715"/>
        </w:numPr>
        <w:tabs>
          <w:tab w:val="left" w:pos="2620"/>
        </w:tabs>
        <w:ind w:left="2620" w:hanging="365"/>
        <w:rPr>
          <w:rFonts w:eastAsia="Times New Roman"/>
          <w:sz w:val="24"/>
          <w:szCs w:val="24"/>
        </w:rPr>
      </w:pPr>
      <w:r w:rsidRPr="008B495F">
        <w:rPr>
          <w:rFonts w:eastAsia="Times New Roman"/>
          <w:sz w:val="24"/>
          <w:szCs w:val="24"/>
        </w:rPr>
        <w:t xml:space="preserve">Number of </w:t>
      </w:r>
      <w:r w:rsidRPr="008B495F">
        <w:rPr>
          <w:rFonts w:eastAsia="Times New Roman"/>
          <w:i/>
          <w:iCs/>
          <w:sz w:val="24"/>
          <w:szCs w:val="24"/>
        </w:rPr>
        <w:t>oocysts</w:t>
      </w:r>
      <w:r w:rsidRPr="008B495F">
        <w:rPr>
          <w:rFonts w:eastAsia="Times New Roman"/>
          <w:sz w:val="24"/>
          <w:szCs w:val="24"/>
        </w:rPr>
        <w:t xml:space="preserve"> counted.</w:t>
      </w:r>
    </w:p>
    <w:p w14:paraId="281A64DB" w14:textId="77777777" w:rsidR="004647B9" w:rsidRPr="008B495F" w:rsidRDefault="00E2436F" w:rsidP="003A4D43">
      <w:pPr>
        <w:numPr>
          <w:ilvl w:val="4"/>
          <w:numId w:val="715"/>
        </w:numPr>
        <w:tabs>
          <w:tab w:val="left" w:pos="2884"/>
        </w:tabs>
        <w:ind w:left="2620" w:hanging="5"/>
        <w:jc w:val="both"/>
        <w:rPr>
          <w:rFonts w:eastAsia="Times New Roman"/>
          <w:sz w:val="24"/>
          <w:szCs w:val="24"/>
        </w:rPr>
      </w:pPr>
      <w:r w:rsidRPr="008B495F">
        <w:rPr>
          <w:rFonts w:eastAsia="Times New Roman"/>
          <w:sz w:val="24"/>
          <w:szCs w:val="24"/>
        </w:rPr>
        <w:t xml:space="preserve">For matrix spike samples, systems must also report the sample volume spiked and estimated number of </w:t>
      </w:r>
      <w:r w:rsidRPr="008B495F">
        <w:rPr>
          <w:rFonts w:eastAsia="Times New Roman"/>
          <w:i/>
          <w:iCs/>
          <w:sz w:val="24"/>
          <w:szCs w:val="24"/>
        </w:rPr>
        <w:t>oocysts</w:t>
      </w:r>
      <w:r w:rsidRPr="008B495F">
        <w:rPr>
          <w:rFonts w:eastAsia="Times New Roman"/>
          <w:sz w:val="24"/>
          <w:szCs w:val="24"/>
        </w:rPr>
        <w:t xml:space="preserve"> spiked. These data are not required for field samples.</w:t>
      </w:r>
    </w:p>
    <w:p w14:paraId="281A64DD" w14:textId="77777777" w:rsidR="004647B9" w:rsidRPr="008B495F" w:rsidRDefault="00E2436F" w:rsidP="003A4D43">
      <w:pPr>
        <w:numPr>
          <w:ilvl w:val="4"/>
          <w:numId w:val="715"/>
        </w:numPr>
        <w:tabs>
          <w:tab w:val="left" w:pos="3051"/>
        </w:tabs>
        <w:ind w:left="2620" w:hanging="5"/>
        <w:jc w:val="both"/>
        <w:rPr>
          <w:rFonts w:eastAsia="Times New Roman"/>
          <w:sz w:val="24"/>
          <w:szCs w:val="24"/>
        </w:rPr>
      </w:pPr>
      <w:r w:rsidRPr="008B495F">
        <w:rPr>
          <w:rFonts w:eastAsia="Times New Roman"/>
          <w:sz w:val="24"/>
          <w:szCs w:val="24"/>
        </w:rPr>
        <w:t>For samples in which less than 10 L is filtered or less than 100% of the sample volume is examined, systems must also report the number of filters used and the packed pellet volume.</w:t>
      </w:r>
    </w:p>
    <w:p w14:paraId="281A64DF" w14:textId="77777777" w:rsidR="004647B9" w:rsidRPr="008B495F" w:rsidRDefault="00E2436F" w:rsidP="003A4D43">
      <w:pPr>
        <w:numPr>
          <w:ilvl w:val="4"/>
          <w:numId w:val="716"/>
        </w:numPr>
        <w:tabs>
          <w:tab w:val="left" w:pos="2944"/>
        </w:tabs>
        <w:ind w:left="2620" w:hanging="5"/>
        <w:jc w:val="both"/>
        <w:rPr>
          <w:rFonts w:eastAsia="Times New Roman"/>
          <w:sz w:val="24"/>
          <w:szCs w:val="24"/>
        </w:rPr>
      </w:pPr>
      <w:r w:rsidRPr="008B495F">
        <w:rPr>
          <w:rFonts w:eastAsia="Times New Roman"/>
          <w:sz w:val="24"/>
          <w:szCs w:val="24"/>
        </w:rPr>
        <w:t>For samples in which less than 100% of sample volume is examined, systems must also report the volume of resuspended concentrate and volume of this resuspension processed through immunomagnetic separation.</w:t>
      </w:r>
    </w:p>
    <w:p w14:paraId="281A64E1" w14:textId="77777777" w:rsidR="004647B9" w:rsidRPr="008B495F" w:rsidRDefault="00E2436F" w:rsidP="003A4D43">
      <w:pPr>
        <w:numPr>
          <w:ilvl w:val="2"/>
          <w:numId w:val="717"/>
        </w:numPr>
        <w:tabs>
          <w:tab w:val="left" w:pos="2260"/>
        </w:tabs>
        <w:ind w:left="2260" w:hanging="365"/>
        <w:rPr>
          <w:rFonts w:eastAsia="Times New Roman"/>
          <w:sz w:val="24"/>
          <w:szCs w:val="24"/>
        </w:rPr>
      </w:pPr>
      <w:r w:rsidRPr="008B495F">
        <w:rPr>
          <w:rFonts w:eastAsia="Times New Roman"/>
          <w:sz w:val="24"/>
          <w:szCs w:val="24"/>
        </w:rPr>
        <w:t xml:space="preserve">Systems must report the following data elements for each </w:t>
      </w:r>
      <w:r w:rsidRPr="008B495F">
        <w:rPr>
          <w:rFonts w:eastAsia="Times New Roman"/>
          <w:i/>
          <w:iCs/>
          <w:sz w:val="24"/>
          <w:szCs w:val="24"/>
        </w:rPr>
        <w:t>E. coli</w:t>
      </w:r>
      <w:r w:rsidRPr="008B495F">
        <w:rPr>
          <w:rFonts w:eastAsia="Times New Roman"/>
          <w:sz w:val="24"/>
          <w:szCs w:val="24"/>
        </w:rPr>
        <w:t xml:space="preserve"> analysis:</w:t>
      </w:r>
    </w:p>
    <w:p w14:paraId="281A64E3" w14:textId="77777777" w:rsidR="004647B9" w:rsidRPr="008B495F" w:rsidRDefault="00E2436F" w:rsidP="003A4D43">
      <w:pPr>
        <w:numPr>
          <w:ilvl w:val="3"/>
          <w:numId w:val="717"/>
        </w:numPr>
        <w:tabs>
          <w:tab w:val="left" w:pos="2600"/>
        </w:tabs>
        <w:ind w:left="2600" w:hanging="345"/>
        <w:rPr>
          <w:rFonts w:eastAsia="Times New Roman"/>
          <w:sz w:val="24"/>
          <w:szCs w:val="24"/>
        </w:rPr>
      </w:pPr>
      <w:r w:rsidRPr="008B495F">
        <w:rPr>
          <w:rFonts w:eastAsia="Times New Roman"/>
          <w:sz w:val="24"/>
          <w:szCs w:val="24"/>
        </w:rPr>
        <w:t>PWS ID;</w:t>
      </w:r>
    </w:p>
    <w:p w14:paraId="281A64E5" w14:textId="77777777" w:rsidR="004647B9" w:rsidRPr="008B495F" w:rsidRDefault="00E2436F" w:rsidP="003A4D43">
      <w:pPr>
        <w:numPr>
          <w:ilvl w:val="3"/>
          <w:numId w:val="717"/>
        </w:numPr>
        <w:tabs>
          <w:tab w:val="left" w:pos="2620"/>
        </w:tabs>
        <w:ind w:left="2620" w:hanging="365"/>
        <w:rPr>
          <w:rFonts w:eastAsia="Times New Roman"/>
          <w:sz w:val="24"/>
          <w:szCs w:val="24"/>
        </w:rPr>
      </w:pPr>
      <w:r w:rsidRPr="008B495F">
        <w:rPr>
          <w:rFonts w:eastAsia="Times New Roman"/>
          <w:sz w:val="24"/>
          <w:szCs w:val="24"/>
        </w:rPr>
        <w:t>Facility ID;</w:t>
      </w:r>
    </w:p>
    <w:p w14:paraId="281A64E7" w14:textId="77777777" w:rsidR="004647B9" w:rsidRPr="008B495F" w:rsidRDefault="00E2436F" w:rsidP="003A4D43">
      <w:pPr>
        <w:numPr>
          <w:ilvl w:val="3"/>
          <w:numId w:val="717"/>
        </w:numPr>
        <w:tabs>
          <w:tab w:val="left" w:pos="2600"/>
        </w:tabs>
        <w:ind w:left="2600" w:hanging="345"/>
        <w:rPr>
          <w:rFonts w:eastAsia="Times New Roman"/>
          <w:sz w:val="24"/>
          <w:szCs w:val="24"/>
        </w:rPr>
      </w:pPr>
      <w:r w:rsidRPr="008B495F">
        <w:rPr>
          <w:rFonts w:eastAsia="Times New Roman"/>
          <w:sz w:val="24"/>
          <w:szCs w:val="24"/>
        </w:rPr>
        <w:t>Sample collection date;</w:t>
      </w:r>
    </w:p>
    <w:p w14:paraId="281A64E9" w14:textId="77777777" w:rsidR="004647B9" w:rsidRPr="008B495F" w:rsidRDefault="00E2436F" w:rsidP="003A4D43">
      <w:pPr>
        <w:numPr>
          <w:ilvl w:val="3"/>
          <w:numId w:val="717"/>
        </w:numPr>
        <w:tabs>
          <w:tab w:val="left" w:pos="2620"/>
        </w:tabs>
        <w:ind w:left="2620" w:hanging="365"/>
        <w:rPr>
          <w:rFonts w:eastAsia="Times New Roman"/>
          <w:sz w:val="24"/>
          <w:szCs w:val="24"/>
        </w:rPr>
      </w:pPr>
      <w:r w:rsidRPr="008B495F">
        <w:rPr>
          <w:rFonts w:eastAsia="Times New Roman"/>
          <w:sz w:val="24"/>
          <w:szCs w:val="24"/>
        </w:rPr>
        <w:t>Analytical method number;</w:t>
      </w:r>
    </w:p>
    <w:p w14:paraId="281A64EB" w14:textId="77777777" w:rsidR="004647B9" w:rsidRPr="008B495F" w:rsidRDefault="00E2436F" w:rsidP="003A4D43">
      <w:pPr>
        <w:numPr>
          <w:ilvl w:val="3"/>
          <w:numId w:val="717"/>
        </w:numPr>
        <w:tabs>
          <w:tab w:val="left" w:pos="2600"/>
        </w:tabs>
        <w:ind w:left="2600" w:hanging="345"/>
        <w:rPr>
          <w:rFonts w:eastAsia="Times New Roman"/>
          <w:sz w:val="24"/>
          <w:szCs w:val="24"/>
        </w:rPr>
      </w:pPr>
      <w:r w:rsidRPr="008B495F">
        <w:rPr>
          <w:rFonts w:eastAsia="Times New Roman"/>
          <w:sz w:val="24"/>
          <w:szCs w:val="24"/>
        </w:rPr>
        <w:t>Method type;</w:t>
      </w:r>
    </w:p>
    <w:p w14:paraId="281A64ED" w14:textId="77777777" w:rsidR="004647B9" w:rsidRPr="008B495F" w:rsidRDefault="00E2436F" w:rsidP="003A4D43">
      <w:pPr>
        <w:numPr>
          <w:ilvl w:val="3"/>
          <w:numId w:val="717"/>
        </w:numPr>
        <w:tabs>
          <w:tab w:val="left" w:pos="2580"/>
        </w:tabs>
        <w:ind w:left="2580" w:hanging="325"/>
        <w:rPr>
          <w:rFonts w:eastAsia="Times New Roman"/>
          <w:sz w:val="24"/>
          <w:szCs w:val="24"/>
        </w:rPr>
      </w:pPr>
      <w:r w:rsidRPr="008B495F">
        <w:rPr>
          <w:rFonts w:eastAsia="Times New Roman"/>
          <w:sz w:val="24"/>
          <w:szCs w:val="24"/>
        </w:rPr>
        <w:t>Source type (flowing stream, Lake/Reservoir, GWUDI);</w:t>
      </w:r>
    </w:p>
    <w:p w14:paraId="281A64EF" w14:textId="77777777" w:rsidR="004647B9" w:rsidRPr="008B495F" w:rsidRDefault="00E2436F" w:rsidP="003A4D43">
      <w:pPr>
        <w:numPr>
          <w:ilvl w:val="3"/>
          <w:numId w:val="717"/>
        </w:numPr>
        <w:tabs>
          <w:tab w:val="left" w:pos="2620"/>
        </w:tabs>
        <w:ind w:left="2620" w:hanging="365"/>
        <w:rPr>
          <w:rFonts w:eastAsia="Times New Roman"/>
          <w:sz w:val="24"/>
          <w:szCs w:val="24"/>
        </w:rPr>
      </w:pPr>
      <w:r w:rsidRPr="008B495F">
        <w:rPr>
          <w:rFonts w:eastAsia="Times New Roman"/>
          <w:i/>
          <w:iCs/>
          <w:sz w:val="24"/>
          <w:szCs w:val="24"/>
        </w:rPr>
        <w:t>E. coli</w:t>
      </w:r>
      <w:r w:rsidRPr="008B495F">
        <w:rPr>
          <w:rFonts w:eastAsia="Times New Roman"/>
          <w:sz w:val="24"/>
          <w:szCs w:val="24"/>
        </w:rPr>
        <w:t>/100 mL; and</w:t>
      </w:r>
    </w:p>
    <w:p w14:paraId="281A64F1" w14:textId="77777777" w:rsidR="004647B9" w:rsidRPr="008B495F" w:rsidRDefault="00E2436F" w:rsidP="003A4D43">
      <w:pPr>
        <w:numPr>
          <w:ilvl w:val="3"/>
          <w:numId w:val="717"/>
        </w:numPr>
        <w:tabs>
          <w:tab w:val="left" w:pos="2620"/>
        </w:tabs>
        <w:ind w:left="2620" w:hanging="365"/>
        <w:rPr>
          <w:rFonts w:eastAsia="Times New Roman"/>
          <w:sz w:val="24"/>
          <w:szCs w:val="24"/>
        </w:rPr>
      </w:pPr>
      <w:r w:rsidRPr="008B495F">
        <w:rPr>
          <w:rFonts w:eastAsia="Times New Roman"/>
          <w:sz w:val="24"/>
          <w:szCs w:val="24"/>
        </w:rPr>
        <w:t>Turbidity.</w:t>
      </w:r>
      <w:r w:rsidRPr="008B495F">
        <w:rPr>
          <w:rFonts w:eastAsia="Times New Roman"/>
          <w:sz w:val="24"/>
          <w:szCs w:val="24"/>
          <w:vertAlign w:val="superscript"/>
        </w:rPr>
        <w:t>1</w:t>
      </w:r>
    </w:p>
    <w:p w14:paraId="281A64F3" w14:textId="00EE5351" w:rsidR="004647B9" w:rsidRPr="008B495F" w:rsidRDefault="004647B9" w:rsidP="003A4D43">
      <w:pPr>
        <w:rPr>
          <w:rFonts w:eastAsia="Times New Roman"/>
          <w:sz w:val="24"/>
          <w:szCs w:val="24"/>
        </w:rPr>
      </w:pPr>
    </w:p>
    <w:p w14:paraId="281A64F4" w14:textId="77777777" w:rsidR="004647B9" w:rsidRPr="008B495F" w:rsidRDefault="00E2436F" w:rsidP="003A4D43">
      <w:pPr>
        <w:numPr>
          <w:ilvl w:val="0"/>
          <w:numId w:val="718"/>
        </w:numPr>
        <w:tabs>
          <w:tab w:val="left" w:pos="132"/>
        </w:tabs>
        <w:ind w:firstLine="9"/>
        <w:rPr>
          <w:rFonts w:eastAsia="Times New Roman"/>
          <w:sz w:val="24"/>
          <w:szCs w:val="24"/>
          <w:vertAlign w:val="superscript"/>
        </w:rPr>
      </w:pPr>
      <w:r w:rsidRPr="008B495F">
        <w:rPr>
          <w:rFonts w:eastAsia="Times New Roman"/>
          <w:sz w:val="24"/>
          <w:szCs w:val="24"/>
        </w:rPr>
        <w:t xml:space="preserve">Systems serving fewer than 10,000 individuals that are not required to monitor for Turbidity as specified in 310 CMR 22.20G(2) are not required to report Turbidity with their </w:t>
      </w:r>
      <w:r w:rsidRPr="008B495F">
        <w:rPr>
          <w:rFonts w:eastAsia="Times New Roman"/>
          <w:i/>
          <w:iCs/>
          <w:sz w:val="24"/>
          <w:szCs w:val="24"/>
        </w:rPr>
        <w:t>E. coli</w:t>
      </w:r>
      <w:r w:rsidRPr="008B495F">
        <w:rPr>
          <w:rFonts w:eastAsia="Times New Roman"/>
          <w:sz w:val="24"/>
          <w:szCs w:val="24"/>
        </w:rPr>
        <w:t xml:space="preserve"> results.</w:t>
      </w:r>
    </w:p>
    <w:p w14:paraId="281A64F5" w14:textId="77777777" w:rsidR="004647B9" w:rsidRDefault="004647B9" w:rsidP="003A4D43">
      <w:pPr>
        <w:sectPr w:rsidR="004647B9" w:rsidSect="00EF630C">
          <w:pgSz w:w="12240" w:h="20180"/>
          <w:pgMar w:top="708" w:right="1440" w:bottom="1440" w:left="620" w:header="0" w:footer="0" w:gutter="0"/>
          <w:cols w:space="720"/>
        </w:sectPr>
      </w:pPr>
    </w:p>
    <w:p w14:paraId="281A64F6" w14:textId="77777777" w:rsidR="004647B9" w:rsidRDefault="00E2436F">
      <w:pPr>
        <w:tabs>
          <w:tab w:val="left" w:pos="160"/>
        </w:tabs>
        <w:ind w:right="20"/>
        <w:jc w:val="center"/>
        <w:rPr>
          <w:sz w:val="20"/>
          <w:szCs w:val="20"/>
        </w:rPr>
      </w:pPr>
      <w:bookmarkStart w:id="292" w:name="page296"/>
      <w:bookmarkEnd w:id="29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4F8" w14:textId="77777777" w:rsidR="004647B9" w:rsidRDefault="004647B9" w:rsidP="009B7822">
      <w:pPr>
        <w:rPr>
          <w:sz w:val="20"/>
          <w:szCs w:val="20"/>
        </w:rPr>
      </w:pPr>
    </w:p>
    <w:p w14:paraId="1B38923B" w14:textId="77777777" w:rsidR="009B7822" w:rsidRDefault="009B7822" w:rsidP="009B7822">
      <w:pPr>
        <w:rPr>
          <w:sz w:val="20"/>
          <w:szCs w:val="20"/>
        </w:rPr>
      </w:pPr>
    </w:p>
    <w:p w14:paraId="281A64F9" w14:textId="77777777" w:rsidR="004647B9" w:rsidRPr="009B7822" w:rsidRDefault="00E2436F" w:rsidP="009B7822">
      <w:pPr>
        <w:tabs>
          <w:tab w:val="left" w:pos="940"/>
        </w:tabs>
        <w:rPr>
          <w:sz w:val="24"/>
          <w:szCs w:val="24"/>
        </w:rPr>
      </w:pPr>
      <w:r w:rsidRPr="009B7822">
        <w:rPr>
          <w:rFonts w:eastAsia="Times New Roman"/>
          <w:sz w:val="24"/>
          <w:szCs w:val="24"/>
        </w:rPr>
        <w:t>22.20G:</w:t>
      </w:r>
      <w:r w:rsidRPr="009B7822">
        <w:rPr>
          <w:rFonts w:eastAsia="Times New Roman"/>
          <w:sz w:val="24"/>
          <w:szCs w:val="24"/>
        </w:rPr>
        <w:tab/>
        <w:t>continued</w:t>
      </w:r>
    </w:p>
    <w:p w14:paraId="281A64FA" w14:textId="77777777" w:rsidR="004647B9" w:rsidRDefault="004647B9" w:rsidP="009B7822">
      <w:pPr>
        <w:rPr>
          <w:sz w:val="20"/>
          <w:szCs w:val="20"/>
        </w:rPr>
      </w:pPr>
    </w:p>
    <w:p w14:paraId="281A64FB" w14:textId="4AA4B001" w:rsidR="004647B9" w:rsidRPr="008D4E05" w:rsidRDefault="00D51ADD" w:rsidP="009B7822">
      <w:pPr>
        <w:numPr>
          <w:ilvl w:val="0"/>
          <w:numId w:val="719"/>
        </w:numPr>
        <w:tabs>
          <w:tab w:val="left" w:pos="1640"/>
        </w:tabs>
        <w:ind w:left="1640" w:hanging="460"/>
        <w:rPr>
          <w:rFonts w:eastAsia="Times New Roman"/>
          <w:sz w:val="24"/>
          <w:szCs w:val="24"/>
        </w:rPr>
      </w:pPr>
      <w:r>
        <w:rPr>
          <w:rFonts w:eastAsia="Times New Roman"/>
          <w:sz w:val="24"/>
          <w:szCs w:val="24"/>
          <w:u w:val="single"/>
        </w:rPr>
        <w:t xml:space="preserve">Use of </w:t>
      </w:r>
      <w:r w:rsidR="00E2436F" w:rsidRPr="008D4E05" w:rsidDel="00D51ADD">
        <w:rPr>
          <w:rFonts w:eastAsia="Times New Roman"/>
          <w:sz w:val="24"/>
          <w:szCs w:val="24"/>
          <w:u w:val="single"/>
        </w:rPr>
        <w:t>Previously Collected</w:t>
      </w:r>
      <w:r w:rsidR="00E2436F" w:rsidRPr="008D4E05">
        <w:rPr>
          <w:rFonts w:eastAsia="Times New Roman"/>
          <w:sz w:val="24"/>
          <w:szCs w:val="24"/>
          <w:u w:val="single"/>
        </w:rPr>
        <w:t xml:space="preserve"> Data</w:t>
      </w:r>
      <w:r w:rsidR="00E2436F" w:rsidRPr="008D4E05">
        <w:rPr>
          <w:rFonts w:eastAsia="Times New Roman"/>
          <w:sz w:val="24"/>
          <w:szCs w:val="24"/>
        </w:rPr>
        <w:t>.</w:t>
      </w:r>
    </w:p>
    <w:p w14:paraId="281A64FF" w14:textId="1D1971FB" w:rsidR="004647B9" w:rsidRPr="000A0E94" w:rsidRDefault="00E2436F" w:rsidP="009B7822">
      <w:pPr>
        <w:numPr>
          <w:ilvl w:val="1"/>
          <w:numId w:val="719"/>
        </w:numPr>
        <w:tabs>
          <w:tab w:val="left" w:pos="1890"/>
        </w:tabs>
        <w:ind w:left="1890" w:hanging="432"/>
        <w:rPr>
          <w:rFonts w:eastAsia="Times New Roman"/>
          <w:sz w:val="24"/>
          <w:szCs w:val="24"/>
        </w:rPr>
      </w:pPr>
      <w:r w:rsidRPr="008D4E05">
        <w:rPr>
          <w:rFonts w:eastAsia="Times New Roman"/>
          <w:sz w:val="24"/>
          <w:szCs w:val="24"/>
        </w:rPr>
        <w:t xml:space="preserve">1.  Systems may </w:t>
      </w:r>
      <w:r w:rsidR="00A12A63">
        <w:rPr>
          <w:rFonts w:eastAsia="Times New Roman"/>
          <w:sz w:val="24"/>
          <w:szCs w:val="24"/>
        </w:rPr>
        <w:t xml:space="preserve">use </w:t>
      </w:r>
      <w:r w:rsidR="009E6F66">
        <w:rPr>
          <w:rFonts w:eastAsia="Times New Roman"/>
          <w:sz w:val="24"/>
          <w:szCs w:val="24"/>
        </w:rPr>
        <w:t xml:space="preserve">sample results collected before the system is required </w:t>
      </w:r>
      <w:r w:rsidR="00341B19">
        <w:rPr>
          <w:rFonts w:eastAsia="Times New Roman"/>
          <w:sz w:val="24"/>
          <w:szCs w:val="24"/>
        </w:rPr>
        <w:t>to begin monitoring</w:t>
      </w:r>
      <w:r w:rsidR="009E6F66">
        <w:rPr>
          <w:rFonts w:eastAsia="Times New Roman"/>
          <w:sz w:val="24"/>
          <w:szCs w:val="24"/>
        </w:rPr>
        <w:t xml:space="preserve"> to </w:t>
      </w:r>
      <w:r w:rsidRPr="008D4E05">
        <w:rPr>
          <w:rFonts w:eastAsia="Times New Roman"/>
          <w:sz w:val="24"/>
          <w:szCs w:val="24"/>
        </w:rPr>
        <w:t>comply with the initial source water monitoring requirements of</w:t>
      </w:r>
      <w:r w:rsidR="000A0E94">
        <w:rPr>
          <w:rFonts w:eastAsia="Times New Roman"/>
          <w:sz w:val="24"/>
          <w:szCs w:val="24"/>
        </w:rPr>
        <w:t xml:space="preserve"> 310 </w:t>
      </w:r>
      <w:r w:rsidRPr="000A0E94">
        <w:rPr>
          <w:rFonts w:eastAsia="Times New Roman"/>
          <w:sz w:val="24"/>
          <w:szCs w:val="24"/>
        </w:rPr>
        <w:t xml:space="preserve">CMR 22.20G(2)(a) </w:t>
      </w:r>
      <w:r w:rsidR="00493ABE">
        <w:rPr>
          <w:rFonts w:eastAsia="Times New Roman"/>
          <w:sz w:val="24"/>
          <w:szCs w:val="24"/>
        </w:rPr>
        <w:t xml:space="preserve">with the approval of the Department </w:t>
      </w:r>
      <w:r w:rsidR="005E51B8">
        <w:rPr>
          <w:rFonts w:eastAsia="Times New Roman"/>
          <w:sz w:val="24"/>
          <w:szCs w:val="24"/>
        </w:rPr>
        <w:t>based upon</w:t>
      </w:r>
      <w:r w:rsidR="00493ABE">
        <w:rPr>
          <w:rFonts w:eastAsia="Times New Roman"/>
          <w:sz w:val="24"/>
          <w:szCs w:val="24"/>
        </w:rPr>
        <w:t xml:space="preserve"> </w:t>
      </w:r>
      <w:r w:rsidRPr="000A0E94">
        <w:rPr>
          <w:rFonts w:eastAsia="Times New Roman"/>
          <w:sz w:val="24"/>
          <w:szCs w:val="24"/>
        </w:rPr>
        <w:t>the sample results and analysis meet</w:t>
      </w:r>
      <w:r w:rsidR="005E51B8">
        <w:rPr>
          <w:rFonts w:eastAsia="Times New Roman"/>
          <w:sz w:val="24"/>
          <w:szCs w:val="24"/>
        </w:rPr>
        <w:t>ing</w:t>
      </w:r>
      <w:r w:rsidRPr="000A0E94">
        <w:rPr>
          <w:rFonts w:eastAsia="Times New Roman"/>
          <w:sz w:val="24"/>
          <w:szCs w:val="24"/>
        </w:rPr>
        <w:t xml:space="preserve"> the criteria in 310 CMR 22.20G(8).</w:t>
      </w:r>
    </w:p>
    <w:p w14:paraId="281A6502" w14:textId="67D5E9FB" w:rsidR="004647B9" w:rsidRPr="000A0E94" w:rsidRDefault="00E2436F" w:rsidP="009B7822">
      <w:pPr>
        <w:numPr>
          <w:ilvl w:val="2"/>
          <w:numId w:val="720"/>
        </w:numPr>
        <w:tabs>
          <w:tab w:val="left" w:pos="2186"/>
        </w:tabs>
        <w:ind w:left="1900"/>
        <w:jc w:val="both"/>
        <w:rPr>
          <w:sz w:val="24"/>
          <w:szCs w:val="24"/>
        </w:rPr>
      </w:pPr>
      <w:r w:rsidRPr="000A0E94">
        <w:rPr>
          <w:rFonts w:eastAsia="Times New Roman"/>
          <w:sz w:val="24"/>
          <w:szCs w:val="24"/>
        </w:rPr>
        <w:t xml:space="preserve">A filtered system may </w:t>
      </w:r>
      <w:r w:rsidR="00F84E75">
        <w:rPr>
          <w:rFonts w:eastAsia="Times New Roman"/>
          <w:sz w:val="24"/>
          <w:szCs w:val="24"/>
        </w:rPr>
        <w:t xml:space="preserve">use </w:t>
      </w:r>
      <w:r w:rsidR="009F1916">
        <w:rPr>
          <w:rFonts w:eastAsia="Times New Roman"/>
          <w:sz w:val="24"/>
          <w:szCs w:val="24"/>
        </w:rPr>
        <w:t>previously collected</w:t>
      </w:r>
      <w:r w:rsidRPr="000A0E94">
        <w:rPr>
          <w:rFonts w:eastAsia="Times New Roman"/>
          <w:sz w:val="24"/>
          <w:szCs w:val="24"/>
        </w:rPr>
        <w:t xml:space="preserve"> </w:t>
      </w:r>
      <w:r w:rsidRPr="000A0E94">
        <w:rPr>
          <w:rFonts w:eastAsia="Times New Roman"/>
          <w:i/>
          <w:iCs/>
          <w:sz w:val="24"/>
          <w:szCs w:val="24"/>
        </w:rPr>
        <w:t>Cryptosporidium</w:t>
      </w:r>
      <w:r w:rsidRPr="000A0E94">
        <w:rPr>
          <w:rFonts w:eastAsia="Times New Roman"/>
          <w:sz w:val="24"/>
          <w:szCs w:val="24"/>
        </w:rPr>
        <w:t xml:space="preserve"> samples to meet the requirements of 310 CMR 22.20G(2)(a) when the system does not have corresponding </w:t>
      </w:r>
      <w:r w:rsidRPr="000A0E94">
        <w:rPr>
          <w:rFonts w:eastAsia="Times New Roman"/>
          <w:i/>
          <w:iCs/>
          <w:sz w:val="24"/>
          <w:szCs w:val="24"/>
        </w:rPr>
        <w:t>E. coli</w:t>
      </w:r>
      <w:r w:rsidRPr="000A0E94">
        <w:rPr>
          <w:rFonts w:eastAsia="Times New Roman"/>
          <w:sz w:val="24"/>
          <w:szCs w:val="24"/>
        </w:rPr>
        <w:t xml:space="preserve"> and</w:t>
      </w:r>
      <w:r w:rsidR="000A0E94" w:rsidRPr="000A0E94">
        <w:rPr>
          <w:rFonts w:eastAsia="Times New Roman"/>
          <w:sz w:val="24"/>
          <w:szCs w:val="24"/>
        </w:rPr>
        <w:t xml:space="preserve"> </w:t>
      </w:r>
      <w:r w:rsidRPr="000A0E94">
        <w:rPr>
          <w:rFonts w:eastAsia="Times New Roman"/>
          <w:sz w:val="24"/>
          <w:szCs w:val="24"/>
        </w:rPr>
        <w:t xml:space="preserve">Turbidity samples. A system that </w:t>
      </w:r>
      <w:r w:rsidR="00690FFF">
        <w:rPr>
          <w:rFonts w:eastAsia="Times New Roman"/>
          <w:sz w:val="24"/>
          <w:szCs w:val="24"/>
        </w:rPr>
        <w:t xml:space="preserve">uses </w:t>
      </w:r>
      <w:r w:rsidR="009F1916">
        <w:rPr>
          <w:rFonts w:eastAsia="Times New Roman"/>
          <w:sz w:val="24"/>
          <w:szCs w:val="24"/>
        </w:rPr>
        <w:t>previously collected</w:t>
      </w:r>
      <w:r w:rsidRPr="000A0E94">
        <w:rPr>
          <w:rFonts w:eastAsia="Times New Roman"/>
          <w:sz w:val="24"/>
          <w:szCs w:val="24"/>
        </w:rPr>
        <w:t xml:space="preserve"> </w:t>
      </w:r>
      <w:r w:rsidRPr="000A0E94">
        <w:rPr>
          <w:rFonts w:eastAsia="Times New Roman"/>
          <w:i/>
          <w:iCs/>
          <w:sz w:val="24"/>
          <w:szCs w:val="24"/>
        </w:rPr>
        <w:t>Cryptosporidium</w:t>
      </w:r>
      <w:r w:rsidRPr="000A0E94">
        <w:rPr>
          <w:rFonts w:eastAsia="Times New Roman"/>
          <w:sz w:val="24"/>
          <w:szCs w:val="24"/>
        </w:rPr>
        <w:t xml:space="preserve"> samples without </w:t>
      </w:r>
      <w:r w:rsidRPr="000A0E94">
        <w:rPr>
          <w:rFonts w:eastAsia="Times New Roman"/>
          <w:i/>
          <w:iCs/>
          <w:sz w:val="24"/>
          <w:szCs w:val="24"/>
        </w:rPr>
        <w:t>E. coli</w:t>
      </w:r>
      <w:r w:rsidRPr="000A0E94">
        <w:rPr>
          <w:rFonts w:eastAsia="Times New Roman"/>
          <w:sz w:val="24"/>
          <w:szCs w:val="24"/>
        </w:rPr>
        <w:t xml:space="preserve"> and Turbidity samples is not required to collect </w:t>
      </w:r>
      <w:r w:rsidRPr="000A0E94">
        <w:rPr>
          <w:rFonts w:eastAsia="Times New Roman"/>
          <w:i/>
          <w:iCs/>
          <w:sz w:val="24"/>
          <w:szCs w:val="24"/>
        </w:rPr>
        <w:t>E. coli</w:t>
      </w:r>
      <w:r w:rsidRPr="000A0E94">
        <w:rPr>
          <w:rFonts w:eastAsia="Times New Roman"/>
          <w:sz w:val="24"/>
          <w:szCs w:val="24"/>
        </w:rPr>
        <w:t xml:space="preserve"> and Turbidity samples when the system completes the requirements for </w:t>
      </w:r>
      <w:r w:rsidRPr="000A0E94">
        <w:rPr>
          <w:rFonts w:eastAsia="Times New Roman"/>
          <w:i/>
          <w:iCs/>
          <w:sz w:val="24"/>
          <w:szCs w:val="24"/>
        </w:rPr>
        <w:t>Cryptosporidium</w:t>
      </w:r>
      <w:r w:rsidRPr="000A0E94">
        <w:rPr>
          <w:rFonts w:eastAsia="Times New Roman"/>
          <w:sz w:val="24"/>
          <w:szCs w:val="24"/>
        </w:rPr>
        <w:t xml:space="preserve"> monitoring under 310 CMR 22.20G(2)(a).</w:t>
      </w:r>
    </w:p>
    <w:p w14:paraId="281A6504" w14:textId="77777777" w:rsidR="004647B9" w:rsidRPr="008D4E05" w:rsidRDefault="00E2436F" w:rsidP="009B7822">
      <w:pPr>
        <w:numPr>
          <w:ilvl w:val="0"/>
          <w:numId w:val="721"/>
        </w:numPr>
        <w:tabs>
          <w:tab w:val="left" w:pos="2034"/>
        </w:tabs>
        <w:ind w:left="1540" w:hanging="5"/>
        <w:rPr>
          <w:rFonts w:eastAsia="Times New Roman"/>
          <w:sz w:val="24"/>
          <w:szCs w:val="24"/>
        </w:rPr>
      </w:pPr>
      <w:r w:rsidRPr="008D4E05">
        <w:rPr>
          <w:rFonts w:eastAsia="Times New Roman"/>
          <w:i/>
          <w:iCs/>
          <w:sz w:val="24"/>
          <w:szCs w:val="24"/>
          <w:u w:val="single"/>
        </w:rPr>
        <w:t>E. coli</w:t>
      </w:r>
      <w:r w:rsidRPr="008D4E05">
        <w:rPr>
          <w:rFonts w:eastAsia="Times New Roman"/>
          <w:i/>
          <w:iCs/>
          <w:sz w:val="24"/>
          <w:szCs w:val="24"/>
        </w:rPr>
        <w:t xml:space="preserve"> </w:t>
      </w:r>
      <w:r w:rsidRPr="008D4E05">
        <w:rPr>
          <w:rFonts w:eastAsia="Times New Roman"/>
          <w:sz w:val="24"/>
          <w:szCs w:val="24"/>
          <w:u w:val="single"/>
        </w:rPr>
        <w:t>Sample Analysis</w:t>
      </w:r>
      <w:r w:rsidRPr="008D4E05">
        <w:rPr>
          <w:rFonts w:eastAsia="Times New Roman"/>
          <w:sz w:val="24"/>
          <w:szCs w:val="24"/>
        </w:rPr>
        <w:t>. The analysis of</w:t>
      </w:r>
      <w:r w:rsidRPr="008D4E05">
        <w:rPr>
          <w:rFonts w:eastAsia="Times New Roman"/>
          <w:i/>
          <w:iCs/>
          <w:sz w:val="24"/>
          <w:szCs w:val="24"/>
        </w:rPr>
        <w:t xml:space="preserve"> E. coli </w:t>
      </w:r>
      <w:r w:rsidRPr="008D4E05">
        <w:rPr>
          <w:rFonts w:eastAsia="Times New Roman"/>
          <w:sz w:val="24"/>
          <w:szCs w:val="24"/>
        </w:rPr>
        <w:t>samples must meet the analytical</w:t>
      </w:r>
      <w:r w:rsidRPr="008D4E05">
        <w:rPr>
          <w:rFonts w:eastAsia="Times New Roman"/>
          <w:i/>
          <w:iCs/>
          <w:sz w:val="24"/>
          <w:szCs w:val="24"/>
        </w:rPr>
        <w:t xml:space="preserve"> </w:t>
      </w:r>
      <w:r w:rsidRPr="008D4E05">
        <w:rPr>
          <w:rFonts w:eastAsia="Times New Roman"/>
          <w:sz w:val="24"/>
          <w:szCs w:val="24"/>
        </w:rPr>
        <w:t>method and approved laboratory requirements of 310 CMR 22.20G(5) through (6).</w:t>
      </w:r>
    </w:p>
    <w:p w14:paraId="281A6505" w14:textId="77777777" w:rsidR="004647B9" w:rsidRPr="008D4E05" w:rsidRDefault="00E2436F" w:rsidP="009B7822">
      <w:pPr>
        <w:numPr>
          <w:ilvl w:val="0"/>
          <w:numId w:val="721"/>
        </w:numPr>
        <w:tabs>
          <w:tab w:val="left" w:pos="2027"/>
        </w:tabs>
        <w:ind w:left="1540" w:hanging="5"/>
        <w:rPr>
          <w:rFonts w:eastAsia="Times New Roman"/>
          <w:sz w:val="24"/>
          <w:szCs w:val="24"/>
        </w:rPr>
      </w:pPr>
      <w:r w:rsidRPr="008D4E05">
        <w:rPr>
          <w:rFonts w:eastAsia="Times New Roman"/>
          <w:i/>
          <w:iCs/>
          <w:sz w:val="24"/>
          <w:szCs w:val="24"/>
          <w:u w:val="single"/>
        </w:rPr>
        <w:t>Cryptosporidium</w:t>
      </w:r>
      <w:r w:rsidRPr="008D4E05">
        <w:rPr>
          <w:rFonts w:eastAsia="Times New Roman"/>
          <w:i/>
          <w:iCs/>
          <w:sz w:val="24"/>
          <w:szCs w:val="24"/>
        </w:rPr>
        <w:t xml:space="preserve"> </w:t>
      </w:r>
      <w:r w:rsidRPr="008D4E05">
        <w:rPr>
          <w:rFonts w:eastAsia="Times New Roman"/>
          <w:sz w:val="24"/>
          <w:szCs w:val="24"/>
          <w:u w:val="single"/>
        </w:rPr>
        <w:t>Sample Analysis</w:t>
      </w:r>
      <w:r w:rsidRPr="008D4E05">
        <w:rPr>
          <w:rFonts w:eastAsia="Times New Roman"/>
          <w:sz w:val="24"/>
          <w:szCs w:val="24"/>
        </w:rPr>
        <w:t>. The analysis of</w:t>
      </w:r>
      <w:r w:rsidRPr="008D4E05">
        <w:rPr>
          <w:rFonts w:eastAsia="Times New Roman"/>
          <w:i/>
          <w:iCs/>
          <w:sz w:val="24"/>
          <w:szCs w:val="24"/>
        </w:rPr>
        <w:t xml:space="preserve"> Cryptosporidium </w:t>
      </w:r>
      <w:r w:rsidRPr="008D4E05">
        <w:rPr>
          <w:rFonts w:eastAsia="Times New Roman"/>
          <w:sz w:val="24"/>
          <w:szCs w:val="24"/>
        </w:rPr>
        <w:t>samples must</w:t>
      </w:r>
      <w:r w:rsidRPr="008D4E05">
        <w:rPr>
          <w:rFonts w:eastAsia="Times New Roman"/>
          <w:i/>
          <w:iCs/>
          <w:sz w:val="24"/>
          <w:szCs w:val="24"/>
        </w:rPr>
        <w:t xml:space="preserve"> </w:t>
      </w:r>
      <w:r w:rsidRPr="008D4E05">
        <w:rPr>
          <w:rFonts w:eastAsia="Times New Roman"/>
          <w:sz w:val="24"/>
          <w:szCs w:val="24"/>
        </w:rPr>
        <w:t>meet the criteria in 310 CMR 22.20G(8)(c).</w:t>
      </w:r>
    </w:p>
    <w:p w14:paraId="281A6506" w14:textId="77777777" w:rsidR="004647B9" w:rsidRPr="008D4E05" w:rsidRDefault="00E2436F" w:rsidP="009B7822">
      <w:pPr>
        <w:numPr>
          <w:ilvl w:val="1"/>
          <w:numId w:val="721"/>
        </w:numPr>
        <w:tabs>
          <w:tab w:val="left" w:pos="2217"/>
        </w:tabs>
        <w:ind w:left="1900" w:hanging="5"/>
        <w:rPr>
          <w:rFonts w:eastAsia="Times New Roman"/>
          <w:sz w:val="24"/>
          <w:szCs w:val="24"/>
        </w:rPr>
      </w:pPr>
      <w:r w:rsidRPr="008D4E05">
        <w:rPr>
          <w:rFonts w:eastAsia="Times New Roman"/>
          <w:sz w:val="24"/>
          <w:szCs w:val="24"/>
        </w:rPr>
        <w:t xml:space="preserve">Laboratories analyzed </w:t>
      </w:r>
      <w:r w:rsidRPr="008D4E05">
        <w:rPr>
          <w:rFonts w:eastAsia="Times New Roman"/>
          <w:i/>
          <w:iCs/>
          <w:sz w:val="24"/>
          <w:szCs w:val="24"/>
        </w:rPr>
        <w:t>Cryptosporidium</w:t>
      </w:r>
      <w:r w:rsidRPr="008D4E05">
        <w:rPr>
          <w:rFonts w:eastAsia="Times New Roman"/>
          <w:sz w:val="24"/>
          <w:szCs w:val="24"/>
        </w:rPr>
        <w:t xml:space="preserve"> samples using one of the analytical methods in 310 CMR 22.20G(8)(c)1.a. through f., which are incorporated by reference.</w:t>
      </w:r>
    </w:p>
    <w:p w14:paraId="281A6508" w14:textId="77777777" w:rsidR="004647B9" w:rsidRPr="008D4E05" w:rsidRDefault="00E2436F" w:rsidP="009B7822">
      <w:pPr>
        <w:numPr>
          <w:ilvl w:val="2"/>
          <w:numId w:val="721"/>
        </w:numPr>
        <w:tabs>
          <w:tab w:val="left" w:pos="2654"/>
        </w:tabs>
        <w:ind w:left="2260" w:hanging="5"/>
        <w:rPr>
          <w:rFonts w:eastAsia="Times New Roman"/>
          <w:sz w:val="24"/>
          <w:szCs w:val="24"/>
        </w:rPr>
      </w:pPr>
      <w:r w:rsidRPr="008D4E05">
        <w:rPr>
          <w:rFonts w:eastAsia="Times New Roman"/>
          <w:sz w:val="24"/>
          <w:szCs w:val="24"/>
        </w:rPr>
        <w:t xml:space="preserve">Method 1623: </w:t>
      </w:r>
      <w:r w:rsidRPr="008D4E05">
        <w:rPr>
          <w:rFonts w:eastAsia="Times New Roman"/>
          <w:i/>
          <w:iCs/>
          <w:sz w:val="24"/>
          <w:szCs w:val="24"/>
        </w:rPr>
        <w:t>Cryptosporidium</w:t>
      </w:r>
      <w:r w:rsidRPr="008D4E05">
        <w:rPr>
          <w:rFonts w:eastAsia="Times New Roman"/>
          <w:sz w:val="24"/>
          <w:szCs w:val="24"/>
        </w:rPr>
        <w:t xml:space="preserve"> and </w:t>
      </w:r>
      <w:r w:rsidRPr="008D4E05">
        <w:rPr>
          <w:rFonts w:eastAsia="Times New Roman"/>
          <w:i/>
          <w:iCs/>
          <w:sz w:val="24"/>
          <w:szCs w:val="24"/>
        </w:rPr>
        <w:t>Giardia</w:t>
      </w:r>
      <w:r w:rsidRPr="008D4E05">
        <w:rPr>
          <w:rFonts w:eastAsia="Times New Roman"/>
          <w:sz w:val="24"/>
          <w:szCs w:val="24"/>
        </w:rPr>
        <w:t xml:space="preserve"> in Water by Filtration/IMS/ FA, 2005, United States Environmental Protection Agency, EPA–815–R–05–002.</w:t>
      </w:r>
    </w:p>
    <w:p w14:paraId="281A6509" w14:textId="77777777" w:rsidR="004647B9" w:rsidRPr="008D4E05" w:rsidRDefault="00E2436F" w:rsidP="009B7822">
      <w:pPr>
        <w:numPr>
          <w:ilvl w:val="2"/>
          <w:numId w:val="721"/>
        </w:numPr>
        <w:tabs>
          <w:tab w:val="left" w:pos="2661"/>
        </w:tabs>
        <w:ind w:left="2260" w:hanging="5"/>
        <w:rPr>
          <w:rFonts w:eastAsia="Times New Roman"/>
          <w:sz w:val="24"/>
          <w:szCs w:val="24"/>
        </w:rPr>
      </w:pPr>
      <w:r w:rsidRPr="008D4E05">
        <w:rPr>
          <w:rFonts w:eastAsia="Times New Roman"/>
          <w:sz w:val="24"/>
          <w:szCs w:val="24"/>
        </w:rPr>
        <w:t xml:space="preserve">Method 1622: </w:t>
      </w:r>
      <w:r w:rsidRPr="008D4E05">
        <w:rPr>
          <w:rFonts w:eastAsia="Times New Roman"/>
          <w:i/>
          <w:iCs/>
          <w:sz w:val="24"/>
          <w:szCs w:val="24"/>
        </w:rPr>
        <w:t>Cryptosporidium</w:t>
      </w:r>
      <w:r w:rsidRPr="008D4E05">
        <w:rPr>
          <w:rFonts w:eastAsia="Times New Roman"/>
          <w:sz w:val="24"/>
          <w:szCs w:val="24"/>
        </w:rPr>
        <w:t xml:space="preserve"> in Water by Filtration/IMS/FA, 2005, United States Environmental Protection Agency, EPA–815–R–05–001.</w:t>
      </w:r>
    </w:p>
    <w:p w14:paraId="281A650A" w14:textId="77777777" w:rsidR="004647B9" w:rsidRPr="008D4E05" w:rsidRDefault="00E2436F" w:rsidP="009B7822">
      <w:pPr>
        <w:numPr>
          <w:ilvl w:val="2"/>
          <w:numId w:val="721"/>
        </w:numPr>
        <w:tabs>
          <w:tab w:val="left" w:pos="2628"/>
        </w:tabs>
        <w:ind w:left="2260" w:hanging="5"/>
        <w:rPr>
          <w:rFonts w:eastAsia="Times New Roman"/>
          <w:sz w:val="24"/>
          <w:szCs w:val="24"/>
        </w:rPr>
      </w:pPr>
      <w:r w:rsidRPr="008D4E05">
        <w:rPr>
          <w:rFonts w:eastAsia="Times New Roman"/>
          <w:sz w:val="24"/>
          <w:szCs w:val="24"/>
        </w:rPr>
        <w:t xml:space="preserve">Method 1623: </w:t>
      </w:r>
      <w:r w:rsidRPr="008D4E05">
        <w:rPr>
          <w:rFonts w:eastAsia="Times New Roman"/>
          <w:i/>
          <w:iCs/>
          <w:sz w:val="24"/>
          <w:szCs w:val="24"/>
        </w:rPr>
        <w:t>Cryptosporidium</w:t>
      </w:r>
      <w:r w:rsidRPr="008D4E05">
        <w:rPr>
          <w:rFonts w:eastAsia="Times New Roman"/>
          <w:sz w:val="24"/>
          <w:szCs w:val="24"/>
        </w:rPr>
        <w:t xml:space="preserve"> and </w:t>
      </w:r>
      <w:r w:rsidRPr="008D4E05">
        <w:rPr>
          <w:rFonts w:eastAsia="Times New Roman"/>
          <w:i/>
          <w:iCs/>
          <w:sz w:val="24"/>
          <w:szCs w:val="24"/>
        </w:rPr>
        <w:t>Giardia</w:t>
      </w:r>
      <w:r w:rsidRPr="008D4E05">
        <w:rPr>
          <w:rFonts w:eastAsia="Times New Roman"/>
          <w:sz w:val="24"/>
          <w:szCs w:val="24"/>
        </w:rPr>
        <w:t xml:space="preserve"> in Water by Filtration/IMS/ FA, 2001, United States Environmental Protection Agency, EPA–821–R–01–025.</w:t>
      </w:r>
    </w:p>
    <w:p w14:paraId="281A650B" w14:textId="77777777" w:rsidR="004647B9" w:rsidRPr="008D4E05" w:rsidRDefault="00E2436F" w:rsidP="009B7822">
      <w:pPr>
        <w:numPr>
          <w:ilvl w:val="2"/>
          <w:numId w:val="721"/>
        </w:numPr>
        <w:tabs>
          <w:tab w:val="left" w:pos="2656"/>
        </w:tabs>
        <w:ind w:left="2260" w:hanging="5"/>
        <w:rPr>
          <w:rFonts w:eastAsia="Times New Roman"/>
          <w:sz w:val="24"/>
          <w:szCs w:val="24"/>
        </w:rPr>
      </w:pPr>
      <w:r w:rsidRPr="008D4E05">
        <w:rPr>
          <w:rFonts w:eastAsia="Times New Roman"/>
          <w:sz w:val="24"/>
          <w:szCs w:val="24"/>
        </w:rPr>
        <w:t xml:space="preserve">Method 1622: </w:t>
      </w:r>
      <w:r w:rsidRPr="008D4E05">
        <w:rPr>
          <w:rFonts w:eastAsia="Times New Roman"/>
          <w:i/>
          <w:iCs/>
          <w:sz w:val="24"/>
          <w:szCs w:val="24"/>
        </w:rPr>
        <w:t>Cryptosporidium</w:t>
      </w:r>
      <w:r w:rsidRPr="008D4E05">
        <w:rPr>
          <w:rFonts w:eastAsia="Times New Roman"/>
          <w:sz w:val="24"/>
          <w:szCs w:val="24"/>
        </w:rPr>
        <w:t xml:space="preserve"> in Water by Filtration/IMS/FA, 2001, United States Environmental Protection Agency, EPA–821–-R–01–026.</w:t>
      </w:r>
    </w:p>
    <w:p w14:paraId="281A650C" w14:textId="77777777" w:rsidR="004647B9" w:rsidRPr="008D4E05" w:rsidRDefault="00E2436F" w:rsidP="009B7822">
      <w:pPr>
        <w:numPr>
          <w:ilvl w:val="2"/>
          <w:numId w:val="721"/>
        </w:numPr>
        <w:tabs>
          <w:tab w:val="left" w:pos="2650"/>
        </w:tabs>
        <w:ind w:left="2260" w:hanging="5"/>
        <w:rPr>
          <w:rFonts w:eastAsia="Times New Roman"/>
          <w:sz w:val="24"/>
          <w:szCs w:val="24"/>
        </w:rPr>
      </w:pPr>
      <w:r w:rsidRPr="008D4E05">
        <w:rPr>
          <w:rFonts w:eastAsia="Times New Roman"/>
          <w:sz w:val="24"/>
          <w:szCs w:val="24"/>
        </w:rPr>
        <w:t xml:space="preserve">Method 1623: </w:t>
      </w:r>
      <w:r w:rsidRPr="008D4E05">
        <w:rPr>
          <w:rFonts w:eastAsia="Times New Roman"/>
          <w:i/>
          <w:iCs/>
          <w:sz w:val="24"/>
          <w:szCs w:val="24"/>
        </w:rPr>
        <w:t>Cryptosporidium</w:t>
      </w:r>
      <w:r w:rsidRPr="008D4E05">
        <w:rPr>
          <w:rFonts w:eastAsia="Times New Roman"/>
          <w:sz w:val="24"/>
          <w:szCs w:val="24"/>
        </w:rPr>
        <w:t xml:space="preserve"> and </w:t>
      </w:r>
      <w:r w:rsidRPr="008D4E05">
        <w:rPr>
          <w:rFonts w:eastAsia="Times New Roman"/>
          <w:i/>
          <w:iCs/>
          <w:sz w:val="24"/>
          <w:szCs w:val="24"/>
        </w:rPr>
        <w:t>Giardia</w:t>
      </w:r>
      <w:r w:rsidRPr="008D4E05">
        <w:rPr>
          <w:rFonts w:eastAsia="Times New Roman"/>
          <w:sz w:val="24"/>
          <w:szCs w:val="24"/>
        </w:rPr>
        <w:t xml:space="preserve"> in Water by Filtration/IMS/ FA, 1999, United States Environmental Protection Agency, EPA–82 1–R–99–006.</w:t>
      </w:r>
    </w:p>
    <w:p w14:paraId="281A650D" w14:textId="77777777" w:rsidR="004647B9" w:rsidRPr="008D4E05" w:rsidRDefault="00E2436F" w:rsidP="009B7822">
      <w:pPr>
        <w:numPr>
          <w:ilvl w:val="2"/>
          <w:numId w:val="721"/>
        </w:numPr>
        <w:tabs>
          <w:tab w:val="left" w:pos="2622"/>
        </w:tabs>
        <w:ind w:left="2260" w:hanging="5"/>
        <w:rPr>
          <w:rFonts w:eastAsia="Times New Roman"/>
          <w:sz w:val="24"/>
          <w:szCs w:val="24"/>
        </w:rPr>
      </w:pPr>
      <w:r w:rsidRPr="008D4E05">
        <w:rPr>
          <w:rFonts w:eastAsia="Times New Roman"/>
          <w:sz w:val="24"/>
          <w:szCs w:val="24"/>
        </w:rPr>
        <w:t xml:space="preserve">Method 1622: </w:t>
      </w:r>
      <w:r w:rsidRPr="008D4E05">
        <w:rPr>
          <w:rFonts w:eastAsia="Times New Roman"/>
          <w:i/>
          <w:iCs/>
          <w:sz w:val="24"/>
          <w:szCs w:val="24"/>
          <w:u w:val="single"/>
        </w:rPr>
        <w:t>Cryptosporidium</w:t>
      </w:r>
      <w:r w:rsidRPr="008D4E05">
        <w:rPr>
          <w:rFonts w:eastAsia="Times New Roman"/>
          <w:sz w:val="24"/>
          <w:szCs w:val="24"/>
        </w:rPr>
        <w:t xml:space="preserve"> in Water by Filtration/IMS/FA, 1999, United Departments Environmental Protection Agency, EPA–821–R–99–001.</w:t>
      </w:r>
    </w:p>
    <w:p w14:paraId="281A650E" w14:textId="77777777" w:rsidR="004647B9" w:rsidRPr="00A637BF" w:rsidRDefault="00E2436F" w:rsidP="009B7822">
      <w:pPr>
        <w:numPr>
          <w:ilvl w:val="1"/>
          <w:numId w:val="721"/>
        </w:numPr>
        <w:tabs>
          <w:tab w:val="left" w:pos="2224"/>
        </w:tabs>
        <w:ind w:left="1900" w:hanging="5"/>
        <w:jc w:val="both"/>
        <w:rPr>
          <w:rFonts w:eastAsia="Times New Roman"/>
          <w:sz w:val="24"/>
          <w:szCs w:val="24"/>
        </w:rPr>
      </w:pPr>
      <w:r w:rsidRPr="008D4E05">
        <w:rPr>
          <w:rFonts w:eastAsia="Times New Roman"/>
          <w:sz w:val="24"/>
          <w:szCs w:val="24"/>
        </w:rPr>
        <w:t xml:space="preserve">For each </w:t>
      </w:r>
      <w:r w:rsidRPr="008D4E05">
        <w:rPr>
          <w:rFonts w:eastAsia="Times New Roman"/>
          <w:i/>
          <w:iCs/>
          <w:sz w:val="24"/>
          <w:szCs w:val="24"/>
        </w:rPr>
        <w:t>Cryptosporidium</w:t>
      </w:r>
      <w:r w:rsidRPr="008D4E05">
        <w:rPr>
          <w:rFonts w:eastAsia="Times New Roman"/>
          <w:sz w:val="24"/>
          <w:szCs w:val="24"/>
        </w:rPr>
        <w:t xml:space="preserve"> sample, the laboratory analyzed at least 10 L of sample or at least 2 mL of packed pellet or as much volume as could be filtered by two filters that EPA and the Department approved for the methods listed in 310 CMR </w:t>
      </w:r>
      <w:r w:rsidRPr="00A637BF">
        <w:rPr>
          <w:rFonts w:eastAsia="Times New Roman"/>
          <w:sz w:val="24"/>
          <w:szCs w:val="24"/>
        </w:rPr>
        <w:t>22.20G(8)(c)1.</w:t>
      </w:r>
    </w:p>
    <w:p w14:paraId="281A650F" w14:textId="77777777" w:rsidR="004647B9" w:rsidRPr="00A637BF" w:rsidRDefault="00E2436F" w:rsidP="009B7822">
      <w:pPr>
        <w:numPr>
          <w:ilvl w:val="0"/>
          <w:numId w:val="721"/>
        </w:numPr>
        <w:tabs>
          <w:tab w:val="left" w:pos="2022"/>
        </w:tabs>
        <w:ind w:left="1540" w:hanging="5"/>
        <w:rPr>
          <w:rFonts w:eastAsia="Times New Roman"/>
          <w:sz w:val="24"/>
          <w:szCs w:val="24"/>
        </w:rPr>
      </w:pPr>
      <w:r w:rsidRPr="00A637BF">
        <w:rPr>
          <w:rFonts w:eastAsia="Times New Roman"/>
          <w:sz w:val="24"/>
          <w:szCs w:val="24"/>
          <w:u w:val="single"/>
        </w:rPr>
        <w:t>Sampling Location</w:t>
      </w:r>
      <w:r w:rsidRPr="00A637BF">
        <w:rPr>
          <w:rFonts w:eastAsia="Times New Roman"/>
          <w:sz w:val="24"/>
          <w:szCs w:val="24"/>
        </w:rPr>
        <w:t>. The sampling location must meet the conditions as specified in 310 CMR 22.20G(4).</w:t>
      </w:r>
    </w:p>
    <w:p w14:paraId="281A6510" w14:textId="77777777" w:rsidR="004647B9" w:rsidRPr="00A637BF" w:rsidRDefault="00E2436F" w:rsidP="009B7822">
      <w:pPr>
        <w:numPr>
          <w:ilvl w:val="0"/>
          <w:numId w:val="721"/>
        </w:numPr>
        <w:tabs>
          <w:tab w:val="left" w:pos="1958"/>
        </w:tabs>
        <w:ind w:left="1540" w:hanging="5"/>
        <w:jc w:val="both"/>
        <w:rPr>
          <w:rFonts w:eastAsia="Times New Roman"/>
          <w:sz w:val="24"/>
          <w:szCs w:val="24"/>
        </w:rPr>
      </w:pPr>
      <w:r w:rsidRPr="00A637BF">
        <w:rPr>
          <w:rFonts w:eastAsia="Times New Roman"/>
          <w:sz w:val="24"/>
          <w:szCs w:val="24"/>
          <w:u w:val="single"/>
        </w:rPr>
        <w:t>Sampling Frequency</w:t>
      </w:r>
      <w:r w:rsidRPr="00A637BF">
        <w:rPr>
          <w:rFonts w:eastAsia="Times New Roman"/>
          <w:sz w:val="24"/>
          <w:szCs w:val="24"/>
        </w:rPr>
        <w:t xml:space="preserve">. </w:t>
      </w:r>
      <w:r w:rsidRPr="00A637BF">
        <w:rPr>
          <w:rFonts w:eastAsia="Times New Roman"/>
          <w:i/>
          <w:iCs/>
          <w:sz w:val="24"/>
          <w:szCs w:val="24"/>
        </w:rPr>
        <w:t>Cryptosporidium</w:t>
      </w:r>
      <w:r w:rsidRPr="00A637BF">
        <w:rPr>
          <w:rFonts w:eastAsia="Times New Roman"/>
          <w:sz w:val="24"/>
          <w:szCs w:val="24"/>
        </w:rPr>
        <w:t xml:space="preserve"> samples were collected no less frequently than each calendar month on a regular schedule, beginning no earlier than January 1999. Sample collection intervals may vary for the conditions specified in 310 CMR 22.20G(3)(b)1. and 2. if the system provides documentation of the condition when reporting monitoring results.</w:t>
      </w:r>
    </w:p>
    <w:p w14:paraId="281A6512" w14:textId="6996E682" w:rsidR="004647B9" w:rsidRPr="00A637BF" w:rsidRDefault="00E2436F" w:rsidP="009B7822">
      <w:pPr>
        <w:numPr>
          <w:ilvl w:val="1"/>
          <w:numId w:val="721"/>
        </w:numPr>
        <w:tabs>
          <w:tab w:val="left" w:pos="2193"/>
        </w:tabs>
        <w:ind w:left="1900" w:hanging="5"/>
        <w:jc w:val="both"/>
        <w:rPr>
          <w:rFonts w:eastAsia="Times New Roman"/>
          <w:sz w:val="24"/>
          <w:szCs w:val="24"/>
        </w:rPr>
      </w:pPr>
      <w:r w:rsidRPr="00A637BF">
        <w:rPr>
          <w:rFonts w:eastAsia="Times New Roman"/>
          <w:sz w:val="24"/>
          <w:szCs w:val="24"/>
        </w:rPr>
        <w:t xml:space="preserve">The Department may approve </w:t>
      </w:r>
      <w:r w:rsidR="00657DA2">
        <w:rPr>
          <w:rFonts w:eastAsia="Times New Roman"/>
          <w:sz w:val="24"/>
          <w:szCs w:val="24"/>
        </w:rPr>
        <w:t xml:space="preserve">the </w:t>
      </w:r>
      <w:r w:rsidR="00BC6742">
        <w:rPr>
          <w:rFonts w:eastAsia="Times New Roman"/>
          <w:sz w:val="24"/>
          <w:szCs w:val="24"/>
        </w:rPr>
        <w:t>use</w:t>
      </w:r>
      <w:r w:rsidR="008C0CBC">
        <w:rPr>
          <w:rFonts w:eastAsia="Times New Roman"/>
          <w:sz w:val="24"/>
          <w:szCs w:val="24"/>
        </w:rPr>
        <w:t xml:space="preserve"> </w:t>
      </w:r>
      <w:r w:rsidRPr="00A637BF" w:rsidDel="008C0CBC">
        <w:rPr>
          <w:rFonts w:eastAsia="Times New Roman"/>
          <w:sz w:val="24"/>
          <w:szCs w:val="24"/>
        </w:rPr>
        <w:t>of previously collected</w:t>
      </w:r>
      <w:r w:rsidRPr="00A637BF">
        <w:rPr>
          <w:rFonts w:eastAsia="Times New Roman"/>
          <w:sz w:val="24"/>
          <w:szCs w:val="24"/>
        </w:rPr>
        <w:t xml:space="preserve"> data where there are time gaps in the sampling frequency if the system conducts additional monitoring the Department specifies to ensure that the data used to comply with the initial source water monitoring requirements of 310 CMR 22.20G(2)(a) are seasonally representative and unbiased.</w:t>
      </w:r>
    </w:p>
    <w:p w14:paraId="281A6515" w14:textId="5D16018F" w:rsidR="004647B9" w:rsidRPr="00A637BF" w:rsidRDefault="00E2436F" w:rsidP="009B7822">
      <w:pPr>
        <w:numPr>
          <w:ilvl w:val="1"/>
          <w:numId w:val="721"/>
        </w:numPr>
        <w:tabs>
          <w:tab w:val="left" w:pos="2193"/>
        </w:tabs>
        <w:ind w:left="1900" w:hanging="5"/>
        <w:jc w:val="both"/>
        <w:rPr>
          <w:rFonts w:eastAsia="Times New Roman"/>
          <w:sz w:val="24"/>
          <w:szCs w:val="24"/>
        </w:rPr>
      </w:pPr>
      <w:r w:rsidRPr="00A637BF">
        <w:rPr>
          <w:rFonts w:eastAsia="Times New Roman"/>
          <w:sz w:val="24"/>
          <w:szCs w:val="24"/>
        </w:rPr>
        <w:t xml:space="preserve">Systems may </w:t>
      </w:r>
      <w:r w:rsidR="008C359C">
        <w:rPr>
          <w:rFonts w:eastAsia="Times New Roman"/>
          <w:sz w:val="24"/>
          <w:szCs w:val="24"/>
        </w:rPr>
        <w:t xml:space="preserve">use </w:t>
      </w:r>
      <w:r w:rsidRPr="00A637BF" w:rsidDel="008C359C">
        <w:rPr>
          <w:rFonts w:eastAsia="Times New Roman"/>
          <w:sz w:val="24"/>
          <w:szCs w:val="24"/>
        </w:rPr>
        <w:t xml:space="preserve">previously collected </w:t>
      </w:r>
      <w:r w:rsidRPr="00A637BF">
        <w:rPr>
          <w:rFonts w:eastAsia="Times New Roman"/>
          <w:sz w:val="24"/>
          <w:szCs w:val="24"/>
        </w:rPr>
        <w:t xml:space="preserve">data where the sampling frequency within each month varied. If the </w:t>
      </w:r>
      <w:r w:rsidRPr="00FD6EB0">
        <w:rPr>
          <w:rFonts w:eastAsia="Times New Roman"/>
          <w:i/>
          <w:iCs/>
          <w:sz w:val="24"/>
          <w:szCs w:val="24"/>
        </w:rPr>
        <w:t>Cryptosporidium</w:t>
      </w:r>
      <w:r w:rsidRPr="00A637BF">
        <w:rPr>
          <w:rFonts w:eastAsia="Times New Roman"/>
          <w:sz w:val="24"/>
          <w:szCs w:val="24"/>
        </w:rPr>
        <w:t xml:space="preserve"> sampling frequency varied, systems must follow the monthly averaging procedure in 310 CMR 22.20G(11)(b)5. or 310 CMR</w:t>
      </w:r>
      <w:r w:rsidR="00A637BF" w:rsidRPr="00A637BF">
        <w:rPr>
          <w:rFonts w:eastAsia="Times New Roman"/>
          <w:sz w:val="24"/>
          <w:szCs w:val="24"/>
        </w:rPr>
        <w:t xml:space="preserve"> </w:t>
      </w:r>
      <w:r w:rsidRPr="00A637BF">
        <w:rPr>
          <w:rFonts w:eastAsia="Times New Roman"/>
          <w:sz w:val="24"/>
          <w:szCs w:val="24"/>
        </w:rPr>
        <w:t xml:space="preserve">20G(13)(a)3., as applicable, when calculating the bin classification for filtered systems or the mean </w:t>
      </w:r>
      <w:r w:rsidRPr="00D53243">
        <w:rPr>
          <w:rFonts w:eastAsia="Times New Roman"/>
          <w:i/>
          <w:iCs/>
          <w:sz w:val="24"/>
          <w:szCs w:val="24"/>
        </w:rPr>
        <w:t>Cryptosporidium</w:t>
      </w:r>
      <w:r w:rsidRPr="00A637BF">
        <w:rPr>
          <w:rFonts w:eastAsia="Times New Roman"/>
          <w:sz w:val="24"/>
          <w:szCs w:val="24"/>
        </w:rPr>
        <w:t xml:space="preserve"> concentration for unfiltered systems.</w:t>
      </w:r>
    </w:p>
    <w:p w14:paraId="281A6516" w14:textId="2548BBB9" w:rsidR="004647B9" w:rsidRPr="00A637BF" w:rsidRDefault="00E2436F" w:rsidP="009B7822">
      <w:pPr>
        <w:numPr>
          <w:ilvl w:val="0"/>
          <w:numId w:val="722"/>
        </w:numPr>
        <w:tabs>
          <w:tab w:val="left" w:pos="1943"/>
        </w:tabs>
        <w:ind w:left="1540" w:hanging="5"/>
        <w:jc w:val="both"/>
        <w:rPr>
          <w:rFonts w:eastAsia="Times New Roman"/>
          <w:sz w:val="24"/>
          <w:szCs w:val="24"/>
        </w:rPr>
      </w:pPr>
      <w:r w:rsidRPr="00A637BF">
        <w:rPr>
          <w:rFonts w:eastAsia="Times New Roman"/>
          <w:sz w:val="24"/>
          <w:szCs w:val="24"/>
          <w:u w:val="single"/>
        </w:rPr>
        <w:t xml:space="preserve">Reporting </w:t>
      </w:r>
      <w:r w:rsidR="00003827">
        <w:rPr>
          <w:rFonts w:eastAsia="Times New Roman"/>
          <w:sz w:val="24"/>
          <w:szCs w:val="24"/>
          <w:u w:val="single"/>
        </w:rPr>
        <w:t xml:space="preserve">the Use of </w:t>
      </w:r>
      <w:r w:rsidR="004651DA">
        <w:rPr>
          <w:rFonts w:eastAsia="Times New Roman"/>
          <w:sz w:val="24"/>
          <w:szCs w:val="24"/>
          <w:u w:val="single"/>
        </w:rPr>
        <w:t>Previously Collected</w:t>
      </w:r>
      <w:r w:rsidR="00003827">
        <w:rPr>
          <w:rFonts w:eastAsia="Times New Roman"/>
          <w:sz w:val="24"/>
          <w:szCs w:val="24"/>
          <w:u w:val="single"/>
        </w:rPr>
        <w:t xml:space="preserve"> </w:t>
      </w:r>
      <w:r w:rsidRPr="00A637BF">
        <w:rPr>
          <w:rFonts w:eastAsia="Times New Roman"/>
          <w:sz w:val="24"/>
          <w:szCs w:val="24"/>
          <w:u w:val="single"/>
        </w:rPr>
        <w:t>Monitoring Results</w:t>
      </w:r>
      <w:r w:rsidRPr="00A637BF">
        <w:rPr>
          <w:rFonts w:eastAsia="Times New Roman"/>
          <w:sz w:val="24"/>
          <w:szCs w:val="24"/>
        </w:rPr>
        <w:t xml:space="preserve">. Systems that request to </w:t>
      </w:r>
      <w:r w:rsidR="004C4AC0">
        <w:rPr>
          <w:rFonts w:eastAsia="Times New Roman"/>
          <w:sz w:val="24"/>
          <w:szCs w:val="24"/>
        </w:rPr>
        <w:t xml:space="preserve">use </w:t>
      </w:r>
      <w:r w:rsidRPr="00A637BF" w:rsidDel="004C4AC0">
        <w:rPr>
          <w:rFonts w:eastAsia="Times New Roman"/>
          <w:sz w:val="24"/>
          <w:szCs w:val="24"/>
        </w:rPr>
        <w:t xml:space="preserve">previously collected </w:t>
      </w:r>
      <w:r w:rsidRPr="00A637BF">
        <w:rPr>
          <w:rFonts w:eastAsia="Times New Roman"/>
          <w:sz w:val="24"/>
          <w:szCs w:val="24"/>
        </w:rPr>
        <w:t>monitoring results must report the following information by the applicable dates listed in 310 CMR 22.20G(3).</w:t>
      </w:r>
    </w:p>
    <w:p w14:paraId="281A6518" w14:textId="72567575" w:rsidR="004647B9" w:rsidRDefault="00E2436F" w:rsidP="009B7822">
      <w:pPr>
        <w:numPr>
          <w:ilvl w:val="1"/>
          <w:numId w:val="722"/>
        </w:numPr>
        <w:tabs>
          <w:tab w:val="left" w:pos="2339"/>
        </w:tabs>
        <w:ind w:left="1900" w:hanging="5"/>
        <w:jc w:val="both"/>
        <w:rPr>
          <w:rFonts w:eastAsia="Times New Roman"/>
          <w:sz w:val="24"/>
          <w:szCs w:val="24"/>
        </w:rPr>
      </w:pPr>
      <w:r w:rsidRPr="00A637BF">
        <w:rPr>
          <w:rFonts w:eastAsia="Times New Roman"/>
          <w:sz w:val="24"/>
          <w:szCs w:val="24"/>
        </w:rPr>
        <w:t>Systems must report that they intend to submit</w:t>
      </w:r>
      <w:r w:rsidR="004C4AC0">
        <w:rPr>
          <w:rFonts w:eastAsia="Times New Roman"/>
          <w:sz w:val="24"/>
          <w:szCs w:val="24"/>
        </w:rPr>
        <w:t xml:space="preserve"> </w:t>
      </w:r>
      <w:r w:rsidR="00400385">
        <w:rPr>
          <w:rFonts w:eastAsia="Times New Roman"/>
          <w:sz w:val="24"/>
          <w:szCs w:val="24"/>
        </w:rPr>
        <w:t xml:space="preserve">and use </w:t>
      </w:r>
      <w:r w:rsidRPr="00A637BF" w:rsidDel="00723BD0">
        <w:rPr>
          <w:rFonts w:eastAsia="Times New Roman"/>
          <w:sz w:val="24"/>
          <w:szCs w:val="24"/>
        </w:rPr>
        <w:t xml:space="preserve">previously collected </w:t>
      </w:r>
      <w:r w:rsidRPr="00A637BF">
        <w:rPr>
          <w:rFonts w:eastAsia="Times New Roman"/>
          <w:sz w:val="24"/>
          <w:szCs w:val="24"/>
        </w:rPr>
        <w:t>monitoring results. This report must specify the number of previously collected results the system will submit, the dates of the first and last sample, and whether a system will conduct additional source water monitoring to meet the requirements of</w:t>
      </w:r>
      <w:r>
        <w:rPr>
          <w:rFonts w:eastAsia="Times New Roman"/>
          <w:sz w:val="24"/>
          <w:szCs w:val="24"/>
        </w:rPr>
        <w:t xml:space="preserve"> 310 CMR 22.20G(2)(a). Systems must report this information no later than the date required by the sampling schedule under 310 CMR 22.20G(3).</w:t>
      </w:r>
    </w:p>
    <w:p w14:paraId="281A6519" w14:textId="77777777" w:rsidR="004647B9" w:rsidRDefault="004647B9" w:rsidP="009B7822">
      <w:pPr>
        <w:sectPr w:rsidR="004647B9" w:rsidSect="00EF630C">
          <w:pgSz w:w="12240" w:h="20180"/>
          <w:pgMar w:top="708" w:right="1440" w:bottom="1440" w:left="620" w:header="0" w:footer="0" w:gutter="0"/>
          <w:cols w:space="720"/>
        </w:sectPr>
      </w:pPr>
    </w:p>
    <w:p w14:paraId="281A651A" w14:textId="77777777" w:rsidR="004647B9" w:rsidRDefault="00E2436F">
      <w:pPr>
        <w:tabs>
          <w:tab w:val="left" w:pos="160"/>
        </w:tabs>
        <w:ind w:right="20"/>
        <w:jc w:val="center"/>
        <w:rPr>
          <w:sz w:val="20"/>
          <w:szCs w:val="20"/>
        </w:rPr>
      </w:pPr>
      <w:bookmarkStart w:id="293" w:name="page297"/>
      <w:bookmarkEnd w:id="29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51B" w14:textId="77777777" w:rsidR="004647B9" w:rsidRDefault="004647B9" w:rsidP="009B7822">
      <w:pPr>
        <w:rPr>
          <w:sz w:val="20"/>
          <w:szCs w:val="20"/>
        </w:rPr>
      </w:pPr>
    </w:p>
    <w:p w14:paraId="281A651C" w14:textId="77777777" w:rsidR="004647B9" w:rsidRDefault="004647B9" w:rsidP="009B7822">
      <w:pPr>
        <w:rPr>
          <w:sz w:val="20"/>
          <w:szCs w:val="20"/>
        </w:rPr>
      </w:pPr>
    </w:p>
    <w:p w14:paraId="281A651D" w14:textId="77777777" w:rsidR="004647B9" w:rsidRPr="009B7822" w:rsidRDefault="00E2436F" w:rsidP="009B7822">
      <w:pPr>
        <w:tabs>
          <w:tab w:val="left" w:pos="940"/>
        </w:tabs>
        <w:rPr>
          <w:sz w:val="24"/>
          <w:szCs w:val="24"/>
        </w:rPr>
      </w:pPr>
      <w:r w:rsidRPr="009B7822">
        <w:rPr>
          <w:rFonts w:eastAsia="Times New Roman"/>
          <w:sz w:val="24"/>
          <w:szCs w:val="24"/>
        </w:rPr>
        <w:t>22.20G:</w:t>
      </w:r>
      <w:r w:rsidRPr="009B7822">
        <w:rPr>
          <w:rFonts w:eastAsia="Times New Roman"/>
          <w:sz w:val="24"/>
          <w:szCs w:val="24"/>
        </w:rPr>
        <w:tab/>
        <w:t>continued</w:t>
      </w:r>
    </w:p>
    <w:p w14:paraId="281A651E" w14:textId="77777777" w:rsidR="004647B9" w:rsidRPr="009B7822" w:rsidRDefault="004647B9" w:rsidP="009B7822">
      <w:pPr>
        <w:rPr>
          <w:sz w:val="20"/>
          <w:szCs w:val="20"/>
        </w:rPr>
      </w:pPr>
    </w:p>
    <w:p w14:paraId="281A651F" w14:textId="79E4EDC1" w:rsidR="004647B9" w:rsidRPr="00A637BF" w:rsidRDefault="00E2436F" w:rsidP="009B7822">
      <w:pPr>
        <w:numPr>
          <w:ilvl w:val="2"/>
          <w:numId w:val="723"/>
        </w:numPr>
        <w:tabs>
          <w:tab w:val="left" w:pos="2193"/>
        </w:tabs>
        <w:ind w:left="1900" w:hanging="5"/>
        <w:jc w:val="both"/>
        <w:rPr>
          <w:rFonts w:eastAsia="Times New Roman"/>
          <w:sz w:val="24"/>
          <w:szCs w:val="24"/>
        </w:rPr>
      </w:pPr>
      <w:r w:rsidRPr="00A637BF">
        <w:rPr>
          <w:rFonts w:eastAsia="Times New Roman"/>
          <w:sz w:val="24"/>
          <w:szCs w:val="24"/>
        </w:rPr>
        <w:t xml:space="preserve">Systems must report </w:t>
      </w:r>
      <w:r w:rsidR="002200D2">
        <w:rPr>
          <w:rFonts w:eastAsia="Times New Roman"/>
          <w:sz w:val="24"/>
          <w:szCs w:val="24"/>
        </w:rPr>
        <w:t xml:space="preserve">the use of </w:t>
      </w:r>
      <w:r w:rsidRPr="00A637BF">
        <w:rPr>
          <w:rFonts w:eastAsia="Times New Roman"/>
          <w:sz w:val="24"/>
          <w:szCs w:val="24"/>
        </w:rPr>
        <w:t>previously collected monitoring results, along with the associated documentation listed in 310 CMR 22.20G(8)(f)(2)a. through d., no later than two months after the applicable date listed in 310 CMR 22.20G(2)(c).</w:t>
      </w:r>
    </w:p>
    <w:p w14:paraId="281A6523" w14:textId="0B5DB018" w:rsidR="004647B9" w:rsidRPr="00132A04" w:rsidRDefault="00E2436F" w:rsidP="009B7822">
      <w:pPr>
        <w:numPr>
          <w:ilvl w:val="3"/>
          <w:numId w:val="723"/>
        </w:numPr>
        <w:tabs>
          <w:tab w:val="left" w:pos="2610"/>
        </w:tabs>
        <w:ind w:left="2260"/>
        <w:rPr>
          <w:rFonts w:eastAsia="Times New Roman"/>
          <w:sz w:val="24"/>
          <w:szCs w:val="24"/>
        </w:rPr>
      </w:pPr>
      <w:r w:rsidRPr="00A637BF">
        <w:rPr>
          <w:rFonts w:eastAsia="Times New Roman"/>
          <w:sz w:val="24"/>
          <w:szCs w:val="24"/>
        </w:rPr>
        <w:t>For each sample result, systems must report the applicable data elements in</w:t>
      </w:r>
      <w:r w:rsidR="00132A04">
        <w:rPr>
          <w:rFonts w:eastAsia="Times New Roman"/>
          <w:sz w:val="24"/>
          <w:szCs w:val="24"/>
        </w:rPr>
        <w:t xml:space="preserve"> </w:t>
      </w:r>
      <w:r w:rsidRPr="00132A04">
        <w:rPr>
          <w:rFonts w:eastAsia="Times New Roman"/>
          <w:sz w:val="24"/>
          <w:szCs w:val="24"/>
        </w:rPr>
        <w:t>310 CMR 22.20G(7).</w:t>
      </w:r>
    </w:p>
    <w:p w14:paraId="281A6525" w14:textId="77777777" w:rsidR="004647B9" w:rsidRPr="00A637BF" w:rsidRDefault="00E2436F" w:rsidP="009B7822">
      <w:pPr>
        <w:numPr>
          <w:ilvl w:val="3"/>
          <w:numId w:val="723"/>
        </w:numPr>
        <w:tabs>
          <w:tab w:val="left" w:pos="2620"/>
        </w:tabs>
        <w:ind w:left="2260" w:hanging="5"/>
        <w:jc w:val="both"/>
        <w:rPr>
          <w:rFonts w:eastAsia="Times New Roman"/>
          <w:sz w:val="24"/>
          <w:szCs w:val="24"/>
        </w:rPr>
      </w:pPr>
      <w:r w:rsidRPr="00A637BF">
        <w:rPr>
          <w:rFonts w:eastAsia="Times New Roman"/>
          <w:sz w:val="24"/>
          <w:szCs w:val="24"/>
        </w:rPr>
        <w:t>Systems must certify that the reported monitoring results include all results the system generated during the time period beginning with the first reported result and ending with the final reported result. This applies to samples that were collected from the sampling location specified for source water monitoring under 310 CMR 22.20G, not spiked, and analyzed using the laboratory’s routine process for the analytical methods listed in 310 CMR 22.20G.</w:t>
      </w:r>
    </w:p>
    <w:p w14:paraId="281A6527" w14:textId="77777777" w:rsidR="004647B9" w:rsidRPr="00A637BF" w:rsidRDefault="00E2436F" w:rsidP="009B7822">
      <w:pPr>
        <w:numPr>
          <w:ilvl w:val="3"/>
          <w:numId w:val="723"/>
        </w:numPr>
        <w:tabs>
          <w:tab w:val="left" w:pos="2650"/>
        </w:tabs>
        <w:ind w:left="2260" w:hanging="5"/>
        <w:jc w:val="both"/>
        <w:rPr>
          <w:rFonts w:eastAsia="Times New Roman"/>
          <w:sz w:val="24"/>
          <w:szCs w:val="24"/>
        </w:rPr>
      </w:pPr>
      <w:r w:rsidRPr="00A637BF">
        <w:rPr>
          <w:rFonts w:eastAsia="Times New Roman"/>
          <w:sz w:val="24"/>
          <w:szCs w:val="24"/>
        </w:rPr>
        <w:t>Systems must certify that the samples were representative of a plant’s source water(s) and the source water(s) have not changed. Systems must report a description of the sampling location(s), which must address the position of the sampling location in relation to the system’s water source(s) and treatment processes, including points of chemical addition and filter backwash recycle.</w:t>
      </w:r>
    </w:p>
    <w:p w14:paraId="281A6529" w14:textId="77777777" w:rsidR="004647B9" w:rsidRPr="00A637BF" w:rsidRDefault="00E2436F" w:rsidP="009B7822">
      <w:pPr>
        <w:numPr>
          <w:ilvl w:val="3"/>
          <w:numId w:val="723"/>
        </w:numPr>
        <w:tabs>
          <w:tab w:val="left" w:pos="2649"/>
        </w:tabs>
        <w:ind w:left="2260" w:hanging="5"/>
        <w:jc w:val="both"/>
        <w:rPr>
          <w:rFonts w:eastAsia="Times New Roman"/>
          <w:sz w:val="24"/>
          <w:szCs w:val="24"/>
        </w:rPr>
      </w:pPr>
      <w:r w:rsidRPr="00A637BF">
        <w:rPr>
          <w:rFonts w:eastAsia="Times New Roman"/>
          <w:sz w:val="24"/>
          <w:szCs w:val="24"/>
        </w:rPr>
        <w:t xml:space="preserve">For </w:t>
      </w:r>
      <w:r w:rsidRPr="00A637BF">
        <w:rPr>
          <w:rFonts w:eastAsia="Times New Roman"/>
          <w:i/>
          <w:iCs/>
          <w:sz w:val="24"/>
          <w:szCs w:val="24"/>
        </w:rPr>
        <w:t>Cryptosporidium</w:t>
      </w:r>
      <w:r w:rsidRPr="00A637BF">
        <w:rPr>
          <w:rFonts w:eastAsia="Times New Roman"/>
          <w:sz w:val="24"/>
          <w:szCs w:val="24"/>
        </w:rPr>
        <w:t xml:space="preserve"> samples, the laboratory or laboratories that analyzed the samples must provide a letter certifying that the quality control criteria specified in the methods listed in 310 CMR 22.20G(8)(c)1. were met for each sample batch associated with the reported results. Alternatively, the laboratory may provide bench sheets and sample examination report forms for each field, matrix spike, IPR, OPR, and method blank sample associated with the reported results.</w:t>
      </w:r>
    </w:p>
    <w:p w14:paraId="281A652B" w14:textId="3D4C4396" w:rsidR="004647B9" w:rsidRPr="00A637BF" w:rsidRDefault="00E2436F" w:rsidP="009B7822">
      <w:pPr>
        <w:numPr>
          <w:ilvl w:val="1"/>
          <w:numId w:val="724"/>
        </w:numPr>
        <w:tabs>
          <w:tab w:val="left" w:pos="2141"/>
        </w:tabs>
        <w:ind w:left="1540" w:hanging="5"/>
        <w:jc w:val="both"/>
        <w:rPr>
          <w:rFonts w:eastAsia="Times New Roman"/>
          <w:sz w:val="24"/>
          <w:szCs w:val="24"/>
        </w:rPr>
      </w:pPr>
      <w:r w:rsidRPr="00A637BF">
        <w:rPr>
          <w:rFonts w:eastAsia="Times New Roman"/>
          <w:sz w:val="24"/>
          <w:szCs w:val="24"/>
        </w:rPr>
        <w:t>If the Department determines that a previously collected data set submitted for</w:t>
      </w:r>
      <w:r w:rsidR="00DF04B3">
        <w:rPr>
          <w:rFonts w:eastAsia="Times New Roman"/>
          <w:sz w:val="24"/>
          <w:szCs w:val="24"/>
        </w:rPr>
        <w:t xml:space="preserve"> use</w:t>
      </w:r>
      <w:r w:rsidRPr="00A637BF">
        <w:rPr>
          <w:rFonts w:eastAsia="Times New Roman"/>
          <w:sz w:val="24"/>
          <w:szCs w:val="24"/>
        </w:rPr>
        <w:t xml:space="preserve"> was generated during source water conditions that were not normal for the system, such as a drought, the Department may disapprove the data. Alternatively, the Department may approve the previously collected data if the system reports additional source water monitoring data, as determined by the Department, to ensure that the data set used under 310 CMR 22.20G(11) or (13) represents average source water conditions for the system.</w:t>
      </w:r>
    </w:p>
    <w:p w14:paraId="281A652D" w14:textId="77777777" w:rsidR="004647B9" w:rsidRPr="00A637BF" w:rsidRDefault="00E2436F" w:rsidP="009B7822">
      <w:pPr>
        <w:numPr>
          <w:ilvl w:val="1"/>
          <w:numId w:val="724"/>
        </w:numPr>
        <w:tabs>
          <w:tab w:val="left" w:pos="2036"/>
        </w:tabs>
        <w:ind w:left="1540" w:hanging="5"/>
        <w:jc w:val="both"/>
        <w:rPr>
          <w:rFonts w:eastAsia="Times New Roman"/>
          <w:sz w:val="24"/>
          <w:szCs w:val="24"/>
        </w:rPr>
      </w:pPr>
      <w:r w:rsidRPr="00A637BF">
        <w:rPr>
          <w:rFonts w:eastAsia="Times New Roman"/>
          <w:sz w:val="24"/>
          <w:szCs w:val="24"/>
        </w:rPr>
        <w:t>If a system submits previously collected data that fully meet the number of samples required for initial source water monitoring under 310 CMR 22.20G(2)(a) and some of the data are rejected due to not meeting the requirements of 310 CMR 22.20G(8), systems must conduct additional monitoring to replace rejected data on a schedule the Department approves. Systems are not required to begin this additional monitoring until two months after notification that data have been rejected and additional monitoring is necessary.</w:t>
      </w:r>
    </w:p>
    <w:p w14:paraId="281A652E" w14:textId="77777777" w:rsidR="004647B9" w:rsidRPr="009B7822" w:rsidRDefault="004647B9" w:rsidP="009B7822">
      <w:pPr>
        <w:rPr>
          <w:rFonts w:eastAsia="Times New Roman"/>
          <w:sz w:val="24"/>
          <w:szCs w:val="24"/>
        </w:rPr>
      </w:pPr>
    </w:p>
    <w:p w14:paraId="281A652F" w14:textId="77777777" w:rsidR="004647B9" w:rsidRPr="00132A04" w:rsidRDefault="00E2436F" w:rsidP="009B7822">
      <w:pPr>
        <w:numPr>
          <w:ilvl w:val="0"/>
          <w:numId w:val="725"/>
        </w:numPr>
        <w:tabs>
          <w:tab w:val="left" w:pos="1640"/>
        </w:tabs>
        <w:ind w:left="1640" w:hanging="460"/>
        <w:rPr>
          <w:rFonts w:eastAsia="Times New Roman"/>
          <w:sz w:val="24"/>
          <w:szCs w:val="24"/>
        </w:rPr>
      </w:pPr>
      <w:r w:rsidRPr="00132A04">
        <w:rPr>
          <w:rFonts w:eastAsia="Times New Roman"/>
          <w:sz w:val="24"/>
          <w:szCs w:val="24"/>
          <w:u w:val="single"/>
        </w:rPr>
        <w:t>Requirements When Making a Significant Change in Disinfection Practice</w:t>
      </w:r>
      <w:r w:rsidRPr="00132A04">
        <w:rPr>
          <w:rFonts w:eastAsia="Times New Roman"/>
          <w:sz w:val="24"/>
          <w:szCs w:val="24"/>
        </w:rPr>
        <w:t>.</w:t>
      </w:r>
    </w:p>
    <w:p w14:paraId="281A6531" w14:textId="77777777" w:rsidR="004647B9" w:rsidRPr="00132A04" w:rsidRDefault="00E2436F" w:rsidP="009B7822">
      <w:pPr>
        <w:numPr>
          <w:ilvl w:val="1"/>
          <w:numId w:val="725"/>
        </w:numPr>
        <w:tabs>
          <w:tab w:val="left" w:pos="2174"/>
        </w:tabs>
        <w:ind w:left="1540" w:hanging="5"/>
        <w:jc w:val="both"/>
        <w:rPr>
          <w:rFonts w:eastAsia="Times New Roman"/>
          <w:sz w:val="24"/>
          <w:szCs w:val="24"/>
        </w:rPr>
      </w:pPr>
      <w:r w:rsidRPr="00132A04">
        <w:rPr>
          <w:rFonts w:eastAsia="Times New Roman"/>
          <w:sz w:val="24"/>
          <w:szCs w:val="24"/>
        </w:rPr>
        <w:t xml:space="preserve">Following the completion of initial source water monitoring under 310 CMR 22.20G(2)(a), a system that plans to make a significant change to its Disinfection practice, as defined in 310 CMR 22.20G(9)(b), must develop Disinfection Profiles and calculate Disinfection benchmarks for </w:t>
      </w:r>
      <w:r w:rsidRPr="00132A04">
        <w:rPr>
          <w:rFonts w:eastAsia="Times New Roman"/>
          <w:i/>
          <w:iCs/>
          <w:sz w:val="24"/>
          <w:szCs w:val="24"/>
        </w:rPr>
        <w:t>Giardia lamblia</w:t>
      </w:r>
      <w:r w:rsidRPr="00132A04">
        <w:rPr>
          <w:rFonts w:eastAsia="Times New Roman"/>
          <w:sz w:val="24"/>
          <w:szCs w:val="24"/>
        </w:rPr>
        <w:t xml:space="preserve"> and Viruses as described in 310 CMR 22.20G(10). Prior to changing the Disinfection practice, the system must notify the Department and must include in this notice the information in 310 CMR 22.20G(9)(a)1. through 3.</w:t>
      </w:r>
    </w:p>
    <w:p w14:paraId="281A6534" w14:textId="0FD290EC" w:rsidR="004647B9" w:rsidRPr="00E126AB" w:rsidRDefault="00E2436F" w:rsidP="009B7822">
      <w:pPr>
        <w:numPr>
          <w:ilvl w:val="2"/>
          <w:numId w:val="725"/>
        </w:numPr>
        <w:tabs>
          <w:tab w:val="left" w:pos="2260"/>
        </w:tabs>
        <w:ind w:left="1900"/>
        <w:rPr>
          <w:rFonts w:eastAsia="Times New Roman"/>
          <w:sz w:val="24"/>
          <w:szCs w:val="24"/>
        </w:rPr>
      </w:pPr>
      <w:r w:rsidRPr="00132A04">
        <w:rPr>
          <w:rFonts w:eastAsia="Times New Roman"/>
          <w:sz w:val="24"/>
          <w:szCs w:val="24"/>
        </w:rPr>
        <w:t xml:space="preserve">A completed Disinfection Profile and Disinfection benchmark for </w:t>
      </w:r>
      <w:r w:rsidRPr="00132A04">
        <w:rPr>
          <w:rFonts w:eastAsia="Times New Roman"/>
          <w:i/>
          <w:iCs/>
          <w:sz w:val="24"/>
          <w:szCs w:val="24"/>
        </w:rPr>
        <w:t>Giardia lamblia</w:t>
      </w:r>
      <w:r w:rsidR="00E126AB">
        <w:rPr>
          <w:rFonts w:eastAsia="Times New Roman"/>
          <w:i/>
          <w:iCs/>
          <w:sz w:val="24"/>
          <w:szCs w:val="24"/>
        </w:rPr>
        <w:t xml:space="preserve"> </w:t>
      </w:r>
      <w:r w:rsidRPr="00E126AB">
        <w:rPr>
          <w:rFonts w:eastAsia="Times New Roman"/>
          <w:sz w:val="24"/>
          <w:szCs w:val="24"/>
        </w:rPr>
        <w:t>and Viruses as described in 310 CMR 22.20G(10).</w:t>
      </w:r>
    </w:p>
    <w:p w14:paraId="281A6536" w14:textId="77777777" w:rsidR="004647B9" w:rsidRPr="00132A04" w:rsidRDefault="00E2436F" w:rsidP="009B7822">
      <w:pPr>
        <w:numPr>
          <w:ilvl w:val="1"/>
          <w:numId w:val="726"/>
        </w:numPr>
        <w:tabs>
          <w:tab w:val="left" w:pos="2260"/>
        </w:tabs>
        <w:ind w:left="2260" w:hanging="365"/>
        <w:rPr>
          <w:rFonts w:eastAsia="Times New Roman"/>
          <w:sz w:val="24"/>
          <w:szCs w:val="24"/>
        </w:rPr>
      </w:pPr>
      <w:r w:rsidRPr="00132A04">
        <w:rPr>
          <w:rFonts w:eastAsia="Times New Roman"/>
          <w:sz w:val="24"/>
          <w:szCs w:val="24"/>
        </w:rPr>
        <w:t>A description of the proposed change in Disinfection practice.</w:t>
      </w:r>
    </w:p>
    <w:p w14:paraId="281A6538" w14:textId="77777777" w:rsidR="004647B9" w:rsidRPr="00132A04" w:rsidRDefault="00E2436F" w:rsidP="009B7822">
      <w:pPr>
        <w:numPr>
          <w:ilvl w:val="1"/>
          <w:numId w:val="726"/>
        </w:numPr>
        <w:tabs>
          <w:tab w:val="left" w:pos="2220"/>
        </w:tabs>
        <w:ind w:left="1901"/>
        <w:rPr>
          <w:rFonts w:eastAsia="Times New Roman"/>
          <w:sz w:val="24"/>
          <w:szCs w:val="24"/>
        </w:rPr>
      </w:pPr>
      <w:r w:rsidRPr="00132A04">
        <w:rPr>
          <w:rFonts w:eastAsia="Times New Roman"/>
          <w:sz w:val="24"/>
          <w:szCs w:val="24"/>
        </w:rPr>
        <w:t>An analysis of how the proposed change will affect the current level of Disinfection.</w:t>
      </w:r>
    </w:p>
    <w:p w14:paraId="281A653A" w14:textId="77777777" w:rsidR="004647B9" w:rsidRPr="00132A04" w:rsidRDefault="00E2436F" w:rsidP="009B7822">
      <w:pPr>
        <w:numPr>
          <w:ilvl w:val="0"/>
          <w:numId w:val="727"/>
        </w:numPr>
        <w:tabs>
          <w:tab w:val="left" w:pos="2000"/>
        </w:tabs>
        <w:ind w:left="2000" w:hanging="465"/>
        <w:rPr>
          <w:rFonts w:eastAsia="Times New Roman"/>
          <w:sz w:val="24"/>
          <w:szCs w:val="24"/>
        </w:rPr>
      </w:pPr>
      <w:r w:rsidRPr="00132A04">
        <w:rPr>
          <w:rFonts w:eastAsia="Times New Roman"/>
          <w:sz w:val="24"/>
          <w:szCs w:val="24"/>
        </w:rPr>
        <w:t>Significant changes to Disinfection practice are defined as follows:</w:t>
      </w:r>
    </w:p>
    <w:p w14:paraId="281A653C" w14:textId="77777777" w:rsidR="004647B9" w:rsidRPr="00132A04" w:rsidRDefault="00E2436F" w:rsidP="009B7822">
      <w:pPr>
        <w:numPr>
          <w:ilvl w:val="1"/>
          <w:numId w:val="727"/>
        </w:numPr>
        <w:tabs>
          <w:tab w:val="left" w:pos="2260"/>
        </w:tabs>
        <w:ind w:left="2260" w:hanging="365"/>
        <w:rPr>
          <w:rFonts w:eastAsia="Times New Roman"/>
          <w:sz w:val="24"/>
          <w:szCs w:val="24"/>
        </w:rPr>
      </w:pPr>
      <w:r w:rsidRPr="00132A04">
        <w:rPr>
          <w:rFonts w:eastAsia="Times New Roman"/>
          <w:sz w:val="24"/>
          <w:szCs w:val="24"/>
        </w:rPr>
        <w:t>Changes to the point of Disinfection;</w:t>
      </w:r>
    </w:p>
    <w:p w14:paraId="281A653E" w14:textId="77777777" w:rsidR="004647B9" w:rsidRPr="00132A04" w:rsidRDefault="00E2436F" w:rsidP="009B7822">
      <w:pPr>
        <w:numPr>
          <w:ilvl w:val="1"/>
          <w:numId w:val="727"/>
        </w:numPr>
        <w:tabs>
          <w:tab w:val="left" w:pos="2260"/>
        </w:tabs>
        <w:ind w:left="2260" w:hanging="365"/>
        <w:rPr>
          <w:rFonts w:eastAsia="Times New Roman"/>
          <w:sz w:val="24"/>
          <w:szCs w:val="24"/>
        </w:rPr>
      </w:pPr>
      <w:r w:rsidRPr="00132A04">
        <w:rPr>
          <w:rFonts w:eastAsia="Times New Roman"/>
          <w:sz w:val="24"/>
          <w:szCs w:val="24"/>
        </w:rPr>
        <w:t>Changes to the Disinfectant(s) used in the treatment plant;</w:t>
      </w:r>
    </w:p>
    <w:p w14:paraId="281A6540" w14:textId="77777777" w:rsidR="004647B9" w:rsidRPr="00132A04" w:rsidRDefault="00E2436F" w:rsidP="009B7822">
      <w:pPr>
        <w:numPr>
          <w:ilvl w:val="1"/>
          <w:numId w:val="727"/>
        </w:numPr>
        <w:tabs>
          <w:tab w:val="left" w:pos="2260"/>
        </w:tabs>
        <w:ind w:left="2260" w:hanging="365"/>
        <w:rPr>
          <w:rFonts w:eastAsia="Times New Roman"/>
          <w:sz w:val="24"/>
          <w:szCs w:val="24"/>
        </w:rPr>
      </w:pPr>
      <w:r w:rsidRPr="00132A04">
        <w:rPr>
          <w:rFonts w:eastAsia="Times New Roman"/>
          <w:sz w:val="24"/>
          <w:szCs w:val="24"/>
        </w:rPr>
        <w:t>Changes to the Disinfection process; or</w:t>
      </w:r>
    </w:p>
    <w:p w14:paraId="281A6542" w14:textId="77777777" w:rsidR="004647B9" w:rsidRPr="00132A04" w:rsidRDefault="00E2436F" w:rsidP="009B7822">
      <w:pPr>
        <w:numPr>
          <w:ilvl w:val="1"/>
          <w:numId w:val="727"/>
        </w:numPr>
        <w:tabs>
          <w:tab w:val="left" w:pos="2339"/>
        </w:tabs>
        <w:ind w:left="1900" w:hanging="5"/>
        <w:rPr>
          <w:rFonts w:eastAsia="Times New Roman"/>
          <w:sz w:val="24"/>
          <w:szCs w:val="24"/>
        </w:rPr>
      </w:pPr>
      <w:r w:rsidRPr="00132A04">
        <w:rPr>
          <w:rFonts w:eastAsia="Times New Roman"/>
          <w:sz w:val="24"/>
          <w:szCs w:val="24"/>
        </w:rPr>
        <w:t>Any other modification identified by the Department as a significant change to Disinfection practice.</w:t>
      </w:r>
    </w:p>
    <w:p w14:paraId="281A6543" w14:textId="77777777" w:rsidR="004647B9" w:rsidRDefault="004647B9" w:rsidP="009B7822">
      <w:pPr>
        <w:sectPr w:rsidR="004647B9" w:rsidSect="00EF630C">
          <w:pgSz w:w="12240" w:h="20180"/>
          <w:pgMar w:top="708" w:right="1440" w:bottom="1440" w:left="620" w:header="0" w:footer="0" w:gutter="0"/>
          <w:cols w:space="720"/>
        </w:sectPr>
      </w:pPr>
    </w:p>
    <w:p w14:paraId="281A6544" w14:textId="77777777" w:rsidR="004647B9" w:rsidRDefault="00E2436F">
      <w:pPr>
        <w:tabs>
          <w:tab w:val="left" w:pos="160"/>
        </w:tabs>
        <w:ind w:right="20"/>
        <w:jc w:val="center"/>
        <w:rPr>
          <w:sz w:val="20"/>
          <w:szCs w:val="20"/>
        </w:rPr>
      </w:pPr>
      <w:bookmarkStart w:id="294" w:name="page298"/>
      <w:bookmarkEnd w:id="29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545" w14:textId="77777777" w:rsidR="004647B9" w:rsidRDefault="004647B9" w:rsidP="009B7822">
      <w:pPr>
        <w:rPr>
          <w:sz w:val="20"/>
          <w:szCs w:val="20"/>
        </w:rPr>
      </w:pPr>
    </w:p>
    <w:p w14:paraId="281A6546" w14:textId="77777777" w:rsidR="004647B9" w:rsidRDefault="004647B9" w:rsidP="009B7822">
      <w:pPr>
        <w:rPr>
          <w:sz w:val="20"/>
          <w:szCs w:val="20"/>
        </w:rPr>
      </w:pPr>
    </w:p>
    <w:p w14:paraId="281A6547" w14:textId="77777777" w:rsidR="004647B9" w:rsidRPr="00246F89" w:rsidRDefault="00E2436F" w:rsidP="009B7822">
      <w:pPr>
        <w:tabs>
          <w:tab w:val="left" w:pos="940"/>
        </w:tabs>
        <w:rPr>
          <w:sz w:val="24"/>
          <w:szCs w:val="24"/>
        </w:rPr>
      </w:pPr>
      <w:r w:rsidRPr="00246F89">
        <w:rPr>
          <w:rFonts w:eastAsia="Times New Roman"/>
          <w:sz w:val="24"/>
          <w:szCs w:val="24"/>
        </w:rPr>
        <w:t>22.20G:</w:t>
      </w:r>
      <w:r w:rsidRPr="00246F89">
        <w:rPr>
          <w:rFonts w:eastAsia="Times New Roman"/>
          <w:sz w:val="24"/>
          <w:szCs w:val="24"/>
        </w:rPr>
        <w:tab/>
        <w:t>continued</w:t>
      </w:r>
    </w:p>
    <w:p w14:paraId="281A6548" w14:textId="77777777" w:rsidR="004647B9" w:rsidRPr="00246F89" w:rsidRDefault="004647B9" w:rsidP="009B7822">
      <w:pPr>
        <w:rPr>
          <w:sz w:val="20"/>
          <w:szCs w:val="20"/>
        </w:rPr>
      </w:pPr>
    </w:p>
    <w:p w14:paraId="281A6549" w14:textId="77777777" w:rsidR="004647B9" w:rsidRPr="00873C85" w:rsidRDefault="00E2436F" w:rsidP="009B7822">
      <w:pPr>
        <w:numPr>
          <w:ilvl w:val="0"/>
          <w:numId w:val="728"/>
        </w:numPr>
        <w:tabs>
          <w:tab w:val="left" w:pos="1760"/>
        </w:tabs>
        <w:ind w:left="1760" w:hanging="580"/>
        <w:rPr>
          <w:rFonts w:eastAsia="Times New Roman"/>
          <w:sz w:val="24"/>
          <w:szCs w:val="24"/>
        </w:rPr>
      </w:pPr>
      <w:r w:rsidRPr="00873C85">
        <w:rPr>
          <w:rFonts w:eastAsia="Times New Roman"/>
          <w:sz w:val="24"/>
          <w:szCs w:val="24"/>
          <w:u w:val="single"/>
        </w:rPr>
        <w:t>Developing the Disinfection Profile and Benchmark</w:t>
      </w:r>
      <w:r w:rsidRPr="00873C85">
        <w:rPr>
          <w:rFonts w:eastAsia="Times New Roman"/>
          <w:sz w:val="24"/>
          <w:szCs w:val="24"/>
        </w:rPr>
        <w:t>.</w:t>
      </w:r>
    </w:p>
    <w:p w14:paraId="281A654D" w14:textId="09D06724" w:rsidR="004647B9" w:rsidRPr="00873C85" w:rsidRDefault="00E2436F" w:rsidP="009B7822">
      <w:pPr>
        <w:numPr>
          <w:ilvl w:val="1"/>
          <w:numId w:val="728"/>
        </w:numPr>
        <w:tabs>
          <w:tab w:val="left" w:pos="2036"/>
        </w:tabs>
        <w:ind w:left="1540"/>
        <w:jc w:val="both"/>
        <w:rPr>
          <w:rFonts w:eastAsia="Times New Roman"/>
          <w:sz w:val="24"/>
          <w:szCs w:val="24"/>
        </w:rPr>
      </w:pPr>
      <w:r w:rsidRPr="00873C85">
        <w:rPr>
          <w:rFonts w:eastAsia="Times New Roman"/>
          <w:sz w:val="24"/>
          <w:szCs w:val="24"/>
        </w:rPr>
        <w:t xml:space="preserve">Systems required to develop Disinfection Profiles under 310 CMR 22.20G(9) must follow the requirements of 310 CMR 22.20G(10). Systems must monitor at least weekly for a period of 12 consecutive months to determine the total log inactivation for </w:t>
      </w:r>
      <w:r w:rsidRPr="00873C85">
        <w:rPr>
          <w:rFonts w:eastAsia="Times New Roman"/>
          <w:i/>
          <w:iCs/>
          <w:sz w:val="24"/>
          <w:szCs w:val="24"/>
        </w:rPr>
        <w:t>Giardia lamblia</w:t>
      </w:r>
      <w:r w:rsidR="00873C85">
        <w:rPr>
          <w:rFonts w:eastAsia="Times New Roman"/>
          <w:sz w:val="24"/>
          <w:szCs w:val="24"/>
        </w:rPr>
        <w:t xml:space="preserve"> </w:t>
      </w:r>
      <w:r w:rsidRPr="00873C85">
        <w:rPr>
          <w:rFonts w:eastAsia="Times New Roman"/>
          <w:sz w:val="24"/>
          <w:szCs w:val="24"/>
        </w:rPr>
        <w:t xml:space="preserve">and Viruses. If systems monitor more frequently, the monitoring frequency must be evenly spaced. Systems that operate for fewer than 12 months per year must monitor weekly during the period of operation. Systems must determine log inactivation for </w:t>
      </w:r>
      <w:r w:rsidRPr="00873C85">
        <w:rPr>
          <w:rFonts w:eastAsia="Times New Roman"/>
          <w:i/>
          <w:iCs/>
          <w:sz w:val="24"/>
          <w:szCs w:val="24"/>
        </w:rPr>
        <w:t>Giardia lamblia</w:t>
      </w:r>
      <w:r w:rsidRPr="00873C85">
        <w:rPr>
          <w:rFonts w:eastAsia="Times New Roman"/>
          <w:sz w:val="24"/>
          <w:szCs w:val="24"/>
        </w:rPr>
        <w:t xml:space="preserve"> through the entire plant, based on CT99.9 values in 310 CMR 22.20A(5)(b): </w:t>
      </w:r>
      <w:r w:rsidRPr="00873C85">
        <w:rPr>
          <w:rFonts w:eastAsia="Times New Roman"/>
          <w:i/>
          <w:iCs/>
          <w:sz w:val="24"/>
          <w:szCs w:val="24"/>
        </w:rPr>
        <w:t>Tables 1.1</w:t>
      </w:r>
      <w:r w:rsidRPr="00873C85">
        <w:rPr>
          <w:rFonts w:eastAsia="Times New Roman"/>
          <w:sz w:val="24"/>
          <w:szCs w:val="24"/>
        </w:rPr>
        <w:t xml:space="preserve"> through </w:t>
      </w:r>
      <w:r w:rsidRPr="00873C85">
        <w:rPr>
          <w:rFonts w:eastAsia="Times New Roman"/>
          <w:i/>
          <w:iCs/>
          <w:sz w:val="24"/>
          <w:szCs w:val="24"/>
        </w:rPr>
        <w:t>1.6, 2.1</w:t>
      </w:r>
      <w:r w:rsidRPr="00873C85">
        <w:rPr>
          <w:rFonts w:eastAsia="Times New Roman"/>
          <w:sz w:val="24"/>
          <w:szCs w:val="24"/>
        </w:rPr>
        <w:t xml:space="preserve">, and </w:t>
      </w:r>
      <w:r w:rsidRPr="00873C85">
        <w:rPr>
          <w:rFonts w:eastAsia="Times New Roman"/>
          <w:i/>
          <w:iCs/>
          <w:sz w:val="24"/>
          <w:szCs w:val="24"/>
        </w:rPr>
        <w:t>3.1</w:t>
      </w:r>
      <w:r w:rsidRPr="00873C85">
        <w:rPr>
          <w:rFonts w:eastAsia="Times New Roman"/>
          <w:sz w:val="24"/>
          <w:szCs w:val="24"/>
        </w:rPr>
        <w:t xml:space="preserve"> as applicable. Systems must determine log inactivation for Viruses through the entire treatment plant based on a protocol approved by the Department.</w:t>
      </w:r>
    </w:p>
    <w:p w14:paraId="281A654F" w14:textId="77777777" w:rsidR="004647B9" w:rsidRPr="00873C85" w:rsidRDefault="00E2436F" w:rsidP="009B7822">
      <w:pPr>
        <w:numPr>
          <w:ilvl w:val="0"/>
          <w:numId w:val="729"/>
        </w:numPr>
        <w:tabs>
          <w:tab w:val="left" w:pos="2043"/>
        </w:tabs>
        <w:ind w:left="1540" w:hanging="5"/>
        <w:jc w:val="both"/>
        <w:rPr>
          <w:rFonts w:eastAsia="Times New Roman"/>
          <w:sz w:val="24"/>
          <w:szCs w:val="24"/>
        </w:rPr>
      </w:pPr>
      <w:r w:rsidRPr="00873C85">
        <w:rPr>
          <w:rFonts w:eastAsia="Times New Roman"/>
          <w:sz w:val="24"/>
          <w:szCs w:val="24"/>
        </w:rPr>
        <w:t>Systems with a single Point of Disinfectant Application prior to the entrance to the Distribution System must conduct the monitoring in 310 CMR 22.20G(10)(b)1. through 4. Systems with more than one Point of Disinfectant Application must conduct the monitoring in 310 CMR 22.20G(10)(b)1. through 4. for each Disinfection segment. Systems must monitor the parameters necessary to determine the total inactivation ratio, using analytical methods in 310 CMR 22.20A(5)(a).</w:t>
      </w:r>
    </w:p>
    <w:p w14:paraId="281A6551" w14:textId="77777777" w:rsidR="004647B9" w:rsidRPr="00873C85" w:rsidRDefault="00E2436F" w:rsidP="009B7822">
      <w:pPr>
        <w:numPr>
          <w:ilvl w:val="1"/>
          <w:numId w:val="729"/>
        </w:numPr>
        <w:tabs>
          <w:tab w:val="left" w:pos="2267"/>
        </w:tabs>
        <w:ind w:left="1900" w:hanging="5"/>
        <w:jc w:val="both"/>
        <w:rPr>
          <w:rFonts w:eastAsia="Times New Roman"/>
          <w:sz w:val="24"/>
          <w:szCs w:val="24"/>
        </w:rPr>
      </w:pPr>
      <w:r w:rsidRPr="00873C85">
        <w:rPr>
          <w:rFonts w:eastAsia="Times New Roman"/>
          <w:sz w:val="24"/>
          <w:szCs w:val="24"/>
        </w:rPr>
        <w:t>For systems using a Disinfectant other than UV, the temperature of the disinfected water must be measured at each Residual Disinfectant Concentration Sampling Point during peak hourly flow or at an alternative location approved by the Department.</w:t>
      </w:r>
    </w:p>
    <w:p w14:paraId="281A6553" w14:textId="77777777" w:rsidR="004647B9" w:rsidRPr="00873C85" w:rsidRDefault="00E2436F" w:rsidP="009B7822">
      <w:pPr>
        <w:numPr>
          <w:ilvl w:val="1"/>
          <w:numId w:val="729"/>
        </w:numPr>
        <w:tabs>
          <w:tab w:val="left" w:pos="2217"/>
        </w:tabs>
        <w:ind w:left="1900" w:hanging="5"/>
        <w:jc w:val="both"/>
        <w:rPr>
          <w:rFonts w:eastAsia="Times New Roman"/>
          <w:sz w:val="24"/>
          <w:szCs w:val="24"/>
        </w:rPr>
      </w:pPr>
      <w:r w:rsidRPr="00873C85">
        <w:rPr>
          <w:rFonts w:eastAsia="Times New Roman"/>
          <w:sz w:val="24"/>
          <w:szCs w:val="24"/>
        </w:rPr>
        <w:t>For systems using chlorine, the pH of the disinfected water must be measured at each chlorine Residual Disinfectant Concentration Sampling Point during peak hourly flow or at an alternative location approved by the Department.</w:t>
      </w:r>
    </w:p>
    <w:p w14:paraId="281A6555" w14:textId="77777777" w:rsidR="004647B9" w:rsidRPr="00873C85" w:rsidRDefault="00E2436F" w:rsidP="009B7822">
      <w:pPr>
        <w:numPr>
          <w:ilvl w:val="1"/>
          <w:numId w:val="729"/>
        </w:numPr>
        <w:tabs>
          <w:tab w:val="left" w:pos="2260"/>
        </w:tabs>
        <w:ind w:left="2260" w:hanging="365"/>
        <w:rPr>
          <w:rFonts w:eastAsia="Times New Roman"/>
          <w:sz w:val="24"/>
          <w:szCs w:val="24"/>
        </w:rPr>
      </w:pPr>
      <w:r w:rsidRPr="00873C85">
        <w:rPr>
          <w:rFonts w:eastAsia="Times New Roman"/>
          <w:sz w:val="24"/>
          <w:szCs w:val="24"/>
        </w:rPr>
        <w:t>The Disinfectant Contact Time(s) (t) must be determined during peak hourly flow.</w:t>
      </w:r>
    </w:p>
    <w:p w14:paraId="281A6557" w14:textId="77777777" w:rsidR="004647B9" w:rsidRPr="00873C85" w:rsidRDefault="00E2436F" w:rsidP="009B7822">
      <w:pPr>
        <w:numPr>
          <w:ilvl w:val="1"/>
          <w:numId w:val="729"/>
        </w:numPr>
        <w:tabs>
          <w:tab w:val="left" w:pos="2296"/>
        </w:tabs>
        <w:ind w:left="1900" w:hanging="5"/>
        <w:jc w:val="both"/>
        <w:rPr>
          <w:rFonts w:eastAsia="Times New Roman"/>
          <w:sz w:val="24"/>
          <w:szCs w:val="24"/>
        </w:rPr>
      </w:pPr>
      <w:r w:rsidRPr="00873C85">
        <w:rPr>
          <w:rFonts w:eastAsia="Times New Roman"/>
          <w:sz w:val="24"/>
          <w:szCs w:val="24"/>
        </w:rPr>
        <w:t>The Residual Disinfectant Concentration(s) (C) of the water before or at the first customer and prior to each additional Point of Disinfectant Application must be measured during peak hourly flow.</w:t>
      </w:r>
    </w:p>
    <w:p w14:paraId="281A6559" w14:textId="77777777" w:rsidR="004647B9" w:rsidRPr="00873C85" w:rsidRDefault="00E2436F" w:rsidP="009B7822">
      <w:pPr>
        <w:numPr>
          <w:ilvl w:val="0"/>
          <w:numId w:val="729"/>
        </w:numPr>
        <w:tabs>
          <w:tab w:val="left" w:pos="1919"/>
        </w:tabs>
        <w:ind w:left="1540" w:hanging="5"/>
        <w:rPr>
          <w:rFonts w:eastAsia="Times New Roman"/>
          <w:sz w:val="24"/>
          <w:szCs w:val="24"/>
        </w:rPr>
      </w:pPr>
      <w:r w:rsidRPr="00873C85">
        <w:rPr>
          <w:rFonts w:eastAsia="Times New Roman"/>
          <w:sz w:val="24"/>
          <w:szCs w:val="24"/>
        </w:rPr>
        <w:t xml:space="preserve">In </w:t>
      </w:r>
      <w:r w:rsidRPr="00873C85">
        <w:rPr>
          <w:rFonts w:eastAsia="Times New Roman"/>
          <w:i/>
          <w:iCs/>
          <w:sz w:val="24"/>
          <w:szCs w:val="24"/>
        </w:rPr>
        <w:t>lieu</w:t>
      </w:r>
      <w:r w:rsidRPr="00873C85">
        <w:rPr>
          <w:rFonts w:eastAsia="Times New Roman"/>
          <w:sz w:val="24"/>
          <w:szCs w:val="24"/>
        </w:rPr>
        <w:t xml:space="preserve"> of conducting new monitoring under 310 CMR 22.20G(10)(b), systems may elect to meet the requirements of 310 CMR 22.20G(10)(c)1. or 2.</w:t>
      </w:r>
    </w:p>
    <w:p w14:paraId="281A655A" w14:textId="77777777" w:rsidR="004647B9" w:rsidRPr="00873C85" w:rsidRDefault="00E2436F" w:rsidP="009B7822">
      <w:pPr>
        <w:numPr>
          <w:ilvl w:val="1"/>
          <w:numId w:val="729"/>
        </w:numPr>
        <w:tabs>
          <w:tab w:val="left" w:pos="2253"/>
        </w:tabs>
        <w:ind w:left="1900" w:hanging="5"/>
        <w:jc w:val="both"/>
        <w:rPr>
          <w:rFonts w:eastAsia="Times New Roman"/>
          <w:sz w:val="24"/>
          <w:szCs w:val="24"/>
        </w:rPr>
      </w:pPr>
      <w:r w:rsidRPr="00873C85">
        <w:rPr>
          <w:rFonts w:eastAsia="Times New Roman"/>
          <w:sz w:val="24"/>
          <w:szCs w:val="24"/>
        </w:rPr>
        <w:t>Systems that have at least one year of existing data that are substantially equivalent to data collected under the provisions of 310 CMR 22.20G(10)(b) may use these data to develop Disinfection Profiles as specified in 310 CMR 22.20G(10) if the system has neither made a significant change to its treatment practice nor changed sources since the data were collected. Systems may develop Disinfection Profiles using up to three years of existing data.</w:t>
      </w:r>
    </w:p>
    <w:p w14:paraId="281A655E" w14:textId="059E6011" w:rsidR="004647B9" w:rsidRPr="00EA1361" w:rsidRDefault="00E2436F" w:rsidP="009B7822">
      <w:pPr>
        <w:numPr>
          <w:ilvl w:val="1"/>
          <w:numId w:val="729"/>
        </w:numPr>
        <w:tabs>
          <w:tab w:val="left" w:pos="2210"/>
        </w:tabs>
        <w:ind w:left="1900"/>
        <w:jc w:val="both"/>
        <w:rPr>
          <w:rFonts w:eastAsia="Times New Roman"/>
          <w:sz w:val="24"/>
          <w:szCs w:val="24"/>
        </w:rPr>
      </w:pPr>
      <w:r w:rsidRPr="00873C85">
        <w:rPr>
          <w:rFonts w:eastAsia="Times New Roman"/>
          <w:sz w:val="24"/>
          <w:szCs w:val="24"/>
        </w:rPr>
        <w:t xml:space="preserve">Systems may use Disinfection Profile(s) developed under 310 CMR 22.20D(3) or (4) in </w:t>
      </w:r>
      <w:r w:rsidRPr="00873C85">
        <w:rPr>
          <w:rFonts w:eastAsia="Times New Roman"/>
          <w:i/>
          <w:iCs/>
          <w:sz w:val="24"/>
          <w:szCs w:val="24"/>
        </w:rPr>
        <w:t>lieu</w:t>
      </w:r>
      <w:r w:rsidRPr="00873C85">
        <w:rPr>
          <w:rFonts w:eastAsia="Times New Roman"/>
          <w:sz w:val="24"/>
          <w:szCs w:val="24"/>
        </w:rPr>
        <w:t xml:space="preserve"> of developing a new profile if the system has neither made a significant change to its treatment practice nor changed sources since the profile was developed. Systems that have not developed a Virus profile under 310 CMR 22.20D(3) or 22.20F(4) must</w:t>
      </w:r>
      <w:r w:rsidR="00EA1361">
        <w:rPr>
          <w:rFonts w:eastAsia="Times New Roman"/>
          <w:sz w:val="24"/>
          <w:szCs w:val="24"/>
        </w:rPr>
        <w:t xml:space="preserve"> </w:t>
      </w:r>
      <w:r w:rsidRPr="00EA1361">
        <w:rPr>
          <w:rFonts w:eastAsia="Times New Roman"/>
          <w:sz w:val="24"/>
          <w:szCs w:val="24"/>
        </w:rPr>
        <w:t xml:space="preserve">develop a Virus profile using the same monitoring data on which the </w:t>
      </w:r>
      <w:r w:rsidRPr="00EA1361">
        <w:rPr>
          <w:rFonts w:eastAsia="Times New Roman"/>
          <w:i/>
          <w:iCs/>
          <w:sz w:val="24"/>
          <w:szCs w:val="24"/>
        </w:rPr>
        <w:t>Giardia lamblia</w:t>
      </w:r>
      <w:r w:rsidRPr="00EA1361">
        <w:rPr>
          <w:rFonts w:eastAsia="Times New Roman"/>
          <w:sz w:val="24"/>
          <w:szCs w:val="24"/>
        </w:rPr>
        <w:t xml:space="preserve"> profile is based.</w:t>
      </w:r>
    </w:p>
    <w:p w14:paraId="281A6561" w14:textId="2825F12E" w:rsidR="004647B9" w:rsidRPr="00EA1361" w:rsidRDefault="00E2436F" w:rsidP="009B7822">
      <w:pPr>
        <w:numPr>
          <w:ilvl w:val="0"/>
          <w:numId w:val="730"/>
        </w:numPr>
        <w:tabs>
          <w:tab w:val="left" w:pos="1890"/>
        </w:tabs>
        <w:ind w:left="1540"/>
        <w:rPr>
          <w:rFonts w:eastAsia="Times New Roman"/>
          <w:sz w:val="24"/>
          <w:szCs w:val="24"/>
        </w:rPr>
      </w:pPr>
      <w:r>
        <w:rPr>
          <w:rFonts w:eastAsia="Times New Roman"/>
          <w:sz w:val="24"/>
          <w:szCs w:val="24"/>
        </w:rPr>
        <w:t xml:space="preserve">Systems must calculate the total inactivation ratio for </w:t>
      </w:r>
      <w:r>
        <w:rPr>
          <w:rFonts w:eastAsia="Times New Roman"/>
          <w:i/>
          <w:iCs/>
          <w:sz w:val="24"/>
          <w:szCs w:val="24"/>
        </w:rPr>
        <w:t>Giardia lamblia</w:t>
      </w:r>
      <w:r>
        <w:rPr>
          <w:rFonts w:eastAsia="Times New Roman"/>
          <w:sz w:val="24"/>
          <w:szCs w:val="24"/>
        </w:rPr>
        <w:t xml:space="preserve"> as specified in</w:t>
      </w:r>
      <w:r w:rsidR="00EA1361">
        <w:rPr>
          <w:rFonts w:eastAsia="Times New Roman"/>
          <w:sz w:val="24"/>
          <w:szCs w:val="24"/>
        </w:rPr>
        <w:t xml:space="preserve"> </w:t>
      </w:r>
      <w:r w:rsidRPr="00EA1361">
        <w:rPr>
          <w:rFonts w:eastAsia="Times New Roman"/>
          <w:sz w:val="24"/>
          <w:szCs w:val="24"/>
        </w:rPr>
        <w:t>310 CMR 22.20G(10)(d)1. through 3.</w:t>
      </w:r>
    </w:p>
    <w:p w14:paraId="281A6564" w14:textId="40E1AA28" w:rsidR="004647B9" w:rsidRPr="00A078C2" w:rsidRDefault="00E2436F" w:rsidP="009B7822">
      <w:pPr>
        <w:numPr>
          <w:ilvl w:val="1"/>
          <w:numId w:val="730"/>
        </w:numPr>
        <w:tabs>
          <w:tab w:val="left" w:pos="2274"/>
        </w:tabs>
        <w:ind w:left="1901"/>
        <w:jc w:val="both"/>
        <w:rPr>
          <w:rFonts w:eastAsia="Times New Roman"/>
          <w:sz w:val="24"/>
          <w:szCs w:val="24"/>
        </w:rPr>
      </w:pPr>
      <w:r>
        <w:rPr>
          <w:rFonts w:eastAsia="Times New Roman"/>
          <w:sz w:val="24"/>
          <w:szCs w:val="24"/>
        </w:rPr>
        <w:t>Systems using only one Point of Disinfectant Application may determine the total inactivation ratio for the Disinfection segment based on either of the methods in</w:t>
      </w:r>
      <w:r w:rsidR="00A078C2">
        <w:rPr>
          <w:rFonts w:eastAsia="Times New Roman"/>
          <w:sz w:val="24"/>
          <w:szCs w:val="24"/>
        </w:rPr>
        <w:t xml:space="preserve"> 310 </w:t>
      </w:r>
      <w:r w:rsidRPr="00A078C2">
        <w:rPr>
          <w:rFonts w:eastAsia="Times New Roman"/>
          <w:sz w:val="24"/>
          <w:szCs w:val="24"/>
        </w:rPr>
        <w:t>CMR 22.2G(10)(d)1.a. or b.</w:t>
      </w:r>
    </w:p>
    <w:p w14:paraId="281A6566" w14:textId="77777777" w:rsidR="004647B9" w:rsidRPr="00C845D1" w:rsidRDefault="00E2436F" w:rsidP="009B7822">
      <w:pPr>
        <w:numPr>
          <w:ilvl w:val="2"/>
          <w:numId w:val="731"/>
        </w:numPr>
        <w:tabs>
          <w:tab w:val="left" w:pos="2613"/>
        </w:tabs>
        <w:ind w:left="2260" w:hanging="5"/>
        <w:rPr>
          <w:rFonts w:eastAsia="Times New Roman"/>
          <w:sz w:val="24"/>
          <w:szCs w:val="24"/>
        </w:rPr>
      </w:pPr>
      <w:r w:rsidRPr="00C845D1">
        <w:rPr>
          <w:rFonts w:eastAsia="Times New Roman"/>
          <w:sz w:val="24"/>
          <w:szCs w:val="24"/>
        </w:rPr>
        <w:t>Determine one inactivation ratio (CTcalc/CT</w:t>
      </w:r>
      <w:r w:rsidRPr="00C845D1">
        <w:rPr>
          <w:rFonts w:eastAsia="Times New Roman"/>
          <w:sz w:val="24"/>
          <w:szCs w:val="24"/>
          <w:vertAlign w:val="subscript"/>
        </w:rPr>
        <w:t>99.9</w:t>
      </w:r>
      <w:r w:rsidRPr="00C845D1">
        <w:rPr>
          <w:rFonts w:eastAsia="Times New Roman"/>
          <w:sz w:val="24"/>
          <w:szCs w:val="24"/>
        </w:rPr>
        <w:t>) before or at the first customer during peak hourly flow.</w:t>
      </w:r>
    </w:p>
    <w:p w14:paraId="281A6568" w14:textId="67A1392F" w:rsidR="004647B9" w:rsidRPr="00C845D1" w:rsidRDefault="00E2436F" w:rsidP="009B7822">
      <w:pPr>
        <w:numPr>
          <w:ilvl w:val="2"/>
          <w:numId w:val="731"/>
        </w:numPr>
        <w:tabs>
          <w:tab w:val="left" w:pos="2570"/>
        </w:tabs>
        <w:ind w:left="2260" w:hanging="5"/>
        <w:jc w:val="both"/>
        <w:rPr>
          <w:rFonts w:eastAsia="Times New Roman"/>
          <w:sz w:val="24"/>
          <w:szCs w:val="24"/>
        </w:rPr>
      </w:pPr>
      <w:r w:rsidRPr="00C845D1">
        <w:rPr>
          <w:rFonts w:eastAsia="Times New Roman"/>
          <w:sz w:val="24"/>
          <w:szCs w:val="24"/>
        </w:rPr>
        <w:t>Determine successive CTcalc/CT</w:t>
      </w:r>
      <w:r w:rsidRPr="00C845D1">
        <w:rPr>
          <w:rFonts w:eastAsia="Times New Roman"/>
          <w:sz w:val="24"/>
          <w:szCs w:val="24"/>
          <w:vertAlign w:val="subscript"/>
        </w:rPr>
        <w:t>99.9</w:t>
      </w:r>
      <w:r w:rsidRPr="00C845D1">
        <w:rPr>
          <w:rFonts w:eastAsia="Times New Roman"/>
          <w:sz w:val="24"/>
          <w:szCs w:val="24"/>
        </w:rPr>
        <w:t xml:space="preserve"> values, representing sequential inactivation ratios, between the Point of Disinfectant Application and a point before or at the first customer during peak hourly flow. The system must calculate the total inactivation ratio by determining (CTcalc/CT</w:t>
      </w:r>
      <w:r w:rsidRPr="00C845D1">
        <w:rPr>
          <w:rFonts w:eastAsia="Times New Roman"/>
          <w:sz w:val="24"/>
          <w:szCs w:val="24"/>
          <w:vertAlign w:val="subscript"/>
        </w:rPr>
        <w:t>99.9</w:t>
      </w:r>
      <w:r w:rsidRPr="00C845D1">
        <w:rPr>
          <w:rFonts w:eastAsia="Times New Roman"/>
          <w:sz w:val="24"/>
          <w:szCs w:val="24"/>
        </w:rPr>
        <w:t>) for each sequence and then adding the (CTcalc/CT</w:t>
      </w:r>
      <w:r w:rsidRPr="00C845D1">
        <w:rPr>
          <w:rFonts w:eastAsia="Times New Roman"/>
          <w:sz w:val="24"/>
          <w:szCs w:val="24"/>
          <w:vertAlign w:val="subscript"/>
        </w:rPr>
        <w:t>99.9</w:t>
      </w:r>
      <w:r w:rsidRPr="00C845D1">
        <w:rPr>
          <w:rFonts w:eastAsia="Times New Roman"/>
          <w:sz w:val="24"/>
          <w:szCs w:val="24"/>
        </w:rPr>
        <w:t>) values together to determine (</w:t>
      </w:r>
      <w:r w:rsidR="00AE28F6">
        <w:rPr>
          <w:rFonts w:eastAsia="Arial"/>
          <w:sz w:val="24"/>
          <w:szCs w:val="24"/>
        </w:rPr>
        <w:t>∑</w:t>
      </w:r>
      <w:r w:rsidRPr="00C845D1">
        <w:rPr>
          <w:rFonts w:eastAsia="Times New Roman"/>
          <w:sz w:val="24"/>
          <w:szCs w:val="24"/>
        </w:rPr>
        <w:t>(CTcalc/CT</w:t>
      </w:r>
      <w:r w:rsidRPr="00C845D1">
        <w:rPr>
          <w:rFonts w:eastAsia="Times New Roman"/>
          <w:sz w:val="24"/>
          <w:szCs w:val="24"/>
          <w:vertAlign w:val="subscript"/>
        </w:rPr>
        <w:t>99.9</w:t>
      </w:r>
      <w:r w:rsidRPr="00C845D1">
        <w:rPr>
          <w:rFonts w:eastAsia="Times New Roman"/>
          <w:sz w:val="24"/>
          <w:szCs w:val="24"/>
        </w:rPr>
        <w:t>)).</w:t>
      </w:r>
    </w:p>
    <w:p w14:paraId="281A656A" w14:textId="1CCBB94D" w:rsidR="004647B9" w:rsidRPr="00C845D1" w:rsidRDefault="00E2436F" w:rsidP="009B7822">
      <w:pPr>
        <w:numPr>
          <w:ilvl w:val="1"/>
          <w:numId w:val="732"/>
        </w:numPr>
        <w:tabs>
          <w:tab w:val="left" w:pos="2339"/>
        </w:tabs>
        <w:ind w:left="1900" w:hanging="5"/>
        <w:jc w:val="both"/>
        <w:rPr>
          <w:rFonts w:eastAsia="Times New Roman"/>
          <w:sz w:val="24"/>
          <w:szCs w:val="24"/>
        </w:rPr>
      </w:pPr>
      <w:r w:rsidRPr="00C845D1">
        <w:rPr>
          <w:rFonts w:eastAsia="Times New Roman"/>
          <w:sz w:val="24"/>
          <w:szCs w:val="24"/>
        </w:rPr>
        <w:t>Systems using more than one Point of Disinfectant Application before the first customer must determine the CT value of each Disinfection segment immediately prior to the next Point of Disinfectant Application, or for the final segment, before or at the first customer, during peak hourly flow. The (CTcalc/CT</w:t>
      </w:r>
      <w:r w:rsidRPr="00C845D1">
        <w:rPr>
          <w:rFonts w:eastAsia="Times New Roman"/>
          <w:sz w:val="24"/>
          <w:szCs w:val="24"/>
          <w:vertAlign w:val="subscript"/>
        </w:rPr>
        <w:t>99.9</w:t>
      </w:r>
      <w:r w:rsidRPr="00C845D1">
        <w:rPr>
          <w:rFonts w:eastAsia="Times New Roman"/>
          <w:sz w:val="24"/>
          <w:szCs w:val="24"/>
        </w:rPr>
        <w:t>) value of each segment and (</w:t>
      </w:r>
      <w:r w:rsidR="00467801">
        <w:rPr>
          <w:rFonts w:eastAsia="Times New Roman"/>
          <w:sz w:val="24"/>
          <w:szCs w:val="24"/>
        </w:rPr>
        <w:t>∑</w:t>
      </w:r>
      <w:r w:rsidRPr="00C845D1">
        <w:rPr>
          <w:rFonts w:eastAsia="Times New Roman"/>
          <w:sz w:val="24"/>
          <w:szCs w:val="24"/>
        </w:rPr>
        <w:t>(CTcalc/CT</w:t>
      </w:r>
      <w:r w:rsidRPr="00C845D1">
        <w:rPr>
          <w:rFonts w:eastAsia="Times New Roman"/>
          <w:sz w:val="24"/>
          <w:szCs w:val="24"/>
          <w:vertAlign w:val="subscript"/>
        </w:rPr>
        <w:t>99.9</w:t>
      </w:r>
      <w:r w:rsidRPr="00C845D1">
        <w:rPr>
          <w:rFonts w:eastAsia="Times New Roman"/>
          <w:sz w:val="24"/>
          <w:szCs w:val="24"/>
        </w:rPr>
        <w:t>)) must be calculated using the method in 310 CMR 22.20G(10)(d)1.b.</w:t>
      </w:r>
    </w:p>
    <w:p w14:paraId="281A656B" w14:textId="77777777" w:rsidR="004647B9" w:rsidRDefault="004647B9" w:rsidP="009B7822">
      <w:pPr>
        <w:sectPr w:rsidR="004647B9" w:rsidSect="00EF630C">
          <w:pgSz w:w="12240" w:h="20180"/>
          <w:pgMar w:top="708" w:right="1440" w:bottom="1440" w:left="620" w:header="0" w:footer="0" w:gutter="0"/>
          <w:cols w:space="720"/>
        </w:sectPr>
      </w:pPr>
    </w:p>
    <w:p w14:paraId="281A656C" w14:textId="77777777" w:rsidR="004647B9" w:rsidRDefault="00E2436F">
      <w:pPr>
        <w:tabs>
          <w:tab w:val="left" w:pos="160"/>
        </w:tabs>
        <w:ind w:right="20"/>
        <w:jc w:val="center"/>
        <w:rPr>
          <w:sz w:val="20"/>
          <w:szCs w:val="20"/>
        </w:rPr>
      </w:pPr>
      <w:bookmarkStart w:id="295" w:name="page299"/>
      <w:bookmarkEnd w:id="29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56D" w14:textId="77777777" w:rsidR="004647B9" w:rsidRDefault="004647B9" w:rsidP="006851C5">
      <w:pPr>
        <w:rPr>
          <w:sz w:val="20"/>
          <w:szCs w:val="20"/>
        </w:rPr>
      </w:pPr>
    </w:p>
    <w:p w14:paraId="281A656E" w14:textId="77777777" w:rsidR="004647B9" w:rsidRDefault="004647B9" w:rsidP="006851C5">
      <w:pPr>
        <w:rPr>
          <w:sz w:val="20"/>
          <w:szCs w:val="20"/>
        </w:rPr>
      </w:pPr>
    </w:p>
    <w:p w14:paraId="281A656F" w14:textId="77777777" w:rsidR="004647B9" w:rsidRPr="006851C5" w:rsidRDefault="00E2436F" w:rsidP="006851C5">
      <w:pPr>
        <w:tabs>
          <w:tab w:val="left" w:pos="940"/>
        </w:tabs>
        <w:rPr>
          <w:sz w:val="24"/>
          <w:szCs w:val="24"/>
        </w:rPr>
      </w:pPr>
      <w:r w:rsidRPr="006851C5">
        <w:rPr>
          <w:rFonts w:eastAsia="Times New Roman"/>
          <w:sz w:val="24"/>
          <w:szCs w:val="24"/>
        </w:rPr>
        <w:t>22.20G:</w:t>
      </w:r>
      <w:r w:rsidRPr="006851C5">
        <w:rPr>
          <w:rFonts w:eastAsia="Times New Roman"/>
          <w:sz w:val="24"/>
          <w:szCs w:val="24"/>
        </w:rPr>
        <w:tab/>
        <w:t>continued</w:t>
      </w:r>
    </w:p>
    <w:p w14:paraId="281A6570" w14:textId="77777777" w:rsidR="004647B9" w:rsidRDefault="004647B9" w:rsidP="006851C5">
      <w:pPr>
        <w:rPr>
          <w:sz w:val="20"/>
          <w:szCs w:val="20"/>
        </w:rPr>
      </w:pPr>
    </w:p>
    <w:p w14:paraId="281A6571" w14:textId="77777777" w:rsidR="004647B9" w:rsidRDefault="00E2436F" w:rsidP="006851C5">
      <w:pPr>
        <w:numPr>
          <w:ilvl w:val="2"/>
          <w:numId w:val="733"/>
        </w:numPr>
        <w:tabs>
          <w:tab w:val="left" w:pos="2282"/>
        </w:tabs>
        <w:ind w:left="1900" w:hanging="5"/>
        <w:rPr>
          <w:rFonts w:eastAsia="Times New Roman"/>
          <w:sz w:val="24"/>
          <w:szCs w:val="24"/>
        </w:rPr>
      </w:pPr>
      <w:r>
        <w:rPr>
          <w:rFonts w:eastAsia="Times New Roman"/>
          <w:sz w:val="24"/>
          <w:szCs w:val="24"/>
        </w:rPr>
        <w:t>The system must determine the total logs of inactivation by multiplying the value calculated in 310 CMR 22.20G(10)(d)1. or 2. by 3.0.</w:t>
      </w:r>
    </w:p>
    <w:p w14:paraId="281A6573" w14:textId="77777777" w:rsidR="004647B9" w:rsidRDefault="00E2436F" w:rsidP="006851C5">
      <w:pPr>
        <w:numPr>
          <w:ilvl w:val="2"/>
          <w:numId w:val="733"/>
        </w:numPr>
        <w:tabs>
          <w:tab w:val="left" w:pos="2231"/>
        </w:tabs>
        <w:ind w:left="1900" w:hanging="5"/>
        <w:rPr>
          <w:rFonts w:eastAsia="Times New Roman"/>
          <w:sz w:val="24"/>
          <w:szCs w:val="24"/>
        </w:rPr>
      </w:pPr>
      <w:r>
        <w:rPr>
          <w:rFonts w:eastAsia="Times New Roman"/>
          <w:sz w:val="24"/>
          <w:szCs w:val="24"/>
        </w:rPr>
        <w:t>Systems must calculate the log of inactivation for Viruses using a protocol approved by the Department.</w:t>
      </w:r>
    </w:p>
    <w:p w14:paraId="281A6574" w14:textId="77777777" w:rsidR="004647B9" w:rsidRDefault="00E2436F" w:rsidP="006851C5">
      <w:pPr>
        <w:numPr>
          <w:ilvl w:val="1"/>
          <w:numId w:val="734"/>
        </w:numPr>
        <w:tabs>
          <w:tab w:val="left" w:pos="2061"/>
        </w:tabs>
        <w:ind w:left="1540" w:hanging="5"/>
        <w:rPr>
          <w:rFonts w:eastAsia="Times New Roman"/>
          <w:sz w:val="24"/>
          <w:szCs w:val="24"/>
        </w:rPr>
      </w:pPr>
      <w:r>
        <w:rPr>
          <w:rFonts w:eastAsia="Times New Roman"/>
          <w:sz w:val="24"/>
          <w:szCs w:val="24"/>
        </w:rPr>
        <w:t>Systems must use the procedures specified in 310 CMR 22.20G(10)(e)1. and 2. to calculate a Disinfection benchmark.</w:t>
      </w:r>
    </w:p>
    <w:p w14:paraId="281A6575" w14:textId="77777777" w:rsidR="004647B9" w:rsidRDefault="00E2436F" w:rsidP="006851C5">
      <w:pPr>
        <w:numPr>
          <w:ilvl w:val="2"/>
          <w:numId w:val="734"/>
        </w:numPr>
        <w:tabs>
          <w:tab w:val="left" w:pos="2476"/>
        </w:tabs>
        <w:ind w:left="1900" w:hanging="5"/>
        <w:jc w:val="both"/>
        <w:rPr>
          <w:rFonts w:eastAsia="Times New Roman"/>
          <w:sz w:val="24"/>
          <w:szCs w:val="24"/>
        </w:rPr>
      </w:pPr>
      <w:r>
        <w:rPr>
          <w:rFonts w:eastAsia="Times New Roman"/>
          <w:sz w:val="24"/>
          <w:szCs w:val="24"/>
        </w:rPr>
        <w:t xml:space="preserve">For each year of profiling data collected and calculated under 310 CMR 22.20G(10)(a) through (d), systems must determine the lowest mean monthly level of both </w:t>
      </w:r>
      <w:r>
        <w:rPr>
          <w:rFonts w:eastAsia="Times New Roman"/>
          <w:i/>
          <w:iCs/>
          <w:sz w:val="24"/>
          <w:szCs w:val="24"/>
        </w:rPr>
        <w:t>Giardia lamblia</w:t>
      </w:r>
      <w:r>
        <w:rPr>
          <w:rFonts w:eastAsia="Times New Roman"/>
          <w:sz w:val="24"/>
          <w:szCs w:val="24"/>
        </w:rPr>
        <w:t xml:space="preserve"> and Virus inactivation. Systems must determine the mean </w:t>
      </w:r>
      <w:r>
        <w:rPr>
          <w:rFonts w:eastAsia="Times New Roman"/>
          <w:i/>
          <w:iCs/>
          <w:sz w:val="24"/>
          <w:szCs w:val="24"/>
        </w:rPr>
        <w:t>Giardia</w:t>
      </w:r>
      <w:r>
        <w:rPr>
          <w:rFonts w:eastAsia="Times New Roman"/>
          <w:sz w:val="24"/>
          <w:szCs w:val="24"/>
        </w:rPr>
        <w:t xml:space="preserve"> </w:t>
      </w:r>
      <w:r>
        <w:rPr>
          <w:rFonts w:eastAsia="Times New Roman"/>
          <w:i/>
          <w:iCs/>
          <w:sz w:val="24"/>
          <w:szCs w:val="24"/>
        </w:rPr>
        <w:t xml:space="preserve">lamblia </w:t>
      </w:r>
      <w:r>
        <w:rPr>
          <w:rFonts w:eastAsia="Times New Roman"/>
          <w:sz w:val="24"/>
          <w:szCs w:val="24"/>
        </w:rPr>
        <w:t>and Virus inactivation for each calendar month for each year of profiling data by</w:t>
      </w:r>
      <w:r>
        <w:rPr>
          <w:rFonts w:eastAsia="Times New Roman"/>
          <w:i/>
          <w:iCs/>
          <w:sz w:val="24"/>
          <w:szCs w:val="24"/>
        </w:rPr>
        <w:t xml:space="preserve"> </w:t>
      </w:r>
      <w:r>
        <w:rPr>
          <w:rFonts w:eastAsia="Times New Roman"/>
          <w:sz w:val="24"/>
          <w:szCs w:val="24"/>
        </w:rPr>
        <w:t xml:space="preserve">dividing the sum of daily or weekly </w:t>
      </w:r>
      <w:r>
        <w:rPr>
          <w:rFonts w:eastAsia="Times New Roman"/>
          <w:i/>
          <w:iCs/>
          <w:sz w:val="24"/>
          <w:szCs w:val="24"/>
        </w:rPr>
        <w:t>Giardia lamblia</w:t>
      </w:r>
      <w:r>
        <w:rPr>
          <w:rFonts w:eastAsia="Times New Roman"/>
          <w:sz w:val="24"/>
          <w:szCs w:val="24"/>
        </w:rPr>
        <w:t xml:space="preserve"> and Virus log inactivation by the number of values calculated for that month.</w:t>
      </w:r>
    </w:p>
    <w:p w14:paraId="281A6577" w14:textId="77777777" w:rsidR="004647B9" w:rsidRDefault="00E2436F" w:rsidP="006851C5">
      <w:pPr>
        <w:numPr>
          <w:ilvl w:val="2"/>
          <w:numId w:val="734"/>
        </w:numPr>
        <w:tabs>
          <w:tab w:val="left" w:pos="2222"/>
        </w:tabs>
        <w:ind w:left="1900" w:hanging="5"/>
        <w:jc w:val="both"/>
        <w:rPr>
          <w:rFonts w:eastAsia="Times New Roman"/>
          <w:sz w:val="24"/>
          <w:szCs w:val="24"/>
        </w:rPr>
      </w:pPr>
      <w:r>
        <w:rPr>
          <w:rFonts w:eastAsia="Times New Roman"/>
          <w:sz w:val="24"/>
          <w:szCs w:val="24"/>
        </w:rPr>
        <w:t xml:space="preserve">The Disinfection benchmark is the lowest monthly mean value (for systems with one year of profiling data) or the mean of the lowest monthly mean values (for systems with more than one year of profiling data) of </w:t>
      </w:r>
      <w:r>
        <w:rPr>
          <w:rFonts w:eastAsia="Times New Roman"/>
          <w:i/>
          <w:iCs/>
          <w:sz w:val="24"/>
          <w:szCs w:val="24"/>
        </w:rPr>
        <w:t>Giardia lamblia</w:t>
      </w:r>
      <w:r>
        <w:rPr>
          <w:rFonts w:eastAsia="Times New Roman"/>
          <w:sz w:val="24"/>
          <w:szCs w:val="24"/>
        </w:rPr>
        <w:t xml:space="preserve"> and Virus log inactivation in each year of profiling data.</w:t>
      </w:r>
    </w:p>
    <w:p w14:paraId="281A6578" w14:textId="77777777" w:rsidR="004647B9" w:rsidRDefault="004647B9" w:rsidP="006851C5">
      <w:pPr>
        <w:rPr>
          <w:rFonts w:eastAsia="Times New Roman"/>
          <w:sz w:val="24"/>
          <w:szCs w:val="24"/>
        </w:rPr>
      </w:pPr>
    </w:p>
    <w:p w14:paraId="281A6579" w14:textId="77777777" w:rsidR="004647B9" w:rsidRPr="00E43B8A" w:rsidRDefault="00E2436F" w:rsidP="006851C5">
      <w:pPr>
        <w:numPr>
          <w:ilvl w:val="0"/>
          <w:numId w:val="735"/>
        </w:numPr>
        <w:tabs>
          <w:tab w:val="left" w:pos="1760"/>
        </w:tabs>
        <w:ind w:left="1760" w:hanging="580"/>
        <w:rPr>
          <w:rFonts w:eastAsia="Times New Roman"/>
          <w:sz w:val="24"/>
          <w:szCs w:val="24"/>
        </w:rPr>
      </w:pPr>
      <w:r w:rsidRPr="00E43B8A">
        <w:rPr>
          <w:rFonts w:eastAsia="Times New Roman"/>
          <w:sz w:val="24"/>
          <w:szCs w:val="24"/>
          <w:u w:val="single"/>
        </w:rPr>
        <w:t>Bin Classification for Filtered Systems</w:t>
      </w:r>
      <w:r w:rsidRPr="00E43B8A">
        <w:rPr>
          <w:rFonts w:eastAsia="Times New Roman"/>
          <w:sz w:val="24"/>
          <w:szCs w:val="24"/>
        </w:rPr>
        <w:t>.</w:t>
      </w:r>
    </w:p>
    <w:p w14:paraId="281A657D" w14:textId="7398C217" w:rsidR="004647B9" w:rsidRPr="00C22A98" w:rsidRDefault="00E2436F" w:rsidP="006851C5">
      <w:pPr>
        <w:numPr>
          <w:ilvl w:val="1"/>
          <w:numId w:val="735"/>
        </w:numPr>
        <w:tabs>
          <w:tab w:val="left" w:pos="1890"/>
        </w:tabs>
        <w:ind w:left="1540"/>
        <w:rPr>
          <w:rFonts w:eastAsia="Times New Roman"/>
          <w:sz w:val="24"/>
          <w:szCs w:val="24"/>
        </w:rPr>
      </w:pPr>
      <w:r w:rsidRPr="00E43B8A">
        <w:rPr>
          <w:rFonts w:eastAsia="Times New Roman"/>
          <w:sz w:val="24"/>
          <w:szCs w:val="24"/>
        </w:rPr>
        <w:t>Following completion of the initial round of source water monitoring required under</w:t>
      </w:r>
      <w:r w:rsidR="00C22A98">
        <w:rPr>
          <w:rFonts w:eastAsia="Times New Roman"/>
          <w:sz w:val="24"/>
          <w:szCs w:val="24"/>
        </w:rPr>
        <w:t xml:space="preserve"> </w:t>
      </w:r>
      <w:r w:rsidRPr="00C22A98">
        <w:rPr>
          <w:rFonts w:eastAsia="Times New Roman"/>
          <w:sz w:val="24"/>
          <w:szCs w:val="24"/>
        </w:rPr>
        <w:t xml:space="preserve">310 CMR 22.20G(2)(a), filtered systems must calculate an initial </w:t>
      </w:r>
      <w:r w:rsidRPr="00C22A98">
        <w:rPr>
          <w:rFonts w:eastAsia="Times New Roman"/>
          <w:i/>
          <w:iCs/>
          <w:sz w:val="24"/>
          <w:szCs w:val="24"/>
        </w:rPr>
        <w:t>Cryptosporidium</w:t>
      </w:r>
      <w:r w:rsidRPr="00C22A98">
        <w:rPr>
          <w:rFonts w:eastAsia="Times New Roman"/>
          <w:sz w:val="24"/>
          <w:szCs w:val="24"/>
        </w:rPr>
        <w:t xml:space="preserve"> bin concentration for each plant for which monitoring was required. Calculation of the bin concentration must use the </w:t>
      </w:r>
      <w:r w:rsidRPr="00C22A98">
        <w:rPr>
          <w:rFonts w:eastAsia="Times New Roman"/>
          <w:i/>
          <w:iCs/>
          <w:sz w:val="24"/>
          <w:szCs w:val="24"/>
        </w:rPr>
        <w:t>Cryptosporidium</w:t>
      </w:r>
      <w:r w:rsidRPr="00C22A98">
        <w:rPr>
          <w:rFonts w:eastAsia="Times New Roman"/>
          <w:sz w:val="24"/>
          <w:szCs w:val="24"/>
        </w:rPr>
        <w:t xml:space="preserve"> results reported under 310 CMR 22.20G(2)(a) and must follow the procedures in 310 CMR 22.20G(11)(b)1. through 5.</w:t>
      </w:r>
    </w:p>
    <w:p w14:paraId="281A657E" w14:textId="77777777" w:rsidR="004647B9" w:rsidRPr="00E43B8A" w:rsidRDefault="00E2436F" w:rsidP="006851C5">
      <w:pPr>
        <w:numPr>
          <w:ilvl w:val="1"/>
          <w:numId w:val="735"/>
        </w:numPr>
        <w:tabs>
          <w:tab w:val="left" w:pos="1900"/>
        </w:tabs>
        <w:ind w:left="1900" w:hanging="365"/>
        <w:rPr>
          <w:rFonts w:eastAsia="Times New Roman"/>
          <w:sz w:val="24"/>
          <w:szCs w:val="24"/>
        </w:rPr>
      </w:pPr>
      <w:r w:rsidRPr="00E43B8A">
        <w:rPr>
          <w:rFonts w:eastAsia="Times New Roman"/>
          <w:sz w:val="24"/>
          <w:szCs w:val="24"/>
        </w:rPr>
        <w:t>1. For systems that collect a total of at least 48 samples, the bin concentration is equal to the arithmetic mean of all sample concentrations.</w:t>
      </w:r>
    </w:p>
    <w:p w14:paraId="281A657F" w14:textId="77777777" w:rsidR="004647B9" w:rsidRPr="00E43B8A" w:rsidRDefault="00E2436F" w:rsidP="006851C5">
      <w:pPr>
        <w:numPr>
          <w:ilvl w:val="2"/>
          <w:numId w:val="735"/>
        </w:numPr>
        <w:tabs>
          <w:tab w:val="left" w:pos="2246"/>
        </w:tabs>
        <w:ind w:left="1900" w:hanging="5"/>
        <w:jc w:val="both"/>
        <w:rPr>
          <w:rFonts w:eastAsia="Times New Roman"/>
          <w:sz w:val="24"/>
          <w:szCs w:val="24"/>
        </w:rPr>
      </w:pPr>
      <w:r w:rsidRPr="00E43B8A">
        <w:rPr>
          <w:rFonts w:eastAsia="Times New Roman"/>
          <w:sz w:val="24"/>
          <w:szCs w:val="24"/>
        </w:rPr>
        <w:t xml:space="preserve">For systems that collect a total of at least 24 samples, but not more than 47 samples, the bin concentration is equal to the highest arithmetic mean of all sample concentrations in any 12 consecutive months during which </w:t>
      </w:r>
      <w:r w:rsidRPr="00E43B8A">
        <w:rPr>
          <w:rFonts w:eastAsia="Times New Roman"/>
          <w:i/>
          <w:iCs/>
          <w:sz w:val="24"/>
          <w:szCs w:val="24"/>
        </w:rPr>
        <w:t>Cryptosporidium</w:t>
      </w:r>
      <w:r w:rsidRPr="00E43B8A">
        <w:rPr>
          <w:rFonts w:eastAsia="Times New Roman"/>
          <w:sz w:val="24"/>
          <w:szCs w:val="24"/>
        </w:rPr>
        <w:t xml:space="preserve"> samples were collected.</w:t>
      </w:r>
    </w:p>
    <w:p w14:paraId="281A6581" w14:textId="657B2777" w:rsidR="004647B9" w:rsidRPr="00E43B8A" w:rsidRDefault="00E2436F" w:rsidP="00D0294A">
      <w:pPr>
        <w:numPr>
          <w:ilvl w:val="2"/>
          <w:numId w:val="735"/>
        </w:numPr>
        <w:tabs>
          <w:tab w:val="left" w:pos="2260"/>
        </w:tabs>
        <w:ind w:left="1901"/>
        <w:rPr>
          <w:rFonts w:eastAsia="Times New Roman"/>
          <w:sz w:val="24"/>
          <w:szCs w:val="24"/>
        </w:rPr>
      </w:pPr>
      <w:r w:rsidRPr="00E43B8A">
        <w:rPr>
          <w:rFonts w:eastAsia="Times New Roman"/>
          <w:sz w:val="24"/>
          <w:szCs w:val="24"/>
        </w:rPr>
        <w:t xml:space="preserve">For systems that serve fewer than 10,000 people and monitor for </w:t>
      </w:r>
      <w:r w:rsidRPr="00E43B8A">
        <w:rPr>
          <w:rFonts w:eastAsia="Times New Roman"/>
          <w:i/>
          <w:iCs/>
          <w:sz w:val="24"/>
          <w:szCs w:val="24"/>
        </w:rPr>
        <w:t>Cryptosporidium</w:t>
      </w:r>
      <w:r w:rsidR="00D0294A">
        <w:rPr>
          <w:rFonts w:eastAsia="Times New Roman"/>
          <w:i/>
          <w:iCs/>
          <w:sz w:val="24"/>
          <w:szCs w:val="24"/>
        </w:rPr>
        <w:t xml:space="preserve"> </w:t>
      </w:r>
      <w:r w:rsidR="00D0294A" w:rsidRPr="00E43B8A">
        <w:rPr>
          <w:rFonts w:eastAsia="Times New Roman"/>
          <w:sz w:val="24"/>
          <w:szCs w:val="24"/>
        </w:rPr>
        <w:t>for only one year (</w:t>
      </w:r>
      <w:r w:rsidR="00D0294A" w:rsidRPr="00E43B8A">
        <w:rPr>
          <w:rFonts w:eastAsia="Times New Roman"/>
          <w:i/>
          <w:iCs/>
          <w:sz w:val="24"/>
          <w:szCs w:val="24"/>
        </w:rPr>
        <w:t>i.e</w:t>
      </w:r>
      <w:r w:rsidR="00D0294A" w:rsidRPr="00E43B8A">
        <w:rPr>
          <w:rFonts w:eastAsia="Times New Roman"/>
          <w:sz w:val="24"/>
          <w:szCs w:val="24"/>
        </w:rPr>
        <w:t>., collect 24 samples in 12 months), the bin concentration is equal to the arithmetic mean of all sample concentrations.</w:t>
      </w:r>
    </w:p>
    <w:p w14:paraId="281A6586" w14:textId="371B66DB" w:rsidR="004647B9" w:rsidRPr="00C22A98" w:rsidRDefault="00E2436F" w:rsidP="006851C5">
      <w:pPr>
        <w:numPr>
          <w:ilvl w:val="0"/>
          <w:numId w:val="736"/>
        </w:numPr>
        <w:tabs>
          <w:tab w:val="left" w:pos="2274"/>
        </w:tabs>
        <w:ind w:left="1900"/>
        <w:jc w:val="both"/>
        <w:rPr>
          <w:sz w:val="24"/>
          <w:szCs w:val="24"/>
        </w:rPr>
      </w:pPr>
      <w:r w:rsidRPr="00C22A98">
        <w:rPr>
          <w:rFonts w:eastAsia="Times New Roman"/>
          <w:sz w:val="24"/>
          <w:szCs w:val="24"/>
        </w:rPr>
        <w:t xml:space="preserve">For systems with plants operating only part of the year that monitor fewer than 12 months per year under 310 CMR 22.20G(2)(e) the bin concentration is equal to the highest arithmetic mean of all sample concentrations during any year of </w:t>
      </w:r>
      <w:r w:rsidRPr="00C22A98">
        <w:rPr>
          <w:rFonts w:eastAsia="Times New Roman"/>
          <w:i/>
          <w:iCs/>
          <w:sz w:val="24"/>
          <w:szCs w:val="24"/>
        </w:rPr>
        <w:t>Cryptosporidium</w:t>
      </w:r>
      <w:r w:rsidR="00C22A98" w:rsidRPr="00C22A98">
        <w:rPr>
          <w:rFonts w:eastAsia="Times New Roman"/>
          <w:sz w:val="24"/>
          <w:szCs w:val="24"/>
        </w:rPr>
        <w:t xml:space="preserve"> </w:t>
      </w:r>
      <w:r w:rsidRPr="00C22A98">
        <w:rPr>
          <w:rFonts w:eastAsia="Times New Roman"/>
          <w:sz w:val="24"/>
          <w:szCs w:val="24"/>
        </w:rPr>
        <w:t>monitoring.</w:t>
      </w:r>
    </w:p>
    <w:p w14:paraId="281A6588" w14:textId="77777777" w:rsidR="004647B9" w:rsidRPr="00E43B8A" w:rsidRDefault="00E2436F" w:rsidP="006851C5">
      <w:pPr>
        <w:numPr>
          <w:ilvl w:val="1"/>
          <w:numId w:val="737"/>
        </w:numPr>
        <w:tabs>
          <w:tab w:val="left" w:pos="2368"/>
        </w:tabs>
        <w:ind w:left="1900" w:hanging="5"/>
        <w:jc w:val="both"/>
        <w:rPr>
          <w:rFonts w:eastAsia="Times New Roman"/>
          <w:sz w:val="24"/>
          <w:szCs w:val="24"/>
        </w:rPr>
      </w:pPr>
      <w:r w:rsidRPr="00E43B8A">
        <w:rPr>
          <w:rFonts w:eastAsia="Times New Roman"/>
          <w:sz w:val="24"/>
          <w:szCs w:val="24"/>
        </w:rPr>
        <w:t xml:space="preserve">If the monthly </w:t>
      </w:r>
      <w:r w:rsidRPr="00E43B8A">
        <w:rPr>
          <w:rFonts w:eastAsia="Times New Roman"/>
          <w:i/>
          <w:iCs/>
          <w:sz w:val="24"/>
          <w:szCs w:val="24"/>
        </w:rPr>
        <w:t>Cryptosporidium</w:t>
      </w:r>
      <w:r w:rsidRPr="00E43B8A">
        <w:rPr>
          <w:rFonts w:eastAsia="Times New Roman"/>
          <w:sz w:val="24"/>
          <w:szCs w:val="24"/>
        </w:rPr>
        <w:t xml:space="preserve"> sampling frequency varies, systems must first calculate a monthly average for each month of monitoring. Systems must then use these monthly average concentrations, rather than individual sample concentrations, in the applicable calculation for bin classification in 310 CMR 22.20G(11)(b)1. through 4.</w:t>
      </w:r>
    </w:p>
    <w:p w14:paraId="281A658C" w14:textId="4434A5C2" w:rsidR="004647B9" w:rsidRPr="005F0BB1" w:rsidRDefault="00E2436F" w:rsidP="006851C5">
      <w:pPr>
        <w:numPr>
          <w:ilvl w:val="0"/>
          <w:numId w:val="738"/>
        </w:numPr>
        <w:tabs>
          <w:tab w:val="left" w:pos="1890"/>
        </w:tabs>
        <w:ind w:left="1540"/>
        <w:rPr>
          <w:rFonts w:eastAsia="Times New Roman"/>
          <w:sz w:val="24"/>
          <w:szCs w:val="24"/>
        </w:rPr>
      </w:pPr>
      <w:r w:rsidRPr="00E43B8A">
        <w:rPr>
          <w:rFonts w:eastAsia="Times New Roman"/>
          <w:sz w:val="24"/>
          <w:szCs w:val="24"/>
        </w:rPr>
        <w:t>Filtered systems must determine their initial bin classification from 310 CMR 22.20G:</w:t>
      </w:r>
      <w:r w:rsidR="005F0BB1">
        <w:rPr>
          <w:rFonts w:eastAsia="Times New Roman"/>
          <w:sz w:val="24"/>
          <w:szCs w:val="24"/>
        </w:rPr>
        <w:t xml:space="preserve">  </w:t>
      </w:r>
      <w:r w:rsidRPr="005F0BB1">
        <w:rPr>
          <w:rFonts w:eastAsia="Times New Roman"/>
          <w:i/>
          <w:iCs/>
          <w:sz w:val="24"/>
          <w:szCs w:val="24"/>
        </w:rPr>
        <w:t xml:space="preserve">Table 2 </w:t>
      </w:r>
      <w:r w:rsidRPr="005F0BB1">
        <w:rPr>
          <w:rFonts w:eastAsia="Times New Roman"/>
          <w:sz w:val="24"/>
          <w:szCs w:val="24"/>
        </w:rPr>
        <w:t>and using the</w:t>
      </w:r>
      <w:r w:rsidRPr="005F0BB1">
        <w:rPr>
          <w:rFonts w:eastAsia="Times New Roman"/>
          <w:i/>
          <w:iCs/>
          <w:sz w:val="24"/>
          <w:szCs w:val="24"/>
        </w:rPr>
        <w:t xml:space="preserve"> Cryptosporidium </w:t>
      </w:r>
      <w:r w:rsidRPr="005F0BB1">
        <w:rPr>
          <w:rFonts w:eastAsia="Times New Roman"/>
          <w:sz w:val="24"/>
          <w:szCs w:val="24"/>
        </w:rPr>
        <w:t>bin concentration calculated under 310 CMR</w:t>
      </w:r>
      <w:r w:rsidRPr="005F0BB1">
        <w:rPr>
          <w:rFonts w:eastAsia="Times New Roman"/>
          <w:i/>
          <w:iCs/>
          <w:sz w:val="24"/>
          <w:szCs w:val="24"/>
        </w:rPr>
        <w:t xml:space="preserve"> </w:t>
      </w:r>
      <w:r w:rsidRPr="005F0BB1">
        <w:rPr>
          <w:rFonts w:eastAsia="Times New Roman"/>
          <w:sz w:val="24"/>
          <w:szCs w:val="24"/>
        </w:rPr>
        <w:t>22.20G(11)(a) and (b):</w:t>
      </w:r>
    </w:p>
    <w:p w14:paraId="281A658D" w14:textId="77777777" w:rsidR="004647B9" w:rsidRDefault="004647B9" w:rsidP="006851C5">
      <w:pPr>
        <w:sectPr w:rsidR="004647B9" w:rsidSect="00EF630C">
          <w:pgSz w:w="12240" w:h="20180"/>
          <w:pgMar w:top="708" w:right="1440" w:bottom="1440" w:left="620" w:header="0" w:footer="0" w:gutter="0"/>
          <w:cols w:space="720"/>
        </w:sectPr>
      </w:pPr>
    </w:p>
    <w:p w14:paraId="281A6591" w14:textId="77777777" w:rsidR="004647B9" w:rsidRDefault="00E2436F">
      <w:pPr>
        <w:tabs>
          <w:tab w:val="left" w:pos="160"/>
        </w:tabs>
        <w:ind w:right="20"/>
        <w:jc w:val="center"/>
        <w:rPr>
          <w:sz w:val="20"/>
          <w:szCs w:val="20"/>
        </w:rPr>
      </w:pPr>
      <w:bookmarkStart w:id="296" w:name="page300"/>
      <w:bookmarkEnd w:id="29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592" w14:textId="77777777" w:rsidR="004647B9" w:rsidRPr="00D0294A" w:rsidRDefault="004647B9" w:rsidP="00D0294A">
      <w:pPr>
        <w:rPr>
          <w:rFonts w:eastAsia="Times New Roman"/>
          <w:sz w:val="20"/>
          <w:szCs w:val="20"/>
        </w:rPr>
      </w:pPr>
    </w:p>
    <w:p w14:paraId="281A6593" w14:textId="77777777" w:rsidR="004647B9" w:rsidRPr="00D0294A" w:rsidRDefault="004647B9" w:rsidP="00D0294A">
      <w:pPr>
        <w:rPr>
          <w:rFonts w:eastAsia="Times New Roman"/>
          <w:sz w:val="20"/>
          <w:szCs w:val="20"/>
        </w:rPr>
      </w:pPr>
    </w:p>
    <w:p w14:paraId="281A6594" w14:textId="77777777" w:rsidR="004647B9" w:rsidRPr="00F6507B" w:rsidRDefault="00E2436F" w:rsidP="00D0294A">
      <w:pPr>
        <w:tabs>
          <w:tab w:val="left" w:pos="940"/>
        </w:tabs>
        <w:rPr>
          <w:sz w:val="24"/>
          <w:szCs w:val="24"/>
        </w:rPr>
      </w:pPr>
      <w:r>
        <w:rPr>
          <w:rFonts w:eastAsia="Times New Roman"/>
          <w:sz w:val="24"/>
          <w:szCs w:val="24"/>
        </w:rPr>
        <w:t>22.20G:</w:t>
      </w:r>
      <w:r>
        <w:rPr>
          <w:rFonts w:eastAsia="Times New Roman"/>
          <w:sz w:val="24"/>
          <w:szCs w:val="24"/>
        </w:rPr>
        <w:tab/>
        <w:t>continued</w:t>
      </w:r>
    </w:p>
    <w:p w14:paraId="281A6595" w14:textId="77777777" w:rsidR="004647B9" w:rsidRPr="00D0294A" w:rsidRDefault="004647B9" w:rsidP="00D0294A">
      <w:pPr>
        <w:rPr>
          <w:rFonts w:eastAsia="Times New Roman"/>
          <w:sz w:val="20"/>
          <w:szCs w:val="20"/>
        </w:rPr>
      </w:pPr>
    </w:p>
    <w:p w14:paraId="281A6596" w14:textId="77777777" w:rsidR="004647B9" w:rsidRPr="00D0294A" w:rsidRDefault="00E2436F" w:rsidP="00D0294A">
      <w:pPr>
        <w:jc w:val="center"/>
        <w:rPr>
          <w:sz w:val="24"/>
          <w:szCs w:val="24"/>
        </w:rPr>
      </w:pPr>
      <w:r w:rsidRPr="00D0294A">
        <w:rPr>
          <w:rFonts w:eastAsia="Times New Roman"/>
          <w:sz w:val="24"/>
          <w:szCs w:val="24"/>
        </w:rPr>
        <w:t xml:space="preserve">310 CMR 22.20G:  </w:t>
      </w:r>
      <w:r w:rsidRPr="00D0294A">
        <w:rPr>
          <w:rFonts w:eastAsia="Times New Roman"/>
          <w:i/>
          <w:iCs/>
          <w:sz w:val="24"/>
          <w:szCs w:val="24"/>
        </w:rPr>
        <w:t>Table 2</w:t>
      </w:r>
    </w:p>
    <w:p w14:paraId="281A6598" w14:textId="77777777" w:rsidR="004647B9" w:rsidRDefault="00E2436F" w:rsidP="00D0294A">
      <w:pPr>
        <w:jc w:val="center"/>
        <w:rPr>
          <w:sz w:val="20"/>
          <w:szCs w:val="20"/>
        </w:rPr>
      </w:pPr>
      <w:r>
        <w:rPr>
          <w:rFonts w:eastAsia="Times New Roman"/>
          <w:sz w:val="24"/>
          <w:szCs w:val="24"/>
        </w:rPr>
        <w:t>BIN CLASSIFICATION TABLE FOR FILTERED SYSTEMS</w:t>
      </w:r>
    </w:p>
    <w:p w14:paraId="281A6599" w14:textId="77777777" w:rsidR="004647B9" w:rsidRPr="00942B1A" w:rsidRDefault="004647B9" w:rsidP="00D0294A">
      <w:pPr>
        <w:rPr>
          <w:sz w:val="24"/>
          <w:szCs w:val="24"/>
        </w:rPr>
        <w:sectPr w:rsidR="004647B9" w:rsidRPr="00942B1A" w:rsidSect="00EF630C">
          <w:pgSz w:w="12240" w:h="20180"/>
          <w:pgMar w:top="708" w:right="1440" w:bottom="1440" w:left="620" w:header="0" w:footer="0" w:gutter="0"/>
          <w:cols w:space="720"/>
        </w:sectPr>
      </w:pPr>
    </w:p>
    <w:p w14:paraId="281A659B" w14:textId="77777777" w:rsidR="004647B9" w:rsidRPr="00942B1A" w:rsidRDefault="004647B9" w:rsidP="00D0294A">
      <w:pPr>
        <w:rPr>
          <w:rFonts w:eastAsia="Times New Roman"/>
          <w:sz w:val="24"/>
          <w:szCs w:val="24"/>
        </w:rPr>
      </w:pPr>
    </w:p>
    <w:tbl>
      <w:tblPr>
        <w:tblStyle w:val="TableGrid"/>
        <w:tblW w:w="0" w:type="auto"/>
        <w:tblInd w:w="880" w:type="dxa"/>
        <w:tblLook w:val="04A0" w:firstRow="1" w:lastRow="0" w:firstColumn="1" w:lastColumn="0" w:noHBand="0" w:noVBand="1"/>
      </w:tblPr>
      <w:tblGrid>
        <w:gridCol w:w="2993"/>
        <w:gridCol w:w="3379"/>
        <w:gridCol w:w="2918"/>
      </w:tblGrid>
      <w:tr w:rsidR="00911070" w14:paraId="3183C1D6" w14:textId="77777777" w:rsidTr="00D2692E">
        <w:tc>
          <w:tcPr>
            <w:tcW w:w="2993" w:type="dxa"/>
            <w:vAlign w:val="center"/>
          </w:tcPr>
          <w:p w14:paraId="1F79BCE9" w14:textId="677DC080" w:rsidR="00911070" w:rsidRDefault="00911070" w:rsidP="00D0294A">
            <w:pPr>
              <w:rPr>
                <w:rFonts w:eastAsia="Times New Roman"/>
                <w:sz w:val="24"/>
                <w:szCs w:val="24"/>
              </w:rPr>
            </w:pPr>
            <w:r>
              <w:rPr>
                <w:rFonts w:eastAsia="Times New Roman"/>
                <w:sz w:val="24"/>
                <w:szCs w:val="24"/>
              </w:rPr>
              <w:t>For Systems that are:</w:t>
            </w:r>
          </w:p>
        </w:tc>
        <w:tc>
          <w:tcPr>
            <w:tcW w:w="3379" w:type="dxa"/>
            <w:vAlign w:val="center"/>
          </w:tcPr>
          <w:p w14:paraId="1C50EFF8" w14:textId="1F8054EC" w:rsidR="00911070" w:rsidRDefault="00C73685" w:rsidP="00D0294A">
            <w:pPr>
              <w:rPr>
                <w:rFonts w:eastAsia="Times New Roman"/>
                <w:sz w:val="24"/>
                <w:szCs w:val="24"/>
              </w:rPr>
            </w:pPr>
            <w:r>
              <w:rPr>
                <w:rFonts w:eastAsia="Times New Roman"/>
                <w:sz w:val="24"/>
                <w:szCs w:val="24"/>
              </w:rPr>
              <w:t xml:space="preserve">With a </w:t>
            </w:r>
            <w:r>
              <w:rPr>
                <w:rFonts w:eastAsia="Times New Roman"/>
                <w:i/>
                <w:iCs/>
                <w:sz w:val="24"/>
                <w:szCs w:val="24"/>
              </w:rPr>
              <w:t>Cryptosporidium</w:t>
            </w:r>
            <w:r>
              <w:rPr>
                <w:rFonts w:eastAsia="Times New Roman"/>
                <w:sz w:val="24"/>
                <w:szCs w:val="24"/>
              </w:rPr>
              <w:t xml:space="preserve"> bin concentration of…</w:t>
            </w:r>
            <w:r w:rsidR="00F6507B" w:rsidRPr="00F6507B">
              <w:rPr>
                <w:rFonts w:eastAsia="Times New Roman"/>
                <w:sz w:val="24"/>
                <w:szCs w:val="24"/>
                <w:vertAlign w:val="superscript"/>
              </w:rPr>
              <w:t>1</w:t>
            </w:r>
          </w:p>
        </w:tc>
        <w:tc>
          <w:tcPr>
            <w:tcW w:w="2918" w:type="dxa"/>
            <w:vAlign w:val="center"/>
          </w:tcPr>
          <w:p w14:paraId="6812BA58" w14:textId="6E3A5205" w:rsidR="00911070" w:rsidRDefault="00942B1A" w:rsidP="00D0294A">
            <w:pPr>
              <w:rPr>
                <w:rFonts w:eastAsia="Times New Roman"/>
                <w:sz w:val="24"/>
                <w:szCs w:val="24"/>
              </w:rPr>
            </w:pPr>
            <w:r>
              <w:rPr>
                <w:rFonts w:eastAsia="Times New Roman"/>
                <w:sz w:val="24"/>
                <w:szCs w:val="24"/>
              </w:rPr>
              <w:t>The bin classification is…</w:t>
            </w:r>
          </w:p>
        </w:tc>
      </w:tr>
      <w:tr w:rsidR="00D2692E" w14:paraId="2F57E790" w14:textId="77777777" w:rsidTr="00D2692E">
        <w:tc>
          <w:tcPr>
            <w:tcW w:w="2993" w:type="dxa"/>
            <w:vMerge w:val="restart"/>
            <w:vAlign w:val="center"/>
          </w:tcPr>
          <w:p w14:paraId="26AFF447" w14:textId="5D5C6A14" w:rsidR="00D2692E" w:rsidRDefault="00D2692E" w:rsidP="00D0294A">
            <w:pPr>
              <w:rPr>
                <w:rFonts w:eastAsia="Times New Roman"/>
                <w:sz w:val="24"/>
                <w:szCs w:val="24"/>
              </w:rPr>
            </w:pPr>
            <w:r>
              <w:rPr>
                <w:rFonts w:eastAsia="Times New Roman"/>
                <w:sz w:val="23"/>
                <w:szCs w:val="23"/>
              </w:rPr>
              <w:t xml:space="preserve">…required to monitor for </w:t>
            </w:r>
            <w:r>
              <w:rPr>
                <w:rFonts w:eastAsia="Times New Roman"/>
                <w:i/>
                <w:iCs/>
                <w:sz w:val="23"/>
                <w:szCs w:val="23"/>
              </w:rPr>
              <w:t xml:space="preserve">Cryptosporidium </w:t>
            </w:r>
            <w:r>
              <w:rPr>
                <w:rFonts w:eastAsia="Times New Roman"/>
                <w:sz w:val="23"/>
                <w:szCs w:val="23"/>
              </w:rPr>
              <w:t>under</w:t>
            </w:r>
            <w:r>
              <w:rPr>
                <w:rFonts w:eastAsia="Times New Roman"/>
                <w:i/>
                <w:iCs/>
                <w:sz w:val="23"/>
                <w:szCs w:val="23"/>
              </w:rPr>
              <w:t xml:space="preserve"> </w:t>
            </w:r>
            <w:r>
              <w:rPr>
                <w:rFonts w:eastAsia="Times New Roman"/>
                <w:sz w:val="23"/>
                <w:szCs w:val="23"/>
              </w:rPr>
              <w:t>310 CMR 22.20G(2)</w:t>
            </w:r>
          </w:p>
        </w:tc>
        <w:tc>
          <w:tcPr>
            <w:tcW w:w="3379" w:type="dxa"/>
          </w:tcPr>
          <w:p w14:paraId="473B10D9" w14:textId="579E6B63" w:rsidR="00D2692E" w:rsidRDefault="00D2692E" w:rsidP="00D0294A">
            <w:pPr>
              <w:rPr>
                <w:rFonts w:eastAsia="Times New Roman"/>
                <w:sz w:val="24"/>
                <w:szCs w:val="24"/>
              </w:rPr>
            </w:pPr>
            <w:r>
              <w:rPr>
                <w:rFonts w:eastAsia="Times New Roman"/>
                <w:i/>
                <w:iCs/>
                <w:sz w:val="24"/>
                <w:szCs w:val="24"/>
              </w:rPr>
              <w:t xml:space="preserve">Cryptosporidium </w:t>
            </w:r>
            <w:r>
              <w:rPr>
                <w:rFonts w:eastAsia="Times New Roman"/>
                <w:sz w:val="24"/>
                <w:szCs w:val="24"/>
              </w:rPr>
              <w:t>&lt;0.075</w:t>
            </w:r>
            <w:r>
              <w:rPr>
                <w:rFonts w:eastAsia="Times New Roman"/>
                <w:i/>
                <w:iCs/>
                <w:sz w:val="24"/>
                <w:szCs w:val="24"/>
              </w:rPr>
              <w:t xml:space="preserve"> oocysts</w:t>
            </w:r>
            <w:r>
              <w:rPr>
                <w:rFonts w:eastAsia="Times New Roman"/>
                <w:sz w:val="24"/>
                <w:szCs w:val="24"/>
              </w:rPr>
              <w:t>/L</w:t>
            </w:r>
          </w:p>
        </w:tc>
        <w:tc>
          <w:tcPr>
            <w:tcW w:w="2918" w:type="dxa"/>
          </w:tcPr>
          <w:p w14:paraId="4002327E" w14:textId="21C9A0A1" w:rsidR="00D2692E" w:rsidRDefault="00D2692E" w:rsidP="00D0294A">
            <w:pPr>
              <w:rPr>
                <w:rFonts w:eastAsia="Times New Roman"/>
                <w:sz w:val="24"/>
                <w:szCs w:val="24"/>
              </w:rPr>
            </w:pPr>
            <w:r>
              <w:rPr>
                <w:rFonts w:eastAsia="Times New Roman"/>
                <w:sz w:val="24"/>
                <w:szCs w:val="24"/>
              </w:rPr>
              <w:t>Bin 1</w:t>
            </w:r>
          </w:p>
        </w:tc>
      </w:tr>
      <w:tr w:rsidR="00D2692E" w14:paraId="0AEECE9F" w14:textId="77777777" w:rsidTr="00D2692E">
        <w:tc>
          <w:tcPr>
            <w:tcW w:w="2993" w:type="dxa"/>
            <w:vMerge/>
            <w:vAlign w:val="center"/>
          </w:tcPr>
          <w:p w14:paraId="5A5B4658" w14:textId="77777777" w:rsidR="00D2692E" w:rsidRDefault="00D2692E" w:rsidP="00D0294A">
            <w:pPr>
              <w:rPr>
                <w:rFonts w:eastAsia="Times New Roman"/>
                <w:sz w:val="24"/>
                <w:szCs w:val="24"/>
              </w:rPr>
            </w:pPr>
          </w:p>
        </w:tc>
        <w:tc>
          <w:tcPr>
            <w:tcW w:w="3379" w:type="dxa"/>
          </w:tcPr>
          <w:p w14:paraId="7AA67F4C" w14:textId="18B0CD81" w:rsidR="00D2692E" w:rsidRDefault="00D2692E" w:rsidP="00D0294A">
            <w:pPr>
              <w:rPr>
                <w:rFonts w:eastAsia="Times New Roman"/>
                <w:sz w:val="24"/>
                <w:szCs w:val="24"/>
              </w:rPr>
            </w:pPr>
            <w:r>
              <w:rPr>
                <w:rFonts w:eastAsia="Times New Roman"/>
                <w:sz w:val="24"/>
                <w:szCs w:val="24"/>
              </w:rPr>
              <w:t xml:space="preserve">0.075 </w:t>
            </w:r>
            <w:r>
              <w:rPr>
                <w:rFonts w:eastAsia="Times New Roman"/>
                <w:i/>
                <w:iCs/>
                <w:sz w:val="24"/>
                <w:szCs w:val="24"/>
              </w:rPr>
              <w:t>oocysts</w:t>
            </w:r>
            <w:r>
              <w:rPr>
                <w:rFonts w:eastAsia="Times New Roman"/>
                <w:sz w:val="24"/>
                <w:szCs w:val="24"/>
              </w:rPr>
              <w:t>/L≤</w:t>
            </w:r>
            <w:r>
              <w:rPr>
                <w:rFonts w:eastAsia="Times New Roman"/>
                <w:i/>
                <w:iCs/>
                <w:sz w:val="24"/>
                <w:szCs w:val="24"/>
              </w:rPr>
              <w:t>Cryptosporidium</w:t>
            </w:r>
            <w:r>
              <w:rPr>
                <w:rFonts w:eastAsia="Times New Roman"/>
                <w:sz w:val="24"/>
                <w:szCs w:val="24"/>
              </w:rPr>
              <w:t xml:space="preserve">&lt;1.0 </w:t>
            </w:r>
            <w:r>
              <w:rPr>
                <w:rFonts w:eastAsia="Times New Roman"/>
                <w:i/>
                <w:iCs/>
                <w:sz w:val="24"/>
                <w:szCs w:val="24"/>
              </w:rPr>
              <w:t>oocysts</w:t>
            </w:r>
            <w:r>
              <w:rPr>
                <w:rFonts w:eastAsia="Times New Roman"/>
                <w:sz w:val="24"/>
                <w:szCs w:val="24"/>
              </w:rPr>
              <w:t>/L</w:t>
            </w:r>
          </w:p>
        </w:tc>
        <w:tc>
          <w:tcPr>
            <w:tcW w:w="2918" w:type="dxa"/>
          </w:tcPr>
          <w:p w14:paraId="606E84F0" w14:textId="1960DCD9" w:rsidR="00D2692E" w:rsidRDefault="00D2692E" w:rsidP="00D0294A">
            <w:pPr>
              <w:rPr>
                <w:rFonts w:eastAsia="Times New Roman"/>
                <w:sz w:val="24"/>
                <w:szCs w:val="24"/>
              </w:rPr>
            </w:pPr>
            <w:r>
              <w:rPr>
                <w:rFonts w:eastAsia="Times New Roman"/>
                <w:sz w:val="24"/>
                <w:szCs w:val="24"/>
              </w:rPr>
              <w:t>Bin 2</w:t>
            </w:r>
          </w:p>
        </w:tc>
      </w:tr>
      <w:tr w:rsidR="00D2692E" w14:paraId="3B54A9A5" w14:textId="77777777" w:rsidTr="00D2692E">
        <w:tc>
          <w:tcPr>
            <w:tcW w:w="2993" w:type="dxa"/>
            <w:vMerge/>
            <w:vAlign w:val="center"/>
          </w:tcPr>
          <w:p w14:paraId="06795EAA" w14:textId="77777777" w:rsidR="00D2692E" w:rsidRDefault="00D2692E" w:rsidP="00D0294A">
            <w:pPr>
              <w:rPr>
                <w:rFonts w:eastAsia="Times New Roman"/>
                <w:sz w:val="24"/>
                <w:szCs w:val="24"/>
              </w:rPr>
            </w:pPr>
          </w:p>
        </w:tc>
        <w:tc>
          <w:tcPr>
            <w:tcW w:w="3379" w:type="dxa"/>
          </w:tcPr>
          <w:p w14:paraId="79315C5F" w14:textId="14B9832C" w:rsidR="00D2692E" w:rsidRDefault="00D2692E" w:rsidP="00D0294A">
            <w:pPr>
              <w:rPr>
                <w:rFonts w:eastAsia="Times New Roman"/>
                <w:sz w:val="24"/>
                <w:szCs w:val="24"/>
              </w:rPr>
            </w:pPr>
            <w:r>
              <w:rPr>
                <w:rFonts w:eastAsia="Times New Roman"/>
                <w:sz w:val="24"/>
                <w:szCs w:val="24"/>
              </w:rPr>
              <w:t xml:space="preserve">1.0 </w:t>
            </w:r>
            <w:r>
              <w:rPr>
                <w:rFonts w:eastAsia="Times New Roman"/>
                <w:i/>
                <w:iCs/>
                <w:sz w:val="24"/>
                <w:szCs w:val="24"/>
              </w:rPr>
              <w:t>oocysts</w:t>
            </w:r>
            <w:r>
              <w:rPr>
                <w:rFonts w:eastAsia="Times New Roman"/>
                <w:sz w:val="24"/>
                <w:szCs w:val="24"/>
              </w:rPr>
              <w:t>/L≤</w:t>
            </w:r>
            <w:r>
              <w:rPr>
                <w:rFonts w:eastAsia="Times New Roman"/>
                <w:i/>
                <w:iCs/>
                <w:sz w:val="24"/>
                <w:szCs w:val="24"/>
              </w:rPr>
              <w:t>Cryptosporidium</w:t>
            </w:r>
            <w:r>
              <w:rPr>
                <w:rFonts w:eastAsia="Times New Roman"/>
                <w:sz w:val="24"/>
                <w:szCs w:val="24"/>
              </w:rPr>
              <w:t xml:space="preserve"> &lt;3.0 </w:t>
            </w:r>
            <w:r>
              <w:rPr>
                <w:rFonts w:eastAsia="Times New Roman"/>
                <w:i/>
                <w:iCs/>
                <w:sz w:val="24"/>
                <w:szCs w:val="24"/>
              </w:rPr>
              <w:t>oocysts</w:t>
            </w:r>
            <w:r>
              <w:rPr>
                <w:rFonts w:eastAsia="Times New Roman"/>
                <w:sz w:val="24"/>
                <w:szCs w:val="24"/>
              </w:rPr>
              <w:t>/L</w:t>
            </w:r>
          </w:p>
        </w:tc>
        <w:tc>
          <w:tcPr>
            <w:tcW w:w="2918" w:type="dxa"/>
          </w:tcPr>
          <w:p w14:paraId="75B1A6B0" w14:textId="0A9AEAEC" w:rsidR="00D2692E" w:rsidRDefault="00D2692E" w:rsidP="00D0294A">
            <w:pPr>
              <w:rPr>
                <w:rFonts w:eastAsia="Times New Roman"/>
                <w:sz w:val="24"/>
                <w:szCs w:val="24"/>
              </w:rPr>
            </w:pPr>
            <w:r>
              <w:rPr>
                <w:rFonts w:eastAsia="Times New Roman"/>
                <w:sz w:val="24"/>
                <w:szCs w:val="24"/>
              </w:rPr>
              <w:t>Bin 3</w:t>
            </w:r>
          </w:p>
        </w:tc>
      </w:tr>
      <w:tr w:rsidR="00D2692E" w14:paraId="4EA0CC27" w14:textId="77777777" w:rsidTr="00D2692E">
        <w:tc>
          <w:tcPr>
            <w:tcW w:w="2993" w:type="dxa"/>
            <w:vMerge/>
            <w:vAlign w:val="center"/>
          </w:tcPr>
          <w:p w14:paraId="39FCF496" w14:textId="77777777" w:rsidR="00D2692E" w:rsidRDefault="00D2692E" w:rsidP="00D0294A">
            <w:pPr>
              <w:rPr>
                <w:rFonts w:eastAsia="Times New Roman"/>
                <w:sz w:val="24"/>
                <w:szCs w:val="24"/>
              </w:rPr>
            </w:pPr>
          </w:p>
        </w:tc>
        <w:tc>
          <w:tcPr>
            <w:tcW w:w="3379" w:type="dxa"/>
          </w:tcPr>
          <w:p w14:paraId="383FE992" w14:textId="481189FC" w:rsidR="00D2692E" w:rsidRDefault="00D2692E" w:rsidP="00D0294A">
            <w:pPr>
              <w:rPr>
                <w:rFonts w:eastAsia="Times New Roman"/>
                <w:sz w:val="24"/>
                <w:szCs w:val="24"/>
              </w:rPr>
            </w:pPr>
            <w:r>
              <w:rPr>
                <w:rFonts w:eastAsia="Times New Roman"/>
                <w:i/>
                <w:iCs/>
                <w:sz w:val="24"/>
                <w:szCs w:val="24"/>
              </w:rPr>
              <w:t xml:space="preserve">Cryptosporidium </w:t>
            </w:r>
            <w:r w:rsidRPr="008C79E8">
              <w:rPr>
                <w:rFonts w:eastAsia="Times New Roman"/>
                <w:sz w:val="24"/>
                <w:szCs w:val="24"/>
              </w:rPr>
              <w:t>≥</w:t>
            </w:r>
            <w:r>
              <w:rPr>
                <w:rFonts w:eastAsia="Times New Roman"/>
                <w:sz w:val="24"/>
                <w:szCs w:val="24"/>
              </w:rPr>
              <w:t>3.0</w:t>
            </w:r>
            <w:r>
              <w:rPr>
                <w:rFonts w:eastAsia="Times New Roman"/>
                <w:i/>
                <w:iCs/>
                <w:sz w:val="24"/>
                <w:szCs w:val="24"/>
              </w:rPr>
              <w:t xml:space="preserve"> oocysts</w:t>
            </w:r>
            <w:r>
              <w:rPr>
                <w:rFonts w:eastAsia="Times New Roman"/>
                <w:sz w:val="24"/>
                <w:szCs w:val="24"/>
              </w:rPr>
              <w:t>/L</w:t>
            </w:r>
          </w:p>
        </w:tc>
        <w:tc>
          <w:tcPr>
            <w:tcW w:w="2918" w:type="dxa"/>
          </w:tcPr>
          <w:p w14:paraId="06F06008" w14:textId="21784D8E" w:rsidR="00D2692E" w:rsidRDefault="00D2692E" w:rsidP="00D0294A">
            <w:pPr>
              <w:rPr>
                <w:rFonts w:eastAsia="Times New Roman"/>
                <w:sz w:val="24"/>
                <w:szCs w:val="24"/>
              </w:rPr>
            </w:pPr>
            <w:r>
              <w:rPr>
                <w:rFonts w:eastAsia="Times New Roman"/>
                <w:sz w:val="24"/>
                <w:szCs w:val="24"/>
              </w:rPr>
              <w:t>Bin 4</w:t>
            </w:r>
          </w:p>
        </w:tc>
      </w:tr>
      <w:tr w:rsidR="00911070" w14:paraId="2D087A1F" w14:textId="77777777" w:rsidTr="00D2692E">
        <w:tc>
          <w:tcPr>
            <w:tcW w:w="2993" w:type="dxa"/>
            <w:vAlign w:val="center"/>
          </w:tcPr>
          <w:p w14:paraId="09C4C552" w14:textId="7E377B35" w:rsidR="00911070" w:rsidRDefault="008C79E8" w:rsidP="00D0294A">
            <w:pPr>
              <w:rPr>
                <w:rFonts w:eastAsia="Times New Roman"/>
                <w:sz w:val="24"/>
                <w:szCs w:val="24"/>
              </w:rPr>
            </w:pPr>
            <w:r>
              <w:rPr>
                <w:rFonts w:eastAsia="Times New Roman"/>
                <w:sz w:val="23"/>
                <w:szCs w:val="23"/>
              </w:rPr>
              <w:t>…s</w:t>
            </w:r>
            <w:r w:rsidR="00BA1163">
              <w:rPr>
                <w:rFonts w:eastAsia="Times New Roman"/>
                <w:sz w:val="23"/>
                <w:szCs w:val="23"/>
              </w:rPr>
              <w:t xml:space="preserve">erving fewer than 10,000 people and NOT required to monitor for </w:t>
            </w:r>
            <w:r w:rsidR="00BA1163">
              <w:rPr>
                <w:rFonts w:eastAsia="Times New Roman"/>
                <w:i/>
                <w:iCs/>
                <w:sz w:val="23"/>
                <w:szCs w:val="23"/>
              </w:rPr>
              <w:t>Cryptosporidium</w:t>
            </w:r>
            <w:r w:rsidR="00BA1163">
              <w:rPr>
                <w:rFonts w:eastAsia="Times New Roman"/>
                <w:sz w:val="23"/>
                <w:szCs w:val="23"/>
              </w:rPr>
              <w:t xml:space="preserve"> under 310 CMR 22.20G(2)(a)4.</w:t>
            </w:r>
          </w:p>
        </w:tc>
        <w:tc>
          <w:tcPr>
            <w:tcW w:w="3379" w:type="dxa"/>
          </w:tcPr>
          <w:p w14:paraId="5CD28366" w14:textId="3DC5DF49" w:rsidR="00911070" w:rsidRDefault="00BA1163" w:rsidP="00D0294A">
            <w:pPr>
              <w:rPr>
                <w:rFonts w:eastAsia="Times New Roman"/>
                <w:sz w:val="24"/>
                <w:szCs w:val="24"/>
              </w:rPr>
            </w:pPr>
            <w:r>
              <w:rPr>
                <w:rFonts w:eastAsia="Times New Roman"/>
                <w:sz w:val="24"/>
                <w:szCs w:val="24"/>
              </w:rPr>
              <w:t>N/A</w:t>
            </w:r>
          </w:p>
        </w:tc>
        <w:tc>
          <w:tcPr>
            <w:tcW w:w="2918" w:type="dxa"/>
          </w:tcPr>
          <w:p w14:paraId="1307CB21" w14:textId="04E6839C" w:rsidR="00911070" w:rsidRDefault="00911070" w:rsidP="00D0294A">
            <w:pPr>
              <w:rPr>
                <w:rFonts w:eastAsia="Times New Roman"/>
                <w:sz w:val="24"/>
                <w:szCs w:val="24"/>
              </w:rPr>
            </w:pPr>
            <w:r>
              <w:rPr>
                <w:rFonts w:eastAsia="Times New Roman"/>
                <w:sz w:val="24"/>
                <w:szCs w:val="24"/>
              </w:rPr>
              <w:t>Bin 1</w:t>
            </w:r>
          </w:p>
        </w:tc>
      </w:tr>
    </w:tbl>
    <w:p w14:paraId="281A65C2" w14:textId="54DE17C3" w:rsidR="004647B9" w:rsidRPr="004C4D88" w:rsidRDefault="004647B9" w:rsidP="00D0294A">
      <w:pPr>
        <w:rPr>
          <w:rFonts w:eastAsia="Times New Roman"/>
          <w:sz w:val="24"/>
          <w:szCs w:val="24"/>
        </w:rPr>
      </w:pPr>
    </w:p>
    <w:p w14:paraId="281A65C3" w14:textId="77777777" w:rsidR="004647B9" w:rsidRPr="004C4D88" w:rsidRDefault="004647B9" w:rsidP="00D0294A">
      <w:pPr>
        <w:rPr>
          <w:sz w:val="24"/>
          <w:szCs w:val="24"/>
        </w:rPr>
        <w:sectPr w:rsidR="004647B9" w:rsidRPr="004C4D88" w:rsidSect="00EF630C">
          <w:type w:val="continuous"/>
          <w:pgSz w:w="12240" w:h="20180"/>
          <w:pgMar w:top="708" w:right="1440" w:bottom="1440" w:left="620" w:header="0" w:footer="0" w:gutter="0"/>
          <w:cols w:space="720"/>
        </w:sectPr>
      </w:pPr>
    </w:p>
    <w:p w14:paraId="281A65C4" w14:textId="77777777" w:rsidR="004647B9" w:rsidRPr="00D0294A" w:rsidRDefault="004647B9" w:rsidP="00D0294A">
      <w:pPr>
        <w:rPr>
          <w:rFonts w:eastAsia="Times New Roman"/>
          <w:sz w:val="24"/>
          <w:szCs w:val="24"/>
        </w:rPr>
      </w:pPr>
    </w:p>
    <w:p w14:paraId="281A65C5" w14:textId="77777777" w:rsidR="004647B9" w:rsidRDefault="00E2436F" w:rsidP="00D0294A">
      <w:pPr>
        <w:numPr>
          <w:ilvl w:val="0"/>
          <w:numId w:val="739"/>
        </w:numPr>
        <w:tabs>
          <w:tab w:val="left" w:pos="200"/>
        </w:tabs>
        <w:ind w:left="200" w:hanging="191"/>
        <w:rPr>
          <w:rFonts w:eastAsia="Times New Roman"/>
          <w:sz w:val="28"/>
          <w:szCs w:val="28"/>
          <w:vertAlign w:val="superscript"/>
        </w:rPr>
      </w:pPr>
      <w:r>
        <w:rPr>
          <w:rFonts w:eastAsia="Times New Roman"/>
          <w:sz w:val="24"/>
          <w:szCs w:val="24"/>
        </w:rPr>
        <w:t>Based on calculations in 310 CMR 22.20G(11)(a) or (d), as applicable.</w:t>
      </w:r>
    </w:p>
    <w:p w14:paraId="281A65C6" w14:textId="77777777" w:rsidR="004647B9" w:rsidRPr="001709C5" w:rsidRDefault="004647B9" w:rsidP="00D0294A">
      <w:pPr>
        <w:rPr>
          <w:rFonts w:eastAsia="Times New Roman"/>
          <w:sz w:val="24"/>
          <w:szCs w:val="24"/>
        </w:rPr>
      </w:pPr>
    </w:p>
    <w:p w14:paraId="281A65C9" w14:textId="2F0A27F9" w:rsidR="004647B9" w:rsidRPr="001709C5" w:rsidRDefault="00E2436F" w:rsidP="00D0294A">
      <w:pPr>
        <w:numPr>
          <w:ilvl w:val="2"/>
          <w:numId w:val="739"/>
        </w:numPr>
        <w:tabs>
          <w:tab w:val="left" w:pos="1890"/>
        </w:tabs>
        <w:ind w:left="1540"/>
        <w:rPr>
          <w:rFonts w:eastAsia="Times New Roman"/>
          <w:sz w:val="24"/>
          <w:szCs w:val="24"/>
        </w:rPr>
      </w:pPr>
      <w:r w:rsidRPr="001709C5">
        <w:rPr>
          <w:rFonts w:eastAsia="Times New Roman"/>
          <w:sz w:val="24"/>
          <w:szCs w:val="24"/>
        </w:rPr>
        <w:t>Following completion of the second round of source water monitoring required under</w:t>
      </w:r>
      <w:r w:rsidR="001709C5" w:rsidRPr="001709C5">
        <w:rPr>
          <w:rFonts w:eastAsia="Times New Roman"/>
          <w:sz w:val="24"/>
          <w:szCs w:val="24"/>
        </w:rPr>
        <w:t xml:space="preserve"> </w:t>
      </w:r>
      <w:r w:rsidRPr="001709C5">
        <w:rPr>
          <w:rFonts w:eastAsia="Times New Roman"/>
          <w:sz w:val="24"/>
          <w:szCs w:val="24"/>
        </w:rPr>
        <w:t xml:space="preserve">310 CMR 22.20G(2)(b) filtered systems must recalculate their </w:t>
      </w:r>
      <w:r w:rsidRPr="001709C5">
        <w:rPr>
          <w:rFonts w:eastAsia="Times New Roman"/>
          <w:i/>
          <w:iCs/>
          <w:sz w:val="24"/>
          <w:szCs w:val="24"/>
        </w:rPr>
        <w:t>Cryptosporidium</w:t>
      </w:r>
      <w:r w:rsidRPr="001709C5">
        <w:rPr>
          <w:rFonts w:eastAsia="Times New Roman"/>
          <w:sz w:val="24"/>
          <w:szCs w:val="24"/>
        </w:rPr>
        <w:t xml:space="preserve"> bin concentration using the </w:t>
      </w:r>
      <w:r w:rsidRPr="001709C5">
        <w:rPr>
          <w:rFonts w:eastAsia="Times New Roman"/>
          <w:i/>
          <w:iCs/>
          <w:sz w:val="24"/>
          <w:szCs w:val="24"/>
        </w:rPr>
        <w:t>Cryptosporidium</w:t>
      </w:r>
      <w:r w:rsidRPr="001709C5">
        <w:rPr>
          <w:rFonts w:eastAsia="Times New Roman"/>
          <w:sz w:val="24"/>
          <w:szCs w:val="24"/>
        </w:rPr>
        <w:t xml:space="preserve"> results reported under 310 CMR 22.20G(7)(d) and following the procedures in 310 CMR 22.20G(11)(b)1. through 4. Systems must then redetermine their bin classification using this bin concentration and the table in 310 CMR 22.20G(11)(c).</w:t>
      </w:r>
    </w:p>
    <w:p w14:paraId="281A65CC" w14:textId="53AD0EC9" w:rsidR="004647B9" w:rsidRPr="001709C5" w:rsidRDefault="00E2436F" w:rsidP="00D0294A">
      <w:pPr>
        <w:numPr>
          <w:ilvl w:val="2"/>
          <w:numId w:val="739"/>
        </w:numPr>
        <w:tabs>
          <w:tab w:val="left" w:pos="1900"/>
        </w:tabs>
        <w:ind w:left="1890" w:hanging="360"/>
        <w:jc w:val="both"/>
        <w:rPr>
          <w:rFonts w:eastAsia="Times New Roman"/>
          <w:sz w:val="24"/>
          <w:szCs w:val="24"/>
        </w:rPr>
      </w:pPr>
      <w:r w:rsidRPr="001709C5">
        <w:rPr>
          <w:rFonts w:eastAsia="Times New Roman"/>
          <w:sz w:val="24"/>
          <w:szCs w:val="24"/>
        </w:rPr>
        <w:t>1. Filtered systems must report their initial bin classification under 310 CMR 22.20G(11)(c) to the Department for approval no later than six months after the system is required to complete initial source water monitoring based on the schedule in</w:t>
      </w:r>
      <w:r w:rsidR="001709C5" w:rsidRPr="001709C5">
        <w:rPr>
          <w:rFonts w:eastAsia="Times New Roman"/>
          <w:sz w:val="24"/>
          <w:szCs w:val="24"/>
        </w:rPr>
        <w:t xml:space="preserve"> 310 </w:t>
      </w:r>
      <w:r w:rsidRPr="001709C5">
        <w:rPr>
          <w:rFonts w:eastAsia="Times New Roman"/>
          <w:sz w:val="24"/>
          <w:szCs w:val="24"/>
        </w:rPr>
        <w:t>CMR 22.20G(2)(c).</w:t>
      </w:r>
    </w:p>
    <w:p w14:paraId="281A65CE" w14:textId="77777777" w:rsidR="004647B9" w:rsidRPr="001709C5" w:rsidRDefault="00E2436F" w:rsidP="00D0294A">
      <w:pPr>
        <w:numPr>
          <w:ilvl w:val="3"/>
          <w:numId w:val="740"/>
        </w:numPr>
        <w:tabs>
          <w:tab w:val="left" w:pos="2282"/>
        </w:tabs>
        <w:ind w:left="1900" w:hanging="5"/>
        <w:jc w:val="both"/>
        <w:rPr>
          <w:rFonts w:eastAsia="Times New Roman"/>
          <w:sz w:val="24"/>
          <w:szCs w:val="24"/>
        </w:rPr>
      </w:pPr>
      <w:r w:rsidRPr="001709C5">
        <w:rPr>
          <w:rFonts w:eastAsia="Times New Roman"/>
          <w:sz w:val="24"/>
          <w:szCs w:val="24"/>
        </w:rPr>
        <w:t>Systems must report their bin classification under 310 CMR 22.20G(11)(d) to the Department for approval no later than six months after the system is required to complete the second round of source water monitoring based on the schedule in 310 CMR 22.20G(2)(c).</w:t>
      </w:r>
    </w:p>
    <w:p w14:paraId="281A65CF" w14:textId="77777777" w:rsidR="004647B9" w:rsidRPr="001709C5" w:rsidRDefault="00E2436F" w:rsidP="00D0294A">
      <w:pPr>
        <w:numPr>
          <w:ilvl w:val="3"/>
          <w:numId w:val="740"/>
        </w:numPr>
        <w:tabs>
          <w:tab w:val="left" w:pos="2274"/>
        </w:tabs>
        <w:ind w:left="1900" w:hanging="5"/>
        <w:jc w:val="both"/>
        <w:rPr>
          <w:rFonts w:eastAsia="Times New Roman"/>
          <w:sz w:val="24"/>
          <w:szCs w:val="24"/>
        </w:rPr>
      </w:pPr>
      <w:r w:rsidRPr="001709C5">
        <w:rPr>
          <w:rFonts w:eastAsia="Times New Roman"/>
          <w:sz w:val="24"/>
          <w:szCs w:val="24"/>
        </w:rPr>
        <w:t>The bin classification report to the Department must include a summary of source water monitoring data and the calculation procedure used to determine bin classification.</w:t>
      </w:r>
    </w:p>
    <w:p w14:paraId="281A65D1" w14:textId="77777777" w:rsidR="004647B9" w:rsidRPr="001709C5" w:rsidRDefault="00E2436F" w:rsidP="00D0294A">
      <w:pPr>
        <w:numPr>
          <w:ilvl w:val="2"/>
          <w:numId w:val="741"/>
        </w:numPr>
        <w:tabs>
          <w:tab w:val="left" w:pos="1958"/>
        </w:tabs>
        <w:ind w:left="1540" w:hanging="5"/>
        <w:rPr>
          <w:rFonts w:eastAsia="Times New Roman"/>
          <w:sz w:val="24"/>
          <w:szCs w:val="24"/>
        </w:rPr>
      </w:pPr>
      <w:r w:rsidRPr="001709C5">
        <w:rPr>
          <w:rFonts w:eastAsia="Times New Roman"/>
          <w:sz w:val="24"/>
          <w:szCs w:val="24"/>
        </w:rPr>
        <w:t>Failure to comply with the conditions of 310 CMR 22.20G(11)(e) is a violation of the Treatment Technique requirement.</w:t>
      </w:r>
    </w:p>
    <w:p w14:paraId="281A65D2" w14:textId="77777777" w:rsidR="004647B9" w:rsidRPr="001709C5" w:rsidRDefault="004647B9" w:rsidP="00D0294A">
      <w:pPr>
        <w:rPr>
          <w:rFonts w:eastAsia="Times New Roman"/>
          <w:sz w:val="24"/>
          <w:szCs w:val="24"/>
        </w:rPr>
      </w:pPr>
    </w:p>
    <w:p w14:paraId="281A65D3" w14:textId="77777777" w:rsidR="004647B9" w:rsidRPr="001709C5" w:rsidRDefault="00E2436F" w:rsidP="00D0294A">
      <w:pPr>
        <w:numPr>
          <w:ilvl w:val="1"/>
          <w:numId w:val="742"/>
        </w:numPr>
        <w:tabs>
          <w:tab w:val="left" w:pos="1760"/>
        </w:tabs>
        <w:ind w:left="1760" w:hanging="580"/>
        <w:rPr>
          <w:rFonts w:eastAsia="Times New Roman"/>
          <w:sz w:val="24"/>
          <w:szCs w:val="24"/>
        </w:rPr>
      </w:pPr>
      <w:r w:rsidRPr="001709C5">
        <w:rPr>
          <w:rFonts w:eastAsia="Times New Roman"/>
          <w:sz w:val="24"/>
          <w:szCs w:val="24"/>
          <w:u w:val="single"/>
        </w:rPr>
        <w:t>Filtered System Additional</w:t>
      </w:r>
      <w:r w:rsidRPr="001709C5">
        <w:rPr>
          <w:rFonts w:eastAsia="Times New Roman"/>
          <w:sz w:val="24"/>
          <w:szCs w:val="24"/>
        </w:rPr>
        <w:t xml:space="preserve"> </w:t>
      </w:r>
      <w:r w:rsidRPr="001709C5">
        <w:rPr>
          <w:rFonts w:eastAsia="Times New Roman"/>
          <w:i/>
          <w:iCs/>
          <w:sz w:val="24"/>
          <w:szCs w:val="24"/>
          <w:u w:val="single"/>
        </w:rPr>
        <w:t>Cryptosporidium</w:t>
      </w:r>
      <w:r w:rsidRPr="001709C5">
        <w:rPr>
          <w:rFonts w:eastAsia="Times New Roman"/>
          <w:sz w:val="24"/>
          <w:szCs w:val="24"/>
        </w:rPr>
        <w:t xml:space="preserve"> </w:t>
      </w:r>
      <w:r w:rsidRPr="001709C5">
        <w:rPr>
          <w:rFonts w:eastAsia="Times New Roman"/>
          <w:sz w:val="24"/>
          <w:szCs w:val="24"/>
          <w:u w:val="single"/>
        </w:rPr>
        <w:t>Treatment Requirements</w:t>
      </w:r>
      <w:r w:rsidRPr="001709C5">
        <w:rPr>
          <w:rFonts w:eastAsia="Times New Roman"/>
          <w:sz w:val="24"/>
          <w:szCs w:val="24"/>
        </w:rPr>
        <w:t>.</w:t>
      </w:r>
    </w:p>
    <w:p w14:paraId="281A65D7" w14:textId="53F62E92" w:rsidR="004647B9" w:rsidRPr="00063C8D" w:rsidRDefault="00E2436F" w:rsidP="00D0294A">
      <w:pPr>
        <w:numPr>
          <w:ilvl w:val="2"/>
          <w:numId w:val="742"/>
        </w:numPr>
        <w:tabs>
          <w:tab w:val="left" w:pos="1890"/>
        </w:tabs>
        <w:ind w:left="1540"/>
        <w:rPr>
          <w:rFonts w:eastAsia="Times New Roman"/>
          <w:sz w:val="24"/>
          <w:szCs w:val="24"/>
        </w:rPr>
      </w:pPr>
      <w:r w:rsidRPr="001709C5">
        <w:rPr>
          <w:rFonts w:eastAsia="Times New Roman"/>
          <w:sz w:val="24"/>
          <w:szCs w:val="24"/>
        </w:rPr>
        <w:t xml:space="preserve">Filtered systems must provide the level of additional treatment for </w:t>
      </w:r>
      <w:r w:rsidRPr="001709C5">
        <w:rPr>
          <w:rFonts w:eastAsia="Times New Roman"/>
          <w:i/>
          <w:iCs/>
          <w:sz w:val="24"/>
          <w:szCs w:val="24"/>
        </w:rPr>
        <w:t>Cryptosporidium</w:t>
      </w:r>
      <w:r w:rsidR="00063C8D">
        <w:rPr>
          <w:rFonts w:eastAsia="Times New Roman"/>
          <w:sz w:val="24"/>
          <w:szCs w:val="24"/>
        </w:rPr>
        <w:t xml:space="preserve"> </w:t>
      </w:r>
      <w:r w:rsidRPr="00063C8D">
        <w:rPr>
          <w:rFonts w:eastAsia="Times New Roman"/>
          <w:sz w:val="24"/>
          <w:szCs w:val="24"/>
        </w:rPr>
        <w:t>specified in 310 CMR 22.20G(12)(a) based on their bin classification as determined under 310 CMR 22.20G(11) and according to the schedule in 310 CMR 22.20G(14).</w:t>
      </w:r>
    </w:p>
    <w:p w14:paraId="281A65D8" w14:textId="77777777" w:rsidR="004647B9" w:rsidRDefault="004647B9" w:rsidP="00D0294A">
      <w:pPr>
        <w:sectPr w:rsidR="004647B9" w:rsidSect="00EF630C">
          <w:type w:val="continuous"/>
          <w:pgSz w:w="12240" w:h="20180"/>
          <w:pgMar w:top="708" w:right="1440" w:bottom="1440" w:left="620" w:header="0" w:footer="0" w:gutter="0"/>
          <w:cols w:space="720"/>
        </w:sectPr>
      </w:pPr>
    </w:p>
    <w:p w14:paraId="281A65D9" w14:textId="77777777" w:rsidR="004647B9" w:rsidRDefault="00E2436F">
      <w:pPr>
        <w:tabs>
          <w:tab w:val="left" w:pos="160"/>
        </w:tabs>
        <w:ind w:right="20"/>
        <w:jc w:val="center"/>
        <w:rPr>
          <w:sz w:val="20"/>
          <w:szCs w:val="20"/>
        </w:rPr>
      </w:pPr>
      <w:bookmarkStart w:id="297" w:name="page301"/>
      <w:bookmarkEnd w:id="29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5DA" w14:textId="77777777" w:rsidR="004647B9" w:rsidRPr="00D0294A" w:rsidRDefault="004647B9" w:rsidP="00D0294A">
      <w:pPr>
        <w:rPr>
          <w:sz w:val="20"/>
          <w:szCs w:val="20"/>
        </w:rPr>
      </w:pPr>
    </w:p>
    <w:p w14:paraId="281A65DB" w14:textId="77777777" w:rsidR="004647B9" w:rsidRPr="00D0294A" w:rsidRDefault="004647B9" w:rsidP="00D0294A">
      <w:pPr>
        <w:rPr>
          <w:sz w:val="20"/>
          <w:szCs w:val="20"/>
        </w:rPr>
      </w:pPr>
    </w:p>
    <w:p w14:paraId="281A65DC" w14:textId="77777777" w:rsidR="004647B9" w:rsidRPr="00063C8D" w:rsidRDefault="00E2436F" w:rsidP="00D0294A">
      <w:pPr>
        <w:tabs>
          <w:tab w:val="left" w:pos="940"/>
        </w:tabs>
        <w:rPr>
          <w:sz w:val="24"/>
          <w:szCs w:val="24"/>
        </w:rPr>
      </w:pPr>
      <w:r>
        <w:rPr>
          <w:rFonts w:eastAsia="Times New Roman"/>
          <w:sz w:val="24"/>
          <w:szCs w:val="24"/>
        </w:rPr>
        <w:t>22.20G:</w:t>
      </w:r>
      <w:r>
        <w:rPr>
          <w:rFonts w:eastAsia="Times New Roman"/>
          <w:sz w:val="24"/>
          <w:szCs w:val="24"/>
        </w:rPr>
        <w:tab/>
        <w:t>continued</w:t>
      </w:r>
    </w:p>
    <w:p w14:paraId="281A65DD" w14:textId="77777777" w:rsidR="004647B9" w:rsidRPr="00D0294A" w:rsidRDefault="004647B9" w:rsidP="00D0294A">
      <w:pPr>
        <w:rPr>
          <w:sz w:val="20"/>
          <w:szCs w:val="20"/>
        </w:rPr>
      </w:pPr>
    </w:p>
    <w:p w14:paraId="281A65DE" w14:textId="77777777" w:rsidR="004647B9" w:rsidRPr="00D0294A" w:rsidRDefault="00E2436F" w:rsidP="00D0294A">
      <w:pPr>
        <w:jc w:val="center"/>
        <w:rPr>
          <w:sz w:val="24"/>
          <w:szCs w:val="24"/>
        </w:rPr>
      </w:pPr>
      <w:r w:rsidRPr="00D0294A">
        <w:rPr>
          <w:rFonts w:eastAsia="Times New Roman"/>
          <w:sz w:val="24"/>
          <w:szCs w:val="24"/>
        </w:rPr>
        <w:t xml:space="preserve">310 CMR 22.20G:  </w:t>
      </w:r>
      <w:r w:rsidRPr="00D0294A">
        <w:rPr>
          <w:rFonts w:eastAsia="Times New Roman"/>
          <w:i/>
          <w:iCs/>
          <w:sz w:val="24"/>
          <w:szCs w:val="24"/>
        </w:rPr>
        <w:t>Table 3</w:t>
      </w:r>
    </w:p>
    <w:p w14:paraId="281A65E0" w14:textId="77777777" w:rsidR="004647B9" w:rsidRPr="00D0294A" w:rsidRDefault="00E2436F" w:rsidP="00D0294A">
      <w:pPr>
        <w:jc w:val="center"/>
        <w:rPr>
          <w:sz w:val="24"/>
          <w:szCs w:val="24"/>
        </w:rPr>
      </w:pPr>
      <w:r w:rsidRPr="00D0294A">
        <w:rPr>
          <w:rFonts w:eastAsia="Times New Roman"/>
          <w:sz w:val="24"/>
          <w:szCs w:val="24"/>
        </w:rPr>
        <w:t xml:space="preserve">FILTERED SYSTEM ADDITIONAL </w:t>
      </w:r>
      <w:r w:rsidRPr="00D0294A">
        <w:rPr>
          <w:rFonts w:eastAsia="Times New Roman"/>
          <w:i/>
          <w:iCs/>
          <w:sz w:val="24"/>
          <w:szCs w:val="24"/>
        </w:rPr>
        <w:t>CRYPTOSPORIDIUM</w:t>
      </w:r>
      <w:r w:rsidRPr="00D0294A">
        <w:rPr>
          <w:rFonts w:eastAsia="Times New Roman"/>
          <w:sz w:val="24"/>
          <w:szCs w:val="24"/>
        </w:rPr>
        <w:t xml:space="preserve"> TREATMENT REQUIREMENTS</w:t>
      </w:r>
    </w:p>
    <w:p w14:paraId="281A65E1" w14:textId="77777777" w:rsidR="004647B9" w:rsidRPr="00D0294A" w:rsidRDefault="004647B9" w:rsidP="00D0294A">
      <w:pPr>
        <w:rPr>
          <w:sz w:val="24"/>
          <w:szCs w:val="24"/>
        </w:rPr>
      </w:pPr>
    </w:p>
    <w:tbl>
      <w:tblPr>
        <w:tblW w:w="0" w:type="auto"/>
        <w:tblInd w:w="30" w:type="dxa"/>
        <w:tblLayout w:type="fixed"/>
        <w:tblCellMar>
          <w:left w:w="0" w:type="dxa"/>
          <w:right w:w="0" w:type="dxa"/>
        </w:tblCellMar>
        <w:tblLook w:val="04A0" w:firstRow="1" w:lastRow="0" w:firstColumn="1" w:lastColumn="0" w:noHBand="0" w:noVBand="1"/>
      </w:tblPr>
      <w:tblGrid>
        <w:gridCol w:w="1860"/>
        <w:gridCol w:w="1980"/>
        <w:gridCol w:w="1980"/>
        <w:gridCol w:w="1980"/>
        <w:gridCol w:w="2240"/>
      </w:tblGrid>
      <w:tr w:rsidR="005B3123" w14:paraId="281A65E4" w14:textId="77777777" w:rsidTr="00DF6443">
        <w:trPr>
          <w:trHeight w:val="862"/>
        </w:trPr>
        <w:tc>
          <w:tcPr>
            <w:tcW w:w="1860" w:type="dxa"/>
            <w:vMerge w:val="restart"/>
            <w:tcBorders>
              <w:top w:val="single" w:sz="8" w:space="0" w:color="auto"/>
              <w:left w:val="single" w:sz="8" w:space="0" w:color="auto"/>
              <w:right w:val="single" w:sz="8" w:space="0" w:color="auto"/>
            </w:tcBorders>
            <w:vAlign w:val="center"/>
          </w:tcPr>
          <w:p w14:paraId="281A65E2" w14:textId="03EA49A0" w:rsidR="005B3123" w:rsidRDefault="005B3123" w:rsidP="00D0294A">
            <w:pPr>
              <w:ind w:left="40"/>
              <w:rPr>
                <w:sz w:val="20"/>
                <w:szCs w:val="20"/>
              </w:rPr>
            </w:pPr>
            <w:r>
              <w:rPr>
                <w:rFonts w:eastAsia="Times New Roman"/>
              </w:rPr>
              <w:t>If the system bin classification is …</w:t>
            </w:r>
          </w:p>
        </w:tc>
        <w:tc>
          <w:tcPr>
            <w:tcW w:w="8180" w:type="dxa"/>
            <w:gridSpan w:val="4"/>
            <w:tcBorders>
              <w:top w:val="single" w:sz="8" w:space="0" w:color="auto"/>
              <w:bottom w:val="single" w:sz="4" w:space="0" w:color="auto"/>
              <w:right w:val="single" w:sz="8" w:space="0" w:color="auto"/>
            </w:tcBorders>
            <w:vAlign w:val="center"/>
          </w:tcPr>
          <w:p w14:paraId="281A65E3" w14:textId="22290FDD" w:rsidR="005B3123" w:rsidRDefault="005B3123" w:rsidP="00D0294A">
            <w:pPr>
              <w:ind w:left="40"/>
              <w:rPr>
                <w:sz w:val="20"/>
                <w:szCs w:val="20"/>
              </w:rPr>
            </w:pPr>
            <w:r>
              <w:rPr>
                <w:rFonts w:eastAsia="Times New Roman"/>
              </w:rPr>
              <w:t xml:space="preserve">And the system uses the following Filtration treatment in full compliance with 310 CMR 22.20A, 310 CMR 22.20D, and 310 CMR 22.20F (as applicable), then the additional </w:t>
            </w:r>
            <w:r>
              <w:rPr>
                <w:rFonts w:eastAsia="Times New Roman"/>
                <w:i/>
                <w:iCs/>
              </w:rPr>
              <w:t xml:space="preserve">Cryptosporidium </w:t>
            </w:r>
            <w:r>
              <w:rPr>
                <w:rFonts w:eastAsia="Times New Roman"/>
              </w:rPr>
              <w:t>treatment requirements are …</w:t>
            </w:r>
          </w:p>
        </w:tc>
      </w:tr>
      <w:tr w:rsidR="005B3123" w14:paraId="281A65F1" w14:textId="77777777" w:rsidTr="00DF6443">
        <w:trPr>
          <w:trHeight w:val="842"/>
        </w:trPr>
        <w:tc>
          <w:tcPr>
            <w:tcW w:w="1860" w:type="dxa"/>
            <w:vMerge/>
            <w:tcBorders>
              <w:left w:val="single" w:sz="8" w:space="0" w:color="auto"/>
              <w:bottom w:val="single" w:sz="4" w:space="0" w:color="auto"/>
              <w:right w:val="single" w:sz="8" w:space="0" w:color="auto"/>
            </w:tcBorders>
            <w:vAlign w:val="center"/>
          </w:tcPr>
          <w:p w14:paraId="281A65EC" w14:textId="77777777" w:rsidR="005B3123" w:rsidRDefault="005B3123" w:rsidP="00D0294A">
            <w:pPr>
              <w:rPr>
                <w:sz w:val="23"/>
                <w:szCs w:val="23"/>
              </w:rPr>
            </w:pPr>
          </w:p>
        </w:tc>
        <w:tc>
          <w:tcPr>
            <w:tcW w:w="1980" w:type="dxa"/>
            <w:tcBorders>
              <w:top w:val="single" w:sz="4" w:space="0" w:color="auto"/>
              <w:bottom w:val="single" w:sz="4" w:space="0" w:color="auto"/>
              <w:right w:val="single" w:sz="8" w:space="0" w:color="auto"/>
            </w:tcBorders>
            <w:vAlign w:val="center"/>
          </w:tcPr>
          <w:p w14:paraId="281A65ED" w14:textId="64130453" w:rsidR="005B3123" w:rsidRDefault="005B3123" w:rsidP="00D0294A">
            <w:pPr>
              <w:ind w:left="40"/>
              <w:rPr>
                <w:sz w:val="20"/>
                <w:szCs w:val="20"/>
              </w:rPr>
            </w:pPr>
            <w:r>
              <w:rPr>
                <w:rFonts w:eastAsia="Times New Roman"/>
              </w:rPr>
              <w:t>Conventional Filtration treatment (including softening)</w:t>
            </w:r>
          </w:p>
        </w:tc>
        <w:tc>
          <w:tcPr>
            <w:tcW w:w="1980" w:type="dxa"/>
            <w:tcBorders>
              <w:top w:val="single" w:sz="4" w:space="0" w:color="auto"/>
              <w:bottom w:val="single" w:sz="4" w:space="0" w:color="auto"/>
              <w:right w:val="single" w:sz="8" w:space="0" w:color="auto"/>
            </w:tcBorders>
            <w:vAlign w:val="center"/>
          </w:tcPr>
          <w:p w14:paraId="281A65EE" w14:textId="1C015048" w:rsidR="005B3123" w:rsidRDefault="005B3123" w:rsidP="00D0294A">
            <w:pPr>
              <w:ind w:left="40"/>
              <w:rPr>
                <w:sz w:val="23"/>
                <w:szCs w:val="23"/>
              </w:rPr>
            </w:pPr>
            <w:r>
              <w:rPr>
                <w:rFonts w:eastAsia="Times New Roman"/>
              </w:rPr>
              <w:t>Direct Filtration</w:t>
            </w:r>
          </w:p>
        </w:tc>
        <w:tc>
          <w:tcPr>
            <w:tcW w:w="1980" w:type="dxa"/>
            <w:tcBorders>
              <w:top w:val="single" w:sz="4" w:space="0" w:color="auto"/>
              <w:bottom w:val="single" w:sz="4" w:space="0" w:color="auto"/>
              <w:right w:val="single" w:sz="8" w:space="0" w:color="auto"/>
            </w:tcBorders>
            <w:vAlign w:val="center"/>
          </w:tcPr>
          <w:p w14:paraId="281A65EF" w14:textId="240A32C7" w:rsidR="005B3123" w:rsidRDefault="005B3123" w:rsidP="00D0294A">
            <w:pPr>
              <w:ind w:left="40"/>
              <w:rPr>
                <w:sz w:val="20"/>
                <w:szCs w:val="20"/>
              </w:rPr>
            </w:pPr>
            <w:r>
              <w:rPr>
                <w:rFonts w:eastAsia="Times New Roman"/>
              </w:rPr>
              <w:t>Slow Sand or Diatomaceous Earth Filtration</w:t>
            </w:r>
          </w:p>
        </w:tc>
        <w:tc>
          <w:tcPr>
            <w:tcW w:w="2240" w:type="dxa"/>
            <w:tcBorders>
              <w:top w:val="single" w:sz="4" w:space="0" w:color="auto"/>
              <w:bottom w:val="single" w:sz="4" w:space="0" w:color="auto"/>
              <w:right w:val="single" w:sz="8" w:space="0" w:color="auto"/>
            </w:tcBorders>
            <w:vAlign w:val="center"/>
          </w:tcPr>
          <w:p w14:paraId="281A65F0" w14:textId="39A23727" w:rsidR="005B3123" w:rsidRDefault="005B3123" w:rsidP="00D0294A">
            <w:pPr>
              <w:ind w:left="40"/>
              <w:rPr>
                <w:sz w:val="23"/>
                <w:szCs w:val="23"/>
              </w:rPr>
            </w:pPr>
            <w:r>
              <w:rPr>
                <w:rFonts w:eastAsia="Times New Roman"/>
              </w:rPr>
              <w:t>Alternative Filtration technologies</w:t>
            </w:r>
          </w:p>
        </w:tc>
      </w:tr>
      <w:tr w:rsidR="00063C8D" w14:paraId="281A6603" w14:textId="77777777" w:rsidTr="00063C8D">
        <w:trPr>
          <w:trHeight w:val="561"/>
        </w:trPr>
        <w:tc>
          <w:tcPr>
            <w:tcW w:w="1860" w:type="dxa"/>
            <w:tcBorders>
              <w:top w:val="single" w:sz="4" w:space="0" w:color="auto"/>
              <w:left w:val="single" w:sz="8" w:space="0" w:color="auto"/>
              <w:bottom w:val="single" w:sz="4" w:space="0" w:color="auto"/>
              <w:right w:val="single" w:sz="8" w:space="0" w:color="auto"/>
            </w:tcBorders>
            <w:vAlign w:val="center"/>
          </w:tcPr>
          <w:p w14:paraId="281A65FE" w14:textId="77777777" w:rsidR="00063C8D" w:rsidRDefault="00063C8D" w:rsidP="00D0294A">
            <w:pPr>
              <w:ind w:left="40"/>
              <w:rPr>
                <w:sz w:val="20"/>
                <w:szCs w:val="20"/>
              </w:rPr>
            </w:pPr>
            <w:r>
              <w:rPr>
                <w:rFonts w:eastAsia="Times New Roman"/>
              </w:rPr>
              <w:t>Bin 1</w:t>
            </w:r>
          </w:p>
        </w:tc>
        <w:tc>
          <w:tcPr>
            <w:tcW w:w="1980" w:type="dxa"/>
            <w:tcBorders>
              <w:top w:val="single" w:sz="4" w:space="0" w:color="auto"/>
              <w:bottom w:val="single" w:sz="4" w:space="0" w:color="auto"/>
              <w:right w:val="single" w:sz="8" w:space="0" w:color="auto"/>
            </w:tcBorders>
            <w:vAlign w:val="center"/>
          </w:tcPr>
          <w:p w14:paraId="281A65FF" w14:textId="6AE8B203" w:rsidR="00063C8D" w:rsidRDefault="00063C8D" w:rsidP="00D0294A">
            <w:pPr>
              <w:ind w:left="40"/>
              <w:rPr>
                <w:sz w:val="20"/>
                <w:szCs w:val="20"/>
              </w:rPr>
            </w:pPr>
            <w:r>
              <w:rPr>
                <w:rFonts w:eastAsia="Times New Roman"/>
              </w:rPr>
              <w:t>No additional treatment</w:t>
            </w:r>
          </w:p>
        </w:tc>
        <w:tc>
          <w:tcPr>
            <w:tcW w:w="1980" w:type="dxa"/>
            <w:tcBorders>
              <w:top w:val="single" w:sz="4" w:space="0" w:color="auto"/>
              <w:bottom w:val="single" w:sz="4" w:space="0" w:color="auto"/>
              <w:right w:val="single" w:sz="8" w:space="0" w:color="auto"/>
            </w:tcBorders>
            <w:vAlign w:val="center"/>
          </w:tcPr>
          <w:p w14:paraId="281A6600" w14:textId="04137943" w:rsidR="00063C8D" w:rsidRDefault="00063C8D" w:rsidP="00D0294A">
            <w:pPr>
              <w:ind w:left="40"/>
              <w:rPr>
                <w:sz w:val="20"/>
                <w:szCs w:val="20"/>
              </w:rPr>
            </w:pPr>
            <w:r>
              <w:rPr>
                <w:rFonts w:eastAsia="Times New Roman"/>
              </w:rPr>
              <w:t>No additional treatment</w:t>
            </w:r>
          </w:p>
        </w:tc>
        <w:tc>
          <w:tcPr>
            <w:tcW w:w="1980" w:type="dxa"/>
            <w:tcBorders>
              <w:top w:val="single" w:sz="4" w:space="0" w:color="auto"/>
              <w:bottom w:val="single" w:sz="4" w:space="0" w:color="auto"/>
              <w:right w:val="single" w:sz="8" w:space="0" w:color="auto"/>
            </w:tcBorders>
            <w:vAlign w:val="center"/>
          </w:tcPr>
          <w:p w14:paraId="281A6601" w14:textId="00100796" w:rsidR="00063C8D" w:rsidRDefault="00063C8D" w:rsidP="00D0294A">
            <w:pPr>
              <w:ind w:left="40"/>
              <w:rPr>
                <w:sz w:val="20"/>
                <w:szCs w:val="20"/>
              </w:rPr>
            </w:pPr>
            <w:r>
              <w:rPr>
                <w:rFonts w:eastAsia="Times New Roman"/>
              </w:rPr>
              <w:t>No additional treatment</w:t>
            </w:r>
          </w:p>
        </w:tc>
        <w:tc>
          <w:tcPr>
            <w:tcW w:w="2240" w:type="dxa"/>
            <w:tcBorders>
              <w:top w:val="single" w:sz="4" w:space="0" w:color="auto"/>
              <w:bottom w:val="single" w:sz="4" w:space="0" w:color="auto"/>
              <w:right w:val="single" w:sz="8" w:space="0" w:color="auto"/>
            </w:tcBorders>
            <w:vAlign w:val="center"/>
          </w:tcPr>
          <w:p w14:paraId="281A6602" w14:textId="77777777" w:rsidR="00063C8D" w:rsidRDefault="00063C8D" w:rsidP="00D0294A">
            <w:pPr>
              <w:ind w:left="40"/>
              <w:rPr>
                <w:sz w:val="20"/>
                <w:szCs w:val="20"/>
              </w:rPr>
            </w:pPr>
            <w:r>
              <w:rPr>
                <w:rFonts w:eastAsia="Times New Roman"/>
              </w:rPr>
              <w:t>No additional treatment</w:t>
            </w:r>
          </w:p>
        </w:tc>
      </w:tr>
      <w:tr w:rsidR="004647B9" w14:paraId="281A660F" w14:textId="77777777" w:rsidTr="00063C8D">
        <w:trPr>
          <w:trHeight w:val="270"/>
        </w:trPr>
        <w:tc>
          <w:tcPr>
            <w:tcW w:w="1860" w:type="dxa"/>
            <w:tcBorders>
              <w:top w:val="single" w:sz="4" w:space="0" w:color="auto"/>
              <w:left w:val="single" w:sz="8" w:space="0" w:color="auto"/>
              <w:bottom w:val="single" w:sz="8" w:space="0" w:color="auto"/>
              <w:right w:val="single" w:sz="8" w:space="0" w:color="auto"/>
            </w:tcBorders>
            <w:vAlign w:val="bottom"/>
          </w:tcPr>
          <w:p w14:paraId="281A660A" w14:textId="77777777" w:rsidR="004647B9" w:rsidRDefault="00E2436F" w:rsidP="00D0294A">
            <w:pPr>
              <w:ind w:left="40"/>
              <w:rPr>
                <w:sz w:val="20"/>
                <w:szCs w:val="20"/>
              </w:rPr>
            </w:pPr>
            <w:r>
              <w:rPr>
                <w:rFonts w:eastAsia="Times New Roman"/>
              </w:rPr>
              <w:t>Bin 2</w:t>
            </w:r>
          </w:p>
        </w:tc>
        <w:tc>
          <w:tcPr>
            <w:tcW w:w="1980" w:type="dxa"/>
            <w:tcBorders>
              <w:top w:val="single" w:sz="4" w:space="0" w:color="auto"/>
              <w:bottom w:val="single" w:sz="8" w:space="0" w:color="auto"/>
              <w:right w:val="single" w:sz="8" w:space="0" w:color="auto"/>
            </w:tcBorders>
            <w:vAlign w:val="bottom"/>
          </w:tcPr>
          <w:p w14:paraId="281A660B" w14:textId="77777777" w:rsidR="004647B9" w:rsidRDefault="00E2436F" w:rsidP="00D0294A">
            <w:pPr>
              <w:ind w:left="40"/>
              <w:rPr>
                <w:sz w:val="20"/>
                <w:szCs w:val="20"/>
              </w:rPr>
            </w:pPr>
            <w:r>
              <w:rPr>
                <w:rFonts w:eastAsia="Times New Roman"/>
              </w:rPr>
              <w:t>1-log treatment</w:t>
            </w:r>
          </w:p>
        </w:tc>
        <w:tc>
          <w:tcPr>
            <w:tcW w:w="1980" w:type="dxa"/>
            <w:tcBorders>
              <w:top w:val="single" w:sz="4" w:space="0" w:color="auto"/>
              <w:bottom w:val="single" w:sz="8" w:space="0" w:color="auto"/>
              <w:right w:val="single" w:sz="8" w:space="0" w:color="auto"/>
            </w:tcBorders>
            <w:vAlign w:val="bottom"/>
          </w:tcPr>
          <w:p w14:paraId="281A660C" w14:textId="77777777" w:rsidR="004647B9" w:rsidRDefault="00E2436F" w:rsidP="00D0294A">
            <w:pPr>
              <w:ind w:left="40"/>
              <w:rPr>
                <w:sz w:val="20"/>
                <w:szCs w:val="20"/>
              </w:rPr>
            </w:pPr>
            <w:r>
              <w:rPr>
                <w:rFonts w:eastAsia="Times New Roman"/>
              </w:rPr>
              <w:t>1.5-log treatment</w:t>
            </w:r>
          </w:p>
        </w:tc>
        <w:tc>
          <w:tcPr>
            <w:tcW w:w="1980" w:type="dxa"/>
            <w:tcBorders>
              <w:top w:val="single" w:sz="4" w:space="0" w:color="auto"/>
              <w:bottom w:val="single" w:sz="8" w:space="0" w:color="auto"/>
              <w:right w:val="single" w:sz="8" w:space="0" w:color="auto"/>
            </w:tcBorders>
            <w:vAlign w:val="bottom"/>
          </w:tcPr>
          <w:p w14:paraId="281A660D" w14:textId="77777777" w:rsidR="004647B9" w:rsidRDefault="00E2436F" w:rsidP="00D0294A">
            <w:pPr>
              <w:ind w:left="40"/>
              <w:rPr>
                <w:sz w:val="20"/>
                <w:szCs w:val="20"/>
              </w:rPr>
            </w:pPr>
            <w:r>
              <w:rPr>
                <w:rFonts w:eastAsia="Times New Roman"/>
              </w:rPr>
              <w:t>1-log treatment</w:t>
            </w:r>
          </w:p>
        </w:tc>
        <w:tc>
          <w:tcPr>
            <w:tcW w:w="2240" w:type="dxa"/>
            <w:tcBorders>
              <w:top w:val="single" w:sz="4" w:space="0" w:color="auto"/>
              <w:bottom w:val="single" w:sz="8" w:space="0" w:color="auto"/>
              <w:right w:val="single" w:sz="8" w:space="0" w:color="auto"/>
            </w:tcBorders>
            <w:vAlign w:val="bottom"/>
          </w:tcPr>
          <w:p w14:paraId="281A660E" w14:textId="77777777" w:rsidR="004647B9" w:rsidRDefault="00E2436F" w:rsidP="00D0294A">
            <w:pPr>
              <w:ind w:left="40"/>
              <w:rPr>
                <w:sz w:val="20"/>
                <w:szCs w:val="20"/>
              </w:rPr>
            </w:pPr>
            <w:r>
              <w:rPr>
                <w:rFonts w:eastAsia="Times New Roman"/>
                <w:sz w:val="14"/>
                <w:szCs w:val="14"/>
              </w:rPr>
              <w:t>-1</w:t>
            </w:r>
          </w:p>
        </w:tc>
      </w:tr>
      <w:tr w:rsidR="004647B9" w14:paraId="281A6615" w14:textId="77777777">
        <w:trPr>
          <w:trHeight w:val="273"/>
        </w:trPr>
        <w:tc>
          <w:tcPr>
            <w:tcW w:w="1860" w:type="dxa"/>
            <w:tcBorders>
              <w:left w:val="single" w:sz="8" w:space="0" w:color="auto"/>
              <w:bottom w:val="single" w:sz="8" w:space="0" w:color="auto"/>
              <w:right w:val="single" w:sz="8" w:space="0" w:color="auto"/>
            </w:tcBorders>
            <w:vAlign w:val="bottom"/>
          </w:tcPr>
          <w:p w14:paraId="281A6610" w14:textId="77777777" w:rsidR="004647B9" w:rsidRDefault="00E2436F" w:rsidP="00D0294A">
            <w:pPr>
              <w:ind w:left="40"/>
              <w:rPr>
                <w:sz w:val="20"/>
                <w:szCs w:val="20"/>
              </w:rPr>
            </w:pPr>
            <w:r>
              <w:rPr>
                <w:rFonts w:eastAsia="Times New Roman"/>
              </w:rPr>
              <w:t>Bin 3</w:t>
            </w:r>
          </w:p>
        </w:tc>
        <w:tc>
          <w:tcPr>
            <w:tcW w:w="1980" w:type="dxa"/>
            <w:tcBorders>
              <w:bottom w:val="single" w:sz="8" w:space="0" w:color="auto"/>
              <w:right w:val="single" w:sz="8" w:space="0" w:color="auto"/>
            </w:tcBorders>
            <w:vAlign w:val="bottom"/>
          </w:tcPr>
          <w:p w14:paraId="281A6611" w14:textId="77777777" w:rsidR="004647B9" w:rsidRDefault="00E2436F" w:rsidP="00D0294A">
            <w:pPr>
              <w:ind w:left="40"/>
              <w:rPr>
                <w:sz w:val="20"/>
                <w:szCs w:val="20"/>
              </w:rPr>
            </w:pPr>
            <w:r>
              <w:rPr>
                <w:rFonts w:eastAsia="Times New Roman"/>
              </w:rPr>
              <w:t>2-log treatment</w:t>
            </w:r>
          </w:p>
        </w:tc>
        <w:tc>
          <w:tcPr>
            <w:tcW w:w="1980" w:type="dxa"/>
            <w:tcBorders>
              <w:bottom w:val="single" w:sz="8" w:space="0" w:color="auto"/>
              <w:right w:val="single" w:sz="8" w:space="0" w:color="auto"/>
            </w:tcBorders>
            <w:vAlign w:val="bottom"/>
          </w:tcPr>
          <w:p w14:paraId="281A6612" w14:textId="77777777" w:rsidR="004647B9" w:rsidRDefault="00E2436F" w:rsidP="00D0294A">
            <w:pPr>
              <w:ind w:left="40"/>
              <w:rPr>
                <w:sz w:val="20"/>
                <w:szCs w:val="20"/>
              </w:rPr>
            </w:pPr>
            <w:r>
              <w:rPr>
                <w:rFonts w:eastAsia="Times New Roman"/>
              </w:rPr>
              <w:t>2.5-log treatment</w:t>
            </w:r>
          </w:p>
        </w:tc>
        <w:tc>
          <w:tcPr>
            <w:tcW w:w="1980" w:type="dxa"/>
            <w:tcBorders>
              <w:bottom w:val="single" w:sz="8" w:space="0" w:color="auto"/>
              <w:right w:val="single" w:sz="8" w:space="0" w:color="auto"/>
            </w:tcBorders>
            <w:vAlign w:val="bottom"/>
          </w:tcPr>
          <w:p w14:paraId="281A6613" w14:textId="77777777" w:rsidR="004647B9" w:rsidRDefault="00E2436F" w:rsidP="00D0294A">
            <w:pPr>
              <w:ind w:left="40"/>
              <w:rPr>
                <w:sz w:val="20"/>
                <w:szCs w:val="20"/>
              </w:rPr>
            </w:pPr>
            <w:r>
              <w:rPr>
                <w:rFonts w:eastAsia="Times New Roman"/>
              </w:rPr>
              <w:t>2-log treatment</w:t>
            </w:r>
          </w:p>
        </w:tc>
        <w:tc>
          <w:tcPr>
            <w:tcW w:w="2240" w:type="dxa"/>
            <w:tcBorders>
              <w:bottom w:val="single" w:sz="8" w:space="0" w:color="auto"/>
              <w:right w:val="single" w:sz="8" w:space="0" w:color="auto"/>
            </w:tcBorders>
            <w:vAlign w:val="bottom"/>
          </w:tcPr>
          <w:p w14:paraId="281A6614" w14:textId="77777777" w:rsidR="004647B9" w:rsidRDefault="00E2436F" w:rsidP="00D0294A">
            <w:pPr>
              <w:ind w:left="40"/>
              <w:rPr>
                <w:sz w:val="20"/>
                <w:szCs w:val="20"/>
              </w:rPr>
            </w:pPr>
            <w:r>
              <w:rPr>
                <w:rFonts w:eastAsia="Times New Roman"/>
                <w:sz w:val="14"/>
                <w:szCs w:val="14"/>
              </w:rPr>
              <w:t>-2</w:t>
            </w:r>
          </w:p>
        </w:tc>
      </w:tr>
      <w:tr w:rsidR="004647B9" w14:paraId="281A661B" w14:textId="77777777">
        <w:trPr>
          <w:trHeight w:val="270"/>
        </w:trPr>
        <w:tc>
          <w:tcPr>
            <w:tcW w:w="1860" w:type="dxa"/>
            <w:tcBorders>
              <w:left w:val="single" w:sz="8" w:space="0" w:color="auto"/>
              <w:bottom w:val="single" w:sz="8" w:space="0" w:color="auto"/>
              <w:right w:val="single" w:sz="8" w:space="0" w:color="auto"/>
            </w:tcBorders>
            <w:vAlign w:val="bottom"/>
          </w:tcPr>
          <w:p w14:paraId="281A6616" w14:textId="77777777" w:rsidR="004647B9" w:rsidRDefault="00E2436F" w:rsidP="00D0294A">
            <w:pPr>
              <w:ind w:left="40"/>
              <w:rPr>
                <w:sz w:val="20"/>
                <w:szCs w:val="20"/>
              </w:rPr>
            </w:pPr>
            <w:r>
              <w:rPr>
                <w:rFonts w:eastAsia="Times New Roman"/>
              </w:rPr>
              <w:t>Bin 4</w:t>
            </w:r>
          </w:p>
        </w:tc>
        <w:tc>
          <w:tcPr>
            <w:tcW w:w="1980" w:type="dxa"/>
            <w:tcBorders>
              <w:bottom w:val="single" w:sz="8" w:space="0" w:color="auto"/>
              <w:right w:val="single" w:sz="8" w:space="0" w:color="auto"/>
            </w:tcBorders>
            <w:vAlign w:val="bottom"/>
          </w:tcPr>
          <w:p w14:paraId="281A6617" w14:textId="77777777" w:rsidR="004647B9" w:rsidRDefault="00E2436F" w:rsidP="00D0294A">
            <w:pPr>
              <w:ind w:left="40"/>
              <w:rPr>
                <w:sz w:val="20"/>
                <w:szCs w:val="20"/>
              </w:rPr>
            </w:pPr>
            <w:r>
              <w:rPr>
                <w:rFonts w:eastAsia="Times New Roman"/>
              </w:rPr>
              <w:t>2.5-log treatment</w:t>
            </w:r>
          </w:p>
        </w:tc>
        <w:tc>
          <w:tcPr>
            <w:tcW w:w="1980" w:type="dxa"/>
            <w:tcBorders>
              <w:bottom w:val="single" w:sz="8" w:space="0" w:color="auto"/>
              <w:right w:val="single" w:sz="8" w:space="0" w:color="auto"/>
            </w:tcBorders>
            <w:vAlign w:val="bottom"/>
          </w:tcPr>
          <w:p w14:paraId="281A6618" w14:textId="77777777" w:rsidR="004647B9" w:rsidRDefault="00E2436F" w:rsidP="00D0294A">
            <w:pPr>
              <w:ind w:left="40"/>
              <w:rPr>
                <w:sz w:val="20"/>
                <w:szCs w:val="20"/>
              </w:rPr>
            </w:pPr>
            <w:r>
              <w:rPr>
                <w:rFonts w:eastAsia="Times New Roman"/>
              </w:rPr>
              <w:t>3-log treatment</w:t>
            </w:r>
          </w:p>
        </w:tc>
        <w:tc>
          <w:tcPr>
            <w:tcW w:w="1980" w:type="dxa"/>
            <w:tcBorders>
              <w:bottom w:val="single" w:sz="8" w:space="0" w:color="auto"/>
              <w:right w:val="single" w:sz="8" w:space="0" w:color="auto"/>
            </w:tcBorders>
            <w:vAlign w:val="bottom"/>
          </w:tcPr>
          <w:p w14:paraId="281A6619" w14:textId="77777777" w:rsidR="004647B9" w:rsidRDefault="00E2436F" w:rsidP="00D0294A">
            <w:pPr>
              <w:ind w:left="40"/>
              <w:rPr>
                <w:sz w:val="20"/>
                <w:szCs w:val="20"/>
              </w:rPr>
            </w:pPr>
            <w:r>
              <w:rPr>
                <w:rFonts w:eastAsia="Times New Roman"/>
              </w:rPr>
              <w:t>2.5-log treatment</w:t>
            </w:r>
          </w:p>
        </w:tc>
        <w:tc>
          <w:tcPr>
            <w:tcW w:w="2240" w:type="dxa"/>
            <w:tcBorders>
              <w:bottom w:val="single" w:sz="8" w:space="0" w:color="auto"/>
              <w:right w:val="single" w:sz="8" w:space="0" w:color="auto"/>
            </w:tcBorders>
            <w:vAlign w:val="bottom"/>
          </w:tcPr>
          <w:p w14:paraId="281A661A" w14:textId="77777777" w:rsidR="004647B9" w:rsidRDefault="00E2436F" w:rsidP="00D0294A">
            <w:pPr>
              <w:ind w:left="40"/>
              <w:rPr>
                <w:sz w:val="20"/>
                <w:szCs w:val="20"/>
              </w:rPr>
            </w:pPr>
            <w:r>
              <w:rPr>
                <w:rFonts w:eastAsia="Times New Roman"/>
                <w:sz w:val="14"/>
                <w:szCs w:val="14"/>
              </w:rPr>
              <w:t>-3</w:t>
            </w:r>
          </w:p>
        </w:tc>
      </w:tr>
    </w:tbl>
    <w:p w14:paraId="281A661C" w14:textId="77777777" w:rsidR="004647B9" w:rsidRPr="00097762" w:rsidRDefault="004647B9" w:rsidP="00D0294A">
      <w:pPr>
        <w:rPr>
          <w:sz w:val="24"/>
          <w:szCs w:val="24"/>
        </w:rPr>
      </w:pPr>
    </w:p>
    <w:p w14:paraId="281A661D" w14:textId="77777777" w:rsidR="004647B9" w:rsidRPr="00097762" w:rsidRDefault="00E2436F" w:rsidP="00D0294A">
      <w:pPr>
        <w:numPr>
          <w:ilvl w:val="0"/>
          <w:numId w:val="743"/>
        </w:numPr>
        <w:tabs>
          <w:tab w:val="left" w:pos="180"/>
        </w:tabs>
        <w:ind w:left="180" w:hanging="171"/>
        <w:rPr>
          <w:rFonts w:eastAsia="Times New Roman"/>
          <w:sz w:val="24"/>
          <w:szCs w:val="24"/>
        </w:rPr>
      </w:pPr>
      <w:r w:rsidRPr="00097762">
        <w:rPr>
          <w:rFonts w:eastAsia="Times New Roman"/>
          <w:sz w:val="24"/>
          <w:szCs w:val="24"/>
        </w:rPr>
        <w:t xml:space="preserve">As determined by the Department such that the total </w:t>
      </w:r>
      <w:r w:rsidRPr="00097762">
        <w:rPr>
          <w:rFonts w:eastAsia="Times New Roman"/>
          <w:i/>
          <w:iCs/>
          <w:sz w:val="24"/>
          <w:szCs w:val="24"/>
        </w:rPr>
        <w:t>Cryptosporidium</w:t>
      </w:r>
      <w:r w:rsidRPr="00097762">
        <w:rPr>
          <w:rFonts w:eastAsia="Times New Roman"/>
          <w:sz w:val="24"/>
          <w:szCs w:val="24"/>
        </w:rPr>
        <w:t xml:space="preserve"> removal and inactivation is at least 4.0-log</w:t>
      </w:r>
      <w:r w:rsidRPr="00097762">
        <w:rPr>
          <w:rFonts w:eastAsia="Times New Roman"/>
          <w:sz w:val="24"/>
          <w:szCs w:val="24"/>
          <w:vertAlign w:val="superscript"/>
        </w:rPr>
        <w:t>.</w:t>
      </w:r>
    </w:p>
    <w:p w14:paraId="281A661F" w14:textId="77777777" w:rsidR="004647B9" w:rsidRPr="00097762" w:rsidRDefault="00E2436F" w:rsidP="00D0294A">
      <w:pPr>
        <w:numPr>
          <w:ilvl w:val="0"/>
          <w:numId w:val="743"/>
        </w:numPr>
        <w:tabs>
          <w:tab w:val="left" w:pos="180"/>
        </w:tabs>
        <w:ind w:left="180" w:hanging="172"/>
        <w:rPr>
          <w:rFonts w:eastAsia="Times New Roman"/>
          <w:sz w:val="24"/>
          <w:szCs w:val="24"/>
        </w:rPr>
      </w:pPr>
      <w:r w:rsidRPr="00097762">
        <w:rPr>
          <w:rFonts w:eastAsia="Times New Roman"/>
          <w:sz w:val="24"/>
          <w:szCs w:val="24"/>
        </w:rPr>
        <w:t xml:space="preserve">As determined by the Department such that the total </w:t>
      </w:r>
      <w:r w:rsidRPr="00097762">
        <w:rPr>
          <w:rFonts w:eastAsia="Times New Roman"/>
          <w:i/>
          <w:iCs/>
          <w:sz w:val="24"/>
          <w:szCs w:val="24"/>
        </w:rPr>
        <w:t>Cryptosporidium</w:t>
      </w:r>
      <w:r w:rsidRPr="00097762">
        <w:rPr>
          <w:rFonts w:eastAsia="Times New Roman"/>
          <w:sz w:val="24"/>
          <w:szCs w:val="24"/>
        </w:rPr>
        <w:t xml:space="preserve"> removal and inactivation is at least 5.0-log.</w:t>
      </w:r>
    </w:p>
    <w:p w14:paraId="281A6621" w14:textId="77777777" w:rsidR="004647B9" w:rsidRPr="00097762" w:rsidRDefault="00E2436F" w:rsidP="00D0294A">
      <w:pPr>
        <w:numPr>
          <w:ilvl w:val="0"/>
          <w:numId w:val="743"/>
        </w:numPr>
        <w:tabs>
          <w:tab w:val="left" w:pos="180"/>
        </w:tabs>
        <w:ind w:left="180" w:hanging="171"/>
        <w:rPr>
          <w:rFonts w:eastAsia="Times New Roman"/>
          <w:sz w:val="24"/>
          <w:szCs w:val="24"/>
        </w:rPr>
      </w:pPr>
      <w:r w:rsidRPr="00097762">
        <w:rPr>
          <w:rFonts w:eastAsia="Times New Roman"/>
          <w:sz w:val="24"/>
          <w:szCs w:val="24"/>
        </w:rPr>
        <w:t xml:space="preserve">As determined by the Department such that the total </w:t>
      </w:r>
      <w:r w:rsidRPr="00097762">
        <w:rPr>
          <w:rFonts w:eastAsia="Times New Roman"/>
          <w:i/>
          <w:iCs/>
          <w:sz w:val="24"/>
          <w:szCs w:val="24"/>
        </w:rPr>
        <w:t>Cryptosporidium</w:t>
      </w:r>
      <w:r w:rsidRPr="00097762">
        <w:rPr>
          <w:rFonts w:eastAsia="Times New Roman"/>
          <w:sz w:val="24"/>
          <w:szCs w:val="24"/>
        </w:rPr>
        <w:t xml:space="preserve"> removal and inactivation is at least 5.5-log.</w:t>
      </w:r>
    </w:p>
    <w:p w14:paraId="281A6622" w14:textId="77777777" w:rsidR="004647B9" w:rsidRPr="00097762" w:rsidRDefault="004647B9" w:rsidP="00D0294A">
      <w:pPr>
        <w:rPr>
          <w:rFonts w:eastAsia="Times New Roman"/>
          <w:sz w:val="24"/>
          <w:szCs w:val="24"/>
        </w:rPr>
      </w:pPr>
    </w:p>
    <w:p w14:paraId="281A6624" w14:textId="5769FD2A" w:rsidR="004647B9" w:rsidRPr="00CB6FA4" w:rsidRDefault="00E2436F" w:rsidP="00D0294A">
      <w:pPr>
        <w:numPr>
          <w:ilvl w:val="1"/>
          <w:numId w:val="743"/>
        </w:numPr>
        <w:tabs>
          <w:tab w:val="left" w:pos="1900"/>
        </w:tabs>
        <w:ind w:left="1900" w:hanging="370"/>
        <w:jc w:val="both"/>
        <w:rPr>
          <w:sz w:val="24"/>
          <w:szCs w:val="24"/>
        </w:rPr>
      </w:pPr>
      <w:r w:rsidRPr="00CB6FA4">
        <w:rPr>
          <w:rFonts w:eastAsia="Times New Roman"/>
          <w:sz w:val="24"/>
          <w:szCs w:val="24"/>
        </w:rPr>
        <w:t xml:space="preserve">1. Filtered systems must use one or more of the treatment and management options listed in 310 CMR 22.20G(18) to comply with the additional </w:t>
      </w:r>
      <w:r w:rsidRPr="00CB6FA4">
        <w:rPr>
          <w:rFonts w:eastAsia="Times New Roman"/>
          <w:i/>
          <w:iCs/>
          <w:sz w:val="24"/>
          <w:szCs w:val="24"/>
        </w:rPr>
        <w:t>Cryptosporidium</w:t>
      </w:r>
      <w:r w:rsidRPr="00CB6FA4">
        <w:rPr>
          <w:rFonts w:eastAsia="Times New Roman"/>
          <w:sz w:val="24"/>
          <w:szCs w:val="24"/>
        </w:rPr>
        <w:t xml:space="preserve"> treatment</w:t>
      </w:r>
      <w:r w:rsidR="00CB6FA4" w:rsidRPr="00CB6FA4">
        <w:rPr>
          <w:rFonts w:eastAsia="Times New Roman"/>
          <w:sz w:val="24"/>
          <w:szCs w:val="24"/>
        </w:rPr>
        <w:t xml:space="preserve"> </w:t>
      </w:r>
      <w:r w:rsidRPr="00CB6FA4">
        <w:rPr>
          <w:rFonts w:eastAsia="Times New Roman"/>
          <w:sz w:val="24"/>
          <w:szCs w:val="24"/>
        </w:rPr>
        <w:t>required in 310 CMR 22.20G(12)(a).</w:t>
      </w:r>
    </w:p>
    <w:p w14:paraId="281A6626" w14:textId="77777777" w:rsidR="004647B9" w:rsidRPr="00CB6FA4" w:rsidRDefault="00E2436F" w:rsidP="00D0294A">
      <w:pPr>
        <w:ind w:left="1900"/>
        <w:jc w:val="both"/>
        <w:rPr>
          <w:sz w:val="24"/>
          <w:szCs w:val="24"/>
        </w:rPr>
      </w:pPr>
      <w:r w:rsidRPr="00CB6FA4">
        <w:rPr>
          <w:rFonts w:eastAsia="Times New Roman"/>
          <w:sz w:val="24"/>
          <w:szCs w:val="24"/>
        </w:rPr>
        <w:t xml:space="preserve">2. Systems classified in Bin 3 and Bin 4 must achieve at least 1-log of the additional </w:t>
      </w:r>
      <w:r w:rsidRPr="00CB6FA4">
        <w:rPr>
          <w:rFonts w:eastAsia="Times New Roman"/>
          <w:i/>
          <w:iCs/>
          <w:sz w:val="24"/>
          <w:szCs w:val="24"/>
        </w:rPr>
        <w:t xml:space="preserve">Cryptosporidium </w:t>
      </w:r>
      <w:r w:rsidRPr="00CB6FA4">
        <w:rPr>
          <w:rFonts w:eastAsia="Times New Roman"/>
          <w:sz w:val="24"/>
          <w:szCs w:val="24"/>
        </w:rPr>
        <w:t>treatment required under 310 CMR 22.20G(12)(a) using either one or</w:t>
      </w:r>
      <w:r w:rsidRPr="00CB6FA4">
        <w:rPr>
          <w:rFonts w:eastAsia="Times New Roman"/>
          <w:i/>
          <w:iCs/>
          <w:sz w:val="24"/>
          <w:szCs w:val="24"/>
        </w:rPr>
        <w:t xml:space="preserve"> </w:t>
      </w:r>
      <w:r w:rsidRPr="00CB6FA4">
        <w:rPr>
          <w:rFonts w:eastAsia="Times New Roman"/>
          <w:sz w:val="24"/>
          <w:szCs w:val="24"/>
        </w:rPr>
        <w:t>a combination of the following: Bag Filters, Bank Filtration, Cartridge Filters, chlorine dioxide, membranes, ozone, or UV, in accordance with 310 CMR 22.20G(19) through (23).</w:t>
      </w:r>
    </w:p>
    <w:p w14:paraId="281A6628" w14:textId="77777777" w:rsidR="004647B9" w:rsidRPr="00CB6FA4" w:rsidRDefault="00E2436F" w:rsidP="00D0294A">
      <w:pPr>
        <w:numPr>
          <w:ilvl w:val="1"/>
          <w:numId w:val="744"/>
        </w:numPr>
        <w:tabs>
          <w:tab w:val="left" w:pos="2094"/>
        </w:tabs>
        <w:ind w:left="1540" w:hanging="5"/>
        <w:jc w:val="both"/>
        <w:rPr>
          <w:rFonts w:eastAsia="Times New Roman"/>
          <w:sz w:val="24"/>
          <w:szCs w:val="24"/>
        </w:rPr>
      </w:pPr>
      <w:r w:rsidRPr="00CB6FA4">
        <w:rPr>
          <w:rFonts w:eastAsia="Times New Roman"/>
          <w:sz w:val="24"/>
          <w:szCs w:val="24"/>
        </w:rPr>
        <w:t>Failure by a system in any month to achieve treatment credit by meeting criteria in 310 CMR 22.20G(19) through (23), that is at least equal to the level of treatment required in 310 CMR 22.20G(12)(a) is a violation of the Treatment Technique requirement.</w:t>
      </w:r>
    </w:p>
    <w:p w14:paraId="281A662A" w14:textId="77777777" w:rsidR="004647B9" w:rsidRPr="00CB6FA4" w:rsidRDefault="00E2436F" w:rsidP="00D0294A">
      <w:pPr>
        <w:numPr>
          <w:ilvl w:val="1"/>
          <w:numId w:val="744"/>
        </w:numPr>
        <w:tabs>
          <w:tab w:val="left" w:pos="2007"/>
        </w:tabs>
        <w:ind w:left="1540" w:hanging="5"/>
        <w:jc w:val="both"/>
        <w:rPr>
          <w:rFonts w:eastAsia="Times New Roman"/>
          <w:sz w:val="24"/>
          <w:szCs w:val="24"/>
        </w:rPr>
      </w:pPr>
      <w:r w:rsidRPr="00CB6FA4">
        <w:rPr>
          <w:rFonts w:eastAsia="Times New Roman"/>
          <w:sz w:val="24"/>
          <w:szCs w:val="24"/>
        </w:rPr>
        <w:t xml:space="preserve">If the Department determines during a Sanitary Survey or an equivalent source water assessment that after a system completed the monitoring conducted under 310 CMR 22.20G(2)(a) or (b), significant changes occurred in the system's Watershed that could lead to increased contamination of the source water by </w:t>
      </w:r>
      <w:r w:rsidRPr="00CB6FA4">
        <w:rPr>
          <w:rFonts w:eastAsia="Times New Roman"/>
          <w:i/>
          <w:iCs/>
          <w:sz w:val="24"/>
          <w:szCs w:val="24"/>
        </w:rPr>
        <w:t>Cryptosporidium</w:t>
      </w:r>
      <w:r w:rsidRPr="00CB6FA4">
        <w:rPr>
          <w:rFonts w:eastAsia="Times New Roman"/>
          <w:sz w:val="24"/>
          <w:szCs w:val="24"/>
        </w:rPr>
        <w:t>, the system must take actions specified by the Department to address the contamination. These actions may include additional source water monitoring and/or implementing microbial toolbox options in accordance with 310 CMR 22.20G(18) through (23).</w:t>
      </w:r>
    </w:p>
    <w:p w14:paraId="281A662B" w14:textId="77777777" w:rsidR="004647B9" w:rsidRPr="00CB6FA4" w:rsidRDefault="004647B9" w:rsidP="00D0294A">
      <w:pPr>
        <w:rPr>
          <w:rFonts w:eastAsia="Times New Roman"/>
          <w:sz w:val="24"/>
          <w:szCs w:val="24"/>
        </w:rPr>
      </w:pPr>
    </w:p>
    <w:p w14:paraId="281A662C" w14:textId="77777777" w:rsidR="004647B9" w:rsidRPr="00CB6FA4" w:rsidRDefault="00E2436F" w:rsidP="00D0294A">
      <w:pPr>
        <w:numPr>
          <w:ilvl w:val="0"/>
          <w:numId w:val="745"/>
        </w:numPr>
        <w:tabs>
          <w:tab w:val="left" w:pos="1760"/>
        </w:tabs>
        <w:ind w:left="1760" w:hanging="580"/>
        <w:rPr>
          <w:rFonts w:eastAsia="Times New Roman"/>
          <w:sz w:val="24"/>
          <w:szCs w:val="24"/>
        </w:rPr>
      </w:pPr>
      <w:r w:rsidRPr="00CB6FA4">
        <w:rPr>
          <w:rFonts w:eastAsia="Times New Roman"/>
          <w:sz w:val="24"/>
          <w:szCs w:val="24"/>
          <w:u w:val="single"/>
        </w:rPr>
        <w:t>Unfiltered System</w:t>
      </w:r>
      <w:r w:rsidRPr="00CB6FA4">
        <w:rPr>
          <w:rFonts w:eastAsia="Times New Roman"/>
          <w:sz w:val="24"/>
          <w:szCs w:val="24"/>
        </w:rPr>
        <w:t xml:space="preserve"> </w:t>
      </w:r>
      <w:r w:rsidRPr="00CB6FA4">
        <w:rPr>
          <w:rFonts w:eastAsia="Times New Roman"/>
          <w:i/>
          <w:iCs/>
          <w:sz w:val="24"/>
          <w:szCs w:val="24"/>
          <w:u w:val="single"/>
        </w:rPr>
        <w:t>Cryptosporidium</w:t>
      </w:r>
      <w:r w:rsidRPr="00CB6FA4">
        <w:rPr>
          <w:rFonts w:eastAsia="Times New Roman"/>
          <w:sz w:val="24"/>
          <w:szCs w:val="24"/>
        </w:rPr>
        <w:t xml:space="preserve"> </w:t>
      </w:r>
      <w:r w:rsidRPr="00CB6FA4">
        <w:rPr>
          <w:rFonts w:eastAsia="Times New Roman"/>
          <w:sz w:val="24"/>
          <w:szCs w:val="24"/>
          <w:u w:val="single"/>
        </w:rPr>
        <w:t>Treatment Requirements</w:t>
      </w:r>
      <w:r w:rsidRPr="00CB6FA4">
        <w:rPr>
          <w:rFonts w:eastAsia="Times New Roman"/>
          <w:sz w:val="24"/>
          <w:szCs w:val="24"/>
        </w:rPr>
        <w:t>.</w:t>
      </w:r>
    </w:p>
    <w:p w14:paraId="281A662E" w14:textId="77777777" w:rsidR="004647B9" w:rsidRPr="00CB6FA4" w:rsidRDefault="00E2436F" w:rsidP="00D0294A">
      <w:pPr>
        <w:numPr>
          <w:ilvl w:val="1"/>
          <w:numId w:val="745"/>
        </w:numPr>
        <w:tabs>
          <w:tab w:val="left" w:pos="1980"/>
        </w:tabs>
        <w:ind w:left="1980" w:hanging="445"/>
        <w:rPr>
          <w:rFonts w:eastAsia="Times New Roman"/>
          <w:sz w:val="24"/>
          <w:szCs w:val="24"/>
        </w:rPr>
      </w:pPr>
      <w:r w:rsidRPr="00CB6FA4">
        <w:rPr>
          <w:rFonts w:eastAsia="Times New Roman"/>
          <w:sz w:val="24"/>
          <w:szCs w:val="24"/>
          <w:u w:val="single"/>
        </w:rPr>
        <w:t>Determination of Mean</w:t>
      </w:r>
      <w:r w:rsidRPr="00CB6FA4">
        <w:rPr>
          <w:rFonts w:eastAsia="Times New Roman"/>
          <w:sz w:val="24"/>
          <w:szCs w:val="24"/>
        </w:rPr>
        <w:t xml:space="preserve"> </w:t>
      </w:r>
      <w:r w:rsidRPr="00CB6FA4">
        <w:rPr>
          <w:rFonts w:eastAsia="Times New Roman"/>
          <w:i/>
          <w:iCs/>
          <w:sz w:val="24"/>
          <w:szCs w:val="24"/>
          <w:u w:val="single"/>
        </w:rPr>
        <w:t>Cryptosporidium</w:t>
      </w:r>
      <w:r w:rsidRPr="00CB6FA4">
        <w:rPr>
          <w:rFonts w:eastAsia="Times New Roman"/>
          <w:sz w:val="24"/>
          <w:szCs w:val="24"/>
        </w:rPr>
        <w:t xml:space="preserve"> </w:t>
      </w:r>
      <w:r w:rsidRPr="00CB6FA4">
        <w:rPr>
          <w:rFonts w:eastAsia="Times New Roman"/>
          <w:sz w:val="24"/>
          <w:szCs w:val="24"/>
          <w:u w:val="single"/>
        </w:rPr>
        <w:t>Level</w:t>
      </w:r>
      <w:r w:rsidRPr="00CB6FA4">
        <w:rPr>
          <w:rFonts w:eastAsia="Times New Roman"/>
          <w:sz w:val="24"/>
          <w:szCs w:val="24"/>
        </w:rPr>
        <w:t>.</w:t>
      </w:r>
    </w:p>
    <w:p w14:paraId="281A6632" w14:textId="5ED85BD2" w:rsidR="004647B9" w:rsidRPr="00A8459E" w:rsidRDefault="00E2436F" w:rsidP="00D0294A">
      <w:pPr>
        <w:numPr>
          <w:ilvl w:val="2"/>
          <w:numId w:val="745"/>
        </w:numPr>
        <w:tabs>
          <w:tab w:val="left" w:pos="2160"/>
        </w:tabs>
        <w:ind w:left="1900"/>
        <w:rPr>
          <w:rFonts w:eastAsia="Times New Roman"/>
          <w:sz w:val="24"/>
          <w:szCs w:val="24"/>
        </w:rPr>
      </w:pPr>
      <w:r w:rsidRPr="00CB6FA4">
        <w:rPr>
          <w:rFonts w:eastAsia="Times New Roman"/>
          <w:sz w:val="24"/>
          <w:szCs w:val="24"/>
        </w:rPr>
        <w:t>Following completion of the initial source water monitoring required under</w:t>
      </w:r>
      <w:r w:rsidR="00A8459E">
        <w:rPr>
          <w:rFonts w:eastAsia="Times New Roman"/>
          <w:sz w:val="24"/>
          <w:szCs w:val="24"/>
        </w:rPr>
        <w:t xml:space="preserve"> </w:t>
      </w:r>
      <w:r w:rsidRPr="00A8459E">
        <w:rPr>
          <w:rFonts w:eastAsia="Times New Roman"/>
          <w:sz w:val="24"/>
          <w:szCs w:val="24"/>
        </w:rPr>
        <w:t xml:space="preserve">310 CMR 22.20G(2)(a) unfiltered systems must calculate the arithmetic mean of all </w:t>
      </w:r>
      <w:r w:rsidRPr="00A8459E">
        <w:rPr>
          <w:rFonts w:eastAsia="Times New Roman"/>
          <w:i/>
          <w:iCs/>
          <w:sz w:val="24"/>
          <w:szCs w:val="24"/>
        </w:rPr>
        <w:t xml:space="preserve">Cryptosporidium </w:t>
      </w:r>
      <w:r w:rsidRPr="00A8459E">
        <w:rPr>
          <w:rFonts w:eastAsia="Times New Roman"/>
          <w:sz w:val="24"/>
          <w:szCs w:val="24"/>
        </w:rPr>
        <w:t>sample concentrations reported under 310 CMR 22.20G(2)(a). Systems</w:t>
      </w:r>
      <w:r w:rsidRPr="00A8459E">
        <w:rPr>
          <w:rFonts w:eastAsia="Times New Roman"/>
          <w:i/>
          <w:iCs/>
          <w:sz w:val="24"/>
          <w:szCs w:val="24"/>
        </w:rPr>
        <w:t xml:space="preserve"> </w:t>
      </w:r>
      <w:r w:rsidRPr="00A8459E">
        <w:rPr>
          <w:rFonts w:eastAsia="Times New Roman"/>
          <w:sz w:val="24"/>
          <w:szCs w:val="24"/>
        </w:rPr>
        <w:t>must report this value to the Department for approval no later than six months after the month the system is required to complete initial source water monitoring based on the schedule in 310 CMR 22.20G(2)(c).</w:t>
      </w:r>
    </w:p>
    <w:p w14:paraId="281A6638" w14:textId="3849C739" w:rsidR="004647B9" w:rsidRPr="00BB5619" w:rsidRDefault="00E2436F" w:rsidP="00D0294A">
      <w:pPr>
        <w:numPr>
          <w:ilvl w:val="0"/>
          <w:numId w:val="746"/>
        </w:numPr>
        <w:tabs>
          <w:tab w:val="left" w:pos="2200"/>
        </w:tabs>
        <w:ind w:left="1900"/>
        <w:jc w:val="both"/>
        <w:rPr>
          <w:sz w:val="24"/>
          <w:szCs w:val="24"/>
        </w:rPr>
      </w:pPr>
      <w:r w:rsidRPr="00BB5619">
        <w:rPr>
          <w:rFonts w:eastAsia="Times New Roman"/>
          <w:sz w:val="24"/>
          <w:szCs w:val="24"/>
        </w:rPr>
        <w:t>Following completion of the second round of source water monitoring required under</w:t>
      </w:r>
      <w:r w:rsidR="00BB5619" w:rsidRPr="00BB5619">
        <w:rPr>
          <w:rFonts w:eastAsia="Times New Roman"/>
          <w:sz w:val="24"/>
          <w:szCs w:val="24"/>
        </w:rPr>
        <w:t xml:space="preserve"> 310 </w:t>
      </w:r>
      <w:r w:rsidRPr="00BB5619">
        <w:rPr>
          <w:rFonts w:eastAsia="Times New Roman"/>
          <w:sz w:val="24"/>
          <w:szCs w:val="24"/>
        </w:rPr>
        <w:t>CMR 22.20G(2)(b) unfiltered systems must calculate the arithmetic mean of all</w:t>
      </w:r>
      <w:r w:rsidR="00BB5619" w:rsidRPr="00BB5619">
        <w:rPr>
          <w:rFonts w:eastAsia="Times New Roman"/>
          <w:sz w:val="24"/>
          <w:szCs w:val="24"/>
        </w:rPr>
        <w:t xml:space="preserve"> </w:t>
      </w:r>
      <w:r w:rsidRPr="00BB5619">
        <w:rPr>
          <w:rFonts w:eastAsia="Times New Roman"/>
          <w:i/>
          <w:iCs/>
          <w:sz w:val="24"/>
          <w:szCs w:val="24"/>
        </w:rPr>
        <w:t xml:space="preserve">Cryptosporidium </w:t>
      </w:r>
      <w:r w:rsidRPr="00BB5619">
        <w:rPr>
          <w:rFonts w:eastAsia="Times New Roman"/>
          <w:sz w:val="24"/>
          <w:szCs w:val="24"/>
        </w:rPr>
        <w:t>sample concentrations reported under 310 CMR 22.20G(2)(b).</w:t>
      </w:r>
      <w:r w:rsidRPr="00BB5619">
        <w:rPr>
          <w:rFonts w:eastAsia="Times New Roman"/>
          <w:i/>
          <w:iCs/>
          <w:sz w:val="24"/>
          <w:szCs w:val="24"/>
        </w:rPr>
        <w:t xml:space="preserve"> </w:t>
      </w:r>
      <w:r w:rsidRPr="00BB5619">
        <w:rPr>
          <w:rFonts w:eastAsia="Times New Roman"/>
          <w:sz w:val="24"/>
          <w:szCs w:val="24"/>
        </w:rPr>
        <w:t>Systems must report this value to the Department for approval no later than six months after the month the system is required to complete the second round of source water monitoring based on the schedule in 310 CMR 22.20G(2)(c).</w:t>
      </w:r>
    </w:p>
    <w:p w14:paraId="281A6639" w14:textId="77777777" w:rsidR="004647B9" w:rsidRDefault="004647B9" w:rsidP="00D0294A">
      <w:pPr>
        <w:sectPr w:rsidR="004647B9" w:rsidSect="00EF630C">
          <w:pgSz w:w="12240" w:h="20180"/>
          <w:pgMar w:top="708" w:right="1440" w:bottom="1440" w:left="620" w:header="0" w:footer="0" w:gutter="0"/>
          <w:cols w:space="720"/>
        </w:sectPr>
      </w:pPr>
    </w:p>
    <w:p w14:paraId="281A663A" w14:textId="77777777" w:rsidR="004647B9" w:rsidRDefault="00E2436F">
      <w:pPr>
        <w:tabs>
          <w:tab w:val="left" w:pos="160"/>
        </w:tabs>
        <w:ind w:right="140"/>
        <w:jc w:val="center"/>
        <w:rPr>
          <w:sz w:val="20"/>
          <w:szCs w:val="20"/>
        </w:rPr>
      </w:pPr>
      <w:bookmarkStart w:id="298" w:name="page302"/>
      <w:bookmarkEnd w:id="29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63B" w14:textId="77777777" w:rsidR="004647B9" w:rsidRDefault="004647B9" w:rsidP="005427C0">
      <w:pPr>
        <w:rPr>
          <w:sz w:val="20"/>
          <w:szCs w:val="20"/>
        </w:rPr>
      </w:pPr>
    </w:p>
    <w:p w14:paraId="281A663C" w14:textId="77777777" w:rsidR="004647B9" w:rsidRDefault="004647B9" w:rsidP="005427C0">
      <w:pPr>
        <w:rPr>
          <w:sz w:val="20"/>
          <w:szCs w:val="20"/>
        </w:rPr>
      </w:pPr>
    </w:p>
    <w:p w14:paraId="281A663D" w14:textId="77777777" w:rsidR="004647B9" w:rsidRPr="005427C0" w:rsidRDefault="00E2436F" w:rsidP="005427C0">
      <w:pPr>
        <w:tabs>
          <w:tab w:val="left" w:pos="940"/>
        </w:tabs>
        <w:rPr>
          <w:sz w:val="24"/>
          <w:szCs w:val="24"/>
        </w:rPr>
      </w:pPr>
      <w:r w:rsidRPr="005427C0">
        <w:rPr>
          <w:rFonts w:eastAsia="Times New Roman"/>
          <w:sz w:val="24"/>
          <w:szCs w:val="24"/>
        </w:rPr>
        <w:t>22.20G:</w:t>
      </w:r>
      <w:r w:rsidRPr="005427C0">
        <w:rPr>
          <w:rFonts w:eastAsia="Times New Roman"/>
          <w:sz w:val="24"/>
          <w:szCs w:val="24"/>
        </w:rPr>
        <w:tab/>
        <w:t>continued</w:t>
      </w:r>
    </w:p>
    <w:p w14:paraId="281A663E" w14:textId="77777777" w:rsidR="004647B9" w:rsidRPr="005427C0" w:rsidRDefault="004647B9" w:rsidP="005427C0">
      <w:pPr>
        <w:rPr>
          <w:sz w:val="20"/>
          <w:szCs w:val="20"/>
        </w:rPr>
      </w:pPr>
    </w:p>
    <w:p w14:paraId="281A663F" w14:textId="77777777" w:rsidR="004647B9" w:rsidRPr="00BB5619" w:rsidRDefault="00E2436F" w:rsidP="005427C0">
      <w:pPr>
        <w:numPr>
          <w:ilvl w:val="1"/>
          <w:numId w:val="747"/>
        </w:numPr>
        <w:tabs>
          <w:tab w:val="left" w:pos="2373"/>
        </w:tabs>
        <w:ind w:left="1900" w:right="120" w:hanging="5"/>
        <w:jc w:val="both"/>
        <w:rPr>
          <w:rFonts w:eastAsia="Times New Roman"/>
          <w:sz w:val="24"/>
          <w:szCs w:val="24"/>
        </w:rPr>
      </w:pPr>
      <w:r w:rsidRPr="00BB5619">
        <w:rPr>
          <w:rFonts w:eastAsia="Times New Roman"/>
          <w:sz w:val="24"/>
          <w:szCs w:val="24"/>
        </w:rPr>
        <w:t xml:space="preserve">If the monthly </w:t>
      </w:r>
      <w:r w:rsidRPr="00BB5619">
        <w:rPr>
          <w:rFonts w:eastAsia="Times New Roman"/>
          <w:i/>
          <w:iCs/>
          <w:sz w:val="24"/>
          <w:szCs w:val="24"/>
        </w:rPr>
        <w:t>Cryptosporidium</w:t>
      </w:r>
      <w:r w:rsidRPr="00BB5619">
        <w:rPr>
          <w:rFonts w:eastAsia="Times New Roman"/>
          <w:sz w:val="24"/>
          <w:szCs w:val="24"/>
        </w:rPr>
        <w:t xml:space="preserve"> sampling frequency varies, systems must first calculate a monthly average for each month of monitoring. Systems must then use these monthly average concentrations, rather than individual sample concentrations, in the calculation of the mean </w:t>
      </w:r>
      <w:r w:rsidRPr="00BB5619">
        <w:rPr>
          <w:rFonts w:eastAsia="Times New Roman"/>
          <w:i/>
          <w:iCs/>
          <w:sz w:val="24"/>
          <w:szCs w:val="24"/>
        </w:rPr>
        <w:t>Cryptosporidium</w:t>
      </w:r>
      <w:r w:rsidRPr="00BB5619">
        <w:rPr>
          <w:rFonts w:eastAsia="Times New Roman"/>
          <w:sz w:val="24"/>
          <w:szCs w:val="24"/>
        </w:rPr>
        <w:t xml:space="preserve"> level in 310 CMR 22.20G(13)(a)1. or 2.</w:t>
      </w:r>
    </w:p>
    <w:p w14:paraId="281A6643" w14:textId="580DD2D4" w:rsidR="004647B9" w:rsidRPr="00BB5619" w:rsidRDefault="00E2436F" w:rsidP="005427C0">
      <w:pPr>
        <w:numPr>
          <w:ilvl w:val="1"/>
          <w:numId w:val="747"/>
        </w:numPr>
        <w:tabs>
          <w:tab w:val="left" w:pos="2340"/>
        </w:tabs>
        <w:ind w:left="1900" w:hanging="5"/>
        <w:rPr>
          <w:rFonts w:eastAsia="Times New Roman"/>
          <w:sz w:val="24"/>
          <w:szCs w:val="24"/>
        </w:rPr>
      </w:pPr>
      <w:r w:rsidRPr="00BB5619">
        <w:rPr>
          <w:rFonts w:eastAsia="Times New Roman"/>
          <w:sz w:val="24"/>
          <w:szCs w:val="24"/>
        </w:rPr>
        <w:t xml:space="preserve">The report to the Department of the mean </w:t>
      </w:r>
      <w:r w:rsidRPr="00BB5619">
        <w:rPr>
          <w:rFonts w:eastAsia="Times New Roman"/>
          <w:i/>
          <w:iCs/>
          <w:sz w:val="24"/>
          <w:szCs w:val="24"/>
        </w:rPr>
        <w:t>Cryptosporidium</w:t>
      </w:r>
      <w:r w:rsidRPr="00BB5619">
        <w:rPr>
          <w:rFonts w:eastAsia="Times New Roman"/>
          <w:sz w:val="24"/>
          <w:szCs w:val="24"/>
        </w:rPr>
        <w:t xml:space="preserve"> levels calculated under</w:t>
      </w:r>
      <w:r w:rsidR="00BB5619">
        <w:rPr>
          <w:rFonts w:eastAsia="Times New Roman"/>
          <w:sz w:val="24"/>
          <w:szCs w:val="24"/>
        </w:rPr>
        <w:t xml:space="preserve"> 310 </w:t>
      </w:r>
      <w:r w:rsidRPr="00BB5619">
        <w:rPr>
          <w:rFonts w:eastAsia="Times New Roman"/>
          <w:sz w:val="24"/>
          <w:szCs w:val="24"/>
        </w:rPr>
        <w:t>CMR 22.20G(13)(a)1. and 2. must include a summary of the source water monitoring data used for the calculation.</w:t>
      </w:r>
    </w:p>
    <w:p w14:paraId="281A6644" w14:textId="77777777" w:rsidR="004647B9" w:rsidRPr="00BB5619" w:rsidRDefault="00E2436F" w:rsidP="005427C0">
      <w:pPr>
        <w:numPr>
          <w:ilvl w:val="1"/>
          <w:numId w:val="748"/>
        </w:numPr>
        <w:tabs>
          <w:tab w:val="left" w:pos="2267"/>
        </w:tabs>
        <w:ind w:left="1900" w:right="120" w:hanging="5"/>
        <w:rPr>
          <w:rFonts w:eastAsia="Times New Roman"/>
          <w:sz w:val="24"/>
          <w:szCs w:val="24"/>
        </w:rPr>
      </w:pPr>
      <w:r w:rsidRPr="00BB5619">
        <w:rPr>
          <w:rFonts w:eastAsia="Times New Roman"/>
          <w:sz w:val="24"/>
          <w:szCs w:val="24"/>
        </w:rPr>
        <w:t>Failure to comply with the conditions of 310 CMR 22.20G(13)(a) is a violation of the Treatment Technique requirement.</w:t>
      </w:r>
    </w:p>
    <w:p w14:paraId="281A6645" w14:textId="77777777" w:rsidR="004647B9" w:rsidRPr="00BB5619" w:rsidRDefault="00E2436F" w:rsidP="005427C0">
      <w:pPr>
        <w:numPr>
          <w:ilvl w:val="0"/>
          <w:numId w:val="749"/>
        </w:numPr>
        <w:tabs>
          <w:tab w:val="left" w:pos="1941"/>
        </w:tabs>
        <w:ind w:left="1540" w:right="120" w:hanging="5"/>
        <w:jc w:val="both"/>
        <w:rPr>
          <w:rFonts w:eastAsia="Times New Roman"/>
          <w:sz w:val="24"/>
          <w:szCs w:val="24"/>
        </w:rPr>
      </w:pPr>
      <w:r w:rsidRPr="00BB5619">
        <w:rPr>
          <w:rFonts w:eastAsia="Times New Roman"/>
          <w:i/>
          <w:iCs/>
          <w:sz w:val="24"/>
          <w:szCs w:val="24"/>
          <w:u w:val="single"/>
        </w:rPr>
        <w:t>Cryptosporidium</w:t>
      </w:r>
      <w:r w:rsidRPr="00BB5619">
        <w:rPr>
          <w:rFonts w:eastAsia="Times New Roman"/>
          <w:i/>
          <w:iCs/>
          <w:sz w:val="24"/>
          <w:szCs w:val="24"/>
        </w:rPr>
        <w:t xml:space="preserve"> </w:t>
      </w:r>
      <w:r w:rsidRPr="00BB5619">
        <w:rPr>
          <w:rFonts w:eastAsia="Times New Roman"/>
          <w:sz w:val="24"/>
          <w:szCs w:val="24"/>
          <w:u w:val="single"/>
        </w:rPr>
        <w:t>Inactivation Requirements</w:t>
      </w:r>
      <w:r w:rsidRPr="00BB5619">
        <w:rPr>
          <w:rFonts w:eastAsia="Times New Roman"/>
          <w:sz w:val="24"/>
          <w:szCs w:val="24"/>
        </w:rPr>
        <w:t>. Unfiltered systems must provide the level</w:t>
      </w:r>
      <w:r w:rsidRPr="00BB5619">
        <w:rPr>
          <w:rFonts w:eastAsia="Times New Roman"/>
          <w:i/>
          <w:iCs/>
          <w:sz w:val="24"/>
          <w:szCs w:val="24"/>
        </w:rPr>
        <w:t xml:space="preserve"> </w:t>
      </w:r>
      <w:r w:rsidRPr="00BB5619">
        <w:rPr>
          <w:rFonts w:eastAsia="Times New Roman"/>
          <w:sz w:val="24"/>
          <w:szCs w:val="24"/>
        </w:rPr>
        <w:t xml:space="preserve">of inactivation for </w:t>
      </w:r>
      <w:r w:rsidRPr="00BB5619">
        <w:rPr>
          <w:rFonts w:eastAsia="Times New Roman"/>
          <w:i/>
          <w:iCs/>
          <w:sz w:val="24"/>
          <w:szCs w:val="24"/>
        </w:rPr>
        <w:t>Cryptosporidium</w:t>
      </w:r>
      <w:r w:rsidRPr="00BB5619">
        <w:rPr>
          <w:rFonts w:eastAsia="Times New Roman"/>
          <w:sz w:val="24"/>
          <w:szCs w:val="24"/>
        </w:rPr>
        <w:t xml:space="preserve"> specified in 310 CMR 22.20G(13)(b)1. and 2., based on their mean </w:t>
      </w:r>
      <w:r w:rsidRPr="00BB5619">
        <w:rPr>
          <w:rFonts w:eastAsia="Times New Roman"/>
          <w:i/>
          <w:iCs/>
          <w:sz w:val="24"/>
          <w:szCs w:val="24"/>
        </w:rPr>
        <w:t>Cryptosporidium</w:t>
      </w:r>
      <w:r w:rsidRPr="00BB5619">
        <w:rPr>
          <w:rFonts w:eastAsia="Times New Roman"/>
          <w:sz w:val="24"/>
          <w:szCs w:val="24"/>
        </w:rPr>
        <w:t xml:space="preserve"> levels as determined under 310 CMR 22.20G(13)(a) and according to the schedule in 310 CMR 22.20G(14).</w:t>
      </w:r>
    </w:p>
    <w:p w14:paraId="281A6646" w14:textId="77777777" w:rsidR="004647B9" w:rsidRPr="00BB5619" w:rsidRDefault="00E2436F" w:rsidP="005427C0">
      <w:pPr>
        <w:numPr>
          <w:ilvl w:val="1"/>
          <w:numId w:val="749"/>
        </w:numPr>
        <w:tabs>
          <w:tab w:val="left" w:pos="2210"/>
        </w:tabs>
        <w:ind w:left="1900" w:right="120" w:hanging="5"/>
        <w:rPr>
          <w:rFonts w:eastAsia="Times New Roman"/>
          <w:sz w:val="24"/>
          <w:szCs w:val="24"/>
        </w:rPr>
      </w:pPr>
      <w:r w:rsidRPr="00BB5619">
        <w:rPr>
          <w:rFonts w:eastAsia="Times New Roman"/>
          <w:sz w:val="24"/>
          <w:szCs w:val="24"/>
        </w:rPr>
        <w:t xml:space="preserve">Unfiltered systems with a mean </w:t>
      </w:r>
      <w:r w:rsidRPr="00BB5619">
        <w:rPr>
          <w:rFonts w:eastAsia="Times New Roman"/>
          <w:i/>
          <w:iCs/>
          <w:sz w:val="24"/>
          <w:szCs w:val="24"/>
        </w:rPr>
        <w:t>Cryptosporidium</w:t>
      </w:r>
      <w:r w:rsidRPr="00BB5619">
        <w:rPr>
          <w:rFonts w:eastAsia="Times New Roman"/>
          <w:sz w:val="24"/>
          <w:szCs w:val="24"/>
        </w:rPr>
        <w:t xml:space="preserve"> level of 0.01 </w:t>
      </w:r>
      <w:r w:rsidRPr="00BB5619">
        <w:rPr>
          <w:rFonts w:eastAsia="Times New Roman"/>
          <w:i/>
          <w:iCs/>
          <w:sz w:val="24"/>
          <w:szCs w:val="24"/>
        </w:rPr>
        <w:t>oocysts</w:t>
      </w:r>
      <w:r w:rsidRPr="00BB5619">
        <w:rPr>
          <w:rFonts w:eastAsia="Times New Roman"/>
          <w:sz w:val="24"/>
          <w:szCs w:val="24"/>
        </w:rPr>
        <w:t xml:space="preserve">/L or less must provide at least 2-log </w:t>
      </w:r>
      <w:r w:rsidRPr="00BB5619">
        <w:rPr>
          <w:rFonts w:eastAsia="Times New Roman"/>
          <w:i/>
          <w:iCs/>
          <w:sz w:val="24"/>
          <w:szCs w:val="24"/>
        </w:rPr>
        <w:t>Cryptosporidium</w:t>
      </w:r>
      <w:r w:rsidRPr="00BB5619">
        <w:rPr>
          <w:rFonts w:eastAsia="Times New Roman"/>
          <w:sz w:val="24"/>
          <w:szCs w:val="24"/>
        </w:rPr>
        <w:t xml:space="preserve"> inactivation.</w:t>
      </w:r>
    </w:p>
    <w:p w14:paraId="281A6647" w14:textId="77777777" w:rsidR="004647B9" w:rsidRPr="00BB5619" w:rsidRDefault="00E2436F" w:rsidP="005427C0">
      <w:pPr>
        <w:numPr>
          <w:ilvl w:val="1"/>
          <w:numId w:val="749"/>
        </w:numPr>
        <w:tabs>
          <w:tab w:val="left" w:pos="2210"/>
        </w:tabs>
        <w:ind w:left="1900" w:right="120" w:hanging="5"/>
        <w:rPr>
          <w:rFonts w:eastAsia="Times New Roman"/>
          <w:sz w:val="24"/>
          <w:szCs w:val="24"/>
        </w:rPr>
      </w:pPr>
      <w:r w:rsidRPr="00BB5619">
        <w:rPr>
          <w:rFonts w:eastAsia="Times New Roman"/>
          <w:sz w:val="24"/>
          <w:szCs w:val="24"/>
        </w:rPr>
        <w:t xml:space="preserve">Unfiltered systems with a mean </w:t>
      </w:r>
      <w:r w:rsidRPr="00BB5619">
        <w:rPr>
          <w:rFonts w:eastAsia="Times New Roman"/>
          <w:i/>
          <w:iCs/>
          <w:sz w:val="24"/>
          <w:szCs w:val="24"/>
        </w:rPr>
        <w:t>Cryptosporidium</w:t>
      </w:r>
      <w:r w:rsidRPr="00BB5619">
        <w:rPr>
          <w:rFonts w:eastAsia="Times New Roman"/>
          <w:sz w:val="24"/>
          <w:szCs w:val="24"/>
        </w:rPr>
        <w:t xml:space="preserve"> level of greater than 0.01 </w:t>
      </w:r>
      <w:r w:rsidRPr="00BB5619">
        <w:rPr>
          <w:rFonts w:eastAsia="Times New Roman"/>
          <w:i/>
          <w:iCs/>
          <w:sz w:val="24"/>
          <w:szCs w:val="24"/>
        </w:rPr>
        <w:t>oocysts</w:t>
      </w:r>
      <w:r w:rsidRPr="00BB5619">
        <w:rPr>
          <w:rFonts w:eastAsia="Times New Roman"/>
          <w:sz w:val="24"/>
          <w:szCs w:val="24"/>
        </w:rPr>
        <w:t xml:space="preserve">/L must provide at least 3-log </w:t>
      </w:r>
      <w:r w:rsidRPr="00BB5619">
        <w:rPr>
          <w:rFonts w:eastAsia="Times New Roman"/>
          <w:i/>
          <w:iCs/>
          <w:sz w:val="24"/>
          <w:szCs w:val="24"/>
        </w:rPr>
        <w:t>Cryptosporidium</w:t>
      </w:r>
      <w:r w:rsidRPr="00BB5619">
        <w:rPr>
          <w:rFonts w:eastAsia="Times New Roman"/>
          <w:sz w:val="24"/>
          <w:szCs w:val="24"/>
        </w:rPr>
        <w:t xml:space="preserve"> inactivation.</w:t>
      </w:r>
    </w:p>
    <w:p w14:paraId="281A664A" w14:textId="5E91933A" w:rsidR="004647B9" w:rsidRPr="00BB5619" w:rsidRDefault="00E2436F" w:rsidP="005427C0">
      <w:pPr>
        <w:numPr>
          <w:ilvl w:val="0"/>
          <w:numId w:val="749"/>
        </w:numPr>
        <w:tabs>
          <w:tab w:val="left" w:pos="1912"/>
        </w:tabs>
        <w:ind w:left="1540" w:right="120"/>
        <w:jc w:val="both"/>
        <w:rPr>
          <w:rFonts w:eastAsia="Times New Roman"/>
          <w:sz w:val="24"/>
          <w:szCs w:val="24"/>
        </w:rPr>
      </w:pPr>
      <w:r w:rsidRPr="00BB5619">
        <w:rPr>
          <w:rFonts w:eastAsia="Times New Roman"/>
          <w:sz w:val="24"/>
          <w:szCs w:val="24"/>
          <w:u w:val="single"/>
        </w:rPr>
        <w:t>Inactivation Treatment Technology Requirements</w:t>
      </w:r>
      <w:r w:rsidRPr="00BB5619">
        <w:rPr>
          <w:rFonts w:eastAsia="Times New Roman"/>
          <w:sz w:val="24"/>
          <w:szCs w:val="24"/>
        </w:rPr>
        <w:t>. Unfiltered systems must use chlorine dioxide, ozone, or UV; in accordance with 310 CMR 22.20G(23); in order to meet the</w:t>
      </w:r>
      <w:r w:rsidR="00BB5619">
        <w:rPr>
          <w:rFonts w:eastAsia="Times New Roman"/>
          <w:sz w:val="24"/>
          <w:szCs w:val="24"/>
        </w:rPr>
        <w:t xml:space="preserve"> </w:t>
      </w:r>
      <w:r w:rsidRPr="00BB5619">
        <w:rPr>
          <w:rFonts w:eastAsia="Times New Roman"/>
          <w:i/>
          <w:iCs/>
          <w:sz w:val="24"/>
          <w:szCs w:val="24"/>
        </w:rPr>
        <w:t xml:space="preserve">Cryptosporidium </w:t>
      </w:r>
      <w:r w:rsidRPr="00BB5619">
        <w:rPr>
          <w:rFonts w:eastAsia="Times New Roman"/>
          <w:sz w:val="24"/>
          <w:szCs w:val="24"/>
        </w:rPr>
        <w:t>inactivation requirements of 310 CMR 22.20G(13).</w:t>
      </w:r>
    </w:p>
    <w:p w14:paraId="281A664C" w14:textId="77777777" w:rsidR="004647B9" w:rsidRPr="00BB5619" w:rsidRDefault="00E2436F" w:rsidP="005427C0">
      <w:pPr>
        <w:ind w:left="1900" w:right="120"/>
        <w:jc w:val="both"/>
        <w:rPr>
          <w:sz w:val="24"/>
          <w:szCs w:val="24"/>
        </w:rPr>
      </w:pPr>
      <w:r w:rsidRPr="00BB5619">
        <w:rPr>
          <w:rFonts w:eastAsia="Times New Roman"/>
          <w:sz w:val="24"/>
          <w:szCs w:val="24"/>
        </w:rPr>
        <w:t xml:space="preserve">1. Systems that use chlorine dioxide or ozone and fail to achieve the </w:t>
      </w:r>
      <w:r w:rsidRPr="00BB5619">
        <w:rPr>
          <w:rFonts w:eastAsia="Times New Roman"/>
          <w:i/>
          <w:iCs/>
          <w:sz w:val="24"/>
          <w:szCs w:val="24"/>
        </w:rPr>
        <w:t>Cryptosporidium</w:t>
      </w:r>
      <w:r w:rsidRPr="00BB5619">
        <w:rPr>
          <w:rFonts w:eastAsia="Times New Roman"/>
          <w:sz w:val="24"/>
          <w:szCs w:val="24"/>
        </w:rPr>
        <w:t xml:space="preserve"> inactivation required in 310 CMR 22.20G(13)(b) on more than one day in the calendar month are in violation of the Treatment Technique requirement.</w:t>
      </w:r>
    </w:p>
    <w:p w14:paraId="281A664E" w14:textId="77777777" w:rsidR="004647B9" w:rsidRPr="00BB5619" w:rsidRDefault="00E2436F" w:rsidP="005427C0">
      <w:pPr>
        <w:ind w:left="1900" w:right="120"/>
        <w:jc w:val="both"/>
        <w:rPr>
          <w:sz w:val="24"/>
          <w:szCs w:val="24"/>
        </w:rPr>
      </w:pPr>
      <w:r w:rsidRPr="00BB5619">
        <w:rPr>
          <w:rFonts w:eastAsia="Times New Roman"/>
          <w:sz w:val="24"/>
          <w:szCs w:val="24"/>
        </w:rPr>
        <w:t xml:space="preserve">2. Systems that use UV light, and fail to achieve the </w:t>
      </w:r>
      <w:r w:rsidRPr="00BB5619">
        <w:rPr>
          <w:rFonts w:eastAsia="Times New Roman"/>
          <w:i/>
          <w:iCs/>
          <w:sz w:val="24"/>
          <w:szCs w:val="24"/>
        </w:rPr>
        <w:t>Cryptosporidium</w:t>
      </w:r>
      <w:r w:rsidRPr="00BB5619">
        <w:rPr>
          <w:rFonts w:eastAsia="Times New Roman"/>
          <w:sz w:val="24"/>
          <w:szCs w:val="24"/>
        </w:rPr>
        <w:t xml:space="preserve"> inactivation required in 310 CMR 22.20G(13)(b) by meeting the criteria in 310 CMR 22.20G(23)(b)1.d., are in violation of the Treatment Technique requirement.</w:t>
      </w:r>
    </w:p>
    <w:p w14:paraId="281A6652" w14:textId="30DEDDC3" w:rsidR="004647B9" w:rsidRPr="00FE1E98" w:rsidRDefault="00E2436F" w:rsidP="005427C0">
      <w:pPr>
        <w:numPr>
          <w:ilvl w:val="0"/>
          <w:numId w:val="750"/>
        </w:numPr>
        <w:tabs>
          <w:tab w:val="left" w:pos="1890"/>
        </w:tabs>
        <w:ind w:left="1540"/>
        <w:rPr>
          <w:rFonts w:eastAsia="Times New Roman"/>
          <w:sz w:val="24"/>
          <w:szCs w:val="24"/>
        </w:rPr>
      </w:pPr>
      <w:r w:rsidRPr="00BB5619">
        <w:rPr>
          <w:rFonts w:eastAsia="Times New Roman"/>
          <w:sz w:val="24"/>
          <w:szCs w:val="24"/>
          <w:u w:val="single"/>
        </w:rPr>
        <w:t>Use of Two Disinfectants</w:t>
      </w:r>
      <w:r w:rsidRPr="00BB5619">
        <w:rPr>
          <w:rFonts w:eastAsia="Times New Roman"/>
          <w:sz w:val="24"/>
          <w:szCs w:val="24"/>
        </w:rPr>
        <w:t>. Unfiltered systems must meet the combined</w:t>
      </w:r>
      <w:r w:rsidR="00FE1E98">
        <w:rPr>
          <w:rFonts w:eastAsia="Times New Roman"/>
          <w:sz w:val="24"/>
          <w:szCs w:val="24"/>
        </w:rPr>
        <w:t xml:space="preserve"> </w:t>
      </w:r>
      <w:r w:rsidRPr="00FE1E98">
        <w:rPr>
          <w:rFonts w:eastAsia="Times New Roman"/>
          <w:i/>
          <w:iCs/>
          <w:sz w:val="24"/>
          <w:szCs w:val="24"/>
        </w:rPr>
        <w:t xml:space="preserve">Cryptosporidium </w:t>
      </w:r>
      <w:r w:rsidRPr="00FE1E98">
        <w:rPr>
          <w:rFonts w:eastAsia="Times New Roman"/>
          <w:sz w:val="24"/>
          <w:szCs w:val="24"/>
        </w:rPr>
        <w:t>inactivation requirements of 310 CMR 22.20G(13) and</w:t>
      </w:r>
      <w:r w:rsidRPr="00FE1E98">
        <w:rPr>
          <w:rFonts w:eastAsia="Times New Roman"/>
          <w:i/>
          <w:iCs/>
          <w:sz w:val="24"/>
          <w:szCs w:val="24"/>
        </w:rPr>
        <w:t xml:space="preserve"> Giardia lamblia </w:t>
      </w:r>
      <w:r w:rsidRPr="00FE1E98">
        <w:rPr>
          <w:rFonts w:eastAsia="Times New Roman"/>
          <w:sz w:val="24"/>
          <w:szCs w:val="24"/>
        </w:rPr>
        <w:t xml:space="preserve">and Virus inactivation requirements of 310 CMR 22.20A(3)(a) using a minimum of two Disinfectants, and each of two Disinfectants must separately achieve the total inactivation required for </w:t>
      </w:r>
      <w:r w:rsidRPr="00FE1E98">
        <w:rPr>
          <w:rFonts w:eastAsia="Times New Roman"/>
          <w:i/>
          <w:iCs/>
          <w:sz w:val="24"/>
          <w:szCs w:val="24"/>
        </w:rPr>
        <w:t>Cryptosporidium</w:t>
      </w:r>
      <w:r w:rsidRPr="00FE1E98">
        <w:rPr>
          <w:rFonts w:eastAsia="Times New Roman"/>
          <w:sz w:val="24"/>
          <w:szCs w:val="24"/>
        </w:rPr>
        <w:t xml:space="preserve">, </w:t>
      </w:r>
      <w:r w:rsidRPr="00FE1E98">
        <w:rPr>
          <w:rFonts w:eastAsia="Times New Roman"/>
          <w:i/>
          <w:iCs/>
          <w:sz w:val="24"/>
          <w:szCs w:val="24"/>
        </w:rPr>
        <w:t>Giardia lamblia</w:t>
      </w:r>
      <w:r w:rsidRPr="00FE1E98">
        <w:rPr>
          <w:rFonts w:eastAsia="Times New Roman"/>
          <w:sz w:val="24"/>
          <w:szCs w:val="24"/>
        </w:rPr>
        <w:t>, or Viruses.</w:t>
      </w:r>
    </w:p>
    <w:p w14:paraId="281A6653" w14:textId="77777777" w:rsidR="004647B9" w:rsidRPr="004E5CEC" w:rsidRDefault="004647B9" w:rsidP="005427C0">
      <w:pPr>
        <w:rPr>
          <w:sz w:val="24"/>
          <w:szCs w:val="24"/>
        </w:rPr>
      </w:pPr>
    </w:p>
    <w:p w14:paraId="281A6654" w14:textId="77777777" w:rsidR="004647B9" w:rsidRPr="004E5CEC" w:rsidRDefault="00E2436F" w:rsidP="005427C0">
      <w:pPr>
        <w:numPr>
          <w:ilvl w:val="0"/>
          <w:numId w:val="751"/>
        </w:numPr>
        <w:tabs>
          <w:tab w:val="left" w:pos="1760"/>
        </w:tabs>
        <w:ind w:left="1760" w:hanging="580"/>
        <w:rPr>
          <w:rFonts w:eastAsia="Times New Roman"/>
          <w:sz w:val="24"/>
          <w:szCs w:val="24"/>
        </w:rPr>
      </w:pPr>
      <w:r w:rsidRPr="004E5CEC">
        <w:rPr>
          <w:rFonts w:eastAsia="Times New Roman"/>
          <w:sz w:val="24"/>
          <w:szCs w:val="24"/>
          <w:u w:val="single"/>
        </w:rPr>
        <w:t>Schedule for Compliance with</w:t>
      </w:r>
      <w:r w:rsidRPr="004E5CEC">
        <w:rPr>
          <w:rFonts w:eastAsia="Times New Roman"/>
          <w:sz w:val="24"/>
          <w:szCs w:val="24"/>
        </w:rPr>
        <w:t xml:space="preserve"> </w:t>
      </w:r>
      <w:r w:rsidRPr="004E5CEC">
        <w:rPr>
          <w:rFonts w:eastAsia="Times New Roman"/>
          <w:i/>
          <w:iCs/>
          <w:sz w:val="24"/>
          <w:szCs w:val="24"/>
          <w:u w:val="single"/>
        </w:rPr>
        <w:t>Cryptosporidium</w:t>
      </w:r>
      <w:r w:rsidRPr="004E5CEC">
        <w:rPr>
          <w:rFonts w:eastAsia="Times New Roman"/>
          <w:sz w:val="24"/>
          <w:szCs w:val="24"/>
        </w:rPr>
        <w:t xml:space="preserve"> </w:t>
      </w:r>
      <w:r w:rsidRPr="004E5CEC">
        <w:rPr>
          <w:rFonts w:eastAsia="Times New Roman"/>
          <w:sz w:val="24"/>
          <w:szCs w:val="24"/>
          <w:u w:val="single"/>
        </w:rPr>
        <w:t>Treatment Requirements</w:t>
      </w:r>
      <w:r w:rsidRPr="004E5CEC">
        <w:rPr>
          <w:rFonts w:eastAsia="Times New Roman"/>
          <w:sz w:val="24"/>
          <w:szCs w:val="24"/>
        </w:rPr>
        <w:t>.</w:t>
      </w:r>
    </w:p>
    <w:p w14:paraId="281A6656" w14:textId="77777777" w:rsidR="004647B9" w:rsidRPr="004E5CEC" w:rsidRDefault="00E2436F" w:rsidP="005427C0">
      <w:pPr>
        <w:numPr>
          <w:ilvl w:val="1"/>
          <w:numId w:val="751"/>
        </w:numPr>
        <w:tabs>
          <w:tab w:val="left" w:pos="1917"/>
        </w:tabs>
        <w:ind w:left="1540" w:right="120" w:hanging="5"/>
        <w:jc w:val="both"/>
        <w:rPr>
          <w:rFonts w:eastAsia="Times New Roman"/>
          <w:sz w:val="24"/>
          <w:szCs w:val="24"/>
        </w:rPr>
      </w:pPr>
      <w:r w:rsidRPr="004E5CEC">
        <w:rPr>
          <w:rFonts w:eastAsia="Times New Roman"/>
          <w:sz w:val="24"/>
          <w:szCs w:val="24"/>
        </w:rPr>
        <w:t xml:space="preserve">Following initial bin classification under 310 CMR 22.20G(11)(c), filtered systems must provide the level of treatment for </w:t>
      </w:r>
      <w:r w:rsidRPr="004E5CEC">
        <w:rPr>
          <w:rFonts w:eastAsia="Times New Roman"/>
          <w:i/>
          <w:iCs/>
          <w:sz w:val="24"/>
          <w:szCs w:val="24"/>
        </w:rPr>
        <w:t>Cryptosporidium</w:t>
      </w:r>
      <w:r w:rsidRPr="004E5CEC">
        <w:rPr>
          <w:rFonts w:eastAsia="Times New Roman"/>
          <w:sz w:val="24"/>
          <w:szCs w:val="24"/>
        </w:rPr>
        <w:t xml:space="preserve"> required under 310 CMR 22.20G(12) according to the schedule in 310 CMR 22.20G(14)(c).</w:t>
      </w:r>
    </w:p>
    <w:p w14:paraId="281A665A" w14:textId="61100AAB" w:rsidR="004647B9" w:rsidRPr="004E5CEC" w:rsidRDefault="00E2436F" w:rsidP="005427C0">
      <w:pPr>
        <w:numPr>
          <w:ilvl w:val="1"/>
          <w:numId w:val="751"/>
        </w:numPr>
        <w:tabs>
          <w:tab w:val="left" w:pos="2029"/>
        </w:tabs>
        <w:ind w:left="1540" w:right="120"/>
        <w:jc w:val="both"/>
        <w:rPr>
          <w:rFonts w:eastAsia="Times New Roman"/>
          <w:sz w:val="24"/>
          <w:szCs w:val="24"/>
        </w:rPr>
      </w:pPr>
      <w:r w:rsidRPr="004E5CEC">
        <w:rPr>
          <w:rFonts w:eastAsia="Times New Roman"/>
          <w:sz w:val="24"/>
          <w:szCs w:val="24"/>
        </w:rPr>
        <w:t xml:space="preserve">Following initial determination of the mean </w:t>
      </w:r>
      <w:r w:rsidRPr="004E5CEC">
        <w:rPr>
          <w:rFonts w:eastAsia="Times New Roman"/>
          <w:i/>
          <w:iCs/>
          <w:sz w:val="24"/>
          <w:szCs w:val="24"/>
        </w:rPr>
        <w:t>Cryptosporidium</w:t>
      </w:r>
      <w:r w:rsidRPr="004E5CEC">
        <w:rPr>
          <w:rFonts w:eastAsia="Times New Roman"/>
          <w:sz w:val="24"/>
          <w:szCs w:val="24"/>
        </w:rPr>
        <w:t xml:space="preserve"> level under 310 CMR 22.20G(13)(a)1., unfiltered systems must provide the level of treatment for </w:t>
      </w:r>
      <w:r w:rsidRPr="004E5CEC">
        <w:rPr>
          <w:rFonts w:eastAsia="Times New Roman"/>
          <w:i/>
          <w:iCs/>
          <w:sz w:val="24"/>
          <w:szCs w:val="24"/>
        </w:rPr>
        <w:t>Cryptosporidium</w:t>
      </w:r>
      <w:r w:rsidR="004E5CEC">
        <w:rPr>
          <w:rFonts w:eastAsia="Times New Roman"/>
          <w:sz w:val="24"/>
          <w:szCs w:val="24"/>
        </w:rPr>
        <w:t xml:space="preserve"> </w:t>
      </w:r>
      <w:r w:rsidRPr="004E5CEC">
        <w:rPr>
          <w:rFonts w:eastAsia="Times New Roman"/>
          <w:sz w:val="24"/>
          <w:szCs w:val="24"/>
        </w:rPr>
        <w:t>required under 310 CMR 22.20G(13) according to the schedule in 310 CMR 22.20G(14)(c).</w:t>
      </w:r>
    </w:p>
    <w:p w14:paraId="281A665C" w14:textId="77777777" w:rsidR="004647B9" w:rsidRPr="004E5CEC" w:rsidRDefault="00E2436F" w:rsidP="005427C0">
      <w:pPr>
        <w:tabs>
          <w:tab w:val="left" w:pos="1960"/>
        </w:tabs>
        <w:ind w:left="1540"/>
        <w:rPr>
          <w:sz w:val="24"/>
          <w:szCs w:val="24"/>
        </w:rPr>
      </w:pPr>
      <w:r w:rsidRPr="004E5CEC">
        <w:rPr>
          <w:rFonts w:eastAsia="Times New Roman"/>
          <w:sz w:val="24"/>
          <w:szCs w:val="24"/>
        </w:rPr>
        <w:t>(c)</w:t>
      </w:r>
      <w:r w:rsidRPr="004E5CEC">
        <w:rPr>
          <w:sz w:val="24"/>
          <w:szCs w:val="24"/>
        </w:rPr>
        <w:tab/>
      </w:r>
      <w:r w:rsidRPr="004E5CEC">
        <w:rPr>
          <w:rFonts w:eastAsia="Times New Roman"/>
          <w:i/>
          <w:iCs/>
          <w:sz w:val="24"/>
          <w:szCs w:val="24"/>
        </w:rPr>
        <w:t xml:space="preserve">Cryptosporidium </w:t>
      </w:r>
      <w:r w:rsidRPr="004E5CEC">
        <w:rPr>
          <w:rFonts w:eastAsia="Times New Roman"/>
          <w:sz w:val="24"/>
          <w:szCs w:val="24"/>
        </w:rPr>
        <w:t>Treatment Compliance Dates.</w:t>
      </w:r>
    </w:p>
    <w:p w14:paraId="281A665D" w14:textId="77777777" w:rsidR="004647B9" w:rsidRPr="004E5CEC" w:rsidRDefault="004647B9" w:rsidP="005427C0">
      <w:pPr>
        <w:rPr>
          <w:sz w:val="24"/>
          <w:szCs w:val="24"/>
        </w:rPr>
      </w:pPr>
    </w:p>
    <w:p w14:paraId="281A665E" w14:textId="77777777" w:rsidR="004647B9" w:rsidRPr="004E5CEC" w:rsidRDefault="00E2436F" w:rsidP="005427C0">
      <w:pPr>
        <w:ind w:right="120"/>
        <w:jc w:val="center"/>
        <w:rPr>
          <w:sz w:val="24"/>
          <w:szCs w:val="24"/>
        </w:rPr>
      </w:pPr>
      <w:r w:rsidRPr="004E5CEC">
        <w:rPr>
          <w:rFonts w:eastAsia="Times New Roman"/>
          <w:sz w:val="24"/>
          <w:szCs w:val="24"/>
        </w:rPr>
        <w:t xml:space="preserve">310 CMR 22.20G:  </w:t>
      </w:r>
      <w:r w:rsidRPr="004E5CEC">
        <w:rPr>
          <w:rFonts w:eastAsia="Times New Roman"/>
          <w:i/>
          <w:iCs/>
          <w:sz w:val="24"/>
          <w:szCs w:val="24"/>
        </w:rPr>
        <w:t>Table 4</w:t>
      </w:r>
    </w:p>
    <w:p w14:paraId="281A6660" w14:textId="77777777" w:rsidR="004647B9" w:rsidRPr="004E5CEC" w:rsidRDefault="00E2436F" w:rsidP="005427C0">
      <w:pPr>
        <w:ind w:right="120"/>
        <w:jc w:val="center"/>
        <w:rPr>
          <w:sz w:val="24"/>
          <w:szCs w:val="24"/>
        </w:rPr>
      </w:pPr>
      <w:r w:rsidRPr="004E5CEC">
        <w:rPr>
          <w:rFonts w:eastAsia="Times New Roman"/>
          <w:i/>
          <w:iCs/>
          <w:sz w:val="24"/>
          <w:szCs w:val="24"/>
        </w:rPr>
        <w:t xml:space="preserve">Cryptosporidium </w:t>
      </w:r>
      <w:r w:rsidRPr="004E5CEC">
        <w:rPr>
          <w:rFonts w:eastAsia="Times New Roman"/>
          <w:sz w:val="24"/>
          <w:szCs w:val="24"/>
        </w:rPr>
        <w:t>TREATMENT COMPLIANCE DATES TABLE</w:t>
      </w:r>
    </w:p>
    <w:p w14:paraId="281A6661" w14:textId="77777777" w:rsidR="004647B9" w:rsidRPr="004E5CEC" w:rsidRDefault="004647B9" w:rsidP="005427C0">
      <w:pPr>
        <w:rPr>
          <w:sz w:val="24"/>
          <w:szCs w:val="24"/>
        </w:rPr>
      </w:pPr>
    </w:p>
    <w:tbl>
      <w:tblPr>
        <w:tblW w:w="9240" w:type="dxa"/>
        <w:tblInd w:w="1070" w:type="dxa"/>
        <w:tblLayout w:type="fixed"/>
        <w:tblCellMar>
          <w:left w:w="0" w:type="dxa"/>
          <w:right w:w="0" w:type="dxa"/>
        </w:tblCellMar>
        <w:tblLook w:val="04A0" w:firstRow="1" w:lastRow="0" w:firstColumn="1" w:lastColumn="0" w:noHBand="0" w:noVBand="1"/>
      </w:tblPr>
      <w:tblGrid>
        <w:gridCol w:w="4620"/>
        <w:gridCol w:w="4620"/>
      </w:tblGrid>
      <w:tr w:rsidR="007E40A3" w:rsidRPr="004E5CEC" w14:paraId="281A6664" w14:textId="77777777" w:rsidTr="007E40A3">
        <w:trPr>
          <w:trHeight w:val="584"/>
        </w:trPr>
        <w:tc>
          <w:tcPr>
            <w:tcW w:w="4620" w:type="dxa"/>
            <w:tcBorders>
              <w:top w:val="single" w:sz="8" w:space="0" w:color="auto"/>
              <w:left w:val="single" w:sz="8" w:space="0" w:color="auto"/>
              <w:bottom w:val="single" w:sz="4" w:space="0" w:color="auto"/>
              <w:right w:val="single" w:sz="8" w:space="0" w:color="auto"/>
            </w:tcBorders>
            <w:vAlign w:val="center"/>
          </w:tcPr>
          <w:p w14:paraId="281A6662" w14:textId="77777777" w:rsidR="007E40A3" w:rsidRPr="004E5CEC" w:rsidRDefault="007E40A3" w:rsidP="005427C0">
            <w:pPr>
              <w:ind w:left="40"/>
              <w:rPr>
                <w:sz w:val="24"/>
                <w:szCs w:val="24"/>
              </w:rPr>
            </w:pPr>
            <w:r w:rsidRPr="004E5CEC">
              <w:rPr>
                <w:rFonts w:eastAsia="Times New Roman"/>
                <w:sz w:val="24"/>
                <w:szCs w:val="24"/>
              </w:rPr>
              <w:t>Systems that serve …</w:t>
            </w:r>
          </w:p>
        </w:tc>
        <w:tc>
          <w:tcPr>
            <w:tcW w:w="4620" w:type="dxa"/>
            <w:tcBorders>
              <w:top w:val="single" w:sz="8" w:space="0" w:color="auto"/>
              <w:bottom w:val="single" w:sz="4" w:space="0" w:color="auto"/>
              <w:right w:val="single" w:sz="8" w:space="0" w:color="auto"/>
            </w:tcBorders>
            <w:vAlign w:val="center"/>
          </w:tcPr>
          <w:p w14:paraId="281A6663" w14:textId="1B588724" w:rsidR="007E40A3" w:rsidRPr="004E5CEC" w:rsidRDefault="007E40A3" w:rsidP="005427C0">
            <w:pPr>
              <w:ind w:left="20"/>
              <w:rPr>
                <w:sz w:val="24"/>
                <w:szCs w:val="24"/>
              </w:rPr>
            </w:pPr>
            <w:r w:rsidRPr="004E5CEC">
              <w:rPr>
                <w:rFonts w:eastAsia="Times New Roman"/>
                <w:sz w:val="24"/>
                <w:szCs w:val="24"/>
              </w:rPr>
              <w:t xml:space="preserve">Must comply with </w:t>
            </w:r>
            <w:r w:rsidRPr="004E5CEC">
              <w:rPr>
                <w:rFonts w:eastAsia="Times New Roman"/>
                <w:i/>
                <w:iCs/>
                <w:sz w:val="24"/>
                <w:szCs w:val="24"/>
              </w:rPr>
              <w:t>Cryptosporidium</w:t>
            </w:r>
            <w:r w:rsidRPr="004E5CEC">
              <w:rPr>
                <w:rFonts w:eastAsia="Times New Roman"/>
                <w:sz w:val="24"/>
                <w:szCs w:val="24"/>
              </w:rPr>
              <w:t xml:space="preserve"> treatment</w:t>
            </w:r>
            <w:r>
              <w:rPr>
                <w:rFonts w:eastAsia="Times New Roman"/>
                <w:sz w:val="24"/>
                <w:szCs w:val="24"/>
              </w:rPr>
              <w:t xml:space="preserve"> </w:t>
            </w:r>
            <w:r w:rsidRPr="004E5CEC">
              <w:rPr>
                <w:rFonts w:eastAsia="Times New Roman"/>
                <w:sz w:val="24"/>
                <w:szCs w:val="24"/>
              </w:rPr>
              <w:t>requirements no later than…*</w:t>
            </w:r>
          </w:p>
        </w:tc>
      </w:tr>
      <w:tr w:rsidR="007924A2" w:rsidRPr="004E5CEC" w14:paraId="281A666C" w14:textId="77777777" w:rsidTr="00DF6443">
        <w:trPr>
          <w:trHeight w:val="273"/>
        </w:trPr>
        <w:tc>
          <w:tcPr>
            <w:tcW w:w="4620" w:type="dxa"/>
            <w:tcBorders>
              <w:top w:val="single" w:sz="4" w:space="0" w:color="auto"/>
              <w:left w:val="single" w:sz="8" w:space="0" w:color="auto"/>
              <w:bottom w:val="single" w:sz="8" w:space="0" w:color="auto"/>
              <w:right w:val="single" w:sz="8" w:space="0" w:color="auto"/>
            </w:tcBorders>
            <w:vAlign w:val="bottom"/>
          </w:tcPr>
          <w:p w14:paraId="281A666A" w14:textId="54BB35A8" w:rsidR="007924A2" w:rsidRPr="007924A2" w:rsidRDefault="007924A2" w:rsidP="005427C0">
            <w:pPr>
              <w:pStyle w:val="ListParagraph"/>
              <w:numPr>
                <w:ilvl w:val="0"/>
                <w:numId w:val="942"/>
              </w:numPr>
              <w:ind w:left="360"/>
              <w:rPr>
                <w:sz w:val="24"/>
                <w:szCs w:val="24"/>
              </w:rPr>
            </w:pPr>
            <w:r w:rsidRPr="007924A2">
              <w:rPr>
                <w:rFonts w:eastAsia="Times New Roman"/>
                <w:sz w:val="24"/>
                <w:szCs w:val="24"/>
              </w:rPr>
              <w:t>At least 100,000 individuals</w:t>
            </w:r>
          </w:p>
        </w:tc>
        <w:tc>
          <w:tcPr>
            <w:tcW w:w="4620" w:type="dxa"/>
            <w:tcBorders>
              <w:top w:val="single" w:sz="4" w:space="0" w:color="auto"/>
              <w:bottom w:val="single" w:sz="8" w:space="0" w:color="auto"/>
              <w:right w:val="single" w:sz="8" w:space="0" w:color="auto"/>
            </w:tcBorders>
            <w:vAlign w:val="bottom"/>
          </w:tcPr>
          <w:p w14:paraId="281A666B" w14:textId="77777777" w:rsidR="007924A2" w:rsidRPr="004E5CEC" w:rsidRDefault="007924A2" w:rsidP="005427C0">
            <w:pPr>
              <w:ind w:left="20"/>
              <w:rPr>
                <w:sz w:val="24"/>
                <w:szCs w:val="24"/>
              </w:rPr>
            </w:pPr>
            <w:r w:rsidRPr="004E5CEC">
              <w:rPr>
                <w:rFonts w:eastAsia="Times New Roman"/>
                <w:sz w:val="24"/>
                <w:szCs w:val="24"/>
              </w:rPr>
              <w:t>April 1, 2012</w:t>
            </w:r>
          </w:p>
        </w:tc>
      </w:tr>
      <w:tr w:rsidR="007924A2" w:rsidRPr="004E5CEC" w14:paraId="281A6670" w14:textId="77777777" w:rsidTr="00DF6443">
        <w:trPr>
          <w:trHeight w:val="270"/>
        </w:trPr>
        <w:tc>
          <w:tcPr>
            <w:tcW w:w="4620" w:type="dxa"/>
            <w:tcBorders>
              <w:left w:val="single" w:sz="8" w:space="0" w:color="auto"/>
              <w:bottom w:val="single" w:sz="8" w:space="0" w:color="auto"/>
              <w:right w:val="single" w:sz="8" w:space="0" w:color="auto"/>
            </w:tcBorders>
            <w:vAlign w:val="bottom"/>
          </w:tcPr>
          <w:p w14:paraId="281A666E" w14:textId="77C9DC3B" w:rsidR="007924A2" w:rsidRPr="007924A2" w:rsidRDefault="007924A2" w:rsidP="005427C0">
            <w:pPr>
              <w:pStyle w:val="ListParagraph"/>
              <w:numPr>
                <w:ilvl w:val="0"/>
                <w:numId w:val="942"/>
              </w:numPr>
              <w:ind w:left="360"/>
              <w:rPr>
                <w:sz w:val="24"/>
                <w:szCs w:val="24"/>
              </w:rPr>
            </w:pPr>
            <w:r w:rsidRPr="007924A2">
              <w:rPr>
                <w:rFonts w:eastAsia="Times New Roman"/>
                <w:sz w:val="24"/>
                <w:szCs w:val="24"/>
              </w:rPr>
              <w:t>From 50,000 to 99,999 individuals</w:t>
            </w:r>
          </w:p>
        </w:tc>
        <w:tc>
          <w:tcPr>
            <w:tcW w:w="4620" w:type="dxa"/>
            <w:tcBorders>
              <w:bottom w:val="single" w:sz="8" w:space="0" w:color="auto"/>
              <w:right w:val="single" w:sz="8" w:space="0" w:color="auto"/>
            </w:tcBorders>
            <w:vAlign w:val="bottom"/>
          </w:tcPr>
          <w:p w14:paraId="281A666F" w14:textId="77777777" w:rsidR="007924A2" w:rsidRPr="004E5CEC" w:rsidRDefault="007924A2" w:rsidP="005427C0">
            <w:pPr>
              <w:ind w:left="20"/>
              <w:rPr>
                <w:sz w:val="24"/>
                <w:szCs w:val="24"/>
              </w:rPr>
            </w:pPr>
            <w:r w:rsidRPr="004E5CEC">
              <w:rPr>
                <w:rFonts w:eastAsia="Times New Roman"/>
                <w:sz w:val="24"/>
                <w:szCs w:val="24"/>
              </w:rPr>
              <w:t>October 1, 2012</w:t>
            </w:r>
          </w:p>
        </w:tc>
      </w:tr>
      <w:tr w:rsidR="007924A2" w:rsidRPr="004E5CEC" w14:paraId="281A6674" w14:textId="77777777" w:rsidTr="00DF6443">
        <w:trPr>
          <w:trHeight w:val="273"/>
        </w:trPr>
        <w:tc>
          <w:tcPr>
            <w:tcW w:w="4620" w:type="dxa"/>
            <w:tcBorders>
              <w:left w:val="single" w:sz="8" w:space="0" w:color="auto"/>
              <w:bottom w:val="single" w:sz="8" w:space="0" w:color="auto"/>
              <w:right w:val="single" w:sz="8" w:space="0" w:color="auto"/>
            </w:tcBorders>
            <w:vAlign w:val="bottom"/>
          </w:tcPr>
          <w:p w14:paraId="281A6672" w14:textId="11812CCA" w:rsidR="007924A2" w:rsidRPr="007924A2" w:rsidRDefault="007924A2" w:rsidP="005427C0">
            <w:pPr>
              <w:pStyle w:val="ListParagraph"/>
              <w:numPr>
                <w:ilvl w:val="0"/>
                <w:numId w:val="942"/>
              </w:numPr>
              <w:ind w:left="360"/>
              <w:rPr>
                <w:sz w:val="24"/>
                <w:szCs w:val="24"/>
              </w:rPr>
            </w:pPr>
            <w:r w:rsidRPr="007924A2">
              <w:rPr>
                <w:rFonts w:eastAsia="Times New Roman"/>
                <w:sz w:val="24"/>
                <w:szCs w:val="24"/>
              </w:rPr>
              <w:t>From 10,000 to 49,999 individuals</w:t>
            </w:r>
          </w:p>
        </w:tc>
        <w:tc>
          <w:tcPr>
            <w:tcW w:w="4620" w:type="dxa"/>
            <w:tcBorders>
              <w:bottom w:val="single" w:sz="8" w:space="0" w:color="auto"/>
              <w:right w:val="single" w:sz="8" w:space="0" w:color="auto"/>
            </w:tcBorders>
            <w:vAlign w:val="bottom"/>
          </w:tcPr>
          <w:p w14:paraId="281A6673" w14:textId="77777777" w:rsidR="007924A2" w:rsidRPr="004E5CEC" w:rsidRDefault="007924A2" w:rsidP="005427C0">
            <w:pPr>
              <w:ind w:left="20"/>
              <w:rPr>
                <w:sz w:val="24"/>
                <w:szCs w:val="24"/>
              </w:rPr>
            </w:pPr>
            <w:r w:rsidRPr="004E5CEC">
              <w:rPr>
                <w:rFonts w:eastAsia="Times New Roman"/>
                <w:sz w:val="24"/>
                <w:szCs w:val="24"/>
              </w:rPr>
              <w:t>October 1, 2013</w:t>
            </w:r>
          </w:p>
        </w:tc>
      </w:tr>
      <w:tr w:rsidR="00925CF9" w:rsidRPr="004E5CEC" w14:paraId="281A6678" w14:textId="77777777" w:rsidTr="00DF6443">
        <w:trPr>
          <w:trHeight w:val="270"/>
        </w:trPr>
        <w:tc>
          <w:tcPr>
            <w:tcW w:w="4620" w:type="dxa"/>
            <w:tcBorders>
              <w:left w:val="single" w:sz="8" w:space="0" w:color="auto"/>
              <w:bottom w:val="single" w:sz="8" w:space="0" w:color="auto"/>
              <w:right w:val="single" w:sz="8" w:space="0" w:color="auto"/>
            </w:tcBorders>
            <w:vAlign w:val="bottom"/>
          </w:tcPr>
          <w:p w14:paraId="281A6676" w14:textId="52CFD2A0" w:rsidR="00925CF9" w:rsidRPr="00925CF9" w:rsidRDefault="00925CF9" w:rsidP="005427C0">
            <w:pPr>
              <w:pStyle w:val="ListParagraph"/>
              <w:numPr>
                <w:ilvl w:val="0"/>
                <w:numId w:val="942"/>
              </w:numPr>
              <w:ind w:left="360"/>
              <w:rPr>
                <w:sz w:val="24"/>
                <w:szCs w:val="24"/>
              </w:rPr>
            </w:pPr>
            <w:r w:rsidRPr="00925CF9">
              <w:rPr>
                <w:rFonts w:eastAsia="Times New Roman"/>
                <w:sz w:val="24"/>
                <w:szCs w:val="24"/>
              </w:rPr>
              <w:t>Fewer than 10,000 individuals</w:t>
            </w:r>
          </w:p>
        </w:tc>
        <w:tc>
          <w:tcPr>
            <w:tcW w:w="4620" w:type="dxa"/>
            <w:tcBorders>
              <w:bottom w:val="single" w:sz="8" w:space="0" w:color="auto"/>
              <w:right w:val="single" w:sz="8" w:space="0" w:color="auto"/>
            </w:tcBorders>
            <w:vAlign w:val="bottom"/>
          </w:tcPr>
          <w:p w14:paraId="281A6677" w14:textId="77777777" w:rsidR="00925CF9" w:rsidRPr="004E5CEC" w:rsidRDefault="00925CF9" w:rsidP="005427C0">
            <w:pPr>
              <w:ind w:left="20"/>
              <w:rPr>
                <w:sz w:val="24"/>
                <w:szCs w:val="24"/>
              </w:rPr>
            </w:pPr>
            <w:r w:rsidRPr="004E5CEC">
              <w:rPr>
                <w:rFonts w:eastAsia="Times New Roman"/>
                <w:sz w:val="24"/>
                <w:szCs w:val="24"/>
              </w:rPr>
              <w:t>October 1, 2014</w:t>
            </w:r>
          </w:p>
        </w:tc>
      </w:tr>
    </w:tbl>
    <w:p w14:paraId="281A6679" w14:textId="77777777" w:rsidR="004647B9" w:rsidRPr="004E5CEC" w:rsidRDefault="004647B9" w:rsidP="005427C0">
      <w:pPr>
        <w:rPr>
          <w:sz w:val="24"/>
          <w:szCs w:val="24"/>
        </w:rPr>
      </w:pPr>
    </w:p>
    <w:p w14:paraId="281A667A" w14:textId="77777777" w:rsidR="004647B9" w:rsidRPr="004E5CEC" w:rsidRDefault="00E2436F" w:rsidP="005427C0">
      <w:pPr>
        <w:numPr>
          <w:ilvl w:val="0"/>
          <w:numId w:val="752"/>
        </w:numPr>
        <w:tabs>
          <w:tab w:val="left" w:pos="180"/>
        </w:tabs>
        <w:ind w:left="180" w:right="120" w:hanging="171"/>
        <w:rPr>
          <w:rFonts w:eastAsia="Times New Roman"/>
          <w:sz w:val="24"/>
          <w:szCs w:val="24"/>
        </w:rPr>
      </w:pPr>
      <w:r w:rsidRPr="004E5CEC">
        <w:rPr>
          <w:rFonts w:eastAsia="Times New Roman"/>
          <w:sz w:val="24"/>
          <w:szCs w:val="24"/>
        </w:rPr>
        <w:t>The Department may allow up to an additional two years for complying with the treatment requirement for systems making capital improvements.</w:t>
      </w:r>
    </w:p>
    <w:p w14:paraId="281A667B" w14:textId="77777777" w:rsidR="004647B9" w:rsidRPr="004E5CEC" w:rsidRDefault="004647B9" w:rsidP="005427C0">
      <w:pPr>
        <w:rPr>
          <w:rFonts w:eastAsia="Times New Roman"/>
          <w:sz w:val="24"/>
          <w:szCs w:val="24"/>
        </w:rPr>
      </w:pPr>
    </w:p>
    <w:p w14:paraId="281A667C" w14:textId="77777777" w:rsidR="004647B9" w:rsidRPr="004E5CEC" w:rsidRDefault="00E2436F" w:rsidP="005427C0">
      <w:pPr>
        <w:numPr>
          <w:ilvl w:val="1"/>
          <w:numId w:val="752"/>
        </w:numPr>
        <w:tabs>
          <w:tab w:val="left" w:pos="2043"/>
        </w:tabs>
        <w:ind w:left="1540" w:right="120" w:hanging="5"/>
        <w:jc w:val="both"/>
        <w:rPr>
          <w:rFonts w:eastAsia="Times New Roman"/>
          <w:sz w:val="24"/>
          <w:szCs w:val="24"/>
        </w:rPr>
      </w:pPr>
      <w:r w:rsidRPr="004E5CEC">
        <w:rPr>
          <w:rFonts w:eastAsia="Times New Roman"/>
          <w:sz w:val="24"/>
          <w:szCs w:val="24"/>
        </w:rPr>
        <w:t xml:space="preserve">If the bin classification for a filtered system changes following the second round of source water monitoring, as determined under 310 CMR 22.20G(11)(d), the system must provide the level of treatment for </w:t>
      </w:r>
      <w:r w:rsidRPr="004E5CEC">
        <w:rPr>
          <w:rFonts w:eastAsia="Times New Roman"/>
          <w:i/>
          <w:iCs/>
          <w:sz w:val="24"/>
          <w:szCs w:val="24"/>
        </w:rPr>
        <w:t>Cryptosporidium</w:t>
      </w:r>
      <w:r w:rsidRPr="004E5CEC">
        <w:rPr>
          <w:rFonts w:eastAsia="Times New Roman"/>
          <w:sz w:val="24"/>
          <w:szCs w:val="24"/>
        </w:rPr>
        <w:t xml:space="preserve"> required under 310 CMR 22.20G(12) on a schedule the Department approves.</w:t>
      </w:r>
    </w:p>
    <w:p w14:paraId="281A667D" w14:textId="77777777" w:rsidR="004647B9" w:rsidRDefault="004647B9" w:rsidP="005427C0">
      <w:pPr>
        <w:sectPr w:rsidR="004647B9" w:rsidSect="00EF630C">
          <w:pgSz w:w="12240" w:h="20180"/>
          <w:pgMar w:top="708" w:right="1320" w:bottom="1440" w:left="620" w:header="0" w:footer="0" w:gutter="0"/>
          <w:cols w:space="720"/>
        </w:sectPr>
      </w:pPr>
    </w:p>
    <w:p w14:paraId="281A667E" w14:textId="77777777" w:rsidR="004647B9" w:rsidRDefault="00E2436F">
      <w:pPr>
        <w:tabs>
          <w:tab w:val="left" w:pos="160"/>
        </w:tabs>
        <w:jc w:val="center"/>
        <w:rPr>
          <w:sz w:val="20"/>
          <w:szCs w:val="20"/>
        </w:rPr>
      </w:pPr>
      <w:bookmarkStart w:id="299" w:name="page303"/>
      <w:bookmarkEnd w:id="29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67F" w14:textId="77777777" w:rsidR="004647B9" w:rsidRPr="005427C0" w:rsidRDefault="004647B9" w:rsidP="005427C0">
      <w:pPr>
        <w:rPr>
          <w:sz w:val="20"/>
          <w:szCs w:val="20"/>
        </w:rPr>
      </w:pPr>
    </w:p>
    <w:p w14:paraId="7F10AA6B" w14:textId="77777777" w:rsidR="005427C0" w:rsidRPr="005427C0" w:rsidRDefault="005427C0" w:rsidP="005427C0">
      <w:pPr>
        <w:rPr>
          <w:sz w:val="20"/>
          <w:szCs w:val="20"/>
        </w:rPr>
      </w:pPr>
    </w:p>
    <w:p w14:paraId="281A6680" w14:textId="77777777" w:rsidR="004647B9" w:rsidRPr="00EE4D88" w:rsidRDefault="00E2436F" w:rsidP="005427C0">
      <w:pPr>
        <w:tabs>
          <w:tab w:val="left" w:pos="940"/>
        </w:tabs>
        <w:rPr>
          <w:sz w:val="24"/>
          <w:szCs w:val="24"/>
        </w:rPr>
      </w:pPr>
      <w:r w:rsidRPr="00EE4D88">
        <w:rPr>
          <w:rFonts w:eastAsia="Times New Roman"/>
          <w:sz w:val="24"/>
          <w:szCs w:val="24"/>
        </w:rPr>
        <w:t>22.20G:</w:t>
      </w:r>
      <w:r w:rsidRPr="00EE4D88">
        <w:rPr>
          <w:sz w:val="24"/>
          <w:szCs w:val="24"/>
        </w:rPr>
        <w:tab/>
      </w:r>
      <w:r w:rsidRPr="00EE4D88">
        <w:rPr>
          <w:rFonts w:eastAsia="Times New Roman"/>
          <w:sz w:val="24"/>
          <w:szCs w:val="24"/>
        </w:rPr>
        <w:t>continued</w:t>
      </w:r>
    </w:p>
    <w:p w14:paraId="281A6681" w14:textId="77777777" w:rsidR="004647B9" w:rsidRPr="005427C0" w:rsidRDefault="004647B9" w:rsidP="005427C0">
      <w:pPr>
        <w:rPr>
          <w:sz w:val="20"/>
          <w:szCs w:val="20"/>
        </w:rPr>
      </w:pPr>
    </w:p>
    <w:p w14:paraId="281A6682" w14:textId="77777777" w:rsidR="004647B9" w:rsidRDefault="00E2436F" w:rsidP="005427C0">
      <w:pPr>
        <w:numPr>
          <w:ilvl w:val="1"/>
          <w:numId w:val="753"/>
        </w:numPr>
        <w:tabs>
          <w:tab w:val="left" w:pos="2083"/>
        </w:tabs>
        <w:ind w:left="1560" w:hanging="5"/>
        <w:jc w:val="both"/>
        <w:rPr>
          <w:rFonts w:eastAsia="Times New Roman"/>
          <w:sz w:val="24"/>
          <w:szCs w:val="24"/>
        </w:rPr>
      </w:pPr>
      <w:r>
        <w:rPr>
          <w:rFonts w:eastAsia="Times New Roman"/>
          <w:sz w:val="24"/>
          <w:szCs w:val="24"/>
        </w:rPr>
        <w:t xml:space="preserve">If the mean </w:t>
      </w:r>
      <w:r>
        <w:rPr>
          <w:rFonts w:eastAsia="Times New Roman"/>
          <w:i/>
          <w:iCs/>
          <w:sz w:val="24"/>
          <w:szCs w:val="24"/>
        </w:rPr>
        <w:t>Cryptosporidium</w:t>
      </w:r>
      <w:r>
        <w:rPr>
          <w:rFonts w:eastAsia="Times New Roman"/>
          <w:sz w:val="24"/>
          <w:szCs w:val="24"/>
        </w:rPr>
        <w:t xml:space="preserve"> level for an unfiltered system changes following the second round of monitoring, as determined under 310 CMR 22.20G(13)(a)2. and if the system must provide a different level of </w:t>
      </w:r>
      <w:r>
        <w:rPr>
          <w:rFonts w:eastAsia="Times New Roman"/>
          <w:i/>
          <w:iCs/>
          <w:sz w:val="24"/>
          <w:szCs w:val="24"/>
        </w:rPr>
        <w:t>Cryptosporidium</w:t>
      </w:r>
      <w:r>
        <w:rPr>
          <w:rFonts w:eastAsia="Times New Roman"/>
          <w:sz w:val="24"/>
          <w:szCs w:val="24"/>
        </w:rPr>
        <w:t xml:space="preserve"> treatment under 310 CMR 22.20G(13) due to this change, the system must meet this treatment requirement on a schedule the Department approves.</w:t>
      </w:r>
    </w:p>
    <w:p w14:paraId="281A6683" w14:textId="77777777" w:rsidR="004647B9" w:rsidRDefault="004647B9" w:rsidP="005427C0">
      <w:pPr>
        <w:rPr>
          <w:rFonts w:eastAsia="Times New Roman"/>
          <w:sz w:val="24"/>
          <w:szCs w:val="24"/>
        </w:rPr>
      </w:pPr>
    </w:p>
    <w:p w14:paraId="281A6684" w14:textId="77777777" w:rsidR="004647B9" w:rsidRDefault="00E2436F" w:rsidP="005427C0">
      <w:pPr>
        <w:numPr>
          <w:ilvl w:val="0"/>
          <w:numId w:val="754"/>
        </w:numPr>
        <w:tabs>
          <w:tab w:val="left" w:pos="1780"/>
        </w:tabs>
        <w:ind w:left="1780" w:hanging="580"/>
        <w:rPr>
          <w:rFonts w:eastAsia="Times New Roman"/>
          <w:sz w:val="24"/>
          <w:szCs w:val="24"/>
        </w:rPr>
      </w:pPr>
      <w:r>
        <w:rPr>
          <w:rFonts w:eastAsia="Times New Roman"/>
          <w:sz w:val="24"/>
          <w:szCs w:val="24"/>
          <w:u w:val="single"/>
        </w:rPr>
        <w:t>Requirements for Uncovered Finished Water Storage Facilities</w:t>
      </w:r>
      <w:r>
        <w:rPr>
          <w:rFonts w:eastAsia="Times New Roman"/>
          <w:sz w:val="24"/>
          <w:szCs w:val="24"/>
        </w:rPr>
        <w:t>.</w:t>
      </w:r>
    </w:p>
    <w:p w14:paraId="281A6686" w14:textId="77777777" w:rsidR="004647B9" w:rsidRDefault="00E2436F" w:rsidP="005427C0">
      <w:pPr>
        <w:numPr>
          <w:ilvl w:val="1"/>
          <w:numId w:val="754"/>
        </w:numPr>
        <w:tabs>
          <w:tab w:val="left" w:pos="2134"/>
        </w:tabs>
        <w:ind w:left="1560" w:hanging="5"/>
        <w:rPr>
          <w:rFonts w:eastAsia="Times New Roman"/>
          <w:sz w:val="24"/>
          <w:szCs w:val="24"/>
        </w:rPr>
      </w:pPr>
      <w:r>
        <w:rPr>
          <w:rFonts w:eastAsia="Times New Roman"/>
          <w:sz w:val="24"/>
          <w:szCs w:val="24"/>
        </w:rPr>
        <w:t>Systems using uncovered finished water storage facilities must comply with the conditions of 310 CMR 22.20G(15).</w:t>
      </w:r>
    </w:p>
    <w:p w14:paraId="281A6687" w14:textId="77777777" w:rsidR="004647B9" w:rsidRDefault="00E2436F" w:rsidP="005427C0">
      <w:pPr>
        <w:numPr>
          <w:ilvl w:val="1"/>
          <w:numId w:val="754"/>
        </w:numPr>
        <w:tabs>
          <w:tab w:val="left" w:pos="2077"/>
        </w:tabs>
        <w:ind w:left="1560" w:hanging="5"/>
        <w:rPr>
          <w:rFonts w:eastAsia="Times New Roman"/>
          <w:sz w:val="24"/>
          <w:szCs w:val="24"/>
        </w:rPr>
      </w:pPr>
      <w:r>
        <w:rPr>
          <w:rFonts w:eastAsia="Times New Roman"/>
          <w:sz w:val="24"/>
          <w:szCs w:val="24"/>
        </w:rPr>
        <w:t>Systems must notify the Department of the use of each Uncovered Finished Water Storage Facility no later than April 1, 2008.</w:t>
      </w:r>
    </w:p>
    <w:p w14:paraId="281A6688" w14:textId="77777777" w:rsidR="004647B9" w:rsidRDefault="00E2436F" w:rsidP="005427C0">
      <w:pPr>
        <w:numPr>
          <w:ilvl w:val="1"/>
          <w:numId w:val="754"/>
        </w:numPr>
        <w:tabs>
          <w:tab w:val="left" w:pos="2141"/>
        </w:tabs>
        <w:ind w:left="1560" w:hanging="5"/>
        <w:jc w:val="both"/>
        <w:rPr>
          <w:rFonts w:eastAsia="Times New Roman"/>
          <w:sz w:val="24"/>
          <w:szCs w:val="24"/>
        </w:rPr>
      </w:pPr>
      <w:r>
        <w:rPr>
          <w:rFonts w:eastAsia="Times New Roman"/>
          <w:sz w:val="24"/>
          <w:szCs w:val="24"/>
        </w:rPr>
        <w:t>Systems must meet the conditions of 310 CMR 22.20G(15)(c)1. or 2. for each Uncovered Finished Water Storage Facility or be in compliance with a Department-approved schedule to meet these conditions no later than April 1, 2009.</w:t>
      </w:r>
    </w:p>
    <w:p w14:paraId="281A668A" w14:textId="77777777" w:rsidR="004647B9" w:rsidRDefault="00E2436F" w:rsidP="005427C0">
      <w:pPr>
        <w:numPr>
          <w:ilvl w:val="2"/>
          <w:numId w:val="754"/>
        </w:numPr>
        <w:tabs>
          <w:tab w:val="left" w:pos="2280"/>
        </w:tabs>
        <w:ind w:left="2280" w:hanging="365"/>
        <w:rPr>
          <w:rFonts w:eastAsia="Times New Roman"/>
          <w:sz w:val="24"/>
          <w:szCs w:val="24"/>
        </w:rPr>
      </w:pPr>
      <w:r>
        <w:rPr>
          <w:rFonts w:eastAsia="Times New Roman"/>
          <w:sz w:val="24"/>
          <w:szCs w:val="24"/>
        </w:rPr>
        <w:t>Systems must cover any Uncovered Finished Water Storage Facility.</w:t>
      </w:r>
    </w:p>
    <w:p w14:paraId="281A668C" w14:textId="77777777" w:rsidR="004647B9" w:rsidRDefault="00E2436F" w:rsidP="00905F85">
      <w:pPr>
        <w:numPr>
          <w:ilvl w:val="2"/>
          <w:numId w:val="754"/>
        </w:numPr>
        <w:tabs>
          <w:tab w:val="left" w:pos="2275"/>
        </w:tabs>
        <w:ind w:left="1920" w:hanging="5"/>
        <w:jc w:val="both"/>
        <w:rPr>
          <w:rFonts w:eastAsia="Times New Roman"/>
          <w:sz w:val="24"/>
          <w:szCs w:val="24"/>
        </w:rPr>
      </w:pPr>
      <w:r>
        <w:rPr>
          <w:rFonts w:eastAsia="Times New Roman"/>
          <w:sz w:val="24"/>
          <w:szCs w:val="24"/>
        </w:rPr>
        <w:t xml:space="preserve">Systems must treat the discharge from the Uncovered Finished Water Storage Facility to the Distribution System to achieve inactivation and/or removal of at least 4-log Virus, 3-log </w:t>
      </w:r>
      <w:r>
        <w:rPr>
          <w:rFonts w:eastAsia="Times New Roman"/>
          <w:i/>
          <w:iCs/>
          <w:sz w:val="24"/>
          <w:szCs w:val="24"/>
        </w:rPr>
        <w:t>Giardia lamblia</w:t>
      </w:r>
      <w:r>
        <w:rPr>
          <w:rFonts w:eastAsia="Times New Roman"/>
          <w:sz w:val="24"/>
          <w:szCs w:val="24"/>
        </w:rPr>
        <w:t xml:space="preserve">, and 2-log </w:t>
      </w:r>
      <w:r>
        <w:rPr>
          <w:rFonts w:eastAsia="Times New Roman"/>
          <w:i/>
          <w:iCs/>
          <w:sz w:val="24"/>
          <w:szCs w:val="24"/>
        </w:rPr>
        <w:t>Cryptosporidium</w:t>
      </w:r>
      <w:r>
        <w:rPr>
          <w:rFonts w:eastAsia="Times New Roman"/>
          <w:sz w:val="24"/>
          <w:szCs w:val="24"/>
        </w:rPr>
        <w:t xml:space="preserve"> using a protocol approved by the Department.</w:t>
      </w:r>
    </w:p>
    <w:p w14:paraId="281A668D" w14:textId="77777777" w:rsidR="004647B9" w:rsidRDefault="00E2436F" w:rsidP="005427C0">
      <w:pPr>
        <w:numPr>
          <w:ilvl w:val="1"/>
          <w:numId w:val="754"/>
        </w:numPr>
        <w:tabs>
          <w:tab w:val="left" w:pos="2013"/>
        </w:tabs>
        <w:ind w:left="1560" w:hanging="5"/>
        <w:rPr>
          <w:rFonts w:eastAsia="Times New Roman"/>
          <w:sz w:val="24"/>
          <w:szCs w:val="24"/>
        </w:rPr>
      </w:pPr>
      <w:r>
        <w:rPr>
          <w:rFonts w:eastAsia="Times New Roman"/>
          <w:sz w:val="24"/>
          <w:szCs w:val="24"/>
        </w:rPr>
        <w:t>Failure to comply with the requirements of 310 CMR 22.20G(15) is a violation of the Treatment Technique requirement.</w:t>
      </w:r>
    </w:p>
    <w:p w14:paraId="281A668E" w14:textId="77777777" w:rsidR="004647B9" w:rsidRDefault="004647B9" w:rsidP="005427C0">
      <w:pPr>
        <w:rPr>
          <w:rFonts w:eastAsia="Times New Roman"/>
          <w:sz w:val="24"/>
          <w:szCs w:val="24"/>
        </w:rPr>
      </w:pPr>
    </w:p>
    <w:p w14:paraId="281A668F" w14:textId="77777777" w:rsidR="004647B9" w:rsidRDefault="00E2436F" w:rsidP="005427C0">
      <w:pPr>
        <w:numPr>
          <w:ilvl w:val="0"/>
          <w:numId w:val="754"/>
        </w:numPr>
        <w:tabs>
          <w:tab w:val="left" w:pos="1780"/>
        </w:tabs>
        <w:ind w:left="1780" w:hanging="580"/>
        <w:rPr>
          <w:rFonts w:eastAsia="Times New Roman"/>
          <w:sz w:val="24"/>
          <w:szCs w:val="24"/>
        </w:rPr>
      </w:pPr>
      <w:r>
        <w:rPr>
          <w:rFonts w:eastAsia="Times New Roman"/>
          <w:sz w:val="24"/>
          <w:szCs w:val="24"/>
          <w:u w:val="single"/>
        </w:rPr>
        <w:t>Reporting Requirements</w:t>
      </w:r>
      <w:r>
        <w:rPr>
          <w:rFonts w:eastAsia="Times New Roman"/>
          <w:sz w:val="24"/>
          <w:szCs w:val="24"/>
        </w:rPr>
        <w:t>.</w:t>
      </w:r>
    </w:p>
    <w:p w14:paraId="281A6691" w14:textId="77777777" w:rsidR="004647B9" w:rsidRDefault="00E2436F" w:rsidP="005427C0">
      <w:pPr>
        <w:numPr>
          <w:ilvl w:val="1"/>
          <w:numId w:val="754"/>
        </w:numPr>
        <w:tabs>
          <w:tab w:val="left" w:pos="1997"/>
        </w:tabs>
        <w:ind w:left="1560" w:hanging="5"/>
        <w:jc w:val="both"/>
        <w:rPr>
          <w:rFonts w:eastAsia="Times New Roman"/>
          <w:sz w:val="24"/>
          <w:szCs w:val="24"/>
        </w:rPr>
      </w:pPr>
      <w:r>
        <w:rPr>
          <w:rFonts w:eastAsia="Times New Roman"/>
          <w:sz w:val="24"/>
          <w:szCs w:val="24"/>
        </w:rPr>
        <w:t>Systems must report sampling schedules under 310 CMR 22.20G(3) and source water monitoring results under 310 CMR 22.20G(7) unless they notify the Department that they will not conduct source water monitoring due to meeting the criteria of 310 CMR 22.20G(2)(d).</w:t>
      </w:r>
    </w:p>
    <w:p w14:paraId="281A6692" w14:textId="77777777" w:rsidR="004647B9" w:rsidRDefault="00E2436F" w:rsidP="005427C0">
      <w:pPr>
        <w:numPr>
          <w:ilvl w:val="1"/>
          <w:numId w:val="754"/>
        </w:numPr>
        <w:tabs>
          <w:tab w:val="left" w:pos="2121"/>
        </w:tabs>
        <w:ind w:left="1560" w:hanging="5"/>
        <w:rPr>
          <w:rFonts w:eastAsia="Times New Roman"/>
          <w:sz w:val="24"/>
          <w:szCs w:val="24"/>
        </w:rPr>
      </w:pPr>
      <w:r>
        <w:rPr>
          <w:rFonts w:eastAsia="Times New Roman"/>
          <w:sz w:val="24"/>
          <w:szCs w:val="24"/>
        </w:rPr>
        <w:t>Systems must report the use of uncovered finished water storage facilities to the Department as described in 310 CMR 22.20G(15).</w:t>
      </w:r>
    </w:p>
    <w:p w14:paraId="281A6695" w14:textId="05AC3C5E" w:rsidR="004647B9" w:rsidRPr="007F1581" w:rsidRDefault="00E2436F" w:rsidP="005427C0">
      <w:pPr>
        <w:numPr>
          <w:ilvl w:val="1"/>
          <w:numId w:val="754"/>
        </w:numPr>
        <w:tabs>
          <w:tab w:val="left" w:pos="2020"/>
        </w:tabs>
        <w:ind w:left="1555"/>
        <w:rPr>
          <w:rFonts w:eastAsia="Times New Roman"/>
          <w:sz w:val="24"/>
          <w:szCs w:val="24"/>
        </w:rPr>
      </w:pPr>
      <w:r>
        <w:rPr>
          <w:rFonts w:eastAsia="Times New Roman"/>
          <w:sz w:val="24"/>
          <w:szCs w:val="24"/>
        </w:rPr>
        <w:t xml:space="preserve">Filtered systems must report their </w:t>
      </w:r>
      <w:r>
        <w:rPr>
          <w:rFonts w:eastAsia="Times New Roman"/>
          <w:i/>
          <w:iCs/>
          <w:sz w:val="24"/>
          <w:szCs w:val="24"/>
        </w:rPr>
        <w:t>Cryptosporidium</w:t>
      </w:r>
      <w:r>
        <w:rPr>
          <w:rFonts w:eastAsia="Times New Roman"/>
          <w:sz w:val="24"/>
          <w:szCs w:val="24"/>
        </w:rPr>
        <w:t xml:space="preserve"> bin classification as described in</w:t>
      </w:r>
      <w:r w:rsidR="007F1581">
        <w:rPr>
          <w:rFonts w:eastAsia="Times New Roman"/>
          <w:sz w:val="24"/>
          <w:szCs w:val="24"/>
        </w:rPr>
        <w:t xml:space="preserve"> </w:t>
      </w:r>
      <w:r w:rsidRPr="007F1581">
        <w:rPr>
          <w:rFonts w:eastAsia="Times New Roman"/>
          <w:sz w:val="24"/>
          <w:szCs w:val="24"/>
        </w:rPr>
        <w:t>310 CMR 22.20G(11).</w:t>
      </w:r>
    </w:p>
    <w:p w14:paraId="281A6697" w14:textId="77777777" w:rsidR="004647B9" w:rsidRDefault="00E2436F" w:rsidP="005427C0">
      <w:pPr>
        <w:numPr>
          <w:ilvl w:val="1"/>
          <w:numId w:val="754"/>
        </w:numPr>
        <w:tabs>
          <w:tab w:val="left" w:pos="2106"/>
        </w:tabs>
        <w:ind w:left="1560" w:hanging="5"/>
        <w:rPr>
          <w:rFonts w:eastAsia="Times New Roman"/>
          <w:sz w:val="24"/>
          <w:szCs w:val="24"/>
        </w:rPr>
      </w:pPr>
      <w:r>
        <w:rPr>
          <w:rFonts w:eastAsia="Times New Roman"/>
          <w:sz w:val="24"/>
          <w:szCs w:val="24"/>
        </w:rPr>
        <w:t xml:space="preserve">Unfiltered systems must report their mean source water </w:t>
      </w:r>
      <w:r>
        <w:rPr>
          <w:rFonts w:eastAsia="Times New Roman"/>
          <w:i/>
          <w:iCs/>
          <w:sz w:val="24"/>
          <w:szCs w:val="24"/>
        </w:rPr>
        <w:t>Cryptosporidium</w:t>
      </w:r>
      <w:r>
        <w:rPr>
          <w:rFonts w:eastAsia="Times New Roman"/>
          <w:sz w:val="24"/>
          <w:szCs w:val="24"/>
        </w:rPr>
        <w:t xml:space="preserve"> level as described in 310 CMR 22.20G(13).</w:t>
      </w:r>
    </w:p>
    <w:p w14:paraId="281A6698" w14:textId="77777777" w:rsidR="004647B9" w:rsidRDefault="00E2436F" w:rsidP="005427C0">
      <w:pPr>
        <w:numPr>
          <w:ilvl w:val="1"/>
          <w:numId w:val="754"/>
        </w:numPr>
        <w:tabs>
          <w:tab w:val="left" w:pos="2119"/>
        </w:tabs>
        <w:ind w:left="1560" w:hanging="5"/>
        <w:jc w:val="both"/>
        <w:rPr>
          <w:rFonts w:eastAsia="Times New Roman"/>
          <w:sz w:val="24"/>
          <w:szCs w:val="24"/>
        </w:rPr>
      </w:pPr>
      <w:r>
        <w:rPr>
          <w:rFonts w:eastAsia="Times New Roman"/>
          <w:sz w:val="24"/>
          <w:szCs w:val="24"/>
        </w:rPr>
        <w:t>Systems must report Disinfection Profiles and benchmarks to the Department as described in 310 CMR 22.20G(9) through (10) prior to making a significant change in disinfection practice.</w:t>
      </w:r>
    </w:p>
    <w:p w14:paraId="281A669A" w14:textId="77777777" w:rsidR="004647B9" w:rsidRDefault="00E2436F" w:rsidP="005427C0">
      <w:pPr>
        <w:numPr>
          <w:ilvl w:val="1"/>
          <w:numId w:val="754"/>
        </w:numPr>
        <w:tabs>
          <w:tab w:val="left" w:pos="1978"/>
        </w:tabs>
        <w:ind w:left="1560" w:hanging="5"/>
        <w:jc w:val="both"/>
        <w:rPr>
          <w:rFonts w:eastAsia="Times New Roman"/>
          <w:sz w:val="24"/>
          <w:szCs w:val="24"/>
        </w:rPr>
      </w:pPr>
      <w:r>
        <w:rPr>
          <w:rFonts w:eastAsia="Times New Roman"/>
          <w:sz w:val="24"/>
          <w:szCs w:val="24"/>
        </w:rPr>
        <w:t>Systems must report to the Department in accordance with the following table for any microbial toolbox options used to comply with treatment requirements under 310 CMR 22.20G(12) or (13). Alternatively, the Department may approve a system to certify operation within required parameters for treatment credit rather than reporting monthly operational data for toolbox options.</w:t>
      </w:r>
    </w:p>
    <w:p w14:paraId="281A669B" w14:textId="77777777" w:rsidR="004647B9" w:rsidRPr="00BC6588" w:rsidRDefault="004647B9" w:rsidP="005427C0">
      <w:pPr>
        <w:rPr>
          <w:sz w:val="24"/>
          <w:szCs w:val="24"/>
        </w:rPr>
      </w:pPr>
    </w:p>
    <w:p w14:paraId="281A669C" w14:textId="77777777" w:rsidR="004647B9" w:rsidRPr="00BC6588" w:rsidRDefault="00E2436F" w:rsidP="005427C0">
      <w:pPr>
        <w:ind w:right="-19"/>
        <w:jc w:val="center"/>
        <w:rPr>
          <w:sz w:val="24"/>
          <w:szCs w:val="24"/>
        </w:rPr>
      </w:pPr>
      <w:r w:rsidRPr="00BC6588">
        <w:rPr>
          <w:rFonts w:eastAsia="Times New Roman"/>
          <w:sz w:val="24"/>
          <w:szCs w:val="24"/>
        </w:rPr>
        <w:t xml:space="preserve">310 CMR 22.20G:  </w:t>
      </w:r>
      <w:r w:rsidRPr="00BC6588">
        <w:rPr>
          <w:rFonts w:eastAsia="Times New Roman"/>
          <w:i/>
          <w:iCs/>
          <w:sz w:val="24"/>
          <w:szCs w:val="24"/>
        </w:rPr>
        <w:t>Table 5</w:t>
      </w:r>
    </w:p>
    <w:p w14:paraId="281A669E" w14:textId="77777777" w:rsidR="004647B9" w:rsidRPr="00BC6588" w:rsidRDefault="00E2436F" w:rsidP="005427C0">
      <w:pPr>
        <w:ind w:right="-19"/>
        <w:jc w:val="center"/>
        <w:rPr>
          <w:sz w:val="24"/>
          <w:szCs w:val="24"/>
        </w:rPr>
      </w:pPr>
      <w:r w:rsidRPr="00BC6588">
        <w:rPr>
          <w:rFonts w:eastAsia="Times New Roman"/>
          <w:sz w:val="24"/>
          <w:szCs w:val="24"/>
        </w:rPr>
        <w:t>MICROBIAL TOOLBOX REPORTING REQUIREMENTS</w:t>
      </w:r>
    </w:p>
    <w:p w14:paraId="281A669F" w14:textId="77777777" w:rsidR="004647B9" w:rsidRPr="00B937F8" w:rsidRDefault="004647B9" w:rsidP="005427C0">
      <w:pPr>
        <w:rPr>
          <w:sz w:val="24"/>
          <w:szCs w:val="24"/>
        </w:rPr>
      </w:pPr>
    </w:p>
    <w:tbl>
      <w:tblPr>
        <w:tblW w:w="10160" w:type="dxa"/>
        <w:tblInd w:w="50" w:type="dxa"/>
        <w:tblLayout w:type="fixed"/>
        <w:tblCellMar>
          <w:left w:w="0" w:type="dxa"/>
          <w:right w:w="0" w:type="dxa"/>
        </w:tblCellMar>
        <w:tblLook w:val="04A0" w:firstRow="1" w:lastRow="0" w:firstColumn="1" w:lastColumn="0" w:noHBand="0" w:noVBand="1"/>
      </w:tblPr>
      <w:tblGrid>
        <w:gridCol w:w="1800"/>
        <w:gridCol w:w="3960"/>
        <w:gridCol w:w="4400"/>
      </w:tblGrid>
      <w:tr w:rsidR="004647B9" w:rsidRPr="00C92A7D" w14:paraId="281A66A3" w14:textId="77777777" w:rsidTr="00412895">
        <w:trPr>
          <w:trHeight w:val="282"/>
        </w:trPr>
        <w:tc>
          <w:tcPr>
            <w:tcW w:w="1800" w:type="dxa"/>
            <w:tcBorders>
              <w:top w:val="single" w:sz="8" w:space="0" w:color="auto"/>
              <w:left w:val="single" w:sz="8" w:space="0" w:color="auto"/>
              <w:bottom w:val="single" w:sz="8" w:space="0" w:color="auto"/>
              <w:right w:val="single" w:sz="8" w:space="0" w:color="auto"/>
            </w:tcBorders>
            <w:vAlign w:val="center"/>
          </w:tcPr>
          <w:p w14:paraId="281A66A0" w14:textId="77777777" w:rsidR="004647B9" w:rsidRPr="00C92A7D" w:rsidRDefault="00E2436F" w:rsidP="005427C0">
            <w:pPr>
              <w:jc w:val="center"/>
              <w:rPr>
                <w:sz w:val="20"/>
                <w:szCs w:val="20"/>
              </w:rPr>
            </w:pPr>
            <w:r w:rsidRPr="00C92A7D">
              <w:rPr>
                <w:rFonts w:eastAsia="Times New Roman"/>
                <w:sz w:val="20"/>
                <w:szCs w:val="20"/>
              </w:rPr>
              <w:t>Toolbox option</w:t>
            </w:r>
          </w:p>
        </w:tc>
        <w:tc>
          <w:tcPr>
            <w:tcW w:w="3960" w:type="dxa"/>
            <w:tcBorders>
              <w:top w:val="single" w:sz="8" w:space="0" w:color="auto"/>
              <w:bottom w:val="single" w:sz="8" w:space="0" w:color="auto"/>
              <w:right w:val="single" w:sz="8" w:space="0" w:color="auto"/>
            </w:tcBorders>
            <w:vAlign w:val="center"/>
          </w:tcPr>
          <w:p w14:paraId="281A66A1" w14:textId="77777777" w:rsidR="004647B9" w:rsidRPr="00C92A7D" w:rsidRDefault="00E2436F" w:rsidP="005427C0">
            <w:pPr>
              <w:jc w:val="center"/>
              <w:rPr>
                <w:sz w:val="20"/>
                <w:szCs w:val="20"/>
              </w:rPr>
            </w:pPr>
            <w:r w:rsidRPr="00C92A7D">
              <w:rPr>
                <w:rFonts w:eastAsia="Times New Roman"/>
                <w:sz w:val="20"/>
                <w:szCs w:val="20"/>
              </w:rPr>
              <w:t>Systems must submit the following information</w:t>
            </w:r>
          </w:p>
        </w:tc>
        <w:tc>
          <w:tcPr>
            <w:tcW w:w="4400" w:type="dxa"/>
            <w:tcBorders>
              <w:top w:val="single" w:sz="8" w:space="0" w:color="auto"/>
              <w:bottom w:val="single" w:sz="8" w:space="0" w:color="auto"/>
              <w:right w:val="single" w:sz="8" w:space="0" w:color="auto"/>
            </w:tcBorders>
            <w:vAlign w:val="center"/>
          </w:tcPr>
          <w:p w14:paraId="281A66A2" w14:textId="77777777" w:rsidR="004647B9" w:rsidRPr="00C92A7D" w:rsidRDefault="00E2436F" w:rsidP="005427C0">
            <w:pPr>
              <w:jc w:val="center"/>
              <w:rPr>
                <w:sz w:val="20"/>
                <w:szCs w:val="20"/>
              </w:rPr>
            </w:pPr>
            <w:r w:rsidRPr="00C92A7D">
              <w:rPr>
                <w:rFonts w:eastAsia="Times New Roman"/>
                <w:sz w:val="20"/>
                <w:szCs w:val="20"/>
              </w:rPr>
              <w:t>On the following schedule</w:t>
            </w:r>
          </w:p>
        </w:tc>
      </w:tr>
      <w:tr w:rsidR="00C92A7D" w:rsidRPr="00C92A7D" w14:paraId="281A66A7" w14:textId="77777777" w:rsidTr="00B03492">
        <w:trPr>
          <w:trHeight w:val="822"/>
        </w:trPr>
        <w:tc>
          <w:tcPr>
            <w:tcW w:w="1800" w:type="dxa"/>
            <w:vMerge w:val="restart"/>
            <w:tcBorders>
              <w:top w:val="single" w:sz="8" w:space="0" w:color="auto"/>
              <w:left w:val="single" w:sz="8" w:space="0" w:color="auto"/>
              <w:bottom w:val="single" w:sz="4" w:space="0" w:color="auto"/>
              <w:right w:val="single" w:sz="8" w:space="0" w:color="auto"/>
            </w:tcBorders>
          </w:tcPr>
          <w:p w14:paraId="281A66A4" w14:textId="68ACB7A6" w:rsidR="00C92A7D" w:rsidRPr="006C6A60" w:rsidRDefault="00C92A7D" w:rsidP="005427C0">
            <w:pPr>
              <w:pStyle w:val="ListParagraph"/>
              <w:numPr>
                <w:ilvl w:val="0"/>
                <w:numId w:val="945"/>
              </w:numPr>
              <w:tabs>
                <w:tab w:val="left" w:pos="480"/>
              </w:tabs>
              <w:ind w:left="120" w:firstLine="0"/>
              <w:rPr>
                <w:sz w:val="20"/>
                <w:szCs w:val="20"/>
              </w:rPr>
            </w:pPr>
            <w:r w:rsidRPr="006C6A60">
              <w:rPr>
                <w:rFonts w:eastAsia="Times New Roman"/>
                <w:sz w:val="20"/>
                <w:szCs w:val="20"/>
              </w:rPr>
              <w:t>Watershed control program</w:t>
            </w:r>
          </w:p>
        </w:tc>
        <w:tc>
          <w:tcPr>
            <w:tcW w:w="3960" w:type="dxa"/>
            <w:tcBorders>
              <w:top w:val="single" w:sz="8" w:space="0" w:color="auto"/>
              <w:bottom w:val="single" w:sz="4" w:space="0" w:color="auto"/>
              <w:right w:val="single" w:sz="8" w:space="0" w:color="auto"/>
            </w:tcBorders>
          </w:tcPr>
          <w:p w14:paraId="281A66A5" w14:textId="247A191E" w:rsidR="00C92A7D" w:rsidRPr="00C92A7D" w:rsidRDefault="00C92A7D" w:rsidP="005427C0">
            <w:pPr>
              <w:pStyle w:val="ListParagraph"/>
              <w:numPr>
                <w:ilvl w:val="0"/>
                <w:numId w:val="944"/>
              </w:numPr>
              <w:rPr>
                <w:sz w:val="20"/>
                <w:szCs w:val="20"/>
              </w:rPr>
            </w:pPr>
            <w:r w:rsidRPr="00C92A7D">
              <w:rPr>
                <w:rFonts w:eastAsia="Times New Roman"/>
                <w:sz w:val="20"/>
                <w:szCs w:val="20"/>
              </w:rPr>
              <w:t>Notice of intention to develop a new or continue an existing watershed control progra</w:t>
            </w:r>
            <w:r w:rsidR="00A830FC">
              <w:rPr>
                <w:rFonts w:eastAsia="Times New Roman"/>
                <w:sz w:val="20"/>
                <w:szCs w:val="20"/>
              </w:rPr>
              <w:t>m</w:t>
            </w:r>
          </w:p>
        </w:tc>
        <w:tc>
          <w:tcPr>
            <w:tcW w:w="4400" w:type="dxa"/>
            <w:tcBorders>
              <w:top w:val="single" w:sz="8" w:space="0" w:color="auto"/>
              <w:bottom w:val="single" w:sz="4" w:space="0" w:color="auto"/>
              <w:right w:val="single" w:sz="8" w:space="0" w:color="auto"/>
            </w:tcBorders>
          </w:tcPr>
          <w:p w14:paraId="281A66A6" w14:textId="12D18E85" w:rsidR="00C92A7D" w:rsidRPr="00C92A7D" w:rsidRDefault="00C92A7D" w:rsidP="005427C0">
            <w:pPr>
              <w:ind w:left="40"/>
              <w:rPr>
                <w:sz w:val="20"/>
                <w:szCs w:val="20"/>
              </w:rPr>
            </w:pPr>
            <w:r w:rsidRPr="00C92A7D">
              <w:rPr>
                <w:rFonts w:eastAsia="Times New Roman"/>
                <w:sz w:val="20"/>
                <w:szCs w:val="20"/>
              </w:rPr>
              <w:t>No later than two years before the applicable</w:t>
            </w:r>
            <w:r>
              <w:rPr>
                <w:rFonts w:eastAsia="Times New Roman"/>
                <w:sz w:val="20"/>
                <w:szCs w:val="20"/>
              </w:rPr>
              <w:t xml:space="preserve"> </w:t>
            </w:r>
            <w:r w:rsidRPr="00C92A7D">
              <w:rPr>
                <w:rFonts w:eastAsia="Times New Roman"/>
                <w:sz w:val="20"/>
                <w:szCs w:val="20"/>
              </w:rPr>
              <w:t>treatment compliance date in 310 CMR 22.20G(14).</w:t>
            </w:r>
          </w:p>
        </w:tc>
      </w:tr>
      <w:tr w:rsidR="00C92A7D" w:rsidRPr="00C92A7D" w14:paraId="281A66B4" w14:textId="77777777" w:rsidTr="00B03492">
        <w:trPr>
          <w:trHeight w:val="569"/>
        </w:trPr>
        <w:tc>
          <w:tcPr>
            <w:tcW w:w="1800" w:type="dxa"/>
            <w:vMerge/>
            <w:tcBorders>
              <w:left w:val="single" w:sz="8" w:space="0" w:color="auto"/>
              <w:bottom w:val="single" w:sz="4" w:space="0" w:color="auto"/>
              <w:right w:val="single" w:sz="8" w:space="0" w:color="auto"/>
            </w:tcBorders>
            <w:vAlign w:val="bottom"/>
          </w:tcPr>
          <w:p w14:paraId="281A66B0" w14:textId="77777777" w:rsidR="00C92A7D" w:rsidRPr="00C92A7D" w:rsidRDefault="00C92A7D" w:rsidP="005427C0">
            <w:pPr>
              <w:rPr>
                <w:sz w:val="20"/>
                <w:szCs w:val="20"/>
              </w:rPr>
            </w:pPr>
          </w:p>
        </w:tc>
        <w:tc>
          <w:tcPr>
            <w:tcW w:w="3960" w:type="dxa"/>
            <w:tcBorders>
              <w:top w:val="single" w:sz="4" w:space="0" w:color="auto"/>
              <w:bottom w:val="single" w:sz="4" w:space="0" w:color="auto"/>
              <w:right w:val="single" w:sz="8" w:space="0" w:color="auto"/>
            </w:tcBorders>
          </w:tcPr>
          <w:p w14:paraId="281A66B2" w14:textId="7B2264AB" w:rsidR="00C92A7D" w:rsidRPr="00C92A7D" w:rsidRDefault="00C92A7D" w:rsidP="005427C0">
            <w:pPr>
              <w:pStyle w:val="ListParagraph"/>
              <w:numPr>
                <w:ilvl w:val="0"/>
                <w:numId w:val="943"/>
              </w:numPr>
              <w:ind w:left="391" w:hanging="391"/>
              <w:rPr>
                <w:sz w:val="20"/>
                <w:szCs w:val="20"/>
              </w:rPr>
            </w:pPr>
            <w:r w:rsidRPr="00C92A7D">
              <w:rPr>
                <w:rFonts w:eastAsia="Times New Roman"/>
                <w:sz w:val="20"/>
                <w:szCs w:val="20"/>
              </w:rPr>
              <w:t>Watershed control plan</w:t>
            </w:r>
          </w:p>
        </w:tc>
        <w:tc>
          <w:tcPr>
            <w:tcW w:w="4400" w:type="dxa"/>
            <w:tcBorders>
              <w:top w:val="single" w:sz="4" w:space="0" w:color="auto"/>
              <w:left w:val="single" w:sz="8" w:space="0" w:color="auto"/>
              <w:bottom w:val="single" w:sz="4" w:space="0" w:color="auto"/>
              <w:right w:val="single" w:sz="8" w:space="0" w:color="auto"/>
            </w:tcBorders>
          </w:tcPr>
          <w:p w14:paraId="281A66B3" w14:textId="66235C78" w:rsidR="00C92A7D" w:rsidRPr="00C92A7D" w:rsidRDefault="00C92A7D" w:rsidP="005427C0">
            <w:pPr>
              <w:ind w:left="40"/>
              <w:rPr>
                <w:sz w:val="20"/>
                <w:szCs w:val="20"/>
              </w:rPr>
            </w:pPr>
            <w:r w:rsidRPr="00C92A7D">
              <w:rPr>
                <w:rFonts w:eastAsia="Times New Roman"/>
                <w:sz w:val="20"/>
                <w:szCs w:val="20"/>
              </w:rPr>
              <w:t>No later than one year before the applicable</w:t>
            </w:r>
            <w:r>
              <w:rPr>
                <w:rFonts w:eastAsia="Times New Roman"/>
                <w:sz w:val="20"/>
                <w:szCs w:val="20"/>
              </w:rPr>
              <w:t xml:space="preserve"> </w:t>
            </w:r>
            <w:r w:rsidRPr="00C92A7D">
              <w:rPr>
                <w:rFonts w:eastAsia="Times New Roman"/>
                <w:sz w:val="20"/>
                <w:szCs w:val="20"/>
              </w:rPr>
              <w:t>treatment compliance date in 310 CMR 22.20G(14).</w:t>
            </w:r>
          </w:p>
        </w:tc>
      </w:tr>
      <w:tr w:rsidR="00A830FC" w:rsidRPr="00C92A7D" w14:paraId="281A66BD" w14:textId="77777777" w:rsidTr="00B03492">
        <w:trPr>
          <w:trHeight w:val="850"/>
        </w:trPr>
        <w:tc>
          <w:tcPr>
            <w:tcW w:w="1800" w:type="dxa"/>
            <w:vMerge/>
            <w:tcBorders>
              <w:left w:val="single" w:sz="8" w:space="0" w:color="auto"/>
              <w:bottom w:val="single" w:sz="4" w:space="0" w:color="auto"/>
              <w:right w:val="single" w:sz="8" w:space="0" w:color="auto"/>
            </w:tcBorders>
            <w:vAlign w:val="bottom"/>
          </w:tcPr>
          <w:p w14:paraId="281A66BA" w14:textId="77777777" w:rsidR="00A830FC" w:rsidRPr="00C92A7D" w:rsidRDefault="00A830FC" w:rsidP="005427C0">
            <w:pPr>
              <w:rPr>
                <w:sz w:val="20"/>
                <w:szCs w:val="20"/>
              </w:rPr>
            </w:pPr>
          </w:p>
        </w:tc>
        <w:tc>
          <w:tcPr>
            <w:tcW w:w="3960" w:type="dxa"/>
            <w:tcBorders>
              <w:top w:val="single" w:sz="4" w:space="0" w:color="auto"/>
              <w:bottom w:val="single" w:sz="4" w:space="0" w:color="auto"/>
              <w:right w:val="single" w:sz="8" w:space="0" w:color="auto"/>
            </w:tcBorders>
          </w:tcPr>
          <w:p w14:paraId="281A66BB" w14:textId="634CFFB3" w:rsidR="00A830FC" w:rsidRPr="00C92A7D" w:rsidRDefault="00A830FC" w:rsidP="005427C0">
            <w:pPr>
              <w:pStyle w:val="ListParagraph"/>
              <w:numPr>
                <w:ilvl w:val="0"/>
                <w:numId w:val="943"/>
              </w:numPr>
              <w:ind w:left="481" w:hanging="481"/>
              <w:rPr>
                <w:sz w:val="20"/>
                <w:szCs w:val="20"/>
              </w:rPr>
            </w:pPr>
            <w:r w:rsidRPr="00C76592">
              <w:rPr>
                <w:rFonts w:eastAsia="Times New Roman"/>
                <w:sz w:val="20"/>
                <w:szCs w:val="20"/>
              </w:rPr>
              <w:t>Annual watershed control program status</w:t>
            </w:r>
            <w:r>
              <w:rPr>
                <w:rFonts w:eastAsia="Times New Roman"/>
                <w:sz w:val="20"/>
                <w:szCs w:val="20"/>
              </w:rPr>
              <w:t xml:space="preserve"> </w:t>
            </w:r>
            <w:r w:rsidRPr="00C92A7D">
              <w:rPr>
                <w:rFonts w:eastAsia="Times New Roman"/>
                <w:sz w:val="20"/>
                <w:szCs w:val="20"/>
              </w:rPr>
              <w:t>report</w:t>
            </w:r>
          </w:p>
        </w:tc>
        <w:tc>
          <w:tcPr>
            <w:tcW w:w="4400" w:type="dxa"/>
            <w:tcBorders>
              <w:top w:val="single" w:sz="4" w:space="0" w:color="auto"/>
              <w:bottom w:val="single" w:sz="4" w:space="0" w:color="auto"/>
              <w:right w:val="single" w:sz="8" w:space="0" w:color="auto"/>
            </w:tcBorders>
          </w:tcPr>
          <w:p w14:paraId="281A66BC" w14:textId="35A80A50" w:rsidR="00A830FC" w:rsidRPr="00C92A7D" w:rsidRDefault="00A830FC" w:rsidP="005427C0">
            <w:pPr>
              <w:ind w:left="40"/>
              <w:rPr>
                <w:sz w:val="20"/>
                <w:szCs w:val="20"/>
              </w:rPr>
            </w:pPr>
            <w:r w:rsidRPr="00C92A7D">
              <w:rPr>
                <w:rFonts w:eastAsia="Times New Roman"/>
                <w:sz w:val="20"/>
                <w:szCs w:val="20"/>
              </w:rPr>
              <w:t>Every 12 months, beginning one year after the</w:t>
            </w:r>
            <w:r>
              <w:rPr>
                <w:rFonts w:eastAsia="Times New Roman"/>
                <w:sz w:val="20"/>
                <w:szCs w:val="20"/>
              </w:rPr>
              <w:t xml:space="preserve"> </w:t>
            </w:r>
            <w:r w:rsidRPr="00C92A7D">
              <w:rPr>
                <w:rFonts w:eastAsia="Times New Roman"/>
                <w:sz w:val="20"/>
                <w:szCs w:val="20"/>
              </w:rPr>
              <w:t>applicable treatment compliance date in 310 CMR</w:t>
            </w:r>
            <w:r>
              <w:rPr>
                <w:rFonts w:eastAsia="Times New Roman"/>
                <w:sz w:val="20"/>
                <w:szCs w:val="20"/>
              </w:rPr>
              <w:t xml:space="preserve"> </w:t>
            </w:r>
            <w:r w:rsidRPr="00C92A7D">
              <w:rPr>
                <w:rFonts w:eastAsia="Times New Roman"/>
                <w:sz w:val="20"/>
                <w:szCs w:val="20"/>
              </w:rPr>
              <w:t>22.20G(14).</w:t>
            </w:r>
          </w:p>
        </w:tc>
      </w:tr>
      <w:tr w:rsidR="009100D8" w:rsidRPr="00C92A7D" w14:paraId="281A66CB" w14:textId="77777777" w:rsidTr="00B03492">
        <w:trPr>
          <w:trHeight w:val="1694"/>
        </w:trPr>
        <w:tc>
          <w:tcPr>
            <w:tcW w:w="1800" w:type="dxa"/>
            <w:vMerge/>
            <w:tcBorders>
              <w:left w:val="single" w:sz="8" w:space="0" w:color="auto"/>
              <w:bottom w:val="single" w:sz="4" w:space="0" w:color="auto"/>
              <w:right w:val="single" w:sz="8" w:space="0" w:color="auto"/>
            </w:tcBorders>
            <w:vAlign w:val="bottom"/>
          </w:tcPr>
          <w:p w14:paraId="281A66C7" w14:textId="77777777" w:rsidR="009100D8" w:rsidRPr="00C92A7D" w:rsidRDefault="009100D8" w:rsidP="005427C0">
            <w:pPr>
              <w:rPr>
                <w:sz w:val="20"/>
                <w:szCs w:val="20"/>
              </w:rPr>
            </w:pPr>
          </w:p>
        </w:tc>
        <w:tc>
          <w:tcPr>
            <w:tcW w:w="3960" w:type="dxa"/>
            <w:tcBorders>
              <w:top w:val="single" w:sz="4" w:space="0" w:color="auto"/>
              <w:bottom w:val="single" w:sz="4" w:space="0" w:color="auto"/>
              <w:right w:val="single" w:sz="8" w:space="0" w:color="auto"/>
            </w:tcBorders>
          </w:tcPr>
          <w:p w14:paraId="281A66C9" w14:textId="63D72C16" w:rsidR="009100D8" w:rsidRPr="00C92A7D" w:rsidRDefault="009100D8" w:rsidP="005427C0">
            <w:pPr>
              <w:pStyle w:val="ListParagraph"/>
              <w:numPr>
                <w:ilvl w:val="0"/>
                <w:numId w:val="943"/>
              </w:numPr>
              <w:ind w:left="481" w:hanging="481"/>
              <w:rPr>
                <w:sz w:val="20"/>
                <w:szCs w:val="20"/>
              </w:rPr>
            </w:pPr>
            <w:r w:rsidRPr="009100D8">
              <w:rPr>
                <w:rFonts w:eastAsia="Times New Roman"/>
                <w:sz w:val="20"/>
                <w:szCs w:val="20"/>
              </w:rPr>
              <w:t>Watershed sanitary survey</w:t>
            </w:r>
            <w:r>
              <w:rPr>
                <w:rFonts w:eastAsia="Times New Roman"/>
                <w:sz w:val="20"/>
                <w:szCs w:val="20"/>
              </w:rPr>
              <w:t xml:space="preserve"> </w:t>
            </w:r>
            <w:r w:rsidRPr="00C92A7D">
              <w:rPr>
                <w:rFonts w:eastAsia="Times New Roman"/>
                <w:sz w:val="20"/>
                <w:szCs w:val="20"/>
              </w:rPr>
              <w:t>report</w:t>
            </w:r>
          </w:p>
        </w:tc>
        <w:tc>
          <w:tcPr>
            <w:tcW w:w="4400" w:type="dxa"/>
            <w:tcBorders>
              <w:top w:val="single" w:sz="4" w:space="0" w:color="auto"/>
              <w:left w:val="single" w:sz="8" w:space="0" w:color="auto"/>
              <w:bottom w:val="single" w:sz="4" w:space="0" w:color="auto"/>
              <w:right w:val="single" w:sz="8" w:space="0" w:color="auto"/>
            </w:tcBorders>
          </w:tcPr>
          <w:p w14:paraId="281A66CA" w14:textId="4420D666" w:rsidR="009100D8" w:rsidRPr="00C92A7D" w:rsidRDefault="009100D8" w:rsidP="005427C0">
            <w:pPr>
              <w:ind w:left="40"/>
              <w:rPr>
                <w:sz w:val="20"/>
                <w:szCs w:val="20"/>
              </w:rPr>
            </w:pPr>
            <w:r w:rsidRPr="00C92A7D">
              <w:rPr>
                <w:rFonts w:eastAsia="Times New Roman"/>
                <w:sz w:val="20"/>
                <w:szCs w:val="20"/>
              </w:rPr>
              <w:t>For Community Water Systems, every three years</w:t>
            </w:r>
            <w:r>
              <w:rPr>
                <w:rFonts w:eastAsia="Times New Roman"/>
                <w:sz w:val="20"/>
                <w:szCs w:val="20"/>
              </w:rPr>
              <w:t xml:space="preserve"> </w:t>
            </w:r>
            <w:r w:rsidRPr="00C92A7D">
              <w:rPr>
                <w:rFonts w:eastAsia="Times New Roman"/>
                <w:sz w:val="20"/>
                <w:szCs w:val="20"/>
              </w:rPr>
              <w:t>beginning three years after the applicable treatment</w:t>
            </w:r>
            <w:r>
              <w:rPr>
                <w:rFonts w:eastAsia="Times New Roman"/>
                <w:sz w:val="20"/>
                <w:szCs w:val="20"/>
              </w:rPr>
              <w:t xml:space="preserve"> </w:t>
            </w:r>
            <w:r w:rsidRPr="00C92A7D">
              <w:rPr>
                <w:rFonts w:eastAsia="Times New Roman"/>
                <w:sz w:val="20"/>
                <w:szCs w:val="20"/>
              </w:rPr>
              <w:t>compliance date in 310 CMR 22.20G(14).  For</w:t>
            </w:r>
            <w:r>
              <w:rPr>
                <w:rFonts w:eastAsia="Times New Roman"/>
                <w:sz w:val="20"/>
                <w:szCs w:val="20"/>
              </w:rPr>
              <w:t xml:space="preserve"> </w:t>
            </w:r>
            <w:r w:rsidRPr="00C92A7D">
              <w:rPr>
                <w:rFonts w:eastAsia="Times New Roman"/>
                <w:sz w:val="20"/>
                <w:szCs w:val="20"/>
              </w:rPr>
              <w:t>Noncommunity Water Systems, every five years</w:t>
            </w:r>
            <w:r>
              <w:rPr>
                <w:rFonts w:eastAsia="Times New Roman"/>
                <w:sz w:val="20"/>
                <w:szCs w:val="20"/>
              </w:rPr>
              <w:t xml:space="preserve"> </w:t>
            </w:r>
            <w:r w:rsidRPr="00C92A7D">
              <w:rPr>
                <w:rFonts w:eastAsia="Times New Roman"/>
                <w:sz w:val="20"/>
                <w:szCs w:val="20"/>
              </w:rPr>
              <w:t>beginning five years after the applicable treatment</w:t>
            </w:r>
            <w:r>
              <w:rPr>
                <w:rFonts w:eastAsia="Times New Roman"/>
                <w:sz w:val="20"/>
                <w:szCs w:val="20"/>
              </w:rPr>
              <w:t xml:space="preserve"> </w:t>
            </w:r>
            <w:r w:rsidRPr="00C92A7D">
              <w:rPr>
                <w:rFonts w:eastAsia="Times New Roman"/>
                <w:sz w:val="20"/>
                <w:szCs w:val="20"/>
              </w:rPr>
              <w:t>compliance date in 310 CMR 22.20G(14).</w:t>
            </w:r>
          </w:p>
        </w:tc>
      </w:tr>
    </w:tbl>
    <w:p w14:paraId="281A66E4" w14:textId="77777777" w:rsidR="004647B9" w:rsidRDefault="004647B9" w:rsidP="005427C0">
      <w:pPr>
        <w:sectPr w:rsidR="004647B9" w:rsidSect="00EF630C">
          <w:pgSz w:w="12240" w:h="20180"/>
          <w:pgMar w:top="708" w:right="1440" w:bottom="986" w:left="600" w:header="0" w:footer="0" w:gutter="0"/>
          <w:cols w:space="720"/>
        </w:sectPr>
      </w:pPr>
    </w:p>
    <w:p w14:paraId="281A66E5" w14:textId="5C01DADE" w:rsidR="004647B9" w:rsidRDefault="00E2436F">
      <w:pPr>
        <w:tabs>
          <w:tab w:val="left" w:pos="160"/>
        </w:tabs>
        <w:jc w:val="center"/>
        <w:rPr>
          <w:sz w:val="20"/>
          <w:szCs w:val="20"/>
        </w:rPr>
      </w:pPr>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6E6" w14:textId="77777777" w:rsidR="004647B9" w:rsidRDefault="004647B9" w:rsidP="00B937F8">
      <w:pPr>
        <w:rPr>
          <w:sz w:val="20"/>
          <w:szCs w:val="20"/>
        </w:rPr>
      </w:pPr>
    </w:p>
    <w:p w14:paraId="4ADE1029" w14:textId="77777777" w:rsidR="00B937F8" w:rsidRDefault="00B937F8" w:rsidP="00B937F8">
      <w:pPr>
        <w:rPr>
          <w:sz w:val="20"/>
          <w:szCs w:val="20"/>
        </w:rPr>
      </w:pPr>
    </w:p>
    <w:p w14:paraId="281A66E7" w14:textId="3B3F1FCB" w:rsidR="004647B9" w:rsidRPr="00B937F8" w:rsidRDefault="00E2436F" w:rsidP="00B937F8">
      <w:pPr>
        <w:tabs>
          <w:tab w:val="left" w:pos="940"/>
        </w:tabs>
        <w:rPr>
          <w:rFonts w:eastAsia="Times New Roman"/>
          <w:sz w:val="24"/>
          <w:szCs w:val="24"/>
        </w:rPr>
      </w:pPr>
      <w:r w:rsidRPr="00B937F8">
        <w:rPr>
          <w:rFonts w:eastAsia="Times New Roman"/>
          <w:sz w:val="24"/>
          <w:szCs w:val="24"/>
        </w:rPr>
        <w:t>22.20G:</w:t>
      </w:r>
      <w:r w:rsidRPr="00B937F8">
        <w:rPr>
          <w:sz w:val="24"/>
          <w:szCs w:val="24"/>
        </w:rPr>
        <w:tab/>
      </w:r>
      <w:r w:rsidRPr="00B937F8">
        <w:rPr>
          <w:rFonts w:eastAsia="Times New Roman"/>
          <w:sz w:val="24"/>
          <w:szCs w:val="24"/>
        </w:rPr>
        <w:t>continued</w:t>
      </w:r>
    </w:p>
    <w:p w14:paraId="7FB39505" w14:textId="56821830" w:rsidR="00811402" w:rsidRPr="00B937F8" w:rsidRDefault="00811402" w:rsidP="00B937F8">
      <w:pPr>
        <w:tabs>
          <w:tab w:val="left" w:pos="940"/>
        </w:tabs>
        <w:rPr>
          <w:rFonts w:eastAsia="Times New Roman"/>
          <w:sz w:val="20"/>
          <w:szCs w:val="20"/>
        </w:rPr>
      </w:pPr>
    </w:p>
    <w:tbl>
      <w:tblPr>
        <w:tblW w:w="10160" w:type="dxa"/>
        <w:tblInd w:w="50" w:type="dxa"/>
        <w:tblLayout w:type="fixed"/>
        <w:tblCellMar>
          <w:left w:w="0" w:type="dxa"/>
          <w:right w:w="0" w:type="dxa"/>
        </w:tblCellMar>
        <w:tblLook w:val="04A0" w:firstRow="1" w:lastRow="0" w:firstColumn="1" w:lastColumn="0" w:noHBand="0" w:noVBand="1"/>
      </w:tblPr>
      <w:tblGrid>
        <w:gridCol w:w="1800"/>
        <w:gridCol w:w="3960"/>
        <w:gridCol w:w="4400"/>
      </w:tblGrid>
      <w:tr w:rsidR="00811402" w:rsidRPr="00F2472C" w14:paraId="4F5AA818" w14:textId="77777777" w:rsidTr="00412895">
        <w:trPr>
          <w:trHeight w:val="282"/>
        </w:trPr>
        <w:tc>
          <w:tcPr>
            <w:tcW w:w="1800" w:type="dxa"/>
            <w:tcBorders>
              <w:top w:val="single" w:sz="8" w:space="0" w:color="auto"/>
              <w:left w:val="single" w:sz="8" w:space="0" w:color="auto"/>
              <w:bottom w:val="single" w:sz="8" w:space="0" w:color="auto"/>
              <w:right w:val="single" w:sz="8" w:space="0" w:color="auto"/>
            </w:tcBorders>
            <w:vAlign w:val="center"/>
          </w:tcPr>
          <w:p w14:paraId="603F74D6" w14:textId="77777777" w:rsidR="00811402" w:rsidRPr="00F2472C" w:rsidRDefault="00811402" w:rsidP="00B937F8">
            <w:pPr>
              <w:jc w:val="center"/>
              <w:rPr>
                <w:sz w:val="20"/>
                <w:szCs w:val="20"/>
              </w:rPr>
            </w:pPr>
            <w:r w:rsidRPr="00F2472C">
              <w:rPr>
                <w:rFonts w:eastAsia="Times New Roman"/>
                <w:sz w:val="20"/>
                <w:szCs w:val="20"/>
              </w:rPr>
              <w:t>Toolbox option</w:t>
            </w:r>
          </w:p>
        </w:tc>
        <w:tc>
          <w:tcPr>
            <w:tcW w:w="3960" w:type="dxa"/>
            <w:tcBorders>
              <w:top w:val="single" w:sz="8" w:space="0" w:color="auto"/>
              <w:bottom w:val="single" w:sz="8" w:space="0" w:color="auto"/>
              <w:right w:val="single" w:sz="8" w:space="0" w:color="auto"/>
            </w:tcBorders>
            <w:vAlign w:val="center"/>
          </w:tcPr>
          <w:p w14:paraId="7D722DA0" w14:textId="77777777" w:rsidR="00811402" w:rsidRPr="00F2472C" w:rsidRDefault="00811402" w:rsidP="00B937F8">
            <w:pPr>
              <w:jc w:val="center"/>
              <w:rPr>
                <w:sz w:val="20"/>
                <w:szCs w:val="20"/>
              </w:rPr>
            </w:pPr>
            <w:r w:rsidRPr="00F2472C">
              <w:rPr>
                <w:rFonts w:eastAsia="Times New Roman"/>
                <w:sz w:val="20"/>
                <w:szCs w:val="20"/>
              </w:rPr>
              <w:t>Systems must submit the following information</w:t>
            </w:r>
          </w:p>
        </w:tc>
        <w:tc>
          <w:tcPr>
            <w:tcW w:w="4400" w:type="dxa"/>
            <w:tcBorders>
              <w:top w:val="single" w:sz="8" w:space="0" w:color="auto"/>
              <w:bottom w:val="single" w:sz="8" w:space="0" w:color="auto"/>
              <w:right w:val="single" w:sz="8" w:space="0" w:color="auto"/>
            </w:tcBorders>
            <w:vAlign w:val="center"/>
          </w:tcPr>
          <w:p w14:paraId="204D44F1" w14:textId="77777777" w:rsidR="00811402" w:rsidRPr="00F2472C" w:rsidRDefault="00811402" w:rsidP="00B937F8">
            <w:pPr>
              <w:jc w:val="center"/>
              <w:rPr>
                <w:sz w:val="20"/>
                <w:szCs w:val="20"/>
              </w:rPr>
            </w:pPr>
            <w:r w:rsidRPr="00F2472C">
              <w:rPr>
                <w:rFonts w:eastAsia="Times New Roman"/>
                <w:sz w:val="20"/>
                <w:szCs w:val="20"/>
              </w:rPr>
              <w:t>On the following schedule</w:t>
            </w:r>
          </w:p>
        </w:tc>
      </w:tr>
      <w:tr w:rsidR="002477EE" w:rsidRPr="00F2472C" w14:paraId="3F2A731A" w14:textId="77777777" w:rsidTr="00211004">
        <w:trPr>
          <w:trHeight w:val="838"/>
        </w:trPr>
        <w:tc>
          <w:tcPr>
            <w:tcW w:w="1800" w:type="dxa"/>
            <w:tcBorders>
              <w:top w:val="single" w:sz="8" w:space="0" w:color="auto"/>
              <w:left w:val="single" w:sz="8" w:space="0" w:color="auto"/>
              <w:bottom w:val="single" w:sz="8" w:space="0" w:color="auto"/>
              <w:right w:val="single" w:sz="8" w:space="0" w:color="auto"/>
            </w:tcBorders>
          </w:tcPr>
          <w:p w14:paraId="63EF72B0" w14:textId="13F0793C" w:rsidR="002477EE" w:rsidRPr="00F2472C" w:rsidRDefault="002477EE"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Alternative source/intake management</w:t>
            </w:r>
          </w:p>
        </w:tc>
        <w:tc>
          <w:tcPr>
            <w:tcW w:w="3960" w:type="dxa"/>
            <w:tcBorders>
              <w:top w:val="single" w:sz="8" w:space="0" w:color="auto"/>
              <w:bottom w:val="single" w:sz="8" w:space="0" w:color="auto"/>
              <w:right w:val="single" w:sz="8" w:space="0" w:color="auto"/>
            </w:tcBorders>
          </w:tcPr>
          <w:p w14:paraId="740FBF33" w14:textId="11AC627F" w:rsidR="002477EE" w:rsidRPr="00F2472C" w:rsidRDefault="002477EE" w:rsidP="00B937F8">
            <w:pPr>
              <w:rPr>
                <w:sz w:val="20"/>
                <w:szCs w:val="20"/>
              </w:rPr>
            </w:pPr>
            <w:r w:rsidRPr="00F2472C">
              <w:rPr>
                <w:rFonts w:eastAsia="Times New Roman"/>
                <w:sz w:val="20"/>
                <w:szCs w:val="20"/>
              </w:rPr>
              <w:t>Verification that system has relocated the intake or adopted the intake withdrawal procedure reflected in monitoring results.</w:t>
            </w:r>
          </w:p>
        </w:tc>
        <w:tc>
          <w:tcPr>
            <w:tcW w:w="4400" w:type="dxa"/>
            <w:tcBorders>
              <w:top w:val="single" w:sz="8" w:space="0" w:color="auto"/>
              <w:bottom w:val="single" w:sz="8" w:space="0" w:color="auto"/>
              <w:right w:val="single" w:sz="8" w:space="0" w:color="auto"/>
            </w:tcBorders>
          </w:tcPr>
          <w:p w14:paraId="1B26EBA2" w14:textId="493672F0" w:rsidR="002477EE" w:rsidRPr="00F2472C" w:rsidRDefault="002477EE" w:rsidP="00B937F8">
            <w:pPr>
              <w:ind w:left="40"/>
              <w:rPr>
                <w:sz w:val="20"/>
                <w:szCs w:val="20"/>
              </w:rPr>
            </w:pPr>
            <w:r w:rsidRPr="00F2472C">
              <w:rPr>
                <w:rFonts w:eastAsia="Times New Roman"/>
                <w:sz w:val="20"/>
                <w:szCs w:val="20"/>
              </w:rPr>
              <w:t>No later than the applicable treatment compliance date in 310 CMR 22.20G(14).</w:t>
            </w:r>
          </w:p>
        </w:tc>
      </w:tr>
      <w:tr w:rsidR="002477EE" w:rsidRPr="00F2472C" w14:paraId="2C4F8E6E" w14:textId="77777777" w:rsidTr="00412895">
        <w:trPr>
          <w:trHeight w:val="1774"/>
        </w:trPr>
        <w:tc>
          <w:tcPr>
            <w:tcW w:w="1800" w:type="dxa"/>
            <w:tcBorders>
              <w:top w:val="single" w:sz="8" w:space="0" w:color="auto"/>
              <w:left w:val="single" w:sz="8" w:space="0" w:color="auto"/>
              <w:bottom w:val="single" w:sz="8" w:space="0" w:color="auto"/>
              <w:right w:val="single" w:sz="8" w:space="0" w:color="auto"/>
            </w:tcBorders>
          </w:tcPr>
          <w:p w14:paraId="6D6B0CB6" w14:textId="6C4CDAB4" w:rsidR="002477EE" w:rsidRPr="00F2472C" w:rsidRDefault="002477EE"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Pre-sediments</w:t>
            </w:r>
          </w:p>
        </w:tc>
        <w:tc>
          <w:tcPr>
            <w:tcW w:w="3960" w:type="dxa"/>
            <w:tcBorders>
              <w:top w:val="single" w:sz="8" w:space="0" w:color="auto"/>
              <w:bottom w:val="single" w:sz="8" w:space="0" w:color="auto"/>
              <w:right w:val="single" w:sz="8" w:space="0" w:color="auto"/>
            </w:tcBorders>
          </w:tcPr>
          <w:p w14:paraId="380233CB" w14:textId="77777777" w:rsidR="002477EE" w:rsidRPr="00F2472C" w:rsidRDefault="002477EE" w:rsidP="00B937F8">
            <w:pPr>
              <w:rPr>
                <w:rFonts w:eastAsia="Times New Roman"/>
                <w:sz w:val="20"/>
                <w:szCs w:val="20"/>
              </w:rPr>
            </w:pPr>
            <w:r w:rsidRPr="00F2472C">
              <w:rPr>
                <w:rFonts w:eastAsia="Times New Roman"/>
                <w:sz w:val="20"/>
                <w:szCs w:val="20"/>
              </w:rPr>
              <w:t>Monthly verification of the following:</w:t>
            </w:r>
          </w:p>
          <w:p w14:paraId="0B4C95BF" w14:textId="77777777" w:rsidR="002477EE" w:rsidRPr="00F2472C" w:rsidRDefault="002477EE" w:rsidP="00B937F8">
            <w:pPr>
              <w:pStyle w:val="ListParagraph"/>
              <w:numPr>
                <w:ilvl w:val="0"/>
                <w:numId w:val="946"/>
              </w:numPr>
              <w:rPr>
                <w:rFonts w:eastAsia="Times New Roman"/>
                <w:sz w:val="20"/>
                <w:szCs w:val="20"/>
              </w:rPr>
            </w:pPr>
            <w:r w:rsidRPr="00F2472C">
              <w:rPr>
                <w:rFonts w:eastAsia="Times New Roman"/>
                <w:sz w:val="20"/>
                <w:szCs w:val="20"/>
              </w:rPr>
              <w:t>Continuous basin operation</w:t>
            </w:r>
          </w:p>
          <w:p w14:paraId="3108853E" w14:textId="77777777" w:rsidR="002477EE" w:rsidRPr="00F2472C" w:rsidRDefault="002477EE" w:rsidP="00B937F8">
            <w:pPr>
              <w:pStyle w:val="ListParagraph"/>
              <w:numPr>
                <w:ilvl w:val="0"/>
                <w:numId w:val="946"/>
              </w:numPr>
              <w:rPr>
                <w:rFonts w:eastAsia="Times New Roman"/>
                <w:sz w:val="20"/>
                <w:szCs w:val="20"/>
              </w:rPr>
            </w:pPr>
            <w:r w:rsidRPr="00F2472C">
              <w:rPr>
                <w:rFonts w:eastAsia="Times New Roman"/>
                <w:sz w:val="20"/>
                <w:szCs w:val="20"/>
              </w:rPr>
              <w:t>Treatment of 100% of the flow</w:t>
            </w:r>
          </w:p>
          <w:p w14:paraId="3C2F12B2" w14:textId="77777777" w:rsidR="002477EE" w:rsidRPr="00F2472C" w:rsidRDefault="002477EE" w:rsidP="00B937F8">
            <w:pPr>
              <w:pStyle w:val="ListParagraph"/>
              <w:numPr>
                <w:ilvl w:val="0"/>
                <w:numId w:val="946"/>
              </w:numPr>
              <w:rPr>
                <w:rFonts w:eastAsia="Times New Roman"/>
                <w:sz w:val="20"/>
                <w:szCs w:val="20"/>
              </w:rPr>
            </w:pPr>
            <w:r w:rsidRPr="00F2472C">
              <w:rPr>
                <w:rFonts w:eastAsia="Times New Roman"/>
                <w:sz w:val="20"/>
                <w:szCs w:val="20"/>
              </w:rPr>
              <w:t>Continuous addition of a coagulant</w:t>
            </w:r>
          </w:p>
          <w:p w14:paraId="3ED38E3D" w14:textId="45F252C9" w:rsidR="002477EE" w:rsidRPr="00F2472C" w:rsidRDefault="002477EE" w:rsidP="00B937F8">
            <w:pPr>
              <w:pStyle w:val="ListParagraph"/>
              <w:numPr>
                <w:ilvl w:val="0"/>
                <w:numId w:val="946"/>
              </w:numPr>
              <w:tabs>
                <w:tab w:val="left" w:pos="391"/>
              </w:tabs>
              <w:ind w:left="0" w:firstLine="0"/>
              <w:rPr>
                <w:rFonts w:eastAsia="Times New Roman"/>
                <w:sz w:val="20"/>
                <w:szCs w:val="20"/>
              </w:rPr>
            </w:pPr>
            <w:r w:rsidRPr="00F2472C">
              <w:rPr>
                <w:rFonts w:eastAsia="Times New Roman"/>
                <w:sz w:val="20"/>
                <w:szCs w:val="20"/>
              </w:rPr>
              <w:t>At least 0.5-log mean reduction of influent Turbidity or compliance with alternative Department approved performance criteria.</w:t>
            </w:r>
          </w:p>
        </w:tc>
        <w:tc>
          <w:tcPr>
            <w:tcW w:w="4400" w:type="dxa"/>
            <w:tcBorders>
              <w:top w:val="single" w:sz="8" w:space="0" w:color="auto"/>
              <w:bottom w:val="single" w:sz="8" w:space="0" w:color="auto"/>
              <w:right w:val="single" w:sz="8" w:space="0" w:color="auto"/>
            </w:tcBorders>
          </w:tcPr>
          <w:p w14:paraId="55049832" w14:textId="07623270" w:rsidR="002477EE" w:rsidRPr="00F2472C" w:rsidRDefault="001065AE" w:rsidP="00B937F8">
            <w:pPr>
              <w:ind w:left="40"/>
              <w:rPr>
                <w:rFonts w:eastAsia="Times New Roman"/>
                <w:sz w:val="20"/>
                <w:szCs w:val="20"/>
              </w:rPr>
            </w:pPr>
            <w:r w:rsidRPr="00F2472C">
              <w:rPr>
                <w:rFonts w:eastAsia="Times New Roman"/>
                <w:sz w:val="20"/>
                <w:szCs w:val="20"/>
              </w:rPr>
              <w:t>Monthly reporting within ten days following the month in which the monitoring was conducted beginning on the applicable treatment compliance date in 310 CMR 22.20G(14).</w:t>
            </w:r>
          </w:p>
        </w:tc>
      </w:tr>
      <w:tr w:rsidR="001065AE" w:rsidRPr="00F2472C" w14:paraId="7EF186C9" w14:textId="77777777" w:rsidTr="00412895">
        <w:trPr>
          <w:trHeight w:val="1513"/>
        </w:trPr>
        <w:tc>
          <w:tcPr>
            <w:tcW w:w="1800" w:type="dxa"/>
            <w:tcBorders>
              <w:top w:val="single" w:sz="8" w:space="0" w:color="auto"/>
              <w:left w:val="single" w:sz="8" w:space="0" w:color="auto"/>
              <w:bottom w:val="single" w:sz="8" w:space="0" w:color="auto"/>
              <w:right w:val="single" w:sz="8" w:space="0" w:color="auto"/>
            </w:tcBorders>
          </w:tcPr>
          <w:p w14:paraId="403E769E" w14:textId="5024292E" w:rsidR="001065AE" w:rsidRPr="00F2472C" w:rsidRDefault="004F01AB"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Two-stage Lime Softening</w:t>
            </w:r>
          </w:p>
        </w:tc>
        <w:tc>
          <w:tcPr>
            <w:tcW w:w="3960" w:type="dxa"/>
            <w:tcBorders>
              <w:top w:val="single" w:sz="8" w:space="0" w:color="auto"/>
              <w:bottom w:val="single" w:sz="8" w:space="0" w:color="auto"/>
              <w:right w:val="single" w:sz="8" w:space="0" w:color="auto"/>
            </w:tcBorders>
          </w:tcPr>
          <w:p w14:paraId="429E186B" w14:textId="77777777" w:rsidR="00CB3238" w:rsidRPr="00F2472C" w:rsidRDefault="00CB3238" w:rsidP="00B937F8">
            <w:pPr>
              <w:rPr>
                <w:sz w:val="20"/>
                <w:szCs w:val="20"/>
              </w:rPr>
            </w:pPr>
            <w:r w:rsidRPr="00F2472C">
              <w:rPr>
                <w:rFonts w:eastAsia="Times New Roman"/>
                <w:sz w:val="20"/>
                <w:szCs w:val="20"/>
              </w:rPr>
              <w:t>Monthly verification of the following:</w:t>
            </w:r>
          </w:p>
          <w:p w14:paraId="1C8E7D58" w14:textId="77777777" w:rsidR="00CB3238" w:rsidRPr="00F2472C" w:rsidRDefault="00CB3238" w:rsidP="00B937F8">
            <w:pPr>
              <w:numPr>
                <w:ilvl w:val="0"/>
                <w:numId w:val="755"/>
              </w:numPr>
              <w:tabs>
                <w:tab w:val="left" w:pos="342"/>
              </w:tabs>
              <w:ind w:right="280" w:firstLine="6"/>
              <w:rPr>
                <w:rFonts w:eastAsia="Times New Roman"/>
                <w:sz w:val="20"/>
                <w:szCs w:val="20"/>
              </w:rPr>
            </w:pPr>
            <w:r w:rsidRPr="00F2472C">
              <w:rPr>
                <w:rFonts w:eastAsia="Times New Roman"/>
                <w:sz w:val="20"/>
                <w:szCs w:val="20"/>
              </w:rPr>
              <w:t>Chemical addition and hardness precipitation occurred in two separate and sequential softening stages prior to Filtration</w:t>
            </w:r>
          </w:p>
          <w:p w14:paraId="37595594" w14:textId="27A914C4" w:rsidR="001065AE" w:rsidRPr="00F2472C" w:rsidRDefault="00CB3238" w:rsidP="00B937F8">
            <w:pPr>
              <w:numPr>
                <w:ilvl w:val="0"/>
                <w:numId w:val="755"/>
              </w:numPr>
              <w:tabs>
                <w:tab w:val="left" w:pos="342"/>
              </w:tabs>
              <w:ind w:right="280"/>
              <w:rPr>
                <w:rFonts w:eastAsia="Times New Roman"/>
                <w:sz w:val="20"/>
                <w:szCs w:val="20"/>
              </w:rPr>
            </w:pPr>
            <w:r w:rsidRPr="00F2472C">
              <w:rPr>
                <w:rFonts w:eastAsia="Times New Roman"/>
                <w:sz w:val="20"/>
                <w:szCs w:val="20"/>
              </w:rPr>
              <w:t>Both stages treated 100% of the plant flow.</w:t>
            </w:r>
          </w:p>
        </w:tc>
        <w:tc>
          <w:tcPr>
            <w:tcW w:w="4400" w:type="dxa"/>
            <w:tcBorders>
              <w:top w:val="single" w:sz="8" w:space="0" w:color="auto"/>
              <w:bottom w:val="single" w:sz="8" w:space="0" w:color="auto"/>
              <w:right w:val="single" w:sz="8" w:space="0" w:color="auto"/>
            </w:tcBorders>
          </w:tcPr>
          <w:p w14:paraId="7934F03F" w14:textId="0E5B2F28" w:rsidR="001065AE" w:rsidRPr="00F2472C" w:rsidRDefault="00CB3238" w:rsidP="00B937F8">
            <w:pPr>
              <w:ind w:left="40"/>
              <w:rPr>
                <w:rFonts w:eastAsia="Times New Roman"/>
                <w:sz w:val="20"/>
                <w:szCs w:val="20"/>
              </w:rPr>
            </w:pPr>
            <w:r w:rsidRPr="00F2472C">
              <w:rPr>
                <w:rFonts w:eastAsia="Times New Roman"/>
                <w:sz w:val="20"/>
                <w:szCs w:val="20"/>
              </w:rPr>
              <w:t>Monthly reporting within ten days following the month in which the monitoring was conducted beginning on the applicable treatment compliance date in 310 CMR 22.20G(14).</w:t>
            </w:r>
          </w:p>
        </w:tc>
      </w:tr>
      <w:tr w:rsidR="004F01AB" w:rsidRPr="00F2472C" w14:paraId="619CB480" w14:textId="77777777" w:rsidTr="00412895">
        <w:trPr>
          <w:trHeight w:val="1972"/>
        </w:trPr>
        <w:tc>
          <w:tcPr>
            <w:tcW w:w="1800" w:type="dxa"/>
            <w:tcBorders>
              <w:top w:val="single" w:sz="8" w:space="0" w:color="auto"/>
              <w:left w:val="single" w:sz="8" w:space="0" w:color="auto"/>
              <w:bottom w:val="single" w:sz="8" w:space="0" w:color="auto"/>
              <w:right w:val="single" w:sz="8" w:space="0" w:color="auto"/>
            </w:tcBorders>
          </w:tcPr>
          <w:p w14:paraId="2890E1E6" w14:textId="6EA214F9" w:rsidR="004F01AB" w:rsidRPr="00F2472C" w:rsidRDefault="004F01AB"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Bank Filtration</w:t>
            </w:r>
          </w:p>
        </w:tc>
        <w:tc>
          <w:tcPr>
            <w:tcW w:w="3960" w:type="dxa"/>
            <w:tcBorders>
              <w:top w:val="single" w:sz="8" w:space="0" w:color="auto"/>
              <w:bottom w:val="single" w:sz="8" w:space="0" w:color="auto"/>
              <w:right w:val="single" w:sz="8" w:space="0" w:color="auto"/>
            </w:tcBorders>
          </w:tcPr>
          <w:p w14:paraId="04873CB1" w14:textId="77777777" w:rsidR="00F54C6E" w:rsidRPr="00F2472C" w:rsidRDefault="00F54C6E" w:rsidP="00B937F8">
            <w:pPr>
              <w:pStyle w:val="ListParagraph"/>
              <w:numPr>
                <w:ilvl w:val="0"/>
                <w:numId w:val="947"/>
              </w:numPr>
              <w:tabs>
                <w:tab w:val="left" w:pos="340"/>
              </w:tabs>
              <w:rPr>
                <w:rFonts w:eastAsia="Times New Roman"/>
                <w:sz w:val="20"/>
                <w:szCs w:val="20"/>
              </w:rPr>
            </w:pPr>
            <w:r w:rsidRPr="00F2472C">
              <w:rPr>
                <w:rFonts w:eastAsia="Times New Roman"/>
                <w:sz w:val="20"/>
                <w:szCs w:val="20"/>
              </w:rPr>
              <w:t>Initial demonstration of the following:</w:t>
            </w:r>
          </w:p>
          <w:p w14:paraId="744EF57B" w14:textId="77777777" w:rsidR="00F54C6E" w:rsidRPr="00F2472C" w:rsidRDefault="00F54C6E" w:rsidP="00B937F8">
            <w:pPr>
              <w:pStyle w:val="ListParagraph"/>
              <w:numPr>
                <w:ilvl w:val="0"/>
                <w:numId w:val="948"/>
              </w:numPr>
              <w:tabs>
                <w:tab w:val="left" w:pos="537"/>
              </w:tabs>
              <w:ind w:left="655" w:right="280"/>
              <w:rPr>
                <w:rFonts w:eastAsia="Times New Roman"/>
                <w:sz w:val="20"/>
                <w:szCs w:val="20"/>
              </w:rPr>
            </w:pPr>
            <w:r w:rsidRPr="00F2472C">
              <w:rPr>
                <w:rFonts w:eastAsia="Times New Roman"/>
                <w:sz w:val="20"/>
                <w:szCs w:val="20"/>
              </w:rPr>
              <w:t>Unconsolidated, predominantly sandy aquifer</w:t>
            </w:r>
          </w:p>
          <w:p w14:paraId="06BB9990" w14:textId="4FB676D0" w:rsidR="00F54C6E" w:rsidRPr="00F2472C" w:rsidRDefault="00F54C6E" w:rsidP="00B937F8">
            <w:pPr>
              <w:pStyle w:val="ListParagraph"/>
              <w:numPr>
                <w:ilvl w:val="0"/>
                <w:numId w:val="948"/>
              </w:numPr>
              <w:tabs>
                <w:tab w:val="left" w:pos="500"/>
                <w:tab w:val="left" w:pos="2820"/>
              </w:tabs>
              <w:ind w:left="655"/>
              <w:rPr>
                <w:sz w:val="20"/>
                <w:szCs w:val="20"/>
              </w:rPr>
            </w:pPr>
            <w:r w:rsidRPr="00F2472C">
              <w:rPr>
                <w:rFonts w:eastAsia="Times New Roman"/>
                <w:sz w:val="20"/>
                <w:szCs w:val="20"/>
              </w:rPr>
              <w:t>Setback distance of at least</w:t>
            </w:r>
            <w:r w:rsidR="00F577B0" w:rsidRPr="00F2472C">
              <w:rPr>
                <w:rFonts w:eastAsia="Times New Roman"/>
                <w:sz w:val="20"/>
                <w:szCs w:val="20"/>
              </w:rPr>
              <w:t xml:space="preserve"> </w:t>
            </w:r>
            <w:r w:rsidRPr="00F2472C">
              <w:rPr>
                <w:rFonts w:eastAsia="Times New Roman"/>
                <w:sz w:val="20"/>
                <w:szCs w:val="20"/>
              </w:rPr>
              <w:t>25 ft. (0.5-log credit) or 50 ft. (1.0-log credit).</w:t>
            </w:r>
          </w:p>
          <w:p w14:paraId="5937095F" w14:textId="7B919843" w:rsidR="004F01AB" w:rsidRPr="00F2472C" w:rsidRDefault="00F54C6E" w:rsidP="00B937F8">
            <w:pPr>
              <w:pStyle w:val="ListParagraph"/>
              <w:numPr>
                <w:ilvl w:val="0"/>
                <w:numId w:val="949"/>
              </w:numPr>
              <w:tabs>
                <w:tab w:val="left" w:pos="391"/>
              </w:tabs>
              <w:rPr>
                <w:rFonts w:eastAsia="Times New Roman"/>
                <w:sz w:val="20"/>
                <w:szCs w:val="20"/>
              </w:rPr>
            </w:pPr>
            <w:r w:rsidRPr="00F2472C">
              <w:rPr>
                <w:rFonts w:eastAsia="Times New Roman"/>
                <w:sz w:val="20"/>
                <w:szCs w:val="20"/>
              </w:rPr>
              <w:t>If monthly average of daily max Turbidity is greater than one NTU then system must report result and submit an assessment of the cause.</w:t>
            </w:r>
          </w:p>
        </w:tc>
        <w:tc>
          <w:tcPr>
            <w:tcW w:w="4400" w:type="dxa"/>
            <w:tcBorders>
              <w:top w:val="single" w:sz="8" w:space="0" w:color="auto"/>
              <w:bottom w:val="single" w:sz="8" w:space="0" w:color="auto"/>
              <w:right w:val="single" w:sz="8" w:space="0" w:color="auto"/>
            </w:tcBorders>
          </w:tcPr>
          <w:p w14:paraId="7C1E027F" w14:textId="77777777" w:rsidR="004F01AB" w:rsidRPr="00F2472C" w:rsidRDefault="007459BF" w:rsidP="00B937F8">
            <w:pPr>
              <w:ind w:right="380"/>
              <w:rPr>
                <w:rFonts w:eastAsia="Times New Roman"/>
                <w:sz w:val="20"/>
                <w:szCs w:val="20"/>
              </w:rPr>
            </w:pPr>
            <w:r w:rsidRPr="00F2472C">
              <w:rPr>
                <w:rFonts w:eastAsia="Times New Roman"/>
                <w:sz w:val="20"/>
                <w:szCs w:val="20"/>
              </w:rPr>
              <w:t>No later than the applicable treatment compliance date in 310 CMR 22.20G(14).</w:t>
            </w:r>
          </w:p>
          <w:p w14:paraId="2F6F7308" w14:textId="435A8E76" w:rsidR="008C61CA" w:rsidRPr="00F2472C" w:rsidRDefault="008C61CA" w:rsidP="00B937F8">
            <w:pPr>
              <w:ind w:right="200"/>
              <w:rPr>
                <w:sz w:val="20"/>
                <w:szCs w:val="20"/>
              </w:rPr>
            </w:pPr>
            <w:r w:rsidRPr="00F2472C">
              <w:rPr>
                <w:rFonts w:eastAsia="Times New Roman"/>
                <w:sz w:val="20"/>
                <w:szCs w:val="20"/>
              </w:rPr>
              <w:t>Report within 30 days following the month in which the monitoring was conducted, beginning on the applicable treatment compliance date in 310 CMR 22.20G(14).</w:t>
            </w:r>
          </w:p>
        </w:tc>
      </w:tr>
      <w:tr w:rsidR="004F01AB" w:rsidRPr="00F2472C" w14:paraId="2D892E38" w14:textId="77777777" w:rsidTr="00412895">
        <w:trPr>
          <w:trHeight w:val="1081"/>
        </w:trPr>
        <w:tc>
          <w:tcPr>
            <w:tcW w:w="1800" w:type="dxa"/>
            <w:tcBorders>
              <w:top w:val="single" w:sz="8" w:space="0" w:color="auto"/>
              <w:left w:val="single" w:sz="8" w:space="0" w:color="auto"/>
              <w:bottom w:val="single" w:sz="8" w:space="0" w:color="auto"/>
              <w:right w:val="single" w:sz="8" w:space="0" w:color="auto"/>
            </w:tcBorders>
          </w:tcPr>
          <w:p w14:paraId="5EB3F5FB" w14:textId="4E0C2BDF" w:rsidR="004F01AB" w:rsidRPr="00F2472C" w:rsidRDefault="004F01AB"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Combined filter performance</w:t>
            </w:r>
          </w:p>
        </w:tc>
        <w:tc>
          <w:tcPr>
            <w:tcW w:w="3960" w:type="dxa"/>
            <w:tcBorders>
              <w:top w:val="single" w:sz="8" w:space="0" w:color="auto"/>
              <w:bottom w:val="single" w:sz="8" w:space="0" w:color="auto"/>
              <w:right w:val="single" w:sz="8" w:space="0" w:color="auto"/>
            </w:tcBorders>
          </w:tcPr>
          <w:p w14:paraId="38F08968" w14:textId="41D05722" w:rsidR="004F01AB" w:rsidRPr="00F2472C" w:rsidRDefault="008C61CA" w:rsidP="00B937F8">
            <w:pPr>
              <w:ind w:right="40"/>
              <w:rPr>
                <w:rFonts w:eastAsia="Times New Roman"/>
                <w:sz w:val="20"/>
                <w:szCs w:val="20"/>
              </w:rPr>
            </w:pPr>
            <w:r w:rsidRPr="00F2472C">
              <w:rPr>
                <w:rFonts w:eastAsia="Times New Roman"/>
                <w:sz w:val="20"/>
                <w:szCs w:val="20"/>
              </w:rPr>
              <w:t>Monthly verification of combined filter effluent (CFE) Turbidity levels less than or equal to 0.15 NTU in at least 95% of the four hour CFE measurements taken each month.</w:t>
            </w:r>
          </w:p>
        </w:tc>
        <w:tc>
          <w:tcPr>
            <w:tcW w:w="4400" w:type="dxa"/>
            <w:tcBorders>
              <w:top w:val="single" w:sz="8" w:space="0" w:color="auto"/>
              <w:bottom w:val="single" w:sz="8" w:space="0" w:color="auto"/>
              <w:right w:val="single" w:sz="8" w:space="0" w:color="auto"/>
            </w:tcBorders>
          </w:tcPr>
          <w:p w14:paraId="7ED431D8" w14:textId="2C2CD2BB" w:rsidR="004F01AB" w:rsidRPr="00F2472C" w:rsidRDefault="008C61CA" w:rsidP="00B937F8">
            <w:pPr>
              <w:ind w:right="380"/>
              <w:rPr>
                <w:sz w:val="20"/>
                <w:szCs w:val="20"/>
              </w:rPr>
            </w:pPr>
            <w:r w:rsidRPr="00F2472C">
              <w:rPr>
                <w:rFonts w:eastAsia="Times New Roman"/>
                <w:sz w:val="20"/>
                <w:szCs w:val="20"/>
              </w:rPr>
              <w:t>Monthly reporting within ten days following the month in which the monitoring was conducted, beginning on the applicable treatment compliance date in 310 CMR 22.20G(14).</w:t>
            </w:r>
          </w:p>
        </w:tc>
      </w:tr>
      <w:tr w:rsidR="004F01AB" w:rsidRPr="00F2472C" w14:paraId="25782D23" w14:textId="77777777" w:rsidTr="00412895">
        <w:trPr>
          <w:trHeight w:val="1513"/>
        </w:trPr>
        <w:tc>
          <w:tcPr>
            <w:tcW w:w="1800" w:type="dxa"/>
            <w:tcBorders>
              <w:top w:val="single" w:sz="8" w:space="0" w:color="auto"/>
              <w:left w:val="single" w:sz="8" w:space="0" w:color="auto"/>
              <w:bottom w:val="single" w:sz="8" w:space="0" w:color="auto"/>
              <w:right w:val="single" w:sz="8" w:space="0" w:color="auto"/>
            </w:tcBorders>
          </w:tcPr>
          <w:p w14:paraId="6A2BC3B2" w14:textId="1B1412E7" w:rsidR="004F01AB" w:rsidRPr="00F2472C" w:rsidRDefault="004F01AB"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Individual filter performance</w:t>
            </w:r>
          </w:p>
        </w:tc>
        <w:tc>
          <w:tcPr>
            <w:tcW w:w="3960" w:type="dxa"/>
            <w:tcBorders>
              <w:top w:val="single" w:sz="8" w:space="0" w:color="auto"/>
              <w:bottom w:val="single" w:sz="8" w:space="0" w:color="auto"/>
              <w:right w:val="single" w:sz="8" w:space="0" w:color="auto"/>
            </w:tcBorders>
          </w:tcPr>
          <w:p w14:paraId="7D791458" w14:textId="77777777" w:rsidR="008C61CA" w:rsidRPr="00F2472C" w:rsidRDefault="008C61CA" w:rsidP="00B937F8">
            <w:pPr>
              <w:rPr>
                <w:rFonts w:eastAsia="Times New Roman"/>
                <w:sz w:val="20"/>
                <w:szCs w:val="20"/>
              </w:rPr>
            </w:pPr>
            <w:r w:rsidRPr="00F2472C">
              <w:rPr>
                <w:rFonts w:eastAsia="Times New Roman"/>
                <w:sz w:val="20"/>
                <w:szCs w:val="20"/>
              </w:rPr>
              <w:t>Monthly verification of the following:</w:t>
            </w:r>
          </w:p>
          <w:p w14:paraId="2317B8DC" w14:textId="77777777" w:rsidR="008C61CA" w:rsidRPr="00F2472C" w:rsidRDefault="008C61CA" w:rsidP="00B937F8">
            <w:pPr>
              <w:numPr>
                <w:ilvl w:val="0"/>
                <w:numId w:val="756"/>
              </w:numPr>
              <w:tabs>
                <w:tab w:val="left" w:pos="341"/>
              </w:tabs>
              <w:ind w:right="40" w:firstLine="6"/>
              <w:rPr>
                <w:rFonts w:eastAsia="Times New Roman"/>
                <w:sz w:val="20"/>
                <w:szCs w:val="20"/>
              </w:rPr>
            </w:pPr>
            <w:r w:rsidRPr="00F2472C">
              <w:rPr>
                <w:rFonts w:eastAsia="Times New Roman"/>
                <w:sz w:val="20"/>
                <w:szCs w:val="20"/>
              </w:rPr>
              <w:t>Individual filter effluent (IFE) Turbidity levels less than or equal to 0.15 NTU in at least 95% of samples each month in each filter.</w:t>
            </w:r>
          </w:p>
          <w:p w14:paraId="2BFF6A8B" w14:textId="3A5FD374" w:rsidR="004F01AB" w:rsidRPr="00F2472C" w:rsidRDefault="008C61CA" w:rsidP="00B937F8">
            <w:pPr>
              <w:numPr>
                <w:ilvl w:val="0"/>
                <w:numId w:val="756"/>
              </w:numPr>
              <w:tabs>
                <w:tab w:val="left" w:pos="398"/>
              </w:tabs>
              <w:ind w:right="160"/>
              <w:jc w:val="both"/>
              <w:rPr>
                <w:rFonts w:eastAsia="Times New Roman"/>
                <w:sz w:val="20"/>
                <w:szCs w:val="20"/>
              </w:rPr>
            </w:pPr>
            <w:r w:rsidRPr="00F2472C">
              <w:rPr>
                <w:rFonts w:eastAsia="Times New Roman"/>
                <w:sz w:val="20"/>
                <w:szCs w:val="20"/>
              </w:rPr>
              <w:t>No individual filter greater than 0.3 NTU in two consecutive readings 15 minutes apart.</w:t>
            </w:r>
          </w:p>
        </w:tc>
        <w:tc>
          <w:tcPr>
            <w:tcW w:w="4400" w:type="dxa"/>
            <w:tcBorders>
              <w:top w:val="single" w:sz="8" w:space="0" w:color="auto"/>
              <w:bottom w:val="single" w:sz="8" w:space="0" w:color="auto"/>
              <w:right w:val="single" w:sz="8" w:space="0" w:color="auto"/>
            </w:tcBorders>
          </w:tcPr>
          <w:p w14:paraId="00A71909" w14:textId="6D2832FE" w:rsidR="004F01AB" w:rsidRPr="00F2472C" w:rsidRDefault="008C61CA" w:rsidP="00B937F8">
            <w:pPr>
              <w:ind w:right="380"/>
              <w:rPr>
                <w:sz w:val="20"/>
                <w:szCs w:val="20"/>
              </w:rPr>
            </w:pPr>
            <w:r w:rsidRPr="00F2472C">
              <w:rPr>
                <w:rFonts w:eastAsia="Times New Roman"/>
                <w:sz w:val="20"/>
                <w:szCs w:val="20"/>
              </w:rPr>
              <w:t>Monthly reporting within ten days following the month in which the monitoring was conducted, beginning on the applicable treatment compliance date in 310 CMR 22.20G(14).</w:t>
            </w:r>
          </w:p>
        </w:tc>
      </w:tr>
      <w:tr w:rsidR="004F01AB" w:rsidRPr="00F2472C" w14:paraId="2D0F28DE" w14:textId="77777777" w:rsidTr="00412895">
        <w:trPr>
          <w:trHeight w:val="1513"/>
        </w:trPr>
        <w:tc>
          <w:tcPr>
            <w:tcW w:w="1800" w:type="dxa"/>
            <w:tcBorders>
              <w:top w:val="single" w:sz="8" w:space="0" w:color="auto"/>
              <w:left w:val="single" w:sz="8" w:space="0" w:color="auto"/>
              <w:bottom w:val="single" w:sz="8" w:space="0" w:color="auto"/>
              <w:right w:val="single" w:sz="8" w:space="0" w:color="auto"/>
            </w:tcBorders>
          </w:tcPr>
          <w:p w14:paraId="78472295" w14:textId="1119DBB8" w:rsidR="004F01AB" w:rsidRPr="00F2472C" w:rsidRDefault="001D6657"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Demonstration of performance</w:t>
            </w:r>
          </w:p>
        </w:tc>
        <w:tc>
          <w:tcPr>
            <w:tcW w:w="3960" w:type="dxa"/>
            <w:tcBorders>
              <w:top w:val="single" w:sz="8" w:space="0" w:color="auto"/>
              <w:bottom w:val="single" w:sz="8" w:space="0" w:color="auto"/>
              <w:right w:val="single" w:sz="8" w:space="0" w:color="auto"/>
            </w:tcBorders>
          </w:tcPr>
          <w:p w14:paraId="098D2859" w14:textId="77777777" w:rsidR="00494118" w:rsidRPr="00F2472C" w:rsidRDefault="00494118" w:rsidP="00B937F8">
            <w:pPr>
              <w:numPr>
                <w:ilvl w:val="0"/>
                <w:numId w:val="954"/>
              </w:numPr>
              <w:tabs>
                <w:tab w:val="left" w:pos="341"/>
              </w:tabs>
              <w:ind w:right="40"/>
              <w:rPr>
                <w:rFonts w:eastAsia="Times New Roman"/>
                <w:sz w:val="20"/>
                <w:szCs w:val="20"/>
              </w:rPr>
            </w:pPr>
            <w:r w:rsidRPr="00F2472C">
              <w:rPr>
                <w:rFonts w:eastAsia="Times New Roman"/>
                <w:sz w:val="20"/>
                <w:szCs w:val="20"/>
              </w:rPr>
              <w:t>Results from testing following a Department-approved protocol.</w:t>
            </w:r>
          </w:p>
          <w:p w14:paraId="5C06983A" w14:textId="280C5B0D" w:rsidR="004F01AB" w:rsidRPr="00F2472C" w:rsidRDefault="00494118" w:rsidP="00B937F8">
            <w:pPr>
              <w:numPr>
                <w:ilvl w:val="0"/>
                <w:numId w:val="954"/>
              </w:numPr>
              <w:tabs>
                <w:tab w:val="left" w:pos="341"/>
              </w:tabs>
              <w:ind w:right="40" w:firstLine="6"/>
              <w:rPr>
                <w:rFonts w:eastAsia="Times New Roman"/>
                <w:sz w:val="20"/>
                <w:szCs w:val="20"/>
              </w:rPr>
            </w:pPr>
            <w:r w:rsidRPr="00F2472C">
              <w:rPr>
                <w:rFonts w:eastAsia="Times New Roman"/>
                <w:sz w:val="20"/>
                <w:szCs w:val="20"/>
              </w:rPr>
              <w:t>As required by the Department, monthly verification of operation within conditions of Department approval for demonstration of performance credit.</w:t>
            </w:r>
          </w:p>
        </w:tc>
        <w:tc>
          <w:tcPr>
            <w:tcW w:w="4400" w:type="dxa"/>
            <w:tcBorders>
              <w:top w:val="single" w:sz="8" w:space="0" w:color="auto"/>
              <w:bottom w:val="single" w:sz="8" w:space="0" w:color="auto"/>
              <w:right w:val="single" w:sz="8" w:space="0" w:color="auto"/>
            </w:tcBorders>
          </w:tcPr>
          <w:p w14:paraId="6571334F" w14:textId="77777777" w:rsidR="00494118" w:rsidRPr="00F2472C" w:rsidRDefault="00494118" w:rsidP="00B937F8">
            <w:pPr>
              <w:ind w:right="380"/>
              <w:rPr>
                <w:sz w:val="20"/>
                <w:szCs w:val="20"/>
              </w:rPr>
            </w:pPr>
            <w:r w:rsidRPr="00F2472C">
              <w:rPr>
                <w:rFonts w:eastAsia="Times New Roman"/>
                <w:sz w:val="20"/>
                <w:szCs w:val="20"/>
              </w:rPr>
              <w:t>No later than the applicable treatment compliance date in 310 CMR 22.20G(14).</w:t>
            </w:r>
          </w:p>
          <w:p w14:paraId="040ACAB5" w14:textId="5C3D418A" w:rsidR="004F01AB" w:rsidRPr="00F2472C" w:rsidRDefault="00494118" w:rsidP="00B937F8">
            <w:pPr>
              <w:ind w:right="340"/>
              <w:rPr>
                <w:sz w:val="20"/>
                <w:szCs w:val="20"/>
              </w:rPr>
            </w:pPr>
            <w:r w:rsidRPr="00F2472C">
              <w:rPr>
                <w:rFonts w:eastAsia="Times New Roman"/>
                <w:sz w:val="20"/>
                <w:szCs w:val="20"/>
              </w:rPr>
              <w:t>Within ten days following the month in which monitoring was conducted, beginning on the applicable treatment compliance date in 310 CMR 22.20G(14).</w:t>
            </w:r>
          </w:p>
        </w:tc>
      </w:tr>
      <w:tr w:rsidR="001D6657" w:rsidRPr="00F2472C" w14:paraId="5FFACE38" w14:textId="77777777" w:rsidTr="00412895">
        <w:trPr>
          <w:trHeight w:val="2197"/>
        </w:trPr>
        <w:tc>
          <w:tcPr>
            <w:tcW w:w="1800" w:type="dxa"/>
            <w:tcBorders>
              <w:top w:val="single" w:sz="8" w:space="0" w:color="auto"/>
              <w:left w:val="single" w:sz="8" w:space="0" w:color="auto"/>
              <w:bottom w:val="single" w:sz="8" w:space="0" w:color="auto"/>
              <w:right w:val="single" w:sz="8" w:space="0" w:color="auto"/>
            </w:tcBorders>
          </w:tcPr>
          <w:p w14:paraId="2220B981" w14:textId="27493A0C" w:rsidR="001D6657" w:rsidRPr="00F2472C" w:rsidRDefault="001D6657"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Bag Filters and Cartridge Filters</w:t>
            </w:r>
          </w:p>
        </w:tc>
        <w:tc>
          <w:tcPr>
            <w:tcW w:w="3960" w:type="dxa"/>
            <w:tcBorders>
              <w:top w:val="single" w:sz="8" w:space="0" w:color="auto"/>
              <w:bottom w:val="single" w:sz="8" w:space="0" w:color="auto"/>
              <w:right w:val="single" w:sz="8" w:space="0" w:color="auto"/>
            </w:tcBorders>
          </w:tcPr>
          <w:p w14:paraId="34525D58" w14:textId="77777777" w:rsidR="00494118" w:rsidRPr="00F2472C" w:rsidRDefault="00494118" w:rsidP="00B937F8">
            <w:pPr>
              <w:numPr>
                <w:ilvl w:val="0"/>
                <w:numId w:val="955"/>
              </w:numPr>
              <w:tabs>
                <w:tab w:val="left" w:pos="341"/>
              </w:tabs>
              <w:ind w:right="40"/>
              <w:rPr>
                <w:rFonts w:eastAsia="Times New Roman"/>
                <w:sz w:val="20"/>
                <w:szCs w:val="20"/>
              </w:rPr>
            </w:pPr>
            <w:r w:rsidRPr="00F2472C">
              <w:rPr>
                <w:rFonts w:eastAsia="Times New Roman"/>
                <w:sz w:val="20"/>
                <w:szCs w:val="20"/>
              </w:rPr>
              <w:t>Demonstration that the following criteria are met:</w:t>
            </w:r>
          </w:p>
          <w:p w14:paraId="56D3B7AF" w14:textId="77777777" w:rsidR="00494118" w:rsidRPr="00F2472C" w:rsidRDefault="00494118" w:rsidP="00B937F8">
            <w:pPr>
              <w:pStyle w:val="ListParagraph"/>
              <w:numPr>
                <w:ilvl w:val="0"/>
                <w:numId w:val="956"/>
              </w:numPr>
              <w:tabs>
                <w:tab w:val="left" w:pos="341"/>
              </w:tabs>
              <w:ind w:right="40"/>
              <w:rPr>
                <w:rFonts w:eastAsia="Times New Roman"/>
                <w:sz w:val="20"/>
                <w:szCs w:val="20"/>
              </w:rPr>
            </w:pPr>
            <w:r w:rsidRPr="00F2472C">
              <w:rPr>
                <w:rFonts w:eastAsia="Times New Roman"/>
                <w:sz w:val="20"/>
                <w:szCs w:val="20"/>
              </w:rPr>
              <w:t>Process meets the definition of bag or cartridge Filtration;</w:t>
            </w:r>
          </w:p>
          <w:p w14:paraId="48A727FB" w14:textId="12BC91EE" w:rsidR="00494118" w:rsidRPr="00F2472C" w:rsidRDefault="00494118" w:rsidP="00B937F8">
            <w:pPr>
              <w:pStyle w:val="ListParagraph"/>
              <w:numPr>
                <w:ilvl w:val="0"/>
                <w:numId w:val="956"/>
              </w:numPr>
              <w:tabs>
                <w:tab w:val="left" w:pos="341"/>
              </w:tabs>
              <w:ind w:right="40"/>
              <w:rPr>
                <w:rFonts w:eastAsia="Times New Roman"/>
                <w:sz w:val="20"/>
                <w:szCs w:val="20"/>
              </w:rPr>
            </w:pPr>
            <w:r w:rsidRPr="00F2472C">
              <w:rPr>
                <w:rFonts w:eastAsia="Times New Roman"/>
                <w:sz w:val="20"/>
                <w:szCs w:val="20"/>
              </w:rPr>
              <w:t>Removal efficiency established through challenge testing that meets criteria in 310 CMR 22.20G(22)(a).</w:t>
            </w:r>
          </w:p>
          <w:p w14:paraId="5C794D13" w14:textId="5F563877" w:rsidR="001D6657" w:rsidRPr="00F2472C" w:rsidRDefault="00494118" w:rsidP="00B937F8">
            <w:pPr>
              <w:numPr>
                <w:ilvl w:val="0"/>
                <w:numId w:val="955"/>
              </w:numPr>
              <w:tabs>
                <w:tab w:val="left" w:pos="341"/>
              </w:tabs>
              <w:ind w:right="40" w:firstLine="6"/>
              <w:rPr>
                <w:rFonts w:eastAsia="Times New Roman"/>
                <w:sz w:val="20"/>
                <w:szCs w:val="20"/>
              </w:rPr>
            </w:pPr>
            <w:r w:rsidRPr="00F2472C">
              <w:rPr>
                <w:rFonts w:eastAsia="Times New Roman"/>
                <w:sz w:val="20"/>
                <w:szCs w:val="20"/>
              </w:rPr>
              <w:t>Monthly verification that 100% of plant flow was filtered.</w:t>
            </w:r>
          </w:p>
        </w:tc>
        <w:tc>
          <w:tcPr>
            <w:tcW w:w="4400" w:type="dxa"/>
            <w:tcBorders>
              <w:top w:val="single" w:sz="8" w:space="0" w:color="auto"/>
              <w:bottom w:val="single" w:sz="8" w:space="0" w:color="auto"/>
              <w:right w:val="single" w:sz="8" w:space="0" w:color="auto"/>
            </w:tcBorders>
          </w:tcPr>
          <w:p w14:paraId="2926E584" w14:textId="77777777" w:rsidR="00577194" w:rsidRPr="00F2472C" w:rsidRDefault="00577194" w:rsidP="00B937F8">
            <w:pPr>
              <w:ind w:right="380"/>
              <w:rPr>
                <w:sz w:val="20"/>
                <w:szCs w:val="20"/>
              </w:rPr>
            </w:pPr>
            <w:r w:rsidRPr="00F2472C">
              <w:rPr>
                <w:rFonts w:eastAsia="Times New Roman"/>
                <w:sz w:val="20"/>
                <w:szCs w:val="20"/>
              </w:rPr>
              <w:t>No later than the applicable treatment compliance date in 310 CMR 22.20G(14).</w:t>
            </w:r>
          </w:p>
          <w:p w14:paraId="543FD497" w14:textId="77777777" w:rsidR="00577194" w:rsidRPr="00F2472C" w:rsidRDefault="00577194" w:rsidP="00B937F8">
            <w:pPr>
              <w:rPr>
                <w:sz w:val="20"/>
                <w:szCs w:val="20"/>
              </w:rPr>
            </w:pPr>
          </w:p>
          <w:p w14:paraId="348EA91F" w14:textId="55CF74B1" w:rsidR="001D6657" w:rsidRPr="00F2472C" w:rsidRDefault="00577194" w:rsidP="00B937F8">
            <w:pPr>
              <w:ind w:right="340"/>
              <w:rPr>
                <w:rFonts w:eastAsia="Times New Roman"/>
                <w:sz w:val="20"/>
                <w:szCs w:val="20"/>
              </w:rPr>
            </w:pPr>
            <w:r w:rsidRPr="00F2472C">
              <w:rPr>
                <w:rFonts w:eastAsia="Times New Roman"/>
                <w:sz w:val="20"/>
                <w:szCs w:val="20"/>
              </w:rPr>
              <w:t>Within ten days following the month in which monitoring was conducted, beginning on the applicable treatment compliance date in 310 CMR 22.20G(14).</w:t>
            </w:r>
          </w:p>
        </w:tc>
      </w:tr>
      <w:tr w:rsidR="001D6657" w:rsidRPr="00F2472C" w14:paraId="0AA0D610" w14:textId="77777777" w:rsidTr="00412895">
        <w:trPr>
          <w:trHeight w:val="2674"/>
        </w:trPr>
        <w:tc>
          <w:tcPr>
            <w:tcW w:w="1800" w:type="dxa"/>
            <w:tcBorders>
              <w:top w:val="single" w:sz="8" w:space="0" w:color="auto"/>
              <w:left w:val="single" w:sz="8" w:space="0" w:color="auto"/>
              <w:bottom w:val="single" w:sz="4" w:space="0" w:color="auto"/>
              <w:right w:val="single" w:sz="8" w:space="0" w:color="auto"/>
            </w:tcBorders>
          </w:tcPr>
          <w:p w14:paraId="60757CB0" w14:textId="01F83B78" w:rsidR="001D6657" w:rsidRPr="00F2472C" w:rsidRDefault="001D6657" w:rsidP="00B937F8">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Membrane Filtration</w:t>
            </w:r>
          </w:p>
        </w:tc>
        <w:tc>
          <w:tcPr>
            <w:tcW w:w="3960" w:type="dxa"/>
            <w:tcBorders>
              <w:top w:val="single" w:sz="8" w:space="0" w:color="auto"/>
              <w:bottom w:val="single" w:sz="4" w:space="0" w:color="auto"/>
              <w:right w:val="single" w:sz="8" w:space="0" w:color="auto"/>
            </w:tcBorders>
          </w:tcPr>
          <w:p w14:paraId="051DC119" w14:textId="77777777" w:rsidR="00520B78" w:rsidRPr="00F2472C" w:rsidRDefault="00520B78" w:rsidP="00B937F8">
            <w:pPr>
              <w:pStyle w:val="ListParagraph"/>
              <w:numPr>
                <w:ilvl w:val="0"/>
                <w:numId w:val="957"/>
              </w:numPr>
              <w:tabs>
                <w:tab w:val="left" w:pos="341"/>
              </w:tabs>
              <w:ind w:right="1160"/>
              <w:rPr>
                <w:rFonts w:eastAsia="Times New Roman"/>
                <w:sz w:val="20"/>
                <w:szCs w:val="20"/>
              </w:rPr>
            </w:pPr>
            <w:r w:rsidRPr="00F2472C">
              <w:rPr>
                <w:rFonts w:eastAsia="Times New Roman"/>
                <w:sz w:val="20"/>
                <w:szCs w:val="20"/>
              </w:rPr>
              <w:t>Results of verification testing demonstrating the following:</w:t>
            </w:r>
          </w:p>
          <w:p w14:paraId="5AAAC096" w14:textId="35620A1B" w:rsidR="00520B78" w:rsidRPr="00F2472C" w:rsidRDefault="00520B78" w:rsidP="00B937F8">
            <w:pPr>
              <w:pStyle w:val="ListParagraph"/>
              <w:numPr>
                <w:ilvl w:val="0"/>
                <w:numId w:val="958"/>
              </w:numPr>
              <w:tabs>
                <w:tab w:val="left" w:pos="586"/>
              </w:tabs>
              <w:ind w:right="100"/>
              <w:rPr>
                <w:rFonts w:eastAsia="Times New Roman"/>
                <w:sz w:val="20"/>
                <w:szCs w:val="20"/>
              </w:rPr>
            </w:pPr>
            <w:r w:rsidRPr="00F2472C">
              <w:rPr>
                <w:rFonts w:eastAsia="Times New Roman"/>
                <w:sz w:val="20"/>
                <w:szCs w:val="20"/>
              </w:rPr>
              <w:t>Removal efficiency established through challenge testing that meets criteria in</w:t>
            </w:r>
            <w:r w:rsidR="00695FC0" w:rsidRPr="00F2472C">
              <w:rPr>
                <w:rFonts w:eastAsia="Times New Roman"/>
                <w:sz w:val="20"/>
                <w:szCs w:val="20"/>
              </w:rPr>
              <w:t xml:space="preserve"> </w:t>
            </w:r>
            <w:r w:rsidRPr="00F2472C">
              <w:rPr>
                <w:rFonts w:eastAsia="Times New Roman"/>
                <w:sz w:val="20"/>
                <w:szCs w:val="20"/>
              </w:rPr>
              <w:t>310 CMR 22.20G(22)(b).</w:t>
            </w:r>
          </w:p>
          <w:p w14:paraId="389BEB7F" w14:textId="77777777" w:rsidR="00520B78" w:rsidRPr="00F2472C" w:rsidRDefault="00520B78" w:rsidP="00B937F8">
            <w:pPr>
              <w:pStyle w:val="ListParagraph"/>
              <w:numPr>
                <w:ilvl w:val="0"/>
                <w:numId w:val="958"/>
              </w:numPr>
              <w:tabs>
                <w:tab w:val="left" w:pos="580"/>
              </w:tabs>
              <w:ind w:right="300"/>
              <w:rPr>
                <w:rFonts w:eastAsia="Times New Roman"/>
                <w:sz w:val="20"/>
                <w:szCs w:val="20"/>
              </w:rPr>
            </w:pPr>
            <w:r w:rsidRPr="00F2472C">
              <w:rPr>
                <w:rFonts w:eastAsia="Times New Roman"/>
                <w:sz w:val="20"/>
                <w:szCs w:val="20"/>
              </w:rPr>
              <w:t>Integrity test method and parameters, including resolution, sensitivity, test frequency, control limits, and associated baseline.</w:t>
            </w:r>
          </w:p>
          <w:p w14:paraId="163D47E1" w14:textId="50A62F97" w:rsidR="001D6657" w:rsidRPr="00F2472C" w:rsidRDefault="00520B78" w:rsidP="00B937F8">
            <w:pPr>
              <w:pStyle w:val="ListParagraph"/>
              <w:numPr>
                <w:ilvl w:val="0"/>
                <w:numId w:val="957"/>
              </w:numPr>
              <w:tabs>
                <w:tab w:val="left" w:pos="341"/>
              </w:tabs>
              <w:ind w:right="1160"/>
              <w:rPr>
                <w:rFonts w:eastAsia="Times New Roman"/>
                <w:sz w:val="20"/>
                <w:szCs w:val="20"/>
              </w:rPr>
            </w:pPr>
            <w:r w:rsidRPr="00F2472C">
              <w:rPr>
                <w:rFonts w:eastAsia="Times New Roman"/>
                <w:sz w:val="20"/>
                <w:szCs w:val="20"/>
              </w:rPr>
              <w:t>Monthly report summarizing the following:</w:t>
            </w:r>
          </w:p>
        </w:tc>
        <w:tc>
          <w:tcPr>
            <w:tcW w:w="4400" w:type="dxa"/>
            <w:tcBorders>
              <w:top w:val="single" w:sz="8" w:space="0" w:color="auto"/>
              <w:bottom w:val="single" w:sz="4" w:space="0" w:color="auto"/>
              <w:right w:val="single" w:sz="8" w:space="0" w:color="auto"/>
            </w:tcBorders>
          </w:tcPr>
          <w:p w14:paraId="1E836770" w14:textId="77777777" w:rsidR="00211004" w:rsidRPr="00F2472C" w:rsidRDefault="00211004" w:rsidP="00B937F8">
            <w:pPr>
              <w:ind w:right="380"/>
              <w:rPr>
                <w:sz w:val="20"/>
                <w:szCs w:val="20"/>
              </w:rPr>
            </w:pPr>
            <w:r w:rsidRPr="00F2472C">
              <w:rPr>
                <w:rFonts w:eastAsia="Times New Roman"/>
                <w:sz w:val="20"/>
                <w:szCs w:val="20"/>
              </w:rPr>
              <w:t>No later than the applicable treatment compliance date in 310 CMR 22.20G(14).</w:t>
            </w:r>
          </w:p>
          <w:p w14:paraId="3223FA29" w14:textId="77777777" w:rsidR="00211004" w:rsidRPr="00F2472C" w:rsidRDefault="00211004" w:rsidP="00B937F8">
            <w:pPr>
              <w:rPr>
                <w:sz w:val="20"/>
                <w:szCs w:val="20"/>
              </w:rPr>
            </w:pPr>
          </w:p>
          <w:p w14:paraId="47FB3158" w14:textId="32BEEA22" w:rsidR="001D6657" w:rsidRPr="00F2472C" w:rsidRDefault="00211004" w:rsidP="00B937F8">
            <w:pPr>
              <w:ind w:left="40"/>
              <w:rPr>
                <w:rFonts w:eastAsia="Times New Roman"/>
                <w:sz w:val="20"/>
                <w:szCs w:val="20"/>
              </w:rPr>
            </w:pPr>
            <w:r w:rsidRPr="00F2472C">
              <w:rPr>
                <w:rFonts w:eastAsia="Times New Roman"/>
                <w:sz w:val="20"/>
                <w:szCs w:val="20"/>
              </w:rPr>
              <w:t>Within ten days following the month in which monitoring was conducted, beginning on the applicable treatment compliance date in 310 CMR 22.20G(14).</w:t>
            </w:r>
          </w:p>
        </w:tc>
      </w:tr>
    </w:tbl>
    <w:p w14:paraId="281A6790" w14:textId="37AEC078" w:rsidR="004647B9" w:rsidRDefault="004647B9" w:rsidP="00B937F8">
      <w:pPr>
        <w:rPr>
          <w:sz w:val="20"/>
          <w:szCs w:val="20"/>
        </w:rPr>
      </w:pPr>
    </w:p>
    <w:p w14:paraId="281A6791" w14:textId="4EC71B0D" w:rsidR="006C62FC" w:rsidRDefault="006C62FC" w:rsidP="00B937F8">
      <w:r>
        <w:br w:type="page"/>
      </w:r>
    </w:p>
    <w:p w14:paraId="4765A527" w14:textId="77777777" w:rsidR="004647B9" w:rsidRDefault="004647B9" w:rsidP="00B937F8">
      <w:pPr>
        <w:sectPr w:rsidR="004647B9" w:rsidSect="00EF630C">
          <w:type w:val="continuous"/>
          <w:pgSz w:w="12240" w:h="20180"/>
          <w:pgMar w:top="708" w:right="1440" w:bottom="259" w:left="600" w:header="0" w:footer="0" w:gutter="0"/>
          <w:cols w:space="720"/>
        </w:sectPr>
      </w:pPr>
    </w:p>
    <w:p w14:paraId="281A6792" w14:textId="77777777" w:rsidR="004647B9" w:rsidRDefault="00E2436F">
      <w:pPr>
        <w:tabs>
          <w:tab w:val="left" w:pos="160"/>
        </w:tabs>
        <w:jc w:val="center"/>
        <w:rPr>
          <w:sz w:val="20"/>
          <w:szCs w:val="20"/>
        </w:rPr>
      </w:pPr>
      <w:bookmarkStart w:id="300" w:name="page305"/>
      <w:bookmarkEnd w:id="30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793" w14:textId="77777777" w:rsidR="004647B9" w:rsidRPr="00696F9F" w:rsidRDefault="004647B9" w:rsidP="00696F9F">
      <w:pPr>
        <w:rPr>
          <w:sz w:val="20"/>
          <w:szCs w:val="20"/>
        </w:rPr>
      </w:pPr>
    </w:p>
    <w:p w14:paraId="1164EFCD" w14:textId="77777777" w:rsidR="00696F9F" w:rsidRPr="00696F9F" w:rsidRDefault="00696F9F" w:rsidP="00696F9F">
      <w:pPr>
        <w:rPr>
          <w:sz w:val="20"/>
          <w:szCs w:val="20"/>
        </w:rPr>
      </w:pPr>
    </w:p>
    <w:p w14:paraId="281A6794" w14:textId="256829AC" w:rsidR="004647B9" w:rsidRPr="00696F9F" w:rsidRDefault="00E2436F" w:rsidP="00696F9F">
      <w:pPr>
        <w:tabs>
          <w:tab w:val="left" w:pos="940"/>
        </w:tabs>
        <w:rPr>
          <w:rFonts w:eastAsia="Times New Roman"/>
          <w:sz w:val="24"/>
          <w:szCs w:val="24"/>
        </w:rPr>
      </w:pPr>
      <w:r w:rsidRPr="00696F9F">
        <w:rPr>
          <w:rFonts w:eastAsia="Times New Roman"/>
          <w:sz w:val="24"/>
          <w:szCs w:val="24"/>
        </w:rPr>
        <w:t>22.20G:</w:t>
      </w:r>
      <w:r w:rsidRPr="00696F9F">
        <w:rPr>
          <w:sz w:val="24"/>
          <w:szCs w:val="24"/>
        </w:rPr>
        <w:tab/>
      </w:r>
      <w:r w:rsidRPr="00696F9F">
        <w:rPr>
          <w:rFonts w:eastAsia="Times New Roman"/>
          <w:sz w:val="24"/>
          <w:szCs w:val="24"/>
        </w:rPr>
        <w:t>continued</w:t>
      </w:r>
    </w:p>
    <w:p w14:paraId="28137092" w14:textId="148DE60F" w:rsidR="006C62FC" w:rsidRPr="00696F9F" w:rsidRDefault="006C62FC" w:rsidP="00696F9F">
      <w:pPr>
        <w:tabs>
          <w:tab w:val="left" w:pos="940"/>
        </w:tabs>
        <w:rPr>
          <w:rFonts w:eastAsia="Times New Roman"/>
          <w:sz w:val="20"/>
          <w:szCs w:val="20"/>
        </w:rPr>
      </w:pPr>
    </w:p>
    <w:tbl>
      <w:tblPr>
        <w:tblW w:w="10160" w:type="dxa"/>
        <w:tblInd w:w="50" w:type="dxa"/>
        <w:tblLayout w:type="fixed"/>
        <w:tblCellMar>
          <w:left w:w="0" w:type="dxa"/>
          <w:right w:w="0" w:type="dxa"/>
        </w:tblCellMar>
        <w:tblLook w:val="04A0" w:firstRow="1" w:lastRow="0" w:firstColumn="1" w:lastColumn="0" w:noHBand="0" w:noVBand="1"/>
      </w:tblPr>
      <w:tblGrid>
        <w:gridCol w:w="1800"/>
        <w:gridCol w:w="3960"/>
        <w:gridCol w:w="4400"/>
      </w:tblGrid>
      <w:tr w:rsidR="006C62FC" w:rsidRPr="00F2472C" w14:paraId="6AC6A996" w14:textId="77777777" w:rsidTr="00DF6443">
        <w:trPr>
          <w:trHeight w:val="282"/>
        </w:trPr>
        <w:tc>
          <w:tcPr>
            <w:tcW w:w="1800" w:type="dxa"/>
            <w:tcBorders>
              <w:top w:val="single" w:sz="8" w:space="0" w:color="auto"/>
              <w:left w:val="single" w:sz="8" w:space="0" w:color="auto"/>
              <w:bottom w:val="single" w:sz="8" w:space="0" w:color="auto"/>
              <w:right w:val="single" w:sz="8" w:space="0" w:color="auto"/>
            </w:tcBorders>
            <w:vAlign w:val="center"/>
          </w:tcPr>
          <w:p w14:paraId="2ABA0E59" w14:textId="77777777" w:rsidR="006C62FC" w:rsidRPr="00F2472C" w:rsidRDefault="006C62FC" w:rsidP="00696F9F">
            <w:pPr>
              <w:jc w:val="center"/>
              <w:rPr>
                <w:sz w:val="20"/>
                <w:szCs w:val="20"/>
              </w:rPr>
            </w:pPr>
            <w:r w:rsidRPr="00F2472C">
              <w:rPr>
                <w:rFonts w:eastAsia="Times New Roman"/>
                <w:sz w:val="20"/>
                <w:szCs w:val="20"/>
              </w:rPr>
              <w:t>Toolbox option</w:t>
            </w:r>
          </w:p>
        </w:tc>
        <w:tc>
          <w:tcPr>
            <w:tcW w:w="3960" w:type="dxa"/>
            <w:tcBorders>
              <w:top w:val="single" w:sz="8" w:space="0" w:color="auto"/>
              <w:bottom w:val="single" w:sz="8" w:space="0" w:color="auto"/>
              <w:right w:val="single" w:sz="8" w:space="0" w:color="auto"/>
            </w:tcBorders>
            <w:vAlign w:val="center"/>
          </w:tcPr>
          <w:p w14:paraId="3EC53F34" w14:textId="77777777" w:rsidR="006C62FC" w:rsidRPr="00F2472C" w:rsidRDefault="006C62FC" w:rsidP="00696F9F">
            <w:pPr>
              <w:jc w:val="center"/>
              <w:rPr>
                <w:sz w:val="20"/>
                <w:szCs w:val="20"/>
              </w:rPr>
            </w:pPr>
            <w:r w:rsidRPr="00F2472C">
              <w:rPr>
                <w:rFonts w:eastAsia="Times New Roman"/>
                <w:sz w:val="20"/>
                <w:szCs w:val="20"/>
              </w:rPr>
              <w:t>Systems must submit the following information</w:t>
            </w:r>
          </w:p>
        </w:tc>
        <w:tc>
          <w:tcPr>
            <w:tcW w:w="4400" w:type="dxa"/>
            <w:tcBorders>
              <w:top w:val="single" w:sz="8" w:space="0" w:color="auto"/>
              <w:bottom w:val="single" w:sz="8" w:space="0" w:color="auto"/>
              <w:right w:val="single" w:sz="8" w:space="0" w:color="auto"/>
            </w:tcBorders>
            <w:vAlign w:val="center"/>
          </w:tcPr>
          <w:p w14:paraId="301683AF" w14:textId="77777777" w:rsidR="006C62FC" w:rsidRPr="00F2472C" w:rsidRDefault="006C62FC" w:rsidP="00696F9F">
            <w:pPr>
              <w:jc w:val="center"/>
              <w:rPr>
                <w:sz w:val="20"/>
                <w:szCs w:val="20"/>
              </w:rPr>
            </w:pPr>
            <w:r w:rsidRPr="00F2472C">
              <w:rPr>
                <w:rFonts w:eastAsia="Times New Roman"/>
                <w:sz w:val="20"/>
                <w:szCs w:val="20"/>
              </w:rPr>
              <w:t>On the following schedule</w:t>
            </w:r>
          </w:p>
        </w:tc>
      </w:tr>
      <w:tr w:rsidR="006C62FC" w:rsidRPr="00F2472C" w14:paraId="52B33E11" w14:textId="77777777" w:rsidTr="00DF6443">
        <w:trPr>
          <w:trHeight w:val="838"/>
        </w:trPr>
        <w:tc>
          <w:tcPr>
            <w:tcW w:w="1800" w:type="dxa"/>
            <w:tcBorders>
              <w:top w:val="single" w:sz="8" w:space="0" w:color="auto"/>
              <w:left w:val="single" w:sz="8" w:space="0" w:color="auto"/>
              <w:bottom w:val="single" w:sz="8" w:space="0" w:color="auto"/>
              <w:right w:val="single" w:sz="8" w:space="0" w:color="auto"/>
            </w:tcBorders>
          </w:tcPr>
          <w:p w14:paraId="6264D79A" w14:textId="35EADA0D" w:rsidR="006C62FC" w:rsidRPr="00F2472C" w:rsidRDefault="006C62FC" w:rsidP="00696F9F">
            <w:pPr>
              <w:tabs>
                <w:tab w:val="left" w:pos="480"/>
              </w:tabs>
              <w:ind w:left="120"/>
              <w:rPr>
                <w:rFonts w:eastAsia="Times New Roman"/>
                <w:sz w:val="20"/>
                <w:szCs w:val="20"/>
              </w:rPr>
            </w:pPr>
          </w:p>
        </w:tc>
        <w:tc>
          <w:tcPr>
            <w:tcW w:w="3960" w:type="dxa"/>
            <w:tcBorders>
              <w:top w:val="single" w:sz="8" w:space="0" w:color="auto"/>
              <w:bottom w:val="single" w:sz="8" w:space="0" w:color="auto"/>
              <w:right w:val="single" w:sz="8" w:space="0" w:color="auto"/>
            </w:tcBorders>
          </w:tcPr>
          <w:p w14:paraId="60038469" w14:textId="77777777" w:rsidR="00624A8D" w:rsidRPr="00F2472C" w:rsidRDefault="00624A8D" w:rsidP="00696F9F">
            <w:pPr>
              <w:pStyle w:val="ListParagraph"/>
              <w:numPr>
                <w:ilvl w:val="0"/>
                <w:numId w:val="959"/>
              </w:numPr>
              <w:tabs>
                <w:tab w:val="left" w:pos="580"/>
              </w:tabs>
              <w:ind w:right="300"/>
              <w:rPr>
                <w:rFonts w:eastAsia="Times New Roman"/>
                <w:sz w:val="20"/>
                <w:szCs w:val="20"/>
              </w:rPr>
            </w:pPr>
            <w:r w:rsidRPr="00F2472C">
              <w:rPr>
                <w:rFonts w:eastAsia="Times New Roman"/>
                <w:sz w:val="20"/>
                <w:szCs w:val="20"/>
              </w:rPr>
              <w:t>All direct integrity tests above the control limit;</w:t>
            </w:r>
          </w:p>
          <w:p w14:paraId="51B00F61" w14:textId="01FB984D" w:rsidR="006C62FC" w:rsidRPr="00F2472C" w:rsidRDefault="00624A8D" w:rsidP="00696F9F">
            <w:pPr>
              <w:pStyle w:val="ListParagraph"/>
              <w:numPr>
                <w:ilvl w:val="0"/>
                <w:numId w:val="959"/>
              </w:numPr>
              <w:tabs>
                <w:tab w:val="left" w:pos="580"/>
              </w:tabs>
              <w:ind w:right="300"/>
              <w:rPr>
                <w:sz w:val="20"/>
                <w:szCs w:val="20"/>
              </w:rPr>
            </w:pPr>
            <w:r w:rsidRPr="00F2472C">
              <w:rPr>
                <w:rFonts w:eastAsia="Times New Roman"/>
                <w:sz w:val="20"/>
                <w:szCs w:val="20"/>
              </w:rPr>
              <w:t>If applicable, any Turbidity or alternative Department approved indirect integrity monitoring results triggering direct integrity testing and the corrective action that was taken.</w:t>
            </w:r>
          </w:p>
        </w:tc>
        <w:tc>
          <w:tcPr>
            <w:tcW w:w="4400" w:type="dxa"/>
            <w:tcBorders>
              <w:top w:val="single" w:sz="8" w:space="0" w:color="auto"/>
              <w:bottom w:val="single" w:sz="8" w:space="0" w:color="auto"/>
              <w:right w:val="single" w:sz="8" w:space="0" w:color="auto"/>
            </w:tcBorders>
          </w:tcPr>
          <w:p w14:paraId="6A4ACD4F" w14:textId="103307A8" w:rsidR="006C62FC" w:rsidRPr="00F2472C" w:rsidRDefault="006C62FC" w:rsidP="00696F9F">
            <w:pPr>
              <w:ind w:left="40"/>
              <w:rPr>
                <w:sz w:val="20"/>
                <w:szCs w:val="20"/>
              </w:rPr>
            </w:pPr>
          </w:p>
        </w:tc>
      </w:tr>
      <w:tr w:rsidR="006C62FC" w:rsidRPr="00F2472C" w14:paraId="562C48D1" w14:textId="77777777" w:rsidTr="00F2472C">
        <w:trPr>
          <w:trHeight w:val="1036"/>
        </w:trPr>
        <w:tc>
          <w:tcPr>
            <w:tcW w:w="1800" w:type="dxa"/>
            <w:tcBorders>
              <w:top w:val="single" w:sz="8" w:space="0" w:color="auto"/>
              <w:left w:val="single" w:sz="8" w:space="0" w:color="auto"/>
              <w:bottom w:val="single" w:sz="8" w:space="0" w:color="auto"/>
              <w:right w:val="single" w:sz="8" w:space="0" w:color="auto"/>
            </w:tcBorders>
          </w:tcPr>
          <w:p w14:paraId="4161015F" w14:textId="3F2AF0F1" w:rsidR="006C62FC" w:rsidRPr="00F2472C" w:rsidRDefault="006C62FC" w:rsidP="00696F9F">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Second stage Filtration</w:t>
            </w:r>
          </w:p>
        </w:tc>
        <w:tc>
          <w:tcPr>
            <w:tcW w:w="3960" w:type="dxa"/>
            <w:tcBorders>
              <w:top w:val="single" w:sz="8" w:space="0" w:color="auto"/>
              <w:bottom w:val="single" w:sz="8" w:space="0" w:color="auto"/>
              <w:right w:val="single" w:sz="8" w:space="0" w:color="auto"/>
            </w:tcBorders>
          </w:tcPr>
          <w:p w14:paraId="19F9E10C" w14:textId="60FD525B" w:rsidR="006C62FC" w:rsidRPr="00F2472C" w:rsidRDefault="00F2472C" w:rsidP="00696F9F">
            <w:pPr>
              <w:tabs>
                <w:tab w:val="left" w:pos="391"/>
              </w:tabs>
              <w:rPr>
                <w:rFonts w:eastAsia="Times New Roman"/>
                <w:sz w:val="20"/>
                <w:szCs w:val="20"/>
              </w:rPr>
            </w:pPr>
            <w:r w:rsidRPr="00F2472C">
              <w:rPr>
                <w:rFonts w:eastAsia="Times New Roman"/>
                <w:sz w:val="20"/>
                <w:szCs w:val="20"/>
              </w:rPr>
              <w:t>Monthly verification that 100% of flow was filtered through both stages and that first stage was preceded by Coagulation step.</w:t>
            </w:r>
          </w:p>
        </w:tc>
        <w:tc>
          <w:tcPr>
            <w:tcW w:w="4400" w:type="dxa"/>
            <w:tcBorders>
              <w:top w:val="single" w:sz="8" w:space="0" w:color="auto"/>
              <w:bottom w:val="single" w:sz="8" w:space="0" w:color="auto"/>
              <w:right w:val="single" w:sz="8" w:space="0" w:color="auto"/>
            </w:tcBorders>
          </w:tcPr>
          <w:p w14:paraId="223B40A9" w14:textId="45FAD56B" w:rsidR="006C62FC" w:rsidRPr="00F2472C" w:rsidRDefault="00F2472C" w:rsidP="00696F9F">
            <w:pPr>
              <w:ind w:left="40"/>
              <w:rPr>
                <w:rFonts w:eastAsia="Times New Roman"/>
                <w:sz w:val="20"/>
                <w:szCs w:val="20"/>
              </w:rPr>
            </w:pPr>
            <w:r w:rsidRPr="00F2472C">
              <w:rPr>
                <w:rFonts w:eastAsia="Times New Roman"/>
                <w:sz w:val="20"/>
                <w:szCs w:val="20"/>
              </w:rPr>
              <w:t>Within ten days following the month in which monitoring was conducted, beginning on the applicable treatment compliance date in 310 CMR 22.20G(14).</w:t>
            </w:r>
          </w:p>
        </w:tc>
      </w:tr>
      <w:tr w:rsidR="006C62FC" w:rsidRPr="00F2472C" w14:paraId="18FDF83F" w14:textId="77777777" w:rsidTr="00F2472C">
        <w:trPr>
          <w:trHeight w:val="1333"/>
        </w:trPr>
        <w:tc>
          <w:tcPr>
            <w:tcW w:w="1800" w:type="dxa"/>
            <w:tcBorders>
              <w:top w:val="single" w:sz="8" w:space="0" w:color="auto"/>
              <w:left w:val="single" w:sz="8" w:space="0" w:color="auto"/>
              <w:bottom w:val="single" w:sz="8" w:space="0" w:color="auto"/>
              <w:right w:val="single" w:sz="8" w:space="0" w:color="auto"/>
            </w:tcBorders>
          </w:tcPr>
          <w:p w14:paraId="7BF26751" w14:textId="3B615D3B" w:rsidR="006C62FC" w:rsidRPr="00F2472C" w:rsidRDefault="006C62FC" w:rsidP="00696F9F">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Slow Sand Filtration (as secondary filter)</w:t>
            </w:r>
          </w:p>
        </w:tc>
        <w:tc>
          <w:tcPr>
            <w:tcW w:w="3960" w:type="dxa"/>
            <w:tcBorders>
              <w:top w:val="single" w:sz="8" w:space="0" w:color="auto"/>
              <w:bottom w:val="single" w:sz="8" w:space="0" w:color="auto"/>
              <w:right w:val="single" w:sz="8" w:space="0" w:color="auto"/>
            </w:tcBorders>
          </w:tcPr>
          <w:p w14:paraId="2AB6A339" w14:textId="5546CCB0" w:rsidR="006C62FC" w:rsidRPr="00F2472C" w:rsidRDefault="00F2472C" w:rsidP="00696F9F">
            <w:pPr>
              <w:tabs>
                <w:tab w:val="left" w:pos="342"/>
              </w:tabs>
              <w:ind w:right="280"/>
              <w:rPr>
                <w:rFonts w:eastAsia="Times New Roman"/>
                <w:sz w:val="20"/>
                <w:szCs w:val="20"/>
              </w:rPr>
            </w:pPr>
            <w:r w:rsidRPr="00F2472C">
              <w:rPr>
                <w:rFonts w:eastAsia="Times New Roman"/>
                <w:sz w:val="20"/>
                <w:szCs w:val="20"/>
              </w:rPr>
              <w:t>Monthly verification that both a slow sand filter and a preceding separate stage of Filtration treated 100% of flow from Surface Water Sources or Groundwater Under the Direct Influence of Surface Water.</w:t>
            </w:r>
          </w:p>
        </w:tc>
        <w:tc>
          <w:tcPr>
            <w:tcW w:w="4400" w:type="dxa"/>
            <w:tcBorders>
              <w:top w:val="single" w:sz="8" w:space="0" w:color="auto"/>
              <w:bottom w:val="single" w:sz="8" w:space="0" w:color="auto"/>
              <w:right w:val="single" w:sz="8" w:space="0" w:color="auto"/>
            </w:tcBorders>
          </w:tcPr>
          <w:p w14:paraId="3BA08AEA" w14:textId="5011C91F" w:rsidR="006C62FC" w:rsidRPr="00F2472C" w:rsidRDefault="00F2472C" w:rsidP="00696F9F">
            <w:pPr>
              <w:ind w:left="40"/>
              <w:rPr>
                <w:rFonts w:eastAsia="Times New Roman"/>
                <w:sz w:val="20"/>
                <w:szCs w:val="20"/>
              </w:rPr>
            </w:pPr>
            <w:r w:rsidRPr="00F2472C">
              <w:rPr>
                <w:rFonts w:eastAsia="Times New Roman"/>
                <w:sz w:val="20"/>
                <w:szCs w:val="20"/>
              </w:rPr>
              <w:t>Within ten days following the month in which monitoring was conducted, beginning on the applicable treatment compliance date in 310 CMR 22.20G(14).</w:t>
            </w:r>
          </w:p>
        </w:tc>
      </w:tr>
      <w:tr w:rsidR="006C62FC" w:rsidRPr="00F2472C" w14:paraId="01948064" w14:textId="77777777" w:rsidTr="00F2472C">
        <w:trPr>
          <w:trHeight w:val="1063"/>
        </w:trPr>
        <w:tc>
          <w:tcPr>
            <w:tcW w:w="1800" w:type="dxa"/>
            <w:tcBorders>
              <w:top w:val="single" w:sz="8" w:space="0" w:color="auto"/>
              <w:left w:val="single" w:sz="8" w:space="0" w:color="auto"/>
              <w:bottom w:val="single" w:sz="8" w:space="0" w:color="auto"/>
              <w:right w:val="single" w:sz="8" w:space="0" w:color="auto"/>
            </w:tcBorders>
          </w:tcPr>
          <w:p w14:paraId="62293611" w14:textId="228DAADC" w:rsidR="006C62FC" w:rsidRPr="00F2472C" w:rsidRDefault="006C62FC" w:rsidP="00696F9F">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Chlorine dioxide</w:t>
            </w:r>
          </w:p>
        </w:tc>
        <w:tc>
          <w:tcPr>
            <w:tcW w:w="3960" w:type="dxa"/>
            <w:tcBorders>
              <w:top w:val="single" w:sz="8" w:space="0" w:color="auto"/>
              <w:bottom w:val="single" w:sz="8" w:space="0" w:color="auto"/>
              <w:right w:val="single" w:sz="8" w:space="0" w:color="auto"/>
            </w:tcBorders>
          </w:tcPr>
          <w:p w14:paraId="20A156A1" w14:textId="5136E29E" w:rsidR="006C62FC" w:rsidRPr="00F2472C" w:rsidRDefault="00F2472C" w:rsidP="00696F9F">
            <w:pPr>
              <w:tabs>
                <w:tab w:val="left" w:pos="391"/>
              </w:tabs>
              <w:rPr>
                <w:rFonts w:eastAsia="Times New Roman"/>
                <w:sz w:val="20"/>
                <w:szCs w:val="20"/>
              </w:rPr>
            </w:pPr>
            <w:r w:rsidRPr="00F2472C">
              <w:rPr>
                <w:rFonts w:eastAsia="Times New Roman"/>
                <w:sz w:val="20"/>
                <w:szCs w:val="20"/>
              </w:rPr>
              <w:t>Summary of CT values for each day as described in 310 CMR 22.20G(23), as applicable.</w:t>
            </w:r>
          </w:p>
        </w:tc>
        <w:tc>
          <w:tcPr>
            <w:tcW w:w="4400" w:type="dxa"/>
            <w:tcBorders>
              <w:top w:val="single" w:sz="8" w:space="0" w:color="auto"/>
              <w:bottom w:val="single" w:sz="8" w:space="0" w:color="auto"/>
              <w:right w:val="single" w:sz="8" w:space="0" w:color="auto"/>
            </w:tcBorders>
          </w:tcPr>
          <w:p w14:paraId="586A5039" w14:textId="7271DD93" w:rsidR="006C62FC" w:rsidRPr="00F2472C" w:rsidRDefault="00F2472C" w:rsidP="00696F9F">
            <w:pPr>
              <w:ind w:right="200"/>
              <w:rPr>
                <w:sz w:val="20"/>
                <w:szCs w:val="20"/>
              </w:rPr>
            </w:pPr>
            <w:r w:rsidRPr="00F2472C">
              <w:rPr>
                <w:rFonts w:eastAsia="Times New Roman"/>
                <w:sz w:val="20"/>
                <w:szCs w:val="20"/>
              </w:rPr>
              <w:t>Within ten days following the month in which monitoring was conducted, beginning on the applicable treatment compliance date in 310 CMR 22.20G(14).</w:t>
            </w:r>
          </w:p>
        </w:tc>
      </w:tr>
      <w:tr w:rsidR="006C62FC" w:rsidRPr="00F2472C" w14:paraId="35E88196" w14:textId="77777777" w:rsidTr="00F2472C">
        <w:trPr>
          <w:trHeight w:val="1054"/>
        </w:trPr>
        <w:tc>
          <w:tcPr>
            <w:tcW w:w="1800" w:type="dxa"/>
            <w:tcBorders>
              <w:top w:val="single" w:sz="8" w:space="0" w:color="auto"/>
              <w:left w:val="single" w:sz="8" w:space="0" w:color="auto"/>
              <w:bottom w:val="single" w:sz="8" w:space="0" w:color="auto"/>
              <w:right w:val="single" w:sz="8" w:space="0" w:color="auto"/>
            </w:tcBorders>
          </w:tcPr>
          <w:p w14:paraId="390E1C19" w14:textId="27890AD7" w:rsidR="006C62FC" w:rsidRPr="00F2472C" w:rsidRDefault="006C62FC" w:rsidP="00696F9F">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Ozone</w:t>
            </w:r>
          </w:p>
        </w:tc>
        <w:tc>
          <w:tcPr>
            <w:tcW w:w="3960" w:type="dxa"/>
            <w:tcBorders>
              <w:top w:val="single" w:sz="8" w:space="0" w:color="auto"/>
              <w:bottom w:val="single" w:sz="8" w:space="0" w:color="auto"/>
              <w:right w:val="single" w:sz="8" w:space="0" w:color="auto"/>
            </w:tcBorders>
          </w:tcPr>
          <w:p w14:paraId="6D58C585" w14:textId="42E8A7D9" w:rsidR="006C62FC" w:rsidRPr="00F2472C" w:rsidRDefault="00F2472C" w:rsidP="00696F9F">
            <w:pPr>
              <w:ind w:right="40"/>
              <w:rPr>
                <w:rFonts w:eastAsia="Times New Roman"/>
                <w:sz w:val="20"/>
                <w:szCs w:val="20"/>
              </w:rPr>
            </w:pPr>
            <w:r w:rsidRPr="00F2472C">
              <w:rPr>
                <w:rFonts w:eastAsia="Times New Roman"/>
                <w:sz w:val="20"/>
                <w:szCs w:val="20"/>
              </w:rPr>
              <w:t>Summary of CT values for each day as described in 310 CMR 22.20G(23), as applicable.</w:t>
            </w:r>
          </w:p>
        </w:tc>
        <w:tc>
          <w:tcPr>
            <w:tcW w:w="4400" w:type="dxa"/>
            <w:tcBorders>
              <w:top w:val="single" w:sz="8" w:space="0" w:color="auto"/>
              <w:bottom w:val="single" w:sz="8" w:space="0" w:color="auto"/>
              <w:right w:val="single" w:sz="8" w:space="0" w:color="auto"/>
            </w:tcBorders>
          </w:tcPr>
          <w:p w14:paraId="019E6DD7" w14:textId="790033F7" w:rsidR="006C62FC" w:rsidRPr="00F2472C" w:rsidRDefault="00F2472C" w:rsidP="00696F9F">
            <w:pPr>
              <w:ind w:right="380"/>
              <w:rPr>
                <w:sz w:val="20"/>
                <w:szCs w:val="20"/>
              </w:rPr>
            </w:pPr>
            <w:r w:rsidRPr="00F2472C">
              <w:rPr>
                <w:rFonts w:eastAsia="Times New Roman"/>
                <w:sz w:val="20"/>
                <w:szCs w:val="20"/>
              </w:rPr>
              <w:t>Within ten days following the month in which monitoring was conducted, beginning on the applicable treatment compliance date in 310 CMR 22.20G(14).</w:t>
            </w:r>
          </w:p>
        </w:tc>
      </w:tr>
      <w:tr w:rsidR="006C62FC" w:rsidRPr="00F2472C" w14:paraId="21D325F8" w14:textId="77777777" w:rsidTr="00F2472C">
        <w:trPr>
          <w:trHeight w:val="2422"/>
        </w:trPr>
        <w:tc>
          <w:tcPr>
            <w:tcW w:w="1800" w:type="dxa"/>
            <w:tcBorders>
              <w:top w:val="single" w:sz="8" w:space="0" w:color="auto"/>
              <w:left w:val="single" w:sz="8" w:space="0" w:color="auto"/>
              <w:bottom w:val="single" w:sz="8" w:space="0" w:color="auto"/>
              <w:right w:val="single" w:sz="8" w:space="0" w:color="auto"/>
            </w:tcBorders>
          </w:tcPr>
          <w:p w14:paraId="33C01EFA" w14:textId="6C8CD8FC" w:rsidR="006C62FC" w:rsidRPr="00F2472C" w:rsidRDefault="006C62FC" w:rsidP="00696F9F">
            <w:pPr>
              <w:pStyle w:val="ListParagraph"/>
              <w:numPr>
                <w:ilvl w:val="0"/>
                <w:numId w:val="945"/>
              </w:numPr>
              <w:tabs>
                <w:tab w:val="left" w:pos="480"/>
              </w:tabs>
              <w:ind w:left="120" w:firstLine="0"/>
              <w:rPr>
                <w:rFonts w:eastAsia="Times New Roman"/>
                <w:sz w:val="20"/>
                <w:szCs w:val="20"/>
              </w:rPr>
            </w:pPr>
            <w:r w:rsidRPr="00F2472C">
              <w:rPr>
                <w:rFonts w:eastAsia="Times New Roman"/>
                <w:sz w:val="20"/>
                <w:szCs w:val="20"/>
              </w:rPr>
              <w:t>UV</w:t>
            </w:r>
          </w:p>
        </w:tc>
        <w:tc>
          <w:tcPr>
            <w:tcW w:w="3960" w:type="dxa"/>
            <w:tcBorders>
              <w:top w:val="single" w:sz="8" w:space="0" w:color="auto"/>
              <w:bottom w:val="single" w:sz="8" w:space="0" w:color="auto"/>
              <w:right w:val="single" w:sz="8" w:space="0" w:color="auto"/>
            </w:tcBorders>
          </w:tcPr>
          <w:p w14:paraId="155170FB" w14:textId="77777777" w:rsidR="00F2472C" w:rsidRPr="00F2472C" w:rsidRDefault="00F2472C" w:rsidP="00696F9F">
            <w:pPr>
              <w:pStyle w:val="ListParagraph"/>
              <w:numPr>
                <w:ilvl w:val="0"/>
                <w:numId w:val="960"/>
              </w:numPr>
              <w:tabs>
                <w:tab w:val="left" w:pos="341"/>
              </w:tabs>
              <w:ind w:right="140"/>
              <w:rPr>
                <w:rFonts w:eastAsia="Times New Roman"/>
                <w:sz w:val="20"/>
                <w:szCs w:val="20"/>
              </w:rPr>
            </w:pPr>
            <w:r w:rsidRPr="00F2472C">
              <w:rPr>
                <w:rFonts w:eastAsia="Times New Roman"/>
                <w:sz w:val="20"/>
                <w:szCs w:val="20"/>
              </w:rPr>
              <w:t>Validation test results demonstrating operating conditions that achieve required UV dose.</w:t>
            </w:r>
          </w:p>
          <w:p w14:paraId="649421ED" w14:textId="670CEC73" w:rsidR="006C62FC" w:rsidRPr="00F2472C" w:rsidRDefault="00F2472C" w:rsidP="00696F9F">
            <w:pPr>
              <w:pStyle w:val="ListParagraph"/>
              <w:numPr>
                <w:ilvl w:val="0"/>
                <w:numId w:val="960"/>
              </w:numPr>
              <w:tabs>
                <w:tab w:val="left" w:pos="397"/>
              </w:tabs>
              <w:ind w:right="240"/>
              <w:rPr>
                <w:rFonts w:eastAsia="Times New Roman"/>
                <w:sz w:val="20"/>
                <w:szCs w:val="20"/>
              </w:rPr>
            </w:pPr>
            <w:r w:rsidRPr="00F2472C">
              <w:rPr>
                <w:rFonts w:eastAsia="Times New Roman"/>
                <w:sz w:val="20"/>
                <w:szCs w:val="20"/>
              </w:rPr>
              <w:t>Monthly report summarizing the percentage of water entering the Distribution System that was not treated by UV reactors operating within validated conditions for the required dose as specified in 310 CMR 22.20G(23), as applicable.</w:t>
            </w:r>
          </w:p>
        </w:tc>
        <w:tc>
          <w:tcPr>
            <w:tcW w:w="4400" w:type="dxa"/>
            <w:tcBorders>
              <w:top w:val="single" w:sz="8" w:space="0" w:color="auto"/>
              <w:bottom w:val="single" w:sz="8" w:space="0" w:color="auto"/>
              <w:right w:val="single" w:sz="8" w:space="0" w:color="auto"/>
            </w:tcBorders>
          </w:tcPr>
          <w:p w14:paraId="21E67996" w14:textId="545DAFC1" w:rsidR="006C62FC" w:rsidRPr="00F2472C" w:rsidRDefault="006C62FC" w:rsidP="00696F9F">
            <w:pPr>
              <w:ind w:right="380"/>
              <w:rPr>
                <w:sz w:val="20"/>
                <w:szCs w:val="20"/>
              </w:rPr>
            </w:pPr>
          </w:p>
        </w:tc>
      </w:tr>
    </w:tbl>
    <w:p w14:paraId="281A67EF" w14:textId="77777777" w:rsidR="004647B9" w:rsidRDefault="004647B9" w:rsidP="00696F9F">
      <w:pPr>
        <w:rPr>
          <w:sz w:val="20"/>
          <w:szCs w:val="20"/>
        </w:rPr>
      </w:pPr>
    </w:p>
    <w:p w14:paraId="281A67F0" w14:textId="77777777" w:rsidR="004647B9" w:rsidRDefault="004647B9" w:rsidP="00696F9F">
      <w:pPr>
        <w:sectPr w:rsidR="004647B9" w:rsidSect="00EF630C">
          <w:type w:val="continuous"/>
          <w:pgSz w:w="12240" w:h="20180"/>
          <w:pgMar w:top="708" w:right="1440" w:bottom="1440" w:left="600" w:header="0" w:footer="0" w:gutter="0"/>
          <w:cols w:space="720"/>
        </w:sectPr>
      </w:pPr>
    </w:p>
    <w:p w14:paraId="281A67F2" w14:textId="77777777" w:rsidR="004647B9" w:rsidRPr="00CD6AC1" w:rsidRDefault="00E2436F" w:rsidP="00696F9F">
      <w:pPr>
        <w:numPr>
          <w:ilvl w:val="0"/>
          <w:numId w:val="757"/>
        </w:numPr>
        <w:tabs>
          <w:tab w:val="left" w:pos="1780"/>
        </w:tabs>
        <w:ind w:left="1780" w:hanging="580"/>
        <w:rPr>
          <w:rFonts w:eastAsia="Times New Roman"/>
          <w:sz w:val="24"/>
          <w:szCs w:val="24"/>
        </w:rPr>
      </w:pPr>
      <w:r w:rsidRPr="00CD6AC1">
        <w:rPr>
          <w:rFonts w:eastAsia="Times New Roman"/>
          <w:sz w:val="24"/>
          <w:szCs w:val="24"/>
          <w:u w:val="single"/>
        </w:rPr>
        <w:t>Recordkeeping Requirements</w:t>
      </w:r>
      <w:r w:rsidRPr="00CD6AC1">
        <w:rPr>
          <w:rFonts w:eastAsia="Times New Roman"/>
          <w:sz w:val="24"/>
          <w:szCs w:val="24"/>
        </w:rPr>
        <w:t>.</w:t>
      </w:r>
    </w:p>
    <w:p w14:paraId="281A67F4" w14:textId="77777777" w:rsidR="004647B9" w:rsidRPr="00CD6AC1" w:rsidRDefault="00E2436F" w:rsidP="00696F9F">
      <w:pPr>
        <w:numPr>
          <w:ilvl w:val="1"/>
          <w:numId w:val="757"/>
        </w:numPr>
        <w:tabs>
          <w:tab w:val="left" w:pos="2062"/>
        </w:tabs>
        <w:ind w:left="1560" w:hanging="5"/>
        <w:jc w:val="both"/>
        <w:rPr>
          <w:rFonts w:eastAsia="Times New Roman"/>
          <w:sz w:val="24"/>
          <w:szCs w:val="24"/>
        </w:rPr>
      </w:pPr>
      <w:r w:rsidRPr="00CD6AC1">
        <w:rPr>
          <w:rFonts w:eastAsia="Times New Roman"/>
          <w:sz w:val="24"/>
          <w:szCs w:val="24"/>
        </w:rPr>
        <w:t xml:space="preserve">Systems must keep results from the initial round of source water monitoring under 310 CMR 22.20G(2)(a) and the second round of source water monitoring under 310 CMR 22.20G(2)(b) until three years after bin classification under 310 CMR 22.20G(11) for filtered systems or determination of the mean </w:t>
      </w:r>
      <w:r w:rsidRPr="00CD6AC1">
        <w:rPr>
          <w:rFonts w:eastAsia="Times New Roman"/>
          <w:i/>
          <w:iCs/>
          <w:sz w:val="24"/>
          <w:szCs w:val="24"/>
        </w:rPr>
        <w:t>Cryptosporidium</w:t>
      </w:r>
      <w:r w:rsidRPr="00CD6AC1">
        <w:rPr>
          <w:rFonts w:eastAsia="Times New Roman"/>
          <w:sz w:val="24"/>
          <w:szCs w:val="24"/>
        </w:rPr>
        <w:t xml:space="preserve"> level under 310 CMR 22.20G(11) for unfiltered systems for the particular round of monitoring.</w:t>
      </w:r>
    </w:p>
    <w:p w14:paraId="281A67F6" w14:textId="77777777" w:rsidR="004647B9" w:rsidRPr="00CD6AC1" w:rsidRDefault="00E2436F" w:rsidP="00696F9F">
      <w:pPr>
        <w:numPr>
          <w:ilvl w:val="1"/>
          <w:numId w:val="757"/>
        </w:numPr>
        <w:tabs>
          <w:tab w:val="left" w:pos="1984"/>
        </w:tabs>
        <w:ind w:left="1560" w:hanging="5"/>
        <w:rPr>
          <w:rFonts w:eastAsia="Times New Roman"/>
          <w:sz w:val="24"/>
          <w:szCs w:val="24"/>
        </w:rPr>
      </w:pPr>
      <w:r w:rsidRPr="00CD6AC1">
        <w:rPr>
          <w:rFonts w:eastAsia="Times New Roman"/>
          <w:sz w:val="24"/>
          <w:szCs w:val="24"/>
        </w:rPr>
        <w:t>Systems must keep any notification to the Department that they will not conduct source water monitoring due to meeting the criteria of 310 CMR 22.20G(2)(d) for three years.</w:t>
      </w:r>
    </w:p>
    <w:p w14:paraId="281A67F8" w14:textId="77777777" w:rsidR="004647B9" w:rsidRPr="00CD6AC1" w:rsidRDefault="00E2436F" w:rsidP="00696F9F">
      <w:pPr>
        <w:numPr>
          <w:ilvl w:val="1"/>
          <w:numId w:val="757"/>
        </w:numPr>
        <w:tabs>
          <w:tab w:val="left" w:pos="1937"/>
        </w:tabs>
        <w:ind w:left="1560" w:hanging="5"/>
        <w:jc w:val="both"/>
        <w:rPr>
          <w:rFonts w:eastAsia="Times New Roman"/>
          <w:sz w:val="24"/>
          <w:szCs w:val="24"/>
        </w:rPr>
      </w:pPr>
      <w:r w:rsidRPr="00CD6AC1">
        <w:rPr>
          <w:rFonts w:eastAsia="Times New Roman"/>
          <w:sz w:val="24"/>
          <w:szCs w:val="24"/>
        </w:rPr>
        <w:t>Systems must keep the results of treatment monitoring associated with microbial toolbox options under 310 CMR 22.20G(18) through (23) and with uncovered finished water reservoirs under 310 CMR 22.20G(15), as applicable, for three years.</w:t>
      </w:r>
    </w:p>
    <w:p w14:paraId="281A67F9" w14:textId="77777777" w:rsidR="004647B9" w:rsidRDefault="004647B9" w:rsidP="00696F9F">
      <w:pPr>
        <w:sectPr w:rsidR="004647B9" w:rsidSect="00EF630C">
          <w:type w:val="continuous"/>
          <w:pgSz w:w="12240" w:h="20180"/>
          <w:pgMar w:top="708" w:right="1440" w:bottom="1440" w:left="600" w:header="0" w:footer="0" w:gutter="0"/>
          <w:cols w:space="720"/>
        </w:sectPr>
      </w:pPr>
    </w:p>
    <w:p w14:paraId="281A67FA" w14:textId="77777777" w:rsidR="004647B9" w:rsidRDefault="00E2436F">
      <w:pPr>
        <w:tabs>
          <w:tab w:val="left" w:pos="160"/>
        </w:tabs>
        <w:ind w:right="20"/>
        <w:jc w:val="center"/>
        <w:rPr>
          <w:sz w:val="20"/>
          <w:szCs w:val="20"/>
        </w:rPr>
      </w:pPr>
      <w:bookmarkStart w:id="301" w:name="page306"/>
      <w:bookmarkEnd w:id="30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7FB" w14:textId="77777777" w:rsidR="004647B9" w:rsidRDefault="004647B9" w:rsidP="00696F9F">
      <w:pPr>
        <w:rPr>
          <w:sz w:val="20"/>
          <w:szCs w:val="20"/>
        </w:rPr>
      </w:pPr>
    </w:p>
    <w:p w14:paraId="281A67FC" w14:textId="77777777" w:rsidR="004647B9" w:rsidRDefault="004647B9" w:rsidP="00696F9F">
      <w:pPr>
        <w:rPr>
          <w:sz w:val="20"/>
          <w:szCs w:val="20"/>
        </w:rPr>
      </w:pPr>
    </w:p>
    <w:p w14:paraId="281A67FD" w14:textId="77777777" w:rsidR="004647B9" w:rsidRPr="00046F96" w:rsidRDefault="00E2436F" w:rsidP="00696F9F">
      <w:pPr>
        <w:tabs>
          <w:tab w:val="left" w:pos="940"/>
        </w:tabs>
        <w:rPr>
          <w:sz w:val="24"/>
          <w:szCs w:val="24"/>
        </w:rPr>
      </w:pPr>
      <w:r w:rsidRPr="00046F96">
        <w:rPr>
          <w:rFonts w:eastAsia="Times New Roman"/>
          <w:sz w:val="24"/>
          <w:szCs w:val="24"/>
        </w:rPr>
        <w:t>22.20G:</w:t>
      </w:r>
      <w:r w:rsidRPr="00046F96">
        <w:rPr>
          <w:rFonts w:eastAsia="Times New Roman"/>
          <w:sz w:val="24"/>
          <w:szCs w:val="24"/>
        </w:rPr>
        <w:tab/>
        <w:t>continued</w:t>
      </w:r>
    </w:p>
    <w:p w14:paraId="281A67FE" w14:textId="77777777" w:rsidR="004647B9" w:rsidRPr="00696F9F" w:rsidRDefault="004647B9" w:rsidP="00696F9F">
      <w:pPr>
        <w:rPr>
          <w:sz w:val="20"/>
          <w:szCs w:val="20"/>
        </w:rPr>
      </w:pPr>
    </w:p>
    <w:p w14:paraId="281A67FF" w14:textId="77777777" w:rsidR="004647B9" w:rsidRPr="00046F96" w:rsidRDefault="00E2436F" w:rsidP="00696F9F">
      <w:pPr>
        <w:numPr>
          <w:ilvl w:val="0"/>
          <w:numId w:val="758"/>
        </w:numPr>
        <w:tabs>
          <w:tab w:val="left" w:pos="1760"/>
        </w:tabs>
        <w:ind w:left="1760" w:hanging="580"/>
        <w:rPr>
          <w:rFonts w:eastAsia="Times New Roman"/>
          <w:sz w:val="24"/>
          <w:szCs w:val="24"/>
        </w:rPr>
      </w:pPr>
      <w:r w:rsidRPr="00046F96">
        <w:rPr>
          <w:rFonts w:eastAsia="Times New Roman"/>
          <w:sz w:val="24"/>
          <w:szCs w:val="24"/>
          <w:u w:val="single"/>
        </w:rPr>
        <w:t>Microbial Toolbox Options for Meeting</w:t>
      </w:r>
      <w:r w:rsidRPr="00046F96">
        <w:rPr>
          <w:rFonts w:eastAsia="Times New Roman"/>
          <w:sz w:val="24"/>
          <w:szCs w:val="24"/>
        </w:rPr>
        <w:t xml:space="preserve"> </w:t>
      </w:r>
      <w:r w:rsidRPr="00046F96">
        <w:rPr>
          <w:rFonts w:eastAsia="Times New Roman"/>
          <w:i/>
          <w:iCs/>
          <w:sz w:val="24"/>
          <w:szCs w:val="24"/>
          <w:u w:val="single"/>
        </w:rPr>
        <w:t>Cryptosporidium</w:t>
      </w:r>
      <w:r w:rsidRPr="00046F96">
        <w:rPr>
          <w:rFonts w:eastAsia="Times New Roman"/>
          <w:sz w:val="24"/>
          <w:szCs w:val="24"/>
        </w:rPr>
        <w:t xml:space="preserve"> </w:t>
      </w:r>
      <w:r w:rsidRPr="00046F96">
        <w:rPr>
          <w:rFonts w:eastAsia="Times New Roman"/>
          <w:sz w:val="24"/>
          <w:szCs w:val="24"/>
          <w:u w:val="single"/>
        </w:rPr>
        <w:t>Treatment Requirements</w:t>
      </w:r>
      <w:r w:rsidRPr="00046F96">
        <w:rPr>
          <w:rFonts w:eastAsia="Times New Roman"/>
          <w:sz w:val="24"/>
          <w:szCs w:val="24"/>
        </w:rPr>
        <w:t>.</w:t>
      </w:r>
    </w:p>
    <w:p w14:paraId="281A6803" w14:textId="47C95ABB" w:rsidR="004647B9" w:rsidRPr="00046F96" w:rsidRDefault="00E2436F" w:rsidP="00696F9F">
      <w:pPr>
        <w:numPr>
          <w:ilvl w:val="1"/>
          <w:numId w:val="758"/>
        </w:numPr>
        <w:tabs>
          <w:tab w:val="left" w:pos="2020"/>
        </w:tabs>
        <w:ind w:left="1541"/>
        <w:jc w:val="both"/>
        <w:rPr>
          <w:rFonts w:eastAsia="Times New Roman"/>
          <w:sz w:val="24"/>
          <w:szCs w:val="24"/>
        </w:rPr>
      </w:pPr>
      <w:r w:rsidRPr="00046F96">
        <w:rPr>
          <w:rFonts w:eastAsia="Times New Roman"/>
          <w:sz w:val="24"/>
          <w:szCs w:val="24"/>
        </w:rPr>
        <w:t xml:space="preserve">A Public Water System may receive the </w:t>
      </w:r>
      <w:r w:rsidRPr="00046F96">
        <w:rPr>
          <w:rFonts w:eastAsia="Times New Roman"/>
          <w:i/>
          <w:iCs/>
          <w:sz w:val="24"/>
          <w:szCs w:val="24"/>
        </w:rPr>
        <w:t>Cryptosporidium</w:t>
      </w:r>
      <w:r w:rsidRPr="00046F96">
        <w:rPr>
          <w:rFonts w:eastAsia="Times New Roman"/>
          <w:sz w:val="24"/>
          <w:szCs w:val="24"/>
        </w:rPr>
        <w:t xml:space="preserve"> treatment credits listed in 310 CMR22.20G(18)(b) </w:t>
      </w:r>
      <w:r w:rsidRPr="00046F96">
        <w:rPr>
          <w:rFonts w:eastAsia="Times New Roman"/>
          <w:i/>
          <w:iCs/>
          <w:sz w:val="24"/>
          <w:szCs w:val="24"/>
        </w:rPr>
        <w:t>Table 6</w:t>
      </w:r>
      <w:r w:rsidRPr="00046F96">
        <w:rPr>
          <w:rFonts w:eastAsia="Times New Roman"/>
          <w:sz w:val="24"/>
          <w:szCs w:val="24"/>
        </w:rPr>
        <w:t xml:space="preserve">, by meeting the conditions for microbial toolbox options described in 310 CMR 22.20G(19) through (23), provided however that unfiltered systems shall only be eligible for </w:t>
      </w:r>
      <w:r w:rsidRPr="00046F96">
        <w:rPr>
          <w:rFonts w:eastAsia="Times New Roman"/>
          <w:i/>
          <w:iCs/>
          <w:sz w:val="24"/>
          <w:szCs w:val="24"/>
        </w:rPr>
        <w:t>Cryptosporidium</w:t>
      </w:r>
      <w:r w:rsidRPr="00046F96">
        <w:rPr>
          <w:rFonts w:eastAsia="Times New Roman"/>
          <w:sz w:val="24"/>
          <w:szCs w:val="24"/>
        </w:rPr>
        <w:t xml:space="preserve"> treatment credits for the microbial toolbox options described in 310 CMR 22.20G(23). A Supplier of Water may apply these </w:t>
      </w:r>
      <w:r w:rsidRPr="00046F96">
        <w:rPr>
          <w:rFonts w:eastAsia="Times New Roman"/>
          <w:i/>
          <w:iCs/>
          <w:sz w:val="24"/>
          <w:szCs w:val="24"/>
        </w:rPr>
        <w:t>Cryptosporidium</w:t>
      </w:r>
      <w:r w:rsidR="00046F96">
        <w:rPr>
          <w:rFonts w:eastAsia="Times New Roman"/>
          <w:sz w:val="24"/>
          <w:szCs w:val="24"/>
        </w:rPr>
        <w:t xml:space="preserve"> </w:t>
      </w:r>
      <w:r w:rsidRPr="00046F96">
        <w:rPr>
          <w:rFonts w:eastAsia="Times New Roman"/>
          <w:sz w:val="24"/>
          <w:szCs w:val="24"/>
        </w:rPr>
        <w:t>treatment credits to meet the treatment requirements set forth in 310 CMR 22.20G(12) and (13), as applicable.</w:t>
      </w:r>
    </w:p>
    <w:p w14:paraId="281A6804" w14:textId="77777777" w:rsidR="004647B9" w:rsidRPr="00046F96" w:rsidRDefault="00E2436F" w:rsidP="00696F9F">
      <w:pPr>
        <w:numPr>
          <w:ilvl w:val="0"/>
          <w:numId w:val="759"/>
        </w:numPr>
        <w:tabs>
          <w:tab w:val="left" w:pos="1972"/>
        </w:tabs>
        <w:ind w:left="1540" w:hanging="5"/>
        <w:jc w:val="both"/>
        <w:rPr>
          <w:rFonts w:eastAsia="Times New Roman"/>
          <w:sz w:val="24"/>
          <w:szCs w:val="24"/>
        </w:rPr>
      </w:pPr>
      <w:r w:rsidRPr="00046F96">
        <w:rPr>
          <w:rFonts w:eastAsia="Times New Roman"/>
          <w:sz w:val="24"/>
          <w:szCs w:val="24"/>
        </w:rPr>
        <w:t>The following table summarizes options in the microbial toolbox set forth in 310 CMR 22.20G(19) through (23). In the event of conflict between this table and the provisions of 310 CMR 22.20G(19) through (23), the latter shall control.</w:t>
      </w:r>
    </w:p>
    <w:p w14:paraId="281A6805" w14:textId="77777777" w:rsidR="004647B9" w:rsidRPr="00696F9F" w:rsidRDefault="004647B9" w:rsidP="00696F9F">
      <w:pPr>
        <w:rPr>
          <w:sz w:val="24"/>
          <w:szCs w:val="24"/>
        </w:rPr>
      </w:pPr>
    </w:p>
    <w:p w14:paraId="281A6806" w14:textId="77777777" w:rsidR="004647B9" w:rsidRPr="00696F9F" w:rsidRDefault="00E2436F" w:rsidP="00696F9F">
      <w:pPr>
        <w:jc w:val="center"/>
        <w:rPr>
          <w:sz w:val="24"/>
          <w:szCs w:val="24"/>
        </w:rPr>
      </w:pPr>
      <w:r w:rsidRPr="00696F9F">
        <w:rPr>
          <w:rFonts w:eastAsia="Times New Roman"/>
          <w:sz w:val="24"/>
          <w:szCs w:val="24"/>
        </w:rPr>
        <w:t xml:space="preserve">310 CMR 22.20G:  </w:t>
      </w:r>
      <w:r w:rsidRPr="00696F9F">
        <w:rPr>
          <w:rFonts w:eastAsia="Times New Roman"/>
          <w:i/>
          <w:iCs/>
          <w:sz w:val="24"/>
          <w:szCs w:val="24"/>
        </w:rPr>
        <w:t>Table 6</w:t>
      </w:r>
    </w:p>
    <w:p w14:paraId="281A6808" w14:textId="77777777" w:rsidR="004647B9" w:rsidRPr="00696F9F" w:rsidRDefault="00E2436F" w:rsidP="00696F9F">
      <w:pPr>
        <w:jc w:val="center"/>
        <w:rPr>
          <w:sz w:val="24"/>
          <w:szCs w:val="24"/>
        </w:rPr>
      </w:pPr>
      <w:r w:rsidRPr="00696F9F">
        <w:rPr>
          <w:rFonts w:eastAsia="Times New Roman"/>
          <w:sz w:val="24"/>
          <w:szCs w:val="24"/>
        </w:rPr>
        <w:t>MICROBIAL TOOLBOX SUMMARY TABLE: OPTIONS, TREATMENT CREDITS AND CRITERIA</w:t>
      </w:r>
    </w:p>
    <w:p w14:paraId="281A6809" w14:textId="77777777" w:rsidR="004647B9" w:rsidRPr="00696F9F" w:rsidRDefault="004647B9" w:rsidP="00696F9F">
      <w:pPr>
        <w:rPr>
          <w:sz w:val="24"/>
          <w:szCs w:val="24"/>
        </w:rPr>
      </w:pPr>
    </w:p>
    <w:tbl>
      <w:tblPr>
        <w:tblW w:w="10169" w:type="dxa"/>
        <w:tblInd w:w="80" w:type="dxa"/>
        <w:tblLayout w:type="fixed"/>
        <w:tblCellMar>
          <w:left w:w="0" w:type="dxa"/>
          <w:right w:w="0" w:type="dxa"/>
        </w:tblCellMar>
        <w:tblLook w:val="04A0" w:firstRow="1" w:lastRow="0" w:firstColumn="1" w:lastColumn="0" w:noHBand="0" w:noVBand="1"/>
      </w:tblPr>
      <w:tblGrid>
        <w:gridCol w:w="3354"/>
        <w:gridCol w:w="2998"/>
        <w:gridCol w:w="3817"/>
      </w:tblGrid>
      <w:tr w:rsidR="00810960" w:rsidRPr="004D3CD0" w14:paraId="281A680D" w14:textId="77777777" w:rsidTr="00900F28">
        <w:trPr>
          <w:trHeight w:val="755"/>
        </w:trPr>
        <w:tc>
          <w:tcPr>
            <w:tcW w:w="3354" w:type="dxa"/>
            <w:tcBorders>
              <w:top w:val="single" w:sz="8" w:space="0" w:color="auto"/>
              <w:left w:val="single" w:sz="8" w:space="0" w:color="auto"/>
              <w:bottom w:val="single" w:sz="4" w:space="0" w:color="auto"/>
              <w:right w:val="single" w:sz="8" w:space="0" w:color="auto"/>
            </w:tcBorders>
            <w:vAlign w:val="center"/>
          </w:tcPr>
          <w:p w14:paraId="281A680A" w14:textId="77777777" w:rsidR="00810960" w:rsidRPr="004D3CD0" w:rsidRDefault="00810960" w:rsidP="00696F9F">
            <w:pPr>
              <w:ind w:left="100"/>
              <w:rPr>
                <w:sz w:val="20"/>
                <w:szCs w:val="20"/>
              </w:rPr>
            </w:pPr>
            <w:r w:rsidRPr="004D3CD0">
              <w:rPr>
                <w:rFonts w:eastAsia="Times New Roman"/>
                <w:b/>
                <w:bCs/>
                <w:sz w:val="20"/>
                <w:szCs w:val="20"/>
              </w:rPr>
              <w:t>Toolbox Option</w:t>
            </w:r>
          </w:p>
        </w:tc>
        <w:tc>
          <w:tcPr>
            <w:tcW w:w="2998" w:type="dxa"/>
            <w:tcBorders>
              <w:top w:val="single" w:sz="8" w:space="0" w:color="auto"/>
              <w:bottom w:val="single" w:sz="4" w:space="0" w:color="auto"/>
              <w:right w:val="single" w:sz="8" w:space="0" w:color="auto"/>
            </w:tcBorders>
            <w:vAlign w:val="center"/>
          </w:tcPr>
          <w:p w14:paraId="281A680B" w14:textId="77777777" w:rsidR="00810960" w:rsidRPr="004D3CD0" w:rsidRDefault="00810960" w:rsidP="00696F9F">
            <w:pPr>
              <w:ind w:left="100"/>
              <w:rPr>
                <w:sz w:val="20"/>
                <w:szCs w:val="20"/>
              </w:rPr>
            </w:pPr>
            <w:r w:rsidRPr="004D3CD0">
              <w:rPr>
                <w:rFonts w:eastAsia="Times New Roman"/>
                <w:b/>
                <w:bCs/>
                <w:sz w:val="20"/>
                <w:szCs w:val="20"/>
              </w:rPr>
              <w:t>Log Credit</w:t>
            </w:r>
          </w:p>
        </w:tc>
        <w:tc>
          <w:tcPr>
            <w:tcW w:w="3817" w:type="dxa"/>
            <w:tcBorders>
              <w:top w:val="single" w:sz="8" w:space="0" w:color="auto"/>
              <w:bottom w:val="single" w:sz="4" w:space="0" w:color="auto"/>
              <w:right w:val="single" w:sz="8" w:space="0" w:color="auto"/>
            </w:tcBorders>
            <w:vAlign w:val="center"/>
          </w:tcPr>
          <w:p w14:paraId="281A680C" w14:textId="03424A10" w:rsidR="00810960" w:rsidRPr="004D3CD0" w:rsidRDefault="00810960" w:rsidP="00696F9F">
            <w:pPr>
              <w:ind w:left="100"/>
              <w:rPr>
                <w:sz w:val="20"/>
                <w:szCs w:val="20"/>
              </w:rPr>
            </w:pPr>
            <w:r w:rsidRPr="004D3CD0">
              <w:rPr>
                <w:rFonts w:eastAsia="Times New Roman"/>
                <w:b/>
                <w:bCs/>
                <w:i/>
                <w:iCs/>
                <w:sz w:val="20"/>
                <w:szCs w:val="20"/>
              </w:rPr>
              <w:t xml:space="preserve">Cryptosporidium </w:t>
            </w:r>
            <w:r w:rsidRPr="004D3CD0">
              <w:rPr>
                <w:rFonts w:eastAsia="Times New Roman"/>
                <w:b/>
                <w:bCs/>
                <w:sz w:val="20"/>
                <w:szCs w:val="20"/>
              </w:rPr>
              <w:t>treatment credit with design and implementation criteria</w:t>
            </w:r>
          </w:p>
        </w:tc>
      </w:tr>
      <w:tr w:rsidR="00810960" w:rsidRPr="004D3CD0" w14:paraId="281A681A" w14:textId="77777777" w:rsidTr="00900F28">
        <w:trPr>
          <w:trHeight w:val="446"/>
        </w:trPr>
        <w:tc>
          <w:tcPr>
            <w:tcW w:w="10169" w:type="dxa"/>
            <w:gridSpan w:val="3"/>
            <w:tcBorders>
              <w:top w:val="single" w:sz="4" w:space="0" w:color="auto"/>
              <w:left w:val="single" w:sz="8" w:space="0" w:color="auto"/>
              <w:bottom w:val="single" w:sz="4" w:space="0" w:color="auto"/>
              <w:right w:val="single" w:sz="8" w:space="0" w:color="auto"/>
            </w:tcBorders>
            <w:vAlign w:val="center"/>
          </w:tcPr>
          <w:p w14:paraId="281A6819" w14:textId="4C338B6E" w:rsidR="00810960" w:rsidRPr="004D3CD0" w:rsidRDefault="00810960" w:rsidP="00696F9F">
            <w:pPr>
              <w:jc w:val="center"/>
              <w:rPr>
                <w:sz w:val="20"/>
                <w:szCs w:val="20"/>
              </w:rPr>
            </w:pPr>
            <w:r w:rsidRPr="004D3CD0">
              <w:rPr>
                <w:rFonts w:eastAsia="Times New Roman"/>
                <w:b/>
                <w:bCs/>
                <w:sz w:val="20"/>
                <w:szCs w:val="20"/>
              </w:rPr>
              <w:t>SOURCE PROTECTION AND MANAGEMENT TOOLBOX OPTIONS</w:t>
            </w:r>
          </w:p>
        </w:tc>
      </w:tr>
      <w:tr w:rsidR="00DD5548" w:rsidRPr="004D3CD0" w14:paraId="281A6824" w14:textId="77777777" w:rsidTr="00900F28">
        <w:trPr>
          <w:trHeight w:val="1640"/>
        </w:trPr>
        <w:tc>
          <w:tcPr>
            <w:tcW w:w="3354" w:type="dxa"/>
            <w:tcBorders>
              <w:top w:val="single" w:sz="4" w:space="0" w:color="auto"/>
              <w:left w:val="single" w:sz="8" w:space="0" w:color="auto"/>
              <w:bottom w:val="single" w:sz="4" w:space="0" w:color="auto"/>
              <w:right w:val="single" w:sz="8" w:space="0" w:color="auto"/>
            </w:tcBorders>
          </w:tcPr>
          <w:p w14:paraId="281A6821" w14:textId="77475675" w:rsidR="00DD5548" w:rsidRPr="004D3CD0" w:rsidRDefault="00DD5548" w:rsidP="00696F9F">
            <w:pPr>
              <w:pStyle w:val="ListParagraph"/>
              <w:numPr>
                <w:ilvl w:val="0"/>
                <w:numId w:val="961"/>
              </w:numPr>
              <w:tabs>
                <w:tab w:val="left" w:pos="350"/>
              </w:tabs>
              <w:ind w:left="92"/>
              <w:rPr>
                <w:sz w:val="20"/>
                <w:szCs w:val="20"/>
              </w:rPr>
            </w:pPr>
            <w:r w:rsidRPr="004D3CD0">
              <w:rPr>
                <w:rFonts w:eastAsia="Times New Roman"/>
                <w:sz w:val="20"/>
                <w:szCs w:val="20"/>
              </w:rPr>
              <w:t>Watershed control program</w:t>
            </w:r>
          </w:p>
        </w:tc>
        <w:tc>
          <w:tcPr>
            <w:tcW w:w="2998" w:type="dxa"/>
            <w:tcBorders>
              <w:top w:val="single" w:sz="4" w:space="0" w:color="auto"/>
              <w:left w:val="single" w:sz="8" w:space="0" w:color="auto"/>
              <w:bottom w:val="single" w:sz="4" w:space="0" w:color="auto"/>
              <w:right w:val="single" w:sz="8" w:space="0" w:color="auto"/>
            </w:tcBorders>
          </w:tcPr>
          <w:p w14:paraId="281A6822" w14:textId="77777777" w:rsidR="00DD5548" w:rsidRPr="004D3CD0" w:rsidRDefault="00DD5548" w:rsidP="00696F9F">
            <w:pPr>
              <w:ind w:left="100"/>
              <w:rPr>
                <w:sz w:val="20"/>
                <w:szCs w:val="20"/>
              </w:rPr>
            </w:pPr>
            <w:r w:rsidRPr="004D3CD0">
              <w:rPr>
                <w:rFonts w:eastAsia="Times New Roman"/>
                <w:sz w:val="20"/>
                <w:szCs w:val="20"/>
              </w:rPr>
              <w:t>0.5-log</w:t>
            </w:r>
          </w:p>
        </w:tc>
        <w:tc>
          <w:tcPr>
            <w:tcW w:w="3817" w:type="dxa"/>
            <w:tcBorders>
              <w:top w:val="single" w:sz="4" w:space="0" w:color="auto"/>
              <w:bottom w:val="single" w:sz="4" w:space="0" w:color="auto"/>
              <w:right w:val="single" w:sz="8" w:space="0" w:color="auto"/>
            </w:tcBorders>
          </w:tcPr>
          <w:p w14:paraId="281A6823" w14:textId="3F57D31F" w:rsidR="00DD5548" w:rsidRPr="004D3CD0" w:rsidRDefault="00DD5548" w:rsidP="00696F9F">
            <w:pPr>
              <w:ind w:left="100"/>
              <w:rPr>
                <w:sz w:val="20"/>
                <w:szCs w:val="20"/>
              </w:rPr>
            </w:pPr>
            <w:r w:rsidRPr="004D3CD0">
              <w:rPr>
                <w:rFonts w:eastAsia="Times New Roman"/>
                <w:sz w:val="20"/>
                <w:szCs w:val="20"/>
              </w:rPr>
              <w:t>For Department-approved program comprising required elements, annual program status report to Department, and</w:t>
            </w:r>
            <w:r w:rsidR="004D3CD0">
              <w:rPr>
                <w:rFonts w:eastAsia="Times New Roman"/>
                <w:sz w:val="20"/>
                <w:szCs w:val="20"/>
              </w:rPr>
              <w:t xml:space="preserve"> </w:t>
            </w:r>
            <w:r w:rsidRPr="004D3CD0">
              <w:rPr>
                <w:rFonts w:eastAsia="Times New Roman"/>
                <w:sz w:val="20"/>
                <w:szCs w:val="20"/>
              </w:rPr>
              <w:t>regular watershed survey.  Unfiltered systems are not eligible for credit.  Specific criteria are in 310 CMR 22.20G(19)(a).</w:t>
            </w:r>
          </w:p>
        </w:tc>
      </w:tr>
      <w:tr w:rsidR="00DD5548" w:rsidRPr="004D3CD0" w14:paraId="281A6847" w14:textId="77777777" w:rsidTr="00900F28">
        <w:trPr>
          <w:trHeight w:val="1586"/>
        </w:trPr>
        <w:tc>
          <w:tcPr>
            <w:tcW w:w="3354" w:type="dxa"/>
            <w:tcBorders>
              <w:top w:val="single" w:sz="4" w:space="0" w:color="auto"/>
              <w:left w:val="single" w:sz="8" w:space="0" w:color="auto"/>
              <w:bottom w:val="single" w:sz="4" w:space="0" w:color="auto"/>
              <w:right w:val="single" w:sz="8" w:space="0" w:color="auto"/>
            </w:tcBorders>
          </w:tcPr>
          <w:p w14:paraId="281A6844" w14:textId="6D0B9916" w:rsidR="00DD5548" w:rsidRPr="004D3CD0" w:rsidRDefault="00DD5548" w:rsidP="00696F9F">
            <w:pPr>
              <w:pStyle w:val="ListParagraph"/>
              <w:numPr>
                <w:ilvl w:val="0"/>
                <w:numId w:val="961"/>
              </w:numPr>
              <w:tabs>
                <w:tab w:val="left" w:pos="350"/>
              </w:tabs>
              <w:ind w:left="92"/>
              <w:rPr>
                <w:sz w:val="20"/>
                <w:szCs w:val="20"/>
              </w:rPr>
            </w:pPr>
            <w:r w:rsidRPr="004D3CD0">
              <w:rPr>
                <w:rFonts w:eastAsia="Times New Roman"/>
                <w:sz w:val="20"/>
                <w:szCs w:val="20"/>
              </w:rPr>
              <w:t>Alternative source/intake management</w:t>
            </w:r>
          </w:p>
        </w:tc>
        <w:tc>
          <w:tcPr>
            <w:tcW w:w="2998" w:type="dxa"/>
            <w:tcBorders>
              <w:top w:val="single" w:sz="4" w:space="0" w:color="auto"/>
              <w:left w:val="single" w:sz="8" w:space="0" w:color="auto"/>
              <w:bottom w:val="single" w:sz="4" w:space="0" w:color="auto"/>
              <w:right w:val="single" w:sz="8" w:space="0" w:color="auto"/>
            </w:tcBorders>
          </w:tcPr>
          <w:p w14:paraId="281A6845" w14:textId="77777777" w:rsidR="00DD5548" w:rsidRPr="004D3CD0" w:rsidRDefault="00DD5548" w:rsidP="00696F9F">
            <w:pPr>
              <w:ind w:left="100"/>
              <w:rPr>
                <w:sz w:val="20"/>
                <w:szCs w:val="20"/>
              </w:rPr>
            </w:pPr>
            <w:r w:rsidRPr="004D3CD0">
              <w:rPr>
                <w:rFonts w:eastAsia="Times New Roman"/>
                <w:sz w:val="20"/>
                <w:szCs w:val="20"/>
              </w:rPr>
              <w:t>No prescribed credit</w:t>
            </w:r>
          </w:p>
        </w:tc>
        <w:tc>
          <w:tcPr>
            <w:tcW w:w="3817" w:type="dxa"/>
            <w:tcBorders>
              <w:top w:val="single" w:sz="4" w:space="0" w:color="auto"/>
              <w:bottom w:val="single" w:sz="4" w:space="0" w:color="auto"/>
              <w:right w:val="single" w:sz="8" w:space="0" w:color="auto"/>
            </w:tcBorders>
          </w:tcPr>
          <w:p w14:paraId="281A6846" w14:textId="2F213EF3" w:rsidR="00DD5548" w:rsidRPr="004D3CD0" w:rsidRDefault="00DD5548" w:rsidP="00696F9F">
            <w:pPr>
              <w:ind w:left="100"/>
              <w:rPr>
                <w:sz w:val="20"/>
                <w:szCs w:val="20"/>
              </w:rPr>
            </w:pPr>
            <w:r w:rsidRPr="004D3CD0">
              <w:rPr>
                <w:rFonts w:eastAsia="Times New Roman"/>
                <w:sz w:val="20"/>
                <w:szCs w:val="20"/>
              </w:rPr>
              <w:t>Suppliers of Water may conduct simultaneous monitoring for treatment bin classification at alternative intake locations or under alternative intake management strategies.  Specific criteria are in 310 CMR 22.20G(19)(b).</w:t>
            </w:r>
          </w:p>
        </w:tc>
      </w:tr>
      <w:tr w:rsidR="00DC7792" w:rsidRPr="004D3CD0" w14:paraId="281A686A" w14:textId="77777777" w:rsidTr="00900F28">
        <w:trPr>
          <w:trHeight w:val="313"/>
        </w:trPr>
        <w:tc>
          <w:tcPr>
            <w:tcW w:w="10169" w:type="dxa"/>
            <w:gridSpan w:val="3"/>
            <w:tcBorders>
              <w:top w:val="single" w:sz="4" w:space="0" w:color="auto"/>
              <w:left w:val="single" w:sz="4" w:space="0" w:color="auto"/>
              <w:bottom w:val="single" w:sz="4" w:space="0" w:color="auto"/>
              <w:right w:val="single" w:sz="4" w:space="0" w:color="auto"/>
            </w:tcBorders>
            <w:vAlign w:val="center"/>
          </w:tcPr>
          <w:p w14:paraId="281A6869" w14:textId="77777777" w:rsidR="00DC7792" w:rsidRPr="004D3CD0" w:rsidRDefault="00DC7792" w:rsidP="00696F9F">
            <w:pPr>
              <w:jc w:val="center"/>
              <w:rPr>
                <w:sz w:val="20"/>
                <w:szCs w:val="20"/>
              </w:rPr>
            </w:pPr>
            <w:r w:rsidRPr="004D3CD0">
              <w:rPr>
                <w:rFonts w:eastAsia="Times New Roman"/>
                <w:b/>
                <w:bCs/>
                <w:sz w:val="20"/>
                <w:szCs w:val="20"/>
              </w:rPr>
              <w:t>PRE FILTRATION TOOLBOX OPTIONS</w:t>
            </w:r>
          </w:p>
        </w:tc>
      </w:tr>
      <w:tr w:rsidR="00293261" w:rsidRPr="004D3CD0" w14:paraId="281A6876" w14:textId="77777777" w:rsidTr="00900F28">
        <w:trPr>
          <w:trHeight w:val="2306"/>
        </w:trPr>
        <w:tc>
          <w:tcPr>
            <w:tcW w:w="3354" w:type="dxa"/>
            <w:tcBorders>
              <w:top w:val="single" w:sz="4" w:space="0" w:color="auto"/>
              <w:left w:val="single" w:sz="8" w:space="0" w:color="auto"/>
              <w:bottom w:val="single" w:sz="4" w:space="0" w:color="auto"/>
              <w:right w:val="single" w:sz="8" w:space="0" w:color="auto"/>
            </w:tcBorders>
          </w:tcPr>
          <w:p w14:paraId="281A6873" w14:textId="3586F21B" w:rsidR="00293261" w:rsidRPr="004D3CD0" w:rsidRDefault="00293261" w:rsidP="00696F9F">
            <w:pPr>
              <w:pStyle w:val="ListParagraph"/>
              <w:numPr>
                <w:ilvl w:val="0"/>
                <w:numId w:val="961"/>
              </w:numPr>
              <w:tabs>
                <w:tab w:val="left" w:pos="350"/>
              </w:tabs>
              <w:ind w:left="92"/>
              <w:rPr>
                <w:rFonts w:eastAsia="Times New Roman"/>
                <w:sz w:val="20"/>
                <w:szCs w:val="20"/>
              </w:rPr>
            </w:pPr>
            <w:r w:rsidRPr="004D3CD0">
              <w:rPr>
                <w:rFonts w:eastAsia="Times New Roman"/>
                <w:sz w:val="20"/>
                <w:szCs w:val="20"/>
              </w:rPr>
              <w:t>Pre-sedimentation basin with Coagulation</w:t>
            </w:r>
          </w:p>
        </w:tc>
        <w:tc>
          <w:tcPr>
            <w:tcW w:w="2998" w:type="dxa"/>
            <w:tcBorders>
              <w:top w:val="single" w:sz="4" w:space="0" w:color="auto"/>
              <w:left w:val="single" w:sz="8" w:space="0" w:color="auto"/>
              <w:bottom w:val="single" w:sz="4" w:space="0" w:color="auto"/>
              <w:right w:val="single" w:sz="8" w:space="0" w:color="auto"/>
            </w:tcBorders>
          </w:tcPr>
          <w:p w14:paraId="281A6874" w14:textId="77777777" w:rsidR="00293261" w:rsidRPr="004D3CD0" w:rsidRDefault="00293261" w:rsidP="00696F9F">
            <w:pPr>
              <w:ind w:left="100"/>
              <w:rPr>
                <w:sz w:val="20"/>
                <w:szCs w:val="20"/>
              </w:rPr>
            </w:pPr>
            <w:r w:rsidRPr="004D3CD0">
              <w:rPr>
                <w:rFonts w:eastAsia="Times New Roman"/>
                <w:sz w:val="20"/>
                <w:szCs w:val="20"/>
              </w:rPr>
              <w:t>0.5-log credit</w:t>
            </w:r>
          </w:p>
        </w:tc>
        <w:tc>
          <w:tcPr>
            <w:tcW w:w="3817" w:type="dxa"/>
            <w:tcBorders>
              <w:top w:val="single" w:sz="4" w:space="0" w:color="auto"/>
              <w:bottom w:val="single" w:sz="4" w:space="0" w:color="auto"/>
              <w:right w:val="single" w:sz="8" w:space="0" w:color="auto"/>
            </w:tcBorders>
          </w:tcPr>
          <w:p w14:paraId="281A6875" w14:textId="070D5B6C" w:rsidR="00293261" w:rsidRPr="004D3CD0" w:rsidRDefault="00293261" w:rsidP="00696F9F">
            <w:pPr>
              <w:ind w:left="100"/>
              <w:rPr>
                <w:rFonts w:eastAsia="Times New Roman"/>
                <w:sz w:val="20"/>
                <w:szCs w:val="20"/>
              </w:rPr>
            </w:pPr>
            <w:r w:rsidRPr="004D3CD0">
              <w:rPr>
                <w:rFonts w:eastAsia="Times New Roman"/>
                <w:sz w:val="20"/>
                <w:szCs w:val="20"/>
              </w:rPr>
              <w:t>Credit is given during any month that pre-sedimentation basins achieve a monthly mean reduction of 0.5-log or greater in Turbidity or alternative Department-approved performance criteria.  To be eligible, basins must be operated</w:t>
            </w:r>
            <w:r w:rsidR="00912179" w:rsidRPr="004D3CD0">
              <w:rPr>
                <w:rFonts w:eastAsia="Times New Roman"/>
                <w:sz w:val="20"/>
                <w:szCs w:val="20"/>
              </w:rPr>
              <w:t xml:space="preserve"> </w:t>
            </w:r>
            <w:r w:rsidRPr="004D3CD0">
              <w:rPr>
                <w:rFonts w:eastAsia="Times New Roman"/>
                <w:sz w:val="20"/>
                <w:szCs w:val="20"/>
              </w:rPr>
              <w:t>continuously with coagulant addition and all</w:t>
            </w:r>
            <w:r w:rsidR="004D3CD0">
              <w:rPr>
                <w:rFonts w:eastAsia="Times New Roman"/>
                <w:sz w:val="20"/>
                <w:szCs w:val="20"/>
              </w:rPr>
              <w:t xml:space="preserve"> </w:t>
            </w:r>
            <w:r w:rsidRPr="004D3CD0">
              <w:rPr>
                <w:rFonts w:eastAsia="Times New Roman"/>
                <w:sz w:val="20"/>
                <w:szCs w:val="20"/>
              </w:rPr>
              <w:t>plant flow must pass through basins.</w:t>
            </w:r>
            <w:r w:rsidR="00771B48" w:rsidRPr="004D3CD0">
              <w:rPr>
                <w:rFonts w:eastAsia="Times New Roman"/>
                <w:sz w:val="20"/>
                <w:szCs w:val="20"/>
              </w:rPr>
              <w:t xml:space="preserve"> </w:t>
            </w:r>
            <w:r w:rsidRPr="004D3CD0">
              <w:rPr>
                <w:rFonts w:eastAsia="Times New Roman"/>
                <w:sz w:val="20"/>
                <w:szCs w:val="20"/>
              </w:rPr>
              <w:t>Specific criteria are in 310 CMR</w:t>
            </w:r>
            <w:r w:rsidR="00912179" w:rsidRPr="004D3CD0">
              <w:rPr>
                <w:rFonts w:eastAsia="Times New Roman"/>
                <w:sz w:val="20"/>
                <w:szCs w:val="20"/>
              </w:rPr>
              <w:t xml:space="preserve"> </w:t>
            </w:r>
            <w:r w:rsidRPr="004D3CD0">
              <w:rPr>
                <w:rFonts w:eastAsia="Times New Roman"/>
                <w:sz w:val="20"/>
                <w:szCs w:val="20"/>
              </w:rPr>
              <w:t>22.20G(20)(a).</w:t>
            </w:r>
          </w:p>
        </w:tc>
      </w:tr>
      <w:tr w:rsidR="00771B48" w:rsidRPr="004D3CD0" w14:paraId="281A68B7" w14:textId="77777777" w:rsidTr="00900F28">
        <w:trPr>
          <w:trHeight w:val="1784"/>
        </w:trPr>
        <w:tc>
          <w:tcPr>
            <w:tcW w:w="3354" w:type="dxa"/>
            <w:tcBorders>
              <w:top w:val="single" w:sz="4" w:space="0" w:color="auto"/>
              <w:left w:val="single" w:sz="8" w:space="0" w:color="auto"/>
              <w:bottom w:val="single" w:sz="4" w:space="0" w:color="auto"/>
              <w:right w:val="single" w:sz="8" w:space="0" w:color="auto"/>
            </w:tcBorders>
          </w:tcPr>
          <w:p w14:paraId="281A68B4" w14:textId="5853A202" w:rsidR="00771B48" w:rsidRPr="004D3CD0" w:rsidRDefault="00771B48" w:rsidP="00696F9F">
            <w:pPr>
              <w:pStyle w:val="ListParagraph"/>
              <w:numPr>
                <w:ilvl w:val="0"/>
                <w:numId w:val="961"/>
              </w:numPr>
              <w:tabs>
                <w:tab w:val="left" w:pos="350"/>
              </w:tabs>
              <w:ind w:left="92"/>
              <w:rPr>
                <w:rFonts w:eastAsia="Times New Roman"/>
                <w:sz w:val="20"/>
                <w:szCs w:val="20"/>
              </w:rPr>
            </w:pPr>
            <w:r w:rsidRPr="004D3CD0">
              <w:rPr>
                <w:rFonts w:eastAsia="Times New Roman"/>
                <w:sz w:val="20"/>
                <w:szCs w:val="20"/>
              </w:rPr>
              <w:t>Two-stage Lime Softening</w:t>
            </w:r>
          </w:p>
        </w:tc>
        <w:tc>
          <w:tcPr>
            <w:tcW w:w="2998" w:type="dxa"/>
            <w:tcBorders>
              <w:top w:val="single" w:sz="4" w:space="0" w:color="auto"/>
              <w:left w:val="single" w:sz="8" w:space="0" w:color="auto"/>
              <w:bottom w:val="single" w:sz="4" w:space="0" w:color="auto"/>
              <w:right w:val="single" w:sz="8" w:space="0" w:color="auto"/>
            </w:tcBorders>
          </w:tcPr>
          <w:p w14:paraId="281A68B5" w14:textId="77777777" w:rsidR="00771B48" w:rsidRPr="004D3CD0" w:rsidRDefault="00771B48" w:rsidP="00696F9F">
            <w:pPr>
              <w:ind w:left="100"/>
              <w:rPr>
                <w:sz w:val="20"/>
                <w:szCs w:val="20"/>
              </w:rPr>
            </w:pPr>
            <w:r w:rsidRPr="004D3CD0">
              <w:rPr>
                <w:rFonts w:eastAsia="Times New Roman"/>
                <w:sz w:val="20"/>
                <w:szCs w:val="20"/>
              </w:rPr>
              <w:t>0.5-log credit</w:t>
            </w:r>
          </w:p>
        </w:tc>
        <w:tc>
          <w:tcPr>
            <w:tcW w:w="3816" w:type="dxa"/>
            <w:tcBorders>
              <w:top w:val="single" w:sz="4" w:space="0" w:color="auto"/>
              <w:bottom w:val="single" w:sz="4" w:space="0" w:color="auto"/>
              <w:right w:val="single" w:sz="8" w:space="0" w:color="auto"/>
            </w:tcBorders>
          </w:tcPr>
          <w:p w14:paraId="281A68B6" w14:textId="01C1F2C7" w:rsidR="00771B48" w:rsidRPr="004D3CD0" w:rsidRDefault="00771B48" w:rsidP="00696F9F">
            <w:pPr>
              <w:ind w:left="100"/>
              <w:rPr>
                <w:sz w:val="20"/>
                <w:szCs w:val="20"/>
              </w:rPr>
            </w:pPr>
            <w:r w:rsidRPr="004D3CD0">
              <w:rPr>
                <w:rFonts w:eastAsia="Times New Roman"/>
                <w:sz w:val="20"/>
                <w:szCs w:val="20"/>
              </w:rPr>
              <w:t>Credit for two-stage softening where chemical addition and hardness precipitation occur in both stages.  All plant flow must pass through both stages. Single-stage softening is credited as equivalent to conventional treatment. Specific criteria are in 310 CMR 22.20G(20)(b).</w:t>
            </w:r>
          </w:p>
        </w:tc>
      </w:tr>
    </w:tbl>
    <w:p w14:paraId="281A68E8" w14:textId="1E33056B" w:rsidR="0015496D" w:rsidRDefault="0015496D" w:rsidP="00696F9F"/>
    <w:p w14:paraId="26639238" w14:textId="77777777" w:rsidR="0015496D" w:rsidRDefault="0015496D" w:rsidP="00696F9F">
      <w:r>
        <w:br w:type="page"/>
      </w:r>
    </w:p>
    <w:p w14:paraId="52DA5D1D" w14:textId="77777777" w:rsidR="004647B9" w:rsidRDefault="004647B9" w:rsidP="00696F9F">
      <w:pPr>
        <w:sectPr w:rsidR="004647B9" w:rsidSect="00EF630C">
          <w:pgSz w:w="12240" w:h="20180"/>
          <w:pgMar w:top="708" w:right="1440" w:bottom="1440" w:left="620" w:header="0" w:footer="0" w:gutter="0"/>
          <w:cols w:space="720"/>
        </w:sectPr>
      </w:pPr>
    </w:p>
    <w:p w14:paraId="281A68E9" w14:textId="77777777" w:rsidR="004647B9" w:rsidRDefault="00E2436F">
      <w:pPr>
        <w:tabs>
          <w:tab w:val="left" w:pos="160"/>
        </w:tabs>
        <w:ind w:right="20"/>
        <w:jc w:val="center"/>
        <w:rPr>
          <w:sz w:val="20"/>
          <w:szCs w:val="20"/>
        </w:rPr>
      </w:pPr>
      <w:bookmarkStart w:id="302" w:name="page307"/>
      <w:bookmarkEnd w:id="30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8EA" w14:textId="77777777" w:rsidR="004647B9" w:rsidRDefault="004647B9" w:rsidP="00696F9F">
      <w:pPr>
        <w:rPr>
          <w:sz w:val="20"/>
          <w:szCs w:val="20"/>
        </w:rPr>
      </w:pPr>
    </w:p>
    <w:p w14:paraId="281A68EB" w14:textId="77777777" w:rsidR="004647B9" w:rsidRDefault="004647B9" w:rsidP="00696F9F">
      <w:pPr>
        <w:rPr>
          <w:sz w:val="20"/>
          <w:szCs w:val="20"/>
        </w:rPr>
      </w:pPr>
    </w:p>
    <w:p w14:paraId="281A68EC" w14:textId="77777777" w:rsidR="004647B9" w:rsidRPr="007F4854" w:rsidRDefault="00E2436F" w:rsidP="00696F9F">
      <w:pPr>
        <w:tabs>
          <w:tab w:val="left" w:pos="800"/>
        </w:tabs>
        <w:rPr>
          <w:sz w:val="24"/>
          <w:szCs w:val="24"/>
        </w:rPr>
      </w:pPr>
      <w:r w:rsidRPr="007F4854">
        <w:rPr>
          <w:rFonts w:eastAsia="Times New Roman"/>
          <w:sz w:val="24"/>
          <w:szCs w:val="24"/>
        </w:rPr>
        <w:t>22.20G:</w:t>
      </w:r>
      <w:r w:rsidRPr="007F4854">
        <w:rPr>
          <w:rFonts w:eastAsia="Times New Roman"/>
          <w:sz w:val="24"/>
          <w:szCs w:val="24"/>
        </w:rPr>
        <w:tab/>
        <w:t>continued</w:t>
      </w:r>
    </w:p>
    <w:p w14:paraId="281A68EE" w14:textId="3AD4A764" w:rsidR="004647B9" w:rsidRDefault="004647B9" w:rsidP="00696F9F">
      <w:pPr>
        <w:rPr>
          <w:sz w:val="20"/>
          <w:szCs w:val="20"/>
        </w:rPr>
      </w:pPr>
    </w:p>
    <w:tbl>
      <w:tblPr>
        <w:tblW w:w="10165" w:type="dxa"/>
        <w:tblInd w:w="80" w:type="dxa"/>
        <w:tblLayout w:type="fixed"/>
        <w:tblCellMar>
          <w:left w:w="0" w:type="dxa"/>
          <w:right w:w="0" w:type="dxa"/>
        </w:tblCellMar>
        <w:tblLook w:val="04A0" w:firstRow="1" w:lastRow="0" w:firstColumn="1" w:lastColumn="0" w:noHBand="0" w:noVBand="1"/>
      </w:tblPr>
      <w:tblGrid>
        <w:gridCol w:w="3347"/>
        <w:gridCol w:w="2996"/>
        <w:gridCol w:w="3816"/>
        <w:gridCol w:w="6"/>
      </w:tblGrid>
      <w:tr w:rsidR="007F4854" w:rsidRPr="00900F28" w14:paraId="249E6C61" w14:textId="77777777" w:rsidTr="00900F28">
        <w:trPr>
          <w:trHeight w:val="755"/>
        </w:trPr>
        <w:tc>
          <w:tcPr>
            <w:tcW w:w="3347" w:type="dxa"/>
            <w:tcBorders>
              <w:top w:val="single" w:sz="8" w:space="0" w:color="auto"/>
              <w:left w:val="single" w:sz="8" w:space="0" w:color="auto"/>
              <w:bottom w:val="single" w:sz="4" w:space="0" w:color="auto"/>
              <w:right w:val="single" w:sz="8" w:space="0" w:color="auto"/>
            </w:tcBorders>
            <w:vAlign w:val="center"/>
          </w:tcPr>
          <w:p w14:paraId="792A965C" w14:textId="77777777" w:rsidR="007F4854" w:rsidRPr="00900F28" w:rsidRDefault="007F4854" w:rsidP="00696F9F">
            <w:pPr>
              <w:ind w:left="100"/>
              <w:rPr>
                <w:sz w:val="20"/>
                <w:szCs w:val="20"/>
              </w:rPr>
            </w:pPr>
            <w:r w:rsidRPr="00900F28">
              <w:rPr>
                <w:rFonts w:eastAsia="Times New Roman"/>
                <w:b/>
                <w:bCs/>
                <w:sz w:val="20"/>
                <w:szCs w:val="20"/>
              </w:rPr>
              <w:t>Toolbox Option</w:t>
            </w:r>
          </w:p>
        </w:tc>
        <w:tc>
          <w:tcPr>
            <w:tcW w:w="2996" w:type="dxa"/>
            <w:tcBorders>
              <w:top w:val="single" w:sz="8" w:space="0" w:color="auto"/>
              <w:bottom w:val="single" w:sz="4" w:space="0" w:color="auto"/>
              <w:right w:val="single" w:sz="8" w:space="0" w:color="auto"/>
            </w:tcBorders>
            <w:vAlign w:val="center"/>
          </w:tcPr>
          <w:p w14:paraId="71D74021" w14:textId="77777777" w:rsidR="007F4854" w:rsidRPr="00900F28" w:rsidRDefault="007F4854" w:rsidP="00696F9F">
            <w:pPr>
              <w:ind w:left="100"/>
              <w:rPr>
                <w:sz w:val="20"/>
                <w:szCs w:val="20"/>
              </w:rPr>
            </w:pPr>
            <w:r w:rsidRPr="00900F28">
              <w:rPr>
                <w:rFonts w:eastAsia="Times New Roman"/>
                <w:b/>
                <w:bCs/>
                <w:sz w:val="20"/>
                <w:szCs w:val="20"/>
              </w:rPr>
              <w:t>Log Credit</w:t>
            </w:r>
          </w:p>
        </w:tc>
        <w:tc>
          <w:tcPr>
            <w:tcW w:w="3822" w:type="dxa"/>
            <w:gridSpan w:val="2"/>
            <w:tcBorders>
              <w:top w:val="single" w:sz="8" w:space="0" w:color="auto"/>
              <w:bottom w:val="single" w:sz="4" w:space="0" w:color="auto"/>
              <w:right w:val="single" w:sz="8" w:space="0" w:color="auto"/>
            </w:tcBorders>
            <w:vAlign w:val="center"/>
          </w:tcPr>
          <w:p w14:paraId="69C423CD" w14:textId="77777777" w:rsidR="007F4854" w:rsidRPr="00900F28" w:rsidRDefault="007F4854" w:rsidP="00696F9F">
            <w:pPr>
              <w:ind w:left="100"/>
              <w:rPr>
                <w:sz w:val="20"/>
                <w:szCs w:val="20"/>
              </w:rPr>
            </w:pPr>
            <w:r w:rsidRPr="00900F28">
              <w:rPr>
                <w:rFonts w:eastAsia="Times New Roman"/>
                <w:b/>
                <w:bCs/>
                <w:i/>
                <w:iCs/>
                <w:sz w:val="20"/>
                <w:szCs w:val="20"/>
              </w:rPr>
              <w:t xml:space="preserve">Cryptosporidium </w:t>
            </w:r>
            <w:r w:rsidRPr="00900F28">
              <w:rPr>
                <w:rFonts w:eastAsia="Times New Roman"/>
                <w:b/>
                <w:bCs/>
                <w:sz w:val="20"/>
                <w:szCs w:val="20"/>
              </w:rPr>
              <w:t>treatment credit with design and implementation criteria</w:t>
            </w:r>
          </w:p>
        </w:tc>
      </w:tr>
      <w:tr w:rsidR="002179D8" w:rsidRPr="00900F28" w14:paraId="36A4C98C" w14:textId="77777777" w:rsidTr="00900F28">
        <w:trPr>
          <w:trHeight w:val="614"/>
        </w:trPr>
        <w:tc>
          <w:tcPr>
            <w:tcW w:w="3347" w:type="dxa"/>
            <w:vMerge w:val="restart"/>
            <w:tcBorders>
              <w:top w:val="single" w:sz="4" w:space="0" w:color="auto"/>
              <w:left w:val="single" w:sz="8" w:space="0" w:color="auto"/>
              <w:bottom w:val="single" w:sz="4" w:space="0" w:color="auto"/>
              <w:right w:val="single" w:sz="8" w:space="0" w:color="auto"/>
            </w:tcBorders>
          </w:tcPr>
          <w:p w14:paraId="6AFDC921" w14:textId="42E802B1" w:rsidR="002179D8" w:rsidRPr="00900F28" w:rsidRDefault="002179D8" w:rsidP="00696F9F">
            <w:pPr>
              <w:pStyle w:val="ListParagraph"/>
              <w:numPr>
                <w:ilvl w:val="0"/>
                <w:numId w:val="961"/>
              </w:numPr>
              <w:tabs>
                <w:tab w:val="left" w:pos="350"/>
              </w:tabs>
              <w:ind w:left="92"/>
              <w:rPr>
                <w:sz w:val="20"/>
                <w:szCs w:val="20"/>
              </w:rPr>
            </w:pPr>
            <w:r w:rsidRPr="00900F28">
              <w:rPr>
                <w:rFonts w:eastAsia="Times New Roman"/>
                <w:sz w:val="20"/>
                <w:szCs w:val="20"/>
              </w:rPr>
              <w:t>Bank Filtration</w:t>
            </w:r>
          </w:p>
        </w:tc>
        <w:tc>
          <w:tcPr>
            <w:tcW w:w="2996" w:type="dxa"/>
            <w:tcBorders>
              <w:top w:val="single" w:sz="4" w:space="0" w:color="auto"/>
              <w:left w:val="single" w:sz="8" w:space="0" w:color="auto"/>
              <w:bottom w:val="single" w:sz="4" w:space="0" w:color="auto"/>
              <w:right w:val="single" w:sz="8" w:space="0" w:color="auto"/>
            </w:tcBorders>
          </w:tcPr>
          <w:p w14:paraId="2519F193" w14:textId="7DEA65F0" w:rsidR="002179D8" w:rsidRPr="00900F28" w:rsidRDefault="002179D8" w:rsidP="00696F9F">
            <w:pPr>
              <w:ind w:left="100"/>
              <w:rPr>
                <w:sz w:val="20"/>
                <w:szCs w:val="20"/>
              </w:rPr>
            </w:pPr>
            <w:r w:rsidRPr="00900F28">
              <w:rPr>
                <w:sz w:val="20"/>
                <w:szCs w:val="20"/>
              </w:rPr>
              <w:t>0.5-log</w:t>
            </w:r>
          </w:p>
        </w:tc>
        <w:tc>
          <w:tcPr>
            <w:tcW w:w="3822" w:type="dxa"/>
            <w:gridSpan w:val="2"/>
            <w:tcBorders>
              <w:top w:val="single" w:sz="4" w:space="0" w:color="auto"/>
              <w:bottom w:val="single" w:sz="4" w:space="0" w:color="auto"/>
              <w:right w:val="single" w:sz="8" w:space="0" w:color="auto"/>
            </w:tcBorders>
          </w:tcPr>
          <w:p w14:paraId="6F554E2B" w14:textId="000AE323" w:rsidR="002179D8" w:rsidRPr="00900F28" w:rsidRDefault="002179D8" w:rsidP="00696F9F">
            <w:pPr>
              <w:ind w:left="86"/>
              <w:rPr>
                <w:sz w:val="20"/>
                <w:szCs w:val="20"/>
              </w:rPr>
            </w:pPr>
            <w:r w:rsidRPr="00900F28">
              <w:rPr>
                <w:rFonts w:eastAsia="Times New Roman"/>
                <w:sz w:val="20"/>
                <w:szCs w:val="20"/>
              </w:rPr>
              <w:t>For 25-foot setback</w:t>
            </w:r>
            <w:r w:rsidRPr="00900F28">
              <w:rPr>
                <w:rFonts w:eastAsia="Times New Roman"/>
                <w:sz w:val="20"/>
                <w:szCs w:val="20"/>
                <w:vertAlign w:val="superscript"/>
              </w:rPr>
              <w:t>1</w:t>
            </w:r>
            <w:r w:rsidRPr="00900F28">
              <w:rPr>
                <w:rFonts w:eastAsia="Times New Roman"/>
                <w:sz w:val="20"/>
                <w:szCs w:val="20"/>
              </w:rPr>
              <w:t>. Specific criteria are in 310 CMR 22.20G(20)(c).</w:t>
            </w:r>
          </w:p>
        </w:tc>
      </w:tr>
      <w:tr w:rsidR="002179D8" w:rsidRPr="00900F28" w14:paraId="54331098" w14:textId="77777777" w:rsidTr="00900F28">
        <w:trPr>
          <w:trHeight w:val="677"/>
        </w:trPr>
        <w:tc>
          <w:tcPr>
            <w:tcW w:w="3347" w:type="dxa"/>
            <w:vMerge/>
            <w:tcBorders>
              <w:left w:val="single" w:sz="8" w:space="0" w:color="auto"/>
              <w:bottom w:val="single" w:sz="4" w:space="0" w:color="auto"/>
              <w:right w:val="single" w:sz="8" w:space="0" w:color="auto"/>
            </w:tcBorders>
          </w:tcPr>
          <w:p w14:paraId="6AD4D87F" w14:textId="587CADD6" w:rsidR="002179D8" w:rsidRPr="00900F28" w:rsidRDefault="002179D8" w:rsidP="00696F9F">
            <w:pPr>
              <w:tabs>
                <w:tab w:val="left" w:pos="350"/>
              </w:tabs>
              <w:ind w:left="92"/>
              <w:rPr>
                <w:sz w:val="20"/>
                <w:szCs w:val="20"/>
              </w:rPr>
            </w:pPr>
          </w:p>
        </w:tc>
        <w:tc>
          <w:tcPr>
            <w:tcW w:w="2996" w:type="dxa"/>
            <w:tcBorders>
              <w:top w:val="single" w:sz="4" w:space="0" w:color="auto"/>
              <w:left w:val="single" w:sz="8" w:space="0" w:color="auto"/>
              <w:bottom w:val="single" w:sz="4" w:space="0" w:color="auto"/>
              <w:right w:val="single" w:sz="8" w:space="0" w:color="auto"/>
            </w:tcBorders>
          </w:tcPr>
          <w:p w14:paraId="02827BC6" w14:textId="780A7A2A" w:rsidR="002179D8" w:rsidRPr="00900F28" w:rsidRDefault="002179D8" w:rsidP="00696F9F">
            <w:pPr>
              <w:ind w:left="100"/>
              <w:rPr>
                <w:sz w:val="20"/>
                <w:szCs w:val="20"/>
              </w:rPr>
            </w:pPr>
            <w:r w:rsidRPr="00900F28">
              <w:rPr>
                <w:sz w:val="20"/>
                <w:szCs w:val="20"/>
              </w:rPr>
              <w:t>1.0-log</w:t>
            </w:r>
          </w:p>
        </w:tc>
        <w:tc>
          <w:tcPr>
            <w:tcW w:w="3822" w:type="dxa"/>
            <w:gridSpan w:val="2"/>
            <w:tcBorders>
              <w:top w:val="single" w:sz="4" w:space="0" w:color="auto"/>
              <w:bottom w:val="single" w:sz="4" w:space="0" w:color="auto"/>
              <w:right w:val="single" w:sz="8" w:space="0" w:color="auto"/>
            </w:tcBorders>
          </w:tcPr>
          <w:p w14:paraId="62D30350" w14:textId="542538CC" w:rsidR="002179D8" w:rsidRPr="00900F28" w:rsidRDefault="0015496D" w:rsidP="00696F9F">
            <w:pPr>
              <w:ind w:left="86"/>
              <w:rPr>
                <w:sz w:val="20"/>
                <w:szCs w:val="20"/>
              </w:rPr>
            </w:pPr>
            <w:r w:rsidRPr="00900F28">
              <w:rPr>
                <w:rFonts w:eastAsia="Times New Roman"/>
                <w:sz w:val="20"/>
                <w:szCs w:val="20"/>
              </w:rPr>
              <w:t>For 50-foot setback</w:t>
            </w:r>
            <w:r w:rsidRPr="00900F28">
              <w:rPr>
                <w:rFonts w:eastAsia="Times New Roman"/>
                <w:sz w:val="20"/>
                <w:szCs w:val="20"/>
                <w:vertAlign w:val="superscript"/>
              </w:rPr>
              <w:t>1</w:t>
            </w:r>
            <w:r w:rsidRPr="00900F28">
              <w:rPr>
                <w:rFonts w:eastAsia="Times New Roman"/>
                <w:sz w:val="20"/>
                <w:szCs w:val="20"/>
              </w:rPr>
              <w:t>. Specific criteria are in 310 CMR 22.20G(20)(c).</w:t>
            </w:r>
          </w:p>
        </w:tc>
      </w:tr>
      <w:tr w:rsidR="0015496D" w:rsidRPr="00900F28" w14:paraId="281A6912" w14:textId="77777777" w:rsidTr="00900F28">
        <w:trPr>
          <w:trHeight w:val="437"/>
        </w:trPr>
        <w:tc>
          <w:tcPr>
            <w:tcW w:w="10165" w:type="dxa"/>
            <w:gridSpan w:val="4"/>
            <w:tcBorders>
              <w:left w:val="single" w:sz="8" w:space="0" w:color="auto"/>
              <w:bottom w:val="single" w:sz="4" w:space="0" w:color="auto"/>
              <w:right w:val="single" w:sz="8" w:space="0" w:color="auto"/>
            </w:tcBorders>
            <w:vAlign w:val="center"/>
          </w:tcPr>
          <w:p w14:paraId="281A6911" w14:textId="26194734" w:rsidR="0015496D" w:rsidRPr="00900F28" w:rsidRDefault="0015496D" w:rsidP="00696F9F">
            <w:pPr>
              <w:jc w:val="center"/>
              <w:rPr>
                <w:sz w:val="20"/>
                <w:szCs w:val="20"/>
              </w:rPr>
            </w:pPr>
            <w:r w:rsidRPr="00900F28">
              <w:rPr>
                <w:rFonts w:eastAsia="Times New Roman"/>
                <w:b/>
                <w:bCs/>
                <w:sz w:val="20"/>
                <w:szCs w:val="20"/>
              </w:rPr>
              <w:t>TREATMENT PERFORMANCE TOOLBOX OPTIONS</w:t>
            </w:r>
          </w:p>
        </w:tc>
      </w:tr>
      <w:tr w:rsidR="0015496D" w:rsidRPr="00900F28" w14:paraId="281A691E" w14:textId="77777777" w:rsidTr="00900F28">
        <w:trPr>
          <w:gridAfter w:val="1"/>
          <w:wAfter w:w="6" w:type="dxa"/>
          <w:trHeight w:val="1082"/>
        </w:trPr>
        <w:tc>
          <w:tcPr>
            <w:tcW w:w="3347" w:type="dxa"/>
            <w:tcBorders>
              <w:top w:val="single" w:sz="4" w:space="0" w:color="auto"/>
              <w:left w:val="single" w:sz="8" w:space="0" w:color="auto"/>
              <w:bottom w:val="single" w:sz="4" w:space="0" w:color="auto"/>
              <w:right w:val="single" w:sz="8" w:space="0" w:color="auto"/>
            </w:tcBorders>
          </w:tcPr>
          <w:p w14:paraId="281A691A" w14:textId="6CCFE905" w:rsidR="0015496D" w:rsidRPr="00900F28" w:rsidRDefault="0015496D" w:rsidP="00696F9F">
            <w:pPr>
              <w:pStyle w:val="ListParagraph"/>
              <w:numPr>
                <w:ilvl w:val="0"/>
                <w:numId w:val="961"/>
              </w:numPr>
              <w:tabs>
                <w:tab w:val="left" w:pos="350"/>
              </w:tabs>
              <w:ind w:left="92"/>
              <w:rPr>
                <w:rFonts w:eastAsia="Times New Roman"/>
                <w:sz w:val="20"/>
                <w:szCs w:val="20"/>
              </w:rPr>
            </w:pPr>
            <w:r w:rsidRPr="00900F28">
              <w:rPr>
                <w:rFonts w:eastAsia="Times New Roman"/>
                <w:sz w:val="20"/>
                <w:szCs w:val="20"/>
              </w:rPr>
              <w:t>Combined filter performance</w:t>
            </w:r>
          </w:p>
        </w:tc>
        <w:tc>
          <w:tcPr>
            <w:tcW w:w="2996" w:type="dxa"/>
            <w:tcBorders>
              <w:top w:val="single" w:sz="4" w:space="0" w:color="auto"/>
              <w:left w:val="single" w:sz="8" w:space="0" w:color="auto"/>
              <w:bottom w:val="single" w:sz="4" w:space="0" w:color="auto"/>
              <w:right w:val="single" w:sz="8" w:space="0" w:color="auto"/>
            </w:tcBorders>
          </w:tcPr>
          <w:p w14:paraId="281A691C" w14:textId="0DEC8AB2" w:rsidR="0015496D" w:rsidRPr="00900F28" w:rsidRDefault="0015496D" w:rsidP="00696F9F">
            <w:pPr>
              <w:ind w:left="101"/>
              <w:rPr>
                <w:sz w:val="20"/>
                <w:szCs w:val="20"/>
              </w:rPr>
            </w:pPr>
            <w:r w:rsidRPr="00900F28">
              <w:rPr>
                <w:rFonts w:eastAsia="Times New Roman"/>
                <w:sz w:val="20"/>
                <w:szCs w:val="20"/>
              </w:rPr>
              <w:t>0.5-log</w:t>
            </w:r>
          </w:p>
        </w:tc>
        <w:tc>
          <w:tcPr>
            <w:tcW w:w="3816" w:type="dxa"/>
            <w:tcBorders>
              <w:top w:val="single" w:sz="4" w:space="0" w:color="auto"/>
              <w:left w:val="single" w:sz="8" w:space="0" w:color="auto"/>
              <w:bottom w:val="single" w:sz="4" w:space="0" w:color="auto"/>
              <w:right w:val="single" w:sz="8" w:space="0" w:color="auto"/>
            </w:tcBorders>
          </w:tcPr>
          <w:p w14:paraId="281A691D" w14:textId="69EAB0FD" w:rsidR="0015496D" w:rsidRPr="00900F28" w:rsidRDefault="0015496D" w:rsidP="00696F9F">
            <w:pPr>
              <w:ind w:left="80"/>
              <w:rPr>
                <w:sz w:val="20"/>
                <w:szCs w:val="20"/>
              </w:rPr>
            </w:pPr>
            <w:r w:rsidRPr="00900F28">
              <w:rPr>
                <w:rFonts w:eastAsia="Times New Roman"/>
                <w:sz w:val="20"/>
                <w:szCs w:val="20"/>
              </w:rPr>
              <w:t>Credit for combined filter effluent Turbidity less than or equal to 0.15 NTU in at least 95% of measurements each month.  Specific criteria are in 310 CMR 22.20G(21)(a).</w:t>
            </w:r>
          </w:p>
        </w:tc>
      </w:tr>
      <w:tr w:rsidR="0015496D" w:rsidRPr="00900F28" w14:paraId="281A693C" w14:textId="77777777" w:rsidTr="00900F28">
        <w:trPr>
          <w:gridAfter w:val="1"/>
          <w:wAfter w:w="6" w:type="dxa"/>
          <w:trHeight w:val="2054"/>
        </w:trPr>
        <w:tc>
          <w:tcPr>
            <w:tcW w:w="3347" w:type="dxa"/>
            <w:tcBorders>
              <w:top w:val="single" w:sz="4" w:space="0" w:color="auto"/>
              <w:left w:val="single" w:sz="8" w:space="0" w:color="auto"/>
              <w:bottom w:val="single" w:sz="4" w:space="0" w:color="auto"/>
              <w:right w:val="single" w:sz="8" w:space="0" w:color="auto"/>
            </w:tcBorders>
          </w:tcPr>
          <w:p w14:paraId="281A6938" w14:textId="5C8BC8EB" w:rsidR="0015496D" w:rsidRPr="00900F28" w:rsidRDefault="0015496D" w:rsidP="00696F9F">
            <w:pPr>
              <w:pStyle w:val="ListParagraph"/>
              <w:numPr>
                <w:ilvl w:val="0"/>
                <w:numId w:val="961"/>
              </w:numPr>
              <w:tabs>
                <w:tab w:val="left" w:pos="350"/>
              </w:tabs>
              <w:ind w:left="92"/>
              <w:rPr>
                <w:rFonts w:eastAsia="Times New Roman"/>
                <w:sz w:val="20"/>
                <w:szCs w:val="20"/>
              </w:rPr>
            </w:pPr>
            <w:r w:rsidRPr="00900F28">
              <w:rPr>
                <w:rFonts w:eastAsia="Times New Roman"/>
                <w:sz w:val="20"/>
                <w:szCs w:val="20"/>
              </w:rPr>
              <w:t>Individual filter performance</w:t>
            </w:r>
          </w:p>
        </w:tc>
        <w:tc>
          <w:tcPr>
            <w:tcW w:w="2996" w:type="dxa"/>
            <w:tcBorders>
              <w:top w:val="single" w:sz="4" w:space="0" w:color="auto"/>
              <w:left w:val="single" w:sz="8" w:space="0" w:color="auto"/>
              <w:bottom w:val="single" w:sz="4" w:space="0" w:color="auto"/>
              <w:right w:val="single" w:sz="8" w:space="0" w:color="auto"/>
            </w:tcBorders>
          </w:tcPr>
          <w:p w14:paraId="281A693A" w14:textId="6ADB34E5" w:rsidR="0015496D" w:rsidRPr="00900F28" w:rsidRDefault="0015496D" w:rsidP="00696F9F">
            <w:pPr>
              <w:ind w:left="101"/>
              <w:rPr>
                <w:sz w:val="20"/>
                <w:szCs w:val="20"/>
              </w:rPr>
            </w:pPr>
            <w:r w:rsidRPr="00900F28">
              <w:rPr>
                <w:rFonts w:eastAsia="Times New Roman"/>
                <w:sz w:val="20"/>
                <w:szCs w:val="20"/>
              </w:rPr>
              <w:t>0.5-log</w:t>
            </w:r>
          </w:p>
        </w:tc>
        <w:tc>
          <w:tcPr>
            <w:tcW w:w="3816" w:type="dxa"/>
            <w:tcBorders>
              <w:top w:val="single" w:sz="4" w:space="0" w:color="auto"/>
              <w:left w:val="single" w:sz="8" w:space="0" w:color="auto"/>
              <w:bottom w:val="single" w:sz="4" w:space="0" w:color="auto"/>
              <w:right w:val="single" w:sz="8" w:space="0" w:color="auto"/>
            </w:tcBorders>
          </w:tcPr>
          <w:p w14:paraId="281A693B" w14:textId="678EFFCD" w:rsidR="0015496D" w:rsidRPr="00900F28" w:rsidRDefault="0015496D" w:rsidP="00696F9F">
            <w:pPr>
              <w:ind w:left="80"/>
              <w:rPr>
                <w:sz w:val="20"/>
                <w:szCs w:val="20"/>
              </w:rPr>
            </w:pPr>
            <w:r w:rsidRPr="00900F28">
              <w:rPr>
                <w:rFonts w:eastAsia="Times New Roman"/>
                <w:sz w:val="20"/>
                <w:szCs w:val="20"/>
              </w:rPr>
              <w:t>Credit is given in addition to 0.5-log combined filter performance credit.  Credit is given if individual filter effluent Turbidity is less than or equal to 0.15 NTU in at least 95% of samples each month in each filter and is never greater than 0.3 NTU in two consecutive</w:t>
            </w:r>
            <w:r w:rsidR="00900F28" w:rsidRPr="00900F28">
              <w:rPr>
                <w:rFonts w:eastAsia="Times New Roman"/>
                <w:sz w:val="20"/>
                <w:szCs w:val="20"/>
              </w:rPr>
              <w:t xml:space="preserve"> </w:t>
            </w:r>
            <w:r w:rsidRPr="00900F28">
              <w:rPr>
                <w:rFonts w:eastAsia="Times New Roman"/>
                <w:sz w:val="20"/>
                <w:szCs w:val="20"/>
              </w:rPr>
              <w:t>measurements in any filter.  Specific criteria</w:t>
            </w:r>
            <w:r w:rsidR="00900F28" w:rsidRPr="00900F28">
              <w:rPr>
                <w:rFonts w:eastAsia="Times New Roman"/>
                <w:sz w:val="20"/>
                <w:szCs w:val="20"/>
              </w:rPr>
              <w:t xml:space="preserve"> </w:t>
            </w:r>
            <w:r w:rsidRPr="00900F28">
              <w:rPr>
                <w:rFonts w:eastAsia="Times New Roman"/>
                <w:sz w:val="20"/>
                <w:szCs w:val="20"/>
              </w:rPr>
              <w:t>are in 310 CMR 22.20G(21)(b).</w:t>
            </w:r>
          </w:p>
        </w:tc>
      </w:tr>
      <w:tr w:rsidR="00900F28" w:rsidRPr="00900F28" w14:paraId="281A6972" w14:textId="77777777" w:rsidTr="00900F28">
        <w:trPr>
          <w:gridAfter w:val="1"/>
          <w:wAfter w:w="6" w:type="dxa"/>
          <w:trHeight w:val="1073"/>
        </w:trPr>
        <w:tc>
          <w:tcPr>
            <w:tcW w:w="3347" w:type="dxa"/>
            <w:tcBorders>
              <w:top w:val="single" w:sz="4" w:space="0" w:color="auto"/>
              <w:left w:val="single" w:sz="8" w:space="0" w:color="auto"/>
              <w:bottom w:val="single" w:sz="4" w:space="0" w:color="auto"/>
              <w:right w:val="single" w:sz="8" w:space="0" w:color="auto"/>
            </w:tcBorders>
          </w:tcPr>
          <w:p w14:paraId="281A696E" w14:textId="21A16093" w:rsidR="00900F28" w:rsidRPr="00900F28" w:rsidRDefault="00900F28" w:rsidP="00696F9F">
            <w:pPr>
              <w:pStyle w:val="ListParagraph"/>
              <w:numPr>
                <w:ilvl w:val="0"/>
                <w:numId w:val="961"/>
              </w:numPr>
              <w:tabs>
                <w:tab w:val="left" w:pos="350"/>
              </w:tabs>
              <w:ind w:left="92"/>
              <w:rPr>
                <w:rFonts w:eastAsia="Times New Roman"/>
                <w:sz w:val="20"/>
                <w:szCs w:val="20"/>
              </w:rPr>
            </w:pPr>
            <w:r w:rsidRPr="00900F28">
              <w:rPr>
                <w:rFonts w:eastAsia="Times New Roman"/>
                <w:sz w:val="20"/>
                <w:szCs w:val="20"/>
              </w:rPr>
              <w:t>Demonstration of performance</w:t>
            </w:r>
          </w:p>
        </w:tc>
        <w:tc>
          <w:tcPr>
            <w:tcW w:w="2996" w:type="dxa"/>
            <w:tcBorders>
              <w:top w:val="single" w:sz="4" w:space="0" w:color="auto"/>
              <w:left w:val="single" w:sz="8" w:space="0" w:color="auto"/>
              <w:bottom w:val="single" w:sz="4" w:space="0" w:color="auto"/>
              <w:right w:val="single" w:sz="8" w:space="0" w:color="auto"/>
            </w:tcBorders>
          </w:tcPr>
          <w:p w14:paraId="281A6970" w14:textId="4A2377D2" w:rsidR="00900F28" w:rsidRPr="00900F28" w:rsidRDefault="00900F28" w:rsidP="00696F9F">
            <w:pPr>
              <w:ind w:left="101"/>
              <w:rPr>
                <w:sz w:val="20"/>
                <w:szCs w:val="20"/>
              </w:rPr>
            </w:pPr>
            <w:r w:rsidRPr="00900F28">
              <w:rPr>
                <w:rFonts w:eastAsia="Times New Roman"/>
                <w:sz w:val="20"/>
                <w:szCs w:val="20"/>
              </w:rPr>
              <w:t>Credit awarded</w:t>
            </w:r>
          </w:p>
        </w:tc>
        <w:tc>
          <w:tcPr>
            <w:tcW w:w="3816" w:type="dxa"/>
            <w:tcBorders>
              <w:top w:val="single" w:sz="4" w:space="0" w:color="auto"/>
              <w:left w:val="single" w:sz="8" w:space="0" w:color="auto"/>
              <w:bottom w:val="single" w:sz="4" w:space="0" w:color="auto"/>
              <w:right w:val="single" w:sz="8" w:space="0" w:color="auto"/>
            </w:tcBorders>
          </w:tcPr>
          <w:p w14:paraId="281A6971" w14:textId="7067F192" w:rsidR="00900F28" w:rsidRPr="00900F28" w:rsidRDefault="00900F28" w:rsidP="00696F9F">
            <w:pPr>
              <w:ind w:left="80"/>
              <w:rPr>
                <w:sz w:val="20"/>
                <w:szCs w:val="20"/>
              </w:rPr>
            </w:pPr>
            <w:r w:rsidRPr="00900F28">
              <w:rPr>
                <w:rFonts w:eastAsia="Times New Roman"/>
                <w:sz w:val="20"/>
                <w:szCs w:val="20"/>
              </w:rPr>
              <w:t>Credit awarded to unit process or treatment train based on a demonstration to the Department with a Department-approved protocol.  Specific criteria are in 310 CMR 22.20G(21)(c).</w:t>
            </w:r>
          </w:p>
        </w:tc>
      </w:tr>
      <w:tr w:rsidR="00900F28" w:rsidRPr="00900F28" w14:paraId="281A6993" w14:textId="77777777" w:rsidTr="00900F28">
        <w:trPr>
          <w:trHeight w:val="447"/>
        </w:trPr>
        <w:tc>
          <w:tcPr>
            <w:tcW w:w="10165" w:type="dxa"/>
            <w:gridSpan w:val="4"/>
            <w:tcBorders>
              <w:top w:val="single" w:sz="4" w:space="0" w:color="auto"/>
              <w:left w:val="single" w:sz="8" w:space="0" w:color="auto"/>
              <w:bottom w:val="single" w:sz="4" w:space="0" w:color="auto"/>
              <w:right w:val="single" w:sz="8" w:space="0" w:color="auto"/>
            </w:tcBorders>
            <w:vAlign w:val="center"/>
          </w:tcPr>
          <w:p w14:paraId="281A6992" w14:textId="77777777" w:rsidR="00900F28" w:rsidRPr="00900F28" w:rsidRDefault="00900F28" w:rsidP="00696F9F">
            <w:pPr>
              <w:jc w:val="center"/>
              <w:rPr>
                <w:sz w:val="20"/>
                <w:szCs w:val="20"/>
              </w:rPr>
            </w:pPr>
            <w:r w:rsidRPr="00900F28">
              <w:rPr>
                <w:rFonts w:eastAsia="Times New Roman"/>
                <w:b/>
                <w:bCs/>
                <w:sz w:val="20"/>
                <w:szCs w:val="20"/>
              </w:rPr>
              <w:t>ADDITIONAL FILTRATION TOOLBOX OPTIONS</w:t>
            </w:r>
          </w:p>
        </w:tc>
      </w:tr>
      <w:tr w:rsidR="00900F28" w:rsidRPr="00900F28" w14:paraId="3073DA6A" w14:textId="77777777" w:rsidTr="000C7375">
        <w:trPr>
          <w:gridAfter w:val="1"/>
          <w:wAfter w:w="6" w:type="dxa"/>
          <w:trHeight w:val="447"/>
        </w:trPr>
        <w:tc>
          <w:tcPr>
            <w:tcW w:w="3347" w:type="dxa"/>
            <w:tcBorders>
              <w:top w:val="single" w:sz="4" w:space="0" w:color="auto"/>
              <w:left w:val="single" w:sz="8" w:space="0" w:color="auto"/>
              <w:bottom w:val="single" w:sz="4" w:space="0" w:color="auto"/>
              <w:right w:val="single" w:sz="8" w:space="0" w:color="auto"/>
            </w:tcBorders>
          </w:tcPr>
          <w:p w14:paraId="29C4DEFB" w14:textId="0F8A5262" w:rsidR="00900F28" w:rsidRPr="00900F28" w:rsidRDefault="00900F28" w:rsidP="00696F9F">
            <w:pPr>
              <w:pStyle w:val="ListParagraph"/>
              <w:numPr>
                <w:ilvl w:val="0"/>
                <w:numId w:val="961"/>
              </w:numPr>
              <w:tabs>
                <w:tab w:val="left" w:pos="350"/>
              </w:tabs>
              <w:ind w:left="92"/>
              <w:rPr>
                <w:rFonts w:eastAsia="Times New Roman"/>
                <w:sz w:val="20"/>
                <w:szCs w:val="20"/>
              </w:rPr>
            </w:pPr>
            <w:r w:rsidRPr="00900F28">
              <w:rPr>
                <w:rFonts w:eastAsia="Times New Roman"/>
                <w:sz w:val="20"/>
                <w:szCs w:val="20"/>
              </w:rPr>
              <w:t>Bag or Cartridge Filters (individual Up to 2-log filters)</w:t>
            </w:r>
          </w:p>
        </w:tc>
        <w:tc>
          <w:tcPr>
            <w:tcW w:w="2996" w:type="dxa"/>
            <w:tcBorders>
              <w:top w:val="single" w:sz="4" w:space="0" w:color="auto"/>
              <w:left w:val="single" w:sz="8" w:space="0" w:color="auto"/>
              <w:bottom w:val="single" w:sz="4" w:space="0" w:color="auto"/>
              <w:right w:val="single" w:sz="8" w:space="0" w:color="auto"/>
            </w:tcBorders>
          </w:tcPr>
          <w:p w14:paraId="00AB0559" w14:textId="792DE6AA" w:rsidR="00900F28" w:rsidRPr="00900F28" w:rsidRDefault="00900F28" w:rsidP="00696F9F">
            <w:pPr>
              <w:ind w:left="101"/>
              <w:rPr>
                <w:rFonts w:eastAsia="Times New Roman"/>
                <w:sz w:val="20"/>
                <w:szCs w:val="20"/>
              </w:rPr>
            </w:pPr>
            <w:r w:rsidRPr="00900F28">
              <w:rPr>
                <w:rFonts w:eastAsia="Times New Roman"/>
                <w:sz w:val="20"/>
                <w:szCs w:val="20"/>
              </w:rPr>
              <w:t>Up to 2-log</w:t>
            </w:r>
          </w:p>
        </w:tc>
        <w:tc>
          <w:tcPr>
            <w:tcW w:w="3816" w:type="dxa"/>
            <w:tcBorders>
              <w:top w:val="single" w:sz="4" w:space="0" w:color="auto"/>
              <w:left w:val="single" w:sz="8" w:space="0" w:color="auto"/>
              <w:bottom w:val="single" w:sz="4" w:space="0" w:color="auto"/>
              <w:right w:val="single" w:sz="8" w:space="0" w:color="auto"/>
            </w:tcBorders>
          </w:tcPr>
          <w:p w14:paraId="7824A250" w14:textId="55AF344B" w:rsidR="00900F28" w:rsidRPr="00900F28" w:rsidRDefault="00900F28" w:rsidP="00696F9F">
            <w:pPr>
              <w:ind w:left="86"/>
              <w:rPr>
                <w:rFonts w:eastAsia="Times New Roman"/>
                <w:b/>
                <w:bCs/>
                <w:sz w:val="20"/>
                <w:szCs w:val="20"/>
              </w:rPr>
            </w:pPr>
            <w:r w:rsidRPr="00900F28">
              <w:rPr>
                <w:rFonts w:eastAsia="Times New Roman"/>
                <w:sz w:val="20"/>
                <w:szCs w:val="20"/>
              </w:rPr>
              <w:t>Up to 2-log credit based on the removal efficiency demonstrated during challenge testing with a 1.0-log factor of safety. Specific criteria are in 310 CMR 22.20G(22)(a).</w:t>
            </w:r>
          </w:p>
        </w:tc>
      </w:tr>
      <w:tr w:rsidR="00900F28" w:rsidRPr="00900F28" w14:paraId="14558E53" w14:textId="77777777" w:rsidTr="000C7375">
        <w:trPr>
          <w:gridAfter w:val="1"/>
          <w:wAfter w:w="6" w:type="dxa"/>
          <w:trHeight w:val="447"/>
        </w:trPr>
        <w:tc>
          <w:tcPr>
            <w:tcW w:w="3347" w:type="dxa"/>
            <w:tcBorders>
              <w:top w:val="single" w:sz="4" w:space="0" w:color="auto"/>
              <w:left w:val="single" w:sz="8" w:space="0" w:color="auto"/>
              <w:bottom w:val="single" w:sz="4" w:space="0" w:color="auto"/>
              <w:right w:val="single" w:sz="8" w:space="0" w:color="auto"/>
            </w:tcBorders>
          </w:tcPr>
          <w:p w14:paraId="0A6FB5C0" w14:textId="05E0F4C8" w:rsidR="00900F28" w:rsidRPr="00900F28" w:rsidRDefault="00900F28" w:rsidP="00696F9F">
            <w:pPr>
              <w:pStyle w:val="ListParagraph"/>
              <w:numPr>
                <w:ilvl w:val="0"/>
                <w:numId w:val="961"/>
              </w:numPr>
              <w:tabs>
                <w:tab w:val="left" w:pos="350"/>
              </w:tabs>
              <w:ind w:left="0"/>
              <w:rPr>
                <w:rFonts w:eastAsia="Times New Roman"/>
                <w:sz w:val="20"/>
                <w:szCs w:val="20"/>
              </w:rPr>
            </w:pPr>
            <w:r w:rsidRPr="00900F28">
              <w:rPr>
                <w:rFonts w:eastAsia="Times New Roman"/>
                <w:sz w:val="20"/>
                <w:szCs w:val="20"/>
              </w:rPr>
              <w:t>Bag or Cartridge Filters (in series)</w:t>
            </w:r>
          </w:p>
        </w:tc>
        <w:tc>
          <w:tcPr>
            <w:tcW w:w="2996" w:type="dxa"/>
            <w:tcBorders>
              <w:top w:val="single" w:sz="4" w:space="0" w:color="auto"/>
              <w:left w:val="single" w:sz="8" w:space="0" w:color="auto"/>
              <w:bottom w:val="single" w:sz="4" w:space="0" w:color="auto"/>
              <w:right w:val="single" w:sz="8" w:space="0" w:color="auto"/>
            </w:tcBorders>
          </w:tcPr>
          <w:p w14:paraId="7A9C4131" w14:textId="057238C9" w:rsidR="00900F28" w:rsidRPr="00900F28" w:rsidRDefault="00900F28" w:rsidP="00696F9F">
            <w:pPr>
              <w:ind w:left="101"/>
              <w:rPr>
                <w:rFonts w:eastAsia="Times New Roman"/>
                <w:b/>
                <w:bCs/>
                <w:sz w:val="20"/>
                <w:szCs w:val="20"/>
              </w:rPr>
            </w:pPr>
            <w:r w:rsidRPr="00900F28">
              <w:rPr>
                <w:rFonts w:eastAsia="Times New Roman"/>
                <w:sz w:val="20"/>
                <w:szCs w:val="20"/>
              </w:rPr>
              <w:t>Up to 2.5-log</w:t>
            </w:r>
          </w:p>
        </w:tc>
        <w:tc>
          <w:tcPr>
            <w:tcW w:w="3816" w:type="dxa"/>
            <w:tcBorders>
              <w:top w:val="single" w:sz="4" w:space="0" w:color="auto"/>
              <w:left w:val="single" w:sz="8" w:space="0" w:color="auto"/>
              <w:bottom w:val="single" w:sz="4" w:space="0" w:color="auto"/>
              <w:right w:val="single" w:sz="8" w:space="0" w:color="auto"/>
            </w:tcBorders>
          </w:tcPr>
          <w:p w14:paraId="577DE8B7" w14:textId="4BE2C8EB" w:rsidR="00900F28" w:rsidRPr="00900F28" w:rsidRDefault="00900F28" w:rsidP="00696F9F">
            <w:pPr>
              <w:ind w:left="86"/>
              <w:rPr>
                <w:rFonts w:eastAsia="Times New Roman"/>
                <w:b/>
                <w:bCs/>
                <w:sz w:val="20"/>
                <w:szCs w:val="20"/>
              </w:rPr>
            </w:pPr>
            <w:r w:rsidRPr="00900F28">
              <w:rPr>
                <w:rFonts w:eastAsia="Times New Roman"/>
                <w:sz w:val="20"/>
                <w:szCs w:val="20"/>
              </w:rPr>
              <w:t>Up to 2.5-log credit based on the removal</w:t>
            </w:r>
            <w:r>
              <w:rPr>
                <w:rFonts w:eastAsia="Times New Roman"/>
                <w:sz w:val="20"/>
                <w:szCs w:val="20"/>
              </w:rPr>
              <w:t xml:space="preserve"> </w:t>
            </w:r>
            <w:r w:rsidRPr="00900F28">
              <w:rPr>
                <w:rFonts w:eastAsia="Times New Roman"/>
                <w:sz w:val="20"/>
                <w:szCs w:val="20"/>
              </w:rPr>
              <w:t>efficiency demonstrated during challenge</w:t>
            </w:r>
            <w:r>
              <w:rPr>
                <w:rFonts w:eastAsia="Times New Roman"/>
                <w:sz w:val="20"/>
                <w:szCs w:val="20"/>
              </w:rPr>
              <w:t xml:space="preserve"> </w:t>
            </w:r>
            <w:r w:rsidRPr="00900F28">
              <w:rPr>
                <w:rFonts w:eastAsia="Times New Roman"/>
                <w:sz w:val="20"/>
                <w:szCs w:val="20"/>
              </w:rPr>
              <w:t>testing with a 0.5-log factor of safety.  Specific</w:t>
            </w:r>
            <w:r>
              <w:rPr>
                <w:rFonts w:eastAsia="Times New Roman"/>
                <w:sz w:val="20"/>
                <w:szCs w:val="20"/>
              </w:rPr>
              <w:t xml:space="preserve"> </w:t>
            </w:r>
            <w:r w:rsidRPr="00900F28">
              <w:rPr>
                <w:rFonts w:eastAsia="Times New Roman"/>
                <w:sz w:val="20"/>
                <w:szCs w:val="20"/>
              </w:rPr>
              <w:t>criteria are in 310 CMR 22.20G(22)(a).</w:t>
            </w:r>
          </w:p>
        </w:tc>
      </w:tr>
      <w:tr w:rsidR="00900F28" w:rsidRPr="00900F28" w14:paraId="36E02822" w14:textId="77777777" w:rsidTr="000C7375">
        <w:trPr>
          <w:gridAfter w:val="1"/>
          <w:wAfter w:w="6" w:type="dxa"/>
          <w:trHeight w:val="447"/>
        </w:trPr>
        <w:tc>
          <w:tcPr>
            <w:tcW w:w="3347" w:type="dxa"/>
            <w:tcBorders>
              <w:top w:val="single" w:sz="4" w:space="0" w:color="auto"/>
              <w:left w:val="single" w:sz="8" w:space="0" w:color="auto"/>
              <w:bottom w:val="single" w:sz="4" w:space="0" w:color="auto"/>
              <w:right w:val="single" w:sz="8" w:space="0" w:color="auto"/>
            </w:tcBorders>
          </w:tcPr>
          <w:p w14:paraId="49B07DA5" w14:textId="45F1211D" w:rsidR="00900F28" w:rsidRPr="00900F28" w:rsidRDefault="00900F28" w:rsidP="00696F9F">
            <w:pPr>
              <w:pStyle w:val="ListParagraph"/>
              <w:numPr>
                <w:ilvl w:val="0"/>
                <w:numId w:val="961"/>
              </w:numPr>
              <w:tabs>
                <w:tab w:val="left" w:pos="350"/>
              </w:tabs>
              <w:ind w:left="0"/>
              <w:rPr>
                <w:rFonts w:eastAsia="Times New Roman"/>
                <w:sz w:val="20"/>
                <w:szCs w:val="20"/>
              </w:rPr>
            </w:pPr>
            <w:r w:rsidRPr="00900F28">
              <w:rPr>
                <w:rFonts w:eastAsia="Times New Roman"/>
                <w:sz w:val="20"/>
                <w:szCs w:val="20"/>
              </w:rPr>
              <w:t>Membrane Filtration</w:t>
            </w:r>
          </w:p>
        </w:tc>
        <w:tc>
          <w:tcPr>
            <w:tcW w:w="2996" w:type="dxa"/>
            <w:tcBorders>
              <w:top w:val="single" w:sz="4" w:space="0" w:color="auto"/>
              <w:left w:val="single" w:sz="8" w:space="0" w:color="auto"/>
              <w:bottom w:val="single" w:sz="4" w:space="0" w:color="auto"/>
              <w:right w:val="single" w:sz="8" w:space="0" w:color="auto"/>
            </w:tcBorders>
          </w:tcPr>
          <w:p w14:paraId="12D0EEEC" w14:textId="353000C8" w:rsidR="00900F28" w:rsidRPr="00900F28" w:rsidRDefault="00900F28" w:rsidP="00696F9F">
            <w:pPr>
              <w:ind w:left="101"/>
              <w:rPr>
                <w:rFonts w:eastAsia="Times New Roman"/>
                <w:b/>
                <w:bCs/>
                <w:sz w:val="20"/>
                <w:szCs w:val="20"/>
              </w:rPr>
            </w:pPr>
            <w:r w:rsidRPr="00900F28">
              <w:rPr>
                <w:rFonts w:eastAsia="Times New Roman"/>
                <w:sz w:val="20"/>
                <w:szCs w:val="20"/>
              </w:rPr>
              <w:t>Log credit</w:t>
            </w:r>
          </w:p>
        </w:tc>
        <w:tc>
          <w:tcPr>
            <w:tcW w:w="3816" w:type="dxa"/>
            <w:tcBorders>
              <w:top w:val="single" w:sz="4" w:space="0" w:color="auto"/>
              <w:left w:val="single" w:sz="8" w:space="0" w:color="auto"/>
              <w:bottom w:val="single" w:sz="4" w:space="0" w:color="auto"/>
              <w:right w:val="single" w:sz="8" w:space="0" w:color="auto"/>
            </w:tcBorders>
          </w:tcPr>
          <w:p w14:paraId="746A8E40" w14:textId="6260FCE9" w:rsidR="00900F28" w:rsidRPr="00900F28" w:rsidRDefault="00900F28" w:rsidP="00696F9F">
            <w:pPr>
              <w:ind w:left="86"/>
              <w:rPr>
                <w:rFonts w:eastAsia="Times New Roman"/>
                <w:b/>
                <w:bCs/>
                <w:sz w:val="20"/>
                <w:szCs w:val="20"/>
              </w:rPr>
            </w:pPr>
            <w:r w:rsidRPr="00900F28">
              <w:rPr>
                <w:rFonts w:eastAsia="Times New Roman"/>
                <w:sz w:val="20"/>
                <w:szCs w:val="20"/>
              </w:rPr>
              <w:t>Log credit equivalent to removal efficiency</w:t>
            </w:r>
            <w:r>
              <w:rPr>
                <w:rFonts w:eastAsia="Times New Roman"/>
                <w:sz w:val="20"/>
                <w:szCs w:val="20"/>
              </w:rPr>
              <w:t xml:space="preserve"> </w:t>
            </w:r>
            <w:r w:rsidRPr="00900F28">
              <w:rPr>
                <w:rFonts w:eastAsia="Times New Roman"/>
                <w:sz w:val="20"/>
                <w:szCs w:val="20"/>
              </w:rPr>
              <w:t>demonstrated in challenge test for device if</w:t>
            </w:r>
            <w:r>
              <w:rPr>
                <w:rFonts w:eastAsia="Times New Roman"/>
                <w:sz w:val="20"/>
                <w:szCs w:val="20"/>
              </w:rPr>
              <w:t xml:space="preserve"> </w:t>
            </w:r>
            <w:r w:rsidRPr="00900F28">
              <w:rPr>
                <w:rFonts w:eastAsia="Times New Roman"/>
                <w:sz w:val="20"/>
                <w:szCs w:val="20"/>
              </w:rPr>
              <w:t>supported by direct integrity testing.  Specific</w:t>
            </w:r>
            <w:r>
              <w:rPr>
                <w:rFonts w:eastAsia="Times New Roman"/>
                <w:sz w:val="20"/>
                <w:szCs w:val="20"/>
              </w:rPr>
              <w:t xml:space="preserve"> </w:t>
            </w:r>
            <w:r w:rsidRPr="00900F28">
              <w:rPr>
                <w:rFonts w:eastAsia="Times New Roman"/>
                <w:sz w:val="20"/>
                <w:szCs w:val="20"/>
              </w:rPr>
              <w:t>criteria are in 310 CMR 22.20G(22)(b).</w:t>
            </w:r>
          </w:p>
        </w:tc>
      </w:tr>
      <w:tr w:rsidR="00900F28" w:rsidRPr="00900F28" w14:paraId="0501BE63" w14:textId="77777777" w:rsidTr="000C7375">
        <w:trPr>
          <w:gridAfter w:val="1"/>
          <w:wAfter w:w="6" w:type="dxa"/>
          <w:trHeight w:val="447"/>
        </w:trPr>
        <w:tc>
          <w:tcPr>
            <w:tcW w:w="3347" w:type="dxa"/>
            <w:tcBorders>
              <w:top w:val="single" w:sz="4" w:space="0" w:color="auto"/>
              <w:left w:val="single" w:sz="8" w:space="0" w:color="auto"/>
              <w:bottom w:val="single" w:sz="4" w:space="0" w:color="auto"/>
              <w:right w:val="single" w:sz="8" w:space="0" w:color="auto"/>
            </w:tcBorders>
          </w:tcPr>
          <w:p w14:paraId="11875B35" w14:textId="768A176C" w:rsidR="00900F28" w:rsidRPr="00900F28" w:rsidRDefault="00900F28" w:rsidP="00696F9F">
            <w:pPr>
              <w:pStyle w:val="ListParagraph"/>
              <w:numPr>
                <w:ilvl w:val="0"/>
                <w:numId w:val="961"/>
              </w:numPr>
              <w:tabs>
                <w:tab w:val="left" w:pos="350"/>
              </w:tabs>
              <w:ind w:left="0"/>
              <w:rPr>
                <w:rFonts w:eastAsia="Times New Roman"/>
                <w:sz w:val="20"/>
                <w:szCs w:val="20"/>
              </w:rPr>
            </w:pPr>
            <w:r w:rsidRPr="00900F28">
              <w:rPr>
                <w:rFonts w:eastAsia="Times New Roman"/>
                <w:sz w:val="20"/>
                <w:szCs w:val="20"/>
              </w:rPr>
              <w:t>Second stage Filtration</w:t>
            </w:r>
          </w:p>
        </w:tc>
        <w:tc>
          <w:tcPr>
            <w:tcW w:w="2996" w:type="dxa"/>
            <w:tcBorders>
              <w:top w:val="single" w:sz="4" w:space="0" w:color="auto"/>
              <w:left w:val="single" w:sz="8" w:space="0" w:color="auto"/>
              <w:bottom w:val="single" w:sz="4" w:space="0" w:color="auto"/>
              <w:right w:val="single" w:sz="8" w:space="0" w:color="auto"/>
            </w:tcBorders>
          </w:tcPr>
          <w:p w14:paraId="10C2AB0B" w14:textId="17C98998" w:rsidR="00900F28" w:rsidRPr="00900F28" w:rsidRDefault="00900F28" w:rsidP="00696F9F">
            <w:pPr>
              <w:ind w:left="101"/>
              <w:rPr>
                <w:rFonts w:eastAsia="Times New Roman"/>
                <w:b/>
                <w:bCs/>
                <w:sz w:val="20"/>
                <w:szCs w:val="20"/>
              </w:rPr>
            </w:pPr>
            <w:r w:rsidRPr="00900F28">
              <w:rPr>
                <w:rFonts w:eastAsia="Times New Roman"/>
                <w:sz w:val="20"/>
                <w:szCs w:val="20"/>
              </w:rPr>
              <w:t>0.5-log</w:t>
            </w:r>
          </w:p>
        </w:tc>
        <w:tc>
          <w:tcPr>
            <w:tcW w:w="3816" w:type="dxa"/>
            <w:tcBorders>
              <w:top w:val="single" w:sz="4" w:space="0" w:color="auto"/>
              <w:left w:val="single" w:sz="8" w:space="0" w:color="auto"/>
              <w:bottom w:val="single" w:sz="4" w:space="0" w:color="auto"/>
              <w:right w:val="single" w:sz="8" w:space="0" w:color="auto"/>
            </w:tcBorders>
          </w:tcPr>
          <w:p w14:paraId="17286D9C" w14:textId="6ED3F8B2" w:rsidR="00900F28" w:rsidRPr="00900F28" w:rsidRDefault="00900F28" w:rsidP="00696F9F">
            <w:pPr>
              <w:ind w:left="86"/>
              <w:rPr>
                <w:rFonts w:eastAsia="Times New Roman"/>
                <w:b/>
                <w:bCs/>
                <w:sz w:val="20"/>
                <w:szCs w:val="20"/>
              </w:rPr>
            </w:pPr>
            <w:r w:rsidRPr="00900F28">
              <w:rPr>
                <w:rFonts w:eastAsia="Times New Roman"/>
                <w:sz w:val="20"/>
                <w:szCs w:val="20"/>
              </w:rPr>
              <w:t>0.5-log credit for second separate granular</w:t>
            </w:r>
            <w:r>
              <w:rPr>
                <w:rFonts w:eastAsia="Times New Roman"/>
                <w:sz w:val="20"/>
                <w:szCs w:val="20"/>
              </w:rPr>
              <w:t xml:space="preserve"> </w:t>
            </w:r>
            <w:r w:rsidRPr="00900F28">
              <w:rPr>
                <w:rFonts w:eastAsia="Times New Roman"/>
                <w:sz w:val="20"/>
                <w:szCs w:val="20"/>
              </w:rPr>
              <w:t>media Filtration stage if treatment train</w:t>
            </w:r>
            <w:r>
              <w:rPr>
                <w:rFonts w:eastAsia="Times New Roman"/>
                <w:sz w:val="20"/>
                <w:szCs w:val="20"/>
              </w:rPr>
              <w:t xml:space="preserve"> </w:t>
            </w:r>
            <w:r w:rsidRPr="00900F28">
              <w:rPr>
                <w:rFonts w:eastAsia="Times New Roman"/>
                <w:sz w:val="20"/>
                <w:szCs w:val="20"/>
              </w:rPr>
              <w:t>includes Coagulation prior to first filter.</w:t>
            </w:r>
            <w:r>
              <w:rPr>
                <w:rFonts w:eastAsia="Times New Roman"/>
                <w:sz w:val="20"/>
                <w:szCs w:val="20"/>
              </w:rPr>
              <w:t xml:space="preserve"> </w:t>
            </w:r>
            <w:r w:rsidRPr="00900F28">
              <w:rPr>
                <w:rFonts w:eastAsia="Times New Roman"/>
                <w:sz w:val="20"/>
                <w:szCs w:val="20"/>
              </w:rPr>
              <w:t>Specific criteria are in 310 CMR</w:t>
            </w:r>
            <w:r>
              <w:rPr>
                <w:rFonts w:eastAsia="Times New Roman"/>
                <w:sz w:val="20"/>
                <w:szCs w:val="20"/>
              </w:rPr>
              <w:t xml:space="preserve"> </w:t>
            </w:r>
            <w:r w:rsidRPr="00900F28">
              <w:rPr>
                <w:rFonts w:eastAsia="Times New Roman"/>
                <w:sz w:val="20"/>
                <w:szCs w:val="20"/>
              </w:rPr>
              <w:t>22.20G(22)(c).</w:t>
            </w:r>
          </w:p>
        </w:tc>
      </w:tr>
    </w:tbl>
    <w:p w14:paraId="281A69F3" w14:textId="77777777" w:rsidR="004647B9" w:rsidRDefault="004647B9" w:rsidP="00696F9F">
      <w:pPr>
        <w:sectPr w:rsidR="004647B9" w:rsidSect="00EF630C">
          <w:type w:val="continuous"/>
          <w:pgSz w:w="12240" w:h="20180"/>
          <w:pgMar w:top="708" w:right="1440" w:bottom="1440" w:left="620" w:header="0" w:footer="0" w:gutter="0"/>
          <w:cols w:space="720"/>
        </w:sectPr>
      </w:pPr>
    </w:p>
    <w:p w14:paraId="281A69F4" w14:textId="77777777" w:rsidR="004647B9" w:rsidRDefault="00E2436F">
      <w:pPr>
        <w:tabs>
          <w:tab w:val="left" w:pos="160"/>
        </w:tabs>
        <w:ind w:right="20"/>
        <w:jc w:val="center"/>
        <w:rPr>
          <w:sz w:val="20"/>
          <w:szCs w:val="20"/>
        </w:rPr>
      </w:pPr>
      <w:bookmarkStart w:id="303" w:name="page308"/>
      <w:bookmarkEnd w:id="30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9F5" w14:textId="77777777" w:rsidR="004647B9" w:rsidRDefault="004647B9" w:rsidP="00696F9F">
      <w:pPr>
        <w:rPr>
          <w:sz w:val="20"/>
          <w:szCs w:val="20"/>
        </w:rPr>
      </w:pPr>
    </w:p>
    <w:p w14:paraId="281A69F6" w14:textId="77777777" w:rsidR="004647B9" w:rsidRDefault="004647B9" w:rsidP="00696F9F">
      <w:pPr>
        <w:rPr>
          <w:sz w:val="20"/>
          <w:szCs w:val="20"/>
        </w:rPr>
      </w:pPr>
    </w:p>
    <w:p w14:paraId="281A69F7" w14:textId="77777777" w:rsidR="004647B9" w:rsidRPr="00696F9F" w:rsidRDefault="00E2436F" w:rsidP="00696F9F">
      <w:pPr>
        <w:tabs>
          <w:tab w:val="left" w:pos="940"/>
        </w:tabs>
        <w:rPr>
          <w:sz w:val="24"/>
          <w:szCs w:val="24"/>
        </w:rPr>
      </w:pPr>
      <w:r w:rsidRPr="00696F9F">
        <w:rPr>
          <w:rFonts w:eastAsia="Times New Roman"/>
          <w:sz w:val="24"/>
          <w:szCs w:val="24"/>
        </w:rPr>
        <w:t>22.20G:</w:t>
      </w:r>
      <w:r w:rsidRPr="00696F9F">
        <w:rPr>
          <w:rFonts w:eastAsia="Times New Roman"/>
          <w:sz w:val="24"/>
          <w:szCs w:val="24"/>
        </w:rPr>
        <w:tab/>
        <w:t>continued</w:t>
      </w:r>
    </w:p>
    <w:p w14:paraId="281A69F8" w14:textId="1F44ADEC" w:rsidR="004647B9" w:rsidRDefault="004647B9" w:rsidP="00696F9F">
      <w:pPr>
        <w:rPr>
          <w:sz w:val="20"/>
          <w:szCs w:val="20"/>
        </w:rPr>
      </w:pPr>
    </w:p>
    <w:tbl>
      <w:tblPr>
        <w:tblW w:w="10165" w:type="dxa"/>
        <w:tblInd w:w="80" w:type="dxa"/>
        <w:tblLayout w:type="fixed"/>
        <w:tblCellMar>
          <w:left w:w="0" w:type="dxa"/>
          <w:right w:w="0" w:type="dxa"/>
        </w:tblCellMar>
        <w:tblLook w:val="04A0" w:firstRow="1" w:lastRow="0" w:firstColumn="1" w:lastColumn="0" w:noHBand="0" w:noVBand="1"/>
      </w:tblPr>
      <w:tblGrid>
        <w:gridCol w:w="3347"/>
        <w:gridCol w:w="2996"/>
        <w:gridCol w:w="3816"/>
        <w:gridCol w:w="6"/>
      </w:tblGrid>
      <w:tr w:rsidR="00D94284" w:rsidRPr="00C01E5B" w14:paraId="1B6E61FD" w14:textId="77777777" w:rsidTr="00DF6443">
        <w:trPr>
          <w:trHeight w:val="755"/>
        </w:trPr>
        <w:tc>
          <w:tcPr>
            <w:tcW w:w="3347" w:type="dxa"/>
            <w:tcBorders>
              <w:top w:val="single" w:sz="8" w:space="0" w:color="auto"/>
              <w:left w:val="single" w:sz="8" w:space="0" w:color="auto"/>
              <w:bottom w:val="single" w:sz="4" w:space="0" w:color="auto"/>
              <w:right w:val="single" w:sz="8" w:space="0" w:color="auto"/>
            </w:tcBorders>
            <w:vAlign w:val="center"/>
          </w:tcPr>
          <w:p w14:paraId="7DED12B5" w14:textId="77777777" w:rsidR="00D94284" w:rsidRPr="00C01E5B" w:rsidRDefault="00D94284" w:rsidP="00696F9F">
            <w:pPr>
              <w:ind w:left="100"/>
              <w:rPr>
                <w:sz w:val="20"/>
                <w:szCs w:val="20"/>
              </w:rPr>
            </w:pPr>
            <w:r w:rsidRPr="00C01E5B">
              <w:rPr>
                <w:rFonts w:eastAsia="Times New Roman"/>
                <w:b/>
                <w:bCs/>
                <w:sz w:val="20"/>
                <w:szCs w:val="20"/>
              </w:rPr>
              <w:t>Toolbox Option</w:t>
            </w:r>
          </w:p>
        </w:tc>
        <w:tc>
          <w:tcPr>
            <w:tcW w:w="2996" w:type="dxa"/>
            <w:tcBorders>
              <w:top w:val="single" w:sz="8" w:space="0" w:color="auto"/>
              <w:bottom w:val="single" w:sz="4" w:space="0" w:color="auto"/>
              <w:right w:val="single" w:sz="8" w:space="0" w:color="auto"/>
            </w:tcBorders>
            <w:vAlign w:val="center"/>
          </w:tcPr>
          <w:p w14:paraId="0AF3B2F4" w14:textId="77777777" w:rsidR="00D94284" w:rsidRPr="00C01E5B" w:rsidRDefault="00D94284" w:rsidP="00696F9F">
            <w:pPr>
              <w:ind w:left="100"/>
              <w:rPr>
                <w:sz w:val="20"/>
                <w:szCs w:val="20"/>
              </w:rPr>
            </w:pPr>
            <w:r w:rsidRPr="00C01E5B">
              <w:rPr>
                <w:rFonts w:eastAsia="Times New Roman"/>
                <w:b/>
                <w:bCs/>
                <w:sz w:val="20"/>
                <w:szCs w:val="20"/>
              </w:rPr>
              <w:t>Log Credit</w:t>
            </w:r>
          </w:p>
        </w:tc>
        <w:tc>
          <w:tcPr>
            <w:tcW w:w="3822" w:type="dxa"/>
            <w:gridSpan w:val="2"/>
            <w:tcBorders>
              <w:top w:val="single" w:sz="8" w:space="0" w:color="auto"/>
              <w:bottom w:val="single" w:sz="4" w:space="0" w:color="auto"/>
              <w:right w:val="single" w:sz="8" w:space="0" w:color="auto"/>
            </w:tcBorders>
            <w:vAlign w:val="center"/>
          </w:tcPr>
          <w:p w14:paraId="4224DE3B" w14:textId="77777777" w:rsidR="00D94284" w:rsidRPr="00C01E5B" w:rsidRDefault="00D94284" w:rsidP="00696F9F">
            <w:pPr>
              <w:ind w:left="100"/>
              <w:rPr>
                <w:sz w:val="20"/>
                <w:szCs w:val="20"/>
              </w:rPr>
            </w:pPr>
            <w:r w:rsidRPr="00C01E5B">
              <w:rPr>
                <w:rFonts w:eastAsia="Times New Roman"/>
                <w:b/>
                <w:bCs/>
                <w:i/>
                <w:iCs/>
                <w:sz w:val="20"/>
                <w:szCs w:val="20"/>
              </w:rPr>
              <w:t xml:space="preserve">Cryptosporidium </w:t>
            </w:r>
            <w:r w:rsidRPr="00C01E5B">
              <w:rPr>
                <w:rFonts w:eastAsia="Times New Roman"/>
                <w:b/>
                <w:bCs/>
                <w:sz w:val="20"/>
                <w:szCs w:val="20"/>
              </w:rPr>
              <w:t>treatment credit with design and implementation criteria</w:t>
            </w:r>
          </w:p>
        </w:tc>
      </w:tr>
      <w:tr w:rsidR="00D94284" w:rsidRPr="00C01E5B" w14:paraId="3A1F069D" w14:textId="77777777" w:rsidTr="007D6DA9">
        <w:trPr>
          <w:trHeight w:val="614"/>
        </w:trPr>
        <w:tc>
          <w:tcPr>
            <w:tcW w:w="3347" w:type="dxa"/>
            <w:vMerge w:val="restart"/>
            <w:tcBorders>
              <w:top w:val="single" w:sz="4" w:space="0" w:color="auto"/>
              <w:left w:val="single" w:sz="8" w:space="0" w:color="auto"/>
              <w:bottom w:val="single" w:sz="4" w:space="0" w:color="auto"/>
              <w:right w:val="single" w:sz="8" w:space="0" w:color="auto"/>
            </w:tcBorders>
          </w:tcPr>
          <w:p w14:paraId="74B1F79B" w14:textId="5A785FA8" w:rsidR="00D94284" w:rsidRPr="00C01E5B" w:rsidRDefault="00D94284" w:rsidP="00696F9F">
            <w:pPr>
              <w:pStyle w:val="ListParagraph"/>
              <w:numPr>
                <w:ilvl w:val="0"/>
                <w:numId w:val="961"/>
              </w:numPr>
              <w:tabs>
                <w:tab w:val="left" w:pos="350"/>
              </w:tabs>
              <w:ind w:left="92"/>
              <w:rPr>
                <w:sz w:val="20"/>
                <w:szCs w:val="20"/>
              </w:rPr>
            </w:pPr>
            <w:r w:rsidRPr="00C01E5B">
              <w:rPr>
                <w:rFonts w:eastAsia="Times New Roman"/>
                <w:sz w:val="20"/>
                <w:szCs w:val="20"/>
              </w:rPr>
              <w:t>Slow sand filters</w:t>
            </w:r>
          </w:p>
        </w:tc>
        <w:tc>
          <w:tcPr>
            <w:tcW w:w="2996" w:type="dxa"/>
            <w:tcBorders>
              <w:top w:val="single" w:sz="4" w:space="0" w:color="auto"/>
              <w:left w:val="single" w:sz="8" w:space="0" w:color="auto"/>
              <w:bottom w:val="single" w:sz="4" w:space="0" w:color="auto"/>
              <w:right w:val="single" w:sz="8" w:space="0" w:color="auto"/>
            </w:tcBorders>
          </w:tcPr>
          <w:p w14:paraId="6A74E733" w14:textId="141B77A6" w:rsidR="00D94284" w:rsidRPr="00C01E5B" w:rsidRDefault="00D94284" w:rsidP="00696F9F">
            <w:pPr>
              <w:ind w:left="100"/>
              <w:rPr>
                <w:sz w:val="20"/>
                <w:szCs w:val="20"/>
              </w:rPr>
            </w:pPr>
            <w:r w:rsidRPr="00C01E5B">
              <w:rPr>
                <w:rFonts w:eastAsia="Times New Roman"/>
                <w:sz w:val="20"/>
                <w:szCs w:val="20"/>
              </w:rPr>
              <w:t>2.5-log</w:t>
            </w:r>
          </w:p>
        </w:tc>
        <w:tc>
          <w:tcPr>
            <w:tcW w:w="3822" w:type="dxa"/>
            <w:gridSpan w:val="2"/>
            <w:tcBorders>
              <w:top w:val="single" w:sz="4" w:space="0" w:color="auto"/>
              <w:bottom w:val="single" w:sz="4" w:space="0" w:color="auto"/>
              <w:right w:val="single" w:sz="8" w:space="0" w:color="auto"/>
            </w:tcBorders>
          </w:tcPr>
          <w:p w14:paraId="21D66CF7" w14:textId="4D100F18" w:rsidR="00D94284" w:rsidRPr="00C01E5B" w:rsidRDefault="00D94284" w:rsidP="00696F9F">
            <w:pPr>
              <w:ind w:left="100"/>
              <w:rPr>
                <w:sz w:val="20"/>
                <w:szCs w:val="20"/>
              </w:rPr>
            </w:pPr>
            <w:r w:rsidRPr="00C01E5B">
              <w:rPr>
                <w:rFonts w:eastAsia="Times New Roman"/>
                <w:sz w:val="20"/>
                <w:szCs w:val="20"/>
              </w:rPr>
              <w:t>Credit as a secondary Filtration step</w:t>
            </w:r>
            <w:r w:rsidRPr="00C01E5B">
              <w:rPr>
                <w:rFonts w:eastAsia="Times New Roman"/>
                <w:sz w:val="20"/>
                <w:szCs w:val="20"/>
                <w:vertAlign w:val="superscript"/>
              </w:rPr>
              <w:t>2</w:t>
            </w:r>
            <w:r w:rsidRPr="00C01E5B">
              <w:rPr>
                <w:rFonts w:eastAsia="Times New Roman"/>
                <w:sz w:val="20"/>
                <w:szCs w:val="20"/>
              </w:rPr>
              <w:t>.</w:t>
            </w:r>
            <w:r w:rsidR="00362DDC" w:rsidRPr="00C01E5B">
              <w:rPr>
                <w:rFonts w:eastAsia="Times New Roman"/>
                <w:sz w:val="20"/>
                <w:szCs w:val="20"/>
              </w:rPr>
              <w:t xml:space="preserve"> </w:t>
            </w:r>
            <w:r w:rsidRPr="00C01E5B">
              <w:rPr>
                <w:rFonts w:eastAsia="Times New Roman"/>
                <w:sz w:val="20"/>
                <w:szCs w:val="20"/>
              </w:rPr>
              <w:t>Specific criteria are in 310 CMR</w:t>
            </w:r>
            <w:r w:rsidR="007D6DA9" w:rsidRPr="00C01E5B">
              <w:rPr>
                <w:rFonts w:eastAsia="Times New Roman"/>
                <w:sz w:val="20"/>
                <w:szCs w:val="20"/>
              </w:rPr>
              <w:t xml:space="preserve"> </w:t>
            </w:r>
            <w:r w:rsidRPr="00C01E5B">
              <w:rPr>
                <w:rFonts w:eastAsia="Times New Roman"/>
                <w:sz w:val="20"/>
                <w:szCs w:val="20"/>
              </w:rPr>
              <w:t>22.20G(22)(d).</w:t>
            </w:r>
          </w:p>
        </w:tc>
      </w:tr>
      <w:tr w:rsidR="007D6DA9" w:rsidRPr="00C01E5B" w14:paraId="354D148A" w14:textId="77777777" w:rsidTr="007D6DA9">
        <w:trPr>
          <w:trHeight w:val="677"/>
        </w:trPr>
        <w:tc>
          <w:tcPr>
            <w:tcW w:w="3347" w:type="dxa"/>
            <w:vMerge/>
            <w:tcBorders>
              <w:left w:val="single" w:sz="8" w:space="0" w:color="auto"/>
              <w:bottom w:val="single" w:sz="4" w:space="0" w:color="auto"/>
              <w:right w:val="single" w:sz="8" w:space="0" w:color="auto"/>
            </w:tcBorders>
          </w:tcPr>
          <w:p w14:paraId="534D886E" w14:textId="77777777" w:rsidR="007D6DA9" w:rsidRPr="00C01E5B" w:rsidRDefault="007D6DA9" w:rsidP="00696F9F">
            <w:pPr>
              <w:tabs>
                <w:tab w:val="left" w:pos="350"/>
              </w:tabs>
              <w:ind w:left="92"/>
              <w:rPr>
                <w:sz w:val="20"/>
                <w:szCs w:val="20"/>
              </w:rPr>
            </w:pPr>
          </w:p>
        </w:tc>
        <w:tc>
          <w:tcPr>
            <w:tcW w:w="2996" w:type="dxa"/>
            <w:tcBorders>
              <w:top w:val="single" w:sz="4" w:space="0" w:color="auto"/>
              <w:left w:val="single" w:sz="8" w:space="0" w:color="auto"/>
              <w:bottom w:val="single" w:sz="4" w:space="0" w:color="auto"/>
              <w:right w:val="single" w:sz="8" w:space="0" w:color="auto"/>
            </w:tcBorders>
          </w:tcPr>
          <w:p w14:paraId="6077C42B" w14:textId="53D7E4E9" w:rsidR="007D6DA9" w:rsidRPr="00C01E5B" w:rsidRDefault="007D6DA9" w:rsidP="00696F9F">
            <w:pPr>
              <w:ind w:left="100"/>
              <w:rPr>
                <w:sz w:val="20"/>
                <w:szCs w:val="20"/>
              </w:rPr>
            </w:pPr>
            <w:r w:rsidRPr="00C01E5B">
              <w:rPr>
                <w:rFonts w:eastAsia="Times New Roman"/>
                <w:sz w:val="20"/>
                <w:szCs w:val="20"/>
              </w:rPr>
              <w:t>3.0-log</w:t>
            </w:r>
          </w:p>
        </w:tc>
        <w:tc>
          <w:tcPr>
            <w:tcW w:w="3822" w:type="dxa"/>
            <w:gridSpan w:val="2"/>
            <w:tcBorders>
              <w:top w:val="single" w:sz="4" w:space="0" w:color="auto"/>
              <w:bottom w:val="single" w:sz="4" w:space="0" w:color="auto"/>
              <w:right w:val="single" w:sz="8" w:space="0" w:color="auto"/>
            </w:tcBorders>
          </w:tcPr>
          <w:p w14:paraId="6DAD8826" w14:textId="486666A7" w:rsidR="007D6DA9" w:rsidRPr="00C01E5B" w:rsidRDefault="007D6DA9" w:rsidP="00696F9F">
            <w:pPr>
              <w:ind w:left="100"/>
              <w:rPr>
                <w:sz w:val="20"/>
                <w:szCs w:val="20"/>
              </w:rPr>
            </w:pPr>
            <w:r w:rsidRPr="00C01E5B">
              <w:rPr>
                <w:rFonts w:eastAsia="Times New Roman"/>
                <w:sz w:val="20"/>
                <w:szCs w:val="20"/>
              </w:rPr>
              <w:t>Credit as a primary Filtration process</w:t>
            </w:r>
            <w:r w:rsidRPr="00C01E5B">
              <w:rPr>
                <w:rFonts w:eastAsia="Times New Roman"/>
                <w:sz w:val="20"/>
                <w:szCs w:val="20"/>
                <w:vertAlign w:val="superscript"/>
              </w:rPr>
              <w:t>2</w:t>
            </w:r>
            <w:r w:rsidRPr="00271E80">
              <w:rPr>
                <w:rFonts w:eastAsia="Times New Roman"/>
                <w:sz w:val="20"/>
                <w:szCs w:val="20"/>
              </w:rPr>
              <w:t>.</w:t>
            </w:r>
            <w:r w:rsidR="00362DDC" w:rsidRPr="00C01E5B">
              <w:rPr>
                <w:rFonts w:eastAsia="Times New Roman"/>
                <w:sz w:val="20"/>
                <w:szCs w:val="20"/>
              </w:rPr>
              <w:t xml:space="preserve"> </w:t>
            </w:r>
            <w:r w:rsidRPr="00C01E5B">
              <w:rPr>
                <w:rFonts w:eastAsia="Times New Roman"/>
                <w:sz w:val="20"/>
                <w:szCs w:val="20"/>
              </w:rPr>
              <w:t>Specific criteria are in 310 CMR 22.20G(22)(d).</w:t>
            </w:r>
          </w:p>
        </w:tc>
      </w:tr>
      <w:tr w:rsidR="007D6DA9" w:rsidRPr="00C01E5B" w14:paraId="1B01002B" w14:textId="77777777" w:rsidTr="00DF6443">
        <w:trPr>
          <w:trHeight w:val="437"/>
        </w:trPr>
        <w:tc>
          <w:tcPr>
            <w:tcW w:w="10165" w:type="dxa"/>
            <w:gridSpan w:val="4"/>
            <w:tcBorders>
              <w:left w:val="single" w:sz="8" w:space="0" w:color="auto"/>
              <w:bottom w:val="single" w:sz="4" w:space="0" w:color="auto"/>
              <w:right w:val="single" w:sz="8" w:space="0" w:color="auto"/>
            </w:tcBorders>
            <w:vAlign w:val="center"/>
          </w:tcPr>
          <w:p w14:paraId="6919B9FD" w14:textId="14F391BE" w:rsidR="007D6DA9" w:rsidRPr="00C01E5B" w:rsidRDefault="007D6DA9" w:rsidP="00696F9F">
            <w:pPr>
              <w:jc w:val="center"/>
              <w:rPr>
                <w:sz w:val="20"/>
                <w:szCs w:val="20"/>
              </w:rPr>
            </w:pPr>
            <w:r w:rsidRPr="00C01E5B">
              <w:rPr>
                <w:rFonts w:eastAsia="Times New Roman"/>
                <w:b/>
                <w:bCs/>
                <w:sz w:val="20"/>
                <w:szCs w:val="20"/>
              </w:rPr>
              <w:t>INACTIVATION TOOLBOX OPTIONS</w:t>
            </w:r>
          </w:p>
        </w:tc>
      </w:tr>
      <w:tr w:rsidR="007D6DA9" w:rsidRPr="00C01E5B" w14:paraId="1867ECFB" w14:textId="77777777" w:rsidTr="00362DDC">
        <w:trPr>
          <w:gridAfter w:val="1"/>
          <w:wAfter w:w="6" w:type="dxa"/>
          <w:trHeight w:val="587"/>
        </w:trPr>
        <w:tc>
          <w:tcPr>
            <w:tcW w:w="3347" w:type="dxa"/>
            <w:tcBorders>
              <w:top w:val="single" w:sz="4" w:space="0" w:color="auto"/>
              <w:left w:val="single" w:sz="8" w:space="0" w:color="auto"/>
              <w:bottom w:val="single" w:sz="4" w:space="0" w:color="auto"/>
              <w:right w:val="single" w:sz="8" w:space="0" w:color="auto"/>
            </w:tcBorders>
          </w:tcPr>
          <w:p w14:paraId="1070429F" w14:textId="7E15BB27" w:rsidR="007D6DA9" w:rsidRPr="00C01E5B" w:rsidRDefault="007D6DA9" w:rsidP="00696F9F">
            <w:pPr>
              <w:pStyle w:val="ListParagraph"/>
              <w:numPr>
                <w:ilvl w:val="0"/>
                <w:numId w:val="961"/>
              </w:numPr>
              <w:tabs>
                <w:tab w:val="left" w:pos="350"/>
              </w:tabs>
              <w:ind w:left="92"/>
              <w:rPr>
                <w:rFonts w:eastAsia="Times New Roman"/>
                <w:sz w:val="20"/>
                <w:szCs w:val="20"/>
              </w:rPr>
            </w:pPr>
            <w:r w:rsidRPr="00C01E5B">
              <w:rPr>
                <w:rFonts w:eastAsia="Times New Roman"/>
                <w:sz w:val="20"/>
                <w:szCs w:val="20"/>
              </w:rPr>
              <w:t>Chlorine dioxide</w:t>
            </w:r>
          </w:p>
        </w:tc>
        <w:tc>
          <w:tcPr>
            <w:tcW w:w="2996" w:type="dxa"/>
            <w:tcBorders>
              <w:top w:val="single" w:sz="4" w:space="0" w:color="auto"/>
              <w:left w:val="single" w:sz="8" w:space="0" w:color="auto"/>
              <w:bottom w:val="single" w:sz="4" w:space="0" w:color="auto"/>
              <w:right w:val="single" w:sz="8" w:space="0" w:color="auto"/>
            </w:tcBorders>
          </w:tcPr>
          <w:p w14:paraId="3DB88ECD" w14:textId="1F159BAF" w:rsidR="007D6DA9" w:rsidRPr="00C01E5B" w:rsidRDefault="007D6DA9" w:rsidP="00696F9F">
            <w:pPr>
              <w:ind w:left="101"/>
              <w:rPr>
                <w:sz w:val="20"/>
                <w:szCs w:val="20"/>
              </w:rPr>
            </w:pPr>
            <w:r w:rsidRPr="00C01E5B">
              <w:rPr>
                <w:rFonts w:eastAsia="Times New Roman"/>
                <w:sz w:val="20"/>
                <w:szCs w:val="20"/>
              </w:rPr>
              <w:t>CT table</w:t>
            </w:r>
          </w:p>
        </w:tc>
        <w:tc>
          <w:tcPr>
            <w:tcW w:w="3816" w:type="dxa"/>
            <w:tcBorders>
              <w:top w:val="single" w:sz="4" w:space="0" w:color="auto"/>
              <w:left w:val="single" w:sz="8" w:space="0" w:color="auto"/>
              <w:bottom w:val="single" w:sz="4" w:space="0" w:color="auto"/>
              <w:right w:val="single" w:sz="8" w:space="0" w:color="auto"/>
            </w:tcBorders>
          </w:tcPr>
          <w:p w14:paraId="6C4B1B6C" w14:textId="432955A2" w:rsidR="007D6DA9" w:rsidRPr="00C01E5B" w:rsidRDefault="007D6DA9" w:rsidP="00696F9F">
            <w:pPr>
              <w:ind w:left="100"/>
              <w:rPr>
                <w:sz w:val="20"/>
                <w:szCs w:val="20"/>
              </w:rPr>
            </w:pPr>
            <w:r w:rsidRPr="00C01E5B">
              <w:rPr>
                <w:rFonts w:eastAsia="Times New Roman"/>
                <w:sz w:val="20"/>
                <w:szCs w:val="20"/>
              </w:rPr>
              <w:t>Log credit based on measured CT in relation to CT table. Specific criteria in</w:t>
            </w:r>
            <w:r w:rsidR="00362DDC" w:rsidRPr="00C01E5B">
              <w:rPr>
                <w:rFonts w:eastAsia="Times New Roman"/>
                <w:sz w:val="20"/>
                <w:szCs w:val="20"/>
              </w:rPr>
              <w:t xml:space="preserve"> </w:t>
            </w:r>
            <w:r w:rsidRPr="00C01E5B">
              <w:rPr>
                <w:rFonts w:eastAsia="Times New Roman"/>
                <w:sz w:val="20"/>
                <w:szCs w:val="20"/>
              </w:rPr>
              <w:t>310 CMR 22.20G(23)(a).</w:t>
            </w:r>
          </w:p>
        </w:tc>
      </w:tr>
      <w:tr w:rsidR="00362DDC" w:rsidRPr="00C01E5B" w14:paraId="68CEB3A3" w14:textId="77777777" w:rsidTr="00362DDC">
        <w:trPr>
          <w:gridAfter w:val="1"/>
          <w:wAfter w:w="6" w:type="dxa"/>
          <w:trHeight w:val="623"/>
        </w:trPr>
        <w:tc>
          <w:tcPr>
            <w:tcW w:w="3347" w:type="dxa"/>
            <w:tcBorders>
              <w:top w:val="single" w:sz="4" w:space="0" w:color="auto"/>
              <w:left w:val="single" w:sz="8" w:space="0" w:color="auto"/>
              <w:bottom w:val="single" w:sz="4" w:space="0" w:color="auto"/>
              <w:right w:val="single" w:sz="8" w:space="0" w:color="auto"/>
            </w:tcBorders>
          </w:tcPr>
          <w:p w14:paraId="65FB1EA4" w14:textId="2B5D20FD" w:rsidR="00362DDC" w:rsidRPr="00C01E5B" w:rsidRDefault="00362DDC" w:rsidP="00696F9F">
            <w:pPr>
              <w:pStyle w:val="ListParagraph"/>
              <w:numPr>
                <w:ilvl w:val="0"/>
                <w:numId w:val="961"/>
              </w:numPr>
              <w:tabs>
                <w:tab w:val="left" w:pos="350"/>
              </w:tabs>
              <w:ind w:left="92"/>
              <w:rPr>
                <w:rFonts w:eastAsia="Times New Roman"/>
                <w:sz w:val="20"/>
                <w:szCs w:val="20"/>
              </w:rPr>
            </w:pPr>
            <w:r w:rsidRPr="00C01E5B">
              <w:rPr>
                <w:rFonts w:eastAsia="Times New Roman"/>
                <w:sz w:val="20"/>
                <w:szCs w:val="20"/>
              </w:rPr>
              <w:t>Ozone</w:t>
            </w:r>
          </w:p>
        </w:tc>
        <w:tc>
          <w:tcPr>
            <w:tcW w:w="2996" w:type="dxa"/>
            <w:tcBorders>
              <w:top w:val="single" w:sz="4" w:space="0" w:color="auto"/>
              <w:left w:val="single" w:sz="8" w:space="0" w:color="auto"/>
              <w:bottom w:val="single" w:sz="4" w:space="0" w:color="auto"/>
              <w:right w:val="single" w:sz="8" w:space="0" w:color="auto"/>
            </w:tcBorders>
          </w:tcPr>
          <w:p w14:paraId="6DD36207" w14:textId="1A8F9D44" w:rsidR="00362DDC" w:rsidRPr="00C01E5B" w:rsidRDefault="00362DDC" w:rsidP="00696F9F">
            <w:pPr>
              <w:ind w:left="101"/>
              <w:rPr>
                <w:sz w:val="20"/>
                <w:szCs w:val="20"/>
              </w:rPr>
            </w:pPr>
            <w:r w:rsidRPr="00C01E5B">
              <w:rPr>
                <w:rFonts w:eastAsia="Times New Roman"/>
                <w:sz w:val="20"/>
                <w:szCs w:val="20"/>
              </w:rPr>
              <w:t>CT table</w:t>
            </w:r>
          </w:p>
        </w:tc>
        <w:tc>
          <w:tcPr>
            <w:tcW w:w="3816" w:type="dxa"/>
            <w:tcBorders>
              <w:top w:val="single" w:sz="4" w:space="0" w:color="auto"/>
              <w:left w:val="single" w:sz="8" w:space="0" w:color="auto"/>
              <w:bottom w:val="single" w:sz="4" w:space="0" w:color="auto"/>
              <w:right w:val="single" w:sz="8" w:space="0" w:color="auto"/>
            </w:tcBorders>
          </w:tcPr>
          <w:p w14:paraId="61648853" w14:textId="4C5710B9" w:rsidR="00362DDC" w:rsidRPr="00C01E5B" w:rsidRDefault="00362DDC" w:rsidP="00696F9F">
            <w:pPr>
              <w:ind w:left="100"/>
              <w:rPr>
                <w:sz w:val="20"/>
                <w:szCs w:val="20"/>
              </w:rPr>
            </w:pPr>
            <w:r w:rsidRPr="00C01E5B">
              <w:rPr>
                <w:rFonts w:eastAsia="Times New Roman"/>
                <w:sz w:val="20"/>
                <w:szCs w:val="20"/>
              </w:rPr>
              <w:t>Log credit based on measured CT in relation to CT table. Specific criteria in 310 CMR 22.20G(23)(a).</w:t>
            </w:r>
          </w:p>
        </w:tc>
      </w:tr>
      <w:tr w:rsidR="00362DDC" w:rsidRPr="00C01E5B" w14:paraId="7B435354" w14:textId="77777777" w:rsidTr="00362DDC">
        <w:trPr>
          <w:gridAfter w:val="1"/>
          <w:wAfter w:w="6" w:type="dxa"/>
          <w:trHeight w:val="794"/>
        </w:trPr>
        <w:tc>
          <w:tcPr>
            <w:tcW w:w="3347" w:type="dxa"/>
            <w:tcBorders>
              <w:top w:val="single" w:sz="4" w:space="0" w:color="auto"/>
              <w:left w:val="single" w:sz="8" w:space="0" w:color="auto"/>
              <w:bottom w:val="single" w:sz="4" w:space="0" w:color="auto"/>
              <w:right w:val="single" w:sz="8" w:space="0" w:color="auto"/>
            </w:tcBorders>
          </w:tcPr>
          <w:p w14:paraId="5CCE6C19" w14:textId="5FE5768A" w:rsidR="00362DDC" w:rsidRPr="00C01E5B" w:rsidRDefault="00362DDC" w:rsidP="00696F9F">
            <w:pPr>
              <w:pStyle w:val="ListParagraph"/>
              <w:numPr>
                <w:ilvl w:val="0"/>
                <w:numId w:val="961"/>
              </w:numPr>
              <w:tabs>
                <w:tab w:val="left" w:pos="350"/>
              </w:tabs>
              <w:ind w:left="92"/>
              <w:rPr>
                <w:rFonts w:eastAsia="Times New Roman"/>
                <w:sz w:val="20"/>
                <w:szCs w:val="20"/>
              </w:rPr>
            </w:pPr>
            <w:r w:rsidRPr="00C01E5B">
              <w:rPr>
                <w:rFonts w:eastAsia="Times New Roman"/>
                <w:sz w:val="20"/>
                <w:szCs w:val="20"/>
              </w:rPr>
              <w:t>UV</w:t>
            </w:r>
          </w:p>
        </w:tc>
        <w:tc>
          <w:tcPr>
            <w:tcW w:w="2996" w:type="dxa"/>
            <w:tcBorders>
              <w:top w:val="single" w:sz="4" w:space="0" w:color="auto"/>
              <w:left w:val="single" w:sz="8" w:space="0" w:color="auto"/>
              <w:bottom w:val="single" w:sz="4" w:space="0" w:color="auto"/>
              <w:right w:val="single" w:sz="8" w:space="0" w:color="auto"/>
            </w:tcBorders>
          </w:tcPr>
          <w:p w14:paraId="7615ECE5" w14:textId="17F023A9" w:rsidR="00362DDC" w:rsidRPr="00C01E5B" w:rsidRDefault="00362DDC" w:rsidP="00696F9F">
            <w:pPr>
              <w:ind w:left="101"/>
              <w:rPr>
                <w:sz w:val="20"/>
                <w:szCs w:val="20"/>
              </w:rPr>
            </w:pPr>
            <w:r w:rsidRPr="00C01E5B">
              <w:rPr>
                <w:rFonts w:eastAsia="Times New Roman"/>
                <w:sz w:val="20"/>
                <w:szCs w:val="20"/>
              </w:rPr>
              <w:t>UV dose</w:t>
            </w:r>
          </w:p>
        </w:tc>
        <w:tc>
          <w:tcPr>
            <w:tcW w:w="3816" w:type="dxa"/>
            <w:tcBorders>
              <w:top w:val="single" w:sz="4" w:space="0" w:color="auto"/>
              <w:left w:val="single" w:sz="8" w:space="0" w:color="auto"/>
              <w:bottom w:val="single" w:sz="4" w:space="0" w:color="auto"/>
              <w:right w:val="single" w:sz="8" w:space="0" w:color="auto"/>
            </w:tcBorders>
          </w:tcPr>
          <w:p w14:paraId="422E0A06" w14:textId="494FBD6E" w:rsidR="00362DDC" w:rsidRPr="00C01E5B" w:rsidRDefault="00362DDC" w:rsidP="00696F9F">
            <w:pPr>
              <w:ind w:left="100"/>
              <w:rPr>
                <w:sz w:val="20"/>
                <w:szCs w:val="20"/>
              </w:rPr>
            </w:pPr>
            <w:r w:rsidRPr="00C01E5B">
              <w:rPr>
                <w:rFonts w:eastAsia="Times New Roman"/>
                <w:sz w:val="20"/>
                <w:szCs w:val="20"/>
              </w:rPr>
              <w:t>Log credit based on validated UV dose in relation to UV dose table; reactor validation testing required to establish UV dose and associated operating conditions.  Specific criteria in 310 CMR 22.20G(23)(b).</w:t>
            </w:r>
          </w:p>
        </w:tc>
      </w:tr>
    </w:tbl>
    <w:p w14:paraId="281A6A25" w14:textId="7F1EB432" w:rsidR="004647B9" w:rsidRPr="00696F9F" w:rsidRDefault="004647B9" w:rsidP="00696F9F">
      <w:pPr>
        <w:rPr>
          <w:sz w:val="24"/>
          <w:szCs w:val="24"/>
        </w:rPr>
      </w:pPr>
    </w:p>
    <w:p w14:paraId="281A6A85" w14:textId="77777777" w:rsidR="004647B9" w:rsidRPr="00696F9F" w:rsidRDefault="004647B9" w:rsidP="00696F9F">
      <w:pPr>
        <w:rPr>
          <w:sz w:val="24"/>
          <w:szCs w:val="24"/>
        </w:rPr>
      </w:pPr>
    </w:p>
    <w:p w14:paraId="281A6A86" w14:textId="77777777" w:rsidR="004647B9" w:rsidRPr="00696F9F" w:rsidRDefault="004647B9" w:rsidP="00696F9F">
      <w:pPr>
        <w:rPr>
          <w:sz w:val="24"/>
          <w:szCs w:val="24"/>
        </w:rPr>
        <w:sectPr w:rsidR="004647B9" w:rsidRPr="00696F9F" w:rsidSect="00EF630C">
          <w:pgSz w:w="12240" w:h="20180"/>
          <w:pgMar w:top="708" w:right="1440" w:bottom="1440" w:left="620" w:header="0" w:footer="0" w:gutter="0"/>
          <w:cols w:space="720"/>
        </w:sectPr>
      </w:pPr>
    </w:p>
    <w:p w14:paraId="67A60ED2" w14:textId="77777777" w:rsidR="00C01E5B" w:rsidRPr="00C01E5B" w:rsidRDefault="00E2436F" w:rsidP="00696F9F">
      <w:pPr>
        <w:pStyle w:val="ListParagraph"/>
        <w:numPr>
          <w:ilvl w:val="0"/>
          <w:numId w:val="962"/>
        </w:numPr>
        <w:tabs>
          <w:tab w:val="left" w:pos="360"/>
        </w:tabs>
        <w:rPr>
          <w:sz w:val="20"/>
          <w:szCs w:val="20"/>
        </w:rPr>
      </w:pPr>
      <w:r w:rsidRPr="00C01E5B">
        <w:rPr>
          <w:rFonts w:eastAsia="Times New Roman"/>
          <w:sz w:val="20"/>
          <w:szCs w:val="20"/>
        </w:rPr>
        <w:t>Aquifer must be unconsolidated sand containing at least 10% fines; average Turbidity in wells must be less than one NTU. Suppliers of Water using wells followed by Filtration when conducting source water monitoring must sample the well to determine bin classification and are not eligible for additional credit.</w:t>
      </w:r>
    </w:p>
    <w:p w14:paraId="281A6A8F" w14:textId="689369C7" w:rsidR="004647B9" w:rsidRPr="00C01E5B" w:rsidRDefault="00E2436F" w:rsidP="00696F9F">
      <w:pPr>
        <w:pStyle w:val="ListParagraph"/>
        <w:numPr>
          <w:ilvl w:val="0"/>
          <w:numId w:val="962"/>
        </w:numPr>
        <w:tabs>
          <w:tab w:val="left" w:pos="360"/>
        </w:tabs>
        <w:rPr>
          <w:sz w:val="20"/>
          <w:szCs w:val="20"/>
        </w:rPr>
      </w:pPr>
      <w:r w:rsidRPr="00C01E5B">
        <w:rPr>
          <w:rFonts w:eastAsia="Times New Roman"/>
          <w:sz w:val="20"/>
          <w:szCs w:val="20"/>
        </w:rPr>
        <w:t>No prior chlorination for either option.</w:t>
      </w:r>
    </w:p>
    <w:p w14:paraId="281A6A90" w14:textId="77777777" w:rsidR="004647B9" w:rsidRPr="00696F9F" w:rsidRDefault="004647B9" w:rsidP="00696F9F">
      <w:pPr>
        <w:rPr>
          <w:sz w:val="24"/>
          <w:szCs w:val="24"/>
        </w:rPr>
      </w:pPr>
    </w:p>
    <w:p w14:paraId="281A6A93" w14:textId="77777777" w:rsidR="004647B9" w:rsidRDefault="00E2436F" w:rsidP="00696F9F">
      <w:pPr>
        <w:numPr>
          <w:ilvl w:val="0"/>
          <w:numId w:val="760"/>
        </w:numPr>
        <w:tabs>
          <w:tab w:val="left" w:pos="1760"/>
        </w:tabs>
        <w:ind w:left="1760" w:hanging="580"/>
        <w:rPr>
          <w:rFonts w:eastAsia="Times New Roman"/>
          <w:sz w:val="24"/>
          <w:szCs w:val="24"/>
        </w:rPr>
      </w:pPr>
      <w:r>
        <w:rPr>
          <w:rFonts w:eastAsia="Times New Roman"/>
          <w:sz w:val="24"/>
          <w:szCs w:val="24"/>
          <w:u w:val="single"/>
        </w:rPr>
        <w:t>Source Toolbox Components</w:t>
      </w:r>
      <w:r>
        <w:rPr>
          <w:rFonts w:eastAsia="Times New Roman"/>
          <w:sz w:val="24"/>
          <w:szCs w:val="24"/>
        </w:rPr>
        <w:t>.</w:t>
      </w:r>
    </w:p>
    <w:p w14:paraId="281A6A97" w14:textId="3C17F66C" w:rsidR="004647B9" w:rsidRPr="00696F9F" w:rsidRDefault="00E2436F" w:rsidP="00696F9F">
      <w:pPr>
        <w:numPr>
          <w:ilvl w:val="1"/>
          <w:numId w:val="760"/>
        </w:numPr>
        <w:tabs>
          <w:tab w:val="left" w:pos="2016"/>
        </w:tabs>
        <w:ind w:left="1526"/>
        <w:rPr>
          <w:sz w:val="24"/>
          <w:szCs w:val="24"/>
        </w:rPr>
      </w:pPr>
      <w:r w:rsidRPr="00271E80">
        <w:rPr>
          <w:rFonts w:eastAsia="Times New Roman"/>
          <w:sz w:val="24"/>
          <w:szCs w:val="24"/>
          <w:u w:val="single"/>
        </w:rPr>
        <w:t>Watershed Control Program</w:t>
      </w:r>
      <w:r w:rsidRPr="00271E80">
        <w:rPr>
          <w:rFonts w:eastAsia="Times New Roman"/>
          <w:sz w:val="24"/>
          <w:szCs w:val="24"/>
        </w:rPr>
        <w:t>.  Suppliers of Water may apply for a 0.5-log</w:t>
      </w:r>
      <w:r w:rsidR="00271E80" w:rsidRPr="00271E80">
        <w:rPr>
          <w:rFonts w:eastAsia="Times New Roman"/>
          <w:sz w:val="24"/>
          <w:szCs w:val="24"/>
        </w:rPr>
        <w:t xml:space="preserve"> </w:t>
      </w:r>
      <w:r w:rsidRPr="007D25C6">
        <w:rPr>
          <w:rFonts w:eastAsia="Times New Roman"/>
          <w:i/>
          <w:iCs/>
          <w:sz w:val="24"/>
          <w:szCs w:val="24"/>
        </w:rPr>
        <w:t xml:space="preserve">Cryptosporidium </w:t>
      </w:r>
      <w:r w:rsidRPr="007D25C6">
        <w:rPr>
          <w:rFonts w:eastAsia="Times New Roman"/>
          <w:sz w:val="24"/>
          <w:szCs w:val="24"/>
        </w:rPr>
        <w:t xml:space="preserve">treatment credit for implementing an approved watershed control </w:t>
      </w:r>
      <w:r w:rsidRPr="00696F9F">
        <w:rPr>
          <w:rFonts w:eastAsia="Times New Roman"/>
          <w:sz w:val="24"/>
          <w:szCs w:val="24"/>
        </w:rPr>
        <w:t>program,</w:t>
      </w:r>
      <w:r w:rsidRPr="00696F9F">
        <w:rPr>
          <w:rFonts w:eastAsia="Times New Roman"/>
          <w:i/>
          <w:iCs/>
          <w:sz w:val="24"/>
          <w:szCs w:val="24"/>
        </w:rPr>
        <w:t xml:space="preserve"> </w:t>
      </w:r>
      <w:r w:rsidRPr="00696F9F">
        <w:rPr>
          <w:rFonts w:eastAsia="Times New Roman"/>
          <w:sz w:val="24"/>
          <w:szCs w:val="24"/>
        </w:rPr>
        <w:t>in accordance with the following requirements:</w:t>
      </w:r>
    </w:p>
    <w:p w14:paraId="281A6A98" w14:textId="77777777" w:rsidR="004647B9" w:rsidRPr="00696F9F" w:rsidRDefault="00E2436F" w:rsidP="00696F9F">
      <w:pPr>
        <w:numPr>
          <w:ilvl w:val="0"/>
          <w:numId w:val="761"/>
        </w:numPr>
        <w:tabs>
          <w:tab w:val="left" w:pos="2339"/>
        </w:tabs>
        <w:ind w:left="1900" w:hanging="5"/>
        <w:jc w:val="both"/>
        <w:rPr>
          <w:rFonts w:eastAsia="Times New Roman"/>
          <w:sz w:val="24"/>
          <w:szCs w:val="24"/>
        </w:rPr>
      </w:pPr>
      <w:r w:rsidRPr="00696F9F">
        <w:rPr>
          <w:rFonts w:eastAsia="Times New Roman"/>
          <w:sz w:val="24"/>
          <w:szCs w:val="24"/>
        </w:rPr>
        <w:t xml:space="preserve">provide advance written notice to the Department of the intent to apply for the watershed control program credit no later than two years prior to the treatment compliance date applicable to the Public Water System in 310 CMR 22.20G(14), Schedule for Compliance with </w:t>
      </w:r>
      <w:r w:rsidRPr="00696F9F">
        <w:rPr>
          <w:rFonts w:eastAsia="Times New Roman"/>
          <w:i/>
          <w:iCs/>
          <w:sz w:val="24"/>
          <w:szCs w:val="24"/>
        </w:rPr>
        <w:t>Cryptosporidium</w:t>
      </w:r>
      <w:r w:rsidRPr="00696F9F">
        <w:rPr>
          <w:rFonts w:eastAsia="Times New Roman"/>
          <w:sz w:val="24"/>
          <w:szCs w:val="24"/>
        </w:rPr>
        <w:t xml:space="preserve"> Treatment requirements.</w:t>
      </w:r>
    </w:p>
    <w:p w14:paraId="281A6A99" w14:textId="77777777" w:rsidR="004647B9" w:rsidRPr="00696F9F" w:rsidRDefault="00E2436F" w:rsidP="00696F9F">
      <w:pPr>
        <w:numPr>
          <w:ilvl w:val="0"/>
          <w:numId w:val="761"/>
        </w:numPr>
        <w:tabs>
          <w:tab w:val="left" w:pos="2224"/>
        </w:tabs>
        <w:ind w:left="1900" w:hanging="5"/>
        <w:jc w:val="both"/>
        <w:rPr>
          <w:rFonts w:eastAsia="Times New Roman"/>
          <w:sz w:val="24"/>
          <w:szCs w:val="24"/>
        </w:rPr>
      </w:pPr>
      <w:r w:rsidRPr="00696F9F">
        <w:rPr>
          <w:rFonts w:eastAsia="Times New Roman"/>
          <w:sz w:val="24"/>
          <w:szCs w:val="24"/>
        </w:rPr>
        <w:t>if no approved watershed control program is in place, then submit to the Department for approval a proposed, written watershed control plan no later than one year before the applicable treatment compliance date in 310 CMR 22.20G(14). The availability of the watershed control program treatment credit shall be contingent on Department approval of the watershed control plan based on the inclusion and adequacy of all of the following elements:</w:t>
      </w:r>
    </w:p>
    <w:p w14:paraId="281A6A9B" w14:textId="77777777" w:rsidR="004647B9" w:rsidRDefault="00E2436F" w:rsidP="00696F9F">
      <w:pPr>
        <w:numPr>
          <w:ilvl w:val="1"/>
          <w:numId w:val="761"/>
        </w:numPr>
        <w:tabs>
          <w:tab w:val="left" w:pos="2614"/>
        </w:tabs>
        <w:ind w:left="2260" w:hanging="5"/>
        <w:jc w:val="both"/>
        <w:rPr>
          <w:rFonts w:eastAsia="Times New Roman"/>
          <w:sz w:val="24"/>
          <w:szCs w:val="24"/>
        </w:rPr>
      </w:pPr>
      <w:r>
        <w:rPr>
          <w:rFonts w:eastAsia="Times New Roman"/>
          <w:sz w:val="24"/>
          <w:szCs w:val="24"/>
        </w:rPr>
        <w:t xml:space="preserve">identification of an area outside of which the likelihood of </w:t>
      </w:r>
      <w:r>
        <w:rPr>
          <w:rFonts w:eastAsia="Times New Roman"/>
          <w:i/>
          <w:iCs/>
          <w:sz w:val="24"/>
          <w:szCs w:val="24"/>
        </w:rPr>
        <w:t>Cryptosporidium</w:t>
      </w:r>
      <w:r>
        <w:rPr>
          <w:rFonts w:eastAsia="Times New Roman"/>
          <w:sz w:val="24"/>
          <w:szCs w:val="24"/>
        </w:rPr>
        <w:t xml:space="preserve"> or fecal contamination affecting the treatment Plant Intake is not significant ("area of influence"). The area of influence shall be evaluated in future watershed surveys, as required in 310 CMR 22.20G(19)(a)5.b.</w:t>
      </w:r>
    </w:p>
    <w:p w14:paraId="281A6A9E" w14:textId="6316BF13" w:rsidR="004647B9" w:rsidRPr="005757BF" w:rsidRDefault="00E2436F" w:rsidP="00696F9F">
      <w:pPr>
        <w:numPr>
          <w:ilvl w:val="1"/>
          <w:numId w:val="761"/>
        </w:numPr>
        <w:tabs>
          <w:tab w:val="left" w:pos="2614"/>
        </w:tabs>
        <w:ind w:left="2260" w:hanging="5"/>
        <w:jc w:val="both"/>
        <w:rPr>
          <w:rFonts w:eastAsia="Times New Roman"/>
          <w:sz w:val="24"/>
          <w:szCs w:val="24"/>
        </w:rPr>
      </w:pPr>
      <w:r>
        <w:rPr>
          <w:rFonts w:eastAsia="Times New Roman"/>
          <w:sz w:val="24"/>
          <w:szCs w:val="24"/>
        </w:rPr>
        <w:t xml:space="preserve">identification of both potential and actual sources of </w:t>
      </w:r>
      <w:r w:rsidRPr="005757BF">
        <w:rPr>
          <w:rFonts w:eastAsia="Times New Roman"/>
          <w:i/>
          <w:iCs/>
          <w:sz w:val="24"/>
          <w:szCs w:val="24"/>
        </w:rPr>
        <w:t>Cryptosporidium</w:t>
      </w:r>
      <w:r w:rsidR="007D25C6" w:rsidRPr="005757BF">
        <w:rPr>
          <w:rFonts w:eastAsia="Times New Roman"/>
          <w:sz w:val="24"/>
          <w:szCs w:val="24"/>
        </w:rPr>
        <w:t xml:space="preserve"> </w:t>
      </w:r>
      <w:r w:rsidRPr="005757BF">
        <w:rPr>
          <w:rFonts w:eastAsia="Times New Roman"/>
          <w:sz w:val="24"/>
          <w:szCs w:val="24"/>
        </w:rPr>
        <w:t>contamination and an assessment of the relative impact of these sources on the system's source water quality.</w:t>
      </w:r>
    </w:p>
    <w:p w14:paraId="281A6A9F" w14:textId="77777777" w:rsidR="004647B9" w:rsidRDefault="00E2436F" w:rsidP="00696F9F">
      <w:pPr>
        <w:numPr>
          <w:ilvl w:val="0"/>
          <w:numId w:val="762"/>
        </w:numPr>
        <w:tabs>
          <w:tab w:val="left" w:pos="2649"/>
        </w:tabs>
        <w:ind w:left="2260" w:hanging="5"/>
        <w:jc w:val="both"/>
        <w:rPr>
          <w:rFonts w:eastAsia="Times New Roman"/>
          <w:sz w:val="24"/>
          <w:szCs w:val="24"/>
        </w:rPr>
      </w:pPr>
      <w:r>
        <w:rPr>
          <w:rFonts w:eastAsia="Times New Roman"/>
          <w:sz w:val="24"/>
          <w:szCs w:val="24"/>
        </w:rPr>
        <w:t xml:space="preserve">an analysis of the effectiveness and feasibility of control measures that could reduce </w:t>
      </w:r>
      <w:r>
        <w:rPr>
          <w:rFonts w:eastAsia="Times New Roman"/>
          <w:i/>
          <w:iCs/>
          <w:sz w:val="24"/>
          <w:szCs w:val="24"/>
        </w:rPr>
        <w:t>Cryptosporidium</w:t>
      </w:r>
      <w:r>
        <w:rPr>
          <w:rFonts w:eastAsia="Times New Roman"/>
          <w:sz w:val="24"/>
          <w:szCs w:val="24"/>
        </w:rPr>
        <w:t xml:space="preserve"> loading from sources of contamination to the system's source water.</w:t>
      </w:r>
    </w:p>
    <w:p w14:paraId="281A6AA1" w14:textId="77777777" w:rsidR="004647B9" w:rsidRDefault="00E2436F" w:rsidP="00696F9F">
      <w:pPr>
        <w:numPr>
          <w:ilvl w:val="0"/>
          <w:numId w:val="762"/>
        </w:numPr>
        <w:tabs>
          <w:tab w:val="left" w:pos="2598"/>
        </w:tabs>
        <w:ind w:left="2260" w:hanging="5"/>
        <w:rPr>
          <w:rFonts w:eastAsia="Times New Roman"/>
          <w:sz w:val="24"/>
          <w:szCs w:val="24"/>
        </w:rPr>
      </w:pPr>
      <w:r>
        <w:rPr>
          <w:rFonts w:eastAsia="Times New Roman"/>
          <w:sz w:val="24"/>
          <w:szCs w:val="24"/>
        </w:rPr>
        <w:t xml:space="preserve">a statement of goals and specific actions the Supplier of Water will undertake to reduce source water </w:t>
      </w:r>
      <w:r>
        <w:rPr>
          <w:rFonts w:eastAsia="Times New Roman"/>
          <w:i/>
          <w:iCs/>
          <w:sz w:val="24"/>
          <w:szCs w:val="24"/>
        </w:rPr>
        <w:t>Cryptosporidium</w:t>
      </w:r>
      <w:r>
        <w:rPr>
          <w:rFonts w:eastAsia="Times New Roman"/>
          <w:sz w:val="24"/>
          <w:szCs w:val="24"/>
        </w:rPr>
        <w:t xml:space="preserve"> levels, including:</w:t>
      </w:r>
    </w:p>
    <w:p w14:paraId="281A6AA2" w14:textId="77777777" w:rsidR="004647B9" w:rsidRDefault="004647B9" w:rsidP="00696F9F">
      <w:pPr>
        <w:sectPr w:rsidR="004647B9" w:rsidSect="00EF630C">
          <w:type w:val="continuous"/>
          <w:pgSz w:w="12240" w:h="20180"/>
          <w:pgMar w:top="708" w:right="1440" w:bottom="1440" w:left="620" w:header="0" w:footer="0" w:gutter="0"/>
          <w:cols w:space="720"/>
        </w:sectPr>
      </w:pPr>
    </w:p>
    <w:p w14:paraId="281A6AA3" w14:textId="77777777" w:rsidR="004647B9" w:rsidRDefault="00E2436F">
      <w:pPr>
        <w:tabs>
          <w:tab w:val="left" w:pos="160"/>
        </w:tabs>
        <w:ind w:right="20"/>
        <w:jc w:val="center"/>
        <w:rPr>
          <w:sz w:val="20"/>
          <w:szCs w:val="20"/>
        </w:rPr>
      </w:pPr>
      <w:bookmarkStart w:id="304" w:name="page309"/>
      <w:bookmarkEnd w:id="30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AA4" w14:textId="77777777" w:rsidR="004647B9" w:rsidRDefault="004647B9" w:rsidP="00696F9F">
      <w:pPr>
        <w:rPr>
          <w:sz w:val="20"/>
          <w:szCs w:val="20"/>
        </w:rPr>
      </w:pPr>
    </w:p>
    <w:p w14:paraId="281A6AA5" w14:textId="77777777" w:rsidR="004647B9" w:rsidRDefault="004647B9" w:rsidP="00696F9F">
      <w:pPr>
        <w:rPr>
          <w:sz w:val="20"/>
          <w:szCs w:val="20"/>
        </w:rPr>
      </w:pPr>
    </w:p>
    <w:p w14:paraId="281A6AA6" w14:textId="77777777" w:rsidR="004647B9" w:rsidRPr="00696F9F" w:rsidRDefault="00E2436F" w:rsidP="00696F9F">
      <w:pPr>
        <w:tabs>
          <w:tab w:val="left" w:pos="940"/>
        </w:tabs>
        <w:rPr>
          <w:sz w:val="24"/>
          <w:szCs w:val="24"/>
        </w:rPr>
      </w:pPr>
      <w:r w:rsidRPr="00696F9F">
        <w:rPr>
          <w:rFonts w:eastAsia="Times New Roman"/>
          <w:sz w:val="24"/>
          <w:szCs w:val="24"/>
        </w:rPr>
        <w:t>22.20G:</w:t>
      </w:r>
      <w:r w:rsidRPr="00696F9F">
        <w:rPr>
          <w:rFonts w:eastAsia="Times New Roman"/>
          <w:sz w:val="24"/>
          <w:szCs w:val="24"/>
        </w:rPr>
        <w:tab/>
        <w:t>continued</w:t>
      </w:r>
    </w:p>
    <w:p w14:paraId="281A6AA7" w14:textId="77777777" w:rsidR="004647B9" w:rsidRDefault="004647B9" w:rsidP="00696F9F">
      <w:pPr>
        <w:rPr>
          <w:sz w:val="20"/>
          <w:szCs w:val="20"/>
        </w:rPr>
      </w:pPr>
    </w:p>
    <w:p w14:paraId="281A6AA8" w14:textId="77777777" w:rsidR="004647B9" w:rsidRPr="001E3E2E" w:rsidRDefault="00E2436F" w:rsidP="00696F9F">
      <w:pPr>
        <w:numPr>
          <w:ilvl w:val="2"/>
          <w:numId w:val="763"/>
        </w:numPr>
        <w:tabs>
          <w:tab w:val="left" w:pos="2880"/>
        </w:tabs>
        <w:ind w:left="2621"/>
        <w:rPr>
          <w:rFonts w:eastAsia="Times New Roman"/>
          <w:sz w:val="24"/>
          <w:szCs w:val="24"/>
        </w:rPr>
      </w:pPr>
      <w:r w:rsidRPr="001E3E2E">
        <w:rPr>
          <w:rFonts w:eastAsia="Times New Roman"/>
          <w:sz w:val="24"/>
          <w:szCs w:val="24"/>
        </w:rPr>
        <w:t>an explanation of how the actions are expected to contribute to specific goals;</w:t>
      </w:r>
    </w:p>
    <w:p w14:paraId="281A6AAA" w14:textId="77777777" w:rsidR="004647B9" w:rsidRPr="001E3E2E" w:rsidRDefault="00E2436F" w:rsidP="00696F9F">
      <w:pPr>
        <w:numPr>
          <w:ilvl w:val="2"/>
          <w:numId w:val="763"/>
        </w:numPr>
        <w:tabs>
          <w:tab w:val="left" w:pos="2980"/>
        </w:tabs>
        <w:ind w:left="2980" w:hanging="365"/>
        <w:rPr>
          <w:rFonts w:eastAsia="Times New Roman"/>
          <w:sz w:val="24"/>
          <w:szCs w:val="24"/>
        </w:rPr>
      </w:pPr>
      <w:r w:rsidRPr="001E3E2E">
        <w:rPr>
          <w:rFonts w:eastAsia="Times New Roman"/>
          <w:sz w:val="24"/>
          <w:szCs w:val="24"/>
        </w:rPr>
        <w:t>identification of Watershed resource requirements and commitments; and</w:t>
      </w:r>
    </w:p>
    <w:p w14:paraId="281A6AAC" w14:textId="77777777" w:rsidR="004647B9" w:rsidRPr="001E3E2E" w:rsidRDefault="00E2436F" w:rsidP="00696F9F">
      <w:pPr>
        <w:numPr>
          <w:ilvl w:val="2"/>
          <w:numId w:val="763"/>
        </w:numPr>
        <w:tabs>
          <w:tab w:val="left" w:pos="3111"/>
        </w:tabs>
        <w:ind w:left="2620" w:hanging="5"/>
        <w:jc w:val="both"/>
        <w:rPr>
          <w:rFonts w:eastAsia="Times New Roman"/>
          <w:sz w:val="24"/>
          <w:szCs w:val="24"/>
        </w:rPr>
      </w:pPr>
      <w:r w:rsidRPr="001E3E2E">
        <w:rPr>
          <w:rFonts w:eastAsia="Times New Roman"/>
          <w:sz w:val="24"/>
          <w:szCs w:val="24"/>
        </w:rPr>
        <w:t>a schedule for implementing the watershed control plan, once approved, including deadlines for completing specific actions identified in the watershed control plan.</w:t>
      </w:r>
    </w:p>
    <w:p w14:paraId="281A6AAE" w14:textId="77777777" w:rsidR="004647B9" w:rsidRPr="001E3E2E" w:rsidRDefault="00E2436F" w:rsidP="00696F9F">
      <w:pPr>
        <w:numPr>
          <w:ilvl w:val="0"/>
          <w:numId w:val="764"/>
        </w:numPr>
        <w:tabs>
          <w:tab w:val="left" w:pos="2296"/>
        </w:tabs>
        <w:ind w:left="1900" w:hanging="5"/>
        <w:jc w:val="both"/>
        <w:rPr>
          <w:rFonts w:eastAsia="Times New Roman"/>
          <w:sz w:val="24"/>
          <w:szCs w:val="24"/>
        </w:rPr>
      </w:pPr>
      <w:r w:rsidRPr="001E3E2E">
        <w:rPr>
          <w:rFonts w:eastAsia="Times New Roman"/>
          <w:sz w:val="24"/>
          <w:szCs w:val="24"/>
        </w:rPr>
        <w:t>if an approved watershed control program is in place as of January 5, 2006, then submit to the Department for approval written documentation demonstrating that the existing watershed control plan complies with the following:</w:t>
      </w:r>
    </w:p>
    <w:p w14:paraId="281A6AB2" w14:textId="18794CC3" w:rsidR="004647B9" w:rsidRPr="001E3E2E" w:rsidRDefault="00E2436F" w:rsidP="00696F9F">
      <w:pPr>
        <w:numPr>
          <w:ilvl w:val="1"/>
          <w:numId w:val="764"/>
        </w:numPr>
        <w:tabs>
          <w:tab w:val="left" w:pos="2736"/>
        </w:tabs>
        <w:ind w:left="2260" w:hanging="5"/>
        <w:jc w:val="both"/>
        <w:rPr>
          <w:rFonts w:eastAsia="Times New Roman"/>
          <w:sz w:val="24"/>
          <w:szCs w:val="24"/>
        </w:rPr>
      </w:pPr>
      <w:r w:rsidRPr="001E3E2E">
        <w:rPr>
          <w:rFonts w:eastAsia="Times New Roman"/>
          <w:sz w:val="24"/>
          <w:szCs w:val="24"/>
        </w:rPr>
        <w:t>the existing watershed control plan must meet the above criteria listed in 310 CMR 22.20G(19)(a)2. in addition to any criteria met in the existing approval; and</w:t>
      </w:r>
      <w:r w:rsidR="001E3E2E" w:rsidRPr="001E3E2E">
        <w:rPr>
          <w:rFonts w:eastAsia="Times New Roman"/>
          <w:sz w:val="24"/>
          <w:szCs w:val="24"/>
        </w:rPr>
        <w:t xml:space="preserve"> </w:t>
      </w:r>
      <w:r w:rsidRPr="001E3E2E">
        <w:rPr>
          <w:rFonts w:eastAsia="Times New Roman"/>
          <w:sz w:val="24"/>
          <w:szCs w:val="24"/>
        </w:rPr>
        <w:t xml:space="preserve">the existing watershed control plan must specify ongoing and future actions that will reduce source water </w:t>
      </w:r>
      <w:r w:rsidRPr="001E3E2E">
        <w:rPr>
          <w:rFonts w:eastAsia="Times New Roman"/>
          <w:i/>
          <w:iCs/>
          <w:sz w:val="24"/>
          <w:szCs w:val="24"/>
        </w:rPr>
        <w:t>Cryptosporidium</w:t>
      </w:r>
      <w:r w:rsidRPr="001E3E2E">
        <w:rPr>
          <w:rFonts w:eastAsia="Times New Roman"/>
          <w:sz w:val="24"/>
          <w:szCs w:val="24"/>
        </w:rPr>
        <w:t xml:space="preserve"> levels.</w:t>
      </w:r>
    </w:p>
    <w:p w14:paraId="281A6AB3" w14:textId="77777777" w:rsidR="004647B9" w:rsidRPr="001E3E2E" w:rsidRDefault="00E2436F" w:rsidP="00696F9F">
      <w:pPr>
        <w:numPr>
          <w:ilvl w:val="0"/>
          <w:numId w:val="764"/>
        </w:numPr>
        <w:tabs>
          <w:tab w:val="left" w:pos="2447"/>
        </w:tabs>
        <w:ind w:left="1900" w:hanging="5"/>
        <w:jc w:val="both"/>
        <w:rPr>
          <w:rFonts w:eastAsia="Times New Roman"/>
          <w:sz w:val="24"/>
          <w:szCs w:val="24"/>
        </w:rPr>
      </w:pPr>
      <w:r w:rsidRPr="001E3E2E">
        <w:rPr>
          <w:rFonts w:eastAsia="Times New Roman"/>
          <w:sz w:val="24"/>
          <w:szCs w:val="24"/>
          <w:u w:val="single"/>
        </w:rPr>
        <w:t>Credit in the Absence of Department Response</w:t>
      </w:r>
      <w:r w:rsidRPr="001E3E2E">
        <w:rPr>
          <w:rFonts w:eastAsia="Times New Roman"/>
          <w:sz w:val="24"/>
          <w:szCs w:val="24"/>
        </w:rPr>
        <w:t xml:space="preserve">. If within 90 days of the Department's receipt of a watershed control plan submitted under 310 CMR 22.20G(19)(a), the Department does not respond to the Supplier of Water regarding approval of that watershed control plan, and the Supplier of Water otherwise meets the requirements of 310 CMR 22.20G(19)(a), the watershed control plan will be considered approved and 0.5 log </w:t>
      </w:r>
      <w:r w:rsidRPr="001E3E2E">
        <w:rPr>
          <w:rFonts w:eastAsia="Times New Roman"/>
          <w:i/>
          <w:iCs/>
          <w:sz w:val="24"/>
          <w:szCs w:val="24"/>
        </w:rPr>
        <w:t>Cryptosporidium</w:t>
      </w:r>
      <w:r w:rsidRPr="001E3E2E">
        <w:rPr>
          <w:rFonts w:eastAsia="Times New Roman"/>
          <w:sz w:val="24"/>
          <w:szCs w:val="24"/>
        </w:rPr>
        <w:t xml:space="preserve"> treatment credit will be awarded, unless and until the Department subsequently withdraws such approval.</w:t>
      </w:r>
    </w:p>
    <w:p w14:paraId="281A6AB5" w14:textId="1576205A" w:rsidR="004647B9" w:rsidRPr="001E3E2E" w:rsidRDefault="00E2436F" w:rsidP="00696F9F">
      <w:pPr>
        <w:numPr>
          <w:ilvl w:val="0"/>
          <w:numId w:val="764"/>
        </w:numPr>
        <w:tabs>
          <w:tab w:val="left" w:pos="2361"/>
        </w:tabs>
        <w:ind w:left="1900" w:hanging="5"/>
        <w:jc w:val="both"/>
        <w:rPr>
          <w:rFonts w:eastAsia="Times New Roman"/>
          <w:sz w:val="24"/>
          <w:szCs w:val="24"/>
        </w:rPr>
      </w:pPr>
      <w:r w:rsidRPr="001E3E2E">
        <w:rPr>
          <w:rFonts w:eastAsia="Times New Roman"/>
          <w:sz w:val="24"/>
          <w:szCs w:val="24"/>
        </w:rPr>
        <w:t xml:space="preserve">Maintaining the 0.5-log </w:t>
      </w:r>
      <w:r w:rsidRPr="001E3E2E">
        <w:rPr>
          <w:rFonts w:eastAsia="Times New Roman"/>
          <w:i/>
          <w:iCs/>
          <w:sz w:val="24"/>
          <w:szCs w:val="24"/>
        </w:rPr>
        <w:t>Cryptosporidium</w:t>
      </w:r>
      <w:r w:rsidRPr="001E3E2E">
        <w:rPr>
          <w:rFonts w:eastAsia="Times New Roman"/>
          <w:sz w:val="24"/>
          <w:szCs w:val="24"/>
        </w:rPr>
        <w:t xml:space="preserve"> treatment credit for implementing an approved watershed control program. In order to maintain a 0.5-log </w:t>
      </w:r>
      <w:r w:rsidRPr="001E3E2E">
        <w:rPr>
          <w:rFonts w:eastAsia="Times New Roman"/>
          <w:i/>
          <w:iCs/>
          <w:sz w:val="24"/>
          <w:szCs w:val="24"/>
        </w:rPr>
        <w:t>Cryptosporidium</w:t>
      </w:r>
      <w:r w:rsidR="001E3E2E">
        <w:rPr>
          <w:rFonts w:eastAsia="Times New Roman"/>
          <w:sz w:val="24"/>
          <w:szCs w:val="24"/>
        </w:rPr>
        <w:t xml:space="preserve"> </w:t>
      </w:r>
      <w:r w:rsidRPr="001E3E2E">
        <w:rPr>
          <w:rFonts w:eastAsia="Times New Roman"/>
          <w:sz w:val="24"/>
          <w:szCs w:val="24"/>
        </w:rPr>
        <w:t>treatment credit for implementing an approved watershed control program, the Supplier of Water shall satisfy the following requirements:</w:t>
      </w:r>
    </w:p>
    <w:p w14:paraId="281A6AB6" w14:textId="77777777" w:rsidR="004647B9" w:rsidRPr="001E3E2E" w:rsidRDefault="00E2436F" w:rsidP="00696F9F">
      <w:pPr>
        <w:numPr>
          <w:ilvl w:val="0"/>
          <w:numId w:val="765"/>
        </w:numPr>
        <w:tabs>
          <w:tab w:val="left" w:pos="2549"/>
        </w:tabs>
        <w:ind w:left="2260" w:hanging="5"/>
        <w:jc w:val="both"/>
        <w:rPr>
          <w:rFonts w:eastAsia="Times New Roman"/>
          <w:sz w:val="24"/>
          <w:szCs w:val="24"/>
        </w:rPr>
      </w:pPr>
      <w:r w:rsidRPr="001E3E2E">
        <w:rPr>
          <w:rFonts w:eastAsia="Times New Roman"/>
          <w:sz w:val="24"/>
          <w:szCs w:val="24"/>
        </w:rPr>
        <w:t>submit an annual watershed control program status report to the Department. The annual watershed control program status report shall describe the Supplier of Water's implementation of the approved plan and assess the adequacy of the plan to meet its goals. It must explain how the Supplier of Water is addressing any shortcomings in plan implementation, including those previously identified by the Department or as the result of the watershed survey conducted under 310 CMR 22.20G(19)(a)5.b. The Supplier of Water shall also describe any significant changes that have occurred in the Watershed since the last watershed sanitary survey. If a Supplier of Water, based upon implementation of an approved watershed control program, believes that a significant change to the approved watershed control program is necessary, the Supplier of Water shall notify the Department in writing of the changes it proposes to make to its approved watershed control plan. Any such change to an approved watershed control plan shall be subject to:</w:t>
      </w:r>
    </w:p>
    <w:p w14:paraId="281A6AB8" w14:textId="77777777" w:rsidR="004647B9" w:rsidRPr="001E3E2E" w:rsidRDefault="00E2436F" w:rsidP="00696F9F">
      <w:pPr>
        <w:numPr>
          <w:ilvl w:val="1"/>
          <w:numId w:val="765"/>
        </w:numPr>
        <w:tabs>
          <w:tab w:val="left" w:pos="2934"/>
        </w:tabs>
        <w:ind w:left="2620" w:hanging="5"/>
        <w:rPr>
          <w:rFonts w:eastAsia="Times New Roman"/>
          <w:sz w:val="24"/>
          <w:szCs w:val="24"/>
        </w:rPr>
      </w:pPr>
      <w:r w:rsidRPr="001E3E2E">
        <w:rPr>
          <w:rFonts w:eastAsia="Times New Roman"/>
          <w:sz w:val="24"/>
          <w:szCs w:val="24"/>
        </w:rPr>
        <w:t>the Department's approval based upon the plan's continued inclusion of and adequacy of the elements in 310 CMR 22.20G(19)(a)2.; and</w:t>
      </w:r>
    </w:p>
    <w:p w14:paraId="281A6AB9" w14:textId="77777777" w:rsidR="004647B9" w:rsidRPr="001E3E2E" w:rsidRDefault="00E2436F" w:rsidP="00696F9F">
      <w:pPr>
        <w:numPr>
          <w:ilvl w:val="1"/>
          <w:numId w:val="765"/>
        </w:numPr>
        <w:tabs>
          <w:tab w:val="left" w:pos="3044"/>
        </w:tabs>
        <w:ind w:left="2620" w:hanging="5"/>
        <w:jc w:val="both"/>
        <w:rPr>
          <w:rFonts w:eastAsia="Times New Roman"/>
          <w:sz w:val="24"/>
          <w:szCs w:val="24"/>
        </w:rPr>
      </w:pPr>
      <w:r w:rsidRPr="001E3E2E">
        <w:rPr>
          <w:rFonts w:eastAsia="Times New Roman"/>
          <w:sz w:val="24"/>
          <w:szCs w:val="24"/>
        </w:rPr>
        <w:t>if any change is likely to reduce the level of source water protection, the Supplier of Water's notification shall include a plan and strategy indicating how the proposed actions will mitigate this effect.</w:t>
      </w:r>
    </w:p>
    <w:p w14:paraId="281A6ABB" w14:textId="77777777" w:rsidR="004647B9" w:rsidRPr="001E3E2E" w:rsidRDefault="00E2436F" w:rsidP="00696F9F">
      <w:pPr>
        <w:ind w:left="2260" w:firstLine="360"/>
        <w:jc w:val="both"/>
        <w:rPr>
          <w:sz w:val="24"/>
          <w:szCs w:val="24"/>
        </w:rPr>
      </w:pPr>
      <w:r w:rsidRPr="001E3E2E">
        <w:rPr>
          <w:rFonts w:eastAsia="Times New Roman"/>
          <w:sz w:val="24"/>
          <w:szCs w:val="24"/>
        </w:rPr>
        <w:t>If within 60 days of the Department's receipt of a notification of a change to an approved watershed control plan, the Department does not respond to the Supplier of Water regarding approval of that change, and the Supplier of Water otherwise meets the requirements of 310 CMR 22.20G(19)(a)5.a.i. and ii., then the changes to the approved watershed control plan will be considered approved, unless and until the Department subsequently withdraws such approval, based upon failure to meet such requirements.</w:t>
      </w:r>
    </w:p>
    <w:p w14:paraId="281A6ABD" w14:textId="77777777" w:rsidR="004647B9" w:rsidRPr="001E3E2E" w:rsidRDefault="00E2436F" w:rsidP="00696F9F">
      <w:pPr>
        <w:numPr>
          <w:ilvl w:val="0"/>
          <w:numId w:val="766"/>
        </w:numPr>
        <w:tabs>
          <w:tab w:val="left" w:pos="2670"/>
        </w:tabs>
        <w:ind w:left="2260" w:hanging="5"/>
        <w:rPr>
          <w:rFonts w:eastAsia="Times New Roman"/>
          <w:sz w:val="24"/>
          <w:szCs w:val="24"/>
        </w:rPr>
      </w:pPr>
      <w:r w:rsidRPr="001E3E2E">
        <w:rPr>
          <w:rFonts w:eastAsia="Times New Roman"/>
          <w:sz w:val="24"/>
          <w:szCs w:val="24"/>
        </w:rPr>
        <w:t>undergo a watershed sanitary survey every three years for Community Water Systems and every five years for Non-community Water Systems which:</w:t>
      </w:r>
    </w:p>
    <w:p w14:paraId="281A6ABE" w14:textId="77777777" w:rsidR="004647B9" w:rsidRPr="001E3E2E" w:rsidRDefault="00E2436F" w:rsidP="00696F9F">
      <w:pPr>
        <w:numPr>
          <w:ilvl w:val="1"/>
          <w:numId w:val="766"/>
        </w:numPr>
        <w:tabs>
          <w:tab w:val="left" w:pos="2992"/>
        </w:tabs>
        <w:ind w:left="2620" w:hanging="5"/>
        <w:rPr>
          <w:rFonts w:eastAsia="Times New Roman"/>
          <w:sz w:val="24"/>
          <w:szCs w:val="24"/>
        </w:rPr>
      </w:pPr>
      <w:r w:rsidRPr="001E3E2E">
        <w:rPr>
          <w:rFonts w:eastAsia="Times New Roman"/>
          <w:sz w:val="24"/>
          <w:szCs w:val="24"/>
        </w:rPr>
        <w:t>encompasses the area of influence identified in the Department-approved watershed control plan;</w:t>
      </w:r>
    </w:p>
    <w:p w14:paraId="281A6AC1" w14:textId="2457A4A6" w:rsidR="004647B9" w:rsidRPr="001E3E2E" w:rsidRDefault="00E2436F" w:rsidP="00696F9F">
      <w:pPr>
        <w:numPr>
          <w:ilvl w:val="1"/>
          <w:numId w:val="766"/>
        </w:numPr>
        <w:tabs>
          <w:tab w:val="left" w:pos="2970"/>
        </w:tabs>
        <w:ind w:left="2610" w:hanging="5"/>
        <w:rPr>
          <w:rFonts w:eastAsia="Times New Roman"/>
          <w:sz w:val="24"/>
          <w:szCs w:val="24"/>
        </w:rPr>
      </w:pPr>
      <w:r w:rsidRPr="001E3E2E">
        <w:rPr>
          <w:rFonts w:eastAsia="Times New Roman"/>
          <w:sz w:val="24"/>
          <w:szCs w:val="24"/>
        </w:rPr>
        <w:t>assesses the implementation of actions to reduce source water</w:t>
      </w:r>
      <w:r w:rsidR="001E3E2E" w:rsidRPr="001E3E2E">
        <w:rPr>
          <w:rFonts w:eastAsia="Times New Roman"/>
          <w:sz w:val="24"/>
          <w:szCs w:val="24"/>
        </w:rPr>
        <w:t xml:space="preserve"> </w:t>
      </w:r>
      <w:r w:rsidRPr="001E3E2E">
        <w:rPr>
          <w:rFonts w:eastAsia="Times New Roman"/>
          <w:i/>
          <w:iCs/>
          <w:sz w:val="24"/>
          <w:szCs w:val="24"/>
        </w:rPr>
        <w:t xml:space="preserve">Cryptosporidium </w:t>
      </w:r>
      <w:r w:rsidRPr="001E3E2E">
        <w:rPr>
          <w:rFonts w:eastAsia="Times New Roman"/>
          <w:sz w:val="24"/>
          <w:szCs w:val="24"/>
        </w:rPr>
        <w:t>levels; and</w:t>
      </w:r>
    </w:p>
    <w:p w14:paraId="281A6AC3" w14:textId="77777777" w:rsidR="004647B9" w:rsidRPr="001E3E2E" w:rsidRDefault="00E2436F" w:rsidP="00696F9F">
      <w:pPr>
        <w:tabs>
          <w:tab w:val="left" w:pos="3040"/>
        </w:tabs>
        <w:ind w:left="2620"/>
        <w:rPr>
          <w:sz w:val="24"/>
          <w:szCs w:val="24"/>
        </w:rPr>
      </w:pPr>
      <w:r w:rsidRPr="001E3E2E">
        <w:rPr>
          <w:rFonts w:eastAsia="Times New Roman"/>
          <w:sz w:val="24"/>
          <w:szCs w:val="24"/>
        </w:rPr>
        <w:t>iii.</w:t>
      </w:r>
      <w:r w:rsidRPr="001E3E2E">
        <w:rPr>
          <w:sz w:val="24"/>
          <w:szCs w:val="24"/>
        </w:rPr>
        <w:tab/>
      </w:r>
      <w:r w:rsidRPr="001E3E2E">
        <w:rPr>
          <w:rFonts w:eastAsia="Times New Roman"/>
          <w:sz w:val="24"/>
          <w:szCs w:val="24"/>
        </w:rPr>
        <w:t xml:space="preserve">identifies any significant New Sources of </w:t>
      </w:r>
      <w:r w:rsidRPr="001E3E2E">
        <w:rPr>
          <w:rFonts w:eastAsia="Times New Roman"/>
          <w:i/>
          <w:iCs/>
          <w:sz w:val="24"/>
          <w:szCs w:val="24"/>
        </w:rPr>
        <w:t>Cryptosporidium</w:t>
      </w:r>
      <w:r w:rsidRPr="001E3E2E">
        <w:rPr>
          <w:rFonts w:eastAsia="Times New Roman"/>
          <w:sz w:val="24"/>
          <w:szCs w:val="24"/>
        </w:rPr>
        <w:t>;</w:t>
      </w:r>
    </w:p>
    <w:p w14:paraId="281A6AC4" w14:textId="77777777" w:rsidR="004647B9" w:rsidRDefault="004647B9" w:rsidP="00696F9F">
      <w:pPr>
        <w:sectPr w:rsidR="004647B9" w:rsidSect="00EF630C">
          <w:pgSz w:w="12240" w:h="20180"/>
          <w:pgMar w:top="708" w:right="1440" w:bottom="1440" w:left="620" w:header="0" w:footer="0" w:gutter="0"/>
          <w:cols w:space="720"/>
        </w:sectPr>
      </w:pPr>
    </w:p>
    <w:p w14:paraId="281A6AC5" w14:textId="77777777" w:rsidR="004647B9" w:rsidRDefault="00E2436F">
      <w:pPr>
        <w:tabs>
          <w:tab w:val="left" w:pos="160"/>
        </w:tabs>
        <w:ind w:right="20"/>
        <w:jc w:val="center"/>
        <w:rPr>
          <w:sz w:val="20"/>
          <w:szCs w:val="20"/>
        </w:rPr>
      </w:pPr>
      <w:bookmarkStart w:id="305" w:name="page310"/>
      <w:bookmarkEnd w:id="30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AC6" w14:textId="77777777" w:rsidR="004647B9" w:rsidRDefault="004647B9" w:rsidP="00696F9F">
      <w:pPr>
        <w:rPr>
          <w:sz w:val="20"/>
          <w:szCs w:val="20"/>
        </w:rPr>
      </w:pPr>
    </w:p>
    <w:p w14:paraId="281A6AC7" w14:textId="77777777" w:rsidR="004647B9" w:rsidRDefault="004647B9" w:rsidP="00696F9F">
      <w:pPr>
        <w:rPr>
          <w:sz w:val="20"/>
          <w:szCs w:val="20"/>
        </w:rPr>
      </w:pPr>
    </w:p>
    <w:p w14:paraId="281A6AC8" w14:textId="77777777" w:rsidR="004647B9" w:rsidRPr="001E3E2E" w:rsidRDefault="00E2436F" w:rsidP="00696F9F">
      <w:pPr>
        <w:tabs>
          <w:tab w:val="left" w:pos="940"/>
        </w:tabs>
        <w:rPr>
          <w:sz w:val="24"/>
          <w:szCs w:val="24"/>
        </w:rPr>
      </w:pPr>
      <w:r w:rsidRPr="001E3E2E">
        <w:rPr>
          <w:rFonts w:eastAsia="Times New Roman"/>
          <w:sz w:val="24"/>
          <w:szCs w:val="24"/>
        </w:rPr>
        <w:t>22.20G:</w:t>
      </w:r>
      <w:r w:rsidRPr="001E3E2E">
        <w:rPr>
          <w:rFonts w:eastAsia="Times New Roman"/>
          <w:sz w:val="24"/>
          <w:szCs w:val="24"/>
        </w:rPr>
        <w:tab/>
        <w:t>continued</w:t>
      </w:r>
    </w:p>
    <w:p w14:paraId="281A6AC9" w14:textId="77777777" w:rsidR="004647B9" w:rsidRPr="00696F9F" w:rsidRDefault="004647B9" w:rsidP="00696F9F"/>
    <w:p w14:paraId="281A6ACA" w14:textId="77777777" w:rsidR="004647B9" w:rsidRPr="001E3E2E" w:rsidRDefault="00E2436F" w:rsidP="00696F9F">
      <w:pPr>
        <w:numPr>
          <w:ilvl w:val="0"/>
          <w:numId w:val="767"/>
        </w:numPr>
        <w:tabs>
          <w:tab w:val="left" w:pos="3102"/>
        </w:tabs>
        <w:ind w:left="2620" w:hanging="5"/>
        <w:jc w:val="both"/>
        <w:rPr>
          <w:rFonts w:eastAsia="Times New Roman"/>
          <w:sz w:val="24"/>
          <w:szCs w:val="24"/>
        </w:rPr>
      </w:pPr>
      <w:r w:rsidRPr="001E3E2E">
        <w:rPr>
          <w:rFonts w:eastAsia="Times New Roman"/>
          <w:sz w:val="24"/>
          <w:szCs w:val="24"/>
        </w:rPr>
        <w:t>unless performed by the Department, is performed by a qualified Person approved by the Department, based on demonstrated knowledge and experience in:</w:t>
      </w:r>
    </w:p>
    <w:p w14:paraId="281A6ACC" w14:textId="77777777" w:rsidR="004647B9" w:rsidRPr="001E3E2E" w:rsidRDefault="00E2436F" w:rsidP="00696F9F">
      <w:pPr>
        <w:numPr>
          <w:ilvl w:val="1"/>
          <w:numId w:val="767"/>
        </w:numPr>
        <w:tabs>
          <w:tab w:val="left" w:pos="3386"/>
        </w:tabs>
        <w:ind w:left="2980" w:hanging="5"/>
        <w:jc w:val="both"/>
        <w:rPr>
          <w:rFonts w:eastAsia="Times New Roman"/>
          <w:sz w:val="24"/>
          <w:szCs w:val="24"/>
        </w:rPr>
      </w:pPr>
      <w:r w:rsidRPr="001E3E2E">
        <w:rPr>
          <w:rFonts w:eastAsia="Times New Roman"/>
          <w:sz w:val="24"/>
          <w:szCs w:val="24"/>
        </w:rPr>
        <w:t>conducting watershed inspections and reviewing and assessing impacts to public water supplies from existing land use practices, stormwater discharges, aquatic and terrestrial invasive species, wildlife, public access and recreation, agriculture, local zoning and non zoning controls;</w:t>
      </w:r>
    </w:p>
    <w:p w14:paraId="281A6ACE" w14:textId="77777777" w:rsidR="004647B9" w:rsidRPr="001E3E2E" w:rsidRDefault="00E2436F" w:rsidP="00696F9F">
      <w:pPr>
        <w:numPr>
          <w:ilvl w:val="1"/>
          <w:numId w:val="767"/>
        </w:numPr>
        <w:tabs>
          <w:tab w:val="left" w:pos="3420"/>
        </w:tabs>
        <w:ind w:left="2970" w:firstLine="5"/>
        <w:rPr>
          <w:rFonts w:eastAsia="Times New Roman"/>
          <w:sz w:val="24"/>
          <w:szCs w:val="24"/>
        </w:rPr>
      </w:pPr>
      <w:r w:rsidRPr="001E3E2E">
        <w:rPr>
          <w:rFonts w:eastAsia="Times New Roman"/>
          <w:sz w:val="24"/>
          <w:szCs w:val="24"/>
        </w:rPr>
        <w:t>recommending source water protection measures to address impacts; and</w:t>
      </w:r>
    </w:p>
    <w:p w14:paraId="281A6AD0" w14:textId="77777777" w:rsidR="004647B9" w:rsidRPr="001E3E2E" w:rsidRDefault="00E2436F" w:rsidP="00696F9F">
      <w:pPr>
        <w:numPr>
          <w:ilvl w:val="1"/>
          <w:numId w:val="767"/>
        </w:numPr>
        <w:tabs>
          <w:tab w:val="left" w:pos="3409"/>
        </w:tabs>
        <w:ind w:left="2980" w:hanging="5"/>
        <w:rPr>
          <w:rFonts w:eastAsia="Times New Roman"/>
          <w:sz w:val="24"/>
          <w:szCs w:val="24"/>
        </w:rPr>
      </w:pPr>
      <w:r w:rsidRPr="001E3E2E">
        <w:rPr>
          <w:rFonts w:eastAsia="Times New Roman"/>
          <w:sz w:val="24"/>
          <w:szCs w:val="24"/>
        </w:rPr>
        <w:t>assisting with multi-town coordination and public education for water supply protection.</w:t>
      </w:r>
    </w:p>
    <w:p w14:paraId="281A6AD1" w14:textId="77777777" w:rsidR="004647B9" w:rsidRPr="001E3E2E" w:rsidRDefault="00E2436F" w:rsidP="00696F9F">
      <w:pPr>
        <w:ind w:left="2260" w:firstLine="360"/>
        <w:jc w:val="both"/>
        <w:rPr>
          <w:sz w:val="24"/>
          <w:szCs w:val="24"/>
        </w:rPr>
      </w:pPr>
      <w:r w:rsidRPr="001E3E2E">
        <w:rPr>
          <w:rFonts w:eastAsia="Times New Roman"/>
          <w:sz w:val="24"/>
          <w:szCs w:val="24"/>
        </w:rPr>
        <w:t>Suppliers of Water shall submit the survey report to the Department, unless the survey is performed by the Department. If the Department determines that significant changes have occurred in the Watershed since the previous watershed sanitary survey, the Department may establish an earlier date than otherwise required in 310 CMR 22.20G(19)(a)5.b. by which Public Water Systems shall undergo another watershed sanitary survey.</w:t>
      </w:r>
    </w:p>
    <w:p w14:paraId="281A6AD3" w14:textId="77777777" w:rsidR="004647B9" w:rsidRPr="001E3E2E" w:rsidRDefault="00E2436F" w:rsidP="00696F9F">
      <w:pPr>
        <w:numPr>
          <w:ilvl w:val="3"/>
          <w:numId w:val="768"/>
        </w:numPr>
        <w:tabs>
          <w:tab w:val="left" w:pos="2691"/>
        </w:tabs>
        <w:ind w:left="2260" w:hanging="5"/>
        <w:jc w:val="both"/>
        <w:rPr>
          <w:rFonts w:eastAsia="Times New Roman"/>
          <w:sz w:val="24"/>
          <w:szCs w:val="24"/>
        </w:rPr>
      </w:pPr>
      <w:r w:rsidRPr="001E3E2E">
        <w:rPr>
          <w:rFonts w:eastAsia="Times New Roman"/>
          <w:sz w:val="24"/>
          <w:szCs w:val="24"/>
        </w:rPr>
        <w:t>The Supplier of Water shall make the watershed control plan, annual status reports, and watershed sanitary survey reports available to the public in electronic or printed form, upon request. These documents shall be in plain language and include criteria by which to evaluate the success of the program in achieving plan goals. A Supplier of Water may request in writing the Department's written approval to withhold from the public portions of the annual status report, watershed control plan, and watershed sanitary survey based on water supply security considerations. Any such request must identify with specificity the security considerations relevant to each portion proposed to be withheld.</w:t>
      </w:r>
    </w:p>
    <w:p w14:paraId="281A6AD5" w14:textId="77777777" w:rsidR="004647B9" w:rsidRPr="001378A6" w:rsidRDefault="00E2436F" w:rsidP="00696F9F">
      <w:pPr>
        <w:numPr>
          <w:ilvl w:val="2"/>
          <w:numId w:val="769"/>
        </w:numPr>
        <w:tabs>
          <w:tab w:val="left" w:pos="2229"/>
        </w:tabs>
        <w:ind w:left="1900" w:hanging="5"/>
        <w:jc w:val="both"/>
        <w:rPr>
          <w:rFonts w:eastAsia="Times New Roman"/>
          <w:sz w:val="24"/>
          <w:szCs w:val="24"/>
        </w:rPr>
      </w:pPr>
      <w:r w:rsidRPr="001E3E2E">
        <w:rPr>
          <w:rFonts w:eastAsia="Times New Roman"/>
          <w:sz w:val="24"/>
          <w:szCs w:val="24"/>
        </w:rPr>
        <w:t xml:space="preserve">A Supplier of Water's watershed control program treatment credit shall be subject to withdrawal if the Department determines that the Supplier of Water is not performing the </w:t>
      </w:r>
      <w:r w:rsidRPr="001378A6">
        <w:rPr>
          <w:rFonts w:eastAsia="Times New Roman"/>
          <w:sz w:val="24"/>
          <w:szCs w:val="24"/>
        </w:rPr>
        <w:t>approved watershed control plan.</w:t>
      </w:r>
    </w:p>
    <w:p w14:paraId="281A6AD7" w14:textId="77777777" w:rsidR="004647B9" w:rsidRPr="001378A6" w:rsidRDefault="00E2436F" w:rsidP="00696F9F">
      <w:pPr>
        <w:numPr>
          <w:ilvl w:val="1"/>
          <w:numId w:val="770"/>
        </w:numPr>
        <w:tabs>
          <w:tab w:val="left" w:pos="2000"/>
        </w:tabs>
        <w:ind w:left="2000" w:hanging="465"/>
        <w:rPr>
          <w:rFonts w:eastAsia="Times New Roman"/>
          <w:sz w:val="24"/>
          <w:szCs w:val="24"/>
        </w:rPr>
      </w:pPr>
      <w:r w:rsidRPr="001378A6">
        <w:rPr>
          <w:rFonts w:eastAsia="Times New Roman"/>
          <w:sz w:val="24"/>
          <w:szCs w:val="24"/>
          <w:u w:val="single"/>
        </w:rPr>
        <w:t>Alternative Source</w:t>
      </w:r>
      <w:r w:rsidRPr="001378A6">
        <w:rPr>
          <w:rFonts w:eastAsia="Times New Roman"/>
          <w:sz w:val="24"/>
          <w:szCs w:val="24"/>
        </w:rPr>
        <w:t>.</w:t>
      </w:r>
    </w:p>
    <w:p w14:paraId="281A6AD9" w14:textId="77777777" w:rsidR="004647B9" w:rsidRPr="001378A6" w:rsidRDefault="00E2436F" w:rsidP="00696F9F">
      <w:pPr>
        <w:numPr>
          <w:ilvl w:val="2"/>
          <w:numId w:val="770"/>
        </w:numPr>
        <w:tabs>
          <w:tab w:val="left" w:pos="2267"/>
        </w:tabs>
        <w:ind w:left="1900" w:hanging="5"/>
        <w:jc w:val="both"/>
        <w:rPr>
          <w:rFonts w:eastAsia="Times New Roman"/>
          <w:sz w:val="24"/>
          <w:szCs w:val="24"/>
        </w:rPr>
      </w:pPr>
      <w:r w:rsidRPr="001378A6">
        <w:rPr>
          <w:rFonts w:eastAsia="Times New Roman"/>
          <w:sz w:val="24"/>
          <w:szCs w:val="24"/>
        </w:rPr>
        <w:t>A Supplier of Water may conduct source water monitoring that reflects a different intake location (either in the same source or for an alternate source) or a different procedure for the timing or level of withdrawal from the source (alternative source monitoring). A Supplier of Water, subject to the Department's written approval, may determine its bin classification under 310 CMR 22.20G(11) based on the alternative source monitoring results.</w:t>
      </w:r>
    </w:p>
    <w:p w14:paraId="281A6ADB" w14:textId="77777777" w:rsidR="004647B9" w:rsidRPr="001378A6" w:rsidRDefault="00E2436F" w:rsidP="00696F9F">
      <w:pPr>
        <w:numPr>
          <w:ilvl w:val="2"/>
          <w:numId w:val="770"/>
        </w:numPr>
        <w:tabs>
          <w:tab w:val="left" w:pos="2346"/>
        </w:tabs>
        <w:ind w:left="1900" w:hanging="5"/>
        <w:jc w:val="both"/>
        <w:rPr>
          <w:rFonts w:eastAsia="Times New Roman"/>
          <w:sz w:val="24"/>
          <w:szCs w:val="24"/>
        </w:rPr>
      </w:pPr>
      <w:r w:rsidRPr="001378A6">
        <w:rPr>
          <w:rFonts w:eastAsia="Times New Roman"/>
          <w:sz w:val="24"/>
          <w:szCs w:val="24"/>
        </w:rPr>
        <w:t>If a Supplier of Water conducts alternative source monitoring under 310 CMR 22.20G(19)(b), the Supplier of Water shall also monitor its current Plant Intake concurrently, as described in 310 CMR 22.20G(2).</w:t>
      </w:r>
    </w:p>
    <w:p w14:paraId="281A6ADE" w14:textId="4EB0800B" w:rsidR="004647B9" w:rsidRPr="00853890" w:rsidRDefault="00E2436F" w:rsidP="00696F9F">
      <w:pPr>
        <w:numPr>
          <w:ilvl w:val="2"/>
          <w:numId w:val="770"/>
        </w:numPr>
        <w:tabs>
          <w:tab w:val="left" w:pos="2344"/>
        </w:tabs>
        <w:ind w:left="1900" w:hanging="5"/>
        <w:jc w:val="both"/>
        <w:rPr>
          <w:rFonts w:eastAsia="Times New Roman"/>
          <w:sz w:val="24"/>
          <w:szCs w:val="24"/>
        </w:rPr>
      </w:pPr>
      <w:r w:rsidRPr="001378A6">
        <w:rPr>
          <w:rFonts w:eastAsia="Times New Roman"/>
          <w:sz w:val="24"/>
          <w:szCs w:val="24"/>
        </w:rPr>
        <w:t>Alternative source monitoring under 310 CMR 22.20G (19)(b)1. shall meet the requirements for source monitoring to determine bin classification, as described in</w:t>
      </w:r>
      <w:r w:rsidR="00853890">
        <w:rPr>
          <w:rFonts w:eastAsia="Times New Roman"/>
          <w:sz w:val="24"/>
          <w:szCs w:val="24"/>
        </w:rPr>
        <w:t xml:space="preserve"> 310 </w:t>
      </w:r>
      <w:r w:rsidRPr="00853890">
        <w:rPr>
          <w:rFonts w:eastAsia="Times New Roman"/>
          <w:sz w:val="24"/>
          <w:szCs w:val="24"/>
        </w:rPr>
        <w:t>CMR 22.20G(2) through (7). The Supplier of Water shall report the alternative source monitoring results in writing to the Department, along with supporting information documenting the operating conditions under which the samples were collected.</w:t>
      </w:r>
    </w:p>
    <w:p w14:paraId="281A6AE1" w14:textId="6E62FA79" w:rsidR="004647B9" w:rsidRPr="001378A6" w:rsidRDefault="00E2436F" w:rsidP="00696F9F">
      <w:pPr>
        <w:numPr>
          <w:ilvl w:val="2"/>
          <w:numId w:val="772"/>
        </w:numPr>
        <w:tabs>
          <w:tab w:val="left" w:pos="2246"/>
        </w:tabs>
        <w:ind w:left="1900" w:hanging="5"/>
        <w:jc w:val="both"/>
        <w:rPr>
          <w:rFonts w:eastAsia="Times New Roman"/>
          <w:sz w:val="24"/>
          <w:szCs w:val="24"/>
        </w:rPr>
      </w:pPr>
      <w:r w:rsidRPr="001378A6">
        <w:rPr>
          <w:rFonts w:eastAsia="Times New Roman"/>
          <w:sz w:val="24"/>
          <w:szCs w:val="24"/>
        </w:rPr>
        <w:t>If a Supplier of Water determines its bin classification under 310 CMR 22.20G(11) using alternative source monitoring results that reflect a different intake location or a different procedure for managing the timing or level of withdrawal from the source, the Supplier of Water shall relocate the intake or permanently adopt the withdrawal procedure, as applicable, no later than the applicable treatment compliance date in</w:t>
      </w:r>
      <w:r w:rsidR="001378A6">
        <w:rPr>
          <w:rFonts w:eastAsia="Times New Roman"/>
          <w:sz w:val="24"/>
          <w:szCs w:val="24"/>
        </w:rPr>
        <w:t xml:space="preserve"> 310 </w:t>
      </w:r>
      <w:r w:rsidRPr="001378A6">
        <w:rPr>
          <w:rFonts w:eastAsia="Times New Roman"/>
          <w:sz w:val="24"/>
          <w:szCs w:val="24"/>
        </w:rPr>
        <w:t>CMR 22.20G(14)(c).</w:t>
      </w:r>
    </w:p>
    <w:p w14:paraId="281A6AE2" w14:textId="77777777" w:rsidR="004647B9" w:rsidRPr="001378A6" w:rsidRDefault="004647B9" w:rsidP="00696F9F">
      <w:pPr>
        <w:rPr>
          <w:rFonts w:eastAsia="Times New Roman"/>
          <w:sz w:val="24"/>
          <w:szCs w:val="24"/>
        </w:rPr>
      </w:pPr>
    </w:p>
    <w:p w14:paraId="281A6AE3" w14:textId="77777777" w:rsidR="004647B9" w:rsidRPr="001378A6" w:rsidRDefault="00E2436F" w:rsidP="00696F9F">
      <w:pPr>
        <w:numPr>
          <w:ilvl w:val="0"/>
          <w:numId w:val="773"/>
        </w:numPr>
        <w:tabs>
          <w:tab w:val="left" w:pos="1760"/>
        </w:tabs>
        <w:ind w:left="1760" w:hanging="580"/>
        <w:rPr>
          <w:rFonts w:eastAsia="Times New Roman"/>
          <w:sz w:val="24"/>
          <w:szCs w:val="24"/>
        </w:rPr>
      </w:pPr>
      <w:r w:rsidRPr="001378A6">
        <w:rPr>
          <w:rFonts w:eastAsia="Times New Roman"/>
          <w:sz w:val="24"/>
          <w:szCs w:val="24"/>
          <w:u w:val="single"/>
        </w:rPr>
        <w:t>Pre-filtration Treatment Toolbox Components</w:t>
      </w:r>
      <w:r w:rsidRPr="001378A6">
        <w:rPr>
          <w:rFonts w:eastAsia="Times New Roman"/>
          <w:sz w:val="24"/>
          <w:szCs w:val="24"/>
        </w:rPr>
        <w:t>.</w:t>
      </w:r>
    </w:p>
    <w:p w14:paraId="281A6AE5" w14:textId="77777777" w:rsidR="004647B9" w:rsidRPr="001378A6" w:rsidRDefault="00E2436F" w:rsidP="00696F9F">
      <w:pPr>
        <w:numPr>
          <w:ilvl w:val="1"/>
          <w:numId w:val="773"/>
        </w:numPr>
        <w:tabs>
          <w:tab w:val="left" w:pos="2106"/>
        </w:tabs>
        <w:ind w:left="1540" w:hanging="5"/>
        <w:jc w:val="both"/>
        <w:rPr>
          <w:rFonts w:eastAsia="Times New Roman"/>
          <w:sz w:val="24"/>
          <w:szCs w:val="24"/>
        </w:rPr>
      </w:pPr>
      <w:r w:rsidRPr="001378A6">
        <w:rPr>
          <w:rFonts w:eastAsia="Times New Roman"/>
          <w:sz w:val="24"/>
          <w:szCs w:val="24"/>
          <w:u w:val="single"/>
        </w:rPr>
        <w:t>Pre-sedimentation</w:t>
      </w:r>
      <w:r w:rsidRPr="001378A6">
        <w:rPr>
          <w:rFonts w:eastAsia="Times New Roman"/>
          <w:sz w:val="24"/>
          <w:szCs w:val="24"/>
        </w:rPr>
        <w:t xml:space="preserve">. A Supplier of Water using Pre-sedimentation, subject to the Department's review and written approval, shall receive a 0.5-log </w:t>
      </w:r>
      <w:r w:rsidRPr="001378A6">
        <w:rPr>
          <w:rFonts w:eastAsia="Times New Roman"/>
          <w:i/>
          <w:iCs/>
          <w:sz w:val="24"/>
          <w:szCs w:val="24"/>
        </w:rPr>
        <w:t>Cryptosporidium</w:t>
      </w:r>
      <w:r w:rsidRPr="001378A6">
        <w:rPr>
          <w:rFonts w:eastAsia="Times New Roman"/>
          <w:sz w:val="24"/>
          <w:szCs w:val="24"/>
        </w:rPr>
        <w:t xml:space="preserve"> treatment credit for any month the Public Water System meets the following criteria:</w:t>
      </w:r>
    </w:p>
    <w:p w14:paraId="281A6AE7" w14:textId="77777777" w:rsidR="004647B9" w:rsidRPr="001378A6" w:rsidRDefault="00E2436F" w:rsidP="00696F9F">
      <w:pPr>
        <w:numPr>
          <w:ilvl w:val="2"/>
          <w:numId w:val="773"/>
        </w:numPr>
        <w:tabs>
          <w:tab w:val="left" w:pos="2207"/>
        </w:tabs>
        <w:ind w:left="1900" w:hanging="5"/>
        <w:jc w:val="both"/>
        <w:rPr>
          <w:rFonts w:eastAsia="Times New Roman"/>
          <w:sz w:val="24"/>
          <w:szCs w:val="24"/>
        </w:rPr>
      </w:pPr>
      <w:r w:rsidRPr="001378A6">
        <w:rPr>
          <w:rFonts w:eastAsia="Times New Roman"/>
          <w:sz w:val="24"/>
          <w:szCs w:val="24"/>
        </w:rPr>
        <w:t>the Pre-sedimentation is in continuous operation and treats the entire plant flow taken from a Surface Water Source or a Groundwater under the Direct Influence of Surface Water source;</w:t>
      </w:r>
    </w:p>
    <w:p w14:paraId="281A6AE8" w14:textId="77777777" w:rsidR="004647B9" w:rsidRDefault="004647B9" w:rsidP="00696F9F">
      <w:pPr>
        <w:sectPr w:rsidR="004647B9" w:rsidSect="00EF630C">
          <w:pgSz w:w="12240" w:h="20180"/>
          <w:pgMar w:top="708" w:right="1440" w:bottom="1440" w:left="620" w:header="0" w:footer="0" w:gutter="0"/>
          <w:cols w:space="720"/>
        </w:sectPr>
      </w:pPr>
    </w:p>
    <w:p w14:paraId="281A6AE9" w14:textId="77777777" w:rsidR="004647B9" w:rsidRDefault="00E2436F">
      <w:pPr>
        <w:tabs>
          <w:tab w:val="left" w:pos="160"/>
        </w:tabs>
        <w:ind w:right="20"/>
        <w:jc w:val="center"/>
        <w:rPr>
          <w:sz w:val="20"/>
          <w:szCs w:val="20"/>
        </w:rPr>
      </w:pPr>
      <w:bookmarkStart w:id="306" w:name="page311"/>
      <w:bookmarkEnd w:id="30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AEA" w14:textId="77777777" w:rsidR="004647B9" w:rsidRDefault="004647B9" w:rsidP="00696F9F">
      <w:pPr>
        <w:rPr>
          <w:sz w:val="20"/>
          <w:szCs w:val="20"/>
        </w:rPr>
      </w:pPr>
    </w:p>
    <w:p w14:paraId="281A6AEB" w14:textId="77777777" w:rsidR="004647B9" w:rsidRDefault="004647B9" w:rsidP="00696F9F">
      <w:pPr>
        <w:rPr>
          <w:sz w:val="20"/>
          <w:szCs w:val="20"/>
        </w:rPr>
      </w:pPr>
    </w:p>
    <w:p w14:paraId="281A6AEC" w14:textId="77777777" w:rsidR="004647B9" w:rsidRPr="001378A6" w:rsidRDefault="00E2436F" w:rsidP="00696F9F">
      <w:pPr>
        <w:tabs>
          <w:tab w:val="left" w:pos="940"/>
        </w:tabs>
        <w:rPr>
          <w:sz w:val="24"/>
          <w:szCs w:val="24"/>
        </w:rPr>
      </w:pPr>
      <w:r w:rsidRPr="001378A6">
        <w:rPr>
          <w:rFonts w:eastAsia="Times New Roman"/>
          <w:sz w:val="24"/>
          <w:szCs w:val="24"/>
        </w:rPr>
        <w:t>22.20G:</w:t>
      </w:r>
      <w:r w:rsidRPr="001378A6">
        <w:rPr>
          <w:rFonts w:eastAsia="Times New Roman"/>
          <w:sz w:val="24"/>
          <w:szCs w:val="24"/>
        </w:rPr>
        <w:tab/>
        <w:t>continued</w:t>
      </w:r>
    </w:p>
    <w:p w14:paraId="281A6AED" w14:textId="77777777" w:rsidR="004647B9" w:rsidRPr="00696F9F" w:rsidRDefault="004647B9" w:rsidP="00696F9F">
      <w:pPr>
        <w:rPr>
          <w:sz w:val="20"/>
          <w:szCs w:val="20"/>
        </w:rPr>
      </w:pPr>
    </w:p>
    <w:p w14:paraId="281A6AEE" w14:textId="77777777" w:rsidR="004647B9" w:rsidRPr="001378A6" w:rsidRDefault="00E2436F" w:rsidP="00696F9F">
      <w:pPr>
        <w:numPr>
          <w:ilvl w:val="1"/>
          <w:numId w:val="774"/>
        </w:numPr>
        <w:tabs>
          <w:tab w:val="left" w:pos="2231"/>
        </w:tabs>
        <w:ind w:left="1900" w:hanging="5"/>
        <w:rPr>
          <w:rFonts w:eastAsia="Times New Roman"/>
          <w:sz w:val="24"/>
          <w:szCs w:val="24"/>
        </w:rPr>
      </w:pPr>
      <w:r w:rsidRPr="001378A6">
        <w:rPr>
          <w:rFonts w:eastAsia="Times New Roman"/>
          <w:sz w:val="24"/>
          <w:szCs w:val="24"/>
        </w:rPr>
        <w:t>the Supplier of Water continuously adds a coagulant to the Pre-sedimentation basin; and</w:t>
      </w:r>
    </w:p>
    <w:p w14:paraId="281A6AF0" w14:textId="77777777" w:rsidR="004647B9" w:rsidRPr="001378A6" w:rsidRDefault="00E2436F" w:rsidP="00696F9F">
      <w:pPr>
        <w:numPr>
          <w:ilvl w:val="1"/>
          <w:numId w:val="774"/>
        </w:numPr>
        <w:tabs>
          <w:tab w:val="left" w:pos="2260"/>
        </w:tabs>
        <w:ind w:left="2260" w:hanging="365"/>
        <w:rPr>
          <w:rFonts w:eastAsia="Times New Roman"/>
          <w:sz w:val="24"/>
          <w:szCs w:val="24"/>
        </w:rPr>
      </w:pPr>
      <w:r w:rsidRPr="001378A6">
        <w:rPr>
          <w:rFonts w:eastAsia="Times New Roman"/>
          <w:sz w:val="24"/>
          <w:szCs w:val="24"/>
        </w:rPr>
        <w:t>the Pre-sedimentation basin achieves the following performance criteria:</w:t>
      </w:r>
    </w:p>
    <w:p w14:paraId="281A6AF2" w14:textId="77777777" w:rsidR="004647B9" w:rsidRPr="001378A6" w:rsidRDefault="00E2436F" w:rsidP="00696F9F">
      <w:pPr>
        <w:numPr>
          <w:ilvl w:val="2"/>
          <w:numId w:val="774"/>
        </w:numPr>
        <w:tabs>
          <w:tab w:val="left" w:pos="2542"/>
        </w:tabs>
        <w:ind w:left="2260" w:hanging="5"/>
        <w:jc w:val="both"/>
        <w:rPr>
          <w:rFonts w:eastAsia="Times New Roman"/>
          <w:sz w:val="24"/>
          <w:szCs w:val="24"/>
        </w:rPr>
      </w:pPr>
      <w:r w:rsidRPr="001378A6">
        <w:rPr>
          <w:rFonts w:eastAsia="Times New Roman"/>
          <w:sz w:val="24"/>
          <w:szCs w:val="24"/>
        </w:rPr>
        <w:t>demonstrates at least 0.5-log mean reduction of influent Turbidity. This reduction must be determined using daily Turbidity measurements in the Pre-sedimentation influent and effluent and must be calculated as follows: log10(monthly mean of daily influent Turbidity) - log10(monthly mean of daily effluent Turbidity); or</w:t>
      </w:r>
    </w:p>
    <w:p w14:paraId="281A6AF4" w14:textId="77777777" w:rsidR="004647B9" w:rsidRPr="001378A6" w:rsidRDefault="00E2436F" w:rsidP="00696F9F">
      <w:pPr>
        <w:numPr>
          <w:ilvl w:val="2"/>
          <w:numId w:val="774"/>
        </w:numPr>
        <w:tabs>
          <w:tab w:val="left" w:pos="2598"/>
        </w:tabs>
        <w:ind w:left="2260" w:hanging="5"/>
        <w:rPr>
          <w:rFonts w:eastAsia="Times New Roman"/>
          <w:sz w:val="24"/>
          <w:szCs w:val="24"/>
        </w:rPr>
      </w:pPr>
      <w:r w:rsidRPr="001378A6">
        <w:rPr>
          <w:rFonts w:eastAsia="Times New Roman"/>
          <w:sz w:val="24"/>
          <w:szCs w:val="24"/>
        </w:rPr>
        <w:t>demonstrates at least 0.5-log mean removal of micron-sized particulate material through the Pre-sedimentation, in accordance with 310 CMR 22.20G(22)b.2.</w:t>
      </w:r>
    </w:p>
    <w:p w14:paraId="281A6AF8" w14:textId="2D16E51D" w:rsidR="004647B9" w:rsidRPr="00B7492E" w:rsidRDefault="00E2436F" w:rsidP="00696F9F">
      <w:pPr>
        <w:numPr>
          <w:ilvl w:val="0"/>
          <w:numId w:val="775"/>
        </w:numPr>
        <w:tabs>
          <w:tab w:val="left" w:pos="2047"/>
        </w:tabs>
        <w:ind w:left="1540" w:hanging="5"/>
        <w:jc w:val="both"/>
        <w:rPr>
          <w:rFonts w:eastAsia="Times New Roman"/>
          <w:sz w:val="24"/>
          <w:szCs w:val="24"/>
        </w:rPr>
      </w:pPr>
      <w:r w:rsidRPr="001378A6">
        <w:rPr>
          <w:rFonts w:eastAsia="Times New Roman"/>
          <w:sz w:val="24"/>
          <w:szCs w:val="24"/>
          <w:u w:val="single"/>
        </w:rPr>
        <w:t>Two-stage Lime Softening</w:t>
      </w:r>
      <w:r w:rsidRPr="001378A6">
        <w:rPr>
          <w:rFonts w:eastAsia="Times New Roman"/>
          <w:sz w:val="24"/>
          <w:szCs w:val="24"/>
        </w:rPr>
        <w:t>. A Supplier of Water using Two-stage Lime Softening, subject to the Department's satisfactory review and written approval, shall receive a 0.5-log</w:t>
      </w:r>
      <w:r w:rsidR="00B7492E">
        <w:rPr>
          <w:rFonts w:eastAsia="Times New Roman"/>
          <w:sz w:val="24"/>
          <w:szCs w:val="24"/>
        </w:rPr>
        <w:t xml:space="preserve"> </w:t>
      </w:r>
      <w:r w:rsidRPr="00B7492E">
        <w:rPr>
          <w:rFonts w:eastAsia="Times New Roman"/>
          <w:i/>
          <w:iCs/>
          <w:sz w:val="24"/>
          <w:szCs w:val="24"/>
        </w:rPr>
        <w:t xml:space="preserve">Cryptosporidium </w:t>
      </w:r>
      <w:r w:rsidRPr="00B7492E">
        <w:rPr>
          <w:rFonts w:eastAsia="Times New Roman"/>
          <w:sz w:val="24"/>
          <w:szCs w:val="24"/>
        </w:rPr>
        <w:t>treatment credit, if chemical addition and hardness precipitation occur in</w:t>
      </w:r>
      <w:r w:rsidRPr="00B7492E">
        <w:rPr>
          <w:rFonts w:eastAsia="Times New Roman"/>
          <w:i/>
          <w:iCs/>
          <w:sz w:val="24"/>
          <w:szCs w:val="24"/>
        </w:rPr>
        <w:t xml:space="preserve"> </w:t>
      </w:r>
      <w:r w:rsidRPr="00B7492E">
        <w:rPr>
          <w:rFonts w:eastAsia="Times New Roman"/>
          <w:sz w:val="24"/>
          <w:szCs w:val="24"/>
        </w:rPr>
        <w:t>two separate and sequential softening stages prior to Filtration, and both softening stages treat the entire plant flow taken from a Surface Water Source or a Groundwater under the Direct Influence of Surface Water Source.</w:t>
      </w:r>
    </w:p>
    <w:p w14:paraId="281A6AFC" w14:textId="33469DB6" w:rsidR="004647B9" w:rsidRPr="008F073D" w:rsidRDefault="00E2436F" w:rsidP="00696F9F">
      <w:pPr>
        <w:numPr>
          <w:ilvl w:val="0"/>
          <w:numId w:val="776"/>
        </w:numPr>
        <w:tabs>
          <w:tab w:val="left" w:pos="1967"/>
        </w:tabs>
        <w:ind w:left="1540" w:hanging="5"/>
        <w:jc w:val="both"/>
        <w:rPr>
          <w:rFonts w:eastAsia="Times New Roman"/>
          <w:sz w:val="24"/>
          <w:szCs w:val="24"/>
        </w:rPr>
      </w:pPr>
      <w:r w:rsidRPr="00B7492E">
        <w:rPr>
          <w:rFonts w:eastAsia="Times New Roman"/>
          <w:sz w:val="24"/>
          <w:szCs w:val="24"/>
          <w:u w:val="single"/>
        </w:rPr>
        <w:t>Bank Filtration</w:t>
      </w:r>
      <w:r w:rsidRPr="00B7492E">
        <w:rPr>
          <w:rFonts w:eastAsia="Times New Roman"/>
          <w:sz w:val="24"/>
          <w:szCs w:val="24"/>
        </w:rPr>
        <w:t xml:space="preserve">. A Supplier of Water using Bank Filtration that serves as pretreatment to a Filtration plant, subject to the Department's satisfactory review and written approval of the Bank Filtration data, shall receive </w:t>
      </w:r>
      <w:r w:rsidRPr="00B7492E">
        <w:rPr>
          <w:rFonts w:eastAsia="Times New Roman"/>
          <w:i/>
          <w:iCs/>
          <w:sz w:val="24"/>
          <w:szCs w:val="24"/>
        </w:rPr>
        <w:t>Cryptosporidium</w:t>
      </w:r>
      <w:r w:rsidRPr="00B7492E">
        <w:rPr>
          <w:rFonts w:eastAsia="Times New Roman"/>
          <w:sz w:val="24"/>
          <w:szCs w:val="24"/>
        </w:rPr>
        <w:t xml:space="preserve"> treatment credit, as set forth in</w:t>
      </w:r>
      <w:r w:rsidR="008F073D">
        <w:rPr>
          <w:rFonts w:eastAsia="Times New Roman"/>
          <w:sz w:val="24"/>
          <w:szCs w:val="24"/>
        </w:rPr>
        <w:t xml:space="preserve"> </w:t>
      </w:r>
      <w:r w:rsidRPr="008F073D">
        <w:rPr>
          <w:rFonts w:eastAsia="Times New Roman"/>
          <w:sz w:val="24"/>
          <w:szCs w:val="24"/>
        </w:rPr>
        <w:t>310 CMR 22.20G(2)(c)1. through 8., by meeting the following criteria:</w:t>
      </w:r>
    </w:p>
    <w:p w14:paraId="281A6AFE" w14:textId="77777777" w:rsidR="004647B9" w:rsidRPr="00B7492E" w:rsidRDefault="00E2436F" w:rsidP="00696F9F">
      <w:pPr>
        <w:numPr>
          <w:ilvl w:val="1"/>
          <w:numId w:val="776"/>
        </w:numPr>
        <w:tabs>
          <w:tab w:val="left" w:pos="2332"/>
        </w:tabs>
        <w:ind w:left="1900" w:hanging="5"/>
        <w:jc w:val="both"/>
        <w:rPr>
          <w:rFonts w:eastAsia="Times New Roman"/>
          <w:sz w:val="24"/>
          <w:szCs w:val="24"/>
        </w:rPr>
      </w:pPr>
      <w:r w:rsidRPr="00B7492E">
        <w:rPr>
          <w:rFonts w:eastAsia="Times New Roman"/>
          <w:sz w:val="24"/>
          <w:szCs w:val="24"/>
        </w:rPr>
        <w:t>Suppliers of Water shall receive either 0.5-log treatment credit for wells with a groundwater flow path of at least 25 feet or a 1.0-log treatment credit for wells with a groundwater flow path of at least 50 feet, whichever is less. The groundwater flow path shall be determined as specified in 310 CMR 22.20G(20)(c)4.;</w:t>
      </w:r>
    </w:p>
    <w:p w14:paraId="281A6AFF" w14:textId="77777777" w:rsidR="004647B9" w:rsidRPr="00B7492E" w:rsidRDefault="00E2436F" w:rsidP="00696F9F">
      <w:pPr>
        <w:numPr>
          <w:ilvl w:val="1"/>
          <w:numId w:val="776"/>
        </w:numPr>
        <w:tabs>
          <w:tab w:val="left" w:pos="2267"/>
        </w:tabs>
        <w:ind w:left="1900" w:hanging="5"/>
        <w:jc w:val="both"/>
        <w:rPr>
          <w:rFonts w:eastAsia="Times New Roman"/>
          <w:sz w:val="24"/>
          <w:szCs w:val="24"/>
        </w:rPr>
      </w:pPr>
      <w:r w:rsidRPr="00B7492E">
        <w:rPr>
          <w:rFonts w:eastAsia="Times New Roman"/>
          <w:sz w:val="24"/>
          <w:szCs w:val="24"/>
        </w:rPr>
        <w:t>the wells must be located in granular aquifers. Granular aquifers are comprised of sand, clay, silt, rock fragments, pebbles or larger particles, and minor cement. A Supplier of Water must characterize the aquifer at the well site to determine aquifer properties. A Supplier of Water must extract a core from the aquifer and demonstrate that in at least 90% of the core length, grains less than 1.0 mm in diameter constitute at least 10% of the core material;</w:t>
      </w:r>
    </w:p>
    <w:p w14:paraId="281A6B01" w14:textId="77777777" w:rsidR="004647B9" w:rsidRPr="00B7492E" w:rsidRDefault="00E2436F" w:rsidP="00696F9F">
      <w:pPr>
        <w:numPr>
          <w:ilvl w:val="1"/>
          <w:numId w:val="776"/>
        </w:numPr>
        <w:tabs>
          <w:tab w:val="left" w:pos="2260"/>
        </w:tabs>
        <w:ind w:left="2260" w:hanging="365"/>
        <w:rPr>
          <w:rFonts w:eastAsia="Times New Roman"/>
          <w:sz w:val="24"/>
          <w:szCs w:val="24"/>
        </w:rPr>
      </w:pPr>
      <w:r w:rsidRPr="00B7492E">
        <w:rPr>
          <w:rFonts w:eastAsia="Times New Roman"/>
          <w:sz w:val="24"/>
          <w:szCs w:val="24"/>
        </w:rPr>
        <w:t>the wells must be horizontal or vertical;</w:t>
      </w:r>
    </w:p>
    <w:p w14:paraId="281A6B03" w14:textId="77777777" w:rsidR="004647B9" w:rsidRPr="00B7492E" w:rsidRDefault="00E2436F" w:rsidP="00696F9F">
      <w:pPr>
        <w:numPr>
          <w:ilvl w:val="1"/>
          <w:numId w:val="776"/>
        </w:numPr>
        <w:tabs>
          <w:tab w:val="left" w:pos="2238"/>
        </w:tabs>
        <w:ind w:left="1900" w:hanging="5"/>
        <w:jc w:val="both"/>
        <w:rPr>
          <w:rFonts w:eastAsia="Times New Roman"/>
          <w:sz w:val="24"/>
          <w:szCs w:val="24"/>
        </w:rPr>
      </w:pPr>
      <w:r w:rsidRPr="00B7492E">
        <w:rPr>
          <w:rFonts w:eastAsia="Times New Roman"/>
          <w:sz w:val="24"/>
          <w:szCs w:val="24"/>
        </w:rPr>
        <w:t>for vertical wells, the groundwater flow path is the measured distance from the edge of the Surface Water body under high flow conditions (determined by the 100 year floodplain elevation boundary or by the floodway, as defined in Federal Emergency Management Agency flood hazard maps effective as of March 31, 2016) to the well screen. For horizontal wells, the groundwater flow path is the measured distance from the bed of the river under normal flow conditions to the closest horizontal well lateral screen;</w:t>
      </w:r>
    </w:p>
    <w:p w14:paraId="281A6B05" w14:textId="77777777" w:rsidR="004647B9" w:rsidRPr="00B7492E" w:rsidRDefault="00E2436F" w:rsidP="00696F9F">
      <w:pPr>
        <w:numPr>
          <w:ilvl w:val="1"/>
          <w:numId w:val="776"/>
        </w:numPr>
        <w:tabs>
          <w:tab w:val="left" w:pos="2253"/>
        </w:tabs>
        <w:ind w:left="1900" w:hanging="5"/>
        <w:rPr>
          <w:rFonts w:eastAsia="Times New Roman"/>
          <w:sz w:val="24"/>
          <w:szCs w:val="24"/>
        </w:rPr>
      </w:pPr>
      <w:r w:rsidRPr="00B7492E">
        <w:rPr>
          <w:rFonts w:eastAsia="Times New Roman"/>
          <w:sz w:val="24"/>
          <w:szCs w:val="24"/>
        </w:rPr>
        <w:t>each wellhead must be monitored for Turbidity at least once every four hours while the Bank Filtration is in operation and shall be subject to the following requirements:</w:t>
      </w:r>
    </w:p>
    <w:p w14:paraId="281A6B07" w14:textId="77777777" w:rsidR="004647B9" w:rsidRPr="00B7492E" w:rsidRDefault="00E2436F" w:rsidP="00696F9F">
      <w:pPr>
        <w:numPr>
          <w:ilvl w:val="2"/>
          <w:numId w:val="776"/>
        </w:numPr>
        <w:tabs>
          <w:tab w:val="left" w:pos="2556"/>
        </w:tabs>
        <w:ind w:left="2260" w:hanging="5"/>
        <w:jc w:val="both"/>
        <w:rPr>
          <w:rFonts w:eastAsia="Times New Roman"/>
          <w:sz w:val="24"/>
          <w:szCs w:val="24"/>
        </w:rPr>
      </w:pPr>
      <w:r w:rsidRPr="00B7492E">
        <w:rPr>
          <w:rFonts w:eastAsia="Times New Roman"/>
          <w:sz w:val="24"/>
          <w:szCs w:val="24"/>
        </w:rPr>
        <w:t>if monthly average Turbidity levels, based on daily maximum values in any of the wells being monitored, exceed one NTU, the Supplier of Water shall report this result to the Department and conduct an assessment within 30 days to determine the cause of the high Turbidity levels in the well; and</w:t>
      </w:r>
    </w:p>
    <w:p w14:paraId="281A6B08" w14:textId="77777777" w:rsidR="004647B9" w:rsidRPr="00B7492E" w:rsidRDefault="00E2436F" w:rsidP="00696F9F">
      <w:pPr>
        <w:numPr>
          <w:ilvl w:val="2"/>
          <w:numId w:val="776"/>
        </w:numPr>
        <w:tabs>
          <w:tab w:val="left" w:pos="2704"/>
        </w:tabs>
        <w:ind w:left="2260" w:hanging="5"/>
        <w:jc w:val="both"/>
        <w:rPr>
          <w:rFonts w:eastAsia="Times New Roman"/>
          <w:sz w:val="24"/>
          <w:szCs w:val="24"/>
        </w:rPr>
      </w:pPr>
      <w:r w:rsidRPr="00B7492E">
        <w:rPr>
          <w:rFonts w:eastAsia="Times New Roman"/>
          <w:sz w:val="24"/>
          <w:szCs w:val="24"/>
        </w:rPr>
        <w:t>the Supplier of Water's treatment credit shall be subject to revocation if the Department determines that microbial removal has been compromised, until such time as the Supplier of Water implements corrective actions, as approved by the Department, to remediate the problem;</w:t>
      </w:r>
    </w:p>
    <w:p w14:paraId="281A6B09" w14:textId="77777777" w:rsidR="004647B9" w:rsidRPr="00B7492E" w:rsidRDefault="00E2436F" w:rsidP="00696F9F">
      <w:pPr>
        <w:numPr>
          <w:ilvl w:val="1"/>
          <w:numId w:val="776"/>
        </w:numPr>
        <w:tabs>
          <w:tab w:val="left" w:pos="2260"/>
        </w:tabs>
        <w:ind w:left="2260" w:hanging="365"/>
        <w:rPr>
          <w:rFonts w:eastAsia="Times New Roman"/>
          <w:sz w:val="24"/>
          <w:szCs w:val="24"/>
        </w:rPr>
      </w:pPr>
      <w:r w:rsidRPr="00B7492E">
        <w:rPr>
          <w:rFonts w:eastAsia="Times New Roman"/>
          <w:sz w:val="24"/>
          <w:szCs w:val="24"/>
          <w:u w:val="single"/>
        </w:rPr>
        <w:t>Springs and Infiltration Galleries</w:t>
      </w:r>
      <w:r w:rsidRPr="00B7492E">
        <w:rPr>
          <w:rFonts w:eastAsia="Times New Roman"/>
          <w:sz w:val="24"/>
          <w:szCs w:val="24"/>
        </w:rPr>
        <w:t>.</w:t>
      </w:r>
    </w:p>
    <w:p w14:paraId="281A6B0B" w14:textId="77777777" w:rsidR="004647B9" w:rsidRPr="00B7492E" w:rsidRDefault="00E2436F" w:rsidP="00696F9F">
      <w:pPr>
        <w:numPr>
          <w:ilvl w:val="2"/>
          <w:numId w:val="776"/>
        </w:numPr>
        <w:tabs>
          <w:tab w:val="left" w:pos="2723"/>
        </w:tabs>
        <w:ind w:left="2260" w:hanging="5"/>
        <w:rPr>
          <w:rFonts w:eastAsia="Times New Roman"/>
          <w:sz w:val="24"/>
          <w:szCs w:val="24"/>
        </w:rPr>
      </w:pPr>
      <w:r w:rsidRPr="00B7492E">
        <w:rPr>
          <w:rFonts w:eastAsia="Times New Roman"/>
          <w:sz w:val="24"/>
          <w:szCs w:val="24"/>
        </w:rPr>
        <w:t>Springs and infiltration galleries shall not be eligible for a Bank Filtration treatment credit;</w:t>
      </w:r>
    </w:p>
    <w:p w14:paraId="281A6B0E" w14:textId="035D90B7" w:rsidR="004647B9" w:rsidRPr="00B7492E" w:rsidRDefault="00E2436F" w:rsidP="00696F9F">
      <w:pPr>
        <w:numPr>
          <w:ilvl w:val="2"/>
          <w:numId w:val="776"/>
        </w:numPr>
        <w:tabs>
          <w:tab w:val="left" w:pos="2580"/>
        </w:tabs>
        <w:ind w:left="2261"/>
        <w:rPr>
          <w:rFonts w:eastAsia="Times New Roman"/>
          <w:sz w:val="24"/>
          <w:szCs w:val="24"/>
        </w:rPr>
      </w:pPr>
      <w:r w:rsidRPr="00B7492E">
        <w:rPr>
          <w:rFonts w:eastAsia="Times New Roman"/>
          <w:sz w:val="24"/>
          <w:szCs w:val="24"/>
        </w:rPr>
        <w:t>Springs and infiltration galleries shall be eligible for credit pursuant to 310 CMR</w:t>
      </w:r>
      <w:r w:rsidR="00B7492E">
        <w:rPr>
          <w:rFonts w:eastAsia="Times New Roman"/>
          <w:sz w:val="24"/>
          <w:szCs w:val="24"/>
        </w:rPr>
        <w:t xml:space="preserve"> </w:t>
      </w:r>
      <w:r w:rsidRPr="00B7492E">
        <w:rPr>
          <w:rFonts w:eastAsia="Times New Roman"/>
          <w:sz w:val="24"/>
          <w:szCs w:val="24"/>
        </w:rPr>
        <w:t>22.20G(21)(c);</w:t>
      </w:r>
    </w:p>
    <w:p w14:paraId="281A6B10" w14:textId="77777777" w:rsidR="004647B9" w:rsidRDefault="00E2436F" w:rsidP="00696F9F">
      <w:pPr>
        <w:numPr>
          <w:ilvl w:val="1"/>
          <w:numId w:val="776"/>
        </w:numPr>
        <w:tabs>
          <w:tab w:val="left" w:pos="2238"/>
        </w:tabs>
        <w:ind w:left="1900" w:hanging="5"/>
        <w:jc w:val="both"/>
        <w:rPr>
          <w:rFonts w:eastAsia="Times New Roman"/>
          <w:sz w:val="24"/>
          <w:szCs w:val="24"/>
        </w:rPr>
      </w:pPr>
      <w:r>
        <w:rPr>
          <w:rFonts w:eastAsia="Times New Roman"/>
          <w:sz w:val="24"/>
          <w:szCs w:val="24"/>
          <w:u w:val="single"/>
        </w:rPr>
        <w:t>Bank Filtration Demonstration of Performance</w:t>
      </w:r>
      <w:r>
        <w:rPr>
          <w:rFonts w:eastAsia="Times New Roman"/>
          <w:sz w:val="24"/>
          <w:szCs w:val="24"/>
        </w:rPr>
        <w:t xml:space="preserve">. A Supplier of Water, subject to the Department's review and written approval, shall receive </w:t>
      </w:r>
      <w:r>
        <w:rPr>
          <w:rFonts w:eastAsia="Times New Roman"/>
          <w:i/>
          <w:iCs/>
          <w:sz w:val="24"/>
          <w:szCs w:val="24"/>
        </w:rPr>
        <w:t>Cryptosporidium</w:t>
      </w:r>
      <w:r>
        <w:rPr>
          <w:rFonts w:eastAsia="Times New Roman"/>
          <w:sz w:val="24"/>
          <w:szCs w:val="24"/>
        </w:rPr>
        <w:t xml:space="preserve"> treatment credit for Bank Filtration based on submittal of a demonstration of performance study meeting the following criteria:</w:t>
      </w:r>
    </w:p>
    <w:p w14:paraId="281A6B11" w14:textId="77777777" w:rsidR="004647B9" w:rsidRDefault="004647B9" w:rsidP="00696F9F">
      <w:pPr>
        <w:sectPr w:rsidR="004647B9" w:rsidSect="00EF630C">
          <w:pgSz w:w="12240" w:h="20180"/>
          <w:pgMar w:top="708" w:right="1440" w:bottom="1440" w:left="620" w:header="0" w:footer="0" w:gutter="0"/>
          <w:cols w:space="720"/>
        </w:sectPr>
      </w:pPr>
    </w:p>
    <w:p w14:paraId="281A6B12" w14:textId="77777777" w:rsidR="004647B9" w:rsidRDefault="00E2436F">
      <w:pPr>
        <w:tabs>
          <w:tab w:val="left" w:pos="160"/>
        </w:tabs>
        <w:ind w:right="20"/>
        <w:jc w:val="center"/>
        <w:rPr>
          <w:sz w:val="20"/>
          <w:szCs w:val="20"/>
        </w:rPr>
      </w:pPr>
      <w:bookmarkStart w:id="307" w:name="page312"/>
      <w:bookmarkEnd w:id="30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B13" w14:textId="77777777" w:rsidR="004647B9" w:rsidRDefault="004647B9" w:rsidP="00696F9F">
      <w:pPr>
        <w:rPr>
          <w:sz w:val="20"/>
          <w:szCs w:val="20"/>
        </w:rPr>
      </w:pPr>
    </w:p>
    <w:p w14:paraId="281A6B14" w14:textId="77777777" w:rsidR="004647B9" w:rsidRDefault="004647B9" w:rsidP="00696F9F">
      <w:pPr>
        <w:rPr>
          <w:sz w:val="20"/>
          <w:szCs w:val="20"/>
        </w:rPr>
      </w:pPr>
    </w:p>
    <w:p w14:paraId="281A6B15" w14:textId="77777777" w:rsidR="004647B9" w:rsidRPr="00B7492E" w:rsidRDefault="00E2436F" w:rsidP="00696F9F">
      <w:pPr>
        <w:tabs>
          <w:tab w:val="left" w:pos="940"/>
        </w:tabs>
        <w:rPr>
          <w:sz w:val="24"/>
          <w:szCs w:val="24"/>
        </w:rPr>
      </w:pPr>
      <w:r w:rsidRPr="00B7492E">
        <w:rPr>
          <w:rFonts w:eastAsia="Times New Roman"/>
          <w:sz w:val="24"/>
          <w:szCs w:val="24"/>
        </w:rPr>
        <w:t>22.20G:</w:t>
      </w:r>
      <w:r w:rsidRPr="00B7492E">
        <w:rPr>
          <w:rFonts w:eastAsia="Times New Roman"/>
          <w:sz w:val="24"/>
          <w:szCs w:val="24"/>
        </w:rPr>
        <w:tab/>
        <w:t>continued</w:t>
      </w:r>
    </w:p>
    <w:p w14:paraId="281A6B16" w14:textId="77777777" w:rsidR="004647B9" w:rsidRPr="00696F9F" w:rsidRDefault="004647B9" w:rsidP="00696F9F">
      <w:pPr>
        <w:rPr>
          <w:sz w:val="20"/>
          <w:szCs w:val="20"/>
        </w:rPr>
      </w:pPr>
    </w:p>
    <w:p w14:paraId="281A6B19" w14:textId="6E061753" w:rsidR="004647B9" w:rsidRPr="00B7492E" w:rsidRDefault="00E2436F" w:rsidP="00696F9F">
      <w:pPr>
        <w:numPr>
          <w:ilvl w:val="0"/>
          <w:numId w:val="777"/>
        </w:numPr>
        <w:tabs>
          <w:tab w:val="left" w:pos="2657"/>
        </w:tabs>
        <w:ind w:left="2260" w:hanging="5"/>
        <w:jc w:val="both"/>
        <w:rPr>
          <w:rFonts w:eastAsia="Times New Roman"/>
          <w:sz w:val="24"/>
          <w:szCs w:val="24"/>
        </w:rPr>
      </w:pPr>
      <w:r w:rsidRPr="00B7492E">
        <w:rPr>
          <w:rFonts w:eastAsia="Times New Roman"/>
          <w:sz w:val="24"/>
          <w:szCs w:val="24"/>
        </w:rPr>
        <w:t xml:space="preserve">the study must follow a Department-approved protocol and must involve the collection of data on the removal of </w:t>
      </w:r>
      <w:r w:rsidRPr="00B7492E">
        <w:rPr>
          <w:rFonts w:eastAsia="Times New Roman"/>
          <w:i/>
          <w:iCs/>
          <w:sz w:val="24"/>
          <w:szCs w:val="24"/>
        </w:rPr>
        <w:t>Cryptosporidium</w:t>
      </w:r>
      <w:r w:rsidRPr="00B7492E">
        <w:rPr>
          <w:rFonts w:eastAsia="Times New Roman"/>
          <w:sz w:val="24"/>
          <w:szCs w:val="24"/>
        </w:rPr>
        <w:t xml:space="preserve"> or a surrogate for</w:t>
      </w:r>
      <w:r w:rsidR="00B7492E">
        <w:rPr>
          <w:rFonts w:eastAsia="Times New Roman"/>
          <w:sz w:val="24"/>
          <w:szCs w:val="24"/>
        </w:rPr>
        <w:t xml:space="preserve"> </w:t>
      </w:r>
      <w:r w:rsidRPr="00B7492E">
        <w:rPr>
          <w:rFonts w:eastAsia="Times New Roman"/>
          <w:i/>
          <w:iCs/>
          <w:sz w:val="24"/>
          <w:szCs w:val="24"/>
        </w:rPr>
        <w:t xml:space="preserve">Cryptosporidium </w:t>
      </w:r>
      <w:r w:rsidRPr="00B7492E">
        <w:rPr>
          <w:rFonts w:eastAsia="Times New Roman"/>
          <w:sz w:val="24"/>
          <w:szCs w:val="24"/>
        </w:rPr>
        <w:t>and related hydrogeologic and water quality parameters during the</w:t>
      </w:r>
      <w:r w:rsidRPr="00B7492E">
        <w:rPr>
          <w:rFonts w:eastAsia="Times New Roman"/>
          <w:i/>
          <w:iCs/>
          <w:sz w:val="24"/>
          <w:szCs w:val="24"/>
        </w:rPr>
        <w:t xml:space="preserve"> </w:t>
      </w:r>
      <w:r w:rsidRPr="00B7492E">
        <w:rPr>
          <w:rFonts w:eastAsia="Times New Roman"/>
          <w:sz w:val="24"/>
          <w:szCs w:val="24"/>
        </w:rPr>
        <w:t>full range of operating conditions; and</w:t>
      </w:r>
    </w:p>
    <w:p w14:paraId="281A6B1A" w14:textId="77777777" w:rsidR="004647B9" w:rsidRPr="00B7492E" w:rsidRDefault="00E2436F" w:rsidP="00696F9F">
      <w:pPr>
        <w:numPr>
          <w:ilvl w:val="0"/>
          <w:numId w:val="778"/>
        </w:numPr>
        <w:tabs>
          <w:tab w:val="left" w:pos="2692"/>
        </w:tabs>
        <w:ind w:left="2260" w:hanging="5"/>
        <w:jc w:val="both"/>
        <w:rPr>
          <w:rFonts w:eastAsia="Times New Roman"/>
          <w:sz w:val="24"/>
          <w:szCs w:val="24"/>
        </w:rPr>
      </w:pPr>
      <w:r w:rsidRPr="00B7492E">
        <w:rPr>
          <w:rFonts w:eastAsia="Times New Roman"/>
          <w:sz w:val="24"/>
          <w:szCs w:val="24"/>
        </w:rPr>
        <w:t>the study must include sampling both from the production well(s) and from monitoring wells that are screened and located along the shortest flow path between the Surface Water Source and the production well(s).</w:t>
      </w:r>
    </w:p>
    <w:p w14:paraId="281A6B1E" w14:textId="0C2D4177" w:rsidR="004647B9" w:rsidRPr="00B7492E" w:rsidRDefault="00E2436F" w:rsidP="00696F9F">
      <w:pPr>
        <w:ind w:left="1890" w:firstLine="360"/>
        <w:rPr>
          <w:rFonts w:eastAsia="Times New Roman"/>
          <w:sz w:val="24"/>
          <w:szCs w:val="24"/>
        </w:rPr>
      </w:pPr>
      <w:r w:rsidRPr="00B7492E">
        <w:rPr>
          <w:rFonts w:eastAsia="Times New Roman"/>
          <w:sz w:val="24"/>
          <w:szCs w:val="24"/>
        </w:rPr>
        <w:t>Treatment credit based on a performance study may be greater than 1.0-log and may</w:t>
      </w:r>
      <w:r w:rsidR="00B7492E">
        <w:rPr>
          <w:rFonts w:eastAsia="Times New Roman"/>
          <w:sz w:val="24"/>
          <w:szCs w:val="24"/>
        </w:rPr>
        <w:t xml:space="preserve"> </w:t>
      </w:r>
      <w:r w:rsidRPr="00B7492E">
        <w:rPr>
          <w:rFonts w:eastAsia="Times New Roman"/>
          <w:sz w:val="24"/>
          <w:szCs w:val="24"/>
        </w:rPr>
        <w:t>be awarded for Bank Filtration that does not meet the criteria in 310 CMR 22.20G(20)(c)1. through 5.; and</w:t>
      </w:r>
    </w:p>
    <w:p w14:paraId="281A6B1F" w14:textId="77777777" w:rsidR="004647B9" w:rsidRPr="00B7492E" w:rsidRDefault="00E2436F" w:rsidP="00696F9F">
      <w:pPr>
        <w:numPr>
          <w:ilvl w:val="2"/>
          <w:numId w:val="779"/>
        </w:numPr>
        <w:tabs>
          <w:tab w:val="left" w:pos="2253"/>
        </w:tabs>
        <w:ind w:left="1900" w:hanging="5"/>
        <w:jc w:val="both"/>
        <w:rPr>
          <w:rFonts w:eastAsia="Times New Roman"/>
          <w:sz w:val="24"/>
          <w:szCs w:val="24"/>
        </w:rPr>
      </w:pPr>
      <w:r w:rsidRPr="00B7492E">
        <w:rPr>
          <w:rFonts w:eastAsia="Times New Roman"/>
          <w:sz w:val="24"/>
          <w:szCs w:val="24"/>
        </w:rPr>
        <w:t>Suppliers of Water using Bank Filtration when they begin source water monitoring under 310 CMR 22.20G(2)(a) shall collect samples as described in 310 CMR</w:t>
      </w:r>
    </w:p>
    <w:p w14:paraId="281A6B21" w14:textId="77777777" w:rsidR="004647B9" w:rsidRPr="00B7492E" w:rsidRDefault="00E2436F" w:rsidP="00696F9F">
      <w:pPr>
        <w:numPr>
          <w:ilvl w:val="2"/>
          <w:numId w:val="780"/>
        </w:numPr>
        <w:tabs>
          <w:tab w:val="left" w:pos="2200"/>
        </w:tabs>
        <w:ind w:left="2200" w:hanging="305"/>
        <w:rPr>
          <w:rFonts w:eastAsia="Times New Roman"/>
          <w:sz w:val="24"/>
          <w:szCs w:val="24"/>
        </w:rPr>
      </w:pPr>
      <w:r w:rsidRPr="00B7492E">
        <w:rPr>
          <w:rFonts w:eastAsia="Times New Roman"/>
          <w:sz w:val="24"/>
          <w:szCs w:val="24"/>
        </w:rPr>
        <w:t>20G(4)(d), but shall not be eligible for this credit.</w:t>
      </w:r>
    </w:p>
    <w:p w14:paraId="281A6B22" w14:textId="77777777" w:rsidR="004647B9" w:rsidRPr="00B7492E" w:rsidRDefault="004647B9" w:rsidP="00696F9F">
      <w:pPr>
        <w:rPr>
          <w:rFonts w:eastAsia="Times New Roman"/>
          <w:sz w:val="24"/>
          <w:szCs w:val="24"/>
        </w:rPr>
      </w:pPr>
    </w:p>
    <w:p w14:paraId="281A6B23" w14:textId="77777777" w:rsidR="004647B9" w:rsidRPr="00F54247" w:rsidRDefault="00E2436F" w:rsidP="00696F9F">
      <w:pPr>
        <w:numPr>
          <w:ilvl w:val="0"/>
          <w:numId w:val="781"/>
        </w:numPr>
        <w:tabs>
          <w:tab w:val="left" w:pos="1760"/>
        </w:tabs>
        <w:ind w:left="1760" w:hanging="580"/>
        <w:rPr>
          <w:rFonts w:eastAsia="Times New Roman"/>
          <w:sz w:val="24"/>
          <w:szCs w:val="24"/>
        </w:rPr>
      </w:pPr>
      <w:r w:rsidRPr="00F54247">
        <w:rPr>
          <w:rFonts w:eastAsia="Times New Roman"/>
          <w:sz w:val="24"/>
          <w:szCs w:val="24"/>
          <w:u w:val="single"/>
        </w:rPr>
        <w:t>Treatment Performance Toolbox Components</w:t>
      </w:r>
      <w:r w:rsidRPr="00F54247">
        <w:rPr>
          <w:rFonts w:eastAsia="Times New Roman"/>
          <w:sz w:val="24"/>
          <w:szCs w:val="24"/>
        </w:rPr>
        <w:t>.</w:t>
      </w:r>
    </w:p>
    <w:p w14:paraId="281A6B25" w14:textId="77777777" w:rsidR="004647B9" w:rsidRPr="00F54247" w:rsidRDefault="00E2436F" w:rsidP="00696F9F">
      <w:pPr>
        <w:numPr>
          <w:ilvl w:val="1"/>
          <w:numId w:val="781"/>
        </w:numPr>
        <w:tabs>
          <w:tab w:val="left" w:pos="2056"/>
        </w:tabs>
        <w:ind w:left="1540" w:hanging="5"/>
        <w:jc w:val="both"/>
        <w:rPr>
          <w:rFonts w:eastAsia="Times New Roman"/>
          <w:sz w:val="24"/>
          <w:szCs w:val="24"/>
        </w:rPr>
      </w:pPr>
      <w:r w:rsidRPr="00F54247">
        <w:rPr>
          <w:rFonts w:eastAsia="Times New Roman"/>
          <w:sz w:val="24"/>
          <w:szCs w:val="24"/>
          <w:u w:val="single"/>
        </w:rPr>
        <w:t>Combined Filter Performance</w:t>
      </w:r>
      <w:r w:rsidRPr="00F54247">
        <w:rPr>
          <w:rFonts w:eastAsia="Times New Roman"/>
          <w:sz w:val="24"/>
          <w:szCs w:val="24"/>
        </w:rPr>
        <w:t xml:space="preserve">. A Supplier of Water using Conventional Filtration Treatment or Direct Filtration, subject to the Department's review and written approval, shall receive a 0.5 log </w:t>
      </w:r>
      <w:r w:rsidRPr="00F54247">
        <w:rPr>
          <w:rFonts w:eastAsia="Times New Roman"/>
          <w:i/>
          <w:iCs/>
          <w:sz w:val="24"/>
          <w:szCs w:val="24"/>
        </w:rPr>
        <w:t>Cryptosporidium</w:t>
      </w:r>
      <w:r w:rsidRPr="00F54247">
        <w:rPr>
          <w:rFonts w:eastAsia="Times New Roman"/>
          <w:sz w:val="24"/>
          <w:szCs w:val="24"/>
        </w:rPr>
        <w:t xml:space="preserve"> treatment credit during any month the combined filter effluent (CFE) Turbidity is less than or equal to 0.15 NTU in at least 95% of the measurements. Turbidity must be measured as described in 310 CMR 22.20A(5)(a) and (c). Such credit shall be in addition to any other </w:t>
      </w:r>
      <w:r w:rsidRPr="00F54247">
        <w:rPr>
          <w:rFonts w:eastAsia="Times New Roman"/>
          <w:i/>
          <w:iCs/>
          <w:sz w:val="24"/>
          <w:szCs w:val="24"/>
        </w:rPr>
        <w:t>Cryptosporidium</w:t>
      </w:r>
      <w:r w:rsidRPr="00F54247">
        <w:rPr>
          <w:rFonts w:eastAsia="Times New Roman"/>
          <w:sz w:val="24"/>
          <w:szCs w:val="24"/>
        </w:rPr>
        <w:t xml:space="preserve"> treatment credit granted to the Public Water System pursuant to 310 CMR 22.20G.</w:t>
      </w:r>
    </w:p>
    <w:p w14:paraId="281A6B26" w14:textId="77777777" w:rsidR="004647B9" w:rsidRPr="00F54247" w:rsidRDefault="00E2436F" w:rsidP="00696F9F">
      <w:pPr>
        <w:numPr>
          <w:ilvl w:val="1"/>
          <w:numId w:val="781"/>
        </w:numPr>
        <w:tabs>
          <w:tab w:val="left" w:pos="2000"/>
        </w:tabs>
        <w:ind w:left="2000" w:hanging="465"/>
        <w:rPr>
          <w:rFonts w:eastAsia="Times New Roman"/>
          <w:sz w:val="24"/>
          <w:szCs w:val="24"/>
        </w:rPr>
      </w:pPr>
      <w:r w:rsidRPr="00F54247">
        <w:rPr>
          <w:rFonts w:eastAsia="Times New Roman"/>
          <w:sz w:val="24"/>
          <w:szCs w:val="24"/>
          <w:u w:val="single"/>
        </w:rPr>
        <w:t>Individual Filter Performance</w:t>
      </w:r>
      <w:r w:rsidRPr="00F54247">
        <w:rPr>
          <w:rFonts w:eastAsia="Times New Roman"/>
          <w:sz w:val="24"/>
          <w:szCs w:val="24"/>
        </w:rPr>
        <w:t>.</w:t>
      </w:r>
    </w:p>
    <w:p w14:paraId="281A6B2A" w14:textId="06D91CFE" w:rsidR="004647B9" w:rsidRPr="00F54247" w:rsidRDefault="00E2436F" w:rsidP="00696F9F">
      <w:pPr>
        <w:numPr>
          <w:ilvl w:val="2"/>
          <w:numId w:val="781"/>
        </w:numPr>
        <w:tabs>
          <w:tab w:val="left" w:pos="2325"/>
        </w:tabs>
        <w:ind w:left="1900" w:hanging="5"/>
        <w:jc w:val="both"/>
        <w:rPr>
          <w:rFonts w:eastAsia="Times New Roman"/>
          <w:sz w:val="24"/>
          <w:szCs w:val="24"/>
        </w:rPr>
      </w:pPr>
      <w:r w:rsidRPr="00F54247">
        <w:rPr>
          <w:rFonts w:eastAsia="Times New Roman"/>
          <w:sz w:val="24"/>
          <w:szCs w:val="24"/>
        </w:rPr>
        <w:t>A Supplier of Water using conventional Filtration treatment or Direct Filtration treatment, subject to the Department's review and written approval, shall receive 0.5-log</w:t>
      </w:r>
      <w:r w:rsidR="00F54247">
        <w:rPr>
          <w:rFonts w:eastAsia="Times New Roman"/>
          <w:sz w:val="24"/>
          <w:szCs w:val="24"/>
        </w:rPr>
        <w:t xml:space="preserve"> </w:t>
      </w:r>
      <w:r w:rsidRPr="00F54247">
        <w:rPr>
          <w:rFonts w:eastAsia="Times New Roman"/>
          <w:i/>
          <w:iCs/>
          <w:sz w:val="24"/>
          <w:szCs w:val="24"/>
        </w:rPr>
        <w:t xml:space="preserve">Cryptosporidium </w:t>
      </w:r>
      <w:r w:rsidRPr="00F54247">
        <w:rPr>
          <w:rFonts w:eastAsia="Times New Roman"/>
          <w:sz w:val="24"/>
          <w:szCs w:val="24"/>
        </w:rPr>
        <w:t>treatment credit during any month the Public Water System meets the</w:t>
      </w:r>
      <w:r w:rsidRPr="00F54247">
        <w:rPr>
          <w:rFonts w:eastAsia="Times New Roman"/>
          <w:i/>
          <w:iCs/>
          <w:sz w:val="24"/>
          <w:szCs w:val="24"/>
        </w:rPr>
        <w:t xml:space="preserve"> </w:t>
      </w:r>
      <w:r w:rsidRPr="00F54247">
        <w:rPr>
          <w:rFonts w:eastAsia="Times New Roman"/>
          <w:sz w:val="24"/>
          <w:szCs w:val="24"/>
        </w:rPr>
        <w:t>following criteria:</w:t>
      </w:r>
    </w:p>
    <w:p w14:paraId="281A6B2B" w14:textId="77777777" w:rsidR="004647B9" w:rsidRPr="00F54247" w:rsidRDefault="00E2436F" w:rsidP="00696F9F">
      <w:pPr>
        <w:numPr>
          <w:ilvl w:val="2"/>
          <w:numId w:val="782"/>
        </w:numPr>
        <w:tabs>
          <w:tab w:val="left" w:pos="2614"/>
        </w:tabs>
        <w:ind w:left="2260" w:hanging="5"/>
        <w:rPr>
          <w:rFonts w:eastAsia="Times New Roman"/>
          <w:sz w:val="24"/>
          <w:szCs w:val="24"/>
        </w:rPr>
      </w:pPr>
      <w:r w:rsidRPr="00F54247">
        <w:rPr>
          <w:rFonts w:eastAsia="Times New Roman"/>
          <w:sz w:val="24"/>
          <w:szCs w:val="24"/>
        </w:rPr>
        <w:t>the filtered water Turbidity for each individual filter must be less than or equal to 0.15 NTU in at least 95% of the measurements recorded each month; and</w:t>
      </w:r>
    </w:p>
    <w:p w14:paraId="281A6B2C" w14:textId="77777777" w:rsidR="004647B9" w:rsidRPr="00F54247" w:rsidRDefault="00E2436F" w:rsidP="00696F9F">
      <w:pPr>
        <w:numPr>
          <w:ilvl w:val="2"/>
          <w:numId w:val="782"/>
        </w:numPr>
        <w:tabs>
          <w:tab w:val="left" w:pos="2721"/>
        </w:tabs>
        <w:ind w:left="2260" w:hanging="5"/>
        <w:rPr>
          <w:rFonts w:eastAsia="Times New Roman"/>
          <w:sz w:val="24"/>
          <w:szCs w:val="24"/>
        </w:rPr>
      </w:pPr>
      <w:r w:rsidRPr="00F54247">
        <w:rPr>
          <w:rFonts w:eastAsia="Times New Roman"/>
          <w:sz w:val="24"/>
          <w:szCs w:val="24"/>
        </w:rPr>
        <w:t>no individual filter has a measured Turbidity greater than 0.3 NTU in two consecutive measurements taken 15 minutes apart.</w:t>
      </w:r>
    </w:p>
    <w:p w14:paraId="281A6B2F" w14:textId="76737736" w:rsidR="004647B9" w:rsidRPr="00257ABC" w:rsidRDefault="00E2436F" w:rsidP="00696F9F">
      <w:pPr>
        <w:numPr>
          <w:ilvl w:val="1"/>
          <w:numId w:val="783"/>
        </w:numPr>
        <w:tabs>
          <w:tab w:val="left" w:pos="2346"/>
        </w:tabs>
        <w:ind w:left="1900" w:hanging="5"/>
        <w:jc w:val="both"/>
        <w:rPr>
          <w:rFonts w:eastAsia="Times New Roman"/>
          <w:sz w:val="24"/>
          <w:szCs w:val="24"/>
        </w:rPr>
      </w:pPr>
      <w:r w:rsidRPr="00F54247">
        <w:rPr>
          <w:rFonts w:eastAsia="Times New Roman"/>
          <w:sz w:val="24"/>
          <w:szCs w:val="24"/>
        </w:rPr>
        <w:t xml:space="preserve">A Public Water System that has received </w:t>
      </w:r>
      <w:r w:rsidRPr="00F54247">
        <w:rPr>
          <w:rFonts w:eastAsia="Times New Roman"/>
          <w:i/>
          <w:iCs/>
          <w:sz w:val="24"/>
          <w:szCs w:val="24"/>
        </w:rPr>
        <w:t>Cryptosporidium</w:t>
      </w:r>
      <w:r w:rsidRPr="00F54247">
        <w:rPr>
          <w:rFonts w:eastAsia="Times New Roman"/>
          <w:sz w:val="24"/>
          <w:szCs w:val="24"/>
        </w:rPr>
        <w:t xml:space="preserve"> treatment credit for individual filter performance that fails to meet the requirements as specified in 310 CMR 22.20G(21)(b)1.a. or b. during any month shall not receive a Treatment Technique violation as a result of such failure, for the month in which the failure occurred, under</w:t>
      </w:r>
      <w:r w:rsidR="00257ABC">
        <w:rPr>
          <w:rFonts w:eastAsia="Times New Roman"/>
          <w:sz w:val="24"/>
          <w:szCs w:val="24"/>
        </w:rPr>
        <w:t xml:space="preserve"> 310 </w:t>
      </w:r>
      <w:r w:rsidRPr="00257ABC">
        <w:rPr>
          <w:rFonts w:eastAsia="Times New Roman"/>
          <w:sz w:val="24"/>
          <w:szCs w:val="24"/>
        </w:rPr>
        <w:t>CMR 22.20G(12)(c), if the Supplier of Water demonstrates both of the following to the Department's satisfaction:</w:t>
      </w:r>
    </w:p>
    <w:p w14:paraId="281A6B30" w14:textId="77777777" w:rsidR="004647B9" w:rsidRPr="00257ABC" w:rsidRDefault="00E2436F" w:rsidP="00696F9F">
      <w:pPr>
        <w:numPr>
          <w:ilvl w:val="2"/>
          <w:numId w:val="784"/>
        </w:numPr>
        <w:tabs>
          <w:tab w:val="left" w:pos="2704"/>
        </w:tabs>
        <w:ind w:left="2260" w:hanging="5"/>
        <w:jc w:val="both"/>
        <w:rPr>
          <w:rFonts w:eastAsia="Times New Roman"/>
          <w:sz w:val="24"/>
          <w:szCs w:val="24"/>
        </w:rPr>
      </w:pPr>
      <w:r w:rsidRPr="00F54247">
        <w:rPr>
          <w:rFonts w:eastAsia="Times New Roman"/>
          <w:sz w:val="24"/>
          <w:szCs w:val="24"/>
        </w:rPr>
        <w:t xml:space="preserve">the failure was due to unusual and short-term circumstances that could not reasonably be prevented through optimizing treatment plant design, operation and </w:t>
      </w:r>
      <w:r w:rsidRPr="00257ABC">
        <w:rPr>
          <w:rFonts w:eastAsia="Times New Roman"/>
          <w:sz w:val="24"/>
          <w:szCs w:val="24"/>
        </w:rPr>
        <w:t>maintenance; and</w:t>
      </w:r>
    </w:p>
    <w:p w14:paraId="281A6B32" w14:textId="77777777" w:rsidR="004647B9" w:rsidRPr="00257ABC" w:rsidRDefault="00E2436F" w:rsidP="00696F9F">
      <w:pPr>
        <w:numPr>
          <w:ilvl w:val="2"/>
          <w:numId w:val="784"/>
        </w:numPr>
        <w:tabs>
          <w:tab w:val="left" w:pos="2610"/>
        </w:tabs>
        <w:ind w:left="2260" w:hanging="5"/>
        <w:rPr>
          <w:rFonts w:eastAsia="Times New Roman"/>
          <w:sz w:val="24"/>
          <w:szCs w:val="24"/>
        </w:rPr>
      </w:pPr>
      <w:r w:rsidRPr="00257ABC">
        <w:rPr>
          <w:rFonts w:eastAsia="Times New Roman"/>
          <w:sz w:val="24"/>
          <w:szCs w:val="24"/>
        </w:rPr>
        <w:t>the Public Water System has experienced no more than two such failures in any calendar year.</w:t>
      </w:r>
    </w:p>
    <w:p w14:paraId="281A6B33" w14:textId="77777777" w:rsidR="004647B9" w:rsidRPr="00257ABC" w:rsidRDefault="00E2436F" w:rsidP="00696F9F">
      <w:pPr>
        <w:numPr>
          <w:ilvl w:val="1"/>
          <w:numId w:val="785"/>
        </w:numPr>
        <w:tabs>
          <w:tab w:val="left" w:pos="2433"/>
        </w:tabs>
        <w:ind w:left="1900" w:hanging="5"/>
        <w:jc w:val="both"/>
        <w:rPr>
          <w:rFonts w:eastAsia="Times New Roman"/>
          <w:sz w:val="24"/>
          <w:szCs w:val="24"/>
        </w:rPr>
      </w:pPr>
      <w:r w:rsidRPr="00257ABC">
        <w:rPr>
          <w:rFonts w:eastAsia="Times New Roman"/>
          <w:sz w:val="24"/>
          <w:szCs w:val="24"/>
        </w:rPr>
        <w:t xml:space="preserve">Compliance with these criteria shall be based on individual filter Turbidity monitoring as described in 310 CMR 22.20A(5) or 22.20D, as applicable. Such credit shall be in addition to any other </w:t>
      </w:r>
      <w:r w:rsidRPr="00257ABC">
        <w:rPr>
          <w:rFonts w:eastAsia="Times New Roman"/>
          <w:i/>
          <w:iCs/>
          <w:sz w:val="24"/>
          <w:szCs w:val="24"/>
        </w:rPr>
        <w:t>Cryptosporidium</w:t>
      </w:r>
      <w:r w:rsidRPr="00257ABC">
        <w:rPr>
          <w:rFonts w:eastAsia="Times New Roman"/>
          <w:sz w:val="24"/>
          <w:szCs w:val="24"/>
        </w:rPr>
        <w:t xml:space="preserve"> treatment credit granted to the Public Water System pursuant to 310 CMR 22.20G(21)(a).</w:t>
      </w:r>
    </w:p>
    <w:p w14:paraId="281A6B34" w14:textId="77777777" w:rsidR="004647B9" w:rsidRPr="00257ABC" w:rsidRDefault="00E2436F" w:rsidP="00696F9F">
      <w:pPr>
        <w:numPr>
          <w:ilvl w:val="0"/>
          <w:numId w:val="786"/>
        </w:numPr>
        <w:tabs>
          <w:tab w:val="left" w:pos="1980"/>
        </w:tabs>
        <w:ind w:left="1980" w:hanging="445"/>
        <w:rPr>
          <w:rFonts w:eastAsia="Times New Roman"/>
          <w:sz w:val="24"/>
          <w:szCs w:val="24"/>
        </w:rPr>
      </w:pPr>
      <w:r w:rsidRPr="00257ABC">
        <w:rPr>
          <w:rFonts w:eastAsia="Times New Roman"/>
          <w:sz w:val="24"/>
          <w:szCs w:val="24"/>
          <w:u w:val="single"/>
        </w:rPr>
        <w:t>Demonstration of Performance</w:t>
      </w:r>
      <w:r w:rsidRPr="00257ABC">
        <w:rPr>
          <w:rFonts w:eastAsia="Times New Roman"/>
          <w:sz w:val="24"/>
          <w:szCs w:val="24"/>
        </w:rPr>
        <w:t>.</w:t>
      </w:r>
    </w:p>
    <w:p w14:paraId="281A6B36" w14:textId="77777777" w:rsidR="004647B9" w:rsidRPr="00257ABC" w:rsidRDefault="00E2436F" w:rsidP="00696F9F">
      <w:pPr>
        <w:numPr>
          <w:ilvl w:val="1"/>
          <w:numId w:val="786"/>
        </w:numPr>
        <w:tabs>
          <w:tab w:val="left" w:pos="2253"/>
        </w:tabs>
        <w:ind w:left="1900" w:hanging="5"/>
        <w:jc w:val="both"/>
        <w:rPr>
          <w:rFonts w:eastAsia="Times New Roman"/>
          <w:sz w:val="24"/>
          <w:szCs w:val="24"/>
        </w:rPr>
      </w:pPr>
      <w:r w:rsidRPr="00257ABC">
        <w:rPr>
          <w:rFonts w:eastAsia="Times New Roman"/>
          <w:sz w:val="24"/>
          <w:szCs w:val="24"/>
        </w:rPr>
        <w:t xml:space="preserve">A Supplier of Water, subject to the Department's review and written approval, may be granted </w:t>
      </w:r>
      <w:r w:rsidRPr="00257ABC">
        <w:rPr>
          <w:rFonts w:eastAsia="Times New Roman"/>
          <w:i/>
          <w:iCs/>
          <w:sz w:val="24"/>
          <w:szCs w:val="24"/>
        </w:rPr>
        <w:t>Cryptosporidium</w:t>
      </w:r>
      <w:r w:rsidRPr="00257ABC">
        <w:rPr>
          <w:rFonts w:eastAsia="Times New Roman"/>
          <w:sz w:val="24"/>
          <w:szCs w:val="24"/>
        </w:rPr>
        <w:t xml:space="preserve"> treatment credit for drinking water treatment processes based on a demonstration of performance study that meets the following criteria:</w:t>
      </w:r>
    </w:p>
    <w:p w14:paraId="281A6B38" w14:textId="77777777" w:rsidR="004647B9" w:rsidRPr="00257ABC" w:rsidRDefault="00E2436F" w:rsidP="00696F9F">
      <w:pPr>
        <w:numPr>
          <w:ilvl w:val="2"/>
          <w:numId w:val="786"/>
        </w:numPr>
        <w:tabs>
          <w:tab w:val="left" w:pos="2664"/>
        </w:tabs>
        <w:ind w:left="2260" w:hanging="5"/>
        <w:jc w:val="both"/>
        <w:rPr>
          <w:rFonts w:eastAsia="Times New Roman"/>
          <w:sz w:val="24"/>
          <w:szCs w:val="24"/>
        </w:rPr>
      </w:pPr>
      <w:r w:rsidRPr="00257ABC">
        <w:rPr>
          <w:rFonts w:eastAsia="Times New Roman"/>
          <w:sz w:val="24"/>
          <w:szCs w:val="24"/>
        </w:rPr>
        <w:t>the demonstration of performance study must follow a Department-approved protocol and must demonstrate the level of reduction the treatment process will achieve under the full range of expected operating conditions for the Public Water System; and</w:t>
      </w:r>
    </w:p>
    <w:p w14:paraId="281A6B39" w14:textId="77777777" w:rsidR="004647B9" w:rsidRDefault="00E2436F" w:rsidP="00696F9F">
      <w:pPr>
        <w:numPr>
          <w:ilvl w:val="2"/>
          <w:numId w:val="786"/>
        </w:numPr>
        <w:tabs>
          <w:tab w:val="left" w:pos="2714"/>
        </w:tabs>
        <w:ind w:left="2260" w:hanging="5"/>
        <w:jc w:val="both"/>
        <w:rPr>
          <w:rFonts w:eastAsia="Times New Roman"/>
          <w:sz w:val="24"/>
          <w:szCs w:val="24"/>
        </w:rPr>
      </w:pPr>
      <w:r w:rsidRPr="00257ABC">
        <w:rPr>
          <w:rFonts w:eastAsia="Times New Roman"/>
          <w:sz w:val="24"/>
          <w:szCs w:val="24"/>
        </w:rPr>
        <w:t>the Supplier of Water must demonstrate and report on any monitoring and treatment performance criteria designated by the Department, where necessary to verify that the conditions under which the demonstration of performance credit was approved are maintained during routine operation</w:t>
      </w:r>
      <w:r>
        <w:rPr>
          <w:rFonts w:eastAsia="Times New Roman"/>
          <w:sz w:val="24"/>
          <w:szCs w:val="24"/>
        </w:rPr>
        <w:t>.</w:t>
      </w:r>
    </w:p>
    <w:p w14:paraId="281A6B3A" w14:textId="77777777" w:rsidR="004647B9" w:rsidRDefault="004647B9" w:rsidP="00696F9F">
      <w:pPr>
        <w:sectPr w:rsidR="004647B9" w:rsidSect="00EF630C">
          <w:pgSz w:w="12240" w:h="20180"/>
          <w:pgMar w:top="708" w:right="1440" w:bottom="1440" w:left="620" w:header="0" w:footer="0" w:gutter="0"/>
          <w:cols w:space="720"/>
        </w:sectPr>
      </w:pPr>
    </w:p>
    <w:p w14:paraId="281A6B3B" w14:textId="77777777" w:rsidR="004647B9" w:rsidRDefault="00E2436F">
      <w:pPr>
        <w:tabs>
          <w:tab w:val="left" w:pos="160"/>
        </w:tabs>
        <w:ind w:right="20"/>
        <w:jc w:val="center"/>
        <w:rPr>
          <w:sz w:val="20"/>
          <w:szCs w:val="20"/>
        </w:rPr>
      </w:pPr>
      <w:bookmarkStart w:id="308" w:name="page313"/>
      <w:bookmarkEnd w:id="30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B3C" w14:textId="77777777" w:rsidR="004647B9" w:rsidRDefault="004647B9" w:rsidP="00591908">
      <w:pPr>
        <w:rPr>
          <w:sz w:val="20"/>
          <w:szCs w:val="20"/>
        </w:rPr>
      </w:pPr>
    </w:p>
    <w:p w14:paraId="281A6B3D" w14:textId="77777777" w:rsidR="004647B9" w:rsidRDefault="004647B9" w:rsidP="00591908">
      <w:pPr>
        <w:rPr>
          <w:sz w:val="20"/>
          <w:szCs w:val="20"/>
        </w:rPr>
      </w:pPr>
    </w:p>
    <w:p w14:paraId="281A6B3E" w14:textId="77777777" w:rsidR="004647B9" w:rsidRPr="00214E93" w:rsidRDefault="00E2436F" w:rsidP="00591908">
      <w:pPr>
        <w:tabs>
          <w:tab w:val="left" w:pos="940"/>
        </w:tabs>
        <w:rPr>
          <w:sz w:val="24"/>
          <w:szCs w:val="24"/>
        </w:rPr>
      </w:pPr>
      <w:r w:rsidRPr="00214E93">
        <w:rPr>
          <w:rFonts w:eastAsia="Times New Roman"/>
          <w:sz w:val="24"/>
          <w:szCs w:val="24"/>
        </w:rPr>
        <w:t>22.20G:</w:t>
      </w:r>
      <w:r w:rsidRPr="00214E93">
        <w:rPr>
          <w:rFonts w:eastAsia="Times New Roman"/>
          <w:sz w:val="24"/>
          <w:szCs w:val="24"/>
        </w:rPr>
        <w:tab/>
        <w:t>continued</w:t>
      </w:r>
    </w:p>
    <w:p w14:paraId="281A6B3F" w14:textId="77777777" w:rsidR="004647B9" w:rsidRPr="00591908" w:rsidRDefault="004647B9" w:rsidP="00591908">
      <w:pPr>
        <w:rPr>
          <w:sz w:val="20"/>
          <w:szCs w:val="20"/>
        </w:rPr>
      </w:pPr>
    </w:p>
    <w:p w14:paraId="281A6B40" w14:textId="77777777" w:rsidR="004647B9" w:rsidRPr="00214E93" w:rsidRDefault="00E2436F" w:rsidP="00591908">
      <w:pPr>
        <w:numPr>
          <w:ilvl w:val="2"/>
          <w:numId w:val="787"/>
        </w:numPr>
        <w:tabs>
          <w:tab w:val="left" w:pos="2210"/>
        </w:tabs>
        <w:ind w:left="1900" w:hanging="5"/>
        <w:jc w:val="both"/>
        <w:rPr>
          <w:rFonts w:eastAsia="Times New Roman"/>
          <w:sz w:val="24"/>
          <w:szCs w:val="24"/>
        </w:rPr>
      </w:pPr>
      <w:r w:rsidRPr="00214E93">
        <w:rPr>
          <w:rFonts w:eastAsia="Times New Roman"/>
          <w:sz w:val="24"/>
          <w:szCs w:val="24"/>
        </w:rPr>
        <w:t xml:space="preserve">The </w:t>
      </w:r>
      <w:r w:rsidRPr="00214E93">
        <w:rPr>
          <w:rFonts w:eastAsia="Times New Roman"/>
          <w:i/>
          <w:iCs/>
          <w:sz w:val="24"/>
          <w:szCs w:val="24"/>
        </w:rPr>
        <w:t>Cryptosporidium</w:t>
      </w:r>
      <w:r w:rsidRPr="00214E93">
        <w:rPr>
          <w:rFonts w:eastAsia="Times New Roman"/>
          <w:sz w:val="24"/>
          <w:szCs w:val="24"/>
        </w:rPr>
        <w:t xml:space="preserve"> treatment credit may be greater than or less than the prescribed treatment credits in 310 CMR 22.20G(12) or (20) through (23) and may be awarded to treatment processes that do not meet the criteria for the prescribed credits.</w:t>
      </w:r>
    </w:p>
    <w:p w14:paraId="281A6B44" w14:textId="27789E86" w:rsidR="004647B9" w:rsidRPr="00214E93" w:rsidRDefault="00E2436F" w:rsidP="00591908">
      <w:pPr>
        <w:numPr>
          <w:ilvl w:val="2"/>
          <w:numId w:val="787"/>
        </w:numPr>
        <w:tabs>
          <w:tab w:val="left" w:pos="2220"/>
        </w:tabs>
        <w:ind w:left="1901"/>
        <w:rPr>
          <w:rFonts w:eastAsia="Times New Roman"/>
          <w:sz w:val="24"/>
          <w:szCs w:val="24"/>
        </w:rPr>
      </w:pPr>
      <w:r w:rsidRPr="00214E93">
        <w:rPr>
          <w:rFonts w:eastAsia="Times New Roman"/>
          <w:sz w:val="24"/>
          <w:szCs w:val="24"/>
        </w:rPr>
        <w:t xml:space="preserve">A Public Water System that receives a </w:t>
      </w:r>
      <w:r w:rsidRPr="00214E93">
        <w:rPr>
          <w:rFonts w:eastAsia="Times New Roman"/>
          <w:i/>
          <w:iCs/>
          <w:sz w:val="24"/>
          <w:szCs w:val="24"/>
        </w:rPr>
        <w:t>Cryptosporidium</w:t>
      </w:r>
      <w:r w:rsidRPr="00214E93">
        <w:rPr>
          <w:rFonts w:eastAsia="Times New Roman"/>
          <w:sz w:val="24"/>
          <w:szCs w:val="24"/>
        </w:rPr>
        <w:t xml:space="preserve"> treatment credit pursuant to</w:t>
      </w:r>
      <w:r w:rsidR="00214E93">
        <w:rPr>
          <w:rFonts w:eastAsia="Times New Roman"/>
          <w:sz w:val="24"/>
          <w:szCs w:val="24"/>
        </w:rPr>
        <w:t xml:space="preserve"> 310 </w:t>
      </w:r>
      <w:r w:rsidRPr="00214E93">
        <w:rPr>
          <w:rFonts w:eastAsia="Times New Roman"/>
          <w:sz w:val="24"/>
          <w:szCs w:val="24"/>
        </w:rPr>
        <w:t>CMR 22.20G(21)(c) shall be subject to revocation if the Department determines that the Public Water System no longer satisfies the criteria set forth in 310 CMR 22.20G(21)(c)1.</w:t>
      </w:r>
    </w:p>
    <w:p w14:paraId="281A6B46" w14:textId="77777777" w:rsidR="004647B9" w:rsidRPr="00214E93" w:rsidRDefault="00E2436F" w:rsidP="00591908">
      <w:pPr>
        <w:numPr>
          <w:ilvl w:val="2"/>
          <w:numId w:val="788"/>
        </w:numPr>
        <w:tabs>
          <w:tab w:val="left" w:pos="2354"/>
        </w:tabs>
        <w:ind w:left="1900" w:hanging="5"/>
        <w:jc w:val="both"/>
        <w:rPr>
          <w:rFonts w:eastAsia="Times New Roman"/>
          <w:sz w:val="24"/>
          <w:szCs w:val="24"/>
        </w:rPr>
      </w:pPr>
      <w:r w:rsidRPr="00214E93">
        <w:rPr>
          <w:rFonts w:eastAsia="Times New Roman"/>
          <w:sz w:val="24"/>
          <w:szCs w:val="24"/>
        </w:rPr>
        <w:t xml:space="preserve">A Public Water System that receives a </w:t>
      </w:r>
      <w:r w:rsidRPr="00214E93">
        <w:rPr>
          <w:rFonts w:eastAsia="Times New Roman"/>
          <w:i/>
          <w:iCs/>
          <w:sz w:val="24"/>
          <w:szCs w:val="24"/>
        </w:rPr>
        <w:t>Cryptosporidium</w:t>
      </w:r>
      <w:r w:rsidRPr="00214E93">
        <w:rPr>
          <w:rFonts w:eastAsia="Times New Roman"/>
          <w:sz w:val="24"/>
          <w:szCs w:val="24"/>
        </w:rPr>
        <w:t xml:space="preserve"> treatment credit for a demonstration of performance study shall not receive a </w:t>
      </w:r>
      <w:r w:rsidRPr="00214E93">
        <w:rPr>
          <w:rFonts w:eastAsia="Times New Roman"/>
          <w:i/>
          <w:iCs/>
          <w:sz w:val="24"/>
          <w:szCs w:val="24"/>
        </w:rPr>
        <w:t>Cryptosporidium</w:t>
      </w:r>
      <w:r w:rsidRPr="00214E93">
        <w:rPr>
          <w:rFonts w:eastAsia="Times New Roman"/>
          <w:sz w:val="24"/>
          <w:szCs w:val="24"/>
        </w:rPr>
        <w:t xml:space="preserve"> treatment credit for any toolbox option specified in 310 CMR 22.20G(20) through (23).</w:t>
      </w:r>
    </w:p>
    <w:p w14:paraId="281A6B47" w14:textId="77777777" w:rsidR="004647B9" w:rsidRPr="00214E93" w:rsidRDefault="004647B9" w:rsidP="00591908">
      <w:pPr>
        <w:rPr>
          <w:rFonts w:eastAsia="Times New Roman"/>
          <w:sz w:val="24"/>
          <w:szCs w:val="24"/>
        </w:rPr>
      </w:pPr>
    </w:p>
    <w:p w14:paraId="281A6B48" w14:textId="77777777" w:rsidR="004647B9" w:rsidRPr="00214E93" w:rsidRDefault="00E2436F" w:rsidP="00591908">
      <w:pPr>
        <w:numPr>
          <w:ilvl w:val="0"/>
          <w:numId w:val="789"/>
        </w:numPr>
        <w:tabs>
          <w:tab w:val="left" w:pos="1760"/>
        </w:tabs>
        <w:ind w:left="1760" w:hanging="580"/>
        <w:rPr>
          <w:rFonts w:eastAsia="Times New Roman"/>
          <w:sz w:val="24"/>
          <w:szCs w:val="24"/>
        </w:rPr>
      </w:pPr>
      <w:r w:rsidRPr="00214E93">
        <w:rPr>
          <w:rFonts w:eastAsia="Times New Roman"/>
          <w:sz w:val="24"/>
          <w:szCs w:val="24"/>
          <w:u w:val="single"/>
        </w:rPr>
        <w:t>Additional Filtration Toolbox Components</w:t>
      </w:r>
      <w:r w:rsidRPr="00214E93">
        <w:rPr>
          <w:rFonts w:eastAsia="Times New Roman"/>
          <w:sz w:val="24"/>
          <w:szCs w:val="24"/>
        </w:rPr>
        <w:t>.</w:t>
      </w:r>
    </w:p>
    <w:p w14:paraId="281A6B4A" w14:textId="77777777" w:rsidR="004647B9" w:rsidRPr="00214E93" w:rsidRDefault="00E2436F" w:rsidP="00591908">
      <w:pPr>
        <w:numPr>
          <w:ilvl w:val="1"/>
          <w:numId w:val="789"/>
        </w:numPr>
        <w:tabs>
          <w:tab w:val="left" w:pos="1990"/>
        </w:tabs>
        <w:ind w:left="1540" w:hanging="5"/>
        <w:jc w:val="both"/>
        <w:rPr>
          <w:rFonts w:eastAsia="Times New Roman"/>
          <w:sz w:val="24"/>
          <w:szCs w:val="24"/>
        </w:rPr>
      </w:pPr>
      <w:r w:rsidRPr="00214E93">
        <w:rPr>
          <w:rFonts w:eastAsia="Times New Roman"/>
          <w:sz w:val="24"/>
          <w:szCs w:val="24"/>
          <w:u w:val="single"/>
        </w:rPr>
        <w:t>Bag Filters and Cartridge Filters</w:t>
      </w:r>
      <w:r w:rsidRPr="00214E93">
        <w:rPr>
          <w:rFonts w:eastAsia="Times New Roman"/>
          <w:sz w:val="24"/>
          <w:szCs w:val="24"/>
        </w:rPr>
        <w:t xml:space="preserve">. A Supplier of Water using Bag Filters or Cartridge Filters that treat the entire plant flow taken from a Surface Water Source, or Groundwater under the Direct Influence of Surface Water Source, subject to the Department's review and written approval, shall receive </w:t>
      </w:r>
      <w:r w:rsidRPr="00214E93">
        <w:rPr>
          <w:rFonts w:eastAsia="Times New Roman"/>
          <w:i/>
          <w:iCs/>
          <w:sz w:val="24"/>
          <w:szCs w:val="24"/>
        </w:rPr>
        <w:t>Cryptosporidium</w:t>
      </w:r>
      <w:r w:rsidRPr="00214E93">
        <w:rPr>
          <w:rFonts w:eastAsia="Times New Roman"/>
          <w:sz w:val="24"/>
          <w:szCs w:val="24"/>
        </w:rPr>
        <w:t xml:space="preserve"> treatment credit, in accordance with the following:</w:t>
      </w:r>
    </w:p>
    <w:p w14:paraId="281A6B4C" w14:textId="167BF4BF" w:rsidR="004647B9" w:rsidRPr="00A30BF1" w:rsidRDefault="00E2436F" w:rsidP="00591908">
      <w:pPr>
        <w:numPr>
          <w:ilvl w:val="2"/>
          <w:numId w:val="789"/>
        </w:numPr>
        <w:tabs>
          <w:tab w:val="left" w:pos="2274"/>
        </w:tabs>
        <w:ind w:left="1900" w:hanging="5"/>
        <w:jc w:val="both"/>
        <w:rPr>
          <w:rFonts w:eastAsia="Times New Roman"/>
          <w:sz w:val="24"/>
          <w:szCs w:val="24"/>
        </w:rPr>
      </w:pPr>
      <w:r w:rsidRPr="00214E93">
        <w:rPr>
          <w:rFonts w:eastAsia="Times New Roman"/>
          <w:sz w:val="24"/>
          <w:szCs w:val="24"/>
          <w:u w:val="single"/>
        </w:rPr>
        <w:t>Calculation of Credit</w:t>
      </w:r>
      <w:r w:rsidRPr="00214E93">
        <w:rPr>
          <w:rFonts w:eastAsia="Times New Roman"/>
          <w:sz w:val="24"/>
          <w:szCs w:val="24"/>
        </w:rPr>
        <w:t xml:space="preserve">. A </w:t>
      </w:r>
      <w:r w:rsidRPr="00214E93">
        <w:rPr>
          <w:rFonts w:eastAsia="Times New Roman"/>
          <w:i/>
          <w:iCs/>
          <w:sz w:val="24"/>
          <w:szCs w:val="24"/>
        </w:rPr>
        <w:t>Cryptosporidium</w:t>
      </w:r>
      <w:r w:rsidRPr="00214E93">
        <w:rPr>
          <w:rFonts w:eastAsia="Times New Roman"/>
          <w:sz w:val="24"/>
          <w:szCs w:val="24"/>
        </w:rPr>
        <w:t xml:space="preserve"> treatment credit of up to 2.0-log for an individual Bag Filter or Cartridge Filter and up to a 2.5-log for Bag Filters or Cartridge Filters operated in series shall be granted based on the removal efficiency demonstrated during challenge testing conducted according to the criteria in 310 CMR 22.20G(22)(a)2.a. through i. A factor of safety equal to 1-log for individual Bag Filters or </w:t>
      </w:r>
      <w:r w:rsidRPr="00A30BF1">
        <w:rPr>
          <w:rFonts w:eastAsia="Times New Roman"/>
          <w:sz w:val="24"/>
          <w:szCs w:val="24"/>
        </w:rPr>
        <w:t xml:space="preserve">Cartridge Filters and 0.5-log for Bag Filters or Cartridge Filters in series shall be applied to challenge testing results to determine the </w:t>
      </w:r>
      <w:r w:rsidRPr="00A30BF1">
        <w:rPr>
          <w:rFonts w:eastAsia="Times New Roman"/>
          <w:i/>
          <w:iCs/>
          <w:sz w:val="24"/>
          <w:szCs w:val="24"/>
        </w:rPr>
        <w:t>Cryptosporidium</w:t>
      </w:r>
      <w:r w:rsidRPr="00A30BF1">
        <w:rPr>
          <w:rFonts w:eastAsia="Times New Roman"/>
          <w:sz w:val="24"/>
          <w:szCs w:val="24"/>
        </w:rPr>
        <w:t xml:space="preserve"> treatment credit. Suppliers of Water may use results from challenge testing conducted prior to January 5, 2006, if the prior testing was consistent with the criteria specified in 310 CMR</w:t>
      </w:r>
      <w:r w:rsidR="00591908">
        <w:rPr>
          <w:rFonts w:eastAsia="Times New Roman"/>
          <w:sz w:val="24"/>
          <w:szCs w:val="24"/>
        </w:rPr>
        <w:t xml:space="preserve"> 22.</w:t>
      </w:r>
      <w:r w:rsidR="00591908" w:rsidRPr="00591908">
        <w:rPr>
          <w:rFonts w:eastAsia="Times New Roman"/>
          <w:sz w:val="24"/>
          <w:szCs w:val="24"/>
        </w:rPr>
        <w:t xml:space="preserve"> </w:t>
      </w:r>
      <w:r w:rsidR="00591908" w:rsidRPr="00A30BF1">
        <w:rPr>
          <w:rFonts w:eastAsia="Times New Roman"/>
          <w:sz w:val="24"/>
          <w:szCs w:val="24"/>
        </w:rPr>
        <w:t>20G(22)(a)2.a. through i.</w:t>
      </w:r>
    </w:p>
    <w:p w14:paraId="281A6B50" w14:textId="77777777" w:rsidR="004647B9" w:rsidRPr="00A30BF1" w:rsidRDefault="00E2436F" w:rsidP="00591908">
      <w:pPr>
        <w:numPr>
          <w:ilvl w:val="2"/>
          <w:numId w:val="791"/>
        </w:numPr>
        <w:tabs>
          <w:tab w:val="left" w:pos="2260"/>
        </w:tabs>
        <w:ind w:left="2260" w:hanging="365"/>
        <w:rPr>
          <w:rFonts w:eastAsia="Times New Roman"/>
          <w:sz w:val="24"/>
          <w:szCs w:val="24"/>
        </w:rPr>
      </w:pPr>
      <w:r w:rsidRPr="00A30BF1">
        <w:rPr>
          <w:rFonts w:eastAsia="Times New Roman"/>
          <w:sz w:val="24"/>
          <w:szCs w:val="24"/>
          <w:u w:val="single"/>
        </w:rPr>
        <w:t>Challenge Testing and Reporting Procedures</w:t>
      </w:r>
      <w:r w:rsidRPr="00A30BF1">
        <w:rPr>
          <w:rFonts w:eastAsia="Times New Roman"/>
          <w:sz w:val="24"/>
          <w:szCs w:val="24"/>
        </w:rPr>
        <w:t>.</w:t>
      </w:r>
    </w:p>
    <w:p w14:paraId="281A6B54" w14:textId="1E92C4E9" w:rsidR="004647B9" w:rsidRPr="00A30BF1" w:rsidRDefault="00E2436F" w:rsidP="00591908">
      <w:pPr>
        <w:pStyle w:val="ListParagraph"/>
        <w:numPr>
          <w:ilvl w:val="0"/>
          <w:numId w:val="963"/>
        </w:numPr>
        <w:tabs>
          <w:tab w:val="left" w:pos="2610"/>
        </w:tabs>
        <w:ind w:left="2250" w:firstLine="0"/>
        <w:jc w:val="both"/>
        <w:rPr>
          <w:rFonts w:eastAsia="Times New Roman"/>
          <w:sz w:val="24"/>
          <w:szCs w:val="24"/>
        </w:rPr>
      </w:pPr>
      <w:r w:rsidRPr="00A30BF1">
        <w:rPr>
          <w:rFonts w:eastAsia="Times New Roman"/>
          <w:sz w:val="24"/>
          <w:szCs w:val="24"/>
        </w:rPr>
        <w:t>challenge testing must be performed on full-scale Bag Filters or Cartridge Filters, and the associated filter housing or pressure vessel, that are identical in material and</w:t>
      </w:r>
      <w:r w:rsidR="00A30BF1" w:rsidRPr="00A30BF1">
        <w:rPr>
          <w:rFonts w:eastAsia="Times New Roman"/>
          <w:sz w:val="24"/>
          <w:szCs w:val="24"/>
        </w:rPr>
        <w:t xml:space="preserve"> </w:t>
      </w:r>
      <w:r w:rsidRPr="00A30BF1">
        <w:rPr>
          <w:rFonts w:eastAsia="Times New Roman"/>
          <w:sz w:val="24"/>
          <w:szCs w:val="24"/>
        </w:rPr>
        <w:t xml:space="preserve">construction to the filters and housings the system will use for removal of </w:t>
      </w:r>
      <w:r w:rsidRPr="00A30BF1">
        <w:rPr>
          <w:rFonts w:eastAsia="Times New Roman"/>
          <w:i/>
          <w:iCs/>
          <w:sz w:val="24"/>
          <w:szCs w:val="24"/>
        </w:rPr>
        <w:t>Cryptosporidium</w:t>
      </w:r>
      <w:r w:rsidRPr="00A30BF1">
        <w:rPr>
          <w:rFonts w:eastAsia="Times New Roman"/>
          <w:sz w:val="24"/>
          <w:szCs w:val="24"/>
        </w:rPr>
        <w:t>. Bag Filters or Cartridge Filters must be challenge tested in the</w:t>
      </w:r>
      <w:r w:rsidRPr="00A30BF1">
        <w:rPr>
          <w:rFonts w:eastAsia="Times New Roman"/>
          <w:i/>
          <w:iCs/>
          <w:sz w:val="24"/>
          <w:szCs w:val="24"/>
        </w:rPr>
        <w:t xml:space="preserve"> </w:t>
      </w:r>
      <w:r w:rsidRPr="00A30BF1">
        <w:rPr>
          <w:rFonts w:eastAsia="Times New Roman"/>
          <w:sz w:val="24"/>
          <w:szCs w:val="24"/>
        </w:rPr>
        <w:t>same configuration that the Public Water System will use, either as individual filters or as a series configuration of filters;</w:t>
      </w:r>
    </w:p>
    <w:p w14:paraId="281A6B56" w14:textId="77777777" w:rsidR="004647B9" w:rsidRPr="00A30BF1" w:rsidRDefault="00E2436F" w:rsidP="00591908">
      <w:pPr>
        <w:numPr>
          <w:ilvl w:val="0"/>
          <w:numId w:val="792"/>
        </w:numPr>
        <w:tabs>
          <w:tab w:val="left" w:pos="2622"/>
        </w:tabs>
        <w:ind w:left="2260" w:hanging="5"/>
        <w:jc w:val="both"/>
        <w:rPr>
          <w:rFonts w:eastAsia="Times New Roman"/>
          <w:sz w:val="24"/>
          <w:szCs w:val="24"/>
        </w:rPr>
      </w:pPr>
      <w:r w:rsidRPr="00A30BF1">
        <w:rPr>
          <w:rFonts w:eastAsia="Times New Roman"/>
          <w:sz w:val="24"/>
          <w:szCs w:val="24"/>
        </w:rPr>
        <w:t xml:space="preserve">challenge testing must be conducted using </w:t>
      </w:r>
      <w:r w:rsidRPr="00A30BF1">
        <w:rPr>
          <w:rFonts w:eastAsia="Times New Roman"/>
          <w:i/>
          <w:iCs/>
          <w:sz w:val="24"/>
          <w:szCs w:val="24"/>
        </w:rPr>
        <w:t>Cryptosporidium</w:t>
      </w:r>
      <w:r w:rsidRPr="00A30BF1">
        <w:rPr>
          <w:rFonts w:eastAsia="Times New Roman"/>
          <w:sz w:val="24"/>
          <w:szCs w:val="24"/>
        </w:rPr>
        <w:t xml:space="preserve"> or a surrogate that is removed no more efficiently than </w:t>
      </w:r>
      <w:r w:rsidRPr="00A30BF1">
        <w:rPr>
          <w:rFonts w:eastAsia="Times New Roman"/>
          <w:i/>
          <w:iCs/>
          <w:sz w:val="24"/>
          <w:szCs w:val="24"/>
        </w:rPr>
        <w:t>Cryptosporidium</w:t>
      </w:r>
      <w:r w:rsidRPr="00A30BF1">
        <w:rPr>
          <w:rFonts w:eastAsia="Times New Roman"/>
          <w:sz w:val="24"/>
          <w:szCs w:val="24"/>
        </w:rPr>
        <w:t>. The microorganism or surrogate used during challenge testing is referred to as the "challenge particulate". The concentration of the challenge particulate must be determined using a method capable of discreetly quantifying the specific microorganism or surrogate used in the test; gross measurements such as Turbidity may not be used;</w:t>
      </w:r>
    </w:p>
    <w:p w14:paraId="281A6B58" w14:textId="77777777" w:rsidR="004647B9" w:rsidRPr="00A30BF1" w:rsidRDefault="00E2436F" w:rsidP="00591908">
      <w:pPr>
        <w:numPr>
          <w:ilvl w:val="0"/>
          <w:numId w:val="792"/>
        </w:numPr>
        <w:tabs>
          <w:tab w:val="left" w:pos="2592"/>
        </w:tabs>
        <w:ind w:left="2260" w:hanging="5"/>
        <w:jc w:val="both"/>
        <w:rPr>
          <w:rFonts w:eastAsia="Times New Roman"/>
          <w:sz w:val="24"/>
          <w:szCs w:val="24"/>
        </w:rPr>
      </w:pPr>
      <w:r w:rsidRPr="00A30BF1">
        <w:rPr>
          <w:rFonts w:eastAsia="Times New Roman"/>
          <w:sz w:val="24"/>
          <w:szCs w:val="24"/>
        </w:rPr>
        <w:t>the maximum feed water concentration that may be used during a challenge test must be based on the detection limit of the challenge particulate in the filtrate (</w:t>
      </w:r>
      <w:r w:rsidRPr="00A30BF1">
        <w:rPr>
          <w:rFonts w:eastAsia="Times New Roman"/>
          <w:i/>
          <w:iCs/>
          <w:sz w:val="24"/>
          <w:szCs w:val="24"/>
        </w:rPr>
        <w:t>i.e</w:t>
      </w:r>
      <w:r w:rsidRPr="00A30BF1">
        <w:rPr>
          <w:rFonts w:eastAsia="Times New Roman"/>
          <w:sz w:val="24"/>
          <w:szCs w:val="24"/>
        </w:rPr>
        <w:t>., filtrate detection limit) and must be calculated using the following equation: Maximum Feed Concentration =1 ×10</w:t>
      </w:r>
      <w:r w:rsidRPr="00A30BF1">
        <w:rPr>
          <w:rFonts w:eastAsia="Times New Roman"/>
          <w:sz w:val="24"/>
          <w:szCs w:val="24"/>
          <w:vertAlign w:val="superscript"/>
        </w:rPr>
        <w:t>4</w:t>
      </w:r>
      <w:r w:rsidRPr="00A30BF1">
        <w:rPr>
          <w:rFonts w:eastAsia="Times New Roman"/>
          <w:sz w:val="24"/>
          <w:szCs w:val="24"/>
        </w:rPr>
        <w:t xml:space="preserve"> × (Filtrate Detection Limit);</w:t>
      </w:r>
    </w:p>
    <w:p w14:paraId="281A6B5A" w14:textId="77777777" w:rsidR="004647B9" w:rsidRPr="00A30BF1" w:rsidRDefault="00E2436F" w:rsidP="00591908">
      <w:pPr>
        <w:numPr>
          <w:ilvl w:val="0"/>
          <w:numId w:val="792"/>
        </w:numPr>
        <w:tabs>
          <w:tab w:val="left" w:pos="2656"/>
        </w:tabs>
        <w:ind w:left="2260" w:hanging="5"/>
        <w:rPr>
          <w:rFonts w:eastAsia="Times New Roman"/>
          <w:sz w:val="24"/>
          <w:szCs w:val="24"/>
        </w:rPr>
      </w:pPr>
      <w:r w:rsidRPr="00A30BF1">
        <w:rPr>
          <w:rFonts w:eastAsia="Times New Roman"/>
          <w:sz w:val="24"/>
          <w:szCs w:val="24"/>
        </w:rPr>
        <w:t>challenge testing must be conducted at the maximum design flow rate for the filter as specified by the manufacturer;</w:t>
      </w:r>
    </w:p>
    <w:p w14:paraId="281A6B5B" w14:textId="77777777" w:rsidR="004647B9" w:rsidRPr="00A30BF1" w:rsidRDefault="00E2436F" w:rsidP="00591908">
      <w:pPr>
        <w:numPr>
          <w:ilvl w:val="0"/>
          <w:numId w:val="792"/>
        </w:numPr>
        <w:tabs>
          <w:tab w:val="left" w:pos="2577"/>
        </w:tabs>
        <w:ind w:left="2260" w:hanging="5"/>
        <w:jc w:val="both"/>
        <w:rPr>
          <w:rFonts w:eastAsia="Times New Roman"/>
          <w:sz w:val="24"/>
          <w:szCs w:val="24"/>
        </w:rPr>
      </w:pPr>
      <w:r w:rsidRPr="00A30BF1">
        <w:rPr>
          <w:rFonts w:eastAsia="Times New Roman"/>
          <w:sz w:val="24"/>
          <w:szCs w:val="24"/>
        </w:rPr>
        <w:t>each filter evaluated must be tested for a duration sufficient to reach 100% of the terminal pressure drop, which establishes the maximum pressure drop under which the filter may be used while remaining in compliance with the requirements of 310 CMR 22.20G(22)(a);</w:t>
      </w:r>
    </w:p>
    <w:p w14:paraId="281A6B5C" w14:textId="77777777" w:rsidR="004647B9" w:rsidRDefault="004647B9" w:rsidP="00591908">
      <w:pPr>
        <w:sectPr w:rsidR="004647B9" w:rsidSect="00EF630C">
          <w:pgSz w:w="12240" w:h="20180"/>
          <w:pgMar w:top="708" w:right="1440" w:bottom="1440" w:left="620" w:header="0" w:footer="0" w:gutter="0"/>
          <w:cols w:space="720"/>
        </w:sectPr>
      </w:pPr>
    </w:p>
    <w:p w14:paraId="281A6B5D" w14:textId="77777777" w:rsidR="004647B9" w:rsidRDefault="00E2436F">
      <w:pPr>
        <w:tabs>
          <w:tab w:val="left" w:pos="160"/>
        </w:tabs>
        <w:ind w:right="20"/>
        <w:jc w:val="center"/>
        <w:rPr>
          <w:sz w:val="20"/>
          <w:szCs w:val="20"/>
        </w:rPr>
      </w:pPr>
      <w:bookmarkStart w:id="309" w:name="page314"/>
      <w:bookmarkEnd w:id="30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B5E" w14:textId="77777777" w:rsidR="004647B9" w:rsidRPr="005C408E" w:rsidRDefault="004647B9" w:rsidP="005C408E">
      <w:pPr>
        <w:rPr>
          <w:sz w:val="20"/>
          <w:szCs w:val="20"/>
        </w:rPr>
      </w:pPr>
    </w:p>
    <w:p w14:paraId="281A6B5F" w14:textId="77777777" w:rsidR="004647B9" w:rsidRPr="005C408E" w:rsidRDefault="004647B9" w:rsidP="005C408E">
      <w:pPr>
        <w:rPr>
          <w:sz w:val="20"/>
          <w:szCs w:val="20"/>
        </w:rPr>
      </w:pPr>
    </w:p>
    <w:p w14:paraId="281A6B60" w14:textId="77777777" w:rsidR="004647B9" w:rsidRPr="000F1F37" w:rsidRDefault="00E2436F" w:rsidP="005C408E">
      <w:pPr>
        <w:tabs>
          <w:tab w:val="left" w:pos="940"/>
        </w:tabs>
        <w:rPr>
          <w:sz w:val="24"/>
          <w:szCs w:val="24"/>
        </w:rPr>
      </w:pPr>
      <w:r w:rsidRPr="000F1F37">
        <w:rPr>
          <w:rFonts w:eastAsia="Times New Roman"/>
          <w:sz w:val="24"/>
          <w:szCs w:val="24"/>
        </w:rPr>
        <w:t>22.20G:</w:t>
      </w:r>
      <w:r w:rsidRPr="000F1F37">
        <w:rPr>
          <w:rFonts w:eastAsia="Times New Roman"/>
          <w:sz w:val="24"/>
          <w:szCs w:val="24"/>
        </w:rPr>
        <w:tab/>
        <w:t>continued</w:t>
      </w:r>
    </w:p>
    <w:p w14:paraId="281A6B61" w14:textId="77777777" w:rsidR="004647B9" w:rsidRPr="005C408E" w:rsidRDefault="004647B9" w:rsidP="005C408E">
      <w:pPr>
        <w:rPr>
          <w:sz w:val="20"/>
          <w:szCs w:val="20"/>
        </w:rPr>
      </w:pPr>
    </w:p>
    <w:p w14:paraId="281A6B62" w14:textId="77777777" w:rsidR="004647B9" w:rsidRPr="000F1F37" w:rsidRDefault="00E2436F" w:rsidP="005C408E">
      <w:pPr>
        <w:numPr>
          <w:ilvl w:val="0"/>
          <w:numId w:val="793"/>
        </w:numPr>
        <w:tabs>
          <w:tab w:val="left" w:pos="2529"/>
        </w:tabs>
        <w:ind w:left="2260" w:hanging="5"/>
        <w:rPr>
          <w:rFonts w:eastAsia="Times New Roman"/>
          <w:sz w:val="24"/>
          <w:szCs w:val="24"/>
        </w:rPr>
      </w:pPr>
      <w:r w:rsidRPr="000F1F37">
        <w:rPr>
          <w:rFonts w:eastAsia="Times New Roman"/>
          <w:sz w:val="24"/>
          <w:szCs w:val="24"/>
        </w:rPr>
        <w:t>removal efficiency of a filter must be determined from the results of the challenge test and expressed in terms of log removal values using the following equation:</w:t>
      </w:r>
    </w:p>
    <w:p w14:paraId="281A6B63" w14:textId="77777777" w:rsidR="004647B9" w:rsidRPr="000F1F37" w:rsidRDefault="004647B9" w:rsidP="005C408E">
      <w:pPr>
        <w:rPr>
          <w:sz w:val="24"/>
          <w:szCs w:val="24"/>
        </w:rPr>
      </w:pPr>
    </w:p>
    <w:p w14:paraId="281A6B64" w14:textId="77777777" w:rsidR="004647B9" w:rsidRPr="000F1F37" w:rsidRDefault="00E2436F" w:rsidP="005C408E">
      <w:pPr>
        <w:ind w:left="2620"/>
        <w:rPr>
          <w:sz w:val="24"/>
          <w:szCs w:val="24"/>
        </w:rPr>
      </w:pPr>
      <w:r w:rsidRPr="000F1F37">
        <w:rPr>
          <w:rFonts w:eastAsia="Times New Roman"/>
          <w:sz w:val="24"/>
          <w:szCs w:val="24"/>
        </w:rPr>
        <w:t>LRV = log</w:t>
      </w:r>
      <w:r w:rsidRPr="00905F85">
        <w:rPr>
          <w:rFonts w:eastAsia="Times New Roman"/>
          <w:sz w:val="24"/>
          <w:szCs w:val="24"/>
          <w:vertAlign w:val="subscript"/>
        </w:rPr>
        <w:t>10</w:t>
      </w:r>
      <w:r w:rsidRPr="000F1F37">
        <w:rPr>
          <w:rFonts w:eastAsia="Times New Roman"/>
          <w:sz w:val="24"/>
          <w:szCs w:val="24"/>
        </w:rPr>
        <w:t>(C</w:t>
      </w:r>
      <w:r w:rsidRPr="000F1F37">
        <w:rPr>
          <w:rFonts w:eastAsia="Times New Roman"/>
          <w:sz w:val="24"/>
          <w:szCs w:val="24"/>
          <w:vertAlign w:val="subscript"/>
        </w:rPr>
        <w:t>f</w:t>
      </w:r>
      <w:r w:rsidRPr="000F1F37">
        <w:rPr>
          <w:rFonts w:eastAsia="Times New Roman"/>
          <w:sz w:val="24"/>
          <w:szCs w:val="24"/>
        </w:rPr>
        <w:t xml:space="preserve"> ) - log</w:t>
      </w:r>
      <w:r w:rsidRPr="00905F85">
        <w:rPr>
          <w:rFonts w:eastAsia="Times New Roman"/>
          <w:sz w:val="24"/>
          <w:szCs w:val="24"/>
          <w:vertAlign w:val="subscript"/>
        </w:rPr>
        <w:t>10</w:t>
      </w:r>
      <w:r w:rsidRPr="000F1F37">
        <w:rPr>
          <w:rFonts w:eastAsia="Times New Roman"/>
          <w:sz w:val="24"/>
          <w:szCs w:val="24"/>
        </w:rPr>
        <w:t>(C</w:t>
      </w:r>
      <w:r w:rsidRPr="000F1F37">
        <w:rPr>
          <w:rFonts w:eastAsia="Times New Roman"/>
          <w:sz w:val="24"/>
          <w:szCs w:val="24"/>
          <w:vertAlign w:val="subscript"/>
        </w:rPr>
        <w:t>p</w:t>
      </w:r>
      <w:r w:rsidRPr="000F1F37">
        <w:rPr>
          <w:rFonts w:eastAsia="Times New Roman"/>
          <w:sz w:val="24"/>
          <w:szCs w:val="24"/>
        </w:rPr>
        <w:t>),</w:t>
      </w:r>
    </w:p>
    <w:p w14:paraId="281A6B65" w14:textId="77777777" w:rsidR="004647B9" w:rsidRPr="000F1F37" w:rsidRDefault="004647B9" w:rsidP="005C408E">
      <w:pPr>
        <w:rPr>
          <w:sz w:val="24"/>
          <w:szCs w:val="24"/>
        </w:rPr>
      </w:pPr>
    </w:p>
    <w:p w14:paraId="281A6B66" w14:textId="77777777" w:rsidR="004647B9" w:rsidRPr="000F1F37" w:rsidRDefault="00E2436F" w:rsidP="005C408E">
      <w:pPr>
        <w:ind w:left="2620"/>
        <w:rPr>
          <w:sz w:val="24"/>
          <w:szCs w:val="24"/>
        </w:rPr>
      </w:pPr>
      <w:r w:rsidRPr="000F1F37">
        <w:rPr>
          <w:rFonts w:eastAsia="Times New Roman"/>
          <w:sz w:val="24"/>
          <w:szCs w:val="24"/>
        </w:rPr>
        <w:t>Where:</w:t>
      </w:r>
    </w:p>
    <w:p w14:paraId="281A6B68" w14:textId="77777777" w:rsidR="004647B9" w:rsidRPr="000F1F37" w:rsidRDefault="00E2436F" w:rsidP="005C408E">
      <w:pPr>
        <w:ind w:left="2620"/>
        <w:rPr>
          <w:sz w:val="24"/>
          <w:szCs w:val="24"/>
        </w:rPr>
      </w:pPr>
      <w:r w:rsidRPr="000F1F37">
        <w:rPr>
          <w:rFonts w:eastAsia="Times New Roman"/>
          <w:sz w:val="24"/>
          <w:szCs w:val="24"/>
        </w:rPr>
        <w:t>LRV = log removal value demonstrated during challenge testing;</w:t>
      </w:r>
    </w:p>
    <w:p w14:paraId="281A6B69" w14:textId="77777777" w:rsidR="004647B9" w:rsidRPr="000F1F37" w:rsidRDefault="00E2436F" w:rsidP="005C408E">
      <w:pPr>
        <w:ind w:left="2620"/>
        <w:rPr>
          <w:sz w:val="24"/>
          <w:szCs w:val="24"/>
        </w:rPr>
      </w:pPr>
      <w:r w:rsidRPr="000F1F37">
        <w:rPr>
          <w:rFonts w:eastAsia="Times New Roman"/>
          <w:sz w:val="24"/>
          <w:szCs w:val="24"/>
        </w:rPr>
        <w:t>C</w:t>
      </w:r>
      <w:r w:rsidRPr="000F1F37">
        <w:rPr>
          <w:rFonts w:eastAsia="Times New Roman"/>
          <w:sz w:val="24"/>
          <w:szCs w:val="24"/>
          <w:vertAlign w:val="subscript"/>
        </w:rPr>
        <w:t>f</w:t>
      </w:r>
      <w:r w:rsidRPr="000F1F37">
        <w:rPr>
          <w:rFonts w:eastAsia="Times New Roman"/>
          <w:sz w:val="24"/>
          <w:szCs w:val="24"/>
        </w:rPr>
        <w:t xml:space="preserve"> = the feed concentration measured during the challenge test; and</w:t>
      </w:r>
    </w:p>
    <w:p w14:paraId="281A6B6A" w14:textId="77777777" w:rsidR="004647B9" w:rsidRPr="000F1F37" w:rsidRDefault="00E2436F" w:rsidP="005C408E">
      <w:pPr>
        <w:ind w:left="2620"/>
        <w:rPr>
          <w:sz w:val="24"/>
          <w:szCs w:val="24"/>
        </w:rPr>
      </w:pPr>
      <w:r w:rsidRPr="000F1F37">
        <w:rPr>
          <w:rFonts w:eastAsia="Times New Roman"/>
          <w:sz w:val="24"/>
          <w:szCs w:val="24"/>
        </w:rPr>
        <w:t>C</w:t>
      </w:r>
      <w:r w:rsidRPr="000F1F37">
        <w:rPr>
          <w:rFonts w:eastAsia="Times New Roman"/>
          <w:sz w:val="24"/>
          <w:szCs w:val="24"/>
          <w:vertAlign w:val="subscript"/>
        </w:rPr>
        <w:t>p</w:t>
      </w:r>
      <w:r w:rsidRPr="000F1F37">
        <w:rPr>
          <w:rFonts w:eastAsia="Times New Roman"/>
          <w:sz w:val="24"/>
          <w:szCs w:val="24"/>
        </w:rPr>
        <w:t xml:space="preserve"> = the filtrate concentration measured during the challenge test.</w:t>
      </w:r>
    </w:p>
    <w:p w14:paraId="281A6B6B" w14:textId="77777777" w:rsidR="004647B9" w:rsidRPr="000F1F37" w:rsidRDefault="004647B9" w:rsidP="005C408E">
      <w:pPr>
        <w:rPr>
          <w:sz w:val="24"/>
          <w:szCs w:val="24"/>
        </w:rPr>
      </w:pPr>
    </w:p>
    <w:p w14:paraId="281A6B6C" w14:textId="77777777" w:rsidR="004647B9" w:rsidRPr="000F1F37" w:rsidRDefault="00E2436F" w:rsidP="005C408E">
      <w:pPr>
        <w:ind w:left="2260"/>
        <w:jc w:val="both"/>
        <w:rPr>
          <w:sz w:val="24"/>
          <w:szCs w:val="24"/>
        </w:rPr>
      </w:pPr>
      <w:r w:rsidRPr="000F1F37">
        <w:rPr>
          <w:rFonts w:eastAsia="Times New Roman"/>
          <w:sz w:val="24"/>
          <w:szCs w:val="24"/>
        </w:rPr>
        <w:t>In applying this equation, the same units must be used for the feed and filtrate concentrations. If the challenge particulate is not detected in the filtrate, then the term C</w:t>
      </w:r>
      <w:r w:rsidRPr="000F1F37">
        <w:rPr>
          <w:rFonts w:eastAsia="Times New Roman"/>
          <w:sz w:val="24"/>
          <w:szCs w:val="24"/>
          <w:vertAlign w:val="subscript"/>
        </w:rPr>
        <w:t>p</w:t>
      </w:r>
      <w:r w:rsidRPr="000F1F37">
        <w:rPr>
          <w:rFonts w:eastAsia="Times New Roman"/>
          <w:sz w:val="24"/>
          <w:szCs w:val="24"/>
        </w:rPr>
        <w:t xml:space="preserve"> must be set equal to the detection limit;</w:t>
      </w:r>
    </w:p>
    <w:p w14:paraId="281A6B70" w14:textId="169470D7" w:rsidR="004647B9" w:rsidRPr="000F1F37" w:rsidRDefault="00E2436F" w:rsidP="005C408E">
      <w:pPr>
        <w:numPr>
          <w:ilvl w:val="0"/>
          <w:numId w:val="794"/>
        </w:numPr>
        <w:tabs>
          <w:tab w:val="left" w:pos="2613"/>
        </w:tabs>
        <w:ind w:left="2260" w:hanging="5"/>
        <w:jc w:val="both"/>
        <w:rPr>
          <w:rFonts w:eastAsia="Times New Roman"/>
          <w:sz w:val="24"/>
          <w:szCs w:val="24"/>
        </w:rPr>
      </w:pPr>
      <w:r w:rsidRPr="000F1F37">
        <w:rPr>
          <w:rFonts w:eastAsia="Times New Roman"/>
          <w:sz w:val="24"/>
          <w:szCs w:val="24"/>
        </w:rPr>
        <w:t>each filter tested must be challenged with the challenge particulate during three periods over the filtration cycle: within two hours of start-up of a new filter; when the pressure drop is between 45% and 55% of the terminal pressure drop; and at the end of the cycle after the pressure drop has reached 100% of the terminal pressure drop. An LRV shall be calculated for each of these challenge periods for each filter tested.</w:t>
      </w:r>
      <w:r w:rsidR="000F1F37">
        <w:rPr>
          <w:rFonts w:eastAsia="Times New Roman"/>
          <w:sz w:val="24"/>
          <w:szCs w:val="24"/>
        </w:rPr>
        <w:t xml:space="preserve"> </w:t>
      </w:r>
      <w:r w:rsidRPr="000F1F37">
        <w:rPr>
          <w:rFonts w:eastAsia="Times New Roman"/>
          <w:sz w:val="24"/>
          <w:szCs w:val="24"/>
        </w:rPr>
        <w:t>The LRV for the filter (LRV</w:t>
      </w:r>
      <w:r w:rsidRPr="000F1F37">
        <w:rPr>
          <w:rFonts w:eastAsia="Times New Roman"/>
          <w:sz w:val="24"/>
          <w:szCs w:val="24"/>
          <w:vertAlign w:val="subscript"/>
        </w:rPr>
        <w:t>filter</w:t>
      </w:r>
      <w:r w:rsidRPr="000F1F37">
        <w:rPr>
          <w:rFonts w:eastAsia="Times New Roman"/>
          <w:sz w:val="24"/>
          <w:szCs w:val="24"/>
        </w:rPr>
        <w:t>) shall be assigned the value of the minimum LRV observed during the three challenge periods for that filter;</w:t>
      </w:r>
    </w:p>
    <w:p w14:paraId="281A6B76" w14:textId="0204E0B8" w:rsidR="004647B9" w:rsidRPr="00F449E9" w:rsidRDefault="00E2436F" w:rsidP="005C408E">
      <w:pPr>
        <w:tabs>
          <w:tab w:val="left" w:pos="2640"/>
        </w:tabs>
        <w:ind w:left="2260"/>
        <w:rPr>
          <w:sz w:val="24"/>
          <w:szCs w:val="24"/>
        </w:rPr>
      </w:pPr>
      <w:r w:rsidRPr="000F1F37">
        <w:rPr>
          <w:rFonts w:eastAsia="Times New Roman"/>
          <w:sz w:val="24"/>
          <w:szCs w:val="24"/>
        </w:rPr>
        <w:t>h.</w:t>
      </w:r>
      <w:r w:rsidRPr="000F1F37">
        <w:rPr>
          <w:rFonts w:eastAsia="Times New Roman"/>
          <w:sz w:val="24"/>
          <w:szCs w:val="24"/>
        </w:rPr>
        <w:tab/>
        <w:t>if fewer than 20 filters are tested, the overall removal efficiency for the filter</w:t>
      </w:r>
      <w:r w:rsidR="00F449E9">
        <w:rPr>
          <w:sz w:val="24"/>
          <w:szCs w:val="24"/>
        </w:rPr>
        <w:t xml:space="preserve"> </w:t>
      </w:r>
      <w:r w:rsidRPr="000F1F37">
        <w:rPr>
          <w:rFonts w:eastAsia="Times New Roman"/>
          <w:sz w:val="24"/>
          <w:szCs w:val="24"/>
        </w:rPr>
        <w:t>product line must be set equal to the lowest LRV</w:t>
      </w:r>
      <w:r w:rsidRPr="000F1F37">
        <w:rPr>
          <w:rFonts w:eastAsia="Times New Roman"/>
          <w:sz w:val="24"/>
          <w:szCs w:val="24"/>
          <w:vertAlign w:val="subscript"/>
        </w:rPr>
        <w:t>filter</w:t>
      </w:r>
      <w:r w:rsidRPr="000F1F37">
        <w:rPr>
          <w:rFonts w:eastAsia="Times New Roman"/>
          <w:sz w:val="24"/>
          <w:szCs w:val="24"/>
        </w:rPr>
        <w:t xml:space="preserve"> among the filters tested. If 20 or more filters are tested, the overall removal efficiency for the filter product line</w:t>
      </w:r>
      <w:r w:rsidR="00F449E9">
        <w:rPr>
          <w:sz w:val="24"/>
          <w:szCs w:val="24"/>
        </w:rPr>
        <w:t xml:space="preserve"> </w:t>
      </w:r>
      <w:r w:rsidRPr="00F449E9">
        <w:rPr>
          <w:rFonts w:eastAsia="Times New Roman"/>
          <w:sz w:val="24"/>
          <w:szCs w:val="24"/>
        </w:rPr>
        <w:t>must be set equal to the tenth percentile of the set of LRV</w:t>
      </w:r>
      <w:r w:rsidRPr="00F449E9">
        <w:rPr>
          <w:rFonts w:eastAsia="Times New Roman"/>
          <w:sz w:val="24"/>
          <w:szCs w:val="24"/>
          <w:vertAlign w:val="subscript"/>
        </w:rPr>
        <w:t>filter</w:t>
      </w:r>
      <w:r w:rsidRPr="00F449E9">
        <w:rPr>
          <w:rFonts w:eastAsia="Times New Roman"/>
          <w:sz w:val="24"/>
          <w:szCs w:val="24"/>
        </w:rPr>
        <w:t xml:space="preserve"> values for the various filters tested. The percentile is defined by (i/(n+1)) where i is the rank of n individual</w:t>
      </w:r>
      <w:r w:rsidR="00F449E9" w:rsidRPr="00F449E9">
        <w:rPr>
          <w:sz w:val="24"/>
          <w:szCs w:val="24"/>
        </w:rPr>
        <w:t xml:space="preserve"> </w:t>
      </w:r>
      <w:r w:rsidRPr="00F449E9">
        <w:rPr>
          <w:rFonts w:eastAsia="Times New Roman"/>
          <w:sz w:val="24"/>
          <w:szCs w:val="24"/>
        </w:rPr>
        <w:t>data points ordered lowest to highest. If necessary, the tenth percentile may be calculated using linear interpolation; and</w:t>
      </w:r>
    </w:p>
    <w:p w14:paraId="281A6B77" w14:textId="77777777" w:rsidR="004647B9" w:rsidRPr="00F449E9" w:rsidRDefault="00E2436F" w:rsidP="005C408E">
      <w:pPr>
        <w:numPr>
          <w:ilvl w:val="2"/>
          <w:numId w:val="795"/>
        </w:numPr>
        <w:tabs>
          <w:tab w:val="left" w:pos="2560"/>
        </w:tabs>
        <w:ind w:left="2560" w:hanging="305"/>
        <w:rPr>
          <w:rFonts w:eastAsia="Times New Roman"/>
          <w:sz w:val="24"/>
          <w:szCs w:val="24"/>
        </w:rPr>
      </w:pPr>
      <w:r w:rsidRPr="00F449E9">
        <w:rPr>
          <w:rFonts w:eastAsia="Times New Roman"/>
          <w:sz w:val="24"/>
          <w:szCs w:val="24"/>
        </w:rPr>
        <w:t>the results of challenge testing must be reported to the Department.</w:t>
      </w:r>
    </w:p>
    <w:p w14:paraId="281A6B79" w14:textId="77777777" w:rsidR="004647B9" w:rsidRPr="00F449E9" w:rsidRDefault="00E2436F" w:rsidP="005C408E">
      <w:pPr>
        <w:numPr>
          <w:ilvl w:val="1"/>
          <w:numId w:val="796"/>
        </w:numPr>
        <w:tabs>
          <w:tab w:val="left" w:pos="2303"/>
        </w:tabs>
        <w:ind w:left="1900" w:hanging="5"/>
        <w:jc w:val="both"/>
        <w:rPr>
          <w:rFonts w:eastAsia="Times New Roman"/>
          <w:sz w:val="24"/>
          <w:szCs w:val="24"/>
        </w:rPr>
      </w:pPr>
      <w:r w:rsidRPr="00F449E9">
        <w:rPr>
          <w:rFonts w:eastAsia="Times New Roman"/>
          <w:sz w:val="24"/>
          <w:szCs w:val="24"/>
          <w:u w:val="single"/>
        </w:rPr>
        <w:t>Retesting Requirement</w:t>
      </w:r>
      <w:r w:rsidRPr="00F449E9">
        <w:rPr>
          <w:rFonts w:eastAsia="Times New Roman"/>
          <w:sz w:val="24"/>
          <w:szCs w:val="24"/>
        </w:rPr>
        <w:t xml:space="preserve">. If a previously tested filter is modified in a manner that could change the removal efficiency of the filter product line, challenge testing to demonstrate the removal efficiency of the modified filter must be conducted and submitted to the Department for a determination of whether such change will result in an adjustment to the overall </w:t>
      </w:r>
      <w:r w:rsidRPr="00F449E9">
        <w:rPr>
          <w:rFonts w:eastAsia="Times New Roman"/>
          <w:i/>
          <w:iCs/>
          <w:sz w:val="24"/>
          <w:szCs w:val="24"/>
        </w:rPr>
        <w:t>Cryptosporidium</w:t>
      </w:r>
      <w:r w:rsidRPr="00F449E9">
        <w:rPr>
          <w:rFonts w:eastAsia="Times New Roman"/>
          <w:sz w:val="24"/>
          <w:szCs w:val="24"/>
        </w:rPr>
        <w:t xml:space="preserve"> treatment credit previously awarded.</w:t>
      </w:r>
    </w:p>
    <w:p w14:paraId="281A6B7B" w14:textId="77777777" w:rsidR="004647B9" w:rsidRPr="00F449E9" w:rsidRDefault="00E2436F" w:rsidP="005C408E">
      <w:pPr>
        <w:numPr>
          <w:ilvl w:val="0"/>
          <w:numId w:val="797"/>
        </w:numPr>
        <w:tabs>
          <w:tab w:val="left" w:pos="2007"/>
        </w:tabs>
        <w:ind w:left="1540" w:hanging="5"/>
        <w:jc w:val="both"/>
        <w:rPr>
          <w:rFonts w:eastAsia="Times New Roman"/>
          <w:sz w:val="24"/>
          <w:szCs w:val="24"/>
        </w:rPr>
      </w:pPr>
      <w:r w:rsidRPr="00F449E9">
        <w:rPr>
          <w:rFonts w:eastAsia="Times New Roman"/>
          <w:sz w:val="24"/>
          <w:szCs w:val="24"/>
          <w:u w:val="single"/>
        </w:rPr>
        <w:t>Membrane Filtration</w:t>
      </w:r>
      <w:r w:rsidRPr="00F449E9">
        <w:rPr>
          <w:rFonts w:eastAsia="Times New Roman"/>
          <w:sz w:val="24"/>
          <w:szCs w:val="24"/>
        </w:rPr>
        <w:t xml:space="preserve">. A Supplier of Water using Membrane Filtration, subject to the Department's review and written approval, shall receive </w:t>
      </w:r>
      <w:r w:rsidRPr="00F449E9">
        <w:rPr>
          <w:rFonts w:eastAsia="Times New Roman"/>
          <w:i/>
          <w:iCs/>
          <w:sz w:val="24"/>
          <w:szCs w:val="24"/>
        </w:rPr>
        <w:t>Cryptosporidium</w:t>
      </w:r>
      <w:r w:rsidRPr="00F449E9">
        <w:rPr>
          <w:rFonts w:eastAsia="Times New Roman"/>
          <w:sz w:val="24"/>
          <w:szCs w:val="24"/>
        </w:rPr>
        <w:t xml:space="preserve"> treatment credit, in accordance with the following:</w:t>
      </w:r>
    </w:p>
    <w:p w14:paraId="281A6B7D" w14:textId="77777777" w:rsidR="004647B9" w:rsidRPr="00F449E9" w:rsidRDefault="00E2436F" w:rsidP="005C408E">
      <w:pPr>
        <w:numPr>
          <w:ilvl w:val="1"/>
          <w:numId w:val="797"/>
        </w:numPr>
        <w:tabs>
          <w:tab w:val="left" w:pos="2224"/>
        </w:tabs>
        <w:ind w:left="1900" w:hanging="5"/>
        <w:jc w:val="both"/>
        <w:rPr>
          <w:rFonts w:eastAsia="Times New Roman"/>
          <w:sz w:val="24"/>
          <w:szCs w:val="24"/>
        </w:rPr>
      </w:pPr>
      <w:r w:rsidRPr="00F449E9">
        <w:rPr>
          <w:rFonts w:eastAsia="Times New Roman"/>
          <w:sz w:val="24"/>
          <w:szCs w:val="24"/>
          <w:u w:val="single"/>
        </w:rPr>
        <w:t>Calculation of Credit</w:t>
      </w:r>
      <w:r w:rsidRPr="00F449E9">
        <w:rPr>
          <w:rFonts w:eastAsia="Times New Roman"/>
          <w:sz w:val="24"/>
          <w:szCs w:val="24"/>
        </w:rPr>
        <w:t xml:space="preserve">. The level of </w:t>
      </w:r>
      <w:r w:rsidRPr="00F449E9">
        <w:rPr>
          <w:rFonts w:eastAsia="Times New Roman"/>
          <w:i/>
          <w:iCs/>
          <w:sz w:val="24"/>
          <w:szCs w:val="24"/>
        </w:rPr>
        <w:t>Cryptosporidium</w:t>
      </w:r>
      <w:r w:rsidRPr="00F449E9">
        <w:rPr>
          <w:rFonts w:eastAsia="Times New Roman"/>
          <w:sz w:val="24"/>
          <w:szCs w:val="24"/>
        </w:rPr>
        <w:t xml:space="preserve"> treatment credit a Public Water System receives shall be equal to the lower of the values determined in 310 CMR 22.20G(22)(b)1.a. and b.</w:t>
      </w:r>
    </w:p>
    <w:p w14:paraId="281A6B7F" w14:textId="77777777" w:rsidR="004647B9" w:rsidRPr="00F449E9" w:rsidRDefault="00E2436F" w:rsidP="005C408E">
      <w:pPr>
        <w:numPr>
          <w:ilvl w:val="2"/>
          <w:numId w:val="797"/>
        </w:numPr>
        <w:tabs>
          <w:tab w:val="left" w:pos="2603"/>
        </w:tabs>
        <w:ind w:left="2260" w:hanging="5"/>
        <w:rPr>
          <w:rFonts w:eastAsia="Times New Roman"/>
          <w:sz w:val="24"/>
          <w:szCs w:val="24"/>
        </w:rPr>
      </w:pPr>
      <w:r w:rsidRPr="00F449E9">
        <w:rPr>
          <w:rFonts w:eastAsia="Times New Roman"/>
          <w:sz w:val="24"/>
          <w:szCs w:val="24"/>
        </w:rPr>
        <w:t>The removal efficiency demonstrated during challenge testing conducted under the conditions in 310 CMR 22.20G(22)(b)2.a.</w:t>
      </w:r>
    </w:p>
    <w:p w14:paraId="281A6B80" w14:textId="77777777" w:rsidR="004647B9" w:rsidRPr="00F449E9" w:rsidRDefault="00E2436F" w:rsidP="005C408E">
      <w:pPr>
        <w:numPr>
          <w:ilvl w:val="2"/>
          <w:numId w:val="797"/>
        </w:numPr>
        <w:tabs>
          <w:tab w:val="left" w:pos="2649"/>
        </w:tabs>
        <w:ind w:left="2260" w:hanging="5"/>
        <w:jc w:val="both"/>
        <w:rPr>
          <w:rFonts w:eastAsia="Times New Roman"/>
          <w:sz w:val="24"/>
          <w:szCs w:val="24"/>
        </w:rPr>
      </w:pPr>
      <w:r w:rsidRPr="00F449E9">
        <w:rPr>
          <w:rFonts w:eastAsia="Times New Roman"/>
          <w:sz w:val="24"/>
          <w:szCs w:val="24"/>
        </w:rPr>
        <w:t>The maximum removal efficiency that can be verified through direct integrity testing used with Membrane Filtration under the conditions in 310 CMR 22.20G(22)(b)2.b.</w:t>
      </w:r>
    </w:p>
    <w:p w14:paraId="281A6B82" w14:textId="77777777" w:rsidR="004647B9" w:rsidRPr="00F449E9" w:rsidRDefault="00E2436F" w:rsidP="005C408E">
      <w:pPr>
        <w:numPr>
          <w:ilvl w:val="1"/>
          <w:numId w:val="797"/>
        </w:numPr>
        <w:tabs>
          <w:tab w:val="left" w:pos="2260"/>
        </w:tabs>
        <w:ind w:left="2260" w:hanging="365"/>
        <w:rPr>
          <w:rFonts w:eastAsia="Times New Roman"/>
          <w:sz w:val="24"/>
          <w:szCs w:val="24"/>
        </w:rPr>
      </w:pPr>
      <w:r w:rsidRPr="00F449E9">
        <w:rPr>
          <w:rFonts w:eastAsia="Times New Roman"/>
          <w:sz w:val="24"/>
          <w:szCs w:val="24"/>
          <w:u w:val="single"/>
        </w:rPr>
        <w:t>Testing and Reporting Procedures</w:t>
      </w:r>
      <w:r w:rsidRPr="00F449E9">
        <w:rPr>
          <w:rFonts w:eastAsia="Times New Roman"/>
          <w:sz w:val="24"/>
          <w:szCs w:val="24"/>
        </w:rPr>
        <w:t>.</w:t>
      </w:r>
    </w:p>
    <w:p w14:paraId="281A6B84" w14:textId="77777777" w:rsidR="004647B9" w:rsidRPr="00F449E9" w:rsidRDefault="00E2436F" w:rsidP="005C408E">
      <w:pPr>
        <w:numPr>
          <w:ilvl w:val="2"/>
          <w:numId w:val="797"/>
        </w:numPr>
        <w:tabs>
          <w:tab w:val="left" w:pos="2699"/>
        </w:tabs>
        <w:ind w:left="2260" w:hanging="5"/>
        <w:jc w:val="both"/>
        <w:rPr>
          <w:rFonts w:eastAsia="Times New Roman"/>
          <w:sz w:val="24"/>
          <w:szCs w:val="24"/>
        </w:rPr>
      </w:pPr>
      <w:r w:rsidRPr="00F449E9">
        <w:rPr>
          <w:rFonts w:eastAsia="Times New Roman"/>
          <w:sz w:val="24"/>
          <w:szCs w:val="24"/>
          <w:u w:val="single"/>
        </w:rPr>
        <w:t>Challenge Testing</w:t>
      </w:r>
      <w:r w:rsidRPr="00F449E9">
        <w:rPr>
          <w:rFonts w:eastAsia="Times New Roman"/>
          <w:sz w:val="24"/>
          <w:szCs w:val="24"/>
        </w:rPr>
        <w:t>. The membrane used by the Public Water System must undergo challenge testing to evaluate removal efficiency and the Supplier of Water must report the results of challenge testing to the Department. Suppliers of Water may use data from challenge testing conducted prior to January 5, 2006, if the prior testing was consistent with the criteria specified in 310 CMR 22.20G(22)(b)2.a.i. through viii. Challenge testing must be conducted in accordance with the following:</w:t>
      </w:r>
    </w:p>
    <w:p w14:paraId="281A6B86" w14:textId="77777777" w:rsidR="004647B9" w:rsidRDefault="00E2436F" w:rsidP="005C408E">
      <w:pPr>
        <w:ind w:left="2620"/>
        <w:jc w:val="both"/>
        <w:rPr>
          <w:rFonts w:eastAsia="Times New Roman"/>
          <w:sz w:val="23"/>
          <w:szCs w:val="23"/>
        </w:rPr>
      </w:pPr>
      <w:r w:rsidRPr="00F449E9">
        <w:rPr>
          <w:rFonts w:eastAsia="Times New Roman"/>
          <w:sz w:val="24"/>
          <w:szCs w:val="24"/>
        </w:rPr>
        <w:t>i. challenge testing must be conducted on either a full-scale membrane module, identical in material and construction to the membrane modules used in the Public Water System's treatment facility, or a smaller-scale membrane module, identical in material and similar in construction to the full-scale module. "Module" as used herein means the smallest component of a membrane unit in</w:t>
      </w:r>
      <w:r>
        <w:rPr>
          <w:rFonts w:eastAsia="Times New Roman"/>
          <w:sz w:val="24"/>
          <w:szCs w:val="24"/>
        </w:rPr>
        <w:t xml:space="preserve"> which a specific membrane surface area is housed in a device with a filtrate outlet structure;</w:t>
      </w:r>
    </w:p>
    <w:p w14:paraId="281A6B87" w14:textId="77777777" w:rsidR="004647B9" w:rsidRDefault="004647B9" w:rsidP="005C408E">
      <w:pPr>
        <w:sectPr w:rsidR="004647B9" w:rsidSect="00EF630C">
          <w:pgSz w:w="12240" w:h="20180"/>
          <w:pgMar w:top="708" w:right="1440" w:bottom="1022" w:left="620" w:header="0" w:footer="0" w:gutter="0"/>
          <w:cols w:space="720"/>
        </w:sectPr>
      </w:pPr>
    </w:p>
    <w:p w14:paraId="281A6B88" w14:textId="77777777" w:rsidR="004647B9" w:rsidRDefault="00E2436F">
      <w:pPr>
        <w:tabs>
          <w:tab w:val="left" w:pos="160"/>
        </w:tabs>
        <w:ind w:right="20"/>
        <w:jc w:val="center"/>
        <w:rPr>
          <w:sz w:val="20"/>
          <w:szCs w:val="20"/>
        </w:rPr>
      </w:pPr>
      <w:bookmarkStart w:id="310" w:name="page315"/>
      <w:bookmarkEnd w:id="31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B89" w14:textId="77777777" w:rsidR="004647B9" w:rsidRDefault="004647B9" w:rsidP="004211E0">
      <w:pPr>
        <w:rPr>
          <w:sz w:val="20"/>
          <w:szCs w:val="20"/>
        </w:rPr>
      </w:pPr>
    </w:p>
    <w:p w14:paraId="281A6B8A" w14:textId="77777777" w:rsidR="004647B9" w:rsidRDefault="004647B9" w:rsidP="004211E0">
      <w:pPr>
        <w:rPr>
          <w:sz w:val="20"/>
          <w:szCs w:val="20"/>
        </w:rPr>
      </w:pPr>
    </w:p>
    <w:p w14:paraId="281A6B8B" w14:textId="77777777" w:rsidR="004647B9" w:rsidRPr="00C230AA" w:rsidRDefault="00E2436F" w:rsidP="004211E0">
      <w:pPr>
        <w:tabs>
          <w:tab w:val="left" w:pos="940"/>
        </w:tabs>
        <w:rPr>
          <w:sz w:val="24"/>
          <w:szCs w:val="24"/>
        </w:rPr>
      </w:pPr>
      <w:r w:rsidRPr="00C230AA">
        <w:rPr>
          <w:rFonts w:eastAsia="Times New Roman"/>
          <w:sz w:val="24"/>
          <w:szCs w:val="24"/>
        </w:rPr>
        <w:t>22.20G:</w:t>
      </w:r>
      <w:r w:rsidRPr="00C230AA">
        <w:rPr>
          <w:rFonts w:eastAsia="Times New Roman"/>
          <w:sz w:val="24"/>
          <w:szCs w:val="24"/>
        </w:rPr>
        <w:tab/>
        <w:t>continued</w:t>
      </w:r>
    </w:p>
    <w:p w14:paraId="281A6B8C" w14:textId="77777777" w:rsidR="004647B9" w:rsidRPr="004211E0" w:rsidRDefault="004647B9" w:rsidP="004211E0">
      <w:pPr>
        <w:rPr>
          <w:sz w:val="20"/>
          <w:szCs w:val="20"/>
        </w:rPr>
      </w:pPr>
    </w:p>
    <w:p w14:paraId="281A6B8D" w14:textId="77777777" w:rsidR="004647B9" w:rsidRPr="00C230AA" w:rsidRDefault="00E2436F" w:rsidP="004211E0">
      <w:pPr>
        <w:numPr>
          <w:ilvl w:val="0"/>
          <w:numId w:val="798"/>
        </w:numPr>
        <w:tabs>
          <w:tab w:val="left" w:pos="2788"/>
        </w:tabs>
        <w:ind w:left="2260" w:hanging="5"/>
        <w:jc w:val="both"/>
        <w:rPr>
          <w:rFonts w:eastAsia="Times New Roman"/>
          <w:sz w:val="24"/>
          <w:szCs w:val="24"/>
        </w:rPr>
      </w:pPr>
      <w:r w:rsidRPr="00C230AA">
        <w:rPr>
          <w:rFonts w:eastAsia="Times New Roman"/>
          <w:sz w:val="24"/>
          <w:szCs w:val="24"/>
        </w:rPr>
        <w:t xml:space="preserve">challenge testing must be conducted using </w:t>
      </w:r>
      <w:r w:rsidRPr="00C230AA">
        <w:rPr>
          <w:rFonts w:eastAsia="Times New Roman"/>
          <w:i/>
          <w:iCs/>
          <w:sz w:val="24"/>
          <w:szCs w:val="24"/>
        </w:rPr>
        <w:t>Cryptosporidium oocysts</w:t>
      </w:r>
      <w:r w:rsidRPr="00C230AA">
        <w:rPr>
          <w:rFonts w:eastAsia="Times New Roman"/>
          <w:sz w:val="24"/>
          <w:szCs w:val="24"/>
        </w:rPr>
        <w:t xml:space="preserve"> or a surrogate that is removed no more efficiently than </w:t>
      </w:r>
      <w:r w:rsidRPr="00C230AA">
        <w:rPr>
          <w:rFonts w:eastAsia="Times New Roman"/>
          <w:i/>
          <w:iCs/>
          <w:sz w:val="24"/>
          <w:szCs w:val="24"/>
        </w:rPr>
        <w:t>Cryptosporidium oocysts</w:t>
      </w:r>
      <w:r w:rsidRPr="00C230AA">
        <w:rPr>
          <w:rFonts w:eastAsia="Times New Roman"/>
          <w:sz w:val="24"/>
          <w:szCs w:val="24"/>
        </w:rPr>
        <w:t>. The organism or surrogate used during challenge testing is referred to as the "challenge particulate". The concentration of the challenge particulate, in both the feed and filtrate water, must be determined using a method capable of discretely quantifying the specific challenge particulate used in the test; gross measurements such as Turbidity may not be used;</w:t>
      </w:r>
    </w:p>
    <w:p w14:paraId="281A6B8F" w14:textId="77777777" w:rsidR="004647B9" w:rsidRPr="00C230AA" w:rsidRDefault="00E2436F" w:rsidP="004211E0">
      <w:pPr>
        <w:numPr>
          <w:ilvl w:val="0"/>
          <w:numId w:val="798"/>
        </w:numPr>
        <w:tabs>
          <w:tab w:val="left" w:pos="2674"/>
        </w:tabs>
        <w:ind w:left="2260" w:hanging="5"/>
        <w:jc w:val="both"/>
        <w:rPr>
          <w:rFonts w:eastAsia="Times New Roman"/>
          <w:sz w:val="24"/>
          <w:szCs w:val="24"/>
        </w:rPr>
      </w:pPr>
      <w:r w:rsidRPr="00C230AA">
        <w:rPr>
          <w:rFonts w:eastAsia="Times New Roman"/>
          <w:sz w:val="24"/>
          <w:szCs w:val="24"/>
        </w:rPr>
        <w:t>the maximum feed water concentration that may be used during a challenge test must be based on the detection limit of the challenge particulate in the filtrate and must be determined according to the following equation: Maximum Feed Concentration = 3.16 x10</w:t>
      </w:r>
      <w:r w:rsidRPr="00C230AA">
        <w:rPr>
          <w:rFonts w:eastAsia="Times New Roman"/>
          <w:sz w:val="24"/>
          <w:szCs w:val="24"/>
          <w:vertAlign w:val="superscript"/>
        </w:rPr>
        <w:t>6</w:t>
      </w:r>
      <w:r w:rsidRPr="00C230AA">
        <w:rPr>
          <w:rFonts w:eastAsia="Times New Roman"/>
          <w:sz w:val="24"/>
          <w:szCs w:val="24"/>
        </w:rPr>
        <w:t xml:space="preserve"> x (Filtrate Detection Limit);</w:t>
      </w:r>
    </w:p>
    <w:p w14:paraId="281A6B91" w14:textId="77777777" w:rsidR="004647B9" w:rsidRPr="00C230AA" w:rsidRDefault="00E2436F" w:rsidP="004211E0">
      <w:pPr>
        <w:numPr>
          <w:ilvl w:val="0"/>
          <w:numId w:val="798"/>
        </w:numPr>
        <w:tabs>
          <w:tab w:val="left" w:pos="2687"/>
        </w:tabs>
        <w:ind w:left="2260" w:hanging="5"/>
        <w:jc w:val="both"/>
        <w:rPr>
          <w:rFonts w:eastAsia="Times New Roman"/>
          <w:sz w:val="24"/>
          <w:szCs w:val="24"/>
        </w:rPr>
      </w:pPr>
      <w:r w:rsidRPr="00C230AA">
        <w:rPr>
          <w:rFonts w:eastAsia="Times New Roman"/>
          <w:sz w:val="24"/>
          <w:szCs w:val="24"/>
        </w:rPr>
        <w:t>challenge testing must be conducted under representative hydraulic conditions at the maximum design flux and maximum design process recovery specified by the manufacturer for the membrane module. "Flux" as used in 310 CMR 22.20G means the throughput of a pressure driven membrane process expressed as flow per unit of membrane area. "Recovery" as used in 310 CMR 22.20G means the volumetric percent of feed water that is converted to filtrate over the course of an operating cycle uninterrupted by events such as chemical cleaning or a solids removal process (</w:t>
      </w:r>
      <w:r w:rsidRPr="00C230AA">
        <w:rPr>
          <w:rFonts w:eastAsia="Times New Roman"/>
          <w:i/>
          <w:iCs/>
          <w:sz w:val="24"/>
          <w:szCs w:val="24"/>
        </w:rPr>
        <w:t>i.e</w:t>
      </w:r>
      <w:r w:rsidRPr="00C230AA">
        <w:rPr>
          <w:rFonts w:eastAsia="Times New Roman"/>
          <w:sz w:val="24"/>
          <w:szCs w:val="24"/>
        </w:rPr>
        <w:t>., backwashing);</w:t>
      </w:r>
    </w:p>
    <w:p w14:paraId="281A6B93" w14:textId="77777777" w:rsidR="004647B9" w:rsidRPr="00C230AA" w:rsidRDefault="00E2436F" w:rsidP="004211E0">
      <w:pPr>
        <w:numPr>
          <w:ilvl w:val="0"/>
          <w:numId w:val="798"/>
        </w:numPr>
        <w:tabs>
          <w:tab w:val="left" w:pos="2577"/>
        </w:tabs>
        <w:ind w:left="2260" w:hanging="5"/>
        <w:jc w:val="both"/>
        <w:rPr>
          <w:rFonts w:eastAsia="Times New Roman"/>
          <w:sz w:val="24"/>
          <w:szCs w:val="24"/>
        </w:rPr>
      </w:pPr>
      <w:r w:rsidRPr="00C230AA">
        <w:rPr>
          <w:rFonts w:eastAsia="Times New Roman"/>
          <w:sz w:val="24"/>
          <w:szCs w:val="24"/>
        </w:rPr>
        <w:t>removal efficiency of a membrane module must be calculated from the challenge test results and expressed as a log removal value according to the following equation:</w:t>
      </w:r>
    </w:p>
    <w:p w14:paraId="281A6B94" w14:textId="77777777" w:rsidR="004647B9" w:rsidRPr="00C230AA" w:rsidRDefault="004647B9" w:rsidP="004211E0">
      <w:pPr>
        <w:rPr>
          <w:sz w:val="24"/>
          <w:szCs w:val="24"/>
        </w:rPr>
      </w:pPr>
    </w:p>
    <w:p w14:paraId="281A6B95" w14:textId="35CA7701" w:rsidR="004647B9" w:rsidRPr="00C230AA" w:rsidRDefault="00E2436F" w:rsidP="004211E0">
      <w:pPr>
        <w:ind w:left="2620"/>
        <w:rPr>
          <w:sz w:val="24"/>
          <w:szCs w:val="24"/>
        </w:rPr>
      </w:pPr>
      <w:r w:rsidRPr="00C230AA">
        <w:rPr>
          <w:rFonts w:eastAsia="Times New Roman"/>
          <w:sz w:val="24"/>
          <w:szCs w:val="24"/>
        </w:rPr>
        <w:t>LRV = log</w:t>
      </w:r>
      <w:r w:rsidRPr="00905F85">
        <w:rPr>
          <w:rFonts w:eastAsia="Times New Roman"/>
          <w:sz w:val="24"/>
          <w:szCs w:val="24"/>
          <w:vertAlign w:val="subscript"/>
        </w:rPr>
        <w:t>10</w:t>
      </w:r>
      <w:r w:rsidRPr="00C230AA">
        <w:rPr>
          <w:rFonts w:eastAsia="Times New Roman"/>
          <w:sz w:val="24"/>
          <w:szCs w:val="24"/>
        </w:rPr>
        <w:t>(C</w:t>
      </w:r>
      <w:r w:rsidRPr="00C230AA">
        <w:rPr>
          <w:rFonts w:eastAsia="Times New Roman"/>
          <w:sz w:val="24"/>
          <w:szCs w:val="24"/>
          <w:vertAlign w:val="subscript"/>
        </w:rPr>
        <w:t>f</w:t>
      </w:r>
      <w:r w:rsidRPr="00C230AA">
        <w:rPr>
          <w:rFonts w:eastAsia="Times New Roman"/>
          <w:sz w:val="24"/>
          <w:szCs w:val="24"/>
        </w:rPr>
        <w:t>) - log</w:t>
      </w:r>
      <w:r w:rsidRPr="00905F85">
        <w:rPr>
          <w:rFonts w:eastAsia="Times New Roman"/>
          <w:sz w:val="24"/>
          <w:szCs w:val="24"/>
          <w:vertAlign w:val="subscript"/>
        </w:rPr>
        <w:t>10</w:t>
      </w:r>
      <w:r w:rsidRPr="00C230AA">
        <w:rPr>
          <w:rFonts w:eastAsia="Times New Roman"/>
          <w:sz w:val="24"/>
          <w:szCs w:val="24"/>
        </w:rPr>
        <w:t>(C</w:t>
      </w:r>
      <w:r w:rsidRPr="00C230AA">
        <w:rPr>
          <w:rFonts w:eastAsia="Times New Roman"/>
          <w:sz w:val="24"/>
          <w:szCs w:val="24"/>
          <w:vertAlign w:val="subscript"/>
        </w:rPr>
        <w:t>p</w:t>
      </w:r>
      <w:r w:rsidRPr="00C230AA">
        <w:rPr>
          <w:rFonts w:eastAsia="Times New Roman"/>
          <w:sz w:val="24"/>
          <w:szCs w:val="24"/>
        </w:rPr>
        <w:t>),</w:t>
      </w:r>
    </w:p>
    <w:p w14:paraId="281A6B96" w14:textId="77777777" w:rsidR="004647B9" w:rsidRPr="00C230AA" w:rsidRDefault="004647B9" w:rsidP="004211E0">
      <w:pPr>
        <w:rPr>
          <w:sz w:val="24"/>
          <w:szCs w:val="24"/>
        </w:rPr>
      </w:pPr>
    </w:p>
    <w:p w14:paraId="281A6B97" w14:textId="77777777" w:rsidR="004647B9" w:rsidRPr="00C230AA" w:rsidRDefault="00E2436F" w:rsidP="004211E0">
      <w:pPr>
        <w:ind w:left="2620"/>
        <w:rPr>
          <w:sz w:val="24"/>
          <w:szCs w:val="24"/>
        </w:rPr>
      </w:pPr>
      <w:r w:rsidRPr="00C230AA">
        <w:rPr>
          <w:rFonts w:eastAsia="Times New Roman"/>
          <w:sz w:val="24"/>
          <w:szCs w:val="24"/>
        </w:rPr>
        <w:t>Where:</w:t>
      </w:r>
    </w:p>
    <w:p w14:paraId="281A6B99" w14:textId="77777777" w:rsidR="004647B9" w:rsidRPr="00153587" w:rsidRDefault="00E2436F" w:rsidP="004211E0">
      <w:pPr>
        <w:ind w:left="2620"/>
        <w:rPr>
          <w:sz w:val="24"/>
          <w:szCs w:val="24"/>
        </w:rPr>
      </w:pPr>
      <w:r w:rsidRPr="00153587">
        <w:rPr>
          <w:rFonts w:eastAsia="Times New Roman"/>
          <w:sz w:val="24"/>
          <w:szCs w:val="24"/>
        </w:rPr>
        <w:t>LRV = log removal value demonstrated during the challenge test;</w:t>
      </w:r>
    </w:p>
    <w:p w14:paraId="281A6B9A" w14:textId="77777777" w:rsidR="004647B9" w:rsidRPr="00153587" w:rsidRDefault="00E2436F" w:rsidP="004211E0">
      <w:pPr>
        <w:ind w:left="2620"/>
        <w:rPr>
          <w:sz w:val="24"/>
          <w:szCs w:val="24"/>
        </w:rPr>
      </w:pPr>
      <w:r w:rsidRPr="00153587">
        <w:rPr>
          <w:rFonts w:eastAsia="Times New Roman"/>
          <w:sz w:val="24"/>
          <w:szCs w:val="24"/>
        </w:rPr>
        <w:t>C</w:t>
      </w:r>
      <w:r w:rsidRPr="00153587">
        <w:rPr>
          <w:rFonts w:eastAsia="Times New Roman"/>
          <w:sz w:val="24"/>
          <w:szCs w:val="24"/>
          <w:vertAlign w:val="subscript"/>
        </w:rPr>
        <w:t>f</w:t>
      </w:r>
      <w:r w:rsidRPr="00153587">
        <w:rPr>
          <w:rFonts w:eastAsia="Times New Roman"/>
          <w:sz w:val="24"/>
          <w:szCs w:val="24"/>
        </w:rPr>
        <w:t xml:space="preserve"> = the feed concentration measured during the challenge test; and</w:t>
      </w:r>
    </w:p>
    <w:p w14:paraId="281A6B9B" w14:textId="77777777" w:rsidR="004647B9" w:rsidRPr="00153587" w:rsidRDefault="00E2436F" w:rsidP="004211E0">
      <w:pPr>
        <w:ind w:left="2620"/>
        <w:rPr>
          <w:sz w:val="24"/>
          <w:szCs w:val="24"/>
        </w:rPr>
      </w:pPr>
      <w:r w:rsidRPr="00153587">
        <w:rPr>
          <w:rFonts w:eastAsia="Times New Roman"/>
          <w:sz w:val="24"/>
          <w:szCs w:val="24"/>
        </w:rPr>
        <w:t>C</w:t>
      </w:r>
      <w:r w:rsidRPr="00153587">
        <w:rPr>
          <w:rFonts w:eastAsia="Times New Roman"/>
          <w:sz w:val="24"/>
          <w:szCs w:val="24"/>
          <w:vertAlign w:val="subscript"/>
        </w:rPr>
        <w:t>p</w:t>
      </w:r>
      <w:r w:rsidRPr="00153587">
        <w:rPr>
          <w:rFonts w:eastAsia="Times New Roman"/>
          <w:sz w:val="24"/>
          <w:szCs w:val="24"/>
        </w:rPr>
        <w:t xml:space="preserve"> = the filtrate concentration measured during the challenge test.</w:t>
      </w:r>
    </w:p>
    <w:p w14:paraId="281A6B9C" w14:textId="77777777" w:rsidR="004647B9" w:rsidRPr="00153587" w:rsidRDefault="004647B9" w:rsidP="004211E0">
      <w:pPr>
        <w:rPr>
          <w:sz w:val="24"/>
          <w:szCs w:val="24"/>
        </w:rPr>
      </w:pPr>
    </w:p>
    <w:p w14:paraId="281A6B9D" w14:textId="77777777" w:rsidR="004647B9" w:rsidRPr="00153587" w:rsidRDefault="00E2436F" w:rsidP="004211E0">
      <w:pPr>
        <w:ind w:left="2260"/>
        <w:jc w:val="both"/>
        <w:rPr>
          <w:sz w:val="24"/>
          <w:szCs w:val="24"/>
        </w:rPr>
      </w:pPr>
      <w:r w:rsidRPr="00153587">
        <w:rPr>
          <w:rFonts w:eastAsia="Times New Roman"/>
          <w:sz w:val="24"/>
          <w:szCs w:val="24"/>
        </w:rPr>
        <w:t>Equivalent units must be used for the feed and filtrate concentrations. If the challenge particulate is not detected in the filtrate, the term C</w:t>
      </w:r>
      <w:r w:rsidRPr="00153587">
        <w:rPr>
          <w:rFonts w:eastAsia="Times New Roman"/>
          <w:sz w:val="24"/>
          <w:szCs w:val="24"/>
          <w:vertAlign w:val="subscript"/>
        </w:rPr>
        <w:t>p</w:t>
      </w:r>
      <w:r w:rsidRPr="00153587">
        <w:rPr>
          <w:rFonts w:eastAsia="Times New Roman"/>
          <w:sz w:val="24"/>
          <w:szCs w:val="24"/>
        </w:rPr>
        <w:t xml:space="preserve"> must be set equal to the detection limit for the purpose of calculating the LRV. An LRV must be calculated for each membrane module evaluated during the challenge test;</w:t>
      </w:r>
    </w:p>
    <w:p w14:paraId="281A6B9F" w14:textId="77777777" w:rsidR="004647B9" w:rsidRPr="00153587" w:rsidRDefault="00E2436F" w:rsidP="004211E0">
      <w:pPr>
        <w:tabs>
          <w:tab w:val="left" w:pos="2680"/>
        </w:tabs>
        <w:ind w:left="2260"/>
        <w:jc w:val="both"/>
        <w:rPr>
          <w:sz w:val="24"/>
          <w:szCs w:val="24"/>
        </w:rPr>
      </w:pPr>
      <w:r w:rsidRPr="00153587">
        <w:rPr>
          <w:rFonts w:eastAsia="Times New Roman"/>
          <w:sz w:val="24"/>
          <w:szCs w:val="24"/>
        </w:rPr>
        <w:t>vi.</w:t>
      </w:r>
      <w:r w:rsidRPr="00153587">
        <w:rPr>
          <w:rFonts w:eastAsia="Times New Roman"/>
          <w:sz w:val="24"/>
          <w:szCs w:val="24"/>
        </w:rPr>
        <w:tab/>
        <w:t>the removal efficiency of a Membrane Filtration process demonstrated during</w:t>
      </w:r>
    </w:p>
    <w:p w14:paraId="281A6BA1" w14:textId="77777777" w:rsidR="004647B9" w:rsidRPr="00153587" w:rsidRDefault="00E2436F" w:rsidP="004211E0">
      <w:pPr>
        <w:ind w:left="2260"/>
        <w:jc w:val="both"/>
        <w:rPr>
          <w:sz w:val="24"/>
          <w:szCs w:val="24"/>
        </w:rPr>
      </w:pPr>
      <w:r w:rsidRPr="00153587">
        <w:rPr>
          <w:rFonts w:eastAsia="Times New Roman"/>
          <w:sz w:val="24"/>
          <w:szCs w:val="24"/>
        </w:rPr>
        <w:t>challenge testing must be expressed as a log removal value (LRV</w:t>
      </w:r>
      <w:r w:rsidRPr="00153587">
        <w:rPr>
          <w:rFonts w:eastAsia="Times New Roman"/>
          <w:sz w:val="24"/>
          <w:szCs w:val="24"/>
          <w:vertAlign w:val="subscript"/>
        </w:rPr>
        <w:t>C-Test</w:t>
      </w:r>
      <w:r w:rsidRPr="00153587">
        <w:rPr>
          <w:rFonts w:eastAsia="Times New Roman"/>
          <w:sz w:val="24"/>
          <w:szCs w:val="24"/>
        </w:rPr>
        <w:t>). If fewer than 20 modules are tested, then LRV</w:t>
      </w:r>
      <w:r w:rsidRPr="00153587">
        <w:rPr>
          <w:rFonts w:eastAsia="Times New Roman"/>
          <w:sz w:val="24"/>
          <w:szCs w:val="24"/>
          <w:vertAlign w:val="subscript"/>
        </w:rPr>
        <w:t>C-Test</w:t>
      </w:r>
      <w:r w:rsidRPr="00153587">
        <w:rPr>
          <w:rFonts w:eastAsia="Times New Roman"/>
          <w:sz w:val="24"/>
          <w:szCs w:val="24"/>
        </w:rPr>
        <w:t xml:space="preserve"> must be equal to the lowest of the representative LRVs among the modules tested. If 20 or more modules are tested,</w:t>
      </w:r>
    </w:p>
    <w:p w14:paraId="281A6BA2" w14:textId="77777777" w:rsidR="004647B9" w:rsidRPr="00153587" w:rsidRDefault="00E2436F" w:rsidP="004211E0">
      <w:pPr>
        <w:ind w:left="2260"/>
        <w:jc w:val="both"/>
        <w:rPr>
          <w:sz w:val="24"/>
          <w:szCs w:val="24"/>
        </w:rPr>
      </w:pPr>
      <w:r w:rsidRPr="00153587">
        <w:rPr>
          <w:rFonts w:eastAsia="Times New Roman"/>
          <w:sz w:val="24"/>
          <w:szCs w:val="24"/>
        </w:rPr>
        <w:t>then LRV</w:t>
      </w:r>
      <w:r w:rsidRPr="00153587">
        <w:rPr>
          <w:rFonts w:eastAsia="Times New Roman"/>
          <w:sz w:val="24"/>
          <w:szCs w:val="24"/>
          <w:vertAlign w:val="subscript"/>
        </w:rPr>
        <w:t>C-Test</w:t>
      </w:r>
      <w:r w:rsidRPr="00153587">
        <w:rPr>
          <w:rFonts w:eastAsia="Times New Roman"/>
          <w:sz w:val="24"/>
          <w:szCs w:val="24"/>
        </w:rPr>
        <w:t xml:space="preserve"> is equal to the tenth percentile of the representative LRVs among the modules tested. The percentile is defined by (i/(n+1)) where i is the rank of n individual data points ordered lowest to highest. If necessary, the tenth percentile may be calculated using linear interpolation;</w:t>
      </w:r>
    </w:p>
    <w:p w14:paraId="281A6BA6" w14:textId="3F143575" w:rsidR="004647B9" w:rsidRPr="00153587" w:rsidRDefault="00E2436F" w:rsidP="004211E0">
      <w:pPr>
        <w:numPr>
          <w:ilvl w:val="0"/>
          <w:numId w:val="799"/>
        </w:numPr>
        <w:tabs>
          <w:tab w:val="left" w:pos="2753"/>
        </w:tabs>
        <w:ind w:left="2260" w:hanging="5"/>
        <w:jc w:val="both"/>
        <w:rPr>
          <w:rFonts w:eastAsia="Times New Roman"/>
          <w:sz w:val="24"/>
          <w:szCs w:val="24"/>
        </w:rPr>
      </w:pPr>
      <w:r w:rsidRPr="00153587">
        <w:rPr>
          <w:rFonts w:eastAsia="Times New Roman"/>
          <w:sz w:val="24"/>
          <w:szCs w:val="24"/>
        </w:rPr>
        <w:t xml:space="preserve">the challenge test must establish a quality control release value (QCRV) for a non-destructive performance test that demonstrates the </w:t>
      </w:r>
      <w:r w:rsidRPr="00153587">
        <w:rPr>
          <w:rFonts w:eastAsia="Times New Roman"/>
          <w:i/>
          <w:iCs/>
          <w:sz w:val="24"/>
          <w:szCs w:val="24"/>
        </w:rPr>
        <w:t>Cryptosporidium</w:t>
      </w:r>
      <w:r w:rsidRPr="00153587">
        <w:rPr>
          <w:rFonts w:eastAsia="Times New Roman"/>
          <w:sz w:val="24"/>
          <w:szCs w:val="24"/>
        </w:rPr>
        <w:t xml:space="preserve"> removal capability of the Membrane Filtration module. This performance test must be applied to each production membrane module used in the Public Water System's treatment facility that was not directly challenge tested in order to verify </w:t>
      </w:r>
      <w:r w:rsidRPr="00153587">
        <w:rPr>
          <w:rFonts w:eastAsia="Times New Roman"/>
          <w:i/>
          <w:iCs/>
          <w:sz w:val="24"/>
          <w:szCs w:val="24"/>
        </w:rPr>
        <w:t>Cryptosporidium</w:t>
      </w:r>
      <w:r w:rsidR="00153587">
        <w:rPr>
          <w:rFonts w:eastAsia="Times New Roman"/>
          <w:sz w:val="24"/>
          <w:szCs w:val="24"/>
        </w:rPr>
        <w:t xml:space="preserve"> </w:t>
      </w:r>
      <w:r w:rsidRPr="00153587">
        <w:rPr>
          <w:rFonts w:eastAsia="Times New Roman"/>
          <w:sz w:val="24"/>
          <w:szCs w:val="24"/>
        </w:rPr>
        <w:t xml:space="preserve">removal capability. Production modules that do not meet the established QCRV are not eligible for the </w:t>
      </w:r>
      <w:r w:rsidRPr="00153587">
        <w:rPr>
          <w:rFonts w:eastAsia="Times New Roman"/>
          <w:i/>
          <w:iCs/>
          <w:sz w:val="24"/>
          <w:szCs w:val="24"/>
        </w:rPr>
        <w:t>Cryptosporidium</w:t>
      </w:r>
      <w:r w:rsidRPr="00153587">
        <w:rPr>
          <w:rFonts w:eastAsia="Times New Roman"/>
          <w:sz w:val="24"/>
          <w:szCs w:val="24"/>
        </w:rPr>
        <w:t xml:space="preserve"> treatment credit demonstrated during the challenge test; and</w:t>
      </w:r>
    </w:p>
    <w:p w14:paraId="281A6BA8" w14:textId="77777777" w:rsidR="004647B9" w:rsidRPr="00153587" w:rsidRDefault="00E2436F" w:rsidP="004211E0">
      <w:pPr>
        <w:numPr>
          <w:ilvl w:val="0"/>
          <w:numId w:val="800"/>
        </w:numPr>
        <w:tabs>
          <w:tab w:val="left" w:pos="2793"/>
        </w:tabs>
        <w:ind w:left="2260" w:hanging="5"/>
        <w:jc w:val="both"/>
        <w:rPr>
          <w:rFonts w:eastAsia="Times New Roman"/>
          <w:sz w:val="24"/>
          <w:szCs w:val="24"/>
        </w:rPr>
      </w:pPr>
      <w:r w:rsidRPr="00153587">
        <w:rPr>
          <w:rFonts w:eastAsia="Times New Roman"/>
          <w:sz w:val="24"/>
          <w:szCs w:val="24"/>
        </w:rPr>
        <w:t>if a previously tested membrane is modified in a manner that could change the removal efficiency of the membrane or the applicability of the non-destructive performance test and associated QCRV, challenge testing to demonstrate the removal efficiency of, and determine a new QCRV for, the modified membrane must be conducted and submitted to the Department for a determination of whether such change will result in an adjustment to the previously awarded LRV, and an award of a new LRV</w:t>
      </w:r>
      <w:r w:rsidRPr="00153587">
        <w:rPr>
          <w:rFonts w:eastAsia="Times New Roman"/>
          <w:sz w:val="24"/>
          <w:szCs w:val="24"/>
          <w:vertAlign w:val="subscript"/>
        </w:rPr>
        <w:t>C-Test</w:t>
      </w:r>
      <w:r w:rsidRPr="00153587">
        <w:rPr>
          <w:rFonts w:eastAsia="Times New Roman"/>
          <w:sz w:val="24"/>
          <w:szCs w:val="24"/>
        </w:rPr>
        <w:t>.</w:t>
      </w:r>
    </w:p>
    <w:p w14:paraId="281A6BA9" w14:textId="77777777" w:rsidR="004647B9" w:rsidRDefault="004647B9" w:rsidP="004211E0">
      <w:pPr>
        <w:sectPr w:rsidR="004647B9" w:rsidSect="00EF630C">
          <w:pgSz w:w="12240" w:h="20180"/>
          <w:pgMar w:top="708" w:right="1440" w:bottom="1440" w:left="620" w:header="0" w:footer="0" w:gutter="0"/>
          <w:cols w:space="720"/>
        </w:sectPr>
      </w:pPr>
    </w:p>
    <w:p w14:paraId="281A6BAA" w14:textId="77777777" w:rsidR="004647B9" w:rsidRDefault="00E2436F">
      <w:pPr>
        <w:tabs>
          <w:tab w:val="left" w:pos="160"/>
        </w:tabs>
        <w:ind w:right="20"/>
        <w:jc w:val="center"/>
        <w:rPr>
          <w:sz w:val="20"/>
          <w:szCs w:val="20"/>
        </w:rPr>
      </w:pPr>
      <w:bookmarkStart w:id="311" w:name="page316"/>
      <w:bookmarkEnd w:id="31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BAB" w14:textId="77777777" w:rsidR="004647B9" w:rsidRDefault="004647B9" w:rsidP="004211E0">
      <w:pPr>
        <w:rPr>
          <w:sz w:val="20"/>
          <w:szCs w:val="20"/>
        </w:rPr>
      </w:pPr>
    </w:p>
    <w:p w14:paraId="281A6BAC" w14:textId="77777777" w:rsidR="004647B9" w:rsidRDefault="004647B9" w:rsidP="004211E0">
      <w:pPr>
        <w:rPr>
          <w:sz w:val="20"/>
          <w:szCs w:val="20"/>
        </w:rPr>
      </w:pPr>
    </w:p>
    <w:p w14:paraId="281A6BAD" w14:textId="77777777" w:rsidR="004647B9" w:rsidRPr="00153587" w:rsidRDefault="00E2436F" w:rsidP="004211E0">
      <w:pPr>
        <w:tabs>
          <w:tab w:val="left" w:pos="940"/>
        </w:tabs>
        <w:rPr>
          <w:sz w:val="24"/>
          <w:szCs w:val="24"/>
        </w:rPr>
      </w:pPr>
      <w:r w:rsidRPr="00153587">
        <w:rPr>
          <w:rFonts w:eastAsia="Times New Roman"/>
          <w:sz w:val="24"/>
          <w:szCs w:val="24"/>
        </w:rPr>
        <w:t>22.20G:</w:t>
      </w:r>
      <w:r w:rsidRPr="00153587">
        <w:rPr>
          <w:rFonts w:eastAsia="Times New Roman"/>
          <w:sz w:val="24"/>
          <w:szCs w:val="24"/>
        </w:rPr>
        <w:tab/>
        <w:t>continued</w:t>
      </w:r>
    </w:p>
    <w:p w14:paraId="281A6BAE" w14:textId="77777777" w:rsidR="004647B9" w:rsidRPr="004211E0" w:rsidRDefault="004647B9" w:rsidP="004211E0">
      <w:pPr>
        <w:rPr>
          <w:sz w:val="20"/>
          <w:szCs w:val="20"/>
        </w:rPr>
      </w:pPr>
    </w:p>
    <w:p w14:paraId="281A6BAF" w14:textId="77777777" w:rsidR="004647B9" w:rsidRPr="00153587" w:rsidRDefault="00E2436F" w:rsidP="004211E0">
      <w:pPr>
        <w:numPr>
          <w:ilvl w:val="0"/>
          <w:numId w:val="801"/>
        </w:numPr>
        <w:tabs>
          <w:tab w:val="left" w:pos="2606"/>
        </w:tabs>
        <w:ind w:left="2260" w:hanging="5"/>
        <w:jc w:val="both"/>
        <w:rPr>
          <w:rFonts w:eastAsia="Times New Roman"/>
          <w:sz w:val="24"/>
          <w:szCs w:val="24"/>
        </w:rPr>
      </w:pPr>
      <w:r w:rsidRPr="00153587">
        <w:rPr>
          <w:rFonts w:eastAsia="Times New Roman"/>
          <w:sz w:val="24"/>
          <w:szCs w:val="24"/>
          <w:u w:val="single"/>
        </w:rPr>
        <w:t>Direct Integrity Testing</w:t>
      </w:r>
      <w:r w:rsidRPr="00153587">
        <w:rPr>
          <w:rFonts w:eastAsia="Times New Roman"/>
          <w:sz w:val="24"/>
          <w:szCs w:val="24"/>
        </w:rPr>
        <w:t xml:space="preserve">. The membrane used by the Public Water System must undergo direct integrity testing in a manner that demonstrates a removal efficiency equal to or greater than the </w:t>
      </w:r>
      <w:r w:rsidRPr="00153587">
        <w:rPr>
          <w:rFonts w:eastAsia="Times New Roman"/>
          <w:i/>
          <w:iCs/>
          <w:sz w:val="24"/>
          <w:szCs w:val="24"/>
        </w:rPr>
        <w:t>Cryptosporidium</w:t>
      </w:r>
      <w:r w:rsidRPr="00153587">
        <w:rPr>
          <w:rFonts w:eastAsia="Times New Roman"/>
          <w:sz w:val="24"/>
          <w:szCs w:val="24"/>
        </w:rPr>
        <w:t xml:space="preserve"> treatment credit received pursuant to 310 CMR 22.20G(22)(b)2.a. A "direct integrity test" as used in 310 CMR 22.00G means a physical test applied to a membrane unit in order to identify and isolate integrity breaches (</w:t>
      </w:r>
      <w:r w:rsidRPr="00153587">
        <w:rPr>
          <w:rFonts w:eastAsia="Times New Roman"/>
          <w:i/>
          <w:iCs/>
          <w:sz w:val="24"/>
          <w:szCs w:val="24"/>
        </w:rPr>
        <w:t>i.e</w:t>
      </w:r>
      <w:r w:rsidRPr="00153587">
        <w:rPr>
          <w:rFonts w:eastAsia="Times New Roman"/>
          <w:sz w:val="24"/>
          <w:szCs w:val="24"/>
        </w:rPr>
        <w:t>., one or more leaks that could result in contamination of the filtrate). Direct integrity testing must be conducted in accordance with the following:</w:t>
      </w:r>
    </w:p>
    <w:p w14:paraId="281A6BB1" w14:textId="77777777" w:rsidR="004647B9" w:rsidRPr="00153587" w:rsidRDefault="00E2436F" w:rsidP="004211E0">
      <w:pPr>
        <w:numPr>
          <w:ilvl w:val="1"/>
          <w:numId w:val="801"/>
        </w:numPr>
        <w:tabs>
          <w:tab w:val="left" w:pos="2896"/>
        </w:tabs>
        <w:ind w:left="2620" w:hanging="5"/>
        <w:jc w:val="both"/>
        <w:rPr>
          <w:rFonts w:eastAsia="Times New Roman"/>
          <w:sz w:val="24"/>
          <w:szCs w:val="24"/>
        </w:rPr>
      </w:pPr>
      <w:r w:rsidRPr="00153587">
        <w:rPr>
          <w:rFonts w:eastAsia="Times New Roman"/>
          <w:sz w:val="24"/>
          <w:szCs w:val="24"/>
        </w:rPr>
        <w:t>the direct integrity test must be independently applied to each membrane unit in service. A "membrane unit" as used herein means a group of membrane modules that share common valving that allows the unit to be isolated from the rest of the Public Water System for the purpose of integrity testing or other maintenance;</w:t>
      </w:r>
    </w:p>
    <w:p w14:paraId="281A6BB3" w14:textId="77777777" w:rsidR="004647B9" w:rsidRPr="00153587" w:rsidRDefault="00E2436F" w:rsidP="004211E0">
      <w:pPr>
        <w:numPr>
          <w:ilvl w:val="1"/>
          <w:numId w:val="801"/>
        </w:numPr>
        <w:tabs>
          <w:tab w:val="left" w:pos="3015"/>
        </w:tabs>
        <w:ind w:left="2620" w:hanging="5"/>
        <w:jc w:val="both"/>
        <w:rPr>
          <w:rFonts w:eastAsia="Times New Roman"/>
          <w:sz w:val="24"/>
          <w:szCs w:val="24"/>
        </w:rPr>
      </w:pPr>
      <w:r w:rsidRPr="00153587">
        <w:rPr>
          <w:rFonts w:eastAsia="Times New Roman"/>
          <w:sz w:val="24"/>
          <w:szCs w:val="24"/>
        </w:rPr>
        <w:t>the direct integrity method must have a resolution of three micrometers or less, where "resolution" as used in 310 CMR 22.20G means the size of the smallest integrity breach that contributes to a response from the direct integrity test;</w:t>
      </w:r>
    </w:p>
    <w:p w14:paraId="281A6BB6" w14:textId="1179CDD1" w:rsidR="004647B9" w:rsidRPr="00B82D1C" w:rsidRDefault="00E2436F" w:rsidP="004211E0">
      <w:pPr>
        <w:numPr>
          <w:ilvl w:val="1"/>
          <w:numId w:val="801"/>
        </w:numPr>
        <w:tabs>
          <w:tab w:val="left" w:pos="3220"/>
        </w:tabs>
        <w:ind w:left="2621"/>
        <w:rPr>
          <w:rFonts w:eastAsia="Times New Roman"/>
          <w:sz w:val="24"/>
          <w:szCs w:val="24"/>
        </w:rPr>
      </w:pPr>
      <w:r w:rsidRPr="00153587">
        <w:rPr>
          <w:rFonts w:eastAsia="Times New Roman"/>
          <w:sz w:val="24"/>
          <w:szCs w:val="24"/>
        </w:rPr>
        <w:t>the direct integrity test must have sensitivity sufficient to verify the</w:t>
      </w:r>
      <w:r w:rsidR="00B82D1C">
        <w:rPr>
          <w:rFonts w:eastAsia="Times New Roman"/>
          <w:sz w:val="24"/>
          <w:szCs w:val="24"/>
        </w:rPr>
        <w:t xml:space="preserve"> </w:t>
      </w:r>
      <w:r w:rsidRPr="00B82D1C">
        <w:rPr>
          <w:rFonts w:eastAsia="Times New Roman"/>
          <w:i/>
          <w:iCs/>
          <w:sz w:val="24"/>
          <w:szCs w:val="24"/>
        </w:rPr>
        <w:t xml:space="preserve">Cryptosporidium </w:t>
      </w:r>
      <w:r w:rsidRPr="00B82D1C">
        <w:rPr>
          <w:rFonts w:eastAsia="Times New Roman"/>
          <w:sz w:val="24"/>
          <w:szCs w:val="24"/>
        </w:rPr>
        <w:t>treatment credit received pursuant to 310 CMR</w:t>
      </w:r>
      <w:r w:rsidRPr="00B82D1C">
        <w:rPr>
          <w:rFonts w:eastAsia="Times New Roman"/>
          <w:i/>
          <w:iCs/>
          <w:sz w:val="24"/>
          <w:szCs w:val="24"/>
        </w:rPr>
        <w:t xml:space="preserve"> </w:t>
      </w:r>
      <w:r w:rsidRPr="00B82D1C">
        <w:rPr>
          <w:rFonts w:eastAsia="Times New Roman"/>
          <w:sz w:val="24"/>
          <w:szCs w:val="24"/>
        </w:rPr>
        <w:t>22.20G(22)(b)2.a, where "sensitivity" as used in 310 CMR 22.20G means the maximum log removal value that can be reliably verified by a direct integrity test. Sensitivity must be determined using the approach in 310 CMR 22.20G(22)(b)2.b.iii.A. or B., as applicable to the type of direct integrity test the system uses.</w:t>
      </w:r>
    </w:p>
    <w:p w14:paraId="281A6BB8" w14:textId="77777777" w:rsidR="004647B9" w:rsidRPr="00153587" w:rsidRDefault="00E2436F" w:rsidP="004211E0">
      <w:pPr>
        <w:numPr>
          <w:ilvl w:val="0"/>
          <w:numId w:val="802"/>
        </w:numPr>
        <w:tabs>
          <w:tab w:val="left" w:pos="3458"/>
        </w:tabs>
        <w:ind w:left="2980" w:hanging="5"/>
        <w:jc w:val="both"/>
        <w:rPr>
          <w:rFonts w:eastAsia="Times New Roman"/>
          <w:sz w:val="24"/>
          <w:szCs w:val="24"/>
        </w:rPr>
      </w:pPr>
      <w:r w:rsidRPr="00153587">
        <w:rPr>
          <w:rFonts w:eastAsia="Times New Roman"/>
          <w:sz w:val="24"/>
          <w:szCs w:val="24"/>
        </w:rPr>
        <w:t>For direct integrity tests that use an applied pressure or vacuum, the direct integrity test sensitivity must be calculated according to the following equation:</w:t>
      </w:r>
    </w:p>
    <w:p w14:paraId="281A6BB9" w14:textId="77777777" w:rsidR="004647B9" w:rsidRPr="00153587" w:rsidRDefault="004647B9" w:rsidP="004211E0">
      <w:pPr>
        <w:rPr>
          <w:sz w:val="24"/>
          <w:szCs w:val="24"/>
        </w:rPr>
      </w:pPr>
    </w:p>
    <w:p w14:paraId="281A6BBA" w14:textId="77777777" w:rsidR="004647B9" w:rsidRPr="00153587" w:rsidRDefault="00E2436F" w:rsidP="004211E0">
      <w:pPr>
        <w:ind w:left="2980"/>
        <w:rPr>
          <w:sz w:val="24"/>
          <w:szCs w:val="24"/>
        </w:rPr>
      </w:pPr>
      <w:r w:rsidRPr="00153587">
        <w:rPr>
          <w:rFonts w:eastAsia="Times New Roman"/>
          <w:sz w:val="24"/>
          <w:szCs w:val="24"/>
        </w:rPr>
        <w:t>LRV</w:t>
      </w:r>
      <w:r w:rsidRPr="00153587">
        <w:rPr>
          <w:rFonts w:eastAsia="Times New Roman"/>
          <w:sz w:val="24"/>
          <w:szCs w:val="24"/>
          <w:vertAlign w:val="subscript"/>
        </w:rPr>
        <w:t>DIT</w:t>
      </w:r>
      <w:r w:rsidRPr="00153587">
        <w:rPr>
          <w:rFonts w:eastAsia="Times New Roman"/>
          <w:sz w:val="24"/>
          <w:szCs w:val="24"/>
        </w:rPr>
        <w:t xml:space="preserve"> = log</w:t>
      </w:r>
      <w:r w:rsidRPr="00153587">
        <w:rPr>
          <w:rFonts w:eastAsia="Times New Roman"/>
          <w:sz w:val="24"/>
          <w:szCs w:val="24"/>
          <w:vertAlign w:val="subscript"/>
        </w:rPr>
        <w:t>10</w:t>
      </w:r>
      <w:r w:rsidRPr="00153587">
        <w:rPr>
          <w:rFonts w:eastAsia="Times New Roman"/>
          <w:sz w:val="24"/>
          <w:szCs w:val="24"/>
        </w:rPr>
        <w:t xml:space="preserve"> (Q</w:t>
      </w:r>
      <w:r w:rsidRPr="00153587">
        <w:rPr>
          <w:rFonts w:eastAsia="Times New Roman"/>
          <w:sz w:val="24"/>
          <w:szCs w:val="24"/>
          <w:vertAlign w:val="subscript"/>
        </w:rPr>
        <w:t>p</w:t>
      </w:r>
      <w:r w:rsidRPr="00153587">
        <w:rPr>
          <w:rFonts w:eastAsia="Times New Roman"/>
          <w:sz w:val="24"/>
          <w:szCs w:val="24"/>
        </w:rPr>
        <w:t xml:space="preserve"> /(VCF X Q</w:t>
      </w:r>
      <w:r w:rsidRPr="00153587">
        <w:rPr>
          <w:rFonts w:eastAsia="Times New Roman"/>
          <w:sz w:val="24"/>
          <w:szCs w:val="24"/>
          <w:vertAlign w:val="subscript"/>
        </w:rPr>
        <w:t>breach</w:t>
      </w:r>
      <w:r w:rsidRPr="00153587">
        <w:rPr>
          <w:rFonts w:eastAsia="Times New Roman"/>
          <w:sz w:val="24"/>
          <w:szCs w:val="24"/>
        </w:rPr>
        <w:t>))</w:t>
      </w:r>
    </w:p>
    <w:p w14:paraId="281A6BBB" w14:textId="77777777" w:rsidR="004647B9" w:rsidRPr="00153587" w:rsidRDefault="004647B9" w:rsidP="004211E0">
      <w:pPr>
        <w:rPr>
          <w:sz w:val="24"/>
          <w:szCs w:val="24"/>
        </w:rPr>
      </w:pPr>
    </w:p>
    <w:p w14:paraId="281A6BBC" w14:textId="77777777" w:rsidR="004647B9" w:rsidRPr="00153587" w:rsidRDefault="00E2436F" w:rsidP="004211E0">
      <w:pPr>
        <w:ind w:left="2980"/>
        <w:rPr>
          <w:sz w:val="24"/>
          <w:szCs w:val="24"/>
        </w:rPr>
      </w:pPr>
      <w:r w:rsidRPr="00153587">
        <w:rPr>
          <w:rFonts w:eastAsia="Times New Roman"/>
          <w:sz w:val="24"/>
          <w:szCs w:val="24"/>
        </w:rPr>
        <w:t>Where:</w:t>
      </w:r>
    </w:p>
    <w:p w14:paraId="281A6BBE" w14:textId="77777777" w:rsidR="004647B9" w:rsidRPr="00A25BA7" w:rsidRDefault="00E2436F" w:rsidP="004211E0">
      <w:pPr>
        <w:ind w:left="2980"/>
        <w:rPr>
          <w:sz w:val="24"/>
          <w:szCs w:val="24"/>
        </w:rPr>
      </w:pPr>
      <w:r w:rsidRPr="00A25BA7">
        <w:rPr>
          <w:rFonts w:eastAsia="Times New Roman"/>
          <w:sz w:val="24"/>
          <w:szCs w:val="24"/>
        </w:rPr>
        <w:t>LRV</w:t>
      </w:r>
      <w:r w:rsidRPr="00A25BA7">
        <w:rPr>
          <w:rFonts w:eastAsia="Times New Roman"/>
          <w:sz w:val="24"/>
          <w:szCs w:val="24"/>
          <w:vertAlign w:val="subscript"/>
        </w:rPr>
        <w:t>DIT</w:t>
      </w:r>
      <w:r w:rsidRPr="00A25BA7">
        <w:rPr>
          <w:rFonts w:eastAsia="Times New Roman"/>
          <w:sz w:val="24"/>
          <w:szCs w:val="24"/>
        </w:rPr>
        <w:t xml:space="preserve"> = the sensitivity of the direct integrity test;</w:t>
      </w:r>
    </w:p>
    <w:p w14:paraId="281A6BBF" w14:textId="77777777" w:rsidR="004647B9" w:rsidRPr="00A25BA7" w:rsidRDefault="00E2436F" w:rsidP="004211E0">
      <w:pPr>
        <w:ind w:left="2980"/>
        <w:rPr>
          <w:sz w:val="24"/>
          <w:szCs w:val="24"/>
        </w:rPr>
      </w:pPr>
      <w:r w:rsidRPr="00A25BA7">
        <w:rPr>
          <w:rFonts w:eastAsia="Times New Roman"/>
          <w:sz w:val="24"/>
          <w:szCs w:val="24"/>
        </w:rPr>
        <w:t>Q</w:t>
      </w:r>
      <w:r w:rsidRPr="00A25BA7">
        <w:rPr>
          <w:rFonts w:eastAsia="Times New Roman"/>
          <w:sz w:val="24"/>
          <w:szCs w:val="24"/>
          <w:vertAlign w:val="subscript"/>
        </w:rPr>
        <w:t>p</w:t>
      </w:r>
      <w:r w:rsidRPr="00A25BA7">
        <w:rPr>
          <w:rFonts w:eastAsia="Times New Roman"/>
          <w:sz w:val="24"/>
          <w:szCs w:val="24"/>
        </w:rPr>
        <w:t xml:space="preserve"> = total design filtrate flow from the membrane unit;</w:t>
      </w:r>
    </w:p>
    <w:p w14:paraId="281A6BC0" w14:textId="77777777" w:rsidR="004647B9" w:rsidRPr="00A25BA7" w:rsidRDefault="00E2436F" w:rsidP="004211E0">
      <w:pPr>
        <w:ind w:left="2980" w:firstLine="1"/>
        <w:jc w:val="both"/>
        <w:rPr>
          <w:sz w:val="24"/>
          <w:szCs w:val="24"/>
        </w:rPr>
      </w:pPr>
      <w:r w:rsidRPr="00A25BA7">
        <w:rPr>
          <w:rFonts w:eastAsia="Times New Roman"/>
          <w:sz w:val="24"/>
          <w:szCs w:val="24"/>
        </w:rPr>
        <w:t>Q</w:t>
      </w:r>
      <w:r w:rsidRPr="00A25BA7">
        <w:rPr>
          <w:rFonts w:eastAsia="Times New Roman"/>
          <w:sz w:val="24"/>
          <w:szCs w:val="24"/>
          <w:vertAlign w:val="subscript"/>
        </w:rPr>
        <w:t>breach</w:t>
      </w:r>
      <w:r w:rsidRPr="00A25BA7">
        <w:rPr>
          <w:rFonts w:eastAsia="Times New Roman"/>
          <w:sz w:val="24"/>
          <w:szCs w:val="24"/>
        </w:rPr>
        <w:t xml:space="preserve"> = flow of water from an integrity breach associated with the smallest integrity test response that can be reliably measured; and</w:t>
      </w:r>
    </w:p>
    <w:p w14:paraId="281A6BC2" w14:textId="77777777" w:rsidR="004647B9" w:rsidRPr="00A25BA7" w:rsidRDefault="00E2436F" w:rsidP="004211E0">
      <w:pPr>
        <w:ind w:left="2980"/>
        <w:jc w:val="both"/>
        <w:rPr>
          <w:sz w:val="24"/>
          <w:szCs w:val="24"/>
        </w:rPr>
      </w:pPr>
      <w:r w:rsidRPr="00A25BA7">
        <w:rPr>
          <w:rFonts w:eastAsia="Times New Roman"/>
          <w:sz w:val="24"/>
          <w:szCs w:val="24"/>
        </w:rPr>
        <w:t>VCF = volumetric concentration factor. The volumetric concentration factor is the ratio of the suspended solids concentration on the high pressure side of the membrane relative to that in the feed water.</w:t>
      </w:r>
    </w:p>
    <w:p w14:paraId="281A6BC3" w14:textId="77777777" w:rsidR="004647B9" w:rsidRPr="00A25BA7" w:rsidRDefault="004647B9" w:rsidP="004211E0">
      <w:pPr>
        <w:rPr>
          <w:sz w:val="24"/>
          <w:szCs w:val="24"/>
        </w:rPr>
      </w:pPr>
    </w:p>
    <w:p w14:paraId="281A6BC4" w14:textId="77777777" w:rsidR="004647B9" w:rsidRPr="00A25BA7" w:rsidRDefault="00E2436F" w:rsidP="004211E0">
      <w:pPr>
        <w:numPr>
          <w:ilvl w:val="0"/>
          <w:numId w:val="803"/>
        </w:numPr>
        <w:tabs>
          <w:tab w:val="left" w:pos="3387"/>
        </w:tabs>
        <w:ind w:left="2980" w:hanging="5"/>
        <w:jc w:val="both"/>
        <w:rPr>
          <w:rFonts w:eastAsia="Times New Roman"/>
          <w:sz w:val="24"/>
          <w:szCs w:val="24"/>
        </w:rPr>
      </w:pPr>
      <w:r w:rsidRPr="00A25BA7">
        <w:rPr>
          <w:rFonts w:eastAsia="Times New Roman"/>
          <w:sz w:val="24"/>
          <w:szCs w:val="24"/>
        </w:rPr>
        <w:t>For direct integrity tests that use a particulate or molecular marker, the direct integrity test sensitivity shall be calculated according to the following equation:</w:t>
      </w:r>
    </w:p>
    <w:p w14:paraId="281A6BC5" w14:textId="77777777" w:rsidR="004647B9" w:rsidRPr="00A25BA7" w:rsidRDefault="004647B9" w:rsidP="004211E0">
      <w:pPr>
        <w:rPr>
          <w:sz w:val="24"/>
          <w:szCs w:val="24"/>
        </w:rPr>
      </w:pPr>
    </w:p>
    <w:p w14:paraId="281A6BC6" w14:textId="6A3F4333" w:rsidR="004647B9" w:rsidRPr="00A25BA7" w:rsidRDefault="00E2436F" w:rsidP="004211E0">
      <w:pPr>
        <w:ind w:left="2980"/>
        <w:rPr>
          <w:sz w:val="24"/>
          <w:szCs w:val="24"/>
        </w:rPr>
      </w:pPr>
      <w:r w:rsidRPr="00A25BA7">
        <w:rPr>
          <w:rFonts w:eastAsia="Times New Roman"/>
          <w:sz w:val="24"/>
          <w:szCs w:val="24"/>
        </w:rPr>
        <w:t>LRV</w:t>
      </w:r>
      <w:r w:rsidRPr="00A25BA7">
        <w:rPr>
          <w:rFonts w:eastAsia="Times New Roman"/>
          <w:sz w:val="24"/>
          <w:szCs w:val="24"/>
          <w:vertAlign w:val="subscript"/>
        </w:rPr>
        <w:t>DIT</w:t>
      </w:r>
      <w:r w:rsidRPr="00A25BA7">
        <w:rPr>
          <w:rFonts w:eastAsia="Times New Roman"/>
          <w:sz w:val="24"/>
          <w:szCs w:val="24"/>
        </w:rPr>
        <w:t xml:space="preserve"> = log</w:t>
      </w:r>
      <w:r w:rsidRPr="00A25BA7">
        <w:rPr>
          <w:rFonts w:eastAsia="Times New Roman"/>
          <w:sz w:val="24"/>
          <w:szCs w:val="24"/>
          <w:vertAlign w:val="subscript"/>
        </w:rPr>
        <w:t>10</w:t>
      </w:r>
      <w:r w:rsidRPr="00A25BA7">
        <w:rPr>
          <w:rFonts w:eastAsia="Times New Roman"/>
          <w:sz w:val="24"/>
          <w:szCs w:val="24"/>
        </w:rPr>
        <w:t>(C</w:t>
      </w:r>
      <w:r w:rsidRPr="00A25BA7">
        <w:rPr>
          <w:rFonts w:eastAsia="Times New Roman"/>
          <w:sz w:val="24"/>
          <w:szCs w:val="24"/>
          <w:vertAlign w:val="subscript"/>
        </w:rPr>
        <w:t>f</w:t>
      </w:r>
      <w:r w:rsidRPr="00A25BA7">
        <w:rPr>
          <w:rFonts w:eastAsia="Times New Roman"/>
          <w:sz w:val="24"/>
          <w:szCs w:val="24"/>
        </w:rPr>
        <w:t>) - log</w:t>
      </w:r>
      <w:r w:rsidRPr="00A25BA7">
        <w:rPr>
          <w:rFonts w:eastAsia="Times New Roman"/>
          <w:sz w:val="24"/>
          <w:szCs w:val="24"/>
          <w:vertAlign w:val="subscript"/>
        </w:rPr>
        <w:t>10</w:t>
      </w:r>
      <w:r w:rsidRPr="00A25BA7">
        <w:rPr>
          <w:rFonts w:eastAsia="Times New Roman"/>
          <w:sz w:val="24"/>
          <w:szCs w:val="24"/>
        </w:rPr>
        <w:t>(C</w:t>
      </w:r>
      <w:r w:rsidRPr="00A25BA7">
        <w:rPr>
          <w:rFonts w:eastAsia="Times New Roman"/>
          <w:sz w:val="24"/>
          <w:szCs w:val="24"/>
          <w:vertAlign w:val="subscript"/>
        </w:rPr>
        <w:t>p</w:t>
      </w:r>
      <w:r w:rsidRPr="00A25BA7">
        <w:rPr>
          <w:rFonts w:eastAsia="Times New Roman"/>
          <w:sz w:val="24"/>
          <w:szCs w:val="24"/>
        </w:rPr>
        <w:t>)</w:t>
      </w:r>
    </w:p>
    <w:p w14:paraId="281A6BC7" w14:textId="77777777" w:rsidR="004647B9" w:rsidRPr="00A25BA7" w:rsidRDefault="004647B9" w:rsidP="004211E0">
      <w:pPr>
        <w:rPr>
          <w:sz w:val="24"/>
          <w:szCs w:val="24"/>
        </w:rPr>
      </w:pPr>
    </w:p>
    <w:p w14:paraId="281A6BC8" w14:textId="77777777" w:rsidR="004647B9" w:rsidRPr="00A25BA7" w:rsidRDefault="00E2436F" w:rsidP="004211E0">
      <w:pPr>
        <w:ind w:left="2980"/>
        <w:rPr>
          <w:sz w:val="24"/>
          <w:szCs w:val="24"/>
        </w:rPr>
      </w:pPr>
      <w:r w:rsidRPr="00A25BA7">
        <w:rPr>
          <w:rFonts w:eastAsia="Times New Roman"/>
          <w:sz w:val="24"/>
          <w:szCs w:val="24"/>
        </w:rPr>
        <w:t>Where:</w:t>
      </w:r>
    </w:p>
    <w:p w14:paraId="281A6BCA" w14:textId="77777777" w:rsidR="004647B9" w:rsidRPr="00A25BA7" w:rsidRDefault="00E2436F" w:rsidP="004211E0">
      <w:pPr>
        <w:ind w:left="2980"/>
        <w:rPr>
          <w:sz w:val="24"/>
          <w:szCs w:val="24"/>
        </w:rPr>
      </w:pPr>
      <w:r w:rsidRPr="00A25BA7">
        <w:rPr>
          <w:rFonts w:eastAsia="Times New Roman"/>
          <w:sz w:val="24"/>
          <w:szCs w:val="24"/>
        </w:rPr>
        <w:t>LRV</w:t>
      </w:r>
      <w:r w:rsidRPr="00A25BA7">
        <w:rPr>
          <w:rFonts w:eastAsia="Times New Roman"/>
          <w:sz w:val="24"/>
          <w:szCs w:val="24"/>
          <w:vertAlign w:val="subscript"/>
        </w:rPr>
        <w:t>DIT</w:t>
      </w:r>
      <w:r w:rsidRPr="00A25BA7">
        <w:rPr>
          <w:rFonts w:eastAsia="Times New Roman"/>
          <w:sz w:val="24"/>
          <w:szCs w:val="24"/>
        </w:rPr>
        <w:t xml:space="preserve"> = the sensitivity of the direct integrity test;</w:t>
      </w:r>
    </w:p>
    <w:p w14:paraId="281A6BCB" w14:textId="77777777" w:rsidR="004647B9" w:rsidRPr="00A25BA7" w:rsidRDefault="00E2436F" w:rsidP="004211E0">
      <w:pPr>
        <w:ind w:left="2980"/>
        <w:rPr>
          <w:sz w:val="24"/>
          <w:szCs w:val="24"/>
        </w:rPr>
      </w:pPr>
      <w:r w:rsidRPr="00A25BA7">
        <w:rPr>
          <w:rFonts w:eastAsia="Times New Roman"/>
          <w:sz w:val="24"/>
          <w:szCs w:val="24"/>
        </w:rPr>
        <w:t>C</w:t>
      </w:r>
      <w:r w:rsidRPr="00A25BA7">
        <w:rPr>
          <w:rFonts w:eastAsia="Times New Roman"/>
          <w:sz w:val="24"/>
          <w:szCs w:val="24"/>
          <w:vertAlign w:val="subscript"/>
        </w:rPr>
        <w:t>f</w:t>
      </w:r>
      <w:r w:rsidRPr="00A25BA7">
        <w:rPr>
          <w:rFonts w:eastAsia="Times New Roman"/>
          <w:sz w:val="24"/>
          <w:szCs w:val="24"/>
        </w:rPr>
        <w:t xml:space="preserve"> = the typical feed concentration of the marker used in the test; and</w:t>
      </w:r>
    </w:p>
    <w:p w14:paraId="281A6BCC" w14:textId="77777777" w:rsidR="004647B9" w:rsidRPr="00A25BA7" w:rsidRDefault="00E2436F" w:rsidP="004211E0">
      <w:pPr>
        <w:ind w:left="2980"/>
        <w:rPr>
          <w:sz w:val="24"/>
          <w:szCs w:val="24"/>
        </w:rPr>
      </w:pPr>
      <w:r w:rsidRPr="00A25BA7">
        <w:rPr>
          <w:rFonts w:eastAsia="Times New Roman"/>
          <w:sz w:val="24"/>
          <w:szCs w:val="24"/>
        </w:rPr>
        <w:t>C</w:t>
      </w:r>
      <w:r w:rsidRPr="00A25BA7">
        <w:rPr>
          <w:rFonts w:eastAsia="Times New Roman"/>
          <w:sz w:val="24"/>
          <w:szCs w:val="24"/>
          <w:vertAlign w:val="subscript"/>
        </w:rPr>
        <w:t>p</w:t>
      </w:r>
      <w:r w:rsidRPr="00A25BA7">
        <w:rPr>
          <w:rFonts w:eastAsia="Times New Roman"/>
          <w:sz w:val="24"/>
          <w:szCs w:val="24"/>
        </w:rPr>
        <w:t xml:space="preserve"> = the filtrate concentration of the marker from an integral membrane unit;</w:t>
      </w:r>
    </w:p>
    <w:p w14:paraId="281A6BCD" w14:textId="77777777" w:rsidR="004647B9" w:rsidRPr="00A25BA7" w:rsidRDefault="004647B9" w:rsidP="004211E0">
      <w:pPr>
        <w:rPr>
          <w:sz w:val="24"/>
          <w:szCs w:val="24"/>
        </w:rPr>
      </w:pPr>
    </w:p>
    <w:p w14:paraId="281A6BCE" w14:textId="77777777" w:rsidR="004647B9" w:rsidRPr="00A25BA7" w:rsidRDefault="00E2436F" w:rsidP="004211E0">
      <w:pPr>
        <w:numPr>
          <w:ilvl w:val="0"/>
          <w:numId w:val="804"/>
        </w:numPr>
        <w:tabs>
          <w:tab w:val="left" w:pos="3004"/>
        </w:tabs>
        <w:ind w:left="2620" w:hanging="5"/>
        <w:jc w:val="both"/>
        <w:rPr>
          <w:rFonts w:eastAsia="Times New Roman"/>
          <w:sz w:val="24"/>
          <w:szCs w:val="24"/>
        </w:rPr>
      </w:pPr>
      <w:r w:rsidRPr="00A25BA7">
        <w:rPr>
          <w:rFonts w:eastAsia="Times New Roman"/>
          <w:sz w:val="24"/>
          <w:szCs w:val="24"/>
        </w:rPr>
        <w:t xml:space="preserve">Suppliers of Water must establish a control limit within the sensitivity limits of the direct integrity test that is indicative of an integral membrane unit capable of meeting the </w:t>
      </w:r>
      <w:r w:rsidRPr="00A25BA7">
        <w:rPr>
          <w:rFonts w:eastAsia="Times New Roman"/>
          <w:i/>
          <w:iCs/>
          <w:sz w:val="24"/>
          <w:szCs w:val="24"/>
        </w:rPr>
        <w:t>Cryptosporidium</w:t>
      </w:r>
      <w:r w:rsidRPr="00A25BA7">
        <w:rPr>
          <w:rFonts w:eastAsia="Times New Roman"/>
          <w:sz w:val="24"/>
          <w:szCs w:val="24"/>
        </w:rPr>
        <w:t xml:space="preserve"> treatment credit awarded by the Department;</w:t>
      </w:r>
    </w:p>
    <w:p w14:paraId="281A6BD0" w14:textId="77777777" w:rsidR="004647B9" w:rsidRPr="00A25BA7" w:rsidRDefault="00E2436F" w:rsidP="004211E0">
      <w:pPr>
        <w:numPr>
          <w:ilvl w:val="0"/>
          <w:numId w:val="804"/>
        </w:numPr>
        <w:tabs>
          <w:tab w:val="left" w:pos="3030"/>
        </w:tabs>
        <w:ind w:left="2620" w:hanging="5"/>
        <w:jc w:val="both"/>
        <w:rPr>
          <w:rFonts w:eastAsia="Times New Roman"/>
          <w:sz w:val="24"/>
          <w:szCs w:val="24"/>
        </w:rPr>
      </w:pPr>
      <w:r w:rsidRPr="00A25BA7">
        <w:rPr>
          <w:rFonts w:eastAsia="Times New Roman"/>
          <w:sz w:val="24"/>
          <w:szCs w:val="24"/>
        </w:rPr>
        <w:t>if the result of a direct integrity test exceeds the control limit established under 310 CMR 22.20G(22)(b)2.b.iv., the Supplier of Water must remove the membrane unit from service. The Supplier of Water must conduct a direct integrity test to verify any repairs, and may return the membrane unit to service only if the direct integrity test is within the established control limit; and</w:t>
      </w:r>
    </w:p>
    <w:p w14:paraId="281A6BD1" w14:textId="77777777" w:rsidR="004647B9" w:rsidRDefault="004647B9" w:rsidP="004211E0">
      <w:pPr>
        <w:sectPr w:rsidR="004647B9" w:rsidSect="00EF630C">
          <w:pgSz w:w="12240" w:h="20180"/>
          <w:pgMar w:top="708" w:right="1440" w:bottom="1440" w:left="620" w:header="0" w:footer="0" w:gutter="0"/>
          <w:cols w:space="720"/>
        </w:sectPr>
      </w:pPr>
    </w:p>
    <w:p w14:paraId="281A6BD2" w14:textId="77777777" w:rsidR="004647B9" w:rsidRDefault="00E2436F">
      <w:pPr>
        <w:tabs>
          <w:tab w:val="left" w:pos="160"/>
        </w:tabs>
        <w:ind w:right="20"/>
        <w:jc w:val="center"/>
        <w:rPr>
          <w:sz w:val="20"/>
          <w:szCs w:val="20"/>
        </w:rPr>
      </w:pPr>
      <w:bookmarkStart w:id="312" w:name="page317"/>
      <w:bookmarkEnd w:id="31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BD3" w14:textId="77777777" w:rsidR="004647B9" w:rsidRPr="006A540E" w:rsidRDefault="004647B9" w:rsidP="006A540E">
      <w:pPr>
        <w:rPr>
          <w:sz w:val="20"/>
          <w:szCs w:val="20"/>
        </w:rPr>
      </w:pPr>
    </w:p>
    <w:p w14:paraId="281A6BD4" w14:textId="77777777" w:rsidR="004647B9" w:rsidRPr="006A540E" w:rsidRDefault="004647B9" w:rsidP="006A540E">
      <w:pPr>
        <w:rPr>
          <w:sz w:val="20"/>
          <w:szCs w:val="20"/>
        </w:rPr>
      </w:pPr>
    </w:p>
    <w:p w14:paraId="281A6BD5" w14:textId="77777777" w:rsidR="004647B9" w:rsidRPr="0076578E" w:rsidRDefault="00E2436F" w:rsidP="006A540E">
      <w:pPr>
        <w:tabs>
          <w:tab w:val="left" w:pos="940"/>
        </w:tabs>
        <w:rPr>
          <w:sz w:val="24"/>
          <w:szCs w:val="24"/>
        </w:rPr>
      </w:pPr>
      <w:r w:rsidRPr="0076578E">
        <w:rPr>
          <w:rFonts w:eastAsia="Times New Roman"/>
          <w:sz w:val="24"/>
          <w:szCs w:val="24"/>
        </w:rPr>
        <w:t>22.20G:</w:t>
      </w:r>
      <w:r w:rsidRPr="0076578E">
        <w:rPr>
          <w:rFonts w:eastAsia="Times New Roman"/>
          <w:sz w:val="24"/>
          <w:szCs w:val="24"/>
        </w:rPr>
        <w:tab/>
        <w:t>continued</w:t>
      </w:r>
    </w:p>
    <w:p w14:paraId="281A6BD6" w14:textId="77777777" w:rsidR="004647B9" w:rsidRPr="006A540E" w:rsidRDefault="004647B9" w:rsidP="006A540E">
      <w:pPr>
        <w:rPr>
          <w:sz w:val="20"/>
          <w:szCs w:val="20"/>
        </w:rPr>
      </w:pPr>
    </w:p>
    <w:p w14:paraId="281A6BD7" w14:textId="77777777" w:rsidR="004647B9" w:rsidRPr="0076578E" w:rsidRDefault="00E2436F" w:rsidP="006A540E">
      <w:pPr>
        <w:numPr>
          <w:ilvl w:val="3"/>
          <w:numId w:val="805"/>
        </w:numPr>
        <w:tabs>
          <w:tab w:val="left" w:pos="3032"/>
        </w:tabs>
        <w:ind w:left="2620" w:hanging="5"/>
        <w:jc w:val="both"/>
        <w:rPr>
          <w:rFonts w:eastAsia="Times New Roman"/>
          <w:sz w:val="24"/>
          <w:szCs w:val="24"/>
        </w:rPr>
      </w:pPr>
      <w:r w:rsidRPr="0076578E">
        <w:rPr>
          <w:rFonts w:eastAsia="Times New Roman"/>
          <w:sz w:val="24"/>
          <w:szCs w:val="24"/>
        </w:rPr>
        <w:t xml:space="preserve">Suppliers of Water must conduct direct integrity testing on each membrane unit at a frequency of not less than once each day that the membrane unit is in operation, unless otherwise approved by the Department, based on demonstrated process reliability, the use of multiple barriers effective for </w:t>
      </w:r>
      <w:r w:rsidRPr="0076578E">
        <w:rPr>
          <w:rFonts w:eastAsia="Times New Roman"/>
          <w:i/>
          <w:iCs/>
          <w:sz w:val="24"/>
          <w:szCs w:val="24"/>
        </w:rPr>
        <w:t>Cryptosporidium</w:t>
      </w:r>
      <w:r w:rsidRPr="0076578E">
        <w:rPr>
          <w:rFonts w:eastAsia="Times New Roman"/>
          <w:sz w:val="24"/>
          <w:szCs w:val="24"/>
        </w:rPr>
        <w:t>, or reliable process safeguards.</w:t>
      </w:r>
    </w:p>
    <w:p w14:paraId="281A6BD9" w14:textId="77777777" w:rsidR="004647B9" w:rsidRPr="0076578E" w:rsidRDefault="00E2436F" w:rsidP="006A540E">
      <w:pPr>
        <w:numPr>
          <w:ilvl w:val="2"/>
          <w:numId w:val="806"/>
        </w:numPr>
        <w:tabs>
          <w:tab w:val="left" w:pos="2578"/>
        </w:tabs>
        <w:ind w:left="2260" w:hanging="5"/>
        <w:jc w:val="both"/>
        <w:rPr>
          <w:rFonts w:eastAsia="Times New Roman"/>
          <w:sz w:val="24"/>
          <w:szCs w:val="24"/>
        </w:rPr>
      </w:pPr>
      <w:r w:rsidRPr="0076578E">
        <w:rPr>
          <w:rFonts w:eastAsia="Times New Roman"/>
          <w:sz w:val="24"/>
          <w:szCs w:val="24"/>
          <w:u w:val="single"/>
        </w:rPr>
        <w:t>Indirect Integrity Monitoring</w:t>
      </w:r>
      <w:r w:rsidRPr="0076578E">
        <w:rPr>
          <w:rFonts w:eastAsia="Times New Roman"/>
          <w:sz w:val="24"/>
          <w:szCs w:val="24"/>
        </w:rPr>
        <w:t>. Each membrane used by the Public Water System must undergo continuous indirect integrity monitoring according to the criteria specified in 310 CMR 22.20G(22)(b)2.c.i. through v. "Indirect integrity monitoring" as used in 310 CMR 22.20G means monitoring some aspect of filtrate water quality that is indicative of the removal of particulate matter. A Supplier of Water that implements continuous direct integrity testing of membrane units in accordance with the criteria in 310 CMR 22.20G(22)(b)2.b.i. through v. is not subject to the requirements for continuous indirect integrity monitoring. Monthly reports must be submitted to the Department summarizing all continuous indirect integrity monitoring results triggering direct integrity testing and the corrective action that was taken in each case. Indirect integrity monitoring must be conducted in accordance with the following:</w:t>
      </w:r>
    </w:p>
    <w:p w14:paraId="281A6BDB" w14:textId="77777777" w:rsidR="004647B9" w:rsidRPr="0076578E" w:rsidRDefault="00E2436F" w:rsidP="006A540E">
      <w:pPr>
        <w:numPr>
          <w:ilvl w:val="3"/>
          <w:numId w:val="806"/>
        </w:numPr>
        <w:tabs>
          <w:tab w:val="left" w:pos="2891"/>
        </w:tabs>
        <w:ind w:left="2620" w:hanging="5"/>
        <w:rPr>
          <w:rFonts w:eastAsia="Times New Roman"/>
          <w:sz w:val="24"/>
          <w:szCs w:val="24"/>
        </w:rPr>
      </w:pPr>
      <w:r w:rsidRPr="0076578E">
        <w:rPr>
          <w:rFonts w:eastAsia="Times New Roman"/>
          <w:sz w:val="24"/>
          <w:szCs w:val="24"/>
        </w:rPr>
        <w:t>unless the Department approves an alternative parameter, continuous indirect integrity monitoring must include continuous filtrate Turbidity monitoring;</w:t>
      </w:r>
    </w:p>
    <w:p w14:paraId="281A6BDD" w14:textId="77777777" w:rsidR="004647B9" w:rsidRPr="0076578E" w:rsidRDefault="00E2436F" w:rsidP="006A540E">
      <w:pPr>
        <w:numPr>
          <w:ilvl w:val="3"/>
          <w:numId w:val="806"/>
        </w:numPr>
        <w:tabs>
          <w:tab w:val="left" w:pos="2950"/>
        </w:tabs>
        <w:ind w:left="2620" w:hanging="5"/>
        <w:rPr>
          <w:rFonts w:eastAsia="Times New Roman"/>
          <w:sz w:val="24"/>
          <w:szCs w:val="24"/>
        </w:rPr>
      </w:pPr>
      <w:r w:rsidRPr="0076578E">
        <w:rPr>
          <w:rFonts w:eastAsia="Times New Roman"/>
          <w:sz w:val="24"/>
          <w:szCs w:val="24"/>
        </w:rPr>
        <w:t>continuous monitoring must be conducted at a frequency of no less than once every 15 minutes;</w:t>
      </w:r>
    </w:p>
    <w:p w14:paraId="281A6BE0" w14:textId="68B814DE" w:rsidR="004647B9" w:rsidRPr="009610D7" w:rsidRDefault="00E2436F" w:rsidP="006A540E">
      <w:pPr>
        <w:numPr>
          <w:ilvl w:val="3"/>
          <w:numId w:val="806"/>
        </w:numPr>
        <w:tabs>
          <w:tab w:val="left" w:pos="3100"/>
        </w:tabs>
        <w:ind w:left="2621"/>
        <w:rPr>
          <w:rFonts w:eastAsia="Times New Roman"/>
          <w:sz w:val="24"/>
          <w:szCs w:val="24"/>
        </w:rPr>
      </w:pPr>
      <w:r w:rsidRPr="0076578E">
        <w:rPr>
          <w:rFonts w:eastAsia="Times New Roman"/>
          <w:sz w:val="24"/>
          <w:szCs w:val="24"/>
        </w:rPr>
        <w:t>continuous monitoring must be separately conducted on each membrane</w:t>
      </w:r>
      <w:r w:rsidR="009610D7">
        <w:rPr>
          <w:rFonts w:eastAsia="Times New Roman"/>
          <w:sz w:val="24"/>
          <w:szCs w:val="24"/>
        </w:rPr>
        <w:t xml:space="preserve"> </w:t>
      </w:r>
      <w:r w:rsidRPr="009610D7">
        <w:rPr>
          <w:rFonts w:eastAsia="Times New Roman"/>
          <w:sz w:val="24"/>
          <w:szCs w:val="24"/>
        </w:rPr>
        <w:t>unit;</w:t>
      </w:r>
    </w:p>
    <w:p w14:paraId="281A6BE2" w14:textId="77777777" w:rsidR="004647B9" w:rsidRPr="0076578E" w:rsidRDefault="00E2436F" w:rsidP="006A540E">
      <w:pPr>
        <w:numPr>
          <w:ilvl w:val="3"/>
          <w:numId w:val="806"/>
        </w:numPr>
        <w:tabs>
          <w:tab w:val="left" w:pos="2997"/>
        </w:tabs>
        <w:ind w:left="2620" w:hanging="5"/>
        <w:jc w:val="both"/>
        <w:rPr>
          <w:rFonts w:eastAsia="Times New Roman"/>
          <w:sz w:val="24"/>
          <w:szCs w:val="24"/>
        </w:rPr>
      </w:pPr>
      <w:r w:rsidRPr="0076578E">
        <w:rPr>
          <w:rFonts w:eastAsia="Times New Roman"/>
          <w:sz w:val="24"/>
          <w:szCs w:val="24"/>
        </w:rPr>
        <w:t>if indirect integrity monitoring includes Turbidity and if the filtrate Turbidity readings are above 0.15 NTU for a period greater than 15 minutes (</w:t>
      </w:r>
      <w:r w:rsidRPr="0076578E">
        <w:rPr>
          <w:rFonts w:eastAsia="Times New Roman"/>
          <w:i/>
          <w:iCs/>
          <w:sz w:val="24"/>
          <w:szCs w:val="24"/>
        </w:rPr>
        <w:t>i.e</w:t>
      </w:r>
      <w:r w:rsidRPr="0076578E">
        <w:rPr>
          <w:rFonts w:eastAsia="Times New Roman"/>
          <w:sz w:val="24"/>
          <w:szCs w:val="24"/>
        </w:rPr>
        <w:t>., two consecutive 15-minute readings above 0.15 NTU), direct integrity testing must immediately be performed on the associated membrane unit as specified in 310 CMR 22.20G(22)(b)2.b.i. through v.; and</w:t>
      </w:r>
    </w:p>
    <w:p w14:paraId="281A6BE4" w14:textId="77777777" w:rsidR="004647B9" w:rsidRPr="009C6BAE" w:rsidRDefault="00E2436F" w:rsidP="006A540E">
      <w:pPr>
        <w:numPr>
          <w:ilvl w:val="3"/>
          <w:numId w:val="806"/>
        </w:numPr>
        <w:tabs>
          <w:tab w:val="left" w:pos="2987"/>
        </w:tabs>
        <w:ind w:left="2620" w:hanging="5"/>
        <w:jc w:val="both"/>
        <w:rPr>
          <w:rFonts w:eastAsia="Times New Roman"/>
          <w:sz w:val="24"/>
          <w:szCs w:val="24"/>
        </w:rPr>
      </w:pPr>
      <w:r w:rsidRPr="0076578E">
        <w:rPr>
          <w:rFonts w:eastAsia="Times New Roman"/>
          <w:sz w:val="24"/>
          <w:szCs w:val="24"/>
        </w:rPr>
        <w:t xml:space="preserve">if indirect integrity monitoring includes a Department-approved alternative </w:t>
      </w:r>
      <w:r w:rsidRPr="009C6BAE">
        <w:rPr>
          <w:rFonts w:eastAsia="Times New Roman"/>
          <w:sz w:val="24"/>
          <w:szCs w:val="24"/>
        </w:rPr>
        <w:t>parameter and if the alternative parameter exceeds a Department-approved control limit for a period greater than 15 minutes, direct integrity testing must immediately be performed on the associated membrane units as specified in 310 CMR 22.20G(22)(b)2.b.i. through v.</w:t>
      </w:r>
    </w:p>
    <w:p w14:paraId="281A6BE6" w14:textId="77777777" w:rsidR="004647B9" w:rsidRPr="009C6BAE" w:rsidRDefault="00E2436F" w:rsidP="006A540E">
      <w:pPr>
        <w:numPr>
          <w:ilvl w:val="0"/>
          <w:numId w:val="807"/>
        </w:numPr>
        <w:tabs>
          <w:tab w:val="left" w:pos="1955"/>
        </w:tabs>
        <w:ind w:left="1540" w:hanging="5"/>
        <w:jc w:val="both"/>
        <w:rPr>
          <w:rFonts w:eastAsia="Times New Roman"/>
          <w:sz w:val="24"/>
          <w:szCs w:val="24"/>
        </w:rPr>
      </w:pPr>
      <w:r w:rsidRPr="009C6BAE">
        <w:rPr>
          <w:rFonts w:eastAsia="Times New Roman"/>
          <w:sz w:val="24"/>
          <w:szCs w:val="24"/>
          <w:u w:val="single"/>
        </w:rPr>
        <w:t>Second stage Filtration</w:t>
      </w:r>
      <w:r w:rsidRPr="009C6BAE">
        <w:rPr>
          <w:rFonts w:eastAsia="Times New Roman"/>
          <w:sz w:val="24"/>
          <w:szCs w:val="24"/>
        </w:rPr>
        <w:t xml:space="preserve">. A Supplier of Water using second stage Filtration that consists of sand, dual media, GAC, or other fine grain media following granular media Filtration, subject to the Department's review and written approval based on an assessment of the design characteristics of the Filtration process, shall receive 0.5-log </w:t>
      </w:r>
      <w:r w:rsidRPr="009C6BAE">
        <w:rPr>
          <w:rFonts w:eastAsia="Times New Roman"/>
          <w:i/>
          <w:iCs/>
          <w:sz w:val="24"/>
          <w:szCs w:val="24"/>
        </w:rPr>
        <w:t>Cryptosporidium</w:t>
      </w:r>
      <w:r w:rsidRPr="009C6BAE">
        <w:rPr>
          <w:rFonts w:eastAsia="Times New Roman"/>
          <w:sz w:val="24"/>
          <w:szCs w:val="24"/>
        </w:rPr>
        <w:t xml:space="preserve"> treatment credit, in accordance with the following:</w:t>
      </w:r>
    </w:p>
    <w:p w14:paraId="281A6BE8" w14:textId="77777777" w:rsidR="004647B9" w:rsidRPr="009C6BAE" w:rsidRDefault="00E2436F" w:rsidP="006A540E">
      <w:pPr>
        <w:numPr>
          <w:ilvl w:val="1"/>
          <w:numId w:val="807"/>
        </w:numPr>
        <w:tabs>
          <w:tab w:val="left" w:pos="2260"/>
        </w:tabs>
        <w:ind w:left="2260" w:hanging="365"/>
        <w:rPr>
          <w:rFonts w:eastAsia="Times New Roman"/>
          <w:sz w:val="24"/>
          <w:szCs w:val="24"/>
        </w:rPr>
      </w:pPr>
      <w:r w:rsidRPr="009C6BAE">
        <w:rPr>
          <w:rFonts w:eastAsia="Times New Roman"/>
          <w:sz w:val="24"/>
          <w:szCs w:val="24"/>
        </w:rPr>
        <w:t>the first stage of Filtration must be preceded by a Coagulation step;</w:t>
      </w:r>
    </w:p>
    <w:p w14:paraId="281A6BEA" w14:textId="77777777" w:rsidR="004647B9" w:rsidRPr="009C6BAE" w:rsidRDefault="00E2436F" w:rsidP="006A540E">
      <w:pPr>
        <w:numPr>
          <w:ilvl w:val="1"/>
          <w:numId w:val="807"/>
        </w:numPr>
        <w:tabs>
          <w:tab w:val="left" w:pos="2289"/>
        </w:tabs>
        <w:ind w:left="1900" w:hanging="5"/>
        <w:rPr>
          <w:rFonts w:eastAsia="Times New Roman"/>
          <w:sz w:val="24"/>
          <w:szCs w:val="24"/>
        </w:rPr>
      </w:pPr>
      <w:r w:rsidRPr="009C6BAE">
        <w:rPr>
          <w:rFonts w:eastAsia="Times New Roman"/>
          <w:sz w:val="24"/>
          <w:szCs w:val="24"/>
        </w:rPr>
        <w:t>both Filtration stages must treat the entire plant flow taken from a Surface Water Source or Groundwater under the Direct Influence of Surface Water Source; and</w:t>
      </w:r>
    </w:p>
    <w:p w14:paraId="281A6BEB" w14:textId="77777777" w:rsidR="004647B9" w:rsidRPr="009C6BAE" w:rsidRDefault="00E2436F" w:rsidP="006A540E">
      <w:pPr>
        <w:numPr>
          <w:ilvl w:val="1"/>
          <w:numId w:val="807"/>
        </w:numPr>
        <w:tabs>
          <w:tab w:val="left" w:pos="2320"/>
        </w:tabs>
        <w:ind w:left="2320" w:hanging="425"/>
        <w:rPr>
          <w:rFonts w:eastAsia="Times New Roman"/>
          <w:sz w:val="24"/>
          <w:szCs w:val="24"/>
        </w:rPr>
      </w:pPr>
      <w:r w:rsidRPr="009C6BAE">
        <w:rPr>
          <w:rFonts w:eastAsia="Times New Roman"/>
          <w:sz w:val="24"/>
          <w:szCs w:val="24"/>
        </w:rPr>
        <w:t>a cap, such as GAC, on a single stage of Filtration shall not be eligible for this</w:t>
      </w:r>
    </w:p>
    <w:p w14:paraId="281A6BEC" w14:textId="77777777" w:rsidR="004647B9" w:rsidRPr="009C6BAE" w:rsidRDefault="004647B9" w:rsidP="006A540E">
      <w:pPr>
        <w:rPr>
          <w:sz w:val="24"/>
          <w:szCs w:val="24"/>
        </w:rPr>
      </w:pPr>
    </w:p>
    <w:p w14:paraId="281A6BED" w14:textId="77777777" w:rsidR="004647B9" w:rsidRPr="009C6BAE" w:rsidRDefault="00E2436F" w:rsidP="006A540E">
      <w:pPr>
        <w:numPr>
          <w:ilvl w:val="0"/>
          <w:numId w:val="808"/>
        </w:numPr>
        <w:tabs>
          <w:tab w:val="left" w:pos="2079"/>
        </w:tabs>
        <w:ind w:left="1540" w:hanging="5"/>
        <w:jc w:val="both"/>
        <w:rPr>
          <w:rFonts w:eastAsia="Times New Roman"/>
          <w:sz w:val="24"/>
          <w:szCs w:val="24"/>
        </w:rPr>
      </w:pPr>
      <w:r w:rsidRPr="009C6BAE">
        <w:rPr>
          <w:rFonts w:eastAsia="Times New Roman"/>
          <w:sz w:val="24"/>
          <w:szCs w:val="24"/>
          <w:u w:val="single"/>
        </w:rPr>
        <w:t>Slow Sand Filtration (as Secondary Filter)</w:t>
      </w:r>
      <w:r w:rsidRPr="009C6BAE">
        <w:rPr>
          <w:rFonts w:eastAsia="Times New Roman"/>
          <w:sz w:val="24"/>
          <w:szCs w:val="24"/>
        </w:rPr>
        <w:t xml:space="preserve">. A Supplier of Water using Slow Sand Filtration (as secondary filter) that follows a separate stage of Filtration, subject to the Department's review and written approval based on an assessment of the design characteristics of the Filtration process, shall receive 2.5-log </w:t>
      </w:r>
      <w:r w:rsidRPr="009C6BAE">
        <w:rPr>
          <w:rFonts w:eastAsia="Times New Roman"/>
          <w:i/>
          <w:iCs/>
          <w:sz w:val="24"/>
          <w:szCs w:val="24"/>
        </w:rPr>
        <w:t>Cryptosporidium</w:t>
      </w:r>
      <w:r w:rsidRPr="009C6BAE">
        <w:rPr>
          <w:rFonts w:eastAsia="Times New Roman"/>
          <w:sz w:val="24"/>
          <w:szCs w:val="24"/>
        </w:rPr>
        <w:t xml:space="preserve"> treatment credit, in accordance with the following:</w:t>
      </w:r>
    </w:p>
    <w:p w14:paraId="281A6BEF" w14:textId="77777777" w:rsidR="004647B9" w:rsidRPr="009C6BAE" w:rsidRDefault="00E2436F" w:rsidP="006A540E">
      <w:pPr>
        <w:numPr>
          <w:ilvl w:val="1"/>
          <w:numId w:val="808"/>
        </w:numPr>
        <w:tabs>
          <w:tab w:val="left" w:pos="2289"/>
        </w:tabs>
        <w:ind w:left="1900" w:hanging="5"/>
        <w:rPr>
          <w:rFonts w:eastAsia="Times New Roman"/>
          <w:sz w:val="24"/>
          <w:szCs w:val="24"/>
        </w:rPr>
      </w:pPr>
      <w:r w:rsidRPr="009C6BAE">
        <w:rPr>
          <w:rFonts w:eastAsia="Times New Roman"/>
          <w:sz w:val="24"/>
          <w:szCs w:val="24"/>
        </w:rPr>
        <w:t>both Filtration stages must treat the entire plant flow taken from a Surface Water Source or Groundwater Under the Direct Influence of Surface Water Source;</w:t>
      </w:r>
    </w:p>
    <w:p w14:paraId="281A6BF0" w14:textId="77777777" w:rsidR="004647B9" w:rsidRPr="009C6BAE" w:rsidRDefault="00E2436F" w:rsidP="006A540E">
      <w:pPr>
        <w:numPr>
          <w:ilvl w:val="1"/>
          <w:numId w:val="808"/>
        </w:numPr>
        <w:tabs>
          <w:tab w:val="left" w:pos="2339"/>
        </w:tabs>
        <w:ind w:left="1900" w:hanging="5"/>
        <w:rPr>
          <w:rFonts w:eastAsia="Times New Roman"/>
          <w:sz w:val="24"/>
          <w:szCs w:val="24"/>
        </w:rPr>
      </w:pPr>
      <w:r w:rsidRPr="009C6BAE">
        <w:rPr>
          <w:rFonts w:eastAsia="Times New Roman"/>
          <w:sz w:val="24"/>
          <w:szCs w:val="24"/>
        </w:rPr>
        <w:t>no Disinfectant residual may be present in the influent water to the Slow Sand Filtration process; and</w:t>
      </w:r>
    </w:p>
    <w:p w14:paraId="281A6BF3" w14:textId="617D72AF" w:rsidR="004647B9" w:rsidRPr="009C6BAE" w:rsidRDefault="00E2436F" w:rsidP="006A540E">
      <w:pPr>
        <w:numPr>
          <w:ilvl w:val="1"/>
          <w:numId w:val="808"/>
        </w:numPr>
        <w:tabs>
          <w:tab w:val="left" w:pos="2220"/>
        </w:tabs>
        <w:ind w:left="1901"/>
        <w:rPr>
          <w:rFonts w:eastAsia="Times New Roman"/>
          <w:sz w:val="24"/>
          <w:szCs w:val="24"/>
        </w:rPr>
      </w:pPr>
      <w:r w:rsidRPr="009C6BAE">
        <w:rPr>
          <w:rFonts w:eastAsia="Times New Roman"/>
          <w:sz w:val="24"/>
          <w:szCs w:val="24"/>
        </w:rPr>
        <w:t>Slow Sand Filtration used as a primary Filtration process shall not be eligible for this</w:t>
      </w:r>
      <w:r w:rsidR="009C6BAE">
        <w:rPr>
          <w:rFonts w:eastAsia="Times New Roman"/>
          <w:sz w:val="24"/>
          <w:szCs w:val="24"/>
        </w:rPr>
        <w:t xml:space="preserve"> </w:t>
      </w:r>
      <w:r w:rsidRPr="009C6BAE">
        <w:rPr>
          <w:rFonts w:eastAsia="Times New Roman"/>
          <w:i/>
          <w:iCs/>
          <w:sz w:val="24"/>
          <w:szCs w:val="24"/>
        </w:rPr>
        <w:t xml:space="preserve">Cryptosporidium </w:t>
      </w:r>
      <w:r w:rsidRPr="009C6BAE">
        <w:rPr>
          <w:rFonts w:eastAsia="Times New Roman"/>
          <w:sz w:val="24"/>
          <w:szCs w:val="24"/>
        </w:rPr>
        <w:t>treatment credit.</w:t>
      </w:r>
    </w:p>
    <w:p w14:paraId="281A6BF4" w14:textId="77777777" w:rsidR="004647B9" w:rsidRPr="009C6BAE" w:rsidRDefault="004647B9" w:rsidP="006A540E">
      <w:pPr>
        <w:rPr>
          <w:sz w:val="24"/>
          <w:szCs w:val="24"/>
        </w:rPr>
      </w:pPr>
    </w:p>
    <w:p w14:paraId="281A6BF5" w14:textId="77777777" w:rsidR="004647B9" w:rsidRPr="009C6BAE" w:rsidRDefault="00E2436F" w:rsidP="006A540E">
      <w:pPr>
        <w:numPr>
          <w:ilvl w:val="0"/>
          <w:numId w:val="809"/>
        </w:numPr>
        <w:tabs>
          <w:tab w:val="left" w:pos="1760"/>
        </w:tabs>
        <w:ind w:left="1760" w:hanging="580"/>
        <w:rPr>
          <w:rFonts w:eastAsia="Times New Roman"/>
          <w:sz w:val="24"/>
          <w:szCs w:val="24"/>
        </w:rPr>
      </w:pPr>
      <w:r w:rsidRPr="009C6BAE">
        <w:rPr>
          <w:rFonts w:eastAsia="Times New Roman"/>
          <w:sz w:val="24"/>
          <w:szCs w:val="24"/>
          <w:u w:val="single"/>
        </w:rPr>
        <w:t>Inactivation Toolbox Components</w:t>
      </w:r>
      <w:r w:rsidRPr="009C6BAE">
        <w:rPr>
          <w:rFonts w:eastAsia="Times New Roman"/>
          <w:sz w:val="24"/>
          <w:szCs w:val="24"/>
        </w:rPr>
        <w:t>.</w:t>
      </w:r>
    </w:p>
    <w:p w14:paraId="281A6BF8" w14:textId="0925EF52" w:rsidR="004647B9" w:rsidRPr="00AE6BC9" w:rsidRDefault="00E2436F" w:rsidP="006A540E">
      <w:pPr>
        <w:numPr>
          <w:ilvl w:val="1"/>
          <w:numId w:val="809"/>
        </w:numPr>
        <w:tabs>
          <w:tab w:val="left" w:pos="2061"/>
        </w:tabs>
        <w:ind w:left="1540" w:hanging="5"/>
        <w:jc w:val="both"/>
        <w:rPr>
          <w:rFonts w:eastAsia="Times New Roman"/>
          <w:sz w:val="24"/>
          <w:szCs w:val="24"/>
        </w:rPr>
      </w:pPr>
      <w:r w:rsidRPr="009C6BAE">
        <w:rPr>
          <w:rFonts w:eastAsia="Times New Roman"/>
          <w:sz w:val="24"/>
          <w:szCs w:val="24"/>
          <w:u w:val="single"/>
        </w:rPr>
        <w:t>Inactivation by Chlorine Dioxide and Ozone</w:t>
      </w:r>
      <w:r w:rsidRPr="009C6BAE">
        <w:rPr>
          <w:rFonts w:eastAsia="Times New Roman"/>
          <w:sz w:val="24"/>
          <w:szCs w:val="24"/>
        </w:rPr>
        <w:t>. A Supplier of Water using chlorine dioxide or ozone, subject to the Department's review and written approval, shall receive</w:t>
      </w:r>
      <w:r w:rsidR="00AE6BC9">
        <w:rPr>
          <w:rFonts w:eastAsia="Times New Roman"/>
          <w:sz w:val="24"/>
          <w:szCs w:val="24"/>
        </w:rPr>
        <w:t xml:space="preserve"> </w:t>
      </w:r>
      <w:r w:rsidRPr="00AE6BC9">
        <w:rPr>
          <w:rFonts w:eastAsia="Times New Roman"/>
          <w:i/>
          <w:iCs/>
          <w:sz w:val="24"/>
          <w:szCs w:val="24"/>
        </w:rPr>
        <w:t xml:space="preserve">Cryptosporidium </w:t>
      </w:r>
      <w:r w:rsidRPr="00AE6BC9">
        <w:rPr>
          <w:rFonts w:eastAsia="Times New Roman"/>
          <w:sz w:val="24"/>
          <w:szCs w:val="24"/>
        </w:rPr>
        <w:t>treatment credit, in accordance with the following:</w:t>
      </w:r>
    </w:p>
    <w:p w14:paraId="281A6BF9" w14:textId="77777777" w:rsidR="004647B9" w:rsidRDefault="004647B9" w:rsidP="006A540E">
      <w:pPr>
        <w:sectPr w:rsidR="004647B9" w:rsidSect="00EF630C">
          <w:pgSz w:w="12240" w:h="20180"/>
          <w:pgMar w:top="708" w:right="1440" w:bottom="1024" w:left="620" w:header="0" w:footer="0" w:gutter="0"/>
          <w:cols w:space="720"/>
        </w:sectPr>
      </w:pPr>
    </w:p>
    <w:p w14:paraId="281A6BFA" w14:textId="77777777" w:rsidR="004647B9" w:rsidRDefault="00E2436F">
      <w:pPr>
        <w:tabs>
          <w:tab w:val="left" w:pos="160"/>
        </w:tabs>
        <w:ind w:right="-59"/>
        <w:jc w:val="center"/>
        <w:rPr>
          <w:sz w:val="20"/>
          <w:szCs w:val="20"/>
        </w:rPr>
      </w:pPr>
      <w:bookmarkStart w:id="313" w:name="page318"/>
      <w:bookmarkEnd w:id="31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BFB" w14:textId="77777777" w:rsidR="004647B9" w:rsidRDefault="004647B9" w:rsidP="006832F8">
      <w:pPr>
        <w:rPr>
          <w:sz w:val="20"/>
          <w:szCs w:val="20"/>
        </w:rPr>
      </w:pPr>
    </w:p>
    <w:p w14:paraId="281A6BFC" w14:textId="77777777" w:rsidR="004647B9" w:rsidRDefault="004647B9" w:rsidP="006832F8">
      <w:pPr>
        <w:rPr>
          <w:sz w:val="20"/>
          <w:szCs w:val="20"/>
        </w:rPr>
      </w:pPr>
    </w:p>
    <w:p w14:paraId="281A6BFD" w14:textId="77777777" w:rsidR="004647B9" w:rsidRPr="009C6BAE" w:rsidRDefault="00E2436F" w:rsidP="006832F8">
      <w:pPr>
        <w:tabs>
          <w:tab w:val="left" w:pos="1020"/>
        </w:tabs>
        <w:ind w:left="80"/>
        <w:rPr>
          <w:sz w:val="24"/>
          <w:szCs w:val="24"/>
        </w:rPr>
      </w:pPr>
      <w:r w:rsidRPr="009C6BAE">
        <w:rPr>
          <w:rFonts w:eastAsia="Times New Roman"/>
          <w:sz w:val="24"/>
          <w:szCs w:val="24"/>
        </w:rPr>
        <w:t>22.20G:</w:t>
      </w:r>
      <w:r w:rsidRPr="009C6BAE">
        <w:rPr>
          <w:rFonts w:eastAsia="Times New Roman"/>
          <w:sz w:val="24"/>
          <w:szCs w:val="24"/>
        </w:rPr>
        <w:tab/>
        <w:t>continued</w:t>
      </w:r>
    </w:p>
    <w:p w14:paraId="281A6BFE" w14:textId="77777777" w:rsidR="004647B9" w:rsidRPr="006832F8" w:rsidRDefault="004647B9" w:rsidP="006832F8">
      <w:pPr>
        <w:rPr>
          <w:sz w:val="20"/>
          <w:szCs w:val="20"/>
        </w:rPr>
      </w:pPr>
    </w:p>
    <w:p w14:paraId="281A6BFF" w14:textId="77777777" w:rsidR="004647B9" w:rsidRPr="009C6BAE" w:rsidRDefault="00E2436F" w:rsidP="006832F8">
      <w:pPr>
        <w:numPr>
          <w:ilvl w:val="0"/>
          <w:numId w:val="810"/>
        </w:numPr>
        <w:tabs>
          <w:tab w:val="left" w:pos="2340"/>
        </w:tabs>
        <w:ind w:left="2340" w:hanging="365"/>
        <w:rPr>
          <w:rFonts w:eastAsia="Times New Roman"/>
          <w:sz w:val="24"/>
          <w:szCs w:val="24"/>
        </w:rPr>
      </w:pPr>
      <w:r w:rsidRPr="009C6BAE">
        <w:rPr>
          <w:rFonts w:eastAsia="Times New Roman"/>
          <w:sz w:val="24"/>
          <w:szCs w:val="24"/>
          <w:u w:val="single"/>
        </w:rPr>
        <w:t>Calculation of Credit</w:t>
      </w:r>
      <w:r w:rsidRPr="009C6BAE">
        <w:rPr>
          <w:rFonts w:eastAsia="Times New Roman"/>
          <w:sz w:val="24"/>
          <w:szCs w:val="24"/>
        </w:rPr>
        <w:t>.</w:t>
      </w:r>
    </w:p>
    <w:p w14:paraId="281A6C01" w14:textId="47DAD5CC" w:rsidR="004647B9" w:rsidRPr="00F2778F" w:rsidRDefault="00E2436F" w:rsidP="006832F8">
      <w:pPr>
        <w:pStyle w:val="ListParagraph"/>
        <w:numPr>
          <w:ilvl w:val="0"/>
          <w:numId w:val="964"/>
        </w:numPr>
        <w:tabs>
          <w:tab w:val="left" w:pos="2700"/>
        </w:tabs>
        <w:ind w:left="2340" w:firstLine="10"/>
        <w:jc w:val="both"/>
        <w:rPr>
          <w:rFonts w:eastAsia="Times New Roman"/>
          <w:sz w:val="24"/>
          <w:szCs w:val="24"/>
        </w:rPr>
      </w:pPr>
      <w:r w:rsidRPr="00F2778F">
        <w:rPr>
          <w:rFonts w:eastAsia="Times New Roman"/>
          <w:sz w:val="24"/>
          <w:szCs w:val="24"/>
        </w:rPr>
        <w:t xml:space="preserve">A Public Water System meeting the chlorine dioxide CT value in 310 CMR 22.20G(23): </w:t>
      </w:r>
      <w:r w:rsidRPr="00F2778F">
        <w:rPr>
          <w:rFonts w:eastAsia="Times New Roman"/>
          <w:i/>
          <w:iCs/>
          <w:sz w:val="24"/>
          <w:szCs w:val="24"/>
        </w:rPr>
        <w:t>Table 7</w:t>
      </w:r>
      <w:r w:rsidRPr="00F2778F">
        <w:rPr>
          <w:rFonts w:eastAsia="Times New Roman"/>
          <w:sz w:val="24"/>
          <w:szCs w:val="24"/>
        </w:rPr>
        <w:t xml:space="preserve"> for the applicable water temperature shall receive the corresponding </w:t>
      </w:r>
      <w:r w:rsidRPr="00F2778F">
        <w:rPr>
          <w:rFonts w:eastAsia="Times New Roman"/>
          <w:i/>
          <w:iCs/>
          <w:sz w:val="24"/>
          <w:szCs w:val="24"/>
        </w:rPr>
        <w:t>Cryptosporidium</w:t>
      </w:r>
      <w:r w:rsidRPr="00F2778F">
        <w:rPr>
          <w:rFonts w:eastAsia="Times New Roman"/>
          <w:sz w:val="24"/>
          <w:szCs w:val="24"/>
        </w:rPr>
        <w:t xml:space="preserve"> treatment credit.</w:t>
      </w:r>
    </w:p>
    <w:p w14:paraId="281A6C02" w14:textId="77777777" w:rsidR="004647B9" w:rsidRPr="009C6BAE" w:rsidRDefault="004647B9" w:rsidP="006832F8">
      <w:pPr>
        <w:rPr>
          <w:sz w:val="24"/>
          <w:szCs w:val="24"/>
        </w:rPr>
      </w:pPr>
    </w:p>
    <w:p w14:paraId="281A6C03" w14:textId="77777777" w:rsidR="004647B9" w:rsidRPr="009C6BAE" w:rsidRDefault="00E2436F" w:rsidP="006832F8">
      <w:pPr>
        <w:ind w:right="-79"/>
        <w:jc w:val="center"/>
        <w:rPr>
          <w:sz w:val="24"/>
          <w:szCs w:val="24"/>
        </w:rPr>
      </w:pPr>
      <w:r w:rsidRPr="009C6BAE">
        <w:rPr>
          <w:rFonts w:eastAsia="Times New Roman"/>
          <w:sz w:val="24"/>
          <w:szCs w:val="24"/>
        </w:rPr>
        <w:t xml:space="preserve">310 CMR 22.20G:  </w:t>
      </w:r>
      <w:r w:rsidRPr="009C6BAE">
        <w:rPr>
          <w:rFonts w:eastAsia="Times New Roman"/>
          <w:i/>
          <w:iCs/>
          <w:sz w:val="24"/>
          <w:szCs w:val="24"/>
        </w:rPr>
        <w:t>Table 7</w:t>
      </w:r>
    </w:p>
    <w:p w14:paraId="281A6C05" w14:textId="2F162249" w:rsidR="004647B9" w:rsidRPr="009C6BAE" w:rsidRDefault="00E2436F" w:rsidP="006832F8">
      <w:pPr>
        <w:ind w:right="-79"/>
        <w:jc w:val="center"/>
        <w:rPr>
          <w:sz w:val="24"/>
          <w:szCs w:val="24"/>
        </w:rPr>
      </w:pPr>
      <w:r w:rsidRPr="009C6BAE">
        <w:rPr>
          <w:rFonts w:eastAsia="Times New Roman"/>
          <w:sz w:val="24"/>
          <w:szCs w:val="24"/>
        </w:rPr>
        <w:t xml:space="preserve">CT VALUES (MG MIN/L) FOR </w:t>
      </w:r>
      <w:r w:rsidRPr="009C6BAE">
        <w:rPr>
          <w:rFonts w:eastAsia="Times New Roman"/>
          <w:i/>
          <w:iCs/>
          <w:sz w:val="24"/>
          <w:szCs w:val="24"/>
        </w:rPr>
        <w:t>Cryptosporidium</w:t>
      </w:r>
      <w:r w:rsidRPr="009C6BAE">
        <w:rPr>
          <w:rFonts w:eastAsia="Times New Roman"/>
          <w:sz w:val="24"/>
          <w:szCs w:val="24"/>
        </w:rPr>
        <w:t xml:space="preserve"> INACTIVATION BY CHLORINE DIOXIDE</w:t>
      </w:r>
      <w:r w:rsidRPr="009C6BAE">
        <w:rPr>
          <w:rFonts w:eastAsia="Times New Roman"/>
          <w:sz w:val="24"/>
          <w:szCs w:val="24"/>
          <w:vertAlign w:val="superscript"/>
        </w:rPr>
        <w:t>1</w:t>
      </w:r>
    </w:p>
    <w:tbl>
      <w:tblPr>
        <w:tblW w:w="101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0"/>
        <w:gridCol w:w="840"/>
        <w:gridCol w:w="860"/>
        <w:gridCol w:w="840"/>
        <w:gridCol w:w="840"/>
        <w:gridCol w:w="860"/>
        <w:gridCol w:w="840"/>
        <w:gridCol w:w="840"/>
        <w:gridCol w:w="860"/>
        <w:gridCol w:w="840"/>
        <w:gridCol w:w="840"/>
        <w:gridCol w:w="840"/>
      </w:tblGrid>
      <w:tr w:rsidR="009E5398" w:rsidRPr="008348DF" w14:paraId="281A6C13" w14:textId="77777777" w:rsidTr="009F0E3D">
        <w:trPr>
          <w:trHeight w:val="378"/>
        </w:trPr>
        <w:tc>
          <w:tcPr>
            <w:tcW w:w="860" w:type="dxa"/>
            <w:vMerge w:val="restart"/>
            <w:vAlign w:val="center"/>
          </w:tcPr>
          <w:p w14:paraId="281A6C06" w14:textId="2E5DBD7E" w:rsidR="009E5398" w:rsidRPr="008348DF" w:rsidRDefault="009E5398" w:rsidP="006832F8">
            <w:pPr>
              <w:ind w:left="144"/>
              <w:rPr>
                <w:sz w:val="20"/>
                <w:szCs w:val="20"/>
              </w:rPr>
            </w:pPr>
            <w:r w:rsidRPr="008348DF">
              <w:rPr>
                <w:rFonts w:eastAsia="Times New Roman"/>
                <w:b/>
                <w:bCs/>
                <w:sz w:val="20"/>
                <w:szCs w:val="20"/>
              </w:rPr>
              <w:t>Log credit</w:t>
            </w:r>
          </w:p>
        </w:tc>
        <w:tc>
          <w:tcPr>
            <w:tcW w:w="9300" w:type="dxa"/>
            <w:gridSpan w:val="11"/>
            <w:vMerge w:val="restart"/>
            <w:vAlign w:val="center"/>
          </w:tcPr>
          <w:p w14:paraId="281A6C11" w14:textId="44AAE926" w:rsidR="009E5398" w:rsidRPr="008348DF" w:rsidRDefault="009E5398" w:rsidP="006832F8">
            <w:pPr>
              <w:jc w:val="center"/>
              <w:rPr>
                <w:sz w:val="20"/>
                <w:szCs w:val="20"/>
              </w:rPr>
            </w:pPr>
            <w:r w:rsidRPr="008348DF">
              <w:rPr>
                <w:rFonts w:eastAsia="Times New Roman"/>
                <w:b/>
                <w:bCs/>
                <w:sz w:val="20"/>
                <w:szCs w:val="20"/>
              </w:rPr>
              <w:t>Water Temperature, ºC</w:t>
            </w:r>
          </w:p>
        </w:tc>
      </w:tr>
      <w:tr w:rsidR="009E5398" w:rsidRPr="008348DF" w14:paraId="281A6C23" w14:textId="77777777" w:rsidTr="009F0E3D">
        <w:trPr>
          <w:trHeight w:val="230"/>
        </w:trPr>
        <w:tc>
          <w:tcPr>
            <w:tcW w:w="860" w:type="dxa"/>
            <w:vMerge/>
            <w:vAlign w:val="bottom"/>
          </w:tcPr>
          <w:p w14:paraId="281A6C14" w14:textId="6725E56E" w:rsidR="009E5398" w:rsidRPr="008348DF" w:rsidRDefault="009E5398" w:rsidP="006832F8">
            <w:pPr>
              <w:rPr>
                <w:sz w:val="20"/>
                <w:szCs w:val="20"/>
              </w:rPr>
            </w:pPr>
          </w:p>
        </w:tc>
        <w:tc>
          <w:tcPr>
            <w:tcW w:w="9300" w:type="dxa"/>
            <w:gridSpan w:val="11"/>
            <w:vMerge/>
            <w:vAlign w:val="bottom"/>
          </w:tcPr>
          <w:p w14:paraId="281A6C21" w14:textId="77777777" w:rsidR="009E5398" w:rsidRPr="008348DF" w:rsidRDefault="009E5398" w:rsidP="006832F8">
            <w:pPr>
              <w:rPr>
                <w:sz w:val="20"/>
                <w:szCs w:val="20"/>
              </w:rPr>
            </w:pPr>
          </w:p>
        </w:tc>
      </w:tr>
      <w:tr w:rsidR="009E5398" w:rsidRPr="008348DF" w14:paraId="281A6C31" w14:textId="77777777" w:rsidTr="009F0E3D">
        <w:trPr>
          <w:trHeight w:val="418"/>
        </w:trPr>
        <w:tc>
          <w:tcPr>
            <w:tcW w:w="860" w:type="dxa"/>
            <w:vMerge/>
            <w:vAlign w:val="bottom"/>
          </w:tcPr>
          <w:p w14:paraId="281A6C24" w14:textId="77777777" w:rsidR="009E5398" w:rsidRPr="008348DF" w:rsidRDefault="009E5398" w:rsidP="006832F8">
            <w:pPr>
              <w:rPr>
                <w:sz w:val="20"/>
                <w:szCs w:val="20"/>
              </w:rPr>
            </w:pPr>
          </w:p>
        </w:tc>
        <w:tc>
          <w:tcPr>
            <w:tcW w:w="840" w:type="dxa"/>
            <w:vAlign w:val="center"/>
          </w:tcPr>
          <w:p w14:paraId="281A6C25" w14:textId="77777777" w:rsidR="009E5398" w:rsidRPr="008348DF" w:rsidRDefault="009E5398" w:rsidP="006832F8">
            <w:pPr>
              <w:jc w:val="center"/>
              <w:rPr>
                <w:sz w:val="20"/>
                <w:szCs w:val="20"/>
              </w:rPr>
            </w:pPr>
            <w:r w:rsidRPr="008348DF">
              <w:rPr>
                <w:rFonts w:eastAsia="Times New Roman"/>
                <w:sz w:val="20"/>
                <w:szCs w:val="20"/>
              </w:rPr>
              <w:t>&lt;0.5</w:t>
            </w:r>
          </w:p>
        </w:tc>
        <w:tc>
          <w:tcPr>
            <w:tcW w:w="860" w:type="dxa"/>
            <w:vAlign w:val="center"/>
          </w:tcPr>
          <w:p w14:paraId="281A6C26" w14:textId="77777777" w:rsidR="009E5398" w:rsidRPr="008348DF" w:rsidRDefault="009E5398" w:rsidP="006832F8">
            <w:pPr>
              <w:jc w:val="center"/>
              <w:rPr>
                <w:sz w:val="20"/>
                <w:szCs w:val="20"/>
              </w:rPr>
            </w:pPr>
            <w:r w:rsidRPr="008348DF">
              <w:rPr>
                <w:rFonts w:eastAsia="Times New Roman"/>
                <w:sz w:val="20"/>
                <w:szCs w:val="20"/>
              </w:rPr>
              <w:t>1</w:t>
            </w:r>
          </w:p>
        </w:tc>
        <w:tc>
          <w:tcPr>
            <w:tcW w:w="840" w:type="dxa"/>
            <w:vAlign w:val="center"/>
          </w:tcPr>
          <w:p w14:paraId="281A6C27" w14:textId="77777777" w:rsidR="009E5398" w:rsidRPr="008348DF" w:rsidRDefault="009E5398" w:rsidP="006832F8">
            <w:pPr>
              <w:jc w:val="center"/>
              <w:rPr>
                <w:sz w:val="20"/>
                <w:szCs w:val="20"/>
              </w:rPr>
            </w:pPr>
            <w:r w:rsidRPr="008348DF">
              <w:rPr>
                <w:rFonts w:eastAsia="Times New Roman"/>
                <w:sz w:val="20"/>
                <w:szCs w:val="20"/>
              </w:rPr>
              <w:t>2</w:t>
            </w:r>
          </w:p>
        </w:tc>
        <w:tc>
          <w:tcPr>
            <w:tcW w:w="840" w:type="dxa"/>
            <w:vAlign w:val="center"/>
          </w:tcPr>
          <w:p w14:paraId="281A6C28" w14:textId="77777777" w:rsidR="009E5398" w:rsidRPr="008348DF" w:rsidRDefault="009E5398" w:rsidP="006832F8">
            <w:pPr>
              <w:jc w:val="center"/>
              <w:rPr>
                <w:sz w:val="20"/>
                <w:szCs w:val="20"/>
              </w:rPr>
            </w:pPr>
            <w:r w:rsidRPr="008348DF">
              <w:rPr>
                <w:rFonts w:eastAsia="Times New Roman"/>
                <w:sz w:val="20"/>
                <w:szCs w:val="20"/>
              </w:rPr>
              <w:t>3</w:t>
            </w:r>
          </w:p>
        </w:tc>
        <w:tc>
          <w:tcPr>
            <w:tcW w:w="860" w:type="dxa"/>
            <w:vAlign w:val="center"/>
          </w:tcPr>
          <w:p w14:paraId="281A6C29" w14:textId="77777777" w:rsidR="009E5398" w:rsidRPr="008348DF" w:rsidRDefault="009E5398" w:rsidP="006832F8">
            <w:pPr>
              <w:jc w:val="center"/>
              <w:rPr>
                <w:sz w:val="20"/>
                <w:szCs w:val="20"/>
              </w:rPr>
            </w:pPr>
            <w:r w:rsidRPr="008348DF">
              <w:rPr>
                <w:rFonts w:eastAsia="Times New Roman"/>
                <w:sz w:val="20"/>
                <w:szCs w:val="20"/>
              </w:rPr>
              <w:t>5</w:t>
            </w:r>
          </w:p>
        </w:tc>
        <w:tc>
          <w:tcPr>
            <w:tcW w:w="840" w:type="dxa"/>
            <w:vAlign w:val="center"/>
          </w:tcPr>
          <w:p w14:paraId="281A6C2A" w14:textId="77777777" w:rsidR="009E5398" w:rsidRPr="008348DF" w:rsidRDefault="009E5398" w:rsidP="006832F8">
            <w:pPr>
              <w:jc w:val="center"/>
              <w:rPr>
                <w:sz w:val="20"/>
                <w:szCs w:val="20"/>
              </w:rPr>
            </w:pPr>
            <w:r w:rsidRPr="008348DF">
              <w:rPr>
                <w:rFonts w:eastAsia="Times New Roman"/>
                <w:sz w:val="20"/>
                <w:szCs w:val="20"/>
              </w:rPr>
              <w:t>7</w:t>
            </w:r>
          </w:p>
        </w:tc>
        <w:tc>
          <w:tcPr>
            <w:tcW w:w="840" w:type="dxa"/>
            <w:vAlign w:val="center"/>
          </w:tcPr>
          <w:p w14:paraId="281A6C2B" w14:textId="77777777" w:rsidR="009E5398" w:rsidRPr="008348DF" w:rsidRDefault="009E5398" w:rsidP="006832F8">
            <w:pPr>
              <w:jc w:val="center"/>
              <w:rPr>
                <w:sz w:val="20"/>
                <w:szCs w:val="20"/>
              </w:rPr>
            </w:pPr>
            <w:r w:rsidRPr="008348DF">
              <w:rPr>
                <w:rFonts w:eastAsia="Times New Roman"/>
                <w:sz w:val="20"/>
                <w:szCs w:val="20"/>
              </w:rPr>
              <w:t>10</w:t>
            </w:r>
          </w:p>
        </w:tc>
        <w:tc>
          <w:tcPr>
            <w:tcW w:w="860" w:type="dxa"/>
            <w:vAlign w:val="center"/>
          </w:tcPr>
          <w:p w14:paraId="281A6C2C" w14:textId="77777777" w:rsidR="009E5398" w:rsidRPr="008348DF" w:rsidRDefault="009E5398" w:rsidP="006832F8">
            <w:pPr>
              <w:jc w:val="center"/>
              <w:rPr>
                <w:sz w:val="20"/>
                <w:szCs w:val="20"/>
              </w:rPr>
            </w:pPr>
            <w:r w:rsidRPr="008348DF">
              <w:rPr>
                <w:rFonts w:eastAsia="Times New Roman"/>
                <w:sz w:val="20"/>
                <w:szCs w:val="20"/>
              </w:rPr>
              <w:t>15</w:t>
            </w:r>
          </w:p>
        </w:tc>
        <w:tc>
          <w:tcPr>
            <w:tcW w:w="840" w:type="dxa"/>
            <w:vAlign w:val="center"/>
          </w:tcPr>
          <w:p w14:paraId="281A6C2D" w14:textId="77777777" w:rsidR="009E5398" w:rsidRPr="008348DF" w:rsidRDefault="009E5398" w:rsidP="006832F8">
            <w:pPr>
              <w:jc w:val="center"/>
              <w:rPr>
                <w:sz w:val="20"/>
                <w:szCs w:val="20"/>
              </w:rPr>
            </w:pPr>
            <w:r w:rsidRPr="008348DF">
              <w:rPr>
                <w:rFonts w:eastAsia="Times New Roman"/>
                <w:sz w:val="20"/>
                <w:szCs w:val="20"/>
              </w:rPr>
              <w:t>20</w:t>
            </w:r>
          </w:p>
        </w:tc>
        <w:tc>
          <w:tcPr>
            <w:tcW w:w="840" w:type="dxa"/>
            <w:vAlign w:val="center"/>
          </w:tcPr>
          <w:p w14:paraId="281A6C2E" w14:textId="77777777" w:rsidR="009E5398" w:rsidRPr="008348DF" w:rsidRDefault="009E5398" w:rsidP="006832F8">
            <w:pPr>
              <w:jc w:val="center"/>
              <w:rPr>
                <w:sz w:val="20"/>
                <w:szCs w:val="20"/>
              </w:rPr>
            </w:pPr>
            <w:r w:rsidRPr="008348DF">
              <w:rPr>
                <w:rFonts w:eastAsia="Times New Roman"/>
                <w:sz w:val="20"/>
                <w:szCs w:val="20"/>
              </w:rPr>
              <w:t>25</w:t>
            </w:r>
          </w:p>
        </w:tc>
        <w:tc>
          <w:tcPr>
            <w:tcW w:w="840" w:type="dxa"/>
            <w:vAlign w:val="center"/>
          </w:tcPr>
          <w:p w14:paraId="281A6C2F" w14:textId="77777777" w:rsidR="009E5398" w:rsidRPr="008348DF" w:rsidRDefault="009E5398" w:rsidP="006832F8">
            <w:pPr>
              <w:jc w:val="center"/>
              <w:rPr>
                <w:sz w:val="20"/>
                <w:szCs w:val="20"/>
              </w:rPr>
            </w:pPr>
            <w:r w:rsidRPr="008348DF">
              <w:rPr>
                <w:rFonts w:eastAsia="Times New Roman"/>
                <w:sz w:val="20"/>
                <w:szCs w:val="20"/>
              </w:rPr>
              <w:t>30</w:t>
            </w:r>
          </w:p>
        </w:tc>
      </w:tr>
      <w:tr w:rsidR="009E5398" w:rsidRPr="008348DF" w14:paraId="281A6C5D" w14:textId="77777777" w:rsidTr="009F0E3D">
        <w:trPr>
          <w:trHeight w:val="362"/>
        </w:trPr>
        <w:tc>
          <w:tcPr>
            <w:tcW w:w="860" w:type="dxa"/>
            <w:vAlign w:val="center"/>
          </w:tcPr>
          <w:p w14:paraId="281A6C50" w14:textId="77777777" w:rsidR="009E5398" w:rsidRPr="008348DF" w:rsidRDefault="009E5398" w:rsidP="006832F8">
            <w:pPr>
              <w:jc w:val="center"/>
              <w:rPr>
                <w:sz w:val="20"/>
                <w:szCs w:val="20"/>
              </w:rPr>
            </w:pPr>
            <w:r w:rsidRPr="008348DF">
              <w:rPr>
                <w:rFonts w:eastAsia="Times New Roman"/>
                <w:sz w:val="20"/>
                <w:szCs w:val="20"/>
              </w:rPr>
              <w:t>0.25</w:t>
            </w:r>
          </w:p>
        </w:tc>
        <w:tc>
          <w:tcPr>
            <w:tcW w:w="840" w:type="dxa"/>
            <w:vAlign w:val="center"/>
          </w:tcPr>
          <w:p w14:paraId="281A6C51" w14:textId="77777777" w:rsidR="009E5398" w:rsidRPr="008348DF" w:rsidRDefault="009E5398" w:rsidP="006832F8">
            <w:pPr>
              <w:jc w:val="center"/>
              <w:rPr>
                <w:sz w:val="20"/>
                <w:szCs w:val="20"/>
              </w:rPr>
            </w:pPr>
            <w:r w:rsidRPr="008348DF">
              <w:rPr>
                <w:rFonts w:eastAsia="Times New Roman"/>
                <w:sz w:val="20"/>
                <w:szCs w:val="20"/>
              </w:rPr>
              <w:t>159</w:t>
            </w:r>
          </w:p>
        </w:tc>
        <w:tc>
          <w:tcPr>
            <w:tcW w:w="860" w:type="dxa"/>
            <w:vAlign w:val="center"/>
          </w:tcPr>
          <w:p w14:paraId="281A6C52" w14:textId="77777777" w:rsidR="009E5398" w:rsidRPr="008348DF" w:rsidRDefault="009E5398" w:rsidP="006832F8">
            <w:pPr>
              <w:jc w:val="center"/>
              <w:rPr>
                <w:sz w:val="20"/>
                <w:szCs w:val="20"/>
              </w:rPr>
            </w:pPr>
            <w:r w:rsidRPr="008348DF">
              <w:rPr>
                <w:rFonts w:eastAsia="Times New Roman"/>
                <w:sz w:val="20"/>
                <w:szCs w:val="20"/>
              </w:rPr>
              <w:t>153</w:t>
            </w:r>
          </w:p>
        </w:tc>
        <w:tc>
          <w:tcPr>
            <w:tcW w:w="840" w:type="dxa"/>
            <w:vAlign w:val="center"/>
          </w:tcPr>
          <w:p w14:paraId="281A6C53" w14:textId="77777777" w:rsidR="009E5398" w:rsidRPr="008348DF" w:rsidRDefault="009E5398" w:rsidP="006832F8">
            <w:pPr>
              <w:jc w:val="center"/>
              <w:rPr>
                <w:sz w:val="20"/>
                <w:szCs w:val="20"/>
              </w:rPr>
            </w:pPr>
            <w:r w:rsidRPr="008348DF">
              <w:rPr>
                <w:rFonts w:eastAsia="Times New Roman"/>
                <w:sz w:val="20"/>
                <w:szCs w:val="20"/>
              </w:rPr>
              <w:t>140</w:t>
            </w:r>
          </w:p>
        </w:tc>
        <w:tc>
          <w:tcPr>
            <w:tcW w:w="840" w:type="dxa"/>
            <w:vAlign w:val="center"/>
          </w:tcPr>
          <w:p w14:paraId="281A6C54" w14:textId="77777777" w:rsidR="009E5398" w:rsidRPr="008348DF" w:rsidRDefault="009E5398" w:rsidP="006832F8">
            <w:pPr>
              <w:jc w:val="center"/>
              <w:rPr>
                <w:sz w:val="20"/>
                <w:szCs w:val="20"/>
              </w:rPr>
            </w:pPr>
            <w:r w:rsidRPr="008348DF">
              <w:rPr>
                <w:rFonts w:eastAsia="Times New Roman"/>
                <w:sz w:val="20"/>
                <w:szCs w:val="20"/>
              </w:rPr>
              <w:t>128</w:t>
            </w:r>
          </w:p>
        </w:tc>
        <w:tc>
          <w:tcPr>
            <w:tcW w:w="860" w:type="dxa"/>
            <w:vAlign w:val="center"/>
          </w:tcPr>
          <w:p w14:paraId="281A6C55" w14:textId="77777777" w:rsidR="009E5398" w:rsidRPr="008348DF" w:rsidRDefault="009E5398" w:rsidP="006832F8">
            <w:pPr>
              <w:jc w:val="center"/>
              <w:rPr>
                <w:sz w:val="20"/>
                <w:szCs w:val="20"/>
              </w:rPr>
            </w:pPr>
            <w:r w:rsidRPr="008348DF">
              <w:rPr>
                <w:rFonts w:eastAsia="Times New Roman"/>
                <w:sz w:val="20"/>
                <w:szCs w:val="20"/>
              </w:rPr>
              <w:t>107</w:t>
            </w:r>
          </w:p>
        </w:tc>
        <w:tc>
          <w:tcPr>
            <w:tcW w:w="840" w:type="dxa"/>
            <w:vAlign w:val="center"/>
          </w:tcPr>
          <w:p w14:paraId="281A6C56" w14:textId="77777777" w:rsidR="009E5398" w:rsidRPr="008348DF" w:rsidRDefault="009E5398" w:rsidP="006832F8">
            <w:pPr>
              <w:jc w:val="center"/>
              <w:rPr>
                <w:sz w:val="20"/>
                <w:szCs w:val="20"/>
              </w:rPr>
            </w:pPr>
            <w:r w:rsidRPr="008348DF">
              <w:rPr>
                <w:rFonts w:eastAsia="Times New Roman"/>
                <w:sz w:val="20"/>
                <w:szCs w:val="20"/>
              </w:rPr>
              <w:t>90</w:t>
            </w:r>
          </w:p>
        </w:tc>
        <w:tc>
          <w:tcPr>
            <w:tcW w:w="840" w:type="dxa"/>
            <w:vAlign w:val="center"/>
          </w:tcPr>
          <w:p w14:paraId="281A6C57" w14:textId="77777777" w:rsidR="009E5398" w:rsidRPr="008348DF" w:rsidRDefault="009E5398" w:rsidP="006832F8">
            <w:pPr>
              <w:jc w:val="center"/>
              <w:rPr>
                <w:sz w:val="20"/>
                <w:szCs w:val="20"/>
              </w:rPr>
            </w:pPr>
            <w:r w:rsidRPr="008348DF">
              <w:rPr>
                <w:rFonts w:eastAsia="Times New Roman"/>
                <w:sz w:val="20"/>
                <w:szCs w:val="20"/>
              </w:rPr>
              <w:t>69</w:t>
            </w:r>
          </w:p>
        </w:tc>
        <w:tc>
          <w:tcPr>
            <w:tcW w:w="860" w:type="dxa"/>
            <w:vAlign w:val="center"/>
          </w:tcPr>
          <w:p w14:paraId="281A6C58" w14:textId="77777777" w:rsidR="009E5398" w:rsidRPr="008348DF" w:rsidRDefault="009E5398" w:rsidP="006832F8">
            <w:pPr>
              <w:jc w:val="center"/>
              <w:rPr>
                <w:sz w:val="20"/>
                <w:szCs w:val="20"/>
              </w:rPr>
            </w:pPr>
            <w:r w:rsidRPr="008348DF">
              <w:rPr>
                <w:rFonts w:eastAsia="Times New Roman"/>
                <w:sz w:val="20"/>
                <w:szCs w:val="20"/>
              </w:rPr>
              <w:t>45</w:t>
            </w:r>
          </w:p>
        </w:tc>
        <w:tc>
          <w:tcPr>
            <w:tcW w:w="840" w:type="dxa"/>
            <w:vAlign w:val="center"/>
          </w:tcPr>
          <w:p w14:paraId="281A6C59" w14:textId="77777777" w:rsidR="009E5398" w:rsidRPr="008348DF" w:rsidRDefault="009E5398" w:rsidP="006832F8">
            <w:pPr>
              <w:jc w:val="center"/>
              <w:rPr>
                <w:sz w:val="20"/>
                <w:szCs w:val="20"/>
              </w:rPr>
            </w:pPr>
            <w:r w:rsidRPr="008348DF">
              <w:rPr>
                <w:rFonts w:eastAsia="Times New Roman"/>
                <w:sz w:val="20"/>
                <w:szCs w:val="20"/>
              </w:rPr>
              <w:t>29</w:t>
            </w:r>
          </w:p>
        </w:tc>
        <w:tc>
          <w:tcPr>
            <w:tcW w:w="840" w:type="dxa"/>
            <w:vAlign w:val="center"/>
          </w:tcPr>
          <w:p w14:paraId="281A6C5A" w14:textId="77777777" w:rsidR="009E5398" w:rsidRPr="008348DF" w:rsidRDefault="009E5398" w:rsidP="006832F8">
            <w:pPr>
              <w:jc w:val="center"/>
              <w:rPr>
                <w:sz w:val="20"/>
                <w:szCs w:val="20"/>
              </w:rPr>
            </w:pPr>
            <w:r w:rsidRPr="008348DF">
              <w:rPr>
                <w:rFonts w:eastAsia="Times New Roman"/>
                <w:sz w:val="20"/>
                <w:szCs w:val="20"/>
              </w:rPr>
              <w:t>19</w:t>
            </w:r>
          </w:p>
        </w:tc>
        <w:tc>
          <w:tcPr>
            <w:tcW w:w="840" w:type="dxa"/>
            <w:vAlign w:val="center"/>
          </w:tcPr>
          <w:p w14:paraId="281A6C5B" w14:textId="77777777" w:rsidR="009E5398" w:rsidRPr="008348DF" w:rsidRDefault="009E5398" w:rsidP="006832F8">
            <w:pPr>
              <w:jc w:val="center"/>
              <w:rPr>
                <w:sz w:val="20"/>
                <w:szCs w:val="20"/>
              </w:rPr>
            </w:pPr>
            <w:r w:rsidRPr="008348DF">
              <w:rPr>
                <w:rFonts w:eastAsia="Times New Roman"/>
                <w:sz w:val="20"/>
                <w:szCs w:val="20"/>
              </w:rPr>
              <w:t>12</w:t>
            </w:r>
          </w:p>
        </w:tc>
      </w:tr>
      <w:tr w:rsidR="009E5398" w:rsidRPr="008348DF" w14:paraId="281A6C7B" w14:textId="77777777" w:rsidTr="009F0E3D">
        <w:trPr>
          <w:trHeight w:val="364"/>
        </w:trPr>
        <w:tc>
          <w:tcPr>
            <w:tcW w:w="860" w:type="dxa"/>
            <w:vAlign w:val="center"/>
          </w:tcPr>
          <w:p w14:paraId="281A6C6E" w14:textId="77777777" w:rsidR="009E5398" w:rsidRPr="008348DF" w:rsidRDefault="009E5398" w:rsidP="006832F8">
            <w:pPr>
              <w:jc w:val="center"/>
              <w:rPr>
                <w:sz w:val="20"/>
                <w:szCs w:val="20"/>
              </w:rPr>
            </w:pPr>
            <w:r w:rsidRPr="008348DF">
              <w:rPr>
                <w:rFonts w:eastAsia="Times New Roman"/>
                <w:sz w:val="20"/>
                <w:szCs w:val="20"/>
              </w:rPr>
              <w:t>0.5</w:t>
            </w:r>
          </w:p>
        </w:tc>
        <w:tc>
          <w:tcPr>
            <w:tcW w:w="840" w:type="dxa"/>
            <w:vAlign w:val="center"/>
          </w:tcPr>
          <w:p w14:paraId="281A6C6F" w14:textId="77777777" w:rsidR="009E5398" w:rsidRPr="008348DF" w:rsidRDefault="009E5398" w:rsidP="006832F8">
            <w:pPr>
              <w:jc w:val="center"/>
              <w:rPr>
                <w:sz w:val="20"/>
                <w:szCs w:val="20"/>
              </w:rPr>
            </w:pPr>
            <w:r w:rsidRPr="008348DF">
              <w:rPr>
                <w:rFonts w:eastAsia="Times New Roman"/>
                <w:sz w:val="20"/>
                <w:szCs w:val="20"/>
              </w:rPr>
              <w:t>319</w:t>
            </w:r>
          </w:p>
        </w:tc>
        <w:tc>
          <w:tcPr>
            <w:tcW w:w="860" w:type="dxa"/>
            <w:vAlign w:val="center"/>
          </w:tcPr>
          <w:p w14:paraId="281A6C70" w14:textId="77777777" w:rsidR="009E5398" w:rsidRPr="008348DF" w:rsidRDefault="009E5398" w:rsidP="006832F8">
            <w:pPr>
              <w:jc w:val="center"/>
              <w:rPr>
                <w:sz w:val="20"/>
                <w:szCs w:val="20"/>
              </w:rPr>
            </w:pPr>
            <w:r w:rsidRPr="008348DF">
              <w:rPr>
                <w:rFonts w:eastAsia="Times New Roman"/>
                <w:sz w:val="20"/>
                <w:szCs w:val="20"/>
              </w:rPr>
              <w:t>305</w:t>
            </w:r>
          </w:p>
        </w:tc>
        <w:tc>
          <w:tcPr>
            <w:tcW w:w="840" w:type="dxa"/>
            <w:vAlign w:val="center"/>
          </w:tcPr>
          <w:p w14:paraId="281A6C71" w14:textId="77777777" w:rsidR="009E5398" w:rsidRPr="008348DF" w:rsidRDefault="009E5398" w:rsidP="006832F8">
            <w:pPr>
              <w:jc w:val="center"/>
              <w:rPr>
                <w:sz w:val="20"/>
                <w:szCs w:val="20"/>
              </w:rPr>
            </w:pPr>
            <w:r w:rsidRPr="008348DF">
              <w:rPr>
                <w:rFonts w:eastAsia="Times New Roman"/>
                <w:sz w:val="20"/>
                <w:szCs w:val="20"/>
              </w:rPr>
              <w:t>279</w:t>
            </w:r>
          </w:p>
        </w:tc>
        <w:tc>
          <w:tcPr>
            <w:tcW w:w="840" w:type="dxa"/>
            <w:vAlign w:val="center"/>
          </w:tcPr>
          <w:p w14:paraId="281A6C72" w14:textId="77777777" w:rsidR="009E5398" w:rsidRPr="008348DF" w:rsidRDefault="009E5398" w:rsidP="006832F8">
            <w:pPr>
              <w:jc w:val="center"/>
              <w:rPr>
                <w:sz w:val="20"/>
                <w:szCs w:val="20"/>
              </w:rPr>
            </w:pPr>
            <w:r w:rsidRPr="008348DF">
              <w:rPr>
                <w:rFonts w:eastAsia="Times New Roman"/>
                <w:sz w:val="20"/>
                <w:szCs w:val="20"/>
              </w:rPr>
              <w:t>256</w:t>
            </w:r>
          </w:p>
        </w:tc>
        <w:tc>
          <w:tcPr>
            <w:tcW w:w="860" w:type="dxa"/>
            <w:vAlign w:val="center"/>
          </w:tcPr>
          <w:p w14:paraId="281A6C73" w14:textId="77777777" w:rsidR="009E5398" w:rsidRPr="008348DF" w:rsidRDefault="009E5398" w:rsidP="006832F8">
            <w:pPr>
              <w:jc w:val="center"/>
              <w:rPr>
                <w:sz w:val="20"/>
                <w:szCs w:val="20"/>
              </w:rPr>
            </w:pPr>
            <w:r w:rsidRPr="008348DF">
              <w:rPr>
                <w:rFonts w:eastAsia="Times New Roman"/>
                <w:sz w:val="20"/>
                <w:szCs w:val="20"/>
              </w:rPr>
              <w:t>214</w:t>
            </w:r>
          </w:p>
        </w:tc>
        <w:tc>
          <w:tcPr>
            <w:tcW w:w="840" w:type="dxa"/>
            <w:vAlign w:val="center"/>
          </w:tcPr>
          <w:p w14:paraId="281A6C74" w14:textId="77777777" w:rsidR="009E5398" w:rsidRPr="008348DF" w:rsidRDefault="009E5398" w:rsidP="006832F8">
            <w:pPr>
              <w:jc w:val="center"/>
              <w:rPr>
                <w:sz w:val="20"/>
                <w:szCs w:val="20"/>
              </w:rPr>
            </w:pPr>
            <w:r w:rsidRPr="008348DF">
              <w:rPr>
                <w:rFonts w:eastAsia="Times New Roman"/>
                <w:sz w:val="20"/>
                <w:szCs w:val="20"/>
              </w:rPr>
              <w:t>180</w:t>
            </w:r>
          </w:p>
        </w:tc>
        <w:tc>
          <w:tcPr>
            <w:tcW w:w="840" w:type="dxa"/>
            <w:vAlign w:val="center"/>
          </w:tcPr>
          <w:p w14:paraId="281A6C75" w14:textId="77777777" w:rsidR="009E5398" w:rsidRPr="008348DF" w:rsidRDefault="009E5398" w:rsidP="006832F8">
            <w:pPr>
              <w:jc w:val="center"/>
              <w:rPr>
                <w:sz w:val="20"/>
                <w:szCs w:val="20"/>
              </w:rPr>
            </w:pPr>
            <w:r w:rsidRPr="008348DF">
              <w:rPr>
                <w:rFonts w:eastAsia="Times New Roman"/>
                <w:sz w:val="20"/>
                <w:szCs w:val="20"/>
              </w:rPr>
              <w:t>138</w:t>
            </w:r>
          </w:p>
        </w:tc>
        <w:tc>
          <w:tcPr>
            <w:tcW w:w="860" w:type="dxa"/>
            <w:vAlign w:val="center"/>
          </w:tcPr>
          <w:p w14:paraId="281A6C76" w14:textId="77777777" w:rsidR="009E5398" w:rsidRPr="008348DF" w:rsidRDefault="009E5398" w:rsidP="006832F8">
            <w:pPr>
              <w:jc w:val="center"/>
              <w:rPr>
                <w:sz w:val="20"/>
                <w:szCs w:val="20"/>
              </w:rPr>
            </w:pPr>
            <w:r w:rsidRPr="008348DF">
              <w:rPr>
                <w:rFonts w:eastAsia="Times New Roman"/>
                <w:sz w:val="20"/>
                <w:szCs w:val="20"/>
              </w:rPr>
              <w:t>89</w:t>
            </w:r>
          </w:p>
        </w:tc>
        <w:tc>
          <w:tcPr>
            <w:tcW w:w="840" w:type="dxa"/>
            <w:vAlign w:val="center"/>
          </w:tcPr>
          <w:p w14:paraId="281A6C77" w14:textId="77777777" w:rsidR="009E5398" w:rsidRPr="008348DF" w:rsidRDefault="009E5398" w:rsidP="006832F8">
            <w:pPr>
              <w:jc w:val="center"/>
              <w:rPr>
                <w:sz w:val="20"/>
                <w:szCs w:val="20"/>
              </w:rPr>
            </w:pPr>
            <w:r w:rsidRPr="008348DF">
              <w:rPr>
                <w:rFonts w:eastAsia="Times New Roman"/>
                <w:sz w:val="20"/>
                <w:szCs w:val="20"/>
              </w:rPr>
              <w:t>58</w:t>
            </w:r>
          </w:p>
        </w:tc>
        <w:tc>
          <w:tcPr>
            <w:tcW w:w="840" w:type="dxa"/>
            <w:vAlign w:val="center"/>
          </w:tcPr>
          <w:p w14:paraId="281A6C78" w14:textId="77777777" w:rsidR="009E5398" w:rsidRPr="008348DF" w:rsidRDefault="009E5398" w:rsidP="006832F8">
            <w:pPr>
              <w:jc w:val="center"/>
              <w:rPr>
                <w:sz w:val="20"/>
                <w:szCs w:val="20"/>
              </w:rPr>
            </w:pPr>
            <w:r w:rsidRPr="008348DF">
              <w:rPr>
                <w:rFonts w:eastAsia="Times New Roman"/>
                <w:sz w:val="20"/>
                <w:szCs w:val="20"/>
              </w:rPr>
              <w:t>38</w:t>
            </w:r>
          </w:p>
        </w:tc>
        <w:tc>
          <w:tcPr>
            <w:tcW w:w="840" w:type="dxa"/>
            <w:vAlign w:val="center"/>
          </w:tcPr>
          <w:p w14:paraId="281A6C79" w14:textId="77777777" w:rsidR="009E5398" w:rsidRPr="008348DF" w:rsidRDefault="009E5398" w:rsidP="006832F8">
            <w:pPr>
              <w:jc w:val="center"/>
              <w:rPr>
                <w:sz w:val="20"/>
                <w:szCs w:val="20"/>
              </w:rPr>
            </w:pPr>
            <w:r w:rsidRPr="008348DF">
              <w:rPr>
                <w:rFonts w:eastAsia="Times New Roman"/>
                <w:sz w:val="20"/>
                <w:szCs w:val="20"/>
              </w:rPr>
              <w:t>24</w:t>
            </w:r>
          </w:p>
        </w:tc>
      </w:tr>
      <w:tr w:rsidR="009E5398" w:rsidRPr="008348DF" w14:paraId="281A6C99" w14:textId="77777777" w:rsidTr="009F0E3D">
        <w:trPr>
          <w:trHeight w:val="362"/>
        </w:trPr>
        <w:tc>
          <w:tcPr>
            <w:tcW w:w="860" w:type="dxa"/>
            <w:vAlign w:val="center"/>
          </w:tcPr>
          <w:p w14:paraId="281A6C8C" w14:textId="77777777" w:rsidR="009E5398" w:rsidRPr="008348DF" w:rsidRDefault="009E5398" w:rsidP="006832F8">
            <w:pPr>
              <w:jc w:val="center"/>
              <w:rPr>
                <w:sz w:val="20"/>
                <w:szCs w:val="20"/>
              </w:rPr>
            </w:pPr>
            <w:r w:rsidRPr="008348DF">
              <w:rPr>
                <w:rFonts w:eastAsia="Times New Roman"/>
                <w:sz w:val="20"/>
                <w:szCs w:val="20"/>
              </w:rPr>
              <w:t>1.0</w:t>
            </w:r>
          </w:p>
        </w:tc>
        <w:tc>
          <w:tcPr>
            <w:tcW w:w="840" w:type="dxa"/>
            <w:vAlign w:val="center"/>
          </w:tcPr>
          <w:p w14:paraId="281A6C8D" w14:textId="77777777" w:rsidR="009E5398" w:rsidRPr="008348DF" w:rsidRDefault="009E5398" w:rsidP="006832F8">
            <w:pPr>
              <w:jc w:val="center"/>
              <w:rPr>
                <w:sz w:val="20"/>
                <w:szCs w:val="20"/>
              </w:rPr>
            </w:pPr>
            <w:r w:rsidRPr="008348DF">
              <w:rPr>
                <w:rFonts w:eastAsia="Times New Roman"/>
                <w:sz w:val="20"/>
                <w:szCs w:val="20"/>
              </w:rPr>
              <w:t>637</w:t>
            </w:r>
          </w:p>
        </w:tc>
        <w:tc>
          <w:tcPr>
            <w:tcW w:w="860" w:type="dxa"/>
            <w:vAlign w:val="center"/>
          </w:tcPr>
          <w:p w14:paraId="281A6C8E" w14:textId="77777777" w:rsidR="009E5398" w:rsidRPr="008348DF" w:rsidRDefault="009E5398" w:rsidP="006832F8">
            <w:pPr>
              <w:jc w:val="center"/>
              <w:rPr>
                <w:sz w:val="20"/>
                <w:szCs w:val="20"/>
              </w:rPr>
            </w:pPr>
            <w:r w:rsidRPr="008348DF">
              <w:rPr>
                <w:rFonts w:eastAsia="Times New Roman"/>
                <w:sz w:val="20"/>
                <w:szCs w:val="20"/>
              </w:rPr>
              <w:t>610</w:t>
            </w:r>
          </w:p>
        </w:tc>
        <w:tc>
          <w:tcPr>
            <w:tcW w:w="840" w:type="dxa"/>
            <w:vAlign w:val="center"/>
          </w:tcPr>
          <w:p w14:paraId="281A6C8F" w14:textId="77777777" w:rsidR="009E5398" w:rsidRPr="008348DF" w:rsidRDefault="009E5398" w:rsidP="006832F8">
            <w:pPr>
              <w:jc w:val="center"/>
              <w:rPr>
                <w:sz w:val="20"/>
                <w:szCs w:val="20"/>
              </w:rPr>
            </w:pPr>
            <w:r w:rsidRPr="008348DF">
              <w:rPr>
                <w:rFonts w:eastAsia="Times New Roman"/>
                <w:sz w:val="20"/>
                <w:szCs w:val="20"/>
              </w:rPr>
              <w:t>558</w:t>
            </w:r>
          </w:p>
        </w:tc>
        <w:tc>
          <w:tcPr>
            <w:tcW w:w="840" w:type="dxa"/>
            <w:vAlign w:val="center"/>
          </w:tcPr>
          <w:p w14:paraId="281A6C90" w14:textId="77777777" w:rsidR="009E5398" w:rsidRPr="008348DF" w:rsidRDefault="009E5398" w:rsidP="006832F8">
            <w:pPr>
              <w:jc w:val="center"/>
              <w:rPr>
                <w:sz w:val="20"/>
                <w:szCs w:val="20"/>
              </w:rPr>
            </w:pPr>
            <w:r w:rsidRPr="008348DF">
              <w:rPr>
                <w:rFonts w:eastAsia="Times New Roman"/>
                <w:sz w:val="20"/>
                <w:szCs w:val="20"/>
              </w:rPr>
              <w:t>511</w:t>
            </w:r>
          </w:p>
        </w:tc>
        <w:tc>
          <w:tcPr>
            <w:tcW w:w="860" w:type="dxa"/>
            <w:vAlign w:val="center"/>
          </w:tcPr>
          <w:p w14:paraId="281A6C91" w14:textId="77777777" w:rsidR="009E5398" w:rsidRPr="008348DF" w:rsidRDefault="009E5398" w:rsidP="006832F8">
            <w:pPr>
              <w:jc w:val="center"/>
              <w:rPr>
                <w:sz w:val="20"/>
                <w:szCs w:val="20"/>
              </w:rPr>
            </w:pPr>
            <w:r w:rsidRPr="008348DF">
              <w:rPr>
                <w:rFonts w:eastAsia="Times New Roman"/>
                <w:sz w:val="20"/>
                <w:szCs w:val="20"/>
              </w:rPr>
              <w:t>429</w:t>
            </w:r>
          </w:p>
        </w:tc>
        <w:tc>
          <w:tcPr>
            <w:tcW w:w="840" w:type="dxa"/>
            <w:vAlign w:val="center"/>
          </w:tcPr>
          <w:p w14:paraId="281A6C92" w14:textId="77777777" w:rsidR="009E5398" w:rsidRPr="008348DF" w:rsidRDefault="009E5398" w:rsidP="006832F8">
            <w:pPr>
              <w:jc w:val="center"/>
              <w:rPr>
                <w:sz w:val="20"/>
                <w:szCs w:val="20"/>
              </w:rPr>
            </w:pPr>
            <w:r w:rsidRPr="008348DF">
              <w:rPr>
                <w:rFonts w:eastAsia="Times New Roman"/>
                <w:sz w:val="20"/>
                <w:szCs w:val="20"/>
              </w:rPr>
              <w:t>360</w:t>
            </w:r>
          </w:p>
        </w:tc>
        <w:tc>
          <w:tcPr>
            <w:tcW w:w="840" w:type="dxa"/>
            <w:vAlign w:val="center"/>
          </w:tcPr>
          <w:p w14:paraId="281A6C93" w14:textId="77777777" w:rsidR="009E5398" w:rsidRPr="008348DF" w:rsidRDefault="009E5398" w:rsidP="006832F8">
            <w:pPr>
              <w:jc w:val="center"/>
              <w:rPr>
                <w:sz w:val="20"/>
                <w:szCs w:val="20"/>
              </w:rPr>
            </w:pPr>
            <w:r w:rsidRPr="008348DF">
              <w:rPr>
                <w:rFonts w:eastAsia="Times New Roman"/>
                <w:sz w:val="20"/>
                <w:szCs w:val="20"/>
              </w:rPr>
              <w:t>277</w:t>
            </w:r>
          </w:p>
        </w:tc>
        <w:tc>
          <w:tcPr>
            <w:tcW w:w="860" w:type="dxa"/>
            <w:vAlign w:val="center"/>
          </w:tcPr>
          <w:p w14:paraId="281A6C94" w14:textId="77777777" w:rsidR="009E5398" w:rsidRPr="008348DF" w:rsidRDefault="009E5398" w:rsidP="006832F8">
            <w:pPr>
              <w:jc w:val="center"/>
              <w:rPr>
                <w:sz w:val="20"/>
                <w:szCs w:val="20"/>
              </w:rPr>
            </w:pPr>
            <w:r w:rsidRPr="008348DF">
              <w:rPr>
                <w:rFonts w:eastAsia="Times New Roman"/>
                <w:sz w:val="20"/>
                <w:szCs w:val="20"/>
              </w:rPr>
              <w:t>179</w:t>
            </w:r>
          </w:p>
        </w:tc>
        <w:tc>
          <w:tcPr>
            <w:tcW w:w="840" w:type="dxa"/>
            <w:vAlign w:val="center"/>
          </w:tcPr>
          <w:p w14:paraId="281A6C95" w14:textId="77777777" w:rsidR="009E5398" w:rsidRPr="008348DF" w:rsidRDefault="009E5398" w:rsidP="006832F8">
            <w:pPr>
              <w:jc w:val="center"/>
              <w:rPr>
                <w:sz w:val="20"/>
                <w:szCs w:val="20"/>
              </w:rPr>
            </w:pPr>
            <w:r w:rsidRPr="008348DF">
              <w:rPr>
                <w:rFonts w:eastAsia="Times New Roman"/>
                <w:sz w:val="20"/>
                <w:szCs w:val="20"/>
              </w:rPr>
              <w:t>116</w:t>
            </w:r>
          </w:p>
        </w:tc>
        <w:tc>
          <w:tcPr>
            <w:tcW w:w="840" w:type="dxa"/>
            <w:vAlign w:val="center"/>
          </w:tcPr>
          <w:p w14:paraId="281A6C96" w14:textId="77777777" w:rsidR="009E5398" w:rsidRPr="008348DF" w:rsidRDefault="009E5398" w:rsidP="006832F8">
            <w:pPr>
              <w:jc w:val="center"/>
              <w:rPr>
                <w:sz w:val="20"/>
                <w:szCs w:val="20"/>
              </w:rPr>
            </w:pPr>
            <w:r w:rsidRPr="008348DF">
              <w:rPr>
                <w:rFonts w:eastAsia="Times New Roman"/>
                <w:sz w:val="20"/>
                <w:szCs w:val="20"/>
              </w:rPr>
              <w:t>75</w:t>
            </w:r>
          </w:p>
        </w:tc>
        <w:tc>
          <w:tcPr>
            <w:tcW w:w="840" w:type="dxa"/>
            <w:vAlign w:val="center"/>
          </w:tcPr>
          <w:p w14:paraId="281A6C97" w14:textId="77777777" w:rsidR="009E5398" w:rsidRPr="008348DF" w:rsidRDefault="009E5398" w:rsidP="006832F8">
            <w:pPr>
              <w:jc w:val="center"/>
              <w:rPr>
                <w:sz w:val="20"/>
                <w:szCs w:val="20"/>
              </w:rPr>
            </w:pPr>
            <w:r w:rsidRPr="008348DF">
              <w:rPr>
                <w:rFonts w:eastAsia="Times New Roman"/>
                <w:sz w:val="20"/>
                <w:szCs w:val="20"/>
              </w:rPr>
              <w:t>49</w:t>
            </w:r>
          </w:p>
        </w:tc>
      </w:tr>
      <w:tr w:rsidR="009E5398" w:rsidRPr="008348DF" w14:paraId="281A6CB7" w14:textId="77777777" w:rsidTr="009F0E3D">
        <w:trPr>
          <w:trHeight w:val="364"/>
        </w:trPr>
        <w:tc>
          <w:tcPr>
            <w:tcW w:w="860" w:type="dxa"/>
            <w:vAlign w:val="center"/>
          </w:tcPr>
          <w:p w14:paraId="281A6CAA" w14:textId="77777777" w:rsidR="009E5398" w:rsidRPr="008348DF" w:rsidRDefault="009E5398" w:rsidP="006832F8">
            <w:pPr>
              <w:jc w:val="center"/>
              <w:rPr>
                <w:sz w:val="20"/>
                <w:szCs w:val="20"/>
              </w:rPr>
            </w:pPr>
            <w:r w:rsidRPr="008348DF">
              <w:rPr>
                <w:rFonts w:eastAsia="Times New Roman"/>
                <w:sz w:val="20"/>
                <w:szCs w:val="20"/>
              </w:rPr>
              <w:t>1.5</w:t>
            </w:r>
          </w:p>
        </w:tc>
        <w:tc>
          <w:tcPr>
            <w:tcW w:w="840" w:type="dxa"/>
            <w:vAlign w:val="center"/>
          </w:tcPr>
          <w:p w14:paraId="281A6CAB" w14:textId="77777777" w:rsidR="009E5398" w:rsidRPr="008348DF" w:rsidRDefault="009E5398" w:rsidP="006832F8">
            <w:pPr>
              <w:jc w:val="center"/>
              <w:rPr>
                <w:sz w:val="20"/>
                <w:szCs w:val="20"/>
              </w:rPr>
            </w:pPr>
            <w:r w:rsidRPr="008348DF">
              <w:rPr>
                <w:rFonts w:eastAsia="Times New Roman"/>
                <w:sz w:val="20"/>
                <w:szCs w:val="20"/>
              </w:rPr>
              <w:t>956</w:t>
            </w:r>
          </w:p>
        </w:tc>
        <w:tc>
          <w:tcPr>
            <w:tcW w:w="860" w:type="dxa"/>
            <w:vAlign w:val="center"/>
          </w:tcPr>
          <w:p w14:paraId="281A6CAC" w14:textId="77777777" w:rsidR="009E5398" w:rsidRPr="008348DF" w:rsidRDefault="009E5398" w:rsidP="006832F8">
            <w:pPr>
              <w:jc w:val="center"/>
              <w:rPr>
                <w:sz w:val="20"/>
                <w:szCs w:val="20"/>
              </w:rPr>
            </w:pPr>
            <w:r w:rsidRPr="008348DF">
              <w:rPr>
                <w:rFonts w:eastAsia="Times New Roman"/>
                <w:sz w:val="20"/>
                <w:szCs w:val="20"/>
              </w:rPr>
              <w:t>915</w:t>
            </w:r>
          </w:p>
        </w:tc>
        <w:tc>
          <w:tcPr>
            <w:tcW w:w="840" w:type="dxa"/>
            <w:vAlign w:val="center"/>
          </w:tcPr>
          <w:p w14:paraId="281A6CAD" w14:textId="77777777" w:rsidR="009E5398" w:rsidRPr="008348DF" w:rsidRDefault="009E5398" w:rsidP="006832F8">
            <w:pPr>
              <w:jc w:val="center"/>
              <w:rPr>
                <w:sz w:val="20"/>
                <w:szCs w:val="20"/>
              </w:rPr>
            </w:pPr>
            <w:r w:rsidRPr="008348DF">
              <w:rPr>
                <w:rFonts w:eastAsia="Times New Roman"/>
                <w:sz w:val="20"/>
                <w:szCs w:val="20"/>
              </w:rPr>
              <w:t>838</w:t>
            </w:r>
          </w:p>
        </w:tc>
        <w:tc>
          <w:tcPr>
            <w:tcW w:w="840" w:type="dxa"/>
            <w:vAlign w:val="center"/>
          </w:tcPr>
          <w:p w14:paraId="281A6CAE" w14:textId="77777777" w:rsidR="009E5398" w:rsidRPr="008348DF" w:rsidRDefault="009E5398" w:rsidP="006832F8">
            <w:pPr>
              <w:jc w:val="center"/>
              <w:rPr>
                <w:sz w:val="20"/>
                <w:szCs w:val="20"/>
              </w:rPr>
            </w:pPr>
            <w:r w:rsidRPr="008348DF">
              <w:rPr>
                <w:rFonts w:eastAsia="Times New Roman"/>
                <w:sz w:val="20"/>
                <w:szCs w:val="20"/>
              </w:rPr>
              <w:t>767</w:t>
            </w:r>
          </w:p>
        </w:tc>
        <w:tc>
          <w:tcPr>
            <w:tcW w:w="860" w:type="dxa"/>
            <w:vAlign w:val="center"/>
          </w:tcPr>
          <w:p w14:paraId="281A6CAF" w14:textId="77777777" w:rsidR="009E5398" w:rsidRPr="008348DF" w:rsidRDefault="009E5398" w:rsidP="006832F8">
            <w:pPr>
              <w:jc w:val="center"/>
              <w:rPr>
                <w:sz w:val="20"/>
                <w:szCs w:val="20"/>
              </w:rPr>
            </w:pPr>
            <w:r w:rsidRPr="008348DF">
              <w:rPr>
                <w:rFonts w:eastAsia="Times New Roman"/>
                <w:sz w:val="20"/>
                <w:szCs w:val="20"/>
              </w:rPr>
              <w:t>643</w:t>
            </w:r>
          </w:p>
        </w:tc>
        <w:tc>
          <w:tcPr>
            <w:tcW w:w="840" w:type="dxa"/>
            <w:vAlign w:val="center"/>
          </w:tcPr>
          <w:p w14:paraId="281A6CB0" w14:textId="77777777" w:rsidR="009E5398" w:rsidRPr="008348DF" w:rsidRDefault="009E5398" w:rsidP="006832F8">
            <w:pPr>
              <w:jc w:val="center"/>
              <w:rPr>
                <w:sz w:val="20"/>
                <w:szCs w:val="20"/>
              </w:rPr>
            </w:pPr>
            <w:r w:rsidRPr="008348DF">
              <w:rPr>
                <w:rFonts w:eastAsia="Times New Roman"/>
                <w:sz w:val="20"/>
                <w:szCs w:val="20"/>
              </w:rPr>
              <w:t>539</w:t>
            </w:r>
          </w:p>
        </w:tc>
        <w:tc>
          <w:tcPr>
            <w:tcW w:w="840" w:type="dxa"/>
            <w:vAlign w:val="center"/>
          </w:tcPr>
          <w:p w14:paraId="281A6CB1" w14:textId="77777777" w:rsidR="009E5398" w:rsidRPr="008348DF" w:rsidRDefault="009E5398" w:rsidP="006832F8">
            <w:pPr>
              <w:jc w:val="center"/>
              <w:rPr>
                <w:sz w:val="20"/>
                <w:szCs w:val="20"/>
              </w:rPr>
            </w:pPr>
            <w:r w:rsidRPr="008348DF">
              <w:rPr>
                <w:rFonts w:eastAsia="Times New Roman"/>
                <w:sz w:val="20"/>
                <w:szCs w:val="20"/>
              </w:rPr>
              <w:t>415</w:t>
            </w:r>
          </w:p>
        </w:tc>
        <w:tc>
          <w:tcPr>
            <w:tcW w:w="860" w:type="dxa"/>
            <w:vAlign w:val="center"/>
          </w:tcPr>
          <w:p w14:paraId="281A6CB2" w14:textId="77777777" w:rsidR="009E5398" w:rsidRPr="008348DF" w:rsidRDefault="009E5398" w:rsidP="006832F8">
            <w:pPr>
              <w:jc w:val="center"/>
              <w:rPr>
                <w:sz w:val="20"/>
                <w:szCs w:val="20"/>
              </w:rPr>
            </w:pPr>
            <w:r w:rsidRPr="008348DF">
              <w:rPr>
                <w:rFonts w:eastAsia="Times New Roman"/>
                <w:sz w:val="20"/>
                <w:szCs w:val="20"/>
              </w:rPr>
              <w:t>268</w:t>
            </w:r>
          </w:p>
        </w:tc>
        <w:tc>
          <w:tcPr>
            <w:tcW w:w="840" w:type="dxa"/>
            <w:vAlign w:val="center"/>
          </w:tcPr>
          <w:p w14:paraId="281A6CB3" w14:textId="77777777" w:rsidR="009E5398" w:rsidRPr="008348DF" w:rsidRDefault="009E5398" w:rsidP="006832F8">
            <w:pPr>
              <w:jc w:val="center"/>
              <w:rPr>
                <w:sz w:val="20"/>
                <w:szCs w:val="20"/>
              </w:rPr>
            </w:pPr>
            <w:r w:rsidRPr="008348DF">
              <w:rPr>
                <w:rFonts w:eastAsia="Times New Roman"/>
                <w:sz w:val="20"/>
                <w:szCs w:val="20"/>
              </w:rPr>
              <w:t>174</w:t>
            </w:r>
          </w:p>
        </w:tc>
        <w:tc>
          <w:tcPr>
            <w:tcW w:w="840" w:type="dxa"/>
            <w:vAlign w:val="center"/>
          </w:tcPr>
          <w:p w14:paraId="281A6CB4" w14:textId="77777777" w:rsidR="009E5398" w:rsidRPr="008348DF" w:rsidRDefault="009E5398" w:rsidP="006832F8">
            <w:pPr>
              <w:jc w:val="center"/>
              <w:rPr>
                <w:sz w:val="20"/>
                <w:szCs w:val="20"/>
              </w:rPr>
            </w:pPr>
            <w:r w:rsidRPr="008348DF">
              <w:rPr>
                <w:rFonts w:eastAsia="Times New Roman"/>
                <w:sz w:val="20"/>
                <w:szCs w:val="20"/>
              </w:rPr>
              <w:t>113</w:t>
            </w:r>
          </w:p>
        </w:tc>
        <w:tc>
          <w:tcPr>
            <w:tcW w:w="840" w:type="dxa"/>
            <w:vAlign w:val="center"/>
          </w:tcPr>
          <w:p w14:paraId="281A6CB5" w14:textId="77777777" w:rsidR="009E5398" w:rsidRPr="008348DF" w:rsidRDefault="009E5398" w:rsidP="006832F8">
            <w:pPr>
              <w:jc w:val="center"/>
              <w:rPr>
                <w:sz w:val="20"/>
                <w:szCs w:val="20"/>
              </w:rPr>
            </w:pPr>
            <w:r w:rsidRPr="008348DF">
              <w:rPr>
                <w:rFonts w:eastAsia="Times New Roman"/>
                <w:sz w:val="20"/>
                <w:szCs w:val="20"/>
              </w:rPr>
              <w:t>73</w:t>
            </w:r>
          </w:p>
        </w:tc>
      </w:tr>
      <w:tr w:rsidR="009E5398" w:rsidRPr="008348DF" w14:paraId="281A6CD5" w14:textId="77777777" w:rsidTr="009F0E3D">
        <w:trPr>
          <w:trHeight w:val="362"/>
        </w:trPr>
        <w:tc>
          <w:tcPr>
            <w:tcW w:w="860" w:type="dxa"/>
            <w:vAlign w:val="center"/>
          </w:tcPr>
          <w:p w14:paraId="281A6CC8" w14:textId="77777777" w:rsidR="009E5398" w:rsidRPr="008348DF" w:rsidRDefault="009E5398" w:rsidP="006832F8">
            <w:pPr>
              <w:jc w:val="center"/>
              <w:rPr>
                <w:sz w:val="20"/>
                <w:szCs w:val="20"/>
              </w:rPr>
            </w:pPr>
            <w:r w:rsidRPr="008348DF">
              <w:rPr>
                <w:rFonts w:eastAsia="Times New Roman"/>
                <w:sz w:val="20"/>
                <w:szCs w:val="20"/>
              </w:rPr>
              <w:t>2.0</w:t>
            </w:r>
          </w:p>
        </w:tc>
        <w:tc>
          <w:tcPr>
            <w:tcW w:w="840" w:type="dxa"/>
            <w:vAlign w:val="center"/>
          </w:tcPr>
          <w:p w14:paraId="281A6CC9" w14:textId="77777777" w:rsidR="009E5398" w:rsidRPr="008348DF" w:rsidRDefault="009E5398" w:rsidP="006832F8">
            <w:pPr>
              <w:jc w:val="center"/>
              <w:rPr>
                <w:sz w:val="20"/>
                <w:szCs w:val="20"/>
              </w:rPr>
            </w:pPr>
            <w:r w:rsidRPr="008348DF">
              <w:rPr>
                <w:rFonts w:eastAsia="Times New Roman"/>
                <w:sz w:val="20"/>
                <w:szCs w:val="20"/>
              </w:rPr>
              <w:t>1275</w:t>
            </w:r>
          </w:p>
        </w:tc>
        <w:tc>
          <w:tcPr>
            <w:tcW w:w="860" w:type="dxa"/>
            <w:vAlign w:val="center"/>
          </w:tcPr>
          <w:p w14:paraId="281A6CCA" w14:textId="77777777" w:rsidR="009E5398" w:rsidRPr="008348DF" w:rsidRDefault="009E5398" w:rsidP="006832F8">
            <w:pPr>
              <w:jc w:val="center"/>
              <w:rPr>
                <w:sz w:val="20"/>
                <w:szCs w:val="20"/>
              </w:rPr>
            </w:pPr>
            <w:r w:rsidRPr="008348DF">
              <w:rPr>
                <w:rFonts w:eastAsia="Times New Roman"/>
                <w:sz w:val="20"/>
                <w:szCs w:val="20"/>
              </w:rPr>
              <w:t>1220</w:t>
            </w:r>
          </w:p>
        </w:tc>
        <w:tc>
          <w:tcPr>
            <w:tcW w:w="840" w:type="dxa"/>
            <w:vAlign w:val="center"/>
          </w:tcPr>
          <w:p w14:paraId="281A6CCB" w14:textId="77777777" w:rsidR="009E5398" w:rsidRPr="008348DF" w:rsidRDefault="009E5398" w:rsidP="006832F8">
            <w:pPr>
              <w:jc w:val="center"/>
              <w:rPr>
                <w:sz w:val="20"/>
                <w:szCs w:val="20"/>
              </w:rPr>
            </w:pPr>
            <w:r w:rsidRPr="008348DF">
              <w:rPr>
                <w:rFonts w:eastAsia="Times New Roman"/>
                <w:sz w:val="20"/>
                <w:szCs w:val="20"/>
              </w:rPr>
              <w:t>1117</w:t>
            </w:r>
          </w:p>
        </w:tc>
        <w:tc>
          <w:tcPr>
            <w:tcW w:w="840" w:type="dxa"/>
            <w:vAlign w:val="center"/>
          </w:tcPr>
          <w:p w14:paraId="281A6CCC" w14:textId="77777777" w:rsidR="009E5398" w:rsidRPr="008348DF" w:rsidRDefault="009E5398" w:rsidP="006832F8">
            <w:pPr>
              <w:jc w:val="center"/>
              <w:rPr>
                <w:sz w:val="20"/>
                <w:szCs w:val="20"/>
              </w:rPr>
            </w:pPr>
            <w:r w:rsidRPr="008348DF">
              <w:rPr>
                <w:rFonts w:eastAsia="Times New Roman"/>
                <w:sz w:val="20"/>
                <w:szCs w:val="20"/>
              </w:rPr>
              <w:t>1023</w:t>
            </w:r>
          </w:p>
        </w:tc>
        <w:tc>
          <w:tcPr>
            <w:tcW w:w="860" w:type="dxa"/>
            <w:vAlign w:val="center"/>
          </w:tcPr>
          <w:p w14:paraId="281A6CCD" w14:textId="77777777" w:rsidR="009E5398" w:rsidRPr="008348DF" w:rsidRDefault="009E5398" w:rsidP="006832F8">
            <w:pPr>
              <w:jc w:val="center"/>
              <w:rPr>
                <w:sz w:val="20"/>
                <w:szCs w:val="20"/>
              </w:rPr>
            </w:pPr>
            <w:r w:rsidRPr="008348DF">
              <w:rPr>
                <w:rFonts w:eastAsia="Times New Roman"/>
                <w:sz w:val="20"/>
                <w:szCs w:val="20"/>
              </w:rPr>
              <w:t>858</w:t>
            </w:r>
          </w:p>
        </w:tc>
        <w:tc>
          <w:tcPr>
            <w:tcW w:w="840" w:type="dxa"/>
            <w:vAlign w:val="center"/>
          </w:tcPr>
          <w:p w14:paraId="281A6CCE" w14:textId="77777777" w:rsidR="009E5398" w:rsidRPr="008348DF" w:rsidRDefault="009E5398" w:rsidP="006832F8">
            <w:pPr>
              <w:jc w:val="center"/>
              <w:rPr>
                <w:sz w:val="20"/>
                <w:szCs w:val="20"/>
              </w:rPr>
            </w:pPr>
            <w:r w:rsidRPr="008348DF">
              <w:rPr>
                <w:rFonts w:eastAsia="Times New Roman"/>
                <w:sz w:val="20"/>
                <w:szCs w:val="20"/>
              </w:rPr>
              <w:t>719</w:t>
            </w:r>
          </w:p>
        </w:tc>
        <w:tc>
          <w:tcPr>
            <w:tcW w:w="840" w:type="dxa"/>
            <w:vAlign w:val="center"/>
          </w:tcPr>
          <w:p w14:paraId="281A6CCF" w14:textId="77777777" w:rsidR="009E5398" w:rsidRPr="008348DF" w:rsidRDefault="009E5398" w:rsidP="006832F8">
            <w:pPr>
              <w:jc w:val="center"/>
              <w:rPr>
                <w:sz w:val="20"/>
                <w:szCs w:val="20"/>
              </w:rPr>
            </w:pPr>
            <w:r w:rsidRPr="008348DF">
              <w:rPr>
                <w:rFonts w:eastAsia="Times New Roman"/>
                <w:sz w:val="20"/>
                <w:szCs w:val="20"/>
              </w:rPr>
              <w:t>553</w:t>
            </w:r>
          </w:p>
        </w:tc>
        <w:tc>
          <w:tcPr>
            <w:tcW w:w="860" w:type="dxa"/>
            <w:vAlign w:val="center"/>
          </w:tcPr>
          <w:p w14:paraId="281A6CD0" w14:textId="77777777" w:rsidR="009E5398" w:rsidRPr="008348DF" w:rsidRDefault="009E5398" w:rsidP="006832F8">
            <w:pPr>
              <w:jc w:val="center"/>
              <w:rPr>
                <w:sz w:val="20"/>
                <w:szCs w:val="20"/>
              </w:rPr>
            </w:pPr>
            <w:r w:rsidRPr="008348DF">
              <w:rPr>
                <w:rFonts w:eastAsia="Times New Roman"/>
                <w:sz w:val="20"/>
                <w:szCs w:val="20"/>
              </w:rPr>
              <w:t>357</w:t>
            </w:r>
          </w:p>
        </w:tc>
        <w:tc>
          <w:tcPr>
            <w:tcW w:w="840" w:type="dxa"/>
            <w:vAlign w:val="center"/>
          </w:tcPr>
          <w:p w14:paraId="281A6CD1" w14:textId="77777777" w:rsidR="009E5398" w:rsidRPr="008348DF" w:rsidRDefault="009E5398" w:rsidP="006832F8">
            <w:pPr>
              <w:jc w:val="center"/>
              <w:rPr>
                <w:sz w:val="20"/>
                <w:szCs w:val="20"/>
              </w:rPr>
            </w:pPr>
            <w:r w:rsidRPr="008348DF">
              <w:rPr>
                <w:rFonts w:eastAsia="Times New Roman"/>
                <w:sz w:val="20"/>
                <w:szCs w:val="20"/>
              </w:rPr>
              <w:t>232</w:t>
            </w:r>
          </w:p>
        </w:tc>
        <w:tc>
          <w:tcPr>
            <w:tcW w:w="840" w:type="dxa"/>
            <w:vAlign w:val="center"/>
          </w:tcPr>
          <w:p w14:paraId="281A6CD2" w14:textId="77777777" w:rsidR="009E5398" w:rsidRPr="008348DF" w:rsidRDefault="009E5398" w:rsidP="006832F8">
            <w:pPr>
              <w:jc w:val="center"/>
              <w:rPr>
                <w:sz w:val="20"/>
                <w:szCs w:val="20"/>
              </w:rPr>
            </w:pPr>
            <w:r w:rsidRPr="008348DF">
              <w:rPr>
                <w:rFonts w:eastAsia="Times New Roman"/>
                <w:sz w:val="20"/>
                <w:szCs w:val="20"/>
              </w:rPr>
              <w:t>150</w:t>
            </w:r>
          </w:p>
        </w:tc>
        <w:tc>
          <w:tcPr>
            <w:tcW w:w="840" w:type="dxa"/>
            <w:vAlign w:val="center"/>
          </w:tcPr>
          <w:p w14:paraId="281A6CD3" w14:textId="77777777" w:rsidR="009E5398" w:rsidRPr="008348DF" w:rsidRDefault="009E5398" w:rsidP="006832F8">
            <w:pPr>
              <w:jc w:val="center"/>
              <w:rPr>
                <w:sz w:val="20"/>
                <w:szCs w:val="20"/>
              </w:rPr>
            </w:pPr>
            <w:r w:rsidRPr="008348DF">
              <w:rPr>
                <w:rFonts w:eastAsia="Times New Roman"/>
                <w:sz w:val="20"/>
                <w:szCs w:val="20"/>
              </w:rPr>
              <w:t>98</w:t>
            </w:r>
          </w:p>
        </w:tc>
      </w:tr>
      <w:tr w:rsidR="009E5398" w:rsidRPr="008348DF" w14:paraId="281A6CF3" w14:textId="77777777" w:rsidTr="009F0E3D">
        <w:trPr>
          <w:trHeight w:val="364"/>
        </w:trPr>
        <w:tc>
          <w:tcPr>
            <w:tcW w:w="860" w:type="dxa"/>
            <w:vAlign w:val="center"/>
          </w:tcPr>
          <w:p w14:paraId="281A6CE6" w14:textId="77777777" w:rsidR="009E5398" w:rsidRPr="008348DF" w:rsidRDefault="009E5398" w:rsidP="006832F8">
            <w:pPr>
              <w:jc w:val="center"/>
              <w:rPr>
                <w:sz w:val="20"/>
                <w:szCs w:val="20"/>
              </w:rPr>
            </w:pPr>
            <w:r w:rsidRPr="008348DF">
              <w:rPr>
                <w:rFonts w:eastAsia="Times New Roman"/>
                <w:sz w:val="20"/>
                <w:szCs w:val="20"/>
              </w:rPr>
              <w:t>2.5</w:t>
            </w:r>
          </w:p>
        </w:tc>
        <w:tc>
          <w:tcPr>
            <w:tcW w:w="840" w:type="dxa"/>
            <w:vAlign w:val="center"/>
          </w:tcPr>
          <w:p w14:paraId="281A6CE7" w14:textId="77777777" w:rsidR="009E5398" w:rsidRPr="008348DF" w:rsidRDefault="009E5398" w:rsidP="006832F8">
            <w:pPr>
              <w:jc w:val="center"/>
              <w:rPr>
                <w:sz w:val="20"/>
                <w:szCs w:val="20"/>
              </w:rPr>
            </w:pPr>
            <w:r w:rsidRPr="008348DF">
              <w:rPr>
                <w:rFonts w:eastAsia="Times New Roman"/>
                <w:sz w:val="20"/>
                <w:szCs w:val="20"/>
              </w:rPr>
              <w:t>1594</w:t>
            </w:r>
          </w:p>
        </w:tc>
        <w:tc>
          <w:tcPr>
            <w:tcW w:w="860" w:type="dxa"/>
            <w:vAlign w:val="center"/>
          </w:tcPr>
          <w:p w14:paraId="281A6CE8" w14:textId="77777777" w:rsidR="009E5398" w:rsidRPr="008348DF" w:rsidRDefault="009E5398" w:rsidP="006832F8">
            <w:pPr>
              <w:jc w:val="center"/>
              <w:rPr>
                <w:sz w:val="20"/>
                <w:szCs w:val="20"/>
              </w:rPr>
            </w:pPr>
            <w:r w:rsidRPr="008348DF">
              <w:rPr>
                <w:rFonts w:eastAsia="Times New Roman"/>
                <w:sz w:val="20"/>
                <w:szCs w:val="20"/>
              </w:rPr>
              <w:t>1525</w:t>
            </w:r>
          </w:p>
        </w:tc>
        <w:tc>
          <w:tcPr>
            <w:tcW w:w="840" w:type="dxa"/>
            <w:vAlign w:val="center"/>
          </w:tcPr>
          <w:p w14:paraId="281A6CE9" w14:textId="77777777" w:rsidR="009E5398" w:rsidRPr="008348DF" w:rsidRDefault="009E5398" w:rsidP="006832F8">
            <w:pPr>
              <w:jc w:val="center"/>
              <w:rPr>
                <w:sz w:val="20"/>
                <w:szCs w:val="20"/>
              </w:rPr>
            </w:pPr>
            <w:r w:rsidRPr="008348DF">
              <w:rPr>
                <w:rFonts w:eastAsia="Times New Roman"/>
                <w:sz w:val="20"/>
                <w:szCs w:val="20"/>
              </w:rPr>
              <w:t>1396</w:t>
            </w:r>
          </w:p>
        </w:tc>
        <w:tc>
          <w:tcPr>
            <w:tcW w:w="840" w:type="dxa"/>
            <w:vAlign w:val="center"/>
          </w:tcPr>
          <w:p w14:paraId="281A6CEA" w14:textId="77777777" w:rsidR="009E5398" w:rsidRPr="008348DF" w:rsidRDefault="009E5398" w:rsidP="006832F8">
            <w:pPr>
              <w:jc w:val="center"/>
              <w:rPr>
                <w:sz w:val="20"/>
                <w:szCs w:val="20"/>
              </w:rPr>
            </w:pPr>
            <w:r w:rsidRPr="008348DF">
              <w:rPr>
                <w:rFonts w:eastAsia="Times New Roman"/>
                <w:sz w:val="20"/>
                <w:szCs w:val="20"/>
              </w:rPr>
              <w:t>1278</w:t>
            </w:r>
          </w:p>
        </w:tc>
        <w:tc>
          <w:tcPr>
            <w:tcW w:w="860" w:type="dxa"/>
            <w:vAlign w:val="center"/>
          </w:tcPr>
          <w:p w14:paraId="281A6CEB" w14:textId="77777777" w:rsidR="009E5398" w:rsidRPr="008348DF" w:rsidRDefault="009E5398" w:rsidP="006832F8">
            <w:pPr>
              <w:jc w:val="center"/>
              <w:rPr>
                <w:sz w:val="20"/>
                <w:szCs w:val="20"/>
              </w:rPr>
            </w:pPr>
            <w:r w:rsidRPr="008348DF">
              <w:rPr>
                <w:rFonts w:eastAsia="Times New Roman"/>
                <w:sz w:val="20"/>
                <w:szCs w:val="20"/>
              </w:rPr>
              <w:t>1072</w:t>
            </w:r>
          </w:p>
        </w:tc>
        <w:tc>
          <w:tcPr>
            <w:tcW w:w="840" w:type="dxa"/>
            <w:vAlign w:val="center"/>
          </w:tcPr>
          <w:p w14:paraId="281A6CEC" w14:textId="77777777" w:rsidR="009E5398" w:rsidRPr="008348DF" w:rsidRDefault="009E5398" w:rsidP="006832F8">
            <w:pPr>
              <w:jc w:val="center"/>
              <w:rPr>
                <w:sz w:val="20"/>
                <w:szCs w:val="20"/>
              </w:rPr>
            </w:pPr>
            <w:r w:rsidRPr="008348DF">
              <w:rPr>
                <w:rFonts w:eastAsia="Times New Roman"/>
                <w:sz w:val="20"/>
                <w:szCs w:val="20"/>
              </w:rPr>
              <w:t>899</w:t>
            </w:r>
          </w:p>
        </w:tc>
        <w:tc>
          <w:tcPr>
            <w:tcW w:w="840" w:type="dxa"/>
            <w:vAlign w:val="center"/>
          </w:tcPr>
          <w:p w14:paraId="281A6CED" w14:textId="77777777" w:rsidR="009E5398" w:rsidRPr="008348DF" w:rsidRDefault="009E5398" w:rsidP="006832F8">
            <w:pPr>
              <w:jc w:val="center"/>
              <w:rPr>
                <w:sz w:val="20"/>
                <w:szCs w:val="20"/>
              </w:rPr>
            </w:pPr>
            <w:r w:rsidRPr="008348DF">
              <w:rPr>
                <w:rFonts w:eastAsia="Times New Roman"/>
                <w:sz w:val="20"/>
                <w:szCs w:val="20"/>
              </w:rPr>
              <w:t>691</w:t>
            </w:r>
          </w:p>
        </w:tc>
        <w:tc>
          <w:tcPr>
            <w:tcW w:w="860" w:type="dxa"/>
            <w:vAlign w:val="center"/>
          </w:tcPr>
          <w:p w14:paraId="281A6CEE" w14:textId="77777777" w:rsidR="009E5398" w:rsidRPr="008348DF" w:rsidRDefault="009E5398" w:rsidP="006832F8">
            <w:pPr>
              <w:jc w:val="center"/>
              <w:rPr>
                <w:sz w:val="20"/>
                <w:szCs w:val="20"/>
              </w:rPr>
            </w:pPr>
            <w:r w:rsidRPr="008348DF">
              <w:rPr>
                <w:rFonts w:eastAsia="Times New Roman"/>
                <w:sz w:val="20"/>
                <w:szCs w:val="20"/>
              </w:rPr>
              <w:t>447</w:t>
            </w:r>
          </w:p>
        </w:tc>
        <w:tc>
          <w:tcPr>
            <w:tcW w:w="840" w:type="dxa"/>
            <w:vAlign w:val="center"/>
          </w:tcPr>
          <w:p w14:paraId="281A6CEF" w14:textId="77777777" w:rsidR="009E5398" w:rsidRPr="008348DF" w:rsidRDefault="009E5398" w:rsidP="006832F8">
            <w:pPr>
              <w:jc w:val="center"/>
              <w:rPr>
                <w:sz w:val="20"/>
                <w:szCs w:val="20"/>
              </w:rPr>
            </w:pPr>
            <w:r w:rsidRPr="008348DF">
              <w:rPr>
                <w:rFonts w:eastAsia="Times New Roman"/>
                <w:sz w:val="20"/>
                <w:szCs w:val="20"/>
              </w:rPr>
              <w:t>289</w:t>
            </w:r>
          </w:p>
        </w:tc>
        <w:tc>
          <w:tcPr>
            <w:tcW w:w="840" w:type="dxa"/>
            <w:vAlign w:val="center"/>
          </w:tcPr>
          <w:p w14:paraId="281A6CF0" w14:textId="77777777" w:rsidR="009E5398" w:rsidRPr="008348DF" w:rsidRDefault="009E5398" w:rsidP="006832F8">
            <w:pPr>
              <w:jc w:val="center"/>
              <w:rPr>
                <w:sz w:val="20"/>
                <w:szCs w:val="20"/>
              </w:rPr>
            </w:pPr>
            <w:r w:rsidRPr="008348DF">
              <w:rPr>
                <w:rFonts w:eastAsia="Times New Roman"/>
                <w:sz w:val="20"/>
                <w:szCs w:val="20"/>
              </w:rPr>
              <w:t>188</w:t>
            </w:r>
          </w:p>
        </w:tc>
        <w:tc>
          <w:tcPr>
            <w:tcW w:w="840" w:type="dxa"/>
            <w:vAlign w:val="center"/>
          </w:tcPr>
          <w:p w14:paraId="281A6CF1" w14:textId="77777777" w:rsidR="009E5398" w:rsidRPr="008348DF" w:rsidRDefault="009E5398" w:rsidP="006832F8">
            <w:pPr>
              <w:jc w:val="center"/>
              <w:rPr>
                <w:sz w:val="20"/>
                <w:szCs w:val="20"/>
              </w:rPr>
            </w:pPr>
            <w:r w:rsidRPr="008348DF">
              <w:rPr>
                <w:rFonts w:eastAsia="Times New Roman"/>
                <w:sz w:val="20"/>
                <w:szCs w:val="20"/>
              </w:rPr>
              <w:t>122</w:t>
            </w:r>
          </w:p>
        </w:tc>
      </w:tr>
      <w:tr w:rsidR="009E5398" w:rsidRPr="008348DF" w14:paraId="281A6D11" w14:textId="77777777" w:rsidTr="009F0E3D">
        <w:trPr>
          <w:trHeight w:val="362"/>
        </w:trPr>
        <w:tc>
          <w:tcPr>
            <w:tcW w:w="860" w:type="dxa"/>
            <w:vAlign w:val="center"/>
          </w:tcPr>
          <w:p w14:paraId="281A6D04" w14:textId="77777777" w:rsidR="009E5398" w:rsidRPr="008348DF" w:rsidRDefault="009E5398" w:rsidP="006832F8">
            <w:pPr>
              <w:jc w:val="center"/>
              <w:rPr>
                <w:sz w:val="20"/>
                <w:szCs w:val="20"/>
              </w:rPr>
            </w:pPr>
            <w:r w:rsidRPr="008348DF">
              <w:rPr>
                <w:rFonts w:eastAsia="Times New Roman"/>
                <w:sz w:val="20"/>
                <w:szCs w:val="20"/>
              </w:rPr>
              <w:t>3.0</w:t>
            </w:r>
          </w:p>
        </w:tc>
        <w:tc>
          <w:tcPr>
            <w:tcW w:w="840" w:type="dxa"/>
            <w:vAlign w:val="center"/>
          </w:tcPr>
          <w:p w14:paraId="281A6D05" w14:textId="77777777" w:rsidR="009E5398" w:rsidRPr="008348DF" w:rsidRDefault="009E5398" w:rsidP="006832F8">
            <w:pPr>
              <w:jc w:val="center"/>
              <w:rPr>
                <w:sz w:val="20"/>
                <w:szCs w:val="20"/>
              </w:rPr>
            </w:pPr>
            <w:r w:rsidRPr="008348DF">
              <w:rPr>
                <w:rFonts w:eastAsia="Times New Roman"/>
                <w:sz w:val="20"/>
                <w:szCs w:val="20"/>
              </w:rPr>
              <w:t>1912</w:t>
            </w:r>
          </w:p>
        </w:tc>
        <w:tc>
          <w:tcPr>
            <w:tcW w:w="860" w:type="dxa"/>
            <w:vAlign w:val="center"/>
          </w:tcPr>
          <w:p w14:paraId="281A6D06" w14:textId="77777777" w:rsidR="009E5398" w:rsidRPr="008348DF" w:rsidRDefault="009E5398" w:rsidP="006832F8">
            <w:pPr>
              <w:jc w:val="center"/>
              <w:rPr>
                <w:sz w:val="20"/>
                <w:szCs w:val="20"/>
              </w:rPr>
            </w:pPr>
            <w:r w:rsidRPr="008348DF">
              <w:rPr>
                <w:rFonts w:eastAsia="Times New Roman"/>
                <w:sz w:val="20"/>
                <w:szCs w:val="20"/>
              </w:rPr>
              <w:t>1830</w:t>
            </w:r>
          </w:p>
        </w:tc>
        <w:tc>
          <w:tcPr>
            <w:tcW w:w="840" w:type="dxa"/>
            <w:vAlign w:val="center"/>
          </w:tcPr>
          <w:p w14:paraId="281A6D07" w14:textId="77777777" w:rsidR="009E5398" w:rsidRPr="008348DF" w:rsidRDefault="009E5398" w:rsidP="006832F8">
            <w:pPr>
              <w:jc w:val="center"/>
              <w:rPr>
                <w:sz w:val="20"/>
                <w:szCs w:val="20"/>
              </w:rPr>
            </w:pPr>
            <w:r w:rsidRPr="008348DF">
              <w:rPr>
                <w:rFonts w:eastAsia="Times New Roman"/>
                <w:sz w:val="20"/>
                <w:szCs w:val="20"/>
              </w:rPr>
              <w:t>1675</w:t>
            </w:r>
          </w:p>
        </w:tc>
        <w:tc>
          <w:tcPr>
            <w:tcW w:w="840" w:type="dxa"/>
            <w:vAlign w:val="center"/>
          </w:tcPr>
          <w:p w14:paraId="281A6D08" w14:textId="77777777" w:rsidR="009E5398" w:rsidRPr="008348DF" w:rsidRDefault="009E5398" w:rsidP="006832F8">
            <w:pPr>
              <w:jc w:val="center"/>
              <w:rPr>
                <w:sz w:val="20"/>
                <w:szCs w:val="20"/>
              </w:rPr>
            </w:pPr>
            <w:r w:rsidRPr="008348DF">
              <w:rPr>
                <w:rFonts w:eastAsia="Times New Roman"/>
                <w:sz w:val="20"/>
                <w:szCs w:val="20"/>
              </w:rPr>
              <w:t>1534</w:t>
            </w:r>
          </w:p>
        </w:tc>
        <w:tc>
          <w:tcPr>
            <w:tcW w:w="860" w:type="dxa"/>
            <w:vAlign w:val="center"/>
          </w:tcPr>
          <w:p w14:paraId="281A6D09" w14:textId="77777777" w:rsidR="009E5398" w:rsidRPr="008348DF" w:rsidRDefault="009E5398" w:rsidP="006832F8">
            <w:pPr>
              <w:jc w:val="center"/>
              <w:rPr>
                <w:sz w:val="20"/>
                <w:szCs w:val="20"/>
              </w:rPr>
            </w:pPr>
            <w:r w:rsidRPr="008348DF">
              <w:rPr>
                <w:rFonts w:eastAsia="Times New Roman"/>
                <w:sz w:val="20"/>
                <w:szCs w:val="20"/>
              </w:rPr>
              <w:t>1286</w:t>
            </w:r>
          </w:p>
        </w:tc>
        <w:tc>
          <w:tcPr>
            <w:tcW w:w="840" w:type="dxa"/>
            <w:vAlign w:val="center"/>
          </w:tcPr>
          <w:p w14:paraId="281A6D0A" w14:textId="77777777" w:rsidR="009E5398" w:rsidRPr="008348DF" w:rsidRDefault="009E5398" w:rsidP="006832F8">
            <w:pPr>
              <w:jc w:val="center"/>
              <w:rPr>
                <w:sz w:val="20"/>
                <w:szCs w:val="20"/>
              </w:rPr>
            </w:pPr>
            <w:r w:rsidRPr="008348DF">
              <w:rPr>
                <w:rFonts w:eastAsia="Times New Roman"/>
                <w:sz w:val="20"/>
                <w:szCs w:val="20"/>
              </w:rPr>
              <w:t>1079</w:t>
            </w:r>
          </w:p>
        </w:tc>
        <w:tc>
          <w:tcPr>
            <w:tcW w:w="840" w:type="dxa"/>
            <w:vAlign w:val="center"/>
          </w:tcPr>
          <w:p w14:paraId="281A6D0B" w14:textId="77777777" w:rsidR="009E5398" w:rsidRPr="008348DF" w:rsidRDefault="009E5398" w:rsidP="006832F8">
            <w:pPr>
              <w:jc w:val="center"/>
              <w:rPr>
                <w:sz w:val="20"/>
                <w:szCs w:val="20"/>
              </w:rPr>
            </w:pPr>
            <w:r w:rsidRPr="008348DF">
              <w:rPr>
                <w:rFonts w:eastAsia="Times New Roman"/>
                <w:sz w:val="20"/>
                <w:szCs w:val="20"/>
              </w:rPr>
              <w:t>830</w:t>
            </w:r>
          </w:p>
        </w:tc>
        <w:tc>
          <w:tcPr>
            <w:tcW w:w="860" w:type="dxa"/>
            <w:vAlign w:val="center"/>
          </w:tcPr>
          <w:p w14:paraId="281A6D0C" w14:textId="77777777" w:rsidR="009E5398" w:rsidRPr="008348DF" w:rsidRDefault="009E5398" w:rsidP="006832F8">
            <w:pPr>
              <w:jc w:val="center"/>
              <w:rPr>
                <w:sz w:val="20"/>
                <w:szCs w:val="20"/>
              </w:rPr>
            </w:pPr>
            <w:r w:rsidRPr="008348DF">
              <w:rPr>
                <w:rFonts w:eastAsia="Times New Roman"/>
                <w:sz w:val="20"/>
                <w:szCs w:val="20"/>
              </w:rPr>
              <w:t>536</w:t>
            </w:r>
          </w:p>
        </w:tc>
        <w:tc>
          <w:tcPr>
            <w:tcW w:w="840" w:type="dxa"/>
            <w:vAlign w:val="center"/>
          </w:tcPr>
          <w:p w14:paraId="281A6D0D" w14:textId="77777777" w:rsidR="009E5398" w:rsidRPr="008348DF" w:rsidRDefault="009E5398" w:rsidP="006832F8">
            <w:pPr>
              <w:jc w:val="center"/>
              <w:rPr>
                <w:sz w:val="20"/>
                <w:szCs w:val="20"/>
              </w:rPr>
            </w:pPr>
            <w:r w:rsidRPr="008348DF">
              <w:rPr>
                <w:rFonts w:eastAsia="Times New Roman"/>
                <w:sz w:val="20"/>
                <w:szCs w:val="20"/>
              </w:rPr>
              <w:t>347</w:t>
            </w:r>
          </w:p>
        </w:tc>
        <w:tc>
          <w:tcPr>
            <w:tcW w:w="840" w:type="dxa"/>
            <w:vAlign w:val="center"/>
          </w:tcPr>
          <w:p w14:paraId="281A6D0E" w14:textId="77777777" w:rsidR="009E5398" w:rsidRPr="008348DF" w:rsidRDefault="009E5398" w:rsidP="006832F8">
            <w:pPr>
              <w:jc w:val="center"/>
              <w:rPr>
                <w:sz w:val="20"/>
                <w:szCs w:val="20"/>
              </w:rPr>
            </w:pPr>
            <w:r w:rsidRPr="008348DF">
              <w:rPr>
                <w:rFonts w:eastAsia="Times New Roman"/>
                <w:sz w:val="20"/>
                <w:szCs w:val="20"/>
              </w:rPr>
              <w:t>226</w:t>
            </w:r>
          </w:p>
        </w:tc>
        <w:tc>
          <w:tcPr>
            <w:tcW w:w="840" w:type="dxa"/>
            <w:vAlign w:val="center"/>
          </w:tcPr>
          <w:p w14:paraId="281A6D0F" w14:textId="77777777" w:rsidR="009E5398" w:rsidRPr="008348DF" w:rsidRDefault="009E5398" w:rsidP="006832F8">
            <w:pPr>
              <w:jc w:val="center"/>
              <w:rPr>
                <w:sz w:val="20"/>
                <w:szCs w:val="20"/>
              </w:rPr>
            </w:pPr>
            <w:r w:rsidRPr="008348DF">
              <w:rPr>
                <w:rFonts w:eastAsia="Times New Roman"/>
                <w:sz w:val="20"/>
                <w:szCs w:val="20"/>
              </w:rPr>
              <w:t>147</w:t>
            </w:r>
          </w:p>
        </w:tc>
      </w:tr>
    </w:tbl>
    <w:p w14:paraId="281A6D22" w14:textId="77777777" w:rsidR="004647B9" w:rsidRPr="006832F8" w:rsidRDefault="004647B9" w:rsidP="006832F8">
      <w:pPr>
        <w:rPr>
          <w:sz w:val="24"/>
          <w:szCs w:val="24"/>
        </w:rPr>
      </w:pPr>
    </w:p>
    <w:p w14:paraId="281A6D24" w14:textId="411D04DE" w:rsidR="004647B9" w:rsidRPr="008348DF" w:rsidRDefault="00E2436F" w:rsidP="006832F8">
      <w:pPr>
        <w:pStyle w:val="ListParagraph"/>
        <w:numPr>
          <w:ilvl w:val="0"/>
          <w:numId w:val="965"/>
        </w:numPr>
        <w:tabs>
          <w:tab w:val="left" w:pos="360"/>
        </w:tabs>
        <w:ind w:left="360" w:hanging="270"/>
        <w:rPr>
          <w:sz w:val="20"/>
          <w:szCs w:val="20"/>
        </w:rPr>
      </w:pPr>
      <w:r w:rsidRPr="008348DF">
        <w:rPr>
          <w:rFonts w:eastAsia="Times New Roman"/>
          <w:sz w:val="18"/>
          <w:szCs w:val="18"/>
        </w:rPr>
        <w:t>A Supplier of Water may use this equation to determine log credit between the indicated values: log credit = (0.001506 x (1.09116)</w:t>
      </w:r>
      <w:r w:rsidRPr="00905F85">
        <w:rPr>
          <w:rFonts w:eastAsia="Times New Roman"/>
          <w:sz w:val="18"/>
          <w:szCs w:val="18"/>
          <w:vertAlign w:val="superscript"/>
        </w:rPr>
        <w:t>Temp</w:t>
      </w:r>
      <w:r w:rsidRPr="008348DF">
        <w:rPr>
          <w:rFonts w:eastAsia="Times New Roman"/>
          <w:sz w:val="18"/>
          <w:szCs w:val="18"/>
        </w:rPr>
        <w:t>) x CT.</w:t>
      </w:r>
    </w:p>
    <w:p w14:paraId="281A6D25" w14:textId="77777777" w:rsidR="004647B9" w:rsidRPr="00361FCF" w:rsidRDefault="004647B9" w:rsidP="006832F8">
      <w:pPr>
        <w:rPr>
          <w:sz w:val="24"/>
          <w:szCs w:val="24"/>
        </w:rPr>
      </w:pPr>
    </w:p>
    <w:p w14:paraId="281A6D28" w14:textId="2620A646" w:rsidR="004647B9" w:rsidRPr="00361FCF" w:rsidRDefault="00E2436F" w:rsidP="006832F8">
      <w:pPr>
        <w:numPr>
          <w:ilvl w:val="0"/>
          <w:numId w:val="811"/>
        </w:numPr>
        <w:tabs>
          <w:tab w:val="left" w:pos="2974"/>
        </w:tabs>
        <w:ind w:left="2340" w:hanging="5"/>
        <w:jc w:val="both"/>
        <w:rPr>
          <w:rFonts w:eastAsia="Times New Roman"/>
          <w:sz w:val="24"/>
          <w:szCs w:val="24"/>
        </w:rPr>
      </w:pPr>
      <w:r w:rsidRPr="00361FCF">
        <w:rPr>
          <w:rFonts w:eastAsia="Times New Roman"/>
          <w:sz w:val="24"/>
          <w:szCs w:val="24"/>
        </w:rPr>
        <w:t xml:space="preserve">A Public Water System meeting the ozone CT value in 310 CMR 22.20G: </w:t>
      </w:r>
      <w:r w:rsidRPr="00361FCF">
        <w:rPr>
          <w:rFonts w:eastAsia="Times New Roman"/>
          <w:i/>
          <w:iCs/>
          <w:sz w:val="24"/>
          <w:szCs w:val="24"/>
        </w:rPr>
        <w:t>Table 8</w:t>
      </w:r>
      <w:r w:rsidRPr="00361FCF">
        <w:rPr>
          <w:rFonts w:eastAsia="Times New Roman"/>
          <w:sz w:val="24"/>
          <w:szCs w:val="24"/>
        </w:rPr>
        <w:t xml:space="preserve"> for the applicable water temperature shall receive the corresponding</w:t>
      </w:r>
      <w:r w:rsidR="00361FCF" w:rsidRPr="00361FCF">
        <w:rPr>
          <w:rFonts w:eastAsia="Times New Roman"/>
          <w:sz w:val="24"/>
          <w:szCs w:val="24"/>
        </w:rPr>
        <w:t xml:space="preserve"> </w:t>
      </w:r>
      <w:r w:rsidRPr="00361FCF">
        <w:rPr>
          <w:rFonts w:eastAsia="Times New Roman"/>
          <w:i/>
          <w:iCs/>
          <w:sz w:val="24"/>
          <w:szCs w:val="24"/>
        </w:rPr>
        <w:t xml:space="preserve">Cryptosporidium </w:t>
      </w:r>
      <w:r w:rsidRPr="00361FCF">
        <w:rPr>
          <w:rFonts w:eastAsia="Times New Roman"/>
          <w:sz w:val="24"/>
          <w:szCs w:val="24"/>
        </w:rPr>
        <w:t>treatment credit.</w:t>
      </w:r>
    </w:p>
    <w:p w14:paraId="281A6D29" w14:textId="77777777" w:rsidR="004647B9" w:rsidRPr="00361FCF" w:rsidRDefault="004647B9" w:rsidP="006832F8">
      <w:pPr>
        <w:rPr>
          <w:sz w:val="24"/>
          <w:szCs w:val="24"/>
        </w:rPr>
      </w:pPr>
    </w:p>
    <w:p w14:paraId="281A6D2A" w14:textId="77777777" w:rsidR="004647B9" w:rsidRPr="00361FCF" w:rsidRDefault="00E2436F" w:rsidP="006832F8">
      <w:pPr>
        <w:jc w:val="center"/>
        <w:rPr>
          <w:sz w:val="24"/>
          <w:szCs w:val="24"/>
        </w:rPr>
      </w:pPr>
      <w:r w:rsidRPr="00361FCF">
        <w:rPr>
          <w:rFonts w:eastAsia="Times New Roman"/>
          <w:sz w:val="24"/>
          <w:szCs w:val="24"/>
        </w:rPr>
        <w:t xml:space="preserve">310 CMR 22.20G:  </w:t>
      </w:r>
      <w:r w:rsidRPr="00361FCF">
        <w:rPr>
          <w:rFonts w:eastAsia="Times New Roman"/>
          <w:i/>
          <w:iCs/>
          <w:sz w:val="24"/>
          <w:szCs w:val="24"/>
        </w:rPr>
        <w:t>Table 8</w:t>
      </w:r>
    </w:p>
    <w:p w14:paraId="281A6D2C" w14:textId="77777777" w:rsidR="004647B9" w:rsidRPr="00361FCF" w:rsidRDefault="00E2436F" w:rsidP="006832F8">
      <w:pPr>
        <w:jc w:val="center"/>
        <w:rPr>
          <w:sz w:val="24"/>
          <w:szCs w:val="24"/>
        </w:rPr>
      </w:pPr>
      <w:r w:rsidRPr="00361FCF">
        <w:rPr>
          <w:rFonts w:eastAsia="Times New Roman"/>
          <w:sz w:val="24"/>
          <w:szCs w:val="24"/>
        </w:rPr>
        <w:t xml:space="preserve">CT VALUES (MG MIN/L) FOR </w:t>
      </w:r>
      <w:r w:rsidRPr="00361FCF">
        <w:rPr>
          <w:rFonts w:eastAsia="Times New Roman"/>
          <w:i/>
          <w:iCs/>
          <w:sz w:val="24"/>
          <w:szCs w:val="24"/>
        </w:rPr>
        <w:t>Cryptosporidium</w:t>
      </w:r>
      <w:r w:rsidRPr="00361FCF">
        <w:rPr>
          <w:rFonts w:eastAsia="Times New Roman"/>
          <w:sz w:val="24"/>
          <w:szCs w:val="24"/>
        </w:rPr>
        <w:t xml:space="preserve"> INACTIVATION BY OZONE</w:t>
      </w:r>
      <w:r w:rsidRPr="00361FCF">
        <w:rPr>
          <w:rFonts w:eastAsia="Times New Roman"/>
          <w:sz w:val="24"/>
          <w:szCs w:val="24"/>
          <w:vertAlign w:val="superscript"/>
        </w:rPr>
        <w:t>1</w:t>
      </w:r>
    </w:p>
    <w:tbl>
      <w:tblPr>
        <w:tblW w:w="101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0"/>
        <w:gridCol w:w="840"/>
        <w:gridCol w:w="860"/>
        <w:gridCol w:w="840"/>
        <w:gridCol w:w="840"/>
        <w:gridCol w:w="860"/>
        <w:gridCol w:w="840"/>
        <w:gridCol w:w="840"/>
        <w:gridCol w:w="860"/>
        <w:gridCol w:w="840"/>
        <w:gridCol w:w="840"/>
        <w:gridCol w:w="840"/>
      </w:tblGrid>
      <w:tr w:rsidR="007165CB" w:rsidRPr="007165CB" w14:paraId="281A6D3A" w14:textId="77777777" w:rsidTr="000711BB">
        <w:trPr>
          <w:trHeight w:val="380"/>
        </w:trPr>
        <w:tc>
          <w:tcPr>
            <w:tcW w:w="860" w:type="dxa"/>
            <w:vMerge w:val="restart"/>
            <w:vAlign w:val="center"/>
          </w:tcPr>
          <w:p w14:paraId="22581295" w14:textId="77777777" w:rsidR="007165CB" w:rsidRPr="007165CB" w:rsidRDefault="007165CB" w:rsidP="006832F8">
            <w:pPr>
              <w:ind w:left="160"/>
              <w:rPr>
                <w:sz w:val="20"/>
                <w:szCs w:val="20"/>
              </w:rPr>
            </w:pPr>
            <w:r w:rsidRPr="007165CB">
              <w:rPr>
                <w:rFonts w:eastAsia="Times New Roman"/>
                <w:b/>
                <w:bCs/>
                <w:sz w:val="20"/>
                <w:szCs w:val="20"/>
              </w:rPr>
              <w:t>Log</w:t>
            </w:r>
          </w:p>
          <w:p w14:paraId="281A6D2D" w14:textId="27CDB2BA" w:rsidR="007165CB" w:rsidRPr="007165CB" w:rsidRDefault="007165CB" w:rsidP="006832F8">
            <w:pPr>
              <w:ind w:left="100"/>
              <w:rPr>
                <w:sz w:val="20"/>
                <w:szCs w:val="20"/>
              </w:rPr>
            </w:pPr>
            <w:r w:rsidRPr="007165CB">
              <w:rPr>
                <w:rFonts w:eastAsia="Times New Roman"/>
                <w:b/>
                <w:bCs/>
                <w:sz w:val="20"/>
                <w:szCs w:val="20"/>
              </w:rPr>
              <w:t>credit</w:t>
            </w:r>
          </w:p>
        </w:tc>
        <w:tc>
          <w:tcPr>
            <w:tcW w:w="9300" w:type="dxa"/>
            <w:gridSpan w:val="11"/>
            <w:vMerge w:val="restart"/>
            <w:vAlign w:val="center"/>
          </w:tcPr>
          <w:p w14:paraId="281A6D38" w14:textId="674B22CA" w:rsidR="007165CB" w:rsidRPr="007165CB" w:rsidRDefault="007165CB" w:rsidP="006832F8">
            <w:pPr>
              <w:jc w:val="center"/>
              <w:rPr>
                <w:sz w:val="20"/>
                <w:szCs w:val="20"/>
              </w:rPr>
            </w:pPr>
            <w:r w:rsidRPr="007165CB">
              <w:rPr>
                <w:rFonts w:eastAsia="Times New Roman"/>
                <w:b/>
                <w:bCs/>
                <w:sz w:val="20"/>
                <w:szCs w:val="20"/>
              </w:rPr>
              <w:t>Water Temperature, ºC</w:t>
            </w:r>
          </w:p>
        </w:tc>
      </w:tr>
      <w:tr w:rsidR="007165CB" w:rsidRPr="007165CB" w14:paraId="281A6D4A" w14:textId="77777777" w:rsidTr="000711BB">
        <w:trPr>
          <w:trHeight w:val="230"/>
        </w:trPr>
        <w:tc>
          <w:tcPr>
            <w:tcW w:w="860" w:type="dxa"/>
            <w:vMerge/>
            <w:vAlign w:val="bottom"/>
          </w:tcPr>
          <w:p w14:paraId="281A6D3B" w14:textId="7D3A8A6A" w:rsidR="007165CB" w:rsidRPr="007165CB" w:rsidRDefault="007165CB" w:rsidP="006832F8">
            <w:pPr>
              <w:ind w:left="100"/>
              <w:rPr>
                <w:sz w:val="20"/>
                <w:szCs w:val="20"/>
              </w:rPr>
            </w:pPr>
          </w:p>
        </w:tc>
        <w:tc>
          <w:tcPr>
            <w:tcW w:w="9300" w:type="dxa"/>
            <w:gridSpan w:val="11"/>
            <w:vMerge/>
            <w:vAlign w:val="bottom"/>
          </w:tcPr>
          <w:p w14:paraId="281A6D48" w14:textId="77777777" w:rsidR="007165CB" w:rsidRPr="007165CB" w:rsidRDefault="007165CB" w:rsidP="006832F8">
            <w:pPr>
              <w:rPr>
                <w:sz w:val="20"/>
                <w:szCs w:val="20"/>
              </w:rPr>
            </w:pPr>
          </w:p>
        </w:tc>
      </w:tr>
      <w:tr w:rsidR="007165CB" w:rsidRPr="007165CB" w14:paraId="281A6D58" w14:textId="77777777" w:rsidTr="000711BB">
        <w:trPr>
          <w:trHeight w:val="230"/>
        </w:trPr>
        <w:tc>
          <w:tcPr>
            <w:tcW w:w="860" w:type="dxa"/>
            <w:vMerge/>
            <w:vAlign w:val="bottom"/>
          </w:tcPr>
          <w:p w14:paraId="281A6D4B" w14:textId="77777777" w:rsidR="007165CB" w:rsidRPr="007165CB" w:rsidRDefault="007165CB" w:rsidP="006832F8">
            <w:pPr>
              <w:rPr>
                <w:sz w:val="20"/>
                <w:szCs w:val="20"/>
              </w:rPr>
            </w:pPr>
          </w:p>
        </w:tc>
        <w:tc>
          <w:tcPr>
            <w:tcW w:w="840" w:type="dxa"/>
            <w:vMerge w:val="restart"/>
            <w:vAlign w:val="center"/>
          </w:tcPr>
          <w:p w14:paraId="281A6D4C" w14:textId="77777777" w:rsidR="007165CB" w:rsidRPr="007165CB" w:rsidRDefault="007165CB" w:rsidP="006832F8">
            <w:pPr>
              <w:ind w:left="100"/>
              <w:jc w:val="center"/>
              <w:rPr>
                <w:sz w:val="20"/>
                <w:szCs w:val="20"/>
              </w:rPr>
            </w:pPr>
            <w:r w:rsidRPr="007165CB">
              <w:rPr>
                <w:rFonts w:eastAsia="Times New Roman"/>
                <w:sz w:val="20"/>
                <w:szCs w:val="20"/>
              </w:rPr>
              <w:t>&lt;0.5</w:t>
            </w:r>
          </w:p>
        </w:tc>
        <w:tc>
          <w:tcPr>
            <w:tcW w:w="860" w:type="dxa"/>
            <w:vMerge w:val="restart"/>
            <w:vAlign w:val="center"/>
          </w:tcPr>
          <w:p w14:paraId="281A6D4D" w14:textId="77777777" w:rsidR="007165CB" w:rsidRPr="007165CB" w:rsidRDefault="007165CB" w:rsidP="006832F8">
            <w:pPr>
              <w:ind w:left="100"/>
              <w:jc w:val="center"/>
              <w:rPr>
                <w:sz w:val="20"/>
                <w:szCs w:val="20"/>
              </w:rPr>
            </w:pPr>
            <w:r w:rsidRPr="007165CB">
              <w:rPr>
                <w:rFonts w:eastAsia="Times New Roman"/>
                <w:sz w:val="20"/>
                <w:szCs w:val="20"/>
              </w:rPr>
              <w:t>1</w:t>
            </w:r>
          </w:p>
        </w:tc>
        <w:tc>
          <w:tcPr>
            <w:tcW w:w="840" w:type="dxa"/>
            <w:vMerge w:val="restart"/>
            <w:vAlign w:val="center"/>
          </w:tcPr>
          <w:p w14:paraId="281A6D4E" w14:textId="77777777" w:rsidR="007165CB" w:rsidRPr="007165CB" w:rsidRDefault="007165CB" w:rsidP="006832F8">
            <w:pPr>
              <w:ind w:left="100"/>
              <w:jc w:val="center"/>
              <w:rPr>
                <w:sz w:val="20"/>
                <w:szCs w:val="20"/>
              </w:rPr>
            </w:pPr>
            <w:r w:rsidRPr="007165CB">
              <w:rPr>
                <w:rFonts w:eastAsia="Times New Roman"/>
                <w:sz w:val="20"/>
                <w:szCs w:val="20"/>
              </w:rPr>
              <w:t>2</w:t>
            </w:r>
          </w:p>
        </w:tc>
        <w:tc>
          <w:tcPr>
            <w:tcW w:w="840" w:type="dxa"/>
            <w:vMerge w:val="restart"/>
            <w:vAlign w:val="center"/>
          </w:tcPr>
          <w:p w14:paraId="281A6D4F" w14:textId="77777777" w:rsidR="007165CB" w:rsidRPr="007165CB" w:rsidRDefault="007165CB" w:rsidP="006832F8">
            <w:pPr>
              <w:ind w:left="100"/>
              <w:jc w:val="center"/>
              <w:rPr>
                <w:sz w:val="20"/>
                <w:szCs w:val="20"/>
              </w:rPr>
            </w:pPr>
            <w:r w:rsidRPr="007165CB">
              <w:rPr>
                <w:rFonts w:eastAsia="Times New Roman"/>
                <w:sz w:val="20"/>
                <w:szCs w:val="20"/>
              </w:rPr>
              <w:t>3</w:t>
            </w:r>
          </w:p>
        </w:tc>
        <w:tc>
          <w:tcPr>
            <w:tcW w:w="860" w:type="dxa"/>
            <w:vMerge w:val="restart"/>
            <w:vAlign w:val="center"/>
          </w:tcPr>
          <w:p w14:paraId="281A6D50" w14:textId="77777777" w:rsidR="007165CB" w:rsidRPr="007165CB" w:rsidRDefault="007165CB" w:rsidP="006832F8">
            <w:pPr>
              <w:ind w:left="100"/>
              <w:jc w:val="center"/>
              <w:rPr>
                <w:sz w:val="20"/>
                <w:szCs w:val="20"/>
              </w:rPr>
            </w:pPr>
            <w:r w:rsidRPr="007165CB">
              <w:rPr>
                <w:rFonts w:eastAsia="Times New Roman"/>
                <w:sz w:val="20"/>
                <w:szCs w:val="20"/>
              </w:rPr>
              <w:t>5</w:t>
            </w:r>
          </w:p>
        </w:tc>
        <w:tc>
          <w:tcPr>
            <w:tcW w:w="840" w:type="dxa"/>
            <w:vMerge w:val="restart"/>
            <w:vAlign w:val="center"/>
          </w:tcPr>
          <w:p w14:paraId="281A6D51" w14:textId="77777777" w:rsidR="007165CB" w:rsidRPr="007165CB" w:rsidRDefault="007165CB" w:rsidP="006832F8">
            <w:pPr>
              <w:ind w:left="100"/>
              <w:jc w:val="center"/>
              <w:rPr>
                <w:sz w:val="20"/>
                <w:szCs w:val="20"/>
              </w:rPr>
            </w:pPr>
            <w:r w:rsidRPr="007165CB">
              <w:rPr>
                <w:rFonts w:eastAsia="Times New Roman"/>
                <w:sz w:val="20"/>
                <w:szCs w:val="20"/>
              </w:rPr>
              <w:t>7</w:t>
            </w:r>
          </w:p>
        </w:tc>
        <w:tc>
          <w:tcPr>
            <w:tcW w:w="840" w:type="dxa"/>
            <w:vMerge w:val="restart"/>
            <w:vAlign w:val="center"/>
          </w:tcPr>
          <w:p w14:paraId="281A6D52" w14:textId="77777777" w:rsidR="007165CB" w:rsidRPr="007165CB" w:rsidRDefault="007165CB" w:rsidP="006832F8">
            <w:pPr>
              <w:ind w:left="100"/>
              <w:jc w:val="center"/>
              <w:rPr>
                <w:sz w:val="20"/>
                <w:szCs w:val="20"/>
              </w:rPr>
            </w:pPr>
            <w:r w:rsidRPr="007165CB">
              <w:rPr>
                <w:rFonts w:eastAsia="Times New Roman"/>
                <w:sz w:val="20"/>
                <w:szCs w:val="20"/>
              </w:rPr>
              <w:t>10</w:t>
            </w:r>
          </w:p>
        </w:tc>
        <w:tc>
          <w:tcPr>
            <w:tcW w:w="860" w:type="dxa"/>
            <w:vMerge w:val="restart"/>
            <w:vAlign w:val="center"/>
          </w:tcPr>
          <w:p w14:paraId="281A6D53" w14:textId="77777777" w:rsidR="007165CB" w:rsidRPr="007165CB" w:rsidRDefault="007165CB" w:rsidP="006832F8">
            <w:pPr>
              <w:ind w:left="100"/>
              <w:jc w:val="center"/>
              <w:rPr>
                <w:sz w:val="20"/>
                <w:szCs w:val="20"/>
              </w:rPr>
            </w:pPr>
            <w:r w:rsidRPr="007165CB">
              <w:rPr>
                <w:rFonts w:eastAsia="Times New Roman"/>
                <w:sz w:val="20"/>
                <w:szCs w:val="20"/>
              </w:rPr>
              <w:t>15</w:t>
            </w:r>
          </w:p>
        </w:tc>
        <w:tc>
          <w:tcPr>
            <w:tcW w:w="840" w:type="dxa"/>
            <w:vMerge w:val="restart"/>
            <w:vAlign w:val="center"/>
          </w:tcPr>
          <w:p w14:paraId="281A6D54" w14:textId="77777777" w:rsidR="007165CB" w:rsidRPr="007165CB" w:rsidRDefault="007165CB" w:rsidP="006832F8">
            <w:pPr>
              <w:ind w:left="100"/>
              <w:jc w:val="center"/>
              <w:rPr>
                <w:sz w:val="20"/>
                <w:szCs w:val="20"/>
              </w:rPr>
            </w:pPr>
            <w:r w:rsidRPr="007165CB">
              <w:rPr>
                <w:rFonts w:eastAsia="Times New Roman"/>
                <w:sz w:val="20"/>
                <w:szCs w:val="20"/>
              </w:rPr>
              <w:t>20</w:t>
            </w:r>
          </w:p>
        </w:tc>
        <w:tc>
          <w:tcPr>
            <w:tcW w:w="840" w:type="dxa"/>
            <w:vMerge w:val="restart"/>
            <w:vAlign w:val="center"/>
          </w:tcPr>
          <w:p w14:paraId="281A6D55" w14:textId="77777777" w:rsidR="007165CB" w:rsidRPr="007165CB" w:rsidRDefault="007165CB" w:rsidP="006832F8">
            <w:pPr>
              <w:ind w:left="100"/>
              <w:jc w:val="center"/>
              <w:rPr>
                <w:sz w:val="20"/>
                <w:szCs w:val="20"/>
              </w:rPr>
            </w:pPr>
            <w:r w:rsidRPr="007165CB">
              <w:rPr>
                <w:rFonts w:eastAsia="Times New Roman"/>
                <w:sz w:val="20"/>
                <w:szCs w:val="20"/>
              </w:rPr>
              <w:t>25</w:t>
            </w:r>
          </w:p>
        </w:tc>
        <w:tc>
          <w:tcPr>
            <w:tcW w:w="840" w:type="dxa"/>
            <w:vMerge w:val="restart"/>
            <w:vAlign w:val="center"/>
          </w:tcPr>
          <w:p w14:paraId="281A6D56" w14:textId="77777777" w:rsidR="007165CB" w:rsidRPr="007165CB" w:rsidRDefault="007165CB" w:rsidP="006832F8">
            <w:pPr>
              <w:ind w:left="100"/>
              <w:jc w:val="center"/>
              <w:rPr>
                <w:sz w:val="20"/>
                <w:szCs w:val="20"/>
              </w:rPr>
            </w:pPr>
            <w:r w:rsidRPr="007165CB">
              <w:rPr>
                <w:rFonts w:eastAsia="Times New Roman"/>
                <w:sz w:val="20"/>
                <w:szCs w:val="20"/>
              </w:rPr>
              <w:t>30</w:t>
            </w:r>
          </w:p>
        </w:tc>
      </w:tr>
      <w:tr w:rsidR="007165CB" w:rsidRPr="007165CB" w14:paraId="281A6D66" w14:textId="77777777" w:rsidTr="000711BB">
        <w:trPr>
          <w:trHeight w:val="230"/>
        </w:trPr>
        <w:tc>
          <w:tcPr>
            <w:tcW w:w="860" w:type="dxa"/>
            <w:vMerge/>
            <w:vAlign w:val="bottom"/>
          </w:tcPr>
          <w:p w14:paraId="281A6D59" w14:textId="77777777" w:rsidR="007165CB" w:rsidRPr="007165CB" w:rsidRDefault="007165CB" w:rsidP="006832F8">
            <w:pPr>
              <w:rPr>
                <w:sz w:val="20"/>
                <w:szCs w:val="20"/>
              </w:rPr>
            </w:pPr>
          </w:p>
        </w:tc>
        <w:tc>
          <w:tcPr>
            <w:tcW w:w="840" w:type="dxa"/>
            <w:vMerge/>
            <w:vAlign w:val="bottom"/>
          </w:tcPr>
          <w:p w14:paraId="281A6D5A" w14:textId="77777777" w:rsidR="007165CB" w:rsidRPr="007165CB" w:rsidRDefault="007165CB" w:rsidP="006832F8">
            <w:pPr>
              <w:rPr>
                <w:sz w:val="20"/>
                <w:szCs w:val="20"/>
              </w:rPr>
            </w:pPr>
          </w:p>
        </w:tc>
        <w:tc>
          <w:tcPr>
            <w:tcW w:w="860" w:type="dxa"/>
            <w:vMerge/>
            <w:vAlign w:val="bottom"/>
          </w:tcPr>
          <w:p w14:paraId="281A6D5B" w14:textId="77777777" w:rsidR="007165CB" w:rsidRPr="007165CB" w:rsidRDefault="007165CB" w:rsidP="006832F8">
            <w:pPr>
              <w:rPr>
                <w:sz w:val="20"/>
                <w:szCs w:val="20"/>
              </w:rPr>
            </w:pPr>
          </w:p>
        </w:tc>
        <w:tc>
          <w:tcPr>
            <w:tcW w:w="840" w:type="dxa"/>
            <w:vMerge/>
            <w:vAlign w:val="bottom"/>
          </w:tcPr>
          <w:p w14:paraId="281A6D5C" w14:textId="77777777" w:rsidR="007165CB" w:rsidRPr="007165CB" w:rsidRDefault="007165CB" w:rsidP="006832F8">
            <w:pPr>
              <w:rPr>
                <w:sz w:val="20"/>
                <w:szCs w:val="20"/>
              </w:rPr>
            </w:pPr>
          </w:p>
        </w:tc>
        <w:tc>
          <w:tcPr>
            <w:tcW w:w="840" w:type="dxa"/>
            <w:vMerge/>
            <w:vAlign w:val="bottom"/>
          </w:tcPr>
          <w:p w14:paraId="281A6D5D" w14:textId="77777777" w:rsidR="007165CB" w:rsidRPr="007165CB" w:rsidRDefault="007165CB" w:rsidP="006832F8">
            <w:pPr>
              <w:rPr>
                <w:sz w:val="20"/>
                <w:szCs w:val="20"/>
              </w:rPr>
            </w:pPr>
          </w:p>
        </w:tc>
        <w:tc>
          <w:tcPr>
            <w:tcW w:w="860" w:type="dxa"/>
            <w:vMerge/>
            <w:vAlign w:val="bottom"/>
          </w:tcPr>
          <w:p w14:paraId="281A6D5E" w14:textId="77777777" w:rsidR="007165CB" w:rsidRPr="007165CB" w:rsidRDefault="007165CB" w:rsidP="006832F8">
            <w:pPr>
              <w:rPr>
                <w:sz w:val="20"/>
                <w:szCs w:val="20"/>
              </w:rPr>
            </w:pPr>
          </w:p>
        </w:tc>
        <w:tc>
          <w:tcPr>
            <w:tcW w:w="840" w:type="dxa"/>
            <w:vMerge/>
            <w:vAlign w:val="bottom"/>
          </w:tcPr>
          <w:p w14:paraId="281A6D5F" w14:textId="77777777" w:rsidR="007165CB" w:rsidRPr="007165CB" w:rsidRDefault="007165CB" w:rsidP="006832F8">
            <w:pPr>
              <w:rPr>
                <w:sz w:val="20"/>
                <w:szCs w:val="20"/>
              </w:rPr>
            </w:pPr>
          </w:p>
        </w:tc>
        <w:tc>
          <w:tcPr>
            <w:tcW w:w="840" w:type="dxa"/>
            <w:vMerge/>
            <w:vAlign w:val="bottom"/>
          </w:tcPr>
          <w:p w14:paraId="281A6D60" w14:textId="77777777" w:rsidR="007165CB" w:rsidRPr="007165CB" w:rsidRDefault="007165CB" w:rsidP="006832F8">
            <w:pPr>
              <w:rPr>
                <w:sz w:val="20"/>
                <w:szCs w:val="20"/>
              </w:rPr>
            </w:pPr>
          </w:p>
        </w:tc>
        <w:tc>
          <w:tcPr>
            <w:tcW w:w="860" w:type="dxa"/>
            <w:vMerge/>
            <w:vAlign w:val="bottom"/>
          </w:tcPr>
          <w:p w14:paraId="281A6D61" w14:textId="77777777" w:rsidR="007165CB" w:rsidRPr="007165CB" w:rsidRDefault="007165CB" w:rsidP="006832F8">
            <w:pPr>
              <w:rPr>
                <w:sz w:val="20"/>
                <w:szCs w:val="20"/>
              </w:rPr>
            </w:pPr>
          </w:p>
        </w:tc>
        <w:tc>
          <w:tcPr>
            <w:tcW w:w="840" w:type="dxa"/>
            <w:vMerge/>
            <w:vAlign w:val="bottom"/>
          </w:tcPr>
          <w:p w14:paraId="281A6D62" w14:textId="77777777" w:rsidR="007165CB" w:rsidRPr="007165CB" w:rsidRDefault="007165CB" w:rsidP="006832F8">
            <w:pPr>
              <w:rPr>
                <w:sz w:val="20"/>
                <w:szCs w:val="20"/>
              </w:rPr>
            </w:pPr>
          </w:p>
        </w:tc>
        <w:tc>
          <w:tcPr>
            <w:tcW w:w="840" w:type="dxa"/>
            <w:vMerge/>
            <w:vAlign w:val="bottom"/>
          </w:tcPr>
          <w:p w14:paraId="281A6D63" w14:textId="77777777" w:rsidR="007165CB" w:rsidRPr="007165CB" w:rsidRDefault="007165CB" w:rsidP="006832F8">
            <w:pPr>
              <w:rPr>
                <w:sz w:val="20"/>
                <w:szCs w:val="20"/>
              </w:rPr>
            </w:pPr>
          </w:p>
        </w:tc>
        <w:tc>
          <w:tcPr>
            <w:tcW w:w="840" w:type="dxa"/>
            <w:vMerge/>
            <w:vAlign w:val="bottom"/>
          </w:tcPr>
          <w:p w14:paraId="281A6D64" w14:textId="77777777" w:rsidR="007165CB" w:rsidRPr="007165CB" w:rsidRDefault="007165CB" w:rsidP="006832F8">
            <w:pPr>
              <w:rPr>
                <w:sz w:val="20"/>
                <w:szCs w:val="20"/>
              </w:rPr>
            </w:pPr>
          </w:p>
        </w:tc>
      </w:tr>
      <w:tr w:rsidR="007165CB" w:rsidRPr="007165CB" w14:paraId="281A6D76" w14:textId="77777777" w:rsidTr="000711BB">
        <w:trPr>
          <w:trHeight w:val="230"/>
        </w:trPr>
        <w:tc>
          <w:tcPr>
            <w:tcW w:w="860" w:type="dxa"/>
            <w:vMerge/>
            <w:vAlign w:val="bottom"/>
          </w:tcPr>
          <w:p w14:paraId="281A6D67" w14:textId="77777777" w:rsidR="007165CB" w:rsidRPr="007165CB" w:rsidRDefault="007165CB" w:rsidP="006832F8">
            <w:pPr>
              <w:rPr>
                <w:sz w:val="20"/>
                <w:szCs w:val="20"/>
              </w:rPr>
            </w:pPr>
          </w:p>
        </w:tc>
        <w:tc>
          <w:tcPr>
            <w:tcW w:w="840" w:type="dxa"/>
            <w:vMerge/>
            <w:vAlign w:val="bottom"/>
          </w:tcPr>
          <w:p w14:paraId="281A6D6A" w14:textId="77777777" w:rsidR="007165CB" w:rsidRPr="007165CB" w:rsidRDefault="007165CB" w:rsidP="006832F8">
            <w:pPr>
              <w:rPr>
                <w:sz w:val="20"/>
                <w:szCs w:val="20"/>
              </w:rPr>
            </w:pPr>
          </w:p>
        </w:tc>
        <w:tc>
          <w:tcPr>
            <w:tcW w:w="860" w:type="dxa"/>
            <w:vMerge/>
            <w:vAlign w:val="bottom"/>
          </w:tcPr>
          <w:p w14:paraId="281A6D6B" w14:textId="77777777" w:rsidR="007165CB" w:rsidRPr="007165CB" w:rsidRDefault="007165CB" w:rsidP="006832F8">
            <w:pPr>
              <w:rPr>
                <w:sz w:val="20"/>
                <w:szCs w:val="20"/>
              </w:rPr>
            </w:pPr>
          </w:p>
        </w:tc>
        <w:tc>
          <w:tcPr>
            <w:tcW w:w="840" w:type="dxa"/>
            <w:vMerge/>
            <w:vAlign w:val="bottom"/>
          </w:tcPr>
          <w:p w14:paraId="281A6D6C" w14:textId="77777777" w:rsidR="007165CB" w:rsidRPr="007165CB" w:rsidRDefault="007165CB" w:rsidP="006832F8">
            <w:pPr>
              <w:rPr>
                <w:sz w:val="20"/>
                <w:szCs w:val="20"/>
              </w:rPr>
            </w:pPr>
          </w:p>
        </w:tc>
        <w:tc>
          <w:tcPr>
            <w:tcW w:w="840" w:type="dxa"/>
            <w:vMerge/>
            <w:vAlign w:val="bottom"/>
          </w:tcPr>
          <w:p w14:paraId="281A6D6D" w14:textId="77777777" w:rsidR="007165CB" w:rsidRPr="007165CB" w:rsidRDefault="007165CB" w:rsidP="006832F8">
            <w:pPr>
              <w:rPr>
                <w:sz w:val="20"/>
                <w:szCs w:val="20"/>
              </w:rPr>
            </w:pPr>
          </w:p>
        </w:tc>
        <w:tc>
          <w:tcPr>
            <w:tcW w:w="860" w:type="dxa"/>
            <w:vMerge/>
            <w:vAlign w:val="bottom"/>
          </w:tcPr>
          <w:p w14:paraId="281A6D6E" w14:textId="77777777" w:rsidR="007165CB" w:rsidRPr="007165CB" w:rsidRDefault="007165CB" w:rsidP="006832F8">
            <w:pPr>
              <w:rPr>
                <w:sz w:val="20"/>
                <w:szCs w:val="20"/>
              </w:rPr>
            </w:pPr>
          </w:p>
        </w:tc>
        <w:tc>
          <w:tcPr>
            <w:tcW w:w="840" w:type="dxa"/>
            <w:vMerge/>
            <w:vAlign w:val="bottom"/>
          </w:tcPr>
          <w:p w14:paraId="281A6D6F" w14:textId="77777777" w:rsidR="007165CB" w:rsidRPr="007165CB" w:rsidRDefault="007165CB" w:rsidP="006832F8">
            <w:pPr>
              <w:rPr>
                <w:sz w:val="20"/>
                <w:szCs w:val="20"/>
              </w:rPr>
            </w:pPr>
          </w:p>
        </w:tc>
        <w:tc>
          <w:tcPr>
            <w:tcW w:w="840" w:type="dxa"/>
            <w:vMerge/>
            <w:vAlign w:val="bottom"/>
          </w:tcPr>
          <w:p w14:paraId="281A6D70" w14:textId="77777777" w:rsidR="007165CB" w:rsidRPr="007165CB" w:rsidRDefault="007165CB" w:rsidP="006832F8">
            <w:pPr>
              <w:rPr>
                <w:sz w:val="20"/>
                <w:szCs w:val="20"/>
              </w:rPr>
            </w:pPr>
          </w:p>
        </w:tc>
        <w:tc>
          <w:tcPr>
            <w:tcW w:w="860" w:type="dxa"/>
            <w:vMerge/>
            <w:vAlign w:val="bottom"/>
          </w:tcPr>
          <w:p w14:paraId="281A6D71" w14:textId="77777777" w:rsidR="007165CB" w:rsidRPr="007165CB" w:rsidRDefault="007165CB" w:rsidP="006832F8">
            <w:pPr>
              <w:rPr>
                <w:sz w:val="20"/>
                <w:szCs w:val="20"/>
              </w:rPr>
            </w:pPr>
          </w:p>
        </w:tc>
        <w:tc>
          <w:tcPr>
            <w:tcW w:w="840" w:type="dxa"/>
            <w:vMerge/>
            <w:vAlign w:val="bottom"/>
          </w:tcPr>
          <w:p w14:paraId="281A6D72" w14:textId="77777777" w:rsidR="007165CB" w:rsidRPr="007165CB" w:rsidRDefault="007165CB" w:rsidP="006832F8">
            <w:pPr>
              <w:rPr>
                <w:sz w:val="20"/>
                <w:szCs w:val="20"/>
              </w:rPr>
            </w:pPr>
          </w:p>
        </w:tc>
        <w:tc>
          <w:tcPr>
            <w:tcW w:w="840" w:type="dxa"/>
            <w:vMerge/>
            <w:vAlign w:val="bottom"/>
          </w:tcPr>
          <w:p w14:paraId="281A6D73" w14:textId="77777777" w:rsidR="007165CB" w:rsidRPr="007165CB" w:rsidRDefault="007165CB" w:rsidP="006832F8">
            <w:pPr>
              <w:rPr>
                <w:sz w:val="20"/>
                <w:szCs w:val="20"/>
              </w:rPr>
            </w:pPr>
          </w:p>
        </w:tc>
        <w:tc>
          <w:tcPr>
            <w:tcW w:w="840" w:type="dxa"/>
            <w:vMerge/>
            <w:vAlign w:val="bottom"/>
          </w:tcPr>
          <w:p w14:paraId="281A6D74" w14:textId="77777777" w:rsidR="007165CB" w:rsidRPr="007165CB" w:rsidRDefault="007165CB" w:rsidP="006832F8">
            <w:pPr>
              <w:rPr>
                <w:sz w:val="20"/>
                <w:szCs w:val="20"/>
              </w:rPr>
            </w:pPr>
          </w:p>
        </w:tc>
      </w:tr>
      <w:tr w:rsidR="007165CB" w:rsidRPr="007165CB" w14:paraId="281A6D84" w14:textId="77777777" w:rsidTr="000711BB">
        <w:trPr>
          <w:trHeight w:val="364"/>
        </w:trPr>
        <w:tc>
          <w:tcPr>
            <w:tcW w:w="860" w:type="dxa"/>
            <w:vAlign w:val="center"/>
          </w:tcPr>
          <w:p w14:paraId="281A6D77" w14:textId="77777777" w:rsidR="007165CB" w:rsidRPr="000711BB" w:rsidRDefault="007165CB" w:rsidP="006832F8">
            <w:pPr>
              <w:jc w:val="center"/>
              <w:rPr>
                <w:sz w:val="20"/>
                <w:szCs w:val="20"/>
              </w:rPr>
            </w:pPr>
            <w:r w:rsidRPr="000711BB">
              <w:rPr>
                <w:rFonts w:eastAsia="Times New Roman"/>
                <w:sz w:val="20"/>
                <w:szCs w:val="20"/>
              </w:rPr>
              <w:t>0.25</w:t>
            </w:r>
          </w:p>
        </w:tc>
        <w:tc>
          <w:tcPr>
            <w:tcW w:w="840" w:type="dxa"/>
            <w:vAlign w:val="center"/>
          </w:tcPr>
          <w:p w14:paraId="281A6D78" w14:textId="77777777" w:rsidR="007165CB" w:rsidRPr="000711BB" w:rsidRDefault="007165CB" w:rsidP="006832F8">
            <w:pPr>
              <w:jc w:val="center"/>
              <w:rPr>
                <w:sz w:val="20"/>
                <w:szCs w:val="20"/>
              </w:rPr>
            </w:pPr>
            <w:r w:rsidRPr="000711BB">
              <w:rPr>
                <w:rFonts w:eastAsia="Times New Roman"/>
                <w:sz w:val="20"/>
                <w:szCs w:val="20"/>
              </w:rPr>
              <w:t>6.0</w:t>
            </w:r>
          </w:p>
        </w:tc>
        <w:tc>
          <w:tcPr>
            <w:tcW w:w="860" w:type="dxa"/>
            <w:vAlign w:val="center"/>
          </w:tcPr>
          <w:p w14:paraId="281A6D79" w14:textId="77777777" w:rsidR="007165CB" w:rsidRPr="000711BB" w:rsidRDefault="007165CB" w:rsidP="006832F8">
            <w:pPr>
              <w:jc w:val="center"/>
              <w:rPr>
                <w:sz w:val="20"/>
                <w:szCs w:val="20"/>
              </w:rPr>
            </w:pPr>
            <w:r w:rsidRPr="000711BB">
              <w:rPr>
                <w:rFonts w:eastAsia="Times New Roman"/>
                <w:sz w:val="20"/>
                <w:szCs w:val="20"/>
              </w:rPr>
              <w:t>5.8</w:t>
            </w:r>
          </w:p>
        </w:tc>
        <w:tc>
          <w:tcPr>
            <w:tcW w:w="840" w:type="dxa"/>
            <w:vAlign w:val="center"/>
          </w:tcPr>
          <w:p w14:paraId="281A6D7A" w14:textId="77777777" w:rsidR="007165CB" w:rsidRPr="000711BB" w:rsidRDefault="007165CB" w:rsidP="006832F8">
            <w:pPr>
              <w:jc w:val="center"/>
              <w:rPr>
                <w:sz w:val="20"/>
                <w:szCs w:val="20"/>
              </w:rPr>
            </w:pPr>
            <w:r w:rsidRPr="000711BB">
              <w:rPr>
                <w:rFonts w:eastAsia="Times New Roman"/>
                <w:sz w:val="20"/>
                <w:szCs w:val="20"/>
              </w:rPr>
              <w:t>5.2</w:t>
            </w:r>
          </w:p>
        </w:tc>
        <w:tc>
          <w:tcPr>
            <w:tcW w:w="840" w:type="dxa"/>
            <w:vAlign w:val="center"/>
          </w:tcPr>
          <w:p w14:paraId="281A6D7B" w14:textId="77777777" w:rsidR="007165CB" w:rsidRPr="000711BB" w:rsidRDefault="007165CB" w:rsidP="006832F8">
            <w:pPr>
              <w:jc w:val="center"/>
              <w:rPr>
                <w:sz w:val="20"/>
                <w:szCs w:val="20"/>
              </w:rPr>
            </w:pPr>
            <w:r w:rsidRPr="000711BB">
              <w:rPr>
                <w:rFonts w:eastAsia="Times New Roman"/>
                <w:sz w:val="20"/>
                <w:szCs w:val="20"/>
              </w:rPr>
              <w:t>4.8</w:t>
            </w:r>
          </w:p>
        </w:tc>
        <w:tc>
          <w:tcPr>
            <w:tcW w:w="860" w:type="dxa"/>
            <w:vAlign w:val="center"/>
          </w:tcPr>
          <w:p w14:paraId="281A6D7C" w14:textId="77777777" w:rsidR="007165CB" w:rsidRPr="000711BB" w:rsidRDefault="007165CB" w:rsidP="006832F8">
            <w:pPr>
              <w:jc w:val="center"/>
              <w:rPr>
                <w:sz w:val="20"/>
                <w:szCs w:val="20"/>
              </w:rPr>
            </w:pPr>
            <w:r w:rsidRPr="000711BB">
              <w:rPr>
                <w:rFonts w:eastAsia="Times New Roman"/>
                <w:sz w:val="20"/>
                <w:szCs w:val="20"/>
              </w:rPr>
              <w:t>4.0</w:t>
            </w:r>
          </w:p>
        </w:tc>
        <w:tc>
          <w:tcPr>
            <w:tcW w:w="840" w:type="dxa"/>
            <w:vAlign w:val="center"/>
          </w:tcPr>
          <w:p w14:paraId="281A6D7D" w14:textId="77777777" w:rsidR="007165CB" w:rsidRPr="000711BB" w:rsidRDefault="007165CB" w:rsidP="006832F8">
            <w:pPr>
              <w:jc w:val="center"/>
              <w:rPr>
                <w:sz w:val="20"/>
                <w:szCs w:val="20"/>
              </w:rPr>
            </w:pPr>
            <w:r w:rsidRPr="000711BB">
              <w:rPr>
                <w:rFonts w:eastAsia="Times New Roman"/>
                <w:sz w:val="20"/>
                <w:szCs w:val="20"/>
              </w:rPr>
              <w:t>3.3</w:t>
            </w:r>
          </w:p>
        </w:tc>
        <w:tc>
          <w:tcPr>
            <w:tcW w:w="840" w:type="dxa"/>
            <w:vAlign w:val="center"/>
          </w:tcPr>
          <w:p w14:paraId="281A6D7E" w14:textId="77777777" w:rsidR="007165CB" w:rsidRPr="000711BB" w:rsidRDefault="007165CB" w:rsidP="006832F8">
            <w:pPr>
              <w:jc w:val="center"/>
              <w:rPr>
                <w:sz w:val="20"/>
                <w:szCs w:val="20"/>
              </w:rPr>
            </w:pPr>
            <w:r w:rsidRPr="000711BB">
              <w:rPr>
                <w:rFonts w:eastAsia="Times New Roman"/>
                <w:sz w:val="20"/>
                <w:szCs w:val="20"/>
              </w:rPr>
              <w:t>2.5</w:t>
            </w:r>
          </w:p>
        </w:tc>
        <w:tc>
          <w:tcPr>
            <w:tcW w:w="860" w:type="dxa"/>
            <w:vAlign w:val="center"/>
          </w:tcPr>
          <w:p w14:paraId="281A6D7F" w14:textId="77777777" w:rsidR="007165CB" w:rsidRPr="000711BB" w:rsidRDefault="007165CB" w:rsidP="006832F8">
            <w:pPr>
              <w:jc w:val="center"/>
              <w:rPr>
                <w:sz w:val="20"/>
                <w:szCs w:val="20"/>
              </w:rPr>
            </w:pPr>
            <w:r w:rsidRPr="000711BB">
              <w:rPr>
                <w:rFonts w:eastAsia="Times New Roman"/>
                <w:sz w:val="20"/>
                <w:szCs w:val="20"/>
              </w:rPr>
              <w:t>1.6</w:t>
            </w:r>
          </w:p>
        </w:tc>
        <w:tc>
          <w:tcPr>
            <w:tcW w:w="840" w:type="dxa"/>
            <w:vAlign w:val="center"/>
          </w:tcPr>
          <w:p w14:paraId="281A6D80" w14:textId="77777777" w:rsidR="007165CB" w:rsidRPr="000711BB" w:rsidRDefault="007165CB" w:rsidP="006832F8">
            <w:pPr>
              <w:jc w:val="center"/>
              <w:rPr>
                <w:sz w:val="20"/>
                <w:szCs w:val="20"/>
              </w:rPr>
            </w:pPr>
            <w:r w:rsidRPr="000711BB">
              <w:rPr>
                <w:rFonts w:eastAsia="Times New Roman"/>
                <w:sz w:val="20"/>
                <w:szCs w:val="20"/>
              </w:rPr>
              <w:t>1.0</w:t>
            </w:r>
          </w:p>
        </w:tc>
        <w:tc>
          <w:tcPr>
            <w:tcW w:w="840" w:type="dxa"/>
            <w:vAlign w:val="center"/>
          </w:tcPr>
          <w:p w14:paraId="281A6D81" w14:textId="77777777" w:rsidR="007165CB" w:rsidRPr="000711BB" w:rsidRDefault="007165CB" w:rsidP="006832F8">
            <w:pPr>
              <w:jc w:val="center"/>
              <w:rPr>
                <w:sz w:val="20"/>
                <w:szCs w:val="20"/>
              </w:rPr>
            </w:pPr>
            <w:r w:rsidRPr="000711BB">
              <w:rPr>
                <w:rFonts w:eastAsia="Times New Roman"/>
                <w:sz w:val="20"/>
                <w:szCs w:val="20"/>
              </w:rPr>
              <w:t>0.6</w:t>
            </w:r>
          </w:p>
        </w:tc>
        <w:tc>
          <w:tcPr>
            <w:tcW w:w="840" w:type="dxa"/>
            <w:vAlign w:val="center"/>
          </w:tcPr>
          <w:p w14:paraId="281A6D82" w14:textId="77777777" w:rsidR="007165CB" w:rsidRPr="000711BB" w:rsidRDefault="007165CB" w:rsidP="006832F8">
            <w:pPr>
              <w:jc w:val="center"/>
              <w:rPr>
                <w:sz w:val="20"/>
                <w:szCs w:val="20"/>
              </w:rPr>
            </w:pPr>
            <w:r w:rsidRPr="000711BB">
              <w:rPr>
                <w:rFonts w:eastAsia="Times New Roman"/>
                <w:sz w:val="20"/>
                <w:szCs w:val="20"/>
              </w:rPr>
              <w:t>0.39</w:t>
            </w:r>
          </w:p>
        </w:tc>
      </w:tr>
      <w:tr w:rsidR="007165CB" w:rsidRPr="007165CB" w14:paraId="281A6DA2" w14:textId="77777777" w:rsidTr="000711BB">
        <w:trPr>
          <w:trHeight w:val="362"/>
        </w:trPr>
        <w:tc>
          <w:tcPr>
            <w:tcW w:w="860" w:type="dxa"/>
            <w:vAlign w:val="center"/>
          </w:tcPr>
          <w:p w14:paraId="281A6D95" w14:textId="77777777" w:rsidR="007165CB" w:rsidRPr="000711BB" w:rsidRDefault="007165CB" w:rsidP="006832F8">
            <w:pPr>
              <w:jc w:val="center"/>
              <w:rPr>
                <w:sz w:val="20"/>
                <w:szCs w:val="20"/>
              </w:rPr>
            </w:pPr>
            <w:r w:rsidRPr="000711BB">
              <w:rPr>
                <w:rFonts w:eastAsia="Times New Roman"/>
                <w:sz w:val="20"/>
                <w:szCs w:val="20"/>
              </w:rPr>
              <w:t>0.5</w:t>
            </w:r>
          </w:p>
        </w:tc>
        <w:tc>
          <w:tcPr>
            <w:tcW w:w="840" w:type="dxa"/>
            <w:vAlign w:val="center"/>
          </w:tcPr>
          <w:p w14:paraId="281A6D96" w14:textId="77777777" w:rsidR="007165CB" w:rsidRPr="000711BB" w:rsidRDefault="007165CB" w:rsidP="006832F8">
            <w:pPr>
              <w:jc w:val="center"/>
              <w:rPr>
                <w:sz w:val="20"/>
                <w:szCs w:val="20"/>
              </w:rPr>
            </w:pPr>
            <w:r w:rsidRPr="000711BB">
              <w:rPr>
                <w:rFonts w:eastAsia="Times New Roman"/>
                <w:sz w:val="20"/>
                <w:szCs w:val="20"/>
              </w:rPr>
              <w:t>12</w:t>
            </w:r>
          </w:p>
        </w:tc>
        <w:tc>
          <w:tcPr>
            <w:tcW w:w="860" w:type="dxa"/>
            <w:vAlign w:val="center"/>
          </w:tcPr>
          <w:p w14:paraId="281A6D97" w14:textId="77777777" w:rsidR="007165CB" w:rsidRPr="000711BB" w:rsidRDefault="007165CB" w:rsidP="006832F8">
            <w:pPr>
              <w:jc w:val="center"/>
              <w:rPr>
                <w:sz w:val="20"/>
                <w:szCs w:val="20"/>
              </w:rPr>
            </w:pPr>
            <w:r w:rsidRPr="000711BB">
              <w:rPr>
                <w:rFonts w:eastAsia="Times New Roman"/>
                <w:sz w:val="20"/>
                <w:szCs w:val="20"/>
              </w:rPr>
              <w:t>12</w:t>
            </w:r>
          </w:p>
        </w:tc>
        <w:tc>
          <w:tcPr>
            <w:tcW w:w="840" w:type="dxa"/>
            <w:vAlign w:val="center"/>
          </w:tcPr>
          <w:p w14:paraId="281A6D98" w14:textId="77777777" w:rsidR="007165CB" w:rsidRPr="000711BB" w:rsidRDefault="007165CB" w:rsidP="006832F8">
            <w:pPr>
              <w:jc w:val="center"/>
              <w:rPr>
                <w:sz w:val="20"/>
                <w:szCs w:val="20"/>
              </w:rPr>
            </w:pPr>
            <w:r w:rsidRPr="000711BB">
              <w:rPr>
                <w:rFonts w:eastAsia="Times New Roman"/>
                <w:sz w:val="20"/>
                <w:szCs w:val="20"/>
              </w:rPr>
              <w:t>10</w:t>
            </w:r>
          </w:p>
        </w:tc>
        <w:tc>
          <w:tcPr>
            <w:tcW w:w="840" w:type="dxa"/>
            <w:vAlign w:val="center"/>
          </w:tcPr>
          <w:p w14:paraId="281A6D99" w14:textId="77777777" w:rsidR="007165CB" w:rsidRPr="000711BB" w:rsidRDefault="007165CB" w:rsidP="006832F8">
            <w:pPr>
              <w:jc w:val="center"/>
              <w:rPr>
                <w:sz w:val="20"/>
                <w:szCs w:val="20"/>
              </w:rPr>
            </w:pPr>
            <w:r w:rsidRPr="000711BB">
              <w:rPr>
                <w:rFonts w:eastAsia="Times New Roman"/>
                <w:sz w:val="20"/>
                <w:szCs w:val="20"/>
              </w:rPr>
              <w:t>9.5</w:t>
            </w:r>
          </w:p>
        </w:tc>
        <w:tc>
          <w:tcPr>
            <w:tcW w:w="860" w:type="dxa"/>
            <w:vAlign w:val="center"/>
          </w:tcPr>
          <w:p w14:paraId="281A6D9A" w14:textId="77777777" w:rsidR="007165CB" w:rsidRPr="000711BB" w:rsidRDefault="007165CB" w:rsidP="006832F8">
            <w:pPr>
              <w:jc w:val="center"/>
              <w:rPr>
                <w:sz w:val="20"/>
                <w:szCs w:val="20"/>
              </w:rPr>
            </w:pPr>
            <w:r w:rsidRPr="000711BB">
              <w:rPr>
                <w:rFonts w:eastAsia="Times New Roman"/>
                <w:sz w:val="20"/>
                <w:szCs w:val="20"/>
              </w:rPr>
              <w:t>7.9</w:t>
            </w:r>
          </w:p>
        </w:tc>
        <w:tc>
          <w:tcPr>
            <w:tcW w:w="840" w:type="dxa"/>
            <w:vAlign w:val="center"/>
          </w:tcPr>
          <w:p w14:paraId="281A6D9B" w14:textId="77777777" w:rsidR="007165CB" w:rsidRPr="000711BB" w:rsidRDefault="007165CB" w:rsidP="006832F8">
            <w:pPr>
              <w:jc w:val="center"/>
              <w:rPr>
                <w:sz w:val="20"/>
                <w:szCs w:val="20"/>
              </w:rPr>
            </w:pPr>
            <w:r w:rsidRPr="000711BB">
              <w:rPr>
                <w:rFonts w:eastAsia="Times New Roman"/>
                <w:sz w:val="20"/>
                <w:szCs w:val="20"/>
              </w:rPr>
              <w:t>6.5</w:t>
            </w:r>
          </w:p>
        </w:tc>
        <w:tc>
          <w:tcPr>
            <w:tcW w:w="840" w:type="dxa"/>
            <w:vAlign w:val="center"/>
          </w:tcPr>
          <w:p w14:paraId="281A6D9C" w14:textId="77777777" w:rsidR="007165CB" w:rsidRPr="000711BB" w:rsidRDefault="007165CB" w:rsidP="006832F8">
            <w:pPr>
              <w:jc w:val="center"/>
              <w:rPr>
                <w:sz w:val="20"/>
                <w:szCs w:val="20"/>
              </w:rPr>
            </w:pPr>
            <w:r w:rsidRPr="000711BB">
              <w:rPr>
                <w:rFonts w:eastAsia="Times New Roman"/>
                <w:sz w:val="20"/>
                <w:szCs w:val="20"/>
              </w:rPr>
              <w:t>4.9</w:t>
            </w:r>
          </w:p>
        </w:tc>
        <w:tc>
          <w:tcPr>
            <w:tcW w:w="860" w:type="dxa"/>
            <w:vAlign w:val="center"/>
          </w:tcPr>
          <w:p w14:paraId="281A6D9D" w14:textId="77777777" w:rsidR="007165CB" w:rsidRPr="000711BB" w:rsidRDefault="007165CB" w:rsidP="006832F8">
            <w:pPr>
              <w:jc w:val="center"/>
              <w:rPr>
                <w:sz w:val="20"/>
                <w:szCs w:val="20"/>
              </w:rPr>
            </w:pPr>
            <w:r w:rsidRPr="000711BB">
              <w:rPr>
                <w:rFonts w:eastAsia="Times New Roman"/>
                <w:sz w:val="20"/>
                <w:szCs w:val="20"/>
              </w:rPr>
              <w:t>3.1</w:t>
            </w:r>
          </w:p>
        </w:tc>
        <w:tc>
          <w:tcPr>
            <w:tcW w:w="840" w:type="dxa"/>
            <w:vAlign w:val="center"/>
          </w:tcPr>
          <w:p w14:paraId="281A6D9E" w14:textId="77777777" w:rsidR="007165CB" w:rsidRPr="000711BB" w:rsidRDefault="007165CB" w:rsidP="006832F8">
            <w:pPr>
              <w:jc w:val="center"/>
              <w:rPr>
                <w:sz w:val="20"/>
                <w:szCs w:val="20"/>
              </w:rPr>
            </w:pPr>
            <w:r w:rsidRPr="000711BB">
              <w:rPr>
                <w:rFonts w:eastAsia="Times New Roman"/>
                <w:sz w:val="20"/>
                <w:szCs w:val="20"/>
              </w:rPr>
              <w:t>2.0</w:t>
            </w:r>
          </w:p>
        </w:tc>
        <w:tc>
          <w:tcPr>
            <w:tcW w:w="840" w:type="dxa"/>
            <w:vAlign w:val="center"/>
          </w:tcPr>
          <w:p w14:paraId="281A6D9F" w14:textId="77777777" w:rsidR="007165CB" w:rsidRPr="000711BB" w:rsidRDefault="007165CB" w:rsidP="006832F8">
            <w:pPr>
              <w:jc w:val="center"/>
              <w:rPr>
                <w:sz w:val="20"/>
                <w:szCs w:val="20"/>
              </w:rPr>
            </w:pPr>
            <w:r w:rsidRPr="000711BB">
              <w:rPr>
                <w:rFonts w:eastAsia="Times New Roman"/>
                <w:sz w:val="20"/>
                <w:szCs w:val="20"/>
              </w:rPr>
              <w:t>1.2</w:t>
            </w:r>
          </w:p>
        </w:tc>
        <w:tc>
          <w:tcPr>
            <w:tcW w:w="840" w:type="dxa"/>
            <w:vAlign w:val="center"/>
          </w:tcPr>
          <w:p w14:paraId="281A6DA0" w14:textId="77777777" w:rsidR="007165CB" w:rsidRPr="000711BB" w:rsidRDefault="007165CB" w:rsidP="006832F8">
            <w:pPr>
              <w:jc w:val="center"/>
              <w:rPr>
                <w:sz w:val="20"/>
                <w:szCs w:val="20"/>
              </w:rPr>
            </w:pPr>
            <w:r w:rsidRPr="000711BB">
              <w:rPr>
                <w:rFonts w:eastAsia="Times New Roman"/>
                <w:sz w:val="20"/>
                <w:szCs w:val="20"/>
              </w:rPr>
              <w:t>0.78</w:t>
            </w:r>
          </w:p>
        </w:tc>
      </w:tr>
      <w:tr w:rsidR="007165CB" w:rsidRPr="007165CB" w14:paraId="281A6DC0" w14:textId="77777777" w:rsidTr="000711BB">
        <w:trPr>
          <w:trHeight w:val="364"/>
        </w:trPr>
        <w:tc>
          <w:tcPr>
            <w:tcW w:w="860" w:type="dxa"/>
            <w:vAlign w:val="center"/>
          </w:tcPr>
          <w:p w14:paraId="281A6DB3" w14:textId="77777777" w:rsidR="007165CB" w:rsidRPr="000711BB" w:rsidRDefault="007165CB" w:rsidP="006832F8">
            <w:pPr>
              <w:jc w:val="center"/>
              <w:rPr>
                <w:sz w:val="20"/>
                <w:szCs w:val="20"/>
              </w:rPr>
            </w:pPr>
            <w:r w:rsidRPr="000711BB">
              <w:rPr>
                <w:rFonts w:eastAsia="Times New Roman"/>
                <w:sz w:val="20"/>
                <w:szCs w:val="20"/>
              </w:rPr>
              <w:t>1.0</w:t>
            </w:r>
          </w:p>
        </w:tc>
        <w:tc>
          <w:tcPr>
            <w:tcW w:w="840" w:type="dxa"/>
            <w:vAlign w:val="center"/>
          </w:tcPr>
          <w:p w14:paraId="281A6DB4" w14:textId="77777777" w:rsidR="007165CB" w:rsidRPr="000711BB" w:rsidRDefault="007165CB" w:rsidP="006832F8">
            <w:pPr>
              <w:jc w:val="center"/>
              <w:rPr>
                <w:sz w:val="20"/>
                <w:szCs w:val="20"/>
              </w:rPr>
            </w:pPr>
            <w:r w:rsidRPr="000711BB">
              <w:rPr>
                <w:rFonts w:eastAsia="Times New Roman"/>
                <w:sz w:val="20"/>
                <w:szCs w:val="20"/>
              </w:rPr>
              <w:t>24</w:t>
            </w:r>
          </w:p>
        </w:tc>
        <w:tc>
          <w:tcPr>
            <w:tcW w:w="860" w:type="dxa"/>
            <w:vAlign w:val="center"/>
          </w:tcPr>
          <w:p w14:paraId="281A6DB5" w14:textId="77777777" w:rsidR="007165CB" w:rsidRPr="000711BB" w:rsidRDefault="007165CB" w:rsidP="006832F8">
            <w:pPr>
              <w:jc w:val="center"/>
              <w:rPr>
                <w:sz w:val="20"/>
                <w:szCs w:val="20"/>
              </w:rPr>
            </w:pPr>
            <w:r w:rsidRPr="000711BB">
              <w:rPr>
                <w:rFonts w:eastAsia="Times New Roman"/>
                <w:sz w:val="20"/>
                <w:szCs w:val="20"/>
              </w:rPr>
              <w:t>23</w:t>
            </w:r>
          </w:p>
        </w:tc>
        <w:tc>
          <w:tcPr>
            <w:tcW w:w="840" w:type="dxa"/>
            <w:vAlign w:val="center"/>
          </w:tcPr>
          <w:p w14:paraId="281A6DB6" w14:textId="77777777" w:rsidR="007165CB" w:rsidRPr="000711BB" w:rsidRDefault="007165CB" w:rsidP="006832F8">
            <w:pPr>
              <w:jc w:val="center"/>
              <w:rPr>
                <w:sz w:val="20"/>
                <w:szCs w:val="20"/>
              </w:rPr>
            </w:pPr>
            <w:r w:rsidRPr="000711BB">
              <w:rPr>
                <w:rFonts w:eastAsia="Times New Roman"/>
                <w:sz w:val="20"/>
                <w:szCs w:val="20"/>
              </w:rPr>
              <w:t>21</w:t>
            </w:r>
          </w:p>
        </w:tc>
        <w:tc>
          <w:tcPr>
            <w:tcW w:w="840" w:type="dxa"/>
            <w:vAlign w:val="center"/>
          </w:tcPr>
          <w:p w14:paraId="281A6DB7" w14:textId="77777777" w:rsidR="007165CB" w:rsidRPr="000711BB" w:rsidRDefault="007165CB" w:rsidP="006832F8">
            <w:pPr>
              <w:jc w:val="center"/>
              <w:rPr>
                <w:sz w:val="20"/>
                <w:szCs w:val="20"/>
              </w:rPr>
            </w:pPr>
            <w:r w:rsidRPr="000711BB">
              <w:rPr>
                <w:rFonts w:eastAsia="Times New Roman"/>
                <w:sz w:val="20"/>
                <w:szCs w:val="20"/>
              </w:rPr>
              <w:t>19</w:t>
            </w:r>
          </w:p>
        </w:tc>
        <w:tc>
          <w:tcPr>
            <w:tcW w:w="860" w:type="dxa"/>
            <w:vAlign w:val="center"/>
          </w:tcPr>
          <w:p w14:paraId="281A6DB8" w14:textId="77777777" w:rsidR="007165CB" w:rsidRPr="000711BB" w:rsidRDefault="007165CB" w:rsidP="006832F8">
            <w:pPr>
              <w:jc w:val="center"/>
              <w:rPr>
                <w:sz w:val="20"/>
                <w:szCs w:val="20"/>
              </w:rPr>
            </w:pPr>
            <w:r w:rsidRPr="000711BB">
              <w:rPr>
                <w:rFonts w:eastAsia="Times New Roman"/>
                <w:sz w:val="20"/>
                <w:szCs w:val="20"/>
              </w:rPr>
              <w:t>16</w:t>
            </w:r>
          </w:p>
        </w:tc>
        <w:tc>
          <w:tcPr>
            <w:tcW w:w="840" w:type="dxa"/>
            <w:vAlign w:val="center"/>
          </w:tcPr>
          <w:p w14:paraId="281A6DB9" w14:textId="77777777" w:rsidR="007165CB" w:rsidRPr="000711BB" w:rsidRDefault="007165CB" w:rsidP="006832F8">
            <w:pPr>
              <w:jc w:val="center"/>
              <w:rPr>
                <w:sz w:val="20"/>
                <w:szCs w:val="20"/>
              </w:rPr>
            </w:pPr>
            <w:r w:rsidRPr="000711BB">
              <w:rPr>
                <w:rFonts w:eastAsia="Times New Roman"/>
                <w:sz w:val="20"/>
                <w:szCs w:val="20"/>
              </w:rPr>
              <w:t>13</w:t>
            </w:r>
          </w:p>
        </w:tc>
        <w:tc>
          <w:tcPr>
            <w:tcW w:w="840" w:type="dxa"/>
            <w:vAlign w:val="center"/>
          </w:tcPr>
          <w:p w14:paraId="281A6DBA" w14:textId="77777777" w:rsidR="007165CB" w:rsidRPr="000711BB" w:rsidRDefault="007165CB" w:rsidP="006832F8">
            <w:pPr>
              <w:jc w:val="center"/>
              <w:rPr>
                <w:sz w:val="20"/>
                <w:szCs w:val="20"/>
              </w:rPr>
            </w:pPr>
            <w:r w:rsidRPr="000711BB">
              <w:rPr>
                <w:rFonts w:eastAsia="Times New Roman"/>
                <w:sz w:val="20"/>
                <w:szCs w:val="20"/>
              </w:rPr>
              <w:t>9.9</w:t>
            </w:r>
          </w:p>
        </w:tc>
        <w:tc>
          <w:tcPr>
            <w:tcW w:w="860" w:type="dxa"/>
            <w:vAlign w:val="center"/>
          </w:tcPr>
          <w:p w14:paraId="281A6DBB" w14:textId="77777777" w:rsidR="007165CB" w:rsidRPr="000711BB" w:rsidRDefault="007165CB" w:rsidP="006832F8">
            <w:pPr>
              <w:jc w:val="center"/>
              <w:rPr>
                <w:sz w:val="20"/>
                <w:szCs w:val="20"/>
              </w:rPr>
            </w:pPr>
            <w:r w:rsidRPr="000711BB">
              <w:rPr>
                <w:rFonts w:eastAsia="Times New Roman"/>
                <w:sz w:val="20"/>
                <w:szCs w:val="20"/>
              </w:rPr>
              <w:t>6.2</w:t>
            </w:r>
          </w:p>
        </w:tc>
        <w:tc>
          <w:tcPr>
            <w:tcW w:w="840" w:type="dxa"/>
            <w:vAlign w:val="center"/>
          </w:tcPr>
          <w:p w14:paraId="281A6DBC" w14:textId="77777777" w:rsidR="007165CB" w:rsidRPr="000711BB" w:rsidRDefault="007165CB" w:rsidP="006832F8">
            <w:pPr>
              <w:jc w:val="center"/>
              <w:rPr>
                <w:sz w:val="20"/>
                <w:szCs w:val="20"/>
              </w:rPr>
            </w:pPr>
            <w:r w:rsidRPr="000711BB">
              <w:rPr>
                <w:rFonts w:eastAsia="Times New Roman"/>
                <w:sz w:val="20"/>
                <w:szCs w:val="20"/>
              </w:rPr>
              <w:t>3.9</w:t>
            </w:r>
          </w:p>
        </w:tc>
        <w:tc>
          <w:tcPr>
            <w:tcW w:w="840" w:type="dxa"/>
            <w:vAlign w:val="center"/>
          </w:tcPr>
          <w:p w14:paraId="281A6DBD" w14:textId="77777777" w:rsidR="007165CB" w:rsidRPr="000711BB" w:rsidRDefault="007165CB" w:rsidP="006832F8">
            <w:pPr>
              <w:jc w:val="center"/>
              <w:rPr>
                <w:sz w:val="20"/>
                <w:szCs w:val="20"/>
              </w:rPr>
            </w:pPr>
            <w:r w:rsidRPr="000711BB">
              <w:rPr>
                <w:rFonts w:eastAsia="Times New Roman"/>
                <w:sz w:val="20"/>
                <w:szCs w:val="20"/>
              </w:rPr>
              <w:t>2.5</w:t>
            </w:r>
          </w:p>
        </w:tc>
        <w:tc>
          <w:tcPr>
            <w:tcW w:w="840" w:type="dxa"/>
            <w:vAlign w:val="center"/>
          </w:tcPr>
          <w:p w14:paraId="281A6DBE" w14:textId="77777777" w:rsidR="007165CB" w:rsidRPr="000711BB" w:rsidRDefault="007165CB" w:rsidP="006832F8">
            <w:pPr>
              <w:jc w:val="center"/>
              <w:rPr>
                <w:sz w:val="20"/>
                <w:szCs w:val="20"/>
              </w:rPr>
            </w:pPr>
            <w:r w:rsidRPr="000711BB">
              <w:rPr>
                <w:rFonts w:eastAsia="Times New Roman"/>
                <w:sz w:val="20"/>
                <w:szCs w:val="20"/>
              </w:rPr>
              <w:t>1.6</w:t>
            </w:r>
          </w:p>
        </w:tc>
      </w:tr>
      <w:tr w:rsidR="007165CB" w:rsidRPr="007165CB" w14:paraId="281A6DDE" w14:textId="77777777" w:rsidTr="000711BB">
        <w:trPr>
          <w:trHeight w:val="362"/>
        </w:trPr>
        <w:tc>
          <w:tcPr>
            <w:tcW w:w="860" w:type="dxa"/>
            <w:vAlign w:val="center"/>
          </w:tcPr>
          <w:p w14:paraId="281A6DD1" w14:textId="77777777" w:rsidR="007165CB" w:rsidRPr="000711BB" w:rsidRDefault="007165CB" w:rsidP="006832F8">
            <w:pPr>
              <w:jc w:val="center"/>
              <w:rPr>
                <w:sz w:val="20"/>
                <w:szCs w:val="20"/>
              </w:rPr>
            </w:pPr>
            <w:r w:rsidRPr="000711BB">
              <w:rPr>
                <w:rFonts w:eastAsia="Times New Roman"/>
                <w:sz w:val="20"/>
                <w:szCs w:val="20"/>
              </w:rPr>
              <w:t>1.5</w:t>
            </w:r>
          </w:p>
        </w:tc>
        <w:tc>
          <w:tcPr>
            <w:tcW w:w="840" w:type="dxa"/>
            <w:vAlign w:val="center"/>
          </w:tcPr>
          <w:p w14:paraId="281A6DD2" w14:textId="77777777" w:rsidR="007165CB" w:rsidRPr="000711BB" w:rsidRDefault="007165CB" w:rsidP="006832F8">
            <w:pPr>
              <w:jc w:val="center"/>
              <w:rPr>
                <w:sz w:val="20"/>
                <w:szCs w:val="20"/>
              </w:rPr>
            </w:pPr>
            <w:r w:rsidRPr="000711BB">
              <w:rPr>
                <w:rFonts w:eastAsia="Times New Roman"/>
                <w:sz w:val="20"/>
                <w:szCs w:val="20"/>
              </w:rPr>
              <w:t>36</w:t>
            </w:r>
          </w:p>
        </w:tc>
        <w:tc>
          <w:tcPr>
            <w:tcW w:w="860" w:type="dxa"/>
            <w:vAlign w:val="center"/>
          </w:tcPr>
          <w:p w14:paraId="281A6DD3" w14:textId="77777777" w:rsidR="007165CB" w:rsidRPr="000711BB" w:rsidRDefault="007165CB" w:rsidP="006832F8">
            <w:pPr>
              <w:jc w:val="center"/>
              <w:rPr>
                <w:sz w:val="20"/>
                <w:szCs w:val="20"/>
              </w:rPr>
            </w:pPr>
            <w:r w:rsidRPr="000711BB">
              <w:rPr>
                <w:rFonts w:eastAsia="Times New Roman"/>
                <w:sz w:val="20"/>
                <w:szCs w:val="20"/>
              </w:rPr>
              <w:t>35</w:t>
            </w:r>
          </w:p>
        </w:tc>
        <w:tc>
          <w:tcPr>
            <w:tcW w:w="840" w:type="dxa"/>
            <w:vAlign w:val="center"/>
          </w:tcPr>
          <w:p w14:paraId="281A6DD4" w14:textId="77777777" w:rsidR="007165CB" w:rsidRPr="000711BB" w:rsidRDefault="007165CB" w:rsidP="006832F8">
            <w:pPr>
              <w:jc w:val="center"/>
              <w:rPr>
                <w:sz w:val="20"/>
                <w:szCs w:val="20"/>
              </w:rPr>
            </w:pPr>
            <w:r w:rsidRPr="000711BB">
              <w:rPr>
                <w:rFonts w:eastAsia="Times New Roman"/>
                <w:sz w:val="20"/>
                <w:szCs w:val="20"/>
              </w:rPr>
              <w:t>31</w:t>
            </w:r>
          </w:p>
        </w:tc>
        <w:tc>
          <w:tcPr>
            <w:tcW w:w="840" w:type="dxa"/>
            <w:vAlign w:val="center"/>
          </w:tcPr>
          <w:p w14:paraId="281A6DD5" w14:textId="77777777" w:rsidR="007165CB" w:rsidRPr="000711BB" w:rsidRDefault="007165CB" w:rsidP="006832F8">
            <w:pPr>
              <w:jc w:val="center"/>
              <w:rPr>
                <w:sz w:val="20"/>
                <w:szCs w:val="20"/>
              </w:rPr>
            </w:pPr>
            <w:r w:rsidRPr="000711BB">
              <w:rPr>
                <w:rFonts w:eastAsia="Times New Roman"/>
                <w:sz w:val="20"/>
                <w:szCs w:val="20"/>
              </w:rPr>
              <w:t>29</w:t>
            </w:r>
          </w:p>
        </w:tc>
        <w:tc>
          <w:tcPr>
            <w:tcW w:w="860" w:type="dxa"/>
            <w:vAlign w:val="center"/>
          </w:tcPr>
          <w:p w14:paraId="281A6DD6" w14:textId="77777777" w:rsidR="007165CB" w:rsidRPr="000711BB" w:rsidRDefault="007165CB" w:rsidP="006832F8">
            <w:pPr>
              <w:jc w:val="center"/>
              <w:rPr>
                <w:sz w:val="20"/>
                <w:szCs w:val="20"/>
              </w:rPr>
            </w:pPr>
            <w:r w:rsidRPr="000711BB">
              <w:rPr>
                <w:rFonts w:eastAsia="Times New Roman"/>
                <w:sz w:val="20"/>
                <w:szCs w:val="20"/>
              </w:rPr>
              <w:t>24</w:t>
            </w:r>
          </w:p>
        </w:tc>
        <w:tc>
          <w:tcPr>
            <w:tcW w:w="840" w:type="dxa"/>
            <w:vAlign w:val="center"/>
          </w:tcPr>
          <w:p w14:paraId="281A6DD7" w14:textId="77777777" w:rsidR="007165CB" w:rsidRPr="000711BB" w:rsidRDefault="007165CB" w:rsidP="006832F8">
            <w:pPr>
              <w:jc w:val="center"/>
              <w:rPr>
                <w:sz w:val="20"/>
                <w:szCs w:val="20"/>
              </w:rPr>
            </w:pPr>
            <w:r w:rsidRPr="000711BB">
              <w:rPr>
                <w:rFonts w:eastAsia="Times New Roman"/>
                <w:sz w:val="20"/>
                <w:szCs w:val="20"/>
              </w:rPr>
              <w:t>20</w:t>
            </w:r>
          </w:p>
        </w:tc>
        <w:tc>
          <w:tcPr>
            <w:tcW w:w="840" w:type="dxa"/>
            <w:vAlign w:val="center"/>
          </w:tcPr>
          <w:p w14:paraId="281A6DD8" w14:textId="77777777" w:rsidR="007165CB" w:rsidRPr="000711BB" w:rsidRDefault="007165CB" w:rsidP="006832F8">
            <w:pPr>
              <w:jc w:val="center"/>
              <w:rPr>
                <w:sz w:val="20"/>
                <w:szCs w:val="20"/>
              </w:rPr>
            </w:pPr>
            <w:r w:rsidRPr="000711BB">
              <w:rPr>
                <w:rFonts w:eastAsia="Times New Roman"/>
                <w:sz w:val="20"/>
                <w:szCs w:val="20"/>
              </w:rPr>
              <w:t>15</w:t>
            </w:r>
          </w:p>
        </w:tc>
        <w:tc>
          <w:tcPr>
            <w:tcW w:w="860" w:type="dxa"/>
            <w:vAlign w:val="center"/>
          </w:tcPr>
          <w:p w14:paraId="281A6DD9" w14:textId="77777777" w:rsidR="007165CB" w:rsidRPr="000711BB" w:rsidRDefault="007165CB" w:rsidP="006832F8">
            <w:pPr>
              <w:jc w:val="center"/>
              <w:rPr>
                <w:sz w:val="20"/>
                <w:szCs w:val="20"/>
              </w:rPr>
            </w:pPr>
            <w:r w:rsidRPr="000711BB">
              <w:rPr>
                <w:rFonts w:eastAsia="Times New Roman"/>
                <w:sz w:val="20"/>
                <w:szCs w:val="20"/>
              </w:rPr>
              <w:t>9.3</w:t>
            </w:r>
          </w:p>
        </w:tc>
        <w:tc>
          <w:tcPr>
            <w:tcW w:w="840" w:type="dxa"/>
            <w:vAlign w:val="center"/>
          </w:tcPr>
          <w:p w14:paraId="281A6DDA" w14:textId="77777777" w:rsidR="007165CB" w:rsidRPr="000711BB" w:rsidRDefault="007165CB" w:rsidP="006832F8">
            <w:pPr>
              <w:jc w:val="center"/>
              <w:rPr>
                <w:sz w:val="20"/>
                <w:szCs w:val="20"/>
              </w:rPr>
            </w:pPr>
            <w:r w:rsidRPr="000711BB">
              <w:rPr>
                <w:rFonts w:eastAsia="Times New Roman"/>
                <w:sz w:val="20"/>
                <w:szCs w:val="20"/>
              </w:rPr>
              <w:t>5.9</w:t>
            </w:r>
          </w:p>
        </w:tc>
        <w:tc>
          <w:tcPr>
            <w:tcW w:w="840" w:type="dxa"/>
            <w:vAlign w:val="center"/>
          </w:tcPr>
          <w:p w14:paraId="281A6DDB" w14:textId="77777777" w:rsidR="007165CB" w:rsidRPr="000711BB" w:rsidRDefault="007165CB" w:rsidP="006832F8">
            <w:pPr>
              <w:jc w:val="center"/>
              <w:rPr>
                <w:sz w:val="20"/>
                <w:szCs w:val="20"/>
              </w:rPr>
            </w:pPr>
            <w:r w:rsidRPr="000711BB">
              <w:rPr>
                <w:rFonts w:eastAsia="Times New Roman"/>
                <w:sz w:val="20"/>
                <w:szCs w:val="20"/>
              </w:rPr>
              <w:t>3.7</w:t>
            </w:r>
          </w:p>
        </w:tc>
        <w:tc>
          <w:tcPr>
            <w:tcW w:w="840" w:type="dxa"/>
            <w:vAlign w:val="center"/>
          </w:tcPr>
          <w:p w14:paraId="281A6DDC" w14:textId="77777777" w:rsidR="007165CB" w:rsidRPr="000711BB" w:rsidRDefault="007165CB" w:rsidP="006832F8">
            <w:pPr>
              <w:jc w:val="center"/>
              <w:rPr>
                <w:sz w:val="20"/>
                <w:szCs w:val="20"/>
              </w:rPr>
            </w:pPr>
            <w:r w:rsidRPr="000711BB">
              <w:rPr>
                <w:rFonts w:eastAsia="Times New Roman"/>
                <w:sz w:val="20"/>
                <w:szCs w:val="20"/>
              </w:rPr>
              <w:t>2.4</w:t>
            </w:r>
          </w:p>
        </w:tc>
      </w:tr>
      <w:tr w:rsidR="007165CB" w:rsidRPr="007165CB" w14:paraId="281A6DFC" w14:textId="77777777" w:rsidTr="000711BB">
        <w:trPr>
          <w:trHeight w:val="364"/>
        </w:trPr>
        <w:tc>
          <w:tcPr>
            <w:tcW w:w="860" w:type="dxa"/>
            <w:vAlign w:val="center"/>
          </w:tcPr>
          <w:p w14:paraId="281A6DEF" w14:textId="77777777" w:rsidR="007165CB" w:rsidRPr="000711BB" w:rsidRDefault="007165CB" w:rsidP="006832F8">
            <w:pPr>
              <w:jc w:val="center"/>
              <w:rPr>
                <w:sz w:val="20"/>
                <w:szCs w:val="20"/>
              </w:rPr>
            </w:pPr>
            <w:r w:rsidRPr="000711BB">
              <w:rPr>
                <w:rFonts w:eastAsia="Times New Roman"/>
                <w:sz w:val="20"/>
                <w:szCs w:val="20"/>
              </w:rPr>
              <w:t>2.0</w:t>
            </w:r>
          </w:p>
        </w:tc>
        <w:tc>
          <w:tcPr>
            <w:tcW w:w="840" w:type="dxa"/>
            <w:vAlign w:val="center"/>
          </w:tcPr>
          <w:p w14:paraId="281A6DF0" w14:textId="77777777" w:rsidR="007165CB" w:rsidRPr="000711BB" w:rsidRDefault="007165CB" w:rsidP="006832F8">
            <w:pPr>
              <w:jc w:val="center"/>
              <w:rPr>
                <w:sz w:val="20"/>
                <w:szCs w:val="20"/>
              </w:rPr>
            </w:pPr>
            <w:r w:rsidRPr="000711BB">
              <w:rPr>
                <w:rFonts w:eastAsia="Times New Roman"/>
                <w:sz w:val="20"/>
                <w:szCs w:val="20"/>
              </w:rPr>
              <w:t>48</w:t>
            </w:r>
          </w:p>
        </w:tc>
        <w:tc>
          <w:tcPr>
            <w:tcW w:w="860" w:type="dxa"/>
            <w:vAlign w:val="center"/>
          </w:tcPr>
          <w:p w14:paraId="281A6DF1" w14:textId="77777777" w:rsidR="007165CB" w:rsidRPr="000711BB" w:rsidRDefault="007165CB" w:rsidP="006832F8">
            <w:pPr>
              <w:jc w:val="center"/>
              <w:rPr>
                <w:sz w:val="20"/>
                <w:szCs w:val="20"/>
              </w:rPr>
            </w:pPr>
            <w:r w:rsidRPr="000711BB">
              <w:rPr>
                <w:rFonts w:eastAsia="Times New Roman"/>
                <w:sz w:val="20"/>
                <w:szCs w:val="20"/>
              </w:rPr>
              <w:t>46</w:t>
            </w:r>
          </w:p>
        </w:tc>
        <w:tc>
          <w:tcPr>
            <w:tcW w:w="840" w:type="dxa"/>
            <w:vAlign w:val="center"/>
          </w:tcPr>
          <w:p w14:paraId="281A6DF2" w14:textId="77777777" w:rsidR="007165CB" w:rsidRPr="000711BB" w:rsidRDefault="007165CB" w:rsidP="006832F8">
            <w:pPr>
              <w:jc w:val="center"/>
              <w:rPr>
                <w:sz w:val="20"/>
                <w:szCs w:val="20"/>
              </w:rPr>
            </w:pPr>
            <w:r w:rsidRPr="000711BB">
              <w:rPr>
                <w:rFonts w:eastAsia="Times New Roman"/>
                <w:sz w:val="20"/>
                <w:szCs w:val="20"/>
              </w:rPr>
              <w:t>42</w:t>
            </w:r>
          </w:p>
        </w:tc>
        <w:tc>
          <w:tcPr>
            <w:tcW w:w="840" w:type="dxa"/>
            <w:vAlign w:val="center"/>
          </w:tcPr>
          <w:p w14:paraId="281A6DF3" w14:textId="77777777" w:rsidR="007165CB" w:rsidRPr="000711BB" w:rsidRDefault="007165CB" w:rsidP="006832F8">
            <w:pPr>
              <w:jc w:val="center"/>
              <w:rPr>
                <w:sz w:val="20"/>
                <w:szCs w:val="20"/>
              </w:rPr>
            </w:pPr>
            <w:r w:rsidRPr="000711BB">
              <w:rPr>
                <w:rFonts w:eastAsia="Times New Roman"/>
                <w:sz w:val="20"/>
                <w:szCs w:val="20"/>
              </w:rPr>
              <w:t>38</w:t>
            </w:r>
          </w:p>
        </w:tc>
        <w:tc>
          <w:tcPr>
            <w:tcW w:w="860" w:type="dxa"/>
            <w:vAlign w:val="center"/>
          </w:tcPr>
          <w:p w14:paraId="281A6DF4" w14:textId="77777777" w:rsidR="007165CB" w:rsidRPr="000711BB" w:rsidRDefault="007165CB" w:rsidP="006832F8">
            <w:pPr>
              <w:jc w:val="center"/>
              <w:rPr>
                <w:sz w:val="20"/>
                <w:szCs w:val="20"/>
              </w:rPr>
            </w:pPr>
            <w:r w:rsidRPr="000711BB">
              <w:rPr>
                <w:rFonts w:eastAsia="Times New Roman"/>
                <w:sz w:val="20"/>
                <w:szCs w:val="20"/>
              </w:rPr>
              <w:t>32</w:t>
            </w:r>
          </w:p>
        </w:tc>
        <w:tc>
          <w:tcPr>
            <w:tcW w:w="840" w:type="dxa"/>
            <w:vAlign w:val="center"/>
          </w:tcPr>
          <w:p w14:paraId="281A6DF5" w14:textId="77777777" w:rsidR="007165CB" w:rsidRPr="000711BB" w:rsidRDefault="007165CB" w:rsidP="006832F8">
            <w:pPr>
              <w:jc w:val="center"/>
              <w:rPr>
                <w:sz w:val="20"/>
                <w:szCs w:val="20"/>
              </w:rPr>
            </w:pPr>
            <w:r w:rsidRPr="000711BB">
              <w:rPr>
                <w:rFonts w:eastAsia="Times New Roman"/>
                <w:sz w:val="20"/>
                <w:szCs w:val="20"/>
              </w:rPr>
              <w:t>26</w:t>
            </w:r>
          </w:p>
        </w:tc>
        <w:tc>
          <w:tcPr>
            <w:tcW w:w="840" w:type="dxa"/>
            <w:vAlign w:val="center"/>
          </w:tcPr>
          <w:p w14:paraId="281A6DF6" w14:textId="77777777" w:rsidR="007165CB" w:rsidRPr="000711BB" w:rsidRDefault="007165CB" w:rsidP="006832F8">
            <w:pPr>
              <w:jc w:val="center"/>
              <w:rPr>
                <w:sz w:val="20"/>
                <w:szCs w:val="20"/>
              </w:rPr>
            </w:pPr>
            <w:r w:rsidRPr="000711BB">
              <w:rPr>
                <w:rFonts w:eastAsia="Times New Roman"/>
                <w:sz w:val="20"/>
                <w:szCs w:val="20"/>
              </w:rPr>
              <w:t>20</w:t>
            </w:r>
          </w:p>
        </w:tc>
        <w:tc>
          <w:tcPr>
            <w:tcW w:w="860" w:type="dxa"/>
            <w:vAlign w:val="center"/>
          </w:tcPr>
          <w:p w14:paraId="281A6DF7" w14:textId="77777777" w:rsidR="007165CB" w:rsidRPr="000711BB" w:rsidRDefault="007165CB" w:rsidP="006832F8">
            <w:pPr>
              <w:jc w:val="center"/>
              <w:rPr>
                <w:sz w:val="20"/>
                <w:szCs w:val="20"/>
              </w:rPr>
            </w:pPr>
            <w:r w:rsidRPr="000711BB">
              <w:rPr>
                <w:rFonts w:eastAsia="Times New Roman"/>
                <w:sz w:val="20"/>
                <w:szCs w:val="20"/>
              </w:rPr>
              <w:t>12</w:t>
            </w:r>
          </w:p>
        </w:tc>
        <w:tc>
          <w:tcPr>
            <w:tcW w:w="840" w:type="dxa"/>
            <w:vAlign w:val="center"/>
          </w:tcPr>
          <w:p w14:paraId="281A6DF8" w14:textId="77777777" w:rsidR="007165CB" w:rsidRPr="000711BB" w:rsidRDefault="007165CB" w:rsidP="006832F8">
            <w:pPr>
              <w:jc w:val="center"/>
              <w:rPr>
                <w:sz w:val="20"/>
                <w:szCs w:val="20"/>
              </w:rPr>
            </w:pPr>
            <w:r w:rsidRPr="000711BB">
              <w:rPr>
                <w:rFonts w:eastAsia="Times New Roman"/>
                <w:sz w:val="20"/>
                <w:szCs w:val="20"/>
              </w:rPr>
              <w:t>7.8</w:t>
            </w:r>
          </w:p>
        </w:tc>
        <w:tc>
          <w:tcPr>
            <w:tcW w:w="840" w:type="dxa"/>
            <w:vAlign w:val="center"/>
          </w:tcPr>
          <w:p w14:paraId="281A6DF9" w14:textId="77777777" w:rsidR="007165CB" w:rsidRPr="000711BB" w:rsidRDefault="007165CB" w:rsidP="006832F8">
            <w:pPr>
              <w:jc w:val="center"/>
              <w:rPr>
                <w:sz w:val="20"/>
                <w:szCs w:val="20"/>
              </w:rPr>
            </w:pPr>
            <w:r w:rsidRPr="000711BB">
              <w:rPr>
                <w:rFonts w:eastAsia="Times New Roman"/>
                <w:sz w:val="20"/>
                <w:szCs w:val="20"/>
              </w:rPr>
              <w:t>4.9</w:t>
            </w:r>
          </w:p>
        </w:tc>
        <w:tc>
          <w:tcPr>
            <w:tcW w:w="840" w:type="dxa"/>
            <w:vAlign w:val="center"/>
          </w:tcPr>
          <w:p w14:paraId="281A6DFA" w14:textId="77777777" w:rsidR="007165CB" w:rsidRPr="000711BB" w:rsidRDefault="007165CB" w:rsidP="006832F8">
            <w:pPr>
              <w:jc w:val="center"/>
              <w:rPr>
                <w:sz w:val="20"/>
                <w:szCs w:val="20"/>
              </w:rPr>
            </w:pPr>
            <w:r w:rsidRPr="000711BB">
              <w:rPr>
                <w:rFonts w:eastAsia="Times New Roman"/>
                <w:sz w:val="20"/>
                <w:szCs w:val="20"/>
              </w:rPr>
              <w:t>3.1</w:t>
            </w:r>
          </w:p>
        </w:tc>
      </w:tr>
      <w:tr w:rsidR="007165CB" w:rsidRPr="007165CB" w14:paraId="281A6E1A" w14:textId="77777777" w:rsidTr="000711BB">
        <w:trPr>
          <w:trHeight w:val="362"/>
        </w:trPr>
        <w:tc>
          <w:tcPr>
            <w:tcW w:w="860" w:type="dxa"/>
            <w:vAlign w:val="center"/>
          </w:tcPr>
          <w:p w14:paraId="281A6E0D" w14:textId="77777777" w:rsidR="007165CB" w:rsidRPr="000711BB" w:rsidRDefault="007165CB" w:rsidP="006832F8">
            <w:pPr>
              <w:jc w:val="center"/>
              <w:rPr>
                <w:sz w:val="20"/>
                <w:szCs w:val="20"/>
              </w:rPr>
            </w:pPr>
            <w:r w:rsidRPr="000711BB">
              <w:rPr>
                <w:rFonts w:eastAsia="Times New Roman"/>
                <w:sz w:val="20"/>
                <w:szCs w:val="20"/>
              </w:rPr>
              <w:t>2.5</w:t>
            </w:r>
          </w:p>
        </w:tc>
        <w:tc>
          <w:tcPr>
            <w:tcW w:w="840" w:type="dxa"/>
            <w:vAlign w:val="center"/>
          </w:tcPr>
          <w:p w14:paraId="281A6E0E" w14:textId="77777777" w:rsidR="007165CB" w:rsidRPr="000711BB" w:rsidRDefault="007165CB" w:rsidP="006832F8">
            <w:pPr>
              <w:jc w:val="center"/>
              <w:rPr>
                <w:sz w:val="20"/>
                <w:szCs w:val="20"/>
              </w:rPr>
            </w:pPr>
            <w:r w:rsidRPr="000711BB">
              <w:rPr>
                <w:rFonts w:eastAsia="Times New Roman"/>
                <w:sz w:val="20"/>
                <w:szCs w:val="20"/>
              </w:rPr>
              <w:t>60</w:t>
            </w:r>
          </w:p>
        </w:tc>
        <w:tc>
          <w:tcPr>
            <w:tcW w:w="860" w:type="dxa"/>
            <w:vAlign w:val="center"/>
          </w:tcPr>
          <w:p w14:paraId="281A6E0F" w14:textId="77777777" w:rsidR="007165CB" w:rsidRPr="000711BB" w:rsidRDefault="007165CB" w:rsidP="006832F8">
            <w:pPr>
              <w:jc w:val="center"/>
              <w:rPr>
                <w:sz w:val="20"/>
                <w:szCs w:val="20"/>
              </w:rPr>
            </w:pPr>
            <w:r w:rsidRPr="000711BB">
              <w:rPr>
                <w:rFonts w:eastAsia="Times New Roman"/>
                <w:sz w:val="20"/>
                <w:szCs w:val="20"/>
              </w:rPr>
              <w:t>58</w:t>
            </w:r>
          </w:p>
        </w:tc>
        <w:tc>
          <w:tcPr>
            <w:tcW w:w="840" w:type="dxa"/>
            <w:vAlign w:val="center"/>
          </w:tcPr>
          <w:p w14:paraId="281A6E10" w14:textId="77777777" w:rsidR="007165CB" w:rsidRPr="000711BB" w:rsidRDefault="007165CB" w:rsidP="006832F8">
            <w:pPr>
              <w:jc w:val="center"/>
              <w:rPr>
                <w:sz w:val="20"/>
                <w:szCs w:val="20"/>
              </w:rPr>
            </w:pPr>
            <w:r w:rsidRPr="000711BB">
              <w:rPr>
                <w:rFonts w:eastAsia="Times New Roman"/>
                <w:sz w:val="20"/>
                <w:szCs w:val="20"/>
              </w:rPr>
              <w:t>52</w:t>
            </w:r>
          </w:p>
        </w:tc>
        <w:tc>
          <w:tcPr>
            <w:tcW w:w="840" w:type="dxa"/>
            <w:vAlign w:val="center"/>
          </w:tcPr>
          <w:p w14:paraId="281A6E11" w14:textId="77777777" w:rsidR="007165CB" w:rsidRPr="000711BB" w:rsidRDefault="007165CB" w:rsidP="006832F8">
            <w:pPr>
              <w:jc w:val="center"/>
              <w:rPr>
                <w:sz w:val="20"/>
                <w:szCs w:val="20"/>
              </w:rPr>
            </w:pPr>
            <w:r w:rsidRPr="000711BB">
              <w:rPr>
                <w:rFonts w:eastAsia="Times New Roman"/>
                <w:sz w:val="20"/>
                <w:szCs w:val="20"/>
              </w:rPr>
              <w:t>48</w:t>
            </w:r>
          </w:p>
        </w:tc>
        <w:tc>
          <w:tcPr>
            <w:tcW w:w="860" w:type="dxa"/>
            <w:vAlign w:val="center"/>
          </w:tcPr>
          <w:p w14:paraId="281A6E12" w14:textId="77777777" w:rsidR="007165CB" w:rsidRPr="000711BB" w:rsidRDefault="007165CB" w:rsidP="006832F8">
            <w:pPr>
              <w:jc w:val="center"/>
              <w:rPr>
                <w:sz w:val="20"/>
                <w:szCs w:val="20"/>
              </w:rPr>
            </w:pPr>
            <w:r w:rsidRPr="000711BB">
              <w:rPr>
                <w:rFonts w:eastAsia="Times New Roman"/>
                <w:sz w:val="20"/>
                <w:szCs w:val="20"/>
              </w:rPr>
              <w:t>40</w:t>
            </w:r>
          </w:p>
        </w:tc>
        <w:tc>
          <w:tcPr>
            <w:tcW w:w="840" w:type="dxa"/>
            <w:vAlign w:val="center"/>
          </w:tcPr>
          <w:p w14:paraId="281A6E13" w14:textId="77777777" w:rsidR="007165CB" w:rsidRPr="000711BB" w:rsidRDefault="007165CB" w:rsidP="006832F8">
            <w:pPr>
              <w:jc w:val="center"/>
              <w:rPr>
                <w:sz w:val="20"/>
                <w:szCs w:val="20"/>
              </w:rPr>
            </w:pPr>
            <w:r w:rsidRPr="000711BB">
              <w:rPr>
                <w:rFonts w:eastAsia="Times New Roman"/>
                <w:sz w:val="20"/>
                <w:szCs w:val="20"/>
              </w:rPr>
              <w:t>33</w:t>
            </w:r>
          </w:p>
        </w:tc>
        <w:tc>
          <w:tcPr>
            <w:tcW w:w="840" w:type="dxa"/>
            <w:vAlign w:val="center"/>
          </w:tcPr>
          <w:p w14:paraId="281A6E14" w14:textId="77777777" w:rsidR="007165CB" w:rsidRPr="000711BB" w:rsidRDefault="007165CB" w:rsidP="006832F8">
            <w:pPr>
              <w:jc w:val="center"/>
              <w:rPr>
                <w:sz w:val="20"/>
                <w:szCs w:val="20"/>
              </w:rPr>
            </w:pPr>
            <w:r w:rsidRPr="000711BB">
              <w:rPr>
                <w:rFonts w:eastAsia="Times New Roman"/>
                <w:sz w:val="20"/>
                <w:szCs w:val="20"/>
              </w:rPr>
              <w:t>25</w:t>
            </w:r>
          </w:p>
        </w:tc>
        <w:tc>
          <w:tcPr>
            <w:tcW w:w="860" w:type="dxa"/>
            <w:vAlign w:val="center"/>
          </w:tcPr>
          <w:p w14:paraId="281A6E15" w14:textId="77777777" w:rsidR="007165CB" w:rsidRPr="000711BB" w:rsidRDefault="007165CB" w:rsidP="006832F8">
            <w:pPr>
              <w:jc w:val="center"/>
              <w:rPr>
                <w:sz w:val="20"/>
                <w:szCs w:val="20"/>
              </w:rPr>
            </w:pPr>
            <w:r w:rsidRPr="000711BB">
              <w:rPr>
                <w:rFonts w:eastAsia="Times New Roman"/>
                <w:sz w:val="20"/>
                <w:szCs w:val="20"/>
              </w:rPr>
              <w:t>16</w:t>
            </w:r>
          </w:p>
        </w:tc>
        <w:tc>
          <w:tcPr>
            <w:tcW w:w="840" w:type="dxa"/>
            <w:vAlign w:val="center"/>
          </w:tcPr>
          <w:p w14:paraId="281A6E16" w14:textId="77777777" w:rsidR="007165CB" w:rsidRPr="000711BB" w:rsidRDefault="007165CB" w:rsidP="006832F8">
            <w:pPr>
              <w:jc w:val="center"/>
              <w:rPr>
                <w:sz w:val="20"/>
                <w:szCs w:val="20"/>
              </w:rPr>
            </w:pPr>
            <w:r w:rsidRPr="000711BB">
              <w:rPr>
                <w:rFonts w:eastAsia="Times New Roman"/>
                <w:sz w:val="20"/>
                <w:szCs w:val="20"/>
              </w:rPr>
              <w:t>9.8</w:t>
            </w:r>
          </w:p>
        </w:tc>
        <w:tc>
          <w:tcPr>
            <w:tcW w:w="840" w:type="dxa"/>
            <w:vAlign w:val="center"/>
          </w:tcPr>
          <w:p w14:paraId="281A6E17" w14:textId="77777777" w:rsidR="007165CB" w:rsidRPr="000711BB" w:rsidRDefault="007165CB" w:rsidP="006832F8">
            <w:pPr>
              <w:jc w:val="center"/>
              <w:rPr>
                <w:sz w:val="20"/>
                <w:szCs w:val="20"/>
              </w:rPr>
            </w:pPr>
            <w:r w:rsidRPr="000711BB">
              <w:rPr>
                <w:rFonts w:eastAsia="Times New Roman"/>
                <w:sz w:val="20"/>
                <w:szCs w:val="20"/>
              </w:rPr>
              <w:t>6.2</w:t>
            </w:r>
          </w:p>
        </w:tc>
        <w:tc>
          <w:tcPr>
            <w:tcW w:w="840" w:type="dxa"/>
            <w:vAlign w:val="center"/>
          </w:tcPr>
          <w:p w14:paraId="281A6E18" w14:textId="77777777" w:rsidR="007165CB" w:rsidRPr="000711BB" w:rsidRDefault="007165CB" w:rsidP="006832F8">
            <w:pPr>
              <w:jc w:val="center"/>
              <w:rPr>
                <w:sz w:val="20"/>
                <w:szCs w:val="20"/>
              </w:rPr>
            </w:pPr>
            <w:r w:rsidRPr="000711BB">
              <w:rPr>
                <w:rFonts w:eastAsia="Times New Roman"/>
                <w:sz w:val="20"/>
                <w:szCs w:val="20"/>
              </w:rPr>
              <w:t>3.9</w:t>
            </w:r>
          </w:p>
        </w:tc>
      </w:tr>
      <w:tr w:rsidR="007165CB" w:rsidRPr="007165CB" w14:paraId="281A6E38" w14:textId="77777777" w:rsidTr="000711BB">
        <w:trPr>
          <w:trHeight w:val="364"/>
        </w:trPr>
        <w:tc>
          <w:tcPr>
            <w:tcW w:w="860" w:type="dxa"/>
            <w:vAlign w:val="center"/>
          </w:tcPr>
          <w:p w14:paraId="281A6E2B" w14:textId="77777777" w:rsidR="007165CB" w:rsidRPr="000711BB" w:rsidRDefault="007165CB" w:rsidP="006832F8">
            <w:pPr>
              <w:jc w:val="center"/>
              <w:rPr>
                <w:sz w:val="20"/>
                <w:szCs w:val="20"/>
              </w:rPr>
            </w:pPr>
            <w:r w:rsidRPr="000711BB">
              <w:rPr>
                <w:rFonts w:eastAsia="Times New Roman"/>
                <w:sz w:val="20"/>
                <w:szCs w:val="20"/>
              </w:rPr>
              <w:t>3.0</w:t>
            </w:r>
          </w:p>
        </w:tc>
        <w:tc>
          <w:tcPr>
            <w:tcW w:w="840" w:type="dxa"/>
            <w:vAlign w:val="center"/>
          </w:tcPr>
          <w:p w14:paraId="281A6E2C" w14:textId="77777777" w:rsidR="007165CB" w:rsidRPr="000711BB" w:rsidRDefault="007165CB" w:rsidP="006832F8">
            <w:pPr>
              <w:jc w:val="center"/>
              <w:rPr>
                <w:sz w:val="20"/>
                <w:szCs w:val="20"/>
              </w:rPr>
            </w:pPr>
            <w:r w:rsidRPr="000711BB">
              <w:rPr>
                <w:rFonts w:eastAsia="Times New Roman"/>
                <w:sz w:val="20"/>
                <w:szCs w:val="20"/>
              </w:rPr>
              <w:t>72</w:t>
            </w:r>
          </w:p>
        </w:tc>
        <w:tc>
          <w:tcPr>
            <w:tcW w:w="860" w:type="dxa"/>
            <w:vAlign w:val="center"/>
          </w:tcPr>
          <w:p w14:paraId="281A6E2D" w14:textId="77777777" w:rsidR="007165CB" w:rsidRPr="000711BB" w:rsidRDefault="007165CB" w:rsidP="006832F8">
            <w:pPr>
              <w:jc w:val="center"/>
              <w:rPr>
                <w:sz w:val="20"/>
                <w:szCs w:val="20"/>
              </w:rPr>
            </w:pPr>
            <w:r w:rsidRPr="000711BB">
              <w:rPr>
                <w:rFonts w:eastAsia="Times New Roman"/>
                <w:sz w:val="20"/>
                <w:szCs w:val="20"/>
              </w:rPr>
              <w:t>69</w:t>
            </w:r>
          </w:p>
        </w:tc>
        <w:tc>
          <w:tcPr>
            <w:tcW w:w="840" w:type="dxa"/>
            <w:vAlign w:val="center"/>
          </w:tcPr>
          <w:p w14:paraId="281A6E2E" w14:textId="77777777" w:rsidR="007165CB" w:rsidRPr="000711BB" w:rsidRDefault="007165CB" w:rsidP="006832F8">
            <w:pPr>
              <w:jc w:val="center"/>
              <w:rPr>
                <w:sz w:val="20"/>
                <w:szCs w:val="20"/>
              </w:rPr>
            </w:pPr>
            <w:r w:rsidRPr="000711BB">
              <w:rPr>
                <w:rFonts w:eastAsia="Times New Roman"/>
                <w:sz w:val="20"/>
                <w:szCs w:val="20"/>
              </w:rPr>
              <w:t>63</w:t>
            </w:r>
          </w:p>
        </w:tc>
        <w:tc>
          <w:tcPr>
            <w:tcW w:w="840" w:type="dxa"/>
            <w:vAlign w:val="center"/>
          </w:tcPr>
          <w:p w14:paraId="281A6E2F" w14:textId="77777777" w:rsidR="007165CB" w:rsidRPr="000711BB" w:rsidRDefault="007165CB" w:rsidP="006832F8">
            <w:pPr>
              <w:jc w:val="center"/>
              <w:rPr>
                <w:sz w:val="20"/>
                <w:szCs w:val="20"/>
              </w:rPr>
            </w:pPr>
            <w:r w:rsidRPr="000711BB">
              <w:rPr>
                <w:rFonts w:eastAsia="Times New Roman"/>
                <w:sz w:val="20"/>
                <w:szCs w:val="20"/>
              </w:rPr>
              <w:t>57</w:t>
            </w:r>
          </w:p>
        </w:tc>
        <w:tc>
          <w:tcPr>
            <w:tcW w:w="860" w:type="dxa"/>
            <w:vAlign w:val="center"/>
          </w:tcPr>
          <w:p w14:paraId="281A6E30" w14:textId="77777777" w:rsidR="007165CB" w:rsidRPr="000711BB" w:rsidRDefault="007165CB" w:rsidP="006832F8">
            <w:pPr>
              <w:jc w:val="center"/>
              <w:rPr>
                <w:sz w:val="20"/>
                <w:szCs w:val="20"/>
              </w:rPr>
            </w:pPr>
            <w:r w:rsidRPr="000711BB">
              <w:rPr>
                <w:rFonts w:eastAsia="Times New Roman"/>
                <w:sz w:val="20"/>
                <w:szCs w:val="20"/>
              </w:rPr>
              <w:t>47</w:t>
            </w:r>
          </w:p>
        </w:tc>
        <w:tc>
          <w:tcPr>
            <w:tcW w:w="840" w:type="dxa"/>
            <w:vAlign w:val="center"/>
          </w:tcPr>
          <w:p w14:paraId="281A6E31" w14:textId="77777777" w:rsidR="007165CB" w:rsidRPr="000711BB" w:rsidRDefault="007165CB" w:rsidP="006832F8">
            <w:pPr>
              <w:jc w:val="center"/>
              <w:rPr>
                <w:sz w:val="20"/>
                <w:szCs w:val="20"/>
              </w:rPr>
            </w:pPr>
            <w:r w:rsidRPr="000711BB">
              <w:rPr>
                <w:rFonts w:eastAsia="Times New Roman"/>
                <w:sz w:val="20"/>
                <w:szCs w:val="20"/>
              </w:rPr>
              <w:t>39</w:t>
            </w:r>
          </w:p>
        </w:tc>
        <w:tc>
          <w:tcPr>
            <w:tcW w:w="840" w:type="dxa"/>
            <w:vAlign w:val="center"/>
          </w:tcPr>
          <w:p w14:paraId="281A6E32" w14:textId="77777777" w:rsidR="007165CB" w:rsidRPr="000711BB" w:rsidRDefault="007165CB" w:rsidP="006832F8">
            <w:pPr>
              <w:jc w:val="center"/>
              <w:rPr>
                <w:sz w:val="20"/>
                <w:szCs w:val="20"/>
              </w:rPr>
            </w:pPr>
            <w:r w:rsidRPr="000711BB">
              <w:rPr>
                <w:rFonts w:eastAsia="Times New Roman"/>
                <w:sz w:val="20"/>
                <w:szCs w:val="20"/>
              </w:rPr>
              <w:t>30</w:t>
            </w:r>
          </w:p>
        </w:tc>
        <w:tc>
          <w:tcPr>
            <w:tcW w:w="860" w:type="dxa"/>
            <w:vAlign w:val="center"/>
          </w:tcPr>
          <w:p w14:paraId="281A6E33" w14:textId="77777777" w:rsidR="007165CB" w:rsidRPr="000711BB" w:rsidRDefault="007165CB" w:rsidP="006832F8">
            <w:pPr>
              <w:jc w:val="center"/>
              <w:rPr>
                <w:sz w:val="20"/>
                <w:szCs w:val="20"/>
              </w:rPr>
            </w:pPr>
            <w:r w:rsidRPr="000711BB">
              <w:rPr>
                <w:rFonts w:eastAsia="Times New Roman"/>
                <w:sz w:val="20"/>
                <w:szCs w:val="20"/>
              </w:rPr>
              <w:t>19</w:t>
            </w:r>
          </w:p>
        </w:tc>
        <w:tc>
          <w:tcPr>
            <w:tcW w:w="840" w:type="dxa"/>
            <w:vAlign w:val="center"/>
          </w:tcPr>
          <w:p w14:paraId="281A6E34" w14:textId="77777777" w:rsidR="007165CB" w:rsidRPr="000711BB" w:rsidRDefault="007165CB" w:rsidP="006832F8">
            <w:pPr>
              <w:jc w:val="center"/>
              <w:rPr>
                <w:sz w:val="20"/>
                <w:szCs w:val="20"/>
              </w:rPr>
            </w:pPr>
            <w:r w:rsidRPr="000711BB">
              <w:rPr>
                <w:rFonts w:eastAsia="Times New Roman"/>
                <w:sz w:val="20"/>
                <w:szCs w:val="20"/>
              </w:rPr>
              <w:t>12</w:t>
            </w:r>
          </w:p>
        </w:tc>
        <w:tc>
          <w:tcPr>
            <w:tcW w:w="840" w:type="dxa"/>
            <w:vAlign w:val="center"/>
          </w:tcPr>
          <w:p w14:paraId="281A6E35" w14:textId="77777777" w:rsidR="007165CB" w:rsidRPr="000711BB" w:rsidRDefault="007165CB" w:rsidP="006832F8">
            <w:pPr>
              <w:jc w:val="center"/>
              <w:rPr>
                <w:sz w:val="20"/>
                <w:szCs w:val="20"/>
              </w:rPr>
            </w:pPr>
            <w:r w:rsidRPr="000711BB">
              <w:rPr>
                <w:rFonts w:eastAsia="Times New Roman"/>
                <w:sz w:val="20"/>
                <w:szCs w:val="20"/>
              </w:rPr>
              <w:t>7.4</w:t>
            </w:r>
          </w:p>
        </w:tc>
        <w:tc>
          <w:tcPr>
            <w:tcW w:w="840" w:type="dxa"/>
            <w:vAlign w:val="center"/>
          </w:tcPr>
          <w:p w14:paraId="281A6E36" w14:textId="77777777" w:rsidR="007165CB" w:rsidRPr="000711BB" w:rsidRDefault="007165CB" w:rsidP="006832F8">
            <w:pPr>
              <w:jc w:val="center"/>
              <w:rPr>
                <w:sz w:val="20"/>
                <w:szCs w:val="20"/>
              </w:rPr>
            </w:pPr>
            <w:r w:rsidRPr="000711BB">
              <w:rPr>
                <w:rFonts w:eastAsia="Times New Roman"/>
                <w:sz w:val="20"/>
                <w:szCs w:val="20"/>
              </w:rPr>
              <w:t>4.7</w:t>
            </w:r>
          </w:p>
        </w:tc>
      </w:tr>
    </w:tbl>
    <w:p w14:paraId="281A6E49" w14:textId="77777777" w:rsidR="004647B9" w:rsidRPr="004816A1" w:rsidRDefault="004647B9" w:rsidP="006832F8">
      <w:pPr>
        <w:rPr>
          <w:sz w:val="24"/>
          <w:szCs w:val="24"/>
        </w:rPr>
      </w:pPr>
    </w:p>
    <w:p w14:paraId="281A6E4D" w14:textId="0D6F7346" w:rsidR="004647B9" w:rsidRDefault="00E2436F" w:rsidP="006832F8">
      <w:pPr>
        <w:tabs>
          <w:tab w:val="left" w:pos="360"/>
        </w:tabs>
        <w:rPr>
          <w:sz w:val="20"/>
          <w:szCs w:val="20"/>
        </w:rPr>
      </w:pPr>
      <w:r w:rsidRPr="00463C8E">
        <w:rPr>
          <w:rFonts w:eastAsia="Times New Roman"/>
          <w:sz w:val="20"/>
          <w:szCs w:val="20"/>
          <w:vertAlign w:val="superscript"/>
        </w:rPr>
        <w:t>1</w:t>
      </w:r>
      <w:r w:rsidR="00463C8E">
        <w:rPr>
          <w:rFonts w:eastAsia="Times New Roman"/>
          <w:sz w:val="17"/>
          <w:szCs w:val="17"/>
        </w:rPr>
        <w:tab/>
      </w:r>
      <w:r>
        <w:rPr>
          <w:rFonts w:eastAsia="Times New Roman"/>
          <w:sz w:val="17"/>
          <w:szCs w:val="17"/>
        </w:rPr>
        <w:t>A Supplier of Water may use this equation to determine log credit between the indicated values: log credit = (0.0397 x</w:t>
      </w:r>
      <w:r w:rsidR="00463C8E">
        <w:rPr>
          <w:rFonts w:eastAsia="Times New Roman"/>
          <w:sz w:val="17"/>
          <w:szCs w:val="17"/>
        </w:rPr>
        <w:t xml:space="preserve"> </w:t>
      </w:r>
      <w:r>
        <w:rPr>
          <w:rFonts w:eastAsia="Times New Roman"/>
          <w:sz w:val="18"/>
          <w:szCs w:val="18"/>
        </w:rPr>
        <w:t>(1.09757)</w:t>
      </w:r>
      <w:r w:rsidRPr="00905F85">
        <w:rPr>
          <w:rFonts w:eastAsia="Times New Roman"/>
          <w:sz w:val="18"/>
          <w:szCs w:val="18"/>
          <w:vertAlign w:val="superscript"/>
        </w:rPr>
        <w:t>Temp</w:t>
      </w:r>
      <w:r>
        <w:rPr>
          <w:rFonts w:eastAsia="Times New Roman"/>
          <w:sz w:val="18"/>
          <w:szCs w:val="18"/>
        </w:rPr>
        <w:t>) x CT.</w:t>
      </w:r>
    </w:p>
    <w:p w14:paraId="281A6E4E" w14:textId="77777777" w:rsidR="004647B9" w:rsidRPr="004816A1" w:rsidRDefault="004647B9" w:rsidP="006832F8">
      <w:pPr>
        <w:rPr>
          <w:sz w:val="24"/>
          <w:szCs w:val="24"/>
        </w:rPr>
      </w:pPr>
    </w:p>
    <w:p w14:paraId="281A6E4F" w14:textId="77777777" w:rsidR="004647B9" w:rsidRPr="00463C8E" w:rsidRDefault="00E2436F" w:rsidP="006832F8">
      <w:pPr>
        <w:numPr>
          <w:ilvl w:val="0"/>
          <w:numId w:val="812"/>
        </w:numPr>
        <w:tabs>
          <w:tab w:val="left" w:pos="2658"/>
        </w:tabs>
        <w:ind w:left="2340" w:hanging="5"/>
        <w:rPr>
          <w:rFonts w:eastAsia="Times New Roman"/>
          <w:sz w:val="24"/>
          <w:szCs w:val="24"/>
        </w:rPr>
      </w:pPr>
      <w:r w:rsidRPr="00463C8E">
        <w:rPr>
          <w:rFonts w:eastAsia="Times New Roman"/>
          <w:sz w:val="24"/>
          <w:szCs w:val="24"/>
        </w:rPr>
        <w:t>CT must be calculated at least once each day, with both C and T being measured during peak hourly flow as specified in 310 CMR 22.20A(5)(a) through (b).</w:t>
      </w:r>
    </w:p>
    <w:p w14:paraId="281A6E50" w14:textId="77777777" w:rsidR="004647B9" w:rsidRPr="00463C8E" w:rsidRDefault="00E2436F" w:rsidP="006832F8">
      <w:pPr>
        <w:numPr>
          <w:ilvl w:val="0"/>
          <w:numId w:val="812"/>
        </w:numPr>
        <w:tabs>
          <w:tab w:val="left" w:pos="2779"/>
        </w:tabs>
        <w:ind w:left="2340" w:hanging="5"/>
        <w:jc w:val="both"/>
        <w:rPr>
          <w:rFonts w:eastAsia="Times New Roman"/>
          <w:sz w:val="24"/>
          <w:szCs w:val="24"/>
        </w:rPr>
      </w:pPr>
      <w:r w:rsidRPr="00463C8E">
        <w:rPr>
          <w:rFonts w:eastAsia="Times New Roman"/>
          <w:sz w:val="24"/>
          <w:szCs w:val="24"/>
        </w:rPr>
        <w:t>for a Public Water System which includes several Disinfection segments in sequence, CT must be calculated for each segment. "Disinfection segment" as used herein means a treatment unit process with a measurable Disinfectant residual level and a liquid volume.</w:t>
      </w:r>
    </w:p>
    <w:p w14:paraId="281A6E51" w14:textId="77777777" w:rsidR="004647B9" w:rsidRDefault="004647B9" w:rsidP="006832F8">
      <w:pPr>
        <w:sectPr w:rsidR="004647B9" w:rsidSect="00EF630C">
          <w:pgSz w:w="12240" w:h="20180"/>
          <w:pgMar w:top="708" w:right="1440" w:bottom="1440" w:left="540" w:header="0" w:footer="0" w:gutter="0"/>
          <w:cols w:space="720"/>
        </w:sectPr>
      </w:pPr>
    </w:p>
    <w:p w14:paraId="281A6E52" w14:textId="77777777" w:rsidR="004647B9" w:rsidRDefault="00E2436F">
      <w:pPr>
        <w:tabs>
          <w:tab w:val="left" w:pos="160"/>
        </w:tabs>
        <w:ind w:right="-59"/>
        <w:jc w:val="center"/>
        <w:rPr>
          <w:sz w:val="20"/>
          <w:szCs w:val="20"/>
        </w:rPr>
      </w:pPr>
      <w:bookmarkStart w:id="314" w:name="page319"/>
      <w:bookmarkEnd w:id="31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E53" w14:textId="77777777" w:rsidR="004647B9" w:rsidRDefault="004647B9" w:rsidP="004816A1">
      <w:pPr>
        <w:rPr>
          <w:sz w:val="20"/>
          <w:szCs w:val="20"/>
        </w:rPr>
      </w:pPr>
    </w:p>
    <w:p w14:paraId="281A6E54" w14:textId="77777777" w:rsidR="004647B9" w:rsidRDefault="004647B9" w:rsidP="004816A1">
      <w:pPr>
        <w:rPr>
          <w:sz w:val="20"/>
          <w:szCs w:val="20"/>
        </w:rPr>
      </w:pPr>
    </w:p>
    <w:p w14:paraId="281A6E55" w14:textId="77777777" w:rsidR="004647B9" w:rsidRPr="004816A1" w:rsidRDefault="00E2436F" w:rsidP="004816A1">
      <w:pPr>
        <w:tabs>
          <w:tab w:val="left" w:pos="940"/>
        </w:tabs>
        <w:rPr>
          <w:sz w:val="24"/>
          <w:szCs w:val="24"/>
        </w:rPr>
      </w:pPr>
      <w:r w:rsidRPr="004816A1">
        <w:rPr>
          <w:rFonts w:eastAsia="Times New Roman"/>
          <w:sz w:val="24"/>
          <w:szCs w:val="24"/>
        </w:rPr>
        <w:t>22.20G:</w:t>
      </w:r>
      <w:r w:rsidRPr="004816A1">
        <w:rPr>
          <w:sz w:val="24"/>
          <w:szCs w:val="24"/>
        </w:rPr>
        <w:tab/>
      </w:r>
      <w:r w:rsidRPr="004816A1">
        <w:rPr>
          <w:rFonts w:eastAsia="Times New Roman"/>
          <w:sz w:val="24"/>
          <w:szCs w:val="24"/>
        </w:rPr>
        <w:t>continued</w:t>
      </w:r>
    </w:p>
    <w:p w14:paraId="281A6E56" w14:textId="77777777" w:rsidR="004647B9" w:rsidRDefault="004647B9" w:rsidP="004816A1">
      <w:pPr>
        <w:rPr>
          <w:sz w:val="20"/>
          <w:szCs w:val="20"/>
        </w:rPr>
      </w:pPr>
    </w:p>
    <w:p w14:paraId="281A6E57" w14:textId="7BCCED06" w:rsidR="004647B9" w:rsidRPr="00463C8E" w:rsidRDefault="00E2436F" w:rsidP="004816A1">
      <w:pPr>
        <w:numPr>
          <w:ilvl w:val="0"/>
          <w:numId w:val="813"/>
        </w:numPr>
        <w:tabs>
          <w:tab w:val="left" w:pos="2326"/>
        </w:tabs>
        <w:ind w:left="1980" w:hanging="5"/>
        <w:jc w:val="both"/>
        <w:rPr>
          <w:rFonts w:eastAsia="Times New Roman"/>
          <w:sz w:val="24"/>
          <w:szCs w:val="24"/>
        </w:rPr>
      </w:pPr>
      <w:r w:rsidRPr="00463C8E">
        <w:rPr>
          <w:rFonts w:eastAsia="Times New Roman"/>
          <w:sz w:val="24"/>
          <w:szCs w:val="24"/>
          <w:u w:val="single"/>
        </w:rPr>
        <w:t>Site-specific Study</w:t>
      </w:r>
      <w:r w:rsidRPr="00463C8E">
        <w:rPr>
          <w:rFonts w:eastAsia="Times New Roman"/>
          <w:sz w:val="24"/>
          <w:szCs w:val="24"/>
        </w:rPr>
        <w:t xml:space="preserve">. A Supplier of Water may conduct a site-specific study, using a protocol pre-approved by Department, demonstrating a higher inactivation in support of a greater </w:t>
      </w:r>
      <w:r w:rsidRPr="00463C8E">
        <w:rPr>
          <w:rFonts w:eastAsia="Times New Roman"/>
          <w:i/>
          <w:iCs/>
          <w:sz w:val="24"/>
          <w:szCs w:val="24"/>
        </w:rPr>
        <w:t>Cryptosporidium</w:t>
      </w:r>
      <w:r w:rsidRPr="00463C8E">
        <w:rPr>
          <w:rFonts w:eastAsia="Times New Roman"/>
          <w:sz w:val="24"/>
          <w:szCs w:val="24"/>
        </w:rPr>
        <w:t xml:space="preserve"> treatment credit than shown in 310 CMR 22.20G: </w:t>
      </w:r>
      <w:r w:rsidRPr="00463C8E">
        <w:rPr>
          <w:rFonts w:eastAsia="Times New Roman"/>
          <w:i/>
          <w:iCs/>
          <w:sz w:val="24"/>
          <w:szCs w:val="24"/>
        </w:rPr>
        <w:t>Table 7</w:t>
      </w:r>
      <w:r w:rsidRPr="00463C8E">
        <w:rPr>
          <w:rFonts w:eastAsia="Times New Roman"/>
          <w:sz w:val="24"/>
          <w:szCs w:val="24"/>
        </w:rPr>
        <w:t xml:space="preserve"> or</w:t>
      </w:r>
      <w:r w:rsidR="00706E56">
        <w:rPr>
          <w:rFonts w:eastAsia="Times New Roman"/>
          <w:sz w:val="24"/>
          <w:szCs w:val="24"/>
        </w:rPr>
        <w:t xml:space="preserve"> </w:t>
      </w:r>
      <w:r w:rsidR="00706E56" w:rsidRPr="00706E56">
        <w:rPr>
          <w:rFonts w:eastAsia="Times New Roman"/>
          <w:i/>
          <w:iCs/>
          <w:sz w:val="24"/>
          <w:szCs w:val="24"/>
        </w:rPr>
        <w:t>Table 8</w:t>
      </w:r>
    </w:p>
    <w:p w14:paraId="281A6E59" w14:textId="77777777" w:rsidR="004647B9" w:rsidRPr="00463C8E" w:rsidRDefault="00E2436F" w:rsidP="004816A1">
      <w:pPr>
        <w:numPr>
          <w:ilvl w:val="0"/>
          <w:numId w:val="814"/>
        </w:numPr>
        <w:tabs>
          <w:tab w:val="left" w:pos="2086"/>
        </w:tabs>
        <w:ind w:left="1620" w:hanging="5"/>
        <w:jc w:val="both"/>
        <w:rPr>
          <w:rFonts w:eastAsia="Times New Roman"/>
          <w:sz w:val="24"/>
          <w:szCs w:val="24"/>
        </w:rPr>
      </w:pPr>
      <w:r w:rsidRPr="00463C8E">
        <w:rPr>
          <w:rFonts w:eastAsia="Times New Roman"/>
          <w:sz w:val="24"/>
          <w:szCs w:val="24"/>
          <w:u w:val="single"/>
        </w:rPr>
        <w:t>Inactivation by Ultraviolet Light</w:t>
      </w:r>
      <w:r w:rsidRPr="00463C8E">
        <w:rPr>
          <w:rFonts w:eastAsia="Times New Roman"/>
          <w:sz w:val="24"/>
          <w:szCs w:val="24"/>
        </w:rPr>
        <w:t xml:space="preserve">. A Supplier of Water using UV light, subject to the Department's review and written approval, shall receive </w:t>
      </w:r>
      <w:r w:rsidRPr="00463C8E">
        <w:rPr>
          <w:rFonts w:eastAsia="Times New Roman"/>
          <w:i/>
          <w:iCs/>
          <w:sz w:val="24"/>
          <w:szCs w:val="24"/>
        </w:rPr>
        <w:t>Cryptosporidium</w:t>
      </w:r>
      <w:r w:rsidRPr="00463C8E">
        <w:rPr>
          <w:rFonts w:eastAsia="Times New Roman"/>
          <w:sz w:val="24"/>
          <w:szCs w:val="24"/>
        </w:rPr>
        <w:t xml:space="preserve">, </w:t>
      </w:r>
      <w:r w:rsidRPr="00463C8E">
        <w:rPr>
          <w:rFonts w:eastAsia="Times New Roman"/>
          <w:i/>
          <w:iCs/>
          <w:sz w:val="24"/>
          <w:szCs w:val="24"/>
        </w:rPr>
        <w:t>Giardia lamblia</w:t>
      </w:r>
      <w:r w:rsidRPr="00463C8E">
        <w:rPr>
          <w:rFonts w:eastAsia="Times New Roman"/>
          <w:sz w:val="24"/>
          <w:szCs w:val="24"/>
        </w:rPr>
        <w:t>, and Virus treatment credits, in accordance with the following:</w:t>
      </w:r>
    </w:p>
    <w:p w14:paraId="281A6E5B" w14:textId="77777777" w:rsidR="004647B9" w:rsidRPr="00463C8E" w:rsidRDefault="00E2436F" w:rsidP="004816A1">
      <w:pPr>
        <w:numPr>
          <w:ilvl w:val="1"/>
          <w:numId w:val="814"/>
        </w:numPr>
        <w:tabs>
          <w:tab w:val="left" w:pos="2340"/>
        </w:tabs>
        <w:ind w:left="2340" w:hanging="365"/>
        <w:rPr>
          <w:rFonts w:eastAsia="Times New Roman"/>
          <w:sz w:val="24"/>
          <w:szCs w:val="24"/>
        </w:rPr>
      </w:pPr>
      <w:r w:rsidRPr="00463C8E">
        <w:rPr>
          <w:rFonts w:eastAsia="Times New Roman"/>
          <w:sz w:val="24"/>
          <w:szCs w:val="24"/>
        </w:rPr>
        <w:t>Calculation of credits.</w:t>
      </w:r>
    </w:p>
    <w:p w14:paraId="281A6E5D" w14:textId="372744E7" w:rsidR="004647B9" w:rsidRPr="00E80E8D" w:rsidRDefault="00E2436F" w:rsidP="004816A1">
      <w:pPr>
        <w:pStyle w:val="ListParagraph"/>
        <w:numPr>
          <w:ilvl w:val="1"/>
          <w:numId w:val="764"/>
        </w:numPr>
        <w:tabs>
          <w:tab w:val="left" w:pos="2700"/>
        </w:tabs>
        <w:ind w:left="2340"/>
        <w:rPr>
          <w:rFonts w:eastAsia="Times New Roman"/>
          <w:sz w:val="24"/>
          <w:szCs w:val="24"/>
        </w:rPr>
      </w:pPr>
      <w:r w:rsidRPr="00E80E8D">
        <w:rPr>
          <w:rFonts w:eastAsia="Times New Roman"/>
          <w:sz w:val="24"/>
          <w:szCs w:val="24"/>
        </w:rPr>
        <w:t xml:space="preserve">achieve the UV dose values in 310 CMR 22.20G: </w:t>
      </w:r>
      <w:r w:rsidRPr="00E80E8D">
        <w:rPr>
          <w:rFonts w:eastAsia="Times New Roman"/>
          <w:i/>
          <w:iCs/>
          <w:sz w:val="24"/>
          <w:szCs w:val="24"/>
        </w:rPr>
        <w:t>Table 9</w:t>
      </w:r>
      <w:r w:rsidRPr="00E80E8D">
        <w:rPr>
          <w:rFonts w:eastAsia="Times New Roman"/>
          <w:sz w:val="24"/>
          <w:szCs w:val="24"/>
        </w:rPr>
        <w:t xml:space="preserve"> to receive the corresponding </w:t>
      </w:r>
      <w:r w:rsidRPr="00E80E8D">
        <w:rPr>
          <w:rFonts w:eastAsia="Times New Roman"/>
          <w:i/>
          <w:iCs/>
          <w:sz w:val="24"/>
          <w:szCs w:val="24"/>
        </w:rPr>
        <w:t>Cryptosporidium</w:t>
      </w:r>
      <w:r w:rsidRPr="00E80E8D">
        <w:rPr>
          <w:rFonts w:eastAsia="Times New Roman"/>
          <w:sz w:val="24"/>
          <w:szCs w:val="24"/>
        </w:rPr>
        <w:t xml:space="preserve">, </w:t>
      </w:r>
      <w:r w:rsidRPr="00E80E8D">
        <w:rPr>
          <w:rFonts w:eastAsia="Times New Roman"/>
          <w:i/>
          <w:iCs/>
          <w:sz w:val="24"/>
          <w:szCs w:val="24"/>
        </w:rPr>
        <w:t>Giardia lamblia</w:t>
      </w:r>
      <w:r w:rsidRPr="00E80E8D">
        <w:rPr>
          <w:rFonts w:eastAsia="Times New Roman"/>
          <w:sz w:val="24"/>
          <w:szCs w:val="24"/>
        </w:rPr>
        <w:t>, and Virus treatment credits;</w:t>
      </w:r>
    </w:p>
    <w:p w14:paraId="281A6E5E" w14:textId="77777777" w:rsidR="004647B9" w:rsidRPr="00706E56" w:rsidRDefault="004647B9" w:rsidP="004816A1">
      <w:pPr>
        <w:rPr>
          <w:sz w:val="24"/>
          <w:szCs w:val="24"/>
        </w:rPr>
      </w:pPr>
    </w:p>
    <w:p w14:paraId="281A6E5F" w14:textId="77777777" w:rsidR="004647B9" w:rsidRPr="00463C8E" w:rsidRDefault="00E2436F" w:rsidP="004816A1">
      <w:pPr>
        <w:ind w:right="20"/>
        <w:jc w:val="center"/>
        <w:rPr>
          <w:sz w:val="24"/>
          <w:szCs w:val="24"/>
        </w:rPr>
      </w:pPr>
      <w:r w:rsidRPr="00463C8E">
        <w:rPr>
          <w:rFonts w:eastAsia="Times New Roman"/>
          <w:sz w:val="24"/>
          <w:szCs w:val="24"/>
        </w:rPr>
        <w:t xml:space="preserve">310 CMR 22.20G:  </w:t>
      </w:r>
      <w:r w:rsidRPr="00463C8E">
        <w:rPr>
          <w:rFonts w:eastAsia="Times New Roman"/>
          <w:i/>
          <w:iCs/>
          <w:sz w:val="24"/>
          <w:szCs w:val="24"/>
        </w:rPr>
        <w:t>Table 9</w:t>
      </w:r>
    </w:p>
    <w:p w14:paraId="281A6E61" w14:textId="77777777" w:rsidR="004647B9" w:rsidRPr="00463C8E" w:rsidRDefault="00E2436F" w:rsidP="004816A1">
      <w:pPr>
        <w:ind w:right="20"/>
        <w:jc w:val="center"/>
        <w:rPr>
          <w:sz w:val="24"/>
          <w:szCs w:val="24"/>
        </w:rPr>
      </w:pPr>
      <w:r w:rsidRPr="00463C8E">
        <w:rPr>
          <w:rFonts w:eastAsia="Times New Roman"/>
          <w:sz w:val="24"/>
          <w:szCs w:val="24"/>
        </w:rPr>
        <w:t xml:space="preserve">UV DOSE TABLE FOR </w:t>
      </w:r>
      <w:r w:rsidRPr="00463C8E">
        <w:rPr>
          <w:rFonts w:eastAsia="Times New Roman"/>
          <w:i/>
          <w:iCs/>
          <w:sz w:val="24"/>
          <w:szCs w:val="24"/>
        </w:rPr>
        <w:t>Cryptosporidium</w:t>
      </w:r>
      <w:r w:rsidRPr="00463C8E">
        <w:rPr>
          <w:rFonts w:eastAsia="Times New Roman"/>
          <w:sz w:val="24"/>
          <w:szCs w:val="24"/>
        </w:rPr>
        <w:t xml:space="preserve">, </w:t>
      </w:r>
      <w:r w:rsidRPr="00463C8E">
        <w:rPr>
          <w:rFonts w:eastAsia="Times New Roman"/>
          <w:i/>
          <w:iCs/>
          <w:sz w:val="24"/>
          <w:szCs w:val="24"/>
        </w:rPr>
        <w:t>Giardia lamblia</w:t>
      </w:r>
      <w:r w:rsidRPr="00463C8E">
        <w:rPr>
          <w:rFonts w:eastAsia="Times New Roman"/>
          <w:sz w:val="24"/>
          <w:szCs w:val="24"/>
        </w:rPr>
        <w:t>, and VIRUS INACTIVATION CREDIT</w:t>
      </w:r>
    </w:p>
    <w:tbl>
      <w:tblPr>
        <w:tblW w:w="102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40"/>
        <w:gridCol w:w="3140"/>
        <w:gridCol w:w="3140"/>
        <w:gridCol w:w="2600"/>
      </w:tblGrid>
      <w:tr w:rsidR="0088183E" w:rsidRPr="006D29C5" w14:paraId="281A6E68" w14:textId="77777777" w:rsidTr="0088183E">
        <w:trPr>
          <w:trHeight w:val="379"/>
        </w:trPr>
        <w:tc>
          <w:tcPr>
            <w:tcW w:w="1340" w:type="dxa"/>
            <w:vAlign w:val="center"/>
          </w:tcPr>
          <w:p w14:paraId="281A6E63" w14:textId="77777777" w:rsidR="0088183E" w:rsidRPr="006D29C5" w:rsidRDefault="0088183E" w:rsidP="004816A1">
            <w:pPr>
              <w:jc w:val="center"/>
              <w:rPr>
                <w:sz w:val="20"/>
                <w:szCs w:val="20"/>
              </w:rPr>
            </w:pPr>
            <w:r w:rsidRPr="006D29C5">
              <w:rPr>
                <w:rFonts w:eastAsia="Times New Roman"/>
                <w:sz w:val="20"/>
                <w:szCs w:val="20"/>
              </w:rPr>
              <w:t>Log credit</w:t>
            </w:r>
          </w:p>
        </w:tc>
        <w:tc>
          <w:tcPr>
            <w:tcW w:w="3140" w:type="dxa"/>
            <w:vAlign w:val="center"/>
          </w:tcPr>
          <w:p w14:paraId="281A6E65" w14:textId="77777777" w:rsidR="0088183E" w:rsidRPr="006D29C5" w:rsidRDefault="0088183E" w:rsidP="004816A1">
            <w:pPr>
              <w:jc w:val="center"/>
              <w:rPr>
                <w:sz w:val="20"/>
                <w:szCs w:val="20"/>
              </w:rPr>
            </w:pPr>
            <w:r w:rsidRPr="006D29C5">
              <w:rPr>
                <w:rFonts w:eastAsia="Times New Roman"/>
                <w:i/>
                <w:iCs/>
                <w:sz w:val="20"/>
                <w:szCs w:val="20"/>
              </w:rPr>
              <w:t>Cryptospridium</w:t>
            </w:r>
            <w:r w:rsidRPr="006D29C5">
              <w:rPr>
                <w:rFonts w:eastAsia="Times New Roman"/>
                <w:sz w:val="20"/>
                <w:szCs w:val="20"/>
              </w:rPr>
              <w:t>\UV dose (mJ/cm</w:t>
            </w:r>
            <w:r w:rsidRPr="006D29C5">
              <w:rPr>
                <w:rFonts w:eastAsia="Times New Roman"/>
                <w:sz w:val="20"/>
                <w:szCs w:val="20"/>
                <w:vertAlign w:val="superscript"/>
              </w:rPr>
              <w:t>2</w:t>
            </w:r>
            <w:r w:rsidRPr="006D29C5">
              <w:rPr>
                <w:rFonts w:eastAsia="Times New Roman"/>
                <w:sz w:val="20"/>
                <w:szCs w:val="20"/>
              </w:rPr>
              <w:t>)</w:t>
            </w:r>
          </w:p>
        </w:tc>
        <w:tc>
          <w:tcPr>
            <w:tcW w:w="3140" w:type="dxa"/>
            <w:vAlign w:val="center"/>
          </w:tcPr>
          <w:p w14:paraId="281A6E66" w14:textId="77777777" w:rsidR="0088183E" w:rsidRPr="006D29C5" w:rsidRDefault="0088183E" w:rsidP="004816A1">
            <w:pPr>
              <w:jc w:val="center"/>
              <w:rPr>
                <w:sz w:val="20"/>
                <w:szCs w:val="20"/>
              </w:rPr>
            </w:pPr>
            <w:r w:rsidRPr="006D29C5">
              <w:rPr>
                <w:rFonts w:eastAsia="Times New Roman"/>
                <w:i/>
                <w:iCs/>
                <w:sz w:val="20"/>
                <w:szCs w:val="20"/>
              </w:rPr>
              <w:t xml:space="preserve">Giardia lamblia </w:t>
            </w:r>
            <w:r w:rsidRPr="006D29C5">
              <w:rPr>
                <w:rFonts w:eastAsia="Times New Roman"/>
                <w:sz w:val="20"/>
                <w:szCs w:val="20"/>
              </w:rPr>
              <w:t>UV dose (mJ/cm</w:t>
            </w:r>
            <w:r w:rsidRPr="006D29C5">
              <w:rPr>
                <w:rFonts w:eastAsia="Times New Roman"/>
                <w:sz w:val="20"/>
                <w:szCs w:val="20"/>
                <w:vertAlign w:val="superscript"/>
              </w:rPr>
              <w:t>2</w:t>
            </w:r>
            <w:r w:rsidRPr="006D29C5">
              <w:rPr>
                <w:rFonts w:eastAsia="Times New Roman"/>
                <w:sz w:val="20"/>
                <w:szCs w:val="20"/>
              </w:rPr>
              <w:t>)</w:t>
            </w:r>
          </w:p>
        </w:tc>
        <w:tc>
          <w:tcPr>
            <w:tcW w:w="2600" w:type="dxa"/>
            <w:vAlign w:val="center"/>
          </w:tcPr>
          <w:p w14:paraId="281A6E67" w14:textId="77777777" w:rsidR="0088183E" w:rsidRPr="006D29C5" w:rsidRDefault="0088183E" w:rsidP="004816A1">
            <w:pPr>
              <w:jc w:val="center"/>
              <w:rPr>
                <w:sz w:val="20"/>
                <w:szCs w:val="20"/>
              </w:rPr>
            </w:pPr>
            <w:r w:rsidRPr="006D29C5">
              <w:rPr>
                <w:rFonts w:eastAsia="Times New Roman"/>
                <w:sz w:val="20"/>
                <w:szCs w:val="20"/>
              </w:rPr>
              <w:t>Virus UV dose (mJ/cm</w:t>
            </w:r>
            <w:r w:rsidRPr="006D29C5">
              <w:rPr>
                <w:rFonts w:eastAsia="Times New Roman"/>
                <w:sz w:val="20"/>
                <w:szCs w:val="20"/>
                <w:vertAlign w:val="superscript"/>
              </w:rPr>
              <w:t>2</w:t>
            </w:r>
            <w:r w:rsidRPr="006D29C5">
              <w:rPr>
                <w:rFonts w:eastAsia="Times New Roman"/>
                <w:sz w:val="20"/>
                <w:szCs w:val="20"/>
              </w:rPr>
              <w:t>)</w:t>
            </w:r>
          </w:p>
        </w:tc>
      </w:tr>
      <w:tr w:rsidR="0088183E" w:rsidRPr="006D29C5" w14:paraId="281A6E74" w14:textId="77777777" w:rsidTr="0088183E">
        <w:trPr>
          <w:trHeight w:val="364"/>
        </w:trPr>
        <w:tc>
          <w:tcPr>
            <w:tcW w:w="1340" w:type="dxa"/>
            <w:vAlign w:val="center"/>
          </w:tcPr>
          <w:p w14:paraId="281A6E6F" w14:textId="77777777" w:rsidR="0088183E" w:rsidRPr="006D29C5" w:rsidRDefault="0088183E" w:rsidP="004816A1">
            <w:pPr>
              <w:jc w:val="center"/>
              <w:rPr>
                <w:sz w:val="20"/>
                <w:szCs w:val="20"/>
              </w:rPr>
            </w:pPr>
            <w:r w:rsidRPr="006D29C5">
              <w:rPr>
                <w:rFonts w:eastAsia="Times New Roman"/>
                <w:sz w:val="20"/>
                <w:szCs w:val="20"/>
              </w:rPr>
              <w:t>0.5</w:t>
            </w:r>
          </w:p>
        </w:tc>
        <w:tc>
          <w:tcPr>
            <w:tcW w:w="3140" w:type="dxa"/>
            <w:vAlign w:val="center"/>
          </w:tcPr>
          <w:p w14:paraId="281A6E71" w14:textId="77777777" w:rsidR="0088183E" w:rsidRPr="006D29C5" w:rsidRDefault="0088183E" w:rsidP="004816A1">
            <w:pPr>
              <w:jc w:val="center"/>
              <w:rPr>
                <w:sz w:val="20"/>
                <w:szCs w:val="20"/>
              </w:rPr>
            </w:pPr>
            <w:r w:rsidRPr="006D29C5">
              <w:rPr>
                <w:rFonts w:eastAsia="Times New Roman"/>
                <w:sz w:val="20"/>
                <w:szCs w:val="20"/>
              </w:rPr>
              <w:t>1.6</w:t>
            </w:r>
          </w:p>
        </w:tc>
        <w:tc>
          <w:tcPr>
            <w:tcW w:w="3140" w:type="dxa"/>
            <w:vAlign w:val="center"/>
          </w:tcPr>
          <w:p w14:paraId="281A6E72" w14:textId="77777777" w:rsidR="0088183E" w:rsidRPr="006D29C5" w:rsidRDefault="0088183E" w:rsidP="004816A1">
            <w:pPr>
              <w:jc w:val="center"/>
              <w:rPr>
                <w:sz w:val="20"/>
                <w:szCs w:val="20"/>
              </w:rPr>
            </w:pPr>
            <w:r w:rsidRPr="006D29C5">
              <w:rPr>
                <w:rFonts w:eastAsia="Times New Roman"/>
                <w:sz w:val="20"/>
                <w:szCs w:val="20"/>
              </w:rPr>
              <w:t>1.5</w:t>
            </w:r>
          </w:p>
        </w:tc>
        <w:tc>
          <w:tcPr>
            <w:tcW w:w="2600" w:type="dxa"/>
            <w:vAlign w:val="center"/>
          </w:tcPr>
          <w:p w14:paraId="281A6E73" w14:textId="77777777" w:rsidR="0088183E" w:rsidRPr="006D29C5" w:rsidRDefault="0088183E" w:rsidP="004816A1">
            <w:pPr>
              <w:jc w:val="center"/>
              <w:rPr>
                <w:sz w:val="20"/>
                <w:szCs w:val="20"/>
              </w:rPr>
            </w:pPr>
            <w:r w:rsidRPr="006D29C5">
              <w:rPr>
                <w:rFonts w:eastAsia="Times New Roman"/>
                <w:w w:val="99"/>
                <w:sz w:val="20"/>
                <w:szCs w:val="20"/>
              </w:rPr>
              <w:t>39</w:t>
            </w:r>
          </w:p>
        </w:tc>
      </w:tr>
      <w:tr w:rsidR="0088183E" w:rsidRPr="006D29C5" w14:paraId="281A6E80" w14:textId="77777777" w:rsidTr="0088183E">
        <w:trPr>
          <w:trHeight w:val="362"/>
        </w:trPr>
        <w:tc>
          <w:tcPr>
            <w:tcW w:w="1340" w:type="dxa"/>
            <w:vAlign w:val="center"/>
          </w:tcPr>
          <w:p w14:paraId="281A6E7B" w14:textId="77777777" w:rsidR="0088183E" w:rsidRPr="006D29C5" w:rsidRDefault="0088183E" w:rsidP="004816A1">
            <w:pPr>
              <w:jc w:val="center"/>
              <w:rPr>
                <w:sz w:val="20"/>
                <w:szCs w:val="20"/>
              </w:rPr>
            </w:pPr>
            <w:r w:rsidRPr="006D29C5">
              <w:rPr>
                <w:rFonts w:eastAsia="Times New Roman"/>
                <w:sz w:val="20"/>
                <w:szCs w:val="20"/>
              </w:rPr>
              <w:t>1.0</w:t>
            </w:r>
          </w:p>
        </w:tc>
        <w:tc>
          <w:tcPr>
            <w:tcW w:w="3140" w:type="dxa"/>
            <w:vAlign w:val="center"/>
          </w:tcPr>
          <w:p w14:paraId="281A6E7D" w14:textId="77777777" w:rsidR="0088183E" w:rsidRPr="006D29C5" w:rsidRDefault="0088183E" w:rsidP="004816A1">
            <w:pPr>
              <w:jc w:val="center"/>
              <w:rPr>
                <w:sz w:val="20"/>
                <w:szCs w:val="20"/>
              </w:rPr>
            </w:pPr>
            <w:r w:rsidRPr="006D29C5">
              <w:rPr>
                <w:rFonts w:eastAsia="Times New Roman"/>
                <w:sz w:val="20"/>
                <w:szCs w:val="20"/>
              </w:rPr>
              <w:t>2.5</w:t>
            </w:r>
          </w:p>
        </w:tc>
        <w:tc>
          <w:tcPr>
            <w:tcW w:w="3140" w:type="dxa"/>
            <w:vAlign w:val="center"/>
          </w:tcPr>
          <w:p w14:paraId="281A6E7E" w14:textId="77777777" w:rsidR="0088183E" w:rsidRPr="006D29C5" w:rsidRDefault="0088183E" w:rsidP="004816A1">
            <w:pPr>
              <w:jc w:val="center"/>
              <w:rPr>
                <w:sz w:val="20"/>
                <w:szCs w:val="20"/>
              </w:rPr>
            </w:pPr>
            <w:r w:rsidRPr="006D29C5">
              <w:rPr>
                <w:rFonts w:eastAsia="Times New Roman"/>
                <w:sz w:val="20"/>
                <w:szCs w:val="20"/>
              </w:rPr>
              <w:t>2.1</w:t>
            </w:r>
          </w:p>
        </w:tc>
        <w:tc>
          <w:tcPr>
            <w:tcW w:w="2600" w:type="dxa"/>
            <w:vAlign w:val="center"/>
          </w:tcPr>
          <w:p w14:paraId="281A6E7F" w14:textId="77777777" w:rsidR="0088183E" w:rsidRPr="006D29C5" w:rsidRDefault="0088183E" w:rsidP="004816A1">
            <w:pPr>
              <w:jc w:val="center"/>
              <w:rPr>
                <w:sz w:val="20"/>
                <w:szCs w:val="20"/>
              </w:rPr>
            </w:pPr>
            <w:r w:rsidRPr="006D29C5">
              <w:rPr>
                <w:rFonts w:eastAsia="Times New Roman"/>
                <w:w w:val="99"/>
                <w:sz w:val="20"/>
                <w:szCs w:val="20"/>
              </w:rPr>
              <w:t>58</w:t>
            </w:r>
          </w:p>
        </w:tc>
      </w:tr>
      <w:tr w:rsidR="0088183E" w:rsidRPr="006D29C5" w14:paraId="281A6E8C" w14:textId="77777777" w:rsidTr="0088183E">
        <w:trPr>
          <w:trHeight w:val="364"/>
        </w:trPr>
        <w:tc>
          <w:tcPr>
            <w:tcW w:w="1340" w:type="dxa"/>
            <w:vAlign w:val="center"/>
          </w:tcPr>
          <w:p w14:paraId="281A6E87" w14:textId="77777777" w:rsidR="0088183E" w:rsidRPr="006D29C5" w:rsidRDefault="0088183E" w:rsidP="004816A1">
            <w:pPr>
              <w:jc w:val="center"/>
              <w:rPr>
                <w:sz w:val="20"/>
                <w:szCs w:val="20"/>
              </w:rPr>
            </w:pPr>
            <w:r w:rsidRPr="006D29C5">
              <w:rPr>
                <w:rFonts w:eastAsia="Times New Roman"/>
                <w:sz w:val="20"/>
                <w:szCs w:val="20"/>
              </w:rPr>
              <w:t>1.5</w:t>
            </w:r>
          </w:p>
        </w:tc>
        <w:tc>
          <w:tcPr>
            <w:tcW w:w="3140" w:type="dxa"/>
            <w:vAlign w:val="center"/>
          </w:tcPr>
          <w:p w14:paraId="281A6E89" w14:textId="77777777" w:rsidR="0088183E" w:rsidRPr="006D29C5" w:rsidRDefault="0088183E" w:rsidP="004816A1">
            <w:pPr>
              <w:jc w:val="center"/>
              <w:rPr>
                <w:sz w:val="20"/>
                <w:szCs w:val="20"/>
              </w:rPr>
            </w:pPr>
            <w:r w:rsidRPr="006D29C5">
              <w:rPr>
                <w:rFonts w:eastAsia="Times New Roman"/>
                <w:sz w:val="20"/>
                <w:szCs w:val="20"/>
              </w:rPr>
              <w:t>3.9</w:t>
            </w:r>
          </w:p>
        </w:tc>
        <w:tc>
          <w:tcPr>
            <w:tcW w:w="3140" w:type="dxa"/>
            <w:vAlign w:val="center"/>
          </w:tcPr>
          <w:p w14:paraId="281A6E8A" w14:textId="77777777" w:rsidR="0088183E" w:rsidRPr="006D29C5" w:rsidRDefault="0088183E" w:rsidP="004816A1">
            <w:pPr>
              <w:jc w:val="center"/>
              <w:rPr>
                <w:sz w:val="20"/>
                <w:szCs w:val="20"/>
              </w:rPr>
            </w:pPr>
            <w:r w:rsidRPr="006D29C5">
              <w:rPr>
                <w:rFonts w:eastAsia="Times New Roman"/>
                <w:sz w:val="20"/>
                <w:szCs w:val="20"/>
              </w:rPr>
              <w:t>3.0</w:t>
            </w:r>
          </w:p>
        </w:tc>
        <w:tc>
          <w:tcPr>
            <w:tcW w:w="2600" w:type="dxa"/>
            <w:vAlign w:val="center"/>
          </w:tcPr>
          <w:p w14:paraId="281A6E8B" w14:textId="77777777" w:rsidR="0088183E" w:rsidRPr="006D29C5" w:rsidRDefault="0088183E" w:rsidP="004816A1">
            <w:pPr>
              <w:jc w:val="center"/>
              <w:rPr>
                <w:sz w:val="20"/>
                <w:szCs w:val="20"/>
              </w:rPr>
            </w:pPr>
            <w:r w:rsidRPr="006D29C5">
              <w:rPr>
                <w:rFonts w:eastAsia="Times New Roman"/>
                <w:w w:val="99"/>
                <w:sz w:val="20"/>
                <w:szCs w:val="20"/>
              </w:rPr>
              <w:t>79</w:t>
            </w:r>
          </w:p>
        </w:tc>
      </w:tr>
      <w:tr w:rsidR="0088183E" w:rsidRPr="006D29C5" w14:paraId="281A6E98" w14:textId="77777777" w:rsidTr="0088183E">
        <w:trPr>
          <w:trHeight w:val="362"/>
        </w:trPr>
        <w:tc>
          <w:tcPr>
            <w:tcW w:w="1340" w:type="dxa"/>
            <w:vAlign w:val="center"/>
          </w:tcPr>
          <w:p w14:paraId="281A6E93" w14:textId="77777777" w:rsidR="0088183E" w:rsidRPr="006D29C5" w:rsidRDefault="0088183E" w:rsidP="004816A1">
            <w:pPr>
              <w:jc w:val="center"/>
              <w:rPr>
                <w:sz w:val="20"/>
                <w:szCs w:val="20"/>
              </w:rPr>
            </w:pPr>
            <w:r w:rsidRPr="006D29C5">
              <w:rPr>
                <w:rFonts w:eastAsia="Times New Roman"/>
                <w:sz w:val="20"/>
                <w:szCs w:val="20"/>
              </w:rPr>
              <w:t>2.0</w:t>
            </w:r>
          </w:p>
        </w:tc>
        <w:tc>
          <w:tcPr>
            <w:tcW w:w="3140" w:type="dxa"/>
            <w:vAlign w:val="center"/>
          </w:tcPr>
          <w:p w14:paraId="281A6E95" w14:textId="77777777" w:rsidR="0088183E" w:rsidRPr="006D29C5" w:rsidRDefault="0088183E" w:rsidP="004816A1">
            <w:pPr>
              <w:jc w:val="center"/>
              <w:rPr>
                <w:sz w:val="20"/>
                <w:szCs w:val="20"/>
              </w:rPr>
            </w:pPr>
            <w:r w:rsidRPr="006D29C5">
              <w:rPr>
                <w:rFonts w:eastAsia="Times New Roman"/>
                <w:sz w:val="20"/>
                <w:szCs w:val="20"/>
              </w:rPr>
              <w:t>5.8</w:t>
            </w:r>
          </w:p>
        </w:tc>
        <w:tc>
          <w:tcPr>
            <w:tcW w:w="3140" w:type="dxa"/>
            <w:vAlign w:val="center"/>
          </w:tcPr>
          <w:p w14:paraId="281A6E96" w14:textId="77777777" w:rsidR="0088183E" w:rsidRPr="006D29C5" w:rsidRDefault="0088183E" w:rsidP="004816A1">
            <w:pPr>
              <w:jc w:val="center"/>
              <w:rPr>
                <w:sz w:val="20"/>
                <w:szCs w:val="20"/>
              </w:rPr>
            </w:pPr>
            <w:r w:rsidRPr="006D29C5">
              <w:rPr>
                <w:rFonts w:eastAsia="Times New Roman"/>
                <w:sz w:val="20"/>
                <w:szCs w:val="20"/>
              </w:rPr>
              <w:t>5.2</w:t>
            </w:r>
          </w:p>
        </w:tc>
        <w:tc>
          <w:tcPr>
            <w:tcW w:w="2600" w:type="dxa"/>
            <w:vAlign w:val="center"/>
          </w:tcPr>
          <w:p w14:paraId="281A6E97" w14:textId="77777777" w:rsidR="0088183E" w:rsidRPr="006D29C5" w:rsidRDefault="0088183E" w:rsidP="004816A1">
            <w:pPr>
              <w:jc w:val="center"/>
              <w:rPr>
                <w:sz w:val="20"/>
                <w:szCs w:val="20"/>
              </w:rPr>
            </w:pPr>
            <w:r w:rsidRPr="006D29C5">
              <w:rPr>
                <w:rFonts w:eastAsia="Times New Roman"/>
                <w:sz w:val="20"/>
                <w:szCs w:val="20"/>
              </w:rPr>
              <w:t>100</w:t>
            </w:r>
          </w:p>
        </w:tc>
      </w:tr>
      <w:tr w:rsidR="0088183E" w:rsidRPr="006D29C5" w14:paraId="281A6EA4" w14:textId="77777777" w:rsidTr="0088183E">
        <w:trPr>
          <w:trHeight w:val="364"/>
        </w:trPr>
        <w:tc>
          <w:tcPr>
            <w:tcW w:w="1340" w:type="dxa"/>
            <w:vAlign w:val="center"/>
          </w:tcPr>
          <w:p w14:paraId="281A6E9F" w14:textId="77777777" w:rsidR="0088183E" w:rsidRPr="006D29C5" w:rsidRDefault="0088183E" w:rsidP="004816A1">
            <w:pPr>
              <w:jc w:val="center"/>
              <w:rPr>
                <w:sz w:val="20"/>
                <w:szCs w:val="20"/>
              </w:rPr>
            </w:pPr>
            <w:r w:rsidRPr="006D29C5">
              <w:rPr>
                <w:rFonts w:eastAsia="Times New Roman"/>
                <w:sz w:val="20"/>
                <w:szCs w:val="20"/>
              </w:rPr>
              <w:t>2.5</w:t>
            </w:r>
          </w:p>
        </w:tc>
        <w:tc>
          <w:tcPr>
            <w:tcW w:w="3140" w:type="dxa"/>
            <w:vAlign w:val="center"/>
          </w:tcPr>
          <w:p w14:paraId="281A6EA1" w14:textId="77777777" w:rsidR="0088183E" w:rsidRPr="006D29C5" w:rsidRDefault="0088183E" w:rsidP="004816A1">
            <w:pPr>
              <w:jc w:val="center"/>
              <w:rPr>
                <w:sz w:val="20"/>
                <w:szCs w:val="20"/>
              </w:rPr>
            </w:pPr>
            <w:r w:rsidRPr="006D29C5">
              <w:rPr>
                <w:rFonts w:eastAsia="Times New Roman"/>
                <w:sz w:val="20"/>
                <w:szCs w:val="20"/>
              </w:rPr>
              <w:t>8.5</w:t>
            </w:r>
          </w:p>
        </w:tc>
        <w:tc>
          <w:tcPr>
            <w:tcW w:w="3140" w:type="dxa"/>
            <w:vAlign w:val="center"/>
          </w:tcPr>
          <w:p w14:paraId="281A6EA2" w14:textId="77777777" w:rsidR="0088183E" w:rsidRPr="006D29C5" w:rsidRDefault="0088183E" w:rsidP="004816A1">
            <w:pPr>
              <w:jc w:val="center"/>
              <w:rPr>
                <w:sz w:val="20"/>
                <w:szCs w:val="20"/>
              </w:rPr>
            </w:pPr>
            <w:r w:rsidRPr="006D29C5">
              <w:rPr>
                <w:rFonts w:eastAsia="Times New Roman"/>
                <w:sz w:val="20"/>
                <w:szCs w:val="20"/>
              </w:rPr>
              <w:t>7.7</w:t>
            </w:r>
          </w:p>
        </w:tc>
        <w:tc>
          <w:tcPr>
            <w:tcW w:w="2600" w:type="dxa"/>
            <w:vAlign w:val="center"/>
          </w:tcPr>
          <w:p w14:paraId="281A6EA3" w14:textId="77777777" w:rsidR="0088183E" w:rsidRPr="006D29C5" w:rsidRDefault="0088183E" w:rsidP="004816A1">
            <w:pPr>
              <w:jc w:val="center"/>
              <w:rPr>
                <w:sz w:val="20"/>
                <w:szCs w:val="20"/>
              </w:rPr>
            </w:pPr>
            <w:r w:rsidRPr="006D29C5">
              <w:rPr>
                <w:rFonts w:eastAsia="Times New Roman"/>
                <w:sz w:val="20"/>
                <w:szCs w:val="20"/>
              </w:rPr>
              <w:t>121</w:t>
            </w:r>
          </w:p>
        </w:tc>
      </w:tr>
      <w:tr w:rsidR="0088183E" w:rsidRPr="006D29C5" w14:paraId="281A6EB0" w14:textId="77777777" w:rsidTr="0088183E">
        <w:trPr>
          <w:trHeight w:val="362"/>
        </w:trPr>
        <w:tc>
          <w:tcPr>
            <w:tcW w:w="1340" w:type="dxa"/>
            <w:vAlign w:val="center"/>
          </w:tcPr>
          <w:p w14:paraId="281A6EAB" w14:textId="77777777" w:rsidR="0088183E" w:rsidRPr="006D29C5" w:rsidRDefault="0088183E" w:rsidP="004816A1">
            <w:pPr>
              <w:jc w:val="center"/>
              <w:rPr>
                <w:sz w:val="20"/>
                <w:szCs w:val="20"/>
              </w:rPr>
            </w:pPr>
            <w:r w:rsidRPr="006D29C5">
              <w:rPr>
                <w:rFonts w:eastAsia="Times New Roman"/>
                <w:sz w:val="20"/>
                <w:szCs w:val="20"/>
              </w:rPr>
              <w:t>3.0</w:t>
            </w:r>
          </w:p>
        </w:tc>
        <w:tc>
          <w:tcPr>
            <w:tcW w:w="3140" w:type="dxa"/>
            <w:vAlign w:val="center"/>
          </w:tcPr>
          <w:p w14:paraId="281A6EAD" w14:textId="77777777" w:rsidR="0088183E" w:rsidRPr="006D29C5" w:rsidRDefault="0088183E" w:rsidP="004816A1">
            <w:pPr>
              <w:jc w:val="center"/>
              <w:rPr>
                <w:sz w:val="20"/>
                <w:szCs w:val="20"/>
              </w:rPr>
            </w:pPr>
            <w:r w:rsidRPr="006D29C5">
              <w:rPr>
                <w:rFonts w:eastAsia="Times New Roman"/>
                <w:sz w:val="20"/>
                <w:szCs w:val="20"/>
              </w:rPr>
              <w:t>12</w:t>
            </w:r>
          </w:p>
        </w:tc>
        <w:tc>
          <w:tcPr>
            <w:tcW w:w="3140" w:type="dxa"/>
            <w:vAlign w:val="center"/>
          </w:tcPr>
          <w:p w14:paraId="281A6EAE" w14:textId="77777777" w:rsidR="0088183E" w:rsidRPr="006D29C5" w:rsidRDefault="0088183E" w:rsidP="004816A1">
            <w:pPr>
              <w:jc w:val="center"/>
              <w:rPr>
                <w:sz w:val="20"/>
                <w:szCs w:val="20"/>
              </w:rPr>
            </w:pPr>
            <w:r w:rsidRPr="006D29C5">
              <w:rPr>
                <w:rFonts w:eastAsia="Times New Roman"/>
                <w:w w:val="99"/>
                <w:sz w:val="20"/>
                <w:szCs w:val="20"/>
              </w:rPr>
              <w:t>11</w:t>
            </w:r>
          </w:p>
        </w:tc>
        <w:tc>
          <w:tcPr>
            <w:tcW w:w="2600" w:type="dxa"/>
            <w:vAlign w:val="center"/>
          </w:tcPr>
          <w:p w14:paraId="281A6EAF" w14:textId="77777777" w:rsidR="0088183E" w:rsidRPr="006D29C5" w:rsidRDefault="0088183E" w:rsidP="004816A1">
            <w:pPr>
              <w:jc w:val="center"/>
              <w:rPr>
                <w:sz w:val="20"/>
                <w:szCs w:val="20"/>
              </w:rPr>
            </w:pPr>
            <w:r w:rsidRPr="006D29C5">
              <w:rPr>
                <w:rFonts w:eastAsia="Times New Roman"/>
                <w:sz w:val="20"/>
                <w:szCs w:val="20"/>
              </w:rPr>
              <w:t>143</w:t>
            </w:r>
          </w:p>
        </w:tc>
      </w:tr>
      <w:tr w:rsidR="0088183E" w:rsidRPr="006D29C5" w14:paraId="281A6EBC" w14:textId="77777777" w:rsidTr="0088183E">
        <w:trPr>
          <w:trHeight w:val="364"/>
        </w:trPr>
        <w:tc>
          <w:tcPr>
            <w:tcW w:w="1340" w:type="dxa"/>
            <w:vAlign w:val="center"/>
          </w:tcPr>
          <w:p w14:paraId="281A6EB7" w14:textId="77777777" w:rsidR="0088183E" w:rsidRPr="006D29C5" w:rsidRDefault="0088183E" w:rsidP="004816A1">
            <w:pPr>
              <w:jc w:val="center"/>
              <w:rPr>
                <w:sz w:val="20"/>
                <w:szCs w:val="20"/>
              </w:rPr>
            </w:pPr>
            <w:r w:rsidRPr="006D29C5">
              <w:rPr>
                <w:rFonts w:eastAsia="Times New Roman"/>
                <w:sz w:val="20"/>
                <w:szCs w:val="20"/>
              </w:rPr>
              <w:t>3.5</w:t>
            </w:r>
          </w:p>
        </w:tc>
        <w:tc>
          <w:tcPr>
            <w:tcW w:w="3140" w:type="dxa"/>
            <w:vAlign w:val="center"/>
          </w:tcPr>
          <w:p w14:paraId="281A6EB9" w14:textId="77777777" w:rsidR="0088183E" w:rsidRPr="006D29C5" w:rsidRDefault="0088183E" w:rsidP="004816A1">
            <w:pPr>
              <w:jc w:val="center"/>
              <w:rPr>
                <w:sz w:val="20"/>
                <w:szCs w:val="20"/>
              </w:rPr>
            </w:pPr>
            <w:r w:rsidRPr="006D29C5">
              <w:rPr>
                <w:rFonts w:eastAsia="Times New Roman"/>
                <w:sz w:val="20"/>
                <w:szCs w:val="20"/>
              </w:rPr>
              <w:t>15</w:t>
            </w:r>
          </w:p>
        </w:tc>
        <w:tc>
          <w:tcPr>
            <w:tcW w:w="3140" w:type="dxa"/>
            <w:vAlign w:val="center"/>
          </w:tcPr>
          <w:p w14:paraId="281A6EBA" w14:textId="77777777" w:rsidR="0088183E" w:rsidRPr="006D29C5" w:rsidRDefault="0088183E" w:rsidP="004816A1">
            <w:pPr>
              <w:jc w:val="center"/>
              <w:rPr>
                <w:sz w:val="20"/>
                <w:szCs w:val="20"/>
              </w:rPr>
            </w:pPr>
            <w:r w:rsidRPr="006D29C5">
              <w:rPr>
                <w:rFonts w:eastAsia="Times New Roman"/>
                <w:w w:val="99"/>
                <w:sz w:val="20"/>
                <w:szCs w:val="20"/>
              </w:rPr>
              <w:t>15</w:t>
            </w:r>
          </w:p>
        </w:tc>
        <w:tc>
          <w:tcPr>
            <w:tcW w:w="2600" w:type="dxa"/>
            <w:vAlign w:val="center"/>
          </w:tcPr>
          <w:p w14:paraId="281A6EBB" w14:textId="77777777" w:rsidR="0088183E" w:rsidRPr="006D29C5" w:rsidRDefault="0088183E" w:rsidP="004816A1">
            <w:pPr>
              <w:jc w:val="center"/>
              <w:rPr>
                <w:sz w:val="20"/>
                <w:szCs w:val="20"/>
              </w:rPr>
            </w:pPr>
            <w:r w:rsidRPr="006D29C5">
              <w:rPr>
                <w:rFonts w:eastAsia="Times New Roman"/>
                <w:sz w:val="20"/>
                <w:szCs w:val="20"/>
              </w:rPr>
              <w:t>163</w:t>
            </w:r>
          </w:p>
        </w:tc>
      </w:tr>
      <w:tr w:rsidR="0088183E" w:rsidRPr="006D29C5" w14:paraId="281A6EC8" w14:textId="77777777" w:rsidTr="0088183E">
        <w:trPr>
          <w:trHeight w:val="362"/>
        </w:trPr>
        <w:tc>
          <w:tcPr>
            <w:tcW w:w="1340" w:type="dxa"/>
            <w:vAlign w:val="center"/>
          </w:tcPr>
          <w:p w14:paraId="281A6EC3" w14:textId="77777777" w:rsidR="0088183E" w:rsidRPr="006D29C5" w:rsidRDefault="0088183E" w:rsidP="004816A1">
            <w:pPr>
              <w:jc w:val="center"/>
              <w:rPr>
                <w:sz w:val="20"/>
                <w:szCs w:val="20"/>
              </w:rPr>
            </w:pPr>
            <w:r w:rsidRPr="006D29C5">
              <w:rPr>
                <w:rFonts w:eastAsia="Times New Roman"/>
                <w:sz w:val="20"/>
                <w:szCs w:val="20"/>
              </w:rPr>
              <w:t>4.0</w:t>
            </w:r>
          </w:p>
        </w:tc>
        <w:tc>
          <w:tcPr>
            <w:tcW w:w="3140" w:type="dxa"/>
            <w:vAlign w:val="center"/>
          </w:tcPr>
          <w:p w14:paraId="281A6EC5" w14:textId="77777777" w:rsidR="0088183E" w:rsidRPr="006D29C5" w:rsidRDefault="0088183E" w:rsidP="004816A1">
            <w:pPr>
              <w:jc w:val="center"/>
              <w:rPr>
                <w:sz w:val="20"/>
                <w:szCs w:val="20"/>
              </w:rPr>
            </w:pPr>
            <w:r w:rsidRPr="006D29C5">
              <w:rPr>
                <w:rFonts w:eastAsia="Times New Roman"/>
                <w:sz w:val="20"/>
                <w:szCs w:val="20"/>
              </w:rPr>
              <w:t>22</w:t>
            </w:r>
          </w:p>
        </w:tc>
        <w:tc>
          <w:tcPr>
            <w:tcW w:w="3140" w:type="dxa"/>
            <w:vAlign w:val="center"/>
          </w:tcPr>
          <w:p w14:paraId="281A6EC6" w14:textId="77777777" w:rsidR="0088183E" w:rsidRPr="006D29C5" w:rsidRDefault="0088183E" w:rsidP="004816A1">
            <w:pPr>
              <w:jc w:val="center"/>
              <w:rPr>
                <w:sz w:val="20"/>
                <w:szCs w:val="20"/>
              </w:rPr>
            </w:pPr>
            <w:r w:rsidRPr="006D29C5">
              <w:rPr>
                <w:rFonts w:eastAsia="Times New Roman"/>
                <w:w w:val="99"/>
                <w:sz w:val="20"/>
                <w:szCs w:val="20"/>
              </w:rPr>
              <w:t>22</w:t>
            </w:r>
          </w:p>
        </w:tc>
        <w:tc>
          <w:tcPr>
            <w:tcW w:w="2600" w:type="dxa"/>
            <w:vAlign w:val="center"/>
          </w:tcPr>
          <w:p w14:paraId="281A6EC7" w14:textId="77777777" w:rsidR="0088183E" w:rsidRPr="006D29C5" w:rsidRDefault="0088183E" w:rsidP="004816A1">
            <w:pPr>
              <w:jc w:val="center"/>
              <w:rPr>
                <w:sz w:val="20"/>
                <w:szCs w:val="20"/>
              </w:rPr>
            </w:pPr>
            <w:r w:rsidRPr="006D29C5">
              <w:rPr>
                <w:rFonts w:eastAsia="Times New Roman"/>
                <w:sz w:val="20"/>
                <w:szCs w:val="20"/>
              </w:rPr>
              <w:t>186</w:t>
            </w:r>
          </w:p>
        </w:tc>
      </w:tr>
    </w:tbl>
    <w:p w14:paraId="281A6ECF" w14:textId="19B00E0A" w:rsidR="004647B9" w:rsidRPr="00A07AD4" w:rsidRDefault="004647B9" w:rsidP="004816A1">
      <w:pPr>
        <w:rPr>
          <w:sz w:val="24"/>
          <w:szCs w:val="24"/>
        </w:rPr>
      </w:pPr>
    </w:p>
    <w:p w14:paraId="281A6ED0" w14:textId="77777777" w:rsidR="004647B9" w:rsidRPr="006D29C5" w:rsidRDefault="00E2436F" w:rsidP="004816A1">
      <w:pPr>
        <w:numPr>
          <w:ilvl w:val="1"/>
          <w:numId w:val="815"/>
        </w:numPr>
        <w:tabs>
          <w:tab w:val="left" w:pos="2671"/>
        </w:tabs>
        <w:ind w:left="2340" w:hanging="5"/>
        <w:jc w:val="both"/>
        <w:rPr>
          <w:rFonts w:eastAsia="Times New Roman"/>
          <w:sz w:val="24"/>
          <w:szCs w:val="24"/>
        </w:rPr>
      </w:pPr>
      <w:r w:rsidRPr="006D29C5">
        <w:rPr>
          <w:rFonts w:eastAsia="Times New Roman"/>
          <w:sz w:val="24"/>
          <w:szCs w:val="24"/>
        </w:rPr>
        <w:t xml:space="preserve">the treatment credits listed in 310 CMR 22.20G: </w:t>
      </w:r>
      <w:r w:rsidRPr="006D29C5">
        <w:rPr>
          <w:rFonts w:eastAsia="Times New Roman"/>
          <w:i/>
          <w:iCs/>
          <w:sz w:val="24"/>
          <w:szCs w:val="24"/>
        </w:rPr>
        <w:t>Table 9</w:t>
      </w:r>
      <w:r w:rsidRPr="006D29C5">
        <w:rPr>
          <w:rFonts w:eastAsia="Times New Roman"/>
          <w:sz w:val="24"/>
          <w:szCs w:val="24"/>
        </w:rPr>
        <w:t xml:space="preserve"> shall apply to UV light at a wavelength of 254 nm as produced by a low-pressure mercury vapor lamp. To receive treatment credit for other lamp types, demonstrate an equivalent germicidal dose through reactor validation testing, as described in 310 CMR 22.20G(23)(b)4.;</w:t>
      </w:r>
    </w:p>
    <w:p w14:paraId="281A6ED2" w14:textId="77777777" w:rsidR="004647B9" w:rsidRPr="006D29C5" w:rsidRDefault="00E2436F" w:rsidP="004816A1">
      <w:pPr>
        <w:numPr>
          <w:ilvl w:val="1"/>
          <w:numId w:val="815"/>
        </w:numPr>
        <w:tabs>
          <w:tab w:val="left" w:pos="2794"/>
        </w:tabs>
        <w:ind w:left="2340" w:hanging="5"/>
        <w:jc w:val="both"/>
        <w:rPr>
          <w:rFonts w:eastAsia="Times New Roman"/>
          <w:sz w:val="24"/>
          <w:szCs w:val="24"/>
        </w:rPr>
      </w:pPr>
      <w:r w:rsidRPr="006D29C5">
        <w:rPr>
          <w:rFonts w:eastAsia="Times New Roman"/>
          <w:sz w:val="24"/>
          <w:szCs w:val="24"/>
        </w:rPr>
        <w:t xml:space="preserve">the UV dose values in 310 CMR 22.20G: </w:t>
      </w:r>
      <w:r w:rsidRPr="006D29C5">
        <w:rPr>
          <w:rFonts w:eastAsia="Times New Roman"/>
          <w:i/>
          <w:iCs/>
          <w:sz w:val="24"/>
          <w:szCs w:val="24"/>
        </w:rPr>
        <w:t>Table 9</w:t>
      </w:r>
      <w:r w:rsidRPr="006D29C5">
        <w:rPr>
          <w:rFonts w:eastAsia="Times New Roman"/>
          <w:sz w:val="24"/>
          <w:szCs w:val="24"/>
        </w:rPr>
        <w:t xml:space="preserve"> are applicable only to post-filter applications of UV in filtered Public Water Systems, and to unfiltered Public Water Systems; and</w:t>
      </w:r>
    </w:p>
    <w:p w14:paraId="281A6ED4" w14:textId="77777777" w:rsidR="004647B9" w:rsidRPr="006D29C5" w:rsidRDefault="00E2436F" w:rsidP="004816A1">
      <w:pPr>
        <w:numPr>
          <w:ilvl w:val="1"/>
          <w:numId w:val="815"/>
        </w:numPr>
        <w:tabs>
          <w:tab w:val="left" w:pos="2693"/>
        </w:tabs>
        <w:ind w:left="2340" w:hanging="5"/>
        <w:jc w:val="both"/>
        <w:rPr>
          <w:rFonts w:eastAsia="Times New Roman"/>
          <w:sz w:val="24"/>
          <w:szCs w:val="24"/>
        </w:rPr>
      </w:pPr>
      <w:r w:rsidRPr="006D29C5">
        <w:rPr>
          <w:rFonts w:eastAsia="Times New Roman"/>
          <w:sz w:val="24"/>
          <w:szCs w:val="24"/>
        </w:rPr>
        <w:t>treat at least 95% of the water delivered to the public during each month by UV reactors operating within validated conditions for the required UV dose, as described in 310 CMR 22.20G(23)(b)1.a. and 4.</w:t>
      </w:r>
    </w:p>
    <w:p w14:paraId="281A6ED6" w14:textId="77777777" w:rsidR="004647B9" w:rsidRPr="006D29C5" w:rsidRDefault="00E2436F" w:rsidP="004816A1">
      <w:pPr>
        <w:numPr>
          <w:ilvl w:val="0"/>
          <w:numId w:val="816"/>
        </w:numPr>
        <w:tabs>
          <w:tab w:val="left" w:pos="2390"/>
        </w:tabs>
        <w:ind w:left="1980" w:hanging="5"/>
        <w:rPr>
          <w:rFonts w:eastAsia="Times New Roman"/>
          <w:sz w:val="24"/>
          <w:szCs w:val="24"/>
        </w:rPr>
      </w:pPr>
      <w:r w:rsidRPr="006D29C5">
        <w:rPr>
          <w:rFonts w:eastAsia="Times New Roman"/>
          <w:sz w:val="24"/>
          <w:szCs w:val="24"/>
          <w:u w:val="single"/>
        </w:rPr>
        <w:t>Water Quality Monitoring</w:t>
      </w:r>
      <w:r w:rsidRPr="006D29C5">
        <w:rPr>
          <w:rFonts w:eastAsia="Times New Roman"/>
          <w:sz w:val="24"/>
          <w:szCs w:val="24"/>
        </w:rPr>
        <w:t>. Prior to validation testing, a Supplier of Water shall satisfy the following requirements:</w:t>
      </w:r>
    </w:p>
    <w:p w14:paraId="281A6ED7" w14:textId="77777777" w:rsidR="004647B9" w:rsidRPr="006D29C5" w:rsidRDefault="00E2436F" w:rsidP="004816A1">
      <w:pPr>
        <w:numPr>
          <w:ilvl w:val="1"/>
          <w:numId w:val="816"/>
        </w:numPr>
        <w:tabs>
          <w:tab w:val="left" w:pos="2687"/>
        </w:tabs>
        <w:ind w:left="2340" w:hanging="5"/>
        <w:rPr>
          <w:rFonts w:eastAsia="Times New Roman"/>
          <w:sz w:val="24"/>
          <w:szCs w:val="24"/>
        </w:rPr>
      </w:pPr>
      <w:r w:rsidRPr="006D29C5">
        <w:rPr>
          <w:rFonts w:eastAsia="Times New Roman"/>
          <w:sz w:val="24"/>
          <w:szCs w:val="24"/>
        </w:rPr>
        <w:t>sample the water quality at a location that is immediately upstream from where the UV reactor is to be installed.</w:t>
      </w:r>
    </w:p>
    <w:p w14:paraId="281A6ED8" w14:textId="77777777" w:rsidR="004647B9" w:rsidRPr="006D29C5" w:rsidRDefault="00E2436F" w:rsidP="004816A1">
      <w:pPr>
        <w:numPr>
          <w:ilvl w:val="1"/>
          <w:numId w:val="816"/>
        </w:numPr>
        <w:tabs>
          <w:tab w:val="left" w:pos="2700"/>
        </w:tabs>
        <w:ind w:left="2700" w:hanging="365"/>
        <w:rPr>
          <w:rFonts w:eastAsia="Times New Roman"/>
          <w:sz w:val="24"/>
          <w:szCs w:val="24"/>
        </w:rPr>
      </w:pPr>
      <w:r w:rsidRPr="006D29C5">
        <w:rPr>
          <w:rFonts w:eastAsia="Times New Roman"/>
          <w:sz w:val="24"/>
          <w:szCs w:val="24"/>
        </w:rPr>
        <w:t>ensure monitoring:</w:t>
      </w:r>
    </w:p>
    <w:p w14:paraId="281A6EDA" w14:textId="77777777" w:rsidR="004647B9" w:rsidRPr="006D29C5" w:rsidRDefault="00E2436F" w:rsidP="004816A1">
      <w:pPr>
        <w:numPr>
          <w:ilvl w:val="2"/>
          <w:numId w:val="816"/>
        </w:numPr>
        <w:tabs>
          <w:tab w:val="left" w:pos="2945"/>
        </w:tabs>
        <w:ind w:left="2700" w:hanging="5"/>
        <w:rPr>
          <w:rFonts w:eastAsia="Times New Roman"/>
          <w:sz w:val="24"/>
          <w:szCs w:val="24"/>
        </w:rPr>
      </w:pPr>
      <w:r w:rsidRPr="006D29C5">
        <w:rPr>
          <w:rFonts w:eastAsia="Times New Roman"/>
          <w:sz w:val="24"/>
          <w:szCs w:val="24"/>
        </w:rPr>
        <w:t>represents storm events, reservoir turnover, seasonal changes, source blending and any variation in upstream treatment;</w:t>
      </w:r>
    </w:p>
    <w:p w14:paraId="281A6EDB" w14:textId="77777777" w:rsidR="004647B9" w:rsidRPr="006D29C5" w:rsidRDefault="00E2436F" w:rsidP="004816A1">
      <w:pPr>
        <w:numPr>
          <w:ilvl w:val="2"/>
          <w:numId w:val="816"/>
        </w:numPr>
        <w:tabs>
          <w:tab w:val="left" w:pos="2970"/>
        </w:tabs>
        <w:ind w:left="2700" w:hanging="5"/>
        <w:jc w:val="both"/>
        <w:rPr>
          <w:rFonts w:eastAsia="Times New Roman"/>
          <w:sz w:val="24"/>
          <w:szCs w:val="24"/>
        </w:rPr>
      </w:pPr>
      <w:r w:rsidRPr="006D29C5">
        <w:rPr>
          <w:rFonts w:eastAsia="Times New Roman"/>
          <w:sz w:val="24"/>
          <w:szCs w:val="24"/>
        </w:rPr>
        <w:t xml:space="preserve">is conducted up to the period of time specified in 310 CMR 22.20G: </w:t>
      </w:r>
      <w:r w:rsidRPr="006D29C5">
        <w:rPr>
          <w:rFonts w:eastAsia="Times New Roman"/>
          <w:i/>
          <w:iCs/>
          <w:sz w:val="24"/>
          <w:szCs w:val="24"/>
        </w:rPr>
        <w:t>Table 10</w:t>
      </w:r>
      <w:r w:rsidRPr="006D29C5">
        <w:rPr>
          <w:rFonts w:eastAsia="Times New Roman"/>
          <w:sz w:val="24"/>
          <w:szCs w:val="24"/>
        </w:rPr>
        <w:t>. The Department may approve a shorter period of monitoring if the Supplier of Water can demonstrate that the water quality is stable and does not change seasonally; and</w:t>
      </w:r>
    </w:p>
    <w:p w14:paraId="281A6EDC" w14:textId="77777777" w:rsidR="004647B9" w:rsidRDefault="004647B9" w:rsidP="004816A1">
      <w:pPr>
        <w:sectPr w:rsidR="004647B9" w:rsidSect="00EF630C">
          <w:pgSz w:w="12240" w:h="20180"/>
          <w:pgMar w:top="708" w:right="1440" w:bottom="1440" w:left="540" w:header="0" w:footer="0" w:gutter="0"/>
          <w:cols w:space="720"/>
        </w:sectPr>
      </w:pPr>
    </w:p>
    <w:p w14:paraId="281A6EDD" w14:textId="77777777" w:rsidR="004647B9" w:rsidRDefault="00E2436F">
      <w:pPr>
        <w:tabs>
          <w:tab w:val="left" w:pos="160"/>
        </w:tabs>
        <w:ind w:right="-59"/>
        <w:jc w:val="center"/>
        <w:rPr>
          <w:sz w:val="20"/>
          <w:szCs w:val="20"/>
        </w:rPr>
      </w:pPr>
      <w:bookmarkStart w:id="315" w:name="page320"/>
      <w:bookmarkEnd w:id="31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EDE" w14:textId="77777777" w:rsidR="004647B9" w:rsidRDefault="004647B9" w:rsidP="00A07AD4">
      <w:pPr>
        <w:rPr>
          <w:sz w:val="20"/>
          <w:szCs w:val="20"/>
        </w:rPr>
      </w:pPr>
    </w:p>
    <w:p w14:paraId="281A6EDF" w14:textId="77777777" w:rsidR="004647B9" w:rsidRDefault="004647B9" w:rsidP="00A07AD4">
      <w:pPr>
        <w:rPr>
          <w:sz w:val="20"/>
          <w:szCs w:val="20"/>
        </w:rPr>
      </w:pPr>
    </w:p>
    <w:p w14:paraId="281A6EE0" w14:textId="77777777" w:rsidR="004647B9" w:rsidRPr="00A07AD4" w:rsidRDefault="00E2436F" w:rsidP="00A07AD4">
      <w:pPr>
        <w:tabs>
          <w:tab w:val="left" w:pos="940"/>
        </w:tabs>
        <w:rPr>
          <w:sz w:val="24"/>
          <w:szCs w:val="24"/>
        </w:rPr>
      </w:pPr>
      <w:r w:rsidRPr="00A07AD4">
        <w:rPr>
          <w:rFonts w:eastAsia="Times New Roman"/>
          <w:sz w:val="24"/>
          <w:szCs w:val="24"/>
        </w:rPr>
        <w:t>22.20G:</w:t>
      </w:r>
      <w:r w:rsidRPr="00A07AD4">
        <w:rPr>
          <w:sz w:val="24"/>
          <w:szCs w:val="24"/>
        </w:rPr>
        <w:tab/>
      </w:r>
      <w:r w:rsidRPr="00A07AD4">
        <w:rPr>
          <w:rFonts w:eastAsia="Times New Roman"/>
          <w:sz w:val="24"/>
          <w:szCs w:val="24"/>
        </w:rPr>
        <w:t>continued</w:t>
      </w:r>
    </w:p>
    <w:p w14:paraId="281A6EE1" w14:textId="77777777" w:rsidR="004647B9" w:rsidRDefault="004647B9" w:rsidP="00A07AD4">
      <w:pPr>
        <w:rPr>
          <w:sz w:val="20"/>
          <w:szCs w:val="20"/>
        </w:rPr>
      </w:pPr>
    </w:p>
    <w:p w14:paraId="281A6EE2" w14:textId="58ACD716" w:rsidR="004647B9" w:rsidRDefault="00E2436F" w:rsidP="00905F85">
      <w:pPr>
        <w:numPr>
          <w:ilvl w:val="2"/>
          <w:numId w:val="816"/>
        </w:numPr>
        <w:tabs>
          <w:tab w:val="left" w:pos="2970"/>
        </w:tabs>
        <w:ind w:left="2700" w:hanging="5"/>
        <w:jc w:val="both"/>
        <w:rPr>
          <w:rFonts w:eastAsia="Times New Roman"/>
          <w:sz w:val="24"/>
          <w:szCs w:val="24"/>
        </w:rPr>
      </w:pPr>
      <w:r w:rsidRPr="00F50AC3">
        <w:rPr>
          <w:rFonts w:eastAsia="Times New Roman"/>
          <w:sz w:val="24"/>
          <w:szCs w:val="24"/>
        </w:rPr>
        <w:t xml:space="preserve">meets the water quality limits, specified in 310 CMR 22.20G:  </w:t>
      </w:r>
      <w:r w:rsidRPr="00F50AC3">
        <w:rPr>
          <w:rFonts w:eastAsia="Times New Roman"/>
          <w:i/>
          <w:iCs/>
          <w:sz w:val="24"/>
          <w:szCs w:val="24"/>
        </w:rPr>
        <w:t>Table 10</w:t>
      </w:r>
      <w:r w:rsidRPr="00F50AC3">
        <w:rPr>
          <w:rFonts w:eastAsia="Times New Roman"/>
          <w:sz w:val="24"/>
          <w:szCs w:val="24"/>
        </w:rPr>
        <w:t>:</w:t>
      </w:r>
    </w:p>
    <w:p w14:paraId="79C450A3" w14:textId="77777777" w:rsidR="00F50AC3" w:rsidRPr="00F50AC3" w:rsidRDefault="00F50AC3" w:rsidP="00A07AD4">
      <w:pPr>
        <w:tabs>
          <w:tab w:val="left" w:pos="3391"/>
        </w:tabs>
        <w:jc w:val="both"/>
        <w:rPr>
          <w:rFonts w:eastAsia="Times New Roman"/>
          <w:sz w:val="24"/>
          <w:szCs w:val="24"/>
        </w:rPr>
      </w:pPr>
    </w:p>
    <w:p w14:paraId="281A6EE3" w14:textId="1FDB78B2" w:rsidR="004647B9" w:rsidRPr="00F50AC3" w:rsidRDefault="00F50AC3" w:rsidP="00A07AD4">
      <w:pPr>
        <w:ind w:left="720"/>
        <w:jc w:val="center"/>
        <w:rPr>
          <w:rFonts w:eastAsia="Times New Roman"/>
          <w:i/>
          <w:iCs/>
          <w:sz w:val="24"/>
          <w:szCs w:val="24"/>
        </w:rPr>
      </w:pPr>
      <w:r w:rsidRPr="00F50AC3">
        <w:rPr>
          <w:rFonts w:eastAsia="Times New Roman"/>
          <w:sz w:val="24"/>
          <w:szCs w:val="24"/>
        </w:rPr>
        <w:t xml:space="preserve">310 CMR 22.20G:  </w:t>
      </w:r>
      <w:r w:rsidRPr="00F50AC3">
        <w:rPr>
          <w:rFonts w:eastAsia="Times New Roman"/>
          <w:i/>
          <w:iCs/>
          <w:sz w:val="24"/>
          <w:szCs w:val="24"/>
        </w:rPr>
        <w:t>Table 10</w:t>
      </w:r>
    </w:p>
    <w:p w14:paraId="78A4F654" w14:textId="2D20E27E" w:rsidR="00F50AC3" w:rsidRPr="00F50AC3" w:rsidRDefault="00F50AC3" w:rsidP="00A07AD4">
      <w:pPr>
        <w:ind w:left="720"/>
        <w:jc w:val="center"/>
        <w:rPr>
          <w:sz w:val="24"/>
          <w:szCs w:val="24"/>
        </w:rPr>
      </w:pPr>
      <w:r w:rsidRPr="00F50AC3">
        <w:rPr>
          <w:rFonts w:eastAsia="Times New Roman"/>
          <w:sz w:val="24"/>
          <w:szCs w:val="24"/>
        </w:rPr>
        <w:t>UV RAW WATER QUALITY CRITERIA</w:t>
      </w:r>
    </w:p>
    <w:tbl>
      <w:tblPr>
        <w:tblW w:w="0" w:type="auto"/>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05"/>
        <w:gridCol w:w="2435"/>
        <w:gridCol w:w="1600"/>
      </w:tblGrid>
      <w:tr w:rsidR="00F50AC3" w:rsidRPr="00F50AC3" w14:paraId="281A6EEF" w14:textId="77777777" w:rsidTr="00F50AC3">
        <w:trPr>
          <w:trHeight w:val="367"/>
        </w:trPr>
        <w:tc>
          <w:tcPr>
            <w:tcW w:w="3005" w:type="dxa"/>
            <w:vAlign w:val="center"/>
          </w:tcPr>
          <w:p w14:paraId="281A6EEB" w14:textId="77777777" w:rsidR="00F50AC3" w:rsidRPr="00F50AC3" w:rsidRDefault="00F50AC3" w:rsidP="00A07AD4">
            <w:pPr>
              <w:jc w:val="center"/>
              <w:rPr>
                <w:sz w:val="20"/>
                <w:szCs w:val="20"/>
              </w:rPr>
            </w:pPr>
            <w:r w:rsidRPr="00F50AC3">
              <w:rPr>
                <w:rFonts w:eastAsia="Times New Roman"/>
                <w:sz w:val="20"/>
                <w:szCs w:val="20"/>
              </w:rPr>
              <w:t>Parameter</w:t>
            </w:r>
          </w:p>
        </w:tc>
        <w:tc>
          <w:tcPr>
            <w:tcW w:w="2435" w:type="dxa"/>
            <w:vAlign w:val="center"/>
          </w:tcPr>
          <w:p w14:paraId="281A6EED" w14:textId="77777777" w:rsidR="00F50AC3" w:rsidRPr="00F50AC3" w:rsidRDefault="00F50AC3" w:rsidP="00A07AD4">
            <w:pPr>
              <w:jc w:val="center"/>
              <w:rPr>
                <w:sz w:val="20"/>
                <w:szCs w:val="20"/>
              </w:rPr>
            </w:pPr>
            <w:r w:rsidRPr="00F50AC3">
              <w:rPr>
                <w:rFonts w:eastAsia="Times New Roman"/>
                <w:sz w:val="20"/>
                <w:szCs w:val="20"/>
              </w:rPr>
              <w:t>Frequency</w:t>
            </w:r>
            <w:r w:rsidRPr="00F50AC3">
              <w:rPr>
                <w:rFonts w:eastAsia="Times New Roman"/>
                <w:sz w:val="20"/>
                <w:szCs w:val="20"/>
                <w:vertAlign w:val="superscript"/>
              </w:rPr>
              <w:t>1</w:t>
            </w:r>
          </w:p>
        </w:tc>
        <w:tc>
          <w:tcPr>
            <w:tcW w:w="1600" w:type="dxa"/>
            <w:vAlign w:val="center"/>
          </w:tcPr>
          <w:p w14:paraId="281A6EEE" w14:textId="77777777" w:rsidR="00F50AC3" w:rsidRPr="00F50AC3" w:rsidRDefault="00F50AC3" w:rsidP="00A07AD4">
            <w:pPr>
              <w:jc w:val="center"/>
              <w:rPr>
                <w:sz w:val="20"/>
                <w:szCs w:val="20"/>
              </w:rPr>
            </w:pPr>
            <w:r w:rsidRPr="00F50AC3">
              <w:rPr>
                <w:rFonts w:eastAsia="Times New Roman"/>
                <w:sz w:val="20"/>
                <w:szCs w:val="20"/>
              </w:rPr>
              <w:t>Limits</w:t>
            </w:r>
          </w:p>
        </w:tc>
      </w:tr>
      <w:tr w:rsidR="00F50AC3" w:rsidRPr="00F50AC3" w14:paraId="281A6EF9" w14:textId="77777777" w:rsidTr="00F50AC3">
        <w:trPr>
          <w:trHeight w:val="362"/>
        </w:trPr>
        <w:tc>
          <w:tcPr>
            <w:tcW w:w="3005" w:type="dxa"/>
            <w:vAlign w:val="center"/>
          </w:tcPr>
          <w:p w14:paraId="281A6EF5" w14:textId="77777777" w:rsidR="00F50AC3" w:rsidRPr="00F50AC3" w:rsidRDefault="00F50AC3" w:rsidP="00A07AD4">
            <w:pPr>
              <w:ind w:left="144"/>
              <w:rPr>
                <w:sz w:val="20"/>
                <w:szCs w:val="20"/>
              </w:rPr>
            </w:pPr>
            <w:r w:rsidRPr="00F50AC3">
              <w:rPr>
                <w:rFonts w:eastAsia="Times New Roman"/>
                <w:sz w:val="20"/>
                <w:szCs w:val="20"/>
              </w:rPr>
              <w:t>pH (field measurement)</w:t>
            </w:r>
          </w:p>
        </w:tc>
        <w:tc>
          <w:tcPr>
            <w:tcW w:w="2435" w:type="dxa"/>
            <w:vAlign w:val="center"/>
          </w:tcPr>
          <w:p w14:paraId="281A6EF7" w14:textId="77777777" w:rsidR="00F50AC3" w:rsidRPr="00F50AC3" w:rsidRDefault="00F50AC3" w:rsidP="00A07AD4">
            <w:pPr>
              <w:ind w:left="144"/>
              <w:rPr>
                <w:sz w:val="20"/>
                <w:szCs w:val="20"/>
              </w:rPr>
            </w:pPr>
            <w:r w:rsidRPr="00F50AC3">
              <w:rPr>
                <w:rFonts w:eastAsia="Times New Roman"/>
                <w:sz w:val="20"/>
                <w:szCs w:val="20"/>
              </w:rPr>
              <w:t>Monthly</w:t>
            </w:r>
          </w:p>
        </w:tc>
        <w:tc>
          <w:tcPr>
            <w:tcW w:w="1600" w:type="dxa"/>
            <w:vAlign w:val="center"/>
          </w:tcPr>
          <w:p w14:paraId="281A6EF8" w14:textId="77777777" w:rsidR="00F50AC3" w:rsidRPr="00F50AC3" w:rsidRDefault="00F50AC3" w:rsidP="00A07AD4">
            <w:pPr>
              <w:jc w:val="center"/>
              <w:rPr>
                <w:sz w:val="20"/>
                <w:szCs w:val="20"/>
              </w:rPr>
            </w:pPr>
            <w:r w:rsidRPr="00F50AC3">
              <w:rPr>
                <w:rFonts w:eastAsia="Times New Roman"/>
                <w:sz w:val="20"/>
                <w:szCs w:val="20"/>
              </w:rPr>
              <w:t>NA</w:t>
            </w:r>
          </w:p>
        </w:tc>
      </w:tr>
      <w:tr w:rsidR="00F50AC3" w:rsidRPr="00F50AC3" w14:paraId="281A6F03" w14:textId="77777777" w:rsidTr="00F50AC3">
        <w:trPr>
          <w:trHeight w:val="364"/>
        </w:trPr>
        <w:tc>
          <w:tcPr>
            <w:tcW w:w="3005" w:type="dxa"/>
            <w:vAlign w:val="center"/>
          </w:tcPr>
          <w:p w14:paraId="281A6EFF" w14:textId="77777777" w:rsidR="00F50AC3" w:rsidRPr="00F50AC3" w:rsidRDefault="00F50AC3" w:rsidP="00A07AD4">
            <w:pPr>
              <w:ind w:left="144"/>
              <w:rPr>
                <w:sz w:val="20"/>
                <w:szCs w:val="20"/>
              </w:rPr>
            </w:pPr>
            <w:r w:rsidRPr="00F50AC3">
              <w:rPr>
                <w:rFonts w:eastAsia="Times New Roman"/>
                <w:sz w:val="20"/>
                <w:szCs w:val="20"/>
              </w:rPr>
              <w:t>Temp. (field measurement)</w:t>
            </w:r>
          </w:p>
        </w:tc>
        <w:tc>
          <w:tcPr>
            <w:tcW w:w="2435" w:type="dxa"/>
            <w:vAlign w:val="center"/>
          </w:tcPr>
          <w:p w14:paraId="281A6F01" w14:textId="77777777" w:rsidR="00F50AC3" w:rsidRPr="00F50AC3" w:rsidRDefault="00F50AC3" w:rsidP="00A07AD4">
            <w:pPr>
              <w:ind w:left="144"/>
              <w:rPr>
                <w:sz w:val="20"/>
                <w:szCs w:val="20"/>
              </w:rPr>
            </w:pPr>
            <w:r w:rsidRPr="00F50AC3">
              <w:rPr>
                <w:rFonts w:eastAsia="Times New Roman"/>
                <w:sz w:val="20"/>
                <w:szCs w:val="20"/>
              </w:rPr>
              <w:t>Bi-weekly for one year</w:t>
            </w:r>
          </w:p>
        </w:tc>
        <w:tc>
          <w:tcPr>
            <w:tcW w:w="1600" w:type="dxa"/>
            <w:vAlign w:val="center"/>
          </w:tcPr>
          <w:p w14:paraId="281A6F02" w14:textId="77777777" w:rsidR="00F50AC3" w:rsidRPr="00F50AC3" w:rsidRDefault="00F50AC3" w:rsidP="00A07AD4">
            <w:pPr>
              <w:jc w:val="center"/>
              <w:rPr>
                <w:sz w:val="20"/>
                <w:szCs w:val="20"/>
              </w:rPr>
            </w:pPr>
            <w:r w:rsidRPr="00F50AC3">
              <w:rPr>
                <w:rFonts w:eastAsia="Times New Roman"/>
                <w:w w:val="99"/>
                <w:sz w:val="20"/>
                <w:szCs w:val="20"/>
              </w:rPr>
              <w:t>NA</w:t>
            </w:r>
          </w:p>
        </w:tc>
      </w:tr>
      <w:tr w:rsidR="00F50AC3" w:rsidRPr="00F50AC3" w14:paraId="281A6F0D" w14:textId="77777777" w:rsidTr="00F50AC3">
        <w:trPr>
          <w:trHeight w:val="362"/>
        </w:trPr>
        <w:tc>
          <w:tcPr>
            <w:tcW w:w="3005" w:type="dxa"/>
            <w:vAlign w:val="center"/>
          </w:tcPr>
          <w:p w14:paraId="281A6F09" w14:textId="77777777" w:rsidR="00F50AC3" w:rsidRPr="00F50AC3" w:rsidRDefault="00F50AC3" w:rsidP="00A07AD4">
            <w:pPr>
              <w:ind w:left="144"/>
              <w:rPr>
                <w:sz w:val="20"/>
                <w:szCs w:val="20"/>
              </w:rPr>
            </w:pPr>
            <w:r w:rsidRPr="00F50AC3">
              <w:rPr>
                <w:rFonts w:eastAsia="Times New Roman"/>
                <w:sz w:val="20"/>
                <w:szCs w:val="20"/>
              </w:rPr>
              <w:t>Dissolved iron (mg/L)</w:t>
            </w:r>
          </w:p>
        </w:tc>
        <w:tc>
          <w:tcPr>
            <w:tcW w:w="2435" w:type="dxa"/>
            <w:vAlign w:val="center"/>
          </w:tcPr>
          <w:p w14:paraId="281A6F0B" w14:textId="77777777" w:rsidR="00F50AC3" w:rsidRPr="00F50AC3" w:rsidRDefault="00F50AC3" w:rsidP="00A07AD4">
            <w:pPr>
              <w:ind w:left="144"/>
              <w:rPr>
                <w:sz w:val="20"/>
                <w:szCs w:val="20"/>
              </w:rPr>
            </w:pPr>
            <w:r w:rsidRPr="00F50AC3">
              <w:rPr>
                <w:rFonts w:eastAsia="Times New Roman"/>
                <w:sz w:val="20"/>
                <w:szCs w:val="20"/>
              </w:rPr>
              <w:t>Quarterly for one year</w:t>
            </w:r>
          </w:p>
        </w:tc>
        <w:tc>
          <w:tcPr>
            <w:tcW w:w="1600" w:type="dxa"/>
            <w:vAlign w:val="center"/>
          </w:tcPr>
          <w:p w14:paraId="281A6F0C" w14:textId="77777777" w:rsidR="00F50AC3" w:rsidRPr="00F50AC3" w:rsidRDefault="00F50AC3" w:rsidP="00A07AD4">
            <w:pPr>
              <w:jc w:val="center"/>
              <w:rPr>
                <w:sz w:val="20"/>
                <w:szCs w:val="20"/>
              </w:rPr>
            </w:pPr>
            <w:r w:rsidRPr="00F50AC3">
              <w:rPr>
                <w:rFonts w:eastAsia="Times New Roman"/>
                <w:sz w:val="20"/>
                <w:szCs w:val="20"/>
              </w:rPr>
              <w:t>0.1</w:t>
            </w:r>
          </w:p>
        </w:tc>
      </w:tr>
      <w:tr w:rsidR="00F50AC3" w:rsidRPr="00F50AC3" w14:paraId="281A6F17" w14:textId="77777777" w:rsidTr="00F50AC3">
        <w:trPr>
          <w:trHeight w:val="364"/>
        </w:trPr>
        <w:tc>
          <w:tcPr>
            <w:tcW w:w="3005" w:type="dxa"/>
            <w:vAlign w:val="center"/>
          </w:tcPr>
          <w:p w14:paraId="281A6F13" w14:textId="77777777" w:rsidR="00F50AC3" w:rsidRPr="00F50AC3" w:rsidRDefault="00F50AC3" w:rsidP="00A07AD4">
            <w:pPr>
              <w:ind w:left="144"/>
              <w:rPr>
                <w:sz w:val="20"/>
                <w:szCs w:val="20"/>
              </w:rPr>
            </w:pPr>
            <w:r w:rsidRPr="00F50AC3">
              <w:rPr>
                <w:rFonts w:eastAsia="Times New Roman"/>
                <w:sz w:val="20"/>
                <w:szCs w:val="20"/>
              </w:rPr>
              <w:t>Dissolved manganese (mg/L)</w:t>
            </w:r>
          </w:p>
        </w:tc>
        <w:tc>
          <w:tcPr>
            <w:tcW w:w="2435" w:type="dxa"/>
            <w:vAlign w:val="center"/>
          </w:tcPr>
          <w:p w14:paraId="281A6F15" w14:textId="77777777" w:rsidR="00F50AC3" w:rsidRPr="00F50AC3" w:rsidRDefault="00F50AC3" w:rsidP="00A07AD4">
            <w:pPr>
              <w:ind w:left="144"/>
              <w:rPr>
                <w:sz w:val="20"/>
                <w:szCs w:val="20"/>
              </w:rPr>
            </w:pPr>
            <w:r w:rsidRPr="00F50AC3">
              <w:rPr>
                <w:rFonts w:eastAsia="Times New Roman"/>
                <w:sz w:val="20"/>
                <w:szCs w:val="20"/>
              </w:rPr>
              <w:t>Quarterly for one year</w:t>
            </w:r>
          </w:p>
        </w:tc>
        <w:tc>
          <w:tcPr>
            <w:tcW w:w="1600" w:type="dxa"/>
            <w:vAlign w:val="center"/>
          </w:tcPr>
          <w:p w14:paraId="281A6F16" w14:textId="77777777" w:rsidR="00F50AC3" w:rsidRPr="00F50AC3" w:rsidRDefault="00F50AC3" w:rsidP="00A07AD4">
            <w:pPr>
              <w:jc w:val="center"/>
              <w:rPr>
                <w:sz w:val="20"/>
                <w:szCs w:val="20"/>
              </w:rPr>
            </w:pPr>
            <w:r w:rsidRPr="00F50AC3">
              <w:rPr>
                <w:rFonts w:eastAsia="Times New Roman"/>
                <w:sz w:val="20"/>
                <w:szCs w:val="20"/>
              </w:rPr>
              <w:t>0.05</w:t>
            </w:r>
          </w:p>
        </w:tc>
      </w:tr>
      <w:tr w:rsidR="00F50AC3" w:rsidRPr="00F50AC3" w14:paraId="281A6F21" w14:textId="77777777" w:rsidTr="00F50AC3">
        <w:trPr>
          <w:trHeight w:val="362"/>
        </w:trPr>
        <w:tc>
          <w:tcPr>
            <w:tcW w:w="3005" w:type="dxa"/>
            <w:vAlign w:val="center"/>
          </w:tcPr>
          <w:p w14:paraId="281A6F1D" w14:textId="77777777" w:rsidR="00F50AC3" w:rsidRPr="00F50AC3" w:rsidRDefault="00F50AC3" w:rsidP="00A07AD4">
            <w:pPr>
              <w:ind w:left="144"/>
              <w:rPr>
                <w:sz w:val="20"/>
                <w:szCs w:val="20"/>
              </w:rPr>
            </w:pPr>
            <w:r w:rsidRPr="00F50AC3">
              <w:rPr>
                <w:rFonts w:eastAsia="Times New Roman"/>
                <w:sz w:val="20"/>
                <w:szCs w:val="20"/>
              </w:rPr>
              <w:t>Turbidity (NTU)</w:t>
            </w:r>
          </w:p>
        </w:tc>
        <w:tc>
          <w:tcPr>
            <w:tcW w:w="2435" w:type="dxa"/>
            <w:vAlign w:val="center"/>
          </w:tcPr>
          <w:p w14:paraId="281A6F1F" w14:textId="77777777" w:rsidR="00F50AC3" w:rsidRPr="00F50AC3" w:rsidRDefault="00F50AC3" w:rsidP="00A07AD4">
            <w:pPr>
              <w:ind w:left="144"/>
              <w:rPr>
                <w:sz w:val="20"/>
                <w:szCs w:val="20"/>
              </w:rPr>
            </w:pPr>
            <w:r w:rsidRPr="00F50AC3">
              <w:rPr>
                <w:rFonts w:eastAsia="Times New Roman"/>
                <w:sz w:val="20"/>
                <w:szCs w:val="20"/>
              </w:rPr>
              <w:t>Bi-weekly for one year</w:t>
            </w:r>
          </w:p>
        </w:tc>
        <w:tc>
          <w:tcPr>
            <w:tcW w:w="1600" w:type="dxa"/>
            <w:vAlign w:val="center"/>
          </w:tcPr>
          <w:p w14:paraId="281A6F20" w14:textId="77777777" w:rsidR="00F50AC3" w:rsidRPr="00F50AC3" w:rsidRDefault="00F50AC3" w:rsidP="00A07AD4">
            <w:pPr>
              <w:jc w:val="center"/>
              <w:rPr>
                <w:sz w:val="20"/>
                <w:szCs w:val="20"/>
              </w:rPr>
            </w:pPr>
            <w:r w:rsidRPr="00F50AC3">
              <w:rPr>
                <w:rFonts w:eastAsia="Times New Roman"/>
                <w:sz w:val="20"/>
                <w:szCs w:val="20"/>
              </w:rPr>
              <w:t>0.3</w:t>
            </w:r>
          </w:p>
        </w:tc>
      </w:tr>
      <w:tr w:rsidR="00F50AC3" w:rsidRPr="00F50AC3" w14:paraId="281A6F2B" w14:textId="77777777" w:rsidTr="00F50AC3">
        <w:trPr>
          <w:trHeight w:val="364"/>
        </w:trPr>
        <w:tc>
          <w:tcPr>
            <w:tcW w:w="3005" w:type="dxa"/>
            <w:vAlign w:val="center"/>
          </w:tcPr>
          <w:p w14:paraId="281A6F27" w14:textId="77777777" w:rsidR="00F50AC3" w:rsidRPr="00F50AC3" w:rsidRDefault="00F50AC3" w:rsidP="00A07AD4">
            <w:pPr>
              <w:ind w:left="144"/>
              <w:rPr>
                <w:sz w:val="20"/>
                <w:szCs w:val="20"/>
              </w:rPr>
            </w:pPr>
            <w:r w:rsidRPr="00F50AC3">
              <w:rPr>
                <w:rFonts w:eastAsia="Times New Roman"/>
                <w:sz w:val="20"/>
                <w:szCs w:val="20"/>
              </w:rPr>
              <w:t>Color (color units)</w:t>
            </w:r>
          </w:p>
        </w:tc>
        <w:tc>
          <w:tcPr>
            <w:tcW w:w="2435" w:type="dxa"/>
            <w:vAlign w:val="center"/>
          </w:tcPr>
          <w:p w14:paraId="281A6F29" w14:textId="77777777" w:rsidR="00F50AC3" w:rsidRPr="00F50AC3" w:rsidRDefault="00F50AC3" w:rsidP="00A07AD4">
            <w:pPr>
              <w:ind w:left="144"/>
              <w:rPr>
                <w:sz w:val="20"/>
                <w:szCs w:val="20"/>
              </w:rPr>
            </w:pPr>
            <w:r w:rsidRPr="00F50AC3">
              <w:rPr>
                <w:rFonts w:eastAsia="Times New Roman"/>
                <w:sz w:val="20"/>
                <w:szCs w:val="20"/>
              </w:rPr>
              <w:t>Monthly</w:t>
            </w:r>
          </w:p>
        </w:tc>
        <w:tc>
          <w:tcPr>
            <w:tcW w:w="1600" w:type="dxa"/>
            <w:vAlign w:val="center"/>
          </w:tcPr>
          <w:p w14:paraId="281A6F2A" w14:textId="77777777" w:rsidR="00F50AC3" w:rsidRPr="00F50AC3" w:rsidRDefault="00F50AC3" w:rsidP="00A07AD4">
            <w:pPr>
              <w:jc w:val="center"/>
              <w:rPr>
                <w:sz w:val="20"/>
                <w:szCs w:val="20"/>
              </w:rPr>
            </w:pPr>
            <w:r w:rsidRPr="00F50AC3">
              <w:rPr>
                <w:rFonts w:eastAsia="Times New Roman"/>
                <w:w w:val="99"/>
                <w:sz w:val="20"/>
                <w:szCs w:val="20"/>
              </w:rPr>
              <w:t>15</w:t>
            </w:r>
          </w:p>
        </w:tc>
      </w:tr>
      <w:tr w:rsidR="00F50AC3" w:rsidRPr="00F50AC3" w14:paraId="281A6F35" w14:textId="77777777" w:rsidTr="00F50AC3">
        <w:trPr>
          <w:trHeight w:val="387"/>
        </w:trPr>
        <w:tc>
          <w:tcPr>
            <w:tcW w:w="3005" w:type="dxa"/>
            <w:vAlign w:val="center"/>
          </w:tcPr>
          <w:p w14:paraId="281A6F31" w14:textId="77777777" w:rsidR="00F50AC3" w:rsidRPr="00F50AC3" w:rsidRDefault="00F50AC3" w:rsidP="00A07AD4">
            <w:pPr>
              <w:ind w:left="144"/>
              <w:rPr>
                <w:sz w:val="20"/>
                <w:szCs w:val="20"/>
              </w:rPr>
            </w:pPr>
            <w:r w:rsidRPr="00F50AC3">
              <w:rPr>
                <w:rFonts w:eastAsia="Times New Roman"/>
                <w:sz w:val="20"/>
                <w:szCs w:val="20"/>
              </w:rPr>
              <w:t>Total Hardness (mg/L as CaCO</w:t>
            </w:r>
            <w:r w:rsidRPr="00F50AC3">
              <w:rPr>
                <w:rFonts w:eastAsia="Times New Roman"/>
                <w:sz w:val="20"/>
                <w:szCs w:val="20"/>
                <w:vertAlign w:val="subscript"/>
              </w:rPr>
              <w:t>3</w:t>
            </w:r>
            <w:r w:rsidRPr="00F50AC3">
              <w:rPr>
                <w:rFonts w:eastAsia="Times New Roman"/>
                <w:sz w:val="20"/>
                <w:szCs w:val="20"/>
              </w:rPr>
              <w:t>)</w:t>
            </w:r>
          </w:p>
        </w:tc>
        <w:tc>
          <w:tcPr>
            <w:tcW w:w="2435" w:type="dxa"/>
            <w:vAlign w:val="center"/>
          </w:tcPr>
          <w:p w14:paraId="281A6F33" w14:textId="77777777" w:rsidR="00F50AC3" w:rsidRPr="00F50AC3" w:rsidRDefault="00F50AC3" w:rsidP="00A07AD4">
            <w:pPr>
              <w:ind w:left="144"/>
              <w:rPr>
                <w:sz w:val="20"/>
                <w:szCs w:val="20"/>
              </w:rPr>
            </w:pPr>
            <w:r w:rsidRPr="00F50AC3">
              <w:rPr>
                <w:rFonts w:eastAsia="Times New Roman"/>
                <w:sz w:val="20"/>
                <w:szCs w:val="20"/>
              </w:rPr>
              <w:t>Quarterly for one year</w:t>
            </w:r>
          </w:p>
        </w:tc>
        <w:tc>
          <w:tcPr>
            <w:tcW w:w="1600" w:type="dxa"/>
            <w:vAlign w:val="center"/>
          </w:tcPr>
          <w:p w14:paraId="281A6F34" w14:textId="77777777" w:rsidR="00F50AC3" w:rsidRPr="00F50AC3" w:rsidRDefault="00F50AC3" w:rsidP="00A07AD4">
            <w:pPr>
              <w:jc w:val="center"/>
              <w:rPr>
                <w:sz w:val="20"/>
                <w:szCs w:val="20"/>
              </w:rPr>
            </w:pPr>
            <w:r w:rsidRPr="00F50AC3">
              <w:rPr>
                <w:rFonts w:eastAsia="Times New Roman"/>
                <w:sz w:val="20"/>
                <w:szCs w:val="20"/>
              </w:rPr>
              <w:t>120</w:t>
            </w:r>
          </w:p>
        </w:tc>
      </w:tr>
      <w:tr w:rsidR="00F50AC3" w:rsidRPr="00F50AC3" w14:paraId="281A6F3F" w14:textId="77777777" w:rsidTr="00F50AC3">
        <w:trPr>
          <w:trHeight w:val="365"/>
        </w:trPr>
        <w:tc>
          <w:tcPr>
            <w:tcW w:w="3005" w:type="dxa"/>
            <w:vAlign w:val="center"/>
          </w:tcPr>
          <w:p w14:paraId="281A6F3B" w14:textId="77777777" w:rsidR="00F50AC3" w:rsidRPr="00F50AC3" w:rsidRDefault="00F50AC3" w:rsidP="00A07AD4">
            <w:pPr>
              <w:ind w:left="144"/>
              <w:rPr>
                <w:sz w:val="20"/>
                <w:szCs w:val="20"/>
              </w:rPr>
            </w:pPr>
            <w:r w:rsidRPr="00F50AC3">
              <w:rPr>
                <w:rFonts w:eastAsia="Times New Roman"/>
                <w:sz w:val="20"/>
                <w:szCs w:val="20"/>
              </w:rPr>
              <w:t>Hydrogen Sulfide</w:t>
            </w:r>
            <w:r w:rsidRPr="00F50AC3">
              <w:rPr>
                <w:rFonts w:eastAsia="Times New Roman"/>
                <w:sz w:val="20"/>
                <w:szCs w:val="20"/>
                <w:vertAlign w:val="superscript"/>
              </w:rPr>
              <w:t>2</w:t>
            </w:r>
            <w:r w:rsidRPr="00F50AC3">
              <w:rPr>
                <w:rFonts w:eastAsia="Times New Roman"/>
                <w:sz w:val="20"/>
                <w:szCs w:val="20"/>
              </w:rPr>
              <w:t xml:space="preserve"> (mg/L)</w:t>
            </w:r>
          </w:p>
        </w:tc>
        <w:tc>
          <w:tcPr>
            <w:tcW w:w="2435" w:type="dxa"/>
            <w:vAlign w:val="center"/>
          </w:tcPr>
          <w:p w14:paraId="281A6F3D" w14:textId="77777777" w:rsidR="00F50AC3" w:rsidRPr="00F50AC3" w:rsidRDefault="00F50AC3" w:rsidP="00A07AD4">
            <w:pPr>
              <w:ind w:left="144"/>
              <w:rPr>
                <w:sz w:val="20"/>
                <w:szCs w:val="20"/>
              </w:rPr>
            </w:pPr>
            <w:r w:rsidRPr="00F50AC3">
              <w:rPr>
                <w:rFonts w:eastAsia="Times New Roman"/>
                <w:sz w:val="20"/>
                <w:szCs w:val="20"/>
              </w:rPr>
              <w:t>Quarterly for one year</w:t>
            </w:r>
          </w:p>
        </w:tc>
        <w:tc>
          <w:tcPr>
            <w:tcW w:w="1600" w:type="dxa"/>
            <w:vAlign w:val="center"/>
          </w:tcPr>
          <w:p w14:paraId="281A6F3E" w14:textId="77777777" w:rsidR="00F50AC3" w:rsidRPr="00F50AC3" w:rsidRDefault="00F50AC3" w:rsidP="00A07AD4">
            <w:pPr>
              <w:jc w:val="center"/>
              <w:rPr>
                <w:sz w:val="20"/>
                <w:szCs w:val="20"/>
              </w:rPr>
            </w:pPr>
            <w:r w:rsidRPr="00F50AC3">
              <w:rPr>
                <w:rFonts w:eastAsia="Times New Roman"/>
                <w:sz w:val="20"/>
                <w:szCs w:val="20"/>
              </w:rPr>
              <w:t>0.2</w:t>
            </w:r>
          </w:p>
        </w:tc>
      </w:tr>
      <w:tr w:rsidR="00F50AC3" w:rsidRPr="00F50AC3" w14:paraId="281A6F49" w14:textId="77777777" w:rsidTr="00F50AC3">
        <w:trPr>
          <w:trHeight w:val="387"/>
        </w:trPr>
        <w:tc>
          <w:tcPr>
            <w:tcW w:w="3005" w:type="dxa"/>
            <w:vAlign w:val="center"/>
          </w:tcPr>
          <w:p w14:paraId="281A6F45" w14:textId="77777777" w:rsidR="00F50AC3" w:rsidRPr="00F50AC3" w:rsidRDefault="00F50AC3" w:rsidP="00A07AD4">
            <w:pPr>
              <w:ind w:left="144"/>
              <w:rPr>
                <w:sz w:val="20"/>
                <w:szCs w:val="20"/>
              </w:rPr>
            </w:pPr>
            <w:r w:rsidRPr="00F50AC3">
              <w:rPr>
                <w:rFonts w:eastAsia="Times New Roman"/>
                <w:sz w:val="20"/>
                <w:szCs w:val="20"/>
              </w:rPr>
              <w:t>Alkalinity (mg/L as CaCO</w:t>
            </w:r>
            <w:r w:rsidRPr="00F50AC3">
              <w:rPr>
                <w:rFonts w:eastAsia="Times New Roman"/>
                <w:sz w:val="20"/>
                <w:szCs w:val="20"/>
                <w:vertAlign w:val="subscript"/>
              </w:rPr>
              <w:t>3</w:t>
            </w:r>
            <w:r w:rsidRPr="00F50AC3">
              <w:rPr>
                <w:rFonts w:eastAsia="Times New Roman"/>
                <w:sz w:val="20"/>
                <w:szCs w:val="20"/>
              </w:rPr>
              <w:t>)</w:t>
            </w:r>
          </w:p>
        </w:tc>
        <w:tc>
          <w:tcPr>
            <w:tcW w:w="2435" w:type="dxa"/>
            <w:vAlign w:val="center"/>
          </w:tcPr>
          <w:p w14:paraId="281A6F47" w14:textId="77777777" w:rsidR="00F50AC3" w:rsidRPr="00F50AC3" w:rsidRDefault="00F50AC3" w:rsidP="00A07AD4">
            <w:pPr>
              <w:ind w:left="144"/>
              <w:rPr>
                <w:sz w:val="20"/>
                <w:szCs w:val="20"/>
              </w:rPr>
            </w:pPr>
            <w:r w:rsidRPr="00F50AC3">
              <w:rPr>
                <w:rFonts w:eastAsia="Times New Roman"/>
                <w:sz w:val="20"/>
                <w:szCs w:val="20"/>
              </w:rPr>
              <w:t>Quarterly for one year</w:t>
            </w:r>
          </w:p>
        </w:tc>
        <w:tc>
          <w:tcPr>
            <w:tcW w:w="1600" w:type="dxa"/>
            <w:vAlign w:val="center"/>
          </w:tcPr>
          <w:p w14:paraId="281A6F48" w14:textId="77777777" w:rsidR="00F50AC3" w:rsidRPr="00F50AC3" w:rsidRDefault="00F50AC3" w:rsidP="00A07AD4">
            <w:pPr>
              <w:jc w:val="center"/>
              <w:rPr>
                <w:sz w:val="20"/>
                <w:szCs w:val="20"/>
              </w:rPr>
            </w:pPr>
            <w:r w:rsidRPr="00F50AC3">
              <w:rPr>
                <w:rFonts w:eastAsia="Times New Roman"/>
                <w:w w:val="99"/>
                <w:sz w:val="20"/>
                <w:szCs w:val="20"/>
              </w:rPr>
              <w:t>NA</w:t>
            </w:r>
          </w:p>
        </w:tc>
      </w:tr>
      <w:tr w:rsidR="00F50AC3" w:rsidRPr="00F50AC3" w14:paraId="281A6F53" w14:textId="77777777" w:rsidTr="00F50AC3">
        <w:trPr>
          <w:trHeight w:val="364"/>
        </w:trPr>
        <w:tc>
          <w:tcPr>
            <w:tcW w:w="3005" w:type="dxa"/>
            <w:vAlign w:val="center"/>
          </w:tcPr>
          <w:p w14:paraId="281A6F4F" w14:textId="77777777" w:rsidR="00F50AC3" w:rsidRPr="00F50AC3" w:rsidRDefault="00F50AC3" w:rsidP="00A07AD4">
            <w:pPr>
              <w:ind w:left="144"/>
              <w:rPr>
                <w:sz w:val="20"/>
                <w:szCs w:val="20"/>
              </w:rPr>
            </w:pPr>
            <w:r w:rsidRPr="00F50AC3">
              <w:rPr>
                <w:rFonts w:eastAsia="Times New Roman"/>
                <w:sz w:val="20"/>
                <w:szCs w:val="20"/>
              </w:rPr>
              <w:t>Suspended Solids (mg/L)</w:t>
            </w:r>
          </w:p>
        </w:tc>
        <w:tc>
          <w:tcPr>
            <w:tcW w:w="2435" w:type="dxa"/>
            <w:vAlign w:val="center"/>
          </w:tcPr>
          <w:p w14:paraId="281A6F51" w14:textId="77777777" w:rsidR="00F50AC3" w:rsidRPr="00F50AC3" w:rsidRDefault="00F50AC3" w:rsidP="00A07AD4">
            <w:pPr>
              <w:ind w:left="144"/>
              <w:rPr>
                <w:sz w:val="20"/>
                <w:szCs w:val="20"/>
              </w:rPr>
            </w:pPr>
            <w:r w:rsidRPr="00F50AC3">
              <w:rPr>
                <w:rFonts w:eastAsia="Times New Roman"/>
                <w:sz w:val="20"/>
                <w:szCs w:val="20"/>
              </w:rPr>
              <w:t>Quarterly for one year</w:t>
            </w:r>
          </w:p>
        </w:tc>
        <w:tc>
          <w:tcPr>
            <w:tcW w:w="1600" w:type="dxa"/>
            <w:vAlign w:val="center"/>
          </w:tcPr>
          <w:p w14:paraId="281A6F52" w14:textId="77777777" w:rsidR="00F50AC3" w:rsidRPr="00F50AC3" w:rsidRDefault="00F50AC3" w:rsidP="00A07AD4">
            <w:pPr>
              <w:jc w:val="center"/>
              <w:rPr>
                <w:sz w:val="20"/>
                <w:szCs w:val="20"/>
              </w:rPr>
            </w:pPr>
            <w:r w:rsidRPr="00F50AC3">
              <w:rPr>
                <w:rFonts w:eastAsia="Times New Roman"/>
                <w:sz w:val="20"/>
                <w:szCs w:val="20"/>
              </w:rPr>
              <w:t>10.0</w:t>
            </w:r>
          </w:p>
        </w:tc>
      </w:tr>
      <w:tr w:rsidR="00F50AC3" w:rsidRPr="00F50AC3" w14:paraId="281A6F5D" w14:textId="77777777" w:rsidTr="00F50AC3">
        <w:trPr>
          <w:trHeight w:val="362"/>
        </w:trPr>
        <w:tc>
          <w:tcPr>
            <w:tcW w:w="3005" w:type="dxa"/>
            <w:vAlign w:val="center"/>
          </w:tcPr>
          <w:p w14:paraId="281A6F59" w14:textId="77777777" w:rsidR="00F50AC3" w:rsidRPr="00F50AC3" w:rsidRDefault="00F50AC3" w:rsidP="00A07AD4">
            <w:pPr>
              <w:ind w:left="144"/>
              <w:rPr>
                <w:sz w:val="20"/>
                <w:szCs w:val="20"/>
              </w:rPr>
            </w:pPr>
            <w:r w:rsidRPr="00F50AC3">
              <w:rPr>
                <w:rFonts w:eastAsia="Times New Roman"/>
                <w:sz w:val="20"/>
                <w:szCs w:val="20"/>
              </w:rPr>
              <w:t>UV Transmittance at 254nm</w:t>
            </w:r>
          </w:p>
        </w:tc>
        <w:tc>
          <w:tcPr>
            <w:tcW w:w="2435" w:type="dxa"/>
            <w:vAlign w:val="center"/>
          </w:tcPr>
          <w:p w14:paraId="281A6F5B" w14:textId="77777777" w:rsidR="00F50AC3" w:rsidRPr="00F50AC3" w:rsidRDefault="00F50AC3" w:rsidP="00A07AD4">
            <w:pPr>
              <w:ind w:left="144"/>
              <w:rPr>
                <w:sz w:val="20"/>
                <w:szCs w:val="20"/>
              </w:rPr>
            </w:pPr>
            <w:r w:rsidRPr="00F50AC3">
              <w:rPr>
                <w:rFonts w:eastAsia="Times New Roman"/>
                <w:sz w:val="20"/>
                <w:szCs w:val="20"/>
              </w:rPr>
              <w:t>Bi-weekly for one year</w:t>
            </w:r>
          </w:p>
        </w:tc>
        <w:tc>
          <w:tcPr>
            <w:tcW w:w="1600" w:type="dxa"/>
            <w:vAlign w:val="center"/>
          </w:tcPr>
          <w:p w14:paraId="281A6F5C" w14:textId="77777777" w:rsidR="00F50AC3" w:rsidRPr="00F50AC3" w:rsidRDefault="00F50AC3" w:rsidP="00A07AD4">
            <w:pPr>
              <w:jc w:val="center"/>
              <w:rPr>
                <w:sz w:val="20"/>
                <w:szCs w:val="20"/>
              </w:rPr>
            </w:pPr>
            <w:r w:rsidRPr="00F50AC3">
              <w:rPr>
                <w:rFonts w:eastAsia="Times New Roman"/>
                <w:sz w:val="20"/>
                <w:szCs w:val="20"/>
              </w:rPr>
              <w:t>NA</w:t>
            </w:r>
          </w:p>
        </w:tc>
      </w:tr>
      <w:tr w:rsidR="00F50AC3" w:rsidRPr="00F50AC3" w14:paraId="281A6F67" w14:textId="77777777" w:rsidTr="00F50AC3">
        <w:trPr>
          <w:trHeight w:val="365"/>
        </w:trPr>
        <w:tc>
          <w:tcPr>
            <w:tcW w:w="3005" w:type="dxa"/>
            <w:vAlign w:val="center"/>
          </w:tcPr>
          <w:p w14:paraId="281A6F63" w14:textId="77777777" w:rsidR="00F50AC3" w:rsidRPr="00F50AC3" w:rsidRDefault="00F50AC3" w:rsidP="00A07AD4">
            <w:pPr>
              <w:ind w:left="144"/>
              <w:rPr>
                <w:sz w:val="20"/>
                <w:szCs w:val="20"/>
              </w:rPr>
            </w:pPr>
            <w:r w:rsidRPr="00F50AC3">
              <w:rPr>
                <w:rFonts w:eastAsia="Times New Roman"/>
                <w:sz w:val="20"/>
                <w:szCs w:val="20"/>
              </w:rPr>
              <w:t>Spectral Absorbance</w:t>
            </w:r>
            <w:r w:rsidRPr="00F50AC3">
              <w:rPr>
                <w:rFonts w:eastAsia="Times New Roman"/>
                <w:sz w:val="20"/>
                <w:szCs w:val="20"/>
                <w:vertAlign w:val="superscript"/>
              </w:rPr>
              <w:t>3</w:t>
            </w:r>
          </w:p>
        </w:tc>
        <w:tc>
          <w:tcPr>
            <w:tcW w:w="2435" w:type="dxa"/>
            <w:vAlign w:val="center"/>
          </w:tcPr>
          <w:p w14:paraId="281A6F65" w14:textId="77777777" w:rsidR="00F50AC3" w:rsidRPr="00F50AC3" w:rsidRDefault="00F50AC3" w:rsidP="00A07AD4">
            <w:pPr>
              <w:ind w:left="144"/>
              <w:rPr>
                <w:sz w:val="20"/>
                <w:szCs w:val="20"/>
              </w:rPr>
            </w:pPr>
            <w:r w:rsidRPr="00F50AC3">
              <w:rPr>
                <w:rFonts w:eastAsia="Times New Roman"/>
                <w:sz w:val="20"/>
                <w:szCs w:val="20"/>
              </w:rPr>
              <w:t>Bi-weekly for one year</w:t>
            </w:r>
          </w:p>
        </w:tc>
        <w:tc>
          <w:tcPr>
            <w:tcW w:w="1600" w:type="dxa"/>
            <w:vAlign w:val="center"/>
          </w:tcPr>
          <w:p w14:paraId="281A6F66" w14:textId="77777777" w:rsidR="00F50AC3" w:rsidRPr="00F50AC3" w:rsidRDefault="00F50AC3" w:rsidP="00A07AD4">
            <w:pPr>
              <w:jc w:val="center"/>
              <w:rPr>
                <w:sz w:val="20"/>
                <w:szCs w:val="20"/>
              </w:rPr>
            </w:pPr>
            <w:r w:rsidRPr="00F50AC3">
              <w:rPr>
                <w:rFonts w:eastAsia="Times New Roman"/>
                <w:w w:val="99"/>
                <w:sz w:val="20"/>
                <w:szCs w:val="20"/>
              </w:rPr>
              <w:t>NA</w:t>
            </w:r>
          </w:p>
        </w:tc>
      </w:tr>
      <w:tr w:rsidR="00F50AC3" w:rsidRPr="00F50AC3" w14:paraId="281A6F71" w14:textId="77777777" w:rsidTr="00F50AC3">
        <w:trPr>
          <w:trHeight w:val="362"/>
        </w:trPr>
        <w:tc>
          <w:tcPr>
            <w:tcW w:w="3005" w:type="dxa"/>
            <w:vAlign w:val="center"/>
          </w:tcPr>
          <w:p w14:paraId="281A6F6D" w14:textId="77777777" w:rsidR="00F50AC3" w:rsidRPr="00F50AC3" w:rsidRDefault="00F50AC3" w:rsidP="00A07AD4">
            <w:pPr>
              <w:ind w:left="144"/>
              <w:rPr>
                <w:sz w:val="20"/>
                <w:szCs w:val="20"/>
              </w:rPr>
            </w:pPr>
            <w:r w:rsidRPr="00F50AC3">
              <w:rPr>
                <w:rFonts w:eastAsia="Times New Roman"/>
                <w:sz w:val="20"/>
                <w:szCs w:val="20"/>
              </w:rPr>
              <w:t>Algae Counts (cells/mL)</w:t>
            </w:r>
            <w:r w:rsidRPr="00F50AC3">
              <w:rPr>
                <w:rFonts w:eastAsia="Times New Roman"/>
                <w:sz w:val="20"/>
                <w:szCs w:val="20"/>
                <w:vertAlign w:val="superscript"/>
              </w:rPr>
              <w:t>4</w:t>
            </w:r>
          </w:p>
        </w:tc>
        <w:tc>
          <w:tcPr>
            <w:tcW w:w="2435" w:type="dxa"/>
            <w:vAlign w:val="center"/>
          </w:tcPr>
          <w:p w14:paraId="281A6F6F" w14:textId="77777777" w:rsidR="00F50AC3" w:rsidRPr="00F50AC3" w:rsidRDefault="00F50AC3" w:rsidP="00A07AD4">
            <w:pPr>
              <w:ind w:left="144"/>
              <w:rPr>
                <w:sz w:val="20"/>
                <w:szCs w:val="20"/>
              </w:rPr>
            </w:pPr>
            <w:r w:rsidRPr="00F50AC3">
              <w:rPr>
                <w:rFonts w:eastAsia="Times New Roman"/>
                <w:sz w:val="20"/>
                <w:szCs w:val="20"/>
              </w:rPr>
              <w:t>Bi-weekly for one year</w:t>
            </w:r>
          </w:p>
        </w:tc>
        <w:tc>
          <w:tcPr>
            <w:tcW w:w="1600" w:type="dxa"/>
            <w:vAlign w:val="center"/>
          </w:tcPr>
          <w:p w14:paraId="281A6F70" w14:textId="77777777" w:rsidR="00F50AC3" w:rsidRPr="00F50AC3" w:rsidRDefault="00F50AC3" w:rsidP="00A07AD4">
            <w:pPr>
              <w:jc w:val="center"/>
              <w:rPr>
                <w:sz w:val="20"/>
                <w:szCs w:val="20"/>
              </w:rPr>
            </w:pPr>
            <w:r w:rsidRPr="00F50AC3">
              <w:rPr>
                <w:rFonts w:eastAsia="Times New Roman"/>
                <w:w w:val="99"/>
                <w:sz w:val="20"/>
                <w:szCs w:val="20"/>
              </w:rPr>
              <w:t>NA</w:t>
            </w:r>
            <w:r w:rsidRPr="00F50AC3">
              <w:rPr>
                <w:rFonts w:eastAsia="Times New Roman"/>
                <w:w w:val="99"/>
                <w:sz w:val="20"/>
                <w:szCs w:val="20"/>
                <w:vertAlign w:val="superscript"/>
              </w:rPr>
              <w:t>5</w:t>
            </w:r>
          </w:p>
        </w:tc>
      </w:tr>
    </w:tbl>
    <w:p w14:paraId="281A6F77" w14:textId="77777777" w:rsidR="004647B9" w:rsidRPr="00A07AD4" w:rsidRDefault="004647B9" w:rsidP="00A07AD4">
      <w:pPr>
        <w:rPr>
          <w:sz w:val="24"/>
          <w:szCs w:val="24"/>
        </w:rPr>
      </w:pPr>
    </w:p>
    <w:p w14:paraId="281A6F78" w14:textId="77777777" w:rsidR="004647B9" w:rsidRPr="00A6336A" w:rsidRDefault="00E2436F" w:rsidP="00A07AD4">
      <w:pPr>
        <w:numPr>
          <w:ilvl w:val="0"/>
          <w:numId w:val="817"/>
        </w:numPr>
        <w:tabs>
          <w:tab w:val="left" w:pos="160"/>
        </w:tabs>
        <w:ind w:left="160" w:hanging="159"/>
        <w:rPr>
          <w:rFonts w:eastAsia="Times New Roman"/>
          <w:sz w:val="20"/>
          <w:szCs w:val="20"/>
        </w:rPr>
      </w:pPr>
      <w:r w:rsidRPr="00A6336A">
        <w:rPr>
          <w:rFonts w:eastAsia="Times New Roman"/>
          <w:sz w:val="20"/>
          <w:szCs w:val="20"/>
        </w:rPr>
        <w:t>The Department may allow the use of historical data collected at higher frequencies</w:t>
      </w:r>
    </w:p>
    <w:p w14:paraId="281A6F79" w14:textId="77777777" w:rsidR="004647B9" w:rsidRPr="00A6336A" w:rsidRDefault="004647B9" w:rsidP="00A07AD4">
      <w:pPr>
        <w:rPr>
          <w:sz w:val="20"/>
          <w:szCs w:val="20"/>
        </w:rPr>
        <w:sectPr w:rsidR="004647B9" w:rsidRPr="00A6336A" w:rsidSect="00EF630C">
          <w:pgSz w:w="12240" w:h="20180"/>
          <w:pgMar w:top="708" w:right="1440" w:bottom="771" w:left="540" w:header="0" w:footer="0" w:gutter="0"/>
          <w:cols w:space="720"/>
        </w:sectPr>
      </w:pPr>
    </w:p>
    <w:p w14:paraId="49F5800F" w14:textId="313F7E00" w:rsidR="00FB53A0" w:rsidRPr="00A6336A" w:rsidRDefault="00FB53A0" w:rsidP="00A07AD4">
      <w:pPr>
        <w:numPr>
          <w:ilvl w:val="0"/>
          <w:numId w:val="817"/>
        </w:numPr>
        <w:tabs>
          <w:tab w:val="left" w:pos="160"/>
        </w:tabs>
        <w:rPr>
          <w:rFonts w:eastAsia="Times New Roman"/>
          <w:sz w:val="20"/>
          <w:szCs w:val="20"/>
        </w:rPr>
      </w:pPr>
      <w:r w:rsidRPr="00A6336A">
        <w:rPr>
          <w:rFonts w:eastAsia="Times New Roman"/>
          <w:sz w:val="20"/>
          <w:szCs w:val="20"/>
        </w:rPr>
        <w:t>Groundwater only</w:t>
      </w:r>
    </w:p>
    <w:p w14:paraId="281A6F7D" w14:textId="181F8BA4" w:rsidR="004647B9" w:rsidRPr="00A6336A" w:rsidRDefault="00FB53A0" w:rsidP="00A07AD4">
      <w:pPr>
        <w:numPr>
          <w:ilvl w:val="0"/>
          <w:numId w:val="817"/>
        </w:numPr>
        <w:tabs>
          <w:tab w:val="left" w:pos="160"/>
        </w:tabs>
        <w:rPr>
          <w:rFonts w:eastAsia="Times New Roman"/>
          <w:sz w:val="20"/>
          <w:szCs w:val="20"/>
        </w:rPr>
      </w:pPr>
      <w:r w:rsidRPr="00A6336A">
        <w:rPr>
          <w:rFonts w:eastAsia="Times New Roman"/>
          <w:sz w:val="20"/>
          <w:szCs w:val="20"/>
        </w:rPr>
        <w:t>For the use of medium pressure reactors only. Absorbance to be measured at 200 - 300 nm</w:t>
      </w:r>
    </w:p>
    <w:p w14:paraId="75551CEF" w14:textId="70B1D6CF" w:rsidR="00FB53A0" w:rsidRPr="00A6336A" w:rsidRDefault="00FB53A0" w:rsidP="00A07AD4">
      <w:pPr>
        <w:numPr>
          <w:ilvl w:val="0"/>
          <w:numId w:val="817"/>
        </w:numPr>
        <w:tabs>
          <w:tab w:val="left" w:pos="160"/>
        </w:tabs>
        <w:rPr>
          <w:rFonts w:eastAsia="Times New Roman"/>
          <w:sz w:val="20"/>
          <w:szCs w:val="20"/>
        </w:rPr>
      </w:pPr>
      <w:r w:rsidRPr="00A6336A">
        <w:rPr>
          <w:rFonts w:eastAsia="Times New Roman"/>
          <w:sz w:val="20"/>
          <w:szCs w:val="20"/>
        </w:rPr>
        <w:t>Unfiltered supplies only</w:t>
      </w:r>
    </w:p>
    <w:p w14:paraId="281A6F8A" w14:textId="6EDB1D4A" w:rsidR="004647B9" w:rsidRPr="00A6336A" w:rsidRDefault="00FB53A0" w:rsidP="00A07AD4">
      <w:pPr>
        <w:numPr>
          <w:ilvl w:val="0"/>
          <w:numId w:val="817"/>
        </w:numPr>
        <w:tabs>
          <w:tab w:val="left" w:pos="160"/>
        </w:tabs>
        <w:rPr>
          <w:rFonts w:eastAsia="Times New Roman"/>
          <w:sz w:val="20"/>
          <w:szCs w:val="20"/>
        </w:rPr>
      </w:pPr>
      <w:r w:rsidRPr="00A6336A">
        <w:rPr>
          <w:rFonts w:eastAsia="Times New Roman"/>
          <w:sz w:val="20"/>
          <w:szCs w:val="20"/>
        </w:rPr>
        <w:t>At algae concentration &gt; 70,000 cells/mL additional piloting may be required as part of the UV validation testing</w:t>
      </w:r>
    </w:p>
    <w:p w14:paraId="281A6F8B" w14:textId="77777777" w:rsidR="004647B9" w:rsidRPr="00A07AD4" w:rsidRDefault="004647B9" w:rsidP="00A07AD4">
      <w:pPr>
        <w:rPr>
          <w:sz w:val="24"/>
          <w:szCs w:val="24"/>
        </w:rPr>
      </w:pPr>
    </w:p>
    <w:p w14:paraId="281A6F90" w14:textId="65872D59" w:rsidR="004647B9" w:rsidRPr="003D2EE8" w:rsidRDefault="00E2436F" w:rsidP="00A07AD4">
      <w:pPr>
        <w:numPr>
          <w:ilvl w:val="0"/>
          <w:numId w:val="818"/>
        </w:numPr>
        <w:tabs>
          <w:tab w:val="left" w:pos="2405"/>
        </w:tabs>
        <w:ind w:left="1973"/>
        <w:jc w:val="both"/>
        <w:rPr>
          <w:rFonts w:eastAsia="Times New Roman"/>
          <w:sz w:val="24"/>
          <w:szCs w:val="24"/>
        </w:rPr>
      </w:pPr>
      <w:r w:rsidRPr="00A6336A">
        <w:rPr>
          <w:rFonts w:eastAsia="Times New Roman"/>
          <w:sz w:val="24"/>
          <w:szCs w:val="24"/>
          <w:u w:val="single"/>
        </w:rPr>
        <w:t>Additional Raw Water Treatment</w:t>
      </w:r>
      <w:r w:rsidRPr="00A6336A">
        <w:rPr>
          <w:rFonts w:eastAsia="Times New Roman"/>
          <w:sz w:val="24"/>
          <w:szCs w:val="24"/>
        </w:rPr>
        <w:t>. If a Public Water System fails to satisfy the requirements set forth in 310 CMR 22.20G(23)(b)2.b.iii., the Supplier of Water may propose and, subject to Department approval pursuant to 310 CMR 22.04, implement additional treatment for raw water in order to achieve the limits specified in 310 CMR</w:t>
      </w:r>
      <w:r w:rsidR="003D2EE8">
        <w:rPr>
          <w:rFonts w:eastAsia="Times New Roman"/>
          <w:sz w:val="24"/>
          <w:szCs w:val="24"/>
        </w:rPr>
        <w:t xml:space="preserve"> 22.</w:t>
      </w:r>
      <w:r w:rsidRPr="003D2EE8">
        <w:rPr>
          <w:rFonts w:eastAsia="Times New Roman"/>
          <w:sz w:val="24"/>
          <w:szCs w:val="24"/>
        </w:rPr>
        <w:t xml:space="preserve">20G:  </w:t>
      </w:r>
      <w:r w:rsidRPr="003D2EE8">
        <w:rPr>
          <w:rFonts w:eastAsia="Times New Roman"/>
          <w:i/>
          <w:iCs/>
          <w:sz w:val="24"/>
          <w:szCs w:val="24"/>
        </w:rPr>
        <w:t>Table 10</w:t>
      </w:r>
      <w:r w:rsidRPr="003D2EE8">
        <w:rPr>
          <w:rFonts w:eastAsia="Times New Roman"/>
          <w:sz w:val="24"/>
          <w:szCs w:val="24"/>
        </w:rPr>
        <w:t>.</w:t>
      </w:r>
    </w:p>
    <w:p w14:paraId="281A6F92" w14:textId="77777777" w:rsidR="004647B9" w:rsidRPr="00A6336A" w:rsidRDefault="00E2436F" w:rsidP="00A07AD4">
      <w:pPr>
        <w:numPr>
          <w:ilvl w:val="0"/>
          <w:numId w:val="819"/>
        </w:numPr>
        <w:tabs>
          <w:tab w:val="left" w:pos="2374"/>
        </w:tabs>
        <w:ind w:left="1980" w:hanging="5"/>
        <w:jc w:val="both"/>
        <w:rPr>
          <w:rFonts w:eastAsia="Times New Roman"/>
          <w:sz w:val="24"/>
          <w:szCs w:val="24"/>
        </w:rPr>
      </w:pPr>
      <w:r w:rsidRPr="00A6336A">
        <w:rPr>
          <w:rFonts w:eastAsia="Times New Roman"/>
          <w:sz w:val="24"/>
          <w:szCs w:val="24"/>
          <w:u w:val="single"/>
        </w:rPr>
        <w:t>Reactor Validation Testing</w:t>
      </w:r>
      <w:r w:rsidRPr="00A6336A">
        <w:rPr>
          <w:rFonts w:eastAsia="Times New Roman"/>
          <w:sz w:val="24"/>
          <w:szCs w:val="24"/>
        </w:rPr>
        <w:t>. A Supplier of Water must use UV reactors that have undergone validation testing to determine the operating conditions under which the reactors deliver the UV dose required in 310 CMR 22.20G(23)(b)1.a. for the applicable credit, subject to the following:</w:t>
      </w:r>
    </w:p>
    <w:p w14:paraId="281A6F94" w14:textId="5876CE98" w:rsidR="004647B9" w:rsidRPr="00E80E8D" w:rsidRDefault="00E2436F" w:rsidP="00A07AD4">
      <w:pPr>
        <w:numPr>
          <w:ilvl w:val="1"/>
          <w:numId w:val="819"/>
        </w:numPr>
        <w:tabs>
          <w:tab w:val="left" w:pos="2658"/>
        </w:tabs>
        <w:ind w:left="2340" w:hanging="5"/>
        <w:jc w:val="both"/>
        <w:rPr>
          <w:rFonts w:eastAsia="Times New Roman"/>
          <w:sz w:val="24"/>
          <w:szCs w:val="24"/>
        </w:rPr>
      </w:pPr>
      <w:r w:rsidRPr="00A6336A">
        <w:rPr>
          <w:rFonts w:eastAsia="Times New Roman"/>
          <w:sz w:val="24"/>
          <w:szCs w:val="24"/>
        </w:rPr>
        <w:t>validation testing must include either full scale testing of a reactor that conforms uniformly to the UV reactors used by the Public Water System and inactivation of a test microorganism whose dose response characteristics have been quantified with</w:t>
      </w:r>
      <w:r w:rsidR="00E80E8D">
        <w:rPr>
          <w:rFonts w:eastAsia="Times New Roman"/>
          <w:sz w:val="24"/>
          <w:szCs w:val="24"/>
        </w:rPr>
        <w:t xml:space="preserve"> a </w:t>
      </w:r>
      <w:r w:rsidRPr="00E80E8D">
        <w:rPr>
          <w:rFonts w:eastAsia="Times New Roman"/>
          <w:sz w:val="24"/>
          <w:szCs w:val="24"/>
        </w:rPr>
        <w:t>low pressure mercury vapor lamp, or an alternative approach in accordance with 310 CMR 22.20G(23)(b)4.b.; or</w:t>
      </w:r>
    </w:p>
    <w:p w14:paraId="281A6F95" w14:textId="77777777" w:rsidR="004647B9" w:rsidRPr="00A6336A" w:rsidRDefault="00E2436F" w:rsidP="00A07AD4">
      <w:pPr>
        <w:numPr>
          <w:ilvl w:val="1"/>
          <w:numId w:val="821"/>
        </w:numPr>
        <w:tabs>
          <w:tab w:val="left" w:pos="2700"/>
        </w:tabs>
        <w:ind w:left="2700" w:hanging="365"/>
        <w:rPr>
          <w:rFonts w:eastAsia="Times New Roman"/>
          <w:sz w:val="24"/>
          <w:szCs w:val="24"/>
        </w:rPr>
      </w:pPr>
      <w:r w:rsidRPr="00A6336A">
        <w:rPr>
          <w:rFonts w:eastAsia="Times New Roman"/>
          <w:sz w:val="24"/>
          <w:szCs w:val="24"/>
        </w:rPr>
        <w:t>any alternative approach to UV validation using protocols established in:</w:t>
      </w:r>
    </w:p>
    <w:p w14:paraId="281A6F97" w14:textId="16FED936" w:rsidR="004647B9" w:rsidRPr="003D2EE8" w:rsidRDefault="00E2436F" w:rsidP="00A07AD4">
      <w:pPr>
        <w:numPr>
          <w:ilvl w:val="0"/>
          <w:numId w:val="822"/>
        </w:numPr>
        <w:tabs>
          <w:tab w:val="left" w:pos="2980"/>
        </w:tabs>
        <w:ind w:left="2700"/>
        <w:rPr>
          <w:rFonts w:eastAsia="Times New Roman"/>
          <w:sz w:val="24"/>
          <w:szCs w:val="24"/>
        </w:rPr>
      </w:pPr>
      <w:r w:rsidRPr="00A6336A">
        <w:rPr>
          <w:rFonts w:eastAsia="Times New Roman"/>
          <w:i/>
          <w:iCs/>
          <w:sz w:val="24"/>
          <w:szCs w:val="24"/>
        </w:rPr>
        <w:t>Ultraviolet Disinfection Guidelines for Drinking Water and Water Reuse</w:t>
      </w:r>
      <w:r w:rsidRPr="00A6336A">
        <w:rPr>
          <w:rFonts w:eastAsia="Times New Roman"/>
          <w:sz w:val="24"/>
          <w:szCs w:val="24"/>
        </w:rPr>
        <w:t>, 3</w:t>
      </w:r>
      <w:r w:rsidRPr="00A6336A">
        <w:rPr>
          <w:rFonts w:eastAsia="Times New Roman"/>
          <w:sz w:val="24"/>
          <w:szCs w:val="24"/>
          <w:vertAlign w:val="superscript"/>
        </w:rPr>
        <w:t>rd</w:t>
      </w:r>
      <w:r w:rsidR="003D2EE8">
        <w:rPr>
          <w:rFonts w:eastAsia="Times New Roman"/>
          <w:sz w:val="24"/>
          <w:szCs w:val="24"/>
        </w:rPr>
        <w:t xml:space="preserve"> </w:t>
      </w:r>
      <w:r w:rsidRPr="003D2EE8">
        <w:rPr>
          <w:rFonts w:eastAsia="Times New Roman"/>
          <w:sz w:val="24"/>
          <w:szCs w:val="24"/>
        </w:rPr>
        <w:t>Edition, August 2012, published by National Water Research Institute in collaboration with AWWA Research Foundation, pp 1-78; or</w:t>
      </w:r>
    </w:p>
    <w:p w14:paraId="281A6F98" w14:textId="77777777" w:rsidR="004647B9" w:rsidRPr="00A6336A" w:rsidRDefault="00E2436F" w:rsidP="00A07AD4">
      <w:pPr>
        <w:numPr>
          <w:ilvl w:val="1"/>
          <w:numId w:val="823"/>
        </w:numPr>
        <w:tabs>
          <w:tab w:val="left" w:pos="3046"/>
        </w:tabs>
        <w:ind w:left="2700" w:hanging="5"/>
        <w:rPr>
          <w:rFonts w:eastAsia="Times New Roman"/>
          <w:sz w:val="24"/>
          <w:szCs w:val="24"/>
        </w:rPr>
      </w:pPr>
      <w:r w:rsidRPr="00A6336A">
        <w:rPr>
          <w:rFonts w:eastAsia="Times New Roman"/>
          <w:i/>
          <w:iCs/>
          <w:sz w:val="24"/>
          <w:szCs w:val="24"/>
        </w:rPr>
        <w:t>Ultraviolet Microbiological Water Treatment Systems</w:t>
      </w:r>
      <w:r w:rsidRPr="00A6336A">
        <w:rPr>
          <w:rFonts w:eastAsia="Times New Roman"/>
          <w:sz w:val="24"/>
          <w:szCs w:val="24"/>
        </w:rPr>
        <w:t>, NSF/ANSI 55-2014,</w:t>
      </w:r>
      <w:r w:rsidRPr="00A6336A">
        <w:rPr>
          <w:rFonts w:eastAsia="Times New Roman"/>
          <w:i/>
          <w:iCs/>
          <w:sz w:val="24"/>
          <w:szCs w:val="24"/>
        </w:rPr>
        <w:t xml:space="preserve"> </w:t>
      </w:r>
      <w:r w:rsidRPr="00A6336A">
        <w:rPr>
          <w:rFonts w:eastAsia="Times New Roman"/>
          <w:sz w:val="24"/>
          <w:szCs w:val="24"/>
        </w:rPr>
        <w:t>October 16, 2014, Appendix A and B, pp.1-36, published by NSF/ANSI; and</w:t>
      </w:r>
    </w:p>
    <w:p w14:paraId="281A6F9A" w14:textId="77777777" w:rsidR="004647B9" w:rsidRPr="00A6336A" w:rsidRDefault="00E2436F" w:rsidP="00A07AD4">
      <w:pPr>
        <w:numPr>
          <w:ilvl w:val="0"/>
          <w:numId w:val="824"/>
        </w:numPr>
        <w:tabs>
          <w:tab w:val="left" w:pos="2674"/>
        </w:tabs>
        <w:ind w:left="2340" w:hanging="5"/>
        <w:jc w:val="both"/>
        <w:rPr>
          <w:rFonts w:eastAsia="Times New Roman"/>
          <w:sz w:val="24"/>
          <w:szCs w:val="24"/>
        </w:rPr>
      </w:pPr>
      <w:r w:rsidRPr="00A6336A">
        <w:rPr>
          <w:rFonts w:eastAsia="Times New Roman"/>
          <w:sz w:val="24"/>
          <w:szCs w:val="24"/>
        </w:rPr>
        <w:t>operating conditions must include flow rate, UV intensity as measured by a UV sensor, and UV lamp status; which must account for the following factors: UV absorbance of the water; lamp fouling and aging; measurement uncertainty of on-line sensors; UV dose distributions arising from the velocity profiles through the reactor; failure of UV lamps or other critical system components; and inlet and outlet piping or channel configurations of the UV reactor.</w:t>
      </w:r>
    </w:p>
    <w:p w14:paraId="281A6F9B" w14:textId="77777777" w:rsidR="004647B9" w:rsidRDefault="004647B9" w:rsidP="00A07AD4">
      <w:pPr>
        <w:sectPr w:rsidR="004647B9" w:rsidSect="00EF630C">
          <w:type w:val="continuous"/>
          <w:pgSz w:w="12240" w:h="20180"/>
          <w:pgMar w:top="708" w:right="1440" w:bottom="771" w:left="540" w:header="0" w:footer="0" w:gutter="0"/>
          <w:cols w:space="720"/>
        </w:sectPr>
      </w:pPr>
    </w:p>
    <w:p w14:paraId="281A6F9C" w14:textId="77777777" w:rsidR="004647B9" w:rsidRDefault="00E2436F">
      <w:pPr>
        <w:tabs>
          <w:tab w:val="left" w:pos="160"/>
        </w:tabs>
        <w:ind w:right="-59"/>
        <w:jc w:val="center"/>
        <w:rPr>
          <w:sz w:val="20"/>
          <w:szCs w:val="20"/>
        </w:rPr>
      </w:pPr>
      <w:bookmarkStart w:id="316" w:name="page321"/>
      <w:bookmarkEnd w:id="31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F9D" w14:textId="77777777" w:rsidR="004647B9" w:rsidRDefault="004647B9" w:rsidP="00A07AD4">
      <w:pPr>
        <w:rPr>
          <w:sz w:val="20"/>
          <w:szCs w:val="20"/>
        </w:rPr>
      </w:pPr>
    </w:p>
    <w:p w14:paraId="281A6F9E" w14:textId="77777777" w:rsidR="004647B9" w:rsidRDefault="004647B9" w:rsidP="00A07AD4">
      <w:pPr>
        <w:rPr>
          <w:sz w:val="20"/>
          <w:szCs w:val="20"/>
        </w:rPr>
      </w:pPr>
    </w:p>
    <w:p w14:paraId="281A6F9F" w14:textId="77777777" w:rsidR="004647B9" w:rsidRPr="003D2EE8" w:rsidRDefault="00E2436F" w:rsidP="00A07AD4">
      <w:pPr>
        <w:tabs>
          <w:tab w:val="left" w:pos="940"/>
        </w:tabs>
        <w:rPr>
          <w:sz w:val="24"/>
          <w:szCs w:val="24"/>
        </w:rPr>
      </w:pPr>
      <w:r w:rsidRPr="003D2EE8">
        <w:rPr>
          <w:rFonts w:eastAsia="Times New Roman"/>
          <w:sz w:val="24"/>
          <w:szCs w:val="24"/>
        </w:rPr>
        <w:t>22.20G:</w:t>
      </w:r>
      <w:r w:rsidRPr="003D2EE8">
        <w:rPr>
          <w:sz w:val="24"/>
          <w:szCs w:val="24"/>
        </w:rPr>
        <w:tab/>
      </w:r>
      <w:r w:rsidRPr="003D2EE8">
        <w:rPr>
          <w:rFonts w:eastAsia="Times New Roman"/>
          <w:sz w:val="24"/>
          <w:szCs w:val="24"/>
        </w:rPr>
        <w:t>continued</w:t>
      </w:r>
    </w:p>
    <w:p w14:paraId="281A6FA0" w14:textId="77777777" w:rsidR="004647B9" w:rsidRPr="00A07AD4" w:rsidRDefault="004647B9" w:rsidP="00A07AD4">
      <w:pPr>
        <w:rPr>
          <w:sz w:val="20"/>
          <w:szCs w:val="20"/>
        </w:rPr>
      </w:pPr>
    </w:p>
    <w:p w14:paraId="281A6FA1" w14:textId="77777777" w:rsidR="004647B9" w:rsidRPr="003D2EE8" w:rsidRDefault="00E2436F" w:rsidP="00A07AD4">
      <w:pPr>
        <w:numPr>
          <w:ilvl w:val="0"/>
          <w:numId w:val="825"/>
        </w:numPr>
        <w:tabs>
          <w:tab w:val="left" w:pos="2340"/>
        </w:tabs>
        <w:ind w:left="2340" w:hanging="365"/>
        <w:rPr>
          <w:rFonts w:eastAsia="Times New Roman"/>
          <w:sz w:val="24"/>
          <w:szCs w:val="24"/>
        </w:rPr>
      </w:pPr>
      <w:r w:rsidRPr="003D2EE8">
        <w:rPr>
          <w:rFonts w:eastAsia="Times New Roman"/>
          <w:sz w:val="24"/>
          <w:szCs w:val="24"/>
          <w:u w:val="single"/>
        </w:rPr>
        <w:t>Reactor Monitoring, Verification and Calibration</w:t>
      </w:r>
      <w:r w:rsidRPr="003D2EE8">
        <w:rPr>
          <w:rFonts w:eastAsia="Times New Roman"/>
          <w:sz w:val="24"/>
          <w:szCs w:val="24"/>
        </w:rPr>
        <w:t>.</w:t>
      </w:r>
    </w:p>
    <w:p w14:paraId="281A6FA3" w14:textId="77777777" w:rsidR="004647B9" w:rsidRPr="003D2EE8" w:rsidRDefault="00E2436F" w:rsidP="00A07AD4">
      <w:pPr>
        <w:numPr>
          <w:ilvl w:val="1"/>
          <w:numId w:val="825"/>
        </w:numPr>
        <w:tabs>
          <w:tab w:val="left" w:pos="2694"/>
        </w:tabs>
        <w:ind w:left="2340" w:hanging="5"/>
        <w:rPr>
          <w:rFonts w:eastAsia="Times New Roman"/>
          <w:sz w:val="24"/>
          <w:szCs w:val="24"/>
        </w:rPr>
      </w:pPr>
      <w:r w:rsidRPr="003D2EE8">
        <w:rPr>
          <w:rFonts w:eastAsia="Times New Roman"/>
          <w:sz w:val="24"/>
          <w:szCs w:val="24"/>
        </w:rPr>
        <w:t>A Supplier of Water must monitor UV reactors to determine if the reactors are operating within validated conditions, as identified in 310 CMR 22.20G(23)(b)4.</w:t>
      </w:r>
    </w:p>
    <w:p w14:paraId="281A6FA5" w14:textId="6DAD6F90" w:rsidR="004647B9" w:rsidRPr="003D2EE8" w:rsidRDefault="00E2436F" w:rsidP="00A07AD4">
      <w:pPr>
        <w:numPr>
          <w:ilvl w:val="1"/>
          <w:numId w:val="825"/>
        </w:numPr>
        <w:tabs>
          <w:tab w:val="left" w:pos="2758"/>
        </w:tabs>
        <w:ind w:left="2333"/>
        <w:jc w:val="both"/>
        <w:rPr>
          <w:rFonts w:eastAsia="Times New Roman"/>
          <w:sz w:val="24"/>
          <w:szCs w:val="24"/>
        </w:rPr>
      </w:pPr>
      <w:r w:rsidRPr="003D2EE8">
        <w:rPr>
          <w:rFonts w:eastAsia="Times New Roman"/>
          <w:sz w:val="24"/>
          <w:szCs w:val="24"/>
        </w:rPr>
        <w:t>A Supplier of Water must submit monitoring results to the Department on a monthly basis on a form approved by the Department for review and evaluation in</w:t>
      </w:r>
      <w:r w:rsidR="003D2EE8">
        <w:rPr>
          <w:rFonts w:eastAsia="Times New Roman"/>
          <w:sz w:val="24"/>
          <w:szCs w:val="24"/>
        </w:rPr>
        <w:t xml:space="preserve"> </w:t>
      </w:r>
      <w:r w:rsidRPr="003D2EE8">
        <w:rPr>
          <w:rFonts w:eastAsia="Times New Roman"/>
          <w:sz w:val="24"/>
          <w:szCs w:val="24"/>
        </w:rPr>
        <w:t>format approved by the Department.</w:t>
      </w:r>
    </w:p>
    <w:p w14:paraId="281A6FA7" w14:textId="77777777" w:rsidR="004647B9" w:rsidRPr="003D2EE8" w:rsidRDefault="00E2436F" w:rsidP="00A07AD4">
      <w:pPr>
        <w:numPr>
          <w:ilvl w:val="1"/>
          <w:numId w:val="826"/>
        </w:numPr>
        <w:tabs>
          <w:tab w:val="left" w:pos="2672"/>
        </w:tabs>
        <w:ind w:left="2340" w:hanging="5"/>
        <w:jc w:val="both"/>
        <w:rPr>
          <w:rFonts w:eastAsia="Times New Roman"/>
          <w:sz w:val="24"/>
          <w:szCs w:val="24"/>
        </w:rPr>
      </w:pPr>
      <w:r w:rsidRPr="003D2EE8">
        <w:rPr>
          <w:rFonts w:eastAsia="Times New Roman"/>
          <w:sz w:val="24"/>
          <w:szCs w:val="24"/>
        </w:rPr>
        <w:t>A Supplier of Water must monitor UV intensity as measured by a UV sensor(s), flow rate, lamp status, UV transmittance, or "UVT", and other appropriate parameters based on UV reactor operation.</w:t>
      </w:r>
    </w:p>
    <w:p w14:paraId="281A6FA9" w14:textId="77777777" w:rsidR="004647B9" w:rsidRPr="003D2EE8" w:rsidRDefault="00E2436F" w:rsidP="00A07AD4">
      <w:pPr>
        <w:numPr>
          <w:ilvl w:val="1"/>
          <w:numId w:val="826"/>
        </w:numPr>
        <w:tabs>
          <w:tab w:val="left" w:pos="2700"/>
        </w:tabs>
        <w:ind w:left="2700" w:hanging="365"/>
        <w:rPr>
          <w:rFonts w:eastAsia="Times New Roman"/>
          <w:sz w:val="24"/>
          <w:szCs w:val="24"/>
        </w:rPr>
      </w:pPr>
      <w:r w:rsidRPr="003D2EE8">
        <w:rPr>
          <w:rFonts w:eastAsia="Times New Roman"/>
          <w:sz w:val="24"/>
          <w:szCs w:val="24"/>
        </w:rPr>
        <w:t>A Supplier of Water must calibrate the UV reactor flow meters annually.</w:t>
      </w:r>
    </w:p>
    <w:p w14:paraId="281A6FAB" w14:textId="77777777" w:rsidR="004647B9" w:rsidRPr="003D2EE8" w:rsidRDefault="00E2436F" w:rsidP="00A07AD4">
      <w:pPr>
        <w:numPr>
          <w:ilvl w:val="1"/>
          <w:numId w:val="826"/>
        </w:numPr>
        <w:tabs>
          <w:tab w:val="left" w:pos="2687"/>
        </w:tabs>
        <w:ind w:left="2340" w:hanging="5"/>
        <w:jc w:val="both"/>
        <w:rPr>
          <w:rFonts w:eastAsia="Times New Roman"/>
          <w:sz w:val="24"/>
          <w:szCs w:val="24"/>
        </w:rPr>
      </w:pPr>
      <w:r w:rsidRPr="003D2EE8">
        <w:rPr>
          <w:rFonts w:eastAsia="Times New Roman"/>
          <w:sz w:val="24"/>
          <w:szCs w:val="24"/>
        </w:rPr>
        <w:t>A Supplier of Water must verify the calibration of the UV sensors monthly and recalibrate the sensors annually, each in accordance with manufacturer's specifications.</w:t>
      </w:r>
    </w:p>
    <w:p w14:paraId="281A6FAD" w14:textId="77777777" w:rsidR="004647B9" w:rsidRPr="003D2EE8" w:rsidRDefault="00E2436F" w:rsidP="00A07AD4">
      <w:pPr>
        <w:numPr>
          <w:ilvl w:val="1"/>
          <w:numId w:val="826"/>
        </w:numPr>
        <w:tabs>
          <w:tab w:val="left" w:pos="2674"/>
        </w:tabs>
        <w:ind w:left="2340" w:hanging="5"/>
        <w:jc w:val="both"/>
        <w:rPr>
          <w:rFonts w:eastAsia="Times New Roman"/>
          <w:sz w:val="24"/>
          <w:szCs w:val="24"/>
        </w:rPr>
      </w:pPr>
      <w:r w:rsidRPr="003D2EE8">
        <w:rPr>
          <w:rFonts w:eastAsia="Times New Roman"/>
          <w:sz w:val="24"/>
          <w:szCs w:val="24"/>
        </w:rPr>
        <w:t>A Supplier of Water must verify the calibration of UVT analyzers annually for UV reactors using the "Setpoint Approach". The Setpoint Approach, also called "Operational Setpoint", uses a specific value for a critical parameter, such as UV intensity, that is related to UV dose. Setpoints are established during validation testing. During operations, the PWS compares the measured parameter to the setpoint to confirm performance.</w:t>
      </w:r>
    </w:p>
    <w:p w14:paraId="281A6FAF" w14:textId="77777777" w:rsidR="004647B9" w:rsidRPr="003D2EE8" w:rsidRDefault="00E2436F" w:rsidP="00A07AD4">
      <w:pPr>
        <w:numPr>
          <w:ilvl w:val="1"/>
          <w:numId w:val="826"/>
        </w:numPr>
        <w:tabs>
          <w:tab w:val="left" w:pos="2705"/>
        </w:tabs>
        <w:ind w:left="2340" w:hanging="5"/>
        <w:jc w:val="both"/>
        <w:rPr>
          <w:rFonts w:eastAsia="Times New Roman"/>
          <w:sz w:val="24"/>
          <w:szCs w:val="24"/>
        </w:rPr>
      </w:pPr>
      <w:r w:rsidRPr="003D2EE8">
        <w:rPr>
          <w:rFonts w:eastAsia="Times New Roman"/>
          <w:sz w:val="24"/>
          <w:szCs w:val="24"/>
        </w:rPr>
        <w:t>A Supplier of Water must verify the calibration of UV transmittance analyzers weekly for UV reactors using the "Calculated Dose Approach". The Calculated Dose Approach uses a dose-monitoring equation to estimate the UV dose based on operating conditions (typically flow rate, UV intensity, and UVT).</w:t>
      </w:r>
    </w:p>
    <w:p w14:paraId="281A6FB0" w14:textId="77777777" w:rsidR="004647B9" w:rsidRPr="003D2EE8" w:rsidRDefault="00E2436F" w:rsidP="00A07AD4">
      <w:pPr>
        <w:numPr>
          <w:ilvl w:val="1"/>
          <w:numId w:val="826"/>
        </w:numPr>
        <w:tabs>
          <w:tab w:val="left" w:pos="2650"/>
        </w:tabs>
        <w:ind w:left="2340" w:hanging="5"/>
        <w:jc w:val="both"/>
        <w:rPr>
          <w:rFonts w:eastAsia="Times New Roman"/>
          <w:sz w:val="24"/>
          <w:szCs w:val="24"/>
        </w:rPr>
      </w:pPr>
      <w:r w:rsidRPr="003D2EE8">
        <w:rPr>
          <w:rFonts w:eastAsia="Times New Roman"/>
          <w:sz w:val="24"/>
          <w:szCs w:val="24"/>
        </w:rPr>
        <w:t>A Supplier of Water must verify the UVT reading of the reactor by comparing the UVT obtained from the on-line UVT transmitter against the UVT of a grab sample. The difference in reading between the on-line analyzer reading and the grab sample must be less than or equal to two percent of the UVT.</w:t>
      </w:r>
    </w:p>
    <w:p w14:paraId="281A6FB1" w14:textId="77777777" w:rsidR="004647B9" w:rsidRPr="00177BFA" w:rsidRDefault="004647B9" w:rsidP="00A07AD4">
      <w:pPr>
        <w:rPr>
          <w:sz w:val="24"/>
          <w:szCs w:val="24"/>
        </w:rPr>
      </w:pPr>
    </w:p>
    <w:p w14:paraId="281A6FB2" w14:textId="77777777" w:rsidR="004647B9" w:rsidRPr="00177BFA" w:rsidRDefault="00E2436F" w:rsidP="00A07AD4">
      <w:pPr>
        <w:tabs>
          <w:tab w:val="left" w:pos="760"/>
        </w:tabs>
        <w:rPr>
          <w:sz w:val="24"/>
          <w:szCs w:val="24"/>
        </w:rPr>
      </w:pPr>
      <w:r w:rsidRPr="00177BFA">
        <w:rPr>
          <w:rFonts w:eastAsia="Times New Roman"/>
          <w:sz w:val="24"/>
          <w:szCs w:val="24"/>
          <w:u w:val="single"/>
        </w:rPr>
        <w:t>22.21:</w:t>
      </w:r>
      <w:r w:rsidRPr="00177BFA">
        <w:rPr>
          <w:rFonts w:eastAsia="Times New Roman"/>
          <w:sz w:val="24"/>
          <w:szCs w:val="24"/>
          <w:u w:val="single"/>
        </w:rPr>
        <w:tab/>
        <w:t>Groundwater Supply Protection</w:t>
      </w:r>
    </w:p>
    <w:p w14:paraId="281A6FB3" w14:textId="77777777" w:rsidR="004647B9" w:rsidRPr="00177BFA" w:rsidRDefault="004647B9" w:rsidP="00A07AD4">
      <w:pPr>
        <w:rPr>
          <w:sz w:val="24"/>
          <w:szCs w:val="24"/>
        </w:rPr>
      </w:pPr>
    </w:p>
    <w:p w14:paraId="281A6FB4" w14:textId="77777777" w:rsidR="004647B9" w:rsidRPr="00177BFA" w:rsidRDefault="00E2436F" w:rsidP="00A07AD4">
      <w:pPr>
        <w:ind w:left="1260"/>
        <w:rPr>
          <w:sz w:val="24"/>
          <w:szCs w:val="24"/>
        </w:rPr>
      </w:pPr>
      <w:r w:rsidRPr="00177BFA">
        <w:rPr>
          <w:rFonts w:eastAsia="Times New Roman"/>
          <w:sz w:val="24"/>
          <w:szCs w:val="24"/>
        </w:rPr>
        <w:t>The following requirements shall apply to all persons to protect groundwater used as sources of public drinking water supply from contamination:</w:t>
      </w:r>
    </w:p>
    <w:p w14:paraId="281A6FB5" w14:textId="77777777" w:rsidR="004647B9" w:rsidRPr="00177BFA" w:rsidRDefault="004647B9" w:rsidP="00A07AD4">
      <w:pPr>
        <w:rPr>
          <w:sz w:val="24"/>
          <w:szCs w:val="24"/>
        </w:rPr>
      </w:pPr>
    </w:p>
    <w:p w14:paraId="281A6FB6" w14:textId="77777777" w:rsidR="004647B9" w:rsidRDefault="00E2436F" w:rsidP="00A07AD4">
      <w:pPr>
        <w:numPr>
          <w:ilvl w:val="0"/>
          <w:numId w:val="827"/>
        </w:numPr>
        <w:tabs>
          <w:tab w:val="left" w:pos="1720"/>
        </w:tabs>
        <w:ind w:left="1720" w:hanging="460"/>
        <w:rPr>
          <w:rFonts w:eastAsia="Times New Roman"/>
          <w:sz w:val="24"/>
          <w:szCs w:val="24"/>
        </w:rPr>
      </w:pPr>
      <w:r>
        <w:rPr>
          <w:rFonts w:eastAsia="Times New Roman"/>
          <w:sz w:val="24"/>
          <w:szCs w:val="24"/>
          <w:u w:val="single"/>
        </w:rPr>
        <w:t>Source Approval</w:t>
      </w:r>
    </w:p>
    <w:p w14:paraId="281A6FB8" w14:textId="0DF9F6FD" w:rsidR="004647B9" w:rsidRPr="00177BFA" w:rsidRDefault="00E2436F" w:rsidP="00A07AD4">
      <w:pPr>
        <w:numPr>
          <w:ilvl w:val="1"/>
          <w:numId w:val="827"/>
        </w:numPr>
        <w:tabs>
          <w:tab w:val="left" w:pos="2114"/>
        </w:tabs>
        <w:ind w:left="1620" w:hanging="5"/>
        <w:jc w:val="both"/>
        <w:rPr>
          <w:rFonts w:eastAsia="Times New Roman"/>
          <w:sz w:val="24"/>
          <w:szCs w:val="24"/>
        </w:rPr>
      </w:pPr>
      <w:r w:rsidRPr="00177BFA">
        <w:rPr>
          <w:rFonts w:eastAsia="Times New Roman"/>
          <w:sz w:val="24"/>
          <w:szCs w:val="24"/>
        </w:rPr>
        <w:t>No public water supply well, wellfield, or spring shall be constructed, expanded or replaced, and no water supply well, wellfield, or spring shall be placed on-line in a public</w:t>
      </w:r>
      <w:r w:rsidR="00177BFA" w:rsidRPr="00177BFA">
        <w:rPr>
          <w:rFonts w:eastAsia="Times New Roman"/>
          <w:sz w:val="24"/>
          <w:szCs w:val="24"/>
        </w:rPr>
        <w:t xml:space="preserve"> water system, without the prior written approval of the Department. Persons seeking such approval are directed to follow the procedures set forth in the Drinking Water Program's </w:t>
      </w:r>
      <w:r w:rsidR="00177BFA" w:rsidRPr="00177BFA">
        <w:rPr>
          <w:rFonts w:eastAsia="Times New Roman"/>
          <w:i/>
          <w:iCs/>
          <w:sz w:val="24"/>
          <w:szCs w:val="24"/>
        </w:rPr>
        <w:t>Guidelines and Policies for Public Water Systems</w:t>
      </w:r>
      <w:r w:rsidR="00177BFA" w:rsidRPr="00177BFA">
        <w:rPr>
          <w:rFonts w:eastAsia="Times New Roman"/>
          <w:sz w:val="24"/>
          <w:szCs w:val="24"/>
        </w:rPr>
        <w:t>.</w:t>
      </w:r>
    </w:p>
    <w:p w14:paraId="281A6FBB" w14:textId="77777777" w:rsidR="004647B9" w:rsidRPr="00177BFA" w:rsidRDefault="00E2436F" w:rsidP="00A07AD4">
      <w:pPr>
        <w:ind w:left="1620" w:firstLine="360"/>
        <w:jc w:val="both"/>
        <w:rPr>
          <w:sz w:val="24"/>
          <w:szCs w:val="24"/>
        </w:rPr>
      </w:pPr>
      <w:r w:rsidRPr="00177BFA">
        <w:rPr>
          <w:rFonts w:eastAsia="Times New Roman"/>
          <w:sz w:val="24"/>
          <w:szCs w:val="24"/>
        </w:rPr>
        <w:t>All requests for source approval, or approval of Zone II and III delineations, shall be submitted to the Department's Regional Office serving the area where the proposed well, wellfield, or spring is located.</w:t>
      </w:r>
    </w:p>
    <w:p w14:paraId="281A6FBD" w14:textId="77777777" w:rsidR="004647B9" w:rsidRPr="00177BFA" w:rsidRDefault="00E2436F" w:rsidP="00A07AD4">
      <w:pPr>
        <w:ind w:left="1620" w:firstLine="360"/>
        <w:jc w:val="both"/>
        <w:rPr>
          <w:sz w:val="24"/>
          <w:szCs w:val="24"/>
        </w:rPr>
      </w:pPr>
      <w:r w:rsidRPr="00177BFA">
        <w:rPr>
          <w:rFonts w:eastAsia="Times New Roman"/>
          <w:sz w:val="24"/>
          <w:szCs w:val="24"/>
        </w:rPr>
        <w:t xml:space="preserve">In determining whether to grant such approval, the Department shall apply the criteria set forth in 310 CMR 22.21 and the </w:t>
      </w:r>
      <w:r w:rsidRPr="00177BFA">
        <w:rPr>
          <w:rFonts w:eastAsia="Times New Roman"/>
          <w:i/>
          <w:iCs/>
          <w:sz w:val="24"/>
          <w:szCs w:val="24"/>
        </w:rPr>
        <w:t>Guidelines and Policies for Public Water Systems</w:t>
      </w:r>
      <w:r w:rsidRPr="00177BFA">
        <w:rPr>
          <w:rFonts w:eastAsia="Times New Roman"/>
          <w:sz w:val="24"/>
          <w:szCs w:val="24"/>
        </w:rPr>
        <w:t xml:space="preserve">. Copies of the </w:t>
      </w:r>
      <w:r w:rsidRPr="00177BFA">
        <w:rPr>
          <w:rFonts w:eastAsia="Times New Roman"/>
          <w:i/>
          <w:iCs/>
          <w:sz w:val="24"/>
          <w:szCs w:val="24"/>
        </w:rPr>
        <w:t>Guidelines and Policies for Public Water Systems</w:t>
      </w:r>
      <w:r w:rsidRPr="00177BFA">
        <w:rPr>
          <w:rFonts w:eastAsia="Times New Roman"/>
          <w:sz w:val="24"/>
          <w:szCs w:val="24"/>
        </w:rPr>
        <w:t xml:space="preserve"> are available for a nominal fee from the State Bookstore, State House, Room 116, Boston, Massachusetts and 436 Dwight Street, Springfield, Massachusetts.</w:t>
      </w:r>
    </w:p>
    <w:p w14:paraId="281A6FBF" w14:textId="77777777" w:rsidR="004647B9" w:rsidRPr="00177BFA" w:rsidRDefault="00E2436F" w:rsidP="00A07AD4">
      <w:pPr>
        <w:numPr>
          <w:ilvl w:val="0"/>
          <w:numId w:val="828"/>
        </w:numPr>
        <w:tabs>
          <w:tab w:val="left" w:pos="2059"/>
        </w:tabs>
        <w:ind w:left="1620" w:hanging="5"/>
        <w:jc w:val="both"/>
        <w:rPr>
          <w:rFonts w:eastAsia="Times New Roman"/>
          <w:sz w:val="24"/>
          <w:szCs w:val="24"/>
        </w:rPr>
      </w:pPr>
      <w:r w:rsidRPr="00177BFA">
        <w:rPr>
          <w:rFonts w:eastAsia="Times New Roman"/>
          <w:sz w:val="24"/>
          <w:szCs w:val="24"/>
        </w:rPr>
        <w:t>No public water supply well or wellfield designed to withdraw, or spring which flows, less than 100,000 gallons per day shall be constructed, expanded or replaced, or placed on-line, unless the Department finds in writing:</w:t>
      </w:r>
    </w:p>
    <w:p w14:paraId="281A6FC1" w14:textId="77777777" w:rsidR="004647B9" w:rsidRPr="00177BFA" w:rsidRDefault="00E2436F" w:rsidP="00A07AD4">
      <w:pPr>
        <w:ind w:left="1980"/>
        <w:rPr>
          <w:sz w:val="24"/>
          <w:szCs w:val="24"/>
        </w:rPr>
      </w:pPr>
      <w:r w:rsidRPr="00177BFA">
        <w:rPr>
          <w:rFonts w:eastAsia="Times New Roman"/>
          <w:sz w:val="24"/>
          <w:szCs w:val="24"/>
        </w:rPr>
        <w:t xml:space="preserve">1. that the proponent has satisfactorily complied with the Drinking Water Program's </w:t>
      </w:r>
      <w:r w:rsidRPr="00177BFA">
        <w:rPr>
          <w:rFonts w:eastAsia="Times New Roman"/>
          <w:i/>
          <w:iCs/>
          <w:sz w:val="24"/>
          <w:szCs w:val="24"/>
        </w:rPr>
        <w:t>Guidelines and Policies for Public Water Systems</w:t>
      </w:r>
      <w:r w:rsidRPr="00177BFA">
        <w:rPr>
          <w:rFonts w:eastAsia="Times New Roman"/>
          <w:sz w:val="24"/>
          <w:szCs w:val="24"/>
        </w:rPr>
        <w:t>;</w:t>
      </w:r>
    </w:p>
    <w:p w14:paraId="281A6FC2" w14:textId="77777777" w:rsidR="004647B9" w:rsidRPr="00177BFA" w:rsidRDefault="00E2436F" w:rsidP="00A07AD4">
      <w:pPr>
        <w:numPr>
          <w:ilvl w:val="0"/>
          <w:numId w:val="829"/>
        </w:numPr>
        <w:tabs>
          <w:tab w:val="left" w:pos="2398"/>
        </w:tabs>
        <w:ind w:left="1980" w:hanging="5"/>
        <w:jc w:val="both"/>
        <w:rPr>
          <w:rFonts w:eastAsia="Times New Roman"/>
          <w:sz w:val="24"/>
          <w:szCs w:val="24"/>
        </w:rPr>
      </w:pPr>
      <w:r w:rsidRPr="00177BFA">
        <w:rPr>
          <w:rFonts w:eastAsia="Times New Roman"/>
          <w:sz w:val="24"/>
          <w:szCs w:val="24"/>
        </w:rPr>
        <w:t>that the source of water supply for the well, wellfield, or spring will achieve all applicable water quality standards set forth in the Massachusetts Drinking Water Regulations, 310 CMR 22.00;</w:t>
      </w:r>
    </w:p>
    <w:p w14:paraId="281A6FC4" w14:textId="77777777" w:rsidR="004647B9" w:rsidRPr="00177BFA" w:rsidRDefault="00E2436F" w:rsidP="00A07AD4">
      <w:pPr>
        <w:numPr>
          <w:ilvl w:val="0"/>
          <w:numId w:val="829"/>
        </w:numPr>
        <w:tabs>
          <w:tab w:val="left" w:pos="2285"/>
        </w:tabs>
        <w:ind w:left="1980" w:hanging="5"/>
        <w:rPr>
          <w:rFonts w:eastAsia="Times New Roman"/>
          <w:sz w:val="24"/>
          <w:szCs w:val="24"/>
        </w:rPr>
      </w:pPr>
      <w:r w:rsidRPr="00177BFA">
        <w:rPr>
          <w:rFonts w:eastAsia="Times New Roman"/>
          <w:sz w:val="24"/>
          <w:szCs w:val="24"/>
        </w:rPr>
        <w:t>that the proponent has properly determined the Zone I of the proposed well, wellfield, or spring;</w:t>
      </w:r>
    </w:p>
    <w:p w14:paraId="281A6FC5" w14:textId="77777777" w:rsidR="004647B9" w:rsidRPr="00177BFA" w:rsidRDefault="00E2436F" w:rsidP="00A07AD4">
      <w:pPr>
        <w:numPr>
          <w:ilvl w:val="0"/>
          <w:numId w:val="829"/>
        </w:numPr>
        <w:tabs>
          <w:tab w:val="left" w:pos="2347"/>
        </w:tabs>
        <w:ind w:left="1980" w:hanging="5"/>
        <w:rPr>
          <w:rFonts w:eastAsia="Times New Roman"/>
          <w:sz w:val="24"/>
          <w:szCs w:val="24"/>
        </w:rPr>
      </w:pPr>
      <w:r w:rsidRPr="00177BFA">
        <w:rPr>
          <w:rFonts w:eastAsia="Times New Roman"/>
          <w:sz w:val="24"/>
          <w:szCs w:val="24"/>
        </w:rPr>
        <w:t>that the Zone I of the proposed well, wellfield, or spring is owned or controlled by the supplier of water; and</w:t>
      </w:r>
    </w:p>
    <w:p w14:paraId="281A6FC6" w14:textId="77777777" w:rsidR="004647B9" w:rsidRPr="00177BFA" w:rsidRDefault="004647B9" w:rsidP="00A07AD4">
      <w:pPr>
        <w:rPr>
          <w:sz w:val="24"/>
          <w:szCs w:val="24"/>
        </w:rPr>
        <w:sectPr w:rsidR="004647B9" w:rsidRPr="00177BFA" w:rsidSect="00EF630C">
          <w:pgSz w:w="12240" w:h="20180"/>
          <w:pgMar w:top="708" w:right="1440" w:bottom="1013" w:left="540" w:header="0" w:footer="0" w:gutter="0"/>
          <w:cols w:space="720"/>
        </w:sectPr>
      </w:pPr>
    </w:p>
    <w:p w14:paraId="281A6FC7" w14:textId="77777777" w:rsidR="004647B9" w:rsidRDefault="00E2436F">
      <w:pPr>
        <w:tabs>
          <w:tab w:val="left" w:pos="160"/>
        </w:tabs>
        <w:ind w:right="-59"/>
        <w:jc w:val="center"/>
        <w:rPr>
          <w:sz w:val="20"/>
          <w:szCs w:val="20"/>
        </w:rPr>
      </w:pPr>
      <w:bookmarkStart w:id="317" w:name="page322"/>
      <w:bookmarkEnd w:id="31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FC8" w14:textId="77777777" w:rsidR="004647B9" w:rsidRDefault="004647B9" w:rsidP="00177BFA">
      <w:pPr>
        <w:rPr>
          <w:sz w:val="20"/>
          <w:szCs w:val="20"/>
        </w:rPr>
      </w:pPr>
    </w:p>
    <w:p w14:paraId="281A6FC9" w14:textId="77777777" w:rsidR="004647B9" w:rsidRDefault="004647B9" w:rsidP="00177BFA">
      <w:pPr>
        <w:rPr>
          <w:sz w:val="20"/>
          <w:szCs w:val="20"/>
        </w:rPr>
      </w:pPr>
    </w:p>
    <w:p w14:paraId="281A6FCA" w14:textId="77777777" w:rsidR="004647B9" w:rsidRPr="00402E91" w:rsidRDefault="00E2436F" w:rsidP="00177BFA">
      <w:pPr>
        <w:tabs>
          <w:tab w:val="left" w:pos="760"/>
        </w:tabs>
        <w:rPr>
          <w:sz w:val="24"/>
          <w:szCs w:val="24"/>
        </w:rPr>
      </w:pPr>
      <w:r w:rsidRPr="00402E91">
        <w:rPr>
          <w:rFonts w:eastAsia="Times New Roman"/>
          <w:sz w:val="24"/>
          <w:szCs w:val="24"/>
        </w:rPr>
        <w:t>22.21:</w:t>
      </w:r>
      <w:r w:rsidRPr="00402E91">
        <w:rPr>
          <w:rFonts w:eastAsia="Times New Roman"/>
          <w:sz w:val="24"/>
          <w:szCs w:val="24"/>
        </w:rPr>
        <w:tab/>
        <w:t>continued</w:t>
      </w:r>
    </w:p>
    <w:p w14:paraId="281A6FCB" w14:textId="77777777" w:rsidR="004647B9" w:rsidRPr="00177BFA" w:rsidRDefault="004647B9" w:rsidP="00177BFA">
      <w:pPr>
        <w:rPr>
          <w:sz w:val="20"/>
          <w:szCs w:val="20"/>
        </w:rPr>
      </w:pPr>
    </w:p>
    <w:p w14:paraId="281A6FCC" w14:textId="77777777" w:rsidR="004647B9" w:rsidRPr="00402E91" w:rsidRDefault="00E2436F" w:rsidP="00177BFA">
      <w:pPr>
        <w:numPr>
          <w:ilvl w:val="1"/>
          <w:numId w:val="830"/>
        </w:numPr>
        <w:tabs>
          <w:tab w:val="left" w:pos="2369"/>
        </w:tabs>
        <w:ind w:left="1980" w:hanging="5"/>
        <w:jc w:val="both"/>
        <w:rPr>
          <w:rFonts w:eastAsia="Times New Roman"/>
          <w:sz w:val="24"/>
          <w:szCs w:val="24"/>
        </w:rPr>
      </w:pPr>
      <w:r w:rsidRPr="00402E91">
        <w:rPr>
          <w:rFonts w:eastAsia="Times New Roman"/>
          <w:sz w:val="24"/>
          <w:szCs w:val="24"/>
        </w:rPr>
        <w:t>that current and/or future land uses within the Zone I are limited to those directly related to the provision of public drinking water or will have no significant adverse impact on water quality.</w:t>
      </w:r>
    </w:p>
    <w:p w14:paraId="281A6FCE" w14:textId="77777777" w:rsidR="004647B9" w:rsidRPr="00402E91" w:rsidRDefault="00E2436F" w:rsidP="00177BFA">
      <w:pPr>
        <w:ind w:left="1980" w:firstLine="360"/>
        <w:jc w:val="both"/>
        <w:rPr>
          <w:rFonts w:eastAsia="Times New Roman"/>
          <w:sz w:val="24"/>
          <w:szCs w:val="24"/>
        </w:rPr>
      </w:pPr>
      <w:r w:rsidRPr="00402E91">
        <w:rPr>
          <w:rFonts w:eastAsia="Times New Roman"/>
          <w:sz w:val="24"/>
          <w:szCs w:val="24"/>
        </w:rPr>
        <w:t>In addition, the Department may require the proponent to delineate Zones II and III, and submit a groundwater monitoring well program plan for approval if the Department finds that existing or proposed land uses within the Interim Wellhead Protection Area of the proposed well, wellfield, or spring, determined in accordance with 310 CMR 22.21(1)(i), may pose a threat to water quality.</w:t>
      </w:r>
    </w:p>
    <w:p w14:paraId="281A6FD0" w14:textId="77777777" w:rsidR="004647B9" w:rsidRPr="00402E91" w:rsidRDefault="00E2436F" w:rsidP="00177BFA">
      <w:pPr>
        <w:numPr>
          <w:ilvl w:val="0"/>
          <w:numId w:val="831"/>
        </w:numPr>
        <w:tabs>
          <w:tab w:val="left" w:pos="2035"/>
        </w:tabs>
        <w:ind w:left="1620" w:hanging="5"/>
        <w:jc w:val="both"/>
        <w:rPr>
          <w:rFonts w:eastAsia="Times New Roman"/>
          <w:sz w:val="24"/>
          <w:szCs w:val="24"/>
        </w:rPr>
      </w:pPr>
      <w:r w:rsidRPr="00402E91">
        <w:rPr>
          <w:rFonts w:eastAsia="Times New Roman"/>
          <w:sz w:val="24"/>
          <w:szCs w:val="24"/>
        </w:rPr>
        <w:t>No public water supply well, wellfield or spring designed to withdraw, or spring which flows, 100,000 gallons per day or more shall be constructed, expanded or replaced unless the Department finds in writing:</w:t>
      </w:r>
    </w:p>
    <w:p w14:paraId="281A6FD2" w14:textId="77777777" w:rsidR="004647B9" w:rsidRPr="00402E91" w:rsidRDefault="00E2436F" w:rsidP="00177BFA">
      <w:pPr>
        <w:numPr>
          <w:ilvl w:val="1"/>
          <w:numId w:val="831"/>
        </w:numPr>
        <w:tabs>
          <w:tab w:val="left" w:pos="2333"/>
        </w:tabs>
        <w:ind w:left="1980" w:hanging="5"/>
        <w:rPr>
          <w:rFonts w:eastAsia="Times New Roman"/>
          <w:sz w:val="24"/>
          <w:szCs w:val="24"/>
        </w:rPr>
      </w:pPr>
      <w:r w:rsidRPr="00402E91">
        <w:rPr>
          <w:rFonts w:eastAsia="Times New Roman"/>
          <w:sz w:val="24"/>
          <w:szCs w:val="24"/>
        </w:rPr>
        <w:t>that the proponent has met all the requirements set forth in 310 CMR 22.21(1)(b)1. through 5.;</w:t>
      </w:r>
    </w:p>
    <w:p w14:paraId="281A6FD3" w14:textId="77777777" w:rsidR="004647B9" w:rsidRPr="00402E91" w:rsidRDefault="00E2436F" w:rsidP="00177BFA">
      <w:pPr>
        <w:numPr>
          <w:ilvl w:val="1"/>
          <w:numId w:val="831"/>
        </w:numPr>
        <w:tabs>
          <w:tab w:val="left" w:pos="2326"/>
        </w:tabs>
        <w:ind w:left="1980" w:hanging="5"/>
        <w:rPr>
          <w:rFonts w:eastAsia="Times New Roman"/>
          <w:sz w:val="24"/>
          <w:szCs w:val="24"/>
        </w:rPr>
      </w:pPr>
      <w:r w:rsidRPr="00402E91">
        <w:rPr>
          <w:rFonts w:eastAsia="Times New Roman"/>
          <w:sz w:val="24"/>
          <w:szCs w:val="24"/>
        </w:rPr>
        <w:t>that the proponent has properly delineated the Zones II and III of the proposed well, wellfield, or spring;</w:t>
      </w:r>
    </w:p>
    <w:p w14:paraId="281A6FD4" w14:textId="77777777" w:rsidR="004647B9" w:rsidRPr="00402E91" w:rsidRDefault="00E2436F" w:rsidP="00177BFA">
      <w:pPr>
        <w:numPr>
          <w:ilvl w:val="1"/>
          <w:numId w:val="831"/>
        </w:numPr>
        <w:tabs>
          <w:tab w:val="left" w:pos="2434"/>
        </w:tabs>
        <w:ind w:left="1980" w:hanging="5"/>
        <w:jc w:val="both"/>
        <w:rPr>
          <w:rFonts w:eastAsia="Times New Roman"/>
          <w:sz w:val="24"/>
          <w:szCs w:val="24"/>
        </w:rPr>
      </w:pPr>
      <w:r w:rsidRPr="00402E91">
        <w:rPr>
          <w:rFonts w:eastAsia="Times New Roman"/>
          <w:sz w:val="24"/>
          <w:szCs w:val="24"/>
        </w:rPr>
        <w:t>that the proponent has submitted a groundwater monitoring well program plan designed to evaluate the water quality impacts of land uses within the Zone II of the proposed well, wellfield, or spring; and</w:t>
      </w:r>
    </w:p>
    <w:p w14:paraId="281A6FD9" w14:textId="52E1F4BB" w:rsidR="004647B9" w:rsidRPr="00402E91" w:rsidRDefault="00E2436F" w:rsidP="00177BFA">
      <w:pPr>
        <w:numPr>
          <w:ilvl w:val="1"/>
          <w:numId w:val="831"/>
        </w:numPr>
        <w:tabs>
          <w:tab w:val="left" w:pos="2280"/>
        </w:tabs>
        <w:ind w:left="1980"/>
        <w:jc w:val="both"/>
        <w:rPr>
          <w:rFonts w:eastAsia="Times New Roman"/>
          <w:sz w:val="24"/>
          <w:szCs w:val="24"/>
        </w:rPr>
      </w:pPr>
      <w:r w:rsidRPr="00402E91">
        <w:rPr>
          <w:rFonts w:eastAsia="Times New Roman"/>
          <w:sz w:val="24"/>
          <w:szCs w:val="24"/>
        </w:rPr>
        <w:t>that the proponent has drafted wellhead protection zoning or nonzoning controls that prohibit siting within the Zone II the land uses set forth in 310 CMR 22.21(2)(a) and (b) unless designed in accordance with the performance standards specified in 310 CMR</w:t>
      </w:r>
      <w:r w:rsidR="00402E91" w:rsidRPr="00402E91">
        <w:rPr>
          <w:rFonts w:eastAsia="Times New Roman"/>
          <w:sz w:val="24"/>
          <w:szCs w:val="24"/>
        </w:rPr>
        <w:t xml:space="preserve"> 22.</w:t>
      </w:r>
      <w:r w:rsidRPr="00402E91">
        <w:rPr>
          <w:rFonts w:eastAsia="Times New Roman"/>
          <w:sz w:val="24"/>
          <w:szCs w:val="24"/>
        </w:rPr>
        <w:t>00, and has complied with the nitrate management requirement of 310 CMR</w:t>
      </w:r>
      <w:r w:rsidR="00402E91">
        <w:rPr>
          <w:rFonts w:eastAsia="Times New Roman"/>
          <w:sz w:val="24"/>
          <w:szCs w:val="24"/>
        </w:rPr>
        <w:t xml:space="preserve"> </w:t>
      </w:r>
      <w:r w:rsidRPr="00402E91">
        <w:rPr>
          <w:rFonts w:eastAsia="Times New Roman"/>
          <w:sz w:val="24"/>
          <w:szCs w:val="24"/>
        </w:rPr>
        <w:t>22.21(2)(d).</w:t>
      </w:r>
    </w:p>
    <w:p w14:paraId="281A6FDB" w14:textId="77777777" w:rsidR="004647B9" w:rsidRPr="00402E91" w:rsidRDefault="00E2436F" w:rsidP="00177BFA">
      <w:pPr>
        <w:numPr>
          <w:ilvl w:val="0"/>
          <w:numId w:val="832"/>
        </w:numPr>
        <w:tabs>
          <w:tab w:val="left" w:pos="2047"/>
        </w:tabs>
        <w:ind w:left="1620" w:hanging="5"/>
        <w:rPr>
          <w:rFonts w:eastAsia="Times New Roman"/>
          <w:sz w:val="24"/>
          <w:szCs w:val="24"/>
        </w:rPr>
      </w:pPr>
      <w:r w:rsidRPr="00402E91">
        <w:rPr>
          <w:rFonts w:eastAsia="Times New Roman"/>
          <w:sz w:val="24"/>
          <w:szCs w:val="24"/>
        </w:rPr>
        <w:t>No public water supply well, wellfield or spring designed to withdraw, or spring which flows, 100,000 gallons per day or more shall be placed on-line unless:</w:t>
      </w:r>
    </w:p>
    <w:p w14:paraId="281A6FDC" w14:textId="77777777" w:rsidR="004647B9" w:rsidRPr="00402E91" w:rsidRDefault="00E2436F" w:rsidP="00177BFA">
      <w:pPr>
        <w:numPr>
          <w:ilvl w:val="1"/>
          <w:numId w:val="832"/>
        </w:numPr>
        <w:tabs>
          <w:tab w:val="left" w:pos="2328"/>
        </w:tabs>
        <w:ind w:left="1980" w:hanging="5"/>
        <w:jc w:val="both"/>
        <w:rPr>
          <w:rFonts w:eastAsia="Times New Roman"/>
          <w:sz w:val="24"/>
          <w:szCs w:val="24"/>
        </w:rPr>
      </w:pPr>
      <w:r w:rsidRPr="00402E91">
        <w:rPr>
          <w:rFonts w:eastAsia="Times New Roman"/>
          <w:sz w:val="24"/>
          <w:szCs w:val="24"/>
        </w:rPr>
        <w:t>a groundwater monitoring well program plan approved by the Department has been fully implemented (</w:t>
      </w:r>
      <w:r w:rsidRPr="00402E91">
        <w:rPr>
          <w:rFonts w:eastAsia="Times New Roman"/>
          <w:i/>
          <w:iCs/>
          <w:sz w:val="24"/>
          <w:szCs w:val="24"/>
        </w:rPr>
        <w:t>i.e</w:t>
      </w:r>
      <w:r w:rsidRPr="00402E91">
        <w:rPr>
          <w:rFonts w:eastAsia="Times New Roman"/>
          <w:sz w:val="24"/>
          <w:szCs w:val="24"/>
        </w:rPr>
        <w:t>. the monitoring wells are operational and the sampling frequency and parameters have been approved by the Department); and</w:t>
      </w:r>
    </w:p>
    <w:p w14:paraId="281A6FE0" w14:textId="6FCA35B3" w:rsidR="004647B9" w:rsidRPr="00402E91" w:rsidRDefault="00E2436F" w:rsidP="00177BFA">
      <w:pPr>
        <w:numPr>
          <w:ilvl w:val="1"/>
          <w:numId w:val="832"/>
        </w:numPr>
        <w:tabs>
          <w:tab w:val="left" w:pos="2318"/>
        </w:tabs>
        <w:ind w:left="1980" w:hanging="5"/>
        <w:jc w:val="both"/>
        <w:rPr>
          <w:rFonts w:eastAsia="Times New Roman"/>
          <w:sz w:val="24"/>
          <w:szCs w:val="24"/>
        </w:rPr>
      </w:pPr>
      <w:r w:rsidRPr="00402E91">
        <w:rPr>
          <w:rFonts w:eastAsia="Times New Roman"/>
          <w:sz w:val="24"/>
          <w:szCs w:val="24"/>
        </w:rPr>
        <w:t>the cities and towns in which any part of the Zone II of the proposed well, wellfield, or spring is located have wellhead protection zoning or nonzoning controls in effect that prohibit siting within the Zone II the land uses set forth in 310 CMR 22.21(2)(a) and (b) unless designed in accordance with the performance standards specified in 310 CMR</w:t>
      </w:r>
      <w:r w:rsidR="00402E91">
        <w:rPr>
          <w:rFonts w:eastAsia="Times New Roman"/>
          <w:sz w:val="24"/>
          <w:szCs w:val="24"/>
        </w:rPr>
        <w:t xml:space="preserve"> 22</w:t>
      </w:r>
      <w:r w:rsidRPr="00402E91">
        <w:rPr>
          <w:rFonts w:eastAsia="Times New Roman"/>
          <w:sz w:val="24"/>
          <w:szCs w:val="24"/>
        </w:rPr>
        <w:t>00. If the public water system is owned or controlled by an entity other than a municipality, the proponent must demonstrate to the Department's satisfaction that it has used its best efforts to have all cities and towns in which the Zone II is located establish such zoning or nonzoning controls.</w:t>
      </w:r>
    </w:p>
    <w:p w14:paraId="281A6FE1" w14:textId="77777777" w:rsidR="004647B9" w:rsidRPr="00402E91" w:rsidRDefault="00E2436F" w:rsidP="00177BFA">
      <w:pPr>
        <w:numPr>
          <w:ilvl w:val="0"/>
          <w:numId w:val="833"/>
        </w:numPr>
        <w:tabs>
          <w:tab w:val="left" w:pos="2114"/>
        </w:tabs>
        <w:ind w:left="1620" w:hanging="5"/>
        <w:jc w:val="both"/>
        <w:rPr>
          <w:rFonts w:eastAsia="Times New Roman"/>
          <w:sz w:val="24"/>
          <w:szCs w:val="24"/>
        </w:rPr>
      </w:pPr>
      <w:r w:rsidRPr="00402E91">
        <w:rPr>
          <w:rFonts w:eastAsia="Times New Roman"/>
          <w:sz w:val="24"/>
          <w:szCs w:val="24"/>
        </w:rPr>
        <w:t>Notwithstanding 310 CMR 22.21(1)(d)2., no public water supply well, wellfield or spring designed to withdraw, or spring which flows, 100,000 gallons per day or more that will be used in a public water system owned or operated by a municipality, and is located within that municipality, shall be placed on-line unless the municipality has wellhead protection zoning or nonzoning controls in effect that prohibit siting within the Zone II the land uses set forth in 310 CMR 22.21(2)(a) and (b) unless designed in accordance with the performance standards specified therein. If the Zone ll of a municipal public water system extends into another municipality, the water supplier must also demonstrate to the Department's satisfaction that it has used its best efforts to have all cities and towns into which the Zone II extends establish such zoning or nonzoning controls within the Zone II.</w:t>
      </w:r>
    </w:p>
    <w:p w14:paraId="281A6FE3" w14:textId="77777777" w:rsidR="004647B9" w:rsidRPr="00402E91" w:rsidRDefault="00E2436F" w:rsidP="00177BFA">
      <w:pPr>
        <w:numPr>
          <w:ilvl w:val="0"/>
          <w:numId w:val="833"/>
        </w:numPr>
        <w:tabs>
          <w:tab w:val="left" w:pos="2074"/>
        </w:tabs>
        <w:ind w:left="1620" w:hanging="5"/>
        <w:jc w:val="both"/>
        <w:rPr>
          <w:rFonts w:eastAsia="Times New Roman"/>
          <w:sz w:val="24"/>
          <w:szCs w:val="24"/>
        </w:rPr>
      </w:pPr>
      <w:r w:rsidRPr="00402E91">
        <w:rPr>
          <w:rFonts w:eastAsia="Times New Roman"/>
          <w:sz w:val="24"/>
          <w:szCs w:val="24"/>
        </w:rPr>
        <w:t>Notwithstanding any other regulatory provision to the contrary, the Department may waive the requirement that the proponent of a public water supply well, wellfield, or spring delineate the Zone II, provided:</w:t>
      </w:r>
    </w:p>
    <w:p w14:paraId="281A6FE5" w14:textId="77777777" w:rsidR="004647B9" w:rsidRPr="00402E91" w:rsidRDefault="00E2436F" w:rsidP="00177BFA">
      <w:pPr>
        <w:numPr>
          <w:ilvl w:val="1"/>
          <w:numId w:val="833"/>
        </w:numPr>
        <w:tabs>
          <w:tab w:val="left" w:pos="2340"/>
        </w:tabs>
        <w:ind w:left="2340" w:hanging="365"/>
        <w:rPr>
          <w:rFonts w:eastAsia="Times New Roman"/>
          <w:sz w:val="24"/>
          <w:szCs w:val="24"/>
        </w:rPr>
      </w:pPr>
      <w:r w:rsidRPr="00402E91">
        <w:rPr>
          <w:rFonts w:eastAsia="Times New Roman"/>
          <w:sz w:val="24"/>
          <w:szCs w:val="24"/>
        </w:rPr>
        <w:t>the proponent has properly delineated the Zone III;</w:t>
      </w:r>
    </w:p>
    <w:p w14:paraId="281A6FE7" w14:textId="77777777" w:rsidR="004647B9" w:rsidRPr="00402E91" w:rsidRDefault="00E2436F" w:rsidP="00177BFA">
      <w:pPr>
        <w:numPr>
          <w:ilvl w:val="1"/>
          <w:numId w:val="833"/>
        </w:numPr>
        <w:tabs>
          <w:tab w:val="left" w:pos="2318"/>
        </w:tabs>
        <w:ind w:left="1980" w:hanging="5"/>
        <w:jc w:val="both"/>
        <w:rPr>
          <w:rFonts w:eastAsia="Times New Roman"/>
          <w:sz w:val="24"/>
          <w:szCs w:val="24"/>
        </w:rPr>
      </w:pPr>
      <w:r w:rsidRPr="00402E91">
        <w:rPr>
          <w:rFonts w:eastAsia="Times New Roman"/>
          <w:sz w:val="24"/>
          <w:szCs w:val="24"/>
        </w:rPr>
        <w:t>each city and town in which the Zone III of the proposed well, wellfield, or spring is located has wellhead protection zoning or nonzoning controls in effect that prohibit within the Zone III the land uses set forth in 310 CMR 22.21(2)(a) and (b) unless designed in accordance with the performance standards specified in 310 CMR 22.00;</w:t>
      </w:r>
    </w:p>
    <w:p w14:paraId="281A6FE8" w14:textId="77777777" w:rsidR="004647B9" w:rsidRDefault="00E2436F" w:rsidP="00177BFA">
      <w:pPr>
        <w:numPr>
          <w:ilvl w:val="1"/>
          <w:numId w:val="833"/>
        </w:numPr>
        <w:tabs>
          <w:tab w:val="left" w:pos="2326"/>
        </w:tabs>
        <w:ind w:left="1980" w:hanging="5"/>
        <w:jc w:val="both"/>
        <w:rPr>
          <w:rFonts w:eastAsia="Times New Roman"/>
          <w:sz w:val="24"/>
          <w:szCs w:val="24"/>
        </w:rPr>
      </w:pPr>
      <w:r w:rsidRPr="00402E91">
        <w:rPr>
          <w:rFonts w:eastAsia="Times New Roman"/>
          <w:sz w:val="24"/>
          <w:szCs w:val="24"/>
        </w:rPr>
        <w:t>the proponent has submitted a groundwater monitoring well program plan designed</w:t>
      </w:r>
      <w:r>
        <w:rPr>
          <w:rFonts w:eastAsia="Times New Roman"/>
          <w:sz w:val="24"/>
          <w:szCs w:val="24"/>
        </w:rPr>
        <w:t xml:space="preserve"> to evaluate the water quality impacts of land uses within the Zone III of the proposed well, wellfield, or spring; and</w:t>
      </w:r>
    </w:p>
    <w:p w14:paraId="281A6FE9" w14:textId="77777777" w:rsidR="004647B9" w:rsidRDefault="004647B9" w:rsidP="00177BFA">
      <w:pPr>
        <w:sectPr w:rsidR="004647B9" w:rsidSect="00EF630C">
          <w:pgSz w:w="12240" w:h="20180"/>
          <w:pgMar w:top="708" w:right="1440" w:bottom="1440" w:left="540" w:header="0" w:footer="0" w:gutter="0"/>
          <w:cols w:space="720"/>
        </w:sectPr>
      </w:pPr>
    </w:p>
    <w:p w14:paraId="281A6FEA" w14:textId="77777777" w:rsidR="004647B9" w:rsidRDefault="00E2436F">
      <w:pPr>
        <w:tabs>
          <w:tab w:val="left" w:pos="160"/>
        </w:tabs>
        <w:ind w:right="-59"/>
        <w:jc w:val="center"/>
        <w:rPr>
          <w:sz w:val="20"/>
          <w:szCs w:val="20"/>
        </w:rPr>
      </w:pPr>
      <w:bookmarkStart w:id="318" w:name="page323"/>
      <w:bookmarkEnd w:id="31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6FEB" w14:textId="77777777" w:rsidR="004647B9" w:rsidRDefault="004647B9" w:rsidP="005F0A60">
      <w:pPr>
        <w:rPr>
          <w:sz w:val="20"/>
          <w:szCs w:val="20"/>
        </w:rPr>
      </w:pPr>
    </w:p>
    <w:p w14:paraId="281A6FEC" w14:textId="77777777" w:rsidR="004647B9" w:rsidRPr="00402E91" w:rsidRDefault="004647B9" w:rsidP="005F0A60">
      <w:pPr>
        <w:rPr>
          <w:sz w:val="24"/>
          <w:szCs w:val="24"/>
        </w:rPr>
      </w:pPr>
    </w:p>
    <w:p w14:paraId="281A6FED" w14:textId="77777777" w:rsidR="004647B9" w:rsidRPr="00402E91" w:rsidRDefault="00E2436F" w:rsidP="005F0A60">
      <w:pPr>
        <w:tabs>
          <w:tab w:val="left" w:pos="760"/>
        </w:tabs>
        <w:rPr>
          <w:sz w:val="24"/>
          <w:szCs w:val="24"/>
        </w:rPr>
      </w:pPr>
      <w:r w:rsidRPr="00402E91">
        <w:rPr>
          <w:rFonts w:eastAsia="Times New Roman"/>
          <w:sz w:val="24"/>
          <w:szCs w:val="24"/>
        </w:rPr>
        <w:t>22.21:</w:t>
      </w:r>
      <w:r w:rsidRPr="00402E91">
        <w:rPr>
          <w:rFonts w:eastAsia="Times New Roman"/>
          <w:sz w:val="24"/>
          <w:szCs w:val="24"/>
        </w:rPr>
        <w:tab/>
        <w:t>continued</w:t>
      </w:r>
    </w:p>
    <w:p w14:paraId="281A6FEE" w14:textId="77777777" w:rsidR="004647B9" w:rsidRPr="00402E91" w:rsidRDefault="004647B9" w:rsidP="005F0A60">
      <w:pPr>
        <w:rPr>
          <w:sz w:val="24"/>
          <w:szCs w:val="24"/>
        </w:rPr>
      </w:pPr>
    </w:p>
    <w:p w14:paraId="281A6FF0" w14:textId="2C5C711B" w:rsidR="004647B9" w:rsidRPr="00B10C88" w:rsidRDefault="00E2436F" w:rsidP="005F0A60">
      <w:pPr>
        <w:numPr>
          <w:ilvl w:val="0"/>
          <w:numId w:val="834"/>
        </w:numPr>
        <w:tabs>
          <w:tab w:val="left" w:pos="2340"/>
        </w:tabs>
        <w:ind w:left="1980"/>
        <w:rPr>
          <w:rFonts w:eastAsia="Times New Roman"/>
          <w:sz w:val="24"/>
          <w:szCs w:val="24"/>
        </w:rPr>
      </w:pPr>
      <w:r w:rsidRPr="00402E91">
        <w:rPr>
          <w:rFonts w:eastAsia="Times New Roman"/>
          <w:sz w:val="24"/>
          <w:szCs w:val="24"/>
        </w:rPr>
        <w:t>the desired relief can be granted without substantial detriment to the public good. In the event the Department waives the requirement that the proponent delineate the</w:t>
      </w:r>
      <w:r w:rsidR="00B10C88">
        <w:rPr>
          <w:rFonts w:eastAsia="Times New Roman"/>
          <w:sz w:val="24"/>
          <w:szCs w:val="24"/>
        </w:rPr>
        <w:t xml:space="preserve"> </w:t>
      </w:r>
      <w:r w:rsidRPr="00B10C88">
        <w:rPr>
          <w:rFonts w:eastAsia="Times New Roman"/>
          <w:sz w:val="24"/>
          <w:szCs w:val="24"/>
        </w:rPr>
        <w:t>Zone II of a proposed public water supply well, wellfield, or spring, the supplier of water shall fully implement the groundwater monitoring well program plan approved by the Department before placing the well, wellfield, or spring on-line (</w:t>
      </w:r>
      <w:r w:rsidRPr="00B10C88">
        <w:rPr>
          <w:rFonts w:eastAsia="Times New Roman"/>
          <w:i/>
          <w:iCs/>
          <w:sz w:val="24"/>
          <w:szCs w:val="24"/>
        </w:rPr>
        <w:t>i.e</w:t>
      </w:r>
      <w:r w:rsidRPr="00B10C88">
        <w:rPr>
          <w:rFonts w:eastAsia="Times New Roman"/>
          <w:sz w:val="24"/>
          <w:szCs w:val="24"/>
        </w:rPr>
        <w:t>. the monitoring wells shall be operational and the sampling frequencies and parameters shall have been approved by the Department).</w:t>
      </w:r>
    </w:p>
    <w:p w14:paraId="281A6FF2" w14:textId="77777777" w:rsidR="004647B9" w:rsidRPr="00402E91" w:rsidRDefault="00E2436F" w:rsidP="005F0A60">
      <w:pPr>
        <w:numPr>
          <w:ilvl w:val="1"/>
          <w:numId w:val="835"/>
        </w:numPr>
        <w:tabs>
          <w:tab w:val="left" w:pos="2084"/>
        </w:tabs>
        <w:ind w:left="1620" w:hanging="5"/>
        <w:jc w:val="both"/>
        <w:rPr>
          <w:rFonts w:eastAsia="Times New Roman"/>
          <w:sz w:val="24"/>
          <w:szCs w:val="24"/>
        </w:rPr>
      </w:pPr>
      <w:r w:rsidRPr="00402E91">
        <w:rPr>
          <w:rFonts w:eastAsia="Times New Roman"/>
          <w:sz w:val="24"/>
          <w:szCs w:val="24"/>
        </w:rPr>
        <w:t xml:space="preserve">In determining whether a proponent has properly determined the Zone I or delineated the Zones II or III of a well, wellfield, or spring, or adequately designed a groundwater monitoring well program plan, the Department shall apply the criteria set forth in the Drinking Water Program's </w:t>
      </w:r>
      <w:r w:rsidRPr="00402E91">
        <w:rPr>
          <w:rFonts w:eastAsia="Times New Roman"/>
          <w:i/>
          <w:iCs/>
          <w:sz w:val="24"/>
          <w:szCs w:val="24"/>
        </w:rPr>
        <w:t>Guidelines and Policies for Public Water Systems</w:t>
      </w:r>
      <w:r w:rsidRPr="00402E91">
        <w:rPr>
          <w:rFonts w:eastAsia="Times New Roman"/>
          <w:sz w:val="24"/>
          <w:szCs w:val="24"/>
        </w:rPr>
        <w:t>.</w:t>
      </w:r>
    </w:p>
    <w:p w14:paraId="281A6FF3" w14:textId="77777777" w:rsidR="004647B9" w:rsidRPr="00402E91" w:rsidRDefault="00E2436F" w:rsidP="005F0A60">
      <w:pPr>
        <w:numPr>
          <w:ilvl w:val="1"/>
          <w:numId w:val="835"/>
        </w:numPr>
        <w:tabs>
          <w:tab w:val="left" w:pos="2037"/>
        </w:tabs>
        <w:ind w:left="1620" w:hanging="5"/>
        <w:jc w:val="both"/>
        <w:rPr>
          <w:rFonts w:eastAsia="Times New Roman"/>
          <w:sz w:val="24"/>
          <w:szCs w:val="24"/>
        </w:rPr>
      </w:pPr>
      <w:r w:rsidRPr="00402E91">
        <w:rPr>
          <w:rFonts w:eastAsia="Times New Roman"/>
          <w:sz w:val="24"/>
          <w:szCs w:val="24"/>
        </w:rPr>
        <w:t xml:space="preserve">Any person who receives Department approval for a public water supply well, wellfield or spring designed to withdraw, or spring which flows, 100,000 gallons per day or more that is not a replacement withdrawal point shall obtain a permit for any withdrawal, in accordance with the Water Management Act, M.G.L. c. 21G, and 310 CMR 36.00: </w:t>
      </w:r>
      <w:r w:rsidRPr="00402E91">
        <w:rPr>
          <w:rFonts w:eastAsia="Times New Roman"/>
          <w:i/>
          <w:iCs/>
          <w:sz w:val="24"/>
          <w:szCs w:val="24"/>
        </w:rPr>
        <w:t>Massachusetts Water</w:t>
      </w:r>
      <w:r w:rsidRPr="00402E91">
        <w:rPr>
          <w:rFonts w:eastAsia="Times New Roman"/>
          <w:sz w:val="24"/>
          <w:szCs w:val="24"/>
        </w:rPr>
        <w:t xml:space="preserve"> </w:t>
      </w:r>
      <w:r w:rsidRPr="00402E91">
        <w:rPr>
          <w:rFonts w:eastAsia="Times New Roman"/>
          <w:i/>
          <w:iCs/>
          <w:sz w:val="24"/>
          <w:szCs w:val="24"/>
        </w:rPr>
        <w:t>Resources Management Program</w:t>
      </w:r>
      <w:r w:rsidRPr="00402E91">
        <w:rPr>
          <w:rFonts w:eastAsia="Times New Roman"/>
          <w:sz w:val="24"/>
          <w:szCs w:val="24"/>
        </w:rPr>
        <w:t>.</w:t>
      </w:r>
    </w:p>
    <w:p w14:paraId="281A6FF5" w14:textId="77777777" w:rsidR="004647B9" w:rsidRPr="00402E91" w:rsidRDefault="00E2436F" w:rsidP="005F0A60">
      <w:pPr>
        <w:numPr>
          <w:ilvl w:val="1"/>
          <w:numId w:val="835"/>
        </w:numPr>
        <w:tabs>
          <w:tab w:val="left" w:pos="1987"/>
        </w:tabs>
        <w:ind w:left="1620" w:hanging="5"/>
        <w:jc w:val="both"/>
        <w:rPr>
          <w:rFonts w:eastAsia="Times New Roman"/>
          <w:sz w:val="24"/>
          <w:szCs w:val="24"/>
        </w:rPr>
      </w:pPr>
      <w:r w:rsidRPr="00402E91">
        <w:rPr>
          <w:rFonts w:eastAsia="Times New Roman"/>
          <w:sz w:val="24"/>
          <w:szCs w:val="24"/>
        </w:rPr>
        <w:t>If the Department has not approved the Zone II for a public water supply well, wellfield, or spring, the Department will utilize the Interim Wellhead Protection Area as defined in 310 CMR 22.02.</w:t>
      </w:r>
    </w:p>
    <w:p w14:paraId="281A6FF7" w14:textId="77777777" w:rsidR="004647B9" w:rsidRPr="00402E91" w:rsidRDefault="00E2436F" w:rsidP="005F0A60">
      <w:pPr>
        <w:numPr>
          <w:ilvl w:val="1"/>
          <w:numId w:val="835"/>
        </w:numPr>
        <w:tabs>
          <w:tab w:val="left" w:pos="2113"/>
        </w:tabs>
        <w:ind w:left="1620" w:hanging="5"/>
        <w:jc w:val="both"/>
        <w:rPr>
          <w:rFonts w:eastAsia="Times New Roman"/>
          <w:sz w:val="24"/>
          <w:szCs w:val="24"/>
        </w:rPr>
      </w:pPr>
      <w:r w:rsidRPr="00402E91">
        <w:rPr>
          <w:rFonts w:eastAsia="Times New Roman"/>
          <w:sz w:val="24"/>
          <w:szCs w:val="24"/>
        </w:rPr>
        <w:t>The proponent may meet the requirements set forth in 310 CMR 22.21(1)(d)2. by demonstrating that existing rights in perpetuity or for a specific period of years stated in the form of a restriction, easement, covenant or condition in a deed or other instrument prohibit the siting of the land uses set forth in 310 CMR 22.21(2)(a) and (b) within the Zone II.</w:t>
      </w:r>
    </w:p>
    <w:p w14:paraId="281A6FF9" w14:textId="77777777" w:rsidR="004647B9" w:rsidRPr="00402E91" w:rsidRDefault="00E2436F" w:rsidP="005F0A60">
      <w:pPr>
        <w:numPr>
          <w:ilvl w:val="1"/>
          <w:numId w:val="835"/>
        </w:numPr>
        <w:tabs>
          <w:tab w:val="left" w:pos="2159"/>
        </w:tabs>
        <w:ind w:left="1620" w:hanging="5"/>
        <w:jc w:val="both"/>
        <w:rPr>
          <w:rFonts w:eastAsia="Times New Roman"/>
          <w:sz w:val="24"/>
          <w:szCs w:val="24"/>
        </w:rPr>
      </w:pPr>
      <w:r w:rsidRPr="00402E91">
        <w:rPr>
          <w:rFonts w:eastAsia="Times New Roman"/>
          <w:sz w:val="24"/>
          <w:szCs w:val="24"/>
        </w:rPr>
        <w:t>The proponent may meet the requirements set forth in 310 CMR 22.21(1)(f)2. by demonstrating that existing rights in perpetuity or for a specific period of years stated in the form of a restriction, easement, covenant or condition in a deed or other instrument prohibit the siting of the land uses set forth in 310 CMR 22.21(2)(a) and (b) within the Zone III.</w:t>
      </w:r>
    </w:p>
    <w:p w14:paraId="281A6FFB" w14:textId="77777777" w:rsidR="004647B9" w:rsidRDefault="00E2436F" w:rsidP="005F0A60">
      <w:pPr>
        <w:numPr>
          <w:ilvl w:val="1"/>
          <w:numId w:val="835"/>
        </w:numPr>
        <w:tabs>
          <w:tab w:val="left" w:pos="2012"/>
        </w:tabs>
        <w:ind w:left="1620" w:hanging="5"/>
        <w:jc w:val="both"/>
        <w:rPr>
          <w:rFonts w:eastAsia="Times New Roman"/>
          <w:sz w:val="24"/>
          <w:szCs w:val="24"/>
        </w:rPr>
      </w:pPr>
      <w:r w:rsidRPr="00402E91">
        <w:rPr>
          <w:rFonts w:eastAsia="Times New Roman"/>
          <w:sz w:val="24"/>
          <w:szCs w:val="24"/>
        </w:rPr>
        <w:t>No public water supply well, wellfield or spring designed to withdraw, or spring which flows, 100,000 gallons per day or more approved after the effective date of 310 CMR 22.21 shall remain on-line following the amendment or repeal of a wellhead protection zoning or nonzoning control pertinent to that well, wellfield, or spring, or the expiration of any such period of years stated in a deed or other instrument approved pursuant to 310 CMR</w:t>
      </w:r>
      <w:r>
        <w:rPr>
          <w:rFonts w:eastAsia="Times New Roman"/>
          <w:sz w:val="24"/>
          <w:szCs w:val="24"/>
        </w:rPr>
        <w:t xml:space="preserve"> 22.21(1)(j) or (k), unless the Department finds in writing that the supplier of water meets the requirements set forth in 310 CMR 22.21(1)(d) or (e), whichever is applicable, or grants a variance in accordance with 310 CMR 22.21(5). Any source of supply removed from service shall be maintained by the supplier of water as an emergency source of water supply unless the Department finds in writing that the source is not needed by the supplier of water for present or future water supply.</w:t>
      </w:r>
    </w:p>
    <w:p w14:paraId="281A6FFC" w14:textId="77777777" w:rsidR="004647B9" w:rsidRDefault="00E2436F" w:rsidP="005F0A60">
      <w:pPr>
        <w:numPr>
          <w:ilvl w:val="1"/>
          <w:numId w:val="835"/>
        </w:numPr>
        <w:tabs>
          <w:tab w:val="left" w:pos="2154"/>
        </w:tabs>
        <w:ind w:left="1620" w:hanging="5"/>
        <w:jc w:val="both"/>
        <w:rPr>
          <w:rFonts w:eastAsia="Times New Roman"/>
          <w:sz w:val="24"/>
          <w:szCs w:val="24"/>
        </w:rPr>
      </w:pPr>
      <w:r>
        <w:rPr>
          <w:rFonts w:eastAsia="Times New Roman"/>
          <w:sz w:val="24"/>
          <w:szCs w:val="24"/>
        </w:rPr>
        <w:t>Notwithstanding any other regulatory provision to the contrary, the Department may exempt a supplier of water from any of the requirements set forth in 310 CMR 22.21(1)(d) while a state of water emergency declared pursuant to M.G.L. c. 21G, § 15, is in effect. In the event that the Department grants such an exemption, the well, wellfield, or spring shall remain on-line only for the duration of the state of water emergency, as determined by the Department.</w:t>
      </w:r>
    </w:p>
    <w:p w14:paraId="281A6FFD" w14:textId="77777777" w:rsidR="004647B9" w:rsidRDefault="004647B9" w:rsidP="005F0A60">
      <w:pPr>
        <w:rPr>
          <w:rFonts w:eastAsia="Times New Roman"/>
          <w:sz w:val="24"/>
          <w:szCs w:val="24"/>
        </w:rPr>
      </w:pPr>
    </w:p>
    <w:p w14:paraId="281A6FFE" w14:textId="77777777" w:rsidR="004647B9" w:rsidRDefault="00E2436F" w:rsidP="005F0A60">
      <w:pPr>
        <w:numPr>
          <w:ilvl w:val="0"/>
          <w:numId w:val="836"/>
        </w:numPr>
        <w:tabs>
          <w:tab w:val="left" w:pos="1720"/>
        </w:tabs>
        <w:ind w:left="1720" w:hanging="460"/>
        <w:rPr>
          <w:rFonts w:eastAsia="Times New Roman"/>
          <w:sz w:val="24"/>
          <w:szCs w:val="24"/>
        </w:rPr>
      </w:pPr>
      <w:r>
        <w:rPr>
          <w:rFonts w:eastAsia="Times New Roman"/>
          <w:sz w:val="24"/>
          <w:szCs w:val="24"/>
          <w:u w:val="single"/>
        </w:rPr>
        <w:t>Wellhead Protection Zoning and Nonzoning Controls</w:t>
      </w:r>
    </w:p>
    <w:p w14:paraId="281A7000" w14:textId="77777777" w:rsidR="004647B9" w:rsidRDefault="00E2436F" w:rsidP="005F0A60">
      <w:pPr>
        <w:numPr>
          <w:ilvl w:val="1"/>
          <w:numId w:val="836"/>
        </w:numPr>
        <w:tabs>
          <w:tab w:val="left" w:pos="2112"/>
        </w:tabs>
        <w:ind w:left="1620" w:hanging="5"/>
        <w:jc w:val="both"/>
        <w:rPr>
          <w:rFonts w:eastAsia="Times New Roman"/>
          <w:sz w:val="24"/>
          <w:szCs w:val="24"/>
        </w:rPr>
      </w:pPr>
      <w:r>
        <w:rPr>
          <w:rFonts w:eastAsia="Times New Roman"/>
          <w:sz w:val="24"/>
          <w:szCs w:val="24"/>
        </w:rPr>
        <w:t>Wellhead protection zoning and nonzoning controls submitted to the Department in accordance with 310 CMR 22.21(1), shall collectively prohibit the siting of the following land uses within the Zone II, or Zone III if the criteria of 310 CMR 22.21(1)(f) have been met, of the proposed well, wellfield, or spring, whichever is applicable:</w:t>
      </w:r>
    </w:p>
    <w:p w14:paraId="281A7001" w14:textId="77777777" w:rsidR="004647B9" w:rsidRDefault="00E2436F" w:rsidP="005F0A60">
      <w:pPr>
        <w:numPr>
          <w:ilvl w:val="2"/>
          <w:numId w:val="836"/>
        </w:numPr>
        <w:tabs>
          <w:tab w:val="left" w:pos="2340"/>
        </w:tabs>
        <w:ind w:left="2340" w:hanging="365"/>
        <w:rPr>
          <w:rFonts w:eastAsia="Times New Roman"/>
          <w:sz w:val="24"/>
          <w:szCs w:val="24"/>
        </w:rPr>
      </w:pPr>
      <w:r>
        <w:rPr>
          <w:rFonts w:eastAsia="Times New Roman"/>
          <w:sz w:val="24"/>
          <w:szCs w:val="24"/>
        </w:rPr>
        <w:t xml:space="preserve">landfills and open dumps, as defined in 310 CMR 19.006:  </w:t>
      </w:r>
      <w:r>
        <w:rPr>
          <w:rFonts w:eastAsia="Times New Roman"/>
          <w:i/>
          <w:iCs/>
          <w:sz w:val="24"/>
          <w:szCs w:val="24"/>
        </w:rPr>
        <w:t>Definitions</w:t>
      </w:r>
      <w:r>
        <w:rPr>
          <w:rFonts w:eastAsia="Times New Roman"/>
          <w:sz w:val="24"/>
          <w:szCs w:val="24"/>
        </w:rPr>
        <w:t>;</w:t>
      </w:r>
    </w:p>
    <w:p w14:paraId="281A7003" w14:textId="77777777" w:rsidR="004647B9" w:rsidRDefault="00E2436F" w:rsidP="005F0A60">
      <w:pPr>
        <w:numPr>
          <w:ilvl w:val="2"/>
          <w:numId w:val="836"/>
        </w:numPr>
        <w:tabs>
          <w:tab w:val="left" w:pos="2362"/>
        </w:tabs>
        <w:ind w:left="1980" w:hanging="5"/>
        <w:jc w:val="both"/>
        <w:rPr>
          <w:rFonts w:eastAsia="Times New Roman"/>
          <w:sz w:val="24"/>
          <w:szCs w:val="24"/>
        </w:rPr>
      </w:pPr>
      <w:r>
        <w:rPr>
          <w:rFonts w:eastAsia="Times New Roman"/>
          <w:sz w:val="24"/>
          <w:szCs w:val="24"/>
        </w:rPr>
        <w:t>landfills receiving only wastewater residuals and/or septage (wastewater residuals "monofills") approved by the Department pursuant to M.G.L. c. 21, § 26 through 53; M.G.L. c. 111, § 17; M.G.L. c. 83, §§ 6 and 7, and any regulations promulgated thereunder.</w:t>
      </w:r>
    </w:p>
    <w:p w14:paraId="281A7004" w14:textId="77777777" w:rsidR="004647B9" w:rsidRDefault="00E2436F" w:rsidP="005F0A60">
      <w:pPr>
        <w:numPr>
          <w:ilvl w:val="2"/>
          <w:numId w:val="836"/>
        </w:numPr>
        <w:tabs>
          <w:tab w:val="left" w:pos="2340"/>
        </w:tabs>
        <w:ind w:left="2340" w:hanging="365"/>
        <w:rPr>
          <w:rFonts w:eastAsia="Times New Roman"/>
          <w:sz w:val="24"/>
          <w:szCs w:val="24"/>
        </w:rPr>
      </w:pPr>
      <w:r>
        <w:rPr>
          <w:rFonts w:eastAsia="Times New Roman"/>
          <w:sz w:val="24"/>
          <w:szCs w:val="24"/>
        </w:rPr>
        <w:t>automobile graveyards and junkyard, as defined in M.G.L. c. 140B, § 1;</w:t>
      </w:r>
    </w:p>
    <w:p w14:paraId="281A7006" w14:textId="77777777" w:rsidR="004647B9" w:rsidRDefault="00E2436F" w:rsidP="005F0A60">
      <w:pPr>
        <w:numPr>
          <w:ilvl w:val="2"/>
          <w:numId w:val="836"/>
        </w:numPr>
        <w:tabs>
          <w:tab w:val="left" w:pos="2333"/>
        </w:tabs>
        <w:ind w:left="1980" w:hanging="5"/>
        <w:jc w:val="both"/>
        <w:rPr>
          <w:rFonts w:eastAsia="Times New Roman"/>
          <w:sz w:val="24"/>
          <w:szCs w:val="24"/>
        </w:rPr>
      </w:pPr>
      <w:r>
        <w:rPr>
          <w:rFonts w:eastAsia="Times New Roman"/>
          <w:sz w:val="24"/>
          <w:szCs w:val="24"/>
        </w:rPr>
        <w:t>stockpiling and disposal of snow or ice removed from highways and streets located outside of Zone II that contains sodium chloride, chemically treated abrasives or other chemicals used for snow and ice removal;</w:t>
      </w:r>
    </w:p>
    <w:p w14:paraId="281A7007" w14:textId="77777777" w:rsidR="004647B9" w:rsidRDefault="004647B9" w:rsidP="005F0A60">
      <w:pPr>
        <w:sectPr w:rsidR="004647B9" w:rsidSect="00EF630C">
          <w:pgSz w:w="12240" w:h="20180"/>
          <w:pgMar w:top="708" w:right="1440" w:bottom="1014" w:left="540" w:header="0" w:footer="0" w:gutter="0"/>
          <w:cols w:space="720"/>
        </w:sectPr>
      </w:pPr>
    </w:p>
    <w:p w14:paraId="281A7008" w14:textId="77777777" w:rsidR="004647B9" w:rsidRDefault="00E2436F">
      <w:pPr>
        <w:tabs>
          <w:tab w:val="left" w:pos="160"/>
        </w:tabs>
        <w:ind w:right="-59"/>
        <w:jc w:val="center"/>
        <w:rPr>
          <w:sz w:val="20"/>
          <w:szCs w:val="20"/>
        </w:rPr>
      </w:pPr>
      <w:bookmarkStart w:id="319" w:name="page324"/>
      <w:bookmarkEnd w:id="31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009" w14:textId="77777777" w:rsidR="004647B9" w:rsidRPr="005F0A60" w:rsidRDefault="004647B9" w:rsidP="0042507F">
      <w:pPr>
        <w:rPr>
          <w:sz w:val="20"/>
          <w:szCs w:val="20"/>
        </w:rPr>
      </w:pPr>
    </w:p>
    <w:p w14:paraId="281A700A" w14:textId="77777777" w:rsidR="004647B9" w:rsidRPr="005F0A60" w:rsidRDefault="004647B9" w:rsidP="0042507F">
      <w:pPr>
        <w:rPr>
          <w:sz w:val="20"/>
          <w:szCs w:val="20"/>
        </w:rPr>
      </w:pPr>
    </w:p>
    <w:p w14:paraId="281A700B" w14:textId="77777777" w:rsidR="004647B9" w:rsidRPr="0042507F" w:rsidRDefault="00E2436F" w:rsidP="0042507F">
      <w:pPr>
        <w:tabs>
          <w:tab w:val="left" w:pos="760"/>
        </w:tabs>
        <w:rPr>
          <w:sz w:val="24"/>
          <w:szCs w:val="24"/>
        </w:rPr>
      </w:pPr>
      <w:r w:rsidRPr="0042507F">
        <w:rPr>
          <w:rFonts w:eastAsia="Times New Roman"/>
          <w:sz w:val="24"/>
          <w:szCs w:val="24"/>
        </w:rPr>
        <w:t>22.21:</w:t>
      </w:r>
      <w:r w:rsidRPr="0042507F">
        <w:rPr>
          <w:rFonts w:eastAsia="Times New Roman"/>
          <w:sz w:val="24"/>
          <w:szCs w:val="24"/>
        </w:rPr>
        <w:tab/>
        <w:t>continued</w:t>
      </w:r>
    </w:p>
    <w:p w14:paraId="281A700C" w14:textId="77777777" w:rsidR="004647B9" w:rsidRPr="005F0A60" w:rsidRDefault="004647B9" w:rsidP="0042507F">
      <w:pPr>
        <w:rPr>
          <w:sz w:val="20"/>
          <w:szCs w:val="20"/>
        </w:rPr>
      </w:pPr>
    </w:p>
    <w:p w14:paraId="281A700D" w14:textId="77777777" w:rsidR="004647B9" w:rsidRPr="0042507F" w:rsidRDefault="00E2436F" w:rsidP="00563A54">
      <w:pPr>
        <w:numPr>
          <w:ilvl w:val="1"/>
          <w:numId w:val="837"/>
        </w:numPr>
        <w:tabs>
          <w:tab w:val="left" w:pos="2244"/>
        </w:tabs>
        <w:ind w:left="1980" w:hanging="5"/>
        <w:jc w:val="both"/>
        <w:rPr>
          <w:rFonts w:eastAsia="Times New Roman"/>
          <w:sz w:val="24"/>
          <w:szCs w:val="24"/>
        </w:rPr>
      </w:pPr>
      <w:r w:rsidRPr="0042507F">
        <w:rPr>
          <w:rFonts w:eastAsia="Times New Roman"/>
          <w:sz w:val="24"/>
          <w:szCs w:val="24"/>
        </w:rPr>
        <w:t xml:space="preserve">petroleum, fuel oil and heating oil bulk stations and terminals, including, but not limited to, those listed under Standard Industrial Classification (SIC) Codes 5171 (not including liquified petroleum gas) and 5983. SIC Codes are established by the U.S. Office of Management and Budget and may be determined by referring to the publication, </w:t>
      </w:r>
      <w:r w:rsidRPr="0042507F">
        <w:rPr>
          <w:rFonts w:eastAsia="Times New Roman"/>
          <w:i/>
          <w:iCs/>
          <w:sz w:val="24"/>
          <w:szCs w:val="24"/>
        </w:rPr>
        <w:t>Standard Industrial Classification Manual</w:t>
      </w:r>
      <w:r w:rsidRPr="0042507F">
        <w:rPr>
          <w:rFonts w:eastAsia="Times New Roman"/>
          <w:sz w:val="24"/>
          <w:szCs w:val="24"/>
        </w:rPr>
        <w:t>;</w:t>
      </w:r>
    </w:p>
    <w:p w14:paraId="281A700F" w14:textId="77777777" w:rsidR="004647B9" w:rsidRPr="0042507F" w:rsidRDefault="00E2436F" w:rsidP="00563A54">
      <w:pPr>
        <w:numPr>
          <w:ilvl w:val="1"/>
          <w:numId w:val="837"/>
        </w:numPr>
        <w:tabs>
          <w:tab w:val="left" w:pos="2318"/>
        </w:tabs>
        <w:ind w:left="1980" w:hanging="5"/>
        <w:jc w:val="both"/>
        <w:rPr>
          <w:rFonts w:eastAsia="Times New Roman"/>
          <w:sz w:val="24"/>
          <w:szCs w:val="24"/>
        </w:rPr>
      </w:pPr>
      <w:r w:rsidRPr="0042507F">
        <w:rPr>
          <w:rFonts w:eastAsia="Times New Roman"/>
          <w:sz w:val="24"/>
          <w:szCs w:val="24"/>
        </w:rPr>
        <w:t xml:space="preserve">treatment or disposal works subject to 314 CMR 5.00: </w:t>
      </w:r>
      <w:r w:rsidRPr="0042507F">
        <w:rPr>
          <w:rFonts w:eastAsia="Times New Roman"/>
          <w:i/>
          <w:iCs/>
          <w:sz w:val="24"/>
          <w:szCs w:val="24"/>
        </w:rPr>
        <w:t>Ground Water Discharge</w:t>
      </w:r>
      <w:r w:rsidRPr="0042507F">
        <w:rPr>
          <w:rFonts w:eastAsia="Times New Roman"/>
          <w:sz w:val="24"/>
          <w:szCs w:val="24"/>
        </w:rPr>
        <w:t xml:space="preserve"> </w:t>
      </w:r>
      <w:r w:rsidRPr="0042507F">
        <w:rPr>
          <w:rFonts w:eastAsia="Times New Roman"/>
          <w:i/>
          <w:iCs/>
          <w:sz w:val="24"/>
          <w:szCs w:val="24"/>
        </w:rPr>
        <w:t xml:space="preserve">Permit Program </w:t>
      </w:r>
      <w:r w:rsidRPr="0042507F">
        <w:rPr>
          <w:rFonts w:eastAsia="Times New Roman"/>
          <w:sz w:val="24"/>
          <w:szCs w:val="24"/>
        </w:rPr>
        <w:t>for wastewater other than sanitary sewage. This prohibition includes,</w:t>
      </w:r>
      <w:r w:rsidRPr="0042507F">
        <w:rPr>
          <w:rFonts w:eastAsia="Times New Roman"/>
          <w:i/>
          <w:iCs/>
          <w:sz w:val="24"/>
          <w:szCs w:val="24"/>
        </w:rPr>
        <w:t xml:space="preserve"> </w:t>
      </w:r>
      <w:r w:rsidRPr="0042507F">
        <w:rPr>
          <w:rFonts w:eastAsia="Times New Roman"/>
          <w:sz w:val="24"/>
          <w:szCs w:val="24"/>
        </w:rPr>
        <w:t>but is not limited to, treatment or disposal works related to activities under the Standard Industrial Classification (SIC) Codes set forth in 310 CMR 15.004(6) (Title 5), except the following:</w:t>
      </w:r>
    </w:p>
    <w:p w14:paraId="281A7011" w14:textId="77777777" w:rsidR="004647B9" w:rsidRPr="0042507F" w:rsidRDefault="00E2436F" w:rsidP="00563A54">
      <w:pPr>
        <w:numPr>
          <w:ilvl w:val="2"/>
          <w:numId w:val="837"/>
        </w:numPr>
        <w:tabs>
          <w:tab w:val="left" w:pos="2671"/>
        </w:tabs>
        <w:ind w:left="2340" w:hanging="5"/>
        <w:rPr>
          <w:rFonts w:eastAsia="Times New Roman"/>
          <w:sz w:val="24"/>
          <w:szCs w:val="24"/>
        </w:rPr>
      </w:pPr>
      <w:r w:rsidRPr="0042507F">
        <w:rPr>
          <w:rFonts w:eastAsia="Times New Roman"/>
          <w:sz w:val="24"/>
          <w:szCs w:val="24"/>
        </w:rPr>
        <w:t>the replacement or repair of an existing system(s) that will not result in a design capacity greater than the design capacity of the existing system(s); and</w:t>
      </w:r>
    </w:p>
    <w:p w14:paraId="281A7012" w14:textId="77777777" w:rsidR="004647B9" w:rsidRPr="0042507F" w:rsidRDefault="00E2436F" w:rsidP="00563A54">
      <w:pPr>
        <w:numPr>
          <w:ilvl w:val="2"/>
          <w:numId w:val="837"/>
        </w:numPr>
        <w:tabs>
          <w:tab w:val="left" w:pos="2786"/>
        </w:tabs>
        <w:ind w:left="2340" w:hanging="5"/>
        <w:jc w:val="both"/>
        <w:rPr>
          <w:rFonts w:eastAsia="Times New Roman"/>
          <w:sz w:val="24"/>
          <w:szCs w:val="24"/>
        </w:rPr>
      </w:pPr>
      <w:r w:rsidRPr="0042507F">
        <w:rPr>
          <w:rFonts w:eastAsia="Times New Roman"/>
          <w:sz w:val="24"/>
          <w:szCs w:val="24"/>
        </w:rPr>
        <w:t>treatment works approved by the Department designed for the treatment of contaminated ground or surface waters and operated in compliance with 314 CMR 5.05(3) or (13); and</w:t>
      </w:r>
    </w:p>
    <w:p w14:paraId="281A7014" w14:textId="77777777" w:rsidR="004647B9" w:rsidRPr="0042507F" w:rsidRDefault="00E2436F" w:rsidP="00563A54">
      <w:pPr>
        <w:numPr>
          <w:ilvl w:val="2"/>
          <w:numId w:val="837"/>
        </w:numPr>
        <w:tabs>
          <w:tab w:val="left" w:pos="2680"/>
        </w:tabs>
        <w:ind w:left="2680" w:hanging="345"/>
        <w:rPr>
          <w:rFonts w:eastAsia="Times New Roman"/>
          <w:sz w:val="24"/>
          <w:szCs w:val="24"/>
        </w:rPr>
      </w:pPr>
      <w:r w:rsidRPr="0042507F">
        <w:rPr>
          <w:rFonts w:eastAsia="Times New Roman"/>
          <w:sz w:val="24"/>
          <w:szCs w:val="24"/>
        </w:rPr>
        <w:t>publicly owned treatment works, or POTWs.</w:t>
      </w:r>
    </w:p>
    <w:p w14:paraId="281A7016" w14:textId="77777777" w:rsidR="004647B9" w:rsidRPr="0042507F" w:rsidRDefault="00E2436F" w:rsidP="00563A54">
      <w:pPr>
        <w:numPr>
          <w:ilvl w:val="1"/>
          <w:numId w:val="837"/>
        </w:numPr>
        <w:tabs>
          <w:tab w:val="left" w:pos="2338"/>
        </w:tabs>
        <w:ind w:left="1980" w:hanging="5"/>
        <w:rPr>
          <w:rFonts w:eastAsia="Times New Roman"/>
          <w:sz w:val="24"/>
          <w:szCs w:val="24"/>
        </w:rPr>
      </w:pPr>
      <w:r w:rsidRPr="0042507F">
        <w:rPr>
          <w:rFonts w:eastAsia="Times New Roman"/>
          <w:sz w:val="24"/>
          <w:szCs w:val="24"/>
        </w:rPr>
        <w:t xml:space="preserve">facilities that generate, treat, store or dispose of hazardous waste that are subject to M.G.L. c. 21C and 310 CMR 30.000: </w:t>
      </w:r>
      <w:r w:rsidRPr="0042507F">
        <w:rPr>
          <w:rFonts w:eastAsia="Times New Roman"/>
          <w:i/>
          <w:iCs/>
          <w:sz w:val="24"/>
          <w:szCs w:val="24"/>
        </w:rPr>
        <w:t>Hazardous Waste</w:t>
      </w:r>
      <w:r w:rsidRPr="0042507F">
        <w:rPr>
          <w:rFonts w:eastAsia="Times New Roman"/>
          <w:sz w:val="24"/>
          <w:szCs w:val="24"/>
        </w:rPr>
        <w:t>, except for the following:</w:t>
      </w:r>
    </w:p>
    <w:p w14:paraId="281A7017" w14:textId="77777777" w:rsidR="004647B9" w:rsidRPr="0042507F" w:rsidRDefault="00E2436F" w:rsidP="00135EF5">
      <w:pPr>
        <w:numPr>
          <w:ilvl w:val="2"/>
          <w:numId w:val="837"/>
        </w:numPr>
        <w:tabs>
          <w:tab w:val="left" w:pos="2640"/>
        </w:tabs>
        <w:ind w:left="2333"/>
        <w:rPr>
          <w:rFonts w:eastAsia="Times New Roman"/>
          <w:sz w:val="24"/>
          <w:szCs w:val="24"/>
        </w:rPr>
      </w:pPr>
      <w:r w:rsidRPr="0042507F">
        <w:rPr>
          <w:rFonts w:eastAsia="Times New Roman"/>
          <w:sz w:val="24"/>
          <w:szCs w:val="24"/>
        </w:rPr>
        <w:t xml:space="preserve">very small quantity generators, as defined by 310 CMR 30.00: </w:t>
      </w:r>
      <w:r w:rsidRPr="0042507F">
        <w:rPr>
          <w:rFonts w:eastAsia="Times New Roman"/>
          <w:i/>
          <w:iCs/>
          <w:sz w:val="24"/>
          <w:szCs w:val="24"/>
        </w:rPr>
        <w:t>Hazardous Waste</w:t>
      </w:r>
      <w:r w:rsidRPr="0042507F">
        <w:rPr>
          <w:rFonts w:eastAsia="Times New Roman"/>
          <w:sz w:val="24"/>
          <w:szCs w:val="24"/>
        </w:rPr>
        <w:t>;</w:t>
      </w:r>
    </w:p>
    <w:p w14:paraId="281A7019" w14:textId="4A9BDDD5" w:rsidR="004647B9" w:rsidRPr="0042507F" w:rsidRDefault="00E2436F" w:rsidP="00812285">
      <w:pPr>
        <w:numPr>
          <w:ilvl w:val="2"/>
          <w:numId w:val="837"/>
        </w:numPr>
        <w:tabs>
          <w:tab w:val="left" w:pos="2760"/>
        </w:tabs>
        <w:ind w:left="2333"/>
        <w:rPr>
          <w:rFonts w:eastAsia="Times New Roman"/>
          <w:sz w:val="24"/>
          <w:szCs w:val="24"/>
        </w:rPr>
      </w:pPr>
      <w:r w:rsidRPr="0042507F">
        <w:rPr>
          <w:rFonts w:eastAsia="Times New Roman"/>
          <w:sz w:val="24"/>
          <w:szCs w:val="24"/>
        </w:rPr>
        <w:t>household hazardous waste collection centers or events operated pursuant to</w:t>
      </w:r>
      <w:r w:rsidR="005F0A60">
        <w:rPr>
          <w:rFonts w:eastAsia="Times New Roman"/>
          <w:sz w:val="24"/>
          <w:szCs w:val="24"/>
        </w:rPr>
        <w:t xml:space="preserve"> 310 </w:t>
      </w:r>
      <w:r w:rsidR="005F0A60" w:rsidRPr="0042507F">
        <w:rPr>
          <w:rFonts w:eastAsia="Times New Roman"/>
          <w:sz w:val="24"/>
          <w:szCs w:val="24"/>
        </w:rPr>
        <w:t xml:space="preserve">CMR 30.390: </w:t>
      </w:r>
      <w:r w:rsidR="005F0A60" w:rsidRPr="0042507F">
        <w:rPr>
          <w:rFonts w:eastAsia="Times New Roman"/>
          <w:i/>
          <w:iCs/>
          <w:sz w:val="24"/>
          <w:szCs w:val="24"/>
        </w:rPr>
        <w:t>Special Provisions for Accumulation of Household Hazardous</w:t>
      </w:r>
      <w:r w:rsidR="005F0A60" w:rsidRPr="0042507F">
        <w:rPr>
          <w:rFonts w:eastAsia="Times New Roman"/>
          <w:sz w:val="24"/>
          <w:szCs w:val="24"/>
        </w:rPr>
        <w:t xml:space="preserve"> </w:t>
      </w:r>
      <w:r w:rsidR="005F0A60" w:rsidRPr="0042507F">
        <w:rPr>
          <w:rFonts w:eastAsia="Times New Roman"/>
          <w:i/>
          <w:iCs/>
          <w:sz w:val="24"/>
          <w:szCs w:val="24"/>
        </w:rPr>
        <w:t>Waste And/or Hazardous Waste Generated by Very Small Quantity Generators</w:t>
      </w:r>
      <w:r w:rsidR="005F0A60" w:rsidRPr="0042507F">
        <w:rPr>
          <w:rFonts w:eastAsia="Times New Roman"/>
          <w:sz w:val="24"/>
          <w:szCs w:val="24"/>
        </w:rPr>
        <w:t>;</w:t>
      </w:r>
    </w:p>
    <w:p w14:paraId="281A701C" w14:textId="77777777" w:rsidR="004647B9" w:rsidRPr="0042507F" w:rsidRDefault="00E2436F" w:rsidP="00563A54">
      <w:pPr>
        <w:numPr>
          <w:ilvl w:val="2"/>
          <w:numId w:val="837"/>
        </w:numPr>
        <w:tabs>
          <w:tab w:val="left" w:pos="2680"/>
        </w:tabs>
        <w:ind w:left="2680" w:hanging="345"/>
        <w:rPr>
          <w:rFonts w:eastAsia="Times New Roman"/>
          <w:sz w:val="24"/>
          <w:szCs w:val="24"/>
        </w:rPr>
      </w:pPr>
      <w:r w:rsidRPr="0042507F">
        <w:rPr>
          <w:rFonts w:eastAsia="Times New Roman"/>
          <w:sz w:val="24"/>
          <w:szCs w:val="24"/>
        </w:rPr>
        <w:t>waste oil retention facilities required by M.G.L. c. 21, § 52A; and</w:t>
      </w:r>
    </w:p>
    <w:p w14:paraId="281A7020" w14:textId="11818F39" w:rsidR="004647B9" w:rsidRPr="00135EF5" w:rsidRDefault="00E2436F" w:rsidP="00135EF5">
      <w:pPr>
        <w:numPr>
          <w:ilvl w:val="2"/>
          <w:numId w:val="837"/>
        </w:numPr>
        <w:tabs>
          <w:tab w:val="left" w:pos="2800"/>
        </w:tabs>
        <w:ind w:left="2333"/>
        <w:rPr>
          <w:rFonts w:eastAsia="Times New Roman"/>
          <w:sz w:val="24"/>
          <w:szCs w:val="24"/>
        </w:rPr>
      </w:pPr>
      <w:r w:rsidRPr="0042507F">
        <w:rPr>
          <w:rFonts w:eastAsia="Times New Roman"/>
          <w:sz w:val="24"/>
          <w:szCs w:val="24"/>
        </w:rPr>
        <w:t>treatment works approved by the Department designed in accordance with</w:t>
      </w:r>
      <w:r w:rsidR="00135EF5">
        <w:rPr>
          <w:rFonts w:eastAsia="Times New Roman"/>
          <w:sz w:val="24"/>
          <w:szCs w:val="24"/>
        </w:rPr>
        <w:t xml:space="preserve"> </w:t>
      </w:r>
      <w:r w:rsidRPr="00135EF5">
        <w:rPr>
          <w:rFonts w:eastAsia="Times New Roman"/>
          <w:sz w:val="24"/>
          <w:szCs w:val="24"/>
        </w:rPr>
        <w:t xml:space="preserve">314 CMR 5.00: </w:t>
      </w:r>
      <w:r w:rsidRPr="00135EF5">
        <w:rPr>
          <w:rFonts w:eastAsia="Times New Roman"/>
          <w:i/>
          <w:iCs/>
          <w:sz w:val="24"/>
          <w:szCs w:val="24"/>
        </w:rPr>
        <w:t>Ground Water Discharge Permit Program</w:t>
      </w:r>
      <w:r w:rsidRPr="00135EF5">
        <w:rPr>
          <w:rFonts w:eastAsia="Times New Roman"/>
          <w:sz w:val="24"/>
          <w:szCs w:val="24"/>
        </w:rPr>
        <w:t xml:space="preserve"> for the treatment of contaminated ground or surface waters.</w:t>
      </w:r>
    </w:p>
    <w:p w14:paraId="281A7021" w14:textId="77777777" w:rsidR="004647B9" w:rsidRDefault="00E2436F" w:rsidP="00563A54">
      <w:pPr>
        <w:numPr>
          <w:ilvl w:val="1"/>
          <w:numId w:val="837"/>
        </w:numPr>
        <w:tabs>
          <w:tab w:val="left" w:pos="2498"/>
        </w:tabs>
        <w:ind w:left="1980" w:hanging="5"/>
        <w:jc w:val="both"/>
        <w:rPr>
          <w:rFonts w:eastAsia="Times New Roman"/>
          <w:sz w:val="24"/>
          <w:szCs w:val="24"/>
        </w:rPr>
      </w:pPr>
      <w:r w:rsidRPr="0042507F">
        <w:rPr>
          <w:rFonts w:eastAsia="Times New Roman"/>
          <w:sz w:val="24"/>
          <w:szCs w:val="24"/>
        </w:rPr>
        <w:t xml:space="preserve">any floor drainage systems in existing facilities, in industrial or commercial hazardous material and/or hazardous waste process areas or storage areas, which discharge to the ground without a DEP permit or authorization. Any existing facility with such a drainage system shall be required to either seal the floor drain (in accordance with the state plumbing code, 248 CMR 10.00: </w:t>
      </w:r>
      <w:r w:rsidRPr="0042507F">
        <w:rPr>
          <w:rFonts w:eastAsia="Times New Roman"/>
          <w:i/>
          <w:iCs/>
          <w:sz w:val="24"/>
          <w:szCs w:val="24"/>
        </w:rPr>
        <w:t>Uniform State Plumbing</w:t>
      </w:r>
      <w:r>
        <w:rPr>
          <w:rFonts w:eastAsia="Times New Roman"/>
          <w:i/>
          <w:iCs/>
          <w:sz w:val="24"/>
          <w:szCs w:val="24"/>
        </w:rPr>
        <w:t xml:space="preserve"> Code</w:t>
      </w:r>
      <w:r>
        <w:rPr>
          <w:rFonts w:eastAsia="Times New Roman"/>
          <w:sz w:val="24"/>
          <w:szCs w:val="24"/>
        </w:rPr>
        <w:t>), connect the drain to a municipal sewer system (with all appropriate permits and pre-treatment), or connect the drain to a holding tank meeting the requirements of all appropriate DEP regulations and policies.</w:t>
      </w:r>
    </w:p>
    <w:p w14:paraId="281A7023" w14:textId="77777777" w:rsidR="004647B9" w:rsidRDefault="00E2436F" w:rsidP="00563A54">
      <w:pPr>
        <w:numPr>
          <w:ilvl w:val="0"/>
          <w:numId w:val="838"/>
        </w:numPr>
        <w:tabs>
          <w:tab w:val="left" w:pos="2116"/>
        </w:tabs>
        <w:ind w:left="1620" w:hanging="5"/>
        <w:jc w:val="both"/>
        <w:rPr>
          <w:rFonts w:eastAsia="Times New Roman"/>
          <w:sz w:val="24"/>
          <w:szCs w:val="24"/>
        </w:rPr>
      </w:pPr>
      <w:r>
        <w:rPr>
          <w:rFonts w:eastAsia="Times New Roman"/>
          <w:sz w:val="24"/>
          <w:szCs w:val="24"/>
        </w:rPr>
        <w:t>Wellhead protection zoning and nonzoning controls submitted to the Department in accordance with 310 CMR 22.21(1), shall collectively prohibit the siting of the following and uses within the Zone II, or Zone III if the criteria of 310 CMR 22.21(1)(f) have been met, of the proposed well, wellfield, or spring, whichever is applicable, unless designed in accordance with the performance standards specified below in 310 CMR 22.21(2)(b)1. through 7.:</w:t>
      </w:r>
    </w:p>
    <w:p w14:paraId="281A7025" w14:textId="77777777" w:rsidR="004647B9" w:rsidRDefault="00E2436F" w:rsidP="00563A54">
      <w:pPr>
        <w:numPr>
          <w:ilvl w:val="1"/>
          <w:numId w:val="838"/>
        </w:numPr>
        <w:tabs>
          <w:tab w:val="left" w:pos="2282"/>
        </w:tabs>
        <w:ind w:left="1980" w:hanging="5"/>
        <w:jc w:val="both"/>
        <w:rPr>
          <w:rFonts w:eastAsia="Times New Roman"/>
          <w:sz w:val="24"/>
          <w:szCs w:val="24"/>
        </w:rPr>
      </w:pPr>
      <w:r>
        <w:rPr>
          <w:rFonts w:eastAsia="Times New Roman"/>
          <w:sz w:val="24"/>
          <w:szCs w:val="24"/>
        </w:rPr>
        <w:t xml:space="preserve">storage of sludge and septage, as defined in 310 CMR 32.05: </w:t>
      </w:r>
      <w:r>
        <w:rPr>
          <w:rFonts w:eastAsia="Times New Roman"/>
          <w:i/>
          <w:iCs/>
          <w:sz w:val="24"/>
          <w:szCs w:val="24"/>
        </w:rPr>
        <w:t>Definitions</w:t>
      </w:r>
      <w:r>
        <w:rPr>
          <w:rFonts w:eastAsia="Times New Roman"/>
          <w:sz w:val="24"/>
          <w:szCs w:val="24"/>
        </w:rPr>
        <w:t xml:space="preserve">, unless such storage is in compliance with 310 CMR 32.30: </w:t>
      </w:r>
      <w:r>
        <w:rPr>
          <w:rFonts w:eastAsia="Times New Roman"/>
          <w:i/>
          <w:iCs/>
          <w:sz w:val="24"/>
          <w:szCs w:val="24"/>
        </w:rPr>
        <w:t>Requirements for Any Storage of Sludge</w:t>
      </w:r>
      <w:r>
        <w:rPr>
          <w:rFonts w:eastAsia="Times New Roman"/>
          <w:sz w:val="24"/>
          <w:szCs w:val="24"/>
        </w:rPr>
        <w:t xml:space="preserve"> </w:t>
      </w:r>
      <w:r>
        <w:rPr>
          <w:rFonts w:eastAsia="Times New Roman"/>
          <w:i/>
          <w:iCs/>
          <w:sz w:val="24"/>
          <w:szCs w:val="24"/>
        </w:rPr>
        <w:t xml:space="preserve">or Septage </w:t>
      </w:r>
      <w:r>
        <w:rPr>
          <w:rFonts w:eastAsia="Times New Roman"/>
          <w:sz w:val="24"/>
          <w:szCs w:val="24"/>
        </w:rPr>
        <w:t>and 32.31:</w:t>
      </w:r>
      <w:r>
        <w:rPr>
          <w:rFonts w:eastAsia="Times New Roman"/>
          <w:i/>
          <w:iCs/>
          <w:sz w:val="24"/>
          <w:szCs w:val="24"/>
        </w:rPr>
        <w:t xml:space="preserve"> Additional Requirements for Long-term Storage of Sludge or Septage</w:t>
      </w:r>
      <w:r>
        <w:rPr>
          <w:rFonts w:eastAsia="Times New Roman"/>
          <w:sz w:val="24"/>
          <w:szCs w:val="24"/>
        </w:rPr>
        <w:t>;</w:t>
      </w:r>
    </w:p>
    <w:p w14:paraId="281A7026" w14:textId="77777777" w:rsidR="004647B9" w:rsidRDefault="00E2436F" w:rsidP="00563A54">
      <w:pPr>
        <w:numPr>
          <w:ilvl w:val="1"/>
          <w:numId w:val="838"/>
        </w:numPr>
        <w:tabs>
          <w:tab w:val="left" w:pos="2316"/>
        </w:tabs>
        <w:ind w:left="1980" w:hanging="5"/>
        <w:jc w:val="both"/>
        <w:rPr>
          <w:rFonts w:eastAsia="Times New Roman"/>
          <w:sz w:val="24"/>
          <w:szCs w:val="24"/>
        </w:rPr>
      </w:pPr>
      <w:r>
        <w:rPr>
          <w:rFonts w:eastAsia="Times New Roman"/>
          <w:sz w:val="24"/>
          <w:szCs w:val="24"/>
        </w:rPr>
        <w:t>storage of sodium chloride, chemically treated abrasives or other chemicals used for the removal of ice and snow on roads, unless such storage is within a structure designed to prevent the generation and escape of contaminated runoff or leachate;</w:t>
      </w:r>
    </w:p>
    <w:p w14:paraId="281A7028" w14:textId="77777777" w:rsidR="004647B9" w:rsidRDefault="00E2436F" w:rsidP="00563A54">
      <w:pPr>
        <w:numPr>
          <w:ilvl w:val="1"/>
          <w:numId w:val="838"/>
        </w:numPr>
        <w:tabs>
          <w:tab w:val="left" w:pos="2390"/>
        </w:tabs>
        <w:ind w:left="1980" w:hanging="5"/>
        <w:jc w:val="both"/>
        <w:rPr>
          <w:rFonts w:eastAsia="Times New Roman"/>
          <w:sz w:val="24"/>
          <w:szCs w:val="24"/>
        </w:rPr>
      </w:pPr>
      <w:r>
        <w:rPr>
          <w:rFonts w:eastAsia="Times New Roman"/>
          <w:sz w:val="24"/>
          <w:szCs w:val="24"/>
        </w:rPr>
        <w:t>storage of commercial fertilizers, as defined in M.G.L. c. 128, § 64, unless such storage is within a structure designed to prevent the generation and escape of contaminated runoff or leachate;</w:t>
      </w:r>
    </w:p>
    <w:p w14:paraId="281A702A" w14:textId="77777777" w:rsidR="004647B9" w:rsidRDefault="00E2436F" w:rsidP="00563A54">
      <w:pPr>
        <w:numPr>
          <w:ilvl w:val="1"/>
          <w:numId w:val="838"/>
        </w:numPr>
        <w:tabs>
          <w:tab w:val="left" w:pos="2398"/>
        </w:tabs>
        <w:ind w:left="1980" w:hanging="5"/>
        <w:rPr>
          <w:rFonts w:eastAsia="Times New Roman"/>
          <w:sz w:val="24"/>
          <w:szCs w:val="24"/>
        </w:rPr>
      </w:pPr>
      <w:r>
        <w:rPr>
          <w:rFonts w:eastAsia="Times New Roman"/>
          <w:sz w:val="24"/>
          <w:szCs w:val="24"/>
        </w:rPr>
        <w:t>storage of animal manures, unless such storage is within a structure designed to prevent the generation and escape of contaminated runoff and leachate;</w:t>
      </w:r>
    </w:p>
    <w:p w14:paraId="281A702B" w14:textId="77777777" w:rsidR="004647B9" w:rsidRDefault="00E2436F" w:rsidP="00563A54">
      <w:pPr>
        <w:numPr>
          <w:ilvl w:val="1"/>
          <w:numId w:val="838"/>
        </w:numPr>
        <w:tabs>
          <w:tab w:val="left" w:pos="2383"/>
        </w:tabs>
        <w:ind w:left="1980" w:hanging="5"/>
        <w:rPr>
          <w:rFonts w:eastAsia="Times New Roman"/>
          <w:sz w:val="24"/>
          <w:szCs w:val="24"/>
        </w:rPr>
      </w:pPr>
      <w:r>
        <w:rPr>
          <w:rFonts w:eastAsia="Times New Roman"/>
          <w:sz w:val="24"/>
          <w:szCs w:val="24"/>
        </w:rPr>
        <w:t>storage of liquid hazardous materials, as defined in M.G.L. c. 21E, and/or liquid petroleum products unless such storage is:</w:t>
      </w:r>
    </w:p>
    <w:p w14:paraId="281A702C" w14:textId="77777777" w:rsidR="004647B9" w:rsidRDefault="00E2436F" w:rsidP="00563A54">
      <w:pPr>
        <w:numPr>
          <w:ilvl w:val="2"/>
          <w:numId w:val="838"/>
        </w:numPr>
        <w:tabs>
          <w:tab w:val="left" w:pos="2680"/>
        </w:tabs>
        <w:ind w:left="2680" w:hanging="345"/>
        <w:rPr>
          <w:rFonts w:eastAsia="Times New Roman"/>
          <w:sz w:val="24"/>
          <w:szCs w:val="24"/>
        </w:rPr>
      </w:pPr>
      <w:r>
        <w:rPr>
          <w:rFonts w:eastAsia="Times New Roman"/>
          <w:sz w:val="24"/>
          <w:szCs w:val="24"/>
        </w:rPr>
        <w:t>above ground level;</w:t>
      </w:r>
    </w:p>
    <w:p w14:paraId="281A702E" w14:textId="77777777" w:rsidR="004647B9" w:rsidRDefault="00E2436F" w:rsidP="00563A54">
      <w:pPr>
        <w:numPr>
          <w:ilvl w:val="2"/>
          <w:numId w:val="838"/>
        </w:numPr>
        <w:tabs>
          <w:tab w:val="left" w:pos="2700"/>
        </w:tabs>
        <w:ind w:left="2700" w:hanging="365"/>
        <w:rPr>
          <w:rFonts w:eastAsia="Times New Roman"/>
          <w:sz w:val="24"/>
          <w:szCs w:val="24"/>
        </w:rPr>
      </w:pPr>
      <w:r>
        <w:rPr>
          <w:rFonts w:eastAsia="Times New Roman"/>
          <w:sz w:val="24"/>
          <w:szCs w:val="24"/>
        </w:rPr>
        <w:t>on an impervious surface; and</w:t>
      </w:r>
    </w:p>
    <w:p w14:paraId="281A702F" w14:textId="77777777" w:rsidR="004647B9" w:rsidRDefault="004647B9">
      <w:pPr>
        <w:sectPr w:rsidR="004647B9" w:rsidSect="00EF630C">
          <w:pgSz w:w="12240" w:h="20180"/>
          <w:pgMar w:top="708" w:right="1440" w:bottom="1440" w:left="540" w:header="0" w:footer="0" w:gutter="0"/>
          <w:cols w:space="720"/>
        </w:sectPr>
      </w:pPr>
    </w:p>
    <w:p w14:paraId="281A7030" w14:textId="77777777" w:rsidR="004647B9" w:rsidRDefault="00E2436F">
      <w:pPr>
        <w:tabs>
          <w:tab w:val="left" w:pos="160"/>
        </w:tabs>
        <w:ind w:right="-59"/>
        <w:jc w:val="center"/>
        <w:rPr>
          <w:sz w:val="20"/>
          <w:szCs w:val="20"/>
        </w:rPr>
      </w:pPr>
      <w:bookmarkStart w:id="320" w:name="page325"/>
      <w:bookmarkEnd w:id="32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031" w14:textId="77777777" w:rsidR="004647B9" w:rsidRPr="00812285" w:rsidRDefault="004647B9" w:rsidP="00444AB9">
      <w:pPr>
        <w:rPr>
          <w:sz w:val="20"/>
          <w:szCs w:val="20"/>
        </w:rPr>
      </w:pPr>
    </w:p>
    <w:p w14:paraId="281A7032" w14:textId="77777777" w:rsidR="004647B9" w:rsidRPr="00812285" w:rsidRDefault="004647B9" w:rsidP="00444AB9">
      <w:pPr>
        <w:rPr>
          <w:sz w:val="20"/>
          <w:szCs w:val="20"/>
        </w:rPr>
      </w:pPr>
    </w:p>
    <w:p w14:paraId="281A7033" w14:textId="77777777" w:rsidR="004647B9" w:rsidRPr="00444AB9" w:rsidRDefault="00E2436F" w:rsidP="00444AB9">
      <w:pPr>
        <w:tabs>
          <w:tab w:val="left" w:pos="760"/>
        </w:tabs>
        <w:rPr>
          <w:sz w:val="24"/>
          <w:szCs w:val="24"/>
        </w:rPr>
      </w:pPr>
      <w:r w:rsidRPr="00444AB9">
        <w:rPr>
          <w:rFonts w:eastAsia="Times New Roman"/>
          <w:sz w:val="24"/>
          <w:szCs w:val="24"/>
        </w:rPr>
        <w:t>22.21:</w:t>
      </w:r>
      <w:r w:rsidRPr="00444AB9">
        <w:rPr>
          <w:rFonts w:eastAsia="Times New Roman"/>
          <w:sz w:val="24"/>
          <w:szCs w:val="24"/>
        </w:rPr>
        <w:tab/>
        <w:t>continued</w:t>
      </w:r>
    </w:p>
    <w:p w14:paraId="281A7034" w14:textId="77777777" w:rsidR="004647B9" w:rsidRPr="00812285" w:rsidRDefault="004647B9" w:rsidP="00444AB9">
      <w:pPr>
        <w:rPr>
          <w:sz w:val="20"/>
          <w:szCs w:val="20"/>
        </w:rPr>
      </w:pPr>
    </w:p>
    <w:p w14:paraId="281A7035" w14:textId="77777777" w:rsidR="004647B9" w:rsidRPr="00444AB9" w:rsidRDefault="00E2436F" w:rsidP="00563A54">
      <w:pPr>
        <w:numPr>
          <w:ilvl w:val="0"/>
          <w:numId w:val="839"/>
        </w:numPr>
        <w:tabs>
          <w:tab w:val="left" w:pos="2680"/>
        </w:tabs>
        <w:ind w:left="2680" w:hanging="345"/>
        <w:rPr>
          <w:rFonts w:eastAsia="Times New Roman"/>
          <w:sz w:val="24"/>
          <w:szCs w:val="24"/>
        </w:rPr>
      </w:pPr>
      <w:r w:rsidRPr="00444AB9">
        <w:rPr>
          <w:rFonts w:eastAsia="Times New Roman"/>
          <w:sz w:val="24"/>
          <w:szCs w:val="24"/>
        </w:rPr>
        <w:t>either:</w:t>
      </w:r>
    </w:p>
    <w:p w14:paraId="281A7037" w14:textId="77777777" w:rsidR="004647B9" w:rsidRPr="00444AB9" w:rsidRDefault="00E2436F" w:rsidP="00563A54">
      <w:pPr>
        <w:numPr>
          <w:ilvl w:val="1"/>
          <w:numId w:val="839"/>
        </w:numPr>
        <w:tabs>
          <w:tab w:val="left" w:pos="3100"/>
        </w:tabs>
        <w:ind w:left="3100" w:hanging="405"/>
        <w:rPr>
          <w:rFonts w:eastAsia="Times New Roman"/>
          <w:sz w:val="24"/>
          <w:szCs w:val="24"/>
        </w:rPr>
      </w:pPr>
      <w:r w:rsidRPr="00444AB9">
        <w:rPr>
          <w:rFonts w:eastAsia="Times New Roman"/>
          <w:sz w:val="24"/>
          <w:szCs w:val="24"/>
        </w:rPr>
        <w:t>in container(s) or above-ground tank(s) within a building; or</w:t>
      </w:r>
    </w:p>
    <w:p w14:paraId="281A7038" w14:textId="77777777" w:rsidR="004647B9" w:rsidRPr="00444AB9" w:rsidRDefault="00E2436F" w:rsidP="00563A54">
      <w:pPr>
        <w:numPr>
          <w:ilvl w:val="1"/>
          <w:numId w:val="839"/>
        </w:numPr>
        <w:tabs>
          <w:tab w:val="left" w:pos="3137"/>
        </w:tabs>
        <w:ind w:left="2700" w:hanging="5"/>
        <w:jc w:val="both"/>
        <w:rPr>
          <w:rFonts w:eastAsia="Times New Roman"/>
          <w:sz w:val="24"/>
          <w:szCs w:val="24"/>
        </w:rPr>
      </w:pPr>
      <w:r w:rsidRPr="00444AB9">
        <w:rPr>
          <w:rFonts w:eastAsia="Times New Roman"/>
          <w:sz w:val="24"/>
          <w:szCs w:val="24"/>
        </w:rPr>
        <w:t>outdoors in covered container(s) or above-ground tank(s) in an area that has a containment system designed and operated to hold either 10% of the total possible storage capacity of all containers, or 110% of the largest container's storage capacity, whichever is greater;</w:t>
      </w:r>
    </w:p>
    <w:p w14:paraId="281A703A" w14:textId="77777777" w:rsidR="004647B9" w:rsidRPr="00444AB9" w:rsidRDefault="00E2436F" w:rsidP="00444AB9">
      <w:pPr>
        <w:ind w:left="2340"/>
        <w:jc w:val="both"/>
        <w:rPr>
          <w:sz w:val="24"/>
          <w:szCs w:val="24"/>
        </w:rPr>
      </w:pPr>
      <w:r w:rsidRPr="00444AB9">
        <w:rPr>
          <w:rFonts w:eastAsia="Times New Roman"/>
          <w:sz w:val="24"/>
          <w:szCs w:val="24"/>
        </w:rPr>
        <w:t>however, these storage requirements shall not apply to the replacement of existing tanks or systems for the keeping, dispensing or storing of gasoline provided the replacement is performed in a manner consistent with state and local requirements.</w:t>
      </w:r>
    </w:p>
    <w:p w14:paraId="281A703B" w14:textId="77777777" w:rsidR="004647B9" w:rsidRPr="00444AB9" w:rsidRDefault="00E2436F" w:rsidP="00563A54">
      <w:pPr>
        <w:numPr>
          <w:ilvl w:val="2"/>
          <w:numId w:val="840"/>
        </w:numPr>
        <w:tabs>
          <w:tab w:val="left" w:pos="2347"/>
        </w:tabs>
        <w:ind w:left="1980" w:hanging="5"/>
        <w:jc w:val="both"/>
        <w:rPr>
          <w:rFonts w:eastAsia="Times New Roman"/>
          <w:sz w:val="24"/>
          <w:szCs w:val="24"/>
        </w:rPr>
      </w:pPr>
      <w:r w:rsidRPr="00444AB9">
        <w:rPr>
          <w:rFonts w:eastAsia="Times New Roman"/>
          <w:sz w:val="24"/>
          <w:szCs w:val="24"/>
        </w:rPr>
        <w:t>the removal of soil, loam, sand, gravel or any other mineral substances within four feet of the historical high groundwater table elevation (as determined from monitoring wells and historical water table fluctuation data compiled by the United States Geological Survey), unless the substances removed are redeposited within 45 days of removal on site to achieve a final grading greater than four feet above the historical high water mark, and except for excavations for the construction of building foundations or the installation of utility works, or wetland restoration work conducted in accordance with a valid Order of Condition issued pursuant to M.G.L. c. 131, § 40;</w:t>
      </w:r>
    </w:p>
    <w:p w14:paraId="281A703D" w14:textId="77777777" w:rsidR="004647B9" w:rsidRPr="00444AB9" w:rsidRDefault="00E2436F" w:rsidP="00563A54">
      <w:pPr>
        <w:numPr>
          <w:ilvl w:val="2"/>
          <w:numId w:val="840"/>
        </w:numPr>
        <w:tabs>
          <w:tab w:val="left" w:pos="2390"/>
        </w:tabs>
        <w:ind w:left="1980" w:hanging="5"/>
        <w:jc w:val="both"/>
        <w:rPr>
          <w:rFonts w:eastAsia="Times New Roman"/>
          <w:sz w:val="24"/>
          <w:szCs w:val="24"/>
        </w:rPr>
      </w:pPr>
      <w:r w:rsidRPr="00444AB9">
        <w:rPr>
          <w:rFonts w:eastAsia="Times New Roman"/>
          <w:sz w:val="24"/>
          <w:szCs w:val="24"/>
        </w:rPr>
        <w:t>and land uses that result in the rendering impervious of more than 15% or 2500 square feet of any lot or parcel, whichever is greater, unless a system for artificial recharge of precipitation is provided that will not result in the degradation of groundwater quality.</w:t>
      </w:r>
    </w:p>
    <w:p w14:paraId="281A703F" w14:textId="77777777" w:rsidR="004647B9" w:rsidRPr="00444AB9" w:rsidRDefault="00E2436F" w:rsidP="00563A54">
      <w:pPr>
        <w:numPr>
          <w:ilvl w:val="1"/>
          <w:numId w:val="841"/>
        </w:numPr>
        <w:tabs>
          <w:tab w:val="left" w:pos="2044"/>
        </w:tabs>
        <w:ind w:left="1620" w:hanging="5"/>
        <w:jc w:val="both"/>
        <w:rPr>
          <w:rFonts w:eastAsia="Times New Roman"/>
          <w:sz w:val="24"/>
          <w:szCs w:val="24"/>
        </w:rPr>
      </w:pPr>
      <w:r w:rsidRPr="00444AB9">
        <w:rPr>
          <w:rFonts w:eastAsia="Times New Roman"/>
          <w:sz w:val="24"/>
          <w:szCs w:val="24"/>
        </w:rPr>
        <w:t>The proponent shall give written notice to the Department of any and all local by-laws, ordinances, rules and regulations that allow for the grant of a variance, waiver or exemption from any of the wellhead protection zoning or nonzoning controls submitted to the Department for approval in accordance with 310 CMR 22.21 before placing the proposed well, wellfield, or spring on-line.</w:t>
      </w:r>
    </w:p>
    <w:p w14:paraId="281A7041" w14:textId="75850CF1" w:rsidR="004647B9" w:rsidRPr="00444AB9" w:rsidRDefault="00E2436F" w:rsidP="00812285">
      <w:pPr>
        <w:numPr>
          <w:ilvl w:val="1"/>
          <w:numId w:val="841"/>
        </w:numPr>
        <w:tabs>
          <w:tab w:val="left" w:pos="2080"/>
        </w:tabs>
        <w:ind w:left="1613"/>
        <w:rPr>
          <w:rFonts w:eastAsia="Times New Roman"/>
          <w:sz w:val="24"/>
          <w:szCs w:val="24"/>
        </w:rPr>
      </w:pPr>
      <w:r w:rsidRPr="00444AB9">
        <w:rPr>
          <w:rFonts w:eastAsia="Times New Roman"/>
          <w:sz w:val="24"/>
          <w:szCs w:val="24"/>
        </w:rPr>
        <w:t>The Department may require as part of the Source Approval process requirements of</w:t>
      </w:r>
      <w:r w:rsidR="00812285">
        <w:rPr>
          <w:rFonts w:eastAsia="Times New Roman"/>
          <w:sz w:val="24"/>
          <w:szCs w:val="24"/>
        </w:rPr>
        <w:t xml:space="preserve"> </w:t>
      </w:r>
      <w:r w:rsidR="00812285" w:rsidRPr="00444AB9">
        <w:rPr>
          <w:rFonts w:eastAsia="Times New Roman"/>
          <w:sz w:val="24"/>
          <w:szCs w:val="24"/>
        </w:rPr>
        <w:t>310 CMR 22.21(1)(c), the completion of a nitrogen loading analysis for the new well, wellfield, or spring’s Zone II. A nitrogen loading analysis shall be required when, in the Department's judgement, the type and level of land use within the Zone II or other information reasonably indicates that nitrate concentrations in the well, wellfield, or spring may or will exceed five mg/l nitrate.</w:t>
      </w:r>
    </w:p>
    <w:p w14:paraId="281A7044" w14:textId="77777777" w:rsidR="004647B9" w:rsidRDefault="00E2436F" w:rsidP="00444AB9">
      <w:pPr>
        <w:ind w:left="1620" w:firstLine="360"/>
        <w:jc w:val="both"/>
        <w:rPr>
          <w:rFonts w:eastAsia="Times New Roman"/>
          <w:sz w:val="24"/>
          <w:szCs w:val="24"/>
        </w:rPr>
      </w:pPr>
      <w:r w:rsidRPr="00444AB9">
        <w:rPr>
          <w:rFonts w:eastAsia="Times New Roman"/>
          <w:sz w:val="24"/>
          <w:szCs w:val="24"/>
        </w:rPr>
        <w:t>Public water systems required by their Water Management Act M.G.L. c. 21G permits</w:t>
      </w:r>
      <w:r>
        <w:rPr>
          <w:rFonts w:eastAsia="Times New Roman"/>
          <w:sz w:val="24"/>
          <w:szCs w:val="24"/>
        </w:rPr>
        <w:t xml:space="preserve"> issued under 310 CMR 36.00: </w:t>
      </w:r>
      <w:r>
        <w:rPr>
          <w:rFonts w:eastAsia="Times New Roman"/>
          <w:i/>
          <w:iCs/>
          <w:sz w:val="24"/>
          <w:szCs w:val="24"/>
        </w:rPr>
        <w:t>Massachusetts Water Resources Management Program</w:t>
      </w:r>
      <w:r>
        <w:rPr>
          <w:rFonts w:eastAsia="Times New Roman"/>
          <w:sz w:val="24"/>
          <w:szCs w:val="24"/>
        </w:rPr>
        <w:t xml:space="preserve"> to define Zone IIs and implement land use controls shall be required to conduct a nitrate loading analysis as part of the Zone II delineation for well, wellfield, or springs that have exceeded five mg/l nitrate.</w:t>
      </w:r>
    </w:p>
    <w:p w14:paraId="281A7046" w14:textId="77777777" w:rsidR="004647B9" w:rsidRDefault="00E2436F" w:rsidP="00444AB9">
      <w:pPr>
        <w:ind w:left="1620" w:firstLine="360"/>
        <w:jc w:val="both"/>
        <w:rPr>
          <w:rFonts w:eastAsia="Times New Roman"/>
          <w:sz w:val="24"/>
          <w:szCs w:val="24"/>
        </w:rPr>
      </w:pPr>
      <w:r>
        <w:rPr>
          <w:rFonts w:eastAsia="Times New Roman"/>
          <w:sz w:val="24"/>
          <w:szCs w:val="24"/>
        </w:rPr>
        <w:t>Public water systems whose required nitrate loading analysis predicts &gt;five mg/l nitrate or whose well, wellfield, or spring has exceeded five mg/l nitrate must prepare a nitrate management plan, subject to the Department's approval, which seeks to maintain nitrate levels below five mg/l for the subject well in the long-term.</w:t>
      </w:r>
    </w:p>
    <w:p w14:paraId="281A7047" w14:textId="77777777" w:rsidR="004647B9" w:rsidRDefault="004647B9" w:rsidP="00444AB9">
      <w:pPr>
        <w:rPr>
          <w:rFonts w:eastAsia="Times New Roman"/>
          <w:sz w:val="24"/>
          <w:szCs w:val="24"/>
        </w:rPr>
      </w:pPr>
    </w:p>
    <w:p w14:paraId="281A7048" w14:textId="77777777" w:rsidR="004647B9" w:rsidRDefault="00E2436F" w:rsidP="00563A54">
      <w:pPr>
        <w:numPr>
          <w:ilvl w:val="0"/>
          <w:numId w:val="842"/>
        </w:numPr>
        <w:tabs>
          <w:tab w:val="left" w:pos="1720"/>
        </w:tabs>
        <w:ind w:left="1720" w:hanging="460"/>
        <w:rPr>
          <w:rFonts w:eastAsia="Times New Roman"/>
          <w:sz w:val="24"/>
          <w:szCs w:val="24"/>
        </w:rPr>
      </w:pPr>
      <w:r>
        <w:rPr>
          <w:rFonts w:eastAsia="Times New Roman"/>
          <w:sz w:val="24"/>
          <w:szCs w:val="24"/>
          <w:u w:val="single"/>
        </w:rPr>
        <w:t>Requirements for all New and Existing Groundwater Sources</w:t>
      </w:r>
    </w:p>
    <w:p w14:paraId="281A704A" w14:textId="77777777" w:rsidR="004647B9" w:rsidRDefault="00E2436F" w:rsidP="00563A54">
      <w:pPr>
        <w:numPr>
          <w:ilvl w:val="1"/>
          <w:numId w:val="842"/>
        </w:numPr>
        <w:tabs>
          <w:tab w:val="left" w:pos="2050"/>
        </w:tabs>
        <w:ind w:left="1620" w:hanging="5"/>
        <w:jc w:val="both"/>
        <w:rPr>
          <w:rFonts w:eastAsia="Times New Roman"/>
          <w:sz w:val="24"/>
          <w:szCs w:val="24"/>
        </w:rPr>
      </w:pPr>
      <w:r>
        <w:rPr>
          <w:rFonts w:eastAsia="Times New Roman"/>
          <w:sz w:val="24"/>
          <w:szCs w:val="24"/>
          <w:u w:val="single"/>
        </w:rPr>
        <w:t>Sources for Community Systems.</w:t>
      </w:r>
      <w:r>
        <w:rPr>
          <w:rFonts w:eastAsia="Times New Roman"/>
          <w:sz w:val="24"/>
          <w:szCs w:val="24"/>
        </w:rPr>
        <w:t xml:space="preserve"> Any person who obtains Department approval for a community public water system that relies entirely upon groundwater sources shall provide additional wells, wellfield, or springs and pumping equipment, or the equivalent, capable of producing the same volumes and quality of water as the system's primary well, wellfield, or spring at all times, or shall provide the storage capacity equivalent to the demand of at least two average days if approved by the Department, unless an interconnection with another public water system has been provided which can adequately provide the quantity and quality of water needed.</w:t>
      </w:r>
    </w:p>
    <w:p w14:paraId="281A704C" w14:textId="74C7617C" w:rsidR="004647B9" w:rsidRDefault="00E2436F" w:rsidP="00563A54">
      <w:pPr>
        <w:numPr>
          <w:ilvl w:val="1"/>
          <w:numId w:val="842"/>
        </w:numPr>
        <w:tabs>
          <w:tab w:val="left" w:pos="2123"/>
        </w:tabs>
        <w:ind w:left="1620" w:hanging="5"/>
        <w:jc w:val="both"/>
        <w:rPr>
          <w:rFonts w:eastAsia="Times New Roman"/>
          <w:sz w:val="24"/>
          <w:szCs w:val="24"/>
        </w:rPr>
      </w:pPr>
      <w:r w:rsidRPr="1E377FC2">
        <w:rPr>
          <w:rFonts w:eastAsia="Times New Roman"/>
          <w:sz w:val="24"/>
          <w:szCs w:val="24"/>
          <w:u w:val="single"/>
        </w:rPr>
        <w:t>Zone l.</w:t>
      </w:r>
      <w:r w:rsidRPr="1E377FC2">
        <w:rPr>
          <w:rFonts w:eastAsia="Times New Roman"/>
          <w:sz w:val="24"/>
          <w:szCs w:val="24"/>
        </w:rPr>
        <w:t xml:space="preserve"> </w:t>
      </w:r>
      <w:bookmarkStart w:id="321" w:name="_Hlk95216282"/>
      <w:r w:rsidRPr="1E377FC2">
        <w:rPr>
          <w:rFonts w:eastAsia="Times New Roman"/>
          <w:sz w:val="24"/>
          <w:szCs w:val="24"/>
        </w:rPr>
        <w:t>All suppliers of water shall acquire ownership or control of sufficient land around wells, infiltration galleries, springs and similar sources of ground water used as sources for drinking water to protect the water from contamination. This requirement shall generally be deemed to have been met if all land within Zone I is under the ownership or control of the supplier of water. Current and future land uses within the Zone I shall be limited to those land uses directly related to the provision of public</w:t>
      </w:r>
      <w:r w:rsidR="00E03FF4" w:rsidRPr="1E377FC2">
        <w:rPr>
          <w:rFonts w:eastAsia="Times New Roman"/>
          <w:sz w:val="24"/>
          <w:szCs w:val="24"/>
        </w:rPr>
        <w:t xml:space="preserve"> drinking</w:t>
      </w:r>
      <w:r w:rsidRPr="1E377FC2">
        <w:rPr>
          <w:rFonts w:eastAsia="Times New Roman"/>
          <w:sz w:val="24"/>
          <w:szCs w:val="24"/>
        </w:rPr>
        <w:t xml:space="preserve"> water or to other land uses which the public water system has demonstrated have no significant impact on water quality. The Department may require greater distances or permit lesser distances than the Zone I distances set forth at 310 CMR 22.02, if the Department deems such action </w:t>
      </w:r>
      <w:r w:rsidRPr="1E377FC2">
        <w:rPr>
          <w:rFonts w:eastAsia="Times New Roman"/>
          <w:sz w:val="24"/>
          <w:szCs w:val="24"/>
        </w:rPr>
        <w:lastRenderedPageBreak/>
        <w:t>necessary or sufficient to protect public health. No new underground storage tanks for petroleum products shall be located within Zone I</w:t>
      </w:r>
      <w:bookmarkEnd w:id="321"/>
      <w:r w:rsidRPr="1E377FC2">
        <w:rPr>
          <w:rFonts w:eastAsia="Times New Roman"/>
          <w:sz w:val="24"/>
          <w:szCs w:val="24"/>
        </w:rPr>
        <w:t>.</w:t>
      </w:r>
      <w:r w:rsidR="004F24D3" w:rsidRPr="1E377FC2">
        <w:rPr>
          <w:rFonts w:eastAsia="Times New Roman"/>
          <w:sz w:val="24"/>
          <w:szCs w:val="24"/>
        </w:rPr>
        <w:t xml:space="preserve"> </w:t>
      </w:r>
      <w:r w:rsidR="005642A6" w:rsidRPr="1E377FC2">
        <w:rPr>
          <w:rFonts w:eastAsia="Times New Roman"/>
          <w:sz w:val="24"/>
          <w:szCs w:val="24"/>
        </w:rPr>
        <w:t>Onc</w:t>
      </w:r>
      <w:r w:rsidR="00EB5F89" w:rsidRPr="1E377FC2">
        <w:rPr>
          <w:rFonts w:eastAsia="Times New Roman"/>
          <w:sz w:val="24"/>
          <w:szCs w:val="24"/>
        </w:rPr>
        <w:t>e</w:t>
      </w:r>
      <w:r w:rsidR="00EC3988" w:rsidRPr="1E377FC2">
        <w:rPr>
          <w:rFonts w:eastAsia="Times New Roman"/>
          <w:sz w:val="24"/>
          <w:szCs w:val="24"/>
        </w:rPr>
        <w:t xml:space="preserve"> a Zone I has been approved, </w:t>
      </w:r>
      <w:r w:rsidR="00914CD4" w:rsidRPr="1E377FC2">
        <w:rPr>
          <w:rFonts w:eastAsia="Times New Roman"/>
          <w:sz w:val="24"/>
          <w:szCs w:val="24"/>
        </w:rPr>
        <w:t xml:space="preserve">the </w:t>
      </w:r>
      <w:r w:rsidR="006A0760" w:rsidRPr="1E377FC2">
        <w:rPr>
          <w:rFonts w:eastAsia="Times New Roman"/>
          <w:sz w:val="24"/>
          <w:szCs w:val="24"/>
        </w:rPr>
        <w:t>S</w:t>
      </w:r>
      <w:r w:rsidR="00914CD4" w:rsidRPr="1E377FC2">
        <w:rPr>
          <w:rFonts w:eastAsia="Times New Roman"/>
          <w:sz w:val="24"/>
          <w:szCs w:val="24"/>
        </w:rPr>
        <w:t xml:space="preserve">upplier of </w:t>
      </w:r>
      <w:r w:rsidR="006A0760" w:rsidRPr="1E377FC2">
        <w:rPr>
          <w:rFonts w:eastAsia="Times New Roman"/>
          <w:sz w:val="24"/>
          <w:szCs w:val="24"/>
        </w:rPr>
        <w:t>W</w:t>
      </w:r>
      <w:r w:rsidR="00914CD4" w:rsidRPr="1E377FC2">
        <w:rPr>
          <w:rFonts w:eastAsia="Times New Roman"/>
          <w:sz w:val="24"/>
          <w:szCs w:val="24"/>
        </w:rPr>
        <w:t xml:space="preserve">ater shall obtain </w:t>
      </w:r>
      <w:r w:rsidR="00EC3988" w:rsidRPr="1E377FC2">
        <w:rPr>
          <w:rFonts w:eastAsia="Times New Roman"/>
          <w:sz w:val="24"/>
          <w:szCs w:val="24"/>
        </w:rPr>
        <w:t xml:space="preserve">the Department’s written approval prior to </w:t>
      </w:r>
      <w:r w:rsidR="008200D8" w:rsidRPr="1E377FC2">
        <w:rPr>
          <w:rFonts w:eastAsia="Times New Roman"/>
          <w:sz w:val="24"/>
          <w:szCs w:val="24"/>
        </w:rPr>
        <w:t>allowing</w:t>
      </w:r>
      <w:r w:rsidR="00B3074D" w:rsidRPr="1E377FC2">
        <w:rPr>
          <w:rFonts w:eastAsia="Times New Roman"/>
          <w:sz w:val="24"/>
          <w:szCs w:val="24"/>
        </w:rPr>
        <w:t xml:space="preserve"> any </w:t>
      </w:r>
      <w:r w:rsidR="00C474AA" w:rsidRPr="1E377FC2">
        <w:rPr>
          <w:rFonts w:eastAsia="Times New Roman"/>
          <w:sz w:val="24"/>
          <w:szCs w:val="24"/>
        </w:rPr>
        <w:t xml:space="preserve">change in </w:t>
      </w:r>
      <w:r w:rsidR="35FF7CE8" w:rsidRPr="1E377FC2">
        <w:rPr>
          <w:rFonts w:eastAsia="Times New Roman"/>
          <w:sz w:val="24"/>
          <w:szCs w:val="24"/>
        </w:rPr>
        <w:t>activity or</w:t>
      </w:r>
      <w:r w:rsidR="00C474AA" w:rsidRPr="1E377FC2">
        <w:rPr>
          <w:rFonts w:eastAsia="Times New Roman"/>
          <w:sz w:val="24"/>
          <w:szCs w:val="24"/>
        </w:rPr>
        <w:t xml:space="preserve"> </w:t>
      </w:r>
      <w:r w:rsidR="00B3074D" w:rsidRPr="1E377FC2">
        <w:rPr>
          <w:rFonts w:eastAsia="Times New Roman"/>
          <w:sz w:val="24"/>
          <w:szCs w:val="24"/>
        </w:rPr>
        <w:t>use of the</w:t>
      </w:r>
      <w:r w:rsidR="00EC3988" w:rsidRPr="1E377FC2">
        <w:rPr>
          <w:rFonts w:eastAsia="Times New Roman"/>
          <w:sz w:val="24"/>
          <w:szCs w:val="24"/>
        </w:rPr>
        <w:t xml:space="preserve"> </w:t>
      </w:r>
      <w:r w:rsidR="00B25F0A" w:rsidRPr="1E377FC2">
        <w:rPr>
          <w:rFonts w:eastAsia="Times New Roman"/>
          <w:sz w:val="24"/>
          <w:szCs w:val="24"/>
        </w:rPr>
        <w:t>land within the Zone</w:t>
      </w:r>
      <w:r w:rsidR="006C4C4B" w:rsidRPr="1E377FC2">
        <w:rPr>
          <w:rFonts w:eastAsia="Times New Roman"/>
          <w:sz w:val="24"/>
          <w:szCs w:val="24"/>
        </w:rPr>
        <w:t xml:space="preserve"> </w:t>
      </w:r>
      <w:r w:rsidR="00900A20" w:rsidRPr="1E377FC2">
        <w:rPr>
          <w:rFonts w:eastAsia="Times New Roman"/>
          <w:sz w:val="24"/>
          <w:szCs w:val="24"/>
        </w:rPr>
        <w:t xml:space="preserve">I </w:t>
      </w:r>
      <w:r w:rsidR="00EC3988" w:rsidRPr="1E377FC2">
        <w:rPr>
          <w:rFonts w:eastAsia="Times New Roman"/>
          <w:sz w:val="24"/>
          <w:szCs w:val="24"/>
        </w:rPr>
        <w:t xml:space="preserve">or </w:t>
      </w:r>
      <w:r w:rsidR="00B3074D" w:rsidRPr="1E377FC2">
        <w:rPr>
          <w:rFonts w:eastAsia="Times New Roman"/>
          <w:sz w:val="24"/>
          <w:szCs w:val="24"/>
        </w:rPr>
        <w:t>ame</w:t>
      </w:r>
      <w:r w:rsidR="008F2DB9" w:rsidRPr="1E377FC2">
        <w:rPr>
          <w:rFonts w:eastAsia="Times New Roman"/>
          <w:sz w:val="24"/>
          <w:szCs w:val="24"/>
        </w:rPr>
        <w:t xml:space="preserve">nding </w:t>
      </w:r>
      <w:r w:rsidR="00EC3988" w:rsidRPr="1E377FC2">
        <w:rPr>
          <w:rFonts w:eastAsia="Times New Roman"/>
          <w:sz w:val="24"/>
          <w:szCs w:val="24"/>
        </w:rPr>
        <w:t>any restriction or other limitation</w:t>
      </w:r>
      <w:r w:rsidR="003065ED" w:rsidRPr="1E377FC2">
        <w:rPr>
          <w:rFonts w:eastAsia="Times New Roman"/>
          <w:sz w:val="24"/>
          <w:szCs w:val="24"/>
        </w:rPr>
        <w:t xml:space="preserve"> applicable to</w:t>
      </w:r>
      <w:r w:rsidR="00442242" w:rsidRPr="1E377FC2">
        <w:rPr>
          <w:rFonts w:eastAsia="Times New Roman"/>
          <w:sz w:val="24"/>
          <w:szCs w:val="24"/>
        </w:rPr>
        <w:t xml:space="preserve"> land</w:t>
      </w:r>
      <w:r w:rsidR="003065ED" w:rsidRPr="1E377FC2">
        <w:rPr>
          <w:rFonts w:eastAsia="Times New Roman"/>
          <w:sz w:val="24"/>
          <w:szCs w:val="24"/>
        </w:rPr>
        <w:t xml:space="preserve"> </w:t>
      </w:r>
      <w:r w:rsidR="00EC3988" w:rsidRPr="1E377FC2">
        <w:rPr>
          <w:rFonts w:eastAsia="Times New Roman"/>
          <w:sz w:val="24"/>
          <w:szCs w:val="24"/>
        </w:rPr>
        <w:t>uses</w:t>
      </w:r>
      <w:r w:rsidR="00900A20" w:rsidRPr="1E377FC2">
        <w:rPr>
          <w:rFonts w:eastAsia="Times New Roman"/>
          <w:sz w:val="24"/>
          <w:szCs w:val="24"/>
        </w:rPr>
        <w:t xml:space="preserve"> within the Zone I</w:t>
      </w:r>
      <w:r w:rsidR="00816BE6" w:rsidRPr="1E377FC2">
        <w:rPr>
          <w:rFonts w:eastAsia="Times New Roman"/>
          <w:sz w:val="24"/>
          <w:szCs w:val="24"/>
        </w:rPr>
        <w:t xml:space="preserve"> </w:t>
      </w:r>
      <w:r w:rsidR="008F7B8F" w:rsidRPr="1E377FC2">
        <w:rPr>
          <w:rFonts w:eastAsia="Times New Roman"/>
          <w:sz w:val="24"/>
          <w:szCs w:val="24"/>
        </w:rPr>
        <w:t>(</w:t>
      </w:r>
      <w:r w:rsidR="00BE145B" w:rsidRPr="1E377FC2">
        <w:rPr>
          <w:rFonts w:eastAsia="Times New Roman"/>
          <w:sz w:val="24"/>
          <w:szCs w:val="24"/>
        </w:rPr>
        <w:t>provided that the</w:t>
      </w:r>
      <w:r w:rsidR="00D30EF0" w:rsidRPr="1E377FC2">
        <w:rPr>
          <w:rFonts w:eastAsia="Times New Roman"/>
          <w:sz w:val="24"/>
          <w:szCs w:val="24"/>
        </w:rPr>
        <w:t xml:space="preserve"> restriction or limitation is </w:t>
      </w:r>
      <w:r w:rsidR="00816BE6" w:rsidRPr="1E377FC2">
        <w:rPr>
          <w:rFonts w:eastAsia="Times New Roman"/>
          <w:sz w:val="24"/>
          <w:szCs w:val="24"/>
        </w:rPr>
        <w:t xml:space="preserve">within the control of the </w:t>
      </w:r>
      <w:r w:rsidR="006A0760" w:rsidRPr="1E377FC2">
        <w:rPr>
          <w:rFonts w:eastAsia="Times New Roman"/>
          <w:sz w:val="24"/>
          <w:szCs w:val="24"/>
        </w:rPr>
        <w:t>S</w:t>
      </w:r>
      <w:r w:rsidR="00816BE6" w:rsidRPr="1E377FC2">
        <w:rPr>
          <w:rFonts w:eastAsia="Times New Roman"/>
          <w:sz w:val="24"/>
          <w:szCs w:val="24"/>
        </w:rPr>
        <w:t xml:space="preserve">upplier of </w:t>
      </w:r>
      <w:r w:rsidR="006A0760" w:rsidRPr="1E377FC2">
        <w:rPr>
          <w:rFonts w:eastAsia="Times New Roman"/>
          <w:sz w:val="24"/>
          <w:szCs w:val="24"/>
        </w:rPr>
        <w:t>W</w:t>
      </w:r>
      <w:r w:rsidR="00816BE6" w:rsidRPr="1E377FC2">
        <w:rPr>
          <w:rFonts w:eastAsia="Times New Roman"/>
          <w:sz w:val="24"/>
          <w:szCs w:val="24"/>
        </w:rPr>
        <w:t>ater</w:t>
      </w:r>
      <w:r w:rsidR="008F7B8F" w:rsidRPr="1E377FC2">
        <w:rPr>
          <w:rFonts w:eastAsia="Times New Roman"/>
          <w:sz w:val="24"/>
          <w:szCs w:val="24"/>
        </w:rPr>
        <w:t>)</w:t>
      </w:r>
      <w:r w:rsidR="00EC3988" w:rsidRPr="1E377FC2">
        <w:rPr>
          <w:rFonts w:eastAsia="Times New Roman"/>
          <w:sz w:val="24"/>
          <w:szCs w:val="24"/>
        </w:rPr>
        <w:t>, or selling, leasing, assigning, or otherwise disposing of any land within the Zone I.</w:t>
      </w:r>
    </w:p>
    <w:p w14:paraId="5E2D54E0" w14:textId="77777777" w:rsidR="004647B9" w:rsidDel="00EC3988" w:rsidRDefault="004647B9" w:rsidP="000A1D9E">
      <w:pPr>
        <w:pStyle w:val="ListParagraph"/>
        <w:numPr>
          <w:ilvl w:val="0"/>
          <w:numId w:val="842"/>
        </w:numPr>
        <w:sectPr w:rsidR="004647B9" w:rsidDel="00EC3988" w:rsidSect="00EF630C">
          <w:pgSz w:w="12240" w:h="20180"/>
          <w:pgMar w:top="708" w:right="1440" w:bottom="1440" w:left="540" w:header="0" w:footer="0" w:gutter="0"/>
          <w:cols w:space="720"/>
        </w:sectPr>
      </w:pPr>
    </w:p>
    <w:p w14:paraId="281A704E" w14:textId="77777777" w:rsidR="004647B9" w:rsidRPr="00DE439C" w:rsidRDefault="00E2436F" w:rsidP="00DE439C">
      <w:pPr>
        <w:tabs>
          <w:tab w:val="left" w:pos="160"/>
        </w:tabs>
        <w:ind w:right="-59"/>
        <w:jc w:val="center"/>
        <w:rPr>
          <w:sz w:val="24"/>
          <w:szCs w:val="24"/>
        </w:rPr>
      </w:pPr>
      <w:bookmarkStart w:id="322" w:name="page326"/>
      <w:bookmarkEnd w:id="322"/>
      <w:r w:rsidRPr="00DE439C">
        <w:rPr>
          <w:rFonts w:eastAsia="Times New Roman"/>
          <w:sz w:val="24"/>
          <w:szCs w:val="24"/>
        </w:rPr>
        <w:lastRenderedPageBreak/>
        <w:t>310 CMR:</w:t>
      </w:r>
      <w:r w:rsidRPr="00DE439C">
        <w:rPr>
          <w:sz w:val="24"/>
          <w:szCs w:val="24"/>
        </w:rPr>
        <w:tab/>
      </w:r>
      <w:r w:rsidRPr="00DE439C">
        <w:rPr>
          <w:rFonts w:eastAsia="Times New Roman"/>
          <w:sz w:val="24"/>
          <w:szCs w:val="24"/>
        </w:rPr>
        <w:t>DEPARTMENT OF ENVIRONMENTAL PROTECTION</w:t>
      </w:r>
    </w:p>
    <w:p w14:paraId="281A704F" w14:textId="77777777" w:rsidR="004647B9" w:rsidRPr="00D35275" w:rsidRDefault="004647B9" w:rsidP="00DE439C">
      <w:pPr>
        <w:rPr>
          <w:sz w:val="20"/>
          <w:szCs w:val="20"/>
        </w:rPr>
      </w:pPr>
    </w:p>
    <w:p w14:paraId="281A7050" w14:textId="77777777" w:rsidR="004647B9" w:rsidRPr="00D35275" w:rsidRDefault="004647B9" w:rsidP="00DE439C">
      <w:pPr>
        <w:rPr>
          <w:sz w:val="20"/>
          <w:szCs w:val="20"/>
        </w:rPr>
      </w:pPr>
    </w:p>
    <w:p w14:paraId="281A7051" w14:textId="77777777" w:rsidR="004647B9" w:rsidRPr="00DE439C" w:rsidRDefault="00E2436F" w:rsidP="00DE439C">
      <w:pPr>
        <w:tabs>
          <w:tab w:val="left" w:pos="760"/>
        </w:tabs>
        <w:rPr>
          <w:sz w:val="24"/>
          <w:szCs w:val="24"/>
        </w:rPr>
      </w:pPr>
      <w:r w:rsidRPr="00DE439C">
        <w:rPr>
          <w:rFonts w:eastAsia="Times New Roman"/>
          <w:sz w:val="24"/>
          <w:szCs w:val="24"/>
        </w:rPr>
        <w:t>22.21:</w:t>
      </w:r>
      <w:r w:rsidRPr="00DE439C">
        <w:rPr>
          <w:rFonts w:eastAsia="Times New Roman"/>
          <w:sz w:val="24"/>
          <w:szCs w:val="24"/>
        </w:rPr>
        <w:tab/>
        <w:t>continued</w:t>
      </w:r>
    </w:p>
    <w:p w14:paraId="281A7052" w14:textId="77777777" w:rsidR="004647B9" w:rsidRPr="00D35275" w:rsidRDefault="004647B9" w:rsidP="00DE439C">
      <w:pPr>
        <w:rPr>
          <w:sz w:val="20"/>
          <w:szCs w:val="20"/>
        </w:rPr>
      </w:pPr>
    </w:p>
    <w:p w14:paraId="281A7053" w14:textId="77777777" w:rsidR="004647B9" w:rsidRPr="00DE439C" w:rsidRDefault="00E2436F" w:rsidP="00563A54">
      <w:pPr>
        <w:numPr>
          <w:ilvl w:val="0"/>
          <w:numId w:val="843"/>
        </w:numPr>
        <w:tabs>
          <w:tab w:val="left" w:pos="1720"/>
        </w:tabs>
        <w:ind w:left="1720" w:hanging="460"/>
        <w:rPr>
          <w:rFonts w:eastAsia="Times New Roman"/>
          <w:sz w:val="24"/>
          <w:szCs w:val="24"/>
        </w:rPr>
      </w:pPr>
      <w:r w:rsidRPr="00DE439C">
        <w:rPr>
          <w:rFonts w:eastAsia="Times New Roman"/>
          <w:sz w:val="24"/>
          <w:szCs w:val="24"/>
          <w:u w:val="single"/>
        </w:rPr>
        <w:t>Inspection and Enforcement</w:t>
      </w:r>
    </w:p>
    <w:p w14:paraId="40E60779" w14:textId="0F6E49BA" w:rsidR="00F43861" w:rsidRDefault="00E2436F" w:rsidP="004352EC">
      <w:pPr>
        <w:pStyle w:val="ListParagraph"/>
        <w:numPr>
          <w:ilvl w:val="0"/>
          <w:numId w:val="1092"/>
        </w:numPr>
        <w:tabs>
          <w:tab w:val="left" w:pos="2074"/>
        </w:tabs>
        <w:ind w:left="1620" w:firstLine="0"/>
        <w:jc w:val="both"/>
        <w:rPr>
          <w:rFonts w:eastAsia="Times New Roman"/>
          <w:sz w:val="24"/>
          <w:szCs w:val="24"/>
        </w:rPr>
      </w:pPr>
      <w:r w:rsidRPr="00DE439C">
        <w:rPr>
          <w:rFonts w:eastAsia="Times New Roman"/>
          <w:sz w:val="24"/>
          <w:szCs w:val="24"/>
        </w:rPr>
        <w:t>Each supplier of water</w:t>
      </w:r>
      <w:r w:rsidR="00F17A48">
        <w:rPr>
          <w:rFonts w:eastAsia="Times New Roman"/>
          <w:sz w:val="24"/>
          <w:szCs w:val="24"/>
        </w:rPr>
        <w:t>,</w:t>
      </w:r>
      <w:r w:rsidRPr="00DE439C">
        <w:rPr>
          <w:rFonts w:eastAsia="Times New Roman"/>
          <w:sz w:val="24"/>
          <w:szCs w:val="24"/>
        </w:rPr>
        <w:t xml:space="preserve"> </w:t>
      </w:r>
      <w:r w:rsidR="00F17A48" w:rsidRPr="00DE439C">
        <w:rPr>
          <w:rFonts w:eastAsia="Times New Roman"/>
          <w:sz w:val="24"/>
          <w:szCs w:val="24"/>
        </w:rPr>
        <w:t>for each well and wellfield under its control</w:t>
      </w:r>
      <w:r w:rsidR="00F17A48">
        <w:rPr>
          <w:rFonts w:eastAsia="Times New Roman"/>
          <w:sz w:val="24"/>
          <w:szCs w:val="24"/>
        </w:rPr>
        <w:t>,</w:t>
      </w:r>
      <w:r w:rsidR="00F17A48" w:rsidRPr="00DE439C">
        <w:rPr>
          <w:rFonts w:eastAsia="Times New Roman"/>
          <w:sz w:val="24"/>
          <w:szCs w:val="24"/>
        </w:rPr>
        <w:t xml:space="preserve"> </w:t>
      </w:r>
      <w:r w:rsidRPr="00DE439C">
        <w:rPr>
          <w:rFonts w:eastAsia="Times New Roman"/>
          <w:sz w:val="24"/>
          <w:szCs w:val="24"/>
        </w:rPr>
        <w:t>shall annually survey the land uses within</w:t>
      </w:r>
      <w:r w:rsidRPr="004352EC">
        <w:rPr>
          <w:rFonts w:eastAsia="Times New Roman"/>
          <w:sz w:val="24"/>
          <w:szCs w:val="24"/>
        </w:rPr>
        <w:t xml:space="preserve"> </w:t>
      </w:r>
      <w:r w:rsidR="0009684F">
        <w:rPr>
          <w:rFonts w:eastAsia="Times New Roman"/>
          <w:sz w:val="24"/>
          <w:szCs w:val="24"/>
        </w:rPr>
        <w:t xml:space="preserve">the </w:t>
      </w:r>
      <w:r w:rsidR="00A07B0E">
        <w:rPr>
          <w:rFonts w:eastAsia="Times New Roman"/>
          <w:sz w:val="24"/>
          <w:szCs w:val="24"/>
        </w:rPr>
        <w:t>following</w:t>
      </w:r>
      <w:r w:rsidR="00AE45E3">
        <w:rPr>
          <w:rFonts w:eastAsia="Times New Roman"/>
          <w:sz w:val="24"/>
          <w:szCs w:val="24"/>
        </w:rPr>
        <w:t xml:space="preserve"> areas</w:t>
      </w:r>
      <w:r w:rsidR="00F43861">
        <w:rPr>
          <w:rFonts w:eastAsia="Times New Roman"/>
          <w:sz w:val="24"/>
          <w:szCs w:val="24"/>
        </w:rPr>
        <w:t>:</w:t>
      </w:r>
    </w:p>
    <w:p w14:paraId="76E65A89" w14:textId="36268360" w:rsidR="00717270" w:rsidRDefault="009B12DF" w:rsidP="0057218D">
      <w:pPr>
        <w:numPr>
          <w:ilvl w:val="3"/>
          <w:numId w:val="843"/>
        </w:numPr>
        <w:tabs>
          <w:tab w:val="left" w:pos="2347"/>
        </w:tabs>
        <w:ind w:left="1973" w:firstLine="0"/>
        <w:jc w:val="both"/>
        <w:rPr>
          <w:rFonts w:eastAsia="Times New Roman"/>
          <w:sz w:val="24"/>
          <w:szCs w:val="24"/>
        </w:rPr>
      </w:pPr>
      <w:r>
        <w:rPr>
          <w:rFonts w:eastAsia="Times New Roman"/>
          <w:sz w:val="24"/>
          <w:szCs w:val="24"/>
        </w:rPr>
        <w:t xml:space="preserve">the </w:t>
      </w:r>
      <w:r w:rsidR="00DE5C3D">
        <w:rPr>
          <w:rFonts w:eastAsia="Times New Roman"/>
          <w:sz w:val="24"/>
          <w:szCs w:val="24"/>
        </w:rPr>
        <w:t>Zone I</w:t>
      </w:r>
      <w:r w:rsidR="00B650EE">
        <w:rPr>
          <w:rFonts w:eastAsia="Times New Roman"/>
          <w:sz w:val="24"/>
          <w:szCs w:val="24"/>
        </w:rPr>
        <w:t xml:space="preserve"> and the Zone II; or</w:t>
      </w:r>
    </w:p>
    <w:p w14:paraId="3E188611" w14:textId="7F7C11A1" w:rsidR="00717270" w:rsidRDefault="00717270" w:rsidP="0057218D">
      <w:pPr>
        <w:numPr>
          <w:ilvl w:val="3"/>
          <w:numId w:val="843"/>
        </w:numPr>
        <w:tabs>
          <w:tab w:val="left" w:pos="2347"/>
        </w:tabs>
        <w:ind w:left="1973" w:firstLine="0"/>
        <w:jc w:val="both"/>
        <w:rPr>
          <w:rFonts w:eastAsia="Times New Roman"/>
          <w:sz w:val="24"/>
          <w:szCs w:val="24"/>
        </w:rPr>
      </w:pPr>
      <w:r>
        <w:rPr>
          <w:rFonts w:eastAsia="Times New Roman"/>
          <w:sz w:val="24"/>
          <w:szCs w:val="24"/>
        </w:rPr>
        <w:t xml:space="preserve">the </w:t>
      </w:r>
      <w:r w:rsidR="00B650EE">
        <w:rPr>
          <w:rFonts w:eastAsia="Times New Roman"/>
          <w:sz w:val="24"/>
          <w:szCs w:val="24"/>
        </w:rPr>
        <w:t xml:space="preserve">Zone I and the </w:t>
      </w:r>
      <w:r>
        <w:rPr>
          <w:rFonts w:eastAsia="Times New Roman"/>
          <w:sz w:val="24"/>
          <w:szCs w:val="24"/>
        </w:rPr>
        <w:t xml:space="preserve">Zone </w:t>
      </w:r>
      <w:r w:rsidR="00900606">
        <w:rPr>
          <w:rFonts w:eastAsia="Times New Roman"/>
          <w:sz w:val="24"/>
          <w:szCs w:val="24"/>
        </w:rPr>
        <w:t>I</w:t>
      </w:r>
      <w:r>
        <w:rPr>
          <w:rFonts w:eastAsia="Times New Roman"/>
          <w:sz w:val="24"/>
          <w:szCs w:val="24"/>
        </w:rPr>
        <w:t xml:space="preserve">II where the Supplier of Water has obtained a Zone II waiver pursuant to 310 CMR 22.21(1)(f), </w:t>
      </w:r>
      <w:r w:rsidR="00900606">
        <w:rPr>
          <w:rFonts w:eastAsia="Times New Roman"/>
          <w:sz w:val="24"/>
          <w:szCs w:val="24"/>
        </w:rPr>
        <w:t>or</w:t>
      </w:r>
    </w:p>
    <w:p w14:paraId="281A7055" w14:textId="09697136" w:rsidR="004647B9" w:rsidRPr="00DE439C" w:rsidRDefault="00936CC2" w:rsidP="0057218D">
      <w:pPr>
        <w:numPr>
          <w:ilvl w:val="3"/>
          <w:numId w:val="843"/>
        </w:numPr>
        <w:tabs>
          <w:tab w:val="left" w:pos="2347"/>
        </w:tabs>
        <w:ind w:left="1973" w:firstLine="0"/>
        <w:jc w:val="both"/>
        <w:rPr>
          <w:rFonts w:eastAsia="Times New Roman"/>
          <w:sz w:val="24"/>
          <w:szCs w:val="24"/>
        </w:rPr>
      </w:pPr>
      <w:r>
        <w:rPr>
          <w:rFonts w:eastAsia="Times New Roman"/>
          <w:sz w:val="24"/>
          <w:szCs w:val="24"/>
        </w:rPr>
        <w:t xml:space="preserve">the </w:t>
      </w:r>
      <w:r w:rsidR="00AE45E3">
        <w:rPr>
          <w:rFonts w:eastAsia="Times New Roman"/>
          <w:sz w:val="24"/>
          <w:szCs w:val="24"/>
        </w:rPr>
        <w:t xml:space="preserve">Zone I and </w:t>
      </w:r>
      <w:r>
        <w:rPr>
          <w:rFonts w:eastAsia="Times New Roman"/>
          <w:sz w:val="24"/>
          <w:szCs w:val="24"/>
        </w:rPr>
        <w:t>Interim Wellhead Protection Area</w:t>
      </w:r>
    </w:p>
    <w:p w14:paraId="281A7057" w14:textId="620154D2" w:rsidR="004647B9" w:rsidRPr="00DE439C" w:rsidRDefault="00E2436F" w:rsidP="00563A54">
      <w:pPr>
        <w:numPr>
          <w:ilvl w:val="1"/>
          <w:numId w:val="843"/>
        </w:numPr>
        <w:tabs>
          <w:tab w:val="left" w:pos="2073"/>
        </w:tabs>
        <w:ind w:left="1620" w:hanging="5"/>
        <w:jc w:val="both"/>
        <w:rPr>
          <w:rFonts w:eastAsia="Times New Roman"/>
          <w:sz w:val="24"/>
          <w:szCs w:val="24"/>
        </w:rPr>
      </w:pPr>
      <w:r w:rsidRPr="00DE439C">
        <w:rPr>
          <w:rFonts w:eastAsia="Times New Roman"/>
          <w:sz w:val="24"/>
          <w:szCs w:val="24"/>
        </w:rPr>
        <w:t xml:space="preserve">A supplier of water shall submit to the Department an annual report that identifies for each well and wellfield under its ownership </w:t>
      </w:r>
      <w:r w:rsidR="001600A6">
        <w:rPr>
          <w:rFonts w:eastAsia="Times New Roman"/>
          <w:sz w:val="24"/>
          <w:szCs w:val="24"/>
        </w:rPr>
        <w:t>or</w:t>
      </w:r>
      <w:r w:rsidR="001600A6" w:rsidRPr="00DE439C">
        <w:rPr>
          <w:rFonts w:eastAsia="Times New Roman"/>
          <w:sz w:val="24"/>
          <w:szCs w:val="24"/>
        </w:rPr>
        <w:t xml:space="preserve"> </w:t>
      </w:r>
      <w:r w:rsidRPr="00DE439C">
        <w:rPr>
          <w:rFonts w:eastAsia="Times New Roman"/>
          <w:sz w:val="24"/>
          <w:szCs w:val="24"/>
        </w:rPr>
        <w:t xml:space="preserve">control the presence of new land uses within the Zones I, II and III, or within the Interim Wellhead Protection Area, that could adversely impact water quality. The annual reports shall be submitted </w:t>
      </w:r>
      <w:r w:rsidR="00486080">
        <w:rPr>
          <w:rFonts w:eastAsia="Times New Roman"/>
          <w:sz w:val="24"/>
          <w:szCs w:val="24"/>
        </w:rPr>
        <w:t>as part of</w:t>
      </w:r>
      <w:r w:rsidR="00BC4CD1">
        <w:rPr>
          <w:rFonts w:eastAsia="Times New Roman"/>
          <w:sz w:val="24"/>
          <w:szCs w:val="24"/>
        </w:rPr>
        <w:t xml:space="preserve"> or</w:t>
      </w:r>
      <w:r w:rsidR="00C650FA">
        <w:rPr>
          <w:rFonts w:eastAsia="Times New Roman"/>
          <w:sz w:val="24"/>
          <w:szCs w:val="24"/>
        </w:rPr>
        <w:t>, if appropriate,</w:t>
      </w:r>
      <w:r w:rsidR="00BC4CD1">
        <w:rPr>
          <w:rFonts w:eastAsia="Times New Roman"/>
          <w:sz w:val="24"/>
          <w:szCs w:val="24"/>
        </w:rPr>
        <w:t xml:space="preserve"> as a supplement to</w:t>
      </w:r>
      <w:r w:rsidR="00C650FA">
        <w:rPr>
          <w:rFonts w:eastAsia="Times New Roman"/>
          <w:sz w:val="24"/>
          <w:szCs w:val="24"/>
        </w:rPr>
        <w:t>,</w:t>
      </w:r>
      <w:r w:rsidR="00486080">
        <w:rPr>
          <w:rFonts w:eastAsia="Times New Roman"/>
          <w:sz w:val="24"/>
          <w:szCs w:val="24"/>
        </w:rPr>
        <w:t xml:space="preserve"> the Annual Statistical Report </w:t>
      </w:r>
      <w:r w:rsidR="00EF76B8">
        <w:rPr>
          <w:rFonts w:eastAsia="Times New Roman"/>
          <w:sz w:val="24"/>
          <w:szCs w:val="24"/>
        </w:rPr>
        <w:t>pursuant to the requirements of 310 CMR 22.15(5)</w:t>
      </w:r>
      <w:r w:rsidRPr="00DE439C">
        <w:rPr>
          <w:rFonts w:eastAsia="Times New Roman"/>
          <w:sz w:val="24"/>
          <w:szCs w:val="24"/>
        </w:rPr>
        <w:t>.</w:t>
      </w:r>
    </w:p>
    <w:p w14:paraId="281A7059" w14:textId="2D518904" w:rsidR="004647B9" w:rsidRPr="00DE439C" w:rsidRDefault="00E2436F" w:rsidP="00563A54">
      <w:pPr>
        <w:numPr>
          <w:ilvl w:val="1"/>
          <w:numId w:val="843"/>
        </w:numPr>
        <w:tabs>
          <w:tab w:val="left" w:pos="2035"/>
        </w:tabs>
        <w:ind w:left="1620" w:hanging="5"/>
        <w:jc w:val="both"/>
        <w:rPr>
          <w:rFonts w:eastAsia="Times New Roman"/>
          <w:sz w:val="24"/>
          <w:szCs w:val="24"/>
        </w:rPr>
      </w:pPr>
      <w:r w:rsidRPr="00DE439C">
        <w:rPr>
          <w:rFonts w:eastAsia="Times New Roman"/>
          <w:sz w:val="24"/>
          <w:szCs w:val="24"/>
        </w:rPr>
        <w:t xml:space="preserve">A supplier of water shall notify the local board of health or health department within 48 hours of detection of any violation of a statutory or regulatory requirement that may adversely </w:t>
      </w:r>
      <w:r w:rsidR="001600A6">
        <w:rPr>
          <w:rFonts w:eastAsia="Times New Roman"/>
          <w:sz w:val="24"/>
          <w:szCs w:val="24"/>
        </w:rPr>
        <w:t>a</w:t>
      </w:r>
      <w:r w:rsidRPr="00DE439C">
        <w:rPr>
          <w:rFonts w:eastAsia="Times New Roman"/>
          <w:sz w:val="24"/>
          <w:szCs w:val="24"/>
        </w:rPr>
        <w:t xml:space="preserve">ffect its water supply or distribution system, and shall notify the inspector of buildings, building commissioners or local inspector, or the person charged with enforcement of local zoning and nonzoning controls, within 48 hours of detecting any violation of applicable land use restrictions that may adversely </w:t>
      </w:r>
      <w:r w:rsidR="001600A6">
        <w:rPr>
          <w:rFonts w:eastAsia="Times New Roman"/>
          <w:sz w:val="24"/>
          <w:szCs w:val="24"/>
        </w:rPr>
        <w:t>a</w:t>
      </w:r>
      <w:r w:rsidRPr="00DE439C">
        <w:rPr>
          <w:rFonts w:eastAsia="Times New Roman"/>
          <w:sz w:val="24"/>
          <w:szCs w:val="24"/>
        </w:rPr>
        <w:t>ffect its water supply or distribution system. Such notices should include the following information:</w:t>
      </w:r>
    </w:p>
    <w:p w14:paraId="281A705B"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the name of the person in violation;</w:t>
      </w:r>
    </w:p>
    <w:p w14:paraId="281A705D"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the location where the violation is occurring;</w:t>
      </w:r>
    </w:p>
    <w:p w14:paraId="281A705F"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the date when the violation was observed;</w:t>
      </w:r>
    </w:p>
    <w:p w14:paraId="281A7061"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a description of the violation;</w:t>
      </w:r>
    </w:p>
    <w:p w14:paraId="281A7063"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the legal citation of the requirement or restriction violated; and</w:t>
      </w:r>
    </w:p>
    <w:p w14:paraId="281A7065" w14:textId="77777777" w:rsidR="004647B9" w:rsidRPr="00DE439C" w:rsidRDefault="00E2436F" w:rsidP="00563A54">
      <w:pPr>
        <w:numPr>
          <w:ilvl w:val="2"/>
          <w:numId w:val="843"/>
        </w:numPr>
        <w:tabs>
          <w:tab w:val="left" w:pos="2400"/>
        </w:tabs>
        <w:ind w:left="1980" w:hanging="5"/>
        <w:rPr>
          <w:rFonts w:eastAsia="Times New Roman"/>
          <w:sz w:val="24"/>
          <w:szCs w:val="24"/>
        </w:rPr>
      </w:pPr>
      <w:r w:rsidRPr="00DE439C">
        <w:rPr>
          <w:rFonts w:eastAsia="Times New Roman"/>
          <w:sz w:val="24"/>
          <w:szCs w:val="24"/>
        </w:rPr>
        <w:t>a description of the actions necessary to remove or remedy the violation and the deadlines for taking such actions.</w:t>
      </w:r>
    </w:p>
    <w:p w14:paraId="281A7066" w14:textId="2C0235E5" w:rsidR="004647B9" w:rsidRPr="00DE439C" w:rsidRDefault="00E2436F" w:rsidP="00DE439C">
      <w:pPr>
        <w:ind w:left="1980" w:firstLine="360"/>
        <w:jc w:val="both"/>
        <w:rPr>
          <w:rFonts w:eastAsia="Times New Roman"/>
          <w:sz w:val="24"/>
          <w:szCs w:val="24"/>
        </w:rPr>
      </w:pPr>
      <w:r w:rsidRPr="00DE439C">
        <w:rPr>
          <w:rFonts w:eastAsia="Times New Roman"/>
          <w:sz w:val="24"/>
          <w:szCs w:val="24"/>
        </w:rPr>
        <w:t xml:space="preserve">In addition, the supplier of water shall notify the Department's </w:t>
      </w:r>
      <w:r w:rsidR="00041432">
        <w:rPr>
          <w:rFonts w:eastAsia="Times New Roman"/>
          <w:sz w:val="24"/>
          <w:szCs w:val="24"/>
        </w:rPr>
        <w:t>Drinking Water Program</w:t>
      </w:r>
      <w:r w:rsidRPr="00DE439C">
        <w:rPr>
          <w:rFonts w:eastAsia="Times New Roman"/>
          <w:sz w:val="24"/>
          <w:szCs w:val="24"/>
        </w:rPr>
        <w:t xml:space="preserve"> at the appropriate Regional Office upon giving any notice required by 310 CMR 22.21(4)(c).</w:t>
      </w:r>
    </w:p>
    <w:p w14:paraId="281A7068" w14:textId="6BDA6B0E" w:rsidR="004647B9" w:rsidRPr="00DE439C" w:rsidRDefault="00E2436F" w:rsidP="00563A54">
      <w:pPr>
        <w:numPr>
          <w:ilvl w:val="1"/>
          <w:numId w:val="843"/>
        </w:numPr>
        <w:tabs>
          <w:tab w:val="left" w:pos="2051"/>
        </w:tabs>
        <w:ind w:left="1620" w:hanging="5"/>
        <w:jc w:val="both"/>
        <w:rPr>
          <w:rFonts w:eastAsia="Times New Roman"/>
          <w:sz w:val="24"/>
          <w:szCs w:val="24"/>
        </w:rPr>
      </w:pPr>
      <w:r w:rsidRPr="00DE439C">
        <w:rPr>
          <w:rFonts w:eastAsia="Times New Roman"/>
          <w:sz w:val="24"/>
          <w:szCs w:val="24"/>
        </w:rPr>
        <w:t xml:space="preserve">A supplier of water shall take appropriate action to determine whether the violation has been removed or remedied and shall notify the Department's </w:t>
      </w:r>
      <w:r w:rsidR="00041432">
        <w:rPr>
          <w:rFonts w:eastAsia="Times New Roman"/>
          <w:sz w:val="24"/>
          <w:szCs w:val="24"/>
        </w:rPr>
        <w:t>Drinking Water Program</w:t>
      </w:r>
      <w:r w:rsidRPr="00DE439C">
        <w:rPr>
          <w:rFonts w:eastAsia="Times New Roman"/>
          <w:sz w:val="24"/>
          <w:szCs w:val="24"/>
        </w:rPr>
        <w:t xml:space="preserve"> at the appropriate Regional Office upon finding that the violation has been removed or remedied.</w:t>
      </w:r>
    </w:p>
    <w:p w14:paraId="281A7069" w14:textId="77777777" w:rsidR="004647B9" w:rsidRPr="00DE439C" w:rsidRDefault="004647B9" w:rsidP="00DE439C">
      <w:pPr>
        <w:rPr>
          <w:rFonts w:eastAsia="Times New Roman"/>
          <w:sz w:val="24"/>
          <w:szCs w:val="24"/>
        </w:rPr>
      </w:pPr>
    </w:p>
    <w:p w14:paraId="281A706A" w14:textId="77777777" w:rsidR="004647B9" w:rsidRPr="00DE439C" w:rsidRDefault="00E2436F" w:rsidP="00563A54">
      <w:pPr>
        <w:numPr>
          <w:ilvl w:val="0"/>
          <w:numId w:val="843"/>
        </w:numPr>
        <w:tabs>
          <w:tab w:val="left" w:pos="1720"/>
        </w:tabs>
        <w:ind w:left="1720" w:hanging="460"/>
        <w:rPr>
          <w:rFonts w:eastAsia="Times New Roman"/>
          <w:sz w:val="24"/>
          <w:szCs w:val="24"/>
        </w:rPr>
      </w:pPr>
      <w:r w:rsidRPr="00DE439C">
        <w:rPr>
          <w:rFonts w:eastAsia="Times New Roman"/>
          <w:sz w:val="24"/>
          <w:szCs w:val="24"/>
          <w:u w:val="single"/>
        </w:rPr>
        <w:t>Variances</w:t>
      </w:r>
    </w:p>
    <w:p w14:paraId="281A706C" w14:textId="77777777" w:rsidR="004647B9" w:rsidRPr="00DE439C" w:rsidRDefault="00E2436F" w:rsidP="00563A54">
      <w:pPr>
        <w:numPr>
          <w:ilvl w:val="1"/>
          <w:numId w:val="843"/>
        </w:numPr>
        <w:tabs>
          <w:tab w:val="left" w:pos="2059"/>
        </w:tabs>
        <w:ind w:left="1620" w:hanging="5"/>
        <w:jc w:val="both"/>
        <w:rPr>
          <w:rFonts w:eastAsia="Times New Roman"/>
          <w:sz w:val="24"/>
          <w:szCs w:val="24"/>
        </w:rPr>
      </w:pPr>
      <w:r w:rsidRPr="00DE439C">
        <w:rPr>
          <w:rFonts w:eastAsia="Times New Roman"/>
          <w:sz w:val="24"/>
          <w:szCs w:val="24"/>
        </w:rPr>
        <w:t>The Department may grant a variance from the requirements of 310 CMR 22.21(1)(e) to a proponent that, despite its best efforts, is unable to adopt one or more of the requirements set forth in 310 CMR 22.21(2)(a) and (b) if the Department finds that strict compliance with such requirements would result in an undue hardship and would not serve to further the intent of 310 CMR 22.21.</w:t>
      </w:r>
    </w:p>
    <w:p w14:paraId="281A706E" w14:textId="77777777" w:rsidR="004647B9" w:rsidRPr="00DE439C" w:rsidRDefault="00E2436F" w:rsidP="00563A54">
      <w:pPr>
        <w:numPr>
          <w:ilvl w:val="1"/>
          <w:numId w:val="843"/>
        </w:numPr>
        <w:tabs>
          <w:tab w:val="left" w:pos="2044"/>
        </w:tabs>
        <w:ind w:left="1620" w:hanging="5"/>
        <w:rPr>
          <w:rFonts w:eastAsia="Times New Roman"/>
          <w:sz w:val="24"/>
          <w:szCs w:val="24"/>
        </w:rPr>
      </w:pPr>
      <w:r w:rsidRPr="00DE439C">
        <w:rPr>
          <w:rFonts w:eastAsia="Times New Roman"/>
          <w:sz w:val="24"/>
          <w:szCs w:val="24"/>
        </w:rPr>
        <w:t>The Department shall consider the following factors in making the finding necessary to grant a variance pursuant to 310 CMR 22.21(5):</w:t>
      </w:r>
    </w:p>
    <w:p w14:paraId="281A706F" w14:textId="77777777" w:rsidR="004647B9" w:rsidRPr="00DE439C" w:rsidRDefault="00E2436F" w:rsidP="00041432">
      <w:pPr>
        <w:numPr>
          <w:ilvl w:val="2"/>
          <w:numId w:val="843"/>
        </w:numPr>
        <w:tabs>
          <w:tab w:val="left" w:pos="2280"/>
        </w:tabs>
        <w:ind w:left="1973"/>
        <w:rPr>
          <w:rFonts w:eastAsia="Times New Roman"/>
          <w:sz w:val="24"/>
          <w:szCs w:val="24"/>
        </w:rPr>
      </w:pPr>
      <w:r w:rsidRPr="00DE439C">
        <w:rPr>
          <w:rFonts w:eastAsia="Times New Roman"/>
          <w:sz w:val="24"/>
          <w:szCs w:val="24"/>
        </w:rPr>
        <w:t>the reasonableness of available alternatives to the proposed well, wellfield, or spring;</w:t>
      </w:r>
    </w:p>
    <w:p w14:paraId="281A7071" w14:textId="77777777" w:rsidR="004647B9" w:rsidRPr="00DE439C" w:rsidRDefault="00E2436F" w:rsidP="00563A54">
      <w:pPr>
        <w:numPr>
          <w:ilvl w:val="2"/>
          <w:numId w:val="843"/>
        </w:numPr>
        <w:tabs>
          <w:tab w:val="left" w:pos="2318"/>
        </w:tabs>
        <w:ind w:left="1980" w:hanging="5"/>
        <w:jc w:val="both"/>
        <w:rPr>
          <w:rFonts w:eastAsia="Times New Roman"/>
          <w:sz w:val="24"/>
          <w:szCs w:val="24"/>
        </w:rPr>
      </w:pPr>
      <w:r w:rsidRPr="00DE439C">
        <w:rPr>
          <w:rFonts w:eastAsia="Times New Roman"/>
          <w:sz w:val="24"/>
          <w:szCs w:val="24"/>
        </w:rPr>
        <w:t>the overall effectiveness of existing land use controls and other protective measures on the proposed well, wellfield, or spring and any other water supply sources used by the supplier of water;</w:t>
      </w:r>
    </w:p>
    <w:p w14:paraId="281A7073" w14:textId="77777777" w:rsidR="004647B9" w:rsidRPr="00DE439C" w:rsidRDefault="00E2436F" w:rsidP="00563A54">
      <w:pPr>
        <w:numPr>
          <w:ilvl w:val="2"/>
          <w:numId w:val="843"/>
        </w:numPr>
        <w:tabs>
          <w:tab w:val="left" w:pos="2318"/>
        </w:tabs>
        <w:ind w:left="1980" w:hanging="5"/>
        <w:rPr>
          <w:rFonts w:eastAsia="Times New Roman"/>
          <w:sz w:val="24"/>
          <w:szCs w:val="24"/>
        </w:rPr>
      </w:pPr>
      <w:r w:rsidRPr="00DE439C">
        <w:rPr>
          <w:rFonts w:eastAsia="Times New Roman"/>
          <w:sz w:val="24"/>
          <w:szCs w:val="24"/>
        </w:rPr>
        <w:t>the nature and extent of the risk of contamination to the proposed well, wellfield, or spring that would result from the granting of the variance; and</w:t>
      </w:r>
    </w:p>
    <w:p w14:paraId="281A7074" w14:textId="77777777" w:rsidR="004647B9" w:rsidRPr="00DE439C" w:rsidRDefault="00E2436F" w:rsidP="00905F85">
      <w:pPr>
        <w:numPr>
          <w:ilvl w:val="2"/>
          <w:numId w:val="843"/>
        </w:numPr>
        <w:tabs>
          <w:tab w:val="left" w:pos="2340"/>
        </w:tabs>
        <w:ind w:left="1980" w:hanging="5"/>
        <w:rPr>
          <w:rFonts w:eastAsia="Times New Roman"/>
          <w:sz w:val="24"/>
          <w:szCs w:val="24"/>
        </w:rPr>
      </w:pPr>
      <w:r w:rsidRPr="00DE439C">
        <w:rPr>
          <w:rFonts w:eastAsia="Times New Roman"/>
          <w:sz w:val="24"/>
          <w:szCs w:val="24"/>
        </w:rPr>
        <w:t>whether the variance is necessary to accommodate an overriding community, regional, state or national public interest.</w:t>
      </w:r>
    </w:p>
    <w:p w14:paraId="281A7075" w14:textId="77777777" w:rsidR="004647B9" w:rsidRPr="00DE439C" w:rsidRDefault="00E2436F" w:rsidP="00DE439C">
      <w:pPr>
        <w:ind w:left="1980" w:firstLine="360"/>
        <w:jc w:val="both"/>
        <w:rPr>
          <w:rFonts w:eastAsia="Times New Roman"/>
          <w:sz w:val="24"/>
          <w:szCs w:val="24"/>
        </w:rPr>
      </w:pPr>
      <w:r w:rsidRPr="00DE439C">
        <w:rPr>
          <w:rFonts w:eastAsia="Times New Roman"/>
          <w:sz w:val="24"/>
          <w:szCs w:val="24"/>
        </w:rPr>
        <w:t>These factors need not be weighed equally, nor must all of these factors be present for the Department to grant a variance. The presence of any single factor may be sufficient for the granting of a variance.</w:t>
      </w:r>
    </w:p>
    <w:p w14:paraId="281A7077" w14:textId="77777777" w:rsidR="004647B9" w:rsidRPr="00DE439C" w:rsidRDefault="00E2436F" w:rsidP="00563A54">
      <w:pPr>
        <w:numPr>
          <w:ilvl w:val="1"/>
          <w:numId w:val="843"/>
        </w:numPr>
        <w:tabs>
          <w:tab w:val="left" w:pos="2172"/>
        </w:tabs>
        <w:ind w:left="1620" w:hanging="5"/>
        <w:rPr>
          <w:rFonts w:eastAsia="Times New Roman"/>
          <w:sz w:val="24"/>
          <w:szCs w:val="24"/>
        </w:rPr>
      </w:pPr>
      <w:r w:rsidRPr="00DE439C">
        <w:rPr>
          <w:rFonts w:eastAsia="Times New Roman"/>
          <w:sz w:val="24"/>
          <w:szCs w:val="24"/>
        </w:rPr>
        <w:t>A variance granted pursuant to 310 CMR 22.21(5) shall be conditioned on such monitoring or other requirements as the Department may prescribe.</w:t>
      </w:r>
    </w:p>
    <w:p w14:paraId="281A7078" w14:textId="77777777" w:rsidR="004647B9" w:rsidRPr="00DE439C" w:rsidRDefault="00E2436F" w:rsidP="00563A54">
      <w:pPr>
        <w:numPr>
          <w:ilvl w:val="1"/>
          <w:numId w:val="843"/>
        </w:numPr>
        <w:tabs>
          <w:tab w:val="left" w:pos="2159"/>
        </w:tabs>
        <w:ind w:left="1620" w:hanging="5"/>
        <w:jc w:val="both"/>
        <w:rPr>
          <w:rFonts w:eastAsia="Times New Roman"/>
          <w:sz w:val="24"/>
          <w:szCs w:val="24"/>
        </w:rPr>
      </w:pPr>
      <w:r w:rsidRPr="00DE439C">
        <w:rPr>
          <w:rFonts w:eastAsia="Times New Roman"/>
          <w:sz w:val="24"/>
          <w:szCs w:val="24"/>
        </w:rPr>
        <w:t>Requests for variances shall be made in writing and clearly state the provision or requirement from which the variance is sought and the reasons and facts that support the granting of a variance, and shall include an evaluation of the reasonableness of alternatives to the proposed well, wellfield, or spring.</w:t>
      </w:r>
    </w:p>
    <w:p w14:paraId="281A7079" w14:textId="77777777" w:rsidR="004647B9" w:rsidRPr="00DE439C" w:rsidRDefault="00E2436F" w:rsidP="00563A54">
      <w:pPr>
        <w:numPr>
          <w:ilvl w:val="1"/>
          <w:numId w:val="843"/>
        </w:numPr>
        <w:tabs>
          <w:tab w:val="left" w:pos="2045"/>
        </w:tabs>
        <w:ind w:left="1620" w:hanging="5"/>
        <w:jc w:val="both"/>
        <w:rPr>
          <w:rFonts w:eastAsia="Times New Roman"/>
          <w:sz w:val="24"/>
          <w:szCs w:val="24"/>
        </w:rPr>
      </w:pPr>
      <w:r w:rsidRPr="00DE439C">
        <w:rPr>
          <w:rFonts w:eastAsia="Times New Roman"/>
          <w:sz w:val="24"/>
          <w:szCs w:val="24"/>
        </w:rPr>
        <w:t xml:space="preserve">Within 14 days of filing a request for variance under 310 CMR 22.21(5)(a), the person filing the request shall notify persons served by the supplier of water by direct mail and by </w:t>
      </w:r>
      <w:r w:rsidRPr="00DE439C">
        <w:rPr>
          <w:rFonts w:eastAsia="Times New Roman"/>
          <w:sz w:val="24"/>
          <w:szCs w:val="24"/>
        </w:rPr>
        <w:lastRenderedPageBreak/>
        <w:t>publication on not less than three consecutive days in a newspaper of general circulation in the service area of the supplier of water. The notice shall include:</w:t>
      </w:r>
    </w:p>
    <w:p w14:paraId="281A707A" w14:textId="77777777" w:rsidR="004647B9" w:rsidRDefault="004647B9">
      <w:pPr>
        <w:sectPr w:rsidR="004647B9" w:rsidSect="00EF630C">
          <w:pgSz w:w="12240" w:h="20180"/>
          <w:pgMar w:top="708" w:right="1440" w:bottom="737" w:left="540" w:header="0" w:footer="0" w:gutter="0"/>
          <w:cols w:space="720"/>
        </w:sectPr>
      </w:pPr>
    </w:p>
    <w:p w14:paraId="281A707B" w14:textId="77777777" w:rsidR="004647B9" w:rsidRDefault="00E2436F">
      <w:pPr>
        <w:tabs>
          <w:tab w:val="left" w:pos="160"/>
        </w:tabs>
        <w:ind w:right="-59"/>
        <w:jc w:val="center"/>
        <w:rPr>
          <w:sz w:val="20"/>
          <w:szCs w:val="20"/>
        </w:rPr>
      </w:pPr>
      <w:bookmarkStart w:id="323" w:name="page327"/>
      <w:bookmarkEnd w:id="32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07C" w14:textId="77777777" w:rsidR="004647B9" w:rsidRDefault="004647B9" w:rsidP="00444AB9">
      <w:pPr>
        <w:rPr>
          <w:sz w:val="20"/>
          <w:szCs w:val="20"/>
        </w:rPr>
      </w:pPr>
    </w:p>
    <w:p w14:paraId="281A707D" w14:textId="77777777" w:rsidR="004647B9" w:rsidRDefault="004647B9" w:rsidP="00444AB9">
      <w:pPr>
        <w:rPr>
          <w:sz w:val="20"/>
          <w:szCs w:val="20"/>
        </w:rPr>
      </w:pPr>
    </w:p>
    <w:p w14:paraId="281A707E" w14:textId="77777777" w:rsidR="004647B9" w:rsidRDefault="00E2436F" w:rsidP="00444AB9">
      <w:pPr>
        <w:tabs>
          <w:tab w:val="left" w:pos="760"/>
        </w:tabs>
        <w:rPr>
          <w:sz w:val="20"/>
          <w:szCs w:val="20"/>
        </w:rPr>
      </w:pPr>
      <w:r>
        <w:rPr>
          <w:rFonts w:eastAsia="Times New Roman"/>
          <w:sz w:val="24"/>
          <w:szCs w:val="24"/>
        </w:rPr>
        <w:t>22.21:</w:t>
      </w:r>
      <w:r>
        <w:rPr>
          <w:rFonts w:eastAsia="Times New Roman"/>
          <w:sz w:val="24"/>
          <w:szCs w:val="24"/>
        </w:rPr>
        <w:tab/>
        <w:t>continued</w:t>
      </w:r>
    </w:p>
    <w:p w14:paraId="281A707F" w14:textId="77777777" w:rsidR="004647B9" w:rsidRDefault="004647B9" w:rsidP="00444AB9">
      <w:pPr>
        <w:rPr>
          <w:sz w:val="20"/>
          <w:szCs w:val="20"/>
        </w:rPr>
      </w:pPr>
    </w:p>
    <w:p w14:paraId="281A7080" w14:textId="77777777" w:rsidR="004647B9" w:rsidRDefault="00E2436F" w:rsidP="00563A54">
      <w:pPr>
        <w:numPr>
          <w:ilvl w:val="1"/>
          <w:numId w:val="844"/>
        </w:numPr>
        <w:tabs>
          <w:tab w:val="left" w:pos="2340"/>
        </w:tabs>
        <w:ind w:left="2340" w:hanging="365"/>
        <w:rPr>
          <w:rFonts w:eastAsia="Times New Roman"/>
          <w:sz w:val="24"/>
          <w:szCs w:val="24"/>
        </w:rPr>
      </w:pPr>
      <w:r>
        <w:rPr>
          <w:rFonts w:eastAsia="Times New Roman"/>
          <w:sz w:val="24"/>
          <w:szCs w:val="24"/>
        </w:rPr>
        <w:t>the provision or requirements from which the variance is being sought;</w:t>
      </w:r>
    </w:p>
    <w:p w14:paraId="281A7082" w14:textId="77777777" w:rsidR="004647B9" w:rsidRDefault="00E2436F" w:rsidP="00563A54">
      <w:pPr>
        <w:numPr>
          <w:ilvl w:val="1"/>
          <w:numId w:val="844"/>
        </w:numPr>
        <w:tabs>
          <w:tab w:val="left" w:pos="2340"/>
        </w:tabs>
        <w:ind w:left="2340" w:hanging="365"/>
        <w:rPr>
          <w:rFonts w:eastAsia="Times New Roman"/>
          <w:sz w:val="24"/>
          <w:szCs w:val="24"/>
        </w:rPr>
      </w:pPr>
      <w:r>
        <w:rPr>
          <w:rFonts w:eastAsia="Times New Roman"/>
          <w:sz w:val="24"/>
          <w:szCs w:val="24"/>
        </w:rPr>
        <w:t>the identity of the proponent of the well, wellfield, or spring;</w:t>
      </w:r>
    </w:p>
    <w:p w14:paraId="281A7084" w14:textId="77777777" w:rsidR="004647B9" w:rsidRDefault="00E2436F" w:rsidP="00563A54">
      <w:pPr>
        <w:numPr>
          <w:ilvl w:val="1"/>
          <w:numId w:val="844"/>
        </w:numPr>
        <w:tabs>
          <w:tab w:val="left" w:pos="2362"/>
        </w:tabs>
        <w:ind w:left="1980" w:hanging="5"/>
        <w:jc w:val="both"/>
        <w:rPr>
          <w:rFonts w:eastAsia="Times New Roman"/>
          <w:sz w:val="24"/>
          <w:szCs w:val="24"/>
        </w:rPr>
      </w:pPr>
      <w:r>
        <w:rPr>
          <w:rFonts w:eastAsia="Times New Roman"/>
          <w:sz w:val="24"/>
          <w:szCs w:val="24"/>
        </w:rPr>
        <w:t>the identity of the person requesting the variance, the address where a copy of the request for variance will be available for public inspection, and the times it will be available; and</w:t>
      </w:r>
    </w:p>
    <w:p w14:paraId="281A7086" w14:textId="77777777" w:rsidR="004647B9" w:rsidRDefault="00E2436F" w:rsidP="00563A54">
      <w:pPr>
        <w:numPr>
          <w:ilvl w:val="1"/>
          <w:numId w:val="844"/>
        </w:numPr>
        <w:tabs>
          <w:tab w:val="left" w:pos="2275"/>
        </w:tabs>
        <w:ind w:left="1980" w:hanging="5"/>
        <w:jc w:val="both"/>
        <w:rPr>
          <w:rFonts w:eastAsia="Times New Roman"/>
          <w:sz w:val="24"/>
          <w:szCs w:val="24"/>
        </w:rPr>
      </w:pPr>
      <w:r>
        <w:rPr>
          <w:rFonts w:eastAsia="Times New Roman"/>
          <w:sz w:val="24"/>
          <w:szCs w:val="24"/>
        </w:rPr>
        <w:t>a statement that the Department will receive written comments concerning the request from the public for a 30 day period commencing on the last date of newspaper publication.</w:t>
      </w:r>
    </w:p>
    <w:p w14:paraId="281A7088" w14:textId="77777777" w:rsidR="004647B9" w:rsidRDefault="00E2436F" w:rsidP="00563A54">
      <w:pPr>
        <w:numPr>
          <w:ilvl w:val="0"/>
          <w:numId w:val="845"/>
        </w:numPr>
        <w:tabs>
          <w:tab w:val="left" w:pos="2016"/>
        </w:tabs>
        <w:ind w:left="1620" w:hanging="5"/>
        <w:jc w:val="both"/>
        <w:rPr>
          <w:rFonts w:eastAsia="Times New Roman"/>
          <w:sz w:val="24"/>
          <w:szCs w:val="24"/>
        </w:rPr>
      </w:pPr>
      <w:r>
        <w:rPr>
          <w:rFonts w:eastAsia="Times New Roman"/>
          <w:sz w:val="24"/>
          <w:szCs w:val="24"/>
        </w:rPr>
        <w:t>Each person submitting a request for variance shall submit to the Department a copy of the public notice required by 310 CMR 22.21(5)(e) and affidavits attesting to the fact that the notices have been given. The Department will receive written comments concerning the request from the public for a 30 day period commencing on the last date of newspaper publication.</w:t>
      </w:r>
    </w:p>
    <w:p w14:paraId="281A708A" w14:textId="77777777" w:rsidR="004647B9" w:rsidRDefault="00E2436F" w:rsidP="00563A54">
      <w:pPr>
        <w:numPr>
          <w:ilvl w:val="0"/>
          <w:numId w:val="845"/>
        </w:numPr>
        <w:tabs>
          <w:tab w:val="left" w:pos="2071"/>
        </w:tabs>
        <w:ind w:left="1620" w:hanging="5"/>
        <w:jc w:val="both"/>
        <w:rPr>
          <w:rFonts w:eastAsia="Times New Roman"/>
          <w:sz w:val="24"/>
          <w:szCs w:val="24"/>
        </w:rPr>
      </w:pPr>
      <w:r>
        <w:rPr>
          <w:rFonts w:eastAsia="Times New Roman"/>
          <w:sz w:val="24"/>
          <w:szCs w:val="24"/>
        </w:rPr>
        <w:t>Within 30 days of the close of the comment period, each person requesting a variance under 310 CMR 22.21(5)(a) shall respond in writing to all reasonable public comments received by the Department.</w:t>
      </w:r>
    </w:p>
    <w:p w14:paraId="281A708C" w14:textId="77777777" w:rsidR="004647B9" w:rsidRDefault="00E2436F" w:rsidP="00563A54">
      <w:pPr>
        <w:numPr>
          <w:ilvl w:val="0"/>
          <w:numId w:val="845"/>
        </w:numPr>
        <w:tabs>
          <w:tab w:val="left" w:pos="2080"/>
        </w:tabs>
        <w:ind w:left="1620" w:hanging="5"/>
        <w:jc w:val="both"/>
        <w:rPr>
          <w:rFonts w:eastAsia="Times New Roman"/>
          <w:sz w:val="24"/>
          <w:szCs w:val="24"/>
        </w:rPr>
      </w:pPr>
      <w:r>
        <w:rPr>
          <w:rFonts w:eastAsia="Times New Roman"/>
          <w:sz w:val="24"/>
          <w:szCs w:val="24"/>
        </w:rPr>
        <w:t>The Department may schedule a public hearing on any request for variance submitted in accordance with 310 CMR 22.21(5) if it determines on the basis of the public comments received that such a hearing is in the public interest. In the event that the Department schedules a hearing, the person filing the request shall notify persons served by the supplier of water of the hearing by publication on not less than three consecutive days in a newspaper of general circulation in the service area of the supplier of water. In addition, the person filing the request shall notify each person who submitted written comment concerning the request to the Department by direct mail. The person filing the request shall submit to the Department a copy of the public notices required by 310 CMR 22.21(5)(h), and an affidavit attesting to the fact that the notices have been given, prior to the hearing. Persons filing a request for a variance under 310 CMR 22.21(5) shall pay the full the cost of all notifications and public hearing scheduled.</w:t>
      </w:r>
    </w:p>
    <w:p w14:paraId="281A708E" w14:textId="77777777" w:rsidR="004647B9" w:rsidRPr="00444AB9" w:rsidRDefault="00E2436F" w:rsidP="00563A54">
      <w:pPr>
        <w:numPr>
          <w:ilvl w:val="0"/>
          <w:numId w:val="845"/>
        </w:numPr>
        <w:tabs>
          <w:tab w:val="left" w:pos="2063"/>
        </w:tabs>
        <w:ind w:left="1620" w:hanging="5"/>
        <w:jc w:val="both"/>
        <w:rPr>
          <w:rFonts w:eastAsia="Times New Roman"/>
          <w:sz w:val="24"/>
          <w:szCs w:val="24"/>
        </w:rPr>
      </w:pPr>
      <w:r w:rsidRPr="00444AB9">
        <w:rPr>
          <w:rFonts w:eastAsia="Times New Roman"/>
          <w:sz w:val="24"/>
          <w:szCs w:val="24"/>
        </w:rPr>
        <w:t>Within 30 days of the grant of a variance under 310 CMR 22.21(5), any person that receives a variance shall notify persons served by the supplier of water of the granting of the variance, including any conditions imposed by the Department, by direct mail and by publication on not less than three consecutive days in a newspaper of general circulation in the service area of the supplier of water. The person that receives the variance shall submit to the Department a copy of the public notices and an affidavit attesting to the fact that the notices have been given upon completion of the public notification.</w:t>
      </w:r>
    </w:p>
    <w:p w14:paraId="281A708F" w14:textId="77777777" w:rsidR="004647B9" w:rsidRPr="00444AB9" w:rsidRDefault="004647B9" w:rsidP="00444AB9">
      <w:pPr>
        <w:rPr>
          <w:sz w:val="24"/>
          <w:szCs w:val="24"/>
        </w:rPr>
      </w:pPr>
    </w:p>
    <w:p w14:paraId="281A7090" w14:textId="77777777" w:rsidR="004647B9" w:rsidRPr="00444AB9" w:rsidRDefault="00E2436F" w:rsidP="00444AB9">
      <w:pPr>
        <w:tabs>
          <w:tab w:val="left" w:pos="760"/>
        </w:tabs>
        <w:rPr>
          <w:sz w:val="24"/>
          <w:szCs w:val="24"/>
        </w:rPr>
      </w:pPr>
      <w:r w:rsidRPr="00444AB9">
        <w:rPr>
          <w:rFonts w:eastAsia="Times New Roman"/>
          <w:sz w:val="24"/>
          <w:szCs w:val="24"/>
          <w:u w:val="single"/>
        </w:rPr>
        <w:t>22.22:</w:t>
      </w:r>
      <w:r w:rsidRPr="00444AB9">
        <w:rPr>
          <w:sz w:val="24"/>
          <w:szCs w:val="24"/>
        </w:rPr>
        <w:tab/>
      </w:r>
      <w:r w:rsidRPr="00444AB9">
        <w:rPr>
          <w:rFonts w:eastAsia="Times New Roman"/>
          <w:sz w:val="24"/>
          <w:szCs w:val="24"/>
          <w:u w:val="single"/>
        </w:rPr>
        <w:t>Cross Connections Distribution System Protection</w:t>
      </w:r>
    </w:p>
    <w:p w14:paraId="281A7091" w14:textId="77777777" w:rsidR="004647B9" w:rsidRPr="00444AB9" w:rsidRDefault="004647B9" w:rsidP="00444AB9">
      <w:pPr>
        <w:rPr>
          <w:sz w:val="24"/>
          <w:szCs w:val="24"/>
        </w:rPr>
      </w:pPr>
    </w:p>
    <w:p w14:paraId="281A7092" w14:textId="23BF0A95" w:rsidR="004647B9" w:rsidRPr="00444AB9" w:rsidRDefault="00E2436F" w:rsidP="00563A54">
      <w:pPr>
        <w:numPr>
          <w:ilvl w:val="0"/>
          <w:numId w:val="846"/>
        </w:numPr>
        <w:tabs>
          <w:tab w:val="left" w:pos="1662"/>
        </w:tabs>
        <w:ind w:left="1260"/>
        <w:jc w:val="both"/>
        <w:rPr>
          <w:rFonts w:eastAsia="Times New Roman"/>
          <w:sz w:val="24"/>
          <w:szCs w:val="24"/>
        </w:rPr>
      </w:pPr>
      <w:r w:rsidRPr="00444AB9">
        <w:rPr>
          <w:rFonts w:eastAsia="Times New Roman"/>
          <w:sz w:val="24"/>
          <w:szCs w:val="24"/>
          <w:u w:val="single"/>
        </w:rPr>
        <w:t>Purpose</w:t>
      </w:r>
      <w:r w:rsidRPr="00444AB9">
        <w:rPr>
          <w:rFonts w:eastAsia="Times New Roman"/>
          <w:sz w:val="24"/>
          <w:szCs w:val="24"/>
        </w:rPr>
        <w:t>. The Department's purpose in establishing a comprehensive distribution protection program is to prevent the contamination of drinking water to the last free flowing outlets or consumer's tap. For this reason, the Department strongly advocates the elimination of all cross connections. The installation of backflow prevention devices does not eliminate a cross connection. The installation of backflow prevention devices is a protection solution when re-plumbing or re-piping is not feasible. All cross connection protection devices shall be approved and permit</w:t>
      </w:r>
      <w:r w:rsidR="008B0101">
        <w:rPr>
          <w:rFonts w:eastAsia="Times New Roman"/>
          <w:sz w:val="24"/>
          <w:szCs w:val="24"/>
        </w:rPr>
        <w:t>t</w:t>
      </w:r>
      <w:r w:rsidRPr="00444AB9">
        <w:rPr>
          <w:rFonts w:eastAsia="Times New Roman"/>
          <w:sz w:val="24"/>
          <w:szCs w:val="24"/>
        </w:rPr>
        <w:t>ed in accordance with 310 CMR 22.22.</w:t>
      </w:r>
    </w:p>
    <w:p w14:paraId="281A7093" w14:textId="77777777" w:rsidR="004647B9" w:rsidRPr="00444AB9" w:rsidRDefault="004647B9" w:rsidP="00444AB9">
      <w:pPr>
        <w:rPr>
          <w:rFonts w:eastAsia="Times New Roman"/>
          <w:sz w:val="24"/>
          <w:szCs w:val="24"/>
        </w:rPr>
      </w:pPr>
    </w:p>
    <w:p w14:paraId="281A7094" w14:textId="77777777" w:rsidR="004647B9" w:rsidRPr="00444AB9" w:rsidRDefault="00E2436F" w:rsidP="00563A54">
      <w:pPr>
        <w:numPr>
          <w:ilvl w:val="0"/>
          <w:numId w:val="846"/>
        </w:numPr>
        <w:tabs>
          <w:tab w:val="left" w:pos="1720"/>
        </w:tabs>
        <w:ind w:left="1720" w:hanging="460"/>
        <w:rPr>
          <w:rFonts w:eastAsia="Times New Roman"/>
          <w:sz w:val="24"/>
          <w:szCs w:val="24"/>
        </w:rPr>
      </w:pPr>
      <w:r w:rsidRPr="00444AB9">
        <w:rPr>
          <w:rFonts w:eastAsia="Times New Roman"/>
          <w:sz w:val="24"/>
          <w:szCs w:val="24"/>
          <w:u w:val="single"/>
        </w:rPr>
        <w:t>Maintenance of a Cross Connection</w:t>
      </w:r>
    </w:p>
    <w:p w14:paraId="281A7096" w14:textId="77777777" w:rsidR="004647B9" w:rsidRPr="00444AB9" w:rsidRDefault="00E2436F" w:rsidP="00563A54">
      <w:pPr>
        <w:numPr>
          <w:ilvl w:val="1"/>
          <w:numId w:val="846"/>
        </w:numPr>
        <w:tabs>
          <w:tab w:val="left" w:pos="2057"/>
        </w:tabs>
        <w:ind w:left="1620" w:hanging="5"/>
        <w:jc w:val="both"/>
        <w:rPr>
          <w:rFonts w:eastAsia="Times New Roman"/>
          <w:sz w:val="24"/>
          <w:szCs w:val="24"/>
        </w:rPr>
      </w:pPr>
      <w:r w:rsidRPr="00444AB9">
        <w:rPr>
          <w:rFonts w:eastAsia="Times New Roman"/>
          <w:sz w:val="24"/>
          <w:szCs w:val="24"/>
        </w:rPr>
        <w:t xml:space="preserve">No physical cross connection shall be maintained between the distribution system of a public water system, the water of which is being used for drinking, domestic, or culinary purposes, and the distribution system of any water source not approved by the Department, as being of safe sanitary quality, or any plumbing, fixture, or device whereby nonpotable water or other substances might flow into the potable water system, unless said connection has been protected by a backflow prevention device approved, in accordance with 310 CMR 22.22 or 248 CMR 10.00: </w:t>
      </w:r>
      <w:r w:rsidRPr="00444AB9">
        <w:rPr>
          <w:rFonts w:eastAsia="Times New Roman"/>
          <w:i/>
          <w:iCs/>
          <w:sz w:val="24"/>
          <w:szCs w:val="24"/>
        </w:rPr>
        <w:t>Uniform State Plumbing Code</w:t>
      </w:r>
      <w:r w:rsidRPr="00444AB9">
        <w:rPr>
          <w:rFonts w:eastAsia="Times New Roman"/>
          <w:sz w:val="24"/>
          <w:szCs w:val="24"/>
        </w:rPr>
        <w:t>; as applicable.</w:t>
      </w:r>
    </w:p>
    <w:p w14:paraId="281A7098" w14:textId="77777777" w:rsidR="004647B9" w:rsidRPr="00444AB9" w:rsidRDefault="00E2436F" w:rsidP="00563A54">
      <w:pPr>
        <w:numPr>
          <w:ilvl w:val="1"/>
          <w:numId w:val="846"/>
        </w:numPr>
        <w:tabs>
          <w:tab w:val="left" w:pos="2037"/>
        </w:tabs>
        <w:ind w:left="1620" w:hanging="5"/>
        <w:jc w:val="both"/>
        <w:rPr>
          <w:rFonts w:eastAsia="Times New Roman"/>
          <w:sz w:val="24"/>
          <w:szCs w:val="24"/>
        </w:rPr>
      </w:pPr>
      <w:r w:rsidRPr="00444AB9">
        <w:rPr>
          <w:rFonts w:eastAsia="Times New Roman"/>
          <w:sz w:val="24"/>
          <w:szCs w:val="24"/>
        </w:rPr>
        <w:t xml:space="preserve">Backflow prevention devices shall be installed, based on the degree of hazard involved, at all fixtures and equipment where backflow and/or back siphonage may occur and whenever a minimum air gap cannot be provided between the public water system outlets to the fixture or equipment and its flood level rim. All fixtures that have a threaded hose type connection shall, at a minimum, have the required air gap separation and be equipped with a vacuum breaker in accordance with 248 CMR 10.14: </w:t>
      </w:r>
      <w:r w:rsidRPr="00444AB9">
        <w:rPr>
          <w:rFonts w:eastAsia="Times New Roman"/>
          <w:i/>
          <w:iCs/>
          <w:sz w:val="24"/>
          <w:szCs w:val="24"/>
        </w:rPr>
        <w:t>Water Supply and the Water</w:t>
      </w:r>
      <w:r w:rsidRPr="00444AB9">
        <w:rPr>
          <w:rFonts w:eastAsia="Times New Roman"/>
          <w:sz w:val="24"/>
          <w:szCs w:val="24"/>
        </w:rPr>
        <w:t xml:space="preserve"> </w:t>
      </w:r>
      <w:r w:rsidRPr="00444AB9">
        <w:rPr>
          <w:rFonts w:eastAsia="Times New Roman"/>
          <w:i/>
          <w:iCs/>
          <w:sz w:val="24"/>
          <w:szCs w:val="24"/>
        </w:rPr>
        <w:t>Distribution System</w:t>
      </w:r>
      <w:r w:rsidRPr="00444AB9">
        <w:rPr>
          <w:rFonts w:eastAsia="Times New Roman"/>
          <w:sz w:val="24"/>
          <w:szCs w:val="24"/>
        </w:rPr>
        <w:t>;</w:t>
      </w:r>
    </w:p>
    <w:p w14:paraId="281A7099" w14:textId="77777777" w:rsidR="004647B9" w:rsidRDefault="004647B9">
      <w:pPr>
        <w:sectPr w:rsidR="004647B9" w:rsidSect="00EF630C">
          <w:pgSz w:w="12240" w:h="20180"/>
          <w:pgMar w:top="708" w:right="1440" w:bottom="845" w:left="540" w:header="0" w:footer="0" w:gutter="0"/>
          <w:cols w:space="720"/>
        </w:sectPr>
      </w:pPr>
    </w:p>
    <w:p w14:paraId="281A709A" w14:textId="77777777" w:rsidR="004647B9" w:rsidRDefault="00E2436F">
      <w:pPr>
        <w:tabs>
          <w:tab w:val="left" w:pos="160"/>
        </w:tabs>
        <w:ind w:right="-59"/>
        <w:jc w:val="center"/>
        <w:rPr>
          <w:sz w:val="20"/>
          <w:szCs w:val="20"/>
        </w:rPr>
      </w:pPr>
      <w:bookmarkStart w:id="324" w:name="page328"/>
      <w:bookmarkEnd w:id="324"/>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09B" w14:textId="77777777" w:rsidR="004647B9" w:rsidRPr="0017245F" w:rsidRDefault="004647B9" w:rsidP="008E16EF">
      <w:pPr>
        <w:rPr>
          <w:sz w:val="20"/>
          <w:szCs w:val="20"/>
        </w:rPr>
      </w:pPr>
    </w:p>
    <w:p w14:paraId="281A709C" w14:textId="77777777" w:rsidR="004647B9" w:rsidRPr="0017245F" w:rsidRDefault="004647B9" w:rsidP="008E16EF">
      <w:pPr>
        <w:rPr>
          <w:sz w:val="20"/>
          <w:szCs w:val="20"/>
        </w:rPr>
      </w:pPr>
    </w:p>
    <w:p w14:paraId="281A709D" w14:textId="77777777" w:rsidR="004647B9" w:rsidRPr="008E16EF" w:rsidRDefault="00E2436F" w:rsidP="008E16EF">
      <w:pPr>
        <w:tabs>
          <w:tab w:val="left" w:pos="760"/>
        </w:tabs>
        <w:rPr>
          <w:sz w:val="24"/>
          <w:szCs w:val="24"/>
        </w:rPr>
      </w:pPr>
      <w:r w:rsidRPr="008E16EF">
        <w:rPr>
          <w:rFonts w:eastAsia="Times New Roman"/>
          <w:sz w:val="24"/>
          <w:szCs w:val="24"/>
        </w:rPr>
        <w:t>22.22:</w:t>
      </w:r>
      <w:r w:rsidRPr="008E16EF">
        <w:rPr>
          <w:rFonts w:eastAsia="Times New Roman"/>
          <w:sz w:val="24"/>
          <w:szCs w:val="24"/>
        </w:rPr>
        <w:tab/>
        <w:t>continued</w:t>
      </w:r>
    </w:p>
    <w:p w14:paraId="281A709E" w14:textId="77777777" w:rsidR="004647B9" w:rsidRPr="0017245F" w:rsidRDefault="004647B9" w:rsidP="008E16EF">
      <w:pPr>
        <w:rPr>
          <w:sz w:val="20"/>
          <w:szCs w:val="20"/>
        </w:rPr>
      </w:pPr>
    </w:p>
    <w:p w14:paraId="281A709F" w14:textId="77777777" w:rsidR="004647B9" w:rsidRPr="008E16EF" w:rsidRDefault="00E2436F" w:rsidP="00563A54">
      <w:pPr>
        <w:numPr>
          <w:ilvl w:val="1"/>
          <w:numId w:val="847"/>
        </w:numPr>
        <w:tabs>
          <w:tab w:val="left" w:pos="2057"/>
        </w:tabs>
        <w:ind w:left="1620" w:hanging="5"/>
        <w:jc w:val="both"/>
        <w:rPr>
          <w:rFonts w:eastAsia="Times New Roman"/>
          <w:sz w:val="24"/>
          <w:szCs w:val="24"/>
        </w:rPr>
      </w:pPr>
      <w:r w:rsidRPr="008E16EF">
        <w:rPr>
          <w:rFonts w:eastAsia="Times New Roman"/>
          <w:sz w:val="24"/>
          <w:szCs w:val="24"/>
        </w:rPr>
        <w:t>Where a water connection is not subject to back pressure, a non-pressure type vacuum breaker shall be installed on the discharge side of the last valve on the line serving the fixture or equipment,</w:t>
      </w:r>
    </w:p>
    <w:p w14:paraId="281A70A1" w14:textId="77777777" w:rsidR="004647B9" w:rsidRPr="008E16EF" w:rsidRDefault="00E2436F" w:rsidP="00563A54">
      <w:pPr>
        <w:numPr>
          <w:ilvl w:val="1"/>
          <w:numId w:val="847"/>
        </w:numPr>
        <w:tabs>
          <w:tab w:val="left" w:pos="2095"/>
        </w:tabs>
        <w:ind w:left="1620" w:hanging="5"/>
        <w:rPr>
          <w:rFonts w:eastAsia="Times New Roman"/>
          <w:sz w:val="24"/>
          <w:szCs w:val="24"/>
        </w:rPr>
      </w:pPr>
      <w:r w:rsidRPr="008E16EF">
        <w:rPr>
          <w:rFonts w:eastAsia="Times New Roman"/>
          <w:sz w:val="24"/>
          <w:szCs w:val="24"/>
        </w:rPr>
        <w:t>Cross connections maintained or created on fire protection system shall comply with 310 CMR 22.22(9)(d).</w:t>
      </w:r>
    </w:p>
    <w:p w14:paraId="281A70A2" w14:textId="77777777" w:rsidR="004647B9" w:rsidRPr="008E16EF" w:rsidRDefault="00E2436F" w:rsidP="00563A54">
      <w:pPr>
        <w:numPr>
          <w:ilvl w:val="1"/>
          <w:numId w:val="847"/>
        </w:numPr>
        <w:tabs>
          <w:tab w:val="left" w:pos="2078"/>
        </w:tabs>
        <w:ind w:left="1620" w:hanging="5"/>
        <w:jc w:val="both"/>
        <w:rPr>
          <w:rFonts w:eastAsia="Times New Roman"/>
          <w:sz w:val="24"/>
          <w:szCs w:val="24"/>
        </w:rPr>
      </w:pPr>
      <w:r w:rsidRPr="008E16EF">
        <w:rPr>
          <w:rFonts w:eastAsia="Times New Roman"/>
          <w:sz w:val="24"/>
          <w:szCs w:val="24"/>
        </w:rPr>
        <w:t>All cross connection requiring the installation of a double check valve assembly or a reduced pressure backflow preventer shall be approved and registered by the public water system.</w:t>
      </w:r>
    </w:p>
    <w:p w14:paraId="281A70A4" w14:textId="77777777" w:rsidR="004647B9" w:rsidRPr="008E16EF" w:rsidRDefault="00E2436F" w:rsidP="00563A54">
      <w:pPr>
        <w:numPr>
          <w:ilvl w:val="1"/>
          <w:numId w:val="847"/>
        </w:numPr>
        <w:tabs>
          <w:tab w:val="left" w:pos="2021"/>
        </w:tabs>
        <w:ind w:left="1620" w:hanging="5"/>
        <w:jc w:val="both"/>
        <w:rPr>
          <w:rFonts w:eastAsia="Times New Roman"/>
          <w:sz w:val="24"/>
          <w:szCs w:val="24"/>
        </w:rPr>
      </w:pPr>
      <w:r w:rsidRPr="008E16EF">
        <w:rPr>
          <w:rFonts w:eastAsia="Times New Roman"/>
          <w:sz w:val="24"/>
          <w:szCs w:val="24"/>
        </w:rPr>
        <w:t xml:space="preserve">Cross connections protected by a device other than a double check valve assembly or a reduced pressure backflow preventer, approved and permitted by the inspector of plumbing in accordance with 248 CMR 10.00: </w:t>
      </w:r>
      <w:r w:rsidRPr="008E16EF">
        <w:rPr>
          <w:rFonts w:eastAsia="Times New Roman"/>
          <w:i/>
          <w:iCs/>
          <w:sz w:val="24"/>
          <w:szCs w:val="24"/>
        </w:rPr>
        <w:t>Uniform State Plumbing Code</w:t>
      </w:r>
      <w:r w:rsidRPr="008E16EF">
        <w:rPr>
          <w:rFonts w:eastAsia="Times New Roman"/>
          <w:sz w:val="24"/>
          <w:szCs w:val="24"/>
        </w:rPr>
        <w:t xml:space="preserve"> do not require the approval of the Department, its designee or the public water system.</w:t>
      </w:r>
    </w:p>
    <w:p w14:paraId="281A70A5" w14:textId="77777777" w:rsidR="004647B9" w:rsidRPr="008E16EF" w:rsidRDefault="00E2436F" w:rsidP="00563A54">
      <w:pPr>
        <w:numPr>
          <w:ilvl w:val="1"/>
          <w:numId w:val="847"/>
        </w:numPr>
        <w:tabs>
          <w:tab w:val="left" w:pos="2085"/>
        </w:tabs>
        <w:ind w:left="1620" w:hanging="5"/>
        <w:jc w:val="both"/>
        <w:rPr>
          <w:rFonts w:eastAsia="Times New Roman"/>
          <w:sz w:val="24"/>
          <w:szCs w:val="24"/>
        </w:rPr>
      </w:pPr>
      <w:r w:rsidRPr="008E16EF">
        <w:rPr>
          <w:rFonts w:eastAsia="Times New Roman"/>
          <w:sz w:val="24"/>
          <w:szCs w:val="24"/>
        </w:rPr>
        <w:t xml:space="preserve">Except for the installation of backflow prevention devices on fire protection systems, no double check valve assembly or reduced pressure backflow preventors shall be installed on a cross connection until the application for a plumbing permit is accompanied by a letter of approval from the Department, its designee or public water system pursuant to 248 CMR 10.14: </w:t>
      </w:r>
      <w:r w:rsidRPr="008E16EF">
        <w:rPr>
          <w:rFonts w:eastAsia="Times New Roman"/>
          <w:i/>
          <w:iCs/>
          <w:sz w:val="24"/>
          <w:szCs w:val="24"/>
        </w:rPr>
        <w:t>Water Supply and the Water Distribution System</w:t>
      </w:r>
      <w:r w:rsidRPr="008E16EF">
        <w:rPr>
          <w:rFonts w:eastAsia="Times New Roman"/>
          <w:sz w:val="24"/>
          <w:szCs w:val="24"/>
        </w:rPr>
        <w:t>.</w:t>
      </w:r>
    </w:p>
    <w:p w14:paraId="281A70A7" w14:textId="77777777" w:rsidR="004647B9" w:rsidRPr="008E16EF" w:rsidRDefault="00E2436F" w:rsidP="00563A54">
      <w:pPr>
        <w:numPr>
          <w:ilvl w:val="1"/>
          <w:numId w:val="847"/>
        </w:numPr>
        <w:tabs>
          <w:tab w:val="left" w:pos="2023"/>
        </w:tabs>
        <w:ind w:left="1620" w:hanging="5"/>
        <w:jc w:val="both"/>
        <w:rPr>
          <w:rFonts w:eastAsia="Times New Roman"/>
          <w:sz w:val="24"/>
          <w:szCs w:val="24"/>
        </w:rPr>
      </w:pPr>
      <w:r w:rsidRPr="008E16EF">
        <w:rPr>
          <w:rFonts w:eastAsia="Times New Roman"/>
          <w:sz w:val="24"/>
          <w:szCs w:val="24"/>
        </w:rPr>
        <w:t>Subject to applicable laws and regulations, public water systems shall have the authority to terminate any water service connection to any facility where cross connections are found to be in non-compliance with 310 CMR 22.22. The supplier shall deny water service to any premises where cross connections exist until corrective action is taken. If necessary, water service shall be disconnected for failure to test or maintain backflow prevention devices in a manner acceptable to the supplier. If it is found that the backflow prevention device has been removed or by-passed or otherwise rendered ineffective, water service shall be discontinued unless corrections are made immediately.</w:t>
      </w:r>
    </w:p>
    <w:p w14:paraId="281A70A9" w14:textId="77777777" w:rsidR="004647B9" w:rsidRPr="008E16EF" w:rsidRDefault="00E2436F" w:rsidP="00563A54">
      <w:pPr>
        <w:numPr>
          <w:ilvl w:val="1"/>
          <w:numId w:val="847"/>
        </w:numPr>
        <w:tabs>
          <w:tab w:val="left" w:pos="1897"/>
        </w:tabs>
        <w:ind w:left="1620" w:hanging="5"/>
        <w:jc w:val="both"/>
        <w:rPr>
          <w:rFonts w:eastAsia="Times New Roman"/>
          <w:sz w:val="24"/>
          <w:szCs w:val="24"/>
        </w:rPr>
      </w:pPr>
      <w:r w:rsidRPr="008E16EF">
        <w:rPr>
          <w:rFonts w:eastAsia="Times New Roman"/>
          <w:sz w:val="24"/>
          <w:szCs w:val="24"/>
        </w:rPr>
        <w:t>The public water system shall establish a time for completion of necessary corrections or removal of actual or potential cross connections, taking into consideration the degree of hazard involved and the time required to obtain and to install the needed equipment. The public water system shall use every means at its disposal to obtain voluntary compliance. However, if proper protection has not been provided after a reasonable period of time (following legal notification and subject to applicable laws and regulations), the public water system shall physically separate the public water supply from the on-site piping system in such a manner that the two systems cannot again be connected by an unauthorized person.</w:t>
      </w:r>
    </w:p>
    <w:p w14:paraId="281A70AB" w14:textId="77777777" w:rsidR="004647B9" w:rsidRPr="008E16EF" w:rsidRDefault="00E2436F" w:rsidP="00563A54">
      <w:pPr>
        <w:numPr>
          <w:ilvl w:val="1"/>
          <w:numId w:val="847"/>
        </w:numPr>
        <w:tabs>
          <w:tab w:val="left" w:pos="1997"/>
        </w:tabs>
        <w:ind w:left="1620" w:hanging="5"/>
        <w:jc w:val="both"/>
        <w:rPr>
          <w:rFonts w:eastAsia="Times New Roman"/>
          <w:sz w:val="24"/>
          <w:szCs w:val="24"/>
        </w:rPr>
      </w:pPr>
      <w:r w:rsidRPr="008E16EF">
        <w:rPr>
          <w:rFonts w:eastAsia="Times New Roman"/>
          <w:sz w:val="24"/>
          <w:szCs w:val="24"/>
        </w:rPr>
        <w:t>Cross connections between a public water system and a private well or individual water source serving residential dwellings used for potable or nonpotable purposes are prohibited.</w:t>
      </w:r>
    </w:p>
    <w:p w14:paraId="281A70AD" w14:textId="77777777" w:rsidR="004647B9" w:rsidRPr="008E16EF" w:rsidRDefault="00E2436F" w:rsidP="00563A54">
      <w:pPr>
        <w:numPr>
          <w:ilvl w:val="1"/>
          <w:numId w:val="847"/>
        </w:numPr>
        <w:tabs>
          <w:tab w:val="left" w:pos="2131"/>
        </w:tabs>
        <w:ind w:left="1620" w:hanging="5"/>
        <w:jc w:val="both"/>
        <w:rPr>
          <w:rFonts w:eastAsia="Times New Roman"/>
          <w:sz w:val="24"/>
          <w:szCs w:val="24"/>
        </w:rPr>
      </w:pPr>
      <w:r w:rsidRPr="008E16EF">
        <w:rPr>
          <w:rFonts w:eastAsia="Times New Roman"/>
          <w:sz w:val="24"/>
          <w:szCs w:val="24"/>
        </w:rPr>
        <w:t>All backflow prevention devices shall be installed and repaired by a Massachusetts licensed plumber, except for backflow prevention devices installed on fire protection systems. A Massachusetts licensed fire sprinkler contractor is responsible for all work conducted on a fire protection system, including the installation, maintenance and repair of backflow prevention devices.</w:t>
      </w:r>
    </w:p>
    <w:p w14:paraId="281A70AF" w14:textId="77777777" w:rsidR="004647B9" w:rsidRPr="008E16EF" w:rsidRDefault="00E2436F" w:rsidP="00563A54">
      <w:pPr>
        <w:numPr>
          <w:ilvl w:val="1"/>
          <w:numId w:val="847"/>
        </w:numPr>
        <w:tabs>
          <w:tab w:val="left" w:pos="2034"/>
        </w:tabs>
        <w:ind w:left="1620" w:hanging="5"/>
        <w:rPr>
          <w:rFonts w:eastAsia="Times New Roman"/>
          <w:sz w:val="24"/>
          <w:szCs w:val="24"/>
        </w:rPr>
      </w:pPr>
      <w:r w:rsidRPr="008E16EF">
        <w:rPr>
          <w:rFonts w:eastAsia="Times New Roman"/>
          <w:sz w:val="24"/>
          <w:szCs w:val="24"/>
        </w:rPr>
        <w:t>An anti-siphon or back pressure device shall be installed on any apparatus that pumps any chemical into a potable water supply to prevent back siphonage.</w:t>
      </w:r>
    </w:p>
    <w:p w14:paraId="281A70B0" w14:textId="77777777" w:rsidR="004647B9" w:rsidRPr="008E16EF" w:rsidRDefault="004647B9" w:rsidP="000306FB">
      <w:pPr>
        <w:rPr>
          <w:rFonts w:eastAsia="Times New Roman"/>
          <w:sz w:val="24"/>
          <w:szCs w:val="24"/>
        </w:rPr>
      </w:pPr>
    </w:p>
    <w:p w14:paraId="281A70B1" w14:textId="77777777" w:rsidR="004647B9" w:rsidRPr="008E16EF" w:rsidRDefault="00E2436F" w:rsidP="00563A54">
      <w:pPr>
        <w:numPr>
          <w:ilvl w:val="0"/>
          <w:numId w:val="848"/>
        </w:numPr>
        <w:tabs>
          <w:tab w:val="left" w:pos="1700"/>
        </w:tabs>
        <w:ind w:left="1700" w:hanging="440"/>
        <w:rPr>
          <w:rFonts w:eastAsia="Times New Roman"/>
          <w:sz w:val="24"/>
          <w:szCs w:val="24"/>
        </w:rPr>
      </w:pPr>
      <w:r w:rsidRPr="008E16EF">
        <w:rPr>
          <w:rFonts w:eastAsia="Times New Roman"/>
          <w:sz w:val="24"/>
          <w:szCs w:val="24"/>
          <w:u w:val="single"/>
        </w:rPr>
        <w:t>Public Water System Responsibilities</w:t>
      </w:r>
      <w:r w:rsidRPr="008E16EF">
        <w:rPr>
          <w:rFonts w:eastAsia="Times New Roman"/>
          <w:sz w:val="24"/>
          <w:szCs w:val="24"/>
        </w:rPr>
        <w:t>. Every public water system shall be responsible for:</w:t>
      </w:r>
    </w:p>
    <w:p w14:paraId="281A70B3" w14:textId="77777777" w:rsidR="004647B9" w:rsidRPr="008E16EF" w:rsidRDefault="00E2436F" w:rsidP="00563A54">
      <w:pPr>
        <w:numPr>
          <w:ilvl w:val="1"/>
          <w:numId w:val="848"/>
        </w:numPr>
        <w:tabs>
          <w:tab w:val="left" w:pos="2028"/>
        </w:tabs>
        <w:ind w:left="1620" w:hanging="5"/>
        <w:rPr>
          <w:rFonts w:eastAsia="Times New Roman"/>
          <w:sz w:val="24"/>
          <w:szCs w:val="24"/>
        </w:rPr>
      </w:pPr>
      <w:r w:rsidRPr="008E16EF">
        <w:rPr>
          <w:rFonts w:eastAsia="Times New Roman"/>
          <w:sz w:val="24"/>
          <w:szCs w:val="24"/>
        </w:rPr>
        <w:t>Controlling cross connections to the last free flowing outlet of the consumer and for the safety of the public water system under its jurisdiction.</w:t>
      </w:r>
    </w:p>
    <w:p w14:paraId="281A70B4" w14:textId="77777777" w:rsidR="004647B9" w:rsidRPr="008E16EF" w:rsidRDefault="00E2436F" w:rsidP="00563A54">
      <w:pPr>
        <w:numPr>
          <w:ilvl w:val="1"/>
          <w:numId w:val="848"/>
        </w:numPr>
        <w:tabs>
          <w:tab w:val="left" w:pos="2130"/>
        </w:tabs>
        <w:ind w:left="1620" w:hanging="5"/>
        <w:jc w:val="both"/>
        <w:rPr>
          <w:rFonts w:eastAsia="Times New Roman"/>
          <w:sz w:val="24"/>
          <w:szCs w:val="24"/>
        </w:rPr>
      </w:pPr>
      <w:r w:rsidRPr="008E16EF">
        <w:rPr>
          <w:rFonts w:eastAsia="Times New Roman"/>
          <w:sz w:val="24"/>
          <w:szCs w:val="24"/>
        </w:rPr>
        <w:t>Having a cross connection control distribution system protection program plan (the "cross connection program plan") approved by the Department as specified at 310 CMR 22.22(3)(b).</w:t>
      </w:r>
    </w:p>
    <w:p w14:paraId="281A70B6" w14:textId="77777777" w:rsidR="004647B9" w:rsidRPr="008E16EF" w:rsidRDefault="00E2436F" w:rsidP="00563A54">
      <w:pPr>
        <w:numPr>
          <w:ilvl w:val="2"/>
          <w:numId w:val="848"/>
        </w:numPr>
        <w:tabs>
          <w:tab w:val="left" w:pos="2491"/>
        </w:tabs>
        <w:ind w:left="1980" w:hanging="5"/>
        <w:rPr>
          <w:rFonts w:eastAsia="Times New Roman"/>
          <w:sz w:val="24"/>
          <w:szCs w:val="24"/>
        </w:rPr>
      </w:pPr>
      <w:r w:rsidRPr="008E16EF">
        <w:rPr>
          <w:rFonts w:eastAsia="Times New Roman"/>
          <w:sz w:val="24"/>
          <w:szCs w:val="24"/>
        </w:rPr>
        <w:t>Every public water system is required to have its cross connection program plan approved by the Department by June 1, 1994.</w:t>
      </w:r>
    </w:p>
    <w:p w14:paraId="281A70B7" w14:textId="77777777" w:rsidR="004647B9" w:rsidRPr="008E16EF" w:rsidRDefault="00E2436F" w:rsidP="00563A54">
      <w:pPr>
        <w:numPr>
          <w:ilvl w:val="2"/>
          <w:numId w:val="848"/>
        </w:numPr>
        <w:tabs>
          <w:tab w:val="left" w:pos="2390"/>
        </w:tabs>
        <w:ind w:left="1980" w:hanging="5"/>
        <w:jc w:val="both"/>
        <w:rPr>
          <w:rFonts w:eastAsia="Times New Roman"/>
          <w:sz w:val="24"/>
          <w:szCs w:val="24"/>
        </w:rPr>
      </w:pPr>
      <w:r w:rsidRPr="008E16EF">
        <w:rPr>
          <w:rFonts w:eastAsia="Times New Roman"/>
          <w:sz w:val="24"/>
          <w:szCs w:val="24"/>
        </w:rPr>
        <w:t>Each plan must be prepared in accordance with departmental guidance and shall include, at a minimum, the following information: description of current program (</w:t>
      </w:r>
      <w:r w:rsidRPr="008E16EF">
        <w:rPr>
          <w:rFonts w:eastAsia="Times New Roman"/>
          <w:i/>
          <w:iCs/>
          <w:sz w:val="24"/>
          <w:szCs w:val="24"/>
        </w:rPr>
        <w:t>i.e</w:t>
      </w:r>
      <w:r w:rsidRPr="008E16EF">
        <w:rPr>
          <w:rFonts w:eastAsia="Times New Roman"/>
          <w:sz w:val="24"/>
          <w:szCs w:val="24"/>
        </w:rPr>
        <w:t>. staffing, tracking, surveying, testing, training and fee requirements) and evaluation of the current program, proposed changes and implementation plans. The plan shall also include an explanation of how the public water system will satisfy 310 CMR 22.22(3)(c) through (r).</w:t>
      </w:r>
    </w:p>
    <w:p w14:paraId="281A70B8" w14:textId="77777777" w:rsidR="004647B9" w:rsidRDefault="004647B9">
      <w:pPr>
        <w:sectPr w:rsidR="004647B9" w:rsidSect="00EF630C">
          <w:pgSz w:w="12240" w:h="20180"/>
          <w:pgMar w:top="708" w:right="1440" w:bottom="1440" w:left="540" w:header="0" w:footer="0" w:gutter="0"/>
          <w:cols w:space="720"/>
        </w:sectPr>
      </w:pPr>
    </w:p>
    <w:p w14:paraId="281A70B9" w14:textId="77777777" w:rsidR="004647B9" w:rsidRDefault="00E2436F">
      <w:pPr>
        <w:tabs>
          <w:tab w:val="left" w:pos="160"/>
        </w:tabs>
        <w:ind w:right="-59"/>
        <w:jc w:val="center"/>
        <w:rPr>
          <w:sz w:val="20"/>
          <w:szCs w:val="20"/>
        </w:rPr>
      </w:pPr>
      <w:bookmarkStart w:id="325" w:name="page329"/>
      <w:bookmarkEnd w:id="32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0BA" w14:textId="77777777" w:rsidR="004647B9" w:rsidRPr="0017245F" w:rsidRDefault="004647B9" w:rsidP="000306FB">
      <w:pPr>
        <w:rPr>
          <w:sz w:val="20"/>
          <w:szCs w:val="20"/>
        </w:rPr>
      </w:pPr>
    </w:p>
    <w:p w14:paraId="281A70BB" w14:textId="77777777" w:rsidR="004647B9" w:rsidRPr="0017245F" w:rsidRDefault="004647B9" w:rsidP="000306FB">
      <w:pPr>
        <w:rPr>
          <w:sz w:val="20"/>
          <w:szCs w:val="20"/>
        </w:rPr>
      </w:pPr>
    </w:p>
    <w:p w14:paraId="281A70BC" w14:textId="77777777" w:rsidR="004647B9" w:rsidRPr="000306FB" w:rsidRDefault="00E2436F" w:rsidP="000306FB">
      <w:pPr>
        <w:tabs>
          <w:tab w:val="left" w:pos="760"/>
        </w:tabs>
        <w:rPr>
          <w:sz w:val="24"/>
          <w:szCs w:val="24"/>
        </w:rPr>
      </w:pPr>
      <w:r w:rsidRPr="000306FB">
        <w:rPr>
          <w:rFonts w:eastAsia="Times New Roman"/>
          <w:sz w:val="24"/>
          <w:szCs w:val="24"/>
        </w:rPr>
        <w:t>22.22:</w:t>
      </w:r>
      <w:r w:rsidRPr="000306FB">
        <w:rPr>
          <w:rFonts w:eastAsia="Times New Roman"/>
          <w:sz w:val="24"/>
          <w:szCs w:val="24"/>
        </w:rPr>
        <w:tab/>
        <w:t>continued</w:t>
      </w:r>
    </w:p>
    <w:p w14:paraId="281A70BD" w14:textId="77777777" w:rsidR="004647B9" w:rsidRPr="0017245F" w:rsidRDefault="004647B9" w:rsidP="000306FB">
      <w:pPr>
        <w:rPr>
          <w:sz w:val="20"/>
          <w:szCs w:val="20"/>
        </w:rPr>
      </w:pPr>
    </w:p>
    <w:p w14:paraId="281A70BE" w14:textId="77777777" w:rsidR="004647B9" w:rsidRPr="000306FB" w:rsidRDefault="00E2436F" w:rsidP="00563A54">
      <w:pPr>
        <w:numPr>
          <w:ilvl w:val="1"/>
          <w:numId w:val="849"/>
        </w:numPr>
        <w:tabs>
          <w:tab w:val="left" w:pos="2345"/>
        </w:tabs>
        <w:ind w:left="1980" w:hanging="5"/>
        <w:jc w:val="both"/>
        <w:rPr>
          <w:rFonts w:eastAsia="Times New Roman"/>
          <w:sz w:val="24"/>
          <w:szCs w:val="24"/>
        </w:rPr>
      </w:pPr>
      <w:r w:rsidRPr="000306FB">
        <w:rPr>
          <w:rFonts w:eastAsia="Times New Roman"/>
          <w:sz w:val="24"/>
          <w:szCs w:val="24"/>
        </w:rPr>
        <w:t>The plan shall be fully implemented and operational by January 1, 1999. A public water system may use a contractor, subcontractor, or consultant to assist in the program implementation except as specified at 310 CMR 22.22(3)(r). However, every public water system shall continue to be responsible for compliance with 310 CMR 22.22 and subject to enforcement by the Department.</w:t>
      </w:r>
    </w:p>
    <w:p w14:paraId="281A70C0" w14:textId="77777777" w:rsidR="004647B9" w:rsidRPr="000306FB" w:rsidRDefault="00E2436F" w:rsidP="00563A54">
      <w:pPr>
        <w:numPr>
          <w:ilvl w:val="1"/>
          <w:numId w:val="849"/>
        </w:numPr>
        <w:tabs>
          <w:tab w:val="left" w:pos="2405"/>
        </w:tabs>
        <w:ind w:left="1980" w:hanging="5"/>
        <w:rPr>
          <w:rFonts w:eastAsia="Times New Roman"/>
          <w:sz w:val="24"/>
          <w:szCs w:val="24"/>
        </w:rPr>
      </w:pPr>
      <w:r w:rsidRPr="000306FB">
        <w:rPr>
          <w:rFonts w:eastAsia="Times New Roman"/>
          <w:sz w:val="24"/>
          <w:szCs w:val="24"/>
        </w:rPr>
        <w:t>The public water system shall obtain the Department’s written approval prior to modifying its approved cross connection plan.</w:t>
      </w:r>
    </w:p>
    <w:p w14:paraId="281A70C1" w14:textId="77777777" w:rsidR="004647B9" w:rsidRPr="000306FB" w:rsidRDefault="00E2436F" w:rsidP="00563A54">
      <w:pPr>
        <w:numPr>
          <w:ilvl w:val="0"/>
          <w:numId w:val="850"/>
        </w:numPr>
        <w:tabs>
          <w:tab w:val="left" w:pos="2014"/>
        </w:tabs>
        <w:ind w:left="1620" w:hanging="5"/>
        <w:jc w:val="both"/>
        <w:rPr>
          <w:rFonts w:eastAsia="Times New Roman"/>
          <w:sz w:val="24"/>
          <w:szCs w:val="24"/>
        </w:rPr>
      </w:pPr>
      <w:r w:rsidRPr="000306FB">
        <w:rPr>
          <w:rFonts w:eastAsia="Times New Roman"/>
          <w:sz w:val="24"/>
          <w:szCs w:val="24"/>
        </w:rPr>
        <w:t>Inspecting and surveying of all industrial, commercial, and institutional premises served by the public water system to determine if cross connections exist and that all cross connections are properly protected by an appropriate device or eliminated.</w:t>
      </w:r>
    </w:p>
    <w:p w14:paraId="281A70C3" w14:textId="77777777" w:rsidR="004647B9" w:rsidRPr="000306FB" w:rsidRDefault="00E2436F" w:rsidP="00563A54">
      <w:pPr>
        <w:numPr>
          <w:ilvl w:val="0"/>
          <w:numId w:val="850"/>
        </w:numPr>
        <w:tabs>
          <w:tab w:val="left" w:pos="2166"/>
        </w:tabs>
        <w:ind w:left="1620" w:hanging="5"/>
        <w:rPr>
          <w:rFonts w:eastAsia="Times New Roman"/>
          <w:sz w:val="24"/>
          <w:szCs w:val="24"/>
        </w:rPr>
      </w:pPr>
      <w:r w:rsidRPr="000306FB">
        <w:rPr>
          <w:rFonts w:eastAsia="Times New Roman"/>
          <w:sz w:val="24"/>
          <w:szCs w:val="24"/>
        </w:rPr>
        <w:t>Maintaining on the public water system premises in a readily accessible form the following documentation:</w:t>
      </w:r>
    </w:p>
    <w:p w14:paraId="281A70C4" w14:textId="77777777" w:rsidR="004647B9" w:rsidRPr="000306FB" w:rsidRDefault="00E2436F" w:rsidP="00563A54">
      <w:pPr>
        <w:numPr>
          <w:ilvl w:val="1"/>
          <w:numId w:val="850"/>
        </w:numPr>
        <w:tabs>
          <w:tab w:val="left" w:pos="2340"/>
        </w:tabs>
        <w:ind w:left="2340" w:hanging="365"/>
        <w:rPr>
          <w:rFonts w:eastAsia="Times New Roman"/>
          <w:sz w:val="24"/>
          <w:szCs w:val="24"/>
        </w:rPr>
      </w:pPr>
      <w:r w:rsidRPr="000306FB">
        <w:rPr>
          <w:rFonts w:eastAsia="Times New Roman"/>
          <w:sz w:val="24"/>
          <w:szCs w:val="24"/>
        </w:rPr>
        <w:t>a schedule of all facilities inspected and surveyed;</w:t>
      </w:r>
    </w:p>
    <w:p w14:paraId="281A70C6" w14:textId="77777777" w:rsidR="004647B9" w:rsidRPr="000306FB" w:rsidRDefault="00E2436F" w:rsidP="00563A54">
      <w:pPr>
        <w:numPr>
          <w:ilvl w:val="1"/>
          <w:numId w:val="850"/>
        </w:numPr>
        <w:tabs>
          <w:tab w:val="left" w:pos="2340"/>
        </w:tabs>
        <w:ind w:left="2340" w:hanging="365"/>
        <w:rPr>
          <w:rFonts w:eastAsia="Times New Roman"/>
          <w:sz w:val="24"/>
          <w:szCs w:val="24"/>
        </w:rPr>
      </w:pPr>
      <w:r w:rsidRPr="000306FB">
        <w:rPr>
          <w:rFonts w:eastAsia="Times New Roman"/>
          <w:sz w:val="24"/>
          <w:szCs w:val="24"/>
        </w:rPr>
        <w:t>records of all device locations;</w:t>
      </w:r>
    </w:p>
    <w:p w14:paraId="281A70C8" w14:textId="77777777" w:rsidR="004647B9" w:rsidRPr="000306FB" w:rsidRDefault="00E2436F" w:rsidP="00563A54">
      <w:pPr>
        <w:numPr>
          <w:ilvl w:val="1"/>
          <w:numId w:val="850"/>
        </w:numPr>
        <w:tabs>
          <w:tab w:val="left" w:pos="2340"/>
        </w:tabs>
        <w:ind w:left="2340" w:hanging="365"/>
        <w:rPr>
          <w:rFonts w:eastAsia="Times New Roman"/>
          <w:sz w:val="24"/>
          <w:szCs w:val="24"/>
        </w:rPr>
      </w:pPr>
      <w:r w:rsidRPr="000306FB">
        <w:rPr>
          <w:rFonts w:eastAsia="Times New Roman"/>
          <w:sz w:val="24"/>
          <w:szCs w:val="24"/>
        </w:rPr>
        <w:t>related correspondence, including notices of violation; and</w:t>
      </w:r>
    </w:p>
    <w:p w14:paraId="281A70CA" w14:textId="77777777" w:rsidR="004647B9" w:rsidRPr="000306FB" w:rsidRDefault="00E2436F" w:rsidP="00563A54">
      <w:pPr>
        <w:numPr>
          <w:ilvl w:val="1"/>
          <w:numId w:val="850"/>
        </w:numPr>
        <w:tabs>
          <w:tab w:val="left" w:pos="2340"/>
        </w:tabs>
        <w:ind w:left="2340" w:hanging="365"/>
        <w:rPr>
          <w:rFonts w:eastAsia="Times New Roman"/>
          <w:sz w:val="24"/>
          <w:szCs w:val="24"/>
        </w:rPr>
      </w:pPr>
      <w:r w:rsidRPr="000306FB">
        <w:rPr>
          <w:rFonts w:eastAsia="Times New Roman"/>
          <w:sz w:val="24"/>
          <w:szCs w:val="24"/>
        </w:rPr>
        <w:t>list of devices and inspections of approved backflow prevention devices.</w:t>
      </w:r>
    </w:p>
    <w:p w14:paraId="281A70CC" w14:textId="77777777" w:rsidR="004647B9" w:rsidRPr="000306FB" w:rsidRDefault="00E2436F" w:rsidP="00563A54">
      <w:pPr>
        <w:numPr>
          <w:ilvl w:val="0"/>
          <w:numId w:val="850"/>
        </w:numPr>
        <w:tabs>
          <w:tab w:val="left" w:pos="2273"/>
        </w:tabs>
        <w:ind w:left="1620" w:hanging="5"/>
        <w:jc w:val="both"/>
        <w:rPr>
          <w:rFonts w:eastAsia="Times New Roman"/>
          <w:sz w:val="24"/>
          <w:szCs w:val="24"/>
        </w:rPr>
      </w:pPr>
      <w:r w:rsidRPr="000306FB">
        <w:rPr>
          <w:rFonts w:eastAsia="Times New Roman"/>
          <w:sz w:val="24"/>
          <w:szCs w:val="24"/>
        </w:rPr>
        <w:t>Ensuring that all backflow prevention device inspections are conducted by a Massachusetts Certified Backflow Prevention Device Tester and surveys for cross connections are conducted by a person who is certified by the Department as a Massachusetts Certified Cross Connection Surveyor.</w:t>
      </w:r>
    </w:p>
    <w:p w14:paraId="281A70CD" w14:textId="77777777" w:rsidR="004647B9" w:rsidRPr="000306FB" w:rsidRDefault="00E2436F" w:rsidP="00563A54">
      <w:pPr>
        <w:numPr>
          <w:ilvl w:val="0"/>
          <w:numId w:val="850"/>
        </w:numPr>
        <w:tabs>
          <w:tab w:val="left" w:pos="2045"/>
        </w:tabs>
        <w:ind w:left="1620" w:hanging="5"/>
        <w:rPr>
          <w:rFonts w:eastAsia="Times New Roman"/>
          <w:sz w:val="24"/>
          <w:szCs w:val="24"/>
        </w:rPr>
      </w:pPr>
      <w:r w:rsidRPr="000306FB">
        <w:rPr>
          <w:rFonts w:eastAsia="Times New Roman"/>
          <w:sz w:val="24"/>
          <w:szCs w:val="24"/>
        </w:rPr>
        <w:t>Establishing and maintaining a cross connection control program for residential users which shall include an educational component.</w:t>
      </w:r>
    </w:p>
    <w:p w14:paraId="281A70CE" w14:textId="77777777" w:rsidR="004647B9" w:rsidRPr="000306FB" w:rsidRDefault="00E2436F" w:rsidP="00563A54">
      <w:pPr>
        <w:numPr>
          <w:ilvl w:val="0"/>
          <w:numId w:val="850"/>
        </w:numPr>
        <w:tabs>
          <w:tab w:val="left" w:pos="2136"/>
        </w:tabs>
        <w:ind w:left="1620" w:hanging="5"/>
        <w:jc w:val="both"/>
        <w:rPr>
          <w:rFonts w:eastAsia="Times New Roman"/>
          <w:sz w:val="24"/>
          <w:szCs w:val="24"/>
        </w:rPr>
      </w:pPr>
      <w:r w:rsidRPr="000306FB">
        <w:rPr>
          <w:rFonts w:eastAsia="Times New Roman"/>
          <w:sz w:val="24"/>
          <w:szCs w:val="24"/>
        </w:rPr>
        <w:t xml:space="preserve">Not allowing any cross connection at any point within its system unless said cross connection is approved pursuant to 310 CMR 22.22 or 248 CMR 10.00: </w:t>
      </w:r>
      <w:r w:rsidRPr="000306FB">
        <w:rPr>
          <w:rFonts w:eastAsia="Times New Roman"/>
          <w:i/>
          <w:iCs/>
          <w:sz w:val="24"/>
          <w:szCs w:val="24"/>
        </w:rPr>
        <w:t>Uniform State</w:t>
      </w:r>
      <w:r w:rsidRPr="000306FB">
        <w:rPr>
          <w:rFonts w:eastAsia="Times New Roman"/>
          <w:sz w:val="24"/>
          <w:szCs w:val="24"/>
        </w:rPr>
        <w:t xml:space="preserve"> </w:t>
      </w:r>
      <w:r w:rsidRPr="000306FB">
        <w:rPr>
          <w:rFonts w:eastAsia="Times New Roman"/>
          <w:i/>
          <w:iCs/>
          <w:sz w:val="24"/>
          <w:szCs w:val="24"/>
        </w:rPr>
        <w:t>Plumbing Code</w:t>
      </w:r>
      <w:r w:rsidRPr="000306FB">
        <w:rPr>
          <w:rFonts w:eastAsia="Times New Roman"/>
          <w:sz w:val="24"/>
          <w:szCs w:val="24"/>
        </w:rPr>
        <w:t>.</w:t>
      </w:r>
    </w:p>
    <w:p w14:paraId="281A70D0" w14:textId="77777777" w:rsidR="004647B9" w:rsidRPr="000306FB" w:rsidRDefault="00E2436F" w:rsidP="00563A54">
      <w:pPr>
        <w:numPr>
          <w:ilvl w:val="0"/>
          <w:numId w:val="850"/>
        </w:numPr>
        <w:tabs>
          <w:tab w:val="left" w:pos="2209"/>
        </w:tabs>
        <w:ind w:left="1620" w:hanging="5"/>
        <w:jc w:val="both"/>
        <w:rPr>
          <w:rFonts w:eastAsia="Times New Roman"/>
          <w:sz w:val="24"/>
          <w:szCs w:val="24"/>
        </w:rPr>
      </w:pPr>
      <w:r w:rsidRPr="000306FB">
        <w:rPr>
          <w:rFonts w:eastAsia="Times New Roman"/>
          <w:sz w:val="24"/>
          <w:szCs w:val="24"/>
        </w:rPr>
        <w:t>Ensuring that all double check valve assemblies and reduced pressure backflow preventer devices are inspected and tested in accordance with the public water system program plan as approved by the Department and as specified at 310 CMR 22.22(13). The public water system has the option of testing the devices itself, having the device tested by the device owner, or having the testing conducted by a contractor.</w:t>
      </w:r>
    </w:p>
    <w:p w14:paraId="281A70D2" w14:textId="77777777" w:rsidR="004647B9" w:rsidRPr="000306FB" w:rsidRDefault="00E2436F" w:rsidP="00F81CA4">
      <w:pPr>
        <w:numPr>
          <w:ilvl w:val="0"/>
          <w:numId w:val="850"/>
        </w:numPr>
        <w:tabs>
          <w:tab w:val="left" w:pos="2000"/>
        </w:tabs>
        <w:ind w:left="1613"/>
        <w:rPr>
          <w:rFonts w:eastAsia="Times New Roman"/>
          <w:sz w:val="24"/>
          <w:szCs w:val="24"/>
        </w:rPr>
      </w:pPr>
      <w:r w:rsidRPr="000306FB">
        <w:rPr>
          <w:rFonts w:eastAsia="Times New Roman"/>
          <w:sz w:val="24"/>
          <w:szCs w:val="24"/>
        </w:rPr>
        <w:t>Establishing a program for auditing for devices not tested by public water system staff.</w:t>
      </w:r>
    </w:p>
    <w:p w14:paraId="281A70D4" w14:textId="77777777" w:rsidR="004647B9" w:rsidRPr="000306FB" w:rsidRDefault="00E2436F" w:rsidP="00563A54">
      <w:pPr>
        <w:numPr>
          <w:ilvl w:val="0"/>
          <w:numId w:val="850"/>
        </w:numPr>
        <w:tabs>
          <w:tab w:val="left" w:pos="1991"/>
        </w:tabs>
        <w:ind w:left="1620" w:hanging="5"/>
        <w:rPr>
          <w:rFonts w:eastAsia="Times New Roman"/>
          <w:sz w:val="24"/>
          <w:szCs w:val="24"/>
        </w:rPr>
      </w:pPr>
      <w:r w:rsidRPr="000306FB">
        <w:rPr>
          <w:rFonts w:eastAsia="Times New Roman"/>
          <w:sz w:val="24"/>
          <w:szCs w:val="24"/>
        </w:rPr>
        <w:t>Submitting a report to the Department annually on a form or in a format specified by the Department that shall include the following minimum information:</w:t>
      </w:r>
    </w:p>
    <w:p w14:paraId="281A70D5" w14:textId="77777777" w:rsidR="004647B9" w:rsidRPr="000306FB" w:rsidRDefault="00E2436F" w:rsidP="00563A54">
      <w:pPr>
        <w:numPr>
          <w:ilvl w:val="1"/>
          <w:numId w:val="850"/>
        </w:numPr>
        <w:tabs>
          <w:tab w:val="left" w:pos="2376"/>
        </w:tabs>
        <w:ind w:left="1980" w:hanging="5"/>
        <w:rPr>
          <w:rFonts w:eastAsia="Times New Roman"/>
          <w:sz w:val="24"/>
          <w:szCs w:val="24"/>
        </w:rPr>
      </w:pPr>
      <w:r w:rsidRPr="000306FB">
        <w:rPr>
          <w:rFonts w:eastAsia="Times New Roman"/>
          <w:sz w:val="24"/>
          <w:szCs w:val="24"/>
        </w:rPr>
        <w:t>a list of or information on all cross connections protected by an approved double check valve assembly or approved reduced pressure backflow preventer devices;</w:t>
      </w:r>
    </w:p>
    <w:p w14:paraId="281A70D6" w14:textId="77777777" w:rsidR="004647B9" w:rsidRPr="000306FB" w:rsidRDefault="00E2436F" w:rsidP="00563A54">
      <w:pPr>
        <w:numPr>
          <w:ilvl w:val="1"/>
          <w:numId w:val="850"/>
        </w:numPr>
        <w:tabs>
          <w:tab w:val="left" w:pos="2340"/>
        </w:tabs>
        <w:ind w:left="2340" w:hanging="365"/>
        <w:rPr>
          <w:rFonts w:eastAsia="Times New Roman"/>
          <w:sz w:val="24"/>
          <w:szCs w:val="24"/>
        </w:rPr>
      </w:pPr>
      <w:r w:rsidRPr="000306FB">
        <w:rPr>
          <w:rFonts w:eastAsia="Times New Roman"/>
          <w:sz w:val="24"/>
          <w:szCs w:val="24"/>
        </w:rPr>
        <w:t>the numbers and types of facilities surveyed yearly; and</w:t>
      </w:r>
    </w:p>
    <w:p w14:paraId="281A70D8" w14:textId="77777777" w:rsidR="004647B9" w:rsidRPr="000306FB" w:rsidRDefault="00E2436F" w:rsidP="00563A54">
      <w:pPr>
        <w:numPr>
          <w:ilvl w:val="1"/>
          <w:numId w:val="850"/>
        </w:numPr>
        <w:tabs>
          <w:tab w:val="left" w:pos="2340"/>
        </w:tabs>
        <w:ind w:left="2340" w:hanging="365"/>
        <w:rPr>
          <w:rFonts w:eastAsia="Times New Roman"/>
          <w:sz w:val="24"/>
          <w:szCs w:val="24"/>
        </w:rPr>
      </w:pPr>
      <w:r w:rsidRPr="000306FB">
        <w:rPr>
          <w:rFonts w:eastAsia="Times New Roman"/>
          <w:sz w:val="24"/>
          <w:szCs w:val="24"/>
        </w:rPr>
        <w:t>the number type and location of violations found.</w:t>
      </w:r>
    </w:p>
    <w:p w14:paraId="281A70DA" w14:textId="77777777" w:rsidR="004647B9" w:rsidRPr="000306FB" w:rsidRDefault="00E2436F" w:rsidP="00563A54">
      <w:pPr>
        <w:numPr>
          <w:ilvl w:val="0"/>
          <w:numId w:val="850"/>
        </w:numPr>
        <w:tabs>
          <w:tab w:val="left" w:pos="2217"/>
        </w:tabs>
        <w:ind w:left="1620" w:hanging="5"/>
        <w:rPr>
          <w:rFonts w:eastAsia="Times New Roman"/>
          <w:sz w:val="24"/>
          <w:szCs w:val="24"/>
        </w:rPr>
      </w:pPr>
      <w:r w:rsidRPr="000306FB">
        <w:rPr>
          <w:rFonts w:eastAsia="Times New Roman"/>
          <w:sz w:val="24"/>
          <w:szCs w:val="24"/>
        </w:rPr>
        <w:t>Assisting Department personnel in any cross connection related inspections and backflow device installations;</w:t>
      </w:r>
    </w:p>
    <w:p w14:paraId="281A70DB" w14:textId="77777777" w:rsidR="004647B9" w:rsidRPr="000306FB" w:rsidRDefault="00E2436F" w:rsidP="00563A54">
      <w:pPr>
        <w:numPr>
          <w:ilvl w:val="0"/>
          <w:numId w:val="850"/>
        </w:numPr>
        <w:tabs>
          <w:tab w:val="left" w:pos="2071"/>
        </w:tabs>
        <w:ind w:left="1620" w:hanging="5"/>
        <w:jc w:val="both"/>
        <w:rPr>
          <w:rFonts w:eastAsia="Times New Roman"/>
          <w:sz w:val="24"/>
          <w:szCs w:val="24"/>
        </w:rPr>
      </w:pPr>
      <w:r w:rsidRPr="000306FB">
        <w:rPr>
          <w:rFonts w:eastAsia="Times New Roman"/>
          <w:sz w:val="24"/>
          <w:szCs w:val="24"/>
        </w:rPr>
        <w:t>Taking appropriate action to eliminate cross connections and hazardous conditions, strongly promote compliance, and take the appropriate enforcement action when necessary;</w:t>
      </w:r>
    </w:p>
    <w:p w14:paraId="281A70DD" w14:textId="77777777" w:rsidR="004647B9" w:rsidRPr="000306FB" w:rsidRDefault="00E2436F" w:rsidP="00563A54">
      <w:pPr>
        <w:numPr>
          <w:ilvl w:val="0"/>
          <w:numId w:val="850"/>
        </w:numPr>
        <w:tabs>
          <w:tab w:val="left" w:pos="2125"/>
        </w:tabs>
        <w:ind w:left="1620" w:hanging="5"/>
        <w:rPr>
          <w:rFonts w:eastAsia="Times New Roman"/>
          <w:sz w:val="24"/>
          <w:szCs w:val="24"/>
        </w:rPr>
      </w:pPr>
      <w:r w:rsidRPr="000306FB">
        <w:rPr>
          <w:rFonts w:eastAsia="Times New Roman"/>
          <w:sz w:val="24"/>
          <w:szCs w:val="24"/>
        </w:rPr>
        <w:t>Notifying the cross connection owner of any violations of 310 CMR 22.22 by sending a Notice of Violation to owner;</w:t>
      </w:r>
    </w:p>
    <w:p w14:paraId="281A70DE" w14:textId="77777777" w:rsidR="004647B9" w:rsidRPr="000306FB" w:rsidRDefault="00E2436F" w:rsidP="00563A54">
      <w:pPr>
        <w:numPr>
          <w:ilvl w:val="0"/>
          <w:numId w:val="850"/>
        </w:numPr>
        <w:tabs>
          <w:tab w:val="left" w:pos="2022"/>
        </w:tabs>
        <w:ind w:left="1620" w:hanging="5"/>
        <w:rPr>
          <w:rFonts w:eastAsia="Times New Roman"/>
          <w:sz w:val="24"/>
          <w:szCs w:val="24"/>
        </w:rPr>
      </w:pPr>
      <w:r w:rsidRPr="000306FB">
        <w:rPr>
          <w:rFonts w:eastAsia="Times New Roman"/>
          <w:sz w:val="24"/>
          <w:szCs w:val="24"/>
        </w:rPr>
        <w:t>Notifying all device owners of their responsibilities relative to cross connections control and 310 CMR 22.00.</w:t>
      </w:r>
    </w:p>
    <w:p w14:paraId="281A70DF" w14:textId="77777777" w:rsidR="004647B9" w:rsidRPr="000306FB" w:rsidRDefault="00E2436F" w:rsidP="00563A54">
      <w:pPr>
        <w:numPr>
          <w:ilvl w:val="0"/>
          <w:numId w:val="850"/>
        </w:numPr>
        <w:tabs>
          <w:tab w:val="left" w:pos="2037"/>
        </w:tabs>
        <w:ind w:left="1620" w:hanging="5"/>
        <w:jc w:val="both"/>
        <w:rPr>
          <w:rFonts w:eastAsia="Times New Roman"/>
          <w:sz w:val="24"/>
          <w:szCs w:val="24"/>
        </w:rPr>
      </w:pPr>
      <w:r w:rsidRPr="000306FB">
        <w:rPr>
          <w:rFonts w:eastAsia="Times New Roman"/>
          <w:sz w:val="24"/>
          <w:szCs w:val="24"/>
        </w:rPr>
        <w:t>Annually notify consumers of water and local public officials of the requirements of the distribution system cross connection control program, including Mayors, Town Managers, city and town councilors or selectmen, water commissioners, fire chiefs, local boards of health, plumbing inspectors, building inspectors, local state representatives, unless waived in writing by the Department.</w:t>
      </w:r>
    </w:p>
    <w:p w14:paraId="281A70E1" w14:textId="77777777" w:rsidR="004647B9" w:rsidRPr="000306FB" w:rsidRDefault="00E2436F" w:rsidP="00563A54">
      <w:pPr>
        <w:numPr>
          <w:ilvl w:val="0"/>
          <w:numId w:val="850"/>
        </w:numPr>
        <w:tabs>
          <w:tab w:val="left" w:pos="2080"/>
        </w:tabs>
        <w:ind w:left="1620" w:hanging="5"/>
        <w:jc w:val="both"/>
        <w:rPr>
          <w:rFonts w:eastAsia="Times New Roman"/>
          <w:sz w:val="24"/>
          <w:szCs w:val="24"/>
        </w:rPr>
      </w:pPr>
      <w:r w:rsidRPr="000306FB">
        <w:rPr>
          <w:rFonts w:eastAsia="Times New Roman"/>
          <w:sz w:val="24"/>
          <w:szCs w:val="24"/>
        </w:rPr>
        <w:t>Generating all necessary correspondence relative to the administration and operations of the cross connection control program. The public water system will be responsible for all correspondence to device owners. All correspondence relating to the cross connection control program must be signed by the public water system.</w:t>
      </w:r>
    </w:p>
    <w:p w14:paraId="281A70E2" w14:textId="77777777" w:rsidR="004647B9" w:rsidRDefault="004647B9">
      <w:pPr>
        <w:sectPr w:rsidR="004647B9" w:rsidSect="00EF630C">
          <w:pgSz w:w="12240" w:h="20180"/>
          <w:pgMar w:top="708" w:right="1440" w:bottom="1440" w:left="540" w:header="0" w:footer="0" w:gutter="0"/>
          <w:cols w:space="720"/>
        </w:sectPr>
      </w:pPr>
    </w:p>
    <w:p w14:paraId="281A70E3" w14:textId="77777777" w:rsidR="004647B9" w:rsidRDefault="00E2436F">
      <w:pPr>
        <w:tabs>
          <w:tab w:val="left" w:pos="160"/>
        </w:tabs>
        <w:ind w:right="-59"/>
        <w:jc w:val="center"/>
        <w:rPr>
          <w:sz w:val="20"/>
          <w:szCs w:val="20"/>
        </w:rPr>
      </w:pPr>
      <w:bookmarkStart w:id="326" w:name="page330"/>
      <w:bookmarkEnd w:id="32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0E4" w14:textId="77777777" w:rsidR="004647B9" w:rsidRPr="00754414" w:rsidRDefault="004647B9" w:rsidP="000306FB">
      <w:pPr>
        <w:rPr>
          <w:sz w:val="20"/>
          <w:szCs w:val="20"/>
        </w:rPr>
      </w:pPr>
    </w:p>
    <w:p w14:paraId="281A70E5" w14:textId="77777777" w:rsidR="004647B9" w:rsidRPr="00754414" w:rsidRDefault="004647B9" w:rsidP="000306FB">
      <w:pPr>
        <w:rPr>
          <w:sz w:val="20"/>
          <w:szCs w:val="20"/>
        </w:rPr>
      </w:pPr>
    </w:p>
    <w:p w14:paraId="281A70E6" w14:textId="77777777" w:rsidR="004647B9" w:rsidRPr="000306FB" w:rsidRDefault="00E2436F" w:rsidP="000306FB">
      <w:pPr>
        <w:tabs>
          <w:tab w:val="left" w:pos="760"/>
        </w:tabs>
        <w:rPr>
          <w:sz w:val="24"/>
          <w:szCs w:val="24"/>
        </w:rPr>
      </w:pPr>
      <w:r w:rsidRPr="000306FB">
        <w:rPr>
          <w:rFonts w:eastAsia="Times New Roman"/>
          <w:sz w:val="24"/>
          <w:szCs w:val="24"/>
        </w:rPr>
        <w:t>22.22:</w:t>
      </w:r>
      <w:r w:rsidRPr="000306FB">
        <w:rPr>
          <w:rFonts w:eastAsia="Times New Roman"/>
          <w:sz w:val="24"/>
          <w:szCs w:val="24"/>
        </w:rPr>
        <w:tab/>
        <w:t>continued</w:t>
      </w:r>
    </w:p>
    <w:p w14:paraId="281A70E7" w14:textId="77777777" w:rsidR="004647B9" w:rsidRPr="00754414" w:rsidRDefault="004647B9" w:rsidP="000306FB">
      <w:pPr>
        <w:rPr>
          <w:sz w:val="20"/>
          <w:szCs w:val="20"/>
        </w:rPr>
      </w:pPr>
    </w:p>
    <w:p w14:paraId="281A70E8" w14:textId="77777777" w:rsidR="004647B9" w:rsidRPr="000306FB" w:rsidRDefault="00E2436F" w:rsidP="00563A54">
      <w:pPr>
        <w:numPr>
          <w:ilvl w:val="1"/>
          <w:numId w:val="851"/>
        </w:numPr>
        <w:tabs>
          <w:tab w:val="left" w:pos="2076"/>
        </w:tabs>
        <w:ind w:left="1620" w:hanging="5"/>
        <w:jc w:val="both"/>
        <w:rPr>
          <w:rFonts w:eastAsia="Times New Roman"/>
          <w:sz w:val="24"/>
          <w:szCs w:val="24"/>
        </w:rPr>
      </w:pPr>
      <w:r w:rsidRPr="000306FB">
        <w:rPr>
          <w:rFonts w:eastAsia="Times New Roman"/>
          <w:sz w:val="24"/>
          <w:szCs w:val="24"/>
        </w:rPr>
        <w:t>Reviewing and approving design data sheets and plans for proposed new installations of reduced pressure backflow preventers, and double check valve assemblies. All design data sheets and plans shall be reviewed by a Massachusetts Certified Cross Connection Surveyor, effective January 1, 1999 as specified at 310 CMR 22.22(7)(a)4. The public water system may not delegate, or subdelegate, contract, or subcontract this responsibility to any other entity, unless otherwise authorized in writing by the Department. The Department will require that all recommendations or findings made by the contracted certified surveyor, when reviewing and approving data sheets and plans, be submitted on the public water system letterhead and signed by an authorized person of the public water system.</w:t>
      </w:r>
    </w:p>
    <w:p w14:paraId="281A70E9" w14:textId="77777777" w:rsidR="004647B9" w:rsidRPr="000306FB" w:rsidRDefault="00E2436F" w:rsidP="00563A54">
      <w:pPr>
        <w:numPr>
          <w:ilvl w:val="1"/>
          <w:numId w:val="851"/>
        </w:numPr>
        <w:tabs>
          <w:tab w:val="left" w:pos="1987"/>
        </w:tabs>
        <w:ind w:left="1620" w:hanging="5"/>
        <w:jc w:val="both"/>
        <w:rPr>
          <w:rFonts w:eastAsia="Times New Roman"/>
          <w:sz w:val="24"/>
          <w:szCs w:val="24"/>
        </w:rPr>
      </w:pPr>
      <w:r w:rsidRPr="000306FB">
        <w:rPr>
          <w:rFonts w:eastAsia="Times New Roman"/>
          <w:sz w:val="24"/>
          <w:szCs w:val="24"/>
        </w:rPr>
        <w:t>Ensuring, upon completion of installation that backflow prevention devices are installed according to the approved design data sheet and plans and tested for proper operation, effective January 1, 1999.</w:t>
      </w:r>
    </w:p>
    <w:p w14:paraId="281A70EA" w14:textId="77777777" w:rsidR="004647B9" w:rsidRPr="000306FB" w:rsidRDefault="004647B9" w:rsidP="000306FB">
      <w:pPr>
        <w:rPr>
          <w:rFonts w:eastAsia="Times New Roman"/>
          <w:sz w:val="24"/>
          <w:szCs w:val="24"/>
        </w:rPr>
      </w:pPr>
    </w:p>
    <w:p w14:paraId="281A70EB" w14:textId="77777777" w:rsidR="004647B9" w:rsidRPr="000306FB" w:rsidRDefault="00E2436F" w:rsidP="00563A54">
      <w:pPr>
        <w:numPr>
          <w:ilvl w:val="0"/>
          <w:numId w:val="852"/>
        </w:numPr>
        <w:tabs>
          <w:tab w:val="left" w:pos="1713"/>
        </w:tabs>
        <w:ind w:left="1260"/>
        <w:rPr>
          <w:rFonts w:eastAsia="Times New Roman"/>
          <w:sz w:val="24"/>
          <w:szCs w:val="24"/>
        </w:rPr>
      </w:pPr>
      <w:r w:rsidRPr="000306FB">
        <w:rPr>
          <w:rFonts w:eastAsia="Times New Roman"/>
          <w:sz w:val="24"/>
          <w:szCs w:val="24"/>
          <w:u w:val="single"/>
        </w:rPr>
        <w:t>Owners' Responsibilities</w:t>
      </w:r>
      <w:r w:rsidRPr="000306FB">
        <w:rPr>
          <w:rFonts w:eastAsia="Times New Roman"/>
          <w:sz w:val="24"/>
          <w:szCs w:val="24"/>
        </w:rPr>
        <w:t>. The owner of any cross connection protected by a double check valve assembly or reduced pressure backflow preventer shall:</w:t>
      </w:r>
    </w:p>
    <w:p w14:paraId="281A70ED" w14:textId="77777777" w:rsidR="004647B9" w:rsidRPr="000306FB" w:rsidRDefault="00E2436F" w:rsidP="00905F85">
      <w:pPr>
        <w:numPr>
          <w:ilvl w:val="2"/>
          <w:numId w:val="852"/>
        </w:numPr>
        <w:tabs>
          <w:tab w:val="left" w:pos="2070"/>
        </w:tabs>
        <w:ind w:left="1620" w:hanging="5"/>
        <w:jc w:val="both"/>
        <w:rPr>
          <w:rFonts w:eastAsia="Times New Roman"/>
          <w:sz w:val="24"/>
          <w:szCs w:val="24"/>
        </w:rPr>
      </w:pPr>
      <w:r w:rsidRPr="000306FB">
        <w:rPr>
          <w:rFonts w:eastAsia="Times New Roman"/>
          <w:sz w:val="24"/>
          <w:szCs w:val="24"/>
        </w:rPr>
        <w:t>Notify the public water system of all cross connections protected by a double check valve assembly or reduced pressure backflow preventer and comply with all necessary approvals and permits from the public water system and/or the Department for the maintenance of cross connections, as specified at 310 CMR 22.22;</w:t>
      </w:r>
    </w:p>
    <w:p w14:paraId="281A70EE" w14:textId="77777777" w:rsidR="004647B9" w:rsidRPr="000306FB" w:rsidRDefault="00E2436F" w:rsidP="00905F85">
      <w:pPr>
        <w:numPr>
          <w:ilvl w:val="2"/>
          <w:numId w:val="852"/>
        </w:numPr>
        <w:tabs>
          <w:tab w:val="left" w:pos="2070"/>
        </w:tabs>
        <w:ind w:left="1620" w:hanging="5"/>
        <w:rPr>
          <w:rFonts w:eastAsia="Times New Roman"/>
          <w:sz w:val="24"/>
          <w:szCs w:val="24"/>
        </w:rPr>
      </w:pPr>
      <w:r w:rsidRPr="000306FB">
        <w:rPr>
          <w:rFonts w:eastAsia="Times New Roman"/>
          <w:sz w:val="24"/>
          <w:szCs w:val="24"/>
        </w:rPr>
        <w:t>Have suitable arrangements made so that inspections of backflow prevention devices and cross connection surveys can be made during regular business hours;</w:t>
      </w:r>
    </w:p>
    <w:p w14:paraId="281A70EF" w14:textId="77777777" w:rsidR="004647B9" w:rsidRPr="000306FB" w:rsidRDefault="00E2436F" w:rsidP="00905F85">
      <w:pPr>
        <w:numPr>
          <w:ilvl w:val="2"/>
          <w:numId w:val="852"/>
        </w:numPr>
        <w:tabs>
          <w:tab w:val="left" w:pos="2070"/>
        </w:tabs>
        <w:ind w:left="1620" w:hanging="5"/>
        <w:rPr>
          <w:rFonts w:eastAsia="Times New Roman"/>
          <w:sz w:val="24"/>
          <w:szCs w:val="24"/>
        </w:rPr>
      </w:pPr>
      <w:r w:rsidRPr="000306FB">
        <w:rPr>
          <w:rFonts w:eastAsia="Times New Roman"/>
          <w:sz w:val="24"/>
          <w:szCs w:val="24"/>
        </w:rPr>
        <w:t>Maintain a spare parts kit and any special tools required for the removal and reassembly of backflow prevention devices;</w:t>
      </w:r>
    </w:p>
    <w:p w14:paraId="281A70F0" w14:textId="77777777" w:rsidR="004647B9" w:rsidRPr="000306FB" w:rsidRDefault="00E2436F" w:rsidP="00905F85">
      <w:pPr>
        <w:numPr>
          <w:ilvl w:val="2"/>
          <w:numId w:val="852"/>
        </w:numPr>
        <w:tabs>
          <w:tab w:val="left" w:pos="2070"/>
        </w:tabs>
        <w:ind w:left="1620" w:hanging="5"/>
        <w:rPr>
          <w:rFonts w:eastAsia="Times New Roman"/>
          <w:sz w:val="24"/>
          <w:szCs w:val="24"/>
        </w:rPr>
      </w:pPr>
      <w:r w:rsidRPr="000306FB">
        <w:rPr>
          <w:rFonts w:eastAsia="Times New Roman"/>
          <w:sz w:val="24"/>
          <w:szCs w:val="24"/>
        </w:rPr>
        <w:t>Provide the necessary labor for inspection and testing by the Certified Backflow Prevention Device Testers or Certified Cross Connection Surveyor;</w:t>
      </w:r>
    </w:p>
    <w:p w14:paraId="281A70F1" w14:textId="77777777" w:rsidR="004647B9" w:rsidRPr="000306FB" w:rsidRDefault="00E2436F" w:rsidP="00905F85">
      <w:pPr>
        <w:numPr>
          <w:ilvl w:val="2"/>
          <w:numId w:val="852"/>
        </w:numPr>
        <w:tabs>
          <w:tab w:val="left" w:pos="2070"/>
        </w:tabs>
        <w:ind w:left="1620" w:hanging="5"/>
        <w:jc w:val="both"/>
        <w:rPr>
          <w:rFonts w:eastAsia="Times New Roman"/>
          <w:sz w:val="24"/>
          <w:szCs w:val="24"/>
        </w:rPr>
      </w:pPr>
      <w:r w:rsidRPr="000306FB">
        <w:rPr>
          <w:rFonts w:eastAsia="Times New Roman"/>
          <w:sz w:val="24"/>
          <w:szCs w:val="24"/>
        </w:rPr>
        <w:t>Overhaul, repair, or replace within 14 days of the initial inspection date and retest pursuant to 310 CMR 22.22(13)(e), any device which fails a test or is found defective;</w:t>
      </w:r>
    </w:p>
    <w:p w14:paraId="281A70F3" w14:textId="77777777" w:rsidR="004647B9" w:rsidRPr="000306FB" w:rsidRDefault="00E2436F" w:rsidP="00905F85">
      <w:pPr>
        <w:numPr>
          <w:ilvl w:val="2"/>
          <w:numId w:val="852"/>
        </w:numPr>
        <w:tabs>
          <w:tab w:val="left" w:pos="2070"/>
        </w:tabs>
        <w:ind w:left="1620" w:right="360" w:hanging="5"/>
        <w:rPr>
          <w:rFonts w:eastAsia="Times New Roman"/>
          <w:sz w:val="24"/>
          <w:szCs w:val="24"/>
        </w:rPr>
      </w:pPr>
      <w:r w:rsidRPr="000306FB">
        <w:rPr>
          <w:rFonts w:eastAsia="Times New Roman"/>
          <w:sz w:val="24"/>
          <w:szCs w:val="24"/>
        </w:rPr>
        <w:t>Submit copies of the Inspection and Maintenance Report Form as required by the public water system.</w:t>
      </w:r>
    </w:p>
    <w:p w14:paraId="281A70F4" w14:textId="77777777" w:rsidR="004647B9" w:rsidRDefault="00E2436F" w:rsidP="00D7651D">
      <w:pPr>
        <w:numPr>
          <w:ilvl w:val="2"/>
          <w:numId w:val="852"/>
        </w:numPr>
        <w:tabs>
          <w:tab w:val="left" w:pos="2070"/>
        </w:tabs>
        <w:ind w:left="1620" w:right="360" w:hanging="5"/>
        <w:rPr>
          <w:rFonts w:eastAsia="Times New Roman"/>
          <w:sz w:val="24"/>
          <w:szCs w:val="24"/>
        </w:rPr>
      </w:pPr>
      <w:r w:rsidRPr="000306FB">
        <w:rPr>
          <w:rFonts w:eastAsia="Times New Roman"/>
          <w:sz w:val="24"/>
          <w:szCs w:val="24"/>
        </w:rPr>
        <w:t>Maintain on the premises complete records on all devices for the life of said devices</w:t>
      </w:r>
      <w:r>
        <w:rPr>
          <w:rFonts w:eastAsia="Times New Roman"/>
          <w:sz w:val="24"/>
          <w:szCs w:val="24"/>
        </w:rPr>
        <w:t xml:space="preserve"> including as-built plans and design data sheets; maintain for seven years the Inspection and Maintenance Report Forms for tests conducted by the certified.</w:t>
      </w:r>
    </w:p>
    <w:p w14:paraId="281A70F6" w14:textId="77777777" w:rsidR="004647B9" w:rsidRDefault="00E2436F" w:rsidP="00D7651D">
      <w:pPr>
        <w:numPr>
          <w:ilvl w:val="2"/>
          <w:numId w:val="852"/>
        </w:numPr>
        <w:tabs>
          <w:tab w:val="left" w:pos="2070"/>
        </w:tabs>
        <w:ind w:left="1620" w:right="360" w:hanging="5"/>
        <w:rPr>
          <w:rFonts w:eastAsia="Times New Roman"/>
          <w:sz w:val="24"/>
          <w:szCs w:val="24"/>
        </w:rPr>
      </w:pPr>
      <w:r>
        <w:rPr>
          <w:rFonts w:eastAsia="Times New Roman"/>
          <w:sz w:val="24"/>
          <w:szCs w:val="24"/>
        </w:rPr>
        <w:t>Make certain that the cross connection protection device is tested as specified at 310 CMR 22.22(13) or as required by the public water system.</w:t>
      </w:r>
    </w:p>
    <w:p w14:paraId="281A70F7" w14:textId="77777777" w:rsidR="004647B9" w:rsidRDefault="004647B9" w:rsidP="00297D96">
      <w:pPr>
        <w:rPr>
          <w:rFonts w:eastAsia="Times New Roman"/>
          <w:sz w:val="24"/>
          <w:szCs w:val="24"/>
        </w:rPr>
      </w:pPr>
    </w:p>
    <w:p w14:paraId="281A70F8" w14:textId="77777777" w:rsidR="004647B9" w:rsidRDefault="00E2436F" w:rsidP="00563A54">
      <w:pPr>
        <w:numPr>
          <w:ilvl w:val="0"/>
          <w:numId w:val="852"/>
        </w:numPr>
        <w:tabs>
          <w:tab w:val="left" w:pos="1905"/>
        </w:tabs>
        <w:ind w:left="1260"/>
        <w:rPr>
          <w:rFonts w:eastAsia="Times New Roman"/>
          <w:sz w:val="24"/>
          <w:szCs w:val="24"/>
        </w:rPr>
      </w:pPr>
      <w:r>
        <w:rPr>
          <w:rFonts w:eastAsia="Times New Roman"/>
          <w:sz w:val="24"/>
          <w:szCs w:val="24"/>
          <w:u w:val="single"/>
        </w:rPr>
        <w:t>Certified Backflow Prevention Device Tester's Responsibilities</w:t>
      </w:r>
      <w:r>
        <w:rPr>
          <w:rFonts w:eastAsia="Times New Roman"/>
          <w:sz w:val="24"/>
          <w:szCs w:val="24"/>
        </w:rPr>
        <w:t>. Certified Backflow Prevention Device Testers have the following responsibilities relative to cross connections:</w:t>
      </w:r>
    </w:p>
    <w:p w14:paraId="281A70FA" w14:textId="77777777" w:rsidR="004647B9" w:rsidRDefault="00E2436F" w:rsidP="00563A54">
      <w:pPr>
        <w:numPr>
          <w:ilvl w:val="1"/>
          <w:numId w:val="853"/>
        </w:numPr>
        <w:tabs>
          <w:tab w:val="left" w:pos="2093"/>
        </w:tabs>
        <w:ind w:left="1620" w:hanging="5"/>
        <w:rPr>
          <w:rFonts w:eastAsia="Times New Roman"/>
          <w:sz w:val="24"/>
          <w:szCs w:val="24"/>
        </w:rPr>
      </w:pPr>
      <w:r>
        <w:rPr>
          <w:rFonts w:eastAsia="Times New Roman"/>
          <w:sz w:val="24"/>
          <w:szCs w:val="24"/>
        </w:rPr>
        <w:t>Having a backflow preventer test kit that is maintained in proper working order and calibrated annually;</w:t>
      </w:r>
    </w:p>
    <w:p w14:paraId="281A70FB" w14:textId="77777777" w:rsidR="004647B9" w:rsidRDefault="00E2436F" w:rsidP="00563A54">
      <w:pPr>
        <w:numPr>
          <w:ilvl w:val="1"/>
          <w:numId w:val="853"/>
        </w:numPr>
        <w:tabs>
          <w:tab w:val="left" w:pos="2080"/>
        </w:tabs>
        <w:ind w:left="2080" w:hanging="465"/>
        <w:rPr>
          <w:rFonts w:eastAsia="Times New Roman"/>
          <w:sz w:val="24"/>
          <w:szCs w:val="24"/>
        </w:rPr>
      </w:pPr>
      <w:r>
        <w:rPr>
          <w:rFonts w:eastAsia="Times New Roman"/>
          <w:sz w:val="24"/>
          <w:szCs w:val="24"/>
        </w:rPr>
        <w:t>Recording the test results for each inspection conducted;</w:t>
      </w:r>
    </w:p>
    <w:p w14:paraId="281A70FD" w14:textId="77777777" w:rsidR="004647B9" w:rsidRDefault="00E2436F" w:rsidP="00563A54">
      <w:pPr>
        <w:numPr>
          <w:ilvl w:val="1"/>
          <w:numId w:val="853"/>
        </w:numPr>
        <w:tabs>
          <w:tab w:val="left" w:pos="2057"/>
        </w:tabs>
        <w:ind w:left="1620" w:hanging="5"/>
        <w:rPr>
          <w:rFonts w:eastAsia="Times New Roman"/>
          <w:sz w:val="24"/>
          <w:szCs w:val="24"/>
        </w:rPr>
      </w:pPr>
      <w:r>
        <w:rPr>
          <w:rFonts w:eastAsia="Times New Roman"/>
          <w:sz w:val="24"/>
          <w:szCs w:val="24"/>
        </w:rPr>
        <w:t>Submitting copies of inspection reports to the water supplier, and the owner within 30 days of the inspection; and</w:t>
      </w:r>
    </w:p>
    <w:p w14:paraId="281A70FE" w14:textId="77777777" w:rsidR="004647B9" w:rsidRDefault="00E2436F" w:rsidP="00563A54">
      <w:pPr>
        <w:numPr>
          <w:ilvl w:val="1"/>
          <w:numId w:val="853"/>
        </w:numPr>
        <w:tabs>
          <w:tab w:val="left" w:pos="2080"/>
        </w:tabs>
        <w:ind w:left="2080" w:hanging="465"/>
        <w:rPr>
          <w:rFonts w:eastAsia="Times New Roman"/>
          <w:sz w:val="24"/>
          <w:szCs w:val="24"/>
        </w:rPr>
      </w:pPr>
      <w:r>
        <w:rPr>
          <w:rFonts w:eastAsia="Times New Roman"/>
          <w:sz w:val="24"/>
          <w:szCs w:val="24"/>
        </w:rPr>
        <w:t>Maintaining records of all test results for a minimum of seven years.</w:t>
      </w:r>
    </w:p>
    <w:p w14:paraId="281A70FF" w14:textId="77777777" w:rsidR="004647B9" w:rsidRDefault="004647B9" w:rsidP="00297D96">
      <w:pPr>
        <w:rPr>
          <w:rFonts w:eastAsia="Times New Roman"/>
          <w:sz w:val="24"/>
          <w:szCs w:val="24"/>
        </w:rPr>
      </w:pPr>
    </w:p>
    <w:p w14:paraId="281A7100" w14:textId="77777777" w:rsidR="004647B9" w:rsidRDefault="00E2436F" w:rsidP="00563A54">
      <w:pPr>
        <w:numPr>
          <w:ilvl w:val="0"/>
          <w:numId w:val="854"/>
        </w:numPr>
        <w:tabs>
          <w:tab w:val="left" w:pos="1792"/>
        </w:tabs>
        <w:ind w:left="1260"/>
        <w:jc w:val="both"/>
        <w:rPr>
          <w:rFonts w:eastAsia="Times New Roman"/>
          <w:sz w:val="24"/>
          <w:szCs w:val="24"/>
        </w:rPr>
      </w:pPr>
      <w:r>
        <w:rPr>
          <w:rFonts w:eastAsia="Times New Roman"/>
          <w:sz w:val="24"/>
          <w:szCs w:val="24"/>
          <w:u w:val="single"/>
        </w:rPr>
        <w:t>Local Plumbing Inspector Responsibilities</w:t>
      </w:r>
      <w:r>
        <w:rPr>
          <w:rFonts w:eastAsia="Times New Roman"/>
          <w:sz w:val="24"/>
          <w:szCs w:val="24"/>
        </w:rPr>
        <w:t xml:space="preserve">. Local Plumbing Inspectors, authorized by M.G.L. c. 142 to administer and to enforce 248 CMR 10.00: </w:t>
      </w:r>
      <w:r>
        <w:rPr>
          <w:rFonts w:eastAsia="Times New Roman"/>
          <w:i/>
          <w:iCs/>
          <w:sz w:val="24"/>
          <w:szCs w:val="24"/>
        </w:rPr>
        <w:t>Uniform State Plumbing Code</w:t>
      </w:r>
      <w:r>
        <w:rPr>
          <w:rFonts w:eastAsia="Times New Roman"/>
          <w:sz w:val="24"/>
          <w:szCs w:val="24"/>
        </w:rPr>
        <w:t>, have the following responsibilities relative to cross connections:</w:t>
      </w:r>
    </w:p>
    <w:p w14:paraId="281A7102" w14:textId="77777777" w:rsidR="004647B9" w:rsidRDefault="00E2436F" w:rsidP="00563A54">
      <w:pPr>
        <w:numPr>
          <w:ilvl w:val="1"/>
          <w:numId w:val="854"/>
        </w:numPr>
        <w:tabs>
          <w:tab w:val="left" w:pos="2059"/>
        </w:tabs>
        <w:ind w:left="1620" w:hanging="5"/>
        <w:jc w:val="both"/>
        <w:rPr>
          <w:rFonts w:eastAsia="Times New Roman"/>
          <w:sz w:val="24"/>
          <w:szCs w:val="24"/>
        </w:rPr>
      </w:pPr>
      <w:r>
        <w:rPr>
          <w:rFonts w:eastAsia="Times New Roman"/>
          <w:sz w:val="24"/>
          <w:szCs w:val="24"/>
        </w:rPr>
        <w:t>As required by 248 CMR 10.14(6), the Inspector of Plumbing will ensure that potable water supply systems are designed, installed and maintained in a manner as to prevent contamination from non-potable liquids, solids or gases which may be introduced to a potable water supply system through cross connections;</w:t>
      </w:r>
    </w:p>
    <w:p w14:paraId="281A7103" w14:textId="77777777" w:rsidR="004647B9" w:rsidRDefault="00E2436F" w:rsidP="00563A54">
      <w:pPr>
        <w:numPr>
          <w:ilvl w:val="1"/>
          <w:numId w:val="854"/>
        </w:numPr>
        <w:tabs>
          <w:tab w:val="left" w:pos="2181"/>
        </w:tabs>
        <w:ind w:left="1620" w:hanging="5"/>
        <w:jc w:val="both"/>
        <w:rPr>
          <w:rFonts w:eastAsia="Times New Roman"/>
          <w:sz w:val="24"/>
          <w:szCs w:val="24"/>
        </w:rPr>
      </w:pPr>
      <w:r>
        <w:rPr>
          <w:rFonts w:eastAsia="Times New Roman"/>
          <w:sz w:val="24"/>
          <w:szCs w:val="24"/>
        </w:rPr>
        <w:t>After reviewing the plans and specifications for plumbing work under 248 CMR 10.04(5), and before issuing a permit, the Plumbing Inspector, as required by 248 CMR</w:t>
      </w:r>
    </w:p>
    <w:p w14:paraId="281A7104" w14:textId="77777777" w:rsidR="004647B9" w:rsidRDefault="00E2436F" w:rsidP="00297D96">
      <w:pPr>
        <w:ind w:left="1620"/>
        <w:rPr>
          <w:rFonts w:eastAsia="Times New Roman"/>
          <w:sz w:val="24"/>
          <w:szCs w:val="24"/>
        </w:rPr>
      </w:pPr>
      <w:r>
        <w:rPr>
          <w:rFonts w:eastAsia="Times New Roman"/>
          <w:sz w:val="24"/>
          <w:szCs w:val="24"/>
        </w:rPr>
        <w:t>10.14, shall require the installation of appropriate devices in accordance with 310 CMR</w:t>
      </w:r>
    </w:p>
    <w:p w14:paraId="281A7106" w14:textId="77777777" w:rsidR="004647B9" w:rsidRDefault="00E2436F" w:rsidP="00297D96">
      <w:pPr>
        <w:ind w:left="1620"/>
        <w:rPr>
          <w:rFonts w:eastAsia="Times New Roman"/>
          <w:sz w:val="24"/>
          <w:szCs w:val="24"/>
        </w:rPr>
      </w:pPr>
      <w:r>
        <w:rPr>
          <w:rFonts w:eastAsia="Times New Roman"/>
          <w:sz w:val="24"/>
          <w:szCs w:val="24"/>
        </w:rPr>
        <w:t>22.00; and</w:t>
      </w:r>
    </w:p>
    <w:p w14:paraId="281A7108" w14:textId="77777777" w:rsidR="004647B9" w:rsidRDefault="00E2436F" w:rsidP="00563A54">
      <w:pPr>
        <w:numPr>
          <w:ilvl w:val="1"/>
          <w:numId w:val="854"/>
        </w:numPr>
        <w:tabs>
          <w:tab w:val="left" w:pos="2006"/>
        </w:tabs>
        <w:ind w:left="1620" w:hanging="5"/>
        <w:jc w:val="both"/>
        <w:rPr>
          <w:rFonts w:eastAsia="Times New Roman"/>
          <w:sz w:val="24"/>
          <w:szCs w:val="24"/>
        </w:rPr>
      </w:pPr>
      <w:r>
        <w:rPr>
          <w:rFonts w:eastAsia="Times New Roman"/>
          <w:sz w:val="24"/>
          <w:szCs w:val="24"/>
        </w:rPr>
        <w:t>No plumbing permit shall be issued for cross connection installations requiring Reduced Pressure Zone Backflow Preventors or Double Check Valve Assemblies until the application for such permit is accompanied by a letter of approval from the Department, its Designee or public water system.</w:t>
      </w:r>
    </w:p>
    <w:p w14:paraId="281A7109" w14:textId="77777777" w:rsidR="004647B9" w:rsidRDefault="004647B9">
      <w:pPr>
        <w:sectPr w:rsidR="004647B9" w:rsidSect="00EF630C">
          <w:pgSz w:w="12240" w:h="20180"/>
          <w:pgMar w:top="708" w:right="1440" w:bottom="1016" w:left="540" w:header="0" w:footer="0" w:gutter="0"/>
          <w:cols w:space="720"/>
        </w:sectPr>
      </w:pPr>
    </w:p>
    <w:p w14:paraId="281A710A" w14:textId="77777777" w:rsidR="004647B9" w:rsidRDefault="00E2436F">
      <w:pPr>
        <w:tabs>
          <w:tab w:val="left" w:pos="160"/>
        </w:tabs>
        <w:ind w:right="-59"/>
        <w:jc w:val="center"/>
        <w:rPr>
          <w:sz w:val="20"/>
          <w:szCs w:val="20"/>
        </w:rPr>
      </w:pPr>
      <w:bookmarkStart w:id="327" w:name="page331"/>
      <w:bookmarkEnd w:id="32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10B" w14:textId="77777777" w:rsidR="004647B9" w:rsidRPr="00BD2676" w:rsidRDefault="004647B9" w:rsidP="00297D96">
      <w:pPr>
        <w:rPr>
          <w:sz w:val="20"/>
          <w:szCs w:val="20"/>
        </w:rPr>
      </w:pPr>
    </w:p>
    <w:p w14:paraId="281A710C" w14:textId="77777777" w:rsidR="004647B9" w:rsidRPr="00BD2676" w:rsidRDefault="004647B9" w:rsidP="00297D96">
      <w:pPr>
        <w:rPr>
          <w:sz w:val="20"/>
          <w:szCs w:val="20"/>
        </w:rPr>
      </w:pPr>
    </w:p>
    <w:p w14:paraId="281A710D" w14:textId="77777777" w:rsidR="004647B9" w:rsidRPr="00297D96" w:rsidRDefault="00E2436F" w:rsidP="00297D96">
      <w:pPr>
        <w:tabs>
          <w:tab w:val="left" w:pos="760"/>
        </w:tabs>
        <w:rPr>
          <w:sz w:val="24"/>
          <w:szCs w:val="24"/>
        </w:rPr>
      </w:pPr>
      <w:r w:rsidRPr="00297D96">
        <w:rPr>
          <w:rFonts w:eastAsia="Times New Roman"/>
          <w:sz w:val="24"/>
          <w:szCs w:val="24"/>
        </w:rPr>
        <w:t>22.22:</w:t>
      </w:r>
      <w:r w:rsidRPr="00297D96">
        <w:rPr>
          <w:rFonts w:eastAsia="Times New Roman"/>
          <w:sz w:val="24"/>
          <w:szCs w:val="24"/>
        </w:rPr>
        <w:tab/>
        <w:t>continued</w:t>
      </w:r>
    </w:p>
    <w:p w14:paraId="281A710E" w14:textId="77777777" w:rsidR="004647B9" w:rsidRPr="00BD2676" w:rsidRDefault="004647B9" w:rsidP="00297D96">
      <w:pPr>
        <w:rPr>
          <w:sz w:val="20"/>
          <w:szCs w:val="20"/>
        </w:rPr>
      </w:pPr>
    </w:p>
    <w:p w14:paraId="281A710F" w14:textId="77777777" w:rsidR="004647B9" w:rsidRPr="00297D96" w:rsidRDefault="00E2436F" w:rsidP="00563A54">
      <w:pPr>
        <w:numPr>
          <w:ilvl w:val="0"/>
          <w:numId w:val="855"/>
        </w:numPr>
        <w:tabs>
          <w:tab w:val="left" w:pos="1720"/>
        </w:tabs>
        <w:ind w:left="1720" w:hanging="460"/>
        <w:rPr>
          <w:rFonts w:eastAsia="Times New Roman"/>
          <w:sz w:val="24"/>
          <w:szCs w:val="24"/>
        </w:rPr>
      </w:pPr>
      <w:r w:rsidRPr="00297D96">
        <w:rPr>
          <w:rFonts w:eastAsia="Times New Roman"/>
          <w:sz w:val="24"/>
          <w:szCs w:val="24"/>
          <w:u w:val="single"/>
        </w:rPr>
        <w:t>Installation Approval and Permit Requirements</w:t>
      </w:r>
      <w:r w:rsidRPr="00297D96">
        <w:rPr>
          <w:rFonts w:eastAsia="Times New Roman"/>
          <w:sz w:val="24"/>
          <w:szCs w:val="24"/>
        </w:rPr>
        <w:t>.</w:t>
      </w:r>
    </w:p>
    <w:p w14:paraId="281A7111" w14:textId="0C766CCC" w:rsidR="004647B9" w:rsidRPr="00297D96" w:rsidRDefault="00E2436F" w:rsidP="00563A54">
      <w:pPr>
        <w:numPr>
          <w:ilvl w:val="1"/>
          <w:numId w:val="855"/>
        </w:numPr>
        <w:tabs>
          <w:tab w:val="left" w:pos="2060"/>
        </w:tabs>
        <w:ind w:left="2060" w:hanging="445"/>
        <w:rPr>
          <w:rFonts w:eastAsia="Times New Roman"/>
          <w:sz w:val="24"/>
          <w:szCs w:val="24"/>
        </w:rPr>
      </w:pPr>
      <w:r w:rsidRPr="00297D96">
        <w:rPr>
          <w:rFonts w:eastAsia="Times New Roman"/>
          <w:sz w:val="24"/>
          <w:szCs w:val="24"/>
          <w:u w:val="single"/>
        </w:rPr>
        <w:t>Installation Approval</w:t>
      </w:r>
      <w:r w:rsidRPr="00297D96">
        <w:rPr>
          <w:rFonts w:eastAsia="Times New Roman"/>
          <w:sz w:val="24"/>
          <w:szCs w:val="24"/>
        </w:rPr>
        <w:t>.</w:t>
      </w:r>
    </w:p>
    <w:p w14:paraId="281A7113" w14:textId="77777777" w:rsidR="004647B9" w:rsidRPr="00297D96" w:rsidRDefault="00E2436F" w:rsidP="00563A54">
      <w:pPr>
        <w:numPr>
          <w:ilvl w:val="2"/>
          <w:numId w:val="855"/>
        </w:numPr>
        <w:tabs>
          <w:tab w:val="left" w:pos="2304"/>
        </w:tabs>
        <w:ind w:left="1980" w:hanging="5"/>
        <w:jc w:val="both"/>
        <w:rPr>
          <w:rFonts w:eastAsia="Times New Roman"/>
          <w:sz w:val="24"/>
          <w:szCs w:val="24"/>
        </w:rPr>
      </w:pPr>
      <w:r w:rsidRPr="00297D96">
        <w:rPr>
          <w:rFonts w:eastAsia="Times New Roman"/>
          <w:sz w:val="24"/>
          <w:szCs w:val="24"/>
        </w:rPr>
        <w:t>No person shall install or remove or contract with another person for the installation or removal of any reduced pressure backflow preventer or double check valve assembly required by 310 CMR 22.22 unless a design data sheet with plans showing the method of protection of the public water distribution system has been approved by the Department, its Designee or the public water system for the installation of such device.</w:t>
      </w:r>
    </w:p>
    <w:p w14:paraId="281A7117" w14:textId="31B4B237" w:rsidR="004647B9" w:rsidRPr="008B7CD7" w:rsidRDefault="00E2436F" w:rsidP="00563A54">
      <w:pPr>
        <w:numPr>
          <w:ilvl w:val="2"/>
          <w:numId w:val="855"/>
        </w:numPr>
        <w:tabs>
          <w:tab w:val="left" w:pos="2347"/>
        </w:tabs>
        <w:ind w:left="1980" w:hanging="5"/>
        <w:jc w:val="both"/>
        <w:rPr>
          <w:rFonts w:eastAsia="Times New Roman"/>
          <w:sz w:val="24"/>
          <w:szCs w:val="24"/>
        </w:rPr>
      </w:pPr>
      <w:r w:rsidRPr="00297D96">
        <w:rPr>
          <w:rFonts w:eastAsia="Times New Roman"/>
          <w:sz w:val="24"/>
          <w:szCs w:val="24"/>
        </w:rPr>
        <w:t>All persons shall obtain approval from the local plumbing inspector or the head of the local fire department, to the extent required by the State Plumbing Code, 248 CMR</w:t>
      </w:r>
      <w:r w:rsidR="008B7CD7">
        <w:rPr>
          <w:rFonts w:eastAsia="Times New Roman"/>
          <w:sz w:val="24"/>
          <w:szCs w:val="24"/>
        </w:rPr>
        <w:t xml:space="preserve"> 10.</w:t>
      </w:r>
      <w:r w:rsidRPr="008B7CD7">
        <w:rPr>
          <w:rFonts w:eastAsia="Times New Roman"/>
          <w:sz w:val="24"/>
          <w:szCs w:val="24"/>
        </w:rPr>
        <w:t>04(3), or M.G.L. c. 148, § 27A, for the initial installation or retrofit for any change in the installation of any air gap separation with tank and pump arrangement, reduced pressure backflow preventer, or double check valve assembly.</w:t>
      </w:r>
    </w:p>
    <w:p w14:paraId="281A711B" w14:textId="64C53277" w:rsidR="004647B9" w:rsidRPr="008B7CD7" w:rsidRDefault="00E2436F" w:rsidP="007075F2">
      <w:pPr>
        <w:numPr>
          <w:ilvl w:val="2"/>
          <w:numId w:val="855"/>
        </w:numPr>
        <w:tabs>
          <w:tab w:val="left" w:pos="2362"/>
        </w:tabs>
        <w:ind w:left="1980" w:hanging="5"/>
        <w:jc w:val="both"/>
        <w:rPr>
          <w:rFonts w:eastAsia="Times New Roman"/>
          <w:sz w:val="24"/>
          <w:szCs w:val="24"/>
        </w:rPr>
      </w:pPr>
      <w:r w:rsidRPr="00297D96">
        <w:rPr>
          <w:rFonts w:eastAsia="Times New Roman"/>
          <w:sz w:val="24"/>
          <w:szCs w:val="24"/>
        </w:rPr>
        <w:t>Prior to the installation of any pressure or atmospheric vacuum breaker, backflow preventer with intermediate atmospheric vent, or barometric loop, the plans and specifications for the plumbing work must receive a permit issued pursuant to 248 CMR 10.04(3) by the local Plumbing Inspector. For these devices, a plumbing permit issued under 248 CMR 10.04(3) shall constitute installation approval pursuant to 310 CMR</w:t>
      </w:r>
      <w:r w:rsidR="008B7CD7">
        <w:rPr>
          <w:rFonts w:eastAsia="Times New Roman"/>
          <w:sz w:val="24"/>
          <w:szCs w:val="24"/>
        </w:rPr>
        <w:t xml:space="preserve"> 22.22.</w:t>
      </w:r>
    </w:p>
    <w:p w14:paraId="281A711D" w14:textId="77777777" w:rsidR="004647B9" w:rsidRPr="00297D96" w:rsidRDefault="00E2436F" w:rsidP="00563A54">
      <w:pPr>
        <w:numPr>
          <w:ilvl w:val="2"/>
          <w:numId w:val="857"/>
        </w:numPr>
        <w:tabs>
          <w:tab w:val="left" w:pos="2333"/>
        </w:tabs>
        <w:ind w:left="1980" w:hanging="5"/>
        <w:rPr>
          <w:rFonts w:eastAsia="Times New Roman"/>
          <w:sz w:val="24"/>
          <w:szCs w:val="24"/>
        </w:rPr>
      </w:pPr>
      <w:r w:rsidRPr="00297D96">
        <w:rPr>
          <w:rFonts w:eastAsia="Times New Roman"/>
          <w:sz w:val="24"/>
          <w:szCs w:val="24"/>
        </w:rPr>
        <w:t>All design data sheets and plans for the installation of backflow prevention devices shall be reviewed by a certified cross connection surveyor as of December 31, 1998.</w:t>
      </w:r>
    </w:p>
    <w:p w14:paraId="281A711F" w14:textId="77777777" w:rsidR="004647B9" w:rsidRPr="00297D96" w:rsidRDefault="00E2436F" w:rsidP="00563A54">
      <w:pPr>
        <w:numPr>
          <w:ilvl w:val="2"/>
          <w:numId w:val="857"/>
        </w:numPr>
        <w:tabs>
          <w:tab w:val="left" w:pos="2326"/>
        </w:tabs>
        <w:ind w:left="1980" w:hanging="5"/>
        <w:jc w:val="both"/>
        <w:rPr>
          <w:rFonts w:eastAsia="Times New Roman"/>
          <w:sz w:val="24"/>
          <w:szCs w:val="24"/>
        </w:rPr>
      </w:pPr>
      <w:r w:rsidRPr="00297D96">
        <w:rPr>
          <w:rFonts w:eastAsia="Times New Roman"/>
          <w:sz w:val="24"/>
          <w:szCs w:val="24"/>
        </w:rPr>
        <w:t xml:space="preserve">Design data sheets and plans for the installation of a backflow prevention device on fire protection systems shall not be approved by the public water system until a building permit has been issued by the Building Official who has jurisdiction over such system in accordance with 780 CMR 1.00: </w:t>
      </w:r>
      <w:r w:rsidRPr="00297D96">
        <w:rPr>
          <w:rFonts w:eastAsia="Times New Roman"/>
          <w:i/>
          <w:iCs/>
          <w:sz w:val="24"/>
          <w:szCs w:val="24"/>
        </w:rPr>
        <w:t>Scope and Administration</w:t>
      </w:r>
      <w:r w:rsidRPr="00297D96">
        <w:rPr>
          <w:rFonts w:eastAsia="Times New Roman"/>
          <w:sz w:val="24"/>
          <w:szCs w:val="24"/>
        </w:rPr>
        <w:t xml:space="preserve"> and 9.00: </w:t>
      </w:r>
      <w:r w:rsidRPr="00297D96">
        <w:rPr>
          <w:rFonts w:eastAsia="Times New Roman"/>
          <w:i/>
          <w:iCs/>
          <w:sz w:val="24"/>
          <w:szCs w:val="24"/>
        </w:rPr>
        <w:t>Fire Protection</w:t>
      </w:r>
      <w:r w:rsidRPr="00297D96">
        <w:rPr>
          <w:rFonts w:eastAsia="Times New Roman"/>
          <w:sz w:val="24"/>
          <w:szCs w:val="24"/>
        </w:rPr>
        <w:t xml:space="preserve"> </w:t>
      </w:r>
      <w:r w:rsidRPr="00297D96">
        <w:rPr>
          <w:rFonts w:eastAsia="Times New Roman"/>
          <w:i/>
          <w:iCs/>
          <w:sz w:val="24"/>
          <w:szCs w:val="24"/>
        </w:rPr>
        <w:t xml:space="preserve">Systems </w:t>
      </w:r>
      <w:r w:rsidRPr="00297D96">
        <w:rPr>
          <w:rFonts w:eastAsia="Times New Roman"/>
          <w:sz w:val="24"/>
          <w:szCs w:val="24"/>
        </w:rPr>
        <w:t>and approval by the head of the local fire department.</w:t>
      </w:r>
    </w:p>
    <w:p w14:paraId="281A7121" w14:textId="77777777" w:rsidR="004647B9" w:rsidRPr="00297D96" w:rsidRDefault="00E2436F" w:rsidP="00563A54">
      <w:pPr>
        <w:numPr>
          <w:ilvl w:val="1"/>
          <w:numId w:val="858"/>
        </w:numPr>
        <w:tabs>
          <w:tab w:val="left" w:pos="2080"/>
        </w:tabs>
        <w:ind w:left="2080" w:hanging="465"/>
        <w:rPr>
          <w:rFonts w:eastAsia="Times New Roman"/>
          <w:sz w:val="24"/>
          <w:szCs w:val="24"/>
        </w:rPr>
      </w:pPr>
      <w:r w:rsidRPr="00297D96">
        <w:rPr>
          <w:rFonts w:eastAsia="Times New Roman"/>
          <w:sz w:val="24"/>
          <w:szCs w:val="24"/>
          <w:u w:val="single"/>
        </w:rPr>
        <w:t>Permit Requirement</w:t>
      </w:r>
      <w:r w:rsidRPr="00297D96">
        <w:rPr>
          <w:rFonts w:eastAsia="Times New Roman"/>
          <w:sz w:val="24"/>
          <w:szCs w:val="24"/>
        </w:rPr>
        <w:t>.</w:t>
      </w:r>
    </w:p>
    <w:p w14:paraId="281A7123" w14:textId="77777777" w:rsidR="004647B9" w:rsidRDefault="00E2436F" w:rsidP="00563A54">
      <w:pPr>
        <w:numPr>
          <w:ilvl w:val="2"/>
          <w:numId w:val="858"/>
        </w:numPr>
        <w:tabs>
          <w:tab w:val="left" w:pos="2321"/>
        </w:tabs>
        <w:ind w:left="1980" w:hanging="5"/>
        <w:jc w:val="both"/>
        <w:rPr>
          <w:rFonts w:eastAsia="Times New Roman"/>
          <w:sz w:val="24"/>
          <w:szCs w:val="24"/>
        </w:rPr>
      </w:pPr>
      <w:r w:rsidRPr="00297D96">
        <w:rPr>
          <w:rFonts w:eastAsia="Times New Roman"/>
          <w:sz w:val="24"/>
          <w:szCs w:val="24"/>
        </w:rPr>
        <w:t xml:space="preserve">Any person owning or maintaining a cross connection protected by a double check valve assembly or a reduced pressure backflow prevention device that was approved by the Department, its designee or public water system shall register such protected cross connection device(s)with the public water system in accordance with 310 CMR 22.22(2). The Department will issue, upon request, one annual permit to the public </w:t>
      </w:r>
      <w:r>
        <w:rPr>
          <w:rFonts w:eastAsia="Times New Roman"/>
          <w:sz w:val="24"/>
          <w:szCs w:val="24"/>
        </w:rPr>
        <w:t>water system covering only those registered cross connection devices identified by the public water system in its annual statistical report to the Department.</w:t>
      </w:r>
    </w:p>
    <w:p w14:paraId="281A7125" w14:textId="77777777" w:rsidR="004647B9" w:rsidRDefault="00E2436F" w:rsidP="00563A54">
      <w:pPr>
        <w:numPr>
          <w:ilvl w:val="2"/>
          <w:numId w:val="858"/>
        </w:numPr>
        <w:tabs>
          <w:tab w:val="left" w:pos="2376"/>
        </w:tabs>
        <w:ind w:left="1980" w:hanging="5"/>
        <w:rPr>
          <w:rFonts w:eastAsia="Times New Roman"/>
          <w:sz w:val="24"/>
          <w:szCs w:val="24"/>
        </w:rPr>
      </w:pPr>
      <w:r>
        <w:rPr>
          <w:rFonts w:eastAsia="Times New Roman"/>
          <w:sz w:val="24"/>
          <w:szCs w:val="24"/>
        </w:rPr>
        <w:t>The Department reserves the right to revoke or suspend any conditional approval and/or permit for cause.</w:t>
      </w:r>
    </w:p>
    <w:p w14:paraId="281A7126" w14:textId="77777777" w:rsidR="004647B9" w:rsidRDefault="00E2436F" w:rsidP="00563A54">
      <w:pPr>
        <w:numPr>
          <w:ilvl w:val="1"/>
          <w:numId w:val="858"/>
        </w:numPr>
        <w:tabs>
          <w:tab w:val="left" w:pos="2088"/>
        </w:tabs>
        <w:ind w:left="1620" w:hanging="5"/>
        <w:jc w:val="both"/>
        <w:rPr>
          <w:rFonts w:eastAsia="Times New Roman"/>
          <w:sz w:val="24"/>
          <w:szCs w:val="24"/>
        </w:rPr>
      </w:pPr>
      <w:r>
        <w:rPr>
          <w:rFonts w:eastAsia="Times New Roman"/>
          <w:sz w:val="24"/>
          <w:szCs w:val="24"/>
        </w:rPr>
        <w:t>The Department may revoke any approval or permit for any installation or change in installation of any backflow prevention device which is found to be in noncompliance with 310 CMR 22.22.</w:t>
      </w:r>
    </w:p>
    <w:p w14:paraId="281A7127" w14:textId="77777777" w:rsidR="004647B9" w:rsidRDefault="004647B9" w:rsidP="008B7CD7">
      <w:pPr>
        <w:rPr>
          <w:rFonts w:eastAsia="Times New Roman"/>
          <w:sz w:val="24"/>
          <w:szCs w:val="24"/>
        </w:rPr>
      </w:pPr>
    </w:p>
    <w:p w14:paraId="281A7128" w14:textId="77777777" w:rsidR="004647B9" w:rsidRDefault="00E2436F" w:rsidP="00563A54">
      <w:pPr>
        <w:numPr>
          <w:ilvl w:val="0"/>
          <w:numId w:val="859"/>
        </w:numPr>
        <w:tabs>
          <w:tab w:val="left" w:pos="1720"/>
        </w:tabs>
        <w:ind w:left="1720" w:hanging="460"/>
        <w:rPr>
          <w:rFonts w:eastAsia="Times New Roman"/>
          <w:sz w:val="24"/>
          <w:szCs w:val="24"/>
        </w:rPr>
      </w:pPr>
      <w:r>
        <w:rPr>
          <w:rFonts w:eastAsia="Times New Roman"/>
          <w:sz w:val="24"/>
          <w:szCs w:val="24"/>
          <w:u w:val="single"/>
        </w:rPr>
        <w:t>Location of Devices</w:t>
      </w:r>
      <w:r>
        <w:rPr>
          <w:rFonts w:eastAsia="Times New Roman"/>
          <w:sz w:val="24"/>
          <w:szCs w:val="24"/>
        </w:rPr>
        <w:t>.</w:t>
      </w:r>
    </w:p>
    <w:p w14:paraId="281A712A" w14:textId="77777777" w:rsidR="004647B9" w:rsidRDefault="00E2436F" w:rsidP="00563A54">
      <w:pPr>
        <w:numPr>
          <w:ilvl w:val="1"/>
          <w:numId w:val="859"/>
        </w:numPr>
        <w:tabs>
          <w:tab w:val="left" w:pos="2006"/>
        </w:tabs>
        <w:ind w:left="1620" w:hanging="5"/>
        <w:jc w:val="both"/>
        <w:rPr>
          <w:rFonts w:eastAsia="Times New Roman"/>
          <w:sz w:val="24"/>
          <w:szCs w:val="24"/>
        </w:rPr>
      </w:pPr>
      <w:r>
        <w:rPr>
          <w:rFonts w:eastAsia="Times New Roman"/>
          <w:sz w:val="24"/>
          <w:szCs w:val="24"/>
        </w:rPr>
        <w:t>The location of each approved backflow prevention device, with respect to the plumbing on the premises and the service connection to the premises, shall be based upon the degree of existing or potentially existing health hazard, and shall conform to the following specific requirements:</w:t>
      </w:r>
    </w:p>
    <w:p w14:paraId="281A712B" w14:textId="77777777" w:rsidR="004647B9" w:rsidRDefault="00E2436F" w:rsidP="00563A54">
      <w:pPr>
        <w:numPr>
          <w:ilvl w:val="2"/>
          <w:numId w:val="859"/>
        </w:numPr>
        <w:tabs>
          <w:tab w:val="left" w:pos="2297"/>
        </w:tabs>
        <w:ind w:left="1980" w:hanging="5"/>
        <w:rPr>
          <w:rFonts w:eastAsia="Times New Roman"/>
          <w:sz w:val="24"/>
          <w:szCs w:val="24"/>
        </w:rPr>
      </w:pPr>
      <w:r>
        <w:rPr>
          <w:rFonts w:eastAsia="Times New Roman"/>
          <w:sz w:val="24"/>
          <w:szCs w:val="24"/>
        </w:rPr>
        <w:t>Approved backflow prevention devices shall be located so that protection of all cross connections is achieved with a minimum number of devices;</w:t>
      </w:r>
    </w:p>
    <w:p w14:paraId="281A712C" w14:textId="77777777" w:rsidR="004647B9" w:rsidRDefault="00E2436F" w:rsidP="00563A54">
      <w:pPr>
        <w:numPr>
          <w:ilvl w:val="2"/>
          <w:numId w:val="859"/>
        </w:numPr>
        <w:tabs>
          <w:tab w:val="left" w:pos="2383"/>
        </w:tabs>
        <w:ind w:left="1980" w:hanging="5"/>
        <w:rPr>
          <w:rFonts w:eastAsia="Times New Roman"/>
          <w:sz w:val="24"/>
          <w:szCs w:val="24"/>
        </w:rPr>
      </w:pPr>
      <w:r>
        <w:rPr>
          <w:rFonts w:eastAsia="Times New Roman"/>
          <w:sz w:val="24"/>
          <w:szCs w:val="24"/>
        </w:rPr>
        <w:t>Approved backflow prevention devices shall be located so as to provide in-plant protection;</w:t>
      </w:r>
    </w:p>
    <w:p w14:paraId="281A712D" w14:textId="77777777" w:rsidR="004647B9" w:rsidRDefault="00E2436F" w:rsidP="00563A54">
      <w:pPr>
        <w:numPr>
          <w:ilvl w:val="2"/>
          <w:numId w:val="859"/>
        </w:numPr>
        <w:tabs>
          <w:tab w:val="left" w:pos="2318"/>
        </w:tabs>
        <w:ind w:left="1980" w:hanging="5"/>
        <w:jc w:val="both"/>
        <w:rPr>
          <w:rFonts w:eastAsia="Times New Roman"/>
          <w:sz w:val="24"/>
          <w:szCs w:val="24"/>
        </w:rPr>
      </w:pPr>
      <w:r>
        <w:rPr>
          <w:rFonts w:eastAsia="Times New Roman"/>
          <w:sz w:val="24"/>
          <w:szCs w:val="24"/>
        </w:rPr>
        <w:t>The following types of facilities have been determined to present high health hazard conditions and in-plant protection shall be supplemented by installation of a reduced pressure backflow preventer or an air gap separation at the meter or property line unless an approved device is installed on a dedicated or process line, or if protection of the in-plant cross connection(s) is achieved to the satisfaction of the Department, its Designee or the public water system at:</w:t>
      </w:r>
    </w:p>
    <w:p w14:paraId="281A712F" w14:textId="77777777" w:rsidR="004647B9" w:rsidRDefault="00E2436F" w:rsidP="00563A54">
      <w:pPr>
        <w:numPr>
          <w:ilvl w:val="3"/>
          <w:numId w:val="859"/>
        </w:numPr>
        <w:tabs>
          <w:tab w:val="left" w:pos="2680"/>
        </w:tabs>
        <w:ind w:left="2680" w:hanging="345"/>
        <w:rPr>
          <w:rFonts w:eastAsia="Times New Roman"/>
          <w:sz w:val="24"/>
          <w:szCs w:val="24"/>
        </w:rPr>
      </w:pPr>
      <w:r>
        <w:rPr>
          <w:rFonts w:eastAsia="Times New Roman"/>
          <w:sz w:val="24"/>
          <w:szCs w:val="24"/>
        </w:rPr>
        <w:t>Nuclear reactors or other facilities where radioactive materials are used;</w:t>
      </w:r>
    </w:p>
    <w:p w14:paraId="281A7131" w14:textId="77777777" w:rsidR="004647B9" w:rsidRDefault="00E2436F" w:rsidP="00563A54">
      <w:pPr>
        <w:numPr>
          <w:ilvl w:val="3"/>
          <w:numId w:val="859"/>
        </w:numPr>
        <w:tabs>
          <w:tab w:val="left" w:pos="2700"/>
        </w:tabs>
        <w:ind w:left="2700" w:hanging="365"/>
        <w:rPr>
          <w:rFonts w:eastAsia="Times New Roman"/>
          <w:sz w:val="24"/>
          <w:szCs w:val="24"/>
        </w:rPr>
      </w:pPr>
      <w:r>
        <w:rPr>
          <w:rFonts w:eastAsia="Times New Roman"/>
          <w:sz w:val="24"/>
          <w:szCs w:val="24"/>
        </w:rPr>
        <w:t>Sewage treatment plants and sewage pumping stations;</w:t>
      </w:r>
    </w:p>
    <w:p w14:paraId="281A7133" w14:textId="77777777" w:rsidR="004647B9" w:rsidRDefault="00E2436F" w:rsidP="00563A54">
      <w:pPr>
        <w:numPr>
          <w:ilvl w:val="3"/>
          <w:numId w:val="859"/>
        </w:numPr>
        <w:tabs>
          <w:tab w:val="left" w:pos="2680"/>
        </w:tabs>
        <w:ind w:left="2680" w:hanging="345"/>
        <w:rPr>
          <w:rFonts w:eastAsia="Times New Roman"/>
          <w:sz w:val="24"/>
          <w:szCs w:val="24"/>
        </w:rPr>
      </w:pPr>
      <w:r>
        <w:rPr>
          <w:rFonts w:eastAsia="Times New Roman"/>
          <w:sz w:val="24"/>
          <w:szCs w:val="24"/>
        </w:rPr>
        <w:t>Piers, docks, marinas, shipyards;</w:t>
      </w:r>
    </w:p>
    <w:p w14:paraId="281A7135" w14:textId="77777777" w:rsidR="004647B9" w:rsidRDefault="00E2436F" w:rsidP="00563A54">
      <w:pPr>
        <w:numPr>
          <w:ilvl w:val="3"/>
          <w:numId w:val="859"/>
        </w:numPr>
        <w:tabs>
          <w:tab w:val="left" w:pos="2700"/>
        </w:tabs>
        <w:ind w:left="2700" w:hanging="365"/>
        <w:rPr>
          <w:rFonts w:eastAsia="Times New Roman"/>
          <w:sz w:val="24"/>
          <w:szCs w:val="24"/>
        </w:rPr>
      </w:pPr>
      <w:r>
        <w:rPr>
          <w:rFonts w:eastAsia="Times New Roman"/>
          <w:sz w:val="24"/>
          <w:szCs w:val="24"/>
        </w:rPr>
        <w:t>Chemical plants;</w:t>
      </w:r>
    </w:p>
    <w:p w14:paraId="281A7137" w14:textId="77777777" w:rsidR="004647B9" w:rsidRDefault="00E2436F" w:rsidP="00563A54">
      <w:pPr>
        <w:numPr>
          <w:ilvl w:val="3"/>
          <w:numId w:val="859"/>
        </w:numPr>
        <w:tabs>
          <w:tab w:val="left" w:pos="2680"/>
        </w:tabs>
        <w:ind w:left="2680" w:hanging="345"/>
        <w:rPr>
          <w:rFonts w:eastAsia="Times New Roman"/>
          <w:sz w:val="24"/>
          <w:szCs w:val="24"/>
        </w:rPr>
      </w:pPr>
      <w:r>
        <w:rPr>
          <w:rFonts w:eastAsia="Times New Roman"/>
          <w:sz w:val="24"/>
          <w:szCs w:val="24"/>
        </w:rPr>
        <w:t>Metal plating industries;</w:t>
      </w:r>
    </w:p>
    <w:p w14:paraId="281A7139" w14:textId="77777777" w:rsidR="004647B9" w:rsidRDefault="00E2436F" w:rsidP="00563A54">
      <w:pPr>
        <w:numPr>
          <w:ilvl w:val="3"/>
          <w:numId w:val="859"/>
        </w:numPr>
        <w:tabs>
          <w:tab w:val="left" w:pos="2660"/>
        </w:tabs>
        <w:ind w:left="2660" w:hanging="325"/>
        <w:rPr>
          <w:rFonts w:eastAsia="Times New Roman"/>
          <w:sz w:val="24"/>
          <w:szCs w:val="24"/>
        </w:rPr>
      </w:pPr>
      <w:r>
        <w:rPr>
          <w:rFonts w:eastAsia="Times New Roman"/>
          <w:sz w:val="24"/>
          <w:szCs w:val="24"/>
        </w:rPr>
        <w:t>Hospitals, mortuaries, medical clinics, dental offices and clinics;</w:t>
      </w:r>
    </w:p>
    <w:p w14:paraId="281A713A" w14:textId="77777777" w:rsidR="004647B9" w:rsidRDefault="004647B9">
      <w:pPr>
        <w:sectPr w:rsidR="004647B9" w:rsidSect="00EF630C">
          <w:pgSz w:w="12240" w:h="20180"/>
          <w:pgMar w:top="708" w:right="1440" w:bottom="744" w:left="540" w:header="0" w:footer="0" w:gutter="0"/>
          <w:cols w:space="720"/>
        </w:sectPr>
      </w:pPr>
    </w:p>
    <w:p w14:paraId="281A713B" w14:textId="77777777" w:rsidR="004647B9" w:rsidRDefault="00E2436F">
      <w:pPr>
        <w:tabs>
          <w:tab w:val="left" w:pos="2920"/>
        </w:tabs>
        <w:ind w:left="1740"/>
        <w:rPr>
          <w:sz w:val="20"/>
          <w:szCs w:val="20"/>
        </w:rPr>
      </w:pPr>
      <w:bookmarkStart w:id="328" w:name="page332"/>
      <w:bookmarkEnd w:id="32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13C" w14:textId="77777777" w:rsidR="004647B9" w:rsidRPr="00AC6BA6" w:rsidRDefault="004647B9" w:rsidP="00AC6BA6">
      <w:pPr>
        <w:rPr>
          <w:sz w:val="20"/>
          <w:szCs w:val="20"/>
        </w:rPr>
      </w:pPr>
    </w:p>
    <w:p w14:paraId="281A713D" w14:textId="77777777" w:rsidR="004647B9" w:rsidRPr="00AC6BA6" w:rsidRDefault="004647B9" w:rsidP="00AC6BA6">
      <w:pPr>
        <w:rPr>
          <w:sz w:val="20"/>
          <w:szCs w:val="20"/>
        </w:rPr>
      </w:pPr>
    </w:p>
    <w:p w14:paraId="281A713E" w14:textId="77777777" w:rsidR="004647B9" w:rsidRPr="008B7CD7" w:rsidRDefault="00E2436F" w:rsidP="00AC6BA6">
      <w:pPr>
        <w:tabs>
          <w:tab w:val="left" w:pos="760"/>
        </w:tabs>
        <w:rPr>
          <w:sz w:val="24"/>
          <w:szCs w:val="24"/>
        </w:rPr>
      </w:pPr>
      <w:r w:rsidRPr="008B7CD7">
        <w:rPr>
          <w:rFonts w:eastAsia="Times New Roman"/>
          <w:sz w:val="24"/>
          <w:szCs w:val="24"/>
        </w:rPr>
        <w:t>22.22:</w:t>
      </w:r>
      <w:r w:rsidRPr="008B7CD7">
        <w:rPr>
          <w:rFonts w:eastAsia="Times New Roman"/>
          <w:sz w:val="24"/>
          <w:szCs w:val="24"/>
        </w:rPr>
        <w:tab/>
        <w:t>continued</w:t>
      </w:r>
    </w:p>
    <w:p w14:paraId="281A713F" w14:textId="77777777" w:rsidR="004647B9" w:rsidRPr="00AC6BA6" w:rsidRDefault="004647B9" w:rsidP="00AC6BA6">
      <w:pPr>
        <w:rPr>
          <w:sz w:val="20"/>
          <w:szCs w:val="20"/>
        </w:rPr>
      </w:pPr>
    </w:p>
    <w:p w14:paraId="281A7140" w14:textId="77777777" w:rsidR="004647B9" w:rsidRPr="008B7CD7" w:rsidRDefault="00E2436F" w:rsidP="00AC6BA6">
      <w:pPr>
        <w:numPr>
          <w:ilvl w:val="4"/>
          <w:numId w:val="860"/>
        </w:numPr>
        <w:tabs>
          <w:tab w:val="left" w:pos="2713"/>
        </w:tabs>
        <w:ind w:left="2340" w:right="1260" w:hanging="5"/>
        <w:rPr>
          <w:rFonts w:eastAsia="Times New Roman"/>
          <w:sz w:val="24"/>
          <w:szCs w:val="24"/>
        </w:rPr>
      </w:pPr>
      <w:r w:rsidRPr="008B7CD7">
        <w:rPr>
          <w:rFonts w:eastAsia="Times New Roman"/>
          <w:sz w:val="24"/>
          <w:szCs w:val="24"/>
        </w:rPr>
        <w:t>Laboratories, except when the Department or its Designee has made a specific determination that no health hazard exists on the premises;</w:t>
      </w:r>
    </w:p>
    <w:p w14:paraId="281A7142" w14:textId="77777777" w:rsidR="004647B9" w:rsidRPr="008B7CD7" w:rsidRDefault="00E2436F" w:rsidP="00AC6BA6">
      <w:pPr>
        <w:numPr>
          <w:ilvl w:val="4"/>
          <w:numId w:val="860"/>
        </w:numPr>
        <w:tabs>
          <w:tab w:val="left" w:pos="2801"/>
        </w:tabs>
        <w:ind w:left="2340" w:right="1260" w:hanging="5"/>
        <w:rPr>
          <w:rFonts w:eastAsia="Times New Roman"/>
          <w:sz w:val="24"/>
          <w:szCs w:val="24"/>
        </w:rPr>
      </w:pPr>
      <w:r w:rsidRPr="008B7CD7">
        <w:rPr>
          <w:rFonts w:eastAsia="Times New Roman"/>
          <w:sz w:val="24"/>
          <w:szCs w:val="24"/>
        </w:rPr>
        <w:t>Other types of facilities as determined in writing by the Department or its Designee.</w:t>
      </w:r>
    </w:p>
    <w:p w14:paraId="281A7143" w14:textId="77777777" w:rsidR="004647B9" w:rsidRPr="008B7CD7" w:rsidRDefault="00E2436F" w:rsidP="00AC6BA6">
      <w:pPr>
        <w:numPr>
          <w:ilvl w:val="2"/>
          <w:numId w:val="861"/>
        </w:numPr>
        <w:tabs>
          <w:tab w:val="left" w:pos="2082"/>
        </w:tabs>
        <w:ind w:left="1620" w:right="1260" w:firstLine="41"/>
        <w:jc w:val="both"/>
        <w:rPr>
          <w:rFonts w:eastAsia="Times New Roman"/>
          <w:sz w:val="24"/>
          <w:szCs w:val="24"/>
        </w:rPr>
      </w:pPr>
      <w:r w:rsidRPr="008B7CD7">
        <w:rPr>
          <w:rFonts w:eastAsia="Times New Roman"/>
          <w:sz w:val="24"/>
          <w:szCs w:val="24"/>
        </w:rPr>
        <w:t>If, upon request by the owner of the premises or upon its own initiative, the Department or its Designee or the public water system determines that it is unreasonable to locate all cross connections within the premises, or the Department or its Designee determines that protection of all cross connections is unreasonable for economic reasons, then:</w:t>
      </w:r>
    </w:p>
    <w:p w14:paraId="281A7145" w14:textId="77777777" w:rsidR="004647B9" w:rsidRPr="008B7CD7" w:rsidRDefault="00E2436F" w:rsidP="00AC6BA6">
      <w:pPr>
        <w:numPr>
          <w:ilvl w:val="3"/>
          <w:numId w:val="861"/>
        </w:numPr>
        <w:tabs>
          <w:tab w:val="left" w:pos="2388"/>
        </w:tabs>
        <w:ind w:left="1980" w:right="1260" w:hanging="5"/>
        <w:jc w:val="both"/>
        <w:rPr>
          <w:rFonts w:eastAsia="Times New Roman"/>
          <w:sz w:val="24"/>
          <w:szCs w:val="24"/>
        </w:rPr>
      </w:pPr>
      <w:r w:rsidRPr="008B7CD7">
        <w:rPr>
          <w:rFonts w:eastAsia="Times New Roman"/>
          <w:sz w:val="24"/>
          <w:szCs w:val="24"/>
        </w:rPr>
        <w:t>the public water supply distribution system shall be protected by installation of a reduced pressure backflow preventer or an air gap separation at the meter or property line; and</w:t>
      </w:r>
    </w:p>
    <w:p w14:paraId="281A7147" w14:textId="77777777" w:rsidR="004647B9" w:rsidRPr="008B7CD7" w:rsidRDefault="00E2436F" w:rsidP="00AC6BA6">
      <w:pPr>
        <w:numPr>
          <w:ilvl w:val="3"/>
          <w:numId w:val="861"/>
        </w:numPr>
        <w:tabs>
          <w:tab w:val="left" w:pos="2347"/>
        </w:tabs>
        <w:ind w:left="1980" w:right="1260" w:hanging="5"/>
        <w:rPr>
          <w:rFonts w:eastAsia="Times New Roman"/>
          <w:sz w:val="24"/>
          <w:szCs w:val="24"/>
        </w:rPr>
      </w:pPr>
      <w:r w:rsidRPr="008B7CD7">
        <w:rPr>
          <w:rFonts w:eastAsia="Times New Roman"/>
          <w:sz w:val="24"/>
          <w:szCs w:val="24"/>
        </w:rPr>
        <w:t>the owner of the premises shall provide a safe, alternative supply of potable water, well marked and labeled, to all domestic water fixtures on the premises.</w:t>
      </w:r>
    </w:p>
    <w:p w14:paraId="281A7148" w14:textId="77777777" w:rsidR="004647B9" w:rsidRPr="008B7CD7" w:rsidRDefault="004647B9" w:rsidP="00AC6BA6">
      <w:pPr>
        <w:rPr>
          <w:rFonts w:eastAsia="Times New Roman"/>
          <w:sz w:val="24"/>
          <w:szCs w:val="24"/>
        </w:rPr>
      </w:pPr>
    </w:p>
    <w:p w14:paraId="281A7149" w14:textId="77777777" w:rsidR="004647B9" w:rsidRPr="008B7CD7" w:rsidRDefault="00E2436F" w:rsidP="00AC6BA6">
      <w:pPr>
        <w:numPr>
          <w:ilvl w:val="0"/>
          <w:numId w:val="862"/>
        </w:numPr>
        <w:tabs>
          <w:tab w:val="left" w:pos="1720"/>
        </w:tabs>
        <w:ind w:left="1720" w:hanging="460"/>
        <w:rPr>
          <w:rFonts w:eastAsia="Times New Roman"/>
          <w:sz w:val="24"/>
          <w:szCs w:val="24"/>
        </w:rPr>
      </w:pPr>
      <w:r w:rsidRPr="008B7CD7">
        <w:rPr>
          <w:rFonts w:eastAsia="Times New Roman"/>
          <w:sz w:val="24"/>
          <w:szCs w:val="24"/>
          <w:u w:val="single"/>
        </w:rPr>
        <w:t>Types of Backflow Prevention Devices Required</w:t>
      </w:r>
      <w:r w:rsidRPr="008B7CD7">
        <w:rPr>
          <w:rFonts w:eastAsia="Times New Roman"/>
          <w:sz w:val="24"/>
          <w:szCs w:val="24"/>
        </w:rPr>
        <w:t>.</w:t>
      </w:r>
    </w:p>
    <w:p w14:paraId="281A714B" w14:textId="77777777" w:rsidR="004647B9" w:rsidRPr="008B7CD7" w:rsidRDefault="00E2436F" w:rsidP="00AC6BA6">
      <w:pPr>
        <w:numPr>
          <w:ilvl w:val="1"/>
          <w:numId w:val="862"/>
        </w:numPr>
        <w:tabs>
          <w:tab w:val="left" w:pos="2073"/>
        </w:tabs>
        <w:ind w:left="1620" w:right="1260" w:hanging="5"/>
        <w:rPr>
          <w:rFonts w:eastAsia="Times New Roman"/>
          <w:sz w:val="24"/>
          <w:szCs w:val="24"/>
        </w:rPr>
      </w:pPr>
      <w:r w:rsidRPr="008B7CD7">
        <w:rPr>
          <w:rFonts w:eastAsia="Times New Roman"/>
          <w:sz w:val="24"/>
          <w:szCs w:val="24"/>
        </w:rPr>
        <w:t xml:space="preserve">Subject to the provisions of 310 CMR 22.22(10): </w:t>
      </w:r>
      <w:r w:rsidRPr="008B7CD7">
        <w:rPr>
          <w:rFonts w:eastAsia="Times New Roman"/>
          <w:i/>
          <w:iCs/>
          <w:sz w:val="24"/>
          <w:szCs w:val="24"/>
        </w:rPr>
        <w:t>Table 22-1</w:t>
      </w:r>
      <w:r w:rsidRPr="008B7CD7">
        <w:rPr>
          <w:rFonts w:eastAsia="Times New Roman"/>
          <w:sz w:val="24"/>
          <w:szCs w:val="24"/>
        </w:rPr>
        <w:t xml:space="preserve"> shall serve as the guide for the type of protection required.</w:t>
      </w:r>
    </w:p>
    <w:p w14:paraId="281A714C" w14:textId="77777777" w:rsidR="004647B9" w:rsidRPr="00D44D30" w:rsidRDefault="004647B9" w:rsidP="00AC6BA6">
      <w:pPr>
        <w:rPr>
          <w:sz w:val="24"/>
          <w:szCs w:val="24"/>
        </w:rPr>
      </w:pPr>
    </w:p>
    <w:p w14:paraId="281A714D" w14:textId="77777777" w:rsidR="004647B9" w:rsidRPr="00D44D30" w:rsidRDefault="00E2436F" w:rsidP="00AC6BA6">
      <w:pPr>
        <w:ind w:left="4600"/>
        <w:rPr>
          <w:sz w:val="24"/>
          <w:szCs w:val="24"/>
        </w:rPr>
      </w:pPr>
      <w:r w:rsidRPr="00D44D30">
        <w:rPr>
          <w:rFonts w:eastAsia="Times New Roman"/>
          <w:i/>
          <w:iCs/>
          <w:sz w:val="24"/>
          <w:szCs w:val="24"/>
        </w:rPr>
        <w:t>Table 22-1</w:t>
      </w:r>
    </w:p>
    <w:p w14:paraId="281A714E" w14:textId="77777777" w:rsidR="004647B9" w:rsidRPr="00D44D30" w:rsidRDefault="004647B9" w:rsidP="00AC6BA6">
      <w:pPr>
        <w:rPr>
          <w:sz w:val="24"/>
          <w:szCs w:val="24"/>
        </w:rPr>
      </w:pPr>
    </w:p>
    <w:tbl>
      <w:tblPr>
        <w:tblW w:w="0" w:type="auto"/>
        <w:tblLayout w:type="fixed"/>
        <w:tblCellMar>
          <w:left w:w="0" w:type="dxa"/>
          <w:right w:w="0" w:type="dxa"/>
        </w:tblCellMar>
        <w:tblLook w:val="04A0" w:firstRow="1" w:lastRow="0" w:firstColumn="1" w:lastColumn="0" w:noHBand="0" w:noVBand="1"/>
      </w:tblPr>
      <w:tblGrid>
        <w:gridCol w:w="620"/>
        <w:gridCol w:w="3960"/>
        <w:gridCol w:w="1380"/>
        <w:gridCol w:w="5540"/>
      </w:tblGrid>
      <w:tr w:rsidR="008B7CD7" w14:paraId="281A7154" w14:textId="77777777">
        <w:trPr>
          <w:trHeight w:val="234"/>
        </w:trPr>
        <w:tc>
          <w:tcPr>
            <w:tcW w:w="620" w:type="dxa"/>
            <w:vAlign w:val="bottom"/>
          </w:tcPr>
          <w:p w14:paraId="281A714F" w14:textId="77777777" w:rsidR="008B7CD7" w:rsidRDefault="008B7CD7" w:rsidP="00AC6BA6">
            <w:pPr>
              <w:rPr>
                <w:sz w:val="20"/>
                <w:szCs w:val="20"/>
              </w:rPr>
            </w:pPr>
            <w:r>
              <w:rPr>
                <w:rFonts w:eastAsia="Times New Roman"/>
                <w:sz w:val="18"/>
                <w:szCs w:val="18"/>
              </w:rPr>
              <w:t>AG</w:t>
            </w:r>
          </w:p>
        </w:tc>
        <w:tc>
          <w:tcPr>
            <w:tcW w:w="3960" w:type="dxa"/>
            <w:vAlign w:val="bottom"/>
          </w:tcPr>
          <w:p w14:paraId="281A7150" w14:textId="77777777" w:rsidR="008B7CD7" w:rsidRDefault="008B7CD7" w:rsidP="00AC6BA6">
            <w:pPr>
              <w:ind w:left="120"/>
              <w:rPr>
                <w:sz w:val="20"/>
                <w:szCs w:val="20"/>
              </w:rPr>
            </w:pPr>
            <w:r>
              <w:rPr>
                <w:rFonts w:eastAsia="Times New Roman"/>
                <w:sz w:val="18"/>
                <w:szCs w:val="18"/>
              </w:rPr>
              <w:t>- Air Gap</w:t>
            </w:r>
          </w:p>
        </w:tc>
        <w:tc>
          <w:tcPr>
            <w:tcW w:w="1380" w:type="dxa"/>
            <w:vAlign w:val="bottom"/>
          </w:tcPr>
          <w:p w14:paraId="281A7152" w14:textId="77777777" w:rsidR="008B7CD7" w:rsidRDefault="008B7CD7" w:rsidP="00AC6BA6">
            <w:pPr>
              <w:ind w:left="740"/>
              <w:rPr>
                <w:sz w:val="20"/>
                <w:szCs w:val="20"/>
              </w:rPr>
            </w:pPr>
            <w:r>
              <w:rPr>
                <w:rFonts w:eastAsia="Times New Roman"/>
                <w:sz w:val="18"/>
                <w:szCs w:val="18"/>
              </w:rPr>
              <w:t>PVB</w:t>
            </w:r>
          </w:p>
        </w:tc>
        <w:tc>
          <w:tcPr>
            <w:tcW w:w="5540" w:type="dxa"/>
            <w:vAlign w:val="bottom"/>
          </w:tcPr>
          <w:p w14:paraId="281A7153" w14:textId="1F654661" w:rsidR="008B7CD7" w:rsidRDefault="008B7CD7" w:rsidP="00AC6BA6">
            <w:pPr>
              <w:ind w:left="100"/>
              <w:rPr>
                <w:sz w:val="20"/>
                <w:szCs w:val="20"/>
              </w:rPr>
            </w:pPr>
            <w:r>
              <w:rPr>
                <w:rFonts w:eastAsia="Times New Roman"/>
                <w:sz w:val="18"/>
                <w:szCs w:val="18"/>
              </w:rPr>
              <w:t>- Pressure Vacuum Breaker</w:t>
            </w:r>
          </w:p>
        </w:tc>
      </w:tr>
      <w:tr w:rsidR="008B7CD7" w14:paraId="281A715A" w14:textId="77777777">
        <w:trPr>
          <w:trHeight w:val="281"/>
        </w:trPr>
        <w:tc>
          <w:tcPr>
            <w:tcW w:w="620" w:type="dxa"/>
            <w:vAlign w:val="bottom"/>
          </w:tcPr>
          <w:p w14:paraId="281A7155" w14:textId="77777777" w:rsidR="008B7CD7" w:rsidRDefault="008B7CD7" w:rsidP="00AC6BA6">
            <w:pPr>
              <w:rPr>
                <w:sz w:val="20"/>
                <w:szCs w:val="20"/>
              </w:rPr>
            </w:pPr>
            <w:r>
              <w:rPr>
                <w:rFonts w:eastAsia="Times New Roman"/>
                <w:sz w:val="18"/>
                <w:szCs w:val="18"/>
              </w:rPr>
              <w:t>RPBP</w:t>
            </w:r>
          </w:p>
        </w:tc>
        <w:tc>
          <w:tcPr>
            <w:tcW w:w="3960" w:type="dxa"/>
            <w:vAlign w:val="bottom"/>
          </w:tcPr>
          <w:p w14:paraId="281A7156" w14:textId="77777777" w:rsidR="008B7CD7" w:rsidRDefault="008B7CD7" w:rsidP="00AC6BA6">
            <w:pPr>
              <w:ind w:left="120"/>
              <w:rPr>
                <w:sz w:val="20"/>
                <w:szCs w:val="20"/>
              </w:rPr>
            </w:pPr>
            <w:r>
              <w:rPr>
                <w:rFonts w:eastAsia="Times New Roman"/>
                <w:sz w:val="18"/>
                <w:szCs w:val="18"/>
              </w:rPr>
              <w:t>- Reduced Pressure Backflow Preventer</w:t>
            </w:r>
          </w:p>
        </w:tc>
        <w:tc>
          <w:tcPr>
            <w:tcW w:w="1380" w:type="dxa"/>
            <w:vAlign w:val="bottom"/>
          </w:tcPr>
          <w:p w14:paraId="281A7158" w14:textId="77777777" w:rsidR="008B7CD7" w:rsidRDefault="008B7CD7" w:rsidP="00AC6BA6">
            <w:pPr>
              <w:ind w:left="740"/>
              <w:rPr>
                <w:sz w:val="20"/>
                <w:szCs w:val="20"/>
              </w:rPr>
            </w:pPr>
            <w:r>
              <w:rPr>
                <w:rFonts w:eastAsia="Times New Roman"/>
                <w:sz w:val="18"/>
                <w:szCs w:val="18"/>
              </w:rPr>
              <w:t>BPIAV</w:t>
            </w:r>
          </w:p>
        </w:tc>
        <w:tc>
          <w:tcPr>
            <w:tcW w:w="5540" w:type="dxa"/>
            <w:vAlign w:val="bottom"/>
          </w:tcPr>
          <w:p w14:paraId="281A7159" w14:textId="120A1642" w:rsidR="008B7CD7" w:rsidRDefault="008B7CD7" w:rsidP="00AC6BA6">
            <w:pPr>
              <w:ind w:left="100"/>
              <w:rPr>
                <w:sz w:val="20"/>
                <w:szCs w:val="20"/>
              </w:rPr>
            </w:pPr>
            <w:r>
              <w:rPr>
                <w:rFonts w:eastAsia="Times New Roman"/>
                <w:sz w:val="18"/>
                <w:szCs w:val="18"/>
              </w:rPr>
              <w:t>- Backflow Preventer with Intermediate Atmospheric</w:t>
            </w:r>
            <w:r w:rsidR="00C5339E">
              <w:rPr>
                <w:rFonts w:eastAsia="Times New Roman"/>
                <w:sz w:val="18"/>
                <w:szCs w:val="18"/>
              </w:rPr>
              <w:t xml:space="preserve"> Vent</w:t>
            </w:r>
          </w:p>
        </w:tc>
      </w:tr>
      <w:tr w:rsidR="008B7CD7" w14:paraId="281A7160" w14:textId="77777777">
        <w:trPr>
          <w:trHeight w:val="278"/>
        </w:trPr>
        <w:tc>
          <w:tcPr>
            <w:tcW w:w="620" w:type="dxa"/>
            <w:vAlign w:val="bottom"/>
          </w:tcPr>
          <w:p w14:paraId="281A715B" w14:textId="77777777" w:rsidR="008B7CD7" w:rsidRDefault="008B7CD7" w:rsidP="00AC6BA6">
            <w:pPr>
              <w:rPr>
                <w:sz w:val="20"/>
                <w:szCs w:val="20"/>
              </w:rPr>
            </w:pPr>
            <w:r>
              <w:rPr>
                <w:rFonts w:eastAsia="Times New Roman"/>
                <w:sz w:val="18"/>
                <w:szCs w:val="18"/>
              </w:rPr>
              <w:t>DCVA</w:t>
            </w:r>
          </w:p>
        </w:tc>
        <w:tc>
          <w:tcPr>
            <w:tcW w:w="3960" w:type="dxa"/>
            <w:vAlign w:val="bottom"/>
          </w:tcPr>
          <w:p w14:paraId="281A715C" w14:textId="77777777" w:rsidR="008B7CD7" w:rsidRDefault="008B7CD7" w:rsidP="00AC6BA6">
            <w:pPr>
              <w:ind w:left="120"/>
              <w:rPr>
                <w:sz w:val="20"/>
                <w:szCs w:val="20"/>
              </w:rPr>
            </w:pPr>
            <w:r>
              <w:rPr>
                <w:rFonts w:eastAsia="Times New Roman"/>
                <w:sz w:val="18"/>
                <w:szCs w:val="18"/>
              </w:rPr>
              <w:t>- Double Check Valve Assembly</w:t>
            </w:r>
          </w:p>
        </w:tc>
        <w:tc>
          <w:tcPr>
            <w:tcW w:w="1380" w:type="dxa"/>
            <w:vAlign w:val="bottom"/>
          </w:tcPr>
          <w:p w14:paraId="281A715E" w14:textId="2804AA95" w:rsidR="008B7CD7" w:rsidRDefault="008B7CD7" w:rsidP="00AC6BA6">
            <w:pPr>
              <w:rPr>
                <w:sz w:val="20"/>
                <w:szCs w:val="20"/>
              </w:rPr>
            </w:pPr>
          </w:p>
        </w:tc>
        <w:tc>
          <w:tcPr>
            <w:tcW w:w="5540" w:type="dxa"/>
            <w:vAlign w:val="bottom"/>
          </w:tcPr>
          <w:p w14:paraId="281A715F" w14:textId="77777777" w:rsidR="008B7CD7" w:rsidRDefault="008B7CD7" w:rsidP="00AC6BA6">
            <w:pPr>
              <w:rPr>
                <w:sz w:val="24"/>
                <w:szCs w:val="24"/>
              </w:rPr>
            </w:pPr>
          </w:p>
        </w:tc>
      </w:tr>
      <w:tr w:rsidR="008B7CD7" w14:paraId="281A7166" w14:textId="77777777">
        <w:trPr>
          <w:trHeight w:val="296"/>
        </w:trPr>
        <w:tc>
          <w:tcPr>
            <w:tcW w:w="620" w:type="dxa"/>
            <w:tcBorders>
              <w:bottom w:val="single" w:sz="8" w:space="0" w:color="auto"/>
            </w:tcBorders>
            <w:vAlign w:val="bottom"/>
          </w:tcPr>
          <w:p w14:paraId="281A7161" w14:textId="77777777" w:rsidR="008B7CD7" w:rsidRDefault="008B7CD7" w:rsidP="00AC6BA6">
            <w:pPr>
              <w:rPr>
                <w:sz w:val="20"/>
                <w:szCs w:val="20"/>
              </w:rPr>
            </w:pPr>
            <w:r>
              <w:rPr>
                <w:rFonts w:eastAsia="Times New Roman"/>
                <w:sz w:val="18"/>
                <w:szCs w:val="18"/>
              </w:rPr>
              <w:t>AVB</w:t>
            </w:r>
          </w:p>
        </w:tc>
        <w:tc>
          <w:tcPr>
            <w:tcW w:w="3960" w:type="dxa"/>
            <w:tcBorders>
              <w:bottom w:val="single" w:sz="8" w:space="0" w:color="auto"/>
            </w:tcBorders>
            <w:vAlign w:val="bottom"/>
          </w:tcPr>
          <w:p w14:paraId="281A7162" w14:textId="77777777" w:rsidR="008B7CD7" w:rsidRDefault="008B7CD7" w:rsidP="00AC6BA6">
            <w:pPr>
              <w:ind w:left="120"/>
              <w:rPr>
                <w:sz w:val="20"/>
                <w:szCs w:val="20"/>
              </w:rPr>
            </w:pPr>
            <w:r>
              <w:rPr>
                <w:rFonts w:eastAsia="Times New Roman"/>
                <w:sz w:val="18"/>
                <w:szCs w:val="18"/>
              </w:rPr>
              <w:t>- Atmospheric Vacuum Breaker</w:t>
            </w:r>
          </w:p>
        </w:tc>
        <w:tc>
          <w:tcPr>
            <w:tcW w:w="1380" w:type="dxa"/>
            <w:tcBorders>
              <w:bottom w:val="single" w:sz="8" w:space="0" w:color="auto"/>
            </w:tcBorders>
            <w:vAlign w:val="bottom"/>
          </w:tcPr>
          <w:p w14:paraId="281A7164" w14:textId="77777777" w:rsidR="008B7CD7" w:rsidRDefault="008B7CD7" w:rsidP="00AC6BA6">
            <w:pPr>
              <w:rPr>
                <w:sz w:val="24"/>
                <w:szCs w:val="24"/>
              </w:rPr>
            </w:pPr>
          </w:p>
        </w:tc>
        <w:tc>
          <w:tcPr>
            <w:tcW w:w="5540" w:type="dxa"/>
            <w:tcBorders>
              <w:bottom w:val="single" w:sz="8" w:space="0" w:color="auto"/>
            </w:tcBorders>
            <w:vAlign w:val="bottom"/>
          </w:tcPr>
          <w:p w14:paraId="281A7165" w14:textId="77777777" w:rsidR="008B7CD7" w:rsidRDefault="008B7CD7" w:rsidP="00AC6BA6">
            <w:pPr>
              <w:rPr>
                <w:sz w:val="24"/>
                <w:szCs w:val="24"/>
              </w:rPr>
            </w:pPr>
          </w:p>
        </w:tc>
      </w:tr>
      <w:tr w:rsidR="008B7CD7" w14:paraId="281A716C" w14:textId="77777777">
        <w:trPr>
          <w:trHeight w:val="22"/>
        </w:trPr>
        <w:tc>
          <w:tcPr>
            <w:tcW w:w="620" w:type="dxa"/>
            <w:tcBorders>
              <w:bottom w:val="single" w:sz="8" w:space="0" w:color="auto"/>
            </w:tcBorders>
            <w:vAlign w:val="bottom"/>
          </w:tcPr>
          <w:p w14:paraId="281A7167" w14:textId="77777777" w:rsidR="008B7CD7" w:rsidRDefault="008B7CD7" w:rsidP="00AC6BA6">
            <w:pPr>
              <w:rPr>
                <w:sz w:val="1"/>
                <w:szCs w:val="1"/>
              </w:rPr>
            </w:pPr>
          </w:p>
        </w:tc>
        <w:tc>
          <w:tcPr>
            <w:tcW w:w="3960" w:type="dxa"/>
            <w:tcBorders>
              <w:bottom w:val="single" w:sz="8" w:space="0" w:color="auto"/>
            </w:tcBorders>
            <w:vAlign w:val="bottom"/>
          </w:tcPr>
          <w:p w14:paraId="281A7168" w14:textId="77777777" w:rsidR="008B7CD7" w:rsidRDefault="008B7CD7" w:rsidP="00AC6BA6">
            <w:pPr>
              <w:rPr>
                <w:sz w:val="1"/>
                <w:szCs w:val="1"/>
              </w:rPr>
            </w:pPr>
          </w:p>
        </w:tc>
        <w:tc>
          <w:tcPr>
            <w:tcW w:w="1380" w:type="dxa"/>
            <w:vAlign w:val="bottom"/>
          </w:tcPr>
          <w:p w14:paraId="281A716A" w14:textId="77777777" w:rsidR="008B7CD7" w:rsidRDefault="008B7CD7" w:rsidP="00AC6BA6">
            <w:pPr>
              <w:rPr>
                <w:sz w:val="1"/>
                <w:szCs w:val="1"/>
              </w:rPr>
            </w:pPr>
          </w:p>
        </w:tc>
        <w:tc>
          <w:tcPr>
            <w:tcW w:w="5540" w:type="dxa"/>
            <w:vAlign w:val="bottom"/>
          </w:tcPr>
          <w:p w14:paraId="281A716B" w14:textId="77777777" w:rsidR="008B7CD7" w:rsidRDefault="008B7CD7" w:rsidP="00AC6BA6">
            <w:pPr>
              <w:rPr>
                <w:sz w:val="1"/>
                <w:szCs w:val="1"/>
              </w:rPr>
            </w:pPr>
          </w:p>
        </w:tc>
      </w:tr>
    </w:tbl>
    <w:p w14:paraId="281A716D" w14:textId="5D479201" w:rsidR="004647B9" w:rsidRDefault="004647B9" w:rsidP="00AC6BA6">
      <w:pPr>
        <w:rPr>
          <w:sz w:val="20"/>
          <w:szCs w:val="20"/>
        </w:rPr>
      </w:pPr>
    </w:p>
    <w:p w14:paraId="281A716E" w14:textId="77777777" w:rsidR="004647B9" w:rsidRDefault="004647B9" w:rsidP="00AC6BA6">
      <w:pPr>
        <w:sectPr w:rsidR="004647B9" w:rsidSect="00EF630C">
          <w:pgSz w:w="12240" w:h="20180"/>
          <w:pgMar w:top="708" w:right="180" w:bottom="422" w:left="540" w:header="0" w:footer="0" w:gutter="0"/>
          <w:cols w:space="720"/>
        </w:sectPr>
      </w:pPr>
    </w:p>
    <w:tbl>
      <w:tblPr>
        <w:tblStyle w:val="TableGrid"/>
        <w:tblW w:w="11504" w:type="dxa"/>
        <w:tblLayout w:type="fixed"/>
        <w:tblLook w:val="04A0" w:firstRow="1" w:lastRow="0" w:firstColumn="1" w:lastColumn="0" w:noHBand="0" w:noVBand="1"/>
      </w:tblPr>
      <w:tblGrid>
        <w:gridCol w:w="4315"/>
        <w:gridCol w:w="540"/>
        <w:gridCol w:w="720"/>
        <w:gridCol w:w="810"/>
        <w:gridCol w:w="630"/>
        <w:gridCol w:w="630"/>
        <w:gridCol w:w="810"/>
        <w:gridCol w:w="3049"/>
      </w:tblGrid>
      <w:tr w:rsidR="002A43B8" w:rsidRPr="002A43B8" w14:paraId="3DD2FE4C" w14:textId="77777777" w:rsidTr="002A43B8">
        <w:tc>
          <w:tcPr>
            <w:tcW w:w="4315" w:type="dxa"/>
            <w:vMerge w:val="restart"/>
            <w:tcBorders>
              <w:top w:val="double" w:sz="4" w:space="0" w:color="auto"/>
              <w:bottom w:val="double" w:sz="4" w:space="0" w:color="auto"/>
            </w:tcBorders>
            <w:vAlign w:val="center"/>
          </w:tcPr>
          <w:p w14:paraId="255CF433" w14:textId="63722A7B" w:rsidR="002A43B8" w:rsidRPr="002A43B8" w:rsidRDefault="002A43B8" w:rsidP="00AC6BA6">
            <w:pPr>
              <w:jc w:val="center"/>
              <w:rPr>
                <w:sz w:val="18"/>
                <w:szCs w:val="18"/>
              </w:rPr>
            </w:pPr>
            <w:r w:rsidRPr="002A43B8">
              <w:rPr>
                <w:rFonts w:eastAsia="Times New Roman"/>
                <w:sz w:val="18"/>
                <w:szCs w:val="18"/>
              </w:rPr>
              <w:t>Types of Hazard on Premises</w:t>
            </w:r>
          </w:p>
        </w:tc>
        <w:tc>
          <w:tcPr>
            <w:tcW w:w="4140" w:type="dxa"/>
            <w:gridSpan w:val="6"/>
            <w:tcBorders>
              <w:top w:val="double" w:sz="4" w:space="0" w:color="auto"/>
              <w:bottom w:val="single" w:sz="4" w:space="0" w:color="auto"/>
            </w:tcBorders>
            <w:vAlign w:val="center"/>
          </w:tcPr>
          <w:p w14:paraId="04E812EC" w14:textId="1C002C10" w:rsidR="002A43B8" w:rsidRPr="002A43B8" w:rsidRDefault="002A43B8" w:rsidP="00AC6BA6">
            <w:pPr>
              <w:spacing w:before="40" w:after="40"/>
              <w:ind w:left="60"/>
              <w:jc w:val="center"/>
              <w:rPr>
                <w:sz w:val="18"/>
                <w:szCs w:val="18"/>
              </w:rPr>
            </w:pPr>
            <w:r w:rsidRPr="002A43B8">
              <w:rPr>
                <w:rFonts w:eastAsia="Times New Roman"/>
                <w:sz w:val="18"/>
                <w:szCs w:val="18"/>
              </w:rPr>
              <w:t>Acceptable Types of Backflow Preventers</w:t>
            </w:r>
          </w:p>
        </w:tc>
        <w:tc>
          <w:tcPr>
            <w:tcW w:w="3049" w:type="dxa"/>
            <w:vMerge w:val="restart"/>
            <w:tcBorders>
              <w:top w:val="double" w:sz="4" w:space="0" w:color="auto"/>
            </w:tcBorders>
            <w:vAlign w:val="center"/>
          </w:tcPr>
          <w:p w14:paraId="562AAA45" w14:textId="4AE0D5E4" w:rsidR="002A43B8" w:rsidRPr="002A43B8" w:rsidRDefault="002A43B8" w:rsidP="00AC6BA6">
            <w:pPr>
              <w:jc w:val="center"/>
              <w:rPr>
                <w:sz w:val="18"/>
                <w:szCs w:val="18"/>
              </w:rPr>
            </w:pPr>
            <w:r w:rsidRPr="002A43B8">
              <w:rPr>
                <w:sz w:val="18"/>
                <w:szCs w:val="18"/>
              </w:rPr>
              <w:t>Comments*</w:t>
            </w:r>
          </w:p>
        </w:tc>
      </w:tr>
      <w:tr w:rsidR="002A43B8" w:rsidRPr="002A43B8" w14:paraId="38DD30EC" w14:textId="77777777" w:rsidTr="002A43B8">
        <w:tc>
          <w:tcPr>
            <w:tcW w:w="4315" w:type="dxa"/>
            <w:vMerge/>
            <w:tcBorders>
              <w:bottom w:val="double" w:sz="4" w:space="0" w:color="auto"/>
            </w:tcBorders>
          </w:tcPr>
          <w:p w14:paraId="62726C4B" w14:textId="77777777" w:rsidR="002A43B8" w:rsidRPr="002A43B8" w:rsidRDefault="002A43B8" w:rsidP="00AC6BA6">
            <w:pPr>
              <w:rPr>
                <w:sz w:val="18"/>
                <w:szCs w:val="18"/>
              </w:rPr>
            </w:pPr>
          </w:p>
        </w:tc>
        <w:tc>
          <w:tcPr>
            <w:tcW w:w="540" w:type="dxa"/>
            <w:tcBorders>
              <w:bottom w:val="double" w:sz="4" w:space="0" w:color="auto"/>
            </w:tcBorders>
          </w:tcPr>
          <w:p w14:paraId="5AB16C69" w14:textId="4FE110AF" w:rsidR="002A43B8" w:rsidRPr="002A43B8" w:rsidRDefault="002A43B8" w:rsidP="00AC6BA6">
            <w:pPr>
              <w:spacing w:before="40" w:after="40"/>
              <w:rPr>
                <w:sz w:val="18"/>
                <w:szCs w:val="18"/>
              </w:rPr>
            </w:pPr>
            <w:r w:rsidRPr="002A43B8">
              <w:rPr>
                <w:sz w:val="18"/>
                <w:szCs w:val="18"/>
              </w:rPr>
              <w:t>AG</w:t>
            </w:r>
          </w:p>
        </w:tc>
        <w:tc>
          <w:tcPr>
            <w:tcW w:w="720" w:type="dxa"/>
            <w:tcBorders>
              <w:bottom w:val="double" w:sz="4" w:space="0" w:color="auto"/>
            </w:tcBorders>
          </w:tcPr>
          <w:p w14:paraId="6398D8F3" w14:textId="4F086EF0" w:rsidR="002A43B8" w:rsidRPr="002A43B8" w:rsidRDefault="002A43B8" w:rsidP="00AC6BA6">
            <w:pPr>
              <w:spacing w:before="40" w:after="40"/>
              <w:rPr>
                <w:sz w:val="18"/>
                <w:szCs w:val="18"/>
              </w:rPr>
            </w:pPr>
            <w:r w:rsidRPr="002A43B8">
              <w:rPr>
                <w:sz w:val="18"/>
                <w:szCs w:val="18"/>
              </w:rPr>
              <w:t>RPBP</w:t>
            </w:r>
          </w:p>
        </w:tc>
        <w:tc>
          <w:tcPr>
            <w:tcW w:w="810" w:type="dxa"/>
            <w:tcBorders>
              <w:bottom w:val="double" w:sz="4" w:space="0" w:color="auto"/>
            </w:tcBorders>
          </w:tcPr>
          <w:p w14:paraId="79C7D630" w14:textId="14D30350" w:rsidR="002A43B8" w:rsidRPr="002A43B8" w:rsidRDefault="002A43B8" w:rsidP="00AC6BA6">
            <w:pPr>
              <w:spacing w:before="40" w:after="40"/>
              <w:rPr>
                <w:sz w:val="18"/>
                <w:szCs w:val="18"/>
              </w:rPr>
            </w:pPr>
            <w:r w:rsidRPr="002A43B8">
              <w:rPr>
                <w:sz w:val="18"/>
                <w:szCs w:val="18"/>
              </w:rPr>
              <w:t>DCVA</w:t>
            </w:r>
          </w:p>
        </w:tc>
        <w:tc>
          <w:tcPr>
            <w:tcW w:w="630" w:type="dxa"/>
            <w:tcBorders>
              <w:bottom w:val="double" w:sz="4" w:space="0" w:color="auto"/>
            </w:tcBorders>
          </w:tcPr>
          <w:p w14:paraId="0270EF92" w14:textId="0EB9B182" w:rsidR="002A43B8" w:rsidRPr="002A43B8" w:rsidRDefault="002A43B8" w:rsidP="00AC6BA6">
            <w:pPr>
              <w:spacing w:before="40" w:after="40"/>
              <w:rPr>
                <w:sz w:val="18"/>
                <w:szCs w:val="18"/>
              </w:rPr>
            </w:pPr>
            <w:r w:rsidRPr="002A43B8">
              <w:rPr>
                <w:sz w:val="18"/>
                <w:szCs w:val="18"/>
              </w:rPr>
              <w:t>AVB</w:t>
            </w:r>
          </w:p>
        </w:tc>
        <w:tc>
          <w:tcPr>
            <w:tcW w:w="630" w:type="dxa"/>
            <w:tcBorders>
              <w:bottom w:val="double" w:sz="4" w:space="0" w:color="auto"/>
            </w:tcBorders>
          </w:tcPr>
          <w:p w14:paraId="41A35888" w14:textId="18FE9A76" w:rsidR="002A43B8" w:rsidRPr="002A43B8" w:rsidRDefault="002A43B8" w:rsidP="00AC6BA6">
            <w:pPr>
              <w:spacing w:before="40" w:after="40"/>
              <w:rPr>
                <w:sz w:val="18"/>
                <w:szCs w:val="18"/>
              </w:rPr>
            </w:pPr>
            <w:r w:rsidRPr="002A43B8">
              <w:rPr>
                <w:sz w:val="18"/>
                <w:szCs w:val="18"/>
              </w:rPr>
              <w:t>PVB</w:t>
            </w:r>
          </w:p>
        </w:tc>
        <w:tc>
          <w:tcPr>
            <w:tcW w:w="810" w:type="dxa"/>
            <w:tcBorders>
              <w:bottom w:val="double" w:sz="4" w:space="0" w:color="auto"/>
            </w:tcBorders>
          </w:tcPr>
          <w:p w14:paraId="32881E7E" w14:textId="2C7E166B" w:rsidR="002A43B8" w:rsidRPr="002A43B8" w:rsidRDefault="002A43B8" w:rsidP="00AC6BA6">
            <w:pPr>
              <w:spacing w:before="40" w:after="40"/>
              <w:rPr>
                <w:sz w:val="18"/>
                <w:szCs w:val="18"/>
              </w:rPr>
            </w:pPr>
            <w:r w:rsidRPr="002A43B8">
              <w:rPr>
                <w:sz w:val="18"/>
                <w:szCs w:val="18"/>
              </w:rPr>
              <w:t>BPIAV</w:t>
            </w:r>
          </w:p>
        </w:tc>
        <w:tc>
          <w:tcPr>
            <w:tcW w:w="3049" w:type="dxa"/>
            <w:vMerge/>
            <w:tcBorders>
              <w:bottom w:val="double" w:sz="4" w:space="0" w:color="auto"/>
            </w:tcBorders>
          </w:tcPr>
          <w:p w14:paraId="2B06A463" w14:textId="77777777" w:rsidR="002A43B8" w:rsidRPr="002A43B8" w:rsidRDefault="002A43B8" w:rsidP="00AC6BA6">
            <w:pPr>
              <w:rPr>
                <w:sz w:val="18"/>
                <w:szCs w:val="18"/>
              </w:rPr>
            </w:pPr>
          </w:p>
        </w:tc>
      </w:tr>
      <w:tr w:rsidR="002A43B8" w:rsidRPr="002A43B8" w14:paraId="28677876" w14:textId="77777777" w:rsidTr="001D326A">
        <w:tc>
          <w:tcPr>
            <w:tcW w:w="4315" w:type="dxa"/>
            <w:tcBorders>
              <w:top w:val="double" w:sz="4" w:space="0" w:color="auto"/>
              <w:bottom w:val="single" w:sz="4" w:space="0" w:color="auto"/>
            </w:tcBorders>
            <w:vAlign w:val="center"/>
          </w:tcPr>
          <w:p w14:paraId="18AAA81A" w14:textId="064CF6B5" w:rsidR="007D6061" w:rsidRPr="002A43B8" w:rsidRDefault="00BF6FF5" w:rsidP="00AC6BA6">
            <w:pPr>
              <w:pStyle w:val="ListParagraph"/>
              <w:numPr>
                <w:ilvl w:val="0"/>
                <w:numId w:val="966"/>
              </w:numPr>
              <w:spacing w:before="40" w:after="40"/>
              <w:ind w:left="360"/>
              <w:rPr>
                <w:sz w:val="18"/>
                <w:szCs w:val="18"/>
              </w:rPr>
            </w:pPr>
            <w:r w:rsidRPr="002A43B8">
              <w:rPr>
                <w:rFonts w:eastAsia="Times New Roman"/>
                <w:sz w:val="18"/>
                <w:szCs w:val="18"/>
              </w:rPr>
              <w:t>Sewage Treatment Plant</w:t>
            </w:r>
          </w:p>
        </w:tc>
        <w:tc>
          <w:tcPr>
            <w:tcW w:w="540" w:type="dxa"/>
            <w:tcBorders>
              <w:top w:val="double" w:sz="4" w:space="0" w:color="auto"/>
              <w:bottom w:val="single" w:sz="4" w:space="0" w:color="auto"/>
            </w:tcBorders>
            <w:vAlign w:val="center"/>
          </w:tcPr>
          <w:p w14:paraId="65FFA32B" w14:textId="5C6CE212" w:rsidR="007D6061" w:rsidRPr="002A43B8" w:rsidRDefault="002A43B8" w:rsidP="00AC6BA6">
            <w:pPr>
              <w:spacing w:before="40" w:after="40"/>
              <w:jc w:val="center"/>
              <w:rPr>
                <w:sz w:val="18"/>
                <w:szCs w:val="18"/>
              </w:rPr>
            </w:pPr>
            <w:r>
              <w:rPr>
                <w:sz w:val="18"/>
                <w:szCs w:val="18"/>
              </w:rPr>
              <w:t>X</w:t>
            </w:r>
          </w:p>
        </w:tc>
        <w:tc>
          <w:tcPr>
            <w:tcW w:w="720" w:type="dxa"/>
            <w:tcBorders>
              <w:top w:val="double" w:sz="4" w:space="0" w:color="auto"/>
              <w:bottom w:val="single" w:sz="4" w:space="0" w:color="auto"/>
            </w:tcBorders>
            <w:vAlign w:val="center"/>
          </w:tcPr>
          <w:p w14:paraId="1B238B87" w14:textId="5829B404" w:rsidR="007D6061" w:rsidRPr="002A43B8" w:rsidRDefault="002A43B8" w:rsidP="00AC6BA6">
            <w:pPr>
              <w:spacing w:before="40" w:after="40"/>
              <w:jc w:val="center"/>
              <w:rPr>
                <w:sz w:val="18"/>
                <w:szCs w:val="18"/>
              </w:rPr>
            </w:pPr>
            <w:r>
              <w:rPr>
                <w:sz w:val="18"/>
                <w:szCs w:val="18"/>
              </w:rPr>
              <w:t>X</w:t>
            </w:r>
          </w:p>
        </w:tc>
        <w:tc>
          <w:tcPr>
            <w:tcW w:w="810" w:type="dxa"/>
            <w:tcBorders>
              <w:top w:val="double" w:sz="4" w:space="0" w:color="auto"/>
              <w:bottom w:val="single" w:sz="4" w:space="0" w:color="auto"/>
            </w:tcBorders>
            <w:vAlign w:val="center"/>
          </w:tcPr>
          <w:p w14:paraId="3DAC8AE4" w14:textId="77777777" w:rsidR="007D6061" w:rsidRPr="002A43B8" w:rsidRDefault="007D6061" w:rsidP="00AC6BA6">
            <w:pPr>
              <w:spacing w:before="40" w:after="40"/>
              <w:jc w:val="center"/>
              <w:rPr>
                <w:sz w:val="18"/>
                <w:szCs w:val="18"/>
              </w:rPr>
            </w:pPr>
          </w:p>
        </w:tc>
        <w:tc>
          <w:tcPr>
            <w:tcW w:w="630" w:type="dxa"/>
            <w:tcBorders>
              <w:top w:val="double" w:sz="4" w:space="0" w:color="auto"/>
              <w:bottom w:val="single" w:sz="4" w:space="0" w:color="auto"/>
            </w:tcBorders>
            <w:vAlign w:val="center"/>
          </w:tcPr>
          <w:p w14:paraId="1F59264B" w14:textId="77777777" w:rsidR="007D6061" w:rsidRPr="002A43B8" w:rsidRDefault="007D6061" w:rsidP="00AC6BA6">
            <w:pPr>
              <w:spacing w:before="40" w:after="40"/>
              <w:jc w:val="center"/>
              <w:rPr>
                <w:sz w:val="18"/>
                <w:szCs w:val="18"/>
              </w:rPr>
            </w:pPr>
          </w:p>
        </w:tc>
        <w:tc>
          <w:tcPr>
            <w:tcW w:w="630" w:type="dxa"/>
            <w:tcBorders>
              <w:top w:val="double" w:sz="4" w:space="0" w:color="auto"/>
              <w:bottom w:val="single" w:sz="4" w:space="0" w:color="auto"/>
            </w:tcBorders>
            <w:vAlign w:val="center"/>
          </w:tcPr>
          <w:p w14:paraId="3A1EE071" w14:textId="77777777" w:rsidR="007D6061" w:rsidRPr="002A43B8" w:rsidRDefault="007D6061" w:rsidP="00AC6BA6">
            <w:pPr>
              <w:spacing w:before="40" w:after="40"/>
              <w:jc w:val="center"/>
              <w:rPr>
                <w:sz w:val="18"/>
                <w:szCs w:val="18"/>
              </w:rPr>
            </w:pPr>
          </w:p>
        </w:tc>
        <w:tc>
          <w:tcPr>
            <w:tcW w:w="810" w:type="dxa"/>
            <w:tcBorders>
              <w:top w:val="double" w:sz="4" w:space="0" w:color="auto"/>
              <w:bottom w:val="single" w:sz="4" w:space="0" w:color="auto"/>
            </w:tcBorders>
            <w:vAlign w:val="center"/>
          </w:tcPr>
          <w:p w14:paraId="4D9516AF" w14:textId="77777777" w:rsidR="007D6061" w:rsidRPr="002A43B8" w:rsidRDefault="007D6061" w:rsidP="00AC6BA6">
            <w:pPr>
              <w:spacing w:before="40" w:after="40"/>
              <w:jc w:val="center"/>
              <w:rPr>
                <w:sz w:val="18"/>
                <w:szCs w:val="18"/>
              </w:rPr>
            </w:pPr>
          </w:p>
        </w:tc>
        <w:tc>
          <w:tcPr>
            <w:tcW w:w="3049" w:type="dxa"/>
            <w:tcBorders>
              <w:top w:val="double" w:sz="4" w:space="0" w:color="auto"/>
              <w:bottom w:val="single" w:sz="4" w:space="0" w:color="auto"/>
            </w:tcBorders>
          </w:tcPr>
          <w:p w14:paraId="6B9403EC" w14:textId="77777777" w:rsidR="007D6061" w:rsidRPr="002A43B8" w:rsidRDefault="007D6061" w:rsidP="00AC6BA6">
            <w:pPr>
              <w:spacing w:before="40" w:after="40"/>
              <w:rPr>
                <w:sz w:val="18"/>
                <w:szCs w:val="18"/>
              </w:rPr>
            </w:pPr>
          </w:p>
        </w:tc>
      </w:tr>
      <w:tr w:rsidR="000157C3" w:rsidRPr="002A43B8" w14:paraId="49E7BC1A" w14:textId="77777777" w:rsidTr="001D326A">
        <w:tc>
          <w:tcPr>
            <w:tcW w:w="4315" w:type="dxa"/>
            <w:tcBorders>
              <w:top w:val="single" w:sz="4" w:space="0" w:color="auto"/>
            </w:tcBorders>
            <w:vAlign w:val="center"/>
          </w:tcPr>
          <w:p w14:paraId="248506EF" w14:textId="7F051E87" w:rsidR="007D6061" w:rsidRPr="002A43B8" w:rsidRDefault="00BF6FF5"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Sewage Pumping Station</w:t>
            </w:r>
          </w:p>
        </w:tc>
        <w:tc>
          <w:tcPr>
            <w:tcW w:w="540" w:type="dxa"/>
            <w:tcBorders>
              <w:top w:val="single" w:sz="4" w:space="0" w:color="auto"/>
            </w:tcBorders>
            <w:vAlign w:val="center"/>
          </w:tcPr>
          <w:p w14:paraId="1E67BDEB" w14:textId="3BCC1423" w:rsidR="007D6061" w:rsidRPr="002A43B8" w:rsidRDefault="002A43B8" w:rsidP="00AC6BA6">
            <w:pPr>
              <w:spacing w:before="40" w:after="40"/>
              <w:jc w:val="center"/>
              <w:rPr>
                <w:sz w:val="18"/>
                <w:szCs w:val="18"/>
              </w:rPr>
            </w:pPr>
            <w:r>
              <w:rPr>
                <w:sz w:val="18"/>
                <w:szCs w:val="18"/>
              </w:rPr>
              <w:t>X</w:t>
            </w:r>
          </w:p>
        </w:tc>
        <w:tc>
          <w:tcPr>
            <w:tcW w:w="720" w:type="dxa"/>
            <w:tcBorders>
              <w:top w:val="single" w:sz="4" w:space="0" w:color="auto"/>
            </w:tcBorders>
            <w:vAlign w:val="center"/>
          </w:tcPr>
          <w:p w14:paraId="0CED919A" w14:textId="52EBD15F" w:rsidR="007D6061" w:rsidRPr="002A43B8" w:rsidRDefault="002A43B8" w:rsidP="00AC6BA6">
            <w:pPr>
              <w:spacing w:before="40" w:after="40"/>
              <w:jc w:val="center"/>
              <w:rPr>
                <w:sz w:val="18"/>
                <w:szCs w:val="18"/>
              </w:rPr>
            </w:pPr>
            <w:r>
              <w:rPr>
                <w:sz w:val="18"/>
                <w:szCs w:val="18"/>
              </w:rPr>
              <w:t>X</w:t>
            </w:r>
          </w:p>
        </w:tc>
        <w:tc>
          <w:tcPr>
            <w:tcW w:w="810" w:type="dxa"/>
            <w:tcBorders>
              <w:top w:val="single" w:sz="4" w:space="0" w:color="auto"/>
            </w:tcBorders>
            <w:vAlign w:val="center"/>
          </w:tcPr>
          <w:p w14:paraId="10F78163" w14:textId="77777777" w:rsidR="007D6061" w:rsidRPr="002A43B8" w:rsidRDefault="007D6061" w:rsidP="00AC6BA6">
            <w:pPr>
              <w:spacing w:before="40" w:after="40"/>
              <w:jc w:val="center"/>
              <w:rPr>
                <w:sz w:val="18"/>
                <w:szCs w:val="18"/>
              </w:rPr>
            </w:pPr>
          </w:p>
        </w:tc>
        <w:tc>
          <w:tcPr>
            <w:tcW w:w="630" w:type="dxa"/>
            <w:tcBorders>
              <w:top w:val="single" w:sz="4" w:space="0" w:color="auto"/>
            </w:tcBorders>
            <w:vAlign w:val="center"/>
          </w:tcPr>
          <w:p w14:paraId="022B6E89" w14:textId="77777777" w:rsidR="007D6061" w:rsidRPr="002A43B8" w:rsidRDefault="007D6061" w:rsidP="00AC6BA6">
            <w:pPr>
              <w:spacing w:before="40" w:after="40"/>
              <w:jc w:val="center"/>
              <w:rPr>
                <w:sz w:val="18"/>
                <w:szCs w:val="18"/>
              </w:rPr>
            </w:pPr>
          </w:p>
        </w:tc>
        <w:tc>
          <w:tcPr>
            <w:tcW w:w="630" w:type="dxa"/>
            <w:tcBorders>
              <w:top w:val="single" w:sz="4" w:space="0" w:color="auto"/>
            </w:tcBorders>
            <w:vAlign w:val="center"/>
          </w:tcPr>
          <w:p w14:paraId="573C40C1" w14:textId="77777777" w:rsidR="007D6061" w:rsidRPr="002A43B8" w:rsidRDefault="007D6061" w:rsidP="00AC6BA6">
            <w:pPr>
              <w:spacing w:before="40" w:after="40"/>
              <w:jc w:val="center"/>
              <w:rPr>
                <w:sz w:val="18"/>
                <w:szCs w:val="18"/>
              </w:rPr>
            </w:pPr>
          </w:p>
        </w:tc>
        <w:tc>
          <w:tcPr>
            <w:tcW w:w="810" w:type="dxa"/>
            <w:tcBorders>
              <w:top w:val="single" w:sz="4" w:space="0" w:color="auto"/>
            </w:tcBorders>
            <w:vAlign w:val="center"/>
          </w:tcPr>
          <w:p w14:paraId="3D8D14CA" w14:textId="77777777" w:rsidR="007D6061" w:rsidRPr="002A43B8" w:rsidRDefault="007D6061" w:rsidP="00AC6BA6">
            <w:pPr>
              <w:spacing w:before="40" w:after="40"/>
              <w:jc w:val="center"/>
              <w:rPr>
                <w:sz w:val="18"/>
                <w:szCs w:val="18"/>
              </w:rPr>
            </w:pPr>
          </w:p>
        </w:tc>
        <w:tc>
          <w:tcPr>
            <w:tcW w:w="3049" w:type="dxa"/>
            <w:tcBorders>
              <w:top w:val="single" w:sz="4" w:space="0" w:color="auto"/>
            </w:tcBorders>
          </w:tcPr>
          <w:p w14:paraId="686370B5" w14:textId="77777777" w:rsidR="007D6061" w:rsidRPr="002A43B8" w:rsidRDefault="007D6061" w:rsidP="00AC6BA6">
            <w:pPr>
              <w:spacing w:before="40" w:after="40"/>
              <w:rPr>
                <w:sz w:val="18"/>
                <w:szCs w:val="18"/>
              </w:rPr>
            </w:pPr>
          </w:p>
        </w:tc>
      </w:tr>
      <w:tr w:rsidR="000157C3" w:rsidRPr="002A43B8" w14:paraId="3D88AD79" w14:textId="77777777" w:rsidTr="001D326A">
        <w:tc>
          <w:tcPr>
            <w:tcW w:w="4315" w:type="dxa"/>
            <w:vAlign w:val="center"/>
          </w:tcPr>
          <w:p w14:paraId="5A27FDF2" w14:textId="6CF58A3C" w:rsidR="007D6061" w:rsidRPr="002A43B8" w:rsidRDefault="00BF6FF5"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Food Processing</w:t>
            </w:r>
          </w:p>
        </w:tc>
        <w:tc>
          <w:tcPr>
            <w:tcW w:w="540" w:type="dxa"/>
            <w:vAlign w:val="center"/>
          </w:tcPr>
          <w:p w14:paraId="4B461836" w14:textId="1F2D4867" w:rsidR="007D6061" w:rsidRPr="002A43B8" w:rsidRDefault="002A43B8" w:rsidP="00AC6BA6">
            <w:pPr>
              <w:spacing w:before="40" w:after="40"/>
              <w:jc w:val="center"/>
              <w:rPr>
                <w:sz w:val="18"/>
                <w:szCs w:val="18"/>
              </w:rPr>
            </w:pPr>
            <w:r>
              <w:rPr>
                <w:sz w:val="18"/>
                <w:szCs w:val="18"/>
              </w:rPr>
              <w:t>X</w:t>
            </w:r>
          </w:p>
        </w:tc>
        <w:tc>
          <w:tcPr>
            <w:tcW w:w="720" w:type="dxa"/>
            <w:vAlign w:val="center"/>
          </w:tcPr>
          <w:p w14:paraId="5B1BADA7" w14:textId="273F480C" w:rsidR="007D6061" w:rsidRPr="002A43B8" w:rsidRDefault="002A43B8" w:rsidP="00AC6BA6">
            <w:pPr>
              <w:spacing w:before="40" w:after="40"/>
              <w:jc w:val="center"/>
              <w:rPr>
                <w:sz w:val="18"/>
                <w:szCs w:val="18"/>
              </w:rPr>
            </w:pPr>
            <w:r>
              <w:rPr>
                <w:sz w:val="18"/>
                <w:szCs w:val="18"/>
              </w:rPr>
              <w:t>X</w:t>
            </w:r>
          </w:p>
        </w:tc>
        <w:tc>
          <w:tcPr>
            <w:tcW w:w="810" w:type="dxa"/>
            <w:vAlign w:val="center"/>
          </w:tcPr>
          <w:p w14:paraId="4FE1B7EF" w14:textId="5C38B3D4" w:rsidR="007D6061" w:rsidRPr="002A43B8" w:rsidRDefault="002A43B8" w:rsidP="00AC6BA6">
            <w:pPr>
              <w:spacing w:before="40" w:after="40"/>
              <w:jc w:val="center"/>
              <w:rPr>
                <w:sz w:val="18"/>
                <w:szCs w:val="18"/>
              </w:rPr>
            </w:pPr>
            <w:r>
              <w:rPr>
                <w:sz w:val="18"/>
                <w:szCs w:val="18"/>
              </w:rPr>
              <w:t>X*</w:t>
            </w:r>
          </w:p>
        </w:tc>
        <w:tc>
          <w:tcPr>
            <w:tcW w:w="630" w:type="dxa"/>
            <w:vAlign w:val="center"/>
          </w:tcPr>
          <w:p w14:paraId="215A249E" w14:textId="77777777" w:rsidR="007D6061" w:rsidRPr="002A43B8" w:rsidRDefault="007D6061" w:rsidP="00AC6BA6">
            <w:pPr>
              <w:spacing w:before="40" w:after="40"/>
              <w:jc w:val="center"/>
              <w:rPr>
                <w:sz w:val="18"/>
                <w:szCs w:val="18"/>
              </w:rPr>
            </w:pPr>
          </w:p>
        </w:tc>
        <w:tc>
          <w:tcPr>
            <w:tcW w:w="630" w:type="dxa"/>
            <w:vAlign w:val="center"/>
          </w:tcPr>
          <w:p w14:paraId="1A3B7E3E" w14:textId="77777777" w:rsidR="007D6061" w:rsidRPr="002A43B8" w:rsidRDefault="007D6061" w:rsidP="00AC6BA6">
            <w:pPr>
              <w:spacing w:before="40" w:after="40"/>
              <w:jc w:val="center"/>
              <w:rPr>
                <w:sz w:val="18"/>
                <w:szCs w:val="18"/>
              </w:rPr>
            </w:pPr>
          </w:p>
        </w:tc>
        <w:tc>
          <w:tcPr>
            <w:tcW w:w="810" w:type="dxa"/>
            <w:vAlign w:val="center"/>
          </w:tcPr>
          <w:p w14:paraId="7766D6E1" w14:textId="77777777" w:rsidR="007D6061" w:rsidRPr="002A43B8" w:rsidRDefault="007D6061" w:rsidP="00AC6BA6">
            <w:pPr>
              <w:spacing w:before="40" w:after="40"/>
              <w:jc w:val="center"/>
              <w:rPr>
                <w:sz w:val="18"/>
                <w:szCs w:val="18"/>
              </w:rPr>
            </w:pPr>
          </w:p>
        </w:tc>
        <w:tc>
          <w:tcPr>
            <w:tcW w:w="3049" w:type="dxa"/>
          </w:tcPr>
          <w:p w14:paraId="3F4E6515" w14:textId="7D11E899" w:rsidR="007D6061" w:rsidRPr="002A43B8" w:rsidRDefault="00141411" w:rsidP="00AC6BA6">
            <w:pPr>
              <w:spacing w:before="40" w:after="40"/>
              <w:rPr>
                <w:sz w:val="18"/>
                <w:szCs w:val="18"/>
              </w:rPr>
            </w:pPr>
            <w:r w:rsidRPr="002A43B8">
              <w:rPr>
                <w:rFonts w:eastAsia="Times New Roman"/>
                <w:sz w:val="18"/>
                <w:szCs w:val="18"/>
              </w:rPr>
              <w:t>*If no health hazard exists</w:t>
            </w:r>
          </w:p>
        </w:tc>
      </w:tr>
      <w:tr w:rsidR="000157C3" w:rsidRPr="002A43B8" w14:paraId="6F73CC40" w14:textId="77777777" w:rsidTr="001D326A">
        <w:tc>
          <w:tcPr>
            <w:tcW w:w="4315" w:type="dxa"/>
            <w:vAlign w:val="center"/>
          </w:tcPr>
          <w:p w14:paraId="3F73C270" w14:textId="757AD429" w:rsidR="007D6061" w:rsidRPr="002A43B8" w:rsidRDefault="00BF6FF5"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Laboratories</w:t>
            </w:r>
          </w:p>
        </w:tc>
        <w:tc>
          <w:tcPr>
            <w:tcW w:w="540" w:type="dxa"/>
            <w:vAlign w:val="center"/>
          </w:tcPr>
          <w:p w14:paraId="56F72777" w14:textId="0657B25F" w:rsidR="007D6061" w:rsidRPr="002A43B8" w:rsidRDefault="002A43B8" w:rsidP="00AC6BA6">
            <w:pPr>
              <w:spacing w:before="40" w:after="40"/>
              <w:jc w:val="center"/>
              <w:rPr>
                <w:sz w:val="18"/>
                <w:szCs w:val="18"/>
              </w:rPr>
            </w:pPr>
            <w:r>
              <w:rPr>
                <w:sz w:val="18"/>
                <w:szCs w:val="18"/>
              </w:rPr>
              <w:t>X</w:t>
            </w:r>
          </w:p>
        </w:tc>
        <w:tc>
          <w:tcPr>
            <w:tcW w:w="720" w:type="dxa"/>
            <w:vAlign w:val="center"/>
          </w:tcPr>
          <w:p w14:paraId="62B1E5D5" w14:textId="6D629EA1" w:rsidR="007D6061" w:rsidRPr="002A43B8" w:rsidRDefault="002A43B8" w:rsidP="00AC6BA6">
            <w:pPr>
              <w:spacing w:before="40" w:after="40"/>
              <w:jc w:val="center"/>
              <w:rPr>
                <w:sz w:val="18"/>
                <w:szCs w:val="18"/>
              </w:rPr>
            </w:pPr>
            <w:r>
              <w:rPr>
                <w:sz w:val="18"/>
                <w:szCs w:val="18"/>
              </w:rPr>
              <w:t>X</w:t>
            </w:r>
          </w:p>
        </w:tc>
        <w:tc>
          <w:tcPr>
            <w:tcW w:w="810" w:type="dxa"/>
            <w:vAlign w:val="center"/>
          </w:tcPr>
          <w:p w14:paraId="5DCB01E8" w14:textId="0DBFE2BE" w:rsidR="007D6061" w:rsidRPr="002A43B8" w:rsidRDefault="002A43B8" w:rsidP="00AC6BA6">
            <w:pPr>
              <w:spacing w:before="40" w:after="40"/>
              <w:jc w:val="center"/>
              <w:rPr>
                <w:sz w:val="18"/>
                <w:szCs w:val="18"/>
              </w:rPr>
            </w:pPr>
            <w:r>
              <w:rPr>
                <w:sz w:val="18"/>
                <w:szCs w:val="18"/>
              </w:rPr>
              <w:t>X*</w:t>
            </w:r>
          </w:p>
        </w:tc>
        <w:tc>
          <w:tcPr>
            <w:tcW w:w="630" w:type="dxa"/>
            <w:vAlign w:val="center"/>
          </w:tcPr>
          <w:p w14:paraId="5014FFD7" w14:textId="77777777" w:rsidR="007D6061" w:rsidRPr="002A43B8" w:rsidRDefault="007D6061" w:rsidP="00AC6BA6">
            <w:pPr>
              <w:spacing w:before="40" w:after="40"/>
              <w:jc w:val="center"/>
              <w:rPr>
                <w:sz w:val="18"/>
                <w:szCs w:val="18"/>
              </w:rPr>
            </w:pPr>
          </w:p>
        </w:tc>
        <w:tc>
          <w:tcPr>
            <w:tcW w:w="630" w:type="dxa"/>
            <w:vAlign w:val="center"/>
          </w:tcPr>
          <w:p w14:paraId="50A7BDC9" w14:textId="77777777" w:rsidR="007D6061" w:rsidRPr="002A43B8" w:rsidRDefault="007D6061" w:rsidP="00AC6BA6">
            <w:pPr>
              <w:spacing w:before="40" w:after="40"/>
              <w:jc w:val="center"/>
              <w:rPr>
                <w:sz w:val="18"/>
                <w:szCs w:val="18"/>
              </w:rPr>
            </w:pPr>
          </w:p>
        </w:tc>
        <w:tc>
          <w:tcPr>
            <w:tcW w:w="810" w:type="dxa"/>
            <w:vAlign w:val="center"/>
          </w:tcPr>
          <w:p w14:paraId="4E28AA53" w14:textId="77777777" w:rsidR="007D6061" w:rsidRPr="002A43B8" w:rsidRDefault="007D6061" w:rsidP="00AC6BA6">
            <w:pPr>
              <w:spacing w:before="40" w:after="40"/>
              <w:jc w:val="center"/>
              <w:rPr>
                <w:sz w:val="18"/>
                <w:szCs w:val="18"/>
              </w:rPr>
            </w:pPr>
          </w:p>
        </w:tc>
        <w:tc>
          <w:tcPr>
            <w:tcW w:w="3049" w:type="dxa"/>
          </w:tcPr>
          <w:p w14:paraId="091B17FC" w14:textId="33153D21" w:rsidR="007D6061" w:rsidRPr="002A43B8" w:rsidRDefault="00141411" w:rsidP="00AC6BA6">
            <w:pPr>
              <w:spacing w:before="40" w:after="40"/>
              <w:rPr>
                <w:sz w:val="18"/>
                <w:szCs w:val="18"/>
              </w:rPr>
            </w:pPr>
            <w:r w:rsidRPr="002A43B8">
              <w:rPr>
                <w:rFonts w:eastAsia="Times New Roman"/>
                <w:sz w:val="18"/>
                <w:szCs w:val="18"/>
              </w:rPr>
              <w:t>*If no health hazard exists</w:t>
            </w:r>
          </w:p>
        </w:tc>
      </w:tr>
      <w:tr w:rsidR="000157C3" w:rsidRPr="002A43B8" w14:paraId="47AD3E54" w14:textId="77777777" w:rsidTr="001D326A">
        <w:tc>
          <w:tcPr>
            <w:tcW w:w="4315" w:type="dxa"/>
            <w:vAlign w:val="center"/>
          </w:tcPr>
          <w:p w14:paraId="486FABCF" w14:textId="503BB78E"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Fixtures with hose threads on inlets</w:t>
            </w:r>
          </w:p>
        </w:tc>
        <w:tc>
          <w:tcPr>
            <w:tcW w:w="540" w:type="dxa"/>
            <w:vAlign w:val="center"/>
          </w:tcPr>
          <w:p w14:paraId="7F1F0813" w14:textId="156A5231" w:rsidR="00141411" w:rsidRPr="002A43B8" w:rsidRDefault="002A43B8" w:rsidP="00AC6BA6">
            <w:pPr>
              <w:spacing w:before="40" w:after="40"/>
              <w:jc w:val="center"/>
              <w:rPr>
                <w:sz w:val="18"/>
                <w:szCs w:val="18"/>
              </w:rPr>
            </w:pPr>
            <w:r>
              <w:rPr>
                <w:sz w:val="18"/>
                <w:szCs w:val="18"/>
              </w:rPr>
              <w:t>X</w:t>
            </w:r>
          </w:p>
        </w:tc>
        <w:tc>
          <w:tcPr>
            <w:tcW w:w="720" w:type="dxa"/>
            <w:vAlign w:val="center"/>
          </w:tcPr>
          <w:p w14:paraId="6485C5F9" w14:textId="2ADFDA00" w:rsidR="00141411" w:rsidRPr="002A43B8" w:rsidRDefault="002A43B8" w:rsidP="00AC6BA6">
            <w:pPr>
              <w:spacing w:before="40" w:after="40"/>
              <w:jc w:val="center"/>
              <w:rPr>
                <w:sz w:val="18"/>
                <w:szCs w:val="18"/>
              </w:rPr>
            </w:pPr>
            <w:r>
              <w:rPr>
                <w:sz w:val="18"/>
                <w:szCs w:val="18"/>
              </w:rPr>
              <w:t>X</w:t>
            </w:r>
          </w:p>
        </w:tc>
        <w:tc>
          <w:tcPr>
            <w:tcW w:w="810" w:type="dxa"/>
            <w:vAlign w:val="center"/>
          </w:tcPr>
          <w:p w14:paraId="7B08D212" w14:textId="68BAEE51" w:rsidR="00141411" w:rsidRPr="002A43B8" w:rsidRDefault="002A43B8" w:rsidP="00AC6BA6">
            <w:pPr>
              <w:spacing w:before="40" w:after="40"/>
              <w:jc w:val="center"/>
              <w:rPr>
                <w:sz w:val="18"/>
                <w:szCs w:val="18"/>
              </w:rPr>
            </w:pPr>
            <w:r>
              <w:rPr>
                <w:sz w:val="18"/>
                <w:szCs w:val="18"/>
              </w:rPr>
              <w:t>X</w:t>
            </w:r>
          </w:p>
        </w:tc>
        <w:tc>
          <w:tcPr>
            <w:tcW w:w="630" w:type="dxa"/>
            <w:vAlign w:val="center"/>
          </w:tcPr>
          <w:p w14:paraId="1C6FFCF8" w14:textId="66557BBB" w:rsidR="00141411" w:rsidRPr="002A43B8" w:rsidRDefault="002A43B8" w:rsidP="00AC6BA6">
            <w:pPr>
              <w:spacing w:before="40" w:after="40"/>
              <w:jc w:val="center"/>
              <w:rPr>
                <w:sz w:val="18"/>
                <w:szCs w:val="18"/>
              </w:rPr>
            </w:pPr>
            <w:r>
              <w:rPr>
                <w:sz w:val="18"/>
                <w:szCs w:val="18"/>
              </w:rPr>
              <w:t>X</w:t>
            </w:r>
          </w:p>
        </w:tc>
        <w:tc>
          <w:tcPr>
            <w:tcW w:w="630" w:type="dxa"/>
            <w:vAlign w:val="center"/>
          </w:tcPr>
          <w:p w14:paraId="0F487676" w14:textId="77777777" w:rsidR="00141411" w:rsidRPr="002A43B8" w:rsidRDefault="00141411" w:rsidP="00AC6BA6">
            <w:pPr>
              <w:spacing w:before="40" w:after="40"/>
              <w:jc w:val="center"/>
              <w:rPr>
                <w:sz w:val="18"/>
                <w:szCs w:val="18"/>
              </w:rPr>
            </w:pPr>
          </w:p>
        </w:tc>
        <w:tc>
          <w:tcPr>
            <w:tcW w:w="810" w:type="dxa"/>
            <w:vAlign w:val="center"/>
          </w:tcPr>
          <w:p w14:paraId="69F54177" w14:textId="77777777" w:rsidR="00141411" w:rsidRPr="002A43B8" w:rsidRDefault="00141411" w:rsidP="00AC6BA6">
            <w:pPr>
              <w:spacing w:before="40" w:after="40"/>
              <w:jc w:val="center"/>
              <w:rPr>
                <w:sz w:val="18"/>
                <w:szCs w:val="18"/>
              </w:rPr>
            </w:pPr>
          </w:p>
        </w:tc>
        <w:tc>
          <w:tcPr>
            <w:tcW w:w="3049" w:type="dxa"/>
            <w:vAlign w:val="bottom"/>
          </w:tcPr>
          <w:p w14:paraId="00DD5FB4" w14:textId="6CB47783" w:rsidR="00141411" w:rsidRPr="002A43B8" w:rsidRDefault="00141411" w:rsidP="00AC6BA6">
            <w:pPr>
              <w:spacing w:before="40" w:after="40"/>
              <w:rPr>
                <w:sz w:val="18"/>
                <w:szCs w:val="18"/>
              </w:rPr>
            </w:pPr>
            <w:r w:rsidRPr="002A43B8">
              <w:rPr>
                <w:rFonts w:eastAsia="Times New Roman"/>
                <w:sz w:val="18"/>
                <w:szCs w:val="18"/>
              </w:rPr>
              <w:t>In addition to an air gap separation, all fixtures that have a threaded hose type connection shall at a minimum, be equipped with a AVB in accordance with 248 CMR 10.14</w:t>
            </w:r>
          </w:p>
        </w:tc>
      </w:tr>
      <w:tr w:rsidR="000157C3" w:rsidRPr="002A43B8" w14:paraId="4A380510" w14:textId="77777777" w:rsidTr="001D326A">
        <w:tc>
          <w:tcPr>
            <w:tcW w:w="4315" w:type="dxa"/>
            <w:vAlign w:val="center"/>
          </w:tcPr>
          <w:p w14:paraId="5C3CF05C" w14:textId="74E4E6C5"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Hospitals, Mortuaries, Clinics</w:t>
            </w:r>
          </w:p>
        </w:tc>
        <w:tc>
          <w:tcPr>
            <w:tcW w:w="540" w:type="dxa"/>
            <w:vAlign w:val="center"/>
          </w:tcPr>
          <w:p w14:paraId="28DDE88B" w14:textId="78789AC2" w:rsidR="00141411" w:rsidRPr="002A43B8" w:rsidRDefault="002A43B8" w:rsidP="00AC6BA6">
            <w:pPr>
              <w:spacing w:before="40" w:after="40"/>
              <w:jc w:val="center"/>
              <w:rPr>
                <w:sz w:val="18"/>
                <w:szCs w:val="18"/>
              </w:rPr>
            </w:pPr>
            <w:r>
              <w:rPr>
                <w:sz w:val="18"/>
                <w:szCs w:val="18"/>
              </w:rPr>
              <w:t>X</w:t>
            </w:r>
          </w:p>
        </w:tc>
        <w:tc>
          <w:tcPr>
            <w:tcW w:w="720" w:type="dxa"/>
            <w:vAlign w:val="center"/>
          </w:tcPr>
          <w:p w14:paraId="642EDE48" w14:textId="45D5FEE9" w:rsidR="00141411" w:rsidRPr="002A43B8" w:rsidRDefault="002A43B8" w:rsidP="00AC6BA6">
            <w:pPr>
              <w:spacing w:before="40" w:after="40"/>
              <w:jc w:val="center"/>
              <w:rPr>
                <w:sz w:val="18"/>
                <w:szCs w:val="18"/>
              </w:rPr>
            </w:pPr>
            <w:r>
              <w:rPr>
                <w:sz w:val="18"/>
                <w:szCs w:val="18"/>
              </w:rPr>
              <w:t>X</w:t>
            </w:r>
          </w:p>
        </w:tc>
        <w:tc>
          <w:tcPr>
            <w:tcW w:w="810" w:type="dxa"/>
            <w:vAlign w:val="center"/>
          </w:tcPr>
          <w:p w14:paraId="75125C6D" w14:textId="77777777" w:rsidR="00141411" w:rsidRPr="002A43B8" w:rsidRDefault="00141411" w:rsidP="00AC6BA6">
            <w:pPr>
              <w:spacing w:before="40" w:after="40"/>
              <w:jc w:val="center"/>
              <w:rPr>
                <w:sz w:val="18"/>
                <w:szCs w:val="18"/>
              </w:rPr>
            </w:pPr>
          </w:p>
        </w:tc>
        <w:tc>
          <w:tcPr>
            <w:tcW w:w="630" w:type="dxa"/>
            <w:vAlign w:val="center"/>
          </w:tcPr>
          <w:p w14:paraId="5C70AD7E" w14:textId="77777777" w:rsidR="00141411" w:rsidRPr="002A43B8" w:rsidRDefault="00141411" w:rsidP="00AC6BA6">
            <w:pPr>
              <w:spacing w:before="40" w:after="40"/>
              <w:jc w:val="center"/>
              <w:rPr>
                <w:sz w:val="18"/>
                <w:szCs w:val="18"/>
              </w:rPr>
            </w:pPr>
          </w:p>
        </w:tc>
        <w:tc>
          <w:tcPr>
            <w:tcW w:w="630" w:type="dxa"/>
            <w:vAlign w:val="center"/>
          </w:tcPr>
          <w:p w14:paraId="69BCAA31" w14:textId="77777777" w:rsidR="00141411" w:rsidRPr="002A43B8" w:rsidRDefault="00141411" w:rsidP="00AC6BA6">
            <w:pPr>
              <w:spacing w:before="40" w:after="40"/>
              <w:jc w:val="center"/>
              <w:rPr>
                <w:sz w:val="18"/>
                <w:szCs w:val="18"/>
              </w:rPr>
            </w:pPr>
          </w:p>
        </w:tc>
        <w:tc>
          <w:tcPr>
            <w:tcW w:w="810" w:type="dxa"/>
            <w:vAlign w:val="center"/>
          </w:tcPr>
          <w:p w14:paraId="05D9F777" w14:textId="77777777" w:rsidR="00141411" w:rsidRPr="002A43B8" w:rsidRDefault="00141411" w:rsidP="00AC6BA6">
            <w:pPr>
              <w:spacing w:before="40" w:after="40"/>
              <w:jc w:val="center"/>
              <w:rPr>
                <w:sz w:val="18"/>
                <w:szCs w:val="18"/>
              </w:rPr>
            </w:pPr>
          </w:p>
        </w:tc>
        <w:tc>
          <w:tcPr>
            <w:tcW w:w="3049" w:type="dxa"/>
          </w:tcPr>
          <w:p w14:paraId="15F745A8" w14:textId="77777777" w:rsidR="00141411" w:rsidRPr="002A43B8" w:rsidRDefault="00141411" w:rsidP="00AC6BA6">
            <w:pPr>
              <w:spacing w:before="40" w:after="40"/>
              <w:rPr>
                <w:sz w:val="18"/>
                <w:szCs w:val="18"/>
              </w:rPr>
            </w:pPr>
          </w:p>
        </w:tc>
      </w:tr>
      <w:tr w:rsidR="002A43B8" w:rsidRPr="002A43B8" w14:paraId="4BEB32F4" w14:textId="77777777" w:rsidTr="001D326A">
        <w:tc>
          <w:tcPr>
            <w:tcW w:w="4315" w:type="dxa"/>
            <w:vAlign w:val="center"/>
          </w:tcPr>
          <w:p w14:paraId="1677A438" w14:textId="190EA20B"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Plating Facilities</w:t>
            </w:r>
          </w:p>
        </w:tc>
        <w:tc>
          <w:tcPr>
            <w:tcW w:w="540" w:type="dxa"/>
            <w:vAlign w:val="center"/>
          </w:tcPr>
          <w:p w14:paraId="06E3BFFB" w14:textId="3DA102FE" w:rsidR="00141411" w:rsidRPr="002A43B8" w:rsidRDefault="002A43B8" w:rsidP="00AC6BA6">
            <w:pPr>
              <w:spacing w:before="40" w:after="40"/>
              <w:jc w:val="center"/>
              <w:rPr>
                <w:sz w:val="18"/>
                <w:szCs w:val="18"/>
              </w:rPr>
            </w:pPr>
            <w:r>
              <w:rPr>
                <w:sz w:val="18"/>
                <w:szCs w:val="18"/>
              </w:rPr>
              <w:t>X</w:t>
            </w:r>
          </w:p>
        </w:tc>
        <w:tc>
          <w:tcPr>
            <w:tcW w:w="720" w:type="dxa"/>
            <w:vAlign w:val="center"/>
          </w:tcPr>
          <w:p w14:paraId="6A48A62C" w14:textId="64FC95A6" w:rsidR="00141411" w:rsidRPr="002A43B8" w:rsidRDefault="002A43B8" w:rsidP="00AC6BA6">
            <w:pPr>
              <w:spacing w:before="40" w:after="40"/>
              <w:jc w:val="center"/>
              <w:rPr>
                <w:sz w:val="18"/>
                <w:szCs w:val="18"/>
              </w:rPr>
            </w:pPr>
            <w:r>
              <w:rPr>
                <w:sz w:val="18"/>
                <w:szCs w:val="18"/>
              </w:rPr>
              <w:t>X</w:t>
            </w:r>
          </w:p>
        </w:tc>
        <w:tc>
          <w:tcPr>
            <w:tcW w:w="810" w:type="dxa"/>
            <w:vAlign w:val="center"/>
          </w:tcPr>
          <w:p w14:paraId="001BC359" w14:textId="77777777" w:rsidR="00141411" w:rsidRPr="002A43B8" w:rsidRDefault="00141411" w:rsidP="00AC6BA6">
            <w:pPr>
              <w:spacing w:before="40" w:after="40"/>
              <w:jc w:val="center"/>
              <w:rPr>
                <w:sz w:val="18"/>
                <w:szCs w:val="18"/>
              </w:rPr>
            </w:pPr>
          </w:p>
        </w:tc>
        <w:tc>
          <w:tcPr>
            <w:tcW w:w="630" w:type="dxa"/>
            <w:vAlign w:val="center"/>
          </w:tcPr>
          <w:p w14:paraId="4421ED3F" w14:textId="77777777" w:rsidR="00141411" w:rsidRPr="002A43B8" w:rsidRDefault="00141411" w:rsidP="00AC6BA6">
            <w:pPr>
              <w:spacing w:before="40" w:after="40"/>
              <w:jc w:val="center"/>
              <w:rPr>
                <w:sz w:val="18"/>
                <w:szCs w:val="18"/>
              </w:rPr>
            </w:pPr>
          </w:p>
        </w:tc>
        <w:tc>
          <w:tcPr>
            <w:tcW w:w="630" w:type="dxa"/>
            <w:vAlign w:val="center"/>
          </w:tcPr>
          <w:p w14:paraId="64976167" w14:textId="77777777" w:rsidR="00141411" w:rsidRPr="002A43B8" w:rsidRDefault="00141411" w:rsidP="00AC6BA6">
            <w:pPr>
              <w:spacing w:before="40" w:after="40"/>
              <w:jc w:val="center"/>
              <w:rPr>
                <w:sz w:val="18"/>
                <w:szCs w:val="18"/>
              </w:rPr>
            </w:pPr>
          </w:p>
        </w:tc>
        <w:tc>
          <w:tcPr>
            <w:tcW w:w="810" w:type="dxa"/>
            <w:vAlign w:val="center"/>
          </w:tcPr>
          <w:p w14:paraId="1E809AA4" w14:textId="77777777" w:rsidR="00141411" w:rsidRPr="002A43B8" w:rsidRDefault="00141411" w:rsidP="00AC6BA6">
            <w:pPr>
              <w:spacing w:before="40" w:after="40"/>
              <w:jc w:val="center"/>
              <w:rPr>
                <w:sz w:val="18"/>
                <w:szCs w:val="18"/>
              </w:rPr>
            </w:pPr>
          </w:p>
        </w:tc>
        <w:tc>
          <w:tcPr>
            <w:tcW w:w="3049" w:type="dxa"/>
          </w:tcPr>
          <w:p w14:paraId="46B94079" w14:textId="77777777" w:rsidR="00141411" w:rsidRPr="002A43B8" w:rsidRDefault="00141411" w:rsidP="00AC6BA6">
            <w:pPr>
              <w:spacing w:before="40" w:after="40"/>
              <w:rPr>
                <w:sz w:val="18"/>
                <w:szCs w:val="18"/>
              </w:rPr>
            </w:pPr>
          </w:p>
        </w:tc>
      </w:tr>
      <w:tr w:rsidR="002A43B8" w:rsidRPr="002A43B8" w14:paraId="27DB828D" w14:textId="77777777" w:rsidTr="001D326A">
        <w:tc>
          <w:tcPr>
            <w:tcW w:w="4315" w:type="dxa"/>
            <w:vAlign w:val="center"/>
          </w:tcPr>
          <w:p w14:paraId="47A3E4B6" w14:textId="2B2C240E"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Irrigation Systems</w:t>
            </w:r>
          </w:p>
        </w:tc>
        <w:tc>
          <w:tcPr>
            <w:tcW w:w="540" w:type="dxa"/>
            <w:vAlign w:val="center"/>
          </w:tcPr>
          <w:p w14:paraId="7589F2C1" w14:textId="4905F72B" w:rsidR="00141411" w:rsidRPr="002A43B8" w:rsidRDefault="002A43B8" w:rsidP="00AC6BA6">
            <w:pPr>
              <w:spacing w:before="40" w:after="40"/>
              <w:jc w:val="center"/>
              <w:rPr>
                <w:sz w:val="18"/>
                <w:szCs w:val="18"/>
              </w:rPr>
            </w:pPr>
            <w:r>
              <w:rPr>
                <w:sz w:val="18"/>
                <w:szCs w:val="18"/>
              </w:rPr>
              <w:t>X</w:t>
            </w:r>
          </w:p>
        </w:tc>
        <w:tc>
          <w:tcPr>
            <w:tcW w:w="720" w:type="dxa"/>
            <w:vAlign w:val="center"/>
          </w:tcPr>
          <w:p w14:paraId="4832D1BF" w14:textId="04E7FBC0" w:rsidR="00141411" w:rsidRPr="002A43B8" w:rsidRDefault="002A43B8" w:rsidP="00AC6BA6">
            <w:pPr>
              <w:spacing w:before="40" w:after="40"/>
              <w:jc w:val="center"/>
              <w:rPr>
                <w:sz w:val="18"/>
                <w:szCs w:val="18"/>
              </w:rPr>
            </w:pPr>
            <w:r>
              <w:rPr>
                <w:sz w:val="18"/>
                <w:szCs w:val="18"/>
              </w:rPr>
              <w:t>X</w:t>
            </w:r>
          </w:p>
        </w:tc>
        <w:tc>
          <w:tcPr>
            <w:tcW w:w="810" w:type="dxa"/>
            <w:vAlign w:val="center"/>
          </w:tcPr>
          <w:p w14:paraId="60A55B22" w14:textId="77777777" w:rsidR="00141411" w:rsidRPr="002A43B8" w:rsidRDefault="00141411" w:rsidP="00AC6BA6">
            <w:pPr>
              <w:spacing w:before="40" w:after="40"/>
              <w:jc w:val="center"/>
              <w:rPr>
                <w:sz w:val="18"/>
                <w:szCs w:val="18"/>
              </w:rPr>
            </w:pPr>
          </w:p>
        </w:tc>
        <w:tc>
          <w:tcPr>
            <w:tcW w:w="630" w:type="dxa"/>
            <w:vAlign w:val="center"/>
          </w:tcPr>
          <w:p w14:paraId="42A623E2" w14:textId="037B9729" w:rsidR="00141411" w:rsidRPr="002A43B8" w:rsidRDefault="002A43B8" w:rsidP="00AC6BA6">
            <w:pPr>
              <w:spacing w:before="40" w:after="40"/>
              <w:jc w:val="center"/>
              <w:rPr>
                <w:sz w:val="18"/>
                <w:szCs w:val="18"/>
              </w:rPr>
            </w:pPr>
            <w:r>
              <w:rPr>
                <w:sz w:val="18"/>
                <w:szCs w:val="18"/>
              </w:rPr>
              <w:t>X*</w:t>
            </w:r>
          </w:p>
        </w:tc>
        <w:tc>
          <w:tcPr>
            <w:tcW w:w="630" w:type="dxa"/>
            <w:vAlign w:val="center"/>
          </w:tcPr>
          <w:p w14:paraId="7ABB6A97" w14:textId="35FD38A0" w:rsidR="00141411" w:rsidRPr="002A43B8" w:rsidRDefault="002A43B8" w:rsidP="00AC6BA6">
            <w:pPr>
              <w:spacing w:before="40" w:after="40"/>
              <w:jc w:val="center"/>
              <w:rPr>
                <w:sz w:val="18"/>
                <w:szCs w:val="18"/>
              </w:rPr>
            </w:pPr>
            <w:r>
              <w:rPr>
                <w:sz w:val="18"/>
                <w:szCs w:val="18"/>
              </w:rPr>
              <w:t>X**</w:t>
            </w:r>
          </w:p>
        </w:tc>
        <w:tc>
          <w:tcPr>
            <w:tcW w:w="810" w:type="dxa"/>
            <w:vAlign w:val="center"/>
          </w:tcPr>
          <w:p w14:paraId="02F52CBA" w14:textId="77777777" w:rsidR="00141411" w:rsidRPr="002A43B8" w:rsidRDefault="00141411" w:rsidP="00AC6BA6">
            <w:pPr>
              <w:spacing w:before="40" w:after="40"/>
              <w:jc w:val="center"/>
              <w:rPr>
                <w:sz w:val="18"/>
                <w:szCs w:val="18"/>
              </w:rPr>
            </w:pPr>
          </w:p>
        </w:tc>
        <w:tc>
          <w:tcPr>
            <w:tcW w:w="3049" w:type="dxa"/>
            <w:vAlign w:val="bottom"/>
          </w:tcPr>
          <w:p w14:paraId="12C19771" w14:textId="2FB231FF" w:rsidR="00141411" w:rsidRPr="002A43B8" w:rsidRDefault="00141411" w:rsidP="00AC6BA6">
            <w:pPr>
              <w:spacing w:before="40" w:after="40"/>
              <w:rPr>
                <w:sz w:val="18"/>
                <w:szCs w:val="18"/>
              </w:rPr>
            </w:pPr>
            <w:r w:rsidRPr="002A43B8">
              <w:rPr>
                <w:rFonts w:eastAsia="Times New Roman"/>
                <w:sz w:val="18"/>
                <w:szCs w:val="18"/>
              </w:rPr>
              <w:t>Each case should be evaluated individually.</w:t>
            </w:r>
            <w:r w:rsidR="004D4EF1" w:rsidRPr="002A43B8">
              <w:rPr>
                <w:rFonts w:eastAsia="Times New Roman"/>
                <w:sz w:val="18"/>
                <w:szCs w:val="18"/>
              </w:rPr>
              <w:t xml:space="preserve"> </w:t>
            </w:r>
            <w:r w:rsidRPr="002A43B8">
              <w:rPr>
                <w:rFonts w:eastAsia="Times New Roman"/>
                <w:sz w:val="18"/>
                <w:szCs w:val="18"/>
              </w:rPr>
              <w:t>*An AVB can be used if no back pressure is</w:t>
            </w:r>
            <w:r w:rsidR="004D4EF1" w:rsidRPr="002A43B8">
              <w:rPr>
                <w:rFonts w:eastAsia="Times New Roman"/>
                <w:sz w:val="18"/>
                <w:szCs w:val="18"/>
              </w:rPr>
              <w:t xml:space="preserve"> </w:t>
            </w:r>
            <w:r w:rsidRPr="002A43B8">
              <w:rPr>
                <w:rFonts w:eastAsia="Times New Roman"/>
                <w:sz w:val="18"/>
                <w:szCs w:val="18"/>
              </w:rPr>
              <w:t>possible and no health hazard exists</w:t>
            </w:r>
            <w:r w:rsidR="004D4EF1" w:rsidRPr="002A43B8">
              <w:rPr>
                <w:rFonts w:eastAsia="Times New Roman"/>
                <w:sz w:val="18"/>
                <w:szCs w:val="18"/>
              </w:rPr>
              <w:t xml:space="preserve"> </w:t>
            </w:r>
            <w:r w:rsidRPr="002A43B8">
              <w:rPr>
                <w:rFonts w:eastAsia="Times New Roman"/>
                <w:sz w:val="18"/>
                <w:szCs w:val="18"/>
              </w:rPr>
              <w:t>**Pressure Vacuum Breakers can be installed if</w:t>
            </w:r>
            <w:r w:rsidR="004D4EF1" w:rsidRPr="002A43B8">
              <w:rPr>
                <w:rFonts w:eastAsia="Times New Roman"/>
                <w:sz w:val="18"/>
                <w:szCs w:val="18"/>
              </w:rPr>
              <w:t xml:space="preserve"> </w:t>
            </w:r>
            <w:r w:rsidRPr="002A43B8">
              <w:rPr>
                <w:rFonts w:eastAsia="Times New Roman"/>
                <w:sz w:val="18"/>
                <w:szCs w:val="18"/>
              </w:rPr>
              <w:t>back pressure is not possible</w:t>
            </w:r>
          </w:p>
        </w:tc>
      </w:tr>
      <w:tr w:rsidR="002A43B8" w:rsidRPr="002A43B8" w14:paraId="75FF5593" w14:textId="77777777" w:rsidTr="001D326A">
        <w:tc>
          <w:tcPr>
            <w:tcW w:w="4315" w:type="dxa"/>
            <w:vAlign w:val="center"/>
          </w:tcPr>
          <w:p w14:paraId="14921411" w14:textId="5F82D413"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Systems or Equipment Using Radioactive Material</w:t>
            </w:r>
          </w:p>
        </w:tc>
        <w:tc>
          <w:tcPr>
            <w:tcW w:w="540" w:type="dxa"/>
            <w:vAlign w:val="center"/>
          </w:tcPr>
          <w:p w14:paraId="43189E7A" w14:textId="68513B5B" w:rsidR="00141411" w:rsidRPr="002A43B8" w:rsidRDefault="008B3509" w:rsidP="00AC6BA6">
            <w:pPr>
              <w:spacing w:before="40" w:after="40"/>
              <w:jc w:val="center"/>
              <w:rPr>
                <w:sz w:val="18"/>
                <w:szCs w:val="18"/>
              </w:rPr>
            </w:pPr>
            <w:r>
              <w:rPr>
                <w:sz w:val="18"/>
                <w:szCs w:val="18"/>
              </w:rPr>
              <w:t>X</w:t>
            </w:r>
          </w:p>
        </w:tc>
        <w:tc>
          <w:tcPr>
            <w:tcW w:w="720" w:type="dxa"/>
            <w:vAlign w:val="center"/>
          </w:tcPr>
          <w:p w14:paraId="2284810B" w14:textId="0F5EF80A" w:rsidR="00141411" w:rsidRPr="002A43B8" w:rsidRDefault="008B3509" w:rsidP="00AC6BA6">
            <w:pPr>
              <w:spacing w:before="40" w:after="40"/>
              <w:jc w:val="center"/>
              <w:rPr>
                <w:sz w:val="18"/>
                <w:szCs w:val="18"/>
              </w:rPr>
            </w:pPr>
            <w:r>
              <w:rPr>
                <w:sz w:val="18"/>
                <w:szCs w:val="18"/>
              </w:rPr>
              <w:t>X</w:t>
            </w:r>
          </w:p>
        </w:tc>
        <w:tc>
          <w:tcPr>
            <w:tcW w:w="810" w:type="dxa"/>
            <w:vAlign w:val="center"/>
          </w:tcPr>
          <w:p w14:paraId="50574ADA" w14:textId="77777777" w:rsidR="00141411" w:rsidRPr="002A43B8" w:rsidRDefault="00141411" w:rsidP="00AC6BA6">
            <w:pPr>
              <w:spacing w:before="40" w:after="40"/>
              <w:jc w:val="center"/>
              <w:rPr>
                <w:sz w:val="18"/>
                <w:szCs w:val="18"/>
              </w:rPr>
            </w:pPr>
          </w:p>
        </w:tc>
        <w:tc>
          <w:tcPr>
            <w:tcW w:w="630" w:type="dxa"/>
            <w:vAlign w:val="center"/>
          </w:tcPr>
          <w:p w14:paraId="3FDF6E74" w14:textId="77777777" w:rsidR="00141411" w:rsidRPr="002A43B8" w:rsidRDefault="00141411" w:rsidP="00AC6BA6">
            <w:pPr>
              <w:spacing w:before="40" w:after="40"/>
              <w:jc w:val="center"/>
              <w:rPr>
                <w:sz w:val="18"/>
                <w:szCs w:val="18"/>
              </w:rPr>
            </w:pPr>
          </w:p>
        </w:tc>
        <w:tc>
          <w:tcPr>
            <w:tcW w:w="630" w:type="dxa"/>
            <w:vAlign w:val="center"/>
          </w:tcPr>
          <w:p w14:paraId="799D2923" w14:textId="77777777" w:rsidR="00141411" w:rsidRPr="002A43B8" w:rsidRDefault="00141411" w:rsidP="00AC6BA6">
            <w:pPr>
              <w:spacing w:before="40" w:after="40"/>
              <w:jc w:val="center"/>
              <w:rPr>
                <w:sz w:val="18"/>
                <w:szCs w:val="18"/>
              </w:rPr>
            </w:pPr>
          </w:p>
        </w:tc>
        <w:tc>
          <w:tcPr>
            <w:tcW w:w="810" w:type="dxa"/>
            <w:vAlign w:val="center"/>
          </w:tcPr>
          <w:p w14:paraId="1D400B1E" w14:textId="77777777" w:rsidR="00141411" w:rsidRPr="002A43B8" w:rsidRDefault="00141411" w:rsidP="00AC6BA6">
            <w:pPr>
              <w:spacing w:before="40" w:after="40"/>
              <w:jc w:val="center"/>
              <w:rPr>
                <w:sz w:val="18"/>
                <w:szCs w:val="18"/>
              </w:rPr>
            </w:pPr>
          </w:p>
        </w:tc>
        <w:tc>
          <w:tcPr>
            <w:tcW w:w="3049" w:type="dxa"/>
          </w:tcPr>
          <w:p w14:paraId="3CF74ADA" w14:textId="77777777" w:rsidR="00141411" w:rsidRPr="002A43B8" w:rsidRDefault="00141411" w:rsidP="00AC6BA6">
            <w:pPr>
              <w:spacing w:before="40" w:after="40"/>
              <w:rPr>
                <w:sz w:val="18"/>
                <w:szCs w:val="18"/>
              </w:rPr>
            </w:pPr>
          </w:p>
        </w:tc>
      </w:tr>
      <w:tr w:rsidR="002A43B8" w:rsidRPr="002A43B8" w14:paraId="534843F7" w14:textId="77777777" w:rsidTr="001D326A">
        <w:tc>
          <w:tcPr>
            <w:tcW w:w="4315" w:type="dxa"/>
            <w:vAlign w:val="center"/>
          </w:tcPr>
          <w:p w14:paraId="5B7D6CEE" w14:textId="18A4E3B4"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Submerged Inlets</w:t>
            </w:r>
          </w:p>
        </w:tc>
        <w:tc>
          <w:tcPr>
            <w:tcW w:w="540" w:type="dxa"/>
            <w:vAlign w:val="center"/>
          </w:tcPr>
          <w:p w14:paraId="75C8C2B2" w14:textId="495E5347" w:rsidR="004D4EF1" w:rsidRPr="002A43B8" w:rsidRDefault="008B3509" w:rsidP="00AC6BA6">
            <w:pPr>
              <w:spacing w:before="40" w:after="40"/>
              <w:jc w:val="center"/>
              <w:rPr>
                <w:sz w:val="18"/>
                <w:szCs w:val="18"/>
              </w:rPr>
            </w:pPr>
            <w:r>
              <w:rPr>
                <w:sz w:val="18"/>
                <w:szCs w:val="18"/>
              </w:rPr>
              <w:t>X</w:t>
            </w:r>
          </w:p>
        </w:tc>
        <w:tc>
          <w:tcPr>
            <w:tcW w:w="720" w:type="dxa"/>
            <w:vAlign w:val="center"/>
          </w:tcPr>
          <w:p w14:paraId="31E21782" w14:textId="42AD94BF" w:rsidR="004D4EF1" w:rsidRPr="002A43B8" w:rsidRDefault="008B3509" w:rsidP="00AC6BA6">
            <w:pPr>
              <w:spacing w:before="40" w:after="40"/>
              <w:jc w:val="center"/>
              <w:rPr>
                <w:sz w:val="18"/>
                <w:szCs w:val="18"/>
              </w:rPr>
            </w:pPr>
            <w:r>
              <w:rPr>
                <w:sz w:val="18"/>
                <w:szCs w:val="18"/>
              </w:rPr>
              <w:t>X</w:t>
            </w:r>
          </w:p>
        </w:tc>
        <w:tc>
          <w:tcPr>
            <w:tcW w:w="810" w:type="dxa"/>
            <w:vAlign w:val="center"/>
          </w:tcPr>
          <w:p w14:paraId="49AC9EFB" w14:textId="77777777" w:rsidR="004D4EF1" w:rsidRPr="002A43B8" w:rsidRDefault="004D4EF1" w:rsidP="00AC6BA6">
            <w:pPr>
              <w:spacing w:before="40" w:after="40"/>
              <w:jc w:val="center"/>
              <w:rPr>
                <w:sz w:val="18"/>
                <w:szCs w:val="18"/>
              </w:rPr>
            </w:pPr>
          </w:p>
        </w:tc>
        <w:tc>
          <w:tcPr>
            <w:tcW w:w="630" w:type="dxa"/>
            <w:vAlign w:val="center"/>
          </w:tcPr>
          <w:p w14:paraId="7E5BEB55" w14:textId="0F44B940" w:rsidR="004D4EF1" w:rsidRPr="002A43B8" w:rsidRDefault="008B3509" w:rsidP="00AC6BA6">
            <w:pPr>
              <w:spacing w:before="40" w:after="40"/>
              <w:jc w:val="center"/>
              <w:rPr>
                <w:sz w:val="18"/>
                <w:szCs w:val="18"/>
              </w:rPr>
            </w:pPr>
            <w:r>
              <w:rPr>
                <w:sz w:val="18"/>
                <w:szCs w:val="18"/>
              </w:rPr>
              <w:t>X*</w:t>
            </w:r>
          </w:p>
        </w:tc>
        <w:tc>
          <w:tcPr>
            <w:tcW w:w="630" w:type="dxa"/>
            <w:vAlign w:val="center"/>
          </w:tcPr>
          <w:p w14:paraId="27600827" w14:textId="77777777" w:rsidR="004D4EF1" w:rsidRPr="002A43B8" w:rsidRDefault="004D4EF1" w:rsidP="00AC6BA6">
            <w:pPr>
              <w:spacing w:before="40" w:after="40"/>
              <w:jc w:val="center"/>
              <w:rPr>
                <w:sz w:val="18"/>
                <w:szCs w:val="18"/>
              </w:rPr>
            </w:pPr>
          </w:p>
        </w:tc>
        <w:tc>
          <w:tcPr>
            <w:tcW w:w="810" w:type="dxa"/>
            <w:vAlign w:val="center"/>
          </w:tcPr>
          <w:p w14:paraId="2A2585C7" w14:textId="77777777" w:rsidR="004D4EF1" w:rsidRPr="002A43B8" w:rsidRDefault="004D4EF1" w:rsidP="00AC6BA6">
            <w:pPr>
              <w:spacing w:before="40" w:after="40"/>
              <w:jc w:val="center"/>
              <w:rPr>
                <w:sz w:val="18"/>
                <w:szCs w:val="18"/>
              </w:rPr>
            </w:pPr>
          </w:p>
        </w:tc>
        <w:tc>
          <w:tcPr>
            <w:tcW w:w="3049" w:type="dxa"/>
            <w:vAlign w:val="bottom"/>
          </w:tcPr>
          <w:p w14:paraId="7C89F350" w14:textId="4CDB15BB" w:rsidR="004D4EF1" w:rsidRPr="002A43B8" w:rsidRDefault="004D4EF1" w:rsidP="00AC6BA6">
            <w:pPr>
              <w:spacing w:before="40" w:after="40"/>
              <w:rPr>
                <w:sz w:val="18"/>
                <w:szCs w:val="18"/>
              </w:rPr>
            </w:pPr>
            <w:r w:rsidRPr="002A43B8">
              <w:rPr>
                <w:rFonts w:eastAsia="Times New Roman"/>
                <w:sz w:val="18"/>
                <w:szCs w:val="18"/>
              </w:rPr>
              <w:t>*If no health hazard exists and no back pressure is possible</w:t>
            </w:r>
          </w:p>
        </w:tc>
      </w:tr>
      <w:tr w:rsidR="002A43B8" w:rsidRPr="002A43B8" w14:paraId="2D6C4A84" w14:textId="77777777" w:rsidTr="001D326A">
        <w:tc>
          <w:tcPr>
            <w:tcW w:w="4315" w:type="dxa"/>
            <w:vAlign w:val="center"/>
          </w:tcPr>
          <w:p w14:paraId="214B1B6A" w14:textId="2E7377BB"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Dockside Facilities</w:t>
            </w:r>
          </w:p>
        </w:tc>
        <w:tc>
          <w:tcPr>
            <w:tcW w:w="540" w:type="dxa"/>
            <w:vAlign w:val="center"/>
          </w:tcPr>
          <w:p w14:paraId="59677FBB" w14:textId="5A8397C7" w:rsidR="004D4EF1" w:rsidRPr="002A43B8" w:rsidRDefault="008B3509" w:rsidP="00AC6BA6">
            <w:pPr>
              <w:spacing w:before="40" w:after="40"/>
              <w:jc w:val="center"/>
              <w:rPr>
                <w:sz w:val="18"/>
                <w:szCs w:val="18"/>
              </w:rPr>
            </w:pPr>
            <w:r>
              <w:rPr>
                <w:sz w:val="18"/>
                <w:szCs w:val="18"/>
              </w:rPr>
              <w:t>X</w:t>
            </w:r>
          </w:p>
        </w:tc>
        <w:tc>
          <w:tcPr>
            <w:tcW w:w="720" w:type="dxa"/>
            <w:vAlign w:val="center"/>
          </w:tcPr>
          <w:p w14:paraId="729C1B0C" w14:textId="05628ABC" w:rsidR="004D4EF1" w:rsidRPr="002A43B8" w:rsidRDefault="008B3509" w:rsidP="00AC6BA6">
            <w:pPr>
              <w:spacing w:before="40" w:after="40"/>
              <w:jc w:val="center"/>
              <w:rPr>
                <w:sz w:val="18"/>
                <w:szCs w:val="18"/>
              </w:rPr>
            </w:pPr>
            <w:r>
              <w:rPr>
                <w:sz w:val="18"/>
                <w:szCs w:val="18"/>
              </w:rPr>
              <w:t>X</w:t>
            </w:r>
          </w:p>
        </w:tc>
        <w:tc>
          <w:tcPr>
            <w:tcW w:w="810" w:type="dxa"/>
            <w:vAlign w:val="center"/>
          </w:tcPr>
          <w:p w14:paraId="69C68DB3" w14:textId="77777777" w:rsidR="004D4EF1" w:rsidRPr="002A43B8" w:rsidRDefault="004D4EF1" w:rsidP="00AC6BA6">
            <w:pPr>
              <w:spacing w:before="40" w:after="40"/>
              <w:jc w:val="center"/>
              <w:rPr>
                <w:sz w:val="18"/>
                <w:szCs w:val="18"/>
              </w:rPr>
            </w:pPr>
          </w:p>
        </w:tc>
        <w:tc>
          <w:tcPr>
            <w:tcW w:w="630" w:type="dxa"/>
            <w:vAlign w:val="center"/>
          </w:tcPr>
          <w:p w14:paraId="0136ED10" w14:textId="77777777" w:rsidR="004D4EF1" w:rsidRPr="002A43B8" w:rsidRDefault="004D4EF1" w:rsidP="00AC6BA6">
            <w:pPr>
              <w:spacing w:before="40" w:after="40"/>
              <w:jc w:val="center"/>
              <w:rPr>
                <w:sz w:val="18"/>
                <w:szCs w:val="18"/>
              </w:rPr>
            </w:pPr>
          </w:p>
        </w:tc>
        <w:tc>
          <w:tcPr>
            <w:tcW w:w="630" w:type="dxa"/>
            <w:vAlign w:val="center"/>
          </w:tcPr>
          <w:p w14:paraId="33313AE8" w14:textId="77777777" w:rsidR="004D4EF1" w:rsidRPr="002A43B8" w:rsidRDefault="004D4EF1" w:rsidP="00AC6BA6">
            <w:pPr>
              <w:spacing w:before="40" w:after="40"/>
              <w:jc w:val="center"/>
              <w:rPr>
                <w:sz w:val="18"/>
                <w:szCs w:val="18"/>
              </w:rPr>
            </w:pPr>
          </w:p>
        </w:tc>
        <w:tc>
          <w:tcPr>
            <w:tcW w:w="810" w:type="dxa"/>
            <w:vAlign w:val="center"/>
          </w:tcPr>
          <w:p w14:paraId="02ADA3B0" w14:textId="77777777" w:rsidR="004D4EF1" w:rsidRPr="002A43B8" w:rsidRDefault="004D4EF1" w:rsidP="00AC6BA6">
            <w:pPr>
              <w:spacing w:before="40" w:after="40"/>
              <w:jc w:val="center"/>
              <w:rPr>
                <w:sz w:val="18"/>
                <w:szCs w:val="18"/>
              </w:rPr>
            </w:pPr>
          </w:p>
        </w:tc>
        <w:tc>
          <w:tcPr>
            <w:tcW w:w="3049" w:type="dxa"/>
          </w:tcPr>
          <w:p w14:paraId="5A6D47E7" w14:textId="77777777" w:rsidR="004D4EF1" w:rsidRPr="002A43B8" w:rsidRDefault="004D4EF1" w:rsidP="00AC6BA6">
            <w:pPr>
              <w:spacing w:before="40" w:after="40"/>
              <w:rPr>
                <w:sz w:val="18"/>
                <w:szCs w:val="18"/>
              </w:rPr>
            </w:pPr>
          </w:p>
        </w:tc>
      </w:tr>
      <w:tr w:rsidR="002A43B8" w:rsidRPr="002A43B8" w14:paraId="22EFAAD5" w14:textId="77777777" w:rsidTr="001D326A">
        <w:tc>
          <w:tcPr>
            <w:tcW w:w="4315" w:type="dxa"/>
            <w:vAlign w:val="center"/>
          </w:tcPr>
          <w:p w14:paraId="1EDE2C2A" w14:textId="5F796D84"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Valved outlets or fixtures with hose attachments</w:t>
            </w:r>
          </w:p>
        </w:tc>
        <w:tc>
          <w:tcPr>
            <w:tcW w:w="540" w:type="dxa"/>
            <w:vAlign w:val="center"/>
          </w:tcPr>
          <w:p w14:paraId="4C50FF9A" w14:textId="3070EED1" w:rsidR="004D4EF1" w:rsidRPr="002A43B8" w:rsidRDefault="008B3509" w:rsidP="00AC6BA6">
            <w:pPr>
              <w:spacing w:before="40" w:after="40"/>
              <w:jc w:val="center"/>
              <w:rPr>
                <w:sz w:val="18"/>
                <w:szCs w:val="18"/>
              </w:rPr>
            </w:pPr>
            <w:r>
              <w:rPr>
                <w:sz w:val="18"/>
                <w:szCs w:val="18"/>
              </w:rPr>
              <w:t>X</w:t>
            </w:r>
          </w:p>
        </w:tc>
        <w:tc>
          <w:tcPr>
            <w:tcW w:w="720" w:type="dxa"/>
            <w:vAlign w:val="center"/>
          </w:tcPr>
          <w:p w14:paraId="5A6AA790" w14:textId="77869B51" w:rsidR="004D4EF1" w:rsidRPr="002A43B8" w:rsidRDefault="008B3509" w:rsidP="00AC6BA6">
            <w:pPr>
              <w:spacing w:before="40" w:after="40"/>
              <w:jc w:val="center"/>
              <w:rPr>
                <w:sz w:val="18"/>
                <w:szCs w:val="18"/>
              </w:rPr>
            </w:pPr>
            <w:r>
              <w:rPr>
                <w:sz w:val="18"/>
                <w:szCs w:val="18"/>
              </w:rPr>
              <w:t>X</w:t>
            </w:r>
          </w:p>
        </w:tc>
        <w:tc>
          <w:tcPr>
            <w:tcW w:w="810" w:type="dxa"/>
            <w:vAlign w:val="center"/>
          </w:tcPr>
          <w:p w14:paraId="48AB1960" w14:textId="77777777" w:rsidR="004D4EF1" w:rsidRPr="002A43B8" w:rsidRDefault="004D4EF1" w:rsidP="00AC6BA6">
            <w:pPr>
              <w:spacing w:before="40" w:after="40"/>
              <w:jc w:val="center"/>
              <w:rPr>
                <w:sz w:val="18"/>
                <w:szCs w:val="18"/>
              </w:rPr>
            </w:pPr>
          </w:p>
        </w:tc>
        <w:tc>
          <w:tcPr>
            <w:tcW w:w="630" w:type="dxa"/>
            <w:vAlign w:val="center"/>
          </w:tcPr>
          <w:p w14:paraId="66F95E73" w14:textId="0D8BB12C" w:rsidR="004D4EF1" w:rsidRPr="002A43B8" w:rsidRDefault="008B3509" w:rsidP="00AC6BA6">
            <w:pPr>
              <w:spacing w:before="40" w:after="40"/>
              <w:jc w:val="center"/>
              <w:rPr>
                <w:sz w:val="18"/>
                <w:szCs w:val="18"/>
              </w:rPr>
            </w:pPr>
            <w:r>
              <w:rPr>
                <w:sz w:val="18"/>
                <w:szCs w:val="18"/>
              </w:rPr>
              <w:t>X*</w:t>
            </w:r>
          </w:p>
        </w:tc>
        <w:tc>
          <w:tcPr>
            <w:tcW w:w="630" w:type="dxa"/>
            <w:vAlign w:val="center"/>
          </w:tcPr>
          <w:p w14:paraId="07A9552C" w14:textId="77777777" w:rsidR="004D4EF1" w:rsidRPr="002A43B8" w:rsidRDefault="004D4EF1" w:rsidP="00AC6BA6">
            <w:pPr>
              <w:spacing w:before="40" w:after="40"/>
              <w:jc w:val="center"/>
              <w:rPr>
                <w:sz w:val="18"/>
                <w:szCs w:val="18"/>
              </w:rPr>
            </w:pPr>
          </w:p>
        </w:tc>
        <w:tc>
          <w:tcPr>
            <w:tcW w:w="810" w:type="dxa"/>
            <w:vAlign w:val="center"/>
          </w:tcPr>
          <w:p w14:paraId="063521F9" w14:textId="77777777" w:rsidR="004D4EF1" w:rsidRPr="002A43B8" w:rsidRDefault="004D4EF1" w:rsidP="00AC6BA6">
            <w:pPr>
              <w:spacing w:before="40" w:after="40"/>
              <w:jc w:val="center"/>
              <w:rPr>
                <w:sz w:val="18"/>
                <w:szCs w:val="18"/>
              </w:rPr>
            </w:pPr>
          </w:p>
        </w:tc>
        <w:tc>
          <w:tcPr>
            <w:tcW w:w="3049" w:type="dxa"/>
            <w:vAlign w:val="bottom"/>
          </w:tcPr>
          <w:p w14:paraId="3F650EA5" w14:textId="0DF7BC71" w:rsidR="004D4EF1" w:rsidRPr="002A43B8" w:rsidRDefault="004D4EF1" w:rsidP="00AC6BA6">
            <w:pPr>
              <w:spacing w:before="40" w:after="40"/>
              <w:rPr>
                <w:sz w:val="18"/>
                <w:szCs w:val="18"/>
              </w:rPr>
            </w:pPr>
            <w:r w:rsidRPr="002A43B8">
              <w:rPr>
                <w:rFonts w:eastAsia="Times New Roman"/>
                <w:sz w:val="18"/>
                <w:szCs w:val="18"/>
              </w:rPr>
              <w:t>Each case should be evaluated individually</w:t>
            </w:r>
            <w:r w:rsidR="006C5B78" w:rsidRPr="002A43B8">
              <w:rPr>
                <w:rFonts w:eastAsia="Times New Roman"/>
                <w:sz w:val="18"/>
                <w:szCs w:val="18"/>
              </w:rPr>
              <w:t>.</w:t>
            </w:r>
            <w:r w:rsidRPr="002A43B8">
              <w:rPr>
                <w:rFonts w:eastAsia="Times New Roman"/>
                <w:sz w:val="18"/>
                <w:szCs w:val="18"/>
              </w:rPr>
              <w:t xml:space="preserve"> *If no health hazard exists and no back pressure is</w:t>
            </w:r>
            <w:r w:rsidR="006C5B78" w:rsidRPr="002A43B8">
              <w:rPr>
                <w:rFonts w:eastAsia="Times New Roman"/>
                <w:sz w:val="18"/>
                <w:szCs w:val="18"/>
              </w:rPr>
              <w:t xml:space="preserve"> </w:t>
            </w:r>
            <w:r w:rsidRPr="002A43B8">
              <w:rPr>
                <w:rFonts w:eastAsia="Times New Roman"/>
                <w:sz w:val="18"/>
                <w:szCs w:val="18"/>
              </w:rPr>
              <w:t>possible</w:t>
            </w:r>
          </w:p>
        </w:tc>
      </w:tr>
      <w:tr w:rsidR="002A43B8" w:rsidRPr="002A43B8" w14:paraId="6ED1E289" w14:textId="77777777" w:rsidTr="001D326A">
        <w:tc>
          <w:tcPr>
            <w:tcW w:w="4315" w:type="dxa"/>
            <w:vAlign w:val="center"/>
          </w:tcPr>
          <w:p w14:paraId="1A757A60" w14:textId="04EC8C3F"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Commercial Laundries and Dry Cleaners</w:t>
            </w:r>
          </w:p>
        </w:tc>
        <w:tc>
          <w:tcPr>
            <w:tcW w:w="540" w:type="dxa"/>
            <w:vAlign w:val="center"/>
          </w:tcPr>
          <w:p w14:paraId="27E47BD5" w14:textId="431892FE" w:rsidR="004D4EF1" w:rsidRPr="002A43B8" w:rsidRDefault="008B3509" w:rsidP="00AC6BA6">
            <w:pPr>
              <w:spacing w:before="40" w:after="40"/>
              <w:jc w:val="center"/>
              <w:rPr>
                <w:sz w:val="18"/>
                <w:szCs w:val="18"/>
              </w:rPr>
            </w:pPr>
            <w:r>
              <w:rPr>
                <w:sz w:val="18"/>
                <w:szCs w:val="18"/>
              </w:rPr>
              <w:t>X</w:t>
            </w:r>
          </w:p>
        </w:tc>
        <w:tc>
          <w:tcPr>
            <w:tcW w:w="720" w:type="dxa"/>
            <w:vAlign w:val="center"/>
          </w:tcPr>
          <w:p w14:paraId="036F74BF" w14:textId="20CBF8FC" w:rsidR="004D4EF1" w:rsidRPr="002A43B8" w:rsidRDefault="008B3509" w:rsidP="00AC6BA6">
            <w:pPr>
              <w:spacing w:before="40" w:after="40"/>
              <w:jc w:val="center"/>
              <w:rPr>
                <w:sz w:val="18"/>
                <w:szCs w:val="18"/>
              </w:rPr>
            </w:pPr>
            <w:r>
              <w:rPr>
                <w:sz w:val="18"/>
                <w:szCs w:val="18"/>
              </w:rPr>
              <w:t>X</w:t>
            </w:r>
          </w:p>
        </w:tc>
        <w:tc>
          <w:tcPr>
            <w:tcW w:w="810" w:type="dxa"/>
            <w:vAlign w:val="center"/>
          </w:tcPr>
          <w:p w14:paraId="65DE791C" w14:textId="77777777" w:rsidR="004D4EF1" w:rsidRPr="002A43B8" w:rsidRDefault="004D4EF1" w:rsidP="00AC6BA6">
            <w:pPr>
              <w:spacing w:before="40" w:after="40"/>
              <w:jc w:val="center"/>
              <w:rPr>
                <w:sz w:val="18"/>
                <w:szCs w:val="18"/>
              </w:rPr>
            </w:pPr>
          </w:p>
        </w:tc>
        <w:tc>
          <w:tcPr>
            <w:tcW w:w="630" w:type="dxa"/>
            <w:vAlign w:val="center"/>
          </w:tcPr>
          <w:p w14:paraId="22D90A14" w14:textId="77777777" w:rsidR="004D4EF1" w:rsidRPr="002A43B8" w:rsidRDefault="004D4EF1" w:rsidP="00AC6BA6">
            <w:pPr>
              <w:spacing w:before="40" w:after="40"/>
              <w:jc w:val="center"/>
              <w:rPr>
                <w:sz w:val="18"/>
                <w:szCs w:val="18"/>
              </w:rPr>
            </w:pPr>
          </w:p>
        </w:tc>
        <w:tc>
          <w:tcPr>
            <w:tcW w:w="630" w:type="dxa"/>
            <w:vAlign w:val="center"/>
          </w:tcPr>
          <w:p w14:paraId="7B64721C" w14:textId="77777777" w:rsidR="004D4EF1" w:rsidRPr="002A43B8" w:rsidRDefault="004D4EF1" w:rsidP="00AC6BA6">
            <w:pPr>
              <w:spacing w:before="40" w:after="40"/>
              <w:jc w:val="center"/>
              <w:rPr>
                <w:sz w:val="18"/>
                <w:szCs w:val="18"/>
              </w:rPr>
            </w:pPr>
          </w:p>
        </w:tc>
        <w:tc>
          <w:tcPr>
            <w:tcW w:w="810" w:type="dxa"/>
            <w:vAlign w:val="center"/>
          </w:tcPr>
          <w:p w14:paraId="577A9C00" w14:textId="77777777" w:rsidR="004D4EF1" w:rsidRPr="002A43B8" w:rsidRDefault="004D4EF1" w:rsidP="00AC6BA6">
            <w:pPr>
              <w:spacing w:before="40" w:after="40"/>
              <w:jc w:val="center"/>
              <w:rPr>
                <w:sz w:val="18"/>
                <w:szCs w:val="18"/>
              </w:rPr>
            </w:pPr>
          </w:p>
        </w:tc>
        <w:tc>
          <w:tcPr>
            <w:tcW w:w="3049" w:type="dxa"/>
          </w:tcPr>
          <w:p w14:paraId="15BF8159" w14:textId="77777777" w:rsidR="004D4EF1" w:rsidRPr="002A43B8" w:rsidRDefault="004D4EF1" w:rsidP="00AC6BA6">
            <w:pPr>
              <w:spacing w:before="40" w:after="40"/>
              <w:rPr>
                <w:sz w:val="18"/>
                <w:szCs w:val="18"/>
              </w:rPr>
            </w:pPr>
          </w:p>
        </w:tc>
      </w:tr>
      <w:tr w:rsidR="002A43B8" w:rsidRPr="002A43B8" w14:paraId="3D04DB8F" w14:textId="77777777" w:rsidTr="001D326A">
        <w:tc>
          <w:tcPr>
            <w:tcW w:w="4315" w:type="dxa"/>
            <w:vAlign w:val="center"/>
          </w:tcPr>
          <w:p w14:paraId="39617847" w14:textId="7E67BF42"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Commercial Dishwashing Machines</w:t>
            </w:r>
          </w:p>
        </w:tc>
        <w:tc>
          <w:tcPr>
            <w:tcW w:w="540" w:type="dxa"/>
            <w:vAlign w:val="center"/>
          </w:tcPr>
          <w:p w14:paraId="6B50115C" w14:textId="4C1BA5CD" w:rsidR="004D4EF1" w:rsidRPr="002A43B8" w:rsidRDefault="008B3509" w:rsidP="00AC6BA6">
            <w:pPr>
              <w:spacing w:before="40" w:after="40"/>
              <w:jc w:val="center"/>
              <w:rPr>
                <w:sz w:val="18"/>
                <w:szCs w:val="18"/>
              </w:rPr>
            </w:pPr>
            <w:r>
              <w:rPr>
                <w:sz w:val="18"/>
                <w:szCs w:val="18"/>
              </w:rPr>
              <w:t>X</w:t>
            </w:r>
          </w:p>
        </w:tc>
        <w:tc>
          <w:tcPr>
            <w:tcW w:w="720" w:type="dxa"/>
            <w:vAlign w:val="center"/>
          </w:tcPr>
          <w:p w14:paraId="79B6E0E4" w14:textId="5BB48389" w:rsidR="004D4EF1" w:rsidRPr="002A43B8" w:rsidRDefault="008B3509" w:rsidP="00AC6BA6">
            <w:pPr>
              <w:spacing w:before="40" w:after="40"/>
              <w:jc w:val="center"/>
              <w:rPr>
                <w:sz w:val="18"/>
                <w:szCs w:val="18"/>
              </w:rPr>
            </w:pPr>
            <w:r>
              <w:rPr>
                <w:sz w:val="18"/>
                <w:szCs w:val="18"/>
              </w:rPr>
              <w:t>X</w:t>
            </w:r>
          </w:p>
        </w:tc>
        <w:tc>
          <w:tcPr>
            <w:tcW w:w="810" w:type="dxa"/>
            <w:vAlign w:val="center"/>
          </w:tcPr>
          <w:p w14:paraId="77DE8F60" w14:textId="77777777" w:rsidR="004D4EF1" w:rsidRPr="002A43B8" w:rsidRDefault="004D4EF1" w:rsidP="00AC6BA6">
            <w:pPr>
              <w:spacing w:before="40" w:after="40"/>
              <w:jc w:val="center"/>
              <w:rPr>
                <w:sz w:val="18"/>
                <w:szCs w:val="18"/>
              </w:rPr>
            </w:pPr>
          </w:p>
        </w:tc>
        <w:tc>
          <w:tcPr>
            <w:tcW w:w="630" w:type="dxa"/>
            <w:vAlign w:val="center"/>
          </w:tcPr>
          <w:p w14:paraId="302F3C27" w14:textId="6F04F45B" w:rsidR="004D4EF1" w:rsidRPr="002A43B8" w:rsidRDefault="008B3509" w:rsidP="00AC6BA6">
            <w:pPr>
              <w:spacing w:before="40" w:after="40"/>
              <w:jc w:val="center"/>
              <w:rPr>
                <w:sz w:val="18"/>
                <w:szCs w:val="18"/>
              </w:rPr>
            </w:pPr>
            <w:r>
              <w:rPr>
                <w:sz w:val="18"/>
                <w:szCs w:val="18"/>
              </w:rPr>
              <w:t>X*</w:t>
            </w:r>
          </w:p>
        </w:tc>
        <w:tc>
          <w:tcPr>
            <w:tcW w:w="630" w:type="dxa"/>
            <w:vAlign w:val="center"/>
          </w:tcPr>
          <w:p w14:paraId="1F237BC3" w14:textId="77777777" w:rsidR="004D4EF1" w:rsidRPr="002A43B8" w:rsidRDefault="004D4EF1" w:rsidP="00AC6BA6">
            <w:pPr>
              <w:spacing w:before="40" w:after="40"/>
              <w:jc w:val="center"/>
              <w:rPr>
                <w:sz w:val="18"/>
                <w:szCs w:val="18"/>
              </w:rPr>
            </w:pPr>
          </w:p>
        </w:tc>
        <w:tc>
          <w:tcPr>
            <w:tcW w:w="810" w:type="dxa"/>
            <w:vAlign w:val="center"/>
          </w:tcPr>
          <w:p w14:paraId="2F4FA848" w14:textId="77777777" w:rsidR="004D4EF1" w:rsidRPr="002A43B8" w:rsidRDefault="004D4EF1" w:rsidP="00AC6BA6">
            <w:pPr>
              <w:spacing w:before="40" w:after="40"/>
              <w:jc w:val="center"/>
              <w:rPr>
                <w:sz w:val="18"/>
                <w:szCs w:val="18"/>
              </w:rPr>
            </w:pPr>
          </w:p>
        </w:tc>
        <w:tc>
          <w:tcPr>
            <w:tcW w:w="3049" w:type="dxa"/>
          </w:tcPr>
          <w:p w14:paraId="1DF78DBA" w14:textId="75FC6638" w:rsidR="004D4EF1" w:rsidRPr="002A43B8" w:rsidRDefault="006C5B78" w:rsidP="00AC6BA6">
            <w:pPr>
              <w:spacing w:before="40" w:after="40"/>
              <w:rPr>
                <w:sz w:val="18"/>
                <w:szCs w:val="18"/>
              </w:rPr>
            </w:pPr>
            <w:r w:rsidRPr="002A43B8">
              <w:rPr>
                <w:rFonts w:eastAsia="Times New Roman"/>
                <w:sz w:val="18"/>
                <w:szCs w:val="18"/>
              </w:rPr>
              <w:t>*If no health hazard exists</w:t>
            </w:r>
          </w:p>
        </w:tc>
      </w:tr>
      <w:tr w:rsidR="002A43B8" w:rsidRPr="002A43B8" w14:paraId="1057E434" w14:textId="77777777" w:rsidTr="001D326A">
        <w:tc>
          <w:tcPr>
            <w:tcW w:w="4315" w:type="dxa"/>
            <w:vAlign w:val="center"/>
          </w:tcPr>
          <w:p w14:paraId="16F983C2" w14:textId="16DA54FE"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High and Low Pressure Boilers</w:t>
            </w:r>
          </w:p>
        </w:tc>
        <w:tc>
          <w:tcPr>
            <w:tcW w:w="540" w:type="dxa"/>
            <w:vAlign w:val="center"/>
          </w:tcPr>
          <w:p w14:paraId="7D40560E" w14:textId="2C1F3CC6" w:rsidR="004D4EF1" w:rsidRPr="002A43B8" w:rsidRDefault="008B3509" w:rsidP="00AC6BA6">
            <w:pPr>
              <w:spacing w:before="40" w:after="40"/>
              <w:jc w:val="center"/>
              <w:rPr>
                <w:sz w:val="18"/>
                <w:szCs w:val="18"/>
              </w:rPr>
            </w:pPr>
            <w:r>
              <w:rPr>
                <w:sz w:val="18"/>
                <w:szCs w:val="18"/>
              </w:rPr>
              <w:t>X</w:t>
            </w:r>
          </w:p>
        </w:tc>
        <w:tc>
          <w:tcPr>
            <w:tcW w:w="720" w:type="dxa"/>
            <w:vAlign w:val="center"/>
          </w:tcPr>
          <w:p w14:paraId="28325A36" w14:textId="5B911E3F" w:rsidR="004D4EF1" w:rsidRPr="002A43B8" w:rsidRDefault="008B3509" w:rsidP="00AC6BA6">
            <w:pPr>
              <w:spacing w:before="40" w:after="40"/>
              <w:jc w:val="center"/>
              <w:rPr>
                <w:sz w:val="18"/>
                <w:szCs w:val="18"/>
              </w:rPr>
            </w:pPr>
            <w:r>
              <w:rPr>
                <w:sz w:val="18"/>
                <w:szCs w:val="18"/>
              </w:rPr>
              <w:t>X</w:t>
            </w:r>
            <w:r w:rsidR="001D326A">
              <w:rPr>
                <w:sz w:val="18"/>
                <w:szCs w:val="18"/>
              </w:rPr>
              <w:t>*</w:t>
            </w:r>
          </w:p>
        </w:tc>
        <w:tc>
          <w:tcPr>
            <w:tcW w:w="810" w:type="dxa"/>
            <w:vAlign w:val="center"/>
          </w:tcPr>
          <w:p w14:paraId="2EBB9EAA" w14:textId="77777777" w:rsidR="004D4EF1" w:rsidRPr="002A43B8" w:rsidRDefault="004D4EF1" w:rsidP="00AC6BA6">
            <w:pPr>
              <w:spacing w:before="40" w:after="40"/>
              <w:jc w:val="center"/>
              <w:rPr>
                <w:sz w:val="18"/>
                <w:szCs w:val="18"/>
              </w:rPr>
            </w:pPr>
          </w:p>
        </w:tc>
        <w:tc>
          <w:tcPr>
            <w:tcW w:w="630" w:type="dxa"/>
            <w:vAlign w:val="center"/>
          </w:tcPr>
          <w:p w14:paraId="6EC29973" w14:textId="77777777" w:rsidR="004D4EF1" w:rsidRPr="002A43B8" w:rsidRDefault="004D4EF1" w:rsidP="00AC6BA6">
            <w:pPr>
              <w:spacing w:before="40" w:after="40"/>
              <w:jc w:val="center"/>
              <w:rPr>
                <w:sz w:val="18"/>
                <w:szCs w:val="18"/>
              </w:rPr>
            </w:pPr>
          </w:p>
        </w:tc>
        <w:tc>
          <w:tcPr>
            <w:tcW w:w="630" w:type="dxa"/>
            <w:vAlign w:val="center"/>
          </w:tcPr>
          <w:p w14:paraId="3A85CBBC" w14:textId="77777777" w:rsidR="004D4EF1" w:rsidRPr="002A43B8" w:rsidRDefault="004D4EF1" w:rsidP="00AC6BA6">
            <w:pPr>
              <w:spacing w:before="40" w:after="40"/>
              <w:jc w:val="center"/>
              <w:rPr>
                <w:sz w:val="18"/>
                <w:szCs w:val="18"/>
              </w:rPr>
            </w:pPr>
          </w:p>
        </w:tc>
        <w:tc>
          <w:tcPr>
            <w:tcW w:w="810" w:type="dxa"/>
            <w:vAlign w:val="center"/>
          </w:tcPr>
          <w:p w14:paraId="39E5C7FC" w14:textId="77777777" w:rsidR="004D4EF1" w:rsidRPr="002A43B8" w:rsidRDefault="004D4EF1" w:rsidP="00AC6BA6">
            <w:pPr>
              <w:spacing w:before="40" w:after="40"/>
              <w:jc w:val="center"/>
              <w:rPr>
                <w:sz w:val="18"/>
                <w:szCs w:val="18"/>
              </w:rPr>
            </w:pPr>
          </w:p>
        </w:tc>
        <w:tc>
          <w:tcPr>
            <w:tcW w:w="3049" w:type="dxa"/>
          </w:tcPr>
          <w:p w14:paraId="3F35DC79" w14:textId="25E13BFA" w:rsidR="004D4EF1" w:rsidRPr="002A43B8" w:rsidRDefault="006C5B78" w:rsidP="00AC6BA6">
            <w:pPr>
              <w:spacing w:before="40" w:after="40"/>
              <w:rPr>
                <w:sz w:val="18"/>
                <w:szCs w:val="18"/>
              </w:rPr>
            </w:pPr>
            <w:r w:rsidRPr="002A43B8">
              <w:rPr>
                <w:rFonts w:eastAsia="Times New Roman"/>
                <w:sz w:val="18"/>
                <w:szCs w:val="18"/>
              </w:rPr>
              <w:t>*If chemicals are added</w:t>
            </w:r>
          </w:p>
        </w:tc>
      </w:tr>
      <w:tr w:rsidR="002A43B8" w:rsidRPr="002A43B8" w14:paraId="5C9997AC" w14:textId="77777777" w:rsidTr="001D326A">
        <w:tc>
          <w:tcPr>
            <w:tcW w:w="4315" w:type="dxa"/>
            <w:vAlign w:val="center"/>
          </w:tcPr>
          <w:p w14:paraId="612F73A7" w14:textId="0B5C819F" w:rsidR="006C5B78" w:rsidRPr="002A43B8" w:rsidRDefault="006C5B78"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Low Pressure Heating Boilers</w:t>
            </w:r>
          </w:p>
        </w:tc>
        <w:tc>
          <w:tcPr>
            <w:tcW w:w="540" w:type="dxa"/>
            <w:vAlign w:val="center"/>
          </w:tcPr>
          <w:p w14:paraId="7474B285" w14:textId="77777777" w:rsidR="006C5B78" w:rsidRPr="002A43B8" w:rsidRDefault="006C5B78" w:rsidP="00AC6BA6">
            <w:pPr>
              <w:spacing w:before="40" w:after="40"/>
              <w:jc w:val="center"/>
              <w:rPr>
                <w:sz w:val="18"/>
                <w:szCs w:val="18"/>
              </w:rPr>
            </w:pPr>
          </w:p>
        </w:tc>
        <w:tc>
          <w:tcPr>
            <w:tcW w:w="720" w:type="dxa"/>
            <w:vAlign w:val="center"/>
          </w:tcPr>
          <w:p w14:paraId="3BF184E3" w14:textId="77777777" w:rsidR="006C5B78" w:rsidRPr="002A43B8" w:rsidRDefault="006C5B78" w:rsidP="00AC6BA6">
            <w:pPr>
              <w:spacing w:before="40" w:after="40"/>
              <w:jc w:val="center"/>
              <w:rPr>
                <w:sz w:val="18"/>
                <w:szCs w:val="18"/>
              </w:rPr>
            </w:pPr>
          </w:p>
        </w:tc>
        <w:tc>
          <w:tcPr>
            <w:tcW w:w="810" w:type="dxa"/>
            <w:vAlign w:val="center"/>
          </w:tcPr>
          <w:p w14:paraId="3B83D9F2" w14:textId="77777777" w:rsidR="006C5B78" w:rsidRPr="002A43B8" w:rsidRDefault="006C5B78" w:rsidP="00AC6BA6">
            <w:pPr>
              <w:spacing w:before="40" w:after="40"/>
              <w:jc w:val="center"/>
              <w:rPr>
                <w:sz w:val="18"/>
                <w:szCs w:val="18"/>
              </w:rPr>
            </w:pPr>
          </w:p>
        </w:tc>
        <w:tc>
          <w:tcPr>
            <w:tcW w:w="630" w:type="dxa"/>
            <w:vAlign w:val="center"/>
          </w:tcPr>
          <w:p w14:paraId="4C4CFED1" w14:textId="77777777" w:rsidR="006C5B78" w:rsidRPr="002A43B8" w:rsidRDefault="006C5B78" w:rsidP="00AC6BA6">
            <w:pPr>
              <w:spacing w:before="40" w:after="40"/>
              <w:jc w:val="center"/>
              <w:rPr>
                <w:sz w:val="18"/>
                <w:szCs w:val="18"/>
              </w:rPr>
            </w:pPr>
          </w:p>
        </w:tc>
        <w:tc>
          <w:tcPr>
            <w:tcW w:w="630" w:type="dxa"/>
            <w:vAlign w:val="center"/>
          </w:tcPr>
          <w:p w14:paraId="40D872F7" w14:textId="77777777" w:rsidR="006C5B78" w:rsidRPr="002A43B8" w:rsidRDefault="006C5B78" w:rsidP="00AC6BA6">
            <w:pPr>
              <w:spacing w:before="40" w:after="40"/>
              <w:jc w:val="center"/>
              <w:rPr>
                <w:sz w:val="18"/>
                <w:szCs w:val="18"/>
              </w:rPr>
            </w:pPr>
          </w:p>
        </w:tc>
        <w:tc>
          <w:tcPr>
            <w:tcW w:w="810" w:type="dxa"/>
            <w:vAlign w:val="center"/>
          </w:tcPr>
          <w:p w14:paraId="4ABF3BCE" w14:textId="3D7DEEA8" w:rsidR="006C5B78" w:rsidRPr="002A43B8" w:rsidRDefault="008B3509" w:rsidP="00AC6BA6">
            <w:pPr>
              <w:spacing w:before="40" w:after="40"/>
              <w:jc w:val="center"/>
              <w:rPr>
                <w:sz w:val="18"/>
                <w:szCs w:val="18"/>
              </w:rPr>
            </w:pPr>
            <w:r>
              <w:rPr>
                <w:sz w:val="18"/>
                <w:szCs w:val="18"/>
              </w:rPr>
              <w:t>X</w:t>
            </w:r>
          </w:p>
        </w:tc>
        <w:tc>
          <w:tcPr>
            <w:tcW w:w="3049" w:type="dxa"/>
            <w:vAlign w:val="bottom"/>
          </w:tcPr>
          <w:p w14:paraId="25663204" w14:textId="77B4A046" w:rsidR="006C5B78" w:rsidRPr="002A43B8" w:rsidRDefault="006C5B78" w:rsidP="00AC6BA6">
            <w:pPr>
              <w:spacing w:before="40" w:after="40"/>
              <w:rPr>
                <w:sz w:val="18"/>
                <w:szCs w:val="18"/>
              </w:rPr>
            </w:pPr>
            <w:r w:rsidRPr="002A43B8">
              <w:rPr>
                <w:rFonts w:eastAsia="Times New Roman"/>
                <w:sz w:val="18"/>
                <w:szCs w:val="18"/>
              </w:rPr>
              <w:t>Residential and small commercial, having no chemicals added</w:t>
            </w:r>
          </w:p>
        </w:tc>
      </w:tr>
    </w:tbl>
    <w:p w14:paraId="281A7340" w14:textId="77777777" w:rsidR="004647B9" w:rsidRDefault="004647B9" w:rsidP="00AC6BA6">
      <w:pPr>
        <w:sectPr w:rsidR="004647B9" w:rsidSect="00EF630C">
          <w:type w:val="continuous"/>
          <w:pgSz w:w="12240" w:h="20180"/>
          <w:pgMar w:top="708" w:right="180" w:bottom="422" w:left="540" w:header="0" w:footer="0" w:gutter="0"/>
          <w:cols w:space="720"/>
        </w:sectPr>
      </w:pPr>
    </w:p>
    <w:p w14:paraId="281A7341" w14:textId="77777777" w:rsidR="004647B9" w:rsidRDefault="00E2436F">
      <w:pPr>
        <w:tabs>
          <w:tab w:val="left" w:pos="2920"/>
        </w:tabs>
        <w:ind w:left="1740"/>
        <w:rPr>
          <w:sz w:val="20"/>
          <w:szCs w:val="20"/>
        </w:rPr>
      </w:pPr>
      <w:bookmarkStart w:id="329" w:name="page333"/>
      <w:bookmarkEnd w:id="329"/>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342" w14:textId="77777777" w:rsidR="004647B9" w:rsidRDefault="004647B9" w:rsidP="00D44D30">
      <w:pPr>
        <w:rPr>
          <w:sz w:val="20"/>
          <w:szCs w:val="20"/>
        </w:rPr>
      </w:pPr>
    </w:p>
    <w:p w14:paraId="7C5D38BC" w14:textId="77777777" w:rsidR="00D44D30" w:rsidRDefault="00D44D30" w:rsidP="00D44D30">
      <w:pPr>
        <w:rPr>
          <w:sz w:val="20"/>
          <w:szCs w:val="20"/>
        </w:rPr>
      </w:pPr>
    </w:p>
    <w:p w14:paraId="281A7343" w14:textId="77777777" w:rsidR="004647B9" w:rsidRPr="00D44D30" w:rsidRDefault="00E2436F" w:rsidP="00D44D30">
      <w:pPr>
        <w:tabs>
          <w:tab w:val="left" w:pos="820"/>
        </w:tabs>
        <w:ind w:left="60"/>
        <w:rPr>
          <w:sz w:val="24"/>
          <w:szCs w:val="24"/>
        </w:rPr>
      </w:pPr>
      <w:r w:rsidRPr="00D44D30">
        <w:rPr>
          <w:rFonts w:eastAsia="Times New Roman"/>
          <w:sz w:val="24"/>
          <w:szCs w:val="24"/>
        </w:rPr>
        <w:t>22.22:</w:t>
      </w:r>
      <w:r w:rsidRPr="00D44D30">
        <w:rPr>
          <w:rFonts w:eastAsia="Times New Roman"/>
          <w:sz w:val="24"/>
          <w:szCs w:val="24"/>
        </w:rPr>
        <w:tab/>
        <w:t>continued</w:t>
      </w:r>
    </w:p>
    <w:p w14:paraId="281A7344" w14:textId="48EB2CF6" w:rsidR="004647B9" w:rsidRDefault="004647B9" w:rsidP="00D44D30">
      <w:pPr>
        <w:rPr>
          <w:sz w:val="20"/>
          <w:szCs w:val="20"/>
        </w:rPr>
      </w:pPr>
    </w:p>
    <w:tbl>
      <w:tblPr>
        <w:tblStyle w:val="TableGrid"/>
        <w:tblW w:w="11504" w:type="dxa"/>
        <w:tblLayout w:type="fixed"/>
        <w:tblLook w:val="04A0" w:firstRow="1" w:lastRow="0" w:firstColumn="1" w:lastColumn="0" w:noHBand="0" w:noVBand="1"/>
      </w:tblPr>
      <w:tblGrid>
        <w:gridCol w:w="4315"/>
        <w:gridCol w:w="540"/>
        <w:gridCol w:w="720"/>
        <w:gridCol w:w="810"/>
        <w:gridCol w:w="630"/>
        <w:gridCol w:w="630"/>
        <w:gridCol w:w="810"/>
        <w:gridCol w:w="3049"/>
      </w:tblGrid>
      <w:tr w:rsidR="00876F1A" w:rsidRPr="002A43B8" w14:paraId="2FA167C5" w14:textId="77777777" w:rsidTr="00DF6443">
        <w:tc>
          <w:tcPr>
            <w:tcW w:w="4315" w:type="dxa"/>
            <w:vMerge w:val="restart"/>
            <w:tcBorders>
              <w:top w:val="double" w:sz="4" w:space="0" w:color="auto"/>
              <w:bottom w:val="double" w:sz="4" w:space="0" w:color="auto"/>
            </w:tcBorders>
            <w:vAlign w:val="center"/>
          </w:tcPr>
          <w:p w14:paraId="1659F7A1" w14:textId="77777777" w:rsidR="00876F1A" w:rsidRPr="002A43B8" w:rsidRDefault="00876F1A" w:rsidP="00D44D30">
            <w:pPr>
              <w:jc w:val="center"/>
              <w:rPr>
                <w:sz w:val="18"/>
                <w:szCs w:val="18"/>
              </w:rPr>
            </w:pPr>
            <w:r w:rsidRPr="002A43B8">
              <w:rPr>
                <w:rFonts w:eastAsia="Times New Roman"/>
                <w:sz w:val="18"/>
                <w:szCs w:val="18"/>
              </w:rPr>
              <w:t>Types of Hazard on Premises</w:t>
            </w:r>
          </w:p>
        </w:tc>
        <w:tc>
          <w:tcPr>
            <w:tcW w:w="4140" w:type="dxa"/>
            <w:gridSpan w:val="6"/>
            <w:tcBorders>
              <w:top w:val="double" w:sz="4" w:space="0" w:color="auto"/>
              <w:bottom w:val="single" w:sz="4" w:space="0" w:color="auto"/>
            </w:tcBorders>
            <w:vAlign w:val="center"/>
          </w:tcPr>
          <w:p w14:paraId="147D9B55" w14:textId="77777777" w:rsidR="00876F1A" w:rsidRPr="002A43B8" w:rsidRDefault="00876F1A" w:rsidP="00D44D30">
            <w:pPr>
              <w:spacing w:before="40" w:after="40"/>
              <w:ind w:left="60"/>
              <w:jc w:val="center"/>
              <w:rPr>
                <w:sz w:val="18"/>
                <w:szCs w:val="18"/>
              </w:rPr>
            </w:pPr>
            <w:r w:rsidRPr="002A43B8">
              <w:rPr>
                <w:rFonts w:eastAsia="Times New Roman"/>
                <w:sz w:val="18"/>
                <w:szCs w:val="18"/>
              </w:rPr>
              <w:t>Acceptable Types of Backflow Preventers</w:t>
            </w:r>
          </w:p>
        </w:tc>
        <w:tc>
          <w:tcPr>
            <w:tcW w:w="3049" w:type="dxa"/>
            <w:vMerge w:val="restart"/>
            <w:tcBorders>
              <w:top w:val="double" w:sz="4" w:space="0" w:color="auto"/>
            </w:tcBorders>
            <w:vAlign w:val="center"/>
          </w:tcPr>
          <w:p w14:paraId="31BCB611" w14:textId="77777777" w:rsidR="00876F1A" w:rsidRPr="002A43B8" w:rsidRDefault="00876F1A" w:rsidP="00D44D30">
            <w:pPr>
              <w:jc w:val="center"/>
              <w:rPr>
                <w:sz w:val="18"/>
                <w:szCs w:val="18"/>
              </w:rPr>
            </w:pPr>
            <w:r w:rsidRPr="002A43B8">
              <w:rPr>
                <w:sz w:val="18"/>
                <w:szCs w:val="18"/>
              </w:rPr>
              <w:t>Comments*</w:t>
            </w:r>
          </w:p>
        </w:tc>
      </w:tr>
      <w:tr w:rsidR="00876F1A" w:rsidRPr="002A43B8" w14:paraId="1ADA0B67" w14:textId="77777777" w:rsidTr="00DF6443">
        <w:tc>
          <w:tcPr>
            <w:tcW w:w="4315" w:type="dxa"/>
            <w:vMerge/>
            <w:tcBorders>
              <w:bottom w:val="double" w:sz="4" w:space="0" w:color="auto"/>
            </w:tcBorders>
          </w:tcPr>
          <w:p w14:paraId="5E16AFE1" w14:textId="77777777" w:rsidR="00876F1A" w:rsidRPr="002A43B8" w:rsidRDefault="00876F1A" w:rsidP="00D44D30">
            <w:pPr>
              <w:rPr>
                <w:sz w:val="18"/>
                <w:szCs w:val="18"/>
              </w:rPr>
            </w:pPr>
          </w:p>
        </w:tc>
        <w:tc>
          <w:tcPr>
            <w:tcW w:w="540" w:type="dxa"/>
            <w:tcBorders>
              <w:bottom w:val="double" w:sz="4" w:space="0" w:color="auto"/>
            </w:tcBorders>
          </w:tcPr>
          <w:p w14:paraId="2766373C" w14:textId="77777777" w:rsidR="00876F1A" w:rsidRPr="002A43B8" w:rsidRDefault="00876F1A" w:rsidP="00D44D30">
            <w:pPr>
              <w:spacing w:before="40" w:after="40"/>
              <w:rPr>
                <w:sz w:val="18"/>
                <w:szCs w:val="18"/>
              </w:rPr>
            </w:pPr>
            <w:r w:rsidRPr="002A43B8">
              <w:rPr>
                <w:sz w:val="18"/>
                <w:szCs w:val="18"/>
              </w:rPr>
              <w:t>AG</w:t>
            </w:r>
          </w:p>
        </w:tc>
        <w:tc>
          <w:tcPr>
            <w:tcW w:w="720" w:type="dxa"/>
            <w:tcBorders>
              <w:bottom w:val="double" w:sz="4" w:space="0" w:color="auto"/>
            </w:tcBorders>
          </w:tcPr>
          <w:p w14:paraId="1761D33D" w14:textId="77777777" w:rsidR="00876F1A" w:rsidRPr="002A43B8" w:rsidRDefault="00876F1A" w:rsidP="00D44D30">
            <w:pPr>
              <w:spacing w:before="40" w:after="40"/>
              <w:rPr>
                <w:sz w:val="18"/>
                <w:szCs w:val="18"/>
              </w:rPr>
            </w:pPr>
            <w:r w:rsidRPr="002A43B8">
              <w:rPr>
                <w:sz w:val="18"/>
                <w:szCs w:val="18"/>
              </w:rPr>
              <w:t>RPBP</w:t>
            </w:r>
          </w:p>
        </w:tc>
        <w:tc>
          <w:tcPr>
            <w:tcW w:w="810" w:type="dxa"/>
            <w:tcBorders>
              <w:bottom w:val="double" w:sz="4" w:space="0" w:color="auto"/>
            </w:tcBorders>
          </w:tcPr>
          <w:p w14:paraId="1EF187DB" w14:textId="77777777" w:rsidR="00876F1A" w:rsidRPr="002A43B8" w:rsidRDefault="00876F1A" w:rsidP="00D44D30">
            <w:pPr>
              <w:spacing w:before="40" w:after="40"/>
              <w:rPr>
                <w:sz w:val="18"/>
                <w:szCs w:val="18"/>
              </w:rPr>
            </w:pPr>
            <w:r w:rsidRPr="002A43B8">
              <w:rPr>
                <w:sz w:val="18"/>
                <w:szCs w:val="18"/>
              </w:rPr>
              <w:t>DCVA</w:t>
            </w:r>
          </w:p>
        </w:tc>
        <w:tc>
          <w:tcPr>
            <w:tcW w:w="630" w:type="dxa"/>
            <w:tcBorders>
              <w:bottom w:val="double" w:sz="4" w:space="0" w:color="auto"/>
            </w:tcBorders>
          </w:tcPr>
          <w:p w14:paraId="32F594FB" w14:textId="77777777" w:rsidR="00876F1A" w:rsidRPr="002A43B8" w:rsidRDefault="00876F1A" w:rsidP="00D44D30">
            <w:pPr>
              <w:spacing w:before="40" w:after="40"/>
              <w:rPr>
                <w:sz w:val="18"/>
                <w:szCs w:val="18"/>
              </w:rPr>
            </w:pPr>
            <w:r w:rsidRPr="002A43B8">
              <w:rPr>
                <w:sz w:val="18"/>
                <w:szCs w:val="18"/>
              </w:rPr>
              <w:t>AVB</w:t>
            </w:r>
          </w:p>
        </w:tc>
        <w:tc>
          <w:tcPr>
            <w:tcW w:w="630" w:type="dxa"/>
            <w:tcBorders>
              <w:bottom w:val="double" w:sz="4" w:space="0" w:color="auto"/>
            </w:tcBorders>
          </w:tcPr>
          <w:p w14:paraId="12613269" w14:textId="77777777" w:rsidR="00876F1A" w:rsidRPr="002A43B8" w:rsidRDefault="00876F1A" w:rsidP="00D44D30">
            <w:pPr>
              <w:spacing w:before="40" w:after="40"/>
              <w:rPr>
                <w:sz w:val="18"/>
                <w:szCs w:val="18"/>
              </w:rPr>
            </w:pPr>
            <w:r w:rsidRPr="002A43B8">
              <w:rPr>
                <w:sz w:val="18"/>
                <w:szCs w:val="18"/>
              </w:rPr>
              <w:t>PVB</w:t>
            </w:r>
          </w:p>
        </w:tc>
        <w:tc>
          <w:tcPr>
            <w:tcW w:w="810" w:type="dxa"/>
            <w:tcBorders>
              <w:bottom w:val="double" w:sz="4" w:space="0" w:color="auto"/>
            </w:tcBorders>
          </w:tcPr>
          <w:p w14:paraId="35D795BA" w14:textId="77777777" w:rsidR="00876F1A" w:rsidRPr="002A43B8" w:rsidRDefault="00876F1A" w:rsidP="00D44D30">
            <w:pPr>
              <w:spacing w:before="40" w:after="40"/>
              <w:rPr>
                <w:sz w:val="18"/>
                <w:szCs w:val="18"/>
              </w:rPr>
            </w:pPr>
            <w:r w:rsidRPr="002A43B8">
              <w:rPr>
                <w:sz w:val="18"/>
                <w:szCs w:val="18"/>
              </w:rPr>
              <w:t>BPIAV</w:t>
            </w:r>
          </w:p>
        </w:tc>
        <w:tc>
          <w:tcPr>
            <w:tcW w:w="3049" w:type="dxa"/>
            <w:vMerge/>
            <w:tcBorders>
              <w:bottom w:val="double" w:sz="4" w:space="0" w:color="auto"/>
            </w:tcBorders>
          </w:tcPr>
          <w:p w14:paraId="2A97C129" w14:textId="77777777" w:rsidR="00876F1A" w:rsidRPr="002A43B8" w:rsidRDefault="00876F1A" w:rsidP="00D44D30">
            <w:pPr>
              <w:rPr>
                <w:sz w:val="18"/>
                <w:szCs w:val="18"/>
              </w:rPr>
            </w:pPr>
          </w:p>
        </w:tc>
      </w:tr>
      <w:tr w:rsidR="00876F1A" w:rsidRPr="002A43B8" w14:paraId="1BFD5FE9" w14:textId="77777777" w:rsidTr="00DF6443">
        <w:tc>
          <w:tcPr>
            <w:tcW w:w="4315" w:type="dxa"/>
            <w:tcBorders>
              <w:top w:val="double" w:sz="4" w:space="0" w:color="auto"/>
              <w:bottom w:val="single" w:sz="4" w:space="0" w:color="auto"/>
            </w:tcBorders>
            <w:vAlign w:val="center"/>
          </w:tcPr>
          <w:p w14:paraId="39F4292A" w14:textId="0BDDE9C5" w:rsidR="00876F1A" w:rsidRPr="002A43B8" w:rsidRDefault="00876F1A" w:rsidP="00D44D30">
            <w:pPr>
              <w:pStyle w:val="ListParagraph"/>
              <w:numPr>
                <w:ilvl w:val="0"/>
                <w:numId w:val="966"/>
              </w:numPr>
              <w:spacing w:before="40" w:after="40"/>
              <w:ind w:left="360"/>
              <w:rPr>
                <w:sz w:val="18"/>
                <w:szCs w:val="18"/>
              </w:rPr>
            </w:pPr>
            <w:r>
              <w:rPr>
                <w:rFonts w:eastAsia="Times New Roman"/>
                <w:sz w:val="18"/>
                <w:szCs w:val="18"/>
              </w:rPr>
              <w:t>Photo Processing Equipment</w:t>
            </w:r>
          </w:p>
        </w:tc>
        <w:tc>
          <w:tcPr>
            <w:tcW w:w="540" w:type="dxa"/>
            <w:tcBorders>
              <w:top w:val="double" w:sz="4" w:space="0" w:color="auto"/>
              <w:bottom w:val="single" w:sz="4" w:space="0" w:color="auto"/>
            </w:tcBorders>
            <w:vAlign w:val="center"/>
          </w:tcPr>
          <w:p w14:paraId="66DBF351" w14:textId="2E4E4EF6" w:rsidR="00876F1A" w:rsidRPr="002A43B8" w:rsidRDefault="00ED4CC8" w:rsidP="00D44D30">
            <w:pPr>
              <w:spacing w:before="40" w:after="40"/>
              <w:jc w:val="center"/>
              <w:rPr>
                <w:sz w:val="18"/>
                <w:szCs w:val="18"/>
              </w:rPr>
            </w:pPr>
            <w:r>
              <w:rPr>
                <w:sz w:val="18"/>
                <w:szCs w:val="18"/>
              </w:rPr>
              <w:t>X</w:t>
            </w:r>
          </w:p>
        </w:tc>
        <w:tc>
          <w:tcPr>
            <w:tcW w:w="720" w:type="dxa"/>
            <w:tcBorders>
              <w:top w:val="double" w:sz="4" w:space="0" w:color="auto"/>
              <w:bottom w:val="single" w:sz="4" w:space="0" w:color="auto"/>
            </w:tcBorders>
            <w:vAlign w:val="center"/>
          </w:tcPr>
          <w:p w14:paraId="1F125A12" w14:textId="0D37F289" w:rsidR="00876F1A" w:rsidRPr="002A43B8" w:rsidRDefault="00ED4CC8" w:rsidP="00D44D30">
            <w:pPr>
              <w:spacing w:before="40" w:after="40"/>
              <w:jc w:val="center"/>
              <w:rPr>
                <w:sz w:val="18"/>
                <w:szCs w:val="18"/>
              </w:rPr>
            </w:pPr>
            <w:r>
              <w:rPr>
                <w:sz w:val="18"/>
                <w:szCs w:val="18"/>
              </w:rPr>
              <w:t>X</w:t>
            </w:r>
          </w:p>
        </w:tc>
        <w:tc>
          <w:tcPr>
            <w:tcW w:w="810" w:type="dxa"/>
            <w:tcBorders>
              <w:top w:val="double" w:sz="4" w:space="0" w:color="auto"/>
              <w:bottom w:val="single" w:sz="4" w:space="0" w:color="auto"/>
            </w:tcBorders>
            <w:vAlign w:val="center"/>
          </w:tcPr>
          <w:p w14:paraId="1E1630BE" w14:textId="77777777" w:rsidR="00876F1A" w:rsidRPr="002A43B8" w:rsidRDefault="00876F1A" w:rsidP="00D44D30">
            <w:pPr>
              <w:spacing w:before="40" w:after="40"/>
              <w:jc w:val="center"/>
              <w:rPr>
                <w:sz w:val="18"/>
                <w:szCs w:val="18"/>
              </w:rPr>
            </w:pPr>
          </w:p>
        </w:tc>
        <w:tc>
          <w:tcPr>
            <w:tcW w:w="630" w:type="dxa"/>
            <w:tcBorders>
              <w:top w:val="double" w:sz="4" w:space="0" w:color="auto"/>
              <w:bottom w:val="single" w:sz="4" w:space="0" w:color="auto"/>
            </w:tcBorders>
            <w:vAlign w:val="center"/>
          </w:tcPr>
          <w:p w14:paraId="5458B872" w14:textId="77777777" w:rsidR="00876F1A" w:rsidRPr="002A43B8" w:rsidRDefault="00876F1A" w:rsidP="00D44D30">
            <w:pPr>
              <w:spacing w:before="40" w:after="40"/>
              <w:jc w:val="center"/>
              <w:rPr>
                <w:sz w:val="18"/>
                <w:szCs w:val="18"/>
              </w:rPr>
            </w:pPr>
          </w:p>
        </w:tc>
        <w:tc>
          <w:tcPr>
            <w:tcW w:w="630" w:type="dxa"/>
            <w:tcBorders>
              <w:top w:val="double" w:sz="4" w:space="0" w:color="auto"/>
              <w:bottom w:val="single" w:sz="4" w:space="0" w:color="auto"/>
            </w:tcBorders>
            <w:vAlign w:val="center"/>
          </w:tcPr>
          <w:p w14:paraId="6AA8DBEE" w14:textId="77777777" w:rsidR="00876F1A" w:rsidRPr="002A43B8" w:rsidRDefault="00876F1A" w:rsidP="00D44D30">
            <w:pPr>
              <w:spacing w:before="40" w:after="40"/>
              <w:jc w:val="center"/>
              <w:rPr>
                <w:sz w:val="18"/>
                <w:szCs w:val="18"/>
              </w:rPr>
            </w:pPr>
          </w:p>
        </w:tc>
        <w:tc>
          <w:tcPr>
            <w:tcW w:w="810" w:type="dxa"/>
            <w:tcBorders>
              <w:top w:val="double" w:sz="4" w:space="0" w:color="auto"/>
              <w:bottom w:val="single" w:sz="4" w:space="0" w:color="auto"/>
            </w:tcBorders>
            <w:vAlign w:val="center"/>
          </w:tcPr>
          <w:p w14:paraId="6B0A3697" w14:textId="77777777" w:rsidR="00876F1A" w:rsidRPr="002A43B8" w:rsidRDefault="00876F1A" w:rsidP="00D44D30">
            <w:pPr>
              <w:spacing w:before="40" w:after="40"/>
              <w:jc w:val="center"/>
              <w:rPr>
                <w:sz w:val="18"/>
                <w:szCs w:val="18"/>
              </w:rPr>
            </w:pPr>
          </w:p>
        </w:tc>
        <w:tc>
          <w:tcPr>
            <w:tcW w:w="3049" w:type="dxa"/>
            <w:tcBorders>
              <w:top w:val="double" w:sz="4" w:space="0" w:color="auto"/>
              <w:bottom w:val="single" w:sz="4" w:space="0" w:color="auto"/>
            </w:tcBorders>
          </w:tcPr>
          <w:p w14:paraId="01DD25BC" w14:textId="77777777" w:rsidR="00876F1A" w:rsidRPr="002A43B8" w:rsidRDefault="00876F1A" w:rsidP="00D44D30">
            <w:pPr>
              <w:spacing w:before="40" w:after="40"/>
              <w:rPr>
                <w:sz w:val="18"/>
                <w:szCs w:val="18"/>
              </w:rPr>
            </w:pPr>
          </w:p>
        </w:tc>
      </w:tr>
      <w:tr w:rsidR="00876F1A" w:rsidRPr="002A43B8" w14:paraId="7B6E0F80" w14:textId="77777777" w:rsidTr="0009765C">
        <w:tc>
          <w:tcPr>
            <w:tcW w:w="4315" w:type="dxa"/>
            <w:tcBorders>
              <w:top w:val="single" w:sz="4" w:space="0" w:color="auto"/>
              <w:bottom w:val="single" w:sz="4" w:space="0" w:color="auto"/>
            </w:tcBorders>
            <w:vAlign w:val="center"/>
          </w:tcPr>
          <w:p w14:paraId="6255337A" w14:textId="55ADD671" w:rsidR="00876F1A" w:rsidRPr="002A43B8" w:rsidRDefault="00876F1A" w:rsidP="00D44D30">
            <w:pPr>
              <w:pStyle w:val="ListParagraph"/>
              <w:numPr>
                <w:ilvl w:val="0"/>
                <w:numId w:val="966"/>
              </w:numPr>
              <w:spacing w:before="40" w:after="40"/>
              <w:ind w:left="360"/>
              <w:rPr>
                <w:rFonts w:eastAsia="Times New Roman"/>
                <w:sz w:val="18"/>
                <w:szCs w:val="18"/>
              </w:rPr>
            </w:pPr>
            <w:r>
              <w:rPr>
                <w:rFonts w:eastAsia="Times New Roman"/>
                <w:sz w:val="18"/>
                <w:szCs w:val="18"/>
              </w:rPr>
              <w:t>Reservoirs -Cooling Tower Recirculating Systems</w:t>
            </w:r>
          </w:p>
        </w:tc>
        <w:tc>
          <w:tcPr>
            <w:tcW w:w="540" w:type="dxa"/>
            <w:tcBorders>
              <w:top w:val="single" w:sz="4" w:space="0" w:color="auto"/>
              <w:bottom w:val="single" w:sz="4" w:space="0" w:color="auto"/>
            </w:tcBorders>
            <w:vAlign w:val="center"/>
          </w:tcPr>
          <w:p w14:paraId="79A4CB40" w14:textId="366029F7" w:rsidR="00876F1A" w:rsidRPr="002A43B8" w:rsidRDefault="00ED4CC8" w:rsidP="00D44D30">
            <w:pPr>
              <w:spacing w:before="40" w:after="40"/>
              <w:jc w:val="center"/>
              <w:rPr>
                <w:sz w:val="18"/>
                <w:szCs w:val="18"/>
              </w:rPr>
            </w:pPr>
            <w:r>
              <w:rPr>
                <w:sz w:val="18"/>
                <w:szCs w:val="18"/>
              </w:rPr>
              <w:t>X</w:t>
            </w:r>
          </w:p>
        </w:tc>
        <w:tc>
          <w:tcPr>
            <w:tcW w:w="720" w:type="dxa"/>
            <w:tcBorders>
              <w:top w:val="single" w:sz="4" w:space="0" w:color="auto"/>
              <w:bottom w:val="single" w:sz="4" w:space="0" w:color="auto"/>
            </w:tcBorders>
            <w:vAlign w:val="center"/>
          </w:tcPr>
          <w:p w14:paraId="421640B9" w14:textId="2236CB6A" w:rsidR="00876F1A" w:rsidRPr="002A43B8" w:rsidRDefault="00ED4CC8" w:rsidP="00D44D30">
            <w:pPr>
              <w:spacing w:before="40" w:after="40"/>
              <w:jc w:val="center"/>
              <w:rPr>
                <w:sz w:val="18"/>
                <w:szCs w:val="18"/>
              </w:rPr>
            </w:pPr>
            <w:r>
              <w:rPr>
                <w:sz w:val="18"/>
                <w:szCs w:val="18"/>
              </w:rPr>
              <w:t>X</w:t>
            </w:r>
          </w:p>
        </w:tc>
        <w:tc>
          <w:tcPr>
            <w:tcW w:w="810" w:type="dxa"/>
            <w:tcBorders>
              <w:top w:val="single" w:sz="4" w:space="0" w:color="auto"/>
              <w:bottom w:val="single" w:sz="4" w:space="0" w:color="auto"/>
            </w:tcBorders>
            <w:vAlign w:val="center"/>
          </w:tcPr>
          <w:p w14:paraId="6ABDD764" w14:textId="77777777" w:rsidR="00876F1A" w:rsidRPr="002A43B8" w:rsidRDefault="00876F1A" w:rsidP="00D44D30">
            <w:pPr>
              <w:spacing w:before="40" w:after="40"/>
              <w:jc w:val="center"/>
              <w:rPr>
                <w:sz w:val="18"/>
                <w:szCs w:val="18"/>
              </w:rPr>
            </w:pPr>
          </w:p>
        </w:tc>
        <w:tc>
          <w:tcPr>
            <w:tcW w:w="630" w:type="dxa"/>
            <w:tcBorders>
              <w:top w:val="single" w:sz="4" w:space="0" w:color="auto"/>
              <w:bottom w:val="single" w:sz="4" w:space="0" w:color="auto"/>
            </w:tcBorders>
            <w:vAlign w:val="center"/>
          </w:tcPr>
          <w:p w14:paraId="0FFCFD89" w14:textId="77777777" w:rsidR="00876F1A" w:rsidRPr="002A43B8" w:rsidRDefault="00876F1A" w:rsidP="00D44D30">
            <w:pPr>
              <w:spacing w:before="40" w:after="40"/>
              <w:jc w:val="center"/>
              <w:rPr>
                <w:sz w:val="18"/>
                <w:szCs w:val="18"/>
              </w:rPr>
            </w:pPr>
          </w:p>
        </w:tc>
        <w:tc>
          <w:tcPr>
            <w:tcW w:w="630" w:type="dxa"/>
            <w:tcBorders>
              <w:top w:val="single" w:sz="4" w:space="0" w:color="auto"/>
              <w:bottom w:val="single" w:sz="4" w:space="0" w:color="auto"/>
            </w:tcBorders>
            <w:vAlign w:val="center"/>
          </w:tcPr>
          <w:p w14:paraId="77971AF3" w14:textId="77777777" w:rsidR="00876F1A" w:rsidRPr="002A43B8" w:rsidRDefault="00876F1A" w:rsidP="00D44D30">
            <w:pPr>
              <w:spacing w:before="40" w:after="40"/>
              <w:jc w:val="center"/>
              <w:rPr>
                <w:sz w:val="18"/>
                <w:szCs w:val="18"/>
              </w:rPr>
            </w:pPr>
          </w:p>
        </w:tc>
        <w:tc>
          <w:tcPr>
            <w:tcW w:w="810" w:type="dxa"/>
            <w:tcBorders>
              <w:top w:val="single" w:sz="4" w:space="0" w:color="auto"/>
              <w:bottom w:val="single" w:sz="4" w:space="0" w:color="auto"/>
            </w:tcBorders>
            <w:vAlign w:val="center"/>
          </w:tcPr>
          <w:p w14:paraId="7AF1E697" w14:textId="77777777" w:rsidR="00876F1A" w:rsidRPr="002A43B8" w:rsidRDefault="00876F1A" w:rsidP="00D44D30">
            <w:pPr>
              <w:spacing w:before="40" w:after="40"/>
              <w:jc w:val="center"/>
              <w:rPr>
                <w:sz w:val="18"/>
                <w:szCs w:val="18"/>
              </w:rPr>
            </w:pPr>
          </w:p>
        </w:tc>
        <w:tc>
          <w:tcPr>
            <w:tcW w:w="3049" w:type="dxa"/>
            <w:tcBorders>
              <w:top w:val="single" w:sz="4" w:space="0" w:color="auto"/>
              <w:bottom w:val="single" w:sz="4" w:space="0" w:color="auto"/>
            </w:tcBorders>
          </w:tcPr>
          <w:p w14:paraId="2D283B0C" w14:textId="77777777" w:rsidR="00876F1A" w:rsidRPr="002A43B8" w:rsidRDefault="00876F1A" w:rsidP="00D44D30">
            <w:pPr>
              <w:spacing w:before="40" w:after="40"/>
              <w:rPr>
                <w:sz w:val="18"/>
                <w:szCs w:val="18"/>
              </w:rPr>
            </w:pPr>
          </w:p>
        </w:tc>
      </w:tr>
      <w:tr w:rsidR="0009765C" w:rsidRPr="002A43B8" w14:paraId="6AC49C5E" w14:textId="77777777" w:rsidTr="0009765C">
        <w:tc>
          <w:tcPr>
            <w:tcW w:w="4315" w:type="dxa"/>
            <w:tcBorders>
              <w:bottom w:val="nil"/>
            </w:tcBorders>
            <w:vAlign w:val="bottom"/>
          </w:tcPr>
          <w:p w14:paraId="4855A107" w14:textId="3113E1FB" w:rsidR="0009765C" w:rsidRPr="002A43B8" w:rsidRDefault="0009765C" w:rsidP="00D44D30">
            <w:pPr>
              <w:pStyle w:val="ListParagraph"/>
              <w:numPr>
                <w:ilvl w:val="0"/>
                <w:numId w:val="966"/>
              </w:numPr>
              <w:spacing w:before="40" w:after="40"/>
              <w:ind w:left="360"/>
              <w:rPr>
                <w:rFonts w:eastAsia="Times New Roman"/>
                <w:sz w:val="18"/>
                <w:szCs w:val="18"/>
              </w:rPr>
            </w:pPr>
            <w:r>
              <w:rPr>
                <w:rFonts w:eastAsia="Times New Roman"/>
                <w:sz w:val="18"/>
                <w:szCs w:val="18"/>
              </w:rPr>
              <w:t>Fire Protection Systems:  For cross connection control, fire protection systems may be classified on the basis of water source and arrangement of supplies as follows:</w:t>
            </w:r>
          </w:p>
        </w:tc>
        <w:tc>
          <w:tcPr>
            <w:tcW w:w="540" w:type="dxa"/>
            <w:tcBorders>
              <w:bottom w:val="nil"/>
            </w:tcBorders>
            <w:vAlign w:val="center"/>
          </w:tcPr>
          <w:p w14:paraId="404ADEA3" w14:textId="77777777" w:rsidR="0009765C" w:rsidRPr="002A43B8" w:rsidRDefault="0009765C" w:rsidP="00D44D30">
            <w:pPr>
              <w:spacing w:before="40" w:after="40"/>
              <w:rPr>
                <w:sz w:val="18"/>
                <w:szCs w:val="18"/>
              </w:rPr>
            </w:pPr>
          </w:p>
        </w:tc>
        <w:tc>
          <w:tcPr>
            <w:tcW w:w="720" w:type="dxa"/>
            <w:tcBorders>
              <w:bottom w:val="nil"/>
            </w:tcBorders>
            <w:vAlign w:val="center"/>
          </w:tcPr>
          <w:p w14:paraId="134BF659" w14:textId="77777777" w:rsidR="0009765C" w:rsidRPr="002A43B8" w:rsidRDefault="0009765C" w:rsidP="00D44D30">
            <w:pPr>
              <w:spacing w:before="40" w:after="40"/>
              <w:rPr>
                <w:sz w:val="18"/>
                <w:szCs w:val="18"/>
              </w:rPr>
            </w:pPr>
          </w:p>
        </w:tc>
        <w:tc>
          <w:tcPr>
            <w:tcW w:w="810" w:type="dxa"/>
            <w:tcBorders>
              <w:bottom w:val="nil"/>
            </w:tcBorders>
            <w:vAlign w:val="center"/>
          </w:tcPr>
          <w:p w14:paraId="643673B8" w14:textId="77777777" w:rsidR="0009765C" w:rsidRPr="002A43B8" w:rsidRDefault="0009765C" w:rsidP="00D44D30">
            <w:pPr>
              <w:spacing w:before="40" w:after="40"/>
              <w:rPr>
                <w:sz w:val="18"/>
                <w:szCs w:val="18"/>
              </w:rPr>
            </w:pPr>
          </w:p>
        </w:tc>
        <w:tc>
          <w:tcPr>
            <w:tcW w:w="630" w:type="dxa"/>
            <w:tcBorders>
              <w:bottom w:val="nil"/>
            </w:tcBorders>
            <w:vAlign w:val="center"/>
          </w:tcPr>
          <w:p w14:paraId="18024D50" w14:textId="77777777" w:rsidR="0009765C" w:rsidRPr="002A43B8" w:rsidRDefault="0009765C" w:rsidP="00D44D30">
            <w:pPr>
              <w:spacing w:before="40" w:after="40"/>
              <w:rPr>
                <w:sz w:val="18"/>
                <w:szCs w:val="18"/>
              </w:rPr>
            </w:pPr>
          </w:p>
        </w:tc>
        <w:tc>
          <w:tcPr>
            <w:tcW w:w="630" w:type="dxa"/>
            <w:tcBorders>
              <w:bottom w:val="nil"/>
            </w:tcBorders>
            <w:vAlign w:val="center"/>
          </w:tcPr>
          <w:p w14:paraId="2B5CA605" w14:textId="77777777" w:rsidR="0009765C" w:rsidRPr="002A43B8" w:rsidRDefault="0009765C" w:rsidP="00D44D30">
            <w:pPr>
              <w:spacing w:before="40" w:after="40"/>
              <w:rPr>
                <w:sz w:val="18"/>
                <w:szCs w:val="18"/>
              </w:rPr>
            </w:pPr>
          </w:p>
        </w:tc>
        <w:tc>
          <w:tcPr>
            <w:tcW w:w="810" w:type="dxa"/>
            <w:tcBorders>
              <w:bottom w:val="nil"/>
            </w:tcBorders>
            <w:vAlign w:val="center"/>
          </w:tcPr>
          <w:p w14:paraId="1C59CAE3" w14:textId="77777777" w:rsidR="0009765C" w:rsidRPr="002A43B8" w:rsidRDefault="0009765C" w:rsidP="00D44D30">
            <w:pPr>
              <w:spacing w:before="40" w:after="40"/>
              <w:rPr>
                <w:sz w:val="18"/>
                <w:szCs w:val="18"/>
              </w:rPr>
            </w:pPr>
          </w:p>
        </w:tc>
        <w:tc>
          <w:tcPr>
            <w:tcW w:w="3049" w:type="dxa"/>
            <w:tcBorders>
              <w:bottom w:val="nil"/>
            </w:tcBorders>
            <w:vAlign w:val="center"/>
          </w:tcPr>
          <w:p w14:paraId="3679692C" w14:textId="0AF6FCBF" w:rsidR="0009765C" w:rsidRPr="002A43B8" w:rsidRDefault="0009765C" w:rsidP="00D44D30">
            <w:pPr>
              <w:spacing w:before="40" w:after="40"/>
              <w:rPr>
                <w:sz w:val="18"/>
                <w:szCs w:val="18"/>
              </w:rPr>
            </w:pPr>
          </w:p>
        </w:tc>
      </w:tr>
      <w:tr w:rsidR="00C470B4" w:rsidRPr="002A43B8" w14:paraId="7B835CE1" w14:textId="77777777" w:rsidTr="0009765C">
        <w:tc>
          <w:tcPr>
            <w:tcW w:w="4315" w:type="dxa"/>
            <w:tcBorders>
              <w:top w:val="nil"/>
            </w:tcBorders>
          </w:tcPr>
          <w:p w14:paraId="13AFA4C2" w14:textId="3C4DEBF7" w:rsidR="00C470B4" w:rsidRPr="000C2EE3" w:rsidRDefault="00C470B4" w:rsidP="00D44D30">
            <w:pPr>
              <w:pStyle w:val="ListParagraph"/>
              <w:numPr>
                <w:ilvl w:val="0"/>
                <w:numId w:val="967"/>
              </w:numPr>
              <w:spacing w:before="40" w:after="40"/>
              <w:rPr>
                <w:rFonts w:eastAsia="Times New Roman"/>
                <w:sz w:val="18"/>
                <w:szCs w:val="18"/>
              </w:rPr>
            </w:pPr>
            <w:r w:rsidRPr="000C2EE3">
              <w:rPr>
                <w:rFonts w:eastAsia="Times New Roman"/>
                <w:sz w:val="18"/>
                <w:szCs w:val="18"/>
              </w:rPr>
              <w:t>Class 1:  Direct connection from public water system mains only; no pumps, tanks, or reservoirs; no physical connection from other water supplies; no antifreeze or other additives of any kind; all sprinkler drains discharge to atmosphere, dry wells, or other safe outlets. These systems may or may not have fire department connections. Refer to 310 CMR 22.22(9)(d)1.</w:t>
            </w:r>
          </w:p>
        </w:tc>
        <w:tc>
          <w:tcPr>
            <w:tcW w:w="540" w:type="dxa"/>
            <w:tcBorders>
              <w:top w:val="nil"/>
            </w:tcBorders>
            <w:vAlign w:val="center"/>
          </w:tcPr>
          <w:p w14:paraId="54505B73" w14:textId="7155E4DE" w:rsidR="00C470B4" w:rsidRPr="002A43B8" w:rsidRDefault="00C470B4" w:rsidP="00D44D30">
            <w:pPr>
              <w:spacing w:before="40" w:after="40"/>
              <w:jc w:val="center"/>
              <w:rPr>
                <w:sz w:val="18"/>
                <w:szCs w:val="18"/>
              </w:rPr>
            </w:pPr>
            <w:r>
              <w:rPr>
                <w:sz w:val="18"/>
                <w:szCs w:val="18"/>
              </w:rPr>
              <w:t>X</w:t>
            </w:r>
          </w:p>
        </w:tc>
        <w:tc>
          <w:tcPr>
            <w:tcW w:w="720" w:type="dxa"/>
            <w:tcBorders>
              <w:top w:val="nil"/>
            </w:tcBorders>
            <w:vAlign w:val="center"/>
          </w:tcPr>
          <w:p w14:paraId="29D134BA" w14:textId="073A0EAA" w:rsidR="00C470B4" w:rsidRPr="002A43B8" w:rsidRDefault="00C470B4" w:rsidP="00D44D30">
            <w:pPr>
              <w:spacing w:before="40" w:after="40"/>
              <w:jc w:val="center"/>
              <w:rPr>
                <w:sz w:val="18"/>
                <w:szCs w:val="18"/>
              </w:rPr>
            </w:pPr>
            <w:r>
              <w:rPr>
                <w:sz w:val="18"/>
                <w:szCs w:val="18"/>
              </w:rPr>
              <w:t>X</w:t>
            </w:r>
          </w:p>
        </w:tc>
        <w:tc>
          <w:tcPr>
            <w:tcW w:w="810" w:type="dxa"/>
            <w:tcBorders>
              <w:top w:val="nil"/>
            </w:tcBorders>
            <w:vAlign w:val="center"/>
          </w:tcPr>
          <w:p w14:paraId="59E09744" w14:textId="59514687" w:rsidR="00C470B4" w:rsidRPr="002A43B8" w:rsidRDefault="00C470B4" w:rsidP="00D44D30">
            <w:pPr>
              <w:spacing w:before="40" w:after="40"/>
              <w:jc w:val="center"/>
              <w:rPr>
                <w:sz w:val="18"/>
                <w:szCs w:val="18"/>
              </w:rPr>
            </w:pPr>
            <w:r>
              <w:rPr>
                <w:sz w:val="18"/>
                <w:szCs w:val="18"/>
              </w:rPr>
              <w:t>X</w:t>
            </w:r>
          </w:p>
        </w:tc>
        <w:tc>
          <w:tcPr>
            <w:tcW w:w="630" w:type="dxa"/>
            <w:tcBorders>
              <w:top w:val="nil"/>
            </w:tcBorders>
            <w:vAlign w:val="center"/>
          </w:tcPr>
          <w:p w14:paraId="1817E16D" w14:textId="77777777" w:rsidR="00C470B4" w:rsidRPr="002A43B8" w:rsidRDefault="00C470B4" w:rsidP="00D44D30">
            <w:pPr>
              <w:spacing w:before="40" w:after="40"/>
              <w:jc w:val="center"/>
              <w:rPr>
                <w:sz w:val="18"/>
                <w:szCs w:val="18"/>
              </w:rPr>
            </w:pPr>
          </w:p>
        </w:tc>
        <w:tc>
          <w:tcPr>
            <w:tcW w:w="630" w:type="dxa"/>
            <w:tcBorders>
              <w:top w:val="nil"/>
            </w:tcBorders>
            <w:vAlign w:val="center"/>
          </w:tcPr>
          <w:p w14:paraId="672FBE47" w14:textId="77777777" w:rsidR="00C470B4" w:rsidRPr="002A43B8" w:rsidRDefault="00C470B4" w:rsidP="00D44D30">
            <w:pPr>
              <w:spacing w:before="40" w:after="40"/>
              <w:jc w:val="center"/>
              <w:rPr>
                <w:sz w:val="18"/>
                <w:szCs w:val="18"/>
              </w:rPr>
            </w:pPr>
          </w:p>
        </w:tc>
        <w:tc>
          <w:tcPr>
            <w:tcW w:w="810" w:type="dxa"/>
            <w:tcBorders>
              <w:top w:val="nil"/>
            </w:tcBorders>
            <w:vAlign w:val="center"/>
          </w:tcPr>
          <w:p w14:paraId="2DA3A607" w14:textId="77777777" w:rsidR="00C470B4" w:rsidRPr="002A43B8" w:rsidRDefault="00C470B4" w:rsidP="00D44D30">
            <w:pPr>
              <w:spacing w:before="40" w:after="40"/>
              <w:jc w:val="center"/>
              <w:rPr>
                <w:sz w:val="18"/>
                <w:szCs w:val="18"/>
              </w:rPr>
            </w:pPr>
          </w:p>
        </w:tc>
        <w:tc>
          <w:tcPr>
            <w:tcW w:w="3049" w:type="dxa"/>
            <w:tcBorders>
              <w:top w:val="nil"/>
            </w:tcBorders>
            <w:vAlign w:val="bottom"/>
          </w:tcPr>
          <w:p w14:paraId="7A251429" w14:textId="235917AC" w:rsidR="00C470B4" w:rsidRPr="002A43B8" w:rsidRDefault="00C470B4" w:rsidP="00D44D30">
            <w:pPr>
              <w:spacing w:before="40" w:after="40"/>
              <w:rPr>
                <w:sz w:val="18"/>
                <w:szCs w:val="18"/>
              </w:rPr>
            </w:pPr>
            <w:r>
              <w:rPr>
                <w:rFonts w:eastAsia="Times New Roman"/>
                <w:sz w:val="18"/>
                <w:szCs w:val="18"/>
              </w:rPr>
              <w:t>A backflow prevention assembly does not have to be installed on existing fire protection systems installed prior to March 21, 1997, provided that the fire protection system is registered with the public water system, equipped with a UL listed alarm check valve that is properly maintained in accordance with NFPA 25 and has not undergone substantial modification defined within 310 CMR 22.22(9)(d)3. Alarm check maintenance records must be available for inspection by the Department, its designee or the public water system</w:t>
            </w:r>
          </w:p>
        </w:tc>
      </w:tr>
      <w:tr w:rsidR="00C470B4" w:rsidRPr="002A43B8" w14:paraId="5CB3B978" w14:textId="77777777" w:rsidTr="002B3749">
        <w:tc>
          <w:tcPr>
            <w:tcW w:w="4315" w:type="dxa"/>
          </w:tcPr>
          <w:p w14:paraId="798F2AD5" w14:textId="65FCDDB0" w:rsidR="00C470B4" w:rsidRPr="002A43B8" w:rsidRDefault="00C470B4" w:rsidP="00D44D30">
            <w:pPr>
              <w:pStyle w:val="ListParagraph"/>
              <w:numPr>
                <w:ilvl w:val="0"/>
                <w:numId w:val="967"/>
              </w:numPr>
              <w:spacing w:before="40" w:after="40"/>
              <w:rPr>
                <w:rFonts w:eastAsia="Times New Roman"/>
                <w:sz w:val="18"/>
                <w:szCs w:val="18"/>
              </w:rPr>
            </w:pPr>
            <w:r w:rsidRPr="000C2EE3">
              <w:rPr>
                <w:rFonts w:eastAsia="Times New Roman"/>
                <w:sz w:val="18"/>
                <w:szCs w:val="18"/>
              </w:rPr>
              <w:t>Class 2: Same as Class 1 except that booster pumps may be installed in the connections from the street mains.</w:t>
            </w:r>
            <w:r>
              <w:rPr>
                <w:rFonts w:eastAsia="Times New Roman"/>
                <w:sz w:val="18"/>
                <w:szCs w:val="18"/>
              </w:rPr>
              <w:t xml:space="preserve"> </w:t>
            </w:r>
            <w:r w:rsidRPr="000C2EE3">
              <w:rPr>
                <w:rFonts w:eastAsia="Times New Roman"/>
                <w:sz w:val="18"/>
                <w:szCs w:val="18"/>
              </w:rPr>
              <w:t>These systems may or may not have fire department connections.</w:t>
            </w:r>
            <w:r>
              <w:rPr>
                <w:rFonts w:eastAsia="Times New Roman"/>
                <w:sz w:val="18"/>
                <w:szCs w:val="18"/>
              </w:rPr>
              <w:t xml:space="preserve"> Refer to 310 CMR 22.22(9)(a).</w:t>
            </w:r>
          </w:p>
        </w:tc>
        <w:tc>
          <w:tcPr>
            <w:tcW w:w="540" w:type="dxa"/>
            <w:vAlign w:val="center"/>
          </w:tcPr>
          <w:p w14:paraId="046B1A67" w14:textId="1E0BA0C8" w:rsidR="00C470B4" w:rsidRPr="002A43B8" w:rsidRDefault="00C470B4" w:rsidP="00D44D30">
            <w:pPr>
              <w:spacing w:before="40" w:after="40"/>
              <w:jc w:val="center"/>
              <w:rPr>
                <w:sz w:val="18"/>
                <w:szCs w:val="18"/>
              </w:rPr>
            </w:pPr>
            <w:r>
              <w:rPr>
                <w:sz w:val="18"/>
                <w:szCs w:val="18"/>
              </w:rPr>
              <w:t>X</w:t>
            </w:r>
          </w:p>
        </w:tc>
        <w:tc>
          <w:tcPr>
            <w:tcW w:w="720" w:type="dxa"/>
            <w:vAlign w:val="center"/>
          </w:tcPr>
          <w:p w14:paraId="1BE09FFC" w14:textId="3F23D62C" w:rsidR="00C470B4" w:rsidRPr="002A43B8" w:rsidRDefault="00C470B4" w:rsidP="00D44D30">
            <w:pPr>
              <w:spacing w:before="40" w:after="40"/>
              <w:jc w:val="center"/>
              <w:rPr>
                <w:sz w:val="18"/>
                <w:szCs w:val="18"/>
              </w:rPr>
            </w:pPr>
            <w:r>
              <w:rPr>
                <w:sz w:val="18"/>
                <w:szCs w:val="18"/>
              </w:rPr>
              <w:t>X</w:t>
            </w:r>
          </w:p>
        </w:tc>
        <w:tc>
          <w:tcPr>
            <w:tcW w:w="810" w:type="dxa"/>
            <w:vAlign w:val="center"/>
          </w:tcPr>
          <w:p w14:paraId="136653BA" w14:textId="5CDC34B1" w:rsidR="00C470B4" w:rsidRPr="002A43B8" w:rsidRDefault="00C470B4" w:rsidP="00D44D30">
            <w:pPr>
              <w:spacing w:before="40" w:after="40"/>
              <w:jc w:val="center"/>
              <w:rPr>
                <w:sz w:val="18"/>
                <w:szCs w:val="18"/>
              </w:rPr>
            </w:pPr>
            <w:r>
              <w:rPr>
                <w:sz w:val="18"/>
                <w:szCs w:val="18"/>
              </w:rPr>
              <w:t>X</w:t>
            </w:r>
          </w:p>
        </w:tc>
        <w:tc>
          <w:tcPr>
            <w:tcW w:w="630" w:type="dxa"/>
            <w:vAlign w:val="center"/>
          </w:tcPr>
          <w:p w14:paraId="57A6BD7E" w14:textId="40B8D731" w:rsidR="00C470B4" w:rsidRPr="002A43B8" w:rsidRDefault="00C470B4" w:rsidP="00D44D30">
            <w:pPr>
              <w:spacing w:before="40" w:after="40"/>
              <w:jc w:val="center"/>
              <w:rPr>
                <w:sz w:val="18"/>
                <w:szCs w:val="18"/>
              </w:rPr>
            </w:pPr>
          </w:p>
        </w:tc>
        <w:tc>
          <w:tcPr>
            <w:tcW w:w="630" w:type="dxa"/>
            <w:vAlign w:val="center"/>
          </w:tcPr>
          <w:p w14:paraId="32C06A15" w14:textId="77777777" w:rsidR="00C470B4" w:rsidRPr="002A43B8" w:rsidRDefault="00C470B4" w:rsidP="00D44D30">
            <w:pPr>
              <w:spacing w:before="40" w:after="40"/>
              <w:jc w:val="center"/>
              <w:rPr>
                <w:sz w:val="18"/>
                <w:szCs w:val="18"/>
              </w:rPr>
            </w:pPr>
          </w:p>
        </w:tc>
        <w:tc>
          <w:tcPr>
            <w:tcW w:w="810" w:type="dxa"/>
            <w:vAlign w:val="center"/>
          </w:tcPr>
          <w:p w14:paraId="1AB28345" w14:textId="77777777" w:rsidR="00C470B4" w:rsidRPr="002A43B8" w:rsidRDefault="00C470B4" w:rsidP="00D44D30">
            <w:pPr>
              <w:spacing w:before="40" w:after="40"/>
              <w:jc w:val="center"/>
              <w:rPr>
                <w:sz w:val="18"/>
                <w:szCs w:val="18"/>
              </w:rPr>
            </w:pPr>
          </w:p>
        </w:tc>
        <w:tc>
          <w:tcPr>
            <w:tcW w:w="3049" w:type="dxa"/>
            <w:vAlign w:val="bottom"/>
          </w:tcPr>
          <w:p w14:paraId="4D62A729" w14:textId="6C56FB7B" w:rsidR="00C470B4" w:rsidRPr="00DC5C0E" w:rsidRDefault="00DC5C0E" w:rsidP="00D44D30">
            <w:pPr>
              <w:spacing w:before="40" w:after="40"/>
              <w:ind w:right="160"/>
              <w:rPr>
                <w:sz w:val="20"/>
                <w:szCs w:val="20"/>
              </w:rPr>
            </w:pPr>
            <w:r>
              <w:rPr>
                <w:rFonts w:eastAsia="Times New Roman"/>
                <w:sz w:val="18"/>
                <w:szCs w:val="18"/>
              </w:rPr>
              <w:t>A backflow prevention assembly does not have to be installed on existing fire protection system installed prior to March 21, 1997, provided that the fire protection system is registered with the public water system and equipped with a UL listed alarm check valve that is properly maintained in accordance with NFPA 25. Alarm check maintenance records must be available for inspection by the Department, its designee or the public water system</w:t>
            </w:r>
          </w:p>
        </w:tc>
      </w:tr>
      <w:tr w:rsidR="00C470B4" w:rsidRPr="002A43B8" w14:paraId="05580035" w14:textId="77777777" w:rsidTr="002B3749">
        <w:tc>
          <w:tcPr>
            <w:tcW w:w="4315" w:type="dxa"/>
          </w:tcPr>
          <w:p w14:paraId="75DF07CF" w14:textId="66604303" w:rsidR="00C470B4" w:rsidRPr="002A43B8" w:rsidRDefault="00C470B4" w:rsidP="00D44D30">
            <w:pPr>
              <w:pStyle w:val="ListParagraph"/>
              <w:numPr>
                <w:ilvl w:val="0"/>
                <w:numId w:val="967"/>
              </w:numPr>
              <w:spacing w:before="40" w:after="40"/>
              <w:rPr>
                <w:rFonts w:eastAsia="Times New Roman"/>
                <w:sz w:val="18"/>
                <w:szCs w:val="18"/>
              </w:rPr>
            </w:pPr>
            <w:r w:rsidRPr="00B22A3A">
              <w:rPr>
                <w:rFonts w:eastAsia="Times New Roman"/>
                <w:sz w:val="18"/>
                <w:szCs w:val="18"/>
              </w:rPr>
              <w:t>Class 3:  Direct connection from public water system mains, plus one or more of the following: elevated storage tanks; fire pumps taking suction from aboveground covered</w:t>
            </w:r>
            <w:r>
              <w:rPr>
                <w:rFonts w:eastAsia="Times New Roman"/>
                <w:sz w:val="18"/>
                <w:szCs w:val="18"/>
              </w:rPr>
              <w:t xml:space="preserve"> reservoirs, or tanks; and pressure tanks.</w:t>
            </w:r>
          </w:p>
        </w:tc>
        <w:tc>
          <w:tcPr>
            <w:tcW w:w="540" w:type="dxa"/>
            <w:vAlign w:val="center"/>
          </w:tcPr>
          <w:p w14:paraId="083B7A87" w14:textId="06DE5AEC" w:rsidR="00C470B4" w:rsidRPr="002A43B8" w:rsidRDefault="00C470B4" w:rsidP="00D44D30">
            <w:pPr>
              <w:spacing w:before="40" w:after="40"/>
              <w:jc w:val="center"/>
              <w:rPr>
                <w:sz w:val="18"/>
                <w:szCs w:val="18"/>
              </w:rPr>
            </w:pPr>
            <w:r>
              <w:rPr>
                <w:sz w:val="18"/>
                <w:szCs w:val="18"/>
              </w:rPr>
              <w:t>X</w:t>
            </w:r>
          </w:p>
        </w:tc>
        <w:tc>
          <w:tcPr>
            <w:tcW w:w="720" w:type="dxa"/>
            <w:vAlign w:val="center"/>
          </w:tcPr>
          <w:p w14:paraId="6CD836ED" w14:textId="620BEDF1" w:rsidR="00C470B4" w:rsidRPr="002A43B8" w:rsidRDefault="00C470B4" w:rsidP="00D44D30">
            <w:pPr>
              <w:spacing w:before="40" w:after="40"/>
              <w:jc w:val="center"/>
              <w:rPr>
                <w:sz w:val="18"/>
                <w:szCs w:val="18"/>
              </w:rPr>
            </w:pPr>
            <w:r>
              <w:rPr>
                <w:sz w:val="18"/>
                <w:szCs w:val="18"/>
              </w:rPr>
              <w:t>X*</w:t>
            </w:r>
          </w:p>
        </w:tc>
        <w:tc>
          <w:tcPr>
            <w:tcW w:w="810" w:type="dxa"/>
            <w:vAlign w:val="center"/>
          </w:tcPr>
          <w:p w14:paraId="3DC0108B" w14:textId="7EB42C42" w:rsidR="00C470B4" w:rsidRPr="002A43B8" w:rsidRDefault="00C470B4" w:rsidP="00D44D30">
            <w:pPr>
              <w:spacing w:before="40" w:after="40"/>
              <w:jc w:val="center"/>
              <w:rPr>
                <w:sz w:val="18"/>
                <w:szCs w:val="18"/>
              </w:rPr>
            </w:pPr>
            <w:r>
              <w:rPr>
                <w:sz w:val="18"/>
                <w:szCs w:val="18"/>
              </w:rPr>
              <w:t>X*</w:t>
            </w:r>
          </w:p>
        </w:tc>
        <w:tc>
          <w:tcPr>
            <w:tcW w:w="630" w:type="dxa"/>
            <w:vAlign w:val="center"/>
          </w:tcPr>
          <w:p w14:paraId="0C477473" w14:textId="77777777" w:rsidR="00C470B4" w:rsidRPr="002A43B8" w:rsidRDefault="00C470B4" w:rsidP="00D44D30">
            <w:pPr>
              <w:spacing w:before="40" w:after="40"/>
              <w:jc w:val="center"/>
              <w:rPr>
                <w:sz w:val="18"/>
                <w:szCs w:val="18"/>
              </w:rPr>
            </w:pPr>
          </w:p>
        </w:tc>
        <w:tc>
          <w:tcPr>
            <w:tcW w:w="630" w:type="dxa"/>
            <w:vAlign w:val="center"/>
          </w:tcPr>
          <w:p w14:paraId="2C4B0BFD" w14:textId="77777777" w:rsidR="00C470B4" w:rsidRPr="002A43B8" w:rsidRDefault="00C470B4" w:rsidP="00D44D30">
            <w:pPr>
              <w:spacing w:before="40" w:after="40"/>
              <w:jc w:val="center"/>
              <w:rPr>
                <w:sz w:val="18"/>
                <w:szCs w:val="18"/>
              </w:rPr>
            </w:pPr>
          </w:p>
        </w:tc>
        <w:tc>
          <w:tcPr>
            <w:tcW w:w="810" w:type="dxa"/>
            <w:vAlign w:val="center"/>
          </w:tcPr>
          <w:p w14:paraId="5617A2D4" w14:textId="77777777" w:rsidR="00C470B4" w:rsidRPr="002A43B8" w:rsidRDefault="00C470B4" w:rsidP="00D44D30">
            <w:pPr>
              <w:spacing w:before="40" w:after="40"/>
              <w:jc w:val="center"/>
              <w:rPr>
                <w:sz w:val="18"/>
                <w:szCs w:val="18"/>
              </w:rPr>
            </w:pPr>
          </w:p>
        </w:tc>
        <w:tc>
          <w:tcPr>
            <w:tcW w:w="3049" w:type="dxa"/>
          </w:tcPr>
          <w:p w14:paraId="63CE8883" w14:textId="7F8C40E0" w:rsidR="00C470B4" w:rsidRPr="00DC5C0E" w:rsidRDefault="00DC5C0E" w:rsidP="00D44D30">
            <w:pPr>
              <w:spacing w:before="40" w:after="40"/>
              <w:ind w:right="160"/>
              <w:rPr>
                <w:sz w:val="20"/>
                <w:szCs w:val="20"/>
              </w:rPr>
            </w:pPr>
            <w:r>
              <w:rPr>
                <w:rFonts w:eastAsia="Times New Roman"/>
                <w:sz w:val="18"/>
                <w:szCs w:val="18"/>
              </w:rPr>
              <w:t>*RPBP or DCVA contingent on evaluation of auxiliary supply and on-site system in accordance with 310 CMR 22.22(9)(d)1.</w:t>
            </w:r>
          </w:p>
        </w:tc>
      </w:tr>
      <w:tr w:rsidR="00C470B4" w:rsidRPr="002A43B8" w14:paraId="0744D1D7" w14:textId="77777777" w:rsidTr="002B3749">
        <w:tc>
          <w:tcPr>
            <w:tcW w:w="4315" w:type="dxa"/>
          </w:tcPr>
          <w:p w14:paraId="1C0C92F9" w14:textId="446F37DA" w:rsidR="00C470B4" w:rsidRPr="002A43B8" w:rsidRDefault="00C470B4" w:rsidP="00D44D30">
            <w:pPr>
              <w:pStyle w:val="ListParagraph"/>
              <w:numPr>
                <w:ilvl w:val="0"/>
                <w:numId w:val="967"/>
              </w:numPr>
              <w:spacing w:before="40" w:after="40"/>
              <w:rPr>
                <w:rFonts w:eastAsia="Times New Roman"/>
                <w:sz w:val="18"/>
                <w:szCs w:val="18"/>
              </w:rPr>
            </w:pPr>
            <w:r w:rsidRPr="00ED4CC8">
              <w:rPr>
                <w:rFonts w:eastAsia="Times New Roman"/>
                <w:sz w:val="18"/>
                <w:szCs w:val="18"/>
              </w:rPr>
              <w:t>Class 4: Directly supplied from public water system mains, similar to Class 1 and Class 2 with an auxiliary water supply dedicated to fire department use and available to the premises, such as a nonpotable water source located within</w:t>
            </w:r>
            <w:r>
              <w:rPr>
                <w:rFonts w:eastAsia="Times New Roman"/>
                <w:sz w:val="18"/>
                <w:szCs w:val="18"/>
              </w:rPr>
              <w:t xml:space="preserve"> 1700 feet of the fire department connection, (FDC).</w:t>
            </w:r>
          </w:p>
        </w:tc>
        <w:tc>
          <w:tcPr>
            <w:tcW w:w="540" w:type="dxa"/>
            <w:vAlign w:val="center"/>
          </w:tcPr>
          <w:p w14:paraId="296F2A42" w14:textId="6112EDE4" w:rsidR="00C470B4" w:rsidRPr="002A43B8" w:rsidRDefault="00C470B4" w:rsidP="00D44D30">
            <w:pPr>
              <w:spacing w:before="40" w:after="40"/>
              <w:jc w:val="center"/>
              <w:rPr>
                <w:sz w:val="18"/>
                <w:szCs w:val="18"/>
              </w:rPr>
            </w:pPr>
            <w:r>
              <w:rPr>
                <w:sz w:val="18"/>
                <w:szCs w:val="18"/>
              </w:rPr>
              <w:t>X</w:t>
            </w:r>
          </w:p>
        </w:tc>
        <w:tc>
          <w:tcPr>
            <w:tcW w:w="720" w:type="dxa"/>
            <w:vAlign w:val="center"/>
          </w:tcPr>
          <w:p w14:paraId="28B4EA9D" w14:textId="79D5F8B8" w:rsidR="00C470B4" w:rsidRPr="002A43B8" w:rsidRDefault="00C470B4" w:rsidP="00D44D30">
            <w:pPr>
              <w:spacing w:before="40" w:after="40"/>
              <w:jc w:val="center"/>
              <w:rPr>
                <w:sz w:val="18"/>
                <w:szCs w:val="18"/>
              </w:rPr>
            </w:pPr>
            <w:r>
              <w:rPr>
                <w:sz w:val="18"/>
                <w:szCs w:val="18"/>
              </w:rPr>
              <w:t>X*</w:t>
            </w:r>
          </w:p>
        </w:tc>
        <w:tc>
          <w:tcPr>
            <w:tcW w:w="810" w:type="dxa"/>
            <w:vAlign w:val="center"/>
          </w:tcPr>
          <w:p w14:paraId="3F994B32" w14:textId="77777777" w:rsidR="00C470B4" w:rsidRPr="002A43B8" w:rsidRDefault="00C470B4" w:rsidP="00D44D30">
            <w:pPr>
              <w:spacing w:before="40" w:after="40"/>
              <w:jc w:val="center"/>
              <w:rPr>
                <w:sz w:val="18"/>
                <w:szCs w:val="18"/>
              </w:rPr>
            </w:pPr>
          </w:p>
        </w:tc>
        <w:tc>
          <w:tcPr>
            <w:tcW w:w="630" w:type="dxa"/>
            <w:vAlign w:val="center"/>
          </w:tcPr>
          <w:p w14:paraId="76E6A5E9" w14:textId="77777777" w:rsidR="00C470B4" w:rsidRPr="002A43B8" w:rsidRDefault="00C470B4" w:rsidP="00D44D30">
            <w:pPr>
              <w:spacing w:before="40" w:after="40"/>
              <w:jc w:val="center"/>
              <w:rPr>
                <w:sz w:val="18"/>
                <w:szCs w:val="18"/>
              </w:rPr>
            </w:pPr>
          </w:p>
        </w:tc>
        <w:tc>
          <w:tcPr>
            <w:tcW w:w="630" w:type="dxa"/>
            <w:vAlign w:val="center"/>
          </w:tcPr>
          <w:p w14:paraId="0977D94E" w14:textId="77777777" w:rsidR="00C470B4" w:rsidRPr="002A43B8" w:rsidRDefault="00C470B4" w:rsidP="00D44D30">
            <w:pPr>
              <w:spacing w:before="40" w:after="40"/>
              <w:jc w:val="center"/>
              <w:rPr>
                <w:sz w:val="18"/>
                <w:szCs w:val="18"/>
              </w:rPr>
            </w:pPr>
          </w:p>
        </w:tc>
        <w:tc>
          <w:tcPr>
            <w:tcW w:w="810" w:type="dxa"/>
            <w:vAlign w:val="center"/>
          </w:tcPr>
          <w:p w14:paraId="55D829FA" w14:textId="77777777" w:rsidR="00C470B4" w:rsidRPr="002A43B8" w:rsidRDefault="00C470B4" w:rsidP="00D44D30">
            <w:pPr>
              <w:spacing w:before="40" w:after="40"/>
              <w:jc w:val="center"/>
              <w:rPr>
                <w:sz w:val="18"/>
                <w:szCs w:val="18"/>
              </w:rPr>
            </w:pPr>
          </w:p>
        </w:tc>
        <w:tc>
          <w:tcPr>
            <w:tcW w:w="3049" w:type="dxa"/>
          </w:tcPr>
          <w:p w14:paraId="60CF2ED7" w14:textId="55A8F9F4" w:rsidR="00C470B4" w:rsidRPr="002A43B8" w:rsidRDefault="00DC5C0E" w:rsidP="00D44D30">
            <w:pPr>
              <w:spacing w:before="40" w:after="40"/>
              <w:ind w:right="200"/>
              <w:rPr>
                <w:sz w:val="18"/>
                <w:szCs w:val="18"/>
              </w:rPr>
            </w:pPr>
            <w:r>
              <w:rPr>
                <w:rFonts w:eastAsia="Times New Roman"/>
                <w:sz w:val="18"/>
                <w:szCs w:val="18"/>
              </w:rPr>
              <w:t>*RPBP on evaluation of auxiliary supply and on-site system in accordance with 310 CMR 22.22(9)(d)1.</w:t>
            </w:r>
          </w:p>
        </w:tc>
      </w:tr>
      <w:tr w:rsidR="00C470B4" w:rsidRPr="002A43B8" w14:paraId="78BEB49E" w14:textId="77777777" w:rsidTr="002B3749">
        <w:tc>
          <w:tcPr>
            <w:tcW w:w="4315" w:type="dxa"/>
          </w:tcPr>
          <w:p w14:paraId="7632CF83" w14:textId="64A884F6" w:rsidR="00C470B4" w:rsidRPr="00ED4CC8" w:rsidRDefault="00C470B4" w:rsidP="00D44D30">
            <w:pPr>
              <w:pStyle w:val="ListParagraph"/>
              <w:numPr>
                <w:ilvl w:val="0"/>
                <w:numId w:val="967"/>
              </w:numPr>
              <w:spacing w:before="40" w:after="40"/>
              <w:rPr>
                <w:rFonts w:eastAsia="Times New Roman"/>
                <w:sz w:val="18"/>
                <w:szCs w:val="18"/>
              </w:rPr>
            </w:pPr>
            <w:r w:rsidRPr="00ED4CC8">
              <w:rPr>
                <w:rFonts w:eastAsia="Times New Roman"/>
                <w:sz w:val="18"/>
                <w:szCs w:val="18"/>
              </w:rPr>
              <w:t xml:space="preserve">Class 5: Directly supplied from public water system mains, and interconnected with auxiliary supplies, such as pumps taking suction from reservoirs exposed to contamination, or rivers and ponds; driven wells; mills or other industrial water systems; or where antifreeze or other additives are used. </w:t>
            </w:r>
          </w:p>
        </w:tc>
        <w:tc>
          <w:tcPr>
            <w:tcW w:w="540" w:type="dxa"/>
            <w:vAlign w:val="center"/>
          </w:tcPr>
          <w:p w14:paraId="164FCD74" w14:textId="29426B43" w:rsidR="00C470B4" w:rsidRPr="002A43B8" w:rsidRDefault="00C470B4" w:rsidP="00D44D30">
            <w:pPr>
              <w:spacing w:before="40" w:after="40"/>
              <w:jc w:val="center"/>
              <w:rPr>
                <w:sz w:val="18"/>
                <w:szCs w:val="18"/>
              </w:rPr>
            </w:pPr>
            <w:r>
              <w:rPr>
                <w:sz w:val="18"/>
                <w:szCs w:val="18"/>
              </w:rPr>
              <w:t>X*</w:t>
            </w:r>
          </w:p>
        </w:tc>
        <w:tc>
          <w:tcPr>
            <w:tcW w:w="720" w:type="dxa"/>
            <w:vAlign w:val="center"/>
          </w:tcPr>
          <w:p w14:paraId="0E898E2C" w14:textId="179E98B6" w:rsidR="00C470B4" w:rsidRPr="002A43B8" w:rsidRDefault="00C470B4" w:rsidP="00D44D30">
            <w:pPr>
              <w:spacing w:before="40" w:after="40"/>
              <w:jc w:val="center"/>
              <w:rPr>
                <w:sz w:val="18"/>
                <w:szCs w:val="18"/>
              </w:rPr>
            </w:pPr>
            <w:r>
              <w:rPr>
                <w:sz w:val="18"/>
                <w:szCs w:val="18"/>
              </w:rPr>
              <w:t>X*</w:t>
            </w:r>
          </w:p>
        </w:tc>
        <w:tc>
          <w:tcPr>
            <w:tcW w:w="810" w:type="dxa"/>
            <w:vAlign w:val="center"/>
          </w:tcPr>
          <w:p w14:paraId="4E1FD5D8" w14:textId="77777777" w:rsidR="00C470B4" w:rsidRPr="002A43B8" w:rsidRDefault="00C470B4" w:rsidP="00D44D30">
            <w:pPr>
              <w:spacing w:before="40" w:after="40"/>
              <w:jc w:val="center"/>
              <w:rPr>
                <w:sz w:val="18"/>
                <w:szCs w:val="18"/>
              </w:rPr>
            </w:pPr>
          </w:p>
        </w:tc>
        <w:tc>
          <w:tcPr>
            <w:tcW w:w="630" w:type="dxa"/>
            <w:vAlign w:val="center"/>
          </w:tcPr>
          <w:p w14:paraId="365BB196" w14:textId="194C4596" w:rsidR="00C470B4" w:rsidRPr="002A43B8" w:rsidRDefault="00C470B4" w:rsidP="00D44D30">
            <w:pPr>
              <w:spacing w:before="40" w:after="40"/>
              <w:jc w:val="center"/>
              <w:rPr>
                <w:sz w:val="18"/>
                <w:szCs w:val="18"/>
              </w:rPr>
            </w:pPr>
          </w:p>
        </w:tc>
        <w:tc>
          <w:tcPr>
            <w:tcW w:w="630" w:type="dxa"/>
            <w:vAlign w:val="center"/>
          </w:tcPr>
          <w:p w14:paraId="76B89377" w14:textId="341EB681" w:rsidR="00C470B4" w:rsidRPr="002A43B8" w:rsidRDefault="00C470B4" w:rsidP="00D44D30">
            <w:pPr>
              <w:spacing w:before="40" w:after="40"/>
              <w:jc w:val="center"/>
              <w:rPr>
                <w:sz w:val="18"/>
                <w:szCs w:val="18"/>
              </w:rPr>
            </w:pPr>
          </w:p>
        </w:tc>
        <w:tc>
          <w:tcPr>
            <w:tcW w:w="810" w:type="dxa"/>
            <w:vAlign w:val="center"/>
          </w:tcPr>
          <w:p w14:paraId="21FE437A" w14:textId="77777777" w:rsidR="00C470B4" w:rsidRPr="002A43B8" w:rsidRDefault="00C470B4" w:rsidP="00D44D30">
            <w:pPr>
              <w:spacing w:before="40" w:after="40"/>
              <w:jc w:val="center"/>
              <w:rPr>
                <w:sz w:val="18"/>
                <w:szCs w:val="18"/>
              </w:rPr>
            </w:pPr>
          </w:p>
        </w:tc>
        <w:tc>
          <w:tcPr>
            <w:tcW w:w="3049" w:type="dxa"/>
          </w:tcPr>
          <w:p w14:paraId="326F73EA" w14:textId="55E331B6" w:rsidR="00C470B4" w:rsidRPr="00351771" w:rsidRDefault="00351771" w:rsidP="00D44D30">
            <w:pPr>
              <w:spacing w:before="40" w:after="40"/>
              <w:ind w:right="200"/>
              <w:rPr>
                <w:rFonts w:eastAsia="Times New Roman"/>
                <w:sz w:val="18"/>
                <w:szCs w:val="18"/>
              </w:rPr>
            </w:pPr>
            <w:r>
              <w:rPr>
                <w:rFonts w:eastAsia="Times New Roman"/>
                <w:sz w:val="18"/>
                <w:szCs w:val="18"/>
              </w:rPr>
              <w:t>*RPBP or air gap contingent on evaluation of auxiliary supply and on-site system. Refer to 310 CMR 22.22(9)(d)1.</w:t>
            </w:r>
          </w:p>
        </w:tc>
      </w:tr>
      <w:tr w:rsidR="00351771" w:rsidRPr="002A43B8" w14:paraId="2EBB3E26" w14:textId="77777777" w:rsidTr="002B3749">
        <w:tc>
          <w:tcPr>
            <w:tcW w:w="4315" w:type="dxa"/>
          </w:tcPr>
          <w:p w14:paraId="4723FEB8" w14:textId="2319E9F1" w:rsidR="00351771" w:rsidRPr="002A43B8" w:rsidRDefault="00351771" w:rsidP="00D44D30">
            <w:pPr>
              <w:pStyle w:val="ListParagraph"/>
              <w:numPr>
                <w:ilvl w:val="0"/>
                <w:numId w:val="967"/>
              </w:numPr>
              <w:spacing w:before="40" w:after="40"/>
              <w:rPr>
                <w:rFonts w:eastAsia="Times New Roman"/>
                <w:sz w:val="18"/>
                <w:szCs w:val="18"/>
              </w:rPr>
            </w:pPr>
            <w:r w:rsidRPr="00ED4CC8">
              <w:rPr>
                <w:rFonts w:eastAsia="Times New Roman"/>
                <w:sz w:val="18"/>
                <w:szCs w:val="18"/>
              </w:rPr>
              <w:t>f. Class 6: Combined industrial and fire protection systems supplied from the public water mains only, with or without</w:t>
            </w:r>
            <w:r>
              <w:rPr>
                <w:rFonts w:eastAsia="Times New Roman"/>
                <w:sz w:val="18"/>
                <w:szCs w:val="18"/>
              </w:rPr>
              <w:t xml:space="preserve"> gravity storage or pump suction tanks.</w:t>
            </w:r>
          </w:p>
        </w:tc>
        <w:tc>
          <w:tcPr>
            <w:tcW w:w="540" w:type="dxa"/>
            <w:vAlign w:val="center"/>
          </w:tcPr>
          <w:p w14:paraId="4AEFB348" w14:textId="3A5530B2" w:rsidR="00351771" w:rsidRPr="002A43B8" w:rsidRDefault="00351771" w:rsidP="00D44D30">
            <w:pPr>
              <w:spacing w:before="40" w:after="40"/>
              <w:jc w:val="center"/>
              <w:rPr>
                <w:sz w:val="18"/>
                <w:szCs w:val="18"/>
              </w:rPr>
            </w:pPr>
            <w:r>
              <w:rPr>
                <w:sz w:val="18"/>
                <w:szCs w:val="18"/>
              </w:rPr>
              <w:t>X</w:t>
            </w:r>
          </w:p>
        </w:tc>
        <w:tc>
          <w:tcPr>
            <w:tcW w:w="720" w:type="dxa"/>
            <w:vAlign w:val="center"/>
          </w:tcPr>
          <w:p w14:paraId="68BDB436" w14:textId="5570BE87" w:rsidR="00351771" w:rsidRPr="002A43B8" w:rsidRDefault="00351771" w:rsidP="00D44D30">
            <w:pPr>
              <w:spacing w:before="40" w:after="40"/>
              <w:jc w:val="center"/>
              <w:rPr>
                <w:sz w:val="18"/>
                <w:szCs w:val="18"/>
              </w:rPr>
            </w:pPr>
            <w:r>
              <w:rPr>
                <w:sz w:val="18"/>
                <w:szCs w:val="18"/>
              </w:rPr>
              <w:t>X*</w:t>
            </w:r>
          </w:p>
        </w:tc>
        <w:tc>
          <w:tcPr>
            <w:tcW w:w="810" w:type="dxa"/>
            <w:vAlign w:val="center"/>
          </w:tcPr>
          <w:p w14:paraId="50B75A67" w14:textId="77777777" w:rsidR="00351771" w:rsidRPr="002A43B8" w:rsidRDefault="00351771" w:rsidP="00D44D30">
            <w:pPr>
              <w:spacing w:before="40" w:after="40"/>
              <w:jc w:val="center"/>
              <w:rPr>
                <w:sz w:val="18"/>
                <w:szCs w:val="18"/>
              </w:rPr>
            </w:pPr>
          </w:p>
        </w:tc>
        <w:tc>
          <w:tcPr>
            <w:tcW w:w="630" w:type="dxa"/>
            <w:vAlign w:val="center"/>
          </w:tcPr>
          <w:p w14:paraId="2513F2A4" w14:textId="77777777" w:rsidR="00351771" w:rsidRPr="002A43B8" w:rsidRDefault="00351771" w:rsidP="00D44D30">
            <w:pPr>
              <w:spacing w:before="40" w:after="40"/>
              <w:jc w:val="center"/>
              <w:rPr>
                <w:sz w:val="18"/>
                <w:szCs w:val="18"/>
              </w:rPr>
            </w:pPr>
          </w:p>
        </w:tc>
        <w:tc>
          <w:tcPr>
            <w:tcW w:w="630" w:type="dxa"/>
            <w:vAlign w:val="center"/>
          </w:tcPr>
          <w:p w14:paraId="09505386" w14:textId="614A3135" w:rsidR="00351771" w:rsidRPr="002A43B8" w:rsidRDefault="00351771" w:rsidP="00D44D30">
            <w:pPr>
              <w:spacing w:before="40" w:after="40"/>
              <w:jc w:val="center"/>
              <w:rPr>
                <w:sz w:val="18"/>
                <w:szCs w:val="18"/>
              </w:rPr>
            </w:pPr>
            <w:r>
              <w:rPr>
                <w:sz w:val="18"/>
                <w:szCs w:val="18"/>
              </w:rPr>
              <w:t>X</w:t>
            </w:r>
          </w:p>
        </w:tc>
        <w:tc>
          <w:tcPr>
            <w:tcW w:w="810" w:type="dxa"/>
            <w:vAlign w:val="center"/>
          </w:tcPr>
          <w:p w14:paraId="69A0FC44" w14:textId="764EBB3B" w:rsidR="00351771" w:rsidRPr="002A43B8" w:rsidRDefault="00351771" w:rsidP="00D44D30">
            <w:pPr>
              <w:spacing w:before="40" w:after="40"/>
              <w:jc w:val="center"/>
              <w:rPr>
                <w:sz w:val="18"/>
                <w:szCs w:val="18"/>
              </w:rPr>
            </w:pPr>
            <w:r>
              <w:rPr>
                <w:sz w:val="18"/>
                <w:szCs w:val="18"/>
              </w:rPr>
              <w:t>X</w:t>
            </w:r>
          </w:p>
        </w:tc>
        <w:tc>
          <w:tcPr>
            <w:tcW w:w="3049" w:type="dxa"/>
          </w:tcPr>
          <w:p w14:paraId="5FFAAC92" w14:textId="2705C4BC" w:rsidR="00351771" w:rsidRPr="002A43B8" w:rsidRDefault="00351771" w:rsidP="00D44D30">
            <w:pPr>
              <w:spacing w:before="40" w:after="40"/>
              <w:rPr>
                <w:sz w:val="18"/>
                <w:szCs w:val="18"/>
              </w:rPr>
            </w:pPr>
            <w:r>
              <w:rPr>
                <w:rFonts w:eastAsia="Times New Roman"/>
                <w:sz w:val="18"/>
                <w:szCs w:val="18"/>
              </w:rPr>
              <w:t>*RPBP contingent on evaluation of on-site water system. Refer to 310 CMR22.22 (9)(d)1.</w:t>
            </w:r>
          </w:p>
        </w:tc>
      </w:tr>
      <w:tr w:rsidR="00351771" w:rsidRPr="002A43B8" w14:paraId="088898FB" w14:textId="77777777" w:rsidTr="002B3749">
        <w:tc>
          <w:tcPr>
            <w:tcW w:w="4315" w:type="dxa"/>
          </w:tcPr>
          <w:p w14:paraId="604BFADD" w14:textId="2CDF32CE" w:rsidR="00351771" w:rsidRPr="002A43B8" w:rsidRDefault="00351771" w:rsidP="00D44D30">
            <w:pPr>
              <w:pStyle w:val="ListParagraph"/>
              <w:numPr>
                <w:ilvl w:val="0"/>
                <w:numId w:val="967"/>
              </w:numPr>
              <w:spacing w:before="40" w:after="40"/>
              <w:rPr>
                <w:rFonts w:eastAsia="Times New Roman"/>
                <w:sz w:val="18"/>
                <w:szCs w:val="18"/>
              </w:rPr>
            </w:pPr>
            <w:r w:rsidRPr="00ED4CC8">
              <w:rPr>
                <w:rFonts w:eastAsia="Times New Roman"/>
                <w:sz w:val="18"/>
                <w:szCs w:val="18"/>
              </w:rPr>
              <w:t>Residential fire protection systems for one and two family detached dwellings and manufactured homes only. Fire protection systems in three family dwellings meeting NFPA 13D requirements as provided in 780 CMR, Chapter 9, are</w:t>
            </w:r>
            <w:r>
              <w:rPr>
                <w:rFonts w:eastAsia="Times New Roman"/>
                <w:sz w:val="18"/>
                <w:szCs w:val="18"/>
              </w:rPr>
              <w:t xml:space="preserve"> included in this section.</w:t>
            </w:r>
          </w:p>
        </w:tc>
        <w:tc>
          <w:tcPr>
            <w:tcW w:w="540" w:type="dxa"/>
            <w:vAlign w:val="center"/>
          </w:tcPr>
          <w:p w14:paraId="5DE3DFED" w14:textId="4571C5BD" w:rsidR="00351771" w:rsidRPr="002A43B8" w:rsidRDefault="00351771" w:rsidP="00D44D30">
            <w:pPr>
              <w:spacing w:before="40" w:after="40"/>
              <w:jc w:val="center"/>
              <w:rPr>
                <w:sz w:val="18"/>
                <w:szCs w:val="18"/>
              </w:rPr>
            </w:pPr>
            <w:r>
              <w:rPr>
                <w:sz w:val="18"/>
                <w:szCs w:val="18"/>
              </w:rPr>
              <w:t>X</w:t>
            </w:r>
          </w:p>
        </w:tc>
        <w:tc>
          <w:tcPr>
            <w:tcW w:w="720" w:type="dxa"/>
            <w:vAlign w:val="center"/>
          </w:tcPr>
          <w:p w14:paraId="0A1279AB" w14:textId="38BBAE84" w:rsidR="00351771" w:rsidRPr="002A43B8" w:rsidRDefault="00351771" w:rsidP="00D44D30">
            <w:pPr>
              <w:spacing w:before="40" w:after="40"/>
              <w:jc w:val="center"/>
              <w:rPr>
                <w:sz w:val="18"/>
                <w:szCs w:val="18"/>
              </w:rPr>
            </w:pPr>
            <w:r>
              <w:rPr>
                <w:sz w:val="18"/>
                <w:szCs w:val="18"/>
              </w:rPr>
              <w:t>X</w:t>
            </w:r>
          </w:p>
        </w:tc>
        <w:tc>
          <w:tcPr>
            <w:tcW w:w="810" w:type="dxa"/>
            <w:vAlign w:val="center"/>
          </w:tcPr>
          <w:p w14:paraId="01D23E30" w14:textId="1322C30A" w:rsidR="00351771" w:rsidRPr="002A43B8" w:rsidRDefault="00351771" w:rsidP="00D44D30">
            <w:pPr>
              <w:spacing w:before="40" w:after="40"/>
              <w:jc w:val="center"/>
              <w:rPr>
                <w:sz w:val="18"/>
                <w:szCs w:val="18"/>
              </w:rPr>
            </w:pPr>
            <w:r>
              <w:rPr>
                <w:sz w:val="18"/>
                <w:szCs w:val="18"/>
              </w:rPr>
              <w:t>X</w:t>
            </w:r>
          </w:p>
        </w:tc>
        <w:tc>
          <w:tcPr>
            <w:tcW w:w="630" w:type="dxa"/>
            <w:vAlign w:val="center"/>
          </w:tcPr>
          <w:p w14:paraId="79A8593A" w14:textId="23D99AD6" w:rsidR="00351771" w:rsidRPr="002A43B8" w:rsidRDefault="00351771" w:rsidP="00D44D30">
            <w:pPr>
              <w:spacing w:before="40" w:after="40"/>
              <w:jc w:val="center"/>
              <w:rPr>
                <w:sz w:val="18"/>
                <w:szCs w:val="18"/>
              </w:rPr>
            </w:pPr>
          </w:p>
        </w:tc>
        <w:tc>
          <w:tcPr>
            <w:tcW w:w="630" w:type="dxa"/>
            <w:vAlign w:val="center"/>
          </w:tcPr>
          <w:p w14:paraId="4A740334" w14:textId="77777777" w:rsidR="00351771" w:rsidRPr="002A43B8" w:rsidRDefault="00351771" w:rsidP="00D44D30">
            <w:pPr>
              <w:spacing w:before="40" w:after="40"/>
              <w:jc w:val="center"/>
              <w:rPr>
                <w:sz w:val="18"/>
                <w:szCs w:val="18"/>
              </w:rPr>
            </w:pPr>
          </w:p>
        </w:tc>
        <w:tc>
          <w:tcPr>
            <w:tcW w:w="810" w:type="dxa"/>
            <w:vAlign w:val="center"/>
          </w:tcPr>
          <w:p w14:paraId="5FABB97B" w14:textId="77777777" w:rsidR="00351771" w:rsidRPr="002A43B8" w:rsidRDefault="00351771" w:rsidP="00D44D30">
            <w:pPr>
              <w:spacing w:before="40" w:after="40"/>
              <w:jc w:val="center"/>
              <w:rPr>
                <w:sz w:val="18"/>
                <w:szCs w:val="18"/>
              </w:rPr>
            </w:pPr>
          </w:p>
        </w:tc>
        <w:tc>
          <w:tcPr>
            <w:tcW w:w="3049" w:type="dxa"/>
            <w:vAlign w:val="bottom"/>
          </w:tcPr>
          <w:p w14:paraId="59F78A7C" w14:textId="116F2217" w:rsidR="00351771" w:rsidRPr="002A43B8" w:rsidRDefault="00351771" w:rsidP="00D44D30">
            <w:pPr>
              <w:spacing w:before="40" w:after="40"/>
              <w:rPr>
                <w:sz w:val="18"/>
                <w:szCs w:val="18"/>
              </w:rPr>
            </w:pPr>
            <w:r>
              <w:rPr>
                <w:rFonts w:eastAsia="Times New Roman"/>
                <w:sz w:val="18"/>
                <w:szCs w:val="18"/>
              </w:rPr>
              <w:t>Non testable devices and flow through systems should be used whenever possible. Systems are typically designed and installed in accordance with NFPA 13D:  "Installation of Sprinkler systems in One and Two Family Dwellings and manufactured homes". These systems are authorized to use food grade antifreeze with no additional requirements when potable piping (PB, CPVC, and copper tube) is employed. If non-grade antifreeze is utilized, the system may be classified as a class 5. If a fire department connection is used, the requirements for a class 1 or 2 apply.</w:t>
            </w:r>
          </w:p>
        </w:tc>
      </w:tr>
    </w:tbl>
    <w:p w14:paraId="281A746E" w14:textId="77777777" w:rsidR="004647B9" w:rsidRDefault="004647B9" w:rsidP="00D44D30">
      <w:pPr>
        <w:sectPr w:rsidR="004647B9" w:rsidSect="00EF630C">
          <w:pgSz w:w="12240" w:h="20180"/>
          <w:pgMar w:top="708" w:right="180" w:bottom="539" w:left="540" w:header="0" w:footer="0" w:gutter="0"/>
          <w:cols w:space="720"/>
        </w:sectPr>
      </w:pPr>
    </w:p>
    <w:p w14:paraId="281A74F4" w14:textId="5BF9643E" w:rsidR="00423D65" w:rsidRDefault="00423D65">
      <w:pPr>
        <w:rPr>
          <w:sz w:val="20"/>
          <w:szCs w:val="20"/>
        </w:rPr>
      </w:pPr>
      <w:r>
        <w:rPr>
          <w:sz w:val="20"/>
          <w:szCs w:val="20"/>
        </w:rPr>
        <w:br w:type="page"/>
      </w:r>
    </w:p>
    <w:p w14:paraId="281A759B" w14:textId="77777777" w:rsidR="004647B9" w:rsidRDefault="00E2436F">
      <w:pPr>
        <w:tabs>
          <w:tab w:val="left" w:pos="2920"/>
        </w:tabs>
        <w:ind w:left="1740"/>
        <w:rPr>
          <w:sz w:val="20"/>
          <w:szCs w:val="20"/>
        </w:rPr>
      </w:pPr>
      <w:bookmarkStart w:id="330" w:name="page334"/>
      <w:bookmarkEnd w:id="33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59C" w14:textId="77777777" w:rsidR="004647B9" w:rsidRDefault="004647B9" w:rsidP="00D44D30">
      <w:pPr>
        <w:rPr>
          <w:sz w:val="20"/>
          <w:szCs w:val="20"/>
        </w:rPr>
      </w:pPr>
    </w:p>
    <w:p w14:paraId="5D1BA724" w14:textId="77777777" w:rsidR="00D44D30" w:rsidRDefault="00D44D30" w:rsidP="00D44D30">
      <w:pPr>
        <w:rPr>
          <w:sz w:val="20"/>
          <w:szCs w:val="20"/>
        </w:rPr>
      </w:pPr>
    </w:p>
    <w:p w14:paraId="281A759D" w14:textId="77777777" w:rsidR="004647B9" w:rsidRPr="00D44D30" w:rsidRDefault="00E2436F" w:rsidP="00D44D30">
      <w:pPr>
        <w:tabs>
          <w:tab w:val="left" w:pos="820"/>
        </w:tabs>
        <w:ind w:left="60"/>
        <w:rPr>
          <w:sz w:val="24"/>
          <w:szCs w:val="24"/>
        </w:rPr>
      </w:pPr>
      <w:r w:rsidRPr="00D44D30">
        <w:rPr>
          <w:rFonts w:eastAsia="Times New Roman"/>
          <w:sz w:val="24"/>
          <w:szCs w:val="24"/>
        </w:rPr>
        <w:t>22.22:</w:t>
      </w:r>
      <w:r w:rsidRPr="00D44D30">
        <w:rPr>
          <w:rFonts w:eastAsia="Times New Roman"/>
          <w:sz w:val="24"/>
          <w:szCs w:val="24"/>
        </w:rPr>
        <w:tab/>
        <w:t>continued</w:t>
      </w:r>
    </w:p>
    <w:p w14:paraId="0D85E13D" w14:textId="77777777" w:rsidR="00A12648" w:rsidRDefault="00A12648" w:rsidP="00D44D30">
      <w:pPr>
        <w:rPr>
          <w:sz w:val="20"/>
          <w:szCs w:val="20"/>
        </w:rPr>
      </w:pPr>
    </w:p>
    <w:tbl>
      <w:tblPr>
        <w:tblStyle w:val="TableGrid"/>
        <w:tblW w:w="11504" w:type="dxa"/>
        <w:tblLayout w:type="fixed"/>
        <w:tblLook w:val="04A0" w:firstRow="1" w:lastRow="0" w:firstColumn="1" w:lastColumn="0" w:noHBand="0" w:noVBand="1"/>
      </w:tblPr>
      <w:tblGrid>
        <w:gridCol w:w="4315"/>
        <w:gridCol w:w="540"/>
        <w:gridCol w:w="720"/>
        <w:gridCol w:w="810"/>
        <w:gridCol w:w="630"/>
        <w:gridCol w:w="630"/>
        <w:gridCol w:w="810"/>
        <w:gridCol w:w="3049"/>
      </w:tblGrid>
      <w:tr w:rsidR="00A12648" w:rsidRPr="002A43B8" w14:paraId="18002F6A" w14:textId="77777777" w:rsidTr="00DF6443">
        <w:tc>
          <w:tcPr>
            <w:tcW w:w="4315" w:type="dxa"/>
            <w:vMerge w:val="restart"/>
            <w:tcBorders>
              <w:top w:val="double" w:sz="4" w:space="0" w:color="auto"/>
              <w:bottom w:val="double" w:sz="4" w:space="0" w:color="auto"/>
            </w:tcBorders>
            <w:vAlign w:val="center"/>
          </w:tcPr>
          <w:p w14:paraId="641E8A85" w14:textId="77777777" w:rsidR="00A12648" w:rsidRPr="002A43B8" w:rsidRDefault="00A12648" w:rsidP="00D44D30">
            <w:pPr>
              <w:jc w:val="center"/>
              <w:rPr>
                <w:sz w:val="18"/>
                <w:szCs w:val="18"/>
              </w:rPr>
            </w:pPr>
            <w:r w:rsidRPr="002A43B8">
              <w:rPr>
                <w:rFonts w:eastAsia="Times New Roman"/>
                <w:sz w:val="18"/>
                <w:szCs w:val="18"/>
              </w:rPr>
              <w:t>Types of Hazard on Premises</w:t>
            </w:r>
          </w:p>
        </w:tc>
        <w:tc>
          <w:tcPr>
            <w:tcW w:w="4140" w:type="dxa"/>
            <w:gridSpan w:val="6"/>
            <w:tcBorders>
              <w:top w:val="double" w:sz="4" w:space="0" w:color="auto"/>
              <w:bottom w:val="single" w:sz="4" w:space="0" w:color="auto"/>
            </w:tcBorders>
            <w:vAlign w:val="center"/>
          </w:tcPr>
          <w:p w14:paraId="02B4F45A" w14:textId="77777777" w:rsidR="00A12648" w:rsidRPr="002A43B8" w:rsidRDefault="00A12648" w:rsidP="00D44D30">
            <w:pPr>
              <w:spacing w:before="40" w:after="40"/>
              <w:ind w:left="60"/>
              <w:jc w:val="center"/>
              <w:rPr>
                <w:sz w:val="18"/>
                <w:szCs w:val="18"/>
              </w:rPr>
            </w:pPr>
            <w:r w:rsidRPr="002A43B8">
              <w:rPr>
                <w:rFonts w:eastAsia="Times New Roman"/>
                <w:sz w:val="18"/>
                <w:szCs w:val="18"/>
              </w:rPr>
              <w:t>Acceptable Types of Backflow Preventers</w:t>
            </w:r>
          </w:p>
        </w:tc>
        <w:tc>
          <w:tcPr>
            <w:tcW w:w="3049" w:type="dxa"/>
            <w:vMerge w:val="restart"/>
            <w:tcBorders>
              <w:top w:val="double" w:sz="4" w:space="0" w:color="auto"/>
            </w:tcBorders>
            <w:vAlign w:val="center"/>
          </w:tcPr>
          <w:p w14:paraId="730EC09D" w14:textId="77777777" w:rsidR="00A12648" w:rsidRPr="002A43B8" w:rsidRDefault="00A12648" w:rsidP="00D44D30">
            <w:pPr>
              <w:jc w:val="center"/>
              <w:rPr>
                <w:sz w:val="18"/>
                <w:szCs w:val="18"/>
              </w:rPr>
            </w:pPr>
            <w:r w:rsidRPr="002A43B8">
              <w:rPr>
                <w:sz w:val="18"/>
                <w:szCs w:val="18"/>
              </w:rPr>
              <w:t>Comments*</w:t>
            </w:r>
          </w:p>
        </w:tc>
      </w:tr>
      <w:tr w:rsidR="00A12648" w:rsidRPr="002A43B8" w14:paraId="4F4BEA37" w14:textId="77777777" w:rsidTr="00DF6443">
        <w:tc>
          <w:tcPr>
            <w:tcW w:w="4315" w:type="dxa"/>
            <w:vMerge/>
            <w:tcBorders>
              <w:bottom w:val="double" w:sz="4" w:space="0" w:color="auto"/>
            </w:tcBorders>
          </w:tcPr>
          <w:p w14:paraId="5A27C0F6" w14:textId="77777777" w:rsidR="00A12648" w:rsidRPr="002A43B8" w:rsidRDefault="00A12648" w:rsidP="00D44D30">
            <w:pPr>
              <w:rPr>
                <w:sz w:val="18"/>
                <w:szCs w:val="18"/>
              </w:rPr>
            </w:pPr>
          </w:p>
        </w:tc>
        <w:tc>
          <w:tcPr>
            <w:tcW w:w="540" w:type="dxa"/>
            <w:tcBorders>
              <w:bottom w:val="double" w:sz="4" w:space="0" w:color="auto"/>
            </w:tcBorders>
          </w:tcPr>
          <w:p w14:paraId="422273D6" w14:textId="77777777" w:rsidR="00A12648" w:rsidRPr="002A43B8" w:rsidRDefault="00A12648" w:rsidP="00D44D30">
            <w:pPr>
              <w:spacing w:before="40" w:after="40"/>
              <w:rPr>
                <w:sz w:val="18"/>
                <w:szCs w:val="18"/>
              </w:rPr>
            </w:pPr>
            <w:r w:rsidRPr="002A43B8">
              <w:rPr>
                <w:sz w:val="18"/>
                <w:szCs w:val="18"/>
              </w:rPr>
              <w:t>AG</w:t>
            </w:r>
          </w:p>
        </w:tc>
        <w:tc>
          <w:tcPr>
            <w:tcW w:w="720" w:type="dxa"/>
            <w:tcBorders>
              <w:bottom w:val="double" w:sz="4" w:space="0" w:color="auto"/>
            </w:tcBorders>
          </w:tcPr>
          <w:p w14:paraId="3EC2A3BF" w14:textId="77777777" w:rsidR="00A12648" w:rsidRPr="002A43B8" w:rsidRDefault="00A12648" w:rsidP="00D44D30">
            <w:pPr>
              <w:spacing w:before="40" w:after="40"/>
              <w:rPr>
                <w:sz w:val="18"/>
                <w:szCs w:val="18"/>
              </w:rPr>
            </w:pPr>
            <w:r w:rsidRPr="002A43B8">
              <w:rPr>
                <w:sz w:val="18"/>
                <w:szCs w:val="18"/>
              </w:rPr>
              <w:t>RPBP</w:t>
            </w:r>
          </w:p>
        </w:tc>
        <w:tc>
          <w:tcPr>
            <w:tcW w:w="810" w:type="dxa"/>
            <w:tcBorders>
              <w:bottom w:val="double" w:sz="4" w:space="0" w:color="auto"/>
            </w:tcBorders>
          </w:tcPr>
          <w:p w14:paraId="4C10A968" w14:textId="77777777" w:rsidR="00A12648" w:rsidRPr="002A43B8" w:rsidRDefault="00A12648" w:rsidP="00D44D30">
            <w:pPr>
              <w:spacing w:before="40" w:after="40"/>
              <w:rPr>
                <w:sz w:val="18"/>
                <w:szCs w:val="18"/>
              </w:rPr>
            </w:pPr>
            <w:r w:rsidRPr="002A43B8">
              <w:rPr>
                <w:sz w:val="18"/>
                <w:szCs w:val="18"/>
              </w:rPr>
              <w:t>DCVA</w:t>
            </w:r>
          </w:p>
        </w:tc>
        <w:tc>
          <w:tcPr>
            <w:tcW w:w="630" w:type="dxa"/>
            <w:tcBorders>
              <w:bottom w:val="double" w:sz="4" w:space="0" w:color="auto"/>
            </w:tcBorders>
          </w:tcPr>
          <w:p w14:paraId="363FDE83" w14:textId="77777777" w:rsidR="00A12648" w:rsidRPr="002A43B8" w:rsidRDefault="00A12648" w:rsidP="00D44D30">
            <w:pPr>
              <w:spacing w:before="40" w:after="40"/>
              <w:rPr>
                <w:sz w:val="18"/>
                <w:szCs w:val="18"/>
              </w:rPr>
            </w:pPr>
            <w:r w:rsidRPr="002A43B8">
              <w:rPr>
                <w:sz w:val="18"/>
                <w:szCs w:val="18"/>
              </w:rPr>
              <w:t>AVB</w:t>
            </w:r>
          </w:p>
        </w:tc>
        <w:tc>
          <w:tcPr>
            <w:tcW w:w="630" w:type="dxa"/>
            <w:tcBorders>
              <w:bottom w:val="double" w:sz="4" w:space="0" w:color="auto"/>
            </w:tcBorders>
          </w:tcPr>
          <w:p w14:paraId="4B48185D" w14:textId="77777777" w:rsidR="00A12648" w:rsidRPr="002A43B8" w:rsidRDefault="00A12648" w:rsidP="00D44D30">
            <w:pPr>
              <w:spacing w:before="40" w:after="40"/>
              <w:rPr>
                <w:sz w:val="18"/>
                <w:szCs w:val="18"/>
              </w:rPr>
            </w:pPr>
            <w:r w:rsidRPr="002A43B8">
              <w:rPr>
                <w:sz w:val="18"/>
                <w:szCs w:val="18"/>
              </w:rPr>
              <w:t>PVB</w:t>
            </w:r>
          </w:p>
        </w:tc>
        <w:tc>
          <w:tcPr>
            <w:tcW w:w="810" w:type="dxa"/>
            <w:tcBorders>
              <w:bottom w:val="double" w:sz="4" w:space="0" w:color="auto"/>
            </w:tcBorders>
          </w:tcPr>
          <w:p w14:paraId="27DB7A48" w14:textId="77777777" w:rsidR="00A12648" w:rsidRPr="002A43B8" w:rsidRDefault="00A12648" w:rsidP="00D44D30">
            <w:pPr>
              <w:spacing w:before="40" w:after="40"/>
              <w:rPr>
                <w:sz w:val="18"/>
                <w:szCs w:val="18"/>
              </w:rPr>
            </w:pPr>
            <w:r w:rsidRPr="002A43B8">
              <w:rPr>
                <w:sz w:val="18"/>
                <w:szCs w:val="18"/>
              </w:rPr>
              <w:t>BPIAV</w:t>
            </w:r>
          </w:p>
        </w:tc>
        <w:tc>
          <w:tcPr>
            <w:tcW w:w="3049" w:type="dxa"/>
            <w:vMerge/>
            <w:tcBorders>
              <w:bottom w:val="double" w:sz="4" w:space="0" w:color="auto"/>
            </w:tcBorders>
          </w:tcPr>
          <w:p w14:paraId="29EEF579" w14:textId="77777777" w:rsidR="00A12648" w:rsidRPr="002A43B8" w:rsidRDefault="00A12648" w:rsidP="00D44D30">
            <w:pPr>
              <w:rPr>
                <w:sz w:val="18"/>
                <w:szCs w:val="18"/>
              </w:rPr>
            </w:pPr>
          </w:p>
        </w:tc>
      </w:tr>
      <w:tr w:rsidR="00A12648" w:rsidRPr="002A43B8" w14:paraId="2FC8A5C1" w14:textId="77777777" w:rsidTr="00D56E4A">
        <w:tc>
          <w:tcPr>
            <w:tcW w:w="4315" w:type="dxa"/>
            <w:tcBorders>
              <w:top w:val="double" w:sz="4" w:space="0" w:color="auto"/>
              <w:bottom w:val="single" w:sz="4" w:space="0" w:color="auto"/>
            </w:tcBorders>
          </w:tcPr>
          <w:p w14:paraId="2E650FDB" w14:textId="70BAD3F4" w:rsidR="00A12648" w:rsidRPr="00A12648" w:rsidRDefault="00A12648" w:rsidP="00D44D30">
            <w:pPr>
              <w:pStyle w:val="ListParagraph"/>
              <w:numPr>
                <w:ilvl w:val="0"/>
                <w:numId w:val="967"/>
              </w:numPr>
              <w:spacing w:before="40" w:after="40"/>
              <w:rPr>
                <w:rFonts w:eastAsia="Times New Roman"/>
                <w:sz w:val="18"/>
                <w:szCs w:val="18"/>
              </w:rPr>
            </w:pPr>
            <w:r>
              <w:rPr>
                <w:rFonts w:eastAsia="Times New Roman"/>
                <w:sz w:val="18"/>
                <w:szCs w:val="18"/>
              </w:rPr>
              <w:t>Residential fire protection systems for other than those described in Table 22-1-19.g.</w:t>
            </w:r>
          </w:p>
        </w:tc>
        <w:tc>
          <w:tcPr>
            <w:tcW w:w="540" w:type="dxa"/>
            <w:tcBorders>
              <w:top w:val="double" w:sz="4" w:space="0" w:color="auto"/>
              <w:bottom w:val="single" w:sz="4" w:space="0" w:color="auto"/>
            </w:tcBorders>
            <w:vAlign w:val="center"/>
          </w:tcPr>
          <w:p w14:paraId="761E1029" w14:textId="4C941572" w:rsidR="00A12648" w:rsidRPr="002A43B8" w:rsidRDefault="00423D65" w:rsidP="00D44D30">
            <w:pPr>
              <w:spacing w:before="40" w:after="40"/>
              <w:jc w:val="center"/>
              <w:rPr>
                <w:sz w:val="18"/>
                <w:szCs w:val="18"/>
              </w:rPr>
            </w:pPr>
            <w:r>
              <w:rPr>
                <w:sz w:val="18"/>
                <w:szCs w:val="18"/>
              </w:rPr>
              <w:t>X</w:t>
            </w:r>
          </w:p>
        </w:tc>
        <w:tc>
          <w:tcPr>
            <w:tcW w:w="720" w:type="dxa"/>
            <w:tcBorders>
              <w:top w:val="double" w:sz="4" w:space="0" w:color="auto"/>
              <w:bottom w:val="single" w:sz="4" w:space="0" w:color="auto"/>
            </w:tcBorders>
            <w:vAlign w:val="center"/>
          </w:tcPr>
          <w:p w14:paraId="7A5ED94C" w14:textId="68079D10" w:rsidR="00A12648" w:rsidRPr="002A43B8" w:rsidRDefault="00423D65" w:rsidP="00D44D30">
            <w:pPr>
              <w:spacing w:before="40" w:after="40"/>
              <w:jc w:val="center"/>
              <w:rPr>
                <w:sz w:val="18"/>
                <w:szCs w:val="18"/>
              </w:rPr>
            </w:pPr>
            <w:r>
              <w:rPr>
                <w:sz w:val="18"/>
                <w:szCs w:val="18"/>
              </w:rPr>
              <w:t>X</w:t>
            </w:r>
          </w:p>
        </w:tc>
        <w:tc>
          <w:tcPr>
            <w:tcW w:w="810" w:type="dxa"/>
            <w:tcBorders>
              <w:top w:val="double" w:sz="4" w:space="0" w:color="auto"/>
              <w:bottom w:val="single" w:sz="4" w:space="0" w:color="auto"/>
            </w:tcBorders>
            <w:vAlign w:val="center"/>
          </w:tcPr>
          <w:p w14:paraId="23C321BC" w14:textId="0721692D" w:rsidR="00A12648" w:rsidRPr="002A43B8" w:rsidRDefault="00423D65" w:rsidP="00D44D30">
            <w:pPr>
              <w:spacing w:before="40" w:after="40"/>
              <w:jc w:val="center"/>
              <w:rPr>
                <w:sz w:val="18"/>
                <w:szCs w:val="18"/>
              </w:rPr>
            </w:pPr>
            <w:r>
              <w:rPr>
                <w:sz w:val="18"/>
                <w:szCs w:val="18"/>
              </w:rPr>
              <w:t>X</w:t>
            </w:r>
          </w:p>
        </w:tc>
        <w:tc>
          <w:tcPr>
            <w:tcW w:w="630" w:type="dxa"/>
            <w:tcBorders>
              <w:top w:val="double" w:sz="4" w:space="0" w:color="auto"/>
              <w:bottom w:val="single" w:sz="4" w:space="0" w:color="auto"/>
            </w:tcBorders>
            <w:vAlign w:val="center"/>
          </w:tcPr>
          <w:p w14:paraId="0FF1FD25" w14:textId="77777777" w:rsidR="00A12648" w:rsidRPr="002A43B8" w:rsidRDefault="00A12648" w:rsidP="00D44D30">
            <w:pPr>
              <w:spacing w:before="40" w:after="40"/>
              <w:jc w:val="center"/>
              <w:rPr>
                <w:sz w:val="18"/>
                <w:szCs w:val="18"/>
              </w:rPr>
            </w:pPr>
          </w:p>
        </w:tc>
        <w:tc>
          <w:tcPr>
            <w:tcW w:w="630" w:type="dxa"/>
            <w:tcBorders>
              <w:top w:val="double" w:sz="4" w:space="0" w:color="auto"/>
              <w:bottom w:val="single" w:sz="4" w:space="0" w:color="auto"/>
            </w:tcBorders>
            <w:vAlign w:val="center"/>
          </w:tcPr>
          <w:p w14:paraId="518931BB" w14:textId="77777777" w:rsidR="00A12648" w:rsidRPr="002A43B8" w:rsidRDefault="00A12648" w:rsidP="00D44D30">
            <w:pPr>
              <w:spacing w:before="40" w:after="40"/>
              <w:jc w:val="center"/>
              <w:rPr>
                <w:sz w:val="18"/>
                <w:szCs w:val="18"/>
              </w:rPr>
            </w:pPr>
          </w:p>
        </w:tc>
        <w:tc>
          <w:tcPr>
            <w:tcW w:w="810" w:type="dxa"/>
            <w:tcBorders>
              <w:top w:val="double" w:sz="4" w:space="0" w:color="auto"/>
              <w:bottom w:val="single" w:sz="4" w:space="0" w:color="auto"/>
            </w:tcBorders>
            <w:vAlign w:val="center"/>
          </w:tcPr>
          <w:p w14:paraId="1745C31B" w14:textId="77777777" w:rsidR="00A12648" w:rsidRPr="002A43B8" w:rsidRDefault="00A12648" w:rsidP="00D44D30">
            <w:pPr>
              <w:spacing w:before="40" w:after="40"/>
              <w:jc w:val="center"/>
              <w:rPr>
                <w:sz w:val="18"/>
                <w:szCs w:val="18"/>
              </w:rPr>
            </w:pPr>
          </w:p>
        </w:tc>
        <w:tc>
          <w:tcPr>
            <w:tcW w:w="3049" w:type="dxa"/>
            <w:tcBorders>
              <w:top w:val="double" w:sz="4" w:space="0" w:color="auto"/>
              <w:bottom w:val="single" w:sz="4" w:space="0" w:color="auto"/>
            </w:tcBorders>
          </w:tcPr>
          <w:p w14:paraId="6A5A930F" w14:textId="3388232C" w:rsidR="00A12648" w:rsidRPr="00423D65" w:rsidRDefault="00423D65" w:rsidP="00D44D30">
            <w:pPr>
              <w:spacing w:before="40" w:after="40"/>
              <w:ind w:right="240"/>
              <w:rPr>
                <w:sz w:val="20"/>
                <w:szCs w:val="20"/>
              </w:rPr>
            </w:pPr>
            <w:r>
              <w:rPr>
                <w:rFonts w:eastAsia="Times New Roman"/>
                <w:sz w:val="18"/>
                <w:szCs w:val="18"/>
              </w:rPr>
              <w:t>Fire protection system in this category shall comply with the requirements set forth in class 1 through 4 as appropriate.</w:t>
            </w:r>
          </w:p>
        </w:tc>
      </w:tr>
      <w:tr w:rsidR="00423D65" w:rsidRPr="002A43B8" w14:paraId="4D2A4683" w14:textId="77777777" w:rsidTr="00D56E4A">
        <w:tc>
          <w:tcPr>
            <w:tcW w:w="4315" w:type="dxa"/>
            <w:tcBorders>
              <w:top w:val="single" w:sz="4" w:space="0" w:color="auto"/>
              <w:bottom w:val="single" w:sz="4" w:space="0" w:color="auto"/>
            </w:tcBorders>
            <w:vAlign w:val="center"/>
          </w:tcPr>
          <w:p w14:paraId="3F8BA7E4" w14:textId="4288E44C" w:rsidR="00423D65" w:rsidRPr="002A43B8" w:rsidRDefault="00423D65" w:rsidP="00D44D30">
            <w:pPr>
              <w:pStyle w:val="ListParagraph"/>
              <w:numPr>
                <w:ilvl w:val="0"/>
                <w:numId w:val="966"/>
              </w:numPr>
              <w:spacing w:before="40" w:after="40"/>
              <w:ind w:left="360"/>
              <w:rPr>
                <w:rFonts w:eastAsia="Times New Roman"/>
                <w:sz w:val="18"/>
                <w:szCs w:val="18"/>
              </w:rPr>
            </w:pPr>
            <w:r>
              <w:rPr>
                <w:rFonts w:eastAsia="Times New Roman"/>
                <w:sz w:val="18"/>
                <w:szCs w:val="18"/>
              </w:rPr>
              <w:t>Solar Energy Systems</w:t>
            </w:r>
          </w:p>
        </w:tc>
        <w:tc>
          <w:tcPr>
            <w:tcW w:w="540" w:type="dxa"/>
            <w:tcBorders>
              <w:top w:val="single" w:sz="4" w:space="0" w:color="auto"/>
              <w:bottom w:val="single" w:sz="4" w:space="0" w:color="auto"/>
            </w:tcBorders>
            <w:vAlign w:val="center"/>
          </w:tcPr>
          <w:p w14:paraId="6BB4BA4E" w14:textId="27CC8837" w:rsidR="00423D65" w:rsidRPr="002A43B8" w:rsidRDefault="00423D65" w:rsidP="00D44D30">
            <w:pPr>
              <w:spacing w:before="40" w:after="40"/>
              <w:jc w:val="center"/>
              <w:rPr>
                <w:sz w:val="18"/>
                <w:szCs w:val="18"/>
              </w:rPr>
            </w:pPr>
            <w:r>
              <w:rPr>
                <w:sz w:val="18"/>
                <w:szCs w:val="18"/>
              </w:rPr>
              <w:t>X</w:t>
            </w:r>
          </w:p>
        </w:tc>
        <w:tc>
          <w:tcPr>
            <w:tcW w:w="720" w:type="dxa"/>
            <w:tcBorders>
              <w:top w:val="single" w:sz="4" w:space="0" w:color="auto"/>
              <w:bottom w:val="single" w:sz="4" w:space="0" w:color="auto"/>
            </w:tcBorders>
            <w:vAlign w:val="center"/>
          </w:tcPr>
          <w:p w14:paraId="0F5C326F" w14:textId="6C92678A" w:rsidR="00423D65" w:rsidRPr="002A43B8" w:rsidRDefault="00423D65" w:rsidP="00D44D30">
            <w:pPr>
              <w:spacing w:before="40" w:after="40"/>
              <w:jc w:val="center"/>
              <w:rPr>
                <w:sz w:val="18"/>
                <w:szCs w:val="18"/>
              </w:rPr>
            </w:pPr>
            <w:r>
              <w:rPr>
                <w:sz w:val="18"/>
                <w:szCs w:val="18"/>
              </w:rPr>
              <w:t>X</w:t>
            </w:r>
          </w:p>
        </w:tc>
        <w:tc>
          <w:tcPr>
            <w:tcW w:w="810" w:type="dxa"/>
            <w:tcBorders>
              <w:top w:val="single" w:sz="4" w:space="0" w:color="auto"/>
              <w:bottom w:val="single" w:sz="4" w:space="0" w:color="auto"/>
            </w:tcBorders>
            <w:vAlign w:val="center"/>
          </w:tcPr>
          <w:p w14:paraId="5F07759C" w14:textId="77777777" w:rsidR="00423D65" w:rsidRPr="002A43B8" w:rsidRDefault="00423D65" w:rsidP="00D44D30">
            <w:pPr>
              <w:spacing w:before="40" w:after="40"/>
              <w:jc w:val="center"/>
              <w:rPr>
                <w:sz w:val="18"/>
                <w:szCs w:val="18"/>
              </w:rPr>
            </w:pPr>
          </w:p>
        </w:tc>
        <w:tc>
          <w:tcPr>
            <w:tcW w:w="630" w:type="dxa"/>
            <w:tcBorders>
              <w:top w:val="single" w:sz="4" w:space="0" w:color="auto"/>
              <w:bottom w:val="single" w:sz="4" w:space="0" w:color="auto"/>
            </w:tcBorders>
            <w:vAlign w:val="center"/>
          </w:tcPr>
          <w:p w14:paraId="3C37BEBC" w14:textId="77777777" w:rsidR="00423D65" w:rsidRPr="002A43B8" w:rsidRDefault="00423D65" w:rsidP="00D44D30">
            <w:pPr>
              <w:spacing w:before="40" w:after="40"/>
              <w:jc w:val="center"/>
              <w:rPr>
                <w:sz w:val="18"/>
                <w:szCs w:val="18"/>
              </w:rPr>
            </w:pPr>
          </w:p>
        </w:tc>
        <w:tc>
          <w:tcPr>
            <w:tcW w:w="630" w:type="dxa"/>
            <w:tcBorders>
              <w:top w:val="single" w:sz="4" w:space="0" w:color="auto"/>
              <w:bottom w:val="single" w:sz="4" w:space="0" w:color="auto"/>
            </w:tcBorders>
            <w:vAlign w:val="center"/>
          </w:tcPr>
          <w:p w14:paraId="419CFCB3" w14:textId="77777777" w:rsidR="00423D65" w:rsidRPr="002A43B8" w:rsidRDefault="00423D65" w:rsidP="00D44D30">
            <w:pPr>
              <w:spacing w:before="40" w:after="40"/>
              <w:jc w:val="center"/>
              <w:rPr>
                <w:sz w:val="18"/>
                <w:szCs w:val="18"/>
              </w:rPr>
            </w:pPr>
          </w:p>
        </w:tc>
        <w:tc>
          <w:tcPr>
            <w:tcW w:w="810" w:type="dxa"/>
            <w:tcBorders>
              <w:top w:val="single" w:sz="4" w:space="0" w:color="auto"/>
              <w:bottom w:val="single" w:sz="4" w:space="0" w:color="auto"/>
            </w:tcBorders>
            <w:vAlign w:val="center"/>
          </w:tcPr>
          <w:p w14:paraId="3E974707" w14:textId="23C8EE55" w:rsidR="00423D65" w:rsidRPr="002A43B8" w:rsidRDefault="00423D65" w:rsidP="00D44D30">
            <w:pPr>
              <w:spacing w:before="40" w:after="40"/>
              <w:jc w:val="center"/>
              <w:rPr>
                <w:sz w:val="18"/>
                <w:szCs w:val="18"/>
              </w:rPr>
            </w:pPr>
            <w:r>
              <w:rPr>
                <w:sz w:val="18"/>
                <w:szCs w:val="18"/>
              </w:rPr>
              <w:t>X*</w:t>
            </w:r>
          </w:p>
        </w:tc>
        <w:tc>
          <w:tcPr>
            <w:tcW w:w="3049" w:type="dxa"/>
            <w:tcBorders>
              <w:top w:val="single" w:sz="4" w:space="0" w:color="auto"/>
              <w:bottom w:val="single" w:sz="4" w:space="0" w:color="auto"/>
            </w:tcBorders>
            <w:vAlign w:val="bottom"/>
          </w:tcPr>
          <w:p w14:paraId="4C8CB5E1" w14:textId="3549E243" w:rsidR="00423D65" w:rsidRPr="002A43B8" w:rsidRDefault="00423D65" w:rsidP="00D44D30">
            <w:pPr>
              <w:spacing w:before="40" w:after="40"/>
              <w:rPr>
                <w:sz w:val="18"/>
                <w:szCs w:val="18"/>
              </w:rPr>
            </w:pPr>
            <w:r>
              <w:rPr>
                <w:rFonts w:eastAsia="Times New Roman"/>
                <w:sz w:val="18"/>
                <w:szCs w:val="18"/>
              </w:rPr>
              <w:t>Residential and small commercial having no chemicals or only USP Glyc</w:t>
            </w:r>
            <w:r w:rsidR="00553AFD">
              <w:rPr>
                <w:rFonts w:eastAsia="Times New Roman"/>
                <w:sz w:val="18"/>
                <w:szCs w:val="18"/>
              </w:rPr>
              <w:t>ine</w:t>
            </w:r>
            <w:r>
              <w:rPr>
                <w:rFonts w:eastAsia="Times New Roman"/>
                <w:sz w:val="18"/>
                <w:szCs w:val="18"/>
              </w:rPr>
              <w:t xml:space="preserve"> added to water</w:t>
            </w:r>
          </w:p>
        </w:tc>
      </w:tr>
      <w:tr w:rsidR="00423D65" w:rsidRPr="002A43B8" w14:paraId="623D3E9A" w14:textId="77777777" w:rsidTr="00D56E4A">
        <w:tc>
          <w:tcPr>
            <w:tcW w:w="4315" w:type="dxa"/>
            <w:tcBorders>
              <w:bottom w:val="double" w:sz="4" w:space="0" w:color="auto"/>
            </w:tcBorders>
            <w:vAlign w:val="bottom"/>
          </w:tcPr>
          <w:p w14:paraId="69DFFE42" w14:textId="038AB942" w:rsidR="00423D65" w:rsidRPr="002A43B8" w:rsidRDefault="00423D65" w:rsidP="00D44D30">
            <w:pPr>
              <w:pStyle w:val="ListParagraph"/>
              <w:numPr>
                <w:ilvl w:val="0"/>
                <w:numId w:val="966"/>
              </w:numPr>
              <w:spacing w:before="40" w:after="40"/>
              <w:ind w:left="360"/>
              <w:rPr>
                <w:rFonts w:eastAsia="Times New Roman"/>
                <w:sz w:val="18"/>
                <w:szCs w:val="18"/>
              </w:rPr>
            </w:pPr>
            <w:r>
              <w:rPr>
                <w:rFonts w:eastAsia="Times New Roman"/>
                <w:sz w:val="18"/>
                <w:szCs w:val="18"/>
              </w:rPr>
              <w:t>Single Jacketed Heat Exchangers</w:t>
            </w:r>
          </w:p>
        </w:tc>
        <w:tc>
          <w:tcPr>
            <w:tcW w:w="540" w:type="dxa"/>
            <w:tcBorders>
              <w:bottom w:val="double" w:sz="4" w:space="0" w:color="auto"/>
            </w:tcBorders>
            <w:vAlign w:val="center"/>
          </w:tcPr>
          <w:p w14:paraId="512A0EAE" w14:textId="6E6C08BF" w:rsidR="00423D65" w:rsidRPr="002A43B8" w:rsidRDefault="00423D65" w:rsidP="00D44D30">
            <w:pPr>
              <w:spacing w:before="40" w:after="40"/>
              <w:jc w:val="center"/>
              <w:rPr>
                <w:sz w:val="18"/>
                <w:szCs w:val="18"/>
              </w:rPr>
            </w:pPr>
            <w:r>
              <w:rPr>
                <w:sz w:val="18"/>
                <w:szCs w:val="18"/>
              </w:rPr>
              <w:t>X</w:t>
            </w:r>
          </w:p>
        </w:tc>
        <w:tc>
          <w:tcPr>
            <w:tcW w:w="720" w:type="dxa"/>
            <w:tcBorders>
              <w:bottom w:val="double" w:sz="4" w:space="0" w:color="auto"/>
            </w:tcBorders>
            <w:vAlign w:val="center"/>
          </w:tcPr>
          <w:p w14:paraId="558207D8" w14:textId="4198675F" w:rsidR="00423D65" w:rsidRPr="002A43B8" w:rsidRDefault="00423D65" w:rsidP="00D44D30">
            <w:pPr>
              <w:spacing w:before="40" w:after="40"/>
              <w:jc w:val="center"/>
              <w:rPr>
                <w:sz w:val="18"/>
                <w:szCs w:val="18"/>
              </w:rPr>
            </w:pPr>
            <w:r>
              <w:rPr>
                <w:sz w:val="18"/>
                <w:szCs w:val="18"/>
              </w:rPr>
              <w:t>X</w:t>
            </w:r>
          </w:p>
        </w:tc>
        <w:tc>
          <w:tcPr>
            <w:tcW w:w="810" w:type="dxa"/>
            <w:tcBorders>
              <w:bottom w:val="double" w:sz="4" w:space="0" w:color="auto"/>
            </w:tcBorders>
            <w:vAlign w:val="center"/>
          </w:tcPr>
          <w:p w14:paraId="7873D31D" w14:textId="77777777" w:rsidR="00423D65" w:rsidRPr="002A43B8" w:rsidRDefault="00423D65" w:rsidP="00D44D30">
            <w:pPr>
              <w:spacing w:before="40" w:after="40"/>
              <w:jc w:val="center"/>
              <w:rPr>
                <w:sz w:val="18"/>
                <w:szCs w:val="18"/>
              </w:rPr>
            </w:pPr>
          </w:p>
        </w:tc>
        <w:tc>
          <w:tcPr>
            <w:tcW w:w="630" w:type="dxa"/>
            <w:tcBorders>
              <w:bottom w:val="double" w:sz="4" w:space="0" w:color="auto"/>
            </w:tcBorders>
            <w:vAlign w:val="center"/>
          </w:tcPr>
          <w:p w14:paraId="0E770416" w14:textId="77777777" w:rsidR="00423D65" w:rsidRPr="002A43B8" w:rsidRDefault="00423D65" w:rsidP="00D44D30">
            <w:pPr>
              <w:spacing w:before="40" w:after="40"/>
              <w:jc w:val="center"/>
              <w:rPr>
                <w:sz w:val="18"/>
                <w:szCs w:val="18"/>
              </w:rPr>
            </w:pPr>
          </w:p>
        </w:tc>
        <w:tc>
          <w:tcPr>
            <w:tcW w:w="630" w:type="dxa"/>
            <w:tcBorders>
              <w:bottom w:val="double" w:sz="4" w:space="0" w:color="auto"/>
            </w:tcBorders>
            <w:vAlign w:val="center"/>
          </w:tcPr>
          <w:p w14:paraId="06E47FE9" w14:textId="77777777" w:rsidR="00423D65" w:rsidRPr="002A43B8" w:rsidRDefault="00423D65" w:rsidP="00D44D30">
            <w:pPr>
              <w:spacing w:before="40" w:after="40"/>
              <w:jc w:val="center"/>
              <w:rPr>
                <w:sz w:val="18"/>
                <w:szCs w:val="18"/>
              </w:rPr>
            </w:pPr>
          </w:p>
        </w:tc>
        <w:tc>
          <w:tcPr>
            <w:tcW w:w="810" w:type="dxa"/>
            <w:tcBorders>
              <w:bottom w:val="double" w:sz="4" w:space="0" w:color="auto"/>
            </w:tcBorders>
            <w:vAlign w:val="center"/>
          </w:tcPr>
          <w:p w14:paraId="070BBECD" w14:textId="77777777" w:rsidR="00423D65" w:rsidRPr="002A43B8" w:rsidRDefault="00423D65" w:rsidP="00D44D30">
            <w:pPr>
              <w:spacing w:before="40" w:after="40"/>
              <w:jc w:val="center"/>
              <w:rPr>
                <w:sz w:val="18"/>
                <w:szCs w:val="18"/>
              </w:rPr>
            </w:pPr>
          </w:p>
        </w:tc>
        <w:tc>
          <w:tcPr>
            <w:tcW w:w="3049" w:type="dxa"/>
            <w:tcBorders>
              <w:bottom w:val="double" w:sz="4" w:space="0" w:color="auto"/>
            </w:tcBorders>
            <w:vAlign w:val="center"/>
          </w:tcPr>
          <w:p w14:paraId="68A377F1" w14:textId="55623679" w:rsidR="00423D65" w:rsidRPr="002A43B8" w:rsidRDefault="00D56E4A" w:rsidP="00D44D30">
            <w:pPr>
              <w:spacing w:before="40" w:after="40"/>
              <w:rPr>
                <w:sz w:val="18"/>
                <w:szCs w:val="18"/>
              </w:rPr>
            </w:pPr>
            <w:r>
              <w:rPr>
                <w:rFonts w:eastAsia="Times New Roman"/>
                <w:sz w:val="18"/>
                <w:szCs w:val="18"/>
              </w:rPr>
              <w:t>Each case should be evaluated individually</w:t>
            </w:r>
          </w:p>
        </w:tc>
      </w:tr>
    </w:tbl>
    <w:p w14:paraId="281A75E5" w14:textId="77777777" w:rsidR="004647B9" w:rsidRPr="00D56E4A" w:rsidRDefault="004647B9" w:rsidP="00D44D30">
      <w:pPr>
        <w:rPr>
          <w:sz w:val="24"/>
          <w:szCs w:val="24"/>
        </w:rPr>
        <w:sectPr w:rsidR="004647B9" w:rsidRPr="00D56E4A" w:rsidSect="00EF630C">
          <w:type w:val="continuous"/>
          <w:pgSz w:w="12240" w:h="20180"/>
          <w:pgMar w:top="708" w:right="180" w:bottom="1440" w:left="540" w:header="0" w:footer="0" w:gutter="0"/>
          <w:cols w:space="720"/>
        </w:sectPr>
      </w:pPr>
    </w:p>
    <w:p w14:paraId="281A7627" w14:textId="77777777" w:rsidR="004647B9" w:rsidRPr="00D56E4A" w:rsidRDefault="004647B9" w:rsidP="00D44D30">
      <w:pPr>
        <w:rPr>
          <w:sz w:val="24"/>
          <w:szCs w:val="24"/>
        </w:rPr>
      </w:pPr>
    </w:p>
    <w:p w14:paraId="281A7628" w14:textId="77777777" w:rsidR="004647B9" w:rsidRPr="00D56E4A" w:rsidRDefault="00E2436F" w:rsidP="00D44D30">
      <w:pPr>
        <w:numPr>
          <w:ilvl w:val="0"/>
          <w:numId w:val="863"/>
        </w:numPr>
        <w:tabs>
          <w:tab w:val="left" w:pos="1991"/>
        </w:tabs>
        <w:ind w:left="1560" w:right="1260" w:hanging="5"/>
        <w:jc w:val="both"/>
        <w:rPr>
          <w:rFonts w:eastAsia="Times New Roman"/>
          <w:sz w:val="24"/>
          <w:szCs w:val="24"/>
        </w:rPr>
      </w:pPr>
      <w:r w:rsidRPr="00D56E4A">
        <w:rPr>
          <w:rFonts w:eastAsia="Times New Roman"/>
          <w:sz w:val="24"/>
          <w:szCs w:val="24"/>
        </w:rPr>
        <w:t>Subject to the authority of the Department, its Designee, or public water system to issue the final determination of what type of device is required and the location of the device for each cross connection in individual cases, depending upon the degree of health hazard and type of backflow involved, the acceptable devices for backflow prevention include air gap separation, reduced pressure backflow preventers, double check valves assemblies, atmospheric or pressure vacuum breakers, backflow preventers with intermediate atmospheric vents, and barometric loops.</w:t>
      </w:r>
    </w:p>
    <w:p w14:paraId="281A762A" w14:textId="77777777" w:rsidR="004647B9" w:rsidRPr="00D56E4A" w:rsidRDefault="00E2436F" w:rsidP="00D44D30">
      <w:pPr>
        <w:numPr>
          <w:ilvl w:val="0"/>
          <w:numId w:val="863"/>
        </w:numPr>
        <w:tabs>
          <w:tab w:val="left" w:pos="2004"/>
        </w:tabs>
        <w:ind w:left="1560" w:right="1260" w:hanging="5"/>
        <w:rPr>
          <w:rFonts w:eastAsia="Times New Roman"/>
          <w:sz w:val="24"/>
          <w:szCs w:val="24"/>
        </w:rPr>
      </w:pPr>
      <w:r w:rsidRPr="00D56E4A">
        <w:rPr>
          <w:rFonts w:eastAsia="Times New Roman"/>
          <w:sz w:val="24"/>
          <w:szCs w:val="24"/>
        </w:rPr>
        <w:t>There shall be no by-pass around any approved backflow prevention device unless the same type of approved backflow prevention device is installed on the by-pass.</w:t>
      </w:r>
    </w:p>
    <w:p w14:paraId="281A762B" w14:textId="77777777" w:rsidR="004647B9" w:rsidRPr="00D56E4A" w:rsidRDefault="00E2436F" w:rsidP="00D44D30">
      <w:pPr>
        <w:numPr>
          <w:ilvl w:val="0"/>
          <w:numId w:val="863"/>
        </w:numPr>
        <w:tabs>
          <w:tab w:val="left" w:pos="2020"/>
        </w:tabs>
        <w:ind w:left="2020" w:hanging="465"/>
        <w:rPr>
          <w:rFonts w:eastAsia="Times New Roman"/>
          <w:sz w:val="24"/>
          <w:szCs w:val="24"/>
        </w:rPr>
      </w:pPr>
      <w:r w:rsidRPr="00D56E4A">
        <w:rPr>
          <w:rFonts w:eastAsia="Times New Roman"/>
          <w:sz w:val="24"/>
          <w:szCs w:val="24"/>
          <w:u w:val="single"/>
        </w:rPr>
        <w:t>Fire Protection Systems</w:t>
      </w:r>
      <w:r w:rsidRPr="00D56E4A">
        <w:rPr>
          <w:rFonts w:eastAsia="Times New Roman"/>
          <w:sz w:val="24"/>
          <w:szCs w:val="24"/>
        </w:rPr>
        <w:t>.</w:t>
      </w:r>
    </w:p>
    <w:p w14:paraId="281A762D" w14:textId="77777777" w:rsidR="004647B9" w:rsidRPr="00D56E4A" w:rsidRDefault="00E2436F" w:rsidP="00D44D30">
      <w:pPr>
        <w:numPr>
          <w:ilvl w:val="1"/>
          <w:numId w:val="863"/>
        </w:numPr>
        <w:tabs>
          <w:tab w:val="left" w:pos="2402"/>
        </w:tabs>
        <w:ind w:left="1920" w:right="1260" w:hanging="5"/>
        <w:jc w:val="both"/>
        <w:rPr>
          <w:rFonts w:eastAsia="Times New Roman"/>
          <w:sz w:val="24"/>
          <w:szCs w:val="24"/>
        </w:rPr>
      </w:pPr>
      <w:r w:rsidRPr="00D56E4A">
        <w:rPr>
          <w:rFonts w:eastAsia="Times New Roman"/>
          <w:sz w:val="24"/>
          <w:szCs w:val="24"/>
        </w:rPr>
        <w:t xml:space="preserve">Any new, existing or substantially modified fire protection system, including residential fire protection systems, shall be evaluated by the Department, its Designee or public water system to determine if a cross connection exists. If it is determined that a cross connection does exist, 310 CMR 22.22(9)(a): </w:t>
      </w:r>
      <w:r w:rsidRPr="00D56E4A">
        <w:rPr>
          <w:rFonts w:eastAsia="Times New Roman"/>
          <w:i/>
          <w:iCs/>
          <w:sz w:val="24"/>
          <w:szCs w:val="24"/>
        </w:rPr>
        <w:t>Table 22-1</w:t>
      </w:r>
      <w:r w:rsidRPr="00D56E4A">
        <w:rPr>
          <w:rFonts w:eastAsia="Times New Roman"/>
          <w:sz w:val="24"/>
          <w:szCs w:val="24"/>
        </w:rPr>
        <w:t xml:space="preserve"> shall serve as a guide in determining the type of protection device required. In evaluating the type of protection device required, the degree of hazard associated with the fire protection system, and the potability of the water pumped into the fire department connection, shall be considered, and the head of the local fire department shall be consulted.</w:t>
      </w:r>
    </w:p>
    <w:p w14:paraId="281A762F" w14:textId="77777777" w:rsidR="004647B9" w:rsidRPr="00D56E4A" w:rsidRDefault="00E2436F" w:rsidP="00D44D30">
      <w:pPr>
        <w:numPr>
          <w:ilvl w:val="1"/>
          <w:numId w:val="863"/>
        </w:numPr>
        <w:tabs>
          <w:tab w:val="left" w:pos="2359"/>
        </w:tabs>
        <w:ind w:left="1920" w:right="1260" w:hanging="5"/>
        <w:jc w:val="both"/>
        <w:rPr>
          <w:rFonts w:eastAsia="Times New Roman"/>
          <w:sz w:val="24"/>
          <w:szCs w:val="24"/>
        </w:rPr>
      </w:pPr>
      <w:r w:rsidRPr="00D56E4A">
        <w:rPr>
          <w:rFonts w:eastAsia="Times New Roman"/>
          <w:sz w:val="24"/>
          <w:szCs w:val="24"/>
        </w:rPr>
        <w:t xml:space="preserve">All existing cross connections between public water systems and fire protection systems, as described in 310 CMR 22.22: </w:t>
      </w:r>
      <w:r w:rsidRPr="00D56E4A">
        <w:rPr>
          <w:rFonts w:eastAsia="Times New Roman"/>
          <w:i/>
          <w:iCs/>
          <w:sz w:val="24"/>
          <w:szCs w:val="24"/>
        </w:rPr>
        <w:t>Table 22-1</w:t>
      </w:r>
      <w:r w:rsidRPr="00D56E4A">
        <w:rPr>
          <w:rFonts w:eastAsia="Times New Roman"/>
          <w:sz w:val="24"/>
          <w:szCs w:val="24"/>
        </w:rPr>
        <w:t>, (9)(a)19.a. and b., and installed prior to March 21, 1997, shall be equipped with a UL listed alarm check valve with the standard alarm pressure switch trim package. The device shall comply with the applicable requirements stated in 310 CMR 22.22(9)(d)6.: Fire protection systems installed on or after March 21, 1997, shall be equipped with a protection device specified in 310 CMR 22.22(9)(d)1. When backflow prevention devices are to be retroactively installed on exiting fire protection system, a thorough hydraulic analysis, including revised hydraulic calculations, new fire flow data, and all necessary system modification to accommodate the additional friction loss, shall be completed as part of the installation in accordance with NFPA-13. The installation of a backflow prevention device only does not constitute a substantial modification of an existing fire protection system.</w:t>
      </w:r>
    </w:p>
    <w:p w14:paraId="281A7631" w14:textId="77777777" w:rsidR="004647B9" w:rsidRDefault="00E2436F" w:rsidP="00D44D30">
      <w:pPr>
        <w:numPr>
          <w:ilvl w:val="1"/>
          <w:numId w:val="863"/>
        </w:numPr>
        <w:tabs>
          <w:tab w:val="left" w:pos="2261"/>
        </w:tabs>
        <w:ind w:left="1920" w:right="1260" w:hanging="5"/>
        <w:jc w:val="both"/>
        <w:rPr>
          <w:rFonts w:eastAsia="Times New Roman"/>
          <w:sz w:val="24"/>
          <w:szCs w:val="24"/>
        </w:rPr>
      </w:pPr>
      <w:r w:rsidRPr="00D56E4A">
        <w:rPr>
          <w:rFonts w:eastAsia="Times New Roman"/>
          <w:sz w:val="24"/>
          <w:szCs w:val="24"/>
        </w:rPr>
        <w:t>The owner of a cross connection subject to 310 CMR 22.22(9)(d)2. shall register the connection(s) with the public water system, a copy of which shall be retained by the</w:t>
      </w:r>
      <w:r>
        <w:rPr>
          <w:rFonts w:eastAsia="Times New Roman"/>
          <w:sz w:val="24"/>
          <w:szCs w:val="24"/>
        </w:rPr>
        <w:t xml:space="preserve"> public water system as specified at 310 CMR 22.22.</w:t>
      </w:r>
    </w:p>
    <w:p w14:paraId="281A7632" w14:textId="77777777" w:rsidR="004647B9" w:rsidRDefault="004647B9">
      <w:pPr>
        <w:sectPr w:rsidR="004647B9" w:rsidSect="00EF630C">
          <w:type w:val="continuous"/>
          <w:pgSz w:w="12240" w:h="20180"/>
          <w:pgMar w:top="708" w:right="180" w:bottom="1440" w:left="540" w:header="0" w:footer="0" w:gutter="0"/>
          <w:cols w:space="720"/>
        </w:sectPr>
      </w:pPr>
    </w:p>
    <w:p w14:paraId="281A7633" w14:textId="77777777" w:rsidR="004647B9" w:rsidRDefault="00E2436F">
      <w:pPr>
        <w:tabs>
          <w:tab w:val="left" w:pos="160"/>
        </w:tabs>
        <w:ind w:right="-59"/>
        <w:jc w:val="center"/>
        <w:rPr>
          <w:sz w:val="20"/>
          <w:szCs w:val="20"/>
        </w:rPr>
      </w:pPr>
      <w:bookmarkStart w:id="331" w:name="page335"/>
      <w:bookmarkEnd w:id="331"/>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634" w14:textId="77777777" w:rsidR="004647B9" w:rsidRDefault="004647B9" w:rsidP="006523BA">
      <w:pPr>
        <w:rPr>
          <w:sz w:val="20"/>
          <w:szCs w:val="20"/>
        </w:rPr>
      </w:pPr>
    </w:p>
    <w:p w14:paraId="281A7635" w14:textId="77777777" w:rsidR="004647B9" w:rsidRDefault="004647B9" w:rsidP="006523BA">
      <w:pPr>
        <w:rPr>
          <w:sz w:val="20"/>
          <w:szCs w:val="20"/>
        </w:rPr>
      </w:pPr>
    </w:p>
    <w:p w14:paraId="281A7636" w14:textId="77777777" w:rsidR="004647B9" w:rsidRPr="0007218B" w:rsidRDefault="00E2436F" w:rsidP="006523BA">
      <w:pPr>
        <w:tabs>
          <w:tab w:val="left" w:pos="760"/>
        </w:tabs>
        <w:rPr>
          <w:sz w:val="24"/>
          <w:szCs w:val="24"/>
        </w:rPr>
      </w:pPr>
      <w:r w:rsidRPr="0007218B">
        <w:rPr>
          <w:rFonts w:eastAsia="Times New Roman"/>
          <w:sz w:val="24"/>
          <w:szCs w:val="24"/>
        </w:rPr>
        <w:t>22.22:</w:t>
      </w:r>
      <w:r w:rsidRPr="0007218B">
        <w:rPr>
          <w:rFonts w:eastAsia="Times New Roman"/>
          <w:sz w:val="24"/>
          <w:szCs w:val="24"/>
        </w:rPr>
        <w:tab/>
        <w:t>continued</w:t>
      </w:r>
    </w:p>
    <w:p w14:paraId="281A7637" w14:textId="77777777" w:rsidR="004647B9" w:rsidRDefault="004647B9" w:rsidP="006523BA">
      <w:pPr>
        <w:rPr>
          <w:sz w:val="20"/>
          <w:szCs w:val="20"/>
        </w:rPr>
      </w:pPr>
    </w:p>
    <w:p w14:paraId="281A7638" w14:textId="77777777" w:rsidR="004647B9" w:rsidRDefault="00E2436F" w:rsidP="00563A54">
      <w:pPr>
        <w:numPr>
          <w:ilvl w:val="2"/>
          <w:numId w:val="864"/>
        </w:numPr>
        <w:tabs>
          <w:tab w:val="left" w:pos="2258"/>
        </w:tabs>
        <w:ind w:left="1920" w:hanging="5"/>
        <w:jc w:val="both"/>
        <w:rPr>
          <w:rFonts w:eastAsia="Times New Roman"/>
          <w:sz w:val="24"/>
          <w:szCs w:val="24"/>
        </w:rPr>
      </w:pPr>
      <w:r>
        <w:rPr>
          <w:rFonts w:eastAsia="Times New Roman"/>
          <w:sz w:val="24"/>
          <w:szCs w:val="24"/>
        </w:rPr>
        <w:t xml:space="preserve">Any owner of existing cross connection(s) who decides to install a protection device specified at 310 CMR 22.22(9)(a): </w:t>
      </w:r>
      <w:r>
        <w:rPr>
          <w:rFonts w:eastAsia="Times New Roman"/>
          <w:i/>
          <w:iCs/>
          <w:sz w:val="24"/>
          <w:szCs w:val="24"/>
        </w:rPr>
        <w:t>Table 22-1</w:t>
      </w:r>
      <w:r>
        <w:rPr>
          <w:rFonts w:eastAsia="Times New Roman"/>
          <w:sz w:val="24"/>
          <w:szCs w:val="24"/>
        </w:rPr>
        <w:t>, when the Department has not determined that such a protection device is necessary, shall obtain the prior written approval of the Department or its Designee of the design data sheets for the proposed protection device as specified at 310 CMR 22.22(9)(d)6.</w:t>
      </w:r>
    </w:p>
    <w:p w14:paraId="281A763A" w14:textId="77777777" w:rsidR="004647B9" w:rsidRDefault="00E2436F" w:rsidP="00563A54">
      <w:pPr>
        <w:numPr>
          <w:ilvl w:val="2"/>
          <w:numId w:val="864"/>
        </w:numPr>
        <w:tabs>
          <w:tab w:val="left" w:pos="2359"/>
        </w:tabs>
        <w:ind w:left="1920" w:hanging="5"/>
        <w:jc w:val="both"/>
        <w:rPr>
          <w:rFonts w:eastAsia="Times New Roman"/>
          <w:sz w:val="24"/>
          <w:szCs w:val="24"/>
        </w:rPr>
      </w:pPr>
      <w:r>
        <w:rPr>
          <w:rFonts w:eastAsia="Times New Roman"/>
          <w:sz w:val="24"/>
          <w:szCs w:val="24"/>
        </w:rPr>
        <w:t>Notwithstanding the provisions of 310 CMR 22.22(9)(d)3. and 4., by providing written notification to the owner of a cross connection between a public water system and a fire protection system, the Department or its Designee may, whenever the Department or its designee determines that the cross connection constitutes a threat to the public health, at any time require the installation of a protection device, modify or revoke the approval of a cross connection, or require water quality monitoring.</w:t>
      </w:r>
    </w:p>
    <w:p w14:paraId="281A763C" w14:textId="77777777" w:rsidR="004647B9" w:rsidRDefault="00E2436F" w:rsidP="00563A54">
      <w:pPr>
        <w:numPr>
          <w:ilvl w:val="2"/>
          <w:numId w:val="864"/>
        </w:numPr>
        <w:tabs>
          <w:tab w:val="left" w:pos="2357"/>
        </w:tabs>
        <w:ind w:left="1920" w:hanging="5"/>
        <w:jc w:val="both"/>
        <w:rPr>
          <w:rFonts w:eastAsia="Times New Roman"/>
          <w:sz w:val="24"/>
          <w:szCs w:val="24"/>
        </w:rPr>
      </w:pPr>
      <w:r>
        <w:rPr>
          <w:rFonts w:eastAsia="Times New Roman"/>
          <w:sz w:val="24"/>
          <w:szCs w:val="24"/>
        </w:rPr>
        <w:t>In addition to the requirements set forth in 310 CMR 22.22, the installation and testing of a backflow protection device on a fire protection system may be subject to the requirements of the following:</w:t>
      </w:r>
    </w:p>
    <w:p w14:paraId="281A763E" w14:textId="77777777" w:rsidR="004647B9" w:rsidRDefault="00E2436F" w:rsidP="0007218B">
      <w:pPr>
        <w:numPr>
          <w:ilvl w:val="3"/>
          <w:numId w:val="864"/>
        </w:numPr>
        <w:tabs>
          <w:tab w:val="left" w:pos="2576"/>
        </w:tabs>
        <w:ind w:left="2275"/>
        <w:rPr>
          <w:rFonts w:eastAsia="Times New Roman"/>
          <w:sz w:val="24"/>
          <w:szCs w:val="24"/>
        </w:rPr>
      </w:pPr>
      <w:r>
        <w:rPr>
          <w:rFonts w:eastAsia="Times New Roman"/>
          <w:sz w:val="24"/>
          <w:szCs w:val="24"/>
        </w:rPr>
        <w:t xml:space="preserve">780 CMR: </w:t>
      </w:r>
      <w:r>
        <w:rPr>
          <w:rFonts w:eastAsia="Times New Roman"/>
          <w:i/>
          <w:iCs/>
          <w:sz w:val="24"/>
          <w:szCs w:val="24"/>
        </w:rPr>
        <w:t>Massachusetts State Building Code</w:t>
      </w:r>
      <w:r>
        <w:rPr>
          <w:rFonts w:eastAsia="Times New Roman"/>
          <w:sz w:val="24"/>
          <w:szCs w:val="24"/>
        </w:rPr>
        <w:t xml:space="preserve"> - Fire Protection Systems, Design, Installation, Testing and Maintenance Requirements;</w:t>
      </w:r>
    </w:p>
    <w:p w14:paraId="281A763F" w14:textId="77777777" w:rsidR="004647B9" w:rsidRDefault="00E2436F" w:rsidP="0007218B">
      <w:pPr>
        <w:numPr>
          <w:ilvl w:val="3"/>
          <w:numId w:val="864"/>
        </w:numPr>
        <w:tabs>
          <w:tab w:val="left" w:pos="2578"/>
        </w:tabs>
        <w:ind w:left="2635" w:hanging="360"/>
        <w:rPr>
          <w:rFonts w:eastAsia="Times New Roman"/>
          <w:sz w:val="24"/>
          <w:szCs w:val="24"/>
        </w:rPr>
      </w:pPr>
      <w:r>
        <w:rPr>
          <w:rFonts w:eastAsia="Times New Roman"/>
          <w:sz w:val="24"/>
          <w:szCs w:val="24"/>
        </w:rPr>
        <w:t xml:space="preserve">527 CMR: </w:t>
      </w:r>
      <w:r>
        <w:rPr>
          <w:rFonts w:eastAsia="Times New Roman"/>
          <w:i/>
          <w:iCs/>
          <w:sz w:val="24"/>
          <w:szCs w:val="24"/>
        </w:rPr>
        <w:t>Massachusetts Fire Prevention Regulations</w:t>
      </w:r>
      <w:r>
        <w:rPr>
          <w:rFonts w:eastAsia="Times New Roman"/>
          <w:sz w:val="24"/>
          <w:szCs w:val="24"/>
        </w:rPr>
        <w:t>, Installation Permits;</w:t>
      </w:r>
    </w:p>
    <w:p w14:paraId="281A7641" w14:textId="77777777" w:rsidR="004647B9" w:rsidRDefault="00E2436F" w:rsidP="0007218B">
      <w:pPr>
        <w:numPr>
          <w:ilvl w:val="3"/>
          <w:numId w:val="864"/>
        </w:numPr>
        <w:tabs>
          <w:tab w:val="left" w:pos="2584"/>
        </w:tabs>
        <w:ind w:left="2275"/>
        <w:rPr>
          <w:rFonts w:eastAsia="Times New Roman"/>
          <w:sz w:val="24"/>
          <w:szCs w:val="24"/>
        </w:rPr>
      </w:pPr>
      <w:r>
        <w:rPr>
          <w:rFonts w:eastAsia="Times New Roman"/>
          <w:sz w:val="24"/>
          <w:szCs w:val="24"/>
        </w:rPr>
        <w:t xml:space="preserve">250 CMR: </w:t>
      </w:r>
      <w:r>
        <w:rPr>
          <w:rFonts w:eastAsia="Times New Roman"/>
          <w:i/>
          <w:iCs/>
          <w:sz w:val="24"/>
          <w:szCs w:val="24"/>
        </w:rPr>
        <w:t>Board of Registration of Professional Engineers and Land Surveyors</w:t>
      </w:r>
      <w:r>
        <w:rPr>
          <w:rFonts w:eastAsia="Times New Roman"/>
          <w:sz w:val="24"/>
          <w:szCs w:val="24"/>
        </w:rPr>
        <w:t>, Practice of Engineering and Preparation of Plans and Specifications;</w:t>
      </w:r>
    </w:p>
    <w:p w14:paraId="281A7642" w14:textId="77777777" w:rsidR="004647B9" w:rsidRDefault="00E2436F" w:rsidP="0007218B">
      <w:pPr>
        <w:numPr>
          <w:ilvl w:val="3"/>
          <w:numId w:val="864"/>
        </w:numPr>
        <w:tabs>
          <w:tab w:val="left" w:pos="2578"/>
        </w:tabs>
        <w:ind w:left="2275"/>
        <w:rPr>
          <w:rFonts w:eastAsia="Times New Roman"/>
          <w:sz w:val="24"/>
          <w:szCs w:val="24"/>
        </w:rPr>
      </w:pPr>
      <w:r>
        <w:rPr>
          <w:rFonts w:eastAsia="Times New Roman"/>
          <w:sz w:val="24"/>
          <w:szCs w:val="24"/>
        </w:rPr>
        <w:t xml:space="preserve">528 CMR: </w:t>
      </w:r>
      <w:r>
        <w:rPr>
          <w:rFonts w:eastAsia="Times New Roman"/>
          <w:i/>
          <w:iCs/>
          <w:sz w:val="24"/>
          <w:szCs w:val="24"/>
        </w:rPr>
        <w:t>Bureau of Pipe fitters, Refrigeration, and Sprinkler Fitters</w:t>
      </w:r>
      <w:r>
        <w:rPr>
          <w:rFonts w:eastAsia="Times New Roman"/>
          <w:sz w:val="24"/>
          <w:szCs w:val="24"/>
        </w:rPr>
        <w:t>, Qualification and Licensing of Installers;</w:t>
      </w:r>
    </w:p>
    <w:p w14:paraId="281A7643" w14:textId="77777777" w:rsidR="004647B9" w:rsidRDefault="00E2436F" w:rsidP="0007218B">
      <w:pPr>
        <w:numPr>
          <w:ilvl w:val="3"/>
          <w:numId w:val="864"/>
        </w:numPr>
        <w:tabs>
          <w:tab w:val="left" w:pos="2578"/>
        </w:tabs>
        <w:ind w:left="2275"/>
        <w:rPr>
          <w:rFonts w:eastAsia="Times New Roman"/>
          <w:sz w:val="24"/>
          <w:szCs w:val="24"/>
        </w:rPr>
      </w:pPr>
      <w:r>
        <w:rPr>
          <w:rFonts w:eastAsia="Times New Roman"/>
          <w:sz w:val="24"/>
          <w:szCs w:val="24"/>
        </w:rPr>
        <w:t>M.G.L. c. 148, § 27A, Shutting off Existing Fire Protection systems and Permitting;</w:t>
      </w:r>
    </w:p>
    <w:p w14:paraId="281A7644" w14:textId="77777777" w:rsidR="004647B9" w:rsidRDefault="00E2436F" w:rsidP="0007218B">
      <w:pPr>
        <w:numPr>
          <w:ilvl w:val="3"/>
          <w:numId w:val="864"/>
        </w:numPr>
        <w:tabs>
          <w:tab w:val="left" w:pos="2578"/>
        </w:tabs>
        <w:ind w:left="2606" w:hanging="331"/>
        <w:rPr>
          <w:rFonts w:eastAsia="Times New Roman"/>
          <w:sz w:val="24"/>
          <w:szCs w:val="24"/>
        </w:rPr>
      </w:pPr>
      <w:r>
        <w:rPr>
          <w:rFonts w:eastAsia="Times New Roman"/>
          <w:sz w:val="24"/>
          <w:szCs w:val="24"/>
        </w:rPr>
        <w:t xml:space="preserve">248 CMR: </w:t>
      </w:r>
      <w:r>
        <w:rPr>
          <w:rFonts w:eastAsia="Times New Roman"/>
          <w:i/>
          <w:iCs/>
          <w:sz w:val="24"/>
          <w:szCs w:val="24"/>
        </w:rPr>
        <w:t>State Plumbing and Fuel Gas Code</w:t>
      </w:r>
      <w:r>
        <w:rPr>
          <w:rFonts w:eastAsia="Times New Roman"/>
          <w:sz w:val="24"/>
          <w:szCs w:val="24"/>
        </w:rPr>
        <w:t>, Permits and Installation.</w:t>
      </w:r>
    </w:p>
    <w:p w14:paraId="281A7645" w14:textId="77777777" w:rsidR="004647B9" w:rsidRDefault="004647B9" w:rsidP="006523BA">
      <w:pPr>
        <w:rPr>
          <w:rFonts w:eastAsia="Times New Roman"/>
          <w:sz w:val="24"/>
          <w:szCs w:val="24"/>
        </w:rPr>
      </w:pPr>
    </w:p>
    <w:p w14:paraId="281A7646" w14:textId="77777777" w:rsidR="004647B9" w:rsidRPr="006523BA" w:rsidRDefault="00E2436F" w:rsidP="00563A54">
      <w:pPr>
        <w:numPr>
          <w:ilvl w:val="0"/>
          <w:numId w:val="865"/>
        </w:numPr>
        <w:tabs>
          <w:tab w:val="left" w:pos="1840"/>
        </w:tabs>
        <w:ind w:left="1840" w:hanging="640"/>
        <w:rPr>
          <w:rFonts w:eastAsia="Times New Roman"/>
          <w:sz w:val="24"/>
          <w:szCs w:val="24"/>
        </w:rPr>
      </w:pPr>
      <w:r w:rsidRPr="006523BA">
        <w:rPr>
          <w:rFonts w:eastAsia="Times New Roman"/>
          <w:sz w:val="24"/>
          <w:szCs w:val="24"/>
          <w:u w:val="single"/>
        </w:rPr>
        <w:t>Approval of Devices for Use in Massachusetts</w:t>
      </w:r>
      <w:r w:rsidRPr="006523BA">
        <w:rPr>
          <w:rFonts w:eastAsia="Times New Roman"/>
          <w:sz w:val="24"/>
          <w:szCs w:val="24"/>
        </w:rPr>
        <w:t>.</w:t>
      </w:r>
    </w:p>
    <w:p w14:paraId="281A7648" w14:textId="77777777" w:rsidR="004647B9" w:rsidRPr="006523BA" w:rsidRDefault="00E2436F" w:rsidP="00563A54">
      <w:pPr>
        <w:numPr>
          <w:ilvl w:val="1"/>
          <w:numId w:val="865"/>
        </w:numPr>
        <w:tabs>
          <w:tab w:val="left" w:pos="2112"/>
        </w:tabs>
        <w:ind w:left="1560" w:hanging="5"/>
        <w:jc w:val="both"/>
        <w:rPr>
          <w:rFonts w:eastAsia="Times New Roman"/>
          <w:sz w:val="24"/>
          <w:szCs w:val="24"/>
        </w:rPr>
      </w:pPr>
      <w:r w:rsidRPr="006523BA">
        <w:rPr>
          <w:rFonts w:eastAsia="Times New Roman"/>
          <w:sz w:val="24"/>
          <w:szCs w:val="24"/>
        </w:rPr>
        <w:t xml:space="preserve">Types and models of atmospheric breakers, pressure vacuum breakers/anti-siphon vacuum breakers, backflow preventers with intermediate atmospheric vent, dual check valve preventers, and hose connection vacuum breakers may be used in Massachusetts for certain low hazard applications referred to in 248 CMR 10.00: </w:t>
      </w:r>
      <w:r w:rsidRPr="006523BA">
        <w:rPr>
          <w:rFonts w:eastAsia="Times New Roman"/>
          <w:i/>
          <w:iCs/>
          <w:sz w:val="24"/>
          <w:szCs w:val="24"/>
        </w:rPr>
        <w:t>Uniform State Plumbing Code</w:t>
      </w:r>
      <w:r w:rsidRPr="006523BA">
        <w:rPr>
          <w:rFonts w:eastAsia="Times New Roman"/>
          <w:sz w:val="24"/>
          <w:szCs w:val="24"/>
        </w:rPr>
        <w:t xml:space="preserve"> shall be those meeting the requirements of, and approved by, the Board of State Examiners of Plumbers and Gas Fitters.</w:t>
      </w:r>
    </w:p>
    <w:p w14:paraId="281A764A" w14:textId="77777777" w:rsidR="004647B9" w:rsidRPr="006523BA" w:rsidRDefault="00E2436F" w:rsidP="00563A54">
      <w:pPr>
        <w:numPr>
          <w:ilvl w:val="1"/>
          <w:numId w:val="865"/>
        </w:numPr>
        <w:tabs>
          <w:tab w:val="left" w:pos="2013"/>
        </w:tabs>
        <w:ind w:left="1560" w:hanging="5"/>
        <w:jc w:val="both"/>
        <w:rPr>
          <w:rFonts w:eastAsia="Times New Roman"/>
          <w:sz w:val="24"/>
          <w:szCs w:val="24"/>
        </w:rPr>
      </w:pPr>
      <w:r w:rsidRPr="006523BA">
        <w:rPr>
          <w:rFonts w:eastAsia="Times New Roman"/>
          <w:sz w:val="24"/>
          <w:szCs w:val="24"/>
        </w:rPr>
        <w:t>All reduced pressure backflow preventers, double check valve assemblies, and double check detector assemblies used in Massachusetts for the protection of a cross connection in accordance with 310 CMR 22.00 shall meet the standards established by at least one of the following organizations: American Society of Sanitary Engineering (ASSE), American Water Works Association or University of Southern California (U.S.C.) Specifications;</w:t>
      </w:r>
    </w:p>
    <w:p w14:paraId="281A764C" w14:textId="77777777" w:rsidR="004647B9" w:rsidRPr="006523BA" w:rsidRDefault="00E2436F" w:rsidP="00563A54">
      <w:pPr>
        <w:numPr>
          <w:ilvl w:val="1"/>
          <w:numId w:val="865"/>
        </w:numPr>
        <w:tabs>
          <w:tab w:val="left" w:pos="2002"/>
        </w:tabs>
        <w:ind w:left="1560" w:hanging="5"/>
        <w:jc w:val="both"/>
        <w:rPr>
          <w:rFonts w:eastAsia="Times New Roman"/>
          <w:sz w:val="24"/>
          <w:szCs w:val="24"/>
        </w:rPr>
      </w:pPr>
      <w:r w:rsidRPr="006523BA">
        <w:rPr>
          <w:rFonts w:eastAsia="Times New Roman"/>
          <w:sz w:val="24"/>
          <w:szCs w:val="24"/>
        </w:rPr>
        <w:t xml:space="preserve">Devices and valves installed on fire protection systems including dual check backflow preventer for residential fire sprinkler systems shall be listed by Underwriters Laboratory (UL) or approved by Factory Mutual Research in accordance with 780 CMR </w:t>
      </w:r>
      <w:r w:rsidRPr="006523BA">
        <w:rPr>
          <w:rFonts w:eastAsia="Times New Roman"/>
          <w:i/>
          <w:iCs/>
          <w:sz w:val="24"/>
          <w:szCs w:val="24"/>
        </w:rPr>
        <w:t>Massachusetts</w:t>
      </w:r>
      <w:r w:rsidRPr="006523BA">
        <w:rPr>
          <w:rFonts w:eastAsia="Times New Roman"/>
          <w:sz w:val="24"/>
          <w:szCs w:val="24"/>
        </w:rPr>
        <w:t xml:space="preserve"> </w:t>
      </w:r>
      <w:r w:rsidRPr="006523BA">
        <w:rPr>
          <w:rFonts w:eastAsia="Times New Roman"/>
          <w:i/>
          <w:iCs/>
          <w:sz w:val="24"/>
          <w:szCs w:val="24"/>
        </w:rPr>
        <w:t xml:space="preserve">State Building Code </w:t>
      </w:r>
      <w:r w:rsidRPr="006523BA">
        <w:rPr>
          <w:rFonts w:eastAsia="Times New Roman"/>
          <w:sz w:val="24"/>
          <w:szCs w:val="24"/>
        </w:rPr>
        <w:t>unless otherwise approved by the head of the local fire department.</w:t>
      </w:r>
    </w:p>
    <w:p w14:paraId="281A764E" w14:textId="77777777" w:rsidR="004647B9" w:rsidRPr="006523BA" w:rsidRDefault="00E2436F" w:rsidP="00563A54">
      <w:pPr>
        <w:numPr>
          <w:ilvl w:val="1"/>
          <w:numId w:val="865"/>
        </w:numPr>
        <w:tabs>
          <w:tab w:val="left" w:pos="1987"/>
        </w:tabs>
        <w:ind w:left="1560" w:hanging="5"/>
        <w:jc w:val="both"/>
        <w:rPr>
          <w:rFonts w:eastAsia="Times New Roman"/>
          <w:sz w:val="24"/>
          <w:szCs w:val="24"/>
        </w:rPr>
      </w:pPr>
      <w:r w:rsidRPr="006523BA">
        <w:rPr>
          <w:rFonts w:eastAsia="Times New Roman"/>
          <w:sz w:val="24"/>
          <w:szCs w:val="24"/>
        </w:rPr>
        <w:t>The Department reserves the right to prohibit the use of any cross connection protection devices in Massachusetts if the Department determines that such device is found, after subsequent review, to be defective or to have performed inadequately in the field.</w:t>
      </w:r>
    </w:p>
    <w:p w14:paraId="281A764F" w14:textId="77777777" w:rsidR="004647B9" w:rsidRPr="006523BA" w:rsidRDefault="004647B9" w:rsidP="00524075">
      <w:pPr>
        <w:rPr>
          <w:rFonts w:eastAsia="Times New Roman"/>
          <w:sz w:val="24"/>
          <w:szCs w:val="24"/>
        </w:rPr>
      </w:pPr>
    </w:p>
    <w:p w14:paraId="281A7650" w14:textId="77777777" w:rsidR="004647B9" w:rsidRPr="006523BA" w:rsidRDefault="00E2436F" w:rsidP="00563A54">
      <w:pPr>
        <w:numPr>
          <w:ilvl w:val="0"/>
          <w:numId w:val="865"/>
        </w:numPr>
        <w:tabs>
          <w:tab w:val="left" w:pos="1780"/>
        </w:tabs>
        <w:ind w:left="1780" w:hanging="580"/>
        <w:rPr>
          <w:rFonts w:eastAsia="Times New Roman"/>
          <w:sz w:val="24"/>
          <w:szCs w:val="24"/>
        </w:rPr>
      </w:pPr>
      <w:r w:rsidRPr="006523BA">
        <w:rPr>
          <w:rFonts w:eastAsia="Times New Roman"/>
          <w:sz w:val="24"/>
          <w:szCs w:val="24"/>
          <w:u w:val="single"/>
        </w:rPr>
        <w:t>Installation Requirements</w:t>
      </w:r>
      <w:r w:rsidRPr="006523BA">
        <w:rPr>
          <w:rFonts w:eastAsia="Times New Roman"/>
          <w:sz w:val="24"/>
          <w:szCs w:val="24"/>
        </w:rPr>
        <w:t>.</w:t>
      </w:r>
    </w:p>
    <w:p w14:paraId="281A7652" w14:textId="77777777" w:rsidR="004647B9" w:rsidRPr="006523BA" w:rsidRDefault="00E2436F" w:rsidP="00563A54">
      <w:pPr>
        <w:numPr>
          <w:ilvl w:val="1"/>
          <w:numId w:val="865"/>
        </w:numPr>
        <w:tabs>
          <w:tab w:val="left" w:pos="1968"/>
        </w:tabs>
        <w:ind w:left="1560" w:hanging="5"/>
        <w:jc w:val="both"/>
        <w:rPr>
          <w:rFonts w:eastAsia="Times New Roman"/>
          <w:sz w:val="24"/>
          <w:szCs w:val="24"/>
        </w:rPr>
      </w:pPr>
      <w:r w:rsidRPr="006523BA">
        <w:rPr>
          <w:rFonts w:eastAsia="Times New Roman"/>
          <w:sz w:val="24"/>
          <w:szCs w:val="24"/>
          <w:u w:val="single"/>
        </w:rPr>
        <w:t>Reduced Pressure Backflow Preventers</w:t>
      </w:r>
      <w:r w:rsidRPr="006523BA">
        <w:rPr>
          <w:rFonts w:eastAsia="Times New Roman"/>
          <w:sz w:val="24"/>
          <w:szCs w:val="24"/>
        </w:rPr>
        <w:t>: Reduced pressure backflow preventers may be used to protect against backflow caused by back pressure or back siphonage and to protect a public water supply system from substances which are hazardous to health only when they are installed in the following manner:</w:t>
      </w:r>
    </w:p>
    <w:p w14:paraId="281A7653" w14:textId="77777777" w:rsidR="004647B9" w:rsidRPr="006523BA" w:rsidRDefault="00E2436F" w:rsidP="00563A54">
      <w:pPr>
        <w:numPr>
          <w:ilvl w:val="2"/>
          <w:numId w:val="865"/>
        </w:numPr>
        <w:tabs>
          <w:tab w:val="left" w:pos="2258"/>
        </w:tabs>
        <w:ind w:left="1920" w:hanging="5"/>
        <w:jc w:val="both"/>
        <w:rPr>
          <w:rFonts w:eastAsia="Times New Roman"/>
          <w:sz w:val="24"/>
          <w:szCs w:val="24"/>
        </w:rPr>
      </w:pPr>
      <w:r w:rsidRPr="006523BA">
        <w:rPr>
          <w:rFonts w:eastAsia="Times New Roman"/>
          <w:sz w:val="24"/>
          <w:szCs w:val="24"/>
        </w:rPr>
        <w:t>For devices installed as in-plant protection, the reduced pressure backflow preventer shall be installed on the owner's side of the water meter on the potable water supply line.</w:t>
      </w:r>
    </w:p>
    <w:p w14:paraId="281A7655" w14:textId="77777777" w:rsidR="004647B9" w:rsidRPr="006523BA" w:rsidRDefault="00E2436F" w:rsidP="00563A54">
      <w:pPr>
        <w:numPr>
          <w:ilvl w:val="2"/>
          <w:numId w:val="865"/>
        </w:numPr>
        <w:tabs>
          <w:tab w:val="left" w:pos="2402"/>
        </w:tabs>
        <w:ind w:left="1920" w:hanging="5"/>
        <w:rPr>
          <w:rFonts w:eastAsia="Times New Roman"/>
          <w:sz w:val="24"/>
          <w:szCs w:val="24"/>
        </w:rPr>
      </w:pPr>
      <w:r w:rsidRPr="006523BA">
        <w:rPr>
          <w:rFonts w:eastAsia="Times New Roman"/>
          <w:sz w:val="24"/>
          <w:szCs w:val="24"/>
        </w:rPr>
        <w:t>Before installing a reduced pressure backflow preventer, all pipelines shall be thoroughly flushed to remove foreign material.</w:t>
      </w:r>
    </w:p>
    <w:p w14:paraId="281A7656" w14:textId="77777777" w:rsidR="004647B9" w:rsidRPr="006523BA" w:rsidRDefault="00E2436F" w:rsidP="00563A54">
      <w:pPr>
        <w:numPr>
          <w:ilvl w:val="2"/>
          <w:numId w:val="865"/>
        </w:numPr>
        <w:tabs>
          <w:tab w:val="left" w:pos="2287"/>
        </w:tabs>
        <w:ind w:left="1920" w:hanging="5"/>
        <w:jc w:val="both"/>
        <w:rPr>
          <w:rFonts w:eastAsia="Times New Roman"/>
          <w:sz w:val="24"/>
          <w:szCs w:val="24"/>
        </w:rPr>
      </w:pPr>
      <w:r w:rsidRPr="006523BA">
        <w:rPr>
          <w:rFonts w:eastAsia="Times New Roman"/>
          <w:sz w:val="24"/>
          <w:szCs w:val="24"/>
        </w:rPr>
        <w:t>Drinking and domestic water lines, lines for safety showers, and lines for eye wash units must be taken off the upstream side of reduced pressure backflow preventers for devices installed as in-plant protection.</w:t>
      </w:r>
    </w:p>
    <w:p w14:paraId="281A7658" w14:textId="77777777" w:rsidR="004647B9" w:rsidRPr="006523BA" w:rsidRDefault="00E2436F" w:rsidP="00563A54">
      <w:pPr>
        <w:numPr>
          <w:ilvl w:val="2"/>
          <w:numId w:val="865"/>
        </w:numPr>
        <w:tabs>
          <w:tab w:val="left" w:pos="2251"/>
        </w:tabs>
        <w:ind w:left="1920" w:hanging="5"/>
        <w:rPr>
          <w:rFonts w:eastAsia="Times New Roman"/>
          <w:sz w:val="24"/>
          <w:szCs w:val="24"/>
        </w:rPr>
      </w:pPr>
      <w:r w:rsidRPr="006523BA">
        <w:rPr>
          <w:rFonts w:eastAsia="Times New Roman"/>
          <w:sz w:val="24"/>
          <w:szCs w:val="24"/>
        </w:rPr>
        <w:t>The reduced pressure backflow preventer shall be located so as to permit easy access and provide adequate and convenient space for maintenance, inspection, and testing.</w:t>
      </w:r>
    </w:p>
    <w:p w14:paraId="281A7659" w14:textId="77777777" w:rsidR="004647B9" w:rsidRDefault="004647B9">
      <w:pPr>
        <w:sectPr w:rsidR="004647B9" w:rsidSect="00EF630C">
          <w:pgSz w:w="12240" w:h="20180"/>
          <w:pgMar w:top="708" w:right="1440" w:bottom="990" w:left="540" w:header="0" w:footer="0" w:gutter="0"/>
          <w:cols w:space="720"/>
        </w:sectPr>
      </w:pPr>
    </w:p>
    <w:p w14:paraId="281A765A" w14:textId="77777777" w:rsidR="004647B9" w:rsidRDefault="00E2436F">
      <w:pPr>
        <w:tabs>
          <w:tab w:val="left" w:pos="160"/>
        </w:tabs>
        <w:ind w:right="-59"/>
        <w:jc w:val="center"/>
        <w:rPr>
          <w:sz w:val="20"/>
          <w:szCs w:val="20"/>
        </w:rPr>
      </w:pPr>
      <w:bookmarkStart w:id="332" w:name="page336"/>
      <w:bookmarkEnd w:id="332"/>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65B" w14:textId="77777777" w:rsidR="004647B9" w:rsidRPr="007D7F94" w:rsidRDefault="004647B9" w:rsidP="00524075">
      <w:pPr>
        <w:rPr>
          <w:sz w:val="20"/>
          <w:szCs w:val="20"/>
        </w:rPr>
      </w:pPr>
    </w:p>
    <w:p w14:paraId="281A765C" w14:textId="77777777" w:rsidR="004647B9" w:rsidRPr="007D7F94" w:rsidRDefault="004647B9" w:rsidP="00524075">
      <w:pPr>
        <w:rPr>
          <w:sz w:val="20"/>
          <w:szCs w:val="20"/>
        </w:rPr>
      </w:pPr>
    </w:p>
    <w:p w14:paraId="281A765D" w14:textId="77777777" w:rsidR="004647B9" w:rsidRPr="00524075" w:rsidRDefault="00E2436F" w:rsidP="00524075">
      <w:pPr>
        <w:tabs>
          <w:tab w:val="left" w:pos="760"/>
        </w:tabs>
        <w:rPr>
          <w:sz w:val="24"/>
          <w:szCs w:val="24"/>
        </w:rPr>
      </w:pPr>
      <w:r w:rsidRPr="00524075">
        <w:rPr>
          <w:rFonts w:eastAsia="Times New Roman"/>
          <w:sz w:val="24"/>
          <w:szCs w:val="24"/>
        </w:rPr>
        <w:t>22.22:</w:t>
      </w:r>
      <w:r w:rsidRPr="00524075">
        <w:rPr>
          <w:rFonts w:eastAsia="Times New Roman"/>
          <w:sz w:val="24"/>
          <w:szCs w:val="24"/>
        </w:rPr>
        <w:tab/>
        <w:t>continued</w:t>
      </w:r>
    </w:p>
    <w:p w14:paraId="281A765E" w14:textId="77777777" w:rsidR="004647B9" w:rsidRPr="007D7F94" w:rsidRDefault="004647B9" w:rsidP="00524075">
      <w:pPr>
        <w:rPr>
          <w:sz w:val="20"/>
          <w:szCs w:val="20"/>
        </w:rPr>
      </w:pPr>
    </w:p>
    <w:p w14:paraId="281A765F" w14:textId="77777777" w:rsidR="004647B9" w:rsidRPr="00524075" w:rsidRDefault="00E2436F" w:rsidP="00563A54">
      <w:pPr>
        <w:numPr>
          <w:ilvl w:val="1"/>
          <w:numId w:val="866"/>
        </w:numPr>
        <w:tabs>
          <w:tab w:val="left" w:pos="2244"/>
        </w:tabs>
        <w:ind w:left="1920" w:hanging="5"/>
        <w:jc w:val="both"/>
        <w:rPr>
          <w:rFonts w:eastAsia="Times New Roman"/>
          <w:sz w:val="24"/>
          <w:szCs w:val="24"/>
        </w:rPr>
      </w:pPr>
      <w:r w:rsidRPr="00524075">
        <w:rPr>
          <w:rFonts w:eastAsia="Times New Roman"/>
          <w:sz w:val="24"/>
          <w:szCs w:val="24"/>
        </w:rPr>
        <w:t>The owner of the device shall be able to shut down water lines after reasonable notice during normal business hours to permit necessary testing and maintenance of the device, provided that if it is not possible to meet this requirement a by-pass line equipped with an approved type reduced pressure backflow preventer shall be installed.</w:t>
      </w:r>
    </w:p>
    <w:p w14:paraId="281A7661" w14:textId="77777777" w:rsidR="004647B9" w:rsidRPr="00524075" w:rsidRDefault="00E2436F" w:rsidP="00563A54">
      <w:pPr>
        <w:numPr>
          <w:ilvl w:val="1"/>
          <w:numId w:val="866"/>
        </w:numPr>
        <w:tabs>
          <w:tab w:val="left" w:pos="2287"/>
        </w:tabs>
        <w:ind w:left="1920" w:hanging="5"/>
        <w:jc w:val="both"/>
        <w:rPr>
          <w:rFonts w:eastAsia="Times New Roman"/>
          <w:sz w:val="24"/>
          <w:szCs w:val="24"/>
        </w:rPr>
      </w:pPr>
      <w:r w:rsidRPr="00524075">
        <w:rPr>
          <w:rFonts w:eastAsia="Times New Roman"/>
          <w:sz w:val="24"/>
          <w:szCs w:val="24"/>
        </w:rPr>
        <w:t>The reduced pressure backflow preventer and shut-off valves must be installed in a horizontal alignment between three and four feet from the floor to the bottom of the device and a minimum of 12 inches from any wall. Vertical installation of devices shall be determined by the public water system.</w:t>
      </w:r>
    </w:p>
    <w:p w14:paraId="281A7662" w14:textId="77777777" w:rsidR="004647B9" w:rsidRPr="00524075" w:rsidRDefault="00E2436F" w:rsidP="00563A54">
      <w:pPr>
        <w:numPr>
          <w:ilvl w:val="1"/>
          <w:numId w:val="866"/>
        </w:numPr>
        <w:tabs>
          <w:tab w:val="left" w:pos="2249"/>
        </w:tabs>
        <w:ind w:left="1920" w:hanging="5"/>
        <w:jc w:val="both"/>
        <w:rPr>
          <w:rFonts w:eastAsia="Times New Roman"/>
          <w:sz w:val="24"/>
          <w:szCs w:val="24"/>
        </w:rPr>
      </w:pPr>
      <w:r w:rsidRPr="00524075">
        <w:rPr>
          <w:rFonts w:eastAsia="Times New Roman"/>
          <w:sz w:val="24"/>
          <w:szCs w:val="24"/>
        </w:rPr>
        <w:t>Tightly closing valves must be installed at each end of the device and be immediately accessible unless otherwise approved by the Department or its Designee or public water system.</w:t>
      </w:r>
    </w:p>
    <w:p w14:paraId="281A7664" w14:textId="77777777" w:rsidR="004647B9" w:rsidRPr="00524075" w:rsidRDefault="00E2436F" w:rsidP="00563A54">
      <w:pPr>
        <w:numPr>
          <w:ilvl w:val="1"/>
          <w:numId w:val="866"/>
        </w:numPr>
        <w:tabs>
          <w:tab w:val="left" w:pos="2280"/>
        </w:tabs>
        <w:ind w:left="2280" w:hanging="365"/>
        <w:rPr>
          <w:rFonts w:eastAsia="Times New Roman"/>
          <w:sz w:val="24"/>
          <w:szCs w:val="24"/>
        </w:rPr>
      </w:pPr>
      <w:r w:rsidRPr="00524075">
        <w:rPr>
          <w:rFonts w:eastAsia="Times New Roman"/>
          <w:sz w:val="24"/>
          <w:szCs w:val="24"/>
        </w:rPr>
        <w:t>The device must be protected from freezing, flooding, and mechanical damage.</w:t>
      </w:r>
    </w:p>
    <w:p w14:paraId="281A7666" w14:textId="77777777" w:rsidR="004647B9" w:rsidRPr="00524075" w:rsidRDefault="00E2436F" w:rsidP="00563A54">
      <w:pPr>
        <w:numPr>
          <w:ilvl w:val="1"/>
          <w:numId w:val="866"/>
        </w:numPr>
        <w:tabs>
          <w:tab w:val="left" w:pos="2302"/>
        </w:tabs>
        <w:ind w:left="1920" w:hanging="5"/>
        <w:rPr>
          <w:rFonts w:eastAsia="Times New Roman"/>
          <w:sz w:val="24"/>
          <w:szCs w:val="24"/>
        </w:rPr>
      </w:pPr>
      <w:r w:rsidRPr="00524075">
        <w:rPr>
          <w:rFonts w:eastAsia="Times New Roman"/>
          <w:sz w:val="24"/>
          <w:szCs w:val="24"/>
        </w:rPr>
        <w:t>If the device is to be installed on a hot water line, a device approved for use at the elevated temperature must be used.</w:t>
      </w:r>
    </w:p>
    <w:p w14:paraId="281A7667" w14:textId="77777777" w:rsidR="004647B9" w:rsidRPr="00524075" w:rsidRDefault="00E2436F" w:rsidP="00563A54">
      <w:pPr>
        <w:numPr>
          <w:ilvl w:val="1"/>
          <w:numId w:val="866"/>
        </w:numPr>
        <w:tabs>
          <w:tab w:val="left" w:pos="2357"/>
        </w:tabs>
        <w:ind w:left="1920" w:hanging="5"/>
        <w:jc w:val="both"/>
        <w:rPr>
          <w:rFonts w:eastAsia="Times New Roman"/>
          <w:sz w:val="24"/>
          <w:szCs w:val="24"/>
        </w:rPr>
      </w:pPr>
      <w:r w:rsidRPr="00524075">
        <w:rPr>
          <w:rFonts w:eastAsia="Times New Roman"/>
          <w:sz w:val="24"/>
          <w:szCs w:val="24"/>
        </w:rPr>
        <w:t>If a drain is to be provided for the relief valve port, there must be an approved air gap separation between the port and drain line. To be approved, the air gap must be at least twice the internal diameter of the discharge line.</w:t>
      </w:r>
    </w:p>
    <w:p w14:paraId="281A7669" w14:textId="77777777" w:rsidR="004647B9" w:rsidRPr="00524075" w:rsidRDefault="00E2436F" w:rsidP="00563A54">
      <w:pPr>
        <w:numPr>
          <w:ilvl w:val="1"/>
          <w:numId w:val="866"/>
        </w:numPr>
        <w:tabs>
          <w:tab w:val="left" w:pos="2400"/>
        </w:tabs>
        <w:ind w:left="2400" w:hanging="485"/>
        <w:rPr>
          <w:rFonts w:eastAsia="Times New Roman"/>
          <w:sz w:val="24"/>
          <w:szCs w:val="24"/>
        </w:rPr>
      </w:pPr>
      <w:r w:rsidRPr="00524075">
        <w:rPr>
          <w:rFonts w:eastAsia="Times New Roman"/>
          <w:sz w:val="24"/>
          <w:szCs w:val="24"/>
        </w:rPr>
        <w:t>Pit installation shall be approved only as provided in 310 CMR 22.22(11)(f).</w:t>
      </w:r>
    </w:p>
    <w:p w14:paraId="281A766B" w14:textId="77777777" w:rsidR="004647B9" w:rsidRPr="00524075" w:rsidRDefault="00E2436F" w:rsidP="00563A54">
      <w:pPr>
        <w:numPr>
          <w:ilvl w:val="1"/>
          <w:numId w:val="866"/>
        </w:numPr>
        <w:tabs>
          <w:tab w:val="left" w:pos="2431"/>
        </w:tabs>
        <w:ind w:left="1920" w:hanging="5"/>
        <w:jc w:val="both"/>
        <w:rPr>
          <w:rFonts w:eastAsia="Times New Roman"/>
          <w:sz w:val="24"/>
          <w:szCs w:val="24"/>
        </w:rPr>
      </w:pPr>
      <w:r w:rsidRPr="00524075">
        <w:rPr>
          <w:rFonts w:eastAsia="Times New Roman"/>
          <w:sz w:val="24"/>
          <w:szCs w:val="24"/>
        </w:rPr>
        <w:t xml:space="preserve">All water lines shall be color coded according to 248 CMR 10.00: </w:t>
      </w:r>
      <w:r w:rsidRPr="00524075">
        <w:rPr>
          <w:rFonts w:eastAsia="Times New Roman"/>
          <w:i/>
          <w:iCs/>
          <w:sz w:val="24"/>
          <w:szCs w:val="24"/>
        </w:rPr>
        <w:t>Uniform State</w:t>
      </w:r>
      <w:r w:rsidRPr="00524075">
        <w:rPr>
          <w:rFonts w:eastAsia="Times New Roman"/>
          <w:sz w:val="24"/>
          <w:szCs w:val="24"/>
        </w:rPr>
        <w:t xml:space="preserve"> </w:t>
      </w:r>
      <w:r w:rsidRPr="00524075">
        <w:rPr>
          <w:rFonts w:eastAsia="Times New Roman"/>
          <w:i/>
          <w:iCs/>
          <w:sz w:val="24"/>
          <w:szCs w:val="24"/>
        </w:rPr>
        <w:t>Plumbing Code</w:t>
      </w:r>
      <w:r w:rsidRPr="00524075">
        <w:rPr>
          <w:rFonts w:eastAsia="Times New Roman"/>
          <w:sz w:val="24"/>
          <w:szCs w:val="24"/>
        </w:rPr>
        <w:t>, except that water filtration plants, pumping stations, sewage treatment</w:t>
      </w:r>
      <w:r w:rsidRPr="00524075">
        <w:rPr>
          <w:rFonts w:eastAsia="Times New Roman"/>
          <w:i/>
          <w:iCs/>
          <w:sz w:val="24"/>
          <w:szCs w:val="24"/>
        </w:rPr>
        <w:t xml:space="preserve"> </w:t>
      </w:r>
      <w:r w:rsidRPr="00524075">
        <w:rPr>
          <w:rFonts w:eastAsia="Times New Roman"/>
          <w:sz w:val="24"/>
          <w:szCs w:val="24"/>
        </w:rPr>
        <w:t xml:space="preserve">plants and sewage pumping stations shall label all water lines in </w:t>
      </w:r>
      <w:r w:rsidRPr="00524075">
        <w:rPr>
          <w:rFonts w:eastAsia="Times New Roman"/>
          <w:i/>
          <w:iCs/>
          <w:sz w:val="24"/>
          <w:szCs w:val="24"/>
        </w:rPr>
        <w:t>lieu</w:t>
      </w:r>
      <w:r w:rsidRPr="00524075">
        <w:rPr>
          <w:rFonts w:eastAsia="Times New Roman"/>
          <w:sz w:val="24"/>
          <w:szCs w:val="24"/>
        </w:rPr>
        <w:t xml:space="preserve"> of color coding.</w:t>
      </w:r>
    </w:p>
    <w:p w14:paraId="281A766C" w14:textId="77777777" w:rsidR="004647B9" w:rsidRPr="00524075" w:rsidRDefault="00E2436F" w:rsidP="00563A54">
      <w:pPr>
        <w:numPr>
          <w:ilvl w:val="0"/>
          <w:numId w:val="867"/>
        </w:numPr>
        <w:tabs>
          <w:tab w:val="left" w:pos="1955"/>
        </w:tabs>
        <w:ind w:left="1560" w:hanging="5"/>
        <w:jc w:val="both"/>
        <w:rPr>
          <w:rFonts w:eastAsia="Times New Roman"/>
          <w:sz w:val="24"/>
          <w:szCs w:val="24"/>
        </w:rPr>
      </w:pPr>
      <w:r w:rsidRPr="00524075">
        <w:rPr>
          <w:rFonts w:eastAsia="Times New Roman"/>
          <w:sz w:val="24"/>
          <w:szCs w:val="24"/>
          <w:u w:val="single"/>
        </w:rPr>
        <w:t>Double Check Valve Assemblies</w:t>
      </w:r>
      <w:r w:rsidRPr="00524075">
        <w:rPr>
          <w:rFonts w:eastAsia="Times New Roman"/>
          <w:sz w:val="24"/>
          <w:szCs w:val="24"/>
        </w:rPr>
        <w:t>. Double check valve assemblies may be used to protect against backflow caused by back pressure or back siphonage and to protect a public water supply system from substances which may be objectionable, but not hazardous to health, only if they are installed in the following manner:</w:t>
      </w:r>
    </w:p>
    <w:p w14:paraId="281A766D" w14:textId="77777777" w:rsidR="004647B9" w:rsidRPr="00524075" w:rsidRDefault="00E2436F" w:rsidP="00563A54">
      <w:pPr>
        <w:numPr>
          <w:ilvl w:val="1"/>
          <w:numId w:val="867"/>
        </w:numPr>
        <w:tabs>
          <w:tab w:val="left" w:pos="2287"/>
        </w:tabs>
        <w:ind w:left="1920" w:hanging="5"/>
        <w:jc w:val="both"/>
        <w:rPr>
          <w:rFonts w:eastAsia="Times New Roman"/>
          <w:sz w:val="24"/>
          <w:szCs w:val="24"/>
        </w:rPr>
      </w:pPr>
      <w:r w:rsidRPr="00524075">
        <w:rPr>
          <w:rFonts w:eastAsia="Times New Roman"/>
          <w:sz w:val="24"/>
          <w:szCs w:val="24"/>
        </w:rPr>
        <w:t>Drinking and domestic water lines, lines for safety showers, and lines for eye wash units must be taken off the upstream side of the double check valve assembly for devices installed as in-plant protection.</w:t>
      </w:r>
    </w:p>
    <w:p w14:paraId="281A766F" w14:textId="77777777" w:rsidR="004647B9" w:rsidRPr="00524075" w:rsidRDefault="00E2436F" w:rsidP="00563A54">
      <w:pPr>
        <w:numPr>
          <w:ilvl w:val="1"/>
          <w:numId w:val="867"/>
        </w:numPr>
        <w:tabs>
          <w:tab w:val="left" w:pos="2266"/>
        </w:tabs>
        <w:ind w:left="1920" w:hanging="5"/>
        <w:rPr>
          <w:rFonts w:eastAsia="Times New Roman"/>
          <w:sz w:val="24"/>
          <w:szCs w:val="24"/>
        </w:rPr>
      </w:pPr>
      <w:r w:rsidRPr="00524075">
        <w:rPr>
          <w:rFonts w:eastAsia="Times New Roman"/>
          <w:sz w:val="24"/>
          <w:szCs w:val="24"/>
        </w:rPr>
        <w:t>The double check valve assembly shall be installed with adequate space to facilitate maintenance, inspection, and testing.</w:t>
      </w:r>
    </w:p>
    <w:p w14:paraId="281A7670" w14:textId="77777777" w:rsidR="004647B9" w:rsidRPr="00524075" w:rsidRDefault="00E2436F" w:rsidP="00563A54">
      <w:pPr>
        <w:numPr>
          <w:ilvl w:val="1"/>
          <w:numId w:val="867"/>
        </w:numPr>
        <w:tabs>
          <w:tab w:val="left" w:pos="2230"/>
        </w:tabs>
        <w:ind w:left="1920" w:hanging="5"/>
        <w:jc w:val="both"/>
        <w:rPr>
          <w:rFonts w:eastAsia="Times New Roman"/>
          <w:sz w:val="24"/>
          <w:szCs w:val="24"/>
        </w:rPr>
      </w:pPr>
      <w:r w:rsidRPr="00524075">
        <w:rPr>
          <w:rFonts w:eastAsia="Times New Roman"/>
          <w:sz w:val="24"/>
          <w:szCs w:val="24"/>
        </w:rPr>
        <w:t>The double check valve must be installed horizontally and the top of the double check valve assembly must be between 12 inches and 48 inches from the floor and a minimum of 12 inches from any wall. Vertical installation of devices shall be determined by the public water system.</w:t>
      </w:r>
    </w:p>
    <w:p w14:paraId="281A7671" w14:textId="77777777" w:rsidR="004647B9" w:rsidRPr="00524075" w:rsidRDefault="00E2436F" w:rsidP="00563A54">
      <w:pPr>
        <w:numPr>
          <w:ilvl w:val="1"/>
          <w:numId w:val="867"/>
        </w:numPr>
        <w:tabs>
          <w:tab w:val="left" w:pos="2330"/>
        </w:tabs>
        <w:ind w:left="1920" w:hanging="5"/>
        <w:jc w:val="both"/>
        <w:rPr>
          <w:rFonts w:eastAsia="Times New Roman"/>
          <w:sz w:val="24"/>
          <w:szCs w:val="24"/>
        </w:rPr>
      </w:pPr>
      <w:r w:rsidRPr="00524075">
        <w:rPr>
          <w:rFonts w:eastAsia="Times New Roman"/>
          <w:sz w:val="24"/>
          <w:szCs w:val="24"/>
        </w:rPr>
        <w:t>If a water meter is not provided on the upstream side of an approved swing-type double check valve assembly, a three to five foot spacer must be installed between the check valves.</w:t>
      </w:r>
    </w:p>
    <w:p w14:paraId="281A7673" w14:textId="77777777" w:rsidR="004647B9" w:rsidRPr="00524075" w:rsidRDefault="00E2436F" w:rsidP="00563A54">
      <w:pPr>
        <w:numPr>
          <w:ilvl w:val="1"/>
          <w:numId w:val="867"/>
        </w:numPr>
        <w:tabs>
          <w:tab w:val="left" w:pos="2244"/>
        </w:tabs>
        <w:ind w:left="1920" w:hanging="5"/>
        <w:rPr>
          <w:rFonts w:eastAsia="Times New Roman"/>
          <w:sz w:val="24"/>
          <w:szCs w:val="24"/>
        </w:rPr>
      </w:pPr>
      <w:r w:rsidRPr="00524075">
        <w:rPr>
          <w:rFonts w:eastAsia="Times New Roman"/>
          <w:sz w:val="24"/>
          <w:szCs w:val="24"/>
        </w:rPr>
        <w:t>Tightly closing valves must be installed at each end of the device and be immediately accessible unless otherwise approved by the Department or its Designee.</w:t>
      </w:r>
    </w:p>
    <w:p w14:paraId="281A7674" w14:textId="77777777" w:rsidR="004647B9" w:rsidRPr="00524075" w:rsidRDefault="00E2436F" w:rsidP="00563A54">
      <w:pPr>
        <w:numPr>
          <w:ilvl w:val="1"/>
          <w:numId w:val="867"/>
        </w:numPr>
        <w:tabs>
          <w:tab w:val="left" w:pos="2251"/>
        </w:tabs>
        <w:ind w:left="1920" w:hanging="5"/>
        <w:rPr>
          <w:rFonts w:eastAsia="Times New Roman"/>
          <w:sz w:val="24"/>
          <w:szCs w:val="24"/>
        </w:rPr>
      </w:pPr>
      <w:r w:rsidRPr="00524075">
        <w:rPr>
          <w:rFonts w:eastAsia="Times New Roman"/>
          <w:sz w:val="24"/>
          <w:szCs w:val="24"/>
        </w:rPr>
        <w:t>Double check valve assemblies must be readily accessible for testing and service and provided with suitable connections and appurtenances for testing.</w:t>
      </w:r>
    </w:p>
    <w:p w14:paraId="281A7675" w14:textId="77777777" w:rsidR="004647B9" w:rsidRPr="00524075" w:rsidRDefault="00E2436F" w:rsidP="00563A54">
      <w:pPr>
        <w:numPr>
          <w:ilvl w:val="1"/>
          <w:numId w:val="867"/>
        </w:numPr>
        <w:tabs>
          <w:tab w:val="left" w:pos="2280"/>
        </w:tabs>
        <w:ind w:left="2280" w:hanging="365"/>
        <w:rPr>
          <w:rFonts w:eastAsia="Times New Roman"/>
          <w:sz w:val="24"/>
          <w:szCs w:val="24"/>
        </w:rPr>
      </w:pPr>
      <w:r w:rsidRPr="00524075">
        <w:rPr>
          <w:rFonts w:eastAsia="Times New Roman"/>
          <w:sz w:val="24"/>
          <w:szCs w:val="24"/>
        </w:rPr>
        <w:t>The device must be protected against flooding, freezing and mechanical damage.</w:t>
      </w:r>
    </w:p>
    <w:p w14:paraId="281A7677" w14:textId="77777777" w:rsidR="004647B9" w:rsidRPr="00524075" w:rsidRDefault="00E2436F" w:rsidP="00563A54">
      <w:pPr>
        <w:numPr>
          <w:ilvl w:val="1"/>
          <w:numId w:val="867"/>
        </w:numPr>
        <w:tabs>
          <w:tab w:val="left" w:pos="2280"/>
        </w:tabs>
        <w:ind w:left="2280" w:hanging="365"/>
        <w:rPr>
          <w:rFonts w:eastAsia="Times New Roman"/>
          <w:sz w:val="24"/>
          <w:szCs w:val="24"/>
        </w:rPr>
      </w:pPr>
      <w:r w:rsidRPr="00524075">
        <w:rPr>
          <w:rFonts w:eastAsia="Times New Roman"/>
          <w:sz w:val="24"/>
          <w:szCs w:val="24"/>
        </w:rPr>
        <w:t>Pit installation will be approved only as provided in 310 CMR 22.22(11)(f).</w:t>
      </w:r>
    </w:p>
    <w:p w14:paraId="281A7679" w14:textId="77777777" w:rsidR="004647B9" w:rsidRPr="00524075" w:rsidRDefault="00E2436F" w:rsidP="00563A54">
      <w:pPr>
        <w:numPr>
          <w:ilvl w:val="0"/>
          <w:numId w:val="867"/>
        </w:numPr>
        <w:tabs>
          <w:tab w:val="left" w:pos="1997"/>
        </w:tabs>
        <w:ind w:left="1560" w:hanging="5"/>
        <w:jc w:val="both"/>
        <w:rPr>
          <w:rFonts w:eastAsia="Times New Roman"/>
          <w:sz w:val="24"/>
          <w:szCs w:val="24"/>
        </w:rPr>
      </w:pPr>
      <w:r w:rsidRPr="00524075">
        <w:rPr>
          <w:rFonts w:eastAsia="Times New Roman"/>
          <w:sz w:val="24"/>
          <w:szCs w:val="24"/>
          <w:u w:val="single"/>
        </w:rPr>
        <w:t>Vacuum Breakers</w:t>
      </w:r>
      <w:r w:rsidRPr="00524075">
        <w:rPr>
          <w:rFonts w:eastAsia="Times New Roman"/>
          <w:sz w:val="24"/>
          <w:szCs w:val="24"/>
        </w:rPr>
        <w:t>. Vacuum breakers shall not be used to protect against backflow due to back pressure and shall not be installed as protection for high hazard conditions as determined by the Department, its Designee or public water system. Vacuum breakers may be used for low health hazards only if they are installed in the following manner:</w:t>
      </w:r>
    </w:p>
    <w:p w14:paraId="281A767A" w14:textId="77777777" w:rsidR="004647B9" w:rsidRPr="00524075" w:rsidRDefault="00E2436F" w:rsidP="00563A54">
      <w:pPr>
        <w:numPr>
          <w:ilvl w:val="1"/>
          <w:numId w:val="867"/>
        </w:numPr>
        <w:tabs>
          <w:tab w:val="left" w:pos="2244"/>
        </w:tabs>
        <w:ind w:left="1920" w:hanging="5"/>
        <w:rPr>
          <w:rFonts w:eastAsia="Times New Roman"/>
          <w:sz w:val="24"/>
          <w:szCs w:val="24"/>
        </w:rPr>
      </w:pPr>
      <w:r w:rsidRPr="00524075">
        <w:rPr>
          <w:rFonts w:eastAsia="Times New Roman"/>
          <w:sz w:val="24"/>
          <w:szCs w:val="24"/>
        </w:rPr>
        <w:t>Vacuum breakers must be installed at least six inches above the flood level rim of the fixture they serve.</w:t>
      </w:r>
    </w:p>
    <w:p w14:paraId="281A767B" w14:textId="77777777" w:rsidR="004647B9" w:rsidRPr="00524075" w:rsidRDefault="00E2436F" w:rsidP="00563A54">
      <w:pPr>
        <w:numPr>
          <w:ilvl w:val="1"/>
          <w:numId w:val="867"/>
        </w:numPr>
        <w:tabs>
          <w:tab w:val="left" w:pos="2352"/>
        </w:tabs>
        <w:ind w:left="1920" w:hanging="5"/>
        <w:rPr>
          <w:rFonts w:eastAsia="Times New Roman"/>
          <w:sz w:val="24"/>
          <w:szCs w:val="24"/>
        </w:rPr>
      </w:pPr>
      <w:r w:rsidRPr="00524075">
        <w:rPr>
          <w:rFonts w:eastAsia="Times New Roman"/>
          <w:sz w:val="24"/>
          <w:szCs w:val="24"/>
        </w:rPr>
        <w:t>Atmospheric vacuum breakers must be installed downstream of the last shut off servicing the fixture or equipment.</w:t>
      </w:r>
    </w:p>
    <w:p w14:paraId="281A767C" w14:textId="77777777" w:rsidR="004647B9" w:rsidRPr="00524075" w:rsidRDefault="00E2436F" w:rsidP="00563A54">
      <w:pPr>
        <w:numPr>
          <w:ilvl w:val="1"/>
          <w:numId w:val="867"/>
        </w:numPr>
        <w:tabs>
          <w:tab w:val="left" w:pos="2309"/>
        </w:tabs>
        <w:ind w:left="1920" w:hanging="5"/>
        <w:rPr>
          <w:rFonts w:eastAsia="Times New Roman"/>
          <w:sz w:val="24"/>
          <w:szCs w:val="24"/>
        </w:rPr>
      </w:pPr>
      <w:r w:rsidRPr="00524075">
        <w:rPr>
          <w:rFonts w:eastAsia="Times New Roman"/>
          <w:sz w:val="24"/>
          <w:szCs w:val="24"/>
        </w:rPr>
        <w:t>Vacuum breakers must not be installed in locations where the device is subject to corrosive fumes, dust or grit.</w:t>
      </w:r>
    </w:p>
    <w:p w14:paraId="281A767D" w14:textId="77777777" w:rsidR="004647B9" w:rsidRPr="00524075" w:rsidRDefault="00E2436F" w:rsidP="00563A54">
      <w:pPr>
        <w:numPr>
          <w:ilvl w:val="1"/>
          <w:numId w:val="867"/>
        </w:numPr>
        <w:tabs>
          <w:tab w:val="left" w:pos="2395"/>
        </w:tabs>
        <w:ind w:left="1920" w:hanging="5"/>
        <w:rPr>
          <w:rFonts w:eastAsia="Times New Roman"/>
          <w:sz w:val="24"/>
          <w:szCs w:val="24"/>
        </w:rPr>
      </w:pPr>
      <w:r w:rsidRPr="00524075">
        <w:rPr>
          <w:rFonts w:eastAsia="Times New Roman"/>
          <w:sz w:val="24"/>
          <w:szCs w:val="24"/>
        </w:rPr>
        <w:t>Vacuum breakers must be protected against flooding, freezing and mechanical damage.</w:t>
      </w:r>
    </w:p>
    <w:p w14:paraId="281A767E" w14:textId="77777777" w:rsidR="004647B9" w:rsidRPr="00524075" w:rsidRDefault="00E2436F" w:rsidP="00563A54">
      <w:pPr>
        <w:numPr>
          <w:ilvl w:val="1"/>
          <w:numId w:val="867"/>
        </w:numPr>
        <w:tabs>
          <w:tab w:val="left" w:pos="2381"/>
        </w:tabs>
        <w:ind w:left="1920" w:hanging="5"/>
        <w:jc w:val="both"/>
        <w:rPr>
          <w:rFonts w:eastAsia="Times New Roman"/>
          <w:sz w:val="24"/>
          <w:szCs w:val="24"/>
        </w:rPr>
      </w:pPr>
      <w:r w:rsidRPr="00524075">
        <w:rPr>
          <w:rFonts w:eastAsia="Times New Roman"/>
          <w:sz w:val="24"/>
          <w:szCs w:val="24"/>
        </w:rPr>
        <w:t>Atmospheric vacuum breakers shall not be used under conditions of static line pressure. Pressure vacuum breakers may be used under conditions of static line pressure.</w:t>
      </w:r>
    </w:p>
    <w:p w14:paraId="281A7680" w14:textId="77777777" w:rsidR="004647B9" w:rsidRPr="00524075" w:rsidRDefault="00E2436F" w:rsidP="00563A54">
      <w:pPr>
        <w:numPr>
          <w:ilvl w:val="1"/>
          <w:numId w:val="867"/>
        </w:numPr>
        <w:tabs>
          <w:tab w:val="left" w:pos="2338"/>
        </w:tabs>
        <w:ind w:left="1920" w:hanging="5"/>
        <w:jc w:val="both"/>
        <w:rPr>
          <w:rFonts w:eastAsia="Times New Roman"/>
          <w:sz w:val="24"/>
          <w:szCs w:val="24"/>
        </w:rPr>
      </w:pPr>
      <w:r w:rsidRPr="00524075">
        <w:rPr>
          <w:rFonts w:eastAsia="Times New Roman"/>
          <w:sz w:val="24"/>
          <w:szCs w:val="24"/>
        </w:rPr>
        <w:t xml:space="preserve">Vacuum breakers shall be installed on all fixtures that have a threaded hose type connection as required in 248 CMR 10.14: </w:t>
      </w:r>
      <w:r w:rsidRPr="00524075">
        <w:rPr>
          <w:rFonts w:eastAsia="Times New Roman"/>
          <w:i/>
          <w:iCs/>
          <w:sz w:val="24"/>
          <w:szCs w:val="24"/>
        </w:rPr>
        <w:t>Water Supply and the Water Distribution</w:t>
      </w:r>
      <w:r w:rsidRPr="00524075">
        <w:rPr>
          <w:rFonts w:eastAsia="Times New Roman"/>
          <w:sz w:val="24"/>
          <w:szCs w:val="24"/>
        </w:rPr>
        <w:t xml:space="preserve"> </w:t>
      </w:r>
      <w:r w:rsidRPr="00524075">
        <w:rPr>
          <w:rFonts w:eastAsia="Times New Roman"/>
          <w:i/>
          <w:iCs/>
          <w:sz w:val="24"/>
          <w:szCs w:val="24"/>
        </w:rPr>
        <w:t>System</w:t>
      </w:r>
      <w:r w:rsidRPr="00524075">
        <w:rPr>
          <w:rFonts w:eastAsia="Times New Roman"/>
          <w:sz w:val="24"/>
          <w:szCs w:val="24"/>
        </w:rPr>
        <w:t>, in addition to an air gap separation.</w:t>
      </w:r>
    </w:p>
    <w:p w14:paraId="281A7681" w14:textId="77777777" w:rsidR="004647B9" w:rsidRDefault="004647B9">
      <w:pPr>
        <w:sectPr w:rsidR="004647B9" w:rsidSect="00EF630C">
          <w:pgSz w:w="12240" w:h="20180"/>
          <w:pgMar w:top="708" w:right="1440" w:bottom="737" w:left="540" w:header="0" w:footer="0" w:gutter="0"/>
          <w:cols w:space="720"/>
        </w:sectPr>
      </w:pPr>
    </w:p>
    <w:p w14:paraId="281A7682" w14:textId="77777777" w:rsidR="004647B9" w:rsidRDefault="00E2436F">
      <w:pPr>
        <w:tabs>
          <w:tab w:val="left" w:pos="160"/>
        </w:tabs>
        <w:ind w:right="-59"/>
        <w:jc w:val="center"/>
        <w:rPr>
          <w:sz w:val="20"/>
          <w:szCs w:val="20"/>
        </w:rPr>
      </w:pPr>
      <w:bookmarkStart w:id="333" w:name="page337"/>
      <w:bookmarkEnd w:id="33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683" w14:textId="77777777" w:rsidR="004647B9" w:rsidRDefault="004647B9" w:rsidP="00662454">
      <w:pPr>
        <w:rPr>
          <w:sz w:val="20"/>
          <w:szCs w:val="20"/>
        </w:rPr>
      </w:pPr>
    </w:p>
    <w:p w14:paraId="281A7684" w14:textId="77777777" w:rsidR="004647B9" w:rsidRDefault="004647B9" w:rsidP="00662454">
      <w:pPr>
        <w:rPr>
          <w:sz w:val="20"/>
          <w:szCs w:val="20"/>
        </w:rPr>
      </w:pPr>
    </w:p>
    <w:p w14:paraId="281A7685" w14:textId="77777777" w:rsidR="004647B9" w:rsidRPr="00F45A95" w:rsidRDefault="00E2436F" w:rsidP="00662454">
      <w:pPr>
        <w:tabs>
          <w:tab w:val="left" w:pos="760"/>
        </w:tabs>
        <w:rPr>
          <w:sz w:val="24"/>
          <w:szCs w:val="24"/>
        </w:rPr>
      </w:pPr>
      <w:r w:rsidRPr="00F45A95">
        <w:rPr>
          <w:rFonts w:eastAsia="Times New Roman"/>
          <w:sz w:val="24"/>
          <w:szCs w:val="24"/>
        </w:rPr>
        <w:t>22.22:</w:t>
      </w:r>
      <w:r w:rsidRPr="00F45A95">
        <w:rPr>
          <w:rFonts w:eastAsia="Times New Roman"/>
          <w:sz w:val="24"/>
          <w:szCs w:val="24"/>
        </w:rPr>
        <w:tab/>
        <w:t>continued</w:t>
      </w:r>
    </w:p>
    <w:p w14:paraId="281A7686" w14:textId="77777777" w:rsidR="004647B9" w:rsidRDefault="004647B9" w:rsidP="00662454">
      <w:pPr>
        <w:rPr>
          <w:sz w:val="20"/>
          <w:szCs w:val="20"/>
        </w:rPr>
      </w:pPr>
    </w:p>
    <w:p w14:paraId="281A7687" w14:textId="77777777" w:rsidR="004647B9" w:rsidRDefault="00E2436F" w:rsidP="00563A54">
      <w:pPr>
        <w:numPr>
          <w:ilvl w:val="1"/>
          <w:numId w:val="868"/>
        </w:numPr>
        <w:tabs>
          <w:tab w:val="left" w:pos="2149"/>
        </w:tabs>
        <w:ind w:left="1560" w:hanging="5"/>
        <w:jc w:val="both"/>
        <w:rPr>
          <w:rFonts w:eastAsia="Times New Roman"/>
          <w:sz w:val="24"/>
          <w:szCs w:val="24"/>
        </w:rPr>
      </w:pPr>
      <w:r>
        <w:rPr>
          <w:rFonts w:eastAsia="Times New Roman"/>
          <w:sz w:val="24"/>
          <w:szCs w:val="24"/>
          <w:u w:val="single"/>
        </w:rPr>
        <w:t>Barometric Loops</w:t>
      </w:r>
      <w:r>
        <w:rPr>
          <w:rFonts w:eastAsia="Times New Roman"/>
          <w:sz w:val="24"/>
          <w:szCs w:val="24"/>
        </w:rPr>
        <w:t>. Barometric Loops may be used only to protect against back siphonage, shall be approved for use only when no health hazard exists and when back pressure is not possible.</w:t>
      </w:r>
    </w:p>
    <w:p w14:paraId="281A7689" w14:textId="77777777" w:rsidR="004647B9" w:rsidRDefault="00E2436F" w:rsidP="00563A54">
      <w:pPr>
        <w:numPr>
          <w:ilvl w:val="1"/>
          <w:numId w:val="868"/>
        </w:numPr>
        <w:tabs>
          <w:tab w:val="left" w:pos="1975"/>
        </w:tabs>
        <w:ind w:left="1560" w:hanging="5"/>
        <w:jc w:val="both"/>
        <w:rPr>
          <w:rFonts w:eastAsia="Times New Roman"/>
          <w:sz w:val="24"/>
          <w:szCs w:val="24"/>
        </w:rPr>
      </w:pPr>
      <w:r>
        <w:rPr>
          <w:rFonts w:eastAsia="Times New Roman"/>
          <w:sz w:val="24"/>
          <w:szCs w:val="24"/>
          <w:u w:val="single"/>
        </w:rPr>
        <w:t>Air Gap Separation</w:t>
      </w:r>
      <w:r>
        <w:rPr>
          <w:rFonts w:eastAsia="Times New Roman"/>
          <w:sz w:val="24"/>
          <w:szCs w:val="24"/>
        </w:rPr>
        <w:t xml:space="preserve">. Air gap separation may be used to protect against backflow caused by back pressure or back siphonage and to protect a public water supply system from substances which are hazardous to health and shall be approved for use only when installed in accordance with 248 CMR 10.00: </w:t>
      </w:r>
      <w:r>
        <w:rPr>
          <w:rFonts w:eastAsia="Times New Roman"/>
          <w:i/>
          <w:iCs/>
          <w:sz w:val="24"/>
          <w:szCs w:val="24"/>
        </w:rPr>
        <w:t>Uniform State Plumbing Code</w:t>
      </w:r>
      <w:r>
        <w:rPr>
          <w:rFonts w:eastAsia="Times New Roman"/>
          <w:sz w:val="24"/>
          <w:szCs w:val="24"/>
        </w:rPr>
        <w:t>.</w:t>
      </w:r>
    </w:p>
    <w:p w14:paraId="281A768A" w14:textId="77777777" w:rsidR="004647B9" w:rsidRDefault="00E2436F" w:rsidP="00563A54">
      <w:pPr>
        <w:numPr>
          <w:ilvl w:val="1"/>
          <w:numId w:val="868"/>
        </w:numPr>
        <w:tabs>
          <w:tab w:val="left" w:pos="1970"/>
        </w:tabs>
        <w:ind w:left="1560" w:hanging="5"/>
        <w:jc w:val="both"/>
        <w:rPr>
          <w:rFonts w:eastAsia="Times New Roman"/>
          <w:sz w:val="24"/>
          <w:szCs w:val="24"/>
        </w:rPr>
      </w:pPr>
      <w:r>
        <w:rPr>
          <w:rFonts w:eastAsia="Times New Roman"/>
          <w:sz w:val="24"/>
          <w:szCs w:val="24"/>
          <w:u w:val="single"/>
        </w:rPr>
        <w:t>Pit Installation</w:t>
      </w:r>
      <w:r>
        <w:rPr>
          <w:rFonts w:eastAsia="Times New Roman"/>
          <w:sz w:val="24"/>
          <w:szCs w:val="24"/>
        </w:rPr>
        <w:t>. No devices shall be installed in pits except as specifically approved by the Department, its Designee or public water system in cases of unique circumstances, and must comply with 29 CFR 1910.196, OSHA regulations where applicable for work in confined spaces then only as follows:</w:t>
      </w:r>
    </w:p>
    <w:p w14:paraId="281A768B" w14:textId="77777777" w:rsidR="004647B9" w:rsidRDefault="00E2436F" w:rsidP="00563A54">
      <w:pPr>
        <w:numPr>
          <w:ilvl w:val="2"/>
          <w:numId w:val="868"/>
        </w:numPr>
        <w:tabs>
          <w:tab w:val="left" w:pos="2294"/>
        </w:tabs>
        <w:ind w:left="1920" w:hanging="5"/>
        <w:rPr>
          <w:rFonts w:eastAsia="Times New Roman"/>
          <w:sz w:val="24"/>
          <w:szCs w:val="24"/>
        </w:rPr>
      </w:pPr>
      <w:r>
        <w:rPr>
          <w:rFonts w:eastAsia="Times New Roman"/>
          <w:sz w:val="24"/>
          <w:szCs w:val="24"/>
        </w:rPr>
        <w:t>the pit interior shall be a minimum of ten feet long, six feet wide, and must have a clear height 6½ feet high;</w:t>
      </w:r>
    </w:p>
    <w:p w14:paraId="281A768C" w14:textId="77777777" w:rsidR="004647B9" w:rsidRDefault="00E2436F" w:rsidP="00563A54">
      <w:pPr>
        <w:numPr>
          <w:ilvl w:val="2"/>
          <w:numId w:val="868"/>
        </w:numPr>
        <w:tabs>
          <w:tab w:val="left" w:pos="2280"/>
        </w:tabs>
        <w:ind w:left="2280" w:hanging="365"/>
        <w:rPr>
          <w:rFonts w:eastAsia="Times New Roman"/>
          <w:sz w:val="24"/>
          <w:szCs w:val="24"/>
        </w:rPr>
      </w:pPr>
      <w:r>
        <w:rPr>
          <w:rFonts w:eastAsia="Times New Roman"/>
          <w:sz w:val="24"/>
          <w:szCs w:val="24"/>
        </w:rPr>
        <w:t>the pit must be watertight;</w:t>
      </w:r>
    </w:p>
    <w:p w14:paraId="281A768E" w14:textId="77777777" w:rsidR="004647B9" w:rsidRDefault="00E2436F" w:rsidP="00563A54">
      <w:pPr>
        <w:numPr>
          <w:ilvl w:val="2"/>
          <w:numId w:val="868"/>
        </w:numPr>
        <w:tabs>
          <w:tab w:val="left" w:pos="2280"/>
        </w:tabs>
        <w:ind w:left="2280" w:hanging="365"/>
        <w:rPr>
          <w:rFonts w:eastAsia="Times New Roman"/>
          <w:sz w:val="24"/>
          <w:szCs w:val="24"/>
        </w:rPr>
      </w:pPr>
      <w:r>
        <w:rPr>
          <w:rFonts w:eastAsia="Times New Roman"/>
          <w:sz w:val="24"/>
          <w:szCs w:val="24"/>
        </w:rPr>
        <w:t>the pit opening and manhole cover must be at least 30 inches in diameter;</w:t>
      </w:r>
    </w:p>
    <w:p w14:paraId="281A7690" w14:textId="77777777" w:rsidR="004647B9" w:rsidRDefault="00E2436F" w:rsidP="00563A54">
      <w:pPr>
        <w:numPr>
          <w:ilvl w:val="2"/>
          <w:numId w:val="868"/>
        </w:numPr>
        <w:tabs>
          <w:tab w:val="left" w:pos="2287"/>
        </w:tabs>
        <w:ind w:left="1920" w:hanging="5"/>
        <w:jc w:val="both"/>
        <w:rPr>
          <w:rFonts w:eastAsia="Times New Roman"/>
          <w:sz w:val="24"/>
          <w:szCs w:val="24"/>
        </w:rPr>
      </w:pPr>
      <w:r>
        <w:rPr>
          <w:rFonts w:eastAsia="Times New Roman"/>
          <w:sz w:val="24"/>
          <w:szCs w:val="24"/>
        </w:rPr>
        <w:t>The foothold inserts must be of steel, aluminum, or other material approved by the Department, must be a maximum of 12 inches apart, and must be installed so that the top foothold is within 12 inches of the manhole cover and the bottom foothold is within 12 inches of the pit floor;</w:t>
      </w:r>
    </w:p>
    <w:p w14:paraId="281A7691" w14:textId="77777777" w:rsidR="004647B9" w:rsidRDefault="00E2436F" w:rsidP="00563A54">
      <w:pPr>
        <w:numPr>
          <w:ilvl w:val="2"/>
          <w:numId w:val="868"/>
        </w:numPr>
        <w:tabs>
          <w:tab w:val="left" w:pos="2321"/>
        </w:tabs>
        <w:ind w:left="1920" w:hanging="5"/>
        <w:rPr>
          <w:rFonts w:eastAsia="Times New Roman"/>
          <w:sz w:val="24"/>
          <w:szCs w:val="24"/>
        </w:rPr>
      </w:pPr>
      <w:r>
        <w:rPr>
          <w:rFonts w:eastAsia="Times New Roman"/>
          <w:sz w:val="24"/>
          <w:szCs w:val="24"/>
        </w:rPr>
        <w:t>An adequate drain must be installed and the drain line shall not be connected to a sewer;</w:t>
      </w:r>
    </w:p>
    <w:p w14:paraId="281A7692" w14:textId="77777777" w:rsidR="004647B9" w:rsidRDefault="00E2436F" w:rsidP="00563A54">
      <w:pPr>
        <w:numPr>
          <w:ilvl w:val="2"/>
          <w:numId w:val="868"/>
        </w:numPr>
        <w:tabs>
          <w:tab w:val="left" w:pos="2280"/>
        </w:tabs>
        <w:ind w:left="2280" w:hanging="365"/>
        <w:rPr>
          <w:rFonts w:eastAsia="Times New Roman"/>
          <w:sz w:val="24"/>
          <w:szCs w:val="24"/>
        </w:rPr>
      </w:pPr>
      <w:r>
        <w:rPr>
          <w:rFonts w:eastAsia="Times New Roman"/>
          <w:sz w:val="24"/>
          <w:szCs w:val="24"/>
        </w:rPr>
        <w:t>The pit floor shall be pitched to the drain;</w:t>
      </w:r>
    </w:p>
    <w:p w14:paraId="281A7694" w14:textId="77777777" w:rsidR="004647B9" w:rsidRDefault="00E2436F" w:rsidP="00563A54">
      <w:pPr>
        <w:numPr>
          <w:ilvl w:val="2"/>
          <w:numId w:val="868"/>
        </w:numPr>
        <w:tabs>
          <w:tab w:val="left" w:pos="2280"/>
        </w:tabs>
        <w:ind w:left="2280" w:hanging="365"/>
        <w:rPr>
          <w:rFonts w:eastAsia="Times New Roman"/>
          <w:sz w:val="24"/>
          <w:szCs w:val="24"/>
        </w:rPr>
      </w:pPr>
      <w:r>
        <w:rPr>
          <w:rFonts w:eastAsia="Times New Roman"/>
          <w:sz w:val="24"/>
          <w:szCs w:val="24"/>
        </w:rPr>
        <w:t>If built in a roadway, the top of the pit must be adequately reinforced.</w:t>
      </w:r>
    </w:p>
    <w:p w14:paraId="281A7695" w14:textId="77777777" w:rsidR="004647B9" w:rsidRPr="00662454" w:rsidRDefault="004647B9" w:rsidP="00662454">
      <w:pPr>
        <w:rPr>
          <w:rFonts w:eastAsia="Times New Roman"/>
          <w:sz w:val="24"/>
          <w:szCs w:val="24"/>
        </w:rPr>
      </w:pPr>
    </w:p>
    <w:p w14:paraId="281A7696" w14:textId="77777777" w:rsidR="004647B9" w:rsidRPr="00662454" w:rsidRDefault="00E2436F" w:rsidP="00563A54">
      <w:pPr>
        <w:numPr>
          <w:ilvl w:val="0"/>
          <w:numId w:val="869"/>
        </w:numPr>
        <w:tabs>
          <w:tab w:val="left" w:pos="1780"/>
        </w:tabs>
        <w:ind w:left="1780" w:hanging="580"/>
        <w:rPr>
          <w:rFonts w:eastAsia="Times New Roman"/>
          <w:sz w:val="24"/>
          <w:szCs w:val="24"/>
        </w:rPr>
      </w:pPr>
      <w:r w:rsidRPr="00662454">
        <w:rPr>
          <w:rFonts w:eastAsia="Times New Roman"/>
          <w:sz w:val="24"/>
          <w:szCs w:val="24"/>
          <w:u w:val="single"/>
        </w:rPr>
        <w:t>Cross Connection Certification</w:t>
      </w:r>
    </w:p>
    <w:p w14:paraId="281A7698" w14:textId="77777777" w:rsidR="004647B9" w:rsidRPr="00662454" w:rsidRDefault="00E2436F" w:rsidP="00563A54">
      <w:pPr>
        <w:numPr>
          <w:ilvl w:val="1"/>
          <w:numId w:val="869"/>
        </w:numPr>
        <w:tabs>
          <w:tab w:val="left" w:pos="1961"/>
        </w:tabs>
        <w:ind w:left="1560" w:hanging="5"/>
        <w:jc w:val="both"/>
        <w:rPr>
          <w:rFonts w:eastAsia="Times New Roman"/>
          <w:sz w:val="24"/>
          <w:szCs w:val="24"/>
        </w:rPr>
      </w:pPr>
      <w:r w:rsidRPr="00662454">
        <w:rPr>
          <w:rFonts w:eastAsia="Times New Roman"/>
          <w:sz w:val="24"/>
          <w:szCs w:val="24"/>
          <w:u w:val="single"/>
        </w:rPr>
        <w:t>Cross Connection Backflow Prevention Device Tester</w:t>
      </w:r>
      <w:r w:rsidRPr="00662454">
        <w:rPr>
          <w:rFonts w:eastAsia="Times New Roman"/>
          <w:sz w:val="24"/>
          <w:szCs w:val="24"/>
        </w:rPr>
        <w:t>. Any person seeking Department certifications as a Backflow Prevention Device Tester in the Commonwealth of Massachusetts shall meet all of the following requirements:</w:t>
      </w:r>
    </w:p>
    <w:p w14:paraId="281A769A" w14:textId="77777777" w:rsidR="004647B9" w:rsidRPr="00662454" w:rsidRDefault="00E2436F" w:rsidP="00563A54">
      <w:pPr>
        <w:numPr>
          <w:ilvl w:val="2"/>
          <w:numId w:val="869"/>
        </w:numPr>
        <w:tabs>
          <w:tab w:val="left" w:pos="2436"/>
        </w:tabs>
        <w:ind w:left="1920" w:hanging="5"/>
        <w:rPr>
          <w:rFonts w:eastAsia="Times New Roman"/>
          <w:sz w:val="24"/>
          <w:szCs w:val="24"/>
        </w:rPr>
      </w:pPr>
      <w:r w:rsidRPr="00662454">
        <w:rPr>
          <w:rFonts w:eastAsia="Times New Roman"/>
          <w:sz w:val="24"/>
          <w:szCs w:val="24"/>
        </w:rPr>
        <w:t>pass a written and practical certification examination which is approved by the Department for "Backflow Prevention Device Tester".</w:t>
      </w:r>
    </w:p>
    <w:p w14:paraId="281A769B" w14:textId="77777777" w:rsidR="004647B9" w:rsidRPr="00662454" w:rsidRDefault="00E2436F" w:rsidP="00563A54">
      <w:pPr>
        <w:numPr>
          <w:ilvl w:val="2"/>
          <w:numId w:val="869"/>
        </w:numPr>
        <w:tabs>
          <w:tab w:val="left" w:pos="2282"/>
        </w:tabs>
        <w:ind w:left="1920" w:hanging="5"/>
        <w:jc w:val="both"/>
        <w:rPr>
          <w:rFonts w:eastAsia="Times New Roman"/>
          <w:sz w:val="24"/>
          <w:szCs w:val="24"/>
        </w:rPr>
      </w:pPr>
      <w:r w:rsidRPr="00662454">
        <w:rPr>
          <w:rFonts w:eastAsia="Times New Roman"/>
          <w:sz w:val="24"/>
          <w:szCs w:val="24"/>
        </w:rPr>
        <w:t>apply to the Department for certification on the form provided by the Department. This submittal must include payment of the certification fee established by the Department.</w:t>
      </w:r>
    </w:p>
    <w:p w14:paraId="281A769D" w14:textId="1D10F5DB" w:rsidR="004647B9" w:rsidRPr="00662454" w:rsidRDefault="00E2436F" w:rsidP="00563A54">
      <w:pPr>
        <w:numPr>
          <w:ilvl w:val="2"/>
          <w:numId w:val="869"/>
        </w:numPr>
        <w:tabs>
          <w:tab w:val="left" w:pos="2302"/>
        </w:tabs>
        <w:ind w:left="1920" w:hanging="5"/>
        <w:jc w:val="both"/>
        <w:rPr>
          <w:rFonts w:eastAsia="Times New Roman"/>
          <w:sz w:val="24"/>
          <w:szCs w:val="24"/>
        </w:rPr>
      </w:pPr>
      <w:r w:rsidRPr="00662454">
        <w:rPr>
          <w:rFonts w:eastAsia="Times New Roman"/>
          <w:sz w:val="24"/>
          <w:szCs w:val="24"/>
        </w:rPr>
        <w:t>Application for certification must be submitted to the Department no later than 12 mo</w:t>
      </w:r>
      <w:r w:rsidR="00700501">
        <w:rPr>
          <w:rFonts w:eastAsia="Times New Roman"/>
          <w:sz w:val="24"/>
          <w:szCs w:val="24"/>
        </w:rPr>
        <w:t>n</w:t>
      </w:r>
      <w:r w:rsidRPr="00662454">
        <w:rPr>
          <w:rFonts w:eastAsia="Times New Roman"/>
          <w:sz w:val="24"/>
          <w:szCs w:val="24"/>
        </w:rPr>
        <w:t>ths after the date the applicant received notice of passing a Department approved examination.</w:t>
      </w:r>
    </w:p>
    <w:p w14:paraId="281A769F" w14:textId="77777777" w:rsidR="004647B9" w:rsidRPr="00662454" w:rsidRDefault="00E2436F" w:rsidP="00563A54">
      <w:pPr>
        <w:numPr>
          <w:ilvl w:val="1"/>
          <w:numId w:val="869"/>
        </w:numPr>
        <w:tabs>
          <w:tab w:val="left" w:pos="1999"/>
        </w:tabs>
        <w:ind w:left="1560" w:hanging="5"/>
        <w:jc w:val="both"/>
        <w:rPr>
          <w:rFonts w:eastAsia="Times New Roman"/>
          <w:sz w:val="24"/>
          <w:szCs w:val="24"/>
        </w:rPr>
      </w:pPr>
      <w:r w:rsidRPr="00662454">
        <w:rPr>
          <w:rFonts w:eastAsia="Times New Roman"/>
          <w:sz w:val="24"/>
          <w:szCs w:val="24"/>
          <w:u w:val="single"/>
        </w:rPr>
        <w:t>Cross Connection Control Surveyor</w:t>
      </w:r>
      <w:r w:rsidRPr="00662454">
        <w:rPr>
          <w:rFonts w:eastAsia="Times New Roman"/>
          <w:sz w:val="24"/>
          <w:szCs w:val="24"/>
        </w:rPr>
        <w:t>. Any person seeking Department certification as a Cross Connection Surveyor in the Commonwealth of Massachusetts shall meet all of the following requirements:</w:t>
      </w:r>
    </w:p>
    <w:p w14:paraId="281A76A1" w14:textId="77777777" w:rsidR="004647B9" w:rsidRPr="00662454" w:rsidRDefault="00E2436F" w:rsidP="00563A54">
      <w:pPr>
        <w:numPr>
          <w:ilvl w:val="2"/>
          <w:numId w:val="869"/>
        </w:numPr>
        <w:tabs>
          <w:tab w:val="left" w:pos="2374"/>
        </w:tabs>
        <w:ind w:left="1920" w:hanging="5"/>
        <w:rPr>
          <w:rFonts w:eastAsia="Times New Roman"/>
          <w:sz w:val="24"/>
          <w:szCs w:val="24"/>
        </w:rPr>
      </w:pPr>
      <w:r w:rsidRPr="00662454">
        <w:rPr>
          <w:rFonts w:eastAsia="Times New Roman"/>
          <w:sz w:val="24"/>
          <w:szCs w:val="24"/>
        </w:rPr>
        <w:t>Pass a written examination approved by the Department for Cross Connection Control Surveyor".</w:t>
      </w:r>
    </w:p>
    <w:p w14:paraId="281A76A2" w14:textId="77777777" w:rsidR="004647B9" w:rsidRPr="00662454" w:rsidRDefault="00E2436F" w:rsidP="00563A54">
      <w:pPr>
        <w:numPr>
          <w:ilvl w:val="2"/>
          <w:numId w:val="869"/>
        </w:numPr>
        <w:tabs>
          <w:tab w:val="left" w:pos="2280"/>
        </w:tabs>
        <w:ind w:left="1920" w:hanging="5"/>
        <w:jc w:val="both"/>
        <w:rPr>
          <w:rFonts w:eastAsia="Times New Roman"/>
          <w:sz w:val="24"/>
          <w:szCs w:val="24"/>
        </w:rPr>
      </w:pPr>
      <w:r w:rsidRPr="00662454">
        <w:rPr>
          <w:rFonts w:eastAsia="Times New Roman"/>
          <w:sz w:val="24"/>
          <w:szCs w:val="24"/>
        </w:rPr>
        <w:t>Apply to the Department for certification on the form provided by the Department. This submittal must include payment of the certification fee established by the Department.</w:t>
      </w:r>
    </w:p>
    <w:p w14:paraId="281A76A4" w14:textId="77777777" w:rsidR="004647B9" w:rsidRPr="00662454" w:rsidRDefault="00E2436F" w:rsidP="00563A54">
      <w:pPr>
        <w:numPr>
          <w:ilvl w:val="2"/>
          <w:numId w:val="869"/>
        </w:numPr>
        <w:tabs>
          <w:tab w:val="left" w:pos="2302"/>
        </w:tabs>
        <w:ind w:left="1920" w:hanging="5"/>
        <w:jc w:val="both"/>
        <w:rPr>
          <w:rFonts w:eastAsia="Times New Roman"/>
          <w:sz w:val="24"/>
          <w:szCs w:val="24"/>
        </w:rPr>
      </w:pPr>
      <w:r w:rsidRPr="00662454">
        <w:rPr>
          <w:rFonts w:eastAsia="Times New Roman"/>
          <w:sz w:val="24"/>
          <w:szCs w:val="24"/>
        </w:rPr>
        <w:t>Application for certification must be submitted to the Department no later than 12 months after the date the applicant received notice of passing a Department approved examination.</w:t>
      </w:r>
    </w:p>
    <w:p w14:paraId="281A76A6" w14:textId="6E79E6A6" w:rsidR="004647B9" w:rsidRPr="00662454" w:rsidRDefault="00E2436F" w:rsidP="00563A54">
      <w:pPr>
        <w:numPr>
          <w:ilvl w:val="1"/>
          <w:numId w:val="869"/>
        </w:numPr>
        <w:tabs>
          <w:tab w:val="left" w:pos="2011"/>
        </w:tabs>
        <w:ind w:left="1560" w:hanging="5"/>
        <w:rPr>
          <w:rFonts w:eastAsia="Times New Roman"/>
          <w:sz w:val="24"/>
          <w:szCs w:val="24"/>
        </w:rPr>
      </w:pPr>
      <w:r w:rsidRPr="00662454">
        <w:rPr>
          <w:rFonts w:eastAsia="Times New Roman"/>
          <w:sz w:val="24"/>
          <w:szCs w:val="24"/>
        </w:rPr>
        <w:t>Any person, upon satisfying the requirements of 310 CMR 22.22(1</w:t>
      </w:r>
      <w:r w:rsidR="00302D2C">
        <w:rPr>
          <w:rFonts w:eastAsia="Times New Roman"/>
          <w:sz w:val="24"/>
          <w:szCs w:val="24"/>
        </w:rPr>
        <w:t>2</w:t>
      </w:r>
      <w:r w:rsidRPr="00662454">
        <w:rPr>
          <w:rFonts w:eastAsia="Times New Roman"/>
          <w:sz w:val="24"/>
          <w:szCs w:val="24"/>
        </w:rPr>
        <w:t>)(a), shall receive from the Department a certificate which indicates that he or she is a:</w:t>
      </w:r>
    </w:p>
    <w:p w14:paraId="281A76A7" w14:textId="77777777" w:rsidR="004647B9" w:rsidRPr="00662454" w:rsidRDefault="00E2436F" w:rsidP="00563A54">
      <w:pPr>
        <w:numPr>
          <w:ilvl w:val="2"/>
          <w:numId w:val="869"/>
        </w:numPr>
        <w:tabs>
          <w:tab w:val="left" w:pos="2280"/>
        </w:tabs>
        <w:ind w:left="2280" w:hanging="365"/>
        <w:rPr>
          <w:rFonts w:eastAsia="Times New Roman"/>
          <w:sz w:val="24"/>
          <w:szCs w:val="24"/>
        </w:rPr>
      </w:pPr>
      <w:r w:rsidRPr="00662454">
        <w:rPr>
          <w:rFonts w:eastAsia="Times New Roman"/>
          <w:sz w:val="24"/>
          <w:szCs w:val="24"/>
        </w:rPr>
        <w:t>Certified Backflow Prevention Device Tester; or</w:t>
      </w:r>
    </w:p>
    <w:p w14:paraId="281A76A9" w14:textId="77777777" w:rsidR="004647B9" w:rsidRPr="00662454" w:rsidRDefault="00E2436F" w:rsidP="00700501">
      <w:pPr>
        <w:numPr>
          <w:ilvl w:val="2"/>
          <w:numId w:val="869"/>
        </w:numPr>
        <w:tabs>
          <w:tab w:val="left" w:pos="2280"/>
        </w:tabs>
        <w:ind w:left="2280" w:hanging="365"/>
        <w:rPr>
          <w:rFonts w:eastAsia="Times New Roman"/>
          <w:sz w:val="24"/>
          <w:szCs w:val="24"/>
        </w:rPr>
      </w:pPr>
      <w:r w:rsidRPr="00662454">
        <w:rPr>
          <w:rFonts w:eastAsia="Times New Roman"/>
          <w:sz w:val="24"/>
          <w:szCs w:val="24"/>
        </w:rPr>
        <w:t>Certified Cross Connection Surveyor; or</w:t>
      </w:r>
    </w:p>
    <w:p w14:paraId="281A76AB" w14:textId="77777777" w:rsidR="004647B9" w:rsidRPr="00662454" w:rsidRDefault="00E2436F" w:rsidP="00905F85">
      <w:pPr>
        <w:numPr>
          <w:ilvl w:val="2"/>
          <w:numId w:val="869"/>
        </w:numPr>
        <w:tabs>
          <w:tab w:val="left" w:pos="2275"/>
        </w:tabs>
        <w:ind w:left="1920" w:hanging="5"/>
        <w:rPr>
          <w:rFonts w:eastAsia="Times New Roman"/>
          <w:sz w:val="24"/>
          <w:szCs w:val="24"/>
        </w:rPr>
      </w:pPr>
      <w:r w:rsidRPr="00662454">
        <w:rPr>
          <w:rFonts w:eastAsia="Times New Roman"/>
          <w:sz w:val="24"/>
          <w:szCs w:val="24"/>
        </w:rPr>
        <w:t>Combination Certified Backflow Prevention Device Tester/Certified Cross Connection Surveyor.</w:t>
      </w:r>
    </w:p>
    <w:p w14:paraId="281A76AC" w14:textId="77777777" w:rsidR="004647B9" w:rsidRPr="00662454" w:rsidRDefault="00E2436F" w:rsidP="00563A54">
      <w:pPr>
        <w:numPr>
          <w:ilvl w:val="1"/>
          <w:numId w:val="869"/>
        </w:numPr>
        <w:tabs>
          <w:tab w:val="left" w:pos="2020"/>
        </w:tabs>
        <w:ind w:left="2020" w:hanging="465"/>
        <w:rPr>
          <w:rFonts w:eastAsia="Times New Roman"/>
          <w:sz w:val="24"/>
          <w:szCs w:val="24"/>
        </w:rPr>
      </w:pPr>
      <w:r w:rsidRPr="00662454">
        <w:rPr>
          <w:rFonts w:eastAsia="Times New Roman"/>
          <w:sz w:val="24"/>
          <w:szCs w:val="24"/>
        </w:rPr>
        <w:t>All certificates will remain valid for three years from the date of issuance.</w:t>
      </w:r>
    </w:p>
    <w:p w14:paraId="281A76AE" w14:textId="77777777" w:rsidR="004647B9" w:rsidRPr="00662454" w:rsidRDefault="00E2436F" w:rsidP="00563A54">
      <w:pPr>
        <w:numPr>
          <w:ilvl w:val="1"/>
          <w:numId w:val="869"/>
        </w:numPr>
        <w:tabs>
          <w:tab w:val="left" w:pos="2054"/>
        </w:tabs>
        <w:ind w:left="1560" w:hanging="5"/>
        <w:jc w:val="both"/>
        <w:rPr>
          <w:rFonts w:eastAsia="Times New Roman"/>
          <w:sz w:val="24"/>
          <w:szCs w:val="24"/>
        </w:rPr>
      </w:pPr>
      <w:r w:rsidRPr="00662454">
        <w:rPr>
          <w:rFonts w:eastAsia="Times New Roman"/>
          <w:sz w:val="24"/>
          <w:szCs w:val="24"/>
          <w:u w:val="single"/>
        </w:rPr>
        <w:t>Renewal of Certification</w:t>
      </w:r>
      <w:r w:rsidRPr="00662454">
        <w:rPr>
          <w:rFonts w:eastAsia="Times New Roman"/>
          <w:sz w:val="24"/>
          <w:szCs w:val="24"/>
        </w:rPr>
        <w:t>. Any Certified Backflow Prevention Device Tester, Cross Connection Surveyor or person holding a valid Combination Certificate who desires to renew his or her certification must submit a renewal application including any renewal fee and prerequisites, no later than one month prior to the expiration date of his or her certificate.</w:t>
      </w:r>
    </w:p>
    <w:p w14:paraId="281A76AF" w14:textId="77777777" w:rsidR="004647B9" w:rsidRDefault="004647B9">
      <w:pPr>
        <w:sectPr w:rsidR="004647B9" w:rsidSect="00EF630C">
          <w:pgSz w:w="12240" w:h="20180"/>
          <w:pgMar w:top="708" w:right="1440" w:bottom="1440" w:left="540" w:header="0" w:footer="0" w:gutter="0"/>
          <w:cols w:space="720"/>
        </w:sectPr>
      </w:pPr>
    </w:p>
    <w:p w14:paraId="281A76B0" w14:textId="77777777" w:rsidR="004647B9" w:rsidRPr="00DE439C" w:rsidRDefault="00E2436F" w:rsidP="00DE439C">
      <w:pPr>
        <w:tabs>
          <w:tab w:val="left" w:pos="160"/>
        </w:tabs>
        <w:ind w:right="-59"/>
        <w:jc w:val="center"/>
        <w:rPr>
          <w:sz w:val="24"/>
          <w:szCs w:val="24"/>
        </w:rPr>
      </w:pPr>
      <w:bookmarkStart w:id="334" w:name="page338"/>
      <w:bookmarkEnd w:id="334"/>
      <w:r w:rsidRPr="00DE439C">
        <w:rPr>
          <w:rFonts w:eastAsia="Times New Roman"/>
          <w:sz w:val="24"/>
          <w:szCs w:val="24"/>
        </w:rPr>
        <w:lastRenderedPageBreak/>
        <w:t>310 CMR:</w:t>
      </w:r>
      <w:r w:rsidRPr="00DE439C">
        <w:rPr>
          <w:sz w:val="24"/>
          <w:szCs w:val="24"/>
        </w:rPr>
        <w:tab/>
      </w:r>
      <w:r w:rsidRPr="00DE439C">
        <w:rPr>
          <w:rFonts w:eastAsia="Times New Roman"/>
          <w:sz w:val="24"/>
          <w:szCs w:val="24"/>
        </w:rPr>
        <w:t>DEPARTMENT OF ENVIRONMENTAL PROTECTION</w:t>
      </w:r>
    </w:p>
    <w:p w14:paraId="281A76B1" w14:textId="77777777" w:rsidR="004647B9" w:rsidRPr="00F462E8" w:rsidRDefault="004647B9" w:rsidP="00DE439C">
      <w:pPr>
        <w:rPr>
          <w:sz w:val="20"/>
          <w:szCs w:val="20"/>
        </w:rPr>
      </w:pPr>
    </w:p>
    <w:p w14:paraId="281A76B2" w14:textId="77777777" w:rsidR="004647B9" w:rsidRPr="00F462E8" w:rsidRDefault="004647B9" w:rsidP="00DE439C">
      <w:pPr>
        <w:rPr>
          <w:sz w:val="20"/>
          <w:szCs w:val="20"/>
        </w:rPr>
      </w:pPr>
    </w:p>
    <w:p w14:paraId="281A76B3" w14:textId="77777777" w:rsidR="004647B9" w:rsidRPr="00DE439C" w:rsidRDefault="00E2436F" w:rsidP="00DE439C">
      <w:pPr>
        <w:tabs>
          <w:tab w:val="left" w:pos="760"/>
        </w:tabs>
        <w:rPr>
          <w:sz w:val="24"/>
          <w:szCs w:val="24"/>
        </w:rPr>
      </w:pPr>
      <w:r w:rsidRPr="00DE439C">
        <w:rPr>
          <w:rFonts w:eastAsia="Times New Roman"/>
          <w:sz w:val="24"/>
          <w:szCs w:val="24"/>
        </w:rPr>
        <w:t>22.22:</w:t>
      </w:r>
      <w:r w:rsidRPr="00DE439C">
        <w:rPr>
          <w:rFonts w:eastAsia="Times New Roman"/>
          <w:sz w:val="24"/>
          <w:szCs w:val="24"/>
        </w:rPr>
        <w:tab/>
        <w:t>continued</w:t>
      </w:r>
    </w:p>
    <w:p w14:paraId="281A76B4" w14:textId="77777777" w:rsidR="004647B9" w:rsidRPr="00F462E8" w:rsidRDefault="004647B9" w:rsidP="00DE439C">
      <w:pPr>
        <w:rPr>
          <w:sz w:val="20"/>
          <w:szCs w:val="20"/>
        </w:rPr>
      </w:pPr>
    </w:p>
    <w:p w14:paraId="281A76B5" w14:textId="77777777" w:rsidR="004647B9" w:rsidRPr="00DE439C" w:rsidRDefault="00E2436F" w:rsidP="00563A54">
      <w:pPr>
        <w:numPr>
          <w:ilvl w:val="2"/>
          <w:numId w:val="870"/>
        </w:numPr>
        <w:tabs>
          <w:tab w:val="left" w:pos="2287"/>
        </w:tabs>
        <w:ind w:left="1920" w:hanging="5"/>
        <w:jc w:val="both"/>
        <w:rPr>
          <w:rFonts w:eastAsia="Times New Roman"/>
          <w:sz w:val="24"/>
          <w:szCs w:val="24"/>
        </w:rPr>
      </w:pPr>
      <w:r w:rsidRPr="00DE439C">
        <w:rPr>
          <w:rFonts w:eastAsia="Times New Roman"/>
          <w:sz w:val="24"/>
          <w:szCs w:val="24"/>
          <w:u w:val="single"/>
        </w:rPr>
        <w:t>Backflow Prevention Device Testers</w:t>
      </w:r>
      <w:r w:rsidRPr="00DE439C">
        <w:rPr>
          <w:rFonts w:eastAsia="Times New Roman"/>
          <w:sz w:val="24"/>
          <w:szCs w:val="24"/>
        </w:rPr>
        <w:t>. Persons applying for renewal shall complete at least 24 inspections/tests of backflow prevention devices and obtain a least three training contact hours (TCH) in the past three years. Proof of inspections and TCH shall accompany the application.</w:t>
      </w:r>
    </w:p>
    <w:p w14:paraId="281A76B6" w14:textId="77777777" w:rsidR="004647B9" w:rsidRPr="00DE439C" w:rsidRDefault="00E2436F" w:rsidP="00563A54">
      <w:pPr>
        <w:numPr>
          <w:ilvl w:val="2"/>
          <w:numId w:val="870"/>
        </w:numPr>
        <w:tabs>
          <w:tab w:val="left" w:pos="2316"/>
        </w:tabs>
        <w:ind w:left="1920" w:hanging="5"/>
        <w:jc w:val="both"/>
        <w:rPr>
          <w:rFonts w:eastAsia="Times New Roman"/>
          <w:sz w:val="24"/>
          <w:szCs w:val="24"/>
        </w:rPr>
      </w:pPr>
      <w:r w:rsidRPr="00DE439C">
        <w:rPr>
          <w:rFonts w:eastAsia="Times New Roman"/>
          <w:sz w:val="24"/>
          <w:szCs w:val="24"/>
          <w:u w:val="single"/>
        </w:rPr>
        <w:t>Cross Connection Surveyor</w:t>
      </w:r>
      <w:r w:rsidRPr="00DE439C">
        <w:rPr>
          <w:rFonts w:eastAsia="Times New Roman"/>
          <w:sz w:val="24"/>
          <w:szCs w:val="24"/>
        </w:rPr>
        <w:t>. Persons applying for renewal shall complete at least three cross connection surveys and obtain a least three training contact hours (TCH) in the past three years. Proof of surveys and TCH shall accompany the application.</w:t>
      </w:r>
    </w:p>
    <w:p w14:paraId="281A76B8" w14:textId="77777777" w:rsidR="004647B9" w:rsidRPr="00DE439C" w:rsidRDefault="00E2436F" w:rsidP="00563A54">
      <w:pPr>
        <w:numPr>
          <w:ilvl w:val="1"/>
          <w:numId w:val="871"/>
        </w:numPr>
        <w:tabs>
          <w:tab w:val="left" w:pos="1913"/>
        </w:tabs>
        <w:ind w:left="1560" w:hanging="5"/>
        <w:jc w:val="both"/>
        <w:rPr>
          <w:rFonts w:eastAsia="Times New Roman"/>
          <w:sz w:val="24"/>
          <w:szCs w:val="24"/>
        </w:rPr>
      </w:pPr>
      <w:r w:rsidRPr="00DE439C">
        <w:rPr>
          <w:rFonts w:eastAsia="Times New Roman"/>
          <w:sz w:val="24"/>
          <w:szCs w:val="24"/>
        </w:rPr>
        <w:t>Persons failing to meet the certification renewal requirements at 310 CMR 22.22(13)(e)1. and/or 2. within three years from the date that the certification expired must retake an examination approved by the Department for renewal.</w:t>
      </w:r>
    </w:p>
    <w:p w14:paraId="281A76BA" w14:textId="213CFFD4" w:rsidR="004647B9" w:rsidRPr="00DE439C" w:rsidRDefault="00E2436F" w:rsidP="00563A54">
      <w:pPr>
        <w:numPr>
          <w:ilvl w:val="1"/>
          <w:numId w:val="871"/>
        </w:numPr>
        <w:tabs>
          <w:tab w:val="left" w:pos="2031"/>
        </w:tabs>
        <w:ind w:left="1560" w:hanging="5"/>
        <w:jc w:val="both"/>
        <w:rPr>
          <w:rFonts w:eastAsia="Times New Roman"/>
          <w:sz w:val="24"/>
          <w:szCs w:val="24"/>
        </w:rPr>
      </w:pPr>
      <w:r w:rsidRPr="00DE439C">
        <w:rPr>
          <w:rFonts w:eastAsia="Times New Roman"/>
          <w:sz w:val="24"/>
          <w:szCs w:val="24"/>
          <w:u w:val="single"/>
        </w:rPr>
        <w:t>Recertif</w:t>
      </w:r>
      <w:r w:rsidR="00650239">
        <w:rPr>
          <w:rFonts w:eastAsia="Times New Roman"/>
          <w:sz w:val="24"/>
          <w:szCs w:val="24"/>
          <w:u w:val="single"/>
        </w:rPr>
        <w:t>i</w:t>
      </w:r>
      <w:r w:rsidRPr="00DE439C">
        <w:rPr>
          <w:rFonts w:eastAsia="Times New Roman"/>
          <w:sz w:val="24"/>
          <w:szCs w:val="24"/>
          <w:u w:val="single"/>
        </w:rPr>
        <w:t>cation Requirements</w:t>
      </w:r>
      <w:r w:rsidRPr="00DE439C">
        <w:rPr>
          <w:rFonts w:eastAsia="Times New Roman"/>
          <w:sz w:val="24"/>
          <w:szCs w:val="24"/>
        </w:rPr>
        <w:t>. Persons failing to renew their certification within three years from the date that the certificate expired, must retake an examination approved by the Department for recertification.</w:t>
      </w:r>
    </w:p>
    <w:p w14:paraId="281A76BC" w14:textId="77777777" w:rsidR="004647B9" w:rsidRPr="00DE439C" w:rsidRDefault="00E2436F" w:rsidP="00563A54">
      <w:pPr>
        <w:numPr>
          <w:ilvl w:val="1"/>
          <w:numId w:val="871"/>
        </w:numPr>
        <w:tabs>
          <w:tab w:val="left" w:pos="1977"/>
        </w:tabs>
        <w:ind w:left="1560" w:hanging="5"/>
        <w:rPr>
          <w:rFonts w:eastAsia="Times New Roman"/>
          <w:sz w:val="24"/>
          <w:szCs w:val="24"/>
        </w:rPr>
      </w:pPr>
      <w:r w:rsidRPr="00DE439C">
        <w:rPr>
          <w:rFonts w:eastAsia="Times New Roman"/>
          <w:sz w:val="24"/>
          <w:szCs w:val="24"/>
        </w:rPr>
        <w:t>Persons holding both a valid Backflow Prevention Device Testers certificate and a valid Cross Connection Surveyor certificate shall be issued a Combination Certificate.</w:t>
      </w:r>
    </w:p>
    <w:p w14:paraId="281A76BD" w14:textId="77777777" w:rsidR="004647B9" w:rsidRPr="00DE439C" w:rsidRDefault="00E2436F" w:rsidP="00563A54">
      <w:pPr>
        <w:numPr>
          <w:ilvl w:val="1"/>
          <w:numId w:val="871"/>
        </w:numPr>
        <w:tabs>
          <w:tab w:val="left" w:pos="1994"/>
        </w:tabs>
        <w:ind w:left="1560" w:hanging="5"/>
        <w:jc w:val="both"/>
        <w:rPr>
          <w:rFonts w:eastAsia="Times New Roman"/>
          <w:sz w:val="24"/>
          <w:szCs w:val="24"/>
        </w:rPr>
      </w:pPr>
      <w:r w:rsidRPr="00DE439C">
        <w:rPr>
          <w:rFonts w:eastAsia="Times New Roman"/>
          <w:sz w:val="24"/>
          <w:szCs w:val="24"/>
        </w:rPr>
        <w:t>Persons holding a combination certification shall satisfy all the renewal requirements stated at 310 CMR 22.22(12)(e), except for the TCH requirements. Only three TCH will be required for a combination certificate.</w:t>
      </w:r>
    </w:p>
    <w:p w14:paraId="281A76BE" w14:textId="77777777" w:rsidR="004647B9" w:rsidRPr="00DE439C" w:rsidRDefault="004647B9" w:rsidP="00DE439C">
      <w:pPr>
        <w:rPr>
          <w:rFonts w:eastAsia="Times New Roman"/>
          <w:sz w:val="24"/>
          <w:szCs w:val="24"/>
        </w:rPr>
      </w:pPr>
    </w:p>
    <w:p w14:paraId="281A76BF" w14:textId="77777777" w:rsidR="004647B9" w:rsidRPr="00DE439C" w:rsidRDefault="00E2436F" w:rsidP="00563A54">
      <w:pPr>
        <w:numPr>
          <w:ilvl w:val="0"/>
          <w:numId w:val="872"/>
        </w:numPr>
        <w:tabs>
          <w:tab w:val="left" w:pos="1780"/>
        </w:tabs>
        <w:ind w:left="1780" w:hanging="520"/>
        <w:rPr>
          <w:rFonts w:eastAsia="Times New Roman"/>
          <w:sz w:val="24"/>
          <w:szCs w:val="24"/>
        </w:rPr>
      </w:pPr>
      <w:r w:rsidRPr="00DE439C">
        <w:rPr>
          <w:rFonts w:eastAsia="Times New Roman"/>
          <w:sz w:val="24"/>
          <w:szCs w:val="24"/>
          <w:u w:val="single"/>
        </w:rPr>
        <w:t>Inspection Surveying, Testing and Overhauling of Devices</w:t>
      </w:r>
      <w:r w:rsidRPr="00DE439C">
        <w:rPr>
          <w:rFonts w:eastAsia="Times New Roman"/>
          <w:sz w:val="24"/>
          <w:szCs w:val="24"/>
        </w:rPr>
        <w:t>.</w:t>
      </w:r>
    </w:p>
    <w:p w14:paraId="281A76C1" w14:textId="77777777" w:rsidR="004647B9" w:rsidRPr="00DE439C" w:rsidRDefault="00E2436F" w:rsidP="00563A54">
      <w:pPr>
        <w:numPr>
          <w:ilvl w:val="1"/>
          <w:numId w:val="872"/>
        </w:numPr>
        <w:tabs>
          <w:tab w:val="left" w:pos="2042"/>
        </w:tabs>
        <w:ind w:left="1560" w:hanging="5"/>
        <w:jc w:val="both"/>
        <w:rPr>
          <w:rFonts w:eastAsia="Times New Roman"/>
          <w:sz w:val="24"/>
          <w:szCs w:val="24"/>
        </w:rPr>
      </w:pPr>
      <w:r w:rsidRPr="00DE439C">
        <w:rPr>
          <w:rFonts w:eastAsia="Times New Roman"/>
          <w:sz w:val="24"/>
          <w:szCs w:val="24"/>
        </w:rPr>
        <w:t>All cross connection surveys shall be conducted by a person who is a Massachusetts Certified Cross Connection Surveyor. All backflow prevention device tests shall be conducted by a certified Backflow Prevention Device Tester in accordance with 310 CMR 22.22. A person holding a Combination Certification may conduct a cross connection survey and/or backflow prevention test.</w:t>
      </w:r>
    </w:p>
    <w:p w14:paraId="281A76C3" w14:textId="77777777" w:rsidR="004647B9" w:rsidRPr="00DE439C" w:rsidRDefault="00E2436F" w:rsidP="00563A54">
      <w:pPr>
        <w:numPr>
          <w:ilvl w:val="1"/>
          <w:numId w:val="872"/>
        </w:numPr>
        <w:tabs>
          <w:tab w:val="left" w:pos="2113"/>
        </w:tabs>
        <w:ind w:left="1560" w:hanging="5"/>
        <w:jc w:val="both"/>
        <w:rPr>
          <w:rFonts w:eastAsia="Times New Roman"/>
          <w:sz w:val="24"/>
          <w:szCs w:val="24"/>
        </w:rPr>
      </w:pPr>
      <w:r w:rsidRPr="00DE439C">
        <w:rPr>
          <w:rFonts w:eastAsia="Times New Roman"/>
          <w:sz w:val="24"/>
          <w:szCs w:val="24"/>
        </w:rPr>
        <w:t>Within 14 calendar days after the installation of devices in accordance with plans reviewed and approved by the reviewing authority, the owner or owner's agent shall notify the public water system to arrange for the inspection of the installation.</w:t>
      </w:r>
    </w:p>
    <w:p w14:paraId="281A76C5" w14:textId="77777777" w:rsidR="004647B9" w:rsidRPr="00DE439C" w:rsidRDefault="00E2436F" w:rsidP="00563A54">
      <w:pPr>
        <w:numPr>
          <w:ilvl w:val="1"/>
          <w:numId w:val="872"/>
        </w:numPr>
        <w:tabs>
          <w:tab w:val="left" w:pos="1939"/>
        </w:tabs>
        <w:ind w:left="1560" w:hanging="5"/>
        <w:rPr>
          <w:rFonts w:eastAsia="Times New Roman"/>
          <w:sz w:val="24"/>
          <w:szCs w:val="24"/>
        </w:rPr>
      </w:pPr>
      <w:r w:rsidRPr="00DE439C">
        <w:rPr>
          <w:rFonts w:eastAsia="Times New Roman"/>
          <w:sz w:val="24"/>
          <w:szCs w:val="24"/>
        </w:rPr>
        <w:t>Reduced pressure backflow preventers, double check valve assemblies, may be inspected and tested by the Department, its designee or the public water system at any time.</w:t>
      </w:r>
    </w:p>
    <w:p w14:paraId="281A76C7" w14:textId="77777777" w:rsidR="004647B9" w:rsidRPr="00DE439C" w:rsidRDefault="00E2436F" w:rsidP="00563A54">
      <w:pPr>
        <w:numPr>
          <w:ilvl w:val="1"/>
          <w:numId w:val="872"/>
        </w:numPr>
        <w:tabs>
          <w:tab w:val="left" w:pos="2034"/>
        </w:tabs>
        <w:ind w:left="1560" w:hanging="5"/>
        <w:jc w:val="both"/>
        <w:rPr>
          <w:rFonts w:eastAsia="Times New Roman"/>
          <w:sz w:val="24"/>
          <w:szCs w:val="24"/>
        </w:rPr>
      </w:pPr>
      <w:r w:rsidRPr="00DE439C">
        <w:rPr>
          <w:rFonts w:eastAsia="Times New Roman"/>
          <w:sz w:val="24"/>
          <w:szCs w:val="24"/>
        </w:rPr>
        <w:t>The public water system is responsible to ensure that each reduced pressure backflow preventer will be inspected semiannually in accordance with the public water system's approved cross connection program plan, as provided for in 310 CMR 22.22(3)(b). If the supply is used less than six months of the year, these devices shall be inspected and tested once each year. Each double check valve assembly shall be tested annually. Pressure type vacuum breakers should be tested at least annually by the owner of the device. Each test shall be conducted by a Certified Backflow Prevention Device Tester.</w:t>
      </w:r>
    </w:p>
    <w:p w14:paraId="281A76C9" w14:textId="77777777" w:rsidR="004647B9" w:rsidRPr="00DE439C" w:rsidRDefault="00E2436F" w:rsidP="00563A54">
      <w:pPr>
        <w:numPr>
          <w:ilvl w:val="1"/>
          <w:numId w:val="872"/>
        </w:numPr>
        <w:tabs>
          <w:tab w:val="left" w:pos="1982"/>
        </w:tabs>
        <w:ind w:left="1560" w:hanging="5"/>
        <w:jc w:val="both"/>
        <w:rPr>
          <w:rFonts w:eastAsia="Times New Roman"/>
          <w:sz w:val="24"/>
          <w:szCs w:val="24"/>
        </w:rPr>
      </w:pPr>
      <w:r w:rsidRPr="00DE439C">
        <w:rPr>
          <w:rFonts w:eastAsia="Times New Roman"/>
          <w:sz w:val="24"/>
          <w:szCs w:val="24"/>
        </w:rPr>
        <w:t xml:space="preserve">Devices which fail the test or are found to be defective shall be overhauled, repaired, or replaced and retested within 14 calendar days of the failure or from the discovery of the defect. The repair work must be done by a plumber licensed by the Commonwealth of Massachusetts to the extent required by 248 CMR 10.00: </w:t>
      </w:r>
      <w:r w:rsidRPr="00DE439C">
        <w:rPr>
          <w:rFonts w:eastAsia="Times New Roman"/>
          <w:i/>
          <w:iCs/>
          <w:sz w:val="24"/>
          <w:szCs w:val="24"/>
        </w:rPr>
        <w:t>Uniform State Plumbing Code</w:t>
      </w:r>
      <w:r w:rsidRPr="00DE439C">
        <w:rPr>
          <w:rFonts w:eastAsia="Times New Roman"/>
          <w:sz w:val="24"/>
          <w:szCs w:val="24"/>
        </w:rPr>
        <w:t>. No person shall overhaul, repair, replace a device on a fire system without approval from the head of the local fire department pursuant to M.G.L. c.148, § 27A.</w:t>
      </w:r>
    </w:p>
    <w:p w14:paraId="281A76CB" w14:textId="77777777" w:rsidR="004647B9" w:rsidRPr="00DE439C" w:rsidRDefault="00E2436F" w:rsidP="00563A54">
      <w:pPr>
        <w:numPr>
          <w:ilvl w:val="1"/>
          <w:numId w:val="872"/>
        </w:numPr>
        <w:tabs>
          <w:tab w:val="left" w:pos="2008"/>
        </w:tabs>
        <w:ind w:left="1560" w:hanging="5"/>
        <w:jc w:val="both"/>
        <w:rPr>
          <w:rFonts w:eastAsia="Times New Roman"/>
          <w:sz w:val="24"/>
          <w:szCs w:val="24"/>
        </w:rPr>
      </w:pPr>
      <w:r w:rsidRPr="00DE439C">
        <w:rPr>
          <w:rFonts w:eastAsia="Times New Roman"/>
          <w:sz w:val="24"/>
          <w:szCs w:val="24"/>
        </w:rPr>
        <w:t>No two routine tests for reduced pressure backflow preventers required by 310 CMR 22.22 shall be conducted within five months of each other without the written approval of the Department, its designee or the public water system.</w:t>
      </w:r>
    </w:p>
    <w:p w14:paraId="281A76CD" w14:textId="77777777" w:rsidR="004647B9" w:rsidRPr="00DE439C" w:rsidRDefault="00E2436F" w:rsidP="00563A54">
      <w:pPr>
        <w:numPr>
          <w:ilvl w:val="1"/>
          <w:numId w:val="872"/>
        </w:numPr>
        <w:tabs>
          <w:tab w:val="left" w:pos="2053"/>
        </w:tabs>
        <w:ind w:left="1560" w:hanging="5"/>
        <w:jc w:val="both"/>
        <w:rPr>
          <w:rFonts w:eastAsia="Times New Roman"/>
          <w:sz w:val="24"/>
          <w:szCs w:val="24"/>
        </w:rPr>
      </w:pPr>
      <w:r w:rsidRPr="00DE439C">
        <w:rPr>
          <w:rFonts w:eastAsia="Times New Roman"/>
          <w:sz w:val="24"/>
          <w:szCs w:val="24"/>
        </w:rPr>
        <w:t>The owner or owner's agent must maintain on the premises a spare parts kit and any special tools required for removal and reassembly of devices which are to be tested. The presence of these materials must be recorded on the Inspection and Maintenance Report Form.</w:t>
      </w:r>
    </w:p>
    <w:p w14:paraId="281A76CE" w14:textId="77777777" w:rsidR="004647B9" w:rsidRPr="00DE439C" w:rsidRDefault="00E2436F" w:rsidP="00563A54">
      <w:pPr>
        <w:numPr>
          <w:ilvl w:val="1"/>
          <w:numId w:val="872"/>
        </w:numPr>
        <w:tabs>
          <w:tab w:val="left" w:pos="2027"/>
        </w:tabs>
        <w:ind w:left="1560" w:hanging="5"/>
        <w:jc w:val="both"/>
        <w:rPr>
          <w:rFonts w:eastAsia="Times New Roman"/>
          <w:sz w:val="24"/>
          <w:szCs w:val="24"/>
        </w:rPr>
      </w:pPr>
      <w:r w:rsidRPr="00DE439C">
        <w:rPr>
          <w:rFonts w:eastAsia="Times New Roman"/>
          <w:sz w:val="24"/>
          <w:szCs w:val="24"/>
        </w:rPr>
        <w:t>The owner or owner's agent must provide labor on the premises as necessary to allow inspection and testing of devices by the Department, the supplier of water, or Certified Backflow Prevention Device Testers.</w:t>
      </w:r>
    </w:p>
    <w:p w14:paraId="281A76D0" w14:textId="77777777" w:rsidR="004647B9" w:rsidRPr="00DE439C" w:rsidRDefault="00E2436F" w:rsidP="00563A54">
      <w:pPr>
        <w:numPr>
          <w:ilvl w:val="1"/>
          <w:numId w:val="872"/>
        </w:numPr>
        <w:tabs>
          <w:tab w:val="left" w:pos="1931"/>
        </w:tabs>
        <w:ind w:left="1560" w:hanging="5"/>
        <w:jc w:val="both"/>
        <w:rPr>
          <w:rFonts w:eastAsia="Times New Roman"/>
          <w:sz w:val="24"/>
          <w:szCs w:val="24"/>
        </w:rPr>
      </w:pPr>
      <w:r w:rsidRPr="00DE439C">
        <w:rPr>
          <w:rFonts w:eastAsia="Times New Roman"/>
          <w:sz w:val="24"/>
          <w:szCs w:val="24"/>
        </w:rPr>
        <w:t>The owner or owner's agent shall notify the public water system in writing, no later than 30 days prior to the removal from service of any permitted device and such notification shall include the reason for removal and must indicate if the cross connection has been eliminated.</w:t>
      </w:r>
    </w:p>
    <w:p w14:paraId="281A76D2" w14:textId="77777777" w:rsidR="004647B9" w:rsidRPr="00DE439C" w:rsidRDefault="00E2436F" w:rsidP="00563A54">
      <w:pPr>
        <w:numPr>
          <w:ilvl w:val="1"/>
          <w:numId w:val="872"/>
        </w:numPr>
        <w:tabs>
          <w:tab w:val="left" w:pos="1945"/>
        </w:tabs>
        <w:ind w:left="1560" w:hanging="5"/>
        <w:jc w:val="both"/>
        <w:rPr>
          <w:rFonts w:eastAsia="Times New Roman"/>
          <w:sz w:val="24"/>
          <w:szCs w:val="24"/>
        </w:rPr>
      </w:pPr>
      <w:r w:rsidRPr="00DE439C">
        <w:rPr>
          <w:rFonts w:eastAsia="Times New Roman"/>
          <w:sz w:val="24"/>
          <w:szCs w:val="24"/>
        </w:rPr>
        <w:t>The owner or owner's agent shall notify the public water system in writing no later than 30 days prior to a change in ownership. Notification must include, at a minimum, the name and address of the new owner as well as documentation with proof of change in ownership.</w:t>
      </w:r>
    </w:p>
    <w:p w14:paraId="281A76D3" w14:textId="77777777" w:rsidR="004647B9" w:rsidRDefault="004647B9">
      <w:pPr>
        <w:sectPr w:rsidR="004647B9" w:rsidSect="00EF630C">
          <w:pgSz w:w="12240" w:h="20180"/>
          <w:pgMar w:top="708" w:right="1440" w:bottom="997" w:left="540" w:header="0" w:footer="0" w:gutter="0"/>
          <w:cols w:space="720"/>
        </w:sectPr>
      </w:pPr>
    </w:p>
    <w:p w14:paraId="281A76D4" w14:textId="77777777" w:rsidR="004647B9" w:rsidRDefault="00E2436F">
      <w:pPr>
        <w:tabs>
          <w:tab w:val="left" w:pos="160"/>
        </w:tabs>
        <w:ind w:right="-59"/>
        <w:jc w:val="center"/>
        <w:rPr>
          <w:sz w:val="20"/>
          <w:szCs w:val="20"/>
        </w:rPr>
      </w:pPr>
      <w:bookmarkStart w:id="335" w:name="page339"/>
      <w:bookmarkEnd w:id="335"/>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6D5" w14:textId="77777777" w:rsidR="004647B9" w:rsidRPr="003C65E6" w:rsidRDefault="004647B9" w:rsidP="00DA2653">
      <w:pPr>
        <w:rPr>
          <w:sz w:val="20"/>
          <w:szCs w:val="20"/>
        </w:rPr>
      </w:pPr>
    </w:p>
    <w:p w14:paraId="281A76D6" w14:textId="77777777" w:rsidR="004647B9" w:rsidRPr="003C65E6" w:rsidRDefault="004647B9" w:rsidP="00DA2653">
      <w:pPr>
        <w:rPr>
          <w:sz w:val="20"/>
          <w:szCs w:val="20"/>
        </w:rPr>
      </w:pPr>
    </w:p>
    <w:p w14:paraId="281A76D7" w14:textId="77777777" w:rsidR="004647B9" w:rsidRPr="00DA2653" w:rsidRDefault="00E2436F" w:rsidP="00DA2653">
      <w:pPr>
        <w:tabs>
          <w:tab w:val="left" w:pos="760"/>
        </w:tabs>
        <w:rPr>
          <w:sz w:val="24"/>
          <w:szCs w:val="24"/>
        </w:rPr>
      </w:pPr>
      <w:r w:rsidRPr="00DA2653">
        <w:rPr>
          <w:rFonts w:eastAsia="Times New Roman"/>
          <w:sz w:val="24"/>
          <w:szCs w:val="24"/>
        </w:rPr>
        <w:t>22.22:</w:t>
      </w:r>
      <w:r w:rsidRPr="00DA2653">
        <w:rPr>
          <w:rFonts w:eastAsia="Times New Roman"/>
          <w:sz w:val="24"/>
          <w:szCs w:val="24"/>
        </w:rPr>
        <w:tab/>
        <w:t>continued</w:t>
      </w:r>
    </w:p>
    <w:p w14:paraId="281A76D8" w14:textId="77777777" w:rsidR="004647B9" w:rsidRPr="003C65E6" w:rsidRDefault="004647B9" w:rsidP="00DA2653">
      <w:pPr>
        <w:rPr>
          <w:sz w:val="20"/>
          <w:szCs w:val="20"/>
        </w:rPr>
      </w:pPr>
    </w:p>
    <w:p w14:paraId="281A76D9" w14:textId="77777777" w:rsidR="004647B9" w:rsidRPr="00DA2653" w:rsidRDefault="00E2436F" w:rsidP="00563A54">
      <w:pPr>
        <w:numPr>
          <w:ilvl w:val="1"/>
          <w:numId w:val="873"/>
        </w:numPr>
        <w:tabs>
          <w:tab w:val="left" w:pos="2071"/>
        </w:tabs>
        <w:ind w:left="1560" w:hanging="5"/>
        <w:rPr>
          <w:rFonts w:eastAsia="Times New Roman"/>
          <w:sz w:val="24"/>
          <w:szCs w:val="24"/>
        </w:rPr>
      </w:pPr>
      <w:r w:rsidRPr="00DA2653">
        <w:rPr>
          <w:rFonts w:eastAsia="Times New Roman"/>
          <w:sz w:val="24"/>
          <w:szCs w:val="24"/>
        </w:rPr>
        <w:t>If the public water system deems necessary, it may test a device more frequently to ensure proper cross connection control.</w:t>
      </w:r>
    </w:p>
    <w:p w14:paraId="281A76DA" w14:textId="77777777" w:rsidR="004647B9" w:rsidRPr="00DA2653" w:rsidRDefault="004647B9" w:rsidP="00DA2653">
      <w:pPr>
        <w:rPr>
          <w:rFonts w:eastAsia="Times New Roman"/>
          <w:sz w:val="24"/>
          <w:szCs w:val="24"/>
        </w:rPr>
      </w:pPr>
    </w:p>
    <w:p w14:paraId="281A76DB" w14:textId="77777777" w:rsidR="004647B9" w:rsidRPr="00DA2653" w:rsidRDefault="00E2436F" w:rsidP="00563A54">
      <w:pPr>
        <w:numPr>
          <w:ilvl w:val="0"/>
          <w:numId w:val="874"/>
        </w:numPr>
        <w:tabs>
          <w:tab w:val="left" w:pos="1744"/>
        </w:tabs>
        <w:ind w:left="1200"/>
        <w:jc w:val="both"/>
        <w:rPr>
          <w:rFonts w:eastAsia="Times New Roman"/>
          <w:sz w:val="24"/>
          <w:szCs w:val="24"/>
        </w:rPr>
      </w:pPr>
      <w:r w:rsidRPr="00DA2653">
        <w:rPr>
          <w:rFonts w:eastAsia="Times New Roman"/>
          <w:sz w:val="24"/>
          <w:szCs w:val="24"/>
          <w:u w:val="single"/>
        </w:rPr>
        <w:t>Right of Entry</w:t>
      </w:r>
      <w:r w:rsidRPr="00DA2653">
        <w:rPr>
          <w:rFonts w:eastAsia="Times New Roman"/>
          <w:sz w:val="24"/>
          <w:szCs w:val="24"/>
        </w:rPr>
        <w:t>. All owners or operators of commercial, industrial or institutional premises served by a public water supply system shall authorize agents and employees of the Commonwealth, upon presentation of their credentials, to enter their premises without a warrant for the purpose of inspecting and surveying their water systems for cross connections and assuring compliance with 310 CMR 22.22, whether or not the Commonwealth has evidence that the system is in violation of an applicable legal requirement.</w:t>
      </w:r>
    </w:p>
    <w:p w14:paraId="281A76DC" w14:textId="77777777" w:rsidR="004647B9" w:rsidRPr="00DA2653" w:rsidRDefault="004647B9" w:rsidP="00DA2653">
      <w:pPr>
        <w:rPr>
          <w:rFonts w:eastAsia="Times New Roman"/>
          <w:sz w:val="24"/>
          <w:szCs w:val="24"/>
        </w:rPr>
      </w:pPr>
    </w:p>
    <w:p w14:paraId="281A76DD" w14:textId="77777777" w:rsidR="004647B9" w:rsidRPr="00DA2653" w:rsidRDefault="00E2436F" w:rsidP="00563A54">
      <w:pPr>
        <w:numPr>
          <w:ilvl w:val="0"/>
          <w:numId w:val="874"/>
        </w:numPr>
        <w:tabs>
          <w:tab w:val="left" w:pos="1780"/>
        </w:tabs>
        <w:ind w:left="1780" w:hanging="580"/>
        <w:rPr>
          <w:rFonts w:eastAsia="Times New Roman"/>
          <w:sz w:val="24"/>
          <w:szCs w:val="24"/>
        </w:rPr>
      </w:pPr>
      <w:r w:rsidRPr="00DA2653">
        <w:rPr>
          <w:rFonts w:eastAsia="Times New Roman"/>
          <w:sz w:val="24"/>
          <w:szCs w:val="24"/>
          <w:u w:val="single"/>
        </w:rPr>
        <w:t>Fees</w:t>
      </w:r>
      <w:r w:rsidRPr="00DA2653">
        <w:rPr>
          <w:rFonts w:eastAsia="Times New Roman"/>
          <w:sz w:val="24"/>
          <w:szCs w:val="24"/>
        </w:rPr>
        <w:t>.</w:t>
      </w:r>
    </w:p>
    <w:p w14:paraId="281A76DF" w14:textId="77777777" w:rsidR="004647B9" w:rsidRPr="00DA2653" w:rsidRDefault="00E2436F" w:rsidP="00563A54">
      <w:pPr>
        <w:numPr>
          <w:ilvl w:val="1"/>
          <w:numId w:val="874"/>
        </w:numPr>
        <w:tabs>
          <w:tab w:val="left" w:pos="2033"/>
        </w:tabs>
        <w:ind w:left="1560" w:hanging="5"/>
        <w:jc w:val="both"/>
        <w:rPr>
          <w:rFonts w:eastAsia="Times New Roman"/>
          <w:sz w:val="24"/>
          <w:szCs w:val="24"/>
        </w:rPr>
      </w:pPr>
      <w:r w:rsidRPr="00DA2653">
        <w:rPr>
          <w:rFonts w:eastAsia="Times New Roman"/>
          <w:sz w:val="24"/>
          <w:szCs w:val="24"/>
        </w:rPr>
        <w:t xml:space="preserve">The certification fees for Backflow Prevention Device Testers and Cross Connection Control Surveyors are established by the Department as stated in 310 CMR 4.00: </w:t>
      </w:r>
      <w:r w:rsidRPr="00DA2653">
        <w:rPr>
          <w:rFonts w:eastAsia="Times New Roman"/>
          <w:i/>
          <w:iCs/>
          <w:sz w:val="24"/>
          <w:szCs w:val="24"/>
        </w:rPr>
        <w:t>Timely</w:t>
      </w:r>
      <w:r w:rsidRPr="00DA2653">
        <w:rPr>
          <w:rFonts w:eastAsia="Times New Roman"/>
          <w:sz w:val="24"/>
          <w:szCs w:val="24"/>
        </w:rPr>
        <w:t xml:space="preserve"> </w:t>
      </w:r>
      <w:r w:rsidRPr="00DA2653">
        <w:rPr>
          <w:rFonts w:eastAsia="Times New Roman"/>
          <w:i/>
          <w:iCs/>
          <w:sz w:val="24"/>
          <w:szCs w:val="24"/>
        </w:rPr>
        <w:t>Action Schedule and Fee Provisions</w:t>
      </w:r>
      <w:r w:rsidRPr="00DA2653">
        <w:rPr>
          <w:rFonts w:eastAsia="Times New Roman"/>
          <w:sz w:val="24"/>
          <w:szCs w:val="24"/>
        </w:rPr>
        <w:t>.</w:t>
      </w:r>
    </w:p>
    <w:p w14:paraId="281A76E1" w14:textId="77777777" w:rsidR="004647B9" w:rsidRPr="00DA2653" w:rsidRDefault="00E2436F" w:rsidP="00563A54">
      <w:pPr>
        <w:numPr>
          <w:ilvl w:val="1"/>
          <w:numId w:val="874"/>
        </w:numPr>
        <w:tabs>
          <w:tab w:val="left" w:pos="2128"/>
        </w:tabs>
        <w:ind w:left="1560" w:hanging="5"/>
        <w:jc w:val="both"/>
        <w:rPr>
          <w:rFonts w:eastAsia="Times New Roman"/>
          <w:sz w:val="24"/>
          <w:szCs w:val="24"/>
        </w:rPr>
      </w:pPr>
      <w:r w:rsidRPr="00DA2653">
        <w:rPr>
          <w:rFonts w:eastAsia="Times New Roman"/>
          <w:sz w:val="24"/>
          <w:szCs w:val="24"/>
        </w:rPr>
        <w:t>A person holding either a Testers or Surveyors certificate will not be charged an additional fee for a combination certification provided that all the requirement of 310 CMR 22.22(12) have been met.</w:t>
      </w:r>
    </w:p>
    <w:p w14:paraId="281A76E3" w14:textId="77777777" w:rsidR="004647B9" w:rsidRPr="00DA2653" w:rsidRDefault="00E2436F" w:rsidP="00563A54">
      <w:pPr>
        <w:numPr>
          <w:ilvl w:val="1"/>
          <w:numId w:val="874"/>
        </w:numPr>
        <w:tabs>
          <w:tab w:val="left" w:pos="2009"/>
        </w:tabs>
        <w:ind w:left="1560" w:hanging="5"/>
        <w:rPr>
          <w:rFonts w:eastAsia="Times New Roman"/>
          <w:sz w:val="24"/>
          <w:szCs w:val="24"/>
        </w:rPr>
      </w:pPr>
      <w:r w:rsidRPr="00DA2653">
        <w:rPr>
          <w:rFonts w:eastAsia="Times New Roman"/>
          <w:sz w:val="24"/>
          <w:szCs w:val="24"/>
        </w:rPr>
        <w:t xml:space="preserve">Permit fees as specified at 310 CMR 22.22(7)(b) are established by the Department in accordance with 310 CMR 4.00: </w:t>
      </w:r>
      <w:r w:rsidRPr="00DA2653">
        <w:rPr>
          <w:rFonts w:eastAsia="Times New Roman"/>
          <w:i/>
          <w:iCs/>
          <w:sz w:val="24"/>
          <w:szCs w:val="24"/>
        </w:rPr>
        <w:t>Timely Action Schedule and Fee Provisions</w:t>
      </w:r>
      <w:r w:rsidRPr="00DA2653">
        <w:rPr>
          <w:rFonts w:eastAsia="Times New Roman"/>
          <w:sz w:val="24"/>
          <w:szCs w:val="24"/>
        </w:rPr>
        <w:t>.</w:t>
      </w:r>
    </w:p>
    <w:p w14:paraId="281A76E4" w14:textId="77777777" w:rsidR="004647B9" w:rsidRPr="00DA2653" w:rsidRDefault="004647B9" w:rsidP="00DA2653">
      <w:pPr>
        <w:rPr>
          <w:rFonts w:eastAsia="Times New Roman"/>
          <w:sz w:val="24"/>
          <w:szCs w:val="24"/>
        </w:rPr>
      </w:pPr>
    </w:p>
    <w:p w14:paraId="281A76E5" w14:textId="77777777" w:rsidR="004647B9" w:rsidRPr="00DA2653" w:rsidRDefault="00E2436F" w:rsidP="00563A54">
      <w:pPr>
        <w:numPr>
          <w:ilvl w:val="0"/>
          <w:numId w:val="874"/>
        </w:numPr>
        <w:tabs>
          <w:tab w:val="left" w:pos="1780"/>
        </w:tabs>
        <w:ind w:left="1780" w:hanging="580"/>
        <w:rPr>
          <w:rFonts w:eastAsia="Times New Roman"/>
          <w:sz w:val="24"/>
          <w:szCs w:val="24"/>
        </w:rPr>
      </w:pPr>
      <w:r w:rsidRPr="00DA2653">
        <w:rPr>
          <w:rFonts w:eastAsia="Times New Roman"/>
          <w:sz w:val="24"/>
          <w:szCs w:val="24"/>
          <w:u w:val="single"/>
        </w:rPr>
        <w:t>Enforcement</w:t>
      </w:r>
      <w:r w:rsidRPr="00DA2653">
        <w:rPr>
          <w:rFonts w:eastAsia="Times New Roman"/>
          <w:sz w:val="24"/>
          <w:szCs w:val="24"/>
        </w:rPr>
        <w:t>.</w:t>
      </w:r>
    </w:p>
    <w:p w14:paraId="281A76E7" w14:textId="77777777" w:rsidR="004647B9" w:rsidRPr="00DA2653" w:rsidRDefault="00E2436F" w:rsidP="00D53470">
      <w:pPr>
        <w:numPr>
          <w:ilvl w:val="1"/>
          <w:numId w:val="874"/>
        </w:numPr>
        <w:tabs>
          <w:tab w:val="left" w:pos="2000"/>
        </w:tabs>
        <w:ind w:left="1555"/>
        <w:rPr>
          <w:rFonts w:eastAsia="Times New Roman"/>
          <w:sz w:val="24"/>
          <w:szCs w:val="24"/>
        </w:rPr>
      </w:pPr>
      <w:r w:rsidRPr="00DA2653">
        <w:rPr>
          <w:rFonts w:eastAsia="Times New Roman"/>
          <w:sz w:val="24"/>
          <w:szCs w:val="24"/>
        </w:rPr>
        <w:t>Whoever maintains a cross connection in violation of M.G.L. c. 111, § 160A, shall be:</w:t>
      </w:r>
    </w:p>
    <w:p w14:paraId="281A76E9" w14:textId="77777777" w:rsidR="004647B9" w:rsidRPr="00DA2653" w:rsidRDefault="00E2436F" w:rsidP="00563A54">
      <w:pPr>
        <w:numPr>
          <w:ilvl w:val="2"/>
          <w:numId w:val="874"/>
        </w:numPr>
        <w:tabs>
          <w:tab w:val="left" w:pos="2302"/>
        </w:tabs>
        <w:ind w:left="1920" w:hanging="5"/>
        <w:jc w:val="both"/>
        <w:rPr>
          <w:rFonts w:eastAsia="Times New Roman"/>
          <w:sz w:val="24"/>
          <w:szCs w:val="24"/>
        </w:rPr>
      </w:pPr>
      <w:r w:rsidRPr="00DA2653">
        <w:rPr>
          <w:rFonts w:eastAsia="Times New Roman"/>
          <w:sz w:val="24"/>
          <w:szCs w:val="24"/>
        </w:rPr>
        <w:t>punished by a fine of not more than $25,000 for each day such violation occurs or continues, or by imprisonment for not more than one year, or both such fine and imprisonment, or</w:t>
      </w:r>
    </w:p>
    <w:p w14:paraId="281A76EB" w14:textId="77777777" w:rsidR="004647B9" w:rsidRPr="00DA2653" w:rsidRDefault="00E2436F" w:rsidP="00563A54">
      <w:pPr>
        <w:numPr>
          <w:ilvl w:val="2"/>
          <w:numId w:val="874"/>
        </w:numPr>
        <w:tabs>
          <w:tab w:val="left" w:pos="2366"/>
        </w:tabs>
        <w:ind w:left="1920" w:hanging="5"/>
        <w:rPr>
          <w:rFonts w:eastAsia="Times New Roman"/>
          <w:sz w:val="24"/>
          <w:szCs w:val="24"/>
        </w:rPr>
      </w:pPr>
      <w:r w:rsidRPr="00DA2653">
        <w:rPr>
          <w:rFonts w:eastAsia="Times New Roman"/>
          <w:sz w:val="24"/>
          <w:szCs w:val="24"/>
        </w:rPr>
        <w:t>subject to a civil penalty not to exceed $25,000 per day for each day that such violation occurs or continues.</w:t>
      </w:r>
    </w:p>
    <w:p w14:paraId="281A76EC" w14:textId="77777777" w:rsidR="004647B9" w:rsidRPr="00DA2653" w:rsidRDefault="00E2436F" w:rsidP="00563A54">
      <w:pPr>
        <w:numPr>
          <w:ilvl w:val="1"/>
          <w:numId w:val="874"/>
        </w:numPr>
        <w:tabs>
          <w:tab w:val="left" w:pos="1961"/>
        </w:tabs>
        <w:ind w:left="1560" w:hanging="5"/>
        <w:rPr>
          <w:rFonts w:eastAsia="Times New Roman"/>
          <w:sz w:val="24"/>
          <w:szCs w:val="24"/>
        </w:rPr>
      </w:pPr>
      <w:r w:rsidRPr="00DA2653">
        <w:rPr>
          <w:rFonts w:eastAsia="Times New Roman"/>
          <w:sz w:val="24"/>
          <w:szCs w:val="24"/>
        </w:rPr>
        <w:t xml:space="preserve">Any violation of 310 CMR 22.22 shall be subject to the administrative penalty provisions of 310 CMR 5.00: </w:t>
      </w:r>
      <w:r w:rsidRPr="00DA2653">
        <w:rPr>
          <w:rFonts w:eastAsia="Times New Roman"/>
          <w:i/>
          <w:iCs/>
          <w:sz w:val="24"/>
          <w:szCs w:val="24"/>
        </w:rPr>
        <w:t>Administrative Penalty</w:t>
      </w:r>
      <w:r w:rsidRPr="00DA2653">
        <w:rPr>
          <w:rFonts w:eastAsia="Times New Roman"/>
          <w:sz w:val="24"/>
          <w:szCs w:val="24"/>
        </w:rPr>
        <w:t>.</w:t>
      </w:r>
    </w:p>
    <w:p w14:paraId="281A76ED" w14:textId="77777777" w:rsidR="004647B9" w:rsidRPr="00DA2653" w:rsidRDefault="00E2436F" w:rsidP="00563A54">
      <w:pPr>
        <w:numPr>
          <w:ilvl w:val="1"/>
          <w:numId w:val="874"/>
        </w:numPr>
        <w:tabs>
          <w:tab w:val="left" w:pos="2004"/>
        </w:tabs>
        <w:ind w:left="1560" w:hanging="5"/>
        <w:jc w:val="both"/>
        <w:rPr>
          <w:rFonts w:eastAsia="Times New Roman"/>
          <w:sz w:val="24"/>
          <w:szCs w:val="24"/>
        </w:rPr>
      </w:pPr>
      <w:r w:rsidRPr="00DA2653">
        <w:rPr>
          <w:rFonts w:eastAsia="Times New Roman"/>
          <w:sz w:val="24"/>
          <w:szCs w:val="24"/>
        </w:rPr>
        <w:t>Upon due notice to the person maintaining the connection the Department may revoke any permit whenever, in the opinion of the Department, the cross connection or the maintenance thereof no longer complies with 310 CMR 22.00.</w:t>
      </w:r>
    </w:p>
    <w:p w14:paraId="281A76EF" w14:textId="77777777" w:rsidR="004647B9" w:rsidRPr="00DA2653" w:rsidRDefault="00E2436F" w:rsidP="00211322">
      <w:pPr>
        <w:numPr>
          <w:ilvl w:val="1"/>
          <w:numId w:val="874"/>
        </w:numPr>
        <w:tabs>
          <w:tab w:val="left" w:pos="2018"/>
        </w:tabs>
        <w:ind w:left="1560" w:hanging="5"/>
        <w:jc w:val="both"/>
        <w:rPr>
          <w:rFonts w:eastAsia="Times New Roman"/>
          <w:sz w:val="24"/>
          <w:szCs w:val="24"/>
        </w:rPr>
      </w:pPr>
      <w:r w:rsidRPr="00DA2653">
        <w:rPr>
          <w:rFonts w:eastAsia="Times New Roman"/>
          <w:sz w:val="24"/>
          <w:szCs w:val="24"/>
        </w:rPr>
        <w:t>After notice and opportunity for a hearing, the Department may suspend or revoke the certification of any Backflow Prevention Device Tester or Cross Connection Control Surveyor for cause. A certified backflow prevention device tester or certified cross connection control surveyor whose certification has been suspended or revoked by the Department may not test devices or conduct any surveys pending the outcome of the hearing, if any.</w:t>
      </w:r>
    </w:p>
    <w:p w14:paraId="281A76F1" w14:textId="77777777" w:rsidR="004647B9" w:rsidRPr="00DA2653" w:rsidRDefault="00E2436F" w:rsidP="00211322">
      <w:pPr>
        <w:numPr>
          <w:ilvl w:val="1"/>
          <w:numId w:val="874"/>
        </w:numPr>
        <w:tabs>
          <w:tab w:val="left" w:pos="2047"/>
        </w:tabs>
        <w:ind w:left="1560" w:hanging="5"/>
        <w:jc w:val="both"/>
        <w:rPr>
          <w:rFonts w:eastAsia="Times New Roman"/>
          <w:sz w:val="24"/>
          <w:szCs w:val="24"/>
        </w:rPr>
      </w:pPr>
      <w:r w:rsidRPr="00DA2653">
        <w:rPr>
          <w:rFonts w:eastAsia="Times New Roman"/>
          <w:sz w:val="24"/>
          <w:szCs w:val="24"/>
          <w:u w:val="single"/>
        </w:rPr>
        <w:t>Audit</w:t>
      </w:r>
      <w:r w:rsidRPr="00DA2653">
        <w:rPr>
          <w:rFonts w:eastAsia="Times New Roman"/>
          <w:sz w:val="24"/>
          <w:szCs w:val="24"/>
        </w:rPr>
        <w:t>: The Department may perform audits of a Public Water System's distribution system protection cross connection control program to ascertain whether the PWS is in compliance with 310 CMR 22.22, and to ascertain the fitness and purity of the water for domestic use and to secure the sanitary protection of such waters, pursuant to MGL c. 111, § 160. The Department may issue a written order, pursuant to M.G.L. c. 111, § 160A, requiring a supplier of public water to perform any action necessary to assure the delivery of fit and pure water through its distribution system, including the actions required under 310 CMR 22.22(13).</w:t>
      </w:r>
    </w:p>
    <w:p w14:paraId="281A76F3" w14:textId="77777777" w:rsidR="004647B9" w:rsidRPr="00DA2653" w:rsidRDefault="00E2436F" w:rsidP="00563A54">
      <w:pPr>
        <w:numPr>
          <w:ilvl w:val="1"/>
          <w:numId w:val="874"/>
        </w:numPr>
        <w:tabs>
          <w:tab w:val="left" w:pos="1966"/>
        </w:tabs>
        <w:ind w:left="1560" w:hanging="5"/>
        <w:jc w:val="both"/>
        <w:rPr>
          <w:rFonts w:eastAsia="Times New Roman"/>
          <w:sz w:val="24"/>
          <w:szCs w:val="24"/>
        </w:rPr>
      </w:pPr>
      <w:r w:rsidRPr="00DA2653">
        <w:rPr>
          <w:rFonts w:eastAsia="Times New Roman"/>
          <w:sz w:val="24"/>
          <w:szCs w:val="24"/>
        </w:rPr>
        <w:t>In order to ensure the delivery of a fit and pure water supply, the Department may issue a written order, pursuant to M.G.L. c. 111, § 160, requiring a supplier of public water to cease supplying water to any premises if one or more cross connections are maintained in violation of the requirements of 310 CMR 22.22, or requiring any person to take such actions as are reasonable and necessary to prevent or to eliminate cross connections.</w:t>
      </w:r>
    </w:p>
    <w:p w14:paraId="281A76F4" w14:textId="77777777" w:rsidR="004647B9" w:rsidRPr="00DA2653" w:rsidRDefault="004647B9" w:rsidP="00DA2653">
      <w:pPr>
        <w:rPr>
          <w:sz w:val="24"/>
          <w:szCs w:val="24"/>
        </w:rPr>
      </w:pPr>
    </w:p>
    <w:p w14:paraId="281A76F5" w14:textId="77777777" w:rsidR="004647B9" w:rsidRPr="00DA2653" w:rsidRDefault="00E2436F" w:rsidP="00DA2653">
      <w:pPr>
        <w:tabs>
          <w:tab w:val="left" w:pos="760"/>
        </w:tabs>
        <w:rPr>
          <w:sz w:val="24"/>
          <w:szCs w:val="24"/>
        </w:rPr>
      </w:pPr>
      <w:r w:rsidRPr="00DA2653">
        <w:rPr>
          <w:rFonts w:eastAsia="Times New Roman"/>
          <w:sz w:val="24"/>
          <w:szCs w:val="24"/>
          <w:u w:val="single"/>
        </w:rPr>
        <w:t>22.23:</w:t>
      </w:r>
      <w:r w:rsidRPr="00DA2653">
        <w:rPr>
          <w:rFonts w:eastAsia="Times New Roman"/>
          <w:sz w:val="24"/>
          <w:szCs w:val="24"/>
          <w:u w:val="single"/>
        </w:rPr>
        <w:tab/>
        <w:t>Use of Non-centralized Treatment Devices and Bottled Water</w:t>
      </w:r>
    </w:p>
    <w:p w14:paraId="281A76F6" w14:textId="77777777" w:rsidR="004647B9" w:rsidRPr="00DA2653" w:rsidRDefault="004647B9" w:rsidP="00DA2653">
      <w:pPr>
        <w:rPr>
          <w:sz w:val="24"/>
          <w:szCs w:val="24"/>
        </w:rPr>
      </w:pPr>
    </w:p>
    <w:p w14:paraId="281A76F7" w14:textId="77777777" w:rsidR="004647B9" w:rsidRPr="00DA2653" w:rsidRDefault="00E2436F" w:rsidP="00563A54">
      <w:pPr>
        <w:numPr>
          <w:ilvl w:val="0"/>
          <w:numId w:val="875"/>
        </w:numPr>
        <w:tabs>
          <w:tab w:val="left" w:pos="1723"/>
        </w:tabs>
        <w:ind w:left="1200"/>
        <w:jc w:val="both"/>
        <w:rPr>
          <w:rFonts w:eastAsia="Times New Roman"/>
          <w:sz w:val="24"/>
          <w:szCs w:val="24"/>
        </w:rPr>
      </w:pPr>
      <w:r w:rsidRPr="00DA2653">
        <w:rPr>
          <w:rFonts w:eastAsia="Times New Roman"/>
          <w:sz w:val="24"/>
          <w:szCs w:val="24"/>
        </w:rPr>
        <w:t>Public Water Systems shall not use bottled water to achieve compliance with an MCL, MRDL, Action Level or Treatment Technique established in 310 CMR 22.00 or any standards specific to an individual Public Water System established pursuant to a health assessment as provided in 310 CMR 22.03(8). Bottled water may be approved by the Department for use on a temporary basis to avoid any unreasonable risk to health.</w:t>
      </w:r>
    </w:p>
    <w:p w14:paraId="281A76F8" w14:textId="77777777" w:rsidR="004647B9" w:rsidRDefault="004647B9">
      <w:pPr>
        <w:sectPr w:rsidR="004647B9" w:rsidSect="00EF630C">
          <w:pgSz w:w="12240" w:h="20180"/>
          <w:pgMar w:top="708" w:right="1440" w:bottom="1007" w:left="540" w:header="0" w:footer="0" w:gutter="0"/>
          <w:cols w:space="720"/>
        </w:sectPr>
      </w:pPr>
    </w:p>
    <w:p w14:paraId="281A76F9" w14:textId="77777777" w:rsidR="004647B9" w:rsidRDefault="00E2436F">
      <w:pPr>
        <w:tabs>
          <w:tab w:val="left" w:pos="160"/>
        </w:tabs>
        <w:ind w:right="-59"/>
        <w:jc w:val="center"/>
        <w:rPr>
          <w:sz w:val="20"/>
          <w:szCs w:val="20"/>
        </w:rPr>
      </w:pPr>
      <w:bookmarkStart w:id="336" w:name="page340"/>
      <w:bookmarkEnd w:id="336"/>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6FA" w14:textId="77777777" w:rsidR="004647B9" w:rsidRPr="003C65E6" w:rsidRDefault="004647B9" w:rsidP="003949EB">
      <w:pPr>
        <w:rPr>
          <w:sz w:val="20"/>
          <w:szCs w:val="20"/>
        </w:rPr>
      </w:pPr>
    </w:p>
    <w:p w14:paraId="281A76FB" w14:textId="77777777" w:rsidR="004647B9" w:rsidRPr="003C65E6" w:rsidRDefault="004647B9" w:rsidP="003949EB">
      <w:pPr>
        <w:rPr>
          <w:sz w:val="20"/>
          <w:szCs w:val="20"/>
        </w:rPr>
      </w:pPr>
    </w:p>
    <w:p w14:paraId="281A76FC" w14:textId="77777777" w:rsidR="004647B9" w:rsidRPr="003949EB" w:rsidRDefault="00E2436F" w:rsidP="003949EB">
      <w:pPr>
        <w:tabs>
          <w:tab w:val="left" w:pos="760"/>
        </w:tabs>
        <w:rPr>
          <w:sz w:val="24"/>
          <w:szCs w:val="24"/>
        </w:rPr>
      </w:pPr>
      <w:r w:rsidRPr="003949EB">
        <w:rPr>
          <w:rFonts w:eastAsia="Times New Roman"/>
          <w:sz w:val="24"/>
          <w:szCs w:val="24"/>
        </w:rPr>
        <w:t>22.23:</w:t>
      </w:r>
      <w:r w:rsidRPr="003949EB">
        <w:rPr>
          <w:rFonts w:eastAsia="Times New Roman"/>
          <w:sz w:val="24"/>
          <w:szCs w:val="24"/>
        </w:rPr>
        <w:tab/>
        <w:t>continued</w:t>
      </w:r>
    </w:p>
    <w:p w14:paraId="281A76FD" w14:textId="77777777" w:rsidR="004647B9" w:rsidRPr="003C65E6" w:rsidRDefault="004647B9" w:rsidP="003949EB">
      <w:pPr>
        <w:rPr>
          <w:sz w:val="20"/>
          <w:szCs w:val="20"/>
        </w:rPr>
      </w:pPr>
    </w:p>
    <w:p w14:paraId="281A76FE" w14:textId="559264FD" w:rsidR="004647B9" w:rsidRPr="003949EB" w:rsidRDefault="00E2436F" w:rsidP="00563A54">
      <w:pPr>
        <w:numPr>
          <w:ilvl w:val="0"/>
          <w:numId w:val="876"/>
        </w:numPr>
        <w:tabs>
          <w:tab w:val="left" w:pos="1617"/>
        </w:tabs>
        <w:ind w:left="1200"/>
        <w:jc w:val="both"/>
        <w:rPr>
          <w:rFonts w:eastAsia="Times New Roman"/>
          <w:sz w:val="24"/>
          <w:szCs w:val="24"/>
        </w:rPr>
      </w:pPr>
      <w:r w:rsidRPr="003949EB">
        <w:rPr>
          <w:rFonts w:eastAsia="Times New Roman"/>
          <w:sz w:val="24"/>
          <w:szCs w:val="24"/>
        </w:rPr>
        <w:t>Public Water Systems using bottled water as a condition of obtaining an exemption from the requirements of 310 CMR 22.06(</w:t>
      </w:r>
      <w:r w:rsidR="004B1216">
        <w:rPr>
          <w:rFonts w:eastAsia="Times New Roman"/>
          <w:sz w:val="24"/>
          <w:szCs w:val="24"/>
        </w:rPr>
        <w:t>2</w:t>
      </w:r>
      <w:r w:rsidRPr="003949EB">
        <w:rPr>
          <w:rFonts w:eastAsia="Times New Roman"/>
          <w:sz w:val="24"/>
          <w:szCs w:val="24"/>
        </w:rPr>
        <w:t>), 22.07A</w:t>
      </w:r>
      <w:r w:rsidR="004B1216">
        <w:rPr>
          <w:rFonts w:eastAsia="Times New Roman"/>
          <w:sz w:val="24"/>
          <w:szCs w:val="24"/>
        </w:rPr>
        <w:t>(1)</w:t>
      </w:r>
      <w:r w:rsidRPr="003949EB">
        <w:rPr>
          <w:rFonts w:eastAsia="Times New Roman"/>
          <w:sz w:val="24"/>
          <w:szCs w:val="24"/>
        </w:rPr>
        <w:t xml:space="preserve"> and 22.07B(1), and must meet the requirements in 310 CMR 22.14(25)</w:t>
      </w:r>
    </w:p>
    <w:p w14:paraId="281A76FF" w14:textId="77777777" w:rsidR="004647B9" w:rsidRPr="003949EB" w:rsidRDefault="004647B9" w:rsidP="003949EB">
      <w:pPr>
        <w:rPr>
          <w:rFonts w:eastAsia="Times New Roman"/>
          <w:sz w:val="24"/>
          <w:szCs w:val="24"/>
        </w:rPr>
      </w:pPr>
    </w:p>
    <w:p w14:paraId="281A7700" w14:textId="77777777" w:rsidR="004647B9" w:rsidRPr="003949EB" w:rsidRDefault="00E2436F" w:rsidP="00563A54">
      <w:pPr>
        <w:numPr>
          <w:ilvl w:val="0"/>
          <w:numId w:val="876"/>
        </w:numPr>
        <w:tabs>
          <w:tab w:val="left" w:pos="1732"/>
        </w:tabs>
        <w:ind w:left="1200"/>
        <w:rPr>
          <w:rFonts w:eastAsia="Times New Roman"/>
          <w:sz w:val="24"/>
          <w:szCs w:val="24"/>
        </w:rPr>
      </w:pPr>
      <w:r w:rsidRPr="003949EB">
        <w:rPr>
          <w:rFonts w:eastAsia="Times New Roman"/>
          <w:sz w:val="24"/>
          <w:szCs w:val="24"/>
        </w:rPr>
        <w:t>Public Water Systems that use point-of-use or point-of-entry devices as a condition of receiving an exemption must meet the requirements in 310 CMR 22.14(27).</w:t>
      </w:r>
    </w:p>
    <w:p w14:paraId="281A7701" w14:textId="77777777" w:rsidR="004647B9" w:rsidRPr="003949EB" w:rsidRDefault="004647B9" w:rsidP="003949EB">
      <w:pPr>
        <w:rPr>
          <w:rFonts w:eastAsia="Times New Roman"/>
          <w:sz w:val="24"/>
          <w:szCs w:val="24"/>
        </w:rPr>
      </w:pPr>
    </w:p>
    <w:p w14:paraId="281A7704" w14:textId="4458C49F" w:rsidR="004647B9" w:rsidRPr="003949EB" w:rsidRDefault="00E2436F" w:rsidP="00563A54">
      <w:pPr>
        <w:numPr>
          <w:ilvl w:val="0"/>
          <w:numId w:val="876"/>
        </w:numPr>
        <w:tabs>
          <w:tab w:val="left" w:pos="1818"/>
        </w:tabs>
        <w:ind w:left="1200"/>
        <w:jc w:val="both"/>
        <w:rPr>
          <w:rFonts w:eastAsia="Times New Roman"/>
          <w:sz w:val="24"/>
          <w:szCs w:val="24"/>
        </w:rPr>
      </w:pPr>
      <w:r w:rsidRPr="003949EB">
        <w:rPr>
          <w:rFonts w:eastAsia="Times New Roman"/>
          <w:sz w:val="24"/>
          <w:szCs w:val="24"/>
        </w:rPr>
        <w:t>A Supplier of Water meeting the following minimum requirements, subject to the Department's review and written approval in accordance with 310 CMR 22.04, may use Point of Use (POU) and/or Point of Entry (POE) devices to comply with an MCL set forth in 310 CMR</w:t>
      </w:r>
      <w:r w:rsidR="003949EB" w:rsidRPr="003949EB">
        <w:rPr>
          <w:rFonts w:eastAsia="Times New Roman"/>
          <w:sz w:val="24"/>
          <w:szCs w:val="24"/>
        </w:rPr>
        <w:t xml:space="preserve"> </w:t>
      </w:r>
      <w:r w:rsidRPr="003949EB">
        <w:rPr>
          <w:rFonts w:eastAsia="Times New Roman"/>
          <w:sz w:val="24"/>
          <w:szCs w:val="24"/>
        </w:rPr>
        <w:t>22.00 or to achieve a contaminant level identified in accordance with 310 CMR 22.03(8):</w:t>
      </w:r>
    </w:p>
    <w:p w14:paraId="281A7706" w14:textId="77777777" w:rsidR="004647B9" w:rsidRPr="003949EB" w:rsidRDefault="00E2436F" w:rsidP="00905F85">
      <w:pPr>
        <w:numPr>
          <w:ilvl w:val="1"/>
          <w:numId w:val="876"/>
        </w:numPr>
        <w:tabs>
          <w:tab w:val="left" w:pos="2016"/>
        </w:tabs>
        <w:ind w:left="1560" w:hanging="5"/>
        <w:rPr>
          <w:rFonts w:eastAsia="Times New Roman"/>
          <w:sz w:val="24"/>
          <w:szCs w:val="24"/>
        </w:rPr>
      </w:pPr>
      <w:r w:rsidRPr="003949EB">
        <w:rPr>
          <w:rFonts w:eastAsia="Times New Roman"/>
          <w:sz w:val="24"/>
          <w:szCs w:val="24"/>
        </w:rPr>
        <w:t>the POU or POE device must be owned, controlled, operated and maintained by the Supplier of Water in accordance with 310 CMR 22.00;</w:t>
      </w:r>
    </w:p>
    <w:p w14:paraId="281A7707" w14:textId="77777777" w:rsidR="004647B9" w:rsidRPr="003949EB" w:rsidRDefault="00E2436F" w:rsidP="00333B8E">
      <w:pPr>
        <w:numPr>
          <w:ilvl w:val="1"/>
          <w:numId w:val="876"/>
        </w:numPr>
        <w:tabs>
          <w:tab w:val="left" w:pos="2020"/>
        </w:tabs>
        <w:ind w:left="1560" w:hanging="5"/>
        <w:rPr>
          <w:rFonts w:eastAsia="Times New Roman"/>
          <w:sz w:val="24"/>
          <w:szCs w:val="24"/>
        </w:rPr>
      </w:pPr>
      <w:r w:rsidRPr="003949EB">
        <w:rPr>
          <w:rFonts w:eastAsia="Times New Roman"/>
          <w:sz w:val="24"/>
          <w:szCs w:val="24"/>
        </w:rPr>
        <w:t>the POU or POE device must be equipped with mechanical warnings device to ensure that customers are automatically notified of operational problems;</w:t>
      </w:r>
    </w:p>
    <w:p w14:paraId="281A7708" w14:textId="77777777" w:rsidR="004647B9" w:rsidRPr="003949EB" w:rsidRDefault="00E2436F" w:rsidP="00905F85">
      <w:pPr>
        <w:numPr>
          <w:ilvl w:val="1"/>
          <w:numId w:val="876"/>
        </w:numPr>
        <w:tabs>
          <w:tab w:val="left" w:pos="2016"/>
        </w:tabs>
        <w:ind w:left="1560" w:hanging="5"/>
        <w:rPr>
          <w:rFonts w:eastAsia="Times New Roman"/>
          <w:sz w:val="24"/>
          <w:szCs w:val="24"/>
        </w:rPr>
      </w:pPr>
      <w:r w:rsidRPr="003949EB">
        <w:rPr>
          <w:rFonts w:eastAsia="Times New Roman"/>
          <w:sz w:val="24"/>
          <w:szCs w:val="24"/>
        </w:rPr>
        <w:t>the POU or POE device must be included in the Department's approved list of technologies for small systems and approved in accordance with 310 CMR 22.04(8);</w:t>
      </w:r>
    </w:p>
    <w:p w14:paraId="281A7709" w14:textId="77777777" w:rsidR="004647B9" w:rsidRPr="003949EB" w:rsidRDefault="00E2436F" w:rsidP="00905F85">
      <w:pPr>
        <w:numPr>
          <w:ilvl w:val="1"/>
          <w:numId w:val="876"/>
        </w:numPr>
        <w:tabs>
          <w:tab w:val="left" w:pos="2016"/>
        </w:tabs>
        <w:ind w:left="1560" w:hanging="5"/>
        <w:rPr>
          <w:rFonts w:eastAsia="Times New Roman"/>
          <w:sz w:val="24"/>
          <w:szCs w:val="24"/>
        </w:rPr>
      </w:pPr>
      <w:r w:rsidRPr="003949EB">
        <w:rPr>
          <w:rFonts w:eastAsia="Times New Roman"/>
          <w:sz w:val="24"/>
          <w:szCs w:val="24"/>
        </w:rPr>
        <w:t xml:space="preserve">the POU or POE device must be installed in conformance with 248 CMR 10.00: </w:t>
      </w:r>
      <w:r w:rsidRPr="003949EB">
        <w:rPr>
          <w:rFonts w:eastAsia="Times New Roman"/>
          <w:i/>
          <w:iCs/>
          <w:sz w:val="24"/>
          <w:szCs w:val="24"/>
        </w:rPr>
        <w:t>Uniform State Plumbing Code</w:t>
      </w:r>
      <w:r w:rsidRPr="003949EB">
        <w:rPr>
          <w:rFonts w:eastAsia="Times New Roman"/>
          <w:sz w:val="24"/>
          <w:szCs w:val="24"/>
        </w:rPr>
        <w:t>;</w:t>
      </w:r>
    </w:p>
    <w:p w14:paraId="281A770A" w14:textId="77777777" w:rsidR="004647B9" w:rsidRPr="003949EB" w:rsidRDefault="00E2436F" w:rsidP="00333B8E">
      <w:pPr>
        <w:numPr>
          <w:ilvl w:val="1"/>
          <w:numId w:val="876"/>
        </w:numPr>
        <w:tabs>
          <w:tab w:val="left" w:pos="2009"/>
        </w:tabs>
        <w:ind w:left="1560" w:hanging="5"/>
        <w:rPr>
          <w:rFonts w:eastAsia="Times New Roman"/>
          <w:sz w:val="24"/>
          <w:szCs w:val="24"/>
        </w:rPr>
      </w:pPr>
      <w:r w:rsidRPr="003949EB">
        <w:rPr>
          <w:rFonts w:eastAsia="Times New Roman"/>
          <w:sz w:val="24"/>
          <w:szCs w:val="24"/>
        </w:rPr>
        <w:t>a monitoring plan that ensures that the devices provide health protection equivalent to that provided by central water treatment must be submitted;</w:t>
      </w:r>
    </w:p>
    <w:p w14:paraId="281A770B" w14:textId="77777777" w:rsidR="004647B9" w:rsidRPr="003949EB" w:rsidRDefault="00E2436F" w:rsidP="00905F85">
      <w:pPr>
        <w:numPr>
          <w:ilvl w:val="1"/>
          <w:numId w:val="876"/>
        </w:numPr>
        <w:tabs>
          <w:tab w:val="left" w:pos="2016"/>
        </w:tabs>
        <w:ind w:left="1560" w:hanging="5"/>
        <w:rPr>
          <w:rFonts w:eastAsia="Times New Roman"/>
          <w:sz w:val="24"/>
          <w:szCs w:val="24"/>
        </w:rPr>
      </w:pPr>
      <w:r w:rsidRPr="003949EB">
        <w:rPr>
          <w:rFonts w:eastAsia="Times New Roman"/>
          <w:sz w:val="24"/>
          <w:szCs w:val="24"/>
        </w:rPr>
        <w:t>effective technology under a Department-approved plan must be applied. The microbiological safety of the water must be maintained at all times;</w:t>
      </w:r>
    </w:p>
    <w:p w14:paraId="281A770C" w14:textId="77777777" w:rsidR="004647B9" w:rsidRPr="003949EB" w:rsidRDefault="00E2436F" w:rsidP="00905F85">
      <w:pPr>
        <w:numPr>
          <w:ilvl w:val="1"/>
          <w:numId w:val="876"/>
        </w:numPr>
        <w:tabs>
          <w:tab w:val="left" w:pos="2016"/>
        </w:tabs>
        <w:ind w:left="1560" w:hanging="5"/>
        <w:jc w:val="both"/>
        <w:rPr>
          <w:rFonts w:eastAsia="Times New Roman"/>
          <w:sz w:val="24"/>
          <w:szCs w:val="24"/>
        </w:rPr>
      </w:pPr>
      <w:r w:rsidRPr="003949EB">
        <w:rPr>
          <w:rFonts w:eastAsia="Times New Roman"/>
          <w:sz w:val="24"/>
          <w:szCs w:val="24"/>
        </w:rPr>
        <w:t>the Supplier of Water must ensure that buildings connected to the system have sufficient POU or POE devices that are properly installed, maintained, and monitored such that all consumers will be protected;</w:t>
      </w:r>
    </w:p>
    <w:p w14:paraId="281A770E" w14:textId="77777777" w:rsidR="004647B9" w:rsidRPr="003949EB" w:rsidRDefault="00E2436F" w:rsidP="00333B8E">
      <w:pPr>
        <w:numPr>
          <w:ilvl w:val="1"/>
          <w:numId w:val="876"/>
        </w:numPr>
        <w:tabs>
          <w:tab w:val="left" w:pos="2020"/>
        </w:tabs>
        <w:ind w:left="1560" w:hanging="5"/>
        <w:rPr>
          <w:rFonts w:eastAsia="Times New Roman"/>
          <w:sz w:val="24"/>
          <w:szCs w:val="24"/>
        </w:rPr>
      </w:pPr>
      <w:r w:rsidRPr="003949EB">
        <w:rPr>
          <w:rFonts w:eastAsia="Times New Roman"/>
          <w:sz w:val="24"/>
          <w:szCs w:val="24"/>
        </w:rPr>
        <w:t>the POU or POE device must have an adequate certification of performance including field testing or the device has undergone a rigorous engineering design review;</w:t>
      </w:r>
    </w:p>
    <w:p w14:paraId="281A770F" w14:textId="77777777" w:rsidR="004647B9" w:rsidRDefault="00E2436F" w:rsidP="00905F85">
      <w:pPr>
        <w:numPr>
          <w:ilvl w:val="1"/>
          <w:numId w:val="876"/>
        </w:numPr>
        <w:tabs>
          <w:tab w:val="left" w:pos="2016"/>
        </w:tabs>
        <w:ind w:left="1560" w:hanging="5"/>
        <w:jc w:val="both"/>
        <w:rPr>
          <w:rFonts w:eastAsia="Times New Roman"/>
          <w:sz w:val="24"/>
          <w:szCs w:val="24"/>
        </w:rPr>
      </w:pPr>
      <w:r w:rsidRPr="003949EB">
        <w:rPr>
          <w:rFonts w:eastAsia="Times New Roman"/>
          <w:sz w:val="24"/>
          <w:szCs w:val="24"/>
        </w:rPr>
        <w:t>the design and application of the POU and/or POE devices must consider the potential for increasing concentrations of heterotrophic bacteria in water treated with activated carbon. It may be necessary to use frequent backwashing, post contactor Disinfection, and</w:t>
      </w:r>
      <w:r>
        <w:rPr>
          <w:rFonts w:eastAsia="Times New Roman"/>
          <w:sz w:val="24"/>
          <w:szCs w:val="24"/>
        </w:rPr>
        <w:t xml:space="preserve"> Heterotrophic Plate Count monitoring to ensure that the microbiological safety of the water is not compromised;</w:t>
      </w:r>
    </w:p>
    <w:p w14:paraId="281A7711" w14:textId="77777777" w:rsidR="004647B9" w:rsidRDefault="00E2436F" w:rsidP="00905F85">
      <w:pPr>
        <w:numPr>
          <w:ilvl w:val="1"/>
          <w:numId w:val="876"/>
        </w:numPr>
        <w:tabs>
          <w:tab w:val="left" w:pos="2016"/>
        </w:tabs>
        <w:ind w:left="1560" w:hanging="5"/>
        <w:jc w:val="both"/>
        <w:rPr>
          <w:rFonts w:eastAsia="Times New Roman"/>
          <w:sz w:val="24"/>
          <w:szCs w:val="24"/>
        </w:rPr>
      </w:pPr>
      <w:r>
        <w:rPr>
          <w:rFonts w:eastAsia="Times New Roman"/>
          <w:sz w:val="24"/>
          <w:szCs w:val="24"/>
        </w:rPr>
        <w:t>each building connected to the system must have a POU or POE device that is properly installed, maintained, and monitored. Each building is subject to treatment and monitoring, and the rights and responsibilities of the Public Water System customer convey with title upon sale of property;</w:t>
      </w:r>
    </w:p>
    <w:p w14:paraId="281A7712" w14:textId="77777777" w:rsidR="004647B9" w:rsidRDefault="00E2436F" w:rsidP="00333B8E">
      <w:pPr>
        <w:numPr>
          <w:ilvl w:val="1"/>
          <w:numId w:val="876"/>
        </w:numPr>
        <w:tabs>
          <w:tab w:val="left" w:pos="2013"/>
        </w:tabs>
        <w:ind w:left="1560" w:hanging="5"/>
        <w:jc w:val="both"/>
        <w:rPr>
          <w:rFonts w:eastAsia="Times New Roman"/>
          <w:sz w:val="24"/>
          <w:szCs w:val="24"/>
        </w:rPr>
      </w:pPr>
      <w:r>
        <w:rPr>
          <w:rFonts w:eastAsia="Times New Roman"/>
          <w:sz w:val="24"/>
          <w:szCs w:val="24"/>
        </w:rPr>
        <w:t>the Supplier of Water must document that all customers are required to or have agreed to participate in the POU and or POE water treatment program. Documentation may include, without limitation, the following:</w:t>
      </w:r>
    </w:p>
    <w:p w14:paraId="281A7714" w14:textId="77777777" w:rsidR="004647B9" w:rsidRDefault="00E2436F" w:rsidP="00563A54">
      <w:pPr>
        <w:numPr>
          <w:ilvl w:val="2"/>
          <w:numId w:val="876"/>
        </w:numPr>
        <w:tabs>
          <w:tab w:val="left" w:pos="2280"/>
        </w:tabs>
        <w:ind w:left="2280" w:hanging="365"/>
        <w:rPr>
          <w:rFonts w:eastAsia="Times New Roman"/>
          <w:sz w:val="24"/>
          <w:szCs w:val="24"/>
        </w:rPr>
      </w:pPr>
      <w:r>
        <w:rPr>
          <w:rFonts w:eastAsia="Times New Roman"/>
          <w:sz w:val="24"/>
          <w:szCs w:val="24"/>
        </w:rPr>
        <w:t>an ordinance that requires the customers to participate in the program; or</w:t>
      </w:r>
    </w:p>
    <w:p w14:paraId="281A7716" w14:textId="77777777" w:rsidR="004647B9" w:rsidRDefault="00E2436F" w:rsidP="00563A54">
      <w:pPr>
        <w:numPr>
          <w:ilvl w:val="2"/>
          <w:numId w:val="876"/>
        </w:numPr>
        <w:tabs>
          <w:tab w:val="left" w:pos="2316"/>
        </w:tabs>
        <w:ind w:left="1920" w:hanging="5"/>
        <w:jc w:val="both"/>
        <w:rPr>
          <w:rFonts w:eastAsia="Times New Roman"/>
          <w:sz w:val="24"/>
          <w:szCs w:val="24"/>
        </w:rPr>
      </w:pPr>
      <w:r>
        <w:rPr>
          <w:rFonts w:eastAsia="Times New Roman"/>
          <w:sz w:val="24"/>
          <w:szCs w:val="24"/>
        </w:rPr>
        <w:t>copies of signed agreements from all customers explicitly agreeing to provide the Supplier of Water with access to their homes or buildings for the purpose of conducting necessary maintenance and sampling activity;</w:t>
      </w:r>
    </w:p>
    <w:p w14:paraId="281A7718" w14:textId="77777777" w:rsidR="004647B9" w:rsidRDefault="00E2436F" w:rsidP="00905F85">
      <w:pPr>
        <w:numPr>
          <w:ilvl w:val="1"/>
          <w:numId w:val="876"/>
        </w:numPr>
        <w:tabs>
          <w:tab w:val="left" w:pos="2016"/>
        </w:tabs>
        <w:ind w:left="1560" w:hanging="5"/>
        <w:jc w:val="both"/>
        <w:rPr>
          <w:rFonts w:eastAsia="Times New Roman"/>
          <w:sz w:val="24"/>
          <w:szCs w:val="24"/>
        </w:rPr>
      </w:pPr>
      <w:r>
        <w:rPr>
          <w:rFonts w:eastAsia="Times New Roman"/>
          <w:sz w:val="24"/>
          <w:szCs w:val="24"/>
        </w:rPr>
        <w:t>the Supplier of Water must notify and provide an opportunity for public comment to its customers of the proposed POU and POE treatment program at a public meeting, or an equivalent approved opportunity for public comment;</w:t>
      </w:r>
    </w:p>
    <w:p w14:paraId="281A771A" w14:textId="77777777" w:rsidR="004647B9" w:rsidRDefault="00E2436F" w:rsidP="00333B8E">
      <w:pPr>
        <w:numPr>
          <w:ilvl w:val="1"/>
          <w:numId w:val="876"/>
        </w:numPr>
        <w:tabs>
          <w:tab w:val="left" w:pos="2022"/>
        </w:tabs>
        <w:ind w:left="1560" w:hanging="5"/>
        <w:rPr>
          <w:rFonts w:eastAsia="Times New Roman"/>
          <w:sz w:val="24"/>
          <w:szCs w:val="24"/>
        </w:rPr>
      </w:pPr>
      <w:r>
        <w:rPr>
          <w:rFonts w:eastAsia="Times New Roman"/>
          <w:sz w:val="24"/>
          <w:szCs w:val="24"/>
        </w:rPr>
        <w:t>the Supplier of Water must submit a continuing education and awareness plan, including all supporting educational materials;</w:t>
      </w:r>
    </w:p>
    <w:p w14:paraId="281A771B" w14:textId="77777777" w:rsidR="004647B9" w:rsidRDefault="00E2436F" w:rsidP="00905F85">
      <w:pPr>
        <w:numPr>
          <w:ilvl w:val="1"/>
          <w:numId w:val="876"/>
        </w:numPr>
        <w:tabs>
          <w:tab w:val="left" w:pos="2016"/>
        </w:tabs>
        <w:ind w:left="1560" w:hanging="5"/>
        <w:jc w:val="both"/>
        <w:rPr>
          <w:rFonts w:eastAsia="Times New Roman"/>
          <w:sz w:val="24"/>
          <w:szCs w:val="24"/>
        </w:rPr>
      </w:pPr>
      <w:r>
        <w:rPr>
          <w:rFonts w:eastAsia="Times New Roman"/>
          <w:sz w:val="24"/>
          <w:szCs w:val="24"/>
        </w:rPr>
        <w:t>the Supplier of Water must provide educational materials pursuant to the approved continuing education and awareness plan described in 310 CMR 22.23(4)(m) to new and existing customers summarizing potential health effects of contaminants of concern and the benefits of POU/POE devices, subject to the following:</w:t>
      </w:r>
    </w:p>
    <w:p w14:paraId="281A771C" w14:textId="77777777" w:rsidR="004647B9" w:rsidRDefault="00E2436F" w:rsidP="00563A54">
      <w:pPr>
        <w:numPr>
          <w:ilvl w:val="2"/>
          <w:numId w:val="876"/>
        </w:numPr>
        <w:tabs>
          <w:tab w:val="left" w:pos="2345"/>
        </w:tabs>
        <w:ind w:left="1920" w:hanging="5"/>
        <w:rPr>
          <w:rFonts w:eastAsia="Times New Roman"/>
          <w:sz w:val="24"/>
          <w:szCs w:val="24"/>
        </w:rPr>
      </w:pPr>
      <w:r>
        <w:rPr>
          <w:rFonts w:eastAsia="Times New Roman"/>
          <w:sz w:val="24"/>
          <w:szCs w:val="24"/>
        </w:rPr>
        <w:t>if the water system is a Community Water System educational materials may be provided in their Consumer Confidence Report; and</w:t>
      </w:r>
    </w:p>
    <w:p w14:paraId="281A771D" w14:textId="77777777" w:rsidR="004647B9" w:rsidRDefault="00E2436F" w:rsidP="00563A54">
      <w:pPr>
        <w:numPr>
          <w:ilvl w:val="2"/>
          <w:numId w:val="876"/>
        </w:numPr>
        <w:tabs>
          <w:tab w:val="left" w:pos="2251"/>
        </w:tabs>
        <w:ind w:left="1920" w:hanging="5"/>
        <w:rPr>
          <w:rFonts w:eastAsia="Times New Roman"/>
          <w:sz w:val="24"/>
          <w:szCs w:val="24"/>
        </w:rPr>
      </w:pPr>
      <w:r>
        <w:rPr>
          <w:rFonts w:eastAsia="Times New Roman"/>
          <w:sz w:val="24"/>
          <w:szCs w:val="24"/>
        </w:rPr>
        <w:t>new residents shall be given educational materials within 15 days of beginning water service to such residents;</w:t>
      </w:r>
    </w:p>
    <w:p w14:paraId="281A771E" w14:textId="77777777" w:rsidR="004647B9" w:rsidRDefault="00E2436F" w:rsidP="00905F85">
      <w:pPr>
        <w:numPr>
          <w:ilvl w:val="1"/>
          <w:numId w:val="876"/>
        </w:numPr>
        <w:tabs>
          <w:tab w:val="left" w:pos="2016"/>
        </w:tabs>
        <w:ind w:left="1560" w:hanging="5"/>
        <w:rPr>
          <w:rFonts w:eastAsia="Times New Roman"/>
          <w:sz w:val="24"/>
          <w:szCs w:val="24"/>
        </w:rPr>
      </w:pPr>
      <w:r>
        <w:rPr>
          <w:rFonts w:eastAsia="Times New Roman"/>
          <w:sz w:val="24"/>
          <w:szCs w:val="24"/>
        </w:rPr>
        <w:t>the POU device must not be used for the following contaminants: microbiological contaminants, nitrate, volatile organic compounds and radon; and</w:t>
      </w:r>
    </w:p>
    <w:p w14:paraId="281A771F" w14:textId="77777777" w:rsidR="004647B9" w:rsidRDefault="004647B9">
      <w:pPr>
        <w:sectPr w:rsidR="004647B9" w:rsidSect="00EF630C">
          <w:pgSz w:w="12240" w:h="20180"/>
          <w:pgMar w:top="708" w:right="1440" w:bottom="1013" w:left="540" w:header="0" w:footer="0" w:gutter="0"/>
          <w:cols w:space="720"/>
        </w:sectPr>
      </w:pPr>
    </w:p>
    <w:p w14:paraId="281A7720" w14:textId="77777777" w:rsidR="004647B9" w:rsidRDefault="00E2436F">
      <w:pPr>
        <w:tabs>
          <w:tab w:val="left" w:pos="160"/>
        </w:tabs>
        <w:ind w:right="-59"/>
        <w:jc w:val="center"/>
        <w:rPr>
          <w:sz w:val="20"/>
          <w:szCs w:val="20"/>
        </w:rPr>
      </w:pPr>
      <w:bookmarkStart w:id="337" w:name="page341"/>
      <w:bookmarkEnd w:id="337"/>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721" w14:textId="77777777" w:rsidR="004647B9" w:rsidRPr="0060360F" w:rsidRDefault="004647B9" w:rsidP="00657D19">
      <w:pPr>
        <w:rPr>
          <w:sz w:val="20"/>
          <w:szCs w:val="20"/>
        </w:rPr>
      </w:pPr>
    </w:p>
    <w:p w14:paraId="281A7722" w14:textId="77777777" w:rsidR="004647B9" w:rsidRPr="0060360F" w:rsidRDefault="004647B9" w:rsidP="00657D19">
      <w:pPr>
        <w:rPr>
          <w:sz w:val="20"/>
          <w:szCs w:val="20"/>
        </w:rPr>
      </w:pPr>
    </w:p>
    <w:p w14:paraId="281A7723" w14:textId="77777777" w:rsidR="004647B9" w:rsidRPr="00657D19" w:rsidRDefault="00E2436F" w:rsidP="00657D19">
      <w:pPr>
        <w:tabs>
          <w:tab w:val="left" w:pos="760"/>
        </w:tabs>
        <w:rPr>
          <w:sz w:val="24"/>
          <w:szCs w:val="24"/>
        </w:rPr>
      </w:pPr>
      <w:r w:rsidRPr="00657D19">
        <w:rPr>
          <w:rFonts w:eastAsia="Times New Roman"/>
          <w:sz w:val="24"/>
          <w:szCs w:val="24"/>
        </w:rPr>
        <w:t>22.23:</w:t>
      </w:r>
      <w:r w:rsidRPr="00657D19">
        <w:rPr>
          <w:rFonts w:eastAsia="Times New Roman"/>
          <w:sz w:val="24"/>
          <w:szCs w:val="24"/>
        </w:rPr>
        <w:tab/>
        <w:t>continued</w:t>
      </w:r>
    </w:p>
    <w:p w14:paraId="281A7724" w14:textId="77777777" w:rsidR="004647B9" w:rsidRPr="0060360F" w:rsidRDefault="004647B9" w:rsidP="00657D19">
      <w:pPr>
        <w:rPr>
          <w:sz w:val="20"/>
          <w:szCs w:val="20"/>
        </w:rPr>
      </w:pPr>
    </w:p>
    <w:p w14:paraId="281A7725" w14:textId="77777777" w:rsidR="004647B9" w:rsidRPr="00657D19" w:rsidRDefault="00E2436F" w:rsidP="00905F85">
      <w:pPr>
        <w:numPr>
          <w:ilvl w:val="1"/>
          <w:numId w:val="877"/>
        </w:numPr>
        <w:tabs>
          <w:tab w:val="left" w:pos="2016"/>
        </w:tabs>
        <w:ind w:left="1560" w:hanging="5"/>
        <w:rPr>
          <w:rFonts w:eastAsia="Times New Roman"/>
          <w:sz w:val="24"/>
          <w:szCs w:val="24"/>
        </w:rPr>
      </w:pPr>
      <w:r w:rsidRPr="00657D19">
        <w:rPr>
          <w:rFonts w:eastAsia="Times New Roman"/>
          <w:sz w:val="24"/>
          <w:szCs w:val="24"/>
        </w:rPr>
        <w:t>the POE device must not be used for the following contaminants: microbiological contaminants and nitrate.</w:t>
      </w:r>
    </w:p>
    <w:p w14:paraId="281A7726" w14:textId="77777777" w:rsidR="004647B9" w:rsidRPr="00657D19" w:rsidRDefault="004647B9" w:rsidP="00657D19">
      <w:pPr>
        <w:rPr>
          <w:rFonts w:eastAsia="Times New Roman"/>
          <w:sz w:val="24"/>
          <w:szCs w:val="24"/>
        </w:rPr>
      </w:pPr>
    </w:p>
    <w:p w14:paraId="281A7730" w14:textId="1FA78894" w:rsidR="004647B9" w:rsidRPr="005C4739" w:rsidRDefault="00E2436F" w:rsidP="00563A54">
      <w:pPr>
        <w:numPr>
          <w:ilvl w:val="0"/>
          <w:numId w:val="878"/>
        </w:numPr>
        <w:tabs>
          <w:tab w:val="left" w:pos="1595"/>
        </w:tabs>
        <w:ind w:left="1200"/>
        <w:jc w:val="both"/>
        <w:rPr>
          <w:sz w:val="24"/>
          <w:szCs w:val="24"/>
        </w:rPr>
      </w:pPr>
      <w:r w:rsidRPr="005C4739">
        <w:rPr>
          <w:rFonts w:eastAsia="Times New Roman"/>
          <w:sz w:val="24"/>
          <w:szCs w:val="24"/>
        </w:rPr>
        <w:t xml:space="preserve">With prior written approval of the Department in accordance with 310 CMR 22.04(1), a POE or POU device may be installed in a facility to meet an Action Level, Treatment Technique in </w:t>
      </w:r>
      <w:r w:rsidRPr="005C4739">
        <w:rPr>
          <w:rFonts w:eastAsia="Times New Roman"/>
          <w:i/>
          <w:iCs/>
          <w:sz w:val="24"/>
          <w:szCs w:val="24"/>
        </w:rPr>
        <w:t>lieu</w:t>
      </w:r>
      <w:r w:rsidR="005C4739" w:rsidRPr="005C4739">
        <w:rPr>
          <w:rFonts w:eastAsia="Times New Roman"/>
          <w:i/>
          <w:iCs/>
          <w:sz w:val="24"/>
          <w:szCs w:val="24"/>
        </w:rPr>
        <w:t xml:space="preserve"> </w:t>
      </w:r>
      <w:r w:rsidRPr="005C4739">
        <w:rPr>
          <w:rFonts w:eastAsia="Times New Roman"/>
          <w:sz w:val="24"/>
          <w:szCs w:val="24"/>
        </w:rPr>
        <w:t>of an MCL, or other requirements of 310 CMR 22.00. The facility, upon the installation of the</w:t>
      </w:r>
      <w:r w:rsidR="005C4739" w:rsidRPr="005C4739">
        <w:rPr>
          <w:rFonts w:eastAsia="Times New Roman"/>
          <w:sz w:val="24"/>
          <w:szCs w:val="24"/>
        </w:rPr>
        <w:t xml:space="preserve"> </w:t>
      </w:r>
      <w:r w:rsidRPr="005C4739">
        <w:rPr>
          <w:rFonts w:eastAsia="Times New Roman"/>
          <w:sz w:val="24"/>
          <w:szCs w:val="24"/>
        </w:rPr>
        <w:t>POE or POU device, shall constitute a consecutive Public Water System as defined in 310 CMR</w:t>
      </w:r>
      <w:r w:rsidR="005C4739" w:rsidRPr="005C4739">
        <w:rPr>
          <w:rFonts w:eastAsia="Times New Roman"/>
          <w:sz w:val="24"/>
          <w:szCs w:val="24"/>
        </w:rPr>
        <w:t xml:space="preserve"> </w:t>
      </w:r>
      <w:r w:rsidRPr="005C4739">
        <w:rPr>
          <w:rFonts w:eastAsia="Times New Roman"/>
          <w:sz w:val="24"/>
          <w:szCs w:val="24"/>
        </w:rPr>
        <w:t>22.02, provided the facility meets the definition of a Public Water System as defined in 310 CMR</w:t>
      </w:r>
      <w:r w:rsidR="005C4739" w:rsidRPr="005C4739">
        <w:rPr>
          <w:rFonts w:eastAsia="Times New Roman"/>
          <w:sz w:val="24"/>
          <w:szCs w:val="24"/>
        </w:rPr>
        <w:t xml:space="preserve"> </w:t>
      </w:r>
      <w:r w:rsidRPr="005C4739">
        <w:rPr>
          <w:rFonts w:eastAsia="Times New Roman"/>
          <w:sz w:val="24"/>
          <w:szCs w:val="24"/>
        </w:rPr>
        <w:t>22.02. A consecutive system that installed a POU or POE device in accordance with 310 CMR</w:t>
      </w:r>
      <w:r w:rsidR="005C4739" w:rsidRPr="005C4739">
        <w:rPr>
          <w:rFonts w:eastAsia="Times New Roman"/>
          <w:sz w:val="24"/>
          <w:szCs w:val="24"/>
        </w:rPr>
        <w:t xml:space="preserve"> </w:t>
      </w:r>
      <w:r w:rsidRPr="005C4739">
        <w:rPr>
          <w:rFonts w:eastAsia="Times New Roman"/>
          <w:sz w:val="24"/>
          <w:szCs w:val="24"/>
        </w:rPr>
        <w:t>22.23(5) is subject to all of the requirements of 310 CMR 22.00 unless said system complies with 310 CMR 22.23(6)(a) through (i) and demonstrates to the Department's satisfaction that it meets the criteria in 310 CMR 22.03(3)(b) through (e).</w:t>
      </w:r>
    </w:p>
    <w:p w14:paraId="281A7731" w14:textId="77777777" w:rsidR="004647B9" w:rsidRPr="00657D19" w:rsidRDefault="004647B9" w:rsidP="00657D19">
      <w:pPr>
        <w:rPr>
          <w:sz w:val="24"/>
          <w:szCs w:val="24"/>
        </w:rPr>
      </w:pPr>
    </w:p>
    <w:p w14:paraId="281A7732" w14:textId="77777777" w:rsidR="004647B9" w:rsidRPr="00657D19" w:rsidRDefault="00E2436F" w:rsidP="00563A54">
      <w:pPr>
        <w:numPr>
          <w:ilvl w:val="0"/>
          <w:numId w:val="879"/>
        </w:numPr>
        <w:tabs>
          <w:tab w:val="left" w:pos="1609"/>
        </w:tabs>
        <w:ind w:left="1200"/>
        <w:jc w:val="both"/>
        <w:rPr>
          <w:rFonts w:eastAsia="Times New Roman"/>
          <w:sz w:val="24"/>
          <w:szCs w:val="24"/>
        </w:rPr>
      </w:pPr>
      <w:r w:rsidRPr="00657D19">
        <w:rPr>
          <w:rFonts w:eastAsia="Times New Roman"/>
          <w:sz w:val="24"/>
          <w:szCs w:val="24"/>
        </w:rPr>
        <w:t>If a POE device is installed in a facility solely to enhance the aesthetic quality of the drinking water and, because of the installation of such a device the facility meets the definition of a Public Water System in 310 CMR 22.02, it shall constitute a consecutive Public Water System subject to all of the requirements of 310 CMR 22.00, unless the system complies with the following minimum requirements:</w:t>
      </w:r>
    </w:p>
    <w:p w14:paraId="281A7734" w14:textId="77777777" w:rsidR="004647B9" w:rsidRPr="00657D19" w:rsidRDefault="00E2436F" w:rsidP="00563A54">
      <w:pPr>
        <w:numPr>
          <w:ilvl w:val="1"/>
          <w:numId w:val="879"/>
        </w:numPr>
        <w:tabs>
          <w:tab w:val="left" w:pos="1939"/>
        </w:tabs>
        <w:ind w:left="1560" w:hanging="5"/>
        <w:rPr>
          <w:rFonts w:eastAsia="Times New Roman"/>
          <w:sz w:val="24"/>
          <w:szCs w:val="24"/>
        </w:rPr>
      </w:pPr>
      <w:r w:rsidRPr="00657D19">
        <w:rPr>
          <w:rFonts w:eastAsia="Times New Roman"/>
          <w:sz w:val="24"/>
          <w:szCs w:val="24"/>
        </w:rPr>
        <w:t>the facility shall advise the Department and the supplying Public Water System in writing of the intended installation of the device;</w:t>
      </w:r>
    </w:p>
    <w:p w14:paraId="281A7735" w14:textId="77777777" w:rsidR="004647B9" w:rsidRPr="00657D19" w:rsidRDefault="00E2436F" w:rsidP="00563A54">
      <w:pPr>
        <w:numPr>
          <w:ilvl w:val="1"/>
          <w:numId w:val="879"/>
        </w:numPr>
        <w:tabs>
          <w:tab w:val="left" w:pos="1991"/>
        </w:tabs>
        <w:ind w:left="1560" w:hanging="5"/>
        <w:rPr>
          <w:rFonts w:eastAsia="Times New Roman"/>
          <w:sz w:val="24"/>
          <w:szCs w:val="24"/>
        </w:rPr>
      </w:pPr>
      <w:r w:rsidRPr="00657D19">
        <w:rPr>
          <w:rFonts w:eastAsia="Times New Roman"/>
          <w:sz w:val="24"/>
          <w:szCs w:val="24"/>
        </w:rPr>
        <w:t>the facility shall be responsible for the operation and maintenance of the device, subject to adequate oversight by the supplying Public Water System;</w:t>
      </w:r>
    </w:p>
    <w:p w14:paraId="281A7736" w14:textId="77777777" w:rsidR="004647B9" w:rsidRPr="00657D19" w:rsidRDefault="00E2436F" w:rsidP="00563A54">
      <w:pPr>
        <w:numPr>
          <w:ilvl w:val="1"/>
          <w:numId w:val="879"/>
        </w:numPr>
        <w:tabs>
          <w:tab w:val="left" w:pos="2000"/>
        </w:tabs>
        <w:ind w:left="2000" w:hanging="445"/>
        <w:rPr>
          <w:rFonts w:eastAsia="Times New Roman"/>
          <w:sz w:val="24"/>
          <w:szCs w:val="24"/>
        </w:rPr>
      </w:pPr>
      <w:r w:rsidRPr="00657D19">
        <w:rPr>
          <w:rFonts w:eastAsia="Times New Roman"/>
          <w:sz w:val="24"/>
          <w:szCs w:val="24"/>
        </w:rPr>
        <w:t>the facility shall comply with the requirements of the supplying Public Water System;</w:t>
      </w:r>
    </w:p>
    <w:p w14:paraId="281A7738" w14:textId="77777777" w:rsidR="004647B9" w:rsidRPr="00657D19" w:rsidRDefault="00E2436F" w:rsidP="00563A54">
      <w:pPr>
        <w:numPr>
          <w:ilvl w:val="1"/>
          <w:numId w:val="879"/>
        </w:numPr>
        <w:tabs>
          <w:tab w:val="left" w:pos="2049"/>
        </w:tabs>
        <w:ind w:left="1560" w:hanging="5"/>
        <w:rPr>
          <w:rFonts w:eastAsia="Times New Roman"/>
          <w:sz w:val="24"/>
          <w:szCs w:val="24"/>
        </w:rPr>
      </w:pPr>
      <w:r w:rsidRPr="00657D19">
        <w:rPr>
          <w:rFonts w:eastAsia="Times New Roman"/>
          <w:sz w:val="24"/>
          <w:szCs w:val="24"/>
        </w:rPr>
        <w:t>the facility shall provide a detailed written notification of the installation of the POE device to the local health authority having jurisdiction over the facility;</w:t>
      </w:r>
    </w:p>
    <w:p w14:paraId="281A7739" w14:textId="77777777" w:rsidR="004647B9" w:rsidRPr="005C4739" w:rsidRDefault="00E2436F" w:rsidP="00563A54">
      <w:pPr>
        <w:numPr>
          <w:ilvl w:val="1"/>
          <w:numId w:val="879"/>
        </w:numPr>
        <w:tabs>
          <w:tab w:val="left" w:pos="1954"/>
        </w:tabs>
        <w:ind w:left="1560" w:hanging="5"/>
        <w:jc w:val="both"/>
        <w:rPr>
          <w:rFonts w:eastAsia="Times New Roman"/>
          <w:sz w:val="24"/>
          <w:szCs w:val="24"/>
        </w:rPr>
      </w:pPr>
      <w:r w:rsidRPr="00657D19">
        <w:rPr>
          <w:rFonts w:eastAsia="Times New Roman"/>
          <w:sz w:val="24"/>
          <w:szCs w:val="24"/>
        </w:rPr>
        <w:t xml:space="preserve">the facility shall only use POE devices that have been certified by the National Sanitation Foundation (NSF), Underwriters Laboratory (UL) or equivalent third party </w:t>
      </w:r>
      <w:r w:rsidRPr="005C4739">
        <w:rPr>
          <w:rFonts w:eastAsia="Times New Roman"/>
          <w:sz w:val="24"/>
          <w:szCs w:val="24"/>
        </w:rPr>
        <w:t>certifying organization accredited by American National Standards Institute (ANSI);</w:t>
      </w:r>
    </w:p>
    <w:p w14:paraId="281A773B" w14:textId="77777777" w:rsidR="004647B9" w:rsidRPr="005C4739" w:rsidRDefault="00E2436F" w:rsidP="00563A54">
      <w:pPr>
        <w:numPr>
          <w:ilvl w:val="1"/>
          <w:numId w:val="879"/>
        </w:numPr>
        <w:tabs>
          <w:tab w:val="left" w:pos="1987"/>
        </w:tabs>
        <w:ind w:left="1560" w:hanging="5"/>
        <w:rPr>
          <w:rFonts w:eastAsia="Times New Roman"/>
          <w:sz w:val="24"/>
          <w:szCs w:val="24"/>
        </w:rPr>
      </w:pPr>
      <w:r w:rsidRPr="005C4739">
        <w:rPr>
          <w:rFonts w:eastAsia="Times New Roman"/>
          <w:sz w:val="24"/>
          <w:szCs w:val="24"/>
        </w:rPr>
        <w:t xml:space="preserve">the facility shall install the POE device in accordance with 248 CMR 10.00: </w:t>
      </w:r>
      <w:r w:rsidRPr="005C4739">
        <w:rPr>
          <w:rFonts w:eastAsia="Times New Roman"/>
          <w:i/>
          <w:iCs/>
          <w:sz w:val="24"/>
          <w:szCs w:val="24"/>
        </w:rPr>
        <w:t>Uniform</w:t>
      </w:r>
      <w:r w:rsidRPr="005C4739">
        <w:rPr>
          <w:rFonts w:eastAsia="Times New Roman"/>
          <w:sz w:val="24"/>
          <w:szCs w:val="24"/>
        </w:rPr>
        <w:t xml:space="preserve"> </w:t>
      </w:r>
      <w:r w:rsidRPr="005C4739">
        <w:rPr>
          <w:rFonts w:eastAsia="Times New Roman"/>
          <w:i/>
          <w:iCs/>
          <w:sz w:val="24"/>
          <w:szCs w:val="24"/>
        </w:rPr>
        <w:t>State Plumbing Code</w:t>
      </w:r>
      <w:r w:rsidRPr="005C4739">
        <w:rPr>
          <w:rFonts w:eastAsia="Times New Roman"/>
          <w:sz w:val="24"/>
          <w:szCs w:val="24"/>
        </w:rPr>
        <w:t>;</w:t>
      </w:r>
    </w:p>
    <w:p w14:paraId="281A773C" w14:textId="77777777" w:rsidR="004647B9" w:rsidRPr="005C4739" w:rsidRDefault="00E2436F" w:rsidP="00563A54">
      <w:pPr>
        <w:numPr>
          <w:ilvl w:val="1"/>
          <w:numId w:val="879"/>
        </w:numPr>
        <w:tabs>
          <w:tab w:val="left" w:pos="1981"/>
        </w:tabs>
        <w:ind w:left="1560" w:hanging="5"/>
        <w:rPr>
          <w:rFonts w:eastAsia="Times New Roman"/>
          <w:sz w:val="24"/>
          <w:szCs w:val="24"/>
        </w:rPr>
      </w:pPr>
      <w:r w:rsidRPr="005C4739">
        <w:rPr>
          <w:rFonts w:eastAsia="Times New Roman"/>
          <w:sz w:val="24"/>
          <w:szCs w:val="24"/>
        </w:rPr>
        <w:t>the facility shall monitor the quality of water as specified by the supplying Public Water System, the Department or the local health authority;</w:t>
      </w:r>
    </w:p>
    <w:p w14:paraId="281A773D" w14:textId="77777777" w:rsidR="004647B9" w:rsidRPr="005C4739" w:rsidRDefault="00E2436F" w:rsidP="00563A54">
      <w:pPr>
        <w:numPr>
          <w:ilvl w:val="1"/>
          <w:numId w:val="879"/>
        </w:numPr>
        <w:tabs>
          <w:tab w:val="left" w:pos="2092"/>
        </w:tabs>
        <w:ind w:left="1560" w:hanging="5"/>
        <w:rPr>
          <w:rFonts w:eastAsia="Times New Roman"/>
          <w:sz w:val="24"/>
          <w:szCs w:val="24"/>
        </w:rPr>
      </w:pPr>
      <w:r w:rsidRPr="005C4739">
        <w:rPr>
          <w:rFonts w:eastAsia="Times New Roman"/>
          <w:sz w:val="24"/>
          <w:szCs w:val="24"/>
        </w:rPr>
        <w:t>the facility shall ensure that any wastewater discharge complies with all applicable federal, state and local regulations; and</w:t>
      </w:r>
    </w:p>
    <w:p w14:paraId="281A773E" w14:textId="77777777" w:rsidR="004647B9" w:rsidRPr="005C4739" w:rsidRDefault="00E2436F" w:rsidP="00563A54">
      <w:pPr>
        <w:numPr>
          <w:ilvl w:val="1"/>
          <w:numId w:val="879"/>
        </w:numPr>
        <w:tabs>
          <w:tab w:val="left" w:pos="1958"/>
        </w:tabs>
        <w:ind w:left="1560" w:hanging="5"/>
        <w:rPr>
          <w:rFonts w:eastAsia="Times New Roman"/>
          <w:sz w:val="24"/>
          <w:szCs w:val="24"/>
        </w:rPr>
      </w:pPr>
      <w:r w:rsidRPr="005C4739">
        <w:rPr>
          <w:rFonts w:eastAsia="Times New Roman"/>
          <w:sz w:val="24"/>
          <w:szCs w:val="24"/>
        </w:rPr>
        <w:t>the facility shall maintain the microbiological quality standards of the water at all times as specified at 310 CMR 22.05.</w:t>
      </w:r>
    </w:p>
    <w:p w14:paraId="281A773F" w14:textId="77777777" w:rsidR="004647B9" w:rsidRPr="005C4739" w:rsidRDefault="004647B9" w:rsidP="005C4739">
      <w:pPr>
        <w:rPr>
          <w:rFonts w:eastAsia="Times New Roman"/>
          <w:sz w:val="24"/>
          <w:szCs w:val="24"/>
        </w:rPr>
      </w:pPr>
    </w:p>
    <w:p w14:paraId="281A7740" w14:textId="77777777" w:rsidR="004647B9" w:rsidRPr="005C4739" w:rsidRDefault="00E2436F" w:rsidP="00563A54">
      <w:pPr>
        <w:numPr>
          <w:ilvl w:val="0"/>
          <w:numId w:val="879"/>
        </w:numPr>
        <w:tabs>
          <w:tab w:val="left" w:pos="1768"/>
        </w:tabs>
        <w:ind w:left="1200"/>
        <w:jc w:val="both"/>
        <w:rPr>
          <w:rFonts w:eastAsia="Times New Roman"/>
          <w:sz w:val="24"/>
          <w:szCs w:val="24"/>
        </w:rPr>
      </w:pPr>
      <w:r w:rsidRPr="005C4739">
        <w:rPr>
          <w:rFonts w:eastAsia="Times New Roman"/>
          <w:sz w:val="24"/>
          <w:szCs w:val="24"/>
        </w:rPr>
        <w:t>The Department may require any facility or other entity meeting the requirements of 310 CMR 22.23(5) and (6) to comply with any or all other requirement of 310 CMR 22.00, if the Department determines that such action is necessary to protect the health of the consumers of water.</w:t>
      </w:r>
    </w:p>
    <w:p w14:paraId="281A7741" w14:textId="77777777" w:rsidR="004647B9" w:rsidRPr="005C4739" w:rsidRDefault="004647B9" w:rsidP="005C4739">
      <w:pPr>
        <w:rPr>
          <w:sz w:val="24"/>
          <w:szCs w:val="24"/>
        </w:rPr>
      </w:pPr>
    </w:p>
    <w:p w14:paraId="281A7742" w14:textId="4F944997" w:rsidR="004647B9" w:rsidRPr="005C4739" w:rsidRDefault="00E2436F" w:rsidP="005C4739">
      <w:pPr>
        <w:tabs>
          <w:tab w:val="left" w:pos="760"/>
        </w:tabs>
        <w:rPr>
          <w:sz w:val="24"/>
          <w:szCs w:val="24"/>
        </w:rPr>
      </w:pPr>
      <w:r w:rsidRPr="005C4739">
        <w:rPr>
          <w:rFonts w:eastAsia="Times New Roman"/>
          <w:sz w:val="24"/>
          <w:szCs w:val="24"/>
          <w:u w:val="single"/>
        </w:rPr>
        <w:t>22.24:</w:t>
      </w:r>
      <w:r w:rsidRPr="005C4739">
        <w:rPr>
          <w:sz w:val="24"/>
          <w:szCs w:val="24"/>
        </w:rPr>
        <w:tab/>
      </w:r>
      <w:r w:rsidR="00C40F4C" w:rsidRPr="00A47108">
        <w:rPr>
          <w:sz w:val="24"/>
          <w:szCs w:val="24"/>
          <w:u w:val="single"/>
        </w:rPr>
        <w:t xml:space="preserve">Acquisition, </w:t>
      </w:r>
      <w:r w:rsidRPr="003A054A">
        <w:rPr>
          <w:rFonts w:eastAsia="Times New Roman"/>
          <w:sz w:val="24"/>
          <w:szCs w:val="24"/>
          <w:u w:val="single"/>
        </w:rPr>
        <w:t>Sale, Transfer of Property Interest, or Change in Use of Water Supply Land</w:t>
      </w:r>
      <w:r w:rsidR="00AA440B">
        <w:rPr>
          <w:rFonts w:eastAsia="Times New Roman"/>
          <w:sz w:val="24"/>
          <w:szCs w:val="24"/>
          <w:u w:val="single"/>
        </w:rPr>
        <w:t xml:space="preserve"> and Other Land</w:t>
      </w:r>
    </w:p>
    <w:p w14:paraId="281A7743" w14:textId="77777777" w:rsidR="004647B9" w:rsidRPr="005C4739" w:rsidRDefault="004647B9" w:rsidP="005C4739">
      <w:pPr>
        <w:rPr>
          <w:sz w:val="24"/>
          <w:szCs w:val="24"/>
        </w:rPr>
      </w:pPr>
    </w:p>
    <w:p w14:paraId="281A7744" w14:textId="6C393352" w:rsidR="004647B9" w:rsidRPr="005C4739" w:rsidRDefault="00E2436F" w:rsidP="00563A54">
      <w:pPr>
        <w:numPr>
          <w:ilvl w:val="0"/>
          <w:numId w:val="880"/>
        </w:numPr>
        <w:tabs>
          <w:tab w:val="left" w:pos="1660"/>
        </w:tabs>
        <w:ind w:left="1200"/>
        <w:jc w:val="both"/>
        <w:rPr>
          <w:rFonts w:eastAsia="Times New Roman"/>
          <w:sz w:val="24"/>
          <w:szCs w:val="24"/>
        </w:rPr>
      </w:pPr>
      <w:r w:rsidRPr="005C4739">
        <w:rPr>
          <w:rFonts w:eastAsia="Times New Roman"/>
          <w:sz w:val="24"/>
          <w:szCs w:val="24"/>
        </w:rPr>
        <w:t xml:space="preserve">No supplier of water may sell, lease, assign, or otherwise dispose of, or change the use of, any </w:t>
      </w:r>
      <w:r w:rsidR="00D050E9">
        <w:rPr>
          <w:rFonts w:eastAsia="Times New Roman"/>
          <w:sz w:val="24"/>
          <w:szCs w:val="24"/>
        </w:rPr>
        <w:t>Water Supply Land</w:t>
      </w:r>
      <w:r w:rsidRPr="005C4739">
        <w:rPr>
          <w:rFonts w:eastAsia="Times New Roman"/>
          <w:sz w:val="24"/>
          <w:szCs w:val="24"/>
        </w:rPr>
        <w:t xml:space="preserve"> without the prior written approval of the Department. The Department will not approve any such disposition or change in use unless the supplier of water demonstrates to the Department's satisfaction that such action will have no significant adverse impact upon the supplier of water's present and future ability to provide continuous adequate service to consumers under routine and emergency operating conditions, including emergencies concerning the contamination of sources of supply, failure of the distribution system and shortage of supply.</w:t>
      </w:r>
    </w:p>
    <w:p w14:paraId="281A7745" w14:textId="77777777" w:rsidR="004647B9" w:rsidRPr="005C4739" w:rsidRDefault="004647B9" w:rsidP="005C4739">
      <w:pPr>
        <w:rPr>
          <w:rFonts w:eastAsia="Times New Roman"/>
          <w:sz w:val="24"/>
          <w:szCs w:val="24"/>
        </w:rPr>
      </w:pPr>
    </w:p>
    <w:p w14:paraId="281A7746" w14:textId="6972C2D4" w:rsidR="004647B9" w:rsidRPr="005C4739" w:rsidRDefault="00E2436F" w:rsidP="00563A54">
      <w:pPr>
        <w:numPr>
          <w:ilvl w:val="0"/>
          <w:numId w:val="880"/>
        </w:numPr>
        <w:tabs>
          <w:tab w:val="left" w:pos="1653"/>
        </w:tabs>
        <w:ind w:left="1200"/>
        <w:jc w:val="both"/>
        <w:rPr>
          <w:rFonts w:eastAsia="Times New Roman"/>
          <w:sz w:val="24"/>
          <w:szCs w:val="24"/>
        </w:rPr>
      </w:pPr>
      <w:r w:rsidRPr="005C4739">
        <w:rPr>
          <w:rFonts w:eastAsia="Times New Roman"/>
          <w:sz w:val="24"/>
          <w:szCs w:val="24"/>
          <w:u w:val="single"/>
        </w:rPr>
        <w:t>Land Transfers</w:t>
      </w:r>
      <w:r w:rsidRPr="005C4739">
        <w:rPr>
          <w:rFonts w:eastAsia="Times New Roman"/>
          <w:sz w:val="24"/>
          <w:szCs w:val="24"/>
        </w:rPr>
        <w:t xml:space="preserve"> Any sale, transfer of property interest or change in use of </w:t>
      </w:r>
      <w:r w:rsidR="00D050E9">
        <w:rPr>
          <w:rFonts w:eastAsia="Times New Roman"/>
          <w:sz w:val="24"/>
          <w:szCs w:val="24"/>
        </w:rPr>
        <w:t>Water Supply Land</w:t>
      </w:r>
      <w:r w:rsidRPr="005C4739">
        <w:rPr>
          <w:rFonts w:eastAsia="Times New Roman"/>
          <w:sz w:val="24"/>
          <w:szCs w:val="24"/>
        </w:rPr>
        <w:t xml:space="preserve"> may also require approval by a </w:t>
      </w:r>
      <w:r w:rsidR="00995F52">
        <w:rPr>
          <w:rFonts w:eastAsia="Times New Roman"/>
          <w:sz w:val="24"/>
          <w:szCs w:val="24"/>
        </w:rPr>
        <w:t>2/3</w:t>
      </w:r>
      <w:r w:rsidRPr="005C4739">
        <w:rPr>
          <w:rFonts w:eastAsia="Times New Roman"/>
          <w:sz w:val="24"/>
          <w:szCs w:val="24"/>
        </w:rPr>
        <w:t xml:space="preserve"> vote of the Legislature, in addition to Department approval. (Massachusetts Constitution Amend. Art. XCVII, Section 243)</w:t>
      </w:r>
    </w:p>
    <w:p w14:paraId="281A7747" w14:textId="77777777" w:rsidR="004647B9" w:rsidRDefault="004647B9">
      <w:pPr>
        <w:sectPr w:rsidR="004647B9" w:rsidSect="00EF630C">
          <w:pgSz w:w="12240" w:h="20180"/>
          <w:pgMar w:top="708" w:right="1440" w:bottom="1440" w:left="540" w:header="0" w:footer="0" w:gutter="0"/>
          <w:cols w:space="720"/>
        </w:sectPr>
      </w:pPr>
    </w:p>
    <w:p w14:paraId="281A7748" w14:textId="77777777" w:rsidR="004647B9" w:rsidRDefault="00E2436F">
      <w:pPr>
        <w:tabs>
          <w:tab w:val="left" w:pos="160"/>
        </w:tabs>
        <w:ind w:right="-59"/>
        <w:jc w:val="center"/>
        <w:rPr>
          <w:sz w:val="20"/>
          <w:szCs w:val="20"/>
        </w:rPr>
      </w:pPr>
      <w:bookmarkStart w:id="338" w:name="page342"/>
      <w:bookmarkEnd w:id="338"/>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749" w14:textId="77777777" w:rsidR="004647B9" w:rsidRPr="0055312D" w:rsidRDefault="004647B9" w:rsidP="005C4739">
      <w:pPr>
        <w:rPr>
          <w:sz w:val="20"/>
          <w:szCs w:val="20"/>
        </w:rPr>
      </w:pPr>
    </w:p>
    <w:p w14:paraId="281A774A" w14:textId="77777777" w:rsidR="004647B9" w:rsidRPr="0055312D" w:rsidRDefault="004647B9" w:rsidP="005C4739">
      <w:pPr>
        <w:rPr>
          <w:sz w:val="20"/>
          <w:szCs w:val="20"/>
        </w:rPr>
      </w:pPr>
    </w:p>
    <w:p w14:paraId="281A774B" w14:textId="72A92A89" w:rsidR="004647B9" w:rsidRPr="005C4739" w:rsidRDefault="00E2436F" w:rsidP="005C4739">
      <w:pPr>
        <w:tabs>
          <w:tab w:val="left" w:pos="760"/>
        </w:tabs>
        <w:rPr>
          <w:sz w:val="24"/>
          <w:szCs w:val="24"/>
        </w:rPr>
      </w:pPr>
      <w:r w:rsidRPr="005C4739">
        <w:rPr>
          <w:rFonts w:eastAsia="Times New Roman"/>
          <w:sz w:val="24"/>
          <w:szCs w:val="24"/>
        </w:rPr>
        <w:t>22.2</w:t>
      </w:r>
      <w:r w:rsidR="004B1216">
        <w:rPr>
          <w:rFonts w:eastAsia="Times New Roman"/>
          <w:sz w:val="24"/>
          <w:szCs w:val="24"/>
        </w:rPr>
        <w:t>4</w:t>
      </w:r>
      <w:r w:rsidRPr="005C4739">
        <w:rPr>
          <w:rFonts w:eastAsia="Times New Roman"/>
          <w:sz w:val="24"/>
          <w:szCs w:val="24"/>
        </w:rPr>
        <w:t>:</w:t>
      </w:r>
      <w:r w:rsidRPr="005C4739">
        <w:rPr>
          <w:rFonts w:eastAsia="Times New Roman"/>
          <w:sz w:val="24"/>
          <w:szCs w:val="24"/>
        </w:rPr>
        <w:tab/>
        <w:t>continued</w:t>
      </w:r>
    </w:p>
    <w:p w14:paraId="281A774C" w14:textId="77777777" w:rsidR="004647B9" w:rsidRPr="0055312D" w:rsidRDefault="004647B9" w:rsidP="005C4739">
      <w:pPr>
        <w:rPr>
          <w:sz w:val="20"/>
          <w:szCs w:val="20"/>
        </w:rPr>
      </w:pPr>
    </w:p>
    <w:p w14:paraId="281A774D" w14:textId="77777777" w:rsidR="004647B9" w:rsidRPr="005C4739" w:rsidRDefault="00E2436F" w:rsidP="00563A54">
      <w:pPr>
        <w:numPr>
          <w:ilvl w:val="0"/>
          <w:numId w:val="881"/>
        </w:numPr>
        <w:tabs>
          <w:tab w:val="left" w:pos="1656"/>
        </w:tabs>
        <w:ind w:left="1200"/>
        <w:jc w:val="both"/>
        <w:rPr>
          <w:rFonts w:eastAsia="Times New Roman"/>
          <w:sz w:val="24"/>
          <w:szCs w:val="24"/>
        </w:rPr>
      </w:pPr>
      <w:r w:rsidRPr="005C4739">
        <w:rPr>
          <w:rFonts w:eastAsia="Times New Roman"/>
          <w:sz w:val="24"/>
          <w:szCs w:val="24"/>
          <w:u w:val="single"/>
        </w:rPr>
        <w:t>Easements</w:t>
      </w:r>
      <w:r w:rsidRPr="005C4739">
        <w:rPr>
          <w:rFonts w:eastAsia="Times New Roman"/>
          <w:sz w:val="24"/>
          <w:szCs w:val="24"/>
        </w:rPr>
        <w:t xml:space="preserve"> The Department will not approve any grant of easement for pipelines, or other conduit, carrying liquid petroleum products within the Zone I of a PWS. For other public utility easements within Zone I, the Department may require as a condition of any grant of such easement an express perpetual prohibition on the use of fertilizers, pesticides, herbicides, and other non-mechanical means of vegetation control within the area subject to the easement.</w:t>
      </w:r>
    </w:p>
    <w:p w14:paraId="281A774E" w14:textId="77777777" w:rsidR="004647B9" w:rsidRPr="005C4739" w:rsidRDefault="004647B9" w:rsidP="005C4739">
      <w:pPr>
        <w:rPr>
          <w:rFonts w:eastAsia="Times New Roman"/>
          <w:sz w:val="24"/>
          <w:szCs w:val="24"/>
        </w:rPr>
      </w:pPr>
    </w:p>
    <w:p w14:paraId="281A7751" w14:textId="03CDF787" w:rsidR="004647B9" w:rsidRPr="00C51301" w:rsidRDefault="00E2436F" w:rsidP="00563A54">
      <w:pPr>
        <w:numPr>
          <w:ilvl w:val="0"/>
          <w:numId w:val="881"/>
        </w:numPr>
        <w:tabs>
          <w:tab w:val="left" w:pos="1656"/>
        </w:tabs>
        <w:ind w:left="1200"/>
        <w:jc w:val="both"/>
        <w:rPr>
          <w:rFonts w:eastAsia="Times New Roman"/>
          <w:sz w:val="24"/>
          <w:szCs w:val="24"/>
        </w:rPr>
      </w:pPr>
      <w:r w:rsidRPr="00C51301">
        <w:rPr>
          <w:rFonts w:eastAsia="Times New Roman"/>
          <w:sz w:val="24"/>
          <w:szCs w:val="24"/>
        </w:rPr>
        <w:t>The owner/operator of any public water system shall notify the Department in writing at least</w:t>
      </w:r>
      <w:r w:rsidR="005C4739" w:rsidRPr="00C51301">
        <w:rPr>
          <w:rFonts w:eastAsia="Times New Roman"/>
          <w:sz w:val="24"/>
          <w:szCs w:val="24"/>
        </w:rPr>
        <w:t xml:space="preserve"> </w:t>
      </w:r>
      <w:r w:rsidRPr="00C51301">
        <w:rPr>
          <w:rFonts w:eastAsia="Times New Roman"/>
          <w:sz w:val="24"/>
          <w:szCs w:val="24"/>
        </w:rPr>
        <w:t>30 days in advance of any:</w:t>
      </w:r>
    </w:p>
    <w:p w14:paraId="281A7753" w14:textId="77777777" w:rsidR="004647B9" w:rsidRPr="005C4739" w:rsidRDefault="00E2436F" w:rsidP="00563A54">
      <w:pPr>
        <w:numPr>
          <w:ilvl w:val="1"/>
          <w:numId w:val="881"/>
        </w:numPr>
        <w:tabs>
          <w:tab w:val="left" w:pos="2000"/>
        </w:tabs>
        <w:ind w:left="2000" w:hanging="445"/>
        <w:rPr>
          <w:rFonts w:eastAsia="Times New Roman"/>
          <w:sz w:val="24"/>
          <w:szCs w:val="24"/>
        </w:rPr>
      </w:pPr>
      <w:r w:rsidRPr="005C4739">
        <w:rPr>
          <w:rFonts w:eastAsia="Times New Roman"/>
          <w:sz w:val="24"/>
          <w:szCs w:val="24"/>
        </w:rPr>
        <w:t>proposed sale, change of system ownership, or transfer of the system; and/or</w:t>
      </w:r>
    </w:p>
    <w:p w14:paraId="281A7755" w14:textId="77777777" w:rsidR="004647B9" w:rsidRPr="00C51301" w:rsidRDefault="00E2436F" w:rsidP="00563A54">
      <w:pPr>
        <w:numPr>
          <w:ilvl w:val="1"/>
          <w:numId w:val="881"/>
        </w:numPr>
        <w:tabs>
          <w:tab w:val="left" w:pos="2027"/>
        </w:tabs>
        <w:ind w:left="1560" w:hanging="5"/>
        <w:jc w:val="both"/>
        <w:rPr>
          <w:rFonts w:eastAsia="Times New Roman"/>
          <w:sz w:val="24"/>
          <w:szCs w:val="24"/>
        </w:rPr>
      </w:pPr>
      <w:r w:rsidRPr="005C4739">
        <w:rPr>
          <w:rFonts w:eastAsia="Times New Roman"/>
          <w:sz w:val="24"/>
          <w:szCs w:val="24"/>
        </w:rPr>
        <w:t>changes that impact the classification of the system. Changes in system classification are subject to Department review and approval. For non-community systems, changes that impact the classification include changes in the type of facilities, service connections, population served or operating hours that may result in a change of transient use to non-</w:t>
      </w:r>
      <w:r w:rsidRPr="00C51301">
        <w:rPr>
          <w:rFonts w:eastAsia="Times New Roman"/>
          <w:sz w:val="24"/>
          <w:szCs w:val="24"/>
        </w:rPr>
        <w:t xml:space="preserve">transient use, or non-community use to community use according to the definition of a public water system pursuant to 310 CMR 22.02 and the </w:t>
      </w:r>
      <w:r w:rsidRPr="00C51301">
        <w:rPr>
          <w:rFonts w:eastAsia="Times New Roman"/>
          <w:i/>
          <w:iCs/>
          <w:sz w:val="24"/>
          <w:szCs w:val="24"/>
        </w:rPr>
        <w:t>Guidelines and Policies for Public</w:t>
      </w:r>
      <w:r w:rsidRPr="00C51301">
        <w:rPr>
          <w:rFonts w:eastAsia="Times New Roman"/>
          <w:sz w:val="24"/>
          <w:szCs w:val="24"/>
        </w:rPr>
        <w:t xml:space="preserve"> </w:t>
      </w:r>
      <w:r w:rsidRPr="00C51301">
        <w:rPr>
          <w:rFonts w:eastAsia="Times New Roman"/>
          <w:i/>
          <w:iCs/>
          <w:sz w:val="24"/>
          <w:szCs w:val="24"/>
        </w:rPr>
        <w:t>Water Systems</w:t>
      </w:r>
      <w:r w:rsidRPr="00C51301">
        <w:rPr>
          <w:rFonts w:eastAsia="Times New Roman"/>
          <w:sz w:val="24"/>
          <w:szCs w:val="24"/>
        </w:rPr>
        <w:t>.</w:t>
      </w:r>
    </w:p>
    <w:p w14:paraId="281A7756" w14:textId="1A1002EA" w:rsidR="004647B9" w:rsidRDefault="004647B9" w:rsidP="00C51301">
      <w:pPr>
        <w:rPr>
          <w:sz w:val="24"/>
          <w:szCs w:val="24"/>
        </w:rPr>
      </w:pPr>
    </w:p>
    <w:p w14:paraId="734C8C1E" w14:textId="3EE2B352" w:rsidR="00AA440B" w:rsidRPr="00123524" w:rsidRDefault="00654C66" w:rsidP="007172E6">
      <w:pPr>
        <w:numPr>
          <w:ilvl w:val="0"/>
          <w:numId w:val="881"/>
        </w:numPr>
        <w:tabs>
          <w:tab w:val="left" w:pos="1656"/>
        </w:tabs>
        <w:ind w:left="1200"/>
        <w:jc w:val="both"/>
        <w:rPr>
          <w:sz w:val="24"/>
          <w:szCs w:val="24"/>
        </w:rPr>
      </w:pPr>
      <w:r>
        <w:rPr>
          <w:sz w:val="24"/>
          <w:szCs w:val="24"/>
        </w:rPr>
        <w:t xml:space="preserve">The sale, </w:t>
      </w:r>
      <w:r w:rsidR="005611C3">
        <w:rPr>
          <w:sz w:val="24"/>
          <w:szCs w:val="24"/>
        </w:rPr>
        <w:t xml:space="preserve">lease, assignment, or other disposal of, or change in use of, land within a Zone I is </w:t>
      </w:r>
      <w:r w:rsidR="008416E4">
        <w:rPr>
          <w:sz w:val="24"/>
          <w:szCs w:val="24"/>
        </w:rPr>
        <w:t xml:space="preserve">subject to the requirements set forth in </w:t>
      </w:r>
      <w:r w:rsidR="001208EE" w:rsidRPr="00123524">
        <w:rPr>
          <w:sz w:val="24"/>
          <w:szCs w:val="24"/>
        </w:rPr>
        <w:t>310 CMR 22.21(3)(b).</w:t>
      </w:r>
    </w:p>
    <w:p w14:paraId="6DBCFEBA" w14:textId="77777777" w:rsidR="004A49AD" w:rsidRPr="00123524" w:rsidRDefault="004A49AD" w:rsidP="007540A9">
      <w:pPr>
        <w:tabs>
          <w:tab w:val="left" w:pos="1656"/>
        </w:tabs>
        <w:jc w:val="both"/>
        <w:rPr>
          <w:sz w:val="24"/>
          <w:szCs w:val="24"/>
        </w:rPr>
      </w:pPr>
    </w:p>
    <w:p w14:paraId="6C0AFE97" w14:textId="5DF5B36B" w:rsidR="007540A9" w:rsidRPr="00123524" w:rsidRDefault="007540A9" w:rsidP="007540A9">
      <w:pPr>
        <w:numPr>
          <w:ilvl w:val="0"/>
          <w:numId w:val="881"/>
        </w:numPr>
        <w:tabs>
          <w:tab w:val="left" w:pos="1656"/>
        </w:tabs>
        <w:ind w:left="1200"/>
        <w:jc w:val="both"/>
        <w:rPr>
          <w:sz w:val="24"/>
          <w:szCs w:val="24"/>
        </w:rPr>
      </w:pPr>
      <w:bookmarkStart w:id="339" w:name="_Hlk95228710"/>
      <w:r w:rsidRPr="00123524">
        <w:rPr>
          <w:rFonts w:eastAsia="Times New Roman"/>
          <w:sz w:val="24"/>
          <w:szCs w:val="24"/>
          <w:u w:val="single"/>
        </w:rPr>
        <w:t>Acquisition of Water Supply Land</w:t>
      </w:r>
      <w:r w:rsidRPr="00123524">
        <w:rPr>
          <w:rFonts w:eastAsia="Times New Roman"/>
          <w:sz w:val="24"/>
          <w:szCs w:val="24"/>
        </w:rPr>
        <w:t xml:space="preserve">.  </w:t>
      </w:r>
      <w:r w:rsidR="0055465B">
        <w:rPr>
          <w:rFonts w:eastAsia="Times New Roman"/>
          <w:sz w:val="24"/>
          <w:szCs w:val="24"/>
        </w:rPr>
        <w:t xml:space="preserve">A </w:t>
      </w:r>
      <w:r w:rsidR="00275EB6">
        <w:rPr>
          <w:rFonts w:eastAsia="Times New Roman"/>
          <w:sz w:val="24"/>
          <w:szCs w:val="24"/>
        </w:rPr>
        <w:t>S</w:t>
      </w:r>
      <w:r w:rsidR="0055465B">
        <w:rPr>
          <w:rFonts w:eastAsia="Times New Roman"/>
          <w:sz w:val="24"/>
          <w:szCs w:val="24"/>
        </w:rPr>
        <w:t xml:space="preserve">upplier of </w:t>
      </w:r>
      <w:r w:rsidR="00275EB6">
        <w:rPr>
          <w:rFonts w:eastAsia="Times New Roman"/>
          <w:sz w:val="24"/>
          <w:szCs w:val="24"/>
        </w:rPr>
        <w:t>W</w:t>
      </w:r>
      <w:r w:rsidR="0055465B">
        <w:rPr>
          <w:rFonts w:eastAsia="Times New Roman"/>
          <w:sz w:val="24"/>
          <w:szCs w:val="24"/>
        </w:rPr>
        <w:t>ater shall obtain t</w:t>
      </w:r>
      <w:r w:rsidR="000A202A">
        <w:rPr>
          <w:sz w:val="24"/>
          <w:szCs w:val="24"/>
        </w:rPr>
        <w:t xml:space="preserve">he </w:t>
      </w:r>
      <w:r w:rsidR="000A202A">
        <w:rPr>
          <w:rFonts w:eastAsia="Times New Roman"/>
          <w:sz w:val="24"/>
          <w:szCs w:val="24"/>
        </w:rPr>
        <w:t xml:space="preserve">Department’s </w:t>
      </w:r>
      <w:r w:rsidR="005A7BD2">
        <w:rPr>
          <w:sz w:val="24"/>
          <w:szCs w:val="24"/>
        </w:rPr>
        <w:t xml:space="preserve">written </w:t>
      </w:r>
      <w:r w:rsidRPr="00123524">
        <w:rPr>
          <w:sz w:val="24"/>
          <w:szCs w:val="24"/>
        </w:rPr>
        <w:t xml:space="preserve">approval </w:t>
      </w:r>
      <w:r w:rsidR="006B7F12">
        <w:rPr>
          <w:rFonts w:eastAsia="Times New Roman"/>
          <w:sz w:val="24"/>
          <w:szCs w:val="24"/>
        </w:rPr>
        <w:t xml:space="preserve">prior to acquiring or taking </w:t>
      </w:r>
      <w:r w:rsidR="006B7F12" w:rsidRPr="00123524">
        <w:rPr>
          <w:sz w:val="24"/>
          <w:szCs w:val="24"/>
        </w:rPr>
        <w:t xml:space="preserve">any </w:t>
      </w:r>
      <w:r w:rsidR="006B7F12">
        <w:rPr>
          <w:sz w:val="24"/>
          <w:szCs w:val="24"/>
        </w:rPr>
        <w:t>land which is</w:t>
      </w:r>
      <w:r w:rsidR="00302B35">
        <w:rPr>
          <w:sz w:val="24"/>
          <w:szCs w:val="24"/>
        </w:rPr>
        <w:t>,</w:t>
      </w:r>
      <w:r w:rsidR="006B7F12">
        <w:rPr>
          <w:sz w:val="24"/>
          <w:szCs w:val="24"/>
        </w:rPr>
        <w:t xml:space="preserve"> or as a result of such action</w:t>
      </w:r>
      <w:r w:rsidR="00302B35">
        <w:rPr>
          <w:sz w:val="24"/>
          <w:szCs w:val="24"/>
        </w:rPr>
        <w:t>,</w:t>
      </w:r>
      <w:r w:rsidR="006B7F12">
        <w:rPr>
          <w:sz w:val="24"/>
          <w:szCs w:val="24"/>
        </w:rPr>
        <w:t xml:space="preserve"> becomes </w:t>
      </w:r>
      <w:r w:rsidR="006B7F12" w:rsidRPr="00123524">
        <w:rPr>
          <w:sz w:val="24"/>
          <w:szCs w:val="24"/>
        </w:rPr>
        <w:t>Water Supply Lan</w:t>
      </w:r>
      <w:r w:rsidR="006B7F12">
        <w:rPr>
          <w:sz w:val="24"/>
          <w:szCs w:val="24"/>
        </w:rPr>
        <w:t>d.</w:t>
      </w:r>
    </w:p>
    <w:p w14:paraId="7CD5C509" w14:textId="77777777" w:rsidR="007540A9" w:rsidRPr="00123524" w:rsidRDefault="007540A9" w:rsidP="007540A9">
      <w:pPr>
        <w:rPr>
          <w:sz w:val="24"/>
          <w:szCs w:val="24"/>
          <w:u w:val="single"/>
        </w:rPr>
      </w:pPr>
    </w:p>
    <w:p w14:paraId="2FF4F6E9" w14:textId="77777777" w:rsidR="007540A9" w:rsidRPr="00123524" w:rsidRDefault="007540A9" w:rsidP="007540A9">
      <w:pPr>
        <w:numPr>
          <w:ilvl w:val="0"/>
          <w:numId w:val="881"/>
        </w:numPr>
        <w:tabs>
          <w:tab w:val="left" w:pos="1656"/>
        </w:tabs>
        <w:ind w:left="1200"/>
        <w:jc w:val="both"/>
        <w:rPr>
          <w:rFonts w:eastAsia="Times New Roman"/>
          <w:sz w:val="24"/>
          <w:szCs w:val="24"/>
        </w:rPr>
      </w:pPr>
      <w:r w:rsidRPr="00123524">
        <w:rPr>
          <w:sz w:val="24"/>
          <w:szCs w:val="24"/>
          <w:u w:val="single"/>
        </w:rPr>
        <w:t>Permits and Fees</w:t>
      </w:r>
      <w:r w:rsidRPr="00123524">
        <w:rPr>
          <w:sz w:val="24"/>
          <w:szCs w:val="24"/>
        </w:rPr>
        <w:t>.</w:t>
      </w:r>
    </w:p>
    <w:p w14:paraId="63B1203C" w14:textId="71BA872E" w:rsidR="007540A9" w:rsidRPr="00123524" w:rsidRDefault="007540A9" w:rsidP="007540A9">
      <w:pPr>
        <w:pStyle w:val="ListParagraph"/>
        <w:numPr>
          <w:ilvl w:val="1"/>
          <w:numId w:val="1035"/>
        </w:numPr>
        <w:tabs>
          <w:tab w:val="left" w:pos="2070"/>
        </w:tabs>
        <w:ind w:left="1620"/>
        <w:rPr>
          <w:sz w:val="24"/>
          <w:szCs w:val="24"/>
        </w:rPr>
      </w:pPr>
      <w:r w:rsidRPr="00123524">
        <w:rPr>
          <w:rFonts w:eastAsia="Times New Roman"/>
          <w:sz w:val="24"/>
          <w:szCs w:val="24"/>
        </w:rPr>
        <w:t xml:space="preserve">A </w:t>
      </w:r>
      <w:r w:rsidR="00275EB6">
        <w:rPr>
          <w:rFonts w:eastAsia="Times New Roman"/>
          <w:sz w:val="24"/>
          <w:szCs w:val="24"/>
        </w:rPr>
        <w:t>S</w:t>
      </w:r>
      <w:r w:rsidRPr="00123524">
        <w:rPr>
          <w:rFonts w:eastAsia="Times New Roman"/>
          <w:sz w:val="24"/>
          <w:szCs w:val="24"/>
        </w:rPr>
        <w:t xml:space="preserve">upplier of </w:t>
      </w:r>
      <w:r w:rsidR="00275EB6">
        <w:rPr>
          <w:rFonts w:eastAsia="Times New Roman"/>
          <w:sz w:val="24"/>
          <w:szCs w:val="24"/>
        </w:rPr>
        <w:t>W</w:t>
      </w:r>
      <w:r w:rsidRPr="00123524">
        <w:rPr>
          <w:rFonts w:eastAsia="Times New Roman"/>
          <w:sz w:val="24"/>
          <w:szCs w:val="24"/>
        </w:rPr>
        <w:t>ater, prior to any sale</w:t>
      </w:r>
      <w:r w:rsidR="000B2C77" w:rsidRPr="00821F82">
        <w:rPr>
          <w:rFonts w:eastAsia="Times New Roman"/>
          <w:sz w:val="24"/>
          <w:szCs w:val="24"/>
        </w:rPr>
        <w:t>, lease</w:t>
      </w:r>
      <w:r w:rsidR="00B112E2" w:rsidRPr="00821F82">
        <w:rPr>
          <w:rFonts w:eastAsia="Times New Roman"/>
          <w:sz w:val="24"/>
          <w:szCs w:val="24"/>
        </w:rPr>
        <w:t>,</w:t>
      </w:r>
      <w:r w:rsidR="000B2C77" w:rsidRPr="00821F82">
        <w:rPr>
          <w:rFonts w:eastAsia="Times New Roman"/>
          <w:sz w:val="24"/>
          <w:szCs w:val="24"/>
        </w:rPr>
        <w:t xml:space="preserve"> assignment</w:t>
      </w:r>
      <w:r w:rsidR="00B112E2" w:rsidRPr="00821F82">
        <w:rPr>
          <w:rFonts w:eastAsia="Times New Roman"/>
          <w:sz w:val="24"/>
          <w:szCs w:val="24"/>
        </w:rPr>
        <w:t xml:space="preserve">, </w:t>
      </w:r>
      <w:r w:rsidR="000B2C77" w:rsidRPr="00821F82">
        <w:rPr>
          <w:rFonts w:eastAsia="Times New Roman"/>
          <w:sz w:val="24"/>
          <w:szCs w:val="24"/>
        </w:rPr>
        <w:t>or other disposition of or change in use</w:t>
      </w:r>
      <w:r w:rsidRPr="00821F82">
        <w:rPr>
          <w:rFonts w:eastAsia="Times New Roman"/>
          <w:sz w:val="24"/>
          <w:szCs w:val="24"/>
        </w:rPr>
        <w:t xml:space="preserve"> of</w:t>
      </w:r>
      <w:r w:rsidRPr="00123524">
        <w:rPr>
          <w:rFonts w:eastAsia="Times New Roman"/>
          <w:sz w:val="24"/>
          <w:szCs w:val="24"/>
        </w:rPr>
        <w:t xml:space="preserve"> Water Supply Land subject to the Department’s approval pursuant to 310 CMR 22.24(1) </w:t>
      </w:r>
      <w:bookmarkEnd w:id="339"/>
      <w:r w:rsidRPr="00123524">
        <w:rPr>
          <w:rFonts w:eastAsia="Times New Roman"/>
          <w:sz w:val="24"/>
          <w:szCs w:val="24"/>
        </w:rPr>
        <w:t xml:space="preserve">or </w:t>
      </w:r>
      <w:r w:rsidRPr="00123524">
        <w:rPr>
          <w:sz w:val="24"/>
          <w:szCs w:val="24"/>
        </w:rPr>
        <w:t xml:space="preserve">any </w:t>
      </w:r>
      <w:r w:rsidR="00F82001">
        <w:rPr>
          <w:sz w:val="24"/>
          <w:szCs w:val="24"/>
        </w:rPr>
        <w:t xml:space="preserve">taking or </w:t>
      </w:r>
      <w:r w:rsidRPr="00123524">
        <w:rPr>
          <w:sz w:val="24"/>
          <w:szCs w:val="24"/>
        </w:rPr>
        <w:t xml:space="preserve">acquisition of Water Supply Land subject to the Department’s approval pursuant to 310 CMR 22.24(6), shall obtain a permit using a form approved by the Department.  </w:t>
      </w:r>
    </w:p>
    <w:p w14:paraId="1D2E849A" w14:textId="33559B88" w:rsidR="007540A9" w:rsidRPr="00123524" w:rsidRDefault="007540A9" w:rsidP="0044461E">
      <w:pPr>
        <w:pStyle w:val="ListParagraph"/>
        <w:numPr>
          <w:ilvl w:val="0"/>
          <w:numId w:val="1091"/>
        </w:numPr>
        <w:tabs>
          <w:tab w:val="left" w:pos="2070"/>
        </w:tabs>
        <w:ind w:left="1620"/>
        <w:rPr>
          <w:sz w:val="24"/>
          <w:szCs w:val="24"/>
        </w:rPr>
      </w:pPr>
      <w:r w:rsidRPr="00123524">
        <w:rPr>
          <w:sz w:val="24"/>
          <w:szCs w:val="24"/>
        </w:rPr>
        <w:t xml:space="preserve">Permit fees, where applicable, are established by the Department in accordance with 310 CMR 4.00: </w:t>
      </w:r>
      <w:r w:rsidRPr="000F0FAA">
        <w:rPr>
          <w:i/>
          <w:iCs/>
          <w:sz w:val="24"/>
          <w:szCs w:val="24"/>
        </w:rPr>
        <w:t>Timely Action Schedule and Fee Provisions</w:t>
      </w:r>
      <w:r w:rsidRPr="00123524">
        <w:rPr>
          <w:sz w:val="24"/>
          <w:szCs w:val="24"/>
        </w:rPr>
        <w:t>.</w:t>
      </w:r>
    </w:p>
    <w:p w14:paraId="41AE7C0F" w14:textId="77777777" w:rsidR="00AA440B" w:rsidRPr="00C51301" w:rsidRDefault="00AA440B" w:rsidP="00C51301">
      <w:pPr>
        <w:rPr>
          <w:sz w:val="24"/>
          <w:szCs w:val="24"/>
        </w:rPr>
      </w:pPr>
    </w:p>
    <w:p w14:paraId="281A7757" w14:textId="77777777" w:rsidR="004647B9" w:rsidRPr="00C51301" w:rsidRDefault="00E2436F" w:rsidP="00C51301">
      <w:pPr>
        <w:tabs>
          <w:tab w:val="left" w:pos="760"/>
        </w:tabs>
        <w:rPr>
          <w:sz w:val="24"/>
          <w:szCs w:val="24"/>
        </w:rPr>
      </w:pPr>
      <w:r w:rsidRPr="00C51301">
        <w:rPr>
          <w:rFonts w:eastAsia="Times New Roman"/>
          <w:sz w:val="24"/>
          <w:szCs w:val="24"/>
          <w:u w:val="single"/>
        </w:rPr>
        <w:t>22.25:</w:t>
      </w:r>
      <w:r w:rsidRPr="00C51301">
        <w:rPr>
          <w:sz w:val="24"/>
          <w:szCs w:val="24"/>
        </w:rPr>
        <w:tab/>
      </w:r>
      <w:r w:rsidRPr="00C51301">
        <w:rPr>
          <w:rFonts w:eastAsia="Times New Roman"/>
          <w:sz w:val="24"/>
          <w:szCs w:val="24"/>
          <w:u w:val="single"/>
        </w:rPr>
        <w:t>Abandonment of Water Supply Sources</w:t>
      </w:r>
    </w:p>
    <w:p w14:paraId="281A7758" w14:textId="77777777" w:rsidR="004647B9" w:rsidRPr="00C51301" w:rsidRDefault="004647B9" w:rsidP="00C51301">
      <w:pPr>
        <w:rPr>
          <w:sz w:val="24"/>
          <w:szCs w:val="24"/>
        </w:rPr>
      </w:pPr>
    </w:p>
    <w:p w14:paraId="281A7759" w14:textId="77777777" w:rsidR="004647B9" w:rsidRPr="00C51301" w:rsidRDefault="00E2436F" w:rsidP="00563A54">
      <w:pPr>
        <w:numPr>
          <w:ilvl w:val="0"/>
          <w:numId w:val="882"/>
        </w:numPr>
        <w:tabs>
          <w:tab w:val="left" w:pos="1660"/>
        </w:tabs>
        <w:ind w:left="1200"/>
        <w:jc w:val="both"/>
        <w:rPr>
          <w:rFonts w:eastAsia="Times New Roman"/>
          <w:sz w:val="24"/>
          <w:szCs w:val="24"/>
        </w:rPr>
      </w:pPr>
      <w:r w:rsidRPr="00C51301">
        <w:rPr>
          <w:rFonts w:eastAsia="Times New Roman"/>
          <w:sz w:val="24"/>
          <w:szCs w:val="24"/>
        </w:rPr>
        <w:t>No supplier of water may remove a public water system source from service or abandon a public water system source without the prior written approval of the Department. The Department will not approve any such action unless the supplier of water demonstrates to the Department's satisfaction that such action will have no significant adverse impact upon the supplier of water's present and future ability to provide continuous adequate service to consumers under routine and emergency operating conditions, including emergencies concerning the contamination of sources of supply, failure of the distribution system and shortage of supply.</w:t>
      </w:r>
    </w:p>
    <w:p w14:paraId="281A775A" w14:textId="77777777" w:rsidR="004647B9" w:rsidRPr="00C51301" w:rsidRDefault="004647B9" w:rsidP="00C51301">
      <w:pPr>
        <w:rPr>
          <w:rFonts w:eastAsia="Times New Roman"/>
          <w:sz w:val="24"/>
          <w:szCs w:val="24"/>
        </w:rPr>
      </w:pPr>
    </w:p>
    <w:p w14:paraId="281A775B" w14:textId="77777777" w:rsidR="004647B9" w:rsidRPr="00C51301" w:rsidRDefault="00E2436F" w:rsidP="00563A54">
      <w:pPr>
        <w:numPr>
          <w:ilvl w:val="0"/>
          <w:numId w:val="882"/>
        </w:numPr>
        <w:tabs>
          <w:tab w:val="left" w:pos="1631"/>
        </w:tabs>
        <w:ind w:left="1200"/>
        <w:jc w:val="both"/>
        <w:rPr>
          <w:rFonts w:eastAsia="Times New Roman"/>
          <w:sz w:val="24"/>
          <w:szCs w:val="24"/>
        </w:rPr>
      </w:pPr>
      <w:r w:rsidRPr="00C51301">
        <w:rPr>
          <w:rFonts w:eastAsia="Times New Roman"/>
          <w:sz w:val="24"/>
          <w:szCs w:val="24"/>
        </w:rPr>
        <w:t>The supplier of water shall maintain each public water system source removed from service as an emergency source unless the Department approves its disposition in accordance with 310 CMR 22.24 or its abandonment in accordance with 310 CMR 22.25. All public water system groundwater sources approved for abandonment or permanent closure may continue to be used as non-public water system sources. The Department may require closure of certain groundwater sources in a manner that minimizes the potential for groundwater contamination and public health risk, by permanently preventing vertical movement of water within the borehole and annular space and eliminating all physical hazards at the ground surface associated with the well's construction or location. Proposals for permanent closure shall describe the closure method and materials to be used and shall be submitted to the Department for review and approval.</w:t>
      </w:r>
    </w:p>
    <w:p w14:paraId="281A775C" w14:textId="77777777" w:rsidR="004647B9" w:rsidRPr="00C51301" w:rsidRDefault="004647B9" w:rsidP="00C51301">
      <w:pPr>
        <w:rPr>
          <w:sz w:val="24"/>
          <w:szCs w:val="24"/>
        </w:rPr>
      </w:pPr>
    </w:p>
    <w:p w14:paraId="281A775D" w14:textId="6F76A913" w:rsidR="004647B9" w:rsidRPr="00C51301" w:rsidRDefault="00E2436F" w:rsidP="00C51301">
      <w:pPr>
        <w:rPr>
          <w:sz w:val="24"/>
          <w:szCs w:val="24"/>
        </w:rPr>
      </w:pPr>
      <w:r w:rsidRPr="00C51301">
        <w:rPr>
          <w:rFonts w:eastAsia="Times New Roman"/>
          <w:sz w:val="24"/>
          <w:szCs w:val="24"/>
          <w:u w:val="single"/>
        </w:rPr>
        <w:t>22.26</w:t>
      </w:r>
      <w:r w:rsidR="00C51301" w:rsidRPr="00C51301">
        <w:rPr>
          <w:rFonts w:eastAsia="Times New Roman"/>
          <w:sz w:val="24"/>
          <w:szCs w:val="24"/>
          <w:u w:val="single"/>
        </w:rPr>
        <w:t>:</w:t>
      </w:r>
      <w:r w:rsidR="00C51301" w:rsidRPr="00C51301">
        <w:rPr>
          <w:rFonts w:eastAsia="Times New Roman"/>
          <w:sz w:val="24"/>
          <w:szCs w:val="24"/>
        </w:rPr>
        <w:tab/>
      </w:r>
      <w:r w:rsidRPr="00C51301">
        <w:rPr>
          <w:rFonts w:eastAsia="Times New Roman"/>
          <w:sz w:val="24"/>
          <w:szCs w:val="24"/>
          <w:u w:val="single"/>
        </w:rPr>
        <w:t>Ground Water Rule</w:t>
      </w:r>
    </w:p>
    <w:p w14:paraId="281A775E" w14:textId="77777777" w:rsidR="004647B9" w:rsidRPr="00C51301" w:rsidRDefault="004647B9" w:rsidP="00C51301">
      <w:pPr>
        <w:rPr>
          <w:sz w:val="24"/>
          <w:szCs w:val="24"/>
        </w:rPr>
      </w:pPr>
    </w:p>
    <w:p w14:paraId="281A775F" w14:textId="77777777" w:rsidR="004647B9" w:rsidRPr="00C51301" w:rsidRDefault="00E2436F" w:rsidP="00563A54">
      <w:pPr>
        <w:numPr>
          <w:ilvl w:val="0"/>
          <w:numId w:val="883"/>
        </w:numPr>
        <w:tabs>
          <w:tab w:val="left" w:pos="1660"/>
        </w:tabs>
        <w:ind w:left="1660" w:hanging="460"/>
        <w:rPr>
          <w:rFonts w:eastAsia="Times New Roman"/>
          <w:sz w:val="24"/>
          <w:szCs w:val="24"/>
        </w:rPr>
      </w:pPr>
      <w:r w:rsidRPr="00C51301">
        <w:rPr>
          <w:rFonts w:eastAsia="Times New Roman"/>
          <w:sz w:val="24"/>
          <w:szCs w:val="24"/>
          <w:u w:val="single"/>
        </w:rPr>
        <w:t>General Requirements and Applicability</w:t>
      </w:r>
      <w:r w:rsidRPr="00C51301">
        <w:rPr>
          <w:rFonts w:eastAsia="Times New Roman"/>
          <w:sz w:val="24"/>
          <w:szCs w:val="24"/>
        </w:rPr>
        <w:t>.</w:t>
      </w:r>
    </w:p>
    <w:p w14:paraId="281A7761" w14:textId="77777777" w:rsidR="004647B9" w:rsidRPr="00C51301" w:rsidRDefault="00E2436F" w:rsidP="00563A54">
      <w:pPr>
        <w:numPr>
          <w:ilvl w:val="1"/>
          <w:numId w:val="883"/>
        </w:numPr>
        <w:tabs>
          <w:tab w:val="left" w:pos="1958"/>
        </w:tabs>
        <w:ind w:left="1560" w:hanging="5"/>
        <w:jc w:val="both"/>
        <w:rPr>
          <w:rFonts w:eastAsia="Times New Roman"/>
          <w:sz w:val="24"/>
          <w:szCs w:val="24"/>
        </w:rPr>
      </w:pPr>
      <w:r w:rsidRPr="00C51301">
        <w:rPr>
          <w:rFonts w:eastAsia="Times New Roman"/>
          <w:sz w:val="24"/>
          <w:szCs w:val="24"/>
          <w:u w:val="single"/>
        </w:rPr>
        <w:lastRenderedPageBreak/>
        <w:t>Applicability</w:t>
      </w:r>
      <w:r w:rsidRPr="00C51301">
        <w:rPr>
          <w:rFonts w:eastAsia="Times New Roman"/>
          <w:sz w:val="24"/>
          <w:szCs w:val="24"/>
        </w:rPr>
        <w:t>. 310 CMR 22.26 applies to all Public Water Systems that use groundwater except that it does not apply to Public Water Systems that combine all of their groundwater with Surface Water or with Groundwater under the Direct Influence of Surface Water prior to treatment. For the purposes of 310 CMR 22.26, "groundwater system" is defined as any Public Water System meeting this applicability statement, including consecutive systems receiving finished groundwater.</w:t>
      </w:r>
    </w:p>
    <w:p w14:paraId="281A7763" w14:textId="77777777" w:rsidR="004647B9" w:rsidRPr="00C51301" w:rsidRDefault="00E2436F" w:rsidP="00563A54">
      <w:pPr>
        <w:numPr>
          <w:ilvl w:val="1"/>
          <w:numId w:val="883"/>
        </w:numPr>
        <w:tabs>
          <w:tab w:val="left" w:pos="2092"/>
        </w:tabs>
        <w:ind w:left="1560" w:hanging="5"/>
        <w:rPr>
          <w:rFonts w:eastAsia="Times New Roman"/>
          <w:sz w:val="24"/>
          <w:szCs w:val="24"/>
        </w:rPr>
      </w:pPr>
      <w:r w:rsidRPr="00C51301">
        <w:rPr>
          <w:rFonts w:eastAsia="Times New Roman"/>
          <w:sz w:val="24"/>
          <w:szCs w:val="24"/>
          <w:u w:val="single"/>
        </w:rPr>
        <w:t>General Requirements</w:t>
      </w:r>
      <w:r w:rsidRPr="00C51301">
        <w:rPr>
          <w:rFonts w:eastAsia="Times New Roman"/>
          <w:sz w:val="24"/>
          <w:szCs w:val="24"/>
        </w:rPr>
        <w:t>. Systems subject to 310 CMR 22.26 must comply with the following requirements:</w:t>
      </w:r>
    </w:p>
    <w:p w14:paraId="281A7764" w14:textId="77777777" w:rsidR="004647B9" w:rsidRPr="00C51301" w:rsidRDefault="00E2436F" w:rsidP="00563A54">
      <w:pPr>
        <w:numPr>
          <w:ilvl w:val="2"/>
          <w:numId w:val="883"/>
        </w:numPr>
        <w:tabs>
          <w:tab w:val="left" w:pos="2287"/>
        </w:tabs>
        <w:ind w:left="1920" w:hanging="5"/>
        <w:rPr>
          <w:rFonts w:eastAsia="Times New Roman"/>
          <w:sz w:val="24"/>
          <w:szCs w:val="24"/>
        </w:rPr>
      </w:pPr>
      <w:r w:rsidRPr="00C51301">
        <w:rPr>
          <w:rFonts w:eastAsia="Times New Roman"/>
          <w:sz w:val="24"/>
          <w:szCs w:val="24"/>
        </w:rPr>
        <w:t>Sanitary survey information requirements for all groundwater systems as described in 310 CMR 22.26(2).</w:t>
      </w:r>
    </w:p>
    <w:p w14:paraId="281A7765" w14:textId="77777777" w:rsidR="004647B9" w:rsidRPr="00C51301" w:rsidRDefault="00E2436F" w:rsidP="00563A54">
      <w:pPr>
        <w:numPr>
          <w:ilvl w:val="2"/>
          <w:numId w:val="883"/>
        </w:numPr>
        <w:tabs>
          <w:tab w:val="left" w:pos="2237"/>
        </w:tabs>
        <w:ind w:left="1920" w:hanging="5"/>
        <w:jc w:val="both"/>
        <w:rPr>
          <w:rFonts w:eastAsia="Times New Roman"/>
          <w:sz w:val="24"/>
          <w:szCs w:val="24"/>
        </w:rPr>
      </w:pPr>
      <w:r w:rsidRPr="00C51301">
        <w:rPr>
          <w:rFonts w:eastAsia="Times New Roman"/>
          <w:sz w:val="24"/>
          <w:szCs w:val="24"/>
        </w:rPr>
        <w:t>Microbial source water monitoring requirements for groundwater systems that do not treat all of their groundwater to at least 99.99% (4-log) treatment of Viruses (using inactivation, removal, or a Department-approved combination of 4-log Virus inactivation and removal) before or at the first customer as described in 310 CMR 22.26(3).</w:t>
      </w:r>
    </w:p>
    <w:p w14:paraId="281A7766" w14:textId="77777777" w:rsidR="004647B9" w:rsidRDefault="004647B9">
      <w:pPr>
        <w:sectPr w:rsidR="004647B9" w:rsidSect="00EF630C">
          <w:pgSz w:w="12240" w:h="20180"/>
          <w:pgMar w:top="708" w:right="1440" w:bottom="1440" w:left="540" w:header="0" w:footer="0" w:gutter="0"/>
          <w:cols w:space="720"/>
        </w:sectPr>
      </w:pPr>
    </w:p>
    <w:p w14:paraId="281A7767" w14:textId="77777777" w:rsidR="004647B9" w:rsidRDefault="00E2436F">
      <w:pPr>
        <w:tabs>
          <w:tab w:val="left" w:pos="160"/>
        </w:tabs>
        <w:ind w:right="-59"/>
        <w:jc w:val="center"/>
        <w:rPr>
          <w:sz w:val="20"/>
          <w:szCs w:val="20"/>
        </w:rPr>
      </w:pPr>
      <w:bookmarkStart w:id="340" w:name="page343"/>
      <w:bookmarkEnd w:id="340"/>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768" w14:textId="77777777" w:rsidR="004647B9" w:rsidRPr="00352ED9" w:rsidRDefault="004647B9" w:rsidP="00C51301">
      <w:pPr>
        <w:rPr>
          <w:sz w:val="20"/>
          <w:szCs w:val="20"/>
        </w:rPr>
      </w:pPr>
    </w:p>
    <w:p w14:paraId="281A7769" w14:textId="77777777" w:rsidR="004647B9" w:rsidRPr="00352ED9" w:rsidRDefault="004647B9" w:rsidP="00C51301">
      <w:pPr>
        <w:rPr>
          <w:sz w:val="20"/>
          <w:szCs w:val="20"/>
        </w:rPr>
      </w:pPr>
    </w:p>
    <w:p w14:paraId="281A776A" w14:textId="77777777" w:rsidR="004647B9" w:rsidRPr="00C51301" w:rsidRDefault="00E2436F" w:rsidP="00C51301">
      <w:pPr>
        <w:tabs>
          <w:tab w:val="left" w:pos="760"/>
        </w:tabs>
        <w:rPr>
          <w:sz w:val="24"/>
          <w:szCs w:val="24"/>
        </w:rPr>
      </w:pPr>
      <w:r w:rsidRPr="00C51301">
        <w:rPr>
          <w:rFonts w:eastAsia="Times New Roman"/>
          <w:sz w:val="24"/>
          <w:szCs w:val="24"/>
        </w:rPr>
        <w:t>22.26:</w:t>
      </w:r>
      <w:r w:rsidRPr="00C51301">
        <w:rPr>
          <w:rFonts w:eastAsia="Times New Roman"/>
          <w:sz w:val="24"/>
          <w:szCs w:val="24"/>
        </w:rPr>
        <w:tab/>
        <w:t>continued</w:t>
      </w:r>
    </w:p>
    <w:p w14:paraId="281A776B" w14:textId="77777777" w:rsidR="004647B9" w:rsidRPr="00352ED9" w:rsidRDefault="004647B9" w:rsidP="00C51301">
      <w:pPr>
        <w:rPr>
          <w:sz w:val="20"/>
          <w:szCs w:val="20"/>
        </w:rPr>
      </w:pPr>
    </w:p>
    <w:p w14:paraId="281A776C" w14:textId="77777777" w:rsidR="004647B9" w:rsidRPr="00C51301" w:rsidRDefault="00E2436F" w:rsidP="00563A54">
      <w:pPr>
        <w:numPr>
          <w:ilvl w:val="2"/>
          <w:numId w:val="884"/>
        </w:numPr>
        <w:tabs>
          <w:tab w:val="left" w:pos="2309"/>
        </w:tabs>
        <w:ind w:left="1920" w:hanging="5"/>
        <w:jc w:val="both"/>
        <w:rPr>
          <w:rFonts w:eastAsia="Times New Roman"/>
          <w:sz w:val="24"/>
          <w:szCs w:val="24"/>
        </w:rPr>
      </w:pPr>
      <w:r w:rsidRPr="00C51301">
        <w:rPr>
          <w:rFonts w:eastAsia="Times New Roman"/>
          <w:sz w:val="24"/>
          <w:szCs w:val="24"/>
        </w:rPr>
        <w:t>Treatment Technique requirements, described in 310 CMR 22.26(4), that apply to groundwater systems that have fecally contaminated source waters, as determined by source water monitoring conducted under 310 CMR 22.26(3), or that have significant deficiencies that are identified by the Department. A groundwater system with fecally contaminated source water or with significant deficiencies subject to the Treatment Technique requirements of 310 CMR 22.26 must implement one or more of the following corrective action options:</w:t>
      </w:r>
    </w:p>
    <w:p w14:paraId="281A776E" w14:textId="77777777" w:rsidR="004647B9" w:rsidRPr="00C51301" w:rsidRDefault="00E2436F" w:rsidP="00563A54">
      <w:pPr>
        <w:numPr>
          <w:ilvl w:val="3"/>
          <w:numId w:val="884"/>
        </w:numPr>
        <w:tabs>
          <w:tab w:val="left" w:pos="2620"/>
        </w:tabs>
        <w:ind w:left="2620" w:hanging="345"/>
        <w:rPr>
          <w:rFonts w:eastAsia="Times New Roman"/>
          <w:sz w:val="24"/>
          <w:szCs w:val="24"/>
        </w:rPr>
      </w:pPr>
      <w:r w:rsidRPr="00C51301">
        <w:rPr>
          <w:rFonts w:eastAsia="Times New Roman"/>
          <w:sz w:val="24"/>
          <w:szCs w:val="24"/>
        </w:rPr>
        <w:t>correct all significant deficiencies;</w:t>
      </w:r>
    </w:p>
    <w:p w14:paraId="281A7770" w14:textId="77777777" w:rsidR="004647B9" w:rsidRPr="00C51301" w:rsidRDefault="00E2436F" w:rsidP="00563A54">
      <w:pPr>
        <w:numPr>
          <w:ilvl w:val="3"/>
          <w:numId w:val="884"/>
        </w:numPr>
        <w:tabs>
          <w:tab w:val="left" w:pos="2640"/>
        </w:tabs>
        <w:ind w:left="2640" w:hanging="365"/>
        <w:rPr>
          <w:rFonts w:eastAsia="Times New Roman"/>
          <w:sz w:val="24"/>
          <w:szCs w:val="24"/>
        </w:rPr>
      </w:pPr>
      <w:r w:rsidRPr="00C51301">
        <w:rPr>
          <w:rFonts w:eastAsia="Times New Roman"/>
          <w:sz w:val="24"/>
          <w:szCs w:val="24"/>
        </w:rPr>
        <w:t>provide an alternate source of water;</w:t>
      </w:r>
    </w:p>
    <w:p w14:paraId="281A7772" w14:textId="77777777" w:rsidR="004647B9" w:rsidRPr="00C51301" w:rsidRDefault="00E2436F" w:rsidP="00563A54">
      <w:pPr>
        <w:numPr>
          <w:ilvl w:val="3"/>
          <w:numId w:val="884"/>
        </w:numPr>
        <w:tabs>
          <w:tab w:val="left" w:pos="2620"/>
        </w:tabs>
        <w:ind w:left="2620" w:hanging="345"/>
        <w:rPr>
          <w:rFonts w:eastAsia="Times New Roman"/>
          <w:sz w:val="24"/>
          <w:szCs w:val="24"/>
        </w:rPr>
      </w:pPr>
      <w:r w:rsidRPr="00C51301">
        <w:rPr>
          <w:rFonts w:eastAsia="Times New Roman"/>
          <w:sz w:val="24"/>
          <w:szCs w:val="24"/>
        </w:rPr>
        <w:t>eliminate the source of contamination; or</w:t>
      </w:r>
    </w:p>
    <w:p w14:paraId="281A7774" w14:textId="77777777" w:rsidR="004647B9" w:rsidRPr="00C51301" w:rsidRDefault="00E2436F" w:rsidP="00563A54">
      <w:pPr>
        <w:numPr>
          <w:ilvl w:val="3"/>
          <w:numId w:val="884"/>
        </w:numPr>
        <w:tabs>
          <w:tab w:val="left" w:pos="2611"/>
        </w:tabs>
        <w:ind w:left="2280" w:hanging="5"/>
        <w:jc w:val="both"/>
        <w:rPr>
          <w:rFonts w:eastAsia="Times New Roman"/>
          <w:sz w:val="24"/>
          <w:szCs w:val="24"/>
        </w:rPr>
      </w:pPr>
      <w:r w:rsidRPr="00C51301">
        <w:rPr>
          <w:rFonts w:eastAsia="Times New Roman"/>
          <w:sz w:val="24"/>
          <w:szCs w:val="24"/>
        </w:rPr>
        <w:t>provide treatment that reliably achieves at least 4-log treatment of Viruses (using inactivation, removal, or a Department-approved combination of 4-log Virus inactivation and removal) before or at the first customer.</w:t>
      </w:r>
    </w:p>
    <w:p w14:paraId="281A7776" w14:textId="77777777" w:rsidR="004647B9" w:rsidRPr="00C51301" w:rsidRDefault="00E2436F" w:rsidP="00563A54">
      <w:pPr>
        <w:numPr>
          <w:ilvl w:val="2"/>
          <w:numId w:val="884"/>
        </w:numPr>
        <w:tabs>
          <w:tab w:val="left" w:pos="2446"/>
        </w:tabs>
        <w:ind w:left="1920" w:hanging="5"/>
        <w:jc w:val="both"/>
        <w:rPr>
          <w:rFonts w:eastAsia="Times New Roman"/>
          <w:sz w:val="24"/>
          <w:szCs w:val="24"/>
        </w:rPr>
      </w:pPr>
      <w:r w:rsidRPr="00C51301">
        <w:rPr>
          <w:rFonts w:eastAsia="Times New Roman"/>
          <w:sz w:val="24"/>
          <w:szCs w:val="24"/>
        </w:rPr>
        <w:t>Groundwater systems that provide at least 4-log treatment of Viruses (using inactivation, removal, or a Department-approved combination of 4-log Virus inactivation and removal) before or at the first customer are required to conduct compliance monitoring to demonstrate treatment effectiveness, as described in 310 CMR 22.26(4)(b).</w:t>
      </w:r>
    </w:p>
    <w:p w14:paraId="281A7778" w14:textId="77777777" w:rsidR="004647B9" w:rsidRPr="00C51301" w:rsidRDefault="00E2436F" w:rsidP="00563A54">
      <w:pPr>
        <w:numPr>
          <w:ilvl w:val="1"/>
          <w:numId w:val="885"/>
        </w:numPr>
        <w:tabs>
          <w:tab w:val="left" w:pos="1968"/>
        </w:tabs>
        <w:ind w:left="1560" w:hanging="5"/>
        <w:rPr>
          <w:rFonts w:eastAsia="Times New Roman"/>
          <w:sz w:val="24"/>
          <w:szCs w:val="24"/>
        </w:rPr>
      </w:pPr>
      <w:r w:rsidRPr="00C51301">
        <w:rPr>
          <w:rFonts w:eastAsia="Times New Roman"/>
          <w:sz w:val="24"/>
          <w:szCs w:val="24"/>
          <w:u w:val="single"/>
        </w:rPr>
        <w:t>Compliance Date</w:t>
      </w:r>
      <w:r w:rsidRPr="00C51301">
        <w:rPr>
          <w:rFonts w:eastAsia="Times New Roman"/>
          <w:sz w:val="24"/>
          <w:szCs w:val="24"/>
        </w:rPr>
        <w:t>. Groundwater systems must comply, unless otherwise noted, with the requirements of 310 CMR 22.26 beginning December 1, 2009.</w:t>
      </w:r>
    </w:p>
    <w:p w14:paraId="281A7779" w14:textId="77777777" w:rsidR="004647B9" w:rsidRPr="00C51301" w:rsidRDefault="004647B9" w:rsidP="00C51301">
      <w:pPr>
        <w:rPr>
          <w:rFonts w:eastAsia="Times New Roman"/>
          <w:sz w:val="24"/>
          <w:szCs w:val="24"/>
        </w:rPr>
      </w:pPr>
    </w:p>
    <w:p w14:paraId="281A777A" w14:textId="77777777" w:rsidR="004647B9" w:rsidRPr="00C51301" w:rsidRDefault="00E2436F" w:rsidP="00563A54">
      <w:pPr>
        <w:numPr>
          <w:ilvl w:val="0"/>
          <w:numId w:val="886"/>
        </w:numPr>
        <w:tabs>
          <w:tab w:val="left" w:pos="1660"/>
        </w:tabs>
        <w:ind w:left="1660" w:hanging="460"/>
        <w:rPr>
          <w:rFonts w:eastAsia="Times New Roman"/>
          <w:sz w:val="24"/>
          <w:szCs w:val="24"/>
        </w:rPr>
      </w:pPr>
      <w:r w:rsidRPr="00C51301">
        <w:rPr>
          <w:rFonts w:eastAsia="Times New Roman"/>
          <w:sz w:val="24"/>
          <w:szCs w:val="24"/>
          <w:u w:val="single"/>
        </w:rPr>
        <w:t>Sanitary Surveys for Groundwater Systems</w:t>
      </w:r>
      <w:r w:rsidRPr="00C51301">
        <w:rPr>
          <w:rFonts w:eastAsia="Times New Roman"/>
          <w:sz w:val="24"/>
          <w:szCs w:val="24"/>
        </w:rPr>
        <w:t>.</w:t>
      </w:r>
    </w:p>
    <w:p w14:paraId="281A777C" w14:textId="77777777" w:rsidR="004647B9" w:rsidRPr="00C51301" w:rsidRDefault="00E2436F" w:rsidP="00563A54">
      <w:pPr>
        <w:numPr>
          <w:ilvl w:val="1"/>
          <w:numId w:val="886"/>
        </w:numPr>
        <w:tabs>
          <w:tab w:val="left" w:pos="2031"/>
        </w:tabs>
        <w:ind w:left="1560" w:hanging="5"/>
        <w:jc w:val="both"/>
        <w:rPr>
          <w:rFonts w:eastAsia="Times New Roman"/>
          <w:sz w:val="24"/>
          <w:szCs w:val="24"/>
        </w:rPr>
      </w:pPr>
      <w:r w:rsidRPr="00C51301">
        <w:rPr>
          <w:rFonts w:eastAsia="Times New Roman"/>
          <w:sz w:val="24"/>
          <w:szCs w:val="24"/>
        </w:rPr>
        <w:t>Groundwater systems must provide the Department or its agents, at the Department's request, any existing information that will enable the Department to conduct a Sanitary Survey.</w:t>
      </w:r>
    </w:p>
    <w:p w14:paraId="281A777E" w14:textId="77777777" w:rsidR="004647B9" w:rsidRPr="00C51301" w:rsidRDefault="00E2436F" w:rsidP="00563A54">
      <w:pPr>
        <w:numPr>
          <w:ilvl w:val="1"/>
          <w:numId w:val="886"/>
        </w:numPr>
        <w:tabs>
          <w:tab w:val="left" w:pos="1977"/>
        </w:tabs>
        <w:ind w:left="1560" w:hanging="5"/>
        <w:jc w:val="both"/>
        <w:rPr>
          <w:rFonts w:eastAsia="Times New Roman"/>
          <w:sz w:val="24"/>
          <w:szCs w:val="24"/>
        </w:rPr>
      </w:pPr>
      <w:r w:rsidRPr="00C51301">
        <w:rPr>
          <w:rFonts w:eastAsia="Times New Roman"/>
          <w:sz w:val="24"/>
          <w:szCs w:val="24"/>
        </w:rPr>
        <w:t>For the purposes of 310 CMR 22.26, a Sanitary Survey, as conducted by the Department or its agents, includes but is not limited to, an onsite review of the water source(s) (identifying sources of contamination by using results of source water assessments or other relevant information where available), facilities, equipment, operation, maintenance, and monitoring compliance of a Public Water System to evaluate the adequacy of the system, its sources and operations and the distribution of safe drinking water.</w:t>
      </w:r>
    </w:p>
    <w:p w14:paraId="281A7780" w14:textId="77777777" w:rsidR="004647B9" w:rsidRPr="00C51301" w:rsidRDefault="00E2436F" w:rsidP="00563A54">
      <w:pPr>
        <w:numPr>
          <w:ilvl w:val="1"/>
          <w:numId w:val="886"/>
        </w:numPr>
        <w:tabs>
          <w:tab w:val="left" w:pos="2042"/>
        </w:tabs>
        <w:ind w:left="1560" w:hanging="5"/>
        <w:rPr>
          <w:rFonts w:eastAsia="Times New Roman"/>
          <w:sz w:val="24"/>
          <w:szCs w:val="24"/>
        </w:rPr>
      </w:pPr>
      <w:r w:rsidRPr="00C51301">
        <w:rPr>
          <w:rFonts w:eastAsia="Times New Roman"/>
          <w:sz w:val="24"/>
          <w:szCs w:val="24"/>
        </w:rPr>
        <w:t>The Sanitary Survey must include a written evaluation of the applicable components listed in 310 CMR 22.26(2)(c)1. through 8.:</w:t>
      </w:r>
    </w:p>
    <w:p w14:paraId="281A7781" w14:textId="77777777" w:rsidR="004647B9" w:rsidRDefault="00E2436F" w:rsidP="00563A54">
      <w:pPr>
        <w:numPr>
          <w:ilvl w:val="2"/>
          <w:numId w:val="886"/>
        </w:numPr>
        <w:tabs>
          <w:tab w:val="left" w:pos="2280"/>
        </w:tabs>
        <w:ind w:left="2280" w:hanging="365"/>
        <w:rPr>
          <w:rFonts w:eastAsia="Times New Roman"/>
          <w:sz w:val="24"/>
          <w:szCs w:val="24"/>
        </w:rPr>
      </w:pPr>
      <w:r>
        <w:rPr>
          <w:rFonts w:eastAsia="Times New Roman"/>
          <w:sz w:val="24"/>
          <w:szCs w:val="24"/>
        </w:rPr>
        <w:t>Source;</w:t>
      </w:r>
    </w:p>
    <w:p w14:paraId="281A7783" w14:textId="77777777" w:rsidR="004647B9" w:rsidRDefault="00E2436F" w:rsidP="00563A54">
      <w:pPr>
        <w:numPr>
          <w:ilvl w:val="2"/>
          <w:numId w:val="886"/>
        </w:numPr>
        <w:tabs>
          <w:tab w:val="left" w:pos="2280"/>
        </w:tabs>
        <w:ind w:left="2280" w:hanging="365"/>
        <w:rPr>
          <w:rFonts w:eastAsia="Times New Roman"/>
          <w:sz w:val="24"/>
          <w:szCs w:val="24"/>
        </w:rPr>
      </w:pPr>
      <w:r>
        <w:rPr>
          <w:rFonts w:eastAsia="Times New Roman"/>
          <w:sz w:val="24"/>
          <w:szCs w:val="24"/>
        </w:rPr>
        <w:t>Treatment;</w:t>
      </w:r>
    </w:p>
    <w:p w14:paraId="281A7785" w14:textId="77777777" w:rsidR="004647B9" w:rsidRDefault="00E2436F" w:rsidP="00563A54">
      <w:pPr>
        <w:numPr>
          <w:ilvl w:val="2"/>
          <w:numId w:val="886"/>
        </w:numPr>
        <w:tabs>
          <w:tab w:val="left" w:pos="2280"/>
        </w:tabs>
        <w:ind w:left="2280" w:hanging="365"/>
        <w:rPr>
          <w:rFonts w:eastAsia="Times New Roman"/>
          <w:sz w:val="24"/>
          <w:szCs w:val="24"/>
        </w:rPr>
      </w:pPr>
      <w:r>
        <w:rPr>
          <w:rFonts w:eastAsia="Times New Roman"/>
          <w:sz w:val="24"/>
          <w:szCs w:val="24"/>
        </w:rPr>
        <w:t>Distribution System;</w:t>
      </w:r>
    </w:p>
    <w:p w14:paraId="281A7787" w14:textId="77777777" w:rsidR="004647B9" w:rsidRDefault="00E2436F" w:rsidP="00563A54">
      <w:pPr>
        <w:numPr>
          <w:ilvl w:val="2"/>
          <w:numId w:val="886"/>
        </w:numPr>
        <w:tabs>
          <w:tab w:val="left" w:pos="2280"/>
        </w:tabs>
        <w:ind w:left="2280" w:hanging="365"/>
        <w:rPr>
          <w:rFonts w:eastAsia="Times New Roman"/>
          <w:sz w:val="24"/>
          <w:szCs w:val="24"/>
        </w:rPr>
      </w:pPr>
      <w:r>
        <w:rPr>
          <w:rFonts w:eastAsia="Times New Roman"/>
          <w:sz w:val="24"/>
          <w:szCs w:val="24"/>
        </w:rPr>
        <w:t>Finished water storage;</w:t>
      </w:r>
    </w:p>
    <w:p w14:paraId="281A7789" w14:textId="77777777" w:rsidR="004647B9" w:rsidRDefault="00E2436F" w:rsidP="00563A54">
      <w:pPr>
        <w:numPr>
          <w:ilvl w:val="2"/>
          <w:numId w:val="886"/>
        </w:numPr>
        <w:tabs>
          <w:tab w:val="left" w:pos="2280"/>
        </w:tabs>
        <w:ind w:left="2280" w:hanging="365"/>
        <w:rPr>
          <w:rFonts w:eastAsia="Times New Roman"/>
          <w:sz w:val="24"/>
          <w:szCs w:val="24"/>
        </w:rPr>
      </w:pPr>
      <w:r>
        <w:rPr>
          <w:rFonts w:eastAsia="Times New Roman"/>
          <w:sz w:val="24"/>
          <w:szCs w:val="24"/>
        </w:rPr>
        <w:t>Pumps, pump facilities, and controls;</w:t>
      </w:r>
    </w:p>
    <w:p w14:paraId="281A778B" w14:textId="77777777" w:rsidR="004647B9" w:rsidRDefault="00E2436F" w:rsidP="00563A54">
      <w:pPr>
        <w:numPr>
          <w:ilvl w:val="2"/>
          <w:numId w:val="886"/>
        </w:numPr>
        <w:tabs>
          <w:tab w:val="left" w:pos="2280"/>
        </w:tabs>
        <w:ind w:left="2280" w:hanging="365"/>
        <w:rPr>
          <w:rFonts w:eastAsia="Times New Roman"/>
          <w:sz w:val="24"/>
          <w:szCs w:val="24"/>
        </w:rPr>
      </w:pPr>
      <w:r>
        <w:rPr>
          <w:rFonts w:eastAsia="Times New Roman"/>
          <w:sz w:val="24"/>
          <w:szCs w:val="24"/>
        </w:rPr>
        <w:t>Monitoring, reporting, and data verification;</w:t>
      </w:r>
    </w:p>
    <w:p w14:paraId="281A778D" w14:textId="77777777" w:rsidR="004647B9" w:rsidRDefault="00E2436F" w:rsidP="00563A54">
      <w:pPr>
        <w:numPr>
          <w:ilvl w:val="2"/>
          <w:numId w:val="886"/>
        </w:numPr>
        <w:tabs>
          <w:tab w:val="left" w:pos="2280"/>
        </w:tabs>
        <w:ind w:left="2280" w:hanging="365"/>
        <w:rPr>
          <w:rFonts w:eastAsia="Times New Roman"/>
          <w:sz w:val="24"/>
          <w:szCs w:val="24"/>
        </w:rPr>
      </w:pPr>
      <w:r>
        <w:rPr>
          <w:rFonts w:eastAsia="Times New Roman"/>
          <w:sz w:val="24"/>
          <w:szCs w:val="24"/>
        </w:rPr>
        <w:t>System management and operation; and</w:t>
      </w:r>
    </w:p>
    <w:p w14:paraId="281A778F" w14:textId="77777777" w:rsidR="004647B9" w:rsidRDefault="00E2436F" w:rsidP="00563A54">
      <w:pPr>
        <w:numPr>
          <w:ilvl w:val="2"/>
          <w:numId w:val="886"/>
        </w:numPr>
        <w:tabs>
          <w:tab w:val="left" w:pos="2280"/>
        </w:tabs>
        <w:ind w:left="2280" w:hanging="365"/>
        <w:rPr>
          <w:rFonts w:eastAsia="Times New Roman"/>
          <w:sz w:val="24"/>
          <w:szCs w:val="24"/>
        </w:rPr>
      </w:pPr>
      <w:r>
        <w:rPr>
          <w:rFonts w:eastAsia="Times New Roman"/>
          <w:sz w:val="24"/>
          <w:szCs w:val="24"/>
        </w:rPr>
        <w:t>Operator compliance with Department requirements.</w:t>
      </w:r>
    </w:p>
    <w:p w14:paraId="281A7790" w14:textId="77777777" w:rsidR="004647B9" w:rsidRPr="00C51301" w:rsidRDefault="004647B9" w:rsidP="00C51301">
      <w:pPr>
        <w:rPr>
          <w:rFonts w:eastAsia="Times New Roman"/>
          <w:sz w:val="24"/>
          <w:szCs w:val="24"/>
        </w:rPr>
      </w:pPr>
    </w:p>
    <w:p w14:paraId="281A7791" w14:textId="77777777" w:rsidR="004647B9" w:rsidRPr="00C51301" w:rsidRDefault="00E2436F" w:rsidP="00563A54">
      <w:pPr>
        <w:numPr>
          <w:ilvl w:val="0"/>
          <w:numId w:val="886"/>
        </w:numPr>
        <w:tabs>
          <w:tab w:val="left" w:pos="1660"/>
        </w:tabs>
        <w:ind w:left="1660" w:hanging="460"/>
        <w:rPr>
          <w:rFonts w:eastAsia="Times New Roman"/>
          <w:sz w:val="24"/>
          <w:szCs w:val="24"/>
        </w:rPr>
      </w:pPr>
      <w:r w:rsidRPr="00C51301">
        <w:rPr>
          <w:rFonts w:eastAsia="Times New Roman"/>
          <w:sz w:val="24"/>
          <w:szCs w:val="24"/>
          <w:u w:val="single"/>
        </w:rPr>
        <w:t>Groundwater Source Microbial Monitoring and Analytical Methods</w:t>
      </w:r>
      <w:r w:rsidRPr="00C51301">
        <w:rPr>
          <w:rFonts w:eastAsia="Times New Roman"/>
          <w:sz w:val="24"/>
          <w:szCs w:val="24"/>
        </w:rPr>
        <w:t>.</w:t>
      </w:r>
    </w:p>
    <w:p w14:paraId="281A7793" w14:textId="77777777" w:rsidR="004647B9" w:rsidRPr="00C51301" w:rsidRDefault="00E2436F" w:rsidP="00563A54">
      <w:pPr>
        <w:numPr>
          <w:ilvl w:val="1"/>
          <w:numId w:val="886"/>
        </w:numPr>
        <w:tabs>
          <w:tab w:val="left" w:pos="2000"/>
        </w:tabs>
        <w:ind w:left="2000" w:hanging="445"/>
        <w:rPr>
          <w:rFonts w:eastAsia="Times New Roman"/>
          <w:sz w:val="24"/>
          <w:szCs w:val="24"/>
        </w:rPr>
      </w:pPr>
      <w:r w:rsidRPr="00C51301">
        <w:rPr>
          <w:rFonts w:eastAsia="Times New Roman"/>
          <w:sz w:val="24"/>
          <w:szCs w:val="24"/>
          <w:u w:val="single"/>
        </w:rPr>
        <w:t>Triggered Source Water Monitoring</w:t>
      </w:r>
      <w:r w:rsidRPr="00C51301">
        <w:rPr>
          <w:rFonts w:eastAsia="Times New Roman"/>
          <w:sz w:val="24"/>
          <w:szCs w:val="24"/>
        </w:rPr>
        <w:t>.</w:t>
      </w:r>
    </w:p>
    <w:p w14:paraId="281A7795" w14:textId="77777777" w:rsidR="004647B9" w:rsidRPr="00C51301" w:rsidRDefault="00E2436F" w:rsidP="00563A54">
      <w:pPr>
        <w:numPr>
          <w:ilvl w:val="2"/>
          <w:numId w:val="886"/>
        </w:numPr>
        <w:tabs>
          <w:tab w:val="left" w:pos="2266"/>
        </w:tabs>
        <w:ind w:left="1920" w:hanging="5"/>
        <w:rPr>
          <w:rFonts w:eastAsia="Times New Roman"/>
          <w:sz w:val="24"/>
          <w:szCs w:val="24"/>
        </w:rPr>
      </w:pPr>
      <w:r w:rsidRPr="00C51301">
        <w:rPr>
          <w:rFonts w:eastAsia="Times New Roman"/>
          <w:sz w:val="24"/>
          <w:szCs w:val="24"/>
          <w:u w:val="single"/>
        </w:rPr>
        <w:t>General Requirements</w:t>
      </w:r>
      <w:r w:rsidRPr="00C51301">
        <w:rPr>
          <w:rFonts w:eastAsia="Times New Roman"/>
          <w:sz w:val="24"/>
          <w:szCs w:val="24"/>
        </w:rPr>
        <w:t>. A groundwater system must conduct triggered source water monitoring if the conditions identified in 310 CMR 22.26(3)(a)1.a. and b. exist.</w:t>
      </w:r>
    </w:p>
    <w:p w14:paraId="281A7796" w14:textId="77777777" w:rsidR="004647B9" w:rsidRPr="00C51301" w:rsidRDefault="00E2436F" w:rsidP="000319F8">
      <w:pPr>
        <w:numPr>
          <w:ilvl w:val="3"/>
          <w:numId w:val="886"/>
        </w:numPr>
        <w:tabs>
          <w:tab w:val="left" w:pos="2606"/>
        </w:tabs>
        <w:ind w:left="2275"/>
        <w:jc w:val="both"/>
        <w:rPr>
          <w:rFonts w:eastAsia="Times New Roman"/>
          <w:sz w:val="24"/>
          <w:szCs w:val="24"/>
        </w:rPr>
      </w:pPr>
      <w:r w:rsidRPr="00C51301">
        <w:rPr>
          <w:rFonts w:eastAsia="Times New Roman"/>
          <w:sz w:val="24"/>
          <w:szCs w:val="24"/>
        </w:rPr>
        <w:t>The system does not provide at least 4-log treatment of Viruses (using inactivation, removal, or a Department-approved combination of 4-log Virus inactivation and removal) before or at the first customer for each groundwater source; and</w:t>
      </w:r>
    </w:p>
    <w:p w14:paraId="281A7797" w14:textId="5ED1BCB5" w:rsidR="004647B9" w:rsidRPr="00C51301" w:rsidRDefault="00E2436F" w:rsidP="000319F8">
      <w:pPr>
        <w:numPr>
          <w:ilvl w:val="3"/>
          <w:numId w:val="886"/>
        </w:numPr>
        <w:tabs>
          <w:tab w:val="left" w:pos="2604"/>
        </w:tabs>
        <w:ind w:left="2275"/>
        <w:rPr>
          <w:rFonts w:eastAsia="Times New Roman"/>
          <w:sz w:val="24"/>
          <w:szCs w:val="24"/>
        </w:rPr>
      </w:pPr>
      <w:r w:rsidRPr="00C51301">
        <w:rPr>
          <w:rFonts w:eastAsia="Times New Roman"/>
          <w:sz w:val="24"/>
          <w:szCs w:val="24"/>
        </w:rPr>
        <w:t>The system is notified that a sample collected under 310 CMR 22.05(1)(</w:t>
      </w:r>
      <w:r w:rsidR="000319F8">
        <w:rPr>
          <w:rFonts w:eastAsia="Times New Roman"/>
          <w:sz w:val="24"/>
          <w:szCs w:val="24"/>
        </w:rPr>
        <w:t>c</w:t>
      </w:r>
      <w:r w:rsidRPr="00C51301">
        <w:rPr>
          <w:rFonts w:eastAsia="Times New Roman"/>
          <w:sz w:val="24"/>
          <w:szCs w:val="24"/>
        </w:rPr>
        <w:t xml:space="preserve">) </w:t>
      </w:r>
      <w:r w:rsidR="000319F8">
        <w:rPr>
          <w:rFonts w:eastAsia="Times New Roman"/>
          <w:sz w:val="24"/>
          <w:szCs w:val="24"/>
        </w:rPr>
        <w:t xml:space="preserve">through (f) </w:t>
      </w:r>
      <w:r w:rsidRPr="00C51301">
        <w:rPr>
          <w:rFonts w:eastAsia="Times New Roman"/>
          <w:sz w:val="24"/>
          <w:szCs w:val="24"/>
        </w:rPr>
        <w:t>is total coliform-positive and the sample is not invalidated under 310 CMR 22.05(3).</w:t>
      </w:r>
    </w:p>
    <w:p w14:paraId="281A7798" w14:textId="77777777" w:rsidR="004647B9" w:rsidRPr="00C51301" w:rsidRDefault="00E2436F" w:rsidP="00563A54">
      <w:pPr>
        <w:numPr>
          <w:ilvl w:val="2"/>
          <w:numId w:val="886"/>
        </w:numPr>
        <w:tabs>
          <w:tab w:val="left" w:pos="2323"/>
        </w:tabs>
        <w:ind w:left="1920" w:hanging="5"/>
        <w:jc w:val="both"/>
        <w:rPr>
          <w:rFonts w:eastAsia="Times New Roman"/>
          <w:sz w:val="24"/>
          <w:szCs w:val="24"/>
        </w:rPr>
      </w:pPr>
      <w:r w:rsidRPr="00C51301">
        <w:rPr>
          <w:rFonts w:eastAsia="Times New Roman"/>
          <w:sz w:val="24"/>
          <w:szCs w:val="24"/>
          <w:u w:val="single"/>
        </w:rPr>
        <w:t>Sampling Requirements</w:t>
      </w:r>
      <w:r w:rsidRPr="00C51301">
        <w:rPr>
          <w:rFonts w:eastAsia="Times New Roman"/>
          <w:sz w:val="24"/>
          <w:szCs w:val="24"/>
        </w:rPr>
        <w:t>. A groundwater system must collect, within 24 hours of notification of the total coliform-positive sample, at least one groundwater source sample from each groundwater source in use at the time the total coliform-positive sample was collected, except as provided in 310 CMR 22.26(3)(a)2.b.</w:t>
      </w:r>
    </w:p>
    <w:p w14:paraId="281A7799" w14:textId="77777777" w:rsidR="004647B9" w:rsidRPr="00C51301" w:rsidRDefault="00E2436F" w:rsidP="00563A54">
      <w:pPr>
        <w:numPr>
          <w:ilvl w:val="3"/>
          <w:numId w:val="886"/>
        </w:numPr>
        <w:tabs>
          <w:tab w:val="left" w:pos="2606"/>
        </w:tabs>
        <w:ind w:left="2280" w:hanging="5"/>
        <w:jc w:val="both"/>
        <w:rPr>
          <w:rFonts w:eastAsia="Times New Roman"/>
          <w:sz w:val="24"/>
          <w:szCs w:val="24"/>
        </w:rPr>
      </w:pPr>
      <w:r w:rsidRPr="00C51301">
        <w:rPr>
          <w:rFonts w:eastAsia="Times New Roman"/>
          <w:sz w:val="24"/>
          <w:szCs w:val="24"/>
        </w:rPr>
        <w:t>The Department may extend the 24-hour time limit on a case-by-case basis if the system cannot collect the groundwater source water sample within 24 hours due to circumstances beyond its control. The system must contact the Department for pre-approval of the delay of sampling. In the case of an extension, the Department will specify in writing how much time the system has to collect the sample.</w:t>
      </w:r>
    </w:p>
    <w:p w14:paraId="281A779A" w14:textId="77777777" w:rsidR="004647B9" w:rsidRDefault="004647B9">
      <w:pPr>
        <w:sectPr w:rsidR="004647B9" w:rsidSect="00EF630C">
          <w:pgSz w:w="12240" w:h="20180"/>
          <w:pgMar w:top="708" w:right="1440" w:bottom="727" w:left="540" w:header="0" w:footer="0" w:gutter="0"/>
          <w:cols w:space="720"/>
        </w:sectPr>
      </w:pPr>
    </w:p>
    <w:p w14:paraId="281A779B" w14:textId="77777777" w:rsidR="004647B9" w:rsidRPr="00C51301" w:rsidRDefault="00E2436F" w:rsidP="00C51301">
      <w:pPr>
        <w:tabs>
          <w:tab w:val="left" w:pos="160"/>
        </w:tabs>
        <w:ind w:right="-59"/>
        <w:jc w:val="center"/>
        <w:rPr>
          <w:sz w:val="24"/>
          <w:szCs w:val="24"/>
        </w:rPr>
      </w:pPr>
      <w:bookmarkStart w:id="341" w:name="page344"/>
      <w:bookmarkEnd w:id="341"/>
      <w:r w:rsidRPr="00C51301">
        <w:rPr>
          <w:rFonts w:eastAsia="Times New Roman"/>
          <w:sz w:val="24"/>
          <w:szCs w:val="24"/>
        </w:rPr>
        <w:lastRenderedPageBreak/>
        <w:t>310 CMR:</w:t>
      </w:r>
      <w:r w:rsidRPr="00C51301">
        <w:rPr>
          <w:sz w:val="24"/>
          <w:szCs w:val="24"/>
        </w:rPr>
        <w:tab/>
      </w:r>
      <w:r w:rsidRPr="00C51301">
        <w:rPr>
          <w:rFonts w:eastAsia="Times New Roman"/>
          <w:sz w:val="24"/>
          <w:szCs w:val="24"/>
        </w:rPr>
        <w:t>DEPARTMENT OF ENVIRONMENTAL PROTECTION</w:t>
      </w:r>
    </w:p>
    <w:p w14:paraId="281A779C" w14:textId="77777777" w:rsidR="004647B9" w:rsidRPr="005B0EDE" w:rsidRDefault="004647B9" w:rsidP="00C51301">
      <w:pPr>
        <w:rPr>
          <w:sz w:val="20"/>
          <w:szCs w:val="20"/>
        </w:rPr>
      </w:pPr>
    </w:p>
    <w:p w14:paraId="281A779D" w14:textId="77777777" w:rsidR="004647B9" w:rsidRPr="005B0EDE" w:rsidRDefault="004647B9" w:rsidP="00C51301">
      <w:pPr>
        <w:rPr>
          <w:sz w:val="20"/>
          <w:szCs w:val="20"/>
        </w:rPr>
      </w:pPr>
    </w:p>
    <w:p w14:paraId="281A779E" w14:textId="77777777" w:rsidR="004647B9" w:rsidRPr="00C51301" w:rsidRDefault="00E2436F" w:rsidP="00C51301">
      <w:pPr>
        <w:tabs>
          <w:tab w:val="left" w:pos="760"/>
        </w:tabs>
        <w:rPr>
          <w:sz w:val="24"/>
          <w:szCs w:val="24"/>
        </w:rPr>
      </w:pPr>
      <w:r w:rsidRPr="00C51301">
        <w:rPr>
          <w:rFonts w:eastAsia="Times New Roman"/>
          <w:sz w:val="24"/>
          <w:szCs w:val="24"/>
        </w:rPr>
        <w:t>22.26:</w:t>
      </w:r>
      <w:r w:rsidRPr="00C51301">
        <w:rPr>
          <w:rFonts w:eastAsia="Times New Roman"/>
          <w:sz w:val="24"/>
          <w:szCs w:val="24"/>
        </w:rPr>
        <w:tab/>
        <w:t>continued</w:t>
      </w:r>
    </w:p>
    <w:p w14:paraId="281A779F" w14:textId="77777777" w:rsidR="004647B9" w:rsidRPr="005B0EDE" w:rsidRDefault="004647B9" w:rsidP="00C51301">
      <w:pPr>
        <w:rPr>
          <w:sz w:val="20"/>
          <w:szCs w:val="20"/>
        </w:rPr>
      </w:pPr>
    </w:p>
    <w:p w14:paraId="281A77A0" w14:textId="77777777" w:rsidR="004647B9" w:rsidRPr="00C51301" w:rsidRDefault="00E2436F" w:rsidP="00563A54">
      <w:pPr>
        <w:numPr>
          <w:ilvl w:val="1"/>
          <w:numId w:val="887"/>
        </w:numPr>
        <w:tabs>
          <w:tab w:val="left" w:pos="2630"/>
        </w:tabs>
        <w:ind w:left="2280" w:hanging="5"/>
        <w:jc w:val="both"/>
        <w:rPr>
          <w:rFonts w:eastAsia="Times New Roman"/>
          <w:sz w:val="24"/>
          <w:szCs w:val="24"/>
        </w:rPr>
      </w:pPr>
      <w:r w:rsidRPr="00C51301">
        <w:rPr>
          <w:rFonts w:eastAsia="Times New Roman"/>
          <w:sz w:val="24"/>
          <w:szCs w:val="24"/>
        </w:rPr>
        <w:t>If approved by the Department, systems with more than one groundwater source may meet the requirements of 310 CMR 22.26(3)(a)2. by sampling a representative groundwater source or sources. Systems must submit for Department approval a triggered source water monitoring plan that identifies one or more groundwater sources that are representative of each monitoring site in the system's sample siting plan under 310 CMR 22.05(1) and that the system intends to use for representative sampling under 310 CMR 22.26(3). After December 1, 2009, a system that has not received written Department approval of their triggered source water monitoring plan, must collect triggered source water samples as required by 310 CMR 22.26(3)(a)2. until written approval is received.</w:t>
      </w:r>
    </w:p>
    <w:p w14:paraId="281A77A2" w14:textId="2F415E2C" w:rsidR="004647B9" w:rsidRPr="00C51301" w:rsidRDefault="00E2436F" w:rsidP="00563A54">
      <w:pPr>
        <w:numPr>
          <w:ilvl w:val="1"/>
          <w:numId w:val="887"/>
        </w:numPr>
        <w:tabs>
          <w:tab w:val="left" w:pos="2656"/>
        </w:tabs>
        <w:ind w:left="2280" w:hanging="5"/>
        <w:jc w:val="both"/>
        <w:rPr>
          <w:rFonts w:eastAsia="Times New Roman"/>
          <w:sz w:val="24"/>
          <w:szCs w:val="24"/>
        </w:rPr>
      </w:pPr>
      <w:r w:rsidRPr="00C51301">
        <w:rPr>
          <w:rFonts w:eastAsia="Times New Roman"/>
          <w:sz w:val="24"/>
          <w:szCs w:val="24"/>
        </w:rPr>
        <w:t>A groundwater system serving 1,000 people or fewer may use a repeat sample collected from a groundwater source to meet both the requirements of 310 CMR 22.05 and to satisfy the monitoring requirements of 310 CMR 22.26(3)(a)2. for that groundwater source:</w:t>
      </w:r>
    </w:p>
    <w:p w14:paraId="281A77A3" w14:textId="79C67F78" w:rsidR="004647B9" w:rsidRPr="00C51301" w:rsidRDefault="00E2436F" w:rsidP="00563A54">
      <w:pPr>
        <w:numPr>
          <w:ilvl w:val="2"/>
          <w:numId w:val="887"/>
        </w:numPr>
        <w:tabs>
          <w:tab w:val="left" w:pos="2950"/>
        </w:tabs>
        <w:ind w:left="2640" w:hanging="5"/>
        <w:rPr>
          <w:rFonts w:eastAsia="Times New Roman"/>
          <w:sz w:val="24"/>
          <w:szCs w:val="24"/>
        </w:rPr>
      </w:pPr>
      <w:r w:rsidRPr="00C51301">
        <w:rPr>
          <w:rFonts w:eastAsia="Times New Roman"/>
          <w:sz w:val="24"/>
          <w:szCs w:val="24"/>
        </w:rPr>
        <w:t xml:space="preserve">if </w:t>
      </w:r>
      <w:r w:rsidRPr="00C51301">
        <w:rPr>
          <w:rFonts w:eastAsia="Times New Roman"/>
          <w:i/>
          <w:iCs/>
          <w:sz w:val="24"/>
          <w:szCs w:val="24"/>
        </w:rPr>
        <w:t>E. coli</w:t>
      </w:r>
      <w:r w:rsidRPr="00C51301">
        <w:rPr>
          <w:rFonts w:eastAsia="Times New Roman"/>
          <w:sz w:val="24"/>
          <w:szCs w:val="24"/>
        </w:rPr>
        <w:t xml:space="preserve"> is used as a fecal indicator for source water monitoring pursuant to 310 CMR 22.26(3)(a).; and</w:t>
      </w:r>
    </w:p>
    <w:p w14:paraId="281A77A4" w14:textId="77777777" w:rsidR="004647B9" w:rsidRPr="00C51301" w:rsidRDefault="00E2436F" w:rsidP="00563A54">
      <w:pPr>
        <w:numPr>
          <w:ilvl w:val="2"/>
          <w:numId w:val="887"/>
        </w:numPr>
        <w:tabs>
          <w:tab w:val="left" w:pos="2993"/>
        </w:tabs>
        <w:ind w:left="2640" w:hanging="5"/>
        <w:jc w:val="both"/>
        <w:rPr>
          <w:rFonts w:eastAsia="Times New Roman"/>
          <w:sz w:val="24"/>
          <w:szCs w:val="24"/>
        </w:rPr>
      </w:pPr>
      <w:r w:rsidRPr="00C51301">
        <w:rPr>
          <w:rFonts w:eastAsia="Times New Roman"/>
          <w:sz w:val="24"/>
          <w:szCs w:val="24"/>
        </w:rPr>
        <w:t>if the Department, pursuant to 310 CMR 22.05(1)(a)3.d.ii., has approved the use of a single sample for meeting both the triggered source water monitoring requirements in 310 CMR 22.26(3)(a) and the repeat monitoring requirements in 310 CMR 22.05(2).</w:t>
      </w:r>
    </w:p>
    <w:p w14:paraId="281A77A5" w14:textId="77777777" w:rsidR="004647B9" w:rsidRPr="00C51301" w:rsidRDefault="00E2436F" w:rsidP="00C51301">
      <w:pPr>
        <w:ind w:left="2640" w:firstLine="360"/>
        <w:rPr>
          <w:rFonts w:eastAsia="Times New Roman"/>
          <w:sz w:val="24"/>
          <w:szCs w:val="24"/>
        </w:rPr>
      </w:pPr>
      <w:r w:rsidRPr="00C51301">
        <w:rPr>
          <w:rFonts w:eastAsia="Times New Roman"/>
          <w:sz w:val="24"/>
          <w:szCs w:val="24"/>
        </w:rPr>
        <w:t xml:space="preserve">If the repeat sample collected for the groundwater source is </w:t>
      </w:r>
      <w:r w:rsidRPr="00C51301">
        <w:rPr>
          <w:rFonts w:eastAsia="Times New Roman"/>
          <w:i/>
          <w:iCs/>
          <w:sz w:val="24"/>
          <w:szCs w:val="24"/>
        </w:rPr>
        <w:t>E. coli</w:t>
      </w:r>
      <w:r w:rsidRPr="00C51301">
        <w:rPr>
          <w:rFonts w:eastAsia="Times New Roman"/>
          <w:sz w:val="24"/>
          <w:szCs w:val="24"/>
        </w:rPr>
        <w:t xml:space="preserve"> positive, the system shall comply with 310 CMR 22.26(3)(a)4.</w:t>
      </w:r>
    </w:p>
    <w:p w14:paraId="281A77A6" w14:textId="76E11A26" w:rsidR="004647B9" w:rsidRPr="00C51301" w:rsidRDefault="00E2436F" w:rsidP="00563A54">
      <w:pPr>
        <w:numPr>
          <w:ilvl w:val="1"/>
          <w:numId w:val="887"/>
        </w:numPr>
        <w:tabs>
          <w:tab w:val="left" w:pos="2741"/>
        </w:tabs>
        <w:ind w:left="2280" w:hanging="5"/>
        <w:jc w:val="both"/>
        <w:rPr>
          <w:rFonts w:eastAsia="Times New Roman"/>
          <w:sz w:val="24"/>
          <w:szCs w:val="24"/>
        </w:rPr>
      </w:pPr>
      <w:r w:rsidRPr="00C51301">
        <w:rPr>
          <w:rFonts w:eastAsia="Times New Roman"/>
          <w:sz w:val="24"/>
          <w:szCs w:val="24"/>
        </w:rPr>
        <w:t>A groundwater system may use a Raw Water sample collected to meet the requirements of 310 CMR 22.05(1) to satisfy the monitoring requirements of 310 CMR 22.26(3)(a)2. for that groundwater source only if: the Raw Water sample was collected on the same day as the distribution sample that tested total coliform-positive under 310 CMR 22.05(1) and triggered the requirements of 310 CMR 22.26(3)(a)2.; and the Raw Water sample was analyzed in accordance with 310 CMR 22.05(</w:t>
      </w:r>
      <w:r w:rsidR="0081782B">
        <w:rPr>
          <w:rFonts w:eastAsia="Times New Roman"/>
          <w:sz w:val="24"/>
          <w:szCs w:val="24"/>
        </w:rPr>
        <w:t>6</w:t>
      </w:r>
      <w:r w:rsidRPr="00C51301">
        <w:rPr>
          <w:rFonts w:eastAsia="Times New Roman"/>
          <w:sz w:val="24"/>
          <w:szCs w:val="24"/>
        </w:rPr>
        <w:t>) and the analytical methods in 310 CMR 22.26(3)(c). If the Raw Water sample is total coliform-negative, no additional testing is required under 310 CMR 22.26 unless otherwise determined by the Department.</w:t>
      </w:r>
    </w:p>
    <w:p w14:paraId="281A77A8" w14:textId="77777777" w:rsidR="004647B9" w:rsidRPr="00C51301" w:rsidRDefault="00E2436F" w:rsidP="00563A54">
      <w:pPr>
        <w:numPr>
          <w:ilvl w:val="0"/>
          <w:numId w:val="888"/>
        </w:numPr>
        <w:tabs>
          <w:tab w:val="left" w:pos="2280"/>
        </w:tabs>
        <w:ind w:left="2280" w:hanging="365"/>
        <w:rPr>
          <w:rFonts w:eastAsia="Times New Roman"/>
          <w:sz w:val="24"/>
          <w:szCs w:val="24"/>
        </w:rPr>
      </w:pPr>
      <w:r w:rsidRPr="00C51301">
        <w:rPr>
          <w:rFonts w:eastAsia="Times New Roman"/>
          <w:sz w:val="24"/>
          <w:szCs w:val="24"/>
          <w:u w:val="single"/>
        </w:rPr>
        <w:t>Fecal Indicator Requirement</w:t>
      </w:r>
      <w:r w:rsidRPr="00C51301">
        <w:rPr>
          <w:rFonts w:eastAsia="Times New Roman"/>
          <w:sz w:val="24"/>
          <w:szCs w:val="24"/>
        </w:rPr>
        <w:t>.</w:t>
      </w:r>
    </w:p>
    <w:p w14:paraId="281A77AA" w14:textId="77777777" w:rsidR="004647B9" w:rsidRPr="00C51301" w:rsidRDefault="00E2436F" w:rsidP="00563A54">
      <w:pPr>
        <w:numPr>
          <w:ilvl w:val="1"/>
          <w:numId w:val="888"/>
        </w:numPr>
        <w:tabs>
          <w:tab w:val="left" w:pos="2584"/>
        </w:tabs>
        <w:ind w:left="2280" w:hanging="5"/>
        <w:jc w:val="both"/>
        <w:rPr>
          <w:rFonts w:eastAsia="Times New Roman"/>
          <w:sz w:val="24"/>
          <w:szCs w:val="24"/>
        </w:rPr>
      </w:pPr>
      <w:r w:rsidRPr="00C51301">
        <w:rPr>
          <w:rFonts w:eastAsia="Times New Roman"/>
          <w:sz w:val="24"/>
          <w:szCs w:val="24"/>
        </w:rPr>
        <w:t xml:space="preserve">All Non-transient Non-community Water Systems, all Transient Non-community Water Systems and each Community Water System serving 3,300 or fewer people shall use </w:t>
      </w:r>
      <w:r w:rsidRPr="00C51301">
        <w:rPr>
          <w:rFonts w:eastAsia="Times New Roman"/>
          <w:i/>
          <w:iCs/>
          <w:sz w:val="24"/>
          <w:szCs w:val="24"/>
        </w:rPr>
        <w:t>E. coli</w:t>
      </w:r>
      <w:r w:rsidRPr="00C51301">
        <w:rPr>
          <w:rFonts w:eastAsia="Times New Roman"/>
          <w:sz w:val="24"/>
          <w:szCs w:val="24"/>
        </w:rPr>
        <w:t xml:space="preserve"> as the fecal indicator to comply with 310 CMR 22.26(3)(a).</w:t>
      </w:r>
    </w:p>
    <w:p w14:paraId="281A77AB" w14:textId="77777777" w:rsidR="004647B9" w:rsidRPr="00C51301" w:rsidRDefault="00E2436F" w:rsidP="00563A54">
      <w:pPr>
        <w:numPr>
          <w:ilvl w:val="1"/>
          <w:numId w:val="888"/>
        </w:numPr>
        <w:tabs>
          <w:tab w:val="left" w:pos="2640"/>
        </w:tabs>
        <w:ind w:left="2640" w:hanging="365"/>
        <w:rPr>
          <w:rFonts w:eastAsia="Times New Roman"/>
          <w:sz w:val="24"/>
          <w:szCs w:val="24"/>
        </w:rPr>
      </w:pPr>
      <w:r w:rsidRPr="00C51301">
        <w:rPr>
          <w:rFonts w:eastAsia="Times New Roman"/>
          <w:sz w:val="24"/>
          <w:szCs w:val="24"/>
        </w:rPr>
        <w:t>For Community Water Systems serving greater than 3,300 people:</w:t>
      </w:r>
    </w:p>
    <w:p w14:paraId="281A77AD" w14:textId="77777777" w:rsidR="004647B9" w:rsidRPr="00C51301" w:rsidRDefault="00E2436F" w:rsidP="00563A54">
      <w:pPr>
        <w:numPr>
          <w:ilvl w:val="2"/>
          <w:numId w:val="888"/>
        </w:numPr>
        <w:tabs>
          <w:tab w:val="left" w:pos="3040"/>
        </w:tabs>
        <w:ind w:left="2640" w:hanging="5"/>
        <w:jc w:val="both"/>
        <w:rPr>
          <w:rFonts w:eastAsia="Times New Roman"/>
          <w:sz w:val="24"/>
          <w:szCs w:val="24"/>
        </w:rPr>
      </w:pPr>
      <w:r w:rsidRPr="00C51301">
        <w:rPr>
          <w:rFonts w:eastAsia="Times New Roman"/>
          <w:sz w:val="24"/>
          <w:szCs w:val="24"/>
        </w:rPr>
        <w:t xml:space="preserve">If </w:t>
      </w:r>
      <w:r w:rsidRPr="00C51301">
        <w:rPr>
          <w:rFonts w:eastAsia="Times New Roman"/>
          <w:i/>
          <w:iCs/>
          <w:sz w:val="24"/>
          <w:szCs w:val="24"/>
        </w:rPr>
        <w:t>E. coli</w:t>
      </w:r>
      <w:r w:rsidRPr="00C51301">
        <w:rPr>
          <w:rFonts w:eastAsia="Times New Roman"/>
          <w:sz w:val="24"/>
          <w:szCs w:val="24"/>
        </w:rPr>
        <w:t xml:space="preserve"> is detected in samples collected under 310 CMR 22.05(1), the Community Water System shall use </w:t>
      </w:r>
      <w:r w:rsidRPr="00C51301">
        <w:rPr>
          <w:rFonts w:eastAsia="Times New Roman"/>
          <w:i/>
          <w:iCs/>
          <w:sz w:val="24"/>
          <w:szCs w:val="24"/>
        </w:rPr>
        <w:t>E. coli</w:t>
      </w:r>
      <w:r w:rsidRPr="00C51301">
        <w:rPr>
          <w:rFonts w:eastAsia="Times New Roman"/>
          <w:sz w:val="24"/>
          <w:szCs w:val="24"/>
        </w:rPr>
        <w:t xml:space="preserve"> as the fecal indicator to comply with 310 CMR 22.26(3)(a).</w:t>
      </w:r>
    </w:p>
    <w:p w14:paraId="281A77B1" w14:textId="70FB29E1" w:rsidR="004647B9" w:rsidRPr="00C51301" w:rsidRDefault="00E2436F" w:rsidP="00563A54">
      <w:pPr>
        <w:numPr>
          <w:ilvl w:val="2"/>
          <w:numId w:val="888"/>
        </w:numPr>
        <w:tabs>
          <w:tab w:val="left" w:pos="3040"/>
        </w:tabs>
        <w:ind w:left="2640"/>
        <w:jc w:val="both"/>
        <w:rPr>
          <w:rFonts w:eastAsia="Times New Roman"/>
          <w:sz w:val="24"/>
          <w:szCs w:val="24"/>
        </w:rPr>
      </w:pPr>
      <w:r w:rsidRPr="00C51301">
        <w:rPr>
          <w:rFonts w:eastAsia="Times New Roman"/>
          <w:sz w:val="24"/>
          <w:szCs w:val="24"/>
        </w:rPr>
        <w:t>If total coliform is detected in samples collected under 310 CMR 22.05(1)</w:t>
      </w:r>
      <w:r w:rsidR="00C51301">
        <w:rPr>
          <w:rFonts w:eastAsia="Times New Roman"/>
          <w:sz w:val="24"/>
          <w:szCs w:val="24"/>
        </w:rPr>
        <w:t xml:space="preserve"> </w:t>
      </w:r>
      <w:r w:rsidRPr="00C51301">
        <w:rPr>
          <w:rFonts w:eastAsia="Times New Roman"/>
          <w:sz w:val="24"/>
          <w:szCs w:val="24"/>
        </w:rPr>
        <w:t>without the confirmation of E. coli, the Community Water System shall use enterococci as the fecal indicator to comply with 310 CMR 22.26(3)(a).</w:t>
      </w:r>
    </w:p>
    <w:p w14:paraId="281A77B2" w14:textId="77777777" w:rsidR="004647B9" w:rsidRPr="00C51301" w:rsidRDefault="00E2436F" w:rsidP="00563A54">
      <w:pPr>
        <w:numPr>
          <w:ilvl w:val="1"/>
          <w:numId w:val="889"/>
        </w:numPr>
        <w:tabs>
          <w:tab w:val="left" w:pos="2762"/>
        </w:tabs>
        <w:ind w:left="2280" w:hanging="5"/>
        <w:rPr>
          <w:rFonts w:eastAsia="Times New Roman"/>
          <w:sz w:val="24"/>
          <w:szCs w:val="24"/>
        </w:rPr>
      </w:pPr>
      <w:r w:rsidRPr="00C51301">
        <w:rPr>
          <w:rFonts w:eastAsia="Times New Roman"/>
          <w:sz w:val="24"/>
          <w:szCs w:val="24"/>
        </w:rPr>
        <w:t>Testing for additional fecal indicators may be required to further evaluate contamination at a groundwater source.</w:t>
      </w:r>
    </w:p>
    <w:p w14:paraId="281A77B7" w14:textId="2B6032DD" w:rsidR="004647B9" w:rsidRPr="00C51301" w:rsidRDefault="00E2436F" w:rsidP="00563A54">
      <w:pPr>
        <w:numPr>
          <w:ilvl w:val="0"/>
          <w:numId w:val="890"/>
        </w:numPr>
        <w:tabs>
          <w:tab w:val="left" w:pos="2250"/>
        </w:tabs>
        <w:ind w:left="1920" w:hanging="5"/>
        <w:rPr>
          <w:rFonts w:eastAsia="Times New Roman"/>
          <w:sz w:val="24"/>
          <w:szCs w:val="24"/>
        </w:rPr>
      </w:pPr>
      <w:r w:rsidRPr="00C51301">
        <w:rPr>
          <w:rFonts w:eastAsia="Times New Roman"/>
          <w:sz w:val="24"/>
          <w:szCs w:val="24"/>
          <w:u w:val="single"/>
        </w:rPr>
        <w:t>Additional Requirements</w:t>
      </w:r>
      <w:r w:rsidRPr="00C51301">
        <w:rPr>
          <w:rFonts w:eastAsia="Times New Roman"/>
          <w:sz w:val="24"/>
          <w:szCs w:val="24"/>
        </w:rPr>
        <w:t>. If the Department does not require corrective action under</w:t>
      </w:r>
      <w:r w:rsidR="00C51301">
        <w:rPr>
          <w:rFonts w:eastAsia="Times New Roman"/>
          <w:sz w:val="24"/>
          <w:szCs w:val="24"/>
        </w:rPr>
        <w:t xml:space="preserve"> 310 </w:t>
      </w:r>
      <w:r w:rsidRPr="00C51301">
        <w:rPr>
          <w:rFonts w:eastAsia="Times New Roman"/>
          <w:sz w:val="24"/>
          <w:szCs w:val="24"/>
        </w:rPr>
        <w:t>CMR 22.26(4)(a)2. for a fecal indicator-positive source water sample collected under</w:t>
      </w:r>
      <w:r w:rsidR="00C51301">
        <w:rPr>
          <w:rFonts w:eastAsia="Times New Roman"/>
          <w:sz w:val="24"/>
          <w:szCs w:val="24"/>
        </w:rPr>
        <w:t xml:space="preserve"> 310 </w:t>
      </w:r>
      <w:r w:rsidRPr="00C51301">
        <w:rPr>
          <w:rFonts w:eastAsia="Times New Roman"/>
          <w:sz w:val="24"/>
          <w:szCs w:val="24"/>
        </w:rPr>
        <w:t>CMR 22.26(3)(a)2. that is not invalidated under 310 CMR 22.26(3)(d), the system must collect five additional source water samples from the same source within 24 hours of being notified of the fecal indicator-positive sample.</w:t>
      </w:r>
    </w:p>
    <w:p w14:paraId="281A77B9" w14:textId="77777777" w:rsidR="004647B9" w:rsidRPr="00C51301" w:rsidRDefault="00E2436F" w:rsidP="00563A54">
      <w:pPr>
        <w:numPr>
          <w:ilvl w:val="0"/>
          <w:numId w:val="891"/>
        </w:numPr>
        <w:tabs>
          <w:tab w:val="left" w:pos="2280"/>
        </w:tabs>
        <w:ind w:left="2280" w:hanging="365"/>
        <w:rPr>
          <w:rFonts w:eastAsia="Times New Roman"/>
          <w:sz w:val="24"/>
          <w:szCs w:val="24"/>
        </w:rPr>
      </w:pPr>
      <w:r w:rsidRPr="00C51301">
        <w:rPr>
          <w:rFonts w:eastAsia="Times New Roman"/>
          <w:sz w:val="24"/>
          <w:szCs w:val="24"/>
          <w:u w:val="single"/>
        </w:rPr>
        <w:t>Consecutive and Wholesale Systems</w:t>
      </w:r>
      <w:r w:rsidRPr="00C51301">
        <w:rPr>
          <w:rFonts w:eastAsia="Times New Roman"/>
          <w:sz w:val="24"/>
          <w:szCs w:val="24"/>
        </w:rPr>
        <w:t>.</w:t>
      </w:r>
    </w:p>
    <w:p w14:paraId="281A77BB" w14:textId="77777777" w:rsidR="004647B9" w:rsidRPr="00C51301" w:rsidRDefault="00E2436F" w:rsidP="00563A54">
      <w:pPr>
        <w:numPr>
          <w:ilvl w:val="1"/>
          <w:numId w:val="891"/>
        </w:numPr>
        <w:tabs>
          <w:tab w:val="left" w:pos="2691"/>
        </w:tabs>
        <w:ind w:left="2280" w:hanging="5"/>
        <w:jc w:val="both"/>
        <w:rPr>
          <w:rFonts w:eastAsia="Times New Roman"/>
          <w:sz w:val="24"/>
          <w:szCs w:val="24"/>
        </w:rPr>
      </w:pPr>
      <w:r w:rsidRPr="00C51301">
        <w:rPr>
          <w:rFonts w:eastAsia="Times New Roman"/>
          <w:sz w:val="24"/>
          <w:szCs w:val="24"/>
        </w:rPr>
        <w:t>In addition to the other requirements of 310 CMR 22.26(3)(a), a consecutive groundwater system that has a total coliform-positive sample collected under 310 CMR 22.05(1) must notify the Wholesale System(s) within 24 hours of being notified of the total coliform-positive sample.</w:t>
      </w:r>
    </w:p>
    <w:p w14:paraId="281A77BC" w14:textId="77777777" w:rsidR="004647B9" w:rsidRPr="00C51301" w:rsidRDefault="00E2436F" w:rsidP="00563A54">
      <w:pPr>
        <w:numPr>
          <w:ilvl w:val="1"/>
          <w:numId w:val="891"/>
        </w:numPr>
        <w:tabs>
          <w:tab w:val="left" w:pos="2734"/>
        </w:tabs>
        <w:ind w:left="2280" w:hanging="5"/>
        <w:rPr>
          <w:rFonts w:eastAsia="Times New Roman"/>
          <w:sz w:val="24"/>
          <w:szCs w:val="24"/>
        </w:rPr>
      </w:pPr>
      <w:r w:rsidRPr="00C51301">
        <w:rPr>
          <w:rFonts w:eastAsia="Times New Roman"/>
          <w:sz w:val="24"/>
          <w:szCs w:val="24"/>
        </w:rPr>
        <w:t>In addition to the other requirements of 310 CMR 22.26(3)(a), a wholesale groundwater system must comply with 310 CMR 22.26(3)(a)5.b.i. and ii.</w:t>
      </w:r>
    </w:p>
    <w:p w14:paraId="281A77BD" w14:textId="77777777" w:rsidR="004647B9" w:rsidRDefault="004647B9">
      <w:pPr>
        <w:sectPr w:rsidR="004647B9" w:rsidSect="00EF630C">
          <w:pgSz w:w="12240" w:h="20180"/>
          <w:pgMar w:top="708" w:right="1440" w:bottom="1440" w:left="540" w:header="0" w:footer="0" w:gutter="0"/>
          <w:cols w:space="720"/>
        </w:sectPr>
      </w:pPr>
    </w:p>
    <w:p w14:paraId="281A77BE" w14:textId="77777777" w:rsidR="004647B9" w:rsidRPr="00D972DF" w:rsidRDefault="00E2436F" w:rsidP="00D972DF">
      <w:pPr>
        <w:tabs>
          <w:tab w:val="left" w:pos="160"/>
        </w:tabs>
        <w:ind w:right="-59"/>
        <w:jc w:val="center"/>
        <w:rPr>
          <w:sz w:val="24"/>
          <w:szCs w:val="24"/>
        </w:rPr>
      </w:pPr>
      <w:bookmarkStart w:id="342" w:name="page345"/>
      <w:bookmarkEnd w:id="342"/>
      <w:r w:rsidRPr="00D972DF">
        <w:rPr>
          <w:rFonts w:eastAsia="Times New Roman"/>
          <w:sz w:val="24"/>
          <w:szCs w:val="24"/>
        </w:rPr>
        <w:lastRenderedPageBreak/>
        <w:t>310 CMR:</w:t>
      </w:r>
      <w:r w:rsidRPr="00D972DF">
        <w:rPr>
          <w:sz w:val="24"/>
          <w:szCs w:val="24"/>
        </w:rPr>
        <w:tab/>
      </w:r>
      <w:r w:rsidRPr="00D972DF">
        <w:rPr>
          <w:rFonts w:eastAsia="Times New Roman"/>
          <w:sz w:val="24"/>
          <w:szCs w:val="24"/>
        </w:rPr>
        <w:t>DEPARTMENT OF ENVIRONMENTAL PROTECTION</w:t>
      </w:r>
    </w:p>
    <w:p w14:paraId="281A77BF" w14:textId="77777777" w:rsidR="004647B9" w:rsidRPr="00EF5169" w:rsidRDefault="004647B9" w:rsidP="00D972DF">
      <w:pPr>
        <w:rPr>
          <w:sz w:val="20"/>
          <w:szCs w:val="20"/>
        </w:rPr>
      </w:pPr>
    </w:p>
    <w:p w14:paraId="281A77C0" w14:textId="77777777" w:rsidR="004647B9" w:rsidRPr="00EF5169" w:rsidRDefault="004647B9" w:rsidP="00D972DF">
      <w:pPr>
        <w:rPr>
          <w:sz w:val="20"/>
          <w:szCs w:val="20"/>
        </w:rPr>
      </w:pPr>
    </w:p>
    <w:p w14:paraId="281A77C1" w14:textId="77777777" w:rsidR="004647B9" w:rsidRPr="00D972DF" w:rsidRDefault="00E2436F" w:rsidP="00D972DF">
      <w:pPr>
        <w:tabs>
          <w:tab w:val="left" w:pos="760"/>
        </w:tabs>
        <w:rPr>
          <w:sz w:val="24"/>
          <w:szCs w:val="24"/>
        </w:rPr>
      </w:pPr>
      <w:r w:rsidRPr="00D972DF">
        <w:rPr>
          <w:rFonts w:eastAsia="Times New Roman"/>
          <w:sz w:val="24"/>
          <w:szCs w:val="24"/>
        </w:rPr>
        <w:t>22.26:</w:t>
      </w:r>
      <w:r w:rsidRPr="00D972DF">
        <w:rPr>
          <w:rFonts w:eastAsia="Times New Roman"/>
          <w:sz w:val="24"/>
          <w:szCs w:val="24"/>
        </w:rPr>
        <w:tab/>
        <w:t>continued</w:t>
      </w:r>
    </w:p>
    <w:p w14:paraId="281A77C2" w14:textId="77777777" w:rsidR="004647B9" w:rsidRPr="00EF5169" w:rsidRDefault="004647B9" w:rsidP="00D972DF">
      <w:pPr>
        <w:rPr>
          <w:sz w:val="20"/>
          <w:szCs w:val="20"/>
        </w:rPr>
      </w:pPr>
    </w:p>
    <w:p w14:paraId="281A77C3" w14:textId="77777777" w:rsidR="004647B9" w:rsidRPr="00D972DF" w:rsidRDefault="00E2436F" w:rsidP="00563A54">
      <w:pPr>
        <w:numPr>
          <w:ilvl w:val="3"/>
          <w:numId w:val="892"/>
        </w:numPr>
        <w:tabs>
          <w:tab w:val="left" w:pos="3033"/>
        </w:tabs>
        <w:ind w:left="2640" w:hanging="5"/>
        <w:jc w:val="both"/>
        <w:rPr>
          <w:rFonts w:eastAsia="Times New Roman"/>
          <w:sz w:val="24"/>
          <w:szCs w:val="24"/>
        </w:rPr>
      </w:pPr>
      <w:r w:rsidRPr="00D972DF">
        <w:rPr>
          <w:rFonts w:eastAsia="Times New Roman"/>
          <w:sz w:val="24"/>
          <w:szCs w:val="24"/>
        </w:rPr>
        <w:t>A wholesale groundwater system that receives notice from a consecutive system it serves that a sample collected under 310 CMR 22.05(1) is total coliform-positive must, within 24 hours of being notified, collect a sample from its groundwater source(s) under 310 CMR 22.26(3)(a)2. and analyze it for a fecal indicator under 310 CMR 22.26(3)(c).</w:t>
      </w:r>
    </w:p>
    <w:p w14:paraId="281A77C5" w14:textId="77777777" w:rsidR="004647B9" w:rsidRPr="00D972DF" w:rsidRDefault="00E2436F" w:rsidP="00563A54">
      <w:pPr>
        <w:numPr>
          <w:ilvl w:val="3"/>
          <w:numId w:val="892"/>
        </w:numPr>
        <w:tabs>
          <w:tab w:val="left" w:pos="3280"/>
        </w:tabs>
        <w:ind w:left="2640" w:hanging="5"/>
        <w:jc w:val="both"/>
        <w:rPr>
          <w:rFonts w:eastAsia="Times New Roman"/>
          <w:sz w:val="24"/>
          <w:szCs w:val="24"/>
        </w:rPr>
      </w:pPr>
      <w:r w:rsidRPr="00D972DF">
        <w:rPr>
          <w:rFonts w:eastAsia="Times New Roman"/>
          <w:sz w:val="24"/>
          <w:szCs w:val="24"/>
        </w:rPr>
        <w:t>If the sample collected under 310 CMR 22.26(3)(a)5.b.i. is fecal indicator-positive, the wholesale groundwater system must notify all consecutive systems served by that groundwater source of the fecal indicator source water positive within 24 hours of being notified of the groundwater source water sample monitoring result and must meet the requirements of 310 CMR 22.26(3)(a)4.</w:t>
      </w:r>
    </w:p>
    <w:p w14:paraId="281A77C9" w14:textId="23F3D16E" w:rsidR="004647B9" w:rsidRPr="00D972DF" w:rsidRDefault="00E2436F" w:rsidP="00784813">
      <w:pPr>
        <w:numPr>
          <w:ilvl w:val="1"/>
          <w:numId w:val="893"/>
        </w:numPr>
        <w:tabs>
          <w:tab w:val="left" w:pos="2232"/>
        </w:tabs>
        <w:ind w:left="1915"/>
        <w:jc w:val="both"/>
        <w:rPr>
          <w:rFonts w:eastAsia="Times New Roman"/>
          <w:sz w:val="24"/>
          <w:szCs w:val="24"/>
        </w:rPr>
      </w:pPr>
      <w:r w:rsidRPr="00D972DF">
        <w:rPr>
          <w:rFonts w:eastAsia="Times New Roman"/>
          <w:sz w:val="24"/>
          <w:szCs w:val="24"/>
          <w:u w:val="single"/>
        </w:rPr>
        <w:t>Exceptions to the Triggered Source Water Monitoring Requirements</w:t>
      </w:r>
      <w:r w:rsidRPr="00D972DF">
        <w:rPr>
          <w:rFonts w:eastAsia="Times New Roman"/>
          <w:sz w:val="24"/>
          <w:szCs w:val="24"/>
        </w:rPr>
        <w:t>. A groundwater system is not required to comply with the source water monitoring requirements of</w:t>
      </w:r>
      <w:r w:rsidR="00D972DF">
        <w:rPr>
          <w:rFonts w:eastAsia="Times New Roman"/>
          <w:sz w:val="24"/>
          <w:szCs w:val="24"/>
        </w:rPr>
        <w:t xml:space="preserve"> 310 </w:t>
      </w:r>
      <w:r w:rsidRPr="00D972DF">
        <w:rPr>
          <w:rFonts w:eastAsia="Times New Roman"/>
          <w:sz w:val="24"/>
          <w:szCs w:val="24"/>
        </w:rPr>
        <w:t>CMR 22.26(3)(a) if either of the following conditions exists:</w:t>
      </w:r>
    </w:p>
    <w:p w14:paraId="281A77CB" w14:textId="22F6E13D" w:rsidR="004647B9" w:rsidRPr="00D972DF" w:rsidRDefault="00E2436F" w:rsidP="00784813">
      <w:pPr>
        <w:numPr>
          <w:ilvl w:val="2"/>
          <w:numId w:val="894"/>
        </w:numPr>
        <w:tabs>
          <w:tab w:val="left" w:pos="2606"/>
        </w:tabs>
        <w:ind w:left="2275"/>
        <w:jc w:val="both"/>
        <w:rPr>
          <w:rFonts w:eastAsia="Times New Roman"/>
          <w:sz w:val="24"/>
          <w:szCs w:val="24"/>
        </w:rPr>
      </w:pPr>
      <w:r w:rsidRPr="00D972DF">
        <w:rPr>
          <w:rFonts w:eastAsia="Times New Roman"/>
          <w:sz w:val="24"/>
          <w:szCs w:val="24"/>
        </w:rPr>
        <w:t>The Department determines, and documents in writing, that the total coliform-positive sample collected under 310 CMR 22.05(1) is caused by a Distribution System deficiency; or</w:t>
      </w:r>
    </w:p>
    <w:p w14:paraId="281A77CD" w14:textId="4F98D6F4" w:rsidR="004647B9" w:rsidRPr="00D972DF" w:rsidRDefault="00E2436F" w:rsidP="00784813">
      <w:pPr>
        <w:numPr>
          <w:ilvl w:val="2"/>
          <w:numId w:val="894"/>
        </w:numPr>
        <w:tabs>
          <w:tab w:val="left" w:pos="2606"/>
        </w:tabs>
        <w:ind w:left="2275"/>
        <w:jc w:val="both"/>
        <w:rPr>
          <w:rFonts w:eastAsia="Times New Roman"/>
          <w:sz w:val="24"/>
          <w:szCs w:val="24"/>
        </w:rPr>
      </w:pPr>
      <w:r w:rsidRPr="00D972DF">
        <w:rPr>
          <w:rFonts w:eastAsia="Times New Roman"/>
          <w:sz w:val="24"/>
          <w:szCs w:val="24"/>
        </w:rPr>
        <w:t>The total coliform-positive sample collected under 310 CMR 22.05(1) is collected at a location that meets Department criteria for Distribution System conditions that will cause total coliform- positive samples.</w:t>
      </w:r>
    </w:p>
    <w:p w14:paraId="281A77CF" w14:textId="77777777" w:rsidR="004647B9" w:rsidRPr="00D972DF" w:rsidRDefault="00E2436F" w:rsidP="00563A54">
      <w:pPr>
        <w:numPr>
          <w:ilvl w:val="0"/>
          <w:numId w:val="895"/>
        </w:numPr>
        <w:tabs>
          <w:tab w:val="left" w:pos="2020"/>
        </w:tabs>
        <w:ind w:left="2020" w:hanging="465"/>
        <w:rPr>
          <w:rFonts w:eastAsia="Times New Roman"/>
          <w:sz w:val="24"/>
          <w:szCs w:val="24"/>
        </w:rPr>
      </w:pPr>
      <w:r w:rsidRPr="00D972DF">
        <w:rPr>
          <w:rFonts w:eastAsia="Times New Roman"/>
          <w:sz w:val="24"/>
          <w:szCs w:val="24"/>
          <w:u w:val="single"/>
        </w:rPr>
        <w:t>Other Source Water Monitoring</w:t>
      </w:r>
      <w:r w:rsidRPr="00D972DF">
        <w:rPr>
          <w:rFonts w:eastAsia="Times New Roman"/>
          <w:sz w:val="24"/>
          <w:szCs w:val="24"/>
        </w:rPr>
        <w:t>.</w:t>
      </w:r>
    </w:p>
    <w:p w14:paraId="281A77D1" w14:textId="77777777" w:rsidR="004647B9" w:rsidRPr="00D972DF" w:rsidRDefault="00E2436F" w:rsidP="00563A54">
      <w:pPr>
        <w:numPr>
          <w:ilvl w:val="1"/>
          <w:numId w:val="895"/>
        </w:numPr>
        <w:tabs>
          <w:tab w:val="left" w:pos="2474"/>
        </w:tabs>
        <w:ind w:left="1920" w:hanging="5"/>
        <w:jc w:val="both"/>
        <w:rPr>
          <w:rFonts w:eastAsia="Times New Roman"/>
          <w:sz w:val="24"/>
          <w:szCs w:val="24"/>
        </w:rPr>
      </w:pPr>
      <w:r w:rsidRPr="00D972DF">
        <w:rPr>
          <w:rFonts w:eastAsia="Times New Roman"/>
          <w:sz w:val="24"/>
          <w:szCs w:val="24"/>
        </w:rPr>
        <w:t xml:space="preserve">A groundwater system meeting the applicability requirements of 310 CMR 22.26(1)(a) that does not treat their groundwater to at least 99.99% (4-log) treatment of Viruses and conducts any type of source water monitoring under 310 CMR 22.00 or otherwise that includes analysis of total coliform, </w:t>
      </w:r>
      <w:r w:rsidRPr="00D972DF">
        <w:rPr>
          <w:rFonts w:eastAsia="Times New Roman"/>
          <w:i/>
          <w:iCs/>
          <w:sz w:val="24"/>
          <w:szCs w:val="24"/>
        </w:rPr>
        <w:t>E. coli</w:t>
      </w:r>
      <w:r w:rsidRPr="00D972DF">
        <w:rPr>
          <w:rFonts w:eastAsia="Times New Roman"/>
          <w:sz w:val="24"/>
          <w:szCs w:val="24"/>
        </w:rPr>
        <w:t xml:space="preserve">, enterococci, or coliphage is subject to the requirements of 310 CMR 22.26 if the source water sample analysis yields a positive result. The requirements of 310 CMR 22.26 apply only to the groundwater sources with positive source water sample results. A positive sample shall satisfy the monitoring requirements of 310 CMR 22.26(3)(a)2. If the source water sample is tested for total coliform, and the sample is total coliform-positive, the system must analyze that total coliform-positive culture medium for </w:t>
      </w:r>
      <w:r w:rsidRPr="00D972DF">
        <w:rPr>
          <w:rFonts w:eastAsia="Times New Roman"/>
          <w:i/>
          <w:iCs/>
          <w:sz w:val="24"/>
          <w:szCs w:val="24"/>
        </w:rPr>
        <w:t>E. coli</w:t>
      </w:r>
      <w:r w:rsidRPr="00D972DF">
        <w:rPr>
          <w:rFonts w:eastAsia="Times New Roman"/>
          <w:sz w:val="24"/>
          <w:szCs w:val="24"/>
        </w:rPr>
        <w:t xml:space="preserve">. </w:t>
      </w:r>
      <w:r w:rsidRPr="00D972DF">
        <w:rPr>
          <w:rFonts w:eastAsia="Times New Roman"/>
          <w:i/>
          <w:iCs/>
          <w:sz w:val="24"/>
          <w:szCs w:val="24"/>
        </w:rPr>
        <w:t>E. coli</w:t>
      </w:r>
      <w:r w:rsidRPr="00D972DF">
        <w:rPr>
          <w:rFonts w:eastAsia="Times New Roman"/>
          <w:sz w:val="24"/>
          <w:szCs w:val="24"/>
        </w:rPr>
        <w:t xml:space="preserve"> shall serve as the fecal indicator under this condition.</w:t>
      </w:r>
    </w:p>
    <w:p w14:paraId="281A77D3" w14:textId="77777777" w:rsidR="004647B9" w:rsidRPr="00D972DF" w:rsidRDefault="00E2436F" w:rsidP="00563A54">
      <w:pPr>
        <w:numPr>
          <w:ilvl w:val="1"/>
          <w:numId w:val="895"/>
        </w:numPr>
        <w:tabs>
          <w:tab w:val="left" w:pos="2275"/>
        </w:tabs>
        <w:ind w:left="1920" w:hanging="5"/>
        <w:jc w:val="both"/>
        <w:rPr>
          <w:rFonts w:eastAsia="Times New Roman"/>
          <w:sz w:val="24"/>
          <w:szCs w:val="24"/>
        </w:rPr>
      </w:pPr>
      <w:r w:rsidRPr="00D972DF">
        <w:rPr>
          <w:rFonts w:eastAsia="Times New Roman"/>
          <w:sz w:val="24"/>
          <w:szCs w:val="24"/>
        </w:rPr>
        <w:t>The Department reserves the right to require additional source water monitoring for fecal indicators using analytical methods as defined under 310 CMR 22.26(3)(c) if circumstances warrant additional testing to determine system vulnerability.</w:t>
      </w:r>
    </w:p>
    <w:p w14:paraId="281A77D5" w14:textId="77777777" w:rsidR="004647B9" w:rsidRPr="00D972DF" w:rsidRDefault="00E2436F" w:rsidP="00563A54">
      <w:pPr>
        <w:numPr>
          <w:ilvl w:val="0"/>
          <w:numId w:val="895"/>
        </w:numPr>
        <w:tabs>
          <w:tab w:val="left" w:pos="2000"/>
        </w:tabs>
        <w:ind w:left="2000" w:hanging="445"/>
        <w:rPr>
          <w:rFonts w:eastAsia="Times New Roman"/>
          <w:sz w:val="24"/>
          <w:szCs w:val="24"/>
        </w:rPr>
      </w:pPr>
      <w:r w:rsidRPr="00D972DF">
        <w:rPr>
          <w:rFonts w:eastAsia="Times New Roman"/>
          <w:sz w:val="24"/>
          <w:szCs w:val="24"/>
          <w:u w:val="single"/>
        </w:rPr>
        <w:t>Analytical Methods</w:t>
      </w:r>
      <w:r w:rsidRPr="00D972DF">
        <w:rPr>
          <w:rFonts w:eastAsia="Times New Roman"/>
          <w:sz w:val="24"/>
          <w:szCs w:val="24"/>
        </w:rPr>
        <w:t>.</w:t>
      </w:r>
    </w:p>
    <w:p w14:paraId="281A77D9" w14:textId="218A1BA4" w:rsidR="004647B9" w:rsidRPr="00D972DF" w:rsidRDefault="00E2436F" w:rsidP="00BC5BB3">
      <w:pPr>
        <w:numPr>
          <w:ilvl w:val="1"/>
          <w:numId w:val="895"/>
        </w:numPr>
        <w:tabs>
          <w:tab w:val="left" w:pos="2474"/>
        </w:tabs>
        <w:ind w:left="1920" w:hanging="5"/>
        <w:jc w:val="both"/>
        <w:rPr>
          <w:rFonts w:eastAsia="Times New Roman"/>
          <w:sz w:val="24"/>
          <w:szCs w:val="24"/>
        </w:rPr>
      </w:pPr>
      <w:r w:rsidRPr="00D972DF">
        <w:rPr>
          <w:rFonts w:eastAsia="Times New Roman"/>
          <w:sz w:val="24"/>
          <w:szCs w:val="24"/>
        </w:rPr>
        <w:t>A groundwater system subject to the source water monitoring requirements of</w:t>
      </w:r>
      <w:r w:rsidR="00D972DF">
        <w:rPr>
          <w:rFonts w:eastAsia="Times New Roman"/>
          <w:sz w:val="24"/>
          <w:szCs w:val="24"/>
        </w:rPr>
        <w:t xml:space="preserve"> 310 </w:t>
      </w:r>
      <w:r w:rsidRPr="00D972DF">
        <w:rPr>
          <w:rFonts w:eastAsia="Times New Roman"/>
          <w:sz w:val="24"/>
          <w:szCs w:val="24"/>
        </w:rPr>
        <w:t>CMR 22.26(3)(a) must collect a Standard Sample volume of at least 100 mL for fecal indicator analysis regardless of the fecal indicator or analytical methods used.</w:t>
      </w:r>
    </w:p>
    <w:p w14:paraId="281A77E0" w14:textId="3B4ABB75" w:rsidR="004647B9" w:rsidRPr="00D972DF" w:rsidRDefault="00E2436F" w:rsidP="00BC5BB3">
      <w:pPr>
        <w:numPr>
          <w:ilvl w:val="1"/>
          <w:numId w:val="895"/>
        </w:numPr>
        <w:tabs>
          <w:tab w:val="left" w:pos="2477"/>
        </w:tabs>
        <w:ind w:left="1915"/>
        <w:jc w:val="both"/>
        <w:rPr>
          <w:rFonts w:eastAsia="Times New Roman"/>
          <w:sz w:val="24"/>
          <w:szCs w:val="24"/>
        </w:rPr>
      </w:pPr>
      <w:r w:rsidRPr="00D972DF">
        <w:rPr>
          <w:rFonts w:eastAsia="Times New Roman"/>
          <w:sz w:val="24"/>
          <w:szCs w:val="24"/>
        </w:rPr>
        <w:t>A groundwater system must analyze all groundwater source samples collected unde</w:t>
      </w:r>
      <w:r w:rsidR="00D972DF" w:rsidRPr="00D972DF">
        <w:rPr>
          <w:rFonts w:eastAsia="Times New Roman"/>
          <w:sz w:val="24"/>
          <w:szCs w:val="24"/>
        </w:rPr>
        <w:t xml:space="preserve">r 310 </w:t>
      </w:r>
      <w:r w:rsidRPr="00D972DF">
        <w:rPr>
          <w:rFonts w:eastAsia="Times New Roman"/>
          <w:sz w:val="24"/>
          <w:szCs w:val="24"/>
        </w:rPr>
        <w:t>CMR 22.26(3)(a) and (b) using methods listed in the following table in 310 CMR</w:t>
      </w:r>
      <w:r w:rsidR="00D972DF" w:rsidRPr="00D972DF">
        <w:rPr>
          <w:rFonts w:eastAsia="Times New Roman"/>
          <w:sz w:val="24"/>
          <w:szCs w:val="24"/>
        </w:rPr>
        <w:t xml:space="preserve"> </w:t>
      </w:r>
      <w:r w:rsidRPr="00D972DF">
        <w:rPr>
          <w:rFonts w:eastAsia="Times New Roman"/>
          <w:sz w:val="24"/>
          <w:szCs w:val="24"/>
        </w:rPr>
        <w:t>26(3)(c)2. for the presence of E. coli or enterococci as specified in 310 CMR</w:t>
      </w:r>
      <w:r w:rsidR="00D972DF" w:rsidRPr="00D972DF">
        <w:rPr>
          <w:rFonts w:eastAsia="Times New Roman"/>
          <w:sz w:val="24"/>
          <w:szCs w:val="24"/>
        </w:rPr>
        <w:t xml:space="preserve"> </w:t>
      </w:r>
      <w:r w:rsidRPr="00D972DF">
        <w:rPr>
          <w:rFonts w:eastAsia="Times New Roman"/>
          <w:sz w:val="24"/>
          <w:szCs w:val="24"/>
        </w:rPr>
        <w:t>26(3)(a)3.  The Department reserves the right to require coliphage analysis.</w:t>
      </w:r>
    </w:p>
    <w:p w14:paraId="281A77E1" w14:textId="77777777" w:rsidR="004647B9" w:rsidRDefault="004647B9">
      <w:pPr>
        <w:sectPr w:rsidR="004647B9" w:rsidSect="00EF630C">
          <w:pgSz w:w="12240" w:h="20180"/>
          <w:pgMar w:top="708" w:right="1440" w:bottom="1440" w:left="540" w:header="0" w:footer="0" w:gutter="0"/>
          <w:cols w:space="720"/>
        </w:sectPr>
      </w:pPr>
    </w:p>
    <w:p w14:paraId="281A77E2" w14:textId="77777777" w:rsidR="004647B9" w:rsidRDefault="00E2436F">
      <w:pPr>
        <w:tabs>
          <w:tab w:val="left" w:pos="160"/>
        </w:tabs>
        <w:ind w:right="-60"/>
        <w:jc w:val="center"/>
        <w:rPr>
          <w:sz w:val="20"/>
          <w:szCs w:val="20"/>
        </w:rPr>
      </w:pPr>
      <w:bookmarkStart w:id="343" w:name="page346"/>
      <w:bookmarkEnd w:id="343"/>
      <w:r>
        <w:rPr>
          <w:rFonts w:eastAsia="Times New Roman"/>
          <w:sz w:val="24"/>
          <w:szCs w:val="24"/>
        </w:rPr>
        <w:lastRenderedPageBreak/>
        <w:t>310 CMR:</w:t>
      </w:r>
      <w:r>
        <w:rPr>
          <w:sz w:val="20"/>
          <w:szCs w:val="20"/>
        </w:rPr>
        <w:tab/>
      </w:r>
      <w:r>
        <w:rPr>
          <w:rFonts w:eastAsia="Times New Roman"/>
          <w:sz w:val="23"/>
          <w:szCs w:val="23"/>
        </w:rPr>
        <w:t>DEPARTMENT OF ENVIRONMENTAL PROTECTION</w:t>
      </w:r>
    </w:p>
    <w:p w14:paraId="281A77E3" w14:textId="77777777" w:rsidR="004647B9" w:rsidRDefault="004647B9" w:rsidP="00EF5169">
      <w:pPr>
        <w:rPr>
          <w:sz w:val="20"/>
          <w:szCs w:val="20"/>
        </w:rPr>
      </w:pPr>
    </w:p>
    <w:p w14:paraId="281A77E4" w14:textId="77777777" w:rsidR="004647B9" w:rsidRDefault="004647B9" w:rsidP="00EF5169">
      <w:pPr>
        <w:rPr>
          <w:sz w:val="20"/>
          <w:szCs w:val="20"/>
        </w:rPr>
      </w:pPr>
    </w:p>
    <w:p w14:paraId="281A77E5" w14:textId="77777777" w:rsidR="004647B9" w:rsidRPr="00EF5169" w:rsidRDefault="00E2436F" w:rsidP="00EF5169">
      <w:pPr>
        <w:tabs>
          <w:tab w:val="left" w:pos="761"/>
        </w:tabs>
        <w:ind w:left="1"/>
        <w:rPr>
          <w:sz w:val="24"/>
          <w:szCs w:val="24"/>
        </w:rPr>
      </w:pPr>
      <w:r w:rsidRPr="00EF5169">
        <w:rPr>
          <w:rFonts w:eastAsia="Times New Roman"/>
          <w:sz w:val="24"/>
          <w:szCs w:val="24"/>
        </w:rPr>
        <w:t>22.26:</w:t>
      </w:r>
      <w:r w:rsidRPr="00EF5169">
        <w:rPr>
          <w:rFonts w:eastAsia="Times New Roman"/>
          <w:sz w:val="24"/>
          <w:szCs w:val="24"/>
        </w:rPr>
        <w:tab/>
        <w:t>continued</w:t>
      </w:r>
    </w:p>
    <w:p w14:paraId="281A77E6" w14:textId="492114B3" w:rsidR="004647B9" w:rsidRDefault="004647B9" w:rsidP="00EF5169">
      <w:pPr>
        <w:rPr>
          <w:sz w:val="20"/>
          <w:szCs w:val="20"/>
        </w:rPr>
      </w:pPr>
    </w:p>
    <w:p w14:paraId="1523EC00" w14:textId="1E216EBB" w:rsidR="009E4814" w:rsidRPr="00EF5169" w:rsidRDefault="009E4814" w:rsidP="00EF5169">
      <w:pPr>
        <w:jc w:val="center"/>
        <w:rPr>
          <w:sz w:val="24"/>
          <w:szCs w:val="24"/>
        </w:rPr>
      </w:pPr>
      <w:r w:rsidRPr="00EF5169">
        <w:rPr>
          <w:rFonts w:eastAsia="Times New Roman"/>
          <w:sz w:val="24"/>
          <w:szCs w:val="24"/>
        </w:rPr>
        <w:t>Analytical Methods for Source Water Monitoring</w:t>
      </w:r>
    </w:p>
    <w:tbl>
      <w:tblPr>
        <w:tblW w:w="9060" w:type="dxa"/>
        <w:jc w:val="center"/>
        <w:tblLayout w:type="fixed"/>
        <w:tblCellMar>
          <w:left w:w="0" w:type="dxa"/>
          <w:right w:w="0" w:type="dxa"/>
        </w:tblCellMar>
        <w:tblLook w:val="04A0" w:firstRow="1" w:lastRow="0" w:firstColumn="1" w:lastColumn="0" w:noHBand="0" w:noVBand="1"/>
      </w:tblPr>
      <w:tblGrid>
        <w:gridCol w:w="2240"/>
        <w:gridCol w:w="3420"/>
        <w:gridCol w:w="3400"/>
      </w:tblGrid>
      <w:tr w:rsidR="00D14034" w14:paraId="281A77EE" w14:textId="77777777" w:rsidTr="00C21851">
        <w:trPr>
          <w:trHeight w:val="375"/>
          <w:jc w:val="center"/>
        </w:trPr>
        <w:tc>
          <w:tcPr>
            <w:tcW w:w="2240" w:type="dxa"/>
            <w:tcBorders>
              <w:top w:val="single" w:sz="4" w:space="0" w:color="auto"/>
              <w:left w:val="single" w:sz="8" w:space="0" w:color="auto"/>
              <w:bottom w:val="single" w:sz="4" w:space="0" w:color="auto"/>
              <w:right w:val="single" w:sz="4" w:space="0" w:color="auto"/>
            </w:tcBorders>
            <w:vAlign w:val="center"/>
          </w:tcPr>
          <w:p w14:paraId="281A77EA" w14:textId="7F1E9F5D" w:rsidR="00D14034" w:rsidRPr="00D14034" w:rsidRDefault="00D14034" w:rsidP="00EF5169">
            <w:pPr>
              <w:ind w:left="120"/>
              <w:rPr>
                <w:sz w:val="20"/>
                <w:szCs w:val="20"/>
              </w:rPr>
            </w:pPr>
            <w:r w:rsidRPr="00D14034">
              <w:rPr>
                <w:rFonts w:eastAsia="Times New Roman"/>
              </w:rPr>
              <w:t>Fecal Indicator</w:t>
            </w:r>
            <w:r w:rsidRPr="00D14034">
              <w:rPr>
                <w:rFonts w:eastAsia="Times New Roman"/>
                <w:vertAlign w:val="superscript"/>
              </w:rPr>
              <w:t>1</w:t>
            </w:r>
          </w:p>
        </w:tc>
        <w:tc>
          <w:tcPr>
            <w:tcW w:w="3420" w:type="dxa"/>
            <w:tcBorders>
              <w:top w:val="single" w:sz="4" w:space="0" w:color="auto"/>
              <w:left w:val="single" w:sz="4" w:space="0" w:color="auto"/>
              <w:bottom w:val="single" w:sz="4" w:space="0" w:color="auto"/>
              <w:right w:val="single" w:sz="8" w:space="0" w:color="auto"/>
            </w:tcBorders>
            <w:vAlign w:val="center"/>
          </w:tcPr>
          <w:p w14:paraId="281A77EC" w14:textId="77777777" w:rsidR="00D14034" w:rsidRPr="00D14034" w:rsidRDefault="00D14034" w:rsidP="00EF5169">
            <w:pPr>
              <w:ind w:left="100"/>
              <w:rPr>
                <w:sz w:val="20"/>
                <w:szCs w:val="20"/>
              </w:rPr>
            </w:pPr>
            <w:r w:rsidRPr="00D14034">
              <w:rPr>
                <w:rFonts w:eastAsia="Times New Roman"/>
              </w:rPr>
              <w:t>Methodology</w:t>
            </w:r>
          </w:p>
        </w:tc>
        <w:tc>
          <w:tcPr>
            <w:tcW w:w="3400" w:type="dxa"/>
            <w:tcBorders>
              <w:top w:val="single" w:sz="4" w:space="0" w:color="auto"/>
              <w:bottom w:val="single" w:sz="4" w:space="0" w:color="auto"/>
              <w:right w:val="single" w:sz="8" w:space="0" w:color="auto"/>
            </w:tcBorders>
            <w:vAlign w:val="center"/>
          </w:tcPr>
          <w:p w14:paraId="281A77ED" w14:textId="77777777" w:rsidR="00D14034" w:rsidRPr="00D14034" w:rsidRDefault="00D14034" w:rsidP="00EF5169">
            <w:pPr>
              <w:ind w:left="100"/>
              <w:rPr>
                <w:sz w:val="20"/>
                <w:szCs w:val="20"/>
              </w:rPr>
            </w:pPr>
            <w:r w:rsidRPr="00D14034">
              <w:rPr>
                <w:rFonts w:eastAsia="Times New Roman"/>
              </w:rPr>
              <w:t>Method Citation</w:t>
            </w:r>
          </w:p>
        </w:tc>
      </w:tr>
      <w:tr w:rsidR="005A3567" w14:paraId="281A77F8" w14:textId="77777777" w:rsidTr="00550FA4">
        <w:trPr>
          <w:trHeight w:val="288"/>
          <w:jc w:val="center"/>
        </w:trPr>
        <w:tc>
          <w:tcPr>
            <w:tcW w:w="2240" w:type="dxa"/>
            <w:vMerge w:val="restart"/>
            <w:tcBorders>
              <w:top w:val="single" w:sz="4" w:space="0" w:color="auto"/>
              <w:left w:val="single" w:sz="8" w:space="0" w:color="auto"/>
              <w:bottom w:val="single" w:sz="4" w:space="0" w:color="auto"/>
              <w:right w:val="single" w:sz="4" w:space="0" w:color="auto"/>
            </w:tcBorders>
          </w:tcPr>
          <w:p w14:paraId="281A77F4" w14:textId="77777777" w:rsidR="005A3567" w:rsidRDefault="005A3567" w:rsidP="00EF5169">
            <w:pPr>
              <w:ind w:left="120"/>
              <w:rPr>
                <w:sz w:val="20"/>
                <w:szCs w:val="20"/>
              </w:rPr>
            </w:pPr>
            <w:r>
              <w:rPr>
                <w:rFonts w:eastAsia="Times New Roman"/>
                <w:i/>
                <w:iCs/>
              </w:rPr>
              <w:t>E.coli</w:t>
            </w:r>
          </w:p>
        </w:tc>
        <w:tc>
          <w:tcPr>
            <w:tcW w:w="3420" w:type="dxa"/>
            <w:tcBorders>
              <w:top w:val="single" w:sz="4" w:space="0" w:color="auto"/>
              <w:left w:val="single" w:sz="4" w:space="0" w:color="auto"/>
              <w:right w:val="single" w:sz="8" w:space="0" w:color="auto"/>
            </w:tcBorders>
            <w:vAlign w:val="bottom"/>
          </w:tcPr>
          <w:p w14:paraId="281A77F6" w14:textId="426825A3" w:rsidR="005A3567" w:rsidRDefault="005A3567" w:rsidP="00EF5169">
            <w:pPr>
              <w:ind w:left="100"/>
              <w:rPr>
                <w:sz w:val="20"/>
                <w:szCs w:val="20"/>
              </w:rPr>
            </w:pPr>
            <w:r>
              <w:rPr>
                <w:rFonts w:eastAsia="Times New Roman"/>
              </w:rPr>
              <w:t>Colilert</w:t>
            </w:r>
            <w:r>
              <w:rPr>
                <w:rFonts w:eastAsia="Times New Roman"/>
                <w:vertAlign w:val="superscript"/>
              </w:rPr>
              <w:t>®3</w:t>
            </w:r>
          </w:p>
        </w:tc>
        <w:tc>
          <w:tcPr>
            <w:tcW w:w="3400" w:type="dxa"/>
            <w:tcBorders>
              <w:top w:val="single" w:sz="4" w:space="0" w:color="auto"/>
              <w:right w:val="single" w:sz="8" w:space="0" w:color="auto"/>
            </w:tcBorders>
            <w:vAlign w:val="bottom"/>
          </w:tcPr>
          <w:p w14:paraId="281A77F7" w14:textId="77777777" w:rsidR="005A3567" w:rsidRDefault="005A3567" w:rsidP="00EF5169">
            <w:pPr>
              <w:ind w:left="100"/>
              <w:rPr>
                <w:sz w:val="20"/>
                <w:szCs w:val="20"/>
              </w:rPr>
            </w:pPr>
            <w:r>
              <w:rPr>
                <w:rFonts w:eastAsia="Times New Roman"/>
              </w:rPr>
              <w:t>SM 9223 B</w:t>
            </w:r>
            <w:r>
              <w:rPr>
                <w:rFonts w:eastAsia="Times New Roman"/>
                <w:vertAlign w:val="superscript"/>
              </w:rPr>
              <w:t>2</w:t>
            </w:r>
          </w:p>
        </w:tc>
      </w:tr>
      <w:tr w:rsidR="005A3567" w14:paraId="281A77FD" w14:textId="77777777" w:rsidTr="00C21851">
        <w:trPr>
          <w:trHeight w:val="281"/>
          <w:jc w:val="center"/>
        </w:trPr>
        <w:tc>
          <w:tcPr>
            <w:tcW w:w="2240" w:type="dxa"/>
            <w:vMerge/>
            <w:tcBorders>
              <w:left w:val="single" w:sz="8" w:space="0" w:color="auto"/>
              <w:bottom w:val="single" w:sz="4" w:space="0" w:color="auto"/>
              <w:right w:val="single" w:sz="4" w:space="0" w:color="auto"/>
            </w:tcBorders>
            <w:vAlign w:val="bottom"/>
          </w:tcPr>
          <w:p w14:paraId="281A77F9"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7FB" w14:textId="3078B7F1" w:rsidR="005A3567" w:rsidRDefault="005A3567" w:rsidP="00EF5169">
            <w:pPr>
              <w:ind w:left="100"/>
              <w:rPr>
                <w:sz w:val="20"/>
                <w:szCs w:val="20"/>
              </w:rPr>
            </w:pPr>
            <w:r>
              <w:rPr>
                <w:rFonts w:eastAsia="Times New Roman"/>
              </w:rPr>
              <w:t>Colisure</w:t>
            </w:r>
            <w:r>
              <w:rPr>
                <w:rFonts w:eastAsia="Times New Roman"/>
                <w:vertAlign w:val="superscript"/>
              </w:rPr>
              <w:t>®3</w:t>
            </w:r>
          </w:p>
        </w:tc>
        <w:tc>
          <w:tcPr>
            <w:tcW w:w="3400" w:type="dxa"/>
            <w:tcBorders>
              <w:right w:val="single" w:sz="8" w:space="0" w:color="auto"/>
            </w:tcBorders>
            <w:vAlign w:val="bottom"/>
          </w:tcPr>
          <w:p w14:paraId="281A77FC" w14:textId="77777777" w:rsidR="005A3567" w:rsidRDefault="005A3567" w:rsidP="00EF5169">
            <w:pPr>
              <w:ind w:left="100"/>
              <w:rPr>
                <w:sz w:val="20"/>
                <w:szCs w:val="20"/>
              </w:rPr>
            </w:pPr>
            <w:r>
              <w:rPr>
                <w:rFonts w:eastAsia="Times New Roman"/>
              </w:rPr>
              <w:t>SM 9223 B</w:t>
            </w:r>
            <w:r>
              <w:rPr>
                <w:rFonts w:eastAsia="Times New Roman"/>
                <w:vertAlign w:val="superscript"/>
              </w:rPr>
              <w:t>2</w:t>
            </w:r>
          </w:p>
        </w:tc>
      </w:tr>
      <w:tr w:rsidR="005A3567" w14:paraId="281A7802" w14:textId="77777777" w:rsidTr="00C21851">
        <w:trPr>
          <w:trHeight w:val="278"/>
          <w:jc w:val="center"/>
        </w:trPr>
        <w:tc>
          <w:tcPr>
            <w:tcW w:w="2240" w:type="dxa"/>
            <w:vMerge/>
            <w:tcBorders>
              <w:left w:val="single" w:sz="8" w:space="0" w:color="auto"/>
              <w:bottom w:val="single" w:sz="4" w:space="0" w:color="auto"/>
              <w:right w:val="single" w:sz="4" w:space="0" w:color="auto"/>
            </w:tcBorders>
            <w:vAlign w:val="bottom"/>
          </w:tcPr>
          <w:p w14:paraId="281A77FE"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800" w14:textId="77777777" w:rsidR="005A3567" w:rsidRDefault="005A3567" w:rsidP="00EF5169">
            <w:pPr>
              <w:ind w:left="100"/>
              <w:rPr>
                <w:sz w:val="20"/>
                <w:szCs w:val="20"/>
              </w:rPr>
            </w:pPr>
            <w:r>
              <w:rPr>
                <w:rFonts w:eastAsia="Times New Roman"/>
              </w:rPr>
              <w:t>Colilert-18</w:t>
            </w:r>
            <w:r>
              <w:rPr>
                <w:rFonts w:eastAsia="Times New Roman"/>
                <w:vertAlign w:val="superscript"/>
              </w:rPr>
              <w:t>®</w:t>
            </w:r>
          </w:p>
        </w:tc>
        <w:tc>
          <w:tcPr>
            <w:tcW w:w="3400" w:type="dxa"/>
            <w:tcBorders>
              <w:right w:val="single" w:sz="8" w:space="0" w:color="auto"/>
            </w:tcBorders>
            <w:vAlign w:val="bottom"/>
          </w:tcPr>
          <w:p w14:paraId="281A7801" w14:textId="77777777" w:rsidR="005A3567" w:rsidRDefault="005A3567" w:rsidP="00EF5169">
            <w:pPr>
              <w:ind w:left="100"/>
              <w:rPr>
                <w:sz w:val="20"/>
                <w:szCs w:val="20"/>
              </w:rPr>
            </w:pPr>
            <w:r>
              <w:rPr>
                <w:rFonts w:eastAsia="Times New Roman"/>
              </w:rPr>
              <w:t>SM 9223 B</w:t>
            </w:r>
          </w:p>
        </w:tc>
      </w:tr>
      <w:tr w:rsidR="005A3567" w14:paraId="281A7807" w14:textId="77777777" w:rsidTr="00C21851">
        <w:trPr>
          <w:trHeight w:val="281"/>
          <w:jc w:val="center"/>
        </w:trPr>
        <w:tc>
          <w:tcPr>
            <w:tcW w:w="2240" w:type="dxa"/>
            <w:vMerge/>
            <w:tcBorders>
              <w:left w:val="single" w:sz="8" w:space="0" w:color="auto"/>
              <w:bottom w:val="single" w:sz="4" w:space="0" w:color="auto"/>
              <w:right w:val="single" w:sz="4" w:space="0" w:color="auto"/>
            </w:tcBorders>
            <w:vAlign w:val="bottom"/>
          </w:tcPr>
          <w:p w14:paraId="281A7803"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805" w14:textId="1C1B3545" w:rsidR="005A3567" w:rsidRDefault="005A3567" w:rsidP="00EF5169">
            <w:pPr>
              <w:ind w:left="100"/>
              <w:rPr>
                <w:sz w:val="20"/>
                <w:szCs w:val="20"/>
              </w:rPr>
            </w:pPr>
            <w:r>
              <w:rPr>
                <w:rFonts w:eastAsia="Times New Roman"/>
              </w:rPr>
              <w:t>Membrane Filter Method with MI</w:t>
            </w:r>
            <w:r w:rsidR="00C75218">
              <w:rPr>
                <w:rFonts w:eastAsia="Times New Roman"/>
              </w:rPr>
              <w:t xml:space="preserve"> Agar</w:t>
            </w:r>
          </w:p>
        </w:tc>
        <w:tc>
          <w:tcPr>
            <w:tcW w:w="3400" w:type="dxa"/>
            <w:tcBorders>
              <w:right w:val="single" w:sz="8" w:space="0" w:color="auto"/>
            </w:tcBorders>
            <w:vAlign w:val="bottom"/>
          </w:tcPr>
          <w:p w14:paraId="281A7806" w14:textId="77777777" w:rsidR="005A3567" w:rsidRDefault="005A3567" w:rsidP="00EF5169">
            <w:pPr>
              <w:ind w:left="100"/>
              <w:rPr>
                <w:sz w:val="20"/>
                <w:szCs w:val="20"/>
              </w:rPr>
            </w:pPr>
            <w:r>
              <w:rPr>
                <w:rFonts w:eastAsia="Times New Roman"/>
              </w:rPr>
              <w:t>EPA Method 1604</w:t>
            </w:r>
            <w:r>
              <w:rPr>
                <w:rFonts w:eastAsia="Times New Roman"/>
                <w:vertAlign w:val="superscript"/>
              </w:rPr>
              <w:t>4</w:t>
            </w:r>
          </w:p>
        </w:tc>
      </w:tr>
      <w:tr w:rsidR="005A3567" w14:paraId="281A7811" w14:textId="77777777" w:rsidTr="00C21851">
        <w:trPr>
          <w:trHeight w:val="281"/>
          <w:jc w:val="center"/>
        </w:trPr>
        <w:tc>
          <w:tcPr>
            <w:tcW w:w="2240" w:type="dxa"/>
            <w:vMerge/>
            <w:tcBorders>
              <w:left w:val="single" w:sz="8" w:space="0" w:color="auto"/>
              <w:bottom w:val="single" w:sz="4" w:space="0" w:color="auto"/>
              <w:right w:val="single" w:sz="4" w:space="0" w:color="auto"/>
            </w:tcBorders>
            <w:vAlign w:val="bottom"/>
          </w:tcPr>
          <w:p w14:paraId="281A780D"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80F" w14:textId="77777777" w:rsidR="005A3567" w:rsidRDefault="005A3567" w:rsidP="00EF5169">
            <w:pPr>
              <w:ind w:left="100"/>
              <w:rPr>
                <w:sz w:val="20"/>
                <w:szCs w:val="20"/>
              </w:rPr>
            </w:pPr>
            <w:r>
              <w:rPr>
                <w:rFonts w:eastAsia="Times New Roman"/>
              </w:rPr>
              <w:t>E*Colite Test</w:t>
            </w:r>
            <w:r>
              <w:rPr>
                <w:rFonts w:eastAsia="Times New Roman"/>
                <w:vertAlign w:val="superscript"/>
              </w:rPr>
              <w:t>5</w:t>
            </w:r>
          </w:p>
        </w:tc>
        <w:tc>
          <w:tcPr>
            <w:tcW w:w="3400" w:type="dxa"/>
            <w:tcBorders>
              <w:right w:val="single" w:sz="8" w:space="0" w:color="auto"/>
            </w:tcBorders>
            <w:vAlign w:val="bottom"/>
          </w:tcPr>
          <w:p w14:paraId="281A7810" w14:textId="77777777" w:rsidR="005A3567" w:rsidRDefault="005A3567" w:rsidP="00EF5169">
            <w:pPr>
              <w:rPr>
                <w:sz w:val="24"/>
                <w:szCs w:val="24"/>
              </w:rPr>
            </w:pPr>
          </w:p>
        </w:tc>
      </w:tr>
      <w:tr w:rsidR="005A3567" w14:paraId="281A7816" w14:textId="77777777" w:rsidTr="00C21851">
        <w:trPr>
          <w:trHeight w:val="285"/>
          <w:jc w:val="center"/>
        </w:trPr>
        <w:tc>
          <w:tcPr>
            <w:tcW w:w="2240" w:type="dxa"/>
            <w:vMerge/>
            <w:tcBorders>
              <w:left w:val="single" w:sz="8" w:space="0" w:color="auto"/>
              <w:bottom w:val="single" w:sz="4" w:space="0" w:color="auto"/>
              <w:right w:val="single" w:sz="4" w:space="0" w:color="auto"/>
            </w:tcBorders>
            <w:vAlign w:val="bottom"/>
          </w:tcPr>
          <w:p w14:paraId="281A7812" w14:textId="77777777" w:rsidR="005A3567" w:rsidRDefault="005A3567" w:rsidP="00EF5169">
            <w:pPr>
              <w:rPr>
                <w:sz w:val="24"/>
                <w:szCs w:val="24"/>
              </w:rPr>
            </w:pPr>
          </w:p>
        </w:tc>
        <w:tc>
          <w:tcPr>
            <w:tcW w:w="3420" w:type="dxa"/>
            <w:tcBorders>
              <w:left w:val="single" w:sz="4" w:space="0" w:color="auto"/>
              <w:bottom w:val="single" w:sz="4" w:space="0" w:color="auto"/>
              <w:right w:val="single" w:sz="8" w:space="0" w:color="auto"/>
            </w:tcBorders>
            <w:vAlign w:val="bottom"/>
          </w:tcPr>
          <w:p w14:paraId="281A7814" w14:textId="77777777" w:rsidR="005A3567" w:rsidRDefault="005A3567" w:rsidP="00EF5169">
            <w:pPr>
              <w:ind w:left="100"/>
              <w:rPr>
                <w:sz w:val="20"/>
                <w:szCs w:val="20"/>
              </w:rPr>
            </w:pPr>
            <w:r>
              <w:rPr>
                <w:rFonts w:eastAsia="Times New Roman"/>
              </w:rPr>
              <w:t>NA-MUG</w:t>
            </w:r>
          </w:p>
        </w:tc>
        <w:tc>
          <w:tcPr>
            <w:tcW w:w="3400" w:type="dxa"/>
            <w:tcBorders>
              <w:bottom w:val="single" w:sz="4" w:space="0" w:color="auto"/>
              <w:right w:val="single" w:sz="8" w:space="0" w:color="auto"/>
            </w:tcBorders>
            <w:vAlign w:val="bottom"/>
          </w:tcPr>
          <w:p w14:paraId="281A7815" w14:textId="77777777" w:rsidR="005A3567" w:rsidRDefault="005A3567" w:rsidP="00EF5169">
            <w:pPr>
              <w:ind w:left="100"/>
              <w:rPr>
                <w:sz w:val="20"/>
                <w:szCs w:val="20"/>
              </w:rPr>
            </w:pPr>
            <w:r>
              <w:rPr>
                <w:rFonts w:eastAsia="Times New Roman"/>
              </w:rPr>
              <w:t>SM 9222 G</w:t>
            </w:r>
            <w:r>
              <w:rPr>
                <w:rFonts w:eastAsia="Times New Roman"/>
                <w:vertAlign w:val="superscript"/>
              </w:rPr>
              <w:t>2</w:t>
            </w:r>
          </w:p>
        </w:tc>
      </w:tr>
      <w:tr w:rsidR="005A3567" w14:paraId="281A7820" w14:textId="77777777" w:rsidTr="00550FA4">
        <w:trPr>
          <w:trHeight w:val="288"/>
          <w:jc w:val="center"/>
        </w:trPr>
        <w:tc>
          <w:tcPr>
            <w:tcW w:w="2240" w:type="dxa"/>
            <w:vMerge w:val="restart"/>
            <w:tcBorders>
              <w:top w:val="single" w:sz="4" w:space="0" w:color="auto"/>
              <w:left w:val="single" w:sz="8" w:space="0" w:color="auto"/>
              <w:bottom w:val="single" w:sz="4" w:space="0" w:color="auto"/>
              <w:right w:val="single" w:sz="4" w:space="0" w:color="auto"/>
            </w:tcBorders>
          </w:tcPr>
          <w:p w14:paraId="281A781C" w14:textId="77777777" w:rsidR="005A3567" w:rsidRDefault="005A3567" w:rsidP="00EF5169">
            <w:pPr>
              <w:ind w:left="120"/>
              <w:rPr>
                <w:sz w:val="20"/>
                <w:szCs w:val="20"/>
              </w:rPr>
            </w:pPr>
            <w:r>
              <w:rPr>
                <w:rFonts w:eastAsia="Times New Roman"/>
                <w:i/>
                <w:iCs/>
              </w:rPr>
              <w:t>Enterococci</w:t>
            </w:r>
          </w:p>
        </w:tc>
        <w:tc>
          <w:tcPr>
            <w:tcW w:w="3420" w:type="dxa"/>
            <w:tcBorders>
              <w:top w:val="single" w:sz="4" w:space="0" w:color="auto"/>
              <w:left w:val="single" w:sz="4" w:space="0" w:color="auto"/>
              <w:right w:val="single" w:sz="8" w:space="0" w:color="auto"/>
            </w:tcBorders>
            <w:vAlign w:val="bottom"/>
          </w:tcPr>
          <w:p w14:paraId="281A781E" w14:textId="77777777" w:rsidR="005A3567" w:rsidRDefault="005A3567" w:rsidP="00EF5169">
            <w:pPr>
              <w:ind w:left="100"/>
              <w:rPr>
                <w:sz w:val="20"/>
                <w:szCs w:val="20"/>
              </w:rPr>
            </w:pPr>
            <w:r>
              <w:rPr>
                <w:rFonts w:eastAsia="Times New Roman"/>
              </w:rPr>
              <w:t>Membrane Filter Technique</w:t>
            </w:r>
          </w:p>
        </w:tc>
        <w:tc>
          <w:tcPr>
            <w:tcW w:w="3400" w:type="dxa"/>
            <w:tcBorders>
              <w:top w:val="single" w:sz="4" w:space="0" w:color="auto"/>
              <w:right w:val="single" w:sz="8" w:space="0" w:color="auto"/>
            </w:tcBorders>
            <w:vAlign w:val="bottom"/>
          </w:tcPr>
          <w:p w14:paraId="281A781F" w14:textId="77777777" w:rsidR="005A3567" w:rsidRDefault="005A3567" w:rsidP="00EF5169">
            <w:pPr>
              <w:ind w:left="100"/>
              <w:rPr>
                <w:sz w:val="20"/>
                <w:szCs w:val="20"/>
              </w:rPr>
            </w:pPr>
            <w:r>
              <w:rPr>
                <w:rFonts w:eastAsia="Times New Roman"/>
              </w:rPr>
              <w:t>SM 9230C</w:t>
            </w:r>
            <w:r>
              <w:rPr>
                <w:rFonts w:eastAsia="Times New Roman"/>
                <w:vertAlign w:val="superscript"/>
              </w:rPr>
              <w:t>2</w:t>
            </w:r>
          </w:p>
        </w:tc>
      </w:tr>
      <w:tr w:rsidR="005A3567" w14:paraId="281A7825" w14:textId="77777777" w:rsidTr="00C21851">
        <w:trPr>
          <w:trHeight w:val="278"/>
          <w:jc w:val="center"/>
        </w:trPr>
        <w:tc>
          <w:tcPr>
            <w:tcW w:w="2240" w:type="dxa"/>
            <w:vMerge/>
            <w:tcBorders>
              <w:left w:val="single" w:sz="8" w:space="0" w:color="auto"/>
              <w:bottom w:val="single" w:sz="4" w:space="0" w:color="auto"/>
              <w:right w:val="single" w:sz="4" w:space="0" w:color="auto"/>
            </w:tcBorders>
            <w:vAlign w:val="bottom"/>
          </w:tcPr>
          <w:p w14:paraId="281A7821"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823" w14:textId="77777777" w:rsidR="005A3567" w:rsidRDefault="005A3567" w:rsidP="00EF5169">
            <w:pPr>
              <w:ind w:left="100"/>
              <w:rPr>
                <w:sz w:val="20"/>
                <w:szCs w:val="20"/>
              </w:rPr>
            </w:pPr>
            <w:r>
              <w:rPr>
                <w:rFonts w:eastAsia="Times New Roman"/>
              </w:rPr>
              <w:t>Membrane Filter Technique</w:t>
            </w:r>
          </w:p>
        </w:tc>
        <w:tc>
          <w:tcPr>
            <w:tcW w:w="3400" w:type="dxa"/>
            <w:tcBorders>
              <w:right w:val="single" w:sz="8" w:space="0" w:color="auto"/>
            </w:tcBorders>
            <w:vAlign w:val="bottom"/>
          </w:tcPr>
          <w:p w14:paraId="281A7824" w14:textId="77777777" w:rsidR="005A3567" w:rsidRDefault="005A3567" w:rsidP="00EF5169">
            <w:pPr>
              <w:ind w:left="100"/>
              <w:rPr>
                <w:sz w:val="20"/>
                <w:szCs w:val="20"/>
              </w:rPr>
            </w:pPr>
            <w:r>
              <w:rPr>
                <w:rFonts w:eastAsia="Times New Roman"/>
              </w:rPr>
              <w:t>EPA Method 1600</w:t>
            </w:r>
            <w:r>
              <w:rPr>
                <w:rFonts w:eastAsia="Times New Roman"/>
                <w:vertAlign w:val="superscript"/>
              </w:rPr>
              <w:t>6</w:t>
            </w:r>
          </w:p>
        </w:tc>
      </w:tr>
      <w:tr w:rsidR="005A3567" w14:paraId="281A782A" w14:textId="77777777" w:rsidTr="00C21851">
        <w:trPr>
          <w:trHeight w:val="285"/>
          <w:jc w:val="center"/>
        </w:trPr>
        <w:tc>
          <w:tcPr>
            <w:tcW w:w="2240" w:type="dxa"/>
            <w:vMerge/>
            <w:tcBorders>
              <w:left w:val="single" w:sz="8" w:space="0" w:color="auto"/>
              <w:bottom w:val="single" w:sz="4" w:space="0" w:color="auto"/>
              <w:right w:val="single" w:sz="4" w:space="0" w:color="auto"/>
            </w:tcBorders>
            <w:vAlign w:val="bottom"/>
          </w:tcPr>
          <w:p w14:paraId="281A7826" w14:textId="77777777" w:rsidR="005A3567" w:rsidRDefault="005A3567" w:rsidP="00EF5169">
            <w:pPr>
              <w:rPr>
                <w:sz w:val="24"/>
                <w:szCs w:val="24"/>
              </w:rPr>
            </w:pPr>
          </w:p>
        </w:tc>
        <w:tc>
          <w:tcPr>
            <w:tcW w:w="3420" w:type="dxa"/>
            <w:tcBorders>
              <w:left w:val="single" w:sz="4" w:space="0" w:color="auto"/>
              <w:bottom w:val="single" w:sz="4" w:space="0" w:color="auto"/>
              <w:right w:val="single" w:sz="8" w:space="0" w:color="auto"/>
            </w:tcBorders>
            <w:vAlign w:val="bottom"/>
          </w:tcPr>
          <w:p w14:paraId="281A7828" w14:textId="421F1509" w:rsidR="005A3567" w:rsidRDefault="005A3567" w:rsidP="00EF5169">
            <w:pPr>
              <w:ind w:left="100"/>
              <w:rPr>
                <w:sz w:val="20"/>
                <w:szCs w:val="20"/>
              </w:rPr>
            </w:pPr>
            <w:r>
              <w:rPr>
                <w:rFonts w:eastAsia="Times New Roman"/>
              </w:rPr>
              <w:t>Enterolert™</w:t>
            </w:r>
            <w:r>
              <w:rPr>
                <w:rFonts w:eastAsia="Times New Roman"/>
                <w:vertAlign w:val="superscript"/>
              </w:rPr>
              <w:t>7</w:t>
            </w:r>
          </w:p>
        </w:tc>
        <w:tc>
          <w:tcPr>
            <w:tcW w:w="3400" w:type="dxa"/>
            <w:tcBorders>
              <w:bottom w:val="single" w:sz="4" w:space="0" w:color="auto"/>
              <w:right w:val="single" w:sz="8" w:space="0" w:color="auto"/>
            </w:tcBorders>
            <w:vAlign w:val="bottom"/>
          </w:tcPr>
          <w:p w14:paraId="281A7829" w14:textId="77777777" w:rsidR="005A3567" w:rsidRDefault="005A3567" w:rsidP="00EF5169">
            <w:pPr>
              <w:rPr>
                <w:sz w:val="24"/>
                <w:szCs w:val="24"/>
              </w:rPr>
            </w:pPr>
          </w:p>
        </w:tc>
      </w:tr>
      <w:tr w:rsidR="00C75218" w14:paraId="281A7834" w14:textId="77777777" w:rsidTr="00550FA4">
        <w:trPr>
          <w:trHeight w:val="432"/>
          <w:jc w:val="center"/>
        </w:trPr>
        <w:tc>
          <w:tcPr>
            <w:tcW w:w="2240" w:type="dxa"/>
            <w:vMerge w:val="restart"/>
            <w:tcBorders>
              <w:top w:val="single" w:sz="4" w:space="0" w:color="auto"/>
              <w:left w:val="single" w:sz="8" w:space="0" w:color="auto"/>
              <w:bottom w:val="single" w:sz="4" w:space="0" w:color="auto"/>
              <w:right w:val="single" w:sz="4" w:space="0" w:color="auto"/>
            </w:tcBorders>
          </w:tcPr>
          <w:p w14:paraId="281A7830" w14:textId="77777777" w:rsidR="00C75218" w:rsidRDefault="00C75218" w:rsidP="00EF5169">
            <w:pPr>
              <w:ind w:left="120"/>
              <w:rPr>
                <w:sz w:val="20"/>
                <w:szCs w:val="20"/>
              </w:rPr>
            </w:pPr>
            <w:r>
              <w:rPr>
                <w:rFonts w:eastAsia="Times New Roman"/>
              </w:rPr>
              <w:t>Coliphage</w:t>
            </w:r>
          </w:p>
        </w:tc>
        <w:tc>
          <w:tcPr>
            <w:tcW w:w="3420" w:type="dxa"/>
            <w:tcBorders>
              <w:top w:val="single" w:sz="4" w:space="0" w:color="auto"/>
              <w:left w:val="single" w:sz="4" w:space="0" w:color="auto"/>
              <w:right w:val="single" w:sz="8" w:space="0" w:color="auto"/>
            </w:tcBorders>
            <w:vAlign w:val="bottom"/>
          </w:tcPr>
          <w:p w14:paraId="281A7832" w14:textId="47DFD4B8" w:rsidR="00C75218" w:rsidRDefault="00C75218" w:rsidP="00EF5169">
            <w:pPr>
              <w:ind w:left="100"/>
              <w:rPr>
                <w:sz w:val="20"/>
                <w:szCs w:val="20"/>
              </w:rPr>
            </w:pPr>
            <w:r>
              <w:rPr>
                <w:rFonts w:eastAsia="Times New Roman"/>
              </w:rPr>
              <w:t>Two-step Enrichment Presence</w:t>
            </w:r>
            <w:r w:rsidR="005B3AAB">
              <w:rPr>
                <w:rFonts w:eastAsia="Times New Roman"/>
              </w:rPr>
              <w:t>-A</w:t>
            </w:r>
            <w:r>
              <w:rPr>
                <w:rFonts w:eastAsia="Times New Roman"/>
              </w:rPr>
              <w:t>bsence Procedure</w:t>
            </w:r>
          </w:p>
        </w:tc>
        <w:tc>
          <w:tcPr>
            <w:tcW w:w="3400" w:type="dxa"/>
            <w:tcBorders>
              <w:top w:val="single" w:sz="4" w:space="0" w:color="auto"/>
              <w:right w:val="single" w:sz="8" w:space="0" w:color="auto"/>
            </w:tcBorders>
            <w:vAlign w:val="bottom"/>
          </w:tcPr>
          <w:p w14:paraId="281A7833" w14:textId="77777777" w:rsidR="00C75218" w:rsidRDefault="00C75218" w:rsidP="00EF5169">
            <w:pPr>
              <w:ind w:left="100"/>
              <w:rPr>
                <w:sz w:val="20"/>
                <w:szCs w:val="20"/>
              </w:rPr>
            </w:pPr>
            <w:r>
              <w:rPr>
                <w:rFonts w:eastAsia="Times New Roman"/>
              </w:rPr>
              <w:t>EPA Method 1601</w:t>
            </w:r>
            <w:r>
              <w:rPr>
                <w:rFonts w:eastAsia="Times New Roman"/>
                <w:vertAlign w:val="superscript"/>
              </w:rPr>
              <w:t>8</w:t>
            </w:r>
          </w:p>
        </w:tc>
      </w:tr>
      <w:tr w:rsidR="005A3567" w14:paraId="281A7843" w14:textId="77777777" w:rsidTr="00C21851">
        <w:trPr>
          <w:trHeight w:val="285"/>
          <w:jc w:val="center"/>
        </w:trPr>
        <w:tc>
          <w:tcPr>
            <w:tcW w:w="2240" w:type="dxa"/>
            <w:vMerge/>
            <w:tcBorders>
              <w:left w:val="single" w:sz="8" w:space="0" w:color="auto"/>
              <w:bottom w:val="single" w:sz="4" w:space="0" w:color="auto"/>
              <w:right w:val="single" w:sz="4" w:space="0" w:color="auto"/>
            </w:tcBorders>
            <w:vAlign w:val="bottom"/>
          </w:tcPr>
          <w:p w14:paraId="281A783F" w14:textId="77777777" w:rsidR="005A3567" w:rsidRDefault="005A3567" w:rsidP="00EF5169">
            <w:pPr>
              <w:rPr>
                <w:sz w:val="24"/>
                <w:szCs w:val="24"/>
              </w:rPr>
            </w:pPr>
          </w:p>
        </w:tc>
        <w:tc>
          <w:tcPr>
            <w:tcW w:w="3420" w:type="dxa"/>
            <w:tcBorders>
              <w:left w:val="single" w:sz="4" w:space="0" w:color="auto"/>
              <w:bottom w:val="single" w:sz="4" w:space="0" w:color="auto"/>
              <w:right w:val="single" w:sz="8" w:space="0" w:color="auto"/>
            </w:tcBorders>
            <w:vAlign w:val="bottom"/>
          </w:tcPr>
          <w:p w14:paraId="281A7841" w14:textId="77777777" w:rsidR="005A3567" w:rsidRDefault="005A3567" w:rsidP="00EF5169">
            <w:pPr>
              <w:ind w:left="100"/>
              <w:rPr>
                <w:sz w:val="20"/>
                <w:szCs w:val="20"/>
              </w:rPr>
            </w:pPr>
            <w:r>
              <w:rPr>
                <w:rFonts w:eastAsia="Times New Roman"/>
              </w:rPr>
              <w:t>Single Agar Layer Procedure</w:t>
            </w:r>
          </w:p>
        </w:tc>
        <w:tc>
          <w:tcPr>
            <w:tcW w:w="3400" w:type="dxa"/>
            <w:tcBorders>
              <w:bottom w:val="single" w:sz="4" w:space="0" w:color="auto"/>
              <w:right w:val="single" w:sz="8" w:space="0" w:color="auto"/>
            </w:tcBorders>
            <w:vAlign w:val="bottom"/>
          </w:tcPr>
          <w:p w14:paraId="281A7842" w14:textId="77777777" w:rsidR="005A3567" w:rsidRDefault="005A3567" w:rsidP="00EF5169">
            <w:pPr>
              <w:ind w:left="100"/>
              <w:rPr>
                <w:sz w:val="20"/>
                <w:szCs w:val="20"/>
              </w:rPr>
            </w:pPr>
            <w:r>
              <w:rPr>
                <w:rFonts w:eastAsia="Times New Roman"/>
              </w:rPr>
              <w:t>EPA Method 1602</w:t>
            </w:r>
            <w:r>
              <w:rPr>
                <w:rFonts w:eastAsia="Times New Roman"/>
                <w:vertAlign w:val="superscript"/>
              </w:rPr>
              <w:t>9</w:t>
            </w:r>
          </w:p>
        </w:tc>
      </w:tr>
    </w:tbl>
    <w:p w14:paraId="281A7849" w14:textId="3291D51E" w:rsidR="004647B9" w:rsidRPr="00736874" w:rsidRDefault="00E2436F" w:rsidP="00EF5169">
      <w:pPr>
        <w:ind w:left="1"/>
        <w:rPr>
          <w:rFonts w:eastAsia="Times New Roman"/>
          <w:color w:val="000000" w:themeColor="text1"/>
          <w:sz w:val="24"/>
          <w:szCs w:val="24"/>
        </w:rPr>
      </w:pPr>
      <w:r w:rsidRPr="001C6A87">
        <w:rPr>
          <w:rFonts w:eastAsia="Times New Roman"/>
          <w:sz w:val="24"/>
          <w:szCs w:val="24"/>
        </w:rPr>
        <w:t>Analyses must be conducted in accordance with the documents listed below. Copies may be inspected at EPA's Drinking Water Docket, EPA West, 1301 Constitution Avenue, NW, EPA West, Room B102, Washington DC 20460 (Telephone: 202-566-2426); or at the National Archives and Records Administration (NARA). For information on the availability of this material at NARA, call 202-741-6030, or go to</w:t>
      </w:r>
      <w:r w:rsidR="00925CB7">
        <w:rPr>
          <w:rFonts w:eastAsia="Times New Roman"/>
          <w:sz w:val="24"/>
          <w:szCs w:val="24"/>
        </w:rPr>
        <w:t xml:space="preserve"> NARA</w:t>
      </w:r>
      <w:r w:rsidR="004A468A">
        <w:rPr>
          <w:rFonts w:eastAsia="Times New Roman"/>
          <w:sz w:val="24"/>
          <w:szCs w:val="24"/>
        </w:rPr>
        <w:t>’s</w:t>
      </w:r>
      <w:r w:rsidR="00064B3A">
        <w:rPr>
          <w:rFonts w:eastAsia="Times New Roman"/>
          <w:sz w:val="24"/>
          <w:szCs w:val="24"/>
        </w:rPr>
        <w:t xml:space="preserve"> </w:t>
      </w:r>
      <w:r w:rsidR="004A468A">
        <w:rPr>
          <w:rFonts w:eastAsia="Times New Roman"/>
          <w:sz w:val="24"/>
          <w:szCs w:val="24"/>
        </w:rPr>
        <w:t xml:space="preserve">CFR Incorporation by Reference </w:t>
      </w:r>
      <w:r w:rsidR="00064B3A">
        <w:rPr>
          <w:rFonts w:eastAsia="Times New Roman"/>
          <w:sz w:val="24"/>
          <w:szCs w:val="24"/>
        </w:rPr>
        <w:t>website</w:t>
      </w:r>
      <w:hyperlink w:history="1"/>
      <w:r w:rsidRPr="001C6A87">
        <w:rPr>
          <w:rFonts w:eastAsia="Times New Roman"/>
          <w:color w:val="000000"/>
          <w:sz w:val="24"/>
          <w:szCs w:val="24"/>
        </w:rPr>
        <w:t>.</w:t>
      </w:r>
    </w:p>
    <w:p w14:paraId="281A784B" w14:textId="77777777" w:rsidR="004647B9" w:rsidRPr="00736874" w:rsidRDefault="00E2436F" w:rsidP="00EF5169">
      <w:pPr>
        <w:numPr>
          <w:ilvl w:val="0"/>
          <w:numId w:val="896"/>
        </w:numPr>
        <w:tabs>
          <w:tab w:val="left" w:pos="361"/>
        </w:tabs>
        <w:ind w:left="361" w:hanging="360"/>
        <w:rPr>
          <w:rFonts w:eastAsia="Times New Roman"/>
          <w:sz w:val="24"/>
          <w:szCs w:val="24"/>
        </w:rPr>
      </w:pPr>
      <w:r w:rsidRPr="001C6A87">
        <w:rPr>
          <w:rFonts w:eastAsia="Times New Roman"/>
          <w:sz w:val="24"/>
          <w:szCs w:val="24"/>
        </w:rPr>
        <w:t>The time from sample collection to initiation of analysis may not exceed 30 hours. The groundwater system is encouraged but is not required to hold samples below 10ºC during transit.</w:t>
      </w:r>
    </w:p>
    <w:p w14:paraId="281A784D" w14:textId="77777777" w:rsidR="004647B9" w:rsidRPr="00736874" w:rsidRDefault="00E2436F" w:rsidP="00EF5169">
      <w:pPr>
        <w:numPr>
          <w:ilvl w:val="0"/>
          <w:numId w:val="896"/>
        </w:numPr>
        <w:tabs>
          <w:tab w:val="left" w:pos="361"/>
        </w:tabs>
        <w:ind w:left="361" w:hanging="359"/>
        <w:jc w:val="both"/>
        <w:rPr>
          <w:rFonts w:eastAsia="Times New Roman"/>
          <w:color w:val="000000" w:themeColor="text1"/>
          <w:sz w:val="24"/>
          <w:szCs w:val="24"/>
        </w:rPr>
      </w:pPr>
      <w:r w:rsidRPr="001C6A87">
        <w:rPr>
          <w:rFonts w:eastAsia="Times New Roman"/>
          <w:sz w:val="24"/>
          <w:szCs w:val="24"/>
        </w:rPr>
        <w:t xml:space="preserve">Methods are described in </w:t>
      </w:r>
      <w:r w:rsidRPr="001C6A87">
        <w:rPr>
          <w:rFonts w:eastAsia="Times New Roman"/>
          <w:i/>
          <w:iCs/>
          <w:sz w:val="24"/>
          <w:szCs w:val="24"/>
        </w:rPr>
        <w:t>Standard Methods for the Examination of Water and Wastewater</w:t>
      </w:r>
      <w:r w:rsidRPr="001C6A87">
        <w:rPr>
          <w:rFonts w:eastAsia="Times New Roman"/>
          <w:sz w:val="24"/>
          <w:szCs w:val="24"/>
        </w:rPr>
        <w:t xml:space="preserve"> 20</w:t>
      </w:r>
      <w:r w:rsidRPr="001C6A87">
        <w:rPr>
          <w:rFonts w:eastAsia="Times New Roman"/>
          <w:sz w:val="24"/>
          <w:szCs w:val="24"/>
          <w:vertAlign w:val="superscript"/>
        </w:rPr>
        <w:t>th</w:t>
      </w:r>
      <w:r w:rsidRPr="001C6A87">
        <w:rPr>
          <w:rFonts w:eastAsia="Times New Roman"/>
          <w:sz w:val="24"/>
          <w:szCs w:val="24"/>
        </w:rPr>
        <w:t xml:space="preserve"> edition </w:t>
      </w:r>
      <w:r w:rsidRPr="00812499">
        <w:rPr>
          <w:rFonts w:eastAsia="Times New Roman"/>
          <w:color w:val="000000" w:themeColor="text1"/>
          <w:sz w:val="24"/>
          <w:szCs w:val="24"/>
        </w:rPr>
        <w:t>(1998) and copies may be obtained from the American Public Health Association, 1015 Fifteenth Street, NW, Washington, DC 20005-2605.</w:t>
      </w:r>
    </w:p>
    <w:p w14:paraId="281A784E" w14:textId="77777777" w:rsidR="004647B9" w:rsidRPr="00736874" w:rsidRDefault="00E2436F" w:rsidP="00EF5169">
      <w:pPr>
        <w:numPr>
          <w:ilvl w:val="0"/>
          <w:numId w:val="896"/>
        </w:numPr>
        <w:tabs>
          <w:tab w:val="left" w:pos="361"/>
        </w:tabs>
        <w:ind w:left="361" w:hanging="361"/>
        <w:rPr>
          <w:rFonts w:eastAsia="Times New Roman"/>
          <w:color w:val="000000" w:themeColor="text1"/>
          <w:sz w:val="24"/>
          <w:szCs w:val="24"/>
        </w:rPr>
      </w:pPr>
      <w:r w:rsidRPr="00812499">
        <w:rPr>
          <w:rFonts w:eastAsia="Times New Roman"/>
          <w:color w:val="000000" w:themeColor="text1"/>
          <w:sz w:val="24"/>
          <w:szCs w:val="24"/>
        </w:rPr>
        <w:t>Medium is available through IDEXX Laboratories, Inc., One IDEXX Drive, Westbrook, Maine 04092</w:t>
      </w:r>
    </w:p>
    <w:p w14:paraId="281A7850" w14:textId="2D6F51A6" w:rsidR="004647B9" w:rsidRPr="00736874" w:rsidRDefault="00E2436F" w:rsidP="00EF5169">
      <w:pPr>
        <w:numPr>
          <w:ilvl w:val="0"/>
          <w:numId w:val="896"/>
        </w:numPr>
        <w:tabs>
          <w:tab w:val="left" w:pos="361"/>
        </w:tabs>
        <w:ind w:left="361" w:hanging="359"/>
        <w:jc w:val="both"/>
        <w:rPr>
          <w:rFonts w:eastAsia="Times New Roman"/>
          <w:color w:val="000000" w:themeColor="text1"/>
          <w:sz w:val="24"/>
          <w:szCs w:val="24"/>
        </w:rPr>
      </w:pPr>
      <w:r w:rsidRPr="00812499">
        <w:rPr>
          <w:rFonts w:eastAsia="Times New Roman"/>
          <w:color w:val="000000" w:themeColor="text1"/>
          <w:sz w:val="24"/>
          <w:szCs w:val="24"/>
        </w:rPr>
        <w:t xml:space="preserve">EPA Method 1604: </w:t>
      </w:r>
      <w:r w:rsidR="00736874">
        <w:rPr>
          <w:rFonts w:eastAsia="Times New Roman"/>
          <w:color w:val="000000" w:themeColor="text1"/>
          <w:sz w:val="24"/>
          <w:szCs w:val="24"/>
        </w:rPr>
        <w:t xml:space="preserve"> </w:t>
      </w:r>
      <w:r w:rsidRPr="00812499">
        <w:rPr>
          <w:rFonts w:eastAsia="Times New Roman"/>
          <w:i/>
          <w:iCs/>
          <w:color w:val="000000" w:themeColor="text1"/>
          <w:sz w:val="24"/>
          <w:szCs w:val="24"/>
        </w:rPr>
        <w:t>Total Coliforms and Escherichia coli in Water by Membrane Filtration Using a Simultaneous</w:t>
      </w:r>
      <w:r w:rsidRPr="00812499">
        <w:rPr>
          <w:rFonts w:eastAsia="Times New Roman"/>
          <w:color w:val="000000" w:themeColor="text1"/>
          <w:sz w:val="24"/>
          <w:szCs w:val="24"/>
        </w:rPr>
        <w:t xml:space="preserve"> </w:t>
      </w:r>
      <w:r w:rsidRPr="00812499">
        <w:rPr>
          <w:rFonts w:eastAsia="Times New Roman"/>
          <w:i/>
          <w:iCs/>
          <w:color w:val="000000" w:themeColor="text1"/>
          <w:sz w:val="24"/>
          <w:szCs w:val="24"/>
        </w:rPr>
        <w:t>Detection Technique (MI Medium)</w:t>
      </w:r>
      <w:r w:rsidRPr="00812499">
        <w:rPr>
          <w:rFonts w:eastAsia="Times New Roman"/>
          <w:color w:val="000000" w:themeColor="text1"/>
          <w:sz w:val="24"/>
          <w:szCs w:val="24"/>
        </w:rPr>
        <w:t xml:space="preserve">; September 2002, EPA 821-R-02-024. Method is available </w:t>
      </w:r>
      <w:r w:rsidR="00064B3A">
        <w:rPr>
          <w:rFonts w:eastAsia="Times New Roman"/>
          <w:color w:val="000000" w:themeColor="text1"/>
          <w:sz w:val="24"/>
          <w:szCs w:val="24"/>
        </w:rPr>
        <w:t>on</w:t>
      </w:r>
      <w:r w:rsidR="00986AA7">
        <w:rPr>
          <w:rFonts w:eastAsia="Times New Roman"/>
          <w:color w:val="000000" w:themeColor="text1"/>
          <w:sz w:val="24"/>
          <w:szCs w:val="24"/>
        </w:rPr>
        <w:t>line</w:t>
      </w:r>
      <w:r w:rsidR="00B964D6">
        <w:rPr>
          <w:rFonts w:eastAsia="Times New Roman"/>
          <w:color w:val="000000" w:themeColor="text1"/>
          <w:sz w:val="24"/>
          <w:szCs w:val="24"/>
        </w:rPr>
        <w:t xml:space="preserve"> in EPA’s Docket EPA-HQ-OW-2008-0878</w:t>
      </w:r>
      <w:r w:rsidR="00662A66">
        <w:rPr>
          <w:rFonts w:eastAsia="Times New Roman"/>
          <w:color w:val="000000" w:themeColor="text1"/>
          <w:sz w:val="24"/>
          <w:szCs w:val="24"/>
        </w:rPr>
        <w:t xml:space="preserve"> </w:t>
      </w:r>
      <w:r w:rsidRPr="001C6A87">
        <w:rPr>
          <w:rFonts w:eastAsia="Times New Roman"/>
          <w:color w:val="000000"/>
          <w:sz w:val="24"/>
          <w:szCs w:val="24"/>
        </w:rPr>
        <w:t>or</w:t>
      </w:r>
      <w:r w:rsidRPr="001C6A87">
        <w:rPr>
          <w:rFonts w:eastAsia="Times New Roman"/>
          <w:color w:val="0000FF"/>
          <w:sz w:val="24"/>
          <w:szCs w:val="24"/>
        </w:rPr>
        <w:t xml:space="preserve"> </w:t>
      </w:r>
      <w:r w:rsidRPr="00736874">
        <w:rPr>
          <w:rFonts w:eastAsia="Times New Roman"/>
          <w:color w:val="000000" w:themeColor="text1"/>
          <w:sz w:val="24"/>
          <w:szCs w:val="24"/>
        </w:rPr>
        <w:t>from EPA's Water Resource Center (RC-4100T), 1200 Pennsylvania Avenue, NW, Washington, D.C. 20460.</w:t>
      </w:r>
    </w:p>
    <w:p w14:paraId="281A7852" w14:textId="77777777" w:rsidR="004647B9" w:rsidRPr="001C6A87" w:rsidRDefault="00E2436F" w:rsidP="00EF5169">
      <w:pPr>
        <w:numPr>
          <w:ilvl w:val="0"/>
          <w:numId w:val="896"/>
        </w:numPr>
        <w:tabs>
          <w:tab w:val="left" w:pos="361"/>
        </w:tabs>
        <w:ind w:left="361" w:hanging="361"/>
        <w:jc w:val="both"/>
        <w:rPr>
          <w:rFonts w:eastAsia="Times New Roman"/>
          <w:sz w:val="24"/>
          <w:szCs w:val="24"/>
          <w:vertAlign w:val="superscript"/>
        </w:rPr>
      </w:pPr>
      <w:r w:rsidRPr="00736874">
        <w:rPr>
          <w:rFonts w:eastAsia="Times New Roman"/>
          <w:color w:val="000000" w:themeColor="text1"/>
          <w:sz w:val="24"/>
          <w:szCs w:val="24"/>
        </w:rPr>
        <w:t xml:space="preserve">A description of the E*Colite Test, </w:t>
      </w:r>
      <w:r w:rsidRPr="00736874">
        <w:rPr>
          <w:rFonts w:eastAsia="Times New Roman"/>
          <w:i/>
          <w:iCs/>
          <w:color w:val="000000" w:themeColor="text1"/>
          <w:sz w:val="24"/>
          <w:szCs w:val="24"/>
        </w:rPr>
        <w:t>Charm E*Colite Presence/Absence Test for Detection and Identification of</w:t>
      </w:r>
      <w:r w:rsidRPr="00736874">
        <w:rPr>
          <w:rFonts w:eastAsia="Times New Roman"/>
          <w:color w:val="000000" w:themeColor="text1"/>
          <w:sz w:val="24"/>
          <w:szCs w:val="24"/>
        </w:rPr>
        <w:t xml:space="preserve"> </w:t>
      </w:r>
      <w:r w:rsidRPr="00736874">
        <w:rPr>
          <w:rFonts w:eastAsia="Times New Roman"/>
          <w:i/>
          <w:iCs/>
          <w:color w:val="000000" w:themeColor="text1"/>
          <w:sz w:val="24"/>
          <w:szCs w:val="24"/>
        </w:rPr>
        <w:t>Coliform Bacteria and Escherichia coli in Drinking Water</w:t>
      </w:r>
      <w:r w:rsidRPr="001C6A87">
        <w:rPr>
          <w:rFonts w:eastAsia="Times New Roman"/>
          <w:sz w:val="24"/>
          <w:szCs w:val="24"/>
        </w:rPr>
        <w:t>, January 9, 1998, is available from Charm Sciences, Inc,</w:t>
      </w:r>
      <w:r w:rsidRPr="001C6A87">
        <w:rPr>
          <w:rFonts w:eastAsia="Times New Roman"/>
          <w:i/>
          <w:iCs/>
          <w:sz w:val="24"/>
          <w:szCs w:val="24"/>
        </w:rPr>
        <w:t xml:space="preserve"> </w:t>
      </w:r>
      <w:r w:rsidRPr="001C6A87">
        <w:rPr>
          <w:rFonts w:eastAsia="Times New Roman"/>
          <w:sz w:val="24"/>
          <w:szCs w:val="24"/>
        </w:rPr>
        <w:t>659 Andover St., Lawrence, MA 01843-1032 or from EPA's Water Resource Center (RC-4100T), 1200 Pennsylvania Avenue, NW, Washington, DC 20460.</w:t>
      </w:r>
    </w:p>
    <w:p w14:paraId="281A7854" w14:textId="590A0578" w:rsidR="004647B9" w:rsidRPr="001C6A87" w:rsidRDefault="00E2436F" w:rsidP="00EF5169">
      <w:pPr>
        <w:numPr>
          <w:ilvl w:val="0"/>
          <w:numId w:val="896"/>
        </w:numPr>
        <w:tabs>
          <w:tab w:val="left" w:pos="361"/>
        </w:tabs>
        <w:ind w:left="361" w:hanging="361"/>
        <w:jc w:val="both"/>
        <w:rPr>
          <w:rFonts w:eastAsia="Times New Roman"/>
          <w:sz w:val="24"/>
          <w:szCs w:val="24"/>
        </w:rPr>
      </w:pPr>
      <w:r w:rsidRPr="001C6A87">
        <w:rPr>
          <w:rFonts w:eastAsia="Times New Roman"/>
          <w:sz w:val="24"/>
          <w:szCs w:val="24"/>
        </w:rPr>
        <w:t xml:space="preserve">EPA Method 1600: </w:t>
      </w:r>
      <w:r w:rsidR="00736874">
        <w:rPr>
          <w:rFonts w:eastAsia="Times New Roman"/>
          <w:sz w:val="24"/>
          <w:szCs w:val="24"/>
        </w:rPr>
        <w:t xml:space="preserve"> </w:t>
      </w:r>
      <w:r w:rsidRPr="001C6A87">
        <w:rPr>
          <w:rFonts w:eastAsia="Times New Roman"/>
          <w:i/>
          <w:iCs/>
          <w:sz w:val="24"/>
          <w:szCs w:val="24"/>
        </w:rPr>
        <w:t>Enterococci in Water by Membrane Filtration Using membrane-Enterococcus</w:t>
      </w:r>
      <w:r w:rsidRPr="001C6A87">
        <w:rPr>
          <w:rFonts w:eastAsia="Times New Roman"/>
          <w:sz w:val="24"/>
          <w:szCs w:val="24"/>
        </w:rPr>
        <w:t xml:space="preserve"> </w:t>
      </w:r>
      <w:r w:rsidRPr="001C6A87">
        <w:rPr>
          <w:rFonts w:eastAsia="Times New Roman"/>
          <w:i/>
          <w:iCs/>
          <w:sz w:val="24"/>
          <w:szCs w:val="24"/>
        </w:rPr>
        <w:t xml:space="preserve">Indoxyl-[beta]-D-Glucoside Agar (mEI) EPA 821-R-02-022 </w:t>
      </w:r>
      <w:r w:rsidRPr="001C6A87">
        <w:rPr>
          <w:rFonts w:eastAsia="Times New Roman"/>
          <w:sz w:val="24"/>
          <w:szCs w:val="24"/>
        </w:rPr>
        <w:t>(September 2002) is an approved variation of Standard</w:t>
      </w:r>
      <w:r w:rsidRPr="001C6A87">
        <w:rPr>
          <w:rFonts w:eastAsia="Times New Roman"/>
          <w:i/>
          <w:iCs/>
          <w:sz w:val="24"/>
          <w:szCs w:val="24"/>
        </w:rPr>
        <w:t xml:space="preserve"> </w:t>
      </w:r>
      <w:r w:rsidRPr="001C6A87">
        <w:rPr>
          <w:rFonts w:eastAsia="Times New Roman"/>
          <w:sz w:val="24"/>
          <w:szCs w:val="24"/>
        </w:rPr>
        <w:t xml:space="preserve">Method 9230C. The method is available </w:t>
      </w:r>
      <w:r w:rsidR="00944337">
        <w:rPr>
          <w:rFonts w:eastAsia="Times New Roman"/>
          <w:sz w:val="24"/>
          <w:szCs w:val="24"/>
        </w:rPr>
        <w:t>on</w:t>
      </w:r>
      <w:r w:rsidR="005A4A66">
        <w:rPr>
          <w:rFonts w:eastAsia="Times New Roman"/>
          <w:sz w:val="24"/>
          <w:szCs w:val="24"/>
        </w:rPr>
        <w:t>line in</w:t>
      </w:r>
      <w:r w:rsidR="00944337">
        <w:rPr>
          <w:rFonts w:eastAsia="Times New Roman"/>
          <w:sz w:val="24"/>
          <w:szCs w:val="24"/>
        </w:rPr>
        <w:t xml:space="preserve"> EPA’s</w:t>
      </w:r>
      <w:r w:rsidR="005A4A66">
        <w:rPr>
          <w:rFonts w:eastAsia="Times New Roman"/>
          <w:sz w:val="24"/>
          <w:szCs w:val="24"/>
        </w:rPr>
        <w:t xml:space="preserve"> Docket EPA</w:t>
      </w:r>
      <w:r w:rsidR="00D115ED">
        <w:rPr>
          <w:rFonts w:eastAsia="Times New Roman"/>
          <w:sz w:val="24"/>
          <w:szCs w:val="24"/>
        </w:rPr>
        <w:t>-HQ-OW-2002-0061</w:t>
      </w:r>
      <w:r w:rsidR="00C72B94">
        <w:rPr>
          <w:rFonts w:eastAsia="Times New Roman"/>
          <w:sz w:val="24"/>
          <w:szCs w:val="24"/>
        </w:rPr>
        <w:t xml:space="preserve"> </w:t>
      </w:r>
      <w:r w:rsidRPr="001C6A87">
        <w:rPr>
          <w:rFonts w:eastAsia="Times New Roman"/>
          <w:sz w:val="24"/>
          <w:szCs w:val="24"/>
        </w:rPr>
        <w:t xml:space="preserve">or from EPA's Water Resource Center (RC-4100T), 1200 Pennsylvania Avenue, NW, Washington, DC 20460. The holding time and temperature for groundwater samples are specified in footnote </w:t>
      </w:r>
      <w:r w:rsidRPr="001C6A87">
        <w:rPr>
          <w:rFonts w:eastAsia="Times New Roman"/>
          <w:sz w:val="24"/>
          <w:szCs w:val="24"/>
          <w:vertAlign w:val="superscript"/>
        </w:rPr>
        <w:t>1</w:t>
      </w:r>
      <w:r w:rsidRPr="001C6A87">
        <w:rPr>
          <w:rFonts w:eastAsia="Times New Roman"/>
          <w:sz w:val="24"/>
          <w:szCs w:val="24"/>
        </w:rPr>
        <w:t>, rather than as specified in Section 8 of EPA Method 1600.</w:t>
      </w:r>
    </w:p>
    <w:p w14:paraId="281A7856" w14:textId="55894328" w:rsidR="004647B9" w:rsidRPr="001C6A87" w:rsidRDefault="008D4A69" w:rsidP="00EF5169">
      <w:pPr>
        <w:numPr>
          <w:ilvl w:val="0"/>
          <w:numId w:val="896"/>
        </w:numPr>
        <w:tabs>
          <w:tab w:val="left" w:pos="361"/>
        </w:tabs>
        <w:ind w:left="361" w:hanging="360"/>
        <w:jc w:val="both"/>
        <w:rPr>
          <w:rFonts w:eastAsia="Times New Roman"/>
          <w:sz w:val="24"/>
          <w:szCs w:val="24"/>
          <w:vertAlign w:val="superscript"/>
        </w:rPr>
      </w:pPr>
      <w:r>
        <w:rPr>
          <w:rFonts w:eastAsia="Times New Roman"/>
          <w:sz w:val="24"/>
          <w:szCs w:val="24"/>
        </w:rPr>
        <w:t>Medium is available through I</w:t>
      </w:r>
      <w:r w:rsidR="00E2436F" w:rsidRPr="001C6A87">
        <w:rPr>
          <w:rFonts w:eastAsia="Times New Roman"/>
          <w:sz w:val="24"/>
          <w:szCs w:val="24"/>
        </w:rPr>
        <w:t xml:space="preserve">DEXX Laboratories, Inc., One IDEXX Drive, Westbrook, Maine 04092. Preparation and use of the medium is set forth in the article </w:t>
      </w:r>
      <w:r w:rsidR="00E2436F" w:rsidRPr="001C6A87">
        <w:rPr>
          <w:rFonts w:eastAsia="Times New Roman"/>
          <w:i/>
          <w:iCs/>
          <w:sz w:val="24"/>
          <w:szCs w:val="24"/>
        </w:rPr>
        <w:t>Evaluation of Enterolert for Enumeration of Enterococci in Recreational Waters</w:t>
      </w:r>
      <w:r w:rsidR="00E2436F" w:rsidRPr="001C6A87">
        <w:rPr>
          <w:rFonts w:eastAsia="Times New Roman"/>
          <w:sz w:val="24"/>
          <w:szCs w:val="24"/>
        </w:rPr>
        <w:t>, by Budnick, G.E., Howard, R.T., and Mayo, D.R., 1996, Applied and Environmental Microbiology, 62:3881- 3884.</w:t>
      </w:r>
    </w:p>
    <w:p w14:paraId="281A7858" w14:textId="14A2C94C" w:rsidR="004647B9" w:rsidRPr="001C6A87" w:rsidRDefault="00E2436F" w:rsidP="00EF5169">
      <w:pPr>
        <w:numPr>
          <w:ilvl w:val="0"/>
          <w:numId w:val="896"/>
        </w:numPr>
        <w:tabs>
          <w:tab w:val="left" w:pos="361"/>
        </w:tabs>
        <w:ind w:left="361" w:hanging="361"/>
        <w:jc w:val="both"/>
        <w:rPr>
          <w:rFonts w:eastAsia="Times New Roman"/>
          <w:sz w:val="24"/>
          <w:szCs w:val="24"/>
        </w:rPr>
      </w:pPr>
      <w:r w:rsidRPr="001C6A87">
        <w:rPr>
          <w:rFonts w:eastAsia="Times New Roman"/>
          <w:sz w:val="24"/>
          <w:szCs w:val="24"/>
        </w:rPr>
        <w:t xml:space="preserve">EPA Method 1601: </w:t>
      </w:r>
      <w:r w:rsidR="00736874">
        <w:rPr>
          <w:rFonts w:eastAsia="Times New Roman"/>
          <w:sz w:val="24"/>
          <w:szCs w:val="24"/>
        </w:rPr>
        <w:t xml:space="preserve"> </w:t>
      </w:r>
      <w:r w:rsidRPr="001C6A87">
        <w:rPr>
          <w:rFonts w:eastAsia="Times New Roman"/>
          <w:i/>
          <w:iCs/>
          <w:sz w:val="24"/>
          <w:szCs w:val="24"/>
        </w:rPr>
        <w:t>Male-specific (F+) and Somatic Coliphage in Water by Two-step Enrichment Procedure</w:t>
      </w:r>
      <w:r w:rsidRPr="001C6A87">
        <w:rPr>
          <w:rFonts w:eastAsia="Times New Roman"/>
          <w:sz w:val="24"/>
          <w:szCs w:val="24"/>
        </w:rPr>
        <w:t xml:space="preserve">; April 2001, EPA 821-R-01-030. Method is available </w:t>
      </w:r>
      <w:r w:rsidR="00944337">
        <w:rPr>
          <w:rFonts w:eastAsia="Times New Roman"/>
          <w:sz w:val="24"/>
          <w:szCs w:val="24"/>
        </w:rPr>
        <w:t>on</w:t>
      </w:r>
      <w:r w:rsidR="008D4A69">
        <w:rPr>
          <w:rFonts w:eastAsia="Times New Roman"/>
          <w:sz w:val="24"/>
          <w:szCs w:val="24"/>
        </w:rPr>
        <w:t>line in</w:t>
      </w:r>
      <w:r w:rsidR="00944337">
        <w:rPr>
          <w:rFonts w:eastAsia="Times New Roman"/>
          <w:sz w:val="24"/>
          <w:szCs w:val="24"/>
        </w:rPr>
        <w:t xml:space="preserve"> EPA’s</w:t>
      </w:r>
      <w:r w:rsidR="008D4A69">
        <w:rPr>
          <w:rFonts w:eastAsia="Times New Roman"/>
          <w:sz w:val="24"/>
          <w:szCs w:val="24"/>
        </w:rPr>
        <w:t xml:space="preserve"> Docket EPA-HQ-OW-2002</w:t>
      </w:r>
      <w:r w:rsidR="0046608F">
        <w:rPr>
          <w:rFonts w:eastAsia="Times New Roman"/>
          <w:sz w:val="24"/>
          <w:szCs w:val="24"/>
        </w:rPr>
        <w:t>-</w:t>
      </w:r>
      <w:r w:rsidR="008D4A69">
        <w:rPr>
          <w:rFonts w:eastAsia="Times New Roman"/>
          <w:sz w:val="24"/>
          <w:szCs w:val="24"/>
        </w:rPr>
        <w:t>0061</w:t>
      </w:r>
      <w:r w:rsidR="00C72B94">
        <w:rPr>
          <w:rFonts w:eastAsia="Times New Roman"/>
          <w:sz w:val="24"/>
          <w:szCs w:val="24"/>
        </w:rPr>
        <w:t xml:space="preserve"> </w:t>
      </w:r>
      <w:r w:rsidRPr="001C6A87">
        <w:rPr>
          <w:rFonts w:eastAsia="Times New Roman"/>
          <w:sz w:val="24"/>
          <w:szCs w:val="24"/>
        </w:rPr>
        <w:t>or from EPA's Water Resource Center (RC-4100T), 1200 Pennsylvania Avenue, NW, Washington, DC 20460.</w:t>
      </w:r>
    </w:p>
    <w:p w14:paraId="281A785A" w14:textId="6226EA5E" w:rsidR="004647B9" w:rsidRPr="001C6A87" w:rsidRDefault="00E2436F" w:rsidP="00EF5169">
      <w:pPr>
        <w:numPr>
          <w:ilvl w:val="0"/>
          <w:numId w:val="896"/>
        </w:numPr>
        <w:tabs>
          <w:tab w:val="left" w:pos="361"/>
        </w:tabs>
        <w:ind w:left="361" w:hanging="360"/>
        <w:jc w:val="both"/>
        <w:rPr>
          <w:rFonts w:eastAsia="Times New Roman"/>
          <w:sz w:val="24"/>
          <w:szCs w:val="24"/>
        </w:rPr>
      </w:pPr>
      <w:r w:rsidRPr="001C6A87">
        <w:rPr>
          <w:rFonts w:eastAsia="Times New Roman"/>
          <w:sz w:val="24"/>
          <w:szCs w:val="24"/>
        </w:rPr>
        <w:t xml:space="preserve">EPA Method 1602: </w:t>
      </w:r>
      <w:r w:rsidR="00736874">
        <w:rPr>
          <w:rFonts w:eastAsia="Times New Roman"/>
          <w:sz w:val="24"/>
          <w:szCs w:val="24"/>
        </w:rPr>
        <w:t xml:space="preserve"> </w:t>
      </w:r>
      <w:r w:rsidRPr="001C6A87">
        <w:rPr>
          <w:rFonts w:eastAsia="Times New Roman"/>
          <w:i/>
          <w:iCs/>
          <w:sz w:val="24"/>
          <w:szCs w:val="24"/>
        </w:rPr>
        <w:t>Male-specific (F+) and Somatic Coliphage in Water by Single Agar Layer (SAL) Procedure</w:t>
      </w:r>
      <w:r w:rsidRPr="001C6A87">
        <w:rPr>
          <w:rFonts w:eastAsia="Times New Roman"/>
          <w:sz w:val="24"/>
          <w:szCs w:val="24"/>
        </w:rPr>
        <w:t xml:space="preserve">; April 2001, EPA 821-R-01-029. Method is available </w:t>
      </w:r>
      <w:r w:rsidR="00944337">
        <w:rPr>
          <w:rFonts w:eastAsia="Times New Roman"/>
          <w:sz w:val="24"/>
          <w:szCs w:val="24"/>
        </w:rPr>
        <w:t>on</w:t>
      </w:r>
      <w:r w:rsidR="0046608F">
        <w:rPr>
          <w:rFonts w:eastAsia="Times New Roman"/>
          <w:sz w:val="24"/>
          <w:szCs w:val="24"/>
        </w:rPr>
        <w:t>line in</w:t>
      </w:r>
      <w:r w:rsidR="00944337">
        <w:rPr>
          <w:rFonts w:eastAsia="Times New Roman"/>
          <w:sz w:val="24"/>
          <w:szCs w:val="24"/>
        </w:rPr>
        <w:t xml:space="preserve"> EPA’s</w:t>
      </w:r>
      <w:r w:rsidR="0046608F">
        <w:rPr>
          <w:rFonts w:eastAsia="Times New Roman"/>
          <w:sz w:val="24"/>
          <w:szCs w:val="24"/>
        </w:rPr>
        <w:t xml:space="preserve"> Docket EPA-HQ-OW-2002-0061</w:t>
      </w:r>
      <w:r w:rsidR="009A5408">
        <w:rPr>
          <w:rFonts w:eastAsia="Times New Roman"/>
          <w:sz w:val="24"/>
          <w:szCs w:val="24"/>
        </w:rPr>
        <w:t xml:space="preserve"> </w:t>
      </w:r>
      <w:r w:rsidRPr="001C6A87">
        <w:rPr>
          <w:rFonts w:eastAsia="Times New Roman"/>
          <w:sz w:val="24"/>
          <w:szCs w:val="24"/>
        </w:rPr>
        <w:t>or from EPA's Water Resource Center (RC-4100T), 1200 Pennsylvania Avenue, NW, Washington, DC 20460.</w:t>
      </w:r>
    </w:p>
    <w:p w14:paraId="281A785B" w14:textId="77777777" w:rsidR="004647B9" w:rsidRPr="001C6A87" w:rsidRDefault="004647B9" w:rsidP="00EF5169">
      <w:pPr>
        <w:rPr>
          <w:rFonts w:eastAsia="Times New Roman"/>
          <w:sz w:val="24"/>
          <w:szCs w:val="24"/>
        </w:rPr>
      </w:pPr>
    </w:p>
    <w:p w14:paraId="281A785C" w14:textId="77777777" w:rsidR="004647B9" w:rsidRPr="001C6A87" w:rsidRDefault="00E2436F" w:rsidP="00EF5169">
      <w:pPr>
        <w:numPr>
          <w:ilvl w:val="1"/>
          <w:numId w:val="896"/>
        </w:numPr>
        <w:tabs>
          <w:tab w:val="left" w:pos="2081"/>
        </w:tabs>
        <w:ind w:left="2081" w:hanging="465"/>
        <w:rPr>
          <w:rFonts w:eastAsia="Times New Roman"/>
          <w:sz w:val="24"/>
          <w:szCs w:val="24"/>
        </w:rPr>
      </w:pPr>
      <w:r w:rsidRPr="001C6A87">
        <w:rPr>
          <w:rFonts w:eastAsia="Times New Roman"/>
          <w:sz w:val="24"/>
          <w:szCs w:val="24"/>
          <w:u w:val="single"/>
        </w:rPr>
        <w:t>Invalidation of a Fecal Indicator-positive Groundwater Source Sample</w:t>
      </w:r>
      <w:r w:rsidRPr="001C6A87">
        <w:rPr>
          <w:rFonts w:eastAsia="Times New Roman"/>
          <w:sz w:val="24"/>
          <w:szCs w:val="24"/>
        </w:rPr>
        <w:t>.</w:t>
      </w:r>
    </w:p>
    <w:p w14:paraId="281A785E" w14:textId="77777777" w:rsidR="004647B9" w:rsidRPr="001C6A87" w:rsidRDefault="00E2436F" w:rsidP="00EF5169">
      <w:pPr>
        <w:numPr>
          <w:ilvl w:val="2"/>
          <w:numId w:val="896"/>
        </w:numPr>
        <w:tabs>
          <w:tab w:val="left" w:pos="2658"/>
        </w:tabs>
        <w:ind w:left="1981" w:hanging="5"/>
        <w:jc w:val="both"/>
        <w:rPr>
          <w:rFonts w:eastAsia="Times New Roman"/>
          <w:sz w:val="24"/>
          <w:szCs w:val="24"/>
        </w:rPr>
      </w:pPr>
      <w:r w:rsidRPr="001C6A87">
        <w:rPr>
          <w:rFonts w:eastAsia="Times New Roman"/>
          <w:sz w:val="24"/>
          <w:szCs w:val="24"/>
        </w:rPr>
        <w:t>A groundwater system may obtain Department invalidation of a fecal indicator-positive groundwater source sample collected under 310 CMR 22.26(3)(a) only under the conditions specified in 310 CMR 22.26(3)(d)1.a. and b.</w:t>
      </w:r>
    </w:p>
    <w:p w14:paraId="281A7861" w14:textId="1E846485" w:rsidR="004647B9" w:rsidRPr="00CB1A49" w:rsidRDefault="00E2436F" w:rsidP="00EF5169">
      <w:pPr>
        <w:ind w:left="2341"/>
        <w:rPr>
          <w:rFonts w:eastAsia="Times New Roman"/>
          <w:sz w:val="24"/>
          <w:szCs w:val="24"/>
        </w:rPr>
      </w:pPr>
      <w:r w:rsidRPr="001C6A87">
        <w:rPr>
          <w:rFonts w:eastAsia="Times New Roman"/>
          <w:sz w:val="24"/>
          <w:szCs w:val="24"/>
        </w:rPr>
        <w:t>a. The system provides the Department with written notice from the laboratory that improper sample analysis occurred; or</w:t>
      </w:r>
    </w:p>
    <w:p w14:paraId="281A7862" w14:textId="77777777" w:rsidR="004647B9" w:rsidRPr="00CB1A49" w:rsidRDefault="004647B9" w:rsidP="00EF5169">
      <w:pPr>
        <w:sectPr w:rsidR="004647B9" w:rsidRPr="00CB1A49" w:rsidSect="00EF630C">
          <w:pgSz w:w="12240" w:h="20180"/>
          <w:pgMar w:top="708" w:right="1440" w:bottom="862" w:left="539" w:header="0" w:footer="0" w:gutter="0"/>
          <w:cols w:space="720"/>
        </w:sectPr>
      </w:pPr>
    </w:p>
    <w:p w14:paraId="281A7863" w14:textId="77777777" w:rsidR="004647B9" w:rsidRPr="00CB1A49" w:rsidRDefault="00E2436F" w:rsidP="00CB1A49">
      <w:pPr>
        <w:tabs>
          <w:tab w:val="left" w:pos="160"/>
        </w:tabs>
        <w:ind w:right="-59"/>
        <w:jc w:val="center"/>
        <w:rPr>
          <w:sz w:val="24"/>
          <w:szCs w:val="24"/>
        </w:rPr>
      </w:pPr>
      <w:bookmarkStart w:id="344" w:name="page347"/>
      <w:bookmarkEnd w:id="344"/>
      <w:r w:rsidRPr="00CB1A49">
        <w:rPr>
          <w:rFonts w:eastAsia="Times New Roman"/>
          <w:sz w:val="24"/>
          <w:szCs w:val="24"/>
        </w:rPr>
        <w:lastRenderedPageBreak/>
        <w:t>310 CMR:</w:t>
      </w:r>
      <w:r w:rsidRPr="00CB1A49">
        <w:rPr>
          <w:sz w:val="24"/>
          <w:szCs w:val="24"/>
        </w:rPr>
        <w:tab/>
      </w:r>
      <w:r w:rsidRPr="00CB1A49">
        <w:rPr>
          <w:rFonts w:eastAsia="Times New Roman"/>
          <w:sz w:val="24"/>
          <w:szCs w:val="24"/>
        </w:rPr>
        <w:t>DEPARTMENT OF ENVIRONMENTAL PROTECTION</w:t>
      </w:r>
    </w:p>
    <w:p w14:paraId="281A7864" w14:textId="77777777" w:rsidR="004647B9" w:rsidRPr="00550FA4" w:rsidRDefault="004647B9" w:rsidP="00CB1A49">
      <w:pPr>
        <w:rPr>
          <w:sz w:val="20"/>
          <w:szCs w:val="20"/>
        </w:rPr>
      </w:pPr>
    </w:p>
    <w:p w14:paraId="281A7865" w14:textId="77777777" w:rsidR="004647B9" w:rsidRPr="00550FA4" w:rsidRDefault="004647B9" w:rsidP="00CB1A49">
      <w:pPr>
        <w:rPr>
          <w:sz w:val="20"/>
          <w:szCs w:val="20"/>
        </w:rPr>
      </w:pPr>
    </w:p>
    <w:p w14:paraId="281A7866" w14:textId="77777777" w:rsidR="004647B9" w:rsidRPr="00CB1A49" w:rsidRDefault="00E2436F" w:rsidP="00CB1A49">
      <w:pPr>
        <w:tabs>
          <w:tab w:val="left" w:pos="760"/>
        </w:tabs>
        <w:rPr>
          <w:sz w:val="24"/>
          <w:szCs w:val="24"/>
        </w:rPr>
      </w:pPr>
      <w:r w:rsidRPr="00CB1A49">
        <w:rPr>
          <w:rFonts w:eastAsia="Times New Roman"/>
          <w:sz w:val="24"/>
          <w:szCs w:val="24"/>
        </w:rPr>
        <w:t>22.26:</w:t>
      </w:r>
      <w:r w:rsidRPr="00CB1A49">
        <w:rPr>
          <w:rFonts w:eastAsia="Times New Roman"/>
          <w:sz w:val="24"/>
          <w:szCs w:val="24"/>
        </w:rPr>
        <w:tab/>
        <w:t>continued</w:t>
      </w:r>
    </w:p>
    <w:p w14:paraId="281A7867" w14:textId="77777777" w:rsidR="004647B9" w:rsidRPr="00550FA4" w:rsidRDefault="004647B9" w:rsidP="00CB1A49">
      <w:pPr>
        <w:rPr>
          <w:sz w:val="20"/>
          <w:szCs w:val="20"/>
        </w:rPr>
      </w:pPr>
    </w:p>
    <w:p w14:paraId="281A7868" w14:textId="77777777" w:rsidR="004647B9" w:rsidRPr="00CB1A49" w:rsidRDefault="00E2436F" w:rsidP="00563A54">
      <w:pPr>
        <w:numPr>
          <w:ilvl w:val="3"/>
          <w:numId w:val="897"/>
        </w:numPr>
        <w:tabs>
          <w:tab w:val="left" w:pos="2722"/>
        </w:tabs>
        <w:ind w:left="2340" w:hanging="5"/>
        <w:jc w:val="both"/>
        <w:rPr>
          <w:rFonts w:eastAsia="Times New Roman"/>
          <w:sz w:val="24"/>
          <w:szCs w:val="24"/>
        </w:rPr>
      </w:pPr>
      <w:r w:rsidRPr="00CB1A49">
        <w:rPr>
          <w:rFonts w:eastAsia="Times New Roman"/>
          <w:sz w:val="24"/>
          <w:szCs w:val="24"/>
        </w:rPr>
        <w:t>The Department determines and documents in writing that there is substantial evidence that a fecal indicator-positive groundwater source sample is not related to source water quality.</w:t>
      </w:r>
    </w:p>
    <w:p w14:paraId="281A786A" w14:textId="77777777" w:rsidR="004647B9" w:rsidRPr="00CB1A49" w:rsidRDefault="00E2436F" w:rsidP="00563A54">
      <w:pPr>
        <w:numPr>
          <w:ilvl w:val="2"/>
          <w:numId w:val="898"/>
        </w:numPr>
        <w:tabs>
          <w:tab w:val="left" w:pos="2326"/>
        </w:tabs>
        <w:ind w:left="1980" w:hanging="5"/>
        <w:jc w:val="both"/>
        <w:rPr>
          <w:rFonts w:eastAsia="Times New Roman"/>
          <w:sz w:val="24"/>
          <w:szCs w:val="24"/>
        </w:rPr>
      </w:pPr>
      <w:r w:rsidRPr="00CB1A49">
        <w:rPr>
          <w:rFonts w:eastAsia="Times New Roman"/>
          <w:sz w:val="24"/>
          <w:szCs w:val="24"/>
        </w:rPr>
        <w:t>If the Department invalidates a fecal indicator-positive groundwater source sample, the groundwater system must collect another source water sample under 310 CMR 22.26(3)(a) within 24 hours of being notified by the Department of its invalidation decision and have it analyzed for the same fecal indicator using the analytical methods in 310 CMR 22.26(3)(c). The Department may extend the 24-hour time limit on a case-by-case basis if the system cannot collect the source water sample within 24 hours due to circumstances beyond its control. In the case of an extension, the Department will specify how much time the system has to collect the sample.</w:t>
      </w:r>
    </w:p>
    <w:p w14:paraId="281A786C" w14:textId="77777777" w:rsidR="004647B9" w:rsidRPr="00CB1A49" w:rsidRDefault="00E2436F" w:rsidP="00563A54">
      <w:pPr>
        <w:numPr>
          <w:ilvl w:val="1"/>
          <w:numId w:val="899"/>
        </w:numPr>
        <w:tabs>
          <w:tab w:val="left" w:pos="2060"/>
        </w:tabs>
        <w:ind w:left="2060" w:hanging="445"/>
        <w:rPr>
          <w:rFonts w:eastAsia="Times New Roman"/>
          <w:sz w:val="24"/>
          <w:szCs w:val="24"/>
        </w:rPr>
      </w:pPr>
      <w:r w:rsidRPr="00CB1A49">
        <w:rPr>
          <w:rFonts w:eastAsia="Times New Roman"/>
          <w:sz w:val="24"/>
          <w:szCs w:val="24"/>
          <w:u w:val="single"/>
        </w:rPr>
        <w:t>Sampling Location</w:t>
      </w:r>
      <w:r w:rsidRPr="00CB1A49">
        <w:rPr>
          <w:rFonts w:eastAsia="Times New Roman"/>
          <w:sz w:val="24"/>
          <w:szCs w:val="24"/>
        </w:rPr>
        <w:t>.</w:t>
      </w:r>
    </w:p>
    <w:p w14:paraId="281A786E" w14:textId="77777777" w:rsidR="004647B9" w:rsidRPr="00CB1A49" w:rsidRDefault="00E2436F" w:rsidP="00563A54">
      <w:pPr>
        <w:numPr>
          <w:ilvl w:val="2"/>
          <w:numId w:val="899"/>
        </w:numPr>
        <w:tabs>
          <w:tab w:val="left" w:pos="2426"/>
        </w:tabs>
        <w:ind w:left="1980" w:hanging="5"/>
        <w:jc w:val="both"/>
        <w:rPr>
          <w:rFonts w:eastAsia="Times New Roman"/>
          <w:sz w:val="24"/>
          <w:szCs w:val="24"/>
        </w:rPr>
      </w:pPr>
      <w:r w:rsidRPr="00CB1A49">
        <w:rPr>
          <w:rFonts w:eastAsia="Times New Roman"/>
          <w:sz w:val="24"/>
          <w:szCs w:val="24"/>
        </w:rPr>
        <w:t>Any groundwater source sample required under 310 CMR 22.26(3)(a) must be collected at a location prior to any treatment of the groundwater source. All systems are required to maintain a Raw Water source water sample tap in accordance with 310 CMR 22.05(1)(a)1.</w:t>
      </w:r>
    </w:p>
    <w:p w14:paraId="281A7871" w14:textId="1FF41516" w:rsidR="004647B9" w:rsidRPr="00CB1A49" w:rsidRDefault="00E2436F" w:rsidP="00563A54">
      <w:pPr>
        <w:numPr>
          <w:ilvl w:val="2"/>
          <w:numId w:val="899"/>
        </w:numPr>
        <w:tabs>
          <w:tab w:val="left" w:pos="2292"/>
        </w:tabs>
        <w:ind w:left="1980" w:hanging="5"/>
        <w:jc w:val="both"/>
        <w:rPr>
          <w:rFonts w:eastAsia="Times New Roman"/>
          <w:sz w:val="24"/>
          <w:szCs w:val="24"/>
        </w:rPr>
      </w:pPr>
      <w:r w:rsidRPr="00CB1A49">
        <w:rPr>
          <w:rFonts w:eastAsia="Times New Roman"/>
          <w:sz w:val="24"/>
          <w:szCs w:val="24"/>
        </w:rPr>
        <w:t>If the system's configuration does not allow for sampling at the well itself, the system may collect a sample at a Department-approved location to meet the requirements of</w:t>
      </w:r>
      <w:r w:rsidR="00CB1A49">
        <w:rPr>
          <w:rFonts w:eastAsia="Times New Roman"/>
          <w:sz w:val="24"/>
          <w:szCs w:val="24"/>
        </w:rPr>
        <w:t xml:space="preserve"> 310 </w:t>
      </w:r>
      <w:r w:rsidRPr="00CB1A49">
        <w:rPr>
          <w:rFonts w:eastAsia="Times New Roman"/>
          <w:sz w:val="24"/>
          <w:szCs w:val="24"/>
        </w:rPr>
        <w:t>CMR 22.26(3)(a) if the sample is representative of the water quality of that well. Approval must be received in writing.</w:t>
      </w:r>
    </w:p>
    <w:p w14:paraId="281A7872" w14:textId="77777777" w:rsidR="004647B9" w:rsidRPr="007217BA" w:rsidRDefault="00E2436F" w:rsidP="00563A54">
      <w:pPr>
        <w:numPr>
          <w:ilvl w:val="1"/>
          <w:numId w:val="900"/>
        </w:numPr>
        <w:tabs>
          <w:tab w:val="left" w:pos="2009"/>
        </w:tabs>
        <w:ind w:left="1620" w:hanging="5"/>
        <w:jc w:val="both"/>
        <w:rPr>
          <w:rFonts w:eastAsia="Times New Roman"/>
          <w:sz w:val="24"/>
          <w:szCs w:val="24"/>
        </w:rPr>
      </w:pPr>
      <w:r w:rsidRPr="00CB1A49">
        <w:rPr>
          <w:rFonts w:eastAsia="Times New Roman"/>
          <w:sz w:val="24"/>
          <w:szCs w:val="24"/>
          <w:u w:val="single"/>
        </w:rPr>
        <w:t>New Sources</w:t>
      </w:r>
      <w:r w:rsidRPr="00CB1A49">
        <w:rPr>
          <w:rFonts w:eastAsia="Times New Roman"/>
          <w:sz w:val="24"/>
          <w:szCs w:val="24"/>
        </w:rPr>
        <w:t xml:space="preserve">. A groundwater system that plans to place a new groundwater source into service after November 30, 2009, must conduct source water monitoring in accordance with Chapter 4 of the </w:t>
      </w:r>
      <w:r w:rsidRPr="00CB1A49">
        <w:rPr>
          <w:rFonts w:eastAsia="Times New Roman"/>
          <w:i/>
          <w:iCs/>
          <w:sz w:val="24"/>
          <w:szCs w:val="24"/>
        </w:rPr>
        <w:t>Massachusetts Guidelines for Public Water Systems</w:t>
      </w:r>
      <w:r w:rsidRPr="00CB1A49">
        <w:rPr>
          <w:rFonts w:eastAsia="Times New Roman"/>
          <w:sz w:val="24"/>
          <w:szCs w:val="24"/>
        </w:rPr>
        <w:t xml:space="preserve"> and may have </w:t>
      </w:r>
      <w:r w:rsidRPr="007217BA">
        <w:rPr>
          <w:rFonts w:eastAsia="Times New Roman"/>
          <w:sz w:val="24"/>
          <w:szCs w:val="24"/>
        </w:rPr>
        <w:t>to meet the requirements of 310 CMR 22.26(3)(b) if the Department determines additional testing is required.</w:t>
      </w:r>
    </w:p>
    <w:p w14:paraId="281A7874" w14:textId="77777777" w:rsidR="004647B9" w:rsidRPr="007217BA" w:rsidRDefault="00E2436F" w:rsidP="00563A54">
      <w:pPr>
        <w:numPr>
          <w:ilvl w:val="1"/>
          <w:numId w:val="900"/>
        </w:numPr>
        <w:tabs>
          <w:tab w:val="left" w:pos="2023"/>
        </w:tabs>
        <w:ind w:left="1620" w:hanging="5"/>
        <w:jc w:val="both"/>
        <w:rPr>
          <w:rFonts w:eastAsia="Times New Roman"/>
          <w:sz w:val="24"/>
          <w:szCs w:val="24"/>
        </w:rPr>
      </w:pPr>
      <w:r w:rsidRPr="007217BA">
        <w:rPr>
          <w:rFonts w:eastAsia="Times New Roman"/>
          <w:sz w:val="24"/>
          <w:szCs w:val="24"/>
          <w:u w:val="single"/>
        </w:rPr>
        <w:t>Public Notification</w:t>
      </w:r>
      <w:r w:rsidRPr="007217BA">
        <w:rPr>
          <w:rFonts w:eastAsia="Times New Roman"/>
          <w:sz w:val="24"/>
          <w:szCs w:val="24"/>
        </w:rPr>
        <w:t>. A groundwater system with a groundwater source sample collected under 310 CMR 22.26(3)(a) or (b) that is fecal indicator-positive and that is not invalidated under 310 CMR 22.26(3)(d), including consecutive systems served by the groundwater source, must conduct public notification under 310 CMR 22.16.</w:t>
      </w:r>
    </w:p>
    <w:p w14:paraId="281A7875" w14:textId="77777777" w:rsidR="004647B9" w:rsidRPr="007217BA" w:rsidRDefault="00E2436F" w:rsidP="00563A54">
      <w:pPr>
        <w:numPr>
          <w:ilvl w:val="1"/>
          <w:numId w:val="900"/>
        </w:numPr>
        <w:tabs>
          <w:tab w:val="left" w:pos="2145"/>
        </w:tabs>
        <w:ind w:left="1620" w:hanging="5"/>
        <w:jc w:val="both"/>
        <w:rPr>
          <w:rFonts w:eastAsia="Times New Roman"/>
          <w:sz w:val="24"/>
          <w:szCs w:val="24"/>
        </w:rPr>
      </w:pPr>
      <w:r w:rsidRPr="007217BA">
        <w:rPr>
          <w:rFonts w:eastAsia="Times New Roman"/>
          <w:sz w:val="24"/>
          <w:szCs w:val="24"/>
          <w:u w:val="single"/>
        </w:rPr>
        <w:t>Monitoring Violations</w:t>
      </w:r>
      <w:r w:rsidRPr="007217BA">
        <w:rPr>
          <w:rFonts w:eastAsia="Times New Roman"/>
          <w:sz w:val="24"/>
          <w:szCs w:val="24"/>
        </w:rPr>
        <w:t>. Failure to meet the requirements of 310 CMR 22.26(3)(a) through (f) is a monitoring violation and requires the groundwater system to report each failure to the Department pursuant to 310 CMR 22.15(1), and provide public notification under 310 CMR 22.16.</w:t>
      </w:r>
    </w:p>
    <w:p w14:paraId="281A7876" w14:textId="77777777" w:rsidR="004647B9" w:rsidRPr="007217BA" w:rsidRDefault="00E2436F" w:rsidP="00563A54">
      <w:pPr>
        <w:numPr>
          <w:ilvl w:val="1"/>
          <w:numId w:val="900"/>
        </w:numPr>
        <w:tabs>
          <w:tab w:val="left" w:pos="1991"/>
        </w:tabs>
        <w:ind w:left="1620" w:hanging="5"/>
        <w:jc w:val="both"/>
        <w:rPr>
          <w:rFonts w:eastAsia="Times New Roman"/>
          <w:sz w:val="24"/>
          <w:szCs w:val="24"/>
        </w:rPr>
      </w:pPr>
      <w:r w:rsidRPr="007217BA">
        <w:rPr>
          <w:rFonts w:eastAsia="Times New Roman"/>
          <w:sz w:val="24"/>
          <w:szCs w:val="24"/>
          <w:u w:val="single"/>
        </w:rPr>
        <w:t>Department Notification</w:t>
      </w:r>
      <w:r w:rsidRPr="007217BA">
        <w:rPr>
          <w:rFonts w:eastAsia="Times New Roman"/>
          <w:sz w:val="24"/>
          <w:szCs w:val="24"/>
        </w:rPr>
        <w:t>. The Supplier of Water shall notify the Department by the end of the day that it is notified of a fecal indicator-positive source water test result. If the Supplier of Water receives such notification outside of the Department's regular business hours, then it shall provide notification to the Department by calling the Department's Emergency notification telephone number and using any other electronic reporting tool designated by the Department, or other Department designated telephone numbers.</w:t>
      </w:r>
    </w:p>
    <w:p w14:paraId="281A7877" w14:textId="77777777" w:rsidR="004647B9" w:rsidRPr="007217BA" w:rsidRDefault="004647B9" w:rsidP="007217BA">
      <w:pPr>
        <w:rPr>
          <w:rFonts w:eastAsia="Times New Roman"/>
          <w:sz w:val="24"/>
          <w:szCs w:val="24"/>
        </w:rPr>
      </w:pPr>
    </w:p>
    <w:p w14:paraId="281A7878" w14:textId="77777777" w:rsidR="004647B9" w:rsidRPr="007217BA" w:rsidRDefault="00E2436F" w:rsidP="00563A54">
      <w:pPr>
        <w:numPr>
          <w:ilvl w:val="0"/>
          <w:numId w:val="901"/>
        </w:numPr>
        <w:tabs>
          <w:tab w:val="left" w:pos="1720"/>
        </w:tabs>
        <w:ind w:left="1720" w:hanging="460"/>
        <w:rPr>
          <w:rFonts w:eastAsia="Times New Roman"/>
          <w:sz w:val="24"/>
          <w:szCs w:val="24"/>
        </w:rPr>
      </w:pPr>
      <w:r w:rsidRPr="007217BA">
        <w:rPr>
          <w:rFonts w:eastAsia="Times New Roman"/>
          <w:sz w:val="24"/>
          <w:szCs w:val="24"/>
          <w:u w:val="single"/>
        </w:rPr>
        <w:t>Treatment Technique Requirements for Groundwater Systems</w:t>
      </w:r>
      <w:r w:rsidRPr="007217BA">
        <w:rPr>
          <w:rFonts w:eastAsia="Times New Roman"/>
          <w:sz w:val="24"/>
          <w:szCs w:val="24"/>
        </w:rPr>
        <w:t>.</w:t>
      </w:r>
    </w:p>
    <w:p w14:paraId="281A787A" w14:textId="77777777" w:rsidR="004647B9" w:rsidRPr="007217BA" w:rsidRDefault="00E2436F" w:rsidP="00BC5BB3">
      <w:pPr>
        <w:numPr>
          <w:ilvl w:val="1"/>
          <w:numId w:val="901"/>
        </w:numPr>
        <w:tabs>
          <w:tab w:val="left" w:pos="2020"/>
        </w:tabs>
        <w:ind w:left="1613"/>
        <w:rPr>
          <w:rFonts w:eastAsia="Times New Roman"/>
          <w:sz w:val="24"/>
          <w:szCs w:val="24"/>
        </w:rPr>
      </w:pPr>
      <w:r w:rsidRPr="007217BA">
        <w:rPr>
          <w:rFonts w:eastAsia="Times New Roman"/>
          <w:sz w:val="24"/>
          <w:szCs w:val="24"/>
        </w:rPr>
        <w:t>Groundwater systems with significant deficiencies or source water fecal contamination.</w:t>
      </w:r>
    </w:p>
    <w:p w14:paraId="281A787C" w14:textId="77777777" w:rsidR="004647B9" w:rsidRPr="007217BA" w:rsidRDefault="00E2436F" w:rsidP="00563A54">
      <w:pPr>
        <w:numPr>
          <w:ilvl w:val="2"/>
          <w:numId w:val="901"/>
        </w:numPr>
        <w:tabs>
          <w:tab w:val="left" w:pos="2434"/>
        </w:tabs>
        <w:ind w:left="1980" w:hanging="5"/>
        <w:jc w:val="both"/>
        <w:rPr>
          <w:rFonts w:eastAsia="Times New Roman"/>
          <w:sz w:val="24"/>
          <w:szCs w:val="24"/>
        </w:rPr>
      </w:pPr>
      <w:r w:rsidRPr="007217BA">
        <w:rPr>
          <w:rFonts w:eastAsia="Times New Roman"/>
          <w:sz w:val="24"/>
          <w:szCs w:val="24"/>
        </w:rPr>
        <w:t>The Treatment Technique requirements of 310 CMR 22.26(4) must be met by groundwater systems when a Significant Deficiency is identified or when a groundwater source sample collected under 310 CMR 22.26(3)(a)4. is fecal indicator-positive.</w:t>
      </w:r>
    </w:p>
    <w:p w14:paraId="281A787D" w14:textId="77777777" w:rsidR="004647B9" w:rsidRPr="007217BA" w:rsidRDefault="00E2436F" w:rsidP="00563A54">
      <w:pPr>
        <w:numPr>
          <w:ilvl w:val="2"/>
          <w:numId w:val="901"/>
        </w:numPr>
        <w:tabs>
          <w:tab w:val="left" w:pos="2398"/>
        </w:tabs>
        <w:ind w:left="1980" w:hanging="5"/>
        <w:jc w:val="both"/>
        <w:rPr>
          <w:rFonts w:eastAsia="Times New Roman"/>
          <w:sz w:val="24"/>
          <w:szCs w:val="24"/>
        </w:rPr>
      </w:pPr>
      <w:r w:rsidRPr="007217BA">
        <w:rPr>
          <w:rFonts w:eastAsia="Times New Roman"/>
          <w:sz w:val="24"/>
          <w:szCs w:val="24"/>
        </w:rPr>
        <w:t>If directed by the Department, a groundwater system with a groundwater source sample collected under 310 CMR 22.26(3)(a)2., 5., or (b) that is fecal indicator positive must comply with the Treatment Technique requirements of 310 CMR 22.26(4).</w:t>
      </w:r>
    </w:p>
    <w:p w14:paraId="281A787F" w14:textId="77777777" w:rsidR="004647B9" w:rsidRPr="007217BA" w:rsidRDefault="00E2436F" w:rsidP="00563A54">
      <w:pPr>
        <w:numPr>
          <w:ilvl w:val="2"/>
          <w:numId w:val="901"/>
        </w:numPr>
        <w:tabs>
          <w:tab w:val="left" w:pos="2347"/>
        </w:tabs>
        <w:ind w:left="1980" w:hanging="5"/>
        <w:jc w:val="both"/>
        <w:rPr>
          <w:rFonts w:eastAsia="Times New Roman"/>
          <w:sz w:val="24"/>
          <w:szCs w:val="24"/>
        </w:rPr>
      </w:pPr>
      <w:r w:rsidRPr="007217BA">
        <w:rPr>
          <w:rFonts w:eastAsia="Times New Roman"/>
          <w:sz w:val="24"/>
          <w:szCs w:val="24"/>
        </w:rPr>
        <w:t>When a Significant Deficiency is identified at a surface or Groundwater Under the Direct Influence of Surface Water Public Water System that uses both Groundwater and Surface Water or Groundwater under the Direct Influence of Surface Water, the system must comply with provisions of 310 CMR 22.26(4) except in cases where the Department determines that the Significant Deficiency is in a portion of the Distribution System that is served solely by Surface Water or Groundwater under the Direct Influence of Surface Water.</w:t>
      </w:r>
    </w:p>
    <w:p w14:paraId="281A7880" w14:textId="77777777" w:rsidR="004647B9" w:rsidRDefault="004647B9">
      <w:pPr>
        <w:sectPr w:rsidR="004647B9" w:rsidSect="00EF630C">
          <w:pgSz w:w="12240" w:h="20180"/>
          <w:pgMar w:top="708" w:right="1440" w:bottom="1440" w:left="540" w:header="0" w:footer="0" w:gutter="0"/>
          <w:cols w:space="720"/>
        </w:sectPr>
      </w:pPr>
    </w:p>
    <w:p w14:paraId="281A7881" w14:textId="77777777" w:rsidR="004647B9" w:rsidRPr="007217BA" w:rsidRDefault="00E2436F" w:rsidP="007217BA">
      <w:pPr>
        <w:tabs>
          <w:tab w:val="left" w:pos="160"/>
        </w:tabs>
        <w:ind w:right="-59"/>
        <w:jc w:val="center"/>
        <w:rPr>
          <w:sz w:val="24"/>
          <w:szCs w:val="24"/>
        </w:rPr>
      </w:pPr>
      <w:bookmarkStart w:id="345" w:name="page348"/>
      <w:bookmarkEnd w:id="345"/>
      <w:r w:rsidRPr="007217BA">
        <w:rPr>
          <w:rFonts w:eastAsia="Times New Roman"/>
          <w:sz w:val="24"/>
          <w:szCs w:val="24"/>
        </w:rPr>
        <w:lastRenderedPageBreak/>
        <w:t>310 CMR:</w:t>
      </w:r>
      <w:r w:rsidRPr="007217BA">
        <w:rPr>
          <w:sz w:val="24"/>
          <w:szCs w:val="24"/>
        </w:rPr>
        <w:tab/>
      </w:r>
      <w:r w:rsidRPr="007217BA">
        <w:rPr>
          <w:rFonts w:eastAsia="Times New Roman"/>
          <w:sz w:val="24"/>
          <w:szCs w:val="24"/>
        </w:rPr>
        <w:t>DEPARTMENT OF ENVIRONMENTAL PROTECTION</w:t>
      </w:r>
    </w:p>
    <w:p w14:paraId="281A7882" w14:textId="77777777" w:rsidR="004647B9" w:rsidRPr="00550FA4" w:rsidRDefault="004647B9" w:rsidP="007217BA">
      <w:pPr>
        <w:rPr>
          <w:sz w:val="20"/>
          <w:szCs w:val="20"/>
        </w:rPr>
      </w:pPr>
    </w:p>
    <w:p w14:paraId="281A7883" w14:textId="77777777" w:rsidR="004647B9" w:rsidRPr="00550FA4" w:rsidRDefault="004647B9" w:rsidP="007217BA">
      <w:pPr>
        <w:rPr>
          <w:sz w:val="20"/>
          <w:szCs w:val="20"/>
        </w:rPr>
      </w:pPr>
    </w:p>
    <w:p w14:paraId="281A7884" w14:textId="77777777" w:rsidR="004647B9" w:rsidRPr="007217BA" w:rsidRDefault="00E2436F" w:rsidP="007217BA">
      <w:pPr>
        <w:tabs>
          <w:tab w:val="left" w:pos="760"/>
        </w:tabs>
        <w:rPr>
          <w:sz w:val="24"/>
          <w:szCs w:val="24"/>
        </w:rPr>
      </w:pPr>
      <w:r w:rsidRPr="007217BA">
        <w:rPr>
          <w:rFonts w:eastAsia="Times New Roman"/>
          <w:sz w:val="24"/>
          <w:szCs w:val="24"/>
        </w:rPr>
        <w:t>22.26:</w:t>
      </w:r>
      <w:r w:rsidRPr="007217BA">
        <w:rPr>
          <w:rFonts w:eastAsia="Times New Roman"/>
          <w:sz w:val="24"/>
          <w:szCs w:val="24"/>
        </w:rPr>
        <w:tab/>
        <w:t>continued</w:t>
      </w:r>
    </w:p>
    <w:p w14:paraId="281A7885" w14:textId="77777777" w:rsidR="004647B9" w:rsidRPr="00550FA4" w:rsidRDefault="004647B9" w:rsidP="007217BA">
      <w:pPr>
        <w:rPr>
          <w:sz w:val="20"/>
          <w:szCs w:val="20"/>
        </w:rPr>
      </w:pPr>
    </w:p>
    <w:p w14:paraId="281A7886" w14:textId="77777777" w:rsidR="004647B9" w:rsidRPr="007217BA" w:rsidRDefault="00E2436F" w:rsidP="00563A54">
      <w:pPr>
        <w:numPr>
          <w:ilvl w:val="1"/>
          <w:numId w:val="902"/>
        </w:numPr>
        <w:tabs>
          <w:tab w:val="left" w:pos="2426"/>
        </w:tabs>
        <w:ind w:left="1980" w:hanging="5"/>
        <w:jc w:val="both"/>
        <w:rPr>
          <w:rFonts w:eastAsia="Times New Roman"/>
          <w:sz w:val="24"/>
          <w:szCs w:val="24"/>
        </w:rPr>
      </w:pPr>
      <w:r w:rsidRPr="007217BA">
        <w:rPr>
          <w:rFonts w:eastAsia="Times New Roman"/>
          <w:sz w:val="24"/>
          <w:szCs w:val="24"/>
        </w:rPr>
        <w:t>Unless the Department directs the groundwater system to implement a specific corrective action, the groundwater system must consult with the Department regarding the appropriate corrective action within 30 days of receiving written notice from the Department of a Significant Deficiency, written notice from a laboratory that a groundwater source sample collected under 310 CMR 22.26(3)(a)4. was found to be fecal-indicator-positive, or direction from the Department that a fecal indicator-positive sample collected under 310 CMR 22.26(3)(a)2., 5., or (b) requires corrective action. For the purposes of 310 CMR 22.26, significant deficiencies include, but are not limited to, defects in design, operation, or maintenance, or a failure or malfunction of the sources, treatment, storage, or Distribution System that the Department determines to be causing, or have potential for causing, the introduction of contamination into the water delivered to consumers.</w:t>
      </w:r>
    </w:p>
    <w:p w14:paraId="281A7888" w14:textId="77777777" w:rsidR="004647B9" w:rsidRPr="007217BA" w:rsidRDefault="00E2436F" w:rsidP="00563A54">
      <w:pPr>
        <w:numPr>
          <w:ilvl w:val="1"/>
          <w:numId w:val="902"/>
        </w:numPr>
        <w:tabs>
          <w:tab w:val="left" w:pos="2426"/>
        </w:tabs>
        <w:ind w:left="1980" w:hanging="5"/>
        <w:jc w:val="both"/>
        <w:rPr>
          <w:rFonts w:eastAsia="Times New Roman"/>
          <w:sz w:val="24"/>
          <w:szCs w:val="24"/>
        </w:rPr>
      </w:pPr>
      <w:r w:rsidRPr="007217BA">
        <w:rPr>
          <w:rFonts w:eastAsia="Times New Roman"/>
          <w:sz w:val="24"/>
          <w:szCs w:val="24"/>
        </w:rPr>
        <w:t>Within 120 days (or earlier if directed by the Department) of receiving written notification from the Department of a Significant Deficiency, written notice from a laboratory that a groundwater source sample collected under 310 CMR 22.26(3)(a)4. was found to be fecal indicator-positive, or direction from the Department that a fecal indicator-positive sample collected under 310 CMR 22.26(3)(a)2., 5., or (b) requires corrective action, the groundwater system must either:</w:t>
      </w:r>
    </w:p>
    <w:p w14:paraId="281A788A" w14:textId="77777777" w:rsidR="004647B9" w:rsidRPr="002C6FDB" w:rsidRDefault="00E2436F" w:rsidP="00563A54">
      <w:pPr>
        <w:numPr>
          <w:ilvl w:val="2"/>
          <w:numId w:val="902"/>
        </w:numPr>
        <w:tabs>
          <w:tab w:val="left" w:pos="2629"/>
        </w:tabs>
        <w:ind w:left="2340" w:hanging="5"/>
        <w:jc w:val="both"/>
        <w:rPr>
          <w:rFonts w:eastAsia="Times New Roman"/>
          <w:sz w:val="24"/>
          <w:szCs w:val="24"/>
        </w:rPr>
      </w:pPr>
      <w:r w:rsidRPr="002C6FDB">
        <w:rPr>
          <w:rFonts w:eastAsia="Times New Roman"/>
          <w:sz w:val="24"/>
          <w:szCs w:val="24"/>
        </w:rPr>
        <w:t>Have completed corrective action in accordance with applicable Department plan review processes or other Department guidance or direction, if any, including Department-specified interim measures; or</w:t>
      </w:r>
    </w:p>
    <w:p w14:paraId="281A788C" w14:textId="77777777" w:rsidR="004647B9" w:rsidRPr="002C6FDB" w:rsidRDefault="00E2436F" w:rsidP="00563A54">
      <w:pPr>
        <w:numPr>
          <w:ilvl w:val="2"/>
          <w:numId w:val="902"/>
        </w:numPr>
        <w:tabs>
          <w:tab w:val="left" w:pos="2830"/>
        </w:tabs>
        <w:ind w:left="2340" w:hanging="5"/>
        <w:rPr>
          <w:rFonts w:eastAsia="Times New Roman"/>
          <w:sz w:val="24"/>
          <w:szCs w:val="24"/>
        </w:rPr>
      </w:pPr>
      <w:r w:rsidRPr="002C6FDB">
        <w:rPr>
          <w:rFonts w:eastAsia="Times New Roman"/>
          <w:sz w:val="24"/>
          <w:szCs w:val="24"/>
        </w:rPr>
        <w:t>Be in compliance with a Department-approved corrective action plan and schedule subject to the conditions specified in 310 CMR 22.26(4)(a)5.b.i. and ii.</w:t>
      </w:r>
    </w:p>
    <w:p w14:paraId="281A788D" w14:textId="77777777" w:rsidR="004647B9" w:rsidRPr="002C6FDB" w:rsidRDefault="00E2436F" w:rsidP="00563A54">
      <w:pPr>
        <w:numPr>
          <w:ilvl w:val="3"/>
          <w:numId w:val="902"/>
        </w:numPr>
        <w:tabs>
          <w:tab w:val="left" w:pos="3036"/>
        </w:tabs>
        <w:ind w:left="2700" w:hanging="5"/>
        <w:rPr>
          <w:rFonts w:eastAsia="Times New Roman"/>
          <w:sz w:val="24"/>
          <w:szCs w:val="24"/>
        </w:rPr>
      </w:pPr>
      <w:r w:rsidRPr="002C6FDB">
        <w:rPr>
          <w:rFonts w:eastAsia="Times New Roman"/>
          <w:sz w:val="24"/>
          <w:szCs w:val="24"/>
        </w:rPr>
        <w:t>Any subsequent modifications to a Department-approved corrective action plan and schedule must also be approved by the Department.</w:t>
      </w:r>
    </w:p>
    <w:p w14:paraId="281A788E" w14:textId="77777777" w:rsidR="004647B9" w:rsidRPr="002C6FDB" w:rsidRDefault="00E2436F" w:rsidP="00563A54">
      <w:pPr>
        <w:numPr>
          <w:ilvl w:val="3"/>
          <w:numId w:val="902"/>
        </w:numPr>
        <w:tabs>
          <w:tab w:val="left" w:pos="3132"/>
        </w:tabs>
        <w:ind w:left="2700" w:hanging="5"/>
        <w:jc w:val="both"/>
        <w:rPr>
          <w:rFonts w:eastAsia="Times New Roman"/>
          <w:sz w:val="24"/>
          <w:szCs w:val="24"/>
        </w:rPr>
      </w:pPr>
      <w:r w:rsidRPr="002C6FDB">
        <w:rPr>
          <w:rFonts w:eastAsia="Times New Roman"/>
          <w:sz w:val="24"/>
          <w:szCs w:val="24"/>
        </w:rPr>
        <w:t>If the Department specifies interim measures for protection of the public health pending Department approval of the corrective action plan and schedule or pending completion of the corrective action plan, the system must comply with these interim measures as well as with any schedule specified by the Department.</w:t>
      </w:r>
    </w:p>
    <w:p w14:paraId="281A7890" w14:textId="77777777" w:rsidR="004647B9" w:rsidRPr="002C6FDB" w:rsidRDefault="00E2436F" w:rsidP="00563A54">
      <w:pPr>
        <w:numPr>
          <w:ilvl w:val="3"/>
          <w:numId w:val="902"/>
        </w:numPr>
        <w:tabs>
          <w:tab w:val="left" w:pos="3094"/>
        </w:tabs>
        <w:ind w:left="2700" w:hanging="5"/>
        <w:rPr>
          <w:rFonts w:eastAsia="Times New Roman"/>
          <w:sz w:val="24"/>
          <w:szCs w:val="24"/>
        </w:rPr>
      </w:pPr>
      <w:r w:rsidRPr="002C6FDB">
        <w:rPr>
          <w:rFonts w:eastAsia="Times New Roman"/>
          <w:sz w:val="24"/>
          <w:szCs w:val="24"/>
        </w:rPr>
        <w:t>Corrective action plans submitted under 310 CMR 22.05(4) or 22.26(4) may be considered for purposes of 310 CMR 22.26(4)(a)5., as appropriate.</w:t>
      </w:r>
    </w:p>
    <w:p w14:paraId="281A7893" w14:textId="1F187712" w:rsidR="004647B9" w:rsidRPr="002C6FDB" w:rsidRDefault="00E2436F" w:rsidP="00563A54">
      <w:pPr>
        <w:numPr>
          <w:ilvl w:val="1"/>
          <w:numId w:val="902"/>
        </w:numPr>
        <w:tabs>
          <w:tab w:val="left" w:pos="2426"/>
        </w:tabs>
        <w:ind w:left="1980" w:hanging="5"/>
        <w:jc w:val="both"/>
        <w:rPr>
          <w:rFonts w:eastAsia="Times New Roman"/>
          <w:sz w:val="24"/>
          <w:szCs w:val="24"/>
        </w:rPr>
      </w:pPr>
      <w:r w:rsidRPr="002C6FDB">
        <w:rPr>
          <w:rFonts w:eastAsia="Times New Roman"/>
          <w:sz w:val="24"/>
          <w:szCs w:val="24"/>
        </w:rPr>
        <w:t>Corrective Action Alternatives.  Groundwater systems that meet the conditions of</w:t>
      </w:r>
      <w:r w:rsidR="002C6FDB" w:rsidRPr="002C6FDB">
        <w:rPr>
          <w:rFonts w:eastAsia="Times New Roman"/>
          <w:sz w:val="24"/>
          <w:szCs w:val="24"/>
        </w:rPr>
        <w:t xml:space="preserve"> 310 </w:t>
      </w:r>
      <w:r w:rsidRPr="002C6FDB">
        <w:rPr>
          <w:rFonts w:eastAsia="Times New Roman"/>
          <w:sz w:val="24"/>
          <w:szCs w:val="24"/>
        </w:rPr>
        <w:t>CMR 22.26(4)(a)1. or 2. must implement one or more of the following corrective action alternatives:</w:t>
      </w:r>
    </w:p>
    <w:p w14:paraId="281A7894" w14:textId="77777777" w:rsidR="004647B9" w:rsidRPr="002C6FDB" w:rsidRDefault="00E2436F" w:rsidP="00563A54">
      <w:pPr>
        <w:numPr>
          <w:ilvl w:val="2"/>
          <w:numId w:val="903"/>
        </w:numPr>
        <w:tabs>
          <w:tab w:val="left" w:pos="2680"/>
        </w:tabs>
        <w:ind w:left="2680" w:hanging="345"/>
        <w:rPr>
          <w:rFonts w:eastAsia="Times New Roman"/>
          <w:sz w:val="24"/>
          <w:szCs w:val="24"/>
        </w:rPr>
      </w:pPr>
      <w:r w:rsidRPr="002C6FDB">
        <w:rPr>
          <w:rFonts w:eastAsia="Times New Roman"/>
          <w:sz w:val="24"/>
          <w:szCs w:val="24"/>
        </w:rPr>
        <w:t>Correct all significant deficiencies;</w:t>
      </w:r>
    </w:p>
    <w:p w14:paraId="281A7896" w14:textId="77777777" w:rsidR="004647B9" w:rsidRPr="002C6FDB" w:rsidRDefault="00E2436F" w:rsidP="00563A54">
      <w:pPr>
        <w:numPr>
          <w:ilvl w:val="2"/>
          <w:numId w:val="903"/>
        </w:numPr>
        <w:tabs>
          <w:tab w:val="left" w:pos="2700"/>
        </w:tabs>
        <w:ind w:left="2700" w:hanging="365"/>
        <w:rPr>
          <w:rFonts w:eastAsia="Times New Roman"/>
          <w:sz w:val="24"/>
          <w:szCs w:val="24"/>
        </w:rPr>
      </w:pPr>
      <w:r w:rsidRPr="002C6FDB">
        <w:rPr>
          <w:rFonts w:eastAsia="Times New Roman"/>
          <w:sz w:val="24"/>
          <w:szCs w:val="24"/>
        </w:rPr>
        <w:t>Provide an alternate source of water;</w:t>
      </w:r>
    </w:p>
    <w:p w14:paraId="281A7898" w14:textId="77777777" w:rsidR="004647B9" w:rsidRPr="002C6FDB" w:rsidRDefault="00E2436F" w:rsidP="00563A54">
      <w:pPr>
        <w:numPr>
          <w:ilvl w:val="2"/>
          <w:numId w:val="903"/>
        </w:numPr>
        <w:tabs>
          <w:tab w:val="left" w:pos="2680"/>
        </w:tabs>
        <w:ind w:left="2680" w:hanging="345"/>
        <w:rPr>
          <w:rFonts w:eastAsia="Times New Roman"/>
          <w:sz w:val="24"/>
          <w:szCs w:val="24"/>
        </w:rPr>
      </w:pPr>
      <w:r w:rsidRPr="002C6FDB">
        <w:rPr>
          <w:rFonts w:eastAsia="Times New Roman"/>
          <w:sz w:val="24"/>
          <w:szCs w:val="24"/>
        </w:rPr>
        <w:t>Eliminate the source of contamination; or</w:t>
      </w:r>
    </w:p>
    <w:p w14:paraId="281A789A" w14:textId="77777777" w:rsidR="004647B9" w:rsidRPr="002C6FDB" w:rsidRDefault="00E2436F" w:rsidP="00563A54">
      <w:pPr>
        <w:numPr>
          <w:ilvl w:val="2"/>
          <w:numId w:val="903"/>
        </w:numPr>
        <w:tabs>
          <w:tab w:val="left" w:pos="2700"/>
        </w:tabs>
        <w:ind w:left="2340" w:hanging="5"/>
        <w:jc w:val="both"/>
        <w:rPr>
          <w:rFonts w:eastAsia="Times New Roman"/>
          <w:sz w:val="24"/>
          <w:szCs w:val="24"/>
        </w:rPr>
      </w:pPr>
      <w:r w:rsidRPr="002C6FDB">
        <w:rPr>
          <w:rFonts w:eastAsia="Times New Roman"/>
          <w:sz w:val="24"/>
          <w:szCs w:val="24"/>
        </w:rPr>
        <w:t>Provide treatment that reliably achieves at least 4-log treatment of Viruses (using inactivation, removal, or a Department-approved combination of 4-log Virus inactivation and removal) before or at the first customer for the groundwater source.</w:t>
      </w:r>
    </w:p>
    <w:p w14:paraId="281A789C" w14:textId="77777777" w:rsidR="004647B9" w:rsidRPr="002C6FDB" w:rsidRDefault="00E2436F" w:rsidP="00563A54">
      <w:pPr>
        <w:numPr>
          <w:ilvl w:val="0"/>
          <w:numId w:val="904"/>
        </w:numPr>
        <w:tabs>
          <w:tab w:val="left" w:pos="2080"/>
        </w:tabs>
        <w:ind w:left="2080" w:hanging="465"/>
        <w:rPr>
          <w:rFonts w:eastAsia="Times New Roman"/>
          <w:sz w:val="24"/>
          <w:szCs w:val="24"/>
        </w:rPr>
      </w:pPr>
      <w:r w:rsidRPr="002C6FDB">
        <w:rPr>
          <w:rFonts w:eastAsia="Times New Roman"/>
          <w:sz w:val="24"/>
          <w:szCs w:val="24"/>
          <w:u w:val="single"/>
        </w:rPr>
        <w:t>Compliance Monitoring</w:t>
      </w:r>
      <w:r w:rsidRPr="002C6FDB">
        <w:rPr>
          <w:rFonts w:eastAsia="Times New Roman"/>
          <w:sz w:val="24"/>
          <w:szCs w:val="24"/>
        </w:rPr>
        <w:t>.</w:t>
      </w:r>
    </w:p>
    <w:p w14:paraId="281A789E" w14:textId="77777777" w:rsidR="004647B9" w:rsidRPr="002C6FDB" w:rsidRDefault="00E2436F" w:rsidP="00563A54">
      <w:pPr>
        <w:numPr>
          <w:ilvl w:val="1"/>
          <w:numId w:val="904"/>
        </w:numPr>
        <w:tabs>
          <w:tab w:val="left" w:pos="2342"/>
        </w:tabs>
        <w:ind w:left="1980" w:hanging="5"/>
        <w:jc w:val="both"/>
        <w:rPr>
          <w:rFonts w:eastAsia="Times New Roman"/>
          <w:sz w:val="24"/>
          <w:szCs w:val="24"/>
        </w:rPr>
      </w:pPr>
      <w:r w:rsidRPr="002C6FDB">
        <w:rPr>
          <w:rFonts w:eastAsia="Times New Roman"/>
          <w:sz w:val="24"/>
          <w:szCs w:val="24"/>
          <w:u w:val="single"/>
        </w:rPr>
        <w:t>Existing Groundwater Sources</w:t>
      </w:r>
      <w:r w:rsidRPr="002C6FDB">
        <w:rPr>
          <w:rFonts w:eastAsia="Times New Roman"/>
          <w:sz w:val="24"/>
          <w:szCs w:val="24"/>
        </w:rPr>
        <w:t>. A groundwater system that is not required to meet the source water monitoring requirements of 310 CMR 22.26 for any groundwater source because it provides at least 4-log treatment of Viruses (using inactivation, removal, or a Department-approved combination of 4-log Virus inactivation and removal) before or at the first customer for any groundwater source before December 1, 2009, must notify the Department in writing that it provides at least 4-log treatment of Viruses (using inactivation, removal, or a Department-approved combination of 4-log Virus inactivation and removal) before or at the first customer for the specified groundwater source and begin compliance monitoring in accordance with 310 CMR 22.26(4)(b)3. by December 1, 2009. Notification to the Department must include engineering, operational, or other information that the Department requests to evaluate the submission. If the system subsequently discontinues 4-log treatment of Viruses (using inactivation, removal, or a Department-approved combination of 4-log Virus inactivation and removal) before or at the first customer for a groundwater source, the system must conduct groundwater source monitoring as required 310 CMR 22.26(3).</w:t>
      </w:r>
    </w:p>
    <w:p w14:paraId="281A789F" w14:textId="77777777" w:rsidR="004647B9" w:rsidRDefault="004647B9">
      <w:pPr>
        <w:sectPr w:rsidR="004647B9" w:rsidSect="00EF630C">
          <w:pgSz w:w="12240" w:h="20180"/>
          <w:pgMar w:top="708" w:right="1440" w:bottom="1440" w:left="540" w:header="0" w:footer="0" w:gutter="0"/>
          <w:cols w:space="720"/>
        </w:sectPr>
      </w:pPr>
    </w:p>
    <w:p w14:paraId="281A78A0" w14:textId="77777777" w:rsidR="004647B9" w:rsidRPr="00D462EB" w:rsidRDefault="00E2436F" w:rsidP="00D462EB">
      <w:pPr>
        <w:tabs>
          <w:tab w:val="left" w:pos="160"/>
        </w:tabs>
        <w:ind w:right="-59"/>
        <w:jc w:val="center"/>
        <w:rPr>
          <w:sz w:val="24"/>
          <w:szCs w:val="24"/>
        </w:rPr>
      </w:pPr>
      <w:bookmarkStart w:id="346" w:name="page349"/>
      <w:bookmarkEnd w:id="346"/>
      <w:r w:rsidRPr="00D462EB">
        <w:rPr>
          <w:rFonts w:eastAsia="Times New Roman"/>
          <w:sz w:val="24"/>
          <w:szCs w:val="24"/>
        </w:rPr>
        <w:lastRenderedPageBreak/>
        <w:t>310 CMR:</w:t>
      </w:r>
      <w:r w:rsidRPr="00D462EB">
        <w:rPr>
          <w:sz w:val="24"/>
          <w:szCs w:val="24"/>
        </w:rPr>
        <w:tab/>
      </w:r>
      <w:r w:rsidRPr="00D462EB">
        <w:rPr>
          <w:rFonts w:eastAsia="Times New Roman"/>
          <w:sz w:val="24"/>
          <w:szCs w:val="24"/>
        </w:rPr>
        <w:t>DEPARTMENT OF ENVIRONMENTAL PROTECTION</w:t>
      </w:r>
    </w:p>
    <w:p w14:paraId="281A78A1" w14:textId="77777777" w:rsidR="004647B9" w:rsidRPr="00550FA4" w:rsidRDefault="004647B9" w:rsidP="00D462EB">
      <w:pPr>
        <w:rPr>
          <w:sz w:val="20"/>
          <w:szCs w:val="20"/>
        </w:rPr>
      </w:pPr>
    </w:p>
    <w:p w14:paraId="281A78A2" w14:textId="77777777" w:rsidR="004647B9" w:rsidRPr="00550FA4" w:rsidRDefault="004647B9" w:rsidP="00D462EB">
      <w:pPr>
        <w:rPr>
          <w:sz w:val="20"/>
          <w:szCs w:val="20"/>
        </w:rPr>
      </w:pPr>
    </w:p>
    <w:p w14:paraId="281A78A3" w14:textId="77777777" w:rsidR="004647B9" w:rsidRPr="00D462EB" w:rsidRDefault="00E2436F" w:rsidP="00D462EB">
      <w:pPr>
        <w:tabs>
          <w:tab w:val="left" w:pos="760"/>
        </w:tabs>
        <w:rPr>
          <w:sz w:val="24"/>
          <w:szCs w:val="24"/>
        </w:rPr>
      </w:pPr>
      <w:r w:rsidRPr="00D462EB">
        <w:rPr>
          <w:rFonts w:eastAsia="Times New Roman"/>
          <w:sz w:val="24"/>
          <w:szCs w:val="24"/>
        </w:rPr>
        <w:t>22.26:</w:t>
      </w:r>
      <w:r w:rsidRPr="00D462EB">
        <w:rPr>
          <w:rFonts w:eastAsia="Times New Roman"/>
          <w:sz w:val="24"/>
          <w:szCs w:val="24"/>
        </w:rPr>
        <w:tab/>
        <w:t>continued</w:t>
      </w:r>
    </w:p>
    <w:p w14:paraId="281A78A4" w14:textId="77777777" w:rsidR="004647B9" w:rsidRPr="00550FA4" w:rsidRDefault="004647B9" w:rsidP="00D462EB">
      <w:pPr>
        <w:rPr>
          <w:sz w:val="20"/>
          <w:szCs w:val="20"/>
        </w:rPr>
      </w:pPr>
    </w:p>
    <w:p w14:paraId="281A78A5" w14:textId="77777777" w:rsidR="004647B9" w:rsidRPr="00D462EB" w:rsidRDefault="00E2436F" w:rsidP="00563A54">
      <w:pPr>
        <w:numPr>
          <w:ilvl w:val="0"/>
          <w:numId w:val="905"/>
        </w:numPr>
        <w:tabs>
          <w:tab w:val="left" w:pos="2297"/>
        </w:tabs>
        <w:ind w:left="1980" w:hanging="5"/>
        <w:jc w:val="both"/>
        <w:rPr>
          <w:rFonts w:eastAsia="Times New Roman"/>
          <w:sz w:val="24"/>
          <w:szCs w:val="24"/>
        </w:rPr>
      </w:pPr>
      <w:r w:rsidRPr="00D462EB">
        <w:rPr>
          <w:rFonts w:eastAsia="Times New Roman"/>
          <w:sz w:val="24"/>
          <w:szCs w:val="24"/>
          <w:u w:val="single"/>
        </w:rPr>
        <w:t>New Groundwater Sources</w:t>
      </w:r>
      <w:r w:rsidRPr="00D462EB">
        <w:rPr>
          <w:rFonts w:eastAsia="Times New Roman"/>
          <w:sz w:val="24"/>
          <w:szCs w:val="24"/>
        </w:rPr>
        <w:t>. A groundwater system that places a groundwater source in service after November 30, 2009, that is not required to meet the source water monitoring requirements of 310 CMR 22.26 because the system provides at least 4-log treatment of Viruses (using inactivation, removal, or a Department-approved combination of 4-log Virus inactivation and removal) before or at the first customer for the groundwater source must comply with the requirements of 310 CMR 22.26(4)(b)2.a. through c.</w:t>
      </w:r>
    </w:p>
    <w:p w14:paraId="281A78A7" w14:textId="77777777" w:rsidR="004647B9" w:rsidRPr="00D462EB" w:rsidRDefault="00E2436F" w:rsidP="00563A54">
      <w:pPr>
        <w:numPr>
          <w:ilvl w:val="1"/>
          <w:numId w:val="905"/>
        </w:numPr>
        <w:tabs>
          <w:tab w:val="left" w:pos="2681"/>
        </w:tabs>
        <w:ind w:left="2340" w:hanging="5"/>
        <w:jc w:val="both"/>
        <w:rPr>
          <w:rFonts w:eastAsia="Times New Roman"/>
          <w:sz w:val="24"/>
          <w:szCs w:val="24"/>
        </w:rPr>
      </w:pPr>
      <w:r w:rsidRPr="00D462EB">
        <w:rPr>
          <w:rFonts w:eastAsia="Times New Roman"/>
          <w:sz w:val="24"/>
          <w:szCs w:val="24"/>
        </w:rPr>
        <w:t>The system must notify the Department in writing that it provides at least 4-log treatment of Viruses (using inactivation, removal, or a Department-approved combination of 4-log Virus inactivation and removal) before or at the first customer for the groundwater source. Notification to the Department must include engineering, operational, or other information that the Department requests to evaluate the submission.</w:t>
      </w:r>
    </w:p>
    <w:p w14:paraId="281A78A9" w14:textId="77777777" w:rsidR="004647B9" w:rsidRPr="00D462EB" w:rsidRDefault="00E2436F" w:rsidP="00563A54">
      <w:pPr>
        <w:numPr>
          <w:ilvl w:val="1"/>
          <w:numId w:val="905"/>
        </w:numPr>
        <w:tabs>
          <w:tab w:val="left" w:pos="2722"/>
        </w:tabs>
        <w:ind w:left="2340" w:hanging="5"/>
        <w:rPr>
          <w:rFonts w:eastAsia="Times New Roman"/>
          <w:sz w:val="24"/>
          <w:szCs w:val="24"/>
        </w:rPr>
      </w:pPr>
      <w:r w:rsidRPr="00D462EB">
        <w:rPr>
          <w:rFonts w:eastAsia="Times New Roman"/>
          <w:sz w:val="24"/>
          <w:szCs w:val="24"/>
        </w:rPr>
        <w:t>The system must conduct compliance monitoring as required under 310 CMR 22.26(4)(b)3. within 30 days of placing the source in service.</w:t>
      </w:r>
    </w:p>
    <w:p w14:paraId="281A78AB" w14:textId="77777777" w:rsidR="004647B9" w:rsidRPr="00D462EB" w:rsidRDefault="00E2436F" w:rsidP="00563A54">
      <w:pPr>
        <w:numPr>
          <w:ilvl w:val="1"/>
          <w:numId w:val="905"/>
        </w:numPr>
        <w:tabs>
          <w:tab w:val="left" w:pos="2803"/>
        </w:tabs>
        <w:ind w:left="2340" w:hanging="5"/>
        <w:jc w:val="both"/>
        <w:rPr>
          <w:rFonts w:eastAsia="Times New Roman"/>
          <w:sz w:val="24"/>
          <w:szCs w:val="24"/>
        </w:rPr>
      </w:pPr>
      <w:r w:rsidRPr="00D462EB">
        <w:rPr>
          <w:rFonts w:eastAsia="Times New Roman"/>
          <w:sz w:val="24"/>
          <w:szCs w:val="24"/>
        </w:rPr>
        <w:t>The system must conduct groundwater source monitoring under 310 CMR 22.26(3) if the system subsequently discontinues 4-log treatment of Viruses (using inactivation, removal, or a Department-approved combination of 4-log Virus inactivation and removal) before or at the first customer for the groundwater source.</w:t>
      </w:r>
    </w:p>
    <w:p w14:paraId="281A78AF" w14:textId="46C59AC8" w:rsidR="004647B9" w:rsidRPr="00D462EB" w:rsidRDefault="00E2436F" w:rsidP="00563A54">
      <w:pPr>
        <w:numPr>
          <w:ilvl w:val="0"/>
          <w:numId w:val="905"/>
        </w:numPr>
        <w:tabs>
          <w:tab w:val="left" w:pos="2297"/>
        </w:tabs>
        <w:ind w:left="1980" w:hanging="5"/>
        <w:jc w:val="both"/>
        <w:rPr>
          <w:rFonts w:eastAsia="Times New Roman"/>
          <w:sz w:val="24"/>
          <w:szCs w:val="24"/>
          <w:u w:val="single"/>
        </w:rPr>
      </w:pPr>
      <w:r w:rsidRPr="00D462EB">
        <w:rPr>
          <w:rFonts w:eastAsia="Times New Roman"/>
          <w:sz w:val="24"/>
          <w:szCs w:val="24"/>
          <w:u w:val="single"/>
        </w:rPr>
        <w:t>Monitoring Requirements.</w:t>
      </w:r>
      <w:r w:rsidRPr="00D462EB">
        <w:rPr>
          <w:rFonts w:eastAsia="Times New Roman"/>
          <w:sz w:val="24"/>
          <w:szCs w:val="24"/>
        </w:rPr>
        <w:t xml:space="preserve">  A groundwater system subject to the requirements of</w:t>
      </w:r>
      <w:r w:rsidR="00D462EB" w:rsidRPr="00D462EB">
        <w:rPr>
          <w:rFonts w:eastAsia="Times New Roman"/>
          <w:sz w:val="24"/>
          <w:szCs w:val="24"/>
        </w:rPr>
        <w:t xml:space="preserve"> 310</w:t>
      </w:r>
      <w:r w:rsidR="00DA1A61">
        <w:rPr>
          <w:rFonts w:eastAsia="Times New Roman"/>
          <w:sz w:val="24"/>
          <w:szCs w:val="24"/>
        </w:rPr>
        <w:t xml:space="preserve"> </w:t>
      </w:r>
      <w:r w:rsidRPr="00D462EB">
        <w:rPr>
          <w:rFonts w:eastAsia="Times New Roman"/>
          <w:sz w:val="24"/>
          <w:szCs w:val="24"/>
        </w:rPr>
        <w:t>CMR 22.26(4)(a) or (b)1. or 2. must monitor the effectiveness and reliability of treatment for that groundwater source before or at the first customer as follows:</w:t>
      </w:r>
    </w:p>
    <w:p w14:paraId="281A78B1" w14:textId="77777777" w:rsidR="004647B9" w:rsidRPr="00D462EB" w:rsidRDefault="00E2436F" w:rsidP="00563A54">
      <w:pPr>
        <w:numPr>
          <w:ilvl w:val="1"/>
          <w:numId w:val="906"/>
        </w:numPr>
        <w:tabs>
          <w:tab w:val="left" w:pos="2680"/>
        </w:tabs>
        <w:ind w:left="2680" w:hanging="345"/>
        <w:rPr>
          <w:rFonts w:eastAsia="Times New Roman"/>
          <w:sz w:val="24"/>
          <w:szCs w:val="24"/>
        </w:rPr>
      </w:pPr>
      <w:r w:rsidRPr="00D462EB">
        <w:rPr>
          <w:rFonts w:eastAsia="Times New Roman"/>
          <w:sz w:val="24"/>
          <w:szCs w:val="24"/>
          <w:u w:val="single"/>
        </w:rPr>
        <w:t>Chemical Disinfection</w:t>
      </w:r>
      <w:r w:rsidRPr="00D462EB">
        <w:rPr>
          <w:rFonts w:eastAsia="Times New Roman"/>
          <w:sz w:val="24"/>
          <w:szCs w:val="24"/>
        </w:rPr>
        <w:t>.</w:t>
      </w:r>
    </w:p>
    <w:p w14:paraId="281A78B3" w14:textId="77777777" w:rsidR="004647B9" w:rsidRPr="00D462EB" w:rsidRDefault="00E2436F" w:rsidP="00563A54">
      <w:pPr>
        <w:numPr>
          <w:ilvl w:val="2"/>
          <w:numId w:val="906"/>
        </w:numPr>
        <w:tabs>
          <w:tab w:val="left" w:pos="3043"/>
        </w:tabs>
        <w:ind w:left="2700" w:hanging="5"/>
        <w:jc w:val="both"/>
        <w:rPr>
          <w:rFonts w:eastAsia="Times New Roman"/>
          <w:sz w:val="24"/>
          <w:szCs w:val="24"/>
        </w:rPr>
      </w:pPr>
      <w:r w:rsidRPr="00D462EB">
        <w:rPr>
          <w:rFonts w:eastAsia="Times New Roman"/>
          <w:sz w:val="24"/>
          <w:szCs w:val="24"/>
          <w:u w:val="single"/>
        </w:rPr>
        <w:t>Groundwater Systems Serving Greater than 3,300 People</w:t>
      </w:r>
      <w:r w:rsidRPr="00D462EB">
        <w:rPr>
          <w:rFonts w:eastAsia="Times New Roman"/>
          <w:sz w:val="24"/>
          <w:szCs w:val="24"/>
        </w:rPr>
        <w:t>. A groundwater system that serves greater than 3,300 people must continuously monitor the Residual Disinfectant Concentration using analytical methods specified in 310 CMR 22.20A(5)(a)2. at a location approved by the Department and must record the lowest Residual Disinfectant Concentration each day that water from the groundwater source is served to the public. The groundwater system must maintain the Department-determined Residual Disinfectant Concentration every day the groundwater system serves water from the groundwater source to the public. If there is a failure in the continuous monitoring equipment, the groundwater system must conduct grab sampling every four hours until the continuous monitoring equipment is returned to service. The system must resume continuous residual Disinfectant monitoring within 14 days.</w:t>
      </w:r>
    </w:p>
    <w:p w14:paraId="281A78B5" w14:textId="54B9C919" w:rsidR="004647B9" w:rsidRPr="00D462EB" w:rsidRDefault="00E2436F" w:rsidP="00563A54">
      <w:pPr>
        <w:numPr>
          <w:ilvl w:val="2"/>
          <w:numId w:val="906"/>
        </w:numPr>
        <w:tabs>
          <w:tab w:val="left" w:pos="3174"/>
        </w:tabs>
        <w:ind w:left="2700" w:hanging="5"/>
        <w:jc w:val="both"/>
        <w:rPr>
          <w:rFonts w:eastAsia="Times New Roman"/>
          <w:sz w:val="24"/>
          <w:szCs w:val="24"/>
        </w:rPr>
      </w:pPr>
      <w:r w:rsidRPr="00D462EB">
        <w:rPr>
          <w:rFonts w:eastAsia="Times New Roman"/>
          <w:sz w:val="24"/>
          <w:szCs w:val="24"/>
          <w:u w:val="single"/>
        </w:rPr>
        <w:t>Groundwater Systems Serving 3,300 or Fewer People</w:t>
      </w:r>
      <w:r w:rsidRPr="00D462EB">
        <w:rPr>
          <w:rFonts w:eastAsia="Times New Roman"/>
          <w:sz w:val="24"/>
          <w:szCs w:val="24"/>
        </w:rPr>
        <w:t xml:space="preserve">. A groundwater system that serves 3,300 or fewer people must monitor the Residual Disinfectant Concentration using analytical methods specified in 310 CMR 22.20A(5)(a)2. at a location approved by the Department and record the </w:t>
      </w:r>
      <w:r w:rsidR="000D6CB3">
        <w:rPr>
          <w:rFonts w:eastAsia="Times New Roman"/>
          <w:sz w:val="24"/>
          <w:szCs w:val="24"/>
        </w:rPr>
        <w:t>R</w:t>
      </w:r>
      <w:r w:rsidRPr="00D462EB">
        <w:rPr>
          <w:rFonts w:eastAsia="Times New Roman"/>
          <w:sz w:val="24"/>
          <w:szCs w:val="24"/>
        </w:rPr>
        <w:t xml:space="preserve">esidual Disinfection </w:t>
      </w:r>
      <w:r w:rsidR="000D6CB3">
        <w:rPr>
          <w:rFonts w:eastAsia="Times New Roman"/>
          <w:sz w:val="24"/>
          <w:szCs w:val="24"/>
        </w:rPr>
        <w:t>C</w:t>
      </w:r>
      <w:r w:rsidRPr="00D462EB">
        <w:rPr>
          <w:rFonts w:eastAsia="Times New Roman"/>
          <w:sz w:val="24"/>
          <w:szCs w:val="24"/>
        </w:rPr>
        <w:t>oncentration each day that water from the groundwater source is served to the public. The groundwater system must maintain the Department-determined Residual Disinfectant Concentration every day the groundwater system serves water from the groundwater source to the public. The groundwater system must take a daily grab sample during the hour of peak flow or at another time specified by the Department. If any daily grab sample measurement falls below the Department-determined Residual Disinfectant Concentration, the groundwater system must take follow-up samples every four hours until the Residual Disinfectant Concentration is restored to the Department-determined level. Alternatively, a groundwater system that serves 3,300 or fewer people may monitor continuously and meet the requirements of 310 CMR 22.26(4)(b)3.a.i.</w:t>
      </w:r>
    </w:p>
    <w:p w14:paraId="281A78B7" w14:textId="77777777" w:rsidR="004647B9" w:rsidRDefault="00E2436F" w:rsidP="00563A54">
      <w:pPr>
        <w:numPr>
          <w:ilvl w:val="1"/>
          <w:numId w:val="906"/>
        </w:numPr>
        <w:tabs>
          <w:tab w:val="left" w:pos="2707"/>
        </w:tabs>
        <w:ind w:left="2340" w:hanging="5"/>
        <w:jc w:val="both"/>
        <w:rPr>
          <w:rFonts w:eastAsia="Times New Roman"/>
          <w:sz w:val="24"/>
          <w:szCs w:val="24"/>
        </w:rPr>
      </w:pPr>
      <w:r w:rsidRPr="00D462EB">
        <w:rPr>
          <w:rFonts w:eastAsia="Times New Roman"/>
          <w:sz w:val="24"/>
          <w:szCs w:val="24"/>
          <w:u w:val="single"/>
        </w:rPr>
        <w:t>Membrane Filtration</w:t>
      </w:r>
      <w:r w:rsidRPr="00D462EB">
        <w:rPr>
          <w:rFonts w:eastAsia="Times New Roman"/>
          <w:sz w:val="24"/>
          <w:szCs w:val="24"/>
        </w:rPr>
        <w:t>. A groundwater system that uses Membrane Filtration to meet the requirements of 310 CMR 22.26 must monitor the Membrane Filtration process in accordance with all Department-specified monitoring requirements and</w:t>
      </w:r>
      <w:r>
        <w:rPr>
          <w:rFonts w:eastAsia="Times New Roman"/>
          <w:sz w:val="24"/>
          <w:szCs w:val="24"/>
        </w:rPr>
        <w:t xml:space="preserve"> must operate the Membrane Filtration in accordance with all Department-specified compliance requirements. A groundwater system that uses Membrane Filtration is in compliance with the requirement to achieve at least 4-log removal of Viruses when:</w:t>
      </w:r>
    </w:p>
    <w:p w14:paraId="281A78B9" w14:textId="77777777" w:rsidR="004647B9" w:rsidRDefault="00E2436F" w:rsidP="00563A54">
      <w:pPr>
        <w:numPr>
          <w:ilvl w:val="2"/>
          <w:numId w:val="906"/>
        </w:numPr>
        <w:tabs>
          <w:tab w:val="left" w:pos="3064"/>
        </w:tabs>
        <w:ind w:left="2700" w:hanging="5"/>
        <w:jc w:val="both"/>
        <w:rPr>
          <w:rFonts w:eastAsia="Times New Roman"/>
          <w:sz w:val="24"/>
          <w:szCs w:val="24"/>
        </w:rPr>
      </w:pPr>
      <w:r>
        <w:rPr>
          <w:rFonts w:eastAsia="Times New Roman"/>
          <w:sz w:val="24"/>
          <w:szCs w:val="24"/>
        </w:rPr>
        <w:t>The membrane has an absolute molecular weight cut-off (MWCO), or an alternate parameter that describes the exclusion characteristics of the membrane, that can reliably achieve at least 4-log removal of Viruses;</w:t>
      </w:r>
    </w:p>
    <w:p w14:paraId="281A78BA" w14:textId="77777777" w:rsidR="004647B9" w:rsidRDefault="004647B9">
      <w:pPr>
        <w:sectPr w:rsidR="004647B9" w:rsidSect="00EF630C">
          <w:pgSz w:w="12240" w:h="20180"/>
          <w:pgMar w:top="708" w:right="1440" w:bottom="1114" w:left="540" w:header="0" w:footer="0" w:gutter="0"/>
          <w:cols w:space="720"/>
        </w:sectPr>
      </w:pPr>
    </w:p>
    <w:p w14:paraId="281A78BB" w14:textId="77777777" w:rsidR="004647B9" w:rsidRPr="00D462EB" w:rsidRDefault="00E2436F" w:rsidP="00D462EB">
      <w:pPr>
        <w:tabs>
          <w:tab w:val="left" w:pos="160"/>
        </w:tabs>
        <w:ind w:right="-59"/>
        <w:jc w:val="center"/>
        <w:rPr>
          <w:sz w:val="24"/>
          <w:szCs w:val="24"/>
        </w:rPr>
      </w:pPr>
      <w:bookmarkStart w:id="347" w:name="page350"/>
      <w:bookmarkEnd w:id="347"/>
      <w:r w:rsidRPr="00D462EB">
        <w:rPr>
          <w:rFonts w:eastAsia="Times New Roman"/>
          <w:sz w:val="24"/>
          <w:szCs w:val="24"/>
        </w:rPr>
        <w:lastRenderedPageBreak/>
        <w:t>310 CMR:</w:t>
      </w:r>
      <w:r w:rsidRPr="00D462EB">
        <w:rPr>
          <w:sz w:val="24"/>
          <w:szCs w:val="24"/>
        </w:rPr>
        <w:tab/>
      </w:r>
      <w:r w:rsidRPr="00D462EB">
        <w:rPr>
          <w:rFonts w:eastAsia="Times New Roman"/>
          <w:sz w:val="24"/>
          <w:szCs w:val="24"/>
        </w:rPr>
        <w:t>DEPARTMENT OF ENVIRONMENTAL PROTECTION</w:t>
      </w:r>
    </w:p>
    <w:p w14:paraId="281A78BC" w14:textId="77777777" w:rsidR="004647B9" w:rsidRPr="003D4388" w:rsidRDefault="004647B9" w:rsidP="00D462EB">
      <w:pPr>
        <w:rPr>
          <w:sz w:val="20"/>
          <w:szCs w:val="20"/>
        </w:rPr>
      </w:pPr>
    </w:p>
    <w:p w14:paraId="281A78BD" w14:textId="77777777" w:rsidR="004647B9" w:rsidRPr="003D4388" w:rsidRDefault="004647B9" w:rsidP="00D462EB">
      <w:pPr>
        <w:rPr>
          <w:sz w:val="20"/>
          <w:szCs w:val="20"/>
        </w:rPr>
      </w:pPr>
    </w:p>
    <w:p w14:paraId="281A78BE" w14:textId="77777777" w:rsidR="004647B9" w:rsidRPr="00D462EB" w:rsidRDefault="00E2436F" w:rsidP="00D462EB">
      <w:pPr>
        <w:tabs>
          <w:tab w:val="left" w:pos="760"/>
        </w:tabs>
        <w:rPr>
          <w:sz w:val="24"/>
          <w:szCs w:val="24"/>
        </w:rPr>
      </w:pPr>
      <w:r w:rsidRPr="00D462EB">
        <w:rPr>
          <w:rFonts w:eastAsia="Times New Roman"/>
          <w:sz w:val="24"/>
          <w:szCs w:val="24"/>
        </w:rPr>
        <w:t>22.26:</w:t>
      </w:r>
      <w:r w:rsidRPr="00D462EB">
        <w:rPr>
          <w:rFonts w:eastAsia="Times New Roman"/>
          <w:sz w:val="24"/>
          <w:szCs w:val="24"/>
        </w:rPr>
        <w:tab/>
        <w:t>continued</w:t>
      </w:r>
    </w:p>
    <w:p w14:paraId="281A78BF" w14:textId="77777777" w:rsidR="004647B9" w:rsidRPr="003D4388" w:rsidRDefault="004647B9" w:rsidP="00D462EB">
      <w:pPr>
        <w:rPr>
          <w:sz w:val="20"/>
          <w:szCs w:val="20"/>
        </w:rPr>
      </w:pPr>
    </w:p>
    <w:p w14:paraId="281A78C0" w14:textId="77777777" w:rsidR="004647B9" w:rsidRPr="00D462EB" w:rsidRDefault="00E2436F" w:rsidP="00563A54">
      <w:pPr>
        <w:numPr>
          <w:ilvl w:val="4"/>
          <w:numId w:val="907"/>
        </w:numPr>
        <w:tabs>
          <w:tab w:val="left" w:pos="3037"/>
        </w:tabs>
        <w:ind w:left="2700" w:hanging="5"/>
        <w:rPr>
          <w:rFonts w:eastAsia="Times New Roman"/>
          <w:sz w:val="24"/>
          <w:szCs w:val="24"/>
        </w:rPr>
      </w:pPr>
      <w:r w:rsidRPr="00D462EB">
        <w:rPr>
          <w:rFonts w:eastAsia="Times New Roman"/>
          <w:sz w:val="24"/>
          <w:szCs w:val="24"/>
        </w:rPr>
        <w:t>The membrane process is operated in accordance with Department-specified compliance requirements; and</w:t>
      </w:r>
    </w:p>
    <w:p w14:paraId="281A78C2" w14:textId="77777777" w:rsidR="004647B9" w:rsidRPr="00D462EB" w:rsidRDefault="00E2436F" w:rsidP="00563A54">
      <w:pPr>
        <w:numPr>
          <w:ilvl w:val="4"/>
          <w:numId w:val="907"/>
        </w:numPr>
        <w:tabs>
          <w:tab w:val="left" w:pos="3140"/>
        </w:tabs>
        <w:ind w:left="3140" w:hanging="445"/>
        <w:rPr>
          <w:rFonts w:eastAsia="Times New Roman"/>
          <w:sz w:val="24"/>
          <w:szCs w:val="24"/>
        </w:rPr>
      </w:pPr>
      <w:r w:rsidRPr="00D462EB">
        <w:rPr>
          <w:rFonts w:eastAsia="Times New Roman"/>
          <w:sz w:val="24"/>
          <w:szCs w:val="24"/>
        </w:rPr>
        <w:t>The integrity of the membrane is intact.</w:t>
      </w:r>
    </w:p>
    <w:p w14:paraId="281A78C4" w14:textId="77777777" w:rsidR="004647B9" w:rsidRPr="00D462EB" w:rsidRDefault="00E2436F" w:rsidP="00563A54">
      <w:pPr>
        <w:numPr>
          <w:ilvl w:val="3"/>
          <w:numId w:val="908"/>
        </w:numPr>
        <w:tabs>
          <w:tab w:val="left" w:pos="2665"/>
        </w:tabs>
        <w:ind w:left="2340" w:hanging="5"/>
        <w:jc w:val="both"/>
        <w:rPr>
          <w:rFonts w:eastAsia="Times New Roman"/>
          <w:sz w:val="24"/>
          <w:szCs w:val="24"/>
        </w:rPr>
      </w:pPr>
      <w:r w:rsidRPr="00D462EB">
        <w:rPr>
          <w:rFonts w:eastAsia="Times New Roman"/>
          <w:sz w:val="24"/>
          <w:szCs w:val="24"/>
          <w:u w:val="single"/>
        </w:rPr>
        <w:t>Alternative Treatment</w:t>
      </w:r>
      <w:r w:rsidRPr="00D462EB">
        <w:rPr>
          <w:rFonts w:eastAsia="Times New Roman"/>
          <w:sz w:val="24"/>
          <w:szCs w:val="24"/>
        </w:rPr>
        <w:t>. A groundwater system that uses a Department-approved alternative treatment to meet the requirements of 310 CMR 22.26 by providing at least 4-log treatment of Viruses (using inactivation, removal, or a Department-approved combination of 4-log Virus inactivation and removal) before or at the first customer must:</w:t>
      </w:r>
    </w:p>
    <w:p w14:paraId="281A78C6" w14:textId="77777777" w:rsidR="004647B9" w:rsidRPr="00D462EB" w:rsidRDefault="00E2436F" w:rsidP="00563A54">
      <w:pPr>
        <w:numPr>
          <w:ilvl w:val="4"/>
          <w:numId w:val="908"/>
        </w:numPr>
        <w:tabs>
          <w:tab w:val="left" w:pos="2947"/>
        </w:tabs>
        <w:ind w:left="2700" w:hanging="5"/>
        <w:rPr>
          <w:rFonts w:eastAsia="Times New Roman"/>
          <w:sz w:val="24"/>
          <w:szCs w:val="24"/>
        </w:rPr>
      </w:pPr>
      <w:r w:rsidRPr="00D462EB">
        <w:rPr>
          <w:rFonts w:eastAsia="Times New Roman"/>
          <w:sz w:val="24"/>
          <w:szCs w:val="24"/>
        </w:rPr>
        <w:t>Monitor the alternative treatment in accordance with all Department-specified monitoring requirements; and</w:t>
      </w:r>
    </w:p>
    <w:p w14:paraId="281A78C7" w14:textId="77777777" w:rsidR="004647B9" w:rsidRPr="00D462EB" w:rsidRDefault="00E2436F" w:rsidP="00563A54">
      <w:pPr>
        <w:numPr>
          <w:ilvl w:val="4"/>
          <w:numId w:val="908"/>
        </w:numPr>
        <w:tabs>
          <w:tab w:val="left" w:pos="3268"/>
        </w:tabs>
        <w:ind w:left="2700" w:hanging="5"/>
        <w:jc w:val="both"/>
        <w:rPr>
          <w:rFonts w:eastAsia="Times New Roman"/>
          <w:sz w:val="24"/>
          <w:szCs w:val="24"/>
        </w:rPr>
      </w:pPr>
      <w:r w:rsidRPr="00D462EB">
        <w:rPr>
          <w:rFonts w:eastAsia="Times New Roman"/>
          <w:sz w:val="24"/>
          <w:szCs w:val="24"/>
        </w:rPr>
        <w:t>Operate the alternative treatment in accordance with all compliance requirements that the Department determines to be necessary to achieve at least 4-log treatment of Viruses.</w:t>
      </w:r>
    </w:p>
    <w:p w14:paraId="281A78C9" w14:textId="77777777" w:rsidR="004647B9" w:rsidRPr="00D462EB" w:rsidRDefault="00E2436F" w:rsidP="00563A54">
      <w:pPr>
        <w:numPr>
          <w:ilvl w:val="1"/>
          <w:numId w:val="909"/>
        </w:numPr>
        <w:tabs>
          <w:tab w:val="left" w:pos="2071"/>
        </w:tabs>
        <w:ind w:left="1620" w:hanging="5"/>
        <w:jc w:val="both"/>
        <w:rPr>
          <w:rFonts w:eastAsia="Times New Roman"/>
          <w:sz w:val="24"/>
          <w:szCs w:val="24"/>
        </w:rPr>
      </w:pPr>
      <w:r w:rsidRPr="00D462EB">
        <w:rPr>
          <w:rFonts w:eastAsia="Times New Roman"/>
          <w:sz w:val="24"/>
          <w:szCs w:val="24"/>
          <w:u w:val="single"/>
        </w:rPr>
        <w:t>Discontinuing Treatment</w:t>
      </w:r>
      <w:r w:rsidRPr="00D462EB">
        <w:rPr>
          <w:rFonts w:eastAsia="Times New Roman"/>
          <w:sz w:val="24"/>
          <w:szCs w:val="24"/>
        </w:rPr>
        <w:t>. A groundwater system may discontinue 4-log treatment of Viruses (using inactivation, removal, or a Department-approved combination of 4-log Virus inactivation and removal) before or at the first customer for a groundwater source if the Department determines and documents in writing that 4-log treatment of Viruses is no longer necessary for that groundwater source. A system that discontinues 4-log treatment of Viruses is subject to the source water monitoring and analytical methods requirements of 310 CMR 22.26(3).</w:t>
      </w:r>
    </w:p>
    <w:p w14:paraId="281A78CA" w14:textId="77777777" w:rsidR="004647B9" w:rsidRPr="00D462EB" w:rsidRDefault="00E2436F" w:rsidP="00563A54">
      <w:pPr>
        <w:numPr>
          <w:ilvl w:val="1"/>
          <w:numId w:val="909"/>
        </w:numPr>
        <w:tabs>
          <w:tab w:val="left" w:pos="2078"/>
        </w:tabs>
        <w:ind w:left="1620" w:hanging="5"/>
        <w:jc w:val="both"/>
        <w:rPr>
          <w:rFonts w:eastAsia="Times New Roman"/>
          <w:sz w:val="24"/>
          <w:szCs w:val="24"/>
        </w:rPr>
      </w:pPr>
      <w:r w:rsidRPr="00D462EB">
        <w:rPr>
          <w:rFonts w:eastAsia="Times New Roman"/>
          <w:sz w:val="24"/>
          <w:szCs w:val="24"/>
        </w:rPr>
        <w:t>Failure to meet the monitoring requirements of 310 CMR 22.26(4)(b) is a monitoring violation and requires the groundwater system to provide public notification under 310 CMR 22.16(4).</w:t>
      </w:r>
    </w:p>
    <w:p w14:paraId="281A78CB" w14:textId="77777777" w:rsidR="004647B9" w:rsidRPr="00D462EB" w:rsidRDefault="004647B9" w:rsidP="00D462EB">
      <w:pPr>
        <w:rPr>
          <w:rFonts w:eastAsia="Times New Roman"/>
          <w:sz w:val="24"/>
          <w:szCs w:val="24"/>
        </w:rPr>
      </w:pPr>
    </w:p>
    <w:p w14:paraId="281A78CC" w14:textId="77777777" w:rsidR="004647B9" w:rsidRPr="00D462EB" w:rsidRDefault="00E2436F" w:rsidP="00563A54">
      <w:pPr>
        <w:numPr>
          <w:ilvl w:val="0"/>
          <w:numId w:val="910"/>
        </w:numPr>
        <w:tabs>
          <w:tab w:val="left" w:pos="1720"/>
        </w:tabs>
        <w:ind w:left="1720" w:hanging="460"/>
        <w:rPr>
          <w:rFonts w:eastAsia="Times New Roman"/>
          <w:sz w:val="24"/>
          <w:szCs w:val="24"/>
        </w:rPr>
      </w:pPr>
      <w:r w:rsidRPr="00D462EB">
        <w:rPr>
          <w:rFonts w:eastAsia="Times New Roman"/>
          <w:sz w:val="24"/>
          <w:szCs w:val="24"/>
          <w:u w:val="single"/>
        </w:rPr>
        <w:t>Treatment Technique Violations for Groundwater Systems</w:t>
      </w:r>
      <w:r w:rsidRPr="00D462EB">
        <w:rPr>
          <w:rFonts w:eastAsia="Times New Roman"/>
          <w:sz w:val="24"/>
          <w:szCs w:val="24"/>
        </w:rPr>
        <w:t>.</w:t>
      </w:r>
    </w:p>
    <w:p w14:paraId="281A78CE" w14:textId="77777777" w:rsidR="004647B9" w:rsidRPr="00D462EB" w:rsidRDefault="00E2436F" w:rsidP="00563A54">
      <w:pPr>
        <w:numPr>
          <w:ilvl w:val="1"/>
          <w:numId w:val="910"/>
        </w:numPr>
        <w:tabs>
          <w:tab w:val="left" w:pos="2100"/>
        </w:tabs>
        <w:ind w:left="1620" w:hanging="5"/>
        <w:jc w:val="both"/>
        <w:rPr>
          <w:rFonts w:eastAsia="Times New Roman"/>
          <w:sz w:val="24"/>
          <w:szCs w:val="24"/>
        </w:rPr>
      </w:pPr>
      <w:r w:rsidRPr="00D462EB">
        <w:rPr>
          <w:rFonts w:eastAsia="Times New Roman"/>
          <w:sz w:val="24"/>
          <w:szCs w:val="24"/>
        </w:rPr>
        <w:t>A groundwater system with a Significant Deficiency is in violation of the Treatment Technique requirement if, within 120 days (or earlier if directed by the Department) of receiving written notice from the Department of the Significant Deficiency, the system:</w:t>
      </w:r>
    </w:p>
    <w:p w14:paraId="281A78D0" w14:textId="77777777" w:rsidR="004647B9" w:rsidRPr="00D462EB" w:rsidRDefault="00E2436F" w:rsidP="00563A54">
      <w:pPr>
        <w:numPr>
          <w:ilvl w:val="2"/>
          <w:numId w:val="910"/>
        </w:numPr>
        <w:tabs>
          <w:tab w:val="left" w:pos="2333"/>
        </w:tabs>
        <w:ind w:left="1980" w:hanging="5"/>
        <w:jc w:val="both"/>
        <w:rPr>
          <w:rFonts w:eastAsia="Times New Roman"/>
          <w:sz w:val="24"/>
          <w:szCs w:val="24"/>
        </w:rPr>
      </w:pPr>
      <w:r w:rsidRPr="00D462EB">
        <w:rPr>
          <w:rFonts w:eastAsia="Times New Roman"/>
          <w:sz w:val="24"/>
          <w:szCs w:val="24"/>
        </w:rPr>
        <w:t>Does not complete corrective action in accordance with any applicable Department plan review processes or other Department guidance and direction, including Department specified interim actions and measures, or</w:t>
      </w:r>
    </w:p>
    <w:p w14:paraId="281A78D2" w14:textId="77777777" w:rsidR="004647B9" w:rsidRPr="00D462EB" w:rsidRDefault="00E2436F" w:rsidP="00563A54">
      <w:pPr>
        <w:numPr>
          <w:ilvl w:val="2"/>
          <w:numId w:val="910"/>
        </w:numPr>
        <w:tabs>
          <w:tab w:val="left" w:pos="2484"/>
        </w:tabs>
        <w:ind w:left="1980" w:hanging="5"/>
        <w:rPr>
          <w:rFonts w:eastAsia="Times New Roman"/>
          <w:sz w:val="24"/>
          <w:szCs w:val="24"/>
        </w:rPr>
      </w:pPr>
      <w:r w:rsidRPr="00D462EB">
        <w:rPr>
          <w:rFonts w:eastAsia="Times New Roman"/>
          <w:sz w:val="24"/>
          <w:szCs w:val="24"/>
        </w:rPr>
        <w:t>Is not in compliance with a Department-approved corrective action plan and schedule.</w:t>
      </w:r>
    </w:p>
    <w:p w14:paraId="281A78D3" w14:textId="77777777" w:rsidR="004647B9" w:rsidRPr="00D462EB" w:rsidRDefault="00E2436F" w:rsidP="00563A54">
      <w:pPr>
        <w:numPr>
          <w:ilvl w:val="1"/>
          <w:numId w:val="910"/>
        </w:numPr>
        <w:tabs>
          <w:tab w:val="left" w:pos="2023"/>
        </w:tabs>
        <w:ind w:left="1620" w:hanging="5"/>
        <w:jc w:val="both"/>
        <w:rPr>
          <w:rFonts w:eastAsia="Times New Roman"/>
          <w:sz w:val="24"/>
          <w:szCs w:val="24"/>
        </w:rPr>
      </w:pPr>
      <w:r w:rsidRPr="00D462EB">
        <w:rPr>
          <w:rFonts w:eastAsia="Times New Roman"/>
          <w:sz w:val="24"/>
          <w:szCs w:val="24"/>
        </w:rPr>
        <w:t>Unless the Department invalidates a fecal indicator-positive groundwater source sample under 310 CMR 22.26(3)(d), a groundwater system is in violation of the Treatment Technique requirement if, within 120 days (or earlier if directed by the Department of meeting the conditions of 310 CMR 22.26(4)(a)1. or 2., the system:</w:t>
      </w:r>
    </w:p>
    <w:p w14:paraId="281A78D4" w14:textId="77777777" w:rsidR="004647B9" w:rsidRPr="00D462EB" w:rsidRDefault="00E2436F" w:rsidP="00563A54">
      <w:pPr>
        <w:numPr>
          <w:ilvl w:val="2"/>
          <w:numId w:val="910"/>
        </w:numPr>
        <w:tabs>
          <w:tab w:val="left" w:pos="2330"/>
        </w:tabs>
        <w:ind w:left="1980" w:hanging="5"/>
        <w:jc w:val="both"/>
        <w:rPr>
          <w:rFonts w:eastAsia="Times New Roman"/>
          <w:sz w:val="24"/>
          <w:szCs w:val="24"/>
        </w:rPr>
      </w:pPr>
      <w:r w:rsidRPr="00D462EB">
        <w:rPr>
          <w:rFonts w:eastAsia="Times New Roman"/>
          <w:sz w:val="24"/>
          <w:szCs w:val="24"/>
        </w:rPr>
        <w:t>Does not complete corrective action in accordance with any applicable Department plan review processes or other Department guidance and direction, including Department-specified interim measures, or</w:t>
      </w:r>
    </w:p>
    <w:p w14:paraId="281A78D6" w14:textId="77777777" w:rsidR="004647B9" w:rsidRPr="00D462EB" w:rsidRDefault="00E2436F" w:rsidP="00563A54">
      <w:pPr>
        <w:numPr>
          <w:ilvl w:val="2"/>
          <w:numId w:val="910"/>
        </w:numPr>
        <w:tabs>
          <w:tab w:val="left" w:pos="2484"/>
        </w:tabs>
        <w:ind w:left="1980" w:hanging="5"/>
        <w:rPr>
          <w:rFonts w:eastAsia="Times New Roman"/>
          <w:sz w:val="24"/>
          <w:szCs w:val="24"/>
        </w:rPr>
      </w:pPr>
      <w:r w:rsidRPr="00D462EB">
        <w:rPr>
          <w:rFonts w:eastAsia="Times New Roman"/>
          <w:sz w:val="24"/>
          <w:szCs w:val="24"/>
        </w:rPr>
        <w:t>Is not in compliance with a Department-approved corrective action plan and schedule.</w:t>
      </w:r>
    </w:p>
    <w:p w14:paraId="281A78D7" w14:textId="77777777" w:rsidR="004647B9" w:rsidRPr="00D462EB" w:rsidRDefault="00E2436F" w:rsidP="00563A54">
      <w:pPr>
        <w:numPr>
          <w:ilvl w:val="1"/>
          <w:numId w:val="910"/>
        </w:numPr>
        <w:tabs>
          <w:tab w:val="left" w:pos="2044"/>
        </w:tabs>
        <w:ind w:left="1620" w:hanging="5"/>
        <w:jc w:val="both"/>
        <w:rPr>
          <w:rFonts w:eastAsia="Times New Roman"/>
          <w:sz w:val="24"/>
          <w:szCs w:val="24"/>
        </w:rPr>
      </w:pPr>
      <w:r w:rsidRPr="00D462EB">
        <w:rPr>
          <w:rFonts w:eastAsia="Times New Roman"/>
          <w:sz w:val="24"/>
          <w:szCs w:val="24"/>
        </w:rPr>
        <w:t>A groundwater system subject to the requirements of 310 CMR 22.26(4)(b)3. that fails to maintain at least 4-log treatment of Viruses (using inactivation, removal, or a Department-approved combination of 4-log Virus inactivation and removal) before or at the first customer for a groundwater source is in violation of the Treatment Technique requirement if the failure is not corrected within four hours of determining the system is not maintaining at least 4-log treatment of Viruses before or at the first customer.</w:t>
      </w:r>
    </w:p>
    <w:p w14:paraId="281A78D9" w14:textId="77777777" w:rsidR="004647B9" w:rsidRPr="00D462EB" w:rsidRDefault="00E2436F" w:rsidP="00563A54">
      <w:pPr>
        <w:numPr>
          <w:ilvl w:val="1"/>
          <w:numId w:val="910"/>
        </w:numPr>
        <w:tabs>
          <w:tab w:val="left" w:pos="2173"/>
        </w:tabs>
        <w:ind w:left="1620" w:hanging="5"/>
        <w:rPr>
          <w:rFonts w:eastAsia="Times New Roman"/>
          <w:sz w:val="24"/>
          <w:szCs w:val="24"/>
        </w:rPr>
      </w:pPr>
      <w:r w:rsidRPr="00D462EB">
        <w:rPr>
          <w:rFonts w:eastAsia="Times New Roman"/>
          <w:sz w:val="24"/>
          <w:szCs w:val="24"/>
        </w:rPr>
        <w:t>Groundwater system must give public notification under 310 CMR 22.16 for the Treatment Technique violations specified in 310 CMR 22.26(5)(a) through (c).</w:t>
      </w:r>
    </w:p>
    <w:p w14:paraId="281A78DA" w14:textId="77777777" w:rsidR="004647B9" w:rsidRPr="00D462EB" w:rsidRDefault="004647B9" w:rsidP="00D462EB">
      <w:pPr>
        <w:rPr>
          <w:rFonts w:eastAsia="Times New Roman"/>
          <w:sz w:val="24"/>
          <w:szCs w:val="24"/>
        </w:rPr>
      </w:pPr>
    </w:p>
    <w:p w14:paraId="281A78DB" w14:textId="77777777" w:rsidR="004647B9" w:rsidRPr="00D462EB" w:rsidRDefault="00E2436F" w:rsidP="00563A54">
      <w:pPr>
        <w:numPr>
          <w:ilvl w:val="0"/>
          <w:numId w:val="910"/>
        </w:numPr>
        <w:tabs>
          <w:tab w:val="left" w:pos="1720"/>
        </w:tabs>
        <w:ind w:left="1720" w:hanging="460"/>
        <w:rPr>
          <w:rFonts w:eastAsia="Times New Roman"/>
          <w:sz w:val="24"/>
          <w:szCs w:val="24"/>
        </w:rPr>
      </w:pPr>
      <w:r w:rsidRPr="00D462EB">
        <w:rPr>
          <w:rFonts w:eastAsia="Times New Roman"/>
          <w:sz w:val="24"/>
          <w:szCs w:val="24"/>
          <w:u w:val="single"/>
        </w:rPr>
        <w:t>Reporting and Recordkeeping for Groundwater Systems</w:t>
      </w:r>
      <w:r w:rsidRPr="00D462EB">
        <w:rPr>
          <w:rFonts w:eastAsia="Times New Roman"/>
          <w:sz w:val="24"/>
          <w:szCs w:val="24"/>
        </w:rPr>
        <w:t>.</w:t>
      </w:r>
    </w:p>
    <w:p w14:paraId="281A78DD" w14:textId="77777777" w:rsidR="004647B9" w:rsidRPr="00D462EB" w:rsidRDefault="00E2436F" w:rsidP="00563A54">
      <w:pPr>
        <w:numPr>
          <w:ilvl w:val="1"/>
          <w:numId w:val="910"/>
        </w:numPr>
        <w:tabs>
          <w:tab w:val="left" w:pos="2064"/>
        </w:tabs>
        <w:ind w:left="1620" w:hanging="5"/>
        <w:jc w:val="both"/>
        <w:rPr>
          <w:rFonts w:eastAsia="Times New Roman"/>
          <w:sz w:val="24"/>
          <w:szCs w:val="24"/>
        </w:rPr>
      </w:pPr>
      <w:r w:rsidRPr="00D462EB">
        <w:rPr>
          <w:rFonts w:eastAsia="Times New Roman"/>
          <w:sz w:val="24"/>
          <w:szCs w:val="24"/>
          <w:u w:val="single"/>
        </w:rPr>
        <w:t>Reporting</w:t>
      </w:r>
      <w:r w:rsidRPr="00D462EB">
        <w:rPr>
          <w:rFonts w:eastAsia="Times New Roman"/>
          <w:sz w:val="24"/>
          <w:szCs w:val="24"/>
        </w:rPr>
        <w:t>. In addition to the requirements of 310 CMR 22.15, a groundwater system regulated under 310 CMR 22.26 must provide the following information to the Department:</w:t>
      </w:r>
    </w:p>
    <w:p w14:paraId="281A78DE" w14:textId="77777777" w:rsidR="004647B9" w:rsidRDefault="004647B9">
      <w:pPr>
        <w:sectPr w:rsidR="004647B9" w:rsidSect="00EF630C">
          <w:pgSz w:w="12240" w:h="20180"/>
          <w:pgMar w:top="708" w:right="1440" w:bottom="1440" w:left="540" w:header="0" w:footer="0" w:gutter="0"/>
          <w:cols w:space="720"/>
        </w:sectPr>
      </w:pPr>
    </w:p>
    <w:p w14:paraId="281A78DF" w14:textId="77777777" w:rsidR="004647B9" w:rsidRPr="00A36002" w:rsidRDefault="00E2436F" w:rsidP="00A36002">
      <w:pPr>
        <w:tabs>
          <w:tab w:val="left" w:pos="160"/>
        </w:tabs>
        <w:ind w:right="-59"/>
        <w:jc w:val="center"/>
        <w:rPr>
          <w:sz w:val="24"/>
          <w:szCs w:val="24"/>
        </w:rPr>
      </w:pPr>
      <w:bookmarkStart w:id="348" w:name="page351"/>
      <w:bookmarkEnd w:id="348"/>
      <w:r w:rsidRPr="00A36002">
        <w:rPr>
          <w:rFonts w:eastAsia="Times New Roman"/>
          <w:sz w:val="24"/>
          <w:szCs w:val="24"/>
        </w:rPr>
        <w:lastRenderedPageBreak/>
        <w:t>310 CMR:</w:t>
      </w:r>
      <w:r w:rsidRPr="00A36002">
        <w:rPr>
          <w:sz w:val="24"/>
          <w:szCs w:val="24"/>
        </w:rPr>
        <w:tab/>
      </w:r>
      <w:r w:rsidRPr="00A36002">
        <w:rPr>
          <w:rFonts w:eastAsia="Times New Roman"/>
          <w:sz w:val="24"/>
          <w:szCs w:val="24"/>
        </w:rPr>
        <w:t>DEPARTMENT OF ENVIRONMENTAL PROTECTION</w:t>
      </w:r>
    </w:p>
    <w:p w14:paraId="281A78E0" w14:textId="77777777" w:rsidR="004647B9" w:rsidRPr="003D4388" w:rsidRDefault="004647B9" w:rsidP="00A36002">
      <w:pPr>
        <w:rPr>
          <w:sz w:val="20"/>
          <w:szCs w:val="20"/>
        </w:rPr>
      </w:pPr>
    </w:p>
    <w:p w14:paraId="281A78E1" w14:textId="77777777" w:rsidR="004647B9" w:rsidRPr="003D4388" w:rsidRDefault="004647B9" w:rsidP="00A36002">
      <w:pPr>
        <w:rPr>
          <w:sz w:val="20"/>
          <w:szCs w:val="20"/>
        </w:rPr>
      </w:pPr>
    </w:p>
    <w:p w14:paraId="281A78E2" w14:textId="77777777" w:rsidR="004647B9" w:rsidRPr="00A36002" w:rsidRDefault="00E2436F" w:rsidP="00A36002">
      <w:pPr>
        <w:tabs>
          <w:tab w:val="left" w:pos="760"/>
        </w:tabs>
        <w:rPr>
          <w:sz w:val="24"/>
          <w:szCs w:val="24"/>
        </w:rPr>
      </w:pPr>
      <w:r w:rsidRPr="00A36002">
        <w:rPr>
          <w:rFonts w:eastAsia="Times New Roman"/>
          <w:sz w:val="24"/>
          <w:szCs w:val="24"/>
        </w:rPr>
        <w:t>22.26:</w:t>
      </w:r>
      <w:r w:rsidRPr="00A36002">
        <w:rPr>
          <w:rFonts w:eastAsia="Times New Roman"/>
          <w:sz w:val="24"/>
          <w:szCs w:val="24"/>
        </w:rPr>
        <w:tab/>
        <w:t>continued</w:t>
      </w:r>
    </w:p>
    <w:p w14:paraId="281A78E3" w14:textId="77777777" w:rsidR="004647B9" w:rsidRPr="003D4388" w:rsidRDefault="004647B9" w:rsidP="00A36002">
      <w:pPr>
        <w:rPr>
          <w:sz w:val="20"/>
          <w:szCs w:val="20"/>
        </w:rPr>
      </w:pPr>
    </w:p>
    <w:p w14:paraId="281A78E4" w14:textId="77777777" w:rsidR="004647B9" w:rsidRPr="00A36002" w:rsidRDefault="00E2436F" w:rsidP="00563A54">
      <w:pPr>
        <w:numPr>
          <w:ilvl w:val="1"/>
          <w:numId w:val="911"/>
        </w:numPr>
        <w:tabs>
          <w:tab w:val="left" w:pos="2534"/>
        </w:tabs>
        <w:ind w:left="1980" w:hanging="5"/>
        <w:jc w:val="both"/>
        <w:rPr>
          <w:rFonts w:eastAsia="Times New Roman"/>
          <w:sz w:val="24"/>
          <w:szCs w:val="24"/>
        </w:rPr>
      </w:pPr>
      <w:r w:rsidRPr="00A36002">
        <w:rPr>
          <w:rFonts w:eastAsia="Times New Roman"/>
          <w:sz w:val="24"/>
          <w:szCs w:val="24"/>
        </w:rPr>
        <w:t>A groundwater system conducting compliance monitoring under 310 CMR 22.26(4)(b) must notify the Department any time the system fails to meet any Department-specified requirements including, but not limited to, minimum Residual Disinfectant Concentration, membrane operating criteria or membrane integrity, and alternative treatment operating criteria, if operation in accordance with the criteria or requirements is not restored within four hours. The groundwater system must notify the Department as soon as possible, but in no case later than the end of the next business day.</w:t>
      </w:r>
    </w:p>
    <w:p w14:paraId="281A78E6" w14:textId="77777777" w:rsidR="004647B9" w:rsidRPr="00A36002" w:rsidRDefault="00E2436F" w:rsidP="00563A54">
      <w:pPr>
        <w:numPr>
          <w:ilvl w:val="1"/>
          <w:numId w:val="911"/>
        </w:numPr>
        <w:tabs>
          <w:tab w:val="left" w:pos="2333"/>
        </w:tabs>
        <w:ind w:left="1980" w:hanging="5"/>
        <w:jc w:val="both"/>
        <w:rPr>
          <w:rFonts w:eastAsia="Times New Roman"/>
          <w:sz w:val="24"/>
          <w:szCs w:val="24"/>
        </w:rPr>
      </w:pPr>
      <w:r w:rsidRPr="00A36002">
        <w:rPr>
          <w:rFonts w:eastAsia="Times New Roman"/>
          <w:sz w:val="24"/>
          <w:szCs w:val="24"/>
        </w:rPr>
        <w:t>After completing any corrective action under 310 CMR 22.26(4)(a), a groundwater system must notify the Department within 30 days of completion of the corrective action.</w:t>
      </w:r>
    </w:p>
    <w:p w14:paraId="281A78E8" w14:textId="77777777" w:rsidR="004647B9" w:rsidRPr="00A36002" w:rsidRDefault="00E2436F" w:rsidP="00563A54">
      <w:pPr>
        <w:numPr>
          <w:ilvl w:val="1"/>
          <w:numId w:val="911"/>
        </w:numPr>
        <w:tabs>
          <w:tab w:val="left" w:pos="2347"/>
        </w:tabs>
        <w:ind w:left="1980" w:hanging="5"/>
        <w:jc w:val="both"/>
        <w:rPr>
          <w:rFonts w:eastAsia="Times New Roman"/>
          <w:sz w:val="24"/>
          <w:szCs w:val="24"/>
        </w:rPr>
      </w:pPr>
      <w:r w:rsidRPr="00A36002">
        <w:rPr>
          <w:rFonts w:eastAsia="Times New Roman"/>
          <w:sz w:val="24"/>
          <w:szCs w:val="24"/>
        </w:rPr>
        <w:t>If a groundwater system subject to the requirements of 310 CMR 22.26(3)(a) does not conduct source water monitoring under 310 CMR 22.26(3)(a)6.b., the system must provide documentation to the Department within 30 days of the total coliform-positive sample that it met the Department criteria.</w:t>
      </w:r>
    </w:p>
    <w:p w14:paraId="281A78E9" w14:textId="77777777" w:rsidR="004647B9" w:rsidRPr="00A36002" w:rsidRDefault="00E2436F" w:rsidP="00563A54">
      <w:pPr>
        <w:numPr>
          <w:ilvl w:val="0"/>
          <w:numId w:val="912"/>
        </w:numPr>
        <w:tabs>
          <w:tab w:val="left" w:pos="2123"/>
        </w:tabs>
        <w:ind w:left="1620" w:hanging="5"/>
        <w:jc w:val="both"/>
        <w:rPr>
          <w:rFonts w:eastAsia="Times New Roman"/>
          <w:sz w:val="24"/>
          <w:szCs w:val="24"/>
        </w:rPr>
      </w:pPr>
      <w:r w:rsidRPr="00A36002">
        <w:rPr>
          <w:rFonts w:eastAsia="Times New Roman"/>
          <w:sz w:val="24"/>
          <w:szCs w:val="24"/>
          <w:u w:val="single"/>
        </w:rPr>
        <w:t>Recordkeeping</w:t>
      </w:r>
      <w:r w:rsidRPr="00A36002">
        <w:rPr>
          <w:rFonts w:eastAsia="Times New Roman"/>
          <w:sz w:val="24"/>
          <w:szCs w:val="24"/>
        </w:rPr>
        <w:t>. In addition to the requirements of 310 CMR 22.17, a groundwater system regulated under 310 CMR 22.26 must maintain the following information in its records:</w:t>
      </w:r>
    </w:p>
    <w:p w14:paraId="281A78EB" w14:textId="77777777" w:rsidR="004647B9" w:rsidRPr="00A36002" w:rsidRDefault="00E2436F" w:rsidP="00563A54">
      <w:pPr>
        <w:numPr>
          <w:ilvl w:val="1"/>
          <w:numId w:val="912"/>
        </w:numPr>
        <w:tabs>
          <w:tab w:val="left" w:pos="2326"/>
        </w:tabs>
        <w:ind w:left="1980" w:hanging="5"/>
        <w:rPr>
          <w:rFonts w:eastAsia="Times New Roman"/>
          <w:sz w:val="24"/>
          <w:szCs w:val="24"/>
        </w:rPr>
      </w:pPr>
      <w:r w:rsidRPr="00A36002">
        <w:rPr>
          <w:rFonts w:eastAsia="Times New Roman"/>
          <w:sz w:val="24"/>
          <w:szCs w:val="24"/>
          <w:u w:val="single"/>
        </w:rPr>
        <w:t>Documentation of Corrective Actions</w:t>
      </w:r>
      <w:r w:rsidRPr="00A36002">
        <w:rPr>
          <w:rFonts w:eastAsia="Times New Roman"/>
          <w:sz w:val="24"/>
          <w:szCs w:val="24"/>
        </w:rPr>
        <w:t>. Documentation shall be kept for a period of not less than ten years.</w:t>
      </w:r>
    </w:p>
    <w:p w14:paraId="281A78EC" w14:textId="77777777" w:rsidR="004647B9" w:rsidRPr="00A36002" w:rsidRDefault="00E2436F" w:rsidP="00563A54">
      <w:pPr>
        <w:numPr>
          <w:ilvl w:val="1"/>
          <w:numId w:val="912"/>
        </w:numPr>
        <w:tabs>
          <w:tab w:val="left" w:pos="2426"/>
        </w:tabs>
        <w:ind w:left="1980" w:hanging="5"/>
        <w:rPr>
          <w:rFonts w:eastAsia="Times New Roman"/>
          <w:sz w:val="24"/>
          <w:szCs w:val="24"/>
        </w:rPr>
      </w:pPr>
      <w:r w:rsidRPr="00A36002">
        <w:rPr>
          <w:rFonts w:eastAsia="Times New Roman"/>
          <w:sz w:val="24"/>
          <w:szCs w:val="24"/>
        </w:rPr>
        <w:t>Documentation of notice to the public as required under 310 CMR 22.16A(8). Documentation shall be kept for a period of not less than three years.</w:t>
      </w:r>
    </w:p>
    <w:p w14:paraId="281A78ED" w14:textId="77777777" w:rsidR="004647B9" w:rsidRPr="00A36002" w:rsidRDefault="00E2436F" w:rsidP="00563A54">
      <w:pPr>
        <w:numPr>
          <w:ilvl w:val="1"/>
          <w:numId w:val="912"/>
        </w:numPr>
        <w:tabs>
          <w:tab w:val="left" w:pos="2318"/>
        </w:tabs>
        <w:ind w:left="1980" w:hanging="5"/>
        <w:jc w:val="both"/>
        <w:rPr>
          <w:rFonts w:eastAsia="Times New Roman"/>
          <w:sz w:val="24"/>
          <w:szCs w:val="24"/>
        </w:rPr>
      </w:pPr>
      <w:r w:rsidRPr="00A36002">
        <w:rPr>
          <w:rFonts w:eastAsia="Times New Roman"/>
          <w:sz w:val="24"/>
          <w:szCs w:val="24"/>
        </w:rPr>
        <w:t>Records of decisions under 310 CMR 22.26(3)(a)6.b. and records of invalidation of fecal indicator-positive groundwater source samples under 310 CMR 22.26(3)(d). Documentation shall be kept for a period of not less than five years.</w:t>
      </w:r>
    </w:p>
    <w:p w14:paraId="281A78EF" w14:textId="77777777" w:rsidR="004647B9" w:rsidRPr="00A36002" w:rsidRDefault="00E2436F" w:rsidP="00563A54">
      <w:pPr>
        <w:numPr>
          <w:ilvl w:val="1"/>
          <w:numId w:val="912"/>
        </w:numPr>
        <w:tabs>
          <w:tab w:val="left" w:pos="2326"/>
        </w:tabs>
        <w:ind w:left="1980" w:hanging="5"/>
        <w:jc w:val="both"/>
        <w:rPr>
          <w:rFonts w:eastAsia="Times New Roman"/>
          <w:sz w:val="24"/>
          <w:szCs w:val="24"/>
        </w:rPr>
      </w:pPr>
      <w:r w:rsidRPr="00A36002">
        <w:rPr>
          <w:rFonts w:eastAsia="Times New Roman"/>
          <w:sz w:val="24"/>
          <w:szCs w:val="24"/>
        </w:rPr>
        <w:t>For consecutive systems, documentation of notification to the Wholesale System(s) of total-coliform positive samples that are not invalidated under 310 CMR 22.05(3). Documentation shall be kept for a period of not less than five years.</w:t>
      </w:r>
    </w:p>
    <w:p w14:paraId="281A78F1" w14:textId="77777777" w:rsidR="004647B9" w:rsidRPr="00A36002" w:rsidRDefault="00E2436F" w:rsidP="00563A54">
      <w:pPr>
        <w:numPr>
          <w:ilvl w:val="1"/>
          <w:numId w:val="912"/>
        </w:numPr>
        <w:tabs>
          <w:tab w:val="left" w:pos="2318"/>
        </w:tabs>
        <w:ind w:left="1980" w:hanging="5"/>
        <w:rPr>
          <w:rFonts w:eastAsia="Times New Roman"/>
          <w:sz w:val="24"/>
          <w:szCs w:val="24"/>
        </w:rPr>
      </w:pPr>
      <w:r w:rsidRPr="00A36002">
        <w:rPr>
          <w:rFonts w:eastAsia="Times New Roman"/>
          <w:sz w:val="24"/>
          <w:szCs w:val="24"/>
        </w:rPr>
        <w:t>For systems, including Wholesale Systems, that are required to perform compliance monitoring under 310 CMR 22.26(4)(b):</w:t>
      </w:r>
    </w:p>
    <w:p w14:paraId="281A78F2" w14:textId="77777777" w:rsidR="004647B9" w:rsidRPr="00A36002" w:rsidRDefault="00E2436F" w:rsidP="00F06B53">
      <w:pPr>
        <w:numPr>
          <w:ilvl w:val="2"/>
          <w:numId w:val="912"/>
        </w:numPr>
        <w:tabs>
          <w:tab w:val="left" w:pos="2693"/>
        </w:tabs>
        <w:ind w:left="2333"/>
        <w:rPr>
          <w:rFonts w:eastAsia="Times New Roman"/>
          <w:sz w:val="24"/>
          <w:szCs w:val="24"/>
        </w:rPr>
      </w:pPr>
      <w:r w:rsidRPr="00A36002">
        <w:rPr>
          <w:rFonts w:eastAsia="Times New Roman"/>
          <w:sz w:val="24"/>
          <w:szCs w:val="24"/>
        </w:rPr>
        <w:t>Records of the Department-specified minimum Disinfectant residual. Documentation shall be kept for a period of not less than ten years.</w:t>
      </w:r>
    </w:p>
    <w:p w14:paraId="281A78F3" w14:textId="77777777" w:rsidR="004647B9" w:rsidRDefault="00E2436F" w:rsidP="00F06B53">
      <w:pPr>
        <w:numPr>
          <w:ilvl w:val="2"/>
          <w:numId w:val="912"/>
        </w:numPr>
        <w:tabs>
          <w:tab w:val="left" w:pos="2693"/>
        </w:tabs>
        <w:ind w:left="2333"/>
        <w:jc w:val="both"/>
        <w:rPr>
          <w:rFonts w:eastAsia="Times New Roman"/>
          <w:sz w:val="24"/>
          <w:szCs w:val="24"/>
        </w:rPr>
      </w:pPr>
      <w:r>
        <w:rPr>
          <w:rFonts w:eastAsia="Times New Roman"/>
          <w:sz w:val="24"/>
          <w:szCs w:val="24"/>
        </w:rPr>
        <w:t>Records of the lowest daily Residual Disinfectant Concentration and records of the date and duration of any failure to maintain the Department-prescribed minimum Residual Disinfectant Concentration for a period of more than four hours. Documentation shall be kept for a period of not less than five years.</w:t>
      </w:r>
    </w:p>
    <w:p w14:paraId="281A78F4" w14:textId="77777777" w:rsidR="004647B9" w:rsidRDefault="00E2436F" w:rsidP="00F06B53">
      <w:pPr>
        <w:numPr>
          <w:ilvl w:val="2"/>
          <w:numId w:val="912"/>
        </w:numPr>
        <w:tabs>
          <w:tab w:val="left" w:pos="2693"/>
        </w:tabs>
        <w:ind w:left="2333"/>
        <w:jc w:val="both"/>
        <w:rPr>
          <w:rFonts w:eastAsia="Times New Roman"/>
          <w:sz w:val="24"/>
          <w:szCs w:val="24"/>
        </w:rPr>
      </w:pPr>
      <w:r>
        <w:rPr>
          <w:rFonts w:eastAsia="Times New Roman"/>
          <w:sz w:val="24"/>
          <w:szCs w:val="24"/>
        </w:rPr>
        <w:t>Records of Department-specified compliance requirements for Membrane Filtration and of parameters specified by the Department for Department-approved alternative treatment and records of the date and duration of any failure to meet the membrane operating, membrane integrity, or alternative treatment operating requirements for more than four hours. Documentation shall be kept for a period of not less than five years.</w:t>
      </w:r>
    </w:p>
    <w:p w14:paraId="281A78F5" w14:textId="77777777" w:rsidR="004647B9" w:rsidRPr="00F06B53" w:rsidRDefault="004647B9" w:rsidP="00A36002">
      <w:pPr>
        <w:rPr>
          <w:sz w:val="24"/>
          <w:szCs w:val="24"/>
        </w:rPr>
      </w:pPr>
    </w:p>
    <w:p w14:paraId="281A78F6" w14:textId="77777777" w:rsidR="004647B9" w:rsidRPr="00F06B53" w:rsidRDefault="00E2436F" w:rsidP="00A36002">
      <w:pPr>
        <w:tabs>
          <w:tab w:val="left" w:pos="760"/>
        </w:tabs>
        <w:rPr>
          <w:sz w:val="24"/>
          <w:szCs w:val="24"/>
        </w:rPr>
      </w:pPr>
      <w:r w:rsidRPr="00F06B53">
        <w:rPr>
          <w:rFonts w:eastAsia="Times New Roman"/>
          <w:sz w:val="24"/>
          <w:szCs w:val="24"/>
          <w:u w:val="single"/>
        </w:rPr>
        <w:t>22.27:</w:t>
      </w:r>
      <w:r w:rsidRPr="00F06B53">
        <w:rPr>
          <w:rFonts w:eastAsia="Times New Roman"/>
          <w:sz w:val="24"/>
          <w:szCs w:val="24"/>
          <w:u w:val="single"/>
        </w:rPr>
        <w:tab/>
        <w:t>Severability</w:t>
      </w:r>
    </w:p>
    <w:p w14:paraId="281A78F7" w14:textId="77777777" w:rsidR="004647B9" w:rsidRPr="00F06B53" w:rsidRDefault="004647B9" w:rsidP="00A36002">
      <w:pPr>
        <w:rPr>
          <w:sz w:val="24"/>
          <w:szCs w:val="24"/>
        </w:rPr>
      </w:pPr>
    </w:p>
    <w:p w14:paraId="281A78F8" w14:textId="77777777" w:rsidR="004647B9" w:rsidRPr="00F06B53" w:rsidRDefault="00E2436F" w:rsidP="00A36002">
      <w:pPr>
        <w:ind w:left="1260" w:firstLine="355"/>
        <w:jc w:val="both"/>
        <w:rPr>
          <w:sz w:val="24"/>
          <w:szCs w:val="24"/>
        </w:rPr>
      </w:pPr>
      <w:r w:rsidRPr="00F06B53">
        <w:rPr>
          <w:rFonts w:eastAsia="Times New Roman"/>
          <w:sz w:val="24"/>
          <w:szCs w:val="24"/>
        </w:rPr>
        <w:t>If any provision of 310 CMR 22.00 or its application to any unit of government is held invalid, such invalidity shall not affect other provisions or applications of 310 CMR 22.00 which can be given effect without the invalid provision or application and to this end the provisions of 310 CMR 22.00 are declared to be severable.</w:t>
      </w:r>
    </w:p>
    <w:p w14:paraId="281A78F9" w14:textId="77777777" w:rsidR="004647B9" w:rsidRPr="00F06B53" w:rsidRDefault="004647B9" w:rsidP="00A36002">
      <w:pPr>
        <w:rPr>
          <w:sz w:val="24"/>
          <w:szCs w:val="24"/>
        </w:rPr>
      </w:pPr>
    </w:p>
    <w:p w14:paraId="281A78FA" w14:textId="77777777" w:rsidR="004647B9" w:rsidRPr="00F06B53" w:rsidRDefault="004647B9" w:rsidP="00A36002">
      <w:pPr>
        <w:rPr>
          <w:sz w:val="24"/>
          <w:szCs w:val="24"/>
        </w:rPr>
      </w:pPr>
    </w:p>
    <w:p w14:paraId="281A78FB" w14:textId="77777777" w:rsidR="004647B9" w:rsidRPr="00F06B53" w:rsidRDefault="00E2436F" w:rsidP="00A36002">
      <w:pPr>
        <w:rPr>
          <w:sz w:val="24"/>
          <w:szCs w:val="24"/>
        </w:rPr>
      </w:pPr>
      <w:r w:rsidRPr="00F06B53">
        <w:rPr>
          <w:rFonts w:eastAsia="Times New Roman"/>
          <w:sz w:val="24"/>
          <w:szCs w:val="24"/>
        </w:rPr>
        <w:t>REGULATORY AUTHORITY</w:t>
      </w:r>
    </w:p>
    <w:p w14:paraId="281A78FC" w14:textId="77777777" w:rsidR="004647B9" w:rsidRPr="00F06B53" w:rsidRDefault="004647B9" w:rsidP="00A36002">
      <w:pPr>
        <w:rPr>
          <w:sz w:val="24"/>
          <w:szCs w:val="24"/>
        </w:rPr>
        <w:sectPr w:rsidR="004647B9" w:rsidRPr="00F06B53" w:rsidSect="00EF630C">
          <w:pgSz w:w="12240" w:h="20180"/>
          <w:pgMar w:top="708" w:right="1440" w:bottom="1440" w:left="540" w:header="0" w:footer="0" w:gutter="0"/>
          <w:cols w:space="720"/>
        </w:sectPr>
      </w:pPr>
    </w:p>
    <w:p w14:paraId="281A78FD" w14:textId="77777777" w:rsidR="004647B9" w:rsidRPr="00F06B53" w:rsidRDefault="004647B9" w:rsidP="00A36002">
      <w:pPr>
        <w:rPr>
          <w:sz w:val="24"/>
          <w:szCs w:val="24"/>
        </w:rPr>
      </w:pPr>
    </w:p>
    <w:p w14:paraId="281A78FE" w14:textId="77777777" w:rsidR="004647B9" w:rsidRPr="007A4B3F" w:rsidRDefault="00E2436F" w:rsidP="007A4B3F">
      <w:pPr>
        <w:tabs>
          <w:tab w:val="left" w:pos="3040"/>
        </w:tabs>
        <w:ind w:left="1260"/>
        <w:rPr>
          <w:sz w:val="24"/>
          <w:szCs w:val="24"/>
        </w:rPr>
      </w:pPr>
      <w:r w:rsidRPr="007A4B3F">
        <w:rPr>
          <w:rFonts w:eastAsia="Times New Roman"/>
          <w:sz w:val="24"/>
          <w:szCs w:val="24"/>
        </w:rPr>
        <w:t>310 CMR 22.00:</w:t>
      </w:r>
      <w:r w:rsidRPr="007A4B3F">
        <w:rPr>
          <w:rFonts w:eastAsia="Times New Roman"/>
          <w:sz w:val="24"/>
          <w:szCs w:val="24"/>
        </w:rPr>
        <w:tab/>
        <w:t>M.G.L. c. 111, § 160A.</w:t>
      </w:r>
    </w:p>
    <w:p w14:paraId="281A78FF" w14:textId="77777777" w:rsidR="004647B9" w:rsidRPr="007A4B3F" w:rsidRDefault="004647B9" w:rsidP="007A4B3F">
      <w:pPr>
        <w:rPr>
          <w:sz w:val="24"/>
          <w:szCs w:val="24"/>
        </w:rPr>
        <w:sectPr w:rsidR="004647B9" w:rsidRPr="007A4B3F" w:rsidSect="00EF630C">
          <w:type w:val="continuous"/>
          <w:pgSz w:w="12240" w:h="20180"/>
          <w:pgMar w:top="708" w:right="1440" w:bottom="1440" w:left="540" w:header="0" w:footer="0" w:gutter="0"/>
          <w:cols w:space="720"/>
        </w:sectPr>
      </w:pPr>
    </w:p>
    <w:p w14:paraId="281A7900" w14:textId="77777777" w:rsidR="004647B9" w:rsidRPr="007A4B3F" w:rsidRDefault="00E2436F" w:rsidP="007A4B3F">
      <w:pPr>
        <w:tabs>
          <w:tab w:val="left" w:pos="160"/>
        </w:tabs>
        <w:ind w:right="-59"/>
        <w:jc w:val="center"/>
        <w:rPr>
          <w:sz w:val="24"/>
          <w:szCs w:val="24"/>
        </w:rPr>
      </w:pPr>
      <w:bookmarkStart w:id="349" w:name="page352"/>
      <w:bookmarkEnd w:id="349"/>
      <w:r w:rsidRPr="007A4B3F">
        <w:rPr>
          <w:rFonts w:eastAsia="Times New Roman"/>
          <w:sz w:val="24"/>
          <w:szCs w:val="24"/>
        </w:rPr>
        <w:lastRenderedPageBreak/>
        <w:t>310 CMR:</w:t>
      </w:r>
      <w:r w:rsidRPr="007A4B3F">
        <w:rPr>
          <w:sz w:val="24"/>
          <w:szCs w:val="24"/>
        </w:rPr>
        <w:tab/>
      </w:r>
      <w:r w:rsidRPr="007A4B3F">
        <w:rPr>
          <w:rFonts w:eastAsia="Times New Roman"/>
          <w:sz w:val="24"/>
          <w:szCs w:val="24"/>
        </w:rPr>
        <w:t>DEPARTMENT OF ENVIRONMENTAL PROTECTION</w:t>
      </w:r>
    </w:p>
    <w:p w14:paraId="281A7901" w14:textId="77777777" w:rsidR="004647B9" w:rsidRPr="00F06B53" w:rsidRDefault="004647B9" w:rsidP="007A4B3F">
      <w:pPr>
        <w:rPr>
          <w:sz w:val="20"/>
          <w:szCs w:val="20"/>
        </w:rPr>
      </w:pPr>
    </w:p>
    <w:p w14:paraId="281A7902" w14:textId="77777777" w:rsidR="004647B9" w:rsidRPr="00F06B53" w:rsidRDefault="004647B9" w:rsidP="007A4B3F">
      <w:pPr>
        <w:rPr>
          <w:sz w:val="20"/>
          <w:szCs w:val="20"/>
        </w:rPr>
      </w:pPr>
    </w:p>
    <w:p w14:paraId="281A7903" w14:textId="77777777" w:rsidR="004647B9" w:rsidRPr="007A4B3F" w:rsidRDefault="00E2436F" w:rsidP="007A4B3F">
      <w:pPr>
        <w:rPr>
          <w:sz w:val="24"/>
          <w:szCs w:val="24"/>
        </w:rPr>
      </w:pPr>
      <w:r w:rsidRPr="007A4B3F">
        <w:rPr>
          <w:rFonts w:eastAsia="Times New Roman"/>
          <w:sz w:val="24"/>
          <w:szCs w:val="24"/>
        </w:rPr>
        <w:t>NON-TEXT PAGE</w:t>
      </w:r>
    </w:p>
    <w:sectPr w:rsidR="004647B9" w:rsidRPr="007A4B3F" w:rsidSect="00EF630C">
      <w:pgSz w:w="12240" w:h="20180"/>
      <w:pgMar w:top="708" w:right="1440" w:bottom="1440" w:left="5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CDF4B" w14:textId="77777777" w:rsidR="005E03E1" w:rsidRDefault="005E03E1" w:rsidP="00FC4716">
      <w:r>
        <w:separator/>
      </w:r>
    </w:p>
  </w:endnote>
  <w:endnote w:type="continuationSeparator" w:id="0">
    <w:p w14:paraId="5FD1CCC3" w14:textId="77777777" w:rsidR="005E03E1" w:rsidRDefault="005E03E1" w:rsidP="00FC4716">
      <w:r>
        <w:continuationSeparator/>
      </w:r>
    </w:p>
  </w:endnote>
  <w:endnote w:type="continuationNotice" w:id="1">
    <w:p w14:paraId="0C5C5048" w14:textId="77777777" w:rsidR="005E03E1" w:rsidRDefault="005E0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CC2C3" w14:textId="77777777" w:rsidR="005E03E1" w:rsidRDefault="005E03E1" w:rsidP="00FC4716">
      <w:r>
        <w:separator/>
      </w:r>
    </w:p>
  </w:footnote>
  <w:footnote w:type="continuationSeparator" w:id="0">
    <w:p w14:paraId="0D2782C1" w14:textId="77777777" w:rsidR="005E03E1" w:rsidRDefault="005E03E1" w:rsidP="00FC4716">
      <w:r>
        <w:continuationSeparator/>
      </w:r>
    </w:p>
  </w:footnote>
  <w:footnote w:type="continuationNotice" w:id="1">
    <w:p w14:paraId="239EEA3F" w14:textId="77777777" w:rsidR="005E03E1" w:rsidRDefault="005E03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889ADEAA"/>
    <w:lvl w:ilvl="0" w:tplc="DDD4A588">
      <w:start w:val="1"/>
      <w:numFmt w:val="decimal"/>
      <w:lvlText w:val="%1"/>
      <w:lvlJc w:val="left"/>
    </w:lvl>
    <w:lvl w:ilvl="1" w:tplc="E480B3F6">
      <w:start w:val="1"/>
      <w:numFmt w:val="lowerLetter"/>
      <w:lvlText w:val="%2"/>
      <w:lvlJc w:val="left"/>
    </w:lvl>
    <w:lvl w:ilvl="2" w:tplc="79D2D384">
      <w:start w:val="2"/>
      <w:numFmt w:val="decimal"/>
      <w:lvlText w:val="%3."/>
      <w:lvlJc w:val="left"/>
    </w:lvl>
    <w:lvl w:ilvl="3" w:tplc="0584F08E">
      <w:numFmt w:val="decimal"/>
      <w:lvlText w:val=""/>
      <w:lvlJc w:val="left"/>
    </w:lvl>
    <w:lvl w:ilvl="4" w:tplc="0D34CECC">
      <w:numFmt w:val="decimal"/>
      <w:lvlText w:val=""/>
      <w:lvlJc w:val="left"/>
    </w:lvl>
    <w:lvl w:ilvl="5" w:tplc="FB7C688A">
      <w:numFmt w:val="decimal"/>
      <w:lvlText w:val=""/>
      <w:lvlJc w:val="left"/>
    </w:lvl>
    <w:lvl w:ilvl="6" w:tplc="13867CA2">
      <w:numFmt w:val="decimal"/>
      <w:lvlText w:val=""/>
      <w:lvlJc w:val="left"/>
    </w:lvl>
    <w:lvl w:ilvl="7" w:tplc="D91C974C">
      <w:numFmt w:val="decimal"/>
      <w:lvlText w:val=""/>
      <w:lvlJc w:val="left"/>
    </w:lvl>
    <w:lvl w:ilvl="8" w:tplc="CB12ECC2">
      <w:numFmt w:val="decimal"/>
      <w:lvlText w:val=""/>
      <w:lvlJc w:val="left"/>
    </w:lvl>
  </w:abstractNum>
  <w:abstractNum w:abstractNumId="1" w15:restartNumberingAfterBreak="0">
    <w:nsid w:val="00000090"/>
    <w:multiLevelType w:val="hybridMultilevel"/>
    <w:tmpl w:val="70C4890A"/>
    <w:lvl w:ilvl="0" w:tplc="CE702936">
      <w:start w:val="9"/>
      <w:numFmt w:val="decimal"/>
      <w:lvlText w:val="(%1)"/>
      <w:lvlJc w:val="left"/>
    </w:lvl>
    <w:lvl w:ilvl="1" w:tplc="6E2AAAC4">
      <w:start w:val="1"/>
      <w:numFmt w:val="lowerLetter"/>
      <w:lvlText w:val="(%2)"/>
      <w:lvlJc w:val="left"/>
    </w:lvl>
    <w:lvl w:ilvl="2" w:tplc="C9124DE0">
      <w:start w:val="1"/>
      <w:numFmt w:val="lowerLetter"/>
      <w:lvlText w:val="%3"/>
      <w:lvlJc w:val="left"/>
    </w:lvl>
    <w:lvl w:ilvl="3" w:tplc="DD906B7E">
      <w:start w:val="1"/>
      <w:numFmt w:val="decimal"/>
      <w:lvlText w:val="%4"/>
      <w:lvlJc w:val="left"/>
    </w:lvl>
    <w:lvl w:ilvl="4" w:tplc="606C9B12">
      <w:start w:val="1"/>
      <w:numFmt w:val="lowerLetter"/>
      <w:lvlText w:val="%5"/>
      <w:lvlJc w:val="left"/>
    </w:lvl>
    <w:lvl w:ilvl="5" w:tplc="70365560">
      <w:numFmt w:val="decimal"/>
      <w:lvlText w:val=""/>
      <w:lvlJc w:val="left"/>
    </w:lvl>
    <w:lvl w:ilvl="6" w:tplc="B05A0A26">
      <w:numFmt w:val="decimal"/>
      <w:lvlText w:val=""/>
      <w:lvlJc w:val="left"/>
    </w:lvl>
    <w:lvl w:ilvl="7" w:tplc="92621E20">
      <w:numFmt w:val="decimal"/>
      <w:lvlText w:val=""/>
      <w:lvlJc w:val="left"/>
    </w:lvl>
    <w:lvl w:ilvl="8" w:tplc="03A05A1A">
      <w:numFmt w:val="decimal"/>
      <w:lvlText w:val=""/>
      <w:lvlJc w:val="left"/>
    </w:lvl>
  </w:abstractNum>
  <w:abstractNum w:abstractNumId="2" w15:restartNumberingAfterBreak="0">
    <w:nsid w:val="0000009F"/>
    <w:multiLevelType w:val="hybridMultilevel"/>
    <w:tmpl w:val="134C9E3E"/>
    <w:lvl w:ilvl="0" w:tplc="26EC9404">
      <w:start w:val="14"/>
      <w:numFmt w:val="decimal"/>
      <w:lvlText w:val="(%1)"/>
      <w:lvlJc w:val="left"/>
    </w:lvl>
    <w:lvl w:ilvl="1" w:tplc="D9F0726A">
      <w:start w:val="1"/>
      <w:numFmt w:val="lowerLetter"/>
      <w:lvlText w:val="(%2)"/>
      <w:lvlJc w:val="left"/>
    </w:lvl>
    <w:lvl w:ilvl="2" w:tplc="BA20EA5E">
      <w:start w:val="1"/>
      <w:numFmt w:val="decimal"/>
      <w:lvlText w:val="%3."/>
      <w:lvlJc w:val="left"/>
    </w:lvl>
    <w:lvl w:ilvl="3" w:tplc="C0A29362">
      <w:start w:val="1"/>
      <w:numFmt w:val="lowerLetter"/>
      <w:lvlText w:val="%4."/>
      <w:lvlJc w:val="left"/>
    </w:lvl>
    <w:lvl w:ilvl="4" w:tplc="8F8C911E">
      <w:numFmt w:val="decimal"/>
      <w:lvlText w:val=""/>
      <w:lvlJc w:val="left"/>
    </w:lvl>
    <w:lvl w:ilvl="5" w:tplc="BB7AA674">
      <w:numFmt w:val="decimal"/>
      <w:lvlText w:val=""/>
      <w:lvlJc w:val="left"/>
    </w:lvl>
    <w:lvl w:ilvl="6" w:tplc="29CA9FF6">
      <w:numFmt w:val="decimal"/>
      <w:lvlText w:val=""/>
      <w:lvlJc w:val="left"/>
    </w:lvl>
    <w:lvl w:ilvl="7" w:tplc="3E5E10AC">
      <w:numFmt w:val="decimal"/>
      <w:lvlText w:val=""/>
      <w:lvlJc w:val="left"/>
    </w:lvl>
    <w:lvl w:ilvl="8" w:tplc="D218A1DA">
      <w:numFmt w:val="decimal"/>
      <w:lvlText w:val=""/>
      <w:lvlJc w:val="left"/>
    </w:lvl>
  </w:abstractNum>
  <w:abstractNum w:abstractNumId="3" w15:restartNumberingAfterBreak="0">
    <w:nsid w:val="000000AA"/>
    <w:multiLevelType w:val="hybridMultilevel"/>
    <w:tmpl w:val="F4B6866C"/>
    <w:lvl w:ilvl="0" w:tplc="708064E4">
      <w:start w:val="1"/>
      <w:numFmt w:val="lowerLetter"/>
      <w:lvlText w:val="%1"/>
      <w:lvlJc w:val="left"/>
    </w:lvl>
    <w:lvl w:ilvl="1" w:tplc="F342C368">
      <w:start w:val="6"/>
      <w:numFmt w:val="decimal"/>
      <w:lvlText w:val="%2."/>
      <w:lvlJc w:val="left"/>
    </w:lvl>
    <w:lvl w:ilvl="2" w:tplc="22403A32">
      <w:start w:val="1"/>
      <w:numFmt w:val="lowerLetter"/>
      <w:lvlText w:val="%3"/>
      <w:lvlJc w:val="left"/>
    </w:lvl>
    <w:lvl w:ilvl="3" w:tplc="DC4C03A4">
      <w:numFmt w:val="decimal"/>
      <w:lvlText w:val=""/>
      <w:lvlJc w:val="left"/>
    </w:lvl>
    <w:lvl w:ilvl="4" w:tplc="F1CCB7BA">
      <w:numFmt w:val="decimal"/>
      <w:lvlText w:val=""/>
      <w:lvlJc w:val="left"/>
    </w:lvl>
    <w:lvl w:ilvl="5" w:tplc="EFDC91B0">
      <w:numFmt w:val="decimal"/>
      <w:lvlText w:val=""/>
      <w:lvlJc w:val="left"/>
    </w:lvl>
    <w:lvl w:ilvl="6" w:tplc="6FA8EE0A">
      <w:numFmt w:val="decimal"/>
      <w:lvlText w:val=""/>
      <w:lvlJc w:val="left"/>
    </w:lvl>
    <w:lvl w:ilvl="7" w:tplc="ADD44E00">
      <w:numFmt w:val="decimal"/>
      <w:lvlText w:val=""/>
      <w:lvlJc w:val="left"/>
    </w:lvl>
    <w:lvl w:ilvl="8" w:tplc="CD18C63A">
      <w:numFmt w:val="decimal"/>
      <w:lvlText w:val=""/>
      <w:lvlJc w:val="left"/>
    </w:lvl>
  </w:abstractNum>
  <w:abstractNum w:abstractNumId="4" w15:restartNumberingAfterBreak="0">
    <w:nsid w:val="000000BD"/>
    <w:multiLevelType w:val="hybridMultilevel"/>
    <w:tmpl w:val="2B58586A"/>
    <w:lvl w:ilvl="0" w:tplc="4F106EBE">
      <w:start w:val="1"/>
      <w:numFmt w:val="decimal"/>
      <w:lvlText w:val="%1"/>
      <w:lvlJc w:val="left"/>
    </w:lvl>
    <w:lvl w:ilvl="1" w:tplc="CE922E64">
      <w:start w:val="4"/>
      <w:numFmt w:val="lowerLetter"/>
      <w:lvlText w:val="(%2)"/>
      <w:lvlJc w:val="left"/>
    </w:lvl>
    <w:lvl w:ilvl="2" w:tplc="213086EA">
      <w:start w:val="1"/>
      <w:numFmt w:val="decimal"/>
      <w:lvlText w:val="%3."/>
      <w:lvlJc w:val="left"/>
    </w:lvl>
    <w:lvl w:ilvl="3" w:tplc="53BEFAEA">
      <w:numFmt w:val="decimal"/>
      <w:lvlText w:val=""/>
      <w:lvlJc w:val="left"/>
    </w:lvl>
    <w:lvl w:ilvl="4" w:tplc="7D243FAE">
      <w:numFmt w:val="decimal"/>
      <w:lvlText w:val=""/>
      <w:lvlJc w:val="left"/>
    </w:lvl>
    <w:lvl w:ilvl="5" w:tplc="6FDE009A">
      <w:numFmt w:val="decimal"/>
      <w:lvlText w:val=""/>
      <w:lvlJc w:val="left"/>
    </w:lvl>
    <w:lvl w:ilvl="6" w:tplc="56800892">
      <w:numFmt w:val="decimal"/>
      <w:lvlText w:val=""/>
      <w:lvlJc w:val="left"/>
    </w:lvl>
    <w:lvl w:ilvl="7" w:tplc="0F0E04F2">
      <w:numFmt w:val="decimal"/>
      <w:lvlText w:val=""/>
      <w:lvlJc w:val="left"/>
    </w:lvl>
    <w:lvl w:ilvl="8" w:tplc="F842B882">
      <w:numFmt w:val="decimal"/>
      <w:lvlText w:val=""/>
      <w:lvlJc w:val="left"/>
    </w:lvl>
  </w:abstractNum>
  <w:abstractNum w:abstractNumId="5" w15:restartNumberingAfterBreak="0">
    <w:nsid w:val="000000E5"/>
    <w:multiLevelType w:val="hybridMultilevel"/>
    <w:tmpl w:val="20FEF488"/>
    <w:lvl w:ilvl="0" w:tplc="C0AACEE6">
      <w:start w:val="1"/>
      <w:numFmt w:val="decimal"/>
      <w:lvlText w:val="%1"/>
      <w:lvlJc w:val="left"/>
    </w:lvl>
    <w:lvl w:ilvl="1" w:tplc="C5B41842">
      <w:start w:val="1"/>
      <w:numFmt w:val="lowerLetter"/>
      <w:lvlText w:val="%2"/>
      <w:lvlJc w:val="left"/>
    </w:lvl>
    <w:lvl w:ilvl="2" w:tplc="F486625A">
      <w:start w:val="6"/>
      <w:numFmt w:val="decimal"/>
      <w:lvlText w:val="%3."/>
      <w:lvlJc w:val="left"/>
    </w:lvl>
    <w:lvl w:ilvl="3" w:tplc="AABEC596">
      <w:start w:val="1"/>
      <w:numFmt w:val="lowerLetter"/>
      <w:lvlText w:val="%4"/>
      <w:lvlJc w:val="left"/>
    </w:lvl>
    <w:lvl w:ilvl="4" w:tplc="AAA0367C">
      <w:numFmt w:val="decimal"/>
      <w:lvlText w:val=""/>
      <w:lvlJc w:val="left"/>
    </w:lvl>
    <w:lvl w:ilvl="5" w:tplc="7FE046F4">
      <w:numFmt w:val="decimal"/>
      <w:lvlText w:val=""/>
      <w:lvlJc w:val="left"/>
    </w:lvl>
    <w:lvl w:ilvl="6" w:tplc="76E01062">
      <w:numFmt w:val="decimal"/>
      <w:lvlText w:val=""/>
      <w:lvlJc w:val="left"/>
    </w:lvl>
    <w:lvl w:ilvl="7" w:tplc="E8245CA4">
      <w:numFmt w:val="decimal"/>
      <w:lvlText w:val=""/>
      <w:lvlJc w:val="left"/>
    </w:lvl>
    <w:lvl w:ilvl="8" w:tplc="6412814E">
      <w:numFmt w:val="decimal"/>
      <w:lvlText w:val=""/>
      <w:lvlJc w:val="left"/>
    </w:lvl>
  </w:abstractNum>
  <w:abstractNum w:abstractNumId="6" w15:restartNumberingAfterBreak="0">
    <w:nsid w:val="000000EC"/>
    <w:multiLevelType w:val="hybridMultilevel"/>
    <w:tmpl w:val="4F664F94"/>
    <w:lvl w:ilvl="0" w:tplc="4676AE8C">
      <w:start w:val="1"/>
      <w:numFmt w:val="decimal"/>
      <w:lvlText w:val="%1"/>
      <w:lvlJc w:val="left"/>
    </w:lvl>
    <w:lvl w:ilvl="1" w:tplc="C046BF36">
      <w:start w:val="1"/>
      <w:numFmt w:val="lowerLetter"/>
      <w:lvlText w:val="%2"/>
      <w:lvlJc w:val="left"/>
    </w:lvl>
    <w:lvl w:ilvl="2" w:tplc="207C9BA0">
      <w:start w:val="310"/>
      <w:numFmt w:val="decimal"/>
      <w:lvlText w:val="%3"/>
      <w:lvlJc w:val="left"/>
    </w:lvl>
    <w:lvl w:ilvl="3" w:tplc="E3969ED2">
      <w:start w:val="1"/>
      <w:numFmt w:val="lowerLetter"/>
      <w:lvlText w:val="%4"/>
      <w:lvlJc w:val="left"/>
    </w:lvl>
    <w:lvl w:ilvl="4" w:tplc="8150831A">
      <w:numFmt w:val="decimal"/>
      <w:lvlText w:val=""/>
      <w:lvlJc w:val="left"/>
    </w:lvl>
    <w:lvl w:ilvl="5" w:tplc="21D402F8">
      <w:numFmt w:val="decimal"/>
      <w:lvlText w:val=""/>
      <w:lvlJc w:val="left"/>
    </w:lvl>
    <w:lvl w:ilvl="6" w:tplc="308E06CC">
      <w:numFmt w:val="decimal"/>
      <w:lvlText w:val=""/>
      <w:lvlJc w:val="left"/>
    </w:lvl>
    <w:lvl w:ilvl="7" w:tplc="42E00B10">
      <w:numFmt w:val="decimal"/>
      <w:lvlText w:val=""/>
      <w:lvlJc w:val="left"/>
    </w:lvl>
    <w:lvl w:ilvl="8" w:tplc="C73E4A74">
      <w:numFmt w:val="decimal"/>
      <w:lvlText w:val=""/>
      <w:lvlJc w:val="left"/>
    </w:lvl>
  </w:abstractNum>
  <w:abstractNum w:abstractNumId="7" w15:restartNumberingAfterBreak="0">
    <w:nsid w:val="000000F1"/>
    <w:multiLevelType w:val="hybridMultilevel"/>
    <w:tmpl w:val="4C62D5BC"/>
    <w:lvl w:ilvl="0" w:tplc="350EC9C0">
      <w:start w:val="4"/>
      <w:numFmt w:val="lowerLetter"/>
      <w:lvlText w:val="(%1)"/>
      <w:lvlJc w:val="left"/>
    </w:lvl>
    <w:lvl w:ilvl="1" w:tplc="807A2D18">
      <w:numFmt w:val="decimal"/>
      <w:lvlText w:val=""/>
      <w:lvlJc w:val="left"/>
    </w:lvl>
    <w:lvl w:ilvl="2" w:tplc="4104A240">
      <w:numFmt w:val="decimal"/>
      <w:lvlText w:val=""/>
      <w:lvlJc w:val="left"/>
    </w:lvl>
    <w:lvl w:ilvl="3" w:tplc="16344074">
      <w:numFmt w:val="decimal"/>
      <w:lvlText w:val=""/>
      <w:lvlJc w:val="left"/>
    </w:lvl>
    <w:lvl w:ilvl="4" w:tplc="2DFC917E">
      <w:numFmt w:val="decimal"/>
      <w:lvlText w:val=""/>
      <w:lvlJc w:val="left"/>
    </w:lvl>
    <w:lvl w:ilvl="5" w:tplc="26BA0A70">
      <w:numFmt w:val="decimal"/>
      <w:lvlText w:val=""/>
      <w:lvlJc w:val="left"/>
    </w:lvl>
    <w:lvl w:ilvl="6" w:tplc="B5D67BF6">
      <w:numFmt w:val="decimal"/>
      <w:lvlText w:val=""/>
      <w:lvlJc w:val="left"/>
    </w:lvl>
    <w:lvl w:ilvl="7" w:tplc="EDF20D48">
      <w:numFmt w:val="decimal"/>
      <w:lvlText w:val=""/>
      <w:lvlJc w:val="left"/>
    </w:lvl>
    <w:lvl w:ilvl="8" w:tplc="F86CF942">
      <w:numFmt w:val="decimal"/>
      <w:lvlText w:val=""/>
      <w:lvlJc w:val="left"/>
    </w:lvl>
  </w:abstractNum>
  <w:abstractNum w:abstractNumId="8" w15:restartNumberingAfterBreak="0">
    <w:nsid w:val="000000F8"/>
    <w:multiLevelType w:val="hybridMultilevel"/>
    <w:tmpl w:val="B2C847B4"/>
    <w:lvl w:ilvl="0" w:tplc="4BC2E8A0">
      <w:start w:val="1"/>
      <w:numFmt w:val="decimal"/>
      <w:lvlText w:val="(%1)"/>
      <w:lvlJc w:val="left"/>
    </w:lvl>
    <w:lvl w:ilvl="1" w:tplc="CEA2C482">
      <w:start w:val="1"/>
      <w:numFmt w:val="lowerLetter"/>
      <w:lvlText w:val="(%2)"/>
      <w:lvlJc w:val="left"/>
    </w:lvl>
    <w:lvl w:ilvl="2" w:tplc="22BCED74">
      <w:numFmt w:val="decimal"/>
      <w:lvlText w:val=""/>
      <w:lvlJc w:val="left"/>
    </w:lvl>
    <w:lvl w:ilvl="3" w:tplc="29005FB4">
      <w:numFmt w:val="decimal"/>
      <w:lvlText w:val=""/>
      <w:lvlJc w:val="left"/>
    </w:lvl>
    <w:lvl w:ilvl="4" w:tplc="D22C5FD6">
      <w:numFmt w:val="decimal"/>
      <w:lvlText w:val=""/>
      <w:lvlJc w:val="left"/>
    </w:lvl>
    <w:lvl w:ilvl="5" w:tplc="0186D52C">
      <w:numFmt w:val="decimal"/>
      <w:lvlText w:val=""/>
      <w:lvlJc w:val="left"/>
    </w:lvl>
    <w:lvl w:ilvl="6" w:tplc="B374F3CE">
      <w:numFmt w:val="decimal"/>
      <w:lvlText w:val=""/>
      <w:lvlJc w:val="left"/>
    </w:lvl>
    <w:lvl w:ilvl="7" w:tplc="C2DC07DC">
      <w:numFmt w:val="decimal"/>
      <w:lvlText w:val=""/>
      <w:lvlJc w:val="left"/>
    </w:lvl>
    <w:lvl w:ilvl="8" w:tplc="DB2601CE">
      <w:numFmt w:val="decimal"/>
      <w:lvlText w:val=""/>
      <w:lvlJc w:val="left"/>
    </w:lvl>
  </w:abstractNum>
  <w:abstractNum w:abstractNumId="9" w15:restartNumberingAfterBreak="0">
    <w:nsid w:val="0000013E"/>
    <w:multiLevelType w:val="hybridMultilevel"/>
    <w:tmpl w:val="97F63DCA"/>
    <w:lvl w:ilvl="0" w:tplc="D26E561C">
      <w:start w:val="3"/>
      <w:numFmt w:val="decimal"/>
      <w:lvlText w:val="(%1)"/>
      <w:lvlJc w:val="left"/>
    </w:lvl>
    <w:lvl w:ilvl="1" w:tplc="E0782020">
      <w:start w:val="1"/>
      <w:numFmt w:val="lowerLetter"/>
      <w:lvlText w:val="(%2)"/>
      <w:lvlJc w:val="left"/>
    </w:lvl>
    <w:lvl w:ilvl="2" w:tplc="EC1C9316">
      <w:start w:val="1"/>
      <w:numFmt w:val="decimal"/>
      <w:lvlText w:val="%3."/>
      <w:lvlJc w:val="left"/>
    </w:lvl>
    <w:lvl w:ilvl="3" w:tplc="2F903488">
      <w:start w:val="1"/>
      <w:numFmt w:val="lowerLetter"/>
      <w:lvlText w:val="%4."/>
      <w:lvlJc w:val="left"/>
    </w:lvl>
    <w:lvl w:ilvl="4" w:tplc="AF5012C6">
      <w:start w:val="1"/>
      <w:numFmt w:val="lowerRoman"/>
      <w:lvlText w:val="(%5)"/>
      <w:lvlJc w:val="left"/>
    </w:lvl>
    <w:lvl w:ilvl="5" w:tplc="BDB0B53E">
      <w:numFmt w:val="decimal"/>
      <w:lvlText w:val=""/>
      <w:lvlJc w:val="left"/>
    </w:lvl>
    <w:lvl w:ilvl="6" w:tplc="82E2BE40">
      <w:numFmt w:val="decimal"/>
      <w:lvlText w:val=""/>
      <w:lvlJc w:val="left"/>
    </w:lvl>
    <w:lvl w:ilvl="7" w:tplc="4E5A5534">
      <w:numFmt w:val="decimal"/>
      <w:lvlText w:val=""/>
      <w:lvlJc w:val="left"/>
    </w:lvl>
    <w:lvl w:ilvl="8" w:tplc="478A0CC6">
      <w:numFmt w:val="decimal"/>
      <w:lvlText w:val=""/>
      <w:lvlJc w:val="left"/>
    </w:lvl>
  </w:abstractNum>
  <w:abstractNum w:abstractNumId="10" w15:restartNumberingAfterBreak="0">
    <w:nsid w:val="0000014A"/>
    <w:multiLevelType w:val="hybridMultilevel"/>
    <w:tmpl w:val="3E9C4658"/>
    <w:lvl w:ilvl="0" w:tplc="F9360FEA">
      <w:start w:val="1"/>
      <w:numFmt w:val="decimal"/>
      <w:lvlText w:val="%1"/>
      <w:lvlJc w:val="left"/>
    </w:lvl>
    <w:lvl w:ilvl="1" w:tplc="D674C2D8">
      <w:start w:val="1"/>
      <w:numFmt w:val="lowerLetter"/>
      <w:lvlText w:val="%2"/>
      <w:lvlJc w:val="left"/>
    </w:lvl>
    <w:lvl w:ilvl="2" w:tplc="957E6A28">
      <w:start w:val="4"/>
      <w:numFmt w:val="decimal"/>
      <w:lvlText w:val="%3."/>
      <w:lvlJc w:val="left"/>
    </w:lvl>
    <w:lvl w:ilvl="3" w:tplc="E1FAEB20">
      <w:numFmt w:val="decimal"/>
      <w:lvlText w:val=""/>
      <w:lvlJc w:val="left"/>
    </w:lvl>
    <w:lvl w:ilvl="4" w:tplc="DE18F3F0">
      <w:numFmt w:val="decimal"/>
      <w:lvlText w:val=""/>
      <w:lvlJc w:val="left"/>
    </w:lvl>
    <w:lvl w:ilvl="5" w:tplc="D0DC0012">
      <w:numFmt w:val="decimal"/>
      <w:lvlText w:val=""/>
      <w:lvlJc w:val="left"/>
    </w:lvl>
    <w:lvl w:ilvl="6" w:tplc="005640E2">
      <w:numFmt w:val="decimal"/>
      <w:lvlText w:val=""/>
      <w:lvlJc w:val="left"/>
    </w:lvl>
    <w:lvl w:ilvl="7" w:tplc="733E6A94">
      <w:numFmt w:val="decimal"/>
      <w:lvlText w:val=""/>
      <w:lvlJc w:val="left"/>
    </w:lvl>
    <w:lvl w:ilvl="8" w:tplc="21AE82DC">
      <w:numFmt w:val="decimal"/>
      <w:lvlText w:val=""/>
      <w:lvlJc w:val="left"/>
    </w:lvl>
  </w:abstractNum>
  <w:abstractNum w:abstractNumId="11" w15:restartNumberingAfterBreak="0">
    <w:nsid w:val="00000151"/>
    <w:multiLevelType w:val="hybridMultilevel"/>
    <w:tmpl w:val="706C6C8E"/>
    <w:lvl w:ilvl="0" w:tplc="168E8632">
      <w:start w:val="1"/>
      <w:numFmt w:val="decimal"/>
      <w:lvlText w:val="%1"/>
      <w:lvlJc w:val="left"/>
    </w:lvl>
    <w:lvl w:ilvl="1" w:tplc="BFDCFDDA">
      <w:start w:val="1"/>
      <w:numFmt w:val="lowerLetter"/>
      <w:lvlText w:val="%2"/>
      <w:lvlJc w:val="left"/>
    </w:lvl>
    <w:lvl w:ilvl="2" w:tplc="297CD51A">
      <w:start w:val="2"/>
      <w:numFmt w:val="decimal"/>
      <w:lvlText w:val="%3."/>
      <w:lvlJc w:val="left"/>
    </w:lvl>
    <w:lvl w:ilvl="3" w:tplc="EFFC575C">
      <w:numFmt w:val="decimal"/>
      <w:lvlText w:val=""/>
      <w:lvlJc w:val="left"/>
    </w:lvl>
    <w:lvl w:ilvl="4" w:tplc="C5887CCC">
      <w:numFmt w:val="decimal"/>
      <w:lvlText w:val=""/>
      <w:lvlJc w:val="left"/>
    </w:lvl>
    <w:lvl w:ilvl="5" w:tplc="298E8D3A">
      <w:numFmt w:val="decimal"/>
      <w:lvlText w:val=""/>
      <w:lvlJc w:val="left"/>
    </w:lvl>
    <w:lvl w:ilvl="6" w:tplc="50BCB3AC">
      <w:numFmt w:val="decimal"/>
      <w:lvlText w:val=""/>
      <w:lvlJc w:val="left"/>
    </w:lvl>
    <w:lvl w:ilvl="7" w:tplc="4560D578">
      <w:numFmt w:val="decimal"/>
      <w:lvlText w:val=""/>
      <w:lvlJc w:val="left"/>
    </w:lvl>
    <w:lvl w:ilvl="8" w:tplc="F4B8ECCE">
      <w:numFmt w:val="decimal"/>
      <w:lvlText w:val=""/>
      <w:lvlJc w:val="left"/>
    </w:lvl>
  </w:abstractNum>
  <w:abstractNum w:abstractNumId="12" w15:restartNumberingAfterBreak="0">
    <w:nsid w:val="00000196"/>
    <w:multiLevelType w:val="hybridMultilevel"/>
    <w:tmpl w:val="E3F82C8E"/>
    <w:lvl w:ilvl="0" w:tplc="A4B67392">
      <w:start w:val="1"/>
      <w:numFmt w:val="decimal"/>
      <w:lvlText w:val="(%1)"/>
      <w:lvlJc w:val="left"/>
    </w:lvl>
    <w:lvl w:ilvl="1" w:tplc="438812EA">
      <w:start w:val="1"/>
      <w:numFmt w:val="lowerLetter"/>
      <w:lvlText w:val="(%2)"/>
      <w:lvlJc w:val="left"/>
    </w:lvl>
    <w:lvl w:ilvl="2" w:tplc="FD5690A0">
      <w:numFmt w:val="decimal"/>
      <w:lvlText w:val=""/>
      <w:lvlJc w:val="left"/>
    </w:lvl>
    <w:lvl w:ilvl="3" w:tplc="D0FA90F0">
      <w:numFmt w:val="decimal"/>
      <w:lvlText w:val=""/>
      <w:lvlJc w:val="left"/>
    </w:lvl>
    <w:lvl w:ilvl="4" w:tplc="BD5C1736">
      <w:numFmt w:val="decimal"/>
      <w:lvlText w:val=""/>
      <w:lvlJc w:val="left"/>
    </w:lvl>
    <w:lvl w:ilvl="5" w:tplc="F44CA808">
      <w:numFmt w:val="decimal"/>
      <w:lvlText w:val=""/>
      <w:lvlJc w:val="left"/>
    </w:lvl>
    <w:lvl w:ilvl="6" w:tplc="DFA8C094">
      <w:numFmt w:val="decimal"/>
      <w:lvlText w:val=""/>
      <w:lvlJc w:val="left"/>
    </w:lvl>
    <w:lvl w:ilvl="7" w:tplc="88188DF6">
      <w:numFmt w:val="decimal"/>
      <w:lvlText w:val=""/>
      <w:lvlJc w:val="left"/>
    </w:lvl>
    <w:lvl w:ilvl="8" w:tplc="B4B077F8">
      <w:numFmt w:val="decimal"/>
      <w:lvlText w:val=""/>
      <w:lvlJc w:val="left"/>
    </w:lvl>
  </w:abstractNum>
  <w:abstractNum w:abstractNumId="13" w15:restartNumberingAfterBreak="0">
    <w:nsid w:val="000001DA"/>
    <w:multiLevelType w:val="hybridMultilevel"/>
    <w:tmpl w:val="B92EAB28"/>
    <w:lvl w:ilvl="0" w:tplc="8896755E">
      <w:start w:val="6"/>
      <w:numFmt w:val="decimal"/>
      <w:lvlText w:val="(%1)"/>
      <w:lvlJc w:val="left"/>
    </w:lvl>
    <w:lvl w:ilvl="1" w:tplc="18666568">
      <w:start w:val="1"/>
      <w:numFmt w:val="lowerLetter"/>
      <w:lvlText w:val="%2"/>
      <w:lvlJc w:val="left"/>
    </w:lvl>
    <w:lvl w:ilvl="2" w:tplc="DABCF314">
      <w:start w:val="1"/>
      <w:numFmt w:val="decimal"/>
      <w:lvlText w:val="%3"/>
      <w:lvlJc w:val="left"/>
    </w:lvl>
    <w:lvl w:ilvl="3" w:tplc="0A62AAAC">
      <w:numFmt w:val="decimal"/>
      <w:lvlText w:val=""/>
      <w:lvlJc w:val="left"/>
    </w:lvl>
    <w:lvl w:ilvl="4" w:tplc="19624896">
      <w:numFmt w:val="decimal"/>
      <w:lvlText w:val=""/>
      <w:lvlJc w:val="left"/>
    </w:lvl>
    <w:lvl w:ilvl="5" w:tplc="22E0343C">
      <w:numFmt w:val="decimal"/>
      <w:lvlText w:val=""/>
      <w:lvlJc w:val="left"/>
    </w:lvl>
    <w:lvl w:ilvl="6" w:tplc="5574A84A">
      <w:numFmt w:val="decimal"/>
      <w:lvlText w:val=""/>
      <w:lvlJc w:val="left"/>
    </w:lvl>
    <w:lvl w:ilvl="7" w:tplc="CCD6C1A8">
      <w:numFmt w:val="decimal"/>
      <w:lvlText w:val=""/>
      <w:lvlJc w:val="left"/>
    </w:lvl>
    <w:lvl w:ilvl="8" w:tplc="C3E49E7A">
      <w:numFmt w:val="decimal"/>
      <w:lvlText w:val=""/>
      <w:lvlJc w:val="left"/>
    </w:lvl>
  </w:abstractNum>
  <w:abstractNum w:abstractNumId="14" w15:restartNumberingAfterBreak="0">
    <w:nsid w:val="000001DB"/>
    <w:multiLevelType w:val="hybridMultilevel"/>
    <w:tmpl w:val="27E86EC8"/>
    <w:lvl w:ilvl="0" w:tplc="54AE31B8">
      <w:start w:val="4"/>
      <w:numFmt w:val="decimal"/>
      <w:lvlText w:val="%1"/>
      <w:lvlJc w:val="left"/>
    </w:lvl>
    <w:lvl w:ilvl="1" w:tplc="A71EAB8A">
      <w:start w:val="1"/>
      <w:numFmt w:val="lowerLetter"/>
      <w:lvlText w:val="%2"/>
      <w:lvlJc w:val="left"/>
    </w:lvl>
    <w:lvl w:ilvl="2" w:tplc="53D813DA">
      <w:start w:val="1"/>
      <w:numFmt w:val="decimal"/>
      <w:lvlText w:val="%3"/>
      <w:lvlJc w:val="left"/>
    </w:lvl>
    <w:lvl w:ilvl="3" w:tplc="E9727FF8">
      <w:start w:val="1"/>
      <w:numFmt w:val="lowerLetter"/>
      <w:lvlText w:val="%4"/>
      <w:lvlJc w:val="left"/>
    </w:lvl>
    <w:lvl w:ilvl="4" w:tplc="EBBAC41E">
      <w:start w:val="1"/>
      <w:numFmt w:val="lowerRoman"/>
      <w:lvlText w:val="%5"/>
      <w:lvlJc w:val="left"/>
    </w:lvl>
    <w:lvl w:ilvl="5" w:tplc="365A9226">
      <w:numFmt w:val="decimal"/>
      <w:lvlText w:val=""/>
      <w:lvlJc w:val="left"/>
    </w:lvl>
    <w:lvl w:ilvl="6" w:tplc="69D0DA40">
      <w:numFmt w:val="decimal"/>
      <w:lvlText w:val=""/>
      <w:lvlJc w:val="left"/>
    </w:lvl>
    <w:lvl w:ilvl="7" w:tplc="6B3E907A">
      <w:numFmt w:val="decimal"/>
      <w:lvlText w:val=""/>
      <w:lvlJc w:val="left"/>
    </w:lvl>
    <w:lvl w:ilvl="8" w:tplc="42F067F6">
      <w:numFmt w:val="decimal"/>
      <w:lvlText w:val=""/>
      <w:lvlJc w:val="left"/>
    </w:lvl>
  </w:abstractNum>
  <w:abstractNum w:abstractNumId="15" w15:restartNumberingAfterBreak="0">
    <w:nsid w:val="000001EF"/>
    <w:multiLevelType w:val="hybridMultilevel"/>
    <w:tmpl w:val="9F62211E"/>
    <w:lvl w:ilvl="0" w:tplc="F6908C80">
      <w:start w:val="1"/>
      <w:numFmt w:val="decimal"/>
      <w:lvlText w:val="%1"/>
      <w:lvlJc w:val="left"/>
    </w:lvl>
    <w:lvl w:ilvl="1" w:tplc="7294F534">
      <w:start w:val="3"/>
      <w:numFmt w:val="lowerLetter"/>
      <w:lvlText w:val="(%2)"/>
      <w:lvlJc w:val="left"/>
    </w:lvl>
    <w:lvl w:ilvl="2" w:tplc="8AFEB696">
      <w:start w:val="1"/>
      <w:numFmt w:val="decimal"/>
      <w:lvlText w:val="%3"/>
      <w:lvlJc w:val="left"/>
    </w:lvl>
    <w:lvl w:ilvl="3" w:tplc="0BF4029C">
      <w:numFmt w:val="decimal"/>
      <w:lvlText w:val=""/>
      <w:lvlJc w:val="left"/>
    </w:lvl>
    <w:lvl w:ilvl="4" w:tplc="6F906594">
      <w:numFmt w:val="decimal"/>
      <w:lvlText w:val=""/>
      <w:lvlJc w:val="left"/>
    </w:lvl>
    <w:lvl w:ilvl="5" w:tplc="4BDED88E">
      <w:numFmt w:val="decimal"/>
      <w:lvlText w:val=""/>
      <w:lvlJc w:val="left"/>
    </w:lvl>
    <w:lvl w:ilvl="6" w:tplc="6212B85A">
      <w:numFmt w:val="decimal"/>
      <w:lvlText w:val=""/>
      <w:lvlJc w:val="left"/>
    </w:lvl>
    <w:lvl w:ilvl="7" w:tplc="D1821592">
      <w:numFmt w:val="decimal"/>
      <w:lvlText w:val=""/>
      <w:lvlJc w:val="left"/>
    </w:lvl>
    <w:lvl w:ilvl="8" w:tplc="D0D2C01E">
      <w:numFmt w:val="decimal"/>
      <w:lvlText w:val=""/>
      <w:lvlJc w:val="left"/>
    </w:lvl>
  </w:abstractNum>
  <w:abstractNum w:abstractNumId="16" w15:restartNumberingAfterBreak="0">
    <w:nsid w:val="0000021C"/>
    <w:multiLevelType w:val="hybridMultilevel"/>
    <w:tmpl w:val="98DCC426"/>
    <w:lvl w:ilvl="0" w:tplc="6D6AD704">
      <w:start w:val="7"/>
      <w:numFmt w:val="decimal"/>
      <w:lvlText w:val="%1."/>
      <w:lvlJc w:val="left"/>
    </w:lvl>
    <w:lvl w:ilvl="1" w:tplc="6450D858">
      <w:start w:val="1"/>
      <w:numFmt w:val="lowerLetter"/>
      <w:lvlText w:val="%2"/>
      <w:lvlJc w:val="left"/>
    </w:lvl>
    <w:lvl w:ilvl="2" w:tplc="2CAC4764">
      <w:start w:val="1"/>
      <w:numFmt w:val="lowerRoman"/>
      <w:lvlText w:val="%3"/>
      <w:lvlJc w:val="left"/>
    </w:lvl>
    <w:lvl w:ilvl="3" w:tplc="5B8A36D2">
      <w:numFmt w:val="decimal"/>
      <w:lvlText w:val=""/>
      <w:lvlJc w:val="left"/>
    </w:lvl>
    <w:lvl w:ilvl="4" w:tplc="8FBC8FE2">
      <w:numFmt w:val="decimal"/>
      <w:lvlText w:val=""/>
      <w:lvlJc w:val="left"/>
    </w:lvl>
    <w:lvl w:ilvl="5" w:tplc="5B0425A2">
      <w:numFmt w:val="decimal"/>
      <w:lvlText w:val=""/>
      <w:lvlJc w:val="left"/>
    </w:lvl>
    <w:lvl w:ilvl="6" w:tplc="FA50504C">
      <w:numFmt w:val="decimal"/>
      <w:lvlText w:val=""/>
      <w:lvlJc w:val="left"/>
    </w:lvl>
    <w:lvl w:ilvl="7" w:tplc="E5024438">
      <w:numFmt w:val="decimal"/>
      <w:lvlText w:val=""/>
      <w:lvlJc w:val="left"/>
    </w:lvl>
    <w:lvl w:ilvl="8" w:tplc="9FC61CF8">
      <w:numFmt w:val="decimal"/>
      <w:lvlText w:val=""/>
      <w:lvlJc w:val="left"/>
    </w:lvl>
  </w:abstractNum>
  <w:abstractNum w:abstractNumId="17" w15:restartNumberingAfterBreak="0">
    <w:nsid w:val="0000021E"/>
    <w:multiLevelType w:val="hybridMultilevel"/>
    <w:tmpl w:val="98BA7FA4"/>
    <w:lvl w:ilvl="0" w:tplc="50EAB84C">
      <w:start w:val="1"/>
      <w:numFmt w:val="decimal"/>
      <w:lvlText w:val="%1"/>
      <w:lvlJc w:val="left"/>
    </w:lvl>
    <w:lvl w:ilvl="1" w:tplc="DD9E73BE">
      <w:start w:val="5"/>
      <w:numFmt w:val="lowerLetter"/>
      <w:lvlText w:val="(%2)"/>
      <w:lvlJc w:val="left"/>
    </w:lvl>
    <w:lvl w:ilvl="2" w:tplc="B47C6770">
      <w:start w:val="1"/>
      <w:numFmt w:val="decimal"/>
      <w:lvlText w:val="%3."/>
      <w:lvlJc w:val="left"/>
    </w:lvl>
    <w:lvl w:ilvl="3" w:tplc="8C76F3B8">
      <w:start w:val="1"/>
      <w:numFmt w:val="lowerLetter"/>
      <w:lvlText w:val="%4."/>
      <w:lvlJc w:val="left"/>
    </w:lvl>
    <w:lvl w:ilvl="4" w:tplc="7024855A">
      <w:numFmt w:val="decimal"/>
      <w:lvlText w:val=""/>
      <w:lvlJc w:val="left"/>
    </w:lvl>
    <w:lvl w:ilvl="5" w:tplc="33AE0BBC">
      <w:numFmt w:val="decimal"/>
      <w:lvlText w:val=""/>
      <w:lvlJc w:val="left"/>
    </w:lvl>
    <w:lvl w:ilvl="6" w:tplc="768EA5D4">
      <w:numFmt w:val="decimal"/>
      <w:lvlText w:val=""/>
      <w:lvlJc w:val="left"/>
    </w:lvl>
    <w:lvl w:ilvl="7" w:tplc="51BC2630">
      <w:numFmt w:val="decimal"/>
      <w:lvlText w:val=""/>
      <w:lvlJc w:val="left"/>
    </w:lvl>
    <w:lvl w:ilvl="8" w:tplc="702EEE3A">
      <w:numFmt w:val="decimal"/>
      <w:lvlText w:val=""/>
      <w:lvlJc w:val="left"/>
    </w:lvl>
  </w:abstractNum>
  <w:abstractNum w:abstractNumId="18" w15:restartNumberingAfterBreak="0">
    <w:nsid w:val="000002A9"/>
    <w:multiLevelType w:val="hybridMultilevel"/>
    <w:tmpl w:val="3C5AB36C"/>
    <w:lvl w:ilvl="0" w:tplc="EED0675E">
      <w:start w:val="1"/>
      <w:numFmt w:val="decimal"/>
      <w:lvlText w:val="%1"/>
      <w:lvlJc w:val="left"/>
    </w:lvl>
    <w:lvl w:ilvl="1" w:tplc="E9AC2972">
      <w:start w:val="1"/>
      <w:numFmt w:val="lowerLetter"/>
      <w:lvlText w:val="%2"/>
      <w:lvlJc w:val="left"/>
    </w:lvl>
    <w:lvl w:ilvl="2" w:tplc="68BC5D62">
      <w:start w:val="1"/>
      <w:numFmt w:val="decimal"/>
      <w:lvlText w:val="%3"/>
      <w:lvlJc w:val="left"/>
    </w:lvl>
    <w:lvl w:ilvl="3" w:tplc="E4AC5156">
      <w:start w:val="5"/>
      <w:numFmt w:val="lowerLetter"/>
      <w:lvlText w:val="%4."/>
      <w:lvlJc w:val="left"/>
    </w:lvl>
    <w:lvl w:ilvl="4" w:tplc="C302DDCC">
      <w:numFmt w:val="decimal"/>
      <w:lvlText w:val=""/>
      <w:lvlJc w:val="left"/>
    </w:lvl>
    <w:lvl w:ilvl="5" w:tplc="743697EA">
      <w:numFmt w:val="decimal"/>
      <w:lvlText w:val=""/>
      <w:lvlJc w:val="left"/>
    </w:lvl>
    <w:lvl w:ilvl="6" w:tplc="57224B90">
      <w:numFmt w:val="decimal"/>
      <w:lvlText w:val=""/>
      <w:lvlJc w:val="left"/>
    </w:lvl>
    <w:lvl w:ilvl="7" w:tplc="52562A2C">
      <w:numFmt w:val="decimal"/>
      <w:lvlText w:val=""/>
      <w:lvlJc w:val="left"/>
    </w:lvl>
    <w:lvl w:ilvl="8" w:tplc="1FC29610">
      <w:numFmt w:val="decimal"/>
      <w:lvlText w:val=""/>
      <w:lvlJc w:val="left"/>
    </w:lvl>
  </w:abstractNum>
  <w:abstractNum w:abstractNumId="19" w15:restartNumberingAfterBreak="0">
    <w:nsid w:val="000002BE"/>
    <w:multiLevelType w:val="hybridMultilevel"/>
    <w:tmpl w:val="A02E7B40"/>
    <w:lvl w:ilvl="0" w:tplc="A376836E">
      <w:start w:val="1"/>
      <w:numFmt w:val="decimal"/>
      <w:lvlText w:val="(%1)"/>
      <w:lvlJc w:val="left"/>
    </w:lvl>
    <w:lvl w:ilvl="1" w:tplc="7EFADFC6">
      <w:start w:val="1"/>
      <w:numFmt w:val="lowerLetter"/>
      <w:lvlText w:val="(%2)"/>
      <w:lvlJc w:val="left"/>
    </w:lvl>
    <w:lvl w:ilvl="2" w:tplc="5D82B2B4">
      <w:numFmt w:val="decimal"/>
      <w:lvlText w:val=""/>
      <w:lvlJc w:val="left"/>
    </w:lvl>
    <w:lvl w:ilvl="3" w:tplc="27D464E6">
      <w:numFmt w:val="decimal"/>
      <w:lvlText w:val=""/>
      <w:lvlJc w:val="left"/>
    </w:lvl>
    <w:lvl w:ilvl="4" w:tplc="4FF04072">
      <w:numFmt w:val="decimal"/>
      <w:lvlText w:val=""/>
      <w:lvlJc w:val="left"/>
    </w:lvl>
    <w:lvl w:ilvl="5" w:tplc="E006E88E">
      <w:numFmt w:val="decimal"/>
      <w:lvlText w:val=""/>
      <w:lvlJc w:val="left"/>
    </w:lvl>
    <w:lvl w:ilvl="6" w:tplc="0F660FC2">
      <w:numFmt w:val="decimal"/>
      <w:lvlText w:val=""/>
      <w:lvlJc w:val="left"/>
    </w:lvl>
    <w:lvl w:ilvl="7" w:tplc="EFD8E570">
      <w:numFmt w:val="decimal"/>
      <w:lvlText w:val=""/>
      <w:lvlJc w:val="left"/>
    </w:lvl>
    <w:lvl w:ilvl="8" w:tplc="A2AE8496">
      <w:numFmt w:val="decimal"/>
      <w:lvlText w:val=""/>
      <w:lvlJc w:val="left"/>
    </w:lvl>
  </w:abstractNum>
  <w:abstractNum w:abstractNumId="20" w15:restartNumberingAfterBreak="0">
    <w:nsid w:val="000002C3"/>
    <w:multiLevelType w:val="hybridMultilevel"/>
    <w:tmpl w:val="7888896E"/>
    <w:lvl w:ilvl="0" w:tplc="ABFA293C">
      <w:start w:val="2"/>
      <w:numFmt w:val="decimal"/>
      <w:lvlText w:val="%1."/>
      <w:lvlJc w:val="left"/>
    </w:lvl>
    <w:lvl w:ilvl="1" w:tplc="63807A06">
      <w:numFmt w:val="decimal"/>
      <w:lvlText w:val=""/>
      <w:lvlJc w:val="left"/>
    </w:lvl>
    <w:lvl w:ilvl="2" w:tplc="A9AC9B32">
      <w:numFmt w:val="decimal"/>
      <w:lvlText w:val=""/>
      <w:lvlJc w:val="left"/>
    </w:lvl>
    <w:lvl w:ilvl="3" w:tplc="709ED992">
      <w:numFmt w:val="decimal"/>
      <w:lvlText w:val=""/>
      <w:lvlJc w:val="left"/>
    </w:lvl>
    <w:lvl w:ilvl="4" w:tplc="44C0096A">
      <w:numFmt w:val="decimal"/>
      <w:lvlText w:val=""/>
      <w:lvlJc w:val="left"/>
    </w:lvl>
    <w:lvl w:ilvl="5" w:tplc="A926C7E4">
      <w:numFmt w:val="decimal"/>
      <w:lvlText w:val=""/>
      <w:lvlJc w:val="left"/>
    </w:lvl>
    <w:lvl w:ilvl="6" w:tplc="11625C86">
      <w:numFmt w:val="decimal"/>
      <w:lvlText w:val=""/>
      <w:lvlJc w:val="left"/>
    </w:lvl>
    <w:lvl w:ilvl="7" w:tplc="077C98B4">
      <w:numFmt w:val="decimal"/>
      <w:lvlText w:val=""/>
      <w:lvlJc w:val="left"/>
    </w:lvl>
    <w:lvl w:ilvl="8" w:tplc="C43CDCB0">
      <w:numFmt w:val="decimal"/>
      <w:lvlText w:val=""/>
      <w:lvlJc w:val="left"/>
    </w:lvl>
  </w:abstractNum>
  <w:abstractNum w:abstractNumId="21" w15:restartNumberingAfterBreak="0">
    <w:nsid w:val="000002F2"/>
    <w:multiLevelType w:val="hybridMultilevel"/>
    <w:tmpl w:val="CBA0363A"/>
    <w:lvl w:ilvl="0" w:tplc="CCC2BFAA">
      <w:start w:val="1"/>
      <w:numFmt w:val="lowerLetter"/>
      <w:lvlText w:val="%1"/>
      <w:lvlJc w:val="left"/>
    </w:lvl>
    <w:lvl w:ilvl="1" w:tplc="7C3A2BCC">
      <w:start w:val="6"/>
      <w:numFmt w:val="decimal"/>
      <w:lvlText w:val="%2."/>
      <w:lvlJc w:val="left"/>
    </w:lvl>
    <w:lvl w:ilvl="2" w:tplc="A134DE82">
      <w:start w:val="1"/>
      <w:numFmt w:val="lowerLetter"/>
      <w:lvlText w:val="%3."/>
      <w:lvlJc w:val="left"/>
      <w:rPr>
        <w:rFonts w:hint="default"/>
      </w:rPr>
    </w:lvl>
    <w:lvl w:ilvl="3" w:tplc="90965A90">
      <w:numFmt w:val="decimal"/>
      <w:lvlText w:val=""/>
      <w:lvlJc w:val="left"/>
    </w:lvl>
    <w:lvl w:ilvl="4" w:tplc="B4A4738E">
      <w:numFmt w:val="decimal"/>
      <w:lvlText w:val=""/>
      <w:lvlJc w:val="left"/>
    </w:lvl>
    <w:lvl w:ilvl="5" w:tplc="A89E3370">
      <w:numFmt w:val="decimal"/>
      <w:lvlText w:val=""/>
      <w:lvlJc w:val="left"/>
    </w:lvl>
    <w:lvl w:ilvl="6" w:tplc="C2467384">
      <w:numFmt w:val="decimal"/>
      <w:lvlText w:val=""/>
      <w:lvlJc w:val="left"/>
    </w:lvl>
    <w:lvl w:ilvl="7" w:tplc="1BF4C13C">
      <w:numFmt w:val="decimal"/>
      <w:lvlText w:val=""/>
      <w:lvlJc w:val="left"/>
    </w:lvl>
    <w:lvl w:ilvl="8" w:tplc="9510EA0E">
      <w:numFmt w:val="decimal"/>
      <w:lvlText w:val=""/>
      <w:lvlJc w:val="left"/>
    </w:lvl>
  </w:abstractNum>
  <w:abstractNum w:abstractNumId="22" w15:restartNumberingAfterBreak="0">
    <w:nsid w:val="00000318"/>
    <w:multiLevelType w:val="hybridMultilevel"/>
    <w:tmpl w:val="62EA1B08"/>
    <w:lvl w:ilvl="0" w:tplc="7ADCD90C">
      <w:start w:val="1"/>
      <w:numFmt w:val="decimal"/>
      <w:lvlText w:val="%1"/>
      <w:lvlJc w:val="left"/>
    </w:lvl>
    <w:lvl w:ilvl="1" w:tplc="6458F1D6">
      <w:start w:val="1"/>
      <w:numFmt w:val="lowerLetter"/>
      <w:lvlText w:val="%2"/>
      <w:lvlJc w:val="left"/>
    </w:lvl>
    <w:lvl w:ilvl="2" w:tplc="0409000F">
      <w:start w:val="1"/>
      <w:numFmt w:val="decimal"/>
      <w:lvlText w:val="%3."/>
      <w:lvlJc w:val="left"/>
    </w:lvl>
    <w:lvl w:ilvl="3" w:tplc="3CDC36A0">
      <w:start w:val="1"/>
      <w:numFmt w:val="lowerLetter"/>
      <w:lvlText w:val="%4"/>
      <w:lvlJc w:val="left"/>
    </w:lvl>
    <w:lvl w:ilvl="4" w:tplc="E072177A">
      <w:numFmt w:val="decimal"/>
      <w:lvlText w:val=""/>
      <w:lvlJc w:val="left"/>
    </w:lvl>
    <w:lvl w:ilvl="5" w:tplc="02B41BC2">
      <w:numFmt w:val="decimal"/>
      <w:lvlText w:val=""/>
      <w:lvlJc w:val="left"/>
    </w:lvl>
    <w:lvl w:ilvl="6" w:tplc="30580628">
      <w:numFmt w:val="decimal"/>
      <w:lvlText w:val=""/>
      <w:lvlJc w:val="left"/>
    </w:lvl>
    <w:lvl w:ilvl="7" w:tplc="A946755C">
      <w:numFmt w:val="decimal"/>
      <w:lvlText w:val=""/>
      <w:lvlJc w:val="left"/>
    </w:lvl>
    <w:lvl w:ilvl="8" w:tplc="B16C1348">
      <w:numFmt w:val="decimal"/>
      <w:lvlText w:val=""/>
      <w:lvlJc w:val="left"/>
    </w:lvl>
  </w:abstractNum>
  <w:abstractNum w:abstractNumId="23" w15:restartNumberingAfterBreak="0">
    <w:nsid w:val="0000036A"/>
    <w:multiLevelType w:val="hybridMultilevel"/>
    <w:tmpl w:val="B9D4A59C"/>
    <w:lvl w:ilvl="0" w:tplc="040CA278">
      <w:start w:val="7"/>
      <w:numFmt w:val="lowerLetter"/>
      <w:lvlText w:val="(%1)"/>
      <w:lvlJc w:val="left"/>
    </w:lvl>
    <w:lvl w:ilvl="1" w:tplc="4C2A3A96">
      <w:start w:val="1"/>
      <w:numFmt w:val="decimal"/>
      <w:lvlText w:val="%2."/>
      <w:lvlJc w:val="left"/>
    </w:lvl>
    <w:lvl w:ilvl="2" w:tplc="E97A6996">
      <w:numFmt w:val="decimal"/>
      <w:lvlText w:val=""/>
      <w:lvlJc w:val="left"/>
    </w:lvl>
    <w:lvl w:ilvl="3" w:tplc="22C082FA">
      <w:numFmt w:val="decimal"/>
      <w:lvlText w:val=""/>
      <w:lvlJc w:val="left"/>
    </w:lvl>
    <w:lvl w:ilvl="4" w:tplc="1A2A2BD6">
      <w:numFmt w:val="decimal"/>
      <w:lvlText w:val=""/>
      <w:lvlJc w:val="left"/>
    </w:lvl>
    <w:lvl w:ilvl="5" w:tplc="FD0419E6">
      <w:numFmt w:val="decimal"/>
      <w:lvlText w:val=""/>
      <w:lvlJc w:val="left"/>
    </w:lvl>
    <w:lvl w:ilvl="6" w:tplc="ECB6C942">
      <w:numFmt w:val="decimal"/>
      <w:lvlText w:val=""/>
      <w:lvlJc w:val="left"/>
    </w:lvl>
    <w:lvl w:ilvl="7" w:tplc="84228496">
      <w:numFmt w:val="decimal"/>
      <w:lvlText w:val=""/>
      <w:lvlJc w:val="left"/>
    </w:lvl>
    <w:lvl w:ilvl="8" w:tplc="E7C400E8">
      <w:numFmt w:val="decimal"/>
      <w:lvlText w:val=""/>
      <w:lvlJc w:val="left"/>
    </w:lvl>
  </w:abstractNum>
  <w:abstractNum w:abstractNumId="24" w15:restartNumberingAfterBreak="0">
    <w:nsid w:val="00000383"/>
    <w:multiLevelType w:val="hybridMultilevel"/>
    <w:tmpl w:val="69BA7E90"/>
    <w:lvl w:ilvl="0" w:tplc="CF6E653E">
      <w:start w:val="1"/>
      <w:numFmt w:val="decimal"/>
      <w:lvlText w:val="%1"/>
      <w:lvlJc w:val="left"/>
    </w:lvl>
    <w:lvl w:ilvl="1" w:tplc="99469552">
      <w:start w:val="2"/>
      <w:numFmt w:val="lowerLetter"/>
      <w:lvlText w:val="(%2)"/>
      <w:lvlJc w:val="left"/>
    </w:lvl>
    <w:lvl w:ilvl="2" w:tplc="08E21654">
      <w:start w:val="1"/>
      <w:numFmt w:val="decimal"/>
      <w:lvlText w:val="%3."/>
      <w:lvlJc w:val="left"/>
    </w:lvl>
    <w:lvl w:ilvl="3" w:tplc="E1BEB802">
      <w:numFmt w:val="decimal"/>
      <w:lvlText w:val=""/>
      <w:lvlJc w:val="left"/>
    </w:lvl>
    <w:lvl w:ilvl="4" w:tplc="DDFA64C6">
      <w:numFmt w:val="decimal"/>
      <w:lvlText w:val=""/>
      <w:lvlJc w:val="left"/>
    </w:lvl>
    <w:lvl w:ilvl="5" w:tplc="9C80733C">
      <w:numFmt w:val="decimal"/>
      <w:lvlText w:val=""/>
      <w:lvlJc w:val="left"/>
    </w:lvl>
    <w:lvl w:ilvl="6" w:tplc="59FC6DF2">
      <w:numFmt w:val="decimal"/>
      <w:lvlText w:val=""/>
      <w:lvlJc w:val="left"/>
    </w:lvl>
    <w:lvl w:ilvl="7" w:tplc="3EBACEDC">
      <w:numFmt w:val="decimal"/>
      <w:lvlText w:val=""/>
      <w:lvlJc w:val="left"/>
    </w:lvl>
    <w:lvl w:ilvl="8" w:tplc="52146012">
      <w:numFmt w:val="decimal"/>
      <w:lvlText w:val=""/>
      <w:lvlJc w:val="left"/>
    </w:lvl>
  </w:abstractNum>
  <w:abstractNum w:abstractNumId="25" w15:restartNumberingAfterBreak="0">
    <w:nsid w:val="00000389"/>
    <w:multiLevelType w:val="hybridMultilevel"/>
    <w:tmpl w:val="59160F72"/>
    <w:lvl w:ilvl="0" w:tplc="D742B7A4">
      <w:start w:val="3"/>
      <w:numFmt w:val="lowerLetter"/>
      <w:lvlText w:val="%1."/>
      <w:lvlJc w:val="left"/>
    </w:lvl>
    <w:lvl w:ilvl="1" w:tplc="AA36826E">
      <w:start w:val="1"/>
      <w:numFmt w:val="lowerRoman"/>
      <w:lvlText w:val="%2."/>
      <w:lvlJc w:val="left"/>
    </w:lvl>
    <w:lvl w:ilvl="2" w:tplc="5EEAD5D0">
      <w:numFmt w:val="decimal"/>
      <w:lvlText w:val=""/>
      <w:lvlJc w:val="left"/>
    </w:lvl>
    <w:lvl w:ilvl="3" w:tplc="41444510">
      <w:numFmt w:val="decimal"/>
      <w:lvlText w:val=""/>
      <w:lvlJc w:val="left"/>
    </w:lvl>
    <w:lvl w:ilvl="4" w:tplc="CAE8B860">
      <w:numFmt w:val="decimal"/>
      <w:lvlText w:val=""/>
      <w:lvlJc w:val="left"/>
    </w:lvl>
    <w:lvl w:ilvl="5" w:tplc="E9981996">
      <w:numFmt w:val="decimal"/>
      <w:lvlText w:val=""/>
      <w:lvlJc w:val="left"/>
    </w:lvl>
    <w:lvl w:ilvl="6" w:tplc="D21C1502">
      <w:numFmt w:val="decimal"/>
      <w:lvlText w:val=""/>
      <w:lvlJc w:val="left"/>
    </w:lvl>
    <w:lvl w:ilvl="7" w:tplc="64D25A60">
      <w:numFmt w:val="decimal"/>
      <w:lvlText w:val=""/>
      <w:lvlJc w:val="left"/>
    </w:lvl>
    <w:lvl w:ilvl="8" w:tplc="B0E4A066">
      <w:numFmt w:val="decimal"/>
      <w:lvlText w:val=""/>
      <w:lvlJc w:val="left"/>
    </w:lvl>
  </w:abstractNum>
  <w:abstractNum w:abstractNumId="26" w15:restartNumberingAfterBreak="0">
    <w:nsid w:val="000003AF"/>
    <w:multiLevelType w:val="hybridMultilevel"/>
    <w:tmpl w:val="85F2FA10"/>
    <w:lvl w:ilvl="0" w:tplc="D690E3B0">
      <w:start w:val="1"/>
      <w:numFmt w:val="decimal"/>
      <w:lvlText w:val="%1"/>
      <w:lvlJc w:val="left"/>
      <w:rPr>
        <w:vertAlign w:val="superscript"/>
      </w:rPr>
    </w:lvl>
    <w:lvl w:ilvl="1" w:tplc="FCE47B84">
      <w:numFmt w:val="decimal"/>
      <w:lvlText w:val=""/>
      <w:lvlJc w:val="left"/>
    </w:lvl>
    <w:lvl w:ilvl="2" w:tplc="122C5DA8">
      <w:numFmt w:val="decimal"/>
      <w:lvlText w:val=""/>
      <w:lvlJc w:val="left"/>
    </w:lvl>
    <w:lvl w:ilvl="3" w:tplc="737CDEB6">
      <w:numFmt w:val="decimal"/>
      <w:lvlText w:val=""/>
      <w:lvlJc w:val="left"/>
    </w:lvl>
    <w:lvl w:ilvl="4" w:tplc="788ADF56">
      <w:numFmt w:val="decimal"/>
      <w:lvlText w:val=""/>
      <w:lvlJc w:val="left"/>
    </w:lvl>
    <w:lvl w:ilvl="5" w:tplc="84CABD2A">
      <w:numFmt w:val="decimal"/>
      <w:lvlText w:val=""/>
      <w:lvlJc w:val="left"/>
    </w:lvl>
    <w:lvl w:ilvl="6" w:tplc="A9AC958E">
      <w:numFmt w:val="decimal"/>
      <w:lvlText w:val=""/>
      <w:lvlJc w:val="left"/>
    </w:lvl>
    <w:lvl w:ilvl="7" w:tplc="D826BFBE">
      <w:numFmt w:val="decimal"/>
      <w:lvlText w:val=""/>
      <w:lvlJc w:val="left"/>
    </w:lvl>
    <w:lvl w:ilvl="8" w:tplc="8FA8A334">
      <w:numFmt w:val="decimal"/>
      <w:lvlText w:val=""/>
      <w:lvlJc w:val="left"/>
    </w:lvl>
  </w:abstractNum>
  <w:abstractNum w:abstractNumId="27" w15:restartNumberingAfterBreak="0">
    <w:nsid w:val="000003BE"/>
    <w:multiLevelType w:val="hybridMultilevel"/>
    <w:tmpl w:val="13F29C6A"/>
    <w:lvl w:ilvl="0" w:tplc="09A44D66">
      <w:start w:val="1"/>
      <w:numFmt w:val="decimal"/>
      <w:lvlText w:val="%1"/>
      <w:lvlJc w:val="left"/>
    </w:lvl>
    <w:lvl w:ilvl="1" w:tplc="99525448">
      <w:start w:val="2"/>
      <w:numFmt w:val="lowerLetter"/>
      <w:lvlText w:val="%2."/>
      <w:lvlJc w:val="left"/>
    </w:lvl>
    <w:lvl w:ilvl="2" w:tplc="E13447C4">
      <w:numFmt w:val="decimal"/>
      <w:lvlText w:val=""/>
      <w:lvlJc w:val="left"/>
    </w:lvl>
    <w:lvl w:ilvl="3" w:tplc="AAE45D12">
      <w:numFmt w:val="decimal"/>
      <w:lvlText w:val=""/>
      <w:lvlJc w:val="left"/>
    </w:lvl>
    <w:lvl w:ilvl="4" w:tplc="D646FC1E">
      <w:numFmt w:val="decimal"/>
      <w:lvlText w:val=""/>
      <w:lvlJc w:val="left"/>
    </w:lvl>
    <w:lvl w:ilvl="5" w:tplc="A4F86BC4">
      <w:numFmt w:val="decimal"/>
      <w:lvlText w:val=""/>
      <w:lvlJc w:val="left"/>
    </w:lvl>
    <w:lvl w:ilvl="6" w:tplc="A15A8F02">
      <w:numFmt w:val="decimal"/>
      <w:lvlText w:val=""/>
      <w:lvlJc w:val="left"/>
    </w:lvl>
    <w:lvl w:ilvl="7" w:tplc="C31452F4">
      <w:numFmt w:val="decimal"/>
      <w:lvlText w:val=""/>
      <w:lvlJc w:val="left"/>
    </w:lvl>
    <w:lvl w:ilvl="8" w:tplc="CAE8CA98">
      <w:numFmt w:val="decimal"/>
      <w:lvlText w:val=""/>
      <w:lvlJc w:val="left"/>
    </w:lvl>
  </w:abstractNum>
  <w:abstractNum w:abstractNumId="28" w15:restartNumberingAfterBreak="0">
    <w:nsid w:val="000003F1"/>
    <w:multiLevelType w:val="hybridMultilevel"/>
    <w:tmpl w:val="DFA0B9C8"/>
    <w:lvl w:ilvl="0" w:tplc="BE0679BA">
      <w:start w:val="1"/>
      <w:numFmt w:val="decimal"/>
      <w:lvlText w:val="%1"/>
      <w:lvlJc w:val="left"/>
    </w:lvl>
    <w:lvl w:ilvl="1" w:tplc="57108014">
      <w:start w:val="5"/>
      <w:numFmt w:val="lowerLetter"/>
      <w:lvlText w:val="(%2)"/>
      <w:lvlJc w:val="left"/>
    </w:lvl>
    <w:lvl w:ilvl="2" w:tplc="236EBAD2">
      <w:start w:val="1"/>
      <w:numFmt w:val="decimal"/>
      <w:lvlText w:val="%3"/>
      <w:lvlJc w:val="left"/>
    </w:lvl>
    <w:lvl w:ilvl="3" w:tplc="89644856">
      <w:numFmt w:val="decimal"/>
      <w:lvlText w:val=""/>
      <w:lvlJc w:val="left"/>
    </w:lvl>
    <w:lvl w:ilvl="4" w:tplc="81FAE054">
      <w:numFmt w:val="decimal"/>
      <w:lvlText w:val=""/>
      <w:lvlJc w:val="left"/>
    </w:lvl>
    <w:lvl w:ilvl="5" w:tplc="7A16F972">
      <w:numFmt w:val="decimal"/>
      <w:lvlText w:val=""/>
      <w:lvlJc w:val="left"/>
    </w:lvl>
    <w:lvl w:ilvl="6" w:tplc="1152D7F6">
      <w:numFmt w:val="decimal"/>
      <w:lvlText w:val=""/>
      <w:lvlJc w:val="left"/>
    </w:lvl>
    <w:lvl w:ilvl="7" w:tplc="7EF86A74">
      <w:numFmt w:val="decimal"/>
      <w:lvlText w:val=""/>
      <w:lvlJc w:val="left"/>
    </w:lvl>
    <w:lvl w:ilvl="8" w:tplc="4438801C">
      <w:numFmt w:val="decimal"/>
      <w:lvlText w:val=""/>
      <w:lvlJc w:val="left"/>
    </w:lvl>
  </w:abstractNum>
  <w:abstractNum w:abstractNumId="29" w15:restartNumberingAfterBreak="0">
    <w:nsid w:val="000003F4"/>
    <w:multiLevelType w:val="hybridMultilevel"/>
    <w:tmpl w:val="6930F28A"/>
    <w:lvl w:ilvl="0" w:tplc="5C0827B8">
      <w:start w:val="1"/>
      <w:numFmt w:val="lowerLetter"/>
      <w:lvlText w:val="(%1)"/>
      <w:lvlJc w:val="left"/>
    </w:lvl>
    <w:lvl w:ilvl="1" w:tplc="32404BA6">
      <w:numFmt w:val="decimal"/>
      <w:lvlText w:val=""/>
      <w:lvlJc w:val="left"/>
    </w:lvl>
    <w:lvl w:ilvl="2" w:tplc="7DFA5F9E">
      <w:numFmt w:val="decimal"/>
      <w:lvlText w:val=""/>
      <w:lvlJc w:val="left"/>
    </w:lvl>
    <w:lvl w:ilvl="3" w:tplc="C5562A1E">
      <w:numFmt w:val="decimal"/>
      <w:lvlText w:val=""/>
      <w:lvlJc w:val="left"/>
    </w:lvl>
    <w:lvl w:ilvl="4" w:tplc="4434D940">
      <w:numFmt w:val="decimal"/>
      <w:lvlText w:val=""/>
      <w:lvlJc w:val="left"/>
    </w:lvl>
    <w:lvl w:ilvl="5" w:tplc="0CB61B6A">
      <w:numFmt w:val="decimal"/>
      <w:lvlText w:val=""/>
      <w:lvlJc w:val="left"/>
    </w:lvl>
    <w:lvl w:ilvl="6" w:tplc="365CEE7E">
      <w:numFmt w:val="decimal"/>
      <w:lvlText w:val=""/>
      <w:lvlJc w:val="left"/>
    </w:lvl>
    <w:lvl w:ilvl="7" w:tplc="1E609D6A">
      <w:numFmt w:val="decimal"/>
      <w:lvlText w:val=""/>
      <w:lvlJc w:val="left"/>
    </w:lvl>
    <w:lvl w:ilvl="8" w:tplc="5E80C54E">
      <w:numFmt w:val="decimal"/>
      <w:lvlText w:val=""/>
      <w:lvlJc w:val="left"/>
    </w:lvl>
  </w:abstractNum>
  <w:abstractNum w:abstractNumId="30" w15:restartNumberingAfterBreak="0">
    <w:nsid w:val="0000041C"/>
    <w:multiLevelType w:val="hybridMultilevel"/>
    <w:tmpl w:val="F0962B20"/>
    <w:lvl w:ilvl="0" w:tplc="D5F2519C">
      <w:start w:val="1"/>
      <w:numFmt w:val="decimal"/>
      <w:lvlText w:val="%1"/>
      <w:lvlJc w:val="left"/>
    </w:lvl>
    <w:lvl w:ilvl="1" w:tplc="27706940">
      <w:start w:val="3"/>
      <w:numFmt w:val="lowerLetter"/>
      <w:lvlText w:val="(%2)"/>
      <w:lvlJc w:val="left"/>
    </w:lvl>
    <w:lvl w:ilvl="2" w:tplc="19FC3BA0">
      <w:start w:val="1"/>
      <w:numFmt w:val="decimal"/>
      <w:lvlText w:val="%3"/>
      <w:lvlJc w:val="left"/>
    </w:lvl>
    <w:lvl w:ilvl="3" w:tplc="E27C5210">
      <w:start w:val="1"/>
      <w:numFmt w:val="lowerLetter"/>
      <w:lvlText w:val="%4"/>
      <w:lvlJc w:val="left"/>
    </w:lvl>
    <w:lvl w:ilvl="4" w:tplc="B7EC7204">
      <w:numFmt w:val="decimal"/>
      <w:lvlText w:val=""/>
      <w:lvlJc w:val="left"/>
    </w:lvl>
    <w:lvl w:ilvl="5" w:tplc="8E9EDE48">
      <w:numFmt w:val="decimal"/>
      <w:lvlText w:val=""/>
      <w:lvlJc w:val="left"/>
    </w:lvl>
    <w:lvl w:ilvl="6" w:tplc="EFCC0DD2">
      <w:numFmt w:val="decimal"/>
      <w:lvlText w:val=""/>
      <w:lvlJc w:val="left"/>
    </w:lvl>
    <w:lvl w:ilvl="7" w:tplc="79E023BC">
      <w:numFmt w:val="decimal"/>
      <w:lvlText w:val=""/>
      <w:lvlJc w:val="left"/>
    </w:lvl>
    <w:lvl w:ilvl="8" w:tplc="4648A7A4">
      <w:numFmt w:val="decimal"/>
      <w:lvlText w:val=""/>
      <w:lvlJc w:val="left"/>
    </w:lvl>
  </w:abstractNum>
  <w:abstractNum w:abstractNumId="31" w15:restartNumberingAfterBreak="0">
    <w:nsid w:val="0000041E"/>
    <w:multiLevelType w:val="hybridMultilevel"/>
    <w:tmpl w:val="9B78E6C6"/>
    <w:lvl w:ilvl="0" w:tplc="E634E35A">
      <w:start w:val="1"/>
      <w:numFmt w:val="decimal"/>
      <w:lvlText w:val="%1"/>
      <w:lvlJc w:val="left"/>
    </w:lvl>
    <w:lvl w:ilvl="1" w:tplc="71903392">
      <w:start w:val="1"/>
      <w:numFmt w:val="lowerLetter"/>
      <w:lvlText w:val="(%2)"/>
      <w:lvlJc w:val="left"/>
    </w:lvl>
    <w:lvl w:ilvl="2" w:tplc="C81A296E">
      <w:numFmt w:val="decimal"/>
      <w:lvlText w:val=""/>
      <w:lvlJc w:val="left"/>
    </w:lvl>
    <w:lvl w:ilvl="3" w:tplc="ED5EC290">
      <w:numFmt w:val="decimal"/>
      <w:lvlText w:val=""/>
      <w:lvlJc w:val="left"/>
    </w:lvl>
    <w:lvl w:ilvl="4" w:tplc="A98E333A">
      <w:numFmt w:val="decimal"/>
      <w:lvlText w:val=""/>
      <w:lvlJc w:val="left"/>
    </w:lvl>
    <w:lvl w:ilvl="5" w:tplc="9990D0A4">
      <w:numFmt w:val="decimal"/>
      <w:lvlText w:val=""/>
      <w:lvlJc w:val="left"/>
    </w:lvl>
    <w:lvl w:ilvl="6" w:tplc="B0F43732">
      <w:numFmt w:val="decimal"/>
      <w:lvlText w:val=""/>
      <w:lvlJc w:val="left"/>
    </w:lvl>
    <w:lvl w:ilvl="7" w:tplc="DF8EE736">
      <w:numFmt w:val="decimal"/>
      <w:lvlText w:val=""/>
      <w:lvlJc w:val="left"/>
    </w:lvl>
    <w:lvl w:ilvl="8" w:tplc="B98EF420">
      <w:numFmt w:val="decimal"/>
      <w:lvlText w:val=""/>
      <w:lvlJc w:val="left"/>
    </w:lvl>
  </w:abstractNum>
  <w:abstractNum w:abstractNumId="32" w15:restartNumberingAfterBreak="0">
    <w:nsid w:val="0000047A"/>
    <w:multiLevelType w:val="hybridMultilevel"/>
    <w:tmpl w:val="D2ACB8A2"/>
    <w:lvl w:ilvl="0" w:tplc="B6AC7768">
      <w:start w:val="3"/>
      <w:numFmt w:val="lowerLetter"/>
      <w:lvlText w:val="(%1)"/>
      <w:lvlJc w:val="left"/>
    </w:lvl>
    <w:lvl w:ilvl="1" w:tplc="425E610C">
      <w:start w:val="1"/>
      <w:numFmt w:val="decimal"/>
      <w:lvlText w:val="%2."/>
      <w:lvlJc w:val="left"/>
    </w:lvl>
    <w:lvl w:ilvl="2" w:tplc="8E9A301A">
      <w:numFmt w:val="decimal"/>
      <w:lvlText w:val=""/>
      <w:lvlJc w:val="left"/>
    </w:lvl>
    <w:lvl w:ilvl="3" w:tplc="D6AC42AA">
      <w:numFmt w:val="decimal"/>
      <w:lvlText w:val=""/>
      <w:lvlJc w:val="left"/>
    </w:lvl>
    <w:lvl w:ilvl="4" w:tplc="DA3E0056">
      <w:numFmt w:val="decimal"/>
      <w:lvlText w:val=""/>
      <w:lvlJc w:val="left"/>
    </w:lvl>
    <w:lvl w:ilvl="5" w:tplc="54DA85D8">
      <w:numFmt w:val="decimal"/>
      <w:lvlText w:val=""/>
      <w:lvlJc w:val="left"/>
    </w:lvl>
    <w:lvl w:ilvl="6" w:tplc="56AC745E">
      <w:numFmt w:val="decimal"/>
      <w:lvlText w:val=""/>
      <w:lvlJc w:val="left"/>
    </w:lvl>
    <w:lvl w:ilvl="7" w:tplc="D62E5DCC">
      <w:numFmt w:val="decimal"/>
      <w:lvlText w:val=""/>
      <w:lvlJc w:val="left"/>
    </w:lvl>
    <w:lvl w:ilvl="8" w:tplc="BC326A10">
      <w:numFmt w:val="decimal"/>
      <w:lvlText w:val=""/>
      <w:lvlJc w:val="left"/>
    </w:lvl>
  </w:abstractNum>
  <w:abstractNum w:abstractNumId="33" w15:restartNumberingAfterBreak="0">
    <w:nsid w:val="0000049D"/>
    <w:multiLevelType w:val="hybridMultilevel"/>
    <w:tmpl w:val="48EAC95E"/>
    <w:lvl w:ilvl="0" w:tplc="9B301866">
      <w:start w:val="1"/>
      <w:numFmt w:val="decimal"/>
      <w:lvlText w:val="%1"/>
      <w:lvlJc w:val="left"/>
      <w:rPr>
        <w:vertAlign w:val="superscript"/>
      </w:rPr>
    </w:lvl>
    <w:lvl w:ilvl="1" w:tplc="87764E94">
      <w:numFmt w:val="decimal"/>
      <w:lvlText w:val=""/>
      <w:lvlJc w:val="left"/>
    </w:lvl>
    <w:lvl w:ilvl="2" w:tplc="FF8C6330">
      <w:numFmt w:val="decimal"/>
      <w:lvlText w:val=""/>
      <w:lvlJc w:val="left"/>
    </w:lvl>
    <w:lvl w:ilvl="3" w:tplc="AA60D676">
      <w:numFmt w:val="decimal"/>
      <w:lvlText w:val=""/>
      <w:lvlJc w:val="left"/>
    </w:lvl>
    <w:lvl w:ilvl="4" w:tplc="F73A2938">
      <w:numFmt w:val="decimal"/>
      <w:lvlText w:val=""/>
      <w:lvlJc w:val="left"/>
    </w:lvl>
    <w:lvl w:ilvl="5" w:tplc="C986A75C">
      <w:numFmt w:val="decimal"/>
      <w:lvlText w:val=""/>
      <w:lvlJc w:val="left"/>
    </w:lvl>
    <w:lvl w:ilvl="6" w:tplc="F7A0527A">
      <w:numFmt w:val="decimal"/>
      <w:lvlText w:val=""/>
      <w:lvlJc w:val="left"/>
    </w:lvl>
    <w:lvl w:ilvl="7" w:tplc="6A5CB8D2">
      <w:numFmt w:val="decimal"/>
      <w:lvlText w:val=""/>
      <w:lvlJc w:val="left"/>
    </w:lvl>
    <w:lvl w:ilvl="8" w:tplc="DE3E8020">
      <w:numFmt w:val="decimal"/>
      <w:lvlText w:val=""/>
      <w:lvlJc w:val="left"/>
    </w:lvl>
  </w:abstractNum>
  <w:abstractNum w:abstractNumId="34" w15:restartNumberingAfterBreak="0">
    <w:nsid w:val="000004FE"/>
    <w:multiLevelType w:val="hybridMultilevel"/>
    <w:tmpl w:val="304A07F6"/>
    <w:lvl w:ilvl="0" w:tplc="B7E2F216">
      <w:start w:val="1"/>
      <w:numFmt w:val="decimal"/>
      <w:lvlText w:val="%1"/>
      <w:lvlJc w:val="left"/>
    </w:lvl>
    <w:lvl w:ilvl="1" w:tplc="DD4A0A7E">
      <w:start w:val="1"/>
      <w:numFmt w:val="lowerLetter"/>
      <w:lvlText w:val="%2"/>
      <w:lvlJc w:val="left"/>
    </w:lvl>
    <w:lvl w:ilvl="2" w:tplc="E3C4518C">
      <w:start w:val="3"/>
      <w:numFmt w:val="decimal"/>
      <w:lvlText w:val="%3."/>
      <w:lvlJc w:val="left"/>
    </w:lvl>
    <w:lvl w:ilvl="3" w:tplc="D8E66BEE">
      <w:numFmt w:val="decimal"/>
      <w:lvlText w:val=""/>
      <w:lvlJc w:val="left"/>
    </w:lvl>
    <w:lvl w:ilvl="4" w:tplc="15BC4DF8">
      <w:numFmt w:val="decimal"/>
      <w:lvlText w:val=""/>
      <w:lvlJc w:val="left"/>
    </w:lvl>
    <w:lvl w:ilvl="5" w:tplc="8F6EE986">
      <w:numFmt w:val="decimal"/>
      <w:lvlText w:val=""/>
      <w:lvlJc w:val="left"/>
    </w:lvl>
    <w:lvl w:ilvl="6" w:tplc="60089AC4">
      <w:numFmt w:val="decimal"/>
      <w:lvlText w:val=""/>
      <w:lvlJc w:val="left"/>
    </w:lvl>
    <w:lvl w:ilvl="7" w:tplc="BAF27832">
      <w:numFmt w:val="decimal"/>
      <w:lvlText w:val=""/>
      <w:lvlJc w:val="left"/>
    </w:lvl>
    <w:lvl w:ilvl="8" w:tplc="70B8D3E6">
      <w:numFmt w:val="decimal"/>
      <w:lvlText w:val=""/>
      <w:lvlJc w:val="left"/>
    </w:lvl>
  </w:abstractNum>
  <w:abstractNum w:abstractNumId="35" w15:restartNumberingAfterBreak="0">
    <w:nsid w:val="00000533"/>
    <w:multiLevelType w:val="hybridMultilevel"/>
    <w:tmpl w:val="E9342F9A"/>
    <w:lvl w:ilvl="0" w:tplc="817850D8">
      <w:start w:val="2"/>
      <w:numFmt w:val="lowerLetter"/>
      <w:lvlText w:val="(%1)"/>
      <w:lvlJc w:val="left"/>
    </w:lvl>
    <w:lvl w:ilvl="1" w:tplc="E0C2FF60">
      <w:start w:val="1"/>
      <w:numFmt w:val="decimal"/>
      <w:lvlText w:val="%2."/>
      <w:lvlJc w:val="left"/>
    </w:lvl>
    <w:lvl w:ilvl="2" w:tplc="B620A0CE">
      <w:start w:val="1"/>
      <w:numFmt w:val="lowerLetter"/>
      <w:lvlText w:val="%3"/>
      <w:lvlJc w:val="left"/>
    </w:lvl>
    <w:lvl w:ilvl="3" w:tplc="9690BD2C">
      <w:numFmt w:val="decimal"/>
      <w:lvlText w:val=""/>
      <w:lvlJc w:val="left"/>
    </w:lvl>
    <w:lvl w:ilvl="4" w:tplc="EFD0B302">
      <w:numFmt w:val="decimal"/>
      <w:lvlText w:val=""/>
      <w:lvlJc w:val="left"/>
    </w:lvl>
    <w:lvl w:ilvl="5" w:tplc="F0A0AD46">
      <w:numFmt w:val="decimal"/>
      <w:lvlText w:val=""/>
      <w:lvlJc w:val="left"/>
    </w:lvl>
    <w:lvl w:ilvl="6" w:tplc="EB221498">
      <w:numFmt w:val="decimal"/>
      <w:lvlText w:val=""/>
      <w:lvlJc w:val="left"/>
    </w:lvl>
    <w:lvl w:ilvl="7" w:tplc="7832925E">
      <w:numFmt w:val="decimal"/>
      <w:lvlText w:val=""/>
      <w:lvlJc w:val="left"/>
    </w:lvl>
    <w:lvl w:ilvl="8" w:tplc="87B6C23A">
      <w:numFmt w:val="decimal"/>
      <w:lvlText w:val=""/>
      <w:lvlJc w:val="left"/>
    </w:lvl>
  </w:abstractNum>
  <w:abstractNum w:abstractNumId="36" w15:restartNumberingAfterBreak="0">
    <w:nsid w:val="0000053A"/>
    <w:multiLevelType w:val="hybridMultilevel"/>
    <w:tmpl w:val="38D6EF6C"/>
    <w:lvl w:ilvl="0" w:tplc="94EEF476">
      <w:start w:val="1"/>
      <w:numFmt w:val="decimal"/>
      <w:lvlText w:val="%1"/>
      <w:lvlJc w:val="left"/>
    </w:lvl>
    <w:lvl w:ilvl="1" w:tplc="F7C8528C">
      <w:start w:val="1"/>
      <w:numFmt w:val="lowerLetter"/>
      <w:lvlText w:val="%2"/>
      <w:lvlJc w:val="left"/>
    </w:lvl>
    <w:lvl w:ilvl="2" w:tplc="16DA15CE">
      <w:start w:val="2"/>
      <w:numFmt w:val="lowerLetter"/>
      <w:lvlText w:val="(%3)"/>
      <w:lvlJc w:val="left"/>
    </w:lvl>
    <w:lvl w:ilvl="3" w:tplc="E2B0F9D2">
      <w:start w:val="1"/>
      <w:numFmt w:val="decimal"/>
      <w:lvlText w:val="%4."/>
      <w:lvlJc w:val="left"/>
    </w:lvl>
    <w:lvl w:ilvl="4" w:tplc="7F984F6A">
      <w:start w:val="1"/>
      <w:numFmt w:val="lowerLetter"/>
      <w:lvlText w:val="%5"/>
      <w:lvlJc w:val="left"/>
    </w:lvl>
    <w:lvl w:ilvl="5" w:tplc="0D5AABC8">
      <w:numFmt w:val="decimal"/>
      <w:lvlText w:val=""/>
      <w:lvlJc w:val="left"/>
    </w:lvl>
    <w:lvl w:ilvl="6" w:tplc="C480D534">
      <w:numFmt w:val="decimal"/>
      <w:lvlText w:val=""/>
      <w:lvlJc w:val="left"/>
    </w:lvl>
    <w:lvl w:ilvl="7" w:tplc="BFB64F22">
      <w:numFmt w:val="decimal"/>
      <w:lvlText w:val=""/>
      <w:lvlJc w:val="left"/>
    </w:lvl>
    <w:lvl w:ilvl="8" w:tplc="5C023728">
      <w:numFmt w:val="decimal"/>
      <w:lvlText w:val=""/>
      <w:lvlJc w:val="left"/>
    </w:lvl>
  </w:abstractNum>
  <w:abstractNum w:abstractNumId="37" w15:restartNumberingAfterBreak="0">
    <w:nsid w:val="00000554"/>
    <w:multiLevelType w:val="hybridMultilevel"/>
    <w:tmpl w:val="3C8634C8"/>
    <w:lvl w:ilvl="0" w:tplc="45842786">
      <w:start w:val="4"/>
      <w:numFmt w:val="decimal"/>
      <w:lvlText w:val="(%1)"/>
      <w:lvlJc w:val="left"/>
    </w:lvl>
    <w:lvl w:ilvl="1" w:tplc="8F5AD840">
      <w:start w:val="1"/>
      <w:numFmt w:val="lowerLetter"/>
      <w:lvlText w:val="(%2)"/>
      <w:lvlJc w:val="left"/>
    </w:lvl>
    <w:lvl w:ilvl="2" w:tplc="C0AE59B8">
      <w:start w:val="1"/>
      <w:numFmt w:val="decimal"/>
      <w:lvlText w:val="%3."/>
      <w:lvlJc w:val="left"/>
    </w:lvl>
    <w:lvl w:ilvl="3" w:tplc="3A24FC8E">
      <w:numFmt w:val="decimal"/>
      <w:lvlText w:val=""/>
      <w:lvlJc w:val="left"/>
    </w:lvl>
    <w:lvl w:ilvl="4" w:tplc="701C60E0">
      <w:numFmt w:val="decimal"/>
      <w:lvlText w:val=""/>
      <w:lvlJc w:val="left"/>
    </w:lvl>
    <w:lvl w:ilvl="5" w:tplc="D220BD2E">
      <w:numFmt w:val="decimal"/>
      <w:lvlText w:val=""/>
      <w:lvlJc w:val="left"/>
    </w:lvl>
    <w:lvl w:ilvl="6" w:tplc="0EC859A8">
      <w:numFmt w:val="decimal"/>
      <w:lvlText w:val=""/>
      <w:lvlJc w:val="left"/>
    </w:lvl>
    <w:lvl w:ilvl="7" w:tplc="D4426664">
      <w:numFmt w:val="decimal"/>
      <w:lvlText w:val=""/>
      <w:lvlJc w:val="left"/>
    </w:lvl>
    <w:lvl w:ilvl="8" w:tplc="8F4A7B86">
      <w:numFmt w:val="decimal"/>
      <w:lvlText w:val=""/>
      <w:lvlJc w:val="left"/>
    </w:lvl>
  </w:abstractNum>
  <w:abstractNum w:abstractNumId="38" w15:restartNumberingAfterBreak="0">
    <w:nsid w:val="00000565"/>
    <w:multiLevelType w:val="hybridMultilevel"/>
    <w:tmpl w:val="C0868456"/>
    <w:lvl w:ilvl="0" w:tplc="5ABEACBA">
      <w:start w:val="10"/>
      <w:numFmt w:val="decimal"/>
      <w:lvlText w:val="(%1)"/>
      <w:lvlJc w:val="left"/>
    </w:lvl>
    <w:lvl w:ilvl="1" w:tplc="02F245E4">
      <w:numFmt w:val="decimal"/>
      <w:lvlText w:val=""/>
      <w:lvlJc w:val="left"/>
    </w:lvl>
    <w:lvl w:ilvl="2" w:tplc="ABD0FC0C">
      <w:numFmt w:val="decimal"/>
      <w:lvlText w:val=""/>
      <w:lvlJc w:val="left"/>
    </w:lvl>
    <w:lvl w:ilvl="3" w:tplc="0038DB6C">
      <w:numFmt w:val="decimal"/>
      <w:lvlText w:val=""/>
      <w:lvlJc w:val="left"/>
    </w:lvl>
    <w:lvl w:ilvl="4" w:tplc="7F0EDCC2">
      <w:numFmt w:val="decimal"/>
      <w:lvlText w:val=""/>
      <w:lvlJc w:val="left"/>
    </w:lvl>
    <w:lvl w:ilvl="5" w:tplc="8ACAF380">
      <w:numFmt w:val="decimal"/>
      <w:lvlText w:val=""/>
      <w:lvlJc w:val="left"/>
    </w:lvl>
    <w:lvl w:ilvl="6" w:tplc="2D98A182">
      <w:numFmt w:val="decimal"/>
      <w:lvlText w:val=""/>
      <w:lvlJc w:val="left"/>
    </w:lvl>
    <w:lvl w:ilvl="7" w:tplc="8B3A8FE8">
      <w:numFmt w:val="decimal"/>
      <w:lvlText w:val=""/>
      <w:lvlJc w:val="left"/>
    </w:lvl>
    <w:lvl w:ilvl="8" w:tplc="5F965C02">
      <w:numFmt w:val="decimal"/>
      <w:lvlText w:val=""/>
      <w:lvlJc w:val="left"/>
    </w:lvl>
  </w:abstractNum>
  <w:abstractNum w:abstractNumId="39" w15:restartNumberingAfterBreak="0">
    <w:nsid w:val="0000056A"/>
    <w:multiLevelType w:val="hybridMultilevel"/>
    <w:tmpl w:val="6F48B630"/>
    <w:lvl w:ilvl="0" w:tplc="D6DC2F84">
      <w:start w:val="1"/>
      <w:numFmt w:val="decimal"/>
      <w:lvlText w:val="%1."/>
      <w:lvlJc w:val="left"/>
    </w:lvl>
    <w:lvl w:ilvl="1" w:tplc="47782DDA">
      <w:numFmt w:val="decimal"/>
      <w:lvlText w:val=""/>
      <w:lvlJc w:val="left"/>
    </w:lvl>
    <w:lvl w:ilvl="2" w:tplc="8326AFBA">
      <w:numFmt w:val="decimal"/>
      <w:lvlText w:val=""/>
      <w:lvlJc w:val="left"/>
    </w:lvl>
    <w:lvl w:ilvl="3" w:tplc="10DE8FBA">
      <w:numFmt w:val="decimal"/>
      <w:lvlText w:val=""/>
      <w:lvlJc w:val="left"/>
    </w:lvl>
    <w:lvl w:ilvl="4" w:tplc="527029E4">
      <w:numFmt w:val="decimal"/>
      <w:lvlText w:val=""/>
      <w:lvlJc w:val="left"/>
    </w:lvl>
    <w:lvl w:ilvl="5" w:tplc="85A8E6A4">
      <w:numFmt w:val="decimal"/>
      <w:lvlText w:val=""/>
      <w:lvlJc w:val="left"/>
    </w:lvl>
    <w:lvl w:ilvl="6" w:tplc="CD442F0C">
      <w:numFmt w:val="decimal"/>
      <w:lvlText w:val=""/>
      <w:lvlJc w:val="left"/>
    </w:lvl>
    <w:lvl w:ilvl="7" w:tplc="45682AA8">
      <w:numFmt w:val="decimal"/>
      <w:lvlText w:val=""/>
      <w:lvlJc w:val="left"/>
    </w:lvl>
    <w:lvl w:ilvl="8" w:tplc="BC88211E">
      <w:numFmt w:val="decimal"/>
      <w:lvlText w:val=""/>
      <w:lvlJc w:val="left"/>
    </w:lvl>
  </w:abstractNum>
  <w:abstractNum w:abstractNumId="40" w15:restartNumberingAfterBreak="0">
    <w:nsid w:val="000005AE"/>
    <w:multiLevelType w:val="hybridMultilevel"/>
    <w:tmpl w:val="9416B7B2"/>
    <w:lvl w:ilvl="0" w:tplc="AB427FC8">
      <w:start w:val="3"/>
      <w:numFmt w:val="decimal"/>
      <w:lvlText w:val="(%1)"/>
      <w:lvlJc w:val="left"/>
    </w:lvl>
    <w:lvl w:ilvl="1" w:tplc="B1A2FF88">
      <w:start w:val="1"/>
      <w:numFmt w:val="lowerLetter"/>
      <w:lvlText w:val="(%2)"/>
      <w:lvlJc w:val="left"/>
    </w:lvl>
    <w:lvl w:ilvl="2" w:tplc="904654AA">
      <w:start w:val="1"/>
      <w:numFmt w:val="decimal"/>
      <w:lvlText w:val="%3."/>
      <w:lvlJc w:val="left"/>
    </w:lvl>
    <w:lvl w:ilvl="3" w:tplc="687E2A18">
      <w:start w:val="1"/>
      <w:numFmt w:val="lowerLetter"/>
      <w:lvlText w:val="%4."/>
      <w:lvlJc w:val="left"/>
    </w:lvl>
    <w:lvl w:ilvl="4" w:tplc="3A146C20">
      <w:numFmt w:val="decimal"/>
      <w:lvlText w:val=""/>
      <w:lvlJc w:val="left"/>
    </w:lvl>
    <w:lvl w:ilvl="5" w:tplc="983833D0">
      <w:numFmt w:val="decimal"/>
      <w:lvlText w:val=""/>
      <w:lvlJc w:val="left"/>
    </w:lvl>
    <w:lvl w:ilvl="6" w:tplc="030ADB4C">
      <w:numFmt w:val="decimal"/>
      <w:lvlText w:val=""/>
      <w:lvlJc w:val="left"/>
    </w:lvl>
    <w:lvl w:ilvl="7" w:tplc="84C4EC02">
      <w:numFmt w:val="decimal"/>
      <w:lvlText w:val=""/>
      <w:lvlJc w:val="left"/>
    </w:lvl>
    <w:lvl w:ilvl="8" w:tplc="BE263C74">
      <w:numFmt w:val="decimal"/>
      <w:lvlText w:val=""/>
      <w:lvlJc w:val="left"/>
    </w:lvl>
  </w:abstractNum>
  <w:abstractNum w:abstractNumId="41" w15:restartNumberingAfterBreak="0">
    <w:nsid w:val="000005B1"/>
    <w:multiLevelType w:val="hybridMultilevel"/>
    <w:tmpl w:val="930248F6"/>
    <w:lvl w:ilvl="0" w:tplc="5C9E6FE2">
      <w:start w:val="1"/>
      <w:numFmt w:val="lowerRoman"/>
      <w:lvlText w:val="%1."/>
      <w:lvlJc w:val="left"/>
    </w:lvl>
    <w:lvl w:ilvl="1" w:tplc="BC72F328">
      <w:numFmt w:val="decimal"/>
      <w:lvlText w:val=""/>
      <w:lvlJc w:val="left"/>
    </w:lvl>
    <w:lvl w:ilvl="2" w:tplc="F5B6EBCC">
      <w:numFmt w:val="decimal"/>
      <w:lvlText w:val=""/>
      <w:lvlJc w:val="left"/>
    </w:lvl>
    <w:lvl w:ilvl="3" w:tplc="B4FA9248">
      <w:numFmt w:val="decimal"/>
      <w:lvlText w:val=""/>
      <w:lvlJc w:val="left"/>
    </w:lvl>
    <w:lvl w:ilvl="4" w:tplc="6D6099BE">
      <w:numFmt w:val="decimal"/>
      <w:lvlText w:val=""/>
      <w:lvlJc w:val="left"/>
    </w:lvl>
    <w:lvl w:ilvl="5" w:tplc="A04069AC">
      <w:numFmt w:val="decimal"/>
      <w:lvlText w:val=""/>
      <w:lvlJc w:val="left"/>
    </w:lvl>
    <w:lvl w:ilvl="6" w:tplc="81D0998C">
      <w:numFmt w:val="decimal"/>
      <w:lvlText w:val=""/>
      <w:lvlJc w:val="left"/>
    </w:lvl>
    <w:lvl w:ilvl="7" w:tplc="F4AE51AE">
      <w:numFmt w:val="decimal"/>
      <w:lvlText w:val=""/>
      <w:lvlJc w:val="left"/>
    </w:lvl>
    <w:lvl w:ilvl="8" w:tplc="F1FE3F72">
      <w:numFmt w:val="decimal"/>
      <w:lvlText w:val=""/>
      <w:lvlJc w:val="left"/>
    </w:lvl>
  </w:abstractNum>
  <w:abstractNum w:abstractNumId="42" w15:restartNumberingAfterBreak="0">
    <w:nsid w:val="0000060E"/>
    <w:multiLevelType w:val="hybridMultilevel"/>
    <w:tmpl w:val="755600B0"/>
    <w:lvl w:ilvl="0" w:tplc="DB4A3D22">
      <w:start w:val="4"/>
      <w:numFmt w:val="decimal"/>
      <w:lvlText w:val="%1"/>
      <w:lvlJc w:val="left"/>
      <w:rPr>
        <w:vertAlign w:val="superscript"/>
      </w:rPr>
    </w:lvl>
    <w:lvl w:ilvl="1" w:tplc="4FBC7282">
      <w:start w:val="2"/>
      <w:numFmt w:val="lowerLetter"/>
      <w:lvlText w:val="(%2)"/>
      <w:lvlJc w:val="left"/>
    </w:lvl>
    <w:lvl w:ilvl="2" w:tplc="5F4656EA">
      <w:start w:val="1"/>
      <w:numFmt w:val="decimal"/>
      <w:lvlText w:val="%3."/>
      <w:lvlJc w:val="left"/>
    </w:lvl>
    <w:lvl w:ilvl="3" w:tplc="E7265202">
      <w:numFmt w:val="decimal"/>
      <w:lvlText w:val=""/>
      <w:lvlJc w:val="left"/>
    </w:lvl>
    <w:lvl w:ilvl="4" w:tplc="68B4459A">
      <w:numFmt w:val="decimal"/>
      <w:lvlText w:val=""/>
      <w:lvlJc w:val="left"/>
    </w:lvl>
    <w:lvl w:ilvl="5" w:tplc="BB4607F2">
      <w:numFmt w:val="decimal"/>
      <w:lvlText w:val=""/>
      <w:lvlJc w:val="left"/>
    </w:lvl>
    <w:lvl w:ilvl="6" w:tplc="3E56B698">
      <w:numFmt w:val="decimal"/>
      <w:lvlText w:val=""/>
      <w:lvlJc w:val="left"/>
    </w:lvl>
    <w:lvl w:ilvl="7" w:tplc="9EAA605C">
      <w:numFmt w:val="decimal"/>
      <w:lvlText w:val=""/>
      <w:lvlJc w:val="left"/>
    </w:lvl>
    <w:lvl w:ilvl="8" w:tplc="062AC4A0">
      <w:numFmt w:val="decimal"/>
      <w:lvlText w:val=""/>
      <w:lvlJc w:val="left"/>
    </w:lvl>
  </w:abstractNum>
  <w:abstractNum w:abstractNumId="43" w15:restartNumberingAfterBreak="0">
    <w:nsid w:val="0000063A"/>
    <w:multiLevelType w:val="hybridMultilevel"/>
    <w:tmpl w:val="9CC841D0"/>
    <w:lvl w:ilvl="0" w:tplc="4C42F09C">
      <w:start w:val="1"/>
      <w:numFmt w:val="lowerLetter"/>
      <w:lvlText w:val="%1"/>
      <w:lvlJc w:val="left"/>
    </w:lvl>
    <w:lvl w:ilvl="1" w:tplc="53984D9A">
      <w:start w:val="3"/>
      <w:numFmt w:val="decimal"/>
      <w:lvlText w:val="%2."/>
      <w:lvlJc w:val="left"/>
    </w:lvl>
    <w:lvl w:ilvl="2" w:tplc="68EA3D46">
      <w:start w:val="1"/>
      <w:numFmt w:val="lowerLetter"/>
      <w:lvlText w:val="%3"/>
      <w:lvlJc w:val="left"/>
    </w:lvl>
    <w:lvl w:ilvl="3" w:tplc="F38ABFF8">
      <w:numFmt w:val="decimal"/>
      <w:lvlText w:val=""/>
      <w:lvlJc w:val="left"/>
    </w:lvl>
    <w:lvl w:ilvl="4" w:tplc="3CD8A3E6">
      <w:numFmt w:val="decimal"/>
      <w:lvlText w:val=""/>
      <w:lvlJc w:val="left"/>
    </w:lvl>
    <w:lvl w:ilvl="5" w:tplc="6154476C">
      <w:numFmt w:val="decimal"/>
      <w:lvlText w:val=""/>
      <w:lvlJc w:val="left"/>
    </w:lvl>
    <w:lvl w:ilvl="6" w:tplc="59B4BAD4">
      <w:numFmt w:val="decimal"/>
      <w:lvlText w:val=""/>
      <w:lvlJc w:val="left"/>
    </w:lvl>
    <w:lvl w:ilvl="7" w:tplc="C64A9388">
      <w:numFmt w:val="decimal"/>
      <w:lvlText w:val=""/>
      <w:lvlJc w:val="left"/>
    </w:lvl>
    <w:lvl w:ilvl="8" w:tplc="4E129FD8">
      <w:numFmt w:val="decimal"/>
      <w:lvlText w:val=""/>
      <w:lvlJc w:val="left"/>
    </w:lvl>
  </w:abstractNum>
  <w:abstractNum w:abstractNumId="44" w15:restartNumberingAfterBreak="0">
    <w:nsid w:val="0000064F"/>
    <w:multiLevelType w:val="hybridMultilevel"/>
    <w:tmpl w:val="F044F34C"/>
    <w:lvl w:ilvl="0" w:tplc="582E4BB8">
      <w:start w:val="1"/>
      <w:numFmt w:val="decimal"/>
      <w:lvlText w:val="%1"/>
      <w:lvlJc w:val="left"/>
    </w:lvl>
    <w:lvl w:ilvl="1" w:tplc="279A884A">
      <w:start w:val="3"/>
      <w:numFmt w:val="lowerLetter"/>
      <w:lvlText w:val="(%2)"/>
      <w:lvlJc w:val="left"/>
    </w:lvl>
    <w:lvl w:ilvl="2" w:tplc="E0DAC782">
      <w:numFmt w:val="decimal"/>
      <w:lvlText w:val=""/>
      <w:lvlJc w:val="left"/>
    </w:lvl>
    <w:lvl w:ilvl="3" w:tplc="496C3776">
      <w:numFmt w:val="decimal"/>
      <w:lvlText w:val=""/>
      <w:lvlJc w:val="left"/>
    </w:lvl>
    <w:lvl w:ilvl="4" w:tplc="F39C3F38">
      <w:numFmt w:val="decimal"/>
      <w:lvlText w:val=""/>
      <w:lvlJc w:val="left"/>
    </w:lvl>
    <w:lvl w:ilvl="5" w:tplc="A538EB9A">
      <w:numFmt w:val="decimal"/>
      <w:lvlText w:val=""/>
      <w:lvlJc w:val="left"/>
    </w:lvl>
    <w:lvl w:ilvl="6" w:tplc="15081DD4">
      <w:numFmt w:val="decimal"/>
      <w:lvlText w:val=""/>
      <w:lvlJc w:val="left"/>
    </w:lvl>
    <w:lvl w:ilvl="7" w:tplc="943ADD0E">
      <w:numFmt w:val="decimal"/>
      <w:lvlText w:val=""/>
      <w:lvlJc w:val="left"/>
    </w:lvl>
    <w:lvl w:ilvl="8" w:tplc="00C61DDE">
      <w:numFmt w:val="decimal"/>
      <w:lvlText w:val=""/>
      <w:lvlJc w:val="left"/>
    </w:lvl>
  </w:abstractNum>
  <w:abstractNum w:abstractNumId="45" w15:restartNumberingAfterBreak="0">
    <w:nsid w:val="0000066B"/>
    <w:multiLevelType w:val="hybridMultilevel"/>
    <w:tmpl w:val="ED1C1042"/>
    <w:lvl w:ilvl="0" w:tplc="2FD434B6">
      <w:start w:val="6"/>
      <w:numFmt w:val="decimal"/>
      <w:lvlText w:val="%1."/>
      <w:lvlJc w:val="left"/>
    </w:lvl>
    <w:lvl w:ilvl="1" w:tplc="8B0E3650">
      <w:start w:val="1"/>
      <w:numFmt w:val="lowerLetter"/>
      <w:lvlText w:val="%2."/>
      <w:lvlJc w:val="left"/>
    </w:lvl>
    <w:lvl w:ilvl="2" w:tplc="154C7EF4">
      <w:start w:val="1"/>
      <w:numFmt w:val="lowerRoman"/>
      <w:lvlText w:val="%3"/>
      <w:lvlJc w:val="left"/>
    </w:lvl>
    <w:lvl w:ilvl="3" w:tplc="C0540054">
      <w:numFmt w:val="decimal"/>
      <w:lvlText w:val=""/>
      <w:lvlJc w:val="left"/>
    </w:lvl>
    <w:lvl w:ilvl="4" w:tplc="CD98D626">
      <w:numFmt w:val="decimal"/>
      <w:lvlText w:val=""/>
      <w:lvlJc w:val="left"/>
    </w:lvl>
    <w:lvl w:ilvl="5" w:tplc="028E69A6">
      <w:numFmt w:val="decimal"/>
      <w:lvlText w:val=""/>
      <w:lvlJc w:val="left"/>
    </w:lvl>
    <w:lvl w:ilvl="6" w:tplc="94748BC6">
      <w:numFmt w:val="decimal"/>
      <w:lvlText w:val=""/>
      <w:lvlJc w:val="left"/>
    </w:lvl>
    <w:lvl w:ilvl="7" w:tplc="B3069FFA">
      <w:numFmt w:val="decimal"/>
      <w:lvlText w:val=""/>
      <w:lvlJc w:val="left"/>
    </w:lvl>
    <w:lvl w:ilvl="8" w:tplc="C5386B54">
      <w:numFmt w:val="decimal"/>
      <w:lvlText w:val=""/>
      <w:lvlJc w:val="left"/>
    </w:lvl>
  </w:abstractNum>
  <w:abstractNum w:abstractNumId="46" w15:restartNumberingAfterBreak="0">
    <w:nsid w:val="00000677"/>
    <w:multiLevelType w:val="hybridMultilevel"/>
    <w:tmpl w:val="0C964F9A"/>
    <w:lvl w:ilvl="0" w:tplc="7CF09E86">
      <w:start w:val="4"/>
      <w:numFmt w:val="decimal"/>
      <w:lvlText w:val="(%1)"/>
      <w:lvlJc w:val="left"/>
    </w:lvl>
    <w:lvl w:ilvl="1" w:tplc="EDD6EA50">
      <w:start w:val="1"/>
      <w:numFmt w:val="lowerLetter"/>
      <w:lvlText w:val="(%2)"/>
      <w:lvlJc w:val="left"/>
    </w:lvl>
    <w:lvl w:ilvl="2" w:tplc="0409000F">
      <w:start w:val="1"/>
      <w:numFmt w:val="decimal"/>
      <w:lvlText w:val="%3."/>
      <w:lvlJc w:val="left"/>
    </w:lvl>
    <w:lvl w:ilvl="3" w:tplc="C5446E8A">
      <w:start w:val="1"/>
      <w:numFmt w:val="lowerLetter"/>
      <w:lvlText w:val="%4"/>
      <w:lvlJc w:val="left"/>
    </w:lvl>
    <w:lvl w:ilvl="4" w:tplc="3C32DECC">
      <w:numFmt w:val="decimal"/>
      <w:lvlText w:val=""/>
      <w:lvlJc w:val="left"/>
    </w:lvl>
    <w:lvl w:ilvl="5" w:tplc="D63C3D08">
      <w:numFmt w:val="decimal"/>
      <w:lvlText w:val=""/>
      <w:lvlJc w:val="left"/>
    </w:lvl>
    <w:lvl w:ilvl="6" w:tplc="EBC229C6">
      <w:numFmt w:val="decimal"/>
      <w:lvlText w:val=""/>
      <w:lvlJc w:val="left"/>
    </w:lvl>
    <w:lvl w:ilvl="7" w:tplc="0FE63E5E">
      <w:numFmt w:val="decimal"/>
      <w:lvlText w:val=""/>
      <w:lvlJc w:val="left"/>
    </w:lvl>
    <w:lvl w:ilvl="8" w:tplc="FF3651DA">
      <w:numFmt w:val="decimal"/>
      <w:lvlText w:val=""/>
      <w:lvlJc w:val="left"/>
    </w:lvl>
  </w:abstractNum>
  <w:abstractNum w:abstractNumId="47" w15:restartNumberingAfterBreak="0">
    <w:nsid w:val="000006C7"/>
    <w:multiLevelType w:val="hybridMultilevel"/>
    <w:tmpl w:val="AAD8D0B8"/>
    <w:lvl w:ilvl="0" w:tplc="E2789EBA">
      <w:start w:val="1"/>
      <w:numFmt w:val="lowerLetter"/>
      <w:lvlText w:val="%1"/>
      <w:lvlJc w:val="left"/>
    </w:lvl>
    <w:lvl w:ilvl="1" w:tplc="D5C43FD0">
      <w:start w:val="1"/>
      <w:numFmt w:val="decimal"/>
      <w:lvlText w:val="%2"/>
      <w:lvlJc w:val="left"/>
    </w:lvl>
    <w:lvl w:ilvl="2" w:tplc="6D6A0C3A">
      <w:start w:val="3"/>
      <w:numFmt w:val="lowerLetter"/>
      <w:lvlText w:val="%3."/>
      <w:lvlJc w:val="left"/>
    </w:lvl>
    <w:lvl w:ilvl="3" w:tplc="58DE93BE">
      <w:numFmt w:val="decimal"/>
      <w:lvlText w:val=""/>
      <w:lvlJc w:val="left"/>
    </w:lvl>
    <w:lvl w:ilvl="4" w:tplc="6544576C">
      <w:numFmt w:val="decimal"/>
      <w:lvlText w:val=""/>
      <w:lvlJc w:val="left"/>
    </w:lvl>
    <w:lvl w:ilvl="5" w:tplc="417A6790">
      <w:numFmt w:val="decimal"/>
      <w:lvlText w:val=""/>
      <w:lvlJc w:val="left"/>
    </w:lvl>
    <w:lvl w:ilvl="6" w:tplc="99388AE8">
      <w:numFmt w:val="decimal"/>
      <w:lvlText w:val=""/>
      <w:lvlJc w:val="left"/>
    </w:lvl>
    <w:lvl w:ilvl="7" w:tplc="8CC8561A">
      <w:numFmt w:val="decimal"/>
      <w:lvlText w:val=""/>
      <w:lvlJc w:val="left"/>
    </w:lvl>
    <w:lvl w:ilvl="8" w:tplc="BB3A12E8">
      <w:numFmt w:val="decimal"/>
      <w:lvlText w:val=""/>
      <w:lvlJc w:val="left"/>
    </w:lvl>
  </w:abstractNum>
  <w:abstractNum w:abstractNumId="48" w15:restartNumberingAfterBreak="0">
    <w:nsid w:val="000006EE"/>
    <w:multiLevelType w:val="hybridMultilevel"/>
    <w:tmpl w:val="75F0F46E"/>
    <w:lvl w:ilvl="0" w:tplc="9FB09052">
      <w:start w:val="4"/>
      <w:numFmt w:val="decimal"/>
      <w:lvlText w:val="(%1)"/>
      <w:lvlJc w:val="left"/>
    </w:lvl>
    <w:lvl w:ilvl="1" w:tplc="19E0F3EC">
      <w:start w:val="1"/>
      <w:numFmt w:val="lowerLetter"/>
      <w:lvlText w:val="(%2)"/>
      <w:lvlJc w:val="left"/>
    </w:lvl>
    <w:lvl w:ilvl="2" w:tplc="2A38F874">
      <w:numFmt w:val="decimal"/>
      <w:lvlText w:val=""/>
      <w:lvlJc w:val="left"/>
    </w:lvl>
    <w:lvl w:ilvl="3" w:tplc="FE709DD2">
      <w:numFmt w:val="decimal"/>
      <w:lvlText w:val=""/>
      <w:lvlJc w:val="left"/>
    </w:lvl>
    <w:lvl w:ilvl="4" w:tplc="F0CEAEB8">
      <w:numFmt w:val="decimal"/>
      <w:lvlText w:val=""/>
      <w:lvlJc w:val="left"/>
    </w:lvl>
    <w:lvl w:ilvl="5" w:tplc="4380F2CE">
      <w:numFmt w:val="decimal"/>
      <w:lvlText w:val=""/>
      <w:lvlJc w:val="left"/>
    </w:lvl>
    <w:lvl w:ilvl="6" w:tplc="5FC2FF80">
      <w:numFmt w:val="decimal"/>
      <w:lvlText w:val=""/>
      <w:lvlJc w:val="left"/>
    </w:lvl>
    <w:lvl w:ilvl="7" w:tplc="75B2AA72">
      <w:numFmt w:val="decimal"/>
      <w:lvlText w:val=""/>
      <w:lvlJc w:val="left"/>
    </w:lvl>
    <w:lvl w:ilvl="8" w:tplc="410E2F38">
      <w:numFmt w:val="decimal"/>
      <w:lvlText w:val=""/>
      <w:lvlJc w:val="left"/>
    </w:lvl>
  </w:abstractNum>
  <w:abstractNum w:abstractNumId="49" w15:restartNumberingAfterBreak="0">
    <w:nsid w:val="0000072C"/>
    <w:multiLevelType w:val="hybridMultilevel"/>
    <w:tmpl w:val="6E36740A"/>
    <w:lvl w:ilvl="0" w:tplc="2FC6269C">
      <w:start w:val="10"/>
      <w:numFmt w:val="decimal"/>
      <w:lvlText w:val="(%1)"/>
      <w:lvlJc w:val="left"/>
    </w:lvl>
    <w:lvl w:ilvl="1" w:tplc="B06C8E78">
      <w:start w:val="1"/>
      <w:numFmt w:val="lowerLetter"/>
      <w:lvlText w:val="(%2)"/>
      <w:lvlJc w:val="left"/>
    </w:lvl>
    <w:lvl w:ilvl="2" w:tplc="1F26399E">
      <w:numFmt w:val="decimal"/>
      <w:lvlText w:val=""/>
      <w:lvlJc w:val="left"/>
    </w:lvl>
    <w:lvl w:ilvl="3" w:tplc="DAE071F4">
      <w:numFmt w:val="decimal"/>
      <w:lvlText w:val=""/>
      <w:lvlJc w:val="left"/>
    </w:lvl>
    <w:lvl w:ilvl="4" w:tplc="1E447BD2">
      <w:numFmt w:val="decimal"/>
      <w:lvlText w:val=""/>
      <w:lvlJc w:val="left"/>
    </w:lvl>
    <w:lvl w:ilvl="5" w:tplc="ACDAB652">
      <w:numFmt w:val="decimal"/>
      <w:lvlText w:val=""/>
      <w:lvlJc w:val="left"/>
    </w:lvl>
    <w:lvl w:ilvl="6" w:tplc="EB827226">
      <w:numFmt w:val="decimal"/>
      <w:lvlText w:val=""/>
      <w:lvlJc w:val="left"/>
    </w:lvl>
    <w:lvl w:ilvl="7" w:tplc="96DCE580">
      <w:numFmt w:val="decimal"/>
      <w:lvlText w:val=""/>
      <w:lvlJc w:val="left"/>
    </w:lvl>
    <w:lvl w:ilvl="8" w:tplc="16E2202C">
      <w:numFmt w:val="decimal"/>
      <w:lvlText w:val=""/>
      <w:lvlJc w:val="left"/>
    </w:lvl>
  </w:abstractNum>
  <w:abstractNum w:abstractNumId="50" w15:restartNumberingAfterBreak="0">
    <w:nsid w:val="00000730"/>
    <w:multiLevelType w:val="hybridMultilevel"/>
    <w:tmpl w:val="8452C7E8"/>
    <w:lvl w:ilvl="0" w:tplc="88FC9A4C">
      <w:start w:val="1"/>
      <w:numFmt w:val="decimal"/>
      <w:lvlText w:val="%1"/>
      <w:lvlJc w:val="left"/>
    </w:lvl>
    <w:lvl w:ilvl="1" w:tplc="D2BE71CA">
      <w:start w:val="4"/>
      <w:numFmt w:val="lowerLetter"/>
      <w:lvlText w:val="(%2)"/>
      <w:lvlJc w:val="left"/>
    </w:lvl>
    <w:lvl w:ilvl="2" w:tplc="B0AE9634">
      <w:start w:val="1"/>
      <w:numFmt w:val="decimal"/>
      <w:lvlText w:val="%3"/>
      <w:lvlJc w:val="left"/>
    </w:lvl>
    <w:lvl w:ilvl="3" w:tplc="EA9034A4">
      <w:numFmt w:val="decimal"/>
      <w:lvlText w:val=""/>
      <w:lvlJc w:val="left"/>
    </w:lvl>
    <w:lvl w:ilvl="4" w:tplc="F3C451E8">
      <w:numFmt w:val="decimal"/>
      <w:lvlText w:val=""/>
      <w:lvlJc w:val="left"/>
    </w:lvl>
    <w:lvl w:ilvl="5" w:tplc="92986F90">
      <w:numFmt w:val="decimal"/>
      <w:lvlText w:val=""/>
      <w:lvlJc w:val="left"/>
    </w:lvl>
    <w:lvl w:ilvl="6" w:tplc="59D83060">
      <w:numFmt w:val="decimal"/>
      <w:lvlText w:val=""/>
      <w:lvlJc w:val="left"/>
    </w:lvl>
    <w:lvl w:ilvl="7" w:tplc="18086A2A">
      <w:numFmt w:val="decimal"/>
      <w:lvlText w:val=""/>
      <w:lvlJc w:val="left"/>
    </w:lvl>
    <w:lvl w:ilvl="8" w:tplc="27BCC30C">
      <w:numFmt w:val="decimal"/>
      <w:lvlText w:val=""/>
      <w:lvlJc w:val="left"/>
    </w:lvl>
  </w:abstractNum>
  <w:abstractNum w:abstractNumId="51" w15:restartNumberingAfterBreak="0">
    <w:nsid w:val="00000759"/>
    <w:multiLevelType w:val="hybridMultilevel"/>
    <w:tmpl w:val="EFD6AD16"/>
    <w:lvl w:ilvl="0" w:tplc="B156C784">
      <w:start w:val="1"/>
      <w:numFmt w:val="lowerLetter"/>
      <w:lvlText w:val="%1"/>
      <w:lvlJc w:val="left"/>
    </w:lvl>
    <w:lvl w:ilvl="1" w:tplc="A2647008">
      <w:start w:val="1"/>
      <w:numFmt w:val="decimal"/>
      <w:lvlText w:val="%2"/>
      <w:lvlJc w:val="left"/>
    </w:lvl>
    <w:lvl w:ilvl="2" w:tplc="81C85212">
      <w:start w:val="2"/>
      <w:numFmt w:val="lowerLetter"/>
      <w:lvlText w:val="%3."/>
      <w:lvlJc w:val="left"/>
    </w:lvl>
    <w:lvl w:ilvl="3" w:tplc="0F4E8ECA">
      <w:numFmt w:val="decimal"/>
      <w:lvlText w:val=""/>
      <w:lvlJc w:val="left"/>
    </w:lvl>
    <w:lvl w:ilvl="4" w:tplc="41FCC2BC">
      <w:numFmt w:val="decimal"/>
      <w:lvlText w:val=""/>
      <w:lvlJc w:val="left"/>
    </w:lvl>
    <w:lvl w:ilvl="5" w:tplc="5A6079F4">
      <w:numFmt w:val="decimal"/>
      <w:lvlText w:val=""/>
      <w:lvlJc w:val="left"/>
    </w:lvl>
    <w:lvl w:ilvl="6" w:tplc="EC3095B4">
      <w:numFmt w:val="decimal"/>
      <w:lvlText w:val=""/>
      <w:lvlJc w:val="left"/>
    </w:lvl>
    <w:lvl w:ilvl="7" w:tplc="822E86C2">
      <w:numFmt w:val="decimal"/>
      <w:lvlText w:val=""/>
      <w:lvlJc w:val="left"/>
    </w:lvl>
    <w:lvl w:ilvl="8" w:tplc="4F7E13BA">
      <w:numFmt w:val="decimal"/>
      <w:lvlText w:val=""/>
      <w:lvlJc w:val="left"/>
    </w:lvl>
  </w:abstractNum>
  <w:abstractNum w:abstractNumId="52" w15:restartNumberingAfterBreak="0">
    <w:nsid w:val="00000795"/>
    <w:multiLevelType w:val="hybridMultilevel"/>
    <w:tmpl w:val="3594E394"/>
    <w:lvl w:ilvl="0" w:tplc="6ABC2C48">
      <w:start w:val="3"/>
      <w:numFmt w:val="lowerLetter"/>
      <w:lvlText w:val="(%1)"/>
      <w:lvlJc w:val="left"/>
    </w:lvl>
    <w:lvl w:ilvl="1" w:tplc="4C386AB2">
      <w:numFmt w:val="decimal"/>
      <w:lvlText w:val=""/>
      <w:lvlJc w:val="left"/>
    </w:lvl>
    <w:lvl w:ilvl="2" w:tplc="C4AEF044">
      <w:numFmt w:val="decimal"/>
      <w:lvlText w:val=""/>
      <w:lvlJc w:val="left"/>
    </w:lvl>
    <w:lvl w:ilvl="3" w:tplc="EBC0D9F4">
      <w:numFmt w:val="decimal"/>
      <w:lvlText w:val=""/>
      <w:lvlJc w:val="left"/>
    </w:lvl>
    <w:lvl w:ilvl="4" w:tplc="DF5E924C">
      <w:numFmt w:val="decimal"/>
      <w:lvlText w:val=""/>
      <w:lvlJc w:val="left"/>
    </w:lvl>
    <w:lvl w:ilvl="5" w:tplc="0E4CE738">
      <w:numFmt w:val="decimal"/>
      <w:lvlText w:val=""/>
      <w:lvlJc w:val="left"/>
    </w:lvl>
    <w:lvl w:ilvl="6" w:tplc="DA98AC06">
      <w:numFmt w:val="decimal"/>
      <w:lvlText w:val=""/>
      <w:lvlJc w:val="left"/>
    </w:lvl>
    <w:lvl w:ilvl="7" w:tplc="065C57B0">
      <w:numFmt w:val="decimal"/>
      <w:lvlText w:val=""/>
      <w:lvlJc w:val="left"/>
    </w:lvl>
    <w:lvl w:ilvl="8" w:tplc="622829A2">
      <w:numFmt w:val="decimal"/>
      <w:lvlText w:val=""/>
      <w:lvlJc w:val="left"/>
    </w:lvl>
  </w:abstractNum>
  <w:abstractNum w:abstractNumId="53" w15:restartNumberingAfterBreak="0">
    <w:nsid w:val="000007EC"/>
    <w:multiLevelType w:val="hybridMultilevel"/>
    <w:tmpl w:val="59F6C544"/>
    <w:lvl w:ilvl="0" w:tplc="3C261032">
      <w:start w:val="1"/>
      <w:numFmt w:val="lowerLetter"/>
      <w:lvlText w:val="%1"/>
      <w:lvlJc w:val="left"/>
    </w:lvl>
    <w:lvl w:ilvl="1" w:tplc="B67C6016">
      <w:start w:val="1"/>
      <w:numFmt w:val="decimal"/>
      <w:lvlText w:val="%2"/>
      <w:lvlJc w:val="left"/>
    </w:lvl>
    <w:lvl w:ilvl="2" w:tplc="B794361A">
      <w:start w:val="5"/>
      <w:numFmt w:val="lowerLetter"/>
      <w:lvlText w:val="%3."/>
      <w:lvlJc w:val="left"/>
    </w:lvl>
    <w:lvl w:ilvl="3" w:tplc="DAE4EB12">
      <w:numFmt w:val="decimal"/>
      <w:lvlText w:val=""/>
      <w:lvlJc w:val="left"/>
    </w:lvl>
    <w:lvl w:ilvl="4" w:tplc="B76ADA26">
      <w:numFmt w:val="decimal"/>
      <w:lvlText w:val=""/>
      <w:lvlJc w:val="left"/>
    </w:lvl>
    <w:lvl w:ilvl="5" w:tplc="76D426A8">
      <w:numFmt w:val="decimal"/>
      <w:lvlText w:val=""/>
      <w:lvlJc w:val="left"/>
    </w:lvl>
    <w:lvl w:ilvl="6" w:tplc="7E4A7C5C">
      <w:numFmt w:val="decimal"/>
      <w:lvlText w:val=""/>
      <w:lvlJc w:val="left"/>
    </w:lvl>
    <w:lvl w:ilvl="7" w:tplc="5374E71E">
      <w:numFmt w:val="decimal"/>
      <w:lvlText w:val=""/>
      <w:lvlJc w:val="left"/>
    </w:lvl>
    <w:lvl w:ilvl="8" w:tplc="2E12C026">
      <w:numFmt w:val="decimal"/>
      <w:lvlText w:val=""/>
      <w:lvlJc w:val="left"/>
    </w:lvl>
  </w:abstractNum>
  <w:abstractNum w:abstractNumId="54" w15:restartNumberingAfterBreak="0">
    <w:nsid w:val="00000828"/>
    <w:multiLevelType w:val="hybridMultilevel"/>
    <w:tmpl w:val="E6D2B0B8"/>
    <w:lvl w:ilvl="0" w:tplc="1ADEFD38">
      <w:start w:val="23"/>
      <w:numFmt w:val="decimal"/>
      <w:lvlText w:val="(%1)"/>
      <w:lvlJc w:val="left"/>
    </w:lvl>
    <w:lvl w:ilvl="1" w:tplc="FF7E0B5E">
      <w:start w:val="1"/>
      <w:numFmt w:val="lowerLetter"/>
      <w:lvlText w:val="(%2)"/>
      <w:lvlJc w:val="left"/>
    </w:lvl>
    <w:lvl w:ilvl="2" w:tplc="5A8043E2">
      <w:numFmt w:val="decimal"/>
      <w:lvlText w:val=""/>
      <w:lvlJc w:val="left"/>
    </w:lvl>
    <w:lvl w:ilvl="3" w:tplc="C75C9AC0">
      <w:numFmt w:val="decimal"/>
      <w:lvlText w:val=""/>
      <w:lvlJc w:val="left"/>
    </w:lvl>
    <w:lvl w:ilvl="4" w:tplc="5E6A883C">
      <w:numFmt w:val="decimal"/>
      <w:lvlText w:val=""/>
      <w:lvlJc w:val="left"/>
    </w:lvl>
    <w:lvl w:ilvl="5" w:tplc="EDACA4EA">
      <w:numFmt w:val="decimal"/>
      <w:lvlText w:val=""/>
      <w:lvlJc w:val="left"/>
    </w:lvl>
    <w:lvl w:ilvl="6" w:tplc="462C7350">
      <w:numFmt w:val="decimal"/>
      <w:lvlText w:val=""/>
      <w:lvlJc w:val="left"/>
    </w:lvl>
    <w:lvl w:ilvl="7" w:tplc="39E4289A">
      <w:numFmt w:val="decimal"/>
      <w:lvlText w:val=""/>
      <w:lvlJc w:val="left"/>
    </w:lvl>
    <w:lvl w:ilvl="8" w:tplc="F8520AD0">
      <w:numFmt w:val="decimal"/>
      <w:lvlText w:val=""/>
      <w:lvlJc w:val="left"/>
    </w:lvl>
  </w:abstractNum>
  <w:abstractNum w:abstractNumId="55" w15:restartNumberingAfterBreak="0">
    <w:nsid w:val="0000082F"/>
    <w:multiLevelType w:val="hybridMultilevel"/>
    <w:tmpl w:val="4A1A1CE0"/>
    <w:lvl w:ilvl="0" w:tplc="0C56B3AA">
      <w:start w:val="5"/>
      <w:numFmt w:val="decimal"/>
      <w:lvlText w:val="(%1)"/>
      <w:lvlJc w:val="left"/>
    </w:lvl>
    <w:lvl w:ilvl="1" w:tplc="EDFEEDE6">
      <w:start w:val="1"/>
      <w:numFmt w:val="lowerLetter"/>
      <w:lvlText w:val="(%2)"/>
      <w:lvlJc w:val="left"/>
    </w:lvl>
    <w:lvl w:ilvl="2" w:tplc="349212C4">
      <w:start w:val="1"/>
      <w:numFmt w:val="decimal"/>
      <w:lvlText w:val="%3."/>
      <w:lvlJc w:val="left"/>
    </w:lvl>
    <w:lvl w:ilvl="3" w:tplc="7020F59A">
      <w:start w:val="1"/>
      <w:numFmt w:val="lowerLetter"/>
      <w:lvlText w:val="%4"/>
      <w:lvlJc w:val="left"/>
    </w:lvl>
    <w:lvl w:ilvl="4" w:tplc="D4509D02">
      <w:numFmt w:val="decimal"/>
      <w:lvlText w:val=""/>
      <w:lvlJc w:val="left"/>
    </w:lvl>
    <w:lvl w:ilvl="5" w:tplc="FBC2C5D2">
      <w:numFmt w:val="decimal"/>
      <w:lvlText w:val=""/>
      <w:lvlJc w:val="left"/>
    </w:lvl>
    <w:lvl w:ilvl="6" w:tplc="970EA0F0">
      <w:numFmt w:val="decimal"/>
      <w:lvlText w:val=""/>
      <w:lvlJc w:val="left"/>
    </w:lvl>
    <w:lvl w:ilvl="7" w:tplc="8A821EA6">
      <w:numFmt w:val="decimal"/>
      <w:lvlText w:val=""/>
      <w:lvlJc w:val="left"/>
    </w:lvl>
    <w:lvl w:ilvl="8" w:tplc="4A96EB72">
      <w:numFmt w:val="decimal"/>
      <w:lvlText w:val=""/>
      <w:lvlJc w:val="left"/>
    </w:lvl>
  </w:abstractNum>
  <w:abstractNum w:abstractNumId="56" w15:restartNumberingAfterBreak="0">
    <w:nsid w:val="0000083F"/>
    <w:multiLevelType w:val="hybridMultilevel"/>
    <w:tmpl w:val="87DEF11C"/>
    <w:lvl w:ilvl="0" w:tplc="80E08848">
      <w:start w:val="18"/>
      <w:numFmt w:val="decimal"/>
      <w:lvlText w:val="(%1)"/>
      <w:lvlJc w:val="left"/>
    </w:lvl>
    <w:lvl w:ilvl="1" w:tplc="B2B0A454">
      <w:numFmt w:val="decimal"/>
      <w:lvlText w:val=""/>
      <w:lvlJc w:val="left"/>
    </w:lvl>
    <w:lvl w:ilvl="2" w:tplc="A7887594">
      <w:numFmt w:val="decimal"/>
      <w:lvlText w:val=""/>
      <w:lvlJc w:val="left"/>
    </w:lvl>
    <w:lvl w:ilvl="3" w:tplc="09A6A496">
      <w:numFmt w:val="decimal"/>
      <w:lvlText w:val=""/>
      <w:lvlJc w:val="left"/>
    </w:lvl>
    <w:lvl w:ilvl="4" w:tplc="BFC453E4">
      <w:numFmt w:val="decimal"/>
      <w:lvlText w:val=""/>
      <w:lvlJc w:val="left"/>
    </w:lvl>
    <w:lvl w:ilvl="5" w:tplc="CBD8D932">
      <w:numFmt w:val="decimal"/>
      <w:lvlText w:val=""/>
      <w:lvlJc w:val="left"/>
    </w:lvl>
    <w:lvl w:ilvl="6" w:tplc="0832C908">
      <w:numFmt w:val="decimal"/>
      <w:lvlText w:val=""/>
      <w:lvlJc w:val="left"/>
    </w:lvl>
    <w:lvl w:ilvl="7" w:tplc="CCBCF3AA">
      <w:numFmt w:val="decimal"/>
      <w:lvlText w:val=""/>
      <w:lvlJc w:val="left"/>
    </w:lvl>
    <w:lvl w:ilvl="8" w:tplc="89200A74">
      <w:numFmt w:val="decimal"/>
      <w:lvlText w:val=""/>
      <w:lvlJc w:val="left"/>
    </w:lvl>
  </w:abstractNum>
  <w:abstractNum w:abstractNumId="57" w15:restartNumberingAfterBreak="0">
    <w:nsid w:val="00000840"/>
    <w:multiLevelType w:val="hybridMultilevel"/>
    <w:tmpl w:val="9DE0092E"/>
    <w:lvl w:ilvl="0" w:tplc="99A49B20">
      <w:start w:val="1"/>
      <w:numFmt w:val="bullet"/>
      <w:lvlText w:val="*"/>
      <w:lvlJc w:val="left"/>
      <w:rPr>
        <w:vertAlign w:val="superscript"/>
      </w:rPr>
    </w:lvl>
    <w:lvl w:ilvl="1" w:tplc="DF289CB2">
      <w:numFmt w:val="decimal"/>
      <w:lvlText w:val=""/>
      <w:lvlJc w:val="left"/>
    </w:lvl>
    <w:lvl w:ilvl="2" w:tplc="EB5CB90C">
      <w:numFmt w:val="decimal"/>
      <w:lvlText w:val=""/>
      <w:lvlJc w:val="left"/>
    </w:lvl>
    <w:lvl w:ilvl="3" w:tplc="8A4E69A4">
      <w:numFmt w:val="decimal"/>
      <w:lvlText w:val=""/>
      <w:lvlJc w:val="left"/>
    </w:lvl>
    <w:lvl w:ilvl="4" w:tplc="12E2A514">
      <w:numFmt w:val="decimal"/>
      <w:lvlText w:val=""/>
      <w:lvlJc w:val="left"/>
    </w:lvl>
    <w:lvl w:ilvl="5" w:tplc="954876F0">
      <w:numFmt w:val="decimal"/>
      <w:lvlText w:val=""/>
      <w:lvlJc w:val="left"/>
    </w:lvl>
    <w:lvl w:ilvl="6" w:tplc="4348A304">
      <w:numFmt w:val="decimal"/>
      <w:lvlText w:val=""/>
      <w:lvlJc w:val="left"/>
    </w:lvl>
    <w:lvl w:ilvl="7" w:tplc="75CEBCF4">
      <w:numFmt w:val="decimal"/>
      <w:lvlText w:val=""/>
      <w:lvlJc w:val="left"/>
    </w:lvl>
    <w:lvl w:ilvl="8" w:tplc="64326AD6">
      <w:numFmt w:val="decimal"/>
      <w:lvlText w:val=""/>
      <w:lvlJc w:val="left"/>
    </w:lvl>
  </w:abstractNum>
  <w:abstractNum w:abstractNumId="58" w15:restartNumberingAfterBreak="0">
    <w:nsid w:val="00000860"/>
    <w:multiLevelType w:val="hybridMultilevel"/>
    <w:tmpl w:val="D8861E50"/>
    <w:lvl w:ilvl="0" w:tplc="49DE39C6">
      <w:start w:val="7"/>
      <w:numFmt w:val="decimal"/>
      <w:lvlText w:val="(%1)"/>
      <w:lvlJc w:val="left"/>
    </w:lvl>
    <w:lvl w:ilvl="1" w:tplc="E01E6B6A">
      <w:start w:val="1"/>
      <w:numFmt w:val="lowerLetter"/>
      <w:lvlText w:val="(%2)"/>
      <w:lvlJc w:val="left"/>
    </w:lvl>
    <w:lvl w:ilvl="2" w:tplc="562C627E">
      <w:start w:val="1"/>
      <w:numFmt w:val="decimal"/>
      <w:lvlText w:val="%3."/>
      <w:lvlJc w:val="left"/>
    </w:lvl>
    <w:lvl w:ilvl="3" w:tplc="0F9AECB2">
      <w:numFmt w:val="decimal"/>
      <w:lvlText w:val=""/>
      <w:lvlJc w:val="left"/>
    </w:lvl>
    <w:lvl w:ilvl="4" w:tplc="13C4A376">
      <w:numFmt w:val="decimal"/>
      <w:lvlText w:val=""/>
      <w:lvlJc w:val="left"/>
    </w:lvl>
    <w:lvl w:ilvl="5" w:tplc="53B23D38">
      <w:numFmt w:val="decimal"/>
      <w:lvlText w:val=""/>
      <w:lvlJc w:val="left"/>
    </w:lvl>
    <w:lvl w:ilvl="6" w:tplc="EE14F7F8">
      <w:numFmt w:val="decimal"/>
      <w:lvlText w:val=""/>
      <w:lvlJc w:val="left"/>
    </w:lvl>
    <w:lvl w:ilvl="7" w:tplc="8EE44D58">
      <w:numFmt w:val="decimal"/>
      <w:lvlText w:val=""/>
      <w:lvlJc w:val="left"/>
    </w:lvl>
    <w:lvl w:ilvl="8" w:tplc="7E1A3C1C">
      <w:numFmt w:val="decimal"/>
      <w:lvlText w:val=""/>
      <w:lvlJc w:val="left"/>
    </w:lvl>
  </w:abstractNum>
  <w:abstractNum w:abstractNumId="59" w15:restartNumberingAfterBreak="0">
    <w:nsid w:val="0000088B"/>
    <w:multiLevelType w:val="hybridMultilevel"/>
    <w:tmpl w:val="50B21EA2"/>
    <w:lvl w:ilvl="0" w:tplc="6D62BB44">
      <w:start w:val="3"/>
      <w:numFmt w:val="lowerLetter"/>
      <w:lvlText w:val="(%1)"/>
      <w:lvlJc w:val="left"/>
    </w:lvl>
    <w:lvl w:ilvl="1" w:tplc="A618911E">
      <w:start w:val="1"/>
      <w:numFmt w:val="decimal"/>
      <w:lvlText w:val="%2."/>
      <w:lvlJc w:val="left"/>
    </w:lvl>
    <w:lvl w:ilvl="2" w:tplc="9726F2EC">
      <w:numFmt w:val="decimal"/>
      <w:lvlText w:val=""/>
      <w:lvlJc w:val="left"/>
    </w:lvl>
    <w:lvl w:ilvl="3" w:tplc="D130993E">
      <w:numFmt w:val="decimal"/>
      <w:lvlText w:val=""/>
      <w:lvlJc w:val="left"/>
    </w:lvl>
    <w:lvl w:ilvl="4" w:tplc="494C5BE6">
      <w:numFmt w:val="decimal"/>
      <w:lvlText w:val=""/>
      <w:lvlJc w:val="left"/>
    </w:lvl>
    <w:lvl w:ilvl="5" w:tplc="000AE3E4">
      <w:numFmt w:val="decimal"/>
      <w:lvlText w:val=""/>
      <w:lvlJc w:val="left"/>
    </w:lvl>
    <w:lvl w:ilvl="6" w:tplc="23DE7C7C">
      <w:numFmt w:val="decimal"/>
      <w:lvlText w:val=""/>
      <w:lvlJc w:val="left"/>
    </w:lvl>
    <w:lvl w:ilvl="7" w:tplc="322E66DC">
      <w:numFmt w:val="decimal"/>
      <w:lvlText w:val=""/>
      <w:lvlJc w:val="left"/>
    </w:lvl>
    <w:lvl w:ilvl="8" w:tplc="82F2E454">
      <w:numFmt w:val="decimal"/>
      <w:lvlText w:val=""/>
      <w:lvlJc w:val="left"/>
    </w:lvl>
  </w:abstractNum>
  <w:abstractNum w:abstractNumId="60" w15:restartNumberingAfterBreak="0">
    <w:nsid w:val="0000089E"/>
    <w:multiLevelType w:val="hybridMultilevel"/>
    <w:tmpl w:val="AC1066C0"/>
    <w:lvl w:ilvl="0" w:tplc="4BCA0FB2">
      <w:start w:val="3"/>
      <w:numFmt w:val="decimal"/>
      <w:lvlText w:val="%1."/>
      <w:lvlJc w:val="left"/>
    </w:lvl>
    <w:lvl w:ilvl="1" w:tplc="9C60AC0A">
      <w:start w:val="1"/>
      <w:numFmt w:val="lowerRoman"/>
      <w:lvlText w:val="%2"/>
      <w:lvlJc w:val="left"/>
    </w:lvl>
    <w:lvl w:ilvl="2" w:tplc="87F078FE">
      <w:start w:val="1"/>
      <w:numFmt w:val="lowerRoman"/>
      <w:lvlText w:val="%3"/>
      <w:lvlJc w:val="left"/>
    </w:lvl>
    <w:lvl w:ilvl="3" w:tplc="103C544C">
      <w:start w:val="1"/>
      <w:numFmt w:val="lowerLetter"/>
      <w:lvlText w:val="%4"/>
      <w:lvlJc w:val="left"/>
    </w:lvl>
    <w:lvl w:ilvl="4" w:tplc="3AA414C6">
      <w:numFmt w:val="decimal"/>
      <w:lvlText w:val=""/>
      <w:lvlJc w:val="left"/>
    </w:lvl>
    <w:lvl w:ilvl="5" w:tplc="53821318">
      <w:numFmt w:val="decimal"/>
      <w:lvlText w:val=""/>
      <w:lvlJc w:val="left"/>
    </w:lvl>
    <w:lvl w:ilvl="6" w:tplc="E776213C">
      <w:numFmt w:val="decimal"/>
      <w:lvlText w:val=""/>
      <w:lvlJc w:val="left"/>
    </w:lvl>
    <w:lvl w:ilvl="7" w:tplc="78A86A08">
      <w:numFmt w:val="decimal"/>
      <w:lvlText w:val=""/>
      <w:lvlJc w:val="left"/>
    </w:lvl>
    <w:lvl w:ilvl="8" w:tplc="19203902">
      <w:numFmt w:val="decimal"/>
      <w:lvlText w:val=""/>
      <w:lvlJc w:val="left"/>
    </w:lvl>
  </w:abstractNum>
  <w:abstractNum w:abstractNumId="61" w15:restartNumberingAfterBreak="0">
    <w:nsid w:val="000008BD"/>
    <w:multiLevelType w:val="hybridMultilevel"/>
    <w:tmpl w:val="24E491EE"/>
    <w:lvl w:ilvl="0" w:tplc="BC7203F4">
      <w:start w:val="2"/>
      <w:numFmt w:val="decimal"/>
      <w:lvlText w:val="(%1)"/>
      <w:lvlJc w:val="left"/>
    </w:lvl>
    <w:lvl w:ilvl="1" w:tplc="1EFE6C0C">
      <w:numFmt w:val="decimal"/>
      <w:lvlText w:val=""/>
      <w:lvlJc w:val="left"/>
    </w:lvl>
    <w:lvl w:ilvl="2" w:tplc="7B444D46">
      <w:numFmt w:val="decimal"/>
      <w:lvlText w:val=""/>
      <w:lvlJc w:val="left"/>
    </w:lvl>
    <w:lvl w:ilvl="3" w:tplc="CE8C72D0">
      <w:numFmt w:val="decimal"/>
      <w:lvlText w:val=""/>
      <w:lvlJc w:val="left"/>
    </w:lvl>
    <w:lvl w:ilvl="4" w:tplc="EE6AF576">
      <w:numFmt w:val="decimal"/>
      <w:lvlText w:val=""/>
      <w:lvlJc w:val="left"/>
    </w:lvl>
    <w:lvl w:ilvl="5" w:tplc="38348BA2">
      <w:numFmt w:val="decimal"/>
      <w:lvlText w:val=""/>
      <w:lvlJc w:val="left"/>
    </w:lvl>
    <w:lvl w:ilvl="6" w:tplc="53F67294">
      <w:numFmt w:val="decimal"/>
      <w:lvlText w:val=""/>
      <w:lvlJc w:val="left"/>
    </w:lvl>
    <w:lvl w:ilvl="7" w:tplc="FED6E70C">
      <w:numFmt w:val="decimal"/>
      <w:lvlText w:val=""/>
      <w:lvlJc w:val="left"/>
    </w:lvl>
    <w:lvl w:ilvl="8" w:tplc="5C1E7DC6">
      <w:numFmt w:val="decimal"/>
      <w:lvlText w:val=""/>
      <w:lvlJc w:val="left"/>
    </w:lvl>
  </w:abstractNum>
  <w:abstractNum w:abstractNumId="62" w15:restartNumberingAfterBreak="0">
    <w:nsid w:val="000008D2"/>
    <w:multiLevelType w:val="hybridMultilevel"/>
    <w:tmpl w:val="D0F28238"/>
    <w:lvl w:ilvl="0" w:tplc="0980D9F4">
      <w:start w:val="1"/>
      <w:numFmt w:val="decimal"/>
      <w:lvlText w:val="%1"/>
      <w:lvlJc w:val="left"/>
    </w:lvl>
    <w:lvl w:ilvl="1" w:tplc="2522E2E6">
      <w:start w:val="1"/>
      <w:numFmt w:val="lowerLetter"/>
      <w:lvlText w:val="%2"/>
      <w:lvlJc w:val="left"/>
    </w:lvl>
    <w:lvl w:ilvl="2" w:tplc="4B00A0A0">
      <w:start w:val="1"/>
      <w:numFmt w:val="decimal"/>
      <w:lvlText w:val="%3."/>
      <w:lvlJc w:val="left"/>
    </w:lvl>
    <w:lvl w:ilvl="3" w:tplc="C916CA26">
      <w:numFmt w:val="decimal"/>
      <w:lvlText w:val=""/>
      <w:lvlJc w:val="left"/>
    </w:lvl>
    <w:lvl w:ilvl="4" w:tplc="9CE69558">
      <w:numFmt w:val="decimal"/>
      <w:lvlText w:val=""/>
      <w:lvlJc w:val="left"/>
    </w:lvl>
    <w:lvl w:ilvl="5" w:tplc="CBDEA9D2">
      <w:numFmt w:val="decimal"/>
      <w:lvlText w:val=""/>
      <w:lvlJc w:val="left"/>
    </w:lvl>
    <w:lvl w:ilvl="6" w:tplc="8E48F1F8">
      <w:numFmt w:val="decimal"/>
      <w:lvlText w:val=""/>
      <w:lvlJc w:val="left"/>
    </w:lvl>
    <w:lvl w:ilvl="7" w:tplc="3B5233A8">
      <w:numFmt w:val="decimal"/>
      <w:lvlText w:val=""/>
      <w:lvlJc w:val="left"/>
    </w:lvl>
    <w:lvl w:ilvl="8" w:tplc="FC6AF09C">
      <w:numFmt w:val="decimal"/>
      <w:lvlText w:val=""/>
      <w:lvlJc w:val="left"/>
    </w:lvl>
  </w:abstractNum>
  <w:abstractNum w:abstractNumId="63" w15:restartNumberingAfterBreak="0">
    <w:nsid w:val="00000917"/>
    <w:multiLevelType w:val="hybridMultilevel"/>
    <w:tmpl w:val="734EEF92"/>
    <w:lvl w:ilvl="0" w:tplc="397A90A2">
      <w:start w:val="3"/>
      <w:numFmt w:val="decimal"/>
      <w:lvlText w:val="(%1)"/>
      <w:lvlJc w:val="left"/>
    </w:lvl>
    <w:lvl w:ilvl="1" w:tplc="390277A6">
      <w:start w:val="1"/>
      <w:numFmt w:val="lowerLetter"/>
      <w:lvlText w:val="(%2)"/>
      <w:lvlJc w:val="left"/>
    </w:lvl>
    <w:lvl w:ilvl="2" w:tplc="A2CABF10">
      <w:numFmt w:val="decimal"/>
      <w:lvlText w:val=""/>
      <w:lvlJc w:val="left"/>
    </w:lvl>
    <w:lvl w:ilvl="3" w:tplc="6BD0922A">
      <w:numFmt w:val="decimal"/>
      <w:lvlText w:val=""/>
      <w:lvlJc w:val="left"/>
    </w:lvl>
    <w:lvl w:ilvl="4" w:tplc="C554CED0">
      <w:numFmt w:val="decimal"/>
      <w:lvlText w:val=""/>
      <w:lvlJc w:val="left"/>
    </w:lvl>
    <w:lvl w:ilvl="5" w:tplc="AF0ABA5E">
      <w:numFmt w:val="decimal"/>
      <w:lvlText w:val=""/>
      <w:lvlJc w:val="left"/>
    </w:lvl>
    <w:lvl w:ilvl="6" w:tplc="28E8AEFE">
      <w:numFmt w:val="decimal"/>
      <w:lvlText w:val=""/>
      <w:lvlJc w:val="left"/>
    </w:lvl>
    <w:lvl w:ilvl="7" w:tplc="BF58496A">
      <w:numFmt w:val="decimal"/>
      <w:lvlText w:val=""/>
      <w:lvlJc w:val="left"/>
    </w:lvl>
    <w:lvl w:ilvl="8" w:tplc="F36E81B4">
      <w:numFmt w:val="decimal"/>
      <w:lvlText w:val=""/>
      <w:lvlJc w:val="left"/>
    </w:lvl>
  </w:abstractNum>
  <w:abstractNum w:abstractNumId="64" w15:restartNumberingAfterBreak="0">
    <w:nsid w:val="0000091A"/>
    <w:multiLevelType w:val="hybridMultilevel"/>
    <w:tmpl w:val="380EC0E4"/>
    <w:lvl w:ilvl="0" w:tplc="9668926A">
      <w:start w:val="1"/>
      <w:numFmt w:val="decimal"/>
      <w:lvlText w:val="%1"/>
      <w:lvlJc w:val="left"/>
    </w:lvl>
    <w:lvl w:ilvl="1" w:tplc="877412C4">
      <w:start w:val="1"/>
      <w:numFmt w:val="lowerLetter"/>
      <w:lvlText w:val="%2"/>
      <w:lvlJc w:val="left"/>
    </w:lvl>
    <w:lvl w:ilvl="2" w:tplc="5F187F70">
      <w:start w:val="1"/>
      <w:numFmt w:val="decimal"/>
      <w:lvlText w:val="%3."/>
      <w:lvlJc w:val="left"/>
    </w:lvl>
    <w:lvl w:ilvl="3" w:tplc="91C815D2">
      <w:numFmt w:val="decimal"/>
      <w:lvlText w:val=""/>
      <w:lvlJc w:val="left"/>
    </w:lvl>
    <w:lvl w:ilvl="4" w:tplc="78BADA9A">
      <w:numFmt w:val="decimal"/>
      <w:lvlText w:val=""/>
      <w:lvlJc w:val="left"/>
    </w:lvl>
    <w:lvl w:ilvl="5" w:tplc="EE08335E">
      <w:numFmt w:val="decimal"/>
      <w:lvlText w:val=""/>
      <w:lvlJc w:val="left"/>
    </w:lvl>
    <w:lvl w:ilvl="6" w:tplc="EBACE314">
      <w:numFmt w:val="decimal"/>
      <w:lvlText w:val=""/>
      <w:lvlJc w:val="left"/>
    </w:lvl>
    <w:lvl w:ilvl="7" w:tplc="27601356">
      <w:numFmt w:val="decimal"/>
      <w:lvlText w:val=""/>
      <w:lvlJc w:val="left"/>
    </w:lvl>
    <w:lvl w:ilvl="8" w:tplc="4F7CB1B4">
      <w:numFmt w:val="decimal"/>
      <w:lvlText w:val=""/>
      <w:lvlJc w:val="left"/>
    </w:lvl>
  </w:abstractNum>
  <w:abstractNum w:abstractNumId="65" w15:restartNumberingAfterBreak="0">
    <w:nsid w:val="00000948"/>
    <w:multiLevelType w:val="hybridMultilevel"/>
    <w:tmpl w:val="248A0BA4"/>
    <w:lvl w:ilvl="0" w:tplc="E84C4D6E">
      <w:start w:val="2"/>
      <w:numFmt w:val="lowerLetter"/>
      <w:lvlText w:val="(%1)"/>
      <w:lvlJc w:val="left"/>
    </w:lvl>
    <w:lvl w:ilvl="1" w:tplc="FE6AC566">
      <w:start w:val="1"/>
      <w:numFmt w:val="decimal"/>
      <w:lvlText w:val="%2."/>
      <w:lvlJc w:val="left"/>
    </w:lvl>
    <w:lvl w:ilvl="2" w:tplc="68E0CE8C">
      <w:start w:val="1"/>
      <w:numFmt w:val="lowerLetter"/>
      <w:lvlText w:val="%3."/>
      <w:lvlJc w:val="left"/>
    </w:lvl>
    <w:lvl w:ilvl="3" w:tplc="905EF746">
      <w:numFmt w:val="decimal"/>
      <w:lvlText w:val=""/>
      <w:lvlJc w:val="left"/>
    </w:lvl>
    <w:lvl w:ilvl="4" w:tplc="E2547194">
      <w:numFmt w:val="decimal"/>
      <w:lvlText w:val=""/>
      <w:lvlJc w:val="left"/>
    </w:lvl>
    <w:lvl w:ilvl="5" w:tplc="D368C8A0">
      <w:numFmt w:val="decimal"/>
      <w:lvlText w:val=""/>
      <w:lvlJc w:val="left"/>
    </w:lvl>
    <w:lvl w:ilvl="6" w:tplc="34AC2288">
      <w:numFmt w:val="decimal"/>
      <w:lvlText w:val=""/>
      <w:lvlJc w:val="left"/>
    </w:lvl>
    <w:lvl w:ilvl="7" w:tplc="256E31E6">
      <w:numFmt w:val="decimal"/>
      <w:lvlText w:val=""/>
      <w:lvlJc w:val="left"/>
    </w:lvl>
    <w:lvl w:ilvl="8" w:tplc="92C2A1A2">
      <w:numFmt w:val="decimal"/>
      <w:lvlText w:val=""/>
      <w:lvlJc w:val="left"/>
    </w:lvl>
  </w:abstractNum>
  <w:abstractNum w:abstractNumId="66" w15:restartNumberingAfterBreak="0">
    <w:nsid w:val="0000098D"/>
    <w:multiLevelType w:val="hybridMultilevel"/>
    <w:tmpl w:val="96A2709E"/>
    <w:lvl w:ilvl="0" w:tplc="440AC96E">
      <w:start w:val="5"/>
      <w:numFmt w:val="decimal"/>
      <w:lvlText w:val="(%1)"/>
      <w:lvlJc w:val="left"/>
    </w:lvl>
    <w:lvl w:ilvl="1" w:tplc="3FC0310A">
      <w:start w:val="1"/>
      <w:numFmt w:val="lowerLetter"/>
      <w:lvlText w:val="(%2)"/>
      <w:lvlJc w:val="left"/>
    </w:lvl>
    <w:lvl w:ilvl="2" w:tplc="B2ACF82E">
      <w:start w:val="1"/>
      <w:numFmt w:val="decimal"/>
      <w:lvlText w:val="%3."/>
      <w:lvlJc w:val="left"/>
    </w:lvl>
    <w:lvl w:ilvl="3" w:tplc="B4D8503A">
      <w:start w:val="1"/>
      <w:numFmt w:val="lowerLetter"/>
      <w:lvlText w:val="%4"/>
      <w:lvlJc w:val="left"/>
    </w:lvl>
    <w:lvl w:ilvl="4" w:tplc="215C229A">
      <w:numFmt w:val="decimal"/>
      <w:lvlText w:val=""/>
      <w:lvlJc w:val="left"/>
    </w:lvl>
    <w:lvl w:ilvl="5" w:tplc="CAE681C8">
      <w:numFmt w:val="decimal"/>
      <w:lvlText w:val=""/>
      <w:lvlJc w:val="left"/>
    </w:lvl>
    <w:lvl w:ilvl="6" w:tplc="35A2D75C">
      <w:numFmt w:val="decimal"/>
      <w:lvlText w:val=""/>
      <w:lvlJc w:val="left"/>
    </w:lvl>
    <w:lvl w:ilvl="7" w:tplc="80A839B4">
      <w:numFmt w:val="decimal"/>
      <w:lvlText w:val=""/>
      <w:lvlJc w:val="left"/>
    </w:lvl>
    <w:lvl w:ilvl="8" w:tplc="39280C7A">
      <w:numFmt w:val="decimal"/>
      <w:lvlText w:val=""/>
      <w:lvlJc w:val="left"/>
    </w:lvl>
  </w:abstractNum>
  <w:abstractNum w:abstractNumId="67" w15:restartNumberingAfterBreak="0">
    <w:nsid w:val="000009B1"/>
    <w:multiLevelType w:val="hybridMultilevel"/>
    <w:tmpl w:val="C73001BE"/>
    <w:lvl w:ilvl="0" w:tplc="2AAC5476">
      <w:start w:val="3"/>
      <w:numFmt w:val="lowerLetter"/>
      <w:lvlText w:val="(%1)"/>
      <w:lvlJc w:val="left"/>
    </w:lvl>
    <w:lvl w:ilvl="1" w:tplc="974E142C">
      <w:start w:val="1"/>
      <w:numFmt w:val="decimal"/>
      <w:lvlText w:val="%2."/>
      <w:lvlJc w:val="left"/>
    </w:lvl>
    <w:lvl w:ilvl="2" w:tplc="637A9FEE">
      <w:start w:val="1"/>
      <w:numFmt w:val="lowerLetter"/>
      <w:lvlText w:val="%3"/>
      <w:lvlJc w:val="left"/>
    </w:lvl>
    <w:lvl w:ilvl="3" w:tplc="F8E4F00C">
      <w:numFmt w:val="decimal"/>
      <w:lvlText w:val=""/>
      <w:lvlJc w:val="left"/>
    </w:lvl>
    <w:lvl w:ilvl="4" w:tplc="9162DDAA">
      <w:numFmt w:val="decimal"/>
      <w:lvlText w:val=""/>
      <w:lvlJc w:val="left"/>
    </w:lvl>
    <w:lvl w:ilvl="5" w:tplc="5F2CA83E">
      <w:numFmt w:val="decimal"/>
      <w:lvlText w:val=""/>
      <w:lvlJc w:val="left"/>
    </w:lvl>
    <w:lvl w:ilvl="6" w:tplc="F372060E">
      <w:numFmt w:val="decimal"/>
      <w:lvlText w:val=""/>
      <w:lvlJc w:val="left"/>
    </w:lvl>
    <w:lvl w:ilvl="7" w:tplc="AB94D550">
      <w:numFmt w:val="decimal"/>
      <w:lvlText w:val=""/>
      <w:lvlJc w:val="left"/>
    </w:lvl>
    <w:lvl w:ilvl="8" w:tplc="0AEA341E">
      <w:numFmt w:val="decimal"/>
      <w:lvlText w:val=""/>
      <w:lvlJc w:val="left"/>
    </w:lvl>
  </w:abstractNum>
  <w:abstractNum w:abstractNumId="68" w15:restartNumberingAfterBreak="0">
    <w:nsid w:val="000009C9"/>
    <w:multiLevelType w:val="hybridMultilevel"/>
    <w:tmpl w:val="CD105468"/>
    <w:lvl w:ilvl="0" w:tplc="A0729C5A">
      <w:start w:val="1"/>
      <w:numFmt w:val="lowerLetter"/>
      <w:lvlText w:val="%1"/>
      <w:lvlJc w:val="left"/>
    </w:lvl>
    <w:lvl w:ilvl="1" w:tplc="929E3A3E">
      <w:start w:val="22"/>
      <w:numFmt w:val="decimal"/>
      <w:lvlText w:val="%2."/>
      <w:lvlJc w:val="left"/>
    </w:lvl>
    <w:lvl w:ilvl="2" w:tplc="CAF82D16">
      <w:start w:val="1"/>
      <w:numFmt w:val="lowerLetter"/>
      <w:lvlText w:val="%3"/>
      <w:lvlJc w:val="left"/>
    </w:lvl>
    <w:lvl w:ilvl="3" w:tplc="FE00C98E">
      <w:numFmt w:val="decimal"/>
      <w:lvlText w:val=""/>
      <w:lvlJc w:val="left"/>
    </w:lvl>
    <w:lvl w:ilvl="4" w:tplc="CF464FD6">
      <w:numFmt w:val="decimal"/>
      <w:lvlText w:val=""/>
      <w:lvlJc w:val="left"/>
    </w:lvl>
    <w:lvl w:ilvl="5" w:tplc="3920E846">
      <w:numFmt w:val="decimal"/>
      <w:lvlText w:val=""/>
      <w:lvlJc w:val="left"/>
    </w:lvl>
    <w:lvl w:ilvl="6" w:tplc="50F43AC6">
      <w:numFmt w:val="decimal"/>
      <w:lvlText w:val=""/>
      <w:lvlJc w:val="left"/>
    </w:lvl>
    <w:lvl w:ilvl="7" w:tplc="0D5AB0C6">
      <w:numFmt w:val="decimal"/>
      <w:lvlText w:val=""/>
      <w:lvlJc w:val="left"/>
    </w:lvl>
    <w:lvl w:ilvl="8" w:tplc="30CC7EAA">
      <w:numFmt w:val="decimal"/>
      <w:lvlText w:val=""/>
      <w:lvlJc w:val="left"/>
    </w:lvl>
  </w:abstractNum>
  <w:abstractNum w:abstractNumId="69" w15:restartNumberingAfterBreak="0">
    <w:nsid w:val="000009D1"/>
    <w:multiLevelType w:val="hybridMultilevel"/>
    <w:tmpl w:val="FA541BEA"/>
    <w:lvl w:ilvl="0" w:tplc="1ED8C982">
      <w:start w:val="1"/>
      <w:numFmt w:val="lowerLetter"/>
      <w:lvlText w:val="%1"/>
      <w:lvlJc w:val="left"/>
    </w:lvl>
    <w:lvl w:ilvl="1" w:tplc="106A2280">
      <w:start w:val="310"/>
      <w:numFmt w:val="decimal"/>
      <w:lvlText w:val="%2"/>
      <w:lvlJc w:val="left"/>
    </w:lvl>
    <w:lvl w:ilvl="2" w:tplc="ED487DF0">
      <w:numFmt w:val="decimal"/>
      <w:lvlText w:val=""/>
      <w:lvlJc w:val="left"/>
    </w:lvl>
    <w:lvl w:ilvl="3" w:tplc="E4FE6C2C">
      <w:numFmt w:val="decimal"/>
      <w:lvlText w:val=""/>
      <w:lvlJc w:val="left"/>
    </w:lvl>
    <w:lvl w:ilvl="4" w:tplc="5E28B4DC">
      <w:numFmt w:val="decimal"/>
      <w:lvlText w:val=""/>
      <w:lvlJc w:val="left"/>
    </w:lvl>
    <w:lvl w:ilvl="5" w:tplc="106A055C">
      <w:numFmt w:val="decimal"/>
      <w:lvlText w:val=""/>
      <w:lvlJc w:val="left"/>
    </w:lvl>
    <w:lvl w:ilvl="6" w:tplc="D56AFD2C">
      <w:numFmt w:val="decimal"/>
      <w:lvlText w:val=""/>
      <w:lvlJc w:val="left"/>
    </w:lvl>
    <w:lvl w:ilvl="7" w:tplc="11A085DE">
      <w:numFmt w:val="decimal"/>
      <w:lvlText w:val=""/>
      <w:lvlJc w:val="left"/>
    </w:lvl>
    <w:lvl w:ilvl="8" w:tplc="3FE23A28">
      <w:numFmt w:val="decimal"/>
      <w:lvlText w:val=""/>
      <w:lvlJc w:val="left"/>
    </w:lvl>
  </w:abstractNum>
  <w:abstractNum w:abstractNumId="70" w15:restartNumberingAfterBreak="0">
    <w:nsid w:val="000009E1"/>
    <w:multiLevelType w:val="hybridMultilevel"/>
    <w:tmpl w:val="E7BE0988"/>
    <w:lvl w:ilvl="0" w:tplc="F200B4A6">
      <w:start w:val="1"/>
      <w:numFmt w:val="bullet"/>
      <w:lvlText w:val="*"/>
      <w:lvlJc w:val="left"/>
      <w:rPr>
        <w:vertAlign w:val="superscript"/>
      </w:rPr>
    </w:lvl>
    <w:lvl w:ilvl="1" w:tplc="BF523EAE">
      <w:numFmt w:val="decimal"/>
      <w:lvlText w:val=""/>
      <w:lvlJc w:val="left"/>
    </w:lvl>
    <w:lvl w:ilvl="2" w:tplc="FF46C4FE">
      <w:numFmt w:val="decimal"/>
      <w:lvlText w:val=""/>
      <w:lvlJc w:val="left"/>
    </w:lvl>
    <w:lvl w:ilvl="3" w:tplc="C686A640">
      <w:numFmt w:val="decimal"/>
      <w:lvlText w:val=""/>
      <w:lvlJc w:val="left"/>
    </w:lvl>
    <w:lvl w:ilvl="4" w:tplc="84C02720">
      <w:numFmt w:val="decimal"/>
      <w:lvlText w:val=""/>
      <w:lvlJc w:val="left"/>
    </w:lvl>
    <w:lvl w:ilvl="5" w:tplc="3D58C48C">
      <w:numFmt w:val="decimal"/>
      <w:lvlText w:val=""/>
      <w:lvlJc w:val="left"/>
    </w:lvl>
    <w:lvl w:ilvl="6" w:tplc="C2609546">
      <w:numFmt w:val="decimal"/>
      <w:lvlText w:val=""/>
      <w:lvlJc w:val="left"/>
    </w:lvl>
    <w:lvl w:ilvl="7" w:tplc="0AACCE26">
      <w:numFmt w:val="decimal"/>
      <w:lvlText w:val=""/>
      <w:lvlJc w:val="left"/>
    </w:lvl>
    <w:lvl w:ilvl="8" w:tplc="0298D0E0">
      <w:numFmt w:val="decimal"/>
      <w:lvlText w:val=""/>
      <w:lvlJc w:val="left"/>
    </w:lvl>
  </w:abstractNum>
  <w:abstractNum w:abstractNumId="71" w15:restartNumberingAfterBreak="0">
    <w:nsid w:val="00000A27"/>
    <w:multiLevelType w:val="hybridMultilevel"/>
    <w:tmpl w:val="DAF6C97C"/>
    <w:lvl w:ilvl="0" w:tplc="3836C4A8">
      <w:start w:val="1"/>
      <w:numFmt w:val="decimal"/>
      <w:lvlText w:val="%1"/>
      <w:lvlJc w:val="left"/>
    </w:lvl>
    <w:lvl w:ilvl="1" w:tplc="F00E08F8">
      <w:start w:val="1"/>
      <w:numFmt w:val="lowerLetter"/>
      <w:lvlText w:val="%2"/>
      <w:lvlJc w:val="left"/>
    </w:lvl>
    <w:lvl w:ilvl="2" w:tplc="6D607E8A">
      <w:start w:val="2"/>
      <w:numFmt w:val="decimal"/>
      <w:lvlText w:val="%3."/>
      <w:lvlJc w:val="left"/>
    </w:lvl>
    <w:lvl w:ilvl="3" w:tplc="EDA6799A">
      <w:numFmt w:val="decimal"/>
      <w:lvlText w:val=""/>
      <w:lvlJc w:val="left"/>
    </w:lvl>
    <w:lvl w:ilvl="4" w:tplc="91E80EAA">
      <w:numFmt w:val="decimal"/>
      <w:lvlText w:val=""/>
      <w:lvlJc w:val="left"/>
    </w:lvl>
    <w:lvl w:ilvl="5" w:tplc="099C0668">
      <w:numFmt w:val="decimal"/>
      <w:lvlText w:val=""/>
      <w:lvlJc w:val="left"/>
    </w:lvl>
    <w:lvl w:ilvl="6" w:tplc="FF6ED04E">
      <w:numFmt w:val="decimal"/>
      <w:lvlText w:val=""/>
      <w:lvlJc w:val="left"/>
    </w:lvl>
    <w:lvl w:ilvl="7" w:tplc="E096793A">
      <w:numFmt w:val="decimal"/>
      <w:lvlText w:val=""/>
      <w:lvlJc w:val="left"/>
    </w:lvl>
    <w:lvl w:ilvl="8" w:tplc="486497A8">
      <w:numFmt w:val="decimal"/>
      <w:lvlText w:val=""/>
      <w:lvlJc w:val="left"/>
    </w:lvl>
  </w:abstractNum>
  <w:abstractNum w:abstractNumId="72" w15:restartNumberingAfterBreak="0">
    <w:nsid w:val="00000A31"/>
    <w:multiLevelType w:val="hybridMultilevel"/>
    <w:tmpl w:val="4FEEE05A"/>
    <w:lvl w:ilvl="0" w:tplc="56C8AAA6">
      <w:start w:val="4"/>
      <w:numFmt w:val="decimal"/>
      <w:lvlText w:val="(%1)"/>
      <w:lvlJc w:val="left"/>
    </w:lvl>
    <w:lvl w:ilvl="1" w:tplc="40B4CA24">
      <w:start w:val="1"/>
      <w:numFmt w:val="lowerLetter"/>
      <w:lvlText w:val="%2"/>
      <w:lvlJc w:val="left"/>
    </w:lvl>
    <w:lvl w:ilvl="2" w:tplc="6970469C">
      <w:numFmt w:val="decimal"/>
      <w:lvlText w:val=""/>
      <w:lvlJc w:val="left"/>
    </w:lvl>
    <w:lvl w:ilvl="3" w:tplc="1EA89756">
      <w:numFmt w:val="decimal"/>
      <w:lvlText w:val=""/>
      <w:lvlJc w:val="left"/>
    </w:lvl>
    <w:lvl w:ilvl="4" w:tplc="4186410A">
      <w:numFmt w:val="decimal"/>
      <w:lvlText w:val=""/>
      <w:lvlJc w:val="left"/>
    </w:lvl>
    <w:lvl w:ilvl="5" w:tplc="82768222">
      <w:numFmt w:val="decimal"/>
      <w:lvlText w:val=""/>
      <w:lvlJc w:val="left"/>
    </w:lvl>
    <w:lvl w:ilvl="6" w:tplc="E0CCA06A">
      <w:numFmt w:val="decimal"/>
      <w:lvlText w:val=""/>
      <w:lvlJc w:val="left"/>
    </w:lvl>
    <w:lvl w:ilvl="7" w:tplc="83B0A0E4">
      <w:numFmt w:val="decimal"/>
      <w:lvlText w:val=""/>
      <w:lvlJc w:val="left"/>
    </w:lvl>
    <w:lvl w:ilvl="8" w:tplc="EF867B04">
      <w:numFmt w:val="decimal"/>
      <w:lvlText w:val=""/>
      <w:lvlJc w:val="left"/>
    </w:lvl>
  </w:abstractNum>
  <w:abstractNum w:abstractNumId="73" w15:restartNumberingAfterBreak="0">
    <w:nsid w:val="00000A3F"/>
    <w:multiLevelType w:val="hybridMultilevel"/>
    <w:tmpl w:val="853E2F0A"/>
    <w:lvl w:ilvl="0" w:tplc="20060CB2">
      <w:start w:val="3"/>
      <w:numFmt w:val="decimal"/>
      <w:lvlText w:val="(%1)"/>
      <w:lvlJc w:val="left"/>
    </w:lvl>
    <w:lvl w:ilvl="1" w:tplc="65C0F50A">
      <w:start w:val="1"/>
      <w:numFmt w:val="lowerLetter"/>
      <w:lvlText w:val="(%2)"/>
      <w:lvlJc w:val="left"/>
    </w:lvl>
    <w:lvl w:ilvl="2" w:tplc="18561234">
      <w:numFmt w:val="decimal"/>
      <w:lvlText w:val=""/>
      <w:lvlJc w:val="left"/>
    </w:lvl>
    <w:lvl w:ilvl="3" w:tplc="DB1ED1B4">
      <w:numFmt w:val="decimal"/>
      <w:lvlText w:val=""/>
      <w:lvlJc w:val="left"/>
    </w:lvl>
    <w:lvl w:ilvl="4" w:tplc="8EF6F132">
      <w:numFmt w:val="decimal"/>
      <w:lvlText w:val=""/>
      <w:lvlJc w:val="left"/>
    </w:lvl>
    <w:lvl w:ilvl="5" w:tplc="9E8AAC2A">
      <w:numFmt w:val="decimal"/>
      <w:lvlText w:val=""/>
      <w:lvlJc w:val="left"/>
    </w:lvl>
    <w:lvl w:ilvl="6" w:tplc="4A3A2B8C">
      <w:numFmt w:val="decimal"/>
      <w:lvlText w:val=""/>
      <w:lvlJc w:val="left"/>
    </w:lvl>
    <w:lvl w:ilvl="7" w:tplc="0632EE84">
      <w:numFmt w:val="decimal"/>
      <w:lvlText w:val=""/>
      <w:lvlJc w:val="left"/>
    </w:lvl>
    <w:lvl w:ilvl="8" w:tplc="EF008E50">
      <w:numFmt w:val="decimal"/>
      <w:lvlText w:val=""/>
      <w:lvlJc w:val="left"/>
    </w:lvl>
  </w:abstractNum>
  <w:abstractNum w:abstractNumId="74" w15:restartNumberingAfterBreak="0">
    <w:nsid w:val="00000A65"/>
    <w:multiLevelType w:val="hybridMultilevel"/>
    <w:tmpl w:val="23D8984E"/>
    <w:lvl w:ilvl="0" w:tplc="98A458F6">
      <w:start w:val="1"/>
      <w:numFmt w:val="lowerLetter"/>
      <w:lvlText w:val="%1"/>
      <w:lvlJc w:val="left"/>
    </w:lvl>
    <w:lvl w:ilvl="1" w:tplc="6BCAC412">
      <w:start w:val="2"/>
      <w:numFmt w:val="decimal"/>
      <w:lvlText w:val="%2."/>
      <w:lvlJc w:val="left"/>
    </w:lvl>
    <w:lvl w:ilvl="2" w:tplc="5B44B91A">
      <w:start w:val="1"/>
      <w:numFmt w:val="lowerLetter"/>
      <w:lvlText w:val="%3"/>
      <w:lvlJc w:val="left"/>
    </w:lvl>
    <w:lvl w:ilvl="3" w:tplc="CEC61BBC">
      <w:numFmt w:val="decimal"/>
      <w:lvlText w:val=""/>
      <w:lvlJc w:val="left"/>
    </w:lvl>
    <w:lvl w:ilvl="4" w:tplc="4B601B32">
      <w:numFmt w:val="decimal"/>
      <w:lvlText w:val=""/>
      <w:lvlJc w:val="left"/>
    </w:lvl>
    <w:lvl w:ilvl="5" w:tplc="BFF6EC20">
      <w:numFmt w:val="decimal"/>
      <w:lvlText w:val=""/>
      <w:lvlJc w:val="left"/>
    </w:lvl>
    <w:lvl w:ilvl="6" w:tplc="10D89E60">
      <w:numFmt w:val="decimal"/>
      <w:lvlText w:val=""/>
      <w:lvlJc w:val="left"/>
    </w:lvl>
    <w:lvl w:ilvl="7" w:tplc="77B617B0">
      <w:numFmt w:val="decimal"/>
      <w:lvlText w:val=""/>
      <w:lvlJc w:val="left"/>
    </w:lvl>
    <w:lvl w:ilvl="8" w:tplc="1A2A3460">
      <w:numFmt w:val="decimal"/>
      <w:lvlText w:val=""/>
      <w:lvlJc w:val="left"/>
    </w:lvl>
  </w:abstractNum>
  <w:abstractNum w:abstractNumId="75" w15:restartNumberingAfterBreak="0">
    <w:nsid w:val="00000A6D"/>
    <w:multiLevelType w:val="hybridMultilevel"/>
    <w:tmpl w:val="0E6A5D46"/>
    <w:lvl w:ilvl="0" w:tplc="D48C9F6C">
      <w:start w:val="4"/>
      <w:numFmt w:val="decimal"/>
      <w:lvlText w:val="%1."/>
      <w:lvlJc w:val="left"/>
    </w:lvl>
    <w:lvl w:ilvl="1" w:tplc="9418D9D2">
      <w:start w:val="1"/>
      <w:numFmt w:val="lowerLetter"/>
      <w:lvlText w:val="%2."/>
      <w:lvlJc w:val="left"/>
    </w:lvl>
    <w:lvl w:ilvl="2" w:tplc="EBE40FD6">
      <w:numFmt w:val="decimal"/>
      <w:lvlText w:val=""/>
      <w:lvlJc w:val="left"/>
    </w:lvl>
    <w:lvl w:ilvl="3" w:tplc="ECE0E3F2">
      <w:numFmt w:val="decimal"/>
      <w:lvlText w:val=""/>
      <w:lvlJc w:val="left"/>
    </w:lvl>
    <w:lvl w:ilvl="4" w:tplc="377E5130">
      <w:numFmt w:val="decimal"/>
      <w:lvlText w:val=""/>
      <w:lvlJc w:val="left"/>
    </w:lvl>
    <w:lvl w:ilvl="5" w:tplc="FB7A0958">
      <w:numFmt w:val="decimal"/>
      <w:lvlText w:val=""/>
      <w:lvlJc w:val="left"/>
    </w:lvl>
    <w:lvl w:ilvl="6" w:tplc="E9261F1A">
      <w:numFmt w:val="decimal"/>
      <w:lvlText w:val=""/>
      <w:lvlJc w:val="left"/>
    </w:lvl>
    <w:lvl w:ilvl="7" w:tplc="9D160084">
      <w:numFmt w:val="decimal"/>
      <w:lvlText w:val=""/>
      <w:lvlJc w:val="left"/>
    </w:lvl>
    <w:lvl w:ilvl="8" w:tplc="1B1EC714">
      <w:numFmt w:val="decimal"/>
      <w:lvlText w:val=""/>
      <w:lvlJc w:val="left"/>
    </w:lvl>
  </w:abstractNum>
  <w:abstractNum w:abstractNumId="76" w15:restartNumberingAfterBreak="0">
    <w:nsid w:val="00000A76"/>
    <w:multiLevelType w:val="hybridMultilevel"/>
    <w:tmpl w:val="1C949B10"/>
    <w:lvl w:ilvl="0" w:tplc="2BE8D6B6">
      <w:start w:val="1"/>
      <w:numFmt w:val="decimal"/>
      <w:lvlText w:val="%1"/>
      <w:lvlJc w:val="left"/>
    </w:lvl>
    <w:lvl w:ilvl="1" w:tplc="9E301E26">
      <w:start w:val="5"/>
      <w:numFmt w:val="lowerLetter"/>
      <w:lvlText w:val="(%2)"/>
      <w:lvlJc w:val="left"/>
    </w:lvl>
    <w:lvl w:ilvl="2" w:tplc="E7DC9C26">
      <w:start w:val="1"/>
      <w:numFmt w:val="decimal"/>
      <w:lvlText w:val="%3"/>
      <w:lvlJc w:val="left"/>
    </w:lvl>
    <w:lvl w:ilvl="3" w:tplc="E30CC470">
      <w:numFmt w:val="decimal"/>
      <w:lvlText w:val=""/>
      <w:lvlJc w:val="left"/>
    </w:lvl>
    <w:lvl w:ilvl="4" w:tplc="99DC2626">
      <w:numFmt w:val="decimal"/>
      <w:lvlText w:val=""/>
      <w:lvlJc w:val="left"/>
    </w:lvl>
    <w:lvl w:ilvl="5" w:tplc="F5521152">
      <w:numFmt w:val="decimal"/>
      <w:lvlText w:val=""/>
      <w:lvlJc w:val="left"/>
    </w:lvl>
    <w:lvl w:ilvl="6" w:tplc="E356197A">
      <w:numFmt w:val="decimal"/>
      <w:lvlText w:val=""/>
      <w:lvlJc w:val="left"/>
    </w:lvl>
    <w:lvl w:ilvl="7" w:tplc="E53EFE7E">
      <w:numFmt w:val="decimal"/>
      <w:lvlText w:val=""/>
      <w:lvlJc w:val="left"/>
    </w:lvl>
    <w:lvl w:ilvl="8" w:tplc="AD40EA3C">
      <w:numFmt w:val="decimal"/>
      <w:lvlText w:val=""/>
      <w:lvlJc w:val="left"/>
    </w:lvl>
  </w:abstractNum>
  <w:abstractNum w:abstractNumId="77" w15:restartNumberingAfterBreak="0">
    <w:nsid w:val="00000A8B"/>
    <w:multiLevelType w:val="hybridMultilevel"/>
    <w:tmpl w:val="73D4E552"/>
    <w:lvl w:ilvl="0" w:tplc="2E469FCC">
      <w:start w:val="1"/>
      <w:numFmt w:val="lowerLetter"/>
      <w:lvlText w:val="%1."/>
      <w:lvlJc w:val="left"/>
    </w:lvl>
    <w:lvl w:ilvl="1" w:tplc="C624FE10">
      <w:numFmt w:val="decimal"/>
      <w:lvlText w:val=""/>
      <w:lvlJc w:val="left"/>
    </w:lvl>
    <w:lvl w:ilvl="2" w:tplc="4F4A62AC">
      <w:numFmt w:val="decimal"/>
      <w:lvlText w:val=""/>
      <w:lvlJc w:val="left"/>
    </w:lvl>
    <w:lvl w:ilvl="3" w:tplc="D684013E">
      <w:numFmt w:val="decimal"/>
      <w:lvlText w:val=""/>
      <w:lvlJc w:val="left"/>
    </w:lvl>
    <w:lvl w:ilvl="4" w:tplc="F95E4D36">
      <w:numFmt w:val="decimal"/>
      <w:lvlText w:val=""/>
      <w:lvlJc w:val="left"/>
    </w:lvl>
    <w:lvl w:ilvl="5" w:tplc="A328A4F6">
      <w:numFmt w:val="decimal"/>
      <w:lvlText w:val=""/>
      <w:lvlJc w:val="left"/>
    </w:lvl>
    <w:lvl w:ilvl="6" w:tplc="21F4E0CC">
      <w:numFmt w:val="decimal"/>
      <w:lvlText w:val=""/>
      <w:lvlJc w:val="left"/>
    </w:lvl>
    <w:lvl w:ilvl="7" w:tplc="B2A61866">
      <w:numFmt w:val="decimal"/>
      <w:lvlText w:val=""/>
      <w:lvlJc w:val="left"/>
    </w:lvl>
    <w:lvl w:ilvl="8" w:tplc="7070E3A4">
      <w:numFmt w:val="decimal"/>
      <w:lvlText w:val=""/>
      <w:lvlJc w:val="left"/>
    </w:lvl>
  </w:abstractNum>
  <w:abstractNum w:abstractNumId="78" w15:restartNumberingAfterBreak="0">
    <w:nsid w:val="00000AB5"/>
    <w:multiLevelType w:val="hybridMultilevel"/>
    <w:tmpl w:val="C1C431E4"/>
    <w:lvl w:ilvl="0" w:tplc="7716FA7A">
      <w:start w:val="3"/>
      <w:numFmt w:val="lowerLetter"/>
      <w:lvlText w:val="(%1)"/>
      <w:lvlJc w:val="left"/>
    </w:lvl>
    <w:lvl w:ilvl="1" w:tplc="E12A9B4E">
      <w:numFmt w:val="decimal"/>
      <w:lvlText w:val=""/>
      <w:lvlJc w:val="left"/>
    </w:lvl>
    <w:lvl w:ilvl="2" w:tplc="65F26CA8">
      <w:numFmt w:val="decimal"/>
      <w:lvlText w:val=""/>
      <w:lvlJc w:val="left"/>
    </w:lvl>
    <w:lvl w:ilvl="3" w:tplc="C0368EAE">
      <w:numFmt w:val="decimal"/>
      <w:lvlText w:val=""/>
      <w:lvlJc w:val="left"/>
    </w:lvl>
    <w:lvl w:ilvl="4" w:tplc="0D2836A8">
      <w:numFmt w:val="decimal"/>
      <w:lvlText w:val=""/>
      <w:lvlJc w:val="left"/>
    </w:lvl>
    <w:lvl w:ilvl="5" w:tplc="1A6CEDA2">
      <w:numFmt w:val="decimal"/>
      <w:lvlText w:val=""/>
      <w:lvlJc w:val="left"/>
    </w:lvl>
    <w:lvl w:ilvl="6" w:tplc="FAC85F0A">
      <w:numFmt w:val="decimal"/>
      <w:lvlText w:val=""/>
      <w:lvlJc w:val="left"/>
    </w:lvl>
    <w:lvl w:ilvl="7" w:tplc="75D88308">
      <w:numFmt w:val="decimal"/>
      <w:lvlText w:val=""/>
      <w:lvlJc w:val="left"/>
    </w:lvl>
    <w:lvl w:ilvl="8" w:tplc="6C904992">
      <w:numFmt w:val="decimal"/>
      <w:lvlText w:val=""/>
      <w:lvlJc w:val="left"/>
    </w:lvl>
  </w:abstractNum>
  <w:abstractNum w:abstractNumId="79" w15:restartNumberingAfterBreak="0">
    <w:nsid w:val="00000AB6"/>
    <w:multiLevelType w:val="hybridMultilevel"/>
    <w:tmpl w:val="3E385314"/>
    <w:lvl w:ilvl="0" w:tplc="7EE0B696">
      <w:start w:val="1"/>
      <w:numFmt w:val="lowerLetter"/>
      <w:lvlText w:val="%1"/>
      <w:lvlJc w:val="left"/>
    </w:lvl>
    <w:lvl w:ilvl="1" w:tplc="18C21DE4">
      <w:start w:val="3"/>
      <w:numFmt w:val="decimal"/>
      <w:lvlText w:val="%2."/>
      <w:lvlJc w:val="left"/>
    </w:lvl>
    <w:lvl w:ilvl="2" w:tplc="299811FA">
      <w:numFmt w:val="decimal"/>
      <w:lvlText w:val=""/>
      <w:lvlJc w:val="left"/>
    </w:lvl>
    <w:lvl w:ilvl="3" w:tplc="1F58D774">
      <w:numFmt w:val="decimal"/>
      <w:lvlText w:val=""/>
      <w:lvlJc w:val="left"/>
    </w:lvl>
    <w:lvl w:ilvl="4" w:tplc="2FE82FD8">
      <w:numFmt w:val="decimal"/>
      <w:lvlText w:val=""/>
      <w:lvlJc w:val="left"/>
    </w:lvl>
    <w:lvl w:ilvl="5" w:tplc="FE4C6986">
      <w:numFmt w:val="decimal"/>
      <w:lvlText w:val=""/>
      <w:lvlJc w:val="left"/>
    </w:lvl>
    <w:lvl w:ilvl="6" w:tplc="D864F37E">
      <w:numFmt w:val="decimal"/>
      <w:lvlText w:val=""/>
      <w:lvlJc w:val="left"/>
    </w:lvl>
    <w:lvl w:ilvl="7" w:tplc="DCD46568">
      <w:numFmt w:val="decimal"/>
      <w:lvlText w:val=""/>
      <w:lvlJc w:val="left"/>
    </w:lvl>
    <w:lvl w:ilvl="8" w:tplc="B8623568">
      <w:numFmt w:val="decimal"/>
      <w:lvlText w:val=""/>
      <w:lvlJc w:val="left"/>
    </w:lvl>
  </w:abstractNum>
  <w:abstractNum w:abstractNumId="80" w15:restartNumberingAfterBreak="0">
    <w:nsid w:val="00000AE1"/>
    <w:multiLevelType w:val="hybridMultilevel"/>
    <w:tmpl w:val="D11EE23A"/>
    <w:lvl w:ilvl="0" w:tplc="69CC2E8E">
      <w:start w:val="1"/>
      <w:numFmt w:val="decimal"/>
      <w:lvlText w:val="%1"/>
      <w:lvlJc w:val="left"/>
    </w:lvl>
    <w:lvl w:ilvl="1" w:tplc="460A4830">
      <w:numFmt w:val="decimal"/>
      <w:lvlText w:val=""/>
      <w:lvlJc w:val="left"/>
    </w:lvl>
    <w:lvl w:ilvl="2" w:tplc="BA18CD16">
      <w:numFmt w:val="decimal"/>
      <w:lvlText w:val=""/>
      <w:lvlJc w:val="left"/>
    </w:lvl>
    <w:lvl w:ilvl="3" w:tplc="727208BE">
      <w:numFmt w:val="decimal"/>
      <w:lvlText w:val=""/>
      <w:lvlJc w:val="left"/>
    </w:lvl>
    <w:lvl w:ilvl="4" w:tplc="B0D671DC">
      <w:numFmt w:val="decimal"/>
      <w:lvlText w:val=""/>
      <w:lvlJc w:val="left"/>
    </w:lvl>
    <w:lvl w:ilvl="5" w:tplc="A8E2879E">
      <w:numFmt w:val="decimal"/>
      <w:lvlText w:val=""/>
      <w:lvlJc w:val="left"/>
    </w:lvl>
    <w:lvl w:ilvl="6" w:tplc="5802B6A4">
      <w:numFmt w:val="decimal"/>
      <w:lvlText w:val=""/>
      <w:lvlJc w:val="left"/>
    </w:lvl>
    <w:lvl w:ilvl="7" w:tplc="608C44A4">
      <w:numFmt w:val="decimal"/>
      <w:lvlText w:val=""/>
      <w:lvlJc w:val="left"/>
    </w:lvl>
    <w:lvl w:ilvl="8" w:tplc="D9DC8F6C">
      <w:numFmt w:val="decimal"/>
      <w:lvlText w:val=""/>
      <w:lvlJc w:val="left"/>
    </w:lvl>
  </w:abstractNum>
  <w:abstractNum w:abstractNumId="81" w15:restartNumberingAfterBreak="0">
    <w:nsid w:val="00000B2E"/>
    <w:multiLevelType w:val="hybridMultilevel"/>
    <w:tmpl w:val="BEA682CC"/>
    <w:lvl w:ilvl="0" w:tplc="4A7604F0">
      <w:start w:val="2"/>
      <w:numFmt w:val="decimal"/>
      <w:lvlText w:val="(%1)"/>
      <w:lvlJc w:val="left"/>
    </w:lvl>
    <w:lvl w:ilvl="1" w:tplc="CE7AC79A">
      <w:numFmt w:val="decimal"/>
      <w:lvlText w:val=""/>
      <w:lvlJc w:val="left"/>
    </w:lvl>
    <w:lvl w:ilvl="2" w:tplc="E0FC9E58">
      <w:numFmt w:val="decimal"/>
      <w:lvlText w:val=""/>
      <w:lvlJc w:val="left"/>
    </w:lvl>
    <w:lvl w:ilvl="3" w:tplc="10945BCC">
      <w:numFmt w:val="decimal"/>
      <w:lvlText w:val=""/>
      <w:lvlJc w:val="left"/>
    </w:lvl>
    <w:lvl w:ilvl="4" w:tplc="FA9E45AA">
      <w:numFmt w:val="decimal"/>
      <w:lvlText w:val=""/>
      <w:lvlJc w:val="left"/>
    </w:lvl>
    <w:lvl w:ilvl="5" w:tplc="06985B76">
      <w:numFmt w:val="decimal"/>
      <w:lvlText w:val=""/>
      <w:lvlJc w:val="left"/>
    </w:lvl>
    <w:lvl w:ilvl="6" w:tplc="31028BC8">
      <w:numFmt w:val="decimal"/>
      <w:lvlText w:val=""/>
      <w:lvlJc w:val="left"/>
    </w:lvl>
    <w:lvl w:ilvl="7" w:tplc="195C3388">
      <w:numFmt w:val="decimal"/>
      <w:lvlText w:val=""/>
      <w:lvlJc w:val="left"/>
    </w:lvl>
    <w:lvl w:ilvl="8" w:tplc="64127BBE">
      <w:numFmt w:val="decimal"/>
      <w:lvlText w:val=""/>
      <w:lvlJc w:val="left"/>
    </w:lvl>
  </w:abstractNum>
  <w:abstractNum w:abstractNumId="82" w15:restartNumberingAfterBreak="0">
    <w:nsid w:val="00000BB3"/>
    <w:multiLevelType w:val="hybridMultilevel"/>
    <w:tmpl w:val="16669856"/>
    <w:lvl w:ilvl="0" w:tplc="96AA62D8">
      <w:start w:val="5"/>
      <w:numFmt w:val="decimal"/>
      <w:lvlText w:val="(%1)"/>
      <w:lvlJc w:val="left"/>
    </w:lvl>
    <w:lvl w:ilvl="1" w:tplc="87E60788">
      <w:start w:val="1"/>
      <w:numFmt w:val="lowerLetter"/>
      <w:lvlText w:val="(%2)"/>
      <w:lvlJc w:val="left"/>
    </w:lvl>
    <w:lvl w:ilvl="2" w:tplc="26F61A28">
      <w:start w:val="1"/>
      <w:numFmt w:val="decimal"/>
      <w:lvlText w:val="%3."/>
      <w:lvlJc w:val="left"/>
    </w:lvl>
    <w:lvl w:ilvl="3" w:tplc="CE8A2EB2">
      <w:start w:val="1"/>
      <w:numFmt w:val="lowerLetter"/>
      <w:lvlText w:val="%4."/>
      <w:lvlJc w:val="left"/>
    </w:lvl>
    <w:lvl w:ilvl="4" w:tplc="B44C4712">
      <w:numFmt w:val="decimal"/>
      <w:lvlText w:val=""/>
      <w:lvlJc w:val="left"/>
    </w:lvl>
    <w:lvl w:ilvl="5" w:tplc="049416DC">
      <w:numFmt w:val="decimal"/>
      <w:lvlText w:val=""/>
      <w:lvlJc w:val="left"/>
    </w:lvl>
    <w:lvl w:ilvl="6" w:tplc="36549540">
      <w:numFmt w:val="decimal"/>
      <w:lvlText w:val=""/>
      <w:lvlJc w:val="left"/>
    </w:lvl>
    <w:lvl w:ilvl="7" w:tplc="4704D446">
      <w:numFmt w:val="decimal"/>
      <w:lvlText w:val=""/>
      <w:lvlJc w:val="left"/>
    </w:lvl>
    <w:lvl w:ilvl="8" w:tplc="4218ECAC">
      <w:numFmt w:val="decimal"/>
      <w:lvlText w:val=""/>
      <w:lvlJc w:val="left"/>
    </w:lvl>
  </w:abstractNum>
  <w:abstractNum w:abstractNumId="83" w15:restartNumberingAfterBreak="0">
    <w:nsid w:val="00000BF9"/>
    <w:multiLevelType w:val="hybridMultilevel"/>
    <w:tmpl w:val="6DCED3B6"/>
    <w:lvl w:ilvl="0" w:tplc="8EFCBFB0">
      <w:start w:val="4"/>
      <w:numFmt w:val="decimal"/>
      <w:lvlText w:val="(%1)"/>
      <w:lvlJc w:val="left"/>
    </w:lvl>
    <w:lvl w:ilvl="1" w:tplc="3E4C358C">
      <w:start w:val="1"/>
      <w:numFmt w:val="lowerLetter"/>
      <w:lvlText w:val="(%2)"/>
      <w:lvlJc w:val="left"/>
    </w:lvl>
    <w:lvl w:ilvl="2" w:tplc="A5985B34">
      <w:start w:val="1"/>
      <w:numFmt w:val="decimal"/>
      <w:lvlText w:val="%3"/>
      <w:lvlJc w:val="left"/>
    </w:lvl>
    <w:lvl w:ilvl="3" w:tplc="7484710E">
      <w:start w:val="1"/>
      <w:numFmt w:val="lowerLetter"/>
      <w:lvlText w:val="%4"/>
      <w:lvlJc w:val="left"/>
    </w:lvl>
    <w:lvl w:ilvl="4" w:tplc="7F02011C">
      <w:numFmt w:val="decimal"/>
      <w:lvlText w:val=""/>
      <w:lvlJc w:val="left"/>
    </w:lvl>
    <w:lvl w:ilvl="5" w:tplc="EF5413A6">
      <w:numFmt w:val="decimal"/>
      <w:lvlText w:val=""/>
      <w:lvlJc w:val="left"/>
    </w:lvl>
    <w:lvl w:ilvl="6" w:tplc="2174BACC">
      <w:numFmt w:val="decimal"/>
      <w:lvlText w:val=""/>
      <w:lvlJc w:val="left"/>
    </w:lvl>
    <w:lvl w:ilvl="7" w:tplc="A8E2979A">
      <w:numFmt w:val="decimal"/>
      <w:lvlText w:val=""/>
      <w:lvlJc w:val="left"/>
    </w:lvl>
    <w:lvl w:ilvl="8" w:tplc="638080F4">
      <w:numFmt w:val="decimal"/>
      <w:lvlText w:val=""/>
      <w:lvlJc w:val="left"/>
    </w:lvl>
  </w:abstractNum>
  <w:abstractNum w:abstractNumId="84" w15:restartNumberingAfterBreak="0">
    <w:nsid w:val="00000C15"/>
    <w:multiLevelType w:val="hybridMultilevel"/>
    <w:tmpl w:val="B55CFA60"/>
    <w:lvl w:ilvl="0" w:tplc="D60A0070">
      <w:start w:val="1"/>
      <w:numFmt w:val="decimal"/>
      <w:lvlText w:val="%1"/>
      <w:lvlJc w:val="left"/>
    </w:lvl>
    <w:lvl w:ilvl="1" w:tplc="0AEC55A2">
      <w:start w:val="1"/>
      <w:numFmt w:val="lowerLetter"/>
      <w:lvlText w:val="(%2)"/>
      <w:lvlJc w:val="left"/>
    </w:lvl>
    <w:lvl w:ilvl="2" w:tplc="B83A1C2C">
      <w:start w:val="1"/>
      <w:numFmt w:val="decimal"/>
      <w:lvlText w:val="%3"/>
      <w:lvlJc w:val="left"/>
    </w:lvl>
    <w:lvl w:ilvl="3" w:tplc="288E5C84">
      <w:numFmt w:val="decimal"/>
      <w:lvlText w:val=""/>
      <w:lvlJc w:val="left"/>
    </w:lvl>
    <w:lvl w:ilvl="4" w:tplc="BBB6A9A8">
      <w:numFmt w:val="decimal"/>
      <w:lvlText w:val=""/>
      <w:lvlJc w:val="left"/>
    </w:lvl>
    <w:lvl w:ilvl="5" w:tplc="39B06A04">
      <w:numFmt w:val="decimal"/>
      <w:lvlText w:val=""/>
      <w:lvlJc w:val="left"/>
    </w:lvl>
    <w:lvl w:ilvl="6" w:tplc="872E790C">
      <w:numFmt w:val="decimal"/>
      <w:lvlText w:val=""/>
      <w:lvlJc w:val="left"/>
    </w:lvl>
    <w:lvl w:ilvl="7" w:tplc="619AAB2E">
      <w:numFmt w:val="decimal"/>
      <w:lvlText w:val=""/>
      <w:lvlJc w:val="left"/>
    </w:lvl>
    <w:lvl w:ilvl="8" w:tplc="8A902B2A">
      <w:numFmt w:val="decimal"/>
      <w:lvlText w:val=""/>
      <w:lvlJc w:val="left"/>
    </w:lvl>
  </w:abstractNum>
  <w:abstractNum w:abstractNumId="85" w15:restartNumberingAfterBreak="0">
    <w:nsid w:val="00000C3E"/>
    <w:multiLevelType w:val="hybridMultilevel"/>
    <w:tmpl w:val="D8AE40C6"/>
    <w:lvl w:ilvl="0" w:tplc="653870E4">
      <w:start w:val="1"/>
      <w:numFmt w:val="decimal"/>
      <w:lvlText w:val="%1"/>
      <w:lvlJc w:val="left"/>
    </w:lvl>
    <w:lvl w:ilvl="1" w:tplc="4774A1D2">
      <w:start w:val="1"/>
      <w:numFmt w:val="lowerLetter"/>
      <w:lvlText w:val="%2"/>
      <w:lvlJc w:val="left"/>
    </w:lvl>
    <w:lvl w:ilvl="2" w:tplc="63AE8CF4">
      <w:numFmt w:val="decimal"/>
      <w:lvlText w:val=""/>
      <w:lvlJc w:val="left"/>
    </w:lvl>
    <w:lvl w:ilvl="3" w:tplc="F68CF5A4">
      <w:numFmt w:val="decimal"/>
      <w:lvlText w:val=""/>
      <w:lvlJc w:val="left"/>
    </w:lvl>
    <w:lvl w:ilvl="4" w:tplc="2E80663A">
      <w:numFmt w:val="decimal"/>
      <w:lvlText w:val=""/>
      <w:lvlJc w:val="left"/>
    </w:lvl>
    <w:lvl w:ilvl="5" w:tplc="5E40227C">
      <w:numFmt w:val="decimal"/>
      <w:lvlText w:val=""/>
      <w:lvlJc w:val="left"/>
    </w:lvl>
    <w:lvl w:ilvl="6" w:tplc="4E9E5FE0">
      <w:numFmt w:val="decimal"/>
      <w:lvlText w:val=""/>
      <w:lvlJc w:val="left"/>
    </w:lvl>
    <w:lvl w:ilvl="7" w:tplc="7402FA68">
      <w:numFmt w:val="decimal"/>
      <w:lvlText w:val=""/>
      <w:lvlJc w:val="left"/>
    </w:lvl>
    <w:lvl w:ilvl="8" w:tplc="0E647910">
      <w:numFmt w:val="decimal"/>
      <w:lvlText w:val=""/>
      <w:lvlJc w:val="left"/>
    </w:lvl>
  </w:abstractNum>
  <w:abstractNum w:abstractNumId="86" w15:restartNumberingAfterBreak="0">
    <w:nsid w:val="00000C6D"/>
    <w:multiLevelType w:val="hybridMultilevel"/>
    <w:tmpl w:val="325E9820"/>
    <w:lvl w:ilvl="0" w:tplc="7A7A093C">
      <w:start w:val="8"/>
      <w:numFmt w:val="decimal"/>
      <w:lvlText w:val="(%1)"/>
      <w:lvlJc w:val="left"/>
    </w:lvl>
    <w:lvl w:ilvl="1" w:tplc="9866EE1A">
      <w:start w:val="1"/>
      <w:numFmt w:val="lowerLetter"/>
      <w:lvlText w:val="(%2)"/>
      <w:lvlJc w:val="left"/>
    </w:lvl>
    <w:lvl w:ilvl="2" w:tplc="E13AE8DA">
      <w:start w:val="1"/>
      <w:numFmt w:val="decimal"/>
      <w:lvlText w:val="%3."/>
      <w:lvlJc w:val="left"/>
    </w:lvl>
    <w:lvl w:ilvl="3" w:tplc="8A820924">
      <w:start w:val="1"/>
      <w:numFmt w:val="lowerLetter"/>
      <w:lvlText w:val="%4."/>
      <w:lvlJc w:val="left"/>
    </w:lvl>
    <w:lvl w:ilvl="4" w:tplc="20D634C2">
      <w:start w:val="1"/>
      <w:numFmt w:val="lowerRoman"/>
      <w:lvlText w:val="%5"/>
      <w:lvlJc w:val="left"/>
    </w:lvl>
    <w:lvl w:ilvl="5" w:tplc="60007876">
      <w:numFmt w:val="decimal"/>
      <w:lvlText w:val=""/>
      <w:lvlJc w:val="left"/>
    </w:lvl>
    <w:lvl w:ilvl="6" w:tplc="B8588A7C">
      <w:numFmt w:val="decimal"/>
      <w:lvlText w:val=""/>
      <w:lvlJc w:val="left"/>
    </w:lvl>
    <w:lvl w:ilvl="7" w:tplc="365E2436">
      <w:numFmt w:val="decimal"/>
      <w:lvlText w:val=""/>
      <w:lvlJc w:val="left"/>
    </w:lvl>
    <w:lvl w:ilvl="8" w:tplc="94086C0C">
      <w:numFmt w:val="decimal"/>
      <w:lvlText w:val=""/>
      <w:lvlJc w:val="left"/>
    </w:lvl>
  </w:abstractNum>
  <w:abstractNum w:abstractNumId="87" w15:restartNumberingAfterBreak="0">
    <w:nsid w:val="00000CB3"/>
    <w:multiLevelType w:val="hybridMultilevel"/>
    <w:tmpl w:val="901868BC"/>
    <w:lvl w:ilvl="0" w:tplc="967812A8">
      <w:start w:val="1"/>
      <w:numFmt w:val="decimal"/>
      <w:lvlText w:val="%1"/>
      <w:lvlJc w:val="left"/>
    </w:lvl>
    <w:lvl w:ilvl="1" w:tplc="3F18052A">
      <w:start w:val="6"/>
      <w:numFmt w:val="lowerLetter"/>
      <w:lvlText w:val="(%2)"/>
      <w:lvlJc w:val="left"/>
    </w:lvl>
    <w:lvl w:ilvl="2" w:tplc="7494E200">
      <w:start w:val="2"/>
      <w:numFmt w:val="decimal"/>
      <w:lvlText w:val="%3."/>
      <w:lvlJc w:val="left"/>
    </w:lvl>
    <w:lvl w:ilvl="3" w:tplc="CAE66686">
      <w:numFmt w:val="decimal"/>
      <w:lvlText w:val=""/>
      <w:lvlJc w:val="left"/>
    </w:lvl>
    <w:lvl w:ilvl="4" w:tplc="8F9A7978">
      <w:numFmt w:val="decimal"/>
      <w:lvlText w:val=""/>
      <w:lvlJc w:val="left"/>
    </w:lvl>
    <w:lvl w:ilvl="5" w:tplc="8BEA11E8">
      <w:numFmt w:val="decimal"/>
      <w:lvlText w:val=""/>
      <w:lvlJc w:val="left"/>
    </w:lvl>
    <w:lvl w:ilvl="6" w:tplc="76F861F0">
      <w:numFmt w:val="decimal"/>
      <w:lvlText w:val=""/>
      <w:lvlJc w:val="left"/>
    </w:lvl>
    <w:lvl w:ilvl="7" w:tplc="B4A83B12">
      <w:numFmt w:val="decimal"/>
      <w:lvlText w:val=""/>
      <w:lvlJc w:val="left"/>
    </w:lvl>
    <w:lvl w:ilvl="8" w:tplc="9B2C6F6A">
      <w:numFmt w:val="decimal"/>
      <w:lvlText w:val=""/>
      <w:lvlJc w:val="left"/>
    </w:lvl>
  </w:abstractNum>
  <w:abstractNum w:abstractNumId="88" w15:restartNumberingAfterBreak="0">
    <w:nsid w:val="00000CC0"/>
    <w:multiLevelType w:val="hybridMultilevel"/>
    <w:tmpl w:val="EC2275A4"/>
    <w:lvl w:ilvl="0" w:tplc="AB521486">
      <w:start w:val="4"/>
      <w:numFmt w:val="lowerLetter"/>
      <w:lvlText w:val="(%1)"/>
      <w:lvlJc w:val="left"/>
    </w:lvl>
    <w:lvl w:ilvl="1" w:tplc="C0FE56AE">
      <w:start w:val="1"/>
      <w:numFmt w:val="decimal"/>
      <w:lvlText w:val="%2"/>
      <w:lvlJc w:val="left"/>
    </w:lvl>
    <w:lvl w:ilvl="2" w:tplc="C7522E02">
      <w:start w:val="1"/>
      <w:numFmt w:val="lowerLetter"/>
      <w:lvlText w:val="%3"/>
      <w:lvlJc w:val="left"/>
    </w:lvl>
    <w:lvl w:ilvl="3" w:tplc="89A4FF3C">
      <w:numFmt w:val="decimal"/>
      <w:lvlText w:val=""/>
      <w:lvlJc w:val="left"/>
    </w:lvl>
    <w:lvl w:ilvl="4" w:tplc="678607DC">
      <w:numFmt w:val="decimal"/>
      <w:lvlText w:val=""/>
      <w:lvlJc w:val="left"/>
    </w:lvl>
    <w:lvl w:ilvl="5" w:tplc="D70C8760">
      <w:numFmt w:val="decimal"/>
      <w:lvlText w:val=""/>
      <w:lvlJc w:val="left"/>
    </w:lvl>
    <w:lvl w:ilvl="6" w:tplc="D2664F6E">
      <w:numFmt w:val="decimal"/>
      <w:lvlText w:val=""/>
      <w:lvlJc w:val="left"/>
    </w:lvl>
    <w:lvl w:ilvl="7" w:tplc="9CEA56D4">
      <w:numFmt w:val="decimal"/>
      <w:lvlText w:val=""/>
      <w:lvlJc w:val="left"/>
    </w:lvl>
    <w:lvl w:ilvl="8" w:tplc="843A106A">
      <w:numFmt w:val="decimal"/>
      <w:lvlText w:val=""/>
      <w:lvlJc w:val="left"/>
    </w:lvl>
  </w:abstractNum>
  <w:abstractNum w:abstractNumId="89" w15:restartNumberingAfterBreak="0">
    <w:nsid w:val="00000D05"/>
    <w:multiLevelType w:val="hybridMultilevel"/>
    <w:tmpl w:val="8668C02C"/>
    <w:lvl w:ilvl="0" w:tplc="CBA4D16C">
      <w:start w:val="1"/>
      <w:numFmt w:val="lowerLetter"/>
      <w:lvlText w:val="%1"/>
      <w:lvlJc w:val="left"/>
    </w:lvl>
    <w:lvl w:ilvl="1" w:tplc="9DD80AA6">
      <w:start w:val="2"/>
      <w:numFmt w:val="decimal"/>
      <w:lvlText w:val="%2."/>
      <w:lvlJc w:val="left"/>
    </w:lvl>
    <w:lvl w:ilvl="2" w:tplc="CE985AE2">
      <w:start w:val="1"/>
      <w:numFmt w:val="lowerLetter"/>
      <w:lvlText w:val="%3"/>
      <w:lvlJc w:val="left"/>
    </w:lvl>
    <w:lvl w:ilvl="3" w:tplc="E1F04B94">
      <w:numFmt w:val="decimal"/>
      <w:lvlText w:val=""/>
      <w:lvlJc w:val="left"/>
    </w:lvl>
    <w:lvl w:ilvl="4" w:tplc="CA70CC70">
      <w:numFmt w:val="decimal"/>
      <w:lvlText w:val=""/>
      <w:lvlJc w:val="left"/>
    </w:lvl>
    <w:lvl w:ilvl="5" w:tplc="696A88C2">
      <w:numFmt w:val="decimal"/>
      <w:lvlText w:val=""/>
      <w:lvlJc w:val="left"/>
    </w:lvl>
    <w:lvl w:ilvl="6" w:tplc="10E45528">
      <w:numFmt w:val="decimal"/>
      <w:lvlText w:val=""/>
      <w:lvlJc w:val="left"/>
    </w:lvl>
    <w:lvl w:ilvl="7" w:tplc="73CE3664">
      <w:numFmt w:val="decimal"/>
      <w:lvlText w:val=""/>
      <w:lvlJc w:val="left"/>
    </w:lvl>
    <w:lvl w:ilvl="8" w:tplc="04A229B4">
      <w:numFmt w:val="decimal"/>
      <w:lvlText w:val=""/>
      <w:lvlJc w:val="left"/>
    </w:lvl>
  </w:abstractNum>
  <w:abstractNum w:abstractNumId="90" w15:restartNumberingAfterBreak="0">
    <w:nsid w:val="00000D0C"/>
    <w:multiLevelType w:val="hybridMultilevel"/>
    <w:tmpl w:val="8C984772"/>
    <w:lvl w:ilvl="0" w:tplc="77BAAA80">
      <w:start w:val="4"/>
      <w:numFmt w:val="decimal"/>
      <w:lvlText w:val="(%1)"/>
      <w:lvlJc w:val="left"/>
    </w:lvl>
    <w:lvl w:ilvl="1" w:tplc="9C260E9A">
      <w:start w:val="1"/>
      <w:numFmt w:val="lowerLetter"/>
      <w:lvlText w:val="(%2)"/>
      <w:lvlJc w:val="left"/>
    </w:lvl>
    <w:lvl w:ilvl="2" w:tplc="9BAA6982">
      <w:start w:val="1"/>
      <w:numFmt w:val="decimal"/>
      <w:lvlText w:val="%3"/>
      <w:lvlJc w:val="left"/>
    </w:lvl>
    <w:lvl w:ilvl="3" w:tplc="2E0CEE58">
      <w:numFmt w:val="decimal"/>
      <w:lvlText w:val=""/>
      <w:lvlJc w:val="left"/>
    </w:lvl>
    <w:lvl w:ilvl="4" w:tplc="5C96622E">
      <w:numFmt w:val="decimal"/>
      <w:lvlText w:val=""/>
      <w:lvlJc w:val="left"/>
    </w:lvl>
    <w:lvl w:ilvl="5" w:tplc="FBC0A3CE">
      <w:numFmt w:val="decimal"/>
      <w:lvlText w:val=""/>
      <w:lvlJc w:val="left"/>
    </w:lvl>
    <w:lvl w:ilvl="6" w:tplc="BD6EA3FC">
      <w:numFmt w:val="decimal"/>
      <w:lvlText w:val=""/>
      <w:lvlJc w:val="left"/>
    </w:lvl>
    <w:lvl w:ilvl="7" w:tplc="6576D7E6">
      <w:numFmt w:val="decimal"/>
      <w:lvlText w:val=""/>
      <w:lvlJc w:val="left"/>
    </w:lvl>
    <w:lvl w:ilvl="8" w:tplc="3428707A">
      <w:numFmt w:val="decimal"/>
      <w:lvlText w:val=""/>
      <w:lvlJc w:val="left"/>
    </w:lvl>
  </w:abstractNum>
  <w:abstractNum w:abstractNumId="91" w15:restartNumberingAfterBreak="0">
    <w:nsid w:val="00000D0F"/>
    <w:multiLevelType w:val="hybridMultilevel"/>
    <w:tmpl w:val="5602ED08"/>
    <w:lvl w:ilvl="0" w:tplc="DC00A134">
      <w:start w:val="1"/>
      <w:numFmt w:val="lowerLetter"/>
      <w:lvlText w:val="%1"/>
      <w:lvlJc w:val="left"/>
    </w:lvl>
    <w:lvl w:ilvl="1" w:tplc="E8826C56">
      <w:start w:val="6"/>
      <w:numFmt w:val="decimal"/>
      <w:lvlText w:val="%2."/>
      <w:lvlJc w:val="left"/>
    </w:lvl>
    <w:lvl w:ilvl="2" w:tplc="93222654">
      <w:start w:val="1"/>
      <w:numFmt w:val="lowerLetter"/>
      <w:lvlText w:val="%3"/>
      <w:lvlJc w:val="left"/>
    </w:lvl>
    <w:lvl w:ilvl="3" w:tplc="CE868B66">
      <w:numFmt w:val="decimal"/>
      <w:lvlText w:val=""/>
      <w:lvlJc w:val="left"/>
    </w:lvl>
    <w:lvl w:ilvl="4" w:tplc="47260E06">
      <w:numFmt w:val="decimal"/>
      <w:lvlText w:val=""/>
      <w:lvlJc w:val="left"/>
    </w:lvl>
    <w:lvl w:ilvl="5" w:tplc="5F746338">
      <w:numFmt w:val="decimal"/>
      <w:lvlText w:val=""/>
      <w:lvlJc w:val="left"/>
    </w:lvl>
    <w:lvl w:ilvl="6" w:tplc="E1203982">
      <w:numFmt w:val="decimal"/>
      <w:lvlText w:val=""/>
      <w:lvlJc w:val="left"/>
    </w:lvl>
    <w:lvl w:ilvl="7" w:tplc="AD4011CC">
      <w:numFmt w:val="decimal"/>
      <w:lvlText w:val=""/>
      <w:lvlJc w:val="left"/>
    </w:lvl>
    <w:lvl w:ilvl="8" w:tplc="2408A8CE">
      <w:numFmt w:val="decimal"/>
      <w:lvlText w:val=""/>
      <w:lvlJc w:val="left"/>
    </w:lvl>
  </w:abstractNum>
  <w:abstractNum w:abstractNumId="92" w15:restartNumberingAfterBreak="0">
    <w:nsid w:val="00000D41"/>
    <w:multiLevelType w:val="hybridMultilevel"/>
    <w:tmpl w:val="74985ACA"/>
    <w:lvl w:ilvl="0" w:tplc="915AC508">
      <w:start w:val="6"/>
      <w:numFmt w:val="decimal"/>
      <w:lvlText w:val="(%1)"/>
      <w:lvlJc w:val="left"/>
    </w:lvl>
    <w:lvl w:ilvl="1" w:tplc="6846B9AC">
      <w:start w:val="1"/>
      <w:numFmt w:val="lowerLetter"/>
      <w:lvlText w:val="(%2)"/>
      <w:lvlJc w:val="left"/>
    </w:lvl>
    <w:lvl w:ilvl="2" w:tplc="6C6E1BE4">
      <w:start w:val="1"/>
      <w:numFmt w:val="lowerLetter"/>
      <w:lvlText w:val="%3"/>
      <w:lvlJc w:val="left"/>
    </w:lvl>
    <w:lvl w:ilvl="3" w:tplc="4D7ABB48">
      <w:numFmt w:val="decimal"/>
      <w:lvlText w:val=""/>
      <w:lvlJc w:val="left"/>
    </w:lvl>
    <w:lvl w:ilvl="4" w:tplc="45542EA6">
      <w:numFmt w:val="decimal"/>
      <w:lvlText w:val=""/>
      <w:lvlJc w:val="left"/>
    </w:lvl>
    <w:lvl w:ilvl="5" w:tplc="1916E2FE">
      <w:numFmt w:val="decimal"/>
      <w:lvlText w:val=""/>
      <w:lvlJc w:val="left"/>
    </w:lvl>
    <w:lvl w:ilvl="6" w:tplc="D452C3F2">
      <w:numFmt w:val="decimal"/>
      <w:lvlText w:val=""/>
      <w:lvlJc w:val="left"/>
    </w:lvl>
    <w:lvl w:ilvl="7" w:tplc="D18EF3AA">
      <w:numFmt w:val="decimal"/>
      <w:lvlText w:val=""/>
      <w:lvlJc w:val="left"/>
    </w:lvl>
    <w:lvl w:ilvl="8" w:tplc="85348E32">
      <w:numFmt w:val="decimal"/>
      <w:lvlText w:val=""/>
      <w:lvlJc w:val="left"/>
    </w:lvl>
  </w:abstractNum>
  <w:abstractNum w:abstractNumId="93" w15:restartNumberingAfterBreak="0">
    <w:nsid w:val="00000D44"/>
    <w:multiLevelType w:val="hybridMultilevel"/>
    <w:tmpl w:val="26E80EFE"/>
    <w:lvl w:ilvl="0" w:tplc="60F863C6">
      <w:start w:val="1"/>
      <w:numFmt w:val="lowerLetter"/>
      <w:lvlText w:val="%1"/>
      <w:lvlJc w:val="left"/>
    </w:lvl>
    <w:lvl w:ilvl="1" w:tplc="29C02328">
      <w:start w:val="6"/>
      <w:numFmt w:val="decimal"/>
      <w:lvlText w:val="%2."/>
      <w:lvlJc w:val="left"/>
    </w:lvl>
    <w:lvl w:ilvl="2" w:tplc="39524F34">
      <w:start w:val="1"/>
      <w:numFmt w:val="lowerLetter"/>
      <w:lvlText w:val="%3"/>
      <w:lvlJc w:val="left"/>
    </w:lvl>
    <w:lvl w:ilvl="3" w:tplc="CEB81A68">
      <w:start w:val="1"/>
      <w:numFmt w:val="lowerRoman"/>
      <w:lvlText w:val="%4"/>
      <w:lvlJc w:val="left"/>
    </w:lvl>
    <w:lvl w:ilvl="4" w:tplc="6A6AF734">
      <w:numFmt w:val="decimal"/>
      <w:lvlText w:val=""/>
      <w:lvlJc w:val="left"/>
    </w:lvl>
    <w:lvl w:ilvl="5" w:tplc="2DA6AD82">
      <w:numFmt w:val="decimal"/>
      <w:lvlText w:val=""/>
      <w:lvlJc w:val="left"/>
    </w:lvl>
    <w:lvl w:ilvl="6" w:tplc="EEE44364">
      <w:numFmt w:val="decimal"/>
      <w:lvlText w:val=""/>
      <w:lvlJc w:val="left"/>
    </w:lvl>
    <w:lvl w:ilvl="7" w:tplc="C5BE8DDC">
      <w:numFmt w:val="decimal"/>
      <w:lvlText w:val=""/>
      <w:lvlJc w:val="left"/>
    </w:lvl>
    <w:lvl w:ilvl="8" w:tplc="D4BE1BF0">
      <w:numFmt w:val="decimal"/>
      <w:lvlText w:val=""/>
      <w:lvlJc w:val="left"/>
    </w:lvl>
  </w:abstractNum>
  <w:abstractNum w:abstractNumId="94" w15:restartNumberingAfterBreak="0">
    <w:nsid w:val="00000D77"/>
    <w:multiLevelType w:val="hybridMultilevel"/>
    <w:tmpl w:val="7A70ABF0"/>
    <w:lvl w:ilvl="0" w:tplc="ABB6E08E">
      <w:start w:val="7"/>
      <w:numFmt w:val="decimal"/>
      <w:lvlText w:val="%1."/>
      <w:lvlJc w:val="left"/>
    </w:lvl>
    <w:lvl w:ilvl="1" w:tplc="50789D8C">
      <w:start w:val="1"/>
      <w:numFmt w:val="lowerLetter"/>
      <w:lvlText w:val="%2."/>
      <w:lvlJc w:val="left"/>
    </w:lvl>
    <w:lvl w:ilvl="2" w:tplc="717ACBA2">
      <w:numFmt w:val="decimal"/>
      <w:lvlText w:val=""/>
      <w:lvlJc w:val="left"/>
    </w:lvl>
    <w:lvl w:ilvl="3" w:tplc="7EBEBA8A">
      <w:numFmt w:val="decimal"/>
      <w:lvlText w:val=""/>
      <w:lvlJc w:val="left"/>
    </w:lvl>
    <w:lvl w:ilvl="4" w:tplc="BAB07CC6">
      <w:numFmt w:val="decimal"/>
      <w:lvlText w:val=""/>
      <w:lvlJc w:val="left"/>
    </w:lvl>
    <w:lvl w:ilvl="5" w:tplc="20B8953C">
      <w:numFmt w:val="decimal"/>
      <w:lvlText w:val=""/>
      <w:lvlJc w:val="left"/>
    </w:lvl>
    <w:lvl w:ilvl="6" w:tplc="B38EC348">
      <w:numFmt w:val="decimal"/>
      <w:lvlText w:val=""/>
      <w:lvlJc w:val="left"/>
    </w:lvl>
    <w:lvl w:ilvl="7" w:tplc="5768A4AE">
      <w:numFmt w:val="decimal"/>
      <w:lvlText w:val=""/>
      <w:lvlJc w:val="left"/>
    </w:lvl>
    <w:lvl w:ilvl="8" w:tplc="316EACE8">
      <w:numFmt w:val="decimal"/>
      <w:lvlText w:val=""/>
      <w:lvlJc w:val="left"/>
    </w:lvl>
  </w:abstractNum>
  <w:abstractNum w:abstractNumId="95" w15:restartNumberingAfterBreak="0">
    <w:nsid w:val="00000D79"/>
    <w:multiLevelType w:val="hybridMultilevel"/>
    <w:tmpl w:val="C436D70C"/>
    <w:lvl w:ilvl="0" w:tplc="8D6AB34E">
      <w:start w:val="1"/>
      <w:numFmt w:val="lowerLetter"/>
      <w:lvlText w:val="%1"/>
      <w:lvlJc w:val="left"/>
    </w:lvl>
    <w:lvl w:ilvl="1" w:tplc="3C4A2D84">
      <w:start w:val="3"/>
      <w:numFmt w:val="decimal"/>
      <w:lvlText w:val="%2."/>
      <w:lvlJc w:val="left"/>
    </w:lvl>
    <w:lvl w:ilvl="2" w:tplc="6E786E4E">
      <w:numFmt w:val="decimal"/>
      <w:lvlText w:val=""/>
      <w:lvlJc w:val="left"/>
    </w:lvl>
    <w:lvl w:ilvl="3" w:tplc="09D0D094">
      <w:numFmt w:val="decimal"/>
      <w:lvlText w:val=""/>
      <w:lvlJc w:val="left"/>
    </w:lvl>
    <w:lvl w:ilvl="4" w:tplc="51022D68">
      <w:numFmt w:val="decimal"/>
      <w:lvlText w:val=""/>
      <w:lvlJc w:val="left"/>
    </w:lvl>
    <w:lvl w:ilvl="5" w:tplc="6136D468">
      <w:numFmt w:val="decimal"/>
      <w:lvlText w:val=""/>
      <w:lvlJc w:val="left"/>
    </w:lvl>
    <w:lvl w:ilvl="6" w:tplc="3EB031B4">
      <w:numFmt w:val="decimal"/>
      <w:lvlText w:val=""/>
      <w:lvlJc w:val="left"/>
    </w:lvl>
    <w:lvl w:ilvl="7" w:tplc="32E02784">
      <w:numFmt w:val="decimal"/>
      <w:lvlText w:val=""/>
      <w:lvlJc w:val="left"/>
    </w:lvl>
    <w:lvl w:ilvl="8" w:tplc="6BB440A8">
      <w:numFmt w:val="decimal"/>
      <w:lvlText w:val=""/>
      <w:lvlJc w:val="left"/>
    </w:lvl>
  </w:abstractNum>
  <w:abstractNum w:abstractNumId="96" w15:restartNumberingAfterBreak="0">
    <w:nsid w:val="00000D7F"/>
    <w:multiLevelType w:val="hybridMultilevel"/>
    <w:tmpl w:val="DAA0D1B6"/>
    <w:lvl w:ilvl="0" w:tplc="BC907900">
      <w:start w:val="6"/>
      <w:numFmt w:val="decimal"/>
      <w:lvlText w:val="(%1)"/>
      <w:lvlJc w:val="left"/>
    </w:lvl>
    <w:lvl w:ilvl="1" w:tplc="4FB2E898">
      <w:start w:val="1"/>
      <w:numFmt w:val="lowerLetter"/>
      <w:lvlText w:val="(%2)"/>
      <w:lvlJc w:val="left"/>
    </w:lvl>
    <w:lvl w:ilvl="2" w:tplc="8D3CD5D2">
      <w:start w:val="1"/>
      <w:numFmt w:val="decimal"/>
      <w:lvlText w:val="%3."/>
      <w:lvlJc w:val="left"/>
    </w:lvl>
    <w:lvl w:ilvl="3" w:tplc="597EAC74">
      <w:start w:val="1"/>
      <w:numFmt w:val="lowerLetter"/>
      <w:lvlText w:val="%4."/>
      <w:lvlJc w:val="left"/>
    </w:lvl>
    <w:lvl w:ilvl="4" w:tplc="4D367AFE">
      <w:numFmt w:val="decimal"/>
      <w:lvlText w:val=""/>
      <w:lvlJc w:val="left"/>
    </w:lvl>
    <w:lvl w:ilvl="5" w:tplc="C6B6C52E">
      <w:numFmt w:val="decimal"/>
      <w:lvlText w:val=""/>
      <w:lvlJc w:val="left"/>
    </w:lvl>
    <w:lvl w:ilvl="6" w:tplc="23C0BE74">
      <w:numFmt w:val="decimal"/>
      <w:lvlText w:val=""/>
      <w:lvlJc w:val="left"/>
    </w:lvl>
    <w:lvl w:ilvl="7" w:tplc="1110FCD4">
      <w:numFmt w:val="decimal"/>
      <w:lvlText w:val=""/>
      <w:lvlJc w:val="left"/>
    </w:lvl>
    <w:lvl w:ilvl="8" w:tplc="1654FCA8">
      <w:numFmt w:val="decimal"/>
      <w:lvlText w:val=""/>
      <w:lvlJc w:val="left"/>
    </w:lvl>
  </w:abstractNum>
  <w:abstractNum w:abstractNumId="97" w15:restartNumberingAfterBreak="0">
    <w:nsid w:val="00000DA9"/>
    <w:multiLevelType w:val="hybridMultilevel"/>
    <w:tmpl w:val="F7A656FE"/>
    <w:lvl w:ilvl="0" w:tplc="E962F7C2">
      <w:start w:val="1"/>
      <w:numFmt w:val="decimal"/>
      <w:lvlText w:val="(%1)"/>
      <w:lvlJc w:val="left"/>
    </w:lvl>
    <w:lvl w:ilvl="1" w:tplc="8B106950">
      <w:start w:val="1"/>
      <w:numFmt w:val="lowerLetter"/>
      <w:lvlText w:val="(%2)"/>
      <w:lvlJc w:val="left"/>
    </w:lvl>
    <w:lvl w:ilvl="2" w:tplc="AF84F39C">
      <w:start w:val="1"/>
      <w:numFmt w:val="decimal"/>
      <w:lvlText w:val="%3."/>
      <w:lvlJc w:val="left"/>
    </w:lvl>
    <w:lvl w:ilvl="3" w:tplc="5DAAC9C8">
      <w:numFmt w:val="decimal"/>
      <w:lvlText w:val=""/>
      <w:lvlJc w:val="left"/>
    </w:lvl>
    <w:lvl w:ilvl="4" w:tplc="B058C55C">
      <w:numFmt w:val="decimal"/>
      <w:lvlText w:val=""/>
      <w:lvlJc w:val="left"/>
    </w:lvl>
    <w:lvl w:ilvl="5" w:tplc="CCE4FF74">
      <w:numFmt w:val="decimal"/>
      <w:lvlText w:val=""/>
      <w:lvlJc w:val="left"/>
    </w:lvl>
    <w:lvl w:ilvl="6" w:tplc="C43CCDB8">
      <w:numFmt w:val="decimal"/>
      <w:lvlText w:val=""/>
      <w:lvlJc w:val="left"/>
    </w:lvl>
    <w:lvl w:ilvl="7" w:tplc="BE380D66">
      <w:numFmt w:val="decimal"/>
      <w:lvlText w:val=""/>
      <w:lvlJc w:val="left"/>
    </w:lvl>
    <w:lvl w:ilvl="8" w:tplc="7B9EC1A4">
      <w:numFmt w:val="decimal"/>
      <w:lvlText w:val=""/>
      <w:lvlJc w:val="left"/>
    </w:lvl>
  </w:abstractNum>
  <w:abstractNum w:abstractNumId="98" w15:restartNumberingAfterBreak="0">
    <w:nsid w:val="00000DAF"/>
    <w:multiLevelType w:val="hybridMultilevel"/>
    <w:tmpl w:val="922C4874"/>
    <w:lvl w:ilvl="0" w:tplc="035C3BEA">
      <w:start w:val="1"/>
      <w:numFmt w:val="decimal"/>
      <w:lvlText w:val="%1"/>
      <w:lvlJc w:val="left"/>
    </w:lvl>
    <w:lvl w:ilvl="1" w:tplc="C8F88A9A">
      <w:start w:val="4"/>
      <w:numFmt w:val="lowerLetter"/>
      <w:lvlText w:val="%2."/>
      <w:lvlJc w:val="left"/>
    </w:lvl>
    <w:lvl w:ilvl="2" w:tplc="DC8A318A">
      <w:start w:val="1"/>
      <w:numFmt w:val="lowerRoman"/>
      <w:lvlText w:val="%3"/>
      <w:lvlJc w:val="left"/>
    </w:lvl>
    <w:lvl w:ilvl="3" w:tplc="F98409D6">
      <w:numFmt w:val="decimal"/>
      <w:lvlText w:val=""/>
      <w:lvlJc w:val="left"/>
    </w:lvl>
    <w:lvl w:ilvl="4" w:tplc="919EEA50">
      <w:numFmt w:val="decimal"/>
      <w:lvlText w:val=""/>
      <w:lvlJc w:val="left"/>
    </w:lvl>
    <w:lvl w:ilvl="5" w:tplc="A8F2D5B6">
      <w:numFmt w:val="decimal"/>
      <w:lvlText w:val=""/>
      <w:lvlJc w:val="left"/>
    </w:lvl>
    <w:lvl w:ilvl="6" w:tplc="61EAC0B4">
      <w:numFmt w:val="decimal"/>
      <w:lvlText w:val=""/>
      <w:lvlJc w:val="left"/>
    </w:lvl>
    <w:lvl w:ilvl="7" w:tplc="69CC16C8">
      <w:numFmt w:val="decimal"/>
      <w:lvlText w:val=""/>
      <w:lvlJc w:val="left"/>
    </w:lvl>
    <w:lvl w:ilvl="8" w:tplc="474CC432">
      <w:numFmt w:val="decimal"/>
      <w:lvlText w:val=""/>
      <w:lvlJc w:val="left"/>
    </w:lvl>
  </w:abstractNum>
  <w:abstractNum w:abstractNumId="99" w15:restartNumberingAfterBreak="0">
    <w:nsid w:val="00000DC3"/>
    <w:multiLevelType w:val="hybridMultilevel"/>
    <w:tmpl w:val="5AC6B42A"/>
    <w:lvl w:ilvl="0" w:tplc="21CCEA60">
      <w:start w:val="2"/>
      <w:numFmt w:val="lowerLetter"/>
      <w:lvlText w:val="(%1)"/>
      <w:lvlJc w:val="left"/>
    </w:lvl>
    <w:lvl w:ilvl="1" w:tplc="02B2D3FC">
      <w:start w:val="1"/>
      <w:numFmt w:val="decimal"/>
      <w:lvlText w:val="%2."/>
      <w:lvlJc w:val="left"/>
    </w:lvl>
    <w:lvl w:ilvl="2" w:tplc="21B6BC50">
      <w:start w:val="1"/>
      <w:numFmt w:val="lowerLetter"/>
      <w:lvlText w:val="%3."/>
      <w:lvlJc w:val="left"/>
    </w:lvl>
    <w:lvl w:ilvl="3" w:tplc="BEE289F2">
      <w:start w:val="1"/>
      <w:numFmt w:val="lowerRoman"/>
      <w:lvlText w:val="%4."/>
      <w:lvlJc w:val="left"/>
    </w:lvl>
    <w:lvl w:ilvl="4" w:tplc="95CE65D8">
      <w:numFmt w:val="decimal"/>
      <w:lvlText w:val=""/>
      <w:lvlJc w:val="left"/>
    </w:lvl>
    <w:lvl w:ilvl="5" w:tplc="68561366">
      <w:numFmt w:val="decimal"/>
      <w:lvlText w:val=""/>
      <w:lvlJc w:val="left"/>
    </w:lvl>
    <w:lvl w:ilvl="6" w:tplc="90F0A946">
      <w:numFmt w:val="decimal"/>
      <w:lvlText w:val=""/>
      <w:lvlJc w:val="left"/>
    </w:lvl>
    <w:lvl w:ilvl="7" w:tplc="9134E15C">
      <w:numFmt w:val="decimal"/>
      <w:lvlText w:val=""/>
      <w:lvlJc w:val="left"/>
    </w:lvl>
    <w:lvl w:ilvl="8" w:tplc="07FCA11C">
      <w:numFmt w:val="decimal"/>
      <w:lvlText w:val=""/>
      <w:lvlJc w:val="left"/>
    </w:lvl>
  </w:abstractNum>
  <w:abstractNum w:abstractNumId="100" w15:restartNumberingAfterBreak="0">
    <w:nsid w:val="00000DD9"/>
    <w:multiLevelType w:val="hybridMultilevel"/>
    <w:tmpl w:val="DE8C1D8C"/>
    <w:lvl w:ilvl="0" w:tplc="C90EACDC">
      <w:start w:val="3"/>
      <w:numFmt w:val="lowerLetter"/>
      <w:lvlText w:val="%1."/>
      <w:lvlJc w:val="left"/>
    </w:lvl>
    <w:lvl w:ilvl="1" w:tplc="E32E10CA">
      <w:start w:val="1"/>
      <w:numFmt w:val="lowerLetter"/>
      <w:lvlText w:val="%2"/>
      <w:lvlJc w:val="left"/>
    </w:lvl>
    <w:lvl w:ilvl="2" w:tplc="8E9676B2">
      <w:numFmt w:val="decimal"/>
      <w:lvlText w:val=""/>
      <w:lvlJc w:val="left"/>
    </w:lvl>
    <w:lvl w:ilvl="3" w:tplc="0A2EED62">
      <w:numFmt w:val="decimal"/>
      <w:lvlText w:val=""/>
      <w:lvlJc w:val="left"/>
    </w:lvl>
    <w:lvl w:ilvl="4" w:tplc="527E0F24">
      <w:numFmt w:val="decimal"/>
      <w:lvlText w:val=""/>
      <w:lvlJc w:val="left"/>
    </w:lvl>
    <w:lvl w:ilvl="5" w:tplc="4B2C4C4A">
      <w:numFmt w:val="decimal"/>
      <w:lvlText w:val=""/>
      <w:lvlJc w:val="left"/>
    </w:lvl>
    <w:lvl w:ilvl="6" w:tplc="3372F018">
      <w:numFmt w:val="decimal"/>
      <w:lvlText w:val=""/>
      <w:lvlJc w:val="left"/>
    </w:lvl>
    <w:lvl w:ilvl="7" w:tplc="8D964C04">
      <w:numFmt w:val="decimal"/>
      <w:lvlText w:val=""/>
      <w:lvlJc w:val="left"/>
    </w:lvl>
    <w:lvl w:ilvl="8" w:tplc="A02C54E6">
      <w:numFmt w:val="decimal"/>
      <w:lvlText w:val=""/>
      <w:lvlJc w:val="left"/>
    </w:lvl>
  </w:abstractNum>
  <w:abstractNum w:abstractNumId="101" w15:restartNumberingAfterBreak="0">
    <w:nsid w:val="00000DED"/>
    <w:multiLevelType w:val="hybridMultilevel"/>
    <w:tmpl w:val="EFECC1E4"/>
    <w:lvl w:ilvl="0" w:tplc="4D5E6E9A">
      <w:start w:val="4"/>
      <w:numFmt w:val="decimal"/>
      <w:lvlText w:val="(%1)"/>
      <w:lvlJc w:val="left"/>
    </w:lvl>
    <w:lvl w:ilvl="1" w:tplc="A7D05FEC">
      <w:start w:val="1"/>
      <w:numFmt w:val="lowerLetter"/>
      <w:lvlText w:val="(%2)"/>
      <w:lvlJc w:val="left"/>
    </w:lvl>
    <w:lvl w:ilvl="2" w:tplc="7284AAAA">
      <w:start w:val="1"/>
      <w:numFmt w:val="decimal"/>
      <w:lvlText w:val="%3."/>
      <w:lvlJc w:val="left"/>
    </w:lvl>
    <w:lvl w:ilvl="3" w:tplc="0409000F">
      <w:start w:val="1"/>
      <w:numFmt w:val="decimal"/>
      <w:lvlText w:val="%4."/>
      <w:lvlJc w:val="left"/>
      <w:pPr>
        <w:ind w:left="2610" w:hanging="360"/>
      </w:pPr>
    </w:lvl>
    <w:lvl w:ilvl="4" w:tplc="7F660520">
      <w:numFmt w:val="decimal"/>
      <w:lvlText w:val=""/>
      <w:lvlJc w:val="left"/>
    </w:lvl>
    <w:lvl w:ilvl="5" w:tplc="F69C7CB4">
      <w:numFmt w:val="decimal"/>
      <w:lvlText w:val=""/>
      <w:lvlJc w:val="left"/>
    </w:lvl>
    <w:lvl w:ilvl="6" w:tplc="8CB2047C">
      <w:numFmt w:val="decimal"/>
      <w:lvlText w:val=""/>
      <w:lvlJc w:val="left"/>
    </w:lvl>
    <w:lvl w:ilvl="7" w:tplc="56186810">
      <w:numFmt w:val="decimal"/>
      <w:lvlText w:val=""/>
      <w:lvlJc w:val="left"/>
    </w:lvl>
    <w:lvl w:ilvl="8" w:tplc="C890CBBA">
      <w:numFmt w:val="decimal"/>
      <w:lvlText w:val=""/>
      <w:lvlJc w:val="left"/>
    </w:lvl>
  </w:abstractNum>
  <w:abstractNum w:abstractNumId="102" w15:restartNumberingAfterBreak="0">
    <w:nsid w:val="00000DFC"/>
    <w:multiLevelType w:val="hybridMultilevel"/>
    <w:tmpl w:val="52DC2BFC"/>
    <w:lvl w:ilvl="0" w:tplc="E0CA29BE">
      <w:start w:val="1"/>
      <w:numFmt w:val="lowerLetter"/>
      <w:lvlText w:val="%1"/>
      <w:lvlJc w:val="left"/>
    </w:lvl>
    <w:lvl w:ilvl="1" w:tplc="CE8C70B6">
      <w:start w:val="5"/>
      <w:numFmt w:val="decimal"/>
      <w:lvlText w:val="%2."/>
      <w:lvlJc w:val="left"/>
    </w:lvl>
    <w:lvl w:ilvl="2" w:tplc="650E6A90">
      <w:start w:val="1"/>
      <w:numFmt w:val="lowerLetter"/>
      <w:lvlText w:val="%3."/>
      <w:lvlJc w:val="left"/>
    </w:lvl>
    <w:lvl w:ilvl="3" w:tplc="8DEC0EF6">
      <w:numFmt w:val="decimal"/>
      <w:lvlText w:val=""/>
      <w:lvlJc w:val="left"/>
    </w:lvl>
    <w:lvl w:ilvl="4" w:tplc="5BAEBACE">
      <w:numFmt w:val="decimal"/>
      <w:lvlText w:val=""/>
      <w:lvlJc w:val="left"/>
    </w:lvl>
    <w:lvl w:ilvl="5" w:tplc="011A925E">
      <w:numFmt w:val="decimal"/>
      <w:lvlText w:val=""/>
      <w:lvlJc w:val="left"/>
    </w:lvl>
    <w:lvl w:ilvl="6" w:tplc="95289B4E">
      <w:numFmt w:val="decimal"/>
      <w:lvlText w:val=""/>
      <w:lvlJc w:val="left"/>
    </w:lvl>
    <w:lvl w:ilvl="7" w:tplc="6576D7A6">
      <w:numFmt w:val="decimal"/>
      <w:lvlText w:val=""/>
      <w:lvlJc w:val="left"/>
    </w:lvl>
    <w:lvl w:ilvl="8" w:tplc="BCCC89EE">
      <w:numFmt w:val="decimal"/>
      <w:lvlText w:val=""/>
      <w:lvlJc w:val="left"/>
    </w:lvl>
  </w:abstractNum>
  <w:abstractNum w:abstractNumId="103" w15:restartNumberingAfterBreak="0">
    <w:nsid w:val="00000E44"/>
    <w:multiLevelType w:val="hybridMultilevel"/>
    <w:tmpl w:val="E5F6AF68"/>
    <w:lvl w:ilvl="0" w:tplc="97785C9A">
      <w:start w:val="2"/>
      <w:numFmt w:val="lowerLetter"/>
      <w:lvlText w:val="%1."/>
      <w:lvlJc w:val="left"/>
    </w:lvl>
    <w:lvl w:ilvl="1" w:tplc="D7206A7C">
      <w:start w:val="1"/>
      <w:numFmt w:val="lowerRoman"/>
      <w:lvlText w:val="%2."/>
      <w:lvlJc w:val="left"/>
    </w:lvl>
    <w:lvl w:ilvl="2" w:tplc="86A4B9E4">
      <w:numFmt w:val="decimal"/>
      <w:lvlText w:val=""/>
      <w:lvlJc w:val="left"/>
    </w:lvl>
    <w:lvl w:ilvl="3" w:tplc="E4785EBE">
      <w:numFmt w:val="decimal"/>
      <w:lvlText w:val=""/>
      <w:lvlJc w:val="left"/>
    </w:lvl>
    <w:lvl w:ilvl="4" w:tplc="F6026F04">
      <w:numFmt w:val="decimal"/>
      <w:lvlText w:val=""/>
      <w:lvlJc w:val="left"/>
    </w:lvl>
    <w:lvl w:ilvl="5" w:tplc="58400B9A">
      <w:numFmt w:val="decimal"/>
      <w:lvlText w:val=""/>
      <w:lvlJc w:val="left"/>
    </w:lvl>
    <w:lvl w:ilvl="6" w:tplc="83DC2610">
      <w:numFmt w:val="decimal"/>
      <w:lvlText w:val=""/>
      <w:lvlJc w:val="left"/>
    </w:lvl>
    <w:lvl w:ilvl="7" w:tplc="879C0048">
      <w:numFmt w:val="decimal"/>
      <w:lvlText w:val=""/>
      <w:lvlJc w:val="left"/>
    </w:lvl>
    <w:lvl w:ilvl="8" w:tplc="4B54666C">
      <w:numFmt w:val="decimal"/>
      <w:lvlText w:val=""/>
      <w:lvlJc w:val="left"/>
    </w:lvl>
  </w:abstractNum>
  <w:abstractNum w:abstractNumId="104" w15:restartNumberingAfterBreak="0">
    <w:nsid w:val="00000E64"/>
    <w:multiLevelType w:val="hybridMultilevel"/>
    <w:tmpl w:val="490CC1F4"/>
    <w:lvl w:ilvl="0" w:tplc="524A4E88">
      <w:start w:val="1"/>
      <w:numFmt w:val="decimal"/>
      <w:lvlText w:val="(%1)"/>
      <w:lvlJc w:val="left"/>
    </w:lvl>
    <w:lvl w:ilvl="1" w:tplc="29503064">
      <w:start w:val="1"/>
      <w:numFmt w:val="lowerLetter"/>
      <w:lvlText w:val="(%2)"/>
      <w:lvlJc w:val="left"/>
    </w:lvl>
    <w:lvl w:ilvl="2" w:tplc="CE701CA0">
      <w:start w:val="1"/>
      <w:numFmt w:val="decimal"/>
      <w:lvlText w:val="%3."/>
      <w:lvlJc w:val="left"/>
    </w:lvl>
    <w:lvl w:ilvl="3" w:tplc="6CBCF1FA">
      <w:numFmt w:val="decimal"/>
      <w:lvlText w:val=""/>
      <w:lvlJc w:val="left"/>
    </w:lvl>
    <w:lvl w:ilvl="4" w:tplc="9654945A">
      <w:numFmt w:val="decimal"/>
      <w:lvlText w:val=""/>
      <w:lvlJc w:val="left"/>
    </w:lvl>
    <w:lvl w:ilvl="5" w:tplc="CD9ECCF4">
      <w:numFmt w:val="decimal"/>
      <w:lvlText w:val=""/>
      <w:lvlJc w:val="left"/>
    </w:lvl>
    <w:lvl w:ilvl="6" w:tplc="53AE9E02">
      <w:numFmt w:val="decimal"/>
      <w:lvlText w:val=""/>
      <w:lvlJc w:val="left"/>
    </w:lvl>
    <w:lvl w:ilvl="7" w:tplc="20301C52">
      <w:numFmt w:val="decimal"/>
      <w:lvlText w:val=""/>
      <w:lvlJc w:val="left"/>
    </w:lvl>
    <w:lvl w:ilvl="8" w:tplc="DB421476">
      <w:numFmt w:val="decimal"/>
      <w:lvlText w:val=""/>
      <w:lvlJc w:val="left"/>
    </w:lvl>
  </w:abstractNum>
  <w:abstractNum w:abstractNumId="105" w15:restartNumberingAfterBreak="0">
    <w:nsid w:val="00000EEE"/>
    <w:multiLevelType w:val="hybridMultilevel"/>
    <w:tmpl w:val="93C8065C"/>
    <w:lvl w:ilvl="0" w:tplc="45F8B792">
      <w:start w:val="1"/>
      <w:numFmt w:val="decimal"/>
      <w:lvlText w:val="%1"/>
      <w:lvlJc w:val="left"/>
    </w:lvl>
    <w:lvl w:ilvl="1" w:tplc="E99EEF9A">
      <w:start w:val="2"/>
      <w:numFmt w:val="lowerLetter"/>
      <w:lvlText w:val="(%2)"/>
      <w:lvlJc w:val="left"/>
    </w:lvl>
    <w:lvl w:ilvl="2" w:tplc="8C32FBDC">
      <w:start w:val="1"/>
      <w:numFmt w:val="decimal"/>
      <w:lvlText w:val="%3."/>
      <w:lvlJc w:val="left"/>
    </w:lvl>
    <w:lvl w:ilvl="3" w:tplc="B9A467EC">
      <w:start w:val="1"/>
      <w:numFmt w:val="lowerLetter"/>
      <w:lvlText w:val="%4"/>
      <w:lvlJc w:val="left"/>
    </w:lvl>
    <w:lvl w:ilvl="4" w:tplc="210AFC6A">
      <w:numFmt w:val="decimal"/>
      <w:lvlText w:val=""/>
      <w:lvlJc w:val="left"/>
    </w:lvl>
    <w:lvl w:ilvl="5" w:tplc="FE941B2E">
      <w:numFmt w:val="decimal"/>
      <w:lvlText w:val=""/>
      <w:lvlJc w:val="left"/>
    </w:lvl>
    <w:lvl w:ilvl="6" w:tplc="2D127C40">
      <w:numFmt w:val="decimal"/>
      <w:lvlText w:val=""/>
      <w:lvlJc w:val="left"/>
    </w:lvl>
    <w:lvl w:ilvl="7" w:tplc="35765F6C">
      <w:numFmt w:val="decimal"/>
      <w:lvlText w:val=""/>
      <w:lvlJc w:val="left"/>
    </w:lvl>
    <w:lvl w:ilvl="8" w:tplc="15420862">
      <w:numFmt w:val="decimal"/>
      <w:lvlText w:val=""/>
      <w:lvlJc w:val="left"/>
    </w:lvl>
  </w:abstractNum>
  <w:abstractNum w:abstractNumId="106" w15:restartNumberingAfterBreak="0">
    <w:nsid w:val="00000F55"/>
    <w:multiLevelType w:val="hybridMultilevel"/>
    <w:tmpl w:val="A0EC270C"/>
    <w:lvl w:ilvl="0" w:tplc="775ECFEC">
      <w:start w:val="1"/>
      <w:numFmt w:val="lowerLetter"/>
      <w:lvlText w:val="%1"/>
      <w:lvlJc w:val="left"/>
    </w:lvl>
    <w:lvl w:ilvl="1" w:tplc="0EBE017C">
      <w:start w:val="3"/>
      <w:numFmt w:val="decimal"/>
      <w:lvlText w:val="%2."/>
      <w:lvlJc w:val="left"/>
    </w:lvl>
    <w:lvl w:ilvl="2" w:tplc="66FC4D6A">
      <w:start w:val="1"/>
      <w:numFmt w:val="lowerLetter"/>
      <w:lvlText w:val="%3"/>
      <w:lvlJc w:val="left"/>
    </w:lvl>
    <w:lvl w:ilvl="3" w:tplc="7096A454">
      <w:numFmt w:val="decimal"/>
      <w:lvlText w:val=""/>
      <w:lvlJc w:val="left"/>
    </w:lvl>
    <w:lvl w:ilvl="4" w:tplc="DB784970">
      <w:numFmt w:val="decimal"/>
      <w:lvlText w:val=""/>
      <w:lvlJc w:val="left"/>
    </w:lvl>
    <w:lvl w:ilvl="5" w:tplc="A15A8456">
      <w:numFmt w:val="decimal"/>
      <w:lvlText w:val=""/>
      <w:lvlJc w:val="left"/>
    </w:lvl>
    <w:lvl w:ilvl="6" w:tplc="70ACE6BC">
      <w:numFmt w:val="decimal"/>
      <w:lvlText w:val=""/>
      <w:lvlJc w:val="left"/>
    </w:lvl>
    <w:lvl w:ilvl="7" w:tplc="637E3A44">
      <w:numFmt w:val="decimal"/>
      <w:lvlText w:val=""/>
      <w:lvlJc w:val="left"/>
    </w:lvl>
    <w:lvl w:ilvl="8" w:tplc="A1001558">
      <w:numFmt w:val="decimal"/>
      <w:lvlText w:val=""/>
      <w:lvlJc w:val="left"/>
    </w:lvl>
  </w:abstractNum>
  <w:abstractNum w:abstractNumId="107" w15:restartNumberingAfterBreak="0">
    <w:nsid w:val="00000F7C"/>
    <w:multiLevelType w:val="hybridMultilevel"/>
    <w:tmpl w:val="62082F2E"/>
    <w:lvl w:ilvl="0" w:tplc="77848030">
      <w:start w:val="3"/>
      <w:numFmt w:val="decimal"/>
      <w:lvlText w:val="%1."/>
      <w:lvlJc w:val="left"/>
    </w:lvl>
    <w:lvl w:ilvl="1" w:tplc="4EF0B146">
      <w:start w:val="1"/>
      <w:numFmt w:val="lowerLetter"/>
      <w:lvlText w:val="%2"/>
      <w:lvlJc w:val="left"/>
    </w:lvl>
    <w:lvl w:ilvl="2" w:tplc="592A0908">
      <w:numFmt w:val="decimal"/>
      <w:lvlText w:val=""/>
      <w:lvlJc w:val="left"/>
    </w:lvl>
    <w:lvl w:ilvl="3" w:tplc="F56E0F2A">
      <w:numFmt w:val="decimal"/>
      <w:lvlText w:val=""/>
      <w:lvlJc w:val="left"/>
    </w:lvl>
    <w:lvl w:ilvl="4" w:tplc="FD5087C8">
      <w:numFmt w:val="decimal"/>
      <w:lvlText w:val=""/>
      <w:lvlJc w:val="left"/>
    </w:lvl>
    <w:lvl w:ilvl="5" w:tplc="A9165256">
      <w:numFmt w:val="decimal"/>
      <w:lvlText w:val=""/>
      <w:lvlJc w:val="left"/>
    </w:lvl>
    <w:lvl w:ilvl="6" w:tplc="1E32A7C8">
      <w:numFmt w:val="decimal"/>
      <w:lvlText w:val=""/>
      <w:lvlJc w:val="left"/>
    </w:lvl>
    <w:lvl w:ilvl="7" w:tplc="30E8BB5A">
      <w:numFmt w:val="decimal"/>
      <w:lvlText w:val=""/>
      <w:lvlJc w:val="left"/>
    </w:lvl>
    <w:lvl w:ilvl="8" w:tplc="E0360382">
      <w:numFmt w:val="decimal"/>
      <w:lvlText w:val=""/>
      <w:lvlJc w:val="left"/>
    </w:lvl>
  </w:abstractNum>
  <w:abstractNum w:abstractNumId="108" w15:restartNumberingAfterBreak="0">
    <w:nsid w:val="00000F95"/>
    <w:multiLevelType w:val="hybridMultilevel"/>
    <w:tmpl w:val="65DC2DE6"/>
    <w:lvl w:ilvl="0" w:tplc="37B0BFEA">
      <w:start w:val="1"/>
      <w:numFmt w:val="bullet"/>
      <w:lvlText w:val="*"/>
      <w:lvlJc w:val="left"/>
      <w:rPr>
        <w:vertAlign w:val="superscript"/>
      </w:rPr>
    </w:lvl>
    <w:lvl w:ilvl="1" w:tplc="A5F63860">
      <w:numFmt w:val="decimal"/>
      <w:lvlText w:val=""/>
      <w:lvlJc w:val="left"/>
    </w:lvl>
    <w:lvl w:ilvl="2" w:tplc="45867490">
      <w:numFmt w:val="decimal"/>
      <w:lvlText w:val=""/>
      <w:lvlJc w:val="left"/>
    </w:lvl>
    <w:lvl w:ilvl="3" w:tplc="1B389938">
      <w:numFmt w:val="decimal"/>
      <w:lvlText w:val=""/>
      <w:lvlJc w:val="left"/>
    </w:lvl>
    <w:lvl w:ilvl="4" w:tplc="78B41E10">
      <w:numFmt w:val="decimal"/>
      <w:lvlText w:val=""/>
      <w:lvlJc w:val="left"/>
    </w:lvl>
    <w:lvl w:ilvl="5" w:tplc="BC0215EE">
      <w:numFmt w:val="decimal"/>
      <w:lvlText w:val=""/>
      <w:lvlJc w:val="left"/>
    </w:lvl>
    <w:lvl w:ilvl="6" w:tplc="CF34B702">
      <w:numFmt w:val="decimal"/>
      <w:lvlText w:val=""/>
      <w:lvlJc w:val="left"/>
    </w:lvl>
    <w:lvl w:ilvl="7" w:tplc="488EE812">
      <w:numFmt w:val="decimal"/>
      <w:lvlText w:val=""/>
      <w:lvlJc w:val="left"/>
    </w:lvl>
    <w:lvl w:ilvl="8" w:tplc="7B62D018">
      <w:numFmt w:val="decimal"/>
      <w:lvlText w:val=""/>
      <w:lvlJc w:val="left"/>
    </w:lvl>
  </w:abstractNum>
  <w:abstractNum w:abstractNumId="109" w15:restartNumberingAfterBreak="0">
    <w:nsid w:val="00000FAF"/>
    <w:multiLevelType w:val="hybridMultilevel"/>
    <w:tmpl w:val="E6C6EBAE"/>
    <w:lvl w:ilvl="0" w:tplc="0D7481FA">
      <w:start w:val="3"/>
      <w:numFmt w:val="decimal"/>
      <w:lvlText w:val="(%1)"/>
      <w:lvlJc w:val="left"/>
    </w:lvl>
    <w:lvl w:ilvl="1" w:tplc="EC38D478">
      <w:start w:val="2"/>
      <w:numFmt w:val="lowerLetter"/>
      <w:lvlText w:val="(%2)"/>
      <w:lvlJc w:val="left"/>
    </w:lvl>
    <w:lvl w:ilvl="2" w:tplc="7D06BD22">
      <w:start w:val="1"/>
      <w:numFmt w:val="decimal"/>
      <w:lvlText w:val="%3"/>
      <w:lvlJc w:val="left"/>
    </w:lvl>
    <w:lvl w:ilvl="3" w:tplc="58D0B26E">
      <w:start w:val="1"/>
      <w:numFmt w:val="lowerLetter"/>
      <w:lvlText w:val="%4"/>
      <w:lvlJc w:val="left"/>
    </w:lvl>
    <w:lvl w:ilvl="4" w:tplc="BCE65D70">
      <w:numFmt w:val="decimal"/>
      <w:lvlText w:val=""/>
      <w:lvlJc w:val="left"/>
    </w:lvl>
    <w:lvl w:ilvl="5" w:tplc="E6F297D6">
      <w:numFmt w:val="decimal"/>
      <w:lvlText w:val=""/>
      <w:lvlJc w:val="left"/>
    </w:lvl>
    <w:lvl w:ilvl="6" w:tplc="51801220">
      <w:numFmt w:val="decimal"/>
      <w:lvlText w:val=""/>
      <w:lvlJc w:val="left"/>
    </w:lvl>
    <w:lvl w:ilvl="7" w:tplc="B3683A70">
      <w:numFmt w:val="decimal"/>
      <w:lvlText w:val=""/>
      <w:lvlJc w:val="left"/>
    </w:lvl>
    <w:lvl w:ilvl="8" w:tplc="46BAB9DE">
      <w:numFmt w:val="decimal"/>
      <w:lvlText w:val=""/>
      <w:lvlJc w:val="left"/>
    </w:lvl>
  </w:abstractNum>
  <w:abstractNum w:abstractNumId="110" w15:restartNumberingAfterBreak="0">
    <w:nsid w:val="00000FE7"/>
    <w:multiLevelType w:val="hybridMultilevel"/>
    <w:tmpl w:val="A3A2F69E"/>
    <w:lvl w:ilvl="0" w:tplc="BB7AB65C">
      <w:start w:val="1"/>
      <w:numFmt w:val="decimal"/>
      <w:lvlText w:val="%1"/>
      <w:lvlJc w:val="left"/>
    </w:lvl>
    <w:lvl w:ilvl="1" w:tplc="9AC63FA8">
      <w:start w:val="1"/>
      <w:numFmt w:val="lowerLetter"/>
      <w:lvlText w:val="%2"/>
      <w:lvlJc w:val="left"/>
    </w:lvl>
    <w:lvl w:ilvl="2" w:tplc="9F1A5572">
      <w:start w:val="1"/>
      <w:numFmt w:val="decimal"/>
      <w:lvlText w:val="%3"/>
      <w:lvlJc w:val="left"/>
    </w:lvl>
    <w:lvl w:ilvl="3" w:tplc="86EC7430">
      <w:start w:val="1"/>
      <w:numFmt w:val="lowerLetter"/>
      <w:lvlText w:val="%4"/>
      <w:lvlJc w:val="left"/>
    </w:lvl>
    <w:lvl w:ilvl="4" w:tplc="CF9A0682">
      <w:start w:val="2"/>
      <w:numFmt w:val="lowerRoman"/>
      <w:lvlText w:val="%5."/>
      <w:lvlJc w:val="left"/>
    </w:lvl>
    <w:lvl w:ilvl="5" w:tplc="2DEAC332">
      <w:numFmt w:val="decimal"/>
      <w:lvlText w:val=""/>
      <w:lvlJc w:val="left"/>
    </w:lvl>
    <w:lvl w:ilvl="6" w:tplc="E460E048">
      <w:numFmt w:val="decimal"/>
      <w:lvlText w:val=""/>
      <w:lvlJc w:val="left"/>
    </w:lvl>
    <w:lvl w:ilvl="7" w:tplc="EB98DA0E">
      <w:numFmt w:val="decimal"/>
      <w:lvlText w:val=""/>
      <w:lvlJc w:val="left"/>
    </w:lvl>
    <w:lvl w:ilvl="8" w:tplc="00668582">
      <w:numFmt w:val="decimal"/>
      <w:lvlText w:val=""/>
      <w:lvlJc w:val="left"/>
    </w:lvl>
  </w:abstractNum>
  <w:abstractNum w:abstractNumId="111" w15:restartNumberingAfterBreak="0">
    <w:nsid w:val="00000FF4"/>
    <w:multiLevelType w:val="hybridMultilevel"/>
    <w:tmpl w:val="27426A86"/>
    <w:lvl w:ilvl="0" w:tplc="EE98E8D0">
      <w:start w:val="1"/>
      <w:numFmt w:val="lowerLetter"/>
      <w:lvlText w:val="(%1)"/>
      <w:lvlJc w:val="left"/>
    </w:lvl>
    <w:lvl w:ilvl="1" w:tplc="1228C9B2">
      <w:numFmt w:val="decimal"/>
      <w:lvlText w:val=""/>
      <w:lvlJc w:val="left"/>
    </w:lvl>
    <w:lvl w:ilvl="2" w:tplc="420C4EBC">
      <w:numFmt w:val="decimal"/>
      <w:lvlText w:val=""/>
      <w:lvlJc w:val="left"/>
    </w:lvl>
    <w:lvl w:ilvl="3" w:tplc="1AFEC6D0">
      <w:numFmt w:val="decimal"/>
      <w:lvlText w:val=""/>
      <w:lvlJc w:val="left"/>
    </w:lvl>
    <w:lvl w:ilvl="4" w:tplc="A43633EC">
      <w:numFmt w:val="decimal"/>
      <w:lvlText w:val=""/>
      <w:lvlJc w:val="left"/>
    </w:lvl>
    <w:lvl w:ilvl="5" w:tplc="4E06D522">
      <w:numFmt w:val="decimal"/>
      <w:lvlText w:val=""/>
      <w:lvlJc w:val="left"/>
    </w:lvl>
    <w:lvl w:ilvl="6" w:tplc="FF7251D4">
      <w:numFmt w:val="decimal"/>
      <w:lvlText w:val=""/>
      <w:lvlJc w:val="left"/>
    </w:lvl>
    <w:lvl w:ilvl="7" w:tplc="B7B8A188">
      <w:numFmt w:val="decimal"/>
      <w:lvlText w:val=""/>
      <w:lvlJc w:val="left"/>
    </w:lvl>
    <w:lvl w:ilvl="8" w:tplc="6838CE5C">
      <w:numFmt w:val="decimal"/>
      <w:lvlText w:val=""/>
      <w:lvlJc w:val="left"/>
    </w:lvl>
  </w:abstractNum>
  <w:abstractNum w:abstractNumId="112" w15:restartNumberingAfterBreak="0">
    <w:nsid w:val="00001002"/>
    <w:multiLevelType w:val="hybridMultilevel"/>
    <w:tmpl w:val="CE40EA08"/>
    <w:lvl w:ilvl="0" w:tplc="D8D85E12">
      <w:start w:val="2"/>
      <w:numFmt w:val="decimal"/>
      <w:lvlText w:val="%1."/>
      <w:lvlJc w:val="left"/>
    </w:lvl>
    <w:lvl w:ilvl="1" w:tplc="3F8068A8">
      <w:start w:val="1"/>
      <w:numFmt w:val="lowerLetter"/>
      <w:lvlText w:val="%2"/>
      <w:lvlJc w:val="left"/>
    </w:lvl>
    <w:lvl w:ilvl="2" w:tplc="51128B34">
      <w:numFmt w:val="decimal"/>
      <w:lvlText w:val=""/>
      <w:lvlJc w:val="left"/>
    </w:lvl>
    <w:lvl w:ilvl="3" w:tplc="B79443A2">
      <w:numFmt w:val="decimal"/>
      <w:lvlText w:val=""/>
      <w:lvlJc w:val="left"/>
    </w:lvl>
    <w:lvl w:ilvl="4" w:tplc="F1D295C8">
      <w:numFmt w:val="decimal"/>
      <w:lvlText w:val=""/>
      <w:lvlJc w:val="left"/>
    </w:lvl>
    <w:lvl w:ilvl="5" w:tplc="B7444CB6">
      <w:numFmt w:val="decimal"/>
      <w:lvlText w:val=""/>
      <w:lvlJc w:val="left"/>
    </w:lvl>
    <w:lvl w:ilvl="6" w:tplc="3E442EF0">
      <w:numFmt w:val="decimal"/>
      <w:lvlText w:val=""/>
      <w:lvlJc w:val="left"/>
    </w:lvl>
    <w:lvl w:ilvl="7" w:tplc="F89AF840">
      <w:numFmt w:val="decimal"/>
      <w:lvlText w:val=""/>
      <w:lvlJc w:val="left"/>
    </w:lvl>
    <w:lvl w:ilvl="8" w:tplc="42D8C060">
      <w:numFmt w:val="decimal"/>
      <w:lvlText w:val=""/>
      <w:lvlJc w:val="left"/>
    </w:lvl>
  </w:abstractNum>
  <w:abstractNum w:abstractNumId="113" w15:restartNumberingAfterBreak="0">
    <w:nsid w:val="00001056"/>
    <w:multiLevelType w:val="hybridMultilevel"/>
    <w:tmpl w:val="E236B5C2"/>
    <w:lvl w:ilvl="0" w:tplc="7BC8305E">
      <w:start w:val="1"/>
      <w:numFmt w:val="lowerLetter"/>
      <w:lvlText w:val="%1"/>
      <w:lvlJc w:val="left"/>
    </w:lvl>
    <w:lvl w:ilvl="1" w:tplc="EE7ED574">
      <w:start w:val="1"/>
      <w:numFmt w:val="decimal"/>
      <w:lvlText w:val="%2"/>
      <w:lvlJc w:val="left"/>
    </w:lvl>
    <w:lvl w:ilvl="2" w:tplc="62DCF1AA">
      <w:start w:val="1"/>
      <w:numFmt w:val="lowerLetter"/>
      <w:lvlText w:val="%3."/>
      <w:lvlJc w:val="left"/>
    </w:lvl>
    <w:lvl w:ilvl="3" w:tplc="8562875A">
      <w:numFmt w:val="decimal"/>
      <w:lvlText w:val=""/>
      <w:lvlJc w:val="left"/>
    </w:lvl>
    <w:lvl w:ilvl="4" w:tplc="14D21556">
      <w:numFmt w:val="decimal"/>
      <w:lvlText w:val=""/>
      <w:lvlJc w:val="left"/>
    </w:lvl>
    <w:lvl w:ilvl="5" w:tplc="FAC4F05A">
      <w:numFmt w:val="decimal"/>
      <w:lvlText w:val=""/>
      <w:lvlJc w:val="left"/>
    </w:lvl>
    <w:lvl w:ilvl="6" w:tplc="5D588ADC">
      <w:numFmt w:val="decimal"/>
      <w:lvlText w:val=""/>
      <w:lvlJc w:val="left"/>
    </w:lvl>
    <w:lvl w:ilvl="7" w:tplc="9022FAA2">
      <w:numFmt w:val="decimal"/>
      <w:lvlText w:val=""/>
      <w:lvlJc w:val="left"/>
    </w:lvl>
    <w:lvl w:ilvl="8" w:tplc="BA169548">
      <w:numFmt w:val="decimal"/>
      <w:lvlText w:val=""/>
      <w:lvlJc w:val="left"/>
    </w:lvl>
  </w:abstractNum>
  <w:abstractNum w:abstractNumId="114" w15:restartNumberingAfterBreak="0">
    <w:nsid w:val="000010BF"/>
    <w:multiLevelType w:val="hybridMultilevel"/>
    <w:tmpl w:val="D0E6C068"/>
    <w:lvl w:ilvl="0" w:tplc="F9F6FBD6">
      <w:start w:val="2"/>
      <w:numFmt w:val="decimal"/>
      <w:lvlText w:val="%1."/>
      <w:lvlJc w:val="left"/>
    </w:lvl>
    <w:lvl w:ilvl="1" w:tplc="E96A3B3E">
      <w:numFmt w:val="decimal"/>
      <w:lvlText w:val=""/>
      <w:lvlJc w:val="left"/>
    </w:lvl>
    <w:lvl w:ilvl="2" w:tplc="1B04E414">
      <w:numFmt w:val="decimal"/>
      <w:lvlText w:val=""/>
      <w:lvlJc w:val="left"/>
    </w:lvl>
    <w:lvl w:ilvl="3" w:tplc="72883A42">
      <w:numFmt w:val="decimal"/>
      <w:lvlText w:val=""/>
      <w:lvlJc w:val="left"/>
    </w:lvl>
    <w:lvl w:ilvl="4" w:tplc="75FE1978">
      <w:numFmt w:val="decimal"/>
      <w:lvlText w:val=""/>
      <w:lvlJc w:val="left"/>
    </w:lvl>
    <w:lvl w:ilvl="5" w:tplc="6D024196">
      <w:numFmt w:val="decimal"/>
      <w:lvlText w:val=""/>
      <w:lvlJc w:val="left"/>
    </w:lvl>
    <w:lvl w:ilvl="6" w:tplc="7C30C656">
      <w:numFmt w:val="decimal"/>
      <w:lvlText w:val=""/>
      <w:lvlJc w:val="left"/>
    </w:lvl>
    <w:lvl w:ilvl="7" w:tplc="43E2C39E">
      <w:numFmt w:val="decimal"/>
      <w:lvlText w:val=""/>
      <w:lvlJc w:val="left"/>
    </w:lvl>
    <w:lvl w:ilvl="8" w:tplc="2E6E9B26">
      <w:numFmt w:val="decimal"/>
      <w:lvlText w:val=""/>
      <w:lvlJc w:val="left"/>
    </w:lvl>
  </w:abstractNum>
  <w:abstractNum w:abstractNumId="115" w15:restartNumberingAfterBreak="0">
    <w:nsid w:val="000010DF"/>
    <w:multiLevelType w:val="hybridMultilevel"/>
    <w:tmpl w:val="D47C32E6"/>
    <w:lvl w:ilvl="0" w:tplc="182E04EC">
      <w:start w:val="2"/>
      <w:numFmt w:val="decimal"/>
      <w:lvlText w:val="%1."/>
      <w:lvlJc w:val="left"/>
    </w:lvl>
    <w:lvl w:ilvl="1" w:tplc="10AE49A2">
      <w:start w:val="1"/>
      <w:numFmt w:val="lowerLetter"/>
      <w:lvlText w:val="%2."/>
      <w:lvlJc w:val="left"/>
    </w:lvl>
    <w:lvl w:ilvl="2" w:tplc="545A88BA">
      <w:start w:val="1"/>
      <w:numFmt w:val="lowerRoman"/>
      <w:lvlText w:val="%3"/>
      <w:lvlJc w:val="left"/>
    </w:lvl>
    <w:lvl w:ilvl="3" w:tplc="D11E17C8">
      <w:numFmt w:val="decimal"/>
      <w:lvlText w:val=""/>
      <w:lvlJc w:val="left"/>
    </w:lvl>
    <w:lvl w:ilvl="4" w:tplc="A05C75C0">
      <w:numFmt w:val="decimal"/>
      <w:lvlText w:val=""/>
      <w:lvlJc w:val="left"/>
    </w:lvl>
    <w:lvl w:ilvl="5" w:tplc="AC4EDDF2">
      <w:numFmt w:val="decimal"/>
      <w:lvlText w:val=""/>
      <w:lvlJc w:val="left"/>
    </w:lvl>
    <w:lvl w:ilvl="6" w:tplc="1A62A560">
      <w:numFmt w:val="decimal"/>
      <w:lvlText w:val=""/>
      <w:lvlJc w:val="left"/>
    </w:lvl>
    <w:lvl w:ilvl="7" w:tplc="C82025F4">
      <w:numFmt w:val="decimal"/>
      <w:lvlText w:val=""/>
      <w:lvlJc w:val="left"/>
    </w:lvl>
    <w:lvl w:ilvl="8" w:tplc="5678B270">
      <w:numFmt w:val="decimal"/>
      <w:lvlText w:val=""/>
      <w:lvlJc w:val="left"/>
    </w:lvl>
  </w:abstractNum>
  <w:abstractNum w:abstractNumId="116" w15:restartNumberingAfterBreak="0">
    <w:nsid w:val="000010E4"/>
    <w:multiLevelType w:val="hybridMultilevel"/>
    <w:tmpl w:val="B5BED48C"/>
    <w:lvl w:ilvl="0" w:tplc="BAA001C6">
      <w:start w:val="10"/>
      <w:numFmt w:val="decimal"/>
      <w:lvlText w:val="%1"/>
      <w:lvlJc w:val="left"/>
      <w:rPr>
        <w:rFonts w:hint="default"/>
        <w:sz w:val="16"/>
      </w:rPr>
    </w:lvl>
    <w:lvl w:ilvl="1" w:tplc="BD26F5E4">
      <w:start w:val="10"/>
      <w:numFmt w:val="decimal"/>
      <w:lvlText w:val="(%2)"/>
      <w:lvlJc w:val="left"/>
    </w:lvl>
    <w:lvl w:ilvl="2" w:tplc="DC3C77D0">
      <w:start w:val="1"/>
      <w:numFmt w:val="lowerLetter"/>
      <w:lvlText w:val="(%3)"/>
      <w:lvlJc w:val="left"/>
    </w:lvl>
    <w:lvl w:ilvl="3" w:tplc="00B46810">
      <w:start w:val="1"/>
      <w:numFmt w:val="decimal"/>
      <w:lvlText w:val="%4."/>
      <w:lvlJc w:val="left"/>
    </w:lvl>
    <w:lvl w:ilvl="4" w:tplc="87FC50EC">
      <w:start w:val="1"/>
      <w:numFmt w:val="lowerLetter"/>
      <w:lvlText w:val="%5."/>
      <w:lvlJc w:val="left"/>
    </w:lvl>
    <w:lvl w:ilvl="5" w:tplc="064018A2">
      <w:start w:val="1"/>
      <w:numFmt w:val="lowerRoman"/>
      <w:lvlText w:val="(%6)"/>
      <w:lvlJc w:val="left"/>
    </w:lvl>
    <w:lvl w:ilvl="6" w:tplc="624C8ECC">
      <w:numFmt w:val="decimal"/>
      <w:lvlText w:val=""/>
      <w:lvlJc w:val="left"/>
    </w:lvl>
    <w:lvl w:ilvl="7" w:tplc="95F8B0BC">
      <w:numFmt w:val="decimal"/>
      <w:lvlText w:val=""/>
      <w:lvlJc w:val="left"/>
    </w:lvl>
    <w:lvl w:ilvl="8" w:tplc="D31448A8">
      <w:numFmt w:val="decimal"/>
      <w:lvlText w:val=""/>
      <w:lvlJc w:val="left"/>
    </w:lvl>
  </w:abstractNum>
  <w:abstractNum w:abstractNumId="117" w15:restartNumberingAfterBreak="0">
    <w:nsid w:val="00001108"/>
    <w:multiLevelType w:val="hybridMultilevel"/>
    <w:tmpl w:val="6EA07364"/>
    <w:lvl w:ilvl="0" w:tplc="43F6932A">
      <w:start w:val="5"/>
      <w:numFmt w:val="decimal"/>
      <w:lvlText w:val="%1."/>
      <w:lvlJc w:val="left"/>
    </w:lvl>
    <w:lvl w:ilvl="1" w:tplc="14A0B9D6">
      <w:numFmt w:val="decimal"/>
      <w:lvlText w:val=""/>
      <w:lvlJc w:val="left"/>
    </w:lvl>
    <w:lvl w:ilvl="2" w:tplc="D78CCEB0">
      <w:numFmt w:val="decimal"/>
      <w:lvlText w:val=""/>
      <w:lvlJc w:val="left"/>
    </w:lvl>
    <w:lvl w:ilvl="3" w:tplc="CB46B6E4">
      <w:numFmt w:val="decimal"/>
      <w:lvlText w:val=""/>
      <w:lvlJc w:val="left"/>
    </w:lvl>
    <w:lvl w:ilvl="4" w:tplc="DA604F0E">
      <w:numFmt w:val="decimal"/>
      <w:lvlText w:val=""/>
      <w:lvlJc w:val="left"/>
    </w:lvl>
    <w:lvl w:ilvl="5" w:tplc="317CAB18">
      <w:numFmt w:val="decimal"/>
      <w:lvlText w:val=""/>
      <w:lvlJc w:val="left"/>
    </w:lvl>
    <w:lvl w:ilvl="6" w:tplc="61BCCCC8">
      <w:numFmt w:val="decimal"/>
      <w:lvlText w:val=""/>
      <w:lvlJc w:val="left"/>
    </w:lvl>
    <w:lvl w:ilvl="7" w:tplc="AA9A5AAC">
      <w:numFmt w:val="decimal"/>
      <w:lvlText w:val=""/>
      <w:lvlJc w:val="left"/>
    </w:lvl>
    <w:lvl w:ilvl="8" w:tplc="14E4CCC8">
      <w:numFmt w:val="decimal"/>
      <w:lvlText w:val=""/>
      <w:lvlJc w:val="left"/>
    </w:lvl>
  </w:abstractNum>
  <w:abstractNum w:abstractNumId="118" w15:restartNumberingAfterBreak="0">
    <w:nsid w:val="0000111D"/>
    <w:multiLevelType w:val="hybridMultilevel"/>
    <w:tmpl w:val="A8FEB762"/>
    <w:lvl w:ilvl="0" w:tplc="CFD81506">
      <w:start w:val="2"/>
      <w:numFmt w:val="lowerRoman"/>
      <w:lvlText w:val="%1."/>
      <w:lvlJc w:val="left"/>
    </w:lvl>
    <w:lvl w:ilvl="1" w:tplc="E2927E58">
      <w:numFmt w:val="decimal"/>
      <w:lvlText w:val=""/>
      <w:lvlJc w:val="left"/>
    </w:lvl>
    <w:lvl w:ilvl="2" w:tplc="7E9227AC">
      <w:numFmt w:val="decimal"/>
      <w:lvlText w:val=""/>
      <w:lvlJc w:val="left"/>
    </w:lvl>
    <w:lvl w:ilvl="3" w:tplc="483ECF96">
      <w:numFmt w:val="decimal"/>
      <w:lvlText w:val=""/>
      <w:lvlJc w:val="left"/>
    </w:lvl>
    <w:lvl w:ilvl="4" w:tplc="22F46F4A">
      <w:numFmt w:val="decimal"/>
      <w:lvlText w:val=""/>
      <w:lvlJc w:val="left"/>
    </w:lvl>
    <w:lvl w:ilvl="5" w:tplc="C82AAA02">
      <w:numFmt w:val="decimal"/>
      <w:lvlText w:val=""/>
      <w:lvlJc w:val="left"/>
    </w:lvl>
    <w:lvl w:ilvl="6" w:tplc="9EF49F78">
      <w:numFmt w:val="decimal"/>
      <w:lvlText w:val=""/>
      <w:lvlJc w:val="left"/>
    </w:lvl>
    <w:lvl w:ilvl="7" w:tplc="3D94A842">
      <w:numFmt w:val="decimal"/>
      <w:lvlText w:val=""/>
      <w:lvlJc w:val="left"/>
    </w:lvl>
    <w:lvl w:ilvl="8" w:tplc="69E86E96">
      <w:numFmt w:val="decimal"/>
      <w:lvlText w:val=""/>
      <w:lvlJc w:val="left"/>
    </w:lvl>
  </w:abstractNum>
  <w:abstractNum w:abstractNumId="119" w15:restartNumberingAfterBreak="0">
    <w:nsid w:val="0000113F"/>
    <w:multiLevelType w:val="hybridMultilevel"/>
    <w:tmpl w:val="971CB628"/>
    <w:lvl w:ilvl="0" w:tplc="B25A9260">
      <w:start w:val="2"/>
      <w:numFmt w:val="lowerLetter"/>
      <w:lvlText w:val="(%1)"/>
      <w:lvlJc w:val="left"/>
    </w:lvl>
    <w:lvl w:ilvl="1" w:tplc="FA44ADAA">
      <w:start w:val="1"/>
      <w:numFmt w:val="decimal"/>
      <w:lvlText w:val="%2."/>
      <w:lvlJc w:val="left"/>
    </w:lvl>
    <w:lvl w:ilvl="2" w:tplc="C74079E8">
      <w:start w:val="1"/>
      <w:numFmt w:val="lowerLetter"/>
      <w:lvlText w:val="%3"/>
      <w:lvlJc w:val="left"/>
    </w:lvl>
    <w:lvl w:ilvl="3" w:tplc="1EECACD6">
      <w:numFmt w:val="decimal"/>
      <w:lvlText w:val=""/>
      <w:lvlJc w:val="left"/>
    </w:lvl>
    <w:lvl w:ilvl="4" w:tplc="39864FCE">
      <w:numFmt w:val="decimal"/>
      <w:lvlText w:val=""/>
      <w:lvlJc w:val="left"/>
    </w:lvl>
    <w:lvl w:ilvl="5" w:tplc="F96E874A">
      <w:numFmt w:val="decimal"/>
      <w:lvlText w:val=""/>
      <w:lvlJc w:val="left"/>
    </w:lvl>
    <w:lvl w:ilvl="6" w:tplc="CC6ABD7E">
      <w:numFmt w:val="decimal"/>
      <w:lvlText w:val=""/>
      <w:lvlJc w:val="left"/>
    </w:lvl>
    <w:lvl w:ilvl="7" w:tplc="0F8A6E94">
      <w:numFmt w:val="decimal"/>
      <w:lvlText w:val=""/>
      <w:lvlJc w:val="left"/>
    </w:lvl>
    <w:lvl w:ilvl="8" w:tplc="96887D00">
      <w:numFmt w:val="decimal"/>
      <w:lvlText w:val=""/>
      <w:lvlJc w:val="left"/>
    </w:lvl>
  </w:abstractNum>
  <w:abstractNum w:abstractNumId="120" w15:restartNumberingAfterBreak="0">
    <w:nsid w:val="0000116C"/>
    <w:multiLevelType w:val="hybridMultilevel"/>
    <w:tmpl w:val="EE12D1BC"/>
    <w:lvl w:ilvl="0" w:tplc="CACC91B0">
      <w:start w:val="1"/>
      <w:numFmt w:val="decimal"/>
      <w:lvlText w:val="%1"/>
      <w:lvlJc w:val="left"/>
    </w:lvl>
    <w:lvl w:ilvl="1" w:tplc="9E409D10">
      <w:start w:val="4"/>
      <w:numFmt w:val="lowerLetter"/>
      <w:lvlText w:val="(%2)"/>
      <w:lvlJc w:val="left"/>
    </w:lvl>
    <w:lvl w:ilvl="2" w:tplc="F0D01EA6">
      <w:start w:val="1"/>
      <w:numFmt w:val="decimal"/>
      <w:lvlText w:val="%3."/>
      <w:lvlJc w:val="left"/>
    </w:lvl>
    <w:lvl w:ilvl="3" w:tplc="4134E172">
      <w:numFmt w:val="decimal"/>
      <w:lvlText w:val=""/>
      <w:lvlJc w:val="left"/>
    </w:lvl>
    <w:lvl w:ilvl="4" w:tplc="53BE3A02">
      <w:numFmt w:val="decimal"/>
      <w:lvlText w:val=""/>
      <w:lvlJc w:val="left"/>
    </w:lvl>
    <w:lvl w:ilvl="5" w:tplc="BBBEF55E">
      <w:numFmt w:val="decimal"/>
      <w:lvlText w:val=""/>
      <w:lvlJc w:val="left"/>
    </w:lvl>
    <w:lvl w:ilvl="6" w:tplc="B43E397E">
      <w:numFmt w:val="decimal"/>
      <w:lvlText w:val=""/>
      <w:lvlJc w:val="left"/>
    </w:lvl>
    <w:lvl w:ilvl="7" w:tplc="F5C2CC72">
      <w:numFmt w:val="decimal"/>
      <w:lvlText w:val=""/>
      <w:lvlJc w:val="left"/>
    </w:lvl>
    <w:lvl w:ilvl="8" w:tplc="E6E23028">
      <w:numFmt w:val="decimal"/>
      <w:lvlText w:val=""/>
      <w:lvlJc w:val="left"/>
    </w:lvl>
  </w:abstractNum>
  <w:abstractNum w:abstractNumId="121" w15:restartNumberingAfterBreak="0">
    <w:nsid w:val="00001178"/>
    <w:multiLevelType w:val="hybridMultilevel"/>
    <w:tmpl w:val="66EE35EA"/>
    <w:lvl w:ilvl="0" w:tplc="C69C068C">
      <w:start w:val="1"/>
      <w:numFmt w:val="lowerLetter"/>
      <w:lvlText w:val="%1"/>
      <w:lvlJc w:val="left"/>
    </w:lvl>
    <w:lvl w:ilvl="1" w:tplc="7A4417F6">
      <w:start w:val="5"/>
      <w:numFmt w:val="decimal"/>
      <w:lvlText w:val="%2."/>
      <w:lvlJc w:val="left"/>
    </w:lvl>
    <w:lvl w:ilvl="2" w:tplc="94561530">
      <w:numFmt w:val="decimal"/>
      <w:lvlText w:val=""/>
      <w:lvlJc w:val="left"/>
    </w:lvl>
    <w:lvl w:ilvl="3" w:tplc="1872140C">
      <w:numFmt w:val="decimal"/>
      <w:lvlText w:val=""/>
      <w:lvlJc w:val="left"/>
    </w:lvl>
    <w:lvl w:ilvl="4" w:tplc="759AEF32">
      <w:numFmt w:val="decimal"/>
      <w:lvlText w:val=""/>
      <w:lvlJc w:val="left"/>
    </w:lvl>
    <w:lvl w:ilvl="5" w:tplc="F230E376">
      <w:numFmt w:val="decimal"/>
      <w:lvlText w:val=""/>
      <w:lvlJc w:val="left"/>
    </w:lvl>
    <w:lvl w:ilvl="6" w:tplc="C4301870">
      <w:numFmt w:val="decimal"/>
      <w:lvlText w:val=""/>
      <w:lvlJc w:val="left"/>
    </w:lvl>
    <w:lvl w:ilvl="7" w:tplc="057E2A7C">
      <w:numFmt w:val="decimal"/>
      <w:lvlText w:val=""/>
      <w:lvlJc w:val="left"/>
    </w:lvl>
    <w:lvl w:ilvl="8" w:tplc="3A08C376">
      <w:numFmt w:val="decimal"/>
      <w:lvlText w:val=""/>
      <w:lvlJc w:val="left"/>
    </w:lvl>
  </w:abstractNum>
  <w:abstractNum w:abstractNumId="122" w15:restartNumberingAfterBreak="0">
    <w:nsid w:val="000011DF"/>
    <w:multiLevelType w:val="hybridMultilevel"/>
    <w:tmpl w:val="2A0C7164"/>
    <w:lvl w:ilvl="0" w:tplc="9D88D8D8">
      <w:start w:val="1"/>
      <w:numFmt w:val="lowerLetter"/>
      <w:lvlText w:val="%1"/>
      <w:lvlJc w:val="left"/>
    </w:lvl>
    <w:lvl w:ilvl="1" w:tplc="5CB4D78E">
      <w:start w:val="1"/>
      <w:numFmt w:val="decimal"/>
      <w:lvlText w:val="%2"/>
      <w:lvlJc w:val="left"/>
    </w:lvl>
    <w:lvl w:ilvl="2" w:tplc="E3B6510C">
      <w:start w:val="3"/>
      <w:numFmt w:val="lowerLetter"/>
      <w:lvlText w:val="%3."/>
      <w:lvlJc w:val="left"/>
    </w:lvl>
    <w:lvl w:ilvl="3" w:tplc="C73A79E6">
      <w:numFmt w:val="decimal"/>
      <w:lvlText w:val=""/>
      <w:lvlJc w:val="left"/>
    </w:lvl>
    <w:lvl w:ilvl="4" w:tplc="FC3E9B46">
      <w:numFmt w:val="decimal"/>
      <w:lvlText w:val=""/>
      <w:lvlJc w:val="left"/>
    </w:lvl>
    <w:lvl w:ilvl="5" w:tplc="5BF2D7DE">
      <w:numFmt w:val="decimal"/>
      <w:lvlText w:val=""/>
      <w:lvlJc w:val="left"/>
    </w:lvl>
    <w:lvl w:ilvl="6" w:tplc="FB36C840">
      <w:numFmt w:val="decimal"/>
      <w:lvlText w:val=""/>
      <w:lvlJc w:val="left"/>
    </w:lvl>
    <w:lvl w:ilvl="7" w:tplc="F4E816E6">
      <w:numFmt w:val="decimal"/>
      <w:lvlText w:val=""/>
      <w:lvlJc w:val="left"/>
    </w:lvl>
    <w:lvl w:ilvl="8" w:tplc="EB085692">
      <w:numFmt w:val="decimal"/>
      <w:lvlText w:val=""/>
      <w:lvlJc w:val="left"/>
    </w:lvl>
  </w:abstractNum>
  <w:abstractNum w:abstractNumId="123" w15:restartNumberingAfterBreak="0">
    <w:nsid w:val="00001203"/>
    <w:multiLevelType w:val="hybridMultilevel"/>
    <w:tmpl w:val="C8A056E0"/>
    <w:lvl w:ilvl="0" w:tplc="5E02D00A">
      <w:start w:val="1"/>
      <w:numFmt w:val="decimal"/>
      <w:lvlText w:val="%1"/>
      <w:lvlJc w:val="left"/>
    </w:lvl>
    <w:lvl w:ilvl="1" w:tplc="AF5AA31C">
      <w:start w:val="1"/>
      <w:numFmt w:val="lowerLetter"/>
      <w:lvlText w:val="%2"/>
      <w:lvlJc w:val="left"/>
    </w:lvl>
    <w:lvl w:ilvl="2" w:tplc="F81ABFAA">
      <w:start w:val="310"/>
      <w:numFmt w:val="decimal"/>
      <w:lvlText w:val="%3"/>
      <w:lvlJc w:val="left"/>
    </w:lvl>
    <w:lvl w:ilvl="3" w:tplc="61080FC4">
      <w:start w:val="1"/>
      <w:numFmt w:val="lowerLetter"/>
      <w:lvlText w:val="%4"/>
      <w:lvlJc w:val="left"/>
    </w:lvl>
    <w:lvl w:ilvl="4" w:tplc="3C0E69D2">
      <w:numFmt w:val="decimal"/>
      <w:lvlText w:val=""/>
      <w:lvlJc w:val="left"/>
    </w:lvl>
    <w:lvl w:ilvl="5" w:tplc="3B08EC38">
      <w:numFmt w:val="decimal"/>
      <w:lvlText w:val=""/>
      <w:lvlJc w:val="left"/>
    </w:lvl>
    <w:lvl w:ilvl="6" w:tplc="BE566C20">
      <w:numFmt w:val="decimal"/>
      <w:lvlText w:val=""/>
      <w:lvlJc w:val="left"/>
    </w:lvl>
    <w:lvl w:ilvl="7" w:tplc="6BC4C0A4">
      <w:numFmt w:val="decimal"/>
      <w:lvlText w:val=""/>
      <w:lvlJc w:val="left"/>
    </w:lvl>
    <w:lvl w:ilvl="8" w:tplc="0E6A3C2A">
      <w:numFmt w:val="decimal"/>
      <w:lvlText w:val=""/>
      <w:lvlJc w:val="left"/>
    </w:lvl>
  </w:abstractNum>
  <w:abstractNum w:abstractNumId="124" w15:restartNumberingAfterBreak="0">
    <w:nsid w:val="0000120F"/>
    <w:multiLevelType w:val="hybridMultilevel"/>
    <w:tmpl w:val="C7FA5DCC"/>
    <w:lvl w:ilvl="0" w:tplc="E6B8C6F8">
      <w:start w:val="10"/>
      <w:numFmt w:val="decimal"/>
      <w:lvlText w:val="(%1)"/>
      <w:lvlJc w:val="left"/>
    </w:lvl>
    <w:lvl w:ilvl="1" w:tplc="BD5AD3E8">
      <w:start w:val="1"/>
      <w:numFmt w:val="lowerLetter"/>
      <w:lvlText w:val="(%2)"/>
      <w:lvlJc w:val="left"/>
    </w:lvl>
    <w:lvl w:ilvl="2" w:tplc="10969666">
      <w:start w:val="1"/>
      <w:numFmt w:val="decimal"/>
      <w:lvlText w:val="%3."/>
      <w:lvlJc w:val="left"/>
    </w:lvl>
    <w:lvl w:ilvl="3" w:tplc="4E161E3C">
      <w:start w:val="1"/>
      <w:numFmt w:val="lowerLetter"/>
      <w:lvlText w:val="%4"/>
      <w:lvlJc w:val="left"/>
    </w:lvl>
    <w:lvl w:ilvl="4" w:tplc="62BC51D0">
      <w:numFmt w:val="decimal"/>
      <w:lvlText w:val=""/>
      <w:lvlJc w:val="left"/>
    </w:lvl>
    <w:lvl w:ilvl="5" w:tplc="F4062720">
      <w:numFmt w:val="decimal"/>
      <w:lvlText w:val=""/>
      <w:lvlJc w:val="left"/>
    </w:lvl>
    <w:lvl w:ilvl="6" w:tplc="59F6C5F0">
      <w:numFmt w:val="decimal"/>
      <w:lvlText w:val=""/>
      <w:lvlJc w:val="left"/>
    </w:lvl>
    <w:lvl w:ilvl="7" w:tplc="31281C2A">
      <w:numFmt w:val="decimal"/>
      <w:lvlText w:val=""/>
      <w:lvlJc w:val="left"/>
    </w:lvl>
    <w:lvl w:ilvl="8" w:tplc="F6C20EA6">
      <w:numFmt w:val="decimal"/>
      <w:lvlText w:val=""/>
      <w:lvlJc w:val="left"/>
    </w:lvl>
  </w:abstractNum>
  <w:abstractNum w:abstractNumId="125" w15:restartNumberingAfterBreak="0">
    <w:nsid w:val="00001248"/>
    <w:multiLevelType w:val="hybridMultilevel"/>
    <w:tmpl w:val="5C4EAA46"/>
    <w:lvl w:ilvl="0" w:tplc="D24426AA">
      <w:start w:val="3"/>
      <w:numFmt w:val="decimal"/>
      <w:lvlText w:val="(%1)"/>
      <w:lvlJc w:val="left"/>
    </w:lvl>
    <w:lvl w:ilvl="1" w:tplc="C2AE028E">
      <w:start w:val="1"/>
      <w:numFmt w:val="lowerLetter"/>
      <w:lvlText w:val="(%2)"/>
      <w:lvlJc w:val="left"/>
    </w:lvl>
    <w:lvl w:ilvl="2" w:tplc="4300A436">
      <w:start w:val="1"/>
      <w:numFmt w:val="decimal"/>
      <w:lvlText w:val="%3"/>
      <w:lvlJc w:val="left"/>
    </w:lvl>
    <w:lvl w:ilvl="3" w:tplc="23106B5C">
      <w:numFmt w:val="decimal"/>
      <w:lvlText w:val=""/>
      <w:lvlJc w:val="left"/>
    </w:lvl>
    <w:lvl w:ilvl="4" w:tplc="23A0FDC6">
      <w:numFmt w:val="decimal"/>
      <w:lvlText w:val=""/>
      <w:lvlJc w:val="left"/>
    </w:lvl>
    <w:lvl w:ilvl="5" w:tplc="4BAEDE54">
      <w:numFmt w:val="decimal"/>
      <w:lvlText w:val=""/>
      <w:lvlJc w:val="left"/>
    </w:lvl>
    <w:lvl w:ilvl="6" w:tplc="E2DEEB60">
      <w:numFmt w:val="decimal"/>
      <w:lvlText w:val=""/>
      <w:lvlJc w:val="left"/>
    </w:lvl>
    <w:lvl w:ilvl="7" w:tplc="6652F136">
      <w:numFmt w:val="decimal"/>
      <w:lvlText w:val=""/>
      <w:lvlJc w:val="left"/>
    </w:lvl>
    <w:lvl w:ilvl="8" w:tplc="6E16AF44">
      <w:numFmt w:val="decimal"/>
      <w:lvlText w:val=""/>
      <w:lvlJc w:val="left"/>
    </w:lvl>
  </w:abstractNum>
  <w:abstractNum w:abstractNumId="126" w15:restartNumberingAfterBreak="0">
    <w:nsid w:val="00001255"/>
    <w:multiLevelType w:val="hybridMultilevel"/>
    <w:tmpl w:val="91A2592C"/>
    <w:lvl w:ilvl="0" w:tplc="80862864">
      <w:start w:val="1"/>
      <w:numFmt w:val="decimal"/>
      <w:lvlText w:val="%1"/>
      <w:lvlJc w:val="left"/>
    </w:lvl>
    <w:lvl w:ilvl="1" w:tplc="D582859C">
      <w:start w:val="1"/>
      <w:numFmt w:val="lowerLetter"/>
      <w:lvlText w:val="%2"/>
      <w:lvlJc w:val="left"/>
    </w:lvl>
    <w:lvl w:ilvl="2" w:tplc="4558B7F8">
      <w:start w:val="3"/>
      <w:numFmt w:val="decimal"/>
      <w:lvlText w:val="%3."/>
      <w:lvlJc w:val="left"/>
    </w:lvl>
    <w:lvl w:ilvl="3" w:tplc="33F47F74">
      <w:start w:val="1"/>
      <w:numFmt w:val="lowerLetter"/>
      <w:lvlText w:val="%4"/>
      <w:lvlJc w:val="left"/>
    </w:lvl>
    <w:lvl w:ilvl="4" w:tplc="2B629494">
      <w:numFmt w:val="decimal"/>
      <w:lvlText w:val=""/>
      <w:lvlJc w:val="left"/>
    </w:lvl>
    <w:lvl w:ilvl="5" w:tplc="79DEB660">
      <w:numFmt w:val="decimal"/>
      <w:lvlText w:val=""/>
      <w:lvlJc w:val="left"/>
    </w:lvl>
    <w:lvl w:ilvl="6" w:tplc="284E7D12">
      <w:numFmt w:val="decimal"/>
      <w:lvlText w:val=""/>
      <w:lvlJc w:val="left"/>
    </w:lvl>
    <w:lvl w:ilvl="7" w:tplc="B1302B62">
      <w:numFmt w:val="decimal"/>
      <w:lvlText w:val=""/>
      <w:lvlJc w:val="left"/>
    </w:lvl>
    <w:lvl w:ilvl="8" w:tplc="D2B05E10">
      <w:numFmt w:val="decimal"/>
      <w:lvlText w:val=""/>
      <w:lvlJc w:val="left"/>
    </w:lvl>
  </w:abstractNum>
  <w:abstractNum w:abstractNumId="127" w15:restartNumberingAfterBreak="0">
    <w:nsid w:val="0000128B"/>
    <w:multiLevelType w:val="hybridMultilevel"/>
    <w:tmpl w:val="8370D472"/>
    <w:lvl w:ilvl="0" w:tplc="CC127424">
      <w:start w:val="1"/>
      <w:numFmt w:val="decimal"/>
      <w:lvlText w:val="%1"/>
      <w:lvlJc w:val="left"/>
    </w:lvl>
    <w:lvl w:ilvl="1" w:tplc="FD6835FA">
      <w:start w:val="3"/>
      <w:numFmt w:val="lowerLetter"/>
      <w:lvlText w:val="(%2)"/>
      <w:lvlJc w:val="left"/>
    </w:lvl>
    <w:lvl w:ilvl="2" w:tplc="469C4990">
      <w:start w:val="1"/>
      <w:numFmt w:val="decimal"/>
      <w:lvlText w:val="%3."/>
      <w:lvlJc w:val="left"/>
    </w:lvl>
    <w:lvl w:ilvl="3" w:tplc="A13AD7E6">
      <w:start w:val="1"/>
      <w:numFmt w:val="lowerLetter"/>
      <w:lvlText w:val="%4."/>
      <w:lvlJc w:val="left"/>
    </w:lvl>
    <w:lvl w:ilvl="4" w:tplc="463494F6">
      <w:numFmt w:val="decimal"/>
      <w:lvlText w:val=""/>
      <w:lvlJc w:val="left"/>
    </w:lvl>
    <w:lvl w:ilvl="5" w:tplc="25467330">
      <w:numFmt w:val="decimal"/>
      <w:lvlText w:val=""/>
      <w:lvlJc w:val="left"/>
    </w:lvl>
    <w:lvl w:ilvl="6" w:tplc="6A7475DA">
      <w:numFmt w:val="decimal"/>
      <w:lvlText w:val=""/>
      <w:lvlJc w:val="left"/>
    </w:lvl>
    <w:lvl w:ilvl="7" w:tplc="9D486A4A">
      <w:numFmt w:val="decimal"/>
      <w:lvlText w:val=""/>
      <w:lvlJc w:val="left"/>
    </w:lvl>
    <w:lvl w:ilvl="8" w:tplc="0BA039BA">
      <w:numFmt w:val="decimal"/>
      <w:lvlText w:val=""/>
      <w:lvlJc w:val="left"/>
    </w:lvl>
  </w:abstractNum>
  <w:abstractNum w:abstractNumId="128" w15:restartNumberingAfterBreak="0">
    <w:nsid w:val="000012A1"/>
    <w:multiLevelType w:val="hybridMultilevel"/>
    <w:tmpl w:val="8A569CF6"/>
    <w:lvl w:ilvl="0" w:tplc="113CAAB2">
      <w:start w:val="21"/>
      <w:numFmt w:val="decimal"/>
      <w:lvlText w:val="(%1)"/>
      <w:lvlJc w:val="left"/>
    </w:lvl>
    <w:lvl w:ilvl="1" w:tplc="E2F46416">
      <w:start w:val="1"/>
      <w:numFmt w:val="lowerLetter"/>
      <w:lvlText w:val="(%2)"/>
      <w:lvlJc w:val="left"/>
    </w:lvl>
    <w:lvl w:ilvl="2" w:tplc="04EE5E40">
      <w:start w:val="1"/>
      <w:numFmt w:val="decimal"/>
      <w:lvlText w:val="%3."/>
      <w:lvlJc w:val="left"/>
    </w:lvl>
    <w:lvl w:ilvl="3" w:tplc="1DC6952C">
      <w:numFmt w:val="decimal"/>
      <w:lvlText w:val=""/>
      <w:lvlJc w:val="left"/>
    </w:lvl>
    <w:lvl w:ilvl="4" w:tplc="304E8688">
      <w:numFmt w:val="decimal"/>
      <w:lvlText w:val=""/>
      <w:lvlJc w:val="left"/>
    </w:lvl>
    <w:lvl w:ilvl="5" w:tplc="95D45BB2">
      <w:numFmt w:val="decimal"/>
      <w:lvlText w:val=""/>
      <w:lvlJc w:val="left"/>
    </w:lvl>
    <w:lvl w:ilvl="6" w:tplc="4622E7CC">
      <w:numFmt w:val="decimal"/>
      <w:lvlText w:val=""/>
      <w:lvlJc w:val="left"/>
    </w:lvl>
    <w:lvl w:ilvl="7" w:tplc="124AF5D0">
      <w:numFmt w:val="decimal"/>
      <w:lvlText w:val=""/>
      <w:lvlJc w:val="left"/>
    </w:lvl>
    <w:lvl w:ilvl="8" w:tplc="F6D2594A">
      <w:numFmt w:val="decimal"/>
      <w:lvlText w:val=""/>
      <w:lvlJc w:val="left"/>
    </w:lvl>
  </w:abstractNum>
  <w:abstractNum w:abstractNumId="129" w15:restartNumberingAfterBreak="0">
    <w:nsid w:val="000012FC"/>
    <w:multiLevelType w:val="hybridMultilevel"/>
    <w:tmpl w:val="424E27F8"/>
    <w:lvl w:ilvl="0" w:tplc="B10C9FDE">
      <w:start w:val="2"/>
      <w:numFmt w:val="lowerLetter"/>
      <w:lvlText w:val="(%1)"/>
      <w:lvlJc w:val="left"/>
    </w:lvl>
    <w:lvl w:ilvl="1" w:tplc="AF6A141A">
      <w:start w:val="1"/>
      <w:numFmt w:val="decimal"/>
      <w:lvlText w:val="%2."/>
      <w:lvlJc w:val="left"/>
    </w:lvl>
    <w:lvl w:ilvl="2" w:tplc="8FFA066A">
      <w:start w:val="1"/>
      <w:numFmt w:val="lowerLetter"/>
      <w:lvlText w:val="%3."/>
      <w:lvlJc w:val="left"/>
    </w:lvl>
    <w:lvl w:ilvl="3" w:tplc="6BFC33E6">
      <w:numFmt w:val="decimal"/>
      <w:lvlText w:val=""/>
      <w:lvlJc w:val="left"/>
    </w:lvl>
    <w:lvl w:ilvl="4" w:tplc="6FFEF8B2">
      <w:numFmt w:val="decimal"/>
      <w:lvlText w:val=""/>
      <w:lvlJc w:val="left"/>
    </w:lvl>
    <w:lvl w:ilvl="5" w:tplc="5D46C1CC">
      <w:numFmt w:val="decimal"/>
      <w:lvlText w:val=""/>
      <w:lvlJc w:val="left"/>
    </w:lvl>
    <w:lvl w:ilvl="6" w:tplc="56C05754">
      <w:numFmt w:val="decimal"/>
      <w:lvlText w:val=""/>
      <w:lvlJc w:val="left"/>
    </w:lvl>
    <w:lvl w:ilvl="7" w:tplc="9C26E0AC">
      <w:numFmt w:val="decimal"/>
      <w:lvlText w:val=""/>
      <w:lvlJc w:val="left"/>
    </w:lvl>
    <w:lvl w:ilvl="8" w:tplc="DC927E2C">
      <w:numFmt w:val="decimal"/>
      <w:lvlText w:val=""/>
      <w:lvlJc w:val="left"/>
    </w:lvl>
  </w:abstractNum>
  <w:abstractNum w:abstractNumId="130" w15:restartNumberingAfterBreak="0">
    <w:nsid w:val="00001308"/>
    <w:multiLevelType w:val="hybridMultilevel"/>
    <w:tmpl w:val="AFD6259C"/>
    <w:lvl w:ilvl="0" w:tplc="5D10C82E">
      <w:start w:val="1"/>
      <w:numFmt w:val="lowerLetter"/>
      <w:lvlText w:val="%1"/>
      <w:lvlJc w:val="left"/>
    </w:lvl>
    <w:lvl w:ilvl="1" w:tplc="1E0610D2">
      <w:start w:val="1"/>
      <w:numFmt w:val="decimal"/>
      <w:lvlText w:val="%2"/>
      <w:lvlJc w:val="left"/>
    </w:lvl>
    <w:lvl w:ilvl="2" w:tplc="A7D8B0F4">
      <w:start w:val="3"/>
      <w:numFmt w:val="lowerLetter"/>
      <w:lvlText w:val="%3."/>
      <w:lvlJc w:val="left"/>
    </w:lvl>
    <w:lvl w:ilvl="3" w:tplc="FE2A281A">
      <w:numFmt w:val="decimal"/>
      <w:lvlText w:val=""/>
      <w:lvlJc w:val="left"/>
    </w:lvl>
    <w:lvl w:ilvl="4" w:tplc="FACCE8D8">
      <w:numFmt w:val="decimal"/>
      <w:lvlText w:val=""/>
      <w:lvlJc w:val="left"/>
    </w:lvl>
    <w:lvl w:ilvl="5" w:tplc="4A228734">
      <w:numFmt w:val="decimal"/>
      <w:lvlText w:val=""/>
      <w:lvlJc w:val="left"/>
    </w:lvl>
    <w:lvl w:ilvl="6" w:tplc="6FF81F80">
      <w:numFmt w:val="decimal"/>
      <w:lvlText w:val=""/>
      <w:lvlJc w:val="left"/>
    </w:lvl>
    <w:lvl w:ilvl="7" w:tplc="E0523556">
      <w:numFmt w:val="decimal"/>
      <w:lvlText w:val=""/>
      <w:lvlJc w:val="left"/>
    </w:lvl>
    <w:lvl w:ilvl="8" w:tplc="9AC283B6">
      <w:numFmt w:val="decimal"/>
      <w:lvlText w:val=""/>
      <w:lvlJc w:val="left"/>
    </w:lvl>
  </w:abstractNum>
  <w:abstractNum w:abstractNumId="131" w15:restartNumberingAfterBreak="0">
    <w:nsid w:val="00001312"/>
    <w:multiLevelType w:val="hybridMultilevel"/>
    <w:tmpl w:val="D66A1E4E"/>
    <w:lvl w:ilvl="0" w:tplc="78E8EBB6">
      <w:start w:val="1"/>
      <w:numFmt w:val="decimal"/>
      <w:lvlText w:val="%1."/>
      <w:lvlJc w:val="left"/>
    </w:lvl>
    <w:lvl w:ilvl="1" w:tplc="531839C4">
      <w:numFmt w:val="decimal"/>
      <w:lvlText w:val=""/>
      <w:lvlJc w:val="left"/>
    </w:lvl>
    <w:lvl w:ilvl="2" w:tplc="99EA42F6">
      <w:numFmt w:val="decimal"/>
      <w:lvlText w:val=""/>
      <w:lvlJc w:val="left"/>
    </w:lvl>
    <w:lvl w:ilvl="3" w:tplc="36466224">
      <w:numFmt w:val="decimal"/>
      <w:lvlText w:val=""/>
      <w:lvlJc w:val="left"/>
    </w:lvl>
    <w:lvl w:ilvl="4" w:tplc="945AC3F4">
      <w:numFmt w:val="decimal"/>
      <w:lvlText w:val=""/>
      <w:lvlJc w:val="left"/>
    </w:lvl>
    <w:lvl w:ilvl="5" w:tplc="0B3A309A">
      <w:numFmt w:val="decimal"/>
      <w:lvlText w:val=""/>
      <w:lvlJc w:val="left"/>
    </w:lvl>
    <w:lvl w:ilvl="6" w:tplc="CA8CEDCE">
      <w:numFmt w:val="decimal"/>
      <w:lvlText w:val=""/>
      <w:lvlJc w:val="left"/>
    </w:lvl>
    <w:lvl w:ilvl="7" w:tplc="98BAC76A">
      <w:numFmt w:val="decimal"/>
      <w:lvlText w:val=""/>
      <w:lvlJc w:val="left"/>
    </w:lvl>
    <w:lvl w:ilvl="8" w:tplc="B9768CC6">
      <w:numFmt w:val="decimal"/>
      <w:lvlText w:val=""/>
      <w:lvlJc w:val="left"/>
    </w:lvl>
  </w:abstractNum>
  <w:abstractNum w:abstractNumId="132" w15:restartNumberingAfterBreak="0">
    <w:nsid w:val="00001337"/>
    <w:multiLevelType w:val="hybridMultilevel"/>
    <w:tmpl w:val="3410B56E"/>
    <w:lvl w:ilvl="0" w:tplc="C8D2C8C0">
      <w:start w:val="1"/>
      <w:numFmt w:val="lowerLetter"/>
      <w:lvlText w:val="%1"/>
      <w:lvlJc w:val="left"/>
    </w:lvl>
    <w:lvl w:ilvl="1" w:tplc="E06C4C08">
      <w:start w:val="3"/>
      <w:numFmt w:val="lowerLetter"/>
      <w:lvlText w:val="%2."/>
      <w:lvlJc w:val="left"/>
    </w:lvl>
    <w:lvl w:ilvl="2" w:tplc="3A067416">
      <w:start w:val="1"/>
      <w:numFmt w:val="lowerRoman"/>
      <w:lvlText w:val="%3"/>
      <w:lvlJc w:val="left"/>
    </w:lvl>
    <w:lvl w:ilvl="3" w:tplc="EE12C63E">
      <w:numFmt w:val="decimal"/>
      <w:lvlText w:val=""/>
      <w:lvlJc w:val="left"/>
    </w:lvl>
    <w:lvl w:ilvl="4" w:tplc="B6882476">
      <w:numFmt w:val="decimal"/>
      <w:lvlText w:val=""/>
      <w:lvlJc w:val="left"/>
    </w:lvl>
    <w:lvl w:ilvl="5" w:tplc="49FA7198">
      <w:numFmt w:val="decimal"/>
      <w:lvlText w:val=""/>
      <w:lvlJc w:val="left"/>
    </w:lvl>
    <w:lvl w:ilvl="6" w:tplc="5D8EA6DA">
      <w:numFmt w:val="decimal"/>
      <w:lvlText w:val=""/>
      <w:lvlJc w:val="left"/>
    </w:lvl>
    <w:lvl w:ilvl="7" w:tplc="8B002064">
      <w:numFmt w:val="decimal"/>
      <w:lvlText w:val=""/>
      <w:lvlJc w:val="left"/>
    </w:lvl>
    <w:lvl w:ilvl="8" w:tplc="096236D2">
      <w:numFmt w:val="decimal"/>
      <w:lvlText w:val=""/>
      <w:lvlJc w:val="left"/>
    </w:lvl>
  </w:abstractNum>
  <w:abstractNum w:abstractNumId="133" w15:restartNumberingAfterBreak="0">
    <w:nsid w:val="0000135A"/>
    <w:multiLevelType w:val="hybridMultilevel"/>
    <w:tmpl w:val="F424A6EE"/>
    <w:lvl w:ilvl="0" w:tplc="882229F6">
      <w:start w:val="1"/>
      <w:numFmt w:val="decimal"/>
      <w:lvlText w:val="(%1)"/>
      <w:lvlJc w:val="left"/>
    </w:lvl>
    <w:lvl w:ilvl="1" w:tplc="1D269CC8">
      <w:numFmt w:val="decimal"/>
      <w:lvlText w:val=""/>
      <w:lvlJc w:val="left"/>
    </w:lvl>
    <w:lvl w:ilvl="2" w:tplc="1A44F524">
      <w:numFmt w:val="decimal"/>
      <w:lvlText w:val=""/>
      <w:lvlJc w:val="left"/>
    </w:lvl>
    <w:lvl w:ilvl="3" w:tplc="2AD4577E">
      <w:numFmt w:val="decimal"/>
      <w:lvlText w:val=""/>
      <w:lvlJc w:val="left"/>
    </w:lvl>
    <w:lvl w:ilvl="4" w:tplc="183E4202">
      <w:numFmt w:val="decimal"/>
      <w:lvlText w:val=""/>
      <w:lvlJc w:val="left"/>
    </w:lvl>
    <w:lvl w:ilvl="5" w:tplc="C8947E0C">
      <w:numFmt w:val="decimal"/>
      <w:lvlText w:val=""/>
      <w:lvlJc w:val="left"/>
    </w:lvl>
    <w:lvl w:ilvl="6" w:tplc="0EF084F2">
      <w:numFmt w:val="decimal"/>
      <w:lvlText w:val=""/>
      <w:lvlJc w:val="left"/>
    </w:lvl>
    <w:lvl w:ilvl="7" w:tplc="ABEE48DA">
      <w:numFmt w:val="decimal"/>
      <w:lvlText w:val=""/>
      <w:lvlJc w:val="left"/>
    </w:lvl>
    <w:lvl w:ilvl="8" w:tplc="5BDC8566">
      <w:numFmt w:val="decimal"/>
      <w:lvlText w:val=""/>
      <w:lvlJc w:val="left"/>
    </w:lvl>
  </w:abstractNum>
  <w:abstractNum w:abstractNumId="134" w15:restartNumberingAfterBreak="0">
    <w:nsid w:val="00001372"/>
    <w:multiLevelType w:val="hybridMultilevel"/>
    <w:tmpl w:val="F38CC176"/>
    <w:lvl w:ilvl="0" w:tplc="548C1250">
      <w:start w:val="2"/>
      <w:numFmt w:val="lowerLetter"/>
      <w:lvlText w:val="%1."/>
      <w:lvlJc w:val="left"/>
    </w:lvl>
    <w:lvl w:ilvl="1" w:tplc="CFC09A60">
      <w:start w:val="1"/>
      <w:numFmt w:val="lowerRoman"/>
      <w:lvlText w:val="%2."/>
      <w:lvlJc w:val="left"/>
    </w:lvl>
    <w:lvl w:ilvl="2" w:tplc="EECA5A80">
      <w:numFmt w:val="decimal"/>
      <w:lvlText w:val=""/>
      <w:lvlJc w:val="left"/>
    </w:lvl>
    <w:lvl w:ilvl="3" w:tplc="5E4616AE">
      <w:numFmt w:val="decimal"/>
      <w:lvlText w:val=""/>
      <w:lvlJc w:val="left"/>
    </w:lvl>
    <w:lvl w:ilvl="4" w:tplc="6A50E20C">
      <w:numFmt w:val="decimal"/>
      <w:lvlText w:val=""/>
      <w:lvlJc w:val="left"/>
    </w:lvl>
    <w:lvl w:ilvl="5" w:tplc="876835EE">
      <w:numFmt w:val="decimal"/>
      <w:lvlText w:val=""/>
      <w:lvlJc w:val="left"/>
    </w:lvl>
    <w:lvl w:ilvl="6" w:tplc="3A80CA6E">
      <w:numFmt w:val="decimal"/>
      <w:lvlText w:val=""/>
      <w:lvlJc w:val="left"/>
    </w:lvl>
    <w:lvl w:ilvl="7" w:tplc="8536092E">
      <w:numFmt w:val="decimal"/>
      <w:lvlText w:val=""/>
      <w:lvlJc w:val="left"/>
    </w:lvl>
    <w:lvl w:ilvl="8" w:tplc="8662C244">
      <w:numFmt w:val="decimal"/>
      <w:lvlText w:val=""/>
      <w:lvlJc w:val="left"/>
    </w:lvl>
  </w:abstractNum>
  <w:abstractNum w:abstractNumId="135" w15:restartNumberingAfterBreak="0">
    <w:nsid w:val="0000137B"/>
    <w:multiLevelType w:val="hybridMultilevel"/>
    <w:tmpl w:val="5790A894"/>
    <w:lvl w:ilvl="0" w:tplc="A7DAE31C">
      <w:start w:val="2"/>
      <w:numFmt w:val="decimal"/>
      <w:lvlText w:val="(%1)"/>
      <w:lvlJc w:val="left"/>
    </w:lvl>
    <w:lvl w:ilvl="1" w:tplc="464A0A6C">
      <w:start w:val="1"/>
      <w:numFmt w:val="lowerLetter"/>
      <w:lvlText w:val="(%2)"/>
      <w:lvlJc w:val="left"/>
    </w:lvl>
    <w:lvl w:ilvl="2" w:tplc="2BF23550">
      <w:start w:val="1"/>
      <w:numFmt w:val="decimal"/>
      <w:lvlText w:val="%3."/>
      <w:lvlJc w:val="left"/>
    </w:lvl>
    <w:lvl w:ilvl="3" w:tplc="C790833E">
      <w:numFmt w:val="decimal"/>
      <w:lvlText w:val=""/>
      <w:lvlJc w:val="left"/>
    </w:lvl>
    <w:lvl w:ilvl="4" w:tplc="65A852AE">
      <w:numFmt w:val="decimal"/>
      <w:lvlText w:val=""/>
      <w:lvlJc w:val="left"/>
    </w:lvl>
    <w:lvl w:ilvl="5" w:tplc="408A7302">
      <w:numFmt w:val="decimal"/>
      <w:lvlText w:val=""/>
      <w:lvlJc w:val="left"/>
    </w:lvl>
    <w:lvl w:ilvl="6" w:tplc="B770E7F8">
      <w:numFmt w:val="decimal"/>
      <w:lvlText w:val=""/>
      <w:lvlJc w:val="left"/>
    </w:lvl>
    <w:lvl w:ilvl="7" w:tplc="C1B60B20">
      <w:numFmt w:val="decimal"/>
      <w:lvlText w:val=""/>
      <w:lvlJc w:val="left"/>
    </w:lvl>
    <w:lvl w:ilvl="8" w:tplc="2CF4F13E">
      <w:numFmt w:val="decimal"/>
      <w:lvlText w:val=""/>
      <w:lvlJc w:val="left"/>
    </w:lvl>
  </w:abstractNum>
  <w:abstractNum w:abstractNumId="136" w15:restartNumberingAfterBreak="0">
    <w:nsid w:val="00001388"/>
    <w:multiLevelType w:val="hybridMultilevel"/>
    <w:tmpl w:val="AB4CF56C"/>
    <w:lvl w:ilvl="0" w:tplc="EF923BEC">
      <w:start w:val="1"/>
      <w:numFmt w:val="decimal"/>
      <w:lvlText w:val="%1"/>
      <w:lvlJc w:val="left"/>
    </w:lvl>
    <w:lvl w:ilvl="1" w:tplc="4150F5A6">
      <w:start w:val="1"/>
      <w:numFmt w:val="lowerLetter"/>
      <w:lvlText w:val="%2"/>
      <w:lvlJc w:val="left"/>
    </w:lvl>
    <w:lvl w:ilvl="2" w:tplc="8954D2CA">
      <w:start w:val="3"/>
      <w:numFmt w:val="decimal"/>
      <w:lvlText w:val="%3."/>
      <w:lvlJc w:val="left"/>
    </w:lvl>
    <w:lvl w:ilvl="3" w:tplc="0D166162">
      <w:start w:val="1"/>
      <w:numFmt w:val="lowerLetter"/>
      <w:lvlText w:val="%4"/>
      <w:lvlJc w:val="left"/>
    </w:lvl>
    <w:lvl w:ilvl="4" w:tplc="8C86570E">
      <w:numFmt w:val="decimal"/>
      <w:lvlText w:val=""/>
      <w:lvlJc w:val="left"/>
    </w:lvl>
    <w:lvl w:ilvl="5" w:tplc="3A6001F6">
      <w:numFmt w:val="decimal"/>
      <w:lvlText w:val=""/>
      <w:lvlJc w:val="left"/>
    </w:lvl>
    <w:lvl w:ilvl="6" w:tplc="B6AC5816">
      <w:numFmt w:val="decimal"/>
      <w:lvlText w:val=""/>
      <w:lvlJc w:val="left"/>
    </w:lvl>
    <w:lvl w:ilvl="7" w:tplc="CB703420">
      <w:numFmt w:val="decimal"/>
      <w:lvlText w:val=""/>
      <w:lvlJc w:val="left"/>
    </w:lvl>
    <w:lvl w:ilvl="8" w:tplc="3CFE5566">
      <w:numFmt w:val="decimal"/>
      <w:lvlText w:val=""/>
      <w:lvlJc w:val="left"/>
    </w:lvl>
  </w:abstractNum>
  <w:abstractNum w:abstractNumId="137" w15:restartNumberingAfterBreak="0">
    <w:nsid w:val="0000138E"/>
    <w:multiLevelType w:val="hybridMultilevel"/>
    <w:tmpl w:val="3BEAD85E"/>
    <w:lvl w:ilvl="0" w:tplc="47944F04">
      <w:start w:val="2"/>
      <w:numFmt w:val="upperLetter"/>
      <w:lvlText w:val="%1."/>
      <w:lvlJc w:val="left"/>
    </w:lvl>
    <w:lvl w:ilvl="1" w:tplc="BEA65908">
      <w:numFmt w:val="decimal"/>
      <w:lvlText w:val=""/>
      <w:lvlJc w:val="left"/>
    </w:lvl>
    <w:lvl w:ilvl="2" w:tplc="E5BE6604">
      <w:numFmt w:val="decimal"/>
      <w:lvlText w:val=""/>
      <w:lvlJc w:val="left"/>
    </w:lvl>
    <w:lvl w:ilvl="3" w:tplc="08CCFF6C">
      <w:numFmt w:val="decimal"/>
      <w:lvlText w:val=""/>
      <w:lvlJc w:val="left"/>
    </w:lvl>
    <w:lvl w:ilvl="4" w:tplc="77544AB4">
      <w:numFmt w:val="decimal"/>
      <w:lvlText w:val=""/>
      <w:lvlJc w:val="left"/>
    </w:lvl>
    <w:lvl w:ilvl="5" w:tplc="427AA972">
      <w:numFmt w:val="decimal"/>
      <w:lvlText w:val=""/>
      <w:lvlJc w:val="left"/>
    </w:lvl>
    <w:lvl w:ilvl="6" w:tplc="1B7CC718">
      <w:numFmt w:val="decimal"/>
      <w:lvlText w:val=""/>
      <w:lvlJc w:val="left"/>
    </w:lvl>
    <w:lvl w:ilvl="7" w:tplc="5EC66110">
      <w:numFmt w:val="decimal"/>
      <w:lvlText w:val=""/>
      <w:lvlJc w:val="left"/>
    </w:lvl>
    <w:lvl w:ilvl="8" w:tplc="40820B66">
      <w:numFmt w:val="decimal"/>
      <w:lvlText w:val=""/>
      <w:lvlJc w:val="left"/>
    </w:lvl>
  </w:abstractNum>
  <w:abstractNum w:abstractNumId="138" w15:restartNumberingAfterBreak="0">
    <w:nsid w:val="0000139D"/>
    <w:multiLevelType w:val="hybridMultilevel"/>
    <w:tmpl w:val="BC92BADA"/>
    <w:lvl w:ilvl="0" w:tplc="CD442036">
      <w:start w:val="1"/>
      <w:numFmt w:val="decimal"/>
      <w:lvlText w:val="%1"/>
      <w:lvlJc w:val="left"/>
    </w:lvl>
    <w:lvl w:ilvl="1" w:tplc="FF1EE726">
      <w:start w:val="1"/>
      <w:numFmt w:val="lowerLetter"/>
      <w:lvlText w:val="%2"/>
      <w:lvlJc w:val="left"/>
    </w:lvl>
    <w:lvl w:ilvl="2" w:tplc="1DC805BE">
      <w:start w:val="1"/>
      <w:numFmt w:val="decimal"/>
      <w:lvlText w:val="%3"/>
      <w:lvlJc w:val="left"/>
    </w:lvl>
    <w:lvl w:ilvl="3" w:tplc="C6AC6870">
      <w:start w:val="2"/>
      <w:numFmt w:val="lowerLetter"/>
      <w:lvlText w:val="%4."/>
      <w:lvlJc w:val="left"/>
    </w:lvl>
    <w:lvl w:ilvl="4" w:tplc="207814F4">
      <w:numFmt w:val="decimal"/>
      <w:lvlText w:val=""/>
      <w:lvlJc w:val="left"/>
    </w:lvl>
    <w:lvl w:ilvl="5" w:tplc="4FC0029C">
      <w:numFmt w:val="decimal"/>
      <w:lvlText w:val=""/>
      <w:lvlJc w:val="left"/>
    </w:lvl>
    <w:lvl w:ilvl="6" w:tplc="64E04C90">
      <w:numFmt w:val="decimal"/>
      <w:lvlText w:val=""/>
      <w:lvlJc w:val="left"/>
    </w:lvl>
    <w:lvl w:ilvl="7" w:tplc="8E829060">
      <w:numFmt w:val="decimal"/>
      <w:lvlText w:val=""/>
      <w:lvlJc w:val="left"/>
    </w:lvl>
    <w:lvl w:ilvl="8" w:tplc="46E2C5D2">
      <w:numFmt w:val="decimal"/>
      <w:lvlText w:val=""/>
      <w:lvlJc w:val="left"/>
    </w:lvl>
  </w:abstractNum>
  <w:abstractNum w:abstractNumId="139" w15:restartNumberingAfterBreak="0">
    <w:nsid w:val="000013BF"/>
    <w:multiLevelType w:val="hybridMultilevel"/>
    <w:tmpl w:val="61F20486"/>
    <w:lvl w:ilvl="0" w:tplc="ED6E1E98">
      <w:start w:val="1"/>
      <w:numFmt w:val="decimal"/>
      <w:lvlText w:val="%1"/>
      <w:lvlJc w:val="left"/>
    </w:lvl>
    <w:lvl w:ilvl="1" w:tplc="351494D0">
      <w:start w:val="3"/>
      <w:numFmt w:val="lowerLetter"/>
      <w:lvlText w:val="(%2)"/>
      <w:lvlJc w:val="left"/>
    </w:lvl>
    <w:lvl w:ilvl="2" w:tplc="69B4A178">
      <w:numFmt w:val="decimal"/>
      <w:lvlText w:val=""/>
      <w:lvlJc w:val="left"/>
    </w:lvl>
    <w:lvl w:ilvl="3" w:tplc="1D02473C">
      <w:numFmt w:val="decimal"/>
      <w:lvlText w:val=""/>
      <w:lvlJc w:val="left"/>
    </w:lvl>
    <w:lvl w:ilvl="4" w:tplc="5CB034A4">
      <w:numFmt w:val="decimal"/>
      <w:lvlText w:val=""/>
      <w:lvlJc w:val="left"/>
    </w:lvl>
    <w:lvl w:ilvl="5" w:tplc="DF987A8C">
      <w:numFmt w:val="decimal"/>
      <w:lvlText w:val=""/>
      <w:lvlJc w:val="left"/>
    </w:lvl>
    <w:lvl w:ilvl="6" w:tplc="CE144CB8">
      <w:numFmt w:val="decimal"/>
      <w:lvlText w:val=""/>
      <w:lvlJc w:val="left"/>
    </w:lvl>
    <w:lvl w:ilvl="7" w:tplc="9A7876C6">
      <w:numFmt w:val="decimal"/>
      <w:lvlText w:val=""/>
      <w:lvlJc w:val="left"/>
    </w:lvl>
    <w:lvl w:ilvl="8" w:tplc="F5BA8D40">
      <w:numFmt w:val="decimal"/>
      <w:lvlText w:val=""/>
      <w:lvlJc w:val="left"/>
    </w:lvl>
  </w:abstractNum>
  <w:abstractNum w:abstractNumId="140" w15:restartNumberingAfterBreak="0">
    <w:nsid w:val="0000140B"/>
    <w:multiLevelType w:val="hybridMultilevel"/>
    <w:tmpl w:val="4702A12E"/>
    <w:lvl w:ilvl="0" w:tplc="E140ECAA">
      <w:start w:val="1"/>
      <w:numFmt w:val="decimal"/>
      <w:lvlText w:val="%1"/>
      <w:lvlJc w:val="left"/>
    </w:lvl>
    <w:lvl w:ilvl="1" w:tplc="EBFCD000">
      <w:start w:val="4"/>
      <w:numFmt w:val="lowerLetter"/>
      <w:lvlText w:val="(%2)"/>
      <w:lvlJc w:val="left"/>
    </w:lvl>
    <w:lvl w:ilvl="2" w:tplc="07B2AF84">
      <w:start w:val="1"/>
      <w:numFmt w:val="decimal"/>
      <w:lvlText w:val="%3"/>
      <w:lvlJc w:val="left"/>
    </w:lvl>
    <w:lvl w:ilvl="3" w:tplc="D82C8C00">
      <w:numFmt w:val="decimal"/>
      <w:lvlText w:val=""/>
      <w:lvlJc w:val="left"/>
    </w:lvl>
    <w:lvl w:ilvl="4" w:tplc="76309674">
      <w:numFmt w:val="decimal"/>
      <w:lvlText w:val=""/>
      <w:lvlJc w:val="left"/>
    </w:lvl>
    <w:lvl w:ilvl="5" w:tplc="8E6C4072">
      <w:numFmt w:val="decimal"/>
      <w:lvlText w:val=""/>
      <w:lvlJc w:val="left"/>
    </w:lvl>
    <w:lvl w:ilvl="6" w:tplc="A43C0386">
      <w:numFmt w:val="decimal"/>
      <w:lvlText w:val=""/>
      <w:lvlJc w:val="left"/>
    </w:lvl>
    <w:lvl w:ilvl="7" w:tplc="72D60300">
      <w:numFmt w:val="decimal"/>
      <w:lvlText w:val=""/>
      <w:lvlJc w:val="left"/>
    </w:lvl>
    <w:lvl w:ilvl="8" w:tplc="81FC3672">
      <w:numFmt w:val="decimal"/>
      <w:lvlText w:val=""/>
      <w:lvlJc w:val="left"/>
    </w:lvl>
  </w:abstractNum>
  <w:abstractNum w:abstractNumId="141" w15:restartNumberingAfterBreak="0">
    <w:nsid w:val="00001439"/>
    <w:multiLevelType w:val="hybridMultilevel"/>
    <w:tmpl w:val="7FDE047E"/>
    <w:lvl w:ilvl="0" w:tplc="B2DC4EA8">
      <w:start w:val="9"/>
      <w:numFmt w:val="decimal"/>
      <w:lvlText w:val="(%1)"/>
      <w:lvlJc w:val="left"/>
    </w:lvl>
    <w:lvl w:ilvl="1" w:tplc="F0F0C394">
      <w:start w:val="1"/>
      <w:numFmt w:val="lowerLetter"/>
      <w:lvlText w:val="%2"/>
      <w:lvlJc w:val="left"/>
    </w:lvl>
    <w:lvl w:ilvl="2" w:tplc="A670854C">
      <w:numFmt w:val="decimal"/>
      <w:lvlText w:val=""/>
      <w:lvlJc w:val="left"/>
    </w:lvl>
    <w:lvl w:ilvl="3" w:tplc="19AC3C56">
      <w:numFmt w:val="decimal"/>
      <w:lvlText w:val=""/>
      <w:lvlJc w:val="left"/>
    </w:lvl>
    <w:lvl w:ilvl="4" w:tplc="2DB6E598">
      <w:numFmt w:val="decimal"/>
      <w:lvlText w:val=""/>
      <w:lvlJc w:val="left"/>
    </w:lvl>
    <w:lvl w:ilvl="5" w:tplc="95DEF982">
      <w:numFmt w:val="decimal"/>
      <w:lvlText w:val=""/>
      <w:lvlJc w:val="left"/>
    </w:lvl>
    <w:lvl w:ilvl="6" w:tplc="B902FC5C">
      <w:numFmt w:val="decimal"/>
      <w:lvlText w:val=""/>
      <w:lvlJc w:val="left"/>
    </w:lvl>
    <w:lvl w:ilvl="7" w:tplc="F5B26D5A">
      <w:numFmt w:val="decimal"/>
      <w:lvlText w:val=""/>
      <w:lvlJc w:val="left"/>
    </w:lvl>
    <w:lvl w:ilvl="8" w:tplc="8E4ED1DA">
      <w:numFmt w:val="decimal"/>
      <w:lvlText w:val=""/>
      <w:lvlJc w:val="left"/>
    </w:lvl>
  </w:abstractNum>
  <w:abstractNum w:abstractNumId="142" w15:restartNumberingAfterBreak="0">
    <w:nsid w:val="00001454"/>
    <w:multiLevelType w:val="hybridMultilevel"/>
    <w:tmpl w:val="6D7A7716"/>
    <w:lvl w:ilvl="0" w:tplc="0786E904">
      <w:start w:val="4"/>
      <w:numFmt w:val="lowerLetter"/>
      <w:lvlText w:val="(%1)"/>
      <w:lvlJc w:val="left"/>
    </w:lvl>
    <w:lvl w:ilvl="1" w:tplc="04385014">
      <w:start w:val="1"/>
      <w:numFmt w:val="decimal"/>
      <w:lvlText w:val="%2."/>
      <w:lvlJc w:val="left"/>
    </w:lvl>
    <w:lvl w:ilvl="2" w:tplc="836ADFF8">
      <w:numFmt w:val="decimal"/>
      <w:lvlText w:val=""/>
      <w:lvlJc w:val="left"/>
    </w:lvl>
    <w:lvl w:ilvl="3" w:tplc="A7167D9C">
      <w:numFmt w:val="decimal"/>
      <w:lvlText w:val=""/>
      <w:lvlJc w:val="left"/>
    </w:lvl>
    <w:lvl w:ilvl="4" w:tplc="450402E2">
      <w:numFmt w:val="decimal"/>
      <w:lvlText w:val=""/>
      <w:lvlJc w:val="left"/>
    </w:lvl>
    <w:lvl w:ilvl="5" w:tplc="F230A08C">
      <w:numFmt w:val="decimal"/>
      <w:lvlText w:val=""/>
      <w:lvlJc w:val="left"/>
    </w:lvl>
    <w:lvl w:ilvl="6" w:tplc="8C7E59C8">
      <w:numFmt w:val="decimal"/>
      <w:lvlText w:val=""/>
      <w:lvlJc w:val="left"/>
    </w:lvl>
    <w:lvl w:ilvl="7" w:tplc="A90CA23A">
      <w:numFmt w:val="decimal"/>
      <w:lvlText w:val=""/>
      <w:lvlJc w:val="left"/>
    </w:lvl>
    <w:lvl w:ilvl="8" w:tplc="16BA308E">
      <w:numFmt w:val="decimal"/>
      <w:lvlText w:val=""/>
      <w:lvlJc w:val="left"/>
    </w:lvl>
  </w:abstractNum>
  <w:abstractNum w:abstractNumId="143" w15:restartNumberingAfterBreak="0">
    <w:nsid w:val="000014B7"/>
    <w:multiLevelType w:val="hybridMultilevel"/>
    <w:tmpl w:val="88F8F37C"/>
    <w:lvl w:ilvl="0" w:tplc="647EC3BE">
      <w:start w:val="18"/>
      <w:numFmt w:val="decimal"/>
      <w:lvlText w:val="(%1)"/>
      <w:lvlJc w:val="left"/>
    </w:lvl>
    <w:lvl w:ilvl="1" w:tplc="CAD86D4C">
      <w:start w:val="1"/>
      <w:numFmt w:val="lowerLetter"/>
      <w:lvlText w:val="(%2)"/>
      <w:lvlJc w:val="left"/>
    </w:lvl>
    <w:lvl w:ilvl="2" w:tplc="562C2808">
      <w:numFmt w:val="decimal"/>
      <w:lvlText w:val=""/>
      <w:lvlJc w:val="left"/>
    </w:lvl>
    <w:lvl w:ilvl="3" w:tplc="2FA4084E">
      <w:numFmt w:val="decimal"/>
      <w:lvlText w:val=""/>
      <w:lvlJc w:val="left"/>
    </w:lvl>
    <w:lvl w:ilvl="4" w:tplc="DDEE8DC8">
      <w:numFmt w:val="decimal"/>
      <w:lvlText w:val=""/>
      <w:lvlJc w:val="left"/>
    </w:lvl>
    <w:lvl w:ilvl="5" w:tplc="CE24BD48">
      <w:numFmt w:val="decimal"/>
      <w:lvlText w:val=""/>
      <w:lvlJc w:val="left"/>
    </w:lvl>
    <w:lvl w:ilvl="6" w:tplc="F49A7DB2">
      <w:numFmt w:val="decimal"/>
      <w:lvlText w:val=""/>
      <w:lvlJc w:val="left"/>
    </w:lvl>
    <w:lvl w:ilvl="7" w:tplc="8F786518">
      <w:numFmt w:val="decimal"/>
      <w:lvlText w:val=""/>
      <w:lvlJc w:val="left"/>
    </w:lvl>
    <w:lvl w:ilvl="8" w:tplc="DB02761A">
      <w:numFmt w:val="decimal"/>
      <w:lvlText w:val=""/>
      <w:lvlJc w:val="left"/>
    </w:lvl>
  </w:abstractNum>
  <w:abstractNum w:abstractNumId="144" w15:restartNumberingAfterBreak="0">
    <w:nsid w:val="000014DC"/>
    <w:multiLevelType w:val="hybridMultilevel"/>
    <w:tmpl w:val="72ACBE74"/>
    <w:lvl w:ilvl="0" w:tplc="E61664A8">
      <w:start w:val="1"/>
      <w:numFmt w:val="decimal"/>
      <w:lvlText w:val="%1"/>
      <w:lvlJc w:val="left"/>
    </w:lvl>
    <w:lvl w:ilvl="1" w:tplc="00984354">
      <w:start w:val="1"/>
      <w:numFmt w:val="lowerLetter"/>
      <w:lvlText w:val="%2"/>
      <w:lvlJc w:val="left"/>
    </w:lvl>
    <w:lvl w:ilvl="2" w:tplc="4A4819CE">
      <w:start w:val="3"/>
      <w:numFmt w:val="decimal"/>
      <w:lvlText w:val="%3."/>
      <w:lvlJc w:val="left"/>
    </w:lvl>
    <w:lvl w:ilvl="3" w:tplc="3AB6CA58">
      <w:numFmt w:val="decimal"/>
      <w:lvlText w:val=""/>
      <w:lvlJc w:val="left"/>
    </w:lvl>
    <w:lvl w:ilvl="4" w:tplc="187E032E">
      <w:numFmt w:val="decimal"/>
      <w:lvlText w:val=""/>
      <w:lvlJc w:val="left"/>
    </w:lvl>
    <w:lvl w:ilvl="5" w:tplc="49D24D34">
      <w:numFmt w:val="decimal"/>
      <w:lvlText w:val=""/>
      <w:lvlJc w:val="left"/>
    </w:lvl>
    <w:lvl w:ilvl="6" w:tplc="4A6ED042">
      <w:numFmt w:val="decimal"/>
      <w:lvlText w:val=""/>
      <w:lvlJc w:val="left"/>
    </w:lvl>
    <w:lvl w:ilvl="7" w:tplc="1B1C6E06">
      <w:numFmt w:val="decimal"/>
      <w:lvlText w:val=""/>
      <w:lvlJc w:val="left"/>
    </w:lvl>
    <w:lvl w:ilvl="8" w:tplc="5E80EA56">
      <w:numFmt w:val="decimal"/>
      <w:lvlText w:val=""/>
      <w:lvlJc w:val="left"/>
    </w:lvl>
  </w:abstractNum>
  <w:abstractNum w:abstractNumId="145" w15:restartNumberingAfterBreak="0">
    <w:nsid w:val="000015A2"/>
    <w:multiLevelType w:val="hybridMultilevel"/>
    <w:tmpl w:val="83B40FEE"/>
    <w:lvl w:ilvl="0" w:tplc="8CB2FFB4">
      <w:start w:val="5"/>
      <w:numFmt w:val="decimal"/>
      <w:lvlText w:val="(%1)"/>
      <w:lvlJc w:val="left"/>
    </w:lvl>
    <w:lvl w:ilvl="1" w:tplc="67F250A0">
      <w:start w:val="1"/>
      <w:numFmt w:val="lowerLetter"/>
      <w:lvlText w:val="(%2)"/>
      <w:lvlJc w:val="left"/>
    </w:lvl>
    <w:lvl w:ilvl="2" w:tplc="723E2DFE">
      <w:start w:val="1"/>
      <w:numFmt w:val="decimal"/>
      <w:lvlText w:val="%3"/>
      <w:lvlJc w:val="left"/>
    </w:lvl>
    <w:lvl w:ilvl="3" w:tplc="F79E079C">
      <w:numFmt w:val="decimal"/>
      <w:lvlText w:val=""/>
      <w:lvlJc w:val="left"/>
    </w:lvl>
    <w:lvl w:ilvl="4" w:tplc="5BCAB226">
      <w:numFmt w:val="decimal"/>
      <w:lvlText w:val=""/>
      <w:lvlJc w:val="left"/>
    </w:lvl>
    <w:lvl w:ilvl="5" w:tplc="C9DA4DF2">
      <w:numFmt w:val="decimal"/>
      <w:lvlText w:val=""/>
      <w:lvlJc w:val="left"/>
    </w:lvl>
    <w:lvl w:ilvl="6" w:tplc="93E89878">
      <w:numFmt w:val="decimal"/>
      <w:lvlText w:val=""/>
      <w:lvlJc w:val="left"/>
    </w:lvl>
    <w:lvl w:ilvl="7" w:tplc="9E1E5990">
      <w:numFmt w:val="decimal"/>
      <w:lvlText w:val=""/>
      <w:lvlJc w:val="left"/>
    </w:lvl>
    <w:lvl w:ilvl="8" w:tplc="815E63D8">
      <w:numFmt w:val="decimal"/>
      <w:lvlText w:val=""/>
      <w:lvlJc w:val="left"/>
    </w:lvl>
  </w:abstractNum>
  <w:abstractNum w:abstractNumId="146" w15:restartNumberingAfterBreak="0">
    <w:nsid w:val="000015A9"/>
    <w:multiLevelType w:val="hybridMultilevel"/>
    <w:tmpl w:val="AF528902"/>
    <w:lvl w:ilvl="0" w:tplc="8DAA1FFE">
      <w:start w:val="1"/>
      <w:numFmt w:val="decimal"/>
      <w:lvlText w:val="%1"/>
      <w:lvlJc w:val="left"/>
    </w:lvl>
    <w:lvl w:ilvl="1" w:tplc="A25662C2">
      <w:start w:val="4"/>
      <w:numFmt w:val="lowerLetter"/>
      <w:lvlText w:val="(%2)"/>
      <w:lvlJc w:val="left"/>
    </w:lvl>
    <w:lvl w:ilvl="2" w:tplc="29A64F66">
      <w:numFmt w:val="decimal"/>
      <w:lvlText w:val=""/>
      <w:lvlJc w:val="left"/>
    </w:lvl>
    <w:lvl w:ilvl="3" w:tplc="5622CFCA">
      <w:numFmt w:val="decimal"/>
      <w:lvlText w:val=""/>
      <w:lvlJc w:val="left"/>
    </w:lvl>
    <w:lvl w:ilvl="4" w:tplc="35DC7F6E">
      <w:numFmt w:val="decimal"/>
      <w:lvlText w:val=""/>
      <w:lvlJc w:val="left"/>
    </w:lvl>
    <w:lvl w:ilvl="5" w:tplc="141E142C">
      <w:numFmt w:val="decimal"/>
      <w:lvlText w:val=""/>
      <w:lvlJc w:val="left"/>
    </w:lvl>
    <w:lvl w:ilvl="6" w:tplc="54B4E1B6">
      <w:numFmt w:val="decimal"/>
      <w:lvlText w:val=""/>
      <w:lvlJc w:val="left"/>
    </w:lvl>
    <w:lvl w:ilvl="7" w:tplc="905EE25E">
      <w:numFmt w:val="decimal"/>
      <w:lvlText w:val=""/>
      <w:lvlJc w:val="left"/>
    </w:lvl>
    <w:lvl w:ilvl="8" w:tplc="D4289EDA">
      <w:numFmt w:val="decimal"/>
      <w:lvlText w:val=""/>
      <w:lvlJc w:val="left"/>
    </w:lvl>
  </w:abstractNum>
  <w:abstractNum w:abstractNumId="147" w15:restartNumberingAfterBreak="0">
    <w:nsid w:val="000015BD"/>
    <w:multiLevelType w:val="hybridMultilevel"/>
    <w:tmpl w:val="B39CE752"/>
    <w:lvl w:ilvl="0" w:tplc="D6B20D88">
      <w:start w:val="1"/>
      <w:numFmt w:val="decimal"/>
      <w:lvlText w:val="%1"/>
      <w:lvlJc w:val="left"/>
    </w:lvl>
    <w:lvl w:ilvl="1" w:tplc="794CD2E2">
      <w:numFmt w:val="decimal"/>
      <w:lvlText w:val=""/>
      <w:lvlJc w:val="left"/>
    </w:lvl>
    <w:lvl w:ilvl="2" w:tplc="DD5EFC34">
      <w:numFmt w:val="decimal"/>
      <w:lvlText w:val=""/>
      <w:lvlJc w:val="left"/>
    </w:lvl>
    <w:lvl w:ilvl="3" w:tplc="DB52602C">
      <w:numFmt w:val="decimal"/>
      <w:lvlText w:val=""/>
      <w:lvlJc w:val="left"/>
    </w:lvl>
    <w:lvl w:ilvl="4" w:tplc="D108CE94">
      <w:numFmt w:val="decimal"/>
      <w:lvlText w:val=""/>
      <w:lvlJc w:val="left"/>
    </w:lvl>
    <w:lvl w:ilvl="5" w:tplc="88628250">
      <w:numFmt w:val="decimal"/>
      <w:lvlText w:val=""/>
      <w:lvlJc w:val="left"/>
    </w:lvl>
    <w:lvl w:ilvl="6" w:tplc="DA963CA6">
      <w:numFmt w:val="decimal"/>
      <w:lvlText w:val=""/>
      <w:lvlJc w:val="left"/>
    </w:lvl>
    <w:lvl w:ilvl="7" w:tplc="F928040C">
      <w:numFmt w:val="decimal"/>
      <w:lvlText w:val=""/>
      <w:lvlJc w:val="left"/>
    </w:lvl>
    <w:lvl w:ilvl="8" w:tplc="C1AEBAE4">
      <w:numFmt w:val="decimal"/>
      <w:lvlText w:val=""/>
      <w:lvlJc w:val="left"/>
    </w:lvl>
  </w:abstractNum>
  <w:abstractNum w:abstractNumId="148" w15:restartNumberingAfterBreak="0">
    <w:nsid w:val="000015E2"/>
    <w:multiLevelType w:val="hybridMultilevel"/>
    <w:tmpl w:val="92E27FA2"/>
    <w:lvl w:ilvl="0" w:tplc="DB725816">
      <w:start w:val="1"/>
      <w:numFmt w:val="decimal"/>
      <w:lvlText w:val="%1"/>
      <w:lvlJc w:val="left"/>
    </w:lvl>
    <w:lvl w:ilvl="1" w:tplc="D6D09AC2">
      <w:start w:val="1"/>
      <w:numFmt w:val="lowerLetter"/>
      <w:lvlText w:val="%2"/>
      <w:lvlJc w:val="left"/>
    </w:lvl>
    <w:lvl w:ilvl="2" w:tplc="990A8A80">
      <w:start w:val="2"/>
      <w:numFmt w:val="decimal"/>
      <w:lvlText w:val="%3."/>
      <w:lvlJc w:val="left"/>
    </w:lvl>
    <w:lvl w:ilvl="3" w:tplc="E04691DC">
      <w:numFmt w:val="decimal"/>
      <w:lvlText w:val=""/>
      <w:lvlJc w:val="left"/>
    </w:lvl>
    <w:lvl w:ilvl="4" w:tplc="51AE0110">
      <w:numFmt w:val="decimal"/>
      <w:lvlText w:val=""/>
      <w:lvlJc w:val="left"/>
    </w:lvl>
    <w:lvl w:ilvl="5" w:tplc="FA040C2E">
      <w:numFmt w:val="decimal"/>
      <w:lvlText w:val=""/>
      <w:lvlJc w:val="left"/>
    </w:lvl>
    <w:lvl w:ilvl="6" w:tplc="7E669032">
      <w:numFmt w:val="decimal"/>
      <w:lvlText w:val=""/>
      <w:lvlJc w:val="left"/>
    </w:lvl>
    <w:lvl w:ilvl="7" w:tplc="3C864000">
      <w:numFmt w:val="decimal"/>
      <w:lvlText w:val=""/>
      <w:lvlJc w:val="left"/>
    </w:lvl>
    <w:lvl w:ilvl="8" w:tplc="8C9A6996">
      <w:numFmt w:val="decimal"/>
      <w:lvlText w:val=""/>
      <w:lvlJc w:val="left"/>
    </w:lvl>
  </w:abstractNum>
  <w:abstractNum w:abstractNumId="149" w15:restartNumberingAfterBreak="0">
    <w:nsid w:val="00001613"/>
    <w:multiLevelType w:val="hybridMultilevel"/>
    <w:tmpl w:val="C074BE0E"/>
    <w:lvl w:ilvl="0" w:tplc="B02C1F86">
      <w:start w:val="10"/>
      <w:numFmt w:val="decimal"/>
      <w:lvlText w:val="%1"/>
      <w:lvlJc w:val="left"/>
      <w:rPr>
        <w:color w:val="auto"/>
        <w:sz w:val="22"/>
        <w:szCs w:val="22"/>
        <w:vertAlign w:val="superscript"/>
      </w:rPr>
    </w:lvl>
    <w:lvl w:ilvl="1" w:tplc="64EE9B58">
      <w:start w:val="3"/>
      <w:numFmt w:val="lowerLetter"/>
      <w:lvlText w:val="(%2)"/>
      <w:lvlJc w:val="left"/>
    </w:lvl>
    <w:lvl w:ilvl="2" w:tplc="2912DBC0">
      <w:start w:val="2"/>
      <w:numFmt w:val="decimal"/>
      <w:lvlText w:val="%3."/>
      <w:lvlJc w:val="left"/>
    </w:lvl>
    <w:lvl w:ilvl="3" w:tplc="E834BB50">
      <w:numFmt w:val="decimal"/>
      <w:lvlText w:val=""/>
      <w:lvlJc w:val="left"/>
    </w:lvl>
    <w:lvl w:ilvl="4" w:tplc="8B84F068">
      <w:numFmt w:val="decimal"/>
      <w:lvlText w:val=""/>
      <w:lvlJc w:val="left"/>
    </w:lvl>
    <w:lvl w:ilvl="5" w:tplc="598E23FC">
      <w:numFmt w:val="decimal"/>
      <w:lvlText w:val=""/>
      <w:lvlJc w:val="left"/>
    </w:lvl>
    <w:lvl w:ilvl="6" w:tplc="0512E07C">
      <w:numFmt w:val="decimal"/>
      <w:lvlText w:val=""/>
      <w:lvlJc w:val="left"/>
    </w:lvl>
    <w:lvl w:ilvl="7" w:tplc="B20E53A8">
      <w:numFmt w:val="decimal"/>
      <w:lvlText w:val=""/>
      <w:lvlJc w:val="left"/>
    </w:lvl>
    <w:lvl w:ilvl="8" w:tplc="DB1EA510">
      <w:numFmt w:val="decimal"/>
      <w:lvlText w:val=""/>
      <w:lvlJc w:val="left"/>
    </w:lvl>
  </w:abstractNum>
  <w:abstractNum w:abstractNumId="150" w15:restartNumberingAfterBreak="0">
    <w:nsid w:val="0000165D"/>
    <w:multiLevelType w:val="hybridMultilevel"/>
    <w:tmpl w:val="432C4CCA"/>
    <w:lvl w:ilvl="0" w:tplc="680C073E">
      <w:start w:val="7"/>
      <w:numFmt w:val="decimal"/>
      <w:lvlText w:val="(%1)"/>
      <w:lvlJc w:val="left"/>
    </w:lvl>
    <w:lvl w:ilvl="1" w:tplc="5130256E">
      <w:start w:val="1"/>
      <w:numFmt w:val="lowerLetter"/>
      <w:lvlText w:val="(%2)"/>
      <w:lvlJc w:val="left"/>
    </w:lvl>
    <w:lvl w:ilvl="2" w:tplc="4232F7AC">
      <w:start w:val="1"/>
      <w:numFmt w:val="decimal"/>
      <w:lvlText w:val="%3."/>
      <w:lvlJc w:val="left"/>
    </w:lvl>
    <w:lvl w:ilvl="3" w:tplc="2A4AA856">
      <w:start w:val="1"/>
      <w:numFmt w:val="lowerLetter"/>
      <w:lvlText w:val="%4."/>
      <w:lvlJc w:val="left"/>
    </w:lvl>
    <w:lvl w:ilvl="4" w:tplc="893C3F8C">
      <w:start w:val="1"/>
      <w:numFmt w:val="lowerRoman"/>
      <w:lvlText w:val="%5."/>
      <w:lvlJc w:val="left"/>
    </w:lvl>
    <w:lvl w:ilvl="5" w:tplc="562681D4">
      <w:numFmt w:val="decimal"/>
      <w:lvlText w:val=""/>
      <w:lvlJc w:val="left"/>
    </w:lvl>
    <w:lvl w:ilvl="6" w:tplc="148C83BA">
      <w:numFmt w:val="decimal"/>
      <w:lvlText w:val=""/>
      <w:lvlJc w:val="left"/>
    </w:lvl>
    <w:lvl w:ilvl="7" w:tplc="12D8662A">
      <w:numFmt w:val="decimal"/>
      <w:lvlText w:val=""/>
      <w:lvlJc w:val="left"/>
    </w:lvl>
    <w:lvl w:ilvl="8" w:tplc="CD889264">
      <w:numFmt w:val="decimal"/>
      <w:lvlText w:val=""/>
      <w:lvlJc w:val="left"/>
    </w:lvl>
  </w:abstractNum>
  <w:abstractNum w:abstractNumId="151" w15:restartNumberingAfterBreak="0">
    <w:nsid w:val="00001676"/>
    <w:multiLevelType w:val="hybridMultilevel"/>
    <w:tmpl w:val="B186CE96"/>
    <w:lvl w:ilvl="0" w:tplc="F36ACD84">
      <w:start w:val="6"/>
      <w:numFmt w:val="decimal"/>
      <w:lvlText w:val="(%1)"/>
      <w:lvlJc w:val="left"/>
    </w:lvl>
    <w:lvl w:ilvl="1" w:tplc="C3E4A7B8">
      <w:start w:val="1"/>
      <w:numFmt w:val="lowerLetter"/>
      <w:lvlText w:val="(%2)"/>
      <w:lvlJc w:val="left"/>
    </w:lvl>
    <w:lvl w:ilvl="2" w:tplc="BB9AA14A">
      <w:numFmt w:val="decimal"/>
      <w:lvlText w:val=""/>
      <w:lvlJc w:val="left"/>
    </w:lvl>
    <w:lvl w:ilvl="3" w:tplc="252ED70E">
      <w:numFmt w:val="decimal"/>
      <w:lvlText w:val=""/>
      <w:lvlJc w:val="left"/>
    </w:lvl>
    <w:lvl w:ilvl="4" w:tplc="AD74CA84">
      <w:numFmt w:val="decimal"/>
      <w:lvlText w:val=""/>
      <w:lvlJc w:val="left"/>
    </w:lvl>
    <w:lvl w:ilvl="5" w:tplc="AF76F4DC">
      <w:numFmt w:val="decimal"/>
      <w:lvlText w:val=""/>
      <w:lvlJc w:val="left"/>
    </w:lvl>
    <w:lvl w:ilvl="6" w:tplc="2B2A3AF0">
      <w:numFmt w:val="decimal"/>
      <w:lvlText w:val=""/>
      <w:lvlJc w:val="left"/>
    </w:lvl>
    <w:lvl w:ilvl="7" w:tplc="6840D6F6">
      <w:numFmt w:val="decimal"/>
      <w:lvlText w:val=""/>
      <w:lvlJc w:val="left"/>
    </w:lvl>
    <w:lvl w:ilvl="8" w:tplc="3A72B156">
      <w:numFmt w:val="decimal"/>
      <w:lvlText w:val=""/>
      <w:lvlJc w:val="left"/>
    </w:lvl>
  </w:abstractNum>
  <w:abstractNum w:abstractNumId="152" w15:restartNumberingAfterBreak="0">
    <w:nsid w:val="00001684"/>
    <w:multiLevelType w:val="hybridMultilevel"/>
    <w:tmpl w:val="C142A5BC"/>
    <w:lvl w:ilvl="0" w:tplc="A8C8759E">
      <w:start w:val="1"/>
      <w:numFmt w:val="lowerLetter"/>
      <w:lvlText w:val="%1"/>
      <w:lvlJc w:val="left"/>
    </w:lvl>
    <w:lvl w:ilvl="1" w:tplc="B4BC2C04">
      <w:start w:val="1"/>
      <w:numFmt w:val="decimal"/>
      <w:lvlText w:val="%2."/>
      <w:lvlJc w:val="left"/>
    </w:lvl>
    <w:lvl w:ilvl="2" w:tplc="E6C837D4">
      <w:numFmt w:val="decimal"/>
      <w:lvlText w:val=""/>
      <w:lvlJc w:val="left"/>
    </w:lvl>
    <w:lvl w:ilvl="3" w:tplc="1C869EA4">
      <w:numFmt w:val="decimal"/>
      <w:lvlText w:val=""/>
      <w:lvlJc w:val="left"/>
    </w:lvl>
    <w:lvl w:ilvl="4" w:tplc="8D8464FE">
      <w:numFmt w:val="decimal"/>
      <w:lvlText w:val=""/>
      <w:lvlJc w:val="left"/>
    </w:lvl>
    <w:lvl w:ilvl="5" w:tplc="DF64887E">
      <w:numFmt w:val="decimal"/>
      <w:lvlText w:val=""/>
      <w:lvlJc w:val="left"/>
    </w:lvl>
    <w:lvl w:ilvl="6" w:tplc="E3BAE97E">
      <w:numFmt w:val="decimal"/>
      <w:lvlText w:val=""/>
      <w:lvlJc w:val="left"/>
    </w:lvl>
    <w:lvl w:ilvl="7" w:tplc="0FA0BC46">
      <w:numFmt w:val="decimal"/>
      <w:lvlText w:val=""/>
      <w:lvlJc w:val="left"/>
    </w:lvl>
    <w:lvl w:ilvl="8" w:tplc="63D0BD9C">
      <w:numFmt w:val="decimal"/>
      <w:lvlText w:val=""/>
      <w:lvlJc w:val="left"/>
    </w:lvl>
  </w:abstractNum>
  <w:abstractNum w:abstractNumId="153" w15:restartNumberingAfterBreak="0">
    <w:nsid w:val="000016F2"/>
    <w:multiLevelType w:val="hybridMultilevel"/>
    <w:tmpl w:val="4FF84AEE"/>
    <w:lvl w:ilvl="0" w:tplc="E5F0D674">
      <w:start w:val="1"/>
      <w:numFmt w:val="lowerLetter"/>
      <w:lvlText w:val="%1"/>
      <w:lvlJc w:val="left"/>
    </w:lvl>
    <w:lvl w:ilvl="1" w:tplc="B4709944">
      <w:start w:val="1"/>
      <w:numFmt w:val="decimal"/>
      <w:lvlText w:val="%2"/>
      <w:lvlJc w:val="left"/>
    </w:lvl>
    <w:lvl w:ilvl="2" w:tplc="6076FD36">
      <w:start w:val="1"/>
      <w:numFmt w:val="lowerLetter"/>
      <w:lvlText w:val="%3"/>
      <w:lvlJc w:val="left"/>
    </w:lvl>
    <w:lvl w:ilvl="3" w:tplc="835A9292">
      <w:numFmt w:val="decimal"/>
      <w:lvlText w:val=""/>
      <w:lvlJc w:val="left"/>
    </w:lvl>
    <w:lvl w:ilvl="4" w:tplc="5F8845B2">
      <w:numFmt w:val="decimal"/>
      <w:lvlText w:val=""/>
      <w:lvlJc w:val="left"/>
    </w:lvl>
    <w:lvl w:ilvl="5" w:tplc="17A684DA">
      <w:numFmt w:val="decimal"/>
      <w:lvlText w:val=""/>
      <w:lvlJc w:val="left"/>
    </w:lvl>
    <w:lvl w:ilvl="6" w:tplc="2626CC48">
      <w:numFmt w:val="decimal"/>
      <w:lvlText w:val=""/>
      <w:lvlJc w:val="left"/>
    </w:lvl>
    <w:lvl w:ilvl="7" w:tplc="61FC86B6">
      <w:numFmt w:val="decimal"/>
      <w:lvlText w:val=""/>
      <w:lvlJc w:val="left"/>
    </w:lvl>
    <w:lvl w:ilvl="8" w:tplc="84A29D5C">
      <w:numFmt w:val="decimal"/>
      <w:lvlText w:val=""/>
      <w:lvlJc w:val="left"/>
    </w:lvl>
  </w:abstractNum>
  <w:abstractNum w:abstractNumId="154" w15:restartNumberingAfterBreak="0">
    <w:nsid w:val="00001739"/>
    <w:multiLevelType w:val="hybridMultilevel"/>
    <w:tmpl w:val="BD2CCE34"/>
    <w:lvl w:ilvl="0" w:tplc="2EEEE7F0">
      <w:start w:val="3"/>
      <w:numFmt w:val="decimal"/>
      <w:lvlText w:val="%1."/>
      <w:lvlJc w:val="left"/>
    </w:lvl>
    <w:lvl w:ilvl="1" w:tplc="9356B07C">
      <w:start w:val="1"/>
      <w:numFmt w:val="lowerLetter"/>
      <w:lvlText w:val="%2."/>
      <w:lvlJc w:val="left"/>
    </w:lvl>
    <w:lvl w:ilvl="2" w:tplc="2C94AAE4">
      <w:numFmt w:val="decimal"/>
      <w:lvlText w:val=""/>
      <w:lvlJc w:val="left"/>
    </w:lvl>
    <w:lvl w:ilvl="3" w:tplc="88825A22">
      <w:numFmt w:val="decimal"/>
      <w:lvlText w:val=""/>
      <w:lvlJc w:val="left"/>
    </w:lvl>
    <w:lvl w:ilvl="4" w:tplc="31781BC6">
      <w:numFmt w:val="decimal"/>
      <w:lvlText w:val=""/>
      <w:lvlJc w:val="left"/>
    </w:lvl>
    <w:lvl w:ilvl="5" w:tplc="E5E4E01C">
      <w:numFmt w:val="decimal"/>
      <w:lvlText w:val=""/>
      <w:lvlJc w:val="left"/>
    </w:lvl>
    <w:lvl w:ilvl="6" w:tplc="2018C364">
      <w:numFmt w:val="decimal"/>
      <w:lvlText w:val=""/>
      <w:lvlJc w:val="left"/>
    </w:lvl>
    <w:lvl w:ilvl="7" w:tplc="4698AB92">
      <w:numFmt w:val="decimal"/>
      <w:lvlText w:val=""/>
      <w:lvlJc w:val="left"/>
    </w:lvl>
    <w:lvl w:ilvl="8" w:tplc="A74EC990">
      <w:numFmt w:val="decimal"/>
      <w:lvlText w:val=""/>
      <w:lvlJc w:val="left"/>
    </w:lvl>
  </w:abstractNum>
  <w:abstractNum w:abstractNumId="155" w15:restartNumberingAfterBreak="0">
    <w:nsid w:val="0000174F"/>
    <w:multiLevelType w:val="hybridMultilevel"/>
    <w:tmpl w:val="3B360594"/>
    <w:lvl w:ilvl="0" w:tplc="468E1862">
      <w:start w:val="1"/>
      <w:numFmt w:val="decimal"/>
      <w:lvlText w:val="%1"/>
      <w:lvlJc w:val="left"/>
    </w:lvl>
    <w:lvl w:ilvl="1" w:tplc="CA1E665A">
      <w:start w:val="1"/>
      <w:numFmt w:val="lowerLetter"/>
      <w:lvlText w:val="%2"/>
      <w:lvlJc w:val="left"/>
    </w:lvl>
    <w:lvl w:ilvl="2" w:tplc="EA8EE852">
      <w:start w:val="2"/>
      <w:numFmt w:val="decimal"/>
      <w:lvlText w:val="%3."/>
      <w:lvlJc w:val="left"/>
    </w:lvl>
    <w:lvl w:ilvl="3" w:tplc="3FE0F9C0">
      <w:start w:val="1"/>
      <w:numFmt w:val="lowerLetter"/>
      <w:lvlText w:val="%4."/>
      <w:lvlJc w:val="left"/>
    </w:lvl>
    <w:lvl w:ilvl="4" w:tplc="E370DE2A">
      <w:numFmt w:val="decimal"/>
      <w:lvlText w:val=""/>
      <w:lvlJc w:val="left"/>
    </w:lvl>
    <w:lvl w:ilvl="5" w:tplc="AB16E27C">
      <w:numFmt w:val="decimal"/>
      <w:lvlText w:val=""/>
      <w:lvlJc w:val="left"/>
    </w:lvl>
    <w:lvl w:ilvl="6" w:tplc="3C3ADF22">
      <w:numFmt w:val="decimal"/>
      <w:lvlText w:val=""/>
      <w:lvlJc w:val="left"/>
    </w:lvl>
    <w:lvl w:ilvl="7" w:tplc="DBF8548C">
      <w:numFmt w:val="decimal"/>
      <w:lvlText w:val=""/>
      <w:lvlJc w:val="left"/>
    </w:lvl>
    <w:lvl w:ilvl="8" w:tplc="0664A8DA">
      <w:numFmt w:val="decimal"/>
      <w:lvlText w:val=""/>
      <w:lvlJc w:val="left"/>
    </w:lvl>
  </w:abstractNum>
  <w:abstractNum w:abstractNumId="156" w15:restartNumberingAfterBreak="0">
    <w:nsid w:val="00001755"/>
    <w:multiLevelType w:val="hybridMultilevel"/>
    <w:tmpl w:val="57FA6EB4"/>
    <w:lvl w:ilvl="0" w:tplc="799A65CA">
      <w:start w:val="1"/>
      <w:numFmt w:val="decimal"/>
      <w:lvlText w:val="(%1)"/>
      <w:lvlJc w:val="left"/>
    </w:lvl>
    <w:lvl w:ilvl="1" w:tplc="4D24E424">
      <w:start w:val="2"/>
      <w:numFmt w:val="lowerLetter"/>
      <w:lvlText w:val="(%2)"/>
      <w:lvlJc w:val="left"/>
    </w:lvl>
    <w:lvl w:ilvl="2" w:tplc="EE084470">
      <w:numFmt w:val="decimal"/>
      <w:lvlText w:val=""/>
      <w:lvlJc w:val="left"/>
    </w:lvl>
    <w:lvl w:ilvl="3" w:tplc="E076CA54">
      <w:numFmt w:val="decimal"/>
      <w:lvlText w:val=""/>
      <w:lvlJc w:val="left"/>
    </w:lvl>
    <w:lvl w:ilvl="4" w:tplc="B096DFCE">
      <w:numFmt w:val="decimal"/>
      <w:lvlText w:val=""/>
      <w:lvlJc w:val="left"/>
    </w:lvl>
    <w:lvl w:ilvl="5" w:tplc="8D86AF16">
      <w:numFmt w:val="decimal"/>
      <w:lvlText w:val=""/>
      <w:lvlJc w:val="left"/>
    </w:lvl>
    <w:lvl w:ilvl="6" w:tplc="830E4206">
      <w:numFmt w:val="decimal"/>
      <w:lvlText w:val=""/>
      <w:lvlJc w:val="left"/>
    </w:lvl>
    <w:lvl w:ilvl="7" w:tplc="65E697F2">
      <w:numFmt w:val="decimal"/>
      <w:lvlText w:val=""/>
      <w:lvlJc w:val="left"/>
    </w:lvl>
    <w:lvl w:ilvl="8" w:tplc="BB1A718C">
      <w:numFmt w:val="decimal"/>
      <w:lvlText w:val=""/>
      <w:lvlJc w:val="left"/>
    </w:lvl>
  </w:abstractNum>
  <w:abstractNum w:abstractNumId="157" w15:restartNumberingAfterBreak="0">
    <w:nsid w:val="000017C5"/>
    <w:multiLevelType w:val="hybridMultilevel"/>
    <w:tmpl w:val="9D786C62"/>
    <w:lvl w:ilvl="0" w:tplc="8B12D3FA">
      <w:start w:val="2"/>
      <w:numFmt w:val="lowerLetter"/>
      <w:lvlText w:val="(%1)"/>
      <w:lvlJc w:val="left"/>
    </w:lvl>
    <w:lvl w:ilvl="1" w:tplc="DE26F77C">
      <w:start w:val="1"/>
      <w:numFmt w:val="decimal"/>
      <w:lvlText w:val="%2"/>
      <w:lvlJc w:val="left"/>
    </w:lvl>
    <w:lvl w:ilvl="2" w:tplc="D8D05876">
      <w:numFmt w:val="decimal"/>
      <w:lvlText w:val=""/>
      <w:lvlJc w:val="left"/>
    </w:lvl>
    <w:lvl w:ilvl="3" w:tplc="03A8BA7A">
      <w:numFmt w:val="decimal"/>
      <w:lvlText w:val=""/>
      <w:lvlJc w:val="left"/>
    </w:lvl>
    <w:lvl w:ilvl="4" w:tplc="864C8438">
      <w:numFmt w:val="decimal"/>
      <w:lvlText w:val=""/>
      <w:lvlJc w:val="left"/>
    </w:lvl>
    <w:lvl w:ilvl="5" w:tplc="C9D69530">
      <w:numFmt w:val="decimal"/>
      <w:lvlText w:val=""/>
      <w:lvlJc w:val="left"/>
    </w:lvl>
    <w:lvl w:ilvl="6" w:tplc="DC763180">
      <w:numFmt w:val="decimal"/>
      <w:lvlText w:val=""/>
      <w:lvlJc w:val="left"/>
    </w:lvl>
    <w:lvl w:ilvl="7" w:tplc="655AB468">
      <w:numFmt w:val="decimal"/>
      <w:lvlText w:val=""/>
      <w:lvlJc w:val="left"/>
    </w:lvl>
    <w:lvl w:ilvl="8" w:tplc="941C5F2C">
      <w:numFmt w:val="decimal"/>
      <w:lvlText w:val=""/>
      <w:lvlJc w:val="left"/>
    </w:lvl>
  </w:abstractNum>
  <w:abstractNum w:abstractNumId="158" w15:restartNumberingAfterBreak="0">
    <w:nsid w:val="00001805"/>
    <w:multiLevelType w:val="hybridMultilevel"/>
    <w:tmpl w:val="EB9C85B2"/>
    <w:lvl w:ilvl="0" w:tplc="80D00F40">
      <w:start w:val="1"/>
      <w:numFmt w:val="lowerLetter"/>
      <w:lvlText w:val="%1"/>
      <w:lvlJc w:val="left"/>
    </w:lvl>
    <w:lvl w:ilvl="1" w:tplc="5904714A">
      <w:start w:val="310"/>
      <w:numFmt w:val="decimal"/>
      <w:lvlText w:val="%2"/>
      <w:lvlJc w:val="left"/>
    </w:lvl>
    <w:lvl w:ilvl="2" w:tplc="B3B222D2">
      <w:start w:val="1"/>
      <w:numFmt w:val="lowerLetter"/>
      <w:lvlText w:val="%3"/>
      <w:lvlJc w:val="left"/>
    </w:lvl>
    <w:lvl w:ilvl="3" w:tplc="40045F8C">
      <w:numFmt w:val="decimal"/>
      <w:lvlText w:val=""/>
      <w:lvlJc w:val="left"/>
    </w:lvl>
    <w:lvl w:ilvl="4" w:tplc="D8864524">
      <w:numFmt w:val="decimal"/>
      <w:lvlText w:val=""/>
      <w:lvlJc w:val="left"/>
    </w:lvl>
    <w:lvl w:ilvl="5" w:tplc="D43EC814">
      <w:numFmt w:val="decimal"/>
      <w:lvlText w:val=""/>
      <w:lvlJc w:val="left"/>
    </w:lvl>
    <w:lvl w:ilvl="6" w:tplc="38C43548">
      <w:numFmt w:val="decimal"/>
      <w:lvlText w:val=""/>
      <w:lvlJc w:val="left"/>
    </w:lvl>
    <w:lvl w:ilvl="7" w:tplc="5A26D9CE">
      <w:numFmt w:val="decimal"/>
      <w:lvlText w:val=""/>
      <w:lvlJc w:val="left"/>
    </w:lvl>
    <w:lvl w:ilvl="8" w:tplc="68D8A6C6">
      <w:numFmt w:val="decimal"/>
      <w:lvlText w:val=""/>
      <w:lvlJc w:val="left"/>
    </w:lvl>
  </w:abstractNum>
  <w:abstractNum w:abstractNumId="159" w15:restartNumberingAfterBreak="0">
    <w:nsid w:val="0000181C"/>
    <w:multiLevelType w:val="hybridMultilevel"/>
    <w:tmpl w:val="40FA1EC2"/>
    <w:lvl w:ilvl="0" w:tplc="6F685ABE">
      <w:start w:val="1"/>
      <w:numFmt w:val="decimal"/>
      <w:lvlText w:val="%1"/>
      <w:lvlJc w:val="left"/>
    </w:lvl>
    <w:lvl w:ilvl="1" w:tplc="C750DD20">
      <w:start w:val="1"/>
      <w:numFmt w:val="lowerLetter"/>
      <w:lvlText w:val="%2"/>
      <w:lvlJc w:val="left"/>
    </w:lvl>
    <w:lvl w:ilvl="2" w:tplc="C4269B1E">
      <w:start w:val="3"/>
      <w:numFmt w:val="decimal"/>
      <w:lvlText w:val="%3."/>
      <w:lvlJc w:val="left"/>
    </w:lvl>
    <w:lvl w:ilvl="3" w:tplc="6096E8AE">
      <w:numFmt w:val="decimal"/>
      <w:lvlText w:val=""/>
      <w:lvlJc w:val="left"/>
    </w:lvl>
    <w:lvl w:ilvl="4" w:tplc="034CC02A">
      <w:numFmt w:val="decimal"/>
      <w:lvlText w:val=""/>
      <w:lvlJc w:val="left"/>
    </w:lvl>
    <w:lvl w:ilvl="5" w:tplc="AA586042">
      <w:numFmt w:val="decimal"/>
      <w:lvlText w:val=""/>
      <w:lvlJc w:val="left"/>
    </w:lvl>
    <w:lvl w:ilvl="6" w:tplc="279E29BE">
      <w:numFmt w:val="decimal"/>
      <w:lvlText w:val=""/>
      <w:lvlJc w:val="left"/>
    </w:lvl>
    <w:lvl w:ilvl="7" w:tplc="B498BE46">
      <w:numFmt w:val="decimal"/>
      <w:lvlText w:val=""/>
      <w:lvlJc w:val="left"/>
    </w:lvl>
    <w:lvl w:ilvl="8" w:tplc="1C22843A">
      <w:numFmt w:val="decimal"/>
      <w:lvlText w:val=""/>
      <w:lvlJc w:val="left"/>
    </w:lvl>
  </w:abstractNum>
  <w:abstractNum w:abstractNumId="160" w15:restartNumberingAfterBreak="0">
    <w:nsid w:val="00001831"/>
    <w:multiLevelType w:val="hybridMultilevel"/>
    <w:tmpl w:val="15107FC2"/>
    <w:lvl w:ilvl="0" w:tplc="C2A27692">
      <w:start w:val="1"/>
      <w:numFmt w:val="lowerLetter"/>
      <w:lvlText w:val="%1"/>
      <w:lvlJc w:val="left"/>
    </w:lvl>
    <w:lvl w:ilvl="1" w:tplc="2CDA0B68">
      <w:start w:val="310"/>
      <w:numFmt w:val="decimal"/>
      <w:lvlText w:val="%2"/>
      <w:lvlJc w:val="left"/>
    </w:lvl>
    <w:lvl w:ilvl="2" w:tplc="17D4641E">
      <w:numFmt w:val="decimal"/>
      <w:lvlText w:val=""/>
      <w:lvlJc w:val="left"/>
    </w:lvl>
    <w:lvl w:ilvl="3" w:tplc="669629EA">
      <w:numFmt w:val="decimal"/>
      <w:lvlText w:val=""/>
      <w:lvlJc w:val="left"/>
    </w:lvl>
    <w:lvl w:ilvl="4" w:tplc="528631A0">
      <w:numFmt w:val="decimal"/>
      <w:lvlText w:val=""/>
      <w:lvlJc w:val="left"/>
    </w:lvl>
    <w:lvl w:ilvl="5" w:tplc="498E476E">
      <w:numFmt w:val="decimal"/>
      <w:lvlText w:val=""/>
      <w:lvlJc w:val="left"/>
    </w:lvl>
    <w:lvl w:ilvl="6" w:tplc="AA7E0E46">
      <w:numFmt w:val="decimal"/>
      <w:lvlText w:val=""/>
      <w:lvlJc w:val="left"/>
    </w:lvl>
    <w:lvl w:ilvl="7" w:tplc="17E2939E">
      <w:numFmt w:val="decimal"/>
      <w:lvlText w:val=""/>
      <w:lvlJc w:val="left"/>
    </w:lvl>
    <w:lvl w:ilvl="8" w:tplc="86D89086">
      <w:numFmt w:val="decimal"/>
      <w:lvlText w:val=""/>
      <w:lvlJc w:val="left"/>
    </w:lvl>
  </w:abstractNum>
  <w:abstractNum w:abstractNumId="161" w15:restartNumberingAfterBreak="0">
    <w:nsid w:val="00001869"/>
    <w:multiLevelType w:val="hybridMultilevel"/>
    <w:tmpl w:val="DEDC2D22"/>
    <w:lvl w:ilvl="0" w:tplc="CB88D12A">
      <w:start w:val="1"/>
      <w:numFmt w:val="decimal"/>
      <w:lvlText w:val="%1"/>
      <w:lvlJc w:val="left"/>
    </w:lvl>
    <w:lvl w:ilvl="1" w:tplc="CAF81110">
      <w:start w:val="7"/>
      <w:numFmt w:val="lowerLetter"/>
      <w:lvlText w:val="(%2)"/>
      <w:lvlJc w:val="left"/>
    </w:lvl>
    <w:lvl w:ilvl="2" w:tplc="FA0437F4">
      <w:numFmt w:val="decimal"/>
      <w:lvlText w:val=""/>
      <w:lvlJc w:val="left"/>
    </w:lvl>
    <w:lvl w:ilvl="3" w:tplc="02E08C04">
      <w:numFmt w:val="decimal"/>
      <w:lvlText w:val=""/>
      <w:lvlJc w:val="left"/>
    </w:lvl>
    <w:lvl w:ilvl="4" w:tplc="E54C433E">
      <w:numFmt w:val="decimal"/>
      <w:lvlText w:val=""/>
      <w:lvlJc w:val="left"/>
    </w:lvl>
    <w:lvl w:ilvl="5" w:tplc="19F8AC0A">
      <w:numFmt w:val="decimal"/>
      <w:lvlText w:val=""/>
      <w:lvlJc w:val="left"/>
    </w:lvl>
    <w:lvl w:ilvl="6" w:tplc="7CAC471A">
      <w:numFmt w:val="decimal"/>
      <w:lvlText w:val=""/>
      <w:lvlJc w:val="left"/>
    </w:lvl>
    <w:lvl w:ilvl="7" w:tplc="30268B1E">
      <w:numFmt w:val="decimal"/>
      <w:lvlText w:val=""/>
      <w:lvlJc w:val="left"/>
    </w:lvl>
    <w:lvl w:ilvl="8" w:tplc="8912E168">
      <w:numFmt w:val="decimal"/>
      <w:lvlText w:val=""/>
      <w:lvlJc w:val="left"/>
    </w:lvl>
  </w:abstractNum>
  <w:abstractNum w:abstractNumId="162" w15:restartNumberingAfterBreak="0">
    <w:nsid w:val="000018B1"/>
    <w:multiLevelType w:val="hybridMultilevel"/>
    <w:tmpl w:val="AF6E9498"/>
    <w:lvl w:ilvl="0" w:tplc="25BA97B0">
      <w:start w:val="13"/>
      <w:numFmt w:val="decimal"/>
      <w:lvlText w:val="(%1)"/>
      <w:lvlJc w:val="left"/>
    </w:lvl>
    <w:lvl w:ilvl="1" w:tplc="B34279B6">
      <w:start w:val="1"/>
      <w:numFmt w:val="lowerLetter"/>
      <w:lvlText w:val="(%2)"/>
      <w:lvlJc w:val="left"/>
    </w:lvl>
    <w:lvl w:ilvl="2" w:tplc="BAAE51B6">
      <w:start w:val="1"/>
      <w:numFmt w:val="decimal"/>
      <w:lvlText w:val="%3."/>
      <w:lvlJc w:val="left"/>
    </w:lvl>
    <w:lvl w:ilvl="3" w:tplc="39087308">
      <w:numFmt w:val="decimal"/>
      <w:lvlText w:val=""/>
      <w:lvlJc w:val="left"/>
    </w:lvl>
    <w:lvl w:ilvl="4" w:tplc="9446B8C2">
      <w:numFmt w:val="decimal"/>
      <w:lvlText w:val=""/>
      <w:lvlJc w:val="left"/>
    </w:lvl>
    <w:lvl w:ilvl="5" w:tplc="6186D9A0">
      <w:numFmt w:val="decimal"/>
      <w:lvlText w:val=""/>
      <w:lvlJc w:val="left"/>
    </w:lvl>
    <w:lvl w:ilvl="6" w:tplc="74485156">
      <w:numFmt w:val="decimal"/>
      <w:lvlText w:val=""/>
      <w:lvlJc w:val="left"/>
    </w:lvl>
    <w:lvl w:ilvl="7" w:tplc="E2789C0C">
      <w:numFmt w:val="decimal"/>
      <w:lvlText w:val=""/>
      <w:lvlJc w:val="left"/>
    </w:lvl>
    <w:lvl w:ilvl="8" w:tplc="FAAC314E">
      <w:numFmt w:val="decimal"/>
      <w:lvlText w:val=""/>
      <w:lvlJc w:val="left"/>
    </w:lvl>
  </w:abstractNum>
  <w:abstractNum w:abstractNumId="163" w15:restartNumberingAfterBreak="0">
    <w:nsid w:val="000018DD"/>
    <w:multiLevelType w:val="hybridMultilevel"/>
    <w:tmpl w:val="E96A383A"/>
    <w:lvl w:ilvl="0" w:tplc="6FAEC49E">
      <w:start w:val="5"/>
      <w:numFmt w:val="decimal"/>
      <w:lvlText w:val="%1."/>
      <w:lvlJc w:val="left"/>
    </w:lvl>
    <w:lvl w:ilvl="1" w:tplc="644E8ED6">
      <w:numFmt w:val="decimal"/>
      <w:lvlText w:val=""/>
      <w:lvlJc w:val="left"/>
    </w:lvl>
    <w:lvl w:ilvl="2" w:tplc="3A3A4486">
      <w:numFmt w:val="decimal"/>
      <w:lvlText w:val=""/>
      <w:lvlJc w:val="left"/>
    </w:lvl>
    <w:lvl w:ilvl="3" w:tplc="26EA43EC">
      <w:numFmt w:val="decimal"/>
      <w:lvlText w:val=""/>
      <w:lvlJc w:val="left"/>
    </w:lvl>
    <w:lvl w:ilvl="4" w:tplc="075CBEDC">
      <w:numFmt w:val="decimal"/>
      <w:lvlText w:val=""/>
      <w:lvlJc w:val="left"/>
    </w:lvl>
    <w:lvl w:ilvl="5" w:tplc="736EE210">
      <w:numFmt w:val="decimal"/>
      <w:lvlText w:val=""/>
      <w:lvlJc w:val="left"/>
    </w:lvl>
    <w:lvl w:ilvl="6" w:tplc="41C0BC86">
      <w:numFmt w:val="decimal"/>
      <w:lvlText w:val=""/>
      <w:lvlJc w:val="left"/>
    </w:lvl>
    <w:lvl w:ilvl="7" w:tplc="1AC440C6">
      <w:numFmt w:val="decimal"/>
      <w:lvlText w:val=""/>
      <w:lvlJc w:val="left"/>
    </w:lvl>
    <w:lvl w:ilvl="8" w:tplc="6D389354">
      <w:numFmt w:val="decimal"/>
      <w:lvlText w:val=""/>
      <w:lvlJc w:val="left"/>
    </w:lvl>
  </w:abstractNum>
  <w:abstractNum w:abstractNumId="164" w15:restartNumberingAfterBreak="0">
    <w:nsid w:val="00001932"/>
    <w:multiLevelType w:val="hybridMultilevel"/>
    <w:tmpl w:val="5322D24E"/>
    <w:lvl w:ilvl="0" w:tplc="8AF8B1E8">
      <w:start w:val="2"/>
      <w:numFmt w:val="lowerLetter"/>
      <w:lvlText w:val="(%1)"/>
      <w:lvlJc w:val="left"/>
    </w:lvl>
    <w:lvl w:ilvl="1" w:tplc="871EFB80">
      <w:start w:val="1"/>
      <w:numFmt w:val="decimal"/>
      <w:lvlText w:val="%2."/>
      <w:lvlJc w:val="left"/>
    </w:lvl>
    <w:lvl w:ilvl="2" w:tplc="051A3000">
      <w:start w:val="1"/>
      <w:numFmt w:val="lowerLetter"/>
      <w:lvlText w:val="%3"/>
      <w:lvlJc w:val="left"/>
    </w:lvl>
    <w:lvl w:ilvl="3" w:tplc="C978890E">
      <w:numFmt w:val="decimal"/>
      <w:lvlText w:val=""/>
      <w:lvlJc w:val="left"/>
    </w:lvl>
    <w:lvl w:ilvl="4" w:tplc="7F24EF36">
      <w:numFmt w:val="decimal"/>
      <w:lvlText w:val=""/>
      <w:lvlJc w:val="left"/>
    </w:lvl>
    <w:lvl w:ilvl="5" w:tplc="9E10541E">
      <w:numFmt w:val="decimal"/>
      <w:lvlText w:val=""/>
      <w:lvlJc w:val="left"/>
    </w:lvl>
    <w:lvl w:ilvl="6" w:tplc="6A7C8C96">
      <w:numFmt w:val="decimal"/>
      <w:lvlText w:val=""/>
      <w:lvlJc w:val="left"/>
    </w:lvl>
    <w:lvl w:ilvl="7" w:tplc="BB1CC926">
      <w:numFmt w:val="decimal"/>
      <w:lvlText w:val=""/>
      <w:lvlJc w:val="left"/>
    </w:lvl>
    <w:lvl w:ilvl="8" w:tplc="414C5212">
      <w:numFmt w:val="decimal"/>
      <w:lvlText w:val=""/>
      <w:lvlJc w:val="left"/>
    </w:lvl>
  </w:abstractNum>
  <w:abstractNum w:abstractNumId="165" w15:restartNumberingAfterBreak="0">
    <w:nsid w:val="00001949"/>
    <w:multiLevelType w:val="hybridMultilevel"/>
    <w:tmpl w:val="B52AC054"/>
    <w:lvl w:ilvl="0" w:tplc="CA4A10F2">
      <w:start w:val="1"/>
      <w:numFmt w:val="decimal"/>
      <w:lvlText w:val="%1."/>
      <w:lvlJc w:val="left"/>
    </w:lvl>
    <w:lvl w:ilvl="1" w:tplc="98CEB35C">
      <w:numFmt w:val="decimal"/>
      <w:lvlText w:val=""/>
      <w:lvlJc w:val="left"/>
    </w:lvl>
    <w:lvl w:ilvl="2" w:tplc="54DA8FA8">
      <w:numFmt w:val="decimal"/>
      <w:lvlText w:val=""/>
      <w:lvlJc w:val="left"/>
    </w:lvl>
    <w:lvl w:ilvl="3" w:tplc="9F76EA72">
      <w:numFmt w:val="decimal"/>
      <w:lvlText w:val=""/>
      <w:lvlJc w:val="left"/>
    </w:lvl>
    <w:lvl w:ilvl="4" w:tplc="D7A098D8">
      <w:numFmt w:val="decimal"/>
      <w:lvlText w:val=""/>
      <w:lvlJc w:val="left"/>
    </w:lvl>
    <w:lvl w:ilvl="5" w:tplc="33EA1CBC">
      <w:numFmt w:val="decimal"/>
      <w:lvlText w:val=""/>
      <w:lvlJc w:val="left"/>
    </w:lvl>
    <w:lvl w:ilvl="6" w:tplc="AB66F7CC">
      <w:numFmt w:val="decimal"/>
      <w:lvlText w:val=""/>
      <w:lvlJc w:val="left"/>
    </w:lvl>
    <w:lvl w:ilvl="7" w:tplc="F2926D7E">
      <w:numFmt w:val="decimal"/>
      <w:lvlText w:val=""/>
      <w:lvlJc w:val="left"/>
    </w:lvl>
    <w:lvl w:ilvl="8" w:tplc="178EFD10">
      <w:numFmt w:val="decimal"/>
      <w:lvlText w:val=""/>
      <w:lvlJc w:val="left"/>
    </w:lvl>
  </w:abstractNum>
  <w:abstractNum w:abstractNumId="166" w15:restartNumberingAfterBreak="0">
    <w:nsid w:val="0000194D"/>
    <w:multiLevelType w:val="hybridMultilevel"/>
    <w:tmpl w:val="D0DC42BE"/>
    <w:lvl w:ilvl="0" w:tplc="F8CA0F2C">
      <w:start w:val="4"/>
      <w:numFmt w:val="lowerLetter"/>
      <w:lvlText w:val="(%1)"/>
      <w:lvlJc w:val="left"/>
    </w:lvl>
    <w:lvl w:ilvl="1" w:tplc="66007034">
      <w:numFmt w:val="decimal"/>
      <w:lvlText w:val=""/>
      <w:lvlJc w:val="left"/>
    </w:lvl>
    <w:lvl w:ilvl="2" w:tplc="DAA21342">
      <w:numFmt w:val="decimal"/>
      <w:lvlText w:val=""/>
      <w:lvlJc w:val="left"/>
    </w:lvl>
    <w:lvl w:ilvl="3" w:tplc="3E8E412E">
      <w:numFmt w:val="decimal"/>
      <w:lvlText w:val=""/>
      <w:lvlJc w:val="left"/>
    </w:lvl>
    <w:lvl w:ilvl="4" w:tplc="FABA7B38">
      <w:numFmt w:val="decimal"/>
      <w:lvlText w:val=""/>
      <w:lvlJc w:val="left"/>
    </w:lvl>
    <w:lvl w:ilvl="5" w:tplc="B45EF7FA">
      <w:numFmt w:val="decimal"/>
      <w:lvlText w:val=""/>
      <w:lvlJc w:val="left"/>
    </w:lvl>
    <w:lvl w:ilvl="6" w:tplc="B6BCD4EC">
      <w:numFmt w:val="decimal"/>
      <w:lvlText w:val=""/>
      <w:lvlJc w:val="left"/>
    </w:lvl>
    <w:lvl w:ilvl="7" w:tplc="1430D398">
      <w:numFmt w:val="decimal"/>
      <w:lvlText w:val=""/>
      <w:lvlJc w:val="left"/>
    </w:lvl>
    <w:lvl w:ilvl="8" w:tplc="EAD6D7A6">
      <w:numFmt w:val="decimal"/>
      <w:lvlText w:val=""/>
      <w:lvlJc w:val="left"/>
    </w:lvl>
  </w:abstractNum>
  <w:abstractNum w:abstractNumId="167" w15:restartNumberingAfterBreak="0">
    <w:nsid w:val="0000194F"/>
    <w:multiLevelType w:val="hybridMultilevel"/>
    <w:tmpl w:val="6B9A495C"/>
    <w:lvl w:ilvl="0" w:tplc="AD66BFD8">
      <w:start w:val="1"/>
      <w:numFmt w:val="decimal"/>
      <w:lvlText w:val="%1"/>
      <w:lvlJc w:val="left"/>
    </w:lvl>
    <w:lvl w:ilvl="1" w:tplc="60E23DC4">
      <w:start w:val="1"/>
      <w:numFmt w:val="lowerLetter"/>
      <w:lvlText w:val="%2"/>
      <w:lvlJc w:val="left"/>
    </w:lvl>
    <w:lvl w:ilvl="2" w:tplc="FAFE70A6">
      <w:start w:val="3"/>
      <w:numFmt w:val="decimal"/>
      <w:lvlText w:val="%3."/>
      <w:lvlJc w:val="left"/>
    </w:lvl>
    <w:lvl w:ilvl="3" w:tplc="1A72D696">
      <w:numFmt w:val="decimal"/>
      <w:lvlText w:val=""/>
      <w:lvlJc w:val="left"/>
    </w:lvl>
    <w:lvl w:ilvl="4" w:tplc="BCA0DD26">
      <w:numFmt w:val="decimal"/>
      <w:lvlText w:val=""/>
      <w:lvlJc w:val="left"/>
    </w:lvl>
    <w:lvl w:ilvl="5" w:tplc="9F7E3530">
      <w:numFmt w:val="decimal"/>
      <w:lvlText w:val=""/>
      <w:lvlJc w:val="left"/>
    </w:lvl>
    <w:lvl w:ilvl="6" w:tplc="CE508FF6">
      <w:numFmt w:val="decimal"/>
      <w:lvlText w:val=""/>
      <w:lvlJc w:val="left"/>
    </w:lvl>
    <w:lvl w:ilvl="7" w:tplc="7AEE7920">
      <w:numFmt w:val="decimal"/>
      <w:lvlText w:val=""/>
      <w:lvlJc w:val="left"/>
    </w:lvl>
    <w:lvl w:ilvl="8" w:tplc="1C30C010">
      <w:numFmt w:val="decimal"/>
      <w:lvlText w:val=""/>
      <w:lvlJc w:val="left"/>
    </w:lvl>
  </w:abstractNum>
  <w:abstractNum w:abstractNumId="168" w15:restartNumberingAfterBreak="0">
    <w:nsid w:val="00001956"/>
    <w:multiLevelType w:val="hybridMultilevel"/>
    <w:tmpl w:val="C91CD2BA"/>
    <w:lvl w:ilvl="0" w:tplc="C04E1C7E">
      <w:start w:val="1"/>
      <w:numFmt w:val="decimal"/>
      <w:lvlText w:val="%1"/>
      <w:lvlJc w:val="left"/>
    </w:lvl>
    <w:lvl w:ilvl="1" w:tplc="4D2AA1C2">
      <w:start w:val="1"/>
      <w:numFmt w:val="decimal"/>
      <w:lvlText w:val="%2"/>
      <w:lvlJc w:val="left"/>
    </w:lvl>
    <w:lvl w:ilvl="2" w:tplc="26DC2A70">
      <w:start w:val="1"/>
      <w:numFmt w:val="lowerLetter"/>
      <w:lvlText w:val="%3"/>
      <w:lvlJc w:val="left"/>
    </w:lvl>
    <w:lvl w:ilvl="3" w:tplc="8B9675F2">
      <w:start w:val="310"/>
      <w:numFmt w:val="decimal"/>
      <w:lvlText w:val="%4"/>
      <w:lvlJc w:val="left"/>
    </w:lvl>
    <w:lvl w:ilvl="4" w:tplc="292028EA">
      <w:start w:val="1"/>
      <w:numFmt w:val="lowerLetter"/>
      <w:lvlText w:val="%5."/>
      <w:lvlJc w:val="left"/>
    </w:lvl>
    <w:lvl w:ilvl="5" w:tplc="E616639A">
      <w:start w:val="1"/>
      <w:numFmt w:val="lowerRoman"/>
      <w:lvlText w:val="%6"/>
      <w:lvlJc w:val="left"/>
    </w:lvl>
    <w:lvl w:ilvl="6" w:tplc="A73A0730">
      <w:numFmt w:val="decimal"/>
      <w:lvlText w:val=""/>
      <w:lvlJc w:val="left"/>
    </w:lvl>
    <w:lvl w:ilvl="7" w:tplc="00F29CFC">
      <w:numFmt w:val="decimal"/>
      <w:lvlText w:val=""/>
      <w:lvlJc w:val="left"/>
    </w:lvl>
    <w:lvl w:ilvl="8" w:tplc="0C823CCE">
      <w:numFmt w:val="decimal"/>
      <w:lvlText w:val=""/>
      <w:lvlJc w:val="left"/>
    </w:lvl>
  </w:abstractNum>
  <w:abstractNum w:abstractNumId="169" w15:restartNumberingAfterBreak="0">
    <w:nsid w:val="0000198A"/>
    <w:multiLevelType w:val="hybridMultilevel"/>
    <w:tmpl w:val="049649D8"/>
    <w:lvl w:ilvl="0" w:tplc="354E5308">
      <w:start w:val="1"/>
      <w:numFmt w:val="decimal"/>
      <w:lvlText w:val="(%1)"/>
      <w:lvlJc w:val="left"/>
    </w:lvl>
    <w:lvl w:ilvl="1" w:tplc="C4D6BEA0">
      <w:start w:val="1"/>
      <w:numFmt w:val="lowerLetter"/>
      <w:lvlText w:val="(%2)"/>
      <w:lvlJc w:val="left"/>
    </w:lvl>
    <w:lvl w:ilvl="2" w:tplc="872C37C0">
      <w:start w:val="1"/>
      <w:numFmt w:val="decimal"/>
      <w:lvlText w:val="%3."/>
      <w:lvlJc w:val="left"/>
    </w:lvl>
    <w:lvl w:ilvl="3" w:tplc="0F78B206">
      <w:numFmt w:val="decimal"/>
      <w:lvlText w:val=""/>
      <w:lvlJc w:val="left"/>
    </w:lvl>
    <w:lvl w:ilvl="4" w:tplc="2C10C034">
      <w:numFmt w:val="decimal"/>
      <w:lvlText w:val=""/>
      <w:lvlJc w:val="left"/>
    </w:lvl>
    <w:lvl w:ilvl="5" w:tplc="FF785AE8">
      <w:numFmt w:val="decimal"/>
      <w:lvlText w:val=""/>
      <w:lvlJc w:val="left"/>
    </w:lvl>
    <w:lvl w:ilvl="6" w:tplc="F40AC36A">
      <w:numFmt w:val="decimal"/>
      <w:lvlText w:val=""/>
      <w:lvlJc w:val="left"/>
    </w:lvl>
    <w:lvl w:ilvl="7" w:tplc="48541766">
      <w:numFmt w:val="decimal"/>
      <w:lvlText w:val=""/>
      <w:lvlJc w:val="left"/>
    </w:lvl>
    <w:lvl w:ilvl="8" w:tplc="21507D56">
      <w:numFmt w:val="decimal"/>
      <w:lvlText w:val=""/>
      <w:lvlJc w:val="left"/>
    </w:lvl>
  </w:abstractNum>
  <w:abstractNum w:abstractNumId="170" w15:restartNumberingAfterBreak="0">
    <w:nsid w:val="0000198C"/>
    <w:multiLevelType w:val="hybridMultilevel"/>
    <w:tmpl w:val="D1704DC6"/>
    <w:lvl w:ilvl="0" w:tplc="222C5E1C">
      <w:start w:val="22"/>
      <w:numFmt w:val="decimal"/>
      <w:lvlText w:val="(%1)"/>
      <w:lvlJc w:val="left"/>
    </w:lvl>
    <w:lvl w:ilvl="1" w:tplc="C6983538">
      <w:start w:val="1"/>
      <w:numFmt w:val="lowerLetter"/>
      <w:lvlText w:val="(%2)"/>
      <w:lvlJc w:val="left"/>
    </w:lvl>
    <w:lvl w:ilvl="2" w:tplc="EEA26EF6">
      <w:start w:val="1"/>
      <w:numFmt w:val="decimal"/>
      <w:lvlText w:val="%3."/>
      <w:lvlJc w:val="left"/>
    </w:lvl>
    <w:lvl w:ilvl="3" w:tplc="3208ADFC">
      <w:numFmt w:val="decimal"/>
      <w:lvlText w:val=""/>
      <w:lvlJc w:val="left"/>
    </w:lvl>
    <w:lvl w:ilvl="4" w:tplc="29F88B22">
      <w:numFmt w:val="decimal"/>
      <w:lvlText w:val=""/>
      <w:lvlJc w:val="left"/>
    </w:lvl>
    <w:lvl w:ilvl="5" w:tplc="0DE2146C">
      <w:numFmt w:val="decimal"/>
      <w:lvlText w:val=""/>
      <w:lvlJc w:val="left"/>
    </w:lvl>
    <w:lvl w:ilvl="6" w:tplc="E120498A">
      <w:numFmt w:val="decimal"/>
      <w:lvlText w:val=""/>
      <w:lvlJc w:val="left"/>
    </w:lvl>
    <w:lvl w:ilvl="7" w:tplc="AEDCABE2">
      <w:numFmt w:val="decimal"/>
      <w:lvlText w:val=""/>
      <w:lvlJc w:val="left"/>
    </w:lvl>
    <w:lvl w:ilvl="8" w:tplc="A09895EC">
      <w:numFmt w:val="decimal"/>
      <w:lvlText w:val=""/>
      <w:lvlJc w:val="left"/>
    </w:lvl>
  </w:abstractNum>
  <w:abstractNum w:abstractNumId="171" w15:restartNumberingAfterBreak="0">
    <w:nsid w:val="000019CA"/>
    <w:multiLevelType w:val="hybridMultilevel"/>
    <w:tmpl w:val="048A70A4"/>
    <w:lvl w:ilvl="0" w:tplc="C3A06284">
      <w:start w:val="4"/>
      <w:numFmt w:val="lowerLetter"/>
      <w:lvlText w:val="(%1)"/>
      <w:lvlJc w:val="left"/>
    </w:lvl>
    <w:lvl w:ilvl="1" w:tplc="E31C428E">
      <w:start w:val="1"/>
      <w:numFmt w:val="decimal"/>
      <w:lvlText w:val="%2."/>
      <w:lvlJc w:val="left"/>
    </w:lvl>
    <w:lvl w:ilvl="2" w:tplc="9D76493A">
      <w:start w:val="1"/>
      <w:numFmt w:val="lowerLetter"/>
      <w:lvlText w:val="%3."/>
      <w:lvlJc w:val="left"/>
    </w:lvl>
    <w:lvl w:ilvl="3" w:tplc="AF1C3ED6">
      <w:numFmt w:val="decimal"/>
      <w:lvlText w:val=""/>
      <w:lvlJc w:val="left"/>
    </w:lvl>
    <w:lvl w:ilvl="4" w:tplc="1BB8B124">
      <w:numFmt w:val="decimal"/>
      <w:lvlText w:val=""/>
      <w:lvlJc w:val="left"/>
    </w:lvl>
    <w:lvl w:ilvl="5" w:tplc="4DCE3D42">
      <w:numFmt w:val="decimal"/>
      <w:lvlText w:val=""/>
      <w:lvlJc w:val="left"/>
    </w:lvl>
    <w:lvl w:ilvl="6" w:tplc="6D5E19A4">
      <w:numFmt w:val="decimal"/>
      <w:lvlText w:val=""/>
      <w:lvlJc w:val="left"/>
    </w:lvl>
    <w:lvl w:ilvl="7" w:tplc="E80217CE">
      <w:numFmt w:val="decimal"/>
      <w:lvlText w:val=""/>
      <w:lvlJc w:val="left"/>
    </w:lvl>
    <w:lvl w:ilvl="8" w:tplc="866666BE">
      <w:numFmt w:val="decimal"/>
      <w:lvlText w:val=""/>
      <w:lvlJc w:val="left"/>
    </w:lvl>
  </w:abstractNum>
  <w:abstractNum w:abstractNumId="172" w15:restartNumberingAfterBreak="0">
    <w:nsid w:val="000019D0"/>
    <w:multiLevelType w:val="hybridMultilevel"/>
    <w:tmpl w:val="CA166CF0"/>
    <w:lvl w:ilvl="0" w:tplc="A132A036">
      <w:start w:val="2"/>
      <w:numFmt w:val="lowerLetter"/>
      <w:lvlText w:val="%1."/>
      <w:lvlJc w:val="left"/>
    </w:lvl>
    <w:lvl w:ilvl="1" w:tplc="9F2A924C">
      <w:numFmt w:val="decimal"/>
      <w:lvlText w:val=""/>
      <w:lvlJc w:val="left"/>
    </w:lvl>
    <w:lvl w:ilvl="2" w:tplc="197C0B0C">
      <w:numFmt w:val="decimal"/>
      <w:lvlText w:val=""/>
      <w:lvlJc w:val="left"/>
    </w:lvl>
    <w:lvl w:ilvl="3" w:tplc="293A24A0">
      <w:numFmt w:val="decimal"/>
      <w:lvlText w:val=""/>
      <w:lvlJc w:val="left"/>
    </w:lvl>
    <w:lvl w:ilvl="4" w:tplc="5BC4F032">
      <w:numFmt w:val="decimal"/>
      <w:lvlText w:val=""/>
      <w:lvlJc w:val="left"/>
    </w:lvl>
    <w:lvl w:ilvl="5" w:tplc="42C26C48">
      <w:numFmt w:val="decimal"/>
      <w:lvlText w:val=""/>
      <w:lvlJc w:val="left"/>
    </w:lvl>
    <w:lvl w:ilvl="6" w:tplc="9D0A1106">
      <w:numFmt w:val="decimal"/>
      <w:lvlText w:val=""/>
      <w:lvlJc w:val="left"/>
    </w:lvl>
    <w:lvl w:ilvl="7" w:tplc="8354BBB6">
      <w:numFmt w:val="decimal"/>
      <w:lvlText w:val=""/>
      <w:lvlJc w:val="left"/>
    </w:lvl>
    <w:lvl w:ilvl="8" w:tplc="AD42571E">
      <w:numFmt w:val="decimal"/>
      <w:lvlText w:val=""/>
      <w:lvlJc w:val="left"/>
    </w:lvl>
  </w:abstractNum>
  <w:abstractNum w:abstractNumId="173" w15:restartNumberingAfterBreak="0">
    <w:nsid w:val="00001A4E"/>
    <w:multiLevelType w:val="hybridMultilevel"/>
    <w:tmpl w:val="2E168614"/>
    <w:lvl w:ilvl="0" w:tplc="259C4058">
      <w:start w:val="5"/>
      <w:numFmt w:val="decimal"/>
      <w:lvlText w:val="%1."/>
      <w:lvlJc w:val="left"/>
    </w:lvl>
    <w:lvl w:ilvl="1" w:tplc="DFAC7D02">
      <w:start w:val="1"/>
      <w:numFmt w:val="lowerLetter"/>
      <w:lvlText w:val="%2."/>
      <w:lvlJc w:val="left"/>
    </w:lvl>
    <w:lvl w:ilvl="2" w:tplc="3118E2DC">
      <w:numFmt w:val="decimal"/>
      <w:lvlText w:val=""/>
      <w:lvlJc w:val="left"/>
    </w:lvl>
    <w:lvl w:ilvl="3" w:tplc="D53268A0">
      <w:numFmt w:val="decimal"/>
      <w:lvlText w:val=""/>
      <w:lvlJc w:val="left"/>
    </w:lvl>
    <w:lvl w:ilvl="4" w:tplc="58506AF0">
      <w:numFmt w:val="decimal"/>
      <w:lvlText w:val=""/>
      <w:lvlJc w:val="left"/>
    </w:lvl>
    <w:lvl w:ilvl="5" w:tplc="D878EDB6">
      <w:numFmt w:val="decimal"/>
      <w:lvlText w:val=""/>
      <w:lvlJc w:val="left"/>
    </w:lvl>
    <w:lvl w:ilvl="6" w:tplc="07409464">
      <w:numFmt w:val="decimal"/>
      <w:lvlText w:val=""/>
      <w:lvlJc w:val="left"/>
    </w:lvl>
    <w:lvl w:ilvl="7" w:tplc="60AAEBD6">
      <w:numFmt w:val="decimal"/>
      <w:lvlText w:val=""/>
      <w:lvlJc w:val="left"/>
    </w:lvl>
    <w:lvl w:ilvl="8" w:tplc="0D386042">
      <w:numFmt w:val="decimal"/>
      <w:lvlText w:val=""/>
      <w:lvlJc w:val="left"/>
    </w:lvl>
  </w:abstractNum>
  <w:abstractNum w:abstractNumId="174" w15:restartNumberingAfterBreak="0">
    <w:nsid w:val="00001A5C"/>
    <w:multiLevelType w:val="hybridMultilevel"/>
    <w:tmpl w:val="997CC392"/>
    <w:lvl w:ilvl="0" w:tplc="53961FA8">
      <w:start w:val="1"/>
      <w:numFmt w:val="decimal"/>
      <w:lvlText w:val="%1"/>
      <w:lvlJc w:val="left"/>
    </w:lvl>
    <w:lvl w:ilvl="1" w:tplc="DB42060E">
      <w:start w:val="2"/>
      <w:numFmt w:val="lowerLetter"/>
      <w:lvlText w:val="(%2)"/>
      <w:lvlJc w:val="left"/>
    </w:lvl>
    <w:lvl w:ilvl="2" w:tplc="909AF882">
      <w:start w:val="1"/>
      <w:numFmt w:val="decimal"/>
      <w:lvlText w:val="%3"/>
      <w:lvlJc w:val="left"/>
    </w:lvl>
    <w:lvl w:ilvl="3" w:tplc="33EC6172">
      <w:numFmt w:val="decimal"/>
      <w:lvlText w:val=""/>
      <w:lvlJc w:val="left"/>
    </w:lvl>
    <w:lvl w:ilvl="4" w:tplc="CF0A33F8">
      <w:numFmt w:val="decimal"/>
      <w:lvlText w:val=""/>
      <w:lvlJc w:val="left"/>
    </w:lvl>
    <w:lvl w:ilvl="5" w:tplc="0C742928">
      <w:numFmt w:val="decimal"/>
      <w:lvlText w:val=""/>
      <w:lvlJc w:val="left"/>
    </w:lvl>
    <w:lvl w:ilvl="6" w:tplc="6854C87E">
      <w:numFmt w:val="decimal"/>
      <w:lvlText w:val=""/>
      <w:lvlJc w:val="left"/>
    </w:lvl>
    <w:lvl w:ilvl="7" w:tplc="15CCA832">
      <w:numFmt w:val="decimal"/>
      <w:lvlText w:val=""/>
      <w:lvlJc w:val="left"/>
    </w:lvl>
    <w:lvl w:ilvl="8" w:tplc="0EB20E94">
      <w:numFmt w:val="decimal"/>
      <w:lvlText w:val=""/>
      <w:lvlJc w:val="left"/>
    </w:lvl>
  </w:abstractNum>
  <w:abstractNum w:abstractNumId="175" w15:restartNumberingAfterBreak="0">
    <w:nsid w:val="00001A6E"/>
    <w:multiLevelType w:val="hybridMultilevel"/>
    <w:tmpl w:val="938CF2AA"/>
    <w:lvl w:ilvl="0" w:tplc="167609A6">
      <w:start w:val="1"/>
      <w:numFmt w:val="decimal"/>
      <w:lvlText w:val="%1"/>
      <w:lvlJc w:val="left"/>
    </w:lvl>
    <w:lvl w:ilvl="1" w:tplc="A5BCC960">
      <w:start w:val="1"/>
      <w:numFmt w:val="decimal"/>
      <w:lvlText w:val="%2"/>
      <w:lvlJc w:val="left"/>
    </w:lvl>
    <w:lvl w:ilvl="2" w:tplc="0E52C268">
      <w:start w:val="1"/>
      <w:numFmt w:val="lowerLetter"/>
      <w:lvlText w:val="%3"/>
      <w:lvlJc w:val="left"/>
    </w:lvl>
    <w:lvl w:ilvl="3" w:tplc="9FECBFA0">
      <w:start w:val="2"/>
      <w:numFmt w:val="decimal"/>
      <w:lvlText w:val="%4."/>
      <w:lvlJc w:val="left"/>
    </w:lvl>
    <w:lvl w:ilvl="4" w:tplc="F5C2D91E">
      <w:start w:val="1"/>
      <w:numFmt w:val="lowerLetter"/>
      <w:lvlText w:val="%5."/>
      <w:lvlJc w:val="left"/>
    </w:lvl>
    <w:lvl w:ilvl="5" w:tplc="D72AF5C0">
      <w:numFmt w:val="decimal"/>
      <w:lvlText w:val=""/>
      <w:lvlJc w:val="left"/>
    </w:lvl>
    <w:lvl w:ilvl="6" w:tplc="6BD0A2BE">
      <w:numFmt w:val="decimal"/>
      <w:lvlText w:val=""/>
      <w:lvlJc w:val="left"/>
    </w:lvl>
    <w:lvl w:ilvl="7" w:tplc="0382FF24">
      <w:numFmt w:val="decimal"/>
      <w:lvlText w:val=""/>
      <w:lvlJc w:val="left"/>
    </w:lvl>
    <w:lvl w:ilvl="8" w:tplc="A0FEDDCE">
      <w:numFmt w:val="decimal"/>
      <w:lvlText w:val=""/>
      <w:lvlJc w:val="left"/>
    </w:lvl>
  </w:abstractNum>
  <w:abstractNum w:abstractNumId="176" w15:restartNumberingAfterBreak="0">
    <w:nsid w:val="00001A9D"/>
    <w:multiLevelType w:val="hybridMultilevel"/>
    <w:tmpl w:val="20083E5A"/>
    <w:lvl w:ilvl="0" w:tplc="8292A614">
      <w:start w:val="1"/>
      <w:numFmt w:val="decimal"/>
      <w:lvlText w:val="(%1)"/>
      <w:lvlJc w:val="left"/>
    </w:lvl>
    <w:lvl w:ilvl="1" w:tplc="D056EB56">
      <w:numFmt w:val="decimal"/>
      <w:lvlText w:val=""/>
      <w:lvlJc w:val="left"/>
    </w:lvl>
    <w:lvl w:ilvl="2" w:tplc="D808658E">
      <w:numFmt w:val="decimal"/>
      <w:lvlText w:val=""/>
      <w:lvlJc w:val="left"/>
    </w:lvl>
    <w:lvl w:ilvl="3" w:tplc="7C9612D6">
      <w:numFmt w:val="decimal"/>
      <w:lvlText w:val=""/>
      <w:lvlJc w:val="left"/>
    </w:lvl>
    <w:lvl w:ilvl="4" w:tplc="0D2E04F8">
      <w:numFmt w:val="decimal"/>
      <w:lvlText w:val=""/>
      <w:lvlJc w:val="left"/>
    </w:lvl>
    <w:lvl w:ilvl="5" w:tplc="ECF059F4">
      <w:numFmt w:val="decimal"/>
      <w:lvlText w:val=""/>
      <w:lvlJc w:val="left"/>
    </w:lvl>
    <w:lvl w:ilvl="6" w:tplc="83665C8E">
      <w:numFmt w:val="decimal"/>
      <w:lvlText w:val=""/>
      <w:lvlJc w:val="left"/>
    </w:lvl>
    <w:lvl w:ilvl="7" w:tplc="4B5ECC32">
      <w:numFmt w:val="decimal"/>
      <w:lvlText w:val=""/>
      <w:lvlJc w:val="left"/>
    </w:lvl>
    <w:lvl w:ilvl="8" w:tplc="45D20400">
      <w:numFmt w:val="decimal"/>
      <w:lvlText w:val=""/>
      <w:lvlJc w:val="left"/>
    </w:lvl>
  </w:abstractNum>
  <w:abstractNum w:abstractNumId="177" w15:restartNumberingAfterBreak="0">
    <w:nsid w:val="00001B0A"/>
    <w:multiLevelType w:val="hybridMultilevel"/>
    <w:tmpl w:val="7D4A0D46"/>
    <w:lvl w:ilvl="0" w:tplc="896C970E">
      <w:start w:val="4"/>
      <w:numFmt w:val="decimal"/>
      <w:lvlText w:val="%1."/>
      <w:lvlJc w:val="left"/>
    </w:lvl>
    <w:lvl w:ilvl="1" w:tplc="7B9EBF02">
      <w:numFmt w:val="decimal"/>
      <w:lvlText w:val=""/>
      <w:lvlJc w:val="left"/>
    </w:lvl>
    <w:lvl w:ilvl="2" w:tplc="2DBE2E76">
      <w:numFmt w:val="decimal"/>
      <w:lvlText w:val=""/>
      <w:lvlJc w:val="left"/>
    </w:lvl>
    <w:lvl w:ilvl="3" w:tplc="EE781CB8">
      <w:numFmt w:val="decimal"/>
      <w:lvlText w:val=""/>
      <w:lvlJc w:val="left"/>
    </w:lvl>
    <w:lvl w:ilvl="4" w:tplc="14F8B438">
      <w:numFmt w:val="decimal"/>
      <w:lvlText w:val=""/>
      <w:lvlJc w:val="left"/>
    </w:lvl>
    <w:lvl w:ilvl="5" w:tplc="434C4AAA">
      <w:numFmt w:val="decimal"/>
      <w:lvlText w:val=""/>
      <w:lvlJc w:val="left"/>
    </w:lvl>
    <w:lvl w:ilvl="6" w:tplc="C3262040">
      <w:numFmt w:val="decimal"/>
      <w:lvlText w:val=""/>
      <w:lvlJc w:val="left"/>
    </w:lvl>
    <w:lvl w:ilvl="7" w:tplc="C328777C">
      <w:numFmt w:val="decimal"/>
      <w:lvlText w:val=""/>
      <w:lvlJc w:val="left"/>
    </w:lvl>
    <w:lvl w:ilvl="8" w:tplc="6C2EBCA0">
      <w:numFmt w:val="decimal"/>
      <w:lvlText w:val=""/>
      <w:lvlJc w:val="left"/>
    </w:lvl>
  </w:abstractNum>
  <w:abstractNum w:abstractNumId="178" w15:restartNumberingAfterBreak="0">
    <w:nsid w:val="00001B3C"/>
    <w:multiLevelType w:val="hybridMultilevel"/>
    <w:tmpl w:val="4DCCED88"/>
    <w:lvl w:ilvl="0" w:tplc="37FC1A88">
      <w:start w:val="1"/>
      <w:numFmt w:val="lowerLetter"/>
      <w:lvlText w:val="(%1)"/>
      <w:lvlJc w:val="left"/>
    </w:lvl>
    <w:lvl w:ilvl="1" w:tplc="284E9A10">
      <w:start w:val="1"/>
      <w:numFmt w:val="decimal"/>
      <w:lvlText w:val="%2."/>
      <w:lvlJc w:val="left"/>
    </w:lvl>
    <w:lvl w:ilvl="2" w:tplc="F8009C3C">
      <w:start w:val="1"/>
      <w:numFmt w:val="lowerLetter"/>
      <w:lvlText w:val="%3"/>
      <w:lvlJc w:val="left"/>
    </w:lvl>
    <w:lvl w:ilvl="3" w:tplc="27FEAFAE">
      <w:start w:val="1"/>
      <w:numFmt w:val="lowerRoman"/>
      <w:lvlText w:val="%4"/>
      <w:lvlJc w:val="left"/>
    </w:lvl>
    <w:lvl w:ilvl="4" w:tplc="140C539C">
      <w:numFmt w:val="decimal"/>
      <w:lvlText w:val=""/>
      <w:lvlJc w:val="left"/>
    </w:lvl>
    <w:lvl w:ilvl="5" w:tplc="FC668FC8">
      <w:numFmt w:val="decimal"/>
      <w:lvlText w:val=""/>
      <w:lvlJc w:val="left"/>
    </w:lvl>
    <w:lvl w:ilvl="6" w:tplc="98BAC5C6">
      <w:numFmt w:val="decimal"/>
      <w:lvlText w:val=""/>
      <w:lvlJc w:val="left"/>
    </w:lvl>
    <w:lvl w:ilvl="7" w:tplc="E29AB0EA">
      <w:numFmt w:val="decimal"/>
      <w:lvlText w:val=""/>
      <w:lvlJc w:val="left"/>
    </w:lvl>
    <w:lvl w:ilvl="8" w:tplc="6C64A5C2">
      <w:numFmt w:val="decimal"/>
      <w:lvlText w:val=""/>
      <w:lvlJc w:val="left"/>
    </w:lvl>
  </w:abstractNum>
  <w:abstractNum w:abstractNumId="179" w15:restartNumberingAfterBreak="0">
    <w:nsid w:val="00001B53"/>
    <w:multiLevelType w:val="hybridMultilevel"/>
    <w:tmpl w:val="9A2ABBBC"/>
    <w:lvl w:ilvl="0" w:tplc="99C6A624">
      <w:start w:val="1"/>
      <w:numFmt w:val="decimal"/>
      <w:lvlText w:val="%1"/>
      <w:lvlJc w:val="left"/>
    </w:lvl>
    <w:lvl w:ilvl="1" w:tplc="27205098">
      <w:start w:val="1"/>
      <w:numFmt w:val="lowerLetter"/>
      <w:lvlText w:val="%2"/>
      <w:lvlJc w:val="left"/>
    </w:lvl>
    <w:lvl w:ilvl="2" w:tplc="5B1EEF96">
      <w:start w:val="3"/>
      <w:numFmt w:val="decimal"/>
      <w:lvlText w:val="%3."/>
      <w:lvlJc w:val="left"/>
    </w:lvl>
    <w:lvl w:ilvl="3" w:tplc="FA308F3C">
      <w:start w:val="1"/>
      <w:numFmt w:val="lowerLetter"/>
      <w:lvlText w:val="%4"/>
      <w:lvlJc w:val="left"/>
    </w:lvl>
    <w:lvl w:ilvl="4" w:tplc="83166D3A">
      <w:numFmt w:val="decimal"/>
      <w:lvlText w:val=""/>
      <w:lvlJc w:val="left"/>
    </w:lvl>
    <w:lvl w:ilvl="5" w:tplc="A4A6DE16">
      <w:numFmt w:val="decimal"/>
      <w:lvlText w:val=""/>
      <w:lvlJc w:val="left"/>
    </w:lvl>
    <w:lvl w:ilvl="6" w:tplc="76F651B8">
      <w:numFmt w:val="decimal"/>
      <w:lvlText w:val=""/>
      <w:lvlJc w:val="left"/>
    </w:lvl>
    <w:lvl w:ilvl="7" w:tplc="5E3CA254">
      <w:numFmt w:val="decimal"/>
      <w:lvlText w:val=""/>
      <w:lvlJc w:val="left"/>
    </w:lvl>
    <w:lvl w:ilvl="8" w:tplc="FEE2B450">
      <w:numFmt w:val="decimal"/>
      <w:lvlText w:val=""/>
      <w:lvlJc w:val="left"/>
    </w:lvl>
  </w:abstractNum>
  <w:abstractNum w:abstractNumId="180" w15:restartNumberingAfterBreak="0">
    <w:nsid w:val="00001B82"/>
    <w:multiLevelType w:val="hybridMultilevel"/>
    <w:tmpl w:val="76B476EA"/>
    <w:lvl w:ilvl="0" w:tplc="68D2D6F4">
      <w:start w:val="1"/>
      <w:numFmt w:val="decimal"/>
      <w:lvlText w:val="%1"/>
      <w:lvlJc w:val="left"/>
    </w:lvl>
    <w:lvl w:ilvl="1" w:tplc="009465C8">
      <w:start w:val="1"/>
      <w:numFmt w:val="lowerLetter"/>
      <w:lvlText w:val="%2"/>
      <w:lvlJc w:val="left"/>
    </w:lvl>
    <w:lvl w:ilvl="2" w:tplc="282478C4">
      <w:start w:val="310"/>
      <w:numFmt w:val="decimal"/>
      <w:lvlText w:val="%3"/>
      <w:lvlJc w:val="left"/>
    </w:lvl>
    <w:lvl w:ilvl="3" w:tplc="7BB69082">
      <w:start w:val="1"/>
      <w:numFmt w:val="lowerLetter"/>
      <w:lvlText w:val="%4"/>
      <w:lvlJc w:val="left"/>
    </w:lvl>
    <w:lvl w:ilvl="4" w:tplc="30EADE76">
      <w:numFmt w:val="decimal"/>
      <w:lvlText w:val=""/>
      <w:lvlJc w:val="left"/>
    </w:lvl>
    <w:lvl w:ilvl="5" w:tplc="16369026">
      <w:numFmt w:val="decimal"/>
      <w:lvlText w:val=""/>
      <w:lvlJc w:val="left"/>
    </w:lvl>
    <w:lvl w:ilvl="6" w:tplc="AD94877E">
      <w:numFmt w:val="decimal"/>
      <w:lvlText w:val=""/>
      <w:lvlJc w:val="left"/>
    </w:lvl>
    <w:lvl w:ilvl="7" w:tplc="52421150">
      <w:numFmt w:val="decimal"/>
      <w:lvlText w:val=""/>
      <w:lvlJc w:val="left"/>
    </w:lvl>
    <w:lvl w:ilvl="8" w:tplc="9E3276AA">
      <w:numFmt w:val="decimal"/>
      <w:lvlText w:val=""/>
      <w:lvlJc w:val="left"/>
    </w:lvl>
  </w:abstractNum>
  <w:abstractNum w:abstractNumId="181" w15:restartNumberingAfterBreak="0">
    <w:nsid w:val="00001BAD"/>
    <w:multiLevelType w:val="hybridMultilevel"/>
    <w:tmpl w:val="08481496"/>
    <w:lvl w:ilvl="0" w:tplc="29981220">
      <w:start w:val="1"/>
      <w:numFmt w:val="decimal"/>
      <w:lvlText w:val="%1"/>
      <w:lvlJc w:val="left"/>
    </w:lvl>
    <w:lvl w:ilvl="1" w:tplc="B2DC5414">
      <w:start w:val="4"/>
      <w:numFmt w:val="lowerLetter"/>
      <w:lvlText w:val="(%2)"/>
      <w:lvlJc w:val="left"/>
    </w:lvl>
    <w:lvl w:ilvl="2" w:tplc="1466E864">
      <w:numFmt w:val="decimal"/>
      <w:lvlText w:val=""/>
      <w:lvlJc w:val="left"/>
    </w:lvl>
    <w:lvl w:ilvl="3" w:tplc="CF06B814">
      <w:numFmt w:val="decimal"/>
      <w:lvlText w:val=""/>
      <w:lvlJc w:val="left"/>
    </w:lvl>
    <w:lvl w:ilvl="4" w:tplc="8482ECC8">
      <w:numFmt w:val="decimal"/>
      <w:lvlText w:val=""/>
      <w:lvlJc w:val="left"/>
    </w:lvl>
    <w:lvl w:ilvl="5" w:tplc="6D5016CA">
      <w:numFmt w:val="decimal"/>
      <w:lvlText w:val=""/>
      <w:lvlJc w:val="left"/>
    </w:lvl>
    <w:lvl w:ilvl="6" w:tplc="AF4A1552">
      <w:numFmt w:val="decimal"/>
      <w:lvlText w:val=""/>
      <w:lvlJc w:val="left"/>
    </w:lvl>
    <w:lvl w:ilvl="7" w:tplc="2932D718">
      <w:numFmt w:val="decimal"/>
      <w:lvlText w:val=""/>
      <w:lvlJc w:val="left"/>
    </w:lvl>
    <w:lvl w:ilvl="8" w:tplc="2C181ED4">
      <w:numFmt w:val="decimal"/>
      <w:lvlText w:val=""/>
      <w:lvlJc w:val="left"/>
    </w:lvl>
  </w:abstractNum>
  <w:abstractNum w:abstractNumId="182" w15:restartNumberingAfterBreak="0">
    <w:nsid w:val="00001BD8"/>
    <w:multiLevelType w:val="hybridMultilevel"/>
    <w:tmpl w:val="10B8BB86"/>
    <w:lvl w:ilvl="0" w:tplc="858E1D8C">
      <w:start w:val="2"/>
      <w:numFmt w:val="lowerLetter"/>
      <w:lvlText w:val="(%1)"/>
      <w:lvlJc w:val="left"/>
    </w:lvl>
    <w:lvl w:ilvl="1" w:tplc="FFC868EA">
      <w:start w:val="1"/>
      <w:numFmt w:val="decimal"/>
      <w:lvlText w:val="%2."/>
      <w:lvlJc w:val="left"/>
    </w:lvl>
    <w:lvl w:ilvl="2" w:tplc="6E6A4AF2">
      <w:numFmt w:val="decimal"/>
      <w:lvlText w:val=""/>
      <w:lvlJc w:val="left"/>
    </w:lvl>
    <w:lvl w:ilvl="3" w:tplc="9C5AA60A">
      <w:numFmt w:val="decimal"/>
      <w:lvlText w:val=""/>
      <w:lvlJc w:val="left"/>
    </w:lvl>
    <w:lvl w:ilvl="4" w:tplc="5EEE3372">
      <w:numFmt w:val="decimal"/>
      <w:lvlText w:val=""/>
      <w:lvlJc w:val="left"/>
    </w:lvl>
    <w:lvl w:ilvl="5" w:tplc="FD741536">
      <w:numFmt w:val="decimal"/>
      <w:lvlText w:val=""/>
      <w:lvlJc w:val="left"/>
    </w:lvl>
    <w:lvl w:ilvl="6" w:tplc="1250D6EC">
      <w:numFmt w:val="decimal"/>
      <w:lvlText w:val=""/>
      <w:lvlJc w:val="left"/>
    </w:lvl>
    <w:lvl w:ilvl="7" w:tplc="BD2254DC">
      <w:numFmt w:val="decimal"/>
      <w:lvlText w:val=""/>
      <w:lvlJc w:val="left"/>
    </w:lvl>
    <w:lvl w:ilvl="8" w:tplc="D3F27560">
      <w:numFmt w:val="decimal"/>
      <w:lvlText w:val=""/>
      <w:lvlJc w:val="left"/>
    </w:lvl>
  </w:abstractNum>
  <w:abstractNum w:abstractNumId="183" w15:restartNumberingAfterBreak="0">
    <w:nsid w:val="00001BF0"/>
    <w:multiLevelType w:val="hybridMultilevel"/>
    <w:tmpl w:val="8D522EEC"/>
    <w:lvl w:ilvl="0" w:tplc="9B34A216">
      <w:start w:val="1"/>
      <w:numFmt w:val="decimal"/>
      <w:lvlText w:val="%1"/>
      <w:lvlJc w:val="left"/>
    </w:lvl>
    <w:lvl w:ilvl="1" w:tplc="BDE458DE">
      <w:start w:val="1"/>
      <w:numFmt w:val="lowerLetter"/>
      <w:lvlText w:val="%2"/>
      <w:lvlJc w:val="left"/>
    </w:lvl>
    <w:lvl w:ilvl="2" w:tplc="D89A0DFE">
      <w:start w:val="22"/>
      <w:numFmt w:val="decimal"/>
      <w:lvlText w:val="%3."/>
      <w:lvlJc w:val="left"/>
    </w:lvl>
    <w:lvl w:ilvl="3" w:tplc="1A7EAE7E">
      <w:start w:val="1"/>
      <w:numFmt w:val="lowerLetter"/>
      <w:lvlText w:val="%4."/>
      <w:lvlJc w:val="left"/>
    </w:lvl>
    <w:lvl w:ilvl="4" w:tplc="8FCC0910">
      <w:numFmt w:val="decimal"/>
      <w:lvlText w:val=""/>
      <w:lvlJc w:val="left"/>
    </w:lvl>
    <w:lvl w:ilvl="5" w:tplc="13C82CCA">
      <w:numFmt w:val="decimal"/>
      <w:lvlText w:val=""/>
      <w:lvlJc w:val="left"/>
    </w:lvl>
    <w:lvl w:ilvl="6" w:tplc="A8847180">
      <w:numFmt w:val="decimal"/>
      <w:lvlText w:val=""/>
      <w:lvlJc w:val="left"/>
    </w:lvl>
    <w:lvl w:ilvl="7" w:tplc="C5EC6FD0">
      <w:numFmt w:val="decimal"/>
      <w:lvlText w:val=""/>
      <w:lvlJc w:val="left"/>
    </w:lvl>
    <w:lvl w:ilvl="8" w:tplc="153ABCFE">
      <w:numFmt w:val="decimal"/>
      <w:lvlText w:val=""/>
      <w:lvlJc w:val="left"/>
    </w:lvl>
  </w:abstractNum>
  <w:abstractNum w:abstractNumId="184" w15:restartNumberingAfterBreak="0">
    <w:nsid w:val="00001C04"/>
    <w:multiLevelType w:val="hybridMultilevel"/>
    <w:tmpl w:val="5C0CB38C"/>
    <w:lvl w:ilvl="0" w:tplc="85F0F1E6">
      <w:start w:val="1"/>
      <w:numFmt w:val="bullet"/>
      <w:lvlText w:val="*"/>
      <w:lvlJc w:val="left"/>
      <w:rPr>
        <w:vertAlign w:val="superscript"/>
      </w:rPr>
    </w:lvl>
    <w:lvl w:ilvl="1" w:tplc="FE5E0734">
      <w:numFmt w:val="decimal"/>
      <w:lvlText w:val=""/>
      <w:lvlJc w:val="left"/>
    </w:lvl>
    <w:lvl w:ilvl="2" w:tplc="9A646C1C">
      <w:numFmt w:val="decimal"/>
      <w:lvlText w:val=""/>
      <w:lvlJc w:val="left"/>
    </w:lvl>
    <w:lvl w:ilvl="3" w:tplc="F04AF1A4">
      <w:numFmt w:val="decimal"/>
      <w:lvlText w:val=""/>
      <w:lvlJc w:val="left"/>
    </w:lvl>
    <w:lvl w:ilvl="4" w:tplc="E114570C">
      <w:numFmt w:val="decimal"/>
      <w:lvlText w:val=""/>
      <w:lvlJc w:val="left"/>
    </w:lvl>
    <w:lvl w:ilvl="5" w:tplc="DDFEF004">
      <w:numFmt w:val="decimal"/>
      <w:lvlText w:val=""/>
      <w:lvlJc w:val="left"/>
    </w:lvl>
    <w:lvl w:ilvl="6" w:tplc="5CF4853A">
      <w:numFmt w:val="decimal"/>
      <w:lvlText w:val=""/>
      <w:lvlJc w:val="left"/>
    </w:lvl>
    <w:lvl w:ilvl="7" w:tplc="A9FA848C">
      <w:numFmt w:val="decimal"/>
      <w:lvlText w:val=""/>
      <w:lvlJc w:val="left"/>
    </w:lvl>
    <w:lvl w:ilvl="8" w:tplc="51E084F6">
      <w:numFmt w:val="decimal"/>
      <w:lvlText w:val=""/>
      <w:lvlJc w:val="left"/>
    </w:lvl>
  </w:abstractNum>
  <w:abstractNum w:abstractNumId="185" w15:restartNumberingAfterBreak="0">
    <w:nsid w:val="00001C11"/>
    <w:multiLevelType w:val="hybridMultilevel"/>
    <w:tmpl w:val="340C3D8A"/>
    <w:lvl w:ilvl="0" w:tplc="4A7E5352">
      <w:start w:val="1"/>
      <w:numFmt w:val="decimal"/>
      <w:lvlText w:val="%1"/>
      <w:lvlJc w:val="left"/>
    </w:lvl>
    <w:lvl w:ilvl="1" w:tplc="F9141B08">
      <w:start w:val="3"/>
      <w:numFmt w:val="lowerLetter"/>
      <w:lvlText w:val="(%2)"/>
      <w:lvlJc w:val="left"/>
    </w:lvl>
    <w:lvl w:ilvl="2" w:tplc="5372AF48">
      <w:numFmt w:val="decimal"/>
      <w:lvlText w:val=""/>
      <w:lvlJc w:val="left"/>
    </w:lvl>
    <w:lvl w:ilvl="3" w:tplc="E3D4C916">
      <w:numFmt w:val="decimal"/>
      <w:lvlText w:val=""/>
      <w:lvlJc w:val="left"/>
    </w:lvl>
    <w:lvl w:ilvl="4" w:tplc="0ACA56AA">
      <w:numFmt w:val="decimal"/>
      <w:lvlText w:val=""/>
      <w:lvlJc w:val="left"/>
    </w:lvl>
    <w:lvl w:ilvl="5" w:tplc="4BB8336C">
      <w:numFmt w:val="decimal"/>
      <w:lvlText w:val=""/>
      <w:lvlJc w:val="left"/>
    </w:lvl>
    <w:lvl w:ilvl="6" w:tplc="019874D6">
      <w:numFmt w:val="decimal"/>
      <w:lvlText w:val=""/>
      <w:lvlJc w:val="left"/>
    </w:lvl>
    <w:lvl w:ilvl="7" w:tplc="BEEE270E">
      <w:numFmt w:val="decimal"/>
      <w:lvlText w:val=""/>
      <w:lvlJc w:val="left"/>
    </w:lvl>
    <w:lvl w:ilvl="8" w:tplc="A0488CC6">
      <w:numFmt w:val="decimal"/>
      <w:lvlText w:val=""/>
      <w:lvlJc w:val="left"/>
    </w:lvl>
  </w:abstractNum>
  <w:abstractNum w:abstractNumId="186" w15:restartNumberingAfterBreak="0">
    <w:nsid w:val="00001C28"/>
    <w:multiLevelType w:val="hybridMultilevel"/>
    <w:tmpl w:val="F1D4F846"/>
    <w:lvl w:ilvl="0" w:tplc="5AB09EAA">
      <w:start w:val="1"/>
      <w:numFmt w:val="lowerLetter"/>
      <w:lvlText w:val="%1"/>
      <w:lvlJc w:val="left"/>
    </w:lvl>
    <w:lvl w:ilvl="1" w:tplc="8AF2CD54">
      <w:start w:val="2"/>
      <w:numFmt w:val="decimal"/>
      <w:lvlText w:val="%2."/>
      <w:lvlJc w:val="left"/>
    </w:lvl>
    <w:lvl w:ilvl="2" w:tplc="9CD07A82">
      <w:start w:val="1"/>
      <w:numFmt w:val="lowerLetter"/>
      <w:lvlText w:val="%3."/>
      <w:lvlJc w:val="left"/>
    </w:lvl>
    <w:lvl w:ilvl="3" w:tplc="5FD02EBE">
      <w:numFmt w:val="decimal"/>
      <w:lvlText w:val=""/>
      <w:lvlJc w:val="left"/>
    </w:lvl>
    <w:lvl w:ilvl="4" w:tplc="7772D810">
      <w:numFmt w:val="decimal"/>
      <w:lvlText w:val=""/>
      <w:lvlJc w:val="left"/>
    </w:lvl>
    <w:lvl w:ilvl="5" w:tplc="95E4E1CE">
      <w:numFmt w:val="decimal"/>
      <w:lvlText w:val=""/>
      <w:lvlJc w:val="left"/>
    </w:lvl>
    <w:lvl w:ilvl="6" w:tplc="2DCEC4C0">
      <w:numFmt w:val="decimal"/>
      <w:lvlText w:val=""/>
      <w:lvlJc w:val="left"/>
    </w:lvl>
    <w:lvl w:ilvl="7" w:tplc="941673F8">
      <w:numFmt w:val="decimal"/>
      <w:lvlText w:val=""/>
      <w:lvlJc w:val="left"/>
    </w:lvl>
    <w:lvl w:ilvl="8" w:tplc="822C434A">
      <w:numFmt w:val="decimal"/>
      <w:lvlText w:val=""/>
      <w:lvlJc w:val="left"/>
    </w:lvl>
  </w:abstractNum>
  <w:abstractNum w:abstractNumId="187" w15:restartNumberingAfterBreak="0">
    <w:nsid w:val="00001C3D"/>
    <w:multiLevelType w:val="hybridMultilevel"/>
    <w:tmpl w:val="979A5EF0"/>
    <w:lvl w:ilvl="0" w:tplc="95EAAA5E">
      <w:start w:val="2"/>
      <w:numFmt w:val="lowerLetter"/>
      <w:lvlText w:val="%1."/>
      <w:lvlJc w:val="left"/>
    </w:lvl>
    <w:lvl w:ilvl="1" w:tplc="749ACF66">
      <w:numFmt w:val="decimal"/>
      <w:lvlText w:val=""/>
      <w:lvlJc w:val="left"/>
    </w:lvl>
    <w:lvl w:ilvl="2" w:tplc="1E306E86">
      <w:numFmt w:val="decimal"/>
      <w:lvlText w:val=""/>
      <w:lvlJc w:val="left"/>
    </w:lvl>
    <w:lvl w:ilvl="3" w:tplc="7EBC5D7A">
      <w:numFmt w:val="decimal"/>
      <w:lvlText w:val=""/>
      <w:lvlJc w:val="left"/>
    </w:lvl>
    <w:lvl w:ilvl="4" w:tplc="9620BD7E">
      <w:numFmt w:val="decimal"/>
      <w:lvlText w:val=""/>
      <w:lvlJc w:val="left"/>
    </w:lvl>
    <w:lvl w:ilvl="5" w:tplc="112ABEAC">
      <w:numFmt w:val="decimal"/>
      <w:lvlText w:val=""/>
      <w:lvlJc w:val="left"/>
    </w:lvl>
    <w:lvl w:ilvl="6" w:tplc="71346400">
      <w:numFmt w:val="decimal"/>
      <w:lvlText w:val=""/>
      <w:lvlJc w:val="left"/>
    </w:lvl>
    <w:lvl w:ilvl="7" w:tplc="EE9ECC20">
      <w:numFmt w:val="decimal"/>
      <w:lvlText w:val=""/>
      <w:lvlJc w:val="left"/>
    </w:lvl>
    <w:lvl w:ilvl="8" w:tplc="744C1C9E">
      <w:numFmt w:val="decimal"/>
      <w:lvlText w:val=""/>
      <w:lvlJc w:val="left"/>
    </w:lvl>
  </w:abstractNum>
  <w:abstractNum w:abstractNumId="188" w15:restartNumberingAfterBreak="0">
    <w:nsid w:val="00001C3F"/>
    <w:multiLevelType w:val="hybridMultilevel"/>
    <w:tmpl w:val="6F188DCA"/>
    <w:lvl w:ilvl="0" w:tplc="2ABCD9E6">
      <w:start w:val="1"/>
      <w:numFmt w:val="lowerLetter"/>
      <w:lvlText w:val="(%1)"/>
      <w:lvlJc w:val="left"/>
    </w:lvl>
    <w:lvl w:ilvl="1" w:tplc="EBB05F38">
      <w:numFmt w:val="decimal"/>
      <w:lvlText w:val=""/>
      <w:lvlJc w:val="left"/>
    </w:lvl>
    <w:lvl w:ilvl="2" w:tplc="82929144">
      <w:numFmt w:val="decimal"/>
      <w:lvlText w:val=""/>
      <w:lvlJc w:val="left"/>
    </w:lvl>
    <w:lvl w:ilvl="3" w:tplc="57D86828">
      <w:numFmt w:val="decimal"/>
      <w:lvlText w:val=""/>
      <w:lvlJc w:val="left"/>
    </w:lvl>
    <w:lvl w:ilvl="4" w:tplc="67C6A898">
      <w:numFmt w:val="decimal"/>
      <w:lvlText w:val=""/>
      <w:lvlJc w:val="left"/>
    </w:lvl>
    <w:lvl w:ilvl="5" w:tplc="3F1C868C">
      <w:numFmt w:val="decimal"/>
      <w:lvlText w:val=""/>
      <w:lvlJc w:val="left"/>
    </w:lvl>
    <w:lvl w:ilvl="6" w:tplc="45EAA84C">
      <w:numFmt w:val="decimal"/>
      <w:lvlText w:val=""/>
      <w:lvlJc w:val="left"/>
    </w:lvl>
    <w:lvl w:ilvl="7" w:tplc="1FBA950E">
      <w:numFmt w:val="decimal"/>
      <w:lvlText w:val=""/>
      <w:lvlJc w:val="left"/>
    </w:lvl>
    <w:lvl w:ilvl="8" w:tplc="A5E27D0A">
      <w:numFmt w:val="decimal"/>
      <w:lvlText w:val=""/>
      <w:lvlJc w:val="left"/>
    </w:lvl>
  </w:abstractNum>
  <w:abstractNum w:abstractNumId="189" w15:restartNumberingAfterBreak="0">
    <w:nsid w:val="00001C48"/>
    <w:multiLevelType w:val="hybridMultilevel"/>
    <w:tmpl w:val="123CFAC8"/>
    <w:lvl w:ilvl="0" w:tplc="59A452FC">
      <w:start w:val="1"/>
      <w:numFmt w:val="bullet"/>
      <w:lvlText w:val="•"/>
      <w:lvlJc w:val="left"/>
    </w:lvl>
    <w:lvl w:ilvl="1" w:tplc="1CD452B2">
      <w:numFmt w:val="decimal"/>
      <w:lvlText w:val=""/>
      <w:lvlJc w:val="left"/>
    </w:lvl>
    <w:lvl w:ilvl="2" w:tplc="D4BA8228">
      <w:numFmt w:val="decimal"/>
      <w:lvlText w:val=""/>
      <w:lvlJc w:val="left"/>
    </w:lvl>
    <w:lvl w:ilvl="3" w:tplc="A22274A0">
      <w:numFmt w:val="decimal"/>
      <w:lvlText w:val=""/>
      <w:lvlJc w:val="left"/>
    </w:lvl>
    <w:lvl w:ilvl="4" w:tplc="8EC6A566">
      <w:numFmt w:val="decimal"/>
      <w:lvlText w:val=""/>
      <w:lvlJc w:val="left"/>
    </w:lvl>
    <w:lvl w:ilvl="5" w:tplc="D85CBDA2">
      <w:numFmt w:val="decimal"/>
      <w:lvlText w:val=""/>
      <w:lvlJc w:val="left"/>
    </w:lvl>
    <w:lvl w:ilvl="6" w:tplc="6604445A">
      <w:numFmt w:val="decimal"/>
      <w:lvlText w:val=""/>
      <w:lvlJc w:val="left"/>
    </w:lvl>
    <w:lvl w:ilvl="7" w:tplc="AAFAACE2">
      <w:numFmt w:val="decimal"/>
      <w:lvlText w:val=""/>
      <w:lvlJc w:val="left"/>
    </w:lvl>
    <w:lvl w:ilvl="8" w:tplc="D9AE7B9A">
      <w:numFmt w:val="decimal"/>
      <w:lvlText w:val=""/>
      <w:lvlJc w:val="left"/>
    </w:lvl>
  </w:abstractNum>
  <w:abstractNum w:abstractNumId="190" w15:restartNumberingAfterBreak="0">
    <w:nsid w:val="00001C63"/>
    <w:multiLevelType w:val="hybridMultilevel"/>
    <w:tmpl w:val="9B662CEC"/>
    <w:lvl w:ilvl="0" w:tplc="E7205C0A">
      <w:start w:val="1"/>
      <w:numFmt w:val="lowerLetter"/>
      <w:lvlText w:val="%1."/>
      <w:lvlJc w:val="left"/>
    </w:lvl>
    <w:lvl w:ilvl="1" w:tplc="601C9CEA">
      <w:numFmt w:val="decimal"/>
      <w:lvlText w:val=""/>
      <w:lvlJc w:val="left"/>
    </w:lvl>
    <w:lvl w:ilvl="2" w:tplc="5B9CC894">
      <w:numFmt w:val="decimal"/>
      <w:lvlText w:val=""/>
      <w:lvlJc w:val="left"/>
    </w:lvl>
    <w:lvl w:ilvl="3" w:tplc="8BB638CE">
      <w:numFmt w:val="decimal"/>
      <w:lvlText w:val=""/>
      <w:lvlJc w:val="left"/>
    </w:lvl>
    <w:lvl w:ilvl="4" w:tplc="965E0674">
      <w:numFmt w:val="decimal"/>
      <w:lvlText w:val=""/>
      <w:lvlJc w:val="left"/>
    </w:lvl>
    <w:lvl w:ilvl="5" w:tplc="F0D81204">
      <w:numFmt w:val="decimal"/>
      <w:lvlText w:val=""/>
      <w:lvlJc w:val="left"/>
    </w:lvl>
    <w:lvl w:ilvl="6" w:tplc="A7AA96A4">
      <w:numFmt w:val="decimal"/>
      <w:lvlText w:val=""/>
      <w:lvlJc w:val="left"/>
    </w:lvl>
    <w:lvl w:ilvl="7" w:tplc="95AED702">
      <w:numFmt w:val="decimal"/>
      <w:lvlText w:val=""/>
      <w:lvlJc w:val="left"/>
    </w:lvl>
    <w:lvl w:ilvl="8" w:tplc="2A4026D6">
      <w:numFmt w:val="decimal"/>
      <w:lvlText w:val=""/>
      <w:lvlJc w:val="left"/>
    </w:lvl>
  </w:abstractNum>
  <w:abstractNum w:abstractNumId="191" w15:restartNumberingAfterBreak="0">
    <w:nsid w:val="00001C6E"/>
    <w:multiLevelType w:val="hybridMultilevel"/>
    <w:tmpl w:val="3294E650"/>
    <w:lvl w:ilvl="0" w:tplc="33EA1DC6">
      <w:start w:val="4"/>
      <w:numFmt w:val="decimal"/>
      <w:lvlText w:val="%1."/>
      <w:lvlJc w:val="left"/>
    </w:lvl>
    <w:lvl w:ilvl="1" w:tplc="B9D24C32">
      <w:start w:val="1"/>
      <w:numFmt w:val="lowerLetter"/>
      <w:lvlText w:val="%2."/>
      <w:lvlJc w:val="left"/>
    </w:lvl>
    <w:lvl w:ilvl="2" w:tplc="874C0FF0">
      <w:start w:val="1"/>
      <w:numFmt w:val="lowerRoman"/>
      <w:lvlText w:val="%3."/>
      <w:lvlJc w:val="left"/>
    </w:lvl>
    <w:lvl w:ilvl="3" w:tplc="ACEC5FD8">
      <w:numFmt w:val="decimal"/>
      <w:lvlText w:val=""/>
      <w:lvlJc w:val="left"/>
    </w:lvl>
    <w:lvl w:ilvl="4" w:tplc="3E34B328">
      <w:numFmt w:val="decimal"/>
      <w:lvlText w:val=""/>
      <w:lvlJc w:val="left"/>
    </w:lvl>
    <w:lvl w:ilvl="5" w:tplc="84509494">
      <w:numFmt w:val="decimal"/>
      <w:lvlText w:val=""/>
      <w:lvlJc w:val="left"/>
    </w:lvl>
    <w:lvl w:ilvl="6" w:tplc="8ED28FC2">
      <w:numFmt w:val="decimal"/>
      <w:lvlText w:val=""/>
      <w:lvlJc w:val="left"/>
    </w:lvl>
    <w:lvl w:ilvl="7" w:tplc="6B9CB766">
      <w:numFmt w:val="decimal"/>
      <w:lvlText w:val=""/>
      <w:lvlJc w:val="left"/>
    </w:lvl>
    <w:lvl w:ilvl="8" w:tplc="6122C00C">
      <w:numFmt w:val="decimal"/>
      <w:lvlText w:val=""/>
      <w:lvlJc w:val="left"/>
    </w:lvl>
  </w:abstractNum>
  <w:abstractNum w:abstractNumId="192" w15:restartNumberingAfterBreak="0">
    <w:nsid w:val="00001C80"/>
    <w:multiLevelType w:val="hybridMultilevel"/>
    <w:tmpl w:val="360277B4"/>
    <w:lvl w:ilvl="0" w:tplc="B6BE298A">
      <w:start w:val="1"/>
      <w:numFmt w:val="decimal"/>
      <w:lvlText w:val="(%1)"/>
      <w:lvlJc w:val="left"/>
    </w:lvl>
    <w:lvl w:ilvl="1" w:tplc="E1C02350">
      <w:numFmt w:val="decimal"/>
      <w:lvlText w:val=""/>
      <w:lvlJc w:val="left"/>
    </w:lvl>
    <w:lvl w:ilvl="2" w:tplc="00C4D5D6">
      <w:numFmt w:val="decimal"/>
      <w:lvlText w:val=""/>
      <w:lvlJc w:val="left"/>
    </w:lvl>
    <w:lvl w:ilvl="3" w:tplc="EA901C0E">
      <w:numFmt w:val="decimal"/>
      <w:lvlText w:val=""/>
      <w:lvlJc w:val="left"/>
    </w:lvl>
    <w:lvl w:ilvl="4" w:tplc="A5C62818">
      <w:numFmt w:val="decimal"/>
      <w:lvlText w:val=""/>
      <w:lvlJc w:val="left"/>
    </w:lvl>
    <w:lvl w:ilvl="5" w:tplc="A746D4BE">
      <w:numFmt w:val="decimal"/>
      <w:lvlText w:val=""/>
      <w:lvlJc w:val="left"/>
    </w:lvl>
    <w:lvl w:ilvl="6" w:tplc="0BA4FF42">
      <w:numFmt w:val="decimal"/>
      <w:lvlText w:val=""/>
      <w:lvlJc w:val="left"/>
    </w:lvl>
    <w:lvl w:ilvl="7" w:tplc="12164756">
      <w:numFmt w:val="decimal"/>
      <w:lvlText w:val=""/>
      <w:lvlJc w:val="left"/>
    </w:lvl>
    <w:lvl w:ilvl="8" w:tplc="1BFE465C">
      <w:numFmt w:val="decimal"/>
      <w:lvlText w:val=""/>
      <w:lvlJc w:val="left"/>
    </w:lvl>
  </w:abstractNum>
  <w:abstractNum w:abstractNumId="193" w15:restartNumberingAfterBreak="0">
    <w:nsid w:val="00001CA0"/>
    <w:multiLevelType w:val="hybridMultilevel"/>
    <w:tmpl w:val="7EF4F6E6"/>
    <w:lvl w:ilvl="0" w:tplc="86A612CA">
      <w:start w:val="1"/>
      <w:numFmt w:val="decimal"/>
      <w:lvlText w:val="%1"/>
      <w:lvlJc w:val="left"/>
    </w:lvl>
    <w:lvl w:ilvl="1" w:tplc="0F8608A8">
      <w:numFmt w:val="decimal"/>
      <w:lvlText w:val=""/>
      <w:lvlJc w:val="left"/>
    </w:lvl>
    <w:lvl w:ilvl="2" w:tplc="569ABB1C">
      <w:numFmt w:val="decimal"/>
      <w:lvlText w:val=""/>
      <w:lvlJc w:val="left"/>
    </w:lvl>
    <w:lvl w:ilvl="3" w:tplc="D05298C6">
      <w:numFmt w:val="decimal"/>
      <w:lvlText w:val=""/>
      <w:lvlJc w:val="left"/>
    </w:lvl>
    <w:lvl w:ilvl="4" w:tplc="93C805C4">
      <w:numFmt w:val="decimal"/>
      <w:lvlText w:val=""/>
      <w:lvlJc w:val="left"/>
    </w:lvl>
    <w:lvl w:ilvl="5" w:tplc="910ADA26">
      <w:numFmt w:val="decimal"/>
      <w:lvlText w:val=""/>
      <w:lvlJc w:val="left"/>
    </w:lvl>
    <w:lvl w:ilvl="6" w:tplc="5BAAEF92">
      <w:numFmt w:val="decimal"/>
      <w:lvlText w:val=""/>
      <w:lvlJc w:val="left"/>
    </w:lvl>
    <w:lvl w:ilvl="7" w:tplc="4F0023A6">
      <w:numFmt w:val="decimal"/>
      <w:lvlText w:val=""/>
      <w:lvlJc w:val="left"/>
    </w:lvl>
    <w:lvl w:ilvl="8" w:tplc="E618A596">
      <w:numFmt w:val="decimal"/>
      <w:lvlText w:val=""/>
      <w:lvlJc w:val="left"/>
    </w:lvl>
  </w:abstractNum>
  <w:abstractNum w:abstractNumId="194" w15:restartNumberingAfterBreak="0">
    <w:nsid w:val="00001CBB"/>
    <w:multiLevelType w:val="hybridMultilevel"/>
    <w:tmpl w:val="3F1223BA"/>
    <w:lvl w:ilvl="0" w:tplc="FC8E81A0">
      <w:start w:val="1"/>
      <w:numFmt w:val="decimal"/>
      <w:lvlText w:val="%1"/>
      <w:lvlJc w:val="left"/>
    </w:lvl>
    <w:lvl w:ilvl="1" w:tplc="5CF802F6">
      <w:start w:val="4"/>
      <w:numFmt w:val="lowerLetter"/>
      <w:lvlText w:val="(%2)"/>
      <w:lvlJc w:val="left"/>
    </w:lvl>
    <w:lvl w:ilvl="2" w:tplc="FF12F6A4">
      <w:start w:val="1"/>
      <w:numFmt w:val="decimal"/>
      <w:lvlText w:val="%3"/>
      <w:lvlJc w:val="left"/>
    </w:lvl>
    <w:lvl w:ilvl="3" w:tplc="7CF2F01A">
      <w:numFmt w:val="decimal"/>
      <w:lvlText w:val=""/>
      <w:lvlJc w:val="left"/>
    </w:lvl>
    <w:lvl w:ilvl="4" w:tplc="BBD6871E">
      <w:numFmt w:val="decimal"/>
      <w:lvlText w:val=""/>
      <w:lvlJc w:val="left"/>
    </w:lvl>
    <w:lvl w:ilvl="5" w:tplc="08FCFDF6">
      <w:numFmt w:val="decimal"/>
      <w:lvlText w:val=""/>
      <w:lvlJc w:val="left"/>
    </w:lvl>
    <w:lvl w:ilvl="6" w:tplc="643CD642">
      <w:numFmt w:val="decimal"/>
      <w:lvlText w:val=""/>
      <w:lvlJc w:val="left"/>
    </w:lvl>
    <w:lvl w:ilvl="7" w:tplc="4F641AD0">
      <w:numFmt w:val="decimal"/>
      <w:lvlText w:val=""/>
      <w:lvlJc w:val="left"/>
    </w:lvl>
    <w:lvl w:ilvl="8" w:tplc="DE2CF2B0">
      <w:numFmt w:val="decimal"/>
      <w:lvlText w:val=""/>
      <w:lvlJc w:val="left"/>
    </w:lvl>
  </w:abstractNum>
  <w:abstractNum w:abstractNumId="195" w15:restartNumberingAfterBreak="0">
    <w:nsid w:val="00001CCC"/>
    <w:multiLevelType w:val="hybridMultilevel"/>
    <w:tmpl w:val="C2108594"/>
    <w:lvl w:ilvl="0" w:tplc="1A0ECF6A">
      <w:start w:val="2"/>
      <w:numFmt w:val="lowerLetter"/>
      <w:lvlText w:val="(%1)"/>
      <w:lvlJc w:val="left"/>
    </w:lvl>
    <w:lvl w:ilvl="1" w:tplc="B15CC262">
      <w:numFmt w:val="decimal"/>
      <w:lvlText w:val=""/>
      <w:lvlJc w:val="left"/>
    </w:lvl>
    <w:lvl w:ilvl="2" w:tplc="D0BC752E">
      <w:numFmt w:val="decimal"/>
      <w:lvlText w:val=""/>
      <w:lvlJc w:val="left"/>
    </w:lvl>
    <w:lvl w:ilvl="3" w:tplc="C980C39E">
      <w:numFmt w:val="decimal"/>
      <w:lvlText w:val=""/>
      <w:lvlJc w:val="left"/>
    </w:lvl>
    <w:lvl w:ilvl="4" w:tplc="21787216">
      <w:numFmt w:val="decimal"/>
      <w:lvlText w:val=""/>
      <w:lvlJc w:val="left"/>
    </w:lvl>
    <w:lvl w:ilvl="5" w:tplc="1A660EBC">
      <w:numFmt w:val="decimal"/>
      <w:lvlText w:val=""/>
      <w:lvlJc w:val="left"/>
    </w:lvl>
    <w:lvl w:ilvl="6" w:tplc="B9768F68">
      <w:numFmt w:val="decimal"/>
      <w:lvlText w:val=""/>
      <w:lvlJc w:val="left"/>
    </w:lvl>
    <w:lvl w:ilvl="7" w:tplc="327E6FF2">
      <w:numFmt w:val="decimal"/>
      <w:lvlText w:val=""/>
      <w:lvlJc w:val="left"/>
    </w:lvl>
    <w:lvl w:ilvl="8" w:tplc="00A06A56">
      <w:numFmt w:val="decimal"/>
      <w:lvlText w:val=""/>
      <w:lvlJc w:val="left"/>
    </w:lvl>
  </w:abstractNum>
  <w:abstractNum w:abstractNumId="196" w15:restartNumberingAfterBreak="0">
    <w:nsid w:val="00001CCF"/>
    <w:multiLevelType w:val="hybridMultilevel"/>
    <w:tmpl w:val="70144C9E"/>
    <w:lvl w:ilvl="0" w:tplc="BD8C5AAC">
      <w:start w:val="1"/>
      <w:numFmt w:val="decimal"/>
      <w:lvlText w:val="%1"/>
      <w:lvlJc w:val="left"/>
    </w:lvl>
    <w:lvl w:ilvl="1" w:tplc="E72AE494">
      <w:start w:val="1"/>
      <w:numFmt w:val="lowerLetter"/>
      <w:lvlText w:val="%2"/>
      <w:lvlJc w:val="left"/>
    </w:lvl>
    <w:lvl w:ilvl="2" w:tplc="C7BAD494">
      <w:start w:val="2"/>
      <w:numFmt w:val="decimal"/>
      <w:lvlText w:val="%3."/>
      <w:lvlJc w:val="left"/>
    </w:lvl>
    <w:lvl w:ilvl="3" w:tplc="F042B7A2">
      <w:start w:val="1"/>
      <w:numFmt w:val="lowerLetter"/>
      <w:lvlText w:val="%4."/>
      <w:lvlJc w:val="left"/>
    </w:lvl>
    <w:lvl w:ilvl="4" w:tplc="4C1E7E10">
      <w:numFmt w:val="decimal"/>
      <w:lvlText w:val=""/>
      <w:lvlJc w:val="left"/>
    </w:lvl>
    <w:lvl w:ilvl="5" w:tplc="D144AF3E">
      <w:numFmt w:val="decimal"/>
      <w:lvlText w:val=""/>
      <w:lvlJc w:val="left"/>
    </w:lvl>
    <w:lvl w:ilvl="6" w:tplc="48EAA7DE">
      <w:numFmt w:val="decimal"/>
      <w:lvlText w:val=""/>
      <w:lvlJc w:val="left"/>
    </w:lvl>
    <w:lvl w:ilvl="7" w:tplc="64CEB2D6">
      <w:numFmt w:val="decimal"/>
      <w:lvlText w:val=""/>
      <w:lvlJc w:val="left"/>
    </w:lvl>
    <w:lvl w:ilvl="8" w:tplc="73A893D6">
      <w:numFmt w:val="decimal"/>
      <w:lvlText w:val=""/>
      <w:lvlJc w:val="left"/>
    </w:lvl>
  </w:abstractNum>
  <w:abstractNum w:abstractNumId="197" w15:restartNumberingAfterBreak="0">
    <w:nsid w:val="00001D26"/>
    <w:multiLevelType w:val="hybridMultilevel"/>
    <w:tmpl w:val="627CBE24"/>
    <w:lvl w:ilvl="0" w:tplc="0168500C">
      <w:start w:val="1"/>
      <w:numFmt w:val="lowerLetter"/>
      <w:lvlText w:val="%1"/>
      <w:lvlJc w:val="left"/>
    </w:lvl>
    <w:lvl w:ilvl="1" w:tplc="4422389C">
      <w:start w:val="1"/>
      <w:numFmt w:val="lowerLetter"/>
      <w:lvlText w:val="%2"/>
      <w:lvlJc w:val="left"/>
    </w:lvl>
    <w:lvl w:ilvl="2" w:tplc="06A89DAC">
      <w:start w:val="1"/>
      <w:numFmt w:val="lowerRoman"/>
      <w:lvlText w:val="%3."/>
      <w:lvlJc w:val="left"/>
    </w:lvl>
    <w:lvl w:ilvl="3" w:tplc="7A9E6AD4">
      <w:start w:val="1"/>
      <w:numFmt w:val="upperLetter"/>
      <w:lvlText w:val="%4."/>
      <w:lvlJc w:val="left"/>
    </w:lvl>
    <w:lvl w:ilvl="4" w:tplc="C2966682">
      <w:numFmt w:val="decimal"/>
      <w:lvlText w:val=""/>
      <w:lvlJc w:val="left"/>
    </w:lvl>
    <w:lvl w:ilvl="5" w:tplc="1C8228CA">
      <w:numFmt w:val="decimal"/>
      <w:lvlText w:val=""/>
      <w:lvlJc w:val="left"/>
    </w:lvl>
    <w:lvl w:ilvl="6" w:tplc="144C1502">
      <w:numFmt w:val="decimal"/>
      <w:lvlText w:val=""/>
      <w:lvlJc w:val="left"/>
    </w:lvl>
    <w:lvl w:ilvl="7" w:tplc="729C4392">
      <w:numFmt w:val="decimal"/>
      <w:lvlText w:val=""/>
      <w:lvlJc w:val="left"/>
    </w:lvl>
    <w:lvl w:ilvl="8" w:tplc="B4FA67F2">
      <w:numFmt w:val="decimal"/>
      <w:lvlText w:val=""/>
      <w:lvlJc w:val="left"/>
    </w:lvl>
  </w:abstractNum>
  <w:abstractNum w:abstractNumId="198" w15:restartNumberingAfterBreak="0">
    <w:nsid w:val="00001D37"/>
    <w:multiLevelType w:val="hybridMultilevel"/>
    <w:tmpl w:val="0846A888"/>
    <w:lvl w:ilvl="0" w:tplc="1018DA30">
      <w:start w:val="1"/>
      <w:numFmt w:val="decimal"/>
      <w:lvlText w:val="%1"/>
      <w:lvlJc w:val="left"/>
    </w:lvl>
    <w:lvl w:ilvl="1" w:tplc="FFDA1BA4">
      <w:start w:val="1"/>
      <w:numFmt w:val="lowerLetter"/>
      <w:lvlText w:val="%2"/>
      <w:lvlJc w:val="left"/>
    </w:lvl>
    <w:lvl w:ilvl="2" w:tplc="CE507682">
      <w:start w:val="1"/>
      <w:numFmt w:val="decimal"/>
      <w:lvlText w:val="%3"/>
      <w:lvlJc w:val="left"/>
    </w:lvl>
    <w:lvl w:ilvl="3" w:tplc="C4A80ACC">
      <w:start w:val="4"/>
      <w:numFmt w:val="lowerLetter"/>
      <w:lvlText w:val="%4."/>
      <w:lvlJc w:val="left"/>
    </w:lvl>
    <w:lvl w:ilvl="4" w:tplc="99887E06">
      <w:numFmt w:val="decimal"/>
      <w:lvlText w:val=""/>
      <w:lvlJc w:val="left"/>
    </w:lvl>
    <w:lvl w:ilvl="5" w:tplc="4FA268EE">
      <w:numFmt w:val="decimal"/>
      <w:lvlText w:val=""/>
      <w:lvlJc w:val="left"/>
    </w:lvl>
    <w:lvl w:ilvl="6" w:tplc="0E2E7EE8">
      <w:numFmt w:val="decimal"/>
      <w:lvlText w:val=""/>
      <w:lvlJc w:val="left"/>
    </w:lvl>
    <w:lvl w:ilvl="7" w:tplc="26CCB3BA">
      <w:numFmt w:val="decimal"/>
      <w:lvlText w:val=""/>
      <w:lvlJc w:val="left"/>
    </w:lvl>
    <w:lvl w:ilvl="8" w:tplc="7312E7F0">
      <w:numFmt w:val="decimal"/>
      <w:lvlText w:val=""/>
      <w:lvlJc w:val="left"/>
    </w:lvl>
  </w:abstractNum>
  <w:abstractNum w:abstractNumId="199" w15:restartNumberingAfterBreak="0">
    <w:nsid w:val="00001D43"/>
    <w:multiLevelType w:val="hybridMultilevel"/>
    <w:tmpl w:val="A8D6BBCE"/>
    <w:lvl w:ilvl="0" w:tplc="7FD6B4F6">
      <w:start w:val="4"/>
      <w:numFmt w:val="decimal"/>
      <w:lvlText w:val="(%1)"/>
      <w:lvlJc w:val="left"/>
    </w:lvl>
    <w:lvl w:ilvl="1" w:tplc="C502684A">
      <w:start w:val="1"/>
      <w:numFmt w:val="lowerLetter"/>
      <w:lvlText w:val="(%2)"/>
      <w:lvlJc w:val="left"/>
    </w:lvl>
    <w:lvl w:ilvl="2" w:tplc="41D01AFA">
      <w:start w:val="1"/>
      <w:numFmt w:val="decimal"/>
      <w:lvlText w:val="%3."/>
      <w:lvlJc w:val="left"/>
    </w:lvl>
    <w:lvl w:ilvl="3" w:tplc="38FEB308">
      <w:numFmt w:val="decimal"/>
      <w:lvlText w:val=""/>
      <w:lvlJc w:val="left"/>
    </w:lvl>
    <w:lvl w:ilvl="4" w:tplc="D99E3B56">
      <w:numFmt w:val="decimal"/>
      <w:lvlText w:val=""/>
      <w:lvlJc w:val="left"/>
    </w:lvl>
    <w:lvl w:ilvl="5" w:tplc="9E944618">
      <w:numFmt w:val="decimal"/>
      <w:lvlText w:val=""/>
      <w:lvlJc w:val="left"/>
    </w:lvl>
    <w:lvl w:ilvl="6" w:tplc="80C20E3C">
      <w:numFmt w:val="decimal"/>
      <w:lvlText w:val=""/>
      <w:lvlJc w:val="left"/>
    </w:lvl>
    <w:lvl w:ilvl="7" w:tplc="868C23F2">
      <w:numFmt w:val="decimal"/>
      <w:lvlText w:val=""/>
      <w:lvlJc w:val="left"/>
    </w:lvl>
    <w:lvl w:ilvl="8" w:tplc="76C6038A">
      <w:numFmt w:val="decimal"/>
      <w:lvlText w:val=""/>
      <w:lvlJc w:val="left"/>
    </w:lvl>
  </w:abstractNum>
  <w:abstractNum w:abstractNumId="200" w15:restartNumberingAfterBreak="0">
    <w:nsid w:val="00001D44"/>
    <w:multiLevelType w:val="hybridMultilevel"/>
    <w:tmpl w:val="D97641D0"/>
    <w:lvl w:ilvl="0" w:tplc="1C184538">
      <w:start w:val="3"/>
      <w:numFmt w:val="lowerLetter"/>
      <w:lvlText w:val="(%1)"/>
      <w:lvlJc w:val="left"/>
    </w:lvl>
    <w:lvl w:ilvl="1" w:tplc="DA9C174A">
      <w:start w:val="1"/>
      <w:numFmt w:val="decimal"/>
      <w:lvlText w:val="%2."/>
      <w:lvlJc w:val="left"/>
    </w:lvl>
    <w:lvl w:ilvl="2" w:tplc="BC266FD8">
      <w:numFmt w:val="decimal"/>
      <w:lvlText w:val=""/>
      <w:lvlJc w:val="left"/>
    </w:lvl>
    <w:lvl w:ilvl="3" w:tplc="0BAC28D2">
      <w:numFmt w:val="decimal"/>
      <w:lvlText w:val=""/>
      <w:lvlJc w:val="left"/>
    </w:lvl>
    <w:lvl w:ilvl="4" w:tplc="5E5A04FC">
      <w:numFmt w:val="decimal"/>
      <w:lvlText w:val=""/>
      <w:lvlJc w:val="left"/>
    </w:lvl>
    <w:lvl w:ilvl="5" w:tplc="9FB8F5F4">
      <w:numFmt w:val="decimal"/>
      <w:lvlText w:val=""/>
      <w:lvlJc w:val="left"/>
    </w:lvl>
    <w:lvl w:ilvl="6" w:tplc="4080E454">
      <w:numFmt w:val="decimal"/>
      <w:lvlText w:val=""/>
      <w:lvlJc w:val="left"/>
    </w:lvl>
    <w:lvl w:ilvl="7" w:tplc="F4A28312">
      <w:numFmt w:val="decimal"/>
      <w:lvlText w:val=""/>
      <w:lvlJc w:val="left"/>
    </w:lvl>
    <w:lvl w:ilvl="8" w:tplc="D9F8BFBC">
      <w:numFmt w:val="decimal"/>
      <w:lvlText w:val=""/>
      <w:lvlJc w:val="left"/>
    </w:lvl>
  </w:abstractNum>
  <w:abstractNum w:abstractNumId="201" w15:restartNumberingAfterBreak="0">
    <w:nsid w:val="00001D5A"/>
    <w:multiLevelType w:val="hybridMultilevel"/>
    <w:tmpl w:val="C88E8182"/>
    <w:lvl w:ilvl="0" w:tplc="C6B47B36">
      <w:start w:val="1"/>
      <w:numFmt w:val="decimal"/>
      <w:lvlText w:val="%1"/>
      <w:lvlJc w:val="left"/>
    </w:lvl>
    <w:lvl w:ilvl="1" w:tplc="3DBA5A56">
      <w:start w:val="7"/>
      <w:numFmt w:val="lowerLetter"/>
      <w:lvlText w:val="(%2)"/>
      <w:lvlJc w:val="left"/>
    </w:lvl>
    <w:lvl w:ilvl="2" w:tplc="0D34D748">
      <w:numFmt w:val="decimal"/>
      <w:lvlText w:val=""/>
      <w:lvlJc w:val="left"/>
    </w:lvl>
    <w:lvl w:ilvl="3" w:tplc="899A6548">
      <w:numFmt w:val="decimal"/>
      <w:lvlText w:val=""/>
      <w:lvlJc w:val="left"/>
    </w:lvl>
    <w:lvl w:ilvl="4" w:tplc="04E2BD8A">
      <w:numFmt w:val="decimal"/>
      <w:lvlText w:val=""/>
      <w:lvlJc w:val="left"/>
    </w:lvl>
    <w:lvl w:ilvl="5" w:tplc="FF146C90">
      <w:numFmt w:val="decimal"/>
      <w:lvlText w:val=""/>
      <w:lvlJc w:val="left"/>
    </w:lvl>
    <w:lvl w:ilvl="6" w:tplc="5636DB5C">
      <w:numFmt w:val="decimal"/>
      <w:lvlText w:val=""/>
      <w:lvlJc w:val="left"/>
    </w:lvl>
    <w:lvl w:ilvl="7" w:tplc="DBA01BD4">
      <w:numFmt w:val="decimal"/>
      <w:lvlText w:val=""/>
      <w:lvlJc w:val="left"/>
    </w:lvl>
    <w:lvl w:ilvl="8" w:tplc="11A2D2C0">
      <w:numFmt w:val="decimal"/>
      <w:lvlText w:val=""/>
      <w:lvlJc w:val="left"/>
    </w:lvl>
  </w:abstractNum>
  <w:abstractNum w:abstractNumId="202" w15:restartNumberingAfterBreak="0">
    <w:nsid w:val="00001D6E"/>
    <w:multiLevelType w:val="hybridMultilevel"/>
    <w:tmpl w:val="62C831EC"/>
    <w:lvl w:ilvl="0" w:tplc="8FC61318">
      <w:start w:val="1"/>
      <w:numFmt w:val="lowerLetter"/>
      <w:lvlText w:val="%1"/>
      <w:lvlJc w:val="left"/>
    </w:lvl>
    <w:lvl w:ilvl="1" w:tplc="D75441EE">
      <w:start w:val="4"/>
      <w:numFmt w:val="decimal"/>
      <w:lvlText w:val="%2."/>
      <w:lvlJc w:val="left"/>
    </w:lvl>
    <w:lvl w:ilvl="2" w:tplc="A6C6A750">
      <w:start w:val="1"/>
      <w:numFmt w:val="lowerLetter"/>
      <w:lvlText w:val="%3."/>
      <w:lvlJc w:val="left"/>
    </w:lvl>
    <w:lvl w:ilvl="3" w:tplc="1BDC3E7E">
      <w:numFmt w:val="decimal"/>
      <w:lvlText w:val=""/>
      <w:lvlJc w:val="left"/>
    </w:lvl>
    <w:lvl w:ilvl="4" w:tplc="FA507D6C">
      <w:numFmt w:val="decimal"/>
      <w:lvlText w:val=""/>
      <w:lvlJc w:val="left"/>
    </w:lvl>
    <w:lvl w:ilvl="5" w:tplc="15C2072E">
      <w:numFmt w:val="decimal"/>
      <w:lvlText w:val=""/>
      <w:lvlJc w:val="left"/>
    </w:lvl>
    <w:lvl w:ilvl="6" w:tplc="C4521430">
      <w:numFmt w:val="decimal"/>
      <w:lvlText w:val=""/>
      <w:lvlJc w:val="left"/>
    </w:lvl>
    <w:lvl w:ilvl="7" w:tplc="E012CA1E">
      <w:numFmt w:val="decimal"/>
      <w:lvlText w:val=""/>
      <w:lvlJc w:val="left"/>
    </w:lvl>
    <w:lvl w:ilvl="8" w:tplc="6BF8AB1A">
      <w:numFmt w:val="decimal"/>
      <w:lvlText w:val=""/>
      <w:lvlJc w:val="left"/>
    </w:lvl>
  </w:abstractNum>
  <w:abstractNum w:abstractNumId="203" w15:restartNumberingAfterBreak="0">
    <w:nsid w:val="00001D94"/>
    <w:multiLevelType w:val="hybridMultilevel"/>
    <w:tmpl w:val="EC565928"/>
    <w:lvl w:ilvl="0" w:tplc="D27C9064">
      <w:start w:val="11"/>
      <w:numFmt w:val="decimal"/>
      <w:lvlText w:val="(%1)"/>
      <w:lvlJc w:val="left"/>
    </w:lvl>
    <w:lvl w:ilvl="1" w:tplc="F070B034">
      <w:start w:val="1"/>
      <w:numFmt w:val="lowerLetter"/>
      <w:lvlText w:val="(%2)"/>
      <w:lvlJc w:val="left"/>
    </w:lvl>
    <w:lvl w:ilvl="2" w:tplc="4DEE3C1E">
      <w:start w:val="1"/>
      <w:numFmt w:val="decimal"/>
      <w:lvlText w:val="%3"/>
      <w:lvlJc w:val="left"/>
    </w:lvl>
    <w:lvl w:ilvl="3" w:tplc="CA4C548C">
      <w:numFmt w:val="decimal"/>
      <w:lvlText w:val=""/>
      <w:lvlJc w:val="left"/>
    </w:lvl>
    <w:lvl w:ilvl="4" w:tplc="078862C4">
      <w:numFmt w:val="decimal"/>
      <w:lvlText w:val=""/>
      <w:lvlJc w:val="left"/>
    </w:lvl>
    <w:lvl w:ilvl="5" w:tplc="5F14200E">
      <w:numFmt w:val="decimal"/>
      <w:lvlText w:val=""/>
      <w:lvlJc w:val="left"/>
    </w:lvl>
    <w:lvl w:ilvl="6" w:tplc="41306328">
      <w:numFmt w:val="decimal"/>
      <w:lvlText w:val=""/>
      <w:lvlJc w:val="left"/>
    </w:lvl>
    <w:lvl w:ilvl="7" w:tplc="4D32F668">
      <w:numFmt w:val="decimal"/>
      <w:lvlText w:val=""/>
      <w:lvlJc w:val="left"/>
    </w:lvl>
    <w:lvl w:ilvl="8" w:tplc="B728FF8A">
      <w:numFmt w:val="decimal"/>
      <w:lvlText w:val=""/>
      <w:lvlJc w:val="left"/>
    </w:lvl>
  </w:abstractNum>
  <w:abstractNum w:abstractNumId="204" w15:restartNumberingAfterBreak="0">
    <w:nsid w:val="00001DA1"/>
    <w:multiLevelType w:val="hybridMultilevel"/>
    <w:tmpl w:val="F43AEF26"/>
    <w:lvl w:ilvl="0" w:tplc="3014FEC0">
      <w:start w:val="5"/>
      <w:numFmt w:val="decimal"/>
      <w:lvlText w:val="%1"/>
      <w:lvlJc w:val="left"/>
    </w:lvl>
    <w:lvl w:ilvl="1" w:tplc="AB4E48CE">
      <w:start w:val="18"/>
      <w:numFmt w:val="decimal"/>
      <w:lvlText w:val="(%2)"/>
      <w:lvlJc w:val="left"/>
    </w:lvl>
    <w:lvl w:ilvl="2" w:tplc="88B2A310">
      <w:numFmt w:val="decimal"/>
      <w:lvlText w:val=""/>
      <w:lvlJc w:val="left"/>
    </w:lvl>
    <w:lvl w:ilvl="3" w:tplc="0E5E7B48">
      <w:numFmt w:val="decimal"/>
      <w:lvlText w:val=""/>
      <w:lvlJc w:val="left"/>
    </w:lvl>
    <w:lvl w:ilvl="4" w:tplc="03AC4386">
      <w:numFmt w:val="decimal"/>
      <w:lvlText w:val=""/>
      <w:lvlJc w:val="left"/>
    </w:lvl>
    <w:lvl w:ilvl="5" w:tplc="DD9E90F4">
      <w:numFmt w:val="decimal"/>
      <w:lvlText w:val=""/>
      <w:lvlJc w:val="left"/>
    </w:lvl>
    <w:lvl w:ilvl="6" w:tplc="83A868A4">
      <w:numFmt w:val="decimal"/>
      <w:lvlText w:val=""/>
      <w:lvlJc w:val="left"/>
    </w:lvl>
    <w:lvl w:ilvl="7" w:tplc="E0664010">
      <w:numFmt w:val="decimal"/>
      <w:lvlText w:val=""/>
      <w:lvlJc w:val="left"/>
    </w:lvl>
    <w:lvl w:ilvl="8" w:tplc="2CC624D6">
      <w:numFmt w:val="decimal"/>
      <w:lvlText w:val=""/>
      <w:lvlJc w:val="left"/>
    </w:lvl>
  </w:abstractNum>
  <w:abstractNum w:abstractNumId="205" w15:restartNumberingAfterBreak="0">
    <w:nsid w:val="00001DA2"/>
    <w:multiLevelType w:val="hybridMultilevel"/>
    <w:tmpl w:val="C7989BCA"/>
    <w:lvl w:ilvl="0" w:tplc="415CB1FA">
      <w:start w:val="3"/>
      <w:numFmt w:val="lowerLetter"/>
      <w:lvlText w:val="(%1)"/>
      <w:lvlJc w:val="left"/>
    </w:lvl>
    <w:lvl w:ilvl="1" w:tplc="6434B5F2">
      <w:numFmt w:val="decimal"/>
      <w:lvlText w:val=""/>
      <w:lvlJc w:val="left"/>
    </w:lvl>
    <w:lvl w:ilvl="2" w:tplc="73E6C986">
      <w:numFmt w:val="decimal"/>
      <w:lvlText w:val=""/>
      <w:lvlJc w:val="left"/>
    </w:lvl>
    <w:lvl w:ilvl="3" w:tplc="AE463FD6">
      <w:numFmt w:val="decimal"/>
      <w:lvlText w:val=""/>
      <w:lvlJc w:val="left"/>
    </w:lvl>
    <w:lvl w:ilvl="4" w:tplc="782C9A18">
      <w:numFmt w:val="decimal"/>
      <w:lvlText w:val=""/>
      <w:lvlJc w:val="left"/>
    </w:lvl>
    <w:lvl w:ilvl="5" w:tplc="370E7A4E">
      <w:numFmt w:val="decimal"/>
      <w:lvlText w:val=""/>
      <w:lvlJc w:val="left"/>
    </w:lvl>
    <w:lvl w:ilvl="6" w:tplc="8A508DFE">
      <w:numFmt w:val="decimal"/>
      <w:lvlText w:val=""/>
      <w:lvlJc w:val="left"/>
    </w:lvl>
    <w:lvl w:ilvl="7" w:tplc="EB0A821E">
      <w:numFmt w:val="decimal"/>
      <w:lvlText w:val=""/>
      <w:lvlJc w:val="left"/>
    </w:lvl>
    <w:lvl w:ilvl="8" w:tplc="5F0E366E">
      <w:numFmt w:val="decimal"/>
      <w:lvlText w:val=""/>
      <w:lvlJc w:val="left"/>
    </w:lvl>
  </w:abstractNum>
  <w:abstractNum w:abstractNumId="206" w15:restartNumberingAfterBreak="0">
    <w:nsid w:val="00001DB4"/>
    <w:multiLevelType w:val="hybridMultilevel"/>
    <w:tmpl w:val="FDCC1D5E"/>
    <w:lvl w:ilvl="0" w:tplc="064E242E">
      <w:start w:val="5"/>
      <w:numFmt w:val="lowerLetter"/>
      <w:lvlText w:val="(%1)"/>
      <w:lvlJc w:val="left"/>
    </w:lvl>
    <w:lvl w:ilvl="1" w:tplc="40C644CC">
      <w:start w:val="1"/>
      <w:numFmt w:val="decimal"/>
      <w:lvlText w:val="%2."/>
      <w:lvlJc w:val="left"/>
    </w:lvl>
    <w:lvl w:ilvl="2" w:tplc="D1289672">
      <w:numFmt w:val="decimal"/>
      <w:lvlText w:val=""/>
      <w:lvlJc w:val="left"/>
    </w:lvl>
    <w:lvl w:ilvl="3" w:tplc="32148040">
      <w:numFmt w:val="decimal"/>
      <w:lvlText w:val=""/>
      <w:lvlJc w:val="left"/>
    </w:lvl>
    <w:lvl w:ilvl="4" w:tplc="9C1EB76E">
      <w:numFmt w:val="decimal"/>
      <w:lvlText w:val=""/>
      <w:lvlJc w:val="left"/>
    </w:lvl>
    <w:lvl w:ilvl="5" w:tplc="6B1A5CD2">
      <w:numFmt w:val="decimal"/>
      <w:lvlText w:val=""/>
      <w:lvlJc w:val="left"/>
    </w:lvl>
    <w:lvl w:ilvl="6" w:tplc="4C20D358">
      <w:numFmt w:val="decimal"/>
      <w:lvlText w:val=""/>
      <w:lvlJc w:val="left"/>
    </w:lvl>
    <w:lvl w:ilvl="7" w:tplc="4DEE1E72">
      <w:numFmt w:val="decimal"/>
      <w:lvlText w:val=""/>
      <w:lvlJc w:val="left"/>
    </w:lvl>
    <w:lvl w:ilvl="8" w:tplc="692420E6">
      <w:numFmt w:val="decimal"/>
      <w:lvlText w:val=""/>
      <w:lvlJc w:val="left"/>
    </w:lvl>
  </w:abstractNum>
  <w:abstractNum w:abstractNumId="207" w15:restartNumberingAfterBreak="0">
    <w:nsid w:val="00001DD4"/>
    <w:multiLevelType w:val="hybridMultilevel"/>
    <w:tmpl w:val="2CFAEFFC"/>
    <w:lvl w:ilvl="0" w:tplc="370A0286">
      <w:start w:val="12"/>
      <w:numFmt w:val="decimal"/>
      <w:lvlText w:val="(%1)"/>
      <w:lvlJc w:val="left"/>
    </w:lvl>
    <w:lvl w:ilvl="1" w:tplc="1B5C0126">
      <w:start w:val="1"/>
      <w:numFmt w:val="lowerLetter"/>
      <w:lvlText w:val="(%2)"/>
      <w:lvlJc w:val="left"/>
    </w:lvl>
    <w:lvl w:ilvl="2" w:tplc="8F820684">
      <w:start w:val="1"/>
      <w:numFmt w:val="decimal"/>
      <w:lvlText w:val="%3."/>
      <w:lvlJc w:val="left"/>
    </w:lvl>
    <w:lvl w:ilvl="3" w:tplc="57304AB6">
      <w:numFmt w:val="decimal"/>
      <w:lvlText w:val=""/>
      <w:lvlJc w:val="left"/>
    </w:lvl>
    <w:lvl w:ilvl="4" w:tplc="AC664D92">
      <w:numFmt w:val="decimal"/>
      <w:lvlText w:val=""/>
      <w:lvlJc w:val="left"/>
    </w:lvl>
    <w:lvl w:ilvl="5" w:tplc="2AE601CA">
      <w:numFmt w:val="decimal"/>
      <w:lvlText w:val=""/>
      <w:lvlJc w:val="left"/>
    </w:lvl>
    <w:lvl w:ilvl="6" w:tplc="DC02BB6A">
      <w:numFmt w:val="decimal"/>
      <w:lvlText w:val=""/>
      <w:lvlJc w:val="left"/>
    </w:lvl>
    <w:lvl w:ilvl="7" w:tplc="81AAEB3E">
      <w:numFmt w:val="decimal"/>
      <w:lvlText w:val=""/>
      <w:lvlJc w:val="left"/>
    </w:lvl>
    <w:lvl w:ilvl="8" w:tplc="6702362A">
      <w:numFmt w:val="decimal"/>
      <w:lvlText w:val=""/>
      <w:lvlJc w:val="left"/>
    </w:lvl>
  </w:abstractNum>
  <w:abstractNum w:abstractNumId="208" w15:restartNumberingAfterBreak="0">
    <w:nsid w:val="00001DFF"/>
    <w:multiLevelType w:val="hybridMultilevel"/>
    <w:tmpl w:val="EF669D64"/>
    <w:lvl w:ilvl="0" w:tplc="7D5CD57C">
      <w:start w:val="1"/>
      <w:numFmt w:val="decimal"/>
      <w:lvlText w:val="%1"/>
      <w:lvlJc w:val="left"/>
    </w:lvl>
    <w:lvl w:ilvl="1" w:tplc="77E27B80">
      <w:start w:val="1"/>
      <w:numFmt w:val="lowerLetter"/>
      <w:lvlText w:val="%2"/>
      <w:lvlJc w:val="left"/>
    </w:lvl>
    <w:lvl w:ilvl="2" w:tplc="6582C25C">
      <w:start w:val="22"/>
      <w:numFmt w:val="decimal"/>
      <w:lvlText w:val="%3."/>
      <w:lvlJc w:val="left"/>
    </w:lvl>
    <w:lvl w:ilvl="3" w:tplc="CF42B68A">
      <w:numFmt w:val="decimal"/>
      <w:lvlText w:val=""/>
      <w:lvlJc w:val="left"/>
    </w:lvl>
    <w:lvl w:ilvl="4" w:tplc="48A44D38">
      <w:numFmt w:val="decimal"/>
      <w:lvlText w:val=""/>
      <w:lvlJc w:val="left"/>
    </w:lvl>
    <w:lvl w:ilvl="5" w:tplc="B0E27E10">
      <w:numFmt w:val="decimal"/>
      <w:lvlText w:val=""/>
      <w:lvlJc w:val="left"/>
    </w:lvl>
    <w:lvl w:ilvl="6" w:tplc="8DBABC2A">
      <w:numFmt w:val="decimal"/>
      <w:lvlText w:val=""/>
      <w:lvlJc w:val="left"/>
    </w:lvl>
    <w:lvl w:ilvl="7" w:tplc="0848EF00">
      <w:numFmt w:val="decimal"/>
      <w:lvlText w:val=""/>
      <w:lvlJc w:val="left"/>
    </w:lvl>
    <w:lvl w:ilvl="8" w:tplc="8FB0F672">
      <w:numFmt w:val="decimal"/>
      <w:lvlText w:val=""/>
      <w:lvlJc w:val="left"/>
    </w:lvl>
  </w:abstractNum>
  <w:abstractNum w:abstractNumId="209" w15:restartNumberingAfterBreak="0">
    <w:nsid w:val="00001E28"/>
    <w:multiLevelType w:val="hybridMultilevel"/>
    <w:tmpl w:val="E6EA57C0"/>
    <w:lvl w:ilvl="0" w:tplc="D2245CE2">
      <w:start w:val="1"/>
      <w:numFmt w:val="decimal"/>
      <w:lvlText w:val="%1"/>
      <w:lvlJc w:val="left"/>
    </w:lvl>
    <w:lvl w:ilvl="1" w:tplc="C0C28232">
      <w:start w:val="2"/>
      <w:numFmt w:val="lowerLetter"/>
      <w:lvlText w:val="(%2)"/>
      <w:lvlJc w:val="left"/>
    </w:lvl>
    <w:lvl w:ilvl="2" w:tplc="4C7224E6">
      <w:start w:val="1"/>
      <w:numFmt w:val="decimal"/>
      <w:lvlText w:val="%3."/>
      <w:lvlJc w:val="left"/>
    </w:lvl>
    <w:lvl w:ilvl="3" w:tplc="DD26A1FE">
      <w:start w:val="1"/>
      <w:numFmt w:val="lowerLetter"/>
      <w:lvlText w:val="%4"/>
      <w:lvlJc w:val="left"/>
    </w:lvl>
    <w:lvl w:ilvl="4" w:tplc="13446D22">
      <w:numFmt w:val="decimal"/>
      <w:lvlText w:val=""/>
      <w:lvlJc w:val="left"/>
    </w:lvl>
    <w:lvl w:ilvl="5" w:tplc="5150F5B6">
      <w:numFmt w:val="decimal"/>
      <w:lvlText w:val=""/>
      <w:lvlJc w:val="left"/>
    </w:lvl>
    <w:lvl w:ilvl="6" w:tplc="FFC4CA3E">
      <w:numFmt w:val="decimal"/>
      <w:lvlText w:val=""/>
      <w:lvlJc w:val="left"/>
    </w:lvl>
    <w:lvl w:ilvl="7" w:tplc="2B62C882">
      <w:numFmt w:val="decimal"/>
      <w:lvlText w:val=""/>
      <w:lvlJc w:val="left"/>
    </w:lvl>
    <w:lvl w:ilvl="8" w:tplc="9DD8D9A6">
      <w:numFmt w:val="decimal"/>
      <w:lvlText w:val=""/>
      <w:lvlJc w:val="left"/>
    </w:lvl>
  </w:abstractNum>
  <w:abstractNum w:abstractNumId="210" w15:restartNumberingAfterBreak="0">
    <w:nsid w:val="00001E29"/>
    <w:multiLevelType w:val="hybridMultilevel"/>
    <w:tmpl w:val="D3A4BF08"/>
    <w:lvl w:ilvl="0" w:tplc="377AAE38">
      <w:start w:val="3"/>
      <w:numFmt w:val="decimal"/>
      <w:lvlText w:val="(%1)"/>
      <w:lvlJc w:val="left"/>
    </w:lvl>
    <w:lvl w:ilvl="1" w:tplc="0AA480F4">
      <w:start w:val="1"/>
      <w:numFmt w:val="lowerLetter"/>
      <w:lvlText w:val="(%2)"/>
      <w:lvlJc w:val="left"/>
    </w:lvl>
    <w:lvl w:ilvl="2" w:tplc="98D6C36A">
      <w:start w:val="1"/>
      <w:numFmt w:val="decimal"/>
      <w:lvlText w:val="%3"/>
      <w:lvlJc w:val="left"/>
    </w:lvl>
    <w:lvl w:ilvl="3" w:tplc="392EFBDE">
      <w:numFmt w:val="decimal"/>
      <w:lvlText w:val=""/>
      <w:lvlJc w:val="left"/>
    </w:lvl>
    <w:lvl w:ilvl="4" w:tplc="0D6436E6">
      <w:numFmt w:val="decimal"/>
      <w:lvlText w:val=""/>
      <w:lvlJc w:val="left"/>
    </w:lvl>
    <w:lvl w:ilvl="5" w:tplc="811475D0">
      <w:numFmt w:val="decimal"/>
      <w:lvlText w:val=""/>
      <w:lvlJc w:val="left"/>
    </w:lvl>
    <w:lvl w:ilvl="6" w:tplc="142096B8">
      <w:numFmt w:val="decimal"/>
      <w:lvlText w:val=""/>
      <w:lvlJc w:val="left"/>
    </w:lvl>
    <w:lvl w:ilvl="7" w:tplc="8B2EF4AA">
      <w:numFmt w:val="decimal"/>
      <w:lvlText w:val=""/>
      <w:lvlJc w:val="left"/>
    </w:lvl>
    <w:lvl w:ilvl="8" w:tplc="E1DAF04E">
      <w:numFmt w:val="decimal"/>
      <w:lvlText w:val=""/>
      <w:lvlJc w:val="left"/>
    </w:lvl>
  </w:abstractNum>
  <w:abstractNum w:abstractNumId="211" w15:restartNumberingAfterBreak="0">
    <w:nsid w:val="00001E2F"/>
    <w:multiLevelType w:val="hybridMultilevel"/>
    <w:tmpl w:val="750001A4"/>
    <w:lvl w:ilvl="0" w:tplc="3E2EE300">
      <w:start w:val="1"/>
      <w:numFmt w:val="lowerLetter"/>
      <w:lvlText w:val="%1"/>
      <w:lvlJc w:val="left"/>
    </w:lvl>
    <w:lvl w:ilvl="1" w:tplc="1CB82F9A">
      <w:start w:val="1"/>
      <w:numFmt w:val="decimal"/>
      <w:lvlText w:val="%2"/>
      <w:lvlJc w:val="left"/>
    </w:lvl>
    <w:lvl w:ilvl="2" w:tplc="6B4E13A0">
      <w:start w:val="2"/>
      <w:numFmt w:val="lowerLetter"/>
      <w:lvlText w:val="%3."/>
      <w:lvlJc w:val="left"/>
    </w:lvl>
    <w:lvl w:ilvl="3" w:tplc="66D0D442">
      <w:numFmt w:val="decimal"/>
      <w:lvlText w:val=""/>
      <w:lvlJc w:val="left"/>
    </w:lvl>
    <w:lvl w:ilvl="4" w:tplc="91F6141C">
      <w:numFmt w:val="decimal"/>
      <w:lvlText w:val=""/>
      <w:lvlJc w:val="left"/>
    </w:lvl>
    <w:lvl w:ilvl="5" w:tplc="DF7E9DA6">
      <w:numFmt w:val="decimal"/>
      <w:lvlText w:val=""/>
      <w:lvlJc w:val="left"/>
    </w:lvl>
    <w:lvl w:ilvl="6" w:tplc="8C646C78">
      <w:numFmt w:val="decimal"/>
      <w:lvlText w:val=""/>
      <w:lvlJc w:val="left"/>
    </w:lvl>
    <w:lvl w:ilvl="7" w:tplc="AFE0A2DA">
      <w:numFmt w:val="decimal"/>
      <w:lvlText w:val=""/>
      <w:lvlJc w:val="left"/>
    </w:lvl>
    <w:lvl w:ilvl="8" w:tplc="FAD6AE80">
      <w:numFmt w:val="decimal"/>
      <w:lvlText w:val=""/>
      <w:lvlJc w:val="left"/>
    </w:lvl>
  </w:abstractNum>
  <w:abstractNum w:abstractNumId="212" w15:restartNumberingAfterBreak="0">
    <w:nsid w:val="00001E3C"/>
    <w:multiLevelType w:val="hybridMultilevel"/>
    <w:tmpl w:val="98F45858"/>
    <w:lvl w:ilvl="0" w:tplc="C3D8B8E6">
      <w:start w:val="1"/>
      <w:numFmt w:val="lowerLetter"/>
      <w:lvlText w:val="%1"/>
      <w:lvlJc w:val="left"/>
    </w:lvl>
    <w:lvl w:ilvl="1" w:tplc="FF089A5E">
      <w:start w:val="5"/>
      <w:numFmt w:val="decimal"/>
      <w:lvlText w:val="%2."/>
      <w:lvlJc w:val="left"/>
    </w:lvl>
    <w:lvl w:ilvl="2" w:tplc="A5982DC4">
      <w:numFmt w:val="decimal"/>
      <w:lvlText w:val=""/>
      <w:lvlJc w:val="left"/>
    </w:lvl>
    <w:lvl w:ilvl="3" w:tplc="FF24B52A">
      <w:numFmt w:val="decimal"/>
      <w:lvlText w:val=""/>
      <w:lvlJc w:val="left"/>
    </w:lvl>
    <w:lvl w:ilvl="4" w:tplc="C22E1784">
      <w:numFmt w:val="decimal"/>
      <w:lvlText w:val=""/>
      <w:lvlJc w:val="left"/>
    </w:lvl>
    <w:lvl w:ilvl="5" w:tplc="8BEEBAFA">
      <w:numFmt w:val="decimal"/>
      <w:lvlText w:val=""/>
      <w:lvlJc w:val="left"/>
    </w:lvl>
    <w:lvl w:ilvl="6" w:tplc="BB926AD6">
      <w:numFmt w:val="decimal"/>
      <w:lvlText w:val=""/>
      <w:lvlJc w:val="left"/>
    </w:lvl>
    <w:lvl w:ilvl="7" w:tplc="F74823BE">
      <w:numFmt w:val="decimal"/>
      <w:lvlText w:val=""/>
      <w:lvlJc w:val="left"/>
    </w:lvl>
    <w:lvl w:ilvl="8" w:tplc="BC521F50">
      <w:numFmt w:val="decimal"/>
      <w:lvlText w:val=""/>
      <w:lvlJc w:val="left"/>
    </w:lvl>
  </w:abstractNum>
  <w:abstractNum w:abstractNumId="213" w15:restartNumberingAfterBreak="0">
    <w:nsid w:val="00001E58"/>
    <w:multiLevelType w:val="hybridMultilevel"/>
    <w:tmpl w:val="FB462FDC"/>
    <w:lvl w:ilvl="0" w:tplc="6DBC6180">
      <w:start w:val="4"/>
      <w:numFmt w:val="decimal"/>
      <w:lvlText w:val="(%1)"/>
      <w:lvlJc w:val="left"/>
    </w:lvl>
    <w:lvl w:ilvl="1" w:tplc="EA1489CE">
      <w:start w:val="1"/>
      <w:numFmt w:val="lowerLetter"/>
      <w:lvlText w:val="(%2)"/>
      <w:lvlJc w:val="left"/>
    </w:lvl>
    <w:lvl w:ilvl="2" w:tplc="22CE7A24">
      <w:numFmt w:val="decimal"/>
      <w:lvlText w:val=""/>
      <w:lvlJc w:val="left"/>
    </w:lvl>
    <w:lvl w:ilvl="3" w:tplc="3A16B51E">
      <w:numFmt w:val="decimal"/>
      <w:lvlText w:val=""/>
      <w:lvlJc w:val="left"/>
    </w:lvl>
    <w:lvl w:ilvl="4" w:tplc="BCBADD88">
      <w:numFmt w:val="decimal"/>
      <w:lvlText w:val=""/>
      <w:lvlJc w:val="left"/>
    </w:lvl>
    <w:lvl w:ilvl="5" w:tplc="24DC56C6">
      <w:numFmt w:val="decimal"/>
      <w:lvlText w:val=""/>
      <w:lvlJc w:val="left"/>
    </w:lvl>
    <w:lvl w:ilvl="6" w:tplc="52EA5BE0">
      <w:numFmt w:val="decimal"/>
      <w:lvlText w:val=""/>
      <w:lvlJc w:val="left"/>
    </w:lvl>
    <w:lvl w:ilvl="7" w:tplc="1B668A8C">
      <w:numFmt w:val="decimal"/>
      <w:lvlText w:val=""/>
      <w:lvlJc w:val="left"/>
    </w:lvl>
    <w:lvl w:ilvl="8" w:tplc="84B8FA4A">
      <w:numFmt w:val="decimal"/>
      <w:lvlText w:val=""/>
      <w:lvlJc w:val="left"/>
    </w:lvl>
  </w:abstractNum>
  <w:abstractNum w:abstractNumId="214" w15:restartNumberingAfterBreak="0">
    <w:nsid w:val="00001E67"/>
    <w:multiLevelType w:val="hybridMultilevel"/>
    <w:tmpl w:val="981E548A"/>
    <w:lvl w:ilvl="0" w:tplc="9B08F988">
      <w:start w:val="1"/>
      <w:numFmt w:val="lowerLetter"/>
      <w:lvlText w:val="%1"/>
      <w:lvlJc w:val="left"/>
    </w:lvl>
    <w:lvl w:ilvl="1" w:tplc="737A9BA0">
      <w:start w:val="12"/>
      <w:numFmt w:val="decimal"/>
      <w:lvlText w:val="%2"/>
      <w:lvlJc w:val="left"/>
    </w:lvl>
    <w:lvl w:ilvl="2" w:tplc="ECF4D062">
      <w:start w:val="1"/>
      <w:numFmt w:val="lowerLetter"/>
      <w:lvlText w:val="%3."/>
      <w:lvlJc w:val="left"/>
    </w:lvl>
    <w:lvl w:ilvl="3" w:tplc="E01AF0C6">
      <w:numFmt w:val="decimal"/>
      <w:lvlText w:val=""/>
      <w:lvlJc w:val="left"/>
    </w:lvl>
    <w:lvl w:ilvl="4" w:tplc="7D163954">
      <w:numFmt w:val="decimal"/>
      <w:lvlText w:val=""/>
      <w:lvlJc w:val="left"/>
    </w:lvl>
    <w:lvl w:ilvl="5" w:tplc="D158D5A6">
      <w:numFmt w:val="decimal"/>
      <w:lvlText w:val=""/>
      <w:lvlJc w:val="left"/>
    </w:lvl>
    <w:lvl w:ilvl="6" w:tplc="EBDE498A">
      <w:numFmt w:val="decimal"/>
      <w:lvlText w:val=""/>
      <w:lvlJc w:val="left"/>
    </w:lvl>
    <w:lvl w:ilvl="7" w:tplc="BA9EC364">
      <w:numFmt w:val="decimal"/>
      <w:lvlText w:val=""/>
      <w:lvlJc w:val="left"/>
    </w:lvl>
    <w:lvl w:ilvl="8" w:tplc="62FCE430">
      <w:numFmt w:val="decimal"/>
      <w:lvlText w:val=""/>
      <w:lvlJc w:val="left"/>
    </w:lvl>
  </w:abstractNum>
  <w:abstractNum w:abstractNumId="215" w15:restartNumberingAfterBreak="0">
    <w:nsid w:val="00001E99"/>
    <w:multiLevelType w:val="hybridMultilevel"/>
    <w:tmpl w:val="D80A9214"/>
    <w:lvl w:ilvl="0" w:tplc="814A7294">
      <w:start w:val="2"/>
      <w:numFmt w:val="decimal"/>
      <w:lvlText w:val="%1."/>
      <w:lvlJc w:val="left"/>
    </w:lvl>
    <w:lvl w:ilvl="1" w:tplc="1CFC4CBE">
      <w:numFmt w:val="decimal"/>
      <w:lvlText w:val=""/>
      <w:lvlJc w:val="left"/>
    </w:lvl>
    <w:lvl w:ilvl="2" w:tplc="645A3034">
      <w:numFmt w:val="decimal"/>
      <w:lvlText w:val=""/>
      <w:lvlJc w:val="left"/>
    </w:lvl>
    <w:lvl w:ilvl="3" w:tplc="B94AE87E">
      <w:numFmt w:val="decimal"/>
      <w:lvlText w:val=""/>
      <w:lvlJc w:val="left"/>
    </w:lvl>
    <w:lvl w:ilvl="4" w:tplc="BBA2E9B2">
      <w:numFmt w:val="decimal"/>
      <w:lvlText w:val=""/>
      <w:lvlJc w:val="left"/>
    </w:lvl>
    <w:lvl w:ilvl="5" w:tplc="D2220F00">
      <w:numFmt w:val="decimal"/>
      <w:lvlText w:val=""/>
      <w:lvlJc w:val="left"/>
    </w:lvl>
    <w:lvl w:ilvl="6" w:tplc="C1D2090E">
      <w:numFmt w:val="decimal"/>
      <w:lvlText w:val=""/>
      <w:lvlJc w:val="left"/>
    </w:lvl>
    <w:lvl w:ilvl="7" w:tplc="D1AA1F30">
      <w:numFmt w:val="decimal"/>
      <w:lvlText w:val=""/>
      <w:lvlJc w:val="left"/>
    </w:lvl>
    <w:lvl w:ilvl="8" w:tplc="B9CA341E">
      <w:numFmt w:val="decimal"/>
      <w:lvlText w:val=""/>
      <w:lvlJc w:val="left"/>
    </w:lvl>
  </w:abstractNum>
  <w:abstractNum w:abstractNumId="216" w15:restartNumberingAfterBreak="0">
    <w:nsid w:val="00001EF6"/>
    <w:multiLevelType w:val="hybridMultilevel"/>
    <w:tmpl w:val="CE96CB8C"/>
    <w:lvl w:ilvl="0" w:tplc="39FE567E">
      <w:start w:val="2"/>
      <w:numFmt w:val="lowerLetter"/>
      <w:lvlText w:val="(%1)"/>
      <w:lvlJc w:val="left"/>
    </w:lvl>
    <w:lvl w:ilvl="1" w:tplc="A5008132">
      <w:numFmt w:val="decimal"/>
      <w:lvlText w:val=""/>
      <w:lvlJc w:val="left"/>
    </w:lvl>
    <w:lvl w:ilvl="2" w:tplc="00EEF768">
      <w:numFmt w:val="decimal"/>
      <w:lvlText w:val=""/>
      <w:lvlJc w:val="left"/>
    </w:lvl>
    <w:lvl w:ilvl="3" w:tplc="1C508A96">
      <w:numFmt w:val="decimal"/>
      <w:lvlText w:val=""/>
      <w:lvlJc w:val="left"/>
    </w:lvl>
    <w:lvl w:ilvl="4" w:tplc="116CC1B4">
      <w:numFmt w:val="decimal"/>
      <w:lvlText w:val=""/>
      <w:lvlJc w:val="left"/>
    </w:lvl>
    <w:lvl w:ilvl="5" w:tplc="A9EC4980">
      <w:numFmt w:val="decimal"/>
      <w:lvlText w:val=""/>
      <w:lvlJc w:val="left"/>
    </w:lvl>
    <w:lvl w:ilvl="6" w:tplc="0F98B206">
      <w:numFmt w:val="decimal"/>
      <w:lvlText w:val=""/>
      <w:lvlJc w:val="left"/>
    </w:lvl>
    <w:lvl w:ilvl="7" w:tplc="25C2E72C">
      <w:numFmt w:val="decimal"/>
      <w:lvlText w:val=""/>
      <w:lvlJc w:val="left"/>
    </w:lvl>
    <w:lvl w:ilvl="8" w:tplc="31CA6DFC">
      <w:numFmt w:val="decimal"/>
      <w:lvlText w:val=""/>
      <w:lvlJc w:val="left"/>
    </w:lvl>
  </w:abstractNum>
  <w:abstractNum w:abstractNumId="217" w15:restartNumberingAfterBreak="0">
    <w:nsid w:val="00001F0E"/>
    <w:multiLevelType w:val="hybridMultilevel"/>
    <w:tmpl w:val="00E4999C"/>
    <w:lvl w:ilvl="0" w:tplc="83FAAFE8">
      <w:start w:val="3"/>
      <w:numFmt w:val="decimal"/>
      <w:lvlText w:val="%1."/>
      <w:lvlJc w:val="left"/>
    </w:lvl>
    <w:lvl w:ilvl="1" w:tplc="C64011C2">
      <w:start w:val="1"/>
      <w:numFmt w:val="lowerLetter"/>
      <w:lvlText w:val="%2."/>
      <w:lvlJc w:val="left"/>
    </w:lvl>
    <w:lvl w:ilvl="2" w:tplc="8A9CFC64">
      <w:start w:val="1"/>
      <w:numFmt w:val="lowerRoman"/>
      <w:lvlText w:val="%3"/>
      <w:lvlJc w:val="left"/>
    </w:lvl>
    <w:lvl w:ilvl="3" w:tplc="38347674">
      <w:numFmt w:val="decimal"/>
      <w:lvlText w:val=""/>
      <w:lvlJc w:val="left"/>
    </w:lvl>
    <w:lvl w:ilvl="4" w:tplc="9B92DCA4">
      <w:numFmt w:val="decimal"/>
      <w:lvlText w:val=""/>
      <w:lvlJc w:val="left"/>
    </w:lvl>
    <w:lvl w:ilvl="5" w:tplc="16D681B4">
      <w:numFmt w:val="decimal"/>
      <w:lvlText w:val=""/>
      <w:lvlJc w:val="left"/>
    </w:lvl>
    <w:lvl w:ilvl="6" w:tplc="3F6459D6">
      <w:numFmt w:val="decimal"/>
      <w:lvlText w:val=""/>
      <w:lvlJc w:val="left"/>
    </w:lvl>
    <w:lvl w:ilvl="7" w:tplc="DD3E1DF2">
      <w:numFmt w:val="decimal"/>
      <w:lvlText w:val=""/>
      <w:lvlJc w:val="left"/>
    </w:lvl>
    <w:lvl w:ilvl="8" w:tplc="399A5C76">
      <w:numFmt w:val="decimal"/>
      <w:lvlText w:val=""/>
      <w:lvlJc w:val="left"/>
    </w:lvl>
  </w:abstractNum>
  <w:abstractNum w:abstractNumId="218" w15:restartNumberingAfterBreak="0">
    <w:nsid w:val="00001F16"/>
    <w:multiLevelType w:val="hybridMultilevel"/>
    <w:tmpl w:val="2A08F932"/>
    <w:lvl w:ilvl="0" w:tplc="590CA26A">
      <w:start w:val="13"/>
      <w:numFmt w:val="decimal"/>
      <w:lvlText w:val="(%1)"/>
      <w:lvlJc w:val="left"/>
    </w:lvl>
    <w:lvl w:ilvl="1" w:tplc="88046538">
      <w:start w:val="1"/>
      <w:numFmt w:val="lowerLetter"/>
      <w:lvlText w:val="(%2)"/>
      <w:lvlJc w:val="left"/>
      <w:rPr>
        <w:i w:val="0"/>
        <w:iCs w:val="0"/>
      </w:rPr>
    </w:lvl>
    <w:lvl w:ilvl="2" w:tplc="F05CBC3C">
      <w:numFmt w:val="decimal"/>
      <w:lvlText w:val=""/>
      <w:lvlJc w:val="left"/>
    </w:lvl>
    <w:lvl w:ilvl="3" w:tplc="C284CB7C">
      <w:numFmt w:val="decimal"/>
      <w:lvlText w:val=""/>
      <w:lvlJc w:val="left"/>
    </w:lvl>
    <w:lvl w:ilvl="4" w:tplc="E4343956">
      <w:numFmt w:val="decimal"/>
      <w:lvlText w:val=""/>
      <w:lvlJc w:val="left"/>
    </w:lvl>
    <w:lvl w:ilvl="5" w:tplc="F91C4438">
      <w:numFmt w:val="decimal"/>
      <w:lvlText w:val=""/>
      <w:lvlJc w:val="left"/>
    </w:lvl>
    <w:lvl w:ilvl="6" w:tplc="840AFD8A">
      <w:numFmt w:val="decimal"/>
      <w:lvlText w:val=""/>
      <w:lvlJc w:val="left"/>
    </w:lvl>
    <w:lvl w:ilvl="7" w:tplc="389C40E8">
      <w:numFmt w:val="decimal"/>
      <w:lvlText w:val=""/>
      <w:lvlJc w:val="left"/>
    </w:lvl>
    <w:lvl w:ilvl="8" w:tplc="5BD2F4C4">
      <w:numFmt w:val="decimal"/>
      <w:lvlText w:val=""/>
      <w:lvlJc w:val="left"/>
    </w:lvl>
  </w:abstractNum>
  <w:abstractNum w:abstractNumId="219" w15:restartNumberingAfterBreak="0">
    <w:nsid w:val="00001F57"/>
    <w:multiLevelType w:val="hybridMultilevel"/>
    <w:tmpl w:val="73922B5A"/>
    <w:lvl w:ilvl="0" w:tplc="9006DB9C">
      <w:start w:val="1"/>
      <w:numFmt w:val="decimal"/>
      <w:lvlText w:val="(%1)"/>
      <w:lvlJc w:val="left"/>
    </w:lvl>
    <w:lvl w:ilvl="1" w:tplc="93883504">
      <w:numFmt w:val="decimal"/>
      <w:lvlText w:val=""/>
      <w:lvlJc w:val="left"/>
    </w:lvl>
    <w:lvl w:ilvl="2" w:tplc="3738E024">
      <w:numFmt w:val="decimal"/>
      <w:lvlText w:val=""/>
      <w:lvlJc w:val="left"/>
    </w:lvl>
    <w:lvl w:ilvl="3" w:tplc="50147BF8">
      <w:numFmt w:val="decimal"/>
      <w:lvlText w:val=""/>
      <w:lvlJc w:val="left"/>
    </w:lvl>
    <w:lvl w:ilvl="4" w:tplc="51D02594">
      <w:numFmt w:val="decimal"/>
      <w:lvlText w:val=""/>
      <w:lvlJc w:val="left"/>
    </w:lvl>
    <w:lvl w:ilvl="5" w:tplc="0C26643A">
      <w:numFmt w:val="decimal"/>
      <w:lvlText w:val=""/>
      <w:lvlJc w:val="left"/>
    </w:lvl>
    <w:lvl w:ilvl="6" w:tplc="90EE6968">
      <w:numFmt w:val="decimal"/>
      <w:lvlText w:val=""/>
      <w:lvlJc w:val="left"/>
    </w:lvl>
    <w:lvl w:ilvl="7" w:tplc="4D9817B8">
      <w:numFmt w:val="decimal"/>
      <w:lvlText w:val=""/>
      <w:lvlJc w:val="left"/>
    </w:lvl>
    <w:lvl w:ilvl="8" w:tplc="3ECEB7FA">
      <w:numFmt w:val="decimal"/>
      <w:lvlText w:val=""/>
      <w:lvlJc w:val="left"/>
    </w:lvl>
  </w:abstractNum>
  <w:abstractNum w:abstractNumId="220" w15:restartNumberingAfterBreak="0">
    <w:nsid w:val="00001F77"/>
    <w:multiLevelType w:val="hybridMultilevel"/>
    <w:tmpl w:val="CECE5CCC"/>
    <w:lvl w:ilvl="0" w:tplc="7486C5E0">
      <w:start w:val="1"/>
      <w:numFmt w:val="decimal"/>
      <w:lvlText w:val="%1"/>
      <w:lvlJc w:val="left"/>
    </w:lvl>
    <w:lvl w:ilvl="1" w:tplc="A5F8924E">
      <w:start w:val="1"/>
      <w:numFmt w:val="lowerLetter"/>
      <w:lvlText w:val="(%2)"/>
      <w:lvlJc w:val="left"/>
    </w:lvl>
    <w:lvl w:ilvl="2" w:tplc="638EAAA2">
      <w:start w:val="1"/>
      <w:numFmt w:val="lowerLetter"/>
      <w:lvlText w:val="%3"/>
      <w:lvlJc w:val="left"/>
    </w:lvl>
    <w:lvl w:ilvl="3" w:tplc="93F8403A">
      <w:numFmt w:val="decimal"/>
      <w:lvlText w:val=""/>
      <w:lvlJc w:val="left"/>
    </w:lvl>
    <w:lvl w:ilvl="4" w:tplc="55E6E086">
      <w:numFmt w:val="decimal"/>
      <w:lvlText w:val=""/>
      <w:lvlJc w:val="left"/>
    </w:lvl>
    <w:lvl w:ilvl="5" w:tplc="11D2256C">
      <w:numFmt w:val="decimal"/>
      <w:lvlText w:val=""/>
      <w:lvlJc w:val="left"/>
    </w:lvl>
    <w:lvl w:ilvl="6" w:tplc="ED00C7A4">
      <w:numFmt w:val="decimal"/>
      <w:lvlText w:val=""/>
      <w:lvlJc w:val="left"/>
    </w:lvl>
    <w:lvl w:ilvl="7" w:tplc="8124A1B8">
      <w:numFmt w:val="decimal"/>
      <w:lvlText w:val=""/>
      <w:lvlJc w:val="left"/>
    </w:lvl>
    <w:lvl w:ilvl="8" w:tplc="8DB4A286">
      <w:numFmt w:val="decimal"/>
      <w:lvlText w:val=""/>
      <w:lvlJc w:val="left"/>
    </w:lvl>
  </w:abstractNum>
  <w:abstractNum w:abstractNumId="221" w15:restartNumberingAfterBreak="0">
    <w:nsid w:val="00001FAA"/>
    <w:multiLevelType w:val="hybridMultilevel"/>
    <w:tmpl w:val="44084ADA"/>
    <w:lvl w:ilvl="0" w:tplc="01A6BBE0">
      <w:start w:val="1"/>
      <w:numFmt w:val="lowerLetter"/>
      <w:lvlText w:val="%1"/>
      <w:lvlJc w:val="left"/>
    </w:lvl>
    <w:lvl w:ilvl="1" w:tplc="F4EA5E3C">
      <w:start w:val="5"/>
      <w:numFmt w:val="decimal"/>
      <w:lvlText w:val="%2."/>
      <w:lvlJc w:val="left"/>
    </w:lvl>
    <w:lvl w:ilvl="2" w:tplc="8CC62D64">
      <w:start w:val="1"/>
      <w:numFmt w:val="lowerLetter"/>
      <w:lvlText w:val="%3"/>
      <w:lvlJc w:val="left"/>
    </w:lvl>
    <w:lvl w:ilvl="3" w:tplc="E5A8107A">
      <w:numFmt w:val="decimal"/>
      <w:lvlText w:val=""/>
      <w:lvlJc w:val="left"/>
    </w:lvl>
    <w:lvl w:ilvl="4" w:tplc="8B76D132">
      <w:numFmt w:val="decimal"/>
      <w:lvlText w:val=""/>
      <w:lvlJc w:val="left"/>
    </w:lvl>
    <w:lvl w:ilvl="5" w:tplc="EA78A2F8">
      <w:numFmt w:val="decimal"/>
      <w:lvlText w:val=""/>
      <w:lvlJc w:val="left"/>
    </w:lvl>
    <w:lvl w:ilvl="6" w:tplc="9CA87C30">
      <w:numFmt w:val="decimal"/>
      <w:lvlText w:val=""/>
      <w:lvlJc w:val="left"/>
    </w:lvl>
    <w:lvl w:ilvl="7" w:tplc="BBB21A56">
      <w:numFmt w:val="decimal"/>
      <w:lvlText w:val=""/>
      <w:lvlJc w:val="left"/>
    </w:lvl>
    <w:lvl w:ilvl="8" w:tplc="D3446224">
      <w:numFmt w:val="decimal"/>
      <w:lvlText w:val=""/>
      <w:lvlJc w:val="left"/>
    </w:lvl>
  </w:abstractNum>
  <w:abstractNum w:abstractNumId="222" w15:restartNumberingAfterBreak="0">
    <w:nsid w:val="00001FD2"/>
    <w:multiLevelType w:val="hybridMultilevel"/>
    <w:tmpl w:val="BB621E42"/>
    <w:lvl w:ilvl="0" w:tplc="172C3090">
      <w:start w:val="1"/>
      <w:numFmt w:val="decimal"/>
      <w:lvlText w:val="%1"/>
      <w:lvlJc w:val="left"/>
    </w:lvl>
    <w:lvl w:ilvl="1" w:tplc="4FB4FDD4">
      <w:start w:val="3"/>
      <w:numFmt w:val="lowerLetter"/>
      <w:lvlText w:val="(%2)"/>
      <w:lvlJc w:val="left"/>
    </w:lvl>
    <w:lvl w:ilvl="2" w:tplc="46BE6124">
      <w:start w:val="1"/>
      <w:numFmt w:val="decimal"/>
      <w:lvlText w:val="%3."/>
      <w:lvlJc w:val="left"/>
    </w:lvl>
    <w:lvl w:ilvl="3" w:tplc="FDFC68AE">
      <w:numFmt w:val="decimal"/>
      <w:lvlText w:val=""/>
      <w:lvlJc w:val="left"/>
    </w:lvl>
    <w:lvl w:ilvl="4" w:tplc="41C0C6B6">
      <w:numFmt w:val="decimal"/>
      <w:lvlText w:val=""/>
      <w:lvlJc w:val="left"/>
    </w:lvl>
    <w:lvl w:ilvl="5" w:tplc="C338DC52">
      <w:numFmt w:val="decimal"/>
      <w:lvlText w:val=""/>
      <w:lvlJc w:val="left"/>
    </w:lvl>
    <w:lvl w:ilvl="6" w:tplc="C5A4AF4A">
      <w:numFmt w:val="decimal"/>
      <w:lvlText w:val=""/>
      <w:lvlJc w:val="left"/>
    </w:lvl>
    <w:lvl w:ilvl="7" w:tplc="17A69E00">
      <w:numFmt w:val="decimal"/>
      <w:lvlText w:val=""/>
      <w:lvlJc w:val="left"/>
    </w:lvl>
    <w:lvl w:ilvl="8" w:tplc="FD5ECA56">
      <w:numFmt w:val="decimal"/>
      <w:lvlText w:val=""/>
      <w:lvlJc w:val="left"/>
    </w:lvl>
  </w:abstractNum>
  <w:abstractNum w:abstractNumId="223" w15:restartNumberingAfterBreak="0">
    <w:nsid w:val="00001FE6"/>
    <w:multiLevelType w:val="hybridMultilevel"/>
    <w:tmpl w:val="32F42684"/>
    <w:lvl w:ilvl="0" w:tplc="096A80A6">
      <w:start w:val="1"/>
      <w:numFmt w:val="lowerLetter"/>
      <w:lvlText w:val="%1"/>
      <w:lvlJc w:val="left"/>
    </w:lvl>
    <w:lvl w:ilvl="1" w:tplc="CE96E740">
      <w:start w:val="1"/>
      <w:numFmt w:val="decimal"/>
      <w:lvlText w:val="%2"/>
      <w:lvlJc w:val="left"/>
    </w:lvl>
    <w:lvl w:ilvl="2" w:tplc="2624AC9C">
      <w:start w:val="7"/>
      <w:numFmt w:val="lowerLetter"/>
      <w:lvlText w:val="%3."/>
      <w:lvlJc w:val="left"/>
    </w:lvl>
    <w:lvl w:ilvl="3" w:tplc="63FE9AFA">
      <w:start w:val="1"/>
      <w:numFmt w:val="lowerRoman"/>
      <w:lvlText w:val="(%4)"/>
      <w:lvlJc w:val="left"/>
    </w:lvl>
    <w:lvl w:ilvl="4" w:tplc="F9D056A6">
      <w:numFmt w:val="decimal"/>
      <w:lvlText w:val=""/>
      <w:lvlJc w:val="left"/>
    </w:lvl>
    <w:lvl w:ilvl="5" w:tplc="7180A78E">
      <w:numFmt w:val="decimal"/>
      <w:lvlText w:val=""/>
      <w:lvlJc w:val="left"/>
    </w:lvl>
    <w:lvl w:ilvl="6" w:tplc="8BD84FAE">
      <w:numFmt w:val="decimal"/>
      <w:lvlText w:val=""/>
      <w:lvlJc w:val="left"/>
    </w:lvl>
    <w:lvl w:ilvl="7" w:tplc="56B005AA">
      <w:numFmt w:val="decimal"/>
      <w:lvlText w:val=""/>
      <w:lvlJc w:val="left"/>
    </w:lvl>
    <w:lvl w:ilvl="8" w:tplc="8EDE7C2E">
      <w:numFmt w:val="decimal"/>
      <w:lvlText w:val=""/>
      <w:lvlJc w:val="left"/>
    </w:lvl>
  </w:abstractNum>
  <w:abstractNum w:abstractNumId="224" w15:restartNumberingAfterBreak="0">
    <w:nsid w:val="00001FF8"/>
    <w:multiLevelType w:val="hybridMultilevel"/>
    <w:tmpl w:val="69289FB4"/>
    <w:lvl w:ilvl="0" w:tplc="24AEA2E0">
      <w:start w:val="2"/>
      <w:numFmt w:val="lowerLetter"/>
      <w:lvlText w:val="(%1)"/>
      <w:lvlJc w:val="left"/>
    </w:lvl>
    <w:lvl w:ilvl="1" w:tplc="01AEE48E">
      <w:start w:val="1"/>
      <w:numFmt w:val="decimal"/>
      <w:lvlText w:val="%2."/>
      <w:lvlJc w:val="left"/>
    </w:lvl>
    <w:lvl w:ilvl="2" w:tplc="A2B8FBF4">
      <w:start w:val="1"/>
      <w:numFmt w:val="lowerLetter"/>
      <w:lvlText w:val="%3"/>
      <w:lvlJc w:val="left"/>
    </w:lvl>
    <w:lvl w:ilvl="3" w:tplc="4C9ED740">
      <w:start w:val="1"/>
      <w:numFmt w:val="lowerRoman"/>
      <w:lvlText w:val="%4"/>
      <w:lvlJc w:val="left"/>
    </w:lvl>
    <w:lvl w:ilvl="4" w:tplc="30EA0B94">
      <w:numFmt w:val="decimal"/>
      <w:lvlText w:val=""/>
      <w:lvlJc w:val="left"/>
    </w:lvl>
    <w:lvl w:ilvl="5" w:tplc="9FC2478C">
      <w:numFmt w:val="decimal"/>
      <w:lvlText w:val=""/>
      <w:lvlJc w:val="left"/>
    </w:lvl>
    <w:lvl w:ilvl="6" w:tplc="20E2F0F8">
      <w:numFmt w:val="decimal"/>
      <w:lvlText w:val=""/>
      <w:lvlJc w:val="left"/>
    </w:lvl>
    <w:lvl w:ilvl="7" w:tplc="0868E336">
      <w:numFmt w:val="decimal"/>
      <w:lvlText w:val=""/>
      <w:lvlJc w:val="left"/>
    </w:lvl>
    <w:lvl w:ilvl="8" w:tplc="4D90E64E">
      <w:numFmt w:val="decimal"/>
      <w:lvlText w:val=""/>
      <w:lvlJc w:val="left"/>
    </w:lvl>
  </w:abstractNum>
  <w:abstractNum w:abstractNumId="225" w15:restartNumberingAfterBreak="0">
    <w:nsid w:val="00002002"/>
    <w:multiLevelType w:val="hybridMultilevel"/>
    <w:tmpl w:val="6C5A4590"/>
    <w:lvl w:ilvl="0" w:tplc="0E92618A">
      <w:start w:val="8"/>
      <w:numFmt w:val="decimal"/>
      <w:lvlText w:val="(%1)"/>
      <w:lvlJc w:val="left"/>
    </w:lvl>
    <w:lvl w:ilvl="1" w:tplc="63BA458E">
      <w:start w:val="1"/>
      <w:numFmt w:val="lowerLetter"/>
      <w:lvlText w:val="(%2)"/>
      <w:lvlJc w:val="left"/>
    </w:lvl>
    <w:lvl w:ilvl="2" w:tplc="AC608F92">
      <w:start w:val="1"/>
      <w:numFmt w:val="decimal"/>
      <w:lvlText w:val="%3."/>
      <w:lvlJc w:val="left"/>
    </w:lvl>
    <w:lvl w:ilvl="3" w:tplc="4942FEEC">
      <w:numFmt w:val="decimal"/>
      <w:lvlText w:val=""/>
      <w:lvlJc w:val="left"/>
    </w:lvl>
    <w:lvl w:ilvl="4" w:tplc="57B29C24">
      <w:numFmt w:val="decimal"/>
      <w:lvlText w:val=""/>
      <w:lvlJc w:val="left"/>
    </w:lvl>
    <w:lvl w:ilvl="5" w:tplc="B2365A52">
      <w:numFmt w:val="decimal"/>
      <w:lvlText w:val=""/>
      <w:lvlJc w:val="left"/>
    </w:lvl>
    <w:lvl w:ilvl="6" w:tplc="6284F692">
      <w:numFmt w:val="decimal"/>
      <w:lvlText w:val=""/>
      <w:lvlJc w:val="left"/>
    </w:lvl>
    <w:lvl w:ilvl="7" w:tplc="C324C02E">
      <w:numFmt w:val="decimal"/>
      <w:lvlText w:val=""/>
      <w:lvlJc w:val="left"/>
    </w:lvl>
    <w:lvl w:ilvl="8" w:tplc="45E60124">
      <w:numFmt w:val="decimal"/>
      <w:lvlText w:val=""/>
      <w:lvlJc w:val="left"/>
    </w:lvl>
  </w:abstractNum>
  <w:abstractNum w:abstractNumId="226" w15:restartNumberingAfterBreak="0">
    <w:nsid w:val="00002037"/>
    <w:multiLevelType w:val="hybridMultilevel"/>
    <w:tmpl w:val="CF42CE26"/>
    <w:lvl w:ilvl="0" w:tplc="166A2FCA">
      <w:start w:val="2"/>
      <w:numFmt w:val="lowerLetter"/>
      <w:lvlText w:val="%1."/>
      <w:lvlJc w:val="left"/>
    </w:lvl>
    <w:lvl w:ilvl="1" w:tplc="A150F79C">
      <w:numFmt w:val="decimal"/>
      <w:lvlText w:val=""/>
      <w:lvlJc w:val="left"/>
    </w:lvl>
    <w:lvl w:ilvl="2" w:tplc="A6B02548">
      <w:numFmt w:val="decimal"/>
      <w:lvlText w:val=""/>
      <w:lvlJc w:val="left"/>
    </w:lvl>
    <w:lvl w:ilvl="3" w:tplc="AECEB982">
      <w:numFmt w:val="decimal"/>
      <w:lvlText w:val=""/>
      <w:lvlJc w:val="left"/>
    </w:lvl>
    <w:lvl w:ilvl="4" w:tplc="4E9C39E4">
      <w:numFmt w:val="decimal"/>
      <w:lvlText w:val=""/>
      <w:lvlJc w:val="left"/>
    </w:lvl>
    <w:lvl w:ilvl="5" w:tplc="492452E4">
      <w:numFmt w:val="decimal"/>
      <w:lvlText w:val=""/>
      <w:lvlJc w:val="left"/>
    </w:lvl>
    <w:lvl w:ilvl="6" w:tplc="6074D612">
      <w:numFmt w:val="decimal"/>
      <w:lvlText w:val=""/>
      <w:lvlJc w:val="left"/>
    </w:lvl>
    <w:lvl w:ilvl="7" w:tplc="2018A2C0">
      <w:numFmt w:val="decimal"/>
      <w:lvlText w:val=""/>
      <w:lvlJc w:val="left"/>
    </w:lvl>
    <w:lvl w:ilvl="8" w:tplc="0F2AFE88">
      <w:numFmt w:val="decimal"/>
      <w:lvlText w:val=""/>
      <w:lvlJc w:val="left"/>
    </w:lvl>
  </w:abstractNum>
  <w:abstractNum w:abstractNumId="227" w15:restartNumberingAfterBreak="0">
    <w:nsid w:val="000020C3"/>
    <w:multiLevelType w:val="hybridMultilevel"/>
    <w:tmpl w:val="52D41D44"/>
    <w:lvl w:ilvl="0" w:tplc="0D607B96">
      <w:start w:val="3"/>
      <w:numFmt w:val="decimal"/>
      <w:lvlText w:val="%1."/>
      <w:lvlJc w:val="left"/>
    </w:lvl>
    <w:lvl w:ilvl="1" w:tplc="CBB8EA18">
      <w:start w:val="1"/>
      <w:numFmt w:val="lowerLetter"/>
      <w:lvlText w:val="%2."/>
      <w:lvlJc w:val="left"/>
    </w:lvl>
    <w:lvl w:ilvl="2" w:tplc="1DE66C56">
      <w:start w:val="1"/>
      <w:numFmt w:val="lowerRoman"/>
      <w:lvlText w:val="%3"/>
      <w:lvlJc w:val="left"/>
    </w:lvl>
    <w:lvl w:ilvl="3" w:tplc="97669886">
      <w:numFmt w:val="decimal"/>
      <w:lvlText w:val=""/>
      <w:lvlJc w:val="left"/>
    </w:lvl>
    <w:lvl w:ilvl="4" w:tplc="F942E1B2">
      <w:numFmt w:val="decimal"/>
      <w:lvlText w:val=""/>
      <w:lvlJc w:val="left"/>
    </w:lvl>
    <w:lvl w:ilvl="5" w:tplc="0BF627DA">
      <w:numFmt w:val="decimal"/>
      <w:lvlText w:val=""/>
      <w:lvlJc w:val="left"/>
    </w:lvl>
    <w:lvl w:ilvl="6" w:tplc="4B6E226C">
      <w:numFmt w:val="decimal"/>
      <w:lvlText w:val=""/>
      <w:lvlJc w:val="left"/>
    </w:lvl>
    <w:lvl w:ilvl="7" w:tplc="0142A09C">
      <w:numFmt w:val="decimal"/>
      <w:lvlText w:val=""/>
      <w:lvlJc w:val="left"/>
    </w:lvl>
    <w:lvl w:ilvl="8" w:tplc="31E8EA0A">
      <w:numFmt w:val="decimal"/>
      <w:lvlText w:val=""/>
      <w:lvlJc w:val="left"/>
    </w:lvl>
  </w:abstractNum>
  <w:abstractNum w:abstractNumId="228" w15:restartNumberingAfterBreak="0">
    <w:nsid w:val="000020CA"/>
    <w:multiLevelType w:val="hybridMultilevel"/>
    <w:tmpl w:val="8708C554"/>
    <w:lvl w:ilvl="0" w:tplc="D466D420">
      <w:start w:val="2"/>
      <w:numFmt w:val="lowerLetter"/>
      <w:lvlText w:val="(%1)"/>
      <w:lvlJc w:val="left"/>
    </w:lvl>
    <w:lvl w:ilvl="1" w:tplc="6FDE0808">
      <w:start w:val="1"/>
      <w:numFmt w:val="decimal"/>
      <w:lvlText w:val="%2."/>
      <w:lvlJc w:val="left"/>
    </w:lvl>
    <w:lvl w:ilvl="2" w:tplc="685CFA56">
      <w:start w:val="2"/>
      <w:numFmt w:val="lowerLetter"/>
      <w:lvlText w:val="%3."/>
      <w:lvlJc w:val="left"/>
    </w:lvl>
    <w:lvl w:ilvl="3" w:tplc="65AE593A">
      <w:start w:val="1"/>
      <w:numFmt w:val="lowerRoman"/>
      <w:lvlText w:val="%4."/>
      <w:lvlJc w:val="left"/>
    </w:lvl>
    <w:lvl w:ilvl="4" w:tplc="884657A8">
      <w:numFmt w:val="decimal"/>
      <w:lvlText w:val=""/>
      <w:lvlJc w:val="left"/>
    </w:lvl>
    <w:lvl w:ilvl="5" w:tplc="48287E34">
      <w:numFmt w:val="decimal"/>
      <w:lvlText w:val=""/>
      <w:lvlJc w:val="left"/>
    </w:lvl>
    <w:lvl w:ilvl="6" w:tplc="34761966">
      <w:numFmt w:val="decimal"/>
      <w:lvlText w:val=""/>
      <w:lvlJc w:val="left"/>
    </w:lvl>
    <w:lvl w:ilvl="7" w:tplc="A9CC8D6C">
      <w:numFmt w:val="decimal"/>
      <w:lvlText w:val=""/>
      <w:lvlJc w:val="left"/>
    </w:lvl>
    <w:lvl w:ilvl="8" w:tplc="035419FA">
      <w:numFmt w:val="decimal"/>
      <w:lvlText w:val=""/>
      <w:lvlJc w:val="left"/>
    </w:lvl>
  </w:abstractNum>
  <w:abstractNum w:abstractNumId="229" w15:restartNumberingAfterBreak="0">
    <w:nsid w:val="000020E3"/>
    <w:multiLevelType w:val="hybridMultilevel"/>
    <w:tmpl w:val="68C6EDCE"/>
    <w:lvl w:ilvl="0" w:tplc="9458A0F4">
      <w:start w:val="17"/>
      <w:numFmt w:val="decimal"/>
      <w:lvlText w:val="(%1)"/>
      <w:lvlJc w:val="left"/>
    </w:lvl>
    <w:lvl w:ilvl="1" w:tplc="57467D60">
      <w:numFmt w:val="decimal"/>
      <w:lvlText w:val=""/>
      <w:lvlJc w:val="left"/>
    </w:lvl>
    <w:lvl w:ilvl="2" w:tplc="4AAAC478">
      <w:numFmt w:val="decimal"/>
      <w:lvlText w:val=""/>
      <w:lvlJc w:val="left"/>
    </w:lvl>
    <w:lvl w:ilvl="3" w:tplc="C0E6BF3C">
      <w:numFmt w:val="decimal"/>
      <w:lvlText w:val=""/>
      <w:lvlJc w:val="left"/>
    </w:lvl>
    <w:lvl w:ilvl="4" w:tplc="14345468">
      <w:numFmt w:val="decimal"/>
      <w:lvlText w:val=""/>
      <w:lvlJc w:val="left"/>
    </w:lvl>
    <w:lvl w:ilvl="5" w:tplc="95182300">
      <w:numFmt w:val="decimal"/>
      <w:lvlText w:val=""/>
      <w:lvlJc w:val="left"/>
    </w:lvl>
    <w:lvl w:ilvl="6" w:tplc="1300449C">
      <w:numFmt w:val="decimal"/>
      <w:lvlText w:val=""/>
      <w:lvlJc w:val="left"/>
    </w:lvl>
    <w:lvl w:ilvl="7" w:tplc="61768168">
      <w:numFmt w:val="decimal"/>
      <w:lvlText w:val=""/>
      <w:lvlJc w:val="left"/>
    </w:lvl>
    <w:lvl w:ilvl="8" w:tplc="0CA6B45C">
      <w:numFmt w:val="decimal"/>
      <w:lvlText w:val=""/>
      <w:lvlJc w:val="left"/>
    </w:lvl>
  </w:abstractNum>
  <w:abstractNum w:abstractNumId="230" w15:restartNumberingAfterBreak="0">
    <w:nsid w:val="00002123"/>
    <w:multiLevelType w:val="hybridMultilevel"/>
    <w:tmpl w:val="0C125E1C"/>
    <w:lvl w:ilvl="0" w:tplc="1106555E">
      <w:start w:val="1"/>
      <w:numFmt w:val="decimal"/>
      <w:lvlText w:val="%1"/>
      <w:lvlJc w:val="left"/>
    </w:lvl>
    <w:lvl w:ilvl="1" w:tplc="4768BFE6">
      <w:start w:val="1"/>
      <w:numFmt w:val="lowerLetter"/>
      <w:lvlText w:val="%2"/>
      <w:lvlJc w:val="left"/>
    </w:lvl>
    <w:lvl w:ilvl="2" w:tplc="4EA0DC04">
      <w:start w:val="1"/>
      <w:numFmt w:val="decimal"/>
      <w:lvlText w:val="%3."/>
      <w:lvlJc w:val="left"/>
    </w:lvl>
    <w:lvl w:ilvl="3" w:tplc="35626758">
      <w:numFmt w:val="decimal"/>
      <w:lvlText w:val=""/>
      <w:lvlJc w:val="left"/>
    </w:lvl>
    <w:lvl w:ilvl="4" w:tplc="300C8C9E">
      <w:numFmt w:val="decimal"/>
      <w:lvlText w:val=""/>
      <w:lvlJc w:val="left"/>
    </w:lvl>
    <w:lvl w:ilvl="5" w:tplc="309A01DE">
      <w:numFmt w:val="decimal"/>
      <w:lvlText w:val=""/>
      <w:lvlJc w:val="left"/>
    </w:lvl>
    <w:lvl w:ilvl="6" w:tplc="1BE0AA10">
      <w:numFmt w:val="decimal"/>
      <w:lvlText w:val=""/>
      <w:lvlJc w:val="left"/>
    </w:lvl>
    <w:lvl w:ilvl="7" w:tplc="C6DC7A20">
      <w:numFmt w:val="decimal"/>
      <w:lvlText w:val=""/>
      <w:lvlJc w:val="left"/>
    </w:lvl>
    <w:lvl w:ilvl="8" w:tplc="AB0A40E8">
      <w:numFmt w:val="decimal"/>
      <w:lvlText w:val=""/>
      <w:lvlJc w:val="left"/>
    </w:lvl>
  </w:abstractNum>
  <w:abstractNum w:abstractNumId="231" w15:restartNumberingAfterBreak="0">
    <w:nsid w:val="00002126"/>
    <w:multiLevelType w:val="hybridMultilevel"/>
    <w:tmpl w:val="52A61A4C"/>
    <w:lvl w:ilvl="0" w:tplc="1C485B6A">
      <w:start w:val="1"/>
      <w:numFmt w:val="decimal"/>
      <w:lvlText w:val="%1"/>
      <w:lvlJc w:val="left"/>
    </w:lvl>
    <w:lvl w:ilvl="1" w:tplc="8E7A5C9C">
      <w:start w:val="1"/>
      <w:numFmt w:val="lowerLetter"/>
      <w:lvlText w:val="%2"/>
      <w:lvlJc w:val="left"/>
    </w:lvl>
    <w:lvl w:ilvl="2" w:tplc="5D922328">
      <w:start w:val="1"/>
      <w:numFmt w:val="decimal"/>
      <w:lvlText w:val="%3."/>
      <w:lvlJc w:val="left"/>
    </w:lvl>
    <w:lvl w:ilvl="3" w:tplc="224E909C">
      <w:start w:val="1"/>
      <w:numFmt w:val="lowerLetter"/>
      <w:lvlText w:val="%4"/>
      <w:lvlJc w:val="left"/>
    </w:lvl>
    <w:lvl w:ilvl="4" w:tplc="4076460E">
      <w:numFmt w:val="decimal"/>
      <w:lvlText w:val=""/>
      <w:lvlJc w:val="left"/>
    </w:lvl>
    <w:lvl w:ilvl="5" w:tplc="0F105652">
      <w:numFmt w:val="decimal"/>
      <w:lvlText w:val=""/>
      <w:lvlJc w:val="left"/>
    </w:lvl>
    <w:lvl w:ilvl="6" w:tplc="06D0D2CC">
      <w:numFmt w:val="decimal"/>
      <w:lvlText w:val=""/>
      <w:lvlJc w:val="left"/>
    </w:lvl>
    <w:lvl w:ilvl="7" w:tplc="9B5232AC">
      <w:numFmt w:val="decimal"/>
      <w:lvlText w:val=""/>
      <w:lvlJc w:val="left"/>
    </w:lvl>
    <w:lvl w:ilvl="8" w:tplc="753E6F6C">
      <w:numFmt w:val="decimal"/>
      <w:lvlText w:val=""/>
      <w:lvlJc w:val="left"/>
    </w:lvl>
  </w:abstractNum>
  <w:abstractNum w:abstractNumId="232" w15:restartNumberingAfterBreak="0">
    <w:nsid w:val="00002162"/>
    <w:multiLevelType w:val="hybridMultilevel"/>
    <w:tmpl w:val="B5D2EC44"/>
    <w:lvl w:ilvl="0" w:tplc="7A8E05C0">
      <w:start w:val="3"/>
      <w:numFmt w:val="lowerLetter"/>
      <w:lvlText w:val="(%1)"/>
      <w:lvlJc w:val="left"/>
    </w:lvl>
    <w:lvl w:ilvl="1" w:tplc="F48C6184">
      <w:start w:val="1"/>
      <w:numFmt w:val="decimal"/>
      <w:lvlText w:val="%2"/>
      <w:lvlJc w:val="left"/>
    </w:lvl>
    <w:lvl w:ilvl="2" w:tplc="9E4E8CBE">
      <w:numFmt w:val="decimal"/>
      <w:lvlText w:val=""/>
      <w:lvlJc w:val="left"/>
    </w:lvl>
    <w:lvl w:ilvl="3" w:tplc="E12C087E">
      <w:numFmt w:val="decimal"/>
      <w:lvlText w:val=""/>
      <w:lvlJc w:val="left"/>
    </w:lvl>
    <w:lvl w:ilvl="4" w:tplc="20D02D66">
      <w:numFmt w:val="decimal"/>
      <w:lvlText w:val=""/>
      <w:lvlJc w:val="left"/>
    </w:lvl>
    <w:lvl w:ilvl="5" w:tplc="F1AE263E">
      <w:numFmt w:val="decimal"/>
      <w:lvlText w:val=""/>
      <w:lvlJc w:val="left"/>
    </w:lvl>
    <w:lvl w:ilvl="6" w:tplc="60E46110">
      <w:numFmt w:val="decimal"/>
      <w:lvlText w:val=""/>
      <w:lvlJc w:val="left"/>
    </w:lvl>
    <w:lvl w:ilvl="7" w:tplc="0044806A">
      <w:numFmt w:val="decimal"/>
      <w:lvlText w:val=""/>
      <w:lvlJc w:val="left"/>
    </w:lvl>
    <w:lvl w:ilvl="8" w:tplc="E15AE5D6">
      <w:numFmt w:val="decimal"/>
      <w:lvlText w:val=""/>
      <w:lvlJc w:val="left"/>
    </w:lvl>
  </w:abstractNum>
  <w:abstractNum w:abstractNumId="233" w15:restartNumberingAfterBreak="0">
    <w:nsid w:val="00002167"/>
    <w:multiLevelType w:val="hybridMultilevel"/>
    <w:tmpl w:val="A280A522"/>
    <w:lvl w:ilvl="0" w:tplc="95F2D110">
      <w:start w:val="1"/>
      <w:numFmt w:val="decimal"/>
      <w:lvlText w:val="%1"/>
      <w:lvlJc w:val="left"/>
    </w:lvl>
    <w:lvl w:ilvl="1" w:tplc="FE1E5E04">
      <w:start w:val="1"/>
      <w:numFmt w:val="lowerLetter"/>
      <w:lvlText w:val="%2"/>
      <w:lvlJc w:val="left"/>
    </w:lvl>
    <w:lvl w:ilvl="2" w:tplc="129C2FBA">
      <w:start w:val="2"/>
      <w:numFmt w:val="decimal"/>
      <w:lvlText w:val="%3."/>
      <w:lvlJc w:val="left"/>
    </w:lvl>
    <w:lvl w:ilvl="3" w:tplc="3FAC38FC">
      <w:start w:val="1"/>
      <w:numFmt w:val="lowerLetter"/>
      <w:lvlText w:val="%4"/>
      <w:lvlJc w:val="left"/>
    </w:lvl>
    <w:lvl w:ilvl="4" w:tplc="A004223A">
      <w:numFmt w:val="decimal"/>
      <w:lvlText w:val=""/>
      <w:lvlJc w:val="left"/>
    </w:lvl>
    <w:lvl w:ilvl="5" w:tplc="68981584">
      <w:numFmt w:val="decimal"/>
      <w:lvlText w:val=""/>
      <w:lvlJc w:val="left"/>
    </w:lvl>
    <w:lvl w:ilvl="6" w:tplc="D3B66CF8">
      <w:numFmt w:val="decimal"/>
      <w:lvlText w:val=""/>
      <w:lvlJc w:val="left"/>
    </w:lvl>
    <w:lvl w:ilvl="7" w:tplc="D55E249C">
      <w:numFmt w:val="decimal"/>
      <w:lvlText w:val=""/>
      <w:lvlJc w:val="left"/>
    </w:lvl>
    <w:lvl w:ilvl="8" w:tplc="EB84E536">
      <w:numFmt w:val="decimal"/>
      <w:lvlText w:val=""/>
      <w:lvlJc w:val="left"/>
    </w:lvl>
  </w:abstractNum>
  <w:abstractNum w:abstractNumId="234" w15:restartNumberingAfterBreak="0">
    <w:nsid w:val="00002173"/>
    <w:multiLevelType w:val="hybridMultilevel"/>
    <w:tmpl w:val="C220CB4C"/>
    <w:lvl w:ilvl="0" w:tplc="9EC68370">
      <w:start w:val="2"/>
      <w:numFmt w:val="decimal"/>
      <w:lvlText w:val="%1."/>
      <w:lvlJc w:val="left"/>
    </w:lvl>
    <w:lvl w:ilvl="1" w:tplc="EFF428E6">
      <w:numFmt w:val="decimal"/>
      <w:lvlText w:val=""/>
      <w:lvlJc w:val="left"/>
    </w:lvl>
    <w:lvl w:ilvl="2" w:tplc="86A036B8">
      <w:numFmt w:val="decimal"/>
      <w:lvlText w:val=""/>
      <w:lvlJc w:val="left"/>
    </w:lvl>
    <w:lvl w:ilvl="3" w:tplc="8624A43E">
      <w:numFmt w:val="decimal"/>
      <w:lvlText w:val=""/>
      <w:lvlJc w:val="left"/>
    </w:lvl>
    <w:lvl w:ilvl="4" w:tplc="812C123C">
      <w:numFmt w:val="decimal"/>
      <w:lvlText w:val=""/>
      <w:lvlJc w:val="left"/>
    </w:lvl>
    <w:lvl w:ilvl="5" w:tplc="FC4EC084">
      <w:numFmt w:val="decimal"/>
      <w:lvlText w:val=""/>
      <w:lvlJc w:val="left"/>
    </w:lvl>
    <w:lvl w:ilvl="6" w:tplc="FFB43EF4">
      <w:numFmt w:val="decimal"/>
      <w:lvlText w:val=""/>
      <w:lvlJc w:val="left"/>
    </w:lvl>
    <w:lvl w:ilvl="7" w:tplc="7D664072">
      <w:numFmt w:val="decimal"/>
      <w:lvlText w:val=""/>
      <w:lvlJc w:val="left"/>
    </w:lvl>
    <w:lvl w:ilvl="8" w:tplc="BBAE92EE">
      <w:numFmt w:val="decimal"/>
      <w:lvlText w:val=""/>
      <w:lvlJc w:val="left"/>
    </w:lvl>
  </w:abstractNum>
  <w:abstractNum w:abstractNumId="235" w15:restartNumberingAfterBreak="0">
    <w:nsid w:val="000021A2"/>
    <w:multiLevelType w:val="hybridMultilevel"/>
    <w:tmpl w:val="1F462664"/>
    <w:lvl w:ilvl="0" w:tplc="3D485CC8">
      <w:start w:val="1"/>
      <w:numFmt w:val="lowerLetter"/>
      <w:lvlText w:val="%1"/>
      <w:lvlJc w:val="left"/>
    </w:lvl>
    <w:lvl w:ilvl="1" w:tplc="CEA2A9C6">
      <w:start w:val="310"/>
      <w:numFmt w:val="decimal"/>
      <w:lvlText w:val="%2"/>
      <w:lvlJc w:val="left"/>
    </w:lvl>
    <w:lvl w:ilvl="2" w:tplc="8478553E">
      <w:numFmt w:val="decimal"/>
      <w:lvlText w:val=""/>
      <w:lvlJc w:val="left"/>
    </w:lvl>
    <w:lvl w:ilvl="3" w:tplc="A03A4DE8">
      <w:numFmt w:val="decimal"/>
      <w:lvlText w:val=""/>
      <w:lvlJc w:val="left"/>
    </w:lvl>
    <w:lvl w:ilvl="4" w:tplc="36362AD8">
      <w:numFmt w:val="decimal"/>
      <w:lvlText w:val=""/>
      <w:lvlJc w:val="left"/>
    </w:lvl>
    <w:lvl w:ilvl="5" w:tplc="2580F5D2">
      <w:numFmt w:val="decimal"/>
      <w:lvlText w:val=""/>
      <w:lvlJc w:val="left"/>
    </w:lvl>
    <w:lvl w:ilvl="6" w:tplc="41B64E46">
      <w:numFmt w:val="decimal"/>
      <w:lvlText w:val=""/>
      <w:lvlJc w:val="left"/>
    </w:lvl>
    <w:lvl w:ilvl="7" w:tplc="435229A4">
      <w:numFmt w:val="decimal"/>
      <w:lvlText w:val=""/>
      <w:lvlJc w:val="left"/>
    </w:lvl>
    <w:lvl w:ilvl="8" w:tplc="BD2CDA62">
      <w:numFmt w:val="decimal"/>
      <w:lvlText w:val=""/>
      <w:lvlJc w:val="left"/>
    </w:lvl>
  </w:abstractNum>
  <w:abstractNum w:abstractNumId="236" w15:restartNumberingAfterBreak="0">
    <w:nsid w:val="000021A8"/>
    <w:multiLevelType w:val="hybridMultilevel"/>
    <w:tmpl w:val="4E629578"/>
    <w:lvl w:ilvl="0" w:tplc="B20E4850">
      <w:start w:val="5"/>
      <w:numFmt w:val="decimal"/>
      <w:lvlText w:val="(%1)"/>
      <w:lvlJc w:val="left"/>
    </w:lvl>
    <w:lvl w:ilvl="1" w:tplc="B7E8F3A6">
      <w:start w:val="1"/>
      <w:numFmt w:val="lowerLetter"/>
      <w:lvlText w:val="%2"/>
      <w:lvlJc w:val="left"/>
    </w:lvl>
    <w:lvl w:ilvl="2" w:tplc="B254BCE6">
      <w:numFmt w:val="decimal"/>
      <w:lvlText w:val=""/>
      <w:lvlJc w:val="left"/>
    </w:lvl>
    <w:lvl w:ilvl="3" w:tplc="39EC77E2">
      <w:numFmt w:val="decimal"/>
      <w:lvlText w:val=""/>
      <w:lvlJc w:val="left"/>
    </w:lvl>
    <w:lvl w:ilvl="4" w:tplc="80745678">
      <w:numFmt w:val="decimal"/>
      <w:lvlText w:val=""/>
      <w:lvlJc w:val="left"/>
    </w:lvl>
    <w:lvl w:ilvl="5" w:tplc="8F6A72E8">
      <w:numFmt w:val="decimal"/>
      <w:lvlText w:val=""/>
      <w:lvlJc w:val="left"/>
    </w:lvl>
    <w:lvl w:ilvl="6" w:tplc="CDB885B2">
      <w:numFmt w:val="decimal"/>
      <w:lvlText w:val=""/>
      <w:lvlJc w:val="left"/>
    </w:lvl>
    <w:lvl w:ilvl="7" w:tplc="766C7F52">
      <w:numFmt w:val="decimal"/>
      <w:lvlText w:val=""/>
      <w:lvlJc w:val="left"/>
    </w:lvl>
    <w:lvl w:ilvl="8" w:tplc="FEAA7116">
      <w:numFmt w:val="decimal"/>
      <w:lvlText w:val=""/>
      <w:lvlJc w:val="left"/>
    </w:lvl>
  </w:abstractNum>
  <w:abstractNum w:abstractNumId="237" w15:restartNumberingAfterBreak="0">
    <w:nsid w:val="000021BE"/>
    <w:multiLevelType w:val="hybridMultilevel"/>
    <w:tmpl w:val="DD604D92"/>
    <w:lvl w:ilvl="0" w:tplc="4E3E1E44">
      <w:start w:val="6"/>
      <w:numFmt w:val="decimal"/>
      <w:lvlText w:val="(%1)"/>
      <w:lvlJc w:val="left"/>
    </w:lvl>
    <w:lvl w:ilvl="1" w:tplc="9E769982">
      <w:start w:val="1"/>
      <w:numFmt w:val="lowerLetter"/>
      <w:lvlText w:val="(%2)"/>
      <w:lvlJc w:val="left"/>
    </w:lvl>
    <w:lvl w:ilvl="2" w:tplc="B8DC513E">
      <w:numFmt w:val="decimal"/>
      <w:lvlText w:val=""/>
      <w:lvlJc w:val="left"/>
    </w:lvl>
    <w:lvl w:ilvl="3" w:tplc="06E6F19E">
      <w:numFmt w:val="decimal"/>
      <w:lvlText w:val=""/>
      <w:lvlJc w:val="left"/>
    </w:lvl>
    <w:lvl w:ilvl="4" w:tplc="F894FABC">
      <w:numFmt w:val="decimal"/>
      <w:lvlText w:val=""/>
      <w:lvlJc w:val="left"/>
    </w:lvl>
    <w:lvl w:ilvl="5" w:tplc="9DB49CB4">
      <w:numFmt w:val="decimal"/>
      <w:lvlText w:val=""/>
      <w:lvlJc w:val="left"/>
    </w:lvl>
    <w:lvl w:ilvl="6" w:tplc="0EBCA7D2">
      <w:numFmt w:val="decimal"/>
      <w:lvlText w:val=""/>
      <w:lvlJc w:val="left"/>
    </w:lvl>
    <w:lvl w:ilvl="7" w:tplc="9BF48E7A">
      <w:numFmt w:val="decimal"/>
      <w:lvlText w:val=""/>
      <w:lvlJc w:val="left"/>
    </w:lvl>
    <w:lvl w:ilvl="8" w:tplc="77847A6A">
      <w:numFmt w:val="decimal"/>
      <w:lvlText w:val=""/>
      <w:lvlJc w:val="left"/>
    </w:lvl>
  </w:abstractNum>
  <w:abstractNum w:abstractNumId="238" w15:restartNumberingAfterBreak="0">
    <w:nsid w:val="000021DE"/>
    <w:multiLevelType w:val="hybridMultilevel"/>
    <w:tmpl w:val="C628A418"/>
    <w:lvl w:ilvl="0" w:tplc="B290D26E">
      <w:start w:val="3"/>
      <w:numFmt w:val="lowerLetter"/>
      <w:lvlText w:val="(%1)"/>
      <w:lvlJc w:val="left"/>
    </w:lvl>
    <w:lvl w:ilvl="1" w:tplc="5D026CC4">
      <w:numFmt w:val="decimal"/>
      <w:lvlText w:val=""/>
      <w:lvlJc w:val="left"/>
    </w:lvl>
    <w:lvl w:ilvl="2" w:tplc="0A887EE0">
      <w:numFmt w:val="decimal"/>
      <w:lvlText w:val=""/>
      <w:lvlJc w:val="left"/>
    </w:lvl>
    <w:lvl w:ilvl="3" w:tplc="BE50AE4A">
      <w:numFmt w:val="decimal"/>
      <w:lvlText w:val=""/>
      <w:lvlJc w:val="left"/>
    </w:lvl>
    <w:lvl w:ilvl="4" w:tplc="D2189284">
      <w:numFmt w:val="decimal"/>
      <w:lvlText w:val=""/>
      <w:lvlJc w:val="left"/>
    </w:lvl>
    <w:lvl w:ilvl="5" w:tplc="7708E9FE">
      <w:numFmt w:val="decimal"/>
      <w:lvlText w:val=""/>
      <w:lvlJc w:val="left"/>
    </w:lvl>
    <w:lvl w:ilvl="6" w:tplc="3A02CE94">
      <w:numFmt w:val="decimal"/>
      <w:lvlText w:val=""/>
      <w:lvlJc w:val="left"/>
    </w:lvl>
    <w:lvl w:ilvl="7" w:tplc="BA1087CA">
      <w:numFmt w:val="decimal"/>
      <w:lvlText w:val=""/>
      <w:lvlJc w:val="left"/>
    </w:lvl>
    <w:lvl w:ilvl="8" w:tplc="EEBAE540">
      <w:numFmt w:val="decimal"/>
      <w:lvlText w:val=""/>
      <w:lvlJc w:val="left"/>
    </w:lvl>
  </w:abstractNum>
  <w:abstractNum w:abstractNumId="239" w15:restartNumberingAfterBreak="0">
    <w:nsid w:val="000021E9"/>
    <w:multiLevelType w:val="hybridMultilevel"/>
    <w:tmpl w:val="0096C946"/>
    <w:lvl w:ilvl="0" w:tplc="08E219D2">
      <w:start w:val="1"/>
      <w:numFmt w:val="lowerLetter"/>
      <w:lvlText w:val="%1."/>
      <w:lvlJc w:val="left"/>
    </w:lvl>
    <w:lvl w:ilvl="1" w:tplc="FE246AB8">
      <w:start w:val="1"/>
      <w:numFmt w:val="lowerRoman"/>
      <w:lvlText w:val="%2."/>
      <w:lvlJc w:val="left"/>
    </w:lvl>
    <w:lvl w:ilvl="2" w:tplc="B70859B2">
      <w:numFmt w:val="decimal"/>
      <w:lvlText w:val=""/>
      <w:lvlJc w:val="left"/>
    </w:lvl>
    <w:lvl w:ilvl="3" w:tplc="76AE94F0">
      <w:numFmt w:val="decimal"/>
      <w:lvlText w:val=""/>
      <w:lvlJc w:val="left"/>
    </w:lvl>
    <w:lvl w:ilvl="4" w:tplc="610470E8">
      <w:numFmt w:val="decimal"/>
      <w:lvlText w:val=""/>
      <w:lvlJc w:val="left"/>
    </w:lvl>
    <w:lvl w:ilvl="5" w:tplc="15804C0C">
      <w:numFmt w:val="decimal"/>
      <w:lvlText w:val=""/>
      <w:lvlJc w:val="left"/>
    </w:lvl>
    <w:lvl w:ilvl="6" w:tplc="F72A97DA">
      <w:numFmt w:val="decimal"/>
      <w:lvlText w:val=""/>
      <w:lvlJc w:val="left"/>
    </w:lvl>
    <w:lvl w:ilvl="7" w:tplc="EA9E3738">
      <w:numFmt w:val="decimal"/>
      <w:lvlText w:val=""/>
      <w:lvlJc w:val="left"/>
    </w:lvl>
    <w:lvl w:ilvl="8" w:tplc="D68424AA">
      <w:numFmt w:val="decimal"/>
      <w:lvlText w:val=""/>
      <w:lvlJc w:val="left"/>
    </w:lvl>
  </w:abstractNum>
  <w:abstractNum w:abstractNumId="240" w15:restartNumberingAfterBreak="0">
    <w:nsid w:val="0000220A"/>
    <w:multiLevelType w:val="hybridMultilevel"/>
    <w:tmpl w:val="A12817EC"/>
    <w:lvl w:ilvl="0" w:tplc="2460E2CE">
      <w:start w:val="3"/>
      <w:numFmt w:val="decimal"/>
      <w:lvlText w:val="%1."/>
      <w:lvlJc w:val="left"/>
    </w:lvl>
    <w:lvl w:ilvl="1" w:tplc="A462E244">
      <w:start w:val="1"/>
      <w:numFmt w:val="lowerLetter"/>
      <w:lvlText w:val="%2."/>
      <w:lvlJc w:val="left"/>
    </w:lvl>
    <w:lvl w:ilvl="2" w:tplc="F3C44072">
      <w:start w:val="1"/>
      <w:numFmt w:val="lowerRoman"/>
      <w:lvlText w:val="%3."/>
      <w:lvlJc w:val="left"/>
    </w:lvl>
    <w:lvl w:ilvl="3" w:tplc="D5829030">
      <w:numFmt w:val="decimal"/>
      <w:lvlText w:val=""/>
      <w:lvlJc w:val="left"/>
    </w:lvl>
    <w:lvl w:ilvl="4" w:tplc="FB082C72">
      <w:numFmt w:val="decimal"/>
      <w:lvlText w:val=""/>
      <w:lvlJc w:val="left"/>
    </w:lvl>
    <w:lvl w:ilvl="5" w:tplc="9FBEC5E6">
      <w:numFmt w:val="decimal"/>
      <w:lvlText w:val=""/>
      <w:lvlJc w:val="left"/>
    </w:lvl>
    <w:lvl w:ilvl="6" w:tplc="B692909E">
      <w:numFmt w:val="decimal"/>
      <w:lvlText w:val=""/>
      <w:lvlJc w:val="left"/>
    </w:lvl>
    <w:lvl w:ilvl="7" w:tplc="A6CA26B4">
      <w:numFmt w:val="decimal"/>
      <w:lvlText w:val=""/>
      <w:lvlJc w:val="left"/>
    </w:lvl>
    <w:lvl w:ilvl="8" w:tplc="4A6EDB7A">
      <w:numFmt w:val="decimal"/>
      <w:lvlText w:val=""/>
      <w:lvlJc w:val="left"/>
    </w:lvl>
  </w:abstractNum>
  <w:abstractNum w:abstractNumId="241" w15:restartNumberingAfterBreak="0">
    <w:nsid w:val="00002222"/>
    <w:multiLevelType w:val="hybridMultilevel"/>
    <w:tmpl w:val="BD3E9D30"/>
    <w:lvl w:ilvl="0" w:tplc="C9EAB9C6">
      <w:start w:val="7"/>
      <w:numFmt w:val="decimal"/>
      <w:lvlText w:val="(%1)"/>
      <w:lvlJc w:val="left"/>
    </w:lvl>
    <w:lvl w:ilvl="1" w:tplc="6E0EAD6E">
      <w:start w:val="1"/>
      <w:numFmt w:val="lowerLetter"/>
      <w:lvlText w:val="(%2)"/>
      <w:lvlJc w:val="left"/>
    </w:lvl>
    <w:lvl w:ilvl="2" w:tplc="00841266">
      <w:start w:val="1"/>
      <w:numFmt w:val="decimal"/>
      <w:lvlText w:val="%3."/>
      <w:lvlJc w:val="left"/>
    </w:lvl>
    <w:lvl w:ilvl="3" w:tplc="291EB8D6">
      <w:start w:val="1"/>
      <w:numFmt w:val="lowerLetter"/>
      <w:lvlText w:val="%4"/>
      <w:lvlJc w:val="left"/>
    </w:lvl>
    <w:lvl w:ilvl="4" w:tplc="9704E964">
      <w:numFmt w:val="decimal"/>
      <w:lvlText w:val=""/>
      <w:lvlJc w:val="left"/>
    </w:lvl>
    <w:lvl w:ilvl="5" w:tplc="31E8EF70">
      <w:numFmt w:val="decimal"/>
      <w:lvlText w:val=""/>
      <w:lvlJc w:val="left"/>
    </w:lvl>
    <w:lvl w:ilvl="6" w:tplc="2EA2870C">
      <w:numFmt w:val="decimal"/>
      <w:lvlText w:val=""/>
      <w:lvlJc w:val="left"/>
    </w:lvl>
    <w:lvl w:ilvl="7" w:tplc="76621B14">
      <w:numFmt w:val="decimal"/>
      <w:lvlText w:val=""/>
      <w:lvlJc w:val="left"/>
    </w:lvl>
    <w:lvl w:ilvl="8" w:tplc="36A02A54">
      <w:numFmt w:val="decimal"/>
      <w:lvlText w:val=""/>
      <w:lvlJc w:val="left"/>
    </w:lvl>
  </w:abstractNum>
  <w:abstractNum w:abstractNumId="242" w15:restartNumberingAfterBreak="0">
    <w:nsid w:val="00002230"/>
    <w:multiLevelType w:val="hybridMultilevel"/>
    <w:tmpl w:val="996C5876"/>
    <w:lvl w:ilvl="0" w:tplc="23B6400C">
      <w:start w:val="27"/>
      <w:numFmt w:val="decimal"/>
      <w:lvlText w:val="(%1)"/>
      <w:lvlJc w:val="left"/>
    </w:lvl>
    <w:lvl w:ilvl="1" w:tplc="80BAC5D4">
      <w:start w:val="1"/>
      <w:numFmt w:val="lowerLetter"/>
      <w:lvlText w:val="(%2)"/>
      <w:lvlJc w:val="left"/>
    </w:lvl>
    <w:lvl w:ilvl="2" w:tplc="FD066812">
      <w:numFmt w:val="decimal"/>
      <w:lvlText w:val=""/>
      <w:lvlJc w:val="left"/>
    </w:lvl>
    <w:lvl w:ilvl="3" w:tplc="0B4234FE">
      <w:numFmt w:val="decimal"/>
      <w:lvlText w:val=""/>
      <w:lvlJc w:val="left"/>
    </w:lvl>
    <w:lvl w:ilvl="4" w:tplc="5D68C390">
      <w:numFmt w:val="decimal"/>
      <w:lvlText w:val=""/>
      <w:lvlJc w:val="left"/>
    </w:lvl>
    <w:lvl w:ilvl="5" w:tplc="1D06E92E">
      <w:numFmt w:val="decimal"/>
      <w:lvlText w:val=""/>
      <w:lvlJc w:val="left"/>
    </w:lvl>
    <w:lvl w:ilvl="6" w:tplc="2A426CCC">
      <w:numFmt w:val="decimal"/>
      <w:lvlText w:val=""/>
      <w:lvlJc w:val="left"/>
    </w:lvl>
    <w:lvl w:ilvl="7" w:tplc="680049E6">
      <w:numFmt w:val="decimal"/>
      <w:lvlText w:val=""/>
      <w:lvlJc w:val="left"/>
    </w:lvl>
    <w:lvl w:ilvl="8" w:tplc="641AB420">
      <w:numFmt w:val="decimal"/>
      <w:lvlText w:val=""/>
      <w:lvlJc w:val="left"/>
    </w:lvl>
  </w:abstractNum>
  <w:abstractNum w:abstractNumId="243" w15:restartNumberingAfterBreak="0">
    <w:nsid w:val="00002231"/>
    <w:multiLevelType w:val="hybridMultilevel"/>
    <w:tmpl w:val="D1C64F9C"/>
    <w:lvl w:ilvl="0" w:tplc="679E7F40">
      <w:start w:val="4"/>
      <w:numFmt w:val="lowerRoman"/>
      <w:lvlText w:val="%1."/>
      <w:lvlJc w:val="left"/>
    </w:lvl>
    <w:lvl w:ilvl="1" w:tplc="60AAC96E">
      <w:start w:val="1"/>
      <w:numFmt w:val="upperLetter"/>
      <w:lvlText w:val="%2."/>
      <w:lvlJc w:val="left"/>
    </w:lvl>
    <w:lvl w:ilvl="2" w:tplc="23283442">
      <w:numFmt w:val="decimal"/>
      <w:lvlText w:val=""/>
      <w:lvlJc w:val="left"/>
    </w:lvl>
    <w:lvl w:ilvl="3" w:tplc="3FE4762A">
      <w:numFmt w:val="decimal"/>
      <w:lvlText w:val=""/>
      <w:lvlJc w:val="left"/>
    </w:lvl>
    <w:lvl w:ilvl="4" w:tplc="BB461728">
      <w:numFmt w:val="decimal"/>
      <w:lvlText w:val=""/>
      <w:lvlJc w:val="left"/>
    </w:lvl>
    <w:lvl w:ilvl="5" w:tplc="D5024530">
      <w:numFmt w:val="decimal"/>
      <w:lvlText w:val=""/>
      <w:lvlJc w:val="left"/>
    </w:lvl>
    <w:lvl w:ilvl="6" w:tplc="A55C33B8">
      <w:numFmt w:val="decimal"/>
      <w:lvlText w:val=""/>
      <w:lvlJc w:val="left"/>
    </w:lvl>
    <w:lvl w:ilvl="7" w:tplc="8E8C2A38">
      <w:numFmt w:val="decimal"/>
      <w:lvlText w:val=""/>
      <w:lvlJc w:val="left"/>
    </w:lvl>
    <w:lvl w:ilvl="8" w:tplc="013C9B9E">
      <w:numFmt w:val="decimal"/>
      <w:lvlText w:val=""/>
      <w:lvlJc w:val="left"/>
    </w:lvl>
  </w:abstractNum>
  <w:abstractNum w:abstractNumId="244" w15:restartNumberingAfterBreak="0">
    <w:nsid w:val="0000223A"/>
    <w:multiLevelType w:val="hybridMultilevel"/>
    <w:tmpl w:val="ABF697F2"/>
    <w:lvl w:ilvl="0" w:tplc="95C41C30">
      <w:start w:val="5"/>
      <w:numFmt w:val="lowerLetter"/>
      <w:lvlText w:val="(%1)"/>
      <w:lvlJc w:val="left"/>
    </w:lvl>
    <w:lvl w:ilvl="1" w:tplc="BB90FD1C">
      <w:start w:val="1"/>
      <w:numFmt w:val="decimal"/>
      <w:lvlText w:val="%2."/>
      <w:lvlJc w:val="left"/>
    </w:lvl>
    <w:lvl w:ilvl="2" w:tplc="DC94B7CA">
      <w:start w:val="1"/>
      <w:numFmt w:val="lowerLetter"/>
      <w:lvlText w:val="%3"/>
      <w:lvlJc w:val="left"/>
    </w:lvl>
    <w:lvl w:ilvl="3" w:tplc="34142F72">
      <w:numFmt w:val="decimal"/>
      <w:lvlText w:val=""/>
      <w:lvlJc w:val="left"/>
    </w:lvl>
    <w:lvl w:ilvl="4" w:tplc="B45CCE74">
      <w:numFmt w:val="decimal"/>
      <w:lvlText w:val=""/>
      <w:lvlJc w:val="left"/>
    </w:lvl>
    <w:lvl w:ilvl="5" w:tplc="DF125EDA">
      <w:numFmt w:val="decimal"/>
      <w:lvlText w:val=""/>
      <w:lvlJc w:val="left"/>
    </w:lvl>
    <w:lvl w:ilvl="6" w:tplc="29921FBA">
      <w:numFmt w:val="decimal"/>
      <w:lvlText w:val=""/>
      <w:lvlJc w:val="left"/>
    </w:lvl>
    <w:lvl w:ilvl="7" w:tplc="9B7A0CD0">
      <w:numFmt w:val="decimal"/>
      <w:lvlText w:val=""/>
      <w:lvlJc w:val="left"/>
    </w:lvl>
    <w:lvl w:ilvl="8" w:tplc="069CF466">
      <w:numFmt w:val="decimal"/>
      <w:lvlText w:val=""/>
      <w:lvlJc w:val="left"/>
    </w:lvl>
  </w:abstractNum>
  <w:abstractNum w:abstractNumId="245" w15:restartNumberingAfterBreak="0">
    <w:nsid w:val="0000224B"/>
    <w:multiLevelType w:val="hybridMultilevel"/>
    <w:tmpl w:val="C0400578"/>
    <w:lvl w:ilvl="0" w:tplc="4E8265A4">
      <w:start w:val="1"/>
      <w:numFmt w:val="decimal"/>
      <w:lvlText w:val="%1"/>
      <w:lvlJc w:val="left"/>
    </w:lvl>
    <w:lvl w:ilvl="1" w:tplc="A576116A">
      <w:start w:val="1"/>
      <w:numFmt w:val="lowerLetter"/>
      <w:lvlText w:val="%2"/>
      <w:lvlJc w:val="left"/>
    </w:lvl>
    <w:lvl w:ilvl="2" w:tplc="56E2B228">
      <w:start w:val="22"/>
      <w:numFmt w:val="decimal"/>
      <w:lvlText w:val="%3."/>
      <w:lvlJc w:val="left"/>
    </w:lvl>
    <w:lvl w:ilvl="3" w:tplc="53E62ED4">
      <w:start w:val="1"/>
      <w:numFmt w:val="lowerLetter"/>
      <w:lvlText w:val="%4"/>
      <w:lvlJc w:val="left"/>
    </w:lvl>
    <w:lvl w:ilvl="4" w:tplc="CF64BB42">
      <w:numFmt w:val="decimal"/>
      <w:lvlText w:val=""/>
      <w:lvlJc w:val="left"/>
    </w:lvl>
    <w:lvl w:ilvl="5" w:tplc="6526EFC0">
      <w:numFmt w:val="decimal"/>
      <w:lvlText w:val=""/>
      <w:lvlJc w:val="left"/>
    </w:lvl>
    <w:lvl w:ilvl="6" w:tplc="32ECD698">
      <w:numFmt w:val="decimal"/>
      <w:lvlText w:val=""/>
      <w:lvlJc w:val="left"/>
    </w:lvl>
    <w:lvl w:ilvl="7" w:tplc="0A804BD6">
      <w:numFmt w:val="decimal"/>
      <w:lvlText w:val=""/>
      <w:lvlJc w:val="left"/>
    </w:lvl>
    <w:lvl w:ilvl="8" w:tplc="AABA4D70">
      <w:numFmt w:val="decimal"/>
      <w:lvlText w:val=""/>
      <w:lvlJc w:val="left"/>
    </w:lvl>
  </w:abstractNum>
  <w:abstractNum w:abstractNumId="246" w15:restartNumberingAfterBreak="0">
    <w:nsid w:val="00002259"/>
    <w:multiLevelType w:val="hybridMultilevel"/>
    <w:tmpl w:val="2850FBAA"/>
    <w:lvl w:ilvl="0" w:tplc="65FAC7DC">
      <w:start w:val="2"/>
      <w:numFmt w:val="lowerLetter"/>
      <w:lvlText w:val="(%1)"/>
      <w:lvlJc w:val="left"/>
    </w:lvl>
    <w:lvl w:ilvl="1" w:tplc="BD60818C">
      <w:start w:val="1"/>
      <w:numFmt w:val="decimal"/>
      <w:lvlText w:val="%2."/>
      <w:lvlJc w:val="left"/>
    </w:lvl>
    <w:lvl w:ilvl="2" w:tplc="7396BCDA">
      <w:start w:val="1"/>
      <w:numFmt w:val="lowerLetter"/>
      <w:lvlText w:val="%3."/>
      <w:lvlJc w:val="left"/>
    </w:lvl>
    <w:lvl w:ilvl="3" w:tplc="74DA4306">
      <w:numFmt w:val="decimal"/>
      <w:lvlText w:val=""/>
      <w:lvlJc w:val="left"/>
    </w:lvl>
    <w:lvl w:ilvl="4" w:tplc="CFF68E80">
      <w:numFmt w:val="decimal"/>
      <w:lvlText w:val=""/>
      <w:lvlJc w:val="left"/>
    </w:lvl>
    <w:lvl w:ilvl="5" w:tplc="2B5025CC">
      <w:numFmt w:val="decimal"/>
      <w:lvlText w:val=""/>
      <w:lvlJc w:val="left"/>
    </w:lvl>
    <w:lvl w:ilvl="6" w:tplc="87E4BD7A">
      <w:numFmt w:val="decimal"/>
      <w:lvlText w:val=""/>
      <w:lvlJc w:val="left"/>
    </w:lvl>
    <w:lvl w:ilvl="7" w:tplc="6CD0DFD8">
      <w:numFmt w:val="decimal"/>
      <w:lvlText w:val=""/>
      <w:lvlJc w:val="left"/>
    </w:lvl>
    <w:lvl w:ilvl="8" w:tplc="F44A46F6">
      <w:numFmt w:val="decimal"/>
      <w:lvlText w:val=""/>
      <w:lvlJc w:val="left"/>
    </w:lvl>
  </w:abstractNum>
  <w:abstractNum w:abstractNumId="247" w15:restartNumberingAfterBreak="0">
    <w:nsid w:val="00002265"/>
    <w:multiLevelType w:val="hybridMultilevel"/>
    <w:tmpl w:val="44D627CE"/>
    <w:lvl w:ilvl="0" w:tplc="7CD215E2">
      <w:start w:val="1"/>
      <w:numFmt w:val="bullet"/>
      <w:lvlText w:val="*"/>
      <w:lvlJc w:val="left"/>
      <w:rPr>
        <w:vertAlign w:val="superscript"/>
      </w:rPr>
    </w:lvl>
    <w:lvl w:ilvl="1" w:tplc="89365078">
      <w:numFmt w:val="decimal"/>
      <w:lvlText w:val=""/>
      <w:lvlJc w:val="left"/>
    </w:lvl>
    <w:lvl w:ilvl="2" w:tplc="683C5094">
      <w:numFmt w:val="decimal"/>
      <w:lvlText w:val=""/>
      <w:lvlJc w:val="left"/>
    </w:lvl>
    <w:lvl w:ilvl="3" w:tplc="CA047D3E">
      <w:numFmt w:val="decimal"/>
      <w:lvlText w:val=""/>
      <w:lvlJc w:val="left"/>
    </w:lvl>
    <w:lvl w:ilvl="4" w:tplc="2B968DD6">
      <w:numFmt w:val="decimal"/>
      <w:lvlText w:val=""/>
      <w:lvlJc w:val="left"/>
    </w:lvl>
    <w:lvl w:ilvl="5" w:tplc="C4AC7A06">
      <w:numFmt w:val="decimal"/>
      <w:lvlText w:val=""/>
      <w:lvlJc w:val="left"/>
    </w:lvl>
    <w:lvl w:ilvl="6" w:tplc="B0FA06E8">
      <w:numFmt w:val="decimal"/>
      <w:lvlText w:val=""/>
      <w:lvlJc w:val="left"/>
    </w:lvl>
    <w:lvl w:ilvl="7" w:tplc="3466A584">
      <w:numFmt w:val="decimal"/>
      <w:lvlText w:val=""/>
      <w:lvlJc w:val="left"/>
    </w:lvl>
    <w:lvl w:ilvl="8" w:tplc="3EC8CED8">
      <w:numFmt w:val="decimal"/>
      <w:lvlText w:val=""/>
      <w:lvlJc w:val="left"/>
    </w:lvl>
  </w:abstractNum>
  <w:abstractNum w:abstractNumId="248" w15:restartNumberingAfterBreak="0">
    <w:nsid w:val="00002277"/>
    <w:multiLevelType w:val="hybridMultilevel"/>
    <w:tmpl w:val="7FAC58D8"/>
    <w:lvl w:ilvl="0" w:tplc="C3E47ECA">
      <w:start w:val="1"/>
      <w:numFmt w:val="decimal"/>
      <w:lvlText w:val="(%1)"/>
      <w:lvlJc w:val="left"/>
    </w:lvl>
    <w:lvl w:ilvl="1" w:tplc="7AB601D8">
      <w:numFmt w:val="decimal"/>
      <w:lvlText w:val=""/>
      <w:lvlJc w:val="left"/>
    </w:lvl>
    <w:lvl w:ilvl="2" w:tplc="2DDA7432">
      <w:numFmt w:val="decimal"/>
      <w:lvlText w:val=""/>
      <w:lvlJc w:val="left"/>
    </w:lvl>
    <w:lvl w:ilvl="3" w:tplc="00F86168">
      <w:numFmt w:val="decimal"/>
      <w:lvlText w:val=""/>
      <w:lvlJc w:val="left"/>
    </w:lvl>
    <w:lvl w:ilvl="4" w:tplc="65E8EDCE">
      <w:numFmt w:val="decimal"/>
      <w:lvlText w:val=""/>
      <w:lvlJc w:val="left"/>
    </w:lvl>
    <w:lvl w:ilvl="5" w:tplc="B336AC2E">
      <w:numFmt w:val="decimal"/>
      <w:lvlText w:val=""/>
      <w:lvlJc w:val="left"/>
    </w:lvl>
    <w:lvl w:ilvl="6" w:tplc="CCD480FE">
      <w:numFmt w:val="decimal"/>
      <w:lvlText w:val=""/>
      <w:lvlJc w:val="left"/>
    </w:lvl>
    <w:lvl w:ilvl="7" w:tplc="05A03AE0">
      <w:numFmt w:val="decimal"/>
      <w:lvlText w:val=""/>
      <w:lvlJc w:val="left"/>
    </w:lvl>
    <w:lvl w:ilvl="8" w:tplc="025CE588">
      <w:numFmt w:val="decimal"/>
      <w:lvlText w:val=""/>
      <w:lvlJc w:val="left"/>
    </w:lvl>
  </w:abstractNum>
  <w:abstractNum w:abstractNumId="249" w15:restartNumberingAfterBreak="0">
    <w:nsid w:val="00002286"/>
    <w:multiLevelType w:val="hybridMultilevel"/>
    <w:tmpl w:val="3AE00644"/>
    <w:lvl w:ilvl="0" w:tplc="DD883490">
      <w:start w:val="1"/>
      <w:numFmt w:val="decimal"/>
      <w:lvlText w:val="%1"/>
      <w:lvlJc w:val="left"/>
    </w:lvl>
    <w:lvl w:ilvl="1" w:tplc="C5EECCDA">
      <w:start w:val="3"/>
      <w:numFmt w:val="lowerLetter"/>
      <w:lvlText w:val="%2."/>
      <w:lvlJc w:val="left"/>
    </w:lvl>
    <w:lvl w:ilvl="2" w:tplc="753A9130">
      <w:numFmt w:val="decimal"/>
      <w:lvlText w:val=""/>
      <w:lvlJc w:val="left"/>
    </w:lvl>
    <w:lvl w:ilvl="3" w:tplc="5C582A12">
      <w:numFmt w:val="decimal"/>
      <w:lvlText w:val=""/>
      <w:lvlJc w:val="left"/>
    </w:lvl>
    <w:lvl w:ilvl="4" w:tplc="64F6B922">
      <w:numFmt w:val="decimal"/>
      <w:lvlText w:val=""/>
      <w:lvlJc w:val="left"/>
    </w:lvl>
    <w:lvl w:ilvl="5" w:tplc="07746B4E">
      <w:numFmt w:val="decimal"/>
      <w:lvlText w:val=""/>
      <w:lvlJc w:val="left"/>
    </w:lvl>
    <w:lvl w:ilvl="6" w:tplc="04B86208">
      <w:numFmt w:val="decimal"/>
      <w:lvlText w:val=""/>
      <w:lvlJc w:val="left"/>
    </w:lvl>
    <w:lvl w:ilvl="7" w:tplc="6054ECF6">
      <w:numFmt w:val="decimal"/>
      <w:lvlText w:val=""/>
      <w:lvlJc w:val="left"/>
    </w:lvl>
    <w:lvl w:ilvl="8" w:tplc="1B82AEBA">
      <w:numFmt w:val="decimal"/>
      <w:lvlText w:val=""/>
      <w:lvlJc w:val="left"/>
    </w:lvl>
  </w:abstractNum>
  <w:abstractNum w:abstractNumId="250" w15:restartNumberingAfterBreak="0">
    <w:nsid w:val="00002292"/>
    <w:multiLevelType w:val="hybridMultilevel"/>
    <w:tmpl w:val="5748E410"/>
    <w:lvl w:ilvl="0" w:tplc="F7A2ABBE">
      <w:start w:val="16"/>
      <w:numFmt w:val="decimal"/>
      <w:lvlText w:val="(%1)"/>
      <w:lvlJc w:val="left"/>
    </w:lvl>
    <w:lvl w:ilvl="1" w:tplc="25D0059A">
      <w:numFmt w:val="decimal"/>
      <w:lvlText w:val=""/>
      <w:lvlJc w:val="left"/>
    </w:lvl>
    <w:lvl w:ilvl="2" w:tplc="396412D6">
      <w:numFmt w:val="decimal"/>
      <w:lvlText w:val=""/>
      <w:lvlJc w:val="left"/>
    </w:lvl>
    <w:lvl w:ilvl="3" w:tplc="DB16968E">
      <w:numFmt w:val="decimal"/>
      <w:lvlText w:val=""/>
      <w:lvlJc w:val="left"/>
    </w:lvl>
    <w:lvl w:ilvl="4" w:tplc="65CA69BA">
      <w:numFmt w:val="decimal"/>
      <w:lvlText w:val=""/>
      <w:lvlJc w:val="left"/>
    </w:lvl>
    <w:lvl w:ilvl="5" w:tplc="73A63400">
      <w:numFmt w:val="decimal"/>
      <w:lvlText w:val=""/>
      <w:lvlJc w:val="left"/>
    </w:lvl>
    <w:lvl w:ilvl="6" w:tplc="655CDF86">
      <w:numFmt w:val="decimal"/>
      <w:lvlText w:val=""/>
      <w:lvlJc w:val="left"/>
    </w:lvl>
    <w:lvl w:ilvl="7" w:tplc="D74C18F0">
      <w:numFmt w:val="decimal"/>
      <w:lvlText w:val=""/>
      <w:lvlJc w:val="left"/>
    </w:lvl>
    <w:lvl w:ilvl="8" w:tplc="297CC604">
      <w:numFmt w:val="decimal"/>
      <w:lvlText w:val=""/>
      <w:lvlJc w:val="left"/>
    </w:lvl>
  </w:abstractNum>
  <w:abstractNum w:abstractNumId="251" w15:restartNumberingAfterBreak="0">
    <w:nsid w:val="000022B0"/>
    <w:multiLevelType w:val="hybridMultilevel"/>
    <w:tmpl w:val="A2F661B6"/>
    <w:lvl w:ilvl="0" w:tplc="F1666D2C">
      <w:start w:val="1"/>
      <w:numFmt w:val="decimal"/>
      <w:lvlText w:val="%1"/>
      <w:lvlJc w:val="left"/>
    </w:lvl>
    <w:lvl w:ilvl="1" w:tplc="D440443C">
      <w:start w:val="12"/>
      <w:numFmt w:val="decimal"/>
      <w:lvlText w:val="(%2)"/>
      <w:lvlJc w:val="left"/>
    </w:lvl>
    <w:lvl w:ilvl="2" w:tplc="3076A8EC">
      <w:start w:val="1"/>
      <w:numFmt w:val="lowerLetter"/>
      <w:lvlText w:val="(%3)"/>
      <w:lvlJc w:val="left"/>
    </w:lvl>
    <w:lvl w:ilvl="3" w:tplc="CFFA5478">
      <w:start w:val="1"/>
      <w:numFmt w:val="decimal"/>
      <w:lvlText w:val="%4"/>
      <w:lvlJc w:val="left"/>
    </w:lvl>
    <w:lvl w:ilvl="4" w:tplc="D81438B2">
      <w:numFmt w:val="decimal"/>
      <w:lvlText w:val=""/>
      <w:lvlJc w:val="left"/>
    </w:lvl>
    <w:lvl w:ilvl="5" w:tplc="7DC0A49A">
      <w:numFmt w:val="decimal"/>
      <w:lvlText w:val=""/>
      <w:lvlJc w:val="left"/>
    </w:lvl>
    <w:lvl w:ilvl="6" w:tplc="50BA4ED0">
      <w:numFmt w:val="decimal"/>
      <w:lvlText w:val=""/>
      <w:lvlJc w:val="left"/>
    </w:lvl>
    <w:lvl w:ilvl="7" w:tplc="E20431F4">
      <w:numFmt w:val="decimal"/>
      <w:lvlText w:val=""/>
      <w:lvlJc w:val="left"/>
    </w:lvl>
    <w:lvl w:ilvl="8" w:tplc="D5FCC9DA">
      <w:numFmt w:val="decimal"/>
      <w:lvlText w:val=""/>
      <w:lvlJc w:val="left"/>
    </w:lvl>
  </w:abstractNum>
  <w:abstractNum w:abstractNumId="252" w15:restartNumberingAfterBreak="0">
    <w:nsid w:val="000022C0"/>
    <w:multiLevelType w:val="hybridMultilevel"/>
    <w:tmpl w:val="2AA8D986"/>
    <w:lvl w:ilvl="0" w:tplc="7F18609A">
      <w:start w:val="1"/>
      <w:numFmt w:val="decimal"/>
      <w:lvlText w:val="%1."/>
      <w:lvlJc w:val="left"/>
    </w:lvl>
    <w:lvl w:ilvl="1" w:tplc="7EB2FCC4">
      <w:numFmt w:val="decimal"/>
      <w:lvlText w:val=""/>
      <w:lvlJc w:val="left"/>
    </w:lvl>
    <w:lvl w:ilvl="2" w:tplc="7C822976">
      <w:numFmt w:val="decimal"/>
      <w:lvlText w:val=""/>
      <w:lvlJc w:val="left"/>
    </w:lvl>
    <w:lvl w:ilvl="3" w:tplc="DFE85328">
      <w:numFmt w:val="decimal"/>
      <w:lvlText w:val=""/>
      <w:lvlJc w:val="left"/>
    </w:lvl>
    <w:lvl w:ilvl="4" w:tplc="B8B8F2C2">
      <w:numFmt w:val="decimal"/>
      <w:lvlText w:val=""/>
      <w:lvlJc w:val="left"/>
    </w:lvl>
    <w:lvl w:ilvl="5" w:tplc="9566F7C0">
      <w:numFmt w:val="decimal"/>
      <w:lvlText w:val=""/>
      <w:lvlJc w:val="left"/>
    </w:lvl>
    <w:lvl w:ilvl="6" w:tplc="05B44BA2">
      <w:numFmt w:val="decimal"/>
      <w:lvlText w:val=""/>
      <w:lvlJc w:val="left"/>
    </w:lvl>
    <w:lvl w:ilvl="7" w:tplc="0E9A906C">
      <w:numFmt w:val="decimal"/>
      <w:lvlText w:val=""/>
      <w:lvlJc w:val="left"/>
    </w:lvl>
    <w:lvl w:ilvl="8" w:tplc="236C4E14">
      <w:numFmt w:val="decimal"/>
      <w:lvlText w:val=""/>
      <w:lvlJc w:val="left"/>
    </w:lvl>
  </w:abstractNum>
  <w:abstractNum w:abstractNumId="253" w15:restartNumberingAfterBreak="0">
    <w:nsid w:val="000022DA"/>
    <w:multiLevelType w:val="hybridMultilevel"/>
    <w:tmpl w:val="9194474C"/>
    <w:lvl w:ilvl="0" w:tplc="BFA80416">
      <w:start w:val="2"/>
      <w:numFmt w:val="decimal"/>
      <w:lvlText w:val="(%1)"/>
      <w:lvlJc w:val="left"/>
    </w:lvl>
    <w:lvl w:ilvl="1" w:tplc="3222CE52">
      <w:start w:val="1"/>
      <w:numFmt w:val="lowerLetter"/>
      <w:lvlText w:val="(%2)"/>
      <w:lvlJc w:val="left"/>
    </w:lvl>
    <w:lvl w:ilvl="2" w:tplc="A5123A12">
      <w:start w:val="1"/>
      <w:numFmt w:val="decimal"/>
      <w:lvlText w:val="%3"/>
      <w:lvlJc w:val="left"/>
    </w:lvl>
    <w:lvl w:ilvl="3" w:tplc="1F8C9648">
      <w:numFmt w:val="decimal"/>
      <w:lvlText w:val=""/>
      <w:lvlJc w:val="left"/>
    </w:lvl>
    <w:lvl w:ilvl="4" w:tplc="CA1E627A">
      <w:numFmt w:val="decimal"/>
      <w:lvlText w:val=""/>
      <w:lvlJc w:val="left"/>
    </w:lvl>
    <w:lvl w:ilvl="5" w:tplc="652A8C2A">
      <w:numFmt w:val="decimal"/>
      <w:lvlText w:val=""/>
      <w:lvlJc w:val="left"/>
    </w:lvl>
    <w:lvl w:ilvl="6" w:tplc="C80898F2">
      <w:numFmt w:val="decimal"/>
      <w:lvlText w:val=""/>
      <w:lvlJc w:val="left"/>
    </w:lvl>
    <w:lvl w:ilvl="7" w:tplc="F084A226">
      <w:numFmt w:val="decimal"/>
      <w:lvlText w:val=""/>
      <w:lvlJc w:val="left"/>
    </w:lvl>
    <w:lvl w:ilvl="8" w:tplc="FE687868">
      <w:numFmt w:val="decimal"/>
      <w:lvlText w:val=""/>
      <w:lvlJc w:val="left"/>
    </w:lvl>
  </w:abstractNum>
  <w:abstractNum w:abstractNumId="254" w15:restartNumberingAfterBreak="0">
    <w:nsid w:val="000022DD"/>
    <w:multiLevelType w:val="hybridMultilevel"/>
    <w:tmpl w:val="18D6443E"/>
    <w:lvl w:ilvl="0" w:tplc="61A21AB8">
      <w:start w:val="10"/>
      <w:numFmt w:val="decimal"/>
      <w:lvlText w:val="(%1)"/>
      <w:lvlJc w:val="left"/>
    </w:lvl>
    <w:lvl w:ilvl="1" w:tplc="55F2C0D8">
      <w:start w:val="1"/>
      <w:numFmt w:val="lowerLetter"/>
      <w:lvlText w:val="(%2)"/>
      <w:lvlJc w:val="left"/>
    </w:lvl>
    <w:lvl w:ilvl="2" w:tplc="C08895BC">
      <w:start w:val="1"/>
      <w:numFmt w:val="decimal"/>
      <w:lvlText w:val="%3"/>
      <w:lvlJc w:val="left"/>
    </w:lvl>
    <w:lvl w:ilvl="3" w:tplc="FAF89B50">
      <w:start w:val="1"/>
      <w:numFmt w:val="lowerLetter"/>
      <w:lvlText w:val="%4"/>
      <w:lvlJc w:val="left"/>
    </w:lvl>
    <w:lvl w:ilvl="4" w:tplc="F65E1BF2">
      <w:numFmt w:val="decimal"/>
      <w:lvlText w:val=""/>
      <w:lvlJc w:val="left"/>
    </w:lvl>
    <w:lvl w:ilvl="5" w:tplc="8A4A9DC0">
      <w:numFmt w:val="decimal"/>
      <w:lvlText w:val=""/>
      <w:lvlJc w:val="left"/>
    </w:lvl>
    <w:lvl w:ilvl="6" w:tplc="4796C2D4">
      <w:numFmt w:val="decimal"/>
      <w:lvlText w:val=""/>
      <w:lvlJc w:val="left"/>
    </w:lvl>
    <w:lvl w:ilvl="7" w:tplc="D97CF4E4">
      <w:numFmt w:val="decimal"/>
      <w:lvlText w:val=""/>
      <w:lvlJc w:val="left"/>
    </w:lvl>
    <w:lvl w:ilvl="8" w:tplc="6C16E806">
      <w:numFmt w:val="decimal"/>
      <w:lvlText w:val=""/>
      <w:lvlJc w:val="left"/>
    </w:lvl>
  </w:abstractNum>
  <w:abstractNum w:abstractNumId="255" w15:restartNumberingAfterBreak="0">
    <w:nsid w:val="00002310"/>
    <w:multiLevelType w:val="hybridMultilevel"/>
    <w:tmpl w:val="6CF8EF6E"/>
    <w:lvl w:ilvl="0" w:tplc="DED8C7A6">
      <w:start w:val="6"/>
      <w:numFmt w:val="decimal"/>
      <w:lvlText w:val="(%1)"/>
      <w:lvlJc w:val="left"/>
    </w:lvl>
    <w:lvl w:ilvl="1" w:tplc="A87C4582">
      <w:start w:val="1"/>
      <w:numFmt w:val="lowerLetter"/>
      <w:lvlText w:val="(%2)"/>
      <w:lvlJc w:val="left"/>
    </w:lvl>
    <w:lvl w:ilvl="2" w:tplc="0A0CCB34">
      <w:numFmt w:val="decimal"/>
      <w:lvlText w:val=""/>
      <w:lvlJc w:val="left"/>
    </w:lvl>
    <w:lvl w:ilvl="3" w:tplc="01880BBC">
      <w:numFmt w:val="decimal"/>
      <w:lvlText w:val=""/>
      <w:lvlJc w:val="left"/>
    </w:lvl>
    <w:lvl w:ilvl="4" w:tplc="71F08598">
      <w:numFmt w:val="decimal"/>
      <w:lvlText w:val=""/>
      <w:lvlJc w:val="left"/>
    </w:lvl>
    <w:lvl w:ilvl="5" w:tplc="B0A2E31C">
      <w:numFmt w:val="decimal"/>
      <w:lvlText w:val=""/>
      <w:lvlJc w:val="left"/>
    </w:lvl>
    <w:lvl w:ilvl="6" w:tplc="41744E42">
      <w:numFmt w:val="decimal"/>
      <w:lvlText w:val=""/>
      <w:lvlJc w:val="left"/>
    </w:lvl>
    <w:lvl w:ilvl="7" w:tplc="93EC2E32">
      <w:numFmt w:val="decimal"/>
      <w:lvlText w:val=""/>
      <w:lvlJc w:val="left"/>
    </w:lvl>
    <w:lvl w:ilvl="8" w:tplc="A1302C32">
      <w:numFmt w:val="decimal"/>
      <w:lvlText w:val=""/>
      <w:lvlJc w:val="left"/>
    </w:lvl>
  </w:abstractNum>
  <w:abstractNum w:abstractNumId="256" w15:restartNumberingAfterBreak="0">
    <w:nsid w:val="00002362"/>
    <w:multiLevelType w:val="hybridMultilevel"/>
    <w:tmpl w:val="FAA4FA82"/>
    <w:lvl w:ilvl="0" w:tplc="F130852A">
      <w:start w:val="11"/>
      <w:numFmt w:val="decimal"/>
      <w:lvlText w:val="(%1)"/>
      <w:lvlJc w:val="left"/>
    </w:lvl>
    <w:lvl w:ilvl="1" w:tplc="3ECC9EA4">
      <w:start w:val="1"/>
      <w:numFmt w:val="lowerLetter"/>
      <w:lvlText w:val="(%2)"/>
      <w:lvlJc w:val="left"/>
    </w:lvl>
    <w:lvl w:ilvl="2" w:tplc="7B82CC82">
      <w:start w:val="2"/>
      <w:numFmt w:val="decimal"/>
      <w:lvlText w:val="%3."/>
      <w:lvlJc w:val="left"/>
    </w:lvl>
    <w:lvl w:ilvl="3" w:tplc="3A2AC7B4">
      <w:numFmt w:val="decimal"/>
      <w:lvlText w:val=""/>
      <w:lvlJc w:val="left"/>
    </w:lvl>
    <w:lvl w:ilvl="4" w:tplc="CE74EF26">
      <w:numFmt w:val="decimal"/>
      <w:lvlText w:val=""/>
      <w:lvlJc w:val="left"/>
    </w:lvl>
    <w:lvl w:ilvl="5" w:tplc="3CA860B6">
      <w:numFmt w:val="decimal"/>
      <w:lvlText w:val=""/>
      <w:lvlJc w:val="left"/>
    </w:lvl>
    <w:lvl w:ilvl="6" w:tplc="B5CA83F4">
      <w:numFmt w:val="decimal"/>
      <w:lvlText w:val=""/>
      <w:lvlJc w:val="left"/>
    </w:lvl>
    <w:lvl w:ilvl="7" w:tplc="8B4A39EC">
      <w:numFmt w:val="decimal"/>
      <w:lvlText w:val=""/>
      <w:lvlJc w:val="left"/>
    </w:lvl>
    <w:lvl w:ilvl="8" w:tplc="6C486B00">
      <w:numFmt w:val="decimal"/>
      <w:lvlText w:val=""/>
      <w:lvlJc w:val="left"/>
    </w:lvl>
  </w:abstractNum>
  <w:abstractNum w:abstractNumId="257" w15:restartNumberingAfterBreak="0">
    <w:nsid w:val="00002370"/>
    <w:multiLevelType w:val="hybridMultilevel"/>
    <w:tmpl w:val="E104D0AE"/>
    <w:lvl w:ilvl="0" w:tplc="461ACBA0">
      <w:start w:val="1"/>
      <w:numFmt w:val="decimal"/>
      <w:lvlText w:val="(%1)"/>
      <w:lvlJc w:val="left"/>
    </w:lvl>
    <w:lvl w:ilvl="1" w:tplc="46CE99E6">
      <w:start w:val="1"/>
      <w:numFmt w:val="lowerLetter"/>
      <w:lvlText w:val="(%2)"/>
      <w:lvlJc w:val="left"/>
    </w:lvl>
    <w:lvl w:ilvl="2" w:tplc="8AAC7826">
      <w:start w:val="1"/>
      <w:numFmt w:val="decimal"/>
      <w:lvlText w:val="%3."/>
      <w:lvlJc w:val="left"/>
    </w:lvl>
    <w:lvl w:ilvl="3" w:tplc="E940C37E">
      <w:numFmt w:val="decimal"/>
      <w:lvlText w:val=""/>
      <w:lvlJc w:val="left"/>
    </w:lvl>
    <w:lvl w:ilvl="4" w:tplc="4C361F7C">
      <w:numFmt w:val="decimal"/>
      <w:lvlText w:val=""/>
      <w:lvlJc w:val="left"/>
    </w:lvl>
    <w:lvl w:ilvl="5" w:tplc="2FB22A32">
      <w:numFmt w:val="decimal"/>
      <w:lvlText w:val=""/>
      <w:lvlJc w:val="left"/>
    </w:lvl>
    <w:lvl w:ilvl="6" w:tplc="0A2CB402">
      <w:numFmt w:val="decimal"/>
      <w:lvlText w:val=""/>
      <w:lvlJc w:val="left"/>
    </w:lvl>
    <w:lvl w:ilvl="7" w:tplc="46A20062">
      <w:numFmt w:val="decimal"/>
      <w:lvlText w:val=""/>
      <w:lvlJc w:val="left"/>
    </w:lvl>
    <w:lvl w:ilvl="8" w:tplc="326E1DC8">
      <w:numFmt w:val="decimal"/>
      <w:lvlText w:val=""/>
      <w:lvlJc w:val="left"/>
    </w:lvl>
  </w:abstractNum>
  <w:abstractNum w:abstractNumId="258" w15:restartNumberingAfterBreak="0">
    <w:nsid w:val="00002383"/>
    <w:multiLevelType w:val="hybridMultilevel"/>
    <w:tmpl w:val="52481AAA"/>
    <w:lvl w:ilvl="0" w:tplc="3F18C5DE">
      <w:start w:val="1"/>
      <w:numFmt w:val="decimal"/>
      <w:lvlText w:val="%1."/>
      <w:lvlJc w:val="left"/>
    </w:lvl>
    <w:lvl w:ilvl="1" w:tplc="7442A63E">
      <w:numFmt w:val="decimal"/>
      <w:lvlText w:val=""/>
      <w:lvlJc w:val="left"/>
    </w:lvl>
    <w:lvl w:ilvl="2" w:tplc="2EEC7046">
      <w:numFmt w:val="decimal"/>
      <w:lvlText w:val=""/>
      <w:lvlJc w:val="left"/>
    </w:lvl>
    <w:lvl w:ilvl="3" w:tplc="8A42A33C">
      <w:numFmt w:val="decimal"/>
      <w:lvlText w:val=""/>
      <w:lvlJc w:val="left"/>
    </w:lvl>
    <w:lvl w:ilvl="4" w:tplc="9D6A561A">
      <w:numFmt w:val="decimal"/>
      <w:lvlText w:val=""/>
      <w:lvlJc w:val="left"/>
    </w:lvl>
    <w:lvl w:ilvl="5" w:tplc="A7E4500C">
      <w:numFmt w:val="decimal"/>
      <w:lvlText w:val=""/>
      <w:lvlJc w:val="left"/>
    </w:lvl>
    <w:lvl w:ilvl="6" w:tplc="3306D73A">
      <w:numFmt w:val="decimal"/>
      <w:lvlText w:val=""/>
      <w:lvlJc w:val="left"/>
    </w:lvl>
    <w:lvl w:ilvl="7" w:tplc="44FA84C2">
      <w:numFmt w:val="decimal"/>
      <w:lvlText w:val=""/>
      <w:lvlJc w:val="left"/>
    </w:lvl>
    <w:lvl w:ilvl="8" w:tplc="852C5F78">
      <w:numFmt w:val="decimal"/>
      <w:lvlText w:val=""/>
      <w:lvlJc w:val="left"/>
    </w:lvl>
  </w:abstractNum>
  <w:abstractNum w:abstractNumId="259" w15:restartNumberingAfterBreak="0">
    <w:nsid w:val="000023AF"/>
    <w:multiLevelType w:val="hybridMultilevel"/>
    <w:tmpl w:val="466E73C4"/>
    <w:lvl w:ilvl="0" w:tplc="B4FA835C">
      <w:start w:val="10"/>
      <w:numFmt w:val="decimal"/>
      <w:lvlText w:val="(%1)"/>
      <w:lvlJc w:val="left"/>
    </w:lvl>
    <w:lvl w:ilvl="1" w:tplc="E766CD0C">
      <w:start w:val="1"/>
      <w:numFmt w:val="lowerLetter"/>
      <w:lvlText w:val="(%2)"/>
      <w:lvlJc w:val="left"/>
    </w:lvl>
    <w:lvl w:ilvl="2" w:tplc="BF54812A">
      <w:numFmt w:val="decimal"/>
      <w:lvlText w:val=""/>
      <w:lvlJc w:val="left"/>
    </w:lvl>
    <w:lvl w:ilvl="3" w:tplc="8918D40E">
      <w:numFmt w:val="decimal"/>
      <w:lvlText w:val=""/>
      <w:lvlJc w:val="left"/>
    </w:lvl>
    <w:lvl w:ilvl="4" w:tplc="B10A6218">
      <w:numFmt w:val="decimal"/>
      <w:lvlText w:val=""/>
      <w:lvlJc w:val="left"/>
    </w:lvl>
    <w:lvl w:ilvl="5" w:tplc="BC209016">
      <w:numFmt w:val="decimal"/>
      <w:lvlText w:val=""/>
      <w:lvlJc w:val="left"/>
    </w:lvl>
    <w:lvl w:ilvl="6" w:tplc="FEBC1238">
      <w:numFmt w:val="decimal"/>
      <w:lvlText w:val=""/>
      <w:lvlJc w:val="left"/>
    </w:lvl>
    <w:lvl w:ilvl="7" w:tplc="42C26518">
      <w:numFmt w:val="decimal"/>
      <w:lvlText w:val=""/>
      <w:lvlJc w:val="left"/>
    </w:lvl>
    <w:lvl w:ilvl="8" w:tplc="CA941AEE">
      <w:numFmt w:val="decimal"/>
      <w:lvlText w:val=""/>
      <w:lvlJc w:val="left"/>
    </w:lvl>
  </w:abstractNum>
  <w:abstractNum w:abstractNumId="260" w15:restartNumberingAfterBreak="0">
    <w:nsid w:val="000023C0"/>
    <w:multiLevelType w:val="hybridMultilevel"/>
    <w:tmpl w:val="F2C89290"/>
    <w:lvl w:ilvl="0" w:tplc="22D81D0C">
      <w:start w:val="6"/>
      <w:numFmt w:val="decimal"/>
      <w:lvlText w:val="(%1)"/>
      <w:lvlJc w:val="left"/>
    </w:lvl>
    <w:lvl w:ilvl="1" w:tplc="B5AC37BA">
      <w:start w:val="1"/>
      <w:numFmt w:val="lowerLetter"/>
      <w:lvlText w:val="(%2)"/>
      <w:lvlJc w:val="left"/>
    </w:lvl>
    <w:lvl w:ilvl="2" w:tplc="28A6C3D0">
      <w:numFmt w:val="decimal"/>
      <w:lvlText w:val=""/>
      <w:lvlJc w:val="left"/>
    </w:lvl>
    <w:lvl w:ilvl="3" w:tplc="A742331E">
      <w:numFmt w:val="decimal"/>
      <w:lvlText w:val=""/>
      <w:lvlJc w:val="left"/>
    </w:lvl>
    <w:lvl w:ilvl="4" w:tplc="5E58F16C">
      <w:numFmt w:val="decimal"/>
      <w:lvlText w:val=""/>
      <w:lvlJc w:val="left"/>
    </w:lvl>
    <w:lvl w:ilvl="5" w:tplc="474A7712">
      <w:numFmt w:val="decimal"/>
      <w:lvlText w:val=""/>
      <w:lvlJc w:val="left"/>
    </w:lvl>
    <w:lvl w:ilvl="6" w:tplc="706EC582">
      <w:numFmt w:val="decimal"/>
      <w:lvlText w:val=""/>
      <w:lvlJc w:val="left"/>
    </w:lvl>
    <w:lvl w:ilvl="7" w:tplc="C42ED4DA">
      <w:numFmt w:val="decimal"/>
      <w:lvlText w:val=""/>
      <w:lvlJc w:val="left"/>
    </w:lvl>
    <w:lvl w:ilvl="8" w:tplc="680C0586">
      <w:numFmt w:val="decimal"/>
      <w:lvlText w:val=""/>
      <w:lvlJc w:val="left"/>
    </w:lvl>
  </w:abstractNum>
  <w:abstractNum w:abstractNumId="261" w15:restartNumberingAfterBreak="0">
    <w:nsid w:val="000023C4"/>
    <w:multiLevelType w:val="hybridMultilevel"/>
    <w:tmpl w:val="3B381E10"/>
    <w:lvl w:ilvl="0" w:tplc="B4D280F0">
      <w:start w:val="8"/>
      <w:numFmt w:val="decimal"/>
      <w:lvlText w:val="(%1)"/>
      <w:lvlJc w:val="left"/>
    </w:lvl>
    <w:lvl w:ilvl="1" w:tplc="D6C02ABA">
      <w:start w:val="1"/>
      <w:numFmt w:val="lowerLetter"/>
      <w:lvlText w:val="(%2)"/>
      <w:lvlJc w:val="left"/>
    </w:lvl>
    <w:lvl w:ilvl="2" w:tplc="A1D03618">
      <w:start w:val="310"/>
      <w:numFmt w:val="decimal"/>
      <w:lvlText w:val="%3"/>
      <w:lvlJc w:val="left"/>
    </w:lvl>
    <w:lvl w:ilvl="3" w:tplc="8F60F34C">
      <w:numFmt w:val="decimal"/>
      <w:lvlText w:val=""/>
      <w:lvlJc w:val="left"/>
    </w:lvl>
    <w:lvl w:ilvl="4" w:tplc="50D0A5AC">
      <w:numFmt w:val="decimal"/>
      <w:lvlText w:val=""/>
      <w:lvlJc w:val="left"/>
    </w:lvl>
    <w:lvl w:ilvl="5" w:tplc="44C258B6">
      <w:numFmt w:val="decimal"/>
      <w:lvlText w:val=""/>
      <w:lvlJc w:val="left"/>
    </w:lvl>
    <w:lvl w:ilvl="6" w:tplc="C1A8EFFA">
      <w:numFmt w:val="decimal"/>
      <w:lvlText w:val=""/>
      <w:lvlJc w:val="left"/>
    </w:lvl>
    <w:lvl w:ilvl="7" w:tplc="12280960">
      <w:numFmt w:val="decimal"/>
      <w:lvlText w:val=""/>
      <w:lvlJc w:val="left"/>
    </w:lvl>
    <w:lvl w:ilvl="8" w:tplc="FADEDBDE">
      <w:numFmt w:val="decimal"/>
      <w:lvlText w:val=""/>
      <w:lvlJc w:val="left"/>
    </w:lvl>
  </w:abstractNum>
  <w:abstractNum w:abstractNumId="262" w15:restartNumberingAfterBreak="0">
    <w:nsid w:val="000023CE"/>
    <w:multiLevelType w:val="hybridMultilevel"/>
    <w:tmpl w:val="A5E865AA"/>
    <w:lvl w:ilvl="0" w:tplc="B66A7C62">
      <w:start w:val="1"/>
      <w:numFmt w:val="decimal"/>
      <w:lvlText w:val="(%1)"/>
      <w:lvlJc w:val="left"/>
    </w:lvl>
    <w:lvl w:ilvl="1" w:tplc="2E944A24">
      <w:start w:val="1"/>
      <w:numFmt w:val="lowerLetter"/>
      <w:lvlText w:val="(%2)"/>
      <w:lvlJc w:val="left"/>
    </w:lvl>
    <w:lvl w:ilvl="2" w:tplc="9F6C6EB8">
      <w:start w:val="1"/>
      <w:numFmt w:val="decimal"/>
      <w:lvlText w:val="%3."/>
      <w:lvlJc w:val="left"/>
    </w:lvl>
    <w:lvl w:ilvl="3" w:tplc="EE46B41A">
      <w:numFmt w:val="decimal"/>
      <w:lvlText w:val=""/>
      <w:lvlJc w:val="left"/>
    </w:lvl>
    <w:lvl w:ilvl="4" w:tplc="BC3A6E2E">
      <w:numFmt w:val="decimal"/>
      <w:lvlText w:val=""/>
      <w:lvlJc w:val="left"/>
    </w:lvl>
    <w:lvl w:ilvl="5" w:tplc="359E6EB4">
      <w:numFmt w:val="decimal"/>
      <w:lvlText w:val=""/>
      <w:lvlJc w:val="left"/>
    </w:lvl>
    <w:lvl w:ilvl="6" w:tplc="4E208378">
      <w:numFmt w:val="decimal"/>
      <w:lvlText w:val=""/>
      <w:lvlJc w:val="left"/>
    </w:lvl>
    <w:lvl w:ilvl="7" w:tplc="26D65116">
      <w:numFmt w:val="decimal"/>
      <w:lvlText w:val=""/>
      <w:lvlJc w:val="left"/>
    </w:lvl>
    <w:lvl w:ilvl="8" w:tplc="51CA38AA">
      <w:numFmt w:val="decimal"/>
      <w:lvlText w:val=""/>
      <w:lvlJc w:val="left"/>
    </w:lvl>
  </w:abstractNum>
  <w:abstractNum w:abstractNumId="263" w15:restartNumberingAfterBreak="0">
    <w:nsid w:val="000023D0"/>
    <w:multiLevelType w:val="hybridMultilevel"/>
    <w:tmpl w:val="319C7FA0"/>
    <w:lvl w:ilvl="0" w:tplc="B5D65CF0">
      <w:start w:val="1"/>
      <w:numFmt w:val="decimal"/>
      <w:lvlText w:val="%1."/>
      <w:lvlJc w:val="left"/>
    </w:lvl>
    <w:lvl w:ilvl="1" w:tplc="F5F8D748">
      <w:numFmt w:val="decimal"/>
      <w:lvlText w:val=""/>
      <w:lvlJc w:val="left"/>
    </w:lvl>
    <w:lvl w:ilvl="2" w:tplc="79264CA4">
      <w:numFmt w:val="decimal"/>
      <w:lvlText w:val=""/>
      <w:lvlJc w:val="left"/>
    </w:lvl>
    <w:lvl w:ilvl="3" w:tplc="92C65876">
      <w:numFmt w:val="decimal"/>
      <w:lvlText w:val=""/>
      <w:lvlJc w:val="left"/>
    </w:lvl>
    <w:lvl w:ilvl="4" w:tplc="F8186672">
      <w:numFmt w:val="decimal"/>
      <w:lvlText w:val=""/>
      <w:lvlJc w:val="left"/>
    </w:lvl>
    <w:lvl w:ilvl="5" w:tplc="7CE2900C">
      <w:numFmt w:val="decimal"/>
      <w:lvlText w:val=""/>
      <w:lvlJc w:val="left"/>
    </w:lvl>
    <w:lvl w:ilvl="6" w:tplc="C6C29836">
      <w:numFmt w:val="decimal"/>
      <w:lvlText w:val=""/>
      <w:lvlJc w:val="left"/>
    </w:lvl>
    <w:lvl w:ilvl="7" w:tplc="D2720876">
      <w:numFmt w:val="decimal"/>
      <w:lvlText w:val=""/>
      <w:lvlJc w:val="left"/>
    </w:lvl>
    <w:lvl w:ilvl="8" w:tplc="F566E0C0">
      <w:numFmt w:val="decimal"/>
      <w:lvlText w:val=""/>
      <w:lvlJc w:val="left"/>
    </w:lvl>
  </w:abstractNum>
  <w:abstractNum w:abstractNumId="264" w15:restartNumberingAfterBreak="0">
    <w:nsid w:val="000023EE"/>
    <w:multiLevelType w:val="hybridMultilevel"/>
    <w:tmpl w:val="70886B08"/>
    <w:lvl w:ilvl="0" w:tplc="93CA339A">
      <w:start w:val="1"/>
      <w:numFmt w:val="bullet"/>
      <w:lvlText w:val="•"/>
      <w:lvlJc w:val="left"/>
    </w:lvl>
    <w:lvl w:ilvl="1" w:tplc="F80C9EE0">
      <w:numFmt w:val="decimal"/>
      <w:lvlText w:val=""/>
      <w:lvlJc w:val="left"/>
    </w:lvl>
    <w:lvl w:ilvl="2" w:tplc="81225874">
      <w:numFmt w:val="decimal"/>
      <w:lvlText w:val=""/>
      <w:lvlJc w:val="left"/>
    </w:lvl>
    <w:lvl w:ilvl="3" w:tplc="D4B82A1C">
      <w:numFmt w:val="decimal"/>
      <w:lvlText w:val=""/>
      <w:lvlJc w:val="left"/>
    </w:lvl>
    <w:lvl w:ilvl="4" w:tplc="B72A6BE0">
      <w:numFmt w:val="decimal"/>
      <w:lvlText w:val=""/>
      <w:lvlJc w:val="left"/>
    </w:lvl>
    <w:lvl w:ilvl="5" w:tplc="F04407A2">
      <w:numFmt w:val="decimal"/>
      <w:lvlText w:val=""/>
      <w:lvlJc w:val="left"/>
    </w:lvl>
    <w:lvl w:ilvl="6" w:tplc="32101014">
      <w:numFmt w:val="decimal"/>
      <w:lvlText w:val=""/>
      <w:lvlJc w:val="left"/>
    </w:lvl>
    <w:lvl w:ilvl="7" w:tplc="45042816">
      <w:numFmt w:val="decimal"/>
      <w:lvlText w:val=""/>
      <w:lvlJc w:val="left"/>
    </w:lvl>
    <w:lvl w:ilvl="8" w:tplc="5C2A3496">
      <w:numFmt w:val="decimal"/>
      <w:lvlText w:val=""/>
      <w:lvlJc w:val="left"/>
    </w:lvl>
  </w:abstractNum>
  <w:abstractNum w:abstractNumId="265" w15:restartNumberingAfterBreak="0">
    <w:nsid w:val="00002404"/>
    <w:multiLevelType w:val="hybridMultilevel"/>
    <w:tmpl w:val="D72AEA42"/>
    <w:lvl w:ilvl="0" w:tplc="A9C43F70">
      <w:start w:val="1"/>
      <w:numFmt w:val="lowerLetter"/>
      <w:lvlText w:val="%1"/>
      <w:lvlJc w:val="left"/>
    </w:lvl>
    <w:lvl w:ilvl="1" w:tplc="275C6164">
      <w:start w:val="2"/>
      <w:numFmt w:val="decimal"/>
      <w:lvlText w:val="%2."/>
      <w:lvlJc w:val="left"/>
    </w:lvl>
    <w:lvl w:ilvl="2" w:tplc="BD5024B6">
      <w:start w:val="1"/>
      <w:numFmt w:val="lowerLetter"/>
      <w:lvlText w:val="%3"/>
      <w:lvlJc w:val="left"/>
    </w:lvl>
    <w:lvl w:ilvl="3" w:tplc="D5EAF12C">
      <w:numFmt w:val="decimal"/>
      <w:lvlText w:val=""/>
      <w:lvlJc w:val="left"/>
    </w:lvl>
    <w:lvl w:ilvl="4" w:tplc="CD62E78A">
      <w:numFmt w:val="decimal"/>
      <w:lvlText w:val=""/>
      <w:lvlJc w:val="left"/>
    </w:lvl>
    <w:lvl w:ilvl="5" w:tplc="19EA78DE">
      <w:numFmt w:val="decimal"/>
      <w:lvlText w:val=""/>
      <w:lvlJc w:val="left"/>
    </w:lvl>
    <w:lvl w:ilvl="6" w:tplc="636EC872">
      <w:numFmt w:val="decimal"/>
      <w:lvlText w:val=""/>
      <w:lvlJc w:val="left"/>
    </w:lvl>
    <w:lvl w:ilvl="7" w:tplc="4DE6F3DC">
      <w:numFmt w:val="decimal"/>
      <w:lvlText w:val=""/>
      <w:lvlJc w:val="left"/>
    </w:lvl>
    <w:lvl w:ilvl="8" w:tplc="D1F09F88">
      <w:numFmt w:val="decimal"/>
      <w:lvlText w:val=""/>
      <w:lvlJc w:val="left"/>
    </w:lvl>
  </w:abstractNum>
  <w:abstractNum w:abstractNumId="266" w15:restartNumberingAfterBreak="0">
    <w:nsid w:val="00002420"/>
    <w:multiLevelType w:val="hybridMultilevel"/>
    <w:tmpl w:val="5DECC09A"/>
    <w:lvl w:ilvl="0" w:tplc="89668A2E">
      <w:start w:val="1"/>
      <w:numFmt w:val="lowerRoman"/>
      <w:lvlText w:val="(%1)"/>
      <w:lvlJc w:val="left"/>
    </w:lvl>
    <w:lvl w:ilvl="1" w:tplc="7D18805E">
      <w:numFmt w:val="decimal"/>
      <w:lvlText w:val=""/>
      <w:lvlJc w:val="left"/>
    </w:lvl>
    <w:lvl w:ilvl="2" w:tplc="3EA83B58">
      <w:numFmt w:val="decimal"/>
      <w:lvlText w:val=""/>
      <w:lvlJc w:val="left"/>
    </w:lvl>
    <w:lvl w:ilvl="3" w:tplc="24B46D82">
      <w:numFmt w:val="decimal"/>
      <w:lvlText w:val=""/>
      <w:lvlJc w:val="left"/>
    </w:lvl>
    <w:lvl w:ilvl="4" w:tplc="9E8285E6">
      <w:numFmt w:val="decimal"/>
      <w:lvlText w:val=""/>
      <w:lvlJc w:val="left"/>
    </w:lvl>
    <w:lvl w:ilvl="5" w:tplc="3A2E840A">
      <w:numFmt w:val="decimal"/>
      <w:lvlText w:val=""/>
      <w:lvlJc w:val="left"/>
    </w:lvl>
    <w:lvl w:ilvl="6" w:tplc="0CE0382E">
      <w:numFmt w:val="decimal"/>
      <w:lvlText w:val=""/>
      <w:lvlJc w:val="left"/>
    </w:lvl>
    <w:lvl w:ilvl="7" w:tplc="C0CAA2BE">
      <w:numFmt w:val="decimal"/>
      <w:lvlText w:val=""/>
      <w:lvlJc w:val="left"/>
    </w:lvl>
    <w:lvl w:ilvl="8" w:tplc="063A3732">
      <w:numFmt w:val="decimal"/>
      <w:lvlText w:val=""/>
      <w:lvlJc w:val="left"/>
    </w:lvl>
  </w:abstractNum>
  <w:abstractNum w:abstractNumId="267" w15:restartNumberingAfterBreak="0">
    <w:nsid w:val="00002424"/>
    <w:multiLevelType w:val="hybridMultilevel"/>
    <w:tmpl w:val="81C87514"/>
    <w:lvl w:ilvl="0" w:tplc="08F290FC">
      <w:start w:val="3"/>
      <w:numFmt w:val="lowerLetter"/>
      <w:lvlText w:val="%1."/>
      <w:lvlJc w:val="left"/>
    </w:lvl>
    <w:lvl w:ilvl="1" w:tplc="B5DE9B38">
      <w:numFmt w:val="decimal"/>
      <w:lvlText w:val=""/>
      <w:lvlJc w:val="left"/>
    </w:lvl>
    <w:lvl w:ilvl="2" w:tplc="513E432A">
      <w:numFmt w:val="decimal"/>
      <w:lvlText w:val=""/>
      <w:lvlJc w:val="left"/>
    </w:lvl>
    <w:lvl w:ilvl="3" w:tplc="37786A1C">
      <w:numFmt w:val="decimal"/>
      <w:lvlText w:val=""/>
      <w:lvlJc w:val="left"/>
    </w:lvl>
    <w:lvl w:ilvl="4" w:tplc="2AA8FAB0">
      <w:numFmt w:val="decimal"/>
      <w:lvlText w:val=""/>
      <w:lvlJc w:val="left"/>
    </w:lvl>
    <w:lvl w:ilvl="5" w:tplc="D2582A90">
      <w:numFmt w:val="decimal"/>
      <w:lvlText w:val=""/>
      <w:lvlJc w:val="left"/>
    </w:lvl>
    <w:lvl w:ilvl="6" w:tplc="3B84C702">
      <w:numFmt w:val="decimal"/>
      <w:lvlText w:val=""/>
      <w:lvlJc w:val="left"/>
    </w:lvl>
    <w:lvl w:ilvl="7" w:tplc="4F5CF2E0">
      <w:numFmt w:val="decimal"/>
      <w:lvlText w:val=""/>
      <w:lvlJc w:val="left"/>
    </w:lvl>
    <w:lvl w:ilvl="8" w:tplc="01186910">
      <w:numFmt w:val="decimal"/>
      <w:lvlText w:val=""/>
      <w:lvlJc w:val="left"/>
    </w:lvl>
  </w:abstractNum>
  <w:abstractNum w:abstractNumId="268" w15:restartNumberingAfterBreak="0">
    <w:nsid w:val="00002425"/>
    <w:multiLevelType w:val="hybridMultilevel"/>
    <w:tmpl w:val="F38CEC64"/>
    <w:lvl w:ilvl="0" w:tplc="4650E482">
      <w:start w:val="2"/>
      <w:numFmt w:val="decimal"/>
      <w:lvlText w:val="(%1)"/>
      <w:lvlJc w:val="left"/>
    </w:lvl>
    <w:lvl w:ilvl="1" w:tplc="02222CF2">
      <w:start w:val="1"/>
      <w:numFmt w:val="lowerLetter"/>
      <w:lvlText w:val="(%2)"/>
      <w:lvlJc w:val="left"/>
    </w:lvl>
    <w:lvl w:ilvl="2" w:tplc="9410C49E">
      <w:start w:val="1"/>
      <w:numFmt w:val="decimal"/>
      <w:lvlText w:val="%3."/>
      <w:lvlJc w:val="left"/>
    </w:lvl>
    <w:lvl w:ilvl="3" w:tplc="7E40CF86">
      <w:start w:val="1"/>
      <w:numFmt w:val="lowerLetter"/>
      <w:lvlText w:val="%4."/>
      <w:lvlJc w:val="left"/>
    </w:lvl>
    <w:lvl w:ilvl="4" w:tplc="E4DEA91C">
      <w:numFmt w:val="decimal"/>
      <w:lvlText w:val=""/>
      <w:lvlJc w:val="left"/>
    </w:lvl>
    <w:lvl w:ilvl="5" w:tplc="2918FB9A">
      <w:numFmt w:val="decimal"/>
      <w:lvlText w:val=""/>
      <w:lvlJc w:val="left"/>
    </w:lvl>
    <w:lvl w:ilvl="6" w:tplc="CF5A60A4">
      <w:numFmt w:val="decimal"/>
      <w:lvlText w:val=""/>
      <w:lvlJc w:val="left"/>
    </w:lvl>
    <w:lvl w:ilvl="7" w:tplc="0BD43BAC">
      <w:numFmt w:val="decimal"/>
      <w:lvlText w:val=""/>
      <w:lvlJc w:val="left"/>
    </w:lvl>
    <w:lvl w:ilvl="8" w:tplc="BEBCE82C">
      <w:numFmt w:val="decimal"/>
      <w:lvlText w:val=""/>
      <w:lvlJc w:val="left"/>
    </w:lvl>
  </w:abstractNum>
  <w:abstractNum w:abstractNumId="269" w15:restartNumberingAfterBreak="0">
    <w:nsid w:val="0000242D"/>
    <w:multiLevelType w:val="hybridMultilevel"/>
    <w:tmpl w:val="5E844DEA"/>
    <w:lvl w:ilvl="0" w:tplc="9A842576">
      <w:start w:val="1"/>
      <w:numFmt w:val="lowerLetter"/>
      <w:lvlText w:val="%1"/>
      <w:lvlJc w:val="left"/>
    </w:lvl>
    <w:lvl w:ilvl="1" w:tplc="94C4A98E">
      <w:start w:val="5"/>
      <w:numFmt w:val="decimal"/>
      <w:lvlText w:val="%2."/>
      <w:lvlJc w:val="left"/>
    </w:lvl>
    <w:lvl w:ilvl="2" w:tplc="5FE67392">
      <w:numFmt w:val="decimal"/>
      <w:lvlText w:val=""/>
      <w:lvlJc w:val="left"/>
    </w:lvl>
    <w:lvl w:ilvl="3" w:tplc="14461D86">
      <w:numFmt w:val="decimal"/>
      <w:lvlText w:val=""/>
      <w:lvlJc w:val="left"/>
    </w:lvl>
    <w:lvl w:ilvl="4" w:tplc="E402DBBC">
      <w:numFmt w:val="decimal"/>
      <w:lvlText w:val=""/>
      <w:lvlJc w:val="left"/>
    </w:lvl>
    <w:lvl w:ilvl="5" w:tplc="59683EE2">
      <w:numFmt w:val="decimal"/>
      <w:lvlText w:val=""/>
      <w:lvlJc w:val="left"/>
    </w:lvl>
    <w:lvl w:ilvl="6" w:tplc="E7E03C10">
      <w:numFmt w:val="decimal"/>
      <w:lvlText w:val=""/>
      <w:lvlJc w:val="left"/>
    </w:lvl>
    <w:lvl w:ilvl="7" w:tplc="B8422F9E">
      <w:numFmt w:val="decimal"/>
      <w:lvlText w:val=""/>
      <w:lvlJc w:val="left"/>
    </w:lvl>
    <w:lvl w:ilvl="8" w:tplc="4A52969A">
      <w:numFmt w:val="decimal"/>
      <w:lvlText w:val=""/>
      <w:lvlJc w:val="left"/>
    </w:lvl>
  </w:abstractNum>
  <w:abstractNum w:abstractNumId="270" w15:restartNumberingAfterBreak="0">
    <w:nsid w:val="0000243D"/>
    <w:multiLevelType w:val="hybridMultilevel"/>
    <w:tmpl w:val="CC184014"/>
    <w:lvl w:ilvl="0" w:tplc="9D6018F4">
      <w:start w:val="9"/>
      <w:numFmt w:val="decimal"/>
      <w:lvlText w:val="(%1)"/>
      <w:lvlJc w:val="left"/>
    </w:lvl>
    <w:lvl w:ilvl="1" w:tplc="C10C843A">
      <w:start w:val="1"/>
      <w:numFmt w:val="lowerLetter"/>
      <w:lvlText w:val="(%2)"/>
      <w:lvlJc w:val="left"/>
    </w:lvl>
    <w:lvl w:ilvl="2" w:tplc="40BA8112">
      <w:start w:val="1"/>
      <w:numFmt w:val="decimal"/>
      <w:lvlText w:val="%3"/>
      <w:lvlJc w:val="left"/>
    </w:lvl>
    <w:lvl w:ilvl="3" w:tplc="F94C7BC8">
      <w:start w:val="1"/>
      <w:numFmt w:val="lowerLetter"/>
      <w:lvlText w:val="%4."/>
      <w:lvlJc w:val="left"/>
    </w:lvl>
    <w:lvl w:ilvl="4" w:tplc="2120534A">
      <w:numFmt w:val="decimal"/>
      <w:lvlText w:val=""/>
      <w:lvlJc w:val="left"/>
    </w:lvl>
    <w:lvl w:ilvl="5" w:tplc="BD1671AC">
      <w:numFmt w:val="decimal"/>
      <w:lvlText w:val=""/>
      <w:lvlJc w:val="left"/>
    </w:lvl>
    <w:lvl w:ilvl="6" w:tplc="60CE38C2">
      <w:numFmt w:val="decimal"/>
      <w:lvlText w:val=""/>
      <w:lvlJc w:val="left"/>
    </w:lvl>
    <w:lvl w:ilvl="7" w:tplc="F314CA5A">
      <w:numFmt w:val="decimal"/>
      <w:lvlText w:val=""/>
      <w:lvlJc w:val="left"/>
    </w:lvl>
    <w:lvl w:ilvl="8" w:tplc="69069DF0">
      <w:numFmt w:val="decimal"/>
      <w:lvlText w:val=""/>
      <w:lvlJc w:val="left"/>
    </w:lvl>
  </w:abstractNum>
  <w:abstractNum w:abstractNumId="271" w15:restartNumberingAfterBreak="0">
    <w:nsid w:val="00002468"/>
    <w:multiLevelType w:val="hybridMultilevel"/>
    <w:tmpl w:val="CC82371C"/>
    <w:lvl w:ilvl="0" w:tplc="BA422CEA">
      <w:start w:val="1"/>
      <w:numFmt w:val="decimal"/>
      <w:lvlText w:val="%1"/>
      <w:lvlJc w:val="left"/>
    </w:lvl>
    <w:lvl w:ilvl="1" w:tplc="98160B9A">
      <w:start w:val="1"/>
      <w:numFmt w:val="lowerLetter"/>
      <w:lvlText w:val="%2"/>
      <w:lvlJc w:val="left"/>
    </w:lvl>
    <w:lvl w:ilvl="2" w:tplc="6FA6B128">
      <w:start w:val="3"/>
      <w:numFmt w:val="decimal"/>
      <w:lvlText w:val="%3."/>
      <w:lvlJc w:val="left"/>
    </w:lvl>
    <w:lvl w:ilvl="3" w:tplc="CCE06076">
      <w:start w:val="1"/>
      <w:numFmt w:val="lowerLetter"/>
      <w:lvlText w:val="%4"/>
      <w:lvlJc w:val="left"/>
    </w:lvl>
    <w:lvl w:ilvl="4" w:tplc="F42CC4C6">
      <w:numFmt w:val="decimal"/>
      <w:lvlText w:val=""/>
      <w:lvlJc w:val="left"/>
    </w:lvl>
    <w:lvl w:ilvl="5" w:tplc="5C269538">
      <w:numFmt w:val="decimal"/>
      <w:lvlText w:val=""/>
      <w:lvlJc w:val="left"/>
    </w:lvl>
    <w:lvl w:ilvl="6" w:tplc="E85EECF6">
      <w:numFmt w:val="decimal"/>
      <w:lvlText w:val=""/>
      <w:lvlJc w:val="left"/>
    </w:lvl>
    <w:lvl w:ilvl="7" w:tplc="273ED8A8">
      <w:numFmt w:val="decimal"/>
      <w:lvlText w:val=""/>
      <w:lvlJc w:val="left"/>
    </w:lvl>
    <w:lvl w:ilvl="8" w:tplc="517A5032">
      <w:numFmt w:val="decimal"/>
      <w:lvlText w:val=""/>
      <w:lvlJc w:val="left"/>
    </w:lvl>
  </w:abstractNum>
  <w:abstractNum w:abstractNumId="272" w15:restartNumberingAfterBreak="0">
    <w:nsid w:val="000024F8"/>
    <w:multiLevelType w:val="hybridMultilevel"/>
    <w:tmpl w:val="FC748918"/>
    <w:lvl w:ilvl="0" w:tplc="F452B8FA">
      <w:start w:val="1"/>
      <w:numFmt w:val="decimal"/>
      <w:lvlText w:val="%1"/>
      <w:lvlJc w:val="left"/>
    </w:lvl>
    <w:lvl w:ilvl="1" w:tplc="E5F46224">
      <w:start w:val="1"/>
      <w:numFmt w:val="lowerLetter"/>
      <w:lvlText w:val="%2"/>
      <w:lvlJc w:val="left"/>
    </w:lvl>
    <w:lvl w:ilvl="2" w:tplc="9D50B444">
      <w:start w:val="2"/>
      <w:numFmt w:val="decimal"/>
      <w:lvlText w:val="%3."/>
      <w:lvlJc w:val="left"/>
    </w:lvl>
    <w:lvl w:ilvl="3" w:tplc="470ADE1A">
      <w:start w:val="1"/>
      <w:numFmt w:val="lowerLetter"/>
      <w:lvlText w:val="%4."/>
      <w:lvlJc w:val="left"/>
    </w:lvl>
    <w:lvl w:ilvl="4" w:tplc="0D1C4156">
      <w:numFmt w:val="decimal"/>
      <w:lvlText w:val=""/>
      <w:lvlJc w:val="left"/>
    </w:lvl>
    <w:lvl w:ilvl="5" w:tplc="080E73C8">
      <w:numFmt w:val="decimal"/>
      <w:lvlText w:val=""/>
      <w:lvlJc w:val="left"/>
    </w:lvl>
    <w:lvl w:ilvl="6" w:tplc="5106D53A">
      <w:numFmt w:val="decimal"/>
      <w:lvlText w:val=""/>
      <w:lvlJc w:val="left"/>
    </w:lvl>
    <w:lvl w:ilvl="7" w:tplc="CABE72F2">
      <w:numFmt w:val="decimal"/>
      <w:lvlText w:val=""/>
      <w:lvlJc w:val="left"/>
    </w:lvl>
    <w:lvl w:ilvl="8" w:tplc="08A86614">
      <w:numFmt w:val="decimal"/>
      <w:lvlText w:val=""/>
      <w:lvlJc w:val="left"/>
    </w:lvl>
  </w:abstractNum>
  <w:abstractNum w:abstractNumId="273" w15:restartNumberingAfterBreak="0">
    <w:nsid w:val="0000250F"/>
    <w:multiLevelType w:val="hybridMultilevel"/>
    <w:tmpl w:val="F3DAA6C4"/>
    <w:lvl w:ilvl="0" w:tplc="5AE80D14">
      <w:start w:val="3"/>
      <w:numFmt w:val="lowerLetter"/>
      <w:lvlText w:val="(%1)"/>
      <w:lvlJc w:val="left"/>
    </w:lvl>
    <w:lvl w:ilvl="1" w:tplc="0F00B184">
      <w:start w:val="1"/>
      <w:numFmt w:val="decimal"/>
      <w:lvlText w:val="%2."/>
      <w:lvlJc w:val="left"/>
    </w:lvl>
    <w:lvl w:ilvl="2" w:tplc="93406B56">
      <w:numFmt w:val="decimal"/>
      <w:lvlText w:val=""/>
      <w:lvlJc w:val="left"/>
    </w:lvl>
    <w:lvl w:ilvl="3" w:tplc="54A6B5BE">
      <w:numFmt w:val="decimal"/>
      <w:lvlText w:val=""/>
      <w:lvlJc w:val="left"/>
    </w:lvl>
    <w:lvl w:ilvl="4" w:tplc="B2585C10">
      <w:numFmt w:val="decimal"/>
      <w:lvlText w:val=""/>
      <w:lvlJc w:val="left"/>
    </w:lvl>
    <w:lvl w:ilvl="5" w:tplc="3740FB7A">
      <w:numFmt w:val="decimal"/>
      <w:lvlText w:val=""/>
      <w:lvlJc w:val="left"/>
    </w:lvl>
    <w:lvl w:ilvl="6" w:tplc="2C8C509C">
      <w:numFmt w:val="decimal"/>
      <w:lvlText w:val=""/>
      <w:lvlJc w:val="left"/>
    </w:lvl>
    <w:lvl w:ilvl="7" w:tplc="002E252A">
      <w:numFmt w:val="decimal"/>
      <w:lvlText w:val=""/>
      <w:lvlJc w:val="left"/>
    </w:lvl>
    <w:lvl w:ilvl="8" w:tplc="3C5ACBDA">
      <w:numFmt w:val="decimal"/>
      <w:lvlText w:val=""/>
      <w:lvlJc w:val="left"/>
    </w:lvl>
  </w:abstractNum>
  <w:abstractNum w:abstractNumId="274" w15:restartNumberingAfterBreak="0">
    <w:nsid w:val="0000251D"/>
    <w:multiLevelType w:val="hybridMultilevel"/>
    <w:tmpl w:val="685ADE98"/>
    <w:lvl w:ilvl="0" w:tplc="FA2CF03C">
      <w:start w:val="3"/>
      <w:numFmt w:val="lowerLetter"/>
      <w:lvlText w:val="(%1)"/>
      <w:lvlJc w:val="left"/>
    </w:lvl>
    <w:lvl w:ilvl="1" w:tplc="ED963EF4">
      <w:start w:val="1"/>
      <w:numFmt w:val="decimal"/>
      <w:lvlText w:val="%2."/>
      <w:lvlJc w:val="left"/>
    </w:lvl>
    <w:lvl w:ilvl="2" w:tplc="758608B4">
      <w:numFmt w:val="decimal"/>
      <w:lvlText w:val=""/>
      <w:lvlJc w:val="left"/>
    </w:lvl>
    <w:lvl w:ilvl="3" w:tplc="1B166B98">
      <w:numFmt w:val="decimal"/>
      <w:lvlText w:val=""/>
      <w:lvlJc w:val="left"/>
    </w:lvl>
    <w:lvl w:ilvl="4" w:tplc="40BA87C4">
      <w:numFmt w:val="decimal"/>
      <w:lvlText w:val=""/>
      <w:lvlJc w:val="left"/>
    </w:lvl>
    <w:lvl w:ilvl="5" w:tplc="EC90F4E8">
      <w:numFmt w:val="decimal"/>
      <w:lvlText w:val=""/>
      <w:lvlJc w:val="left"/>
    </w:lvl>
    <w:lvl w:ilvl="6" w:tplc="0C9E7984">
      <w:numFmt w:val="decimal"/>
      <w:lvlText w:val=""/>
      <w:lvlJc w:val="left"/>
    </w:lvl>
    <w:lvl w:ilvl="7" w:tplc="40DA50FA">
      <w:numFmt w:val="decimal"/>
      <w:lvlText w:val=""/>
      <w:lvlJc w:val="left"/>
    </w:lvl>
    <w:lvl w:ilvl="8" w:tplc="F2EA9C6A">
      <w:numFmt w:val="decimal"/>
      <w:lvlText w:val=""/>
      <w:lvlJc w:val="left"/>
    </w:lvl>
  </w:abstractNum>
  <w:abstractNum w:abstractNumId="275" w15:restartNumberingAfterBreak="0">
    <w:nsid w:val="00002524"/>
    <w:multiLevelType w:val="hybridMultilevel"/>
    <w:tmpl w:val="7826D39C"/>
    <w:lvl w:ilvl="0" w:tplc="9A4CFC4C">
      <w:start w:val="3"/>
      <w:numFmt w:val="decimal"/>
      <w:lvlText w:val="(%1)"/>
      <w:lvlJc w:val="left"/>
    </w:lvl>
    <w:lvl w:ilvl="1" w:tplc="71DC679E">
      <w:start w:val="1"/>
      <w:numFmt w:val="lowerLetter"/>
      <w:lvlText w:val="(%2)"/>
      <w:lvlJc w:val="left"/>
    </w:lvl>
    <w:lvl w:ilvl="2" w:tplc="980EF87A">
      <w:numFmt w:val="decimal"/>
      <w:lvlText w:val=""/>
      <w:lvlJc w:val="left"/>
    </w:lvl>
    <w:lvl w:ilvl="3" w:tplc="2B82919C">
      <w:numFmt w:val="decimal"/>
      <w:lvlText w:val=""/>
      <w:lvlJc w:val="left"/>
    </w:lvl>
    <w:lvl w:ilvl="4" w:tplc="8508F1D8">
      <w:numFmt w:val="decimal"/>
      <w:lvlText w:val=""/>
      <w:lvlJc w:val="left"/>
    </w:lvl>
    <w:lvl w:ilvl="5" w:tplc="A74691AA">
      <w:numFmt w:val="decimal"/>
      <w:lvlText w:val=""/>
      <w:lvlJc w:val="left"/>
    </w:lvl>
    <w:lvl w:ilvl="6" w:tplc="B55C3242">
      <w:numFmt w:val="decimal"/>
      <w:lvlText w:val=""/>
      <w:lvlJc w:val="left"/>
    </w:lvl>
    <w:lvl w:ilvl="7" w:tplc="98CC4692">
      <w:numFmt w:val="decimal"/>
      <w:lvlText w:val=""/>
      <w:lvlJc w:val="left"/>
    </w:lvl>
    <w:lvl w:ilvl="8" w:tplc="E21A9232">
      <w:numFmt w:val="decimal"/>
      <w:lvlText w:val=""/>
      <w:lvlJc w:val="left"/>
    </w:lvl>
  </w:abstractNum>
  <w:abstractNum w:abstractNumId="276" w15:restartNumberingAfterBreak="0">
    <w:nsid w:val="00002533"/>
    <w:multiLevelType w:val="hybridMultilevel"/>
    <w:tmpl w:val="82D48C84"/>
    <w:lvl w:ilvl="0" w:tplc="46C6A312">
      <w:start w:val="1"/>
      <w:numFmt w:val="decimal"/>
      <w:lvlText w:val="%1"/>
      <w:lvlJc w:val="left"/>
    </w:lvl>
    <w:lvl w:ilvl="1" w:tplc="96163742">
      <w:start w:val="1"/>
      <w:numFmt w:val="lowerLetter"/>
      <w:lvlText w:val="%2"/>
      <w:lvlJc w:val="left"/>
    </w:lvl>
    <w:lvl w:ilvl="2" w:tplc="66287556">
      <w:start w:val="1"/>
      <w:numFmt w:val="decimal"/>
      <w:lvlText w:val="%3."/>
      <w:lvlJc w:val="left"/>
    </w:lvl>
    <w:lvl w:ilvl="3" w:tplc="015C7FE0">
      <w:start w:val="1"/>
      <w:numFmt w:val="lowerLetter"/>
      <w:lvlText w:val="%4"/>
      <w:lvlJc w:val="left"/>
    </w:lvl>
    <w:lvl w:ilvl="4" w:tplc="2B2C9F3A">
      <w:start w:val="1"/>
      <w:numFmt w:val="lowerRoman"/>
      <w:lvlText w:val="%5"/>
      <w:lvlJc w:val="left"/>
    </w:lvl>
    <w:lvl w:ilvl="5" w:tplc="0EDC504A">
      <w:numFmt w:val="decimal"/>
      <w:lvlText w:val=""/>
      <w:lvlJc w:val="left"/>
    </w:lvl>
    <w:lvl w:ilvl="6" w:tplc="89CE16B0">
      <w:numFmt w:val="decimal"/>
      <w:lvlText w:val=""/>
      <w:lvlJc w:val="left"/>
    </w:lvl>
    <w:lvl w:ilvl="7" w:tplc="D42C4B56">
      <w:numFmt w:val="decimal"/>
      <w:lvlText w:val=""/>
      <w:lvlJc w:val="left"/>
    </w:lvl>
    <w:lvl w:ilvl="8" w:tplc="83AA7BDE">
      <w:numFmt w:val="decimal"/>
      <w:lvlText w:val=""/>
      <w:lvlJc w:val="left"/>
    </w:lvl>
  </w:abstractNum>
  <w:abstractNum w:abstractNumId="277" w15:restartNumberingAfterBreak="0">
    <w:nsid w:val="0000253F"/>
    <w:multiLevelType w:val="hybridMultilevel"/>
    <w:tmpl w:val="178E0B76"/>
    <w:lvl w:ilvl="0" w:tplc="08307A14">
      <w:start w:val="1"/>
      <w:numFmt w:val="lowerLetter"/>
      <w:lvlText w:val="%1"/>
      <w:lvlJc w:val="left"/>
    </w:lvl>
    <w:lvl w:ilvl="1" w:tplc="B2D40BF6">
      <w:start w:val="1"/>
      <w:numFmt w:val="decimal"/>
      <w:lvlText w:val="%2"/>
      <w:lvlJc w:val="left"/>
    </w:lvl>
    <w:lvl w:ilvl="2" w:tplc="5C4C2836">
      <w:start w:val="1"/>
      <w:numFmt w:val="lowerLetter"/>
      <w:lvlText w:val="%3."/>
      <w:lvlJc w:val="left"/>
    </w:lvl>
    <w:lvl w:ilvl="3" w:tplc="ED30E74C">
      <w:numFmt w:val="decimal"/>
      <w:lvlText w:val=""/>
      <w:lvlJc w:val="left"/>
    </w:lvl>
    <w:lvl w:ilvl="4" w:tplc="E7623A58">
      <w:numFmt w:val="decimal"/>
      <w:lvlText w:val=""/>
      <w:lvlJc w:val="left"/>
    </w:lvl>
    <w:lvl w:ilvl="5" w:tplc="97F886E6">
      <w:numFmt w:val="decimal"/>
      <w:lvlText w:val=""/>
      <w:lvlJc w:val="left"/>
    </w:lvl>
    <w:lvl w:ilvl="6" w:tplc="B57CCB3E">
      <w:numFmt w:val="decimal"/>
      <w:lvlText w:val=""/>
      <w:lvlJc w:val="left"/>
    </w:lvl>
    <w:lvl w:ilvl="7" w:tplc="887436D0">
      <w:numFmt w:val="decimal"/>
      <w:lvlText w:val=""/>
      <w:lvlJc w:val="left"/>
    </w:lvl>
    <w:lvl w:ilvl="8" w:tplc="320EC7F8">
      <w:numFmt w:val="decimal"/>
      <w:lvlText w:val=""/>
      <w:lvlJc w:val="left"/>
    </w:lvl>
  </w:abstractNum>
  <w:abstractNum w:abstractNumId="278" w15:restartNumberingAfterBreak="0">
    <w:nsid w:val="00002559"/>
    <w:multiLevelType w:val="hybridMultilevel"/>
    <w:tmpl w:val="2104FAEE"/>
    <w:lvl w:ilvl="0" w:tplc="18E469B0">
      <w:start w:val="1"/>
      <w:numFmt w:val="lowerLetter"/>
      <w:lvlText w:val="%1"/>
      <w:lvlJc w:val="left"/>
    </w:lvl>
    <w:lvl w:ilvl="1" w:tplc="E7E0FE78">
      <w:start w:val="1"/>
      <w:numFmt w:val="decimal"/>
      <w:lvlText w:val="%2"/>
      <w:lvlJc w:val="left"/>
    </w:lvl>
    <w:lvl w:ilvl="2" w:tplc="C792A044">
      <w:start w:val="1"/>
      <w:numFmt w:val="lowerLetter"/>
      <w:lvlText w:val="%3"/>
      <w:lvlJc w:val="left"/>
    </w:lvl>
    <w:lvl w:ilvl="3" w:tplc="CB08AB70">
      <w:start w:val="1"/>
      <w:numFmt w:val="lowerRoman"/>
      <w:lvlText w:val="%4."/>
      <w:lvlJc w:val="left"/>
    </w:lvl>
    <w:lvl w:ilvl="4" w:tplc="63EA93BA">
      <w:numFmt w:val="decimal"/>
      <w:lvlText w:val=""/>
      <w:lvlJc w:val="left"/>
    </w:lvl>
    <w:lvl w:ilvl="5" w:tplc="DEB2F9EA">
      <w:numFmt w:val="decimal"/>
      <w:lvlText w:val=""/>
      <w:lvlJc w:val="left"/>
    </w:lvl>
    <w:lvl w:ilvl="6" w:tplc="4C468B5C">
      <w:numFmt w:val="decimal"/>
      <w:lvlText w:val=""/>
      <w:lvlJc w:val="left"/>
    </w:lvl>
    <w:lvl w:ilvl="7" w:tplc="C95EB1AE">
      <w:numFmt w:val="decimal"/>
      <w:lvlText w:val=""/>
      <w:lvlJc w:val="left"/>
    </w:lvl>
    <w:lvl w:ilvl="8" w:tplc="E5965DD2">
      <w:numFmt w:val="decimal"/>
      <w:lvlText w:val=""/>
      <w:lvlJc w:val="left"/>
    </w:lvl>
  </w:abstractNum>
  <w:abstractNum w:abstractNumId="279" w15:restartNumberingAfterBreak="0">
    <w:nsid w:val="00002565"/>
    <w:multiLevelType w:val="hybridMultilevel"/>
    <w:tmpl w:val="91B68454"/>
    <w:lvl w:ilvl="0" w:tplc="037ABFB8">
      <w:start w:val="1"/>
      <w:numFmt w:val="lowerLetter"/>
      <w:lvlText w:val="%1"/>
      <w:lvlJc w:val="left"/>
    </w:lvl>
    <w:lvl w:ilvl="1" w:tplc="896A14F6">
      <w:start w:val="2"/>
      <w:numFmt w:val="decimal"/>
      <w:lvlText w:val="%2."/>
      <w:lvlJc w:val="left"/>
    </w:lvl>
    <w:lvl w:ilvl="2" w:tplc="A6104D1A">
      <w:start w:val="1"/>
      <w:numFmt w:val="lowerLetter"/>
      <w:lvlText w:val="%3"/>
      <w:lvlJc w:val="left"/>
    </w:lvl>
    <w:lvl w:ilvl="3" w:tplc="6A5CE6DA">
      <w:numFmt w:val="decimal"/>
      <w:lvlText w:val=""/>
      <w:lvlJc w:val="left"/>
    </w:lvl>
    <w:lvl w:ilvl="4" w:tplc="BC129C52">
      <w:numFmt w:val="decimal"/>
      <w:lvlText w:val=""/>
      <w:lvlJc w:val="left"/>
    </w:lvl>
    <w:lvl w:ilvl="5" w:tplc="5FA833F6">
      <w:numFmt w:val="decimal"/>
      <w:lvlText w:val=""/>
      <w:lvlJc w:val="left"/>
    </w:lvl>
    <w:lvl w:ilvl="6" w:tplc="B0E0F080">
      <w:numFmt w:val="decimal"/>
      <w:lvlText w:val=""/>
      <w:lvlJc w:val="left"/>
    </w:lvl>
    <w:lvl w:ilvl="7" w:tplc="1EBA0C3A">
      <w:numFmt w:val="decimal"/>
      <w:lvlText w:val=""/>
      <w:lvlJc w:val="left"/>
    </w:lvl>
    <w:lvl w:ilvl="8" w:tplc="9148F7CA">
      <w:numFmt w:val="decimal"/>
      <w:lvlText w:val=""/>
      <w:lvlJc w:val="left"/>
    </w:lvl>
  </w:abstractNum>
  <w:abstractNum w:abstractNumId="280" w15:restartNumberingAfterBreak="0">
    <w:nsid w:val="000025AE"/>
    <w:multiLevelType w:val="hybridMultilevel"/>
    <w:tmpl w:val="D8E41E28"/>
    <w:lvl w:ilvl="0" w:tplc="6D5CC532">
      <w:start w:val="1"/>
      <w:numFmt w:val="lowerLetter"/>
      <w:lvlText w:val="%1"/>
      <w:lvlJc w:val="left"/>
    </w:lvl>
    <w:lvl w:ilvl="1" w:tplc="9550AFE8">
      <w:start w:val="5"/>
      <w:numFmt w:val="decimal"/>
      <w:lvlText w:val="%2."/>
      <w:lvlJc w:val="left"/>
    </w:lvl>
    <w:lvl w:ilvl="2" w:tplc="C6FE9A50">
      <w:start w:val="1"/>
      <w:numFmt w:val="lowerLetter"/>
      <w:lvlText w:val="%3."/>
      <w:lvlJc w:val="left"/>
    </w:lvl>
    <w:lvl w:ilvl="3" w:tplc="8B36FEFC">
      <w:numFmt w:val="decimal"/>
      <w:lvlText w:val=""/>
      <w:lvlJc w:val="left"/>
    </w:lvl>
    <w:lvl w:ilvl="4" w:tplc="C84A5D54">
      <w:numFmt w:val="decimal"/>
      <w:lvlText w:val=""/>
      <w:lvlJc w:val="left"/>
    </w:lvl>
    <w:lvl w:ilvl="5" w:tplc="C43CE80E">
      <w:numFmt w:val="decimal"/>
      <w:lvlText w:val=""/>
      <w:lvlJc w:val="left"/>
    </w:lvl>
    <w:lvl w:ilvl="6" w:tplc="24680316">
      <w:numFmt w:val="decimal"/>
      <w:lvlText w:val=""/>
      <w:lvlJc w:val="left"/>
    </w:lvl>
    <w:lvl w:ilvl="7" w:tplc="C778DB68">
      <w:numFmt w:val="decimal"/>
      <w:lvlText w:val=""/>
      <w:lvlJc w:val="left"/>
    </w:lvl>
    <w:lvl w:ilvl="8" w:tplc="D58CFDE4">
      <w:numFmt w:val="decimal"/>
      <w:lvlText w:val=""/>
      <w:lvlJc w:val="left"/>
    </w:lvl>
  </w:abstractNum>
  <w:abstractNum w:abstractNumId="281" w15:restartNumberingAfterBreak="0">
    <w:nsid w:val="000025BA"/>
    <w:multiLevelType w:val="hybridMultilevel"/>
    <w:tmpl w:val="90E64098"/>
    <w:lvl w:ilvl="0" w:tplc="7AF470D8">
      <w:start w:val="7"/>
      <w:numFmt w:val="lowerLetter"/>
      <w:lvlText w:val="%1."/>
      <w:lvlJc w:val="left"/>
    </w:lvl>
    <w:lvl w:ilvl="1" w:tplc="9B2C4C4E">
      <w:start w:val="1"/>
      <w:numFmt w:val="lowerRoman"/>
      <w:lvlText w:val="%2."/>
      <w:lvlJc w:val="left"/>
    </w:lvl>
    <w:lvl w:ilvl="2" w:tplc="AA2287AC">
      <w:numFmt w:val="decimal"/>
      <w:lvlText w:val=""/>
      <w:lvlJc w:val="left"/>
    </w:lvl>
    <w:lvl w:ilvl="3" w:tplc="7C7AC764">
      <w:numFmt w:val="decimal"/>
      <w:lvlText w:val=""/>
      <w:lvlJc w:val="left"/>
    </w:lvl>
    <w:lvl w:ilvl="4" w:tplc="CC020C5A">
      <w:numFmt w:val="decimal"/>
      <w:lvlText w:val=""/>
      <w:lvlJc w:val="left"/>
    </w:lvl>
    <w:lvl w:ilvl="5" w:tplc="58AE9F16">
      <w:numFmt w:val="decimal"/>
      <w:lvlText w:val=""/>
      <w:lvlJc w:val="left"/>
    </w:lvl>
    <w:lvl w:ilvl="6" w:tplc="AFC6B590">
      <w:numFmt w:val="decimal"/>
      <w:lvlText w:val=""/>
      <w:lvlJc w:val="left"/>
    </w:lvl>
    <w:lvl w:ilvl="7" w:tplc="DD80241E">
      <w:numFmt w:val="decimal"/>
      <w:lvlText w:val=""/>
      <w:lvlJc w:val="left"/>
    </w:lvl>
    <w:lvl w:ilvl="8" w:tplc="18B41ED2">
      <w:numFmt w:val="decimal"/>
      <w:lvlText w:val=""/>
      <w:lvlJc w:val="left"/>
    </w:lvl>
  </w:abstractNum>
  <w:abstractNum w:abstractNumId="282" w15:restartNumberingAfterBreak="0">
    <w:nsid w:val="0000263D"/>
    <w:multiLevelType w:val="hybridMultilevel"/>
    <w:tmpl w:val="7A684584"/>
    <w:lvl w:ilvl="0" w:tplc="64C4462A">
      <w:start w:val="1"/>
      <w:numFmt w:val="lowerLetter"/>
      <w:lvlText w:val="%1"/>
      <w:lvlJc w:val="left"/>
    </w:lvl>
    <w:lvl w:ilvl="1" w:tplc="293AE960">
      <w:start w:val="1"/>
      <w:numFmt w:val="decimal"/>
      <w:lvlText w:val="%2"/>
      <w:lvlJc w:val="left"/>
    </w:lvl>
    <w:lvl w:ilvl="2" w:tplc="A81CDFE0">
      <w:start w:val="2"/>
      <w:numFmt w:val="lowerLetter"/>
      <w:lvlText w:val="%3."/>
      <w:lvlJc w:val="left"/>
    </w:lvl>
    <w:lvl w:ilvl="3" w:tplc="1D72F374">
      <w:start w:val="2"/>
      <w:numFmt w:val="lowerRoman"/>
      <w:lvlText w:val="(%4)"/>
      <w:lvlJc w:val="left"/>
    </w:lvl>
    <w:lvl w:ilvl="4" w:tplc="29D2DF9E">
      <w:start w:val="1"/>
      <w:numFmt w:val="upperLetter"/>
      <w:lvlText w:val="%5."/>
      <w:lvlJc w:val="left"/>
    </w:lvl>
    <w:lvl w:ilvl="5" w:tplc="4070693C">
      <w:numFmt w:val="decimal"/>
      <w:lvlText w:val=""/>
      <w:lvlJc w:val="left"/>
    </w:lvl>
    <w:lvl w:ilvl="6" w:tplc="AF3C2D8C">
      <w:numFmt w:val="decimal"/>
      <w:lvlText w:val=""/>
      <w:lvlJc w:val="left"/>
    </w:lvl>
    <w:lvl w:ilvl="7" w:tplc="D32E040A">
      <w:numFmt w:val="decimal"/>
      <w:lvlText w:val=""/>
      <w:lvlJc w:val="left"/>
    </w:lvl>
    <w:lvl w:ilvl="8" w:tplc="4DC87782">
      <w:numFmt w:val="decimal"/>
      <w:lvlText w:val=""/>
      <w:lvlJc w:val="left"/>
    </w:lvl>
  </w:abstractNum>
  <w:abstractNum w:abstractNumId="283" w15:restartNumberingAfterBreak="0">
    <w:nsid w:val="00002657"/>
    <w:multiLevelType w:val="hybridMultilevel"/>
    <w:tmpl w:val="F5369A36"/>
    <w:lvl w:ilvl="0" w:tplc="8DFC83F2">
      <w:start w:val="2"/>
      <w:numFmt w:val="decimal"/>
      <w:lvlText w:val="%1."/>
      <w:lvlJc w:val="left"/>
    </w:lvl>
    <w:lvl w:ilvl="1" w:tplc="4B8A805E">
      <w:start w:val="1"/>
      <w:numFmt w:val="lowerLetter"/>
      <w:lvlText w:val="%2"/>
      <w:lvlJc w:val="left"/>
    </w:lvl>
    <w:lvl w:ilvl="2" w:tplc="0C72F0AA">
      <w:numFmt w:val="decimal"/>
      <w:lvlText w:val=""/>
      <w:lvlJc w:val="left"/>
    </w:lvl>
    <w:lvl w:ilvl="3" w:tplc="29CCD9BC">
      <w:numFmt w:val="decimal"/>
      <w:lvlText w:val=""/>
      <w:lvlJc w:val="left"/>
    </w:lvl>
    <w:lvl w:ilvl="4" w:tplc="8752E0A0">
      <w:numFmt w:val="decimal"/>
      <w:lvlText w:val=""/>
      <w:lvlJc w:val="left"/>
    </w:lvl>
    <w:lvl w:ilvl="5" w:tplc="E6B0780E">
      <w:numFmt w:val="decimal"/>
      <w:lvlText w:val=""/>
      <w:lvlJc w:val="left"/>
    </w:lvl>
    <w:lvl w:ilvl="6" w:tplc="47B69AB0">
      <w:numFmt w:val="decimal"/>
      <w:lvlText w:val=""/>
      <w:lvlJc w:val="left"/>
    </w:lvl>
    <w:lvl w:ilvl="7" w:tplc="FFF043E0">
      <w:numFmt w:val="decimal"/>
      <w:lvlText w:val=""/>
      <w:lvlJc w:val="left"/>
    </w:lvl>
    <w:lvl w:ilvl="8" w:tplc="3E20BB84">
      <w:numFmt w:val="decimal"/>
      <w:lvlText w:val=""/>
      <w:lvlJc w:val="left"/>
    </w:lvl>
  </w:abstractNum>
  <w:abstractNum w:abstractNumId="284" w15:restartNumberingAfterBreak="0">
    <w:nsid w:val="00002684"/>
    <w:multiLevelType w:val="hybridMultilevel"/>
    <w:tmpl w:val="C26C4C1C"/>
    <w:lvl w:ilvl="0" w:tplc="27E01FE0">
      <w:start w:val="5"/>
      <w:numFmt w:val="lowerLetter"/>
      <w:lvlText w:val="(%1)"/>
      <w:lvlJc w:val="left"/>
    </w:lvl>
    <w:lvl w:ilvl="1" w:tplc="4C2240EA">
      <w:start w:val="1"/>
      <w:numFmt w:val="decimal"/>
      <w:lvlText w:val="%2"/>
      <w:lvlJc w:val="left"/>
    </w:lvl>
    <w:lvl w:ilvl="2" w:tplc="C2CEE970">
      <w:numFmt w:val="decimal"/>
      <w:lvlText w:val=""/>
      <w:lvlJc w:val="left"/>
    </w:lvl>
    <w:lvl w:ilvl="3" w:tplc="0D0600B0">
      <w:numFmt w:val="decimal"/>
      <w:lvlText w:val=""/>
      <w:lvlJc w:val="left"/>
    </w:lvl>
    <w:lvl w:ilvl="4" w:tplc="B13A9D5C">
      <w:numFmt w:val="decimal"/>
      <w:lvlText w:val=""/>
      <w:lvlJc w:val="left"/>
    </w:lvl>
    <w:lvl w:ilvl="5" w:tplc="7486C9F4">
      <w:numFmt w:val="decimal"/>
      <w:lvlText w:val=""/>
      <w:lvlJc w:val="left"/>
    </w:lvl>
    <w:lvl w:ilvl="6" w:tplc="541C206E">
      <w:numFmt w:val="decimal"/>
      <w:lvlText w:val=""/>
      <w:lvlJc w:val="left"/>
    </w:lvl>
    <w:lvl w:ilvl="7" w:tplc="6A547A84">
      <w:numFmt w:val="decimal"/>
      <w:lvlText w:val=""/>
      <w:lvlJc w:val="left"/>
    </w:lvl>
    <w:lvl w:ilvl="8" w:tplc="7AEC4818">
      <w:numFmt w:val="decimal"/>
      <w:lvlText w:val=""/>
      <w:lvlJc w:val="left"/>
    </w:lvl>
  </w:abstractNum>
  <w:abstractNum w:abstractNumId="285" w15:restartNumberingAfterBreak="0">
    <w:nsid w:val="000026BC"/>
    <w:multiLevelType w:val="hybridMultilevel"/>
    <w:tmpl w:val="8A00B694"/>
    <w:lvl w:ilvl="0" w:tplc="D6FC1686">
      <w:start w:val="1"/>
      <w:numFmt w:val="decimal"/>
      <w:lvlText w:val="(%1)"/>
      <w:lvlJc w:val="left"/>
    </w:lvl>
    <w:lvl w:ilvl="1" w:tplc="66486B42">
      <w:start w:val="1"/>
      <w:numFmt w:val="lowerLetter"/>
      <w:lvlText w:val="(%2)"/>
      <w:lvlJc w:val="left"/>
    </w:lvl>
    <w:lvl w:ilvl="2" w:tplc="656EA098">
      <w:start w:val="1"/>
      <w:numFmt w:val="decimal"/>
      <w:lvlText w:val="%3."/>
      <w:lvlJc w:val="left"/>
    </w:lvl>
    <w:lvl w:ilvl="3" w:tplc="88B041D0">
      <w:start w:val="1"/>
      <w:numFmt w:val="lowerLetter"/>
      <w:lvlText w:val="%4"/>
      <w:lvlJc w:val="left"/>
    </w:lvl>
    <w:lvl w:ilvl="4" w:tplc="23D85678">
      <w:numFmt w:val="decimal"/>
      <w:lvlText w:val=""/>
      <w:lvlJc w:val="left"/>
    </w:lvl>
    <w:lvl w:ilvl="5" w:tplc="B15A72AA">
      <w:numFmt w:val="decimal"/>
      <w:lvlText w:val=""/>
      <w:lvlJc w:val="left"/>
    </w:lvl>
    <w:lvl w:ilvl="6" w:tplc="67AA3BBA">
      <w:numFmt w:val="decimal"/>
      <w:lvlText w:val=""/>
      <w:lvlJc w:val="left"/>
    </w:lvl>
    <w:lvl w:ilvl="7" w:tplc="B94E5828">
      <w:numFmt w:val="decimal"/>
      <w:lvlText w:val=""/>
      <w:lvlJc w:val="left"/>
    </w:lvl>
    <w:lvl w:ilvl="8" w:tplc="76C603E0">
      <w:numFmt w:val="decimal"/>
      <w:lvlText w:val=""/>
      <w:lvlJc w:val="left"/>
    </w:lvl>
  </w:abstractNum>
  <w:abstractNum w:abstractNumId="286" w15:restartNumberingAfterBreak="0">
    <w:nsid w:val="000026FD"/>
    <w:multiLevelType w:val="hybridMultilevel"/>
    <w:tmpl w:val="62AAABAE"/>
    <w:lvl w:ilvl="0" w:tplc="A55C37A6">
      <w:start w:val="1"/>
      <w:numFmt w:val="bullet"/>
      <w:lvlText w:val="*"/>
      <w:lvlJc w:val="left"/>
      <w:rPr>
        <w:vertAlign w:val="superscript"/>
      </w:rPr>
    </w:lvl>
    <w:lvl w:ilvl="1" w:tplc="5F9EC5BC">
      <w:numFmt w:val="decimal"/>
      <w:lvlText w:val=""/>
      <w:lvlJc w:val="left"/>
    </w:lvl>
    <w:lvl w:ilvl="2" w:tplc="5BB20F34">
      <w:numFmt w:val="decimal"/>
      <w:lvlText w:val=""/>
      <w:lvlJc w:val="left"/>
    </w:lvl>
    <w:lvl w:ilvl="3" w:tplc="9D460056">
      <w:numFmt w:val="decimal"/>
      <w:lvlText w:val=""/>
      <w:lvlJc w:val="left"/>
    </w:lvl>
    <w:lvl w:ilvl="4" w:tplc="309C3AA4">
      <w:numFmt w:val="decimal"/>
      <w:lvlText w:val=""/>
      <w:lvlJc w:val="left"/>
    </w:lvl>
    <w:lvl w:ilvl="5" w:tplc="066A4C58">
      <w:numFmt w:val="decimal"/>
      <w:lvlText w:val=""/>
      <w:lvlJc w:val="left"/>
    </w:lvl>
    <w:lvl w:ilvl="6" w:tplc="2444BB16">
      <w:numFmt w:val="decimal"/>
      <w:lvlText w:val=""/>
      <w:lvlJc w:val="left"/>
    </w:lvl>
    <w:lvl w:ilvl="7" w:tplc="E9ECB7D0">
      <w:numFmt w:val="decimal"/>
      <w:lvlText w:val=""/>
      <w:lvlJc w:val="left"/>
    </w:lvl>
    <w:lvl w:ilvl="8" w:tplc="472248B8">
      <w:numFmt w:val="decimal"/>
      <w:lvlText w:val=""/>
      <w:lvlJc w:val="left"/>
    </w:lvl>
  </w:abstractNum>
  <w:abstractNum w:abstractNumId="287" w15:restartNumberingAfterBreak="0">
    <w:nsid w:val="00002706"/>
    <w:multiLevelType w:val="hybridMultilevel"/>
    <w:tmpl w:val="EBA23408"/>
    <w:lvl w:ilvl="0" w:tplc="6A0CBB3A">
      <w:start w:val="1"/>
      <w:numFmt w:val="lowerLetter"/>
      <w:lvlText w:val="%1"/>
      <w:lvlJc w:val="left"/>
    </w:lvl>
    <w:lvl w:ilvl="1" w:tplc="3E362D7E">
      <w:start w:val="9"/>
      <w:numFmt w:val="lowerLetter"/>
      <w:lvlText w:val="%2."/>
      <w:lvlJc w:val="left"/>
    </w:lvl>
    <w:lvl w:ilvl="2" w:tplc="AB763E18">
      <w:start w:val="1"/>
      <w:numFmt w:val="upperLetter"/>
      <w:lvlText w:val="%3"/>
      <w:lvlJc w:val="left"/>
    </w:lvl>
    <w:lvl w:ilvl="3" w:tplc="A6A0CA5A">
      <w:numFmt w:val="decimal"/>
      <w:lvlText w:val=""/>
      <w:lvlJc w:val="left"/>
    </w:lvl>
    <w:lvl w:ilvl="4" w:tplc="9B4E77B0">
      <w:numFmt w:val="decimal"/>
      <w:lvlText w:val=""/>
      <w:lvlJc w:val="left"/>
    </w:lvl>
    <w:lvl w:ilvl="5" w:tplc="2A1E0D88">
      <w:numFmt w:val="decimal"/>
      <w:lvlText w:val=""/>
      <w:lvlJc w:val="left"/>
    </w:lvl>
    <w:lvl w:ilvl="6" w:tplc="7B444FC2">
      <w:numFmt w:val="decimal"/>
      <w:lvlText w:val=""/>
      <w:lvlJc w:val="left"/>
    </w:lvl>
    <w:lvl w:ilvl="7" w:tplc="4370B0EC">
      <w:numFmt w:val="decimal"/>
      <w:lvlText w:val=""/>
      <w:lvlJc w:val="left"/>
    </w:lvl>
    <w:lvl w:ilvl="8" w:tplc="FF2CE276">
      <w:numFmt w:val="decimal"/>
      <w:lvlText w:val=""/>
      <w:lvlJc w:val="left"/>
    </w:lvl>
  </w:abstractNum>
  <w:abstractNum w:abstractNumId="288" w15:restartNumberingAfterBreak="0">
    <w:nsid w:val="00002714"/>
    <w:multiLevelType w:val="hybridMultilevel"/>
    <w:tmpl w:val="70E0B990"/>
    <w:lvl w:ilvl="0" w:tplc="6E82FE54">
      <w:start w:val="1"/>
      <w:numFmt w:val="decimal"/>
      <w:lvlText w:val="(%1)"/>
      <w:lvlJc w:val="left"/>
    </w:lvl>
    <w:lvl w:ilvl="1" w:tplc="A2A28BD4">
      <w:numFmt w:val="decimal"/>
      <w:lvlText w:val=""/>
      <w:lvlJc w:val="left"/>
    </w:lvl>
    <w:lvl w:ilvl="2" w:tplc="CAC231C8">
      <w:numFmt w:val="decimal"/>
      <w:lvlText w:val=""/>
      <w:lvlJc w:val="left"/>
    </w:lvl>
    <w:lvl w:ilvl="3" w:tplc="46605C14">
      <w:numFmt w:val="decimal"/>
      <w:lvlText w:val=""/>
      <w:lvlJc w:val="left"/>
    </w:lvl>
    <w:lvl w:ilvl="4" w:tplc="CECAB70E">
      <w:numFmt w:val="decimal"/>
      <w:lvlText w:val=""/>
      <w:lvlJc w:val="left"/>
    </w:lvl>
    <w:lvl w:ilvl="5" w:tplc="18249B9A">
      <w:numFmt w:val="decimal"/>
      <w:lvlText w:val=""/>
      <w:lvlJc w:val="left"/>
    </w:lvl>
    <w:lvl w:ilvl="6" w:tplc="02B67076">
      <w:numFmt w:val="decimal"/>
      <w:lvlText w:val=""/>
      <w:lvlJc w:val="left"/>
    </w:lvl>
    <w:lvl w:ilvl="7" w:tplc="FBD6D704">
      <w:numFmt w:val="decimal"/>
      <w:lvlText w:val=""/>
      <w:lvlJc w:val="left"/>
    </w:lvl>
    <w:lvl w:ilvl="8" w:tplc="45C27ADC">
      <w:numFmt w:val="decimal"/>
      <w:lvlText w:val=""/>
      <w:lvlJc w:val="left"/>
    </w:lvl>
  </w:abstractNum>
  <w:abstractNum w:abstractNumId="289" w15:restartNumberingAfterBreak="0">
    <w:nsid w:val="00002760"/>
    <w:multiLevelType w:val="hybridMultilevel"/>
    <w:tmpl w:val="C674F5E2"/>
    <w:lvl w:ilvl="0" w:tplc="775A1884">
      <w:start w:val="1"/>
      <w:numFmt w:val="lowerLetter"/>
      <w:lvlText w:val="%1"/>
      <w:lvlJc w:val="left"/>
    </w:lvl>
    <w:lvl w:ilvl="1" w:tplc="ED825A02">
      <w:start w:val="2"/>
      <w:numFmt w:val="decimal"/>
      <w:lvlText w:val="%2."/>
      <w:lvlJc w:val="left"/>
    </w:lvl>
    <w:lvl w:ilvl="2" w:tplc="8C5AD11A">
      <w:start w:val="1"/>
      <w:numFmt w:val="lowerLetter"/>
      <w:lvlText w:val="%3"/>
      <w:lvlJc w:val="left"/>
    </w:lvl>
    <w:lvl w:ilvl="3" w:tplc="6BF2A428">
      <w:numFmt w:val="decimal"/>
      <w:lvlText w:val=""/>
      <w:lvlJc w:val="left"/>
    </w:lvl>
    <w:lvl w:ilvl="4" w:tplc="2EFA8E14">
      <w:numFmt w:val="decimal"/>
      <w:lvlText w:val=""/>
      <w:lvlJc w:val="left"/>
    </w:lvl>
    <w:lvl w:ilvl="5" w:tplc="20026A9A">
      <w:numFmt w:val="decimal"/>
      <w:lvlText w:val=""/>
      <w:lvlJc w:val="left"/>
    </w:lvl>
    <w:lvl w:ilvl="6" w:tplc="30EC5086">
      <w:numFmt w:val="decimal"/>
      <w:lvlText w:val=""/>
      <w:lvlJc w:val="left"/>
    </w:lvl>
    <w:lvl w:ilvl="7" w:tplc="74927790">
      <w:numFmt w:val="decimal"/>
      <w:lvlText w:val=""/>
      <w:lvlJc w:val="left"/>
    </w:lvl>
    <w:lvl w:ilvl="8" w:tplc="5198B162">
      <w:numFmt w:val="decimal"/>
      <w:lvlText w:val=""/>
      <w:lvlJc w:val="left"/>
    </w:lvl>
  </w:abstractNum>
  <w:abstractNum w:abstractNumId="290" w15:restartNumberingAfterBreak="0">
    <w:nsid w:val="000027B8"/>
    <w:multiLevelType w:val="hybridMultilevel"/>
    <w:tmpl w:val="A0AC801A"/>
    <w:lvl w:ilvl="0" w:tplc="CF9AE3B8">
      <w:start w:val="18"/>
      <w:numFmt w:val="decimal"/>
      <w:lvlText w:val="(%1)"/>
      <w:lvlJc w:val="left"/>
    </w:lvl>
    <w:lvl w:ilvl="1" w:tplc="C5EA2080">
      <w:start w:val="1"/>
      <w:numFmt w:val="lowerLetter"/>
      <w:lvlText w:val="(%2)"/>
      <w:lvlJc w:val="left"/>
    </w:lvl>
    <w:lvl w:ilvl="2" w:tplc="5A4A2DFC">
      <w:numFmt w:val="decimal"/>
      <w:lvlText w:val=""/>
      <w:lvlJc w:val="left"/>
    </w:lvl>
    <w:lvl w:ilvl="3" w:tplc="763C5CA8">
      <w:numFmt w:val="decimal"/>
      <w:lvlText w:val=""/>
      <w:lvlJc w:val="left"/>
    </w:lvl>
    <w:lvl w:ilvl="4" w:tplc="ED9E6634">
      <w:numFmt w:val="decimal"/>
      <w:lvlText w:val=""/>
      <w:lvlJc w:val="left"/>
    </w:lvl>
    <w:lvl w:ilvl="5" w:tplc="375E5986">
      <w:numFmt w:val="decimal"/>
      <w:lvlText w:val=""/>
      <w:lvlJc w:val="left"/>
    </w:lvl>
    <w:lvl w:ilvl="6" w:tplc="ED1A8C6A">
      <w:numFmt w:val="decimal"/>
      <w:lvlText w:val=""/>
      <w:lvlJc w:val="left"/>
    </w:lvl>
    <w:lvl w:ilvl="7" w:tplc="3E4C5DF6">
      <w:numFmt w:val="decimal"/>
      <w:lvlText w:val=""/>
      <w:lvlJc w:val="left"/>
    </w:lvl>
    <w:lvl w:ilvl="8" w:tplc="0C64AF58">
      <w:numFmt w:val="decimal"/>
      <w:lvlText w:val=""/>
      <w:lvlJc w:val="left"/>
    </w:lvl>
  </w:abstractNum>
  <w:abstractNum w:abstractNumId="291" w15:restartNumberingAfterBreak="0">
    <w:nsid w:val="000027C2"/>
    <w:multiLevelType w:val="hybridMultilevel"/>
    <w:tmpl w:val="70C007B6"/>
    <w:lvl w:ilvl="0" w:tplc="444A4CA2">
      <w:start w:val="2"/>
      <w:numFmt w:val="lowerLetter"/>
      <w:lvlText w:val="(%1)"/>
      <w:lvlJc w:val="left"/>
    </w:lvl>
    <w:lvl w:ilvl="1" w:tplc="39FE3948">
      <w:numFmt w:val="decimal"/>
      <w:lvlText w:val=""/>
      <w:lvlJc w:val="left"/>
    </w:lvl>
    <w:lvl w:ilvl="2" w:tplc="D0F28CAA">
      <w:numFmt w:val="decimal"/>
      <w:lvlText w:val=""/>
      <w:lvlJc w:val="left"/>
    </w:lvl>
    <w:lvl w:ilvl="3" w:tplc="CEB47B96">
      <w:numFmt w:val="decimal"/>
      <w:lvlText w:val=""/>
      <w:lvlJc w:val="left"/>
    </w:lvl>
    <w:lvl w:ilvl="4" w:tplc="BCD26386">
      <w:numFmt w:val="decimal"/>
      <w:lvlText w:val=""/>
      <w:lvlJc w:val="left"/>
    </w:lvl>
    <w:lvl w:ilvl="5" w:tplc="6D9095F6">
      <w:numFmt w:val="decimal"/>
      <w:lvlText w:val=""/>
      <w:lvlJc w:val="left"/>
    </w:lvl>
    <w:lvl w:ilvl="6" w:tplc="9DCAFBAE">
      <w:numFmt w:val="decimal"/>
      <w:lvlText w:val=""/>
      <w:lvlJc w:val="left"/>
    </w:lvl>
    <w:lvl w:ilvl="7" w:tplc="0B1EB7D2">
      <w:numFmt w:val="decimal"/>
      <w:lvlText w:val=""/>
      <w:lvlJc w:val="left"/>
    </w:lvl>
    <w:lvl w:ilvl="8" w:tplc="874630C6">
      <w:numFmt w:val="decimal"/>
      <w:lvlText w:val=""/>
      <w:lvlJc w:val="left"/>
    </w:lvl>
  </w:abstractNum>
  <w:abstractNum w:abstractNumId="292" w15:restartNumberingAfterBreak="0">
    <w:nsid w:val="000027E0"/>
    <w:multiLevelType w:val="hybridMultilevel"/>
    <w:tmpl w:val="04E0698A"/>
    <w:lvl w:ilvl="0" w:tplc="46A0E260">
      <w:start w:val="1"/>
      <w:numFmt w:val="lowerLetter"/>
      <w:lvlText w:val="(%1)"/>
      <w:lvlJc w:val="left"/>
    </w:lvl>
    <w:lvl w:ilvl="1" w:tplc="29C4A710">
      <w:start w:val="1"/>
      <w:numFmt w:val="decimal"/>
      <w:lvlText w:val="%2."/>
      <w:lvlJc w:val="left"/>
    </w:lvl>
    <w:lvl w:ilvl="2" w:tplc="918AC776">
      <w:numFmt w:val="decimal"/>
      <w:lvlText w:val=""/>
      <w:lvlJc w:val="left"/>
    </w:lvl>
    <w:lvl w:ilvl="3" w:tplc="94840C46">
      <w:numFmt w:val="decimal"/>
      <w:lvlText w:val=""/>
      <w:lvlJc w:val="left"/>
    </w:lvl>
    <w:lvl w:ilvl="4" w:tplc="49B88F06">
      <w:numFmt w:val="decimal"/>
      <w:lvlText w:val=""/>
      <w:lvlJc w:val="left"/>
    </w:lvl>
    <w:lvl w:ilvl="5" w:tplc="60A868D2">
      <w:numFmt w:val="decimal"/>
      <w:lvlText w:val=""/>
      <w:lvlJc w:val="left"/>
    </w:lvl>
    <w:lvl w:ilvl="6" w:tplc="AA005806">
      <w:numFmt w:val="decimal"/>
      <w:lvlText w:val=""/>
      <w:lvlJc w:val="left"/>
    </w:lvl>
    <w:lvl w:ilvl="7" w:tplc="6CE27E2A">
      <w:numFmt w:val="decimal"/>
      <w:lvlText w:val=""/>
      <w:lvlJc w:val="left"/>
    </w:lvl>
    <w:lvl w:ilvl="8" w:tplc="B5E6E910">
      <w:numFmt w:val="decimal"/>
      <w:lvlText w:val=""/>
      <w:lvlJc w:val="left"/>
    </w:lvl>
  </w:abstractNum>
  <w:abstractNum w:abstractNumId="293" w15:restartNumberingAfterBreak="0">
    <w:nsid w:val="0000288C"/>
    <w:multiLevelType w:val="hybridMultilevel"/>
    <w:tmpl w:val="E86C2A1E"/>
    <w:lvl w:ilvl="0" w:tplc="4C527264">
      <w:start w:val="1"/>
      <w:numFmt w:val="decimal"/>
      <w:lvlText w:val="%1"/>
      <w:lvlJc w:val="left"/>
    </w:lvl>
    <w:lvl w:ilvl="1" w:tplc="01DA89F2">
      <w:start w:val="3"/>
      <w:numFmt w:val="lowerLetter"/>
      <w:lvlText w:val="(%2)"/>
      <w:lvlJc w:val="left"/>
    </w:lvl>
    <w:lvl w:ilvl="2" w:tplc="8ECA41DC">
      <w:numFmt w:val="decimal"/>
      <w:lvlText w:val=""/>
      <w:lvlJc w:val="left"/>
    </w:lvl>
    <w:lvl w:ilvl="3" w:tplc="25A45E12">
      <w:numFmt w:val="decimal"/>
      <w:lvlText w:val=""/>
      <w:lvlJc w:val="left"/>
    </w:lvl>
    <w:lvl w:ilvl="4" w:tplc="518A6C04">
      <w:numFmt w:val="decimal"/>
      <w:lvlText w:val=""/>
      <w:lvlJc w:val="left"/>
    </w:lvl>
    <w:lvl w:ilvl="5" w:tplc="5378A7F2">
      <w:numFmt w:val="decimal"/>
      <w:lvlText w:val=""/>
      <w:lvlJc w:val="left"/>
    </w:lvl>
    <w:lvl w:ilvl="6" w:tplc="91CE1BA0">
      <w:numFmt w:val="decimal"/>
      <w:lvlText w:val=""/>
      <w:lvlJc w:val="left"/>
    </w:lvl>
    <w:lvl w:ilvl="7" w:tplc="114AC904">
      <w:numFmt w:val="decimal"/>
      <w:lvlText w:val=""/>
      <w:lvlJc w:val="left"/>
    </w:lvl>
    <w:lvl w:ilvl="8" w:tplc="314A3574">
      <w:numFmt w:val="decimal"/>
      <w:lvlText w:val=""/>
      <w:lvlJc w:val="left"/>
    </w:lvl>
  </w:abstractNum>
  <w:abstractNum w:abstractNumId="294" w15:restartNumberingAfterBreak="0">
    <w:nsid w:val="0000289C"/>
    <w:multiLevelType w:val="hybridMultilevel"/>
    <w:tmpl w:val="EA08EDBA"/>
    <w:lvl w:ilvl="0" w:tplc="7F9622D4">
      <w:start w:val="1"/>
      <w:numFmt w:val="decimal"/>
      <w:lvlText w:val="(%1)"/>
      <w:lvlJc w:val="left"/>
    </w:lvl>
    <w:lvl w:ilvl="1" w:tplc="70EA1918">
      <w:start w:val="1"/>
      <w:numFmt w:val="lowerLetter"/>
      <w:lvlText w:val="(%2)"/>
      <w:lvlJc w:val="left"/>
    </w:lvl>
    <w:lvl w:ilvl="2" w:tplc="8E5E3728">
      <w:start w:val="1"/>
      <w:numFmt w:val="decimal"/>
      <w:lvlText w:val="%3."/>
      <w:lvlJc w:val="left"/>
      <w:rPr>
        <w:sz w:val="20"/>
        <w:szCs w:val="20"/>
      </w:rPr>
    </w:lvl>
    <w:lvl w:ilvl="3" w:tplc="CB864972">
      <w:start w:val="1"/>
      <w:numFmt w:val="lowerLetter"/>
      <w:lvlText w:val="%4"/>
      <w:lvlJc w:val="left"/>
    </w:lvl>
    <w:lvl w:ilvl="4" w:tplc="0A8C19A8">
      <w:numFmt w:val="decimal"/>
      <w:lvlText w:val=""/>
      <w:lvlJc w:val="left"/>
    </w:lvl>
    <w:lvl w:ilvl="5" w:tplc="AE28D36A">
      <w:numFmt w:val="decimal"/>
      <w:lvlText w:val=""/>
      <w:lvlJc w:val="left"/>
    </w:lvl>
    <w:lvl w:ilvl="6" w:tplc="15C47978">
      <w:numFmt w:val="decimal"/>
      <w:lvlText w:val=""/>
      <w:lvlJc w:val="left"/>
    </w:lvl>
    <w:lvl w:ilvl="7" w:tplc="5C70B932">
      <w:numFmt w:val="decimal"/>
      <w:lvlText w:val=""/>
      <w:lvlJc w:val="left"/>
    </w:lvl>
    <w:lvl w:ilvl="8" w:tplc="5100EB3A">
      <w:numFmt w:val="decimal"/>
      <w:lvlText w:val=""/>
      <w:lvlJc w:val="left"/>
    </w:lvl>
  </w:abstractNum>
  <w:abstractNum w:abstractNumId="295" w15:restartNumberingAfterBreak="0">
    <w:nsid w:val="000028C8"/>
    <w:multiLevelType w:val="hybridMultilevel"/>
    <w:tmpl w:val="B46E735A"/>
    <w:lvl w:ilvl="0" w:tplc="CEA0808C">
      <w:start w:val="6"/>
      <w:numFmt w:val="lowerLetter"/>
      <w:lvlText w:val="(%1)"/>
      <w:lvlJc w:val="left"/>
    </w:lvl>
    <w:lvl w:ilvl="1" w:tplc="E13673B8">
      <w:start w:val="1"/>
      <w:numFmt w:val="decimal"/>
      <w:lvlText w:val="%2."/>
      <w:lvlJc w:val="left"/>
    </w:lvl>
    <w:lvl w:ilvl="2" w:tplc="D35AB75C">
      <w:start w:val="1"/>
      <w:numFmt w:val="lowerLetter"/>
      <w:lvlText w:val="%3"/>
      <w:lvlJc w:val="left"/>
    </w:lvl>
    <w:lvl w:ilvl="3" w:tplc="F6D4EC86">
      <w:numFmt w:val="decimal"/>
      <w:lvlText w:val=""/>
      <w:lvlJc w:val="left"/>
    </w:lvl>
    <w:lvl w:ilvl="4" w:tplc="8BE8BF74">
      <w:numFmt w:val="decimal"/>
      <w:lvlText w:val=""/>
      <w:lvlJc w:val="left"/>
    </w:lvl>
    <w:lvl w:ilvl="5" w:tplc="7430FA02">
      <w:numFmt w:val="decimal"/>
      <w:lvlText w:val=""/>
      <w:lvlJc w:val="left"/>
    </w:lvl>
    <w:lvl w:ilvl="6" w:tplc="D10C3BC4">
      <w:numFmt w:val="decimal"/>
      <w:lvlText w:val=""/>
      <w:lvlJc w:val="left"/>
    </w:lvl>
    <w:lvl w:ilvl="7" w:tplc="4CDCFE86">
      <w:numFmt w:val="decimal"/>
      <w:lvlText w:val=""/>
      <w:lvlJc w:val="left"/>
    </w:lvl>
    <w:lvl w:ilvl="8" w:tplc="EFC6049E">
      <w:numFmt w:val="decimal"/>
      <w:lvlText w:val=""/>
      <w:lvlJc w:val="left"/>
    </w:lvl>
  </w:abstractNum>
  <w:abstractNum w:abstractNumId="296" w15:restartNumberingAfterBreak="0">
    <w:nsid w:val="0000290C"/>
    <w:multiLevelType w:val="hybridMultilevel"/>
    <w:tmpl w:val="D918E9C8"/>
    <w:lvl w:ilvl="0" w:tplc="203CE8F2">
      <w:start w:val="1"/>
      <w:numFmt w:val="lowerLetter"/>
      <w:lvlText w:val="%1"/>
      <w:lvlJc w:val="left"/>
    </w:lvl>
    <w:lvl w:ilvl="1" w:tplc="519647EC">
      <w:start w:val="310"/>
      <w:numFmt w:val="decimal"/>
      <w:lvlText w:val="%2"/>
      <w:lvlJc w:val="left"/>
    </w:lvl>
    <w:lvl w:ilvl="2" w:tplc="92404B78">
      <w:start w:val="1"/>
      <w:numFmt w:val="lowerLetter"/>
      <w:lvlText w:val="%3."/>
      <w:lvlJc w:val="left"/>
    </w:lvl>
    <w:lvl w:ilvl="3" w:tplc="8B966C28">
      <w:numFmt w:val="decimal"/>
      <w:lvlText w:val=""/>
      <w:lvlJc w:val="left"/>
    </w:lvl>
    <w:lvl w:ilvl="4" w:tplc="D07CD15A">
      <w:numFmt w:val="decimal"/>
      <w:lvlText w:val=""/>
      <w:lvlJc w:val="left"/>
    </w:lvl>
    <w:lvl w:ilvl="5" w:tplc="06C4FBDE">
      <w:numFmt w:val="decimal"/>
      <w:lvlText w:val=""/>
      <w:lvlJc w:val="left"/>
    </w:lvl>
    <w:lvl w:ilvl="6" w:tplc="FDEA7DDA">
      <w:numFmt w:val="decimal"/>
      <w:lvlText w:val=""/>
      <w:lvlJc w:val="left"/>
    </w:lvl>
    <w:lvl w:ilvl="7" w:tplc="8AE4BED0">
      <w:numFmt w:val="decimal"/>
      <w:lvlText w:val=""/>
      <w:lvlJc w:val="left"/>
    </w:lvl>
    <w:lvl w:ilvl="8" w:tplc="C6842D42">
      <w:numFmt w:val="decimal"/>
      <w:lvlText w:val=""/>
      <w:lvlJc w:val="left"/>
    </w:lvl>
  </w:abstractNum>
  <w:abstractNum w:abstractNumId="297" w15:restartNumberingAfterBreak="0">
    <w:nsid w:val="0000294D"/>
    <w:multiLevelType w:val="hybridMultilevel"/>
    <w:tmpl w:val="CE4CD5AE"/>
    <w:lvl w:ilvl="0" w:tplc="0114D332">
      <w:start w:val="1"/>
      <w:numFmt w:val="decimal"/>
      <w:lvlText w:val="%1"/>
      <w:lvlJc w:val="left"/>
    </w:lvl>
    <w:lvl w:ilvl="1" w:tplc="BB36BAF0">
      <w:start w:val="1"/>
      <w:numFmt w:val="lowerLetter"/>
      <w:lvlText w:val="%2"/>
      <w:lvlJc w:val="left"/>
    </w:lvl>
    <w:lvl w:ilvl="2" w:tplc="0B9A898C">
      <w:start w:val="2"/>
      <w:numFmt w:val="decimal"/>
      <w:lvlText w:val="%3."/>
      <w:lvlJc w:val="left"/>
    </w:lvl>
    <w:lvl w:ilvl="3" w:tplc="3A346A16">
      <w:numFmt w:val="decimal"/>
      <w:lvlText w:val=""/>
      <w:lvlJc w:val="left"/>
    </w:lvl>
    <w:lvl w:ilvl="4" w:tplc="574A3270">
      <w:numFmt w:val="decimal"/>
      <w:lvlText w:val=""/>
      <w:lvlJc w:val="left"/>
    </w:lvl>
    <w:lvl w:ilvl="5" w:tplc="540A9BE4">
      <w:numFmt w:val="decimal"/>
      <w:lvlText w:val=""/>
      <w:lvlJc w:val="left"/>
    </w:lvl>
    <w:lvl w:ilvl="6" w:tplc="ECE466AC">
      <w:numFmt w:val="decimal"/>
      <w:lvlText w:val=""/>
      <w:lvlJc w:val="left"/>
    </w:lvl>
    <w:lvl w:ilvl="7" w:tplc="6B700ED6">
      <w:numFmt w:val="decimal"/>
      <w:lvlText w:val=""/>
      <w:lvlJc w:val="left"/>
    </w:lvl>
    <w:lvl w:ilvl="8" w:tplc="785A8B76">
      <w:numFmt w:val="decimal"/>
      <w:lvlText w:val=""/>
      <w:lvlJc w:val="left"/>
    </w:lvl>
  </w:abstractNum>
  <w:abstractNum w:abstractNumId="298" w15:restartNumberingAfterBreak="0">
    <w:nsid w:val="0000298B"/>
    <w:multiLevelType w:val="hybridMultilevel"/>
    <w:tmpl w:val="E1C4B4B4"/>
    <w:lvl w:ilvl="0" w:tplc="D7A09B52">
      <w:start w:val="1"/>
      <w:numFmt w:val="decimal"/>
      <w:lvlText w:val="%1"/>
      <w:lvlJc w:val="left"/>
    </w:lvl>
    <w:lvl w:ilvl="1" w:tplc="3ABE06CE">
      <w:start w:val="1"/>
      <w:numFmt w:val="lowerLetter"/>
      <w:lvlText w:val="%2."/>
      <w:lvlJc w:val="left"/>
    </w:lvl>
    <w:lvl w:ilvl="2" w:tplc="50BE20F0">
      <w:start w:val="1"/>
      <w:numFmt w:val="lowerRoman"/>
      <w:lvlText w:val="%3."/>
      <w:lvlJc w:val="left"/>
    </w:lvl>
    <w:lvl w:ilvl="3" w:tplc="0CDE047E">
      <w:numFmt w:val="decimal"/>
      <w:lvlText w:val=""/>
      <w:lvlJc w:val="left"/>
    </w:lvl>
    <w:lvl w:ilvl="4" w:tplc="AD2A96AE">
      <w:numFmt w:val="decimal"/>
      <w:lvlText w:val=""/>
      <w:lvlJc w:val="left"/>
    </w:lvl>
    <w:lvl w:ilvl="5" w:tplc="3D707550">
      <w:numFmt w:val="decimal"/>
      <w:lvlText w:val=""/>
      <w:lvlJc w:val="left"/>
    </w:lvl>
    <w:lvl w:ilvl="6" w:tplc="FCA2638E">
      <w:numFmt w:val="decimal"/>
      <w:lvlText w:val=""/>
      <w:lvlJc w:val="left"/>
    </w:lvl>
    <w:lvl w:ilvl="7" w:tplc="CA62ACC8">
      <w:numFmt w:val="decimal"/>
      <w:lvlText w:val=""/>
      <w:lvlJc w:val="left"/>
    </w:lvl>
    <w:lvl w:ilvl="8" w:tplc="15E2D3EE">
      <w:numFmt w:val="decimal"/>
      <w:lvlText w:val=""/>
      <w:lvlJc w:val="left"/>
    </w:lvl>
  </w:abstractNum>
  <w:abstractNum w:abstractNumId="299" w15:restartNumberingAfterBreak="0">
    <w:nsid w:val="00002997"/>
    <w:multiLevelType w:val="hybridMultilevel"/>
    <w:tmpl w:val="2FE01824"/>
    <w:lvl w:ilvl="0" w:tplc="77C8A3F0">
      <w:start w:val="1"/>
      <w:numFmt w:val="lowerLetter"/>
      <w:lvlText w:val="%1"/>
      <w:lvlJc w:val="left"/>
    </w:lvl>
    <w:lvl w:ilvl="1" w:tplc="A8A2FECA">
      <w:start w:val="310"/>
      <w:numFmt w:val="decimal"/>
      <w:lvlText w:val="%2"/>
      <w:lvlJc w:val="left"/>
    </w:lvl>
    <w:lvl w:ilvl="2" w:tplc="33CA471C">
      <w:start w:val="1"/>
      <w:numFmt w:val="lowerLetter"/>
      <w:lvlText w:val="%3"/>
      <w:lvlJc w:val="left"/>
    </w:lvl>
    <w:lvl w:ilvl="3" w:tplc="52761046">
      <w:numFmt w:val="decimal"/>
      <w:lvlText w:val=""/>
      <w:lvlJc w:val="left"/>
    </w:lvl>
    <w:lvl w:ilvl="4" w:tplc="A058CE68">
      <w:numFmt w:val="decimal"/>
      <w:lvlText w:val=""/>
      <w:lvlJc w:val="left"/>
    </w:lvl>
    <w:lvl w:ilvl="5" w:tplc="0C821E7C">
      <w:numFmt w:val="decimal"/>
      <w:lvlText w:val=""/>
      <w:lvlJc w:val="left"/>
    </w:lvl>
    <w:lvl w:ilvl="6" w:tplc="D5082B6E">
      <w:numFmt w:val="decimal"/>
      <w:lvlText w:val=""/>
      <w:lvlJc w:val="left"/>
    </w:lvl>
    <w:lvl w:ilvl="7" w:tplc="68108532">
      <w:numFmt w:val="decimal"/>
      <w:lvlText w:val=""/>
      <w:lvlJc w:val="left"/>
    </w:lvl>
    <w:lvl w:ilvl="8" w:tplc="37D0A846">
      <w:numFmt w:val="decimal"/>
      <w:lvlText w:val=""/>
      <w:lvlJc w:val="left"/>
    </w:lvl>
  </w:abstractNum>
  <w:abstractNum w:abstractNumId="300" w15:restartNumberingAfterBreak="0">
    <w:nsid w:val="000029C9"/>
    <w:multiLevelType w:val="hybridMultilevel"/>
    <w:tmpl w:val="DB34EAF8"/>
    <w:lvl w:ilvl="0" w:tplc="BFB05C58">
      <w:start w:val="1"/>
      <w:numFmt w:val="decimal"/>
      <w:lvlText w:val="%1"/>
      <w:lvlJc w:val="left"/>
    </w:lvl>
    <w:lvl w:ilvl="1" w:tplc="169843CE">
      <w:start w:val="7"/>
      <w:numFmt w:val="lowerLetter"/>
      <w:lvlText w:val="(%2)"/>
      <w:lvlJc w:val="left"/>
    </w:lvl>
    <w:lvl w:ilvl="2" w:tplc="B128CFF8">
      <w:start w:val="1"/>
      <w:numFmt w:val="decimal"/>
      <w:lvlText w:val="%3."/>
      <w:lvlJc w:val="left"/>
    </w:lvl>
    <w:lvl w:ilvl="3" w:tplc="D8C8F2E2">
      <w:start w:val="1"/>
      <w:numFmt w:val="lowerLetter"/>
      <w:lvlText w:val="%4."/>
      <w:lvlJc w:val="left"/>
    </w:lvl>
    <w:lvl w:ilvl="4" w:tplc="77CC522E">
      <w:numFmt w:val="decimal"/>
      <w:lvlText w:val=""/>
      <w:lvlJc w:val="left"/>
    </w:lvl>
    <w:lvl w:ilvl="5" w:tplc="4088F92C">
      <w:numFmt w:val="decimal"/>
      <w:lvlText w:val=""/>
      <w:lvlJc w:val="left"/>
    </w:lvl>
    <w:lvl w:ilvl="6" w:tplc="B9A47BE0">
      <w:numFmt w:val="decimal"/>
      <w:lvlText w:val=""/>
      <w:lvlJc w:val="left"/>
    </w:lvl>
    <w:lvl w:ilvl="7" w:tplc="E52EC286">
      <w:numFmt w:val="decimal"/>
      <w:lvlText w:val=""/>
      <w:lvlJc w:val="left"/>
    </w:lvl>
    <w:lvl w:ilvl="8" w:tplc="48401490">
      <w:numFmt w:val="decimal"/>
      <w:lvlText w:val=""/>
      <w:lvlJc w:val="left"/>
    </w:lvl>
  </w:abstractNum>
  <w:abstractNum w:abstractNumId="301" w15:restartNumberingAfterBreak="0">
    <w:nsid w:val="000029F1"/>
    <w:multiLevelType w:val="hybridMultilevel"/>
    <w:tmpl w:val="F2CC2B9E"/>
    <w:lvl w:ilvl="0" w:tplc="9B7200E8">
      <w:start w:val="310"/>
      <w:numFmt w:val="decimal"/>
      <w:lvlText w:val="%1"/>
      <w:lvlJc w:val="left"/>
    </w:lvl>
    <w:lvl w:ilvl="1" w:tplc="43C2C188">
      <w:start w:val="1"/>
      <w:numFmt w:val="lowerLetter"/>
      <w:lvlText w:val="%2."/>
      <w:lvlJc w:val="left"/>
    </w:lvl>
    <w:lvl w:ilvl="2" w:tplc="F1F4B1B4">
      <w:start w:val="1"/>
      <w:numFmt w:val="lowerRoman"/>
      <w:lvlText w:val="%3."/>
      <w:lvlJc w:val="left"/>
    </w:lvl>
    <w:lvl w:ilvl="3" w:tplc="D188F9D0">
      <w:numFmt w:val="decimal"/>
      <w:lvlText w:val=""/>
      <w:lvlJc w:val="left"/>
    </w:lvl>
    <w:lvl w:ilvl="4" w:tplc="2488B846">
      <w:numFmt w:val="decimal"/>
      <w:lvlText w:val=""/>
      <w:lvlJc w:val="left"/>
    </w:lvl>
    <w:lvl w:ilvl="5" w:tplc="04CA0B02">
      <w:numFmt w:val="decimal"/>
      <w:lvlText w:val=""/>
      <w:lvlJc w:val="left"/>
    </w:lvl>
    <w:lvl w:ilvl="6" w:tplc="90D0059C">
      <w:numFmt w:val="decimal"/>
      <w:lvlText w:val=""/>
      <w:lvlJc w:val="left"/>
    </w:lvl>
    <w:lvl w:ilvl="7" w:tplc="8C9CE44E">
      <w:numFmt w:val="decimal"/>
      <w:lvlText w:val=""/>
      <w:lvlJc w:val="left"/>
    </w:lvl>
    <w:lvl w:ilvl="8" w:tplc="2CD0B158">
      <w:numFmt w:val="decimal"/>
      <w:lvlText w:val=""/>
      <w:lvlJc w:val="left"/>
    </w:lvl>
  </w:abstractNum>
  <w:abstractNum w:abstractNumId="302" w15:restartNumberingAfterBreak="0">
    <w:nsid w:val="00002A01"/>
    <w:multiLevelType w:val="hybridMultilevel"/>
    <w:tmpl w:val="901AA1F0"/>
    <w:lvl w:ilvl="0" w:tplc="26226524">
      <w:start w:val="1"/>
      <w:numFmt w:val="decimal"/>
      <w:lvlText w:val="%1"/>
      <w:lvlJc w:val="left"/>
    </w:lvl>
    <w:lvl w:ilvl="1" w:tplc="7C1E173A">
      <w:start w:val="1"/>
      <w:numFmt w:val="lowerLetter"/>
      <w:lvlText w:val="%2"/>
      <w:lvlJc w:val="left"/>
    </w:lvl>
    <w:lvl w:ilvl="2" w:tplc="82AC9E44">
      <w:start w:val="4"/>
      <w:numFmt w:val="decimal"/>
      <w:lvlText w:val="%3."/>
      <w:lvlJc w:val="left"/>
    </w:lvl>
    <w:lvl w:ilvl="3" w:tplc="2048DDB6">
      <w:numFmt w:val="decimal"/>
      <w:lvlText w:val=""/>
      <w:lvlJc w:val="left"/>
    </w:lvl>
    <w:lvl w:ilvl="4" w:tplc="2C6E035C">
      <w:numFmt w:val="decimal"/>
      <w:lvlText w:val=""/>
      <w:lvlJc w:val="left"/>
    </w:lvl>
    <w:lvl w:ilvl="5" w:tplc="4BE052DE">
      <w:numFmt w:val="decimal"/>
      <w:lvlText w:val=""/>
      <w:lvlJc w:val="left"/>
    </w:lvl>
    <w:lvl w:ilvl="6" w:tplc="7A3E432C">
      <w:numFmt w:val="decimal"/>
      <w:lvlText w:val=""/>
      <w:lvlJc w:val="left"/>
    </w:lvl>
    <w:lvl w:ilvl="7" w:tplc="80748AD8">
      <w:numFmt w:val="decimal"/>
      <w:lvlText w:val=""/>
      <w:lvlJc w:val="left"/>
    </w:lvl>
    <w:lvl w:ilvl="8" w:tplc="17F8C85A">
      <w:numFmt w:val="decimal"/>
      <w:lvlText w:val=""/>
      <w:lvlJc w:val="left"/>
    </w:lvl>
  </w:abstractNum>
  <w:abstractNum w:abstractNumId="303" w15:restartNumberingAfterBreak="0">
    <w:nsid w:val="00002A09"/>
    <w:multiLevelType w:val="hybridMultilevel"/>
    <w:tmpl w:val="3B9E7F66"/>
    <w:lvl w:ilvl="0" w:tplc="0E68FF3A">
      <w:start w:val="1"/>
      <w:numFmt w:val="decimal"/>
      <w:lvlText w:val="(%1)"/>
      <w:lvlJc w:val="left"/>
    </w:lvl>
    <w:lvl w:ilvl="1" w:tplc="0B90D222">
      <w:start w:val="1"/>
      <w:numFmt w:val="lowerLetter"/>
      <w:lvlText w:val="(%2)"/>
      <w:lvlJc w:val="left"/>
    </w:lvl>
    <w:lvl w:ilvl="2" w:tplc="00946872">
      <w:numFmt w:val="decimal"/>
      <w:lvlText w:val=""/>
      <w:lvlJc w:val="left"/>
    </w:lvl>
    <w:lvl w:ilvl="3" w:tplc="658AE86C">
      <w:numFmt w:val="decimal"/>
      <w:lvlText w:val=""/>
      <w:lvlJc w:val="left"/>
    </w:lvl>
    <w:lvl w:ilvl="4" w:tplc="F60CB33C">
      <w:numFmt w:val="decimal"/>
      <w:lvlText w:val=""/>
      <w:lvlJc w:val="left"/>
    </w:lvl>
    <w:lvl w:ilvl="5" w:tplc="8A86B1F0">
      <w:numFmt w:val="decimal"/>
      <w:lvlText w:val=""/>
      <w:lvlJc w:val="left"/>
    </w:lvl>
    <w:lvl w:ilvl="6" w:tplc="D7543EA2">
      <w:numFmt w:val="decimal"/>
      <w:lvlText w:val=""/>
      <w:lvlJc w:val="left"/>
    </w:lvl>
    <w:lvl w:ilvl="7" w:tplc="51C0954C">
      <w:numFmt w:val="decimal"/>
      <w:lvlText w:val=""/>
      <w:lvlJc w:val="left"/>
    </w:lvl>
    <w:lvl w:ilvl="8" w:tplc="18A0302C">
      <w:numFmt w:val="decimal"/>
      <w:lvlText w:val=""/>
      <w:lvlJc w:val="left"/>
    </w:lvl>
  </w:abstractNum>
  <w:abstractNum w:abstractNumId="304" w15:restartNumberingAfterBreak="0">
    <w:nsid w:val="00002A2D"/>
    <w:multiLevelType w:val="hybridMultilevel"/>
    <w:tmpl w:val="8370F9BC"/>
    <w:lvl w:ilvl="0" w:tplc="2B5856E0">
      <w:start w:val="2"/>
      <w:numFmt w:val="lowerLetter"/>
      <w:lvlText w:val="(%1)"/>
      <w:lvlJc w:val="left"/>
    </w:lvl>
    <w:lvl w:ilvl="1" w:tplc="31DC0BB4">
      <w:start w:val="1"/>
      <w:numFmt w:val="decimal"/>
      <w:lvlText w:val="%2."/>
      <w:lvlJc w:val="left"/>
    </w:lvl>
    <w:lvl w:ilvl="2" w:tplc="79EA9592">
      <w:numFmt w:val="decimal"/>
      <w:lvlText w:val=""/>
      <w:lvlJc w:val="left"/>
    </w:lvl>
    <w:lvl w:ilvl="3" w:tplc="6F1C084A">
      <w:numFmt w:val="decimal"/>
      <w:lvlText w:val=""/>
      <w:lvlJc w:val="left"/>
    </w:lvl>
    <w:lvl w:ilvl="4" w:tplc="53D8F974">
      <w:numFmt w:val="decimal"/>
      <w:lvlText w:val=""/>
      <w:lvlJc w:val="left"/>
    </w:lvl>
    <w:lvl w:ilvl="5" w:tplc="A016FE30">
      <w:numFmt w:val="decimal"/>
      <w:lvlText w:val=""/>
      <w:lvlJc w:val="left"/>
    </w:lvl>
    <w:lvl w:ilvl="6" w:tplc="3C223704">
      <w:numFmt w:val="decimal"/>
      <w:lvlText w:val=""/>
      <w:lvlJc w:val="left"/>
    </w:lvl>
    <w:lvl w:ilvl="7" w:tplc="02829A86">
      <w:numFmt w:val="decimal"/>
      <w:lvlText w:val=""/>
      <w:lvlJc w:val="left"/>
    </w:lvl>
    <w:lvl w:ilvl="8" w:tplc="90FCA812">
      <w:numFmt w:val="decimal"/>
      <w:lvlText w:val=""/>
      <w:lvlJc w:val="left"/>
    </w:lvl>
  </w:abstractNum>
  <w:abstractNum w:abstractNumId="305" w15:restartNumberingAfterBreak="0">
    <w:nsid w:val="00002A6D"/>
    <w:multiLevelType w:val="hybridMultilevel"/>
    <w:tmpl w:val="FB92B34E"/>
    <w:lvl w:ilvl="0" w:tplc="32786D28">
      <w:start w:val="4"/>
      <w:numFmt w:val="decimal"/>
      <w:lvlText w:val="%1."/>
      <w:lvlJc w:val="left"/>
    </w:lvl>
    <w:lvl w:ilvl="1" w:tplc="3350D516">
      <w:start w:val="1"/>
      <w:numFmt w:val="lowerLetter"/>
      <w:lvlText w:val="%2"/>
      <w:lvlJc w:val="left"/>
    </w:lvl>
    <w:lvl w:ilvl="2" w:tplc="2A4C0A38">
      <w:numFmt w:val="decimal"/>
      <w:lvlText w:val=""/>
      <w:lvlJc w:val="left"/>
    </w:lvl>
    <w:lvl w:ilvl="3" w:tplc="56EE81AC">
      <w:numFmt w:val="decimal"/>
      <w:lvlText w:val=""/>
      <w:lvlJc w:val="left"/>
    </w:lvl>
    <w:lvl w:ilvl="4" w:tplc="00A646EE">
      <w:numFmt w:val="decimal"/>
      <w:lvlText w:val=""/>
      <w:lvlJc w:val="left"/>
    </w:lvl>
    <w:lvl w:ilvl="5" w:tplc="7858559A">
      <w:numFmt w:val="decimal"/>
      <w:lvlText w:val=""/>
      <w:lvlJc w:val="left"/>
    </w:lvl>
    <w:lvl w:ilvl="6" w:tplc="6A7EC0EC">
      <w:numFmt w:val="decimal"/>
      <w:lvlText w:val=""/>
      <w:lvlJc w:val="left"/>
    </w:lvl>
    <w:lvl w:ilvl="7" w:tplc="C142BD74">
      <w:numFmt w:val="decimal"/>
      <w:lvlText w:val=""/>
      <w:lvlJc w:val="left"/>
    </w:lvl>
    <w:lvl w:ilvl="8" w:tplc="B81CC240">
      <w:numFmt w:val="decimal"/>
      <w:lvlText w:val=""/>
      <w:lvlJc w:val="left"/>
    </w:lvl>
  </w:abstractNum>
  <w:abstractNum w:abstractNumId="306" w15:restartNumberingAfterBreak="0">
    <w:nsid w:val="00002A72"/>
    <w:multiLevelType w:val="hybridMultilevel"/>
    <w:tmpl w:val="4738A62E"/>
    <w:lvl w:ilvl="0" w:tplc="A18886CA">
      <w:start w:val="1"/>
      <w:numFmt w:val="decimal"/>
      <w:lvlText w:val="%1"/>
      <w:lvlJc w:val="left"/>
    </w:lvl>
    <w:lvl w:ilvl="1" w:tplc="5E7E8F42">
      <w:start w:val="2"/>
      <w:numFmt w:val="lowerLetter"/>
      <w:lvlText w:val="%2."/>
      <w:lvlJc w:val="left"/>
    </w:lvl>
    <w:lvl w:ilvl="2" w:tplc="5C020D10">
      <w:numFmt w:val="decimal"/>
      <w:lvlText w:val=""/>
      <w:lvlJc w:val="left"/>
    </w:lvl>
    <w:lvl w:ilvl="3" w:tplc="5AD2A3C0">
      <w:numFmt w:val="decimal"/>
      <w:lvlText w:val=""/>
      <w:lvlJc w:val="left"/>
    </w:lvl>
    <w:lvl w:ilvl="4" w:tplc="7598E454">
      <w:numFmt w:val="decimal"/>
      <w:lvlText w:val=""/>
      <w:lvlJc w:val="left"/>
    </w:lvl>
    <w:lvl w:ilvl="5" w:tplc="14DA32E4">
      <w:numFmt w:val="decimal"/>
      <w:lvlText w:val=""/>
      <w:lvlJc w:val="left"/>
    </w:lvl>
    <w:lvl w:ilvl="6" w:tplc="DD56D77E">
      <w:numFmt w:val="decimal"/>
      <w:lvlText w:val=""/>
      <w:lvlJc w:val="left"/>
    </w:lvl>
    <w:lvl w:ilvl="7" w:tplc="BD420BFC">
      <w:numFmt w:val="decimal"/>
      <w:lvlText w:val=""/>
      <w:lvlJc w:val="left"/>
    </w:lvl>
    <w:lvl w:ilvl="8" w:tplc="2BE65DA8">
      <w:numFmt w:val="decimal"/>
      <w:lvlText w:val=""/>
      <w:lvlJc w:val="left"/>
    </w:lvl>
  </w:abstractNum>
  <w:abstractNum w:abstractNumId="307" w15:restartNumberingAfterBreak="0">
    <w:nsid w:val="00002A98"/>
    <w:multiLevelType w:val="hybridMultilevel"/>
    <w:tmpl w:val="BCBE3988"/>
    <w:lvl w:ilvl="0" w:tplc="64E4FCF0">
      <w:start w:val="1"/>
      <w:numFmt w:val="decimal"/>
      <w:lvlText w:val="%1"/>
      <w:lvlJc w:val="left"/>
    </w:lvl>
    <w:lvl w:ilvl="1" w:tplc="2594FF48">
      <w:start w:val="2"/>
      <w:numFmt w:val="lowerLetter"/>
      <w:lvlText w:val="(%2)"/>
      <w:lvlJc w:val="left"/>
    </w:lvl>
    <w:lvl w:ilvl="2" w:tplc="20E8DC2E">
      <w:start w:val="1"/>
      <w:numFmt w:val="decimal"/>
      <w:lvlText w:val="%3."/>
      <w:lvlJc w:val="left"/>
    </w:lvl>
    <w:lvl w:ilvl="3" w:tplc="59544226">
      <w:start w:val="1"/>
      <w:numFmt w:val="lowerLetter"/>
      <w:lvlText w:val="%4."/>
      <w:lvlJc w:val="left"/>
    </w:lvl>
    <w:lvl w:ilvl="4" w:tplc="0BA61F54">
      <w:numFmt w:val="decimal"/>
      <w:lvlText w:val=""/>
      <w:lvlJc w:val="left"/>
    </w:lvl>
    <w:lvl w:ilvl="5" w:tplc="37A2C0B8">
      <w:numFmt w:val="decimal"/>
      <w:lvlText w:val=""/>
      <w:lvlJc w:val="left"/>
    </w:lvl>
    <w:lvl w:ilvl="6" w:tplc="ECE48BB6">
      <w:numFmt w:val="decimal"/>
      <w:lvlText w:val=""/>
      <w:lvlJc w:val="left"/>
    </w:lvl>
    <w:lvl w:ilvl="7" w:tplc="4EA8FC10">
      <w:numFmt w:val="decimal"/>
      <w:lvlText w:val=""/>
      <w:lvlJc w:val="left"/>
    </w:lvl>
    <w:lvl w:ilvl="8" w:tplc="AC6ADA0E">
      <w:numFmt w:val="decimal"/>
      <w:lvlText w:val=""/>
      <w:lvlJc w:val="left"/>
    </w:lvl>
  </w:abstractNum>
  <w:abstractNum w:abstractNumId="308" w15:restartNumberingAfterBreak="0">
    <w:nsid w:val="00002A9E"/>
    <w:multiLevelType w:val="hybridMultilevel"/>
    <w:tmpl w:val="2F0C33EC"/>
    <w:lvl w:ilvl="0" w:tplc="3332643C">
      <w:start w:val="1"/>
      <w:numFmt w:val="decimal"/>
      <w:lvlText w:val="%1"/>
      <w:lvlJc w:val="left"/>
    </w:lvl>
    <w:lvl w:ilvl="1" w:tplc="EAB0EFF4">
      <w:start w:val="1"/>
      <w:numFmt w:val="lowerLetter"/>
      <w:lvlText w:val="%2"/>
      <w:lvlJc w:val="left"/>
    </w:lvl>
    <w:lvl w:ilvl="2" w:tplc="07046670">
      <w:start w:val="310"/>
      <w:numFmt w:val="decimal"/>
      <w:lvlText w:val="%3"/>
      <w:lvlJc w:val="left"/>
    </w:lvl>
    <w:lvl w:ilvl="3" w:tplc="744C0DEA">
      <w:numFmt w:val="decimal"/>
      <w:lvlText w:val=""/>
      <w:lvlJc w:val="left"/>
    </w:lvl>
    <w:lvl w:ilvl="4" w:tplc="37787D36">
      <w:numFmt w:val="decimal"/>
      <w:lvlText w:val=""/>
      <w:lvlJc w:val="left"/>
    </w:lvl>
    <w:lvl w:ilvl="5" w:tplc="F21252C0">
      <w:numFmt w:val="decimal"/>
      <w:lvlText w:val=""/>
      <w:lvlJc w:val="left"/>
    </w:lvl>
    <w:lvl w:ilvl="6" w:tplc="E9DE7A68">
      <w:numFmt w:val="decimal"/>
      <w:lvlText w:val=""/>
      <w:lvlJc w:val="left"/>
    </w:lvl>
    <w:lvl w:ilvl="7" w:tplc="43185B9A">
      <w:numFmt w:val="decimal"/>
      <w:lvlText w:val=""/>
      <w:lvlJc w:val="left"/>
    </w:lvl>
    <w:lvl w:ilvl="8" w:tplc="A4C82522">
      <w:numFmt w:val="decimal"/>
      <w:lvlText w:val=""/>
      <w:lvlJc w:val="left"/>
    </w:lvl>
  </w:abstractNum>
  <w:abstractNum w:abstractNumId="309" w15:restartNumberingAfterBreak="0">
    <w:nsid w:val="00002ABA"/>
    <w:multiLevelType w:val="hybridMultilevel"/>
    <w:tmpl w:val="40EE64C6"/>
    <w:lvl w:ilvl="0" w:tplc="7E7276AE">
      <w:start w:val="3"/>
      <w:numFmt w:val="lowerLetter"/>
      <w:lvlText w:val="(%1)"/>
      <w:lvlJc w:val="left"/>
    </w:lvl>
    <w:lvl w:ilvl="1" w:tplc="5DE487A6">
      <w:start w:val="1"/>
      <w:numFmt w:val="decimal"/>
      <w:lvlText w:val="%2."/>
      <w:lvlJc w:val="left"/>
    </w:lvl>
    <w:lvl w:ilvl="2" w:tplc="73F88474">
      <w:start w:val="1"/>
      <w:numFmt w:val="lowerLetter"/>
      <w:lvlText w:val="%3."/>
      <w:lvlJc w:val="left"/>
    </w:lvl>
    <w:lvl w:ilvl="3" w:tplc="F19C8D5C">
      <w:start w:val="1"/>
      <w:numFmt w:val="lowerRoman"/>
      <w:lvlText w:val="%4"/>
      <w:lvlJc w:val="left"/>
    </w:lvl>
    <w:lvl w:ilvl="4" w:tplc="9E0A8F04">
      <w:numFmt w:val="decimal"/>
      <w:lvlText w:val=""/>
      <w:lvlJc w:val="left"/>
    </w:lvl>
    <w:lvl w:ilvl="5" w:tplc="0A64EE1E">
      <w:numFmt w:val="decimal"/>
      <w:lvlText w:val=""/>
      <w:lvlJc w:val="left"/>
    </w:lvl>
    <w:lvl w:ilvl="6" w:tplc="B1DCE500">
      <w:numFmt w:val="decimal"/>
      <w:lvlText w:val=""/>
      <w:lvlJc w:val="left"/>
    </w:lvl>
    <w:lvl w:ilvl="7" w:tplc="BB540F5C">
      <w:numFmt w:val="decimal"/>
      <w:lvlText w:val=""/>
      <w:lvlJc w:val="left"/>
    </w:lvl>
    <w:lvl w:ilvl="8" w:tplc="B77EE89A">
      <w:numFmt w:val="decimal"/>
      <w:lvlText w:val=""/>
      <w:lvlJc w:val="left"/>
    </w:lvl>
  </w:abstractNum>
  <w:abstractNum w:abstractNumId="310" w15:restartNumberingAfterBreak="0">
    <w:nsid w:val="00002ABC"/>
    <w:multiLevelType w:val="hybridMultilevel"/>
    <w:tmpl w:val="D352A636"/>
    <w:lvl w:ilvl="0" w:tplc="03B6A4B0">
      <w:start w:val="1"/>
      <w:numFmt w:val="decimal"/>
      <w:lvlText w:val="%1"/>
      <w:lvlJc w:val="left"/>
    </w:lvl>
    <w:lvl w:ilvl="1" w:tplc="A668529E">
      <w:start w:val="3"/>
      <w:numFmt w:val="lowerLetter"/>
      <w:lvlText w:val="(%2)"/>
      <w:lvlJc w:val="left"/>
    </w:lvl>
    <w:lvl w:ilvl="2" w:tplc="082C0458">
      <w:start w:val="1"/>
      <w:numFmt w:val="decimal"/>
      <w:lvlText w:val="%3."/>
      <w:lvlJc w:val="left"/>
    </w:lvl>
    <w:lvl w:ilvl="3" w:tplc="0FD49334">
      <w:numFmt w:val="decimal"/>
      <w:lvlText w:val=""/>
      <w:lvlJc w:val="left"/>
    </w:lvl>
    <w:lvl w:ilvl="4" w:tplc="9E0E19D0">
      <w:numFmt w:val="decimal"/>
      <w:lvlText w:val=""/>
      <w:lvlJc w:val="left"/>
    </w:lvl>
    <w:lvl w:ilvl="5" w:tplc="C19E7BC8">
      <w:numFmt w:val="decimal"/>
      <w:lvlText w:val=""/>
      <w:lvlJc w:val="left"/>
    </w:lvl>
    <w:lvl w:ilvl="6" w:tplc="187C9CE4">
      <w:numFmt w:val="decimal"/>
      <w:lvlText w:val=""/>
      <w:lvlJc w:val="left"/>
    </w:lvl>
    <w:lvl w:ilvl="7" w:tplc="87D2EE9C">
      <w:numFmt w:val="decimal"/>
      <w:lvlText w:val=""/>
      <w:lvlJc w:val="left"/>
    </w:lvl>
    <w:lvl w:ilvl="8" w:tplc="63CAB976">
      <w:numFmt w:val="decimal"/>
      <w:lvlText w:val=""/>
      <w:lvlJc w:val="left"/>
    </w:lvl>
  </w:abstractNum>
  <w:abstractNum w:abstractNumId="311" w15:restartNumberingAfterBreak="0">
    <w:nsid w:val="00002AEA"/>
    <w:multiLevelType w:val="hybridMultilevel"/>
    <w:tmpl w:val="866698D8"/>
    <w:lvl w:ilvl="0" w:tplc="18FE4BD4">
      <w:start w:val="4"/>
      <w:numFmt w:val="decimal"/>
      <w:lvlText w:val="(%1)"/>
      <w:lvlJc w:val="left"/>
    </w:lvl>
    <w:lvl w:ilvl="1" w:tplc="619C0A00">
      <w:start w:val="1"/>
      <w:numFmt w:val="lowerLetter"/>
      <w:lvlText w:val="(%2)"/>
      <w:lvlJc w:val="left"/>
    </w:lvl>
    <w:lvl w:ilvl="2" w:tplc="0706DAF8">
      <w:start w:val="1"/>
      <w:numFmt w:val="decimal"/>
      <w:lvlText w:val="%3."/>
      <w:lvlJc w:val="left"/>
    </w:lvl>
    <w:lvl w:ilvl="3" w:tplc="DEB0BEFE">
      <w:numFmt w:val="decimal"/>
      <w:lvlText w:val=""/>
      <w:lvlJc w:val="left"/>
    </w:lvl>
    <w:lvl w:ilvl="4" w:tplc="9EA4864A">
      <w:numFmt w:val="decimal"/>
      <w:lvlText w:val=""/>
      <w:lvlJc w:val="left"/>
    </w:lvl>
    <w:lvl w:ilvl="5" w:tplc="429E3CCE">
      <w:numFmt w:val="decimal"/>
      <w:lvlText w:val=""/>
      <w:lvlJc w:val="left"/>
    </w:lvl>
    <w:lvl w:ilvl="6" w:tplc="0C80EDF0">
      <w:numFmt w:val="decimal"/>
      <w:lvlText w:val=""/>
      <w:lvlJc w:val="left"/>
    </w:lvl>
    <w:lvl w:ilvl="7" w:tplc="8EA26BE8">
      <w:numFmt w:val="decimal"/>
      <w:lvlText w:val=""/>
      <w:lvlJc w:val="left"/>
    </w:lvl>
    <w:lvl w:ilvl="8" w:tplc="3142F6AC">
      <w:numFmt w:val="decimal"/>
      <w:lvlText w:val=""/>
      <w:lvlJc w:val="left"/>
    </w:lvl>
  </w:abstractNum>
  <w:abstractNum w:abstractNumId="312" w15:restartNumberingAfterBreak="0">
    <w:nsid w:val="00002AEB"/>
    <w:multiLevelType w:val="hybridMultilevel"/>
    <w:tmpl w:val="E2F44E98"/>
    <w:lvl w:ilvl="0" w:tplc="B28E87A0">
      <w:start w:val="1"/>
      <w:numFmt w:val="decimal"/>
      <w:lvlText w:val="%1"/>
      <w:lvlJc w:val="left"/>
    </w:lvl>
    <w:lvl w:ilvl="1" w:tplc="8D72B796">
      <w:start w:val="2"/>
      <w:numFmt w:val="lowerLetter"/>
      <w:lvlText w:val="(%2)"/>
      <w:lvlJc w:val="left"/>
    </w:lvl>
    <w:lvl w:ilvl="2" w:tplc="92543DD4">
      <w:start w:val="1"/>
      <w:numFmt w:val="decimal"/>
      <w:lvlText w:val="%3"/>
      <w:lvlJc w:val="left"/>
    </w:lvl>
    <w:lvl w:ilvl="3" w:tplc="46D81C14">
      <w:start w:val="1"/>
      <w:numFmt w:val="lowerLetter"/>
      <w:lvlText w:val="%4"/>
      <w:lvlJc w:val="left"/>
    </w:lvl>
    <w:lvl w:ilvl="4" w:tplc="9A1E0D88">
      <w:start w:val="1"/>
      <w:numFmt w:val="lowerRoman"/>
      <w:lvlText w:val="%5"/>
      <w:lvlJc w:val="left"/>
    </w:lvl>
    <w:lvl w:ilvl="5" w:tplc="5E0AFFDA">
      <w:numFmt w:val="decimal"/>
      <w:lvlText w:val=""/>
      <w:lvlJc w:val="left"/>
    </w:lvl>
    <w:lvl w:ilvl="6" w:tplc="011264AE">
      <w:numFmt w:val="decimal"/>
      <w:lvlText w:val=""/>
      <w:lvlJc w:val="left"/>
    </w:lvl>
    <w:lvl w:ilvl="7" w:tplc="ED60F980">
      <w:numFmt w:val="decimal"/>
      <w:lvlText w:val=""/>
      <w:lvlJc w:val="left"/>
    </w:lvl>
    <w:lvl w:ilvl="8" w:tplc="33A6D044">
      <w:numFmt w:val="decimal"/>
      <w:lvlText w:val=""/>
      <w:lvlJc w:val="left"/>
    </w:lvl>
  </w:abstractNum>
  <w:abstractNum w:abstractNumId="313" w15:restartNumberingAfterBreak="0">
    <w:nsid w:val="00002AF9"/>
    <w:multiLevelType w:val="hybridMultilevel"/>
    <w:tmpl w:val="52C49B4A"/>
    <w:lvl w:ilvl="0" w:tplc="EE0A749A">
      <w:start w:val="2"/>
      <w:numFmt w:val="decimal"/>
      <w:lvlText w:val="%1."/>
      <w:lvlJc w:val="left"/>
    </w:lvl>
    <w:lvl w:ilvl="1" w:tplc="D536FFFC">
      <w:start w:val="1"/>
      <w:numFmt w:val="lowerLetter"/>
      <w:lvlText w:val="%2."/>
      <w:lvlJc w:val="left"/>
    </w:lvl>
    <w:lvl w:ilvl="2" w:tplc="EAA0B322">
      <w:start w:val="1"/>
      <w:numFmt w:val="lowerRoman"/>
      <w:lvlText w:val="%3."/>
      <w:lvlJc w:val="left"/>
    </w:lvl>
    <w:lvl w:ilvl="3" w:tplc="B97C81CE">
      <w:numFmt w:val="decimal"/>
      <w:lvlText w:val=""/>
      <w:lvlJc w:val="left"/>
    </w:lvl>
    <w:lvl w:ilvl="4" w:tplc="2F789048">
      <w:numFmt w:val="decimal"/>
      <w:lvlText w:val=""/>
      <w:lvlJc w:val="left"/>
    </w:lvl>
    <w:lvl w:ilvl="5" w:tplc="C1487898">
      <w:numFmt w:val="decimal"/>
      <w:lvlText w:val=""/>
      <w:lvlJc w:val="left"/>
    </w:lvl>
    <w:lvl w:ilvl="6" w:tplc="D54A1C44">
      <w:numFmt w:val="decimal"/>
      <w:lvlText w:val=""/>
      <w:lvlJc w:val="left"/>
    </w:lvl>
    <w:lvl w:ilvl="7" w:tplc="C72678C0">
      <w:numFmt w:val="decimal"/>
      <w:lvlText w:val=""/>
      <w:lvlJc w:val="left"/>
    </w:lvl>
    <w:lvl w:ilvl="8" w:tplc="C3A414E0">
      <w:numFmt w:val="decimal"/>
      <w:lvlText w:val=""/>
      <w:lvlJc w:val="left"/>
    </w:lvl>
  </w:abstractNum>
  <w:abstractNum w:abstractNumId="314" w15:restartNumberingAfterBreak="0">
    <w:nsid w:val="00002B13"/>
    <w:multiLevelType w:val="hybridMultilevel"/>
    <w:tmpl w:val="793A2D6C"/>
    <w:lvl w:ilvl="0" w:tplc="FA60E0CC">
      <w:start w:val="1"/>
      <w:numFmt w:val="decimal"/>
      <w:lvlText w:val="(%1)"/>
      <w:lvlJc w:val="left"/>
    </w:lvl>
    <w:lvl w:ilvl="1" w:tplc="968E36C6">
      <w:numFmt w:val="decimal"/>
      <w:lvlText w:val=""/>
      <w:lvlJc w:val="left"/>
    </w:lvl>
    <w:lvl w:ilvl="2" w:tplc="BF66540E">
      <w:numFmt w:val="decimal"/>
      <w:lvlText w:val=""/>
      <w:lvlJc w:val="left"/>
    </w:lvl>
    <w:lvl w:ilvl="3" w:tplc="29B0D1D0">
      <w:numFmt w:val="decimal"/>
      <w:lvlText w:val=""/>
      <w:lvlJc w:val="left"/>
    </w:lvl>
    <w:lvl w:ilvl="4" w:tplc="D9F2B68C">
      <w:numFmt w:val="decimal"/>
      <w:lvlText w:val=""/>
      <w:lvlJc w:val="left"/>
    </w:lvl>
    <w:lvl w:ilvl="5" w:tplc="B79EDAB0">
      <w:numFmt w:val="decimal"/>
      <w:lvlText w:val=""/>
      <w:lvlJc w:val="left"/>
    </w:lvl>
    <w:lvl w:ilvl="6" w:tplc="1F2E8C4C">
      <w:numFmt w:val="decimal"/>
      <w:lvlText w:val=""/>
      <w:lvlJc w:val="left"/>
    </w:lvl>
    <w:lvl w:ilvl="7" w:tplc="DAA22F18">
      <w:numFmt w:val="decimal"/>
      <w:lvlText w:val=""/>
      <w:lvlJc w:val="left"/>
    </w:lvl>
    <w:lvl w:ilvl="8" w:tplc="2A86D5D8">
      <w:numFmt w:val="decimal"/>
      <w:lvlText w:val=""/>
      <w:lvlJc w:val="left"/>
    </w:lvl>
  </w:abstractNum>
  <w:abstractNum w:abstractNumId="315" w15:restartNumberingAfterBreak="0">
    <w:nsid w:val="00002B30"/>
    <w:multiLevelType w:val="hybridMultilevel"/>
    <w:tmpl w:val="F33E35EE"/>
    <w:lvl w:ilvl="0" w:tplc="4956D90A">
      <w:start w:val="1"/>
      <w:numFmt w:val="lowerLetter"/>
      <w:lvlText w:val="(%1)"/>
      <w:lvlJc w:val="left"/>
    </w:lvl>
    <w:lvl w:ilvl="1" w:tplc="1102C7F2">
      <w:start w:val="1"/>
      <w:numFmt w:val="decimal"/>
      <w:lvlText w:val="%2."/>
      <w:lvlJc w:val="left"/>
    </w:lvl>
    <w:lvl w:ilvl="2" w:tplc="42C2603E">
      <w:numFmt w:val="decimal"/>
      <w:lvlText w:val=""/>
      <w:lvlJc w:val="left"/>
    </w:lvl>
    <w:lvl w:ilvl="3" w:tplc="814CB20E">
      <w:numFmt w:val="decimal"/>
      <w:lvlText w:val=""/>
      <w:lvlJc w:val="left"/>
    </w:lvl>
    <w:lvl w:ilvl="4" w:tplc="5C2ED1A4">
      <w:numFmt w:val="decimal"/>
      <w:lvlText w:val=""/>
      <w:lvlJc w:val="left"/>
    </w:lvl>
    <w:lvl w:ilvl="5" w:tplc="3A7648B0">
      <w:numFmt w:val="decimal"/>
      <w:lvlText w:val=""/>
      <w:lvlJc w:val="left"/>
    </w:lvl>
    <w:lvl w:ilvl="6" w:tplc="D5DCD54A">
      <w:numFmt w:val="decimal"/>
      <w:lvlText w:val=""/>
      <w:lvlJc w:val="left"/>
    </w:lvl>
    <w:lvl w:ilvl="7" w:tplc="EEFE0CD6">
      <w:numFmt w:val="decimal"/>
      <w:lvlText w:val=""/>
      <w:lvlJc w:val="left"/>
    </w:lvl>
    <w:lvl w:ilvl="8" w:tplc="E0E20152">
      <w:numFmt w:val="decimal"/>
      <w:lvlText w:val=""/>
      <w:lvlJc w:val="left"/>
    </w:lvl>
  </w:abstractNum>
  <w:abstractNum w:abstractNumId="316" w15:restartNumberingAfterBreak="0">
    <w:nsid w:val="00002B32"/>
    <w:multiLevelType w:val="hybridMultilevel"/>
    <w:tmpl w:val="0354F3AE"/>
    <w:lvl w:ilvl="0" w:tplc="EE12A9FE">
      <w:start w:val="5"/>
      <w:numFmt w:val="decimal"/>
      <w:lvlText w:val="(%1)"/>
      <w:lvlJc w:val="left"/>
    </w:lvl>
    <w:lvl w:ilvl="1" w:tplc="21C6F046">
      <w:start w:val="1"/>
      <w:numFmt w:val="lowerLetter"/>
      <w:lvlText w:val="(%2)"/>
      <w:lvlJc w:val="left"/>
    </w:lvl>
    <w:lvl w:ilvl="2" w:tplc="6B005B94">
      <w:numFmt w:val="decimal"/>
      <w:lvlText w:val=""/>
      <w:lvlJc w:val="left"/>
    </w:lvl>
    <w:lvl w:ilvl="3" w:tplc="C108CB1A">
      <w:numFmt w:val="decimal"/>
      <w:lvlText w:val=""/>
      <w:lvlJc w:val="left"/>
    </w:lvl>
    <w:lvl w:ilvl="4" w:tplc="4224C1A8">
      <w:numFmt w:val="decimal"/>
      <w:lvlText w:val=""/>
      <w:lvlJc w:val="left"/>
    </w:lvl>
    <w:lvl w:ilvl="5" w:tplc="F6387458">
      <w:numFmt w:val="decimal"/>
      <w:lvlText w:val=""/>
      <w:lvlJc w:val="left"/>
    </w:lvl>
    <w:lvl w:ilvl="6" w:tplc="C60419FC">
      <w:numFmt w:val="decimal"/>
      <w:lvlText w:val=""/>
      <w:lvlJc w:val="left"/>
    </w:lvl>
    <w:lvl w:ilvl="7" w:tplc="592C87A4">
      <w:numFmt w:val="decimal"/>
      <w:lvlText w:val=""/>
      <w:lvlJc w:val="left"/>
    </w:lvl>
    <w:lvl w:ilvl="8" w:tplc="14788A30">
      <w:numFmt w:val="decimal"/>
      <w:lvlText w:val=""/>
      <w:lvlJc w:val="left"/>
    </w:lvl>
  </w:abstractNum>
  <w:abstractNum w:abstractNumId="317" w15:restartNumberingAfterBreak="0">
    <w:nsid w:val="00002B38"/>
    <w:multiLevelType w:val="hybridMultilevel"/>
    <w:tmpl w:val="4B101EEC"/>
    <w:lvl w:ilvl="0" w:tplc="9C4690AA">
      <w:start w:val="1"/>
      <w:numFmt w:val="decimal"/>
      <w:lvlText w:val="%1"/>
      <w:lvlJc w:val="left"/>
      <w:rPr>
        <w:rFonts w:hint="default"/>
        <w:caps w:val="0"/>
        <w:strike w:val="0"/>
        <w:dstrike w:val="0"/>
        <w:vanish w:val="0"/>
        <w:vertAlign w:val="superscript"/>
      </w:rPr>
    </w:lvl>
    <w:lvl w:ilvl="1" w:tplc="51685DBA">
      <w:numFmt w:val="decimal"/>
      <w:lvlText w:val=""/>
      <w:lvlJc w:val="left"/>
    </w:lvl>
    <w:lvl w:ilvl="2" w:tplc="38523234">
      <w:numFmt w:val="decimal"/>
      <w:lvlText w:val=""/>
      <w:lvlJc w:val="left"/>
    </w:lvl>
    <w:lvl w:ilvl="3" w:tplc="40DA5A14">
      <w:numFmt w:val="decimal"/>
      <w:lvlText w:val=""/>
      <w:lvlJc w:val="left"/>
    </w:lvl>
    <w:lvl w:ilvl="4" w:tplc="474EEE7A">
      <w:numFmt w:val="decimal"/>
      <w:lvlText w:val=""/>
      <w:lvlJc w:val="left"/>
    </w:lvl>
    <w:lvl w:ilvl="5" w:tplc="4276F482">
      <w:numFmt w:val="decimal"/>
      <w:lvlText w:val=""/>
      <w:lvlJc w:val="left"/>
    </w:lvl>
    <w:lvl w:ilvl="6" w:tplc="E7F4FE18">
      <w:numFmt w:val="decimal"/>
      <w:lvlText w:val=""/>
      <w:lvlJc w:val="left"/>
    </w:lvl>
    <w:lvl w:ilvl="7" w:tplc="77CA1530">
      <w:numFmt w:val="decimal"/>
      <w:lvlText w:val=""/>
      <w:lvlJc w:val="left"/>
    </w:lvl>
    <w:lvl w:ilvl="8" w:tplc="5AEEF200">
      <w:numFmt w:val="decimal"/>
      <w:lvlText w:val=""/>
      <w:lvlJc w:val="left"/>
    </w:lvl>
  </w:abstractNum>
  <w:abstractNum w:abstractNumId="318" w15:restartNumberingAfterBreak="0">
    <w:nsid w:val="00002B40"/>
    <w:multiLevelType w:val="hybridMultilevel"/>
    <w:tmpl w:val="810AD4B6"/>
    <w:lvl w:ilvl="0" w:tplc="D414A84A">
      <w:start w:val="1"/>
      <w:numFmt w:val="decimal"/>
      <w:lvlText w:val="%1"/>
      <w:lvlJc w:val="left"/>
    </w:lvl>
    <w:lvl w:ilvl="1" w:tplc="8786B914">
      <w:start w:val="3"/>
      <w:numFmt w:val="lowerLetter"/>
      <w:lvlText w:val="(%2)"/>
      <w:lvlJc w:val="left"/>
    </w:lvl>
    <w:lvl w:ilvl="2" w:tplc="BA2CDFF8">
      <w:start w:val="1"/>
      <w:numFmt w:val="decimal"/>
      <w:lvlText w:val="%3"/>
      <w:lvlJc w:val="left"/>
    </w:lvl>
    <w:lvl w:ilvl="3" w:tplc="DB8C1370">
      <w:numFmt w:val="decimal"/>
      <w:lvlText w:val=""/>
      <w:lvlJc w:val="left"/>
    </w:lvl>
    <w:lvl w:ilvl="4" w:tplc="04B0162A">
      <w:numFmt w:val="decimal"/>
      <w:lvlText w:val=""/>
      <w:lvlJc w:val="left"/>
    </w:lvl>
    <w:lvl w:ilvl="5" w:tplc="CE4273E4">
      <w:numFmt w:val="decimal"/>
      <w:lvlText w:val=""/>
      <w:lvlJc w:val="left"/>
    </w:lvl>
    <w:lvl w:ilvl="6" w:tplc="5A9EEB6C">
      <w:numFmt w:val="decimal"/>
      <w:lvlText w:val=""/>
      <w:lvlJc w:val="left"/>
    </w:lvl>
    <w:lvl w:ilvl="7" w:tplc="3B0A5A22">
      <w:numFmt w:val="decimal"/>
      <w:lvlText w:val=""/>
      <w:lvlJc w:val="left"/>
    </w:lvl>
    <w:lvl w:ilvl="8" w:tplc="27DECFCC">
      <w:numFmt w:val="decimal"/>
      <w:lvlText w:val=""/>
      <w:lvlJc w:val="left"/>
    </w:lvl>
  </w:abstractNum>
  <w:abstractNum w:abstractNumId="319" w15:restartNumberingAfterBreak="0">
    <w:nsid w:val="00002B97"/>
    <w:multiLevelType w:val="hybridMultilevel"/>
    <w:tmpl w:val="EDAA38AC"/>
    <w:lvl w:ilvl="0" w:tplc="6AE41FAA">
      <w:start w:val="1"/>
      <w:numFmt w:val="decimal"/>
      <w:lvlText w:val="%1"/>
      <w:lvlJc w:val="left"/>
    </w:lvl>
    <w:lvl w:ilvl="1" w:tplc="1B84EE78">
      <w:start w:val="2"/>
      <w:numFmt w:val="lowerLetter"/>
      <w:lvlText w:val="(%2)"/>
      <w:lvlJc w:val="left"/>
    </w:lvl>
    <w:lvl w:ilvl="2" w:tplc="1D3004B4">
      <w:start w:val="1"/>
      <w:numFmt w:val="decimal"/>
      <w:lvlText w:val="%3"/>
      <w:lvlJc w:val="left"/>
    </w:lvl>
    <w:lvl w:ilvl="3" w:tplc="C366AAA0">
      <w:start w:val="1"/>
      <w:numFmt w:val="lowerLetter"/>
      <w:lvlText w:val="%4"/>
      <w:lvlJc w:val="left"/>
    </w:lvl>
    <w:lvl w:ilvl="4" w:tplc="5B8A22F8">
      <w:numFmt w:val="decimal"/>
      <w:lvlText w:val=""/>
      <w:lvlJc w:val="left"/>
    </w:lvl>
    <w:lvl w:ilvl="5" w:tplc="1048F44C">
      <w:numFmt w:val="decimal"/>
      <w:lvlText w:val=""/>
      <w:lvlJc w:val="left"/>
    </w:lvl>
    <w:lvl w:ilvl="6" w:tplc="C88ACD50">
      <w:numFmt w:val="decimal"/>
      <w:lvlText w:val=""/>
      <w:lvlJc w:val="left"/>
    </w:lvl>
    <w:lvl w:ilvl="7" w:tplc="2F86B374">
      <w:numFmt w:val="decimal"/>
      <w:lvlText w:val=""/>
      <w:lvlJc w:val="left"/>
    </w:lvl>
    <w:lvl w:ilvl="8" w:tplc="0C963D92">
      <w:numFmt w:val="decimal"/>
      <w:lvlText w:val=""/>
      <w:lvlJc w:val="left"/>
    </w:lvl>
  </w:abstractNum>
  <w:abstractNum w:abstractNumId="320" w15:restartNumberingAfterBreak="0">
    <w:nsid w:val="00002BB7"/>
    <w:multiLevelType w:val="hybridMultilevel"/>
    <w:tmpl w:val="3A7CFC80"/>
    <w:lvl w:ilvl="0" w:tplc="5776A6B0">
      <w:start w:val="26"/>
      <w:numFmt w:val="decimal"/>
      <w:lvlText w:val="(%1)"/>
      <w:lvlJc w:val="left"/>
    </w:lvl>
    <w:lvl w:ilvl="1" w:tplc="33A6ED1E">
      <w:start w:val="1"/>
      <w:numFmt w:val="lowerLetter"/>
      <w:lvlText w:val="(%2)"/>
      <w:lvlJc w:val="left"/>
    </w:lvl>
    <w:lvl w:ilvl="2" w:tplc="5844B8BA">
      <w:numFmt w:val="decimal"/>
      <w:lvlText w:val=""/>
      <w:lvlJc w:val="left"/>
    </w:lvl>
    <w:lvl w:ilvl="3" w:tplc="649C4938">
      <w:numFmt w:val="decimal"/>
      <w:lvlText w:val=""/>
      <w:lvlJc w:val="left"/>
    </w:lvl>
    <w:lvl w:ilvl="4" w:tplc="70CEE964">
      <w:numFmt w:val="decimal"/>
      <w:lvlText w:val=""/>
      <w:lvlJc w:val="left"/>
    </w:lvl>
    <w:lvl w:ilvl="5" w:tplc="2FD8FE3C">
      <w:numFmt w:val="decimal"/>
      <w:lvlText w:val=""/>
      <w:lvlJc w:val="left"/>
    </w:lvl>
    <w:lvl w:ilvl="6" w:tplc="D5F00738">
      <w:numFmt w:val="decimal"/>
      <w:lvlText w:val=""/>
      <w:lvlJc w:val="left"/>
    </w:lvl>
    <w:lvl w:ilvl="7" w:tplc="2A9ACA9C">
      <w:numFmt w:val="decimal"/>
      <w:lvlText w:val=""/>
      <w:lvlJc w:val="left"/>
    </w:lvl>
    <w:lvl w:ilvl="8" w:tplc="6F9080C4">
      <w:numFmt w:val="decimal"/>
      <w:lvlText w:val=""/>
      <w:lvlJc w:val="left"/>
    </w:lvl>
  </w:abstractNum>
  <w:abstractNum w:abstractNumId="321" w15:restartNumberingAfterBreak="0">
    <w:nsid w:val="00002BB8"/>
    <w:multiLevelType w:val="hybridMultilevel"/>
    <w:tmpl w:val="AE187EAC"/>
    <w:lvl w:ilvl="0" w:tplc="2E26E840">
      <w:start w:val="1"/>
      <w:numFmt w:val="decimal"/>
      <w:lvlText w:val="%1"/>
      <w:lvlJc w:val="left"/>
    </w:lvl>
    <w:lvl w:ilvl="1" w:tplc="96C213B4">
      <w:start w:val="2"/>
      <w:numFmt w:val="lowerLetter"/>
      <w:lvlText w:val="(%2)"/>
      <w:lvlJc w:val="left"/>
    </w:lvl>
    <w:lvl w:ilvl="2" w:tplc="3C3878BC">
      <w:start w:val="1"/>
      <w:numFmt w:val="decimal"/>
      <w:lvlText w:val="%3"/>
      <w:lvlJc w:val="left"/>
    </w:lvl>
    <w:lvl w:ilvl="3" w:tplc="20605BC4">
      <w:start w:val="1"/>
      <w:numFmt w:val="lowerLetter"/>
      <w:lvlText w:val="%4"/>
      <w:lvlJc w:val="left"/>
    </w:lvl>
    <w:lvl w:ilvl="4" w:tplc="D58C1062">
      <w:numFmt w:val="decimal"/>
      <w:lvlText w:val=""/>
      <w:lvlJc w:val="left"/>
    </w:lvl>
    <w:lvl w:ilvl="5" w:tplc="D7DE0BC4">
      <w:numFmt w:val="decimal"/>
      <w:lvlText w:val=""/>
      <w:lvlJc w:val="left"/>
    </w:lvl>
    <w:lvl w:ilvl="6" w:tplc="B554CF90">
      <w:numFmt w:val="decimal"/>
      <w:lvlText w:val=""/>
      <w:lvlJc w:val="left"/>
    </w:lvl>
    <w:lvl w:ilvl="7" w:tplc="64C2D8EA">
      <w:numFmt w:val="decimal"/>
      <w:lvlText w:val=""/>
      <w:lvlJc w:val="left"/>
    </w:lvl>
    <w:lvl w:ilvl="8" w:tplc="3536B2B6">
      <w:numFmt w:val="decimal"/>
      <w:lvlText w:val=""/>
      <w:lvlJc w:val="left"/>
    </w:lvl>
  </w:abstractNum>
  <w:abstractNum w:abstractNumId="322" w15:restartNumberingAfterBreak="0">
    <w:nsid w:val="00002BBD"/>
    <w:multiLevelType w:val="hybridMultilevel"/>
    <w:tmpl w:val="A56827EC"/>
    <w:lvl w:ilvl="0" w:tplc="E000098E">
      <w:start w:val="2"/>
      <w:numFmt w:val="decimal"/>
      <w:lvlText w:val="(%1)"/>
      <w:lvlJc w:val="left"/>
    </w:lvl>
    <w:lvl w:ilvl="1" w:tplc="D8F8532C">
      <w:start w:val="1"/>
      <w:numFmt w:val="lowerLetter"/>
      <w:lvlText w:val="(%2)"/>
      <w:lvlJc w:val="left"/>
    </w:lvl>
    <w:lvl w:ilvl="2" w:tplc="463AB69E">
      <w:start w:val="1"/>
      <w:numFmt w:val="decimal"/>
      <w:lvlText w:val="%3."/>
      <w:lvlJc w:val="left"/>
    </w:lvl>
    <w:lvl w:ilvl="3" w:tplc="39C25478">
      <w:numFmt w:val="decimal"/>
      <w:lvlText w:val=""/>
      <w:lvlJc w:val="left"/>
    </w:lvl>
    <w:lvl w:ilvl="4" w:tplc="03A2A46C">
      <w:numFmt w:val="decimal"/>
      <w:lvlText w:val=""/>
      <w:lvlJc w:val="left"/>
    </w:lvl>
    <w:lvl w:ilvl="5" w:tplc="300A5476">
      <w:numFmt w:val="decimal"/>
      <w:lvlText w:val=""/>
      <w:lvlJc w:val="left"/>
    </w:lvl>
    <w:lvl w:ilvl="6" w:tplc="B454695A">
      <w:numFmt w:val="decimal"/>
      <w:lvlText w:val=""/>
      <w:lvlJc w:val="left"/>
    </w:lvl>
    <w:lvl w:ilvl="7" w:tplc="2556AC24">
      <w:numFmt w:val="decimal"/>
      <w:lvlText w:val=""/>
      <w:lvlJc w:val="left"/>
    </w:lvl>
    <w:lvl w:ilvl="8" w:tplc="4EB87B98">
      <w:numFmt w:val="decimal"/>
      <w:lvlText w:val=""/>
      <w:lvlJc w:val="left"/>
    </w:lvl>
  </w:abstractNum>
  <w:abstractNum w:abstractNumId="323" w15:restartNumberingAfterBreak="0">
    <w:nsid w:val="00002BEB"/>
    <w:multiLevelType w:val="hybridMultilevel"/>
    <w:tmpl w:val="433478C8"/>
    <w:lvl w:ilvl="0" w:tplc="1520ED54">
      <w:start w:val="1"/>
      <w:numFmt w:val="decimal"/>
      <w:lvlText w:val="%1"/>
      <w:lvlJc w:val="left"/>
    </w:lvl>
    <w:lvl w:ilvl="1" w:tplc="69FEB69A">
      <w:start w:val="3"/>
      <w:numFmt w:val="lowerLetter"/>
      <w:lvlText w:val="(%2)"/>
      <w:lvlJc w:val="left"/>
    </w:lvl>
    <w:lvl w:ilvl="2" w:tplc="E7183816">
      <w:start w:val="1"/>
      <w:numFmt w:val="decimal"/>
      <w:lvlText w:val="%3"/>
      <w:lvlJc w:val="left"/>
    </w:lvl>
    <w:lvl w:ilvl="3" w:tplc="14848FBC">
      <w:numFmt w:val="decimal"/>
      <w:lvlText w:val=""/>
      <w:lvlJc w:val="left"/>
    </w:lvl>
    <w:lvl w:ilvl="4" w:tplc="85245328">
      <w:numFmt w:val="decimal"/>
      <w:lvlText w:val=""/>
      <w:lvlJc w:val="left"/>
    </w:lvl>
    <w:lvl w:ilvl="5" w:tplc="BAACEEE8">
      <w:numFmt w:val="decimal"/>
      <w:lvlText w:val=""/>
      <w:lvlJc w:val="left"/>
    </w:lvl>
    <w:lvl w:ilvl="6" w:tplc="BA42FB10">
      <w:numFmt w:val="decimal"/>
      <w:lvlText w:val=""/>
      <w:lvlJc w:val="left"/>
    </w:lvl>
    <w:lvl w:ilvl="7" w:tplc="56E2AA8A">
      <w:numFmt w:val="decimal"/>
      <w:lvlText w:val=""/>
      <w:lvlJc w:val="left"/>
    </w:lvl>
    <w:lvl w:ilvl="8" w:tplc="E51282C2">
      <w:numFmt w:val="decimal"/>
      <w:lvlText w:val=""/>
      <w:lvlJc w:val="left"/>
    </w:lvl>
  </w:abstractNum>
  <w:abstractNum w:abstractNumId="324" w15:restartNumberingAfterBreak="0">
    <w:nsid w:val="00002C1D"/>
    <w:multiLevelType w:val="hybridMultilevel"/>
    <w:tmpl w:val="BBD0CB92"/>
    <w:lvl w:ilvl="0" w:tplc="20FCCF06">
      <w:start w:val="1"/>
      <w:numFmt w:val="lowerLetter"/>
      <w:lvlText w:val="%1"/>
      <w:lvlJc w:val="left"/>
    </w:lvl>
    <w:lvl w:ilvl="1" w:tplc="CC161EFE">
      <w:start w:val="3"/>
      <w:numFmt w:val="lowerRoman"/>
      <w:lvlText w:val="%2"/>
      <w:lvlJc w:val="left"/>
    </w:lvl>
    <w:lvl w:ilvl="2" w:tplc="74545DBE">
      <w:numFmt w:val="decimal"/>
      <w:lvlText w:val=""/>
      <w:lvlJc w:val="left"/>
    </w:lvl>
    <w:lvl w:ilvl="3" w:tplc="9DCC3F82">
      <w:numFmt w:val="decimal"/>
      <w:lvlText w:val=""/>
      <w:lvlJc w:val="left"/>
    </w:lvl>
    <w:lvl w:ilvl="4" w:tplc="D80029E4">
      <w:numFmt w:val="decimal"/>
      <w:lvlText w:val=""/>
      <w:lvlJc w:val="left"/>
    </w:lvl>
    <w:lvl w:ilvl="5" w:tplc="6CCC61A0">
      <w:numFmt w:val="decimal"/>
      <w:lvlText w:val=""/>
      <w:lvlJc w:val="left"/>
    </w:lvl>
    <w:lvl w:ilvl="6" w:tplc="A1C0DEE6">
      <w:numFmt w:val="decimal"/>
      <w:lvlText w:val=""/>
      <w:lvlJc w:val="left"/>
    </w:lvl>
    <w:lvl w:ilvl="7" w:tplc="AFC47254">
      <w:numFmt w:val="decimal"/>
      <w:lvlText w:val=""/>
      <w:lvlJc w:val="left"/>
    </w:lvl>
    <w:lvl w:ilvl="8" w:tplc="80803C74">
      <w:numFmt w:val="decimal"/>
      <w:lvlText w:val=""/>
      <w:lvlJc w:val="left"/>
    </w:lvl>
  </w:abstractNum>
  <w:abstractNum w:abstractNumId="325" w15:restartNumberingAfterBreak="0">
    <w:nsid w:val="00002C67"/>
    <w:multiLevelType w:val="hybridMultilevel"/>
    <w:tmpl w:val="10B40744"/>
    <w:lvl w:ilvl="0" w:tplc="1B165FF6">
      <w:start w:val="1"/>
      <w:numFmt w:val="lowerLetter"/>
      <w:lvlText w:val="%1"/>
      <w:lvlJc w:val="left"/>
    </w:lvl>
    <w:lvl w:ilvl="1" w:tplc="EC507476">
      <w:start w:val="2"/>
      <w:numFmt w:val="decimal"/>
      <w:lvlText w:val="%2."/>
      <w:lvlJc w:val="left"/>
    </w:lvl>
    <w:lvl w:ilvl="2" w:tplc="5F7A568C">
      <w:start w:val="1"/>
      <w:numFmt w:val="lowerLetter"/>
      <w:lvlText w:val="%3"/>
      <w:lvlJc w:val="left"/>
    </w:lvl>
    <w:lvl w:ilvl="3" w:tplc="CEFC268C">
      <w:start w:val="1"/>
      <w:numFmt w:val="lowerRoman"/>
      <w:lvlText w:val="%4"/>
      <w:lvlJc w:val="left"/>
    </w:lvl>
    <w:lvl w:ilvl="4" w:tplc="34A0639A">
      <w:numFmt w:val="decimal"/>
      <w:lvlText w:val=""/>
      <w:lvlJc w:val="left"/>
    </w:lvl>
    <w:lvl w:ilvl="5" w:tplc="8B1A0A84">
      <w:numFmt w:val="decimal"/>
      <w:lvlText w:val=""/>
      <w:lvlJc w:val="left"/>
    </w:lvl>
    <w:lvl w:ilvl="6" w:tplc="AA5E4AEE">
      <w:numFmt w:val="decimal"/>
      <w:lvlText w:val=""/>
      <w:lvlJc w:val="left"/>
    </w:lvl>
    <w:lvl w:ilvl="7" w:tplc="E3DAB312">
      <w:numFmt w:val="decimal"/>
      <w:lvlText w:val=""/>
      <w:lvlJc w:val="left"/>
    </w:lvl>
    <w:lvl w:ilvl="8" w:tplc="5792F04C">
      <w:numFmt w:val="decimal"/>
      <w:lvlText w:val=""/>
      <w:lvlJc w:val="left"/>
    </w:lvl>
  </w:abstractNum>
  <w:abstractNum w:abstractNumId="326" w15:restartNumberingAfterBreak="0">
    <w:nsid w:val="00002C70"/>
    <w:multiLevelType w:val="hybridMultilevel"/>
    <w:tmpl w:val="714259BC"/>
    <w:lvl w:ilvl="0" w:tplc="E0A49968">
      <w:start w:val="1"/>
      <w:numFmt w:val="decimal"/>
      <w:lvlText w:val="(%1)"/>
      <w:lvlJc w:val="left"/>
    </w:lvl>
    <w:lvl w:ilvl="1" w:tplc="9FCC06FE">
      <w:numFmt w:val="decimal"/>
      <w:lvlText w:val=""/>
      <w:lvlJc w:val="left"/>
    </w:lvl>
    <w:lvl w:ilvl="2" w:tplc="9224EA18">
      <w:numFmt w:val="decimal"/>
      <w:lvlText w:val=""/>
      <w:lvlJc w:val="left"/>
    </w:lvl>
    <w:lvl w:ilvl="3" w:tplc="58A2BC24">
      <w:numFmt w:val="decimal"/>
      <w:lvlText w:val=""/>
      <w:lvlJc w:val="left"/>
    </w:lvl>
    <w:lvl w:ilvl="4" w:tplc="25408704">
      <w:numFmt w:val="decimal"/>
      <w:lvlText w:val=""/>
      <w:lvlJc w:val="left"/>
    </w:lvl>
    <w:lvl w:ilvl="5" w:tplc="0650A5E6">
      <w:numFmt w:val="decimal"/>
      <w:lvlText w:val=""/>
      <w:lvlJc w:val="left"/>
    </w:lvl>
    <w:lvl w:ilvl="6" w:tplc="F63E6B74">
      <w:numFmt w:val="decimal"/>
      <w:lvlText w:val=""/>
      <w:lvlJc w:val="left"/>
    </w:lvl>
    <w:lvl w:ilvl="7" w:tplc="9F9C963C">
      <w:numFmt w:val="decimal"/>
      <w:lvlText w:val=""/>
      <w:lvlJc w:val="left"/>
    </w:lvl>
    <w:lvl w:ilvl="8" w:tplc="014AF4B6">
      <w:numFmt w:val="decimal"/>
      <w:lvlText w:val=""/>
      <w:lvlJc w:val="left"/>
    </w:lvl>
  </w:abstractNum>
  <w:abstractNum w:abstractNumId="327" w15:restartNumberingAfterBreak="0">
    <w:nsid w:val="00002C90"/>
    <w:multiLevelType w:val="hybridMultilevel"/>
    <w:tmpl w:val="4A7AB278"/>
    <w:lvl w:ilvl="0" w:tplc="5A4C8DD6">
      <w:start w:val="2"/>
      <w:numFmt w:val="decimal"/>
      <w:lvlText w:val="(%1)"/>
      <w:lvlJc w:val="left"/>
    </w:lvl>
    <w:lvl w:ilvl="1" w:tplc="F39E9A3C">
      <w:start w:val="1"/>
      <w:numFmt w:val="lowerLetter"/>
      <w:lvlText w:val="(%2)"/>
      <w:lvlJc w:val="left"/>
    </w:lvl>
    <w:lvl w:ilvl="2" w:tplc="8F8A27EA">
      <w:numFmt w:val="decimal"/>
      <w:lvlText w:val=""/>
      <w:lvlJc w:val="left"/>
    </w:lvl>
    <w:lvl w:ilvl="3" w:tplc="8FF889DA">
      <w:numFmt w:val="decimal"/>
      <w:lvlText w:val=""/>
      <w:lvlJc w:val="left"/>
    </w:lvl>
    <w:lvl w:ilvl="4" w:tplc="E9BC99BA">
      <w:numFmt w:val="decimal"/>
      <w:lvlText w:val=""/>
      <w:lvlJc w:val="left"/>
    </w:lvl>
    <w:lvl w:ilvl="5" w:tplc="20025908">
      <w:numFmt w:val="decimal"/>
      <w:lvlText w:val=""/>
      <w:lvlJc w:val="left"/>
    </w:lvl>
    <w:lvl w:ilvl="6" w:tplc="17C0916C">
      <w:numFmt w:val="decimal"/>
      <w:lvlText w:val=""/>
      <w:lvlJc w:val="left"/>
    </w:lvl>
    <w:lvl w:ilvl="7" w:tplc="61E4E3D6">
      <w:numFmt w:val="decimal"/>
      <w:lvlText w:val=""/>
      <w:lvlJc w:val="left"/>
    </w:lvl>
    <w:lvl w:ilvl="8" w:tplc="1D328304">
      <w:numFmt w:val="decimal"/>
      <w:lvlText w:val=""/>
      <w:lvlJc w:val="left"/>
    </w:lvl>
  </w:abstractNum>
  <w:abstractNum w:abstractNumId="328" w15:restartNumberingAfterBreak="0">
    <w:nsid w:val="00002C9C"/>
    <w:multiLevelType w:val="hybridMultilevel"/>
    <w:tmpl w:val="4290062C"/>
    <w:lvl w:ilvl="0" w:tplc="0C44CFF0">
      <w:start w:val="20"/>
      <w:numFmt w:val="decimal"/>
      <w:lvlText w:val="(%1)"/>
      <w:lvlJc w:val="left"/>
    </w:lvl>
    <w:lvl w:ilvl="1" w:tplc="D5BE5FB4">
      <w:start w:val="1"/>
      <w:numFmt w:val="lowerLetter"/>
      <w:lvlText w:val="(%2)"/>
      <w:lvlJc w:val="left"/>
    </w:lvl>
    <w:lvl w:ilvl="2" w:tplc="FD40383C">
      <w:start w:val="1"/>
      <w:numFmt w:val="decimal"/>
      <w:lvlText w:val="%3."/>
      <w:lvlJc w:val="left"/>
    </w:lvl>
    <w:lvl w:ilvl="3" w:tplc="D050251A">
      <w:start w:val="1"/>
      <w:numFmt w:val="lowerLetter"/>
      <w:lvlText w:val="%4"/>
      <w:lvlJc w:val="left"/>
    </w:lvl>
    <w:lvl w:ilvl="4" w:tplc="CF2ECD46">
      <w:numFmt w:val="decimal"/>
      <w:lvlText w:val=""/>
      <w:lvlJc w:val="left"/>
    </w:lvl>
    <w:lvl w:ilvl="5" w:tplc="9E2EBF88">
      <w:numFmt w:val="decimal"/>
      <w:lvlText w:val=""/>
      <w:lvlJc w:val="left"/>
    </w:lvl>
    <w:lvl w:ilvl="6" w:tplc="78F0F392">
      <w:numFmt w:val="decimal"/>
      <w:lvlText w:val=""/>
      <w:lvlJc w:val="left"/>
    </w:lvl>
    <w:lvl w:ilvl="7" w:tplc="ADE23212">
      <w:numFmt w:val="decimal"/>
      <w:lvlText w:val=""/>
      <w:lvlJc w:val="left"/>
    </w:lvl>
    <w:lvl w:ilvl="8" w:tplc="524A662C">
      <w:numFmt w:val="decimal"/>
      <w:lvlText w:val=""/>
      <w:lvlJc w:val="left"/>
    </w:lvl>
  </w:abstractNum>
  <w:abstractNum w:abstractNumId="329" w15:restartNumberingAfterBreak="0">
    <w:nsid w:val="00002D01"/>
    <w:multiLevelType w:val="hybridMultilevel"/>
    <w:tmpl w:val="033C929A"/>
    <w:lvl w:ilvl="0" w:tplc="B0263656">
      <w:start w:val="25"/>
      <w:numFmt w:val="decimal"/>
      <w:lvlText w:val="%1"/>
      <w:lvlJc w:val="left"/>
    </w:lvl>
    <w:lvl w:ilvl="1" w:tplc="F2C2B2C0">
      <w:start w:val="1"/>
      <w:numFmt w:val="lowerLetter"/>
      <w:lvlText w:val="%2"/>
      <w:lvlJc w:val="left"/>
    </w:lvl>
    <w:lvl w:ilvl="2" w:tplc="2536D72E">
      <w:start w:val="1"/>
      <w:numFmt w:val="decimal"/>
      <w:lvlText w:val="%3"/>
      <w:lvlJc w:val="left"/>
    </w:lvl>
    <w:lvl w:ilvl="3" w:tplc="B3623EEC">
      <w:start w:val="1"/>
      <w:numFmt w:val="lowerLetter"/>
      <w:lvlText w:val="%4"/>
      <w:lvlJc w:val="left"/>
    </w:lvl>
    <w:lvl w:ilvl="4" w:tplc="33FCB280">
      <w:start w:val="1"/>
      <w:numFmt w:val="lowerRoman"/>
      <w:lvlText w:val="%5"/>
      <w:lvlJc w:val="left"/>
    </w:lvl>
    <w:lvl w:ilvl="5" w:tplc="6B6EC6A4">
      <w:numFmt w:val="decimal"/>
      <w:lvlText w:val=""/>
      <w:lvlJc w:val="left"/>
    </w:lvl>
    <w:lvl w:ilvl="6" w:tplc="2B3AB716">
      <w:numFmt w:val="decimal"/>
      <w:lvlText w:val=""/>
      <w:lvlJc w:val="left"/>
    </w:lvl>
    <w:lvl w:ilvl="7" w:tplc="569AA62A">
      <w:numFmt w:val="decimal"/>
      <w:lvlText w:val=""/>
      <w:lvlJc w:val="left"/>
    </w:lvl>
    <w:lvl w:ilvl="8" w:tplc="225CA8D2">
      <w:numFmt w:val="decimal"/>
      <w:lvlText w:val=""/>
      <w:lvlJc w:val="left"/>
    </w:lvl>
  </w:abstractNum>
  <w:abstractNum w:abstractNumId="330" w15:restartNumberingAfterBreak="0">
    <w:nsid w:val="00002D4F"/>
    <w:multiLevelType w:val="hybridMultilevel"/>
    <w:tmpl w:val="199CC204"/>
    <w:lvl w:ilvl="0" w:tplc="9CCE13E6">
      <w:start w:val="1"/>
      <w:numFmt w:val="lowerLetter"/>
      <w:lvlText w:val="%1"/>
      <w:lvlJc w:val="left"/>
    </w:lvl>
    <w:lvl w:ilvl="1" w:tplc="B48625D2">
      <w:start w:val="22"/>
      <w:numFmt w:val="decimal"/>
      <w:lvlText w:val="%2."/>
      <w:lvlJc w:val="left"/>
    </w:lvl>
    <w:lvl w:ilvl="2" w:tplc="30A81E9A">
      <w:start w:val="1"/>
      <w:numFmt w:val="lowerLetter"/>
      <w:lvlText w:val="%3."/>
      <w:lvlJc w:val="left"/>
    </w:lvl>
    <w:lvl w:ilvl="3" w:tplc="708624CC">
      <w:numFmt w:val="decimal"/>
      <w:lvlText w:val=""/>
      <w:lvlJc w:val="left"/>
    </w:lvl>
    <w:lvl w:ilvl="4" w:tplc="E7F8A6E8">
      <w:numFmt w:val="decimal"/>
      <w:lvlText w:val=""/>
      <w:lvlJc w:val="left"/>
    </w:lvl>
    <w:lvl w:ilvl="5" w:tplc="85E4ED08">
      <w:numFmt w:val="decimal"/>
      <w:lvlText w:val=""/>
      <w:lvlJc w:val="left"/>
    </w:lvl>
    <w:lvl w:ilvl="6" w:tplc="D06C3430">
      <w:numFmt w:val="decimal"/>
      <w:lvlText w:val=""/>
      <w:lvlJc w:val="left"/>
    </w:lvl>
    <w:lvl w:ilvl="7" w:tplc="7C32F10C">
      <w:numFmt w:val="decimal"/>
      <w:lvlText w:val=""/>
      <w:lvlJc w:val="left"/>
    </w:lvl>
    <w:lvl w:ilvl="8" w:tplc="FA369A34">
      <w:numFmt w:val="decimal"/>
      <w:lvlText w:val=""/>
      <w:lvlJc w:val="left"/>
    </w:lvl>
  </w:abstractNum>
  <w:abstractNum w:abstractNumId="331" w15:restartNumberingAfterBreak="0">
    <w:nsid w:val="00002D7B"/>
    <w:multiLevelType w:val="hybridMultilevel"/>
    <w:tmpl w:val="B3820C20"/>
    <w:lvl w:ilvl="0" w:tplc="A3D6D5E6">
      <w:start w:val="1"/>
      <w:numFmt w:val="decimal"/>
      <w:lvlText w:val="%1"/>
      <w:lvlJc w:val="left"/>
    </w:lvl>
    <w:lvl w:ilvl="1" w:tplc="9A764FF2">
      <w:start w:val="2"/>
      <w:numFmt w:val="lowerLetter"/>
      <w:lvlText w:val="%2."/>
      <w:lvlJc w:val="left"/>
    </w:lvl>
    <w:lvl w:ilvl="2" w:tplc="897E2936">
      <w:numFmt w:val="decimal"/>
      <w:lvlText w:val=""/>
      <w:lvlJc w:val="left"/>
    </w:lvl>
    <w:lvl w:ilvl="3" w:tplc="527CB784">
      <w:numFmt w:val="decimal"/>
      <w:lvlText w:val=""/>
      <w:lvlJc w:val="left"/>
    </w:lvl>
    <w:lvl w:ilvl="4" w:tplc="B7C8208A">
      <w:numFmt w:val="decimal"/>
      <w:lvlText w:val=""/>
      <w:lvlJc w:val="left"/>
    </w:lvl>
    <w:lvl w:ilvl="5" w:tplc="AE603900">
      <w:numFmt w:val="decimal"/>
      <w:lvlText w:val=""/>
      <w:lvlJc w:val="left"/>
    </w:lvl>
    <w:lvl w:ilvl="6" w:tplc="17E88522">
      <w:numFmt w:val="decimal"/>
      <w:lvlText w:val=""/>
      <w:lvlJc w:val="left"/>
    </w:lvl>
    <w:lvl w:ilvl="7" w:tplc="F25686E6">
      <w:numFmt w:val="decimal"/>
      <w:lvlText w:val=""/>
      <w:lvlJc w:val="left"/>
    </w:lvl>
    <w:lvl w:ilvl="8" w:tplc="CA70B416">
      <w:numFmt w:val="decimal"/>
      <w:lvlText w:val=""/>
      <w:lvlJc w:val="left"/>
    </w:lvl>
  </w:abstractNum>
  <w:abstractNum w:abstractNumId="332" w15:restartNumberingAfterBreak="0">
    <w:nsid w:val="00002D7F"/>
    <w:multiLevelType w:val="hybridMultilevel"/>
    <w:tmpl w:val="203ACB8E"/>
    <w:lvl w:ilvl="0" w:tplc="91329226">
      <w:start w:val="3"/>
      <w:numFmt w:val="lowerLetter"/>
      <w:lvlText w:val="(%1)"/>
      <w:lvlJc w:val="left"/>
    </w:lvl>
    <w:lvl w:ilvl="1" w:tplc="5A2CD3AC">
      <w:start w:val="1"/>
      <w:numFmt w:val="decimal"/>
      <w:lvlText w:val="%2."/>
      <w:lvlJc w:val="left"/>
    </w:lvl>
    <w:lvl w:ilvl="2" w:tplc="F7E488AA">
      <w:numFmt w:val="decimal"/>
      <w:lvlText w:val=""/>
      <w:lvlJc w:val="left"/>
    </w:lvl>
    <w:lvl w:ilvl="3" w:tplc="7404412E">
      <w:numFmt w:val="decimal"/>
      <w:lvlText w:val=""/>
      <w:lvlJc w:val="left"/>
    </w:lvl>
    <w:lvl w:ilvl="4" w:tplc="06822A5C">
      <w:numFmt w:val="decimal"/>
      <w:lvlText w:val=""/>
      <w:lvlJc w:val="left"/>
    </w:lvl>
    <w:lvl w:ilvl="5" w:tplc="79123FC6">
      <w:numFmt w:val="decimal"/>
      <w:lvlText w:val=""/>
      <w:lvlJc w:val="left"/>
    </w:lvl>
    <w:lvl w:ilvl="6" w:tplc="1EAAEBB8">
      <w:numFmt w:val="decimal"/>
      <w:lvlText w:val=""/>
      <w:lvlJc w:val="left"/>
    </w:lvl>
    <w:lvl w:ilvl="7" w:tplc="AB489002">
      <w:numFmt w:val="decimal"/>
      <w:lvlText w:val=""/>
      <w:lvlJc w:val="left"/>
    </w:lvl>
    <w:lvl w:ilvl="8" w:tplc="45809990">
      <w:numFmt w:val="decimal"/>
      <w:lvlText w:val=""/>
      <w:lvlJc w:val="left"/>
    </w:lvl>
  </w:abstractNum>
  <w:abstractNum w:abstractNumId="333" w15:restartNumberingAfterBreak="0">
    <w:nsid w:val="00002DEF"/>
    <w:multiLevelType w:val="hybridMultilevel"/>
    <w:tmpl w:val="EE68D49A"/>
    <w:lvl w:ilvl="0" w:tplc="DA2684E6">
      <w:start w:val="1"/>
      <w:numFmt w:val="lowerLetter"/>
      <w:lvlText w:val="%1"/>
      <w:lvlJc w:val="left"/>
    </w:lvl>
    <w:lvl w:ilvl="1" w:tplc="E926E326">
      <w:start w:val="5"/>
      <w:numFmt w:val="decimal"/>
      <w:lvlText w:val="%2."/>
      <w:lvlJc w:val="left"/>
    </w:lvl>
    <w:lvl w:ilvl="2" w:tplc="D8D89184">
      <w:numFmt w:val="decimal"/>
      <w:lvlText w:val=""/>
      <w:lvlJc w:val="left"/>
    </w:lvl>
    <w:lvl w:ilvl="3" w:tplc="0DD4E45A">
      <w:numFmt w:val="decimal"/>
      <w:lvlText w:val=""/>
      <w:lvlJc w:val="left"/>
    </w:lvl>
    <w:lvl w:ilvl="4" w:tplc="0E80BEE0">
      <w:numFmt w:val="decimal"/>
      <w:lvlText w:val=""/>
      <w:lvlJc w:val="left"/>
    </w:lvl>
    <w:lvl w:ilvl="5" w:tplc="30549610">
      <w:numFmt w:val="decimal"/>
      <w:lvlText w:val=""/>
      <w:lvlJc w:val="left"/>
    </w:lvl>
    <w:lvl w:ilvl="6" w:tplc="89AE68B2">
      <w:numFmt w:val="decimal"/>
      <w:lvlText w:val=""/>
      <w:lvlJc w:val="left"/>
    </w:lvl>
    <w:lvl w:ilvl="7" w:tplc="005AD14E">
      <w:numFmt w:val="decimal"/>
      <w:lvlText w:val=""/>
      <w:lvlJc w:val="left"/>
    </w:lvl>
    <w:lvl w:ilvl="8" w:tplc="21E81128">
      <w:numFmt w:val="decimal"/>
      <w:lvlText w:val=""/>
      <w:lvlJc w:val="left"/>
    </w:lvl>
  </w:abstractNum>
  <w:abstractNum w:abstractNumId="334" w15:restartNumberingAfterBreak="0">
    <w:nsid w:val="00002E01"/>
    <w:multiLevelType w:val="hybridMultilevel"/>
    <w:tmpl w:val="846C92A0"/>
    <w:lvl w:ilvl="0" w:tplc="7D14FF0C">
      <w:start w:val="1"/>
      <w:numFmt w:val="decimal"/>
      <w:lvlText w:val="%1"/>
      <w:lvlJc w:val="left"/>
    </w:lvl>
    <w:lvl w:ilvl="1" w:tplc="F98AB1CA">
      <w:start w:val="1"/>
      <w:numFmt w:val="lowerLetter"/>
      <w:lvlText w:val="%2."/>
      <w:lvlJc w:val="left"/>
    </w:lvl>
    <w:lvl w:ilvl="2" w:tplc="2544074C">
      <w:start w:val="1"/>
      <w:numFmt w:val="lowerRoman"/>
      <w:lvlText w:val="%3."/>
      <w:lvlJc w:val="left"/>
    </w:lvl>
    <w:lvl w:ilvl="3" w:tplc="4168B6E2">
      <w:numFmt w:val="decimal"/>
      <w:lvlText w:val=""/>
      <w:lvlJc w:val="left"/>
    </w:lvl>
    <w:lvl w:ilvl="4" w:tplc="6DD63218">
      <w:numFmt w:val="decimal"/>
      <w:lvlText w:val=""/>
      <w:lvlJc w:val="left"/>
    </w:lvl>
    <w:lvl w:ilvl="5" w:tplc="202A34A6">
      <w:numFmt w:val="decimal"/>
      <w:lvlText w:val=""/>
      <w:lvlJc w:val="left"/>
    </w:lvl>
    <w:lvl w:ilvl="6" w:tplc="4C387CA2">
      <w:numFmt w:val="decimal"/>
      <w:lvlText w:val=""/>
      <w:lvlJc w:val="left"/>
    </w:lvl>
    <w:lvl w:ilvl="7" w:tplc="E2021AD6">
      <w:numFmt w:val="decimal"/>
      <w:lvlText w:val=""/>
      <w:lvlJc w:val="left"/>
    </w:lvl>
    <w:lvl w:ilvl="8" w:tplc="EC4A57A0">
      <w:numFmt w:val="decimal"/>
      <w:lvlText w:val=""/>
      <w:lvlJc w:val="left"/>
    </w:lvl>
  </w:abstractNum>
  <w:abstractNum w:abstractNumId="335" w15:restartNumberingAfterBreak="0">
    <w:nsid w:val="00002E08"/>
    <w:multiLevelType w:val="hybridMultilevel"/>
    <w:tmpl w:val="75F81B90"/>
    <w:lvl w:ilvl="0" w:tplc="AA82B206">
      <w:start w:val="8"/>
      <w:numFmt w:val="decimal"/>
      <w:lvlText w:val="(%1)"/>
      <w:lvlJc w:val="left"/>
    </w:lvl>
    <w:lvl w:ilvl="1" w:tplc="0778D27A">
      <w:start w:val="1"/>
      <w:numFmt w:val="lowerLetter"/>
      <w:lvlText w:val="(%2)"/>
      <w:lvlJc w:val="left"/>
    </w:lvl>
    <w:lvl w:ilvl="2" w:tplc="2B9C4D4C">
      <w:start w:val="1"/>
      <w:numFmt w:val="decimal"/>
      <w:lvlText w:val="%3"/>
      <w:lvlJc w:val="left"/>
    </w:lvl>
    <w:lvl w:ilvl="3" w:tplc="B6EC2AC4">
      <w:numFmt w:val="decimal"/>
      <w:lvlText w:val=""/>
      <w:lvlJc w:val="left"/>
    </w:lvl>
    <w:lvl w:ilvl="4" w:tplc="ECB8CDCA">
      <w:numFmt w:val="decimal"/>
      <w:lvlText w:val=""/>
      <w:lvlJc w:val="left"/>
    </w:lvl>
    <w:lvl w:ilvl="5" w:tplc="4C665140">
      <w:numFmt w:val="decimal"/>
      <w:lvlText w:val=""/>
      <w:lvlJc w:val="left"/>
    </w:lvl>
    <w:lvl w:ilvl="6" w:tplc="624A4A8C">
      <w:numFmt w:val="decimal"/>
      <w:lvlText w:val=""/>
      <w:lvlJc w:val="left"/>
    </w:lvl>
    <w:lvl w:ilvl="7" w:tplc="3FD8A8F6">
      <w:numFmt w:val="decimal"/>
      <w:lvlText w:val=""/>
      <w:lvlJc w:val="left"/>
    </w:lvl>
    <w:lvl w:ilvl="8" w:tplc="612C6568">
      <w:numFmt w:val="decimal"/>
      <w:lvlText w:val=""/>
      <w:lvlJc w:val="left"/>
    </w:lvl>
  </w:abstractNum>
  <w:abstractNum w:abstractNumId="336" w15:restartNumberingAfterBreak="0">
    <w:nsid w:val="00002E09"/>
    <w:multiLevelType w:val="hybridMultilevel"/>
    <w:tmpl w:val="EECA3D04"/>
    <w:lvl w:ilvl="0" w:tplc="4B6250FA">
      <w:start w:val="1"/>
      <w:numFmt w:val="decimal"/>
      <w:lvlText w:val="%1"/>
      <w:lvlJc w:val="left"/>
    </w:lvl>
    <w:lvl w:ilvl="1" w:tplc="FF3C5F7E">
      <w:start w:val="3"/>
      <w:numFmt w:val="lowerLetter"/>
      <w:lvlText w:val="(%2)"/>
      <w:lvlJc w:val="left"/>
    </w:lvl>
    <w:lvl w:ilvl="2" w:tplc="FDF8CC26">
      <w:start w:val="1"/>
      <w:numFmt w:val="decimal"/>
      <w:lvlText w:val="%3"/>
      <w:lvlJc w:val="left"/>
    </w:lvl>
    <w:lvl w:ilvl="3" w:tplc="81E6C5C6">
      <w:numFmt w:val="decimal"/>
      <w:lvlText w:val=""/>
      <w:lvlJc w:val="left"/>
    </w:lvl>
    <w:lvl w:ilvl="4" w:tplc="CBBEEB98">
      <w:numFmt w:val="decimal"/>
      <w:lvlText w:val=""/>
      <w:lvlJc w:val="left"/>
    </w:lvl>
    <w:lvl w:ilvl="5" w:tplc="EB467548">
      <w:numFmt w:val="decimal"/>
      <w:lvlText w:val=""/>
      <w:lvlJc w:val="left"/>
    </w:lvl>
    <w:lvl w:ilvl="6" w:tplc="B18A79D2">
      <w:numFmt w:val="decimal"/>
      <w:lvlText w:val=""/>
      <w:lvlJc w:val="left"/>
    </w:lvl>
    <w:lvl w:ilvl="7" w:tplc="E2FA1A28">
      <w:numFmt w:val="decimal"/>
      <w:lvlText w:val=""/>
      <w:lvlJc w:val="left"/>
    </w:lvl>
    <w:lvl w:ilvl="8" w:tplc="AF6A2174">
      <w:numFmt w:val="decimal"/>
      <w:lvlText w:val=""/>
      <w:lvlJc w:val="left"/>
    </w:lvl>
  </w:abstractNum>
  <w:abstractNum w:abstractNumId="337" w15:restartNumberingAfterBreak="0">
    <w:nsid w:val="00002E1F"/>
    <w:multiLevelType w:val="hybridMultilevel"/>
    <w:tmpl w:val="017E9DFA"/>
    <w:lvl w:ilvl="0" w:tplc="083A02F4">
      <w:start w:val="3"/>
      <w:numFmt w:val="decimal"/>
      <w:lvlText w:val="%1."/>
      <w:lvlJc w:val="left"/>
    </w:lvl>
    <w:lvl w:ilvl="1" w:tplc="B13AB0D8">
      <w:start w:val="1"/>
      <w:numFmt w:val="lowerLetter"/>
      <w:lvlText w:val="%2"/>
      <w:lvlJc w:val="left"/>
    </w:lvl>
    <w:lvl w:ilvl="2" w:tplc="CA189D04">
      <w:numFmt w:val="decimal"/>
      <w:lvlText w:val=""/>
      <w:lvlJc w:val="left"/>
    </w:lvl>
    <w:lvl w:ilvl="3" w:tplc="15AA8E88">
      <w:numFmt w:val="decimal"/>
      <w:lvlText w:val=""/>
      <w:lvlJc w:val="left"/>
    </w:lvl>
    <w:lvl w:ilvl="4" w:tplc="9FD2A3F6">
      <w:numFmt w:val="decimal"/>
      <w:lvlText w:val=""/>
      <w:lvlJc w:val="left"/>
    </w:lvl>
    <w:lvl w:ilvl="5" w:tplc="BA9A3040">
      <w:numFmt w:val="decimal"/>
      <w:lvlText w:val=""/>
      <w:lvlJc w:val="left"/>
    </w:lvl>
    <w:lvl w:ilvl="6" w:tplc="8AAA2F8A">
      <w:numFmt w:val="decimal"/>
      <w:lvlText w:val=""/>
      <w:lvlJc w:val="left"/>
    </w:lvl>
    <w:lvl w:ilvl="7" w:tplc="0EB222FA">
      <w:numFmt w:val="decimal"/>
      <w:lvlText w:val=""/>
      <w:lvlJc w:val="left"/>
    </w:lvl>
    <w:lvl w:ilvl="8" w:tplc="2D3A7F56">
      <w:numFmt w:val="decimal"/>
      <w:lvlText w:val=""/>
      <w:lvlJc w:val="left"/>
    </w:lvl>
  </w:abstractNum>
  <w:abstractNum w:abstractNumId="338" w15:restartNumberingAfterBreak="0">
    <w:nsid w:val="00002E3D"/>
    <w:multiLevelType w:val="hybridMultilevel"/>
    <w:tmpl w:val="3E688C58"/>
    <w:lvl w:ilvl="0" w:tplc="7CC044D4">
      <w:start w:val="2"/>
      <w:numFmt w:val="lowerLetter"/>
      <w:lvlText w:val="(%1)"/>
      <w:lvlJc w:val="left"/>
    </w:lvl>
    <w:lvl w:ilvl="1" w:tplc="D8909B8E">
      <w:start w:val="1"/>
      <w:numFmt w:val="decimal"/>
      <w:lvlText w:val="%2."/>
      <w:lvlJc w:val="left"/>
    </w:lvl>
    <w:lvl w:ilvl="2" w:tplc="28EE9346">
      <w:start w:val="1"/>
      <w:numFmt w:val="lowerLetter"/>
      <w:lvlText w:val="%3"/>
      <w:lvlJc w:val="left"/>
    </w:lvl>
    <w:lvl w:ilvl="3" w:tplc="8032A24E">
      <w:numFmt w:val="decimal"/>
      <w:lvlText w:val=""/>
      <w:lvlJc w:val="left"/>
    </w:lvl>
    <w:lvl w:ilvl="4" w:tplc="0DF4876A">
      <w:numFmt w:val="decimal"/>
      <w:lvlText w:val=""/>
      <w:lvlJc w:val="left"/>
    </w:lvl>
    <w:lvl w:ilvl="5" w:tplc="791E1464">
      <w:numFmt w:val="decimal"/>
      <w:lvlText w:val=""/>
      <w:lvlJc w:val="left"/>
    </w:lvl>
    <w:lvl w:ilvl="6" w:tplc="BF5CE83C">
      <w:numFmt w:val="decimal"/>
      <w:lvlText w:val=""/>
      <w:lvlJc w:val="left"/>
    </w:lvl>
    <w:lvl w:ilvl="7" w:tplc="C3E607B6">
      <w:numFmt w:val="decimal"/>
      <w:lvlText w:val=""/>
      <w:lvlJc w:val="left"/>
    </w:lvl>
    <w:lvl w:ilvl="8" w:tplc="1220B59C">
      <w:numFmt w:val="decimal"/>
      <w:lvlText w:val=""/>
      <w:lvlJc w:val="left"/>
    </w:lvl>
  </w:abstractNum>
  <w:abstractNum w:abstractNumId="339" w15:restartNumberingAfterBreak="0">
    <w:nsid w:val="00002E62"/>
    <w:multiLevelType w:val="hybridMultilevel"/>
    <w:tmpl w:val="E7CE7B5A"/>
    <w:lvl w:ilvl="0" w:tplc="B4408496">
      <w:start w:val="1"/>
      <w:numFmt w:val="decimal"/>
      <w:lvlText w:val="%1"/>
      <w:lvlJc w:val="left"/>
    </w:lvl>
    <w:lvl w:ilvl="1" w:tplc="D188F57C">
      <w:start w:val="1"/>
      <w:numFmt w:val="lowerLetter"/>
      <w:lvlText w:val="%2"/>
      <w:lvlJc w:val="left"/>
    </w:lvl>
    <w:lvl w:ilvl="2" w:tplc="5D9E00AC">
      <w:start w:val="3"/>
      <w:numFmt w:val="decimal"/>
      <w:lvlText w:val="%3."/>
      <w:lvlJc w:val="left"/>
    </w:lvl>
    <w:lvl w:ilvl="3" w:tplc="0AEC55CE">
      <w:start w:val="1"/>
      <w:numFmt w:val="lowerLetter"/>
      <w:lvlText w:val="%4"/>
      <w:lvlJc w:val="left"/>
    </w:lvl>
    <w:lvl w:ilvl="4" w:tplc="5AFE14FA">
      <w:numFmt w:val="decimal"/>
      <w:lvlText w:val=""/>
      <w:lvlJc w:val="left"/>
    </w:lvl>
    <w:lvl w:ilvl="5" w:tplc="41EC85F0">
      <w:numFmt w:val="decimal"/>
      <w:lvlText w:val=""/>
      <w:lvlJc w:val="left"/>
    </w:lvl>
    <w:lvl w:ilvl="6" w:tplc="AF7E2B7C">
      <w:numFmt w:val="decimal"/>
      <w:lvlText w:val=""/>
      <w:lvlJc w:val="left"/>
    </w:lvl>
    <w:lvl w:ilvl="7" w:tplc="A0E87438">
      <w:numFmt w:val="decimal"/>
      <w:lvlText w:val=""/>
      <w:lvlJc w:val="left"/>
    </w:lvl>
    <w:lvl w:ilvl="8" w:tplc="254C53E4">
      <w:numFmt w:val="decimal"/>
      <w:lvlText w:val=""/>
      <w:lvlJc w:val="left"/>
    </w:lvl>
  </w:abstractNum>
  <w:abstractNum w:abstractNumId="340" w15:restartNumberingAfterBreak="0">
    <w:nsid w:val="00002EC1"/>
    <w:multiLevelType w:val="hybridMultilevel"/>
    <w:tmpl w:val="F8A0DD5E"/>
    <w:lvl w:ilvl="0" w:tplc="1866439C">
      <w:start w:val="1"/>
      <w:numFmt w:val="decimal"/>
      <w:lvlText w:val="%1"/>
      <w:lvlJc w:val="left"/>
    </w:lvl>
    <w:lvl w:ilvl="1" w:tplc="04C2EB50">
      <w:start w:val="1"/>
      <w:numFmt w:val="lowerLetter"/>
      <w:lvlText w:val="%2"/>
      <w:lvlJc w:val="left"/>
    </w:lvl>
    <w:lvl w:ilvl="2" w:tplc="E3584724">
      <w:start w:val="1"/>
      <w:numFmt w:val="decimal"/>
      <w:lvlText w:val="%3"/>
      <w:lvlJc w:val="left"/>
    </w:lvl>
    <w:lvl w:ilvl="3" w:tplc="96166F1A">
      <w:start w:val="2"/>
      <w:numFmt w:val="lowerLetter"/>
      <w:lvlText w:val="%4."/>
      <w:lvlJc w:val="left"/>
    </w:lvl>
    <w:lvl w:ilvl="4" w:tplc="99B06C3C">
      <w:numFmt w:val="decimal"/>
      <w:lvlText w:val=""/>
      <w:lvlJc w:val="left"/>
    </w:lvl>
    <w:lvl w:ilvl="5" w:tplc="CBF40AEC">
      <w:numFmt w:val="decimal"/>
      <w:lvlText w:val=""/>
      <w:lvlJc w:val="left"/>
    </w:lvl>
    <w:lvl w:ilvl="6" w:tplc="7FCA00D6">
      <w:numFmt w:val="decimal"/>
      <w:lvlText w:val=""/>
      <w:lvlJc w:val="left"/>
    </w:lvl>
    <w:lvl w:ilvl="7" w:tplc="7812D4DC">
      <w:numFmt w:val="decimal"/>
      <w:lvlText w:val=""/>
      <w:lvlJc w:val="left"/>
    </w:lvl>
    <w:lvl w:ilvl="8" w:tplc="9D5C4CB0">
      <w:numFmt w:val="decimal"/>
      <w:lvlText w:val=""/>
      <w:lvlJc w:val="left"/>
    </w:lvl>
  </w:abstractNum>
  <w:abstractNum w:abstractNumId="341" w15:restartNumberingAfterBreak="0">
    <w:nsid w:val="00002EF6"/>
    <w:multiLevelType w:val="hybridMultilevel"/>
    <w:tmpl w:val="AA168122"/>
    <w:lvl w:ilvl="0" w:tplc="845C1CAC">
      <w:start w:val="1"/>
      <w:numFmt w:val="decimal"/>
      <w:lvlText w:val="%1"/>
      <w:lvlJc w:val="left"/>
    </w:lvl>
    <w:lvl w:ilvl="1" w:tplc="7DC684E2">
      <w:numFmt w:val="decimal"/>
      <w:lvlText w:val=""/>
      <w:lvlJc w:val="left"/>
    </w:lvl>
    <w:lvl w:ilvl="2" w:tplc="596840C8">
      <w:numFmt w:val="decimal"/>
      <w:lvlText w:val=""/>
      <w:lvlJc w:val="left"/>
    </w:lvl>
    <w:lvl w:ilvl="3" w:tplc="A09C33A0">
      <w:numFmt w:val="decimal"/>
      <w:lvlText w:val=""/>
      <w:lvlJc w:val="left"/>
    </w:lvl>
    <w:lvl w:ilvl="4" w:tplc="EF146FF2">
      <w:numFmt w:val="decimal"/>
      <w:lvlText w:val=""/>
      <w:lvlJc w:val="left"/>
    </w:lvl>
    <w:lvl w:ilvl="5" w:tplc="37D2E9C6">
      <w:numFmt w:val="decimal"/>
      <w:lvlText w:val=""/>
      <w:lvlJc w:val="left"/>
    </w:lvl>
    <w:lvl w:ilvl="6" w:tplc="DA12894A">
      <w:numFmt w:val="decimal"/>
      <w:lvlText w:val=""/>
      <w:lvlJc w:val="left"/>
    </w:lvl>
    <w:lvl w:ilvl="7" w:tplc="736464D8">
      <w:numFmt w:val="decimal"/>
      <w:lvlText w:val=""/>
      <w:lvlJc w:val="left"/>
    </w:lvl>
    <w:lvl w:ilvl="8" w:tplc="4774BAFC">
      <w:numFmt w:val="decimal"/>
      <w:lvlText w:val=""/>
      <w:lvlJc w:val="left"/>
    </w:lvl>
  </w:abstractNum>
  <w:abstractNum w:abstractNumId="342" w15:restartNumberingAfterBreak="0">
    <w:nsid w:val="00002F0A"/>
    <w:multiLevelType w:val="hybridMultilevel"/>
    <w:tmpl w:val="4E1E5616"/>
    <w:lvl w:ilvl="0" w:tplc="EB48E39C">
      <w:start w:val="4"/>
      <w:numFmt w:val="decimal"/>
      <w:lvlText w:val="(%1)"/>
      <w:lvlJc w:val="left"/>
    </w:lvl>
    <w:lvl w:ilvl="1" w:tplc="60E24356">
      <w:start w:val="1"/>
      <w:numFmt w:val="lowerLetter"/>
      <w:lvlText w:val="(%2)"/>
      <w:lvlJc w:val="left"/>
    </w:lvl>
    <w:lvl w:ilvl="2" w:tplc="CC009A8C">
      <w:numFmt w:val="decimal"/>
      <w:lvlText w:val=""/>
      <w:lvlJc w:val="left"/>
    </w:lvl>
    <w:lvl w:ilvl="3" w:tplc="8166AF4C">
      <w:numFmt w:val="decimal"/>
      <w:lvlText w:val=""/>
      <w:lvlJc w:val="left"/>
    </w:lvl>
    <w:lvl w:ilvl="4" w:tplc="8F60CD44">
      <w:numFmt w:val="decimal"/>
      <w:lvlText w:val=""/>
      <w:lvlJc w:val="left"/>
    </w:lvl>
    <w:lvl w:ilvl="5" w:tplc="603EA05A">
      <w:numFmt w:val="decimal"/>
      <w:lvlText w:val=""/>
      <w:lvlJc w:val="left"/>
    </w:lvl>
    <w:lvl w:ilvl="6" w:tplc="07D4AAA2">
      <w:numFmt w:val="decimal"/>
      <w:lvlText w:val=""/>
      <w:lvlJc w:val="left"/>
    </w:lvl>
    <w:lvl w:ilvl="7" w:tplc="A74C7B70">
      <w:numFmt w:val="decimal"/>
      <w:lvlText w:val=""/>
      <w:lvlJc w:val="left"/>
    </w:lvl>
    <w:lvl w:ilvl="8" w:tplc="1660A378">
      <w:numFmt w:val="decimal"/>
      <w:lvlText w:val=""/>
      <w:lvlJc w:val="left"/>
    </w:lvl>
  </w:abstractNum>
  <w:abstractNum w:abstractNumId="343" w15:restartNumberingAfterBreak="0">
    <w:nsid w:val="00002F2A"/>
    <w:multiLevelType w:val="hybridMultilevel"/>
    <w:tmpl w:val="EE582F2A"/>
    <w:lvl w:ilvl="0" w:tplc="CBB2DFB4">
      <w:start w:val="1"/>
      <w:numFmt w:val="lowerLetter"/>
      <w:lvlText w:val="%1"/>
      <w:lvlJc w:val="left"/>
    </w:lvl>
    <w:lvl w:ilvl="1" w:tplc="7ECCCDEA">
      <w:start w:val="1"/>
      <w:numFmt w:val="decimal"/>
      <w:lvlText w:val="%2"/>
      <w:lvlJc w:val="left"/>
    </w:lvl>
    <w:lvl w:ilvl="2" w:tplc="17183494">
      <w:start w:val="2"/>
      <w:numFmt w:val="lowerLetter"/>
      <w:lvlText w:val="%3."/>
      <w:lvlJc w:val="left"/>
    </w:lvl>
    <w:lvl w:ilvl="3" w:tplc="95A690F8">
      <w:numFmt w:val="decimal"/>
      <w:lvlText w:val=""/>
      <w:lvlJc w:val="left"/>
    </w:lvl>
    <w:lvl w:ilvl="4" w:tplc="0D4EC292">
      <w:numFmt w:val="decimal"/>
      <w:lvlText w:val=""/>
      <w:lvlJc w:val="left"/>
    </w:lvl>
    <w:lvl w:ilvl="5" w:tplc="CD62A818">
      <w:numFmt w:val="decimal"/>
      <w:lvlText w:val=""/>
      <w:lvlJc w:val="left"/>
    </w:lvl>
    <w:lvl w:ilvl="6" w:tplc="1EB4285A">
      <w:numFmt w:val="decimal"/>
      <w:lvlText w:val=""/>
      <w:lvlJc w:val="left"/>
    </w:lvl>
    <w:lvl w:ilvl="7" w:tplc="48A8C48A">
      <w:numFmt w:val="decimal"/>
      <w:lvlText w:val=""/>
      <w:lvlJc w:val="left"/>
    </w:lvl>
    <w:lvl w:ilvl="8" w:tplc="674E9BE2">
      <w:numFmt w:val="decimal"/>
      <w:lvlText w:val=""/>
      <w:lvlJc w:val="left"/>
    </w:lvl>
  </w:abstractNum>
  <w:abstractNum w:abstractNumId="344" w15:restartNumberingAfterBreak="0">
    <w:nsid w:val="00002F2C"/>
    <w:multiLevelType w:val="hybridMultilevel"/>
    <w:tmpl w:val="AD04EADA"/>
    <w:lvl w:ilvl="0" w:tplc="405A50A2">
      <w:start w:val="1"/>
      <w:numFmt w:val="decimal"/>
      <w:lvlText w:val="%1"/>
      <w:lvlJc w:val="left"/>
    </w:lvl>
    <w:lvl w:ilvl="1" w:tplc="F078D080">
      <w:start w:val="5"/>
      <w:numFmt w:val="lowerLetter"/>
      <w:lvlText w:val="(%2)"/>
      <w:lvlJc w:val="left"/>
    </w:lvl>
    <w:lvl w:ilvl="2" w:tplc="429CCF6C">
      <w:start w:val="1"/>
      <w:numFmt w:val="decimal"/>
      <w:lvlText w:val="%3."/>
      <w:lvlJc w:val="left"/>
    </w:lvl>
    <w:lvl w:ilvl="3" w:tplc="02FE19DA">
      <w:numFmt w:val="decimal"/>
      <w:lvlText w:val=""/>
      <w:lvlJc w:val="left"/>
    </w:lvl>
    <w:lvl w:ilvl="4" w:tplc="2FF64A84">
      <w:numFmt w:val="decimal"/>
      <w:lvlText w:val=""/>
      <w:lvlJc w:val="left"/>
    </w:lvl>
    <w:lvl w:ilvl="5" w:tplc="2EB8BB6C">
      <w:numFmt w:val="decimal"/>
      <w:lvlText w:val=""/>
      <w:lvlJc w:val="left"/>
    </w:lvl>
    <w:lvl w:ilvl="6" w:tplc="8F4023B8">
      <w:numFmt w:val="decimal"/>
      <w:lvlText w:val=""/>
      <w:lvlJc w:val="left"/>
    </w:lvl>
    <w:lvl w:ilvl="7" w:tplc="A330126C">
      <w:numFmt w:val="decimal"/>
      <w:lvlText w:val=""/>
      <w:lvlJc w:val="left"/>
    </w:lvl>
    <w:lvl w:ilvl="8" w:tplc="2C065FF0">
      <w:numFmt w:val="decimal"/>
      <w:lvlText w:val=""/>
      <w:lvlJc w:val="left"/>
    </w:lvl>
  </w:abstractNum>
  <w:abstractNum w:abstractNumId="345" w15:restartNumberingAfterBreak="0">
    <w:nsid w:val="00002F2F"/>
    <w:multiLevelType w:val="hybridMultilevel"/>
    <w:tmpl w:val="5EC29B38"/>
    <w:lvl w:ilvl="0" w:tplc="528C1A84">
      <w:start w:val="1"/>
      <w:numFmt w:val="decimal"/>
      <w:lvlText w:val="%1"/>
      <w:lvlJc w:val="left"/>
    </w:lvl>
    <w:lvl w:ilvl="1" w:tplc="80640E82">
      <w:start w:val="1"/>
      <w:numFmt w:val="lowerLetter"/>
      <w:lvlText w:val="%2"/>
      <w:lvlJc w:val="left"/>
    </w:lvl>
    <w:lvl w:ilvl="2" w:tplc="E2F699AA">
      <w:start w:val="3"/>
      <w:numFmt w:val="decimal"/>
      <w:lvlText w:val="%3."/>
      <w:lvlJc w:val="left"/>
    </w:lvl>
    <w:lvl w:ilvl="3" w:tplc="8E62E71A">
      <w:numFmt w:val="decimal"/>
      <w:lvlText w:val=""/>
      <w:lvlJc w:val="left"/>
    </w:lvl>
    <w:lvl w:ilvl="4" w:tplc="5B4E5AF8">
      <w:numFmt w:val="decimal"/>
      <w:lvlText w:val=""/>
      <w:lvlJc w:val="left"/>
    </w:lvl>
    <w:lvl w:ilvl="5" w:tplc="5F5CE974">
      <w:numFmt w:val="decimal"/>
      <w:lvlText w:val=""/>
      <w:lvlJc w:val="left"/>
    </w:lvl>
    <w:lvl w:ilvl="6" w:tplc="C4C408AA">
      <w:numFmt w:val="decimal"/>
      <w:lvlText w:val=""/>
      <w:lvlJc w:val="left"/>
    </w:lvl>
    <w:lvl w:ilvl="7" w:tplc="A8DEEEC6">
      <w:numFmt w:val="decimal"/>
      <w:lvlText w:val=""/>
      <w:lvlJc w:val="left"/>
    </w:lvl>
    <w:lvl w:ilvl="8" w:tplc="BCFC7F88">
      <w:numFmt w:val="decimal"/>
      <w:lvlText w:val=""/>
      <w:lvlJc w:val="left"/>
    </w:lvl>
  </w:abstractNum>
  <w:abstractNum w:abstractNumId="346" w15:restartNumberingAfterBreak="0">
    <w:nsid w:val="00002F41"/>
    <w:multiLevelType w:val="hybridMultilevel"/>
    <w:tmpl w:val="ED30D78A"/>
    <w:lvl w:ilvl="0" w:tplc="57C8FE7C">
      <w:start w:val="1"/>
      <w:numFmt w:val="lowerLetter"/>
      <w:lvlText w:val="%1"/>
      <w:lvlJc w:val="left"/>
    </w:lvl>
    <w:lvl w:ilvl="1" w:tplc="70BE832E">
      <w:start w:val="36"/>
      <w:numFmt w:val="decimal"/>
      <w:lvlText w:val="%2."/>
      <w:lvlJc w:val="left"/>
    </w:lvl>
    <w:lvl w:ilvl="2" w:tplc="F6B4E178">
      <w:start w:val="1"/>
      <w:numFmt w:val="lowerLetter"/>
      <w:lvlText w:val="%3."/>
      <w:lvlJc w:val="left"/>
    </w:lvl>
    <w:lvl w:ilvl="3" w:tplc="3D1A615E">
      <w:numFmt w:val="decimal"/>
      <w:lvlText w:val=""/>
      <w:lvlJc w:val="left"/>
    </w:lvl>
    <w:lvl w:ilvl="4" w:tplc="B9407C0A">
      <w:numFmt w:val="decimal"/>
      <w:lvlText w:val=""/>
      <w:lvlJc w:val="left"/>
    </w:lvl>
    <w:lvl w:ilvl="5" w:tplc="207ED4E2">
      <w:numFmt w:val="decimal"/>
      <w:lvlText w:val=""/>
      <w:lvlJc w:val="left"/>
    </w:lvl>
    <w:lvl w:ilvl="6" w:tplc="6400D9A8">
      <w:numFmt w:val="decimal"/>
      <w:lvlText w:val=""/>
      <w:lvlJc w:val="left"/>
    </w:lvl>
    <w:lvl w:ilvl="7" w:tplc="B23A088A">
      <w:numFmt w:val="decimal"/>
      <w:lvlText w:val=""/>
      <w:lvlJc w:val="left"/>
    </w:lvl>
    <w:lvl w:ilvl="8" w:tplc="DB7263B2">
      <w:numFmt w:val="decimal"/>
      <w:lvlText w:val=""/>
      <w:lvlJc w:val="left"/>
    </w:lvl>
  </w:abstractNum>
  <w:abstractNum w:abstractNumId="347" w15:restartNumberingAfterBreak="0">
    <w:nsid w:val="00002F49"/>
    <w:multiLevelType w:val="hybridMultilevel"/>
    <w:tmpl w:val="6898F780"/>
    <w:lvl w:ilvl="0" w:tplc="99E8FDFE">
      <w:start w:val="5"/>
      <w:numFmt w:val="lowerLetter"/>
      <w:lvlText w:val="(%1)"/>
      <w:lvlJc w:val="left"/>
    </w:lvl>
    <w:lvl w:ilvl="1" w:tplc="0409000F">
      <w:start w:val="1"/>
      <w:numFmt w:val="decimal"/>
      <w:lvlText w:val="%2."/>
      <w:lvlJc w:val="left"/>
      <w:pPr>
        <w:ind w:left="2340" w:hanging="360"/>
      </w:pPr>
    </w:lvl>
    <w:lvl w:ilvl="2" w:tplc="7A7E94B4">
      <w:start w:val="1"/>
      <w:numFmt w:val="lowerLetter"/>
      <w:lvlText w:val="%3"/>
      <w:lvlJc w:val="left"/>
    </w:lvl>
    <w:lvl w:ilvl="3" w:tplc="2F70406E">
      <w:start w:val="1"/>
      <w:numFmt w:val="lowerRoman"/>
      <w:lvlText w:val="%4"/>
      <w:lvlJc w:val="left"/>
    </w:lvl>
    <w:lvl w:ilvl="4" w:tplc="354E6D1A">
      <w:numFmt w:val="decimal"/>
      <w:lvlText w:val=""/>
      <w:lvlJc w:val="left"/>
    </w:lvl>
    <w:lvl w:ilvl="5" w:tplc="037C262E">
      <w:numFmt w:val="decimal"/>
      <w:lvlText w:val=""/>
      <w:lvlJc w:val="left"/>
    </w:lvl>
    <w:lvl w:ilvl="6" w:tplc="359611B4">
      <w:numFmt w:val="decimal"/>
      <w:lvlText w:val=""/>
      <w:lvlJc w:val="left"/>
    </w:lvl>
    <w:lvl w:ilvl="7" w:tplc="95FA35CA">
      <w:numFmt w:val="decimal"/>
      <w:lvlText w:val=""/>
      <w:lvlJc w:val="left"/>
    </w:lvl>
    <w:lvl w:ilvl="8" w:tplc="DB609612">
      <w:numFmt w:val="decimal"/>
      <w:lvlText w:val=""/>
      <w:lvlJc w:val="left"/>
    </w:lvl>
  </w:abstractNum>
  <w:abstractNum w:abstractNumId="348" w15:restartNumberingAfterBreak="0">
    <w:nsid w:val="00002F7E"/>
    <w:multiLevelType w:val="hybridMultilevel"/>
    <w:tmpl w:val="51E659D4"/>
    <w:lvl w:ilvl="0" w:tplc="8F5A08EE">
      <w:start w:val="2"/>
      <w:numFmt w:val="lowerLetter"/>
      <w:lvlText w:val="(%1)"/>
      <w:lvlJc w:val="left"/>
    </w:lvl>
    <w:lvl w:ilvl="1" w:tplc="DFB48D9A">
      <w:start w:val="1"/>
      <w:numFmt w:val="lowerLetter"/>
      <w:lvlText w:val="%2"/>
      <w:lvlJc w:val="left"/>
    </w:lvl>
    <w:lvl w:ilvl="2" w:tplc="D2D6F290">
      <w:start w:val="1"/>
      <w:numFmt w:val="lowerRoman"/>
      <w:lvlText w:val="%3"/>
      <w:lvlJc w:val="left"/>
    </w:lvl>
    <w:lvl w:ilvl="3" w:tplc="1BBEAB7E">
      <w:start w:val="1"/>
      <w:numFmt w:val="upperLetter"/>
      <w:lvlText w:val="%4"/>
      <w:lvlJc w:val="left"/>
    </w:lvl>
    <w:lvl w:ilvl="4" w:tplc="766EE2C8">
      <w:numFmt w:val="decimal"/>
      <w:lvlText w:val=""/>
      <w:lvlJc w:val="left"/>
    </w:lvl>
    <w:lvl w:ilvl="5" w:tplc="A15E2B88">
      <w:numFmt w:val="decimal"/>
      <w:lvlText w:val=""/>
      <w:lvlJc w:val="left"/>
    </w:lvl>
    <w:lvl w:ilvl="6" w:tplc="4CA6064E">
      <w:numFmt w:val="decimal"/>
      <w:lvlText w:val=""/>
      <w:lvlJc w:val="left"/>
    </w:lvl>
    <w:lvl w:ilvl="7" w:tplc="57EE98C6">
      <w:numFmt w:val="decimal"/>
      <w:lvlText w:val=""/>
      <w:lvlJc w:val="left"/>
    </w:lvl>
    <w:lvl w:ilvl="8" w:tplc="89D08214">
      <w:numFmt w:val="decimal"/>
      <w:lvlText w:val=""/>
      <w:lvlJc w:val="left"/>
    </w:lvl>
  </w:abstractNum>
  <w:abstractNum w:abstractNumId="349" w15:restartNumberingAfterBreak="0">
    <w:nsid w:val="00002FD4"/>
    <w:multiLevelType w:val="hybridMultilevel"/>
    <w:tmpl w:val="7C707184"/>
    <w:lvl w:ilvl="0" w:tplc="500E8192">
      <w:start w:val="3"/>
      <w:numFmt w:val="lowerLetter"/>
      <w:lvlText w:val="(%1)"/>
      <w:lvlJc w:val="left"/>
    </w:lvl>
    <w:lvl w:ilvl="1" w:tplc="3ED6207A">
      <w:start w:val="1"/>
      <w:numFmt w:val="decimal"/>
      <w:lvlText w:val="%2."/>
      <w:lvlJc w:val="left"/>
    </w:lvl>
    <w:lvl w:ilvl="2" w:tplc="3C2AA112">
      <w:start w:val="1"/>
      <w:numFmt w:val="lowerLetter"/>
      <w:lvlText w:val="%3."/>
      <w:lvlJc w:val="left"/>
    </w:lvl>
    <w:lvl w:ilvl="3" w:tplc="D7FA4E3E">
      <w:numFmt w:val="decimal"/>
      <w:lvlText w:val=""/>
      <w:lvlJc w:val="left"/>
    </w:lvl>
    <w:lvl w:ilvl="4" w:tplc="253E0930">
      <w:numFmt w:val="decimal"/>
      <w:lvlText w:val=""/>
      <w:lvlJc w:val="left"/>
    </w:lvl>
    <w:lvl w:ilvl="5" w:tplc="CA9AF5AA">
      <w:numFmt w:val="decimal"/>
      <w:lvlText w:val=""/>
      <w:lvlJc w:val="left"/>
    </w:lvl>
    <w:lvl w:ilvl="6" w:tplc="03784E80">
      <w:numFmt w:val="decimal"/>
      <w:lvlText w:val=""/>
      <w:lvlJc w:val="left"/>
    </w:lvl>
    <w:lvl w:ilvl="7" w:tplc="D23AB10A">
      <w:numFmt w:val="decimal"/>
      <w:lvlText w:val=""/>
      <w:lvlJc w:val="left"/>
    </w:lvl>
    <w:lvl w:ilvl="8" w:tplc="52A0398A">
      <w:numFmt w:val="decimal"/>
      <w:lvlText w:val=""/>
      <w:lvlJc w:val="left"/>
    </w:lvl>
  </w:abstractNum>
  <w:abstractNum w:abstractNumId="350" w15:restartNumberingAfterBreak="0">
    <w:nsid w:val="00002FF7"/>
    <w:multiLevelType w:val="hybridMultilevel"/>
    <w:tmpl w:val="B8D09A74"/>
    <w:lvl w:ilvl="0" w:tplc="F76477A0">
      <w:start w:val="1"/>
      <w:numFmt w:val="decimal"/>
      <w:lvlText w:val="%1"/>
      <w:lvlJc w:val="left"/>
    </w:lvl>
    <w:lvl w:ilvl="1" w:tplc="CB0047C2">
      <w:start w:val="1"/>
      <w:numFmt w:val="lowerLetter"/>
      <w:lvlText w:val="%2"/>
      <w:lvlJc w:val="left"/>
    </w:lvl>
    <w:lvl w:ilvl="2" w:tplc="625A815E">
      <w:start w:val="2"/>
      <w:numFmt w:val="decimal"/>
      <w:lvlText w:val="%3."/>
      <w:lvlJc w:val="left"/>
    </w:lvl>
    <w:lvl w:ilvl="3" w:tplc="86CCBC16">
      <w:start w:val="1"/>
      <w:numFmt w:val="lowerLetter"/>
      <w:lvlText w:val="%4"/>
      <w:lvlJc w:val="left"/>
    </w:lvl>
    <w:lvl w:ilvl="4" w:tplc="5246B42C">
      <w:numFmt w:val="decimal"/>
      <w:lvlText w:val=""/>
      <w:lvlJc w:val="left"/>
    </w:lvl>
    <w:lvl w:ilvl="5" w:tplc="6D12BEFC">
      <w:numFmt w:val="decimal"/>
      <w:lvlText w:val=""/>
      <w:lvlJc w:val="left"/>
    </w:lvl>
    <w:lvl w:ilvl="6" w:tplc="5D1A2750">
      <w:numFmt w:val="decimal"/>
      <w:lvlText w:val=""/>
      <w:lvlJc w:val="left"/>
    </w:lvl>
    <w:lvl w:ilvl="7" w:tplc="981299C8">
      <w:numFmt w:val="decimal"/>
      <w:lvlText w:val=""/>
      <w:lvlJc w:val="left"/>
    </w:lvl>
    <w:lvl w:ilvl="8" w:tplc="3B76A194">
      <w:numFmt w:val="decimal"/>
      <w:lvlText w:val=""/>
      <w:lvlJc w:val="left"/>
    </w:lvl>
  </w:abstractNum>
  <w:abstractNum w:abstractNumId="351" w15:restartNumberingAfterBreak="0">
    <w:nsid w:val="00003002"/>
    <w:multiLevelType w:val="hybridMultilevel"/>
    <w:tmpl w:val="1DCA52A4"/>
    <w:lvl w:ilvl="0" w:tplc="D662172C">
      <w:start w:val="1"/>
      <w:numFmt w:val="lowerLetter"/>
      <w:lvlText w:val="(%1)"/>
      <w:lvlJc w:val="left"/>
    </w:lvl>
    <w:lvl w:ilvl="1" w:tplc="4358FB54">
      <w:start w:val="1"/>
      <w:numFmt w:val="decimal"/>
      <w:lvlText w:val="%2."/>
      <w:lvlJc w:val="left"/>
    </w:lvl>
    <w:lvl w:ilvl="2" w:tplc="7994C7EA">
      <w:numFmt w:val="decimal"/>
      <w:lvlText w:val=""/>
      <w:lvlJc w:val="left"/>
    </w:lvl>
    <w:lvl w:ilvl="3" w:tplc="E9C2417A">
      <w:numFmt w:val="decimal"/>
      <w:lvlText w:val=""/>
      <w:lvlJc w:val="left"/>
    </w:lvl>
    <w:lvl w:ilvl="4" w:tplc="74566F26">
      <w:numFmt w:val="decimal"/>
      <w:lvlText w:val=""/>
      <w:lvlJc w:val="left"/>
    </w:lvl>
    <w:lvl w:ilvl="5" w:tplc="82FEEB78">
      <w:numFmt w:val="decimal"/>
      <w:lvlText w:val=""/>
      <w:lvlJc w:val="left"/>
    </w:lvl>
    <w:lvl w:ilvl="6" w:tplc="EC5C06DC">
      <w:numFmt w:val="decimal"/>
      <w:lvlText w:val=""/>
      <w:lvlJc w:val="left"/>
    </w:lvl>
    <w:lvl w:ilvl="7" w:tplc="7436D526">
      <w:numFmt w:val="decimal"/>
      <w:lvlText w:val=""/>
      <w:lvlJc w:val="left"/>
    </w:lvl>
    <w:lvl w:ilvl="8" w:tplc="A48C0C9C">
      <w:numFmt w:val="decimal"/>
      <w:lvlText w:val=""/>
      <w:lvlJc w:val="left"/>
    </w:lvl>
  </w:abstractNum>
  <w:abstractNum w:abstractNumId="352" w15:restartNumberingAfterBreak="0">
    <w:nsid w:val="00003084"/>
    <w:multiLevelType w:val="hybridMultilevel"/>
    <w:tmpl w:val="21FE747A"/>
    <w:lvl w:ilvl="0" w:tplc="F1DADD2E">
      <w:start w:val="1"/>
      <w:numFmt w:val="decimal"/>
      <w:lvlText w:val="(%1)"/>
      <w:lvlJc w:val="left"/>
    </w:lvl>
    <w:lvl w:ilvl="1" w:tplc="B44AFDCA">
      <w:start w:val="1"/>
      <w:numFmt w:val="lowerLetter"/>
      <w:lvlText w:val="(%2)"/>
      <w:lvlJc w:val="left"/>
    </w:lvl>
    <w:lvl w:ilvl="2" w:tplc="BD482468">
      <w:start w:val="1"/>
      <w:numFmt w:val="decimal"/>
      <w:lvlText w:val="%3."/>
      <w:lvlJc w:val="left"/>
    </w:lvl>
    <w:lvl w:ilvl="3" w:tplc="30CC7F70">
      <w:numFmt w:val="decimal"/>
      <w:lvlText w:val=""/>
      <w:lvlJc w:val="left"/>
    </w:lvl>
    <w:lvl w:ilvl="4" w:tplc="484E3C3E">
      <w:numFmt w:val="decimal"/>
      <w:lvlText w:val=""/>
      <w:lvlJc w:val="left"/>
    </w:lvl>
    <w:lvl w:ilvl="5" w:tplc="8A08E8AA">
      <w:numFmt w:val="decimal"/>
      <w:lvlText w:val=""/>
      <w:lvlJc w:val="left"/>
    </w:lvl>
    <w:lvl w:ilvl="6" w:tplc="5C30F03A">
      <w:numFmt w:val="decimal"/>
      <w:lvlText w:val=""/>
      <w:lvlJc w:val="left"/>
    </w:lvl>
    <w:lvl w:ilvl="7" w:tplc="92BA6ABE">
      <w:numFmt w:val="decimal"/>
      <w:lvlText w:val=""/>
      <w:lvlJc w:val="left"/>
    </w:lvl>
    <w:lvl w:ilvl="8" w:tplc="78C00038">
      <w:numFmt w:val="decimal"/>
      <w:lvlText w:val=""/>
      <w:lvlJc w:val="left"/>
    </w:lvl>
  </w:abstractNum>
  <w:abstractNum w:abstractNumId="353" w15:restartNumberingAfterBreak="0">
    <w:nsid w:val="00003091"/>
    <w:multiLevelType w:val="hybridMultilevel"/>
    <w:tmpl w:val="D88AE54E"/>
    <w:lvl w:ilvl="0" w:tplc="769242AA">
      <w:start w:val="1"/>
      <w:numFmt w:val="decimal"/>
      <w:lvlText w:val="%1"/>
      <w:lvlJc w:val="left"/>
    </w:lvl>
    <w:lvl w:ilvl="1" w:tplc="CA664722">
      <w:start w:val="10"/>
      <w:numFmt w:val="decimal"/>
      <w:lvlText w:val="(%2)"/>
      <w:lvlJc w:val="left"/>
    </w:lvl>
    <w:lvl w:ilvl="2" w:tplc="4D1A770E">
      <w:start w:val="1"/>
      <w:numFmt w:val="lowerLetter"/>
      <w:lvlText w:val="(%3)"/>
      <w:lvlJc w:val="left"/>
    </w:lvl>
    <w:lvl w:ilvl="3" w:tplc="C12C4EE4">
      <w:start w:val="1"/>
      <w:numFmt w:val="decimal"/>
      <w:lvlText w:val="%4."/>
      <w:lvlJc w:val="left"/>
    </w:lvl>
    <w:lvl w:ilvl="4" w:tplc="D8802AA8">
      <w:start w:val="1"/>
      <w:numFmt w:val="lowerLetter"/>
      <w:lvlText w:val="%5"/>
      <w:lvlJc w:val="left"/>
    </w:lvl>
    <w:lvl w:ilvl="5" w:tplc="D576C13A">
      <w:numFmt w:val="decimal"/>
      <w:lvlText w:val=""/>
      <w:lvlJc w:val="left"/>
    </w:lvl>
    <w:lvl w:ilvl="6" w:tplc="4414249A">
      <w:numFmt w:val="decimal"/>
      <w:lvlText w:val=""/>
      <w:lvlJc w:val="left"/>
    </w:lvl>
    <w:lvl w:ilvl="7" w:tplc="7BDC1BFC">
      <w:numFmt w:val="decimal"/>
      <w:lvlText w:val=""/>
      <w:lvlJc w:val="left"/>
    </w:lvl>
    <w:lvl w:ilvl="8" w:tplc="DF8807F6">
      <w:numFmt w:val="decimal"/>
      <w:lvlText w:val=""/>
      <w:lvlJc w:val="left"/>
    </w:lvl>
  </w:abstractNum>
  <w:abstractNum w:abstractNumId="354" w15:restartNumberingAfterBreak="0">
    <w:nsid w:val="000030A7"/>
    <w:multiLevelType w:val="hybridMultilevel"/>
    <w:tmpl w:val="4D24D664"/>
    <w:lvl w:ilvl="0" w:tplc="3FA067F4">
      <w:start w:val="12"/>
      <w:numFmt w:val="decimal"/>
      <w:lvlText w:val="(%1)"/>
      <w:lvlJc w:val="left"/>
    </w:lvl>
    <w:lvl w:ilvl="1" w:tplc="5E52EF2E">
      <w:start w:val="1"/>
      <w:numFmt w:val="lowerLetter"/>
      <w:lvlText w:val="(%2)"/>
      <w:lvlJc w:val="left"/>
      <w:rPr>
        <w:color w:val="auto"/>
      </w:rPr>
    </w:lvl>
    <w:lvl w:ilvl="2" w:tplc="C1AC8536">
      <w:numFmt w:val="decimal"/>
      <w:lvlText w:val=""/>
      <w:lvlJc w:val="left"/>
    </w:lvl>
    <w:lvl w:ilvl="3" w:tplc="E3583D8C">
      <w:numFmt w:val="decimal"/>
      <w:lvlText w:val=""/>
      <w:lvlJc w:val="left"/>
    </w:lvl>
    <w:lvl w:ilvl="4" w:tplc="7A8A74B0">
      <w:numFmt w:val="decimal"/>
      <w:lvlText w:val=""/>
      <w:lvlJc w:val="left"/>
    </w:lvl>
    <w:lvl w:ilvl="5" w:tplc="E4CC091A">
      <w:numFmt w:val="decimal"/>
      <w:lvlText w:val=""/>
      <w:lvlJc w:val="left"/>
    </w:lvl>
    <w:lvl w:ilvl="6" w:tplc="76DC70CE">
      <w:numFmt w:val="decimal"/>
      <w:lvlText w:val=""/>
      <w:lvlJc w:val="left"/>
    </w:lvl>
    <w:lvl w:ilvl="7" w:tplc="0A385682">
      <w:numFmt w:val="decimal"/>
      <w:lvlText w:val=""/>
      <w:lvlJc w:val="left"/>
    </w:lvl>
    <w:lvl w:ilvl="8" w:tplc="2132F9CE">
      <w:numFmt w:val="decimal"/>
      <w:lvlText w:val=""/>
      <w:lvlJc w:val="left"/>
    </w:lvl>
  </w:abstractNum>
  <w:abstractNum w:abstractNumId="355" w15:restartNumberingAfterBreak="0">
    <w:nsid w:val="000030C1"/>
    <w:multiLevelType w:val="hybridMultilevel"/>
    <w:tmpl w:val="B7282C58"/>
    <w:lvl w:ilvl="0" w:tplc="74988B68">
      <w:start w:val="2"/>
      <w:numFmt w:val="lowerLetter"/>
      <w:lvlText w:val="(%1)"/>
      <w:lvlJc w:val="left"/>
    </w:lvl>
    <w:lvl w:ilvl="1" w:tplc="85AEE700">
      <w:start w:val="1"/>
      <w:numFmt w:val="decimal"/>
      <w:lvlText w:val="%2."/>
      <w:lvlJc w:val="left"/>
    </w:lvl>
    <w:lvl w:ilvl="2" w:tplc="A15CD17C">
      <w:numFmt w:val="decimal"/>
      <w:lvlText w:val=""/>
      <w:lvlJc w:val="left"/>
    </w:lvl>
    <w:lvl w:ilvl="3" w:tplc="246EEAB8">
      <w:numFmt w:val="decimal"/>
      <w:lvlText w:val=""/>
      <w:lvlJc w:val="left"/>
    </w:lvl>
    <w:lvl w:ilvl="4" w:tplc="47143618">
      <w:numFmt w:val="decimal"/>
      <w:lvlText w:val=""/>
      <w:lvlJc w:val="left"/>
    </w:lvl>
    <w:lvl w:ilvl="5" w:tplc="B4E6770A">
      <w:numFmt w:val="decimal"/>
      <w:lvlText w:val=""/>
      <w:lvlJc w:val="left"/>
    </w:lvl>
    <w:lvl w:ilvl="6" w:tplc="37A639C8">
      <w:numFmt w:val="decimal"/>
      <w:lvlText w:val=""/>
      <w:lvlJc w:val="left"/>
    </w:lvl>
    <w:lvl w:ilvl="7" w:tplc="415AA162">
      <w:numFmt w:val="decimal"/>
      <w:lvlText w:val=""/>
      <w:lvlJc w:val="left"/>
    </w:lvl>
    <w:lvl w:ilvl="8" w:tplc="D4208B60">
      <w:numFmt w:val="decimal"/>
      <w:lvlText w:val=""/>
      <w:lvlJc w:val="left"/>
    </w:lvl>
  </w:abstractNum>
  <w:abstractNum w:abstractNumId="356" w15:restartNumberingAfterBreak="0">
    <w:nsid w:val="000030D7"/>
    <w:multiLevelType w:val="hybridMultilevel"/>
    <w:tmpl w:val="20468138"/>
    <w:lvl w:ilvl="0" w:tplc="DA826AA2">
      <w:start w:val="1"/>
      <w:numFmt w:val="decimal"/>
      <w:lvlText w:val="%1"/>
      <w:lvlJc w:val="left"/>
    </w:lvl>
    <w:lvl w:ilvl="1" w:tplc="2AF2FE08">
      <w:start w:val="1"/>
      <w:numFmt w:val="lowerLetter"/>
      <w:lvlText w:val="%2."/>
      <w:lvlJc w:val="left"/>
    </w:lvl>
    <w:lvl w:ilvl="2" w:tplc="1298B45C">
      <w:numFmt w:val="decimal"/>
      <w:lvlText w:val=""/>
      <w:lvlJc w:val="left"/>
    </w:lvl>
    <w:lvl w:ilvl="3" w:tplc="CA221F0A">
      <w:numFmt w:val="decimal"/>
      <w:lvlText w:val=""/>
      <w:lvlJc w:val="left"/>
    </w:lvl>
    <w:lvl w:ilvl="4" w:tplc="47921224">
      <w:numFmt w:val="decimal"/>
      <w:lvlText w:val=""/>
      <w:lvlJc w:val="left"/>
    </w:lvl>
    <w:lvl w:ilvl="5" w:tplc="430C7A1E">
      <w:numFmt w:val="decimal"/>
      <w:lvlText w:val=""/>
      <w:lvlJc w:val="left"/>
    </w:lvl>
    <w:lvl w:ilvl="6" w:tplc="557CF404">
      <w:numFmt w:val="decimal"/>
      <w:lvlText w:val=""/>
      <w:lvlJc w:val="left"/>
    </w:lvl>
    <w:lvl w:ilvl="7" w:tplc="C1F8C39C">
      <w:numFmt w:val="decimal"/>
      <w:lvlText w:val=""/>
      <w:lvlJc w:val="left"/>
    </w:lvl>
    <w:lvl w:ilvl="8" w:tplc="D4869440">
      <w:numFmt w:val="decimal"/>
      <w:lvlText w:val=""/>
      <w:lvlJc w:val="left"/>
    </w:lvl>
  </w:abstractNum>
  <w:abstractNum w:abstractNumId="357" w15:restartNumberingAfterBreak="0">
    <w:nsid w:val="00003105"/>
    <w:multiLevelType w:val="hybridMultilevel"/>
    <w:tmpl w:val="72CEC6AA"/>
    <w:lvl w:ilvl="0" w:tplc="E02A2EB6">
      <w:start w:val="1"/>
      <w:numFmt w:val="decimal"/>
      <w:lvlText w:val="%1"/>
      <w:lvlJc w:val="left"/>
    </w:lvl>
    <w:lvl w:ilvl="1" w:tplc="4384ACD8">
      <w:start w:val="2"/>
      <w:numFmt w:val="lowerLetter"/>
      <w:lvlText w:val="(%2)"/>
      <w:lvlJc w:val="left"/>
    </w:lvl>
    <w:lvl w:ilvl="2" w:tplc="4CBE67E2">
      <w:start w:val="1"/>
      <w:numFmt w:val="decimal"/>
      <w:lvlText w:val="%3"/>
      <w:lvlJc w:val="left"/>
    </w:lvl>
    <w:lvl w:ilvl="3" w:tplc="AD3A11C6">
      <w:numFmt w:val="decimal"/>
      <w:lvlText w:val=""/>
      <w:lvlJc w:val="left"/>
    </w:lvl>
    <w:lvl w:ilvl="4" w:tplc="570CCB3C">
      <w:numFmt w:val="decimal"/>
      <w:lvlText w:val=""/>
      <w:lvlJc w:val="left"/>
    </w:lvl>
    <w:lvl w:ilvl="5" w:tplc="47EC82C8">
      <w:numFmt w:val="decimal"/>
      <w:lvlText w:val=""/>
      <w:lvlJc w:val="left"/>
    </w:lvl>
    <w:lvl w:ilvl="6" w:tplc="CC44DE76">
      <w:numFmt w:val="decimal"/>
      <w:lvlText w:val=""/>
      <w:lvlJc w:val="left"/>
    </w:lvl>
    <w:lvl w:ilvl="7" w:tplc="14F20B44">
      <w:numFmt w:val="decimal"/>
      <w:lvlText w:val=""/>
      <w:lvlJc w:val="left"/>
    </w:lvl>
    <w:lvl w:ilvl="8" w:tplc="6B5412F2">
      <w:numFmt w:val="decimal"/>
      <w:lvlText w:val=""/>
      <w:lvlJc w:val="left"/>
    </w:lvl>
  </w:abstractNum>
  <w:abstractNum w:abstractNumId="358" w15:restartNumberingAfterBreak="0">
    <w:nsid w:val="0000311A"/>
    <w:multiLevelType w:val="hybridMultilevel"/>
    <w:tmpl w:val="8F346472"/>
    <w:lvl w:ilvl="0" w:tplc="D35E3DA6">
      <w:start w:val="1"/>
      <w:numFmt w:val="lowerLetter"/>
      <w:lvlText w:val="%1"/>
      <w:lvlJc w:val="left"/>
    </w:lvl>
    <w:lvl w:ilvl="1" w:tplc="6FFCA24E">
      <w:start w:val="4"/>
      <w:numFmt w:val="lowerRoman"/>
      <w:lvlText w:val="%2."/>
      <w:lvlJc w:val="left"/>
    </w:lvl>
    <w:lvl w:ilvl="2" w:tplc="25DCC6CE">
      <w:numFmt w:val="decimal"/>
      <w:lvlText w:val=""/>
      <w:lvlJc w:val="left"/>
    </w:lvl>
    <w:lvl w:ilvl="3" w:tplc="73D65FC6">
      <w:numFmt w:val="decimal"/>
      <w:lvlText w:val=""/>
      <w:lvlJc w:val="left"/>
    </w:lvl>
    <w:lvl w:ilvl="4" w:tplc="A3160FE4">
      <w:numFmt w:val="decimal"/>
      <w:lvlText w:val=""/>
      <w:lvlJc w:val="left"/>
    </w:lvl>
    <w:lvl w:ilvl="5" w:tplc="E39C9058">
      <w:numFmt w:val="decimal"/>
      <w:lvlText w:val=""/>
      <w:lvlJc w:val="left"/>
    </w:lvl>
    <w:lvl w:ilvl="6" w:tplc="2774E9CE">
      <w:numFmt w:val="decimal"/>
      <w:lvlText w:val=""/>
      <w:lvlJc w:val="left"/>
    </w:lvl>
    <w:lvl w:ilvl="7" w:tplc="49CC9910">
      <w:numFmt w:val="decimal"/>
      <w:lvlText w:val=""/>
      <w:lvlJc w:val="left"/>
    </w:lvl>
    <w:lvl w:ilvl="8" w:tplc="65025A5E">
      <w:numFmt w:val="decimal"/>
      <w:lvlText w:val=""/>
      <w:lvlJc w:val="left"/>
    </w:lvl>
  </w:abstractNum>
  <w:abstractNum w:abstractNumId="359" w15:restartNumberingAfterBreak="0">
    <w:nsid w:val="00003122"/>
    <w:multiLevelType w:val="hybridMultilevel"/>
    <w:tmpl w:val="12B6544C"/>
    <w:lvl w:ilvl="0" w:tplc="6BE4A9F0">
      <w:start w:val="2"/>
      <w:numFmt w:val="lowerLetter"/>
      <w:lvlText w:val="(%1)"/>
      <w:lvlJc w:val="left"/>
    </w:lvl>
    <w:lvl w:ilvl="1" w:tplc="00FC43DA">
      <w:start w:val="1"/>
      <w:numFmt w:val="decimal"/>
      <w:lvlText w:val="%2."/>
      <w:lvlJc w:val="left"/>
    </w:lvl>
    <w:lvl w:ilvl="2" w:tplc="508802BC">
      <w:numFmt w:val="decimal"/>
      <w:lvlText w:val=""/>
      <w:lvlJc w:val="left"/>
    </w:lvl>
    <w:lvl w:ilvl="3" w:tplc="34CE1042">
      <w:numFmt w:val="decimal"/>
      <w:lvlText w:val=""/>
      <w:lvlJc w:val="left"/>
    </w:lvl>
    <w:lvl w:ilvl="4" w:tplc="1B48ED5A">
      <w:numFmt w:val="decimal"/>
      <w:lvlText w:val=""/>
      <w:lvlJc w:val="left"/>
    </w:lvl>
    <w:lvl w:ilvl="5" w:tplc="51766AAC">
      <w:numFmt w:val="decimal"/>
      <w:lvlText w:val=""/>
      <w:lvlJc w:val="left"/>
    </w:lvl>
    <w:lvl w:ilvl="6" w:tplc="C1F456D4">
      <w:numFmt w:val="decimal"/>
      <w:lvlText w:val=""/>
      <w:lvlJc w:val="left"/>
    </w:lvl>
    <w:lvl w:ilvl="7" w:tplc="57223A0C">
      <w:numFmt w:val="decimal"/>
      <w:lvlText w:val=""/>
      <w:lvlJc w:val="left"/>
    </w:lvl>
    <w:lvl w:ilvl="8" w:tplc="59907AC0">
      <w:numFmt w:val="decimal"/>
      <w:lvlText w:val=""/>
      <w:lvlJc w:val="left"/>
    </w:lvl>
  </w:abstractNum>
  <w:abstractNum w:abstractNumId="360" w15:restartNumberingAfterBreak="0">
    <w:nsid w:val="00003143"/>
    <w:multiLevelType w:val="hybridMultilevel"/>
    <w:tmpl w:val="EA7C26AC"/>
    <w:lvl w:ilvl="0" w:tplc="E0D03930">
      <w:start w:val="1"/>
      <w:numFmt w:val="decimal"/>
      <w:lvlText w:val="%1"/>
      <w:lvlJc w:val="left"/>
    </w:lvl>
    <w:lvl w:ilvl="1" w:tplc="66C05BAE">
      <w:start w:val="1"/>
      <w:numFmt w:val="lowerLetter"/>
      <w:lvlText w:val="%2"/>
      <w:lvlJc w:val="left"/>
    </w:lvl>
    <w:lvl w:ilvl="2" w:tplc="81EE1BAA">
      <w:start w:val="3"/>
      <w:numFmt w:val="decimal"/>
      <w:lvlText w:val="%3."/>
      <w:lvlJc w:val="left"/>
    </w:lvl>
    <w:lvl w:ilvl="3" w:tplc="C1845E2A">
      <w:numFmt w:val="decimal"/>
      <w:lvlText w:val=""/>
      <w:lvlJc w:val="left"/>
    </w:lvl>
    <w:lvl w:ilvl="4" w:tplc="C6E4D38A">
      <w:numFmt w:val="decimal"/>
      <w:lvlText w:val=""/>
      <w:lvlJc w:val="left"/>
    </w:lvl>
    <w:lvl w:ilvl="5" w:tplc="1274410C">
      <w:numFmt w:val="decimal"/>
      <w:lvlText w:val=""/>
      <w:lvlJc w:val="left"/>
    </w:lvl>
    <w:lvl w:ilvl="6" w:tplc="BD9A3CB6">
      <w:numFmt w:val="decimal"/>
      <w:lvlText w:val=""/>
      <w:lvlJc w:val="left"/>
    </w:lvl>
    <w:lvl w:ilvl="7" w:tplc="86CCCFFC">
      <w:numFmt w:val="decimal"/>
      <w:lvlText w:val=""/>
      <w:lvlJc w:val="left"/>
    </w:lvl>
    <w:lvl w:ilvl="8" w:tplc="6F742A5E">
      <w:numFmt w:val="decimal"/>
      <w:lvlText w:val=""/>
      <w:lvlJc w:val="left"/>
    </w:lvl>
  </w:abstractNum>
  <w:abstractNum w:abstractNumId="361" w15:restartNumberingAfterBreak="0">
    <w:nsid w:val="0000316E"/>
    <w:multiLevelType w:val="hybridMultilevel"/>
    <w:tmpl w:val="0D68A930"/>
    <w:lvl w:ilvl="0" w:tplc="4B36B7E8">
      <w:start w:val="1"/>
      <w:numFmt w:val="decimal"/>
      <w:lvlText w:val="%1"/>
      <w:lvlJc w:val="left"/>
    </w:lvl>
    <w:lvl w:ilvl="1" w:tplc="E6C80A38">
      <w:start w:val="1"/>
      <w:numFmt w:val="lowerLetter"/>
      <w:lvlText w:val="%2"/>
      <w:lvlJc w:val="left"/>
    </w:lvl>
    <w:lvl w:ilvl="2" w:tplc="83468614">
      <w:start w:val="4"/>
      <w:numFmt w:val="decimal"/>
      <w:lvlText w:val="%3."/>
      <w:lvlJc w:val="left"/>
    </w:lvl>
    <w:lvl w:ilvl="3" w:tplc="2864EC32">
      <w:start w:val="1"/>
      <w:numFmt w:val="lowerLetter"/>
      <w:lvlText w:val="%4"/>
      <w:lvlJc w:val="left"/>
    </w:lvl>
    <w:lvl w:ilvl="4" w:tplc="E9109B74">
      <w:numFmt w:val="decimal"/>
      <w:lvlText w:val=""/>
      <w:lvlJc w:val="left"/>
    </w:lvl>
    <w:lvl w:ilvl="5" w:tplc="46208FDE">
      <w:numFmt w:val="decimal"/>
      <w:lvlText w:val=""/>
      <w:lvlJc w:val="left"/>
    </w:lvl>
    <w:lvl w:ilvl="6" w:tplc="A1A845D0">
      <w:numFmt w:val="decimal"/>
      <w:lvlText w:val=""/>
      <w:lvlJc w:val="left"/>
    </w:lvl>
    <w:lvl w:ilvl="7" w:tplc="9DD21286">
      <w:numFmt w:val="decimal"/>
      <w:lvlText w:val=""/>
      <w:lvlJc w:val="left"/>
    </w:lvl>
    <w:lvl w:ilvl="8" w:tplc="07C461F0">
      <w:numFmt w:val="decimal"/>
      <w:lvlText w:val=""/>
      <w:lvlJc w:val="left"/>
    </w:lvl>
  </w:abstractNum>
  <w:abstractNum w:abstractNumId="362" w15:restartNumberingAfterBreak="0">
    <w:nsid w:val="00003185"/>
    <w:multiLevelType w:val="hybridMultilevel"/>
    <w:tmpl w:val="02003922"/>
    <w:lvl w:ilvl="0" w:tplc="1C92652C">
      <w:start w:val="3"/>
      <w:numFmt w:val="lowerLetter"/>
      <w:lvlText w:val="(%1)"/>
      <w:lvlJc w:val="left"/>
    </w:lvl>
    <w:lvl w:ilvl="1" w:tplc="A102711A">
      <w:start w:val="1"/>
      <w:numFmt w:val="decimal"/>
      <w:lvlText w:val="%2."/>
      <w:lvlJc w:val="left"/>
    </w:lvl>
    <w:lvl w:ilvl="2" w:tplc="86F255BA">
      <w:numFmt w:val="decimal"/>
      <w:lvlText w:val=""/>
      <w:lvlJc w:val="left"/>
    </w:lvl>
    <w:lvl w:ilvl="3" w:tplc="1DA8FA7E">
      <w:numFmt w:val="decimal"/>
      <w:lvlText w:val=""/>
      <w:lvlJc w:val="left"/>
    </w:lvl>
    <w:lvl w:ilvl="4" w:tplc="58F89086">
      <w:numFmt w:val="decimal"/>
      <w:lvlText w:val=""/>
      <w:lvlJc w:val="left"/>
    </w:lvl>
    <w:lvl w:ilvl="5" w:tplc="FFE0D6D4">
      <w:numFmt w:val="decimal"/>
      <w:lvlText w:val=""/>
      <w:lvlJc w:val="left"/>
    </w:lvl>
    <w:lvl w:ilvl="6" w:tplc="FFC4A724">
      <w:numFmt w:val="decimal"/>
      <w:lvlText w:val=""/>
      <w:lvlJc w:val="left"/>
    </w:lvl>
    <w:lvl w:ilvl="7" w:tplc="7B6EAB72">
      <w:numFmt w:val="decimal"/>
      <w:lvlText w:val=""/>
      <w:lvlJc w:val="left"/>
    </w:lvl>
    <w:lvl w:ilvl="8" w:tplc="CEA8AEC8">
      <w:numFmt w:val="decimal"/>
      <w:lvlText w:val=""/>
      <w:lvlJc w:val="left"/>
    </w:lvl>
  </w:abstractNum>
  <w:abstractNum w:abstractNumId="363" w15:restartNumberingAfterBreak="0">
    <w:nsid w:val="000031B3"/>
    <w:multiLevelType w:val="hybridMultilevel"/>
    <w:tmpl w:val="F5B497C2"/>
    <w:lvl w:ilvl="0" w:tplc="9198F1D4">
      <w:start w:val="1"/>
      <w:numFmt w:val="decimal"/>
      <w:lvlText w:val="%1"/>
      <w:lvlJc w:val="left"/>
    </w:lvl>
    <w:lvl w:ilvl="1" w:tplc="D7C2A978">
      <w:start w:val="1"/>
      <w:numFmt w:val="lowerLetter"/>
      <w:lvlText w:val="%2"/>
      <w:lvlJc w:val="left"/>
    </w:lvl>
    <w:lvl w:ilvl="2" w:tplc="095A46CC">
      <w:start w:val="3"/>
      <w:numFmt w:val="decimal"/>
      <w:lvlText w:val="%3."/>
      <w:lvlJc w:val="left"/>
    </w:lvl>
    <w:lvl w:ilvl="3" w:tplc="533ED35C">
      <w:start w:val="1"/>
      <w:numFmt w:val="decimal"/>
      <w:lvlText w:val="%4"/>
      <w:lvlJc w:val="left"/>
    </w:lvl>
    <w:lvl w:ilvl="4" w:tplc="E638A990">
      <w:start w:val="1"/>
      <w:numFmt w:val="lowerLetter"/>
      <w:lvlText w:val="%5"/>
      <w:lvlJc w:val="left"/>
    </w:lvl>
    <w:lvl w:ilvl="5" w:tplc="9C3AE110">
      <w:start w:val="1"/>
      <w:numFmt w:val="lowerRoman"/>
      <w:lvlText w:val="%6"/>
      <w:lvlJc w:val="left"/>
    </w:lvl>
    <w:lvl w:ilvl="6" w:tplc="DB284108">
      <w:numFmt w:val="decimal"/>
      <w:lvlText w:val=""/>
      <w:lvlJc w:val="left"/>
    </w:lvl>
    <w:lvl w:ilvl="7" w:tplc="50C043EC">
      <w:numFmt w:val="decimal"/>
      <w:lvlText w:val=""/>
      <w:lvlJc w:val="left"/>
    </w:lvl>
    <w:lvl w:ilvl="8" w:tplc="37E2252A">
      <w:numFmt w:val="decimal"/>
      <w:lvlText w:val=""/>
      <w:lvlJc w:val="left"/>
    </w:lvl>
  </w:abstractNum>
  <w:abstractNum w:abstractNumId="364" w15:restartNumberingAfterBreak="0">
    <w:nsid w:val="000031C1"/>
    <w:multiLevelType w:val="hybridMultilevel"/>
    <w:tmpl w:val="F88E1204"/>
    <w:lvl w:ilvl="0" w:tplc="A498CF7A">
      <w:start w:val="1"/>
      <w:numFmt w:val="lowerLetter"/>
      <w:lvlText w:val="%1"/>
      <w:lvlJc w:val="left"/>
    </w:lvl>
    <w:lvl w:ilvl="1" w:tplc="26C26964">
      <w:start w:val="4"/>
      <w:numFmt w:val="decimal"/>
      <w:lvlText w:val="%2."/>
      <w:lvlJc w:val="left"/>
    </w:lvl>
    <w:lvl w:ilvl="2" w:tplc="B95686BA">
      <w:start w:val="1"/>
      <w:numFmt w:val="lowerLetter"/>
      <w:lvlText w:val="%3."/>
      <w:lvlJc w:val="left"/>
    </w:lvl>
    <w:lvl w:ilvl="3" w:tplc="1D84BD68">
      <w:start w:val="1"/>
      <w:numFmt w:val="lowerRoman"/>
      <w:lvlText w:val="%4."/>
      <w:lvlJc w:val="left"/>
    </w:lvl>
    <w:lvl w:ilvl="4" w:tplc="D07A68CA">
      <w:numFmt w:val="decimal"/>
      <w:lvlText w:val=""/>
      <w:lvlJc w:val="left"/>
    </w:lvl>
    <w:lvl w:ilvl="5" w:tplc="6AACDFE4">
      <w:numFmt w:val="decimal"/>
      <w:lvlText w:val=""/>
      <w:lvlJc w:val="left"/>
    </w:lvl>
    <w:lvl w:ilvl="6" w:tplc="B6E299C6">
      <w:numFmt w:val="decimal"/>
      <w:lvlText w:val=""/>
      <w:lvlJc w:val="left"/>
    </w:lvl>
    <w:lvl w:ilvl="7" w:tplc="AA0AE69E">
      <w:numFmt w:val="decimal"/>
      <w:lvlText w:val=""/>
      <w:lvlJc w:val="left"/>
    </w:lvl>
    <w:lvl w:ilvl="8" w:tplc="CF1637F8">
      <w:numFmt w:val="decimal"/>
      <w:lvlText w:val=""/>
      <w:lvlJc w:val="left"/>
    </w:lvl>
  </w:abstractNum>
  <w:abstractNum w:abstractNumId="365" w15:restartNumberingAfterBreak="0">
    <w:nsid w:val="000031CE"/>
    <w:multiLevelType w:val="hybridMultilevel"/>
    <w:tmpl w:val="4E125ED2"/>
    <w:lvl w:ilvl="0" w:tplc="2BA01454">
      <w:start w:val="1"/>
      <w:numFmt w:val="decimal"/>
      <w:lvlText w:val="%1"/>
      <w:lvlJc w:val="left"/>
    </w:lvl>
    <w:lvl w:ilvl="1" w:tplc="2B0E382E">
      <w:start w:val="1"/>
      <w:numFmt w:val="lowerLetter"/>
      <w:lvlText w:val="%2"/>
      <w:lvlJc w:val="left"/>
    </w:lvl>
    <w:lvl w:ilvl="2" w:tplc="A6FEC730">
      <w:start w:val="1"/>
      <w:numFmt w:val="decimal"/>
      <w:lvlText w:val="%3"/>
      <w:lvlJc w:val="left"/>
    </w:lvl>
    <w:lvl w:ilvl="3" w:tplc="EFAE7B5A">
      <w:start w:val="1"/>
      <w:numFmt w:val="lowerLetter"/>
      <w:lvlText w:val="%4."/>
      <w:lvlJc w:val="left"/>
    </w:lvl>
    <w:lvl w:ilvl="4" w:tplc="A1E42F86">
      <w:numFmt w:val="decimal"/>
      <w:lvlText w:val=""/>
      <w:lvlJc w:val="left"/>
    </w:lvl>
    <w:lvl w:ilvl="5" w:tplc="6E0664EE">
      <w:numFmt w:val="decimal"/>
      <w:lvlText w:val=""/>
      <w:lvlJc w:val="left"/>
    </w:lvl>
    <w:lvl w:ilvl="6" w:tplc="67245664">
      <w:numFmt w:val="decimal"/>
      <w:lvlText w:val=""/>
      <w:lvlJc w:val="left"/>
    </w:lvl>
    <w:lvl w:ilvl="7" w:tplc="A74221F2">
      <w:numFmt w:val="decimal"/>
      <w:lvlText w:val=""/>
      <w:lvlJc w:val="left"/>
    </w:lvl>
    <w:lvl w:ilvl="8" w:tplc="89527844">
      <w:numFmt w:val="decimal"/>
      <w:lvlText w:val=""/>
      <w:lvlJc w:val="left"/>
    </w:lvl>
  </w:abstractNum>
  <w:abstractNum w:abstractNumId="366" w15:restartNumberingAfterBreak="0">
    <w:nsid w:val="000031EB"/>
    <w:multiLevelType w:val="hybridMultilevel"/>
    <w:tmpl w:val="FA4487D2"/>
    <w:lvl w:ilvl="0" w:tplc="1FCE9894">
      <w:start w:val="1"/>
      <w:numFmt w:val="decimal"/>
      <w:lvlText w:val="%1"/>
      <w:lvlJc w:val="left"/>
    </w:lvl>
    <w:lvl w:ilvl="1" w:tplc="DC00A16E">
      <w:start w:val="1"/>
      <w:numFmt w:val="lowerLetter"/>
      <w:lvlText w:val="%2"/>
      <w:lvlJc w:val="left"/>
    </w:lvl>
    <w:lvl w:ilvl="2" w:tplc="A6323EA0">
      <w:start w:val="1"/>
      <w:numFmt w:val="decimal"/>
      <w:lvlText w:val="%3"/>
      <w:lvlJc w:val="left"/>
    </w:lvl>
    <w:lvl w:ilvl="3" w:tplc="E09A098A">
      <w:start w:val="2"/>
      <w:numFmt w:val="lowerLetter"/>
      <w:lvlText w:val="%4."/>
      <w:lvlJc w:val="left"/>
    </w:lvl>
    <w:lvl w:ilvl="4" w:tplc="4928DA8A">
      <w:numFmt w:val="decimal"/>
      <w:lvlText w:val=""/>
      <w:lvlJc w:val="left"/>
    </w:lvl>
    <w:lvl w:ilvl="5" w:tplc="5F8C0FBC">
      <w:numFmt w:val="decimal"/>
      <w:lvlText w:val=""/>
      <w:lvlJc w:val="left"/>
    </w:lvl>
    <w:lvl w:ilvl="6" w:tplc="269C7968">
      <w:numFmt w:val="decimal"/>
      <w:lvlText w:val=""/>
      <w:lvlJc w:val="left"/>
    </w:lvl>
    <w:lvl w:ilvl="7" w:tplc="FE6E6184">
      <w:numFmt w:val="decimal"/>
      <w:lvlText w:val=""/>
      <w:lvlJc w:val="left"/>
    </w:lvl>
    <w:lvl w:ilvl="8" w:tplc="85D0E81A">
      <w:numFmt w:val="decimal"/>
      <w:lvlText w:val=""/>
      <w:lvlJc w:val="left"/>
    </w:lvl>
  </w:abstractNum>
  <w:abstractNum w:abstractNumId="367" w15:restartNumberingAfterBreak="0">
    <w:nsid w:val="0000325A"/>
    <w:multiLevelType w:val="hybridMultilevel"/>
    <w:tmpl w:val="C0E8F4D8"/>
    <w:lvl w:ilvl="0" w:tplc="0F442046">
      <w:start w:val="1"/>
      <w:numFmt w:val="decimal"/>
      <w:lvlText w:val="%1"/>
      <w:lvlJc w:val="left"/>
    </w:lvl>
    <w:lvl w:ilvl="1" w:tplc="9A66BC34">
      <w:start w:val="2"/>
      <w:numFmt w:val="lowerLetter"/>
      <w:lvlText w:val="(%2)"/>
      <w:lvlJc w:val="left"/>
    </w:lvl>
    <w:lvl w:ilvl="2" w:tplc="84CAAAF4">
      <w:start w:val="1"/>
      <w:numFmt w:val="decimal"/>
      <w:lvlText w:val="%3."/>
      <w:lvlJc w:val="left"/>
      <w:rPr>
        <w:sz w:val="24"/>
        <w:szCs w:val="24"/>
      </w:rPr>
    </w:lvl>
    <w:lvl w:ilvl="3" w:tplc="8D72AF12">
      <w:numFmt w:val="decimal"/>
      <w:lvlText w:val=""/>
      <w:lvlJc w:val="left"/>
    </w:lvl>
    <w:lvl w:ilvl="4" w:tplc="DAF44A38">
      <w:numFmt w:val="decimal"/>
      <w:lvlText w:val=""/>
      <w:lvlJc w:val="left"/>
    </w:lvl>
    <w:lvl w:ilvl="5" w:tplc="C07E4EEE">
      <w:numFmt w:val="decimal"/>
      <w:lvlText w:val=""/>
      <w:lvlJc w:val="left"/>
    </w:lvl>
    <w:lvl w:ilvl="6" w:tplc="5E1A8708">
      <w:numFmt w:val="decimal"/>
      <w:lvlText w:val=""/>
      <w:lvlJc w:val="left"/>
    </w:lvl>
    <w:lvl w:ilvl="7" w:tplc="9D3C8E10">
      <w:numFmt w:val="decimal"/>
      <w:lvlText w:val=""/>
      <w:lvlJc w:val="left"/>
    </w:lvl>
    <w:lvl w:ilvl="8" w:tplc="8EB674CA">
      <w:numFmt w:val="decimal"/>
      <w:lvlText w:val=""/>
      <w:lvlJc w:val="left"/>
    </w:lvl>
  </w:abstractNum>
  <w:abstractNum w:abstractNumId="368" w15:restartNumberingAfterBreak="0">
    <w:nsid w:val="0000327C"/>
    <w:multiLevelType w:val="hybridMultilevel"/>
    <w:tmpl w:val="E7A8BDC8"/>
    <w:lvl w:ilvl="0" w:tplc="261C5512">
      <w:start w:val="2"/>
      <w:numFmt w:val="lowerLetter"/>
      <w:lvlText w:val="(%1)"/>
      <w:lvlJc w:val="left"/>
    </w:lvl>
    <w:lvl w:ilvl="1" w:tplc="22DCB69A">
      <w:start w:val="1"/>
      <w:numFmt w:val="decimal"/>
      <w:lvlText w:val="%2"/>
      <w:lvlJc w:val="left"/>
    </w:lvl>
    <w:lvl w:ilvl="2" w:tplc="EA58AED8">
      <w:numFmt w:val="decimal"/>
      <w:lvlText w:val=""/>
      <w:lvlJc w:val="left"/>
    </w:lvl>
    <w:lvl w:ilvl="3" w:tplc="46EAD3B8">
      <w:numFmt w:val="decimal"/>
      <w:lvlText w:val=""/>
      <w:lvlJc w:val="left"/>
    </w:lvl>
    <w:lvl w:ilvl="4" w:tplc="E1B0D7B6">
      <w:numFmt w:val="decimal"/>
      <w:lvlText w:val=""/>
      <w:lvlJc w:val="left"/>
    </w:lvl>
    <w:lvl w:ilvl="5" w:tplc="EC8EBD4C">
      <w:numFmt w:val="decimal"/>
      <w:lvlText w:val=""/>
      <w:lvlJc w:val="left"/>
    </w:lvl>
    <w:lvl w:ilvl="6" w:tplc="BDE21B32">
      <w:numFmt w:val="decimal"/>
      <w:lvlText w:val=""/>
      <w:lvlJc w:val="left"/>
    </w:lvl>
    <w:lvl w:ilvl="7" w:tplc="A6440196">
      <w:numFmt w:val="decimal"/>
      <w:lvlText w:val=""/>
      <w:lvlJc w:val="left"/>
    </w:lvl>
    <w:lvl w:ilvl="8" w:tplc="1B24984A">
      <w:numFmt w:val="decimal"/>
      <w:lvlText w:val=""/>
      <w:lvlJc w:val="left"/>
    </w:lvl>
  </w:abstractNum>
  <w:abstractNum w:abstractNumId="369" w15:restartNumberingAfterBreak="0">
    <w:nsid w:val="00003285"/>
    <w:multiLevelType w:val="hybridMultilevel"/>
    <w:tmpl w:val="BDDC45F4"/>
    <w:lvl w:ilvl="0" w:tplc="F49245C0">
      <w:start w:val="1"/>
      <w:numFmt w:val="decimal"/>
      <w:lvlText w:val="%1"/>
      <w:lvlJc w:val="left"/>
    </w:lvl>
    <w:lvl w:ilvl="1" w:tplc="2F260CC2">
      <w:start w:val="2"/>
      <w:numFmt w:val="lowerLetter"/>
      <w:lvlText w:val="(%2)"/>
      <w:lvlJc w:val="left"/>
    </w:lvl>
    <w:lvl w:ilvl="2" w:tplc="D1F8D89C">
      <w:start w:val="1"/>
      <w:numFmt w:val="decimal"/>
      <w:lvlText w:val="%3."/>
      <w:lvlJc w:val="left"/>
    </w:lvl>
    <w:lvl w:ilvl="3" w:tplc="90B6269E">
      <w:start w:val="1"/>
      <w:numFmt w:val="lowerLetter"/>
      <w:lvlText w:val="%4"/>
      <w:lvlJc w:val="left"/>
    </w:lvl>
    <w:lvl w:ilvl="4" w:tplc="F0D23A30">
      <w:numFmt w:val="decimal"/>
      <w:lvlText w:val=""/>
      <w:lvlJc w:val="left"/>
    </w:lvl>
    <w:lvl w:ilvl="5" w:tplc="9E6AF878">
      <w:numFmt w:val="decimal"/>
      <w:lvlText w:val=""/>
      <w:lvlJc w:val="left"/>
    </w:lvl>
    <w:lvl w:ilvl="6" w:tplc="DD42DD4E">
      <w:numFmt w:val="decimal"/>
      <w:lvlText w:val=""/>
      <w:lvlJc w:val="left"/>
    </w:lvl>
    <w:lvl w:ilvl="7" w:tplc="B6C2CFD8">
      <w:numFmt w:val="decimal"/>
      <w:lvlText w:val=""/>
      <w:lvlJc w:val="left"/>
    </w:lvl>
    <w:lvl w:ilvl="8" w:tplc="5024CFFA">
      <w:numFmt w:val="decimal"/>
      <w:lvlText w:val=""/>
      <w:lvlJc w:val="left"/>
    </w:lvl>
  </w:abstractNum>
  <w:abstractNum w:abstractNumId="370" w15:restartNumberingAfterBreak="0">
    <w:nsid w:val="00003287"/>
    <w:multiLevelType w:val="hybridMultilevel"/>
    <w:tmpl w:val="208E2CD4"/>
    <w:lvl w:ilvl="0" w:tplc="4704E450">
      <w:start w:val="1"/>
      <w:numFmt w:val="decimal"/>
      <w:lvlText w:val="%1."/>
      <w:lvlJc w:val="left"/>
    </w:lvl>
    <w:lvl w:ilvl="1" w:tplc="765C1FDA">
      <w:numFmt w:val="decimal"/>
      <w:lvlText w:val=""/>
      <w:lvlJc w:val="left"/>
    </w:lvl>
    <w:lvl w:ilvl="2" w:tplc="734A44BE">
      <w:numFmt w:val="decimal"/>
      <w:lvlText w:val=""/>
      <w:lvlJc w:val="left"/>
    </w:lvl>
    <w:lvl w:ilvl="3" w:tplc="B7B05F94">
      <w:numFmt w:val="decimal"/>
      <w:lvlText w:val=""/>
      <w:lvlJc w:val="left"/>
    </w:lvl>
    <w:lvl w:ilvl="4" w:tplc="10E44314">
      <w:numFmt w:val="decimal"/>
      <w:lvlText w:val=""/>
      <w:lvlJc w:val="left"/>
    </w:lvl>
    <w:lvl w:ilvl="5" w:tplc="C21EAED8">
      <w:numFmt w:val="decimal"/>
      <w:lvlText w:val=""/>
      <w:lvlJc w:val="left"/>
    </w:lvl>
    <w:lvl w:ilvl="6" w:tplc="2B8C0908">
      <w:numFmt w:val="decimal"/>
      <w:lvlText w:val=""/>
      <w:lvlJc w:val="left"/>
    </w:lvl>
    <w:lvl w:ilvl="7" w:tplc="E1B8E9F4">
      <w:numFmt w:val="decimal"/>
      <w:lvlText w:val=""/>
      <w:lvlJc w:val="left"/>
    </w:lvl>
    <w:lvl w:ilvl="8" w:tplc="FB942580">
      <w:numFmt w:val="decimal"/>
      <w:lvlText w:val=""/>
      <w:lvlJc w:val="left"/>
    </w:lvl>
  </w:abstractNum>
  <w:abstractNum w:abstractNumId="371" w15:restartNumberingAfterBreak="0">
    <w:nsid w:val="000032C6"/>
    <w:multiLevelType w:val="hybridMultilevel"/>
    <w:tmpl w:val="6C28A326"/>
    <w:lvl w:ilvl="0" w:tplc="8844FB72">
      <w:start w:val="1"/>
      <w:numFmt w:val="lowerLetter"/>
      <w:lvlText w:val="%1"/>
      <w:lvlJc w:val="left"/>
    </w:lvl>
    <w:lvl w:ilvl="1" w:tplc="F4286B7A">
      <w:start w:val="35"/>
      <w:numFmt w:val="lowerLetter"/>
      <w:lvlText w:val="%2."/>
      <w:lvlJc w:val="left"/>
    </w:lvl>
    <w:lvl w:ilvl="2" w:tplc="AEF2FA84">
      <w:numFmt w:val="decimal"/>
      <w:lvlText w:val=""/>
      <w:lvlJc w:val="left"/>
    </w:lvl>
    <w:lvl w:ilvl="3" w:tplc="509CE0A8">
      <w:numFmt w:val="decimal"/>
      <w:lvlText w:val=""/>
      <w:lvlJc w:val="left"/>
    </w:lvl>
    <w:lvl w:ilvl="4" w:tplc="277C05F6">
      <w:numFmt w:val="decimal"/>
      <w:lvlText w:val=""/>
      <w:lvlJc w:val="left"/>
    </w:lvl>
    <w:lvl w:ilvl="5" w:tplc="F58463EA">
      <w:numFmt w:val="decimal"/>
      <w:lvlText w:val=""/>
      <w:lvlJc w:val="left"/>
    </w:lvl>
    <w:lvl w:ilvl="6" w:tplc="A574D822">
      <w:numFmt w:val="decimal"/>
      <w:lvlText w:val=""/>
      <w:lvlJc w:val="left"/>
    </w:lvl>
    <w:lvl w:ilvl="7" w:tplc="095C4EA6">
      <w:numFmt w:val="decimal"/>
      <w:lvlText w:val=""/>
      <w:lvlJc w:val="left"/>
    </w:lvl>
    <w:lvl w:ilvl="8" w:tplc="C9568864">
      <w:numFmt w:val="decimal"/>
      <w:lvlText w:val=""/>
      <w:lvlJc w:val="left"/>
    </w:lvl>
  </w:abstractNum>
  <w:abstractNum w:abstractNumId="372" w15:restartNumberingAfterBreak="0">
    <w:nsid w:val="000032ED"/>
    <w:multiLevelType w:val="hybridMultilevel"/>
    <w:tmpl w:val="34DC33A4"/>
    <w:lvl w:ilvl="0" w:tplc="7CE6FF7A">
      <w:start w:val="1"/>
      <w:numFmt w:val="lowerLetter"/>
      <w:lvlText w:val="%1"/>
      <w:lvlJc w:val="left"/>
    </w:lvl>
    <w:lvl w:ilvl="1" w:tplc="AA40F432">
      <w:start w:val="310"/>
      <w:numFmt w:val="decimal"/>
      <w:lvlText w:val="%2"/>
      <w:lvlJc w:val="left"/>
    </w:lvl>
    <w:lvl w:ilvl="2" w:tplc="E916AA14">
      <w:start w:val="1"/>
      <w:numFmt w:val="lowerLetter"/>
      <w:lvlText w:val="%3"/>
      <w:lvlJc w:val="left"/>
    </w:lvl>
    <w:lvl w:ilvl="3" w:tplc="455C4F84">
      <w:numFmt w:val="decimal"/>
      <w:lvlText w:val=""/>
      <w:lvlJc w:val="left"/>
    </w:lvl>
    <w:lvl w:ilvl="4" w:tplc="04429ACE">
      <w:numFmt w:val="decimal"/>
      <w:lvlText w:val=""/>
      <w:lvlJc w:val="left"/>
    </w:lvl>
    <w:lvl w:ilvl="5" w:tplc="3EAA62F4">
      <w:numFmt w:val="decimal"/>
      <w:lvlText w:val=""/>
      <w:lvlJc w:val="left"/>
    </w:lvl>
    <w:lvl w:ilvl="6" w:tplc="BA0280FA">
      <w:numFmt w:val="decimal"/>
      <w:lvlText w:val=""/>
      <w:lvlJc w:val="left"/>
    </w:lvl>
    <w:lvl w:ilvl="7" w:tplc="6CC8C896">
      <w:numFmt w:val="decimal"/>
      <w:lvlText w:val=""/>
      <w:lvlJc w:val="left"/>
    </w:lvl>
    <w:lvl w:ilvl="8" w:tplc="9924666C">
      <w:numFmt w:val="decimal"/>
      <w:lvlText w:val=""/>
      <w:lvlJc w:val="left"/>
    </w:lvl>
  </w:abstractNum>
  <w:abstractNum w:abstractNumId="373" w15:restartNumberingAfterBreak="0">
    <w:nsid w:val="00003325"/>
    <w:multiLevelType w:val="hybridMultilevel"/>
    <w:tmpl w:val="84426CEE"/>
    <w:lvl w:ilvl="0" w:tplc="81342DC0">
      <w:start w:val="1"/>
      <w:numFmt w:val="decimal"/>
      <w:lvlText w:val="%1"/>
      <w:lvlJc w:val="left"/>
    </w:lvl>
    <w:lvl w:ilvl="1" w:tplc="AEC0B0C2">
      <w:start w:val="1"/>
      <w:numFmt w:val="lowerLetter"/>
      <w:lvlText w:val="%2"/>
      <w:lvlJc w:val="left"/>
    </w:lvl>
    <w:lvl w:ilvl="2" w:tplc="8D56A9A8">
      <w:start w:val="310"/>
      <w:numFmt w:val="decimal"/>
      <w:lvlText w:val="%3"/>
      <w:lvlJc w:val="left"/>
    </w:lvl>
    <w:lvl w:ilvl="3" w:tplc="3768F7AC">
      <w:start w:val="1"/>
      <w:numFmt w:val="lowerLetter"/>
      <w:lvlText w:val="%4."/>
      <w:lvlJc w:val="left"/>
    </w:lvl>
    <w:lvl w:ilvl="4" w:tplc="074A2318">
      <w:start w:val="1"/>
      <w:numFmt w:val="lowerRoman"/>
      <w:lvlText w:val="%5"/>
      <w:lvlJc w:val="left"/>
    </w:lvl>
    <w:lvl w:ilvl="5" w:tplc="CE4610DA">
      <w:numFmt w:val="decimal"/>
      <w:lvlText w:val=""/>
      <w:lvlJc w:val="left"/>
    </w:lvl>
    <w:lvl w:ilvl="6" w:tplc="EFAC4242">
      <w:numFmt w:val="decimal"/>
      <w:lvlText w:val=""/>
      <w:lvlJc w:val="left"/>
    </w:lvl>
    <w:lvl w:ilvl="7" w:tplc="3F2A8988">
      <w:numFmt w:val="decimal"/>
      <w:lvlText w:val=""/>
      <w:lvlJc w:val="left"/>
    </w:lvl>
    <w:lvl w:ilvl="8" w:tplc="C8DC23DE">
      <w:numFmt w:val="decimal"/>
      <w:lvlText w:val=""/>
      <w:lvlJc w:val="left"/>
    </w:lvl>
  </w:abstractNum>
  <w:abstractNum w:abstractNumId="374" w15:restartNumberingAfterBreak="0">
    <w:nsid w:val="0000339A"/>
    <w:multiLevelType w:val="hybridMultilevel"/>
    <w:tmpl w:val="ED08CC46"/>
    <w:lvl w:ilvl="0" w:tplc="1CF41DB4">
      <w:start w:val="8"/>
      <w:numFmt w:val="decimal"/>
      <w:lvlText w:val="(%1)"/>
      <w:lvlJc w:val="left"/>
    </w:lvl>
    <w:lvl w:ilvl="1" w:tplc="E15C34FC">
      <w:start w:val="1"/>
      <w:numFmt w:val="lowerLetter"/>
      <w:lvlText w:val="(%2)"/>
      <w:lvlJc w:val="left"/>
    </w:lvl>
    <w:lvl w:ilvl="2" w:tplc="01D235C4">
      <w:start w:val="1"/>
      <w:numFmt w:val="decimal"/>
      <w:lvlText w:val="%3."/>
      <w:lvlJc w:val="left"/>
    </w:lvl>
    <w:lvl w:ilvl="3" w:tplc="ED687822">
      <w:start w:val="1"/>
      <w:numFmt w:val="lowerLetter"/>
      <w:lvlText w:val="%4"/>
      <w:lvlJc w:val="left"/>
    </w:lvl>
    <w:lvl w:ilvl="4" w:tplc="4C44255C">
      <w:numFmt w:val="decimal"/>
      <w:lvlText w:val=""/>
      <w:lvlJc w:val="left"/>
    </w:lvl>
    <w:lvl w:ilvl="5" w:tplc="A380E95E">
      <w:numFmt w:val="decimal"/>
      <w:lvlText w:val=""/>
      <w:lvlJc w:val="left"/>
    </w:lvl>
    <w:lvl w:ilvl="6" w:tplc="63DC6666">
      <w:numFmt w:val="decimal"/>
      <w:lvlText w:val=""/>
      <w:lvlJc w:val="left"/>
    </w:lvl>
    <w:lvl w:ilvl="7" w:tplc="F0349156">
      <w:numFmt w:val="decimal"/>
      <w:lvlText w:val=""/>
      <w:lvlJc w:val="left"/>
    </w:lvl>
    <w:lvl w:ilvl="8" w:tplc="0B88D65E">
      <w:numFmt w:val="decimal"/>
      <w:lvlText w:val=""/>
      <w:lvlJc w:val="left"/>
    </w:lvl>
  </w:abstractNum>
  <w:abstractNum w:abstractNumId="375" w15:restartNumberingAfterBreak="0">
    <w:nsid w:val="000033B2"/>
    <w:multiLevelType w:val="hybridMultilevel"/>
    <w:tmpl w:val="E9C8334A"/>
    <w:lvl w:ilvl="0" w:tplc="18CEDDC6">
      <w:start w:val="1"/>
      <w:numFmt w:val="decimal"/>
      <w:lvlText w:val="%1"/>
      <w:lvlJc w:val="left"/>
    </w:lvl>
    <w:lvl w:ilvl="1" w:tplc="999A1718">
      <w:start w:val="1"/>
      <w:numFmt w:val="lowerLetter"/>
      <w:lvlText w:val="%2"/>
      <w:lvlJc w:val="left"/>
    </w:lvl>
    <w:lvl w:ilvl="2" w:tplc="5720ED86">
      <w:start w:val="1"/>
      <w:numFmt w:val="decimal"/>
      <w:lvlText w:val="%3"/>
      <w:lvlJc w:val="left"/>
    </w:lvl>
    <w:lvl w:ilvl="3" w:tplc="B9F68FDC">
      <w:start w:val="1"/>
      <w:numFmt w:val="lowerLetter"/>
      <w:lvlText w:val="%4"/>
      <w:lvlJc w:val="left"/>
    </w:lvl>
    <w:lvl w:ilvl="4" w:tplc="550AFA44">
      <w:start w:val="3"/>
      <w:numFmt w:val="lowerRoman"/>
      <w:lvlText w:val="%5"/>
      <w:lvlJc w:val="left"/>
    </w:lvl>
    <w:lvl w:ilvl="5" w:tplc="9E384594">
      <w:numFmt w:val="decimal"/>
      <w:lvlText w:val=""/>
      <w:lvlJc w:val="left"/>
    </w:lvl>
    <w:lvl w:ilvl="6" w:tplc="8AEACBA0">
      <w:numFmt w:val="decimal"/>
      <w:lvlText w:val=""/>
      <w:lvlJc w:val="left"/>
    </w:lvl>
    <w:lvl w:ilvl="7" w:tplc="76761132">
      <w:numFmt w:val="decimal"/>
      <w:lvlText w:val=""/>
      <w:lvlJc w:val="left"/>
    </w:lvl>
    <w:lvl w:ilvl="8" w:tplc="1ABC1BAA">
      <w:numFmt w:val="decimal"/>
      <w:lvlText w:val=""/>
      <w:lvlJc w:val="left"/>
    </w:lvl>
  </w:abstractNum>
  <w:abstractNum w:abstractNumId="376" w15:restartNumberingAfterBreak="0">
    <w:nsid w:val="000033CE"/>
    <w:multiLevelType w:val="hybridMultilevel"/>
    <w:tmpl w:val="A0F0BB4C"/>
    <w:lvl w:ilvl="0" w:tplc="CC5ECFDE">
      <w:start w:val="4"/>
      <w:numFmt w:val="lowerRoman"/>
      <w:lvlText w:val="%1."/>
      <w:lvlJc w:val="left"/>
    </w:lvl>
    <w:lvl w:ilvl="1" w:tplc="36E08456">
      <w:numFmt w:val="decimal"/>
      <w:lvlText w:val=""/>
      <w:lvlJc w:val="left"/>
    </w:lvl>
    <w:lvl w:ilvl="2" w:tplc="3D344534">
      <w:numFmt w:val="decimal"/>
      <w:lvlText w:val=""/>
      <w:lvlJc w:val="left"/>
    </w:lvl>
    <w:lvl w:ilvl="3" w:tplc="46082798">
      <w:numFmt w:val="decimal"/>
      <w:lvlText w:val=""/>
      <w:lvlJc w:val="left"/>
    </w:lvl>
    <w:lvl w:ilvl="4" w:tplc="673E1642">
      <w:numFmt w:val="decimal"/>
      <w:lvlText w:val=""/>
      <w:lvlJc w:val="left"/>
    </w:lvl>
    <w:lvl w:ilvl="5" w:tplc="20B63BD6">
      <w:numFmt w:val="decimal"/>
      <w:lvlText w:val=""/>
      <w:lvlJc w:val="left"/>
    </w:lvl>
    <w:lvl w:ilvl="6" w:tplc="07883172">
      <w:numFmt w:val="decimal"/>
      <w:lvlText w:val=""/>
      <w:lvlJc w:val="left"/>
    </w:lvl>
    <w:lvl w:ilvl="7" w:tplc="313C1088">
      <w:numFmt w:val="decimal"/>
      <w:lvlText w:val=""/>
      <w:lvlJc w:val="left"/>
    </w:lvl>
    <w:lvl w:ilvl="8" w:tplc="6E2E4A0C">
      <w:numFmt w:val="decimal"/>
      <w:lvlText w:val=""/>
      <w:lvlJc w:val="left"/>
    </w:lvl>
  </w:abstractNum>
  <w:abstractNum w:abstractNumId="377" w15:restartNumberingAfterBreak="0">
    <w:nsid w:val="000033E9"/>
    <w:multiLevelType w:val="hybridMultilevel"/>
    <w:tmpl w:val="13CE11CC"/>
    <w:lvl w:ilvl="0" w:tplc="39F253F8">
      <w:start w:val="7"/>
      <w:numFmt w:val="decimal"/>
      <w:lvlText w:val="(%1)"/>
      <w:lvlJc w:val="left"/>
    </w:lvl>
    <w:lvl w:ilvl="1" w:tplc="C860C286">
      <w:start w:val="1"/>
      <w:numFmt w:val="lowerLetter"/>
      <w:lvlText w:val="(%2)"/>
      <w:lvlJc w:val="left"/>
    </w:lvl>
    <w:lvl w:ilvl="2" w:tplc="05947DCE">
      <w:start w:val="1"/>
      <w:numFmt w:val="decimal"/>
      <w:lvlText w:val="%3."/>
      <w:lvlJc w:val="left"/>
    </w:lvl>
    <w:lvl w:ilvl="3" w:tplc="EC8C4B80">
      <w:numFmt w:val="decimal"/>
      <w:lvlText w:val=""/>
      <w:lvlJc w:val="left"/>
    </w:lvl>
    <w:lvl w:ilvl="4" w:tplc="CE80C11C">
      <w:numFmt w:val="decimal"/>
      <w:lvlText w:val=""/>
      <w:lvlJc w:val="left"/>
    </w:lvl>
    <w:lvl w:ilvl="5" w:tplc="039A8264">
      <w:numFmt w:val="decimal"/>
      <w:lvlText w:val=""/>
      <w:lvlJc w:val="left"/>
    </w:lvl>
    <w:lvl w:ilvl="6" w:tplc="A760BFC6">
      <w:numFmt w:val="decimal"/>
      <w:lvlText w:val=""/>
      <w:lvlJc w:val="left"/>
    </w:lvl>
    <w:lvl w:ilvl="7" w:tplc="A776051A">
      <w:numFmt w:val="decimal"/>
      <w:lvlText w:val=""/>
      <w:lvlJc w:val="left"/>
    </w:lvl>
    <w:lvl w:ilvl="8" w:tplc="EF72A0EA">
      <w:numFmt w:val="decimal"/>
      <w:lvlText w:val=""/>
      <w:lvlJc w:val="left"/>
    </w:lvl>
  </w:abstractNum>
  <w:abstractNum w:abstractNumId="378" w15:restartNumberingAfterBreak="0">
    <w:nsid w:val="00003412"/>
    <w:multiLevelType w:val="hybridMultilevel"/>
    <w:tmpl w:val="F7ECB1F0"/>
    <w:lvl w:ilvl="0" w:tplc="F46EAB96">
      <w:start w:val="1"/>
      <w:numFmt w:val="decimal"/>
      <w:lvlText w:val="%1"/>
      <w:lvlJc w:val="left"/>
    </w:lvl>
    <w:lvl w:ilvl="1" w:tplc="40FC9700">
      <w:start w:val="4"/>
      <w:numFmt w:val="lowerLetter"/>
      <w:lvlText w:val="(%2)"/>
      <w:lvlJc w:val="left"/>
    </w:lvl>
    <w:lvl w:ilvl="2" w:tplc="576EAC02">
      <w:numFmt w:val="decimal"/>
      <w:lvlText w:val=""/>
      <w:lvlJc w:val="left"/>
    </w:lvl>
    <w:lvl w:ilvl="3" w:tplc="63DECD54">
      <w:numFmt w:val="decimal"/>
      <w:lvlText w:val=""/>
      <w:lvlJc w:val="left"/>
    </w:lvl>
    <w:lvl w:ilvl="4" w:tplc="A5EA8154">
      <w:numFmt w:val="decimal"/>
      <w:lvlText w:val=""/>
      <w:lvlJc w:val="left"/>
    </w:lvl>
    <w:lvl w:ilvl="5" w:tplc="FDCE4FB4">
      <w:numFmt w:val="decimal"/>
      <w:lvlText w:val=""/>
      <w:lvlJc w:val="left"/>
    </w:lvl>
    <w:lvl w:ilvl="6" w:tplc="2B362CD2">
      <w:numFmt w:val="decimal"/>
      <w:lvlText w:val=""/>
      <w:lvlJc w:val="left"/>
    </w:lvl>
    <w:lvl w:ilvl="7" w:tplc="D8E8DDC4">
      <w:numFmt w:val="decimal"/>
      <w:lvlText w:val=""/>
      <w:lvlJc w:val="left"/>
    </w:lvl>
    <w:lvl w:ilvl="8" w:tplc="477CD4C0">
      <w:numFmt w:val="decimal"/>
      <w:lvlText w:val=""/>
      <w:lvlJc w:val="left"/>
    </w:lvl>
  </w:abstractNum>
  <w:abstractNum w:abstractNumId="379" w15:restartNumberingAfterBreak="0">
    <w:nsid w:val="00003419"/>
    <w:multiLevelType w:val="hybridMultilevel"/>
    <w:tmpl w:val="A2542058"/>
    <w:lvl w:ilvl="0" w:tplc="105E3ACC">
      <w:start w:val="2"/>
      <w:numFmt w:val="lowerLetter"/>
      <w:lvlText w:val="(%1)"/>
      <w:lvlJc w:val="left"/>
    </w:lvl>
    <w:lvl w:ilvl="1" w:tplc="FBDE2D3E">
      <w:start w:val="1"/>
      <w:numFmt w:val="decimal"/>
      <w:lvlText w:val="%2."/>
      <w:lvlJc w:val="left"/>
    </w:lvl>
    <w:lvl w:ilvl="2" w:tplc="E85A5EE2">
      <w:start w:val="1"/>
      <w:numFmt w:val="lowerLetter"/>
      <w:lvlText w:val="%3"/>
      <w:lvlJc w:val="left"/>
    </w:lvl>
    <w:lvl w:ilvl="3" w:tplc="69020492">
      <w:numFmt w:val="decimal"/>
      <w:lvlText w:val=""/>
      <w:lvlJc w:val="left"/>
    </w:lvl>
    <w:lvl w:ilvl="4" w:tplc="B84A92D2">
      <w:numFmt w:val="decimal"/>
      <w:lvlText w:val=""/>
      <w:lvlJc w:val="left"/>
    </w:lvl>
    <w:lvl w:ilvl="5" w:tplc="FAC032DE">
      <w:numFmt w:val="decimal"/>
      <w:lvlText w:val=""/>
      <w:lvlJc w:val="left"/>
    </w:lvl>
    <w:lvl w:ilvl="6" w:tplc="C074D48C">
      <w:numFmt w:val="decimal"/>
      <w:lvlText w:val=""/>
      <w:lvlJc w:val="left"/>
    </w:lvl>
    <w:lvl w:ilvl="7" w:tplc="B66264BE">
      <w:numFmt w:val="decimal"/>
      <w:lvlText w:val=""/>
      <w:lvlJc w:val="left"/>
    </w:lvl>
    <w:lvl w:ilvl="8" w:tplc="308004E0">
      <w:numFmt w:val="decimal"/>
      <w:lvlText w:val=""/>
      <w:lvlJc w:val="left"/>
    </w:lvl>
  </w:abstractNum>
  <w:abstractNum w:abstractNumId="380" w15:restartNumberingAfterBreak="0">
    <w:nsid w:val="00003450"/>
    <w:multiLevelType w:val="hybridMultilevel"/>
    <w:tmpl w:val="07E4FF2C"/>
    <w:lvl w:ilvl="0" w:tplc="C0EA45AC">
      <w:start w:val="1"/>
      <w:numFmt w:val="decimal"/>
      <w:lvlText w:val="%1"/>
      <w:lvlJc w:val="left"/>
    </w:lvl>
    <w:lvl w:ilvl="1" w:tplc="6C60F842">
      <w:start w:val="5"/>
      <w:numFmt w:val="lowerLetter"/>
      <w:lvlText w:val="(%2)"/>
      <w:lvlJc w:val="left"/>
    </w:lvl>
    <w:lvl w:ilvl="2" w:tplc="B3F2FB7C">
      <w:start w:val="1"/>
      <w:numFmt w:val="decimal"/>
      <w:lvlText w:val="%3"/>
      <w:lvlJc w:val="left"/>
    </w:lvl>
    <w:lvl w:ilvl="3" w:tplc="816A3826">
      <w:start w:val="1"/>
      <w:numFmt w:val="lowerLetter"/>
      <w:lvlText w:val="%4"/>
      <w:lvlJc w:val="left"/>
    </w:lvl>
    <w:lvl w:ilvl="4" w:tplc="81C624FC">
      <w:numFmt w:val="decimal"/>
      <w:lvlText w:val=""/>
      <w:lvlJc w:val="left"/>
    </w:lvl>
    <w:lvl w:ilvl="5" w:tplc="39FA9200">
      <w:numFmt w:val="decimal"/>
      <w:lvlText w:val=""/>
      <w:lvlJc w:val="left"/>
    </w:lvl>
    <w:lvl w:ilvl="6" w:tplc="952AE940">
      <w:numFmt w:val="decimal"/>
      <w:lvlText w:val=""/>
      <w:lvlJc w:val="left"/>
    </w:lvl>
    <w:lvl w:ilvl="7" w:tplc="BF884302">
      <w:numFmt w:val="decimal"/>
      <w:lvlText w:val=""/>
      <w:lvlJc w:val="left"/>
    </w:lvl>
    <w:lvl w:ilvl="8" w:tplc="39A84F6A">
      <w:numFmt w:val="decimal"/>
      <w:lvlText w:val=""/>
      <w:lvlJc w:val="left"/>
    </w:lvl>
  </w:abstractNum>
  <w:abstractNum w:abstractNumId="381" w15:restartNumberingAfterBreak="0">
    <w:nsid w:val="00003474"/>
    <w:multiLevelType w:val="hybridMultilevel"/>
    <w:tmpl w:val="7D0EFF28"/>
    <w:lvl w:ilvl="0" w:tplc="36665024">
      <w:start w:val="7"/>
      <w:numFmt w:val="decimal"/>
      <w:lvlText w:val="(%1)"/>
      <w:lvlJc w:val="left"/>
    </w:lvl>
    <w:lvl w:ilvl="1" w:tplc="C95411FE">
      <w:start w:val="1"/>
      <w:numFmt w:val="lowerLetter"/>
      <w:lvlText w:val="(%2)"/>
      <w:lvlJc w:val="left"/>
    </w:lvl>
    <w:lvl w:ilvl="2" w:tplc="BA3C2AF6">
      <w:start w:val="1"/>
      <w:numFmt w:val="decimal"/>
      <w:lvlText w:val="%3."/>
      <w:lvlJc w:val="left"/>
    </w:lvl>
    <w:lvl w:ilvl="3" w:tplc="8A28B2DA">
      <w:start w:val="1"/>
      <w:numFmt w:val="lowerLetter"/>
      <w:lvlText w:val="%4"/>
      <w:lvlJc w:val="left"/>
    </w:lvl>
    <w:lvl w:ilvl="4" w:tplc="EF16D8FC">
      <w:numFmt w:val="decimal"/>
      <w:lvlText w:val=""/>
      <w:lvlJc w:val="left"/>
    </w:lvl>
    <w:lvl w:ilvl="5" w:tplc="C88AE4E0">
      <w:numFmt w:val="decimal"/>
      <w:lvlText w:val=""/>
      <w:lvlJc w:val="left"/>
    </w:lvl>
    <w:lvl w:ilvl="6" w:tplc="02FAAB52">
      <w:numFmt w:val="decimal"/>
      <w:lvlText w:val=""/>
      <w:lvlJc w:val="left"/>
    </w:lvl>
    <w:lvl w:ilvl="7" w:tplc="0F243470">
      <w:numFmt w:val="decimal"/>
      <w:lvlText w:val=""/>
      <w:lvlJc w:val="left"/>
    </w:lvl>
    <w:lvl w:ilvl="8" w:tplc="21CACE84">
      <w:numFmt w:val="decimal"/>
      <w:lvlText w:val=""/>
      <w:lvlJc w:val="left"/>
    </w:lvl>
  </w:abstractNum>
  <w:abstractNum w:abstractNumId="382" w15:restartNumberingAfterBreak="0">
    <w:nsid w:val="00003484"/>
    <w:multiLevelType w:val="hybridMultilevel"/>
    <w:tmpl w:val="0B6A5810"/>
    <w:lvl w:ilvl="0" w:tplc="CF8CB546">
      <w:start w:val="1"/>
      <w:numFmt w:val="decimal"/>
      <w:lvlText w:val="%1"/>
      <w:lvlJc w:val="left"/>
    </w:lvl>
    <w:lvl w:ilvl="1" w:tplc="CBB460FE">
      <w:start w:val="1"/>
      <w:numFmt w:val="lowerLetter"/>
      <w:lvlText w:val="%2"/>
      <w:lvlJc w:val="left"/>
    </w:lvl>
    <w:lvl w:ilvl="2" w:tplc="73924C86">
      <w:start w:val="1"/>
      <w:numFmt w:val="lowerRoman"/>
      <w:lvlText w:val="%3"/>
      <w:lvlJc w:val="left"/>
    </w:lvl>
    <w:lvl w:ilvl="3" w:tplc="2F460B22">
      <w:numFmt w:val="decimal"/>
      <w:lvlText w:val=""/>
      <w:lvlJc w:val="left"/>
    </w:lvl>
    <w:lvl w:ilvl="4" w:tplc="81EEF498">
      <w:numFmt w:val="decimal"/>
      <w:lvlText w:val=""/>
      <w:lvlJc w:val="left"/>
    </w:lvl>
    <w:lvl w:ilvl="5" w:tplc="26C0FF90">
      <w:numFmt w:val="decimal"/>
      <w:lvlText w:val=""/>
      <w:lvlJc w:val="left"/>
    </w:lvl>
    <w:lvl w:ilvl="6" w:tplc="F42034C4">
      <w:numFmt w:val="decimal"/>
      <w:lvlText w:val=""/>
      <w:lvlJc w:val="left"/>
    </w:lvl>
    <w:lvl w:ilvl="7" w:tplc="D416EB8E">
      <w:numFmt w:val="decimal"/>
      <w:lvlText w:val=""/>
      <w:lvlJc w:val="left"/>
    </w:lvl>
    <w:lvl w:ilvl="8" w:tplc="64129804">
      <w:numFmt w:val="decimal"/>
      <w:lvlText w:val=""/>
      <w:lvlJc w:val="left"/>
    </w:lvl>
  </w:abstractNum>
  <w:abstractNum w:abstractNumId="383" w15:restartNumberingAfterBreak="0">
    <w:nsid w:val="000034A4"/>
    <w:multiLevelType w:val="hybridMultilevel"/>
    <w:tmpl w:val="9BDCCA78"/>
    <w:lvl w:ilvl="0" w:tplc="EDBE5B76">
      <w:start w:val="1"/>
      <w:numFmt w:val="bullet"/>
      <w:lvlText w:val="*"/>
      <w:lvlJc w:val="left"/>
      <w:rPr>
        <w:vertAlign w:val="superscript"/>
      </w:rPr>
    </w:lvl>
    <w:lvl w:ilvl="1" w:tplc="7DCEEB12">
      <w:start w:val="4"/>
      <w:numFmt w:val="decimal"/>
      <w:lvlText w:val="%2."/>
      <w:lvlJc w:val="left"/>
    </w:lvl>
    <w:lvl w:ilvl="2" w:tplc="A48C0F52">
      <w:start w:val="1"/>
      <w:numFmt w:val="lowerLetter"/>
      <w:lvlText w:val="%3"/>
      <w:lvlJc w:val="left"/>
    </w:lvl>
    <w:lvl w:ilvl="3" w:tplc="11E4AC00">
      <w:start w:val="1"/>
      <w:numFmt w:val="lowerRoman"/>
      <w:lvlText w:val="%4."/>
      <w:lvlJc w:val="left"/>
    </w:lvl>
    <w:lvl w:ilvl="4" w:tplc="16C00C7A">
      <w:numFmt w:val="decimal"/>
      <w:lvlText w:val=""/>
      <w:lvlJc w:val="left"/>
    </w:lvl>
    <w:lvl w:ilvl="5" w:tplc="DFE04E38">
      <w:numFmt w:val="decimal"/>
      <w:lvlText w:val=""/>
      <w:lvlJc w:val="left"/>
    </w:lvl>
    <w:lvl w:ilvl="6" w:tplc="1910FCE2">
      <w:numFmt w:val="decimal"/>
      <w:lvlText w:val=""/>
      <w:lvlJc w:val="left"/>
    </w:lvl>
    <w:lvl w:ilvl="7" w:tplc="22F0D194">
      <w:numFmt w:val="decimal"/>
      <w:lvlText w:val=""/>
      <w:lvlJc w:val="left"/>
    </w:lvl>
    <w:lvl w:ilvl="8" w:tplc="A80AF08A">
      <w:numFmt w:val="decimal"/>
      <w:lvlText w:val=""/>
      <w:lvlJc w:val="left"/>
    </w:lvl>
  </w:abstractNum>
  <w:abstractNum w:abstractNumId="384" w15:restartNumberingAfterBreak="0">
    <w:nsid w:val="000034AF"/>
    <w:multiLevelType w:val="hybridMultilevel"/>
    <w:tmpl w:val="6378550C"/>
    <w:lvl w:ilvl="0" w:tplc="2ECA5376">
      <w:start w:val="1"/>
      <w:numFmt w:val="decimal"/>
      <w:lvlText w:val="%1"/>
      <w:lvlJc w:val="left"/>
    </w:lvl>
    <w:lvl w:ilvl="1" w:tplc="2CB4406C">
      <w:numFmt w:val="decimal"/>
      <w:lvlText w:val=""/>
      <w:lvlJc w:val="left"/>
    </w:lvl>
    <w:lvl w:ilvl="2" w:tplc="D31A1A24">
      <w:numFmt w:val="decimal"/>
      <w:lvlText w:val=""/>
      <w:lvlJc w:val="left"/>
    </w:lvl>
    <w:lvl w:ilvl="3" w:tplc="5136DEFE">
      <w:numFmt w:val="decimal"/>
      <w:lvlText w:val=""/>
      <w:lvlJc w:val="left"/>
    </w:lvl>
    <w:lvl w:ilvl="4" w:tplc="6F24314C">
      <w:numFmt w:val="decimal"/>
      <w:lvlText w:val=""/>
      <w:lvlJc w:val="left"/>
    </w:lvl>
    <w:lvl w:ilvl="5" w:tplc="B4E09168">
      <w:numFmt w:val="decimal"/>
      <w:lvlText w:val=""/>
      <w:lvlJc w:val="left"/>
    </w:lvl>
    <w:lvl w:ilvl="6" w:tplc="BAFCF084">
      <w:numFmt w:val="decimal"/>
      <w:lvlText w:val=""/>
      <w:lvlJc w:val="left"/>
    </w:lvl>
    <w:lvl w:ilvl="7" w:tplc="A6ACC354">
      <w:numFmt w:val="decimal"/>
      <w:lvlText w:val=""/>
      <w:lvlJc w:val="left"/>
    </w:lvl>
    <w:lvl w:ilvl="8" w:tplc="E72AD2D2">
      <w:numFmt w:val="decimal"/>
      <w:lvlText w:val=""/>
      <w:lvlJc w:val="left"/>
    </w:lvl>
  </w:abstractNum>
  <w:abstractNum w:abstractNumId="385" w15:restartNumberingAfterBreak="0">
    <w:nsid w:val="000034B1"/>
    <w:multiLevelType w:val="hybridMultilevel"/>
    <w:tmpl w:val="E9F03666"/>
    <w:lvl w:ilvl="0" w:tplc="47C0E3B6">
      <w:start w:val="1"/>
      <w:numFmt w:val="lowerLetter"/>
      <w:lvlText w:val="%1"/>
      <w:lvlJc w:val="left"/>
    </w:lvl>
    <w:lvl w:ilvl="1" w:tplc="59CC4B84">
      <w:start w:val="11"/>
      <w:numFmt w:val="decimal"/>
      <w:lvlText w:val="%2."/>
      <w:lvlJc w:val="left"/>
    </w:lvl>
    <w:lvl w:ilvl="2" w:tplc="63A4E89C">
      <w:start w:val="1"/>
      <w:numFmt w:val="lowerLetter"/>
      <w:lvlText w:val="%3"/>
      <w:lvlJc w:val="left"/>
    </w:lvl>
    <w:lvl w:ilvl="3" w:tplc="4A1221DE">
      <w:numFmt w:val="decimal"/>
      <w:lvlText w:val=""/>
      <w:lvlJc w:val="left"/>
    </w:lvl>
    <w:lvl w:ilvl="4" w:tplc="C1207CAA">
      <w:numFmt w:val="decimal"/>
      <w:lvlText w:val=""/>
      <w:lvlJc w:val="left"/>
    </w:lvl>
    <w:lvl w:ilvl="5" w:tplc="E818638A">
      <w:numFmt w:val="decimal"/>
      <w:lvlText w:val=""/>
      <w:lvlJc w:val="left"/>
    </w:lvl>
    <w:lvl w:ilvl="6" w:tplc="0F22F4F8">
      <w:numFmt w:val="decimal"/>
      <w:lvlText w:val=""/>
      <w:lvlJc w:val="left"/>
    </w:lvl>
    <w:lvl w:ilvl="7" w:tplc="8414816E">
      <w:numFmt w:val="decimal"/>
      <w:lvlText w:val=""/>
      <w:lvlJc w:val="left"/>
    </w:lvl>
    <w:lvl w:ilvl="8" w:tplc="BA62E866">
      <w:numFmt w:val="decimal"/>
      <w:lvlText w:val=""/>
      <w:lvlJc w:val="left"/>
    </w:lvl>
  </w:abstractNum>
  <w:abstractNum w:abstractNumId="386" w15:restartNumberingAfterBreak="0">
    <w:nsid w:val="000034C5"/>
    <w:multiLevelType w:val="hybridMultilevel"/>
    <w:tmpl w:val="3A52B02C"/>
    <w:lvl w:ilvl="0" w:tplc="18164418">
      <w:start w:val="1"/>
      <w:numFmt w:val="decimal"/>
      <w:lvlText w:val="%1"/>
      <w:lvlJc w:val="left"/>
    </w:lvl>
    <w:lvl w:ilvl="1" w:tplc="D31EE4BC">
      <w:start w:val="1"/>
      <w:numFmt w:val="lowerLetter"/>
      <w:lvlText w:val="%2"/>
      <w:lvlJc w:val="left"/>
    </w:lvl>
    <w:lvl w:ilvl="2" w:tplc="B39871C0">
      <w:start w:val="3"/>
      <w:numFmt w:val="decimal"/>
      <w:lvlText w:val="%3."/>
      <w:lvlJc w:val="left"/>
    </w:lvl>
    <w:lvl w:ilvl="3" w:tplc="3EB05FF6">
      <w:start w:val="1"/>
      <w:numFmt w:val="lowerLetter"/>
      <w:lvlText w:val="%4."/>
      <w:lvlJc w:val="left"/>
    </w:lvl>
    <w:lvl w:ilvl="4" w:tplc="B352F318">
      <w:numFmt w:val="decimal"/>
      <w:lvlText w:val=""/>
      <w:lvlJc w:val="left"/>
    </w:lvl>
    <w:lvl w:ilvl="5" w:tplc="5EEE4E24">
      <w:numFmt w:val="decimal"/>
      <w:lvlText w:val=""/>
      <w:lvlJc w:val="left"/>
    </w:lvl>
    <w:lvl w:ilvl="6" w:tplc="2BCC787A">
      <w:numFmt w:val="decimal"/>
      <w:lvlText w:val=""/>
      <w:lvlJc w:val="left"/>
    </w:lvl>
    <w:lvl w:ilvl="7" w:tplc="72FA7D08">
      <w:numFmt w:val="decimal"/>
      <w:lvlText w:val=""/>
      <w:lvlJc w:val="left"/>
    </w:lvl>
    <w:lvl w:ilvl="8" w:tplc="379A70AA">
      <w:numFmt w:val="decimal"/>
      <w:lvlText w:val=""/>
      <w:lvlJc w:val="left"/>
    </w:lvl>
  </w:abstractNum>
  <w:abstractNum w:abstractNumId="387" w15:restartNumberingAfterBreak="0">
    <w:nsid w:val="000034D5"/>
    <w:multiLevelType w:val="hybridMultilevel"/>
    <w:tmpl w:val="80C221FC"/>
    <w:lvl w:ilvl="0" w:tplc="47449260">
      <w:start w:val="1"/>
      <w:numFmt w:val="decimal"/>
      <w:lvlText w:val="%1"/>
      <w:lvlJc w:val="left"/>
    </w:lvl>
    <w:lvl w:ilvl="1" w:tplc="04629E3E">
      <w:start w:val="1"/>
      <w:numFmt w:val="lowerLetter"/>
      <w:lvlText w:val="%2"/>
      <w:lvlJc w:val="left"/>
    </w:lvl>
    <w:lvl w:ilvl="2" w:tplc="58A665EE">
      <w:start w:val="6"/>
      <w:numFmt w:val="decimal"/>
      <w:lvlText w:val="%3."/>
      <w:lvlJc w:val="left"/>
    </w:lvl>
    <w:lvl w:ilvl="3" w:tplc="C7CEE1BC">
      <w:numFmt w:val="decimal"/>
      <w:lvlText w:val=""/>
      <w:lvlJc w:val="left"/>
    </w:lvl>
    <w:lvl w:ilvl="4" w:tplc="ADE48E06">
      <w:numFmt w:val="decimal"/>
      <w:lvlText w:val=""/>
      <w:lvlJc w:val="left"/>
    </w:lvl>
    <w:lvl w:ilvl="5" w:tplc="EF181EF6">
      <w:numFmt w:val="decimal"/>
      <w:lvlText w:val=""/>
      <w:lvlJc w:val="left"/>
    </w:lvl>
    <w:lvl w:ilvl="6" w:tplc="0E94BE8A">
      <w:numFmt w:val="decimal"/>
      <w:lvlText w:val=""/>
      <w:lvlJc w:val="left"/>
    </w:lvl>
    <w:lvl w:ilvl="7" w:tplc="6B02B59C">
      <w:numFmt w:val="decimal"/>
      <w:lvlText w:val=""/>
      <w:lvlJc w:val="left"/>
    </w:lvl>
    <w:lvl w:ilvl="8" w:tplc="AFC842F6">
      <w:numFmt w:val="decimal"/>
      <w:lvlText w:val=""/>
      <w:lvlJc w:val="left"/>
    </w:lvl>
  </w:abstractNum>
  <w:abstractNum w:abstractNumId="388" w15:restartNumberingAfterBreak="0">
    <w:nsid w:val="000034F7"/>
    <w:multiLevelType w:val="hybridMultilevel"/>
    <w:tmpl w:val="27DC8DD2"/>
    <w:lvl w:ilvl="0" w:tplc="3C38874C">
      <w:start w:val="1"/>
      <w:numFmt w:val="decimal"/>
      <w:lvlText w:val="%1"/>
      <w:lvlJc w:val="left"/>
    </w:lvl>
    <w:lvl w:ilvl="1" w:tplc="D5EEB070">
      <w:numFmt w:val="decimal"/>
      <w:lvlText w:val=""/>
      <w:lvlJc w:val="left"/>
    </w:lvl>
    <w:lvl w:ilvl="2" w:tplc="26445E34">
      <w:numFmt w:val="decimal"/>
      <w:lvlText w:val=""/>
      <w:lvlJc w:val="left"/>
    </w:lvl>
    <w:lvl w:ilvl="3" w:tplc="44D28A1A">
      <w:numFmt w:val="decimal"/>
      <w:lvlText w:val=""/>
      <w:lvlJc w:val="left"/>
    </w:lvl>
    <w:lvl w:ilvl="4" w:tplc="6D106972">
      <w:numFmt w:val="decimal"/>
      <w:lvlText w:val=""/>
      <w:lvlJc w:val="left"/>
    </w:lvl>
    <w:lvl w:ilvl="5" w:tplc="91504C24">
      <w:numFmt w:val="decimal"/>
      <w:lvlText w:val=""/>
      <w:lvlJc w:val="left"/>
    </w:lvl>
    <w:lvl w:ilvl="6" w:tplc="6D4C959A">
      <w:numFmt w:val="decimal"/>
      <w:lvlText w:val=""/>
      <w:lvlJc w:val="left"/>
    </w:lvl>
    <w:lvl w:ilvl="7" w:tplc="D7E03A02">
      <w:numFmt w:val="decimal"/>
      <w:lvlText w:val=""/>
      <w:lvlJc w:val="left"/>
    </w:lvl>
    <w:lvl w:ilvl="8" w:tplc="AA3A18CA">
      <w:numFmt w:val="decimal"/>
      <w:lvlText w:val=""/>
      <w:lvlJc w:val="left"/>
    </w:lvl>
  </w:abstractNum>
  <w:abstractNum w:abstractNumId="389" w15:restartNumberingAfterBreak="0">
    <w:nsid w:val="0000350A"/>
    <w:multiLevelType w:val="hybridMultilevel"/>
    <w:tmpl w:val="9476FEC6"/>
    <w:lvl w:ilvl="0" w:tplc="7C66B9D2">
      <w:start w:val="1"/>
      <w:numFmt w:val="decimal"/>
      <w:lvlText w:val="%1"/>
      <w:lvlJc w:val="left"/>
    </w:lvl>
    <w:lvl w:ilvl="1" w:tplc="6322AE7C">
      <w:numFmt w:val="decimal"/>
      <w:lvlText w:val=""/>
      <w:lvlJc w:val="left"/>
    </w:lvl>
    <w:lvl w:ilvl="2" w:tplc="57805700">
      <w:numFmt w:val="decimal"/>
      <w:lvlText w:val=""/>
      <w:lvlJc w:val="left"/>
    </w:lvl>
    <w:lvl w:ilvl="3" w:tplc="FEC8DE48">
      <w:numFmt w:val="decimal"/>
      <w:lvlText w:val=""/>
      <w:lvlJc w:val="left"/>
    </w:lvl>
    <w:lvl w:ilvl="4" w:tplc="16FC0F52">
      <w:numFmt w:val="decimal"/>
      <w:lvlText w:val=""/>
      <w:lvlJc w:val="left"/>
    </w:lvl>
    <w:lvl w:ilvl="5" w:tplc="14F8BD8A">
      <w:numFmt w:val="decimal"/>
      <w:lvlText w:val=""/>
      <w:lvlJc w:val="left"/>
    </w:lvl>
    <w:lvl w:ilvl="6" w:tplc="E39ED0B2">
      <w:numFmt w:val="decimal"/>
      <w:lvlText w:val=""/>
      <w:lvlJc w:val="left"/>
    </w:lvl>
    <w:lvl w:ilvl="7" w:tplc="D28E445C">
      <w:numFmt w:val="decimal"/>
      <w:lvlText w:val=""/>
      <w:lvlJc w:val="left"/>
    </w:lvl>
    <w:lvl w:ilvl="8" w:tplc="E3D4BC5E">
      <w:numFmt w:val="decimal"/>
      <w:lvlText w:val=""/>
      <w:lvlJc w:val="left"/>
    </w:lvl>
  </w:abstractNum>
  <w:abstractNum w:abstractNumId="390" w15:restartNumberingAfterBreak="0">
    <w:nsid w:val="0000350B"/>
    <w:multiLevelType w:val="hybridMultilevel"/>
    <w:tmpl w:val="6F5A2A24"/>
    <w:lvl w:ilvl="0" w:tplc="044A063E">
      <w:start w:val="3"/>
      <w:numFmt w:val="lowerLetter"/>
      <w:lvlText w:val="(%1)"/>
      <w:lvlJc w:val="left"/>
    </w:lvl>
    <w:lvl w:ilvl="1" w:tplc="EF9E25EA">
      <w:numFmt w:val="decimal"/>
      <w:lvlText w:val=""/>
      <w:lvlJc w:val="left"/>
    </w:lvl>
    <w:lvl w:ilvl="2" w:tplc="DFB6055C">
      <w:numFmt w:val="decimal"/>
      <w:lvlText w:val=""/>
      <w:lvlJc w:val="left"/>
    </w:lvl>
    <w:lvl w:ilvl="3" w:tplc="0BFAEA1E">
      <w:numFmt w:val="decimal"/>
      <w:lvlText w:val=""/>
      <w:lvlJc w:val="left"/>
    </w:lvl>
    <w:lvl w:ilvl="4" w:tplc="2196C32A">
      <w:numFmt w:val="decimal"/>
      <w:lvlText w:val=""/>
      <w:lvlJc w:val="left"/>
    </w:lvl>
    <w:lvl w:ilvl="5" w:tplc="C2F4B330">
      <w:numFmt w:val="decimal"/>
      <w:lvlText w:val=""/>
      <w:lvlJc w:val="left"/>
    </w:lvl>
    <w:lvl w:ilvl="6" w:tplc="B6208AE6">
      <w:numFmt w:val="decimal"/>
      <w:lvlText w:val=""/>
      <w:lvlJc w:val="left"/>
    </w:lvl>
    <w:lvl w:ilvl="7" w:tplc="1ED08B0C">
      <w:numFmt w:val="decimal"/>
      <w:lvlText w:val=""/>
      <w:lvlJc w:val="left"/>
    </w:lvl>
    <w:lvl w:ilvl="8" w:tplc="DC8CAB32">
      <w:numFmt w:val="decimal"/>
      <w:lvlText w:val=""/>
      <w:lvlJc w:val="left"/>
    </w:lvl>
  </w:abstractNum>
  <w:abstractNum w:abstractNumId="391" w15:restartNumberingAfterBreak="0">
    <w:nsid w:val="0000351D"/>
    <w:multiLevelType w:val="hybridMultilevel"/>
    <w:tmpl w:val="4C3E4FBE"/>
    <w:lvl w:ilvl="0" w:tplc="C3FEA19E">
      <w:start w:val="5"/>
      <w:numFmt w:val="decimal"/>
      <w:lvlText w:val="%1."/>
      <w:lvlJc w:val="left"/>
    </w:lvl>
    <w:lvl w:ilvl="1" w:tplc="BE10E1FE">
      <w:start w:val="1"/>
      <w:numFmt w:val="lowerLetter"/>
      <w:lvlText w:val="%2."/>
      <w:lvlJc w:val="left"/>
    </w:lvl>
    <w:lvl w:ilvl="2" w:tplc="7878326C">
      <w:numFmt w:val="decimal"/>
      <w:lvlText w:val=""/>
      <w:lvlJc w:val="left"/>
    </w:lvl>
    <w:lvl w:ilvl="3" w:tplc="C2549336">
      <w:numFmt w:val="decimal"/>
      <w:lvlText w:val=""/>
      <w:lvlJc w:val="left"/>
    </w:lvl>
    <w:lvl w:ilvl="4" w:tplc="23723948">
      <w:numFmt w:val="decimal"/>
      <w:lvlText w:val=""/>
      <w:lvlJc w:val="left"/>
    </w:lvl>
    <w:lvl w:ilvl="5" w:tplc="ECD074CE">
      <w:numFmt w:val="decimal"/>
      <w:lvlText w:val=""/>
      <w:lvlJc w:val="left"/>
    </w:lvl>
    <w:lvl w:ilvl="6" w:tplc="708AFC9A">
      <w:numFmt w:val="decimal"/>
      <w:lvlText w:val=""/>
      <w:lvlJc w:val="left"/>
    </w:lvl>
    <w:lvl w:ilvl="7" w:tplc="51467852">
      <w:numFmt w:val="decimal"/>
      <w:lvlText w:val=""/>
      <w:lvlJc w:val="left"/>
    </w:lvl>
    <w:lvl w:ilvl="8" w:tplc="3F540CEC">
      <w:numFmt w:val="decimal"/>
      <w:lvlText w:val=""/>
      <w:lvlJc w:val="left"/>
    </w:lvl>
  </w:abstractNum>
  <w:abstractNum w:abstractNumId="392" w15:restartNumberingAfterBreak="0">
    <w:nsid w:val="00003528"/>
    <w:multiLevelType w:val="hybridMultilevel"/>
    <w:tmpl w:val="5530808A"/>
    <w:lvl w:ilvl="0" w:tplc="C7C8FB52">
      <w:start w:val="8"/>
      <w:numFmt w:val="decimal"/>
      <w:lvlText w:val="(%1)"/>
      <w:lvlJc w:val="left"/>
    </w:lvl>
    <w:lvl w:ilvl="1" w:tplc="43CAEDDC">
      <w:start w:val="1"/>
      <w:numFmt w:val="lowerLetter"/>
      <w:lvlText w:val="(%2)"/>
      <w:lvlJc w:val="left"/>
    </w:lvl>
    <w:lvl w:ilvl="2" w:tplc="D7149BE6">
      <w:start w:val="1"/>
      <w:numFmt w:val="decimal"/>
      <w:lvlText w:val="%3."/>
      <w:lvlJc w:val="left"/>
    </w:lvl>
    <w:lvl w:ilvl="3" w:tplc="68F2A23E">
      <w:numFmt w:val="decimal"/>
      <w:lvlText w:val=""/>
      <w:lvlJc w:val="left"/>
    </w:lvl>
    <w:lvl w:ilvl="4" w:tplc="A1BE7CF4">
      <w:numFmt w:val="decimal"/>
      <w:lvlText w:val=""/>
      <w:lvlJc w:val="left"/>
    </w:lvl>
    <w:lvl w:ilvl="5" w:tplc="372C1C04">
      <w:numFmt w:val="decimal"/>
      <w:lvlText w:val=""/>
      <w:lvlJc w:val="left"/>
    </w:lvl>
    <w:lvl w:ilvl="6" w:tplc="4E36EBAE">
      <w:numFmt w:val="decimal"/>
      <w:lvlText w:val=""/>
      <w:lvlJc w:val="left"/>
    </w:lvl>
    <w:lvl w:ilvl="7" w:tplc="2BC4786A">
      <w:numFmt w:val="decimal"/>
      <w:lvlText w:val=""/>
      <w:lvlJc w:val="left"/>
    </w:lvl>
    <w:lvl w:ilvl="8" w:tplc="FC12F622">
      <w:numFmt w:val="decimal"/>
      <w:lvlText w:val=""/>
      <w:lvlJc w:val="left"/>
    </w:lvl>
  </w:abstractNum>
  <w:abstractNum w:abstractNumId="393" w15:restartNumberingAfterBreak="0">
    <w:nsid w:val="00003590"/>
    <w:multiLevelType w:val="hybridMultilevel"/>
    <w:tmpl w:val="09344D84"/>
    <w:lvl w:ilvl="0" w:tplc="26282024">
      <w:start w:val="1"/>
      <w:numFmt w:val="decimal"/>
      <w:lvlText w:val="%1"/>
      <w:lvlJc w:val="left"/>
    </w:lvl>
    <w:lvl w:ilvl="1" w:tplc="49ACC5DC">
      <w:start w:val="1"/>
      <w:numFmt w:val="lowerLetter"/>
      <w:lvlText w:val="%2"/>
      <w:lvlJc w:val="left"/>
    </w:lvl>
    <w:lvl w:ilvl="2" w:tplc="0576DBC4">
      <w:start w:val="2"/>
      <w:numFmt w:val="decimal"/>
      <w:lvlText w:val="%3."/>
      <w:lvlJc w:val="left"/>
    </w:lvl>
    <w:lvl w:ilvl="3" w:tplc="71206684">
      <w:numFmt w:val="decimal"/>
      <w:lvlText w:val=""/>
      <w:lvlJc w:val="left"/>
    </w:lvl>
    <w:lvl w:ilvl="4" w:tplc="46D0E544">
      <w:numFmt w:val="decimal"/>
      <w:lvlText w:val=""/>
      <w:lvlJc w:val="left"/>
    </w:lvl>
    <w:lvl w:ilvl="5" w:tplc="0E089808">
      <w:numFmt w:val="decimal"/>
      <w:lvlText w:val=""/>
      <w:lvlJc w:val="left"/>
    </w:lvl>
    <w:lvl w:ilvl="6" w:tplc="E8F218D2">
      <w:numFmt w:val="decimal"/>
      <w:lvlText w:val=""/>
      <w:lvlJc w:val="left"/>
    </w:lvl>
    <w:lvl w:ilvl="7" w:tplc="A5506A42">
      <w:numFmt w:val="decimal"/>
      <w:lvlText w:val=""/>
      <w:lvlJc w:val="left"/>
    </w:lvl>
    <w:lvl w:ilvl="8" w:tplc="CB9E0558">
      <w:numFmt w:val="decimal"/>
      <w:lvlText w:val=""/>
      <w:lvlJc w:val="left"/>
    </w:lvl>
  </w:abstractNum>
  <w:abstractNum w:abstractNumId="394" w15:restartNumberingAfterBreak="0">
    <w:nsid w:val="00003591"/>
    <w:multiLevelType w:val="hybridMultilevel"/>
    <w:tmpl w:val="B2CCB850"/>
    <w:lvl w:ilvl="0" w:tplc="523423E4">
      <w:start w:val="1"/>
      <w:numFmt w:val="lowerLetter"/>
      <w:lvlText w:val="%1"/>
      <w:lvlJc w:val="left"/>
    </w:lvl>
    <w:lvl w:ilvl="1" w:tplc="2C144910">
      <w:start w:val="3"/>
      <w:numFmt w:val="decimal"/>
      <w:lvlText w:val="%2."/>
      <w:lvlJc w:val="left"/>
    </w:lvl>
    <w:lvl w:ilvl="2" w:tplc="4FEEC276">
      <w:numFmt w:val="decimal"/>
      <w:lvlText w:val=""/>
      <w:lvlJc w:val="left"/>
    </w:lvl>
    <w:lvl w:ilvl="3" w:tplc="B6A69392">
      <w:numFmt w:val="decimal"/>
      <w:lvlText w:val=""/>
      <w:lvlJc w:val="left"/>
    </w:lvl>
    <w:lvl w:ilvl="4" w:tplc="CAFA5E5A">
      <w:numFmt w:val="decimal"/>
      <w:lvlText w:val=""/>
      <w:lvlJc w:val="left"/>
    </w:lvl>
    <w:lvl w:ilvl="5" w:tplc="152ED398">
      <w:numFmt w:val="decimal"/>
      <w:lvlText w:val=""/>
      <w:lvlJc w:val="left"/>
    </w:lvl>
    <w:lvl w:ilvl="6" w:tplc="296C7F2E">
      <w:numFmt w:val="decimal"/>
      <w:lvlText w:val=""/>
      <w:lvlJc w:val="left"/>
    </w:lvl>
    <w:lvl w:ilvl="7" w:tplc="9EFE22DA">
      <w:numFmt w:val="decimal"/>
      <w:lvlText w:val=""/>
      <w:lvlJc w:val="left"/>
    </w:lvl>
    <w:lvl w:ilvl="8" w:tplc="6E74ED98">
      <w:numFmt w:val="decimal"/>
      <w:lvlText w:val=""/>
      <w:lvlJc w:val="left"/>
    </w:lvl>
  </w:abstractNum>
  <w:abstractNum w:abstractNumId="395" w15:restartNumberingAfterBreak="0">
    <w:nsid w:val="00003594"/>
    <w:multiLevelType w:val="hybridMultilevel"/>
    <w:tmpl w:val="2A6E0BD0"/>
    <w:lvl w:ilvl="0" w:tplc="AFC83938">
      <w:start w:val="5"/>
      <w:numFmt w:val="decimal"/>
      <w:lvlText w:val="(%1)"/>
      <w:lvlJc w:val="left"/>
    </w:lvl>
    <w:lvl w:ilvl="1" w:tplc="A75AA5FA">
      <w:start w:val="1"/>
      <w:numFmt w:val="lowerLetter"/>
      <w:lvlText w:val="(%2)"/>
      <w:lvlJc w:val="left"/>
    </w:lvl>
    <w:lvl w:ilvl="2" w:tplc="FB1CFAAC">
      <w:start w:val="1"/>
      <w:numFmt w:val="decimal"/>
      <w:lvlText w:val="%3"/>
      <w:lvlJc w:val="left"/>
    </w:lvl>
    <w:lvl w:ilvl="3" w:tplc="47C4B0C0">
      <w:numFmt w:val="decimal"/>
      <w:lvlText w:val=""/>
      <w:lvlJc w:val="left"/>
    </w:lvl>
    <w:lvl w:ilvl="4" w:tplc="567E86FA">
      <w:numFmt w:val="decimal"/>
      <w:lvlText w:val=""/>
      <w:lvlJc w:val="left"/>
    </w:lvl>
    <w:lvl w:ilvl="5" w:tplc="BE6E177A">
      <w:numFmt w:val="decimal"/>
      <w:lvlText w:val=""/>
      <w:lvlJc w:val="left"/>
    </w:lvl>
    <w:lvl w:ilvl="6" w:tplc="19CAE3A4">
      <w:numFmt w:val="decimal"/>
      <w:lvlText w:val=""/>
      <w:lvlJc w:val="left"/>
    </w:lvl>
    <w:lvl w:ilvl="7" w:tplc="AB72B4B0">
      <w:numFmt w:val="decimal"/>
      <w:lvlText w:val=""/>
      <w:lvlJc w:val="left"/>
    </w:lvl>
    <w:lvl w:ilvl="8" w:tplc="62EEACB6">
      <w:numFmt w:val="decimal"/>
      <w:lvlText w:val=""/>
      <w:lvlJc w:val="left"/>
    </w:lvl>
  </w:abstractNum>
  <w:abstractNum w:abstractNumId="396" w15:restartNumberingAfterBreak="0">
    <w:nsid w:val="0000359A"/>
    <w:multiLevelType w:val="hybridMultilevel"/>
    <w:tmpl w:val="D7627300"/>
    <w:lvl w:ilvl="0" w:tplc="41666A0A">
      <w:start w:val="2"/>
      <w:numFmt w:val="lowerLetter"/>
      <w:lvlText w:val="(%1)"/>
      <w:lvlJc w:val="left"/>
    </w:lvl>
    <w:lvl w:ilvl="1" w:tplc="815C205C">
      <w:start w:val="1"/>
      <w:numFmt w:val="decimal"/>
      <w:lvlText w:val="%2."/>
      <w:lvlJc w:val="left"/>
    </w:lvl>
    <w:lvl w:ilvl="2" w:tplc="DD6C2390">
      <w:start w:val="1"/>
      <w:numFmt w:val="lowerLetter"/>
      <w:lvlText w:val="%3."/>
      <w:lvlJc w:val="left"/>
    </w:lvl>
    <w:lvl w:ilvl="3" w:tplc="8E106348">
      <w:numFmt w:val="decimal"/>
      <w:lvlText w:val=""/>
      <w:lvlJc w:val="left"/>
    </w:lvl>
    <w:lvl w:ilvl="4" w:tplc="4CDC0364">
      <w:numFmt w:val="decimal"/>
      <w:lvlText w:val=""/>
      <w:lvlJc w:val="left"/>
    </w:lvl>
    <w:lvl w:ilvl="5" w:tplc="63A4E07A">
      <w:numFmt w:val="decimal"/>
      <w:lvlText w:val=""/>
      <w:lvlJc w:val="left"/>
    </w:lvl>
    <w:lvl w:ilvl="6" w:tplc="5F8C0A0A">
      <w:numFmt w:val="decimal"/>
      <w:lvlText w:val=""/>
      <w:lvlJc w:val="left"/>
    </w:lvl>
    <w:lvl w:ilvl="7" w:tplc="6ED0AA4E">
      <w:numFmt w:val="decimal"/>
      <w:lvlText w:val=""/>
      <w:lvlJc w:val="left"/>
    </w:lvl>
    <w:lvl w:ilvl="8" w:tplc="E4EE21C6">
      <w:numFmt w:val="decimal"/>
      <w:lvlText w:val=""/>
      <w:lvlJc w:val="left"/>
    </w:lvl>
  </w:abstractNum>
  <w:abstractNum w:abstractNumId="397" w15:restartNumberingAfterBreak="0">
    <w:nsid w:val="00003602"/>
    <w:multiLevelType w:val="hybridMultilevel"/>
    <w:tmpl w:val="8794C894"/>
    <w:lvl w:ilvl="0" w:tplc="80BABC64">
      <w:start w:val="1"/>
      <w:numFmt w:val="decimal"/>
      <w:lvlText w:val="%1"/>
      <w:lvlJc w:val="left"/>
    </w:lvl>
    <w:lvl w:ilvl="1" w:tplc="F5A0B94A">
      <w:start w:val="2"/>
      <w:numFmt w:val="lowerLetter"/>
      <w:lvlText w:val="(%2)"/>
      <w:lvlJc w:val="left"/>
    </w:lvl>
    <w:lvl w:ilvl="2" w:tplc="D1E02812">
      <w:start w:val="1"/>
      <w:numFmt w:val="decimal"/>
      <w:lvlText w:val="%3"/>
      <w:lvlJc w:val="left"/>
    </w:lvl>
    <w:lvl w:ilvl="3" w:tplc="95CC3BB2">
      <w:numFmt w:val="decimal"/>
      <w:lvlText w:val=""/>
      <w:lvlJc w:val="left"/>
    </w:lvl>
    <w:lvl w:ilvl="4" w:tplc="ABCA0634">
      <w:numFmt w:val="decimal"/>
      <w:lvlText w:val=""/>
      <w:lvlJc w:val="left"/>
    </w:lvl>
    <w:lvl w:ilvl="5" w:tplc="58D8EE38">
      <w:numFmt w:val="decimal"/>
      <w:lvlText w:val=""/>
      <w:lvlJc w:val="left"/>
    </w:lvl>
    <w:lvl w:ilvl="6" w:tplc="5DDE99B6">
      <w:numFmt w:val="decimal"/>
      <w:lvlText w:val=""/>
      <w:lvlJc w:val="left"/>
    </w:lvl>
    <w:lvl w:ilvl="7" w:tplc="6C985A5E">
      <w:numFmt w:val="decimal"/>
      <w:lvlText w:val=""/>
      <w:lvlJc w:val="left"/>
    </w:lvl>
    <w:lvl w:ilvl="8" w:tplc="5E626AD6">
      <w:numFmt w:val="decimal"/>
      <w:lvlText w:val=""/>
      <w:lvlJc w:val="left"/>
    </w:lvl>
  </w:abstractNum>
  <w:abstractNum w:abstractNumId="398" w15:restartNumberingAfterBreak="0">
    <w:nsid w:val="0000361B"/>
    <w:multiLevelType w:val="hybridMultilevel"/>
    <w:tmpl w:val="25C09D8A"/>
    <w:lvl w:ilvl="0" w:tplc="4BC2B45A">
      <w:start w:val="6"/>
      <w:numFmt w:val="decimal"/>
      <w:lvlText w:val="%1."/>
      <w:lvlJc w:val="left"/>
    </w:lvl>
    <w:lvl w:ilvl="1" w:tplc="5CDCC8A0">
      <w:start w:val="1"/>
      <w:numFmt w:val="lowerLetter"/>
      <w:lvlText w:val="%2"/>
      <w:lvlJc w:val="left"/>
    </w:lvl>
    <w:lvl w:ilvl="2" w:tplc="5BAC5F80">
      <w:numFmt w:val="decimal"/>
      <w:lvlText w:val=""/>
      <w:lvlJc w:val="left"/>
    </w:lvl>
    <w:lvl w:ilvl="3" w:tplc="0C58F1AC">
      <w:numFmt w:val="decimal"/>
      <w:lvlText w:val=""/>
      <w:lvlJc w:val="left"/>
    </w:lvl>
    <w:lvl w:ilvl="4" w:tplc="0156BDA6">
      <w:numFmt w:val="decimal"/>
      <w:lvlText w:val=""/>
      <w:lvlJc w:val="left"/>
    </w:lvl>
    <w:lvl w:ilvl="5" w:tplc="121E6C7C">
      <w:numFmt w:val="decimal"/>
      <w:lvlText w:val=""/>
      <w:lvlJc w:val="left"/>
    </w:lvl>
    <w:lvl w:ilvl="6" w:tplc="5F244596">
      <w:numFmt w:val="decimal"/>
      <w:lvlText w:val=""/>
      <w:lvlJc w:val="left"/>
    </w:lvl>
    <w:lvl w:ilvl="7" w:tplc="EEF0F3A2">
      <w:numFmt w:val="decimal"/>
      <w:lvlText w:val=""/>
      <w:lvlJc w:val="left"/>
    </w:lvl>
    <w:lvl w:ilvl="8" w:tplc="40E4DDB0">
      <w:numFmt w:val="decimal"/>
      <w:lvlText w:val=""/>
      <w:lvlJc w:val="left"/>
    </w:lvl>
  </w:abstractNum>
  <w:abstractNum w:abstractNumId="399" w15:restartNumberingAfterBreak="0">
    <w:nsid w:val="00003629"/>
    <w:multiLevelType w:val="hybridMultilevel"/>
    <w:tmpl w:val="2690A7DC"/>
    <w:lvl w:ilvl="0" w:tplc="1C624F72">
      <w:start w:val="1"/>
      <w:numFmt w:val="lowerLetter"/>
      <w:lvlText w:val="%1"/>
      <w:lvlJc w:val="left"/>
    </w:lvl>
    <w:lvl w:ilvl="1" w:tplc="16DC4110">
      <w:start w:val="310"/>
      <w:numFmt w:val="decimal"/>
      <w:lvlText w:val="%2"/>
      <w:lvlJc w:val="left"/>
    </w:lvl>
    <w:lvl w:ilvl="2" w:tplc="50F0611E">
      <w:start w:val="1"/>
      <w:numFmt w:val="lowerLetter"/>
      <w:lvlText w:val="%3"/>
      <w:lvlJc w:val="left"/>
    </w:lvl>
    <w:lvl w:ilvl="3" w:tplc="1812CE0A">
      <w:numFmt w:val="decimal"/>
      <w:lvlText w:val=""/>
      <w:lvlJc w:val="left"/>
    </w:lvl>
    <w:lvl w:ilvl="4" w:tplc="0D7CCBE4">
      <w:numFmt w:val="decimal"/>
      <w:lvlText w:val=""/>
      <w:lvlJc w:val="left"/>
    </w:lvl>
    <w:lvl w:ilvl="5" w:tplc="832CC9FC">
      <w:numFmt w:val="decimal"/>
      <w:lvlText w:val=""/>
      <w:lvlJc w:val="left"/>
    </w:lvl>
    <w:lvl w:ilvl="6" w:tplc="6A047576">
      <w:numFmt w:val="decimal"/>
      <w:lvlText w:val=""/>
      <w:lvlJc w:val="left"/>
    </w:lvl>
    <w:lvl w:ilvl="7" w:tplc="9230CD1A">
      <w:numFmt w:val="decimal"/>
      <w:lvlText w:val=""/>
      <w:lvlJc w:val="left"/>
    </w:lvl>
    <w:lvl w:ilvl="8" w:tplc="F7DA1FC6">
      <w:numFmt w:val="decimal"/>
      <w:lvlText w:val=""/>
      <w:lvlJc w:val="left"/>
    </w:lvl>
  </w:abstractNum>
  <w:abstractNum w:abstractNumId="400" w15:restartNumberingAfterBreak="0">
    <w:nsid w:val="00003635"/>
    <w:multiLevelType w:val="hybridMultilevel"/>
    <w:tmpl w:val="3182B3F8"/>
    <w:lvl w:ilvl="0" w:tplc="A016F0A8">
      <w:start w:val="13"/>
      <w:numFmt w:val="decimal"/>
      <w:lvlText w:val="(%1)"/>
      <w:lvlJc w:val="left"/>
    </w:lvl>
    <w:lvl w:ilvl="1" w:tplc="1188DA68">
      <w:numFmt w:val="decimal"/>
      <w:lvlText w:val=""/>
      <w:lvlJc w:val="left"/>
    </w:lvl>
    <w:lvl w:ilvl="2" w:tplc="705CEEA2">
      <w:numFmt w:val="decimal"/>
      <w:lvlText w:val=""/>
      <w:lvlJc w:val="left"/>
    </w:lvl>
    <w:lvl w:ilvl="3" w:tplc="6A885962">
      <w:numFmt w:val="decimal"/>
      <w:lvlText w:val=""/>
      <w:lvlJc w:val="left"/>
    </w:lvl>
    <w:lvl w:ilvl="4" w:tplc="9814A8CA">
      <w:numFmt w:val="decimal"/>
      <w:lvlText w:val=""/>
      <w:lvlJc w:val="left"/>
    </w:lvl>
    <w:lvl w:ilvl="5" w:tplc="C13EEE6A">
      <w:numFmt w:val="decimal"/>
      <w:lvlText w:val=""/>
      <w:lvlJc w:val="left"/>
    </w:lvl>
    <w:lvl w:ilvl="6" w:tplc="E8EEA080">
      <w:numFmt w:val="decimal"/>
      <w:lvlText w:val=""/>
      <w:lvlJc w:val="left"/>
    </w:lvl>
    <w:lvl w:ilvl="7" w:tplc="C29EE2D2">
      <w:numFmt w:val="decimal"/>
      <w:lvlText w:val=""/>
      <w:lvlJc w:val="left"/>
    </w:lvl>
    <w:lvl w:ilvl="8" w:tplc="219A76AE">
      <w:numFmt w:val="decimal"/>
      <w:lvlText w:val=""/>
      <w:lvlJc w:val="left"/>
    </w:lvl>
  </w:abstractNum>
  <w:abstractNum w:abstractNumId="401" w15:restartNumberingAfterBreak="0">
    <w:nsid w:val="0000363A"/>
    <w:multiLevelType w:val="hybridMultilevel"/>
    <w:tmpl w:val="34F89CDC"/>
    <w:lvl w:ilvl="0" w:tplc="2EF6DD20">
      <w:start w:val="3"/>
      <w:numFmt w:val="lowerLetter"/>
      <w:lvlText w:val="%1."/>
      <w:lvlJc w:val="left"/>
    </w:lvl>
    <w:lvl w:ilvl="1" w:tplc="A2EA52F4">
      <w:start w:val="1"/>
      <w:numFmt w:val="lowerRoman"/>
      <w:lvlText w:val="%2"/>
      <w:lvlJc w:val="left"/>
    </w:lvl>
    <w:lvl w:ilvl="2" w:tplc="ED509386">
      <w:numFmt w:val="decimal"/>
      <w:lvlText w:val=""/>
      <w:lvlJc w:val="left"/>
    </w:lvl>
    <w:lvl w:ilvl="3" w:tplc="29C4ADEA">
      <w:numFmt w:val="decimal"/>
      <w:lvlText w:val=""/>
      <w:lvlJc w:val="left"/>
    </w:lvl>
    <w:lvl w:ilvl="4" w:tplc="75B4F48E">
      <w:numFmt w:val="decimal"/>
      <w:lvlText w:val=""/>
      <w:lvlJc w:val="left"/>
    </w:lvl>
    <w:lvl w:ilvl="5" w:tplc="877C3BEC">
      <w:numFmt w:val="decimal"/>
      <w:lvlText w:val=""/>
      <w:lvlJc w:val="left"/>
    </w:lvl>
    <w:lvl w:ilvl="6" w:tplc="313ADCB2">
      <w:numFmt w:val="decimal"/>
      <w:lvlText w:val=""/>
      <w:lvlJc w:val="left"/>
    </w:lvl>
    <w:lvl w:ilvl="7" w:tplc="11345E5E">
      <w:numFmt w:val="decimal"/>
      <w:lvlText w:val=""/>
      <w:lvlJc w:val="left"/>
    </w:lvl>
    <w:lvl w:ilvl="8" w:tplc="9B52349C">
      <w:numFmt w:val="decimal"/>
      <w:lvlText w:val=""/>
      <w:lvlJc w:val="left"/>
    </w:lvl>
  </w:abstractNum>
  <w:abstractNum w:abstractNumId="402" w15:restartNumberingAfterBreak="0">
    <w:nsid w:val="000036B7"/>
    <w:multiLevelType w:val="hybridMultilevel"/>
    <w:tmpl w:val="47B0AA26"/>
    <w:lvl w:ilvl="0" w:tplc="15EAF6FC">
      <w:start w:val="1"/>
      <w:numFmt w:val="decimal"/>
      <w:lvlText w:val="%1"/>
      <w:lvlJc w:val="left"/>
    </w:lvl>
    <w:lvl w:ilvl="1" w:tplc="C28054AA">
      <w:start w:val="1"/>
      <w:numFmt w:val="lowerLetter"/>
      <w:lvlText w:val="%2"/>
      <w:lvlJc w:val="left"/>
    </w:lvl>
    <w:lvl w:ilvl="2" w:tplc="953A75F8">
      <w:start w:val="3"/>
      <w:numFmt w:val="decimal"/>
      <w:lvlText w:val="%3."/>
      <w:lvlJc w:val="left"/>
    </w:lvl>
    <w:lvl w:ilvl="3" w:tplc="292CF4B6">
      <w:start w:val="1"/>
      <w:numFmt w:val="lowerLetter"/>
      <w:lvlText w:val="%4"/>
      <w:lvlJc w:val="left"/>
    </w:lvl>
    <w:lvl w:ilvl="4" w:tplc="79B809CE">
      <w:numFmt w:val="decimal"/>
      <w:lvlText w:val=""/>
      <w:lvlJc w:val="left"/>
    </w:lvl>
    <w:lvl w:ilvl="5" w:tplc="6F56C9B2">
      <w:numFmt w:val="decimal"/>
      <w:lvlText w:val=""/>
      <w:lvlJc w:val="left"/>
    </w:lvl>
    <w:lvl w:ilvl="6" w:tplc="3EF6E4E6">
      <w:numFmt w:val="decimal"/>
      <w:lvlText w:val=""/>
      <w:lvlJc w:val="left"/>
    </w:lvl>
    <w:lvl w:ilvl="7" w:tplc="CB16B256">
      <w:numFmt w:val="decimal"/>
      <w:lvlText w:val=""/>
      <w:lvlJc w:val="left"/>
    </w:lvl>
    <w:lvl w:ilvl="8" w:tplc="14BCF18E">
      <w:numFmt w:val="decimal"/>
      <w:lvlText w:val=""/>
      <w:lvlJc w:val="left"/>
    </w:lvl>
  </w:abstractNum>
  <w:abstractNum w:abstractNumId="403" w15:restartNumberingAfterBreak="0">
    <w:nsid w:val="0000370B"/>
    <w:multiLevelType w:val="hybridMultilevel"/>
    <w:tmpl w:val="02642190"/>
    <w:lvl w:ilvl="0" w:tplc="15104644">
      <w:start w:val="1"/>
      <w:numFmt w:val="decimal"/>
      <w:lvlText w:val="%1"/>
      <w:lvlJc w:val="left"/>
    </w:lvl>
    <w:lvl w:ilvl="1" w:tplc="2D6844C8">
      <w:start w:val="1"/>
      <w:numFmt w:val="lowerLetter"/>
      <w:lvlText w:val="%2"/>
      <w:lvlJc w:val="left"/>
    </w:lvl>
    <w:lvl w:ilvl="2" w:tplc="0E7AB72A">
      <w:start w:val="1"/>
      <w:numFmt w:val="decimal"/>
      <w:lvlText w:val="%3"/>
      <w:lvlJc w:val="left"/>
    </w:lvl>
    <w:lvl w:ilvl="3" w:tplc="77068A46">
      <w:start w:val="1"/>
      <w:numFmt w:val="lowerLetter"/>
      <w:lvlText w:val="%4"/>
      <w:lvlJc w:val="left"/>
    </w:lvl>
    <w:lvl w:ilvl="4" w:tplc="394EE228">
      <w:start w:val="2"/>
      <w:numFmt w:val="lowerRoman"/>
      <w:lvlText w:val="%5."/>
      <w:lvlJc w:val="left"/>
    </w:lvl>
    <w:lvl w:ilvl="5" w:tplc="C848F82A">
      <w:numFmt w:val="decimal"/>
      <w:lvlText w:val=""/>
      <w:lvlJc w:val="left"/>
    </w:lvl>
    <w:lvl w:ilvl="6" w:tplc="005ACB06">
      <w:numFmt w:val="decimal"/>
      <w:lvlText w:val=""/>
      <w:lvlJc w:val="left"/>
    </w:lvl>
    <w:lvl w:ilvl="7" w:tplc="46769744">
      <w:numFmt w:val="decimal"/>
      <w:lvlText w:val=""/>
      <w:lvlJc w:val="left"/>
    </w:lvl>
    <w:lvl w:ilvl="8" w:tplc="81507298">
      <w:numFmt w:val="decimal"/>
      <w:lvlText w:val=""/>
      <w:lvlJc w:val="left"/>
    </w:lvl>
  </w:abstractNum>
  <w:abstractNum w:abstractNumId="404" w15:restartNumberingAfterBreak="0">
    <w:nsid w:val="0000373C"/>
    <w:multiLevelType w:val="hybridMultilevel"/>
    <w:tmpl w:val="2E2EEB16"/>
    <w:lvl w:ilvl="0" w:tplc="38E4D4F8">
      <w:start w:val="1"/>
      <w:numFmt w:val="decimal"/>
      <w:lvlText w:val="%1"/>
      <w:lvlJc w:val="left"/>
    </w:lvl>
    <w:lvl w:ilvl="1" w:tplc="BA3E6578">
      <w:start w:val="3"/>
      <w:numFmt w:val="lowerLetter"/>
      <w:lvlText w:val="(%2)"/>
      <w:lvlJc w:val="left"/>
    </w:lvl>
    <w:lvl w:ilvl="2" w:tplc="437EA6F2">
      <w:start w:val="1"/>
      <w:numFmt w:val="decimal"/>
      <w:lvlText w:val="%3."/>
      <w:lvlJc w:val="left"/>
    </w:lvl>
    <w:lvl w:ilvl="3" w:tplc="462C79F4">
      <w:start w:val="1"/>
      <w:numFmt w:val="lowerLetter"/>
      <w:lvlText w:val="%4."/>
      <w:lvlJc w:val="left"/>
    </w:lvl>
    <w:lvl w:ilvl="4" w:tplc="06727B76">
      <w:numFmt w:val="decimal"/>
      <w:lvlText w:val=""/>
      <w:lvlJc w:val="left"/>
    </w:lvl>
    <w:lvl w:ilvl="5" w:tplc="05444E28">
      <w:numFmt w:val="decimal"/>
      <w:lvlText w:val=""/>
      <w:lvlJc w:val="left"/>
    </w:lvl>
    <w:lvl w:ilvl="6" w:tplc="AC722016">
      <w:numFmt w:val="decimal"/>
      <w:lvlText w:val=""/>
      <w:lvlJc w:val="left"/>
    </w:lvl>
    <w:lvl w:ilvl="7" w:tplc="76AC1BE4">
      <w:numFmt w:val="decimal"/>
      <w:lvlText w:val=""/>
      <w:lvlJc w:val="left"/>
    </w:lvl>
    <w:lvl w:ilvl="8" w:tplc="7478A094">
      <w:numFmt w:val="decimal"/>
      <w:lvlText w:val=""/>
      <w:lvlJc w:val="left"/>
    </w:lvl>
  </w:abstractNum>
  <w:abstractNum w:abstractNumId="405" w15:restartNumberingAfterBreak="0">
    <w:nsid w:val="00003751"/>
    <w:multiLevelType w:val="hybridMultilevel"/>
    <w:tmpl w:val="60620794"/>
    <w:lvl w:ilvl="0" w:tplc="2FBA7A16">
      <w:start w:val="3"/>
      <w:numFmt w:val="decimal"/>
      <w:lvlText w:val="%1."/>
      <w:lvlJc w:val="left"/>
    </w:lvl>
    <w:lvl w:ilvl="1" w:tplc="09484A90">
      <w:numFmt w:val="decimal"/>
      <w:lvlText w:val=""/>
      <w:lvlJc w:val="left"/>
    </w:lvl>
    <w:lvl w:ilvl="2" w:tplc="E932BC96">
      <w:numFmt w:val="decimal"/>
      <w:lvlText w:val=""/>
      <w:lvlJc w:val="left"/>
    </w:lvl>
    <w:lvl w:ilvl="3" w:tplc="36E66FF2">
      <w:numFmt w:val="decimal"/>
      <w:lvlText w:val=""/>
      <w:lvlJc w:val="left"/>
    </w:lvl>
    <w:lvl w:ilvl="4" w:tplc="15640256">
      <w:numFmt w:val="decimal"/>
      <w:lvlText w:val=""/>
      <w:lvlJc w:val="left"/>
    </w:lvl>
    <w:lvl w:ilvl="5" w:tplc="1B3AEF50">
      <w:numFmt w:val="decimal"/>
      <w:lvlText w:val=""/>
      <w:lvlJc w:val="left"/>
    </w:lvl>
    <w:lvl w:ilvl="6" w:tplc="61CC5520">
      <w:numFmt w:val="decimal"/>
      <w:lvlText w:val=""/>
      <w:lvlJc w:val="left"/>
    </w:lvl>
    <w:lvl w:ilvl="7" w:tplc="03A4ED6E">
      <w:numFmt w:val="decimal"/>
      <w:lvlText w:val=""/>
      <w:lvlJc w:val="left"/>
    </w:lvl>
    <w:lvl w:ilvl="8" w:tplc="57A84150">
      <w:numFmt w:val="decimal"/>
      <w:lvlText w:val=""/>
      <w:lvlJc w:val="left"/>
    </w:lvl>
  </w:abstractNum>
  <w:abstractNum w:abstractNumId="406" w15:restartNumberingAfterBreak="0">
    <w:nsid w:val="00003774"/>
    <w:multiLevelType w:val="hybridMultilevel"/>
    <w:tmpl w:val="87ECE172"/>
    <w:lvl w:ilvl="0" w:tplc="79787252">
      <w:start w:val="1"/>
      <w:numFmt w:val="decimal"/>
      <w:lvlText w:val="%1"/>
      <w:lvlJc w:val="left"/>
    </w:lvl>
    <w:lvl w:ilvl="1" w:tplc="2AD0F1BC">
      <w:start w:val="2"/>
      <w:numFmt w:val="decimal"/>
      <w:lvlText w:val="(%2)"/>
      <w:lvlJc w:val="left"/>
    </w:lvl>
    <w:lvl w:ilvl="2" w:tplc="391650B8">
      <w:start w:val="1"/>
      <w:numFmt w:val="lowerLetter"/>
      <w:lvlText w:val="(%3)"/>
      <w:lvlJc w:val="left"/>
    </w:lvl>
    <w:lvl w:ilvl="3" w:tplc="F1C25EE6">
      <w:start w:val="1"/>
      <w:numFmt w:val="decimal"/>
      <w:lvlText w:val="%4."/>
      <w:lvlJc w:val="left"/>
    </w:lvl>
    <w:lvl w:ilvl="4" w:tplc="F1620286">
      <w:start w:val="1"/>
      <w:numFmt w:val="lowerLetter"/>
      <w:lvlText w:val="%5"/>
      <w:lvlJc w:val="left"/>
    </w:lvl>
    <w:lvl w:ilvl="5" w:tplc="154E9C06">
      <w:numFmt w:val="decimal"/>
      <w:lvlText w:val=""/>
      <w:lvlJc w:val="left"/>
    </w:lvl>
    <w:lvl w:ilvl="6" w:tplc="FBA69C0E">
      <w:numFmt w:val="decimal"/>
      <w:lvlText w:val=""/>
      <w:lvlJc w:val="left"/>
    </w:lvl>
    <w:lvl w:ilvl="7" w:tplc="5F7478B2">
      <w:numFmt w:val="decimal"/>
      <w:lvlText w:val=""/>
      <w:lvlJc w:val="left"/>
    </w:lvl>
    <w:lvl w:ilvl="8" w:tplc="CE2024F4">
      <w:numFmt w:val="decimal"/>
      <w:lvlText w:val=""/>
      <w:lvlJc w:val="left"/>
    </w:lvl>
  </w:abstractNum>
  <w:abstractNum w:abstractNumId="407" w15:restartNumberingAfterBreak="0">
    <w:nsid w:val="00003775"/>
    <w:multiLevelType w:val="hybridMultilevel"/>
    <w:tmpl w:val="F9641014"/>
    <w:lvl w:ilvl="0" w:tplc="28A493D4">
      <w:start w:val="1"/>
      <w:numFmt w:val="decimal"/>
      <w:lvlText w:val="%1"/>
      <w:lvlJc w:val="left"/>
    </w:lvl>
    <w:lvl w:ilvl="1" w:tplc="D5A46EB4">
      <w:start w:val="2"/>
      <w:numFmt w:val="lowerLetter"/>
      <w:lvlText w:val="(%2)"/>
      <w:lvlJc w:val="left"/>
    </w:lvl>
    <w:lvl w:ilvl="2" w:tplc="62164CBC">
      <w:numFmt w:val="decimal"/>
      <w:lvlText w:val=""/>
      <w:lvlJc w:val="left"/>
    </w:lvl>
    <w:lvl w:ilvl="3" w:tplc="5A607AB0">
      <w:numFmt w:val="decimal"/>
      <w:lvlText w:val=""/>
      <w:lvlJc w:val="left"/>
    </w:lvl>
    <w:lvl w:ilvl="4" w:tplc="19A66284">
      <w:numFmt w:val="decimal"/>
      <w:lvlText w:val=""/>
      <w:lvlJc w:val="left"/>
    </w:lvl>
    <w:lvl w:ilvl="5" w:tplc="FBFE00E6">
      <w:numFmt w:val="decimal"/>
      <w:lvlText w:val=""/>
      <w:lvlJc w:val="left"/>
    </w:lvl>
    <w:lvl w:ilvl="6" w:tplc="C4101786">
      <w:numFmt w:val="decimal"/>
      <w:lvlText w:val=""/>
      <w:lvlJc w:val="left"/>
    </w:lvl>
    <w:lvl w:ilvl="7" w:tplc="C06CA888">
      <w:numFmt w:val="decimal"/>
      <w:lvlText w:val=""/>
      <w:lvlJc w:val="left"/>
    </w:lvl>
    <w:lvl w:ilvl="8" w:tplc="F72602F4">
      <w:numFmt w:val="decimal"/>
      <w:lvlText w:val=""/>
      <w:lvlJc w:val="left"/>
    </w:lvl>
  </w:abstractNum>
  <w:abstractNum w:abstractNumId="408" w15:restartNumberingAfterBreak="0">
    <w:nsid w:val="000037FD"/>
    <w:multiLevelType w:val="hybridMultilevel"/>
    <w:tmpl w:val="7944C6E2"/>
    <w:lvl w:ilvl="0" w:tplc="7D8A7AFE">
      <w:start w:val="1"/>
      <w:numFmt w:val="decimal"/>
      <w:lvlText w:val="%1"/>
      <w:lvlJc w:val="left"/>
    </w:lvl>
    <w:lvl w:ilvl="1" w:tplc="F2288CFE">
      <w:start w:val="2"/>
      <w:numFmt w:val="lowerLetter"/>
      <w:lvlText w:val="(%2)"/>
      <w:lvlJc w:val="left"/>
    </w:lvl>
    <w:lvl w:ilvl="2" w:tplc="51B62D60">
      <w:start w:val="1"/>
      <w:numFmt w:val="decimal"/>
      <w:lvlText w:val="%3"/>
      <w:lvlJc w:val="left"/>
    </w:lvl>
    <w:lvl w:ilvl="3" w:tplc="1A2C8CD6">
      <w:numFmt w:val="decimal"/>
      <w:lvlText w:val=""/>
      <w:lvlJc w:val="left"/>
    </w:lvl>
    <w:lvl w:ilvl="4" w:tplc="54F82D70">
      <w:numFmt w:val="decimal"/>
      <w:lvlText w:val=""/>
      <w:lvlJc w:val="left"/>
    </w:lvl>
    <w:lvl w:ilvl="5" w:tplc="8A2AD51A">
      <w:numFmt w:val="decimal"/>
      <w:lvlText w:val=""/>
      <w:lvlJc w:val="left"/>
    </w:lvl>
    <w:lvl w:ilvl="6" w:tplc="04CC5034">
      <w:numFmt w:val="decimal"/>
      <w:lvlText w:val=""/>
      <w:lvlJc w:val="left"/>
    </w:lvl>
    <w:lvl w:ilvl="7" w:tplc="61E87840">
      <w:numFmt w:val="decimal"/>
      <w:lvlText w:val=""/>
      <w:lvlJc w:val="left"/>
    </w:lvl>
    <w:lvl w:ilvl="8" w:tplc="BA8043F2">
      <w:numFmt w:val="decimal"/>
      <w:lvlText w:val=""/>
      <w:lvlJc w:val="left"/>
    </w:lvl>
  </w:abstractNum>
  <w:abstractNum w:abstractNumId="409" w15:restartNumberingAfterBreak="0">
    <w:nsid w:val="0000381C"/>
    <w:multiLevelType w:val="hybridMultilevel"/>
    <w:tmpl w:val="FFB467BE"/>
    <w:lvl w:ilvl="0" w:tplc="6C707BC2">
      <w:start w:val="2"/>
      <w:numFmt w:val="decimal"/>
      <w:lvlText w:val="(%1)"/>
      <w:lvlJc w:val="left"/>
    </w:lvl>
    <w:lvl w:ilvl="1" w:tplc="4940A0DE">
      <w:start w:val="1"/>
      <w:numFmt w:val="lowerLetter"/>
      <w:lvlText w:val="(%2)"/>
      <w:lvlJc w:val="left"/>
    </w:lvl>
    <w:lvl w:ilvl="2" w:tplc="EAA66054">
      <w:numFmt w:val="decimal"/>
      <w:lvlText w:val=""/>
      <w:lvlJc w:val="left"/>
    </w:lvl>
    <w:lvl w:ilvl="3" w:tplc="E572C52C">
      <w:numFmt w:val="decimal"/>
      <w:lvlText w:val=""/>
      <w:lvlJc w:val="left"/>
    </w:lvl>
    <w:lvl w:ilvl="4" w:tplc="B29488E6">
      <w:numFmt w:val="decimal"/>
      <w:lvlText w:val=""/>
      <w:lvlJc w:val="left"/>
    </w:lvl>
    <w:lvl w:ilvl="5" w:tplc="463CD55A">
      <w:numFmt w:val="decimal"/>
      <w:lvlText w:val=""/>
      <w:lvlJc w:val="left"/>
    </w:lvl>
    <w:lvl w:ilvl="6" w:tplc="844CB80C">
      <w:numFmt w:val="decimal"/>
      <w:lvlText w:val=""/>
      <w:lvlJc w:val="left"/>
    </w:lvl>
    <w:lvl w:ilvl="7" w:tplc="40544846">
      <w:numFmt w:val="decimal"/>
      <w:lvlText w:val=""/>
      <w:lvlJc w:val="left"/>
    </w:lvl>
    <w:lvl w:ilvl="8" w:tplc="167046A0">
      <w:numFmt w:val="decimal"/>
      <w:lvlText w:val=""/>
      <w:lvlJc w:val="left"/>
    </w:lvl>
  </w:abstractNum>
  <w:abstractNum w:abstractNumId="410" w15:restartNumberingAfterBreak="0">
    <w:nsid w:val="00003896"/>
    <w:multiLevelType w:val="hybridMultilevel"/>
    <w:tmpl w:val="DD967BC8"/>
    <w:lvl w:ilvl="0" w:tplc="14CE9382">
      <w:start w:val="3"/>
      <w:numFmt w:val="decimal"/>
      <w:lvlText w:val="(%1)"/>
      <w:lvlJc w:val="left"/>
    </w:lvl>
    <w:lvl w:ilvl="1" w:tplc="8632D3C0">
      <w:start w:val="1"/>
      <w:numFmt w:val="lowerLetter"/>
      <w:lvlText w:val="(%2)"/>
      <w:lvlJc w:val="left"/>
    </w:lvl>
    <w:lvl w:ilvl="2" w:tplc="207EF958">
      <w:start w:val="1"/>
      <w:numFmt w:val="decimal"/>
      <w:lvlText w:val="%3."/>
      <w:lvlJc w:val="left"/>
    </w:lvl>
    <w:lvl w:ilvl="3" w:tplc="5C36DF74">
      <w:numFmt w:val="decimal"/>
      <w:lvlText w:val=""/>
      <w:lvlJc w:val="left"/>
    </w:lvl>
    <w:lvl w:ilvl="4" w:tplc="263AC2E4">
      <w:numFmt w:val="decimal"/>
      <w:lvlText w:val=""/>
      <w:lvlJc w:val="left"/>
    </w:lvl>
    <w:lvl w:ilvl="5" w:tplc="5F12A86E">
      <w:numFmt w:val="decimal"/>
      <w:lvlText w:val=""/>
      <w:lvlJc w:val="left"/>
    </w:lvl>
    <w:lvl w:ilvl="6" w:tplc="245A13B0">
      <w:numFmt w:val="decimal"/>
      <w:lvlText w:val=""/>
      <w:lvlJc w:val="left"/>
    </w:lvl>
    <w:lvl w:ilvl="7" w:tplc="8416AC6E">
      <w:numFmt w:val="decimal"/>
      <w:lvlText w:val=""/>
      <w:lvlJc w:val="left"/>
    </w:lvl>
    <w:lvl w:ilvl="8" w:tplc="AE00A0D4">
      <w:numFmt w:val="decimal"/>
      <w:lvlText w:val=""/>
      <w:lvlJc w:val="left"/>
    </w:lvl>
  </w:abstractNum>
  <w:abstractNum w:abstractNumId="411" w15:restartNumberingAfterBreak="0">
    <w:nsid w:val="000038AB"/>
    <w:multiLevelType w:val="hybridMultilevel"/>
    <w:tmpl w:val="632E5E62"/>
    <w:lvl w:ilvl="0" w:tplc="2CC00C22">
      <w:start w:val="2"/>
      <w:numFmt w:val="lowerLetter"/>
      <w:lvlText w:val="%1."/>
      <w:lvlJc w:val="left"/>
    </w:lvl>
    <w:lvl w:ilvl="1" w:tplc="B9849044">
      <w:numFmt w:val="decimal"/>
      <w:lvlText w:val=""/>
      <w:lvlJc w:val="left"/>
    </w:lvl>
    <w:lvl w:ilvl="2" w:tplc="2D7C480C">
      <w:numFmt w:val="decimal"/>
      <w:lvlText w:val=""/>
      <w:lvlJc w:val="left"/>
    </w:lvl>
    <w:lvl w:ilvl="3" w:tplc="60F61EB0">
      <w:numFmt w:val="decimal"/>
      <w:lvlText w:val=""/>
      <w:lvlJc w:val="left"/>
    </w:lvl>
    <w:lvl w:ilvl="4" w:tplc="96AEFBA8">
      <w:numFmt w:val="decimal"/>
      <w:lvlText w:val=""/>
      <w:lvlJc w:val="left"/>
    </w:lvl>
    <w:lvl w:ilvl="5" w:tplc="1B8C4AFC">
      <w:numFmt w:val="decimal"/>
      <w:lvlText w:val=""/>
      <w:lvlJc w:val="left"/>
    </w:lvl>
    <w:lvl w:ilvl="6" w:tplc="3364121C">
      <w:numFmt w:val="decimal"/>
      <w:lvlText w:val=""/>
      <w:lvlJc w:val="left"/>
    </w:lvl>
    <w:lvl w:ilvl="7" w:tplc="32AE9150">
      <w:numFmt w:val="decimal"/>
      <w:lvlText w:val=""/>
      <w:lvlJc w:val="left"/>
    </w:lvl>
    <w:lvl w:ilvl="8" w:tplc="4FFAAE98">
      <w:numFmt w:val="decimal"/>
      <w:lvlText w:val=""/>
      <w:lvlJc w:val="left"/>
    </w:lvl>
  </w:abstractNum>
  <w:abstractNum w:abstractNumId="412" w15:restartNumberingAfterBreak="0">
    <w:nsid w:val="00003925"/>
    <w:multiLevelType w:val="hybridMultilevel"/>
    <w:tmpl w:val="8A66CE56"/>
    <w:lvl w:ilvl="0" w:tplc="4036DE46">
      <w:start w:val="1"/>
      <w:numFmt w:val="decimal"/>
      <w:lvlText w:val="(%1)"/>
      <w:lvlJc w:val="left"/>
    </w:lvl>
    <w:lvl w:ilvl="1" w:tplc="B19C3B84">
      <w:numFmt w:val="decimal"/>
      <w:lvlText w:val=""/>
      <w:lvlJc w:val="left"/>
    </w:lvl>
    <w:lvl w:ilvl="2" w:tplc="9E5EF376">
      <w:numFmt w:val="decimal"/>
      <w:lvlText w:val=""/>
      <w:lvlJc w:val="left"/>
    </w:lvl>
    <w:lvl w:ilvl="3" w:tplc="8ECE0B56">
      <w:numFmt w:val="decimal"/>
      <w:lvlText w:val=""/>
      <w:lvlJc w:val="left"/>
    </w:lvl>
    <w:lvl w:ilvl="4" w:tplc="2BB89790">
      <w:numFmt w:val="decimal"/>
      <w:lvlText w:val=""/>
      <w:lvlJc w:val="left"/>
    </w:lvl>
    <w:lvl w:ilvl="5" w:tplc="0156B7D2">
      <w:numFmt w:val="decimal"/>
      <w:lvlText w:val=""/>
      <w:lvlJc w:val="left"/>
    </w:lvl>
    <w:lvl w:ilvl="6" w:tplc="7292EC86">
      <w:numFmt w:val="decimal"/>
      <w:lvlText w:val=""/>
      <w:lvlJc w:val="left"/>
    </w:lvl>
    <w:lvl w:ilvl="7" w:tplc="777664D0">
      <w:numFmt w:val="decimal"/>
      <w:lvlText w:val=""/>
      <w:lvlJc w:val="left"/>
    </w:lvl>
    <w:lvl w:ilvl="8" w:tplc="F1CEF1A8">
      <w:numFmt w:val="decimal"/>
      <w:lvlText w:val=""/>
      <w:lvlJc w:val="left"/>
    </w:lvl>
  </w:abstractNum>
  <w:abstractNum w:abstractNumId="413" w15:restartNumberingAfterBreak="0">
    <w:nsid w:val="00003930"/>
    <w:multiLevelType w:val="hybridMultilevel"/>
    <w:tmpl w:val="DC24CDC0"/>
    <w:lvl w:ilvl="0" w:tplc="B58EB122">
      <w:start w:val="14"/>
      <w:numFmt w:val="decimal"/>
      <w:lvlText w:val="(%1)"/>
      <w:lvlJc w:val="left"/>
    </w:lvl>
    <w:lvl w:ilvl="1" w:tplc="EF76041E">
      <w:start w:val="1"/>
      <w:numFmt w:val="lowerLetter"/>
      <w:lvlText w:val="(%2)"/>
      <w:lvlJc w:val="left"/>
    </w:lvl>
    <w:lvl w:ilvl="2" w:tplc="643CDE8C">
      <w:numFmt w:val="decimal"/>
      <w:lvlText w:val=""/>
      <w:lvlJc w:val="left"/>
    </w:lvl>
    <w:lvl w:ilvl="3" w:tplc="3080EB90">
      <w:numFmt w:val="decimal"/>
      <w:lvlText w:val=""/>
      <w:lvlJc w:val="left"/>
    </w:lvl>
    <w:lvl w:ilvl="4" w:tplc="B67C4836">
      <w:numFmt w:val="decimal"/>
      <w:lvlText w:val=""/>
      <w:lvlJc w:val="left"/>
    </w:lvl>
    <w:lvl w:ilvl="5" w:tplc="8CECCA58">
      <w:numFmt w:val="decimal"/>
      <w:lvlText w:val=""/>
      <w:lvlJc w:val="left"/>
    </w:lvl>
    <w:lvl w:ilvl="6" w:tplc="1474281A">
      <w:numFmt w:val="decimal"/>
      <w:lvlText w:val=""/>
      <w:lvlJc w:val="left"/>
    </w:lvl>
    <w:lvl w:ilvl="7" w:tplc="B4D02A26">
      <w:numFmt w:val="decimal"/>
      <w:lvlText w:val=""/>
      <w:lvlJc w:val="left"/>
    </w:lvl>
    <w:lvl w:ilvl="8" w:tplc="78BEADBC">
      <w:numFmt w:val="decimal"/>
      <w:lvlText w:val=""/>
      <w:lvlJc w:val="left"/>
    </w:lvl>
  </w:abstractNum>
  <w:abstractNum w:abstractNumId="414" w15:restartNumberingAfterBreak="0">
    <w:nsid w:val="00003969"/>
    <w:multiLevelType w:val="hybridMultilevel"/>
    <w:tmpl w:val="5E3E09A8"/>
    <w:lvl w:ilvl="0" w:tplc="E3F60166">
      <w:start w:val="1"/>
      <w:numFmt w:val="decimal"/>
      <w:lvlText w:val="%1"/>
      <w:lvlJc w:val="left"/>
    </w:lvl>
    <w:lvl w:ilvl="1" w:tplc="207484F4">
      <w:start w:val="1"/>
      <w:numFmt w:val="lowerLetter"/>
      <w:lvlText w:val="%2"/>
      <w:lvlJc w:val="left"/>
    </w:lvl>
    <w:lvl w:ilvl="2" w:tplc="2CC01814">
      <w:start w:val="3"/>
      <w:numFmt w:val="decimal"/>
      <w:lvlText w:val="%3."/>
      <w:lvlJc w:val="left"/>
    </w:lvl>
    <w:lvl w:ilvl="3" w:tplc="26F864C4">
      <w:start w:val="1"/>
      <w:numFmt w:val="lowerLetter"/>
      <w:lvlText w:val="%4."/>
      <w:lvlJc w:val="left"/>
    </w:lvl>
    <w:lvl w:ilvl="4" w:tplc="2C2E5C54">
      <w:numFmt w:val="decimal"/>
      <w:lvlText w:val=""/>
      <w:lvlJc w:val="left"/>
    </w:lvl>
    <w:lvl w:ilvl="5" w:tplc="6136AACE">
      <w:numFmt w:val="decimal"/>
      <w:lvlText w:val=""/>
      <w:lvlJc w:val="left"/>
    </w:lvl>
    <w:lvl w:ilvl="6" w:tplc="3FFC2672">
      <w:numFmt w:val="decimal"/>
      <w:lvlText w:val=""/>
      <w:lvlJc w:val="left"/>
    </w:lvl>
    <w:lvl w:ilvl="7" w:tplc="50BA5EC0">
      <w:numFmt w:val="decimal"/>
      <w:lvlText w:val=""/>
      <w:lvlJc w:val="left"/>
    </w:lvl>
    <w:lvl w:ilvl="8" w:tplc="6C428B2E">
      <w:numFmt w:val="decimal"/>
      <w:lvlText w:val=""/>
      <w:lvlJc w:val="left"/>
    </w:lvl>
  </w:abstractNum>
  <w:abstractNum w:abstractNumId="415" w15:restartNumberingAfterBreak="0">
    <w:nsid w:val="00003974"/>
    <w:multiLevelType w:val="hybridMultilevel"/>
    <w:tmpl w:val="06623F3A"/>
    <w:lvl w:ilvl="0" w:tplc="DFEC1B72">
      <w:start w:val="20"/>
      <w:numFmt w:val="decimal"/>
      <w:lvlText w:val="(%1)"/>
      <w:lvlJc w:val="left"/>
    </w:lvl>
    <w:lvl w:ilvl="1" w:tplc="57C8FEB8">
      <w:numFmt w:val="decimal"/>
      <w:lvlText w:val=""/>
      <w:lvlJc w:val="left"/>
    </w:lvl>
    <w:lvl w:ilvl="2" w:tplc="6868C9D0">
      <w:numFmt w:val="decimal"/>
      <w:lvlText w:val=""/>
      <w:lvlJc w:val="left"/>
    </w:lvl>
    <w:lvl w:ilvl="3" w:tplc="EF064F26">
      <w:numFmt w:val="decimal"/>
      <w:lvlText w:val=""/>
      <w:lvlJc w:val="left"/>
    </w:lvl>
    <w:lvl w:ilvl="4" w:tplc="D8F600BC">
      <w:numFmt w:val="decimal"/>
      <w:lvlText w:val=""/>
      <w:lvlJc w:val="left"/>
    </w:lvl>
    <w:lvl w:ilvl="5" w:tplc="A6FC94CE">
      <w:numFmt w:val="decimal"/>
      <w:lvlText w:val=""/>
      <w:lvlJc w:val="left"/>
    </w:lvl>
    <w:lvl w:ilvl="6" w:tplc="4198E7CC">
      <w:numFmt w:val="decimal"/>
      <w:lvlText w:val=""/>
      <w:lvlJc w:val="left"/>
    </w:lvl>
    <w:lvl w:ilvl="7" w:tplc="0E40F616">
      <w:numFmt w:val="decimal"/>
      <w:lvlText w:val=""/>
      <w:lvlJc w:val="left"/>
    </w:lvl>
    <w:lvl w:ilvl="8" w:tplc="601205CC">
      <w:numFmt w:val="decimal"/>
      <w:lvlText w:val=""/>
      <w:lvlJc w:val="left"/>
    </w:lvl>
  </w:abstractNum>
  <w:abstractNum w:abstractNumId="416" w15:restartNumberingAfterBreak="0">
    <w:nsid w:val="00003983"/>
    <w:multiLevelType w:val="hybridMultilevel"/>
    <w:tmpl w:val="20000DF6"/>
    <w:lvl w:ilvl="0" w:tplc="08228566">
      <w:start w:val="4"/>
      <w:numFmt w:val="lowerLetter"/>
      <w:lvlText w:val="(%1)"/>
      <w:lvlJc w:val="left"/>
    </w:lvl>
    <w:lvl w:ilvl="1" w:tplc="2932D6CC">
      <w:start w:val="1"/>
      <w:numFmt w:val="decimal"/>
      <w:lvlText w:val="%2."/>
      <w:lvlJc w:val="left"/>
    </w:lvl>
    <w:lvl w:ilvl="2" w:tplc="FDE25218">
      <w:numFmt w:val="decimal"/>
      <w:lvlText w:val=""/>
      <w:lvlJc w:val="left"/>
    </w:lvl>
    <w:lvl w:ilvl="3" w:tplc="F196C018">
      <w:numFmt w:val="decimal"/>
      <w:lvlText w:val=""/>
      <w:lvlJc w:val="left"/>
    </w:lvl>
    <w:lvl w:ilvl="4" w:tplc="E8720270">
      <w:numFmt w:val="decimal"/>
      <w:lvlText w:val=""/>
      <w:lvlJc w:val="left"/>
    </w:lvl>
    <w:lvl w:ilvl="5" w:tplc="DF160728">
      <w:numFmt w:val="decimal"/>
      <w:lvlText w:val=""/>
      <w:lvlJc w:val="left"/>
    </w:lvl>
    <w:lvl w:ilvl="6" w:tplc="DB169AD0">
      <w:numFmt w:val="decimal"/>
      <w:lvlText w:val=""/>
      <w:lvlJc w:val="left"/>
    </w:lvl>
    <w:lvl w:ilvl="7" w:tplc="BC8CCC40">
      <w:numFmt w:val="decimal"/>
      <w:lvlText w:val=""/>
      <w:lvlJc w:val="left"/>
    </w:lvl>
    <w:lvl w:ilvl="8" w:tplc="29F2B7DE">
      <w:numFmt w:val="decimal"/>
      <w:lvlText w:val=""/>
      <w:lvlJc w:val="left"/>
    </w:lvl>
  </w:abstractNum>
  <w:abstractNum w:abstractNumId="417" w15:restartNumberingAfterBreak="0">
    <w:nsid w:val="000039B8"/>
    <w:multiLevelType w:val="hybridMultilevel"/>
    <w:tmpl w:val="F40025B4"/>
    <w:lvl w:ilvl="0" w:tplc="E9225510">
      <w:start w:val="9"/>
      <w:numFmt w:val="decimal"/>
      <w:lvlText w:val="(%1)"/>
      <w:lvlJc w:val="left"/>
    </w:lvl>
    <w:lvl w:ilvl="1" w:tplc="98BAAF9C">
      <w:start w:val="1"/>
      <w:numFmt w:val="lowerLetter"/>
      <w:lvlText w:val="(%2)"/>
      <w:lvlJc w:val="left"/>
    </w:lvl>
    <w:lvl w:ilvl="2" w:tplc="6C3CA2F2">
      <w:start w:val="1"/>
      <w:numFmt w:val="decimal"/>
      <w:lvlText w:val="%3"/>
      <w:lvlJc w:val="left"/>
    </w:lvl>
    <w:lvl w:ilvl="3" w:tplc="ADF2B79E">
      <w:start w:val="1"/>
      <w:numFmt w:val="decimal"/>
      <w:lvlText w:val="%4."/>
      <w:lvlJc w:val="left"/>
    </w:lvl>
    <w:lvl w:ilvl="4" w:tplc="A4E468F8">
      <w:start w:val="1"/>
      <w:numFmt w:val="lowerLetter"/>
      <w:lvlText w:val="%5."/>
      <w:lvlJc w:val="left"/>
    </w:lvl>
    <w:lvl w:ilvl="5" w:tplc="77927806">
      <w:start w:val="1"/>
      <w:numFmt w:val="lowerRoman"/>
      <w:lvlText w:val="(%6)"/>
      <w:lvlJc w:val="left"/>
    </w:lvl>
    <w:lvl w:ilvl="6" w:tplc="E6004BBC">
      <w:numFmt w:val="decimal"/>
      <w:lvlText w:val=""/>
      <w:lvlJc w:val="left"/>
    </w:lvl>
    <w:lvl w:ilvl="7" w:tplc="F40E4964">
      <w:numFmt w:val="decimal"/>
      <w:lvlText w:val=""/>
      <w:lvlJc w:val="left"/>
    </w:lvl>
    <w:lvl w:ilvl="8" w:tplc="0F22CBAA">
      <w:numFmt w:val="decimal"/>
      <w:lvlText w:val=""/>
      <w:lvlJc w:val="left"/>
    </w:lvl>
  </w:abstractNum>
  <w:abstractNum w:abstractNumId="418" w15:restartNumberingAfterBreak="0">
    <w:nsid w:val="000039C4"/>
    <w:multiLevelType w:val="hybridMultilevel"/>
    <w:tmpl w:val="6C50B8AC"/>
    <w:lvl w:ilvl="0" w:tplc="4FF6E8CC">
      <w:start w:val="1"/>
      <w:numFmt w:val="decimal"/>
      <w:lvlText w:val="(%1)"/>
      <w:lvlJc w:val="left"/>
    </w:lvl>
    <w:lvl w:ilvl="1" w:tplc="60924648">
      <w:start w:val="1"/>
      <w:numFmt w:val="lowerLetter"/>
      <w:lvlText w:val="(%2)"/>
      <w:lvlJc w:val="left"/>
    </w:lvl>
    <w:lvl w:ilvl="2" w:tplc="C4268352">
      <w:numFmt w:val="decimal"/>
      <w:lvlText w:val=""/>
      <w:lvlJc w:val="left"/>
    </w:lvl>
    <w:lvl w:ilvl="3" w:tplc="7C124802">
      <w:numFmt w:val="decimal"/>
      <w:lvlText w:val=""/>
      <w:lvlJc w:val="left"/>
    </w:lvl>
    <w:lvl w:ilvl="4" w:tplc="E422A6FC">
      <w:numFmt w:val="decimal"/>
      <w:lvlText w:val=""/>
      <w:lvlJc w:val="left"/>
    </w:lvl>
    <w:lvl w:ilvl="5" w:tplc="C0EA6EB8">
      <w:numFmt w:val="decimal"/>
      <w:lvlText w:val=""/>
      <w:lvlJc w:val="left"/>
    </w:lvl>
    <w:lvl w:ilvl="6" w:tplc="15D87950">
      <w:numFmt w:val="decimal"/>
      <w:lvlText w:val=""/>
      <w:lvlJc w:val="left"/>
    </w:lvl>
    <w:lvl w:ilvl="7" w:tplc="8F30BF68">
      <w:numFmt w:val="decimal"/>
      <w:lvlText w:val=""/>
      <w:lvlJc w:val="left"/>
    </w:lvl>
    <w:lvl w:ilvl="8" w:tplc="736EA8A6">
      <w:numFmt w:val="decimal"/>
      <w:lvlText w:val=""/>
      <w:lvlJc w:val="left"/>
    </w:lvl>
  </w:abstractNum>
  <w:abstractNum w:abstractNumId="419" w15:restartNumberingAfterBreak="0">
    <w:nsid w:val="000039C6"/>
    <w:multiLevelType w:val="hybridMultilevel"/>
    <w:tmpl w:val="97B47A10"/>
    <w:lvl w:ilvl="0" w:tplc="517699A4">
      <w:start w:val="2"/>
      <w:numFmt w:val="decimal"/>
      <w:lvlText w:val="%1."/>
      <w:lvlJc w:val="left"/>
    </w:lvl>
    <w:lvl w:ilvl="1" w:tplc="D13A2146">
      <w:numFmt w:val="decimal"/>
      <w:lvlText w:val=""/>
      <w:lvlJc w:val="left"/>
    </w:lvl>
    <w:lvl w:ilvl="2" w:tplc="C0A4F546">
      <w:numFmt w:val="decimal"/>
      <w:lvlText w:val=""/>
      <w:lvlJc w:val="left"/>
    </w:lvl>
    <w:lvl w:ilvl="3" w:tplc="3FC6042C">
      <w:numFmt w:val="decimal"/>
      <w:lvlText w:val=""/>
      <w:lvlJc w:val="left"/>
    </w:lvl>
    <w:lvl w:ilvl="4" w:tplc="4DD2C298">
      <w:numFmt w:val="decimal"/>
      <w:lvlText w:val=""/>
      <w:lvlJc w:val="left"/>
    </w:lvl>
    <w:lvl w:ilvl="5" w:tplc="F844D5F8">
      <w:numFmt w:val="decimal"/>
      <w:lvlText w:val=""/>
      <w:lvlJc w:val="left"/>
    </w:lvl>
    <w:lvl w:ilvl="6" w:tplc="3BE2D3A6">
      <w:numFmt w:val="decimal"/>
      <w:lvlText w:val=""/>
      <w:lvlJc w:val="left"/>
    </w:lvl>
    <w:lvl w:ilvl="7" w:tplc="456C9B1A">
      <w:numFmt w:val="decimal"/>
      <w:lvlText w:val=""/>
      <w:lvlJc w:val="left"/>
    </w:lvl>
    <w:lvl w:ilvl="8" w:tplc="D0C0DAD8">
      <w:numFmt w:val="decimal"/>
      <w:lvlText w:val=""/>
      <w:lvlJc w:val="left"/>
    </w:lvl>
  </w:abstractNum>
  <w:abstractNum w:abstractNumId="420" w15:restartNumberingAfterBreak="0">
    <w:nsid w:val="000039D1"/>
    <w:multiLevelType w:val="hybridMultilevel"/>
    <w:tmpl w:val="0C78C00E"/>
    <w:lvl w:ilvl="0" w:tplc="64662DB0">
      <w:start w:val="1"/>
      <w:numFmt w:val="lowerLetter"/>
      <w:lvlText w:val="%1"/>
      <w:lvlJc w:val="left"/>
    </w:lvl>
    <w:lvl w:ilvl="1" w:tplc="3D50AA48">
      <w:start w:val="310"/>
      <w:numFmt w:val="decimal"/>
      <w:lvlText w:val="%2"/>
      <w:lvlJc w:val="left"/>
    </w:lvl>
    <w:lvl w:ilvl="2" w:tplc="FA845F84">
      <w:start w:val="1"/>
      <w:numFmt w:val="lowerLetter"/>
      <w:lvlText w:val="%3"/>
      <w:lvlJc w:val="left"/>
    </w:lvl>
    <w:lvl w:ilvl="3" w:tplc="C3AAE00C">
      <w:numFmt w:val="decimal"/>
      <w:lvlText w:val=""/>
      <w:lvlJc w:val="left"/>
    </w:lvl>
    <w:lvl w:ilvl="4" w:tplc="EA461322">
      <w:numFmt w:val="decimal"/>
      <w:lvlText w:val=""/>
      <w:lvlJc w:val="left"/>
    </w:lvl>
    <w:lvl w:ilvl="5" w:tplc="6006363E">
      <w:numFmt w:val="decimal"/>
      <w:lvlText w:val=""/>
      <w:lvlJc w:val="left"/>
    </w:lvl>
    <w:lvl w:ilvl="6" w:tplc="73D06EA4">
      <w:numFmt w:val="decimal"/>
      <w:lvlText w:val=""/>
      <w:lvlJc w:val="left"/>
    </w:lvl>
    <w:lvl w:ilvl="7" w:tplc="2250C8EC">
      <w:numFmt w:val="decimal"/>
      <w:lvlText w:val=""/>
      <w:lvlJc w:val="left"/>
    </w:lvl>
    <w:lvl w:ilvl="8" w:tplc="7B54C24C">
      <w:numFmt w:val="decimal"/>
      <w:lvlText w:val=""/>
      <w:lvlJc w:val="left"/>
    </w:lvl>
  </w:abstractNum>
  <w:abstractNum w:abstractNumId="421" w15:restartNumberingAfterBreak="0">
    <w:nsid w:val="000039FC"/>
    <w:multiLevelType w:val="hybridMultilevel"/>
    <w:tmpl w:val="9EB073A6"/>
    <w:lvl w:ilvl="0" w:tplc="0D0AAC56">
      <w:start w:val="1"/>
      <w:numFmt w:val="decimal"/>
      <w:lvlText w:val="(%1)"/>
      <w:lvlJc w:val="left"/>
    </w:lvl>
    <w:lvl w:ilvl="1" w:tplc="CBB434D4">
      <w:start w:val="1"/>
      <w:numFmt w:val="lowerLetter"/>
      <w:lvlText w:val="(%2)"/>
      <w:lvlJc w:val="left"/>
    </w:lvl>
    <w:lvl w:ilvl="2" w:tplc="39A626BA">
      <w:numFmt w:val="decimal"/>
      <w:lvlText w:val=""/>
      <w:lvlJc w:val="left"/>
    </w:lvl>
    <w:lvl w:ilvl="3" w:tplc="380A5EB8">
      <w:numFmt w:val="decimal"/>
      <w:lvlText w:val=""/>
      <w:lvlJc w:val="left"/>
    </w:lvl>
    <w:lvl w:ilvl="4" w:tplc="336C1E94">
      <w:numFmt w:val="decimal"/>
      <w:lvlText w:val=""/>
      <w:lvlJc w:val="left"/>
    </w:lvl>
    <w:lvl w:ilvl="5" w:tplc="973EA80E">
      <w:numFmt w:val="decimal"/>
      <w:lvlText w:val=""/>
      <w:lvlJc w:val="left"/>
    </w:lvl>
    <w:lvl w:ilvl="6" w:tplc="B7EAFD8A">
      <w:numFmt w:val="decimal"/>
      <w:lvlText w:val=""/>
      <w:lvlJc w:val="left"/>
    </w:lvl>
    <w:lvl w:ilvl="7" w:tplc="21D8BCC4">
      <w:numFmt w:val="decimal"/>
      <w:lvlText w:val=""/>
      <w:lvlJc w:val="left"/>
    </w:lvl>
    <w:lvl w:ilvl="8" w:tplc="403C965C">
      <w:numFmt w:val="decimal"/>
      <w:lvlText w:val=""/>
      <w:lvlJc w:val="left"/>
    </w:lvl>
  </w:abstractNum>
  <w:abstractNum w:abstractNumId="422" w15:restartNumberingAfterBreak="0">
    <w:nsid w:val="00003A13"/>
    <w:multiLevelType w:val="hybridMultilevel"/>
    <w:tmpl w:val="3F3E8D2A"/>
    <w:lvl w:ilvl="0" w:tplc="F788E1EE">
      <w:start w:val="2"/>
      <w:numFmt w:val="decimal"/>
      <w:lvlText w:val="%1."/>
      <w:lvlJc w:val="left"/>
    </w:lvl>
    <w:lvl w:ilvl="1" w:tplc="FB020D0A">
      <w:start w:val="1"/>
      <w:numFmt w:val="lowerLetter"/>
      <w:lvlText w:val="%2."/>
      <w:lvlJc w:val="left"/>
    </w:lvl>
    <w:lvl w:ilvl="2" w:tplc="B62C5FFC">
      <w:start w:val="1"/>
      <w:numFmt w:val="lowerRoman"/>
      <w:lvlText w:val="%3."/>
      <w:lvlJc w:val="left"/>
    </w:lvl>
    <w:lvl w:ilvl="3" w:tplc="A358FB2E">
      <w:numFmt w:val="decimal"/>
      <w:lvlText w:val=""/>
      <w:lvlJc w:val="left"/>
    </w:lvl>
    <w:lvl w:ilvl="4" w:tplc="B484C1C8">
      <w:numFmt w:val="decimal"/>
      <w:lvlText w:val=""/>
      <w:lvlJc w:val="left"/>
    </w:lvl>
    <w:lvl w:ilvl="5" w:tplc="B0B0BD68">
      <w:numFmt w:val="decimal"/>
      <w:lvlText w:val=""/>
      <w:lvlJc w:val="left"/>
    </w:lvl>
    <w:lvl w:ilvl="6" w:tplc="B6C4ECFC">
      <w:numFmt w:val="decimal"/>
      <w:lvlText w:val=""/>
      <w:lvlJc w:val="left"/>
    </w:lvl>
    <w:lvl w:ilvl="7" w:tplc="1EE2319A">
      <w:numFmt w:val="decimal"/>
      <w:lvlText w:val=""/>
      <w:lvlJc w:val="left"/>
    </w:lvl>
    <w:lvl w:ilvl="8" w:tplc="30C45222">
      <w:numFmt w:val="decimal"/>
      <w:lvlText w:val=""/>
      <w:lvlJc w:val="left"/>
    </w:lvl>
  </w:abstractNum>
  <w:abstractNum w:abstractNumId="423" w15:restartNumberingAfterBreak="0">
    <w:nsid w:val="00003A36"/>
    <w:multiLevelType w:val="hybridMultilevel"/>
    <w:tmpl w:val="69264A12"/>
    <w:lvl w:ilvl="0" w:tplc="E18C6358">
      <w:start w:val="1"/>
      <w:numFmt w:val="decimal"/>
      <w:lvlText w:val="%1"/>
      <w:lvlJc w:val="left"/>
    </w:lvl>
    <w:lvl w:ilvl="1" w:tplc="BB58C172">
      <w:start w:val="1"/>
      <w:numFmt w:val="lowerLetter"/>
      <w:lvlText w:val="%2"/>
      <w:lvlJc w:val="left"/>
    </w:lvl>
    <w:lvl w:ilvl="2" w:tplc="BC160F5E">
      <w:start w:val="6"/>
      <w:numFmt w:val="decimal"/>
      <w:lvlText w:val="%3."/>
      <w:lvlJc w:val="left"/>
    </w:lvl>
    <w:lvl w:ilvl="3" w:tplc="DFAA04C6">
      <w:start w:val="1"/>
      <w:numFmt w:val="lowerLetter"/>
      <w:lvlText w:val="%4"/>
      <w:lvlJc w:val="left"/>
    </w:lvl>
    <w:lvl w:ilvl="4" w:tplc="854073E8">
      <w:numFmt w:val="decimal"/>
      <w:lvlText w:val=""/>
      <w:lvlJc w:val="left"/>
    </w:lvl>
    <w:lvl w:ilvl="5" w:tplc="23024D88">
      <w:numFmt w:val="decimal"/>
      <w:lvlText w:val=""/>
      <w:lvlJc w:val="left"/>
    </w:lvl>
    <w:lvl w:ilvl="6" w:tplc="DDC4247A">
      <w:numFmt w:val="decimal"/>
      <w:lvlText w:val=""/>
      <w:lvlJc w:val="left"/>
    </w:lvl>
    <w:lvl w:ilvl="7" w:tplc="A8CACDE4">
      <w:numFmt w:val="decimal"/>
      <w:lvlText w:val=""/>
      <w:lvlJc w:val="left"/>
    </w:lvl>
    <w:lvl w:ilvl="8" w:tplc="599C4A9C">
      <w:numFmt w:val="decimal"/>
      <w:lvlText w:val=""/>
      <w:lvlJc w:val="left"/>
    </w:lvl>
  </w:abstractNum>
  <w:abstractNum w:abstractNumId="424" w15:restartNumberingAfterBreak="0">
    <w:nsid w:val="00003A9D"/>
    <w:multiLevelType w:val="hybridMultilevel"/>
    <w:tmpl w:val="AE36D470"/>
    <w:lvl w:ilvl="0" w:tplc="712E595C">
      <w:start w:val="1"/>
      <w:numFmt w:val="lowerLetter"/>
      <w:lvlText w:val="%1"/>
      <w:lvlJc w:val="left"/>
    </w:lvl>
    <w:lvl w:ilvl="1" w:tplc="B8F89F10">
      <w:start w:val="2"/>
      <w:numFmt w:val="decimal"/>
      <w:lvlText w:val="%2."/>
      <w:lvlJc w:val="left"/>
    </w:lvl>
    <w:lvl w:ilvl="2" w:tplc="AF9CA5D4">
      <w:start w:val="1"/>
      <w:numFmt w:val="lowerLetter"/>
      <w:lvlText w:val="%3"/>
      <w:lvlJc w:val="left"/>
    </w:lvl>
    <w:lvl w:ilvl="3" w:tplc="6A0CA702">
      <w:numFmt w:val="decimal"/>
      <w:lvlText w:val=""/>
      <w:lvlJc w:val="left"/>
    </w:lvl>
    <w:lvl w:ilvl="4" w:tplc="72442E8C">
      <w:numFmt w:val="decimal"/>
      <w:lvlText w:val=""/>
      <w:lvlJc w:val="left"/>
    </w:lvl>
    <w:lvl w:ilvl="5" w:tplc="2CC63076">
      <w:numFmt w:val="decimal"/>
      <w:lvlText w:val=""/>
      <w:lvlJc w:val="left"/>
    </w:lvl>
    <w:lvl w:ilvl="6" w:tplc="AC5E4860">
      <w:numFmt w:val="decimal"/>
      <w:lvlText w:val=""/>
      <w:lvlJc w:val="left"/>
    </w:lvl>
    <w:lvl w:ilvl="7" w:tplc="F286C874">
      <w:numFmt w:val="decimal"/>
      <w:lvlText w:val=""/>
      <w:lvlJc w:val="left"/>
    </w:lvl>
    <w:lvl w:ilvl="8" w:tplc="ABEAAD42">
      <w:numFmt w:val="decimal"/>
      <w:lvlText w:val=""/>
      <w:lvlJc w:val="left"/>
    </w:lvl>
  </w:abstractNum>
  <w:abstractNum w:abstractNumId="425" w15:restartNumberingAfterBreak="0">
    <w:nsid w:val="00003AAE"/>
    <w:multiLevelType w:val="hybridMultilevel"/>
    <w:tmpl w:val="A63E1492"/>
    <w:lvl w:ilvl="0" w:tplc="87D2E5B8">
      <w:start w:val="1"/>
      <w:numFmt w:val="lowerLetter"/>
      <w:lvlText w:val="%1"/>
      <w:lvlJc w:val="left"/>
    </w:lvl>
    <w:lvl w:ilvl="1" w:tplc="487410BE">
      <w:start w:val="3"/>
      <w:numFmt w:val="decimal"/>
      <w:lvlText w:val="%2."/>
      <w:lvlJc w:val="left"/>
    </w:lvl>
    <w:lvl w:ilvl="2" w:tplc="9DDA4B68">
      <w:numFmt w:val="decimal"/>
      <w:lvlText w:val=""/>
      <w:lvlJc w:val="left"/>
    </w:lvl>
    <w:lvl w:ilvl="3" w:tplc="41A26764">
      <w:numFmt w:val="decimal"/>
      <w:lvlText w:val=""/>
      <w:lvlJc w:val="left"/>
    </w:lvl>
    <w:lvl w:ilvl="4" w:tplc="C1881342">
      <w:numFmt w:val="decimal"/>
      <w:lvlText w:val=""/>
      <w:lvlJc w:val="left"/>
    </w:lvl>
    <w:lvl w:ilvl="5" w:tplc="3D1242E6">
      <w:numFmt w:val="decimal"/>
      <w:lvlText w:val=""/>
      <w:lvlJc w:val="left"/>
    </w:lvl>
    <w:lvl w:ilvl="6" w:tplc="CB12143E">
      <w:numFmt w:val="decimal"/>
      <w:lvlText w:val=""/>
      <w:lvlJc w:val="left"/>
    </w:lvl>
    <w:lvl w:ilvl="7" w:tplc="0672B884">
      <w:numFmt w:val="decimal"/>
      <w:lvlText w:val=""/>
      <w:lvlJc w:val="left"/>
    </w:lvl>
    <w:lvl w:ilvl="8" w:tplc="276005BE">
      <w:numFmt w:val="decimal"/>
      <w:lvlText w:val=""/>
      <w:lvlJc w:val="left"/>
    </w:lvl>
  </w:abstractNum>
  <w:abstractNum w:abstractNumId="426" w15:restartNumberingAfterBreak="0">
    <w:nsid w:val="00003AE3"/>
    <w:multiLevelType w:val="hybridMultilevel"/>
    <w:tmpl w:val="E9B8C964"/>
    <w:lvl w:ilvl="0" w:tplc="8D160A98">
      <w:start w:val="1"/>
      <w:numFmt w:val="decimal"/>
      <w:lvlText w:val="%1"/>
      <w:lvlJc w:val="left"/>
    </w:lvl>
    <w:lvl w:ilvl="1" w:tplc="ECEE23DC">
      <w:numFmt w:val="decimal"/>
      <w:lvlText w:val=""/>
      <w:lvlJc w:val="left"/>
    </w:lvl>
    <w:lvl w:ilvl="2" w:tplc="FAA2D280">
      <w:numFmt w:val="decimal"/>
      <w:lvlText w:val=""/>
      <w:lvlJc w:val="left"/>
    </w:lvl>
    <w:lvl w:ilvl="3" w:tplc="FF30868A">
      <w:numFmt w:val="decimal"/>
      <w:lvlText w:val=""/>
      <w:lvlJc w:val="left"/>
    </w:lvl>
    <w:lvl w:ilvl="4" w:tplc="ECE22C62">
      <w:numFmt w:val="decimal"/>
      <w:lvlText w:val=""/>
      <w:lvlJc w:val="left"/>
    </w:lvl>
    <w:lvl w:ilvl="5" w:tplc="F9E8C988">
      <w:numFmt w:val="decimal"/>
      <w:lvlText w:val=""/>
      <w:lvlJc w:val="left"/>
    </w:lvl>
    <w:lvl w:ilvl="6" w:tplc="0BDA04A4">
      <w:numFmt w:val="decimal"/>
      <w:lvlText w:val=""/>
      <w:lvlJc w:val="left"/>
    </w:lvl>
    <w:lvl w:ilvl="7" w:tplc="5D224D28">
      <w:numFmt w:val="decimal"/>
      <w:lvlText w:val=""/>
      <w:lvlJc w:val="left"/>
    </w:lvl>
    <w:lvl w:ilvl="8" w:tplc="6AD266D0">
      <w:numFmt w:val="decimal"/>
      <w:lvlText w:val=""/>
      <w:lvlJc w:val="left"/>
    </w:lvl>
  </w:abstractNum>
  <w:abstractNum w:abstractNumId="427" w15:restartNumberingAfterBreak="0">
    <w:nsid w:val="00003AEC"/>
    <w:multiLevelType w:val="hybridMultilevel"/>
    <w:tmpl w:val="6E5C1700"/>
    <w:lvl w:ilvl="0" w:tplc="A5F647E0">
      <w:start w:val="1"/>
      <w:numFmt w:val="decimal"/>
      <w:lvlText w:val="%1"/>
      <w:lvlJc w:val="left"/>
    </w:lvl>
    <w:lvl w:ilvl="1" w:tplc="B426B2EA">
      <w:start w:val="1"/>
      <w:numFmt w:val="lowerLetter"/>
      <w:lvlText w:val="%2"/>
      <w:lvlJc w:val="left"/>
    </w:lvl>
    <w:lvl w:ilvl="2" w:tplc="2B187C06">
      <w:start w:val="5"/>
      <w:numFmt w:val="decimal"/>
      <w:lvlText w:val="%3."/>
      <w:lvlJc w:val="left"/>
    </w:lvl>
    <w:lvl w:ilvl="3" w:tplc="84CE32E6">
      <w:numFmt w:val="decimal"/>
      <w:lvlText w:val=""/>
      <w:lvlJc w:val="left"/>
    </w:lvl>
    <w:lvl w:ilvl="4" w:tplc="0DD8831E">
      <w:numFmt w:val="decimal"/>
      <w:lvlText w:val=""/>
      <w:lvlJc w:val="left"/>
    </w:lvl>
    <w:lvl w:ilvl="5" w:tplc="7E3AF124">
      <w:numFmt w:val="decimal"/>
      <w:lvlText w:val=""/>
      <w:lvlJc w:val="left"/>
    </w:lvl>
    <w:lvl w:ilvl="6" w:tplc="812A8A9C">
      <w:numFmt w:val="decimal"/>
      <w:lvlText w:val=""/>
      <w:lvlJc w:val="left"/>
    </w:lvl>
    <w:lvl w:ilvl="7" w:tplc="F4B08508">
      <w:numFmt w:val="decimal"/>
      <w:lvlText w:val=""/>
      <w:lvlJc w:val="left"/>
    </w:lvl>
    <w:lvl w:ilvl="8" w:tplc="EB50EC4A">
      <w:numFmt w:val="decimal"/>
      <w:lvlText w:val=""/>
      <w:lvlJc w:val="left"/>
    </w:lvl>
  </w:abstractNum>
  <w:abstractNum w:abstractNumId="428" w15:restartNumberingAfterBreak="0">
    <w:nsid w:val="00003B2B"/>
    <w:multiLevelType w:val="hybridMultilevel"/>
    <w:tmpl w:val="84B0EBEC"/>
    <w:lvl w:ilvl="0" w:tplc="5986DDB8">
      <w:start w:val="1"/>
      <w:numFmt w:val="decimal"/>
      <w:lvlText w:val="%1"/>
      <w:lvlJc w:val="left"/>
    </w:lvl>
    <w:lvl w:ilvl="1" w:tplc="A0D69E1E">
      <w:start w:val="1"/>
      <w:numFmt w:val="lowerLetter"/>
      <w:lvlText w:val="%2"/>
      <w:lvlJc w:val="left"/>
    </w:lvl>
    <w:lvl w:ilvl="2" w:tplc="92EA9822">
      <w:start w:val="3"/>
      <w:numFmt w:val="decimal"/>
      <w:lvlText w:val="%3."/>
      <w:lvlJc w:val="left"/>
    </w:lvl>
    <w:lvl w:ilvl="3" w:tplc="C6BCBB48">
      <w:start w:val="1"/>
      <w:numFmt w:val="lowerLetter"/>
      <w:lvlText w:val="%4"/>
      <w:lvlJc w:val="left"/>
    </w:lvl>
    <w:lvl w:ilvl="4" w:tplc="698A3122">
      <w:numFmt w:val="decimal"/>
      <w:lvlText w:val=""/>
      <w:lvlJc w:val="left"/>
    </w:lvl>
    <w:lvl w:ilvl="5" w:tplc="6CE4DFE0">
      <w:numFmt w:val="decimal"/>
      <w:lvlText w:val=""/>
      <w:lvlJc w:val="left"/>
    </w:lvl>
    <w:lvl w:ilvl="6" w:tplc="4D66CD98">
      <w:numFmt w:val="decimal"/>
      <w:lvlText w:val=""/>
      <w:lvlJc w:val="left"/>
    </w:lvl>
    <w:lvl w:ilvl="7" w:tplc="F00EE9C8">
      <w:numFmt w:val="decimal"/>
      <w:lvlText w:val=""/>
      <w:lvlJc w:val="left"/>
    </w:lvl>
    <w:lvl w:ilvl="8" w:tplc="3DB2321E">
      <w:numFmt w:val="decimal"/>
      <w:lvlText w:val=""/>
      <w:lvlJc w:val="left"/>
    </w:lvl>
  </w:abstractNum>
  <w:abstractNum w:abstractNumId="429" w15:restartNumberingAfterBreak="0">
    <w:nsid w:val="00003C0A"/>
    <w:multiLevelType w:val="hybridMultilevel"/>
    <w:tmpl w:val="373C66A2"/>
    <w:lvl w:ilvl="0" w:tplc="E9BA35D2">
      <w:start w:val="2"/>
      <w:numFmt w:val="decimal"/>
      <w:lvlText w:val="%1"/>
      <w:lvlJc w:val="left"/>
    </w:lvl>
    <w:lvl w:ilvl="1" w:tplc="05E69AE0">
      <w:numFmt w:val="decimal"/>
      <w:lvlText w:val=""/>
      <w:lvlJc w:val="left"/>
    </w:lvl>
    <w:lvl w:ilvl="2" w:tplc="23C476A0">
      <w:numFmt w:val="decimal"/>
      <w:lvlText w:val=""/>
      <w:lvlJc w:val="left"/>
    </w:lvl>
    <w:lvl w:ilvl="3" w:tplc="74984ED8">
      <w:numFmt w:val="decimal"/>
      <w:lvlText w:val=""/>
      <w:lvlJc w:val="left"/>
    </w:lvl>
    <w:lvl w:ilvl="4" w:tplc="10B65634">
      <w:numFmt w:val="decimal"/>
      <w:lvlText w:val=""/>
      <w:lvlJc w:val="left"/>
    </w:lvl>
    <w:lvl w:ilvl="5" w:tplc="61D45F06">
      <w:numFmt w:val="decimal"/>
      <w:lvlText w:val=""/>
      <w:lvlJc w:val="left"/>
    </w:lvl>
    <w:lvl w:ilvl="6" w:tplc="D11A6B28">
      <w:numFmt w:val="decimal"/>
      <w:lvlText w:val=""/>
      <w:lvlJc w:val="left"/>
    </w:lvl>
    <w:lvl w:ilvl="7" w:tplc="4176D3F8">
      <w:numFmt w:val="decimal"/>
      <w:lvlText w:val=""/>
      <w:lvlJc w:val="left"/>
    </w:lvl>
    <w:lvl w:ilvl="8" w:tplc="89F641E6">
      <w:numFmt w:val="decimal"/>
      <w:lvlText w:val=""/>
      <w:lvlJc w:val="left"/>
    </w:lvl>
  </w:abstractNum>
  <w:abstractNum w:abstractNumId="430" w15:restartNumberingAfterBreak="0">
    <w:nsid w:val="00003C47"/>
    <w:multiLevelType w:val="hybridMultilevel"/>
    <w:tmpl w:val="4D90FBAC"/>
    <w:lvl w:ilvl="0" w:tplc="BB343BEC">
      <w:start w:val="1"/>
      <w:numFmt w:val="lowerLetter"/>
      <w:lvlText w:val="%1."/>
      <w:lvlJc w:val="left"/>
      <w:rPr>
        <w:sz w:val="24"/>
        <w:szCs w:val="24"/>
      </w:rPr>
    </w:lvl>
    <w:lvl w:ilvl="1" w:tplc="673AADEE">
      <w:numFmt w:val="decimal"/>
      <w:lvlText w:val=""/>
      <w:lvlJc w:val="left"/>
    </w:lvl>
    <w:lvl w:ilvl="2" w:tplc="02FCD20A">
      <w:numFmt w:val="decimal"/>
      <w:lvlText w:val=""/>
      <w:lvlJc w:val="left"/>
    </w:lvl>
    <w:lvl w:ilvl="3" w:tplc="44CA776A">
      <w:numFmt w:val="decimal"/>
      <w:lvlText w:val=""/>
      <w:lvlJc w:val="left"/>
    </w:lvl>
    <w:lvl w:ilvl="4" w:tplc="8104F78A">
      <w:numFmt w:val="decimal"/>
      <w:lvlText w:val=""/>
      <w:lvlJc w:val="left"/>
    </w:lvl>
    <w:lvl w:ilvl="5" w:tplc="FA9CF518">
      <w:numFmt w:val="decimal"/>
      <w:lvlText w:val=""/>
      <w:lvlJc w:val="left"/>
    </w:lvl>
    <w:lvl w:ilvl="6" w:tplc="53684386">
      <w:numFmt w:val="decimal"/>
      <w:lvlText w:val=""/>
      <w:lvlJc w:val="left"/>
    </w:lvl>
    <w:lvl w:ilvl="7" w:tplc="BD643CB6">
      <w:numFmt w:val="decimal"/>
      <w:lvlText w:val=""/>
      <w:lvlJc w:val="left"/>
    </w:lvl>
    <w:lvl w:ilvl="8" w:tplc="65862A92">
      <w:numFmt w:val="decimal"/>
      <w:lvlText w:val=""/>
      <w:lvlJc w:val="left"/>
    </w:lvl>
  </w:abstractNum>
  <w:abstractNum w:abstractNumId="431" w15:restartNumberingAfterBreak="0">
    <w:nsid w:val="00003C64"/>
    <w:multiLevelType w:val="hybridMultilevel"/>
    <w:tmpl w:val="C0E0D168"/>
    <w:lvl w:ilvl="0" w:tplc="3314F774">
      <w:start w:val="1"/>
      <w:numFmt w:val="decimal"/>
      <w:lvlText w:val="%1"/>
      <w:lvlJc w:val="left"/>
    </w:lvl>
    <w:lvl w:ilvl="1" w:tplc="CF3476DC">
      <w:start w:val="1"/>
      <w:numFmt w:val="lowerLetter"/>
      <w:lvlText w:val="%2"/>
      <w:lvlJc w:val="left"/>
    </w:lvl>
    <w:lvl w:ilvl="2" w:tplc="61A2D81A">
      <w:start w:val="310"/>
      <w:numFmt w:val="decimal"/>
      <w:lvlText w:val="%3"/>
      <w:lvlJc w:val="left"/>
    </w:lvl>
    <w:lvl w:ilvl="3" w:tplc="0E8438EE">
      <w:start w:val="1"/>
      <w:numFmt w:val="lowerLetter"/>
      <w:lvlText w:val="%4."/>
      <w:lvlJc w:val="left"/>
    </w:lvl>
    <w:lvl w:ilvl="4" w:tplc="5E4E5E34">
      <w:numFmt w:val="decimal"/>
      <w:lvlText w:val=""/>
      <w:lvlJc w:val="left"/>
    </w:lvl>
    <w:lvl w:ilvl="5" w:tplc="7C88FD62">
      <w:numFmt w:val="decimal"/>
      <w:lvlText w:val=""/>
      <w:lvlJc w:val="left"/>
    </w:lvl>
    <w:lvl w:ilvl="6" w:tplc="1EBEB894">
      <w:numFmt w:val="decimal"/>
      <w:lvlText w:val=""/>
      <w:lvlJc w:val="left"/>
    </w:lvl>
    <w:lvl w:ilvl="7" w:tplc="91B2E552">
      <w:numFmt w:val="decimal"/>
      <w:lvlText w:val=""/>
      <w:lvlJc w:val="left"/>
    </w:lvl>
    <w:lvl w:ilvl="8" w:tplc="262A6A36">
      <w:numFmt w:val="decimal"/>
      <w:lvlText w:val=""/>
      <w:lvlJc w:val="left"/>
    </w:lvl>
  </w:abstractNum>
  <w:abstractNum w:abstractNumId="432" w15:restartNumberingAfterBreak="0">
    <w:nsid w:val="00003C6D"/>
    <w:multiLevelType w:val="hybridMultilevel"/>
    <w:tmpl w:val="D9F2A4AA"/>
    <w:lvl w:ilvl="0" w:tplc="A12A3256">
      <w:start w:val="2"/>
      <w:numFmt w:val="lowerLetter"/>
      <w:lvlText w:val="(%1)"/>
      <w:lvlJc w:val="left"/>
    </w:lvl>
    <w:lvl w:ilvl="1" w:tplc="73CA83C8">
      <w:start w:val="1"/>
      <w:numFmt w:val="decimal"/>
      <w:lvlText w:val="%2"/>
      <w:lvlJc w:val="left"/>
    </w:lvl>
    <w:lvl w:ilvl="2" w:tplc="FF0E6B66">
      <w:start w:val="1"/>
      <w:numFmt w:val="lowerLetter"/>
      <w:lvlText w:val="%3"/>
      <w:lvlJc w:val="left"/>
    </w:lvl>
    <w:lvl w:ilvl="3" w:tplc="92D0DDA6">
      <w:numFmt w:val="decimal"/>
      <w:lvlText w:val=""/>
      <w:lvlJc w:val="left"/>
    </w:lvl>
    <w:lvl w:ilvl="4" w:tplc="EC925C80">
      <w:numFmt w:val="decimal"/>
      <w:lvlText w:val=""/>
      <w:lvlJc w:val="left"/>
    </w:lvl>
    <w:lvl w:ilvl="5" w:tplc="318E5C84">
      <w:numFmt w:val="decimal"/>
      <w:lvlText w:val=""/>
      <w:lvlJc w:val="left"/>
    </w:lvl>
    <w:lvl w:ilvl="6" w:tplc="D260298A">
      <w:numFmt w:val="decimal"/>
      <w:lvlText w:val=""/>
      <w:lvlJc w:val="left"/>
    </w:lvl>
    <w:lvl w:ilvl="7" w:tplc="E104DA46">
      <w:numFmt w:val="decimal"/>
      <w:lvlText w:val=""/>
      <w:lvlJc w:val="left"/>
    </w:lvl>
    <w:lvl w:ilvl="8" w:tplc="406AB7E2">
      <w:numFmt w:val="decimal"/>
      <w:lvlText w:val=""/>
      <w:lvlJc w:val="left"/>
    </w:lvl>
  </w:abstractNum>
  <w:abstractNum w:abstractNumId="433" w15:restartNumberingAfterBreak="0">
    <w:nsid w:val="00003C87"/>
    <w:multiLevelType w:val="hybridMultilevel"/>
    <w:tmpl w:val="60925160"/>
    <w:lvl w:ilvl="0" w:tplc="374EF52A">
      <w:start w:val="4"/>
      <w:numFmt w:val="lowerLetter"/>
      <w:lvlText w:val="(%1)"/>
      <w:lvlJc w:val="left"/>
    </w:lvl>
    <w:lvl w:ilvl="1" w:tplc="11044A76">
      <w:start w:val="1"/>
      <w:numFmt w:val="decimal"/>
      <w:lvlText w:val="%2."/>
      <w:lvlJc w:val="left"/>
    </w:lvl>
    <w:lvl w:ilvl="2" w:tplc="F1FCFB3C">
      <w:start w:val="1"/>
      <w:numFmt w:val="lowerLetter"/>
      <w:lvlText w:val="%3"/>
      <w:lvlJc w:val="left"/>
    </w:lvl>
    <w:lvl w:ilvl="3" w:tplc="EBD29402">
      <w:numFmt w:val="decimal"/>
      <w:lvlText w:val=""/>
      <w:lvlJc w:val="left"/>
    </w:lvl>
    <w:lvl w:ilvl="4" w:tplc="BD088B1E">
      <w:numFmt w:val="decimal"/>
      <w:lvlText w:val=""/>
      <w:lvlJc w:val="left"/>
    </w:lvl>
    <w:lvl w:ilvl="5" w:tplc="99F85A0A">
      <w:numFmt w:val="decimal"/>
      <w:lvlText w:val=""/>
      <w:lvlJc w:val="left"/>
    </w:lvl>
    <w:lvl w:ilvl="6" w:tplc="C0368874">
      <w:numFmt w:val="decimal"/>
      <w:lvlText w:val=""/>
      <w:lvlJc w:val="left"/>
    </w:lvl>
    <w:lvl w:ilvl="7" w:tplc="5CACB6FE">
      <w:numFmt w:val="decimal"/>
      <w:lvlText w:val=""/>
      <w:lvlJc w:val="left"/>
    </w:lvl>
    <w:lvl w:ilvl="8" w:tplc="DEFE570C">
      <w:numFmt w:val="decimal"/>
      <w:lvlText w:val=""/>
      <w:lvlJc w:val="left"/>
    </w:lvl>
  </w:abstractNum>
  <w:abstractNum w:abstractNumId="434" w15:restartNumberingAfterBreak="0">
    <w:nsid w:val="00003CA9"/>
    <w:multiLevelType w:val="hybridMultilevel"/>
    <w:tmpl w:val="62663E46"/>
    <w:lvl w:ilvl="0" w:tplc="6CB60F1E">
      <w:start w:val="7"/>
      <w:numFmt w:val="decimal"/>
      <w:lvlText w:val="(%1)"/>
      <w:lvlJc w:val="left"/>
    </w:lvl>
    <w:lvl w:ilvl="1" w:tplc="5AD63AEC">
      <w:start w:val="1"/>
      <w:numFmt w:val="lowerLetter"/>
      <w:lvlText w:val="(%2)"/>
      <w:lvlJc w:val="left"/>
    </w:lvl>
    <w:lvl w:ilvl="2" w:tplc="E6D62162">
      <w:start w:val="1"/>
      <w:numFmt w:val="decimal"/>
      <w:lvlText w:val="%3"/>
      <w:lvlJc w:val="left"/>
    </w:lvl>
    <w:lvl w:ilvl="3" w:tplc="ECDC78CE">
      <w:numFmt w:val="decimal"/>
      <w:lvlText w:val=""/>
      <w:lvlJc w:val="left"/>
    </w:lvl>
    <w:lvl w:ilvl="4" w:tplc="DB8038B0">
      <w:numFmt w:val="decimal"/>
      <w:lvlText w:val=""/>
      <w:lvlJc w:val="left"/>
    </w:lvl>
    <w:lvl w:ilvl="5" w:tplc="1E1C8278">
      <w:numFmt w:val="decimal"/>
      <w:lvlText w:val=""/>
      <w:lvlJc w:val="left"/>
    </w:lvl>
    <w:lvl w:ilvl="6" w:tplc="D6482EAC">
      <w:numFmt w:val="decimal"/>
      <w:lvlText w:val=""/>
      <w:lvlJc w:val="left"/>
    </w:lvl>
    <w:lvl w:ilvl="7" w:tplc="056EBEB6">
      <w:numFmt w:val="decimal"/>
      <w:lvlText w:val=""/>
      <w:lvlJc w:val="left"/>
    </w:lvl>
    <w:lvl w:ilvl="8" w:tplc="E738F7DC">
      <w:numFmt w:val="decimal"/>
      <w:lvlText w:val=""/>
      <w:lvlJc w:val="left"/>
    </w:lvl>
  </w:abstractNum>
  <w:abstractNum w:abstractNumId="435" w15:restartNumberingAfterBreak="0">
    <w:nsid w:val="00003CCD"/>
    <w:multiLevelType w:val="hybridMultilevel"/>
    <w:tmpl w:val="DCD474DA"/>
    <w:lvl w:ilvl="0" w:tplc="63589F70">
      <w:start w:val="1"/>
      <w:numFmt w:val="decimal"/>
      <w:lvlText w:val="(%1)"/>
      <w:lvlJc w:val="left"/>
    </w:lvl>
    <w:lvl w:ilvl="1" w:tplc="15467D28">
      <w:start w:val="1"/>
      <w:numFmt w:val="lowerLetter"/>
      <w:lvlText w:val="(%2)"/>
      <w:lvlJc w:val="left"/>
    </w:lvl>
    <w:lvl w:ilvl="2" w:tplc="E780CE36">
      <w:start w:val="1"/>
      <w:numFmt w:val="decimal"/>
      <w:lvlText w:val="%3."/>
      <w:lvlJc w:val="left"/>
    </w:lvl>
    <w:lvl w:ilvl="3" w:tplc="952C4B9C">
      <w:numFmt w:val="decimal"/>
      <w:lvlText w:val=""/>
      <w:lvlJc w:val="left"/>
    </w:lvl>
    <w:lvl w:ilvl="4" w:tplc="2C44A272">
      <w:numFmt w:val="decimal"/>
      <w:lvlText w:val=""/>
      <w:lvlJc w:val="left"/>
    </w:lvl>
    <w:lvl w:ilvl="5" w:tplc="6D665E30">
      <w:numFmt w:val="decimal"/>
      <w:lvlText w:val=""/>
      <w:lvlJc w:val="left"/>
    </w:lvl>
    <w:lvl w:ilvl="6" w:tplc="E61A16C0">
      <w:numFmt w:val="decimal"/>
      <w:lvlText w:val=""/>
      <w:lvlJc w:val="left"/>
    </w:lvl>
    <w:lvl w:ilvl="7" w:tplc="485A3B68">
      <w:numFmt w:val="decimal"/>
      <w:lvlText w:val=""/>
      <w:lvlJc w:val="left"/>
    </w:lvl>
    <w:lvl w:ilvl="8" w:tplc="923A46B4">
      <w:numFmt w:val="decimal"/>
      <w:lvlText w:val=""/>
      <w:lvlJc w:val="left"/>
    </w:lvl>
  </w:abstractNum>
  <w:abstractNum w:abstractNumId="436" w15:restartNumberingAfterBreak="0">
    <w:nsid w:val="00003D31"/>
    <w:multiLevelType w:val="hybridMultilevel"/>
    <w:tmpl w:val="C2C82E00"/>
    <w:lvl w:ilvl="0" w:tplc="106E910E">
      <w:start w:val="3"/>
      <w:numFmt w:val="decimal"/>
      <w:lvlText w:val="%1."/>
      <w:lvlJc w:val="left"/>
    </w:lvl>
    <w:lvl w:ilvl="1" w:tplc="5DCAA302">
      <w:numFmt w:val="decimal"/>
      <w:lvlText w:val=""/>
      <w:lvlJc w:val="left"/>
    </w:lvl>
    <w:lvl w:ilvl="2" w:tplc="19E0F9FE">
      <w:numFmt w:val="decimal"/>
      <w:lvlText w:val=""/>
      <w:lvlJc w:val="left"/>
    </w:lvl>
    <w:lvl w:ilvl="3" w:tplc="50008FAE">
      <w:numFmt w:val="decimal"/>
      <w:lvlText w:val=""/>
      <w:lvlJc w:val="left"/>
    </w:lvl>
    <w:lvl w:ilvl="4" w:tplc="75B88ECC">
      <w:numFmt w:val="decimal"/>
      <w:lvlText w:val=""/>
      <w:lvlJc w:val="left"/>
    </w:lvl>
    <w:lvl w:ilvl="5" w:tplc="B0B48404">
      <w:numFmt w:val="decimal"/>
      <w:lvlText w:val=""/>
      <w:lvlJc w:val="left"/>
    </w:lvl>
    <w:lvl w:ilvl="6" w:tplc="0BD2B57A">
      <w:numFmt w:val="decimal"/>
      <w:lvlText w:val=""/>
      <w:lvlJc w:val="left"/>
    </w:lvl>
    <w:lvl w:ilvl="7" w:tplc="93BE8DDC">
      <w:numFmt w:val="decimal"/>
      <w:lvlText w:val=""/>
      <w:lvlJc w:val="left"/>
    </w:lvl>
    <w:lvl w:ilvl="8" w:tplc="BD782C52">
      <w:numFmt w:val="decimal"/>
      <w:lvlText w:val=""/>
      <w:lvlJc w:val="left"/>
    </w:lvl>
  </w:abstractNum>
  <w:abstractNum w:abstractNumId="437" w15:restartNumberingAfterBreak="0">
    <w:nsid w:val="00003D3E"/>
    <w:multiLevelType w:val="hybridMultilevel"/>
    <w:tmpl w:val="22D6D438"/>
    <w:lvl w:ilvl="0" w:tplc="FFEA43A8">
      <w:start w:val="4"/>
      <w:numFmt w:val="decimal"/>
      <w:lvlText w:val="(%1)"/>
      <w:lvlJc w:val="left"/>
    </w:lvl>
    <w:lvl w:ilvl="1" w:tplc="F0466C9C">
      <w:start w:val="1"/>
      <w:numFmt w:val="lowerLetter"/>
      <w:lvlText w:val="(%2)"/>
      <w:lvlJc w:val="left"/>
    </w:lvl>
    <w:lvl w:ilvl="2" w:tplc="033C5154">
      <w:numFmt w:val="decimal"/>
      <w:lvlText w:val=""/>
      <w:lvlJc w:val="left"/>
    </w:lvl>
    <w:lvl w:ilvl="3" w:tplc="8F7AAFBA">
      <w:numFmt w:val="decimal"/>
      <w:lvlText w:val=""/>
      <w:lvlJc w:val="left"/>
    </w:lvl>
    <w:lvl w:ilvl="4" w:tplc="0DC211F6">
      <w:numFmt w:val="decimal"/>
      <w:lvlText w:val=""/>
      <w:lvlJc w:val="left"/>
    </w:lvl>
    <w:lvl w:ilvl="5" w:tplc="77627DEE">
      <w:numFmt w:val="decimal"/>
      <w:lvlText w:val=""/>
      <w:lvlJc w:val="left"/>
    </w:lvl>
    <w:lvl w:ilvl="6" w:tplc="B2A022E6">
      <w:numFmt w:val="decimal"/>
      <w:lvlText w:val=""/>
      <w:lvlJc w:val="left"/>
    </w:lvl>
    <w:lvl w:ilvl="7" w:tplc="27BA61E2">
      <w:numFmt w:val="decimal"/>
      <w:lvlText w:val=""/>
      <w:lvlJc w:val="left"/>
    </w:lvl>
    <w:lvl w:ilvl="8" w:tplc="A036C45C">
      <w:numFmt w:val="decimal"/>
      <w:lvlText w:val=""/>
      <w:lvlJc w:val="left"/>
    </w:lvl>
  </w:abstractNum>
  <w:abstractNum w:abstractNumId="438" w15:restartNumberingAfterBreak="0">
    <w:nsid w:val="00003DAF"/>
    <w:multiLevelType w:val="hybridMultilevel"/>
    <w:tmpl w:val="6BE0D23C"/>
    <w:lvl w:ilvl="0" w:tplc="F294A906">
      <w:start w:val="1"/>
      <w:numFmt w:val="lowerLetter"/>
      <w:lvlText w:val="%1"/>
      <w:lvlJc w:val="left"/>
    </w:lvl>
    <w:lvl w:ilvl="1" w:tplc="C9F09730">
      <w:start w:val="3"/>
      <w:numFmt w:val="decimal"/>
      <w:lvlText w:val="%2."/>
      <w:lvlJc w:val="left"/>
    </w:lvl>
    <w:lvl w:ilvl="2" w:tplc="A912BD02">
      <w:start w:val="1"/>
      <w:numFmt w:val="lowerLetter"/>
      <w:lvlText w:val="%3."/>
      <w:lvlJc w:val="left"/>
    </w:lvl>
    <w:lvl w:ilvl="3" w:tplc="AA061E66">
      <w:numFmt w:val="decimal"/>
      <w:lvlText w:val=""/>
      <w:lvlJc w:val="left"/>
    </w:lvl>
    <w:lvl w:ilvl="4" w:tplc="853CACFE">
      <w:numFmt w:val="decimal"/>
      <w:lvlText w:val=""/>
      <w:lvlJc w:val="left"/>
    </w:lvl>
    <w:lvl w:ilvl="5" w:tplc="FDC28580">
      <w:numFmt w:val="decimal"/>
      <w:lvlText w:val=""/>
      <w:lvlJc w:val="left"/>
    </w:lvl>
    <w:lvl w:ilvl="6" w:tplc="107A6594">
      <w:numFmt w:val="decimal"/>
      <w:lvlText w:val=""/>
      <w:lvlJc w:val="left"/>
    </w:lvl>
    <w:lvl w:ilvl="7" w:tplc="5358B210">
      <w:numFmt w:val="decimal"/>
      <w:lvlText w:val=""/>
      <w:lvlJc w:val="left"/>
    </w:lvl>
    <w:lvl w:ilvl="8" w:tplc="A582DBD4">
      <w:numFmt w:val="decimal"/>
      <w:lvlText w:val=""/>
      <w:lvlJc w:val="left"/>
    </w:lvl>
  </w:abstractNum>
  <w:abstractNum w:abstractNumId="439" w15:restartNumberingAfterBreak="0">
    <w:nsid w:val="00003DC5"/>
    <w:multiLevelType w:val="hybridMultilevel"/>
    <w:tmpl w:val="227A2442"/>
    <w:lvl w:ilvl="0" w:tplc="5FFA4CFA">
      <w:start w:val="2"/>
      <w:numFmt w:val="decimal"/>
      <w:lvlText w:val="(%1)"/>
      <w:lvlJc w:val="left"/>
    </w:lvl>
    <w:lvl w:ilvl="1" w:tplc="AAE48738">
      <w:start w:val="1"/>
      <w:numFmt w:val="lowerLetter"/>
      <w:lvlText w:val="(%2)"/>
      <w:lvlJc w:val="left"/>
    </w:lvl>
    <w:lvl w:ilvl="2" w:tplc="0EF88A4E">
      <w:start w:val="1"/>
      <w:numFmt w:val="decimal"/>
      <w:lvlText w:val="%3"/>
      <w:lvlJc w:val="left"/>
    </w:lvl>
    <w:lvl w:ilvl="3" w:tplc="4CD8691C">
      <w:numFmt w:val="decimal"/>
      <w:lvlText w:val=""/>
      <w:lvlJc w:val="left"/>
    </w:lvl>
    <w:lvl w:ilvl="4" w:tplc="DBFA83FA">
      <w:numFmt w:val="decimal"/>
      <w:lvlText w:val=""/>
      <w:lvlJc w:val="left"/>
    </w:lvl>
    <w:lvl w:ilvl="5" w:tplc="6F4638FE">
      <w:numFmt w:val="decimal"/>
      <w:lvlText w:val=""/>
      <w:lvlJc w:val="left"/>
    </w:lvl>
    <w:lvl w:ilvl="6" w:tplc="E5B034BA">
      <w:numFmt w:val="decimal"/>
      <w:lvlText w:val=""/>
      <w:lvlJc w:val="left"/>
    </w:lvl>
    <w:lvl w:ilvl="7" w:tplc="4728611A">
      <w:numFmt w:val="decimal"/>
      <w:lvlText w:val=""/>
      <w:lvlJc w:val="left"/>
    </w:lvl>
    <w:lvl w:ilvl="8" w:tplc="7ECCF686">
      <w:numFmt w:val="decimal"/>
      <w:lvlText w:val=""/>
      <w:lvlJc w:val="left"/>
    </w:lvl>
  </w:abstractNum>
  <w:abstractNum w:abstractNumId="440" w15:restartNumberingAfterBreak="0">
    <w:nsid w:val="00003DC6"/>
    <w:multiLevelType w:val="hybridMultilevel"/>
    <w:tmpl w:val="3DB6F040"/>
    <w:lvl w:ilvl="0" w:tplc="848EC704">
      <w:start w:val="1"/>
      <w:numFmt w:val="lowerLetter"/>
      <w:lvlText w:val="%1"/>
      <w:lvlJc w:val="left"/>
    </w:lvl>
    <w:lvl w:ilvl="1" w:tplc="79FC2026">
      <w:start w:val="2"/>
      <w:numFmt w:val="decimal"/>
      <w:lvlText w:val="%2."/>
      <w:lvlJc w:val="left"/>
    </w:lvl>
    <w:lvl w:ilvl="2" w:tplc="B548090C">
      <w:start w:val="1"/>
      <w:numFmt w:val="lowerLetter"/>
      <w:lvlText w:val="%3."/>
      <w:lvlJc w:val="left"/>
    </w:lvl>
    <w:lvl w:ilvl="3" w:tplc="5DDE8BB0">
      <w:numFmt w:val="decimal"/>
      <w:lvlText w:val=""/>
      <w:lvlJc w:val="left"/>
    </w:lvl>
    <w:lvl w:ilvl="4" w:tplc="856CF910">
      <w:numFmt w:val="decimal"/>
      <w:lvlText w:val=""/>
      <w:lvlJc w:val="left"/>
    </w:lvl>
    <w:lvl w:ilvl="5" w:tplc="6104396C">
      <w:numFmt w:val="decimal"/>
      <w:lvlText w:val=""/>
      <w:lvlJc w:val="left"/>
    </w:lvl>
    <w:lvl w:ilvl="6" w:tplc="6EA6720E">
      <w:numFmt w:val="decimal"/>
      <w:lvlText w:val=""/>
      <w:lvlJc w:val="left"/>
    </w:lvl>
    <w:lvl w:ilvl="7" w:tplc="06A679BE">
      <w:numFmt w:val="decimal"/>
      <w:lvlText w:val=""/>
      <w:lvlJc w:val="left"/>
    </w:lvl>
    <w:lvl w:ilvl="8" w:tplc="CDE2178E">
      <w:numFmt w:val="decimal"/>
      <w:lvlText w:val=""/>
      <w:lvlJc w:val="left"/>
    </w:lvl>
  </w:abstractNum>
  <w:abstractNum w:abstractNumId="441" w15:restartNumberingAfterBreak="0">
    <w:nsid w:val="00003DDA"/>
    <w:multiLevelType w:val="hybridMultilevel"/>
    <w:tmpl w:val="00ECDC94"/>
    <w:lvl w:ilvl="0" w:tplc="C7FA5190">
      <w:start w:val="1"/>
      <w:numFmt w:val="decimal"/>
      <w:lvlText w:val="%1"/>
      <w:lvlJc w:val="left"/>
    </w:lvl>
    <w:lvl w:ilvl="1" w:tplc="75E412CE">
      <w:start w:val="1"/>
      <w:numFmt w:val="lowerLetter"/>
      <w:lvlText w:val="%2"/>
      <w:lvlJc w:val="left"/>
    </w:lvl>
    <w:lvl w:ilvl="2" w:tplc="E06E89F4">
      <w:start w:val="8"/>
      <w:numFmt w:val="decimal"/>
      <w:lvlText w:val="%3."/>
      <w:lvlJc w:val="left"/>
    </w:lvl>
    <w:lvl w:ilvl="3" w:tplc="C6F8A6EC">
      <w:numFmt w:val="decimal"/>
      <w:lvlText w:val=""/>
      <w:lvlJc w:val="left"/>
    </w:lvl>
    <w:lvl w:ilvl="4" w:tplc="491E9CA0">
      <w:numFmt w:val="decimal"/>
      <w:lvlText w:val=""/>
      <w:lvlJc w:val="left"/>
    </w:lvl>
    <w:lvl w:ilvl="5" w:tplc="27E0317A">
      <w:numFmt w:val="decimal"/>
      <w:lvlText w:val=""/>
      <w:lvlJc w:val="left"/>
    </w:lvl>
    <w:lvl w:ilvl="6" w:tplc="68CCE87C">
      <w:numFmt w:val="decimal"/>
      <w:lvlText w:val=""/>
      <w:lvlJc w:val="left"/>
    </w:lvl>
    <w:lvl w:ilvl="7" w:tplc="908CD8DC">
      <w:numFmt w:val="decimal"/>
      <w:lvlText w:val=""/>
      <w:lvlJc w:val="left"/>
    </w:lvl>
    <w:lvl w:ilvl="8" w:tplc="00EEFED2">
      <w:numFmt w:val="decimal"/>
      <w:lvlText w:val=""/>
      <w:lvlJc w:val="left"/>
    </w:lvl>
  </w:abstractNum>
  <w:abstractNum w:abstractNumId="442" w15:restartNumberingAfterBreak="0">
    <w:nsid w:val="00003DFF"/>
    <w:multiLevelType w:val="hybridMultilevel"/>
    <w:tmpl w:val="8F286EE0"/>
    <w:lvl w:ilvl="0" w:tplc="20DE5642">
      <w:start w:val="6"/>
      <w:numFmt w:val="lowerLetter"/>
      <w:lvlText w:val="(%1)"/>
      <w:lvlJc w:val="left"/>
    </w:lvl>
    <w:lvl w:ilvl="1" w:tplc="81400C92">
      <w:start w:val="1"/>
      <w:numFmt w:val="decimal"/>
      <w:lvlText w:val="%2."/>
      <w:lvlJc w:val="left"/>
    </w:lvl>
    <w:lvl w:ilvl="2" w:tplc="9C084D00">
      <w:start w:val="1"/>
      <w:numFmt w:val="lowerLetter"/>
      <w:lvlText w:val="%3."/>
      <w:lvlJc w:val="left"/>
    </w:lvl>
    <w:lvl w:ilvl="3" w:tplc="4B64AC58">
      <w:numFmt w:val="decimal"/>
      <w:lvlText w:val=""/>
      <w:lvlJc w:val="left"/>
    </w:lvl>
    <w:lvl w:ilvl="4" w:tplc="3530E304">
      <w:numFmt w:val="decimal"/>
      <w:lvlText w:val=""/>
      <w:lvlJc w:val="left"/>
    </w:lvl>
    <w:lvl w:ilvl="5" w:tplc="D1449A30">
      <w:numFmt w:val="decimal"/>
      <w:lvlText w:val=""/>
      <w:lvlJc w:val="left"/>
    </w:lvl>
    <w:lvl w:ilvl="6" w:tplc="AE8E1066">
      <w:numFmt w:val="decimal"/>
      <w:lvlText w:val=""/>
      <w:lvlJc w:val="left"/>
    </w:lvl>
    <w:lvl w:ilvl="7" w:tplc="91FC17A8">
      <w:numFmt w:val="decimal"/>
      <w:lvlText w:val=""/>
      <w:lvlJc w:val="left"/>
    </w:lvl>
    <w:lvl w:ilvl="8" w:tplc="D3BEAADA">
      <w:numFmt w:val="decimal"/>
      <w:lvlText w:val=""/>
      <w:lvlJc w:val="left"/>
    </w:lvl>
  </w:abstractNum>
  <w:abstractNum w:abstractNumId="443" w15:restartNumberingAfterBreak="0">
    <w:nsid w:val="00003E4B"/>
    <w:multiLevelType w:val="hybridMultilevel"/>
    <w:tmpl w:val="9CE0E4F4"/>
    <w:lvl w:ilvl="0" w:tplc="263C1674">
      <w:start w:val="3"/>
      <w:numFmt w:val="lowerLetter"/>
      <w:lvlText w:val="(%1)"/>
      <w:lvlJc w:val="left"/>
    </w:lvl>
    <w:lvl w:ilvl="1" w:tplc="BCEE84B2">
      <w:numFmt w:val="decimal"/>
      <w:lvlText w:val=""/>
      <w:lvlJc w:val="left"/>
    </w:lvl>
    <w:lvl w:ilvl="2" w:tplc="06D21BF6">
      <w:numFmt w:val="decimal"/>
      <w:lvlText w:val=""/>
      <w:lvlJc w:val="left"/>
    </w:lvl>
    <w:lvl w:ilvl="3" w:tplc="05CE042A">
      <w:numFmt w:val="decimal"/>
      <w:lvlText w:val=""/>
      <w:lvlJc w:val="left"/>
    </w:lvl>
    <w:lvl w:ilvl="4" w:tplc="38F21C2A">
      <w:numFmt w:val="decimal"/>
      <w:lvlText w:val=""/>
      <w:lvlJc w:val="left"/>
    </w:lvl>
    <w:lvl w:ilvl="5" w:tplc="EC94A362">
      <w:numFmt w:val="decimal"/>
      <w:lvlText w:val=""/>
      <w:lvlJc w:val="left"/>
    </w:lvl>
    <w:lvl w:ilvl="6" w:tplc="61C2E7C0">
      <w:numFmt w:val="decimal"/>
      <w:lvlText w:val=""/>
      <w:lvlJc w:val="left"/>
    </w:lvl>
    <w:lvl w:ilvl="7" w:tplc="7360972C">
      <w:numFmt w:val="decimal"/>
      <w:lvlText w:val=""/>
      <w:lvlJc w:val="left"/>
    </w:lvl>
    <w:lvl w:ilvl="8" w:tplc="00D40CEC">
      <w:numFmt w:val="decimal"/>
      <w:lvlText w:val=""/>
      <w:lvlJc w:val="left"/>
    </w:lvl>
  </w:abstractNum>
  <w:abstractNum w:abstractNumId="444" w15:restartNumberingAfterBreak="0">
    <w:nsid w:val="00003E61"/>
    <w:multiLevelType w:val="hybridMultilevel"/>
    <w:tmpl w:val="02BA1CA4"/>
    <w:lvl w:ilvl="0" w:tplc="33A24444">
      <w:start w:val="2"/>
      <w:numFmt w:val="decimal"/>
      <w:lvlText w:val="%1."/>
      <w:lvlJc w:val="left"/>
    </w:lvl>
    <w:lvl w:ilvl="1" w:tplc="33361688">
      <w:start w:val="1"/>
      <w:numFmt w:val="lowerLetter"/>
      <w:lvlText w:val="%2."/>
      <w:lvlJc w:val="left"/>
    </w:lvl>
    <w:lvl w:ilvl="2" w:tplc="A3BCE1F2">
      <w:numFmt w:val="decimal"/>
      <w:lvlText w:val=""/>
      <w:lvlJc w:val="left"/>
    </w:lvl>
    <w:lvl w:ilvl="3" w:tplc="975A03FA">
      <w:numFmt w:val="decimal"/>
      <w:lvlText w:val=""/>
      <w:lvlJc w:val="left"/>
    </w:lvl>
    <w:lvl w:ilvl="4" w:tplc="03BA303A">
      <w:numFmt w:val="decimal"/>
      <w:lvlText w:val=""/>
      <w:lvlJc w:val="left"/>
    </w:lvl>
    <w:lvl w:ilvl="5" w:tplc="A05C90F0">
      <w:numFmt w:val="decimal"/>
      <w:lvlText w:val=""/>
      <w:lvlJc w:val="left"/>
    </w:lvl>
    <w:lvl w:ilvl="6" w:tplc="B76AE9E6">
      <w:numFmt w:val="decimal"/>
      <w:lvlText w:val=""/>
      <w:lvlJc w:val="left"/>
    </w:lvl>
    <w:lvl w:ilvl="7" w:tplc="E3C23126">
      <w:numFmt w:val="decimal"/>
      <w:lvlText w:val=""/>
      <w:lvlJc w:val="left"/>
    </w:lvl>
    <w:lvl w:ilvl="8" w:tplc="DCF2D2D4">
      <w:numFmt w:val="decimal"/>
      <w:lvlText w:val=""/>
      <w:lvlJc w:val="left"/>
    </w:lvl>
  </w:abstractNum>
  <w:abstractNum w:abstractNumId="445" w15:restartNumberingAfterBreak="0">
    <w:nsid w:val="00003E73"/>
    <w:multiLevelType w:val="hybridMultilevel"/>
    <w:tmpl w:val="FBC2C5C2"/>
    <w:lvl w:ilvl="0" w:tplc="5692732C">
      <w:start w:val="1"/>
      <w:numFmt w:val="decimal"/>
      <w:lvlText w:val="%1"/>
      <w:lvlJc w:val="left"/>
    </w:lvl>
    <w:lvl w:ilvl="1" w:tplc="F410CFC4">
      <w:start w:val="2"/>
      <w:numFmt w:val="lowerLetter"/>
      <w:lvlText w:val="(%2)"/>
      <w:lvlJc w:val="left"/>
    </w:lvl>
    <w:lvl w:ilvl="2" w:tplc="4ADA009E">
      <w:start w:val="1"/>
      <w:numFmt w:val="decimal"/>
      <w:lvlText w:val="%3."/>
      <w:lvlJc w:val="left"/>
    </w:lvl>
    <w:lvl w:ilvl="3" w:tplc="24D67CE4">
      <w:start w:val="1"/>
      <w:numFmt w:val="lowerLetter"/>
      <w:lvlText w:val="%4"/>
      <w:lvlJc w:val="left"/>
    </w:lvl>
    <w:lvl w:ilvl="4" w:tplc="C2E43328">
      <w:numFmt w:val="decimal"/>
      <w:lvlText w:val=""/>
      <w:lvlJc w:val="left"/>
    </w:lvl>
    <w:lvl w:ilvl="5" w:tplc="D156764E">
      <w:numFmt w:val="decimal"/>
      <w:lvlText w:val=""/>
      <w:lvlJc w:val="left"/>
    </w:lvl>
    <w:lvl w:ilvl="6" w:tplc="09CE852A">
      <w:numFmt w:val="decimal"/>
      <w:lvlText w:val=""/>
      <w:lvlJc w:val="left"/>
    </w:lvl>
    <w:lvl w:ilvl="7" w:tplc="17A207B4">
      <w:numFmt w:val="decimal"/>
      <w:lvlText w:val=""/>
      <w:lvlJc w:val="left"/>
    </w:lvl>
    <w:lvl w:ilvl="8" w:tplc="CEAE75A4">
      <w:numFmt w:val="decimal"/>
      <w:lvlText w:val=""/>
      <w:lvlJc w:val="left"/>
    </w:lvl>
  </w:abstractNum>
  <w:abstractNum w:abstractNumId="446" w15:restartNumberingAfterBreak="0">
    <w:nsid w:val="00003E79"/>
    <w:multiLevelType w:val="hybridMultilevel"/>
    <w:tmpl w:val="D93422D0"/>
    <w:lvl w:ilvl="0" w:tplc="0C9612CC">
      <w:start w:val="3"/>
      <w:numFmt w:val="lowerLetter"/>
      <w:lvlText w:val="%1."/>
      <w:lvlJc w:val="left"/>
    </w:lvl>
    <w:lvl w:ilvl="1" w:tplc="5AF033C4">
      <w:numFmt w:val="decimal"/>
      <w:lvlText w:val=""/>
      <w:lvlJc w:val="left"/>
    </w:lvl>
    <w:lvl w:ilvl="2" w:tplc="6AFEF10E">
      <w:numFmt w:val="decimal"/>
      <w:lvlText w:val=""/>
      <w:lvlJc w:val="left"/>
    </w:lvl>
    <w:lvl w:ilvl="3" w:tplc="4D2E3572">
      <w:numFmt w:val="decimal"/>
      <w:lvlText w:val=""/>
      <w:lvlJc w:val="left"/>
    </w:lvl>
    <w:lvl w:ilvl="4" w:tplc="B5A64C9A">
      <w:numFmt w:val="decimal"/>
      <w:lvlText w:val=""/>
      <w:lvlJc w:val="left"/>
    </w:lvl>
    <w:lvl w:ilvl="5" w:tplc="0B586E20">
      <w:numFmt w:val="decimal"/>
      <w:lvlText w:val=""/>
      <w:lvlJc w:val="left"/>
    </w:lvl>
    <w:lvl w:ilvl="6" w:tplc="4E9AEB38">
      <w:numFmt w:val="decimal"/>
      <w:lvlText w:val=""/>
      <w:lvlJc w:val="left"/>
    </w:lvl>
    <w:lvl w:ilvl="7" w:tplc="57B887A0">
      <w:numFmt w:val="decimal"/>
      <w:lvlText w:val=""/>
      <w:lvlJc w:val="left"/>
    </w:lvl>
    <w:lvl w:ilvl="8" w:tplc="A2D06E72">
      <w:numFmt w:val="decimal"/>
      <w:lvlText w:val=""/>
      <w:lvlJc w:val="left"/>
    </w:lvl>
  </w:abstractNum>
  <w:abstractNum w:abstractNumId="447" w15:restartNumberingAfterBreak="0">
    <w:nsid w:val="00003EBC"/>
    <w:multiLevelType w:val="hybridMultilevel"/>
    <w:tmpl w:val="F68C0E84"/>
    <w:lvl w:ilvl="0" w:tplc="343419E6">
      <w:start w:val="5"/>
      <w:numFmt w:val="decimal"/>
      <w:lvlText w:val="(%1)"/>
      <w:lvlJc w:val="left"/>
    </w:lvl>
    <w:lvl w:ilvl="1" w:tplc="0BB0A0E6">
      <w:start w:val="1"/>
      <w:numFmt w:val="lowerLetter"/>
      <w:lvlText w:val="(%2)"/>
      <w:lvlJc w:val="left"/>
    </w:lvl>
    <w:lvl w:ilvl="2" w:tplc="401A7694">
      <w:start w:val="1"/>
      <w:numFmt w:val="decimal"/>
      <w:lvlText w:val="%3."/>
      <w:lvlJc w:val="left"/>
    </w:lvl>
    <w:lvl w:ilvl="3" w:tplc="AD369086">
      <w:start w:val="1"/>
      <w:numFmt w:val="lowerLetter"/>
      <w:lvlText w:val="%4"/>
      <w:lvlJc w:val="left"/>
    </w:lvl>
    <w:lvl w:ilvl="4" w:tplc="FF0CF822">
      <w:start w:val="1"/>
      <w:numFmt w:val="lowerRoman"/>
      <w:lvlText w:val="%5"/>
      <w:lvlJc w:val="left"/>
    </w:lvl>
    <w:lvl w:ilvl="5" w:tplc="CC6AA4C8">
      <w:numFmt w:val="decimal"/>
      <w:lvlText w:val=""/>
      <w:lvlJc w:val="left"/>
    </w:lvl>
    <w:lvl w:ilvl="6" w:tplc="3F68F924">
      <w:numFmt w:val="decimal"/>
      <w:lvlText w:val=""/>
      <w:lvlJc w:val="left"/>
    </w:lvl>
    <w:lvl w:ilvl="7" w:tplc="74D69332">
      <w:numFmt w:val="decimal"/>
      <w:lvlText w:val=""/>
      <w:lvlJc w:val="left"/>
    </w:lvl>
    <w:lvl w:ilvl="8" w:tplc="850C981A">
      <w:numFmt w:val="decimal"/>
      <w:lvlText w:val=""/>
      <w:lvlJc w:val="left"/>
    </w:lvl>
  </w:abstractNum>
  <w:abstractNum w:abstractNumId="448" w15:restartNumberingAfterBreak="0">
    <w:nsid w:val="00003ECA"/>
    <w:multiLevelType w:val="hybridMultilevel"/>
    <w:tmpl w:val="1134729C"/>
    <w:lvl w:ilvl="0" w:tplc="6C0A3764">
      <w:start w:val="1"/>
      <w:numFmt w:val="decimal"/>
      <w:lvlText w:val="%1"/>
      <w:lvlJc w:val="left"/>
    </w:lvl>
    <w:lvl w:ilvl="1" w:tplc="4A98211A">
      <w:start w:val="1"/>
      <w:numFmt w:val="lowerLetter"/>
      <w:lvlText w:val="%2"/>
      <w:lvlJc w:val="left"/>
    </w:lvl>
    <w:lvl w:ilvl="2" w:tplc="64B01B7A">
      <w:start w:val="2"/>
      <w:numFmt w:val="decimal"/>
      <w:lvlText w:val="%3."/>
      <w:lvlJc w:val="left"/>
    </w:lvl>
    <w:lvl w:ilvl="3" w:tplc="8326B322">
      <w:numFmt w:val="decimal"/>
      <w:lvlText w:val=""/>
      <w:lvlJc w:val="left"/>
    </w:lvl>
    <w:lvl w:ilvl="4" w:tplc="B6BCE1E0">
      <w:numFmt w:val="decimal"/>
      <w:lvlText w:val=""/>
      <w:lvlJc w:val="left"/>
    </w:lvl>
    <w:lvl w:ilvl="5" w:tplc="FD66DD12">
      <w:numFmt w:val="decimal"/>
      <w:lvlText w:val=""/>
      <w:lvlJc w:val="left"/>
    </w:lvl>
    <w:lvl w:ilvl="6" w:tplc="8078F096">
      <w:numFmt w:val="decimal"/>
      <w:lvlText w:val=""/>
      <w:lvlJc w:val="left"/>
    </w:lvl>
    <w:lvl w:ilvl="7" w:tplc="72C8C3DE">
      <w:numFmt w:val="decimal"/>
      <w:lvlText w:val=""/>
      <w:lvlJc w:val="left"/>
    </w:lvl>
    <w:lvl w:ilvl="8" w:tplc="9A30A1BC">
      <w:numFmt w:val="decimal"/>
      <w:lvlText w:val=""/>
      <w:lvlJc w:val="left"/>
    </w:lvl>
  </w:abstractNum>
  <w:abstractNum w:abstractNumId="449" w15:restartNumberingAfterBreak="0">
    <w:nsid w:val="00003ED0"/>
    <w:multiLevelType w:val="hybridMultilevel"/>
    <w:tmpl w:val="DF2AF914"/>
    <w:lvl w:ilvl="0" w:tplc="06844C4A">
      <w:start w:val="1"/>
      <w:numFmt w:val="decimal"/>
      <w:lvlText w:val="%1."/>
      <w:lvlJc w:val="left"/>
    </w:lvl>
    <w:lvl w:ilvl="1" w:tplc="11205554">
      <w:numFmt w:val="decimal"/>
      <w:lvlText w:val=""/>
      <w:lvlJc w:val="left"/>
    </w:lvl>
    <w:lvl w:ilvl="2" w:tplc="D7740BC2">
      <w:numFmt w:val="decimal"/>
      <w:lvlText w:val=""/>
      <w:lvlJc w:val="left"/>
    </w:lvl>
    <w:lvl w:ilvl="3" w:tplc="7AB87F78">
      <w:numFmt w:val="decimal"/>
      <w:lvlText w:val=""/>
      <w:lvlJc w:val="left"/>
    </w:lvl>
    <w:lvl w:ilvl="4" w:tplc="C6B45A34">
      <w:numFmt w:val="decimal"/>
      <w:lvlText w:val=""/>
      <w:lvlJc w:val="left"/>
    </w:lvl>
    <w:lvl w:ilvl="5" w:tplc="0358C788">
      <w:numFmt w:val="decimal"/>
      <w:lvlText w:val=""/>
      <w:lvlJc w:val="left"/>
    </w:lvl>
    <w:lvl w:ilvl="6" w:tplc="350C8A04">
      <w:numFmt w:val="decimal"/>
      <w:lvlText w:val=""/>
      <w:lvlJc w:val="left"/>
    </w:lvl>
    <w:lvl w:ilvl="7" w:tplc="292CF7F8">
      <w:numFmt w:val="decimal"/>
      <w:lvlText w:val=""/>
      <w:lvlJc w:val="left"/>
    </w:lvl>
    <w:lvl w:ilvl="8" w:tplc="810ADD3A">
      <w:numFmt w:val="decimal"/>
      <w:lvlText w:val=""/>
      <w:lvlJc w:val="left"/>
    </w:lvl>
  </w:abstractNum>
  <w:abstractNum w:abstractNumId="450" w15:restartNumberingAfterBreak="0">
    <w:nsid w:val="00003EE1"/>
    <w:multiLevelType w:val="hybridMultilevel"/>
    <w:tmpl w:val="97A8990C"/>
    <w:lvl w:ilvl="0" w:tplc="F6E69662">
      <w:start w:val="1"/>
      <w:numFmt w:val="decimal"/>
      <w:lvlText w:val="%1"/>
      <w:lvlJc w:val="left"/>
    </w:lvl>
    <w:lvl w:ilvl="1" w:tplc="B8B82380">
      <w:start w:val="3"/>
      <w:numFmt w:val="lowerLetter"/>
      <w:lvlText w:val="(%2)"/>
      <w:lvlJc w:val="left"/>
    </w:lvl>
    <w:lvl w:ilvl="2" w:tplc="39E68510">
      <w:start w:val="1"/>
      <w:numFmt w:val="decimal"/>
      <w:lvlText w:val="%3."/>
      <w:lvlJc w:val="left"/>
    </w:lvl>
    <w:lvl w:ilvl="3" w:tplc="475CFDE8">
      <w:start w:val="1"/>
      <w:numFmt w:val="lowerLetter"/>
      <w:lvlText w:val="%4."/>
      <w:lvlJc w:val="left"/>
    </w:lvl>
    <w:lvl w:ilvl="4" w:tplc="3878D2C4">
      <w:numFmt w:val="decimal"/>
      <w:lvlText w:val=""/>
      <w:lvlJc w:val="left"/>
    </w:lvl>
    <w:lvl w:ilvl="5" w:tplc="4B0A2AD4">
      <w:numFmt w:val="decimal"/>
      <w:lvlText w:val=""/>
      <w:lvlJc w:val="left"/>
    </w:lvl>
    <w:lvl w:ilvl="6" w:tplc="53CAE0B6">
      <w:numFmt w:val="decimal"/>
      <w:lvlText w:val=""/>
      <w:lvlJc w:val="left"/>
    </w:lvl>
    <w:lvl w:ilvl="7" w:tplc="4F42047C">
      <w:numFmt w:val="decimal"/>
      <w:lvlText w:val=""/>
      <w:lvlJc w:val="left"/>
    </w:lvl>
    <w:lvl w:ilvl="8" w:tplc="88D27232">
      <w:numFmt w:val="decimal"/>
      <w:lvlText w:val=""/>
      <w:lvlJc w:val="left"/>
    </w:lvl>
  </w:abstractNum>
  <w:abstractNum w:abstractNumId="451" w15:restartNumberingAfterBreak="0">
    <w:nsid w:val="00003EE4"/>
    <w:multiLevelType w:val="hybridMultilevel"/>
    <w:tmpl w:val="F752C334"/>
    <w:lvl w:ilvl="0" w:tplc="3886E7DE">
      <w:start w:val="2"/>
      <w:numFmt w:val="decimal"/>
      <w:lvlText w:val="(%1)"/>
      <w:lvlJc w:val="left"/>
    </w:lvl>
    <w:lvl w:ilvl="1" w:tplc="BEC86EF0">
      <w:start w:val="1"/>
      <w:numFmt w:val="lowerLetter"/>
      <w:lvlText w:val="(%2)"/>
      <w:lvlJc w:val="left"/>
    </w:lvl>
    <w:lvl w:ilvl="2" w:tplc="7892F892">
      <w:start w:val="1"/>
      <w:numFmt w:val="decimal"/>
      <w:lvlText w:val="%3."/>
      <w:lvlJc w:val="left"/>
    </w:lvl>
    <w:lvl w:ilvl="3" w:tplc="98520D90">
      <w:numFmt w:val="decimal"/>
      <w:lvlText w:val=""/>
      <w:lvlJc w:val="left"/>
    </w:lvl>
    <w:lvl w:ilvl="4" w:tplc="BBE4A29A">
      <w:numFmt w:val="decimal"/>
      <w:lvlText w:val=""/>
      <w:lvlJc w:val="left"/>
    </w:lvl>
    <w:lvl w:ilvl="5" w:tplc="7CE01726">
      <w:numFmt w:val="decimal"/>
      <w:lvlText w:val=""/>
      <w:lvlJc w:val="left"/>
    </w:lvl>
    <w:lvl w:ilvl="6" w:tplc="87DA3846">
      <w:numFmt w:val="decimal"/>
      <w:lvlText w:val=""/>
      <w:lvlJc w:val="left"/>
    </w:lvl>
    <w:lvl w:ilvl="7" w:tplc="6174053A">
      <w:numFmt w:val="decimal"/>
      <w:lvlText w:val=""/>
      <w:lvlJc w:val="left"/>
    </w:lvl>
    <w:lvl w:ilvl="8" w:tplc="FE1E9298">
      <w:numFmt w:val="decimal"/>
      <w:lvlText w:val=""/>
      <w:lvlJc w:val="left"/>
    </w:lvl>
  </w:abstractNum>
  <w:abstractNum w:abstractNumId="452" w15:restartNumberingAfterBreak="0">
    <w:nsid w:val="00003F58"/>
    <w:multiLevelType w:val="hybridMultilevel"/>
    <w:tmpl w:val="7FC8B068"/>
    <w:lvl w:ilvl="0" w:tplc="1480F9FE">
      <w:start w:val="1"/>
      <w:numFmt w:val="decimal"/>
      <w:lvlText w:val="%1"/>
      <w:lvlJc w:val="left"/>
    </w:lvl>
    <w:lvl w:ilvl="1" w:tplc="46C437B2">
      <w:numFmt w:val="decimal"/>
      <w:lvlText w:val=""/>
      <w:lvlJc w:val="left"/>
    </w:lvl>
    <w:lvl w:ilvl="2" w:tplc="28A6D08C">
      <w:numFmt w:val="decimal"/>
      <w:lvlText w:val=""/>
      <w:lvlJc w:val="left"/>
    </w:lvl>
    <w:lvl w:ilvl="3" w:tplc="42F8BA1C">
      <w:numFmt w:val="decimal"/>
      <w:lvlText w:val=""/>
      <w:lvlJc w:val="left"/>
    </w:lvl>
    <w:lvl w:ilvl="4" w:tplc="370AF9B6">
      <w:numFmt w:val="decimal"/>
      <w:lvlText w:val=""/>
      <w:lvlJc w:val="left"/>
    </w:lvl>
    <w:lvl w:ilvl="5" w:tplc="687A8C10">
      <w:numFmt w:val="decimal"/>
      <w:lvlText w:val=""/>
      <w:lvlJc w:val="left"/>
    </w:lvl>
    <w:lvl w:ilvl="6" w:tplc="B95EFD62">
      <w:numFmt w:val="decimal"/>
      <w:lvlText w:val=""/>
      <w:lvlJc w:val="left"/>
    </w:lvl>
    <w:lvl w:ilvl="7" w:tplc="1FC4E79E">
      <w:numFmt w:val="decimal"/>
      <w:lvlText w:val=""/>
      <w:lvlJc w:val="left"/>
    </w:lvl>
    <w:lvl w:ilvl="8" w:tplc="52227492">
      <w:numFmt w:val="decimal"/>
      <w:lvlText w:val=""/>
      <w:lvlJc w:val="left"/>
    </w:lvl>
  </w:abstractNum>
  <w:abstractNum w:abstractNumId="453" w15:restartNumberingAfterBreak="0">
    <w:nsid w:val="00003F61"/>
    <w:multiLevelType w:val="hybridMultilevel"/>
    <w:tmpl w:val="D3981950"/>
    <w:lvl w:ilvl="0" w:tplc="8AD21056">
      <w:start w:val="1"/>
      <w:numFmt w:val="bullet"/>
      <w:lvlText w:val="*"/>
      <w:lvlJc w:val="left"/>
    </w:lvl>
    <w:lvl w:ilvl="1" w:tplc="F1921002">
      <w:start w:val="4"/>
      <w:numFmt w:val="lowerLetter"/>
      <w:lvlText w:val="(%2)"/>
      <w:lvlJc w:val="left"/>
    </w:lvl>
    <w:lvl w:ilvl="2" w:tplc="7FF425A2">
      <w:numFmt w:val="decimal"/>
      <w:lvlText w:val=""/>
      <w:lvlJc w:val="left"/>
    </w:lvl>
    <w:lvl w:ilvl="3" w:tplc="0DEA2970">
      <w:numFmt w:val="decimal"/>
      <w:lvlText w:val=""/>
      <w:lvlJc w:val="left"/>
    </w:lvl>
    <w:lvl w:ilvl="4" w:tplc="27C87BC0">
      <w:numFmt w:val="decimal"/>
      <w:lvlText w:val=""/>
      <w:lvlJc w:val="left"/>
    </w:lvl>
    <w:lvl w:ilvl="5" w:tplc="D20A76B0">
      <w:numFmt w:val="decimal"/>
      <w:lvlText w:val=""/>
      <w:lvlJc w:val="left"/>
    </w:lvl>
    <w:lvl w:ilvl="6" w:tplc="C7FEE556">
      <w:numFmt w:val="decimal"/>
      <w:lvlText w:val=""/>
      <w:lvlJc w:val="left"/>
    </w:lvl>
    <w:lvl w:ilvl="7" w:tplc="CB180640">
      <w:numFmt w:val="decimal"/>
      <w:lvlText w:val=""/>
      <w:lvlJc w:val="left"/>
    </w:lvl>
    <w:lvl w:ilvl="8" w:tplc="34FAD206">
      <w:numFmt w:val="decimal"/>
      <w:lvlText w:val=""/>
      <w:lvlJc w:val="left"/>
    </w:lvl>
  </w:abstractNum>
  <w:abstractNum w:abstractNumId="454" w15:restartNumberingAfterBreak="0">
    <w:nsid w:val="00003FD0"/>
    <w:multiLevelType w:val="hybridMultilevel"/>
    <w:tmpl w:val="92E87A34"/>
    <w:lvl w:ilvl="0" w:tplc="9A36AF74">
      <w:start w:val="1"/>
      <w:numFmt w:val="decimal"/>
      <w:lvlText w:val="%1"/>
      <w:lvlJc w:val="left"/>
    </w:lvl>
    <w:lvl w:ilvl="1" w:tplc="85744AF0">
      <w:start w:val="3"/>
      <w:numFmt w:val="lowerLetter"/>
      <w:lvlText w:val="(%2)"/>
      <w:lvlJc w:val="left"/>
    </w:lvl>
    <w:lvl w:ilvl="2" w:tplc="29ECCAB4">
      <w:start w:val="1"/>
      <w:numFmt w:val="decimal"/>
      <w:lvlText w:val="%3."/>
      <w:lvlJc w:val="left"/>
    </w:lvl>
    <w:lvl w:ilvl="3" w:tplc="0C7A0208">
      <w:numFmt w:val="decimal"/>
      <w:lvlText w:val=""/>
      <w:lvlJc w:val="left"/>
    </w:lvl>
    <w:lvl w:ilvl="4" w:tplc="514E987C">
      <w:numFmt w:val="decimal"/>
      <w:lvlText w:val=""/>
      <w:lvlJc w:val="left"/>
    </w:lvl>
    <w:lvl w:ilvl="5" w:tplc="5492B656">
      <w:numFmt w:val="decimal"/>
      <w:lvlText w:val=""/>
      <w:lvlJc w:val="left"/>
    </w:lvl>
    <w:lvl w:ilvl="6" w:tplc="8354A3F6">
      <w:numFmt w:val="decimal"/>
      <w:lvlText w:val=""/>
      <w:lvlJc w:val="left"/>
    </w:lvl>
    <w:lvl w:ilvl="7" w:tplc="B4B61DA0">
      <w:numFmt w:val="decimal"/>
      <w:lvlText w:val=""/>
      <w:lvlJc w:val="left"/>
    </w:lvl>
    <w:lvl w:ilvl="8" w:tplc="D988C7A2">
      <w:numFmt w:val="decimal"/>
      <w:lvlText w:val=""/>
      <w:lvlJc w:val="left"/>
    </w:lvl>
  </w:abstractNum>
  <w:abstractNum w:abstractNumId="455" w15:restartNumberingAfterBreak="0">
    <w:nsid w:val="00003FD1"/>
    <w:multiLevelType w:val="hybridMultilevel"/>
    <w:tmpl w:val="ADAC3CD6"/>
    <w:lvl w:ilvl="0" w:tplc="346A1976">
      <w:start w:val="1"/>
      <w:numFmt w:val="decimal"/>
      <w:lvlText w:val="%1"/>
      <w:lvlJc w:val="left"/>
    </w:lvl>
    <w:lvl w:ilvl="1" w:tplc="0694A364">
      <w:numFmt w:val="decimal"/>
      <w:lvlText w:val=""/>
      <w:lvlJc w:val="left"/>
    </w:lvl>
    <w:lvl w:ilvl="2" w:tplc="BCD499E8">
      <w:numFmt w:val="decimal"/>
      <w:lvlText w:val=""/>
      <w:lvlJc w:val="left"/>
    </w:lvl>
    <w:lvl w:ilvl="3" w:tplc="EC9CB410">
      <w:numFmt w:val="decimal"/>
      <w:lvlText w:val=""/>
      <w:lvlJc w:val="left"/>
    </w:lvl>
    <w:lvl w:ilvl="4" w:tplc="692C56D6">
      <w:numFmt w:val="decimal"/>
      <w:lvlText w:val=""/>
      <w:lvlJc w:val="left"/>
    </w:lvl>
    <w:lvl w:ilvl="5" w:tplc="D52A2AE0">
      <w:numFmt w:val="decimal"/>
      <w:lvlText w:val=""/>
      <w:lvlJc w:val="left"/>
    </w:lvl>
    <w:lvl w:ilvl="6" w:tplc="3F4250A8">
      <w:numFmt w:val="decimal"/>
      <w:lvlText w:val=""/>
      <w:lvlJc w:val="left"/>
    </w:lvl>
    <w:lvl w:ilvl="7" w:tplc="9806B11A">
      <w:numFmt w:val="decimal"/>
      <w:lvlText w:val=""/>
      <w:lvlJc w:val="left"/>
    </w:lvl>
    <w:lvl w:ilvl="8" w:tplc="E5323C38">
      <w:numFmt w:val="decimal"/>
      <w:lvlText w:val=""/>
      <w:lvlJc w:val="left"/>
    </w:lvl>
  </w:abstractNum>
  <w:abstractNum w:abstractNumId="456" w15:restartNumberingAfterBreak="0">
    <w:nsid w:val="00003FEF"/>
    <w:multiLevelType w:val="hybridMultilevel"/>
    <w:tmpl w:val="B1406506"/>
    <w:lvl w:ilvl="0" w:tplc="33720292">
      <w:start w:val="2"/>
      <w:numFmt w:val="decimal"/>
      <w:lvlText w:val="%1."/>
      <w:lvlJc w:val="left"/>
    </w:lvl>
    <w:lvl w:ilvl="1" w:tplc="DFCA096C">
      <w:numFmt w:val="decimal"/>
      <w:lvlText w:val=""/>
      <w:lvlJc w:val="left"/>
    </w:lvl>
    <w:lvl w:ilvl="2" w:tplc="D0643B58">
      <w:numFmt w:val="decimal"/>
      <w:lvlText w:val=""/>
      <w:lvlJc w:val="left"/>
    </w:lvl>
    <w:lvl w:ilvl="3" w:tplc="ED96262C">
      <w:numFmt w:val="decimal"/>
      <w:lvlText w:val=""/>
      <w:lvlJc w:val="left"/>
    </w:lvl>
    <w:lvl w:ilvl="4" w:tplc="DDD2549C">
      <w:numFmt w:val="decimal"/>
      <w:lvlText w:val=""/>
      <w:lvlJc w:val="left"/>
    </w:lvl>
    <w:lvl w:ilvl="5" w:tplc="66D0B8AC">
      <w:numFmt w:val="decimal"/>
      <w:lvlText w:val=""/>
      <w:lvlJc w:val="left"/>
    </w:lvl>
    <w:lvl w:ilvl="6" w:tplc="3CC4AB90">
      <w:numFmt w:val="decimal"/>
      <w:lvlText w:val=""/>
      <w:lvlJc w:val="left"/>
    </w:lvl>
    <w:lvl w:ilvl="7" w:tplc="3990D3BE">
      <w:numFmt w:val="decimal"/>
      <w:lvlText w:val=""/>
      <w:lvlJc w:val="left"/>
    </w:lvl>
    <w:lvl w:ilvl="8" w:tplc="DAD46F06">
      <w:numFmt w:val="decimal"/>
      <w:lvlText w:val=""/>
      <w:lvlJc w:val="left"/>
    </w:lvl>
  </w:abstractNum>
  <w:abstractNum w:abstractNumId="457" w15:restartNumberingAfterBreak="0">
    <w:nsid w:val="0000400E"/>
    <w:multiLevelType w:val="hybridMultilevel"/>
    <w:tmpl w:val="8004A39C"/>
    <w:lvl w:ilvl="0" w:tplc="2D50BA92">
      <w:start w:val="1"/>
      <w:numFmt w:val="decimal"/>
      <w:lvlText w:val="%1"/>
      <w:lvlJc w:val="left"/>
    </w:lvl>
    <w:lvl w:ilvl="1" w:tplc="259636C8">
      <w:start w:val="2"/>
      <w:numFmt w:val="lowerLetter"/>
      <w:lvlText w:val="%2."/>
      <w:lvlJc w:val="left"/>
    </w:lvl>
    <w:lvl w:ilvl="2" w:tplc="06D2DEDE">
      <w:numFmt w:val="decimal"/>
      <w:lvlText w:val=""/>
      <w:lvlJc w:val="left"/>
    </w:lvl>
    <w:lvl w:ilvl="3" w:tplc="A3EC0F9E">
      <w:numFmt w:val="decimal"/>
      <w:lvlText w:val=""/>
      <w:lvlJc w:val="left"/>
    </w:lvl>
    <w:lvl w:ilvl="4" w:tplc="5E845F1A">
      <w:numFmt w:val="decimal"/>
      <w:lvlText w:val=""/>
      <w:lvlJc w:val="left"/>
    </w:lvl>
    <w:lvl w:ilvl="5" w:tplc="EE329D38">
      <w:numFmt w:val="decimal"/>
      <w:lvlText w:val=""/>
      <w:lvlJc w:val="left"/>
    </w:lvl>
    <w:lvl w:ilvl="6" w:tplc="E6EC8592">
      <w:numFmt w:val="decimal"/>
      <w:lvlText w:val=""/>
      <w:lvlJc w:val="left"/>
    </w:lvl>
    <w:lvl w:ilvl="7" w:tplc="B0D6AE82">
      <w:numFmt w:val="decimal"/>
      <w:lvlText w:val=""/>
      <w:lvlJc w:val="left"/>
    </w:lvl>
    <w:lvl w:ilvl="8" w:tplc="386AABBE">
      <w:numFmt w:val="decimal"/>
      <w:lvlText w:val=""/>
      <w:lvlJc w:val="left"/>
    </w:lvl>
  </w:abstractNum>
  <w:abstractNum w:abstractNumId="458" w15:restartNumberingAfterBreak="0">
    <w:nsid w:val="00004037"/>
    <w:multiLevelType w:val="hybridMultilevel"/>
    <w:tmpl w:val="0018D476"/>
    <w:lvl w:ilvl="0" w:tplc="31B44DA8">
      <w:start w:val="1"/>
      <w:numFmt w:val="decimal"/>
      <w:lvlText w:val="%1"/>
      <w:lvlJc w:val="left"/>
    </w:lvl>
    <w:lvl w:ilvl="1" w:tplc="91BEBF32">
      <w:start w:val="2"/>
      <w:numFmt w:val="lowerLetter"/>
      <w:lvlText w:val="(%2)"/>
      <w:lvlJc w:val="left"/>
    </w:lvl>
    <w:lvl w:ilvl="2" w:tplc="88C09A92">
      <w:numFmt w:val="decimal"/>
      <w:lvlText w:val=""/>
      <w:lvlJc w:val="left"/>
    </w:lvl>
    <w:lvl w:ilvl="3" w:tplc="651E866A">
      <w:numFmt w:val="decimal"/>
      <w:lvlText w:val=""/>
      <w:lvlJc w:val="left"/>
    </w:lvl>
    <w:lvl w:ilvl="4" w:tplc="1C347C38">
      <w:numFmt w:val="decimal"/>
      <w:lvlText w:val=""/>
      <w:lvlJc w:val="left"/>
    </w:lvl>
    <w:lvl w:ilvl="5" w:tplc="EF624ABC">
      <w:numFmt w:val="decimal"/>
      <w:lvlText w:val=""/>
      <w:lvlJc w:val="left"/>
    </w:lvl>
    <w:lvl w:ilvl="6" w:tplc="5C3841BA">
      <w:numFmt w:val="decimal"/>
      <w:lvlText w:val=""/>
      <w:lvlJc w:val="left"/>
    </w:lvl>
    <w:lvl w:ilvl="7" w:tplc="103AF310">
      <w:numFmt w:val="decimal"/>
      <w:lvlText w:val=""/>
      <w:lvlJc w:val="left"/>
    </w:lvl>
    <w:lvl w:ilvl="8" w:tplc="66FC572E">
      <w:numFmt w:val="decimal"/>
      <w:lvlText w:val=""/>
      <w:lvlJc w:val="left"/>
    </w:lvl>
  </w:abstractNum>
  <w:abstractNum w:abstractNumId="459" w15:restartNumberingAfterBreak="0">
    <w:nsid w:val="0000403E"/>
    <w:multiLevelType w:val="hybridMultilevel"/>
    <w:tmpl w:val="B060E608"/>
    <w:lvl w:ilvl="0" w:tplc="E0F6CB14">
      <w:start w:val="1"/>
      <w:numFmt w:val="lowerLetter"/>
      <w:lvlText w:val="%1"/>
      <w:lvlJc w:val="left"/>
    </w:lvl>
    <w:lvl w:ilvl="1" w:tplc="55BED22E">
      <w:start w:val="1"/>
      <w:numFmt w:val="decimal"/>
      <w:lvlText w:val="%2."/>
      <w:lvlJc w:val="left"/>
    </w:lvl>
    <w:lvl w:ilvl="2" w:tplc="6E1CB2EA">
      <w:start w:val="1"/>
      <w:numFmt w:val="lowerLetter"/>
      <w:lvlText w:val="%3."/>
      <w:lvlJc w:val="left"/>
      <w:rPr>
        <w:color w:val="000000" w:themeColor="text1"/>
      </w:rPr>
    </w:lvl>
    <w:lvl w:ilvl="3" w:tplc="03C29FCE">
      <w:numFmt w:val="decimal"/>
      <w:lvlText w:val=""/>
      <w:lvlJc w:val="left"/>
    </w:lvl>
    <w:lvl w:ilvl="4" w:tplc="21483174">
      <w:numFmt w:val="decimal"/>
      <w:lvlText w:val=""/>
      <w:lvlJc w:val="left"/>
    </w:lvl>
    <w:lvl w:ilvl="5" w:tplc="BC463B64">
      <w:numFmt w:val="decimal"/>
      <w:lvlText w:val=""/>
      <w:lvlJc w:val="left"/>
    </w:lvl>
    <w:lvl w:ilvl="6" w:tplc="DF10E3F8">
      <w:numFmt w:val="decimal"/>
      <w:lvlText w:val=""/>
      <w:lvlJc w:val="left"/>
    </w:lvl>
    <w:lvl w:ilvl="7" w:tplc="4EAA474C">
      <w:numFmt w:val="decimal"/>
      <w:lvlText w:val=""/>
      <w:lvlJc w:val="left"/>
    </w:lvl>
    <w:lvl w:ilvl="8" w:tplc="9BFE0344">
      <w:numFmt w:val="decimal"/>
      <w:lvlText w:val=""/>
      <w:lvlJc w:val="left"/>
    </w:lvl>
  </w:abstractNum>
  <w:abstractNum w:abstractNumId="460" w15:restartNumberingAfterBreak="0">
    <w:nsid w:val="000040C8"/>
    <w:multiLevelType w:val="hybridMultilevel"/>
    <w:tmpl w:val="476ED7CC"/>
    <w:lvl w:ilvl="0" w:tplc="2AEACF50">
      <w:start w:val="1"/>
      <w:numFmt w:val="decimal"/>
      <w:lvlText w:val="%1"/>
      <w:lvlJc w:val="left"/>
    </w:lvl>
    <w:lvl w:ilvl="1" w:tplc="E0D02626">
      <w:start w:val="1"/>
      <w:numFmt w:val="lowerLetter"/>
      <w:lvlText w:val="%2"/>
      <w:lvlJc w:val="left"/>
    </w:lvl>
    <w:lvl w:ilvl="2" w:tplc="F5568862">
      <w:start w:val="3"/>
      <w:numFmt w:val="decimal"/>
      <w:lvlText w:val="%3."/>
      <w:lvlJc w:val="left"/>
    </w:lvl>
    <w:lvl w:ilvl="3" w:tplc="B002B690">
      <w:start w:val="1"/>
      <w:numFmt w:val="lowerLetter"/>
      <w:lvlText w:val="%4."/>
      <w:lvlJc w:val="left"/>
    </w:lvl>
    <w:lvl w:ilvl="4" w:tplc="2CB2F77E">
      <w:start w:val="1"/>
      <w:numFmt w:val="lowerRoman"/>
      <w:lvlText w:val="%5."/>
      <w:lvlJc w:val="left"/>
    </w:lvl>
    <w:lvl w:ilvl="5" w:tplc="4E322BE8">
      <w:numFmt w:val="decimal"/>
      <w:lvlText w:val=""/>
      <w:lvlJc w:val="left"/>
    </w:lvl>
    <w:lvl w:ilvl="6" w:tplc="C14AE322">
      <w:numFmt w:val="decimal"/>
      <w:lvlText w:val=""/>
      <w:lvlJc w:val="left"/>
    </w:lvl>
    <w:lvl w:ilvl="7" w:tplc="1C06676E">
      <w:numFmt w:val="decimal"/>
      <w:lvlText w:val=""/>
      <w:lvlJc w:val="left"/>
    </w:lvl>
    <w:lvl w:ilvl="8" w:tplc="45F40994">
      <w:numFmt w:val="decimal"/>
      <w:lvlText w:val=""/>
      <w:lvlJc w:val="left"/>
    </w:lvl>
  </w:abstractNum>
  <w:abstractNum w:abstractNumId="461" w15:restartNumberingAfterBreak="0">
    <w:nsid w:val="000040CE"/>
    <w:multiLevelType w:val="hybridMultilevel"/>
    <w:tmpl w:val="1396CE38"/>
    <w:lvl w:ilvl="0" w:tplc="F2EE5236">
      <w:start w:val="11"/>
      <w:numFmt w:val="decimal"/>
      <w:lvlText w:val="(%1)"/>
      <w:lvlJc w:val="left"/>
    </w:lvl>
    <w:lvl w:ilvl="1" w:tplc="59E4E928">
      <w:numFmt w:val="decimal"/>
      <w:lvlText w:val=""/>
      <w:lvlJc w:val="left"/>
    </w:lvl>
    <w:lvl w:ilvl="2" w:tplc="62306664">
      <w:numFmt w:val="decimal"/>
      <w:lvlText w:val=""/>
      <w:lvlJc w:val="left"/>
    </w:lvl>
    <w:lvl w:ilvl="3" w:tplc="872E6AAE">
      <w:numFmt w:val="decimal"/>
      <w:lvlText w:val=""/>
      <w:lvlJc w:val="left"/>
    </w:lvl>
    <w:lvl w:ilvl="4" w:tplc="0A9A3BDC">
      <w:numFmt w:val="decimal"/>
      <w:lvlText w:val=""/>
      <w:lvlJc w:val="left"/>
    </w:lvl>
    <w:lvl w:ilvl="5" w:tplc="CF381784">
      <w:numFmt w:val="decimal"/>
      <w:lvlText w:val=""/>
      <w:lvlJc w:val="left"/>
    </w:lvl>
    <w:lvl w:ilvl="6" w:tplc="7032ABA8">
      <w:numFmt w:val="decimal"/>
      <w:lvlText w:val=""/>
      <w:lvlJc w:val="left"/>
    </w:lvl>
    <w:lvl w:ilvl="7" w:tplc="E0C6958A">
      <w:numFmt w:val="decimal"/>
      <w:lvlText w:val=""/>
      <w:lvlJc w:val="left"/>
    </w:lvl>
    <w:lvl w:ilvl="8" w:tplc="70CA541E">
      <w:numFmt w:val="decimal"/>
      <w:lvlText w:val=""/>
      <w:lvlJc w:val="left"/>
    </w:lvl>
  </w:abstractNum>
  <w:abstractNum w:abstractNumId="462" w15:restartNumberingAfterBreak="0">
    <w:nsid w:val="000040D3"/>
    <w:multiLevelType w:val="hybridMultilevel"/>
    <w:tmpl w:val="35765EC6"/>
    <w:lvl w:ilvl="0" w:tplc="5E1EFE9E">
      <w:start w:val="3"/>
      <w:numFmt w:val="lowerLetter"/>
      <w:lvlText w:val="(%1)"/>
      <w:lvlJc w:val="left"/>
    </w:lvl>
    <w:lvl w:ilvl="1" w:tplc="851C052C">
      <w:numFmt w:val="decimal"/>
      <w:lvlText w:val=""/>
      <w:lvlJc w:val="left"/>
    </w:lvl>
    <w:lvl w:ilvl="2" w:tplc="D9564ED8">
      <w:numFmt w:val="decimal"/>
      <w:lvlText w:val=""/>
      <w:lvlJc w:val="left"/>
    </w:lvl>
    <w:lvl w:ilvl="3" w:tplc="3ACE7F70">
      <w:numFmt w:val="decimal"/>
      <w:lvlText w:val=""/>
      <w:lvlJc w:val="left"/>
    </w:lvl>
    <w:lvl w:ilvl="4" w:tplc="53A8D9FE">
      <w:numFmt w:val="decimal"/>
      <w:lvlText w:val=""/>
      <w:lvlJc w:val="left"/>
    </w:lvl>
    <w:lvl w:ilvl="5" w:tplc="9160A2BC">
      <w:numFmt w:val="decimal"/>
      <w:lvlText w:val=""/>
      <w:lvlJc w:val="left"/>
    </w:lvl>
    <w:lvl w:ilvl="6" w:tplc="B69E5780">
      <w:numFmt w:val="decimal"/>
      <w:lvlText w:val=""/>
      <w:lvlJc w:val="left"/>
    </w:lvl>
    <w:lvl w:ilvl="7" w:tplc="3F7621B6">
      <w:numFmt w:val="decimal"/>
      <w:lvlText w:val=""/>
      <w:lvlJc w:val="left"/>
    </w:lvl>
    <w:lvl w:ilvl="8" w:tplc="ADA2C34E">
      <w:numFmt w:val="decimal"/>
      <w:lvlText w:val=""/>
      <w:lvlJc w:val="left"/>
    </w:lvl>
  </w:abstractNum>
  <w:abstractNum w:abstractNumId="463" w15:restartNumberingAfterBreak="0">
    <w:nsid w:val="000040F2"/>
    <w:multiLevelType w:val="hybridMultilevel"/>
    <w:tmpl w:val="2C2E4D38"/>
    <w:lvl w:ilvl="0" w:tplc="CA06EBE0">
      <w:start w:val="5"/>
      <w:numFmt w:val="decimal"/>
      <w:lvlText w:val="(%1)"/>
      <w:lvlJc w:val="left"/>
    </w:lvl>
    <w:lvl w:ilvl="1" w:tplc="8D9868A2">
      <w:start w:val="1"/>
      <w:numFmt w:val="lowerLetter"/>
      <w:lvlText w:val="(%2)"/>
      <w:lvlJc w:val="left"/>
    </w:lvl>
    <w:lvl w:ilvl="2" w:tplc="83CA623A">
      <w:numFmt w:val="decimal"/>
      <w:lvlText w:val=""/>
      <w:lvlJc w:val="left"/>
    </w:lvl>
    <w:lvl w:ilvl="3" w:tplc="A892919E">
      <w:numFmt w:val="decimal"/>
      <w:lvlText w:val=""/>
      <w:lvlJc w:val="left"/>
    </w:lvl>
    <w:lvl w:ilvl="4" w:tplc="0122EA54">
      <w:numFmt w:val="decimal"/>
      <w:lvlText w:val=""/>
      <w:lvlJc w:val="left"/>
    </w:lvl>
    <w:lvl w:ilvl="5" w:tplc="604A7BA8">
      <w:numFmt w:val="decimal"/>
      <w:lvlText w:val=""/>
      <w:lvlJc w:val="left"/>
    </w:lvl>
    <w:lvl w:ilvl="6" w:tplc="66DC83AC">
      <w:numFmt w:val="decimal"/>
      <w:lvlText w:val=""/>
      <w:lvlJc w:val="left"/>
    </w:lvl>
    <w:lvl w:ilvl="7" w:tplc="F02A0BAA">
      <w:numFmt w:val="decimal"/>
      <w:lvlText w:val=""/>
      <w:lvlJc w:val="left"/>
    </w:lvl>
    <w:lvl w:ilvl="8" w:tplc="F4CE3FF0">
      <w:numFmt w:val="decimal"/>
      <w:lvlText w:val=""/>
      <w:lvlJc w:val="left"/>
    </w:lvl>
  </w:abstractNum>
  <w:abstractNum w:abstractNumId="464" w15:restartNumberingAfterBreak="0">
    <w:nsid w:val="0000411F"/>
    <w:multiLevelType w:val="hybridMultilevel"/>
    <w:tmpl w:val="313E642C"/>
    <w:lvl w:ilvl="0" w:tplc="68AAABD8">
      <w:start w:val="5"/>
      <w:numFmt w:val="decimal"/>
      <w:lvlText w:val="%1."/>
      <w:lvlJc w:val="left"/>
    </w:lvl>
    <w:lvl w:ilvl="1" w:tplc="F112C89A">
      <w:numFmt w:val="decimal"/>
      <w:lvlText w:val=""/>
      <w:lvlJc w:val="left"/>
    </w:lvl>
    <w:lvl w:ilvl="2" w:tplc="622824AE">
      <w:numFmt w:val="decimal"/>
      <w:lvlText w:val=""/>
      <w:lvlJc w:val="left"/>
    </w:lvl>
    <w:lvl w:ilvl="3" w:tplc="6862174A">
      <w:numFmt w:val="decimal"/>
      <w:lvlText w:val=""/>
      <w:lvlJc w:val="left"/>
    </w:lvl>
    <w:lvl w:ilvl="4" w:tplc="E1B0BB9A">
      <w:numFmt w:val="decimal"/>
      <w:lvlText w:val=""/>
      <w:lvlJc w:val="left"/>
    </w:lvl>
    <w:lvl w:ilvl="5" w:tplc="8A4E3D4E">
      <w:numFmt w:val="decimal"/>
      <w:lvlText w:val=""/>
      <w:lvlJc w:val="left"/>
    </w:lvl>
    <w:lvl w:ilvl="6" w:tplc="505C335A">
      <w:numFmt w:val="decimal"/>
      <w:lvlText w:val=""/>
      <w:lvlJc w:val="left"/>
    </w:lvl>
    <w:lvl w:ilvl="7" w:tplc="8940F500">
      <w:numFmt w:val="decimal"/>
      <w:lvlText w:val=""/>
      <w:lvlJc w:val="left"/>
    </w:lvl>
    <w:lvl w:ilvl="8" w:tplc="857202BE">
      <w:numFmt w:val="decimal"/>
      <w:lvlText w:val=""/>
      <w:lvlJc w:val="left"/>
    </w:lvl>
  </w:abstractNum>
  <w:abstractNum w:abstractNumId="465" w15:restartNumberingAfterBreak="0">
    <w:nsid w:val="0000412B"/>
    <w:multiLevelType w:val="hybridMultilevel"/>
    <w:tmpl w:val="66FEB6CE"/>
    <w:lvl w:ilvl="0" w:tplc="50D6A8B2">
      <w:start w:val="1"/>
      <w:numFmt w:val="decimal"/>
      <w:lvlText w:val="%1"/>
      <w:lvlJc w:val="left"/>
    </w:lvl>
    <w:lvl w:ilvl="1" w:tplc="327A027E">
      <w:start w:val="2"/>
      <w:numFmt w:val="lowerLetter"/>
      <w:lvlText w:val="(%2)"/>
      <w:lvlJc w:val="left"/>
    </w:lvl>
    <w:lvl w:ilvl="2" w:tplc="303A6E0A">
      <w:start w:val="1"/>
      <w:numFmt w:val="decimal"/>
      <w:lvlText w:val="%3."/>
      <w:lvlJc w:val="left"/>
      <w:rPr>
        <w:rFonts w:hint="default"/>
        <w:strike w:val="0"/>
        <w:dstrike w:val="0"/>
        <w:sz w:val="24"/>
        <w:szCs w:val="24"/>
        <w:vertAlign w:val="baseline"/>
      </w:rPr>
    </w:lvl>
    <w:lvl w:ilvl="3" w:tplc="F4308128">
      <w:numFmt w:val="decimal"/>
      <w:lvlText w:val=""/>
      <w:lvlJc w:val="left"/>
    </w:lvl>
    <w:lvl w:ilvl="4" w:tplc="5538CBAC">
      <w:numFmt w:val="decimal"/>
      <w:lvlText w:val=""/>
      <w:lvlJc w:val="left"/>
    </w:lvl>
    <w:lvl w:ilvl="5" w:tplc="3FBC6D3A">
      <w:numFmt w:val="decimal"/>
      <w:lvlText w:val=""/>
      <w:lvlJc w:val="left"/>
    </w:lvl>
    <w:lvl w:ilvl="6" w:tplc="BA2CB152">
      <w:numFmt w:val="decimal"/>
      <w:lvlText w:val=""/>
      <w:lvlJc w:val="left"/>
    </w:lvl>
    <w:lvl w:ilvl="7" w:tplc="195077AE">
      <w:numFmt w:val="decimal"/>
      <w:lvlText w:val=""/>
      <w:lvlJc w:val="left"/>
    </w:lvl>
    <w:lvl w:ilvl="8" w:tplc="B2EEF8B0">
      <w:numFmt w:val="decimal"/>
      <w:lvlText w:val=""/>
      <w:lvlJc w:val="left"/>
    </w:lvl>
  </w:abstractNum>
  <w:abstractNum w:abstractNumId="466" w15:restartNumberingAfterBreak="0">
    <w:nsid w:val="00004139"/>
    <w:multiLevelType w:val="hybridMultilevel"/>
    <w:tmpl w:val="1932F9EE"/>
    <w:lvl w:ilvl="0" w:tplc="A8D44762">
      <w:start w:val="2"/>
      <w:numFmt w:val="lowerLetter"/>
      <w:lvlText w:val="(%1)"/>
      <w:lvlJc w:val="left"/>
    </w:lvl>
    <w:lvl w:ilvl="1" w:tplc="F73A0450">
      <w:start w:val="1"/>
      <w:numFmt w:val="decimal"/>
      <w:lvlText w:val="%2."/>
      <w:lvlJc w:val="left"/>
    </w:lvl>
    <w:lvl w:ilvl="2" w:tplc="CB3EBA3C">
      <w:start w:val="1"/>
      <w:numFmt w:val="lowerLetter"/>
      <w:lvlText w:val="%3."/>
      <w:lvlJc w:val="left"/>
    </w:lvl>
    <w:lvl w:ilvl="3" w:tplc="35C63952">
      <w:start w:val="1"/>
      <w:numFmt w:val="lowerRoman"/>
      <w:lvlText w:val="%4."/>
      <w:lvlJc w:val="left"/>
    </w:lvl>
    <w:lvl w:ilvl="4" w:tplc="59FA62E2">
      <w:numFmt w:val="decimal"/>
      <w:lvlText w:val=""/>
      <w:lvlJc w:val="left"/>
    </w:lvl>
    <w:lvl w:ilvl="5" w:tplc="D51628EC">
      <w:numFmt w:val="decimal"/>
      <w:lvlText w:val=""/>
      <w:lvlJc w:val="left"/>
    </w:lvl>
    <w:lvl w:ilvl="6" w:tplc="5FFC9A14">
      <w:numFmt w:val="decimal"/>
      <w:lvlText w:val=""/>
      <w:lvlJc w:val="left"/>
    </w:lvl>
    <w:lvl w:ilvl="7" w:tplc="71AC5F44">
      <w:numFmt w:val="decimal"/>
      <w:lvlText w:val=""/>
      <w:lvlJc w:val="left"/>
    </w:lvl>
    <w:lvl w:ilvl="8" w:tplc="52D2C5DA">
      <w:numFmt w:val="decimal"/>
      <w:lvlText w:val=""/>
      <w:lvlJc w:val="left"/>
    </w:lvl>
  </w:abstractNum>
  <w:abstractNum w:abstractNumId="467" w15:restartNumberingAfterBreak="0">
    <w:nsid w:val="00004165"/>
    <w:multiLevelType w:val="hybridMultilevel"/>
    <w:tmpl w:val="E06C289C"/>
    <w:lvl w:ilvl="0" w:tplc="5D9A5E04">
      <w:start w:val="3"/>
      <w:numFmt w:val="decimal"/>
      <w:lvlText w:val="(%1)"/>
      <w:lvlJc w:val="left"/>
    </w:lvl>
    <w:lvl w:ilvl="1" w:tplc="40206120">
      <w:start w:val="1"/>
      <w:numFmt w:val="lowerLetter"/>
      <w:lvlText w:val="(%2)"/>
      <w:lvlJc w:val="left"/>
    </w:lvl>
    <w:lvl w:ilvl="2" w:tplc="677A267C">
      <w:start w:val="1"/>
      <w:numFmt w:val="decimal"/>
      <w:lvlText w:val="%3."/>
      <w:lvlJc w:val="left"/>
    </w:lvl>
    <w:lvl w:ilvl="3" w:tplc="BB7C0D76">
      <w:numFmt w:val="decimal"/>
      <w:lvlText w:val=""/>
      <w:lvlJc w:val="left"/>
    </w:lvl>
    <w:lvl w:ilvl="4" w:tplc="D6AC3CDC">
      <w:numFmt w:val="decimal"/>
      <w:lvlText w:val=""/>
      <w:lvlJc w:val="left"/>
    </w:lvl>
    <w:lvl w:ilvl="5" w:tplc="3FB221C2">
      <w:numFmt w:val="decimal"/>
      <w:lvlText w:val=""/>
      <w:lvlJc w:val="left"/>
    </w:lvl>
    <w:lvl w:ilvl="6" w:tplc="9B48861C">
      <w:numFmt w:val="decimal"/>
      <w:lvlText w:val=""/>
      <w:lvlJc w:val="left"/>
    </w:lvl>
    <w:lvl w:ilvl="7" w:tplc="5FF00606">
      <w:numFmt w:val="decimal"/>
      <w:lvlText w:val=""/>
      <w:lvlJc w:val="left"/>
    </w:lvl>
    <w:lvl w:ilvl="8" w:tplc="85AE0044">
      <w:numFmt w:val="decimal"/>
      <w:lvlText w:val=""/>
      <w:lvlJc w:val="left"/>
    </w:lvl>
  </w:abstractNum>
  <w:abstractNum w:abstractNumId="468" w15:restartNumberingAfterBreak="0">
    <w:nsid w:val="000041EE"/>
    <w:multiLevelType w:val="hybridMultilevel"/>
    <w:tmpl w:val="E60293C4"/>
    <w:lvl w:ilvl="0" w:tplc="43F46FD0">
      <w:start w:val="1"/>
      <w:numFmt w:val="decimal"/>
      <w:lvlText w:val="%1"/>
      <w:lvlJc w:val="left"/>
    </w:lvl>
    <w:lvl w:ilvl="1" w:tplc="FABEE732">
      <w:start w:val="1"/>
      <w:numFmt w:val="lowerLetter"/>
      <w:lvlText w:val="%2"/>
      <w:lvlJc w:val="left"/>
    </w:lvl>
    <w:lvl w:ilvl="2" w:tplc="F69E994E">
      <w:start w:val="2"/>
      <w:numFmt w:val="decimal"/>
      <w:lvlText w:val="%3."/>
      <w:lvlJc w:val="left"/>
    </w:lvl>
    <w:lvl w:ilvl="3" w:tplc="B79A024A">
      <w:start w:val="1"/>
      <w:numFmt w:val="lowerLetter"/>
      <w:lvlText w:val="%4"/>
      <w:lvlJc w:val="left"/>
    </w:lvl>
    <w:lvl w:ilvl="4" w:tplc="47D2D598">
      <w:numFmt w:val="decimal"/>
      <w:lvlText w:val=""/>
      <w:lvlJc w:val="left"/>
    </w:lvl>
    <w:lvl w:ilvl="5" w:tplc="E4D68056">
      <w:numFmt w:val="decimal"/>
      <w:lvlText w:val=""/>
      <w:lvlJc w:val="left"/>
    </w:lvl>
    <w:lvl w:ilvl="6" w:tplc="0AB64B1A">
      <w:numFmt w:val="decimal"/>
      <w:lvlText w:val=""/>
      <w:lvlJc w:val="left"/>
    </w:lvl>
    <w:lvl w:ilvl="7" w:tplc="B576E724">
      <w:numFmt w:val="decimal"/>
      <w:lvlText w:val=""/>
      <w:lvlJc w:val="left"/>
    </w:lvl>
    <w:lvl w:ilvl="8" w:tplc="D2105B20">
      <w:numFmt w:val="decimal"/>
      <w:lvlText w:val=""/>
      <w:lvlJc w:val="left"/>
    </w:lvl>
  </w:abstractNum>
  <w:abstractNum w:abstractNumId="469" w15:restartNumberingAfterBreak="0">
    <w:nsid w:val="0000421D"/>
    <w:multiLevelType w:val="hybridMultilevel"/>
    <w:tmpl w:val="2B689D00"/>
    <w:lvl w:ilvl="0" w:tplc="B7688BA8">
      <w:start w:val="1"/>
      <w:numFmt w:val="decimal"/>
      <w:lvlText w:val="%1"/>
      <w:lvlJc w:val="left"/>
    </w:lvl>
    <w:lvl w:ilvl="1" w:tplc="48D8D89C">
      <w:start w:val="1"/>
      <w:numFmt w:val="lowerLetter"/>
      <w:lvlText w:val="%2"/>
      <w:lvlJc w:val="left"/>
    </w:lvl>
    <w:lvl w:ilvl="2" w:tplc="57642446">
      <w:start w:val="4"/>
      <w:numFmt w:val="decimal"/>
      <w:lvlText w:val="%3."/>
      <w:lvlJc w:val="left"/>
    </w:lvl>
    <w:lvl w:ilvl="3" w:tplc="0D2CA468">
      <w:start w:val="1"/>
      <w:numFmt w:val="lowerLetter"/>
      <w:lvlText w:val="%4."/>
      <w:lvlJc w:val="left"/>
    </w:lvl>
    <w:lvl w:ilvl="4" w:tplc="D73E1008">
      <w:numFmt w:val="decimal"/>
      <w:lvlText w:val=""/>
      <w:lvlJc w:val="left"/>
    </w:lvl>
    <w:lvl w:ilvl="5" w:tplc="41A853A0">
      <w:numFmt w:val="decimal"/>
      <w:lvlText w:val=""/>
      <w:lvlJc w:val="left"/>
    </w:lvl>
    <w:lvl w:ilvl="6" w:tplc="82045B20">
      <w:numFmt w:val="decimal"/>
      <w:lvlText w:val=""/>
      <w:lvlJc w:val="left"/>
    </w:lvl>
    <w:lvl w:ilvl="7" w:tplc="4A60CD5A">
      <w:numFmt w:val="decimal"/>
      <w:lvlText w:val=""/>
      <w:lvlJc w:val="left"/>
    </w:lvl>
    <w:lvl w:ilvl="8" w:tplc="A9A00944">
      <w:numFmt w:val="decimal"/>
      <w:lvlText w:val=""/>
      <w:lvlJc w:val="left"/>
    </w:lvl>
  </w:abstractNum>
  <w:abstractNum w:abstractNumId="470" w15:restartNumberingAfterBreak="0">
    <w:nsid w:val="00004234"/>
    <w:multiLevelType w:val="hybridMultilevel"/>
    <w:tmpl w:val="91587080"/>
    <w:lvl w:ilvl="0" w:tplc="7272F4B4">
      <w:start w:val="1"/>
      <w:numFmt w:val="decimal"/>
      <w:lvlText w:val="%1"/>
      <w:lvlJc w:val="left"/>
    </w:lvl>
    <w:lvl w:ilvl="1" w:tplc="52E23632">
      <w:start w:val="1"/>
      <w:numFmt w:val="lowerRoman"/>
      <w:lvlText w:val="%2."/>
      <w:lvlJc w:val="left"/>
    </w:lvl>
    <w:lvl w:ilvl="2" w:tplc="73284766">
      <w:start w:val="1"/>
      <w:numFmt w:val="lowerRoman"/>
      <w:lvlText w:val="%3."/>
      <w:lvlJc w:val="left"/>
    </w:lvl>
    <w:lvl w:ilvl="3" w:tplc="9E0470EA">
      <w:start w:val="1"/>
      <w:numFmt w:val="lowerLetter"/>
      <w:lvlText w:val="%4"/>
      <w:lvlJc w:val="left"/>
    </w:lvl>
    <w:lvl w:ilvl="4" w:tplc="35EC01E6">
      <w:numFmt w:val="decimal"/>
      <w:lvlText w:val=""/>
      <w:lvlJc w:val="left"/>
    </w:lvl>
    <w:lvl w:ilvl="5" w:tplc="420668DA">
      <w:numFmt w:val="decimal"/>
      <w:lvlText w:val=""/>
      <w:lvlJc w:val="left"/>
    </w:lvl>
    <w:lvl w:ilvl="6" w:tplc="CFC44E64">
      <w:numFmt w:val="decimal"/>
      <w:lvlText w:val=""/>
      <w:lvlJc w:val="left"/>
    </w:lvl>
    <w:lvl w:ilvl="7" w:tplc="C0AAB51E">
      <w:numFmt w:val="decimal"/>
      <w:lvlText w:val=""/>
      <w:lvlJc w:val="left"/>
    </w:lvl>
    <w:lvl w:ilvl="8" w:tplc="C010E206">
      <w:numFmt w:val="decimal"/>
      <w:lvlText w:val=""/>
      <w:lvlJc w:val="left"/>
    </w:lvl>
  </w:abstractNum>
  <w:abstractNum w:abstractNumId="471" w15:restartNumberingAfterBreak="0">
    <w:nsid w:val="0000423B"/>
    <w:multiLevelType w:val="hybridMultilevel"/>
    <w:tmpl w:val="A8368AC8"/>
    <w:lvl w:ilvl="0" w:tplc="B2BC456E">
      <w:start w:val="1"/>
      <w:numFmt w:val="decimal"/>
      <w:lvlText w:val="%1."/>
      <w:lvlJc w:val="left"/>
    </w:lvl>
    <w:lvl w:ilvl="1" w:tplc="DFA445D2">
      <w:numFmt w:val="decimal"/>
      <w:lvlText w:val=""/>
      <w:lvlJc w:val="left"/>
    </w:lvl>
    <w:lvl w:ilvl="2" w:tplc="F4D898A8">
      <w:numFmt w:val="decimal"/>
      <w:lvlText w:val=""/>
      <w:lvlJc w:val="left"/>
    </w:lvl>
    <w:lvl w:ilvl="3" w:tplc="F686023E">
      <w:numFmt w:val="decimal"/>
      <w:lvlText w:val=""/>
      <w:lvlJc w:val="left"/>
    </w:lvl>
    <w:lvl w:ilvl="4" w:tplc="59DCB5EA">
      <w:numFmt w:val="decimal"/>
      <w:lvlText w:val=""/>
      <w:lvlJc w:val="left"/>
    </w:lvl>
    <w:lvl w:ilvl="5" w:tplc="50203A54">
      <w:numFmt w:val="decimal"/>
      <w:lvlText w:val=""/>
      <w:lvlJc w:val="left"/>
    </w:lvl>
    <w:lvl w:ilvl="6" w:tplc="07D6FE06">
      <w:numFmt w:val="decimal"/>
      <w:lvlText w:val=""/>
      <w:lvlJc w:val="left"/>
    </w:lvl>
    <w:lvl w:ilvl="7" w:tplc="C540CC76">
      <w:numFmt w:val="decimal"/>
      <w:lvlText w:val=""/>
      <w:lvlJc w:val="left"/>
    </w:lvl>
    <w:lvl w:ilvl="8" w:tplc="4BF4524E">
      <w:numFmt w:val="decimal"/>
      <w:lvlText w:val=""/>
      <w:lvlJc w:val="left"/>
    </w:lvl>
  </w:abstractNum>
  <w:abstractNum w:abstractNumId="472" w15:restartNumberingAfterBreak="0">
    <w:nsid w:val="0000426E"/>
    <w:multiLevelType w:val="hybridMultilevel"/>
    <w:tmpl w:val="C1E8764A"/>
    <w:lvl w:ilvl="0" w:tplc="8ACA0C12">
      <w:start w:val="1"/>
      <w:numFmt w:val="decimal"/>
      <w:lvlText w:val="%1."/>
      <w:lvlJc w:val="left"/>
    </w:lvl>
    <w:lvl w:ilvl="1" w:tplc="7DC2FD76">
      <w:start w:val="2"/>
      <w:numFmt w:val="lowerLetter"/>
      <w:lvlText w:val="(%2)"/>
      <w:lvlJc w:val="left"/>
    </w:lvl>
    <w:lvl w:ilvl="2" w:tplc="39AE228C">
      <w:numFmt w:val="decimal"/>
      <w:lvlText w:val=""/>
      <w:lvlJc w:val="left"/>
    </w:lvl>
    <w:lvl w:ilvl="3" w:tplc="B15C9F94">
      <w:numFmt w:val="decimal"/>
      <w:lvlText w:val=""/>
      <w:lvlJc w:val="left"/>
    </w:lvl>
    <w:lvl w:ilvl="4" w:tplc="A1CC9516">
      <w:numFmt w:val="decimal"/>
      <w:lvlText w:val=""/>
      <w:lvlJc w:val="left"/>
    </w:lvl>
    <w:lvl w:ilvl="5" w:tplc="FBAC7BAE">
      <w:numFmt w:val="decimal"/>
      <w:lvlText w:val=""/>
      <w:lvlJc w:val="left"/>
    </w:lvl>
    <w:lvl w:ilvl="6" w:tplc="4CCA425A">
      <w:numFmt w:val="decimal"/>
      <w:lvlText w:val=""/>
      <w:lvlJc w:val="left"/>
    </w:lvl>
    <w:lvl w:ilvl="7" w:tplc="E358615C">
      <w:numFmt w:val="decimal"/>
      <w:lvlText w:val=""/>
      <w:lvlJc w:val="left"/>
    </w:lvl>
    <w:lvl w:ilvl="8" w:tplc="751C1DF6">
      <w:numFmt w:val="decimal"/>
      <w:lvlText w:val=""/>
      <w:lvlJc w:val="left"/>
    </w:lvl>
  </w:abstractNum>
  <w:abstractNum w:abstractNumId="473" w15:restartNumberingAfterBreak="0">
    <w:nsid w:val="00004290"/>
    <w:multiLevelType w:val="hybridMultilevel"/>
    <w:tmpl w:val="E23A7F1C"/>
    <w:lvl w:ilvl="0" w:tplc="FD36A09A">
      <w:start w:val="3"/>
      <w:numFmt w:val="decimal"/>
      <w:lvlText w:val="(%1)"/>
      <w:lvlJc w:val="left"/>
    </w:lvl>
    <w:lvl w:ilvl="1" w:tplc="A896FEF0">
      <w:start w:val="1"/>
      <w:numFmt w:val="lowerLetter"/>
      <w:lvlText w:val="(%2)"/>
      <w:lvlJc w:val="left"/>
    </w:lvl>
    <w:lvl w:ilvl="2" w:tplc="E198FEF2">
      <w:start w:val="1"/>
      <w:numFmt w:val="decimal"/>
      <w:lvlText w:val="%3."/>
      <w:lvlJc w:val="left"/>
    </w:lvl>
    <w:lvl w:ilvl="3" w:tplc="326E3402">
      <w:numFmt w:val="decimal"/>
      <w:lvlText w:val=""/>
      <w:lvlJc w:val="left"/>
    </w:lvl>
    <w:lvl w:ilvl="4" w:tplc="C19ACA20">
      <w:numFmt w:val="decimal"/>
      <w:lvlText w:val=""/>
      <w:lvlJc w:val="left"/>
    </w:lvl>
    <w:lvl w:ilvl="5" w:tplc="AA42253C">
      <w:numFmt w:val="decimal"/>
      <w:lvlText w:val=""/>
      <w:lvlJc w:val="left"/>
    </w:lvl>
    <w:lvl w:ilvl="6" w:tplc="BC6646FA">
      <w:numFmt w:val="decimal"/>
      <w:lvlText w:val=""/>
      <w:lvlJc w:val="left"/>
    </w:lvl>
    <w:lvl w:ilvl="7" w:tplc="3A428116">
      <w:numFmt w:val="decimal"/>
      <w:lvlText w:val=""/>
      <w:lvlJc w:val="left"/>
    </w:lvl>
    <w:lvl w:ilvl="8" w:tplc="A0F08CB2">
      <w:numFmt w:val="decimal"/>
      <w:lvlText w:val=""/>
      <w:lvlJc w:val="left"/>
    </w:lvl>
  </w:abstractNum>
  <w:abstractNum w:abstractNumId="474" w15:restartNumberingAfterBreak="0">
    <w:nsid w:val="000042C7"/>
    <w:multiLevelType w:val="hybridMultilevel"/>
    <w:tmpl w:val="82B86396"/>
    <w:lvl w:ilvl="0" w:tplc="DA0217EA">
      <w:start w:val="6"/>
      <w:numFmt w:val="decimal"/>
      <w:lvlText w:val="(%1)"/>
      <w:lvlJc w:val="left"/>
    </w:lvl>
    <w:lvl w:ilvl="1" w:tplc="F19695F6">
      <w:start w:val="1"/>
      <w:numFmt w:val="lowerLetter"/>
      <w:lvlText w:val="(%2)"/>
      <w:lvlJc w:val="left"/>
    </w:lvl>
    <w:lvl w:ilvl="2" w:tplc="86E8DA50">
      <w:numFmt w:val="decimal"/>
      <w:lvlText w:val=""/>
      <w:lvlJc w:val="left"/>
    </w:lvl>
    <w:lvl w:ilvl="3" w:tplc="C7E42CE0">
      <w:numFmt w:val="decimal"/>
      <w:lvlText w:val=""/>
      <w:lvlJc w:val="left"/>
    </w:lvl>
    <w:lvl w:ilvl="4" w:tplc="EE6682A8">
      <w:numFmt w:val="decimal"/>
      <w:lvlText w:val=""/>
      <w:lvlJc w:val="left"/>
    </w:lvl>
    <w:lvl w:ilvl="5" w:tplc="F824403C">
      <w:numFmt w:val="decimal"/>
      <w:lvlText w:val=""/>
      <w:lvlJc w:val="left"/>
    </w:lvl>
    <w:lvl w:ilvl="6" w:tplc="8C784E28">
      <w:numFmt w:val="decimal"/>
      <w:lvlText w:val=""/>
      <w:lvlJc w:val="left"/>
    </w:lvl>
    <w:lvl w:ilvl="7" w:tplc="A9E406EE">
      <w:numFmt w:val="decimal"/>
      <w:lvlText w:val=""/>
      <w:lvlJc w:val="left"/>
    </w:lvl>
    <w:lvl w:ilvl="8" w:tplc="43C0A05A">
      <w:numFmt w:val="decimal"/>
      <w:lvlText w:val=""/>
      <w:lvlJc w:val="left"/>
    </w:lvl>
  </w:abstractNum>
  <w:abstractNum w:abstractNumId="475" w15:restartNumberingAfterBreak="0">
    <w:nsid w:val="00004310"/>
    <w:multiLevelType w:val="hybridMultilevel"/>
    <w:tmpl w:val="899CCB5E"/>
    <w:lvl w:ilvl="0" w:tplc="61989E4E">
      <w:start w:val="4"/>
      <w:numFmt w:val="lowerLetter"/>
      <w:lvlText w:val="(%1)"/>
      <w:lvlJc w:val="left"/>
    </w:lvl>
    <w:lvl w:ilvl="1" w:tplc="9C18CA0C">
      <w:numFmt w:val="decimal"/>
      <w:lvlText w:val=""/>
      <w:lvlJc w:val="left"/>
    </w:lvl>
    <w:lvl w:ilvl="2" w:tplc="E76E17AA">
      <w:numFmt w:val="decimal"/>
      <w:lvlText w:val=""/>
      <w:lvlJc w:val="left"/>
    </w:lvl>
    <w:lvl w:ilvl="3" w:tplc="15F0E6CA">
      <w:numFmt w:val="decimal"/>
      <w:lvlText w:val=""/>
      <w:lvlJc w:val="left"/>
    </w:lvl>
    <w:lvl w:ilvl="4" w:tplc="5DE47FAC">
      <w:numFmt w:val="decimal"/>
      <w:lvlText w:val=""/>
      <w:lvlJc w:val="left"/>
    </w:lvl>
    <w:lvl w:ilvl="5" w:tplc="81D8D96C">
      <w:numFmt w:val="decimal"/>
      <w:lvlText w:val=""/>
      <w:lvlJc w:val="left"/>
    </w:lvl>
    <w:lvl w:ilvl="6" w:tplc="C512E024">
      <w:numFmt w:val="decimal"/>
      <w:lvlText w:val=""/>
      <w:lvlJc w:val="left"/>
    </w:lvl>
    <w:lvl w:ilvl="7" w:tplc="57D606E6">
      <w:numFmt w:val="decimal"/>
      <w:lvlText w:val=""/>
      <w:lvlJc w:val="left"/>
    </w:lvl>
    <w:lvl w:ilvl="8" w:tplc="E514D440">
      <w:numFmt w:val="decimal"/>
      <w:lvlText w:val=""/>
      <w:lvlJc w:val="left"/>
    </w:lvl>
  </w:abstractNum>
  <w:abstractNum w:abstractNumId="476" w15:restartNumberingAfterBreak="0">
    <w:nsid w:val="00004336"/>
    <w:multiLevelType w:val="hybridMultilevel"/>
    <w:tmpl w:val="8C6EBF44"/>
    <w:lvl w:ilvl="0" w:tplc="3238E69E">
      <w:start w:val="4"/>
      <w:numFmt w:val="lowerRoman"/>
      <w:lvlText w:val="%1."/>
      <w:lvlJc w:val="left"/>
    </w:lvl>
    <w:lvl w:ilvl="1" w:tplc="C16860B0">
      <w:numFmt w:val="decimal"/>
      <w:lvlText w:val=""/>
      <w:lvlJc w:val="left"/>
    </w:lvl>
    <w:lvl w:ilvl="2" w:tplc="DABCF12C">
      <w:numFmt w:val="decimal"/>
      <w:lvlText w:val=""/>
      <w:lvlJc w:val="left"/>
    </w:lvl>
    <w:lvl w:ilvl="3" w:tplc="E4F4EC9E">
      <w:numFmt w:val="decimal"/>
      <w:lvlText w:val=""/>
      <w:lvlJc w:val="left"/>
    </w:lvl>
    <w:lvl w:ilvl="4" w:tplc="09846D0A">
      <w:numFmt w:val="decimal"/>
      <w:lvlText w:val=""/>
      <w:lvlJc w:val="left"/>
    </w:lvl>
    <w:lvl w:ilvl="5" w:tplc="A7E44DC8">
      <w:numFmt w:val="decimal"/>
      <w:lvlText w:val=""/>
      <w:lvlJc w:val="left"/>
    </w:lvl>
    <w:lvl w:ilvl="6" w:tplc="4A1EDDFC">
      <w:numFmt w:val="decimal"/>
      <w:lvlText w:val=""/>
      <w:lvlJc w:val="left"/>
    </w:lvl>
    <w:lvl w:ilvl="7" w:tplc="9FBEDB9E">
      <w:numFmt w:val="decimal"/>
      <w:lvlText w:val=""/>
      <w:lvlJc w:val="left"/>
    </w:lvl>
    <w:lvl w:ilvl="8" w:tplc="CB10CE6C">
      <w:numFmt w:val="decimal"/>
      <w:lvlText w:val=""/>
      <w:lvlJc w:val="left"/>
    </w:lvl>
  </w:abstractNum>
  <w:abstractNum w:abstractNumId="477" w15:restartNumberingAfterBreak="0">
    <w:nsid w:val="00004347"/>
    <w:multiLevelType w:val="hybridMultilevel"/>
    <w:tmpl w:val="59E409F8"/>
    <w:lvl w:ilvl="0" w:tplc="F182BA2E">
      <w:start w:val="1"/>
      <w:numFmt w:val="lowerLetter"/>
      <w:lvlText w:val="%1"/>
      <w:lvlJc w:val="left"/>
    </w:lvl>
    <w:lvl w:ilvl="1" w:tplc="074C4164">
      <w:start w:val="3"/>
      <w:numFmt w:val="decimal"/>
      <w:lvlText w:val="%2."/>
      <w:lvlJc w:val="left"/>
    </w:lvl>
    <w:lvl w:ilvl="2" w:tplc="1B5E605A">
      <w:start w:val="1"/>
      <w:numFmt w:val="lowerLetter"/>
      <w:lvlText w:val="%3."/>
      <w:lvlJc w:val="left"/>
    </w:lvl>
    <w:lvl w:ilvl="3" w:tplc="C36C8664">
      <w:numFmt w:val="decimal"/>
      <w:lvlText w:val=""/>
      <w:lvlJc w:val="left"/>
    </w:lvl>
    <w:lvl w:ilvl="4" w:tplc="48266B94">
      <w:numFmt w:val="decimal"/>
      <w:lvlText w:val=""/>
      <w:lvlJc w:val="left"/>
    </w:lvl>
    <w:lvl w:ilvl="5" w:tplc="8E90D01A">
      <w:numFmt w:val="decimal"/>
      <w:lvlText w:val=""/>
      <w:lvlJc w:val="left"/>
    </w:lvl>
    <w:lvl w:ilvl="6" w:tplc="19621C4E">
      <w:numFmt w:val="decimal"/>
      <w:lvlText w:val=""/>
      <w:lvlJc w:val="left"/>
    </w:lvl>
    <w:lvl w:ilvl="7" w:tplc="2C6ECC88">
      <w:numFmt w:val="decimal"/>
      <w:lvlText w:val=""/>
      <w:lvlJc w:val="left"/>
    </w:lvl>
    <w:lvl w:ilvl="8" w:tplc="29BA09C4">
      <w:numFmt w:val="decimal"/>
      <w:lvlText w:val=""/>
      <w:lvlJc w:val="left"/>
    </w:lvl>
  </w:abstractNum>
  <w:abstractNum w:abstractNumId="478" w15:restartNumberingAfterBreak="0">
    <w:nsid w:val="00004382"/>
    <w:multiLevelType w:val="hybridMultilevel"/>
    <w:tmpl w:val="ABA6917C"/>
    <w:lvl w:ilvl="0" w:tplc="E8FCA10E">
      <w:start w:val="6"/>
      <w:numFmt w:val="decimal"/>
      <w:lvlText w:val="(%1)"/>
      <w:lvlJc w:val="left"/>
    </w:lvl>
    <w:lvl w:ilvl="1" w:tplc="2F3EE2A4">
      <w:start w:val="1"/>
      <w:numFmt w:val="lowerLetter"/>
      <w:lvlText w:val="(%2)"/>
      <w:lvlJc w:val="left"/>
    </w:lvl>
    <w:lvl w:ilvl="2" w:tplc="2BD87872">
      <w:start w:val="1"/>
      <w:numFmt w:val="decimal"/>
      <w:lvlText w:val="%3"/>
      <w:lvlJc w:val="left"/>
    </w:lvl>
    <w:lvl w:ilvl="3" w:tplc="20805A3C">
      <w:numFmt w:val="decimal"/>
      <w:lvlText w:val=""/>
      <w:lvlJc w:val="left"/>
    </w:lvl>
    <w:lvl w:ilvl="4" w:tplc="07D0FD2C">
      <w:numFmt w:val="decimal"/>
      <w:lvlText w:val=""/>
      <w:lvlJc w:val="left"/>
    </w:lvl>
    <w:lvl w:ilvl="5" w:tplc="1C6848DA">
      <w:numFmt w:val="decimal"/>
      <w:lvlText w:val=""/>
      <w:lvlJc w:val="left"/>
    </w:lvl>
    <w:lvl w:ilvl="6" w:tplc="418AB1BA">
      <w:numFmt w:val="decimal"/>
      <w:lvlText w:val=""/>
      <w:lvlJc w:val="left"/>
    </w:lvl>
    <w:lvl w:ilvl="7" w:tplc="BF3C0C18">
      <w:numFmt w:val="decimal"/>
      <w:lvlText w:val=""/>
      <w:lvlJc w:val="left"/>
    </w:lvl>
    <w:lvl w:ilvl="8" w:tplc="3EB0432C">
      <w:numFmt w:val="decimal"/>
      <w:lvlText w:val=""/>
      <w:lvlJc w:val="left"/>
    </w:lvl>
  </w:abstractNum>
  <w:abstractNum w:abstractNumId="479" w15:restartNumberingAfterBreak="0">
    <w:nsid w:val="0000440D"/>
    <w:multiLevelType w:val="hybridMultilevel"/>
    <w:tmpl w:val="1FEE641C"/>
    <w:lvl w:ilvl="0" w:tplc="F790ED6A">
      <w:start w:val="1"/>
      <w:numFmt w:val="lowerLetter"/>
      <w:lvlText w:val="%1"/>
      <w:lvlJc w:val="left"/>
    </w:lvl>
    <w:lvl w:ilvl="1" w:tplc="AA089A96">
      <w:start w:val="1"/>
      <w:numFmt w:val="decimal"/>
      <w:lvlText w:val="%2."/>
      <w:lvlJc w:val="left"/>
    </w:lvl>
    <w:lvl w:ilvl="2" w:tplc="F7D89E94">
      <w:numFmt w:val="decimal"/>
      <w:lvlText w:val=""/>
      <w:lvlJc w:val="left"/>
    </w:lvl>
    <w:lvl w:ilvl="3" w:tplc="353CBE54">
      <w:numFmt w:val="decimal"/>
      <w:lvlText w:val=""/>
      <w:lvlJc w:val="left"/>
    </w:lvl>
    <w:lvl w:ilvl="4" w:tplc="14649372">
      <w:numFmt w:val="decimal"/>
      <w:lvlText w:val=""/>
      <w:lvlJc w:val="left"/>
    </w:lvl>
    <w:lvl w:ilvl="5" w:tplc="F04E899A">
      <w:numFmt w:val="decimal"/>
      <w:lvlText w:val=""/>
      <w:lvlJc w:val="left"/>
    </w:lvl>
    <w:lvl w:ilvl="6" w:tplc="52305E12">
      <w:numFmt w:val="decimal"/>
      <w:lvlText w:val=""/>
      <w:lvlJc w:val="left"/>
    </w:lvl>
    <w:lvl w:ilvl="7" w:tplc="543E513E">
      <w:numFmt w:val="decimal"/>
      <w:lvlText w:val=""/>
      <w:lvlJc w:val="left"/>
    </w:lvl>
    <w:lvl w:ilvl="8" w:tplc="4D4A6C52">
      <w:numFmt w:val="decimal"/>
      <w:lvlText w:val=""/>
      <w:lvlJc w:val="left"/>
    </w:lvl>
  </w:abstractNum>
  <w:abstractNum w:abstractNumId="480" w15:restartNumberingAfterBreak="0">
    <w:nsid w:val="00004439"/>
    <w:multiLevelType w:val="hybridMultilevel"/>
    <w:tmpl w:val="1C58D2EE"/>
    <w:lvl w:ilvl="0" w:tplc="9E328776">
      <w:start w:val="1"/>
      <w:numFmt w:val="bullet"/>
      <w:lvlText w:val="*"/>
      <w:lvlJc w:val="left"/>
      <w:rPr>
        <w:vertAlign w:val="superscript"/>
      </w:rPr>
    </w:lvl>
    <w:lvl w:ilvl="1" w:tplc="943AE57A">
      <w:numFmt w:val="decimal"/>
      <w:lvlText w:val=""/>
      <w:lvlJc w:val="left"/>
    </w:lvl>
    <w:lvl w:ilvl="2" w:tplc="253CC07A">
      <w:numFmt w:val="decimal"/>
      <w:lvlText w:val=""/>
      <w:lvlJc w:val="left"/>
    </w:lvl>
    <w:lvl w:ilvl="3" w:tplc="9378E082">
      <w:numFmt w:val="decimal"/>
      <w:lvlText w:val=""/>
      <w:lvlJc w:val="left"/>
    </w:lvl>
    <w:lvl w:ilvl="4" w:tplc="7F98493E">
      <w:numFmt w:val="decimal"/>
      <w:lvlText w:val=""/>
      <w:lvlJc w:val="left"/>
    </w:lvl>
    <w:lvl w:ilvl="5" w:tplc="21F64716">
      <w:numFmt w:val="decimal"/>
      <w:lvlText w:val=""/>
      <w:lvlJc w:val="left"/>
    </w:lvl>
    <w:lvl w:ilvl="6" w:tplc="65F6073A">
      <w:numFmt w:val="decimal"/>
      <w:lvlText w:val=""/>
      <w:lvlJc w:val="left"/>
    </w:lvl>
    <w:lvl w:ilvl="7" w:tplc="7D243CA6">
      <w:numFmt w:val="decimal"/>
      <w:lvlText w:val=""/>
      <w:lvlJc w:val="left"/>
    </w:lvl>
    <w:lvl w:ilvl="8" w:tplc="15D0394E">
      <w:numFmt w:val="decimal"/>
      <w:lvlText w:val=""/>
      <w:lvlJc w:val="left"/>
    </w:lvl>
  </w:abstractNum>
  <w:abstractNum w:abstractNumId="481" w15:restartNumberingAfterBreak="0">
    <w:nsid w:val="0000443D"/>
    <w:multiLevelType w:val="hybridMultilevel"/>
    <w:tmpl w:val="0E5AF810"/>
    <w:lvl w:ilvl="0" w:tplc="482E8FFA">
      <w:start w:val="9"/>
      <w:numFmt w:val="decimal"/>
      <w:lvlText w:val="(%1)"/>
      <w:lvlJc w:val="left"/>
    </w:lvl>
    <w:lvl w:ilvl="1" w:tplc="CB24CC16">
      <w:start w:val="1"/>
      <w:numFmt w:val="lowerLetter"/>
      <w:lvlText w:val="(%2)"/>
      <w:lvlJc w:val="left"/>
    </w:lvl>
    <w:lvl w:ilvl="2" w:tplc="E8743AA4">
      <w:start w:val="1"/>
      <w:numFmt w:val="decimal"/>
      <w:lvlText w:val="%3."/>
      <w:lvlJc w:val="left"/>
    </w:lvl>
    <w:lvl w:ilvl="3" w:tplc="FCBA0B60">
      <w:numFmt w:val="decimal"/>
      <w:lvlText w:val=""/>
      <w:lvlJc w:val="left"/>
    </w:lvl>
    <w:lvl w:ilvl="4" w:tplc="D368F422">
      <w:numFmt w:val="decimal"/>
      <w:lvlText w:val=""/>
      <w:lvlJc w:val="left"/>
    </w:lvl>
    <w:lvl w:ilvl="5" w:tplc="43B016C4">
      <w:numFmt w:val="decimal"/>
      <w:lvlText w:val=""/>
      <w:lvlJc w:val="left"/>
    </w:lvl>
    <w:lvl w:ilvl="6" w:tplc="BB960C32">
      <w:numFmt w:val="decimal"/>
      <w:lvlText w:val=""/>
      <w:lvlJc w:val="left"/>
    </w:lvl>
    <w:lvl w:ilvl="7" w:tplc="4EA0DE60">
      <w:numFmt w:val="decimal"/>
      <w:lvlText w:val=""/>
      <w:lvlJc w:val="left"/>
    </w:lvl>
    <w:lvl w:ilvl="8" w:tplc="A752A66E">
      <w:numFmt w:val="decimal"/>
      <w:lvlText w:val=""/>
      <w:lvlJc w:val="left"/>
    </w:lvl>
  </w:abstractNum>
  <w:abstractNum w:abstractNumId="482" w15:restartNumberingAfterBreak="0">
    <w:nsid w:val="0000444A"/>
    <w:multiLevelType w:val="hybridMultilevel"/>
    <w:tmpl w:val="223A6492"/>
    <w:lvl w:ilvl="0" w:tplc="C8505A48">
      <w:start w:val="2"/>
      <w:numFmt w:val="decimal"/>
      <w:lvlText w:val="%1."/>
      <w:lvlJc w:val="left"/>
    </w:lvl>
    <w:lvl w:ilvl="1" w:tplc="14B22EB8">
      <w:numFmt w:val="decimal"/>
      <w:lvlText w:val=""/>
      <w:lvlJc w:val="left"/>
    </w:lvl>
    <w:lvl w:ilvl="2" w:tplc="9D16D78A">
      <w:numFmt w:val="decimal"/>
      <w:lvlText w:val=""/>
      <w:lvlJc w:val="left"/>
    </w:lvl>
    <w:lvl w:ilvl="3" w:tplc="5F603F56">
      <w:numFmt w:val="decimal"/>
      <w:lvlText w:val=""/>
      <w:lvlJc w:val="left"/>
    </w:lvl>
    <w:lvl w:ilvl="4" w:tplc="33861FC8">
      <w:numFmt w:val="decimal"/>
      <w:lvlText w:val=""/>
      <w:lvlJc w:val="left"/>
    </w:lvl>
    <w:lvl w:ilvl="5" w:tplc="871A76BE">
      <w:numFmt w:val="decimal"/>
      <w:lvlText w:val=""/>
      <w:lvlJc w:val="left"/>
    </w:lvl>
    <w:lvl w:ilvl="6" w:tplc="EE2217F8">
      <w:numFmt w:val="decimal"/>
      <w:lvlText w:val=""/>
      <w:lvlJc w:val="left"/>
    </w:lvl>
    <w:lvl w:ilvl="7" w:tplc="EEFE20B8">
      <w:numFmt w:val="decimal"/>
      <w:lvlText w:val=""/>
      <w:lvlJc w:val="left"/>
    </w:lvl>
    <w:lvl w:ilvl="8" w:tplc="7CA0A4A6">
      <w:numFmt w:val="decimal"/>
      <w:lvlText w:val=""/>
      <w:lvlJc w:val="left"/>
    </w:lvl>
  </w:abstractNum>
  <w:abstractNum w:abstractNumId="483" w15:restartNumberingAfterBreak="0">
    <w:nsid w:val="00004481"/>
    <w:multiLevelType w:val="hybridMultilevel"/>
    <w:tmpl w:val="C64A9F96"/>
    <w:lvl w:ilvl="0" w:tplc="A9EEA55C">
      <w:start w:val="5"/>
      <w:numFmt w:val="decimal"/>
      <w:lvlText w:val="(%1)"/>
      <w:lvlJc w:val="left"/>
    </w:lvl>
    <w:lvl w:ilvl="1" w:tplc="53229B0A">
      <w:start w:val="1"/>
      <w:numFmt w:val="lowerLetter"/>
      <w:lvlText w:val="(%2)"/>
      <w:lvlJc w:val="left"/>
    </w:lvl>
    <w:lvl w:ilvl="2" w:tplc="5B60ED0A">
      <w:start w:val="1"/>
      <w:numFmt w:val="decimal"/>
      <w:lvlText w:val="%3."/>
      <w:lvlJc w:val="left"/>
    </w:lvl>
    <w:lvl w:ilvl="3" w:tplc="39D65570">
      <w:start w:val="1"/>
      <w:numFmt w:val="lowerLetter"/>
      <w:lvlText w:val="%4"/>
      <w:lvlJc w:val="left"/>
    </w:lvl>
    <w:lvl w:ilvl="4" w:tplc="45705F84">
      <w:numFmt w:val="decimal"/>
      <w:lvlText w:val=""/>
      <w:lvlJc w:val="left"/>
    </w:lvl>
    <w:lvl w:ilvl="5" w:tplc="CF3E1906">
      <w:numFmt w:val="decimal"/>
      <w:lvlText w:val=""/>
      <w:lvlJc w:val="left"/>
    </w:lvl>
    <w:lvl w:ilvl="6" w:tplc="5378B0F4">
      <w:numFmt w:val="decimal"/>
      <w:lvlText w:val=""/>
      <w:lvlJc w:val="left"/>
    </w:lvl>
    <w:lvl w:ilvl="7" w:tplc="1A3CD084">
      <w:numFmt w:val="decimal"/>
      <w:lvlText w:val=""/>
      <w:lvlJc w:val="left"/>
    </w:lvl>
    <w:lvl w:ilvl="8" w:tplc="FF7E1B46">
      <w:numFmt w:val="decimal"/>
      <w:lvlText w:val=""/>
      <w:lvlJc w:val="left"/>
    </w:lvl>
  </w:abstractNum>
  <w:abstractNum w:abstractNumId="484" w15:restartNumberingAfterBreak="0">
    <w:nsid w:val="000044C4"/>
    <w:multiLevelType w:val="hybridMultilevel"/>
    <w:tmpl w:val="266658F0"/>
    <w:lvl w:ilvl="0" w:tplc="60D2EC2E">
      <w:start w:val="1"/>
      <w:numFmt w:val="lowerLetter"/>
      <w:lvlText w:val="%1"/>
      <w:lvlJc w:val="left"/>
    </w:lvl>
    <w:lvl w:ilvl="1" w:tplc="606A1AA4">
      <w:start w:val="2"/>
      <w:numFmt w:val="decimal"/>
      <w:lvlText w:val="%2."/>
      <w:lvlJc w:val="left"/>
    </w:lvl>
    <w:lvl w:ilvl="2" w:tplc="89B8FB00">
      <w:numFmt w:val="decimal"/>
      <w:lvlText w:val=""/>
      <w:lvlJc w:val="left"/>
    </w:lvl>
    <w:lvl w:ilvl="3" w:tplc="F0847F38">
      <w:numFmt w:val="decimal"/>
      <w:lvlText w:val=""/>
      <w:lvlJc w:val="left"/>
    </w:lvl>
    <w:lvl w:ilvl="4" w:tplc="F8F0B16A">
      <w:numFmt w:val="decimal"/>
      <w:lvlText w:val=""/>
      <w:lvlJc w:val="left"/>
    </w:lvl>
    <w:lvl w:ilvl="5" w:tplc="9D509900">
      <w:numFmt w:val="decimal"/>
      <w:lvlText w:val=""/>
      <w:lvlJc w:val="left"/>
    </w:lvl>
    <w:lvl w:ilvl="6" w:tplc="FF18E9F0">
      <w:numFmt w:val="decimal"/>
      <w:lvlText w:val=""/>
      <w:lvlJc w:val="left"/>
    </w:lvl>
    <w:lvl w:ilvl="7" w:tplc="51C8BDA6">
      <w:numFmt w:val="decimal"/>
      <w:lvlText w:val=""/>
      <w:lvlJc w:val="left"/>
    </w:lvl>
    <w:lvl w:ilvl="8" w:tplc="25AEDC68">
      <w:numFmt w:val="decimal"/>
      <w:lvlText w:val=""/>
      <w:lvlJc w:val="left"/>
    </w:lvl>
  </w:abstractNum>
  <w:abstractNum w:abstractNumId="485" w15:restartNumberingAfterBreak="0">
    <w:nsid w:val="000044CC"/>
    <w:multiLevelType w:val="hybridMultilevel"/>
    <w:tmpl w:val="3D542234"/>
    <w:lvl w:ilvl="0" w:tplc="81F61EF4">
      <w:start w:val="12"/>
      <w:numFmt w:val="decimal"/>
      <w:lvlText w:val="(%1)"/>
      <w:lvlJc w:val="left"/>
    </w:lvl>
    <w:lvl w:ilvl="1" w:tplc="D7205EE0">
      <w:start w:val="1"/>
      <w:numFmt w:val="lowerLetter"/>
      <w:lvlText w:val="%2"/>
      <w:lvlJc w:val="left"/>
    </w:lvl>
    <w:lvl w:ilvl="2" w:tplc="1B862924">
      <w:start w:val="1"/>
      <w:numFmt w:val="decimal"/>
      <w:lvlText w:val="%3"/>
      <w:lvlJc w:val="left"/>
    </w:lvl>
    <w:lvl w:ilvl="3" w:tplc="B9C8BAD8">
      <w:start w:val="1"/>
      <w:numFmt w:val="lowerLetter"/>
      <w:lvlText w:val="%4"/>
      <w:lvlJc w:val="left"/>
    </w:lvl>
    <w:lvl w:ilvl="4" w:tplc="7E0C09B0">
      <w:numFmt w:val="decimal"/>
      <w:lvlText w:val=""/>
      <w:lvlJc w:val="left"/>
    </w:lvl>
    <w:lvl w:ilvl="5" w:tplc="E8885A34">
      <w:numFmt w:val="decimal"/>
      <w:lvlText w:val=""/>
      <w:lvlJc w:val="left"/>
    </w:lvl>
    <w:lvl w:ilvl="6" w:tplc="F10882D6">
      <w:numFmt w:val="decimal"/>
      <w:lvlText w:val=""/>
      <w:lvlJc w:val="left"/>
    </w:lvl>
    <w:lvl w:ilvl="7" w:tplc="C07034D6">
      <w:numFmt w:val="decimal"/>
      <w:lvlText w:val=""/>
      <w:lvlJc w:val="left"/>
    </w:lvl>
    <w:lvl w:ilvl="8" w:tplc="418ACAEA">
      <w:numFmt w:val="decimal"/>
      <w:lvlText w:val=""/>
      <w:lvlJc w:val="left"/>
    </w:lvl>
  </w:abstractNum>
  <w:abstractNum w:abstractNumId="486" w15:restartNumberingAfterBreak="0">
    <w:nsid w:val="000044E9"/>
    <w:multiLevelType w:val="hybridMultilevel"/>
    <w:tmpl w:val="BC7C7106"/>
    <w:lvl w:ilvl="0" w:tplc="710E8DE8">
      <w:start w:val="12"/>
      <w:numFmt w:val="decimal"/>
      <w:lvlText w:val="(%1)"/>
      <w:lvlJc w:val="left"/>
    </w:lvl>
    <w:lvl w:ilvl="1" w:tplc="787482B2">
      <w:numFmt w:val="decimal"/>
      <w:lvlText w:val=""/>
      <w:lvlJc w:val="left"/>
    </w:lvl>
    <w:lvl w:ilvl="2" w:tplc="71CCFF0C">
      <w:numFmt w:val="decimal"/>
      <w:lvlText w:val=""/>
      <w:lvlJc w:val="left"/>
    </w:lvl>
    <w:lvl w:ilvl="3" w:tplc="1D6AEB36">
      <w:numFmt w:val="decimal"/>
      <w:lvlText w:val=""/>
      <w:lvlJc w:val="left"/>
    </w:lvl>
    <w:lvl w:ilvl="4" w:tplc="1820C0FE">
      <w:numFmt w:val="decimal"/>
      <w:lvlText w:val=""/>
      <w:lvlJc w:val="left"/>
    </w:lvl>
    <w:lvl w:ilvl="5" w:tplc="80744D40">
      <w:numFmt w:val="decimal"/>
      <w:lvlText w:val=""/>
      <w:lvlJc w:val="left"/>
    </w:lvl>
    <w:lvl w:ilvl="6" w:tplc="F7A4EE38">
      <w:numFmt w:val="decimal"/>
      <w:lvlText w:val=""/>
      <w:lvlJc w:val="left"/>
    </w:lvl>
    <w:lvl w:ilvl="7" w:tplc="74E05596">
      <w:numFmt w:val="decimal"/>
      <w:lvlText w:val=""/>
      <w:lvlJc w:val="left"/>
    </w:lvl>
    <w:lvl w:ilvl="8" w:tplc="BC443408">
      <w:numFmt w:val="decimal"/>
      <w:lvlText w:val=""/>
      <w:lvlJc w:val="left"/>
    </w:lvl>
  </w:abstractNum>
  <w:abstractNum w:abstractNumId="487" w15:restartNumberingAfterBreak="0">
    <w:nsid w:val="000044FB"/>
    <w:multiLevelType w:val="hybridMultilevel"/>
    <w:tmpl w:val="7EAE819E"/>
    <w:lvl w:ilvl="0" w:tplc="243A27D0">
      <w:start w:val="2"/>
      <w:numFmt w:val="decimal"/>
      <w:lvlText w:val="%1."/>
      <w:lvlJc w:val="left"/>
    </w:lvl>
    <w:lvl w:ilvl="1" w:tplc="E5242EC6">
      <w:start w:val="1"/>
      <w:numFmt w:val="lowerLetter"/>
      <w:lvlText w:val="%2"/>
      <w:lvlJc w:val="left"/>
    </w:lvl>
    <w:lvl w:ilvl="2" w:tplc="EE2CACC2">
      <w:numFmt w:val="decimal"/>
      <w:lvlText w:val=""/>
      <w:lvlJc w:val="left"/>
    </w:lvl>
    <w:lvl w:ilvl="3" w:tplc="F9084B24">
      <w:numFmt w:val="decimal"/>
      <w:lvlText w:val=""/>
      <w:lvlJc w:val="left"/>
    </w:lvl>
    <w:lvl w:ilvl="4" w:tplc="197E4A74">
      <w:numFmt w:val="decimal"/>
      <w:lvlText w:val=""/>
      <w:lvlJc w:val="left"/>
    </w:lvl>
    <w:lvl w:ilvl="5" w:tplc="C586492E">
      <w:numFmt w:val="decimal"/>
      <w:lvlText w:val=""/>
      <w:lvlJc w:val="left"/>
    </w:lvl>
    <w:lvl w:ilvl="6" w:tplc="D65AC8E6">
      <w:numFmt w:val="decimal"/>
      <w:lvlText w:val=""/>
      <w:lvlJc w:val="left"/>
    </w:lvl>
    <w:lvl w:ilvl="7" w:tplc="C578431C">
      <w:numFmt w:val="decimal"/>
      <w:lvlText w:val=""/>
      <w:lvlJc w:val="left"/>
    </w:lvl>
    <w:lvl w:ilvl="8" w:tplc="FB0A416E">
      <w:numFmt w:val="decimal"/>
      <w:lvlText w:val=""/>
      <w:lvlJc w:val="left"/>
    </w:lvl>
  </w:abstractNum>
  <w:abstractNum w:abstractNumId="488" w15:restartNumberingAfterBreak="0">
    <w:nsid w:val="0000451C"/>
    <w:multiLevelType w:val="hybridMultilevel"/>
    <w:tmpl w:val="2D5A56CA"/>
    <w:lvl w:ilvl="0" w:tplc="1FA8DE8A">
      <w:start w:val="7"/>
      <w:numFmt w:val="lowerLetter"/>
      <w:lvlText w:val="(%1)"/>
      <w:lvlJc w:val="left"/>
    </w:lvl>
    <w:lvl w:ilvl="1" w:tplc="08FCE76C">
      <w:start w:val="1"/>
      <w:numFmt w:val="decimal"/>
      <w:lvlText w:val="%2."/>
      <w:lvlJc w:val="left"/>
    </w:lvl>
    <w:lvl w:ilvl="2" w:tplc="C80CF036">
      <w:start w:val="1"/>
      <w:numFmt w:val="lowerLetter"/>
      <w:lvlText w:val="%3."/>
      <w:lvlJc w:val="left"/>
    </w:lvl>
    <w:lvl w:ilvl="3" w:tplc="03705C42">
      <w:start w:val="1"/>
      <w:numFmt w:val="lowerRoman"/>
      <w:lvlText w:val="(%4)"/>
      <w:lvlJc w:val="left"/>
    </w:lvl>
    <w:lvl w:ilvl="4" w:tplc="ADC4A73E">
      <w:numFmt w:val="decimal"/>
      <w:lvlText w:val=""/>
      <w:lvlJc w:val="left"/>
    </w:lvl>
    <w:lvl w:ilvl="5" w:tplc="9DFAF802">
      <w:numFmt w:val="decimal"/>
      <w:lvlText w:val=""/>
      <w:lvlJc w:val="left"/>
    </w:lvl>
    <w:lvl w:ilvl="6" w:tplc="1FC08FA6">
      <w:numFmt w:val="decimal"/>
      <w:lvlText w:val=""/>
      <w:lvlJc w:val="left"/>
    </w:lvl>
    <w:lvl w:ilvl="7" w:tplc="7980ADCE">
      <w:numFmt w:val="decimal"/>
      <w:lvlText w:val=""/>
      <w:lvlJc w:val="left"/>
    </w:lvl>
    <w:lvl w:ilvl="8" w:tplc="3BA23F62">
      <w:numFmt w:val="decimal"/>
      <w:lvlText w:val=""/>
      <w:lvlJc w:val="left"/>
    </w:lvl>
  </w:abstractNum>
  <w:abstractNum w:abstractNumId="489" w15:restartNumberingAfterBreak="0">
    <w:nsid w:val="00004531"/>
    <w:multiLevelType w:val="hybridMultilevel"/>
    <w:tmpl w:val="E60029C8"/>
    <w:lvl w:ilvl="0" w:tplc="46A4857A">
      <w:start w:val="1"/>
      <w:numFmt w:val="decimal"/>
      <w:lvlText w:val="%1"/>
      <w:lvlJc w:val="left"/>
    </w:lvl>
    <w:lvl w:ilvl="1" w:tplc="18B417AA">
      <w:start w:val="1"/>
      <w:numFmt w:val="lowerLetter"/>
      <w:lvlText w:val="%2"/>
      <w:lvlJc w:val="left"/>
    </w:lvl>
    <w:lvl w:ilvl="2" w:tplc="53369156">
      <w:start w:val="310"/>
      <w:numFmt w:val="decimal"/>
      <w:lvlText w:val="%3"/>
      <w:lvlJc w:val="left"/>
    </w:lvl>
    <w:lvl w:ilvl="3" w:tplc="3B72D034">
      <w:numFmt w:val="decimal"/>
      <w:lvlText w:val=""/>
      <w:lvlJc w:val="left"/>
    </w:lvl>
    <w:lvl w:ilvl="4" w:tplc="D86C2B6E">
      <w:numFmt w:val="decimal"/>
      <w:lvlText w:val=""/>
      <w:lvlJc w:val="left"/>
    </w:lvl>
    <w:lvl w:ilvl="5" w:tplc="7DA0CDE8">
      <w:numFmt w:val="decimal"/>
      <w:lvlText w:val=""/>
      <w:lvlJc w:val="left"/>
    </w:lvl>
    <w:lvl w:ilvl="6" w:tplc="DAFA539A">
      <w:numFmt w:val="decimal"/>
      <w:lvlText w:val=""/>
      <w:lvlJc w:val="left"/>
    </w:lvl>
    <w:lvl w:ilvl="7" w:tplc="C0D6774C">
      <w:numFmt w:val="decimal"/>
      <w:lvlText w:val=""/>
      <w:lvlJc w:val="left"/>
    </w:lvl>
    <w:lvl w:ilvl="8" w:tplc="229C389A">
      <w:numFmt w:val="decimal"/>
      <w:lvlText w:val=""/>
      <w:lvlJc w:val="left"/>
    </w:lvl>
  </w:abstractNum>
  <w:abstractNum w:abstractNumId="490" w15:restartNumberingAfterBreak="0">
    <w:nsid w:val="00004574"/>
    <w:multiLevelType w:val="hybridMultilevel"/>
    <w:tmpl w:val="81424614"/>
    <w:lvl w:ilvl="0" w:tplc="DED8A4D6">
      <w:start w:val="2"/>
      <w:numFmt w:val="lowerLetter"/>
      <w:lvlText w:val="(%1)"/>
      <w:lvlJc w:val="left"/>
    </w:lvl>
    <w:lvl w:ilvl="1" w:tplc="1314434E">
      <w:start w:val="1"/>
      <w:numFmt w:val="lowerLetter"/>
      <w:lvlText w:val="%2"/>
      <w:lvlJc w:val="left"/>
    </w:lvl>
    <w:lvl w:ilvl="2" w:tplc="8650401E">
      <w:start w:val="1"/>
      <w:numFmt w:val="lowerRoman"/>
      <w:lvlText w:val="%3"/>
      <w:lvlJc w:val="left"/>
    </w:lvl>
    <w:lvl w:ilvl="3" w:tplc="4CA4C70A">
      <w:numFmt w:val="decimal"/>
      <w:lvlText w:val=""/>
      <w:lvlJc w:val="left"/>
    </w:lvl>
    <w:lvl w:ilvl="4" w:tplc="83B2E816">
      <w:numFmt w:val="decimal"/>
      <w:lvlText w:val=""/>
      <w:lvlJc w:val="left"/>
    </w:lvl>
    <w:lvl w:ilvl="5" w:tplc="3ED28768">
      <w:numFmt w:val="decimal"/>
      <w:lvlText w:val=""/>
      <w:lvlJc w:val="left"/>
    </w:lvl>
    <w:lvl w:ilvl="6" w:tplc="08B8DC52">
      <w:numFmt w:val="decimal"/>
      <w:lvlText w:val=""/>
      <w:lvlJc w:val="left"/>
    </w:lvl>
    <w:lvl w:ilvl="7" w:tplc="E98AEDC0">
      <w:numFmt w:val="decimal"/>
      <w:lvlText w:val=""/>
      <w:lvlJc w:val="left"/>
    </w:lvl>
    <w:lvl w:ilvl="8" w:tplc="64F0D9F4">
      <w:numFmt w:val="decimal"/>
      <w:lvlText w:val=""/>
      <w:lvlJc w:val="left"/>
    </w:lvl>
  </w:abstractNum>
  <w:abstractNum w:abstractNumId="491" w15:restartNumberingAfterBreak="0">
    <w:nsid w:val="000045A3"/>
    <w:multiLevelType w:val="hybridMultilevel"/>
    <w:tmpl w:val="C24093E2"/>
    <w:lvl w:ilvl="0" w:tplc="DE60BE12">
      <w:start w:val="3"/>
      <w:numFmt w:val="lowerLetter"/>
      <w:lvlText w:val="(%1)"/>
      <w:lvlJc w:val="left"/>
    </w:lvl>
    <w:lvl w:ilvl="1" w:tplc="4C2CAE82">
      <w:start w:val="1"/>
      <w:numFmt w:val="decimal"/>
      <w:lvlText w:val="%2."/>
      <w:lvlJc w:val="left"/>
    </w:lvl>
    <w:lvl w:ilvl="2" w:tplc="5728F28C">
      <w:start w:val="1"/>
      <w:numFmt w:val="lowerLetter"/>
      <w:lvlText w:val="%3."/>
      <w:lvlJc w:val="left"/>
    </w:lvl>
    <w:lvl w:ilvl="3" w:tplc="9BE045A4">
      <w:numFmt w:val="decimal"/>
      <w:lvlText w:val=""/>
      <w:lvlJc w:val="left"/>
    </w:lvl>
    <w:lvl w:ilvl="4" w:tplc="F9A0F84C">
      <w:numFmt w:val="decimal"/>
      <w:lvlText w:val=""/>
      <w:lvlJc w:val="left"/>
    </w:lvl>
    <w:lvl w:ilvl="5" w:tplc="3440F7CC">
      <w:numFmt w:val="decimal"/>
      <w:lvlText w:val=""/>
      <w:lvlJc w:val="left"/>
    </w:lvl>
    <w:lvl w:ilvl="6" w:tplc="FFB099EA">
      <w:numFmt w:val="decimal"/>
      <w:lvlText w:val=""/>
      <w:lvlJc w:val="left"/>
    </w:lvl>
    <w:lvl w:ilvl="7" w:tplc="511C2CAA">
      <w:numFmt w:val="decimal"/>
      <w:lvlText w:val=""/>
      <w:lvlJc w:val="left"/>
    </w:lvl>
    <w:lvl w:ilvl="8" w:tplc="0366AC04">
      <w:numFmt w:val="decimal"/>
      <w:lvlText w:val=""/>
      <w:lvlJc w:val="left"/>
    </w:lvl>
  </w:abstractNum>
  <w:abstractNum w:abstractNumId="492" w15:restartNumberingAfterBreak="0">
    <w:nsid w:val="000045A8"/>
    <w:multiLevelType w:val="hybridMultilevel"/>
    <w:tmpl w:val="FA2E5AEA"/>
    <w:lvl w:ilvl="0" w:tplc="5CD6DD7E">
      <w:start w:val="2"/>
      <w:numFmt w:val="lowerLetter"/>
      <w:lvlText w:val="(%1)"/>
      <w:lvlJc w:val="left"/>
    </w:lvl>
    <w:lvl w:ilvl="1" w:tplc="EE76BC86">
      <w:start w:val="1"/>
      <w:numFmt w:val="decimal"/>
      <w:lvlText w:val="%2."/>
      <w:lvlJc w:val="left"/>
    </w:lvl>
    <w:lvl w:ilvl="2" w:tplc="0670477A">
      <w:start w:val="1"/>
      <w:numFmt w:val="lowerLetter"/>
      <w:lvlText w:val="%3."/>
      <w:lvlJc w:val="left"/>
    </w:lvl>
    <w:lvl w:ilvl="3" w:tplc="634E22E8">
      <w:numFmt w:val="decimal"/>
      <w:lvlText w:val=""/>
      <w:lvlJc w:val="left"/>
    </w:lvl>
    <w:lvl w:ilvl="4" w:tplc="9AC4BF3C">
      <w:numFmt w:val="decimal"/>
      <w:lvlText w:val=""/>
      <w:lvlJc w:val="left"/>
    </w:lvl>
    <w:lvl w:ilvl="5" w:tplc="1C38D6CC">
      <w:numFmt w:val="decimal"/>
      <w:lvlText w:val=""/>
      <w:lvlJc w:val="left"/>
    </w:lvl>
    <w:lvl w:ilvl="6" w:tplc="0D38922A">
      <w:numFmt w:val="decimal"/>
      <w:lvlText w:val=""/>
      <w:lvlJc w:val="left"/>
    </w:lvl>
    <w:lvl w:ilvl="7" w:tplc="BD5C2AC2">
      <w:numFmt w:val="decimal"/>
      <w:lvlText w:val=""/>
      <w:lvlJc w:val="left"/>
    </w:lvl>
    <w:lvl w:ilvl="8" w:tplc="AC301E36">
      <w:numFmt w:val="decimal"/>
      <w:lvlText w:val=""/>
      <w:lvlJc w:val="left"/>
    </w:lvl>
  </w:abstractNum>
  <w:abstractNum w:abstractNumId="493" w15:restartNumberingAfterBreak="0">
    <w:nsid w:val="000045F2"/>
    <w:multiLevelType w:val="hybridMultilevel"/>
    <w:tmpl w:val="DB82AC7E"/>
    <w:lvl w:ilvl="0" w:tplc="008AF872">
      <w:start w:val="1"/>
      <w:numFmt w:val="lowerLetter"/>
      <w:lvlText w:val="%1"/>
      <w:lvlJc w:val="left"/>
    </w:lvl>
    <w:lvl w:ilvl="1" w:tplc="C66C958A">
      <w:start w:val="5"/>
      <w:numFmt w:val="decimal"/>
      <w:lvlText w:val="%2."/>
      <w:lvlJc w:val="left"/>
    </w:lvl>
    <w:lvl w:ilvl="2" w:tplc="44DCFCA8">
      <w:start w:val="1"/>
      <w:numFmt w:val="lowerLetter"/>
      <w:lvlText w:val="%3"/>
      <w:lvlJc w:val="left"/>
    </w:lvl>
    <w:lvl w:ilvl="3" w:tplc="5936071A">
      <w:numFmt w:val="decimal"/>
      <w:lvlText w:val=""/>
      <w:lvlJc w:val="left"/>
    </w:lvl>
    <w:lvl w:ilvl="4" w:tplc="C6728C7A">
      <w:numFmt w:val="decimal"/>
      <w:lvlText w:val=""/>
      <w:lvlJc w:val="left"/>
    </w:lvl>
    <w:lvl w:ilvl="5" w:tplc="8AF45632">
      <w:numFmt w:val="decimal"/>
      <w:lvlText w:val=""/>
      <w:lvlJc w:val="left"/>
    </w:lvl>
    <w:lvl w:ilvl="6" w:tplc="49EE87CE">
      <w:numFmt w:val="decimal"/>
      <w:lvlText w:val=""/>
      <w:lvlJc w:val="left"/>
    </w:lvl>
    <w:lvl w:ilvl="7" w:tplc="7256A788">
      <w:numFmt w:val="decimal"/>
      <w:lvlText w:val=""/>
      <w:lvlJc w:val="left"/>
    </w:lvl>
    <w:lvl w:ilvl="8" w:tplc="96FA9680">
      <w:numFmt w:val="decimal"/>
      <w:lvlText w:val=""/>
      <w:lvlJc w:val="left"/>
    </w:lvl>
  </w:abstractNum>
  <w:abstractNum w:abstractNumId="494" w15:restartNumberingAfterBreak="0">
    <w:nsid w:val="00004619"/>
    <w:multiLevelType w:val="hybridMultilevel"/>
    <w:tmpl w:val="BA862F8C"/>
    <w:lvl w:ilvl="0" w:tplc="79EE285E">
      <w:start w:val="1"/>
      <w:numFmt w:val="lowerLetter"/>
      <w:lvlText w:val="%1"/>
      <w:lvlJc w:val="left"/>
    </w:lvl>
    <w:lvl w:ilvl="1" w:tplc="0052A044">
      <w:start w:val="1"/>
      <w:numFmt w:val="decimal"/>
      <w:lvlText w:val="%2"/>
      <w:lvlJc w:val="left"/>
    </w:lvl>
    <w:lvl w:ilvl="2" w:tplc="EA24FB6E">
      <w:start w:val="9"/>
      <w:numFmt w:val="lowerLetter"/>
      <w:lvlText w:val="%3."/>
      <w:lvlJc w:val="left"/>
    </w:lvl>
    <w:lvl w:ilvl="3" w:tplc="2F30A688">
      <w:start w:val="1"/>
      <w:numFmt w:val="lowerLetter"/>
      <w:lvlText w:val="%4"/>
      <w:lvlJc w:val="left"/>
    </w:lvl>
    <w:lvl w:ilvl="4" w:tplc="18EEDBCA">
      <w:numFmt w:val="decimal"/>
      <w:lvlText w:val=""/>
      <w:lvlJc w:val="left"/>
    </w:lvl>
    <w:lvl w:ilvl="5" w:tplc="8EC460CE">
      <w:numFmt w:val="decimal"/>
      <w:lvlText w:val=""/>
      <w:lvlJc w:val="left"/>
    </w:lvl>
    <w:lvl w:ilvl="6" w:tplc="2D102D40">
      <w:numFmt w:val="decimal"/>
      <w:lvlText w:val=""/>
      <w:lvlJc w:val="left"/>
    </w:lvl>
    <w:lvl w:ilvl="7" w:tplc="469643D6">
      <w:numFmt w:val="decimal"/>
      <w:lvlText w:val=""/>
      <w:lvlJc w:val="left"/>
    </w:lvl>
    <w:lvl w:ilvl="8" w:tplc="D408C122">
      <w:numFmt w:val="decimal"/>
      <w:lvlText w:val=""/>
      <w:lvlJc w:val="left"/>
    </w:lvl>
  </w:abstractNum>
  <w:abstractNum w:abstractNumId="495" w15:restartNumberingAfterBreak="0">
    <w:nsid w:val="00004630"/>
    <w:multiLevelType w:val="hybridMultilevel"/>
    <w:tmpl w:val="652CB860"/>
    <w:lvl w:ilvl="0" w:tplc="CE32D09E">
      <w:start w:val="1"/>
      <w:numFmt w:val="lowerLetter"/>
      <w:lvlText w:val="%1"/>
      <w:lvlJc w:val="left"/>
    </w:lvl>
    <w:lvl w:ilvl="1" w:tplc="F6388EC2">
      <w:start w:val="310"/>
      <w:numFmt w:val="decimal"/>
      <w:lvlText w:val="%2"/>
      <w:lvlJc w:val="left"/>
    </w:lvl>
    <w:lvl w:ilvl="2" w:tplc="21ECBCD6">
      <w:start w:val="1"/>
      <w:numFmt w:val="lowerLetter"/>
      <w:lvlText w:val="%3."/>
      <w:lvlJc w:val="left"/>
    </w:lvl>
    <w:lvl w:ilvl="3" w:tplc="E3E2E204">
      <w:numFmt w:val="decimal"/>
      <w:lvlText w:val=""/>
      <w:lvlJc w:val="left"/>
    </w:lvl>
    <w:lvl w:ilvl="4" w:tplc="3D041370">
      <w:numFmt w:val="decimal"/>
      <w:lvlText w:val=""/>
      <w:lvlJc w:val="left"/>
    </w:lvl>
    <w:lvl w:ilvl="5" w:tplc="F528B1B2">
      <w:numFmt w:val="decimal"/>
      <w:lvlText w:val=""/>
      <w:lvlJc w:val="left"/>
    </w:lvl>
    <w:lvl w:ilvl="6" w:tplc="75E65376">
      <w:numFmt w:val="decimal"/>
      <w:lvlText w:val=""/>
      <w:lvlJc w:val="left"/>
    </w:lvl>
    <w:lvl w:ilvl="7" w:tplc="6DC6AAE0">
      <w:numFmt w:val="decimal"/>
      <w:lvlText w:val=""/>
      <w:lvlJc w:val="left"/>
    </w:lvl>
    <w:lvl w:ilvl="8" w:tplc="ED4AD8D6">
      <w:numFmt w:val="decimal"/>
      <w:lvlText w:val=""/>
      <w:lvlJc w:val="left"/>
    </w:lvl>
  </w:abstractNum>
  <w:abstractNum w:abstractNumId="496" w15:restartNumberingAfterBreak="0">
    <w:nsid w:val="00004640"/>
    <w:multiLevelType w:val="hybridMultilevel"/>
    <w:tmpl w:val="0CE6526A"/>
    <w:lvl w:ilvl="0" w:tplc="3CACF046">
      <w:start w:val="2"/>
      <w:numFmt w:val="decimal"/>
      <w:lvlText w:val="(%1)"/>
      <w:lvlJc w:val="left"/>
    </w:lvl>
    <w:lvl w:ilvl="1" w:tplc="65A4A166">
      <w:start w:val="1"/>
      <w:numFmt w:val="lowerLetter"/>
      <w:lvlText w:val="(%2)"/>
      <w:lvlJc w:val="left"/>
    </w:lvl>
    <w:lvl w:ilvl="2" w:tplc="4A1C6350">
      <w:start w:val="1"/>
      <w:numFmt w:val="decimal"/>
      <w:lvlText w:val="%3."/>
      <w:lvlJc w:val="left"/>
    </w:lvl>
    <w:lvl w:ilvl="3" w:tplc="85B4CC54">
      <w:numFmt w:val="decimal"/>
      <w:lvlText w:val=""/>
      <w:lvlJc w:val="left"/>
    </w:lvl>
    <w:lvl w:ilvl="4" w:tplc="4BF0C3E4">
      <w:numFmt w:val="decimal"/>
      <w:lvlText w:val=""/>
      <w:lvlJc w:val="left"/>
    </w:lvl>
    <w:lvl w:ilvl="5" w:tplc="B97AF5A2">
      <w:numFmt w:val="decimal"/>
      <w:lvlText w:val=""/>
      <w:lvlJc w:val="left"/>
    </w:lvl>
    <w:lvl w:ilvl="6" w:tplc="CE0AFEDE">
      <w:numFmt w:val="decimal"/>
      <w:lvlText w:val=""/>
      <w:lvlJc w:val="left"/>
    </w:lvl>
    <w:lvl w:ilvl="7" w:tplc="57E8F2EE">
      <w:numFmt w:val="decimal"/>
      <w:lvlText w:val=""/>
      <w:lvlJc w:val="left"/>
    </w:lvl>
    <w:lvl w:ilvl="8" w:tplc="43846DE8">
      <w:numFmt w:val="decimal"/>
      <w:lvlText w:val=""/>
      <w:lvlJc w:val="left"/>
    </w:lvl>
  </w:abstractNum>
  <w:abstractNum w:abstractNumId="497" w15:restartNumberingAfterBreak="0">
    <w:nsid w:val="0000466C"/>
    <w:multiLevelType w:val="hybridMultilevel"/>
    <w:tmpl w:val="9C14438A"/>
    <w:lvl w:ilvl="0" w:tplc="6C325BFE">
      <w:start w:val="1"/>
      <w:numFmt w:val="lowerLetter"/>
      <w:lvlText w:val="%1"/>
      <w:lvlJc w:val="left"/>
    </w:lvl>
    <w:lvl w:ilvl="1" w:tplc="8F0C473E">
      <w:start w:val="310"/>
      <w:numFmt w:val="decimal"/>
      <w:lvlText w:val="%2"/>
      <w:lvlJc w:val="left"/>
    </w:lvl>
    <w:lvl w:ilvl="2" w:tplc="79B47970">
      <w:start w:val="1"/>
      <w:numFmt w:val="lowerLetter"/>
      <w:lvlText w:val="%3."/>
      <w:lvlJc w:val="left"/>
    </w:lvl>
    <w:lvl w:ilvl="3" w:tplc="26283AD8">
      <w:start w:val="1"/>
      <w:numFmt w:val="lowerRoman"/>
      <w:lvlText w:val="%4"/>
      <w:lvlJc w:val="left"/>
    </w:lvl>
    <w:lvl w:ilvl="4" w:tplc="CB82BCB4">
      <w:numFmt w:val="decimal"/>
      <w:lvlText w:val=""/>
      <w:lvlJc w:val="left"/>
    </w:lvl>
    <w:lvl w:ilvl="5" w:tplc="B6161072">
      <w:numFmt w:val="decimal"/>
      <w:lvlText w:val=""/>
      <w:lvlJc w:val="left"/>
    </w:lvl>
    <w:lvl w:ilvl="6" w:tplc="2E5AADDE">
      <w:numFmt w:val="decimal"/>
      <w:lvlText w:val=""/>
      <w:lvlJc w:val="left"/>
    </w:lvl>
    <w:lvl w:ilvl="7" w:tplc="CB5E7672">
      <w:numFmt w:val="decimal"/>
      <w:lvlText w:val=""/>
      <w:lvlJc w:val="left"/>
    </w:lvl>
    <w:lvl w:ilvl="8" w:tplc="7ED41296">
      <w:numFmt w:val="decimal"/>
      <w:lvlText w:val=""/>
      <w:lvlJc w:val="left"/>
    </w:lvl>
  </w:abstractNum>
  <w:abstractNum w:abstractNumId="498" w15:restartNumberingAfterBreak="0">
    <w:nsid w:val="000046BE"/>
    <w:multiLevelType w:val="hybridMultilevel"/>
    <w:tmpl w:val="3E2A54CE"/>
    <w:lvl w:ilvl="0" w:tplc="D4066C62">
      <w:start w:val="1"/>
      <w:numFmt w:val="bullet"/>
      <w:lvlText w:val="*"/>
      <w:lvlJc w:val="left"/>
      <w:rPr>
        <w:vertAlign w:val="superscript"/>
      </w:rPr>
    </w:lvl>
    <w:lvl w:ilvl="1" w:tplc="C27A5A3E">
      <w:numFmt w:val="decimal"/>
      <w:lvlText w:val=""/>
      <w:lvlJc w:val="left"/>
    </w:lvl>
    <w:lvl w:ilvl="2" w:tplc="819EF23E">
      <w:numFmt w:val="decimal"/>
      <w:lvlText w:val=""/>
      <w:lvlJc w:val="left"/>
    </w:lvl>
    <w:lvl w:ilvl="3" w:tplc="E3D86972">
      <w:numFmt w:val="decimal"/>
      <w:lvlText w:val=""/>
      <w:lvlJc w:val="left"/>
    </w:lvl>
    <w:lvl w:ilvl="4" w:tplc="D6C01A04">
      <w:numFmt w:val="decimal"/>
      <w:lvlText w:val=""/>
      <w:lvlJc w:val="left"/>
    </w:lvl>
    <w:lvl w:ilvl="5" w:tplc="94029BC4">
      <w:numFmt w:val="decimal"/>
      <w:lvlText w:val=""/>
      <w:lvlJc w:val="left"/>
    </w:lvl>
    <w:lvl w:ilvl="6" w:tplc="34AAD996">
      <w:numFmt w:val="decimal"/>
      <w:lvlText w:val=""/>
      <w:lvlJc w:val="left"/>
    </w:lvl>
    <w:lvl w:ilvl="7" w:tplc="08829BFC">
      <w:numFmt w:val="decimal"/>
      <w:lvlText w:val=""/>
      <w:lvlJc w:val="left"/>
    </w:lvl>
    <w:lvl w:ilvl="8" w:tplc="992E2008">
      <w:numFmt w:val="decimal"/>
      <w:lvlText w:val=""/>
      <w:lvlJc w:val="left"/>
    </w:lvl>
  </w:abstractNum>
  <w:abstractNum w:abstractNumId="499" w15:restartNumberingAfterBreak="0">
    <w:nsid w:val="000046F6"/>
    <w:multiLevelType w:val="hybridMultilevel"/>
    <w:tmpl w:val="1BA04470"/>
    <w:lvl w:ilvl="0" w:tplc="0C2071B8">
      <w:start w:val="5"/>
      <w:numFmt w:val="decimal"/>
      <w:lvlText w:val="%1."/>
      <w:lvlJc w:val="left"/>
    </w:lvl>
    <w:lvl w:ilvl="1" w:tplc="3844EB38">
      <w:start w:val="1"/>
      <w:numFmt w:val="lowerRoman"/>
      <w:lvlText w:val="%2"/>
      <w:lvlJc w:val="left"/>
    </w:lvl>
    <w:lvl w:ilvl="2" w:tplc="733C61AC">
      <w:start w:val="1"/>
      <w:numFmt w:val="lowerRoman"/>
      <w:lvlText w:val="%3"/>
      <w:lvlJc w:val="left"/>
    </w:lvl>
    <w:lvl w:ilvl="3" w:tplc="90A69B06">
      <w:start w:val="1"/>
      <w:numFmt w:val="lowerLetter"/>
      <w:lvlText w:val="%4"/>
      <w:lvlJc w:val="left"/>
    </w:lvl>
    <w:lvl w:ilvl="4" w:tplc="BCC69D5A">
      <w:numFmt w:val="decimal"/>
      <w:lvlText w:val=""/>
      <w:lvlJc w:val="left"/>
    </w:lvl>
    <w:lvl w:ilvl="5" w:tplc="1236217E">
      <w:numFmt w:val="decimal"/>
      <w:lvlText w:val=""/>
      <w:lvlJc w:val="left"/>
    </w:lvl>
    <w:lvl w:ilvl="6" w:tplc="2F46D580">
      <w:numFmt w:val="decimal"/>
      <w:lvlText w:val=""/>
      <w:lvlJc w:val="left"/>
    </w:lvl>
    <w:lvl w:ilvl="7" w:tplc="39AA8AD2">
      <w:numFmt w:val="decimal"/>
      <w:lvlText w:val=""/>
      <w:lvlJc w:val="left"/>
    </w:lvl>
    <w:lvl w:ilvl="8" w:tplc="4344F100">
      <w:numFmt w:val="decimal"/>
      <w:lvlText w:val=""/>
      <w:lvlJc w:val="left"/>
    </w:lvl>
  </w:abstractNum>
  <w:abstractNum w:abstractNumId="500" w15:restartNumberingAfterBreak="0">
    <w:nsid w:val="0000473E"/>
    <w:multiLevelType w:val="hybridMultilevel"/>
    <w:tmpl w:val="90489E38"/>
    <w:lvl w:ilvl="0" w:tplc="50CAA632">
      <w:start w:val="1"/>
      <w:numFmt w:val="decimal"/>
      <w:lvlText w:val="%1"/>
      <w:lvlJc w:val="left"/>
    </w:lvl>
    <w:lvl w:ilvl="1" w:tplc="3BE2DA8E">
      <w:start w:val="1"/>
      <w:numFmt w:val="lowerLetter"/>
      <w:lvlText w:val="%2"/>
      <w:lvlJc w:val="left"/>
    </w:lvl>
    <w:lvl w:ilvl="2" w:tplc="00CE2316">
      <w:start w:val="3"/>
      <w:numFmt w:val="decimal"/>
      <w:lvlText w:val="%3."/>
      <w:lvlJc w:val="left"/>
    </w:lvl>
    <w:lvl w:ilvl="3" w:tplc="6BBC9D28">
      <w:start w:val="1"/>
      <w:numFmt w:val="lowerLetter"/>
      <w:lvlText w:val="%4."/>
      <w:lvlJc w:val="left"/>
    </w:lvl>
    <w:lvl w:ilvl="4" w:tplc="7D2A2F66">
      <w:numFmt w:val="decimal"/>
      <w:lvlText w:val=""/>
      <w:lvlJc w:val="left"/>
    </w:lvl>
    <w:lvl w:ilvl="5" w:tplc="E0141136">
      <w:numFmt w:val="decimal"/>
      <w:lvlText w:val=""/>
      <w:lvlJc w:val="left"/>
    </w:lvl>
    <w:lvl w:ilvl="6" w:tplc="8DDEF368">
      <w:numFmt w:val="decimal"/>
      <w:lvlText w:val=""/>
      <w:lvlJc w:val="left"/>
    </w:lvl>
    <w:lvl w:ilvl="7" w:tplc="9A621388">
      <w:numFmt w:val="decimal"/>
      <w:lvlText w:val=""/>
      <w:lvlJc w:val="left"/>
    </w:lvl>
    <w:lvl w:ilvl="8" w:tplc="99B2F0E6">
      <w:numFmt w:val="decimal"/>
      <w:lvlText w:val=""/>
      <w:lvlJc w:val="left"/>
    </w:lvl>
  </w:abstractNum>
  <w:abstractNum w:abstractNumId="501" w15:restartNumberingAfterBreak="0">
    <w:nsid w:val="0000475F"/>
    <w:multiLevelType w:val="hybridMultilevel"/>
    <w:tmpl w:val="EA86D134"/>
    <w:lvl w:ilvl="0" w:tplc="60A04326">
      <w:start w:val="1"/>
      <w:numFmt w:val="decimal"/>
      <w:lvlText w:val="%1"/>
      <w:lvlJc w:val="left"/>
    </w:lvl>
    <w:lvl w:ilvl="1" w:tplc="73B09792">
      <w:start w:val="3"/>
      <w:numFmt w:val="lowerLetter"/>
      <w:lvlText w:val="(%2)"/>
      <w:lvlJc w:val="left"/>
    </w:lvl>
    <w:lvl w:ilvl="2" w:tplc="3CB0A762">
      <w:start w:val="1"/>
      <w:numFmt w:val="decimal"/>
      <w:lvlText w:val="%3."/>
      <w:lvlJc w:val="left"/>
    </w:lvl>
    <w:lvl w:ilvl="3" w:tplc="D256B5F4">
      <w:numFmt w:val="decimal"/>
      <w:lvlText w:val=""/>
      <w:lvlJc w:val="left"/>
    </w:lvl>
    <w:lvl w:ilvl="4" w:tplc="07B0559A">
      <w:numFmt w:val="decimal"/>
      <w:lvlText w:val=""/>
      <w:lvlJc w:val="left"/>
    </w:lvl>
    <w:lvl w:ilvl="5" w:tplc="55A286DE">
      <w:numFmt w:val="decimal"/>
      <w:lvlText w:val=""/>
      <w:lvlJc w:val="left"/>
    </w:lvl>
    <w:lvl w:ilvl="6" w:tplc="65807BEA">
      <w:numFmt w:val="decimal"/>
      <w:lvlText w:val=""/>
      <w:lvlJc w:val="left"/>
    </w:lvl>
    <w:lvl w:ilvl="7" w:tplc="53D45B42">
      <w:numFmt w:val="decimal"/>
      <w:lvlText w:val=""/>
      <w:lvlJc w:val="left"/>
    </w:lvl>
    <w:lvl w:ilvl="8" w:tplc="8BDAB39E">
      <w:numFmt w:val="decimal"/>
      <w:lvlText w:val=""/>
      <w:lvlJc w:val="left"/>
    </w:lvl>
  </w:abstractNum>
  <w:abstractNum w:abstractNumId="502" w15:restartNumberingAfterBreak="0">
    <w:nsid w:val="0000478E"/>
    <w:multiLevelType w:val="hybridMultilevel"/>
    <w:tmpl w:val="A4528BF4"/>
    <w:lvl w:ilvl="0" w:tplc="A3522CC8">
      <w:start w:val="1"/>
      <w:numFmt w:val="decimal"/>
      <w:lvlText w:val="(%1)"/>
      <w:lvlJc w:val="left"/>
    </w:lvl>
    <w:lvl w:ilvl="1" w:tplc="3D16E8F0">
      <w:start w:val="1"/>
      <w:numFmt w:val="lowerLetter"/>
      <w:lvlText w:val="(%2)"/>
      <w:lvlJc w:val="left"/>
    </w:lvl>
    <w:lvl w:ilvl="2" w:tplc="C4CEB9B6">
      <w:numFmt w:val="decimal"/>
      <w:lvlText w:val=""/>
      <w:lvlJc w:val="left"/>
    </w:lvl>
    <w:lvl w:ilvl="3" w:tplc="2F7CF3A0">
      <w:numFmt w:val="decimal"/>
      <w:lvlText w:val=""/>
      <w:lvlJc w:val="left"/>
    </w:lvl>
    <w:lvl w:ilvl="4" w:tplc="E7DECAD6">
      <w:numFmt w:val="decimal"/>
      <w:lvlText w:val=""/>
      <w:lvlJc w:val="left"/>
    </w:lvl>
    <w:lvl w:ilvl="5" w:tplc="21D2E5C0">
      <w:numFmt w:val="decimal"/>
      <w:lvlText w:val=""/>
      <w:lvlJc w:val="left"/>
    </w:lvl>
    <w:lvl w:ilvl="6" w:tplc="88220320">
      <w:numFmt w:val="decimal"/>
      <w:lvlText w:val=""/>
      <w:lvlJc w:val="left"/>
    </w:lvl>
    <w:lvl w:ilvl="7" w:tplc="211805DC">
      <w:numFmt w:val="decimal"/>
      <w:lvlText w:val=""/>
      <w:lvlJc w:val="left"/>
    </w:lvl>
    <w:lvl w:ilvl="8" w:tplc="30361490">
      <w:numFmt w:val="decimal"/>
      <w:lvlText w:val=""/>
      <w:lvlJc w:val="left"/>
    </w:lvl>
  </w:abstractNum>
  <w:abstractNum w:abstractNumId="503" w15:restartNumberingAfterBreak="0">
    <w:nsid w:val="000047B0"/>
    <w:multiLevelType w:val="hybridMultilevel"/>
    <w:tmpl w:val="DC88DD78"/>
    <w:lvl w:ilvl="0" w:tplc="EAFAF6EC">
      <w:start w:val="2"/>
      <w:numFmt w:val="lowerLetter"/>
      <w:lvlText w:val="%1."/>
      <w:lvlJc w:val="left"/>
    </w:lvl>
    <w:lvl w:ilvl="1" w:tplc="3DB0EFAA">
      <w:start w:val="1"/>
      <w:numFmt w:val="lowerRoman"/>
      <w:lvlText w:val="%2"/>
      <w:lvlJc w:val="left"/>
    </w:lvl>
    <w:lvl w:ilvl="2" w:tplc="0F4E74F2">
      <w:numFmt w:val="decimal"/>
      <w:lvlText w:val=""/>
      <w:lvlJc w:val="left"/>
    </w:lvl>
    <w:lvl w:ilvl="3" w:tplc="E3306AB6">
      <w:numFmt w:val="decimal"/>
      <w:lvlText w:val=""/>
      <w:lvlJc w:val="left"/>
    </w:lvl>
    <w:lvl w:ilvl="4" w:tplc="544C4D2E">
      <w:numFmt w:val="decimal"/>
      <w:lvlText w:val=""/>
      <w:lvlJc w:val="left"/>
    </w:lvl>
    <w:lvl w:ilvl="5" w:tplc="4F8AE3B0">
      <w:numFmt w:val="decimal"/>
      <w:lvlText w:val=""/>
      <w:lvlJc w:val="left"/>
    </w:lvl>
    <w:lvl w:ilvl="6" w:tplc="8C4A6536">
      <w:numFmt w:val="decimal"/>
      <w:lvlText w:val=""/>
      <w:lvlJc w:val="left"/>
    </w:lvl>
    <w:lvl w:ilvl="7" w:tplc="4B2C2F3A">
      <w:numFmt w:val="decimal"/>
      <w:lvlText w:val=""/>
      <w:lvlJc w:val="left"/>
    </w:lvl>
    <w:lvl w:ilvl="8" w:tplc="50D45CBC">
      <w:numFmt w:val="decimal"/>
      <w:lvlText w:val=""/>
      <w:lvlJc w:val="left"/>
    </w:lvl>
  </w:abstractNum>
  <w:abstractNum w:abstractNumId="504" w15:restartNumberingAfterBreak="0">
    <w:nsid w:val="000047C5"/>
    <w:multiLevelType w:val="hybridMultilevel"/>
    <w:tmpl w:val="4DC4C510"/>
    <w:lvl w:ilvl="0" w:tplc="6D32AD94">
      <w:start w:val="1"/>
      <w:numFmt w:val="decimal"/>
      <w:lvlText w:val="%1"/>
      <w:lvlJc w:val="left"/>
    </w:lvl>
    <w:lvl w:ilvl="1" w:tplc="73167EA2">
      <w:start w:val="5"/>
      <w:numFmt w:val="lowerLetter"/>
      <w:lvlText w:val="(%2)"/>
      <w:lvlJc w:val="left"/>
    </w:lvl>
    <w:lvl w:ilvl="2" w:tplc="69623AD6">
      <w:start w:val="1"/>
      <w:numFmt w:val="decimal"/>
      <w:lvlText w:val="%3."/>
      <w:lvlJc w:val="left"/>
    </w:lvl>
    <w:lvl w:ilvl="3" w:tplc="8892AB98">
      <w:numFmt w:val="decimal"/>
      <w:lvlText w:val=""/>
      <w:lvlJc w:val="left"/>
    </w:lvl>
    <w:lvl w:ilvl="4" w:tplc="8A649582">
      <w:numFmt w:val="decimal"/>
      <w:lvlText w:val=""/>
      <w:lvlJc w:val="left"/>
    </w:lvl>
    <w:lvl w:ilvl="5" w:tplc="39F4D154">
      <w:numFmt w:val="decimal"/>
      <w:lvlText w:val=""/>
      <w:lvlJc w:val="left"/>
    </w:lvl>
    <w:lvl w:ilvl="6" w:tplc="3342D886">
      <w:numFmt w:val="decimal"/>
      <w:lvlText w:val=""/>
      <w:lvlJc w:val="left"/>
    </w:lvl>
    <w:lvl w:ilvl="7" w:tplc="0568CAEE">
      <w:numFmt w:val="decimal"/>
      <w:lvlText w:val=""/>
      <w:lvlJc w:val="left"/>
    </w:lvl>
    <w:lvl w:ilvl="8" w:tplc="A57618D6">
      <w:numFmt w:val="decimal"/>
      <w:lvlText w:val=""/>
      <w:lvlJc w:val="left"/>
    </w:lvl>
  </w:abstractNum>
  <w:abstractNum w:abstractNumId="505" w15:restartNumberingAfterBreak="0">
    <w:nsid w:val="000047D8"/>
    <w:multiLevelType w:val="hybridMultilevel"/>
    <w:tmpl w:val="822672CC"/>
    <w:lvl w:ilvl="0" w:tplc="5A5A9512">
      <w:start w:val="1"/>
      <w:numFmt w:val="lowerLetter"/>
      <w:lvlText w:val="%1"/>
      <w:lvlJc w:val="left"/>
    </w:lvl>
    <w:lvl w:ilvl="1" w:tplc="723267F8">
      <w:start w:val="2"/>
      <w:numFmt w:val="decimal"/>
      <w:lvlText w:val="%2."/>
      <w:lvlJc w:val="left"/>
    </w:lvl>
    <w:lvl w:ilvl="2" w:tplc="01A0C4BC">
      <w:start w:val="1"/>
      <w:numFmt w:val="lowerLetter"/>
      <w:lvlText w:val="%3"/>
      <w:lvlJc w:val="left"/>
    </w:lvl>
    <w:lvl w:ilvl="3" w:tplc="D7F8CCF8">
      <w:numFmt w:val="decimal"/>
      <w:lvlText w:val=""/>
      <w:lvlJc w:val="left"/>
    </w:lvl>
    <w:lvl w:ilvl="4" w:tplc="05781856">
      <w:numFmt w:val="decimal"/>
      <w:lvlText w:val=""/>
      <w:lvlJc w:val="left"/>
    </w:lvl>
    <w:lvl w:ilvl="5" w:tplc="17546D28">
      <w:numFmt w:val="decimal"/>
      <w:lvlText w:val=""/>
      <w:lvlJc w:val="left"/>
    </w:lvl>
    <w:lvl w:ilvl="6" w:tplc="0136BE92">
      <w:numFmt w:val="decimal"/>
      <w:lvlText w:val=""/>
      <w:lvlJc w:val="left"/>
    </w:lvl>
    <w:lvl w:ilvl="7" w:tplc="97C034DE">
      <w:numFmt w:val="decimal"/>
      <w:lvlText w:val=""/>
      <w:lvlJc w:val="left"/>
    </w:lvl>
    <w:lvl w:ilvl="8" w:tplc="AD2AA4DC">
      <w:numFmt w:val="decimal"/>
      <w:lvlText w:val=""/>
      <w:lvlJc w:val="left"/>
    </w:lvl>
  </w:abstractNum>
  <w:abstractNum w:abstractNumId="506" w15:restartNumberingAfterBreak="0">
    <w:nsid w:val="00004802"/>
    <w:multiLevelType w:val="hybridMultilevel"/>
    <w:tmpl w:val="7F1E27CC"/>
    <w:lvl w:ilvl="0" w:tplc="297AA2C8">
      <w:start w:val="2"/>
      <w:numFmt w:val="lowerLetter"/>
      <w:lvlText w:val="%1."/>
      <w:lvlJc w:val="left"/>
    </w:lvl>
    <w:lvl w:ilvl="1" w:tplc="460E0324">
      <w:numFmt w:val="decimal"/>
      <w:lvlText w:val=""/>
      <w:lvlJc w:val="left"/>
    </w:lvl>
    <w:lvl w:ilvl="2" w:tplc="FF4481FC">
      <w:numFmt w:val="decimal"/>
      <w:lvlText w:val=""/>
      <w:lvlJc w:val="left"/>
    </w:lvl>
    <w:lvl w:ilvl="3" w:tplc="412C8040">
      <w:numFmt w:val="decimal"/>
      <w:lvlText w:val=""/>
      <w:lvlJc w:val="left"/>
    </w:lvl>
    <w:lvl w:ilvl="4" w:tplc="BBDC7F42">
      <w:numFmt w:val="decimal"/>
      <w:lvlText w:val=""/>
      <w:lvlJc w:val="left"/>
    </w:lvl>
    <w:lvl w:ilvl="5" w:tplc="9912F0F6">
      <w:numFmt w:val="decimal"/>
      <w:lvlText w:val=""/>
      <w:lvlJc w:val="left"/>
    </w:lvl>
    <w:lvl w:ilvl="6" w:tplc="9D8230E4">
      <w:numFmt w:val="decimal"/>
      <w:lvlText w:val=""/>
      <w:lvlJc w:val="left"/>
    </w:lvl>
    <w:lvl w:ilvl="7" w:tplc="EBC6A510">
      <w:numFmt w:val="decimal"/>
      <w:lvlText w:val=""/>
      <w:lvlJc w:val="left"/>
    </w:lvl>
    <w:lvl w:ilvl="8" w:tplc="FD80A89C">
      <w:numFmt w:val="decimal"/>
      <w:lvlText w:val=""/>
      <w:lvlJc w:val="left"/>
    </w:lvl>
  </w:abstractNum>
  <w:abstractNum w:abstractNumId="507" w15:restartNumberingAfterBreak="0">
    <w:nsid w:val="00004817"/>
    <w:multiLevelType w:val="hybridMultilevel"/>
    <w:tmpl w:val="06DC9C24"/>
    <w:lvl w:ilvl="0" w:tplc="896A0DE2">
      <w:start w:val="1"/>
      <w:numFmt w:val="decimal"/>
      <w:lvlText w:val="%1"/>
      <w:lvlJc w:val="left"/>
    </w:lvl>
    <w:lvl w:ilvl="1" w:tplc="134A62DE">
      <w:start w:val="2"/>
      <w:numFmt w:val="lowerLetter"/>
      <w:lvlText w:val="(%2)"/>
      <w:lvlJc w:val="left"/>
    </w:lvl>
    <w:lvl w:ilvl="2" w:tplc="508699B4">
      <w:start w:val="1"/>
      <w:numFmt w:val="decimal"/>
      <w:lvlText w:val="%3"/>
      <w:lvlJc w:val="left"/>
    </w:lvl>
    <w:lvl w:ilvl="3" w:tplc="36329670">
      <w:start w:val="1"/>
      <w:numFmt w:val="lowerLetter"/>
      <w:lvlText w:val="%4"/>
      <w:lvlJc w:val="left"/>
    </w:lvl>
    <w:lvl w:ilvl="4" w:tplc="F51A98EA">
      <w:start w:val="1"/>
      <w:numFmt w:val="lowerRoman"/>
      <w:lvlText w:val="%5"/>
      <w:lvlJc w:val="left"/>
    </w:lvl>
    <w:lvl w:ilvl="5" w:tplc="C1405DDE">
      <w:numFmt w:val="decimal"/>
      <w:lvlText w:val=""/>
      <w:lvlJc w:val="left"/>
    </w:lvl>
    <w:lvl w:ilvl="6" w:tplc="7C5A2A06">
      <w:numFmt w:val="decimal"/>
      <w:lvlText w:val=""/>
      <w:lvlJc w:val="left"/>
    </w:lvl>
    <w:lvl w:ilvl="7" w:tplc="B3CABE36">
      <w:numFmt w:val="decimal"/>
      <w:lvlText w:val=""/>
      <w:lvlJc w:val="left"/>
    </w:lvl>
    <w:lvl w:ilvl="8" w:tplc="8D4AE2B2">
      <w:numFmt w:val="decimal"/>
      <w:lvlText w:val=""/>
      <w:lvlJc w:val="left"/>
    </w:lvl>
  </w:abstractNum>
  <w:abstractNum w:abstractNumId="508" w15:restartNumberingAfterBreak="0">
    <w:nsid w:val="00004847"/>
    <w:multiLevelType w:val="hybridMultilevel"/>
    <w:tmpl w:val="8E8CFEB8"/>
    <w:lvl w:ilvl="0" w:tplc="721C083E">
      <w:start w:val="1"/>
      <w:numFmt w:val="decimal"/>
      <w:lvlText w:val="%1"/>
      <w:lvlJc w:val="left"/>
    </w:lvl>
    <w:lvl w:ilvl="1" w:tplc="9F7E10CC">
      <w:numFmt w:val="decimal"/>
      <w:lvlText w:val=""/>
      <w:lvlJc w:val="left"/>
    </w:lvl>
    <w:lvl w:ilvl="2" w:tplc="DA28DE46">
      <w:numFmt w:val="decimal"/>
      <w:lvlText w:val=""/>
      <w:lvlJc w:val="left"/>
    </w:lvl>
    <w:lvl w:ilvl="3" w:tplc="D9A2DF08">
      <w:numFmt w:val="decimal"/>
      <w:lvlText w:val=""/>
      <w:lvlJc w:val="left"/>
    </w:lvl>
    <w:lvl w:ilvl="4" w:tplc="F5A689F8">
      <w:numFmt w:val="decimal"/>
      <w:lvlText w:val=""/>
      <w:lvlJc w:val="left"/>
    </w:lvl>
    <w:lvl w:ilvl="5" w:tplc="6E1CA944">
      <w:numFmt w:val="decimal"/>
      <w:lvlText w:val=""/>
      <w:lvlJc w:val="left"/>
    </w:lvl>
    <w:lvl w:ilvl="6" w:tplc="026420AA">
      <w:numFmt w:val="decimal"/>
      <w:lvlText w:val=""/>
      <w:lvlJc w:val="left"/>
    </w:lvl>
    <w:lvl w:ilvl="7" w:tplc="5C04985A">
      <w:numFmt w:val="decimal"/>
      <w:lvlText w:val=""/>
      <w:lvlJc w:val="left"/>
    </w:lvl>
    <w:lvl w:ilvl="8" w:tplc="317E11F4">
      <w:numFmt w:val="decimal"/>
      <w:lvlText w:val=""/>
      <w:lvlJc w:val="left"/>
    </w:lvl>
  </w:abstractNum>
  <w:abstractNum w:abstractNumId="509" w15:restartNumberingAfterBreak="0">
    <w:nsid w:val="00004861"/>
    <w:multiLevelType w:val="hybridMultilevel"/>
    <w:tmpl w:val="968856E2"/>
    <w:lvl w:ilvl="0" w:tplc="780E47A8">
      <w:start w:val="1"/>
      <w:numFmt w:val="decimal"/>
      <w:lvlText w:val="%1"/>
      <w:lvlJc w:val="left"/>
    </w:lvl>
    <w:lvl w:ilvl="1" w:tplc="6750F36A">
      <w:start w:val="1"/>
      <w:numFmt w:val="lowerLetter"/>
      <w:lvlText w:val="%2"/>
      <w:lvlJc w:val="left"/>
    </w:lvl>
    <w:lvl w:ilvl="2" w:tplc="DD0E267E">
      <w:start w:val="6"/>
      <w:numFmt w:val="decimal"/>
      <w:lvlText w:val="%3."/>
      <w:lvlJc w:val="left"/>
    </w:lvl>
    <w:lvl w:ilvl="3" w:tplc="011E4B32">
      <w:start w:val="1"/>
      <w:numFmt w:val="lowerLetter"/>
      <w:lvlText w:val="%4."/>
      <w:lvlJc w:val="left"/>
    </w:lvl>
    <w:lvl w:ilvl="4" w:tplc="4252AF6A">
      <w:numFmt w:val="decimal"/>
      <w:lvlText w:val=""/>
      <w:lvlJc w:val="left"/>
    </w:lvl>
    <w:lvl w:ilvl="5" w:tplc="008A2520">
      <w:numFmt w:val="decimal"/>
      <w:lvlText w:val=""/>
      <w:lvlJc w:val="left"/>
    </w:lvl>
    <w:lvl w:ilvl="6" w:tplc="A62C65FE">
      <w:numFmt w:val="decimal"/>
      <w:lvlText w:val=""/>
      <w:lvlJc w:val="left"/>
    </w:lvl>
    <w:lvl w:ilvl="7" w:tplc="4A04D77A">
      <w:numFmt w:val="decimal"/>
      <w:lvlText w:val=""/>
      <w:lvlJc w:val="left"/>
    </w:lvl>
    <w:lvl w:ilvl="8" w:tplc="10D053DC">
      <w:numFmt w:val="decimal"/>
      <w:lvlText w:val=""/>
      <w:lvlJc w:val="left"/>
    </w:lvl>
  </w:abstractNum>
  <w:abstractNum w:abstractNumId="510" w15:restartNumberingAfterBreak="0">
    <w:nsid w:val="000048A6"/>
    <w:multiLevelType w:val="hybridMultilevel"/>
    <w:tmpl w:val="B3EC103A"/>
    <w:lvl w:ilvl="0" w:tplc="D4043602">
      <w:start w:val="4"/>
      <w:numFmt w:val="lowerLetter"/>
      <w:lvlText w:val="(%1)"/>
      <w:lvlJc w:val="left"/>
    </w:lvl>
    <w:lvl w:ilvl="1" w:tplc="35CC57B2">
      <w:start w:val="1"/>
      <w:numFmt w:val="decimal"/>
      <w:lvlText w:val="%2."/>
      <w:lvlJc w:val="left"/>
    </w:lvl>
    <w:lvl w:ilvl="2" w:tplc="DFA20164">
      <w:start w:val="1"/>
      <w:numFmt w:val="lowerLetter"/>
      <w:lvlText w:val="%3"/>
      <w:lvlJc w:val="left"/>
    </w:lvl>
    <w:lvl w:ilvl="3" w:tplc="D51053AE">
      <w:numFmt w:val="decimal"/>
      <w:lvlText w:val=""/>
      <w:lvlJc w:val="left"/>
    </w:lvl>
    <w:lvl w:ilvl="4" w:tplc="8C4A88D2">
      <w:numFmt w:val="decimal"/>
      <w:lvlText w:val=""/>
      <w:lvlJc w:val="left"/>
    </w:lvl>
    <w:lvl w:ilvl="5" w:tplc="53345E7A">
      <w:numFmt w:val="decimal"/>
      <w:lvlText w:val=""/>
      <w:lvlJc w:val="left"/>
    </w:lvl>
    <w:lvl w:ilvl="6" w:tplc="F9EC836E">
      <w:numFmt w:val="decimal"/>
      <w:lvlText w:val=""/>
      <w:lvlJc w:val="left"/>
    </w:lvl>
    <w:lvl w:ilvl="7" w:tplc="A4247B92">
      <w:numFmt w:val="decimal"/>
      <w:lvlText w:val=""/>
      <w:lvlJc w:val="left"/>
    </w:lvl>
    <w:lvl w:ilvl="8" w:tplc="EBCCB5C8">
      <w:numFmt w:val="decimal"/>
      <w:lvlText w:val=""/>
      <w:lvlJc w:val="left"/>
    </w:lvl>
  </w:abstractNum>
  <w:abstractNum w:abstractNumId="511" w15:restartNumberingAfterBreak="0">
    <w:nsid w:val="000048B2"/>
    <w:multiLevelType w:val="hybridMultilevel"/>
    <w:tmpl w:val="D954F5AE"/>
    <w:lvl w:ilvl="0" w:tplc="B110605A">
      <w:start w:val="1"/>
      <w:numFmt w:val="decimal"/>
      <w:lvlText w:val="(%1)"/>
      <w:lvlJc w:val="left"/>
    </w:lvl>
    <w:lvl w:ilvl="1" w:tplc="E9EE0318">
      <w:start w:val="1"/>
      <w:numFmt w:val="lowerLetter"/>
      <w:lvlText w:val="(%2)"/>
      <w:lvlJc w:val="left"/>
    </w:lvl>
    <w:lvl w:ilvl="2" w:tplc="039A7FC4">
      <w:numFmt w:val="decimal"/>
      <w:lvlText w:val=""/>
      <w:lvlJc w:val="left"/>
    </w:lvl>
    <w:lvl w:ilvl="3" w:tplc="EC484280">
      <w:numFmt w:val="decimal"/>
      <w:lvlText w:val=""/>
      <w:lvlJc w:val="left"/>
    </w:lvl>
    <w:lvl w:ilvl="4" w:tplc="999692FA">
      <w:numFmt w:val="decimal"/>
      <w:lvlText w:val=""/>
      <w:lvlJc w:val="left"/>
    </w:lvl>
    <w:lvl w:ilvl="5" w:tplc="E5848B92">
      <w:numFmt w:val="decimal"/>
      <w:lvlText w:val=""/>
      <w:lvlJc w:val="left"/>
    </w:lvl>
    <w:lvl w:ilvl="6" w:tplc="050A9A6A">
      <w:numFmt w:val="decimal"/>
      <w:lvlText w:val=""/>
      <w:lvlJc w:val="left"/>
    </w:lvl>
    <w:lvl w:ilvl="7" w:tplc="641AB7D8">
      <w:numFmt w:val="decimal"/>
      <w:lvlText w:val=""/>
      <w:lvlJc w:val="left"/>
    </w:lvl>
    <w:lvl w:ilvl="8" w:tplc="601EDD20">
      <w:numFmt w:val="decimal"/>
      <w:lvlText w:val=""/>
      <w:lvlJc w:val="left"/>
    </w:lvl>
  </w:abstractNum>
  <w:abstractNum w:abstractNumId="512" w15:restartNumberingAfterBreak="0">
    <w:nsid w:val="000048CA"/>
    <w:multiLevelType w:val="hybridMultilevel"/>
    <w:tmpl w:val="682AAF72"/>
    <w:lvl w:ilvl="0" w:tplc="516CFE38">
      <w:start w:val="1"/>
      <w:numFmt w:val="decimal"/>
      <w:lvlText w:val="%1"/>
      <w:lvlJc w:val="left"/>
    </w:lvl>
    <w:lvl w:ilvl="1" w:tplc="7500157C">
      <w:start w:val="2"/>
      <w:numFmt w:val="lowerLetter"/>
      <w:lvlText w:val="(%2)"/>
      <w:lvlJc w:val="left"/>
    </w:lvl>
    <w:lvl w:ilvl="2" w:tplc="A1000D34">
      <w:start w:val="1"/>
      <w:numFmt w:val="decimal"/>
      <w:lvlText w:val="%3"/>
      <w:lvlJc w:val="left"/>
    </w:lvl>
    <w:lvl w:ilvl="3" w:tplc="D50A7E54">
      <w:numFmt w:val="decimal"/>
      <w:lvlText w:val=""/>
      <w:lvlJc w:val="left"/>
    </w:lvl>
    <w:lvl w:ilvl="4" w:tplc="CD0AA986">
      <w:numFmt w:val="decimal"/>
      <w:lvlText w:val=""/>
      <w:lvlJc w:val="left"/>
    </w:lvl>
    <w:lvl w:ilvl="5" w:tplc="2186618A">
      <w:numFmt w:val="decimal"/>
      <w:lvlText w:val=""/>
      <w:lvlJc w:val="left"/>
    </w:lvl>
    <w:lvl w:ilvl="6" w:tplc="52887FFC">
      <w:numFmt w:val="decimal"/>
      <w:lvlText w:val=""/>
      <w:lvlJc w:val="left"/>
    </w:lvl>
    <w:lvl w:ilvl="7" w:tplc="6B089418">
      <w:numFmt w:val="decimal"/>
      <w:lvlText w:val=""/>
      <w:lvlJc w:val="left"/>
    </w:lvl>
    <w:lvl w:ilvl="8" w:tplc="D530473A">
      <w:numFmt w:val="decimal"/>
      <w:lvlText w:val=""/>
      <w:lvlJc w:val="left"/>
    </w:lvl>
  </w:abstractNum>
  <w:abstractNum w:abstractNumId="513" w15:restartNumberingAfterBreak="0">
    <w:nsid w:val="000048D3"/>
    <w:multiLevelType w:val="hybridMultilevel"/>
    <w:tmpl w:val="3586BB9A"/>
    <w:lvl w:ilvl="0" w:tplc="841CBAC6">
      <w:start w:val="1"/>
      <w:numFmt w:val="bullet"/>
      <w:lvlText w:val="*"/>
      <w:lvlJc w:val="left"/>
      <w:rPr>
        <w:vertAlign w:val="superscript"/>
      </w:rPr>
    </w:lvl>
    <w:lvl w:ilvl="1" w:tplc="432E95A0">
      <w:numFmt w:val="decimal"/>
      <w:lvlText w:val=""/>
      <w:lvlJc w:val="left"/>
    </w:lvl>
    <w:lvl w:ilvl="2" w:tplc="A45E4272">
      <w:numFmt w:val="decimal"/>
      <w:lvlText w:val=""/>
      <w:lvlJc w:val="left"/>
    </w:lvl>
    <w:lvl w:ilvl="3" w:tplc="6ADAAF12">
      <w:numFmt w:val="decimal"/>
      <w:lvlText w:val=""/>
      <w:lvlJc w:val="left"/>
    </w:lvl>
    <w:lvl w:ilvl="4" w:tplc="DBA840B6">
      <w:numFmt w:val="decimal"/>
      <w:lvlText w:val=""/>
      <w:lvlJc w:val="left"/>
    </w:lvl>
    <w:lvl w:ilvl="5" w:tplc="07FEFF38">
      <w:numFmt w:val="decimal"/>
      <w:lvlText w:val=""/>
      <w:lvlJc w:val="left"/>
    </w:lvl>
    <w:lvl w:ilvl="6" w:tplc="A91294B2">
      <w:numFmt w:val="decimal"/>
      <w:lvlText w:val=""/>
      <w:lvlJc w:val="left"/>
    </w:lvl>
    <w:lvl w:ilvl="7" w:tplc="DCB6B2C6">
      <w:numFmt w:val="decimal"/>
      <w:lvlText w:val=""/>
      <w:lvlJc w:val="left"/>
    </w:lvl>
    <w:lvl w:ilvl="8" w:tplc="DD92EE7C">
      <w:numFmt w:val="decimal"/>
      <w:lvlText w:val=""/>
      <w:lvlJc w:val="left"/>
    </w:lvl>
  </w:abstractNum>
  <w:abstractNum w:abstractNumId="514" w15:restartNumberingAfterBreak="0">
    <w:nsid w:val="000048E5"/>
    <w:multiLevelType w:val="hybridMultilevel"/>
    <w:tmpl w:val="B4A0FBE6"/>
    <w:lvl w:ilvl="0" w:tplc="61543D0C">
      <w:start w:val="3"/>
      <w:numFmt w:val="decimal"/>
      <w:lvlText w:val="%1."/>
      <w:lvlJc w:val="left"/>
    </w:lvl>
    <w:lvl w:ilvl="1" w:tplc="89BEAECA">
      <w:start w:val="1"/>
      <w:numFmt w:val="lowerLetter"/>
      <w:lvlText w:val="%2."/>
      <w:lvlJc w:val="left"/>
    </w:lvl>
    <w:lvl w:ilvl="2" w:tplc="0662368C">
      <w:start w:val="1"/>
      <w:numFmt w:val="lowerRoman"/>
      <w:lvlText w:val="%3"/>
      <w:lvlJc w:val="left"/>
    </w:lvl>
    <w:lvl w:ilvl="3" w:tplc="E6F6F872">
      <w:numFmt w:val="decimal"/>
      <w:lvlText w:val=""/>
      <w:lvlJc w:val="left"/>
    </w:lvl>
    <w:lvl w:ilvl="4" w:tplc="B8EE3046">
      <w:numFmt w:val="decimal"/>
      <w:lvlText w:val=""/>
      <w:lvlJc w:val="left"/>
    </w:lvl>
    <w:lvl w:ilvl="5" w:tplc="78F0265C">
      <w:numFmt w:val="decimal"/>
      <w:lvlText w:val=""/>
      <w:lvlJc w:val="left"/>
    </w:lvl>
    <w:lvl w:ilvl="6" w:tplc="F1D625B6">
      <w:numFmt w:val="decimal"/>
      <w:lvlText w:val=""/>
      <w:lvlJc w:val="left"/>
    </w:lvl>
    <w:lvl w:ilvl="7" w:tplc="262CECF8">
      <w:numFmt w:val="decimal"/>
      <w:lvlText w:val=""/>
      <w:lvlJc w:val="left"/>
    </w:lvl>
    <w:lvl w:ilvl="8" w:tplc="7EF615CE">
      <w:numFmt w:val="decimal"/>
      <w:lvlText w:val=""/>
      <w:lvlJc w:val="left"/>
    </w:lvl>
  </w:abstractNum>
  <w:abstractNum w:abstractNumId="515" w15:restartNumberingAfterBreak="0">
    <w:nsid w:val="0000490C"/>
    <w:multiLevelType w:val="hybridMultilevel"/>
    <w:tmpl w:val="85AC8996"/>
    <w:lvl w:ilvl="0" w:tplc="DD627284">
      <w:start w:val="5"/>
      <w:numFmt w:val="lowerLetter"/>
      <w:lvlText w:val="(%1)"/>
      <w:lvlJc w:val="left"/>
    </w:lvl>
    <w:lvl w:ilvl="1" w:tplc="BD8E7744">
      <w:start w:val="1"/>
      <w:numFmt w:val="decimal"/>
      <w:lvlText w:val="%2."/>
      <w:lvlJc w:val="left"/>
    </w:lvl>
    <w:lvl w:ilvl="2" w:tplc="EF16A838">
      <w:start w:val="1"/>
      <w:numFmt w:val="lowerLetter"/>
      <w:lvlText w:val="%3."/>
      <w:lvlJc w:val="left"/>
    </w:lvl>
    <w:lvl w:ilvl="3" w:tplc="11787D64">
      <w:start w:val="1"/>
      <w:numFmt w:val="lowerRoman"/>
      <w:lvlText w:val="%4"/>
      <w:lvlJc w:val="left"/>
    </w:lvl>
    <w:lvl w:ilvl="4" w:tplc="D904113E">
      <w:numFmt w:val="decimal"/>
      <w:lvlText w:val=""/>
      <w:lvlJc w:val="left"/>
    </w:lvl>
    <w:lvl w:ilvl="5" w:tplc="F26A6D82">
      <w:numFmt w:val="decimal"/>
      <w:lvlText w:val=""/>
      <w:lvlJc w:val="left"/>
    </w:lvl>
    <w:lvl w:ilvl="6" w:tplc="AF88AA74">
      <w:numFmt w:val="decimal"/>
      <w:lvlText w:val=""/>
      <w:lvlJc w:val="left"/>
    </w:lvl>
    <w:lvl w:ilvl="7" w:tplc="B5A068A8">
      <w:numFmt w:val="decimal"/>
      <w:lvlText w:val=""/>
      <w:lvlJc w:val="left"/>
    </w:lvl>
    <w:lvl w:ilvl="8" w:tplc="6186AC22">
      <w:numFmt w:val="decimal"/>
      <w:lvlText w:val=""/>
      <w:lvlJc w:val="left"/>
    </w:lvl>
  </w:abstractNum>
  <w:abstractNum w:abstractNumId="516" w15:restartNumberingAfterBreak="0">
    <w:nsid w:val="0000490F"/>
    <w:multiLevelType w:val="hybridMultilevel"/>
    <w:tmpl w:val="251CF316"/>
    <w:lvl w:ilvl="0" w:tplc="3ED00670">
      <w:start w:val="1"/>
      <w:numFmt w:val="decimal"/>
      <w:lvlText w:val="%1"/>
      <w:lvlJc w:val="left"/>
    </w:lvl>
    <w:lvl w:ilvl="1" w:tplc="6FCA277A">
      <w:numFmt w:val="decimal"/>
      <w:lvlText w:val=""/>
      <w:lvlJc w:val="left"/>
    </w:lvl>
    <w:lvl w:ilvl="2" w:tplc="EAA2C5C4">
      <w:numFmt w:val="decimal"/>
      <w:lvlText w:val=""/>
      <w:lvlJc w:val="left"/>
    </w:lvl>
    <w:lvl w:ilvl="3" w:tplc="6A583786">
      <w:numFmt w:val="decimal"/>
      <w:lvlText w:val=""/>
      <w:lvlJc w:val="left"/>
    </w:lvl>
    <w:lvl w:ilvl="4" w:tplc="76484006">
      <w:numFmt w:val="decimal"/>
      <w:lvlText w:val=""/>
      <w:lvlJc w:val="left"/>
    </w:lvl>
    <w:lvl w:ilvl="5" w:tplc="90CC7458">
      <w:numFmt w:val="decimal"/>
      <w:lvlText w:val=""/>
      <w:lvlJc w:val="left"/>
    </w:lvl>
    <w:lvl w:ilvl="6" w:tplc="F572A578">
      <w:numFmt w:val="decimal"/>
      <w:lvlText w:val=""/>
      <w:lvlJc w:val="left"/>
    </w:lvl>
    <w:lvl w:ilvl="7" w:tplc="850ECDA4">
      <w:numFmt w:val="decimal"/>
      <w:lvlText w:val=""/>
      <w:lvlJc w:val="left"/>
    </w:lvl>
    <w:lvl w:ilvl="8" w:tplc="80C23BB2">
      <w:numFmt w:val="decimal"/>
      <w:lvlText w:val=""/>
      <w:lvlJc w:val="left"/>
    </w:lvl>
  </w:abstractNum>
  <w:abstractNum w:abstractNumId="517" w15:restartNumberingAfterBreak="0">
    <w:nsid w:val="00004983"/>
    <w:multiLevelType w:val="hybridMultilevel"/>
    <w:tmpl w:val="883A9CCA"/>
    <w:lvl w:ilvl="0" w:tplc="96D8701A">
      <w:start w:val="17"/>
      <w:numFmt w:val="decimal"/>
      <w:lvlText w:val="%1"/>
      <w:lvlJc w:val="left"/>
      <w:rPr>
        <w:vertAlign w:val="superscript"/>
      </w:rPr>
    </w:lvl>
    <w:lvl w:ilvl="1" w:tplc="AB9E405E">
      <w:start w:val="2"/>
      <w:numFmt w:val="lowerLetter"/>
      <w:lvlText w:val="(%2)"/>
      <w:lvlJc w:val="left"/>
    </w:lvl>
    <w:lvl w:ilvl="2" w:tplc="D3EA386E">
      <w:numFmt w:val="decimal"/>
      <w:lvlText w:val=""/>
      <w:lvlJc w:val="left"/>
    </w:lvl>
    <w:lvl w:ilvl="3" w:tplc="3AD8F30C">
      <w:numFmt w:val="decimal"/>
      <w:lvlText w:val=""/>
      <w:lvlJc w:val="left"/>
    </w:lvl>
    <w:lvl w:ilvl="4" w:tplc="D1D453AC">
      <w:numFmt w:val="decimal"/>
      <w:lvlText w:val=""/>
      <w:lvlJc w:val="left"/>
    </w:lvl>
    <w:lvl w:ilvl="5" w:tplc="58EE1C7A">
      <w:numFmt w:val="decimal"/>
      <w:lvlText w:val=""/>
      <w:lvlJc w:val="left"/>
    </w:lvl>
    <w:lvl w:ilvl="6" w:tplc="ECB43B9E">
      <w:numFmt w:val="decimal"/>
      <w:lvlText w:val=""/>
      <w:lvlJc w:val="left"/>
    </w:lvl>
    <w:lvl w:ilvl="7" w:tplc="A634828E">
      <w:numFmt w:val="decimal"/>
      <w:lvlText w:val=""/>
      <w:lvlJc w:val="left"/>
    </w:lvl>
    <w:lvl w:ilvl="8" w:tplc="22404F5C">
      <w:numFmt w:val="decimal"/>
      <w:lvlText w:val=""/>
      <w:lvlJc w:val="left"/>
    </w:lvl>
  </w:abstractNum>
  <w:abstractNum w:abstractNumId="518" w15:restartNumberingAfterBreak="0">
    <w:nsid w:val="0000499E"/>
    <w:multiLevelType w:val="hybridMultilevel"/>
    <w:tmpl w:val="FD10F2DE"/>
    <w:lvl w:ilvl="0" w:tplc="B85C16C0">
      <w:start w:val="1"/>
      <w:numFmt w:val="decimal"/>
      <w:lvlText w:val="(%1)"/>
      <w:lvlJc w:val="left"/>
    </w:lvl>
    <w:lvl w:ilvl="1" w:tplc="3A368114">
      <w:numFmt w:val="decimal"/>
      <w:lvlText w:val=""/>
      <w:lvlJc w:val="left"/>
    </w:lvl>
    <w:lvl w:ilvl="2" w:tplc="84841BDE">
      <w:numFmt w:val="decimal"/>
      <w:lvlText w:val=""/>
      <w:lvlJc w:val="left"/>
    </w:lvl>
    <w:lvl w:ilvl="3" w:tplc="5F34C572">
      <w:numFmt w:val="decimal"/>
      <w:lvlText w:val=""/>
      <w:lvlJc w:val="left"/>
    </w:lvl>
    <w:lvl w:ilvl="4" w:tplc="4A644E26">
      <w:numFmt w:val="decimal"/>
      <w:lvlText w:val=""/>
      <w:lvlJc w:val="left"/>
    </w:lvl>
    <w:lvl w:ilvl="5" w:tplc="676E588A">
      <w:numFmt w:val="decimal"/>
      <w:lvlText w:val=""/>
      <w:lvlJc w:val="left"/>
    </w:lvl>
    <w:lvl w:ilvl="6" w:tplc="27C8794A">
      <w:numFmt w:val="decimal"/>
      <w:lvlText w:val=""/>
      <w:lvlJc w:val="left"/>
    </w:lvl>
    <w:lvl w:ilvl="7" w:tplc="7424EE8A">
      <w:numFmt w:val="decimal"/>
      <w:lvlText w:val=""/>
      <w:lvlJc w:val="left"/>
    </w:lvl>
    <w:lvl w:ilvl="8" w:tplc="CFCC46BE">
      <w:numFmt w:val="decimal"/>
      <w:lvlText w:val=""/>
      <w:lvlJc w:val="left"/>
    </w:lvl>
  </w:abstractNum>
  <w:abstractNum w:abstractNumId="519" w15:restartNumberingAfterBreak="0">
    <w:nsid w:val="000049B0"/>
    <w:multiLevelType w:val="hybridMultilevel"/>
    <w:tmpl w:val="6024D06C"/>
    <w:lvl w:ilvl="0" w:tplc="46742902">
      <w:start w:val="1"/>
      <w:numFmt w:val="decimal"/>
      <w:lvlText w:val="%1"/>
      <w:lvlJc w:val="left"/>
    </w:lvl>
    <w:lvl w:ilvl="1" w:tplc="8A1250B6">
      <w:start w:val="1"/>
      <w:numFmt w:val="lowerLetter"/>
      <w:lvlText w:val="%2"/>
      <w:lvlJc w:val="left"/>
    </w:lvl>
    <w:lvl w:ilvl="2" w:tplc="A8EA9CFE">
      <w:start w:val="22"/>
      <w:numFmt w:val="decimal"/>
      <w:lvlText w:val="%3."/>
      <w:lvlJc w:val="left"/>
    </w:lvl>
    <w:lvl w:ilvl="3" w:tplc="5E28A6A6">
      <w:numFmt w:val="decimal"/>
      <w:lvlText w:val=""/>
      <w:lvlJc w:val="left"/>
    </w:lvl>
    <w:lvl w:ilvl="4" w:tplc="AD02AC02">
      <w:numFmt w:val="decimal"/>
      <w:lvlText w:val=""/>
      <w:lvlJc w:val="left"/>
    </w:lvl>
    <w:lvl w:ilvl="5" w:tplc="391A29B0">
      <w:numFmt w:val="decimal"/>
      <w:lvlText w:val=""/>
      <w:lvlJc w:val="left"/>
    </w:lvl>
    <w:lvl w:ilvl="6" w:tplc="B7246EBA">
      <w:numFmt w:val="decimal"/>
      <w:lvlText w:val=""/>
      <w:lvlJc w:val="left"/>
    </w:lvl>
    <w:lvl w:ilvl="7" w:tplc="3E9C32B8">
      <w:numFmt w:val="decimal"/>
      <w:lvlText w:val=""/>
      <w:lvlJc w:val="left"/>
    </w:lvl>
    <w:lvl w:ilvl="8" w:tplc="19AAE526">
      <w:numFmt w:val="decimal"/>
      <w:lvlText w:val=""/>
      <w:lvlJc w:val="left"/>
    </w:lvl>
  </w:abstractNum>
  <w:abstractNum w:abstractNumId="520" w15:restartNumberingAfterBreak="0">
    <w:nsid w:val="000049C2"/>
    <w:multiLevelType w:val="hybridMultilevel"/>
    <w:tmpl w:val="2110E306"/>
    <w:lvl w:ilvl="0" w:tplc="062AC188">
      <w:start w:val="1"/>
      <w:numFmt w:val="decimal"/>
      <w:lvlText w:val="%1"/>
      <w:lvlJc w:val="left"/>
    </w:lvl>
    <w:lvl w:ilvl="1" w:tplc="067ADABC">
      <w:start w:val="5"/>
      <w:numFmt w:val="lowerLetter"/>
      <w:lvlText w:val="(%2)"/>
      <w:lvlJc w:val="left"/>
    </w:lvl>
    <w:lvl w:ilvl="2" w:tplc="1270D1D6">
      <w:start w:val="1"/>
      <w:numFmt w:val="decimal"/>
      <w:lvlText w:val="%3"/>
      <w:lvlJc w:val="left"/>
    </w:lvl>
    <w:lvl w:ilvl="3" w:tplc="ADD2DAA2">
      <w:numFmt w:val="decimal"/>
      <w:lvlText w:val=""/>
      <w:lvlJc w:val="left"/>
    </w:lvl>
    <w:lvl w:ilvl="4" w:tplc="27FE90D2">
      <w:numFmt w:val="decimal"/>
      <w:lvlText w:val=""/>
      <w:lvlJc w:val="left"/>
    </w:lvl>
    <w:lvl w:ilvl="5" w:tplc="32FC60E8">
      <w:numFmt w:val="decimal"/>
      <w:lvlText w:val=""/>
      <w:lvlJc w:val="left"/>
    </w:lvl>
    <w:lvl w:ilvl="6" w:tplc="23FA97EE">
      <w:numFmt w:val="decimal"/>
      <w:lvlText w:val=""/>
      <w:lvlJc w:val="left"/>
    </w:lvl>
    <w:lvl w:ilvl="7" w:tplc="2A30B6D8">
      <w:numFmt w:val="decimal"/>
      <w:lvlText w:val=""/>
      <w:lvlJc w:val="left"/>
    </w:lvl>
    <w:lvl w:ilvl="8" w:tplc="F36055BA">
      <w:numFmt w:val="decimal"/>
      <w:lvlText w:val=""/>
      <w:lvlJc w:val="left"/>
    </w:lvl>
  </w:abstractNum>
  <w:abstractNum w:abstractNumId="521" w15:restartNumberingAfterBreak="0">
    <w:nsid w:val="00004A15"/>
    <w:multiLevelType w:val="hybridMultilevel"/>
    <w:tmpl w:val="D45A004C"/>
    <w:lvl w:ilvl="0" w:tplc="CECE3800">
      <w:start w:val="1"/>
      <w:numFmt w:val="decimal"/>
      <w:lvlText w:val="%1"/>
      <w:lvlJc w:val="left"/>
    </w:lvl>
    <w:lvl w:ilvl="1" w:tplc="AC06FA52">
      <w:start w:val="2"/>
      <w:numFmt w:val="lowerLetter"/>
      <w:lvlText w:val="%2."/>
      <w:lvlJc w:val="left"/>
    </w:lvl>
    <w:lvl w:ilvl="2" w:tplc="E90AA36A">
      <w:start w:val="1"/>
      <w:numFmt w:val="lowerRoman"/>
      <w:lvlText w:val="%3"/>
      <w:lvlJc w:val="left"/>
    </w:lvl>
    <w:lvl w:ilvl="3" w:tplc="9DF8AF76">
      <w:numFmt w:val="decimal"/>
      <w:lvlText w:val=""/>
      <w:lvlJc w:val="left"/>
    </w:lvl>
    <w:lvl w:ilvl="4" w:tplc="B546AE96">
      <w:numFmt w:val="decimal"/>
      <w:lvlText w:val=""/>
      <w:lvlJc w:val="left"/>
    </w:lvl>
    <w:lvl w:ilvl="5" w:tplc="66D44144">
      <w:numFmt w:val="decimal"/>
      <w:lvlText w:val=""/>
      <w:lvlJc w:val="left"/>
    </w:lvl>
    <w:lvl w:ilvl="6" w:tplc="45FA0C3E">
      <w:numFmt w:val="decimal"/>
      <w:lvlText w:val=""/>
      <w:lvlJc w:val="left"/>
    </w:lvl>
    <w:lvl w:ilvl="7" w:tplc="FCE445D6">
      <w:numFmt w:val="decimal"/>
      <w:lvlText w:val=""/>
      <w:lvlJc w:val="left"/>
    </w:lvl>
    <w:lvl w:ilvl="8" w:tplc="928C6A08">
      <w:numFmt w:val="decimal"/>
      <w:lvlText w:val=""/>
      <w:lvlJc w:val="left"/>
    </w:lvl>
  </w:abstractNum>
  <w:abstractNum w:abstractNumId="522" w15:restartNumberingAfterBreak="0">
    <w:nsid w:val="00004A4B"/>
    <w:multiLevelType w:val="hybridMultilevel"/>
    <w:tmpl w:val="B14A1922"/>
    <w:lvl w:ilvl="0" w:tplc="965AA554">
      <w:start w:val="1"/>
      <w:numFmt w:val="decimal"/>
      <w:lvlText w:val="%1"/>
      <w:lvlJc w:val="left"/>
    </w:lvl>
    <w:lvl w:ilvl="1" w:tplc="01463866">
      <w:start w:val="4"/>
      <w:numFmt w:val="lowerLetter"/>
      <w:lvlText w:val="(%2)"/>
      <w:lvlJc w:val="left"/>
    </w:lvl>
    <w:lvl w:ilvl="2" w:tplc="2B46A642">
      <w:start w:val="1"/>
      <w:numFmt w:val="decimal"/>
      <w:lvlText w:val="%3"/>
      <w:lvlJc w:val="left"/>
    </w:lvl>
    <w:lvl w:ilvl="3" w:tplc="C6A4124E">
      <w:numFmt w:val="decimal"/>
      <w:lvlText w:val=""/>
      <w:lvlJc w:val="left"/>
    </w:lvl>
    <w:lvl w:ilvl="4" w:tplc="7EFAA21A">
      <w:numFmt w:val="decimal"/>
      <w:lvlText w:val=""/>
      <w:lvlJc w:val="left"/>
    </w:lvl>
    <w:lvl w:ilvl="5" w:tplc="66A4F6FA">
      <w:numFmt w:val="decimal"/>
      <w:lvlText w:val=""/>
      <w:lvlJc w:val="left"/>
    </w:lvl>
    <w:lvl w:ilvl="6" w:tplc="6330918E">
      <w:numFmt w:val="decimal"/>
      <w:lvlText w:val=""/>
      <w:lvlJc w:val="left"/>
    </w:lvl>
    <w:lvl w:ilvl="7" w:tplc="5E1E1132">
      <w:numFmt w:val="decimal"/>
      <w:lvlText w:val=""/>
      <w:lvlJc w:val="left"/>
    </w:lvl>
    <w:lvl w:ilvl="8" w:tplc="1DFCBD84">
      <w:numFmt w:val="decimal"/>
      <w:lvlText w:val=""/>
      <w:lvlJc w:val="left"/>
    </w:lvl>
  </w:abstractNum>
  <w:abstractNum w:abstractNumId="523" w15:restartNumberingAfterBreak="0">
    <w:nsid w:val="00004A99"/>
    <w:multiLevelType w:val="hybridMultilevel"/>
    <w:tmpl w:val="ABFA3A46"/>
    <w:lvl w:ilvl="0" w:tplc="DD409492">
      <w:start w:val="1"/>
      <w:numFmt w:val="decimal"/>
      <w:lvlText w:val="%1"/>
      <w:lvlJc w:val="left"/>
    </w:lvl>
    <w:lvl w:ilvl="1" w:tplc="5042674E">
      <w:start w:val="1"/>
      <w:numFmt w:val="decimal"/>
      <w:lvlText w:val="%2"/>
      <w:lvlJc w:val="left"/>
    </w:lvl>
    <w:lvl w:ilvl="2" w:tplc="B8366322">
      <w:start w:val="6"/>
      <w:numFmt w:val="lowerLetter"/>
      <w:lvlText w:val="(%3)"/>
      <w:lvlJc w:val="left"/>
    </w:lvl>
    <w:lvl w:ilvl="3" w:tplc="9328D09C">
      <w:start w:val="1"/>
      <w:numFmt w:val="decimal"/>
      <w:lvlText w:val="%4"/>
      <w:lvlJc w:val="left"/>
    </w:lvl>
    <w:lvl w:ilvl="4" w:tplc="A702979A">
      <w:numFmt w:val="decimal"/>
      <w:lvlText w:val=""/>
      <w:lvlJc w:val="left"/>
    </w:lvl>
    <w:lvl w:ilvl="5" w:tplc="97D42EBC">
      <w:numFmt w:val="decimal"/>
      <w:lvlText w:val=""/>
      <w:lvlJc w:val="left"/>
    </w:lvl>
    <w:lvl w:ilvl="6" w:tplc="557A7E06">
      <w:numFmt w:val="decimal"/>
      <w:lvlText w:val=""/>
      <w:lvlJc w:val="left"/>
    </w:lvl>
    <w:lvl w:ilvl="7" w:tplc="4950DA68">
      <w:numFmt w:val="decimal"/>
      <w:lvlText w:val=""/>
      <w:lvlJc w:val="left"/>
    </w:lvl>
    <w:lvl w:ilvl="8" w:tplc="6A885386">
      <w:numFmt w:val="decimal"/>
      <w:lvlText w:val=""/>
      <w:lvlJc w:val="left"/>
    </w:lvl>
  </w:abstractNum>
  <w:abstractNum w:abstractNumId="524" w15:restartNumberingAfterBreak="0">
    <w:nsid w:val="00004AA1"/>
    <w:multiLevelType w:val="hybridMultilevel"/>
    <w:tmpl w:val="CDFCE7FA"/>
    <w:lvl w:ilvl="0" w:tplc="03DC79BA">
      <w:start w:val="1"/>
      <w:numFmt w:val="decimal"/>
      <w:lvlText w:val="%1"/>
      <w:lvlJc w:val="left"/>
      <w:rPr>
        <w:vertAlign w:val="superscript"/>
      </w:rPr>
    </w:lvl>
    <w:lvl w:ilvl="1" w:tplc="4ADA100A">
      <w:numFmt w:val="decimal"/>
      <w:lvlText w:val=""/>
      <w:lvlJc w:val="left"/>
    </w:lvl>
    <w:lvl w:ilvl="2" w:tplc="CE46CEE0">
      <w:numFmt w:val="decimal"/>
      <w:lvlText w:val=""/>
      <w:lvlJc w:val="left"/>
    </w:lvl>
    <w:lvl w:ilvl="3" w:tplc="1ED8BF16">
      <w:numFmt w:val="decimal"/>
      <w:lvlText w:val=""/>
      <w:lvlJc w:val="left"/>
    </w:lvl>
    <w:lvl w:ilvl="4" w:tplc="5D283B9E">
      <w:numFmt w:val="decimal"/>
      <w:lvlText w:val=""/>
      <w:lvlJc w:val="left"/>
    </w:lvl>
    <w:lvl w:ilvl="5" w:tplc="A89AB240">
      <w:numFmt w:val="decimal"/>
      <w:lvlText w:val=""/>
      <w:lvlJc w:val="left"/>
    </w:lvl>
    <w:lvl w:ilvl="6" w:tplc="C464CDDE">
      <w:numFmt w:val="decimal"/>
      <w:lvlText w:val=""/>
      <w:lvlJc w:val="left"/>
    </w:lvl>
    <w:lvl w:ilvl="7" w:tplc="79B44E6A">
      <w:numFmt w:val="decimal"/>
      <w:lvlText w:val=""/>
      <w:lvlJc w:val="left"/>
    </w:lvl>
    <w:lvl w:ilvl="8" w:tplc="BBA2BD98">
      <w:numFmt w:val="decimal"/>
      <w:lvlText w:val=""/>
      <w:lvlJc w:val="left"/>
    </w:lvl>
  </w:abstractNum>
  <w:abstractNum w:abstractNumId="525" w15:restartNumberingAfterBreak="0">
    <w:nsid w:val="00004ABF"/>
    <w:multiLevelType w:val="hybridMultilevel"/>
    <w:tmpl w:val="CC685614"/>
    <w:lvl w:ilvl="0" w:tplc="BC964D48">
      <w:start w:val="1"/>
      <w:numFmt w:val="lowerLetter"/>
      <w:lvlText w:val="%1"/>
      <w:lvlJc w:val="left"/>
    </w:lvl>
    <w:lvl w:ilvl="1" w:tplc="2AB6DE7E">
      <w:start w:val="5"/>
      <w:numFmt w:val="decimal"/>
      <w:lvlText w:val="%2."/>
      <w:lvlJc w:val="left"/>
    </w:lvl>
    <w:lvl w:ilvl="2" w:tplc="07A23748">
      <w:start w:val="1"/>
      <w:numFmt w:val="lowerLetter"/>
      <w:lvlText w:val="%3"/>
      <w:lvlJc w:val="left"/>
    </w:lvl>
    <w:lvl w:ilvl="3" w:tplc="38BCEC46">
      <w:numFmt w:val="decimal"/>
      <w:lvlText w:val=""/>
      <w:lvlJc w:val="left"/>
    </w:lvl>
    <w:lvl w:ilvl="4" w:tplc="F672FBE2">
      <w:numFmt w:val="decimal"/>
      <w:lvlText w:val=""/>
      <w:lvlJc w:val="left"/>
    </w:lvl>
    <w:lvl w:ilvl="5" w:tplc="B046EF8A">
      <w:numFmt w:val="decimal"/>
      <w:lvlText w:val=""/>
      <w:lvlJc w:val="left"/>
    </w:lvl>
    <w:lvl w:ilvl="6" w:tplc="3FFE4288">
      <w:numFmt w:val="decimal"/>
      <w:lvlText w:val=""/>
      <w:lvlJc w:val="left"/>
    </w:lvl>
    <w:lvl w:ilvl="7" w:tplc="E7C4F0E0">
      <w:numFmt w:val="decimal"/>
      <w:lvlText w:val=""/>
      <w:lvlJc w:val="left"/>
    </w:lvl>
    <w:lvl w:ilvl="8" w:tplc="69E00CF0">
      <w:numFmt w:val="decimal"/>
      <w:lvlText w:val=""/>
      <w:lvlJc w:val="left"/>
    </w:lvl>
  </w:abstractNum>
  <w:abstractNum w:abstractNumId="526" w15:restartNumberingAfterBreak="0">
    <w:nsid w:val="00004AFF"/>
    <w:multiLevelType w:val="hybridMultilevel"/>
    <w:tmpl w:val="86B20008"/>
    <w:lvl w:ilvl="0" w:tplc="A4CA7A52">
      <w:start w:val="1"/>
      <w:numFmt w:val="lowerRoman"/>
      <w:lvlText w:val="(%1)"/>
      <w:lvlJc w:val="left"/>
    </w:lvl>
    <w:lvl w:ilvl="1" w:tplc="33303AAA">
      <w:numFmt w:val="decimal"/>
      <w:lvlText w:val=""/>
      <w:lvlJc w:val="left"/>
    </w:lvl>
    <w:lvl w:ilvl="2" w:tplc="DD105A18">
      <w:numFmt w:val="decimal"/>
      <w:lvlText w:val=""/>
      <w:lvlJc w:val="left"/>
    </w:lvl>
    <w:lvl w:ilvl="3" w:tplc="BF0A82F0">
      <w:numFmt w:val="decimal"/>
      <w:lvlText w:val=""/>
      <w:lvlJc w:val="left"/>
    </w:lvl>
    <w:lvl w:ilvl="4" w:tplc="AC1AE4FC">
      <w:numFmt w:val="decimal"/>
      <w:lvlText w:val=""/>
      <w:lvlJc w:val="left"/>
    </w:lvl>
    <w:lvl w:ilvl="5" w:tplc="44DE678C">
      <w:numFmt w:val="decimal"/>
      <w:lvlText w:val=""/>
      <w:lvlJc w:val="left"/>
    </w:lvl>
    <w:lvl w:ilvl="6" w:tplc="CD96771E">
      <w:numFmt w:val="decimal"/>
      <w:lvlText w:val=""/>
      <w:lvlJc w:val="left"/>
    </w:lvl>
    <w:lvl w:ilvl="7" w:tplc="142EAB54">
      <w:numFmt w:val="decimal"/>
      <w:lvlText w:val=""/>
      <w:lvlJc w:val="left"/>
    </w:lvl>
    <w:lvl w:ilvl="8" w:tplc="1FF45952">
      <w:numFmt w:val="decimal"/>
      <w:lvlText w:val=""/>
      <w:lvlJc w:val="left"/>
    </w:lvl>
  </w:abstractNum>
  <w:abstractNum w:abstractNumId="527" w15:restartNumberingAfterBreak="0">
    <w:nsid w:val="00004B51"/>
    <w:multiLevelType w:val="hybridMultilevel"/>
    <w:tmpl w:val="BB309ECA"/>
    <w:lvl w:ilvl="0" w:tplc="3DDC8948">
      <w:start w:val="5"/>
      <w:numFmt w:val="decimal"/>
      <w:lvlText w:val="(%1)"/>
      <w:lvlJc w:val="left"/>
    </w:lvl>
    <w:lvl w:ilvl="1" w:tplc="F07EA2F6">
      <w:start w:val="1"/>
      <w:numFmt w:val="lowerLetter"/>
      <w:lvlText w:val="(%2)"/>
      <w:lvlJc w:val="left"/>
    </w:lvl>
    <w:lvl w:ilvl="2" w:tplc="32F40772">
      <w:start w:val="1"/>
      <w:numFmt w:val="decimal"/>
      <w:lvlText w:val="%3."/>
      <w:lvlJc w:val="left"/>
    </w:lvl>
    <w:lvl w:ilvl="3" w:tplc="04860876">
      <w:numFmt w:val="decimal"/>
      <w:lvlText w:val=""/>
      <w:lvlJc w:val="left"/>
    </w:lvl>
    <w:lvl w:ilvl="4" w:tplc="0BCCD786">
      <w:numFmt w:val="decimal"/>
      <w:lvlText w:val=""/>
      <w:lvlJc w:val="left"/>
    </w:lvl>
    <w:lvl w:ilvl="5" w:tplc="A964EC24">
      <w:numFmt w:val="decimal"/>
      <w:lvlText w:val=""/>
      <w:lvlJc w:val="left"/>
    </w:lvl>
    <w:lvl w:ilvl="6" w:tplc="C25CD83A">
      <w:numFmt w:val="decimal"/>
      <w:lvlText w:val=""/>
      <w:lvlJc w:val="left"/>
    </w:lvl>
    <w:lvl w:ilvl="7" w:tplc="B98E2AB2">
      <w:numFmt w:val="decimal"/>
      <w:lvlText w:val=""/>
      <w:lvlJc w:val="left"/>
    </w:lvl>
    <w:lvl w:ilvl="8" w:tplc="7166CF44">
      <w:numFmt w:val="decimal"/>
      <w:lvlText w:val=""/>
      <w:lvlJc w:val="left"/>
    </w:lvl>
  </w:abstractNum>
  <w:abstractNum w:abstractNumId="528" w15:restartNumberingAfterBreak="0">
    <w:nsid w:val="00004BC4"/>
    <w:multiLevelType w:val="hybridMultilevel"/>
    <w:tmpl w:val="54F6D32E"/>
    <w:lvl w:ilvl="0" w:tplc="070CBF2E">
      <w:start w:val="14"/>
      <w:numFmt w:val="decimal"/>
      <w:lvlText w:val="(%1)"/>
      <w:lvlJc w:val="left"/>
    </w:lvl>
    <w:lvl w:ilvl="1" w:tplc="DBB2DC86">
      <w:start w:val="1"/>
      <w:numFmt w:val="lowerLetter"/>
      <w:lvlText w:val="(%2)"/>
      <w:lvlJc w:val="left"/>
    </w:lvl>
    <w:lvl w:ilvl="2" w:tplc="90F69BB6">
      <w:numFmt w:val="decimal"/>
      <w:lvlText w:val=""/>
      <w:lvlJc w:val="left"/>
    </w:lvl>
    <w:lvl w:ilvl="3" w:tplc="260C00BE">
      <w:numFmt w:val="decimal"/>
      <w:lvlText w:val=""/>
      <w:lvlJc w:val="left"/>
    </w:lvl>
    <w:lvl w:ilvl="4" w:tplc="C0C82D40">
      <w:numFmt w:val="decimal"/>
      <w:lvlText w:val=""/>
      <w:lvlJc w:val="left"/>
    </w:lvl>
    <w:lvl w:ilvl="5" w:tplc="3FDE9F9C">
      <w:numFmt w:val="decimal"/>
      <w:lvlText w:val=""/>
      <w:lvlJc w:val="left"/>
    </w:lvl>
    <w:lvl w:ilvl="6" w:tplc="8C10CB9C">
      <w:numFmt w:val="decimal"/>
      <w:lvlText w:val=""/>
      <w:lvlJc w:val="left"/>
    </w:lvl>
    <w:lvl w:ilvl="7" w:tplc="98C2CEAE">
      <w:numFmt w:val="decimal"/>
      <w:lvlText w:val=""/>
      <w:lvlJc w:val="left"/>
    </w:lvl>
    <w:lvl w:ilvl="8" w:tplc="82D0DCD0">
      <w:numFmt w:val="decimal"/>
      <w:lvlText w:val=""/>
      <w:lvlJc w:val="left"/>
    </w:lvl>
  </w:abstractNum>
  <w:abstractNum w:abstractNumId="529" w15:restartNumberingAfterBreak="0">
    <w:nsid w:val="00004BD5"/>
    <w:multiLevelType w:val="hybridMultilevel"/>
    <w:tmpl w:val="E64A362E"/>
    <w:lvl w:ilvl="0" w:tplc="D4B6EEDA">
      <w:start w:val="2"/>
      <w:numFmt w:val="decimal"/>
      <w:lvlText w:val="(%1)"/>
      <w:lvlJc w:val="left"/>
    </w:lvl>
    <w:lvl w:ilvl="1" w:tplc="AB486E30">
      <w:start w:val="1"/>
      <w:numFmt w:val="lowerLetter"/>
      <w:lvlText w:val="(%2)"/>
      <w:lvlJc w:val="left"/>
    </w:lvl>
    <w:lvl w:ilvl="2" w:tplc="8E783D2E">
      <w:start w:val="1"/>
      <w:numFmt w:val="decimal"/>
      <w:lvlText w:val="%3."/>
      <w:lvlJc w:val="left"/>
    </w:lvl>
    <w:lvl w:ilvl="3" w:tplc="6548F1E0">
      <w:numFmt w:val="decimal"/>
      <w:lvlText w:val=""/>
      <w:lvlJc w:val="left"/>
    </w:lvl>
    <w:lvl w:ilvl="4" w:tplc="AA6A3862">
      <w:numFmt w:val="decimal"/>
      <w:lvlText w:val=""/>
      <w:lvlJc w:val="left"/>
    </w:lvl>
    <w:lvl w:ilvl="5" w:tplc="5EAEA8C8">
      <w:numFmt w:val="decimal"/>
      <w:lvlText w:val=""/>
      <w:lvlJc w:val="left"/>
    </w:lvl>
    <w:lvl w:ilvl="6" w:tplc="AB44EB18">
      <w:numFmt w:val="decimal"/>
      <w:lvlText w:val=""/>
      <w:lvlJc w:val="left"/>
    </w:lvl>
    <w:lvl w:ilvl="7" w:tplc="7604F728">
      <w:numFmt w:val="decimal"/>
      <w:lvlText w:val=""/>
      <w:lvlJc w:val="left"/>
    </w:lvl>
    <w:lvl w:ilvl="8" w:tplc="489E58EC">
      <w:numFmt w:val="decimal"/>
      <w:lvlText w:val=""/>
      <w:lvlJc w:val="left"/>
    </w:lvl>
  </w:abstractNum>
  <w:abstractNum w:abstractNumId="530" w15:restartNumberingAfterBreak="0">
    <w:nsid w:val="00004BE2"/>
    <w:multiLevelType w:val="hybridMultilevel"/>
    <w:tmpl w:val="004A621E"/>
    <w:lvl w:ilvl="0" w:tplc="99F84A46">
      <w:start w:val="3"/>
      <w:numFmt w:val="lowerLetter"/>
      <w:lvlText w:val="(%1)"/>
      <w:lvlJc w:val="left"/>
    </w:lvl>
    <w:lvl w:ilvl="1" w:tplc="CD76ABE2">
      <w:start w:val="1"/>
      <w:numFmt w:val="decimal"/>
      <w:lvlText w:val="%2."/>
      <w:lvlJc w:val="left"/>
    </w:lvl>
    <w:lvl w:ilvl="2" w:tplc="733A1388">
      <w:start w:val="1"/>
      <w:numFmt w:val="lowerLetter"/>
      <w:lvlText w:val="%3"/>
      <w:lvlJc w:val="left"/>
    </w:lvl>
    <w:lvl w:ilvl="3" w:tplc="C58C1E22">
      <w:numFmt w:val="decimal"/>
      <w:lvlText w:val=""/>
      <w:lvlJc w:val="left"/>
    </w:lvl>
    <w:lvl w:ilvl="4" w:tplc="7C7C0CD4">
      <w:numFmt w:val="decimal"/>
      <w:lvlText w:val=""/>
      <w:lvlJc w:val="left"/>
    </w:lvl>
    <w:lvl w:ilvl="5" w:tplc="723ABF92">
      <w:numFmt w:val="decimal"/>
      <w:lvlText w:val=""/>
      <w:lvlJc w:val="left"/>
    </w:lvl>
    <w:lvl w:ilvl="6" w:tplc="DDE8CFAA">
      <w:numFmt w:val="decimal"/>
      <w:lvlText w:val=""/>
      <w:lvlJc w:val="left"/>
    </w:lvl>
    <w:lvl w:ilvl="7" w:tplc="5F48D70C">
      <w:numFmt w:val="decimal"/>
      <w:lvlText w:val=""/>
      <w:lvlJc w:val="left"/>
    </w:lvl>
    <w:lvl w:ilvl="8" w:tplc="7F627AA4">
      <w:numFmt w:val="decimal"/>
      <w:lvlText w:val=""/>
      <w:lvlJc w:val="left"/>
    </w:lvl>
  </w:abstractNum>
  <w:abstractNum w:abstractNumId="531" w15:restartNumberingAfterBreak="0">
    <w:nsid w:val="00004BEB"/>
    <w:multiLevelType w:val="hybridMultilevel"/>
    <w:tmpl w:val="7F0462AA"/>
    <w:lvl w:ilvl="0" w:tplc="8E746106">
      <w:start w:val="1"/>
      <w:numFmt w:val="decimal"/>
      <w:lvlText w:val="%1."/>
      <w:lvlJc w:val="left"/>
    </w:lvl>
    <w:lvl w:ilvl="1" w:tplc="A4945D78">
      <w:numFmt w:val="decimal"/>
      <w:lvlText w:val=""/>
      <w:lvlJc w:val="left"/>
    </w:lvl>
    <w:lvl w:ilvl="2" w:tplc="2F32130A">
      <w:numFmt w:val="decimal"/>
      <w:lvlText w:val=""/>
      <w:lvlJc w:val="left"/>
    </w:lvl>
    <w:lvl w:ilvl="3" w:tplc="C0C4B518">
      <w:numFmt w:val="decimal"/>
      <w:lvlText w:val=""/>
      <w:lvlJc w:val="left"/>
    </w:lvl>
    <w:lvl w:ilvl="4" w:tplc="E962145E">
      <w:numFmt w:val="decimal"/>
      <w:lvlText w:val=""/>
      <w:lvlJc w:val="left"/>
    </w:lvl>
    <w:lvl w:ilvl="5" w:tplc="B3347650">
      <w:numFmt w:val="decimal"/>
      <w:lvlText w:val=""/>
      <w:lvlJc w:val="left"/>
    </w:lvl>
    <w:lvl w:ilvl="6" w:tplc="39AC01E2">
      <w:numFmt w:val="decimal"/>
      <w:lvlText w:val=""/>
      <w:lvlJc w:val="left"/>
    </w:lvl>
    <w:lvl w:ilvl="7" w:tplc="AC54B252">
      <w:numFmt w:val="decimal"/>
      <w:lvlText w:val=""/>
      <w:lvlJc w:val="left"/>
    </w:lvl>
    <w:lvl w:ilvl="8" w:tplc="6F1E5562">
      <w:numFmt w:val="decimal"/>
      <w:lvlText w:val=""/>
      <w:lvlJc w:val="left"/>
    </w:lvl>
  </w:abstractNum>
  <w:abstractNum w:abstractNumId="532" w15:restartNumberingAfterBreak="0">
    <w:nsid w:val="00004BF7"/>
    <w:multiLevelType w:val="hybridMultilevel"/>
    <w:tmpl w:val="F916824E"/>
    <w:lvl w:ilvl="0" w:tplc="915E4ABC">
      <w:start w:val="7"/>
      <w:numFmt w:val="lowerLetter"/>
      <w:lvlText w:val="(%1)"/>
      <w:lvlJc w:val="left"/>
    </w:lvl>
    <w:lvl w:ilvl="1" w:tplc="6C1867EE">
      <w:start w:val="1"/>
      <w:numFmt w:val="decimal"/>
      <w:lvlText w:val="%2."/>
      <w:lvlJc w:val="left"/>
    </w:lvl>
    <w:lvl w:ilvl="2" w:tplc="70DAC9D0">
      <w:start w:val="1"/>
      <w:numFmt w:val="lowerLetter"/>
      <w:lvlText w:val="%3."/>
      <w:lvlJc w:val="left"/>
    </w:lvl>
    <w:lvl w:ilvl="3" w:tplc="E67473F4">
      <w:numFmt w:val="decimal"/>
      <w:lvlText w:val=""/>
      <w:lvlJc w:val="left"/>
    </w:lvl>
    <w:lvl w:ilvl="4" w:tplc="DB2A71D8">
      <w:numFmt w:val="decimal"/>
      <w:lvlText w:val=""/>
      <w:lvlJc w:val="left"/>
    </w:lvl>
    <w:lvl w:ilvl="5" w:tplc="DF6CABA6">
      <w:numFmt w:val="decimal"/>
      <w:lvlText w:val=""/>
      <w:lvlJc w:val="left"/>
    </w:lvl>
    <w:lvl w:ilvl="6" w:tplc="79F656C2">
      <w:numFmt w:val="decimal"/>
      <w:lvlText w:val=""/>
      <w:lvlJc w:val="left"/>
    </w:lvl>
    <w:lvl w:ilvl="7" w:tplc="E5E8BCB2">
      <w:numFmt w:val="decimal"/>
      <w:lvlText w:val=""/>
      <w:lvlJc w:val="left"/>
    </w:lvl>
    <w:lvl w:ilvl="8" w:tplc="A1C4566C">
      <w:numFmt w:val="decimal"/>
      <w:lvlText w:val=""/>
      <w:lvlJc w:val="left"/>
    </w:lvl>
  </w:abstractNum>
  <w:abstractNum w:abstractNumId="533" w15:restartNumberingAfterBreak="0">
    <w:nsid w:val="00004C21"/>
    <w:multiLevelType w:val="hybridMultilevel"/>
    <w:tmpl w:val="18501EFA"/>
    <w:lvl w:ilvl="0" w:tplc="A7DE8C98">
      <w:start w:val="9"/>
      <w:numFmt w:val="decimal"/>
      <w:lvlText w:val="(%1)"/>
      <w:lvlJc w:val="left"/>
    </w:lvl>
    <w:lvl w:ilvl="1" w:tplc="4EC2D5B4">
      <w:start w:val="1"/>
      <w:numFmt w:val="lowerLetter"/>
      <w:lvlText w:val="(%2)"/>
      <w:lvlJc w:val="left"/>
    </w:lvl>
    <w:lvl w:ilvl="2" w:tplc="0A2CA9D2">
      <w:numFmt w:val="decimal"/>
      <w:lvlText w:val=""/>
      <w:lvlJc w:val="left"/>
    </w:lvl>
    <w:lvl w:ilvl="3" w:tplc="64E88210">
      <w:numFmt w:val="decimal"/>
      <w:lvlText w:val=""/>
      <w:lvlJc w:val="left"/>
    </w:lvl>
    <w:lvl w:ilvl="4" w:tplc="25B4F58E">
      <w:numFmt w:val="decimal"/>
      <w:lvlText w:val=""/>
      <w:lvlJc w:val="left"/>
    </w:lvl>
    <w:lvl w:ilvl="5" w:tplc="F0885A66">
      <w:numFmt w:val="decimal"/>
      <w:lvlText w:val=""/>
      <w:lvlJc w:val="left"/>
    </w:lvl>
    <w:lvl w:ilvl="6" w:tplc="8F88F03C">
      <w:numFmt w:val="decimal"/>
      <w:lvlText w:val=""/>
      <w:lvlJc w:val="left"/>
    </w:lvl>
    <w:lvl w:ilvl="7" w:tplc="EE0E3408">
      <w:numFmt w:val="decimal"/>
      <w:lvlText w:val=""/>
      <w:lvlJc w:val="left"/>
    </w:lvl>
    <w:lvl w:ilvl="8" w:tplc="8FA091EC">
      <w:numFmt w:val="decimal"/>
      <w:lvlText w:val=""/>
      <w:lvlJc w:val="left"/>
    </w:lvl>
  </w:abstractNum>
  <w:abstractNum w:abstractNumId="534" w15:restartNumberingAfterBreak="0">
    <w:nsid w:val="00004C22"/>
    <w:multiLevelType w:val="hybridMultilevel"/>
    <w:tmpl w:val="9EBC3C78"/>
    <w:lvl w:ilvl="0" w:tplc="1FA6AEAE">
      <w:start w:val="1"/>
      <w:numFmt w:val="decimal"/>
      <w:lvlText w:val="%1"/>
      <w:lvlJc w:val="left"/>
    </w:lvl>
    <w:lvl w:ilvl="1" w:tplc="CD78303C">
      <w:start w:val="1"/>
      <w:numFmt w:val="lowerLetter"/>
      <w:lvlText w:val="%2"/>
      <w:lvlJc w:val="left"/>
    </w:lvl>
    <w:lvl w:ilvl="2" w:tplc="F0BCF7C4">
      <w:start w:val="2"/>
      <w:numFmt w:val="decimal"/>
      <w:lvlText w:val="%3."/>
      <w:lvlJc w:val="left"/>
    </w:lvl>
    <w:lvl w:ilvl="3" w:tplc="A9F24CEC">
      <w:start w:val="1"/>
      <w:numFmt w:val="lowerLetter"/>
      <w:lvlText w:val="%4."/>
      <w:lvlJc w:val="left"/>
    </w:lvl>
    <w:lvl w:ilvl="4" w:tplc="5B987212">
      <w:numFmt w:val="decimal"/>
      <w:lvlText w:val=""/>
      <w:lvlJc w:val="left"/>
    </w:lvl>
    <w:lvl w:ilvl="5" w:tplc="84703644">
      <w:numFmt w:val="decimal"/>
      <w:lvlText w:val=""/>
      <w:lvlJc w:val="left"/>
    </w:lvl>
    <w:lvl w:ilvl="6" w:tplc="4FA8636A">
      <w:numFmt w:val="decimal"/>
      <w:lvlText w:val=""/>
      <w:lvlJc w:val="left"/>
    </w:lvl>
    <w:lvl w:ilvl="7" w:tplc="6E984DE0">
      <w:numFmt w:val="decimal"/>
      <w:lvlText w:val=""/>
      <w:lvlJc w:val="left"/>
    </w:lvl>
    <w:lvl w:ilvl="8" w:tplc="FDD2F510">
      <w:numFmt w:val="decimal"/>
      <w:lvlText w:val=""/>
      <w:lvlJc w:val="left"/>
    </w:lvl>
  </w:abstractNum>
  <w:abstractNum w:abstractNumId="535" w15:restartNumberingAfterBreak="0">
    <w:nsid w:val="00004C65"/>
    <w:multiLevelType w:val="hybridMultilevel"/>
    <w:tmpl w:val="66EE5682"/>
    <w:lvl w:ilvl="0" w:tplc="22A43DD4">
      <w:start w:val="7"/>
      <w:numFmt w:val="decimal"/>
      <w:lvlText w:val="(%1)"/>
      <w:lvlJc w:val="left"/>
    </w:lvl>
    <w:lvl w:ilvl="1" w:tplc="4F42058A">
      <w:start w:val="1"/>
      <w:numFmt w:val="lowerLetter"/>
      <w:lvlText w:val="(%2)"/>
      <w:lvlJc w:val="left"/>
    </w:lvl>
    <w:lvl w:ilvl="2" w:tplc="039AA0DA">
      <w:start w:val="1"/>
      <w:numFmt w:val="decimal"/>
      <w:lvlText w:val="%3"/>
      <w:lvlJc w:val="left"/>
    </w:lvl>
    <w:lvl w:ilvl="3" w:tplc="552E511C">
      <w:start w:val="1"/>
      <w:numFmt w:val="lowerLetter"/>
      <w:lvlText w:val="%4"/>
      <w:lvlJc w:val="left"/>
    </w:lvl>
    <w:lvl w:ilvl="4" w:tplc="355C9978">
      <w:numFmt w:val="decimal"/>
      <w:lvlText w:val=""/>
      <w:lvlJc w:val="left"/>
    </w:lvl>
    <w:lvl w:ilvl="5" w:tplc="0790814A">
      <w:numFmt w:val="decimal"/>
      <w:lvlText w:val=""/>
      <w:lvlJc w:val="left"/>
    </w:lvl>
    <w:lvl w:ilvl="6" w:tplc="5EAA1812">
      <w:numFmt w:val="decimal"/>
      <w:lvlText w:val=""/>
      <w:lvlJc w:val="left"/>
    </w:lvl>
    <w:lvl w:ilvl="7" w:tplc="C5FE3DF6">
      <w:numFmt w:val="decimal"/>
      <w:lvlText w:val=""/>
      <w:lvlJc w:val="left"/>
    </w:lvl>
    <w:lvl w:ilvl="8" w:tplc="7B7CDC02">
      <w:numFmt w:val="decimal"/>
      <w:lvlText w:val=""/>
      <w:lvlJc w:val="left"/>
    </w:lvl>
  </w:abstractNum>
  <w:abstractNum w:abstractNumId="536" w15:restartNumberingAfterBreak="0">
    <w:nsid w:val="00004C71"/>
    <w:multiLevelType w:val="hybridMultilevel"/>
    <w:tmpl w:val="768403A2"/>
    <w:lvl w:ilvl="0" w:tplc="A7E4771A">
      <w:start w:val="5"/>
      <w:numFmt w:val="decimal"/>
      <w:lvlText w:val="(%1)"/>
      <w:lvlJc w:val="left"/>
    </w:lvl>
    <w:lvl w:ilvl="1" w:tplc="8D28C580">
      <w:start w:val="1"/>
      <w:numFmt w:val="lowerLetter"/>
      <w:lvlText w:val="%2"/>
      <w:lvlJc w:val="left"/>
    </w:lvl>
    <w:lvl w:ilvl="2" w:tplc="6CCEBD40">
      <w:start w:val="1"/>
      <w:numFmt w:val="decimal"/>
      <w:lvlText w:val="%3"/>
      <w:lvlJc w:val="left"/>
    </w:lvl>
    <w:lvl w:ilvl="3" w:tplc="DB340E30">
      <w:start w:val="1"/>
      <w:numFmt w:val="lowerLetter"/>
      <w:lvlText w:val="%4"/>
      <w:lvlJc w:val="left"/>
    </w:lvl>
    <w:lvl w:ilvl="4" w:tplc="CC3470B2">
      <w:start w:val="1"/>
      <w:numFmt w:val="lowerRoman"/>
      <w:lvlText w:val="%5"/>
      <w:lvlJc w:val="left"/>
    </w:lvl>
    <w:lvl w:ilvl="5" w:tplc="00B43EE8">
      <w:numFmt w:val="decimal"/>
      <w:lvlText w:val=""/>
      <w:lvlJc w:val="left"/>
    </w:lvl>
    <w:lvl w:ilvl="6" w:tplc="AB56A26C">
      <w:numFmt w:val="decimal"/>
      <w:lvlText w:val=""/>
      <w:lvlJc w:val="left"/>
    </w:lvl>
    <w:lvl w:ilvl="7" w:tplc="8CDA17CC">
      <w:numFmt w:val="decimal"/>
      <w:lvlText w:val=""/>
      <w:lvlJc w:val="left"/>
    </w:lvl>
    <w:lvl w:ilvl="8" w:tplc="368045AA">
      <w:numFmt w:val="decimal"/>
      <w:lvlText w:val=""/>
      <w:lvlJc w:val="left"/>
    </w:lvl>
  </w:abstractNum>
  <w:abstractNum w:abstractNumId="537" w15:restartNumberingAfterBreak="0">
    <w:nsid w:val="00004CDD"/>
    <w:multiLevelType w:val="hybridMultilevel"/>
    <w:tmpl w:val="3808D67E"/>
    <w:lvl w:ilvl="0" w:tplc="17C09B6A">
      <w:start w:val="1"/>
      <w:numFmt w:val="decimal"/>
      <w:lvlText w:val="%1"/>
      <w:lvlJc w:val="left"/>
    </w:lvl>
    <w:lvl w:ilvl="1" w:tplc="CF66FA80">
      <w:start w:val="2"/>
      <w:numFmt w:val="lowerLetter"/>
      <w:lvlText w:val="%2."/>
      <w:lvlJc w:val="left"/>
    </w:lvl>
    <w:lvl w:ilvl="2" w:tplc="BDD085C0">
      <w:numFmt w:val="decimal"/>
      <w:lvlText w:val=""/>
      <w:lvlJc w:val="left"/>
    </w:lvl>
    <w:lvl w:ilvl="3" w:tplc="B9A0E0B6">
      <w:numFmt w:val="decimal"/>
      <w:lvlText w:val=""/>
      <w:lvlJc w:val="left"/>
    </w:lvl>
    <w:lvl w:ilvl="4" w:tplc="235A77A8">
      <w:numFmt w:val="decimal"/>
      <w:lvlText w:val=""/>
      <w:lvlJc w:val="left"/>
    </w:lvl>
    <w:lvl w:ilvl="5" w:tplc="E9FA9DF0">
      <w:numFmt w:val="decimal"/>
      <w:lvlText w:val=""/>
      <w:lvlJc w:val="left"/>
    </w:lvl>
    <w:lvl w:ilvl="6" w:tplc="AE5EBA0E">
      <w:numFmt w:val="decimal"/>
      <w:lvlText w:val=""/>
      <w:lvlJc w:val="left"/>
    </w:lvl>
    <w:lvl w:ilvl="7" w:tplc="32765218">
      <w:numFmt w:val="decimal"/>
      <w:lvlText w:val=""/>
      <w:lvlJc w:val="left"/>
    </w:lvl>
    <w:lvl w:ilvl="8" w:tplc="C4D00876">
      <w:numFmt w:val="decimal"/>
      <w:lvlText w:val=""/>
      <w:lvlJc w:val="left"/>
    </w:lvl>
  </w:abstractNum>
  <w:abstractNum w:abstractNumId="538" w15:restartNumberingAfterBreak="0">
    <w:nsid w:val="00004CEF"/>
    <w:multiLevelType w:val="hybridMultilevel"/>
    <w:tmpl w:val="EBA2370A"/>
    <w:lvl w:ilvl="0" w:tplc="CDEC7C36">
      <w:start w:val="2"/>
      <w:numFmt w:val="decimal"/>
      <w:lvlText w:val="(%1)"/>
      <w:lvlJc w:val="left"/>
    </w:lvl>
    <w:lvl w:ilvl="1" w:tplc="963C054E">
      <w:start w:val="1"/>
      <w:numFmt w:val="lowerLetter"/>
      <w:lvlText w:val="(%2)"/>
      <w:lvlJc w:val="left"/>
    </w:lvl>
    <w:lvl w:ilvl="2" w:tplc="FE885D0C">
      <w:start w:val="1"/>
      <w:numFmt w:val="decimal"/>
      <w:lvlText w:val="%3."/>
      <w:lvlJc w:val="left"/>
    </w:lvl>
    <w:lvl w:ilvl="3" w:tplc="001EF00E">
      <w:start w:val="1"/>
      <w:numFmt w:val="lowerLetter"/>
      <w:lvlText w:val="%4"/>
      <w:lvlJc w:val="left"/>
    </w:lvl>
    <w:lvl w:ilvl="4" w:tplc="0B4268BA">
      <w:numFmt w:val="decimal"/>
      <w:lvlText w:val=""/>
      <w:lvlJc w:val="left"/>
    </w:lvl>
    <w:lvl w:ilvl="5" w:tplc="2ABE1FAE">
      <w:numFmt w:val="decimal"/>
      <w:lvlText w:val=""/>
      <w:lvlJc w:val="left"/>
    </w:lvl>
    <w:lvl w:ilvl="6" w:tplc="B26A397C">
      <w:numFmt w:val="decimal"/>
      <w:lvlText w:val=""/>
      <w:lvlJc w:val="left"/>
    </w:lvl>
    <w:lvl w:ilvl="7" w:tplc="C400BDDA">
      <w:numFmt w:val="decimal"/>
      <w:lvlText w:val=""/>
      <w:lvlJc w:val="left"/>
    </w:lvl>
    <w:lvl w:ilvl="8" w:tplc="CA50E21A">
      <w:numFmt w:val="decimal"/>
      <w:lvlText w:val=""/>
      <w:lvlJc w:val="left"/>
    </w:lvl>
  </w:abstractNum>
  <w:abstractNum w:abstractNumId="539" w15:restartNumberingAfterBreak="0">
    <w:nsid w:val="00004D19"/>
    <w:multiLevelType w:val="hybridMultilevel"/>
    <w:tmpl w:val="00C25E80"/>
    <w:lvl w:ilvl="0" w:tplc="B2DC3344">
      <w:start w:val="1"/>
      <w:numFmt w:val="decimal"/>
      <w:lvlText w:val="%1"/>
      <w:lvlJc w:val="left"/>
    </w:lvl>
    <w:lvl w:ilvl="1" w:tplc="05CA7698">
      <w:start w:val="1"/>
      <w:numFmt w:val="lowerLetter"/>
      <w:lvlText w:val="%2"/>
      <w:lvlJc w:val="left"/>
    </w:lvl>
    <w:lvl w:ilvl="2" w:tplc="43A68298">
      <w:start w:val="2"/>
      <w:numFmt w:val="decimal"/>
      <w:lvlText w:val="%3."/>
      <w:lvlJc w:val="left"/>
    </w:lvl>
    <w:lvl w:ilvl="3" w:tplc="60540FA8">
      <w:numFmt w:val="decimal"/>
      <w:lvlText w:val=""/>
      <w:lvlJc w:val="left"/>
    </w:lvl>
    <w:lvl w:ilvl="4" w:tplc="107A56B0">
      <w:numFmt w:val="decimal"/>
      <w:lvlText w:val=""/>
      <w:lvlJc w:val="left"/>
    </w:lvl>
    <w:lvl w:ilvl="5" w:tplc="FFAC14D2">
      <w:numFmt w:val="decimal"/>
      <w:lvlText w:val=""/>
      <w:lvlJc w:val="left"/>
    </w:lvl>
    <w:lvl w:ilvl="6" w:tplc="38B846F2">
      <w:numFmt w:val="decimal"/>
      <w:lvlText w:val=""/>
      <w:lvlJc w:val="left"/>
    </w:lvl>
    <w:lvl w:ilvl="7" w:tplc="15E8ABD2">
      <w:numFmt w:val="decimal"/>
      <w:lvlText w:val=""/>
      <w:lvlJc w:val="left"/>
    </w:lvl>
    <w:lvl w:ilvl="8" w:tplc="06AA00CA">
      <w:numFmt w:val="decimal"/>
      <w:lvlText w:val=""/>
      <w:lvlJc w:val="left"/>
    </w:lvl>
  </w:abstractNum>
  <w:abstractNum w:abstractNumId="540" w15:restartNumberingAfterBreak="0">
    <w:nsid w:val="00004D3B"/>
    <w:multiLevelType w:val="hybridMultilevel"/>
    <w:tmpl w:val="C04E25BE"/>
    <w:lvl w:ilvl="0" w:tplc="70A60FE0">
      <w:start w:val="2"/>
      <w:numFmt w:val="lowerLetter"/>
      <w:lvlText w:val="(%1)"/>
      <w:lvlJc w:val="left"/>
    </w:lvl>
    <w:lvl w:ilvl="1" w:tplc="874CD4A2">
      <w:start w:val="1"/>
      <w:numFmt w:val="decimal"/>
      <w:lvlText w:val="%2."/>
      <w:lvlJc w:val="left"/>
    </w:lvl>
    <w:lvl w:ilvl="2" w:tplc="F0047AFE">
      <w:start w:val="1"/>
      <w:numFmt w:val="lowerLetter"/>
      <w:lvlText w:val="%3."/>
      <w:lvlJc w:val="left"/>
    </w:lvl>
    <w:lvl w:ilvl="3" w:tplc="08808EF2">
      <w:numFmt w:val="decimal"/>
      <w:lvlText w:val=""/>
      <w:lvlJc w:val="left"/>
    </w:lvl>
    <w:lvl w:ilvl="4" w:tplc="40C66DE2">
      <w:numFmt w:val="decimal"/>
      <w:lvlText w:val=""/>
      <w:lvlJc w:val="left"/>
    </w:lvl>
    <w:lvl w:ilvl="5" w:tplc="E46A3DB8">
      <w:numFmt w:val="decimal"/>
      <w:lvlText w:val=""/>
      <w:lvlJc w:val="left"/>
    </w:lvl>
    <w:lvl w:ilvl="6" w:tplc="26107F98">
      <w:numFmt w:val="decimal"/>
      <w:lvlText w:val=""/>
      <w:lvlJc w:val="left"/>
    </w:lvl>
    <w:lvl w:ilvl="7" w:tplc="6DD4D5E0">
      <w:numFmt w:val="decimal"/>
      <w:lvlText w:val=""/>
      <w:lvlJc w:val="left"/>
    </w:lvl>
    <w:lvl w:ilvl="8" w:tplc="8AFA20F6">
      <w:numFmt w:val="decimal"/>
      <w:lvlText w:val=""/>
      <w:lvlJc w:val="left"/>
    </w:lvl>
  </w:abstractNum>
  <w:abstractNum w:abstractNumId="541" w15:restartNumberingAfterBreak="0">
    <w:nsid w:val="00004D43"/>
    <w:multiLevelType w:val="hybridMultilevel"/>
    <w:tmpl w:val="FD16DF9A"/>
    <w:lvl w:ilvl="0" w:tplc="B1AA3316">
      <w:start w:val="2"/>
      <w:numFmt w:val="lowerLetter"/>
      <w:lvlText w:val="%1."/>
      <w:lvlJc w:val="left"/>
    </w:lvl>
    <w:lvl w:ilvl="1" w:tplc="2014F8D4">
      <w:numFmt w:val="decimal"/>
      <w:lvlText w:val=""/>
      <w:lvlJc w:val="left"/>
    </w:lvl>
    <w:lvl w:ilvl="2" w:tplc="6494F072">
      <w:numFmt w:val="decimal"/>
      <w:lvlText w:val=""/>
      <w:lvlJc w:val="left"/>
    </w:lvl>
    <w:lvl w:ilvl="3" w:tplc="DC50A780">
      <w:numFmt w:val="decimal"/>
      <w:lvlText w:val=""/>
      <w:lvlJc w:val="left"/>
    </w:lvl>
    <w:lvl w:ilvl="4" w:tplc="632E55FE">
      <w:numFmt w:val="decimal"/>
      <w:lvlText w:val=""/>
      <w:lvlJc w:val="left"/>
    </w:lvl>
    <w:lvl w:ilvl="5" w:tplc="449ED650">
      <w:numFmt w:val="decimal"/>
      <w:lvlText w:val=""/>
      <w:lvlJc w:val="left"/>
    </w:lvl>
    <w:lvl w:ilvl="6" w:tplc="6804FC30">
      <w:numFmt w:val="decimal"/>
      <w:lvlText w:val=""/>
      <w:lvlJc w:val="left"/>
    </w:lvl>
    <w:lvl w:ilvl="7" w:tplc="55EE0310">
      <w:numFmt w:val="decimal"/>
      <w:lvlText w:val=""/>
      <w:lvlJc w:val="left"/>
    </w:lvl>
    <w:lvl w:ilvl="8" w:tplc="DF66EB0C">
      <w:numFmt w:val="decimal"/>
      <w:lvlText w:val=""/>
      <w:lvlJc w:val="left"/>
    </w:lvl>
  </w:abstractNum>
  <w:abstractNum w:abstractNumId="542" w15:restartNumberingAfterBreak="0">
    <w:nsid w:val="00004D51"/>
    <w:multiLevelType w:val="hybridMultilevel"/>
    <w:tmpl w:val="BCB86852"/>
    <w:lvl w:ilvl="0" w:tplc="A31E549C">
      <w:start w:val="1"/>
      <w:numFmt w:val="decimal"/>
      <w:lvlText w:val="%1"/>
      <w:lvlJc w:val="left"/>
    </w:lvl>
    <w:lvl w:ilvl="1" w:tplc="45E85382">
      <w:start w:val="1"/>
      <w:numFmt w:val="lowerLetter"/>
      <w:lvlText w:val="%2"/>
      <w:lvlJc w:val="left"/>
    </w:lvl>
    <w:lvl w:ilvl="2" w:tplc="39C4A312">
      <w:start w:val="3"/>
      <w:numFmt w:val="decimal"/>
      <w:lvlText w:val="%3."/>
      <w:lvlJc w:val="left"/>
    </w:lvl>
    <w:lvl w:ilvl="3" w:tplc="7FB81780">
      <w:numFmt w:val="decimal"/>
      <w:lvlText w:val=""/>
      <w:lvlJc w:val="left"/>
    </w:lvl>
    <w:lvl w:ilvl="4" w:tplc="D9E24700">
      <w:numFmt w:val="decimal"/>
      <w:lvlText w:val=""/>
      <w:lvlJc w:val="left"/>
    </w:lvl>
    <w:lvl w:ilvl="5" w:tplc="4E2A2096">
      <w:numFmt w:val="decimal"/>
      <w:lvlText w:val=""/>
      <w:lvlJc w:val="left"/>
    </w:lvl>
    <w:lvl w:ilvl="6" w:tplc="639A6BB6">
      <w:numFmt w:val="decimal"/>
      <w:lvlText w:val=""/>
      <w:lvlJc w:val="left"/>
    </w:lvl>
    <w:lvl w:ilvl="7" w:tplc="85E88DE6">
      <w:numFmt w:val="decimal"/>
      <w:lvlText w:val=""/>
      <w:lvlJc w:val="left"/>
    </w:lvl>
    <w:lvl w:ilvl="8" w:tplc="48B49D26">
      <w:numFmt w:val="decimal"/>
      <w:lvlText w:val=""/>
      <w:lvlJc w:val="left"/>
    </w:lvl>
  </w:abstractNum>
  <w:abstractNum w:abstractNumId="543" w15:restartNumberingAfterBreak="0">
    <w:nsid w:val="00004D62"/>
    <w:multiLevelType w:val="hybridMultilevel"/>
    <w:tmpl w:val="8E223B36"/>
    <w:lvl w:ilvl="0" w:tplc="D9064B46">
      <w:start w:val="1"/>
      <w:numFmt w:val="lowerLetter"/>
      <w:lvlText w:val="%1"/>
      <w:lvlJc w:val="left"/>
    </w:lvl>
    <w:lvl w:ilvl="1" w:tplc="3078D01C">
      <w:start w:val="3"/>
      <w:numFmt w:val="decimal"/>
      <w:lvlText w:val="%2."/>
      <w:lvlJc w:val="left"/>
    </w:lvl>
    <w:lvl w:ilvl="2" w:tplc="3B9E7F5A">
      <w:start w:val="1"/>
      <w:numFmt w:val="lowerLetter"/>
      <w:lvlText w:val="%3"/>
      <w:lvlJc w:val="left"/>
    </w:lvl>
    <w:lvl w:ilvl="3" w:tplc="378C6D26">
      <w:numFmt w:val="decimal"/>
      <w:lvlText w:val=""/>
      <w:lvlJc w:val="left"/>
    </w:lvl>
    <w:lvl w:ilvl="4" w:tplc="CD141396">
      <w:numFmt w:val="decimal"/>
      <w:lvlText w:val=""/>
      <w:lvlJc w:val="left"/>
    </w:lvl>
    <w:lvl w:ilvl="5" w:tplc="A1AE2768">
      <w:numFmt w:val="decimal"/>
      <w:lvlText w:val=""/>
      <w:lvlJc w:val="left"/>
    </w:lvl>
    <w:lvl w:ilvl="6" w:tplc="03D4275A">
      <w:numFmt w:val="decimal"/>
      <w:lvlText w:val=""/>
      <w:lvlJc w:val="left"/>
    </w:lvl>
    <w:lvl w:ilvl="7" w:tplc="23AE0CA0">
      <w:numFmt w:val="decimal"/>
      <w:lvlText w:val=""/>
      <w:lvlJc w:val="left"/>
    </w:lvl>
    <w:lvl w:ilvl="8" w:tplc="D114A096">
      <w:numFmt w:val="decimal"/>
      <w:lvlText w:val=""/>
      <w:lvlJc w:val="left"/>
    </w:lvl>
  </w:abstractNum>
  <w:abstractNum w:abstractNumId="544" w15:restartNumberingAfterBreak="0">
    <w:nsid w:val="00004D64"/>
    <w:multiLevelType w:val="hybridMultilevel"/>
    <w:tmpl w:val="536481F6"/>
    <w:lvl w:ilvl="0" w:tplc="24FE87D4">
      <w:start w:val="1"/>
      <w:numFmt w:val="lowerLetter"/>
      <w:lvlText w:val="%1"/>
      <w:lvlJc w:val="left"/>
    </w:lvl>
    <w:lvl w:ilvl="1" w:tplc="772E841E">
      <w:start w:val="2"/>
      <w:numFmt w:val="decimal"/>
      <w:lvlText w:val="%2."/>
      <w:lvlJc w:val="left"/>
    </w:lvl>
    <w:lvl w:ilvl="2" w:tplc="198A0B08">
      <w:numFmt w:val="decimal"/>
      <w:lvlText w:val=""/>
      <w:lvlJc w:val="left"/>
    </w:lvl>
    <w:lvl w:ilvl="3" w:tplc="8E5CD37C">
      <w:numFmt w:val="decimal"/>
      <w:lvlText w:val=""/>
      <w:lvlJc w:val="left"/>
    </w:lvl>
    <w:lvl w:ilvl="4" w:tplc="D67CDE70">
      <w:numFmt w:val="decimal"/>
      <w:lvlText w:val=""/>
      <w:lvlJc w:val="left"/>
    </w:lvl>
    <w:lvl w:ilvl="5" w:tplc="16D097D0">
      <w:numFmt w:val="decimal"/>
      <w:lvlText w:val=""/>
      <w:lvlJc w:val="left"/>
    </w:lvl>
    <w:lvl w:ilvl="6" w:tplc="856AC956">
      <w:numFmt w:val="decimal"/>
      <w:lvlText w:val=""/>
      <w:lvlJc w:val="left"/>
    </w:lvl>
    <w:lvl w:ilvl="7" w:tplc="9A506E4E">
      <w:numFmt w:val="decimal"/>
      <w:lvlText w:val=""/>
      <w:lvlJc w:val="left"/>
    </w:lvl>
    <w:lvl w:ilvl="8" w:tplc="3C3C5B2A">
      <w:numFmt w:val="decimal"/>
      <w:lvlText w:val=""/>
      <w:lvlJc w:val="left"/>
    </w:lvl>
  </w:abstractNum>
  <w:abstractNum w:abstractNumId="545" w15:restartNumberingAfterBreak="0">
    <w:nsid w:val="00004D8B"/>
    <w:multiLevelType w:val="hybridMultilevel"/>
    <w:tmpl w:val="87846300"/>
    <w:lvl w:ilvl="0" w:tplc="9500BD5C">
      <w:start w:val="3"/>
      <w:numFmt w:val="decimal"/>
      <w:lvlText w:val="(%1)"/>
      <w:lvlJc w:val="left"/>
    </w:lvl>
    <w:lvl w:ilvl="1" w:tplc="1238459E">
      <w:start w:val="1"/>
      <w:numFmt w:val="lowerLetter"/>
      <w:lvlText w:val="(%2)"/>
      <w:lvlJc w:val="left"/>
    </w:lvl>
    <w:lvl w:ilvl="2" w:tplc="5478D2AE">
      <w:start w:val="1"/>
      <w:numFmt w:val="decimal"/>
      <w:lvlText w:val="%3."/>
      <w:lvlJc w:val="left"/>
    </w:lvl>
    <w:lvl w:ilvl="3" w:tplc="DCE6210C">
      <w:start w:val="1"/>
      <w:numFmt w:val="lowerLetter"/>
      <w:lvlText w:val="%4"/>
      <w:lvlJc w:val="left"/>
    </w:lvl>
    <w:lvl w:ilvl="4" w:tplc="15E2E3FC">
      <w:start w:val="1"/>
      <w:numFmt w:val="lowerRoman"/>
      <w:lvlText w:val="%5"/>
      <w:lvlJc w:val="left"/>
    </w:lvl>
    <w:lvl w:ilvl="5" w:tplc="E02EC524">
      <w:numFmt w:val="decimal"/>
      <w:lvlText w:val=""/>
      <w:lvlJc w:val="left"/>
    </w:lvl>
    <w:lvl w:ilvl="6" w:tplc="6FD6D234">
      <w:numFmt w:val="decimal"/>
      <w:lvlText w:val=""/>
      <w:lvlJc w:val="left"/>
    </w:lvl>
    <w:lvl w:ilvl="7" w:tplc="BDE81674">
      <w:numFmt w:val="decimal"/>
      <w:lvlText w:val=""/>
      <w:lvlJc w:val="left"/>
    </w:lvl>
    <w:lvl w:ilvl="8" w:tplc="B1CA366C">
      <w:numFmt w:val="decimal"/>
      <w:lvlText w:val=""/>
      <w:lvlJc w:val="left"/>
    </w:lvl>
  </w:abstractNum>
  <w:abstractNum w:abstractNumId="546" w15:restartNumberingAfterBreak="0">
    <w:nsid w:val="00004D8E"/>
    <w:multiLevelType w:val="hybridMultilevel"/>
    <w:tmpl w:val="5AACE3BE"/>
    <w:lvl w:ilvl="0" w:tplc="707E15F4">
      <w:start w:val="1"/>
      <w:numFmt w:val="lowerLetter"/>
      <w:lvlText w:val="%1"/>
      <w:lvlJc w:val="left"/>
    </w:lvl>
    <w:lvl w:ilvl="1" w:tplc="8CB8D966">
      <w:start w:val="61"/>
      <w:numFmt w:val="lowerLetter"/>
      <w:lvlText w:val="%2."/>
      <w:lvlJc w:val="left"/>
    </w:lvl>
    <w:lvl w:ilvl="2" w:tplc="C13EF030">
      <w:start w:val="1"/>
      <w:numFmt w:val="upperLetter"/>
      <w:lvlText w:val="%3"/>
      <w:lvlJc w:val="left"/>
    </w:lvl>
    <w:lvl w:ilvl="3" w:tplc="0F0EF0A6">
      <w:numFmt w:val="decimal"/>
      <w:lvlText w:val=""/>
      <w:lvlJc w:val="left"/>
    </w:lvl>
    <w:lvl w:ilvl="4" w:tplc="D974D1CA">
      <w:numFmt w:val="decimal"/>
      <w:lvlText w:val=""/>
      <w:lvlJc w:val="left"/>
    </w:lvl>
    <w:lvl w:ilvl="5" w:tplc="F202B674">
      <w:numFmt w:val="decimal"/>
      <w:lvlText w:val=""/>
      <w:lvlJc w:val="left"/>
    </w:lvl>
    <w:lvl w:ilvl="6" w:tplc="F09E91B8">
      <w:numFmt w:val="decimal"/>
      <w:lvlText w:val=""/>
      <w:lvlJc w:val="left"/>
    </w:lvl>
    <w:lvl w:ilvl="7" w:tplc="CD20CEE0">
      <w:numFmt w:val="decimal"/>
      <w:lvlText w:val=""/>
      <w:lvlJc w:val="left"/>
    </w:lvl>
    <w:lvl w:ilvl="8" w:tplc="DDC458BE">
      <w:numFmt w:val="decimal"/>
      <w:lvlText w:val=""/>
      <w:lvlJc w:val="left"/>
    </w:lvl>
  </w:abstractNum>
  <w:abstractNum w:abstractNumId="547" w15:restartNumberingAfterBreak="0">
    <w:nsid w:val="00004DAA"/>
    <w:multiLevelType w:val="hybridMultilevel"/>
    <w:tmpl w:val="8CC4E3F8"/>
    <w:lvl w:ilvl="0" w:tplc="4CCEED12">
      <w:start w:val="1"/>
      <w:numFmt w:val="decimal"/>
      <w:lvlText w:val="%1"/>
      <w:lvlJc w:val="left"/>
    </w:lvl>
    <w:lvl w:ilvl="1" w:tplc="4E7A1958">
      <w:start w:val="1"/>
      <w:numFmt w:val="lowerLetter"/>
      <w:lvlText w:val="%2"/>
      <w:lvlJc w:val="left"/>
    </w:lvl>
    <w:lvl w:ilvl="2" w:tplc="A3440F2E">
      <w:start w:val="3"/>
      <w:numFmt w:val="decimal"/>
      <w:lvlText w:val="%3."/>
      <w:lvlJc w:val="left"/>
    </w:lvl>
    <w:lvl w:ilvl="3" w:tplc="D608A14E">
      <w:start w:val="1"/>
      <w:numFmt w:val="lowerLetter"/>
      <w:lvlText w:val="%4"/>
      <w:lvlJc w:val="left"/>
    </w:lvl>
    <w:lvl w:ilvl="4" w:tplc="943AE762">
      <w:numFmt w:val="decimal"/>
      <w:lvlText w:val=""/>
      <w:lvlJc w:val="left"/>
    </w:lvl>
    <w:lvl w:ilvl="5" w:tplc="17186F82">
      <w:numFmt w:val="decimal"/>
      <w:lvlText w:val=""/>
      <w:lvlJc w:val="left"/>
    </w:lvl>
    <w:lvl w:ilvl="6" w:tplc="5700010A">
      <w:numFmt w:val="decimal"/>
      <w:lvlText w:val=""/>
      <w:lvlJc w:val="left"/>
    </w:lvl>
    <w:lvl w:ilvl="7" w:tplc="337ED22A">
      <w:numFmt w:val="decimal"/>
      <w:lvlText w:val=""/>
      <w:lvlJc w:val="left"/>
    </w:lvl>
    <w:lvl w:ilvl="8" w:tplc="3D545080">
      <w:numFmt w:val="decimal"/>
      <w:lvlText w:val=""/>
      <w:lvlJc w:val="left"/>
    </w:lvl>
  </w:abstractNum>
  <w:abstractNum w:abstractNumId="548" w15:restartNumberingAfterBreak="0">
    <w:nsid w:val="00004DAD"/>
    <w:multiLevelType w:val="hybridMultilevel"/>
    <w:tmpl w:val="F334D5CC"/>
    <w:lvl w:ilvl="0" w:tplc="A55C5C48">
      <w:start w:val="1"/>
      <w:numFmt w:val="decimal"/>
      <w:lvlText w:val="%1"/>
      <w:lvlJc w:val="left"/>
    </w:lvl>
    <w:lvl w:ilvl="1" w:tplc="8AC05930">
      <w:start w:val="2"/>
      <w:numFmt w:val="lowerLetter"/>
      <w:lvlText w:val="(%2)"/>
      <w:lvlJc w:val="left"/>
    </w:lvl>
    <w:lvl w:ilvl="2" w:tplc="FD3A4130">
      <w:start w:val="1"/>
      <w:numFmt w:val="decimal"/>
      <w:lvlText w:val="%3."/>
      <w:lvlJc w:val="left"/>
    </w:lvl>
    <w:lvl w:ilvl="3" w:tplc="3A90349A">
      <w:start w:val="1"/>
      <w:numFmt w:val="lowerLetter"/>
      <w:lvlText w:val="%4"/>
      <w:lvlJc w:val="left"/>
    </w:lvl>
    <w:lvl w:ilvl="4" w:tplc="70E46CE8">
      <w:numFmt w:val="decimal"/>
      <w:lvlText w:val=""/>
      <w:lvlJc w:val="left"/>
    </w:lvl>
    <w:lvl w:ilvl="5" w:tplc="90BC1716">
      <w:numFmt w:val="decimal"/>
      <w:lvlText w:val=""/>
      <w:lvlJc w:val="left"/>
    </w:lvl>
    <w:lvl w:ilvl="6" w:tplc="ED5A2B44">
      <w:numFmt w:val="decimal"/>
      <w:lvlText w:val=""/>
      <w:lvlJc w:val="left"/>
    </w:lvl>
    <w:lvl w:ilvl="7" w:tplc="25F21934">
      <w:numFmt w:val="decimal"/>
      <w:lvlText w:val=""/>
      <w:lvlJc w:val="left"/>
    </w:lvl>
    <w:lvl w:ilvl="8" w:tplc="2F3C9A2E">
      <w:numFmt w:val="decimal"/>
      <w:lvlText w:val=""/>
      <w:lvlJc w:val="left"/>
    </w:lvl>
  </w:abstractNum>
  <w:abstractNum w:abstractNumId="549" w15:restartNumberingAfterBreak="0">
    <w:nsid w:val="00004DB9"/>
    <w:multiLevelType w:val="hybridMultilevel"/>
    <w:tmpl w:val="D9A88392"/>
    <w:lvl w:ilvl="0" w:tplc="E49A9EB6">
      <w:start w:val="5"/>
      <w:numFmt w:val="decimal"/>
      <w:lvlText w:val="%1."/>
      <w:lvlJc w:val="left"/>
    </w:lvl>
    <w:lvl w:ilvl="1" w:tplc="1FFC5DCC">
      <w:start w:val="1"/>
      <w:numFmt w:val="lowerLetter"/>
      <w:lvlText w:val="%2"/>
      <w:lvlJc w:val="left"/>
    </w:lvl>
    <w:lvl w:ilvl="2" w:tplc="C2EEB83E">
      <w:start w:val="1"/>
      <w:numFmt w:val="lowerRoman"/>
      <w:lvlText w:val="%3."/>
      <w:lvlJc w:val="left"/>
    </w:lvl>
    <w:lvl w:ilvl="3" w:tplc="CD526858">
      <w:numFmt w:val="decimal"/>
      <w:lvlText w:val=""/>
      <w:lvlJc w:val="left"/>
    </w:lvl>
    <w:lvl w:ilvl="4" w:tplc="74288794">
      <w:numFmt w:val="decimal"/>
      <w:lvlText w:val=""/>
      <w:lvlJc w:val="left"/>
    </w:lvl>
    <w:lvl w:ilvl="5" w:tplc="DA7A01D6">
      <w:numFmt w:val="decimal"/>
      <w:lvlText w:val=""/>
      <w:lvlJc w:val="left"/>
    </w:lvl>
    <w:lvl w:ilvl="6" w:tplc="C534FE68">
      <w:numFmt w:val="decimal"/>
      <w:lvlText w:val=""/>
      <w:lvlJc w:val="left"/>
    </w:lvl>
    <w:lvl w:ilvl="7" w:tplc="6660E01E">
      <w:numFmt w:val="decimal"/>
      <w:lvlText w:val=""/>
      <w:lvlJc w:val="left"/>
    </w:lvl>
    <w:lvl w:ilvl="8" w:tplc="79C61D50">
      <w:numFmt w:val="decimal"/>
      <w:lvlText w:val=""/>
      <w:lvlJc w:val="left"/>
    </w:lvl>
  </w:abstractNum>
  <w:abstractNum w:abstractNumId="550" w15:restartNumberingAfterBreak="0">
    <w:nsid w:val="00004DD6"/>
    <w:multiLevelType w:val="hybridMultilevel"/>
    <w:tmpl w:val="DA2C8AF6"/>
    <w:lvl w:ilvl="0" w:tplc="847632A0">
      <w:start w:val="2"/>
      <w:numFmt w:val="decimal"/>
      <w:lvlText w:val="%1."/>
      <w:lvlJc w:val="left"/>
    </w:lvl>
    <w:lvl w:ilvl="1" w:tplc="84FA011E">
      <w:numFmt w:val="decimal"/>
      <w:lvlText w:val=""/>
      <w:lvlJc w:val="left"/>
    </w:lvl>
    <w:lvl w:ilvl="2" w:tplc="160877A4">
      <w:numFmt w:val="decimal"/>
      <w:lvlText w:val=""/>
      <w:lvlJc w:val="left"/>
    </w:lvl>
    <w:lvl w:ilvl="3" w:tplc="34A28BEA">
      <w:numFmt w:val="decimal"/>
      <w:lvlText w:val=""/>
      <w:lvlJc w:val="left"/>
    </w:lvl>
    <w:lvl w:ilvl="4" w:tplc="F0489348">
      <w:numFmt w:val="decimal"/>
      <w:lvlText w:val=""/>
      <w:lvlJc w:val="left"/>
    </w:lvl>
    <w:lvl w:ilvl="5" w:tplc="D772EAC4">
      <w:numFmt w:val="decimal"/>
      <w:lvlText w:val=""/>
      <w:lvlJc w:val="left"/>
    </w:lvl>
    <w:lvl w:ilvl="6" w:tplc="24D8EE0C">
      <w:numFmt w:val="decimal"/>
      <w:lvlText w:val=""/>
      <w:lvlJc w:val="left"/>
    </w:lvl>
    <w:lvl w:ilvl="7" w:tplc="D3FADC4C">
      <w:numFmt w:val="decimal"/>
      <w:lvlText w:val=""/>
      <w:lvlJc w:val="left"/>
    </w:lvl>
    <w:lvl w:ilvl="8" w:tplc="EE26C0CE">
      <w:numFmt w:val="decimal"/>
      <w:lvlText w:val=""/>
      <w:lvlJc w:val="left"/>
    </w:lvl>
  </w:abstractNum>
  <w:abstractNum w:abstractNumId="551" w15:restartNumberingAfterBreak="0">
    <w:nsid w:val="00004DDC"/>
    <w:multiLevelType w:val="hybridMultilevel"/>
    <w:tmpl w:val="3B744D28"/>
    <w:lvl w:ilvl="0" w:tplc="7BB67BB6">
      <w:start w:val="1"/>
      <w:numFmt w:val="decimal"/>
      <w:lvlText w:val="%1"/>
      <w:lvlJc w:val="left"/>
      <w:rPr>
        <w:sz w:val="24"/>
        <w:szCs w:val="24"/>
      </w:rPr>
    </w:lvl>
    <w:lvl w:ilvl="1" w:tplc="E0C207D4">
      <w:numFmt w:val="decimal"/>
      <w:lvlText w:val=""/>
      <w:lvlJc w:val="left"/>
    </w:lvl>
    <w:lvl w:ilvl="2" w:tplc="C11CCE3C">
      <w:numFmt w:val="decimal"/>
      <w:lvlText w:val=""/>
      <w:lvlJc w:val="left"/>
    </w:lvl>
    <w:lvl w:ilvl="3" w:tplc="7B8068E8">
      <w:numFmt w:val="decimal"/>
      <w:lvlText w:val=""/>
      <w:lvlJc w:val="left"/>
    </w:lvl>
    <w:lvl w:ilvl="4" w:tplc="21F86C22">
      <w:numFmt w:val="decimal"/>
      <w:lvlText w:val=""/>
      <w:lvlJc w:val="left"/>
    </w:lvl>
    <w:lvl w:ilvl="5" w:tplc="C200F402">
      <w:numFmt w:val="decimal"/>
      <w:lvlText w:val=""/>
      <w:lvlJc w:val="left"/>
    </w:lvl>
    <w:lvl w:ilvl="6" w:tplc="74321D02">
      <w:numFmt w:val="decimal"/>
      <w:lvlText w:val=""/>
      <w:lvlJc w:val="left"/>
    </w:lvl>
    <w:lvl w:ilvl="7" w:tplc="5B3C7FCA">
      <w:numFmt w:val="decimal"/>
      <w:lvlText w:val=""/>
      <w:lvlJc w:val="left"/>
    </w:lvl>
    <w:lvl w:ilvl="8" w:tplc="DFD0D6A2">
      <w:numFmt w:val="decimal"/>
      <w:lvlText w:val=""/>
      <w:lvlJc w:val="left"/>
    </w:lvl>
  </w:abstractNum>
  <w:abstractNum w:abstractNumId="552" w15:restartNumberingAfterBreak="0">
    <w:nsid w:val="00004E6E"/>
    <w:multiLevelType w:val="hybridMultilevel"/>
    <w:tmpl w:val="43FA349A"/>
    <w:lvl w:ilvl="0" w:tplc="80AE08C4">
      <w:start w:val="2"/>
      <w:numFmt w:val="lowerLetter"/>
      <w:lvlText w:val="(%1)"/>
      <w:lvlJc w:val="left"/>
    </w:lvl>
    <w:lvl w:ilvl="1" w:tplc="B39C05E4">
      <w:start w:val="1"/>
      <w:numFmt w:val="decimal"/>
      <w:lvlText w:val="%2."/>
      <w:lvlJc w:val="left"/>
    </w:lvl>
    <w:lvl w:ilvl="2" w:tplc="7ED0648E">
      <w:numFmt w:val="decimal"/>
      <w:lvlText w:val=""/>
      <w:lvlJc w:val="left"/>
    </w:lvl>
    <w:lvl w:ilvl="3" w:tplc="FF921B08">
      <w:numFmt w:val="decimal"/>
      <w:lvlText w:val=""/>
      <w:lvlJc w:val="left"/>
    </w:lvl>
    <w:lvl w:ilvl="4" w:tplc="7E06381E">
      <w:numFmt w:val="decimal"/>
      <w:lvlText w:val=""/>
      <w:lvlJc w:val="left"/>
    </w:lvl>
    <w:lvl w:ilvl="5" w:tplc="24EE0310">
      <w:numFmt w:val="decimal"/>
      <w:lvlText w:val=""/>
      <w:lvlJc w:val="left"/>
    </w:lvl>
    <w:lvl w:ilvl="6" w:tplc="CAEC4296">
      <w:numFmt w:val="decimal"/>
      <w:lvlText w:val=""/>
      <w:lvlJc w:val="left"/>
    </w:lvl>
    <w:lvl w:ilvl="7" w:tplc="C97C15F0">
      <w:numFmt w:val="decimal"/>
      <w:lvlText w:val=""/>
      <w:lvlJc w:val="left"/>
    </w:lvl>
    <w:lvl w:ilvl="8" w:tplc="FAF65BBE">
      <w:numFmt w:val="decimal"/>
      <w:lvlText w:val=""/>
      <w:lvlJc w:val="left"/>
    </w:lvl>
  </w:abstractNum>
  <w:abstractNum w:abstractNumId="553" w15:restartNumberingAfterBreak="0">
    <w:nsid w:val="00004EA7"/>
    <w:multiLevelType w:val="hybridMultilevel"/>
    <w:tmpl w:val="2D5CAB78"/>
    <w:lvl w:ilvl="0" w:tplc="92A40C3A">
      <w:start w:val="1"/>
      <w:numFmt w:val="lowerLetter"/>
      <w:lvlText w:val="%1"/>
      <w:lvlJc w:val="left"/>
    </w:lvl>
    <w:lvl w:ilvl="1" w:tplc="5D34F21E">
      <w:start w:val="1"/>
      <w:numFmt w:val="decimal"/>
      <w:lvlText w:val="%2"/>
      <w:lvlJc w:val="left"/>
    </w:lvl>
    <w:lvl w:ilvl="2" w:tplc="175A1CA4">
      <w:start w:val="1"/>
      <w:numFmt w:val="lowerLetter"/>
      <w:lvlText w:val="%3"/>
      <w:lvlJc w:val="left"/>
    </w:lvl>
    <w:lvl w:ilvl="3" w:tplc="3E4C7330">
      <w:start w:val="6"/>
      <w:numFmt w:val="lowerRoman"/>
      <w:lvlText w:val="%4."/>
      <w:lvlJc w:val="left"/>
    </w:lvl>
    <w:lvl w:ilvl="4" w:tplc="66CE8984">
      <w:numFmt w:val="decimal"/>
      <w:lvlText w:val=""/>
      <w:lvlJc w:val="left"/>
    </w:lvl>
    <w:lvl w:ilvl="5" w:tplc="EE2A5CF8">
      <w:numFmt w:val="decimal"/>
      <w:lvlText w:val=""/>
      <w:lvlJc w:val="left"/>
    </w:lvl>
    <w:lvl w:ilvl="6" w:tplc="1200E648">
      <w:numFmt w:val="decimal"/>
      <w:lvlText w:val=""/>
      <w:lvlJc w:val="left"/>
    </w:lvl>
    <w:lvl w:ilvl="7" w:tplc="ED0ED4D4">
      <w:numFmt w:val="decimal"/>
      <w:lvlText w:val=""/>
      <w:lvlJc w:val="left"/>
    </w:lvl>
    <w:lvl w:ilvl="8" w:tplc="4762EDCE">
      <w:numFmt w:val="decimal"/>
      <w:lvlText w:val=""/>
      <w:lvlJc w:val="left"/>
    </w:lvl>
  </w:abstractNum>
  <w:abstractNum w:abstractNumId="554" w15:restartNumberingAfterBreak="0">
    <w:nsid w:val="00004EA8"/>
    <w:multiLevelType w:val="hybridMultilevel"/>
    <w:tmpl w:val="BE6CEB62"/>
    <w:lvl w:ilvl="0" w:tplc="C898E5D0">
      <w:start w:val="1"/>
      <w:numFmt w:val="decimal"/>
      <w:lvlText w:val="%1"/>
      <w:lvlJc w:val="left"/>
    </w:lvl>
    <w:lvl w:ilvl="1" w:tplc="F48410EE">
      <w:start w:val="4"/>
      <w:numFmt w:val="lowerLetter"/>
      <w:lvlText w:val="(%2)"/>
      <w:lvlJc w:val="left"/>
    </w:lvl>
    <w:lvl w:ilvl="2" w:tplc="6EB211E4">
      <w:start w:val="1"/>
      <w:numFmt w:val="decimal"/>
      <w:lvlText w:val="%3."/>
      <w:lvlJc w:val="left"/>
      <w:rPr>
        <w:rFonts w:hint="default"/>
      </w:rPr>
    </w:lvl>
    <w:lvl w:ilvl="3" w:tplc="5FDE3276">
      <w:numFmt w:val="decimal"/>
      <w:lvlText w:val=""/>
      <w:lvlJc w:val="left"/>
    </w:lvl>
    <w:lvl w:ilvl="4" w:tplc="69C88F8E">
      <w:numFmt w:val="decimal"/>
      <w:lvlText w:val=""/>
      <w:lvlJc w:val="left"/>
    </w:lvl>
    <w:lvl w:ilvl="5" w:tplc="DDDAA806">
      <w:numFmt w:val="decimal"/>
      <w:lvlText w:val=""/>
      <w:lvlJc w:val="left"/>
    </w:lvl>
    <w:lvl w:ilvl="6" w:tplc="8A149AEA">
      <w:numFmt w:val="decimal"/>
      <w:lvlText w:val=""/>
      <w:lvlJc w:val="left"/>
    </w:lvl>
    <w:lvl w:ilvl="7" w:tplc="7C2E8882">
      <w:numFmt w:val="decimal"/>
      <w:lvlText w:val=""/>
      <w:lvlJc w:val="left"/>
    </w:lvl>
    <w:lvl w:ilvl="8" w:tplc="65AE5648">
      <w:numFmt w:val="decimal"/>
      <w:lvlText w:val=""/>
      <w:lvlJc w:val="left"/>
    </w:lvl>
  </w:abstractNum>
  <w:abstractNum w:abstractNumId="555" w15:restartNumberingAfterBreak="0">
    <w:nsid w:val="00004EC9"/>
    <w:multiLevelType w:val="hybridMultilevel"/>
    <w:tmpl w:val="364A08BC"/>
    <w:lvl w:ilvl="0" w:tplc="68DA0FE8">
      <w:start w:val="2"/>
      <w:numFmt w:val="decimal"/>
      <w:lvlText w:val="(%1)"/>
      <w:lvlJc w:val="left"/>
    </w:lvl>
    <w:lvl w:ilvl="1" w:tplc="BA1433EC">
      <w:numFmt w:val="decimal"/>
      <w:lvlText w:val=""/>
      <w:lvlJc w:val="left"/>
    </w:lvl>
    <w:lvl w:ilvl="2" w:tplc="3D58BF86">
      <w:numFmt w:val="decimal"/>
      <w:lvlText w:val=""/>
      <w:lvlJc w:val="left"/>
    </w:lvl>
    <w:lvl w:ilvl="3" w:tplc="F4DA0332">
      <w:numFmt w:val="decimal"/>
      <w:lvlText w:val=""/>
      <w:lvlJc w:val="left"/>
    </w:lvl>
    <w:lvl w:ilvl="4" w:tplc="E0747C56">
      <w:numFmt w:val="decimal"/>
      <w:lvlText w:val=""/>
      <w:lvlJc w:val="left"/>
    </w:lvl>
    <w:lvl w:ilvl="5" w:tplc="849E4B68">
      <w:numFmt w:val="decimal"/>
      <w:lvlText w:val=""/>
      <w:lvlJc w:val="left"/>
    </w:lvl>
    <w:lvl w:ilvl="6" w:tplc="30AC9492">
      <w:numFmt w:val="decimal"/>
      <w:lvlText w:val=""/>
      <w:lvlJc w:val="left"/>
    </w:lvl>
    <w:lvl w:ilvl="7" w:tplc="1A5A6B84">
      <w:numFmt w:val="decimal"/>
      <w:lvlText w:val=""/>
      <w:lvlJc w:val="left"/>
    </w:lvl>
    <w:lvl w:ilvl="8" w:tplc="02F24182">
      <w:numFmt w:val="decimal"/>
      <w:lvlText w:val=""/>
      <w:lvlJc w:val="left"/>
    </w:lvl>
  </w:abstractNum>
  <w:abstractNum w:abstractNumId="556" w15:restartNumberingAfterBreak="0">
    <w:nsid w:val="00004ED7"/>
    <w:multiLevelType w:val="hybridMultilevel"/>
    <w:tmpl w:val="3178288A"/>
    <w:lvl w:ilvl="0" w:tplc="78CE0EAE">
      <w:start w:val="2"/>
      <w:numFmt w:val="lowerRoman"/>
      <w:lvlText w:val="%1."/>
      <w:lvlJc w:val="left"/>
    </w:lvl>
    <w:lvl w:ilvl="1" w:tplc="9BBAD402">
      <w:numFmt w:val="decimal"/>
      <w:lvlText w:val=""/>
      <w:lvlJc w:val="left"/>
    </w:lvl>
    <w:lvl w:ilvl="2" w:tplc="E5AED5F8">
      <w:numFmt w:val="decimal"/>
      <w:lvlText w:val=""/>
      <w:lvlJc w:val="left"/>
    </w:lvl>
    <w:lvl w:ilvl="3" w:tplc="2076BC12">
      <w:numFmt w:val="decimal"/>
      <w:lvlText w:val=""/>
      <w:lvlJc w:val="left"/>
    </w:lvl>
    <w:lvl w:ilvl="4" w:tplc="88000144">
      <w:numFmt w:val="decimal"/>
      <w:lvlText w:val=""/>
      <w:lvlJc w:val="left"/>
    </w:lvl>
    <w:lvl w:ilvl="5" w:tplc="F4ACFD04">
      <w:numFmt w:val="decimal"/>
      <w:lvlText w:val=""/>
      <w:lvlJc w:val="left"/>
    </w:lvl>
    <w:lvl w:ilvl="6" w:tplc="433E1410">
      <w:numFmt w:val="decimal"/>
      <w:lvlText w:val=""/>
      <w:lvlJc w:val="left"/>
    </w:lvl>
    <w:lvl w:ilvl="7" w:tplc="EA3EE8B4">
      <w:numFmt w:val="decimal"/>
      <w:lvlText w:val=""/>
      <w:lvlJc w:val="left"/>
    </w:lvl>
    <w:lvl w:ilvl="8" w:tplc="E4DC659A">
      <w:numFmt w:val="decimal"/>
      <w:lvlText w:val=""/>
      <w:lvlJc w:val="left"/>
    </w:lvl>
  </w:abstractNum>
  <w:abstractNum w:abstractNumId="557" w15:restartNumberingAfterBreak="0">
    <w:nsid w:val="00004F2B"/>
    <w:multiLevelType w:val="hybridMultilevel"/>
    <w:tmpl w:val="990AAEF2"/>
    <w:lvl w:ilvl="0" w:tplc="0D68D50C">
      <w:start w:val="4"/>
      <w:numFmt w:val="decimal"/>
      <w:lvlText w:val="(%1)"/>
      <w:lvlJc w:val="left"/>
    </w:lvl>
    <w:lvl w:ilvl="1" w:tplc="C43A97AE">
      <w:start w:val="1"/>
      <w:numFmt w:val="lowerLetter"/>
      <w:lvlText w:val="(%2)"/>
      <w:lvlJc w:val="left"/>
    </w:lvl>
    <w:lvl w:ilvl="2" w:tplc="8E7A80C2">
      <w:start w:val="1"/>
      <w:numFmt w:val="decimal"/>
      <w:lvlText w:val="%3."/>
      <w:lvlJc w:val="left"/>
    </w:lvl>
    <w:lvl w:ilvl="3" w:tplc="1EEA4D38">
      <w:numFmt w:val="decimal"/>
      <w:lvlText w:val=""/>
      <w:lvlJc w:val="left"/>
    </w:lvl>
    <w:lvl w:ilvl="4" w:tplc="ECE833C8">
      <w:numFmt w:val="decimal"/>
      <w:lvlText w:val=""/>
      <w:lvlJc w:val="left"/>
    </w:lvl>
    <w:lvl w:ilvl="5" w:tplc="D5F00640">
      <w:numFmt w:val="decimal"/>
      <w:lvlText w:val=""/>
      <w:lvlJc w:val="left"/>
    </w:lvl>
    <w:lvl w:ilvl="6" w:tplc="FE627958">
      <w:numFmt w:val="decimal"/>
      <w:lvlText w:val=""/>
      <w:lvlJc w:val="left"/>
    </w:lvl>
    <w:lvl w:ilvl="7" w:tplc="B59825E6">
      <w:numFmt w:val="decimal"/>
      <w:lvlText w:val=""/>
      <w:lvlJc w:val="left"/>
    </w:lvl>
    <w:lvl w:ilvl="8" w:tplc="3F4470CC">
      <w:numFmt w:val="decimal"/>
      <w:lvlText w:val=""/>
      <w:lvlJc w:val="left"/>
    </w:lvl>
  </w:abstractNum>
  <w:abstractNum w:abstractNumId="558" w15:restartNumberingAfterBreak="0">
    <w:nsid w:val="00004F36"/>
    <w:multiLevelType w:val="hybridMultilevel"/>
    <w:tmpl w:val="D2A0E020"/>
    <w:lvl w:ilvl="0" w:tplc="B01A53E0">
      <w:start w:val="3"/>
      <w:numFmt w:val="lowerLetter"/>
      <w:lvlText w:val="(%1)"/>
      <w:lvlJc w:val="left"/>
    </w:lvl>
    <w:lvl w:ilvl="1" w:tplc="2252E7D8">
      <w:start w:val="1"/>
      <w:numFmt w:val="decimal"/>
      <w:lvlText w:val="%2."/>
      <w:lvlJc w:val="left"/>
    </w:lvl>
    <w:lvl w:ilvl="2" w:tplc="DD14FB88">
      <w:start w:val="1"/>
      <w:numFmt w:val="lowerLetter"/>
      <w:lvlText w:val="%3."/>
      <w:lvlJc w:val="left"/>
    </w:lvl>
    <w:lvl w:ilvl="3" w:tplc="4B8CB8CA">
      <w:numFmt w:val="decimal"/>
      <w:lvlText w:val=""/>
      <w:lvlJc w:val="left"/>
    </w:lvl>
    <w:lvl w:ilvl="4" w:tplc="A03ED314">
      <w:numFmt w:val="decimal"/>
      <w:lvlText w:val=""/>
      <w:lvlJc w:val="left"/>
    </w:lvl>
    <w:lvl w:ilvl="5" w:tplc="5EB22B8A">
      <w:numFmt w:val="decimal"/>
      <w:lvlText w:val=""/>
      <w:lvlJc w:val="left"/>
    </w:lvl>
    <w:lvl w:ilvl="6" w:tplc="B53AFB40">
      <w:numFmt w:val="decimal"/>
      <w:lvlText w:val=""/>
      <w:lvlJc w:val="left"/>
    </w:lvl>
    <w:lvl w:ilvl="7" w:tplc="80ACD4F4">
      <w:numFmt w:val="decimal"/>
      <w:lvlText w:val=""/>
      <w:lvlJc w:val="left"/>
    </w:lvl>
    <w:lvl w:ilvl="8" w:tplc="56268552">
      <w:numFmt w:val="decimal"/>
      <w:lvlText w:val=""/>
      <w:lvlJc w:val="left"/>
    </w:lvl>
  </w:abstractNum>
  <w:abstractNum w:abstractNumId="559" w15:restartNumberingAfterBreak="0">
    <w:nsid w:val="00004F41"/>
    <w:multiLevelType w:val="hybridMultilevel"/>
    <w:tmpl w:val="7ABCFA5A"/>
    <w:lvl w:ilvl="0" w:tplc="D5E2D34E">
      <w:start w:val="1"/>
      <w:numFmt w:val="decimal"/>
      <w:lvlText w:val="%1"/>
      <w:lvlJc w:val="left"/>
    </w:lvl>
    <w:lvl w:ilvl="1" w:tplc="DB62FAA6">
      <w:numFmt w:val="decimal"/>
      <w:lvlText w:val=""/>
      <w:lvlJc w:val="left"/>
    </w:lvl>
    <w:lvl w:ilvl="2" w:tplc="4F8ACF22">
      <w:numFmt w:val="decimal"/>
      <w:lvlText w:val=""/>
      <w:lvlJc w:val="left"/>
    </w:lvl>
    <w:lvl w:ilvl="3" w:tplc="CD829624">
      <w:numFmt w:val="decimal"/>
      <w:lvlText w:val=""/>
      <w:lvlJc w:val="left"/>
    </w:lvl>
    <w:lvl w:ilvl="4" w:tplc="78EE9CE2">
      <w:numFmt w:val="decimal"/>
      <w:lvlText w:val=""/>
      <w:lvlJc w:val="left"/>
    </w:lvl>
    <w:lvl w:ilvl="5" w:tplc="29784428">
      <w:numFmt w:val="decimal"/>
      <w:lvlText w:val=""/>
      <w:lvlJc w:val="left"/>
    </w:lvl>
    <w:lvl w:ilvl="6" w:tplc="1AD479EC">
      <w:numFmt w:val="decimal"/>
      <w:lvlText w:val=""/>
      <w:lvlJc w:val="left"/>
    </w:lvl>
    <w:lvl w:ilvl="7" w:tplc="BCFCBB46">
      <w:numFmt w:val="decimal"/>
      <w:lvlText w:val=""/>
      <w:lvlJc w:val="left"/>
    </w:lvl>
    <w:lvl w:ilvl="8" w:tplc="1B342186">
      <w:numFmt w:val="decimal"/>
      <w:lvlText w:val=""/>
      <w:lvlJc w:val="left"/>
    </w:lvl>
  </w:abstractNum>
  <w:abstractNum w:abstractNumId="560" w15:restartNumberingAfterBreak="0">
    <w:nsid w:val="00004F8B"/>
    <w:multiLevelType w:val="hybridMultilevel"/>
    <w:tmpl w:val="F9F009EA"/>
    <w:lvl w:ilvl="0" w:tplc="AD04F6E0">
      <w:start w:val="3"/>
      <w:numFmt w:val="lowerLetter"/>
      <w:lvlText w:val="%1."/>
      <w:lvlJc w:val="left"/>
    </w:lvl>
    <w:lvl w:ilvl="1" w:tplc="823251EA">
      <w:start w:val="1"/>
      <w:numFmt w:val="lowerRoman"/>
      <w:lvlText w:val="(%2)"/>
      <w:lvlJc w:val="left"/>
    </w:lvl>
    <w:lvl w:ilvl="2" w:tplc="14B2697E">
      <w:numFmt w:val="decimal"/>
      <w:lvlText w:val=""/>
      <w:lvlJc w:val="left"/>
    </w:lvl>
    <w:lvl w:ilvl="3" w:tplc="76ECB196">
      <w:numFmt w:val="decimal"/>
      <w:lvlText w:val=""/>
      <w:lvlJc w:val="left"/>
    </w:lvl>
    <w:lvl w:ilvl="4" w:tplc="434AEACE">
      <w:numFmt w:val="decimal"/>
      <w:lvlText w:val=""/>
      <w:lvlJc w:val="left"/>
    </w:lvl>
    <w:lvl w:ilvl="5" w:tplc="66C276C6">
      <w:numFmt w:val="decimal"/>
      <w:lvlText w:val=""/>
      <w:lvlJc w:val="left"/>
    </w:lvl>
    <w:lvl w:ilvl="6" w:tplc="FB0CC7B4">
      <w:numFmt w:val="decimal"/>
      <w:lvlText w:val=""/>
      <w:lvlJc w:val="left"/>
    </w:lvl>
    <w:lvl w:ilvl="7" w:tplc="D5BC1F0C">
      <w:numFmt w:val="decimal"/>
      <w:lvlText w:val=""/>
      <w:lvlJc w:val="left"/>
    </w:lvl>
    <w:lvl w:ilvl="8" w:tplc="644AD254">
      <w:numFmt w:val="decimal"/>
      <w:lvlText w:val=""/>
      <w:lvlJc w:val="left"/>
    </w:lvl>
  </w:abstractNum>
  <w:abstractNum w:abstractNumId="561" w15:restartNumberingAfterBreak="0">
    <w:nsid w:val="00004FC2"/>
    <w:multiLevelType w:val="hybridMultilevel"/>
    <w:tmpl w:val="81C62844"/>
    <w:lvl w:ilvl="0" w:tplc="04963528">
      <w:start w:val="11"/>
      <w:numFmt w:val="decimal"/>
      <w:lvlText w:val="(%1)"/>
      <w:lvlJc w:val="left"/>
    </w:lvl>
    <w:lvl w:ilvl="1" w:tplc="C56EC610">
      <w:start w:val="1"/>
      <w:numFmt w:val="lowerLetter"/>
      <w:lvlText w:val="(%2)"/>
      <w:lvlJc w:val="left"/>
    </w:lvl>
    <w:lvl w:ilvl="2" w:tplc="DB94724E">
      <w:start w:val="2"/>
      <w:numFmt w:val="decimal"/>
      <w:lvlText w:val="%3."/>
      <w:lvlJc w:val="left"/>
    </w:lvl>
    <w:lvl w:ilvl="3" w:tplc="BD2485F6">
      <w:start w:val="1"/>
      <w:numFmt w:val="lowerLetter"/>
      <w:lvlText w:val="%4"/>
      <w:lvlJc w:val="left"/>
    </w:lvl>
    <w:lvl w:ilvl="4" w:tplc="951E36E2">
      <w:numFmt w:val="decimal"/>
      <w:lvlText w:val=""/>
      <w:lvlJc w:val="left"/>
    </w:lvl>
    <w:lvl w:ilvl="5" w:tplc="D1B22CB4">
      <w:numFmt w:val="decimal"/>
      <w:lvlText w:val=""/>
      <w:lvlJc w:val="left"/>
    </w:lvl>
    <w:lvl w:ilvl="6" w:tplc="548A84F0">
      <w:numFmt w:val="decimal"/>
      <w:lvlText w:val=""/>
      <w:lvlJc w:val="left"/>
    </w:lvl>
    <w:lvl w:ilvl="7" w:tplc="618EF318">
      <w:numFmt w:val="decimal"/>
      <w:lvlText w:val=""/>
      <w:lvlJc w:val="left"/>
    </w:lvl>
    <w:lvl w:ilvl="8" w:tplc="7A0A6B3E">
      <w:numFmt w:val="decimal"/>
      <w:lvlText w:val=""/>
      <w:lvlJc w:val="left"/>
    </w:lvl>
  </w:abstractNum>
  <w:abstractNum w:abstractNumId="562" w15:restartNumberingAfterBreak="0">
    <w:nsid w:val="00004FE0"/>
    <w:multiLevelType w:val="hybridMultilevel"/>
    <w:tmpl w:val="012A17BA"/>
    <w:lvl w:ilvl="0" w:tplc="7E76E9CC">
      <w:start w:val="1"/>
      <w:numFmt w:val="lowerLetter"/>
      <w:lvlText w:val="%1"/>
      <w:lvlJc w:val="left"/>
    </w:lvl>
    <w:lvl w:ilvl="1" w:tplc="B8FAD2EA">
      <w:start w:val="1"/>
      <w:numFmt w:val="lowerRoman"/>
      <w:lvlText w:val="%2."/>
      <w:lvlJc w:val="left"/>
    </w:lvl>
    <w:lvl w:ilvl="2" w:tplc="068A5434">
      <w:numFmt w:val="decimal"/>
      <w:lvlText w:val=""/>
      <w:lvlJc w:val="left"/>
    </w:lvl>
    <w:lvl w:ilvl="3" w:tplc="C3C27786">
      <w:numFmt w:val="decimal"/>
      <w:lvlText w:val=""/>
      <w:lvlJc w:val="left"/>
    </w:lvl>
    <w:lvl w:ilvl="4" w:tplc="CEE23BD6">
      <w:numFmt w:val="decimal"/>
      <w:lvlText w:val=""/>
      <w:lvlJc w:val="left"/>
    </w:lvl>
    <w:lvl w:ilvl="5" w:tplc="D4A09F12">
      <w:numFmt w:val="decimal"/>
      <w:lvlText w:val=""/>
      <w:lvlJc w:val="left"/>
    </w:lvl>
    <w:lvl w:ilvl="6" w:tplc="08DC5D48">
      <w:numFmt w:val="decimal"/>
      <w:lvlText w:val=""/>
      <w:lvlJc w:val="left"/>
    </w:lvl>
    <w:lvl w:ilvl="7" w:tplc="FDB48BEC">
      <w:numFmt w:val="decimal"/>
      <w:lvlText w:val=""/>
      <w:lvlJc w:val="left"/>
    </w:lvl>
    <w:lvl w:ilvl="8" w:tplc="7EF8842C">
      <w:numFmt w:val="decimal"/>
      <w:lvlText w:val=""/>
      <w:lvlJc w:val="left"/>
    </w:lvl>
  </w:abstractNum>
  <w:abstractNum w:abstractNumId="563" w15:restartNumberingAfterBreak="0">
    <w:nsid w:val="00004FFA"/>
    <w:multiLevelType w:val="hybridMultilevel"/>
    <w:tmpl w:val="00BA451E"/>
    <w:lvl w:ilvl="0" w:tplc="DDB88D6E">
      <w:start w:val="1"/>
      <w:numFmt w:val="decimal"/>
      <w:lvlText w:val="%1"/>
      <w:lvlJc w:val="left"/>
    </w:lvl>
    <w:lvl w:ilvl="1" w:tplc="2FAE6E8A">
      <w:start w:val="1"/>
      <w:numFmt w:val="decimal"/>
      <w:lvlText w:val="%2"/>
      <w:lvlJc w:val="left"/>
    </w:lvl>
    <w:lvl w:ilvl="2" w:tplc="035AE204">
      <w:start w:val="4"/>
      <w:numFmt w:val="lowerLetter"/>
      <w:lvlText w:val="(%3)"/>
      <w:lvlJc w:val="left"/>
    </w:lvl>
    <w:lvl w:ilvl="3" w:tplc="687CF6A4">
      <w:start w:val="310"/>
      <w:numFmt w:val="decimal"/>
      <w:lvlText w:val="%4"/>
      <w:lvlJc w:val="left"/>
    </w:lvl>
    <w:lvl w:ilvl="4" w:tplc="9858ECEE">
      <w:numFmt w:val="decimal"/>
      <w:lvlText w:val=""/>
      <w:lvlJc w:val="left"/>
    </w:lvl>
    <w:lvl w:ilvl="5" w:tplc="06E290C8">
      <w:numFmt w:val="decimal"/>
      <w:lvlText w:val=""/>
      <w:lvlJc w:val="left"/>
    </w:lvl>
    <w:lvl w:ilvl="6" w:tplc="EA30E6FA">
      <w:numFmt w:val="decimal"/>
      <w:lvlText w:val=""/>
      <w:lvlJc w:val="left"/>
    </w:lvl>
    <w:lvl w:ilvl="7" w:tplc="C1822E96">
      <w:numFmt w:val="decimal"/>
      <w:lvlText w:val=""/>
      <w:lvlJc w:val="left"/>
    </w:lvl>
    <w:lvl w:ilvl="8" w:tplc="8B246AEA">
      <w:numFmt w:val="decimal"/>
      <w:lvlText w:val=""/>
      <w:lvlJc w:val="left"/>
    </w:lvl>
  </w:abstractNum>
  <w:abstractNum w:abstractNumId="564" w15:restartNumberingAfterBreak="0">
    <w:nsid w:val="00005009"/>
    <w:multiLevelType w:val="hybridMultilevel"/>
    <w:tmpl w:val="ABA0B6D4"/>
    <w:lvl w:ilvl="0" w:tplc="7B5E5982">
      <w:start w:val="1"/>
      <w:numFmt w:val="decimal"/>
      <w:lvlText w:val="(%1)"/>
      <w:lvlJc w:val="left"/>
    </w:lvl>
    <w:lvl w:ilvl="1" w:tplc="663EF402">
      <w:numFmt w:val="decimal"/>
      <w:lvlText w:val=""/>
      <w:lvlJc w:val="left"/>
    </w:lvl>
    <w:lvl w:ilvl="2" w:tplc="B98EF1A8">
      <w:numFmt w:val="decimal"/>
      <w:lvlText w:val=""/>
      <w:lvlJc w:val="left"/>
    </w:lvl>
    <w:lvl w:ilvl="3" w:tplc="6EF6420C">
      <w:numFmt w:val="decimal"/>
      <w:lvlText w:val=""/>
      <w:lvlJc w:val="left"/>
    </w:lvl>
    <w:lvl w:ilvl="4" w:tplc="2EEA3C00">
      <w:numFmt w:val="decimal"/>
      <w:lvlText w:val=""/>
      <w:lvlJc w:val="left"/>
    </w:lvl>
    <w:lvl w:ilvl="5" w:tplc="1C985006">
      <w:numFmt w:val="decimal"/>
      <w:lvlText w:val=""/>
      <w:lvlJc w:val="left"/>
    </w:lvl>
    <w:lvl w:ilvl="6" w:tplc="8D7A1EA6">
      <w:numFmt w:val="decimal"/>
      <w:lvlText w:val=""/>
      <w:lvlJc w:val="left"/>
    </w:lvl>
    <w:lvl w:ilvl="7" w:tplc="1408E6F0">
      <w:numFmt w:val="decimal"/>
      <w:lvlText w:val=""/>
      <w:lvlJc w:val="left"/>
    </w:lvl>
    <w:lvl w:ilvl="8" w:tplc="4372B91E">
      <w:numFmt w:val="decimal"/>
      <w:lvlText w:val=""/>
      <w:lvlJc w:val="left"/>
    </w:lvl>
  </w:abstractNum>
  <w:abstractNum w:abstractNumId="565" w15:restartNumberingAfterBreak="0">
    <w:nsid w:val="0000500D"/>
    <w:multiLevelType w:val="hybridMultilevel"/>
    <w:tmpl w:val="68A2ABBC"/>
    <w:lvl w:ilvl="0" w:tplc="D06C7CCA">
      <w:start w:val="1"/>
      <w:numFmt w:val="lowerLetter"/>
      <w:lvlText w:val="%1"/>
      <w:lvlJc w:val="left"/>
    </w:lvl>
    <w:lvl w:ilvl="1" w:tplc="F0D01CA4">
      <w:start w:val="1"/>
      <w:numFmt w:val="decimal"/>
      <w:lvlText w:val="%2."/>
      <w:lvlJc w:val="left"/>
    </w:lvl>
    <w:lvl w:ilvl="2" w:tplc="25102ED0">
      <w:numFmt w:val="decimal"/>
      <w:lvlText w:val=""/>
      <w:lvlJc w:val="left"/>
    </w:lvl>
    <w:lvl w:ilvl="3" w:tplc="2624819C">
      <w:numFmt w:val="decimal"/>
      <w:lvlText w:val=""/>
      <w:lvlJc w:val="left"/>
    </w:lvl>
    <w:lvl w:ilvl="4" w:tplc="C3DA2B4C">
      <w:numFmt w:val="decimal"/>
      <w:lvlText w:val=""/>
      <w:lvlJc w:val="left"/>
    </w:lvl>
    <w:lvl w:ilvl="5" w:tplc="64BCE426">
      <w:numFmt w:val="decimal"/>
      <w:lvlText w:val=""/>
      <w:lvlJc w:val="left"/>
    </w:lvl>
    <w:lvl w:ilvl="6" w:tplc="237A4704">
      <w:numFmt w:val="decimal"/>
      <w:lvlText w:val=""/>
      <w:lvlJc w:val="left"/>
    </w:lvl>
    <w:lvl w:ilvl="7" w:tplc="F668A504">
      <w:numFmt w:val="decimal"/>
      <w:lvlText w:val=""/>
      <w:lvlJc w:val="left"/>
    </w:lvl>
    <w:lvl w:ilvl="8" w:tplc="08BEB036">
      <w:numFmt w:val="decimal"/>
      <w:lvlText w:val=""/>
      <w:lvlJc w:val="left"/>
    </w:lvl>
  </w:abstractNum>
  <w:abstractNum w:abstractNumId="566" w15:restartNumberingAfterBreak="0">
    <w:nsid w:val="00005030"/>
    <w:multiLevelType w:val="hybridMultilevel"/>
    <w:tmpl w:val="D9AAD89C"/>
    <w:lvl w:ilvl="0" w:tplc="94CA8090">
      <w:start w:val="6"/>
      <w:numFmt w:val="decimal"/>
      <w:lvlText w:val="%1"/>
      <w:lvlJc w:val="left"/>
    </w:lvl>
    <w:lvl w:ilvl="1" w:tplc="A496A7D0">
      <w:start w:val="6"/>
      <w:numFmt w:val="lowerLetter"/>
      <w:lvlText w:val="(%2)"/>
      <w:lvlJc w:val="left"/>
    </w:lvl>
    <w:lvl w:ilvl="2" w:tplc="4B685C44">
      <w:start w:val="1"/>
      <w:numFmt w:val="decimal"/>
      <w:lvlText w:val="%3."/>
      <w:lvlJc w:val="left"/>
    </w:lvl>
    <w:lvl w:ilvl="3" w:tplc="1AD02432">
      <w:start w:val="1"/>
      <w:numFmt w:val="lowerLetter"/>
      <w:lvlText w:val="%4."/>
      <w:lvlJc w:val="left"/>
    </w:lvl>
    <w:lvl w:ilvl="4" w:tplc="FC3ADD5A">
      <w:start w:val="1"/>
      <w:numFmt w:val="lowerRoman"/>
      <w:lvlText w:val="%5."/>
      <w:lvlJc w:val="left"/>
    </w:lvl>
    <w:lvl w:ilvl="5" w:tplc="82625F9E">
      <w:numFmt w:val="decimal"/>
      <w:lvlText w:val=""/>
      <w:lvlJc w:val="left"/>
    </w:lvl>
    <w:lvl w:ilvl="6" w:tplc="C2DC14C4">
      <w:numFmt w:val="decimal"/>
      <w:lvlText w:val=""/>
      <w:lvlJc w:val="left"/>
    </w:lvl>
    <w:lvl w:ilvl="7" w:tplc="F23A64B8">
      <w:numFmt w:val="decimal"/>
      <w:lvlText w:val=""/>
      <w:lvlJc w:val="left"/>
    </w:lvl>
    <w:lvl w:ilvl="8" w:tplc="692C1982">
      <w:numFmt w:val="decimal"/>
      <w:lvlText w:val=""/>
      <w:lvlJc w:val="left"/>
    </w:lvl>
  </w:abstractNum>
  <w:abstractNum w:abstractNumId="567" w15:restartNumberingAfterBreak="0">
    <w:nsid w:val="0000504C"/>
    <w:multiLevelType w:val="hybridMultilevel"/>
    <w:tmpl w:val="C0202576"/>
    <w:lvl w:ilvl="0" w:tplc="AAC6E8FC">
      <w:start w:val="1"/>
      <w:numFmt w:val="decimal"/>
      <w:lvlText w:val="%1"/>
      <w:lvlJc w:val="left"/>
    </w:lvl>
    <w:lvl w:ilvl="1" w:tplc="A21ECCFC">
      <w:start w:val="1"/>
      <w:numFmt w:val="lowerLetter"/>
      <w:lvlText w:val="%2"/>
      <w:lvlJc w:val="left"/>
    </w:lvl>
    <w:lvl w:ilvl="2" w:tplc="75D60E0E">
      <w:start w:val="1"/>
      <w:numFmt w:val="decimal"/>
      <w:lvlText w:val="%3"/>
      <w:lvlJc w:val="left"/>
    </w:lvl>
    <w:lvl w:ilvl="3" w:tplc="9CEC8DD0">
      <w:start w:val="3"/>
      <w:numFmt w:val="lowerLetter"/>
      <w:lvlText w:val="%4."/>
      <w:lvlJc w:val="left"/>
    </w:lvl>
    <w:lvl w:ilvl="4" w:tplc="0C709F62">
      <w:start w:val="1"/>
      <w:numFmt w:val="lowerRoman"/>
      <w:lvlText w:val="%5."/>
      <w:lvlJc w:val="left"/>
    </w:lvl>
    <w:lvl w:ilvl="5" w:tplc="F754EF94">
      <w:numFmt w:val="decimal"/>
      <w:lvlText w:val=""/>
      <w:lvlJc w:val="left"/>
    </w:lvl>
    <w:lvl w:ilvl="6" w:tplc="9566F9AC">
      <w:numFmt w:val="decimal"/>
      <w:lvlText w:val=""/>
      <w:lvlJc w:val="left"/>
    </w:lvl>
    <w:lvl w:ilvl="7" w:tplc="C29A042E">
      <w:numFmt w:val="decimal"/>
      <w:lvlText w:val=""/>
      <w:lvlJc w:val="left"/>
    </w:lvl>
    <w:lvl w:ilvl="8" w:tplc="C65EBA2C">
      <w:numFmt w:val="decimal"/>
      <w:lvlText w:val=""/>
      <w:lvlJc w:val="left"/>
    </w:lvl>
  </w:abstractNum>
  <w:abstractNum w:abstractNumId="568" w15:restartNumberingAfterBreak="0">
    <w:nsid w:val="00005061"/>
    <w:multiLevelType w:val="hybridMultilevel"/>
    <w:tmpl w:val="963A9D10"/>
    <w:lvl w:ilvl="0" w:tplc="E8686646">
      <w:start w:val="2"/>
      <w:numFmt w:val="decimal"/>
      <w:lvlText w:val="%1."/>
      <w:lvlJc w:val="left"/>
    </w:lvl>
    <w:lvl w:ilvl="1" w:tplc="2242A162">
      <w:start w:val="1"/>
      <w:numFmt w:val="lowerLetter"/>
      <w:lvlText w:val="%2."/>
      <w:lvlJc w:val="left"/>
    </w:lvl>
    <w:lvl w:ilvl="2" w:tplc="B2EA5B7A">
      <w:start w:val="1"/>
      <w:numFmt w:val="lowerRoman"/>
      <w:lvlText w:val="%3"/>
      <w:lvlJc w:val="left"/>
    </w:lvl>
    <w:lvl w:ilvl="3" w:tplc="E7A42A36">
      <w:numFmt w:val="decimal"/>
      <w:lvlText w:val=""/>
      <w:lvlJc w:val="left"/>
    </w:lvl>
    <w:lvl w:ilvl="4" w:tplc="C37E714E">
      <w:numFmt w:val="decimal"/>
      <w:lvlText w:val=""/>
      <w:lvlJc w:val="left"/>
    </w:lvl>
    <w:lvl w:ilvl="5" w:tplc="1A64E726">
      <w:numFmt w:val="decimal"/>
      <w:lvlText w:val=""/>
      <w:lvlJc w:val="left"/>
    </w:lvl>
    <w:lvl w:ilvl="6" w:tplc="23689074">
      <w:numFmt w:val="decimal"/>
      <w:lvlText w:val=""/>
      <w:lvlJc w:val="left"/>
    </w:lvl>
    <w:lvl w:ilvl="7" w:tplc="40A09C02">
      <w:numFmt w:val="decimal"/>
      <w:lvlText w:val=""/>
      <w:lvlJc w:val="left"/>
    </w:lvl>
    <w:lvl w:ilvl="8" w:tplc="80C0CBCC">
      <w:numFmt w:val="decimal"/>
      <w:lvlText w:val=""/>
      <w:lvlJc w:val="left"/>
    </w:lvl>
  </w:abstractNum>
  <w:abstractNum w:abstractNumId="569" w15:restartNumberingAfterBreak="0">
    <w:nsid w:val="00005072"/>
    <w:multiLevelType w:val="hybridMultilevel"/>
    <w:tmpl w:val="9344FBE6"/>
    <w:lvl w:ilvl="0" w:tplc="30629772">
      <w:start w:val="1"/>
      <w:numFmt w:val="decimal"/>
      <w:lvlText w:val="%1"/>
      <w:lvlJc w:val="left"/>
    </w:lvl>
    <w:lvl w:ilvl="1" w:tplc="61685878">
      <w:start w:val="11"/>
      <w:numFmt w:val="lowerLetter"/>
      <w:lvlText w:val="(%2)"/>
      <w:lvlJc w:val="left"/>
    </w:lvl>
    <w:lvl w:ilvl="2" w:tplc="6E566412">
      <w:start w:val="1"/>
      <w:numFmt w:val="decimal"/>
      <w:lvlText w:val="%3"/>
      <w:lvlJc w:val="left"/>
    </w:lvl>
    <w:lvl w:ilvl="3" w:tplc="6200118E">
      <w:numFmt w:val="decimal"/>
      <w:lvlText w:val=""/>
      <w:lvlJc w:val="left"/>
    </w:lvl>
    <w:lvl w:ilvl="4" w:tplc="D552551C">
      <w:numFmt w:val="decimal"/>
      <w:lvlText w:val=""/>
      <w:lvlJc w:val="left"/>
    </w:lvl>
    <w:lvl w:ilvl="5" w:tplc="9EF6B538">
      <w:numFmt w:val="decimal"/>
      <w:lvlText w:val=""/>
      <w:lvlJc w:val="left"/>
    </w:lvl>
    <w:lvl w:ilvl="6" w:tplc="B5BEB6A6">
      <w:numFmt w:val="decimal"/>
      <w:lvlText w:val=""/>
      <w:lvlJc w:val="left"/>
    </w:lvl>
    <w:lvl w:ilvl="7" w:tplc="9BC68F38">
      <w:numFmt w:val="decimal"/>
      <w:lvlText w:val=""/>
      <w:lvlJc w:val="left"/>
    </w:lvl>
    <w:lvl w:ilvl="8" w:tplc="D83C252C">
      <w:numFmt w:val="decimal"/>
      <w:lvlText w:val=""/>
      <w:lvlJc w:val="left"/>
    </w:lvl>
  </w:abstractNum>
  <w:abstractNum w:abstractNumId="570" w15:restartNumberingAfterBreak="0">
    <w:nsid w:val="000050A0"/>
    <w:multiLevelType w:val="hybridMultilevel"/>
    <w:tmpl w:val="F672266E"/>
    <w:lvl w:ilvl="0" w:tplc="97BEC4EE">
      <w:start w:val="7"/>
      <w:numFmt w:val="decimal"/>
      <w:lvlText w:val="%1."/>
      <w:lvlJc w:val="left"/>
    </w:lvl>
    <w:lvl w:ilvl="1" w:tplc="7826C750">
      <w:start w:val="1"/>
      <w:numFmt w:val="lowerLetter"/>
      <w:lvlText w:val="%2."/>
      <w:lvlJc w:val="left"/>
    </w:lvl>
    <w:lvl w:ilvl="2" w:tplc="CA6E6E32">
      <w:numFmt w:val="decimal"/>
      <w:lvlText w:val=""/>
      <w:lvlJc w:val="left"/>
    </w:lvl>
    <w:lvl w:ilvl="3" w:tplc="171E5B46">
      <w:numFmt w:val="decimal"/>
      <w:lvlText w:val=""/>
      <w:lvlJc w:val="left"/>
    </w:lvl>
    <w:lvl w:ilvl="4" w:tplc="DF6E1E62">
      <w:numFmt w:val="decimal"/>
      <w:lvlText w:val=""/>
      <w:lvlJc w:val="left"/>
    </w:lvl>
    <w:lvl w:ilvl="5" w:tplc="E1B68DA4">
      <w:numFmt w:val="decimal"/>
      <w:lvlText w:val=""/>
      <w:lvlJc w:val="left"/>
    </w:lvl>
    <w:lvl w:ilvl="6" w:tplc="2F8C9A2A">
      <w:numFmt w:val="decimal"/>
      <w:lvlText w:val=""/>
      <w:lvlJc w:val="left"/>
    </w:lvl>
    <w:lvl w:ilvl="7" w:tplc="AF64FF5A">
      <w:numFmt w:val="decimal"/>
      <w:lvlText w:val=""/>
      <w:lvlJc w:val="left"/>
    </w:lvl>
    <w:lvl w:ilvl="8" w:tplc="A36AACA0">
      <w:numFmt w:val="decimal"/>
      <w:lvlText w:val=""/>
      <w:lvlJc w:val="left"/>
    </w:lvl>
  </w:abstractNum>
  <w:abstractNum w:abstractNumId="571" w15:restartNumberingAfterBreak="0">
    <w:nsid w:val="000050AC"/>
    <w:multiLevelType w:val="hybridMultilevel"/>
    <w:tmpl w:val="20AA998C"/>
    <w:lvl w:ilvl="0" w:tplc="21843B86">
      <w:start w:val="1"/>
      <w:numFmt w:val="decimal"/>
      <w:lvlText w:val="%1"/>
      <w:lvlJc w:val="left"/>
    </w:lvl>
    <w:lvl w:ilvl="1" w:tplc="17A43506">
      <w:start w:val="1"/>
      <w:numFmt w:val="lowerLetter"/>
      <w:lvlText w:val="%2"/>
      <w:lvlJc w:val="left"/>
    </w:lvl>
    <w:lvl w:ilvl="2" w:tplc="A15CB03C">
      <w:start w:val="8"/>
      <w:numFmt w:val="decimal"/>
      <w:lvlText w:val="%3."/>
      <w:lvlJc w:val="left"/>
    </w:lvl>
    <w:lvl w:ilvl="3" w:tplc="A0A8FB70">
      <w:numFmt w:val="decimal"/>
      <w:lvlText w:val=""/>
      <w:lvlJc w:val="left"/>
    </w:lvl>
    <w:lvl w:ilvl="4" w:tplc="B310E706">
      <w:numFmt w:val="decimal"/>
      <w:lvlText w:val=""/>
      <w:lvlJc w:val="left"/>
    </w:lvl>
    <w:lvl w:ilvl="5" w:tplc="6D12AF5A">
      <w:numFmt w:val="decimal"/>
      <w:lvlText w:val=""/>
      <w:lvlJc w:val="left"/>
    </w:lvl>
    <w:lvl w:ilvl="6" w:tplc="7CD099E6">
      <w:numFmt w:val="decimal"/>
      <w:lvlText w:val=""/>
      <w:lvlJc w:val="left"/>
    </w:lvl>
    <w:lvl w:ilvl="7" w:tplc="7EC61558">
      <w:numFmt w:val="decimal"/>
      <w:lvlText w:val=""/>
      <w:lvlJc w:val="left"/>
    </w:lvl>
    <w:lvl w:ilvl="8" w:tplc="53626E1A">
      <w:numFmt w:val="decimal"/>
      <w:lvlText w:val=""/>
      <w:lvlJc w:val="left"/>
    </w:lvl>
  </w:abstractNum>
  <w:abstractNum w:abstractNumId="572" w15:restartNumberingAfterBreak="0">
    <w:nsid w:val="000050B7"/>
    <w:multiLevelType w:val="hybridMultilevel"/>
    <w:tmpl w:val="C602E562"/>
    <w:lvl w:ilvl="0" w:tplc="A336CDD0">
      <w:start w:val="1"/>
      <w:numFmt w:val="decimal"/>
      <w:lvlText w:val="%1"/>
      <w:lvlJc w:val="left"/>
    </w:lvl>
    <w:lvl w:ilvl="1" w:tplc="5C8CC588">
      <w:start w:val="1"/>
      <w:numFmt w:val="lowerLetter"/>
      <w:lvlText w:val="%2"/>
      <w:lvlJc w:val="left"/>
    </w:lvl>
    <w:lvl w:ilvl="2" w:tplc="6DC81178">
      <w:start w:val="1"/>
      <w:numFmt w:val="decimal"/>
      <w:lvlText w:val="%3."/>
      <w:lvlJc w:val="left"/>
    </w:lvl>
    <w:lvl w:ilvl="3" w:tplc="6C709D96">
      <w:start w:val="1"/>
      <w:numFmt w:val="lowerLetter"/>
      <w:lvlText w:val="%4"/>
      <w:lvlJc w:val="left"/>
    </w:lvl>
    <w:lvl w:ilvl="4" w:tplc="F252FBA4">
      <w:numFmt w:val="decimal"/>
      <w:lvlText w:val=""/>
      <w:lvlJc w:val="left"/>
    </w:lvl>
    <w:lvl w:ilvl="5" w:tplc="45F087AA">
      <w:numFmt w:val="decimal"/>
      <w:lvlText w:val=""/>
      <w:lvlJc w:val="left"/>
    </w:lvl>
    <w:lvl w:ilvl="6" w:tplc="2206C28A">
      <w:numFmt w:val="decimal"/>
      <w:lvlText w:val=""/>
      <w:lvlJc w:val="left"/>
    </w:lvl>
    <w:lvl w:ilvl="7" w:tplc="AB44F43E">
      <w:numFmt w:val="decimal"/>
      <w:lvlText w:val=""/>
      <w:lvlJc w:val="left"/>
    </w:lvl>
    <w:lvl w:ilvl="8" w:tplc="93105FA2">
      <w:numFmt w:val="decimal"/>
      <w:lvlText w:val=""/>
      <w:lvlJc w:val="left"/>
    </w:lvl>
  </w:abstractNum>
  <w:abstractNum w:abstractNumId="573" w15:restartNumberingAfterBreak="0">
    <w:nsid w:val="000050BA"/>
    <w:multiLevelType w:val="hybridMultilevel"/>
    <w:tmpl w:val="36EA2D58"/>
    <w:lvl w:ilvl="0" w:tplc="F25405CA">
      <w:start w:val="1"/>
      <w:numFmt w:val="lowerLetter"/>
      <w:lvlText w:val="%1"/>
      <w:lvlJc w:val="left"/>
    </w:lvl>
    <w:lvl w:ilvl="1" w:tplc="8BE41F36">
      <w:start w:val="3"/>
      <w:numFmt w:val="decimal"/>
      <w:lvlText w:val="%2."/>
      <w:lvlJc w:val="left"/>
    </w:lvl>
    <w:lvl w:ilvl="2" w:tplc="DE4C8DFE">
      <w:numFmt w:val="decimal"/>
      <w:lvlText w:val=""/>
      <w:lvlJc w:val="left"/>
    </w:lvl>
    <w:lvl w:ilvl="3" w:tplc="D33EAE22">
      <w:numFmt w:val="decimal"/>
      <w:lvlText w:val=""/>
      <w:lvlJc w:val="left"/>
    </w:lvl>
    <w:lvl w:ilvl="4" w:tplc="D3420E14">
      <w:numFmt w:val="decimal"/>
      <w:lvlText w:val=""/>
      <w:lvlJc w:val="left"/>
    </w:lvl>
    <w:lvl w:ilvl="5" w:tplc="72F218C4">
      <w:numFmt w:val="decimal"/>
      <w:lvlText w:val=""/>
      <w:lvlJc w:val="left"/>
    </w:lvl>
    <w:lvl w:ilvl="6" w:tplc="9C9EDEC2">
      <w:numFmt w:val="decimal"/>
      <w:lvlText w:val=""/>
      <w:lvlJc w:val="left"/>
    </w:lvl>
    <w:lvl w:ilvl="7" w:tplc="76C61C36">
      <w:numFmt w:val="decimal"/>
      <w:lvlText w:val=""/>
      <w:lvlJc w:val="left"/>
    </w:lvl>
    <w:lvl w:ilvl="8" w:tplc="8DE8647A">
      <w:numFmt w:val="decimal"/>
      <w:lvlText w:val=""/>
      <w:lvlJc w:val="left"/>
    </w:lvl>
  </w:abstractNum>
  <w:abstractNum w:abstractNumId="574" w15:restartNumberingAfterBreak="0">
    <w:nsid w:val="000050BB"/>
    <w:multiLevelType w:val="hybridMultilevel"/>
    <w:tmpl w:val="14043DBA"/>
    <w:lvl w:ilvl="0" w:tplc="7DCA3C58">
      <w:start w:val="1"/>
      <w:numFmt w:val="decimal"/>
      <w:lvlText w:val="%1"/>
      <w:lvlJc w:val="left"/>
    </w:lvl>
    <w:lvl w:ilvl="1" w:tplc="4AA2B68E">
      <w:start w:val="5"/>
      <w:numFmt w:val="lowerLetter"/>
      <w:lvlText w:val="(%2)"/>
      <w:lvlJc w:val="left"/>
    </w:lvl>
    <w:lvl w:ilvl="2" w:tplc="DDE2A342">
      <w:start w:val="1"/>
      <w:numFmt w:val="decimal"/>
      <w:lvlText w:val="%3."/>
      <w:lvlJc w:val="left"/>
    </w:lvl>
    <w:lvl w:ilvl="3" w:tplc="AB7E6CEC">
      <w:start w:val="1"/>
      <w:numFmt w:val="lowerLetter"/>
      <w:lvlText w:val="%4"/>
      <w:lvlJc w:val="left"/>
    </w:lvl>
    <w:lvl w:ilvl="4" w:tplc="F29A824E">
      <w:numFmt w:val="decimal"/>
      <w:lvlText w:val=""/>
      <w:lvlJc w:val="left"/>
    </w:lvl>
    <w:lvl w:ilvl="5" w:tplc="6742D96E">
      <w:numFmt w:val="decimal"/>
      <w:lvlText w:val=""/>
      <w:lvlJc w:val="left"/>
    </w:lvl>
    <w:lvl w:ilvl="6" w:tplc="D8F83DC2">
      <w:numFmt w:val="decimal"/>
      <w:lvlText w:val=""/>
      <w:lvlJc w:val="left"/>
    </w:lvl>
    <w:lvl w:ilvl="7" w:tplc="84425B14">
      <w:numFmt w:val="decimal"/>
      <w:lvlText w:val=""/>
      <w:lvlJc w:val="left"/>
    </w:lvl>
    <w:lvl w:ilvl="8" w:tplc="A63E11D8">
      <w:numFmt w:val="decimal"/>
      <w:lvlText w:val=""/>
      <w:lvlJc w:val="left"/>
    </w:lvl>
  </w:abstractNum>
  <w:abstractNum w:abstractNumId="575" w15:restartNumberingAfterBreak="0">
    <w:nsid w:val="000050C3"/>
    <w:multiLevelType w:val="hybridMultilevel"/>
    <w:tmpl w:val="A0BE0F10"/>
    <w:lvl w:ilvl="0" w:tplc="21C866A6">
      <w:start w:val="1"/>
      <w:numFmt w:val="decimal"/>
      <w:lvlText w:val="%1"/>
      <w:lvlJc w:val="left"/>
    </w:lvl>
    <w:lvl w:ilvl="1" w:tplc="85045B00">
      <w:start w:val="1"/>
      <w:numFmt w:val="lowerLetter"/>
      <w:lvlText w:val="%2"/>
      <w:lvlJc w:val="left"/>
    </w:lvl>
    <w:lvl w:ilvl="2" w:tplc="7632DC18">
      <w:start w:val="1"/>
      <w:numFmt w:val="decimal"/>
      <w:lvlText w:val="%3"/>
      <w:lvlJc w:val="left"/>
    </w:lvl>
    <w:lvl w:ilvl="3" w:tplc="31889742">
      <w:start w:val="1"/>
      <w:numFmt w:val="lowerLetter"/>
      <w:lvlText w:val="%4."/>
      <w:lvlJc w:val="left"/>
    </w:lvl>
    <w:lvl w:ilvl="4" w:tplc="660C5DA2">
      <w:numFmt w:val="decimal"/>
      <w:lvlText w:val=""/>
      <w:lvlJc w:val="left"/>
    </w:lvl>
    <w:lvl w:ilvl="5" w:tplc="74B6E780">
      <w:numFmt w:val="decimal"/>
      <w:lvlText w:val=""/>
      <w:lvlJc w:val="left"/>
    </w:lvl>
    <w:lvl w:ilvl="6" w:tplc="B382FC26">
      <w:numFmt w:val="decimal"/>
      <w:lvlText w:val=""/>
      <w:lvlJc w:val="left"/>
    </w:lvl>
    <w:lvl w:ilvl="7" w:tplc="CEC86110">
      <w:numFmt w:val="decimal"/>
      <w:lvlText w:val=""/>
      <w:lvlJc w:val="left"/>
    </w:lvl>
    <w:lvl w:ilvl="8" w:tplc="F6666862">
      <w:numFmt w:val="decimal"/>
      <w:lvlText w:val=""/>
      <w:lvlJc w:val="left"/>
    </w:lvl>
  </w:abstractNum>
  <w:abstractNum w:abstractNumId="576" w15:restartNumberingAfterBreak="0">
    <w:nsid w:val="000050EE"/>
    <w:multiLevelType w:val="hybridMultilevel"/>
    <w:tmpl w:val="28907070"/>
    <w:lvl w:ilvl="0" w:tplc="14B4BC00">
      <w:start w:val="3"/>
      <w:numFmt w:val="lowerLetter"/>
      <w:lvlText w:val="%1."/>
      <w:lvlJc w:val="left"/>
    </w:lvl>
    <w:lvl w:ilvl="1" w:tplc="D83CFF56">
      <w:numFmt w:val="decimal"/>
      <w:lvlText w:val=""/>
      <w:lvlJc w:val="left"/>
    </w:lvl>
    <w:lvl w:ilvl="2" w:tplc="139C88EC">
      <w:numFmt w:val="decimal"/>
      <w:lvlText w:val=""/>
      <w:lvlJc w:val="left"/>
    </w:lvl>
    <w:lvl w:ilvl="3" w:tplc="4824E1F0">
      <w:numFmt w:val="decimal"/>
      <w:lvlText w:val=""/>
      <w:lvlJc w:val="left"/>
    </w:lvl>
    <w:lvl w:ilvl="4" w:tplc="4A283A20">
      <w:numFmt w:val="decimal"/>
      <w:lvlText w:val=""/>
      <w:lvlJc w:val="left"/>
    </w:lvl>
    <w:lvl w:ilvl="5" w:tplc="6082C62C">
      <w:numFmt w:val="decimal"/>
      <w:lvlText w:val=""/>
      <w:lvlJc w:val="left"/>
    </w:lvl>
    <w:lvl w:ilvl="6" w:tplc="064832F8">
      <w:numFmt w:val="decimal"/>
      <w:lvlText w:val=""/>
      <w:lvlJc w:val="left"/>
    </w:lvl>
    <w:lvl w:ilvl="7" w:tplc="DEE80E3E">
      <w:numFmt w:val="decimal"/>
      <w:lvlText w:val=""/>
      <w:lvlJc w:val="left"/>
    </w:lvl>
    <w:lvl w:ilvl="8" w:tplc="B47A252C">
      <w:numFmt w:val="decimal"/>
      <w:lvlText w:val=""/>
      <w:lvlJc w:val="left"/>
    </w:lvl>
  </w:abstractNum>
  <w:abstractNum w:abstractNumId="577" w15:restartNumberingAfterBreak="0">
    <w:nsid w:val="0000513F"/>
    <w:multiLevelType w:val="hybridMultilevel"/>
    <w:tmpl w:val="327E9D54"/>
    <w:lvl w:ilvl="0" w:tplc="1B40D95A">
      <w:start w:val="6"/>
      <w:numFmt w:val="decimal"/>
      <w:lvlText w:val="%1."/>
      <w:lvlJc w:val="left"/>
    </w:lvl>
    <w:lvl w:ilvl="1" w:tplc="ED00D67A">
      <w:start w:val="1"/>
      <w:numFmt w:val="lowerLetter"/>
      <w:lvlText w:val="%2"/>
      <w:lvlJc w:val="left"/>
    </w:lvl>
    <w:lvl w:ilvl="2" w:tplc="BAFA9C76">
      <w:start w:val="1"/>
      <w:numFmt w:val="lowerRoman"/>
      <w:lvlText w:val="%3."/>
      <w:lvlJc w:val="left"/>
    </w:lvl>
    <w:lvl w:ilvl="3" w:tplc="E62CEA52">
      <w:numFmt w:val="decimal"/>
      <w:lvlText w:val=""/>
      <w:lvlJc w:val="left"/>
    </w:lvl>
    <w:lvl w:ilvl="4" w:tplc="0E88BF0A">
      <w:numFmt w:val="decimal"/>
      <w:lvlText w:val=""/>
      <w:lvlJc w:val="left"/>
    </w:lvl>
    <w:lvl w:ilvl="5" w:tplc="938E2ED4">
      <w:numFmt w:val="decimal"/>
      <w:lvlText w:val=""/>
      <w:lvlJc w:val="left"/>
    </w:lvl>
    <w:lvl w:ilvl="6" w:tplc="D3749710">
      <w:numFmt w:val="decimal"/>
      <w:lvlText w:val=""/>
      <w:lvlJc w:val="left"/>
    </w:lvl>
    <w:lvl w:ilvl="7" w:tplc="EAF6A28A">
      <w:numFmt w:val="decimal"/>
      <w:lvlText w:val=""/>
      <w:lvlJc w:val="left"/>
    </w:lvl>
    <w:lvl w:ilvl="8" w:tplc="01BE22EA">
      <w:numFmt w:val="decimal"/>
      <w:lvlText w:val=""/>
      <w:lvlJc w:val="left"/>
    </w:lvl>
  </w:abstractNum>
  <w:abstractNum w:abstractNumId="578" w15:restartNumberingAfterBreak="0">
    <w:nsid w:val="00005147"/>
    <w:multiLevelType w:val="hybridMultilevel"/>
    <w:tmpl w:val="40625A5A"/>
    <w:lvl w:ilvl="0" w:tplc="9ADC961A">
      <w:start w:val="8"/>
      <w:numFmt w:val="decimal"/>
      <w:lvlText w:val="(%1)"/>
      <w:lvlJc w:val="left"/>
    </w:lvl>
    <w:lvl w:ilvl="1" w:tplc="D8605494">
      <w:start w:val="1"/>
      <w:numFmt w:val="lowerLetter"/>
      <w:lvlText w:val="(%2)"/>
      <w:lvlJc w:val="left"/>
    </w:lvl>
    <w:lvl w:ilvl="2" w:tplc="3F26037C">
      <w:start w:val="1"/>
      <w:numFmt w:val="decimal"/>
      <w:lvlText w:val="%3."/>
      <w:lvlJc w:val="left"/>
    </w:lvl>
    <w:lvl w:ilvl="3" w:tplc="0A12BEEE">
      <w:start w:val="1"/>
      <w:numFmt w:val="lowerLetter"/>
      <w:lvlText w:val="%4."/>
      <w:lvlJc w:val="left"/>
    </w:lvl>
    <w:lvl w:ilvl="4" w:tplc="4E2A0A06">
      <w:numFmt w:val="decimal"/>
      <w:lvlText w:val=""/>
      <w:lvlJc w:val="left"/>
    </w:lvl>
    <w:lvl w:ilvl="5" w:tplc="FCC6FE0C">
      <w:numFmt w:val="decimal"/>
      <w:lvlText w:val=""/>
      <w:lvlJc w:val="left"/>
    </w:lvl>
    <w:lvl w:ilvl="6" w:tplc="BC6AD836">
      <w:numFmt w:val="decimal"/>
      <w:lvlText w:val=""/>
      <w:lvlJc w:val="left"/>
    </w:lvl>
    <w:lvl w:ilvl="7" w:tplc="4F0CD994">
      <w:numFmt w:val="decimal"/>
      <w:lvlText w:val=""/>
      <w:lvlJc w:val="left"/>
    </w:lvl>
    <w:lvl w:ilvl="8" w:tplc="A2C01F16">
      <w:numFmt w:val="decimal"/>
      <w:lvlText w:val=""/>
      <w:lvlJc w:val="left"/>
    </w:lvl>
  </w:abstractNum>
  <w:abstractNum w:abstractNumId="579" w15:restartNumberingAfterBreak="0">
    <w:nsid w:val="00005177"/>
    <w:multiLevelType w:val="hybridMultilevel"/>
    <w:tmpl w:val="B53C74A4"/>
    <w:lvl w:ilvl="0" w:tplc="569AC1D2">
      <w:start w:val="1"/>
      <w:numFmt w:val="decimal"/>
      <w:lvlText w:val="%1"/>
      <w:lvlJc w:val="left"/>
    </w:lvl>
    <w:lvl w:ilvl="1" w:tplc="1D8E55A2">
      <w:start w:val="1"/>
      <w:numFmt w:val="lowerLetter"/>
      <w:lvlText w:val="%2"/>
      <w:lvlJc w:val="left"/>
    </w:lvl>
    <w:lvl w:ilvl="2" w:tplc="B7A49DDC">
      <w:start w:val="2"/>
      <w:numFmt w:val="decimal"/>
      <w:lvlText w:val="%3."/>
      <w:lvlJc w:val="left"/>
    </w:lvl>
    <w:lvl w:ilvl="3" w:tplc="AE58F784">
      <w:numFmt w:val="decimal"/>
      <w:lvlText w:val=""/>
      <w:lvlJc w:val="left"/>
    </w:lvl>
    <w:lvl w:ilvl="4" w:tplc="304ADC14">
      <w:numFmt w:val="decimal"/>
      <w:lvlText w:val=""/>
      <w:lvlJc w:val="left"/>
    </w:lvl>
    <w:lvl w:ilvl="5" w:tplc="9FC6095E">
      <w:numFmt w:val="decimal"/>
      <w:lvlText w:val=""/>
      <w:lvlJc w:val="left"/>
    </w:lvl>
    <w:lvl w:ilvl="6" w:tplc="AE2C777E">
      <w:numFmt w:val="decimal"/>
      <w:lvlText w:val=""/>
      <w:lvlJc w:val="left"/>
    </w:lvl>
    <w:lvl w:ilvl="7" w:tplc="79C603E8">
      <w:numFmt w:val="decimal"/>
      <w:lvlText w:val=""/>
      <w:lvlJc w:val="left"/>
    </w:lvl>
    <w:lvl w:ilvl="8" w:tplc="4ABCA0E0">
      <w:numFmt w:val="decimal"/>
      <w:lvlText w:val=""/>
      <w:lvlJc w:val="left"/>
    </w:lvl>
  </w:abstractNum>
  <w:abstractNum w:abstractNumId="580" w15:restartNumberingAfterBreak="0">
    <w:nsid w:val="000051A3"/>
    <w:multiLevelType w:val="hybridMultilevel"/>
    <w:tmpl w:val="DE98F768"/>
    <w:lvl w:ilvl="0" w:tplc="1170773A">
      <w:start w:val="1"/>
      <w:numFmt w:val="decimal"/>
      <w:lvlText w:val="%1"/>
      <w:lvlJc w:val="left"/>
    </w:lvl>
    <w:lvl w:ilvl="1" w:tplc="66623642">
      <w:start w:val="1"/>
      <w:numFmt w:val="lowerLetter"/>
      <w:lvlText w:val="%2"/>
      <w:lvlJc w:val="left"/>
    </w:lvl>
    <w:lvl w:ilvl="2" w:tplc="0A968C54">
      <w:start w:val="310"/>
      <w:numFmt w:val="decimal"/>
      <w:lvlText w:val="%3"/>
      <w:lvlJc w:val="left"/>
    </w:lvl>
    <w:lvl w:ilvl="3" w:tplc="180CE0E0">
      <w:numFmt w:val="decimal"/>
      <w:lvlText w:val=""/>
      <w:lvlJc w:val="left"/>
    </w:lvl>
    <w:lvl w:ilvl="4" w:tplc="74602972">
      <w:numFmt w:val="decimal"/>
      <w:lvlText w:val=""/>
      <w:lvlJc w:val="left"/>
    </w:lvl>
    <w:lvl w:ilvl="5" w:tplc="830CE908">
      <w:numFmt w:val="decimal"/>
      <w:lvlText w:val=""/>
      <w:lvlJc w:val="left"/>
    </w:lvl>
    <w:lvl w:ilvl="6" w:tplc="5D46E196">
      <w:numFmt w:val="decimal"/>
      <w:lvlText w:val=""/>
      <w:lvlJc w:val="left"/>
    </w:lvl>
    <w:lvl w:ilvl="7" w:tplc="F5124E94">
      <w:numFmt w:val="decimal"/>
      <w:lvlText w:val=""/>
      <w:lvlJc w:val="left"/>
    </w:lvl>
    <w:lvl w:ilvl="8" w:tplc="0548D5A4">
      <w:numFmt w:val="decimal"/>
      <w:lvlText w:val=""/>
      <w:lvlJc w:val="left"/>
    </w:lvl>
  </w:abstractNum>
  <w:abstractNum w:abstractNumId="581" w15:restartNumberingAfterBreak="0">
    <w:nsid w:val="000051E8"/>
    <w:multiLevelType w:val="hybridMultilevel"/>
    <w:tmpl w:val="9E86FF7C"/>
    <w:lvl w:ilvl="0" w:tplc="F1B65420">
      <w:start w:val="5"/>
      <w:numFmt w:val="lowerLetter"/>
      <w:lvlText w:val="(%1)"/>
      <w:lvlJc w:val="left"/>
    </w:lvl>
    <w:lvl w:ilvl="1" w:tplc="C28023DE">
      <w:start w:val="1"/>
      <w:numFmt w:val="decimal"/>
      <w:lvlText w:val="%2."/>
      <w:lvlJc w:val="left"/>
    </w:lvl>
    <w:lvl w:ilvl="2" w:tplc="5AF4A990">
      <w:numFmt w:val="decimal"/>
      <w:lvlText w:val=""/>
      <w:lvlJc w:val="left"/>
    </w:lvl>
    <w:lvl w:ilvl="3" w:tplc="982663F4">
      <w:numFmt w:val="decimal"/>
      <w:lvlText w:val=""/>
      <w:lvlJc w:val="left"/>
    </w:lvl>
    <w:lvl w:ilvl="4" w:tplc="01EE79C2">
      <w:numFmt w:val="decimal"/>
      <w:lvlText w:val=""/>
      <w:lvlJc w:val="left"/>
    </w:lvl>
    <w:lvl w:ilvl="5" w:tplc="8BF24070">
      <w:numFmt w:val="decimal"/>
      <w:lvlText w:val=""/>
      <w:lvlJc w:val="left"/>
    </w:lvl>
    <w:lvl w:ilvl="6" w:tplc="6C324038">
      <w:numFmt w:val="decimal"/>
      <w:lvlText w:val=""/>
      <w:lvlJc w:val="left"/>
    </w:lvl>
    <w:lvl w:ilvl="7" w:tplc="FD4E2EC2">
      <w:numFmt w:val="decimal"/>
      <w:lvlText w:val=""/>
      <w:lvlJc w:val="left"/>
    </w:lvl>
    <w:lvl w:ilvl="8" w:tplc="47A4E91C">
      <w:numFmt w:val="decimal"/>
      <w:lvlText w:val=""/>
      <w:lvlJc w:val="left"/>
    </w:lvl>
  </w:abstractNum>
  <w:abstractNum w:abstractNumId="582" w15:restartNumberingAfterBreak="0">
    <w:nsid w:val="000051EC"/>
    <w:multiLevelType w:val="hybridMultilevel"/>
    <w:tmpl w:val="8A984B82"/>
    <w:lvl w:ilvl="0" w:tplc="50F056FE">
      <w:start w:val="1"/>
      <w:numFmt w:val="decimal"/>
      <w:lvlText w:val="%1"/>
      <w:lvlJc w:val="left"/>
    </w:lvl>
    <w:lvl w:ilvl="1" w:tplc="B470A674">
      <w:start w:val="1"/>
      <w:numFmt w:val="lowerLetter"/>
      <w:lvlText w:val="(%2)"/>
      <w:lvlJc w:val="left"/>
    </w:lvl>
    <w:lvl w:ilvl="2" w:tplc="211E03EE">
      <w:start w:val="1"/>
      <w:numFmt w:val="decimal"/>
      <w:lvlText w:val="%3."/>
      <w:lvlJc w:val="left"/>
    </w:lvl>
    <w:lvl w:ilvl="3" w:tplc="17B610E4">
      <w:numFmt w:val="decimal"/>
      <w:lvlText w:val=""/>
      <w:lvlJc w:val="left"/>
    </w:lvl>
    <w:lvl w:ilvl="4" w:tplc="4B601FBA">
      <w:numFmt w:val="decimal"/>
      <w:lvlText w:val=""/>
      <w:lvlJc w:val="left"/>
    </w:lvl>
    <w:lvl w:ilvl="5" w:tplc="A6F0BF84">
      <w:numFmt w:val="decimal"/>
      <w:lvlText w:val=""/>
      <w:lvlJc w:val="left"/>
    </w:lvl>
    <w:lvl w:ilvl="6" w:tplc="9EF49E24">
      <w:numFmt w:val="decimal"/>
      <w:lvlText w:val=""/>
      <w:lvlJc w:val="left"/>
    </w:lvl>
    <w:lvl w:ilvl="7" w:tplc="74520996">
      <w:numFmt w:val="decimal"/>
      <w:lvlText w:val=""/>
      <w:lvlJc w:val="left"/>
    </w:lvl>
    <w:lvl w:ilvl="8" w:tplc="3746E67A">
      <w:numFmt w:val="decimal"/>
      <w:lvlText w:val=""/>
      <w:lvlJc w:val="left"/>
    </w:lvl>
  </w:abstractNum>
  <w:abstractNum w:abstractNumId="583" w15:restartNumberingAfterBreak="0">
    <w:nsid w:val="00005224"/>
    <w:multiLevelType w:val="hybridMultilevel"/>
    <w:tmpl w:val="3C200DA8"/>
    <w:lvl w:ilvl="0" w:tplc="583ECA64">
      <w:start w:val="1"/>
      <w:numFmt w:val="lowerLetter"/>
      <w:lvlText w:val="%1"/>
      <w:lvlJc w:val="left"/>
    </w:lvl>
    <w:lvl w:ilvl="1" w:tplc="18085B58">
      <w:start w:val="5"/>
      <w:numFmt w:val="decimal"/>
      <w:lvlText w:val="%2."/>
      <w:lvlJc w:val="left"/>
    </w:lvl>
    <w:lvl w:ilvl="2" w:tplc="947A9100">
      <w:numFmt w:val="decimal"/>
      <w:lvlText w:val=""/>
      <w:lvlJc w:val="left"/>
    </w:lvl>
    <w:lvl w:ilvl="3" w:tplc="10ACEB68">
      <w:numFmt w:val="decimal"/>
      <w:lvlText w:val=""/>
      <w:lvlJc w:val="left"/>
    </w:lvl>
    <w:lvl w:ilvl="4" w:tplc="86143A6C">
      <w:numFmt w:val="decimal"/>
      <w:lvlText w:val=""/>
      <w:lvlJc w:val="left"/>
    </w:lvl>
    <w:lvl w:ilvl="5" w:tplc="B96AC928">
      <w:numFmt w:val="decimal"/>
      <w:lvlText w:val=""/>
      <w:lvlJc w:val="left"/>
    </w:lvl>
    <w:lvl w:ilvl="6" w:tplc="98C446BA">
      <w:numFmt w:val="decimal"/>
      <w:lvlText w:val=""/>
      <w:lvlJc w:val="left"/>
    </w:lvl>
    <w:lvl w:ilvl="7" w:tplc="D5188520">
      <w:numFmt w:val="decimal"/>
      <w:lvlText w:val=""/>
      <w:lvlJc w:val="left"/>
    </w:lvl>
    <w:lvl w:ilvl="8" w:tplc="8BEE93F8">
      <w:numFmt w:val="decimal"/>
      <w:lvlText w:val=""/>
      <w:lvlJc w:val="left"/>
    </w:lvl>
  </w:abstractNum>
  <w:abstractNum w:abstractNumId="584" w15:restartNumberingAfterBreak="0">
    <w:nsid w:val="00005237"/>
    <w:multiLevelType w:val="hybridMultilevel"/>
    <w:tmpl w:val="5A3E94A4"/>
    <w:lvl w:ilvl="0" w:tplc="F84AC50E">
      <w:start w:val="1"/>
      <w:numFmt w:val="lowerLetter"/>
      <w:lvlText w:val="%1"/>
      <w:lvlJc w:val="left"/>
    </w:lvl>
    <w:lvl w:ilvl="1" w:tplc="2E68A1AC">
      <w:start w:val="310"/>
      <w:numFmt w:val="decimal"/>
      <w:lvlText w:val="%2"/>
      <w:lvlJc w:val="left"/>
    </w:lvl>
    <w:lvl w:ilvl="2" w:tplc="D82462A4">
      <w:start w:val="1"/>
      <w:numFmt w:val="lowerLetter"/>
      <w:lvlText w:val="%3."/>
      <w:lvlJc w:val="left"/>
    </w:lvl>
    <w:lvl w:ilvl="3" w:tplc="A530C526">
      <w:numFmt w:val="decimal"/>
      <w:lvlText w:val=""/>
      <w:lvlJc w:val="left"/>
    </w:lvl>
    <w:lvl w:ilvl="4" w:tplc="D4E00F24">
      <w:numFmt w:val="decimal"/>
      <w:lvlText w:val=""/>
      <w:lvlJc w:val="left"/>
    </w:lvl>
    <w:lvl w:ilvl="5" w:tplc="550C33E0">
      <w:numFmt w:val="decimal"/>
      <w:lvlText w:val=""/>
      <w:lvlJc w:val="left"/>
    </w:lvl>
    <w:lvl w:ilvl="6" w:tplc="6584FF94">
      <w:numFmt w:val="decimal"/>
      <w:lvlText w:val=""/>
      <w:lvlJc w:val="left"/>
    </w:lvl>
    <w:lvl w:ilvl="7" w:tplc="80EECC96">
      <w:numFmt w:val="decimal"/>
      <w:lvlText w:val=""/>
      <w:lvlJc w:val="left"/>
    </w:lvl>
    <w:lvl w:ilvl="8" w:tplc="517A4E1A">
      <w:numFmt w:val="decimal"/>
      <w:lvlText w:val=""/>
      <w:lvlJc w:val="left"/>
    </w:lvl>
  </w:abstractNum>
  <w:abstractNum w:abstractNumId="585" w15:restartNumberingAfterBreak="0">
    <w:nsid w:val="00005256"/>
    <w:multiLevelType w:val="hybridMultilevel"/>
    <w:tmpl w:val="AE18582C"/>
    <w:lvl w:ilvl="0" w:tplc="18ACBD18">
      <w:start w:val="1"/>
      <w:numFmt w:val="decimal"/>
      <w:lvlText w:val="%1"/>
      <w:lvlJc w:val="left"/>
    </w:lvl>
    <w:lvl w:ilvl="1" w:tplc="EEB891BC">
      <w:start w:val="1"/>
      <w:numFmt w:val="lowerLetter"/>
      <w:lvlText w:val="%2"/>
      <w:lvlJc w:val="left"/>
    </w:lvl>
    <w:lvl w:ilvl="2" w:tplc="6BAAC1E2">
      <w:start w:val="1"/>
      <w:numFmt w:val="decimal"/>
      <w:lvlText w:val="%3"/>
      <w:lvlJc w:val="left"/>
    </w:lvl>
    <w:lvl w:ilvl="3" w:tplc="A13AC37A">
      <w:start w:val="3"/>
      <w:numFmt w:val="lowerLetter"/>
      <w:lvlText w:val="%4."/>
      <w:lvlJc w:val="left"/>
    </w:lvl>
    <w:lvl w:ilvl="4" w:tplc="AF54D666">
      <w:numFmt w:val="decimal"/>
      <w:lvlText w:val=""/>
      <w:lvlJc w:val="left"/>
    </w:lvl>
    <w:lvl w:ilvl="5" w:tplc="BE8C73E6">
      <w:numFmt w:val="decimal"/>
      <w:lvlText w:val=""/>
      <w:lvlJc w:val="left"/>
    </w:lvl>
    <w:lvl w:ilvl="6" w:tplc="9F748C14">
      <w:numFmt w:val="decimal"/>
      <w:lvlText w:val=""/>
      <w:lvlJc w:val="left"/>
    </w:lvl>
    <w:lvl w:ilvl="7" w:tplc="5568CA74">
      <w:numFmt w:val="decimal"/>
      <w:lvlText w:val=""/>
      <w:lvlJc w:val="left"/>
    </w:lvl>
    <w:lvl w:ilvl="8" w:tplc="64101D2E">
      <w:numFmt w:val="decimal"/>
      <w:lvlText w:val=""/>
      <w:lvlJc w:val="left"/>
    </w:lvl>
  </w:abstractNum>
  <w:abstractNum w:abstractNumId="586" w15:restartNumberingAfterBreak="0">
    <w:nsid w:val="00005258"/>
    <w:multiLevelType w:val="hybridMultilevel"/>
    <w:tmpl w:val="6E58B32A"/>
    <w:lvl w:ilvl="0" w:tplc="DDBAE87E">
      <w:start w:val="2"/>
      <w:numFmt w:val="lowerLetter"/>
      <w:lvlText w:val="(%1)"/>
      <w:lvlJc w:val="left"/>
    </w:lvl>
    <w:lvl w:ilvl="1" w:tplc="E1425720">
      <w:start w:val="1"/>
      <w:numFmt w:val="decimal"/>
      <w:lvlText w:val="%2."/>
      <w:lvlJc w:val="left"/>
    </w:lvl>
    <w:lvl w:ilvl="2" w:tplc="FE78F284">
      <w:numFmt w:val="decimal"/>
      <w:lvlText w:val=""/>
      <w:lvlJc w:val="left"/>
    </w:lvl>
    <w:lvl w:ilvl="3" w:tplc="685CFF74">
      <w:numFmt w:val="decimal"/>
      <w:lvlText w:val=""/>
      <w:lvlJc w:val="left"/>
    </w:lvl>
    <w:lvl w:ilvl="4" w:tplc="C7EC2F36">
      <w:numFmt w:val="decimal"/>
      <w:lvlText w:val=""/>
      <w:lvlJc w:val="left"/>
    </w:lvl>
    <w:lvl w:ilvl="5" w:tplc="81E83D24">
      <w:numFmt w:val="decimal"/>
      <w:lvlText w:val=""/>
      <w:lvlJc w:val="left"/>
    </w:lvl>
    <w:lvl w:ilvl="6" w:tplc="E4726FE8">
      <w:numFmt w:val="decimal"/>
      <w:lvlText w:val=""/>
      <w:lvlJc w:val="left"/>
    </w:lvl>
    <w:lvl w:ilvl="7" w:tplc="B28C1BD4">
      <w:numFmt w:val="decimal"/>
      <w:lvlText w:val=""/>
      <w:lvlJc w:val="left"/>
    </w:lvl>
    <w:lvl w:ilvl="8" w:tplc="02E8DC5C">
      <w:numFmt w:val="decimal"/>
      <w:lvlText w:val=""/>
      <w:lvlJc w:val="left"/>
    </w:lvl>
  </w:abstractNum>
  <w:abstractNum w:abstractNumId="587" w15:restartNumberingAfterBreak="0">
    <w:nsid w:val="00005290"/>
    <w:multiLevelType w:val="hybridMultilevel"/>
    <w:tmpl w:val="EB40A94C"/>
    <w:lvl w:ilvl="0" w:tplc="4D285466">
      <w:start w:val="1"/>
      <w:numFmt w:val="lowerLetter"/>
      <w:lvlText w:val="(%1)"/>
      <w:lvlJc w:val="left"/>
    </w:lvl>
    <w:lvl w:ilvl="1" w:tplc="518AA486">
      <w:numFmt w:val="decimal"/>
      <w:lvlText w:val=""/>
      <w:lvlJc w:val="left"/>
    </w:lvl>
    <w:lvl w:ilvl="2" w:tplc="57DA9D26">
      <w:numFmt w:val="decimal"/>
      <w:lvlText w:val=""/>
      <w:lvlJc w:val="left"/>
    </w:lvl>
    <w:lvl w:ilvl="3" w:tplc="20CEF624">
      <w:numFmt w:val="decimal"/>
      <w:lvlText w:val=""/>
      <w:lvlJc w:val="left"/>
    </w:lvl>
    <w:lvl w:ilvl="4" w:tplc="5E58DD04">
      <w:numFmt w:val="decimal"/>
      <w:lvlText w:val=""/>
      <w:lvlJc w:val="left"/>
    </w:lvl>
    <w:lvl w:ilvl="5" w:tplc="5BFAE6C6">
      <w:numFmt w:val="decimal"/>
      <w:lvlText w:val=""/>
      <w:lvlJc w:val="left"/>
    </w:lvl>
    <w:lvl w:ilvl="6" w:tplc="DE1A1248">
      <w:numFmt w:val="decimal"/>
      <w:lvlText w:val=""/>
      <w:lvlJc w:val="left"/>
    </w:lvl>
    <w:lvl w:ilvl="7" w:tplc="CD525290">
      <w:numFmt w:val="decimal"/>
      <w:lvlText w:val=""/>
      <w:lvlJc w:val="left"/>
    </w:lvl>
    <w:lvl w:ilvl="8" w:tplc="C66A5DF8">
      <w:numFmt w:val="decimal"/>
      <w:lvlText w:val=""/>
      <w:lvlJc w:val="left"/>
    </w:lvl>
  </w:abstractNum>
  <w:abstractNum w:abstractNumId="588" w15:restartNumberingAfterBreak="0">
    <w:nsid w:val="000052C4"/>
    <w:multiLevelType w:val="hybridMultilevel"/>
    <w:tmpl w:val="FA96D792"/>
    <w:lvl w:ilvl="0" w:tplc="9AF41710">
      <w:start w:val="1"/>
      <w:numFmt w:val="decimal"/>
      <w:lvlText w:val="%1"/>
      <w:lvlJc w:val="left"/>
    </w:lvl>
    <w:lvl w:ilvl="1" w:tplc="468E2F2E">
      <w:start w:val="3"/>
      <w:numFmt w:val="lowerLetter"/>
      <w:lvlText w:val="(%2)"/>
      <w:lvlJc w:val="left"/>
    </w:lvl>
    <w:lvl w:ilvl="2" w:tplc="74A4326A">
      <w:start w:val="1"/>
      <w:numFmt w:val="decimal"/>
      <w:lvlText w:val="%3"/>
      <w:lvlJc w:val="left"/>
    </w:lvl>
    <w:lvl w:ilvl="3" w:tplc="6E309CE2">
      <w:start w:val="1"/>
      <w:numFmt w:val="lowerLetter"/>
      <w:lvlText w:val="%4"/>
      <w:lvlJc w:val="left"/>
    </w:lvl>
    <w:lvl w:ilvl="4" w:tplc="F6BE6E3C">
      <w:start w:val="1"/>
      <w:numFmt w:val="lowerRoman"/>
      <w:lvlText w:val="%5"/>
      <w:lvlJc w:val="left"/>
    </w:lvl>
    <w:lvl w:ilvl="5" w:tplc="80965A1E">
      <w:numFmt w:val="decimal"/>
      <w:lvlText w:val=""/>
      <w:lvlJc w:val="left"/>
    </w:lvl>
    <w:lvl w:ilvl="6" w:tplc="900477C6">
      <w:numFmt w:val="decimal"/>
      <w:lvlText w:val=""/>
      <w:lvlJc w:val="left"/>
    </w:lvl>
    <w:lvl w:ilvl="7" w:tplc="88A6D4EC">
      <w:numFmt w:val="decimal"/>
      <w:lvlText w:val=""/>
      <w:lvlJc w:val="left"/>
    </w:lvl>
    <w:lvl w:ilvl="8" w:tplc="EAC419BA">
      <w:numFmt w:val="decimal"/>
      <w:lvlText w:val=""/>
      <w:lvlJc w:val="left"/>
    </w:lvl>
  </w:abstractNum>
  <w:abstractNum w:abstractNumId="589" w15:restartNumberingAfterBreak="0">
    <w:nsid w:val="000052CC"/>
    <w:multiLevelType w:val="hybridMultilevel"/>
    <w:tmpl w:val="E7FEBC54"/>
    <w:lvl w:ilvl="0" w:tplc="843C5DC4">
      <w:start w:val="1"/>
      <w:numFmt w:val="decimal"/>
      <w:lvlText w:val="%1"/>
      <w:lvlJc w:val="left"/>
    </w:lvl>
    <w:lvl w:ilvl="1" w:tplc="89B0BCC8">
      <w:start w:val="2"/>
      <w:numFmt w:val="lowerLetter"/>
      <w:lvlText w:val="%2."/>
      <w:lvlJc w:val="left"/>
    </w:lvl>
    <w:lvl w:ilvl="2" w:tplc="EAEAABDE">
      <w:numFmt w:val="decimal"/>
      <w:lvlText w:val=""/>
      <w:lvlJc w:val="left"/>
    </w:lvl>
    <w:lvl w:ilvl="3" w:tplc="F9D4BE56">
      <w:numFmt w:val="decimal"/>
      <w:lvlText w:val=""/>
      <w:lvlJc w:val="left"/>
    </w:lvl>
    <w:lvl w:ilvl="4" w:tplc="973C5220">
      <w:numFmt w:val="decimal"/>
      <w:lvlText w:val=""/>
      <w:lvlJc w:val="left"/>
    </w:lvl>
    <w:lvl w:ilvl="5" w:tplc="F0441B3A">
      <w:numFmt w:val="decimal"/>
      <w:lvlText w:val=""/>
      <w:lvlJc w:val="left"/>
    </w:lvl>
    <w:lvl w:ilvl="6" w:tplc="D526A2B0">
      <w:numFmt w:val="decimal"/>
      <w:lvlText w:val=""/>
      <w:lvlJc w:val="left"/>
    </w:lvl>
    <w:lvl w:ilvl="7" w:tplc="BE6A8524">
      <w:numFmt w:val="decimal"/>
      <w:lvlText w:val=""/>
      <w:lvlJc w:val="left"/>
    </w:lvl>
    <w:lvl w:ilvl="8" w:tplc="2F06574C">
      <w:numFmt w:val="decimal"/>
      <w:lvlText w:val=""/>
      <w:lvlJc w:val="left"/>
    </w:lvl>
  </w:abstractNum>
  <w:abstractNum w:abstractNumId="590" w15:restartNumberingAfterBreak="0">
    <w:nsid w:val="00005326"/>
    <w:multiLevelType w:val="hybridMultilevel"/>
    <w:tmpl w:val="26DAC9C8"/>
    <w:lvl w:ilvl="0" w:tplc="A0BE31DC">
      <w:start w:val="7"/>
      <w:numFmt w:val="decimal"/>
      <w:lvlText w:val="(%1)"/>
      <w:lvlJc w:val="left"/>
    </w:lvl>
    <w:lvl w:ilvl="1" w:tplc="2B84BB36">
      <w:start w:val="1"/>
      <w:numFmt w:val="lowerLetter"/>
      <w:lvlText w:val="(%2)"/>
      <w:lvlJc w:val="left"/>
    </w:lvl>
    <w:lvl w:ilvl="2" w:tplc="A0F2D4CC">
      <w:start w:val="1"/>
      <w:numFmt w:val="decimal"/>
      <w:lvlText w:val="%3."/>
      <w:lvlJc w:val="left"/>
    </w:lvl>
    <w:lvl w:ilvl="3" w:tplc="0F14B93A">
      <w:start w:val="1"/>
      <w:numFmt w:val="lowerLetter"/>
      <w:lvlText w:val="%4."/>
      <w:lvlJc w:val="left"/>
    </w:lvl>
    <w:lvl w:ilvl="4" w:tplc="9432E8A4">
      <w:numFmt w:val="decimal"/>
      <w:lvlText w:val=""/>
      <w:lvlJc w:val="left"/>
    </w:lvl>
    <w:lvl w:ilvl="5" w:tplc="84460CAC">
      <w:numFmt w:val="decimal"/>
      <w:lvlText w:val=""/>
      <w:lvlJc w:val="left"/>
    </w:lvl>
    <w:lvl w:ilvl="6" w:tplc="5D7CF55C">
      <w:numFmt w:val="decimal"/>
      <w:lvlText w:val=""/>
      <w:lvlJc w:val="left"/>
    </w:lvl>
    <w:lvl w:ilvl="7" w:tplc="683C4650">
      <w:numFmt w:val="decimal"/>
      <w:lvlText w:val=""/>
      <w:lvlJc w:val="left"/>
    </w:lvl>
    <w:lvl w:ilvl="8" w:tplc="FF365B7C">
      <w:numFmt w:val="decimal"/>
      <w:lvlText w:val=""/>
      <w:lvlJc w:val="left"/>
    </w:lvl>
  </w:abstractNum>
  <w:abstractNum w:abstractNumId="591" w15:restartNumberingAfterBreak="0">
    <w:nsid w:val="0000532D"/>
    <w:multiLevelType w:val="hybridMultilevel"/>
    <w:tmpl w:val="0BC86CD4"/>
    <w:lvl w:ilvl="0" w:tplc="998ACAD2">
      <w:start w:val="1"/>
      <w:numFmt w:val="decimal"/>
      <w:lvlText w:val="(%1)"/>
      <w:lvlJc w:val="left"/>
    </w:lvl>
    <w:lvl w:ilvl="1" w:tplc="7EBEBCF4">
      <w:start w:val="1"/>
      <w:numFmt w:val="lowerLetter"/>
      <w:lvlText w:val="(%2)"/>
      <w:lvlJc w:val="left"/>
    </w:lvl>
    <w:lvl w:ilvl="2" w:tplc="512097A8">
      <w:numFmt w:val="decimal"/>
      <w:lvlText w:val=""/>
      <w:lvlJc w:val="left"/>
    </w:lvl>
    <w:lvl w:ilvl="3" w:tplc="80D4EE08">
      <w:numFmt w:val="decimal"/>
      <w:lvlText w:val=""/>
      <w:lvlJc w:val="left"/>
    </w:lvl>
    <w:lvl w:ilvl="4" w:tplc="3B824610">
      <w:numFmt w:val="decimal"/>
      <w:lvlText w:val=""/>
      <w:lvlJc w:val="left"/>
    </w:lvl>
    <w:lvl w:ilvl="5" w:tplc="41E44E30">
      <w:numFmt w:val="decimal"/>
      <w:lvlText w:val=""/>
      <w:lvlJc w:val="left"/>
    </w:lvl>
    <w:lvl w:ilvl="6" w:tplc="0492CD80">
      <w:numFmt w:val="decimal"/>
      <w:lvlText w:val=""/>
      <w:lvlJc w:val="left"/>
    </w:lvl>
    <w:lvl w:ilvl="7" w:tplc="29FAE1BE">
      <w:numFmt w:val="decimal"/>
      <w:lvlText w:val=""/>
      <w:lvlJc w:val="left"/>
    </w:lvl>
    <w:lvl w:ilvl="8" w:tplc="B524D702">
      <w:numFmt w:val="decimal"/>
      <w:lvlText w:val=""/>
      <w:lvlJc w:val="left"/>
    </w:lvl>
  </w:abstractNum>
  <w:abstractNum w:abstractNumId="592" w15:restartNumberingAfterBreak="0">
    <w:nsid w:val="00005341"/>
    <w:multiLevelType w:val="hybridMultilevel"/>
    <w:tmpl w:val="DC402AA8"/>
    <w:lvl w:ilvl="0" w:tplc="C79889C4">
      <w:start w:val="1"/>
      <w:numFmt w:val="decimal"/>
      <w:lvlText w:val="%1"/>
      <w:lvlJc w:val="left"/>
      <w:rPr>
        <w:vertAlign w:val="superscript"/>
      </w:rPr>
    </w:lvl>
    <w:lvl w:ilvl="1" w:tplc="3336E61E">
      <w:numFmt w:val="decimal"/>
      <w:lvlText w:val=""/>
      <w:lvlJc w:val="left"/>
    </w:lvl>
    <w:lvl w:ilvl="2" w:tplc="9D8ECC6E">
      <w:numFmt w:val="decimal"/>
      <w:lvlText w:val=""/>
      <w:lvlJc w:val="left"/>
    </w:lvl>
    <w:lvl w:ilvl="3" w:tplc="307416C4">
      <w:numFmt w:val="decimal"/>
      <w:lvlText w:val=""/>
      <w:lvlJc w:val="left"/>
    </w:lvl>
    <w:lvl w:ilvl="4" w:tplc="B7D2A932">
      <w:numFmt w:val="decimal"/>
      <w:lvlText w:val=""/>
      <w:lvlJc w:val="left"/>
    </w:lvl>
    <w:lvl w:ilvl="5" w:tplc="90FEC554">
      <w:numFmt w:val="decimal"/>
      <w:lvlText w:val=""/>
      <w:lvlJc w:val="left"/>
    </w:lvl>
    <w:lvl w:ilvl="6" w:tplc="D4C6687C">
      <w:numFmt w:val="decimal"/>
      <w:lvlText w:val=""/>
      <w:lvlJc w:val="left"/>
    </w:lvl>
    <w:lvl w:ilvl="7" w:tplc="B3926812">
      <w:numFmt w:val="decimal"/>
      <w:lvlText w:val=""/>
      <w:lvlJc w:val="left"/>
    </w:lvl>
    <w:lvl w:ilvl="8" w:tplc="D2B62652">
      <w:numFmt w:val="decimal"/>
      <w:lvlText w:val=""/>
      <w:lvlJc w:val="left"/>
    </w:lvl>
  </w:abstractNum>
  <w:abstractNum w:abstractNumId="593" w15:restartNumberingAfterBreak="0">
    <w:nsid w:val="0000534B"/>
    <w:multiLevelType w:val="hybridMultilevel"/>
    <w:tmpl w:val="7FC2A3BC"/>
    <w:lvl w:ilvl="0" w:tplc="F4A4C284">
      <w:start w:val="1"/>
      <w:numFmt w:val="decimal"/>
      <w:lvlText w:val="%1"/>
      <w:lvlJc w:val="left"/>
    </w:lvl>
    <w:lvl w:ilvl="1" w:tplc="E5C2DE3C">
      <w:start w:val="1"/>
      <w:numFmt w:val="lowerLetter"/>
      <w:lvlText w:val="%2"/>
      <w:lvlJc w:val="left"/>
    </w:lvl>
    <w:lvl w:ilvl="2" w:tplc="33D4BAF8">
      <w:start w:val="4"/>
      <w:numFmt w:val="decimal"/>
      <w:lvlText w:val="%3."/>
      <w:lvlJc w:val="left"/>
    </w:lvl>
    <w:lvl w:ilvl="3" w:tplc="5DC2418A">
      <w:numFmt w:val="decimal"/>
      <w:lvlText w:val=""/>
      <w:lvlJc w:val="left"/>
    </w:lvl>
    <w:lvl w:ilvl="4" w:tplc="D9DE9B36">
      <w:numFmt w:val="decimal"/>
      <w:lvlText w:val=""/>
      <w:lvlJc w:val="left"/>
    </w:lvl>
    <w:lvl w:ilvl="5" w:tplc="0614A4E6">
      <w:numFmt w:val="decimal"/>
      <w:lvlText w:val=""/>
      <w:lvlJc w:val="left"/>
    </w:lvl>
    <w:lvl w:ilvl="6" w:tplc="84145702">
      <w:numFmt w:val="decimal"/>
      <w:lvlText w:val=""/>
      <w:lvlJc w:val="left"/>
    </w:lvl>
    <w:lvl w:ilvl="7" w:tplc="453EDB62">
      <w:numFmt w:val="decimal"/>
      <w:lvlText w:val=""/>
      <w:lvlJc w:val="left"/>
    </w:lvl>
    <w:lvl w:ilvl="8" w:tplc="E2929288">
      <w:numFmt w:val="decimal"/>
      <w:lvlText w:val=""/>
      <w:lvlJc w:val="left"/>
    </w:lvl>
  </w:abstractNum>
  <w:abstractNum w:abstractNumId="594" w15:restartNumberingAfterBreak="0">
    <w:nsid w:val="0000538C"/>
    <w:multiLevelType w:val="hybridMultilevel"/>
    <w:tmpl w:val="FB58040A"/>
    <w:lvl w:ilvl="0" w:tplc="44AA87E6">
      <w:start w:val="6"/>
      <w:numFmt w:val="decimal"/>
      <w:lvlText w:val="(%1)"/>
      <w:lvlJc w:val="left"/>
    </w:lvl>
    <w:lvl w:ilvl="1" w:tplc="1C184D3E">
      <w:start w:val="1"/>
      <w:numFmt w:val="lowerLetter"/>
      <w:lvlText w:val="(%2)"/>
      <w:lvlJc w:val="left"/>
    </w:lvl>
    <w:lvl w:ilvl="2" w:tplc="ACAA62A4">
      <w:start w:val="1"/>
      <w:numFmt w:val="decimal"/>
      <w:lvlText w:val="%3."/>
      <w:lvlJc w:val="left"/>
    </w:lvl>
    <w:lvl w:ilvl="3" w:tplc="9006C744">
      <w:start w:val="1"/>
      <w:numFmt w:val="lowerLetter"/>
      <w:lvlText w:val="%4."/>
      <w:lvlJc w:val="left"/>
    </w:lvl>
    <w:lvl w:ilvl="4" w:tplc="33942490">
      <w:numFmt w:val="decimal"/>
      <w:lvlText w:val=""/>
      <w:lvlJc w:val="left"/>
    </w:lvl>
    <w:lvl w:ilvl="5" w:tplc="FF889224">
      <w:numFmt w:val="decimal"/>
      <w:lvlText w:val=""/>
      <w:lvlJc w:val="left"/>
    </w:lvl>
    <w:lvl w:ilvl="6" w:tplc="19F674EC">
      <w:numFmt w:val="decimal"/>
      <w:lvlText w:val=""/>
      <w:lvlJc w:val="left"/>
    </w:lvl>
    <w:lvl w:ilvl="7" w:tplc="EEAE2BC8">
      <w:numFmt w:val="decimal"/>
      <w:lvlText w:val=""/>
      <w:lvlJc w:val="left"/>
    </w:lvl>
    <w:lvl w:ilvl="8" w:tplc="EF2C157A">
      <w:numFmt w:val="decimal"/>
      <w:lvlText w:val=""/>
      <w:lvlJc w:val="left"/>
    </w:lvl>
  </w:abstractNum>
  <w:abstractNum w:abstractNumId="595" w15:restartNumberingAfterBreak="0">
    <w:nsid w:val="000053EF"/>
    <w:multiLevelType w:val="hybridMultilevel"/>
    <w:tmpl w:val="9BD6D976"/>
    <w:lvl w:ilvl="0" w:tplc="0FAC95C6">
      <w:start w:val="3"/>
      <w:numFmt w:val="lowerLetter"/>
      <w:lvlText w:val="(%1)"/>
      <w:lvlJc w:val="left"/>
    </w:lvl>
    <w:lvl w:ilvl="1" w:tplc="564C2A26">
      <w:start w:val="1"/>
      <w:numFmt w:val="decimal"/>
      <w:lvlText w:val="%2."/>
      <w:lvlJc w:val="left"/>
    </w:lvl>
    <w:lvl w:ilvl="2" w:tplc="618C8D4E">
      <w:start w:val="1"/>
      <w:numFmt w:val="lowerLetter"/>
      <w:lvlText w:val="%3."/>
      <w:lvlJc w:val="left"/>
    </w:lvl>
    <w:lvl w:ilvl="3" w:tplc="58844D2C">
      <w:numFmt w:val="decimal"/>
      <w:lvlText w:val=""/>
      <w:lvlJc w:val="left"/>
    </w:lvl>
    <w:lvl w:ilvl="4" w:tplc="F96E7FC8">
      <w:numFmt w:val="decimal"/>
      <w:lvlText w:val=""/>
      <w:lvlJc w:val="left"/>
    </w:lvl>
    <w:lvl w:ilvl="5" w:tplc="AC24717A">
      <w:numFmt w:val="decimal"/>
      <w:lvlText w:val=""/>
      <w:lvlJc w:val="left"/>
    </w:lvl>
    <w:lvl w:ilvl="6" w:tplc="DB56EC54">
      <w:numFmt w:val="decimal"/>
      <w:lvlText w:val=""/>
      <w:lvlJc w:val="left"/>
    </w:lvl>
    <w:lvl w:ilvl="7" w:tplc="DF1A65F8">
      <w:numFmt w:val="decimal"/>
      <w:lvlText w:val=""/>
      <w:lvlJc w:val="left"/>
    </w:lvl>
    <w:lvl w:ilvl="8" w:tplc="70305EA8">
      <w:numFmt w:val="decimal"/>
      <w:lvlText w:val=""/>
      <w:lvlJc w:val="left"/>
    </w:lvl>
  </w:abstractNum>
  <w:abstractNum w:abstractNumId="596" w15:restartNumberingAfterBreak="0">
    <w:nsid w:val="0000543A"/>
    <w:multiLevelType w:val="hybridMultilevel"/>
    <w:tmpl w:val="02FCE3DA"/>
    <w:lvl w:ilvl="0" w:tplc="BCB4E222">
      <w:start w:val="1"/>
      <w:numFmt w:val="decimal"/>
      <w:lvlText w:val="%1"/>
      <w:lvlJc w:val="left"/>
    </w:lvl>
    <w:lvl w:ilvl="1" w:tplc="D096852A">
      <w:start w:val="7"/>
      <w:numFmt w:val="lowerLetter"/>
      <w:lvlText w:val="(%2)"/>
      <w:lvlJc w:val="left"/>
    </w:lvl>
    <w:lvl w:ilvl="2" w:tplc="04826C32">
      <w:start w:val="1"/>
      <w:numFmt w:val="decimal"/>
      <w:lvlText w:val="%3"/>
      <w:lvlJc w:val="left"/>
    </w:lvl>
    <w:lvl w:ilvl="3" w:tplc="3B6C07A2">
      <w:start w:val="1"/>
      <w:numFmt w:val="lowerLetter"/>
      <w:lvlText w:val="%4"/>
      <w:lvlJc w:val="left"/>
    </w:lvl>
    <w:lvl w:ilvl="4" w:tplc="22B60FCE">
      <w:numFmt w:val="decimal"/>
      <w:lvlText w:val=""/>
      <w:lvlJc w:val="left"/>
    </w:lvl>
    <w:lvl w:ilvl="5" w:tplc="B0DC5800">
      <w:numFmt w:val="decimal"/>
      <w:lvlText w:val=""/>
      <w:lvlJc w:val="left"/>
    </w:lvl>
    <w:lvl w:ilvl="6" w:tplc="7E46DF06">
      <w:numFmt w:val="decimal"/>
      <w:lvlText w:val=""/>
      <w:lvlJc w:val="left"/>
    </w:lvl>
    <w:lvl w:ilvl="7" w:tplc="8BE410FC">
      <w:numFmt w:val="decimal"/>
      <w:lvlText w:val=""/>
      <w:lvlJc w:val="left"/>
    </w:lvl>
    <w:lvl w:ilvl="8" w:tplc="011845FA">
      <w:numFmt w:val="decimal"/>
      <w:lvlText w:val=""/>
      <w:lvlJc w:val="left"/>
    </w:lvl>
  </w:abstractNum>
  <w:abstractNum w:abstractNumId="597" w15:restartNumberingAfterBreak="0">
    <w:nsid w:val="00005449"/>
    <w:multiLevelType w:val="hybridMultilevel"/>
    <w:tmpl w:val="4FA01342"/>
    <w:lvl w:ilvl="0" w:tplc="C1903856">
      <w:start w:val="2"/>
      <w:numFmt w:val="lowerLetter"/>
      <w:lvlText w:val="(%1)"/>
      <w:lvlJc w:val="left"/>
    </w:lvl>
    <w:lvl w:ilvl="1" w:tplc="C18250BE">
      <w:start w:val="1"/>
      <w:numFmt w:val="decimal"/>
      <w:lvlText w:val="%2."/>
      <w:lvlJc w:val="left"/>
    </w:lvl>
    <w:lvl w:ilvl="2" w:tplc="04090019">
      <w:start w:val="1"/>
      <w:numFmt w:val="lowerLetter"/>
      <w:lvlText w:val="%3."/>
      <w:lvlJc w:val="left"/>
    </w:lvl>
    <w:lvl w:ilvl="3" w:tplc="9970FCF2">
      <w:start w:val="1"/>
      <w:numFmt w:val="lowerRoman"/>
      <w:lvlText w:val="%4"/>
      <w:lvlJc w:val="left"/>
    </w:lvl>
    <w:lvl w:ilvl="4" w:tplc="902A1332">
      <w:start w:val="1"/>
      <w:numFmt w:val="upperLetter"/>
      <w:lvlText w:val="%5"/>
      <w:lvlJc w:val="left"/>
    </w:lvl>
    <w:lvl w:ilvl="5" w:tplc="AD08A1F2">
      <w:numFmt w:val="decimal"/>
      <w:lvlText w:val=""/>
      <w:lvlJc w:val="left"/>
    </w:lvl>
    <w:lvl w:ilvl="6" w:tplc="507C31A8">
      <w:numFmt w:val="decimal"/>
      <w:lvlText w:val=""/>
      <w:lvlJc w:val="left"/>
    </w:lvl>
    <w:lvl w:ilvl="7" w:tplc="788272A4">
      <w:numFmt w:val="decimal"/>
      <w:lvlText w:val=""/>
      <w:lvlJc w:val="left"/>
    </w:lvl>
    <w:lvl w:ilvl="8" w:tplc="8ECEE472">
      <w:numFmt w:val="decimal"/>
      <w:lvlText w:val=""/>
      <w:lvlJc w:val="left"/>
    </w:lvl>
  </w:abstractNum>
  <w:abstractNum w:abstractNumId="598" w15:restartNumberingAfterBreak="0">
    <w:nsid w:val="0000544A"/>
    <w:multiLevelType w:val="hybridMultilevel"/>
    <w:tmpl w:val="9BB04F28"/>
    <w:lvl w:ilvl="0" w:tplc="0894630E">
      <w:start w:val="1"/>
      <w:numFmt w:val="decimal"/>
      <w:lvlText w:val="%1"/>
      <w:lvlJc w:val="left"/>
    </w:lvl>
    <w:lvl w:ilvl="1" w:tplc="AB5EB4B6">
      <w:start w:val="1"/>
      <w:numFmt w:val="lowerLetter"/>
      <w:lvlText w:val="%2"/>
      <w:lvlJc w:val="left"/>
    </w:lvl>
    <w:lvl w:ilvl="2" w:tplc="3438968C">
      <w:start w:val="2"/>
      <w:numFmt w:val="decimal"/>
      <w:lvlText w:val="%3."/>
      <w:lvlJc w:val="left"/>
    </w:lvl>
    <w:lvl w:ilvl="3" w:tplc="1BD297BC">
      <w:start w:val="1"/>
      <w:numFmt w:val="lowerLetter"/>
      <w:lvlText w:val="%4"/>
      <w:lvlJc w:val="left"/>
    </w:lvl>
    <w:lvl w:ilvl="4" w:tplc="8A382BF2">
      <w:numFmt w:val="decimal"/>
      <w:lvlText w:val=""/>
      <w:lvlJc w:val="left"/>
    </w:lvl>
    <w:lvl w:ilvl="5" w:tplc="70ACDB70">
      <w:numFmt w:val="decimal"/>
      <w:lvlText w:val=""/>
      <w:lvlJc w:val="left"/>
    </w:lvl>
    <w:lvl w:ilvl="6" w:tplc="F886D922">
      <w:numFmt w:val="decimal"/>
      <w:lvlText w:val=""/>
      <w:lvlJc w:val="left"/>
    </w:lvl>
    <w:lvl w:ilvl="7" w:tplc="A23C79EA">
      <w:numFmt w:val="decimal"/>
      <w:lvlText w:val=""/>
      <w:lvlJc w:val="left"/>
    </w:lvl>
    <w:lvl w:ilvl="8" w:tplc="876241E2">
      <w:numFmt w:val="decimal"/>
      <w:lvlText w:val=""/>
      <w:lvlJc w:val="left"/>
    </w:lvl>
  </w:abstractNum>
  <w:abstractNum w:abstractNumId="599" w15:restartNumberingAfterBreak="0">
    <w:nsid w:val="00005471"/>
    <w:multiLevelType w:val="hybridMultilevel"/>
    <w:tmpl w:val="072A5698"/>
    <w:lvl w:ilvl="0" w:tplc="6390EB9C">
      <w:start w:val="1"/>
      <w:numFmt w:val="decimal"/>
      <w:lvlText w:val="%1"/>
      <w:lvlJc w:val="left"/>
    </w:lvl>
    <w:lvl w:ilvl="1" w:tplc="3DA2EAA8">
      <w:start w:val="3"/>
      <w:numFmt w:val="lowerLetter"/>
      <w:lvlText w:val="(%2)"/>
      <w:lvlJc w:val="left"/>
    </w:lvl>
    <w:lvl w:ilvl="2" w:tplc="B0ECD0F0">
      <w:start w:val="1"/>
      <w:numFmt w:val="decimal"/>
      <w:lvlText w:val="%3."/>
      <w:lvlJc w:val="left"/>
    </w:lvl>
    <w:lvl w:ilvl="3" w:tplc="13785818">
      <w:start w:val="1"/>
      <w:numFmt w:val="lowerLetter"/>
      <w:lvlText w:val="%4"/>
      <w:lvlJc w:val="left"/>
    </w:lvl>
    <w:lvl w:ilvl="4" w:tplc="E23A6476">
      <w:numFmt w:val="decimal"/>
      <w:lvlText w:val=""/>
      <w:lvlJc w:val="left"/>
    </w:lvl>
    <w:lvl w:ilvl="5" w:tplc="82D22406">
      <w:numFmt w:val="decimal"/>
      <w:lvlText w:val=""/>
      <w:lvlJc w:val="left"/>
    </w:lvl>
    <w:lvl w:ilvl="6" w:tplc="51DA97F8">
      <w:numFmt w:val="decimal"/>
      <w:lvlText w:val=""/>
      <w:lvlJc w:val="left"/>
    </w:lvl>
    <w:lvl w:ilvl="7" w:tplc="8FDC69B4">
      <w:numFmt w:val="decimal"/>
      <w:lvlText w:val=""/>
      <w:lvlJc w:val="left"/>
    </w:lvl>
    <w:lvl w:ilvl="8" w:tplc="96F84288">
      <w:numFmt w:val="decimal"/>
      <w:lvlText w:val=""/>
      <w:lvlJc w:val="left"/>
    </w:lvl>
  </w:abstractNum>
  <w:abstractNum w:abstractNumId="600" w15:restartNumberingAfterBreak="0">
    <w:nsid w:val="0000547E"/>
    <w:multiLevelType w:val="hybridMultilevel"/>
    <w:tmpl w:val="6B981A6E"/>
    <w:lvl w:ilvl="0" w:tplc="63B80476">
      <w:start w:val="2"/>
      <w:numFmt w:val="decimal"/>
      <w:lvlText w:val="(%1)"/>
      <w:lvlJc w:val="left"/>
    </w:lvl>
    <w:lvl w:ilvl="1" w:tplc="65606EC8">
      <w:start w:val="1"/>
      <w:numFmt w:val="lowerLetter"/>
      <w:lvlText w:val="(%2)"/>
      <w:lvlJc w:val="left"/>
    </w:lvl>
    <w:lvl w:ilvl="2" w:tplc="7D4EBC82">
      <w:start w:val="1"/>
      <w:numFmt w:val="decimal"/>
      <w:lvlText w:val="%3."/>
      <w:lvlJc w:val="left"/>
    </w:lvl>
    <w:lvl w:ilvl="3" w:tplc="6526B81A">
      <w:start w:val="1"/>
      <w:numFmt w:val="lowerLetter"/>
      <w:lvlText w:val="%4."/>
      <w:lvlJc w:val="left"/>
    </w:lvl>
    <w:lvl w:ilvl="4" w:tplc="69401DC0">
      <w:numFmt w:val="decimal"/>
      <w:lvlText w:val=""/>
      <w:lvlJc w:val="left"/>
    </w:lvl>
    <w:lvl w:ilvl="5" w:tplc="CB202A70">
      <w:numFmt w:val="decimal"/>
      <w:lvlText w:val=""/>
      <w:lvlJc w:val="left"/>
    </w:lvl>
    <w:lvl w:ilvl="6" w:tplc="7CC62D00">
      <w:numFmt w:val="decimal"/>
      <w:lvlText w:val=""/>
      <w:lvlJc w:val="left"/>
    </w:lvl>
    <w:lvl w:ilvl="7" w:tplc="BF6035DE">
      <w:numFmt w:val="decimal"/>
      <w:lvlText w:val=""/>
      <w:lvlJc w:val="left"/>
    </w:lvl>
    <w:lvl w:ilvl="8" w:tplc="F6163A40">
      <w:numFmt w:val="decimal"/>
      <w:lvlText w:val=""/>
      <w:lvlJc w:val="left"/>
    </w:lvl>
  </w:abstractNum>
  <w:abstractNum w:abstractNumId="601" w15:restartNumberingAfterBreak="0">
    <w:nsid w:val="000054DC"/>
    <w:multiLevelType w:val="hybridMultilevel"/>
    <w:tmpl w:val="EB12CE92"/>
    <w:lvl w:ilvl="0" w:tplc="5A92F80E">
      <w:start w:val="1"/>
      <w:numFmt w:val="decimal"/>
      <w:lvlText w:val="%1"/>
      <w:lvlJc w:val="left"/>
    </w:lvl>
    <w:lvl w:ilvl="1" w:tplc="DD685FCC">
      <w:start w:val="4"/>
      <w:numFmt w:val="lowerLetter"/>
      <w:lvlText w:val="(%2)"/>
      <w:lvlJc w:val="left"/>
    </w:lvl>
    <w:lvl w:ilvl="2" w:tplc="918AC7D8">
      <w:start w:val="1"/>
      <w:numFmt w:val="decimal"/>
      <w:lvlText w:val="%3."/>
      <w:lvlJc w:val="left"/>
    </w:lvl>
    <w:lvl w:ilvl="3" w:tplc="63DC891C">
      <w:numFmt w:val="decimal"/>
      <w:lvlText w:val=""/>
      <w:lvlJc w:val="left"/>
    </w:lvl>
    <w:lvl w:ilvl="4" w:tplc="59F80266">
      <w:numFmt w:val="decimal"/>
      <w:lvlText w:val=""/>
      <w:lvlJc w:val="left"/>
    </w:lvl>
    <w:lvl w:ilvl="5" w:tplc="6F62840E">
      <w:numFmt w:val="decimal"/>
      <w:lvlText w:val=""/>
      <w:lvlJc w:val="left"/>
    </w:lvl>
    <w:lvl w:ilvl="6" w:tplc="7F5A0BD6">
      <w:numFmt w:val="decimal"/>
      <w:lvlText w:val=""/>
      <w:lvlJc w:val="left"/>
    </w:lvl>
    <w:lvl w:ilvl="7" w:tplc="50FE76F8">
      <w:numFmt w:val="decimal"/>
      <w:lvlText w:val=""/>
      <w:lvlJc w:val="left"/>
    </w:lvl>
    <w:lvl w:ilvl="8" w:tplc="993AD930">
      <w:numFmt w:val="decimal"/>
      <w:lvlText w:val=""/>
      <w:lvlJc w:val="left"/>
    </w:lvl>
  </w:abstractNum>
  <w:abstractNum w:abstractNumId="602" w15:restartNumberingAfterBreak="0">
    <w:nsid w:val="00005515"/>
    <w:multiLevelType w:val="hybridMultilevel"/>
    <w:tmpl w:val="11B24426"/>
    <w:lvl w:ilvl="0" w:tplc="CAE2E724">
      <w:start w:val="1"/>
      <w:numFmt w:val="lowerLetter"/>
      <w:lvlText w:val="%1."/>
      <w:lvlJc w:val="left"/>
    </w:lvl>
    <w:lvl w:ilvl="1" w:tplc="06EA81D6">
      <w:numFmt w:val="decimal"/>
      <w:lvlText w:val=""/>
      <w:lvlJc w:val="left"/>
    </w:lvl>
    <w:lvl w:ilvl="2" w:tplc="84CAAD7A">
      <w:numFmt w:val="decimal"/>
      <w:lvlText w:val=""/>
      <w:lvlJc w:val="left"/>
    </w:lvl>
    <w:lvl w:ilvl="3" w:tplc="9C109824">
      <w:numFmt w:val="decimal"/>
      <w:lvlText w:val=""/>
      <w:lvlJc w:val="left"/>
    </w:lvl>
    <w:lvl w:ilvl="4" w:tplc="4D041EF2">
      <w:numFmt w:val="decimal"/>
      <w:lvlText w:val=""/>
      <w:lvlJc w:val="left"/>
    </w:lvl>
    <w:lvl w:ilvl="5" w:tplc="A4DC2286">
      <w:numFmt w:val="decimal"/>
      <w:lvlText w:val=""/>
      <w:lvlJc w:val="left"/>
    </w:lvl>
    <w:lvl w:ilvl="6" w:tplc="E5B292FC">
      <w:numFmt w:val="decimal"/>
      <w:lvlText w:val=""/>
      <w:lvlJc w:val="left"/>
    </w:lvl>
    <w:lvl w:ilvl="7" w:tplc="56927310">
      <w:numFmt w:val="decimal"/>
      <w:lvlText w:val=""/>
      <w:lvlJc w:val="left"/>
    </w:lvl>
    <w:lvl w:ilvl="8" w:tplc="87624580">
      <w:numFmt w:val="decimal"/>
      <w:lvlText w:val=""/>
      <w:lvlJc w:val="left"/>
    </w:lvl>
  </w:abstractNum>
  <w:abstractNum w:abstractNumId="603" w15:restartNumberingAfterBreak="0">
    <w:nsid w:val="0000551B"/>
    <w:multiLevelType w:val="hybridMultilevel"/>
    <w:tmpl w:val="E298A744"/>
    <w:lvl w:ilvl="0" w:tplc="4F447AFC">
      <w:start w:val="3"/>
      <w:numFmt w:val="decimal"/>
      <w:lvlText w:val="%1."/>
      <w:lvlJc w:val="left"/>
    </w:lvl>
    <w:lvl w:ilvl="1" w:tplc="9A040066">
      <w:start w:val="1"/>
      <w:numFmt w:val="lowerLetter"/>
      <w:lvlText w:val="%2."/>
      <w:lvlJc w:val="left"/>
    </w:lvl>
    <w:lvl w:ilvl="2" w:tplc="A4C0EEA6">
      <w:numFmt w:val="decimal"/>
      <w:lvlText w:val=""/>
      <w:lvlJc w:val="left"/>
    </w:lvl>
    <w:lvl w:ilvl="3" w:tplc="FEC4744A">
      <w:numFmt w:val="decimal"/>
      <w:lvlText w:val=""/>
      <w:lvlJc w:val="left"/>
    </w:lvl>
    <w:lvl w:ilvl="4" w:tplc="D4E04C08">
      <w:numFmt w:val="decimal"/>
      <w:lvlText w:val=""/>
      <w:lvlJc w:val="left"/>
    </w:lvl>
    <w:lvl w:ilvl="5" w:tplc="234C7B2C">
      <w:numFmt w:val="decimal"/>
      <w:lvlText w:val=""/>
      <w:lvlJc w:val="left"/>
    </w:lvl>
    <w:lvl w:ilvl="6" w:tplc="C7C801C6">
      <w:numFmt w:val="decimal"/>
      <w:lvlText w:val=""/>
      <w:lvlJc w:val="left"/>
    </w:lvl>
    <w:lvl w:ilvl="7" w:tplc="43C89CF6">
      <w:numFmt w:val="decimal"/>
      <w:lvlText w:val=""/>
      <w:lvlJc w:val="left"/>
    </w:lvl>
    <w:lvl w:ilvl="8" w:tplc="1A6E4CC2">
      <w:numFmt w:val="decimal"/>
      <w:lvlText w:val=""/>
      <w:lvlJc w:val="left"/>
    </w:lvl>
  </w:abstractNum>
  <w:abstractNum w:abstractNumId="604" w15:restartNumberingAfterBreak="0">
    <w:nsid w:val="00005584"/>
    <w:multiLevelType w:val="hybridMultilevel"/>
    <w:tmpl w:val="CF2683BC"/>
    <w:lvl w:ilvl="0" w:tplc="534015D4">
      <w:start w:val="1"/>
      <w:numFmt w:val="lowerLetter"/>
      <w:lvlText w:val="%1"/>
      <w:lvlJc w:val="left"/>
    </w:lvl>
    <w:lvl w:ilvl="1" w:tplc="EDA0DA28">
      <w:start w:val="310"/>
      <w:numFmt w:val="decimal"/>
      <w:lvlText w:val="%2"/>
      <w:lvlJc w:val="left"/>
    </w:lvl>
    <w:lvl w:ilvl="2" w:tplc="E69EE804">
      <w:start w:val="1"/>
      <w:numFmt w:val="lowerLetter"/>
      <w:lvlText w:val="%3"/>
      <w:lvlJc w:val="left"/>
    </w:lvl>
    <w:lvl w:ilvl="3" w:tplc="5FCEB5C4">
      <w:numFmt w:val="decimal"/>
      <w:lvlText w:val=""/>
      <w:lvlJc w:val="left"/>
    </w:lvl>
    <w:lvl w:ilvl="4" w:tplc="B164EFB6">
      <w:numFmt w:val="decimal"/>
      <w:lvlText w:val=""/>
      <w:lvlJc w:val="left"/>
    </w:lvl>
    <w:lvl w:ilvl="5" w:tplc="A2449FEC">
      <w:numFmt w:val="decimal"/>
      <w:lvlText w:val=""/>
      <w:lvlJc w:val="left"/>
    </w:lvl>
    <w:lvl w:ilvl="6" w:tplc="B824E0F2">
      <w:numFmt w:val="decimal"/>
      <w:lvlText w:val=""/>
      <w:lvlJc w:val="left"/>
    </w:lvl>
    <w:lvl w:ilvl="7" w:tplc="4CDAA720">
      <w:numFmt w:val="decimal"/>
      <w:lvlText w:val=""/>
      <w:lvlJc w:val="left"/>
    </w:lvl>
    <w:lvl w:ilvl="8" w:tplc="2AAC55A8">
      <w:numFmt w:val="decimal"/>
      <w:lvlText w:val=""/>
      <w:lvlJc w:val="left"/>
    </w:lvl>
  </w:abstractNum>
  <w:abstractNum w:abstractNumId="605" w15:restartNumberingAfterBreak="0">
    <w:nsid w:val="00005587"/>
    <w:multiLevelType w:val="hybridMultilevel"/>
    <w:tmpl w:val="5AEC6F06"/>
    <w:lvl w:ilvl="0" w:tplc="B95A2ADE">
      <w:start w:val="17"/>
      <w:numFmt w:val="decimal"/>
      <w:lvlText w:val="(%1)"/>
      <w:lvlJc w:val="left"/>
    </w:lvl>
    <w:lvl w:ilvl="1" w:tplc="DEB0A01E">
      <w:start w:val="1"/>
      <w:numFmt w:val="lowerLetter"/>
      <w:lvlText w:val="(%2)"/>
      <w:lvlJc w:val="left"/>
    </w:lvl>
    <w:lvl w:ilvl="2" w:tplc="191CC694">
      <w:numFmt w:val="decimal"/>
      <w:lvlText w:val=""/>
      <w:lvlJc w:val="left"/>
    </w:lvl>
    <w:lvl w:ilvl="3" w:tplc="D716FB36">
      <w:numFmt w:val="decimal"/>
      <w:lvlText w:val=""/>
      <w:lvlJc w:val="left"/>
    </w:lvl>
    <w:lvl w:ilvl="4" w:tplc="F56CC2EC">
      <w:numFmt w:val="decimal"/>
      <w:lvlText w:val=""/>
      <w:lvlJc w:val="left"/>
    </w:lvl>
    <w:lvl w:ilvl="5" w:tplc="797060E2">
      <w:numFmt w:val="decimal"/>
      <w:lvlText w:val=""/>
      <w:lvlJc w:val="left"/>
    </w:lvl>
    <w:lvl w:ilvl="6" w:tplc="1C7E931C">
      <w:numFmt w:val="decimal"/>
      <w:lvlText w:val=""/>
      <w:lvlJc w:val="left"/>
    </w:lvl>
    <w:lvl w:ilvl="7" w:tplc="2564CA40">
      <w:numFmt w:val="decimal"/>
      <w:lvlText w:val=""/>
      <w:lvlJc w:val="left"/>
    </w:lvl>
    <w:lvl w:ilvl="8" w:tplc="83362846">
      <w:numFmt w:val="decimal"/>
      <w:lvlText w:val=""/>
      <w:lvlJc w:val="left"/>
    </w:lvl>
  </w:abstractNum>
  <w:abstractNum w:abstractNumId="606" w15:restartNumberingAfterBreak="0">
    <w:nsid w:val="0000558D"/>
    <w:multiLevelType w:val="hybridMultilevel"/>
    <w:tmpl w:val="B0EA90AE"/>
    <w:lvl w:ilvl="0" w:tplc="EDEABA1E">
      <w:start w:val="1"/>
      <w:numFmt w:val="lowerLetter"/>
      <w:lvlText w:val="%1"/>
      <w:lvlJc w:val="left"/>
    </w:lvl>
    <w:lvl w:ilvl="1" w:tplc="B326278A">
      <w:start w:val="1"/>
      <w:numFmt w:val="decimal"/>
      <w:lvlText w:val="%2."/>
      <w:lvlJc w:val="left"/>
    </w:lvl>
    <w:lvl w:ilvl="2" w:tplc="4000A806">
      <w:start w:val="1"/>
      <w:numFmt w:val="lowerLetter"/>
      <w:lvlText w:val="%3"/>
      <w:lvlJc w:val="left"/>
    </w:lvl>
    <w:lvl w:ilvl="3" w:tplc="63BA426A">
      <w:numFmt w:val="decimal"/>
      <w:lvlText w:val=""/>
      <w:lvlJc w:val="left"/>
    </w:lvl>
    <w:lvl w:ilvl="4" w:tplc="2D26558C">
      <w:numFmt w:val="decimal"/>
      <w:lvlText w:val=""/>
      <w:lvlJc w:val="left"/>
    </w:lvl>
    <w:lvl w:ilvl="5" w:tplc="33E6794C">
      <w:numFmt w:val="decimal"/>
      <w:lvlText w:val=""/>
      <w:lvlJc w:val="left"/>
    </w:lvl>
    <w:lvl w:ilvl="6" w:tplc="BC5C8DF6">
      <w:numFmt w:val="decimal"/>
      <w:lvlText w:val=""/>
      <w:lvlJc w:val="left"/>
    </w:lvl>
    <w:lvl w:ilvl="7" w:tplc="A2F8A7BA">
      <w:numFmt w:val="decimal"/>
      <w:lvlText w:val=""/>
      <w:lvlJc w:val="left"/>
    </w:lvl>
    <w:lvl w:ilvl="8" w:tplc="F4BC6EE8">
      <w:numFmt w:val="decimal"/>
      <w:lvlText w:val=""/>
      <w:lvlJc w:val="left"/>
    </w:lvl>
  </w:abstractNum>
  <w:abstractNum w:abstractNumId="607" w15:restartNumberingAfterBreak="0">
    <w:nsid w:val="000055CA"/>
    <w:multiLevelType w:val="hybridMultilevel"/>
    <w:tmpl w:val="813EB170"/>
    <w:lvl w:ilvl="0" w:tplc="88EAE968">
      <w:start w:val="1"/>
      <w:numFmt w:val="lowerLetter"/>
      <w:lvlText w:val="%1"/>
      <w:lvlJc w:val="left"/>
    </w:lvl>
    <w:lvl w:ilvl="1" w:tplc="F64AF686">
      <w:start w:val="2"/>
      <w:numFmt w:val="decimal"/>
      <w:lvlText w:val="%2."/>
      <w:lvlJc w:val="left"/>
    </w:lvl>
    <w:lvl w:ilvl="2" w:tplc="0444F9FA">
      <w:numFmt w:val="decimal"/>
      <w:lvlText w:val=""/>
      <w:lvlJc w:val="left"/>
    </w:lvl>
    <w:lvl w:ilvl="3" w:tplc="95820F0A">
      <w:numFmt w:val="decimal"/>
      <w:lvlText w:val=""/>
      <w:lvlJc w:val="left"/>
    </w:lvl>
    <w:lvl w:ilvl="4" w:tplc="447834A8">
      <w:numFmt w:val="decimal"/>
      <w:lvlText w:val=""/>
      <w:lvlJc w:val="left"/>
    </w:lvl>
    <w:lvl w:ilvl="5" w:tplc="8E56F292">
      <w:numFmt w:val="decimal"/>
      <w:lvlText w:val=""/>
      <w:lvlJc w:val="left"/>
    </w:lvl>
    <w:lvl w:ilvl="6" w:tplc="74880E28">
      <w:numFmt w:val="decimal"/>
      <w:lvlText w:val=""/>
      <w:lvlJc w:val="left"/>
    </w:lvl>
    <w:lvl w:ilvl="7" w:tplc="7EA04D96">
      <w:numFmt w:val="decimal"/>
      <w:lvlText w:val=""/>
      <w:lvlJc w:val="left"/>
    </w:lvl>
    <w:lvl w:ilvl="8" w:tplc="E4F4E374">
      <w:numFmt w:val="decimal"/>
      <w:lvlText w:val=""/>
      <w:lvlJc w:val="left"/>
    </w:lvl>
  </w:abstractNum>
  <w:abstractNum w:abstractNumId="608" w15:restartNumberingAfterBreak="0">
    <w:nsid w:val="000055CB"/>
    <w:multiLevelType w:val="hybridMultilevel"/>
    <w:tmpl w:val="BE04555C"/>
    <w:lvl w:ilvl="0" w:tplc="FA5AEC50">
      <w:start w:val="1"/>
      <w:numFmt w:val="decimal"/>
      <w:lvlText w:val="(%1)"/>
      <w:lvlJc w:val="left"/>
    </w:lvl>
    <w:lvl w:ilvl="1" w:tplc="46E65B16">
      <w:numFmt w:val="decimal"/>
      <w:lvlText w:val=""/>
      <w:lvlJc w:val="left"/>
    </w:lvl>
    <w:lvl w:ilvl="2" w:tplc="CB4EEE1C">
      <w:numFmt w:val="decimal"/>
      <w:lvlText w:val=""/>
      <w:lvlJc w:val="left"/>
    </w:lvl>
    <w:lvl w:ilvl="3" w:tplc="3B3E412C">
      <w:numFmt w:val="decimal"/>
      <w:lvlText w:val=""/>
      <w:lvlJc w:val="left"/>
    </w:lvl>
    <w:lvl w:ilvl="4" w:tplc="A928D544">
      <w:numFmt w:val="decimal"/>
      <w:lvlText w:val=""/>
      <w:lvlJc w:val="left"/>
    </w:lvl>
    <w:lvl w:ilvl="5" w:tplc="306887A2">
      <w:numFmt w:val="decimal"/>
      <w:lvlText w:val=""/>
      <w:lvlJc w:val="left"/>
    </w:lvl>
    <w:lvl w:ilvl="6" w:tplc="F5D6D9DC">
      <w:numFmt w:val="decimal"/>
      <w:lvlText w:val=""/>
      <w:lvlJc w:val="left"/>
    </w:lvl>
    <w:lvl w:ilvl="7" w:tplc="44586460">
      <w:numFmt w:val="decimal"/>
      <w:lvlText w:val=""/>
      <w:lvlJc w:val="left"/>
    </w:lvl>
    <w:lvl w:ilvl="8" w:tplc="44CC9E68">
      <w:numFmt w:val="decimal"/>
      <w:lvlText w:val=""/>
      <w:lvlJc w:val="left"/>
    </w:lvl>
  </w:abstractNum>
  <w:abstractNum w:abstractNumId="609" w15:restartNumberingAfterBreak="0">
    <w:nsid w:val="000055DB"/>
    <w:multiLevelType w:val="hybridMultilevel"/>
    <w:tmpl w:val="EC1463FC"/>
    <w:lvl w:ilvl="0" w:tplc="3808085C">
      <w:start w:val="19"/>
      <w:numFmt w:val="decimal"/>
      <w:lvlText w:val="(%1)"/>
      <w:lvlJc w:val="left"/>
    </w:lvl>
    <w:lvl w:ilvl="1" w:tplc="EE50FB3C">
      <w:start w:val="1"/>
      <w:numFmt w:val="lowerLetter"/>
      <w:lvlText w:val="(%2)"/>
      <w:lvlJc w:val="left"/>
    </w:lvl>
    <w:lvl w:ilvl="2" w:tplc="B9544B78">
      <w:numFmt w:val="decimal"/>
      <w:lvlText w:val=""/>
      <w:lvlJc w:val="left"/>
    </w:lvl>
    <w:lvl w:ilvl="3" w:tplc="D1C86FC4">
      <w:numFmt w:val="decimal"/>
      <w:lvlText w:val=""/>
      <w:lvlJc w:val="left"/>
    </w:lvl>
    <w:lvl w:ilvl="4" w:tplc="2DAC8958">
      <w:numFmt w:val="decimal"/>
      <w:lvlText w:val=""/>
      <w:lvlJc w:val="left"/>
    </w:lvl>
    <w:lvl w:ilvl="5" w:tplc="87FAF596">
      <w:numFmt w:val="decimal"/>
      <w:lvlText w:val=""/>
      <w:lvlJc w:val="left"/>
    </w:lvl>
    <w:lvl w:ilvl="6" w:tplc="166CA1C0">
      <w:numFmt w:val="decimal"/>
      <w:lvlText w:val=""/>
      <w:lvlJc w:val="left"/>
    </w:lvl>
    <w:lvl w:ilvl="7" w:tplc="BCFCC0A8">
      <w:numFmt w:val="decimal"/>
      <w:lvlText w:val=""/>
      <w:lvlJc w:val="left"/>
    </w:lvl>
    <w:lvl w:ilvl="8" w:tplc="9B3A9EE2">
      <w:numFmt w:val="decimal"/>
      <w:lvlText w:val=""/>
      <w:lvlJc w:val="left"/>
    </w:lvl>
  </w:abstractNum>
  <w:abstractNum w:abstractNumId="610" w15:restartNumberingAfterBreak="0">
    <w:nsid w:val="000055E7"/>
    <w:multiLevelType w:val="hybridMultilevel"/>
    <w:tmpl w:val="F742345C"/>
    <w:lvl w:ilvl="0" w:tplc="13309F3E">
      <w:start w:val="2"/>
      <w:numFmt w:val="lowerLetter"/>
      <w:lvlText w:val="(%1)"/>
      <w:lvlJc w:val="left"/>
    </w:lvl>
    <w:lvl w:ilvl="1" w:tplc="7D28D06A">
      <w:start w:val="1"/>
      <w:numFmt w:val="decimal"/>
      <w:lvlText w:val="%2."/>
      <w:lvlJc w:val="left"/>
    </w:lvl>
    <w:lvl w:ilvl="2" w:tplc="07D0F660">
      <w:start w:val="1"/>
      <w:numFmt w:val="lowerLetter"/>
      <w:lvlText w:val="%3"/>
      <w:lvlJc w:val="left"/>
    </w:lvl>
    <w:lvl w:ilvl="3" w:tplc="50622100">
      <w:numFmt w:val="decimal"/>
      <w:lvlText w:val=""/>
      <w:lvlJc w:val="left"/>
    </w:lvl>
    <w:lvl w:ilvl="4" w:tplc="7436A60A">
      <w:numFmt w:val="decimal"/>
      <w:lvlText w:val=""/>
      <w:lvlJc w:val="left"/>
    </w:lvl>
    <w:lvl w:ilvl="5" w:tplc="7FB2328A">
      <w:numFmt w:val="decimal"/>
      <w:lvlText w:val=""/>
      <w:lvlJc w:val="left"/>
    </w:lvl>
    <w:lvl w:ilvl="6" w:tplc="3D425FE8">
      <w:numFmt w:val="decimal"/>
      <w:lvlText w:val=""/>
      <w:lvlJc w:val="left"/>
    </w:lvl>
    <w:lvl w:ilvl="7" w:tplc="E2E89370">
      <w:numFmt w:val="decimal"/>
      <w:lvlText w:val=""/>
      <w:lvlJc w:val="left"/>
    </w:lvl>
    <w:lvl w:ilvl="8" w:tplc="CB16B20E">
      <w:numFmt w:val="decimal"/>
      <w:lvlText w:val=""/>
      <w:lvlJc w:val="left"/>
    </w:lvl>
  </w:abstractNum>
  <w:abstractNum w:abstractNumId="611" w15:restartNumberingAfterBreak="0">
    <w:nsid w:val="000055FC"/>
    <w:multiLevelType w:val="hybridMultilevel"/>
    <w:tmpl w:val="4FAAA6BA"/>
    <w:lvl w:ilvl="0" w:tplc="E16800CA">
      <w:start w:val="15"/>
      <w:numFmt w:val="decimal"/>
      <w:lvlText w:val="(%1)"/>
      <w:lvlJc w:val="left"/>
    </w:lvl>
    <w:lvl w:ilvl="1" w:tplc="BE5E8E46">
      <w:start w:val="1"/>
      <w:numFmt w:val="lowerLetter"/>
      <w:lvlText w:val="(%2)"/>
      <w:lvlJc w:val="left"/>
    </w:lvl>
    <w:lvl w:ilvl="2" w:tplc="84589F08">
      <w:start w:val="1"/>
      <w:numFmt w:val="decimal"/>
      <w:lvlText w:val="%3."/>
      <w:lvlJc w:val="left"/>
    </w:lvl>
    <w:lvl w:ilvl="3" w:tplc="8D56AD74">
      <w:numFmt w:val="decimal"/>
      <w:lvlText w:val=""/>
      <w:lvlJc w:val="left"/>
    </w:lvl>
    <w:lvl w:ilvl="4" w:tplc="D9D8E292">
      <w:numFmt w:val="decimal"/>
      <w:lvlText w:val=""/>
      <w:lvlJc w:val="left"/>
    </w:lvl>
    <w:lvl w:ilvl="5" w:tplc="A73E946E">
      <w:numFmt w:val="decimal"/>
      <w:lvlText w:val=""/>
      <w:lvlJc w:val="left"/>
    </w:lvl>
    <w:lvl w:ilvl="6" w:tplc="B9E6249A">
      <w:numFmt w:val="decimal"/>
      <w:lvlText w:val=""/>
      <w:lvlJc w:val="left"/>
    </w:lvl>
    <w:lvl w:ilvl="7" w:tplc="A5EC0114">
      <w:numFmt w:val="decimal"/>
      <w:lvlText w:val=""/>
      <w:lvlJc w:val="left"/>
    </w:lvl>
    <w:lvl w:ilvl="8" w:tplc="9520996C">
      <w:numFmt w:val="decimal"/>
      <w:lvlText w:val=""/>
      <w:lvlJc w:val="left"/>
    </w:lvl>
  </w:abstractNum>
  <w:abstractNum w:abstractNumId="612" w15:restartNumberingAfterBreak="0">
    <w:nsid w:val="000055FF"/>
    <w:multiLevelType w:val="hybridMultilevel"/>
    <w:tmpl w:val="11683C62"/>
    <w:lvl w:ilvl="0" w:tplc="C75C8FA6">
      <w:start w:val="3"/>
      <w:numFmt w:val="decimal"/>
      <w:lvlText w:val="%1"/>
      <w:lvlJc w:val="left"/>
    </w:lvl>
    <w:lvl w:ilvl="1" w:tplc="5DB20A84">
      <w:numFmt w:val="decimal"/>
      <w:lvlText w:val=""/>
      <w:lvlJc w:val="left"/>
    </w:lvl>
    <w:lvl w:ilvl="2" w:tplc="EA4E3108">
      <w:numFmt w:val="decimal"/>
      <w:lvlText w:val=""/>
      <w:lvlJc w:val="left"/>
    </w:lvl>
    <w:lvl w:ilvl="3" w:tplc="8BF26118">
      <w:numFmt w:val="decimal"/>
      <w:lvlText w:val=""/>
      <w:lvlJc w:val="left"/>
    </w:lvl>
    <w:lvl w:ilvl="4" w:tplc="4AF6241A">
      <w:numFmt w:val="decimal"/>
      <w:lvlText w:val=""/>
      <w:lvlJc w:val="left"/>
    </w:lvl>
    <w:lvl w:ilvl="5" w:tplc="481234B4">
      <w:numFmt w:val="decimal"/>
      <w:lvlText w:val=""/>
      <w:lvlJc w:val="left"/>
    </w:lvl>
    <w:lvl w:ilvl="6" w:tplc="58B69986">
      <w:numFmt w:val="decimal"/>
      <w:lvlText w:val=""/>
      <w:lvlJc w:val="left"/>
    </w:lvl>
    <w:lvl w:ilvl="7" w:tplc="3C3C156A">
      <w:numFmt w:val="decimal"/>
      <w:lvlText w:val=""/>
      <w:lvlJc w:val="left"/>
    </w:lvl>
    <w:lvl w:ilvl="8" w:tplc="C8F85500">
      <w:numFmt w:val="decimal"/>
      <w:lvlText w:val=""/>
      <w:lvlJc w:val="left"/>
    </w:lvl>
  </w:abstractNum>
  <w:abstractNum w:abstractNumId="613" w15:restartNumberingAfterBreak="0">
    <w:nsid w:val="00005602"/>
    <w:multiLevelType w:val="hybridMultilevel"/>
    <w:tmpl w:val="F3D020F4"/>
    <w:lvl w:ilvl="0" w:tplc="B50AF94A">
      <w:start w:val="1"/>
      <w:numFmt w:val="decimal"/>
      <w:lvlText w:val="%1"/>
      <w:lvlJc w:val="left"/>
    </w:lvl>
    <w:lvl w:ilvl="1" w:tplc="21F29B2E">
      <w:start w:val="6"/>
      <w:numFmt w:val="lowerLetter"/>
      <w:lvlText w:val="(%2)"/>
      <w:lvlJc w:val="left"/>
    </w:lvl>
    <w:lvl w:ilvl="2" w:tplc="9B9C1498">
      <w:start w:val="1"/>
      <w:numFmt w:val="decimal"/>
      <w:lvlText w:val="%3"/>
      <w:lvlJc w:val="left"/>
    </w:lvl>
    <w:lvl w:ilvl="3" w:tplc="631C82C6">
      <w:start w:val="1"/>
      <w:numFmt w:val="decimal"/>
      <w:lvlText w:val="%4"/>
      <w:lvlJc w:val="left"/>
    </w:lvl>
    <w:lvl w:ilvl="4" w:tplc="6978B29A">
      <w:start w:val="1"/>
      <w:numFmt w:val="lowerLetter"/>
      <w:lvlText w:val="%5"/>
      <w:lvlJc w:val="left"/>
    </w:lvl>
    <w:lvl w:ilvl="5" w:tplc="5BFAEF02">
      <w:start w:val="1"/>
      <w:numFmt w:val="lowerRoman"/>
      <w:lvlText w:val="%6"/>
      <w:lvlJc w:val="left"/>
    </w:lvl>
    <w:lvl w:ilvl="6" w:tplc="AFCEF8E4">
      <w:numFmt w:val="decimal"/>
      <w:lvlText w:val=""/>
      <w:lvlJc w:val="left"/>
    </w:lvl>
    <w:lvl w:ilvl="7" w:tplc="090E9C68">
      <w:numFmt w:val="decimal"/>
      <w:lvlText w:val=""/>
      <w:lvlJc w:val="left"/>
    </w:lvl>
    <w:lvl w:ilvl="8" w:tplc="E2A8ED6C">
      <w:numFmt w:val="decimal"/>
      <w:lvlText w:val=""/>
      <w:lvlJc w:val="left"/>
    </w:lvl>
  </w:abstractNum>
  <w:abstractNum w:abstractNumId="614" w15:restartNumberingAfterBreak="0">
    <w:nsid w:val="0000565A"/>
    <w:multiLevelType w:val="hybridMultilevel"/>
    <w:tmpl w:val="8950477A"/>
    <w:lvl w:ilvl="0" w:tplc="8F5E84A6">
      <w:start w:val="21"/>
      <w:numFmt w:val="decimal"/>
      <w:lvlText w:val="(%1)"/>
      <w:lvlJc w:val="left"/>
    </w:lvl>
    <w:lvl w:ilvl="1" w:tplc="7140033C">
      <w:start w:val="1"/>
      <w:numFmt w:val="lowerLetter"/>
      <w:lvlText w:val="(%2)"/>
      <w:lvlJc w:val="left"/>
    </w:lvl>
    <w:lvl w:ilvl="2" w:tplc="764EEB02">
      <w:numFmt w:val="decimal"/>
      <w:lvlText w:val=""/>
      <w:lvlJc w:val="left"/>
    </w:lvl>
    <w:lvl w:ilvl="3" w:tplc="67524452">
      <w:numFmt w:val="decimal"/>
      <w:lvlText w:val=""/>
      <w:lvlJc w:val="left"/>
    </w:lvl>
    <w:lvl w:ilvl="4" w:tplc="6EEA6894">
      <w:numFmt w:val="decimal"/>
      <w:lvlText w:val=""/>
      <w:lvlJc w:val="left"/>
    </w:lvl>
    <w:lvl w:ilvl="5" w:tplc="816EC89A">
      <w:numFmt w:val="decimal"/>
      <w:lvlText w:val=""/>
      <w:lvlJc w:val="left"/>
    </w:lvl>
    <w:lvl w:ilvl="6" w:tplc="590ED174">
      <w:numFmt w:val="decimal"/>
      <w:lvlText w:val=""/>
      <w:lvlJc w:val="left"/>
    </w:lvl>
    <w:lvl w:ilvl="7" w:tplc="E2EE4E0E">
      <w:numFmt w:val="decimal"/>
      <w:lvlText w:val=""/>
      <w:lvlJc w:val="left"/>
    </w:lvl>
    <w:lvl w:ilvl="8" w:tplc="03122902">
      <w:numFmt w:val="decimal"/>
      <w:lvlText w:val=""/>
      <w:lvlJc w:val="left"/>
    </w:lvl>
  </w:abstractNum>
  <w:abstractNum w:abstractNumId="615" w15:restartNumberingAfterBreak="0">
    <w:nsid w:val="000056C6"/>
    <w:multiLevelType w:val="hybridMultilevel"/>
    <w:tmpl w:val="30D483DC"/>
    <w:lvl w:ilvl="0" w:tplc="15D4BE18">
      <w:start w:val="1"/>
      <w:numFmt w:val="decimal"/>
      <w:lvlText w:val="%1"/>
      <w:lvlJc w:val="left"/>
    </w:lvl>
    <w:lvl w:ilvl="1" w:tplc="1840A188">
      <w:start w:val="1"/>
      <w:numFmt w:val="lowerLetter"/>
      <w:lvlText w:val="%2"/>
      <w:lvlJc w:val="left"/>
    </w:lvl>
    <w:lvl w:ilvl="2" w:tplc="476457CE">
      <w:start w:val="3"/>
      <w:numFmt w:val="decimal"/>
      <w:lvlText w:val="%3."/>
      <w:lvlJc w:val="left"/>
    </w:lvl>
    <w:lvl w:ilvl="3" w:tplc="E3828948">
      <w:numFmt w:val="decimal"/>
      <w:lvlText w:val=""/>
      <w:lvlJc w:val="left"/>
    </w:lvl>
    <w:lvl w:ilvl="4" w:tplc="2FA4027C">
      <w:numFmt w:val="decimal"/>
      <w:lvlText w:val=""/>
      <w:lvlJc w:val="left"/>
    </w:lvl>
    <w:lvl w:ilvl="5" w:tplc="C8F88488">
      <w:numFmt w:val="decimal"/>
      <w:lvlText w:val=""/>
      <w:lvlJc w:val="left"/>
    </w:lvl>
    <w:lvl w:ilvl="6" w:tplc="E7986E3C">
      <w:numFmt w:val="decimal"/>
      <w:lvlText w:val=""/>
      <w:lvlJc w:val="left"/>
    </w:lvl>
    <w:lvl w:ilvl="7" w:tplc="5D306436">
      <w:numFmt w:val="decimal"/>
      <w:lvlText w:val=""/>
      <w:lvlJc w:val="left"/>
    </w:lvl>
    <w:lvl w:ilvl="8" w:tplc="04C66B3E">
      <w:numFmt w:val="decimal"/>
      <w:lvlText w:val=""/>
      <w:lvlJc w:val="left"/>
    </w:lvl>
  </w:abstractNum>
  <w:abstractNum w:abstractNumId="616" w15:restartNumberingAfterBreak="0">
    <w:nsid w:val="000056D1"/>
    <w:multiLevelType w:val="hybridMultilevel"/>
    <w:tmpl w:val="5644098A"/>
    <w:lvl w:ilvl="0" w:tplc="732CE8C6">
      <w:start w:val="1"/>
      <w:numFmt w:val="lowerLetter"/>
      <w:lvlText w:val="%1"/>
      <w:lvlJc w:val="left"/>
    </w:lvl>
    <w:lvl w:ilvl="1" w:tplc="831062B8">
      <w:start w:val="5"/>
      <w:numFmt w:val="decimal"/>
      <w:lvlText w:val="%2."/>
      <w:lvlJc w:val="left"/>
    </w:lvl>
    <w:lvl w:ilvl="2" w:tplc="B6F4268A">
      <w:numFmt w:val="decimal"/>
      <w:lvlText w:val=""/>
      <w:lvlJc w:val="left"/>
    </w:lvl>
    <w:lvl w:ilvl="3" w:tplc="E290531E">
      <w:numFmt w:val="decimal"/>
      <w:lvlText w:val=""/>
      <w:lvlJc w:val="left"/>
    </w:lvl>
    <w:lvl w:ilvl="4" w:tplc="27FC4EDA">
      <w:numFmt w:val="decimal"/>
      <w:lvlText w:val=""/>
      <w:lvlJc w:val="left"/>
    </w:lvl>
    <w:lvl w:ilvl="5" w:tplc="8E362D0E">
      <w:numFmt w:val="decimal"/>
      <w:lvlText w:val=""/>
      <w:lvlJc w:val="left"/>
    </w:lvl>
    <w:lvl w:ilvl="6" w:tplc="CFB4E36E">
      <w:numFmt w:val="decimal"/>
      <w:lvlText w:val=""/>
      <w:lvlJc w:val="left"/>
    </w:lvl>
    <w:lvl w:ilvl="7" w:tplc="A5F2E5E4">
      <w:numFmt w:val="decimal"/>
      <w:lvlText w:val=""/>
      <w:lvlJc w:val="left"/>
    </w:lvl>
    <w:lvl w:ilvl="8" w:tplc="09E6291A">
      <w:numFmt w:val="decimal"/>
      <w:lvlText w:val=""/>
      <w:lvlJc w:val="left"/>
    </w:lvl>
  </w:abstractNum>
  <w:abstractNum w:abstractNumId="617" w15:restartNumberingAfterBreak="0">
    <w:nsid w:val="00005740"/>
    <w:multiLevelType w:val="hybridMultilevel"/>
    <w:tmpl w:val="EBB87098"/>
    <w:lvl w:ilvl="0" w:tplc="F9F4C0B8">
      <w:start w:val="1"/>
      <w:numFmt w:val="lowerLetter"/>
      <w:lvlText w:val="%1"/>
      <w:lvlJc w:val="left"/>
    </w:lvl>
    <w:lvl w:ilvl="1" w:tplc="EF3A420E">
      <w:start w:val="3"/>
      <w:numFmt w:val="decimal"/>
      <w:lvlText w:val="%2."/>
      <w:lvlJc w:val="left"/>
    </w:lvl>
    <w:lvl w:ilvl="2" w:tplc="6226CA0A">
      <w:start w:val="1"/>
      <w:numFmt w:val="lowerLetter"/>
      <w:lvlText w:val="%3"/>
      <w:lvlJc w:val="left"/>
    </w:lvl>
    <w:lvl w:ilvl="3" w:tplc="85D47DB6">
      <w:numFmt w:val="decimal"/>
      <w:lvlText w:val=""/>
      <w:lvlJc w:val="left"/>
    </w:lvl>
    <w:lvl w:ilvl="4" w:tplc="0D34DE0C">
      <w:numFmt w:val="decimal"/>
      <w:lvlText w:val=""/>
      <w:lvlJc w:val="left"/>
    </w:lvl>
    <w:lvl w:ilvl="5" w:tplc="27A2C74C">
      <w:numFmt w:val="decimal"/>
      <w:lvlText w:val=""/>
      <w:lvlJc w:val="left"/>
    </w:lvl>
    <w:lvl w:ilvl="6" w:tplc="50961FF2">
      <w:numFmt w:val="decimal"/>
      <w:lvlText w:val=""/>
      <w:lvlJc w:val="left"/>
    </w:lvl>
    <w:lvl w:ilvl="7" w:tplc="D3FC2C84">
      <w:numFmt w:val="decimal"/>
      <w:lvlText w:val=""/>
      <w:lvlJc w:val="left"/>
    </w:lvl>
    <w:lvl w:ilvl="8" w:tplc="53728DF6">
      <w:numFmt w:val="decimal"/>
      <w:lvlText w:val=""/>
      <w:lvlJc w:val="left"/>
    </w:lvl>
  </w:abstractNum>
  <w:abstractNum w:abstractNumId="618" w15:restartNumberingAfterBreak="0">
    <w:nsid w:val="00005759"/>
    <w:multiLevelType w:val="hybridMultilevel"/>
    <w:tmpl w:val="080ACDA4"/>
    <w:lvl w:ilvl="0" w:tplc="90105AAC">
      <w:start w:val="1"/>
      <w:numFmt w:val="decimal"/>
      <w:lvlText w:val="%1"/>
      <w:lvlJc w:val="left"/>
    </w:lvl>
    <w:lvl w:ilvl="1" w:tplc="DF80C3CC">
      <w:start w:val="1"/>
      <w:numFmt w:val="lowerLetter"/>
      <w:lvlText w:val="%2"/>
      <w:lvlJc w:val="left"/>
    </w:lvl>
    <w:lvl w:ilvl="2" w:tplc="0568D3F8">
      <w:start w:val="2"/>
      <w:numFmt w:val="decimal"/>
      <w:lvlText w:val="%3"/>
      <w:lvlJc w:val="left"/>
    </w:lvl>
    <w:lvl w:ilvl="3" w:tplc="842649EA">
      <w:start w:val="1"/>
      <w:numFmt w:val="lowerLetter"/>
      <w:lvlText w:val="%4."/>
      <w:lvlJc w:val="left"/>
    </w:lvl>
    <w:lvl w:ilvl="4" w:tplc="EB7A36F6">
      <w:numFmt w:val="decimal"/>
      <w:lvlText w:val=""/>
      <w:lvlJc w:val="left"/>
    </w:lvl>
    <w:lvl w:ilvl="5" w:tplc="CC80D6BA">
      <w:numFmt w:val="decimal"/>
      <w:lvlText w:val=""/>
      <w:lvlJc w:val="left"/>
    </w:lvl>
    <w:lvl w:ilvl="6" w:tplc="1EFAB340">
      <w:numFmt w:val="decimal"/>
      <w:lvlText w:val=""/>
      <w:lvlJc w:val="left"/>
    </w:lvl>
    <w:lvl w:ilvl="7" w:tplc="2260017A">
      <w:numFmt w:val="decimal"/>
      <w:lvlText w:val=""/>
      <w:lvlJc w:val="left"/>
    </w:lvl>
    <w:lvl w:ilvl="8" w:tplc="20304A2C">
      <w:numFmt w:val="decimal"/>
      <w:lvlText w:val=""/>
      <w:lvlJc w:val="left"/>
    </w:lvl>
  </w:abstractNum>
  <w:abstractNum w:abstractNumId="619" w15:restartNumberingAfterBreak="0">
    <w:nsid w:val="0000575B"/>
    <w:multiLevelType w:val="hybridMultilevel"/>
    <w:tmpl w:val="EB827AF8"/>
    <w:lvl w:ilvl="0" w:tplc="075256A4">
      <w:start w:val="1"/>
      <w:numFmt w:val="decimal"/>
      <w:lvlText w:val="%1"/>
      <w:lvlJc w:val="left"/>
    </w:lvl>
    <w:lvl w:ilvl="1" w:tplc="2B441422">
      <w:start w:val="3"/>
      <w:numFmt w:val="lowerLetter"/>
      <w:lvlText w:val="(%2)"/>
      <w:lvlJc w:val="left"/>
    </w:lvl>
    <w:lvl w:ilvl="2" w:tplc="9C90D8FC">
      <w:start w:val="1"/>
      <w:numFmt w:val="decimal"/>
      <w:lvlText w:val="%3"/>
      <w:lvlJc w:val="left"/>
    </w:lvl>
    <w:lvl w:ilvl="3" w:tplc="E174BC06">
      <w:numFmt w:val="decimal"/>
      <w:lvlText w:val=""/>
      <w:lvlJc w:val="left"/>
    </w:lvl>
    <w:lvl w:ilvl="4" w:tplc="A81CA87E">
      <w:numFmt w:val="decimal"/>
      <w:lvlText w:val=""/>
      <w:lvlJc w:val="left"/>
    </w:lvl>
    <w:lvl w:ilvl="5" w:tplc="7D3026F4">
      <w:numFmt w:val="decimal"/>
      <w:lvlText w:val=""/>
      <w:lvlJc w:val="left"/>
    </w:lvl>
    <w:lvl w:ilvl="6" w:tplc="B1F47B0A">
      <w:numFmt w:val="decimal"/>
      <w:lvlText w:val=""/>
      <w:lvlJc w:val="left"/>
    </w:lvl>
    <w:lvl w:ilvl="7" w:tplc="8E5CDDBC">
      <w:numFmt w:val="decimal"/>
      <w:lvlText w:val=""/>
      <w:lvlJc w:val="left"/>
    </w:lvl>
    <w:lvl w:ilvl="8" w:tplc="15ACE82E">
      <w:numFmt w:val="decimal"/>
      <w:lvlText w:val=""/>
      <w:lvlJc w:val="left"/>
    </w:lvl>
  </w:abstractNum>
  <w:abstractNum w:abstractNumId="620" w15:restartNumberingAfterBreak="0">
    <w:nsid w:val="0000579F"/>
    <w:multiLevelType w:val="hybridMultilevel"/>
    <w:tmpl w:val="C77A13F4"/>
    <w:lvl w:ilvl="0" w:tplc="C9961E66">
      <w:start w:val="9"/>
      <w:numFmt w:val="decimal"/>
      <w:lvlText w:val="(%1)"/>
      <w:lvlJc w:val="left"/>
    </w:lvl>
    <w:lvl w:ilvl="1" w:tplc="7CC6392A">
      <w:numFmt w:val="decimal"/>
      <w:lvlText w:val=""/>
      <w:lvlJc w:val="left"/>
    </w:lvl>
    <w:lvl w:ilvl="2" w:tplc="5BDC765A">
      <w:numFmt w:val="decimal"/>
      <w:lvlText w:val=""/>
      <w:lvlJc w:val="left"/>
    </w:lvl>
    <w:lvl w:ilvl="3" w:tplc="BAA83D70">
      <w:numFmt w:val="decimal"/>
      <w:lvlText w:val=""/>
      <w:lvlJc w:val="left"/>
    </w:lvl>
    <w:lvl w:ilvl="4" w:tplc="69425FF2">
      <w:numFmt w:val="decimal"/>
      <w:lvlText w:val=""/>
      <w:lvlJc w:val="left"/>
    </w:lvl>
    <w:lvl w:ilvl="5" w:tplc="25E2AFDE">
      <w:numFmt w:val="decimal"/>
      <w:lvlText w:val=""/>
      <w:lvlJc w:val="left"/>
    </w:lvl>
    <w:lvl w:ilvl="6" w:tplc="6B76FB26">
      <w:numFmt w:val="decimal"/>
      <w:lvlText w:val=""/>
      <w:lvlJc w:val="left"/>
    </w:lvl>
    <w:lvl w:ilvl="7" w:tplc="680C00BE">
      <w:numFmt w:val="decimal"/>
      <w:lvlText w:val=""/>
      <w:lvlJc w:val="left"/>
    </w:lvl>
    <w:lvl w:ilvl="8" w:tplc="F85C643A">
      <w:numFmt w:val="decimal"/>
      <w:lvlText w:val=""/>
      <w:lvlJc w:val="left"/>
    </w:lvl>
  </w:abstractNum>
  <w:abstractNum w:abstractNumId="621" w15:restartNumberingAfterBreak="0">
    <w:nsid w:val="000057E5"/>
    <w:multiLevelType w:val="hybridMultilevel"/>
    <w:tmpl w:val="750CAADC"/>
    <w:lvl w:ilvl="0" w:tplc="36107A92">
      <w:start w:val="11"/>
      <w:numFmt w:val="decimal"/>
      <w:lvlText w:val="(%1)"/>
      <w:lvlJc w:val="left"/>
    </w:lvl>
    <w:lvl w:ilvl="1" w:tplc="C7E889F2">
      <w:start w:val="1"/>
      <w:numFmt w:val="lowerLetter"/>
      <w:lvlText w:val="(%2)"/>
      <w:lvlJc w:val="left"/>
    </w:lvl>
    <w:lvl w:ilvl="2" w:tplc="951CC9CE">
      <w:start w:val="1"/>
      <w:numFmt w:val="decimal"/>
      <w:lvlText w:val="%3."/>
      <w:lvlJc w:val="left"/>
    </w:lvl>
    <w:lvl w:ilvl="3" w:tplc="58AC2C9C">
      <w:numFmt w:val="decimal"/>
      <w:lvlText w:val=""/>
      <w:lvlJc w:val="left"/>
    </w:lvl>
    <w:lvl w:ilvl="4" w:tplc="B7FCF43E">
      <w:numFmt w:val="decimal"/>
      <w:lvlText w:val=""/>
      <w:lvlJc w:val="left"/>
    </w:lvl>
    <w:lvl w:ilvl="5" w:tplc="94003F4A">
      <w:numFmt w:val="decimal"/>
      <w:lvlText w:val=""/>
      <w:lvlJc w:val="left"/>
    </w:lvl>
    <w:lvl w:ilvl="6" w:tplc="6140379E">
      <w:numFmt w:val="decimal"/>
      <w:lvlText w:val=""/>
      <w:lvlJc w:val="left"/>
    </w:lvl>
    <w:lvl w:ilvl="7" w:tplc="0C00B280">
      <w:numFmt w:val="decimal"/>
      <w:lvlText w:val=""/>
      <w:lvlJc w:val="left"/>
    </w:lvl>
    <w:lvl w:ilvl="8" w:tplc="867256AC">
      <w:numFmt w:val="decimal"/>
      <w:lvlText w:val=""/>
      <w:lvlJc w:val="left"/>
    </w:lvl>
  </w:abstractNum>
  <w:abstractNum w:abstractNumId="622" w15:restartNumberingAfterBreak="0">
    <w:nsid w:val="00005832"/>
    <w:multiLevelType w:val="hybridMultilevel"/>
    <w:tmpl w:val="E3E457F6"/>
    <w:lvl w:ilvl="0" w:tplc="EB301DB0">
      <w:start w:val="1"/>
      <w:numFmt w:val="decimal"/>
      <w:lvlText w:val="%1"/>
      <w:lvlJc w:val="left"/>
    </w:lvl>
    <w:lvl w:ilvl="1" w:tplc="2FAC2D3C">
      <w:start w:val="1"/>
      <w:numFmt w:val="lowerLetter"/>
      <w:lvlText w:val="%2"/>
      <w:lvlJc w:val="left"/>
    </w:lvl>
    <w:lvl w:ilvl="2" w:tplc="CA688A16">
      <w:start w:val="1"/>
      <w:numFmt w:val="decimal"/>
      <w:lvlText w:val="%3."/>
      <w:lvlJc w:val="left"/>
    </w:lvl>
    <w:lvl w:ilvl="3" w:tplc="F2EAA58E">
      <w:numFmt w:val="decimal"/>
      <w:lvlText w:val=""/>
      <w:lvlJc w:val="left"/>
    </w:lvl>
    <w:lvl w:ilvl="4" w:tplc="DC1E2C5A">
      <w:numFmt w:val="decimal"/>
      <w:lvlText w:val=""/>
      <w:lvlJc w:val="left"/>
    </w:lvl>
    <w:lvl w:ilvl="5" w:tplc="F8905586">
      <w:numFmt w:val="decimal"/>
      <w:lvlText w:val=""/>
      <w:lvlJc w:val="left"/>
    </w:lvl>
    <w:lvl w:ilvl="6" w:tplc="85F6CF76">
      <w:numFmt w:val="decimal"/>
      <w:lvlText w:val=""/>
      <w:lvlJc w:val="left"/>
    </w:lvl>
    <w:lvl w:ilvl="7" w:tplc="8E442898">
      <w:numFmt w:val="decimal"/>
      <w:lvlText w:val=""/>
      <w:lvlJc w:val="left"/>
    </w:lvl>
    <w:lvl w:ilvl="8" w:tplc="C70A3E8A">
      <w:numFmt w:val="decimal"/>
      <w:lvlText w:val=""/>
      <w:lvlJc w:val="left"/>
    </w:lvl>
  </w:abstractNum>
  <w:abstractNum w:abstractNumId="623" w15:restartNumberingAfterBreak="0">
    <w:nsid w:val="00005841"/>
    <w:multiLevelType w:val="hybridMultilevel"/>
    <w:tmpl w:val="8F0EB490"/>
    <w:lvl w:ilvl="0" w:tplc="757A2AFC">
      <w:start w:val="2"/>
      <w:numFmt w:val="lowerLetter"/>
      <w:lvlText w:val="(%1)"/>
      <w:lvlJc w:val="left"/>
    </w:lvl>
    <w:lvl w:ilvl="1" w:tplc="4D400E9E">
      <w:start w:val="1"/>
      <w:numFmt w:val="decimal"/>
      <w:lvlText w:val="%2"/>
      <w:lvlJc w:val="left"/>
    </w:lvl>
    <w:lvl w:ilvl="2" w:tplc="1208049A">
      <w:start w:val="1"/>
      <w:numFmt w:val="lowerLetter"/>
      <w:lvlText w:val="%3"/>
      <w:lvlJc w:val="left"/>
    </w:lvl>
    <w:lvl w:ilvl="3" w:tplc="D84201D4">
      <w:numFmt w:val="decimal"/>
      <w:lvlText w:val=""/>
      <w:lvlJc w:val="left"/>
    </w:lvl>
    <w:lvl w:ilvl="4" w:tplc="9BFC7B9C">
      <w:numFmt w:val="decimal"/>
      <w:lvlText w:val=""/>
      <w:lvlJc w:val="left"/>
    </w:lvl>
    <w:lvl w:ilvl="5" w:tplc="6BC24EC2">
      <w:numFmt w:val="decimal"/>
      <w:lvlText w:val=""/>
      <w:lvlJc w:val="left"/>
    </w:lvl>
    <w:lvl w:ilvl="6" w:tplc="B6E89AB8">
      <w:numFmt w:val="decimal"/>
      <w:lvlText w:val=""/>
      <w:lvlJc w:val="left"/>
    </w:lvl>
    <w:lvl w:ilvl="7" w:tplc="0BFE594E">
      <w:numFmt w:val="decimal"/>
      <w:lvlText w:val=""/>
      <w:lvlJc w:val="left"/>
    </w:lvl>
    <w:lvl w:ilvl="8" w:tplc="66B6BA30">
      <w:numFmt w:val="decimal"/>
      <w:lvlText w:val=""/>
      <w:lvlJc w:val="left"/>
    </w:lvl>
  </w:abstractNum>
  <w:abstractNum w:abstractNumId="624" w15:restartNumberingAfterBreak="0">
    <w:nsid w:val="00005870"/>
    <w:multiLevelType w:val="hybridMultilevel"/>
    <w:tmpl w:val="36223740"/>
    <w:lvl w:ilvl="0" w:tplc="08888852">
      <w:start w:val="2"/>
      <w:numFmt w:val="lowerLetter"/>
      <w:lvlText w:val="(%1)"/>
      <w:lvlJc w:val="left"/>
    </w:lvl>
    <w:lvl w:ilvl="1" w:tplc="3D463452">
      <w:numFmt w:val="decimal"/>
      <w:lvlText w:val=""/>
      <w:lvlJc w:val="left"/>
    </w:lvl>
    <w:lvl w:ilvl="2" w:tplc="9C481C40">
      <w:numFmt w:val="decimal"/>
      <w:lvlText w:val=""/>
      <w:lvlJc w:val="left"/>
    </w:lvl>
    <w:lvl w:ilvl="3" w:tplc="4E740F46">
      <w:numFmt w:val="decimal"/>
      <w:lvlText w:val=""/>
      <w:lvlJc w:val="left"/>
    </w:lvl>
    <w:lvl w:ilvl="4" w:tplc="54C69AEA">
      <w:numFmt w:val="decimal"/>
      <w:lvlText w:val=""/>
      <w:lvlJc w:val="left"/>
    </w:lvl>
    <w:lvl w:ilvl="5" w:tplc="865AAC94">
      <w:numFmt w:val="decimal"/>
      <w:lvlText w:val=""/>
      <w:lvlJc w:val="left"/>
    </w:lvl>
    <w:lvl w:ilvl="6" w:tplc="525ACA1C">
      <w:numFmt w:val="decimal"/>
      <w:lvlText w:val=""/>
      <w:lvlJc w:val="left"/>
    </w:lvl>
    <w:lvl w:ilvl="7" w:tplc="34C6F74E">
      <w:numFmt w:val="decimal"/>
      <w:lvlText w:val=""/>
      <w:lvlJc w:val="left"/>
    </w:lvl>
    <w:lvl w:ilvl="8" w:tplc="26A268CC">
      <w:numFmt w:val="decimal"/>
      <w:lvlText w:val=""/>
      <w:lvlJc w:val="left"/>
    </w:lvl>
  </w:abstractNum>
  <w:abstractNum w:abstractNumId="625" w15:restartNumberingAfterBreak="0">
    <w:nsid w:val="0000588C"/>
    <w:multiLevelType w:val="hybridMultilevel"/>
    <w:tmpl w:val="AAA03702"/>
    <w:lvl w:ilvl="0" w:tplc="ACC225F4">
      <w:start w:val="1"/>
      <w:numFmt w:val="lowerLetter"/>
      <w:lvlText w:val="%1"/>
      <w:lvlJc w:val="left"/>
    </w:lvl>
    <w:lvl w:ilvl="1" w:tplc="7A5CBF80">
      <w:start w:val="1"/>
      <w:numFmt w:val="decimal"/>
      <w:lvlText w:val="%2"/>
      <w:lvlJc w:val="left"/>
    </w:lvl>
    <w:lvl w:ilvl="2" w:tplc="07080542">
      <w:start w:val="4"/>
      <w:numFmt w:val="lowerLetter"/>
      <w:lvlText w:val="%3."/>
      <w:lvlJc w:val="left"/>
    </w:lvl>
    <w:lvl w:ilvl="3" w:tplc="2DBAA780">
      <w:numFmt w:val="decimal"/>
      <w:lvlText w:val=""/>
      <w:lvlJc w:val="left"/>
    </w:lvl>
    <w:lvl w:ilvl="4" w:tplc="8BC0E5DC">
      <w:numFmt w:val="decimal"/>
      <w:lvlText w:val=""/>
      <w:lvlJc w:val="left"/>
    </w:lvl>
    <w:lvl w:ilvl="5" w:tplc="D51642EA">
      <w:numFmt w:val="decimal"/>
      <w:lvlText w:val=""/>
      <w:lvlJc w:val="left"/>
    </w:lvl>
    <w:lvl w:ilvl="6" w:tplc="94CE4424">
      <w:numFmt w:val="decimal"/>
      <w:lvlText w:val=""/>
      <w:lvlJc w:val="left"/>
    </w:lvl>
    <w:lvl w:ilvl="7" w:tplc="AE2EA694">
      <w:numFmt w:val="decimal"/>
      <w:lvlText w:val=""/>
      <w:lvlJc w:val="left"/>
    </w:lvl>
    <w:lvl w:ilvl="8" w:tplc="FB28D5BE">
      <w:numFmt w:val="decimal"/>
      <w:lvlText w:val=""/>
      <w:lvlJc w:val="left"/>
    </w:lvl>
  </w:abstractNum>
  <w:abstractNum w:abstractNumId="626" w15:restartNumberingAfterBreak="0">
    <w:nsid w:val="0000590B"/>
    <w:multiLevelType w:val="hybridMultilevel"/>
    <w:tmpl w:val="9E06FDF2"/>
    <w:lvl w:ilvl="0" w:tplc="BA78360C">
      <w:start w:val="1"/>
      <w:numFmt w:val="decimal"/>
      <w:lvlText w:val="%1"/>
      <w:lvlJc w:val="left"/>
    </w:lvl>
    <w:lvl w:ilvl="1" w:tplc="ED1ABA6E">
      <w:start w:val="3"/>
      <w:numFmt w:val="lowerLetter"/>
      <w:lvlText w:val="(%2)"/>
      <w:lvlJc w:val="left"/>
    </w:lvl>
    <w:lvl w:ilvl="2" w:tplc="B43834CA">
      <w:start w:val="1"/>
      <w:numFmt w:val="decimal"/>
      <w:lvlText w:val="%3"/>
      <w:lvlJc w:val="left"/>
    </w:lvl>
    <w:lvl w:ilvl="3" w:tplc="85F6A596">
      <w:start w:val="1"/>
      <w:numFmt w:val="lowerLetter"/>
      <w:lvlText w:val="%4"/>
      <w:lvlJc w:val="left"/>
    </w:lvl>
    <w:lvl w:ilvl="4" w:tplc="E4682B08">
      <w:start w:val="1"/>
      <w:numFmt w:val="lowerRoman"/>
      <w:lvlText w:val="%5"/>
      <w:lvlJc w:val="left"/>
    </w:lvl>
    <w:lvl w:ilvl="5" w:tplc="4320B53C">
      <w:numFmt w:val="decimal"/>
      <w:lvlText w:val=""/>
      <w:lvlJc w:val="left"/>
    </w:lvl>
    <w:lvl w:ilvl="6" w:tplc="623C08CC">
      <w:numFmt w:val="decimal"/>
      <w:lvlText w:val=""/>
      <w:lvlJc w:val="left"/>
    </w:lvl>
    <w:lvl w:ilvl="7" w:tplc="C21E6CDA">
      <w:numFmt w:val="decimal"/>
      <w:lvlText w:val=""/>
      <w:lvlJc w:val="left"/>
    </w:lvl>
    <w:lvl w:ilvl="8" w:tplc="7C6E28EA">
      <w:numFmt w:val="decimal"/>
      <w:lvlText w:val=""/>
      <w:lvlJc w:val="left"/>
    </w:lvl>
  </w:abstractNum>
  <w:abstractNum w:abstractNumId="627" w15:restartNumberingAfterBreak="0">
    <w:nsid w:val="0000592E"/>
    <w:multiLevelType w:val="hybridMultilevel"/>
    <w:tmpl w:val="525C07D2"/>
    <w:lvl w:ilvl="0" w:tplc="7AB87F2C">
      <w:start w:val="7"/>
      <w:numFmt w:val="decimal"/>
      <w:lvlText w:val="(%1)"/>
      <w:lvlJc w:val="left"/>
    </w:lvl>
    <w:lvl w:ilvl="1" w:tplc="611C08EA">
      <w:start w:val="1"/>
      <w:numFmt w:val="lowerLetter"/>
      <w:lvlText w:val="(%2)"/>
      <w:lvlJc w:val="left"/>
    </w:lvl>
    <w:lvl w:ilvl="2" w:tplc="77F21EE4">
      <w:start w:val="1"/>
      <w:numFmt w:val="decimal"/>
      <w:lvlText w:val="%3"/>
      <w:lvlJc w:val="left"/>
    </w:lvl>
    <w:lvl w:ilvl="3" w:tplc="52923A50">
      <w:numFmt w:val="decimal"/>
      <w:lvlText w:val=""/>
      <w:lvlJc w:val="left"/>
    </w:lvl>
    <w:lvl w:ilvl="4" w:tplc="91CA58B4">
      <w:numFmt w:val="decimal"/>
      <w:lvlText w:val=""/>
      <w:lvlJc w:val="left"/>
    </w:lvl>
    <w:lvl w:ilvl="5" w:tplc="6802AFF8">
      <w:numFmt w:val="decimal"/>
      <w:lvlText w:val=""/>
      <w:lvlJc w:val="left"/>
    </w:lvl>
    <w:lvl w:ilvl="6" w:tplc="28628EC4">
      <w:numFmt w:val="decimal"/>
      <w:lvlText w:val=""/>
      <w:lvlJc w:val="left"/>
    </w:lvl>
    <w:lvl w:ilvl="7" w:tplc="5E8C80FE">
      <w:numFmt w:val="decimal"/>
      <w:lvlText w:val=""/>
      <w:lvlJc w:val="left"/>
    </w:lvl>
    <w:lvl w:ilvl="8" w:tplc="12406E74">
      <w:numFmt w:val="decimal"/>
      <w:lvlText w:val=""/>
      <w:lvlJc w:val="left"/>
    </w:lvl>
  </w:abstractNum>
  <w:abstractNum w:abstractNumId="628" w15:restartNumberingAfterBreak="0">
    <w:nsid w:val="00005965"/>
    <w:multiLevelType w:val="hybridMultilevel"/>
    <w:tmpl w:val="F84411F2"/>
    <w:lvl w:ilvl="0" w:tplc="CC940122">
      <w:start w:val="9"/>
      <w:numFmt w:val="decimal"/>
      <w:lvlText w:val="(%1)"/>
      <w:lvlJc w:val="left"/>
    </w:lvl>
    <w:lvl w:ilvl="1" w:tplc="B49E7E36">
      <w:start w:val="1"/>
      <w:numFmt w:val="lowerLetter"/>
      <w:lvlText w:val="(%2)"/>
      <w:lvlJc w:val="left"/>
    </w:lvl>
    <w:lvl w:ilvl="2" w:tplc="3D1CDAA2">
      <w:start w:val="1"/>
      <w:numFmt w:val="decimal"/>
      <w:lvlText w:val="%3."/>
      <w:lvlJc w:val="left"/>
    </w:lvl>
    <w:lvl w:ilvl="3" w:tplc="FCC48274">
      <w:start w:val="1"/>
      <w:numFmt w:val="lowerLetter"/>
      <w:lvlText w:val="%4"/>
      <w:lvlJc w:val="left"/>
    </w:lvl>
    <w:lvl w:ilvl="4" w:tplc="03508446">
      <w:numFmt w:val="decimal"/>
      <w:lvlText w:val=""/>
      <w:lvlJc w:val="left"/>
    </w:lvl>
    <w:lvl w:ilvl="5" w:tplc="E720549A">
      <w:numFmt w:val="decimal"/>
      <w:lvlText w:val=""/>
      <w:lvlJc w:val="left"/>
    </w:lvl>
    <w:lvl w:ilvl="6" w:tplc="1862DF74">
      <w:numFmt w:val="decimal"/>
      <w:lvlText w:val=""/>
      <w:lvlJc w:val="left"/>
    </w:lvl>
    <w:lvl w:ilvl="7" w:tplc="11403C10">
      <w:numFmt w:val="decimal"/>
      <w:lvlText w:val=""/>
      <w:lvlJc w:val="left"/>
    </w:lvl>
    <w:lvl w:ilvl="8" w:tplc="B2C245A0">
      <w:numFmt w:val="decimal"/>
      <w:lvlText w:val=""/>
      <w:lvlJc w:val="left"/>
    </w:lvl>
  </w:abstractNum>
  <w:abstractNum w:abstractNumId="629" w15:restartNumberingAfterBreak="0">
    <w:nsid w:val="00005980"/>
    <w:multiLevelType w:val="hybridMultilevel"/>
    <w:tmpl w:val="D95635DC"/>
    <w:lvl w:ilvl="0" w:tplc="C7F8FFAA">
      <w:start w:val="1"/>
      <w:numFmt w:val="decimal"/>
      <w:lvlText w:val="%1."/>
      <w:lvlJc w:val="left"/>
    </w:lvl>
    <w:lvl w:ilvl="1" w:tplc="A008C5A4">
      <w:numFmt w:val="decimal"/>
      <w:lvlText w:val=""/>
      <w:lvlJc w:val="left"/>
    </w:lvl>
    <w:lvl w:ilvl="2" w:tplc="C3947880">
      <w:numFmt w:val="decimal"/>
      <w:lvlText w:val=""/>
      <w:lvlJc w:val="left"/>
    </w:lvl>
    <w:lvl w:ilvl="3" w:tplc="4296CA28">
      <w:numFmt w:val="decimal"/>
      <w:lvlText w:val=""/>
      <w:lvlJc w:val="left"/>
    </w:lvl>
    <w:lvl w:ilvl="4" w:tplc="D4E63362">
      <w:numFmt w:val="decimal"/>
      <w:lvlText w:val=""/>
      <w:lvlJc w:val="left"/>
    </w:lvl>
    <w:lvl w:ilvl="5" w:tplc="9D8E0254">
      <w:numFmt w:val="decimal"/>
      <w:lvlText w:val=""/>
      <w:lvlJc w:val="left"/>
    </w:lvl>
    <w:lvl w:ilvl="6" w:tplc="8B0CC75E">
      <w:numFmt w:val="decimal"/>
      <w:lvlText w:val=""/>
      <w:lvlJc w:val="left"/>
    </w:lvl>
    <w:lvl w:ilvl="7" w:tplc="E5F218D0">
      <w:numFmt w:val="decimal"/>
      <w:lvlText w:val=""/>
      <w:lvlJc w:val="left"/>
    </w:lvl>
    <w:lvl w:ilvl="8" w:tplc="3B94FFE0">
      <w:numFmt w:val="decimal"/>
      <w:lvlText w:val=""/>
      <w:lvlJc w:val="left"/>
    </w:lvl>
  </w:abstractNum>
  <w:abstractNum w:abstractNumId="630" w15:restartNumberingAfterBreak="0">
    <w:nsid w:val="0000598D"/>
    <w:multiLevelType w:val="hybridMultilevel"/>
    <w:tmpl w:val="2752C342"/>
    <w:lvl w:ilvl="0" w:tplc="6D4EDAA4">
      <w:start w:val="10"/>
      <w:numFmt w:val="decimal"/>
      <w:lvlText w:val="(%1)"/>
      <w:lvlJc w:val="left"/>
    </w:lvl>
    <w:lvl w:ilvl="1" w:tplc="3F8C2C44">
      <w:start w:val="1"/>
      <w:numFmt w:val="lowerLetter"/>
      <w:lvlText w:val="(%2)"/>
      <w:lvlJc w:val="left"/>
    </w:lvl>
    <w:lvl w:ilvl="2" w:tplc="86E2208C">
      <w:start w:val="1"/>
      <w:numFmt w:val="decimal"/>
      <w:lvlText w:val="%3."/>
      <w:lvlJc w:val="left"/>
    </w:lvl>
    <w:lvl w:ilvl="3" w:tplc="F4F28C04">
      <w:numFmt w:val="decimal"/>
      <w:lvlText w:val=""/>
      <w:lvlJc w:val="left"/>
    </w:lvl>
    <w:lvl w:ilvl="4" w:tplc="D7F682DC">
      <w:numFmt w:val="decimal"/>
      <w:lvlText w:val=""/>
      <w:lvlJc w:val="left"/>
    </w:lvl>
    <w:lvl w:ilvl="5" w:tplc="C0C83E92">
      <w:numFmt w:val="decimal"/>
      <w:lvlText w:val=""/>
      <w:lvlJc w:val="left"/>
    </w:lvl>
    <w:lvl w:ilvl="6" w:tplc="B2F87BA0">
      <w:numFmt w:val="decimal"/>
      <w:lvlText w:val=""/>
      <w:lvlJc w:val="left"/>
    </w:lvl>
    <w:lvl w:ilvl="7" w:tplc="22C2B530">
      <w:numFmt w:val="decimal"/>
      <w:lvlText w:val=""/>
      <w:lvlJc w:val="left"/>
    </w:lvl>
    <w:lvl w:ilvl="8" w:tplc="AA3C4292">
      <w:numFmt w:val="decimal"/>
      <w:lvlText w:val=""/>
      <w:lvlJc w:val="left"/>
    </w:lvl>
  </w:abstractNum>
  <w:abstractNum w:abstractNumId="631" w15:restartNumberingAfterBreak="0">
    <w:nsid w:val="000059E7"/>
    <w:multiLevelType w:val="hybridMultilevel"/>
    <w:tmpl w:val="138A1D66"/>
    <w:lvl w:ilvl="0" w:tplc="2B129D7A">
      <w:start w:val="4"/>
      <w:numFmt w:val="decimal"/>
      <w:lvlText w:val="(%1)"/>
      <w:lvlJc w:val="left"/>
    </w:lvl>
    <w:lvl w:ilvl="1" w:tplc="D5F0E98C">
      <w:start w:val="6"/>
      <w:numFmt w:val="lowerLetter"/>
      <w:lvlText w:val="(%2)"/>
      <w:lvlJc w:val="left"/>
    </w:lvl>
    <w:lvl w:ilvl="2" w:tplc="43D00880">
      <w:start w:val="1"/>
      <w:numFmt w:val="lowerLetter"/>
      <w:lvlText w:val="(%3)"/>
      <w:lvlJc w:val="left"/>
    </w:lvl>
    <w:lvl w:ilvl="3" w:tplc="67386A8C">
      <w:numFmt w:val="decimal"/>
      <w:lvlText w:val=""/>
      <w:lvlJc w:val="left"/>
    </w:lvl>
    <w:lvl w:ilvl="4" w:tplc="EC4CB31E">
      <w:numFmt w:val="decimal"/>
      <w:lvlText w:val=""/>
      <w:lvlJc w:val="left"/>
    </w:lvl>
    <w:lvl w:ilvl="5" w:tplc="0D166472">
      <w:numFmt w:val="decimal"/>
      <w:lvlText w:val=""/>
      <w:lvlJc w:val="left"/>
    </w:lvl>
    <w:lvl w:ilvl="6" w:tplc="DEF86F14">
      <w:numFmt w:val="decimal"/>
      <w:lvlText w:val=""/>
      <w:lvlJc w:val="left"/>
    </w:lvl>
    <w:lvl w:ilvl="7" w:tplc="BF8E5482">
      <w:numFmt w:val="decimal"/>
      <w:lvlText w:val=""/>
      <w:lvlJc w:val="left"/>
    </w:lvl>
    <w:lvl w:ilvl="8" w:tplc="87E85212">
      <w:numFmt w:val="decimal"/>
      <w:lvlText w:val=""/>
      <w:lvlJc w:val="left"/>
    </w:lvl>
  </w:abstractNum>
  <w:abstractNum w:abstractNumId="632" w15:restartNumberingAfterBreak="0">
    <w:nsid w:val="00005A6A"/>
    <w:multiLevelType w:val="hybridMultilevel"/>
    <w:tmpl w:val="3B9C4FE8"/>
    <w:lvl w:ilvl="0" w:tplc="EE5619FA">
      <w:start w:val="2"/>
      <w:numFmt w:val="decimal"/>
      <w:lvlText w:val="%1."/>
      <w:lvlJc w:val="left"/>
    </w:lvl>
    <w:lvl w:ilvl="1" w:tplc="DA662FC2">
      <w:start w:val="1"/>
      <w:numFmt w:val="lowerLetter"/>
      <w:lvlText w:val="%2."/>
      <w:lvlJc w:val="left"/>
    </w:lvl>
    <w:lvl w:ilvl="2" w:tplc="92EE2344">
      <w:numFmt w:val="decimal"/>
      <w:lvlText w:val=""/>
      <w:lvlJc w:val="left"/>
    </w:lvl>
    <w:lvl w:ilvl="3" w:tplc="507880EA">
      <w:numFmt w:val="decimal"/>
      <w:lvlText w:val=""/>
      <w:lvlJc w:val="left"/>
    </w:lvl>
    <w:lvl w:ilvl="4" w:tplc="092AFFB8">
      <w:numFmt w:val="decimal"/>
      <w:lvlText w:val=""/>
      <w:lvlJc w:val="left"/>
    </w:lvl>
    <w:lvl w:ilvl="5" w:tplc="E1787B94">
      <w:numFmt w:val="decimal"/>
      <w:lvlText w:val=""/>
      <w:lvlJc w:val="left"/>
    </w:lvl>
    <w:lvl w:ilvl="6" w:tplc="3CC824B2">
      <w:numFmt w:val="decimal"/>
      <w:lvlText w:val=""/>
      <w:lvlJc w:val="left"/>
    </w:lvl>
    <w:lvl w:ilvl="7" w:tplc="3FFE5EE6">
      <w:numFmt w:val="decimal"/>
      <w:lvlText w:val=""/>
      <w:lvlJc w:val="left"/>
    </w:lvl>
    <w:lvl w:ilvl="8" w:tplc="05E2FD4A">
      <w:numFmt w:val="decimal"/>
      <w:lvlText w:val=""/>
      <w:lvlJc w:val="left"/>
    </w:lvl>
  </w:abstractNum>
  <w:abstractNum w:abstractNumId="633" w15:restartNumberingAfterBreak="0">
    <w:nsid w:val="00005A72"/>
    <w:multiLevelType w:val="hybridMultilevel"/>
    <w:tmpl w:val="D9A4E8C6"/>
    <w:lvl w:ilvl="0" w:tplc="B20CEA16">
      <w:start w:val="2"/>
      <w:numFmt w:val="lowerLetter"/>
      <w:lvlText w:val="(%1)"/>
      <w:lvlJc w:val="left"/>
    </w:lvl>
    <w:lvl w:ilvl="1" w:tplc="EF5C5C84">
      <w:start w:val="1"/>
      <w:numFmt w:val="decimal"/>
      <w:lvlText w:val="%2."/>
      <w:lvlJc w:val="left"/>
    </w:lvl>
    <w:lvl w:ilvl="2" w:tplc="8DF229F6">
      <w:numFmt w:val="decimal"/>
      <w:lvlText w:val=""/>
      <w:lvlJc w:val="left"/>
    </w:lvl>
    <w:lvl w:ilvl="3" w:tplc="08F01C18">
      <w:numFmt w:val="decimal"/>
      <w:lvlText w:val=""/>
      <w:lvlJc w:val="left"/>
    </w:lvl>
    <w:lvl w:ilvl="4" w:tplc="12BACE52">
      <w:numFmt w:val="decimal"/>
      <w:lvlText w:val=""/>
      <w:lvlJc w:val="left"/>
    </w:lvl>
    <w:lvl w:ilvl="5" w:tplc="A3F6C26A">
      <w:numFmt w:val="decimal"/>
      <w:lvlText w:val=""/>
      <w:lvlJc w:val="left"/>
    </w:lvl>
    <w:lvl w:ilvl="6" w:tplc="CF78D110">
      <w:numFmt w:val="decimal"/>
      <w:lvlText w:val=""/>
      <w:lvlJc w:val="left"/>
    </w:lvl>
    <w:lvl w:ilvl="7" w:tplc="E2C8B6DA">
      <w:numFmt w:val="decimal"/>
      <w:lvlText w:val=""/>
      <w:lvlJc w:val="left"/>
    </w:lvl>
    <w:lvl w:ilvl="8" w:tplc="601EC1C8">
      <w:numFmt w:val="decimal"/>
      <w:lvlText w:val=""/>
      <w:lvlJc w:val="left"/>
    </w:lvl>
  </w:abstractNum>
  <w:abstractNum w:abstractNumId="634" w15:restartNumberingAfterBreak="0">
    <w:nsid w:val="00005A7D"/>
    <w:multiLevelType w:val="hybridMultilevel"/>
    <w:tmpl w:val="F1DC2C12"/>
    <w:lvl w:ilvl="0" w:tplc="FA96DFF8">
      <w:start w:val="6"/>
      <w:numFmt w:val="decimal"/>
      <w:lvlText w:val="(%1)"/>
      <w:lvlJc w:val="left"/>
    </w:lvl>
    <w:lvl w:ilvl="1" w:tplc="AB6A98D2">
      <w:start w:val="1"/>
      <w:numFmt w:val="lowerLetter"/>
      <w:lvlText w:val="(%2)"/>
      <w:lvlJc w:val="left"/>
    </w:lvl>
    <w:lvl w:ilvl="2" w:tplc="25BAB6DE">
      <w:start w:val="1"/>
      <w:numFmt w:val="decimal"/>
      <w:lvlText w:val="%3."/>
      <w:lvlJc w:val="left"/>
    </w:lvl>
    <w:lvl w:ilvl="3" w:tplc="0C902D82">
      <w:start w:val="1"/>
      <w:numFmt w:val="lowerLetter"/>
      <w:lvlText w:val="%4."/>
      <w:lvlJc w:val="left"/>
    </w:lvl>
    <w:lvl w:ilvl="4" w:tplc="3E024218">
      <w:numFmt w:val="decimal"/>
      <w:lvlText w:val=""/>
      <w:lvlJc w:val="left"/>
    </w:lvl>
    <w:lvl w:ilvl="5" w:tplc="14D0D446">
      <w:numFmt w:val="decimal"/>
      <w:lvlText w:val=""/>
      <w:lvlJc w:val="left"/>
    </w:lvl>
    <w:lvl w:ilvl="6" w:tplc="38A2F536">
      <w:numFmt w:val="decimal"/>
      <w:lvlText w:val=""/>
      <w:lvlJc w:val="left"/>
    </w:lvl>
    <w:lvl w:ilvl="7" w:tplc="BD26F054">
      <w:numFmt w:val="decimal"/>
      <w:lvlText w:val=""/>
      <w:lvlJc w:val="left"/>
    </w:lvl>
    <w:lvl w:ilvl="8" w:tplc="8E2CD996">
      <w:numFmt w:val="decimal"/>
      <w:lvlText w:val=""/>
      <w:lvlJc w:val="left"/>
    </w:lvl>
  </w:abstractNum>
  <w:abstractNum w:abstractNumId="635" w15:restartNumberingAfterBreak="0">
    <w:nsid w:val="00005A8F"/>
    <w:multiLevelType w:val="hybridMultilevel"/>
    <w:tmpl w:val="E340C7F6"/>
    <w:lvl w:ilvl="0" w:tplc="CA268918">
      <w:start w:val="1"/>
      <w:numFmt w:val="lowerLetter"/>
      <w:lvlText w:val="%1"/>
      <w:lvlJc w:val="left"/>
    </w:lvl>
    <w:lvl w:ilvl="1" w:tplc="E4346156">
      <w:start w:val="4"/>
      <w:numFmt w:val="decimal"/>
      <w:lvlText w:val="%2."/>
      <w:lvlJc w:val="left"/>
    </w:lvl>
    <w:lvl w:ilvl="2" w:tplc="8B444714">
      <w:start w:val="1"/>
      <w:numFmt w:val="lowerLetter"/>
      <w:lvlText w:val="%3"/>
      <w:lvlJc w:val="left"/>
    </w:lvl>
    <w:lvl w:ilvl="3" w:tplc="4F90AA90">
      <w:start w:val="1"/>
      <w:numFmt w:val="lowerRoman"/>
      <w:lvlText w:val="%4"/>
      <w:lvlJc w:val="left"/>
    </w:lvl>
    <w:lvl w:ilvl="4" w:tplc="FA50775E">
      <w:numFmt w:val="decimal"/>
      <w:lvlText w:val=""/>
      <w:lvlJc w:val="left"/>
    </w:lvl>
    <w:lvl w:ilvl="5" w:tplc="AB20608A">
      <w:numFmt w:val="decimal"/>
      <w:lvlText w:val=""/>
      <w:lvlJc w:val="left"/>
    </w:lvl>
    <w:lvl w:ilvl="6" w:tplc="09CE6C96">
      <w:numFmt w:val="decimal"/>
      <w:lvlText w:val=""/>
      <w:lvlJc w:val="left"/>
    </w:lvl>
    <w:lvl w:ilvl="7" w:tplc="0F801146">
      <w:numFmt w:val="decimal"/>
      <w:lvlText w:val=""/>
      <w:lvlJc w:val="left"/>
    </w:lvl>
    <w:lvl w:ilvl="8" w:tplc="0C22F40E">
      <w:numFmt w:val="decimal"/>
      <w:lvlText w:val=""/>
      <w:lvlJc w:val="left"/>
    </w:lvl>
  </w:abstractNum>
  <w:abstractNum w:abstractNumId="636" w15:restartNumberingAfterBreak="0">
    <w:nsid w:val="00005A92"/>
    <w:multiLevelType w:val="hybridMultilevel"/>
    <w:tmpl w:val="56EE850E"/>
    <w:lvl w:ilvl="0" w:tplc="CBE6A9CA">
      <w:start w:val="4"/>
      <w:numFmt w:val="decimal"/>
      <w:lvlText w:val="%1."/>
      <w:lvlJc w:val="left"/>
    </w:lvl>
    <w:lvl w:ilvl="1" w:tplc="4D54EC0C">
      <w:start w:val="1"/>
      <w:numFmt w:val="lowerLetter"/>
      <w:lvlText w:val="%2."/>
      <w:lvlJc w:val="left"/>
    </w:lvl>
    <w:lvl w:ilvl="2" w:tplc="0F84A080">
      <w:start w:val="1"/>
      <w:numFmt w:val="lowerRoman"/>
      <w:lvlText w:val="(%3)"/>
      <w:lvlJc w:val="left"/>
    </w:lvl>
    <w:lvl w:ilvl="3" w:tplc="CEFC406A">
      <w:numFmt w:val="decimal"/>
      <w:lvlText w:val=""/>
      <w:lvlJc w:val="left"/>
    </w:lvl>
    <w:lvl w:ilvl="4" w:tplc="A54CE0BA">
      <w:numFmt w:val="decimal"/>
      <w:lvlText w:val=""/>
      <w:lvlJc w:val="left"/>
    </w:lvl>
    <w:lvl w:ilvl="5" w:tplc="D068C476">
      <w:numFmt w:val="decimal"/>
      <w:lvlText w:val=""/>
      <w:lvlJc w:val="left"/>
    </w:lvl>
    <w:lvl w:ilvl="6" w:tplc="73340DC6">
      <w:numFmt w:val="decimal"/>
      <w:lvlText w:val=""/>
      <w:lvlJc w:val="left"/>
    </w:lvl>
    <w:lvl w:ilvl="7" w:tplc="E1C4D34A">
      <w:numFmt w:val="decimal"/>
      <w:lvlText w:val=""/>
      <w:lvlJc w:val="left"/>
    </w:lvl>
    <w:lvl w:ilvl="8" w:tplc="61463B18">
      <w:numFmt w:val="decimal"/>
      <w:lvlText w:val=""/>
      <w:lvlJc w:val="left"/>
    </w:lvl>
  </w:abstractNum>
  <w:abstractNum w:abstractNumId="637" w15:restartNumberingAfterBreak="0">
    <w:nsid w:val="00005AB8"/>
    <w:multiLevelType w:val="hybridMultilevel"/>
    <w:tmpl w:val="1542EE0C"/>
    <w:lvl w:ilvl="0" w:tplc="0646008C">
      <w:start w:val="1"/>
      <w:numFmt w:val="decimal"/>
      <w:lvlText w:val="%1"/>
      <w:lvlJc w:val="left"/>
    </w:lvl>
    <w:lvl w:ilvl="1" w:tplc="3C588AB4">
      <w:start w:val="2"/>
      <w:numFmt w:val="lowerLetter"/>
      <w:lvlText w:val="%2."/>
      <w:lvlJc w:val="left"/>
    </w:lvl>
    <w:lvl w:ilvl="2" w:tplc="7C58DCF8">
      <w:start w:val="1"/>
      <w:numFmt w:val="lowerRoman"/>
      <w:lvlText w:val="%3."/>
      <w:lvlJc w:val="left"/>
    </w:lvl>
    <w:lvl w:ilvl="3" w:tplc="D2582712">
      <w:numFmt w:val="decimal"/>
      <w:lvlText w:val=""/>
      <w:lvlJc w:val="left"/>
    </w:lvl>
    <w:lvl w:ilvl="4" w:tplc="2676CC30">
      <w:numFmt w:val="decimal"/>
      <w:lvlText w:val=""/>
      <w:lvlJc w:val="left"/>
    </w:lvl>
    <w:lvl w:ilvl="5" w:tplc="E342ECE0">
      <w:numFmt w:val="decimal"/>
      <w:lvlText w:val=""/>
      <w:lvlJc w:val="left"/>
    </w:lvl>
    <w:lvl w:ilvl="6" w:tplc="F8B4BCF2">
      <w:numFmt w:val="decimal"/>
      <w:lvlText w:val=""/>
      <w:lvlJc w:val="left"/>
    </w:lvl>
    <w:lvl w:ilvl="7" w:tplc="0BECB396">
      <w:numFmt w:val="decimal"/>
      <w:lvlText w:val=""/>
      <w:lvlJc w:val="left"/>
    </w:lvl>
    <w:lvl w:ilvl="8" w:tplc="115AFA5C">
      <w:numFmt w:val="decimal"/>
      <w:lvlText w:val=""/>
      <w:lvlJc w:val="left"/>
    </w:lvl>
  </w:abstractNum>
  <w:abstractNum w:abstractNumId="638" w15:restartNumberingAfterBreak="0">
    <w:nsid w:val="00005ACB"/>
    <w:multiLevelType w:val="hybridMultilevel"/>
    <w:tmpl w:val="67906EAC"/>
    <w:lvl w:ilvl="0" w:tplc="3B00C4DE">
      <w:start w:val="1"/>
      <w:numFmt w:val="decimal"/>
      <w:lvlText w:val="%1"/>
      <w:lvlJc w:val="left"/>
      <w:rPr>
        <w:vertAlign w:val="superscript"/>
      </w:rPr>
    </w:lvl>
    <w:lvl w:ilvl="1" w:tplc="1D7A2DA0">
      <w:numFmt w:val="decimal"/>
      <w:lvlText w:val=""/>
      <w:lvlJc w:val="left"/>
    </w:lvl>
    <w:lvl w:ilvl="2" w:tplc="CC80C25E">
      <w:numFmt w:val="decimal"/>
      <w:lvlText w:val=""/>
      <w:lvlJc w:val="left"/>
    </w:lvl>
    <w:lvl w:ilvl="3" w:tplc="400C947E">
      <w:numFmt w:val="decimal"/>
      <w:lvlText w:val=""/>
      <w:lvlJc w:val="left"/>
    </w:lvl>
    <w:lvl w:ilvl="4" w:tplc="3BCEC75E">
      <w:numFmt w:val="decimal"/>
      <w:lvlText w:val=""/>
      <w:lvlJc w:val="left"/>
    </w:lvl>
    <w:lvl w:ilvl="5" w:tplc="EB9697C4">
      <w:numFmt w:val="decimal"/>
      <w:lvlText w:val=""/>
      <w:lvlJc w:val="left"/>
    </w:lvl>
    <w:lvl w:ilvl="6" w:tplc="A47A6FB0">
      <w:numFmt w:val="decimal"/>
      <w:lvlText w:val=""/>
      <w:lvlJc w:val="left"/>
    </w:lvl>
    <w:lvl w:ilvl="7" w:tplc="4E268D04">
      <w:numFmt w:val="decimal"/>
      <w:lvlText w:val=""/>
      <w:lvlJc w:val="left"/>
    </w:lvl>
    <w:lvl w:ilvl="8" w:tplc="423C41FA">
      <w:numFmt w:val="decimal"/>
      <w:lvlText w:val=""/>
      <w:lvlJc w:val="left"/>
    </w:lvl>
  </w:abstractNum>
  <w:abstractNum w:abstractNumId="639" w15:restartNumberingAfterBreak="0">
    <w:nsid w:val="00005ACD"/>
    <w:multiLevelType w:val="hybridMultilevel"/>
    <w:tmpl w:val="6A68928E"/>
    <w:lvl w:ilvl="0" w:tplc="F8383F06">
      <w:start w:val="5"/>
      <w:numFmt w:val="decimal"/>
      <w:lvlText w:val="(%1)"/>
      <w:lvlJc w:val="left"/>
    </w:lvl>
    <w:lvl w:ilvl="1" w:tplc="52D085C0">
      <w:start w:val="1"/>
      <w:numFmt w:val="lowerLetter"/>
      <w:lvlText w:val="(%2)"/>
      <w:lvlJc w:val="left"/>
    </w:lvl>
    <w:lvl w:ilvl="2" w:tplc="85F4648E">
      <w:numFmt w:val="decimal"/>
      <w:lvlText w:val=""/>
      <w:lvlJc w:val="left"/>
    </w:lvl>
    <w:lvl w:ilvl="3" w:tplc="11C07A3A">
      <w:numFmt w:val="decimal"/>
      <w:lvlText w:val=""/>
      <w:lvlJc w:val="left"/>
    </w:lvl>
    <w:lvl w:ilvl="4" w:tplc="68C852C8">
      <w:numFmt w:val="decimal"/>
      <w:lvlText w:val=""/>
      <w:lvlJc w:val="left"/>
    </w:lvl>
    <w:lvl w:ilvl="5" w:tplc="4B66EE7A">
      <w:numFmt w:val="decimal"/>
      <w:lvlText w:val=""/>
      <w:lvlJc w:val="left"/>
    </w:lvl>
    <w:lvl w:ilvl="6" w:tplc="6374D8D0">
      <w:numFmt w:val="decimal"/>
      <w:lvlText w:val=""/>
      <w:lvlJc w:val="left"/>
    </w:lvl>
    <w:lvl w:ilvl="7" w:tplc="42341306">
      <w:numFmt w:val="decimal"/>
      <w:lvlText w:val=""/>
      <w:lvlJc w:val="left"/>
    </w:lvl>
    <w:lvl w:ilvl="8" w:tplc="48A0763E">
      <w:numFmt w:val="decimal"/>
      <w:lvlText w:val=""/>
      <w:lvlJc w:val="left"/>
    </w:lvl>
  </w:abstractNum>
  <w:abstractNum w:abstractNumId="640" w15:restartNumberingAfterBreak="0">
    <w:nsid w:val="00005B27"/>
    <w:multiLevelType w:val="hybridMultilevel"/>
    <w:tmpl w:val="61E03EA4"/>
    <w:lvl w:ilvl="0" w:tplc="A8C2B622">
      <w:start w:val="1"/>
      <w:numFmt w:val="decimal"/>
      <w:lvlText w:val="%1"/>
      <w:lvlJc w:val="left"/>
      <w:rPr>
        <w:vertAlign w:val="superscript"/>
      </w:rPr>
    </w:lvl>
    <w:lvl w:ilvl="1" w:tplc="CCF45B76">
      <w:start w:val="2"/>
      <w:numFmt w:val="lowerLetter"/>
      <w:lvlText w:val="(%2)"/>
      <w:lvlJc w:val="left"/>
    </w:lvl>
    <w:lvl w:ilvl="2" w:tplc="398ABD26">
      <w:numFmt w:val="decimal"/>
      <w:lvlText w:val=""/>
      <w:lvlJc w:val="left"/>
    </w:lvl>
    <w:lvl w:ilvl="3" w:tplc="D922B06A">
      <w:numFmt w:val="decimal"/>
      <w:lvlText w:val=""/>
      <w:lvlJc w:val="left"/>
    </w:lvl>
    <w:lvl w:ilvl="4" w:tplc="7AEC2B80">
      <w:numFmt w:val="decimal"/>
      <w:lvlText w:val=""/>
      <w:lvlJc w:val="left"/>
    </w:lvl>
    <w:lvl w:ilvl="5" w:tplc="3F9CAE86">
      <w:numFmt w:val="decimal"/>
      <w:lvlText w:val=""/>
      <w:lvlJc w:val="left"/>
    </w:lvl>
    <w:lvl w:ilvl="6" w:tplc="E4FAE5AE">
      <w:numFmt w:val="decimal"/>
      <w:lvlText w:val=""/>
      <w:lvlJc w:val="left"/>
    </w:lvl>
    <w:lvl w:ilvl="7" w:tplc="EA06963E">
      <w:numFmt w:val="decimal"/>
      <w:lvlText w:val=""/>
      <w:lvlJc w:val="left"/>
    </w:lvl>
    <w:lvl w:ilvl="8" w:tplc="6A9AF466">
      <w:numFmt w:val="decimal"/>
      <w:lvlText w:val=""/>
      <w:lvlJc w:val="left"/>
    </w:lvl>
  </w:abstractNum>
  <w:abstractNum w:abstractNumId="641" w15:restartNumberingAfterBreak="0">
    <w:nsid w:val="00005B68"/>
    <w:multiLevelType w:val="hybridMultilevel"/>
    <w:tmpl w:val="EF66A5D6"/>
    <w:lvl w:ilvl="0" w:tplc="17CAF3CE">
      <w:start w:val="13"/>
      <w:numFmt w:val="decimal"/>
      <w:lvlText w:val="(%1)"/>
      <w:lvlJc w:val="left"/>
    </w:lvl>
    <w:lvl w:ilvl="1" w:tplc="AA5649B8">
      <w:start w:val="1"/>
      <w:numFmt w:val="lowerLetter"/>
      <w:lvlText w:val="(%2)"/>
      <w:lvlJc w:val="left"/>
    </w:lvl>
    <w:lvl w:ilvl="2" w:tplc="7F30BBE2">
      <w:start w:val="1"/>
      <w:numFmt w:val="decimal"/>
      <w:lvlText w:val="%3."/>
      <w:lvlJc w:val="left"/>
    </w:lvl>
    <w:lvl w:ilvl="3" w:tplc="5DAC0DCC">
      <w:numFmt w:val="decimal"/>
      <w:lvlText w:val=""/>
      <w:lvlJc w:val="left"/>
    </w:lvl>
    <w:lvl w:ilvl="4" w:tplc="9B1C0FEC">
      <w:numFmt w:val="decimal"/>
      <w:lvlText w:val=""/>
      <w:lvlJc w:val="left"/>
    </w:lvl>
    <w:lvl w:ilvl="5" w:tplc="0C243A46">
      <w:numFmt w:val="decimal"/>
      <w:lvlText w:val=""/>
      <w:lvlJc w:val="left"/>
    </w:lvl>
    <w:lvl w:ilvl="6" w:tplc="145EDC50">
      <w:numFmt w:val="decimal"/>
      <w:lvlText w:val=""/>
      <w:lvlJc w:val="left"/>
    </w:lvl>
    <w:lvl w:ilvl="7" w:tplc="92D80F5A">
      <w:numFmt w:val="decimal"/>
      <w:lvlText w:val=""/>
      <w:lvlJc w:val="left"/>
    </w:lvl>
    <w:lvl w:ilvl="8" w:tplc="56C06386">
      <w:numFmt w:val="decimal"/>
      <w:lvlText w:val=""/>
      <w:lvlJc w:val="left"/>
    </w:lvl>
  </w:abstractNum>
  <w:abstractNum w:abstractNumId="642" w15:restartNumberingAfterBreak="0">
    <w:nsid w:val="00005B8F"/>
    <w:multiLevelType w:val="hybridMultilevel"/>
    <w:tmpl w:val="B6323ABA"/>
    <w:lvl w:ilvl="0" w:tplc="5D48F914">
      <w:start w:val="1"/>
      <w:numFmt w:val="lowerLetter"/>
      <w:lvlText w:val="%1"/>
      <w:lvlJc w:val="left"/>
    </w:lvl>
    <w:lvl w:ilvl="1" w:tplc="3AC297BE">
      <w:start w:val="4"/>
      <w:numFmt w:val="decimal"/>
      <w:lvlText w:val="%2."/>
      <w:lvlJc w:val="left"/>
    </w:lvl>
    <w:lvl w:ilvl="2" w:tplc="EB468E0C">
      <w:start w:val="1"/>
      <w:numFmt w:val="lowerLetter"/>
      <w:lvlText w:val="%3"/>
      <w:lvlJc w:val="left"/>
    </w:lvl>
    <w:lvl w:ilvl="3" w:tplc="CEBC9118">
      <w:numFmt w:val="decimal"/>
      <w:lvlText w:val=""/>
      <w:lvlJc w:val="left"/>
    </w:lvl>
    <w:lvl w:ilvl="4" w:tplc="E588591C">
      <w:numFmt w:val="decimal"/>
      <w:lvlText w:val=""/>
      <w:lvlJc w:val="left"/>
    </w:lvl>
    <w:lvl w:ilvl="5" w:tplc="03A63D5C">
      <w:numFmt w:val="decimal"/>
      <w:lvlText w:val=""/>
      <w:lvlJc w:val="left"/>
    </w:lvl>
    <w:lvl w:ilvl="6" w:tplc="74541AD2">
      <w:numFmt w:val="decimal"/>
      <w:lvlText w:val=""/>
      <w:lvlJc w:val="left"/>
    </w:lvl>
    <w:lvl w:ilvl="7" w:tplc="53D81228">
      <w:numFmt w:val="decimal"/>
      <w:lvlText w:val=""/>
      <w:lvlJc w:val="left"/>
    </w:lvl>
    <w:lvl w:ilvl="8" w:tplc="DC286CC6">
      <w:numFmt w:val="decimal"/>
      <w:lvlText w:val=""/>
      <w:lvlJc w:val="left"/>
    </w:lvl>
  </w:abstractNum>
  <w:abstractNum w:abstractNumId="643" w15:restartNumberingAfterBreak="0">
    <w:nsid w:val="00005B95"/>
    <w:multiLevelType w:val="hybridMultilevel"/>
    <w:tmpl w:val="03D66B24"/>
    <w:lvl w:ilvl="0" w:tplc="E5360DAC">
      <w:start w:val="6"/>
      <w:numFmt w:val="lowerLetter"/>
      <w:lvlText w:val="(%1)"/>
      <w:lvlJc w:val="left"/>
    </w:lvl>
    <w:lvl w:ilvl="1" w:tplc="F6DE55F8">
      <w:start w:val="1"/>
      <w:numFmt w:val="decimal"/>
      <w:lvlText w:val="%2"/>
      <w:lvlJc w:val="left"/>
    </w:lvl>
    <w:lvl w:ilvl="2" w:tplc="7174FD68">
      <w:numFmt w:val="decimal"/>
      <w:lvlText w:val=""/>
      <w:lvlJc w:val="left"/>
    </w:lvl>
    <w:lvl w:ilvl="3" w:tplc="0D9A2094">
      <w:numFmt w:val="decimal"/>
      <w:lvlText w:val=""/>
      <w:lvlJc w:val="left"/>
    </w:lvl>
    <w:lvl w:ilvl="4" w:tplc="1A92DCBE">
      <w:numFmt w:val="decimal"/>
      <w:lvlText w:val=""/>
      <w:lvlJc w:val="left"/>
    </w:lvl>
    <w:lvl w:ilvl="5" w:tplc="DD768D74">
      <w:numFmt w:val="decimal"/>
      <w:lvlText w:val=""/>
      <w:lvlJc w:val="left"/>
    </w:lvl>
    <w:lvl w:ilvl="6" w:tplc="043269A2">
      <w:numFmt w:val="decimal"/>
      <w:lvlText w:val=""/>
      <w:lvlJc w:val="left"/>
    </w:lvl>
    <w:lvl w:ilvl="7" w:tplc="FE12B5DE">
      <w:numFmt w:val="decimal"/>
      <w:lvlText w:val=""/>
      <w:lvlJc w:val="left"/>
    </w:lvl>
    <w:lvl w:ilvl="8" w:tplc="97CC0624">
      <w:numFmt w:val="decimal"/>
      <w:lvlText w:val=""/>
      <w:lvlJc w:val="left"/>
    </w:lvl>
  </w:abstractNum>
  <w:abstractNum w:abstractNumId="644" w15:restartNumberingAfterBreak="0">
    <w:nsid w:val="00005BB9"/>
    <w:multiLevelType w:val="hybridMultilevel"/>
    <w:tmpl w:val="E1A06B7A"/>
    <w:lvl w:ilvl="0" w:tplc="906ABF6C">
      <w:start w:val="1"/>
      <w:numFmt w:val="lowerLetter"/>
      <w:lvlText w:val="(%1)"/>
      <w:lvlJc w:val="left"/>
    </w:lvl>
    <w:lvl w:ilvl="1" w:tplc="2F0428FC">
      <w:start w:val="1"/>
      <w:numFmt w:val="decimal"/>
      <w:lvlText w:val="%2."/>
      <w:lvlJc w:val="left"/>
    </w:lvl>
    <w:lvl w:ilvl="2" w:tplc="9684C2AC">
      <w:numFmt w:val="decimal"/>
      <w:lvlText w:val=""/>
      <w:lvlJc w:val="left"/>
    </w:lvl>
    <w:lvl w:ilvl="3" w:tplc="F472801C">
      <w:numFmt w:val="decimal"/>
      <w:lvlText w:val=""/>
      <w:lvlJc w:val="left"/>
    </w:lvl>
    <w:lvl w:ilvl="4" w:tplc="3AC899D2">
      <w:numFmt w:val="decimal"/>
      <w:lvlText w:val=""/>
      <w:lvlJc w:val="left"/>
    </w:lvl>
    <w:lvl w:ilvl="5" w:tplc="ACB2D38C">
      <w:numFmt w:val="decimal"/>
      <w:lvlText w:val=""/>
      <w:lvlJc w:val="left"/>
    </w:lvl>
    <w:lvl w:ilvl="6" w:tplc="281E8A3A">
      <w:numFmt w:val="decimal"/>
      <w:lvlText w:val=""/>
      <w:lvlJc w:val="left"/>
    </w:lvl>
    <w:lvl w:ilvl="7" w:tplc="3C1457F8">
      <w:numFmt w:val="decimal"/>
      <w:lvlText w:val=""/>
      <w:lvlJc w:val="left"/>
    </w:lvl>
    <w:lvl w:ilvl="8" w:tplc="612AE778">
      <w:numFmt w:val="decimal"/>
      <w:lvlText w:val=""/>
      <w:lvlJc w:val="left"/>
    </w:lvl>
  </w:abstractNum>
  <w:abstractNum w:abstractNumId="645" w15:restartNumberingAfterBreak="0">
    <w:nsid w:val="00005BBF"/>
    <w:multiLevelType w:val="hybridMultilevel"/>
    <w:tmpl w:val="B69C0D4C"/>
    <w:lvl w:ilvl="0" w:tplc="90D25B6C">
      <w:start w:val="1"/>
      <w:numFmt w:val="lowerLetter"/>
      <w:lvlText w:val="%1"/>
      <w:lvlJc w:val="left"/>
    </w:lvl>
    <w:lvl w:ilvl="1" w:tplc="AC828926">
      <w:start w:val="1"/>
      <w:numFmt w:val="decimal"/>
      <w:lvlText w:val="%2"/>
      <w:lvlJc w:val="left"/>
    </w:lvl>
    <w:lvl w:ilvl="2" w:tplc="0E065CDE">
      <w:start w:val="3"/>
      <w:numFmt w:val="lowerLetter"/>
      <w:lvlText w:val="%3."/>
      <w:lvlJc w:val="left"/>
    </w:lvl>
    <w:lvl w:ilvl="3" w:tplc="416E82A6">
      <w:start w:val="1"/>
      <w:numFmt w:val="lowerRoman"/>
      <w:lvlText w:val="%4."/>
      <w:lvlJc w:val="left"/>
    </w:lvl>
    <w:lvl w:ilvl="4" w:tplc="99422060">
      <w:numFmt w:val="decimal"/>
      <w:lvlText w:val=""/>
      <w:lvlJc w:val="left"/>
    </w:lvl>
    <w:lvl w:ilvl="5" w:tplc="8834D7F4">
      <w:numFmt w:val="decimal"/>
      <w:lvlText w:val=""/>
      <w:lvlJc w:val="left"/>
    </w:lvl>
    <w:lvl w:ilvl="6" w:tplc="4EEC1782">
      <w:numFmt w:val="decimal"/>
      <w:lvlText w:val=""/>
      <w:lvlJc w:val="left"/>
    </w:lvl>
    <w:lvl w:ilvl="7" w:tplc="19D2F488">
      <w:numFmt w:val="decimal"/>
      <w:lvlText w:val=""/>
      <w:lvlJc w:val="left"/>
    </w:lvl>
    <w:lvl w:ilvl="8" w:tplc="C88AE6BA">
      <w:numFmt w:val="decimal"/>
      <w:lvlText w:val=""/>
      <w:lvlJc w:val="left"/>
    </w:lvl>
  </w:abstractNum>
  <w:abstractNum w:abstractNumId="646" w15:restartNumberingAfterBreak="0">
    <w:nsid w:val="00005C00"/>
    <w:multiLevelType w:val="hybridMultilevel"/>
    <w:tmpl w:val="CB8659F2"/>
    <w:lvl w:ilvl="0" w:tplc="F60CC3F2">
      <w:start w:val="3"/>
      <w:numFmt w:val="decimal"/>
      <w:lvlText w:val="(%1)"/>
      <w:lvlJc w:val="left"/>
    </w:lvl>
    <w:lvl w:ilvl="1" w:tplc="982667E8">
      <w:start w:val="1"/>
      <w:numFmt w:val="lowerLetter"/>
      <w:lvlText w:val="(%2)"/>
      <w:lvlJc w:val="left"/>
    </w:lvl>
    <w:lvl w:ilvl="2" w:tplc="B660FB7A">
      <w:start w:val="1"/>
      <w:numFmt w:val="decimal"/>
      <w:lvlText w:val="%3."/>
      <w:lvlJc w:val="left"/>
    </w:lvl>
    <w:lvl w:ilvl="3" w:tplc="2E2E0F4A">
      <w:start w:val="1"/>
      <w:numFmt w:val="lowerLetter"/>
      <w:lvlText w:val="%4"/>
      <w:lvlJc w:val="left"/>
    </w:lvl>
    <w:lvl w:ilvl="4" w:tplc="FF90EBD6">
      <w:numFmt w:val="decimal"/>
      <w:lvlText w:val=""/>
      <w:lvlJc w:val="left"/>
    </w:lvl>
    <w:lvl w:ilvl="5" w:tplc="1974F852">
      <w:numFmt w:val="decimal"/>
      <w:lvlText w:val=""/>
      <w:lvlJc w:val="left"/>
    </w:lvl>
    <w:lvl w:ilvl="6" w:tplc="EA32FEDC">
      <w:numFmt w:val="decimal"/>
      <w:lvlText w:val=""/>
      <w:lvlJc w:val="left"/>
    </w:lvl>
    <w:lvl w:ilvl="7" w:tplc="D382A652">
      <w:numFmt w:val="decimal"/>
      <w:lvlText w:val=""/>
      <w:lvlJc w:val="left"/>
    </w:lvl>
    <w:lvl w:ilvl="8" w:tplc="06F6522C">
      <w:numFmt w:val="decimal"/>
      <w:lvlText w:val=""/>
      <w:lvlJc w:val="left"/>
    </w:lvl>
  </w:abstractNum>
  <w:abstractNum w:abstractNumId="647" w15:restartNumberingAfterBreak="0">
    <w:nsid w:val="00005C04"/>
    <w:multiLevelType w:val="hybridMultilevel"/>
    <w:tmpl w:val="53C05A78"/>
    <w:lvl w:ilvl="0" w:tplc="19CE6FBE">
      <w:start w:val="2"/>
      <w:numFmt w:val="decimal"/>
      <w:lvlText w:val="(%1)"/>
      <w:lvlJc w:val="left"/>
    </w:lvl>
    <w:lvl w:ilvl="1" w:tplc="3F6A4F4C">
      <w:numFmt w:val="decimal"/>
      <w:lvlText w:val=""/>
      <w:lvlJc w:val="left"/>
    </w:lvl>
    <w:lvl w:ilvl="2" w:tplc="9D068A7E">
      <w:numFmt w:val="decimal"/>
      <w:lvlText w:val=""/>
      <w:lvlJc w:val="left"/>
    </w:lvl>
    <w:lvl w:ilvl="3" w:tplc="683ACFD4">
      <w:numFmt w:val="decimal"/>
      <w:lvlText w:val=""/>
      <w:lvlJc w:val="left"/>
    </w:lvl>
    <w:lvl w:ilvl="4" w:tplc="B80C120C">
      <w:numFmt w:val="decimal"/>
      <w:lvlText w:val=""/>
      <w:lvlJc w:val="left"/>
    </w:lvl>
    <w:lvl w:ilvl="5" w:tplc="D2A8095A">
      <w:numFmt w:val="decimal"/>
      <w:lvlText w:val=""/>
      <w:lvlJc w:val="left"/>
    </w:lvl>
    <w:lvl w:ilvl="6" w:tplc="08B4610C">
      <w:numFmt w:val="decimal"/>
      <w:lvlText w:val=""/>
      <w:lvlJc w:val="left"/>
    </w:lvl>
    <w:lvl w:ilvl="7" w:tplc="5E7AE158">
      <w:numFmt w:val="decimal"/>
      <w:lvlText w:val=""/>
      <w:lvlJc w:val="left"/>
    </w:lvl>
    <w:lvl w:ilvl="8" w:tplc="861A1252">
      <w:numFmt w:val="decimal"/>
      <w:lvlText w:val=""/>
      <w:lvlJc w:val="left"/>
    </w:lvl>
  </w:abstractNum>
  <w:abstractNum w:abstractNumId="648" w15:restartNumberingAfterBreak="0">
    <w:nsid w:val="00005C24"/>
    <w:multiLevelType w:val="hybridMultilevel"/>
    <w:tmpl w:val="F254336C"/>
    <w:lvl w:ilvl="0" w:tplc="47107DB2">
      <w:start w:val="1"/>
      <w:numFmt w:val="lowerLetter"/>
      <w:lvlText w:val="%1"/>
      <w:lvlJc w:val="left"/>
    </w:lvl>
    <w:lvl w:ilvl="1" w:tplc="A16E936E">
      <w:start w:val="5"/>
      <w:numFmt w:val="decimal"/>
      <w:lvlText w:val="%2."/>
      <w:lvlJc w:val="left"/>
    </w:lvl>
    <w:lvl w:ilvl="2" w:tplc="9138B49C">
      <w:numFmt w:val="decimal"/>
      <w:lvlText w:val=""/>
      <w:lvlJc w:val="left"/>
    </w:lvl>
    <w:lvl w:ilvl="3" w:tplc="3BEAFE34">
      <w:numFmt w:val="decimal"/>
      <w:lvlText w:val=""/>
      <w:lvlJc w:val="left"/>
    </w:lvl>
    <w:lvl w:ilvl="4" w:tplc="D8224BC8">
      <w:numFmt w:val="decimal"/>
      <w:lvlText w:val=""/>
      <w:lvlJc w:val="left"/>
    </w:lvl>
    <w:lvl w:ilvl="5" w:tplc="C00E7C90">
      <w:numFmt w:val="decimal"/>
      <w:lvlText w:val=""/>
      <w:lvlJc w:val="left"/>
    </w:lvl>
    <w:lvl w:ilvl="6" w:tplc="FE20B3E4">
      <w:numFmt w:val="decimal"/>
      <w:lvlText w:val=""/>
      <w:lvlJc w:val="left"/>
    </w:lvl>
    <w:lvl w:ilvl="7" w:tplc="E9FC1DC4">
      <w:numFmt w:val="decimal"/>
      <w:lvlText w:val=""/>
      <w:lvlJc w:val="left"/>
    </w:lvl>
    <w:lvl w:ilvl="8" w:tplc="4D0AFCC4">
      <w:numFmt w:val="decimal"/>
      <w:lvlText w:val=""/>
      <w:lvlJc w:val="left"/>
    </w:lvl>
  </w:abstractNum>
  <w:abstractNum w:abstractNumId="649" w15:restartNumberingAfterBreak="0">
    <w:nsid w:val="00005C25"/>
    <w:multiLevelType w:val="hybridMultilevel"/>
    <w:tmpl w:val="2E086658"/>
    <w:lvl w:ilvl="0" w:tplc="A6E6711E">
      <w:start w:val="7"/>
      <w:numFmt w:val="lowerRoman"/>
      <w:lvlText w:val="%1."/>
      <w:lvlJc w:val="left"/>
    </w:lvl>
    <w:lvl w:ilvl="1" w:tplc="06A8BF72">
      <w:numFmt w:val="decimal"/>
      <w:lvlText w:val=""/>
      <w:lvlJc w:val="left"/>
    </w:lvl>
    <w:lvl w:ilvl="2" w:tplc="2370FB64">
      <w:numFmt w:val="decimal"/>
      <w:lvlText w:val=""/>
      <w:lvlJc w:val="left"/>
    </w:lvl>
    <w:lvl w:ilvl="3" w:tplc="DF52C70E">
      <w:numFmt w:val="decimal"/>
      <w:lvlText w:val=""/>
      <w:lvlJc w:val="left"/>
    </w:lvl>
    <w:lvl w:ilvl="4" w:tplc="E82A19E6">
      <w:numFmt w:val="decimal"/>
      <w:lvlText w:val=""/>
      <w:lvlJc w:val="left"/>
    </w:lvl>
    <w:lvl w:ilvl="5" w:tplc="F3E2E8C2">
      <w:numFmt w:val="decimal"/>
      <w:lvlText w:val=""/>
      <w:lvlJc w:val="left"/>
    </w:lvl>
    <w:lvl w:ilvl="6" w:tplc="FE6C4190">
      <w:numFmt w:val="decimal"/>
      <w:lvlText w:val=""/>
      <w:lvlJc w:val="left"/>
    </w:lvl>
    <w:lvl w:ilvl="7" w:tplc="A0263B88">
      <w:numFmt w:val="decimal"/>
      <w:lvlText w:val=""/>
      <w:lvlJc w:val="left"/>
    </w:lvl>
    <w:lvl w:ilvl="8" w:tplc="1B7E04B2">
      <w:numFmt w:val="decimal"/>
      <w:lvlText w:val=""/>
      <w:lvlJc w:val="left"/>
    </w:lvl>
  </w:abstractNum>
  <w:abstractNum w:abstractNumId="650" w15:restartNumberingAfterBreak="0">
    <w:nsid w:val="00005C62"/>
    <w:multiLevelType w:val="hybridMultilevel"/>
    <w:tmpl w:val="57640B16"/>
    <w:lvl w:ilvl="0" w:tplc="B3E60E06">
      <w:start w:val="1"/>
      <w:numFmt w:val="decimal"/>
      <w:lvlText w:val="(%1)"/>
      <w:lvlJc w:val="left"/>
    </w:lvl>
    <w:lvl w:ilvl="1" w:tplc="4B9859B4">
      <w:numFmt w:val="decimal"/>
      <w:lvlText w:val=""/>
      <w:lvlJc w:val="left"/>
    </w:lvl>
    <w:lvl w:ilvl="2" w:tplc="9F7E3D9C">
      <w:numFmt w:val="decimal"/>
      <w:lvlText w:val=""/>
      <w:lvlJc w:val="left"/>
    </w:lvl>
    <w:lvl w:ilvl="3" w:tplc="F788D732">
      <w:numFmt w:val="decimal"/>
      <w:lvlText w:val=""/>
      <w:lvlJc w:val="left"/>
    </w:lvl>
    <w:lvl w:ilvl="4" w:tplc="34DE73B2">
      <w:numFmt w:val="decimal"/>
      <w:lvlText w:val=""/>
      <w:lvlJc w:val="left"/>
    </w:lvl>
    <w:lvl w:ilvl="5" w:tplc="0F404EA8">
      <w:numFmt w:val="decimal"/>
      <w:lvlText w:val=""/>
      <w:lvlJc w:val="left"/>
    </w:lvl>
    <w:lvl w:ilvl="6" w:tplc="DE7A9598">
      <w:numFmt w:val="decimal"/>
      <w:lvlText w:val=""/>
      <w:lvlJc w:val="left"/>
    </w:lvl>
    <w:lvl w:ilvl="7" w:tplc="8C5AE4B2">
      <w:numFmt w:val="decimal"/>
      <w:lvlText w:val=""/>
      <w:lvlJc w:val="left"/>
    </w:lvl>
    <w:lvl w:ilvl="8" w:tplc="0470932A">
      <w:numFmt w:val="decimal"/>
      <w:lvlText w:val=""/>
      <w:lvlJc w:val="left"/>
    </w:lvl>
  </w:abstractNum>
  <w:abstractNum w:abstractNumId="651" w15:restartNumberingAfterBreak="0">
    <w:nsid w:val="00005C8C"/>
    <w:multiLevelType w:val="hybridMultilevel"/>
    <w:tmpl w:val="D6BC8672"/>
    <w:lvl w:ilvl="0" w:tplc="341A19F8">
      <w:start w:val="1"/>
      <w:numFmt w:val="lowerLetter"/>
      <w:lvlText w:val="%1"/>
      <w:lvlJc w:val="left"/>
    </w:lvl>
    <w:lvl w:ilvl="1" w:tplc="8AA433BC">
      <w:start w:val="5"/>
      <w:numFmt w:val="decimal"/>
      <w:lvlText w:val="%2."/>
      <w:lvlJc w:val="left"/>
    </w:lvl>
    <w:lvl w:ilvl="2" w:tplc="06EABF72">
      <w:start w:val="1"/>
      <w:numFmt w:val="lowerLetter"/>
      <w:lvlText w:val="%3."/>
      <w:lvlJc w:val="left"/>
    </w:lvl>
    <w:lvl w:ilvl="3" w:tplc="053ADA0E">
      <w:numFmt w:val="decimal"/>
      <w:lvlText w:val=""/>
      <w:lvlJc w:val="left"/>
    </w:lvl>
    <w:lvl w:ilvl="4" w:tplc="09A2D72E">
      <w:numFmt w:val="decimal"/>
      <w:lvlText w:val=""/>
      <w:lvlJc w:val="left"/>
    </w:lvl>
    <w:lvl w:ilvl="5" w:tplc="932C6D58">
      <w:numFmt w:val="decimal"/>
      <w:lvlText w:val=""/>
      <w:lvlJc w:val="left"/>
    </w:lvl>
    <w:lvl w:ilvl="6" w:tplc="51CA0416">
      <w:numFmt w:val="decimal"/>
      <w:lvlText w:val=""/>
      <w:lvlJc w:val="left"/>
    </w:lvl>
    <w:lvl w:ilvl="7" w:tplc="0B7605C8">
      <w:numFmt w:val="decimal"/>
      <w:lvlText w:val=""/>
      <w:lvlJc w:val="left"/>
    </w:lvl>
    <w:lvl w:ilvl="8" w:tplc="09BCC3D2">
      <w:numFmt w:val="decimal"/>
      <w:lvlText w:val=""/>
      <w:lvlJc w:val="left"/>
    </w:lvl>
  </w:abstractNum>
  <w:abstractNum w:abstractNumId="652" w15:restartNumberingAfterBreak="0">
    <w:nsid w:val="00005C8E"/>
    <w:multiLevelType w:val="hybridMultilevel"/>
    <w:tmpl w:val="B3FC68F8"/>
    <w:lvl w:ilvl="0" w:tplc="569279E6">
      <w:start w:val="1"/>
      <w:numFmt w:val="decimal"/>
      <w:lvlText w:val="%1"/>
      <w:lvlJc w:val="left"/>
    </w:lvl>
    <w:lvl w:ilvl="1" w:tplc="CB22952E">
      <w:start w:val="1"/>
      <w:numFmt w:val="lowerLetter"/>
      <w:lvlText w:val="%2"/>
      <w:lvlJc w:val="left"/>
    </w:lvl>
    <w:lvl w:ilvl="2" w:tplc="962A7190">
      <w:start w:val="3"/>
      <w:numFmt w:val="decimal"/>
      <w:lvlText w:val="%3."/>
      <w:lvlJc w:val="left"/>
    </w:lvl>
    <w:lvl w:ilvl="3" w:tplc="09E4B952">
      <w:numFmt w:val="decimal"/>
      <w:lvlText w:val=""/>
      <w:lvlJc w:val="left"/>
    </w:lvl>
    <w:lvl w:ilvl="4" w:tplc="033668FC">
      <w:numFmt w:val="decimal"/>
      <w:lvlText w:val=""/>
      <w:lvlJc w:val="left"/>
    </w:lvl>
    <w:lvl w:ilvl="5" w:tplc="F49003EE">
      <w:numFmt w:val="decimal"/>
      <w:lvlText w:val=""/>
      <w:lvlJc w:val="left"/>
    </w:lvl>
    <w:lvl w:ilvl="6" w:tplc="42F64776">
      <w:numFmt w:val="decimal"/>
      <w:lvlText w:val=""/>
      <w:lvlJc w:val="left"/>
    </w:lvl>
    <w:lvl w:ilvl="7" w:tplc="FAF2D83A">
      <w:numFmt w:val="decimal"/>
      <w:lvlText w:val=""/>
      <w:lvlJc w:val="left"/>
    </w:lvl>
    <w:lvl w:ilvl="8" w:tplc="E2183400">
      <w:numFmt w:val="decimal"/>
      <w:lvlText w:val=""/>
      <w:lvlJc w:val="left"/>
    </w:lvl>
  </w:abstractNum>
  <w:abstractNum w:abstractNumId="653" w15:restartNumberingAfterBreak="0">
    <w:nsid w:val="00005CA5"/>
    <w:multiLevelType w:val="hybridMultilevel"/>
    <w:tmpl w:val="F84C2822"/>
    <w:lvl w:ilvl="0" w:tplc="0B2020AE">
      <w:start w:val="1"/>
      <w:numFmt w:val="lowerRoman"/>
      <w:lvlText w:val="(%1)"/>
      <w:lvlJc w:val="left"/>
    </w:lvl>
    <w:lvl w:ilvl="1" w:tplc="219805E6">
      <w:numFmt w:val="decimal"/>
      <w:lvlText w:val=""/>
      <w:lvlJc w:val="left"/>
    </w:lvl>
    <w:lvl w:ilvl="2" w:tplc="A7785ADC">
      <w:numFmt w:val="decimal"/>
      <w:lvlText w:val=""/>
      <w:lvlJc w:val="left"/>
    </w:lvl>
    <w:lvl w:ilvl="3" w:tplc="3A2C3C40">
      <w:numFmt w:val="decimal"/>
      <w:lvlText w:val=""/>
      <w:lvlJc w:val="left"/>
    </w:lvl>
    <w:lvl w:ilvl="4" w:tplc="CB90F614">
      <w:numFmt w:val="decimal"/>
      <w:lvlText w:val=""/>
      <w:lvlJc w:val="left"/>
    </w:lvl>
    <w:lvl w:ilvl="5" w:tplc="F8BCFDDA">
      <w:numFmt w:val="decimal"/>
      <w:lvlText w:val=""/>
      <w:lvlJc w:val="left"/>
    </w:lvl>
    <w:lvl w:ilvl="6" w:tplc="4FE46176">
      <w:numFmt w:val="decimal"/>
      <w:lvlText w:val=""/>
      <w:lvlJc w:val="left"/>
    </w:lvl>
    <w:lvl w:ilvl="7" w:tplc="631A7BA6">
      <w:numFmt w:val="decimal"/>
      <w:lvlText w:val=""/>
      <w:lvlJc w:val="left"/>
    </w:lvl>
    <w:lvl w:ilvl="8" w:tplc="2558F4F6">
      <w:numFmt w:val="decimal"/>
      <w:lvlText w:val=""/>
      <w:lvlJc w:val="left"/>
    </w:lvl>
  </w:abstractNum>
  <w:abstractNum w:abstractNumId="654" w15:restartNumberingAfterBreak="0">
    <w:nsid w:val="00005CE3"/>
    <w:multiLevelType w:val="hybridMultilevel"/>
    <w:tmpl w:val="42924748"/>
    <w:lvl w:ilvl="0" w:tplc="FB5A7246">
      <w:start w:val="4"/>
      <w:numFmt w:val="decimal"/>
      <w:lvlText w:val="(%1)"/>
      <w:lvlJc w:val="left"/>
    </w:lvl>
    <w:lvl w:ilvl="1" w:tplc="7E3C3B98">
      <w:start w:val="1"/>
      <w:numFmt w:val="lowerLetter"/>
      <w:lvlText w:val="(%2)"/>
      <w:lvlJc w:val="left"/>
    </w:lvl>
    <w:lvl w:ilvl="2" w:tplc="93D271CC">
      <w:start w:val="2"/>
      <w:numFmt w:val="decimal"/>
      <w:lvlText w:val="%3."/>
      <w:lvlJc w:val="left"/>
    </w:lvl>
    <w:lvl w:ilvl="3" w:tplc="40BE4EBA">
      <w:start w:val="1"/>
      <w:numFmt w:val="lowerLetter"/>
      <w:lvlText w:val="%4"/>
      <w:lvlJc w:val="left"/>
    </w:lvl>
    <w:lvl w:ilvl="4" w:tplc="C106B130">
      <w:numFmt w:val="decimal"/>
      <w:lvlText w:val=""/>
      <w:lvlJc w:val="left"/>
    </w:lvl>
    <w:lvl w:ilvl="5" w:tplc="2138A816">
      <w:numFmt w:val="decimal"/>
      <w:lvlText w:val=""/>
      <w:lvlJc w:val="left"/>
    </w:lvl>
    <w:lvl w:ilvl="6" w:tplc="BD4EFFE0">
      <w:numFmt w:val="decimal"/>
      <w:lvlText w:val=""/>
      <w:lvlJc w:val="left"/>
    </w:lvl>
    <w:lvl w:ilvl="7" w:tplc="EBACBFD8">
      <w:numFmt w:val="decimal"/>
      <w:lvlText w:val=""/>
      <w:lvlJc w:val="left"/>
    </w:lvl>
    <w:lvl w:ilvl="8" w:tplc="36BAC66C">
      <w:numFmt w:val="decimal"/>
      <w:lvlText w:val=""/>
      <w:lvlJc w:val="left"/>
    </w:lvl>
  </w:abstractNum>
  <w:abstractNum w:abstractNumId="655" w15:restartNumberingAfterBreak="0">
    <w:nsid w:val="00005D12"/>
    <w:multiLevelType w:val="hybridMultilevel"/>
    <w:tmpl w:val="07BAE1AA"/>
    <w:lvl w:ilvl="0" w:tplc="B1E40E32">
      <w:start w:val="10"/>
      <w:numFmt w:val="decimal"/>
      <w:lvlText w:val="(%1)"/>
      <w:lvlJc w:val="left"/>
    </w:lvl>
    <w:lvl w:ilvl="1" w:tplc="116E1C42">
      <w:start w:val="1"/>
      <w:numFmt w:val="lowerLetter"/>
      <w:lvlText w:val="(%2)"/>
      <w:lvlJc w:val="left"/>
    </w:lvl>
    <w:lvl w:ilvl="2" w:tplc="5AC8149A">
      <w:start w:val="1"/>
      <w:numFmt w:val="decimal"/>
      <w:lvlText w:val="%3"/>
      <w:lvlJc w:val="left"/>
    </w:lvl>
    <w:lvl w:ilvl="3" w:tplc="AF560542">
      <w:numFmt w:val="decimal"/>
      <w:lvlText w:val=""/>
      <w:lvlJc w:val="left"/>
    </w:lvl>
    <w:lvl w:ilvl="4" w:tplc="2646A63C">
      <w:numFmt w:val="decimal"/>
      <w:lvlText w:val=""/>
      <w:lvlJc w:val="left"/>
    </w:lvl>
    <w:lvl w:ilvl="5" w:tplc="E54ADD2C">
      <w:numFmt w:val="decimal"/>
      <w:lvlText w:val=""/>
      <w:lvlJc w:val="left"/>
    </w:lvl>
    <w:lvl w:ilvl="6" w:tplc="6C2C340A">
      <w:numFmt w:val="decimal"/>
      <w:lvlText w:val=""/>
      <w:lvlJc w:val="left"/>
    </w:lvl>
    <w:lvl w:ilvl="7" w:tplc="B4EA1702">
      <w:numFmt w:val="decimal"/>
      <w:lvlText w:val=""/>
      <w:lvlJc w:val="left"/>
    </w:lvl>
    <w:lvl w:ilvl="8" w:tplc="3022FB0E">
      <w:numFmt w:val="decimal"/>
      <w:lvlText w:val=""/>
      <w:lvlJc w:val="left"/>
    </w:lvl>
  </w:abstractNum>
  <w:abstractNum w:abstractNumId="656" w15:restartNumberingAfterBreak="0">
    <w:nsid w:val="00005D20"/>
    <w:multiLevelType w:val="hybridMultilevel"/>
    <w:tmpl w:val="E82213FC"/>
    <w:lvl w:ilvl="0" w:tplc="FDBA61C0">
      <w:start w:val="1"/>
      <w:numFmt w:val="decimal"/>
      <w:lvlText w:val="%1"/>
      <w:lvlJc w:val="left"/>
    </w:lvl>
    <w:lvl w:ilvl="1" w:tplc="70CE30E2">
      <w:start w:val="1"/>
      <w:numFmt w:val="decimal"/>
      <w:lvlText w:val="%2"/>
      <w:lvlJc w:val="left"/>
    </w:lvl>
    <w:lvl w:ilvl="2" w:tplc="B2B2E246">
      <w:start w:val="1"/>
      <w:numFmt w:val="lowerLetter"/>
      <w:lvlText w:val="%3"/>
      <w:lvlJc w:val="left"/>
    </w:lvl>
    <w:lvl w:ilvl="3" w:tplc="1D686218">
      <w:start w:val="22"/>
      <w:numFmt w:val="decimal"/>
      <w:lvlText w:val="%4."/>
      <w:lvlJc w:val="left"/>
    </w:lvl>
    <w:lvl w:ilvl="4" w:tplc="C7EE6A1A">
      <w:start w:val="1"/>
      <w:numFmt w:val="lowerLetter"/>
      <w:lvlText w:val="%5"/>
      <w:lvlJc w:val="left"/>
    </w:lvl>
    <w:lvl w:ilvl="5" w:tplc="C8D046CE">
      <w:numFmt w:val="decimal"/>
      <w:lvlText w:val=""/>
      <w:lvlJc w:val="left"/>
    </w:lvl>
    <w:lvl w:ilvl="6" w:tplc="D382D7BE">
      <w:numFmt w:val="decimal"/>
      <w:lvlText w:val=""/>
      <w:lvlJc w:val="left"/>
    </w:lvl>
    <w:lvl w:ilvl="7" w:tplc="4B265CD2">
      <w:numFmt w:val="decimal"/>
      <w:lvlText w:val=""/>
      <w:lvlJc w:val="left"/>
    </w:lvl>
    <w:lvl w:ilvl="8" w:tplc="3DDC8E5A">
      <w:numFmt w:val="decimal"/>
      <w:lvlText w:val=""/>
      <w:lvlJc w:val="left"/>
    </w:lvl>
  </w:abstractNum>
  <w:abstractNum w:abstractNumId="657" w15:restartNumberingAfterBreak="0">
    <w:nsid w:val="00005D30"/>
    <w:multiLevelType w:val="hybridMultilevel"/>
    <w:tmpl w:val="7730DFD8"/>
    <w:lvl w:ilvl="0" w:tplc="FCC49A36">
      <w:start w:val="5"/>
      <w:numFmt w:val="lowerLetter"/>
      <w:lvlText w:val="(%1)"/>
      <w:lvlJc w:val="left"/>
    </w:lvl>
    <w:lvl w:ilvl="1" w:tplc="A56E1BA0">
      <w:start w:val="1"/>
      <w:numFmt w:val="decimal"/>
      <w:lvlText w:val="%2."/>
      <w:lvlJc w:val="left"/>
    </w:lvl>
    <w:lvl w:ilvl="2" w:tplc="1F46066E">
      <w:start w:val="1"/>
      <w:numFmt w:val="lowerLetter"/>
      <w:lvlText w:val="%3."/>
      <w:lvlJc w:val="left"/>
    </w:lvl>
    <w:lvl w:ilvl="3" w:tplc="F11EB184">
      <w:numFmt w:val="decimal"/>
      <w:lvlText w:val=""/>
      <w:lvlJc w:val="left"/>
    </w:lvl>
    <w:lvl w:ilvl="4" w:tplc="9842C3EE">
      <w:numFmt w:val="decimal"/>
      <w:lvlText w:val=""/>
      <w:lvlJc w:val="left"/>
    </w:lvl>
    <w:lvl w:ilvl="5" w:tplc="F252B58C">
      <w:numFmt w:val="decimal"/>
      <w:lvlText w:val=""/>
      <w:lvlJc w:val="left"/>
    </w:lvl>
    <w:lvl w:ilvl="6" w:tplc="6134869E">
      <w:numFmt w:val="decimal"/>
      <w:lvlText w:val=""/>
      <w:lvlJc w:val="left"/>
    </w:lvl>
    <w:lvl w:ilvl="7" w:tplc="E0A6CB2A">
      <w:numFmt w:val="decimal"/>
      <w:lvlText w:val=""/>
      <w:lvlJc w:val="left"/>
    </w:lvl>
    <w:lvl w:ilvl="8" w:tplc="85381AAC">
      <w:numFmt w:val="decimal"/>
      <w:lvlText w:val=""/>
      <w:lvlJc w:val="left"/>
    </w:lvl>
  </w:abstractNum>
  <w:abstractNum w:abstractNumId="658" w15:restartNumberingAfterBreak="0">
    <w:nsid w:val="00005D93"/>
    <w:multiLevelType w:val="hybridMultilevel"/>
    <w:tmpl w:val="8A0EA7A6"/>
    <w:lvl w:ilvl="0" w:tplc="F948F466">
      <w:start w:val="8"/>
      <w:numFmt w:val="lowerRoman"/>
      <w:lvlText w:val="%1."/>
      <w:lvlJc w:val="left"/>
    </w:lvl>
    <w:lvl w:ilvl="1" w:tplc="87962F22">
      <w:numFmt w:val="decimal"/>
      <w:lvlText w:val=""/>
      <w:lvlJc w:val="left"/>
    </w:lvl>
    <w:lvl w:ilvl="2" w:tplc="A23693FC">
      <w:numFmt w:val="decimal"/>
      <w:lvlText w:val=""/>
      <w:lvlJc w:val="left"/>
    </w:lvl>
    <w:lvl w:ilvl="3" w:tplc="AF7217D6">
      <w:numFmt w:val="decimal"/>
      <w:lvlText w:val=""/>
      <w:lvlJc w:val="left"/>
    </w:lvl>
    <w:lvl w:ilvl="4" w:tplc="BA98D844">
      <w:numFmt w:val="decimal"/>
      <w:lvlText w:val=""/>
      <w:lvlJc w:val="left"/>
    </w:lvl>
    <w:lvl w:ilvl="5" w:tplc="30FA3B4E">
      <w:numFmt w:val="decimal"/>
      <w:lvlText w:val=""/>
      <w:lvlJc w:val="left"/>
    </w:lvl>
    <w:lvl w:ilvl="6" w:tplc="91B41E92">
      <w:numFmt w:val="decimal"/>
      <w:lvlText w:val=""/>
      <w:lvlJc w:val="left"/>
    </w:lvl>
    <w:lvl w:ilvl="7" w:tplc="1DA21280">
      <w:numFmt w:val="decimal"/>
      <w:lvlText w:val=""/>
      <w:lvlJc w:val="left"/>
    </w:lvl>
    <w:lvl w:ilvl="8" w:tplc="04EE875A">
      <w:numFmt w:val="decimal"/>
      <w:lvlText w:val=""/>
      <w:lvlJc w:val="left"/>
    </w:lvl>
  </w:abstractNum>
  <w:abstractNum w:abstractNumId="659" w15:restartNumberingAfterBreak="0">
    <w:nsid w:val="00005DB6"/>
    <w:multiLevelType w:val="hybridMultilevel"/>
    <w:tmpl w:val="3DA07B2E"/>
    <w:lvl w:ilvl="0" w:tplc="1AC8A9A2">
      <w:start w:val="1"/>
      <w:numFmt w:val="decimal"/>
      <w:lvlText w:val="%1"/>
      <w:lvlJc w:val="left"/>
    </w:lvl>
    <w:lvl w:ilvl="1" w:tplc="476C7182">
      <w:start w:val="1"/>
      <w:numFmt w:val="lowerLetter"/>
      <w:lvlText w:val="%2"/>
      <w:lvlJc w:val="left"/>
    </w:lvl>
    <w:lvl w:ilvl="2" w:tplc="FB487B1A">
      <w:start w:val="2"/>
      <w:numFmt w:val="decimal"/>
      <w:lvlText w:val="%3."/>
      <w:lvlJc w:val="left"/>
    </w:lvl>
    <w:lvl w:ilvl="3" w:tplc="2F8467AE">
      <w:numFmt w:val="decimal"/>
      <w:lvlText w:val=""/>
      <w:lvlJc w:val="left"/>
    </w:lvl>
    <w:lvl w:ilvl="4" w:tplc="0C963FB0">
      <w:numFmt w:val="decimal"/>
      <w:lvlText w:val=""/>
      <w:lvlJc w:val="left"/>
    </w:lvl>
    <w:lvl w:ilvl="5" w:tplc="9AF8C298">
      <w:numFmt w:val="decimal"/>
      <w:lvlText w:val=""/>
      <w:lvlJc w:val="left"/>
    </w:lvl>
    <w:lvl w:ilvl="6" w:tplc="B7805E22">
      <w:numFmt w:val="decimal"/>
      <w:lvlText w:val=""/>
      <w:lvlJc w:val="left"/>
    </w:lvl>
    <w:lvl w:ilvl="7" w:tplc="D1A6706E">
      <w:numFmt w:val="decimal"/>
      <w:lvlText w:val=""/>
      <w:lvlJc w:val="left"/>
    </w:lvl>
    <w:lvl w:ilvl="8" w:tplc="AFB433C4">
      <w:numFmt w:val="decimal"/>
      <w:lvlText w:val=""/>
      <w:lvlJc w:val="left"/>
    </w:lvl>
  </w:abstractNum>
  <w:abstractNum w:abstractNumId="660" w15:restartNumberingAfterBreak="0">
    <w:nsid w:val="00005DE1"/>
    <w:multiLevelType w:val="hybridMultilevel"/>
    <w:tmpl w:val="784A265E"/>
    <w:lvl w:ilvl="0" w:tplc="5D0AB8B2">
      <w:start w:val="1"/>
      <w:numFmt w:val="decimal"/>
      <w:lvlText w:val="%1"/>
      <w:lvlJc w:val="left"/>
    </w:lvl>
    <w:lvl w:ilvl="1" w:tplc="FFCE1032">
      <w:start w:val="1"/>
      <w:numFmt w:val="lowerLetter"/>
      <w:lvlText w:val="%2"/>
      <w:lvlJc w:val="left"/>
    </w:lvl>
    <w:lvl w:ilvl="2" w:tplc="C7E8BA2C">
      <w:start w:val="1"/>
      <w:numFmt w:val="decimal"/>
      <w:lvlText w:val="%3"/>
      <w:lvlJc w:val="left"/>
    </w:lvl>
    <w:lvl w:ilvl="3" w:tplc="9ED867AA">
      <w:start w:val="3"/>
      <w:numFmt w:val="lowerLetter"/>
      <w:lvlText w:val="%4."/>
      <w:lvlJc w:val="left"/>
    </w:lvl>
    <w:lvl w:ilvl="4" w:tplc="405200D6">
      <w:numFmt w:val="decimal"/>
      <w:lvlText w:val=""/>
      <w:lvlJc w:val="left"/>
    </w:lvl>
    <w:lvl w:ilvl="5" w:tplc="482C4534">
      <w:numFmt w:val="decimal"/>
      <w:lvlText w:val=""/>
      <w:lvlJc w:val="left"/>
    </w:lvl>
    <w:lvl w:ilvl="6" w:tplc="65B42CD4">
      <w:numFmt w:val="decimal"/>
      <w:lvlText w:val=""/>
      <w:lvlJc w:val="left"/>
    </w:lvl>
    <w:lvl w:ilvl="7" w:tplc="2A627056">
      <w:numFmt w:val="decimal"/>
      <w:lvlText w:val=""/>
      <w:lvlJc w:val="left"/>
    </w:lvl>
    <w:lvl w:ilvl="8" w:tplc="1AAC9FDC">
      <w:numFmt w:val="decimal"/>
      <w:lvlText w:val=""/>
      <w:lvlJc w:val="left"/>
    </w:lvl>
  </w:abstractNum>
  <w:abstractNum w:abstractNumId="661" w15:restartNumberingAfterBreak="0">
    <w:nsid w:val="00005E11"/>
    <w:multiLevelType w:val="hybridMultilevel"/>
    <w:tmpl w:val="DC7292C8"/>
    <w:lvl w:ilvl="0" w:tplc="75FA7D32">
      <w:start w:val="1"/>
      <w:numFmt w:val="decimal"/>
      <w:lvlText w:val="%1"/>
      <w:lvlJc w:val="left"/>
    </w:lvl>
    <w:lvl w:ilvl="1" w:tplc="64A0CDB8">
      <w:start w:val="1"/>
      <w:numFmt w:val="lowerLetter"/>
      <w:lvlText w:val="%2"/>
      <w:lvlJc w:val="left"/>
    </w:lvl>
    <w:lvl w:ilvl="2" w:tplc="B296A888">
      <w:start w:val="5"/>
      <w:numFmt w:val="decimal"/>
      <w:lvlText w:val="%3."/>
      <w:lvlJc w:val="left"/>
    </w:lvl>
    <w:lvl w:ilvl="3" w:tplc="E914518C">
      <w:start w:val="1"/>
      <w:numFmt w:val="lowerLetter"/>
      <w:lvlText w:val="%4."/>
      <w:lvlJc w:val="left"/>
    </w:lvl>
    <w:lvl w:ilvl="4" w:tplc="C31486AC">
      <w:numFmt w:val="decimal"/>
      <w:lvlText w:val=""/>
      <w:lvlJc w:val="left"/>
    </w:lvl>
    <w:lvl w:ilvl="5" w:tplc="DD0A7D04">
      <w:numFmt w:val="decimal"/>
      <w:lvlText w:val=""/>
      <w:lvlJc w:val="left"/>
    </w:lvl>
    <w:lvl w:ilvl="6" w:tplc="88AA73B8">
      <w:numFmt w:val="decimal"/>
      <w:lvlText w:val=""/>
      <w:lvlJc w:val="left"/>
    </w:lvl>
    <w:lvl w:ilvl="7" w:tplc="C4E8919C">
      <w:numFmt w:val="decimal"/>
      <w:lvlText w:val=""/>
      <w:lvlJc w:val="left"/>
    </w:lvl>
    <w:lvl w:ilvl="8" w:tplc="98CE834A">
      <w:numFmt w:val="decimal"/>
      <w:lvlText w:val=""/>
      <w:lvlJc w:val="left"/>
    </w:lvl>
  </w:abstractNum>
  <w:abstractNum w:abstractNumId="662" w15:restartNumberingAfterBreak="0">
    <w:nsid w:val="00005E32"/>
    <w:multiLevelType w:val="hybridMultilevel"/>
    <w:tmpl w:val="633EA9B6"/>
    <w:lvl w:ilvl="0" w:tplc="3202F4E4">
      <w:start w:val="1"/>
      <w:numFmt w:val="lowerLetter"/>
      <w:lvlText w:val="(%1)"/>
      <w:lvlJc w:val="left"/>
    </w:lvl>
    <w:lvl w:ilvl="1" w:tplc="7F9CE1D6">
      <w:numFmt w:val="decimal"/>
      <w:lvlText w:val=""/>
      <w:lvlJc w:val="left"/>
    </w:lvl>
    <w:lvl w:ilvl="2" w:tplc="6734920E">
      <w:numFmt w:val="decimal"/>
      <w:lvlText w:val=""/>
      <w:lvlJc w:val="left"/>
    </w:lvl>
    <w:lvl w:ilvl="3" w:tplc="ADA89562">
      <w:numFmt w:val="decimal"/>
      <w:lvlText w:val=""/>
      <w:lvlJc w:val="left"/>
    </w:lvl>
    <w:lvl w:ilvl="4" w:tplc="68087646">
      <w:numFmt w:val="decimal"/>
      <w:lvlText w:val=""/>
      <w:lvlJc w:val="left"/>
    </w:lvl>
    <w:lvl w:ilvl="5" w:tplc="B65A25F4">
      <w:numFmt w:val="decimal"/>
      <w:lvlText w:val=""/>
      <w:lvlJc w:val="left"/>
    </w:lvl>
    <w:lvl w:ilvl="6" w:tplc="6DEC69D4">
      <w:numFmt w:val="decimal"/>
      <w:lvlText w:val=""/>
      <w:lvlJc w:val="left"/>
    </w:lvl>
    <w:lvl w:ilvl="7" w:tplc="606C844E">
      <w:numFmt w:val="decimal"/>
      <w:lvlText w:val=""/>
      <w:lvlJc w:val="left"/>
    </w:lvl>
    <w:lvl w:ilvl="8" w:tplc="0C9AB650">
      <w:numFmt w:val="decimal"/>
      <w:lvlText w:val=""/>
      <w:lvlJc w:val="left"/>
    </w:lvl>
  </w:abstractNum>
  <w:abstractNum w:abstractNumId="663" w15:restartNumberingAfterBreak="0">
    <w:nsid w:val="00005E36"/>
    <w:multiLevelType w:val="hybridMultilevel"/>
    <w:tmpl w:val="44DAE5E6"/>
    <w:lvl w:ilvl="0" w:tplc="30709952">
      <w:start w:val="4"/>
      <w:numFmt w:val="decimal"/>
      <w:lvlText w:val="(%1)"/>
      <w:lvlJc w:val="left"/>
    </w:lvl>
    <w:lvl w:ilvl="1" w:tplc="5CCC8E7C">
      <w:start w:val="1"/>
      <w:numFmt w:val="lowerLetter"/>
      <w:lvlText w:val="(%2)"/>
      <w:lvlJc w:val="left"/>
    </w:lvl>
    <w:lvl w:ilvl="2" w:tplc="92B815D4">
      <w:start w:val="1"/>
      <w:numFmt w:val="decimal"/>
      <w:lvlText w:val="%3."/>
      <w:lvlJc w:val="left"/>
    </w:lvl>
    <w:lvl w:ilvl="3" w:tplc="C5C49400">
      <w:start w:val="1"/>
      <w:numFmt w:val="lowerLetter"/>
      <w:lvlText w:val="%4"/>
      <w:lvlJc w:val="left"/>
    </w:lvl>
    <w:lvl w:ilvl="4" w:tplc="6C56A92C">
      <w:numFmt w:val="decimal"/>
      <w:lvlText w:val=""/>
      <w:lvlJc w:val="left"/>
    </w:lvl>
    <w:lvl w:ilvl="5" w:tplc="ADB6C280">
      <w:numFmt w:val="decimal"/>
      <w:lvlText w:val=""/>
      <w:lvlJc w:val="left"/>
    </w:lvl>
    <w:lvl w:ilvl="6" w:tplc="2FB0E7A8">
      <w:numFmt w:val="decimal"/>
      <w:lvlText w:val=""/>
      <w:lvlJc w:val="left"/>
    </w:lvl>
    <w:lvl w:ilvl="7" w:tplc="98D6D2AE">
      <w:numFmt w:val="decimal"/>
      <w:lvlText w:val=""/>
      <w:lvlJc w:val="left"/>
    </w:lvl>
    <w:lvl w:ilvl="8" w:tplc="FF4CD2B4">
      <w:numFmt w:val="decimal"/>
      <w:lvlText w:val=""/>
      <w:lvlJc w:val="left"/>
    </w:lvl>
  </w:abstractNum>
  <w:abstractNum w:abstractNumId="664" w15:restartNumberingAfterBreak="0">
    <w:nsid w:val="00005E3D"/>
    <w:multiLevelType w:val="hybridMultilevel"/>
    <w:tmpl w:val="35D807FC"/>
    <w:lvl w:ilvl="0" w:tplc="A0241324">
      <w:start w:val="1"/>
      <w:numFmt w:val="decimal"/>
      <w:lvlText w:val="%1"/>
      <w:lvlJc w:val="left"/>
    </w:lvl>
    <w:lvl w:ilvl="1" w:tplc="A71ED6F2">
      <w:start w:val="6"/>
      <w:numFmt w:val="lowerLetter"/>
      <w:lvlText w:val="(%2)"/>
      <w:lvlJc w:val="left"/>
    </w:lvl>
    <w:lvl w:ilvl="2" w:tplc="C29214E2">
      <w:start w:val="1"/>
      <w:numFmt w:val="decimal"/>
      <w:lvlText w:val="%3"/>
      <w:lvlJc w:val="left"/>
    </w:lvl>
    <w:lvl w:ilvl="3" w:tplc="6B38B124">
      <w:start w:val="1"/>
      <w:numFmt w:val="lowerLetter"/>
      <w:lvlText w:val="%4"/>
      <w:lvlJc w:val="left"/>
    </w:lvl>
    <w:lvl w:ilvl="4" w:tplc="2E2A90F2">
      <w:numFmt w:val="decimal"/>
      <w:lvlText w:val=""/>
      <w:lvlJc w:val="left"/>
    </w:lvl>
    <w:lvl w:ilvl="5" w:tplc="3D9601DA">
      <w:numFmt w:val="decimal"/>
      <w:lvlText w:val=""/>
      <w:lvlJc w:val="left"/>
    </w:lvl>
    <w:lvl w:ilvl="6" w:tplc="4C605ABE">
      <w:numFmt w:val="decimal"/>
      <w:lvlText w:val=""/>
      <w:lvlJc w:val="left"/>
    </w:lvl>
    <w:lvl w:ilvl="7" w:tplc="7F681668">
      <w:numFmt w:val="decimal"/>
      <w:lvlText w:val=""/>
      <w:lvlJc w:val="left"/>
    </w:lvl>
    <w:lvl w:ilvl="8" w:tplc="FFD6565A">
      <w:numFmt w:val="decimal"/>
      <w:lvlText w:val=""/>
      <w:lvlJc w:val="left"/>
    </w:lvl>
  </w:abstractNum>
  <w:abstractNum w:abstractNumId="665" w15:restartNumberingAfterBreak="0">
    <w:nsid w:val="00005E87"/>
    <w:multiLevelType w:val="hybridMultilevel"/>
    <w:tmpl w:val="D110E0A4"/>
    <w:lvl w:ilvl="0" w:tplc="A822BB78">
      <w:start w:val="1"/>
      <w:numFmt w:val="decimal"/>
      <w:lvlText w:val="%1."/>
      <w:lvlJc w:val="left"/>
    </w:lvl>
    <w:lvl w:ilvl="1" w:tplc="5AA263E4">
      <w:start w:val="1"/>
      <w:numFmt w:val="lowerLetter"/>
      <w:lvlText w:val="%2."/>
      <w:lvlJc w:val="left"/>
    </w:lvl>
    <w:lvl w:ilvl="2" w:tplc="83548D38">
      <w:numFmt w:val="decimal"/>
      <w:lvlText w:val=""/>
      <w:lvlJc w:val="left"/>
    </w:lvl>
    <w:lvl w:ilvl="3" w:tplc="05283152">
      <w:numFmt w:val="decimal"/>
      <w:lvlText w:val=""/>
      <w:lvlJc w:val="left"/>
    </w:lvl>
    <w:lvl w:ilvl="4" w:tplc="862E2D2C">
      <w:numFmt w:val="decimal"/>
      <w:lvlText w:val=""/>
      <w:lvlJc w:val="left"/>
    </w:lvl>
    <w:lvl w:ilvl="5" w:tplc="7B3299B8">
      <w:numFmt w:val="decimal"/>
      <w:lvlText w:val=""/>
      <w:lvlJc w:val="left"/>
    </w:lvl>
    <w:lvl w:ilvl="6" w:tplc="D68EB574">
      <w:numFmt w:val="decimal"/>
      <w:lvlText w:val=""/>
      <w:lvlJc w:val="left"/>
    </w:lvl>
    <w:lvl w:ilvl="7" w:tplc="A2BA4D70">
      <w:numFmt w:val="decimal"/>
      <w:lvlText w:val=""/>
      <w:lvlJc w:val="left"/>
    </w:lvl>
    <w:lvl w:ilvl="8" w:tplc="5ADE8226">
      <w:numFmt w:val="decimal"/>
      <w:lvlText w:val=""/>
      <w:lvlJc w:val="left"/>
    </w:lvl>
  </w:abstractNum>
  <w:abstractNum w:abstractNumId="666" w15:restartNumberingAfterBreak="0">
    <w:nsid w:val="00005E90"/>
    <w:multiLevelType w:val="hybridMultilevel"/>
    <w:tmpl w:val="EAA2D988"/>
    <w:lvl w:ilvl="0" w:tplc="D74AACB8">
      <w:start w:val="1"/>
      <w:numFmt w:val="lowerLetter"/>
      <w:lvlText w:val="%1"/>
      <w:lvlJc w:val="left"/>
    </w:lvl>
    <w:lvl w:ilvl="1" w:tplc="9E28D7F6">
      <w:start w:val="1"/>
      <w:numFmt w:val="decimal"/>
      <w:lvlText w:val="%2"/>
      <w:lvlJc w:val="left"/>
    </w:lvl>
    <w:lvl w:ilvl="2" w:tplc="824AE9DE">
      <w:start w:val="5"/>
      <w:numFmt w:val="lowerLetter"/>
      <w:lvlText w:val="%3."/>
      <w:lvlJc w:val="left"/>
    </w:lvl>
    <w:lvl w:ilvl="3" w:tplc="6778027A">
      <w:numFmt w:val="decimal"/>
      <w:lvlText w:val=""/>
      <w:lvlJc w:val="left"/>
    </w:lvl>
    <w:lvl w:ilvl="4" w:tplc="6378925E">
      <w:numFmt w:val="decimal"/>
      <w:lvlText w:val=""/>
      <w:lvlJc w:val="left"/>
    </w:lvl>
    <w:lvl w:ilvl="5" w:tplc="864E0898">
      <w:numFmt w:val="decimal"/>
      <w:lvlText w:val=""/>
      <w:lvlJc w:val="left"/>
    </w:lvl>
    <w:lvl w:ilvl="6" w:tplc="EC38C84E">
      <w:numFmt w:val="decimal"/>
      <w:lvlText w:val=""/>
      <w:lvlJc w:val="left"/>
    </w:lvl>
    <w:lvl w:ilvl="7" w:tplc="EE2491FE">
      <w:numFmt w:val="decimal"/>
      <w:lvlText w:val=""/>
      <w:lvlJc w:val="left"/>
    </w:lvl>
    <w:lvl w:ilvl="8" w:tplc="54FE0A2E">
      <w:numFmt w:val="decimal"/>
      <w:lvlText w:val=""/>
      <w:lvlJc w:val="left"/>
    </w:lvl>
  </w:abstractNum>
  <w:abstractNum w:abstractNumId="667" w15:restartNumberingAfterBreak="0">
    <w:nsid w:val="00005EA3"/>
    <w:multiLevelType w:val="hybridMultilevel"/>
    <w:tmpl w:val="508EF01A"/>
    <w:lvl w:ilvl="0" w:tplc="A2228C56">
      <w:start w:val="1"/>
      <w:numFmt w:val="decimal"/>
      <w:lvlText w:val="%1"/>
      <w:lvlJc w:val="left"/>
    </w:lvl>
    <w:lvl w:ilvl="1" w:tplc="31980FEE">
      <w:start w:val="7"/>
      <w:numFmt w:val="lowerLetter"/>
      <w:lvlText w:val="(%2)"/>
      <w:lvlJc w:val="left"/>
    </w:lvl>
    <w:lvl w:ilvl="2" w:tplc="6A466DD0">
      <w:start w:val="1"/>
      <w:numFmt w:val="decimal"/>
      <w:lvlText w:val="%3"/>
      <w:lvlJc w:val="left"/>
    </w:lvl>
    <w:lvl w:ilvl="3" w:tplc="3476DB90">
      <w:numFmt w:val="decimal"/>
      <w:lvlText w:val=""/>
      <w:lvlJc w:val="left"/>
    </w:lvl>
    <w:lvl w:ilvl="4" w:tplc="9EEE8DEA">
      <w:numFmt w:val="decimal"/>
      <w:lvlText w:val=""/>
      <w:lvlJc w:val="left"/>
    </w:lvl>
    <w:lvl w:ilvl="5" w:tplc="F15E29CA">
      <w:numFmt w:val="decimal"/>
      <w:lvlText w:val=""/>
      <w:lvlJc w:val="left"/>
    </w:lvl>
    <w:lvl w:ilvl="6" w:tplc="6DACF7D4">
      <w:numFmt w:val="decimal"/>
      <w:lvlText w:val=""/>
      <w:lvlJc w:val="left"/>
    </w:lvl>
    <w:lvl w:ilvl="7" w:tplc="3670D342">
      <w:numFmt w:val="decimal"/>
      <w:lvlText w:val=""/>
      <w:lvlJc w:val="left"/>
    </w:lvl>
    <w:lvl w:ilvl="8" w:tplc="2D9C1896">
      <w:numFmt w:val="decimal"/>
      <w:lvlText w:val=""/>
      <w:lvlJc w:val="left"/>
    </w:lvl>
  </w:abstractNum>
  <w:abstractNum w:abstractNumId="668" w15:restartNumberingAfterBreak="0">
    <w:nsid w:val="00005EAD"/>
    <w:multiLevelType w:val="hybridMultilevel"/>
    <w:tmpl w:val="637058F0"/>
    <w:lvl w:ilvl="0" w:tplc="4622DA8E">
      <w:start w:val="1"/>
      <w:numFmt w:val="decimal"/>
      <w:lvlText w:val="%1"/>
      <w:lvlJc w:val="left"/>
    </w:lvl>
    <w:lvl w:ilvl="1" w:tplc="042EA7E8">
      <w:start w:val="3"/>
      <w:numFmt w:val="lowerLetter"/>
      <w:lvlText w:val="(%2)"/>
      <w:lvlJc w:val="left"/>
    </w:lvl>
    <w:lvl w:ilvl="2" w:tplc="117E8102">
      <w:numFmt w:val="decimal"/>
      <w:lvlText w:val=""/>
      <w:lvlJc w:val="left"/>
    </w:lvl>
    <w:lvl w:ilvl="3" w:tplc="B82E66FC">
      <w:numFmt w:val="decimal"/>
      <w:lvlText w:val=""/>
      <w:lvlJc w:val="left"/>
    </w:lvl>
    <w:lvl w:ilvl="4" w:tplc="3EC43DA4">
      <w:numFmt w:val="decimal"/>
      <w:lvlText w:val=""/>
      <w:lvlJc w:val="left"/>
    </w:lvl>
    <w:lvl w:ilvl="5" w:tplc="27E04264">
      <w:numFmt w:val="decimal"/>
      <w:lvlText w:val=""/>
      <w:lvlJc w:val="left"/>
    </w:lvl>
    <w:lvl w:ilvl="6" w:tplc="7A24294A">
      <w:numFmt w:val="decimal"/>
      <w:lvlText w:val=""/>
      <w:lvlJc w:val="left"/>
    </w:lvl>
    <w:lvl w:ilvl="7" w:tplc="8166A0B0">
      <w:numFmt w:val="decimal"/>
      <w:lvlText w:val=""/>
      <w:lvlJc w:val="left"/>
    </w:lvl>
    <w:lvl w:ilvl="8" w:tplc="1BFAA356">
      <w:numFmt w:val="decimal"/>
      <w:lvlText w:val=""/>
      <w:lvlJc w:val="left"/>
    </w:lvl>
  </w:abstractNum>
  <w:abstractNum w:abstractNumId="669" w15:restartNumberingAfterBreak="0">
    <w:nsid w:val="00005EB5"/>
    <w:multiLevelType w:val="hybridMultilevel"/>
    <w:tmpl w:val="68E0C28A"/>
    <w:lvl w:ilvl="0" w:tplc="D4C6268A">
      <w:start w:val="1"/>
      <w:numFmt w:val="decimal"/>
      <w:lvlText w:val="%1"/>
      <w:lvlJc w:val="left"/>
    </w:lvl>
    <w:lvl w:ilvl="1" w:tplc="C6288BD4">
      <w:start w:val="1"/>
      <w:numFmt w:val="lowerLetter"/>
      <w:lvlText w:val="%2"/>
      <w:lvlJc w:val="left"/>
    </w:lvl>
    <w:lvl w:ilvl="2" w:tplc="E06641BC">
      <w:start w:val="1"/>
      <w:numFmt w:val="lowerLetter"/>
      <w:lvlText w:val="%3"/>
      <w:lvlJc w:val="left"/>
    </w:lvl>
    <w:lvl w:ilvl="3" w:tplc="3BF8139A">
      <w:start w:val="1"/>
      <w:numFmt w:val="decimal"/>
      <w:lvlText w:val="%4"/>
      <w:lvlJc w:val="left"/>
    </w:lvl>
    <w:lvl w:ilvl="4" w:tplc="3F088DD8">
      <w:start w:val="7"/>
      <w:numFmt w:val="lowerLetter"/>
      <w:lvlText w:val="%5."/>
      <w:lvlJc w:val="left"/>
    </w:lvl>
    <w:lvl w:ilvl="5" w:tplc="21F8A072">
      <w:numFmt w:val="decimal"/>
      <w:lvlText w:val=""/>
      <w:lvlJc w:val="left"/>
    </w:lvl>
    <w:lvl w:ilvl="6" w:tplc="D8A4C16E">
      <w:numFmt w:val="decimal"/>
      <w:lvlText w:val=""/>
      <w:lvlJc w:val="left"/>
    </w:lvl>
    <w:lvl w:ilvl="7" w:tplc="1E9247E4">
      <w:numFmt w:val="decimal"/>
      <w:lvlText w:val=""/>
      <w:lvlJc w:val="left"/>
    </w:lvl>
    <w:lvl w:ilvl="8" w:tplc="76E0DD60">
      <w:numFmt w:val="decimal"/>
      <w:lvlText w:val=""/>
      <w:lvlJc w:val="left"/>
    </w:lvl>
  </w:abstractNum>
  <w:abstractNum w:abstractNumId="670" w15:restartNumberingAfterBreak="0">
    <w:nsid w:val="00005EF3"/>
    <w:multiLevelType w:val="hybridMultilevel"/>
    <w:tmpl w:val="C7300BA2"/>
    <w:lvl w:ilvl="0" w:tplc="905ED7EE">
      <w:start w:val="1"/>
      <w:numFmt w:val="lowerLetter"/>
      <w:lvlText w:val="(%1)"/>
      <w:lvlJc w:val="left"/>
    </w:lvl>
    <w:lvl w:ilvl="1" w:tplc="5B08D4FA">
      <w:numFmt w:val="decimal"/>
      <w:lvlText w:val=""/>
      <w:lvlJc w:val="left"/>
    </w:lvl>
    <w:lvl w:ilvl="2" w:tplc="2C5AE7B6">
      <w:numFmt w:val="decimal"/>
      <w:lvlText w:val=""/>
      <w:lvlJc w:val="left"/>
    </w:lvl>
    <w:lvl w:ilvl="3" w:tplc="C3D8EA66">
      <w:numFmt w:val="decimal"/>
      <w:lvlText w:val=""/>
      <w:lvlJc w:val="left"/>
    </w:lvl>
    <w:lvl w:ilvl="4" w:tplc="CCB4C6A4">
      <w:numFmt w:val="decimal"/>
      <w:lvlText w:val=""/>
      <w:lvlJc w:val="left"/>
    </w:lvl>
    <w:lvl w:ilvl="5" w:tplc="31EA60BE">
      <w:numFmt w:val="decimal"/>
      <w:lvlText w:val=""/>
      <w:lvlJc w:val="left"/>
    </w:lvl>
    <w:lvl w:ilvl="6" w:tplc="BC7A1B52">
      <w:numFmt w:val="decimal"/>
      <w:lvlText w:val=""/>
      <w:lvlJc w:val="left"/>
    </w:lvl>
    <w:lvl w:ilvl="7" w:tplc="8996CAD0">
      <w:numFmt w:val="decimal"/>
      <w:lvlText w:val=""/>
      <w:lvlJc w:val="left"/>
    </w:lvl>
    <w:lvl w:ilvl="8" w:tplc="3072CF5E">
      <w:numFmt w:val="decimal"/>
      <w:lvlText w:val=""/>
      <w:lvlJc w:val="left"/>
    </w:lvl>
  </w:abstractNum>
  <w:abstractNum w:abstractNumId="671" w15:restartNumberingAfterBreak="0">
    <w:nsid w:val="00005F06"/>
    <w:multiLevelType w:val="hybridMultilevel"/>
    <w:tmpl w:val="B9EAE7E4"/>
    <w:lvl w:ilvl="0" w:tplc="D7D0CA1E">
      <w:start w:val="1"/>
      <w:numFmt w:val="decimal"/>
      <w:lvlText w:val="%1"/>
      <w:lvlJc w:val="left"/>
    </w:lvl>
    <w:lvl w:ilvl="1" w:tplc="844A71DA">
      <w:start w:val="1"/>
      <w:numFmt w:val="lowerLetter"/>
      <w:lvlText w:val="%2"/>
      <w:lvlJc w:val="left"/>
    </w:lvl>
    <w:lvl w:ilvl="2" w:tplc="4000B368">
      <w:start w:val="2"/>
      <w:numFmt w:val="decimal"/>
      <w:lvlText w:val="%3."/>
      <w:lvlJc w:val="left"/>
    </w:lvl>
    <w:lvl w:ilvl="3" w:tplc="217E54DE">
      <w:numFmt w:val="decimal"/>
      <w:lvlText w:val=""/>
      <w:lvlJc w:val="left"/>
    </w:lvl>
    <w:lvl w:ilvl="4" w:tplc="5B74CF7E">
      <w:numFmt w:val="decimal"/>
      <w:lvlText w:val=""/>
      <w:lvlJc w:val="left"/>
    </w:lvl>
    <w:lvl w:ilvl="5" w:tplc="D4B8448C">
      <w:numFmt w:val="decimal"/>
      <w:lvlText w:val=""/>
      <w:lvlJc w:val="left"/>
    </w:lvl>
    <w:lvl w:ilvl="6" w:tplc="2EAE3E00">
      <w:numFmt w:val="decimal"/>
      <w:lvlText w:val=""/>
      <w:lvlJc w:val="left"/>
    </w:lvl>
    <w:lvl w:ilvl="7" w:tplc="05D054AA">
      <w:numFmt w:val="decimal"/>
      <w:lvlText w:val=""/>
      <w:lvlJc w:val="left"/>
    </w:lvl>
    <w:lvl w:ilvl="8" w:tplc="86E0B5D0">
      <w:numFmt w:val="decimal"/>
      <w:lvlText w:val=""/>
      <w:lvlJc w:val="left"/>
    </w:lvl>
  </w:abstractNum>
  <w:abstractNum w:abstractNumId="672" w15:restartNumberingAfterBreak="0">
    <w:nsid w:val="00005F21"/>
    <w:multiLevelType w:val="hybridMultilevel"/>
    <w:tmpl w:val="B980DF6E"/>
    <w:lvl w:ilvl="0" w:tplc="1FEC2488">
      <w:start w:val="1"/>
      <w:numFmt w:val="decimal"/>
      <w:lvlText w:val="%1"/>
      <w:lvlJc w:val="left"/>
    </w:lvl>
    <w:lvl w:ilvl="1" w:tplc="FE0EF3BA">
      <w:start w:val="1"/>
      <w:numFmt w:val="lowerLetter"/>
      <w:lvlText w:val="%2"/>
      <w:lvlJc w:val="left"/>
    </w:lvl>
    <w:lvl w:ilvl="2" w:tplc="E280F80E">
      <w:start w:val="22"/>
      <w:numFmt w:val="decimal"/>
      <w:lvlText w:val="%3."/>
      <w:lvlJc w:val="left"/>
    </w:lvl>
    <w:lvl w:ilvl="3" w:tplc="CD4EBEC4">
      <w:numFmt w:val="decimal"/>
      <w:lvlText w:val=""/>
      <w:lvlJc w:val="left"/>
    </w:lvl>
    <w:lvl w:ilvl="4" w:tplc="2052350C">
      <w:numFmt w:val="decimal"/>
      <w:lvlText w:val=""/>
      <w:lvlJc w:val="left"/>
    </w:lvl>
    <w:lvl w:ilvl="5" w:tplc="540019A6">
      <w:numFmt w:val="decimal"/>
      <w:lvlText w:val=""/>
      <w:lvlJc w:val="left"/>
    </w:lvl>
    <w:lvl w:ilvl="6" w:tplc="3766D3EE">
      <w:numFmt w:val="decimal"/>
      <w:lvlText w:val=""/>
      <w:lvlJc w:val="left"/>
    </w:lvl>
    <w:lvl w:ilvl="7" w:tplc="FFA852C6">
      <w:numFmt w:val="decimal"/>
      <w:lvlText w:val=""/>
      <w:lvlJc w:val="left"/>
    </w:lvl>
    <w:lvl w:ilvl="8" w:tplc="F9CC9192">
      <w:numFmt w:val="decimal"/>
      <w:lvlText w:val=""/>
      <w:lvlJc w:val="left"/>
    </w:lvl>
  </w:abstractNum>
  <w:abstractNum w:abstractNumId="673" w15:restartNumberingAfterBreak="0">
    <w:nsid w:val="00005F46"/>
    <w:multiLevelType w:val="hybridMultilevel"/>
    <w:tmpl w:val="47E80F6A"/>
    <w:lvl w:ilvl="0" w:tplc="9A7C1330">
      <w:start w:val="2"/>
      <w:numFmt w:val="decimal"/>
      <w:lvlText w:val="(%1)"/>
      <w:lvlJc w:val="left"/>
    </w:lvl>
    <w:lvl w:ilvl="1" w:tplc="9238E408">
      <w:start w:val="1"/>
      <w:numFmt w:val="lowerLetter"/>
      <w:lvlText w:val="(%2)"/>
      <w:lvlJc w:val="left"/>
    </w:lvl>
    <w:lvl w:ilvl="2" w:tplc="94142B7C">
      <w:start w:val="1"/>
      <w:numFmt w:val="decimal"/>
      <w:lvlText w:val="%3."/>
      <w:lvlJc w:val="left"/>
    </w:lvl>
    <w:lvl w:ilvl="3" w:tplc="7EB21372">
      <w:numFmt w:val="decimal"/>
      <w:lvlText w:val=""/>
      <w:lvlJc w:val="left"/>
    </w:lvl>
    <w:lvl w:ilvl="4" w:tplc="7CF40A26">
      <w:numFmt w:val="decimal"/>
      <w:lvlText w:val=""/>
      <w:lvlJc w:val="left"/>
    </w:lvl>
    <w:lvl w:ilvl="5" w:tplc="D3668246">
      <w:numFmt w:val="decimal"/>
      <w:lvlText w:val=""/>
      <w:lvlJc w:val="left"/>
    </w:lvl>
    <w:lvl w:ilvl="6" w:tplc="255A688E">
      <w:numFmt w:val="decimal"/>
      <w:lvlText w:val=""/>
      <w:lvlJc w:val="left"/>
    </w:lvl>
    <w:lvl w:ilvl="7" w:tplc="A216D2F4">
      <w:numFmt w:val="decimal"/>
      <w:lvlText w:val=""/>
      <w:lvlJc w:val="left"/>
    </w:lvl>
    <w:lvl w:ilvl="8" w:tplc="947E0A64">
      <w:numFmt w:val="decimal"/>
      <w:lvlText w:val=""/>
      <w:lvlJc w:val="left"/>
    </w:lvl>
  </w:abstractNum>
  <w:abstractNum w:abstractNumId="674" w15:restartNumberingAfterBreak="0">
    <w:nsid w:val="00005F58"/>
    <w:multiLevelType w:val="hybridMultilevel"/>
    <w:tmpl w:val="30FC9B66"/>
    <w:lvl w:ilvl="0" w:tplc="48F08BF4">
      <w:start w:val="1"/>
      <w:numFmt w:val="lowerLetter"/>
      <w:lvlText w:val="%1"/>
      <w:lvlJc w:val="left"/>
    </w:lvl>
    <w:lvl w:ilvl="1" w:tplc="A6D6006E">
      <w:start w:val="7"/>
      <w:numFmt w:val="decimal"/>
      <w:lvlText w:val="%2."/>
      <w:lvlJc w:val="left"/>
    </w:lvl>
    <w:lvl w:ilvl="2" w:tplc="F8A802F8">
      <w:start w:val="1"/>
      <w:numFmt w:val="lowerLetter"/>
      <w:lvlText w:val="%3"/>
      <w:lvlJc w:val="left"/>
    </w:lvl>
    <w:lvl w:ilvl="3" w:tplc="475632D8">
      <w:numFmt w:val="decimal"/>
      <w:lvlText w:val=""/>
      <w:lvlJc w:val="left"/>
    </w:lvl>
    <w:lvl w:ilvl="4" w:tplc="FBA0EDC8">
      <w:numFmt w:val="decimal"/>
      <w:lvlText w:val=""/>
      <w:lvlJc w:val="left"/>
    </w:lvl>
    <w:lvl w:ilvl="5" w:tplc="BFD2539A">
      <w:numFmt w:val="decimal"/>
      <w:lvlText w:val=""/>
      <w:lvlJc w:val="left"/>
    </w:lvl>
    <w:lvl w:ilvl="6" w:tplc="99862436">
      <w:numFmt w:val="decimal"/>
      <w:lvlText w:val=""/>
      <w:lvlJc w:val="left"/>
    </w:lvl>
    <w:lvl w:ilvl="7" w:tplc="7A0460B6">
      <w:numFmt w:val="decimal"/>
      <w:lvlText w:val=""/>
      <w:lvlJc w:val="left"/>
    </w:lvl>
    <w:lvl w:ilvl="8" w:tplc="9394118C">
      <w:numFmt w:val="decimal"/>
      <w:lvlText w:val=""/>
      <w:lvlJc w:val="left"/>
    </w:lvl>
  </w:abstractNum>
  <w:abstractNum w:abstractNumId="675" w15:restartNumberingAfterBreak="0">
    <w:nsid w:val="00005F87"/>
    <w:multiLevelType w:val="hybridMultilevel"/>
    <w:tmpl w:val="58F89F44"/>
    <w:lvl w:ilvl="0" w:tplc="7F9C1DC0">
      <w:start w:val="1"/>
      <w:numFmt w:val="bullet"/>
      <w:lvlText w:val="*"/>
      <w:lvlJc w:val="left"/>
    </w:lvl>
    <w:lvl w:ilvl="1" w:tplc="A22CFFA0">
      <w:numFmt w:val="decimal"/>
      <w:lvlText w:val=""/>
      <w:lvlJc w:val="left"/>
    </w:lvl>
    <w:lvl w:ilvl="2" w:tplc="3B6AD3AC">
      <w:numFmt w:val="decimal"/>
      <w:lvlText w:val=""/>
      <w:lvlJc w:val="left"/>
    </w:lvl>
    <w:lvl w:ilvl="3" w:tplc="FC18C0F4">
      <w:numFmt w:val="decimal"/>
      <w:lvlText w:val=""/>
      <w:lvlJc w:val="left"/>
    </w:lvl>
    <w:lvl w:ilvl="4" w:tplc="DE24B132">
      <w:numFmt w:val="decimal"/>
      <w:lvlText w:val=""/>
      <w:lvlJc w:val="left"/>
    </w:lvl>
    <w:lvl w:ilvl="5" w:tplc="7E90F7D8">
      <w:numFmt w:val="decimal"/>
      <w:lvlText w:val=""/>
      <w:lvlJc w:val="left"/>
    </w:lvl>
    <w:lvl w:ilvl="6" w:tplc="D7989CB8">
      <w:numFmt w:val="decimal"/>
      <w:lvlText w:val=""/>
      <w:lvlJc w:val="left"/>
    </w:lvl>
    <w:lvl w:ilvl="7" w:tplc="C7D0240E">
      <w:numFmt w:val="decimal"/>
      <w:lvlText w:val=""/>
      <w:lvlJc w:val="left"/>
    </w:lvl>
    <w:lvl w:ilvl="8" w:tplc="B3544892">
      <w:numFmt w:val="decimal"/>
      <w:lvlText w:val=""/>
      <w:lvlJc w:val="left"/>
    </w:lvl>
  </w:abstractNum>
  <w:abstractNum w:abstractNumId="676" w15:restartNumberingAfterBreak="0">
    <w:nsid w:val="00005F9A"/>
    <w:multiLevelType w:val="hybridMultilevel"/>
    <w:tmpl w:val="525E6342"/>
    <w:lvl w:ilvl="0" w:tplc="6E0C1FA2">
      <w:start w:val="1"/>
      <w:numFmt w:val="decimal"/>
      <w:lvlText w:val="%1"/>
      <w:lvlJc w:val="left"/>
    </w:lvl>
    <w:lvl w:ilvl="1" w:tplc="F0D82446">
      <w:start w:val="1"/>
      <w:numFmt w:val="lowerLetter"/>
      <w:lvlText w:val="%2"/>
      <w:lvlJc w:val="left"/>
    </w:lvl>
    <w:lvl w:ilvl="2" w:tplc="D56E84D6">
      <w:start w:val="22"/>
      <w:numFmt w:val="decimal"/>
      <w:lvlText w:val="%3."/>
      <w:lvlJc w:val="left"/>
    </w:lvl>
    <w:lvl w:ilvl="3" w:tplc="892612DC">
      <w:start w:val="1"/>
      <w:numFmt w:val="lowerLetter"/>
      <w:lvlText w:val="%4"/>
      <w:lvlJc w:val="left"/>
    </w:lvl>
    <w:lvl w:ilvl="4" w:tplc="F8E4023A">
      <w:start w:val="1"/>
      <w:numFmt w:val="lowerRoman"/>
      <w:lvlText w:val="%5."/>
      <w:lvlJc w:val="left"/>
    </w:lvl>
    <w:lvl w:ilvl="5" w:tplc="CE0E9EEE">
      <w:numFmt w:val="decimal"/>
      <w:lvlText w:val=""/>
      <w:lvlJc w:val="left"/>
    </w:lvl>
    <w:lvl w:ilvl="6" w:tplc="BC0464DA">
      <w:numFmt w:val="decimal"/>
      <w:lvlText w:val=""/>
      <w:lvlJc w:val="left"/>
    </w:lvl>
    <w:lvl w:ilvl="7" w:tplc="59C4242E">
      <w:numFmt w:val="decimal"/>
      <w:lvlText w:val=""/>
      <w:lvlJc w:val="left"/>
    </w:lvl>
    <w:lvl w:ilvl="8" w:tplc="4134ECAE">
      <w:numFmt w:val="decimal"/>
      <w:lvlText w:val=""/>
      <w:lvlJc w:val="left"/>
    </w:lvl>
  </w:abstractNum>
  <w:abstractNum w:abstractNumId="677" w15:restartNumberingAfterBreak="0">
    <w:nsid w:val="00005FC3"/>
    <w:multiLevelType w:val="hybridMultilevel"/>
    <w:tmpl w:val="BDC6F078"/>
    <w:lvl w:ilvl="0" w:tplc="BE1CF182">
      <w:start w:val="3"/>
      <w:numFmt w:val="decimal"/>
      <w:lvlText w:val="%1"/>
      <w:lvlJc w:val="left"/>
    </w:lvl>
    <w:lvl w:ilvl="1" w:tplc="8A1821DA">
      <w:start w:val="1"/>
      <w:numFmt w:val="lowerLetter"/>
      <w:lvlText w:val="%2"/>
      <w:lvlJc w:val="left"/>
    </w:lvl>
    <w:lvl w:ilvl="2" w:tplc="FF8055CC">
      <w:start w:val="1"/>
      <w:numFmt w:val="decimal"/>
      <w:lvlText w:val="%3"/>
      <w:lvlJc w:val="left"/>
    </w:lvl>
    <w:lvl w:ilvl="3" w:tplc="CF768C3A">
      <w:start w:val="1"/>
      <w:numFmt w:val="lowerLetter"/>
      <w:lvlText w:val="%4"/>
      <w:lvlJc w:val="left"/>
    </w:lvl>
    <w:lvl w:ilvl="4" w:tplc="24F2A15A">
      <w:start w:val="1"/>
      <w:numFmt w:val="lowerRoman"/>
      <w:lvlText w:val="%5"/>
      <w:lvlJc w:val="left"/>
    </w:lvl>
    <w:lvl w:ilvl="5" w:tplc="70BA340C">
      <w:numFmt w:val="decimal"/>
      <w:lvlText w:val=""/>
      <w:lvlJc w:val="left"/>
    </w:lvl>
    <w:lvl w:ilvl="6" w:tplc="170206CA">
      <w:numFmt w:val="decimal"/>
      <w:lvlText w:val=""/>
      <w:lvlJc w:val="left"/>
    </w:lvl>
    <w:lvl w:ilvl="7" w:tplc="C4D48D6A">
      <w:numFmt w:val="decimal"/>
      <w:lvlText w:val=""/>
      <w:lvlJc w:val="left"/>
    </w:lvl>
    <w:lvl w:ilvl="8" w:tplc="B21C6318">
      <w:numFmt w:val="decimal"/>
      <w:lvlText w:val=""/>
      <w:lvlJc w:val="left"/>
    </w:lvl>
  </w:abstractNum>
  <w:abstractNum w:abstractNumId="678" w15:restartNumberingAfterBreak="0">
    <w:nsid w:val="00005FC8"/>
    <w:multiLevelType w:val="hybridMultilevel"/>
    <w:tmpl w:val="F212659E"/>
    <w:lvl w:ilvl="0" w:tplc="E8269F9E">
      <w:start w:val="2"/>
      <w:numFmt w:val="decimal"/>
      <w:lvlText w:val="(%1)"/>
      <w:lvlJc w:val="left"/>
    </w:lvl>
    <w:lvl w:ilvl="1" w:tplc="E9145F5C">
      <w:start w:val="1"/>
      <w:numFmt w:val="lowerLetter"/>
      <w:lvlText w:val="(%2)"/>
      <w:lvlJc w:val="left"/>
    </w:lvl>
    <w:lvl w:ilvl="2" w:tplc="DDBCFD58">
      <w:start w:val="1"/>
      <w:numFmt w:val="decimal"/>
      <w:lvlText w:val="%3"/>
      <w:lvlJc w:val="left"/>
    </w:lvl>
    <w:lvl w:ilvl="3" w:tplc="D72AF956">
      <w:start w:val="1"/>
      <w:numFmt w:val="lowerLetter"/>
      <w:lvlText w:val="%4"/>
      <w:lvlJc w:val="left"/>
    </w:lvl>
    <w:lvl w:ilvl="4" w:tplc="E91A33B6">
      <w:numFmt w:val="decimal"/>
      <w:lvlText w:val=""/>
      <w:lvlJc w:val="left"/>
    </w:lvl>
    <w:lvl w:ilvl="5" w:tplc="33EC4A70">
      <w:numFmt w:val="decimal"/>
      <w:lvlText w:val=""/>
      <w:lvlJc w:val="left"/>
    </w:lvl>
    <w:lvl w:ilvl="6" w:tplc="3BDCF90C">
      <w:numFmt w:val="decimal"/>
      <w:lvlText w:val=""/>
      <w:lvlJc w:val="left"/>
    </w:lvl>
    <w:lvl w:ilvl="7" w:tplc="068EE6C2">
      <w:numFmt w:val="decimal"/>
      <w:lvlText w:val=""/>
      <w:lvlJc w:val="left"/>
    </w:lvl>
    <w:lvl w:ilvl="8" w:tplc="1FC63594">
      <w:numFmt w:val="decimal"/>
      <w:lvlText w:val=""/>
      <w:lvlJc w:val="left"/>
    </w:lvl>
  </w:abstractNum>
  <w:abstractNum w:abstractNumId="679" w15:restartNumberingAfterBreak="0">
    <w:nsid w:val="0000601C"/>
    <w:multiLevelType w:val="hybridMultilevel"/>
    <w:tmpl w:val="B2F87E1A"/>
    <w:lvl w:ilvl="0" w:tplc="11FA2914">
      <w:start w:val="1"/>
      <w:numFmt w:val="decimal"/>
      <w:lvlText w:val="%1"/>
      <w:lvlJc w:val="left"/>
    </w:lvl>
    <w:lvl w:ilvl="1" w:tplc="5E6EF872">
      <w:start w:val="1"/>
      <w:numFmt w:val="lowerLetter"/>
      <w:lvlText w:val="%2"/>
      <w:lvlJc w:val="left"/>
    </w:lvl>
    <w:lvl w:ilvl="2" w:tplc="C46A9DBA">
      <w:start w:val="4"/>
      <w:numFmt w:val="decimal"/>
      <w:lvlText w:val="%3."/>
      <w:lvlJc w:val="left"/>
    </w:lvl>
    <w:lvl w:ilvl="3" w:tplc="7FFA1614">
      <w:start w:val="1"/>
      <w:numFmt w:val="lowerLetter"/>
      <w:lvlText w:val="%4."/>
      <w:lvlJc w:val="left"/>
    </w:lvl>
    <w:lvl w:ilvl="4" w:tplc="777C4A9E">
      <w:numFmt w:val="decimal"/>
      <w:lvlText w:val=""/>
      <w:lvlJc w:val="left"/>
    </w:lvl>
    <w:lvl w:ilvl="5" w:tplc="11CABD7A">
      <w:numFmt w:val="decimal"/>
      <w:lvlText w:val=""/>
      <w:lvlJc w:val="left"/>
    </w:lvl>
    <w:lvl w:ilvl="6" w:tplc="9474B548">
      <w:numFmt w:val="decimal"/>
      <w:lvlText w:val=""/>
      <w:lvlJc w:val="left"/>
    </w:lvl>
    <w:lvl w:ilvl="7" w:tplc="0D886208">
      <w:numFmt w:val="decimal"/>
      <w:lvlText w:val=""/>
      <w:lvlJc w:val="left"/>
    </w:lvl>
    <w:lvl w:ilvl="8" w:tplc="25A221D8">
      <w:numFmt w:val="decimal"/>
      <w:lvlText w:val=""/>
      <w:lvlJc w:val="left"/>
    </w:lvl>
  </w:abstractNum>
  <w:abstractNum w:abstractNumId="680" w15:restartNumberingAfterBreak="0">
    <w:nsid w:val="00006064"/>
    <w:multiLevelType w:val="hybridMultilevel"/>
    <w:tmpl w:val="80969134"/>
    <w:lvl w:ilvl="0" w:tplc="FE883530">
      <w:start w:val="6"/>
      <w:numFmt w:val="decimal"/>
      <w:lvlText w:val="(%1)"/>
      <w:lvlJc w:val="left"/>
    </w:lvl>
    <w:lvl w:ilvl="1" w:tplc="F3B06934">
      <w:start w:val="1"/>
      <w:numFmt w:val="lowerLetter"/>
      <w:lvlText w:val="(%2)"/>
      <w:lvlJc w:val="left"/>
    </w:lvl>
    <w:lvl w:ilvl="2" w:tplc="8E62CCD4">
      <w:start w:val="1"/>
      <w:numFmt w:val="decimal"/>
      <w:lvlText w:val="%3."/>
      <w:lvlJc w:val="left"/>
    </w:lvl>
    <w:lvl w:ilvl="3" w:tplc="66C87340">
      <w:numFmt w:val="decimal"/>
      <w:lvlText w:val=""/>
      <w:lvlJc w:val="left"/>
    </w:lvl>
    <w:lvl w:ilvl="4" w:tplc="ED8CA340">
      <w:numFmt w:val="decimal"/>
      <w:lvlText w:val=""/>
      <w:lvlJc w:val="left"/>
    </w:lvl>
    <w:lvl w:ilvl="5" w:tplc="70F4BB64">
      <w:numFmt w:val="decimal"/>
      <w:lvlText w:val=""/>
      <w:lvlJc w:val="left"/>
    </w:lvl>
    <w:lvl w:ilvl="6" w:tplc="6EBA660C">
      <w:numFmt w:val="decimal"/>
      <w:lvlText w:val=""/>
      <w:lvlJc w:val="left"/>
    </w:lvl>
    <w:lvl w:ilvl="7" w:tplc="76A65DE8">
      <w:numFmt w:val="decimal"/>
      <w:lvlText w:val=""/>
      <w:lvlJc w:val="left"/>
    </w:lvl>
    <w:lvl w:ilvl="8" w:tplc="FAAC4D6A">
      <w:numFmt w:val="decimal"/>
      <w:lvlText w:val=""/>
      <w:lvlJc w:val="left"/>
    </w:lvl>
  </w:abstractNum>
  <w:abstractNum w:abstractNumId="681" w15:restartNumberingAfterBreak="0">
    <w:nsid w:val="0000606C"/>
    <w:multiLevelType w:val="hybridMultilevel"/>
    <w:tmpl w:val="FBA20CAA"/>
    <w:lvl w:ilvl="0" w:tplc="5A9C81F8">
      <w:start w:val="1"/>
      <w:numFmt w:val="decimal"/>
      <w:lvlText w:val="%1"/>
      <w:lvlJc w:val="left"/>
      <w:rPr>
        <w:color w:val="000000" w:themeColor="text1"/>
        <w:vertAlign w:val="superscript"/>
      </w:rPr>
    </w:lvl>
    <w:lvl w:ilvl="1" w:tplc="6218CFC4">
      <w:start w:val="4"/>
      <w:numFmt w:val="lowerLetter"/>
      <w:lvlText w:val="(%2)"/>
      <w:lvlJc w:val="left"/>
    </w:lvl>
    <w:lvl w:ilvl="2" w:tplc="4CF85758">
      <w:start w:val="1"/>
      <w:numFmt w:val="decimal"/>
      <w:lvlText w:val="%3."/>
      <w:lvlJc w:val="left"/>
    </w:lvl>
    <w:lvl w:ilvl="3" w:tplc="5276C966">
      <w:start w:val="1"/>
      <w:numFmt w:val="lowerLetter"/>
      <w:lvlText w:val="%4"/>
      <w:lvlJc w:val="left"/>
    </w:lvl>
    <w:lvl w:ilvl="4" w:tplc="CEE00818">
      <w:numFmt w:val="decimal"/>
      <w:lvlText w:val=""/>
      <w:lvlJc w:val="left"/>
    </w:lvl>
    <w:lvl w:ilvl="5" w:tplc="FD6830EC">
      <w:numFmt w:val="decimal"/>
      <w:lvlText w:val=""/>
      <w:lvlJc w:val="left"/>
    </w:lvl>
    <w:lvl w:ilvl="6" w:tplc="1D24441C">
      <w:numFmt w:val="decimal"/>
      <w:lvlText w:val=""/>
      <w:lvlJc w:val="left"/>
    </w:lvl>
    <w:lvl w:ilvl="7" w:tplc="60FC2A24">
      <w:numFmt w:val="decimal"/>
      <w:lvlText w:val=""/>
      <w:lvlJc w:val="left"/>
    </w:lvl>
    <w:lvl w:ilvl="8" w:tplc="2402E0D6">
      <w:numFmt w:val="decimal"/>
      <w:lvlText w:val=""/>
      <w:lvlJc w:val="left"/>
    </w:lvl>
  </w:abstractNum>
  <w:abstractNum w:abstractNumId="682" w15:restartNumberingAfterBreak="0">
    <w:nsid w:val="00006086"/>
    <w:multiLevelType w:val="hybridMultilevel"/>
    <w:tmpl w:val="7284B71E"/>
    <w:lvl w:ilvl="0" w:tplc="A8F8CD60">
      <w:start w:val="6"/>
      <w:numFmt w:val="lowerLetter"/>
      <w:lvlText w:val="%1."/>
      <w:lvlJc w:val="left"/>
    </w:lvl>
    <w:lvl w:ilvl="1" w:tplc="6A3843C2">
      <w:numFmt w:val="decimal"/>
      <w:lvlText w:val=""/>
      <w:lvlJc w:val="left"/>
    </w:lvl>
    <w:lvl w:ilvl="2" w:tplc="C4E2C046">
      <w:numFmt w:val="decimal"/>
      <w:lvlText w:val=""/>
      <w:lvlJc w:val="left"/>
    </w:lvl>
    <w:lvl w:ilvl="3" w:tplc="B9463318">
      <w:numFmt w:val="decimal"/>
      <w:lvlText w:val=""/>
      <w:lvlJc w:val="left"/>
    </w:lvl>
    <w:lvl w:ilvl="4" w:tplc="70B2C17A">
      <w:numFmt w:val="decimal"/>
      <w:lvlText w:val=""/>
      <w:lvlJc w:val="left"/>
    </w:lvl>
    <w:lvl w:ilvl="5" w:tplc="FC50554E">
      <w:numFmt w:val="decimal"/>
      <w:lvlText w:val=""/>
      <w:lvlJc w:val="left"/>
    </w:lvl>
    <w:lvl w:ilvl="6" w:tplc="2C6CBA96">
      <w:numFmt w:val="decimal"/>
      <w:lvlText w:val=""/>
      <w:lvlJc w:val="left"/>
    </w:lvl>
    <w:lvl w:ilvl="7" w:tplc="86D663B6">
      <w:numFmt w:val="decimal"/>
      <w:lvlText w:val=""/>
      <w:lvlJc w:val="left"/>
    </w:lvl>
    <w:lvl w:ilvl="8" w:tplc="B24A6224">
      <w:numFmt w:val="decimal"/>
      <w:lvlText w:val=""/>
      <w:lvlJc w:val="left"/>
    </w:lvl>
  </w:abstractNum>
  <w:abstractNum w:abstractNumId="683" w15:restartNumberingAfterBreak="0">
    <w:nsid w:val="00006092"/>
    <w:multiLevelType w:val="hybridMultilevel"/>
    <w:tmpl w:val="84A65BF6"/>
    <w:lvl w:ilvl="0" w:tplc="67E40FE6">
      <w:start w:val="1"/>
      <w:numFmt w:val="bullet"/>
      <w:lvlText w:val="-"/>
      <w:lvlJc w:val="left"/>
    </w:lvl>
    <w:lvl w:ilvl="1" w:tplc="6E7ABD86">
      <w:start w:val="1"/>
      <w:numFmt w:val="decimal"/>
      <w:lvlText w:val="%2."/>
      <w:lvlJc w:val="left"/>
    </w:lvl>
    <w:lvl w:ilvl="2" w:tplc="5026165A">
      <w:start w:val="1"/>
      <w:numFmt w:val="lowerLetter"/>
      <w:lvlText w:val="%3."/>
      <w:lvlJc w:val="left"/>
    </w:lvl>
    <w:lvl w:ilvl="3" w:tplc="B9429964">
      <w:numFmt w:val="decimal"/>
      <w:lvlText w:val=""/>
      <w:lvlJc w:val="left"/>
    </w:lvl>
    <w:lvl w:ilvl="4" w:tplc="18FE2D38">
      <w:numFmt w:val="decimal"/>
      <w:lvlText w:val=""/>
      <w:lvlJc w:val="left"/>
    </w:lvl>
    <w:lvl w:ilvl="5" w:tplc="09ECEF06">
      <w:numFmt w:val="decimal"/>
      <w:lvlText w:val=""/>
      <w:lvlJc w:val="left"/>
    </w:lvl>
    <w:lvl w:ilvl="6" w:tplc="53066CE4">
      <w:numFmt w:val="decimal"/>
      <w:lvlText w:val=""/>
      <w:lvlJc w:val="left"/>
    </w:lvl>
    <w:lvl w:ilvl="7" w:tplc="C4D4A71C">
      <w:numFmt w:val="decimal"/>
      <w:lvlText w:val=""/>
      <w:lvlJc w:val="left"/>
    </w:lvl>
    <w:lvl w:ilvl="8" w:tplc="7D2C7D8C">
      <w:numFmt w:val="decimal"/>
      <w:lvlText w:val=""/>
      <w:lvlJc w:val="left"/>
    </w:lvl>
  </w:abstractNum>
  <w:abstractNum w:abstractNumId="684" w15:restartNumberingAfterBreak="0">
    <w:nsid w:val="000060AE"/>
    <w:multiLevelType w:val="hybridMultilevel"/>
    <w:tmpl w:val="2B8C12DC"/>
    <w:lvl w:ilvl="0" w:tplc="ED3CAA54">
      <w:start w:val="2"/>
      <w:numFmt w:val="lowerLetter"/>
      <w:lvlText w:val="(%1)"/>
      <w:lvlJc w:val="left"/>
    </w:lvl>
    <w:lvl w:ilvl="1" w:tplc="D24656C2">
      <w:start w:val="1"/>
      <w:numFmt w:val="decimal"/>
      <w:lvlText w:val="%2."/>
      <w:lvlJc w:val="left"/>
    </w:lvl>
    <w:lvl w:ilvl="2" w:tplc="E5685DB4">
      <w:start w:val="1"/>
      <w:numFmt w:val="lowerLetter"/>
      <w:lvlText w:val="%3."/>
      <w:lvlJc w:val="left"/>
    </w:lvl>
    <w:lvl w:ilvl="3" w:tplc="36248CEC">
      <w:numFmt w:val="decimal"/>
      <w:lvlText w:val=""/>
      <w:lvlJc w:val="left"/>
    </w:lvl>
    <w:lvl w:ilvl="4" w:tplc="B4E06452">
      <w:numFmt w:val="decimal"/>
      <w:lvlText w:val=""/>
      <w:lvlJc w:val="left"/>
    </w:lvl>
    <w:lvl w:ilvl="5" w:tplc="F770476C">
      <w:numFmt w:val="decimal"/>
      <w:lvlText w:val=""/>
      <w:lvlJc w:val="left"/>
    </w:lvl>
    <w:lvl w:ilvl="6" w:tplc="620CED16">
      <w:numFmt w:val="decimal"/>
      <w:lvlText w:val=""/>
      <w:lvlJc w:val="left"/>
    </w:lvl>
    <w:lvl w:ilvl="7" w:tplc="FE1E805E">
      <w:numFmt w:val="decimal"/>
      <w:lvlText w:val=""/>
      <w:lvlJc w:val="left"/>
    </w:lvl>
    <w:lvl w:ilvl="8" w:tplc="3586DAB4">
      <w:numFmt w:val="decimal"/>
      <w:lvlText w:val=""/>
      <w:lvlJc w:val="left"/>
    </w:lvl>
  </w:abstractNum>
  <w:abstractNum w:abstractNumId="685" w15:restartNumberingAfterBreak="0">
    <w:nsid w:val="000060C5"/>
    <w:multiLevelType w:val="hybridMultilevel"/>
    <w:tmpl w:val="ECD2D3C8"/>
    <w:lvl w:ilvl="0" w:tplc="3CBE977A">
      <w:start w:val="1"/>
      <w:numFmt w:val="decimal"/>
      <w:lvlText w:val="%1"/>
      <w:lvlJc w:val="left"/>
    </w:lvl>
    <w:lvl w:ilvl="1" w:tplc="B2026EA6">
      <w:start w:val="1"/>
      <w:numFmt w:val="decimal"/>
      <w:lvlText w:val="%2"/>
      <w:lvlJc w:val="left"/>
    </w:lvl>
    <w:lvl w:ilvl="2" w:tplc="5E961A00">
      <w:start w:val="1"/>
      <w:numFmt w:val="lowerLetter"/>
      <w:lvlText w:val="%3"/>
      <w:lvlJc w:val="left"/>
    </w:lvl>
    <w:lvl w:ilvl="3" w:tplc="AFE8D450">
      <w:start w:val="2"/>
      <w:numFmt w:val="decimal"/>
      <w:lvlText w:val="%4."/>
      <w:lvlJc w:val="left"/>
    </w:lvl>
    <w:lvl w:ilvl="4" w:tplc="96E44094">
      <w:numFmt w:val="decimal"/>
      <w:lvlText w:val=""/>
      <w:lvlJc w:val="left"/>
    </w:lvl>
    <w:lvl w:ilvl="5" w:tplc="F412FD44">
      <w:numFmt w:val="decimal"/>
      <w:lvlText w:val=""/>
      <w:lvlJc w:val="left"/>
    </w:lvl>
    <w:lvl w:ilvl="6" w:tplc="9D626534">
      <w:numFmt w:val="decimal"/>
      <w:lvlText w:val=""/>
      <w:lvlJc w:val="left"/>
    </w:lvl>
    <w:lvl w:ilvl="7" w:tplc="16CA9BE2">
      <w:numFmt w:val="decimal"/>
      <w:lvlText w:val=""/>
      <w:lvlJc w:val="left"/>
    </w:lvl>
    <w:lvl w:ilvl="8" w:tplc="96CA2AF6">
      <w:numFmt w:val="decimal"/>
      <w:lvlText w:val=""/>
      <w:lvlJc w:val="left"/>
    </w:lvl>
  </w:abstractNum>
  <w:abstractNum w:abstractNumId="686" w15:restartNumberingAfterBreak="0">
    <w:nsid w:val="000060CB"/>
    <w:multiLevelType w:val="hybridMultilevel"/>
    <w:tmpl w:val="29CCE9B6"/>
    <w:lvl w:ilvl="0" w:tplc="9FFE61D8">
      <w:start w:val="1"/>
      <w:numFmt w:val="upperLetter"/>
      <w:lvlText w:val="%1."/>
      <w:lvlJc w:val="left"/>
    </w:lvl>
    <w:lvl w:ilvl="1" w:tplc="1FFEBD5C">
      <w:numFmt w:val="decimal"/>
      <w:lvlText w:val=""/>
      <w:lvlJc w:val="left"/>
    </w:lvl>
    <w:lvl w:ilvl="2" w:tplc="1DB2B4F6">
      <w:numFmt w:val="decimal"/>
      <w:lvlText w:val=""/>
      <w:lvlJc w:val="left"/>
    </w:lvl>
    <w:lvl w:ilvl="3" w:tplc="B9B6EC7A">
      <w:numFmt w:val="decimal"/>
      <w:lvlText w:val=""/>
      <w:lvlJc w:val="left"/>
    </w:lvl>
    <w:lvl w:ilvl="4" w:tplc="BC1AC90E">
      <w:numFmt w:val="decimal"/>
      <w:lvlText w:val=""/>
      <w:lvlJc w:val="left"/>
    </w:lvl>
    <w:lvl w:ilvl="5" w:tplc="C71CF6C8">
      <w:numFmt w:val="decimal"/>
      <w:lvlText w:val=""/>
      <w:lvlJc w:val="left"/>
    </w:lvl>
    <w:lvl w:ilvl="6" w:tplc="F2A2ECDC">
      <w:numFmt w:val="decimal"/>
      <w:lvlText w:val=""/>
      <w:lvlJc w:val="left"/>
    </w:lvl>
    <w:lvl w:ilvl="7" w:tplc="367A5C5E">
      <w:numFmt w:val="decimal"/>
      <w:lvlText w:val=""/>
      <w:lvlJc w:val="left"/>
    </w:lvl>
    <w:lvl w:ilvl="8" w:tplc="E514F2F4">
      <w:numFmt w:val="decimal"/>
      <w:lvlText w:val=""/>
      <w:lvlJc w:val="left"/>
    </w:lvl>
  </w:abstractNum>
  <w:abstractNum w:abstractNumId="687" w15:restartNumberingAfterBreak="0">
    <w:nsid w:val="000060D7"/>
    <w:multiLevelType w:val="hybridMultilevel"/>
    <w:tmpl w:val="57D4F19E"/>
    <w:lvl w:ilvl="0" w:tplc="C2608906">
      <w:start w:val="1"/>
      <w:numFmt w:val="decimal"/>
      <w:lvlText w:val="%1"/>
      <w:lvlJc w:val="left"/>
    </w:lvl>
    <w:lvl w:ilvl="1" w:tplc="43383438">
      <w:start w:val="1"/>
      <w:numFmt w:val="lowerLetter"/>
      <w:lvlText w:val="%2"/>
      <w:lvlJc w:val="left"/>
    </w:lvl>
    <w:lvl w:ilvl="2" w:tplc="C422CC56">
      <w:start w:val="1"/>
      <w:numFmt w:val="lowerRoman"/>
      <w:lvlText w:val="%3."/>
      <w:lvlJc w:val="left"/>
    </w:lvl>
    <w:lvl w:ilvl="3" w:tplc="B790C780">
      <w:numFmt w:val="decimal"/>
      <w:lvlText w:val=""/>
      <w:lvlJc w:val="left"/>
    </w:lvl>
    <w:lvl w:ilvl="4" w:tplc="097AED14">
      <w:numFmt w:val="decimal"/>
      <w:lvlText w:val=""/>
      <w:lvlJc w:val="left"/>
    </w:lvl>
    <w:lvl w:ilvl="5" w:tplc="974A8538">
      <w:numFmt w:val="decimal"/>
      <w:lvlText w:val=""/>
      <w:lvlJc w:val="left"/>
    </w:lvl>
    <w:lvl w:ilvl="6" w:tplc="345645D6">
      <w:numFmt w:val="decimal"/>
      <w:lvlText w:val=""/>
      <w:lvlJc w:val="left"/>
    </w:lvl>
    <w:lvl w:ilvl="7" w:tplc="AAFC08B6">
      <w:numFmt w:val="decimal"/>
      <w:lvlText w:val=""/>
      <w:lvlJc w:val="left"/>
    </w:lvl>
    <w:lvl w:ilvl="8" w:tplc="6EECBC06">
      <w:numFmt w:val="decimal"/>
      <w:lvlText w:val=""/>
      <w:lvlJc w:val="left"/>
    </w:lvl>
  </w:abstractNum>
  <w:abstractNum w:abstractNumId="688" w15:restartNumberingAfterBreak="0">
    <w:nsid w:val="000060E8"/>
    <w:multiLevelType w:val="hybridMultilevel"/>
    <w:tmpl w:val="55D428DA"/>
    <w:lvl w:ilvl="0" w:tplc="999EC908">
      <w:start w:val="1"/>
      <w:numFmt w:val="decimal"/>
      <w:lvlText w:val="%1"/>
      <w:lvlJc w:val="left"/>
    </w:lvl>
    <w:lvl w:ilvl="1" w:tplc="D908BC3E">
      <w:start w:val="1"/>
      <w:numFmt w:val="lowerLetter"/>
      <w:lvlText w:val="%2"/>
      <w:lvlJc w:val="left"/>
    </w:lvl>
    <w:lvl w:ilvl="2" w:tplc="18700574">
      <w:start w:val="2"/>
      <w:numFmt w:val="decimal"/>
      <w:lvlText w:val="%3."/>
      <w:lvlJc w:val="left"/>
    </w:lvl>
    <w:lvl w:ilvl="3" w:tplc="6BE6F69C">
      <w:start w:val="1"/>
      <w:numFmt w:val="lowerLetter"/>
      <w:lvlText w:val="%4."/>
      <w:lvlJc w:val="left"/>
    </w:lvl>
    <w:lvl w:ilvl="4" w:tplc="5F7A4C84">
      <w:start w:val="1"/>
      <w:numFmt w:val="lowerRoman"/>
      <w:lvlText w:val="%5"/>
      <w:lvlJc w:val="left"/>
    </w:lvl>
    <w:lvl w:ilvl="5" w:tplc="CC42B9C0">
      <w:numFmt w:val="decimal"/>
      <w:lvlText w:val=""/>
      <w:lvlJc w:val="left"/>
    </w:lvl>
    <w:lvl w:ilvl="6" w:tplc="A636FF44">
      <w:numFmt w:val="decimal"/>
      <w:lvlText w:val=""/>
      <w:lvlJc w:val="left"/>
    </w:lvl>
    <w:lvl w:ilvl="7" w:tplc="71204112">
      <w:numFmt w:val="decimal"/>
      <w:lvlText w:val=""/>
      <w:lvlJc w:val="left"/>
    </w:lvl>
    <w:lvl w:ilvl="8" w:tplc="C4603770">
      <w:numFmt w:val="decimal"/>
      <w:lvlText w:val=""/>
      <w:lvlJc w:val="left"/>
    </w:lvl>
  </w:abstractNum>
  <w:abstractNum w:abstractNumId="689" w15:restartNumberingAfterBreak="0">
    <w:nsid w:val="00006121"/>
    <w:multiLevelType w:val="hybridMultilevel"/>
    <w:tmpl w:val="41560376"/>
    <w:lvl w:ilvl="0" w:tplc="05249AB8">
      <w:start w:val="1"/>
      <w:numFmt w:val="lowerLetter"/>
      <w:lvlText w:val="%1"/>
      <w:lvlJc w:val="left"/>
    </w:lvl>
    <w:lvl w:ilvl="1" w:tplc="243A3ADC">
      <w:start w:val="3"/>
      <w:numFmt w:val="decimal"/>
      <w:lvlText w:val="%2."/>
      <w:lvlJc w:val="left"/>
    </w:lvl>
    <w:lvl w:ilvl="2" w:tplc="8BC6D1CC">
      <w:start w:val="1"/>
      <w:numFmt w:val="lowerLetter"/>
      <w:lvlText w:val="%3."/>
      <w:lvlJc w:val="left"/>
    </w:lvl>
    <w:lvl w:ilvl="3" w:tplc="F488C55C">
      <w:start w:val="1"/>
      <w:numFmt w:val="lowerRoman"/>
      <w:lvlText w:val="%4."/>
      <w:lvlJc w:val="left"/>
    </w:lvl>
    <w:lvl w:ilvl="4" w:tplc="E29613D0">
      <w:numFmt w:val="decimal"/>
      <w:lvlText w:val=""/>
      <w:lvlJc w:val="left"/>
    </w:lvl>
    <w:lvl w:ilvl="5" w:tplc="778804D6">
      <w:numFmt w:val="decimal"/>
      <w:lvlText w:val=""/>
      <w:lvlJc w:val="left"/>
    </w:lvl>
    <w:lvl w:ilvl="6" w:tplc="CDDAA4C6">
      <w:numFmt w:val="decimal"/>
      <w:lvlText w:val=""/>
      <w:lvlJc w:val="left"/>
    </w:lvl>
    <w:lvl w:ilvl="7" w:tplc="D752E5BE">
      <w:numFmt w:val="decimal"/>
      <w:lvlText w:val=""/>
      <w:lvlJc w:val="left"/>
    </w:lvl>
    <w:lvl w:ilvl="8" w:tplc="3ED0323A">
      <w:numFmt w:val="decimal"/>
      <w:lvlText w:val=""/>
      <w:lvlJc w:val="left"/>
    </w:lvl>
  </w:abstractNum>
  <w:abstractNum w:abstractNumId="690" w15:restartNumberingAfterBreak="0">
    <w:nsid w:val="00006145"/>
    <w:multiLevelType w:val="hybridMultilevel"/>
    <w:tmpl w:val="E2C05E3E"/>
    <w:lvl w:ilvl="0" w:tplc="CE5C40AA">
      <w:start w:val="8"/>
      <w:numFmt w:val="decimal"/>
      <w:lvlText w:val="(%1)"/>
      <w:lvlJc w:val="left"/>
    </w:lvl>
    <w:lvl w:ilvl="1" w:tplc="3FAE4A6C">
      <w:numFmt w:val="decimal"/>
      <w:lvlText w:val=""/>
      <w:lvlJc w:val="left"/>
    </w:lvl>
    <w:lvl w:ilvl="2" w:tplc="6932FEDE">
      <w:numFmt w:val="decimal"/>
      <w:lvlText w:val=""/>
      <w:lvlJc w:val="left"/>
    </w:lvl>
    <w:lvl w:ilvl="3" w:tplc="118CA734">
      <w:numFmt w:val="decimal"/>
      <w:lvlText w:val=""/>
      <w:lvlJc w:val="left"/>
    </w:lvl>
    <w:lvl w:ilvl="4" w:tplc="09BCBE40">
      <w:numFmt w:val="decimal"/>
      <w:lvlText w:val=""/>
      <w:lvlJc w:val="left"/>
    </w:lvl>
    <w:lvl w:ilvl="5" w:tplc="46E093A8">
      <w:numFmt w:val="decimal"/>
      <w:lvlText w:val=""/>
      <w:lvlJc w:val="left"/>
    </w:lvl>
    <w:lvl w:ilvl="6" w:tplc="43126770">
      <w:numFmt w:val="decimal"/>
      <w:lvlText w:val=""/>
      <w:lvlJc w:val="left"/>
    </w:lvl>
    <w:lvl w:ilvl="7" w:tplc="8B2A44C8">
      <w:numFmt w:val="decimal"/>
      <w:lvlText w:val=""/>
      <w:lvlJc w:val="left"/>
    </w:lvl>
    <w:lvl w:ilvl="8" w:tplc="08DC3B84">
      <w:numFmt w:val="decimal"/>
      <w:lvlText w:val=""/>
      <w:lvlJc w:val="left"/>
    </w:lvl>
  </w:abstractNum>
  <w:abstractNum w:abstractNumId="691" w15:restartNumberingAfterBreak="0">
    <w:nsid w:val="00006181"/>
    <w:multiLevelType w:val="hybridMultilevel"/>
    <w:tmpl w:val="559A5EE6"/>
    <w:lvl w:ilvl="0" w:tplc="2C0643F0">
      <w:start w:val="4"/>
      <w:numFmt w:val="decimal"/>
      <w:lvlText w:val="(%1)"/>
      <w:lvlJc w:val="left"/>
    </w:lvl>
    <w:lvl w:ilvl="1" w:tplc="A2CCFD78">
      <w:start w:val="1"/>
      <w:numFmt w:val="lowerLetter"/>
      <w:lvlText w:val="(%2)"/>
      <w:lvlJc w:val="left"/>
    </w:lvl>
    <w:lvl w:ilvl="2" w:tplc="A4A4ACF4">
      <w:start w:val="1"/>
      <w:numFmt w:val="decimal"/>
      <w:lvlText w:val="%3."/>
      <w:lvlJc w:val="left"/>
    </w:lvl>
    <w:lvl w:ilvl="3" w:tplc="8A206398">
      <w:numFmt w:val="decimal"/>
      <w:lvlText w:val=""/>
      <w:lvlJc w:val="left"/>
    </w:lvl>
    <w:lvl w:ilvl="4" w:tplc="37FAC12C">
      <w:numFmt w:val="decimal"/>
      <w:lvlText w:val=""/>
      <w:lvlJc w:val="left"/>
    </w:lvl>
    <w:lvl w:ilvl="5" w:tplc="287C91A6">
      <w:numFmt w:val="decimal"/>
      <w:lvlText w:val=""/>
      <w:lvlJc w:val="left"/>
    </w:lvl>
    <w:lvl w:ilvl="6" w:tplc="22207068">
      <w:numFmt w:val="decimal"/>
      <w:lvlText w:val=""/>
      <w:lvlJc w:val="left"/>
    </w:lvl>
    <w:lvl w:ilvl="7" w:tplc="A67C87FC">
      <w:numFmt w:val="decimal"/>
      <w:lvlText w:val=""/>
      <w:lvlJc w:val="left"/>
    </w:lvl>
    <w:lvl w:ilvl="8" w:tplc="6F708C78">
      <w:numFmt w:val="decimal"/>
      <w:lvlText w:val=""/>
      <w:lvlJc w:val="left"/>
    </w:lvl>
  </w:abstractNum>
  <w:abstractNum w:abstractNumId="692" w15:restartNumberingAfterBreak="0">
    <w:nsid w:val="00006182"/>
    <w:multiLevelType w:val="hybridMultilevel"/>
    <w:tmpl w:val="1C72BB10"/>
    <w:lvl w:ilvl="0" w:tplc="8A8A65BC">
      <w:start w:val="2"/>
      <w:numFmt w:val="lowerLetter"/>
      <w:lvlText w:val="(%1)"/>
      <w:lvlJc w:val="left"/>
    </w:lvl>
    <w:lvl w:ilvl="1" w:tplc="788AB75E">
      <w:start w:val="1"/>
      <w:numFmt w:val="decimal"/>
      <w:lvlText w:val="%2."/>
      <w:lvlJc w:val="left"/>
    </w:lvl>
    <w:lvl w:ilvl="2" w:tplc="212E2D64">
      <w:numFmt w:val="decimal"/>
      <w:lvlText w:val=""/>
      <w:lvlJc w:val="left"/>
    </w:lvl>
    <w:lvl w:ilvl="3" w:tplc="B72EDD1E">
      <w:numFmt w:val="decimal"/>
      <w:lvlText w:val=""/>
      <w:lvlJc w:val="left"/>
    </w:lvl>
    <w:lvl w:ilvl="4" w:tplc="75ACCB2E">
      <w:numFmt w:val="decimal"/>
      <w:lvlText w:val=""/>
      <w:lvlJc w:val="left"/>
    </w:lvl>
    <w:lvl w:ilvl="5" w:tplc="2264AAB4">
      <w:numFmt w:val="decimal"/>
      <w:lvlText w:val=""/>
      <w:lvlJc w:val="left"/>
    </w:lvl>
    <w:lvl w:ilvl="6" w:tplc="42D658F2">
      <w:numFmt w:val="decimal"/>
      <w:lvlText w:val=""/>
      <w:lvlJc w:val="left"/>
    </w:lvl>
    <w:lvl w:ilvl="7" w:tplc="911413EA">
      <w:numFmt w:val="decimal"/>
      <w:lvlText w:val=""/>
      <w:lvlJc w:val="left"/>
    </w:lvl>
    <w:lvl w:ilvl="8" w:tplc="7FE024DE">
      <w:numFmt w:val="decimal"/>
      <w:lvlText w:val=""/>
      <w:lvlJc w:val="left"/>
    </w:lvl>
  </w:abstractNum>
  <w:abstractNum w:abstractNumId="693" w15:restartNumberingAfterBreak="0">
    <w:nsid w:val="000061A6"/>
    <w:multiLevelType w:val="hybridMultilevel"/>
    <w:tmpl w:val="E4A076BE"/>
    <w:lvl w:ilvl="0" w:tplc="E87C9326">
      <w:start w:val="1"/>
      <w:numFmt w:val="decimal"/>
      <w:lvlText w:val="%1"/>
      <w:lvlJc w:val="left"/>
    </w:lvl>
    <w:lvl w:ilvl="1" w:tplc="AA84F744">
      <w:start w:val="6"/>
      <w:numFmt w:val="lowerLetter"/>
      <w:lvlText w:val="(%2)"/>
      <w:lvlJc w:val="left"/>
    </w:lvl>
    <w:lvl w:ilvl="2" w:tplc="89588EC6">
      <w:start w:val="1"/>
      <w:numFmt w:val="decimal"/>
      <w:lvlText w:val="%3"/>
      <w:lvlJc w:val="left"/>
    </w:lvl>
    <w:lvl w:ilvl="3" w:tplc="EB6E6692">
      <w:start w:val="1"/>
      <w:numFmt w:val="lowerLetter"/>
      <w:lvlText w:val="%4"/>
      <w:lvlJc w:val="left"/>
    </w:lvl>
    <w:lvl w:ilvl="4" w:tplc="693810FC">
      <w:numFmt w:val="decimal"/>
      <w:lvlText w:val=""/>
      <w:lvlJc w:val="left"/>
    </w:lvl>
    <w:lvl w:ilvl="5" w:tplc="12F0FA7C">
      <w:numFmt w:val="decimal"/>
      <w:lvlText w:val=""/>
      <w:lvlJc w:val="left"/>
    </w:lvl>
    <w:lvl w:ilvl="6" w:tplc="2666A2A8">
      <w:numFmt w:val="decimal"/>
      <w:lvlText w:val=""/>
      <w:lvlJc w:val="left"/>
    </w:lvl>
    <w:lvl w:ilvl="7" w:tplc="A8D6BB08">
      <w:numFmt w:val="decimal"/>
      <w:lvlText w:val=""/>
      <w:lvlJc w:val="left"/>
    </w:lvl>
    <w:lvl w:ilvl="8" w:tplc="91F01FA2">
      <w:numFmt w:val="decimal"/>
      <w:lvlText w:val=""/>
      <w:lvlJc w:val="left"/>
    </w:lvl>
  </w:abstractNum>
  <w:abstractNum w:abstractNumId="694" w15:restartNumberingAfterBreak="0">
    <w:nsid w:val="000061B3"/>
    <w:multiLevelType w:val="hybridMultilevel"/>
    <w:tmpl w:val="05608A86"/>
    <w:lvl w:ilvl="0" w:tplc="C90A142E">
      <w:start w:val="1"/>
      <w:numFmt w:val="decimal"/>
      <w:lvlText w:val="%1"/>
      <w:lvlJc w:val="left"/>
    </w:lvl>
    <w:lvl w:ilvl="1" w:tplc="9196AE2A">
      <w:start w:val="1"/>
      <w:numFmt w:val="lowerLetter"/>
      <w:lvlText w:val="%2"/>
      <w:lvlJc w:val="left"/>
    </w:lvl>
    <w:lvl w:ilvl="2" w:tplc="EBA834F2">
      <w:start w:val="6"/>
      <w:numFmt w:val="decimal"/>
      <w:lvlText w:val="%3."/>
      <w:lvlJc w:val="left"/>
    </w:lvl>
    <w:lvl w:ilvl="3" w:tplc="B1D021CE">
      <w:numFmt w:val="decimal"/>
      <w:lvlText w:val=""/>
      <w:lvlJc w:val="left"/>
    </w:lvl>
    <w:lvl w:ilvl="4" w:tplc="380E0048">
      <w:numFmt w:val="decimal"/>
      <w:lvlText w:val=""/>
      <w:lvlJc w:val="left"/>
    </w:lvl>
    <w:lvl w:ilvl="5" w:tplc="38103F3C">
      <w:numFmt w:val="decimal"/>
      <w:lvlText w:val=""/>
      <w:lvlJc w:val="left"/>
    </w:lvl>
    <w:lvl w:ilvl="6" w:tplc="6DE2FB2C">
      <w:numFmt w:val="decimal"/>
      <w:lvlText w:val=""/>
      <w:lvlJc w:val="left"/>
    </w:lvl>
    <w:lvl w:ilvl="7" w:tplc="66B83156">
      <w:numFmt w:val="decimal"/>
      <w:lvlText w:val=""/>
      <w:lvlJc w:val="left"/>
    </w:lvl>
    <w:lvl w:ilvl="8" w:tplc="2B2A374A">
      <w:numFmt w:val="decimal"/>
      <w:lvlText w:val=""/>
      <w:lvlJc w:val="left"/>
    </w:lvl>
  </w:abstractNum>
  <w:abstractNum w:abstractNumId="695" w15:restartNumberingAfterBreak="0">
    <w:nsid w:val="000061E2"/>
    <w:multiLevelType w:val="hybridMultilevel"/>
    <w:tmpl w:val="5284170E"/>
    <w:lvl w:ilvl="0" w:tplc="FC920C3C">
      <w:start w:val="8"/>
      <w:numFmt w:val="decimal"/>
      <w:lvlText w:val="(%1)"/>
      <w:lvlJc w:val="left"/>
    </w:lvl>
    <w:lvl w:ilvl="1" w:tplc="C014471C">
      <w:numFmt w:val="decimal"/>
      <w:lvlText w:val=""/>
      <w:lvlJc w:val="left"/>
    </w:lvl>
    <w:lvl w:ilvl="2" w:tplc="84A895E4">
      <w:numFmt w:val="decimal"/>
      <w:lvlText w:val=""/>
      <w:lvlJc w:val="left"/>
    </w:lvl>
    <w:lvl w:ilvl="3" w:tplc="BC10488E">
      <w:numFmt w:val="decimal"/>
      <w:lvlText w:val=""/>
      <w:lvlJc w:val="left"/>
    </w:lvl>
    <w:lvl w:ilvl="4" w:tplc="BD4A4DCE">
      <w:numFmt w:val="decimal"/>
      <w:lvlText w:val=""/>
      <w:lvlJc w:val="left"/>
    </w:lvl>
    <w:lvl w:ilvl="5" w:tplc="6692780A">
      <w:numFmt w:val="decimal"/>
      <w:lvlText w:val=""/>
      <w:lvlJc w:val="left"/>
    </w:lvl>
    <w:lvl w:ilvl="6" w:tplc="8D7E8BBC">
      <w:numFmt w:val="decimal"/>
      <w:lvlText w:val=""/>
      <w:lvlJc w:val="left"/>
    </w:lvl>
    <w:lvl w:ilvl="7" w:tplc="1668FB7C">
      <w:numFmt w:val="decimal"/>
      <w:lvlText w:val=""/>
      <w:lvlJc w:val="left"/>
    </w:lvl>
    <w:lvl w:ilvl="8" w:tplc="7654FF00">
      <w:numFmt w:val="decimal"/>
      <w:lvlText w:val=""/>
      <w:lvlJc w:val="left"/>
    </w:lvl>
  </w:abstractNum>
  <w:abstractNum w:abstractNumId="696" w15:restartNumberingAfterBreak="0">
    <w:nsid w:val="00006228"/>
    <w:multiLevelType w:val="hybridMultilevel"/>
    <w:tmpl w:val="298E75AA"/>
    <w:lvl w:ilvl="0" w:tplc="92CC12D0">
      <w:start w:val="17"/>
      <w:numFmt w:val="decimal"/>
      <w:lvlText w:val="(%1)"/>
      <w:lvlJc w:val="left"/>
    </w:lvl>
    <w:lvl w:ilvl="1" w:tplc="F1F87A66">
      <w:numFmt w:val="decimal"/>
      <w:lvlText w:val=""/>
      <w:lvlJc w:val="left"/>
    </w:lvl>
    <w:lvl w:ilvl="2" w:tplc="35824606">
      <w:numFmt w:val="decimal"/>
      <w:lvlText w:val=""/>
      <w:lvlJc w:val="left"/>
    </w:lvl>
    <w:lvl w:ilvl="3" w:tplc="C9323E58">
      <w:numFmt w:val="decimal"/>
      <w:lvlText w:val=""/>
      <w:lvlJc w:val="left"/>
    </w:lvl>
    <w:lvl w:ilvl="4" w:tplc="0CFA13EC">
      <w:numFmt w:val="decimal"/>
      <w:lvlText w:val=""/>
      <w:lvlJc w:val="left"/>
    </w:lvl>
    <w:lvl w:ilvl="5" w:tplc="9F202252">
      <w:numFmt w:val="decimal"/>
      <w:lvlText w:val=""/>
      <w:lvlJc w:val="left"/>
    </w:lvl>
    <w:lvl w:ilvl="6" w:tplc="274E5088">
      <w:numFmt w:val="decimal"/>
      <w:lvlText w:val=""/>
      <w:lvlJc w:val="left"/>
    </w:lvl>
    <w:lvl w:ilvl="7" w:tplc="E5545A5C">
      <w:numFmt w:val="decimal"/>
      <w:lvlText w:val=""/>
      <w:lvlJc w:val="left"/>
    </w:lvl>
    <w:lvl w:ilvl="8" w:tplc="FC5CFFA8">
      <w:numFmt w:val="decimal"/>
      <w:lvlText w:val=""/>
      <w:lvlJc w:val="left"/>
    </w:lvl>
  </w:abstractNum>
  <w:abstractNum w:abstractNumId="697" w15:restartNumberingAfterBreak="0">
    <w:nsid w:val="0000624A"/>
    <w:multiLevelType w:val="hybridMultilevel"/>
    <w:tmpl w:val="05A860CC"/>
    <w:lvl w:ilvl="0" w:tplc="E26015E0">
      <w:start w:val="1"/>
      <w:numFmt w:val="decimal"/>
      <w:lvlText w:val="%1"/>
      <w:lvlJc w:val="left"/>
    </w:lvl>
    <w:lvl w:ilvl="1" w:tplc="940883F2">
      <w:start w:val="2"/>
      <w:numFmt w:val="lowerLetter"/>
      <w:lvlText w:val="(%2)"/>
      <w:lvlJc w:val="left"/>
    </w:lvl>
    <w:lvl w:ilvl="2" w:tplc="6F9E9526">
      <w:start w:val="1"/>
      <w:numFmt w:val="decimal"/>
      <w:lvlText w:val="%3"/>
      <w:lvlJc w:val="left"/>
    </w:lvl>
    <w:lvl w:ilvl="3" w:tplc="619E4B62">
      <w:start w:val="1"/>
      <w:numFmt w:val="lowerLetter"/>
      <w:lvlText w:val="%4"/>
      <w:lvlJc w:val="left"/>
    </w:lvl>
    <w:lvl w:ilvl="4" w:tplc="48DC9DD6">
      <w:numFmt w:val="decimal"/>
      <w:lvlText w:val=""/>
      <w:lvlJc w:val="left"/>
    </w:lvl>
    <w:lvl w:ilvl="5" w:tplc="B7B88334">
      <w:numFmt w:val="decimal"/>
      <w:lvlText w:val=""/>
      <w:lvlJc w:val="left"/>
    </w:lvl>
    <w:lvl w:ilvl="6" w:tplc="FA729B3E">
      <w:numFmt w:val="decimal"/>
      <w:lvlText w:val=""/>
      <w:lvlJc w:val="left"/>
    </w:lvl>
    <w:lvl w:ilvl="7" w:tplc="45E26916">
      <w:numFmt w:val="decimal"/>
      <w:lvlText w:val=""/>
      <w:lvlJc w:val="left"/>
    </w:lvl>
    <w:lvl w:ilvl="8" w:tplc="02BE8FB2">
      <w:numFmt w:val="decimal"/>
      <w:lvlText w:val=""/>
      <w:lvlJc w:val="left"/>
    </w:lvl>
  </w:abstractNum>
  <w:abstractNum w:abstractNumId="698" w15:restartNumberingAfterBreak="0">
    <w:nsid w:val="000062A1"/>
    <w:multiLevelType w:val="hybridMultilevel"/>
    <w:tmpl w:val="53543316"/>
    <w:lvl w:ilvl="0" w:tplc="4CA6EA92">
      <w:start w:val="5"/>
      <w:numFmt w:val="decimal"/>
      <w:lvlText w:val="(%1)"/>
      <w:lvlJc w:val="left"/>
    </w:lvl>
    <w:lvl w:ilvl="1" w:tplc="85E8B3C4">
      <w:start w:val="1"/>
      <w:numFmt w:val="lowerLetter"/>
      <w:lvlText w:val="(%2)"/>
      <w:lvlJc w:val="left"/>
    </w:lvl>
    <w:lvl w:ilvl="2" w:tplc="0C2C2FAE">
      <w:start w:val="1"/>
      <w:numFmt w:val="decimal"/>
      <w:lvlText w:val="%3."/>
      <w:lvlJc w:val="left"/>
    </w:lvl>
    <w:lvl w:ilvl="3" w:tplc="8932A2BA">
      <w:numFmt w:val="decimal"/>
      <w:lvlText w:val=""/>
      <w:lvlJc w:val="left"/>
    </w:lvl>
    <w:lvl w:ilvl="4" w:tplc="4CA60BB6">
      <w:numFmt w:val="decimal"/>
      <w:lvlText w:val=""/>
      <w:lvlJc w:val="left"/>
    </w:lvl>
    <w:lvl w:ilvl="5" w:tplc="ADBECB28">
      <w:numFmt w:val="decimal"/>
      <w:lvlText w:val=""/>
      <w:lvlJc w:val="left"/>
    </w:lvl>
    <w:lvl w:ilvl="6" w:tplc="3DE86898">
      <w:numFmt w:val="decimal"/>
      <w:lvlText w:val=""/>
      <w:lvlJc w:val="left"/>
    </w:lvl>
    <w:lvl w:ilvl="7" w:tplc="F6ACD9F0">
      <w:numFmt w:val="decimal"/>
      <w:lvlText w:val=""/>
      <w:lvlJc w:val="left"/>
    </w:lvl>
    <w:lvl w:ilvl="8" w:tplc="4FD05B34">
      <w:numFmt w:val="decimal"/>
      <w:lvlText w:val=""/>
      <w:lvlJc w:val="left"/>
    </w:lvl>
  </w:abstractNum>
  <w:abstractNum w:abstractNumId="699" w15:restartNumberingAfterBreak="0">
    <w:nsid w:val="000062B5"/>
    <w:multiLevelType w:val="hybridMultilevel"/>
    <w:tmpl w:val="D2F231D8"/>
    <w:lvl w:ilvl="0" w:tplc="9D9C06F6">
      <w:start w:val="14"/>
      <w:numFmt w:val="decimal"/>
      <w:lvlText w:val="(%1)"/>
      <w:lvlJc w:val="left"/>
    </w:lvl>
    <w:lvl w:ilvl="1" w:tplc="55FE7A3A">
      <w:start w:val="1"/>
      <w:numFmt w:val="lowerLetter"/>
      <w:lvlText w:val="(%2)"/>
      <w:lvlJc w:val="left"/>
    </w:lvl>
    <w:lvl w:ilvl="2" w:tplc="6414DD28">
      <w:start w:val="1"/>
      <w:numFmt w:val="decimal"/>
      <w:lvlText w:val="%3."/>
      <w:lvlJc w:val="left"/>
    </w:lvl>
    <w:lvl w:ilvl="3" w:tplc="E24054A4">
      <w:start w:val="1"/>
      <w:numFmt w:val="lowerLetter"/>
      <w:lvlText w:val="%4."/>
      <w:lvlJc w:val="left"/>
    </w:lvl>
    <w:lvl w:ilvl="4" w:tplc="78B649A8">
      <w:numFmt w:val="decimal"/>
      <w:lvlText w:val=""/>
      <w:lvlJc w:val="left"/>
    </w:lvl>
    <w:lvl w:ilvl="5" w:tplc="3EB400DC">
      <w:numFmt w:val="decimal"/>
      <w:lvlText w:val=""/>
      <w:lvlJc w:val="left"/>
    </w:lvl>
    <w:lvl w:ilvl="6" w:tplc="4DBA62E4">
      <w:numFmt w:val="decimal"/>
      <w:lvlText w:val=""/>
      <w:lvlJc w:val="left"/>
    </w:lvl>
    <w:lvl w:ilvl="7" w:tplc="2B34EA32">
      <w:numFmt w:val="decimal"/>
      <w:lvlText w:val=""/>
      <w:lvlJc w:val="left"/>
    </w:lvl>
    <w:lvl w:ilvl="8" w:tplc="09322D88">
      <w:numFmt w:val="decimal"/>
      <w:lvlText w:val=""/>
      <w:lvlJc w:val="left"/>
    </w:lvl>
  </w:abstractNum>
  <w:abstractNum w:abstractNumId="700" w15:restartNumberingAfterBreak="0">
    <w:nsid w:val="00006301"/>
    <w:multiLevelType w:val="hybridMultilevel"/>
    <w:tmpl w:val="05CCC0B6"/>
    <w:lvl w:ilvl="0" w:tplc="78782002">
      <w:start w:val="15"/>
      <w:numFmt w:val="decimal"/>
      <w:lvlText w:val="(%1)"/>
      <w:lvlJc w:val="left"/>
    </w:lvl>
    <w:lvl w:ilvl="1" w:tplc="705278A4">
      <w:start w:val="1"/>
      <w:numFmt w:val="lowerLetter"/>
      <w:lvlText w:val="(%2)"/>
      <w:lvlJc w:val="left"/>
    </w:lvl>
    <w:lvl w:ilvl="2" w:tplc="A140B118">
      <w:numFmt w:val="decimal"/>
      <w:lvlText w:val=""/>
      <w:lvlJc w:val="left"/>
    </w:lvl>
    <w:lvl w:ilvl="3" w:tplc="98B0FD2C">
      <w:numFmt w:val="decimal"/>
      <w:lvlText w:val=""/>
      <w:lvlJc w:val="left"/>
    </w:lvl>
    <w:lvl w:ilvl="4" w:tplc="27D0A18C">
      <w:numFmt w:val="decimal"/>
      <w:lvlText w:val=""/>
      <w:lvlJc w:val="left"/>
    </w:lvl>
    <w:lvl w:ilvl="5" w:tplc="FB347FC0">
      <w:numFmt w:val="decimal"/>
      <w:lvlText w:val=""/>
      <w:lvlJc w:val="left"/>
    </w:lvl>
    <w:lvl w:ilvl="6" w:tplc="80E2F1EA">
      <w:numFmt w:val="decimal"/>
      <w:lvlText w:val=""/>
      <w:lvlJc w:val="left"/>
    </w:lvl>
    <w:lvl w:ilvl="7" w:tplc="57B66122">
      <w:numFmt w:val="decimal"/>
      <w:lvlText w:val=""/>
      <w:lvlJc w:val="left"/>
    </w:lvl>
    <w:lvl w:ilvl="8" w:tplc="EFE47DB4">
      <w:numFmt w:val="decimal"/>
      <w:lvlText w:val=""/>
      <w:lvlJc w:val="left"/>
    </w:lvl>
  </w:abstractNum>
  <w:abstractNum w:abstractNumId="701" w15:restartNumberingAfterBreak="0">
    <w:nsid w:val="0000632F"/>
    <w:multiLevelType w:val="hybridMultilevel"/>
    <w:tmpl w:val="81CC0F46"/>
    <w:lvl w:ilvl="0" w:tplc="5E5C71D0">
      <w:start w:val="1"/>
      <w:numFmt w:val="lowerLetter"/>
      <w:lvlText w:val="%1"/>
      <w:lvlJc w:val="left"/>
    </w:lvl>
    <w:lvl w:ilvl="1" w:tplc="D3169CE4">
      <w:start w:val="2"/>
      <w:numFmt w:val="decimal"/>
      <w:lvlText w:val="%2."/>
      <w:lvlJc w:val="left"/>
    </w:lvl>
    <w:lvl w:ilvl="2" w:tplc="682604EC">
      <w:start w:val="1"/>
      <w:numFmt w:val="lowerLetter"/>
      <w:lvlText w:val="%3."/>
      <w:lvlJc w:val="left"/>
    </w:lvl>
    <w:lvl w:ilvl="3" w:tplc="495A799E">
      <w:numFmt w:val="decimal"/>
      <w:lvlText w:val=""/>
      <w:lvlJc w:val="left"/>
    </w:lvl>
    <w:lvl w:ilvl="4" w:tplc="037E79AC">
      <w:numFmt w:val="decimal"/>
      <w:lvlText w:val=""/>
      <w:lvlJc w:val="left"/>
    </w:lvl>
    <w:lvl w:ilvl="5" w:tplc="2D461D1A">
      <w:numFmt w:val="decimal"/>
      <w:lvlText w:val=""/>
      <w:lvlJc w:val="left"/>
    </w:lvl>
    <w:lvl w:ilvl="6" w:tplc="C90A0410">
      <w:numFmt w:val="decimal"/>
      <w:lvlText w:val=""/>
      <w:lvlJc w:val="left"/>
    </w:lvl>
    <w:lvl w:ilvl="7" w:tplc="3386EE24">
      <w:numFmt w:val="decimal"/>
      <w:lvlText w:val=""/>
      <w:lvlJc w:val="left"/>
    </w:lvl>
    <w:lvl w:ilvl="8" w:tplc="72161EB4">
      <w:numFmt w:val="decimal"/>
      <w:lvlText w:val=""/>
      <w:lvlJc w:val="left"/>
    </w:lvl>
  </w:abstractNum>
  <w:abstractNum w:abstractNumId="702" w15:restartNumberingAfterBreak="0">
    <w:nsid w:val="0000636C"/>
    <w:multiLevelType w:val="hybridMultilevel"/>
    <w:tmpl w:val="B8DEB084"/>
    <w:lvl w:ilvl="0" w:tplc="688EA29C">
      <w:start w:val="2"/>
      <w:numFmt w:val="decimal"/>
      <w:lvlText w:val="%1"/>
      <w:lvlJc w:val="left"/>
      <w:rPr>
        <w:vertAlign w:val="superscript"/>
      </w:rPr>
    </w:lvl>
    <w:lvl w:ilvl="1" w:tplc="40FC6E4A">
      <w:numFmt w:val="decimal"/>
      <w:lvlText w:val=""/>
      <w:lvlJc w:val="left"/>
    </w:lvl>
    <w:lvl w:ilvl="2" w:tplc="6902F49E">
      <w:numFmt w:val="decimal"/>
      <w:lvlText w:val=""/>
      <w:lvlJc w:val="left"/>
    </w:lvl>
    <w:lvl w:ilvl="3" w:tplc="DB341040">
      <w:numFmt w:val="decimal"/>
      <w:lvlText w:val=""/>
      <w:lvlJc w:val="left"/>
    </w:lvl>
    <w:lvl w:ilvl="4" w:tplc="D9DC5666">
      <w:numFmt w:val="decimal"/>
      <w:lvlText w:val=""/>
      <w:lvlJc w:val="left"/>
    </w:lvl>
    <w:lvl w:ilvl="5" w:tplc="02782D74">
      <w:numFmt w:val="decimal"/>
      <w:lvlText w:val=""/>
      <w:lvlJc w:val="left"/>
    </w:lvl>
    <w:lvl w:ilvl="6" w:tplc="1F82409E">
      <w:numFmt w:val="decimal"/>
      <w:lvlText w:val=""/>
      <w:lvlJc w:val="left"/>
    </w:lvl>
    <w:lvl w:ilvl="7" w:tplc="648004D8">
      <w:numFmt w:val="decimal"/>
      <w:lvlText w:val=""/>
      <w:lvlJc w:val="left"/>
    </w:lvl>
    <w:lvl w:ilvl="8" w:tplc="3CAC0CDC">
      <w:numFmt w:val="decimal"/>
      <w:lvlText w:val=""/>
      <w:lvlJc w:val="left"/>
    </w:lvl>
  </w:abstractNum>
  <w:abstractNum w:abstractNumId="703" w15:restartNumberingAfterBreak="0">
    <w:nsid w:val="00006380"/>
    <w:multiLevelType w:val="hybridMultilevel"/>
    <w:tmpl w:val="03508756"/>
    <w:lvl w:ilvl="0" w:tplc="919C990A">
      <w:start w:val="5"/>
      <w:numFmt w:val="decimal"/>
      <w:lvlText w:val="(%1)"/>
      <w:lvlJc w:val="left"/>
    </w:lvl>
    <w:lvl w:ilvl="1" w:tplc="9EA82FB4">
      <w:start w:val="1"/>
      <w:numFmt w:val="lowerLetter"/>
      <w:lvlText w:val="%2"/>
      <w:lvlJc w:val="left"/>
    </w:lvl>
    <w:lvl w:ilvl="2" w:tplc="88967DBE">
      <w:start w:val="1"/>
      <w:numFmt w:val="decimal"/>
      <w:lvlText w:val="%3"/>
      <w:lvlJc w:val="left"/>
    </w:lvl>
    <w:lvl w:ilvl="3" w:tplc="4E66FFC4">
      <w:numFmt w:val="decimal"/>
      <w:lvlText w:val=""/>
      <w:lvlJc w:val="left"/>
    </w:lvl>
    <w:lvl w:ilvl="4" w:tplc="CB32C808">
      <w:numFmt w:val="decimal"/>
      <w:lvlText w:val=""/>
      <w:lvlJc w:val="left"/>
    </w:lvl>
    <w:lvl w:ilvl="5" w:tplc="60F87ADE">
      <w:numFmt w:val="decimal"/>
      <w:lvlText w:val=""/>
      <w:lvlJc w:val="left"/>
    </w:lvl>
    <w:lvl w:ilvl="6" w:tplc="34C4B686">
      <w:numFmt w:val="decimal"/>
      <w:lvlText w:val=""/>
      <w:lvlJc w:val="left"/>
    </w:lvl>
    <w:lvl w:ilvl="7" w:tplc="EBE2D430">
      <w:numFmt w:val="decimal"/>
      <w:lvlText w:val=""/>
      <w:lvlJc w:val="left"/>
    </w:lvl>
    <w:lvl w:ilvl="8" w:tplc="E87A3D14">
      <w:numFmt w:val="decimal"/>
      <w:lvlText w:val=""/>
      <w:lvlJc w:val="left"/>
    </w:lvl>
  </w:abstractNum>
  <w:abstractNum w:abstractNumId="704" w15:restartNumberingAfterBreak="0">
    <w:nsid w:val="000063CB"/>
    <w:multiLevelType w:val="hybridMultilevel"/>
    <w:tmpl w:val="4536B8AE"/>
    <w:lvl w:ilvl="0" w:tplc="7B98157C">
      <w:start w:val="1"/>
      <w:numFmt w:val="lowerLetter"/>
      <w:lvlText w:val="%1"/>
      <w:lvlJc w:val="left"/>
    </w:lvl>
    <w:lvl w:ilvl="1" w:tplc="8A788812">
      <w:start w:val="310"/>
      <w:numFmt w:val="decimal"/>
      <w:lvlText w:val="%2"/>
      <w:lvlJc w:val="left"/>
    </w:lvl>
    <w:lvl w:ilvl="2" w:tplc="B7F4A8A0">
      <w:start w:val="1"/>
      <w:numFmt w:val="lowerLetter"/>
      <w:lvlText w:val="%3."/>
      <w:lvlJc w:val="left"/>
    </w:lvl>
    <w:lvl w:ilvl="3" w:tplc="83E4506A">
      <w:start w:val="1"/>
      <w:numFmt w:val="lowerRoman"/>
      <w:lvlText w:val="%4"/>
      <w:lvlJc w:val="left"/>
    </w:lvl>
    <w:lvl w:ilvl="4" w:tplc="440C02FE">
      <w:numFmt w:val="decimal"/>
      <w:lvlText w:val=""/>
      <w:lvlJc w:val="left"/>
    </w:lvl>
    <w:lvl w:ilvl="5" w:tplc="48ECE2A0">
      <w:numFmt w:val="decimal"/>
      <w:lvlText w:val=""/>
      <w:lvlJc w:val="left"/>
    </w:lvl>
    <w:lvl w:ilvl="6" w:tplc="C8A04186">
      <w:numFmt w:val="decimal"/>
      <w:lvlText w:val=""/>
      <w:lvlJc w:val="left"/>
    </w:lvl>
    <w:lvl w:ilvl="7" w:tplc="2F0ADF5C">
      <w:numFmt w:val="decimal"/>
      <w:lvlText w:val=""/>
      <w:lvlJc w:val="left"/>
    </w:lvl>
    <w:lvl w:ilvl="8" w:tplc="5CB4F002">
      <w:numFmt w:val="decimal"/>
      <w:lvlText w:val=""/>
      <w:lvlJc w:val="left"/>
    </w:lvl>
  </w:abstractNum>
  <w:abstractNum w:abstractNumId="705" w15:restartNumberingAfterBreak="0">
    <w:nsid w:val="00006405"/>
    <w:multiLevelType w:val="hybridMultilevel"/>
    <w:tmpl w:val="487E8664"/>
    <w:lvl w:ilvl="0" w:tplc="2A10F0E8">
      <w:start w:val="4"/>
      <w:numFmt w:val="lowerLetter"/>
      <w:lvlText w:val="%1."/>
      <w:lvlJc w:val="left"/>
    </w:lvl>
    <w:lvl w:ilvl="1" w:tplc="BE6A7F82">
      <w:start w:val="1"/>
      <w:numFmt w:val="lowerRoman"/>
      <w:lvlText w:val="(%2)"/>
      <w:lvlJc w:val="left"/>
    </w:lvl>
    <w:lvl w:ilvl="2" w:tplc="3612A4E0">
      <w:numFmt w:val="decimal"/>
      <w:lvlText w:val=""/>
      <w:lvlJc w:val="left"/>
    </w:lvl>
    <w:lvl w:ilvl="3" w:tplc="B22E2958">
      <w:numFmt w:val="decimal"/>
      <w:lvlText w:val=""/>
      <w:lvlJc w:val="left"/>
    </w:lvl>
    <w:lvl w:ilvl="4" w:tplc="A1C6D64A">
      <w:numFmt w:val="decimal"/>
      <w:lvlText w:val=""/>
      <w:lvlJc w:val="left"/>
    </w:lvl>
    <w:lvl w:ilvl="5" w:tplc="7AEAC17C">
      <w:numFmt w:val="decimal"/>
      <w:lvlText w:val=""/>
      <w:lvlJc w:val="left"/>
    </w:lvl>
    <w:lvl w:ilvl="6" w:tplc="6DFCEB80">
      <w:numFmt w:val="decimal"/>
      <w:lvlText w:val=""/>
      <w:lvlJc w:val="left"/>
    </w:lvl>
    <w:lvl w:ilvl="7" w:tplc="47088D1C">
      <w:numFmt w:val="decimal"/>
      <w:lvlText w:val=""/>
      <w:lvlJc w:val="left"/>
    </w:lvl>
    <w:lvl w:ilvl="8" w:tplc="F2E86E74">
      <w:numFmt w:val="decimal"/>
      <w:lvlText w:val=""/>
      <w:lvlJc w:val="left"/>
    </w:lvl>
  </w:abstractNum>
  <w:abstractNum w:abstractNumId="706" w15:restartNumberingAfterBreak="0">
    <w:nsid w:val="00006408"/>
    <w:multiLevelType w:val="hybridMultilevel"/>
    <w:tmpl w:val="42CAB5F0"/>
    <w:lvl w:ilvl="0" w:tplc="5972C62C">
      <w:start w:val="1"/>
      <w:numFmt w:val="decimal"/>
      <w:lvlText w:val="%1"/>
      <w:lvlJc w:val="left"/>
    </w:lvl>
    <w:lvl w:ilvl="1" w:tplc="26A4B7C6">
      <w:start w:val="1"/>
      <w:numFmt w:val="lowerLetter"/>
      <w:lvlText w:val="%2"/>
      <w:lvlJc w:val="left"/>
    </w:lvl>
    <w:lvl w:ilvl="2" w:tplc="B6742670">
      <w:start w:val="2"/>
      <w:numFmt w:val="decimal"/>
      <w:lvlText w:val="%3."/>
      <w:lvlJc w:val="left"/>
    </w:lvl>
    <w:lvl w:ilvl="3" w:tplc="DDC8D4B8">
      <w:numFmt w:val="decimal"/>
      <w:lvlText w:val=""/>
      <w:lvlJc w:val="left"/>
    </w:lvl>
    <w:lvl w:ilvl="4" w:tplc="21DA1E58">
      <w:numFmt w:val="decimal"/>
      <w:lvlText w:val=""/>
      <w:lvlJc w:val="left"/>
    </w:lvl>
    <w:lvl w:ilvl="5" w:tplc="63763C04">
      <w:numFmt w:val="decimal"/>
      <w:lvlText w:val=""/>
      <w:lvlJc w:val="left"/>
    </w:lvl>
    <w:lvl w:ilvl="6" w:tplc="DAA0D020">
      <w:numFmt w:val="decimal"/>
      <w:lvlText w:val=""/>
      <w:lvlJc w:val="left"/>
    </w:lvl>
    <w:lvl w:ilvl="7" w:tplc="D9182E62">
      <w:numFmt w:val="decimal"/>
      <w:lvlText w:val=""/>
      <w:lvlJc w:val="left"/>
    </w:lvl>
    <w:lvl w:ilvl="8" w:tplc="EA9ACF46">
      <w:numFmt w:val="decimal"/>
      <w:lvlText w:val=""/>
      <w:lvlJc w:val="left"/>
    </w:lvl>
  </w:abstractNum>
  <w:abstractNum w:abstractNumId="707" w15:restartNumberingAfterBreak="0">
    <w:nsid w:val="0000644E"/>
    <w:multiLevelType w:val="hybridMultilevel"/>
    <w:tmpl w:val="1A9E629C"/>
    <w:lvl w:ilvl="0" w:tplc="8A322372">
      <w:start w:val="310"/>
      <w:numFmt w:val="decimal"/>
      <w:lvlText w:val="%1"/>
      <w:lvlJc w:val="left"/>
    </w:lvl>
    <w:lvl w:ilvl="1" w:tplc="465A3BF6">
      <w:numFmt w:val="decimal"/>
      <w:lvlText w:val=""/>
      <w:lvlJc w:val="left"/>
    </w:lvl>
    <w:lvl w:ilvl="2" w:tplc="B6F8DFB4">
      <w:numFmt w:val="decimal"/>
      <w:lvlText w:val=""/>
      <w:lvlJc w:val="left"/>
    </w:lvl>
    <w:lvl w:ilvl="3" w:tplc="7DBCFD14">
      <w:numFmt w:val="decimal"/>
      <w:lvlText w:val=""/>
      <w:lvlJc w:val="left"/>
    </w:lvl>
    <w:lvl w:ilvl="4" w:tplc="8C6C9092">
      <w:numFmt w:val="decimal"/>
      <w:lvlText w:val=""/>
      <w:lvlJc w:val="left"/>
    </w:lvl>
    <w:lvl w:ilvl="5" w:tplc="A91C2074">
      <w:numFmt w:val="decimal"/>
      <w:lvlText w:val=""/>
      <w:lvlJc w:val="left"/>
    </w:lvl>
    <w:lvl w:ilvl="6" w:tplc="89BA1C78">
      <w:numFmt w:val="decimal"/>
      <w:lvlText w:val=""/>
      <w:lvlJc w:val="left"/>
    </w:lvl>
    <w:lvl w:ilvl="7" w:tplc="7A940C98">
      <w:numFmt w:val="decimal"/>
      <w:lvlText w:val=""/>
      <w:lvlJc w:val="left"/>
    </w:lvl>
    <w:lvl w:ilvl="8" w:tplc="9552FFF0">
      <w:numFmt w:val="decimal"/>
      <w:lvlText w:val=""/>
      <w:lvlJc w:val="left"/>
    </w:lvl>
  </w:abstractNum>
  <w:abstractNum w:abstractNumId="708" w15:restartNumberingAfterBreak="0">
    <w:nsid w:val="00006450"/>
    <w:multiLevelType w:val="hybridMultilevel"/>
    <w:tmpl w:val="8536F4B8"/>
    <w:lvl w:ilvl="0" w:tplc="F13041C0">
      <w:start w:val="3"/>
      <w:numFmt w:val="lowerLetter"/>
      <w:lvlText w:val="(%1)"/>
      <w:lvlJc w:val="left"/>
    </w:lvl>
    <w:lvl w:ilvl="1" w:tplc="F52C30DE">
      <w:start w:val="1"/>
      <w:numFmt w:val="decimal"/>
      <w:lvlText w:val="%2"/>
      <w:lvlJc w:val="left"/>
    </w:lvl>
    <w:lvl w:ilvl="2" w:tplc="16FAF2B0">
      <w:numFmt w:val="decimal"/>
      <w:lvlText w:val=""/>
      <w:lvlJc w:val="left"/>
    </w:lvl>
    <w:lvl w:ilvl="3" w:tplc="D768490A">
      <w:numFmt w:val="decimal"/>
      <w:lvlText w:val=""/>
      <w:lvlJc w:val="left"/>
    </w:lvl>
    <w:lvl w:ilvl="4" w:tplc="558A06D2">
      <w:numFmt w:val="decimal"/>
      <w:lvlText w:val=""/>
      <w:lvlJc w:val="left"/>
    </w:lvl>
    <w:lvl w:ilvl="5" w:tplc="28EAF834">
      <w:numFmt w:val="decimal"/>
      <w:lvlText w:val=""/>
      <w:lvlJc w:val="left"/>
    </w:lvl>
    <w:lvl w:ilvl="6" w:tplc="6AA25864">
      <w:numFmt w:val="decimal"/>
      <w:lvlText w:val=""/>
      <w:lvlJc w:val="left"/>
    </w:lvl>
    <w:lvl w:ilvl="7" w:tplc="867E1A10">
      <w:numFmt w:val="decimal"/>
      <w:lvlText w:val=""/>
      <w:lvlJc w:val="left"/>
    </w:lvl>
    <w:lvl w:ilvl="8" w:tplc="57F4B7CA">
      <w:numFmt w:val="decimal"/>
      <w:lvlText w:val=""/>
      <w:lvlJc w:val="left"/>
    </w:lvl>
  </w:abstractNum>
  <w:abstractNum w:abstractNumId="709" w15:restartNumberingAfterBreak="0">
    <w:nsid w:val="00006461"/>
    <w:multiLevelType w:val="hybridMultilevel"/>
    <w:tmpl w:val="60BA3A5A"/>
    <w:lvl w:ilvl="0" w:tplc="F9A0279C">
      <w:start w:val="1"/>
      <w:numFmt w:val="lowerLetter"/>
      <w:lvlText w:val="%1"/>
      <w:lvlJc w:val="left"/>
    </w:lvl>
    <w:lvl w:ilvl="1" w:tplc="F1AC0826">
      <w:start w:val="1"/>
      <w:numFmt w:val="lowerLetter"/>
      <w:lvlText w:val="%2"/>
      <w:lvlJc w:val="left"/>
    </w:lvl>
    <w:lvl w:ilvl="2" w:tplc="F18AC62A">
      <w:start w:val="2"/>
      <w:numFmt w:val="lowerRoman"/>
      <w:lvlText w:val="%3."/>
      <w:lvlJc w:val="left"/>
    </w:lvl>
    <w:lvl w:ilvl="3" w:tplc="AC26B670">
      <w:numFmt w:val="decimal"/>
      <w:lvlText w:val=""/>
      <w:lvlJc w:val="left"/>
    </w:lvl>
    <w:lvl w:ilvl="4" w:tplc="592413E8">
      <w:numFmt w:val="decimal"/>
      <w:lvlText w:val=""/>
      <w:lvlJc w:val="left"/>
    </w:lvl>
    <w:lvl w:ilvl="5" w:tplc="F432D216">
      <w:numFmt w:val="decimal"/>
      <w:lvlText w:val=""/>
      <w:lvlJc w:val="left"/>
    </w:lvl>
    <w:lvl w:ilvl="6" w:tplc="264A2F46">
      <w:numFmt w:val="decimal"/>
      <w:lvlText w:val=""/>
      <w:lvlJc w:val="left"/>
    </w:lvl>
    <w:lvl w:ilvl="7" w:tplc="EFFC5E0E">
      <w:numFmt w:val="decimal"/>
      <w:lvlText w:val=""/>
      <w:lvlJc w:val="left"/>
    </w:lvl>
    <w:lvl w:ilvl="8" w:tplc="BEE26EFC">
      <w:numFmt w:val="decimal"/>
      <w:lvlText w:val=""/>
      <w:lvlJc w:val="left"/>
    </w:lvl>
  </w:abstractNum>
  <w:abstractNum w:abstractNumId="710" w15:restartNumberingAfterBreak="0">
    <w:nsid w:val="0000649F"/>
    <w:multiLevelType w:val="hybridMultilevel"/>
    <w:tmpl w:val="15B890CE"/>
    <w:lvl w:ilvl="0" w:tplc="D73E1D54">
      <w:start w:val="10"/>
      <w:numFmt w:val="lowerLetter"/>
      <w:lvlText w:val="(%1)"/>
      <w:lvlJc w:val="left"/>
    </w:lvl>
    <w:lvl w:ilvl="1" w:tplc="A4D4F736">
      <w:start w:val="1"/>
      <w:numFmt w:val="decimal"/>
      <w:lvlText w:val="%2"/>
      <w:lvlJc w:val="left"/>
    </w:lvl>
    <w:lvl w:ilvl="2" w:tplc="747AD472">
      <w:start w:val="1"/>
      <w:numFmt w:val="lowerLetter"/>
      <w:lvlText w:val="%3"/>
      <w:lvlJc w:val="left"/>
    </w:lvl>
    <w:lvl w:ilvl="3" w:tplc="C90ECD72">
      <w:numFmt w:val="decimal"/>
      <w:lvlText w:val=""/>
      <w:lvlJc w:val="left"/>
    </w:lvl>
    <w:lvl w:ilvl="4" w:tplc="33D27D2A">
      <w:numFmt w:val="decimal"/>
      <w:lvlText w:val=""/>
      <w:lvlJc w:val="left"/>
    </w:lvl>
    <w:lvl w:ilvl="5" w:tplc="534C2328">
      <w:numFmt w:val="decimal"/>
      <w:lvlText w:val=""/>
      <w:lvlJc w:val="left"/>
    </w:lvl>
    <w:lvl w:ilvl="6" w:tplc="FB4AEE90">
      <w:numFmt w:val="decimal"/>
      <w:lvlText w:val=""/>
      <w:lvlJc w:val="left"/>
    </w:lvl>
    <w:lvl w:ilvl="7" w:tplc="A1828CD0">
      <w:numFmt w:val="decimal"/>
      <w:lvlText w:val=""/>
      <w:lvlJc w:val="left"/>
    </w:lvl>
    <w:lvl w:ilvl="8" w:tplc="693A4186">
      <w:numFmt w:val="decimal"/>
      <w:lvlText w:val=""/>
      <w:lvlJc w:val="left"/>
    </w:lvl>
  </w:abstractNum>
  <w:abstractNum w:abstractNumId="711" w15:restartNumberingAfterBreak="0">
    <w:nsid w:val="000064AA"/>
    <w:multiLevelType w:val="hybridMultilevel"/>
    <w:tmpl w:val="5942AFF6"/>
    <w:lvl w:ilvl="0" w:tplc="059C9460">
      <w:start w:val="15"/>
      <w:numFmt w:val="decimal"/>
      <w:lvlText w:val="(%1)"/>
      <w:lvlJc w:val="left"/>
    </w:lvl>
    <w:lvl w:ilvl="1" w:tplc="D4EABAEA">
      <w:numFmt w:val="decimal"/>
      <w:lvlText w:val=""/>
      <w:lvlJc w:val="left"/>
    </w:lvl>
    <w:lvl w:ilvl="2" w:tplc="5282B7C6">
      <w:numFmt w:val="decimal"/>
      <w:lvlText w:val=""/>
      <w:lvlJc w:val="left"/>
    </w:lvl>
    <w:lvl w:ilvl="3" w:tplc="977A8B14">
      <w:numFmt w:val="decimal"/>
      <w:lvlText w:val=""/>
      <w:lvlJc w:val="left"/>
    </w:lvl>
    <w:lvl w:ilvl="4" w:tplc="F3A254D2">
      <w:numFmt w:val="decimal"/>
      <w:lvlText w:val=""/>
      <w:lvlJc w:val="left"/>
    </w:lvl>
    <w:lvl w:ilvl="5" w:tplc="58481EF2">
      <w:numFmt w:val="decimal"/>
      <w:lvlText w:val=""/>
      <w:lvlJc w:val="left"/>
    </w:lvl>
    <w:lvl w:ilvl="6" w:tplc="930CB32E">
      <w:numFmt w:val="decimal"/>
      <w:lvlText w:val=""/>
      <w:lvlJc w:val="left"/>
    </w:lvl>
    <w:lvl w:ilvl="7" w:tplc="951E1B36">
      <w:numFmt w:val="decimal"/>
      <w:lvlText w:val=""/>
      <w:lvlJc w:val="left"/>
    </w:lvl>
    <w:lvl w:ilvl="8" w:tplc="4A0E8786">
      <w:numFmt w:val="decimal"/>
      <w:lvlText w:val=""/>
      <w:lvlJc w:val="left"/>
    </w:lvl>
  </w:abstractNum>
  <w:abstractNum w:abstractNumId="712" w15:restartNumberingAfterBreak="0">
    <w:nsid w:val="000064B7"/>
    <w:multiLevelType w:val="hybridMultilevel"/>
    <w:tmpl w:val="1C80C428"/>
    <w:lvl w:ilvl="0" w:tplc="D06656EC">
      <w:start w:val="1"/>
      <w:numFmt w:val="decimal"/>
      <w:lvlText w:val="%1"/>
      <w:lvlJc w:val="left"/>
    </w:lvl>
    <w:lvl w:ilvl="1" w:tplc="F4A27458">
      <w:start w:val="1"/>
      <w:numFmt w:val="lowerLetter"/>
      <w:lvlText w:val="%2"/>
      <w:lvlJc w:val="left"/>
    </w:lvl>
    <w:lvl w:ilvl="2" w:tplc="D8FCE99E">
      <w:start w:val="1"/>
      <w:numFmt w:val="decimal"/>
      <w:lvlText w:val="%3."/>
      <w:lvlJc w:val="left"/>
    </w:lvl>
    <w:lvl w:ilvl="3" w:tplc="DF986B58">
      <w:start w:val="1"/>
      <w:numFmt w:val="lowerLetter"/>
      <w:lvlText w:val="%4."/>
      <w:lvlJc w:val="left"/>
    </w:lvl>
    <w:lvl w:ilvl="4" w:tplc="833062B8">
      <w:numFmt w:val="decimal"/>
      <w:lvlText w:val=""/>
      <w:lvlJc w:val="left"/>
    </w:lvl>
    <w:lvl w:ilvl="5" w:tplc="AD6461C0">
      <w:numFmt w:val="decimal"/>
      <w:lvlText w:val=""/>
      <w:lvlJc w:val="left"/>
    </w:lvl>
    <w:lvl w:ilvl="6" w:tplc="586EE3FE">
      <w:numFmt w:val="decimal"/>
      <w:lvlText w:val=""/>
      <w:lvlJc w:val="left"/>
    </w:lvl>
    <w:lvl w:ilvl="7" w:tplc="23EA0B9A">
      <w:numFmt w:val="decimal"/>
      <w:lvlText w:val=""/>
      <w:lvlJc w:val="left"/>
    </w:lvl>
    <w:lvl w:ilvl="8" w:tplc="8BDE4B82">
      <w:numFmt w:val="decimal"/>
      <w:lvlText w:val=""/>
      <w:lvlJc w:val="left"/>
    </w:lvl>
  </w:abstractNum>
  <w:abstractNum w:abstractNumId="713" w15:restartNumberingAfterBreak="0">
    <w:nsid w:val="000064E4"/>
    <w:multiLevelType w:val="hybridMultilevel"/>
    <w:tmpl w:val="E5E074CC"/>
    <w:lvl w:ilvl="0" w:tplc="53F0B56C">
      <w:start w:val="1"/>
      <w:numFmt w:val="decimal"/>
      <w:lvlText w:val="%1"/>
      <w:lvlJc w:val="left"/>
    </w:lvl>
    <w:lvl w:ilvl="1" w:tplc="A3FC9918">
      <w:start w:val="2"/>
      <w:numFmt w:val="lowerLetter"/>
      <w:lvlText w:val="%2."/>
      <w:lvlJc w:val="left"/>
    </w:lvl>
    <w:lvl w:ilvl="2" w:tplc="B6B6107E">
      <w:numFmt w:val="decimal"/>
      <w:lvlText w:val=""/>
      <w:lvlJc w:val="left"/>
    </w:lvl>
    <w:lvl w:ilvl="3" w:tplc="2C4CC42A">
      <w:numFmt w:val="decimal"/>
      <w:lvlText w:val=""/>
      <w:lvlJc w:val="left"/>
    </w:lvl>
    <w:lvl w:ilvl="4" w:tplc="F2CADF48">
      <w:numFmt w:val="decimal"/>
      <w:lvlText w:val=""/>
      <w:lvlJc w:val="left"/>
    </w:lvl>
    <w:lvl w:ilvl="5" w:tplc="7FAA3FF8">
      <w:numFmt w:val="decimal"/>
      <w:lvlText w:val=""/>
      <w:lvlJc w:val="left"/>
    </w:lvl>
    <w:lvl w:ilvl="6" w:tplc="6296A348">
      <w:numFmt w:val="decimal"/>
      <w:lvlText w:val=""/>
      <w:lvlJc w:val="left"/>
    </w:lvl>
    <w:lvl w:ilvl="7" w:tplc="6C767A80">
      <w:numFmt w:val="decimal"/>
      <w:lvlText w:val=""/>
      <w:lvlJc w:val="left"/>
    </w:lvl>
    <w:lvl w:ilvl="8" w:tplc="25823290">
      <w:numFmt w:val="decimal"/>
      <w:lvlText w:val=""/>
      <w:lvlJc w:val="left"/>
    </w:lvl>
  </w:abstractNum>
  <w:abstractNum w:abstractNumId="714" w15:restartNumberingAfterBreak="0">
    <w:nsid w:val="00006548"/>
    <w:multiLevelType w:val="hybridMultilevel"/>
    <w:tmpl w:val="244E1B60"/>
    <w:lvl w:ilvl="0" w:tplc="71AAEAC8">
      <w:start w:val="5"/>
      <w:numFmt w:val="lowerLetter"/>
      <w:lvlText w:val="(%1)"/>
      <w:lvlJc w:val="left"/>
    </w:lvl>
    <w:lvl w:ilvl="1" w:tplc="7B365F7C">
      <w:start w:val="1"/>
      <w:numFmt w:val="decimal"/>
      <w:lvlText w:val="%2."/>
      <w:lvlJc w:val="left"/>
    </w:lvl>
    <w:lvl w:ilvl="2" w:tplc="9D36BA8E">
      <w:start w:val="1"/>
      <w:numFmt w:val="lowerLetter"/>
      <w:lvlText w:val="%3."/>
      <w:lvlJc w:val="left"/>
    </w:lvl>
    <w:lvl w:ilvl="3" w:tplc="7C9269AA">
      <w:numFmt w:val="decimal"/>
      <w:lvlText w:val=""/>
      <w:lvlJc w:val="left"/>
    </w:lvl>
    <w:lvl w:ilvl="4" w:tplc="0AEA2954">
      <w:numFmt w:val="decimal"/>
      <w:lvlText w:val=""/>
      <w:lvlJc w:val="left"/>
    </w:lvl>
    <w:lvl w:ilvl="5" w:tplc="E2103002">
      <w:numFmt w:val="decimal"/>
      <w:lvlText w:val=""/>
      <w:lvlJc w:val="left"/>
    </w:lvl>
    <w:lvl w:ilvl="6" w:tplc="0D3E6C92">
      <w:numFmt w:val="decimal"/>
      <w:lvlText w:val=""/>
      <w:lvlJc w:val="left"/>
    </w:lvl>
    <w:lvl w:ilvl="7" w:tplc="9662D784">
      <w:numFmt w:val="decimal"/>
      <w:lvlText w:val=""/>
      <w:lvlJc w:val="left"/>
    </w:lvl>
    <w:lvl w:ilvl="8" w:tplc="6EA89EC2">
      <w:numFmt w:val="decimal"/>
      <w:lvlText w:val=""/>
      <w:lvlJc w:val="left"/>
    </w:lvl>
  </w:abstractNum>
  <w:abstractNum w:abstractNumId="715" w15:restartNumberingAfterBreak="0">
    <w:nsid w:val="000065A5"/>
    <w:multiLevelType w:val="hybridMultilevel"/>
    <w:tmpl w:val="700AAAB4"/>
    <w:lvl w:ilvl="0" w:tplc="6A4C7682">
      <w:start w:val="2"/>
      <w:numFmt w:val="lowerLetter"/>
      <w:lvlText w:val="(%1)"/>
      <w:lvlJc w:val="left"/>
    </w:lvl>
    <w:lvl w:ilvl="1" w:tplc="DC66DD30">
      <w:numFmt w:val="decimal"/>
      <w:lvlText w:val=""/>
      <w:lvlJc w:val="left"/>
    </w:lvl>
    <w:lvl w:ilvl="2" w:tplc="18665F56">
      <w:numFmt w:val="decimal"/>
      <w:lvlText w:val=""/>
      <w:lvlJc w:val="left"/>
    </w:lvl>
    <w:lvl w:ilvl="3" w:tplc="023023AE">
      <w:numFmt w:val="decimal"/>
      <w:lvlText w:val=""/>
      <w:lvlJc w:val="left"/>
    </w:lvl>
    <w:lvl w:ilvl="4" w:tplc="2F788826">
      <w:numFmt w:val="decimal"/>
      <w:lvlText w:val=""/>
      <w:lvlJc w:val="left"/>
    </w:lvl>
    <w:lvl w:ilvl="5" w:tplc="95880E16">
      <w:numFmt w:val="decimal"/>
      <w:lvlText w:val=""/>
      <w:lvlJc w:val="left"/>
    </w:lvl>
    <w:lvl w:ilvl="6" w:tplc="AF7843FC">
      <w:numFmt w:val="decimal"/>
      <w:lvlText w:val=""/>
      <w:lvlJc w:val="left"/>
    </w:lvl>
    <w:lvl w:ilvl="7" w:tplc="8FA8C3BC">
      <w:numFmt w:val="decimal"/>
      <w:lvlText w:val=""/>
      <w:lvlJc w:val="left"/>
    </w:lvl>
    <w:lvl w:ilvl="8" w:tplc="85BCDC3A">
      <w:numFmt w:val="decimal"/>
      <w:lvlText w:val=""/>
      <w:lvlJc w:val="left"/>
    </w:lvl>
  </w:abstractNum>
  <w:abstractNum w:abstractNumId="716" w15:restartNumberingAfterBreak="0">
    <w:nsid w:val="000065AF"/>
    <w:multiLevelType w:val="hybridMultilevel"/>
    <w:tmpl w:val="2A462372"/>
    <w:lvl w:ilvl="0" w:tplc="21040644">
      <w:start w:val="1"/>
      <w:numFmt w:val="lowerLetter"/>
      <w:lvlText w:val="%1."/>
      <w:lvlJc w:val="left"/>
    </w:lvl>
    <w:lvl w:ilvl="1" w:tplc="A09CEA28">
      <w:numFmt w:val="decimal"/>
      <w:lvlText w:val=""/>
      <w:lvlJc w:val="left"/>
    </w:lvl>
    <w:lvl w:ilvl="2" w:tplc="9E6C3E28">
      <w:numFmt w:val="decimal"/>
      <w:lvlText w:val=""/>
      <w:lvlJc w:val="left"/>
    </w:lvl>
    <w:lvl w:ilvl="3" w:tplc="DBCCD6D4">
      <w:numFmt w:val="decimal"/>
      <w:lvlText w:val=""/>
      <w:lvlJc w:val="left"/>
    </w:lvl>
    <w:lvl w:ilvl="4" w:tplc="1A4E954C">
      <w:numFmt w:val="decimal"/>
      <w:lvlText w:val=""/>
      <w:lvlJc w:val="left"/>
    </w:lvl>
    <w:lvl w:ilvl="5" w:tplc="FCDC100A">
      <w:numFmt w:val="decimal"/>
      <w:lvlText w:val=""/>
      <w:lvlJc w:val="left"/>
    </w:lvl>
    <w:lvl w:ilvl="6" w:tplc="C324D3DC">
      <w:numFmt w:val="decimal"/>
      <w:lvlText w:val=""/>
      <w:lvlJc w:val="left"/>
    </w:lvl>
    <w:lvl w:ilvl="7" w:tplc="15A48A80">
      <w:numFmt w:val="decimal"/>
      <w:lvlText w:val=""/>
      <w:lvlJc w:val="left"/>
    </w:lvl>
    <w:lvl w:ilvl="8" w:tplc="BB8218AC">
      <w:numFmt w:val="decimal"/>
      <w:lvlText w:val=""/>
      <w:lvlJc w:val="left"/>
    </w:lvl>
  </w:abstractNum>
  <w:abstractNum w:abstractNumId="717" w15:restartNumberingAfterBreak="0">
    <w:nsid w:val="000065C0"/>
    <w:multiLevelType w:val="hybridMultilevel"/>
    <w:tmpl w:val="7CE28B94"/>
    <w:lvl w:ilvl="0" w:tplc="2F12274A">
      <w:start w:val="1"/>
      <w:numFmt w:val="decimal"/>
      <w:lvlText w:val="%1."/>
      <w:lvlJc w:val="left"/>
    </w:lvl>
    <w:lvl w:ilvl="1" w:tplc="A9AA56CA">
      <w:numFmt w:val="decimal"/>
      <w:lvlText w:val=""/>
      <w:lvlJc w:val="left"/>
    </w:lvl>
    <w:lvl w:ilvl="2" w:tplc="EB629678">
      <w:numFmt w:val="decimal"/>
      <w:lvlText w:val=""/>
      <w:lvlJc w:val="left"/>
    </w:lvl>
    <w:lvl w:ilvl="3" w:tplc="E6A6F98C">
      <w:numFmt w:val="decimal"/>
      <w:lvlText w:val=""/>
      <w:lvlJc w:val="left"/>
    </w:lvl>
    <w:lvl w:ilvl="4" w:tplc="1C9A8348">
      <w:numFmt w:val="decimal"/>
      <w:lvlText w:val=""/>
      <w:lvlJc w:val="left"/>
    </w:lvl>
    <w:lvl w:ilvl="5" w:tplc="FEDABC9A">
      <w:numFmt w:val="decimal"/>
      <w:lvlText w:val=""/>
      <w:lvlJc w:val="left"/>
    </w:lvl>
    <w:lvl w:ilvl="6" w:tplc="17069AF8">
      <w:numFmt w:val="decimal"/>
      <w:lvlText w:val=""/>
      <w:lvlJc w:val="left"/>
    </w:lvl>
    <w:lvl w:ilvl="7" w:tplc="A6D6CE64">
      <w:numFmt w:val="decimal"/>
      <w:lvlText w:val=""/>
      <w:lvlJc w:val="left"/>
    </w:lvl>
    <w:lvl w:ilvl="8" w:tplc="74681A70">
      <w:numFmt w:val="decimal"/>
      <w:lvlText w:val=""/>
      <w:lvlJc w:val="left"/>
    </w:lvl>
  </w:abstractNum>
  <w:abstractNum w:abstractNumId="718" w15:restartNumberingAfterBreak="0">
    <w:nsid w:val="000065C4"/>
    <w:multiLevelType w:val="hybridMultilevel"/>
    <w:tmpl w:val="E6501600"/>
    <w:lvl w:ilvl="0" w:tplc="84F8C442">
      <w:start w:val="1"/>
      <w:numFmt w:val="decimal"/>
      <w:lvlText w:val="%1"/>
      <w:lvlJc w:val="left"/>
    </w:lvl>
    <w:lvl w:ilvl="1" w:tplc="9FBA49C4">
      <w:start w:val="2"/>
      <w:numFmt w:val="lowerLetter"/>
      <w:lvlText w:val="(%2)"/>
      <w:lvlJc w:val="left"/>
    </w:lvl>
    <w:lvl w:ilvl="2" w:tplc="75B8A3F2">
      <w:start w:val="1"/>
      <w:numFmt w:val="decimal"/>
      <w:lvlText w:val="%3."/>
      <w:lvlJc w:val="left"/>
    </w:lvl>
    <w:lvl w:ilvl="3" w:tplc="FB324B10">
      <w:start w:val="1"/>
      <w:numFmt w:val="lowerLetter"/>
      <w:lvlText w:val="%4"/>
      <w:lvlJc w:val="left"/>
    </w:lvl>
    <w:lvl w:ilvl="4" w:tplc="23F8658A">
      <w:numFmt w:val="decimal"/>
      <w:lvlText w:val=""/>
      <w:lvlJc w:val="left"/>
    </w:lvl>
    <w:lvl w:ilvl="5" w:tplc="C0D2DFA4">
      <w:numFmt w:val="decimal"/>
      <w:lvlText w:val=""/>
      <w:lvlJc w:val="left"/>
    </w:lvl>
    <w:lvl w:ilvl="6" w:tplc="186C5752">
      <w:numFmt w:val="decimal"/>
      <w:lvlText w:val=""/>
      <w:lvlJc w:val="left"/>
    </w:lvl>
    <w:lvl w:ilvl="7" w:tplc="570CBDDC">
      <w:numFmt w:val="decimal"/>
      <w:lvlText w:val=""/>
      <w:lvlJc w:val="left"/>
    </w:lvl>
    <w:lvl w:ilvl="8" w:tplc="17DA7224">
      <w:numFmt w:val="decimal"/>
      <w:lvlText w:val=""/>
      <w:lvlJc w:val="left"/>
    </w:lvl>
  </w:abstractNum>
  <w:abstractNum w:abstractNumId="719" w15:restartNumberingAfterBreak="0">
    <w:nsid w:val="000065CF"/>
    <w:multiLevelType w:val="hybridMultilevel"/>
    <w:tmpl w:val="C0F02E92"/>
    <w:lvl w:ilvl="0" w:tplc="0D46B97E">
      <w:start w:val="5"/>
      <w:numFmt w:val="lowerLetter"/>
      <w:lvlText w:val="(%1)"/>
      <w:lvlJc w:val="left"/>
    </w:lvl>
    <w:lvl w:ilvl="1" w:tplc="9E4419AC">
      <w:start w:val="1"/>
      <w:numFmt w:val="decimal"/>
      <w:lvlText w:val="%2."/>
      <w:lvlJc w:val="left"/>
    </w:lvl>
    <w:lvl w:ilvl="2" w:tplc="652A522E">
      <w:start w:val="1"/>
      <w:numFmt w:val="lowerLetter"/>
      <w:lvlText w:val="%3"/>
      <w:lvlJc w:val="left"/>
    </w:lvl>
    <w:lvl w:ilvl="3" w:tplc="10DC0900">
      <w:numFmt w:val="decimal"/>
      <w:lvlText w:val=""/>
      <w:lvlJc w:val="left"/>
    </w:lvl>
    <w:lvl w:ilvl="4" w:tplc="945C250C">
      <w:numFmt w:val="decimal"/>
      <w:lvlText w:val=""/>
      <w:lvlJc w:val="left"/>
    </w:lvl>
    <w:lvl w:ilvl="5" w:tplc="7F0EABE8">
      <w:numFmt w:val="decimal"/>
      <w:lvlText w:val=""/>
      <w:lvlJc w:val="left"/>
    </w:lvl>
    <w:lvl w:ilvl="6" w:tplc="913C2EA2">
      <w:numFmt w:val="decimal"/>
      <w:lvlText w:val=""/>
      <w:lvlJc w:val="left"/>
    </w:lvl>
    <w:lvl w:ilvl="7" w:tplc="6C1AB198">
      <w:numFmt w:val="decimal"/>
      <w:lvlText w:val=""/>
      <w:lvlJc w:val="left"/>
    </w:lvl>
    <w:lvl w:ilvl="8" w:tplc="9B5CABF0">
      <w:numFmt w:val="decimal"/>
      <w:lvlText w:val=""/>
      <w:lvlJc w:val="left"/>
    </w:lvl>
  </w:abstractNum>
  <w:abstractNum w:abstractNumId="720" w15:restartNumberingAfterBreak="0">
    <w:nsid w:val="0000660A"/>
    <w:multiLevelType w:val="hybridMultilevel"/>
    <w:tmpl w:val="B8EE3804"/>
    <w:lvl w:ilvl="0" w:tplc="57142910">
      <w:start w:val="1"/>
      <w:numFmt w:val="lowerLetter"/>
      <w:lvlText w:val="%1"/>
      <w:lvlJc w:val="left"/>
    </w:lvl>
    <w:lvl w:ilvl="1" w:tplc="A846F542">
      <w:start w:val="2"/>
      <w:numFmt w:val="decimal"/>
      <w:lvlText w:val="%2."/>
      <w:lvlJc w:val="left"/>
    </w:lvl>
    <w:lvl w:ilvl="2" w:tplc="97B8119E">
      <w:start w:val="1"/>
      <w:numFmt w:val="lowerLetter"/>
      <w:lvlText w:val="%3"/>
      <w:lvlJc w:val="left"/>
    </w:lvl>
    <w:lvl w:ilvl="3" w:tplc="2312ACE6">
      <w:start w:val="1"/>
      <w:numFmt w:val="lowerRoman"/>
      <w:lvlText w:val="%4"/>
      <w:lvlJc w:val="left"/>
    </w:lvl>
    <w:lvl w:ilvl="4" w:tplc="6318F086">
      <w:numFmt w:val="decimal"/>
      <w:lvlText w:val=""/>
      <w:lvlJc w:val="left"/>
    </w:lvl>
    <w:lvl w:ilvl="5" w:tplc="C83A0866">
      <w:numFmt w:val="decimal"/>
      <w:lvlText w:val=""/>
      <w:lvlJc w:val="left"/>
    </w:lvl>
    <w:lvl w:ilvl="6" w:tplc="9E5E2D1C">
      <w:numFmt w:val="decimal"/>
      <w:lvlText w:val=""/>
      <w:lvlJc w:val="left"/>
    </w:lvl>
    <w:lvl w:ilvl="7" w:tplc="DD48A7A6">
      <w:numFmt w:val="decimal"/>
      <w:lvlText w:val=""/>
      <w:lvlJc w:val="left"/>
    </w:lvl>
    <w:lvl w:ilvl="8" w:tplc="F4E69CC8">
      <w:numFmt w:val="decimal"/>
      <w:lvlText w:val=""/>
      <w:lvlJc w:val="left"/>
    </w:lvl>
  </w:abstractNum>
  <w:abstractNum w:abstractNumId="721" w15:restartNumberingAfterBreak="0">
    <w:nsid w:val="0000666E"/>
    <w:multiLevelType w:val="hybridMultilevel"/>
    <w:tmpl w:val="0100BB98"/>
    <w:lvl w:ilvl="0" w:tplc="6D3290C6">
      <w:start w:val="8"/>
      <w:numFmt w:val="decimal"/>
      <w:lvlText w:val="(%1)"/>
      <w:lvlJc w:val="left"/>
    </w:lvl>
    <w:lvl w:ilvl="1" w:tplc="6B341008">
      <w:start w:val="1"/>
      <w:numFmt w:val="lowerLetter"/>
      <w:lvlText w:val="(%2)"/>
      <w:lvlJc w:val="left"/>
    </w:lvl>
    <w:lvl w:ilvl="2" w:tplc="5B682CE0">
      <w:start w:val="1"/>
      <w:numFmt w:val="decimal"/>
      <w:lvlText w:val="%3."/>
      <w:lvlJc w:val="left"/>
    </w:lvl>
    <w:lvl w:ilvl="3" w:tplc="FA04FCD8">
      <w:start w:val="1"/>
      <w:numFmt w:val="lowerLetter"/>
      <w:lvlText w:val="%4."/>
      <w:lvlJc w:val="left"/>
    </w:lvl>
    <w:lvl w:ilvl="4" w:tplc="9E106E0C">
      <w:numFmt w:val="decimal"/>
      <w:lvlText w:val=""/>
      <w:lvlJc w:val="left"/>
    </w:lvl>
    <w:lvl w:ilvl="5" w:tplc="20303E9E">
      <w:numFmt w:val="decimal"/>
      <w:lvlText w:val=""/>
      <w:lvlJc w:val="left"/>
    </w:lvl>
    <w:lvl w:ilvl="6" w:tplc="A7D64E68">
      <w:numFmt w:val="decimal"/>
      <w:lvlText w:val=""/>
      <w:lvlJc w:val="left"/>
    </w:lvl>
    <w:lvl w:ilvl="7" w:tplc="58761434">
      <w:numFmt w:val="decimal"/>
      <w:lvlText w:val=""/>
      <w:lvlJc w:val="left"/>
    </w:lvl>
    <w:lvl w:ilvl="8" w:tplc="53B84F6E">
      <w:numFmt w:val="decimal"/>
      <w:lvlText w:val=""/>
      <w:lvlJc w:val="left"/>
    </w:lvl>
  </w:abstractNum>
  <w:abstractNum w:abstractNumId="722" w15:restartNumberingAfterBreak="0">
    <w:nsid w:val="0000668D"/>
    <w:multiLevelType w:val="hybridMultilevel"/>
    <w:tmpl w:val="EE3E5E0A"/>
    <w:lvl w:ilvl="0" w:tplc="067C2B20">
      <w:start w:val="1"/>
      <w:numFmt w:val="decimal"/>
      <w:lvlText w:val="%1"/>
      <w:lvlJc w:val="left"/>
    </w:lvl>
    <w:lvl w:ilvl="1" w:tplc="BAFA8834">
      <w:start w:val="1"/>
      <w:numFmt w:val="lowerLetter"/>
      <w:lvlText w:val="%2"/>
      <w:lvlJc w:val="left"/>
    </w:lvl>
    <w:lvl w:ilvl="2" w:tplc="B2A05688">
      <w:start w:val="4"/>
      <w:numFmt w:val="decimal"/>
      <w:lvlText w:val="%3."/>
      <w:lvlJc w:val="left"/>
    </w:lvl>
    <w:lvl w:ilvl="3" w:tplc="F6EC7BE4">
      <w:start w:val="1"/>
      <w:numFmt w:val="lowerLetter"/>
      <w:lvlText w:val="%4"/>
      <w:lvlJc w:val="left"/>
    </w:lvl>
    <w:lvl w:ilvl="4" w:tplc="73AC27C8">
      <w:numFmt w:val="decimal"/>
      <w:lvlText w:val=""/>
      <w:lvlJc w:val="left"/>
    </w:lvl>
    <w:lvl w:ilvl="5" w:tplc="AC5A7ABC">
      <w:numFmt w:val="decimal"/>
      <w:lvlText w:val=""/>
      <w:lvlJc w:val="left"/>
    </w:lvl>
    <w:lvl w:ilvl="6" w:tplc="FBE63918">
      <w:numFmt w:val="decimal"/>
      <w:lvlText w:val=""/>
      <w:lvlJc w:val="left"/>
    </w:lvl>
    <w:lvl w:ilvl="7" w:tplc="95068064">
      <w:numFmt w:val="decimal"/>
      <w:lvlText w:val=""/>
      <w:lvlJc w:val="left"/>
    </w:lvl>
    <w:lvl w:ilvl="8" w:tplc="FC2E2F4A">
      <w:numFmt w:val="decimal"/>
      <w:lvlText w:val=""/>
      <w:lvlJc w:val="left"/>
    </w:lvl>
  </w:abstractNum>
  <w:abstractNum w:abstractNumId="723" w15:restartNumberingAfterBreak="0">
    <w:nsid w:val="0000669C"/>
    <w:multiLevelType w:val="hybridMultilevel"/>
    <w:tmpl w:val="EB769254"/>
    <w:lvl w:ilvl="0" w:tplc="468A9E00">
      <w:start w:val="1"/>
      <w:numFmt w:val="lowerLetter"/>
      <w:lvlText w:val="%1"/>
      <w:lvlJc w:val="left"/>
    </w:lvl>
    <w:lvl w:ilvl="1" w:tplc="D96E0612">
      <w:start w:val="1"/>
      <w:numFmt w:val="decimal"/>
      <w:lvlText w:val="%2"/>
      <w:lvlJc w:val="left"/>
    </w:lvl>
    <w:lvl w:ilvl="2" w:tplc="5EF0BB48">
      <w:start w:val="3"/>
      <w:numFmt w:val="lowerLetter"/>
      <w:lvlText w:val="%3."/>
      <w:lvlJc w:val="left"/>
    </w:lvl>
    <w:lvl w:ilvl="3" w:tplc="3548902E">
      <w:numFmt w:val="decimal"/>
      <w:lvlText w:val=""/>
      <w:lvlJc w:val="left"/>
    </w:lvl>
    <w:lvl w:ilvl="4" w:tplc="C074B2E2">
      <w:numFmt w:val="decimal"/>
      <w:lvlText w:val=""/>
      <w:lvlJc w:val="left"/>
    </w:lvl>
    <w:lvl w:ilvl="5" w:tplc="24DC6CAA">
      <w:numFmt w:val="decimal"/>
      <w:lvlText w:val=""/>
      <w:lvlJc w:val="left"/>
    </w:lvl>
    <w:lvl w:ilvl="6" w:tplc="34C0057E">
      <w:numFmt w:val="decimal"/>
      <w:lvlText w:val=""/>
      <w:lvlJc w:val="left"/>
    </w:lvl>
    <w:lvl w:ilvl="7" w:tplc="2A72DD7A">
      <w:numFmt w:val="decimal"/>
      <w:lvlText w:val=""/>
      <w:lvlJc w:val="left"/>
    </w:lvl>
    <w:lvl w:ilvl="8" w:tplc="0D442522">
      <w:numFmt w:val="decimal"/>
      <w:lvlText w:val=""/>
      <w:lvlJc w:val="left"/>
    </w:lvl>
  </w:abstractNum>
  <w:abstractNum w:abstractNumId="724" w15:restartNumberingAfterBreak="0">
    <w:nsid w:val="000066FB"/>
    <w:multiLevelType w:val="hybridMultilevel"/>
    <w:tmpl w:val="6434A4CC"/>
    <w:lvl w:ilvl="0" w:tplc="C01EBDBC">
      <w:start w:val="1"/>
      <w:numFmt w:val="decimal"/>
      <w:lvlText w:val="%1"/>
      <w:lvlJc w:val="left"/>
    </w:lvl>
    <w:lvl w:ilvl="1" w:tplc="8DB26B92">
      <w:start w:val="2"/>
      <w:numFmt w:val="lowerLetter"/>
      <w:lvlText w:val="(%2)"/>
      <w:lvlJc w:val="left"/>
    </w:lvl>
    <w:lvl w:ilvl="2" w:tplc="4FB8B026">
      <w:start w:val="1"/>
      <w:numFmt w:val="decimal"/>
      <w:lvlText w:val="%3."/>
      <w:lvlJc w:val="left"/>
    </w:lvl>
    <w:lvl w:ilvl="3" w:tplc="45508B32">
      <w:numFmt w:val="decimal"/>
      <w:lvlText w:val=""/>
      <w:lvlJc w:val="left"/>
    </w:lvl>
    <w:lvl w:ilvl="4" w:tplc="8D84A6EA">
      <w:numFmt w:val="decimal"/>
      <w:lvlText w:val=""/>
      <w:lvlJc w:val="left"/>
    </w:lvl>
    <w:lvl w:ilvl="5" w:tplc="ED380FE0">
      <w:numFmt w:val="decimal"/>
      <w:lvlText w:val=""/>
      <w:lvlJc w:val="left"/>
    </w:lvl>
    <w:lvl w:ilvl="6" w:tplc="4E4C3FA4">
      <w:numFmt w:val="decimal"/>
      <w:lvlText w:val=""/>
      <w:lvlJc w:val="left"/>
    </w:lvl>
    <w:lvl w:ilvl="7" w:tplc="F6ACED82">
      <w:numFmt w:val="decimal"/>
      <w:lvlText w:val=""/>
      <w:lvlJc w:val="left"/>
    </w:lvl>
    <w:lvl w:ilvl="8" w:tplc="2304CD80">
      <w:numFmt w:val="decimal"/>
      <w:lvlText w:val=""/>
      <w:lvlJc w:val="left"/>
    </w:lvl>
  </w:abstractNum>
  <w:abstractNum w:abstractNumId="725" w15:restartNumberingAfterBreak="0">
    <w:nsid w:val="00006737"/>
    <w:multiLevelType w:val="hybridMultilevel"/>
    <w:tmpl w:val="41525B4A"/>
    <w:lvl w:ilvl="0" w:tplc="C0AAD560">
      <w:start w:val="15"/>
      <w:numFmt w:val="decimal"/>
      <w:lvlText w:val="(%1)"/>
      <w:lvlJc w:val="left"/>
    </w:lvl>
    <w:lvl w:ilvl="1" w:tplc="7114706E">
      <w:start w:val="1"/>
      <w:numFmt w:val="lowerLetter"/>
      <w:lvlText w:val="(%2)"/>
      <w:lvlJc w:val="left"/>
    </w:lvl>
    <w:lvl w:ilvl="2" w:tplc="942846B2">
      <w:start w:val="1"/>
      <w:numFmt w:val="decimal"/>
      <w:lvlText w:val="%3."/>
      <w:lvlJc w:val="left"/>
    </w:lvl>
    <w:lvl w:ilvl="3" w:tplc="6F707A44">
      <w:start w:val="1"/>
      <w:numFmt w:val="lowerLetter"/>
      <w:lvlText w:val="%4"/>
      <w:lvlJc w:val="left"/>
    </w:lvl>
    <w:lvl w:ilvl="4" w:tplc="F7AE6952">
      <w:numFmt w:val="decimal"/>
      <w:lvlText w:val=""/>
      <w:lvlJc w:val="left"/>
    </w:lvl>
    <w:lvl w:ilvl="5" w:tplc="D728B658">
      <w:numFmt w:val="decimal"/>
      <w:lvlText w:val=""/>
      <w:lvlJc w:val="left"/>
    </w:lvl>
    <w:lvl w:ilvl="6" w:tplc="D0A86E38">
      <w:numFmt w:val="decimal"/>
      <w:lvlText w:val=""/>
      <w:lvlJc w:val="left"/>
    </w:lvl>
    <w:lvl w:ilvl="7" w:tplc="FCC0E760">
      <w:numFmt w:val="decimal"/>
      <w:lvlText w:val=""/>
      <w:lvlJc w:val="left"/>
    </w:lvl>
    <w:lvl w:ilvl="8" w:tplc="E32A733C">
      <w:numFmt w:val="decimal"/>
      <w:lvlText w:val=""/>
      <w:lvlJc w:val="left"/>
    </w:lvl>
  </w:abstractNum>
  <w:abstractNum w:abstractNumId="726" w15:restartNumberingAfterBreak="0">
    <w:nsid w:val="0000673F"/>
    <w:multiLevelType w:val="hybridMultilevel"/>
    <w:tmpl w:val="4498EBFC"/>
    <w:lvl w:ilvl="0" w:tplc="BA5E1AEA">
      <w:start w:val="1"/>
      <w:numFmt w:val="decimal"/>
      <w:lvlText w:val="%1"/>
      <w:lvlJc w:val="left"/>
    </w:lvl>
    <w:lvl w:ilvl="1" w:tplc="DF647A52">
      <w:start w:val="1"/>
      <w:numFmt w:val="lowerLetter"/>
      <w:lvlText w:val="%2"/>
      <w:lvlJc w:val="left"/>
    </w:lvl>
    <w:lvl w:ilvl="2" w:tplc="101C6920">
      <w:start w:val="3"/>
      <w:numFmt w:val="decimal"/>
      <w:lvlText w:val="%3."/>
      <w:lvlJc w:val="left"/>
    </w:lvl>
    <w:lvl w:ilvl="3" w:tplc="4844BBA6">
      <w:start w:val="1"/>
      <w:numFmt w:val="lowerLetter"/>
      <w:lvlText w:val="%4"/>
      <w:lvlJc w:val="left"/>
    </w:lvl>
    <w:lvl w:ilvl="4" w:tplc="714614C8">
      <w:numFmt w:val="decimal"/>
      <w:lvlText w:val=""/>
      <w:lvlJc w:val="left"/>
    </w:lvl>
    <w:lvl w:ilvl="5" w:tplc="7E481A44">
      <w:numFmt w:val="decimal"/>
      <w:lvlText w:val=""/>
      <w:lvlJc w:val="left"/>
    </w:lvl>
    <w:lvl w:ilvl="6" w:tplc="1C4E6630">
      <w:numFmt w:val="decimal"/>
      <w:lvlText w:val=""/>
      <w:lvlJc w:val="left"/>
    </w:lvl>
    <w:lvl w:ilvl="7" w:tplc="B8FE5BCC">
      <w:numFmt w:val="decimal"/>
      <w:lvlText w:val=""/>
      <w:lvlJc w:val="left"/>
    </w:lvl>
    <w:lvl w:ilvl="8" w:tplc="FC9C78CC">
      <w:numFmt w:val="decimal"/>
      <w:lvlText w:val=""/>
      <w:lvlJc w:val="left"/>
    </w:lvl>
  </w:abstractNum>
  <w:abstractNum w:abstractNumId="727" w15:restartNumberingAfterBreak="0">
    <w:nsid w:val="00006742"/>
    <w:multiLevelType w:val="hybridMultilevel"/>
    <w:tmpl w:val="79F8B59C"/>
    <w:lvl w:ilvl="0" w:tplc="987C34EE">
      <w:start w:val="3"/>
      <w:numFmt w:val="lowerLetter"/>
      <w:lvlText w:val="(%1)"/>
      <w:lvlJc w:val="left"/>
    </w:lvl>
    <w:lvl w:ilvl="1" w:tplc="FA2AA8E2">
      <w:start w:val="1"/>
      <w:numFmt w:val="decimal"/>
      <w:lvlText w:val="%2"/>
      <w:lvlJc w:val="left"/>
    </w:lvl>
    <w:lvl w:ilvl="2" w:tplc="69B00008">
      <w:numFmt w:val="decimal"/>
      <w:lvlText w:val=""/>
      <w:lvlJc w:val="left"/>
    </w:lvl>
    <w:lvl w:ilvl="3" w:tplc="9A0C3734">
      <w:numFmt w:val="decimal"/>
      <w:lvlText w:val=""/>
      <w:lvlJc w:val="left"/>
    </w:lvl>
    <w:lvl w:ilvl="4" w:tplc="38822FE4">
      <w:numFmt w:val="decimal"/>
      <w:lvlText w:val=""/>
      <w:lvlJc w:val="left"/>
    </w:lvl>
    <w:lvl w:ilvl="5" w:tplc="9EF0C3CE">
      <w:numFmt w:val="decimal"/>
      <w:lvlText w:val=""/>
      <w:lvlJc w:val="left"/>
    </w:lvl>
    <w:lvl w:ilvl="6" w:tplc="3BE40084">
      <w:numFmt w:val="decimal"/>
      <w:lvlText w:val=""/>
      <w:lvlJc w:val="left"/>
    </w:lvl>
    <w:lvl w:ilvl="7" w:tplc="28EC5048">
      <w:numFmt w:val="decimal"/>
      <w:lvlText w:val=""/>
      <w:lvlJc w:val="left"/>
    </w:lvl>
    <w:lvl w:ilvl="8" w:tplc="38489E38">
      <w:numFmt w:val="decimal"/>
      <w:lvlText w:val=""/>
      <w:lvlJc w:val="left"/>
    </w:lvl>
  </w:abstractNum>
  <w:abstractNum w:abstractNumId="728" w15:restartNumberingAfterBreak="0">
    <w:nsid w:val="0000674B"/>
    <w:multiLevelType w:val="hybridMultilevel"/>
    <w:tmpl w:val="28604D28"/>
    <w:lvl w:ilvl="0" w:tplc="7A78B416">
      <w:start w:val="10"/>
      <w:numFmt w:val="decimal"/>
      <w:lvlText w:val="(%1)"/>
      <w:lvlJc w:val="left"/>
      <w:rPr>
        <w:i w:val="0"/>
        <w:iCs w:val="0"/>
        <w:color w:val="auto"/>
      </w:rPr>
    </w:lvl>
    <w:lvl w:ilvl="1" w:tplc="02FAB332">
      <w:start w:val="1"/>
      <w:numFmt w:val="lowerLetter"/>
      <w:lvlText w:val="%2"/>
      <w:lvlJc w:val="left"/>
    </w:lvl>
    <w:lvl w:ilvl="2" w:tplc="1998237A">
      <w:numFmt w:val="decimal"/>
      <w:lvlText w:val=""/>
      <w:lvlJc w:val="left"/>
    </w:lvl>
    <w:lvl w:ilvl="3" w:tplc="5098576A">
      <w:numFmt w:val="decimal"/>
      <w:lvlText w:val=""/>
      <w:lvlJc w:val="left"/>
    </w:lvl>
    <w:lvl w:ilvl="4" w:tplc="F1B0B302">
      <w:numFmt w:val="decimal"/>
      <w:lvlText w:val=""/>
      <w:lvlJc w:val="left"/>
    </w:lvl>
    <w:lvl w:ilvl="5" w:tplc="E8FA6E34">
      <w:numFmt w:val="decimal"/>
      <w:lvlText w:val=""/>
      <w:lvlJc w:val="left"/>
    </w:lvl>
    <w:lvl w:ilvl="6" w:tplc="55EE0E58">
      <w:numFmt w:val="decimal"/>
      <w:lvlText w:val=""/>
      <w:lvlJc w:val="left"/>
    </w:lvl>
    <w:lvl w:ilvl="7" w:tplc="A95E0878">
      <w:numFmt w:val="decimal"/>
      <w:lvlText w:val=""/>
      <w:lvlJc w:val="left"/>
    </w:lvl>
    <w:lvl w:ilvl="8" w:tplc="1FD47E6A">
      <w:numFmt w:val="decimal"/>
      <w:lvlText w:val=""/>
      <w:lvlJc w:val="left"/>
    </w:lvl>
  </w:abstractNum>
  <w:abstractNum w:abstractNumId="729" w15:restartNumberingAfterBreak="0">
    <w:nsid w:val="00006779"/>
    <w:multiLevelType w:val="hybridMultilevel"/>
    <w:tmpl w:val="B0B0D594"/>
    <w:lvl w:ilvl="0" w:tplc="4CBC5A50">
      <w:start w:val="1"/>
      <w:numFmt w:val="decimal"/>
      <w:lvlText w:val="%1"/>
      <w:lvlJc w:val="left"/>
    </w:lvl>
    <w:lvl w:ilvl="1" w:tplc="02CC8AC0">
      <w:start w:val="1"/>
      <w:numFmt w:val="lowerLetter"/>
      <w:lvlText w:val="%2"/>
      <w:lvlJc w:val="left"/>
    </w:lvl>
    <w:lvl w:ilvl="2" w:tplc="5EB6E68E">
      <w:start w:val="1"/>
      <w:numFmt w:val="decimal"/>
      <w:lvlText w:val="%3"/>
      <w:lvlJc w:val="left"/>
    </w:lvl>
    <w:lvl w:ilvl="3" w:tplc="9468E6A8">
      <w:start w:val="2"/>
      <w:numFmt w:val="lowerLetter"/>
      <w:lvlText w:val="%4."/>
      <w:lvlJc w:val="left"/>
    </w:lvl>
    <w:lvl w:ilvl="4" w:tplc="76DAE3B6">
      <w:numFmt w:val="decimal"/>
      <w:lvlText w:val=""/>
      <w:lvlJc w:val="left"/>
    </w:lvl>
    <w:lvl w:ilvl="5" w:tplc="7C08A87A">
      <w:numFmt w:val="decimal"/>
      <w:lvlText w:val=""/>
      <w:lvlJc w:val="left"/>
    </w:lvl>
    <w:lvl w:ilvl="6" w:tplc="F5B26A34">
      <w:numFmt w:val="decimal"/>
      <w:lvlText w:val=""/>
      <w:lvlJc w:val="left"/>
    </w:lvl>
    <w:lvl w:ilvl="7" w:tplc="EB7EF074">
      <w:numFmt w:val="decimal"/>
      <w:lvlText w:val=""/>
      <w:lvlJc w:val="left"/>
    </w:lvl>
    <w:lvl w:ilvl="8" w:tplc="4BC427EC">
      <w:numFmt w:val="decimal"/>
      <w:lvlText w:val=""/>
      <w:lvlJc w:val="left"/>
    </w:lvl>
  </w:abstractNum>
  <w:abstractNum w:abstractNumId="730" w15:restartNumberingAfterBreak="0">
    <w:nsid w:val="00006795"/>
    <w:multiLevelType w:val="hybridMultilevel"/>
    <w:tmpl w:val="99FE2014"/>
    <w:lvl w:ilvl="0" w:tplc="FEA831C6">
      <w:start w:val="1"/>
      <w:numFmt w:val="decimal"/>
      <w:lvlText w:val="%1."/>
      <w:lvlJc w:val="left"/>
    </w:lvl>
    <w:lvl w:ilvl="1" w:tplc="EAC42618">
      <w:numFmt w:val="decimal"/>
      <w:lvlText w:val=""/>
      <w:lvlJc w:val="left"/>
    </w:lvl>
    <w:lvl w:ilvl="2" w:tplc="AB6E4F16">
      <w:numFmt w:val="decimal"/>
      <w:lvlText w:val=""/>
      <w:lvlJc w:val="left"/>
    </w:lvl>
    <w:lvl w:ilvl="3" w:tplc="683C26A0">
      <w:numFmt w:val="decimal"/>
      <w:lvlText w:val=""/>
      <w:lvlJc w:val="left"/>
    </w:lvl>
    <w:lvl w:ilvl="4" w:tplc="275ECB2A">
      <w:numFmt w:val="decimal"/>
      <w:lvlText w:val=""/>
      <w:lvlJc w:val="left"/>
    </w:lvl>
    <w:lvl w:ilvl="5" w:tplc="BDB0B252">
      <w:numFmt w:val="decimal"/>
      <w:lvlText w:val=""/>
      <w:lvlJc w:val="left"/>
    </w:lvl>
    <w:lvl w:ilvl="6" w:tplc="91A8529E">
      <w:numFmt w:val="decimal"/>
      <w:lvlText w:val=""/>
      <w:lvlJc w:val="left"/>
    </w:lvl>
    <w:lvl w:ilvl="7" w:tplc="F62CBC86">
      <w:numFmt w:val="decimal"/>
      <w:lvlText w:val=""/>
      <w:lvlJc w:val="left"/>
    </w:lvl>
    <w:lvl w:ilvl="8" w:tplc="02945FF4">
      <w:numFmt w:val="decimal"/>
      <w:lvlText w:val=""/>
      <w:lvlJc w:val="left"/>
    </w:lvl>
  </w:abstractNum>
  <w:abstractNum w:abstractNumId="731" w15:restartNumberingAfterBreak="0">
    <w:nsid w:val="000067D2"/>
    <w:multiLevelType w:val="hybridMultilevel"/>
    <w:tmpl w:val="C220DAD8"/>
    <w:lvl w:ilvl="0" w:tplc="135CF172">
      <w:start w:val="1"/>
      <w:numFmt w:val="decimal"/>
      <w:lvlText w:val="%1"/>
      <w:lvlJc w:val="left"/>
    </w:lvl>
    <w:lvl w:ilvl="1" w:tplc="4688614C">
      <w:start w:val="1"/>
      <w:numFmt w:val="lowerRoman"/>
      <w:lvlText w:val="%2"/>
      <w:lvlJc w:val="left"/>
    </w:lvl>
    <w:lvl w:ilvl="2" w:tplc="0CFEAFA0">
      <w:start w:val="1"/>
      <w:numFmt w:val="lowerRoman"/>
      <w:lvlText w:val="%3"/>
      <w:lvlJc w:val="left"/>
    </w:lvl>
    <w:lvl w:ilvl="3" w:tplc="21260858">
      <w:start w:val="1"/>
      <w:numFmt w:val="lowerLetter"/>
      <w:lvlText w:val="%4"/>
      <w:lvlJc w:val="left"/>
    </w:lvl>
    <w:lvl w:ilvl="4" w:tplc="89841C1C">
      <w:numFmt w:val="decimal"/>
      <w:lvlText w:val=""/>
      <w:lvlJc w:val="left"/>
    </w:lvl>
    <w:lvl w:ilvl="5" w:tplc="9EB655DC">
      <w:numFmt w:val="decimal"/>
      <w:lvlText w:val=""/>
      <w:lvlJc w:val="left"/>
    </w:lvl>
    <w:lvl w:ilvl="6" w:tplc="320ED0CC">
      <w:numFmt w:val="decimal"/>
      <w:lvlText w:val=""/>
      <w:lvlJc w:val="left"/>
    </w:lvl>
    <w:lvl w:ilvl="7" w:tplc="C3EA74AE">
      <w:numFmt w:val="decimal"/>
      <w:lvlText w:val=""/>
      <w:lvlJc w:val="left"/>
    </w:lvl>
    <w:lvl w:ilvl="8" w:tplc="B7A49FB6">
      <w:numFmt w:val="decimal"/>
      <w:lvlText w:val=""/>
      <w:lvlJc w:val="left"/>
    </w:lvl>
  </w:abstractNum>
  <w:abstractNum w:abstractNumId="732" w15:restartNumberingAfterBreak="0">
    <w:nsid w:val="00006806"/>
    <w:multiLevelType w:val="hybridMultilevel"/>
    <w:tmpl w:val="78060B58"/>
    <w:lvl w:ilvl="0" w:tplc="A72A669A">
      <w:start w:val="1"/>
      <w:numFmt w:val="lowerLetter"/>
      <w:lvlText w:val="(%1)"/>
      <w:lvlJc w:val="left"/>
    </w:lvl>
    <w:lvl w:ilvl="1" w:tplc="888CED78">
      <w:start w:val="1"/>
      <w:numFmt w:val="decimal"/>
      <w:lvlText w:val="%2."/>
      <w:lvlJc w:val="left"/>
    </w:lvl>
    <w:lvl w:ilvl="2" w:tplc="CFA0BBEA">
      <w:numFmt w:val="decimal"/>
      <w:lvlText w:val=""/>
      <w:lvlJc w:val="left"/>
    </w:lvl>
    <w:lvl w:ilvl="3" w:tplc="AD9AA39C">
      <w:numFmt w:val="decimal"/>
      <w:lvlText w:val=""/>
      <w:lvlJc w:val="left"/>
    </w:lvl>
    <w:lvl w:ilvl="4" w:tplc="40A45A38">
      <w:numFmt w:val="decimal"/>
      <w:lvlText w:val=""/>
      <w:lvlJc w:val="left"/>
    </w:lvl>
    <w:lvl w:ilvl="5" w:tplc="A22033EC">
      <w:numFmt w:val="decimal"/>
      <w:lvlText w:val=""/>
      <w:lvlJc w:val="left"/>
    </w:lvl>
    <w:lvl w:ilvl="6" w:tplc="6890C0B0">
      <w:numFmt w:val="decimal"/>
      <w:lvlText w:val=""/>
      <w:lvlJc w:val="left"/>
    </w:lvl>
    <w:lvl w:ilvl="7" w:tplc="9110B948">
      <w:numFmt w:val="decimal"/>
      <w:lvlText w:val=""/>
      <w:lvlJc w:val="left"/>
    </w:lvl>
    <w:lvl w:ilvl="8" w:tplc="86FE307C">
      <w:numFmt w:val="decimal"/>
      <w:lvlText w:val=""/>
      <w:lvlJc w:val="left"/>
    </w:lvl>
  </w:abstractNum>
  <w:abstractNum w:abstractNumId="733" w15:restartNumberingAfterBreak="0">
    <w:nsid w:val="00006809"/>
    <w:multiLevelType w:val="hybridMultilevel"/>
    <w:tmpl w:val="0FA48308"/>
    <w:lvl w:ilvl="0" w:tplc="5FE2D038">
      <w:start w:val="1"/>
      <w:numFmt w:val="lowerLetter"/>
      <w:lvlText w:val="%1"/>
      <w:lvlJc w:val="left"/>
    </w:lvl>
    <w:lvl w:ilvl="1" w:tplc="70B0AD20">
      <w:start w:val="5"/>
      <w:numFmt w:val="lowerLetter"/>
      <w:lvlText w:val="%2."/>
      <w:lvlJc w:val="left"/>
    </w:lvl>
    <w:lvl w:ilvl="2" w:tplc="57000594">
      <w:start w:val="1"/>
      <w:numFmt w:val="lowerRoman"/>
      <w:lvlText w:val="%3"/>
      <w:lvlJc w:val="left"/>
    </w:lvl>
    <w:lvl w:ilvl="3" w:tplc="5D20301E">
      <w:start w:val="1"/>
      <w:numFmt w:val="upperLetter"/>
      <w:lvlText w:val="%4"/>
      <w:lvlJc w:val="left"/>
    </w:lvl>
    <w:lvl w:ilvl="4" w:tplc="4D842CAE">
      <w:numFmt w:val="decimal"/>
      <w:lvlText w:val=""/>
      <w:lvlJc w:val="left"/>
    </w:lvl>
    <w:lvl w:ilvl="5" w:tplc="938AB46C">
      <w:numFmt w:val="decimal"/>
      <w:lvlText w:val=""/>
      <w:lvlJc w:val="left"/>
    </w:lvl>
    <w:lvl w:ilvl="6" w:tplc="27BC9BD8">
      <w:numFmt w:val="decimal"/>
      <w:lvlText w:val=""/>
      <w:lvlJc w:val="left"/>
    </w:lvl>
    <w:lvl w:ilvl="7" w:tplc="4082108A">
      <w:numFmt w:val="decimal"/>
      <w:lvlText w:val=""/>
      <w:lvlJc w:val="left"/>
    </w:lvl>
    <w:lvl w:ilvl="8" w:tplc="CEBA6B72">
      <w:numFmt w:val="decimal"/>
      <w:lvlText w:val=""/>
      <w:lvlJc w:val="left"/>
    </w:lvl>
  </w:abstractNum>
  <w:abstractNum w:abstractNumId="734" w15:restartNumberingAfterBreak="0">
    <w:nsid w:val="0000681D"/>
    <w:multiLevelType w:val="hybridMultilevel"/>
    <w:tmpl w:val="3DBCAA10"/>
    <w:lvl w:ilvl="0" w:tplc="A0905096">
      <w:start w:val="1"/>
      <w:numFmt w:val="decimal"/>
      <w:lvlText w:val="%1"/>
      <w:lvlJc w:val="left"/>
    </w:lvl>
    <w:lvl w:ilvl="1" w:tplc="1E7252E0">
      <w:start w:val="1"/>
      <w:numFmt w:val="lowerLetter"/>
      <w:lvlText w:val="%2"/>
      <w:lvlJc w:val="left"/>
    </w:lvl>
    <w:lvl w:ilvl="2" w:tplc="BFF0CF02">
      <w:start w:val="2"/>
      <w:numFmt w:val="decimal"/>
      <w:lvlText w:val="%3."/>
      <w:lvlJc w:val="left"/>
    </w:lvl>
    <w:lvl w:ilvl="3" w:tplc="2F400DB0">
      <w:start w:val="1"/>
      <w:numFmt w:val="lowerLetter"/>
      <w:lvlText w:val="%4"/>
      <w:lvlJc w:val="left"/>
    </w:lvl>
    <w:lvl w:ilvl="4" w:tplc="8C505E74">
      <w:numFmt w:val="decimal"/>
      <w:lvlText w:val=""/>
      <w:lvlJc w:val="left"/>
    </w:lvl>
    <w:lvl w:ilvl="5" w:tplc="1C0EBE62">
      <w:numFmt w:val="decimal"/>
      <w:lvlText w:val=""/>
      <w:lvlJc w:val="left"/>
    </w:lvl>
    <w:lvl w:ilvl="6" w:tplc="5CD01CE2">
      <w:numFmt w:val="decimal"/>
      <w:lvlText w:val=""/>
      <w:lvlJc w:val="left"/>
    </w:lvl>
    <w:lvl w:ilvl="7" w:tplc="7966AC70">
      <w:numFmt w:val="decimal"/>
      <w:lvlText w:val=""/>
      <w:lvlJc w:val="left"/>
    </w:lvl>
    <w:lvl w:ilvl="8" w:tplc="C46E6390">
      <w:numFmt w:val="decimal"/>
      <w:lvlText w:val=""/>
      <w:lvlJc w:val="left"/>
    </w:lvl>
  </w:abstractNum>
  <w:abstractNum w:abstractNumId="735" w15:restartNumberingAfterBreak="0">
    <w:nsid w:val="00006871"/>
    <w:multiLevelType w:val="hybridMultilevel"/>
    <w:tmpl w:val="35A44C02"/>
    <w:lvl w:ilvl="0" w:tplc="463A77FA">
      <w:start w:val="3"/>
      <w:numFmt w:val="decimal"/>
      <w:lvlText w:val="%1."/>
      <w:lvlJc w:val="left"/>
    </w:lvl>
    <w:lvl w:ilvl="1" w:tplc="2244D34E">
      <w:start w:val="1"/>
      <w:numFmt w:val="lowerLetter"/>
      <w:lvlText w:val="%2."/>
      <w:lvlJc w:val="left"/>
    </w:lvl>
    <w:lvl w:ilvl="2" w:tplc="F420FDA0">
      <w:start w:val="1"/>
      <w:numFmt w:val="lowerRoman"/>
      <w:lvlText w:val="%3."/>
      <w:lvlJc w:val="left"/>
    </w:lvl>
    <w:lvl w:ilvl="3" w:tplc="A1A00342">
      <w:numFmt w:val="decimal"/>
      <w:lvlText w:val=""/>
      <w:lvlJc w:val="left"/>
    </w:lvl>
    <w:lvl w:ilvl="4" w:tplc="6C92BBC8">
      <w:numFmt w:val="decimal"/>
      <w:lvlText w:val=""/>
      <w:lvlJc w:val="left"/>
    </w:lvl>
    <w:lvl w:ilvl="5" w:tplc="783E7024">
      <w:numFmt w:val="decimal"/>
      <w:lvlText w:val=""/>
      <w:lvlJc w:val="left"/>
    </w:lvl>
    <w:lvl w:ilvl="6" w:tplc="A4A6271E">
      <w:numFmt w:val="decimal"/>
      <w:lvlText w:val=""/>
      <w:lvlJc w:val="left"/>
    </w:lvl>
    <w:lvl w:ilvl="7" w:tplc="0338BB98">
      <w:numFmt w:val="decimal"/>
      <w:lvlText w:val=""/>
      <w:lvlJc w:val="left"/>
    </w:lvl>
    <w:lvl w:ilvl="8" w:tplc="4086C64A">
      <w:numFmt w:val="decimal"/>
      <w:lvlText w:val=""/>
      <w:lvlJc w:val="left"/>
    </w:lvl>
  </w:abstractNum>
  <w:abstractNum w:abstractNumId="736" w15:restartNumberingAfterBreak="0">
    <w:nsid w:val="000068B6"/>
    <w:multiLevelType w:val="hybridMultilevel"/>
    <w:tmpl w:val="2A2C5E66"/>
    <w:lvl w:ilvl="0" w:tplc="D24E7ADC">
      <w:start w:val="4"/>
      <w:numFmt w:val="lowerLetter"/>
      <w:lvlText w:val="%1."/>
      <w:lvlJc w:val="left"/>
    </w:lvl>
    <w:lvl w:ilvl="1" w:tplc="BC602BD8">
      <w:start w:val="1"/>
      <w:numFmt w:val="lowerRoman"/>
      <w:lvlText w:val="(%2)"/>
      <w:lvlJc w:val="left"/>
    </w:lvl>
    <w:lvl w:ilvl="2" w:tplc="733AF54E">
      <w:numFmt w:val="decimal"/>
      <w:lvlText w:val=""/>
      <w:lvlJc w:val="left"/>
    </w:lvl>
    <w:lvl w:ilvl="3" w:tplc="58CE5014">
      <w:numFmt w:val="decimal"/>
      <w:lvlText w:val=""/>
      <w:lvlJc w:val="left"/>
    </w:lvl>
    <w:lvl w:ilvl="4" w:tplc="83806F8A">
      <w:numFmt w:val="decimal"/>
      <w:lvlText w:val=""/>
      <w:lvlJc w:val="left"/>
    </w:lvl>
    <w:lvl w:ilvl="5" w:tplc="9A1EE994">
      <w:numFmt w:val="decimal"/>
      <w:lvlText w:val=""/>
      <w:lvlJc w:val="left"/>
    </w:lvl>
    <w:lvl w:ilvl="6" w:tplc="5AC0EE30">
      <w:numFmt w:val="decimal"/>
      <w:lvlText w:val=""/>
      <w:lvlJc w:val="left"/>
    </w:lvl>
    <w:lvl w:ilvl="7" w:tplc="5AE8E3B4">
      <w:numFmt w:val="decimal"/>
      <w:lvlText w:val=""/>
      <w:lvlJc w:val="left"/>
    </w:lvl>
    <w:lvl w:ilvl="8" w:tplc="15826C9C">
      <w:numFmt w:val="decimal"/>
      <w:lvlText w:val=""/>
      <w:lvlJc w:val="left"/>
    </w:lvl>
  </w:abstractNum>
  <w:abstractNum w:abstractNumId="737" w15:restartNumberingAfterBreak="0">
    <w:nsid w:val="000068B9"/>
    <w:multiLevelType w:val="hybridMultilevel"/>
    <w:tmpl w:val="C4B03C7C"/>
    <w:lvl w:ilvl="0" w:tplc="B3929A44">
      <w:start w:val="1"/>
      <w:numFmt w:val="lowerLetter"/>
      <w:lvlText w:val="(%1)"/>
      <w:lvlJc w:val="left"/>
    </w:lvl>
    <w:lvl w:ilvl="1" w:tplc="A768AEF6">
      <w:numFmt w:val="decimal"/>
      <w:lvlText w:val=""/>
      <w:lvlJc w:val="left"/>
    </w:lvl>
    <w:lvl w:ilvl="2" w:tplc="A864B00A">
      <w:numFmt w:val="decimal"/>
      <w:lvlText w:val=""/>
      <w:lvlJc w:val="left"/>
    </w:lvl>
    <w:lvl w:ilvl="3" w:tplc="F25EBCEA">
      <w:numFmt w:val="decimal"/>
      <w:lvlText w:val=""/>
      <w:lvlJc w:val="left"/>
    </w:lvl>
    <w:lvl w:ilvl="4" w:tplc="D9B6DAD0">
      <w:numFmt w:val="decimal"/>
      <w:lvlText w:val=""/>
      <w:lvlJc w:val="left"/>
    </w:lvl>
    <w:lvl w:ilvl="5" w:tplc="DC600174">
      <w:numFmt w:val="decimal"/>
      <w:lvlText w:val=""/>
      <w:lvlJc w:val="left"/>
    </w:lvl>
    <w:lvl w:ilvl="6" w:tplc="4000CE2A">
      <w:numFmt w:val="decimal"/>
      <w:lvlText w:val=""/>
      <w:lvlJc w:val="left"/>
    </w:lvl>
    <w:lvl w:ilvl="7" w:tplc="D0C47C2E">
      <w:numFmt w:val="decimal"/>
      <w:lvlText w:val=""/>
      <w:lvlJc w:val="left"/>
    </w:lvl>
    <w:lvl w:ilvl="8" w:tplc="60A64C3C">
      <w:numFmt w:val="decimal"/>
      <w:lvlText w:val=""/>
      <w:lvlJc w:val="left"/>
    </w:lvl>
  </w:abstractNum>
  <w:abstractNum w:abstractNumId="738" w15:restartNumberingAfterBreak="0">
    <w:nsid w:val="000068C0"/>
    <w:multiLevelType w:val="hybridMultilevel"/>
    <w:tmpl w:val="35AA4522"/>
    <w:lvl w:ilvl="0" w:tplc="ACAAA3DE">
      <w:start w:val="6"/>
      <w:numFmt w:val="lowerLetter"/>
      <w:lvlText w:val="(%1)"/>
      <w:lvlJc w:val="left"/>
    </w:lvl>
    <w:lvl w:ilvl="1" w:tplc="26DAE61A">
      <w:start w:val="1"/>
      <w:numFmt w:val="decimal"/>
      <w:lvlText w:val="%2."/>
      <w:lvlJc w:val="left"/>
    </w:lvl>
    <w:lvl w:ilvl="2" w:tplc="347C05DA">
      <w:numFmt w:val="decimal"/>
      <w:lvlText w:val=""/>
      <w:lvlJc w:val="left"/>
    </w:lvl>
    <w:lvl w:ilvl="3" w:tplc="E70420A6">
      <w:numFmt w:val="decimal"/>
      <w:lvlText w:val=""/>
      <w:lvlJc w:val="left"/>
    </w:lvl>
    <w:lvl w:ilvl="4" w:tplc="FD58C5FC">
      <w:numFmt w:val="decimal"/>
      <w:lvlText w:val=""/>
      <w:lvlJc w:val="left"/>
    </w:lvl>
    <w:lvl w:ilvl="5" w:tplc="CFB613B8">
      <w:numFmt w:val="decimal"/>
      <w:lvlText w:val=""/>
      <w:lvlJc w:val="left"/>
    </w:lvl>
    <w:lvl w:ilvl="6" w:tplc="00C27F84">
      <w:numFmt w:val="decimal"/>
      <w:lvlText w:val=""/>
      <w:lvlJc w:val="left"/>
    </w:lvl>
    <w:lvl w:ilvl="7" w:tplc="6882AD98">
      <w:numFmt w:val="decimal"/>
      <w:lvlText w:val=""/>
      <w:lvlJc w:val="left"/>
    </w:lvl>
    <w:lvl w:ilvl="8" w:tplc="4C780132">
      <w:numFmt w:val="decimal"/>
      <w:lvlText w:val=""/>
      <w:lvlJc w:val="left"/>
    </w:lvl>
  </w:abstractNum>
  <w:abstractNum w:abstractNumId="739" w15:restartNumberingAfterBreak="0">
    <w:nsid w:val="000068C5"/>
    <w:multiLevelType w:val="hybridMultilevel"/>
    <w:tmpl w:val="B2CA997E"/>
    <w:lvl w:ilvl="0" w:tplc="1B062168">
      <w:start w:val="1"/>
      <w:numFmt w:val="lowerLetter"/>
      <w:lvlText w:val="%1"/>
      <w:lvlJc w:val="left"/>
    </w:lvl>
    <w:lvl w:ilvl="1" w:tplc="F5EE56DA">
      <w:start w:val="22"/>
      <w:numFmt w:val="decimal"/>
      <w:lvlText w:val="%2."/>
      <w:lvlJc w:val="left"/>
    </w:lvl>
    <w:lvl w:ilvl="2" w:tplc="500AEDE6">
      <w:start w:val="1"/>
      <w:numFmt w:val="lowerLetter"/>
      <w:lvlText w:val="%3."/>
      <w:lvlJc w:val="left"/>
    </w:lvl>
    <w:lvl w:ilvl="3" w:tplc="4AF4C8F2">
      <w:start w:val="1"/>
      <w:numFmt w:val="lowerRoman"/>
      <w:lvlText w:val="(%4)"/>
      <w:lvlJc w:val="left"/>
    </w:lvl>
    <w:lvl w:ilvl="4" w:tplc="7902B946">
      <w:numFmt w:val="decimal"/>
      <w:lvlText w:val=""/>
      <w:lvlJc w:val="left"/>
    </w:lvl>
    <w:lvl w:ilvl="5" w:tplc="60088374">
      <w:numFmt w:val="decimal"/>
      <w:lvlText w:val=""/>
      <w:lvlJc w:val="left"/>
    </w:lvl>
    <w:lvl w:ilvl="6" w:tplc="5D2CC99C">
      <w:numFmt w:val="decimal"/>
      <w:lvlText w:val=""/>
      <w:lvlJc w:val="left"/>
    </w:lvl>
    <w:lvl w:ilvl="7" w:tplc="F9BAFCC8">
      <w:numFmt w:val="decimal"/>
      <w:lvlText w:val=""/>
      <w:lvlJc w:val="left"/>
    </w:lvl>
    <w:lvl w:ilvl="8" w:tplc="48C41F94">
      <w:numFmt w:val="decimal"/>
      <w:lvlText w:val=""/>
      <w:lvlJc w:val="left"/>
    </w:lvl>
  </w:abstractNum>
  <w:abstractNum w:abstractNumId="740" w15:restartNumberingAfterBreak="0">
    <w:nsid w:val="000068D3"/>
    <w:multiLevelType w:val="hybridMultilevel"/>
    <w:tmpl w:val="3A9CBFF2"/>
    <w:lvl w:ilvl="0" w:tplc="4C5A8CA4">
      <w:start w:val="1"/>
      <w:numFmt w:val="lowerLetter"/>
      <w:lvlText w:val="%1"/>
      <w:lvlJc w:val="left"/>
    </w:lvl>
    <w:lvl w:ilvl="1" w:tplc="DA6859C4">
      <w:start w:val="3"/>
      <w:numFmt w:val="decimal"/>
      <w:lvlText w:val="%2."/>
      <w:lvlJc w:val="left"/>
    </w:lvl>
    <w:lvl w:ilvl="2" w:tplc="44B661F6">
      <w:numFmt w:val="decimal"/>
      <w:lvlText w:val=""/>
      <w:lvlJc w:val="left"/>
    </w:lvl>
    <w:lvl w:ilvl="3" w:tplc="B25AD95A">
      <w:numFmt w:val="decimal"/>
      <w:lvlText w:val=""/>
      <w:lvlJc w:val="left"/>
    </w:lvl>
    <w:lvl w:ilvl="4" w:tplc="FFE489A2">
      <w:numFmt w:val="decimal"/>
      <w:lvlText w:val=""/>
      <w:lvlJc w:val="left"/>
    </w:lvl>
    <w:lvl w:ilvl="5" w:tplc="96C0C83A">
      <w:numFmt w:val="decimal"/>
      <w:lvlText w:val=""/>
      <w:lvlJc w:val="left"/>
    </w:lvl>
    <w:lvl w:ilvl="6" w:tplc="FA4E101C">
      <w:numFmt w:val="decimal"/>
      <w:lvlText w:val=""/>
      <w:lvlJc w:val="left"/>
    </w:lvl>
    <w:lvl w:ilvl="7" w:tplc="5094B2E4">
      <w:numFmt w:val="decimal"/>
      <w:lvlText w:val=""/>
      <w:lvlJc w:val="left"/>
    </w:lvl>
    <w:lvl w:ilvl="8" w:tplc="877C15F4">
      <w:numFmt w:val="decimal"/>
      <w:lvlText w:val=""/>
      <w:lvlJc w:val="left"/>
    </w:lvl>
  </w:abstractNum>
  <w:abstractNum w:abstractNumId="741" w15:restartNumberingAfterBreak="0">
    <w:nsid w:val="000068D9"/>
    <w:multiLevelType w:val="hybridMultilevel"/>
    <w:tmpl w:val="56A444F0"/>
    <w:lvl w:ilvl="0" w:tplc="18222AE0">
      <w:start w:val="1"/>
      <w:numFmt w:val="decimal"/>
      <w:lvlText w:val="%1"/>
      <w:lvlJc w:val="left"/>
    </w:lvl>
    <w:lvl w:ilvl="1" w:tplc="5A84DC22">
      <w:start w:val="1"/>
      <w:numFmt w:val="lowerLetter"/>
      <w:lvlText w:val="%2"/>
      <w:lvlJc w:val="left"/>
    </w:lvl>
    <w:lvl w:ilvl="2" w:tplc="A3B03126">
      <w:start w:val="2"/>
      <w:numFmt w:val="decimal"/>
      <w:lvlText w:val="%3."/>
      <w:lvlJc w:val="left"/>
    </w:lvl>
    <w:lvl w:ilvl="3" w:tplc="D7BE4AA2">
      <w:numFmt w:val="decimal"/>
      <w:lvlText w:val=""/>
      <w:lvlJc w:val="left"/>
    </w:lvl>
    <w:lvl w:ilvl="4" w:tplc="A2C25794">
      <w:numFmt w:val="decimal"/>
      <w:lvlText w:val=""/>
      <w:lvlJc w:val="left"/>
    </w:lvl>
    <w:lvl w:ilvl="5" w:tplc="25C8AFE2">
      <w:numFmt w:val="decimal"/>
      <w:lvlText w:val=""/>
      <w:lvlJc w:val="left"/>
    </w:lvl>
    <w:lvl w:ilvl="6" w:tplc="E5E88186">
      <w:numFmt w:val="decimal"/>
      <w:lvlText w:val=""/>
      <w:lvlJc w:val="left"/>
    </w:lvl>
    <w:lvl w:ilvl="7" w:tplc="8E52447C">
      <w:numFmt w:val="decimal"/>
      <w:lvlText w:val=""/>
      <w:lvlJc w:val="left"/>
    </w:lvl>
    <w:lvl w:ilvl="8" w:tplc="C25CBDC8">
      <w:numFmt w:val="decimal"/>
      <w:lvlText w:val=""/>
      <w:lvlJc w:val="left"/>
    </w:lvl>
  </w:abstractNum>
  <w:abstractNum w:abstractNumId="742" w15:restartNumberingAfterBreak="0">
    <w:nsid w:val="000068E9"/>
    <w:multiLevelType w:val="hybridMultilevel"/>
    <w:tmpl w:val="1DC461FE"/>
    <w:lvl w:ilvl="0" w:tplc="ECEA9048">
      <w:start w:val="310"/>
      <w:numFmt w:val="decimal"/>
      <w:lvlText w:val="%1"/>
      <w:lvlJc w:val="left"/>
    </w:lvl>
    <w:lvl w:ilvl="1" w:tplc="8736A6AE">
      <w:start w:val="1"/>
      <w:numFmt w:val="lowerLetter"/>
      <w:lvlText w:val="%2"/>
      <w:lvlJc w:val="left"/>
    </w:lvl>
    <w:lvl w:ilvl="2" w:tplc="CDA0E744">
      <w:numFmt w:val="decimal"/>
      <w:lvlText w:val=""/>
      <w:lvlJc w:val="left"/>
    </w:lvl>
    <w:lvl w:ilvl="3" w:tplc="B9323886">
      <w:numFmt w:val="decimal"/>
      <w:lvlText w:val=""/>
      <w:lvlJc w:val="left"/>
    </w:lvl>
    <w:lvl w:ilvl="4" w:tplc="F01E3D44">
      <w:numFmt w:val="decimal"/>
      <w:lvlText w:val=""/>
      <w:lvlJc w:val="left"/>
    </w:lvl>
    <w:lvl w:ilvl="5" w:tplc="E612F37C">
      <w:numFmt w:val="decimal"/>
      <w:lvlText w:val=""/>
      <w:lvlJc w:val="left"/>
    </w:lvl>
    <w:lvl w:ilvl="6" w:tplc="679E8122">
      <w:numFmt w:val="decimal"/>
      <w:lvlText w:val=""/>
      <w:lvlJc w:val="left"/>
    </w:lvl>
    <w:lvl w:ilvl="7" w:tplc="585C1848">
      <w:numFmt w:val="decimal"/>
      <w:lvlText w:val=""/>
      <w:lvlJc w:val="left"/>
    </w:lvl>
    <w:lvl w:ilvl="8" w:tplc="DD10531E">
      <w:numFmt w:val="decimal"/>
      <w:lvlText w:val=""/>
      <w:lvlJc w:val="left"/>
    </w:lvl>
  </w:abstractNum>
  <w:abstractNum w:abstractNumId="743" w15:restartNumberingAfterBreak="0">
    <w:nsid w:val="0000690A"/>
    <w:multiLevelType w:val="hybridMultilevel"/>
    <w:tmpl w:val="58D09A58"/>
    <w:lvl w:ilvl="0" w:tplc="89D657E0">
      <w:start w:val="3"/>
      <w:numFmt w:val="lowerLetter"/>
      <w:lvlText w:val="%1."/>
      <w:lvlJc w:val="left"/>
    </w:lvl>
    <w:lvl w:ilvl="1" w:tplc="AC1AF740">
      <w:numFmt w:val="decimal"/>
      <w:lvlText w:val=""/>
      <w:lvlJc w:val="left"/>
    </w:lvl>
    <w:lvl w:ilvl="2" w:tplc="D94A6326">
      <w:numFmt w:val="decimal"/>
      <w:lvlText w:val=""/>
      <w:lvlJc w:val="left"/>
    </w:lvl>
    <w:lvl w:ilvl="3" w:tplc="28A225C4">
      <w:numFmt w:val="decimal"/>
      <w:lvlText w:val=""/>
      <w:lvlJc w:val="left"/>
    </w:lvl>
    <w:lvl w:ilvl="4" w:tplc="12580610">
      <w:numFmt w:val="decimal"/>
      <w:lvlText w:val=""/>
      <w:lvlJc w:val="left"/>
    </w:lvl>
    <w:lvl w:ilvl="5" w:tplc="F8A6B564">
      <w:numFmt w:val="decimal"/>
      <w:lvlText w:val=""/>
      <w:lvlJc w:val="left"/>
    </w:lvl>
    <w:lvl w:ilvl="6" w:tplc="73B8C542">
      <w:numFmt w:val="decimal"/>
      <w:lvlText w:val=""/>
      <w:lvlJc w:val="left"/>
    </w:lvl>
    <w:lvl w:ilvl="7" w:tplc="FF0877F6">
      <w:numFmt w:val="decimal"/>
      <w:lvlText w:val=""/>
      <w:lvlJc w:val="left"/>
    </w:lvl>
    <w:lvl w:ilvl="8" w:tplc="7F766E3A">
      <w:numFmt w:val="decimal"/>
      <w:lvlText w:val=""/>
      <w:lvlJc w:val="left"/>
    </w:lvl>
  </w:abstractNum>
  <w:abstractNum w:abstractNumId="744" w15:restartNumberingAfterBreak="0">
    <w:nsid w:val="00006942"/>
    <w:multiLevelType w:val="hybridMultilevel"/>
    <w:tmpl w:val="65FCDE3A"/>
    <w:lvl w:ilvl="0" w:tplc="DF3E0988">
      <w:start w:val="1"/>
      <w:numFmt w:val="decimal"/>
      <w:lvlText w:val="%1"/>
      <w:lvlJc w:val="left"/>
    </w:lvl>
    <w:lvl w:ilvl="1" w:tplc="0E04074A">
      <w:start w:val="1"/>
      <w:numFmt w:val="lowerLetter"/>
      <w:lvlText w:val="%2"/>
      <w:lvlJc w:val="left"/>
    </w:lvl>
    <w:lvl w:ilvl="2" w:tplc="E8FC8EF2">
      <w:start w:val="4"/>
      <w:numFmt w:val="decimal"/>
      <w:lvlText w:val="%3."/>
      <w:lvlJc w:val="left"/>
    </w:lvl>
    <w:lvl w:ilvl="3" w:tplc="51DA755A">
      <w:start w:val="1"/>
      <w:numFmt w:val="lowerLetter"/>
      <w:lvlText w:val="%4."/>
      <w:lvlJc w:val="left"/>
    </w:lvl>
    <w:lvl w:ilvl="4" w:tplc="955A36F6">
      <w:start w:val="1"/>
      <w:numFmt w:val="lowerRoman"/>
      <w:lvlText w:val="%5."/>
      <w:lvlJc w:val="left"/>
    </w:lvl>
    <w:lvl w:ilvl="5" w:tplc="080C0F6A">
      <w:numFmt w:val="decimal"/>
      <w:lvlText w:val=""/>
      <w:lvlJc w:val="left"/>
    </w:lvl>
    <w:lvl w:ilvl="6" w:tplc="A2BC76AE">
      <w:numFmt w:val="decimal"/>
      <w:lvlText w:val=""/>
      <w:lvlJc w:val="left"/>
    </w:lvl>
    <w:lvl w:ilvl="7" w:tplc="7C206652">
      <w:numFmt w:val="decimal"/>
      <w:lvlText w:val=""/>
      <w:lvlJc w:val="left"/>
    </w:lvl>
    <w:lvl w:ilvl="8" w:tplc="C4B633FE">
      <w:numFmt w:val="decimal"/>
      <w:lvlText w:val=""/>
      <w:lvlJc w:val="left"/>
    </w:lvl>
  </w:abstractNum>
  <w:abstractNum w:abstractNumId="745" w15:restartNumberingAfterBreak="0">
    <w:nsid w:val="00006944"/>
    <w:multiLevelType w:val="hybridMultilevel"/>
    <w:tmpl w:val="6608973C"/>
    <w:lvl w:ilvl="0" w:tplc="70503E84">
      <w:start w:val="2"/>
      <w:numFmt w:val="decimal"/>
      <w:lvlText w:val="%1."/>
      <w:lvlJc w:val="left"/>
    </w:lvl>
    <w:lvl w:ilvl="1" w:tplc="970413E4">
      <w:numFmt w:val="decimal"/>
      <w:lvlText w:val=""/>
      <w:lvlJc w:val="left"/>
    </w:lvl>
    <w:lvl w:ilvl="2" w:tplc="51B87324">
      <w:numFmt w:val="decimal"/>
      <w:lvlText w:val=""/>
      <w:lvlJc w:val="left"/>
    </w:lvl>
    <w:lvl w:ilvl="3" w:tplc="BD645560">
      <w:numFmt w:val="decimal"/>
      <w:lvlText w:val=""/>
      <w:lvlJc w:val="left"/>
    </w:lvl>
    <w:lvl w:ilvl="4" w:tplc="D9D07B66">
      <w:numFmt w:val="decimal"/>
      <w:lvlText w:val=""/>
      <w:lvlJc w:val="left"/>
    </w:lvl>
    <w:lvl w:ilvl="5" w:tplc="9A18175E">
      <w:numFmt w:val="decimal"/>
      <w:lvlText w:val=""/>
      <w:lvlJc w:val="left"/>
    </w:lvl>
    <w:lvl w:ilvl="6" w:tplc="F8EAD7E6">
      <w:numFmt w:val="decimal"/>
      <w:lvlText w:val=""/>
      <w:lvlJc w:val="left"/>
    </w:lvl>
    <w:lvl w:ilvl="7" w:tplc="40D6A82A">
      <w:numFmt w:val="decimal"/>
      <w:lvlText w:val=""/>
      <w:lvlJc w:val="left"/>
    </w:lvl>
    <w:lvl w:ilvl="8" w:tplc="CE68F790">
      <w:numFmt w:val="decimal"/>
      <w:lvlText w:val=""/>
      <w:lvlJc w:val="left"/>
    </w:lvl>
  </w:abstractNum>
  <w:abstractNum w:abstractNumId="746" w15:restartNumberingAfterBreak="0">
    <w:nsid w:val="00006945"/>
    <w:multiLevelType w:val="hybridMultilevel"/>
    <w:tmpl w:val="5B94C970"/>
    <w:lvl w:ilvl="0" w:tplc="8AC65FDE">
      <w:start w:val="310"/>
      <w:numFmt w:val="decimal"/>
      <w:lvlText w:val="%1"/>
      <w:lvlJc w:val="left"/>
    </w:lvl>
    <w:lvl w:ilvl="1" w:tplc="61788EE2">
      <w:start w:val="1"/>
      <w:numFmt w:val="lowerLetter"/>
      <w:lvlText w:val="%2"/>
      <w:lvlJc w:val="left"/>
    </w:lvl>
    <w:lvl w:ilvl="2" w:tplc="1FEC0F86">
      <w:numFmt w:val="decimal"/>
      <w:lvlText w:val=""/>
      <w:lvlJc w:val="left"/>
    </w:lvl>
    <w:lvl w:ilvl="3" w:tplc="0D944C7C">
      <w:numFmt w:val="decimal"/>
      <w:lvlText w:val=""/>
      <w:lvlJc w:val="left"/>
    </w:lvl>
    <w:lvl w:ilvl="4" w:tplc="B1FA627C">
      <w:numFmt w:val="decimal"/>
      <w:lvlText w:val=""/>
      <w:lvlJc w:val="left"/>
    </w:lvl>
    <w:lvl w:ilvl="5" w:tplc="BF7A2CF4">
      <w:numFmt w:val="decimal"/>
      <w:lvlText w:val=""/>
      <w:lvlJc w:val="left"/>
    </w:lvl>
    <w:lvl w:ilvl="6" w:tplc="D2883E54">
      <w:numFmt w:val="decimal"/>
      <w:lvlText w:val=""/>
      <w:lvlJc w:val="left"/>
    </w:lvl>
    <w:lvl w:ilvl="7" w:tplc="68BA38F8">
      <w:numFmt w:val="decimal"/>
      <w:lvlText w:val=""/>
      <w:lvlJc w:val="left"/>
    </w:lvl>
    <w:lvl w:ilvl="8" w:tplc="F1225FD6">
      <w:numFmt w:val="decimal"/>
      <w:lvlText w:val=""/>
      <w:lvlJc w:val="left"/>
    </w:lvl>
  </w:abstractNum>
  <w:abstractNum w:abstractNumId="747" w15:restartNumberingAfterBreak="0">
    <w:nsid w:val="00006963"/>
    <w:multiLevelType w:val="hybridMultilevel"/>
    <w:tmpl w:val="0D049A34"/>
    <w:lvl w:ilvl="0" w:tplc="61C0A040">
      <w:start w:val="1"/>
      <w:numFmt w:val="decimal"/>
      <w:lvlText w:val="%1"/>
      <w:lvlJc w:val="left"/>
    </w:lvl>
    <w:lvl w:ilvl="1" w:tplc="25104B2C">
      <w:start w:val="1"/>
      <w:numFmt w:val="lowerLetter"/>
      <w:lvlText w:val="%2"/>
      <w:lvlJc w:val="left"/>
    </w:lvl>
    <w:lvl w:ilvl="2" w:tplc="47C0F3D6">
      <w:start w:val="3"/>
      <w:numFmt w:val="decimal"/>
      <w:lvlText w:val="%3."/>
      <w:lvlJc w:val="left"/>
    </w:lvl>
    <w:lvl w:ilvl="3" w:tplc="00284A54">
      <w:start w:val="1"/>
      <w:numFmt w:val="lowerLetter"/>
      <w:lvlText w:val="%4"/>
      <w:lvlJc w:val="left"/>
    </w:lvl>
    <w:lvl w:ilvl="4" w:tplc="CE669334">
      <w:numFmt w:val="decimal"/>
      <w:lvlText w:val=""/>
      <w:lvlJc w:val="left"/>
    </w:lvl>
    <w:lvl w:ilvl="5" w:tplc="DE9EDD12">
      <w:numFmt w:val="decimal"/>
      <w:lvlText w:val=""/>
      <w:lvlJc w:val="left"/>
    </w:lvl>
    <w:lvl w:ilvl="6" w:tplc="BF2C8DB6">
      <w:numFmt w:val="decimal"/>
      <w:lvlText w:val=""/>
      <w:lvlJc w:val="left"/>
    </w:lvl>
    <w:lvl w:ilvl="7" w:tplc="E6F29574">
      <w:numFmt w:val="decimal"/>
      <w:lvlText w:val=""/>
      <w:lvlJc w:val="left"/>
    </w:lvl>
    <w:lvl w:ilvl="8" w:tplc="FA227F20">
      <w:numFmt w:val="decimal"/>
      <w:lvlText w:val=""/>
      <w:lvlJc w:val="left"/>
    </w:lvl>
  </w:abstractNum>
  <w:abstractNum w:abstractNumId="748" w15:restartNumberingAfterBreak="0">
    <w:nsid w:val="0000697F"/>
    <w:multiLevelType w:val="hybridMultilevel"/>
    <w:tmpl w:val="7D6AC3FC"/>
    <w:lvl w:ilvl="0" w:tplc="3B686D22">
      <w:start w:val="9"/>
      <w:numFmt w:val="decimal"/>
      <w:lvlText w:val="(%1)"/>
      <w:lvlJc w:val="left"/>
    </w:lvl>
    <w:lvl w:ilvl="1" w:tplc="2B12C064">
      <w:start w:val="1"/>
      <w:numFmt w:val="lowerLetter"/>
      <w:lvlText w:val="(%2)"/>
      <w:lvlJc w:val="left"/>
    </w:lvl>
    <w:lvl w:ilvl="2" w:tplc="7682DCEE">
      <w:numFmt w:val="decimal"/>
      <w:lvlText w:val=""/>
      <w:lvlJc w:val="left"/>
    </w:lvl>
    <w:lvl w:ilvl="3" w:tplc="57D28FDC">
      <w:numFmt w:val="decimal"/>
      <w:lvlText w:val=""/>
      <w:lvlJc w:val="left"/>
    </w:lvl>
    <w:lvl w:ilvl="4" w:tplc="96DCF786">
      <w:numFmt w:val="decimal"/>
      <w:lvlText w:val=""/>
      <w:lvlJc w:val="left"/>
    </w:lvl>
    <w:lvl w:ilvl="5" w:tplc="93DCC6BA">
      <w:numFmt w:val="decimal"/>
      <w:lvlText w:val=""/>
      <w:lvlJc w:val="left"/>
    </w:lvl>
    <w:lvl w:ilvl="6" w:tplc="70841816">
      <w:numFmt w:val="decimal"/>
      <w:lvlText w:val=""/>
      <w:lvlJc w:val="left"/>
    </w:lvl>
    <w:lvl w:ilvl="7" w:tplc="50065EFE">
      <w:numFmt w:val="decimal"/>
      <w:lvlText w:val=""/>
      <w:lvlJc w:val="left"/>
    </w:lvl>
    <w:lvl w:ilvl="8" w:tplc="B76ADF7C">
      <w:numFmt w:val="decimal"/>
      <w:lvlText w:val=""/>
      <w:lvlJc w:val="left"/>
    </w:lvl>
  </w:abstractNum>
  <w:abstractNum w:abstractNumId="749" w15:restartNumberingAfterBreak="0">
    <w:nsid w:val="00006980"/>
    <w:multiLevelType w:val="hybridMultilevel"/>
    <w:tmpl w:val="2A36D7F8"/>
    <w:lvl w:ilvl="0" w:tplc="D3306520">
      <w:start w:val="4"/>
      <w:numFmt w:val="decimal"/>
      <w:lvlText w:val="(%1)"/>
      <w:lvlJc w:val="left"/>
    </w:lvl>
    <w:lvl w:ilvl="1" w:tplc="F82C7396">
      <w:start w:val="1"/>
      <w:numFmt w:val="lowerLetter"/>
      <w:lvlText w:val="%2"/>
      <w:lvlJc w:val="left"/>
    </w:lvl>
    <w:lvl w:ilvl="2" w:tplc="ABF095D0">
      <w:numFmt w:val="decimal"/>
      <w:lvlText w:val=""/>
      <w:lvlJc w:val="left"/>
    </w:lvl>
    <w:lvl w:ilvl="3" w:tplc="D2769698">
      <w:numFmt w:val="decimal"/>
      <w:lvlText w:val=""/>
      <w:lvlJc w:val="left"/>
    </w:lvl>
    <w:lvl w:ilvl="4" w:tplc="C5640DD2">
      <w:numFmt w:val="decimal"/>
      <w:lvlText w:val=""/>
      <w:lvlJc w:val="left"/>
    </w:lvl>
    <w:lvl w:ilvl="5" w:tplc="8FE012AC">
      <w:numFmt w:val="decimal"/>
      <w:lvlText w:val=""/>
      <w:lvlJc w:val="left"/>
    </w:lvl>
    <w:lvl w:ilvl="6" w:tplc="D4EAA84A">
      <w:numFmt w:val="decimal"/>
      <w:lvlText w:val=""/>
      <w:lvlJc w:val="left"/>
    </w:lvl>
    <w:lvl w:ilvl="7" w:tplc="9CEA39F6">
      <w:numFmt w:val="decimal"/>
      <w:lvlText w:val=""/>
      <w:lvlJc w:val="left"/>
    </w:lvl>
    <w:lvl w:ilvl="8" w:tplc="0450E79A">
      <w:numFmt w:val="decimal"/>
      <w:lvlText w:val=""/>
      <w:lvlJc w:val="left"/>
    </w:lvl>
  </w:abstractNum>
  <w:abstractNum w:abstractNumId="750" w15:restartNumberingAfterBreak="0">
    <w:nsid w:val="00006998"/>
    <w:multiLevelType w:val="hybridMultilevel"/>
    <w:tmpl w:val="DBEA34C8"/>
    <w:lvl w:ilvl="0" w:tplc="68D2BE8A">
      <w:start w:val="1"/>
      <w:numFmt w:val="bullet"/>
      <w:lvlText w:val="•"/>
      <w:lvlJc w:val="left"/>
    </w:lvl>
    <w:lvl w:ilvl="1" w:tplc="57945BCA">
      <w:numFmt w:val="decimal"/>
      <w:lvlText w:val=""/>
      <w:lvlJc w:val="left"/>
    </w:lvl>
    <w:lvl w:ilvl="2" w:tplc="E9C27BFA">
      <w:numFmt w:val="decimal"/>
      <w:lvlText w:val=""/>
      <w:lvlJc w:val="left"/>
    </w:lvl>
    <w:lvl w:ilvl="3" w:tplc="C70E15D6">
      <w:numFmt w:val="decimal"/>
      <w:lvlText w:val=""/>
      <w:lvlJc w:val="left"/>
    </w:lvl>
    <w:lvl w:ilvl="4" w:tplc="FC98F9C0">
      <w:numFmt w:val="decimal"/>
      <w:lvlText w:val=""/>
      <w:lvlJc w:val="left"/>
    </w:lvl>
    <w:lvl w:ilvl="5" w:tplc="E542C390">
      <w:numFmt w:val="decimal"/>
      <w:lvlText w:val=""/>
      <w:lvlJc w:val="left"/>
    </w:lvl>
    <w:lvl w:ilvl="6" w:tplc="F3B04D3C">
      <w:numFmt w:val="decimal"/>
      <w:lvlText w:val=""/>
      <w:lvlJc w:val="left"/>
    </w:lvl>
    <w:lvl w:ilvl="7" w:tplc="83C21A52">
      <w:numFmt w:val="decimal"/>
      <w:lvlText w:val=""/>
      <w:lvlJc w:val="left"/>
    </w:lvl>
    <w:lvl w:ilvl="8" w:tplc="25B60542">
      <w:numFmt w:val="decimal"/>
      <w:lvlText w:val=""/>
      <w:lvlJc w:val="left"/>
    </w:lvl>
  </w:abstractNum>
  <w:abstractNum w:abstractNumId="751" w15:restartNumberingAfterBreak="0">
    <w:nsid w:val="000069B9"/>
    <w:multiLevelType w:val="hybridMultilevel"/>
    <w:tmpl w:val="79D66B3E"/>
    <w:lvl w:ilvl="0" w:tplc="9DBCD722">
      <w:start w:val="1"/>
      <w:numFmt w:val="lowerLetter"/>
      <w:lvlText w:val="%1"/>
      <w:lvlJc w:val="left"/>
    </w:lvl>
    <w:lvl w:ilvl="1" w:tplc="DE8E7A3A">
      <w:start w:val="1"/>
      <w:numFmt w:val="decimal"/>
      <w:lvlText w:val="%2."/>
      <w:lvlJc w:val="left"/>
    </w:lvl>
    <w:lvl w:ilvl="2" w:tplc="AA22815E">
      <w:numFmt w:val="decimal"/>
      <w:lvlText w:val=""/>
      <w:lvlJc w:val="left"/>
    </w:lvl>
    <w:lvl w:ilvl="3" w:tplc="5B9CF5E8">
      <w:numFmt w:val="decimal"/>
      <w:lvlText w:val=""/>
      <w:lvlJc w:val="left"/>
    </w:lvl>
    <w:lvl w:ilvl="4" w:tplc="71DC6458">
      <w:numFmt w:val="decimal"/>
      <w:lvlText w:val=""/>
      <w:lvlJc w:val="left"/>
    </w:lvl>
    <w:lvl w:ilvl="5" w:tplc="17404CFA">
      <w:numFmt w:val="decimal"/>
      <w:lvlText w:val=""/>
      <w:lvlJc w:val="left"/>
    </w:lvl>
    <w:lvl w:ilvl="6" w:tplc="A656DDE4">
      <w:numFmt w:val="decimal"/>
      <w:lvlText w:val=""/>
      <w:lvlJc w:val="left"/>
    </w:lvl>
    <w:lvl w:ilvl="7" w:tplc="111EF824">
      <w:numFmt w:val="decimal"/>
      <w:lvlText w:val=""/>
      <w:lvlJc w:val="left"/>
    </w:lvl>
    <w:lvl w:ilvl="8" w:tplc="033EB1C8">
      <w:numFmt w:val="decimal"/>
      <w:lvlText w:val=""/>
      <w:lvlJc w:val="left"/>
    </w:lvl>
  </w:abstractNum>
  <w:abstractNum w:abstractNumId="752" w15:restartNumberingAfterBreak="0">
    <w:nsid w:val="000069C8"/>
    <w:multiLevelType w:val="hybridMultilevel"/>
    <w:tmpl w:val="3C56F870"/>
    <w:lvl w:ilvl="0" w:tplc="7A64ADD4">
      <w:start w:val="1"/>
      <w:numFmt w:val="decimal"/>
      <w:lvlText w:val="%1"/>
      <w:lvlJc w:val="left"/>
    </w:lvl>
    <w:lvl w:ilvl="1" w:tplc="27F425BC">
      <w:start w:val="4"/>
      <w:numFmt w:val="lowerLetter"/>
      <w:lvlText w:val="(%2)"/>
      <w:lvlJc w:val="left"/>
    </w:lvl>
    <w:lvl w:ilvl="2" w:tplc="F30A5520">
      <w:numFmt w:val="decimal"/>
      <w:lvlText w:val=""/>
      <w:lvlJc w:val="left"/>
    </w:lvl>
    <w:lvl w:ilvl="3" w:tplc="19D6A6AC">
      <w:numFmt w:val="decimal"/>
      <w:lvlText w:val=""/>
      <w:lvlJc w:val="left"/>
    </w:lvl>
    <w:lvl w:ilvl="4" w:tplc="8680714A">
      <w:numFmt w:val="decimal"/>
      <w:lvlText w:val=""/>
      <w:lvlJc w:val="left"/>
    </w:lvl>
    <w:lvl w:ilvl="5" w:tplc="8612DE32">
      <w:numFmt w:val="decimal"/>
      <w:lvlText w:val=""/>
      <w:lvlJc w:val="left"/>
    </w:lvl>
    <w:lvl w:ilvl="6" w:tplc="DD907E48">
      <w:numFmt w:val="decimal"/>
      <w:lvlText w:val=""/>
      <w:lvlJc w:val="left"/>
    </w:lvl>
    <w:lvl w:ilvl="7" w:tplc="3042DD96">
      <w:numFmt w:val="decimal"/>
      <w:lvlText w:val=""/>
      <w:lvlJc w:val="left"/>
    </w:lvl>
    <w:lvl w:ilvl="8" w:tplc="7A745792">
      <w:numFmt w:val="decimal"/>
      <w:lvlText w:val=""/>
      <w:lvlJc w:val="left"/>
    </w:lvl>
  </w:abstractNum>
  <w:abstractNum w:abstractNumId="753" w15:restartNumberingAfterBreak="0">
    <w:nsid w:val="000069F4"/>
    <w:multiLevelType w:val="hybridMultilevel"/>
    <w:tmpl w:val="377AC2E6"/>
    <w:lvl w:ilvl="0" w:tplc="AE1E368E">
      <w:start w:val="5"/>
      <w:numFmt w:val="decimal"/>
      <w:lvlText w:val="%1"/>
      <w:lvlJc w:val="left"/>
    </w:lvl>
    <w:lvl w:ilvl="1" w:tplc="41ACD59E">
      <w:numFmt w:val="decimal"/>
      <w:lvlText w:val=""/>
      <w:lvlJc w:val="left"/>
    </w:lvl>
    <w:lvl w:ilvl="2" w:tplc="C8B08828">
      <w:numFmt w:val="decimal"/>
      <w:lvlText w:val=""/>
      <w:lvlJc w:val="left"/>
    </w:lvl>
    <w:lvl w:ilvl="3" w:tplc="F1668DAE">
      <w:numFmt w:val="decimal"/>
      <w:lvlText w:val=""/>
      <w:lvlJc w:val="left"/>
    </w:lvl>
    <w:lvl w:ilvl="4" w:tplc="BDC2516E">
      <w:numFmt w:val="decimal"/>
      <w:lvlText w:val=""/>
      <w:lvlJc w:val="left"/>
    </w:lvl>
    <w:lvl w:ilvl="5" w:tplc="741499B6">
      <w:numFmt w:val="decimal"/>
      <w:lvlText w:val=""/>
      <w:lvlJc w:val="left"/>
    </w:lvl>
    <w:lvl w:ilvl="6" w:tplc="7B6A1846">
      <w:numFmt w:val="decimal"/>
      <w:lvlText w:val=""/>
      <w:lvlJc w:val="left"/>
    </w:lvl>
    <w:lvl w:ilvl="7" w:tplc="99168EE0">
      <w:numFmt w:val="decimal"/>
      <w:lvlText w:val=""/>
      <w:lvlJc w:val="left"/>
    </w:lvl>
    <w:lvl w:ilvl="8" w:tplc="8E8AD44A">
      <w:numFmt w:val="decimal"/>
      <w:lvlText w:val=""/>
      <w:lvlJc w:val="left"/>
    </w:lvl>
  </w:abstractNum>
  <w:abstractNum w:abstractNumId="754" w15:restartNumberingAfterBreak="0">
    <w:nsid w:val="00006A23"/>
    <w:multiLevelType w:val="hybridMultilevel"/>
    <w:tmpl w:val="7488F192"/>
    <w:lvl w:ilvl="0" w:tplc="23B8B7F8">
      <w:start w:val="22"/>
      <w:numFmt w:val="decimal"/>
      <w:lvlText w:val="%1."/>
      <w:lvlJc w:val="left"/>
    </w:lvl>
    <w:lvl w:ilvl="1" w:tplc="1C5A07D0">
      <w:start w:val="1"/>
      <w:numFmt w:val="lowerRoman"/>
      <w:lvlText w:val="%2"/>
      <w:lvlJc w:val="left"/>
    </w:lvl>
    <w:lvl w:ilvl="2" w:tplc="3A787492">
      <w:start w:val="1"/>
      <w:numFmt w:val="lowerRoman"/>
      <w:lvlText w:val="%3"/>
      <w:lvlJc w:val="left"/>
    </w:lvl>
    <w:lvl w:ilvl="3" w:tplc="9746C544">
      <w:start w:val="1"/>
      <w:numFmt w:val="lowerLetter"/>
      <w:lvlText w:val="%4"/>
      <w:lvlJc w:val="left"/>
    </w:lvl>
    <w:lvl w:ilvl="4" w:tplc="5EE4BE36">
      <w:numFmt w:val="decimal"/>
      <w:lvlText w:val=""/>
      <w:lvlJc w:val="left"/>
    </w:lvl>
    <w:lvl w:ilvl="5" w:tplc="B28ACE70">
      <w:numFmt w:val="decimal"/>
      <w:lvlText w:val=""/>
      <w:lvlJc w:val="left"/>
    </w:lvl>
    <w:lvl w:ilvl="6" w:tplc="18F239B2">
      <w:numFmt w:val="decimal"/>
      <w:lvlText w:val=""/>
      <w:lvlJc w:val="left"/>
    </w:lvl>
    <w:lvl w:ilvl="7" w:tplc="CFE8AF86">
      <w:numFmt w:val="decimal"/>
      <w:lvlText w:val=""/>
      <w:lvlJc w:val="left"/>
    </w:lvl>
    <w:lvl w:ilvl="8" w:tplc="421ED37E">
      <w:numFmt w:val="decimal"/>
      <w:lvlText w:val=""/>
      <w:lvlJc w:val="left"/>
    </w:lvl>
  </w:abstractNum>
  <w:abstractNum w:abstractNumId="755" w15:restartNumberingAfterBreak="0">
    <w:nsid w:val="00006A3C"/>
    <w:multiLevelType w:val="hybridMultilevel"/>
    <w:tmpl w:val="2C96C5D6"/>
    <w:lvl w:ilvl="0" w:tplc="53CAD4D2">
      <w:start w:val="3"/>
      <w:numFmt w:val="lowerLetter"/>
      <w:lvlText w:val="(%1)"/>
      <w:lvlJc w:val="left"/>
    </w:lvl>
    <w:lvl w:ilvl="1" w:tplc="2E747362">
      <w:start w:val="1"/>
      <w:numFmt w:val="decimal"/>
      <w:lvlText w:val="%2."/>
      <w:lvlJc w:val="left"/>
    </w:lvl>
    <w:lvl w:ilvl="2" w:tplc="EDA6B732">
      <w:start w:val="1"/>
      <w:numFmt w:val="lowerLetter"/>
      <w:lvlText w:val="%3"/>
      <w:lvlJc w:val="left"/>
    </w:lvl>
    <w:lvl w:ilvl="3" w:tplc="7AC2F20C">
      <w:start w:val="1"/>
      <w:numFmt w:val="lowerRoman"/>
      <w:lvlText w:val="%4"/>
      <w:lvlJc w:val="left"/>
    </w:lvl>
    <w:lvl w:ilvl="4" w:tplc="6764C22A">
      <w:numFmt w:val="decimal"/>
      <w:lvlText w:val=""/>
      <w:lvlJc w:val="left"/>
    </w:lvl>
    <w:lvl w:ilvl="5" w:tplc="5B4874E8">
      <w:numFmt w:val="decimal"/>
      <w:lvlText w:val=""/>
      <w:lvlJc w:val="left"/>
    </w:lvl>
    <w:lvl w:ilvl="6" w:tplc="529A4E96">
      <w:numFmt w:val="decimal"/>
      <w:lvlText w:val=""/>
      <w:lvlJc w:val="left"/>
    </w:lvl>
    <w:lvl w:ilvl="7" w:tplc="3606ED22">
      <w:numFmt w:val="decimal"/>
      <w:lvlText w:val=""/>
      <w:lvlJc w:val="left"/>
    </w:lvl>
    <w:lvl w:ilvl="8" w:tplc="E060505C">
      <w:numFmt w:val="decimal"/>
      <w:lvlText w:val=""/>
      <w:lvlJc w:val="left"/>
    </w:lvl>
  </w:abstractNum>
  <w:abstractNum w:abstractNumId="756" w15:restartNumberingAfterBreak="0">
    <w:nsid w:val="00006A40"/>
    <w:multiLevelType w:val="hybridMultilevel"/>
    <w:tmpl w:val="4036B334"/>
    <w:lvl w:ilvl="0" w:tplc="4D90FAD2">
      <w:start w:val="1"/>
      <w:numFmt w:val="lowerLetter"/>
      <w:lvlText w:val="%1"/>
      <w:lvlJc w:val="left"/>
    </w:lvl>
    <w:lvl w:ilvl="1" w:tplc="CD58220A">
      <w:start w:val="1"/>
      <w:numFmt w:val="lowerLetter"/>
      <w:lvlText w:val="%2"/>
      <w:lvlJc w:val="left"/>
    </w:lvl>
    <w:lvl w:ilvl="2" w:tplc="3086127E">
      <w:start w:val="4"/>
      <w:numFmt w:val="upperLetter"/>
      <w:lvlText w:val="(%3)"/>
      <w:lvlJc w:val="left"/>
    </w:lvl>
    <w:lvl w:ilvl="3" w:tplc="DC5A28BA">
      <w:numFmt w:val="decimal"/>
      <w:lvlText w:val=""/>
      <w:lvlJc w:val="left"/>
    </w:lvl>
    <w:lvl w:ilvl="4" w:tplc="B574D658">
      <w:numFmt w:val="decimal"/>
      <w:lvlText w:val=""/>
      <w:lvlJc w:val="left"/>
    </w:lvl>
    <w:lvl w:ilvl="5" w:tplc="8D14BC0C">
      <w:numFmt w:val="decimal"/>
      <w:lvlText w:val=""/>
      <w:lvlJc w:val="left"/>
    </w:lvl>
    <w:lvl w:ilvl="6" w:tplc="9C249744">
      <w:numFmt w:val="decimal"/>
      <w:lvlText w:val=""/>
      <w:lvlJc w:val="left"/>
    </w:lvl>
    <w:lvl w:ilvl="7" w:tplc="70F8533C">
      <w:numFmt w:val="decimal"/>
      <w:lvlText w:val=""/>
      <w:lvlJc w:val="left"/>
    </w:lvl>
    <w:lvl w:ilvl="8" w:tplc="794614FC">
      <w:numFmt w:val="decimal"/>
      <w:lvlText w:val=""/>
      <w:lvlJc w:val="left"/>
    </w:lvl>
  </w:abstractNum>
  <w:abstractNum w:abstractNumId="757" w15:restartNumberingAfterBreak="0">
    <w:nsid w:val="00006ACA"/>
    <w:multiLevelType w:val="hybridMultilevel"/>
    <w:tmpl w:val="3D2072B8"/>
    <w:lvl w:ilvl="0" w:tplc="5B76395C">
      <w:start w:val="3"/>
      <w:numFmt w:val="decimal"/>
      <w:lvlText w:val="(%1)"/>
      <w:lvlJc w:val="left"/>
    </w:lvl>
    <w:lvl w:ilvl="1" w:tplc="FAB820B0">
      <w:start w:val="1"/>
      <w:numFmt w:val="lowerLetter"/>
      <w:lvlText w:val="(%2)"/>
      <w:lvlJc w:val="left"/>
    </w:lvl>
    <w:lvl w:ilvl="2" w:tplc="426A4DC0">
      <w:numFmt w:val="decimal"/>
      <w:lvlText w:val=""/>
      <w:lvlJc w:val="left"/>
    </w:lvl>
    <w:lvl w:ilvl="3" w:tplc="1F7E93F4">
      <w:numFmt w:val="decimal"/>
      <w:lvlText w:val=""/>
      <w:lvlJc w:val="left"/>
    </w:lvl>
    <w:lvl w:ilvl="4" w:tplc="6EAC24DE">
      <w:numFmt w:val="decimal"/>
      <w:lvlText w:val=""/>
      <w:lvlJc w:val="left"/>
    </w:lvl>
    <w:lvl w:ilvl="5" w:tplc="B3EC1916">
      <w:numFmt w:val="decimal"/>
      <w:lvlText w:val=""/>
      <w:lvlJc w:val="left"/>
    </w:lvl>
    <w:lvl w:ilvl="6" w:tplc="E2D0C48E">
      <w:numFmt w:val="decimal"/>
      <w:lvlText w:val=""/>
      <w:lvlJc w:val="left"/>
    </w:lvl>
    <w:lvl w:ilvl="7" w:tplc="F4ECA63A">
      <w:numFmt w:val="decimal"/>
      <w:lvlText w:val=""/>
      <w:lvlJc w:val="left"/>
    </w:lvl>
    <w:lvl w:ilvl="8" w:tplc="924A96A4">
      <w:numFmt w:val="decimal"/>
      <w:lvlText w:val=""/>
      <w:lvlJc w:val="left"/>
    </w:lvl>
  </w:abstractNum>
  <w:abstractNum w:abstractNumId="758" w15:restartNumberingAfterBreak="0">
    <w:nsid w:val="00006ADE"/>
    <w:multiLevelType w:val="hybridMultilevel"/>
    <w:tmpl w:val="09B85844"/>
    <w:lvl w:ilvl="0" w:tplc="A61C0BD6">
      <w:start w:val="1"/>
      <w:numFmt w:val="lowerLetter"/>
      <w:lvlText w:val="%1"/>
      <w:lvlJc w:val="left"/>
    </w:lvl>
    <w:lvl w:ilvl="1" w:tplc="79005BBA">
      <w:start w:val="3"/>
      <w:numFmt w:val="decimal"/>
      <w:lvlText w:val="%2."/>
      <w:lvlJc w:val="left"/>
    </w:lvl>
    <w:lvl w:ilvl="2" w:tplc="4B56B06C">
      <w:start w:val="1"/>
      <w:numFmt w:val="lowerLetter"/>
      <w:lvlText w:val="%3"/>
      <w:lvlJc w:val="left"/>
    </w:lvl>
    <w:lvl w:ilvl="3" w:tplc="B97EABE2">
      <w:numFmt w:val="decimal"/>
      <w:lvlText w:val=""/>
      <w:lvlJc w:val="left"/>
    </w:lvl>
    <w:lvl w:ilvl="4" w:tplc="AD38E980">
      <w:numFmt w:val="decimal"/>
      <w:lvlText w:val=""/>
      <w:lvlJc w:val="left"/>
    </w:lvl>
    <w:lvl w:ilvl="5" w:tplc="7BB2CDAC">
      <w:numFmt w:val="decimal"/>
      <w:lvlText w:val=""/>
      <w:lvlJc w:val="left"/>
    </w:lvl>
    <w:lvl w:ilvl="6" w:tplc="F8580380">
      <w:numFmt w:val="decimal"/>
      <w:lvlText w:val=""/>
      <w:lvlJc w:val="left"/>
    </w:lvl>
    <w:lvl w:ilvl="7" w:tplc="8EFCC1BE">
      <w:numFmt w:val="decimal"/>
      <w:lvlText w:val=""/>
      <w:lvlJc w:val="left"/>
    </w:lvl>
    <w:lvl w:ilvl="8" w:tplc="42621FCC">
      <w:numFmt w:val="decimal"/>
      <w:lvlText w:val=""/>
      <w:lvlJc w:val="left"/>
    </w:lvl>
  </w:abstractNum>
  <w:abstractNum w:abstractNumId="759" w15:restartNumberingAfterBreak="0">
    <w:nsid w:val="00006AEC"/>
    <w:multiLevelType w:val="hybridMultilevel"/>
    <w:tmpl w:val="F43AF52E"/>
    <w:lvl w:ilvl="0" w:tplc="663EC120">
      <w:start w:val="4"/>
      <w:numFmt w:val="decimal"/>
      <w:lvlText w:val="%1."/>
      <w:lvlJc w:val="left"/>
    </w:lvl>
    <w:lvl w:ilvl="1" w:tplc="7876A420">
      <w:start w:val="1"/>
      <w:numFmt w:val="lowerLetter"/>
      <w:lvlText w:val="%2"/>
      <w:lvlJc w:val="left"/>
    </w:lvl>
    <w:lvl w:ilvl="2" w:tplc="FB5A391C">
      <w:numFmt w:val="decimal"/>
      <w:lvlText w:val=""/>
      <w:lvlJc w:val="left"/>
    </w:lvl>
    <w:lvl w:ilvl="3" w:tplc="6C06C138">
      <w:numFmt w:val="decimal"/>
      <w:lvlText w:val=""/>
      <w:lvlJc w:val="left"/>
    </w:lvl>
    <w:lvl w:ilvl="4" w:tplc="01D0F7E0">
      <w:numFmt w:val="decimal"/>
      <w:lvlText w:val=""/>
      <w:lvlJc w:val="left"/>
    </w:lvl>
    <w:lvl w:ilvl="5" w:tplc="D50CD022">
      <w:numFmt w:val="decimal"/>
      <w:lvlText w:val=""/>
      <w:lvlJc w:val="left"/>
    </w:lvl>
    <w:lvl w:ilvl="6" w:tplc="4B50C42E">
      <w:numFmt w:val="decimal"/>
      <w:lvlText w:val=""/>
      <w:lvlJc w:val="left"/>
    </w:lvl>
    <w:lvl w:ilvl="7" w:tplc="91DE6962">
      <w:numFmt w:val="decimal"/>
      <w:lvlText w:val=""/>
      <w:lvlJc w:val="left"/>
    </w:lvl>
    <w:lvl w:ilvl="8" w:tplc="4794879A">
      <w:numFmt w:val="decimal"/>
      <w:lvlText w:val=""/>
      <w:lvlJc w:val="left"/>
    </w:lvl>
  </w:abstractNum>
  <w:abstractNum w:abstractNumId="760" w15:restartNumberingAfterBreak="0">
    <w:nsid w:val="00006B17"/>
    <w:multiLevelType w:val="hybridMultilevel"/>
    <w:tmpl w:val="F8CE88DA"/>
    <w:lvl w:ilvl="0" w:tplc="A378A236">
      <w:start w:val="1"/>
      <w:numFmt w:val="lowerLetter"/>
      <w:lvlText w:val="%1"/>
      <w:lvlJc w:val="left"/>
    </w:lvl>
    <w:lvl w:ilvl="1" w:tplc="6B4E0D8C">
      <w:start w:val="1"/>
      <w:numFmt w:val="decimal"/>
      <w:lvlText w:val="%2."/>
      <w:lvlJc w:val="left"/>
    </w:lvl>
    <w:lvl w:ilvl="2" w:tplc="F5DCB7D4">
      <w:numFmt w:val="decimal"/>
      <w:lvlText w:val=""/>
      <w:lvlJc w:val="left"/>
    </w:lvl>
    <w:lvl w:ilvl="3" w:tplc="DD408A86">
      <w:numFmt w:val="decimal"/>
      <w:lvlText w:val=""/>
      <w:lvlJc w:val="left"/>
    </w:lvl>
    <w:lvl w:ilvl="4" w:tplc="C3DED662">
      <w:numFmt w:val="decimal"/>
      <w:lvlText w:val=""/>
      <w:lvlJc w:val="left"/>
    </w:lvl>
    <w:lvl w:ilvl="5" w:tplc="13A8969C">
      <w:numFmt w:val="decimal"/>
      <w:lvlText w:val=""/>
      <w:lvlJc w:val="left"/>
    </w:lvl>
    <w:lvl w:ilvl="6" w:tplc="451806C4">
      <w:numFmt w:val="decimal"/>
      <w:lvlText w:val=""/>
      <w:lvlJc w:val="left"/>
    </w:lvl>
    <w:lvl w:ilvl="7" w:tplc="0308AD78">
      <w:numFmt w:val="decimal"/>
      <w:lvlText w:val=""/>
      <w:lvlJc w:val="left"/>
    </w:lvl>
    <w:lvl w:ilvl="8" w:tplc="45DED5C6">
      <w:numFmt w:val="decimal"/>
      <w:lvlText w:val=""/>
      <w:lvlJc w:val="left"/>
    </w:lvl>
  </w:abstractNum>
  <w:abstractNum w:abstractNumId="761" w15:restartNumberingAfterBreak="0">
    <w:nsid w:val="00006B28"/>
    <w:multiLevelType w:val="hybridMultilevel"/>
    <w:tmpl w:val="E1447DD6"/>
    <w:lvl w:ilvl="0" w:tplc="663A4FE8">
      <w:start w:val="1"/>
      <w:numFmt w:val="upperRoman"/>
      <w:lvlText w:val="%1."/>
      <w:lvlJc w:val="right"/>
      <w:rPr>
        <w:rFonts w:hint="default"/>
        <w:sz w:val="18"/>
        <w:szCs w:val="18"/>
      </w:rPr>
    </w:lvl>
    <w:lvl w:ilvl="1" w:tplc="19146376">
      <w:numFmt w:val="decimal"/>
      <w:lvlText w:val=""/>
      <w:lvlJc w:val="left"/>
    </w:lvl>
    <w:lvl w:ilvl="2" w:tplc="21FE7486">
      <w:numFmt w:val="decimal"/>
      <w:lvlText w:val=""/>
      <w:lvlJc w:val="left"/>
    </w:lvl>
    <w:lvl w:ilvl="3" w:tplc="97EA57E2">
      <w:numFmt w:val="decimal"/>
      <w:lvlText w:val=""/>
      <w:lvlJc w:val="left"/>
    </w:lvl>
    <w:lvl w:ilvl="4" w:tplc="F53A35CC">
      <w:numFmt w:val="decimal"/>
      <w:lvlText w:val=""/>
      <w:lvlJc w:val="left"/>
    </w:lvl>
    <w:lvl w:ilvl="5" w:tplc="27900410">
      <w:numFmt w:val="decimal"/>
      <w:lvlText w:val=""/>
      <w:lvlJc w:val="left"/>
    </w:lvl>
    <w:lvl w:ilvl="6" w:tplc="131A0FF8">
      <w:numFmt w:val="decimal"/>
      <w:lvlText w:val=""/>
      <w:lvlJc w:val="left"/>
    </w:lvl>
    <w:lvl w:ilvl="7" w:tplc="DB3C06F0">
      <w:numFmt w:val="decimal"/>
      <w:lvlText w:val=""/>
      <w:lvlJc w:val="left"/>
    </w:lvl>
    <w:lvl w:ilvl="8" w:tplc="5F06E560">
      <w:numFmt w:val="decimal"/>
      <w:lvlText w:val=""/>
      <w:lvlJc w:val="left"/>
    </w:lvl>
  </w:abstractNum>
  <w:abstractNum w:abstractNumId="762" w15:restartNumberingAfterBreak="0">
    <w:nsid w:val="00006B49"/>
    <w:multiLevelType w:val="hybridMultilevel"/>
    <w:tmpl w:val="85B8857E"/>
    <w:lvl w:ilvl="0" w:tplc="CD4C89CA">
      <w:start w:val="1"/>
      <w:numFmt w:val="decimal"/>
      <w:lvlText w:val="%1"/>
      <w:lvlJc w:val="left"/>
    </w:lvl>
    <w:lvl w:ilvl="1" w:tplc="82DCDB04">
      <w:start w:val="2"/>
      <w:numFmt w:val="lowerLetter"/>
      <w:lvlText w:val="(%2)"/>
      <w:lvlJc w:val="left"/>
    </w:lvl>
    <w:lvl w:ilvl="2" w:tplc="D8E45A40">
      <w:start w:val="1"/>
      <w:numFmt w:val="decimal"/>
      <w:lvlText w:val="%3"/>
      <w:lvlJc w:val="left"/>
    </w:lvl>
    <w:lvl w:ilvl="3" w:tplc="B66E411C">
      <w:numFmt w:val="decimal"/>
      <w:lvlText w:val=""/>
      <w:lvlJc w:val="left"/>
    </w:lvl>
    <w:lvl w:ilvl="4" w:tplc="42DC5DBC">
      <w:numFmt w:val="decimal"/>
      <w:lvlText w:val=""/>
      <w:lvlJc w:val="left"/>
    </w:lvl>
    <w:lvl w:ilvl="5" w:tplc="825A2B3E">
      <w:numFmt w:val="decimal"/>
      <w:lvlText w:val=""/>
      <w:lvlJc w:val="left"/>
    </w:lvl>
    <w:lvl w:ilvl="6" w:tplc="3CCAA3A2">
      <w:numFmt w:val="decimal"/>
      <w:lvlText w:val=""/>
      <w:lvlJc w:val="left"/>
    </w:lvl>
    <w:lvl w:ilvl="7" w:tplc="E5C42664">
      <w:numFmt w:val="decimal"/>
      <w:lvlText w:val=""/>
      <w:lvlJc w:val="left"/>
    </w:lvl>
    <w:lvl w:ilvl="8" w:tplc="2730AD66">
      <w:numFmt w:val="decimal"/>
      <w:lvlText w:val=""/>
      <w:lvlJc w:val="left"/>
    </w:lvl>
  </w:abstractNum>
  <w:abstractNum w:abstractNumId="763" w15:restartNumberingAfterBreak="0">
    <w:nsid w:val="00006BB9"/>
    <w:multiLevelType w:val="hybridMultilevel"/>
    <w:tmpl w:val="4724A856"/>
    <w:lvl w:ilvl="0" w:tplc="F2A67680">
      <w:start w:val="1"/>
      <w:numFmt w:val="decimal"/>
      <w:lvlText w:val="(%1)"/>
      <w:lvlJc w:val="left"/>
    </w:lvl>
    <w:lvl w:ilvl="1" w:tplc="6CDA7E86">
      <w:start w:val="1"/>
      <w:numFmt w:val="lowerLetter"/>
      <w:lvlText w:val="(%2)"/>
      <w:lvlJc w:val="left"/>
    </w:lvl>
    <w:lvl w:ilvl="2" w:tplc="70FE23DA">
      <w:start w:val="1"/>
      <w:numFmt w:val="decimal"/>
      <w:lvlText w:val="%3."/>
      <w:lvlJc w:val="left"/>
      <w:rPr>
        <w:sz w:val="24"/>
        <w:szCs w:val="24"/>
      </w:rPr>
    </w:lvl>
    <w:lvl w:ilvl="3" w:tplc="D8246956">
      <w:numFmt w:val="decimal"/>
      <w:lvlText w:val=""/>
      <w:lvlJc w:val="left"/>
    </w:lvl>
    <w:lvl w:ilvl="4" w:tplc="A2787BA0">
      <w:numFmt w:val="decimal"/>
      <w:lvlText w:val=""/>
      <w:lvlJc w:val="left"/>
    </w:lvl>
    <w:lvl w:ilvl="5" w:tplc="3E464DD8">
      <w:numFmt w:val="decimal"/>
      <w:lvlText w:val=""/>
      <w:lvlJc w:val="left"/>
    </w:lvl>
    <w:lvl w:ilvl="6" w:tplc="D634201E">
      <w:numFmt w:val="decimal"/>
      <w:lvlText w:val=""/>
      <w:lvlJc w:val="left"/>
    </w:lvl>
    <w:lvl w:ilvl="7" w:tplc="962A5B52">
      <w:numFmt w:val="decimal"/>
      <w:lvlText w:val=""/>
      <w:lvlJc w:val="left"/>
    </w:lvl>
    <w:lvl w:ilvl="8" w:tplc="B69040FC">
      <w:numFmt w:val="decimal"/>
      <w:lvlText w:val=""/>
      <w:lvlJc w:val="left"/>
    </w:lvl>
  </w:abstractNum>
  <w:abstractNum w:abstractNumId="764" w15:restartNumberingAfterBreak="0">
    <w:nsid w:val="00006BCA"/>
    <w:multiLevelType w:val="hybridMultilevel"/>
    <w:tmpl w:val="6F92A3EA"/>
    <w:lvl w:ilvl="0" w:tplc="CC463890">
      <w:start w:val="1"/>
      <w:numFmt w:val="decimal"/>
      <w:lvlText w:val="%1"/>
      <w:lvlJc w:val="left"/>
    </w:lvl>
    <w:lvl w:ilvl="1" w:tplc="4BFEA3CA">
      <w:start w:val="7"/>
      <w:numFmt w:val="lowerLetter"/>
      <w:lvlText w:val="%2."/>
      <w:lvlJc w:val="left"/>
    </w:lvl>
    <w:lvl w:ilvl="2" w:tplc="F05A6302">
      <w:start w:val="1"/>
      <w:numFmt w:val="lowerRoman"/>
      <w:lvlText w:val="%3"/>
      <w:lvlJc w:val="left"/>
    </w:lvl>
    <w:lvl w:ilvl="3" w:tplc="C2746C04">
      <w:numFmt w:val="decimal"/>
      <w:lvlText w:val=""/>
      <w:lvlJc w:val="left"/>
    </w:lvl>
    <w:lvl w:ilvl="4" w:tplc="44641066">
      <w:numFmt w:val="decimal"/>
      <w:lvlText w:val=""/>
      <w:lvlJc w:val="left"/>
    </w:lvl>
    <w:lvl w:ilvl="5" w:tplc="8CBEB5BE">
      <w:numFmt w:val="decimal"/>
      <w:lvlText w:val=""/>
      <w:lvlJc w:val="left"/>
    </w:lvl>
    <w:lvl w:ilvl="6" w:tplc="C70A7222">
      <w:numFmt w:val="decimal"/>
      <w:lvlText w:val=""/>
      <w:lvlJc w:val="left"/>
    </w:lvl>
    <w:lvl w:ilvl="7" w:tplc="E78C9730">
      <w:numFmt w:val="decimal"/>
      <w:lvlText w:val=""/>
      <w:lvlJc w:val="left"/>
    </w:lvl>
    <w:lvl w:ilvl="8" w:tplc="B8C0437A">
      <w:numFmt w:val="decimal"/>
      <w:lvlText w:val=""/>
      <w:lvlJc w:val="left"/>
    </w:lvl>
  </w:abstractNum>
  <w:abstractNum w:abstractNumId="765" w15:restartNumberingAfterBreak="0">
    <w:nsid w:val="00006BD6"/>
    <w:multiLevelType w:val="hybridMultilevel"/>
    <w:tmpl w:val="9E84D46A"/>
    <w:lvl w:ilvl="0" w:tplc="73DC2F5C">
      <w:start w:val="1"/>
      <w:numFmt w:val="lowerLetter"/>
      <w:lvlText w:val="%1"/>
      <w:lvlJc w:val="left"/>
    </w:lvl>
    <w:lvl w:ilvl="1" w:tplc="56661984">
      <w:start w:val="310"/>
      <w:numFmt w:val="decimal"/>
      <w:lvlText w:val="%2"/>
      <w:lvlJc w:val="left"/>
    </w:lvl>
    <w:lvl w:ilvl="2" w:tplc="2CFAB758">
      <w:start w:val="1"/>
      <w:numFmt w:val="lowerLetter"/>
      <w:lvlText w:val="%3."/>
      <w:lvlJc w:val="left"/>
    </w:lvl>
    <w:lvl w:ilvl="3" w:tplc="4F3AC616">
      <w:start w:val="1"/>
      <w:numFmt w:val="lowerRoman"/>
      <w:lvlText w:val="%4"/>
      <w:lvlJc w:val="left"/>
    </w:lvl>
    <w:lvl w:ilvl="4" w:tplc="B09CBDC2">
      <w:numFmt w:val="decimal"/>
      <w:lvlText w:val=""/>
      <w:lvlJc w:val="left"/>
    </w:lvl>
    <w:lvl w:ilvl="5" w:tplc="6CD25696">
      <w:numFmt w:val="decimal"/>
      <w:lvlText w:val=""/>
      <w:lvlJc w:val="left"/>
    </w:lvl>
    <w:lvl w:ilvl="6" w:tplc="300475CA">
      <w:numFmt w:val="decimal"/>
      <w:lvlText w:val=""/>
      <w:lvlJc w:val="left"/>
    </w:lvl>
    <w:lvl w:ilvl="7" w:tplc="4224D36C">
      <w:numFmt w:val="decimal"/>
      <w:lvlText w:val=""/>
      <w:lvlJc w:val="left"/>
    </w:lvl>
    <w:lvl w:ilvl="8" w:tplc="58288EA2">
      <w:numFmt w:val="decimal"/>
      <w:lvlText w:val=""/>
      <w:lvlJc w:val="left"/>
    </w:lvl>
  </w:abstractNum>
  <w:abstractNum w:abstractNumId="766" w15:restartNumberingAfterBreak="0">
    <w:nsid w:val="00006C01"/>
    <w:multiLevelType w:val="hybridMultilevel"/>
    <w:tmpl w:val="A1908446"/>
    <w:lvl w:ilvl="0" w:tplc="DBF003AA">
      <w:start w:val="2"/>
      <w:numFmt w:val="decimal"/>
      <w:lvlText w:val="%1"/>
      <w:lvlJc w:val="left"/>
      <w:rPr>
        <w:vertAlign w:val="superscript"/>
      </w:rPr>
    </w:lvl>
    <w:lvl w:ilvl="1" w:tplc="F574F166">
      <w:numFmt w:val="decimal"/>
      <w:lvlText w:val=""/>
      <w:lvlJc w:val="left"/>
    </w:lvl>
    <w:lvl w:ilvl="2" w:tplc="8B8E48B2">
      <w:numFmt w:val="decimal"/>
      <w:lvlText w:val=""/>
      <w:lvlJc w:val="left"/>
    </w:lvl>
    <w:lvl w:ilvl="3" w:tplc="389E581C">
      <w:numFmt w:val="decimal"/>
      <w:lvlText w:val=""/>
      <w:lvlJc w:val="left"/>
    </w:lvl>
    <w:lvl w:ilvl="4" w:tplc="98187AD4">
      <w:numFmt w:val="decimal"/>
      <w:lvlText w:val=""/>
      <w:lvlJc w:val="left"/>
    </w:lvl>
    <w:lvl w:ilvl="5" w:tplc="A4B2B712">
      <w:numFmt w:val="decimal"/>
      <w:lvlText w:val=""/>
      <w:lvlJc w:val="left"/>
    </w:lvl>
    <w:lvl w:ilvl="6" w:tplc="A770DD34">
      <w:numFmt w:val="decimal"/>
      <w:lvlText w:val=""/>
      <w:lvlJc w:val="left"/>
    </w:lvl>
    <w:lvl w:ilvl="7" w:tplc="A1BE6E60">
      <w:numFmt w:val="decimal"/>
      <w:lvlText w:val=""/>
      <w:lvlJc w:val="left"/>
    </w:lvl>
    <w:lvl w:ilvl="8" w:tplc="F7F87FBE">
      <w:numFmt w:val="decimal"/>
      <w:lvlText w:val=""/>
      <w:lvlJc w:val="left"/>
    </w:lvl>
  </w:abstractNum>
  <w:abstractNum w:abstractNumId="767" w15:restartNumberingAfterBreak="0">
    <w:nsid w:val="00006C0F"/>
    <w:multiLevelType w:val="hybridMultilevel"/>
    <w:tmpl w:val="C9F441FA"/>
    <w:lvl w:ilvl="0" w:tplc="5F800762">
      <w:start w:val="3"/>
      <w:numFmt w:val="lowerLetter"/>
      <w:lvlText w:val="(%1)"/>
      <w:lvlJc w:val="left"/>
    </w:lvl>
    <w:lvl w:ilvl="1" w:tplc="AFE69472">
      <w:numFmt w:val="decimal"/>
      <w:lvlText w:val=""/>
      <w:lvlJc w:val="left"/>
    </w:lvl>
    <w:lvl w:ilvl="2" w:tplc="5E4A9C7C">
      <w:numFmt w:val="decimal"/>
      <w:lvlText w:val=""/>
      <w:lvlJc w:val="left"/>
    </w:lvl>
    <w:lvl w:ilvl="3" w:tplc="CB0873DA">
      <w:numFmt w:val="decimal"/>
      <w:lvlText w:val=""/>
      <w:lvlJc w:val="left"/>
    </w:lvl>
    <w:lvl w:ilvl="4" w:tplc="09B8577E">
      <w:numFmt w:val="decimal"/>
      <w:lvlText w:val=""/>
      <w:lvlJc w:val="left"/>
    </w:lvl>
    <w:lvl w:ilvl="5" w:tplc="F9945F4C">
      <w:numFmt w:val="decimal"/>
      <w:lvlText w:val=""/>
      <w:lvlJc w:val="left"/>
    </w:lvl>
    <w:lvl w:ilvl="6" w:tplc="793C8EF4">
      <w:numFmt w:val="decimal"/>
      <w:lvlText w:val=""/>
      <w:lvlJc w:val="left"/>
    </w:lvl>
    <w:lvl w:ilvl="7" w:tplc="9E4A2CB0">
      <w:numFmt w:val="decimal"/>
      <w:lvlText w:val=""/>
      <w:lvlJc w:val="left"/>
    </w:lvl>
    <w:lvl w:ilvl="8" w:tplc="E09E9CE0">
      <w:numFmt w:val="decimal"/>
      <w:lvlText w:val=""/>
      <w:lvlJc w:val="left"/>
    </w:lvl>
  </w:abstractNum>
  <w:abstractNum w:abstractNumId="768" w15:restartNumberingAfterBreak="0">
    <w:nsid w:val="00006C12"/>
    <w:multiLevelType w:val="hybridMultilevel"/>
    <w:tmpl w:val="0CFEC324"/>
    <w:lvl w:ilvl="0" w:tplc="C27E038C">
      <w:start w:val="2"/>
      <w:numFmt w:val="lowerLetter"/>
      <w:lvlText w:val="(%1)"/>
      <w:lvlJc w:val="left"/>
    </w:lvl>
    <w:lvl w:ilvl="1" w:tplc="90C09812">
      <w:start w:val="1"/>
      <w:numFmt w:val="decimal"/>
      <w:lvlText w:val="%2."/>
      <w:lvlJc w:val="left"/>
    </w:lvl>
    <w:lvl w:ilvl="2" w:tplc="546AD46E">
      <w:numFmt w:val="decimal"/>
      <w:lvlText w:val=""/>
      <w:lvlJc w:val="left"/>
    </w:lvl>
    <w:lvl w:ilvl="3" w:tplc="243C8330">
      <w:numFmt w:val="decimal"/>
      <w:lvlText w:val=""/>
      <w:lvlJc w:val="left"/>
    </w:lvl>
    <w:lvl w:ilvl="4" w:tplc="61BE0CF0">
      <w:numFmt w:val="decimal"/>
      <w:lvlText w:val=""/>
      <w:lvlJc w:val="left"/>
    </w:lvl>
    <w:lvl w:ilvl="5" w:tplc="D11A63FE">
      <w:numFmt w:val="decimal"/>
      <w:lvlText w:val=""/>
      <w:lvlJc w:val="left"/>
    </w:lvl>
    <w:lvl w:ilvl="6" w:tplc="7398FD50">
      <w:numFmt w:val="decimal"/>
      <w:lvlText w:val=""/>
      <w:lvlJc w:val="left"/>
    </w:lvl>
    <w:lvl w:ilvl="7" w:tplc="762AC530">
      <w:numFmt w:val="decimal"/>
      <w:lvlText w:val=""/>
      <w:lvlJc w:val="left"/>
    </w:lvl>
    <w:lvl w:ilvl="8" w:tplc="3A3C9388">
      <w:numFmt w:val="decimal"/>
      <w:lvlText w:val=""/>
      <w:lvlJc w:val="left"/>
    </w:lvl>
  </w:abstractNum>
  <w:abstractNum w:abstractNumId="769" w15:restartNumberingAfterBreak="0">
    <w:nsid w:val="00006C69"/>
    <w:multiLevelType w:val="hybridMultilevel"/>
    <w:tmpl w:val="6922A9FE"/>
    <w:lvl w:ilvl="0" w:tplc="FCB8B3A8">
      <w:start w:val="1"/>
      <w:numFmt w:val="decimal"/>
      <w:lvlText w:val="%1"/>
      <w:lvlJc w:val="left"/>
    </w:lvl>
    <w:lvl w:ilvl="1" w:tplc="C3CE709A">
      <w:start w:val="2"/>
      <w:numFmt w:val="lowerLetter"/>
      <w:lvlText w:val="(%2)"/>
      <w:lvlJc w:val="left"/>
    </w:lvl>
    <w:lvl w:ilvl="2" w:tplc="5298F6D6">
      <w:start w:val="1"/>
      <w:numFmt w:val="decimal"/>
      <w:lvlText w:val="%3."/>
      <w:lvlJc w:val="left"/>
    </w:lvl>
    <w:lvl w:ilvl="3" w:tplc="0E681260">
      <w:numFmt w:val="decimal"/>
      <w:lvlText w:val=""/>
      <w:lvlJc w:val="left"/>
    </w:lvl>
    <w:lvl w:ilvl="4" w:tplc="606C69FA">
      <w:numFmt w:val="decimal"/>
      <w:lvlText w:val=""/>
      <w:lvlJc w:val="left"/>
    </w:lvl>
    <w:lvl w:ilvl="5" w:tplc="1B9A2F16">
      <w:numFmt w:val="decimal"/>
      <w:lvlText w:val=""/>
      <w:lvlJc w:val="left"/>
    </w:lvl>
    <w:lvl w:ilvl="6" w:tplc="EBCA5782">
      <w:numFmt w:val="decimal"/>
      <w:lvlText w:val=""/>
      <w:lvlJc w:val="left"/>
    </w:lvl>
    <w:lvl w:ilvl="7" w:tplc="9D4877A6">
      <w:numFmt w:val="decimal"/>
      <w:lvlText w:val=""/>
      <w:lvlJc w:val="left"/>
    </w:lvl>
    <w:lvl w:ilvl="8" w:tplc="80AA8514">
      <w:numFmt w:val="decimal"/>
      <w:lvlText w:val=""/>
      <w:lvlJc w:val="left"/>
    </w:lvl>
  </w:abstractNum>
  <w:abstractNum w:abstractNumId="770" w15:restartNumberingAfterBreak="0">
    <w:nsid w:val="00006D0E"/>
    <w:multiLevelType w:val="hybridMultilevel"/>
    <w:tmpl w:val="EA648386"/>
    <w:lvl w:ilvl="0" w:tplc="5AC8421E">
      <w:start w:val="1"/>
      <w:numFmt w:val="decimal"/>
      <w:lvlText w:val="(%1)"/>
      <w:lvlJc w:val="left"/>
    </w:lvl>
    <w:lvl w:ilvl="1" w:tplc="D47EA540">
      <w:start w:val="1"/>
      <w:numFmt w:val="lowerLetter"/>
      <w:lvlText w:val="(%2)"/>
      <w:lvlJc w:val="left"/>
    </w:lvl>
    <w:lvl w:ilvl="2" w:tplc="08D888E0">
      <w:start w:val="1"/>
      <w:numFmt w:val="decimal"/>
      <w:lvlText w:val="%3."/>
      <w:lvlJc w:val="left"/>
    </w:lvl>
    <w:lvl w:ilvl="3" w:tplc="8D1E3604">
      <w:start w:val="1"/>
      <w:numFmt w:val="lowerLetter"/>
      <w:lvlText w:val="%4"/>
      <w:lvlJc w:val="left"/>
    </w:lvl>
    <w:lvl w:ilvl="4" w:tplc="7DE4FB72">
      <w:numFmt w:val="decimal"/>
      <w:lvlText w:val=""/>
      <w:lvlJc w:val="left"/>
    </w:lvl>
    <w:lvl w:ilvl="5" w:tplc="D602B95E">
      <w:numFmt w:val="decimal"/>
      <w:lvlText w:val=""/>
      <w:lvlJc w:val="left"/>
    </w:lvl>
    <w:lvl w:ilvl="6" w:tplc="E2B49934">
      <w:numFmt w:val="decimal"/>
      <w:lvlText w:val=""/>
      <w:lvlJc w:val="left"/>
    </w:lvl>
    <w:lvl w:ilvl="7" w:tplc="F63271B4">
      <w:numFmt w:val="decimal"/>
      <w:lvlText w:val=""/>
      <w:lvlJc w:val="left"/>
    </w:lvl>
    <w:lvl w:ilvl="8" w:tplc="676CF7C0">
      <w:numFmt w:val="decimal"/>
      <w:lvlText w:val=""/>
      <w:lvlJc w:val="left"/>
    </w:lvl>
  </w:abstractNum>
  <w:abstractNum w:abstractNumId="771" w15:restartNumberingAfterBreak="0">
    <w:nsid w:val="00006D20"/>
    <w:multiLevelType w:val="hybridMultilevel"/>
    <w:tmpl w:val="08FA9DAE"/>
    <w:lvl w:ilvl="0" w:tplc="BF8625DC">
      <w:start w:val="1"/>
      <w:numFmt w:val="decimal"/>
      <w:lvlText w:val="%1"/>
      <w:lvlJc w:val="left"/>
    </w:lvl>
    <w:lvl w:ilvl="1" w:tplc="F342BAD2">
      <w:start w:val="5"/>
      <w:numFmt w:val="lowerLetter"/>
      <w:lvlText w:val="(%2)"/>
      <w:lvlJc w:val="left"/>
    </w:lvl>
    <w:lvl w:ilvl="2" w:tplc="B6569386">
      <w:start w:val="1"/>
      <w:numFmt w:val="decimal"/>
      <w:lvlText w:val="%3."/>
      <w:lvlJc w:val="left"/>
    </w:lvl>
    <w:lvl w:ilvl="3" w:tplc="20166DDE">
      <w:start w:val="1"/>
      <w:numFmt w:val="lowerLetter"/>
      <w:lvlText w:val="%4."/>
      <w:lvlJc w:val="left"/>
    </w:lvl>
    <w:lvl w:ilvl="4" w:tplc="4046317E">
      <w:numFmt w:val="decimal"/>
      <w:lvlText w:val=""/>
      <w:lvlJc w:val="left"/>
    </w:lvl>
    <w:lvl w:ilvl="5" w:tplc="0CE61A6E">
      <w:numFmt w:val="decimal"/>
      <w:lvlText w:val=""/>
      <w:lvlJc w:val="left"/>
    </w:lvl>
    <w:lvl w:ilvl="6" w:tplc="47760E4C">
      <w:numFmt w:val="decimal"/>
      <w:lvlText w:val=""/>
      <w:lvlJc w:val="left"/>
    </w:lvl>
    <w:lvl w:ilvl="7" w:tplc="C35AF38C">
      <w:numFmt w:val="decimal"/>
      <w:lvlText w:val=""/>
      <w:lvlJc w:val="left"/>
    </w:lvl>
    <w:lvl w:ilvl="8" w:tplc="CAF0F2E8">
      <w:numFmt w:val="decimal"/>
      <w:lvlText w:val=""/>
      <w:lvlJc w:val="left"/>
    </w:lvl>
  </w:abstractNum>
  <w:abstractNum w:abstractNumId="772" w15:restartNumberingAfterBreak="0">
    <w:nsid w:val="00006D3F"/>
    <w:multiLevelType w:val="hybridMultilevel"/>
    <w:tmpl w:val="BE4CE40E"/>
    <w:lvl w:ilvl="0" w:tplc="8D04535C">
      <w:start w:val="1"/>
      <w:numFmt w:val="decimal"/>
      <w:lvlText w:val="(%1)"/>
      <w:lvlJc w:val="left"/>
    </w:lvl>
    <w:lvl w:ilvl="1" w:tplc="71205DB4">
      <w:numFmt w:val="decimal"/>
      <w:lvlText w:val=""/>
      <w:lvlJc w:val="left"/>
    </w:lvl>
    <w:lvl w:ilvl="2" w:tplc="19A0944E">
      <w:numFmt w:val="decimal"/>
      <w:lvlText w:val=""/>
      <w:lvlJc w:val="left"/>
    </w:lvl>
    <w:lvl w:ilvl="3" w:tplc="E4F2D5F4">
      <w:numFmt w:val="decimal"/>
      <w:lvlText w:val=""/>
      <w:lvlJc w:val="left"/>
    </w:lvl>
    <w:lvl w:ilvl="4" w:tplc="83DE5C54">
      <w:numFmt w:val="decimal"/>
      <w:lvlText w:val=""/>
      <w:lvlJc w:val="left"/>
    </w:lvl>
    <w:lvl w:ilvl="5" w:tplc="9868459A">
      <w:numFmt w:val="decimal"/>
      <w:lvlText w:val=""/>
      <w:lvlJc w:val="left"/>
    </w:lvl>
    <w:lvl w:ilvl="6" w:tplc="ADF6469C">
      <w:numFmt w:val="decimal"/>
      <w:lvlText w:val=""/>
      <w:lvlJc w:val="left"/>
    </w:lvl>
    <w:lvl w:ilvl="7" w:tplc="3C24BA48">
      <w:numFmt w:val="decimal"/>
      <w:lvlText w:val=""/>
      <w:lvlJc w:val="left"/>
    </w:lvl>
    <w:lvl w:ilvl="8" w:tplc="04883BD6">
      <w:numFmt w:val="decimal"/>
      <w:lvlText w:val=""/>
      <w:lvlJc w:val="left"/>
    </w:lvl>
  </w:abstractNum>
  <w:abstractNum w:abstractNumId="773" w15:restartNumberingAfterBreak="0">
    <w:nsid w:val="00006DAA"/>
    <w:multiLevelType w:val="hybridMultilevel"/>
    <w:tmpl w:val="9F724942"/>
    <w:lvl w:ilvl="0" w:tplc="F6CCA350">
      <w:start w:val="1"/>
      <w:numFmt w:val="decimal"/>
      <w:lvlText w:val="%1"/>
      <w:lvlJc w:val="left"/>
    </w:lvl>
    <w:lvl w:ilvl="1" w:tplc="9FB80280">
      <w:start w:val="1"/>
      <w:numFmt w:val="lowerLetter"/>
      <w:lvlText w:val="%2"/>
      <w:lvlJc w:val="left"/>
    </w:lvl>
    <w:lvl w:ilvl="2" w:tplc="31A03CF8">
      <w:start w:val="1"/>
      <w:numFmt w:val="decimal"/>
      <w:lvlText w:val="%3"/>
      <w:lvlJc w:val="left"/>
    </w:lvl>
    <w:lvl w:ilvl="3" w:tplc="82E8690A">
      <w:start w:val="2"/>
      <w:numFmt w:val="lowerLetter"/>
      <w:lvlText w:val="%4."/>
      <w:lvlJc w:val="left"/>
    </w:lvl>
    <w:lvl w:ilvl="4" w:tplc="FADA42B2">
      <w:numFmt w:val="decimal"/>
      <w:lvlText w:val=""/>
      <w:lvlJc w:val="left"/>
    </w:lvl>
    <w:lvl w:ilvl="5" w:tplc="FEEA22C6">
      <w:numFmt w:val="decimal"/>
      <w:lvlText w:val=""/>
      <w:lvlJc w:val="left"/>
    </w:lvl>
    <w:lvl w:ilvl="6" w:tplc="491E511A">
      <w:numFmt w:val="decimal"/>
      <w:lvlText w:val=""/>
      <w:lvlJc w:val="left"/>
    </w:lvl>
    <w:lvl w:ilvl="7" w:tplc="D92AD568">
      <w:numFmt w:val="decimal"/>
      <w:lvlText w:val=""/>
      <w:lvlJc w:val="left"/>
    </w:lvl>
    <w:lvl w:ilvl="8" w:tplc="76761EC8">
      <w:numFmt w:val="decimal"/>
      <w:lvlText w:val=""/>
      <w:lvlJc w:val="left"/>
    </w:lvl>
  </w:abstractNum>
  <w:abstractNum w:abstractNumId="774" w15:restartNumberingAfterBreak="0">
    <w:nsid w:val="00006DD6"/>
    <w:multiLevelType w:val="hybridMultilevel"/>
    <w:tmpl w:val="0ACA4480"/>
    <w:lvl w:ilvl="0" w:tplc="34920D68">
      <w:start w:val="1"/>
      <w:numFmt w:val="decimal"/>
      <w:lvlText w:val="%1"/>
      <w:lvlJc w:val="left"/>
    </w:lvl>
    <w:lvl w:ilvl="1" w:tplc="8F866D74">
      <w:start w:val="6"/>
      <w:numFmt w:val="lowerLetter"/>
      <w:lvlText w:val="(%2)"/>
      <w:lvlJc w:val="left"/>
    </w:lvl>
    <w:lvl w:ilvl="2" w:tplc="566E4696">
      <w:start w:val="1"/>
      <w:numFmt w:val="decimal"/>
      <w:lvlText w:val="%3"/>
      <w:lvlJc w:val="left"/>
    </w:lvl>
    <w:lvl w:ilvl="3" w:tplc="3F7CDC28">
      <w:numFmt w:val="decimal"/>
      <w:lvlText w:val=""/>
      <w:lvlJc w:val="left"/>
    </w:lvl>
    <w:lvl w:ilvl="4" w:tplc="8B14EA96">
      <w:numFmt w:val="decimal"/>
      <w:lvlText w:val=""/>
      <w:lvlJc w:val="left"/>
    </w:lvl>
    <w:lvl w:ilvl="5" w:tplc="359045A6">
      <w:numFmt w:val="decimal"/>
      <w:lvlText w:val=""/>
      <w:lvlJc w:val="left"/>
    </w:lvl>
    <w:lvl w:ilvl="6" w:tplc="6812DDD4">
      <w:numFmt w:val="decimal"/>
      <w:lvlText w:val=""/>
      <w:lvlJc w:val="left"/>
    </w:lvl>
    <w:lvl w:ilvl="7" w:tplc="9CF4CF5E">
      <w:numFmt w:val="decimal"/>
      <w:lvlText w:val=""/>
      <w:lvlJc w:val="left"/>
    </w:lvl>
    <w:lvl w:ilvl="8" w:tplc="FADC9436">
      <w:numFmt w:val="decimal"/>
      <w:lvlText w:val=""/>
      <w:lvlJc w:val="left"/>
    </w:lvl>
  </w:abstractNum>
  <w:abstractNum w:abstractNumId="775" w15:restartNumberingAfterBreak="0">
    <w:nsid w:val="00006DE7"/>
    <w:multiLevelType w:val="hybridMultilevel"/>
    <w:tmpl w:val="96025B44"/>
    <w:lvl w:ilvl="0" w:tplc="DD2A36FA">
      <w:start w:val="1"/>
      <w:numFmt w:val="decimal"/>
      <w:lvlText w:val="(%1)"/>
      <w:lvlJc w:val="left"/>
    </w:lvl>
    <w:lvl w:ilvl="1" w:tplc="A154A254">
      <w:start w:val="1"/>
      <w:numFmt w:val="lowerLetter"/>
      <w:lvlText w:val="(%2)"/>
      <w:lvlJc w:val="left"/>
    </w:lvl>
    <w:lvl w:ilvl="2" w:tplc="220EBEFC">
      <w:start w:val="1"/>
      <w:numFmt w:val="decimal"/>
      <w:lvlText w:val="%3."/>
      <w:lvlJc w:val="left"/>
    </w:lvl>
    <w:lvl w:ilvl="3" w:tplc="7DF485A0">
      <w:numFmt w:val="decimal"/>
      <w:lvlText w:val=""/>
      <w:lvlJc w:val="left"/>
    </w:lvl>
    <w:lvl w:ilvl="4" w:tplc="F56853BA">
      <w:numFmt w:val="decimal"/>
      <w:lvlText w:val=""/>
      <w:lvlJc w:val="left"/>
    </w:lvl>
    <w:lvl w:ilvl="5" w:tplc="8D7443A8">
      <w:numFmt w:val="decimal"/>
      <w:lvlText w:val=""/>
      <w:lvlJc w:val="left"/>
    </w:lvl>
    <w:lvl w:ilvl="6" w:tplc="F378D852">
      <w:numFmt w:val="decimal"/>
      <w:lvlText w:val=""/>
      <w:lvlJc w:val="left"/>
    </w:lvl>
    <w:lvl w:ilvl="7" w:tplc="7518754E">
      <w:numFmt w:val="decimal"/>
      <w:lvlText w:val=""/>
      <w:lvlJc w:val="left"/>
    </w:lvl>
    <w:lvl w:ilvl="8" w:tplc="B1C437DC">
      <w:numFmt w:val="decimal"/>
      <w:lvlText w:val=""/>
      <w:lvlJc w:val="left"/>
    </w:lvl>
  </w:abstractNum>
  <w:abstractNum w:abstractNumId="776" w15:restartNumberingAfterBreak="0">
    <w:nsid w:val="00006DF5"/>
    <w:multiLevelType w:val="hybridMultilevel"/>
    <w:tmpl w:val="381863C6"/>
    <w:lvl w:ilvl="0" w:tplc="21C85C88">
      <w:start w:val="2"/>
      <w:numFmt w:val="decimal"/>
      <w:lvlText w:val="(%1)"/>
      <w:lvlJc w:val="left"/>
    </w:lvl>
    <w:lvl w:ilvl="1" w:tplc="53D80B80">
      <w:start w:val="1"/>
      <w:numFmt w:val="lowerLetter"/>
      <w:lvlText w:val="(%2)"/>
      <w:lvlJc w:val="left"/>
    </w:lvl>
    <w:lvl w:ilvl="2" w:tplc="6F7C6FA6">
      <w:numFmt w:val="decimal"/>
      <w:lvlText w:val=""/>
      <w:lvlJc w:val="left"/>
    </w:lvl>
    <w:lvl w:ilvl="3" w:tplc="B93A846E">
      <w:numFmt w:val="decimal"/>
      <w:lvlText w:val=""/>
      <w:lvlJc w:val="left"/>
    </w:lvl>
    <w:lvl w:ilvl="4" w:tplc="F490D33E">
      <w:numFmt w:val="decimal"/>
      <w:lvlText w:val=""/>
      <w:lvlJc w:val="left"/>
    </w:lvl>
    <w:lvl w:ilvl="5" w:tplc="9E0CABE2">
      <w:numFmt w:val="decimal"/>
      <w:lvlText w:val=""/>
      <w:lvlJc w:val="left"/>
    </w:lvl>
    <w:lvl w:ilvl="6" w:tplc="7CC873C2">
      <w:numFmt w:val="decimal"/>
      <w:lvlText w:val=""/>
      <w:lvlJc w:val="left"/>
    </w:lvl>
    <w:lvl w:ilvl="7" w:tplc="68502B7C">
      <w:numFmt w:val="decimal"/>
      <w:lvlText w:val=""/>
      <w:lvlJc w:val="left"/>
    </w:lvl>
    <w:lvl w:ilvl="8" w:tplc="9DA07680">
      <w:numFmt w:val="decimal"/>
      <w:lvlText w:val=""/>
      <w:lvlJc w:val="left"/>
    </w:lvl>
  </w:abstractNum>
  <w:abstractNum w:abstractNumId="777" w15:restartNumberingAfterBreak="0">
    <w:nsid w:val="00006E02"/>
    <w:multiLevelType w:val="hybridMultilevel"/>
    <w:tmpl w:val="EBCC6F44"/>
    <w:lvl w:ilvl="0" w:tplc="0B8ECCD2">
      <w:start w:val="3"/>
      <w:numFmt w:val="decimal"/>
      <w:lvlText w:val="(%1)"/>
      <w:lvlJc w:val="left"/>
    </w:lvl>
    <w:lvl w:ilvl="1" w:tplc="16BCAC12">
      <w:start w:val="1"/>
      <w:numFmt w:val="lowerLetter"/>
      <w:lvlText w:val="(%2)"/>
      <w:lvlJc w:val="left"/>
    </w:lvl>
    <w:lvl w:ilvl="2" w:tplc="C354E622">
      <w:start w:val="1"/>
      <w:numFmt w:val="decimal"/>
      <w:lvlText w:val="%3"/>
      <w:lvlJc w:val="left"/>
    </w:lvl>
    <w:lvl w:ilvl="3" w:tplc="539C055E">
      <w:start w:val="1"/>
      <w:numFmt w:val="lowerLetter"/>
      <w:lvlText w:val="%4"/>
      <w:lvlJc w:val="left"/>
    </w:lvl>
    <w:lvl w:ilvl="4" w:tplc="39CA662A">
      <w:numFmt w:val="decimal"/>
      <w:lvlText w:val=""/>
      <w:lvlJc w:val="left"/>
    </w:lvl>
    <w:lvl w:ilvl="5" w:tplc="C68A50A0">
      <w:numFmt w:val="decimal"/>
      <w:lvlText w:val=""/>
      <w:lvlJc w:val="left"/>
    </w:lvl>
    <w:lvl w:ilvl="6" w:tplc="7EB8FCA0">
      <w:numFmt w:val="decimal"/>
      <w:lvlText w:val=""/>
      <w:lvlJc w:val="left"/>
    </w:lvl>
    <w:lvl w:ilvl="7" w:tplc="28500C56">
      <w:numFmt w:val="decimal"/>
      <w:lvlText w:val=""/>
      <w:lvlJc w:val="left"/>
    </w:lvl>
    <w:lvl w:ilvl="8" w:tplc="B9C4027C">
      <w:numFmt w:val="decimal"/>
      <w:lvlText w:val=""/>
      <w:lvlJc w:val="left"/>
    </w:lvl>
  </w:abstractNum>
  <w:abstractNum w:abstractNumId="778" w15:restartNumberingAfterBreak="0">
    <w:nsid w:val="00006E04"/>
    <w:multiLevelType w:val="hybridMultilevel"/>
    <w:tmpl w:val="A0321D40"/>
    <w:lvl w:ilvl="0" w:tplc="885CBD06">
      <w:start w:val="1"/>
      <w:numFmt w:val="lowerLetter"/>
      <w:lvlText w:val="%1"/>
      <w:lvlJc w:val="left"/>
    </w:lvl>
    <w:lvl w:ilvl="1" w:tplc="3F843CC2">
      <w:start w:val="1"/>
      <w:numFmt w:val="decimal"/>
      <w:lvlText w:val="%2"/>
      <w:lvlJc w:val="left"/>
    </w:lvl>
    <w:lvl w:ilvl="2" w:tplc="3184F960">
      <w:start w:val="2"/>
      <w:numFmt w:val="lowerLetter"/>
      <w:lvlText w:val="%3."/>
      <w:lvlJc w:val="left"/>
    </w:lvl>
    <w:lvl w:ilvl="3" w:tplc="597A0276">
      <w:numFmt w:val="decimal"/>
      <w:lvlText w:val=""/>
      <w:lvlJc w:val="left"/>
    </w:lvl>
    <w:lvl w:ilvl="4" w:tplc="DB46CBBA">
      <w:numFmt w:val="decimal"/>
      <w:lvlText w:val=""/>
      <w:lvlJc w:val="left"/>
    </w:lvl>
    <w:lvl w:ilvl="5" w:tplc="1D128AA2">
      <w:numFmt w:val="decimal"/>
      <w:lvlText w:val=""/>
      <w:lvlJc w:val="left"/>
    </w:lvl>
    <w:lvl w:ilvl="6" w:tplc="EBD04ABC">
      <w:numFmt w:val="decimal"/>
      <w:lvlText w:val=""/>
      <w:lvlJc w:val="left"/>
    </w:lvl>
    <w:lvl w:ilvl="7" w:tplc="77685968">
      <w:numFmt w:val="decimal"/>
      <w:lvlText w:val=""/>
      <w:lvlJc w:val="left"/>
    </w:lvl>
    <w:lvl w:ilvl="8" w:tplc="591C1FD0">
      <w:numFmt w:val="decimal"/>
      <w:lvlText w:val=""/>
      <w:lvlJc w:val="left"/>
    </w:lvl>
  </w:abstractNum>
  <w:abstractNum w:abstractNumId="779" w15:restartNumberingAfterBreak="0">
    <w:nsid w:val="00006E16"/>
    <w:multiLevelType w:val="hybridMultilevel"/>
    <w:tmpl w:val="4C20C428"/>
    <w:lvl w:ilvl="0" w:tplc="EF10D216">
      <w:start w:val="3"/>
      <w:numFmt w:val="lowerLetter"/>
      <w:lvlText w:val="(%1)"/>
      <w:lvlJc w:val="left"/>
    </w:lvl>
    <w:lvl w:ilvl="1" w:tplc="26A85118">
      <w:numFmt w:val="decimal"/>
      <w:lvlText w:val=""/>
      <w:lvlJc w:val="left"/>
    </w:lvl>
    <w:lvl w:ilvl="2" w:tplc="6E28557C">
      <w:numFmt w:val="decimal"/>
      <w:lvlText w:val=""/>
      <w:lvlJc w:val="left"/>
    </w:lvl>
    <w:lvl w:ilvl="3" w:tplc="10BAF07A">
      <w:numFmt w:val="decimal"/>
      <w:lvlText w:val=""/>
      <w:lvlJc w:val="left"/>
    </w:lvl>
    <w:lvl w:ilvl="4" w:tplc="40A44E7E">
      <w:numFmt w:val="decimal"/>
      <w:lvlText w:val=""/>
      <w:lvlJc w:val="left"/>
    </w:lvl>
    <w:lvl w:ilvl="5" w:tplc="C13E0A9C">
      <w:numFmt w:val="decimal"/>
      <w:lvlText w:val=""/>
      <w:lvlJc w:val="left"/>
    </w:lvl>
    <w:lvl w:ilvl="6" w:tplc="80E448F0">
      <w:numFmt w:val="decimal"/>
      <w:lvlText w:val=""/>
      <w:lvlJc w:val="left"/>
    </w:lvl>
    <w:lvl w:ilvl="7" w:tplc="B40E0426">
      <w:numFmt w:val="decimal"/>
      <w:lvlText w:val=""/>
      <w:lvlJc w:val="left"/>
    </w:lvl>
    <w:lvl w:ilvl="8" w:tplc="9C9A4FA6">
      <w:numFmt w:val="decimal"/>
      <w:lvlText w:val=""/>
      <w:lvlJc w:val="left"/>
    </w:lvl>
  </w:abstractNum>
  <w:abstractNum w:abstractNumId="780" w15:restartNumberingAfterBreak="0">
    <w:nsid w:val="00006E3F"/>
    <w:multiLevelType w:val="hybridMultilevel"/>
    <w:tmpl w:val="EFAC2D4C"/>
    <w:lvl w:ilvl="0" w:tplc="10469770">
      <w:start w:val="13"/>
      <w:numFmt w:val="decimal"/>
      <w:lvlText w:val="(%1)"/>
      <w:lvlJc w:val="left"/>
    </w:lvl>
    <w:lvl w:ilvl="1" w:tplc="4CC4497E">
      <w:start w:val="1"/>
      <w:numFmt w:val="lowerLetter"/>
      <w:lvlText w:val="(%2)"/>
      <w:lvlJc w:val="left"/>
    </w:lvl>
    <w:lvl w:ilvl="2" w:tplc="DDBE5F76">
      <w:start w:val="1"/>
      <w:numFmt w:val="decimal"/>
      <w:lvlText w:val="%3"/>
      <w:lvlJc w:val="left"/>
    </w:lvl>
    <w:lvl w:ilvl="3" w:tplc="CF7671BE">
      <w:numFmt w:val="decimal"/>
      <w:lvlText w:val=""/>
      <w:lvlJc w:val="left"/>
    </w:lvl>
    <w:lvl w:ilvl="4" w:tplc="FC0C1F46">
      <w:numFmt w:val="decimal"/>
      <w:lvlText w:val=""/>
      <w:lvlJc w:val="left"/>
    </w:lvl>
    <w:lvl w:ilvl="5" w:tplc="1DC695AC">
      <w:numFmt w:val="decimal"/>
      <w:lvlText w:val=""/>
      <w:lvlJc w:val="left"/>
    </w:lvl>
    <w:lvl w:ilvl="6" w:tplc="68B2FC84">
      <w:numFmt w:val="decimal"/>
      <w:lvlText w:val=""/>
      <w:lvlJc w:val="left"/>
    </w:lvl>
    <w:lvl w:ilvl="7" w:tplc="14824682">
      <w:numFmt w:val="decimal"/>
      <w:lvlText w:val=""/>
      <w:lvlJc w:val="left"/>
    </w:lvl>
    <w:lvl w:ilvl="8" w:tplc="7B3ACE08">
      <w:numFmt w:val="decimal"/>
      <w:lvlText w:val=""/>
      <w:lvlJc w:val="left"/>
    </w:lvl>
  </w:abstractNum>
  <w:abstractNum w:abstractNumId="781" w15:restartNumberingAfterBreak="0">
    <w:nsid w:val="00006E5C"/>
    <w:multiLevelType w:val="hybridMultilevel"/>
    <w:tmpl w:val="E92252E2"/>
    <w:lvl w:ilvl="0" w:tplc="27C65DA0">
      <w:start w:val="1"/>
      <w:numFmt w:val="lowerLetter"/>
      <w:lvlText w:val="%1"/>
      <w:lvlJc w:val="left"/>
    </w:lvl>
    <w:lvl w:ilvl="1" w:tplc="4DC28BE0">
      <w:start w:val="4"/>
      <w:numFmt w:val="decimal"/>
      <w:lvlText w:val="%2."/>
      <w:lvlJc w:val="left"/>
    </w:lvl>
    <w:lvl w:ilvl="2" w:tplc="B3928344">
      <w:numFmt w:val="decimal"/>
      <w:lvlText w:val=""/>
      <w:lvlJc w:val="left"/>
    </w:lvl>
    <w:lvl w:ilvl="3" w:tplc="4D8A0FEE">
      <w:numFmt w:val="decimal"/>
      <w:lvlText w:val=""/>
      <w:lvlJc w:val="left"/>
    </w:lvl>
    <w:lvl w:ilvl="4" w:tplc="63FE946A">
      <w:numFmt w:val="decimal"/>
      <w:lvlText w:val=""/>
      <w:lvlJc w:val="left"/>
    </w:lvl>
    <w:lvl w:ilvl="5" w:tplc="20A23B2A">
      <w:numFmt w:val="decimal"/>
      <w:lvlText w:val=""/>
      <w:lvlJc w:val="left"/>
    </w:lvl>
    <w:lvl w:ilvl="6" w:tplc="12442E44">
      <w:numFmt w:val="decimal"/>
      <w:lvlText w:val=""/>
      <w:lvlJc w:val="left"/>
    </w:lvl>
    <w:lvl w:ilvl="7" w:tplc="62A8378A">
      <w:numFmt w:val="decimal"/>
      <w:lvlText w:val=""/>
      <w:lvlJc w:val="left"/>
    </w:lvl>
    <w:lvl w:ilvl="8" w:tplc="FFD2AE80">
      <w:numFmt w:val="decimal"/>
      <w:lvlText w:val=""/>
      <w:lvlJc w:val="left"/>
    </w:lvl>
  </w:abstractNum>
  <w:abstractNum w:abstractNumId="782" w15:restartNumberingAfterBreak="0">
    <w:nsid w:val="00006E5F"/>
    <w:multiLevelType w:val="hybridMultilevel"/>
    <w:tmpl w:val="A20AFF26"/>
    <w:lvl w:ilvl="0" w:tplc="E3108C8A">
      <w:start w:val="5"/>
      <w:numFmt w:val="decimal"/>
      <w:lvlText w:val="(%1)"/>
      <w:lvlJc w:val="left"/>
    </w:lvl>
    <w:lvl w:ilvl="1" w:tplc="1FD2FE42">
      <w:start w:val="1"/>
      <w:numFmt w:val="lowerLetter"/>
      <w:lvlText w:val="(%2)"/>
      <w:lvlJc w:val="left"/>
    </w:lvl>
    <w:lvl w:ilvl="2" w:tplc="C18EDA6A">
      <w:start w:val="2"/>
      <w:numFmt w:val="decimal"/>
      <w:lvlText w:val="%3."/>
      <w:lvlJc w:val="left"/>
    </w:lvl>
    <w:lvl w:ilvl="3" w:tplc="A5960AE2">
      <w:start w:val="1"/>
      <w:numFmt w:val="lowerLetter"/>
      <w:lvlText w:val="%4."/>
      <w:lvlJc w:val="left"/>
    </w:lvl>
    <w:lvl w:ilvl="4" w:tplc="D52ED61C">
      <w:numFmt w:val="decimal"/>
      <w:lvlText w:val=""/>
      <w:lvlJc w:val="left"/>
    </w:lvl>
    <w:lvl w:ilvl="5" w:tplc="7D5A5D02">
      <w:numFmt w:val="decimal"/>
      <w:lvlText w:val=""/>
      <w:lvlJc w:val="left"/>
    </w:lvl>
    <w:lvl w:ilvl="6" w:tplc="9E744114">
      <w:numFmt w:val="decimal"/>
      <w:lvlText w:val=""/>
      <w:lvlJc w:val="left"/>
    </w:lvl>
    <w:lvl w:ilvl="7" w:tplc="0100B39E">
      <w:numFmt w:val="decimal"/>
      <w:lvlText w:val=""/>
      <w:lvlJc w:val="left"/>
    </w:lvl>
    <w:lvl w:ilvl="8" w:tplc="27228572">
      <w:numFmt w:val="decimal"/>
      <w:lvlText w:val=""/>
      <w:lvlJc w:val="left"/>
    </w:lvl>
  </w:abstractNum>
  <w:abstractNum w:abstractNumId="783" w15:restartNumberingAfterBreak="0">
    <w:nsid w:val="00006E72"/>
    <w:multiLevelType w:val="hybridMultilevel"/>
    <w:tmpl w:val="7F2881FA"/>
    <w:lvl w:ilvl="0" w:tplc="DB06F96E">
      <w:start w:val="1"/>
      <w:numFmt w:val="decimal"/>
      <w:lvlText w:val="%1"/>
      <w:lvlJc w:val="left"/>
      <w:rPr>
        <w:vertAlign w:val="superscript"/>
      </w:rPr>
    </w:lvl>
    <w:lvl w:ilvl="1" w:tplc="35A4554C">
      <w:start w:val="2"/>
      <w:numFmt w:val="decimal"/>
      <w:lvlText w:val="%2."/>
      <w:lvlJc w:val="left"/>
    </w:lvl>
    <w:lvl w:ilvl="2" w:tplc="B4301576">
      <w:numFmt w:val="decimal"/>
      <w:lvlText w:val=""/>
      <w:lvlJc w:val="left"/>
    </w:lvl>
    <w:lvl w:ilvl="3" w:tplc="B056893A">
      <w:numFmt w:val="decimal"/>
      <w:lvlText w:val=""/>
      <w:lvlJc w:val="left"/>
    </w:lvl>
    <w:lvl w:ilvl="4" w:tplc="056C7C5C">
      <w:numFmt w:val="decimal"/>
      <w:lvlText w:val=""/>
      <w:lvlJc w:val="left"/>
    </w:lvl>
    <w:lvl w:ilvl="5" w:tplc="33326192">
      <w:numFmt w:val="decimal"/>
      <w:lvlText w:val=""/>
      <w:lvlJc w:val="left"/>
    </w:lvl>
    <w:lvl w:ilvl="6" w:tplc="B3043094">
      <w:numFmt w:val="decimal"/>
      <w:lvlText w:val=""/>
      <w:lvlJc w:val="left"/>
    </w:lvl>
    <w:lvl w:ilvl="7" w:tplc="1EB67818">
      <w:numFmt w:val="decimal"/>
      <w:lvlText w:val=""/>
      <w:lvlJc w:val="left"/>
    </w:lvl>
    <w:lvl w:ilvl="8" w:tplc="9D543D2A">
      <w:numFmt w:val="decimal"/>
      <w:lvlText w:val=""/>
      <w:lvlJc w:val="left"/>
    </w:lvl>
  </w:abstractNum>
  <w:abstractNum w:abstractNumId="784" w15:restartNumberingAfterBreak="0">
    <w:nsid w:val="00006E9B"/>
    <w:multiLevelType w:val="hybridMultilevel"/>
    <w:tmpl w:val="C9D68FAA"/>
    <w:lvl w:ilvl="0" w:tplc="034274B0">
      <w:start w:val="310"/>
      <w:numFmt w:val="decimal"/>
      <w:lvlText w:val="%1"/>
      <w:lvlJc w:val="left"/>
    </w:lvl>
    <w:lvl w:ilvl="1" w:tplc="097E9194">
      <w:start w:val="1"/>
      <w:numFmt w:val="lowerLetter"/>
      <w:lvlText w:val="%2."/>
      <w:lvlJc w:val="left"/>
    </w:lvl>
    <w:lvl w:ilvl="2" w:tplc="520C0C4E">
      <w:start w:val="1"/>
      <w:numFmt w:val="lowerRoman"/>
      <w:lvlText w:val="%3."/>
      <w:lvlJc w:val="left"/>
    </w:lvl>
    <w:lvl w:ilvl="3" w:tplc="480429B2">
      <w:numFmt w:val="decimal"/>
      <w:lvlText w:val=""/>
      <w:lvlJc w:val="left"/>
    </w:lvl>
    <w:lvl w:ilvl="4" w:tplc="013E0E1A">
      <w:numFmt w:val="decimal"/>
      <w:lvlText w:val=""/>
      <w:lvlJc w:val="left"/>
    </w:lvl>
    <w:lvl w:ilvl="5" w:tplc="6B10C902">
      <w:numFmt w:val="decimal"/>
      <w:lvlText w:val=""/>
      <w:lvlJc w:val="left"/>
    </w:lvl>
    <w:lvl w:ilvl="6" w:tplc="E79A7F98">
      <w:numFmt w:val="decimal"/>
      <w:lvlText w:val=""/>
      <w:lvlJc w:val="left"/>
    </w:lvl>
    <w:lvl w:ilvl="7" w:tplc="86AC132C">
      <w:numFmt w:val="decimal"/>
      <w:lvlText w:val=""/>
      <w:lvlJc w:val="left"/>
    </w:lvl>
    <w:lvl w:ilvl="8" w:tplc="017424DA">
      <w:numFmt w:val="decimal"/>
      <w:lvlText w:val=""/>
      <w:lvlJc w:val="left"/>
    </w:lvl>
  </w:abstractNum>
  <w:abstractNum w:abstractNumId="785" w15:restartNumberingAfterBreak="0">
    <w:nsid w:val="00006EBE"/>
    <w:multiLevelType w:val="hybridMultilevel"/>
    <w:tmpl w:val="EACAEE4E"/>
    <w:lvl w:ilvl="0" w:tplc="AC04B31C">
      <w:start w:val="1"/>
      <w:numFmt w:val="decimal"/>
      <w:lvlText w:val="%1"/>
      <w:lvlJc w:val="left"/>
    </w:lvl>
    <w:lvl w:ilvl="1" w:tplc="AC48D634">
      <w:start w:val="1"/>
      <w:numFmt w:val="lowerLetter"/>
      <w:lvlText w:val="%2"/>
      <w:lvlJc w:val="left"/>
    </w:lvl>
    <w:lvl w:ilvl="2" w:tplc="05585576">
      <w:start w:val="5"/>
      <w:numFmt w:val="decimal"/>
      <w:lvlText w:val="%3."/>
      <w:lvlJc w:val="left"/>
    </w:lvl>
    <w:lvl w:ilvl="3" w:tplc="FCEA59BE">
      <w:numFmt w:val="decimal"/>
      <w:lvlText w:val=""/>
      <w:lvlJc w:val="left"/>
    </w:lvl>
    <w:lvl w:ilvl="4" w:tplc="472CDE4C">
      <w:numFmt w:val="decimal"/>
      <w:lvlText w:val=""/>
      <w:lvlJc w:val="left"/>
    </w:lvl>
    <w:lvl w:ilvl="5" w:tplc="B7B2A65A">
      <w:numFmt w:val="decimal"/>
      <w:lvlText w:val=""/>
      <w:lvlJc w:val="left"/>
    </w:lvl>
    <w:lvl w:ilvl="6" w:tplc="4564979A">
      <w:numFmt w:val="decimal"/>
      <w:lvlText w:val=""/>
      <w:lvlJc w:val="left"/>
    </w:lvl>
    <w:lvl w:ilvl="7" w:tplc="8D06C0B2">
      <w:numFmt w:val="decimal"/>
      <w:lvlText w:val=""/>
      <w:lvlJc w:val="left"/>
    </w:lvl>
    <w:lvl w:ilvl="8" w:tplc="19A8C336">
      <w:numFmt w:val="decimal"/>
      <w:lvlText w:val=""/>
      <w:lvlJc w:val="left"/>
    </w:lvl>
  </w:abstractNum>
  <w:abstractNum w:abstractNumId="786" w15:restartNumberingAfterBreak="0">
    <w:nsid w:val="00006EEC"/>
    <w:multiLevelType w:val="hybridMultilevel"/>
    <w:tmpl w:val="DF240884"/>
    <w:lvl w:ilvl="0" w:tplc="1F2A0234">
      <w:start w:val="1"/>
      <w:numFmt w:val="decimal"/>
      <w:lvlText w:val="%1"/>
      <w:lvlJc w:val="left"/>
    </w:lvl>
    <w:lvl w:ilvl="1" w:tplc="F05EF3C8">
      <w:start w:val="2"/>
      <w:numFmt w:val="lowerLetter"/>
      <w:lvlText w:val="(%2)"/>
      <w:lvlJc w:val="left"/>
    </w:lvl>
    <w:lvl w:ilvl="2" w:tplc="CFCED066">
      <w:start w:val="1"/>
      <w:numFmt w:val="decimal"/>
      <w:lvlText w:val="%3."/>
      <w:lvlJc w:val="left"/>
    </w:lvl>
    <w:lvl w:ilvl="3" w:tplc="800604E4">
      <w:numFmt w:val="decimal"/>
      <w:lvlText w:val=""/>
      <w:lvlJc w:val="left"/>
    </w:lvl>
    <w:lvl w:ilvl="4" w:tplc="091E15BC">
      <w:numFmt w:val="decimal"/>
      <w:lvlText w:val=""/>
      <w:lvlJc w:val="left"/>
    </w:lvl>
    <w:lvl w:ilvl="5" w:tplc="4D726B24">
      <w:numFmt w:val="decimal"/>
      <w:lvlText w:val=""/>
      <w:lvlJc w:val="left"/>
    </w:lvl>
    <w:lvl w:ilvl="6" w:tplc="E5A69A12">
      <w:numFmt w:val="decimal"/>
      <w:lvlText w:val=""/>
      <w:lvlJc w:val="left"/>
    </w:lvl>
    <w:lvl w:ilvl="7" w:tplc="1AD48CC8">
      <w:numFmt w:val="decimal"/>
      <w:lvlText w:val=""/>
      <w:lvlJc w:val="left"/>
    </w:lvl>
    <w:lvl w:ilvl="8" w:tplc="3A8C9F4E">
      <w:numFmt w:val="decimal"/>
      <w:lvlText w:val=""/>
      <w:lvlJc w:val="left"/>
    </w:lvl>
  </w:abstractNum>
  <w:abstractNum w:abstractNumId="787" w15:restartNumberingAfterBreak="0">
    <w:nsid w:val="00006F1A"/>
    <w:multiLevelType w:val="hybridMultilevel"/>
    <w:tmpl w:val="A3EC1D76"/>
    <w:lvl w:ilvl="0" w:tplc="9190D25E">
      <w:start w:val="1"/>
      <w:numFmt w:val="decimal"/>
      <w:lvlText w:val="%1"/>
      <w:lvlJc w:val="left"/>
    </w:lvl>
    <w:lvl w:ilvl="1" w:tplc="E7589DDE">
      <w:start w:val="1"/>
      <w:numFmt w:val="lowerLetter"/>
      <w:lvlText w:val="(%2)"/>
      <w:lvlJc w:val="left"/>
    </w:lvl>
    <w:lvl w:ilvl="2" w:tplc="CB00665C">
      <w:numFmt w:val="decimal"/>
      <w:lvlText w:val=""/>
      <w:lvlJc w:val="left"/>
    </w:lvl>
    <w:lvl w:ilvl="3" w:tplc="32F0AEE6">
      <w:numFmt w:val="decimal"/>
      <w:lvlText w:val=""/>
      <w:lvlJc w:val="left"/>
    </w:lvl>
    <w:lvl w:ilvl="4" w:tplc="3814A2A2">
      <w:numFmt w:val="decimal"/>
      <w:lvlText w:val=""/>
      <w:lvlJc w:val="left"/>
    </w:lvl>
    <w:lvl w:ilvl="5" w:tplc="A5E4B5DE">
      <w:numFmt w:val="decimal"/>
      <w:lvlText w:val=""/>
      <w:lvlJc w:val="left"/>
    </w:lvl>
    <w:lvl w:ilvl="6" w:tplc="BAF01AEE">
      <w:numFmt w:val="decimal"/>
      <w:lvlText w:val=""/>
      <w:lvlJc w:val="left"/>
    </w:lvl>
    <w:lvl w:ilvl="7" w:tplc="93943272">
      <w:numFmt w:val="decimal"/>
      <w:lvlText w:val=""/>
      <w:lvlJc w:val="left"/>
    </w:lvl>
    <w:lvl w:ilvl="8" w:tplc="B2DE66DC">
      <w:numFmt w:val="decimal"/>
      <w:lvlText w:val=""/>
      <w:lvlJc w:val="left"/>
    </w:lvl>
  </w:abstractNum>
  <w:abstractNum w:abstractNumId="788" w15:restartNumberingAfterBreak="0">
    <w:nsid w:val="00006F36"/>
    <w:multiLevelType w:val="hybridMultilevel"/>
    <w:tmpl w:val="2FF66190"/>
    <w:lvl w:ilvl="0" w:tplc="4EE28CD6">
      <w:start w:val="2"/>
      <w:numFmt w:val="lowerLetter"/>
      <w:lvlText w:val="(%1)"/>
      <w:lvlJc w:val="left"/>
    </w:lvl>
    <w:lvl w:ilvl="1" w:tplc="916ECD2C">
      <w:start w:val="1"/>
      <w:numFmt w:val="decimal"/>
      <w:lvlText w:val="%2."/>
      <w:lvlJc w:val="left"/>
    </w:lvl>
    <w:lvl w:ilvl="2" w:tplc="AE9C3E64">
      <w:start w:val="1"/>
      <w:numFmt w:val="lowerLetter"/>
      <w:lvlText w:val="%3."/>
      <w:lvlJc w:val="left"/>
    </w:lvl>
    <w:lvl w:ilvl="3" w:tplc="D69467A8">
      <w:start w:val="1"/>
      <w:numFmt w:val="lowerLetter"/>
      <w:lvlText w:val="%4"/>
      <w:lvlJc w:val="left"/>
    </w:lvl>
    <w:lvl w:ilvl="4" w:tplc="0210A2E4">
      <w:numFmt w:val="decimal"/>
      <w:lvlText w:val=""/>
      <w:lvlJc w:val="left"/>
    </w:lvl>
    <w:lvl w:ilvl="5" w:tplc="963E47A6">
      <w:numFmt w:val="decimal"/>
      <w:lvlText w:val=""/>
      <w:lvlJc w:val="left"/>
    </w:lvl>
    <w:lvl w:ilvl="6" w:tplc="FAD8D2EA">
      <w:numFmt w:val="decimal"/>
      <w:lvlText w:val=""/>
      <w:lvlJc w:val="left"/>
    </w:lvl>
    <w:lvl w:ilvl="7" w:tplc="EDEACD38">
      <w:numFmt w:val="decimal"/>
      <w:lvlText w:val=""/>
      <w:lvlJc w:val="left"/>
    </w:lvl>
    <w:lvl w:ilvl="8" w:tplc="8B1E710C">
      <w:numFmt w:val="decimal"/>
      <w:lvlText w:val=""/>
      <w:lvlJc w:val="left"/>
    </w:lvl>
  </w:abstractNum>
  <w:abstractNum w:abstractNumId="789" w15:restartNumberingAfterBreak="0">
    <w:nsid w:val="00006F5E"/>
    <w:multiLevelType w:val="hybridMultilevel"/>
    <w:tmpl w:val="629ED1FC"/>
    <w:lvl w:ilvl="0" w:tplc="4A5C3E12">
      <w:start w:val="1"/>
      <w:numFmt w:val="decimal"/>
      <w:lvlText w:val="%1"/>
      <w:lvlJc w:val="left"/>
    </w:lvl>
    <w:lvl w:ilvl="1" w:tplc="BD7A8364">
      <w:start w:val="5"/>
      <w:numFmt w:val="lowerLetter"/>
      <w:lvlText w:val="(%2)"/>
      <w:lvlJc w:val="left"/>
    </w:lvl>
    <w:lvl w:ilvl="2" w:tplc="FB4E7B00">
      <w:start w:val="1"/>
      <w:numFmt w:val="decimal"/>
      <w:lvlText w:val="%3."/>
      <w:lvlJc w:val="left"/>
    </w:lvl>
    <w:lvl w:ilvl="3" w:tplc="5442F818">
      <w:start w:val="1"/>
      <w:numFmt w:val="lowerLetter"/>
      <w:lvlText w:val="%4"/>
      <w:lvlJc w:val="left"/>
    </w:lvl>
    <w:lvl w:ilvl="4" w:tplc="63984206">
      <w:numFmt w:val="decimal"/>
      <w:lvlText w:val=""/>
      <w:lvlJc w:val="left"/>
    </w:lvl>
    <w:lvl w:ilvl="5" w:tplc="75B62106">
      <w:numFmt w:val="decimal"/>
      <w:lvlText w:val=""/>
      <w:lvlJc w:val="left"/>
    </w:lvl>
    <w:lvl w:ilvl="6" w:tplc="24C28BFE">
      <w:numFmt w:val="decimal"/>
      <w:lvlText w:val=""/>
      <w:lvlJc w:val="left"/>
    </w:lvl>
    <w:lvl w:ilvl="7" w:tplc="2036278C">
      <w:numFmt w:val="decimal"/>
      <w:lvlText w:val=""/>
      <w:lvlJc w:val="left"/>
    </w:lvl>
    <w:lvl w:ilvl="8" w:tplc="ABB24E9E">
      <w:numFmt w:val="decimal"/>
      <w:lvlText w:val=""/>
      <w:lvlJc w:val="left"/>
    </w:lvl>
  </w:abstractNum>
  <w:abstractNum w:abstractNumId="790" w15:restartNumberingAfterBreak="0">
    <w:nsid w:val="00006F6A"/>
    <w:multiLevelType w:val="hybridMultilevel"/>
    <w:tmpl w:val="2E7488B0"/>
    <w:lvl w:ilvl="0" w:tplc="4198D778">
      <w:start w:val="3"/>
      <w:numFmt w:val="decimal"/>
      <w:lvlText w:val="%1."/>
      <w:lvlJc w:val="left"/>
      <w:rPr>
        <w:sz w:val="18"/>
        <w:szCs w:val="18"/>
      </w:rPr>
    </w:lvl>
    <w:lvl w:ilvl="1" w:tplc="2C1A3D90">
      <w:numFmt w:val="decimal"/>
      <w:lvlText w:val=""/>
      <w:lvlJc w:val="left"/>
    </w:lvl>
    <w:lvl w:ilvl="2" w:tplc="0CA80A10">
      <w:numFmt w:val="decimal"/>
      <w:lvlText w:val=""/>
      <w:lvlJc w:val="left"/>
    </w:lvl>
    <w:lvl w:ilvl="3" w:tplc="899489E2">
      <w:numFmt w:val="decimal"/>
      <w:lvlText w:val=""/>
      <w:lvlJc w:val="left"/>
    </w:lvl>
    <w:lvl w:ilvl="4" w:tplc="0C4869FC">
      <w:numFmt w:val="decimal"/>
      <w:lvlText w:val=""/>
      <w:lvlJc w:val="left"/>
    </w:lvl>
    <w:lvl w:ilvl="5" w:tplc="6B1A5628">
      <w:numFmt w:val="decimal"/>
      <w:lvlText w:val=""/>
      <w:lvlJc w:val="left"/>
    </w:lvl>
    <w:lvl w:ilvl="6" w:tplc="BC6ADC0C">
      <w:numFmt w:val="decimal"/>
      <w:lvlText w:val=""/>
      <w:lvlJc w:val="left"/>
    </w:lvl>
    <w:lvl w:ilvl="7" w:tplc="580ADB7C">
      <w:numFmt w:val="decimal"/>
      <w:lvlText w:val=""/>
      <w:lvlJc w:val="left"/>
    </w:lvl>
    <w:lvl w:ilvl="8" w:tplc="A5927A42">
      <w:numFmt w:val="decimal"/>
      <w:lvlText w:val=""/>
      <w:lvlJc w:val="left"/>
    </w:lvl>
  </w:abstractNum>
  <w:abstractNum w:abstractNumId="791" w15:restartNumberingAfterBreak="0">
    <w:nsid w:val="00006F74"/>
    <w:multiLevelType w:val="hybridMultilevel"/>
    <w:tmpl w:val="0AACBEE6"/>
    <w:lvl w:ilvl="0" w:tplc="21923E3A">
      <w:start w:val="310"/>
      <w:numFmt w:val="decimal"/>
      <w:lvlText w:val="%1"/>
      <w:lvlJc w:val="left"/>
    </w:lvl>
    <w:lvl w:ilvl="1" w:tplc="B14AE820">
      <w:start w:val="1"/>
      <w:numFmt w:val="lowerLetter"/>
      <w:lvlText w:val="%2."/>
      <w:lvlJc w:val="left"/>
    </w:lvl>
    <w:lvl w:ilvl="2" w:tplc="DB9EE976">
      <w:numFmt w:val="decimal"/>
      <w:lvlText w:val=""/>
      <w:lvlJc w:val="left"/>
    </w:lvl>
    <w:lvl w:ilvl="3" w:tplc="F93C25E6">
      <w:numFmt w:val="decimal"/>
      <w:lvlText w:val=""/>
      <w:lvlJc w:val="left"/>
    </w:lvl>
    <w:lvl w:ilvl="4" w:tplc="65AE6122">
      <w:numFmt w:val="decimal"/>
      <w:lvlText w:val=""/>
      <w:lvlJc w:val="left"/>
    </w:lvl>
    <w:lvl w:ilvl="5" w:tplc="DA30045A">
      <w:numFmt w:val="decimal"/>
      <w:lvlText w:val=""/>
      <w:lvlJc w:val="left"/>
    </w:lvl>
    <w:lvl w:ilvl="6" w:tplc="30B6227C">
      <w:numFmt w:val="decimal"/>
      <w:lvlText w:val=""/>
      <w:lvlJc w:val="left"/>
    </w:lvl>
    <w:lvl w:ilvl="7" w:tplc="79D8BC1E">
      <w:numFmt w:val="decimal"/>
      <w:lvlText w:val=""/>
      <w:lvlJc w:val="left"/>
    </w:lvl>
    <w:lvl w:ilvl="8" w:tplc="677432AE">
      <w:numFmt w:val="decimal"/>
      <w:lvlText w:val=""/>
      <w:lvlJc w:val="left"/>
    </w:lvl>
  </w:abstractNum>
  <w:abstractNum w:abstractNumId="792" w15:restartNumberingAfterBreak="0">
    <w:nsid w:val="00006FA7"/>
    <w:multiLevelType w:val="hybridMultilevel"/>
    <w:tmpl w:val="3E247620"/>
    <w:lvl w:ilvl="0" w:tplc="16900280">
      <w:start w:val="4"/>
      <w:numFmt w:val="lowerLetter"/>
      <w:lvlText w:val="(%1)"/>
      <w:lvlJc w:val="left"/>
    </w:lvl>
    <w:lvl w:ilvl="1" w:tplc="5B962674">
      <w:start w:val="1"/>
      <w:numFmt w:val="decimal"/>
      <w:lvlText w:val="%2."/>
      <w:lvlJc w:val="left"/>
    </w:lvl>
    <w:lvl w:ilvl="2" w:tplc="74041B56">
      <w:numFmt w:val="decimal"/>
      <w:lvlText w:val=""/>
      <w:lvlJc w:val="left"/>
    </w:lvl>
    <w:lvl w:ilvl="3" w:tplc="299A6D7E">
      <w:numFmt w:val="decimal"/>
      <w:lvlText w:val=""/>
      <w:lvlJc w:val="left"/>
    </w:lvl>
    <w:lvl w:ilvl="4" w:tplc="F1A26BCC">
      <w:numFmt w:val="decimal"/>
      <w:lvlText w:val=""/>
      <w:lvlJc w:val="left"/>
    </w:lvl>
    <w:lvl w:ilvl="5" w:tplc="07FE1054">
      <w:numFmt w:val="decimal"/>
      <w:lvlText w:val=""/>
      <w:lvlJc w:val="left"/>
    </w:lvl>
    <w:lvl w:ilvl="6" w:tplc="DB444326">
      <w:numFmt w:val="decimal"/>
      <w:lvlText w:val=""/>
      <w:lvlJc w:val="left"/>
    </w:lvl>
    <w:lvl w:ilvl="7" w:tplc="948E8B2E">
      <w:numFmt w:val="decimal"/>
      <w:lvlText w:val=""/>
      <w:lvlJc w:val="left"/>
    </w:lvl>
    <w:lvl w:ilvl="8" w:tplc="0322ACD8">
      <w:numFmt w:val="decimal"/>
      <w:lvlText w:val=""/>
      <w:lvlJc w:val="left"/>
    </w:lvl>
  </w:abstractNum>
  <w:abstractNum w:abstractNumId="793" w15:restartNumberingAfterBreak="0">
    <w:nsid w:val="00006FC6"/>
    <w:multiLevelType w:val="hybridMultilevel"/>
    <w:tmpl w:val="3560092C"/>
    <w:lvl w:ilvl="0" w:tplc="448E4F66">
      <w:start w:val="1"/>
      <w:numFmt w:val="lowerLetter"/>
      <w:lvlText w:val="%1"/>
      <w:lvlJc w:val="left"/>
    </w:lvl>
    <w:lvl w:ilvl="1" w:tplc="67407846">
      <w:start w:val="1"/>
      <w:numFmt w:val="decimal"/>
      <w:lvlText w:val="%2"/>
      <w:lvlJc w:val="left"/>
    </w:lvl>
    <w:lvl w:ilvl="2" w:tplc="89B8ED76">
      <w:start w:val="3"/>
      <w:numFmt w:val="lowerLetter"/>
      <w:lvlText w:val="%3."/>
      <w:lvlJc w:val="left"/>
    </w:lvl>
    <w:lvl w:ilvl="3" w:tplc="8764A71E">
      <w:numFmt w:val="decimal"/>
      <w:lvlText w:val=""/>
      <w:lvlJc w:val="left"/>
    </w:lvl>
    <w:lvl w:ilvl="4" w:tplc="AB06944E">
      <w:numFmt w:val="decimal"/>
      <w:lvlText w:val=""/>
      <w:lvlJc w:val="left"/>
    </w:lvl>
    <w:lvl w:ilvl="5" w:tplc="F7505ADA">
      <w:numFmt w:val="decimal"/>
      <w:lvlText w:val=""/>
      <w:lvlJc w:val="left"/>
    </w:lvl>
    <w:lvl w:ilvl="6" w:tplc="F31ACECA">
      <w:numFmt w:val="decimal"/>
      <w:lvlText w:val=""/>
      <w:lvlJc w:val="left"/>
    </w:lvl>
    <w:lvl w:ilvl="7" w:tplc="DB5CD910">
      <w:numFmt w:val="decimal"/>
      <w:lvlText w:val=""/>
      <w:lvlJc w:val="left"/>
    </w:lvl>
    <w:lvl w:ilvl="8" w:tplc="E966AEC2">
      <w:numFmt w:val="decimal"/>
      <w:lvlText w:val=""/>
      <w:lvlJc w:val="left"/>
    </w:lvl>
  </w:abstractNum>
  <w:abstractNum w:abstractNumId="794" w15:restartNumberingAfterBreak="0">
    <w:nsid w:val="00006FD9"/>
    <w:multiLevelType w:val="hybridMultilevel"/>
    <w:tmpl w:val="76725702"/>
    <w:lvl w:ilvl="0" w:tplc="5D367406">
      <w:start w:val="1"/>
      <w:numFmt w:val="decimal"/>
      <w:lvlText w:val="%1"/>
      <w:lvlJc w:val="left"/>
    </w:lvl>
    <w:lvl w:ilvl="1" w:tplc="714AB5E8">
      <w:start w:val="2"/>
      <w:numFmt w:val="lowerLetter"/>
      <w:lvlText w:val="%2."/>
      <w:lvlJc w:val="left"/>
    </w:lvl>
    <w:lvl w:ilvl="2" w:tplc="1B62D2CC">
      <w:start w:val="1"/>
      <w:numFmt w:val="lowerRoman"/>
      <w:lvlText w:val="%3."/>
      <w:lvlJc w:val="left"/>
    </w:lvl>
    <w:lvl w:ilvl="3" w:tplc="879CFCE6">
      <w:start w:val="1"/>
      <w:numFmt w:val="upperLetter"/>
      <w:lvlText w:val="%4"/>
      <w:lvlJc w:val="left"/>
    </w:lvl>
    <w:lvl w:ilvl="4" w:tplc="A58A0924">
      <w:numFmt w:val="decimal"/>
      <w:lvlText w:val=""/>
      <w:lvlJc w:val="left"/>
    </w:lvl>
    <w:lvl w:ilvl="5" w:tplc="F74CCDE8">
      <w:numFmt w:val="decimal"/>
      <w:lvlText w:val=""/>
      <w:lvlJc w:val="left"/>
    </w:lvl>
    <w:lvl w:ilvl="6" w:tplc="D6704488">
      <w:numFmt w:val="decimal"/>
      <w:lvlText w:val=""/>
      <w:lvlJc w:val="left"/>
    </w:lvl>
    <w:lvl w:ilvl="7" w:tplc="91ACE26A">
      <w:numFmt w:val="decimal"/>
      <w:lvlText w:val=""/>
      <w:lvlJc w:val="left"/>
    </w:lvl>
    <w:lvl w:ilvl="8" w:tplc="8C66C108">
      <w:numFmt w:val="decimal"/>
      <w:lvlText w:val=""/>
      <w:lvlJc w:val="left"/>
    </w:lvl>
  </w:abstractNum>
  <w:abstractNum w:abstractNumId="795" w15:restartNumberingAfterBreak="0">
    <w:nsid w:val="00006FEC"/>
    <w:multiLevelType w:val="hybridMultilevel"/>
    <w:tmpl w:val="48A0A948"/>
    <w:lvl w:ilvl="0" w:tplc="D1F67A86">
      <w:start w:val="7"/>
      <w:numFmt w:val="decimal"/>
      <w:lvlText w:val="(%1)"/>
      <w:lvlJc w:val="left"/>
    </w:lvl>
    <w:lvl w:ilvl="1" w:tplc="F290410E">
      <w:start w:val="1"/>
      <w:numFmt w:val="lowerLetter"/>
      <w:lvlText w:val="(%2)"/>
      <w:lvlJc w:val="left"/>
    </w:lvl>
    <w:lvl w:ilvl="2" w:tplc="141E1D40">
      <w:start w:val="1"/>
      <w:numFmt w:val="decimal"/>
      <w:lvlText w:val="%3"/>
      <w:lvlJc w:val="left"/>
    </w:lvl>
    <w:lvl w:ilvl="3" w:tplc="6866A440">
      <w:numFmt w:val="decimal"/>
      <w:lvlText w:val=""/>
      <w:lvlJc w:val="left"/>
    </w:lvl>
    <w:lvl w:ilvl="4" w:tplc="BEE6FA7A">
      <w:numFmt w:val="decimal"/>
      <w:lvlText w:val=""/>
      <w:lvlJc w:val="left"/>
    </w:lvl>
    <w:lvl w:ilvl="5" w:tplc="BFCA31B8">
      <w:numFmt w:val="decimal"/>
      <w:lvlText w:val=""/>
      <w:lvlJc w:val="left"/>
    </w:lvl>
    <w:lvl w:ilvl="6" w:tplc="DD18652A">
      <w:numFmt w:val="decimal"/>
      <w:lvlText w:val=""/>
      <w:lvlJc w:val="left"/>
    </w:lvl>
    <w:lvl w:ilvl="7" w:tplc="610C75DE">
      <w:numFmt w:val="decimal"/>
      <w:lvlText w:val=""/>
      <w:lvlJc w:val="left"/>
    </w:lvl>
    <w:lvl w:ilvl="8" w:tplc="3C422F5C">
      <w:numFmt w:val="decimal"/>
      <w:lvlText w:val=""/>
      <w:lvlJc w:val="left"/>
    </w:lvl>
  </w:abstractNum>
  <w:abstractNum w:abstractNumId="796" w15:restartNumberingAfterBreak="0">
    <w:nsid w:val="00006FF8"/>
    <w:multiLevelType w:val="hybridMultilevel"/>
    <w:tmpl w:val="F6A818DE"/>
    <w:lvl w:ilvl="0" w:tplc="3FAC2DDC">
      <w:start w:val="1"/>
      <w:numFmt w:val="decimal"/>
      <w:lvlText w:val="%1."/>
      <w:lvlJc w:val="left"/>
    </w:lvl>
    <w:lvl w:ilvl="1" w:tplc="B1A8FF46">
      <w:numFmt w:val="decimal"/>
      <w:lvlText w:val=""/>
      <w:lvlJc w:val="left"/>
    </w:lvl>
    <w:lvl w:ilvl="2" w:tplc="BC42A894">
      <w:numFmt w:val="decimal"/>
      <w:lvlText w:val=""/>
      <w:lvlJc w:val="left"/>
    </w:lvl>
    <w:lvl w:ilvl="3" w:tplc="B360DFCE">
      <w:numFmt w:val="decimal"/>
      <w:lvlText w:val=""/>
      <w:lvlJc w:val="left"/>
    </w:lvl>
    <w:lvl w:ilvl="4" w:tplc="791E0D58">
      <w:numFmt w:val="decimal"/>
      <w:lvlText w:val=""/>
      <w:lvlJc w:val="left"/>
    </w:lvl>
    <w:lvl w:ilvl="5" w:tplc="4CE43C44">
      <w:numFmt w:val="decimal"/>
      <w:lvlText w:val=""/>
      <w:lvlJc w:val="left"/>
    </w:lvl>
    <w:lvl w:ilvl="6" w:tplc="740C8670">
      <w:numFmt w:val="decimal"/>
      <w:lvlText w:val=""/>
      <w:lvlJc w:val="left"/>
    </w:lvl>
    <w:lvl w:ilvl="7" w:tplc="FCB67868">
      <w:numFmt w:val="decimal"/>
      <w:lvlText w:val=""/>
      <w:lvlJc w:val="left"/>
    </w:lvl>
    <w:lvl w:ilvl="8" w:tplc="C63A3D5A">
      <w:numFmt w:val="decimal"/>
      <w:lvlText w:val=""/>
      <w:lvlJc w:val="left"/>
    </w:lvl>
  </w:abstractNum>
  <w:abstractNum w:abstractNumId="797" w15:restartNumberingAfterBreak="0">
    <w:nsid w:val="00007008"/>
    <w:multiLevelType w:val="hybridMultilevel"/>
    <w:tmpl w:val="F6DAA942"/>
    <w:lvl w:ilvl="0" w:tplc="C05410A0">
      <w:start w:val="3"/>
      <w:numFmt w:val="decimal"/>
      <w:lvlText w:val="(%1)"/>
      <w:lvlJc w:val="left"/>
    </w:lvl>
    <w:lvl w:ilvl="1" w:tplc="43C4054A">
      <w:start w:val="1"/>
      <w:numFmt w:val="lowerLetter"/>
      <w:lvlText w:val="(%2)"/>
      <w:lvlJc w:val="left"/>
    </w:lvl>
    <w:lvl w:ilvl="2" w:tplc="36A23D80">
      <w:start w:val="1"/>
      <w:numFmt w:val="decimal"/>
      <w:lvlText w:val="%3."/>
      <w:lvlJc w:val="left"/>
    </w:lvl>
    <w:lvl w:ilvl="3" w:tplc="B95C93CE">
      <w:start w:val="1"/>
      <w:numFmt w:val="lowerLetter"/>
      <w:lvlText w:val="%4"/>
      <w:lvlJc w:val="left"/>
    </w:lvl>
    <w:lvl w:ilvl="4" w:tplc="B8E6BF62">
      <w:numFmt w:val="decimal"/>
      <w:lvlText w:val=""/>
      <w:lvlJc w:val="left"/>
    </w:lvl>
    <w:lvl w:ilvl="5" w:tplc="CEC63BC8">
      <w:numFmt w:val="decimal"/>
      <w:lvlText w:val=""/>
      <w:lvlJc w:val="left"/>
    </w:lvl>
    <w:lvl w:ilvl="6" w:tplc="E80C97AE">
      <w:numFmt w:val="decimal"/>
      <w:lvlText w:val=""/>
      <w:lvlJc w:val="left"/>
    </w:lvl>
    <w:lvl w:ilvl="7" w:tplc="85126F40">
      <w:numFmt w:val="decimal"/>
      <w:lvlText w:val=""/>
      <w:lvlJc w:val="left"/>
    </w:lvl>
    <w:lvl w:ilvl="8" w:tplc="433E319E">
      <w:numFmt w:val="decimal"/>
      <w:lvlText w:val=""/>
      <w:lvlJc w:val="left"/>
    </w:lvl>
  </w:abstractNum>
  <w:abstractNum w:abstractNumId="798" w15:restartNumberingAfterBreak="0">
    <w:nsid w:val="00007060"/>
    <w:multiLevelType w:val="hybridMultilevel"/>
    <w:tmpl w:val="23EED826"/>
    <w:lvl w:ilvl="0" w:tplc="E2A2ECC6">
      <w:start w:val="1"/>
      <w:numFmt w:val="decimal"/>
      <w:lvlText w:val="%1"/>
      <w:lvlJc w:val="left"/>
    </w:lvl>
    <w:lvl w:ilvl="1" w:tplc="0F62A5C6">
      <w:start w:val="7"/>
      <w:numFmt w:val="lowerLetter"/>
      <w:lvlText w:val="(%2)"/>
      <w:lvlJc w:val="left"/>
    </w:lvl>
    <w:lvl w:ilvl="2" w:tplc="191837AA">
      <w:start w:val="1"/>
      <w:numFmt w:val="decimal"/>
      <w:lvlText w:val="%3"/>
      <w:lvlJc w:val="left"/>
    </w:lvl>
    <w:lvl w:ilvl="3" w:tplc="DADCA52A">
      <w:numFmt w:val="decimal"/>
      <w:lvlText w:val=""/>
      <w:lvlJc w:val="left"/>
    </w:lvl>
    <w:lvl w:ilvl="4" w:tplc="B8B811DA">
      <w:numFmt w:val="decimal"/>
      <w:lvlText w:val=""/>
      <w:lvlJc w:val="left"/>
    </w:lvl>
    <w:lvl w:ilvl="5" w:tplc="48880038">
      <w:numFmt w:val="decimal"/>
      <w:lvlText w:val=""/>
      <w:lvlJc w:val="left"/>
    </w:lvl>
    <w:lvl w:ilvl="6" w:tplc="B4604890">
      <w:numFmt w:val="decimal"/>
      <w:lvlText w:val=""/>
      <w:lvlJc w:val="left"/>
    </w:lvl>
    <w:lvl w:ilvl="7" w:tplc="3266C400">
      <w:numFmt w:val="decimal"/>
      <w:lvlText w:val=""/>
      <w:lvlJc w:val="left"/>
    </w:lvl>
    <w:lvl w:ilvl="8" w:tplc="D238612A">
      <w:numFmt w:val="decimal"/>
      <w:lvlText w:val=""/>
      <w:lvlJc w:val="left"/>
    </w:lvl>
  </w:abstractNum>
  <w:abstractNum w:abstractNumId="799" w15:restartNumberingAfterBreak="0">
    <w:nsid w:val="00007077"/>
    <w:multiLevelType w:val="hybridMultilevel"/>
    <w:tmpl w:val="BEF2DC60"/>
    <w:lvl w:ilvl="0" w:tplc="D41238BC">
      <w:start w:val="1"/>
      <w:numFmt w:val="decimal"/>
      <w:lvlText w:val="%1"/>
      <w:lvlJc w:val="left"/>
    </w:lvl>
    <w:lvl w:ilvl="1" w:tplc="0158DBCE">
      <w:start w:val="1"/>
      <w:numFmt w:val="lowerLetter"/>
      <w:lvlText w:val="%2"/>
      <w:lvlJc w:val="left"/>
    </w:lvl>
    <w:lvl w:ilvl="2" w:tplc="10B69264">
      <w:start w:val="2"/>
      <w:numFmt w:val="decimal"/>
      <w:lvlText w:val="%3."/>
      <w:lvlJc w:val="left"/>
    </w:lvl>
    <w:lvl w:ilvl="3" w:tplc="8320DC6E">
      <w:start w:val="1"/>
      <w:numFmt w:val="lowerLetter"/>
      <w:lvlText w:val="%4"/>
      <w:lvlJc w:val="left"/>
    </w:lvl>
    <w:lvl w:ilvl="4" w:tplc="E5A69632">
      <w:numFmt w:val="decimal"/>
      <w:lvlText w:val=""/>
      <w:lvlJc w:val="left"/>
    </w:lvl>
    <w:lvl w:ilvl="5" w:tplc="65BC5032">
      <w:numFmt w:val="decimal"/>
      <w:lvlText w:val=""/>
      <w:lvlJc w:val="left"/>
    </w:lvl>
    <w:lvl w:ilvl="6" w:tplc="0864418A">
      <w:numFmt w:val="decimal"/>
      <w:lvlText w:val=""/>
      <w:lvlJc w:val="left"/>
    </w:lvl>
    <w:lvl w:ilvl="7" w:tplc="988C995A">
      <w:numFmt w:val="decimal"/>
      <w:lvlText w:val=""/>
      <w:lvlJc w:val="left"/>
    </w:lvl>
    <w:lvl w:ilvl="8" w:tplc="A056A720">
      <w:numFmt w:val="decimal"/>
      <w:lvlText w:val=""/>
      <w:lvlJc w:val="left"/>
    </w:lvl>
  </w:abstractNum>
  <w:abstractNum w:abstractNumId="800" w15:restartNumberingAfterBreak="0">
    <w:nsid w:val="000070D8"/>
    <w:multiLevelType w:val="hybridMultilevel"/>
    <w:tmpl w:val="029A392A"/>
    <w:lvl w:ilvl="0" w:tplc="4E3852F0">
      <w:start w:val="1"/>
      <w:numFmt w:val="decimal"/>
      <w:lvlText w:val="%1"/>
      <w:lvlJc w:val="left"/>
    </w:lvl>
    <w:lvl w:ilvl="1" w:tplc="4DC8431E">
      <w:start w:val="1"/>
      <w:numFmt w:val="lowerLetter"/>
      <w:lvlText w:val="%2"/>
      <w:lvlJc w:val="left"/>
    </w:lvl>
    <w:lvl w:ilvl="2" w:tplc="6758059E">
      <w:start w:val="7"/>
      <w:numFmt w:val="decimal"/>
      <w:lvlText w:val="%3."/>
      <w:lvlJc w:val="left"/>
    </w:lvl>
    <w:lvl w:ilvl="3" w:tplc="B6E04B4E">
      <w:start w:val="1"/>
      <w:numFmt w:val="lowerLetter"/>
      <w:lvlText w:val="%4"/>
      <w:lvlJc w:val="left"/>
    </w:lvl>
    <w:lvl w:ilvl="4" w:tplc="635AE346">
      <w:numFmt w:val="decimal"/>
      <w:lvlText w:val=""/>
      <w:lvlJc w:val="left"/>
    </w:lvl>
    <w:lvl w:ilvl="5" w:tplc="986256CA">
      <w:numFmt w:val="decimal"/>
      <w:lvlText w:val=""/>
      <w:lvlJc w:val="left"/>
    </w:lvl>
    <w:lvl w:ilvl="6" w:tplc="DE922AE6">
      <w:numFmt w:val="decimal"/>
      <w:lvlText w:val=""/>
      <w:lvlJc w:val="left"/>
    </w:lvl>
    <w:lvl w:ilvl="7" w:tplc="39FE2FC0">
      <w:numFmt w:val="decimal"/>
      <w:lvlText w:val=""/>
      <w:lvlJc w:val="left"/>
    </w:lvl>
    <w:lvl w:ilvl="8" w:tplc="28E068C6">
      <w:numFmt w:val="decimal"/>
      <w:lvlText w:val=""/>
      <w:lvlJc w:val="left"/>
    </w:lvl>
  </w:abstractNum>
  <w:abstractNum w:abstractNumId="801" w15:restartNumberingAfterBreak="0">
    <w:nsid w:val="00007122"/>
    <w:multiLevelType w:val="hybridMultilevel"/>
    <w:tmpl w:val="F79E18BC"/>
    <w:lvl w:ilvl="0" w:tplc="39F6ED50">
      <w:start w:val="1"/>
      <w:numFmt w:val="decimal"/>
      <w:lvlText w:val="%1."/>
      <w:lvlJc w:val="left"/>
    </w:lvl>
    <w:lvl w:ilvl="1" w:tplc="D36691B0">
      <w:numFmt w:val="decimal"/>
      <w:lvlText w:val=""/>
      <w:lvlJc w:val="left"/>
    </w:lvl>
    <w:lvl w:ilvl="2" w:tplc="8D16E8EE">
      <w:numFmt w:val="decimal"/>
      <w:lvlText w:val=""/>
      <w:lvlJc w:val="left"/>
    </w:lvl>
    <w:lvl w:ilvl="3" w:tplc="9992DE78">
      <w:numFmt w:val="decimal"/>
      <w:lvlText w:val=""/>
      <w:lvlJc w:val="left"/>
    </w:lvl>
    <w:lvl w:ilvl="4" w:tplc="5136E268">
      <w:numFmt w:val="decimal"/>
      <w:lvlText w:val=""/>
      <w:lvlJc w:val="left"/>
    </w:lvl>
    <w:lvl w:ilvl="5" w:tplc="69681EC0">
      <w:numFmt w:val="decimal"/>
      <w:lvlText w:val=""/>
      <w:lvlJc w:val="left"/>
    </w:lvl>
    <w:lvl w:ilvl="6" w:tplc="345ADEC8">
      <w:numFmt w:val="decimal"/>
      <w:lvlText w:val=""/>
      <w:lvlJc w:val="left"/>
    </w:lvl>
    <w:lvl w:ilvl="7" w:tplc="501CB31E">
      <w:numFmt w:val="decimal"/>
      <w:lvlText w:val=""/>
      <w:lvlJc w:val="left"/>
    </w:lvl>
    <w:lvl w:ilvl="8" w:tplc="293EAF2A">
      <w:numFmt w:val="decimal"/>
      <w:lvlText w:val=""/>
      <w:lvlJc w:val="left"/>
    </w:lvl>
  </w:abstractNum>
  <w:abstractNum w:abstractNumId="802" w15:restartNumberingAfterBreak="0">
    <w:nsid w:val="00007132"/>
    <w:multiLevelType w:val="hybridMultilevel"/>
    <w:tmpl w:val="58C4AE7C"/>
    <w:lvl w:ilvl="0" w:tplc="395AA4E4">
      <w:start w:val="1"/>
      <w:numFmt w:val="decimal"/>
      <w:lvlText w:val="%1"/>
      <w:lvlJc w:val="left"/>
    </w:lvl>
    <w:lvl w:ilvl="1" w:tplc="328C7CF8">
      <w:start w:val="1"/>
      <w:numFmt w:val="lowerLetter"/>
      <w:lvlText w:val="%2"/>
      <w:lvlJc w:val="left"/>
    </w:lvl>
    <w:lvl w:ilvl="2" w:tplc="BC92A04A">
      <w:start w:val="2"/>
      <w:numFmt w:val="decimal"/>
      <w:lvlText w:val="%3."/>
      <w:lvlJc w:val="left"/>
    </w:lvl>
    <w:lvl w:ilvl="3" w:tplc="BF409B82">
      <w:start w:val="1"/>
      <w:numFmt w:val="lowerLetter"/>
      <w:lvlText w:val="%4"/>
      <w:lvlJc w:val="left"/>
    </w:lvl>
    <w:lvl w:ilvl="4" w:tplc="5474535E">
      <w:numFmt w:val="decimal"/>
      <w:lvlText w:val=""/>
      <w:lvlJc w:val="left"/>
    </w:lvl>
    <w:lvl w:ilvl="5" w:tplc="D19E395E">
      <w:numFmt w:val="decimal"/>
      <w:lvlText w:val=""/>
      <w:lvlJc w:val="left"/>
    </w:lvl>
    <w:lvl w:ilvl="6" w:tplc="5434CEC2">
      <w:numFmt w:val="decimal"/>
      <w:lvlText w:val=""/>
      <w:lvlJc w:val="left"/>
    </w:lvl>
    <w:lvl w:ilvl="7" w:tplc="7B6AFB84">
      <w:numFmt w:val="decimal"/>
      <w:lvlText w:val=""/>
      <w:lvlJc w:val="left"/>
    </w:lvl>
    <w:lvl w:ilvl="8" w:tplc="7EF87376">
      <w:numFmt w:val="decimal"/>
      <w:lvlText w:val=""/>
      <w:lvlJc w:val="left"/>
    </w:lvl>
  </w:abstractNum>
  <w:abstractNum w:abstractNumId="803" w15:restartNumberingAfterBreak="0">
    <w:nsid w:val="0000715E"/>
    <w:multiLevelType w:val="hybridMultilevel"/>
    <w:tmpl w:val="7E64416A"/>
    <w:lvl w:ilvl="0" w:tplc="EE82A0E2">
      <w:start w:val="1"/>
      <w:numFmt w:val="decimal"/>
      <w:lvlText w:val="(%1)"/>
      <w:lvlJc w:val="left"/>
    </w:lvl>
    <w:lvl w:ilvl="1" w:tplc="AD5E8ED4">
      <w:start w:val="1"/>
      <w:numFmt w:val="lowerLetter"/>
      <w:lvlText w:val="(%2)"/>
      <w:lvlJc w:val="left"/>
    </w:lvl>
    <w:lvl w:ilvl="2" w:tplc="0638DBD6">
      <w:start w:val="1"/>
      <w:numFmt w:val="decimal"/>
      <w:lvlText w:val="%3."/>
      <w:lvlJc w:val="left"/>
    </w:lvl>
    <w:lvl w:ilvl="3" w:tplc="5BC6307C">
      <w:numFmt w:val="decimal"/>
      <w:lvlText w:val=""/>
      <w:lvlJc w:val="left"/>
    </w:lvl>
    <w:lvl w:ilvl="4" w:tplc="71FEBA90">
      <w:numFmt w:val="decimal"/>
      <w:lvlText w:val=""/>
      <w:lvlJc w:val="left"/>
    </w:lvl>
    <w:lvl w:ilvl="5" w:tplc="A3B617EE">
      <w:numFmt w:val="decimal"/>
      <w:lvlText w:val=""/>
      <w:lvlJc w:val="left"/>
    </w:lvl>
    <w:lvl w:ilvl="6" w:tplc="781688FE">
      <w:numFmt w:val="decimal"/>
      <w:lvlText w:val=""/>
      <w:lvlJc w:val="left"/>
    </w:lvl>
    <w:lvl w:ilvl="7" w:tplc="1E2E1B38">
      <w:numFmt w:val="decimal"/>
      <w:lvlText w:val=""/>
      <w:lvlJc w:val="left"/>
    </w:lvl>
    <w:lvl w:ilvl="8" w:tplc="9D36A9E2">
      <w:numFmt w:val="decimal"/>
      <w:lvlText w:val=""/>
      <w:lvlJc w:val="left"/>
    </w:lvl>
  </w:abstractNum>
  <w:abstractNum w:abstractNumId="804" w15:restartNumberingAfterBreak="0">
    <w:nsid w:val="00007169"/>
    <w:multiLevelType w:val="hybridMultilevel"/>
    <w:tmpl w:val="6158F0EC"/>
    <w:lvl w:ilvl="0" w:tplc="37DEC8EE">
      <w:start w:val="4"/>
      <w:numFmt w:val="lowerLetter"/>
      <w:lvlText w:val="(%1)"/>
      <w:lvlJc w:val="left"/>
    </w:lvl>
    <w:lvl w:ilvl="1" w:tplc="D600633C">
      <w:start w:val="1"/>
      <w:numFmt w:val="decimal"/>
      <w:lvlText w:val="%2."/>
      <w:lvlJc w:val="left"/>
    </w:lvl>
    <w:lvl w:ilvl="2" w:tplc="71A65C08">
      <w:numFmt w:val="decimal"/>
      <w:lvlText w:val=""/>
      <w:lvlJc w:val="left"/>
    </w:lvl>
    <w:lvl w:ilvl="3" w:tplc="33048546">
      <w:numFmt w:val="decimal"/>
      <w:lvlText w:val=""/>
      <w:lvlJc w:val="left"/>
    </w:lvl>
    <w:lvl w:ilvl="4" w:tplc="4A5C0532">
      <w:numFmt w:val="decimal"/>
      <w:lvlText w:val=""/>
      <w:lvlJc w:val="left"/>
    </w:lvl>
    <w:lvl w:ilvl="5" w:tplc="C79056C2">
      <w:numFmt w:val="decimal"/>
      <w:lvlText w:val=""/>
      <w:lvlJc w:val="left"/>
    </w:lvl>
    <w:lvl w:ilvl="6" w:tplc="DAB4AB2A">
      <w:numFmt w:val="decimal"/>
      <w:lvlText w:val=""/>
      <w:lvlJc w:val="left"/>
    </w:lvl>
    <w:lvl w:ilvl="7" w:tplc="1842211A">
      <w:numFmt w:val="decimal"/>
      <w:lvlText w:val=""/>
      <w:lvlJc w:val="left"/>
    </w:lvl>
    <w:lvl w:ilvl="8" w:tplc="50EE5284">
      <w:numFmt w:val="decimal"/>
      <w:lvlText w:val=""/>
      <w:lvlJc w:val="left"/>
    </w:lvl>
  </w:abstractNum>
  <w:abstractNum w:abstractNumId="805" w15:restartNumberingAfterBreak="0">
    <w:nsid w:val="0000719A"/>
    <w:multiLevelType w:val="hybridMultilevel"/>
    <w:tmpl w:val="9D8A1DE8"/>
    <w:lvl w:ilvl="0" w:tplc="D0EEC08A">
      <w:start w:val="10"/>
      <w:numFmt w:val="decimal"/>
      <w:lvlText w:val="(%1)"/>
      <w:lvlJc w:val="left"/>
    </w:lvl>
    <w:lvl w:ilvl="1" w:tplc="E43A0A84">
      <w:start w:val="1"/>
      <w:numFmt w:val="lowerLetter"/>
      <w:lvlText w:val="(%2)"/>
      <w:lvlJc w:val="left"/>
    </w:lvl>
    <w:lvl w:ilvl="2" w:tplc="AF6A2CD4">
      <w:numFmt w:val="decimal"/>
      <w:lvlText w:val=""/>
      <w:lvlJc w:val="left"/>
    </w:lvl>
    <w:lvl w:ilvl="3" w:tplc="3C18F8AE">
      <w:numFmt w:val="decimal"/>
      <w:lvlText w:val=""/>
      <w:lvlJc w:val="left"/>
    </w:lvl>
    <w:lvl w:ilvl="4" w:tplc="F60A6316">
      <w:numFmt w:val="decimal"/>
      <w:lvlText w:val=""/>
      <w:lvlJc w:val="left"/>
    </w:lvl>
    <w:lvl w:ilvl="5" w:tplc="CA0A7FE4">
      <w:numFmt w:val="decimal"/>
      <w:lvlText w:val=""/>
      <w:lvlJc w:val="left"/>
    </w:lvl>
    <w:lvl w:ilvl="6" w:tplc="E276568E">
      <w:numFmt w:val="decimal"/>
      <w:lvlText w:val=""/>
      <w:lvlJc w:val="left"/>
    </w:lvl>
    <w:lvl w:ilvl="7" w:tplc="FCD4F1AA">
      <w:numFmt w:val="decimal"/>
      <w:lvlText w:val=""/>
      <w:lvlJc w:val="left"/>
    </w:lvl>
    <w:lvl w:ilvl="8" w:tplc="A5BA66F8">
      <w:numFmt w:val="decimal"/>
      <w:lvlText w:val=""/>
      <w:lvlJc w:val="left"/>
    </w:lvl>
  </w:abstractNum>
  <w:abstractNum w:abstractNumId="806" w15:restartNumberingAfterBreak="0">
    <w:nsid w:val="000071B1"/>
    <w:multiLevelType w:val="hybridMultilevel"/>
    <w:tmpl w:val="64940ECC"/>
    <w:lvl w:ilvl="0" w:tplc="2BF2330A">
      <w:start w:val="3"/>
      <w:numFmt w:val="lowerLetter"/>
      <w:lvlText w:val="%1."/>
      <w:lvlJc w:val="left"/>
    </w:lvl>
    <w:lvl w:ilvl="1" w:tplc="92F65798">
      <w:numFmt w:val="decimal"/>
      <w:lvlText w:val=""/>
      <w:lvlJc w:val="left"/>
    </w:lvl>
    <w:lvl w:ilvl="2" w:tplc="E4A419A2">
      <w:numFmt w:val="decimal"/>
      <w:lvlText w:val=""/>
      <w:lvlJc w:val="left"/>
    </w:lvl>
    <w:lvl w:ilvl="3" w:tplc="D1542696">
      <w:numFmt w:val="decimal"/>
      <w:lvlText w:val=""/>
      <w:lvlJc w:val="left"/>
    </w:lvl>
    <w:lvl w:ilvl="4" w:tplc="C2ACEB78">
      <w:numFmt w:val="decimal"/>
      <w:lvlText w:val=""/>
      <w:lvlJc w:val="left"/>
    </w:lvl>
    <w:lvl w:ilvl="5" w:tplc="FCE0E82C">
      <w:numFmt w:val="decimal"/>
      <w:lvlText w:val=""/>
      <w:lvlJc w:val="left"/>
    </w:lvl>
    <w:lvl w:ilvl="6" w:tplc="5BF8C91E">
      <w:numFmt w:val="decimal"/>
      <w:lvlText w:val=""/>
      <w:lvlJc w:val="left"/>
    </w:lvl>
    <w:lvl w:ilvl="7" w:tplc="0B7CF628">
      <w:numFmt w:val="decimal"/>
      <w:lvlText w:val=""/>
      <w:lvlJc w:val="left"/>
    </w:lvl>
    <w:lvl w:ilvl="8" w:tplc="E84A2712">
      <w:numFmt w:val="decimal"/>
      <w:lvlText w:val=""/>
      <w:lvlJc w:val="left"/>
    </w:lvl>
  </w:abstractNum>
  <w:abstractNum w:abstractNumId="807" w15:restartNumberingAfterBreak="0">
    <w:nsid w:val="000071CA"/>
    <w:multiLevelType w:val="hybridMultilevel"/>
    <w:tmpl w:val="7CF64D2E"/>
    <w:lvl w:ilvl="0" w:tplc="6FFEDBC6">
      <w:start w:val="14"/>
      <w:numFmt w:val="decimal"/>
      <w:lvlText w:val="(%1)"/>
      <w:lvlJc w:val="left"/>
    </w:lvl>
    <w:lvl w:ilvl="1" w:tplc="D8A0EF0C">
      <w:start w:val="1"/>
      <w:numFmt w:val="lowerLetter"/>
      <w:lvlText w:val="(%2)"/>
      <w:lvlJc w:val="left"/>
    </w:lvl>
    <w:lvl w:ilvl="2" w:tplc="3AE25AAE">
      <w:start w:val="1"/>
      <w:numFmt w:val="decimal"/>
      <w:lvlText w:val="%3."/>
      <w:lvlJc w:val="left"/>
    </w:lvl>
    <w:lvl w:ilvl="3" w:tplc="2662E44A">
      <w:numFmt w:val="decimal"/>
      <w:lvlText w:val=""/>
      <w:lvlJc w:val="left"/>
    </w:lvl>
    <w:lvl w:ilvl="4" w:tplc="7F8C8F16">
      <w:numFmt w:val="decimal"/>
      <w:lvlText w:val=""/>
      <w:lvlJc w:val="left"/>
    </w:lvl>
    <w:lvl w:ilvl="5" w:tplc="AB986D32">
      <w:numFmt w:val="decimal"/>
      <w:lvlText w:val=""/>
      <w:lvlJc w:val="left"/>
    </w:lvl>
    <w:lvl w:ilvl="6" w:tplc="906636A6">
      <w:numFmt w:val="decimal"/>
      <w:lvlText w:val=""/>
      <w:lvlJc w:val="left"/>
    </w:lvl>
    <w:lvl w:ilvl="7" w:tplc="0F14E6BE">
      <w:numFmt w:val="decimal"/>
      <w:lvlText w:val=""/>
      <w:lvlJc w:val="left"/>
    </w:lvl>
    <w:lvl w:ilvl="8" w:tplc="AB0EBE38">
      <w:numFmt w:val="decimal"/>
      <w:lvlText w:val=""/>
      <w:lvlJc w:val="left"/>
    </w:lvl>
  </w:abstractNum>
  <w:abstractNum w:abstractNumId="808" w15:restartNumberingAfterBreak="0">
    <w:nsid w:val="000071DF"/>
    <w:multiLevelType w:val="hybridMultilevel"/>
    <w:tmpl w:val="379E1E3A"/>
    <w:lvl w:ilvl="0" w:tplc="FCE0B122">
      <w:start w:val="1"/>
      <w:numFmt w:val="decimal"/>
      <w:lvlText w:val="%1"/>
      <w:lvlJc w:val="left"/>
    </w:lvl>
    <w:lvl w:ilvl="1" w:tplc="01601982">
      <w:start w:val="17"/>
      <w:numFmt w:val="lowerLetter"/>
      <w:lvlText w:val="(%2)"/>
      <w:lvlJc w:val="left"/>
    </w:lvl>
    <w:lvl w:ilvl="2" w:tplc="116809EE">
      <w:start w:val="1"/>
      <w:numFmt w:val="lowerLetter"/>
      <w:lvlText w:val="%3"/>
      <w:lvlJc w:val="left"/>
    </w:lvl>
    <w:lvl w:ilvl="3" w:tplc="5BFADEC8">
      <w:numFmt w:val="decimal"/>
      <w:lvlText w:val=""/>
      <w:lvlJc w:val="left"/>
    </w:lvl>
    <w:lvl w:ilvl="4" w:tplc="3B14BFCA">
      <w:numFmt w:val="decimal"/>
      <w:lvlText w:val=""/>
      <w:lvlJc w:val="left"/>
    </w:lvl>
    <w:lvl w:ilvl="5" w:tplc="273A4A64">
      <w:numFmt w:val="decimal"/>
      <w:lvlText w:val=""/>
      <w:lvlJc w:val="left"/>
    </w:lvl>
    <w:lvl w:ilvl="6" w:tplc="72D8497E">
      <w:numFmt w:val="decimal"/>
      <w:lvlText w:val=""/>
      <w:lvlJc w:val="left"/>
    </w:lvl>
    <w:lvl w:ilvl="7" w:tplc="CEA8BB62">
      <w:numFmt w:val="decimal"/>
      <w:lvlText w:val=""/>
      <w:lvlJc w:val="left"/>
    </w:lvl>
    <w:lvl w:ilvl="8" w:tplc="0F70AB24">
      <w:numFmt w:val="decimal"/>
      <w:lvlText w:val=""/>
      <w:lvlJc w:val="left"/>
    </w:lvl>
  </w:abstractNum>
  <w:abstractNum w:abstractNumId="809" w15:restartNumberingAfterBreak="0">
    <w:nsid w:val="000071E0"/>
    <w:multiLevelType w:val="hybridMultilevel"/>
    <w:tmpl w:val="D774003A"/>
    <w:lvl w:ilvl="0" w:tplc="9FB45484">
      <w:start w:val="9"/>
      <w:numFmt w:val="decimal"/>
      <w:lvlText w:val="(%1)"/>
      <w:lvlJc w:val="left"/>
    </w:lvl>
    <w:lvl w:ilvl="1" w:tplc="0406C164">
      <w:start w:val="1"/>
      <w:numFmt w:val="lowerLetter"/>
      <w:lvlText w:val="(%2)"/>
      <w:lvlJc w:val="left"/>
    </w:lvl>
    <w:lvl w:ilvl="2" w:tplc="CB562C44">
      <w:start w:val="1"/>
      <w:numFmt w:val="decimal"/>
      <w:lvlText w:val="%3."/>
      <w:lvlJc w:val="left"/>
    </w:lvl>
    <w:lvl w:ilvl="3" w:tplc="8B6415C8">
      <w:numFmt w:val="decimal"/>
      <w:lvlText w:val=""/>
      <w:lvlJc w:val="left"/>
    </w:lvl>
    <w:lvl w:ilvl="4" w:tplc="044AC29C">
      <w:numFmt w:val="decimal"/>
      <w:lvlText w:val=""/>
      <w:lvlJc w:val="left"/>
    </w:lvl>
    <w:lvl w:ilvl="5" w:tplc="8C307000">
      <w:numFmt w:val="decimal"/>
      <w:lvlText w:val=""/>
      <w:lvlJc w:val="left"/>
    </w:lvl>
    <w:lvl w:ilvl="6" w:tplc="0EBA39D6">
      <w:numFmt w:val="decimal"/>
      <w:lvlText w:val=""/>
      <w:lvlJc w:val="left"/>
    </w:lvl>
    <w:lvl w:ilvl="7" w:tplc="191EF9BC">
      <w:numFmt w:val="decimal"/>
      <w:lvlText w:val=""/>
      <w:lvlJc w:val="left"/>
    </w:lvl>
    <w:lvl w:ilvl="8" w:tplc="308A7302">
      <w:numFmt w:val="decimal"/>
      <w:lvlText w:val=""/>
      <w:lvlJc w:val="left"/>
    </w:lvl>
  </w:abstractNum>
  <w:abstractNum w:abstractNumId="810" w15:restartNumberingAfterBreak="0">
    <w:nsid w:val="000071F6"/>
    <w:multiLevelType w:val="hybridMultilevel"/>
    <w:tmpl w:val="947279EE"/>
    <w:lvl w:ilvl="0" w:tplc="1E6460B8">
      <w:start w:val="1"/>
      <w:numFmt w:val="decimal"/>
      <w:lvlText w:val="%1"/>
      <w:lvlJc w:val="left"/>
    </w:lvl>
    <w:lvl w:ilvl="1" w:tplc="D9868A0E">
      <w:numFmt w:val="decimal"/>
      <w:lvlText w:val=""/>
      <w:lvlJc w:val="left"/>
    </w:lvl>
    <w:lvl w:ilvl="2" w:tplc="C6344DD6">
      <w:numFmt w:val="decimal"/>
      <w:lvlText w:val=""/>
      <w:lvlJc w:val="left"/>
    </w:lvl>
    <w:lvl w:ilvl="3" w:tplc="8996B088">
      <w:numFmt w:val="decimal"/>
      <w:lvlText w:val=""/>
      <w:lvlJc w:val="left"/>
    </w:lvl>
    <w:lvl w:ilvl="4" w:tplc="D7A4336E">
      <w:numFmt w:val="decimal"/>
      <w:lvlText w:val=""/>
      <w:lvlJc w:val="left"/>
    </w:lvl>
    <w:lvl w:ilvl="5" w:tplc="63D2CB38">
      <w:numFmt w:val="decimal"/>
      <w:lvlText w:val=""/>
      <w:lvlJc w:val="left"/>
    </w:lvl>
    <w:lvl w:ilvl="6" w:tplc="C4081582">
      <w:numFmt w:val="decimal"/>
      <w:lvlText w:val=""/>
      <w:lvlJc w:val="left"/>
    </w:lvl>
    <w:lvl w:ilvl="7" w:tplc="9738AA18">
      <w:numFmt w:val="decimal"/>
      <w:lvlText w:val=""/>
      <w:lvlJc w:val="left"/>
    </w:lvl>
    <w:lvl w:ilvl="8" w:tplc="E556B23A">
      <w:numFmt w:val="decimal"/>
      <w:lvlText w:val=""/>
      <w:lvlJc w:val="left"/>
    </w:lvl>
  </w:abstractNum>
  <w:abstractNum w:abstractNumId="811" w15:restartNumberingAfterBreak="0">
    <w:nsid w:val="00007225"/>
    <w:multiLevelType w:val="hybridMultilevel"/>
    <w:tmpl w:val="CCD222FE"/>
    <w:lvl w:ilvl="0" w:tplc="C03677DE">
      <w:start w:val="1"/>
      <w:numFmt w:val="lowerLetter"/>
      <w:lvlText w:val="%1"/>
      <w:lvlJc w:val="left"/>
    </w:lvl>
    <w:lvl w:ilvl="1" w:tplc="229C2F58">
      <w:start w:val="3"/>
      <w:numFmt w:val="decimal"/>
      <w:lvlText w:val="%2."/>
      <w:lvlJc w:val="left"/>
    </w:lvl>
    <w:lvl w:ilvl="2" w:tplc="A426AD8E">
      <w:start w:val="1"/>
      <w:numFmt w:val="lowerLetter"/>
      <w:lvlText w:val="%3"/>
      <w:lvlJc w:val="left"/>
    </w:lvl>
    <w:lvl w:ilvl="3" w:tplc="C86ED51A">
      <w:start w:val="1"/>
      <w:numFmt w:val="lowerLetter"/>
      <w:lvlText w:val="%4"/>
      <w:lvlJc w:val="left"/>
    </w:lvl>
    <w:lvl w:ilvl="4" w:tplc="C5BEA13E">
      <w:numFmt w:val="decimal"/>
      <w:lvlText w:val=""/>
      <w:lvlJc w:val="left"/>
    </w:lvl>
    <w:lvl w:ilvl="5" w:tplc="59EABDC8">
      <w:numFmt w:val="decimal"/>
      <w:lvlText w:val=""/>
      <w:lvlJc w:val="left"/>
    </w:lvl>
    <w:lvl w:ilvl="6" w:tplc="2822EAC6">
      <w:numFmt w:val="decimal"/>
      <w:lvlText w:val=""/>
      <w:lvlJc w:val="left"/>
    </w:lvl>
    <w:lvl w:ilvl="7" w:tplc="433A5D70">
      <w:numFmt w:val="decimal"/>
      <w:lvlText w:val=""/>
      <w:lvlJc w:val="left"/>
    </w:lvl>
    <w:lvl w:ilvl="8" w:tplc="F0905B40">
      <w:numFmt w:val="decimal"/>
      <w:lvlText w:val=""/>
      <w:lvlJc w:val="left"/>
    </w:lvl>
  </w:abstractNum>
  <w:abstractNum w:abstractNumId="812" w15:restartNumberingAfterBreak="0">
    <w:nsid w:val="00007245"/>
    <w:multiLevelType w:val="hybridMultilevel"/>
    <w:tmpl w:val="CAF82DEC"/>
    <w:lvl w:ilvl="0" w:tplc="18BEB3E4">
      <w:start w:val="8"/>
      <w:numFmt w:val="lowerLetter"/>
      <w:lvlText w:val="(%1)"/>
      <w:lvlJc w:val="left"/>
    </w:lvl>
    <w:lvl w:ilvl="1" w:tplc="B7E2E076">
      <w:start w:val="1"/>
      <w:numFmt w:val="decimal"/>
      <w:lvlText w:val="%2."/>
      <w:lvlJc w:val="left"/>
    </w:lvl>
    <w:lvl w:ilvl="2" w:tplc="8DC0A9B4">
      <w:start w:val="1"/>
      <w:numFmt w:val="lowerLetter"/>
      <w:lvlText w:val="%3."/>
      <w:lvlJc w:val="left"/>
    </w:lvl>
    <w:lvl w:ilvl="3" w:tplc="FCFAC30A">
      <w:start w:val="1"/>
      <w:numFmt w:val="lowerRoman"/>
      <w:lvlText w:val="%4."/>
      <w:lvlJc w:val="left"/>
    </w:lvl>
    <w:lvl w:ilvl="4" w:tplc="D344666E">
      <w:numFmt w:val="decimal"/>
      <w:lvlText w:val=""/>
      <w:lvlJc w:val="left"/>
    </w:lvl>
    <w:lvl w:ilvl="5" w:tplc="000064CA">
      <w:numFmt w:val="decimal"/>
      <w:lvlText w:val=""/>
      <w:lvlJc w:val="left"/>
    </w:lvl>
    <w:lvl w:ilvl="6" w:tplc="30ACA664">
      <w:numFmt w:val="decimal"/>
      <w:lvlText w:val=""/>
      <w:lvlJc w:val="left"/>
    </w:lvl>
    <w:lvl w:ilvl="7" w:tplc="CBF61776">
      <w:numFmt w:val="decimal"/>
      <w:lvlText w:val=""/>
      <w:lvlJc w:val="left"/>
    </w:lvl>
    <w:lvl w:ilvl="8" w:tplc="84181E2A">
      <w:numFmt w:val="decimal"/>
      <w:lvlText w:val=""/>
      <w:lvlJc w:val="left"/>
    </w:lvl>
  </w:abstractNum>
  <w:abstractNum w:abstractNumId="813" w15:restartNumberingAfterBreak="0">
    <w:nsid w:val="00007250"/>
    <w:multiLevelType w:val="hybridMultilevel"/>
    <w:tmpl w:val="06320640"/>
    <w:lvl w:ilvl="0" w:tplc="0EB20B6E">
      <w:start w:val="3"/>
      <w:numFmt w:val="lowerLetter"/>
      <w:lvlText w:val="(%1)"/>
      <w:lvlJc w:val="left"/>
    </w:lvl>
    <w:lvl w:ilvl="1" w:tplc="CB68C93A">
      <w:start w:val="1"/>
      <w:numFmt w:val="decimal"/>
      <w:lvlText w:val="%2."/>
      <w:lvlJc w:val="left"/>
    </w:lvl>
    <w:lvl w:ilvl="2" w:tplc="42507620">
      <w:numFmt w:val="decimal"/>
      <w:lvlText w:val=""/>
      <w:lvlJc w:val="left"/>
    </w:lvl>
    <w:lvl w:ilvl="3" w:tplc="248EAE02">
      <w:numFmt w:val="decimal"/>
      <w:lvlText w:val=""/>
      <w:lvlJc w:val="left"/>
    </w:lvl>
    <w:lvl w:ilvl="4" w:tplc="289AF7AA">
      <w:numFmt w:val="decimal"/>
      <w:lvlText w:val=""/>
      <w:lvlJc w:val="left"/>
    </w:lvl>
    <w:lvl w:ilvl="5" w:tplc="C7083A06">
      <w:numFmt w:val="decimal"/>
      <w:lvlText w:val=""/>
      <w:lvlJc w:val="left"/>
    </w:lvl>
    <w:lvl w:ilvl="6" w:tplc="45BA68C8">
      <w:numFmt w:val="decimal"/>
      <w:lvlText w:val=""/>
      <w:lvlJc w:val="left"/>
    </w:lvl>
    <w:lvl w:ilvl="7" w:tplc="20164D1C">
      <w:numFmt w:val="decimal"/>
      <w:lvlText w:val=""/>
      <w:lvlJc w:val="left"/>
    </w:lvl>
    <w:lvl w:ilvl="8" w:tplc="AE5CAC50">
      <w:numFmt w:val="decimal"/>
      <w:lvlText w:val=""/>
      <w:lvlJc w:val="left"/>
    </w:lvl>
  </w:abstractNum>
  <w:abstractNum w:abstractNumId="814" w15:restartNumberingAfterBreak="0">
    <w:nsid w:val="00007257"/>
    <w:multiLevelType w:val="hybridMultilevel"/>
    <w:tmpl w:val="94760FF8"/>
    <w:lvl w:ilvl="0" w:tplc="111A4E24">
      <w:start w:val="7"/>
      <w:numFmt w:val="lowerLetter"/>
      <w:lvlText w:val="%1."/>
      <w:lvlJc w:val="left"/>
    </w:lvl>
    <w:lvl w:ilvl="1" w:tplc="4D3EBB26">
      <w:numFmt w:val="decimal"/>
      <w:lvlText w:val=""/>
      <w:lvlJc w:val="left"/>
    </w:lvl>
    <w:lvl w:ilvl="2" w:tplc="3792301C">
      <w:numFmt w:val="decimal"/>
      <w:lvlText w:val=""/>
      <w:lvlJc w:val="left"/>
    </w:lvl>
    <w:lvl w:ilvl="3" w:tplc="E782E748">
      <w:numFmt w:val="decimal"/>
      <w:lvlText w:val=""/>
      <w:lvlJc w:val="left"/>
    </w:lvl>
    <w:lvl w:ilvl="4" w:tplc="36E205A2">
      <w:numFmt w:val="decimal"/>
      <w:lvlText w:val=""/>
      <w:lvlJc w:val="left"/>
    </w:lvl>
    <w:lvl w:ilvl="5" w:tplc="7C1CA7B6">
      <w:numFmt w:val="decimal"/>
      <w:lvlText w:val=""/>
      <w:lvlJc w:val="left"/>
    </w:lvl>
    <w:lvl w:ilvl="6" w:tplc="6C4AD188">
      <w:numFmt w:val="decimal"/>
      <w:lvlText w:val=""/>
      <w:lvlJc w:val="left"/>
    </w:lvl>
    <w:lvl w:ilvl="7" w:tplc="F438954E">
      <w:numFmt w:val="decimal"/>
      <w:lvlText w:val=""/>
      <w:lvlJc w:val="left"/>
    </w:lvl>
    <w:lvl w:ilvl="8" w:tplc="72FA6002">
      <w:numFmt w:val="decimal"/>
      <w:lvlText w:val=""/>
      <w:lvlJc w:val="left"/>
    </w:lvl>
  </w:abstractNum>
  <w:abstractNum w:abstractNumId="815" w15:restartNumberingAfterBreak="0">
    <w:nsid w:val="0000726C"/>
    <w:multiLevelType w:val="hybridMultilevel"/>
    <w:tmpl w:val="68B455B8"/>
    <w:lvl w:ilvl="0" w:tplc="071C402C">
      <w:start w:val="3"/>
      <w:numFmt w:val="decimal"/>
      <w:lvlText w:val="%1."/>
      <w:lvlJc w:val="left"/>
    </w:lvl>
    <w:lvl w:ilvl="1" w:tplc="48AEB06E">
      <w:start w:val="1"/>
      <w:numFmt w:val="lowerLetter"/>
      <w:lvlText w:val="%2"/>
      <w:lvlJc w:val="left"/>
    </w:lvl>
    <w:lvl w:ilvl="2" w:tplc="09DECFFA">
      <w:start w:val="1"/>
      <w:numFmt w:val="lowerRoman"/>
      <w:lvlText w:val="%3"/>
      <w:lvlJc w:val="left"/>
    </w:lvl>
    <w:lvl w:ilvl="3" w:tplc="1F10F5F0">
      <w:numFmt w:val="decimal"/>
      <w:lvlText w:val=""/>
      <w:lvlJc w:val="left"/>
    </w:lvl>
    <w:lvl w:ilvl="4" w:tplc="8C52949C">
      <w:numFmt w:val="decimal"/>
      <w:lvlText w:val=""/>
      <w:lvlJc w:val="left"/>
    </w:lvl>
    <w:lvl w:ilvl="5" w:tplc="8B4695EE">
      <w:numFmt w:val="decimal"/>
      <w:lvlText w:val=""/>
      <w:lvlJc w:val="left"/>
    </w:lvl>
    <w:lvl w:ilvl="6" w:tplc="76622ED6">
      <w:numFmt w:val="decimal"/>
      <w:lvlText w:val=""/>
      <w:lvlJc w:val="left"/>
    </w:lvl>
    <w:lvl w:ilvl="7" w:tplc="128CE6F0">
      <w:numFmt w:val="decimal"/>
      <w:lvlText w:val=""/>
      <w:lvlJc w:val="left"/>
    </w:lvl>
    <w:lvl w:ilvl="8" w:tplc="23B2B76A">
      <w:numFmt w:val="decimal"/>
      <w:lvlText w:val=""/>
      <w:lvlJc w:val="left"/>
    </w:lvl>
  </w:abstractNum>
  <w:abstractNum w:abstractNumId="816" w15:restartNumberingAfterBreak="0">
    <w:nsid w:val="00007275"/>
    <w:multiLevelType w:val="hybridMultilevel"/>
    <w:tmpl w:val="749C19AC"/>
    <w:lvl w:ilvl="0" w:tplc="26F26244">
      <w:start w:val="1"/>
      <w:numFmt w:val="decimal"/>
      <w:lvlText w:val="%1"/>
      <w:lvlJc w:val="left"/>
    </w:lvl>
    <w:lvl w:ilvl="1" w:tplc="591C02DC">
      <w:start w:val="1"/>
      <w:numFmt w:val="lowerLetter"/>
      <w:lvlText w:val="%2"/>
      <w:lvlJc w:val="left"/>
    </w:lvl>
    <w:lvl w:ilvl="2" w:tplc="2AF20BF6">
      <w:start w:val="6"/>
      <w:numFmt w:val="decimal"/>
      <w:lvlText w:val="%3."/>
      <w:lvlJc w:val="left"/>
    </w:lvl>
    <w:lvl w:ilvl="3" w:tplc="341C9288">
      <w:numFmt w:val="decimal"/>
      <w:lvlText w:val=""/>
      <w:lvlJc w:val="left"/>
    </w:lvl>
    <w:lvl w:ilvl="4" w:tplc="117037CC">
      <w:numFmt w:val="decimal"/>
      <w:lvlText w:val=""/>
      <w:lvlJc w:val="left"/>
    </w:lvl>
    <w:lvl w:ilvl="5" w:tplc="0226EC1A">
      <w:numFmt w:val="decimal"/>
      <w:lvlText w:val=""/>
      <w:lvlJc w:val="left"/>
    </w:lvl>
    <w:lvl w:ilvl="6" w:tplc="2A0EAC5C">
      <w:numFmt w:val="decimal"/>
      <w:lvlText w:val=""/>
      <w:lvlJc w:val="left"/>
    </w:lvl>
    <w:lvl w:ilvl="7" w:tplc="E00CB610">
      <w:numFmt w:val="decimal"/>
      <w:lvlText w:val=""/>
      <w:lvlJc w:val="left"/>
    </w:lvl>
    <w:lvl w:ilvl="8" w:tplc="F190A302">
      <w:numFmt w:val="decimal"/>
      <w:lvlText w:val=""/>
      <w:lvlJc w:val="left"/>
    </w:lvl>
  </w:abstractNum>
  <w:abstractNum w:abstractNumId="817" w15:restartNumberingAfterBreak="0">
    <w:nsid w:val="00007293"/>
    <w:multiLevelType w:val="hybridMultilevel"/>
    <w:tmpl w:val="7F0A4530"/>
    <w:lvl w:ilvl="0" w:tplc="94700D12">
      <w:start w:val="1"/>
      <w:numFmt w:val="lowerLetter"/>
      <w:lvlText w:val="%1"/>
      <w:lvlJc w:val="left"/>
    </w:lvl>
    <w:lvl w:ilvl="1" w:tplc="B7B2C592">
      <w:start w:val="1"/>
      <w:numFmt w:val="decimal"/>
      <w:lvlText w:val="%2"/>
      <w:lvlJc w:val="left"/>
    </w:lvl>
    <w:lvl w:ilvl="2" w:tplc="14EABA60">
      <w:start w:val="2"/>
      <w:numFmt w:val="lowerLetter"/>
      <w:lvlText w:val="%3."/>
      <w:lvlJc w:val="left"/>
    </w:lvl>
    <w:lvl w:ilvl="3" w:tplc="6F629C9C">
      <w:numFmt w:val="decimal"/>
      <w:lvlText w:val=""/>
      <w:lvlJc w:val="left"/>
    </w:lvl>
    <w:lvl w:ilvl="4" w:tplc="7696C1EC">
      <w:numFmt w:val="decimal"/>
      <w:lvlText w:val=""/>
      <w:lvlJc w:val="left"/>
    </w:lvl>
    <w:lvl w:ilvl="5" w:tplc="2662C174">
      <w:numFmt w:val="decimal"/>
      <w:lvlText w:val=""/>
      <w:lvlJc w:val="left"/>
    </w:lvl>
    <w:lvl w:ilvl="6" w:tplc="3036FE86">
      <w:numFmt w:val="decimal"/>
      <w:lvlText w:val=""/>
      <w:lvlJc w:val="left"/>
    </w:lvl>
    <w:lvl w:ilvl="7" w:tplc="F964245A">
      <w:numFmt w:val="decimal"/>
      <w:lvlText w:val=""/>
      <w:lvlJc w:val="left"/>
    </w:lvl>
    <w:lvl w:ilvl="8" w:tplc="08144226">
      <w:numFmt w:val="decimal"/>
      <w:lvlText w:val=""/>
      <w:lvlJc w:val="left"/>
    </w:lvl>
  </w:abstractNum>
  <w:abstractNum w:abstractNumId="818" w15:restartNumberingAfterBreak="0">
    <w:nsid w:val="000072A8"/>
    <w:multiLevelType w:val="hybridMultilevel"/>
    <w:tmpl w:val="EAE85F9E"/>
    <w:lvl w:ilvl="0" w:tplc="8474C396">
      <w:start w:val="3"/>
      <w:numFmt w:val="decimal"/>
      <w:lvlText w:val="%1."/>
      <w:lvlJc w:val="left"/>
    </w:lvl>
    <w:lvl w:ilvl="1" w:tplc="F320B1AC">
      <w:start w:val="1"/>
      <w:numFmt w:val="lowerLetter"/>
      <w:lvlText w:val="%2"/>
      <w:lvlJc w:val="left"/>
    </w:lvl>
    <w:lvl w:ilvl="2" w:tplc="8ED27520">
      <w:numFmt w:val="decimal"/>
      <w:lvlText w:val=""/>
      <w:lvlJc w:val="left"/>
    </w:lvl>
    <w:lvl w:ilvl="3" w:tplc="BBF4112A">
      <w:numFmt w:val="decimal"/>
      <w:lvlText w:val=""/>
      <w:lvlJc w:val="left"/>
    </w:lvl>
    <w:lvl w:ilvl="4" w:tplc="CC50D2DC">
      <w:numFmt w:val="decimal"/>
      <w:lvlText w:val=""/>
      <w:lvlJc w:val="left"/>
    </w:lvl>
    <w:lvl w:ilvl="5" w:tplc="F938940A">
      <w:numFmt w:val="decimal"/>
      <w:lvlText w:val=""/>
      <w:lvlJc w:val="left"/>
    </w:lvl>
    <w:lvl w:ilvl="6" w:tplc="CDC6A81C">
      <w:numFmt w:val="decimal"/>
      <w:lvlText w:val=""/>
      <w:lvlJc w:val="left"/>
    </w:lvl>
    <w:lvl w:ilvl="7" w:tplc="D7A0AA96">
      <w:numFmt w:val="decimal"/>
      <w:lvlText w:val=""/>
      <w:lvlJc w:val="left"/>
    </w:lvl>
    <w:lvl w:ilvl="8" w:tplc="C14407B2">
      <w:numFmt w:val="decimal"/>
      <w:lvlText w:val=""/>
      <w:lvlJc w:val="left"/>
    </w:lvl>
  </w:abstractNum>
  <w:abstractNum w:abstractNumId="819" w15:restartNumberingAfterBreak="0">
    <w:nsid w:val="000072F2"/>
    <w:multiLevelType w:val="hybridMultilevel"/>
    <w:tmpl w:val="FA66B84C"/>
    <w:lvl w:ilvl="0" w:tplc="C902090C">
      <w:start w:val="1"/>
      <w:numFmt w:val="lowerLetter"/>
      <w:lvlText w:val="%1"/>
      <w:lvlJc w:val="left"/>
    </w:lvl>
    <w:lvl w:ilvl="1" w:tplc="8F229AAA">
      <w:start w:val="3"/>
      <w:numFmt w:val="decimal"/>
      <w:lvlText w:val="%2."/>
      <w:lvlJc w:val="left"/>
    </w:lvl>
    <w:lvl w:ilvl="2" w:tplc="1AAEEB98">
      <w:start w:val="1"/>
      <w:numFmt w:val="lowerLetter"/>
      <w:lvlText w:val="%3."/>
      <w:lvlJc w:val="left"/>
    </w:lvl>
    <w:lvl w:ilvl="3" w:tplc="A9BC083E">
      <w:numFmt w:val="decimal"/>
      <w:lvlText w:val=""/>
      <w:lvlJc w:val="left"/>
    </w:lvl>
    <w:lvl w:ilvl="4" w:tplc="B6A0B590">
      <w:numFmt w:val="decimal"/>
      <w:lvlText w:val=""/>
      <w:lvlJc w:val="left"/>
    </w:lvl>
    <w:lvl w:ilvl="5" w:tplc="CAC6B312">
      <w:numFmt w:val="decimal"/>
      <w:lvlText w:val=""/>
      <w:lvlJc w:val="left"/>
    </w:lvl>
    <w:lvl w:ilvl="6" w:tplc="360E49D0">
      <w:numFmt w:val="decimal"/>
      <w:lvlText w:val=""/>
      <w:lvlJc w:val="left"/>
    </w:lvl>
    <w:lvl w:ilvl="7" w:tplc="0DAAA8EA">
      <w:numFmt w:val="decimal"/>
      <w:lvlText w:val=""/>
      <w:lvlJc w:val="left"/>
    </w:lvl>
    <w:lvl w:ilvl="8" w:tplc="A5A8C5B0">
      <w:numFmt w:val="decimal"/>
      <w:lvlText w:val=""/>
      <w:lvlJc w:val="left"/>
    </w:lvl>
  </w:abstractNum>
  <w:abstractNum w:abstractNumId="820" w15:restartNumberingAfterBreak="0">
    <w:nsid w:val="00007305"/>
    <w:multiLevelType w:val="hybridMultilevel"/>
    <w:tmpl w:val="73D40A32"/>
    <w:lvl w:ilvl="0" w:tplc="9AF8C7E8">
      <w:start w:val="1"/>
      <w:numFmt w:val="decimal"/>
      <w:lvlText w:val="%1"/>
      <w:lvlJc w:val="left"/>
    </w:lvl>
    <w:lvl w:ilvl="1" w:tplc="C6CC2016">
      <w:start w:val="16"/>
      <w:numFmt w:val="lowerLetter"/>
      <w:lvlText w:val="(%2)"/>
      <w:lvlJc w:val="left"/>
    </w:lvl>
    <w:lvl w:ilvl="2" w:tplc="6E52D2AC">
      <w:numFmt w:val="decimal"/>
      <w:lvlText w:val=""/>
      <w:lvlJc w:val="left"/>
    </w:lvl>
    <w:lvl w:ilvl="3" w:tplc="C26C5E6E">
      <w:numFmt w:val="decimal"/>
      <w:lvlText w:val=""/>
      <w:lvlJc w:val="left"/>
    </w:lvl>
    <w:lvl w:ilvl="4" w:tplc="F4FCE816">
      <w:numFmt w:val="decimal"/>
      <w:lvlText w:val=""/>
      <w:lvlJc w:val="left"/>
    </w:lvl>
    <w:lvl w:ilvl="5" w:tplc="37B0E686">
      <w:numFmt w:val="decimal"/>
      <w:lvlText w:val=""/>
      <w:lvlJc w:val="left"/>
    </w:lvl>
    <w:lvl w:ilvl="6" w:tplc="3322215E">
      <w:numFmt w:val="decimal"/>
      <w:lvlText w:val=""/>
      <w:lvlJc w:val="left"/>
    </w:lvl>
    <w:lvl w:ilvl="7" w:tplc="7AAC9BA6">
      <w:numFmt w:val="decimal"/>
      <w:lvlText w:val=""/>
      <w:lvlJc w:val="left"/>
    </w:lvl>
    <w:lvl w:ilvl="8" w:tplc="A738786C">
      <w:numFmt w:val="decimal"/>
      <w:lvlText w:val=""/>
      <w:lvlJc w:val="left"/>
    </w:lvl>
  </w:abstractNum>
  <w:abstractNum w:abstractNumId="821" w15:restartNumberingAfterBreak="0">
    <w:nsid w:val="00007312"/>
    <w:multiLevelType w:val="hybridMultilevel"/>
    <w:tmpl w:val="36106D9A"/>
    <w:lvl w:ilvl="0" w:tplc="0E5C2522">
      <w:start w:val="1"/>
      <w:numFmt w:val="lowerLetter"/>
      <w:lvlText w:val="%1"/>
      <w:lvlJc w:val="left"/>
    </w:lvl>
    <w:lvl w:ilvl="1" w:tplc="F6942836">
      <w:start w:val="4"/>
      <w:numFmt w:val="decimal"/>
      <w:lvlText w:val="%2."/>
      <w:lvlJc w:val="left"/>
    </w:lvl>
    <w:lvl w:ilvl="2" w:tplc="140ED9EE">
      <w:start w:val="1"/>
      <w:numFmt w:val="lowerLetter"/>
      <w:lvlText w:val="%3"/>
      <w:lvlJc w:val="left"/>
    </w:lvl>
    <w:lvl w:ilvl="3" w:tplc="067C0E9E">
      <w:numFmt w:val="decimal"/>
      <w:lvlText w:val=""/>
      <w:lvlJc w:val="left"/>
    </w:lvl>
    <w:lvl w:ilvl="4" w:tplc="34A0273A">
      <w:numFmt w:val="decimal"/>
      <w:lvlText w:val=""/>
      <w:lvlJc w:val="left"/>
    </w:lvl>
    <w:lvl w:ilvl="5" w:tplc="3DB840D4">
      <w:numFmt w:val="decimal"/>
      <w:lvlText w:val=""/>
      <w:lvlJc w:val="left"/>
    </w:lvl>
    <w:lvl w:ilvl="6" w:tplc="67742DB0">
      <w:numFmt w:val="decimal"/>
      <w:lvlText w:val=""/>
      <w:lvlJc w:val="left"/>
    </w:lvl>
    <w:lvl w:ilvl="7" w:tplc="07C09CDC">
      <w:numFmt w:val="decimal"/>
      <w:lvlText w:val=""/>
      <w:lvlJc w:val="left"/>
    </w:lvl>
    <w:lvl w:ilvl="8" w:tplc="122EF412">
      <w:numFmt w:val="decimal"/>
      <w:lvlText w:val=""/>
      <w:lvlJc w:val="left"/>
    </w:lvl>
  </w:abstractNum>
  <w:abstractNum w:abstractNumId="822" w15:restartNumberingAfterBreak="0">
    <w:nsid w:val="0000732E"/>
    <w:multiLevelType w:val="hybridMultilevel"/>
    <w:tmpl w:val="07A6C006"/>
    <w:lvl w:ilvl="0" w:tplc="248459F4">
      <w:start w:val="1"/>
      <w:numFmt w:val="decimal"/>
      <w:lvlText w:val="%1"/>
      <w:lvlJc w:val="left"/>
    </w:lvl>
    <w:lvl w:ilvl="1" w:tplc="50E26DA8">
      <w:start w:val="1"/>
      <w:numFmt w:val="lowerLetter"/>
      <w:lvlText w:val="%2."/>
      <w:lvlJc w:val="left"/>
    </w:lvl>
    <w:lvl w:ilvl="2" w:tplc="34ECD03C">
      <w:start w:val="1"/>
      <w:numFmt w:val="lowerRoman"/>
      <w:lvlText w:val="(%3)"/>
      <w:lvlJc w:val="left"/>
    </w:lvl>
    <w:lvl w:ilvl="3" w:tplc="19621B86">
      <w:numFmt w:val="decimal"/>
      <w:lvlText w:val=""/>
      <w:lvlJc w:val="left"/>
    </w:lvl>
    <w:lvl w:ilvl="4" w:tplc="42BA5584">
      <w:numFmt w:val="decimal"/>
      <w:lvlText w:val=""/>
      <w:lvlJc w:val="left"/>
    </w:lvl>
    <w:lvl w:ilvl="5" w:tplc="F9EA2E10">
      <w:numFmt w:val="decimal"/>
      <w:lvlText w:val=""/>
      <w:lvlJc w:val="left"/>
    </w:lvl>
    <w:lvl w:ilvl="6" w:tplc="A492F8B8">
      <w:numFmt w:val="decimal"/>
      <w:lvlText w:val=""/>
      <w:lvlJc w:val="left"/>
    </w:lvl>
    <w:lvl w:ilvl="7" w:tplc="47887942">
      <w:numFmt w:val="decimal"/>
      <w:lvlText w:val=""/>
      <w:lvlJc w:val="left"/>
    </w:lvl>
    <w:lvl w:ilvl="8" w:tplc="7354E10A">
      <w:numFmt w:val="decimal"/>
      <w:lvlText w:val=""/>
      <w:lvlJc w:val="left"/>
    </w:lvl>
  </w:abstractNum>
  <w:abstractNum w:abstractNumId="823" w15:restartNumberingAfterBreak="0">
    <w:nsid w:val="00007334"/>
    <w:multiLevelType w:val="hybridMultilevel"/>
    <w:tmpl w:val="7650523E"/>
    <w:lvl w:ilvl="0" w:tplc="87566DB0">
      <w:start w:val="2"/>
      <w:numFmt w:val="decimal"/>
      <w:lvlText w:val="%1."/>
      <w:lvlJc w:val="left"/>
    </w:lvl>
    <w:lvl w:ilvl="1" w:tplc="85989CB2">
      <w:numFmt w:val="decimal"/>
      <w:lvlText w:val=""/>
      <w:lvlJc w:val="left"/>
    </w:lvl>
    <w:lvl w:ilvl="2" w:tplc="E8B8697E">
      <w:numFmt w:val="decimal"/>
      <w:lvlText w:val=""/>
      <w:lvlJc w:val="left"/>
    </w:lvl>
    <w:lvl w:ilvl="3" w:tplc="80D4D39C">
      <w:numFmt w:val="decimal"/>
      <w:lvlText w:val=""/>
      <w:lvlJc w:val="left"/>
    </w:lvl>
    <w:lvl w:ilvl="4" w:tplc="83F4C23E">
      <w:numFmt w:val="decimal"/>
      <w:lvlText w:val=""/>
      <w:lvlJc w:val="left"/>
    </w:lvl>
    <w:lvl w:ilvl="5" w:tplc="6CA0C9C8">
      <w:numFmt w:val="decimal"/>
      <w:lvlText w:val=""/>
      <w:lvlJc w:val="left"/>
    </w:lvl>
    <w:lvl w:ilvl="6" w:tplc="964E9C36">
      <w:numFmt w:val="decimal"/>
      <w:lvlText w:val=""/>
      <w:lvlJc w:val="left"/>
    </w:lvl>
    <w:lvl w:ilvl="7" w:tplc="3F02B644">
      <w:numFmt w:val="decimal"/>
      <w:lvlText w:val=""/>
      <w:lvlJc w:val="left"/>
    </w:lvl>
    <w:lvl w:ilvl="8" w:tplc="CDBEAE50">
      <w:numFmt w:val="decimal"/>
      <w:lvlText w:val=""/>
      <w:lvlJc w:val="left"/>
    </w:lvl>
  </w:abstractNum>
  <w:abstractNum w:abstractNumId="824" w15:restartNumberingAfterBreak="0">
    <w:nsid w:val="00007378"/>
    <w:multiLevelType w:val="hybridMultilevel"/>
    <w:tmpl w:val="7A441AEE"/>
    <w:lvl w:ilvl="0" w:tplc="988A58A6">
      <w:start w:val="3"/>
      <w:numFmt w:val="decimal"/>
      <w:lvlText w:val="(%1)"/>
      <w:lvlJc w:val="left"/>
    </w:lvl>
    <w:lvl w:ilvl="1" w:tplc="2C3A2218">
      <w:start w:val="1"/>
      <w:numFmt w:val="lowerLetter"/>
      <w:lvlText w:val="(%2)"/>
      <w:lvlJc w:val="left"/>
    </w:lvl>
    <w:lvl w:ilvl="2" w:tplc="5E6257C6">
      <w:start w:val="1"/>
      <w:numFmt w:val="decimal"/>
      <w:lvlText w:val="%3."/>
      <w:lvlJc w:val="left"/>
    </w:lvl>
    <w:lvl w:ilvl="3" w:tplc="BE708174">
      <w:numFmt w:val="decimal"/>
      <w:lvlText w:val=""/>
      <w:lvlJc w:val="left"/>
    </w:lvl>
    <w:lvl w:ilvl="4" w:tplc="BA54D976">
      <w:numFmt w:val="decimal"/>
      <w:lvlText w:val=""/>
      <w:lvlJc w:val="left"/>
    </w:lvl>
    <w:lvl w:ilvl="5" w:tplc="400C92BA">
      <w:numFmt w:val="decimal"/>
      <w:lvlText w:val=""/>
      <w:lvlJc w:val="left"/>
    </w:lvl>
    <w:lvl w:ilvl="6" w:tplc="64CE9D3C">
      <w:numFmt w:val="decimal"/>
      <w:lvlText w:val=""/>
      <w:lvlJc w:val="left"/>
    </w:lvl>
    <w:lvl w:ilvl="7" w:tplc="9B2A17AC">
      <w:numFmt w:val="decimal"/>
      <w:lvlText w:val=""/>
      <w:lvlJc w:val="left"/>
    </w:lvl>
    <w:lvl w:ilvl="8" w:tplc="A6267F92">
      <w:numFmt w:val="decimal"/>
      <w:lvlText w:val=""/>
      <w:lvlJc w:val="left"/>
    </w:lvl>
  </w:abstractNum>
  <w:abstractNum w:abstractNumId="825" w15:restartNumberingAfterBreak="0">
    <w:nsid w:val="000073AE"/>
    <w:multiLevelType w:val="hybridMultilevel"/>
    <w:tmpl w:val="E230F534"/>
    <w:lvl w:ilvl="0" w:tplc="853CD574">
      <w:start w:val="1"/>
      <w:numFmt w:val="lowerLetter"/>
      <w:lvlText w:val="%1"/>
      <w:lvlJc w:val="left"/>
    </w:lvl>
    <w:lvl w:ilvl="1" w:tplc="4A3A06CC">
      <w:start w:val="3"/>
      <w:numFmt w:val="decimal"/>
      <w:lvlText w:val="%2."/>
      <w:lvlJc w:val="left"/>
    </w:lvl>
    <w:lvl w:ilvl="2" w:tplc="3DDEE4F0">
      <w:start w:val="1"/>
      <w:numFmt w:val="lowerLetter"/>
      <w:lvlText w:val="%3"/>
      <w:lvlJc w:val="left"/>
    </w:lvl>
    <w:lvl w:ilvl="3" w:tplc="6FF0B398">
      <w:numFmt w:val="decimal"/>
      <w:lvlText w:val=""/>
      <w:lvlJc w:val="left"/>
    </w:lvl>
    <w:lvl w:ilvl="4" w:tplc="55CAB626">
      <w:numFmt w:val="decimal"/>
      <w:lvlText w:val=""/>
      <w:lvlJc w:val="left"/>
    </w:lvl>
    <w:lvl w:ilvl="5" w:tplc="7C2AFCEC">
      <w:numFmt w:val="decimal"/>
      <w:lvlText w:val=""/>
      <w:lvlJc w:val="left"/>
    </w:lvl>
    <w:lvl w:ilvl="6" w:tplc="733AFCB4">
      <w:numFmt w:val="decimal"/>
      <w:lvlText w:val=""/>
      <w:lvlJc w:val="left"/>
    </w:lvl>
    <w:lvl w:ilvl="7" w:tplc="3DBCD66C">
      <w:numFmt w:val="decimal"/>
      <w:lvlText w:val=""/>
      <w:lvlJc w:val="left"/>
    </w:lvl>
    <w:lvl w:ilvl="8" w:tplc="9516E210">
      <w:numFmt w:val="decimal"/>
      <w:lvlText w:val=""/>
      <w:lvlJc w:val="left"/>
    </w:lvl>
  </w:abstractNum>
  <w:abstractNum w:abstractNumId="826" w15:restartNumberingAfterBreak="0">
    <w:nsid w:val="000073B5"/>
    <w:multiLevelType w:val="hybridMultilevel"/>
    <w:tmpl w:val="CA6C155E"/>
    <w:lvl w:ilvl="0" w:tplc="35C418B0">
      <w:start w:val="2"/>
      <w:numFmt w:val="decimal"/>
      <w:lvlText w:val="%1."/>
      <w:lvlJc w:val="left"/>
    </w:lvl>
    <w:lvl w:ilvl="1" w:tplc="824862F2">
      <w:start w:val="1"/>
      <w:numFmt w:val="lowerLetter"/>
      <w:lvlText w:val="%2."/>
      <w:lvlJc w:val="left"/>
    </w:lvl>
    <w:lvl w:ilvl="2" w:tplc="5E30BA78">
      <w:numFmt w:val="decimal"/>
      <w:lvlText w:val=""/>
      <w:lvlJc w:val="left"/>
    </w:lvl>
    <w:lvl w:ilvl="3" w:tplc="FD6CC0A6">
      <w:numFmt w:val="decimal"/>
      <w:lvlText w:val=""/>
      <w:lvlJc w:val="left"/>
    </w:lvl>
    <w:lvl w:ilvl="4" w:tplc="2F8A41A2">
      <w:numFmt w:val="decimal"/>
      <w:lvlText w:val=""/>
      <w:lvlJc w:val="left"/>
    </w:lvl>
    <w:lvl w:ilvl="5" w:tplc="6B2A9A78">
      <w:numFmt w:val="decimal"/>
      <w:lvlText w:val=""/>
      <w:lvlJc w:val="left"/>
    </w:lvl>
    <w:lvl w:ilvl="6" w:tplc="8A0EA958">
      <w:numFmt w:val="decimal"/>
      <w:lvlText w:val=""/>
      <w:lvlJc w:val="left"/>
    </w:lvl>
    <w:lvl w:ilvl="7" w:tplc="0CF6ACEE">
      <w:numFmt w:val="decimal"/>
      <w:lvlText w:val=""/>
      <w:lvlJc w:val="left"/>
    </w:lvl>
    <w:lvl w:ilvl="8" w:tplc="CAB2BFE6">
      <w:numFmt w:val="decimal"/>
      <w:lvlText w:val=""/>
      <w:lvlJc w:val="left"/>
    </w:lvl>
  </w:abstractNum>
  <w:abstractNum w:abstractNumId="827" w15:restartNumberingAfterBreak="0">
    <w:nsid w:val="00007408"/>
    <w:multiLevelType w:val="hybridMultilevel"/>
    <w:tmpl w:val="E9748F8A"/>
    <w:lvl w:ilvl="0" w:tplc="416C1C66">
      <w:start w:val="2"/>
      <w:numFmt w:val="lowerLetter"/>
      <w:lvlText w:val="(%1)"/>
      <w:lvlJc w:val="left"/>
    </w:lvl>
    <w:lvl w:ilvl="1" w:tplc="D534DE62">
      <w:start w:val="1"/>
      <w:numFmt w:val="decimal"/>
      <w:lvlText w:val="%2."/>
      <w:lvlJc w:val="left"/>
    </w:lvl>
    <w:lvl w:ilvl="2" w:tplc="FF5E55EE">
      <w:numFmt w:val="decimal"/>
      <w:lvlText w:val=""/>
      <w:lvlJc w:val="left"/>
    </w:lvl>
    <w:lvl w:ilvl="3" w:tplc="F6B086AE">
      <w:numFmt w:val="decimal"/>
      <w:lvlText w:val=""/>
      <w:lvlJc w:val="left"/>
    </w:lvl>
    <w:lvl w:ilvl="4" w:tplc="5ABA0688">
      <w:numFmt w:val="decimal"/>
      <w:lvlText w:val=""/>
      <w:lvlJc w:val="left"/>
    </w:lvl>
    <w:lvl w:ilvl="5" w:tplc="E4D44F9C">
      <w:numFmt w:val="decimal"/>
      <w:lvlText w:val=""/>
      <w:lvlJc w:val="left"/>
    </w:lvl>
    <w:lvl w:ilvl="6" w:tplc="6CD6EAF6">
      <w:numFmt w:val="decimal"/>
      <w:lvlText w:val=""/>
      <w:lvlJc w:val="left"/>
    </w:lvl>
    <w:lvl w:ilvl="7" w:tplc="8A8C880A">
      <w:numFmt w:val="decimal"/>
      <w:lvlText w:val=""/>
      <w:lvlJc w:val="left"/>
    </w:lvl>
    <w:lvl w:ilvl="8" w:tplc="63087E10">
      <w:numFmt w:val="decimal"/>
      <w:lvlText w:val=""/>
      <w:lvlJc w:val="left"/>
    </w:lvl>
  </w:abstractNum>
  <w:abstractNum w:abstractNumId="828" w15:restartNumberingAfterBreak="0">
    <w:nsid w:val="00007425"/>
    <w:multiLevelType w:val="hybridMultilevel"/>
    <w:tmpl w:val="DC0AE480"/>
    <w:lvl w:ilvl="0" w:tplc="8A28C3C2">
      <w:start w:val="1"/>
      <w:numFmt w:val="decimal"/>
      <w:lvlText w:val="%1"/>
      <w:lvlJc w:val="left"/>
    </w:lvl>
    <w:lvl w:ilvl="1" w:tplc="6BC4D014">
      <w:start w:val="6"/>
      <w:numFmt w:val="lowerLetter"/>
      <w:lvlText w:val="(%2)"/>
      <w:lvlJc w:val="left"/>
    </w:lvl>
    <w:lvl w:ilvl="2" w:tplc="2690DE2C">
      <w:start w:val="1"/>
      <w:numFmt w:val="decimal"/>
      <w:lvlText w:val="%3"/>
      <w:lvlJc w:val="left"/>
    </w:lvl>
    <w:lvl w:ilvl="3" w:tplc="D8A4B00A">
      <w:numFmt w:val="decimal"/>
      <w:lvlText w:val=""/>
      <w:lvlJc w:val="left"/>
    </w:lvl>
    <w:lvl w:ilvl="4" w:tplc="F0268D38">
      <w:numFmt w:val="decimal"/>
      <w:lvlText w:val=""/>
      <w:lvlJc w:val="left"/>
    </w:lvl>
    <w:lvl w:ilvl="5" w:tplc="3C6C711A">
      <w:numFmt w:val="decimal"/>
      <w:lvlText w:val=""/>
      <w:lvlJc w:val="left"/>
    </w:lvl>
    <w:lvl w:ilvl="6" w:tplc="73AC0E50">
      <w:numFmt w:val="decimal"/>
      <w:lvlText w:val=""/>
      <w:lvlJc w:val="left"/>
    </w:lvl>
    <w:lvl w:ilvl="7" w:tplc="705AAC86">
      <w:numFmt w:val="decimal"/>
      <w:lvlText w:val=""/>
      <w:lvlJc w:val="left"/>
    </w:lvl>
    <w:lvl w:ilvl="8" w:tplc="08E4982A">
      <w:numFmt w:val="decimal"/>
      <w:lvlText w:val=""/>
      <w:lvlJc w:val="left"/>
    </w:lvl>
  </w:abstractNum>
  <w:abstractNum w:abstractNumId="829" w15:restartNumberingAfterBreak="0">
    <w:nsid w:val="000074A3"/>
    <w:multiLevelType w:val="hybridMultilevel"/>
    <w:tmpl w:val="EDCAFE00"/>
    <w:lvl w:ilvl="0" w:tplc="077A179E">
      <w:start w:val="1"/>
      <w:numFmt w:val="decimal"/>
      <w:lvlText w:val="(%1)"/>
      <w:lvlJc w:val="left"/>
    </w:lvl>
    <w:lvl w:ilvl="1" w:tplc="8E14003E">
      <w:start w:val="1"/>
      <w:numFmt w:val="lowerLetter"/>
      <w:lvlText w:val="(%2)"/>
      <w:lvlJc w:val="left"/>
    </w:lvl>
    <w:lvl w:ilvl="2" w:tplc="853CBC58">
      <w:start w:val="1"/>
      <w:numFmt w:val="decimal"/>
      <w:lvlText w:val="%3."/>
      <w:lvlJc w:val="left"/>
    </w:lvl>
    <w:lvl w:ilvl="3" w:tplc="1DBABA2C">
      <w:numFmt w:val="decimal"/>
      <w:lvlText w:val=""/>
      <w:lvlJc w:val="left"/>
    </w:lvl>
    <w:lvl w:ilvl="4" w:tplc="A56A46F6">
      <w:numFmt w:val="decimal"/>
      <w:lvlText w:val=""/>
      <w:lvlJc w:val="left"/>
    </w:lvl>
    <w:lvl w:ilvl="5" w:tplc="B16E623A">
      <w:numFmt w:val="decimal"/>
      <w:lvlText w:val=""/>
      <w:lvlJc w:val="left"/>
    </w:lvl>
    <w:lvl w:ilvl="6" w:tplc="D73A6B26">
      <w:numFmt w:val="decimal"/>
      <w:lvlText w:val=""/>
      <w:lvlJc w:val="left"/>
    </w:lvl>
    <w:lvl w:ilvl="7" w:tplc="035AF450">
      <w:numFmt w:val="decimal"/>
      <w:lvlText w:val=""/>
      <w:lvlJc w:val="left"/>
    </w:lvl>
    <w:lvl w:ilvl="8" w:tplc="5442C8D4">
      <w:numFmt w:val="decimal"/>
      <w:lvlText w:val=""/>
      <w:lvlJc w:val="left"/>
    </w:lvl>
  </w:abstractNum>
  <w:abstractNum w:abstractNumId="830" w15:restartNumberingAfterBreak="0">
    <w:nsid w:val="000074C3"/>
    <w:multiLevelType w:val="hybridMultilevel"/>
    <w:tmpl w:val="E29C3AEA"/>
    <w:lvl w:ilvl="0" w:tplc="B1EC58F8">
      <w:start w:val="2"/>
      <w:numFmt w:val="decimal"/>
      <w:lvlText w:val="%1."/>
      <w:lvlJc w:val="left"/>
    </w:lvl>
    <w:lvl w:ilvl="1" w:tplc="BB96E27C">
      <w:start w:val="1"/>
      <w:numFmt w:val="lowerLetter"/>
      <w:lvlText w:val="%2."/>
      <w:lvlJc w:val="left"/>
    </w:lvl>
    <w:lvl w:ilvl="2" w:tplc="44B64C50">
      <w:start w:val="1"/>
      <w:numFmt w:val="lowerRoman"/>
      <w:lvlText w:val="%3."/>
      <w:lvlJc w:val="left"/>
    </w:lvl>
    <w:lvl w:ilvl="3" w:tplc="FDAE9CBC">
      <w:start w:val="1"/>
      <w:numFmt w:val="upperLetter"/>
      <w:lvlText w:val="(%4)"/>
      <w:lvlJc w:val="left"/>
    </w:lvl>
    <w:lvl w:ilvl="4" w:tplc="494A2102">
      <w:numFmt w:val="decimal"/>
      <w:lvlText w:val=""/>
      <w:lvlJc w:val="left"/>
    </w:lvl>
    <w:lvl w:ilvl="5" w:tplc="CF06D692">
      <w:numFmt w:val="decimal"/>
      <w:lvlText w:val=""/>
      <w:lvlJc w:val="left"/>
    </w:lvl>
    <w:lvl w:ilvl="6" w:tplc="541891CE">
      <w:numFmt w:val="decimal"/>
      <w:lvlText w:val=""/>
      <w:lvlJc w:val="left"/>
    </w:lvl>
    <w:lvl w:ilvl="7" w:tplc="105E4C24">
      <w:numFmt w:val="decimal"/>
      <w:lvlText w:val=""/>
      <w:lvlJc w:val="left"/>
    </w:lvl>
    <w:lvl w:ilvl="8" w:tplc="688C2AE6">
      <w:numFmt w:val="decimal"/>
      <w:lvlText w:val=""/>
      <w:lvlJc w:val="left"/>
    </w:lvl>
  </w:abstractNum>
  <w:abstractNum w:abstractNumId="831" w15:restartNumberingAfterBreak="0">
    <w:nsid w:val="000074DC"/>
    <w:multiLevelType w:val="hybridMultilevel"/>
    <w:tmpl w:val="3B826266"/>
    <w:lvl w:ilvl="0" w:tplc="770EC458">
      <w:start w:val="1"/>
      <w:numFmt w:val="lowerLetter"/>
      <w:lvlText w:val="%1"/>
      <w:lvlJc w:val="left"/>
    </w:lvl>
    <w:lvl w:ilvl="1" w:tplc="F580B214">
      <w:start w:val="1"/>
      <w:numFmt w:val="decimal"/>
      <w:lvlText w:val="%2."/>
      <w:lvlJc w:val="left"/>
    </w:lvl>
    <w:lvl w:ilvl="2" w:tplc="27CE76D2">
      <w:start w:val="1"/>
      <w:numFmt w:val="lowerLetter"/>
      <w:lvlText w:val="%3."/>
      <w:lvlJc w:val="left"/>
    </w:lvl>
    <w:lvl w:ilvl="3" w:tplc="D53C0698">
      <w:numFmt w:val="decimal"/>
      <w:lvlText w:val=""/>
      <w:lvlJc w:val="left"/>
    </w:lvl>
    <w:lvl w:ilvl="4" w:tplc="5B424F68">
      <w:numFmt w:val="decimal"/>
      <w:lvlText w:val=""/>
      <w:lvlJc w:val="left"/>
    </w:lvl>
    <w:lvl w:ilvl="5" w:tplc="A8902B2E">
      <w:numFmt w:val="decimal"/>
      <w:lvlText w:val=""/>
      <w:lvlJc w:val="left"/>
    </w:lvl>
    <w:lvl w:ilvl="6" w:tplc="D14852FC">
      <w:numFmt w:val="decimal"/>
      <w:lvlText w:val=""/>
      <w:lvlJc w:val="left"/>
    </w:lvl>
    <w:lvl w:ilvl="7" w:tplc="14EE3F5C">
      <w:numFmt w:val="decimal"/>
      <w:lvlText w:val=""/>
      <w:lvlJc w:val="left"/>
    </w:lvl>
    <w:lvl w:ilvl="8" w:tplc="39306934">
      <w:numFmt w:val="decimal"/>
      <w:lvlText w:val=""/>
      <w:lvlJc w:val="left"/>
    </w:lvl>
  </w:abstractNum>
  <w:abstractNum w:abstractNumId="832" w15:restartNumberingAfterBreak="0">
    <w:nsid w:val="000074E9"/>
    <w:multiLevelType w:val="hybridMultilevel"/>
    <w:tmpl w:val="B7BAD5C0"/>
    <w:lvl w:ilvl="0" w:tplc="C564075E">
      <w:start w:val="13"/>
      <w:numFmt w:val="decimal"/>
      <w:lvlText w:val="(%1)"/>
      <w:lvlJc w:val="left"/>
    </w:lvl>
    <w:lvl w:ilvl="1" w:tplc="00CAC24C">
      <w:start w:val="1"/>
      <w:numFmt w:val="lowerLetter"/>
      <w:lvlText w:val="(%2)"/>
      <w:lvlJc w:val="left"/>
    </w:lvl>
    <w:lvl w:ilvl="2" w:tplc="628E4AE8">
      <w:start w:val="1"/>
      <w:numFmt w:val="decimal"/>
      <w:lvlText w:val="%3"/>
      <w:lvlJc w:val="left"/>
    </w:lvl>
    <w:lvl w:ilvl="3" w:tplc="0E067516">
      <w:numFmt w:val="decimal"/>
      <w:lvlText w:val=""/>
      <w:lvlJc w:val="left"/>
    </w:lvl>
    <w:lvl w:ilvl="4" w:tplc="3D7412DE">
      <w:numFmt w:val="decimal"/>
      <w:lvlText w:val=""/>
      <w:lvlJc w:val="left"/>
    </w:lvl>
    <w:lvl w:ilvl="5" w:tplc="4EE66338">
      <w:numFmt w:val="decimal"/>
      <w:lvlText w:val=""/>
      <w:lvlJc w:val="left"/>
    </w:lvl>
    <w:lvl w:ilvl="6" w:tplc="EAEE53BA">
      <w:numFmt w:val="decimal"/>
      <w:lvlText w:val=""/>
      <w:lvlJc w:val="left"/>
    </w:lvl>
    <w:lvl w:ilvl="7" w:tplc="5ABA0C52">
      <w:numFmt w:val="decimal"/>
      <w:lvlText w:val=""/>
      <w:lvlJc w:val="left"/>
    </w:lvl>
    <w:lvl w:ilvl="8" w:tplc="0EE0F230">
      <w:numFmt w:val="decimal"/>
      <w:lvlText w:val=""/>
      <w:lvlJc w:val="left"/>
    </w:lvl>
  </w:abstractNum>
  <w:abstractNum w:abstractNumId="833" w15:restartNumberingAfterBreak="0">
    <w:nsid w:val="00007517"/>
    <w:multiLevelType w:val="hybridMultilevel"/>
    <w:tmpl w:val="4F166FDC"/>
    <w:lvl w:ilvl="0" w:tplc="E19840DA">
      <w:start w:val="1"/>
      <w:numFmt w:val="lowerLetter"/>
      <w:lvlText w:val="%1"/>
      <w:lvlJc w:val="left"/>
    </w:lvl>
    <w:lvl w:ilvl="1" w:tplc="428A3C48">
      <w:start w:val="10"/>
      <w:numFmt w:val="decimal"/>
      <w:lvlText w:val="%2"/>
      <w:lvlJc w:val="left"/>
    </w:lvl>
    <w:lvl w:ilvl="2" w:tplc="105036F8">
      <w:start w:val="1"/>
      <w:numFmt w:val="lowerLetter"/>
      <w:lvlText w:val="%3"/>
      <w:lvlJc w:val="left"/>
    </w:lvl>
    <w:lvl w:ilvl="3" w:tplc="289075B0">
      <w:numFmt w:val="decimal"/>
      <w:lvlText w:val=""/>
      <w:lvlJc w:val="left"/>
    </w:lvl>
    <w:lvl w:ilvl="4" w:tplc="5052E2C4">
      <w:numFmt w:val="decimal"/>
      <w:lvlText w:val=""/>
      <w:lvlJc w:val="left"/>
    </w:lvl>
    <w:lvl w:ilvl="5" w:tplc="2270A888">
      <w:numFmt w:val="decimal"/>
      <w:lvlText w:val=""/>
      <w:lvlJc w:val="left"/>
    </w:lvl>
    <w:lvl w:ilvl="6" w:tplc="0542F1F4">
      <w:numFmt w:val="decimal"/>
      <w:lvlText w:val=""/>
      <w:lvlJc w:val="left"/>
    </w:lvl>
    <w:lvl w:ilvl="7" w:tplc="D7B27242">
      <w:numFmt w:val="decimal"/>
      <w:lvlText w:val=""/>
      <w:lvlJc w:val="left"/>
    </w:lvl>
    <w:lvl w:ilvl="8" w:tplc="EF3464C2">
      <w:numFmt w:val="decimal"/>
      <w:lvlText w:val=""/>
      <w:lvlJc w:val="left"/>
    </w:lvl>
  </w:abstractNum>
  <w:abstractNum w:abstractNumId="834" w15:restartNumberingAfterBreak="0">
    <w:nsid w:val="0000752C"/>
    <w:multiLevelType w:val="hybridMultilevel"/>
    <w:tmpl w:val="E688A278"/>
    <w:lvl w:ilvl="0" w:tplc="5D587A5A">
      <w:start w:val="3"/>
      <w:numFmt w:val="decimal"/>
      <w:lvlText w:val="(%1)"/>
      <w:lvlJc w:val="left"/>
    </w:lvl>
    <w:lvl w:ilvl="1" w:tplc="2E666408">
      <w:start w:val="1"/>
      <w:numFmt w:val="lowerLetter"/>
      <w:lvlText w:val="(%2)"/>
      <w:lvlJc w:val="left"/>
    </w:lvl>
    <w:lvl w:ilvl="2" w:tplc="27205CF6">
      <w:numFmt w:val="decimal"/>
      <w:lvlText w:val=""/>
      <w:lvlJc w:val="left"/>
    </w:lvl>
    <w:lvl w:ilvl="3" w:tplc="BF662F3A">
      <w:numFmt w:val="decimal"/>
      <w:lvlText w:val=""/>
      <w:lvlJc w:val="left"/>
    </w:lvl>
    <w:lvl w:ilvl="4" w:tplc="11E874DE">
      <w:numFmt w:val="decimal"/>
      <w:lvlText w:val=""/>
      <w:lvlJc w:val="left"/>
    </w:lvl>
    <w:lvl w:ilvl="5" w:tplc="022CB48E">
      <w:numFmt w:val="decimal"/>
      <w:lvlText w:val=""/>
      <w:lvlJc w:val="left"/>
    </w:lvl>
    <w:lvl w:ilvl="6" w:tplc="48F405B8">
      <w:numFmt w:val="decimal"/>
      <w:lvlText w:val=""/>
      <w:lvlJc w:val="left"/>
    </w:lvl>
    <w:lvl w:ilvl="7" w:tplc="BB48727E">
      <w:numFmt w:val="decimal"/>
      <w:lvlText w:val=""/>
      <w:lvlJc w:val="left"/>
    </w:lvl>
    <w:lvl w:ilvl="8" w:tplc="A57059EA">
      <w:numFmt w:val="decimal"/>
      <w:lvlText w:val=""/>
      <w:lvlJc w:val="left"/>
    </w:lvl>
  </w:abstractNum>
  <w:abstractNum w:abstractNumId="835" w15:restartNumberingAfterBreak="0">
    <w:nsid w:val="00007550"/>
    <w:multiLevelType w:val="hybridMultilevel"/>
    <w:tmpl w:val="8D0688C0"/>
    <w:lvl w:ilvl="0" w:tplc="B2249B10">
      <w:start w:val="3"/>
      <w:numFmt w:val="lowerLetter"/>
      <w:lvlText w:val="(%1)"/>
      <w:lvlJc w:val="left"/>
    </w:lvl>
    <w:lvl w:ilvl="1" w:tplc="230E21AE">
      <w:start w:val="1"/>
      <w:numFmt w:val="decimal"/>
      <w:lvlText w:val="%2."/>
      <w:lvlJc w:val="left"/>
    </w:lvl>
    <w:lvl w:ilvl="2" w:tplc="926A5C04">
      <w:numFmt w:val="decimal"/>
      <w:lvlText w:val=""/>
      <w:lvlJc w:val="left"/>
    </w:lvl>
    <w:lvl w:ilvl="3" w:tplc="93DAB2C4">
      <w:numFmt w:val="decimal"/>
      <w:lvlText w:val=""/>
      <w:lvlJc w:val="left"/>
    </w:lvl>
    <w:lvl w:ilvl="4" w:tplc="B3CE7C0E">
      <w:numFmt w:val="decimal"/>
      <w:lvlText w:val=""/>
      <w:lvlJc w:val="left"/>
    </w:lvl>
    <w:lvl w:ilvl="5" w:tplc="8DB28990">
      <w:numFmt w:val="decimal"/>
      <w:lvlText w:val=""/>
      <w:lvlJc w:val="left"/>
    </w:lvl>
    <w:lvl w:ilvl="6" w:tplc="BC2687C6">
      <w:numFmt w:val="decimal"/>
      <w:lvlText w:val=""/>
      <w:lvlJc w:val="left"/>
    </w:lvl>
    <w:lvl w:ilvl="7" w:tplc="5A8060AC">
      <w:numFmt w:val="decimal"/>
      <w:lvlText w:val=""/>
      <w:lvlJc w:val="left"/>
    </w:lvl>
    <w:lvl w:ilvl="8" w:tplc="19FAD0E4">
      <w:numFmt w:val="decimal"/>
      <w:lvlText w:val=""/>
      <w:lvlJc w:val="left"/>
    </w:lvl>
  </w:abstractNum>
  <w:abstractNum w:abstractNumId="836" w15:restartNumberingAfterBreak="0">
    <w:nsid w:val="00007556"/>
    <w:multiLevelType w:val="hybridMultilevel"/>
    <w:tmpl w:val="8B8844E0"/>
    <w:lvl w:ilvl="0" w:tplc="C62064D2">
      <w:start w:val="4"/>
      <w:numFmt w:val="lowerLetter"/>
      <w:lvlText w:val="(%1)"/>
      <w:lvlJc w:val="left"/>
    </w:lvl>
    <w:lvl w:ilvl="1" w:tplc="2FECCCDE">
      <w:start w:val="1"/>
      <w:numFmt w:val="decimal"/>
      <w:lvlText w:val="%2."/>
      <w:lvlJc w:val="left"/>
    </w:lvl>
    <w:lvl w:ilvl="2" w:tplc="DC4AC166">
      <w:numFmt w:val="decimal"/>
      <w:lvlText w:val=""/>
      <w:lvlJc w:val="left"/>
    </w:lvl>
    <w:lvl w:ilvl="3" w:tplc="0C264CB8">
      <w:numFmt w:val="decimal"/>
      <w:lvlText w:val=""/>
      <w:lvlJc w:val="left"/>
    </w:lvl>
    <w:lvl w:ilvl="4" w:tplc="A0242CFC">
      <w:numFmt w:val="decimal"/>
      <w:lvlText w:val=""/>
      <w:lvlJc w:val="left"/>
    </w:lvl>
    <w:lvl w:ilvl="5" w:tplc="171E1C5E">
      <w:numFmt w:val="decimal"/>
      <w:lvlText w:val=""/>
      <w:lvlJc w:val="left"/>
    </w:lvl>
    <w:lvl w:ilvl="6" w:tplc="8558EC34">
      <w:numFmt w:val="decimal"/>
      <w:lvlText w:val=""/>
      <w:lvlJc w:val="left"/>
    </w:lvl>
    <w:lvl w:ilvl="7" w:tplc="285840D4">
      <w:numFmt w:val="decimal"/>
      <w:lvlText w:val=""/>
      <w:lvlJc w:val="left"/>
    </w:lvl>
    <w:lvl w:ilvl="8" w:tplc="55F4D138">
      <w:numFmt w:val="decimal"/>
      <w:lvlText w:val=""/>
      <w:lvlJc w:val="left"/>
    </w:lvl>
  </w:abstractNum>
  <w:abstractNum w:abstractNumId="837" w15:restartNumberingAfterBreak="0">
    <w:nsid w:val="0000759D"/>
    <w:multiLevelType w:val="hybridMultilevel"/>
    <w:tmpl w:val="50FEA7E0"/>
    <w:lvl w:ilvl="0" w:tplc="A8ECF658">
      <w:start w:val="1"/>
      <w:numFmt w:val="decimal"/>
      <w:lvlText w:val="%1"/>
      <w:lvlJc w:val="left"/>
    </w:lvl>
    <w:lvl w:ilvl="1" w:tplc="40008CAC">
      <w:start w:val="2"/>
      <w:numFmt w:val="lowerLetter"/>
      <w:lvlText w:val="(%2)"/>
      <w:lvlJc w:val="left"/>
    </w:lvl>
    <w:lvl w:ilvl="2" w:tplc="1CFE92DC">
      <w:start w:val="1"/>
      <w:numFmt w:val="decimal"/>
      <w:lvlText w:val="%3"/>
      <w:lvlJc w:val="left"/>
    </w:lvl>
    <w:lvl w:ilvl="3" w:tplc="A6A6AC30">
      <w:numFmt w:val="decimal"/>
      <w:lvlText w:val=""/>
      <w:lvlJc w:val="left"/>
    </w:lvl>
    <w:lvl w:ilvl="4" w:tplc="32820C88">
      <w:numFmt w:val="decimal"/>
      <w:lvlText w:val=""/>
      <w:lvlJc w:val="left"/>
    </w:lvl>
    <w:lvl w:ilvl="5" w:tplc="41C8F4AE">
      <w:numFmt w:val="decimal"/>
      <w:lvlText w:val=""/>
      <w:lvlJc w:val="left"/>
    </w:lvl>
    <w:lvl w:ilvl="6" w:tplc="65C48A8E">
      <w:numFmt w:val="decimal"/>
      <w:lvlText w:val=""/>
      <w:lvlJc w:val="left"/>
    </w:lvl>
    <w:lvl w:ilvl="7" w:tplc="F0C0781E">
      <w:numFmt w:val="decimal"/>
      <w:lvlText w:val=""/>
      <w:lvlJc w:val="left"/>
    </w:lvl>
    <w:lvl w:ilvl="8" w:tplc="A0FC579A">
      <w:numFmt w:val="decimal"/>
      <w:lvlText w:val=""/>
      <w:lvlJc w:val="left"/>
    </w:lvl>
  </w:abstractNum>
  <w:abstractNum w:abstractNumId="838" w15:restartNumberingAfterBreak="0">
    <w:nsid w:val="000075A2"/>
    <w:multiLevelType w:val="hybridMultilevel"/>
    <w:tmpl w:val="021C319A"/>
    <w:lvl w:ilvl="0" w:tplc="43E87D90">
      <w:start w:val="9"/>
      <w:numFmt w:val="decimal"/>
      <w:lvlText w:val="(%1)"/>
      <w:lvlJc w:val="left"/>
    </w:lvl>
    <w:lvl w:ilvl="1" w:tplc="59AED2EE">
      <w:start w:val="1"/>
      <w:numFmt w:val="lowerLetter"/>
      <w:lvlText w:val="(%2)"/>
      <w:lvlJc w:val="left"/>
    </w:lvl>
    <w:lvl w:ilvl="2" w:tplc="B5EEF022">
      <w:start w:val="1"/>
      <w:numFmt w:val="decimal"/>
      <w:lvlText w:val="%3"/>
      <w:lvlJc w:val="left"/>
    </w:lvl>
    <w:lvl w:ilvl="3" w:tplc="D0249014">
      <w:numFmt w:val="decimal"/>
      <w:lvlText w:val=""/>
      <w:lvlJc w:val="left"/>
    </w:lvl>
    <w:lvl w:ilvl="4" w:tplc="EBE09F7A">
      <w:numFmt w:val="decimal"/>
      <w:lvlText w:val=""/>
      <w:lvlJc w:val="left"/>
    </w:lvl>
    <w:lvl w:ilvl="5" w:tplc="9FE0FF4C">
      <w:numFmt w:val="decimal"/>
      <w:lvlText w:val=""/>
      <w:lvlJc w:val="left"/>
    </w:lvl>
    <w:lvl w:ilvl="6" w:tplc="AC104BB2">
      <w:numFmt w:val="decimal"/>
      <w:lvlText w:val=""/>
      <w:lvlJc w:val="left"/>
    </w:lvl>
    <w:lvl w:ilvl="7" w:tplc="3B9EA984">
      <w:numFmt w:val="decimal"/>
      <w:lvlText w:val=""/>
      <w:lvlJc w:val="left"/>
    </w:lvl>
    <w:lvl w:ilvl="8" w:tplc="ACD63C12">
      <w:numFmt w:val="decimal"/>
      <w:lvlText w:val=""/>
      <w:lvlJc w:val="left"/>
    </w:lvl>
  </w:abstractNum>
  <w:abstractNum w:abstractNumId="839" w15:restartNumberingAfterBreak="0">
    <w:nsid w:val="000075E4"/>
    <w:multiLevelType w:val="hybridMultilevel"/>
    <w:tmpl w:val="144646EC"/>
    <w:lvl w:ilvl="0" w:tplc="2DF45EC4">
      <w:start w:val="1"/>
      <w:numFmt w:val="lowerLetter"/>
      <w:lvlText w:val="%1"/>
      <w:lvlJc w:val="left"/>
    </w:lvl>
    <w:lvl w:ilvl="1" w:tplc="212868AA">
      <w:start w:val="1"/>
      <w:numFmt w:val="decimal"/>
      <w:lvlText w:val="%2"/>
      <w:lvlJc w:val="left"/>
    </w:lvl>
    <w:lvl w:ilvl="2" w:tplc="D3D40C36">
      <w:start w:val="1"/>
      <w:numFmt w:val="lowerLetter"/>
      <w:lvlText w:val="%3."/>
      <w:lvlJc w:val="left"/>
    </w:lvl>
    <w:lvl w:ilvl="3" w:tplc="B7DCE4BA">
      <w:start w:val="1"/>
      <w:numFmt w:val="lowerRoman"/>
      <w:lvlText w:val="%4"/>
      <w:lvlJc w:val="left"/>
    </w:lvl>
    <w:lvl w:ilvl="4" w:tplc="50B8FE6A">
      <w:numFmt w:val="decimal"/>
      <w:lvlText w:val=""/>
      <w:lvlJc w:val="left"/>
    </w:lvl>
    <w:lvl w:ilvl="5" w:tplc="E6225E26">
      <w:numFmt w:val="decimal"/>
      <w:lvlText w:val=""/>
      <w:lvlJc w:val="left"/>
    </w:lvl>
    <w:lvl w:ilvl="6" w:tplc="32BCDBE6">
      <w:numFmt w:val="decimal"/>
      <w:lvlText w:val=""/>
      <w:lvlJc w:val="left"/>
    </w:lvl>
    <w:lvl w:ilvl="7" w:tplc="AE6264AC">
      <w:numFmt w:val="decimal"/>
      <w:lvlText w:val=""/>
      <w:lvlJc w:val="left"/>
    </w:lvl>
    <w:lvl w:ilvl="8" w:tplc="6FDE364E">
      <w:numFmt w:val="decimal"/>
      <w:lvlText w:val=""/>
      <w:lvlJc w:val="left"/>
    </w:lvl>
  </w:abstractNum>
  <w:abstractNum w:abstractNumId="840" w15:restartNumberingAfterBreak="0">
    <w:nsid w:val="000075ED"/>
    <w:multiLevelType w:val="hybridMultilevel"/>
    <w:tmpl w:val="3F10BE62"/>
    <w:lvl w:ilvl="0" w:tplc="37AE778A">
      <w:start w:val="5"/>
      <w:numFmt w:val="decimal"/>
      <w:lvlText w:val="(%1)"/>
      <w:lvlJc w:val="left"/>
    </w:lvl>
    <w:lvl w:ilvl="1" w:tplc="47F86C08">
      <w:start w:val="1"/>
      <w:numFmt w:val="lowerLetter"/>
      <w:lvlText w:val="(%2)"/>
      <w:lvlJc w:val="left"/>
    </w:lvl>
    <w:lvl w:ilvl="2" w:tplc="ED184458">
      <w:numFmt w:val="decimal"/>
      <w:lvlText w:val=""/>
      <w:lvlJc w:val="left"/>
    </w:lvl>
    <w:lvl w:ilvl="3" w:tplc="4BC2B074">
      <w:numFmt w:val="decimal"/>
      <w:lvlText w:val=""/>
      <w:lvlJc w:val="left"/>
    </w:lvl>
    <w:lvl w:ilvl="4" w:tplc="CA743AC0">
      <w:numFmt w:val="decimal"/>
      <w:lvlText w:val=""/>
      <w:lvlJc w:val="left"/>
    </w:lvl>
    <w:lvl w:ilvl="5" w:tplc="3BFCAE34">
      <w:numFmt w:val="decimal"/>
      <w:lvlText w:val=""/>
      <w:lvlJc w:val="left"/>
    </w:lvl>
    <w:lvl w:ilvl="6" w:tplc="8738EA3C">
      <w:numFmt w:val="decimal"/>
      <w:lvlText w:val=""/>
      <w:lvlJc w:val="left"/>
    </w:lvl>
    <w:lvl w:ilvl="7" w:tplc="AE4C140A">
      <w:numFmt w:val="decimal"/>
      <w:lvlText w:val=""/>
      <w:lvlJc w:val="left"/>
    </w:lvl>
    <w:lvl w:ilvl="8" w:tplc="0DDAC8B8">
      <w:numFmt w:val="decimal"/>
      <w:lvlText w:val=""/>
      <w:lvlJc w:val="left"/>
    </w:lvl>
  </w:abstractNum>
  <w:abstractNum w:abstractNumId="841" w15:restartNumberingAfterBreak="0">
    <w:nsid w:val="000075F3"/>
    <w:multiLevelType w:val="hybridMultilevel"/>
    <w:tmpl w:val="EAD0EB18"/>
    <w:lvl w:ilvl="0" w:tplc="A0B82458">
      <w:start w:val="1"/>
      <w:numFmt w:val="decimal"/>
      <w:lvlText w:val="%1"/>
      <w:lvlJc w:val="left"/>
    </w:lvl>
    <w:lvl w:ilvl="1" w:tplc="CBAC3152">
      <w:start w:val="1"/>
      <w:numFmt w:val="lowerLetter"/>
      <w:lvlText w:val="%2"/>
      <w:lvlJc w:val="left"/>
    </w:lvl>
    <w:lvl w:ilvl="2" w:tplc="9ED60F46">
      <w:start w:val="4"/>
      <w:numFmt w:val="lowerRoman"/>
      <w:lvlText w:val="(%3)"/>
      <w:lvlJc w:val="left"/>
    </w:lvl>
    <w:lvl w:ilvl="3" w:tplc="3FF068CA">
      <w:numFmt w:val="decimal"/>
      <w:lvlText w:val=""/>
      <w:lvlJc w:val="left"/>
    </w:lvl>
    <w:lvl w:ilvl="4" w:tplc="A7FE4028">
      <w:numFmt w:val="decimal"/>
      <w:lvlText w:val=""/>
      <w:lvlJc w:val="left"/>
    </w:lvl>
    <w:lvl w:ilvl="5" w:tplc="8A9020CA">
      <w:numFmt w:val="decimal"/>
      <w:lvlText w:val=""/>
      <w:lvlJc w:val="left"/>
    </w:lvl>
    <w:lvl w:ilvl="6" w:tplc="507ABC4E">
      <w:numFmt w:val="decimal"/>
      <w:lvlText w:val=""/>
      <w:lvlJc w:val="left"/>
    </w:lvl>
    <w:lvl w:ilvl="7" w:tplc="8168FAA6">
      <w:numFmt w:val="decimal"/>
      <w:lvlText w:val=""/>
      <w:lvlJc w:val="left"/>
    </w:lvl>
    <w:lvl w:ilvl="8" w:tplc="38068BAA">
      <w:numFmt w:val="decimal"/>
      <w:lvlText w:val=""/>
      <w:lvlJc w:val="left"/>
    </w:lvl>
  </w:abstractNum>
  <w:abstractNum w:abstractNumId="842" w15:restartNumberingAfterBreak="0">
    <w:nsid w:val="0000760D"/>
    <w:multiLevelType w:val="hybridMultilevel"/>
    <w:tmpl w:val="6352A0C6"/>
    <w:lvl w:ilvl="0" w:tplc="5EB6CFA2">
      <w:start w:val="2"/>
      <w:numFmt w:val="decimal"/>
      <w:lvlText w:val="(%1)"/>
      <w:lvlJc w:val="left"/>
    </w:lvl>
    <w:lvl w:ilvl="1" w:tplc="1830670E">
      <w:start w:val="1"/>
      <w:numFmt w:val="lowerLetter"/>
      <w:lvlText w:val="(%2)"/>
      <w:lvlJc w:val="left"/>
    </w:lvl>
    <w:lvl w:ilvl="2" w:tplc="F59AA282">
      <w:start w:val="1"/>
      <w:numFmt w:val="decimal"/>
      <w:lvlText w:val="%3."/>
      <w:lvlJc w:val="left"/>
    </w:lvl>
    <w:lvl w:ilvl="3" w:tplc="E774EE78">
      <w:numFmt w:val="decimal"/>
      <w:lvlText w:val=""/>
      <w:lvlJc w:val="left"/>
    </w:lvl>
    <w:lvl w:ilvl="4" w:tplc="2F0401E6">
      <w:numFmt w:val="decimal"/>
      <w:lvlText w:val=""/>
      <w:lvlJc w:val="left"/>
    </w:lvl>
    <w:lvl w:ilvl="5" w:tplc="5302E696">
      <w:numFmt w:val="decimal"/>
      <w:lvlText w:val=""/>
      <w:lvlJc w:val="left"/>
    </w:lvl>
    <w:lvl w:ilvl="6" w:tplc="85D011CC">
      <w:numFmt w:val="decimal"/>
      <w:lvlText w:val=""/>
      <w:lvlJc w:val="left"/>
    </w:lvl>
    <w:lvl w:ilvl="7" w:tplc="1A941554">
      <w:numFmt w:val="decimal"/>
      <w:lvlText w:val=""/>
      <w:lvlJc w:val="left"/>
    </w:lvl>
    <w:lvl w:ilvl="8" w:tplc="B0B6C01C">
      <w:numFmt w:val="decimal"/>
      <w:lvlText w:val=""/>
      <w:lvlJc w:val="left"/>
    </w:lvl>
  </w:abstractNum>
  <w:abstractNum w:abstractNumId="843" w15:restartNumberingAfterBreak="0">
    <w:nsid w:val="0000761E"/>
    <w:multiLevelType w:val="hybridMultilevel"/>
    <w:tmpl w:val="EB90772C"/>
    <w:lvl w:ilvl="0" w:tplc="4D34204E">
      <w:start w:val="6"/>
      <w:numFmt w:val="decimal"/>
      <w:lvlText w:val="(%1)"/>
      <w:lvlJc w:val="left"/>
    </w:lvl>
    <w:lvl w:ilvl="1" w:tplc="B0760F62">
      <w:start w:val="1"/>
      <w:numFmt w:val="lowerLetter"/>
      <w:lvlText w:val="(%2)"/>
      <w:lvlJc w:val="left"/>
    </w:lvl>
    <w:lvl w:ilvl="2" w:tplc="8C180FAE">
      <w:numFmt w:val="decimal"/>
      <w:lvlText w:val=""/>
      <w:lvlJc w:val="left"/>
    </w:lvl>
    <w:lvl w:ilvl="3" w:tplc="08C823A8">
      <w:numFmt w:val="decimal"/>
      <w:lvlText w:val=""/>
      <w:lvlJc w:val="left"/>
    </w:lvl>
    <w:lvl w:ilvl="4" w:tplc="2FA68084">
      <w:numFmt w:val="decimal"/>
      <w:lvlText w:val=""/>
      <w:lvlJc w:val="left"/>
    </w:lvl>
    <w:lvl w:ilvl="5" w:tplc="CBB20CAA">
      <w:numFmt w:val="decimal"/>
      <w:lvlText w:val=""/>
      <w:lvlJc w:val="left"/>
    </w:lvl>
    <w:lvl w:ilvl="6" w:tplc="46AC9A36">
      <w:numFmt w:val="decimal"/>
      <w:lvlText w:val=""/>
      <w:lvlJc w:val="left"/>
    </w:lvl>
    <w:lvl w:ilvl="7" w:tplc="B2B09EB6">
      <w:numFmt w:val="decimal"/>
      <w:lvlText w:val=""/>
      <w:lvlJc w:val="left"/>
    </w:lvl>
    <w:lvl w:ilvl="8" w:tplc="1AB02360">
      <w:numFmt w:val="decimal"/>
      <w:lvlText w:val=""/>
      <w:lvlJc w:val="left"/>
    </w:lvl>
  </w:abstractNum>
  <w:abstractNum w:abstractNumId="844" w15:restartNumberingAfterBreak="0">
    <w:nsid w:val="0000763F"/>
    <w:multiLevelType w:val="hybridMultilevel"/>
    <w:tmpl w:val="D54E964A"/>
    <w:lvl w:ilvl="0" w:tplc="0388FAD6">
      <w:start w:val="4"/>
      <w:numFmt w:val="decimal"/>
      <w:lvlText w:val="(%1)"/>
      <w:lvlJc w:val="left"/>
    </w:lvl>
    <w:lvl w:ilvl="1" w:tplc="849A935A">
      <w:start w:val="1"/>
      <w:numFmt w:val="lowerLetter"/>
      <w:lvlText w:val="(%2)"/>
      <w:lvlJc w:val="left"/>
    </w:lvl>
    <w:lvl w:ilvl="2" w:tplc="6AF0F3EA">
      <w:start w:val="1"/>
      <w:numFmt w:val="decimal"/>
      <w:lvlText w:val="%3."/>
      <w:lvlJc w:val="left"/>
    </w:lvl>
    <w:lvl w:ilvl="3" w:tplc="14E02D1A">
      <w:start w:val="1"/>
      <w:numFmt w:val="lowerLetter"/>
      <w:lvlText w:val="%4"/>
      <w:lvlJc w:val="left"/>
    </w:lvl>
    <w:lvl w:ilvl="4" w:tplc="C6125100">
      <w:numFmt w:val="decimal"/>
      <w:lvlText w:val=""/>
      <w:lvlJc w:val="left"/>
    </w:lvl>
    <w:lvl w:ilvl="5" w:tplc="01043CC8">
      <w:numFmt w:val="decimal"/>
      <w:lvlText w:val=""/>
      <w:lvlJc w:val="left"/>
    </w:lvl>
    <w:lvl w:ilvl="6" w:tplc="42566886">
      <w:numFmt w:val="decimal"/>
      <w:lvlText w:val=""/>
      <w:lvlJc w:val="left"/>
    </w:lvl>
    <w:lvl w:ilvl="7" w:tplc="4FF601B4">
      <w:numFmt w:val="decimal"/>
      <w:lvlText w:val=""/>
      <w:lvlJc w:val="left"/>
    </w:lvl>
    <w:lvl w:ilvl="8" w:tplc="AEE415E4">
      <w:numFmt w:val="decimal"/>
      <w:lvlText w:val=""/>
      <w:lvlJc w:val="left"/>
    </w:lvl>
  </w:abstractNum>
  <w:abstractNum w:abstractNumId="845" w15:restartNumberingAfterBreak="0">
    <w:nsid w:val="0000765C"/>
    <w:multiLevelType w:val="hybridMultilevel"/>
    <w:tmpl w:val="CC4AEAC4"/>
    <w:lvl w:ilvl="0" w:tplc="E26E2740">
      <w:start w:val="1"/>
      <w:numFmt w:val="decimal"/>
      <w:lvlText w:val="%1"/>
      <w:lvlJc w:val="left"/>
    </w:lvl>
    <w:lvl w:ilvl="1" w:tplc="1FF20274">
      <w:start w:val="4"/>
      <w:numFmt w:val="lowerLetter"/>
      <w:lvlText w:val="(%2)"/>
      <w:lvlJc w:val="left"/>
    </w:lvl>
    <w:lvl w:ilvl="2" w:tplc="6216547A">
      <w:start w:val="1"/>
      <w:numFmt w:val="decimal"/>
      <w:lvlText w:val="%3."/>
      <w:lvlJc w:val="left"/>
    </w:lvl>
    <w:lvl w:ilvl="3" w:tplc="644E798C">
      <w:start w:val="1"/>
      <w:numFmt w:val="lowerLetter"/>
      <w:lvlText w:val="%4"/>
      <w:lvlJc w:val="left"/>
    </w:lvl>
    <w:lvl w:ilvl="4" w:tplc="4D1CA0E8">
      <w:numFmt w:val="decimal"/>
      <w:lvlText w:val=""/>
      <w:lvlJc w:val="left"/>
    </w:lvl>
    <w:lvl w:ilvl="5" w:tplc="56567696">
      <w:numFmt w:val="decimal"/>
      <w:lvlText w:val=""/>
      <w:lvlJc w:val="left"/>
    </w:lvl>
    <w:lvl w:ilvl="6" w:tplc="E4A8ADC4">
      <w:numFmt w:val="decimal"/>
      <w:lvlText w:val=""/>
      <w:lvlJc w:val="left"/>
    </w:lvl>
    <w:lvl w:ilvl="7" w:tplc="EB524D1A">
      <w:numFmt w:val="decimal"/>
      <w:lvlText w:val=""/>
      <w:lvlJc w:val="left"/>
    </w:lvl>
    <w:lvl w:ilvl="8" w:tplc="4E961EE8">
      <w:numFmt w:val="decimal"/>
      <w:lvlText w:val=""/>
      <w:lvlJc w:val="left"/>
    </w:lvl>
  </w:abstractNum>
  <w:abstractNum w:abstractNumId="846" w15:restartNumberingAfterBreak="0">
    <w:nsid w:val="000076D6"/>
    <w:multiLevelType w:val="hybridMultilevel"/>
    <w:tmpl w:val="F79E0F34"/>
    <w:lvl w:ilvl="0" w:tplc="AD2889D0">
      <w:start w:val="1"/>
      <w:numFmt w:val="lowerLetter"/>
      <w:lvlText w:val="%1"/>
      <w:lvlJc w:val="left"/>
    </w:lvl>
    <w:lvl w:ilvl="1" w:tplc="5D40FB2C">
      <w:start w:val="1"/>
      <w:numFmt w:val="decimal"/>
      <w:lvlText w:val="%2."/>
      <w:lvlJc w:val="left"/>
    </w:lvl>
    <w:lvl w:ilvl="2" w:tplc="752E00D2">
      <w:numFmt w:val="decimal"/>
      <w:lvlText w:val=""/>
      <w:lvlJc w:val="left"/>
    </w:lvl>
    <w:lvl w:ilvl="3" w:tplc="EEE45E96">
      <w:numFmt w:val="decimal"/>
      <w:lvlText w:val=""/>
      <w:lvlJc w:val="left"/>
    </w:lvl>
    <w:lvl w:ilvl="4" w:tplc="3F9A7020">
      <w:numFmt w:val="decimal"/>
      <w:lvlText w:val=""/>
      <w:lvlJc w:val="left"/>
    </w:lvl>
    <w:lvl w:ilvl="5" w:tplc="11AEBDEC">
      <w:numFmt w:val="decimal"/>
      <w:lvlText w:val=""/>
      <w:lvlJc w:val="left"/>
    </w:lvl>
    <w:lvl w:ilvl="6" w:tplc="A2AAFAF0">
      <w:numFmt w:val="decimal"/>
      <w:lvlText w:val=""/>
      <w:lvlJc w:val="left"/>
    </w:lvl>
    <w:lvl w:ilvl="7" w:tplc="5B0C5402">
      <w:numFmt w:val="decimal"/>
      <w:lvlText w:val=""/>
      <w:lvlJc w:val="left"/>
    </w:lvl>
    <w:lvl w:ilvl="8" w:tplc="4448107E">
      <w:numFmt w:val="decimal"/>
      <w:lvlText w:val=""/>
      <w:lvlJc w:val="left"/>
    </w:lvl>
  </w:abstractNum>
  <w:abstractNum w:abstractNumId="847" w15:restartNumberingAfterBreak="0">
    <w:nsid w:val="00007706"/>
    <w:multiLevelType w:val="hybridMultilevel"/>
    <w:tmpl w:val="009A7162"/>
    <w:lvl w:ilvl="0" w:tplc="284C799C">
      <w:start w:val="1"/>
      <w:numFmt w:val="lowerLetter"/>
      <w:lvlText w:val="%1"/>
      <w:lvlJc w:val="left"/>
    </w:lvl>
    <w:lvl w:ilvl="1" w:tplc="BADC2052">
      <w:start w:val="1"/>
      <w:numFmt w:val="decimal"/>
      <w:lvlText w:val="%2"/>
      <w:lvlJc w:val="left"/>
    </w:lvl>
    <w:lvl w:ilvl="2" w:tplc="62D883FC">
      <w:start w:val="1"/>
      <w:numFmt w:val="lowerLetter"/>
      <w:lvlText w:val="%3."/>
      <w:lvlJc w:val="left"/>
    </w:lvl>
    <w:lvl w:ilvl="3" w:tplc="C3647F88">
      <w:numFmt w:val="decimal"/>
      <w:lvlText w:val=""/>
      <w:lvlJc w:val="left"/>
    </w:lvl>
    <w:lvl w:ilvl="4" w:tplc="10284CBC">
      <w:numFmt w:val="decimal"/>
      <w:lvlText w:val=""/>
      <w:lvlJc w:val="left"/>
    </w:lvl>
    <w:lvl w:ilvl="5" w:tplc="56F0CDE2">
      <w:numFmt w:val="decimal"/>
      <w:lvlText w:val=""/>
      <w:lvlJc w:val="left"/>
    </w:lvl>
    <w:lvl w:ilvl="6" w:tplc="0EDA0B46">
      <w:numFmt w:val="decimal"/>
      <w:lvlText w:val=""/>
      <w:lvlJc w:val="left"/>
    </w:lvl>
    <w:lvl w:ilvl="7" w:tplc="00DEBC62">
      <w:numFmt w:val="decimal"/>
      <w:lvlText w:val=""/>
      <w:lvlJc w:val="left"/>
    </w:lvl>
    <w:lvl w:ilvl="8" w:tplc="84A8935C">
      <w:numFmt w:val="decimal"/>
      <w:lvlText w:val=""/>
      <w:lvlJc w:val="left"/>
    </w:lvl>
  </w:abstractNum>
  <w:abstractNum w:abstractNumId="848" w15:restartNumberingAfterBreak="0">
    <w:nsid w:val="0000773C"/>
    <w:multiLevelType w:val="hybridMultilevel"/>
    <w:tmpl w:val="211A3BB6"/>
    <w:lvl w:ilvl="0" w:tplc="1BF4E72C">
      <w:start w:val="1"/>
      <w:numFmt w:val="decimal"/>
      <w:lvlText w:val="%1"/>
      <w:lvlJc w:val="left"/>
    </w:lvl>
    <w:lvl w:ilvl="1" w:tplc="4AA07528">
      <w:start w:val="1"/>
      <w:numFmt w:val="lowerLetter"/>
      <w:lvlText w:val="%2"/>
      <w:lvlJc w:val="left"/>
    </w:lvl>
    <w:lvl w:ilvl="2" w:tplc="249491D2">
      <w:start w:val="4"/>
      <w:numFmt w:val="decimal"/>
      <w:lvlText w:val="%3."/>
      <w:lvlJc w:val="left"/>
    </w:lvl>
    <w:lvl w:ilvl="3" w:tplc="BEB22BB2">
      <w:numFmt w:val="decimal"/>
      <w:lvlText w:val=""/>
      <w:lvlJc w:val="left"/>
    </w:lvl>
    <w:lvl w:ilvl="4" w:tplc="C3681896">
      <w:numFmt w:val="decimal"/>
      <w:lvlText w:val=""/>
      <w:lvlJc w:val="left"/>
    </w:lvl>
    <w:lvl w:ilvl="5" w:tplc="A43AD560">
      <w:numFmt w:val="decimal"/>
      <w:lvlText w:val=""/>
      <w:lvlJc w:val="left"/>
    </w:lvl>
    <w:lvl w:ilvl="6" w:tplc="682AAC7C">
      <w:numFmt w:val="decimal"/>
      <w:lvlText w:val=""/>
      <w:lvlJc w:val="left"/>
    </w:lvl>
    <w:lvl w:ilvl="7" w:tplc="993AF5FA">
      <w:numFmt w:val="decimal"/>
      <w:lvlText w:val=""/>
      <w:lvlJc w:val="left"/>
    </w:lvl>
    <w:lvl w:ilvl="8" w:tplc="1C7867E6">
      <w:numFmt w:val="decimal"/>
      <w:lvlText w:val=""/>
      <w:lvlJc w:val="left"/>
    </w:lvl>
  </w:abstractNum>
  <w:abstractNum w:abstractNumId="849" w15:restartNumberingAfterBreak="0">
    <w:nsid w:val="0000775C"/>
    <w:multiLevelType w:val="hybridMultilevel"/>
    <w:tmpl w:val="BD9455A4"/>
    <w:lvl w:ilvl="0" w:tplc="D40C55EC">
      <w:start w:val="6"/>
      <w:numFmt w:val="decimal"/>
      <w:lvlText w:val="%1."/>
      <w:lvlJc w:val="left"/>
    </w:lvl>
    <w:lvl w:ilvl="1" w:tplc="D8F48C66">
      <w:start w:val="1"/>
      <w:numFmt w:val="lowerLetter"/>
      <w:lvlText w:val="%2."/>
      <w:lvlJc w:val="left"/>
    </w:lvl>
    <w:lvl w:ilvl="2" w:tplc="8A067152">
      <w:numFmt w:val="decimal"/>
      <w:lvlText w:val=""/>
      <w:lvlJc w:val="left"/>
    </w:lvl>
    <w:lvl w:ilvl="3" w:tplc="EA624452">
      <w:numFmt w:val="decimal"/>
      <w:lvlText w:val=""/>
      <w:lvlJc w:val="left"/>
    </w:lvl>
    <w:lvl w:ilvl="4" w:tplc="4A669F10">
      <w:numFmt w:val="decimal"/>
      <w:lvlText w:val=""/>
      <w:lvlJc w:val="left"/>
    </w:lvl>
    <w:lvl w:ilvl="5" w:tplc="B56C736C">
      <w:numFmt w:val="decimal"/>
      <w:lvlText w:val=""/>
      <w:lvlJc w:val="left"/>
    </w:lvl>
    <w:lvl w:ilvl="6" w:tplc="870EAAD4">
      <w:numFmt w:val="decimal"/>
      <w:lvlText w:val=""/>
      <w:lvlJc w:val="left"/>
    </w:lvl>
    <w:lvl w:ilvl="7" w:tplc="33582EA2">
      <w:numFmt w:val="decimal"/>
      <w:lvlText w:val=""/>
      <w:lvlJc w:val="left"/>
    </w:lvl>
    <w:lvl w:ilvl="8" w:tplc="51B4D584">
      <w:numFmt w:val="decimal"/>
      <w:lvlText w:val=""/>
      <w:lvlJc w:val="left"/>
    </w:lvl>
  </w:abstractNum>
  <w:abstractNum w:abstractNumId="850" w15:restartNumberingAfterBreak="0">
    <w:nsid w:val="00007768"/>
    <w:multiLevelType w:val="hybridMultilevel"/>
    <w:tmpl w:val="012EB8E0"/>
    <w:lvl w:ilvl="0" w:tplc="31D04E62">
      <w:start w:val="1"/>
      <w:numFmt w:val="decimal"/>
      <w:lvlText w:val="%1"/>
      <w:lvlJc w:val="left"/>
    </w:lvl>
    <w:lvl w:ilvl="1" w:tplc="78908EBC">
      <w:start w:val="5"/>
      <w:numFmt w:val="lowerLetter"/>
      <w:lvlText w:val="(%2)"/>
      <w:lvlJc w:val="left"/>
    </w:lvl>
    <w:lvl w:ilvl="2" w:tplc="037A9748">
      <w:start w:val="1"/>
      <w:numFmt w:val="decimal"/>
      <w:lvlText w:val="%3"/>
      <w:lvlJc w:val="left"/>
      <w:rPr>
        <w:vertAlign w:val="superscript"/>
      </w:rPr>
    </w:lvl>
    <w:lvl w:ilvl="3" w:tplc="64F6C67E">
      <w:numFmt w:val="decimal"/>
      <w:lvlText w:val=""/>
      <w:lvlJc w:val="left"/>
    </w:lvl>
    <w:lvl w:ilvl="4" w:tplc="4FF84FCC">
      <w:numFmt w:val="decimal"/>
      <w:lvlText w:val=""/>
      <w:lvlJc w:val="left"/>
    </w:lvl>
    <w:lvl w:ilvl="5" w:tplc="D4320068">
      <w:numFmt w:val="decimal"/>
      <w:lvlText w:val=""/>
      <w:lvlJc w:val="left"/>
    </w:lvl>
    <w:lvl w:ilvl="6" w:tplc="112E881C">
      <w:numFmt w:val="decimal"/>
      <w:lvlText w:val=""/>
      <w:lvlJc w:val="left"/>
    </w:lvl>
    <w:lvl w:ilvl="7" w:tplc="36EA21FE">
      <w:numFmt w:val="decimal"/>
      <w:lvlText w:val=""/>
      <w:lvlJc w:val="left"/>
    </w:lvl>
    <w:lvl w:ilvl="8" w:tplc="571C589C">
      <w:numFmt w:val="decimal"/>
      <w:lvlText w:val=""/>
      <w:lvlJc w:val="left"/>
    </w:lvl>
  </w:abstractNum>
  <w:abstractNum w:abstractNumId="851" w15:restartNumberingAfterBreak="0">
    <w:nsid w:val="000077B8"/>
    <w:multiLevelType w:val="hybridMultilevel"/>
    <w:tmpl w:val="B908E0CA"/>
    <w:lvl w:ilvl="0" w:tplc="4B0671F8">
      <w:start w:val="3"/>
      <w:numFmt w:val="lowerLetter"/>
      <w:lvlText w:val="(%1)"/>
      <w:lvlJc w:val="left"/>
    </w:lvl>
    <w:lvl w:ilvl="1" w:tplc="A258BCDE">
      <w:start w:val="1"/>
      <w:numFmt w:val="decimal"/>
      <w:lvlText w:val="%2"/>
      <w:lvlJc w:val="left"/>
    </w:lvl>
    <w:lvl w:ilvl="2" w:tplc="1244F99C">
      <w:numFmt w:val="decimal"/>
      <w:lvlText w:val=""/>
      <w:lvlJc w:val="left"/>
    </w:lvl>
    <w:lvl w:ilvl="3" w:tplc="97507022">
      <w:numFmt w:val="decimal"/>
      <w:lvlText w:val=""/>
      <w:lvlJc w:val="left"/>
    </w:lvl>
    <w:lvl w:ilvl="4" w:tplc="4DA4DD8A">
      <w:numFmt w:val="decimal"/>
      <w:lvlText w:val=""/>
      <w:lvlJc w:val="left"/>
    </w:lvl>
    <w:lvl w:ilvl="5" w:tplc="9C169948">
      <w:numFmt w:val="decimal"/>
      <w:lvlText w:val=""/>
      <w:lvlJc w:val="left"/>
    </w:lvl>
    <w:lvl w:ilvl="6" w:tplc="DC869EA4">
      <w:numFmt w:val="decimal"/>
      <w:lvlText w:val=""/>
      <w:lvlJc w:val="left"/>
    </w:lvl>
    <w:lvl w:ilvl="7" w:tplc="98F2E110">
      <w:numFmt w:val="decimal"/>
      <w:lvlText w:val=""/>
      <w:lvlJc w:val="left"/>
    </w:lvl>
    <w:lvl w:ilvl="8" w:tplc="DEAACBA2">
      <w:numFmt w:val="decimal"/>
      <w:lvlText w:val=""/>
      <w:lvlJc w:val="left"/>
    </w:lvl>
  </w:abstractNum>
  <w:abstractNum w:abstractNumId="852" w15:restartNumberingAfterBreak="0">
    <w:nsid w:val="000077E5"/>
    <w:multiLevelType w:val="hybridMultilevel"/>
    <w:tmpl w:val="01021496"/>
    <w:lvl w:ilvl="0" w:tplc="FDF65336">
      <w:start w:val="2"/>
      <w:numFmt w:val="decimal"/>
      <w:lvlText w:val="(%1)"/>
      <w:lvlJc w:val="left"/>
    </w:lvl>
    <w:lvl w:ilvl="1" w:tplc="AD5642F4">
      <w:start w:val="1"/>
      <w:numFmt w:val="lowerLetter"/>
      <w:lvlText w:val="(%2)"/>
      <w:lvlJc w:val="left"/>
    </w:lvl>
    <w:lvl w:ilvl="2" w:tplc="2182FA60">
      <w:start w:val="1"/>
      <w:numFmt w:val="decimal"/>
      <w:lvlText w:val="%3"/>
      <w:lvlJc w:val="left"/>
    </w:lvl>
    <w:lvl w:ilvl="3" w:tplc="C8E2F892">
      <w:numFmt w:val="decimal"/>
      <w:lvlText w:val=""/>
      <w:lvlJc w:val="left"/>
    </w:lvl>
    <w:lvl w:ilvl="4" w:tplc="7F08C95C">
      <w:numFmt w:val="decimal"/>
      <w:lvlText w:val=""/>
      <w:lvlJc w:val="left"/>
    </w:lvl>
    <w:lvl w:ilvl="5" w:tplc="7DB2A3A8">
      <w:numFmt w:val="decimal"/>
      <w:lvlText w:val=""/>
      <w:lvlJc w:val="left"/>
    </w:lvl>
    <w:lvl w:ilvl="6" w:tplc="12D4BAD8">
      <w:numFmt w:val="decimal"/>
      <w:lvlText w:val=""/>
      <w:lvlJc w:val="left"/>
    </w:lvl>
    <w:lvl w:ilvl="7" w:tplc="904048C0">
      <w:numFmt w:val="decimal"/>
      <w:lvlText w:val=""/>
      <w:lvlJc w:val="left"/>
    </w:lvl>
    <w:lvl w:ilvl="8" w:tplc="5B4E525E">
      <w:numFmt w:val="decimal"/>
      <w:lvlText w:val=""/>
      <w:lvlJc w:val="left"/>
    </w:lvl>
  </w:abstractNum>
  <w:abstractNum w:abstractNumId="853" w15:restartNumberingAfterBreak="0">
    <w:nsid w:val="000077FA"/>
    <w:multiLevelType w:val="hybridMultilevel"/>
    <w:tmpl w:val="42E23A2A"/>
    <w:lvl w:ilvl="0" w:tplc="D842FC7E">
      <w:start w:val="1"/>
      <w:numFmt w:val="lowerLetter"/>
      <w:lvlText w:val="%1."/>
      <w:lvlJc w:val="left"/>
    </w:lvl>
    <w:lvl w:ilvl="1" w:tplc="2D4AF1E8">
      <w:numFmt w:val="decimal"/>
      <w:lvlText w:val=""/>
      <w:lvlJc w:val="left"/>
    </w:lvl>
    <w:lvl w:ilvl="2" w:tplc="DD92E2AA">
      <w:numFmt w:val="decimal"/>
      <w:lvlText w:val=""/>
      <w:lvlJc w:val="left"/>
    </w:lvl>
    <w:lvl w:ilvl="3" w:tplc="330E2632">
      <w:numFmt w:val="decimal"/>
      <w:lvlText w:val=""/>
      <w:lvlJc w:val="left"/>
    </w:lvl>
    <w:lvl w:ilvl="4" w:tplc="BE961D3A">
      <w:numFmt w:val="decimal"/>
      <w:lvlText w:val=""/>
      <w:lvlJc w:val="left"/>
    </w:lvl>
    <w:lvl w:ilvl="5" w:tplc="9800BFE8">
      <w:numFmt w:val="decimal"/>
      <w:lvlText w:val=""/>
      <w:lvlJc w:val="left"/>
    </w:lvl>
    <w:lvl w:ilvl="6" w:tplc="ABE4EF24">
      <w:numFmt w:val="decimal"/>
      <w:lvlText w:val=""/>
      <w:lvlJc w:val="left"/>
    </w:lvl>
    <w:lvl w:ilvl="7" w:tplc="F14A4318">
      <w:numFmt w:val="decimal"/>
      <w:lvlText w:val=""/>
      <w:lvlJc w:val="left"/>
    </w:lvl>
    <w:lvl w:ilvl="8" w:tplc="49DE6080">
      <w:numFmt w:val="decimal"/>
      <w:lvlText w:val=""/>
      <w:lvlJc w:val="left"/>
    </w:lvl>
  </w:abstractNum>
  <w:abstractNum w:abstractNumId="854" w15:restartNumberingAfterBreak="0">
    <w:nsid w:val="00007836"/>
    <w:multiLevelType w:val="hybridMultilevel"/>
    <w:tmpl w:val="97F648BE"/>
    <w:lvl w:ilvl="0" w:tplc="25603822">
      <w:start w:val="1"/>
      <w:numFmt w:val="decimal"/>
      <w:lvlText w:val="%1"/>
      <w:lvlJc w:val="left"/>
    </w:lvl>
    <w:lvl w:ilvl="1" w:tplc="E0665288">
      <w:start w:val="1"/>
      <w:numFmt w:val="lowerLetter"/>
      <w:lvlText w:val="%2"/>
      <w:lvlJc w:val="left"/>
    </w:lvl>
    <w:lvl w:ilvl="2" w:tplc="9FA866B0">
      <w:start w:val="2"/>
      <w:numFmt w:val="decimal"/>
      <w:lvlText w:val="%3."/>
      <w:lvlJc w:val="left"/>
    </w:lvl>
    <w:lvl w:ilvl="3" w:tplc="E69CB200">
      <w:start w:val="1"/>
      <w:numFmt w:val="lowerLetter"/>
      <w:lvlText w:val="%4."/>
      <w:lvlJc w:val="left"/>
    </w:lvl>
    <w:lvl w:ilvl="4" w:tplc="2B442A9A">
      <w:numFmt w:val="decimal"/>
      <w:lvlText w:val=""/>
      <w:lvlJc w:val="left"/>
    </w:lvl>
    <w:lvl w:ilvl="5" w:tplc="B12ED828">
      <w:numFmt w:val="decimal"/>
      <w:lvlText w:val=""/>
      <w:lvlJc w:val="left"/>
    </w:lvl>
    <w:lvl w:ilvl="6" w:tplc="2D80F926">
      <w:numFmt w:val="decimal"/>
      <w:lvlText w:val=""/>
      <w:lvlJc w:val="left"/>
    </w:lvl>
    <w:lvl w:ilvl="7" w:tplc="A82633B6">
      <w:numFmt w:val="decimal"/>
      <w:lvlText w:val=""/>
      <w:lvlJc w:val="left"/>
    </w:lvl>
    <w:lvl w:ilvl="8" w:tplc="5B9CDC52">
      <w:numFmt w:val="decimal"/>
      <w:lvlText w:val=""/>
      <w:lvlJc w:val="left"/>
    </w:lvl>
  </w:abstractNum>
  <w:abstractNum w:abstractNumId="855" w15:restartNumberingAfterBreak="0">
    <w:nsid w:val="00007857"/>
    <w:multiLevelType w:val="hybridMultilevel"/>
    <w:tmpl w:val="100AD722"/>
    <w:lvl w:ilvl="0" w:tplc="DFDA3EC2">
      <w:start w:val="1"/>
      <w:numFmt w:val="decimal"/>
      <w:lvlText w:val="%1"/>
      <w:lvlJc w:val="left"/>
    </w:lvl>
    <w:lvl w:ilvl="1" w:tplc="FE128E26">
      <w:start w:val="3"/>
      <w:numFmt w:val="lowerLetter"/>
      <w:lvlText w:val="%2."/>
      <w:lvlJc w:val="left"/>
    </w:lvl>
    <w:lvl w:ilvl="2" w:tplc="AEE89770">
      <w:numFmt w:val="decimal"/>
      <w:lvlText w:val=""/>
      <w:lvlJc w:val="left"/>
    </w:lvl>
    <w:lvl w:ilvl="3" w:tplc="1B26C36E">
      <w:numFmt w:val="decimal"/>
      <w:lvlText w:val=""/>
      <w:lvlJc w:val="left"/>
    </w:lvl>
    <w:lvl w:ilvl="4" w:tplc="F4C85C64">
      <w:numFmt w:val="decimal"/>
      <w:lvlText w:val=""/>
      <w:lvlJc w:val="left"/>
    </w:lvl>
    <w:lvl w:ilvl="5" w:tplc="EAA08B96">
      <w:numFmt w:val="decimal"/>
      <w:lvlText w:val=""/>
      <w:lvlJc w:val="left"/>
    </w:lvl>
    <w:lvl w:ilvl="6" w:tplc="7A08EB4A">
      <w:numFmt w:val="decimal"/>
      <w:lvlText w:val=""/>
      <w:lvlJc w:val="left"/>
    </w:lvl>
    <w:lvl w:ilvl="7" w:tplc="31B8E8AA">
      <w:numFmt w:val="decimal"/>
      <w:lvlText w:val=""/>
      <w:lvlJc w:val="left"/>
    </w:lvl>
    <w:lvl w:ilvl="8" w:tplc="645EF35C">
      <w:numFmt w:val="decimal"/>
      <w:lvlText w:val=""/>
      <w:lvlJc w:val="left"/>
    </w:lvl>
  </w:abstractNum>
  <w:abstractNum w:abstractNumId="856" w15:restartNumberingAfterBreak="0">
    <w:nsid w:val="000078BE"/>
    <w:multiLevelType w:val="hybridMultilevel"/>
    <w:tmpl w:val="253819D4"/>
    <w:lvl w:ilvl="0" w:tplc="3696A9E2">
      <w:start w:val="1"/>
      <w:numFmt w:val="decimal"/>
      <w:lvlText w:val="%1"/>
      <w:lvlJc w:val="left"/>
    </w:lvl>
    <w:lvl w:ilvl="1" w:tplc="E3502E28">
      <w:start w:val="1"/>
      <w:numFmt w:val="lowerLetter"/>
      <w:lvlText w:val="%2"/>
      <w:lvlJc w:val="left"/>
    </w:lvl>
    <w:lvl w:ilvl="2" w:tplc="14D8FCD4">
      <w:start w:val="6"/>
      <w:numFmt w:val="decimal"/>
      <w:lvlText w:val="%3."/>
      <w:lvlJc w:val="left"/>
    </w:lvl>
    <w:lvl w:ilvl="3" w:tplc="E69477D0">
      <w:start w:val="1"/>
      <w:numFmt w:val="lowerLetter"/>
      <w:lvlText w:val="%4"/>
      <w:lvlJc w:val="left"/>
    </w:lvl>
    <w:lvl w:ilvl="4" w:tplc="09148C5C">
      <w:numFmt w:val="decimal"/>
      <w:lvlText w:val=""/>
      <w:lvlJc w:val="left"/>
    </w:lvl>
    <w:lvl w:ilvl="5" w:tplc="40DEF394">
      <w:numFmt w:val="decimal"/>
      <w:lvlText w:val=""/>
      <w:lvlJc w:val="left"/>
    </w:lvl>
    <w:lvl w:ilvl="6" w:tplc="08B45008">
      <w:numFmt w:val="decimal"/>
      <w:lvlText w:val=""/>
      <w:lvlJc w:val="left"/>
    </w:lvl>
    <w:lvl w:ilvl="7" w:tplc="ABC07664">
      <w:numFmt w:val="decimal"/>
      <w:lvlText w:val=""/>
      <w:lvlJc w:val="left"/>
    </w:lvl>
    <w:lvl w:ilvl="8" w:tplc="3D9E3B3C">
      <w:numFmt w:val="decimal"/>
      <w:lvlText w:val=""/>
      <w:lvlJc w:val="left"/>
    </w:lvl>
  </w:abstractNum>
  <w:abstractNum w:abstractNumId="857" w15:restartNumberingAfterBreak="0">
    <w:nsid w:val="000078FB"/>
    <w:multiLevelType w:val="hybridMultilevel"/>
    <w:tmpl w:val="8D849878"/>
    <w:lvl w:ilvl="0" w:tplc="C1A0B2CE">
      <w:start w:val="1"/>
      <w:numFmt w:val="decimal"/>
      <w:lvlText w:val="%1"/>
      <w:lvlJc w:val="left"/>
    </w:lvl>
    <w:lvl w:ilvl="1" w:tplc="320C5360">
      <w:start w:val="2"/>
      <w:numFmt w:val="lowerLetter"/>
      <w:lvlText w:val="(%2)"/>
      <w:lvlJc w:val="left"/>
    </w:lvl>
    <w:lvl w:ilvl="2" w:tplc="06BE00AA">
      <w:start w:val="1"/>
      <w:numFmt w:val="decimal"/>
      <w:lvlText w:val="%3"/>
      <w:lvlJc w:val="left"/>
    </w:lvl>
    <w:lvl w:ilvl="3" w:tplc="D60AECA6">
      <w:start w:val="1"/>
      <w:numFmt w:val="lowerLetter"/>
      <w:lvlText w:val="%4"/>
      <w:lvlJc w:val="left"/>
    </w:lvl>
    <w:lvl w:ilvl="4" w:tplc="41EC81D6">
      <w:numFmt w:val="decimal"/>
      <w:lvlText w:val=""/>
      <w:lvlJc w:val="left"/>
    </w:lvl>
    <w:lvl w:ilvl="5" w:tplc="7FA8E23A">
      <w:numFmt w:val="decimal"/>
      <w:lvlText w:val=""/>
      <w:lvlJc w:val="left"/>
    </w:lvl>
    <w:lvl w:ilvl="6" w:tplc="49CA22BC">
      <w:numFmt w:val="decimal"/>
      <w:lvlText w:val=""/>
      <w:lvlJc w:val="left"/>
    </w:lvl>
    <w:lvl w:ilvl="7" w:tplc="FCF27136">
      <w:numFmt w:val="decimal"/>
      <w:lvlText w:val=""/>
      <w:lvlJc w:val="left"/>
    </w:lvl>
    <w:lvl w:ilvl="8" w:tplc="8CD2CBEC">
      <w:numFmt w:val="decimal"/>
      <w:lvlText w:val=""/>
      <w:lvlJc w:val="left"/>
    </w:lvl>
  </w:abstractNum>
  <w:abstractNum w:abstractNumId="858" w15:restartNumberingAfterBreak="0">
    <w:nsid w:val="000078FE"/>
    <w:multiLevelType w:val="hybridMultilevel"/>
    <w:tmpl w:val="C3BCA756"/>
    <w:lvl w:ilvl="0" w:tplc="3680395A">
      <w:start w:val="1"/>
      <w:numFmt w:val="decimal"/>
      <w:lvlText w:val="%1"/>
      <w:lvlJc w:val="left"/>
    </w:lvl>
    <w:lvl w:ilvl="1" w:tplc="BF1071F2">
      <w:start w:val="2"/>
      <w:numFmt w:val="lowerLetter"/>
      <w:lvlText w:val="%2."/>
      <w:lvlJc w:val="left"/>
    </w:lvl>
    <w:lvl w:ilvl="2" w:tplc="F2FC30AA">
      <w:numFmt w:val="decimal"/>
      <w:lvlText w:val=""/>
      <w:lvlJc w:val="left"/>
    </w:lvl>
    <w:lvl w:ilvl="3" w:tplc="762AA718">
      <w:numFmt w:val="decimal"/>
      <w:lvlText w:val=""/>
      <w:lvlJc w:val="left"/>
    </w:lvl>
    <w:lvl w:ilvl="4" w:tplc="C1127C3E">
      <w:numFmt w:val="decimal"/>
      <w:lvlText w:val=""/>
      <w:lvlJc w:val="left"/>
    </w:lvl>
    <w:lvl w:ilvl="5" w:tplc="BBFEAF24">
      <w:numFmt w:val="decimal"/>
      <w:lvlText w:val=""/>
      <w:lvlJc w:val="left"/>
    </w:lvl>
    <w:lvl w:ilvl="6" w:tplc="ADD44770">
      <w:numFmt w:val="decimal"/>
      <w:lvlText w:val=""/>
      <w:lvlJc w:val="left"/>
    </w:lvl>
    <w:lvl w:ilvl="7" w:tplc="283C0480">
      <w:numFmt w:val="decimal"/>
      <w:lvlText w:val=""/>
      <w:lvlJc w:val="left"/>
    </w:lvl>
    <w:lvl w:ilvl="8" w:tplc="F8FC9E68">
      <w:numFmt w:val="decimal"/>
      <w:lvlText w:val=""/>
      <w:lvlJc w:val="left"/>
    </w:lvl>
  </w:abstractNum>
  <w:abstractNum w:abstractNumId="859" w15:restartNumberingAfterBreak="0">
    <w:nsid w:val="0000792C"/>
    <w:multiLevelType w:val="hybridMultilevel"/>
    <w:tmpl w:val="DEF040A2"/>
    <w:lvl w:ilvl="0" w:tplc="E9FE76F4">
      <w:start w:val="1"/>
      <w:numFmt w:val="lowerLetter"/>
      <w:lvlText w:val="%1"/>
      <w:lvlJc w:val="left"/>
    </w:lvl>
    <w:lvl w:ilvl="1" w:tplc="E6B44D14">
      <w:start w:val="1"/>
      <w:numFmt w:val="lowerLetter"/>
      <w:lvlText w:val="%2"/>
      <w:lvlJc w:val="left"/>
    </w:lvl>
    <w:lvl w:ilvl="2" w:tplc="45B6E514">
      <w:numFmt w:val="decimal"/>
      <w:lvlText w:val=""/>
      <w:lvlJc w:val="left"/>
    </w:lvl>
    <w:lvl w:ilvl="3" w:tplc="CEE0048C">
      <w:numFmt w:val="decimal"/>
      <w:lvlText w:val=""/>
      <w:lvlJc w:val="left"/>
    </w:lvl>
    <w:lvl w:ilvl="4" w:tplc="C40A3EB2">
      <w:numFmt w:val="decimal"/>
      <w:lvlText w:val=""/>
      <w:lvlJc w:val="left"/>
    </w:lvl>
    <w:lvl w:ilvl="5" w:tplc="9446EC82">
      <w:numFmt w:val="decimal"/>
      <w:lvlText w:val=""/>
      <w:lvlJc w:val="left"/>
    </w:lvl>
    <w:lvl w:ilvl="6" w:tplc="C694AA42">
      <w:numFmt w:val="decimal"/>
      <w:lvlText w:val=""/>
      <w:lvlJc w:val="left"/>
    </w:lvl>
    <w:lvl w:ilvl="7" w:tplc="1D9C5798">
      <w:numFmt w:val="decimal"/>
      <w:lvlText w:val=""/>
      <w:lvlJc w:val="left"/>
    </w:lvl>
    <w:lvl w:ilvl="8" w:tplc="D840A07E">
      <w:numFmt w:val="decimal"/>
      <w:lvlText w:val=""/>
      <w:lvlJc w:val="left"/>
    </w:lvl>
  </w:abstractNum>
  <w:abstractNum w:abstractNumId="860" w15:restartNumberingAfterBreak="0">
    <w:nsid w:val="00007950"/>
    <w:multiLevelType w:val="hybridMultilevel"/>
    <w:tmpl w:val="9F308402"/>
    <w:lvl w:ilvl="0" w:tplc="E0B07CE8">
      <w:start w:val="1"/>
      <w:numFmt w:val="lowerLetter"/>
      <w:lvlText w:val="%1"/>
      <w:lvlJc w:val="left"/>
    </w:lvl>
    <w:lvl w:ilvl="1" w:tplc="5A2E2C5E">
      <w:start w:val="6"/>
      <w:numFmt w:val="decimal"/>
      <w:lvlText w:val="%2."/>
      <w:lvlJc w:val="left"/>
    </w:lvl>
    <w:lvl w:ilvl="2" w:tplc="902A423C">
      <w:start w:val="1"/>
      <w:numFmt w:val="lowerLetter"/>
      <w:lvlText w:val="%3"/>
      <w:lvlJc w:val="left"/>
    </w:lvl>
    <w:lvl w:ilvl="3" w:tplc="5714ED9A">
      <w:start w:val="1"/>
      <w:numFmt w:val="lowerRoman"/>
      <w:lvlText w:val="%4"/>
      <w:lvlJc w:val="left"/>
    </w:lvl>
    <w:lvl w:ilvl="4" w:tplc="C1B26DCA">
      <w:numFmt w:val="decimal"/>
      <w:lvlText w:val=""/>
      <w:lvlJc w:val="left"/>
    </w:lvl>
    <w:lvl w:ilvl="5" w:tplc="3760D7EE">
      <w:numFmt w:val="decimal"/>
      <w:lvlText w:val=""/>
      <w:lvlJc w:val="left"/>
    </w:lvl>
    <w:lvl w:ilvl="6" w:tplc="7B3898C2">
      <w:numFmt w:val="decimal"/>
      <w:lvlText w:val=""/>
      <w:lvlJc w:val="left"/>
    </w:lvl>
    <w:lvl w:ilvl="7" w:tplc="B590076C">
      <w:numFmt w:val="decimal"/>
      <w:lvlText w:val=""/>
      <w:lvlJc w:val="left"/>
    </w:lvl>
    <w:lvl w:ilvl="8" w:tplc="035C4D16">
      <w:numFmt w:val="decimal"/>
      <w:lvlText w:val=""/>
      <w:lvlJc w:val="left"/>
    </w:lvl>
  </w:abstractNum>
  <w:abstractNum w:abstractNumId="861" w15:restartNumberingAfterBreak="0">
    <w:nsid w:val="00007957"/>
    <w:multiLevelType w:val="hybridMultilevel"/>
    <w:tmpl w:val="CBE6C380"/>
    <w:lvl w:ilvl="0" w:tplc="7B3E7412">
      <w:start w:val="1"/>
      <w:numFmt w:val="lowerLetter"/>
      <w:lvlText w:val="%1."/>
      <w:lvlJc w:val="left"/>
    </w:lvl>
    <w:lvl w:ilvl="1" w:tplc="623290DE">
      <w:numFmt w:val="decimal"/>
      <w:lvlText w:val=""/>
      <w:lvlJc w:val="left"/>
    </w:lvl>
    <w:lvl w:ilvl="2" w:tplc="3D0C42FC">
      <w:numFmt w:val="decimal"/>
      <w:lvlText w:val=""/>
      <w:lvlJc w:val="left"/>
    </w:lvl>
    <w:lvl w:ilvl="3" w:tplc="0888963A">
      <w:numFmt w:val="decimal"/>
      <w:lvlText w:val=""/>
      <w:lvlJc w:val="left"/>
    </w:lvl>
    <w:lvl w:ilvl="4" w:tplc="9FF4D43C">
      <w:numFmt w:val="decimal"/>
      <w:lvlText w:val=""/>
      <w:lvlJc w:val="left"/>
    </w:lvl>
    <w:lvl w:ilvl="5" w:tplc="AEAC8EB0">
      <w:numFmt w:val="decimal"/>
      <w:lvlText w:val=""/>
      <w:lvlJc w:val="left"/>
    </w:lvl>
    <w:lvl w:ilvl="6" w:tplc="778A47F0">
      <w:numFmt w:val="decimal"/>
      <w:lvlText w:val=""/>
      <w:lvlJc w:val="left"/>
    </w:lvl>
    <w:lvl w:ilvl="7" w:tplc="52B0C15C">
      <w:numFmt w:val="decimal"/>
      <w:lvlText w:val=""/>
      <w:lvlJc w:val="left"/>
    </w:lvl>
    <w:lvl w:ilvl="8" w:tplc="772E8D6A">
      <w:numFmt w:val="decimal"/>
      <w:lvlText w:val=""/>
      <w:lvlJc w:val="left"/>
    </w:lvl>
  </w:abstractNum>
  <w:abstractNum w:abstractNumId="862" w15:restartNumberingAfterBreak="0">
    <w:nsid w:val="0000795C"/>
    <w:multiLevelType w:val="hybridMultilevel"/>
    <w:tmpl w:val="8B8ABF3A"/>
    <w:lvl w:ilvl="0" w:tplc="D0167268">
      <w:start w:val="1"/>
      <w:numFmt w:val="lowerLetter"/>
      <w:lvlText w:val="%1"/>
      <w:lvlJc w:val="left"/>
    </w:lvl>
    <w:lvl w:ilvl="1" w:tplc="85520ADA">
      <w:start w:val="5"/>
      <w:numFmt w:val="decimal"/>
      <w:lvlText w:val="%2."/>
      <w:lvlJc w:val="left"/>
    </w:lvl>
    <w:lvl w:ilvl="2" w:tplc="D10C5F0C">
      <w:start w:val="1"/>
      <w:numFmt w:val="lowerLetter"/>
      <w:lvlText w:val="%3"/>
      <w:lvlJc w:val="left"/>
    </w:lvl>
    <w:lvl w:ilvl="3" w:tplc="A204FC5A">
      <w:numFmt w:val="decimal"/>
      <w:lvlText w:val=""/>
      <w:lvlJc w:val="left"/>
    </w:lvl>
    <w:lvl w:ilvl="4" w:tplc="A74EFDDE">
      <w:numFmt w:val="decimal"/>
      <w:lvlText w:val=""/>
      <w:lvlJc w:val="left"/>
    </w:lvl>
    <w:lvl w:ilvl="5" w:tplc="CFDCB4C8">
      <w:numFmt w:val="decimal"/>
      <w:lvlText w:val=""/>
      <w:lvlJc w:val="left"/>
    </w:lvl>
    <w:lvl w:ilvl="6" w:tplc="E1DAE63C">
      <w:numFmt w:val="decimal"/>
      <w:lvlText w:val=""/>
      <w:lvlJc w:val="left"/>
    </w:lvl>
    <w:lvl w:ilvl="7" w:tplc="1994BFE4">
      <w:numFmt w:val="decimal"/>
      <w:lvlText w:val=""/>
      <w:lvlJc w:val="left"/>
    </w:lvl>
    <w:lvl w:ilvl="8" w:tplc="0A8266A4">
      <w:numFmt w:val="decimal"/>
      <w:lvlText w:val=""/>
      <w:lvlJc w:val="left"/>
    </w:lvl>
  </w:abstractNum>
  <w:abstractNum w:abstractNumId="863" w15:restartNumberingAfterBreak="0">
    <w:nsid w:val="00007987"/>
    <w:multiLevelType w:val="hybridMultilevel"/>
    <w:tmpl w:val="CBF295E8"/>
    <w:lvl w:ilvl="0" w:tplc="50CADE1C">
      <w:start w:val="2"/>
      <w:numFmt w:val="lowerLetter"/>
      <w:lvlText w:val="(%1)"/>
      <w:lvlJc w:val="left"/>
    </w:lvl>
    <w:lvl w:ilvl="1" w:tplc="6C4298FA">
      <w:start w:val="1"/>
      <w:numFmt w:val="decimal"/>
      <w:lvlText w:val="%2."/>
      <w:lvlJc w:val="left"/>
    </w:lvl>
    <w:lvl w:ilvl="2" w:tplc="58BE0B96">
      <w:start w:val="1"/>
      <w:numFmt w:val="lowerLetter"/>
      <w:lvlText w:val="%3."/>
      <w:lvlJc w:val="left"/>
    </w:lvl>
    <w:lvl w:ilvl="3" w:tplc="B70E468E">
      <w:numFmt w:val="decimal"/>
      <w:lvlText w:val=""/>
      <w:lvlJc w:val="left"/>
    </w:lvl>
    <w:lvl w:ilvl="4" w:tplc="2E04AC02">
      <w:numFmt w:val="decimal"/>
      <w:lvlText w:val=""/>
      <w:lvlJc w:val="left"/>
    </w:lvl>
    <w:lvl w:ilvl="5" w:tplc="58C84C60">
      <w:numFmt w:val="decimal"/>
      <w:lvlText w:val=""/>
      <w:lvlJc w:val="left"/>
    </w:lvl>
    <w:lvl w:ilvl="6" w:tplc="5DC013BA">
      <w:numFmt w:val="decimal"/>
      <w:lvlText w:val=""/>
      <w:lvlJc w:val="left"/>
    </w:lvl>
    <w:lvl w:ilvl="7" w:tplc="22906686">
      <w:numFmt w:val="decimal"/>
      <w:lvlText w:val=""/>
      <w:lvlJc w:val="left"/>
    </w:lvl>
    <w:lvl w:ilvl="8" w:tplc="79425C8C">
      <w:numFmt w:val="decimal"/>
      <w:lvlText w:val=""/>
      <w:lvlJc w:val="left"/>
    </w:lvl>
  </w:abstractNum>
  <w:abstractNum w:abstractNumId="864" w15:restartNumberingAfterBreak="0">
    <w:nsid w:val="000079BB"/>
    <w:multiLevelType w:val="hybridMultilevel"/>
    <w:tmpl w:val="01266432"/>
    <w:lvl w:ilvl="0" w:tplc="67824176">
      <w:start w:val="4"/>
      <w:numFmt w:val="decimal"/>
      <w:lvlText w:val="(%1)"/>
      <w:lvlJc w:val="left"/>
    </w:lvl>
    <w:lvl w:ilvl="1" w:tplc="CBE21E86">
      <w:start w:val="1"/>
      <w:numFmt w:val="lowerLetter"/>
      <w:lvlText w:val="(%2)"/>
      <w:lvlJc w:val="left"/>
    </w:lvl>
    <w:lvl w:ilvl="2" w:tplc="712ACA44">
      <w:start w:val="1"/>
      <w:numFmt w:val="decimal"/>
      <w:lvlText w:val="%3"/>
      <w:lvlJc w:val="left"/>
    </w:lvl>
    <w:lvl w:ilvl="3" w:tplc="4C32AE3E">
      <w:numFmt w:val="decimal"/>
      <w:lvlText w:val=""/>
      <w:lvlJc w:val="left"/>
    </w:lvl>
    <w:lvl w:ilvl="4" w:tplc="F6A49500">
      <w:numFmt w:val="decimal"/>
      <w:lvlText w:val=""/>
      <w:lvlJc w:val="left"/>
    </w:lvl>
    <w:lvl w:ilvl="5" w:tplc="B4EA29B6">
      <w:numFmt w:val="decimal"/>
      <w:lvlText w:val=""/>
      <w:lvlJc w:val="left"/>
    </w:lvl>
    <w:lvl w:ilvl="6" w:tplc="88942020">
      <w:numFmt w:val="decimal"/>
      <w:lvlText w:val=""/>
      <w:lvlJc w:val="left"/>
    </w:lvl>
    <w:lvl w:ilvl="7" w:tplc="C0A4D13E">
      <w:numFmt w:val="decimal"/>
      <w:lvlText w:val=""/>
      <w:lvlJc w:val="left"/>
    </w:lvl>
    <w:lvl w:ilvl="8" w:tplc="CCB6E386">
      <w:numFmt w:val="decimal"/>
      <w:lvlText w:val=""/>
      <w:lvlJc w:val="left"/>
    </w:lvl>
  </w:abstractNum>
  <w:abstractNum w:abstractNumId="865" w15:restartNumberingAfterBreak="0">
    <w:nsid w:val="000079C4"/>
    <w:multiLevelType w:val="hybridMultilevel"/>
    <w:tmpl w:val="744E77C4"/>
    <w:lvl w:ilvl="0" w:tplc="2FA4FA92">
      <w:start w:val="2"/>
      <w:numFmt w:val="lowerLetter"/>
      <w:lvlText w:val="(%1)"/>
      <w:lvlJc w:val="left"/>
    </w:lvl>
    <w:lvl w:ilvl="1" w:tplc="6EF8B1CE">
      <w:start w:val="1"/>
      <w:numFmt w:val="decimal"/>
      <w:lvlText w:val="%2."/>
      <w:lvlJc w:val="left"/>
    </w:lvl>
    <w:lvl w:ilvl="2" w:tplc="B8682232">
      <w:start w:val="1"/>
      <w:numFmt w:val="lowerLetter"/>
      <w:lvlText w:val="%3"/>
      <w:lvlJc w:val="left"/>
    </w:lvl>
    <w:lvl w:ilvl="3" w:tplc="6122B9F8">
      <w:numFmt w:val="decimal"/>
      <w:lvlText w:val=""/>
      <w:lvlJc w:val="left"/>
    </w:lvl>
    <w:lvl w:ilvl="4" w:tplc="F99EBA82">
      <w:numFmt w:val="decimal"/>
      <w:lvlText w:val=""/>
      <w:lvlJc w:val="left"/>
    </w:lvl>
    <w:lvl w:ilvl="5" w:tplc="BD3E9D68">
      <w:numFmt w:val="decimal"/>
      <w:lvlText w:val=""/>
      <w:lvlJc w:val="left"/>
    </w:lvl>
    <w:lvl w:ilvl="6" w:tplc="4FBA1360">
      <w:numFmt w:val="decimal"/>
      <w:lvlText w:val=""/>
      <w:lvlJc w:val="left"/>
    </w:lvl>
    <w:lvl w:ilvl="7" w:tplc="C3A2B3BC">
      <w:numFmt w:val="decimal"/>
      <w:lvlText w:val=""/>
      <w:lvlJc w:val="left"/>
    </w:lvl>
    <w:lvl w:ilvl="8" w:tplc="E3467A96">
      <w:numFmt w:val="decimal"/>
      <w:lvlText w:val=""/>
      <w:lvlJc w:val="left"/>
    </w:lvl>
  </w:abstractNum>
  <w:abstractNum w:abstractNumId="866" w15:restartNumberingAfterBreak="0">
    <w:nsid w:val="000079E2"/>
    <w:multiLevelType w:val="hybridMultilevel"/>
    <w:tmpl w:val="6DC244D6"/>
    <w:lvl w:ilvl="0" w:tplc="2730B84C">
      <w:start w:val="4"/>
      <w:numFmt w:val="lowerLetter"/>
      <w:lvlText w:val="(%1)"/>
      <w:lvlJc w:val="left"/>
    </w:lvl>
    <w:lvl w:ilvl="1" w:tplc="F3769246">
      <w:start w:val="1"/>
      <w:numFmt w:val="decimal"/>
      <w:lvlText w:val="%2."/>
      <w:lvlJc w:val="left"/>
    </w:lvl>
    <w:lvl w:ilvl="2" w:tplc="2F2AA956">
      <w:start w:val="1"/>
      <w:numFmt w:val="lowerLetter"/>
      <w:lvlText w:val="%3"/>
      <w:lvlJc w:val="left"/>
    </w:lvl>
    <w:lvl w:ilvl="3" w:tplc="F468D26C">
      <w:numFmt w:val="decimal"/>
      <w:lvlText w:val=""/>
      <w:lvlJc w:val="left"/>
    </w:lvl>
    <w:lvl w:ilvl="4" w:tplc="F4C00EE4">
      <w:numFmt w:val="decimal"/>
      <w:lvlText w:val=""/>
      <w:lvlJc w:val="left"/>
    </w:lvl>
    <w:lvl w:ilvl="5" w:tplc="822C4E36">
      <w:numFmt w:val="decimal"/>
      <w:lvlText w:val=""/>
      <w:lvlJc w:val="left"/>
    </w:lvl>
    <w:lvl w:ilvl="6" w:tplc="BCE2B77C">
      <w:numFmt w:val="decimal"/>
      <w:lvlText w:val=""/>
      <w:lvlJc w:val="left"/>
    </w:lvl>
    <w:lvl w:ilvl="7" w:tplc="9070C1A0">
      <w:numFmt w:val="decimal"/>
      <w:lvlText w:val=""/>
      <w:lvlJc w:val="left"/>
    </w:lvl>
    <w:lvl w:ilvl="8" w:tplc="9D0201D0">
      <w:numFmt w:val="decimal"/>
      <w:lvlText w:val=""/>
      <w:lvlJc w:val="left"/>
    </w:lvl>
  </w:abstractNum>
  <w:abstractNum w:abstractNumId="867" w15:restartNumberingAfterBreak="0">
    <w:nsid w:val="000079FA"/>
    <w:multiLevelType w:val="hybridMultilevel"/>
    <w:tmpl w:val="F3CEE770"/>
    <w:lvl w:ilvl="0" w:tplc="C82A782E">
      <w:start w:val="1"/>
      <w:numFmt w:val="decimal"/>
      <w:lvlText w:val="%1"/>
      <w:lvlJc w:val="left"/>
    </w:lvl>
    <w:lvl w:ilvl="1" w:tplc="FA24E558">
      <w:start w:val="3"/>
      <w:numFmt w:val="lowerLetter"/>
      <w:lvlText w:val="(%2)"/>
      <w:lvlJc w:val="left"/>
    </w:lvl>
    <w:lvl w:ilvl="2" w:tplc="22E05F88">
      <w:start w:val="1"/>
      <w:numFmt w:val="decimal"/>
      <w:lvlText w:val="%3."/>
      <w:lvlJc w:val="left"/>
    </w:lvl>
    <w:lvl w:ilvl="3" w:tplc="04090019">
      <w:start w:val="1"/>
      <w:numFmt w:val="lowerLetter"/>
      <w:lvlText w:val="%4."/>
      <w:lvlJc w:val="left"/>
    </w:lvl>
    <w:lvl w:ilvl="4" w:tplc="06A89DAC">
      <w:start w:val="1"/>
      <w:numFmt w:val="lowerRoman"/>
      <w:lvlText w:val="%5."/>
      <w:lvlJc w:val="left"/>
    </w:lvl>
    <w:lvl w:ilvl="5" w:tplc="06A89DAC">
      <w:start w:val="1"/>
      <w:numFmt w:val="lowerRoman"/>
      <w:lvlText w:val="%6."/>
      <w:lvlJc w:val="left"/>
    </w:lvl>
    <w:lvl w:ilvl="6" w:tplc="78A4AAE2">
      <w:numFmt w:val="decimal"/>
      <w:lvlText w:val=""/>
      <w:lvlJc w:val="left"/>
    </w:lvl>
    <w:lvl w:ilvl="7" w:tplc="111225F0">
      <w:numFmt w:val="decimal"/>
      <w:lvlText w:val=""/>
      <w:lvlJc w:val="left"/>
    </w:lvl>
    <w:lvl w:ilvl="8" w:tplc="EABA9B64">
      <w:numFmt w:val="decimal"/>
      <w:lvlText w:val=""/>
      <w:lvlJc w:val="left"/>
    </w:lvl>
  </w:abstractNum>
  <w:abstractNum w:abstractNumId="868" w15:restartNumberingAfterBreak="0">
    <w:nsid w:val="00007A0C"/>
    <w:multiLevelType w:val="hybridMultilevel"/>
    <w:tmpl w:val="32FC64FE"/>
    <w:lvl w:ilvl="0" w:tplc="FF3AF336">
      <w:start w:val="4"/>
      <w:numFmt w:val="decimal"/>
      <w:lvlText w:val="%1."/>
      <w:lvlJc w:val="left"/>
    </w:lvl>
    <w:lvl w:ilvl="1" w:tplc="F4B68F32">
      <w:start w:val="1"/>
      <w:numFmt w:val="lowerLetter"/>
      <w:lvlText w:val="%2"/>
      <w:lvlJc w:val="left"/>
    </w:lvl>
    <w:lvl w:ilvl="2" w:tplc="0BEE0C74">
      <w:numFmt w:val="decimal"/>
      <w:lvlText w:val=""/>
      <w:lvlJc w:val="left"/>
    </w:lvl>
    <w:lvl w:ilvl="3" w:tplc="265C1D68">
      <w:numFmt w:val="decimal"/>
      <w:lvlText w:val=""/>
      <w:lvlJc w:val="left"/>
    </w:lvl>
    <w:lvl w:ilvl="4" w:tplc="92B4767A">
      <w:numFmt w:val="decimal"/>
      <w:lvlText w:val=""/>
      <w:lvlJc w:val="left"/>
    </w:lvl>
    <w:lvl w:ilvl="5" w:tplc="CAE2F382">
      <w:numFmt w:val="decimal"/>
      <w:lvlText w:val=""/>
      <w:lvlJc w:val="left"/>
    </w:lvl>
    <w:lvl w:ilvl="6" w:tplc="7A742948">
      <w:numFmt w:val="decimal"/>
      <w:lvlText w:val=""/>
      <w:lvlJc w:val="left"/>
    </w:lvl>
    <w:lvl w:ilvl="7" w:tplc="0CEC22CE">
      <w:numFmt w:val="decimal"/>
      <w:lvlText w:val=""/>
      <w:lvlJc w:val="left"/>
    </w:lvl>
    <w:lvl w:ilvl="8" w:tplc="7F48516A">
      <w:numFmt w:val="decimal"/>
      <w:lvlText w:val=""/>
      <w:lvlJc w:val="left"/>
    </w:lvl>
  </w:abstractNum>
  <w:abstractNum w:abstractNumId="869" w15:restartNumberingAfterBreak="0">
    <w:nsid w:val="00007A2C"/>
    <w:multiLevelType w:val="hybridMultilevel"/>
    <w:tmpl w:val="EE4EEA2C"/>
    <w:lvl w:ilvl="0" w:tplc="36106508">
      <w:start w:val="10"/>
      <w:numFmt w:val="decimal"/>
      <w:lvlText w:val="(%1)"/>
      <w:lvlJc w:val="left"/>
    </w:lvl>
    <w:lvl w:ilvl="1" w:tplc="64E86DD2">
      <w:start w:val="1"/>
      <w:numFmt w:val="lowerLetter"/>
      <w:lvlText w:val="(%2)"/>
      <w:lvlJc w:val="left"/>
    </w:lvl>
    <w:lvl w:ilvl="2" w:tplc="7A4AF080">
      <w:start w:val="1"/>
      <w:numFmt w:val="decimal"/>
      <w:lvlText w:val="%3"/>
      <w:lvlJc w:val="left"/>
    </w:lvl>
    <w:lvl w:ilvl="3" w:tplc="0B18009E">
      <w:numFmt w:val="decimal"/>
      <w:lvlText w:val=""/>
      <w:lvlJc w:val="left"/>
    </w:lvl>
    <w:lvl w:ilvl="4" w:tplc="17381DF0">
      <w:numFmt w:val="decimal"/>
      <w:lvlText w:val=""/>
      <w:lvlJc w:val="left"/>
    </w:lvl>
    <w:lvl w:ilvl="5" w:tplc="EEE461EE">
      <w:numFmt w:val="decimal"/>
      <w:lvlText w:val=""/>
      <w:lvlJc w:val="left"/>
    </w:lvl>
    <w:lvl w:ilvl="6" w:tplc="76FABB48">
      <w:numFmt w:val="decimal"/>
      <w:lvlText w:val=""/>
      <w:lvlJc w:val="left"/>
    </w:lvl>
    <w:lvl w:ilvl="7" w:tplc="297491C6">
      <w:numFmt w:val="decimal"/>
      <w:lvlText w:val=""/>
      <w:lvlJc w:val="left"/>
    </w:lvl>
    <w:lvl w:ilvl="8" w:tplc="EBFE03CE">
      <w:numFmt w:val="decimal"/>
      <w:lvlText w:val=""/>
      <w:lvlJc w:val="left"/>
    </w:lvl>
  </w:abstractNum>
  <w:abstractNum w:abstractNumId="870" w15:restartNumberingAfterBreak="0">
    <w:nsid w:val="00007A4E"/>
    <w:multiLevelType w:val="hybridMultilevel"/>
    <w:tmpl w:val="E02C927A"/>
    <w:lvl w:ilvl="0" w:tplc="B5262120">
      <w:start w:val="2"/>
      <w:numFmt w:val="lowerLetter"/>
      <w:lvlText w:val="(%1)"/>
      <w:lvlJc w:val="left"/>
    </w:lvl>
    <w:lvl w:ilvl="1" w:tplc="51FA79C0">
      <w:numFmt w:val="decimal"/>
      <w:lvlText w:val=""/>
      <w:lvlJc w:val="left"/>
    </w:lvl>
    <w:lvl w:ilvl="2" w:tplc="174AD34A">
      <w:numFmt w:val="decimal"/>
      <w:lvlText w:val=""/>
      <w:lvlJc w:val="left"/>
    </w:lvl>
    <w:lvl w:ilvl="3" w:tplc="7998421E">
      <w:numFmt w:val="decimal"/>
      <w:lvlText w:val=""/>
      <w:lvlJc w:val="left"/>
    </w:lvl>
    <w:lvl w:ilvl="4" w:tplc="DCB49992">
      <w:numFmt w:val="decimal"/>
      <w:lvlText w:val=""/>
      <w:lvlJc w:val="left"/>
    </w:lvl>
    <w:lvl w:ilvl="5" w:tplc="0882C360">
      <w:numFmt w:val="decimal"/>
      <w:lvlText w:val=""/>
      <w:lvlJc w:val="left"/>
    </w:lvl>
    <w:lvl w:ilvl="6" w:tplc="CDE6656C">
      <w:numFmt w:val="decimal"/>
      <w:lvlText w:val=""/>
      <w:lvlJc w:val="left"/>
    </w:lvl>
    <w:lvl w:ilvl="7" w:tplc="65C0D76C">
      <w:numFmt w:val="decimal"/>
      <w:lvlText w:val=""/>
      <w:lvlJc w:val="left"/>
    </w:lvl>
    <w:lvl w:ilvl="8" w:tplc="ECB69FE2">
      <w:numFmt w:val="decimal"/>
      <w:lvlText w:val=""/>
      <w:lvlJc w:val="left"/>
    </w:lvl>
  </w:abstractNum>
  <w:abstractNum w:abstractNumId="871" w15:restartNumberingAfterBreak="0">
    <w:nsid w:val="00007A4F"/>
    <w:multiLevelType w:val="hybridMultilevel"/>
    <w:tmpl w:val="514E8A02"/>
    <w:lvl w:ilvl="0" w:tplc="F5DEFF1E">
      <w:start w:val="5"/>
      <w:numFmt w:val="decimal"/>
      <w:lvlText w:val="(%1)"/>
      <w:lvlJc w:val="left"/>
    </w:lvl>
    <w:lvl w:ilvl="1" w:tplc="CD9EB158">
      <w:start w:val="1"/>
      <w:numFmt w:val="lowerLetter"/>
      <w:lvlText w:val="(%2)"/>
      <w:lvlJc w:val="left"/>
    </w:lvl>
    <w:lvl w:ilvl="2" w:tplc="0714CCF0">
      <w:start w:val="1"/>
      <w:numFmt w:val="decimal"/>
      <w:lvlText w:val="%3."/>
      <w:lvlJc w:val="left"/>
    </w:lvl>
    <w:lvl w:ilvl="3" w:tplc="9BF0D2C0">
      <w:numFmt w:val="decimal"/>
      <w:lvlText w:val=""/>
      <w:lvlJc w:val="left"/>
    </w:lvl>
    <w:lvl w:ilvl="4" w:tplc="B8067706">
      <w:numFmt w:val="decimal"/>
      <w:lvlText w:val=""/>
      <w:lvlJc w:val="left"/>
    </w:lvl>
    <w:lvl w:ilvl="5" w:tplc="9894CAD6">
      <w:numFmt w:val="decimal"/>
      <w:lvlText w:val=""/>
      <w:lvlJc w:val="left"/>
    </w:lvl>
    <w:lvl w:ilvl="6" w:tplc="0E86808C">
      <w:numFmt w:val="decimal"/>
      <w:lvlText w:val=""/>
      <w:lvlJc w:val="left"/>
    </w:lvl>
    <w:lvl w:ilvl="7" w:tplc="1A2ECDEE">
      <w:numFmt w:val="decimal"/>
      <w:lvlText w:val=""/>
      <w:lvlJc w:val="left"/>
    </w:lvl>
    <w:lvl w:ilvl="8" w:tplc="D1DA19EE">
      <w:numFmt w:val="decimal"/>
      <w:lvlText w:val=""/>
      <w:lvlJc w:val="left"/>
    </w:lvl>
  </w:abstractNum>
  <w:abstractNum w:abstractNumId="872" w15:restartNumberingAfterBreak="0">
    <w:nsid w:val="00007A74"/>
    <w:multiLevelType w:val="hybridMultilevel"/>
    <w:tmpl w:val="1F009E4E"/>
    <w:lvl w:ilvl="0" w:tplc="B9FECE80">
      <w:start w:val="3"/>
      <w:numFmt w:val="decimal"/>
      <w:lvlText w:val="%1."/>
      <w:lvlJc w:val="left"/>
    </w:lvl>
    <w:lvl w:ilvl="1" w:tplc="A2F8B116">
      <w:start w:val="1"/>
      <w:numFmt w:val="lowerLetter"/>
      <w:lvlText w:val="%2"/>
      <w:lvlJc w:val="left"/>
    </w:lvl>
    <w:lvl w:ilvl="2" w:tplc="37F4F612">
      <w:start w:val="1"/>
      <w:numFmt w:val="lowerRoman"/>
      <w:lvlText w:val="%3"/>
      <w:lvlJc w:val="left"/>
    </w:lvl>
    <w:lvl w:ilvl="3" w:tplc="D6980A90">
      <w:numFmt w:val="decimal"/>
      <w:lvlText w:val=""/>
      <w:lvlJc w:val="left"/>
    </w:lvl>
    <w:lvl w:ilvl="4" w:tplc="77380372">
      <w:numFmt w:val="decimal"/>
      <w:lvlText w:val=""/>
      <w:lvlJc w:val="left"/>
    </w:lvl>
    <w:lvl w:ilvl="5" w:tplc="648CD41A">
      <w:numFmt w:val="decimal"/>
      <w:lvlText w:val=""/>
      <w:lvlJc w:val="left"/>
    </w:lvl>
    <w:lvl w:ilvl="6" w:tplc="85186986">
      <w:numFmt w:val="decimal"/>
      <w:lvlText w:val=""/>
      <w:lvlJc w:val="left"/>
    </w:lvl>
    <w:lvl w:ilvl="7" w:tplc="C39A8F50">
      <w:numFmt w:val="decimal"/>
      <w:lvlText w:val=""/>
      <w:lvlJc w:val="left"/>
    </w:lvl>
    <w:lvl w:ilvl="8" w:tplc="8A2AFCC0">
      <w:numFmt w:val="decimal"/>
      <w:lvlText w:val=""/>
      <w:lvlJc w:val="left"/>
    </w:lvl>
  </w:abstractNum>
  <w:abstractNum w:abstractNumId="873" w15:restartNumberingAfterBreak="0">
    <w:nsid w:val="00007A77"/>
    <w:multiLevelType w:val="hybridMultilevel"/>
    <w:tmpl w:val="BCC2D156"/>
    <w:lvl w:ilvl="0" w:tplc="51742A44">
      <w:start w:val="1"/>
      <w:numFmt w:val="lowerLetter"/>
      <w:lvlText w:val="%1"/>
      <w:lvlJc w:val="left"/>
    </w:lvl>
    <w:lvl w:ilvl="1" w:tplc="E7040EAE">
      <w:start w:val="1"/>
      <w:numFmt w:val="decimal"/>
      <w:lvlText w:val="%2."/>
      <w:lvlJc w:val="left"/>
    </w:lvl>
    <w:lvl w:ilvl="2" w:tplc="687E2DB0">
      <w:start w:val="1"/>
      <w:numFmt w:val="lowerLetter"/>
      <w:lvlText w:val="%3"/>
      <w:lvlJc w:val="left"/>
    </w:lvl>
    <w:lvl w:ilvl="3" w:tplc="2DC8CDCC">
      <w:numFmt w:val="decimal"/>
      <w:lvlText w:val=""/>
      <w:lvlJc w:val="left"/>
    </w:lvl>
    <w:lvl w:ilvl="4" w:tplc="A6628CFC">
      <w:numFmt w:val="decimal"/>
      <w:lvlText w:val=""/>
      <w:lvlJc w:val="left"/>
    </w:lvl>
    <w:lvl w:ilvl="5" w:tplc="460A4CC8">
      <w:numFmt w:val="decimal"/>
      <w:lvlText w:val=""/>
      <w:lvlJc w:val="left"/>
    </w:lvl>
    <w:lvl w:ilvl="6" w:tplc="05E46DA0">
      <w:numFmt w:val="decimal"/>
      <w:lvlText w:val=""/>
      <w:lvlJc w:val="left"/>
    </w:lvl>
    <w:lvl w:ilvl="7" w:tplc="26284152">
      <w:numFmt w:val="decimal"/>
      <w:lvlText w:val=""/>
      <w:lvlJc w:val="left"/>
    </w:lvl>
    <w:lvl w:ilvl="8" w:tplc="3612B944">
      <w:numFmt w:val="decimal"/>
      <w:lvlText w:val=""/>
      <w:lvlJc w:val="left"/>
    </w:lvl>
  </w:abstractNum>
  <w:abstractNum w:abstractNumId="874" w15:restartNumberingAfterBreak="0">
    <w:nsid w:val="00007ADA"/>
    <w:multiLevelType w:val="hybridMultilevel"/>
    <w:tmpl w:val="A452635C"/>
    <w:lvl w:ilvl="0" w:tplc="600408F4">
      <w:start w:val="1"/>
      <w:numFmt w:val="decimal"/>
      <w:lvlText w:val="(%1)"/>
      <w:lvlJc w:val="left"/>
    </w:lvl>
    <w:lvl w:ilvl="1" w:tplc="F0DEFC22">
      <w:start w:val="1"/>
      <w:numFmt w:val="lowerLetter"/>
      <w:lvlText w:val="(%2)"/>
      <w:lvlJc w:val="left"/>
    </w:lvl>
    <w:lvl w:ilvl="2" w:tplc="2D846E2C">
      <w:numFmt w:val="decimal"/>
      <w:lvlText w:val=""/>
      <w:lvlJc w:val="left"/>
    </w:lvl>
    <w:lvl w:ilvl="3" w:tplc="157810FC">
      <w:numFmt w:val="decimal"/>
      <w:lvlText w:val=""/>
      <w:lvlJc w:val="left"/>
    </w:lvl>
    <w:lvl w:ilvl="4" w:tplc="E7D21218">
      <w:numFmt w:val="decimal"/>
      <w:lvlText w:val=""/>
      <w:lvlJc w:val="left"/>
    </w:lvl>
    <w:lvl w:ilvl="5" w:tplc="90B63D9E">
      <w:numFmt w:val="decimal"/>
      <w:lvlText w:val=""/>
      <w:lvlJc w:val="left"/>
    </w:lvl>
    <w:lvl w:ilvl="6" w:tplc="36083F20">
      <w:numFmt w:val="decimal"/>
      <w:lvlText w:val=""/>
      <w:lvlJc w:val="left"/>
    </w:lvl>
    <w:lvl w:ilvl="7" w:tplc="2E527008">
      <w:numFmt w:val="decimal"/>
      <w:lvlText w:val=""/>
      <w:lvlJc w:val="left"/>
    </w:lvl>
    <w:lvl w:ilvl="8" w:tplc="7374B352">
      <w:numFmt w:val="decimal"/>
      <w:lvlText w:val=""/>
      <w:lvlJc w:val="left"/>
    </w:lvl>
  </w:abstractNum>
  <w:abstractNum w:abstractNumId="875" w15:restartNumberingAfterBreak="0">
    <w:nsid w:val="00007B05"/>
    <w:multiLevelType w:val="hybridMultilevel"/>
    <w:tmpl w:val="7C52F81E"/>
    <w:lvl w:ilvl="0" w:tplc="4FA6131C">
      <w:start w:val="4"/>
      <w:numFmt w:val="decimal"/>
      <w:lvlText w:val="%1."/>
      <w:lvlJc w:val="left"/>
    </w:lvl>
    <w:lvl w:ilvl="1" w:tplc="634600B0">
      <w:numFmt w:val="decimal"/>
      <w:lvlText w:val=""/>
      <w:lvlJc w:val="left"/>
    </w:lvl>
    <w:lvl w:ilvl="2" w:tplc="CFB29F0A">
      <w:numFmt w:val="decimal"/>
      <w:lvlText w:val=""/>
      <w:lvlJc w:val="left"/>
    </w:lvl>
    <w:lvl w:ilvl="3" w:tplc="C99E2C74">
      <w:numFmt w:val="decimal"/>
      <w:lvlText w:val=""/>
      <w:lvlJc w:val="left"/>
    </w:lvl>
    <w:lvl w:ilvl="4" w:tplc="DF64A5D0">
      <w:numFmt w:val="decimal"/>
      <w:lvlText w:val=""/>
      <w:lvlJc w:val="left"/>
    </w:lvl>
    <w:lvl w:ilvl="5" w:tplc="CE3A27E0">
      <w:numFmt w:val="decimal"/>
      <w:lvlText w:val=""/>
      <w:lvlJc w:val="left"/>
    </w:lvl>
    <w:lvl w:ilvl="6" w:tplc="0EE8333A">
      <w:numFmt w:val="decimal"/>
      <w:lvlText w:val=""/>
      <w:lvlJc w:val="left"/>
    </w:lvl>
    <w:lvl w:ilvl="7" w:tplc="C8D8B054">
      <w:numFmt w:val="decimal"/>
      <w:lvlText w:val=""/>
      <w:lvlJc w:val="left"/>
    </w:lvl>
    <w:lvl w:ilvl="8" w:tplc="118EBE36">
      <w:numFmt w:val="decimal"/>
      <w:lvlText w:val=""/>
      <w:lvlJc w:val="left"/>
    </w:lvl>
  </w:abstractNum>
  <w:abstractNum w:abstractNumId="876" w15:restartNumberingAfterBreak="0">
    <w:nsid w:val="00007B09"/>
    <w:multiLevelType w:val="hybridMultilevel"/>
    <w:tmpl w:val="46883568"/>
    <w:lvl w:ilvl="0" w:tplc="530EA2D4">
      <w:start w:val="7"/>
      <w:numFmt w:val="decimal"/>
      <w:lvlText w:val="(%1)"/>
      <w:lvlJc w:val="left"/>
    </w:lvl>
    <w:lvl w:ilvl="1" w:tplc="45C89562">
      <w:start w:val="1"/>
      <w:numFmt w:val="lowerLetter"/>
      <w:lvlText w:val="(%2)"/>
      <w:lvlJc w:val="left"/>
    </w:lvl>
    <w:lvl w:ilvl="2" w:tplc="355C7C54">
      <w:start w:val="1"/>
      <w:numFmt w:val="decimal"/>
      <w:lvlText w:val="%3"/>
      <w:lvlJc w:val="left"/>
    </w:lvl>
    <w:lvl w:ilvl="3" w:tplc="1BA02488">
      <w:numFmt w:val="decimal"/>
      <w:lvlText w:val=""/>
      <w:lvlJc w:val="left"/>
    </w:lvl>
    <w:lvl w:ilvl="4" w:tplc="F17474C6">
      <w:numFmt w:val="decimal"/>
      <w:lvlText w:val=""/>
      <w:lvlJc w:val="left"/>
    </w:lvl>
    <w:lvl w:ilvl="5" w:tplc="3E9EBC8C">
      <w:numFmt w:val="decimal"/>
      <w:lvlText w:val=""/>
      <w:lvlJc w:val="left"/>
    </w:lvl>
    <w:lvl w:ilvl="6" w:tplc="BEFAF9B0">
      <w:numFmt w:val="decimal"/>
      <w:lvlText w:val=""/>
      <w:lvlJc w:val="left"/>
    </w:lvl>
    <w:lvl w:ilvl="7" w:tplc="86968FEC">
      <w:numFmt w:val="decimal"/>
      <w:lvlText w:val=""/>
      <w:lvlJc w:val="left"/>
    </w:lvl>
    <w:lvl w:ilvl="8" w:tplc="B5E6C48C">
      <w:numFmt w:val="decimal"/>
      <w:lvlText w:val=""/>
      <w:lvlJc w:val="left"/>
    </w:lvl>
  </w:abstractNum>
  <w:abstractNum w:abstractNumId="877" w15:restartNumberingAfterBreak="0">
    <w:nsid w:val="00007B2B"/>
    <w:multiLevelType w:val="hybridMultilevel"/>
    <w:tmpl w:val="28165BD6"/>
    <w:lvl w:ilvl="0" w:tplc="B734D0D8">
      <w:start w:val="1"/>
      <w:numFmt w:val="decimal"/>
      <w:lvlText w:val="%1"/>
      <w:lvlJc w:val="left"/>
    </w:lvl>
    <w:lvl w:ilvl="1" w:tplc="A35C9488">
      <w:start w:val="1"/>
      <w:numFmt w:val="lowerLetter"/>
      <w:lvlText w:val="%2"/>
      <w:lvlJc w:val="left"/>
    </w:lvl>
    <w:lvl w:ilvl="2" w:tplc="CA5CD218">
      <w:start w:val="3"/>
      <w:numFmt w:val="decimal"/>
      <w:lvlText w:val="%3."/>
      <w:lvlJc w:val="left"/>
    </w:lvl>
    <w:lvl w:ilvl="3" w:tplc="A382651A">
      <w:start w:val="1"/>
      <w:numFmt w:val="lowerLetter"/>
      <w:lvlText w:val="%4"/>
      <w:lvlJc w:val="left"/>
    </w:lvl>
    <w:lvl w:ilvl="4" w:tplc="F7AADF96">
      <w:numFmt w:val="decimal"/>
      <w:lvlText w:val=""/>
      <w:lvlJc w:val="left"/>
    </w:lvl>
    <w:lvl w:ilvl="5" w:tplc="2DDEE830">
      <w:numFmt w:val="decimal"/>
      <w:lvlText w:val=""/>
      <w:lvlJc w:val="left"/>
    </w:lvl>
    <w:lvl w:ilvl="6" w:tplc="2A546698">
      <w:numFmt w:val="decimal"/>
      <w:lvlText w:val=""/>
      <w:lvlJc w:val="left"/>
    </w:lvl>
    <w:lvl w:ilvl="7" w:tplc="6E5AF1CE">
      <w:numFmt w:val="decimal"/>
      <w:lvlText w:val=""/>
      <w:lvlJc w:val="left"/>
    </w:lvl>
    <w:lvl w:ilvl="8" w:tplc="321247E6">
      <w:numFmt w:val="decimal"/>
      <w:lvlText w:val=""/>
      <w:lvlJc w:val="left"/>
    </w:lvl>
  </w:abstractNum>
  <w:abstractNum w:abstractNumId="878" w15:restartNumberingAfterBreak="0">
    <w:nsid w:val="00007B34"/>
    <w:multiLevelType w:val="hybridMultilevel"/>
    <w:tmpl w:val="B96ACDF2"/>
    <w:lvl w:ilvl="0" w:tplc="5796A5C2">
      <w:start w:val="1"/>
      <w:numFmt w:val="decimal"/>
      <w:lvlText w:val="%1"/>
      <w:lvlJc w:val="left"/>
    </w:lvl>
    <w:lvl w:ilvl="1" w:tplc="974E2496">
      <w:start w:val="4"/>
      <w:numFmt w:val="lowerLetter"/>
      <w:lvlText w:val="(%2)"/>
      <w:lvlJc w:val="left"/>
    </w:lvl>
    <w:lvl w:ilvl="2" w:tplc="FD7AFF0E">
      <w:start w:val="1"/>
      <w:numFmt w:val="decimal"/>
      <w:lvlText w:val="%3."/>
      <w:lvlJc w:val="left"/>
    </w:lvl>
    <w:lvl w:ilvl="3" w:tplc="46F22A40">
      <w:start w:val="1"/>
      <w:numFmt w:val="lowerLetter"/>
      <w:lvlText w:val="%4"/>
      <w:lvlJc w:val="left"/>
    </w:lvl>
    <w:lvl w:ilvl="4" w:tplc="265C2272">
      <w:numFmt w:val="decimal"/>
      <w:lvlText w:val=""/>
      <w:lvlJc w:val="left"/>
    </w:lvl>
    <w:lvl w:ilvl="5" w:tplc="BA527796">
      <w:numFmt w:val="decimal"/>
      <w:lvlText w:val=""/>
      <w:lvlJc w:val="left"/>
    </w:lvl>
    <w:lvl w:ilvl="6" w:tplc="550C06B8">
      <w:numFmt w:val="decimal"/>
      <w:lvlText w:val=""/>
      <w:lvlJc w:val="left"/>
    </w:lvl>
    <w:lvl w:ilvl="7" w:tplc="1A3A8B36">
      <w:numFmt w:val="decimal"/>
      <w:lvlText w:val=""/>
      <w:lvlJc w:val="left"/>
    </w:lvl>
    <w:lvl w:ilvl="8" w:tplc="079651BC">
      <w:numFmt w:val="decimal"/>
      <w:lvlText w:val=""/>
      <w:lvlJc w:val="left"/>
    </w:lvl>
  </w:abstractNum>
  <w:abstractNum w:abstractNumId="879" w15:restartNumberingAfterBreak="0">
    <w:nsid w:val="00007B49"/>
    <w:multiLevelType w:val="hybridMultilevel"/>
    <w:tmpl w:val="92763262"/>
    <w:lvl w:ilvl="0" w:tplc="1EE81C64">
      <w:start w:val="1"/>
      <w:numFmt w:val="decimal"/>
      <w:lvlText w:val="%1"/>
      <w:lvlJc w:val="left"/>
    </w:lvl>
    <w:lvl w:ilvl="1" w:tplc="9620C212">
      <w:start w:val="4"/>
      <w:numFmt w:val="lowerLetter"/>
      <w:lvlText w:val="(%2)"/>
      <w:lvlJc w:val="left"/>
    </w:lvl>
    <w:lvl w:ilvl="2" w:tplc="D5B069EC">
      <w:start w:val="1"/>
      <w:numFmt w:val="decimal"/>
      <w:lvlText w:val="%3"/>
      <w:lvlJc w:val="left"/>
    </w:lvl>
    <w:lvl w:ilvl="3" w:tplc="F402B83E">
      <w:numFmt w:val="decimal"/>
      <w:lvlText w:val=""/>
      <w:lvlJc w:val="left"/>
    </w:lvl>
    <w:lvl w:ilvl="4" w:tplc="B1160C48">
      <w:numFmt w:val="decimal"/>
      <w:lvlText w:val=""/>
      <w:lvlJc w:val="left"/>
    </w:lvl>
    <w:lvl w:ilvl="5" w:tplc="98F8DB74">
      <w:numFmt w:val="decimal"/>
      <w:lvlText w:val=""/>
      <w:lvlJc w:val="left"/>
    </w:lvl>
    <w:lvl w:ilvl="6" w:tplc="7EB6894A">
      <w:numFmt w:val="decimal"/>
      <w:lvlText w:val=""/>
      <w:lvlJc w:val="left"/>
    </w:lvl>
    <w:lvl w:ilvl="7" w:tplc="73784884">
      <w:numFmt w:val="decimal"/>
      <w:lvlText w:val=""/>
      <w:lvlJc w:val="left"/>
    </w:lvl>
    <w:lvl w:ilvl="8" w:tplc="4A5065F2">
      <w:numFmt w:val="decimal"/>
      <w:lvlText w:val=""/>
      <w:lvlJc w:val="left"/>
    </w:lvl>
  </w:abstractNum>
  <w:abstractNum w:abstractNumId="880" w15:restartNumberingAfterBreak="0">
    <w:nsid w:val="00007B59"/>
    <w:multiLevelType w:val="hybridMultilevel"/>
    <w:tmpl w:val="AD96F7E4"/>
    <w:lvl w:ilvl="0" w:tplc="81228D94">
      <w:start w:val="3"/>
      <w:numFmt w:val="lowerLetter"/>
      <w:lvlText w:val="(%1)"/>
      <w:lvlJc w:val="left"/>
    </w:lvl>
    <w:lvl w:ilvl="1" w:tplc="DF067576">
      <w:start w:val="1"/>
      <w:numFmt w:val="decimal"/>
      <w:lvlText w:val="%2."/>
      <w:lvlJc w:val="left"/>
    </w:lvl>
    <w:lvl w:ilvl="2" w:tplc="B81CB804">
      <w:start w:val="1"/>
      <w:numFmt w:val="lowerLetter"/>
      <w:lvlText w:val="%3"/>
      <w:lvlJc w:val="left"/>
    </w:lvl>
    <w:lvl w:ilvl="3" w:tplc="1ECCF904">
      <w:numFmt w:val="decimal"/>
      <w:lvlText w:val=""/>
      <w:lvlJc w:val="left"/>
    </w:lvl>
    <w:lvl w:ilvl="4" w:tplc="BC7EE144">
      <w:numFmt w:val="decimal"/>
      <w:lvlText w:val=""/>
      <w:lvlJc w:val="left"/>
    </w:lvl>
    <w:lvl w:ilvl="5" w:tplc="9BA6D406">
      <w:numFmt w:val="decimal"/>
      <w:lvlText w:val=""/>
      <w:lvlJc w:val="left"/>
    </w:lvl>
    <w:lvl w:ilvl="6" w:tplc="A518F9EC">
      <w:numFmt w:val="decimal"/>
      <w:lvlText w:val=""/>
      <w:lvlJc w:val="left"/>
    </w:lvl>
    <w:lvl w:ilvl="7" w:tplc="7CB48A70">
      <w:numFmt w:val="decimal"/>
      <w:lvlText w:val=""/>
      <w:lvlJc w:val="left"/>
    </w:lvl>
    <w:lvl w:ilvl="8" w:tplc="91F85104">
      <w:numFmt w:val="decimal"/>
      <w:lvlText w:val=""/>
      <w:lvlJc w:val="left"/>
    </w:lvl>
  </w:abstractNum>
  <w:abstractNum w:abstractNumId="881" w15:restartNumberingAfterBreak="0">
    <w:nsid w:val="00007B67"/>
    <w:multiLevelType w:val="hybridMultilevel"/>
    <w:tmpl w:val="B0C60A88"/>
    <w:lvl w:ilvl="0" w:tplc="63A29208">
      <w:start w:val="1"/>
      <w:numFmt w:val="lowerLetter"/>
      <w:lvlText w:val="%1"/>
      <w:lvlJc w:val="left"/>
    </w:lvl>
    <w:lvl w:ilvl="1" w:tplc="A2868B58">
      <w:start w:val="2"/>
      <w:numFmt w:val="decimal"/>
      <w:lvlText w:val="%2."/>
      <w:lvlJc w:val="left"/>
    </w:lvl>
    <w:lvl w:ilvl="2" w:tplc="229AEFC4">
      <w:start w:val="1"/>
      <w:numFmt w:val="lowerLetter"/>
      <w:lvlText w:val="%3"/>
      <w:lvlJc w:val="left"/>
    </w:lvl>
    <w:lvl w:ilvl="3" w:tplc="EC46EFD4">
      <w:numFmt w:val="decimal"/>
      <w:lvlText w:val=""/>
      <w:lvlJc w:val="left"/>
    </w:lvl>
    <w:lvl w:ilvl="4" w:tplc="519E6C1C">
      <w:numFmt w:val="decimal"/>
      <w:lvlText w:val=""/>
      <w:lvlJc w:val="left"/>
    </w:lvl>
    <w:lvl w:ilvl="5" w:tplc="CD9C5DAC">
      <w:numFmt w:val="decimal"/>
      <w:lvlText w:val=""/>
      <w:lvlJc w:val="left"/>
    </w:lvl>
    <w:lvl w:ilvl="6" w:tplc="250A3EFE">
      <w:numFmt w:val="decimal"/>
      <w:lvlText w:val=""/>
      <w:lvlJc w:val="left"/>
    </w:lvl>
    <w:lvl w:ilvl="7" w:tplc="2AD6C518">
      <w:numFmt w:val="decimal"/>
      <w:lvlText w:val=""/>
      <w:lvlJc w:val="left"/>
    </w:lvl>
    <w:lvl w:ilvl="8" w:tplc="CAE09D02">
      <w:numFmt w:val="decimal"/>
      <w:lvlText w:val=""/>
      <w:lvlJc w:val="left"/>
    </w:lvl>
  </w:abstractNum>
  <w:abstractNum w:abstractNumId="882" w15:restartNumberingAfterBreak="0">
    <w:nsid w:val="00007B71"/>
    <w:multiLevelType w:val="hybridMultilevel"/>
    <w:tmpl w:val="987C44EE"/>
    <w:lvl w:ilvl="0" w:tplc="DB82BDDA">
      <w:start w:val="4"/>
      <w:numFmt w:val="decimal"/>
      <w:lvlText w:val="%1."/>
      <w:lvlJc w:val="left"/>
    </w:lvl>
    <w:lvl w:ilvl="1" w:tplc="E29048F8">
      <w:numFmt w:val="decimal"/>
      <w:lvlText w:val=""/>
      <w:lvlJc w:val="left"/>
    </w:lvl>
    <w:lvl w:ilvl="2" w:tplc="C60088BA">
      <w:numFmt w:val="decimal"/>
      <w:lvlText w:val=""/>
      <w:lvlJc w:val="left"/>
    </w:lvl>
    <w:lvl w:ilvl="3" w:tplc="F0C2DE8C">
      <w:numFmt w:val="decimal"/>
      <w:lvlText w:val=""/>
      <w:lvlJc w:val="left"/>
    </w:lvl>
    <w:lvl w:ilvl="4" w:tplc="1E76D96E">
      <w:numFmt w:val="decimal"/>
      <w:lvlText w:val=""/>
      <w:lvlJc w:val="left"/>
    </w:lvl>
    <w:lvl w:ilvl="5" w:tplc="D22213B6">
      <w:numFmt w:val="decimal"/>
      <w:lvlText w:val=""/>
      <w:lvlJc w:val="left"/>
    </w:lvl>
    <w:lvl w:ilvl="6" w:tplc="A678D1EC">
      <w:numFmt w:val="decimal"/>
      <w:lvlText w:val=""/>
      <w:lvlJc w:val="left"/>
    </w:lvl>
    <w:lvl w:ilvl="7" w:tplc="CF1C0E72">
      <w:numFmt w:val="decimal"/>
      <w:lvlText w:val=""/>
      <w:lvlJc w:val="left"/>
    </w:lvl>
    <w:lvl w:ilvl="8" w:tplc="935E1C3A">
      <w:numFmt w:val="decimal"/>
      <w:lvlText w:val=""/>
      <w:lvlJc w:val="left"/>
    </w:lvl>
  </w:abstractNum>
  <w:abstractNum w:abstractNumId="883" w15:restartNumberingAfterBreak="0">
    <w:nsid w:val="00007B9F"/>
    <w:multiLevelType w:val="hybridMultilevel"/>
    <w:tmpl w:val="B0C4E1F6"/>
    <w:lvl w:ilvl="0" w:tplc="5DFAAF76">
      <w:start w:val="1"/>
      <w:numFmt w:val="decimal"/>
      <w:lvlText w:val="%1"/>
      <w:lvlJc w:val="left"/>
    </w:lvl>
    <w:lvl w:ilvl="1" w:tplc="CD8CF54E">
      <w:start w:val="5"/>
      <w:numFmt w:val="lowerLetter"/>
      <w:lvlText w:val="(%2)"/>
      <w:lvlJc w:val="left"/>
    </w:lvl>
    <w:lvl w:ilvl="2" w:tplc="46941C92">
      <w:start w:val="1"/>
      <w:numFmt w:val="decimal"/>
      <w:lvlText w:val="%3"/>
      <w:lvlJc w:val="left"/>
    </w:lvl>
    <w:lvl w:ilvl="3" w:tplc="60D4FFC4">
      <w:start w:val="1"/>
      <w:numFmt w:val="lowerLetter"/>
      <w:lvlText w:val="%4"/>
      <w:lvlJc w:val="left"/>
    </w:lvl>
    <w:lvl w:ilvl="4" w:tplc="8F14898C">
      <w:start w:val="1"/>
      <w:numFmt w:val="lowerRoman"/>
      <w:lvlText w:val="%5"/>
      <w:lvlJc w:val="left"/>
    </w:lvl>
    <w:lvl w:ilvl="5" w:tplc="297E3A14">
      <w:numFmt w:val="decimal"/>
      <w:lvlText w:val=""/>
      <w:lvlJc w:val="left"/>
    </w:lvl>
    <w:lvl w:ilvl="6" w:tplc="A31CE09C">
      <w:numFmt w:val="decimal"/>
      <w:lvlText w:val=""/>
      <w:lvlJc w:val="left"/>
    </w:lvl>
    <w:lvl w:ilvl="7" w:tplc="4F62C850">
      <w:numFmt w:val="decimal"/>
      <w:lvlText w:val=""/>
      <w:lvlJc w:val="left"/>
    </w:lvl>
    <w:lvl w:ilvl="8" w:tplc="48C06B5C">
      <w:numFmt w:val="decimal"/>
      <w:lvlText w:val=""/>
      <w:lvlJc w:val="left"/>
    </w:lvl>
  </w:abstractNum>
  <w:abstractNum w:abstractNumId="884" w15:restartNumberingAfterBreak="0">
    <w:nsid w:val="00007C0A"/>
    <w:multiLevelType w:val="hybridMultilevel"/>
    <w:tmpl w:val="EBC6A4D6"/>
    <w:lvl w:ilvl="0" w:tplc="119E4084">
      <w:start w:val="1"/>
      <w:numFmt w:val="decimal"/>
      <w:lvlText w:val="%1"/>
      <w:lvlJc w:val="left"/>
    </w:lvl>
    <w:lvl w:ilvl="1" w:tplc="8B4C67F4">
      <w:start w:val="2"/>
      <w:numFmt w:val="lowerLetter"/>
      <w:lvlText w:val="(%2)"/>
      <w:lvlJc w:val="left"/>
    </w:lvl>
    <w:lvl w:ilvl="2" w:tplc="8B14EAA6">
      <w:start w:val="1"/>
      <w:numFmt w:val="decimal"/>
      <w:lvlText w:val="%3."/>
      <w:lvlJc w:val="left"/>
    </w:lvl>
    <w:lvl w:ilvl="3" w:tplc="95DA5E62">
      <w:start w:val="1"/>
      <w:numFmt w:val="lowerLetter"/>
      <w:lvlText w:val="%4."/>
      <w:lvlJc w:val="left"/>
    </w:lvl>
    <w:lvl w:ilvl="4" w:tplc="5740AA0E">
      <w:numFmt w:val="decimal"/>
      <w:lvlText w:val=""/>
      <w:lvlJc w:val="left"/>
    </w:lvl>
    <w:lvl w:ilvl="5" w:tplc="8E9ED34C">
      <w:numFmt w:val="decimal"/>
      <w:lvlText w:val=""/>
      <w:lvlJc w:val="left"/>
    </w:lvl>
    <w:lvl w:ilvl="6" w:tplc="A94438CA">
      <w:numFmt w:val="decimal"/>
      <w:lvlText w:val=""/>
      <w:lvlJc w:val="left"/>
    </w:lvl>
    <w:lvl w:ilvl="7" w:tplc="FCF862B6">
      <w:numFmt w:val="decimal"/>
      <w:lvlText w:val=""/>
      <w:lvlJc w:val="left"/>
    </w:lvl>
    <w:lvl w:ilvl="8" w:tplc="65BE97C2">
      <w:numFmt w:val="decimal"/>
      <w:lvlText w:val=""/>
      <w:lvlJc w:val="left"/>
    </w:lvl>
  </w:abstractNum>
  <w:abstractNum w:abstractNumId="885" w15:restartNumberingAfterBreak="0">
    <w:nsid w:val="00007C0E"/>
    <w:multiLevelType w:val="hybridMultilevel"/>
    <w:tmpl w:val="5ECC1A90"/>
    <w:lvl w:ilvl="0" w:tplc="8026AA28">
      <w:start w:val="1"/>
      <w:numFmt w:val="lowerLetter"/>
      <w:lvlText w:val="%1"/>
      <w:lvlJc w:val="left"/>
    </w:lvl>
    <w:lvl w:ilvl="1" w:tplc="72C21C78">
      <w:start w:val="1"/>
      <w:numFmt w:val="decimal"/>
      <w:lvlText w:val="%2"/>
      <w:lvlJc w:val="left"/>
    </w:lvl>
    <w:lvl w:ilvl="2" w:tplc="7046A13C">
      <w:start w:val="1"/>
      <w:numFmt w:val="lowerLetter"/>
      <w:lvlText w:val="%3."/>
      <w:lvlJc w:val="left"/>
    </w:lvl>
    <w:lvl w:ilvl="3" w:tplc="0BA621B6">
      <w:start w:val="1"/>
      <w:numFmt w:val="lowerRoman"/>
      <w:lvlText w:val="%4."/>
      <w:lvlJc w:val="left"/>
    </w:lvl>
    <w:lvl w:ilvl="4" w:tplc="9030FCD8">
      <w:numFmt w:val="decimal"/>
      <w:lvlText w:val=""/>
      <w:lvlJc w:val="left"/>
    </w:lvl>
    <w:lvl w:ilvl="5" w:tplc="93D6E5B8">
      <w:numFmt w:val="decimal"/>
      <w:lvlText w:val=""/>
      <w:lvlJc w:val="left"/>
    </w:lvl>
    <w:lvl w:ilvl="6" w:tplc="79FC2F32">
      <w:numFmt w:val="decimal"/>
      <w:lvlText w:val=""/>
      <w:lvlJc w:val="left"/>
    </w:lvl>
    <w:lvl w:ilvl="7" w:tplc="101442DC">
      <w:numFmt w:val="decimal"/>
      <w:lvlText w:val=""/>
      <w:lvlJc w:val="left"/>
    </w:lvl>
    <w:lvl w:ilvl="8" w:tplc="54606DFC">
      <w:numFmt w:val="decimal"/>
      <w:lvlText w:val=""/>
      <w:lvlJc w:val="left"/>
    </w:lvl>
  </w:abstractNum>
  <w:abstractNum w:abstractNumId="886" w15:restartNumberingAfterBreak="0">
    <w:nsid w:val="00007C42"/>
    <w:multiLevelType w:val="hybridMultilevel"/>
    <w:tmpl w:val="F32A4832"/>
    <w:lvl w:ilvl="0" w:tplc="0BAC287E">
      <w:start w:val="18"/>
      <w:numFmt w:val="decimal"/>
      <w:lvlText w:val="%1."/>
      <w:lvlJc w:val="left"/>
    </w:lvl>
    <w:lvl w:ilvl="1" w:tplc="B40EEDB2">
      <w:numFmt w:val="decimal"/>
      <w:lvlText w:val=""/>
      <w:lvlJc w:val="left"/>
    </w:lvl>
    <w:lvl w:ilvl="2" w:tplc="85E89086">
      <w:numFmt w:val="decimal"/>
      <w:lvlText w:val=""/>
      <w:lvlJc w:val="left"/>
    </w:lvl>
    <w:lvl w:ilvl="3" w:tplc="0E821048">
      <w:numFmt w:val="decimal"/>
      <w:lvlText w:val=""/>
      <w:lvlJc w:val="left"/>
    </w:lvl>
    <w:lvl w:ilvl="4" w:tplc="F118BE00">
      <w:numFmt w:val="decimal"/>
      <w:lvlText w:val=""/>
      <w:lvlJc w:val="left"/>
    </w:lvl>
    <w:lvl w:ilvl="5" w:tplc="A91AD33C">
      <w:numFmt w:val="decimal"/>
      <w:lvlText w:val=""/>
      <w:lvlJc w:val="left"/>
    </w:lvl>
    <w:lvl w:ilvl="6" w:tplc="5AB64F12">
      <w:numFmt w:val="decimal"/>
      <w:lvlText w:val=""/>
      <w:lvlJc w:val="left"/>
    </w:lvl>
    <w:lvl w:ilvl="7" w:tplc="B5C036D6">
      <w:numFmt w:val="decimal"/>
      <w:lvlText w:val=""/>
      <w:lvlJc w:val="left"/>
    </w:lvl>
    <w:lvl w:ilvl="8" w:tplc="39A4D7CE">
      <w:numFmt w:val="decimal"/>
      <w:lvlText w:val=""/>
      <w:lvlJc w:val="left"/>
    </w:lvl>
  </w:abstractNum>
  <w:abstractNum w:abstractNumId="887" w15:restartNumberingAfterBreak="0">
    <w:nsid w:val="00007C44"/>
    <w:multiLevelType w:val="hybridMultilevel"/>
    <w:tmpl w:val="A3A4615C"/>
    <w:lvl w:ilvl="0" w:tplc="8E167BE2">
      <w:start w:val="3"/>
      <w:numFmt w:val="lowerLetter"/>
      <w:lvlText w:val="(%1)"/>
      <w:lvlJc w:val="left"/>
    </w:lvl>
    <w:lvl w:ilvl="1" w:tplc="2AEABA54">
      <w:start w:val="1"/>
      <w:numFmt w:val="decimal"/>
      <w:lvlText w:val="%2."/>
      <w:lvlJc w:val="left"/>
    </w:lvl>
    <w:lvl w:ilvl="2" w:tplc="AE9C2FF4">
      <w:numFmt w:val="decimal"/>
      <w:lvlText w:val=""/>
      <w:lvlJc w:val="left"/>
    </w:lvl>
    <w:lvl w:ilvl="3" w:tplc="1666B5C0">
      <w:numFmt w:val="decimal"/>
      <w:lvlText w:val=""/>
      <w:lvlJc w:val="left"/>
    </w:lvl>
    <w:lvl w:ilvl="4" w:tplc="236C64DC">
      <w:numFmt w:val="decimal"/>
      <w:lvlText w:val=""/>
      <w:lvlJc w:val="left"/>
    </w:lvl>
    <w:lvl w:ilvl="5" w:tplc="BC9E9960">
      <w:numFmt w:val="decimal"/>
      <w:lvlText w:val=""/>
      <w:lvlJc w:val="left"/>
    </w:lvl>
    <w:lvl w:ilvl="6" w:tplc="98B4A2D2">
      <w:numFmt w:val="decimal"/>
      <w:lvlText w:val=""/>
      <w:lvlJc w:val="left"/>
    </w:lvl>
    <w:lvl w:ilvl="7" w:tplc="EE827C44">
      <w:numFmt w:val="decimal"/>
      <w:lvlText w:val=""/>
      <w:lvlJc w:val="left"/>
    </w:lvl>
    <w:lvl w:ilvl="8" w:tplc="B36CB07C">
      <w:numFmt w:val="decimal"/>
      <w:lvlText w:val=""/>
      <w:lvlJc w:val="left"/>
    </w:lvl>
  </w:abstractNum>
  <w:abstractNum w:abstractNumId="888" w15:restartNumberingAfterBreak="0">
    <w:nsid w:val="00007CA3"/>
    <w:multiLevelType w:val="hybridMultilevel"/>
    <w:tmpl w:val="29AE5B98"/>
    <w:lvl w:ilvl="0" w:tplc="CFB85B3A">
      <w:start w:val="1"/>
      <w:numFmt w:val="decimal"/>
      <w:lvlText w:val="(%1)"/>
      <w:lvlJc w:val="left"/>
    </w:lvl>
    <w:lvl w:ilvl="1" w:tplc="93883B7C">
      <w:numFmt w:val="decimal"/>
      <w:lvlText w:val=""/>
      <w:lvlJc w:val="left"/>
    </w:lvl>
    <w:lvl w:ilvl="2" w:tplc="662E60BA">
      <w:numFmt w:val="decimal"/>
      <w:lvlText w:val=""/>
      <w:lvlJc w:val="left"/>
    </w:lvl>
    <w:lvl w:ilvl="3" w:tplc="30C67EE4">
      <w:numFmt w:val="decimal"/>
      <w:lvlText w:val=""/>
      <w:lvlJc w:val="left"/>
    </w:lvl>
    <w:lvl w:ilvl="4" w:tplc="8C82C028">
      <w:numFmt w:val="decimal"/>
      <w:lvlText w:val=""/>
      <w:lvlJc w:val="left"/>
    </w:lvl>
    <w:lvl w:ilvl="5" w:tplc="774C28F0">
      <w:numFmt w:val="decimal"/>
      <w:lvlText w:val=""/>
      <w:lvlJc w:val="left"/>
    </w:lvl>
    <w:lvl w:ilvl="6" w:tplc="F44CC32E">
      <w:numFmt w:val="decimal"/>
      <w:lvlText w:val=""/>
      <w:lvlJc w:val="left"/>
    </w:lvl>
    <w:lvl w:ilvl="7" w:tplc="6B425738">
      <w:numFmt w:val="decimal"/>
      <w:lvlText w:val=""/>
      <w:lvlJc w:val="left"/>
    </w:lvl>
    <w:lvl w:ilvl="8" w:tplc="672682F0">
      <w:numFmt w:val="decimal"/>
      <w:lvlText w:val=""/>
      <w:lvlJc w:val="left"/>
    </w:lvl>
  </w:abstractNum>
  <w:abstractNum w:abstractNumId="889" w15:restartNumberingAfterBreak="0">
    <w:nsid w:val="00007CB0"/>
    <w:multiLevelType w:val="hybridMultilevel"/>
    <w:tmpl w:val="77B27170"/>
    <w:lvl w:ilvl="0" w:tplc="76E008C0">
      <w:start w:val="1"/>
      <w:numFmt w:val="decimal"/>
      <w:lvlText w:val="%1"/>
      <w:lvlJc w:val="left"/>
    </w:lvl>
    <w:lvl w:ilvl="1" w:tplc="F9DAAE2A">
      <w:start w:val="3"/>
      <w:numFmt w:val="lowerLetter"/>
      <w:lvlText w:val="%2."/>
      <w:lvlJc w:val="left"/>
    </w:lvl>
    <w:lvl w:ilvl="2" w:tplc="0C64AF7C">
      <w:numFmt w:val="decimal"/>
      <w:lvlText w:val=""/>
      <w:lvlJc w:val="left"/>
    </w:lvl>
    <w:lvl w:ilvl="3" w:tplc="DBAA9D12">
      <w:numFmt w:val="decimal"/>
      <w:lvlText w:val=""/>
      <w:lvlJc w:val="left"/>
    </w:lvl>
    <w:lvl w:ilvl="4" w:tplc="36E45758">
      <w:numFmt w:val="decimal"/>
      <w:lvlText w:val=""/>
      <w:lvlJc w:val="left"/>
    </w:lvl>
    <w:lvl w:ilvl="5" w:tplc="1FDEE0BA">
      <w:numFmt w:val="decimal"/>
      <w:lvlText w:val=""/>
      <w:lvlJc w:val="left"/>
    </w:lvl>
    <w:lvl w:ilvl="6" w:tplc="F8440684">
      <w:numFmt w:val="decimal"/>
      <w:lvlText w:val=""/>
      <w:lvlJc w:val="left"/>
    </w:lvl>
    <w:lvl w:ilvl="7" w:tplc="44CCB8F4">
      <w:numFmt w:val="decimal"/>
      <w:lvlText w:val=""/>
      <w:lvlJc w:val="left"/>
    </w:lvl>
    <w:lvl w:ilvl="8" w:tplc="134A616C">
      <w:numFmt w:val="decimal"/>
      <w:lvlText w:val=""/>
      <w:lvlJc w:val="left"/>
    </w:lvl>
  </w:abstractNum>
  <w:abstractNum w:abstractNumId="890" w15:restartNumberingAfterBreak="0">
    <w:nsid w:val="00007CCB"/>
    <w:multiLevelType w:val="hybridMultilevel"/>
    <w:tmpl w:val="7570D4E4"/>
    <w:lvl w:ilvl="0" w:tplc="AF249B9A">
      <w:start w:val="1"/>
      <w:numFmt w:val="decimal"/>
      <w:lvlText w:val="%1"/>
      <w:lvlJc w:val="left"/>
    </w:lvl>
    <w:lvl w:ilvl="1" w:tplc="FC865058">
      <w:start w:val="1"/>
      <w:numFmt w:val="lowerLetter"/>
      <w:lvlText w:val="%2"/>
      <w:lvlJc w:val="left"/>
    </w:lvl>
    <w:lvl w:ilvl="2" w:tplc="BB7CF8A0">
      <w:start w:val="3"/>
      <w:numFmt w:val="decimal"/>
      <w:lvlText w:val="%3."/>
      <w:lvlJc w:val="left"/>
    </w:lvl>
    <w:lvl w:ilvl="3" w:tplc="BA725ADA">
      <w:start w:val="1"/>
      <w:numFmt w:val="lowerLetter"/>
      <w:lvlText w:val="%4"/>
      <w:lvlJc w:val="left"/>
    </w:lvl>
    <w:lvl w:ilvl="4" w:tplc="F294B3A2">
      <w:numFmt w:val="decimal"/>
      <w:lvlText w:val=""/>
      <w:lvlJc w:val="left"/>
    </w:lvl>
    <w:lvl w:ilvl="5" w:tplc="BA6429F6">
      <w:numFmt w:val="decimal"/>
      <w:lvlText w:val=""/>
      <w:lvlJc w:val="left"/>
    </w:lvl>
    <w:lvl w:ilvl="6" w:tplc="392CCF94">
      <w:numFmt w:val="decimal"/>
      <w:lvlText w:val=""/>
      <w:lvlJc w:val="left"/>
    </w:lvl>
    <w:lvl w:ilvl="7" w:tplc="F2D67AA0">
      <w:numFmt w:val="decimal"/>
      <w:lvlText w:val=""/>
      <w:lvlJc w:val="left"/>
    </w:lvl>
    <w:lvl w:ilvl="8" w:tplc="E69ED99A">
      <w:numFmt w:val="decimal"/>
      <w:lvlText w:val=""/>
      <w:lvlJc w:val="left"/>
    </w:lvl>
  </w:abstractNum>
  <w:abstractNum w:abstractNumId="891" w15:restartNumberingAfterBreak="0">
    <w:nsid w:val="00007CED"/>
    <w:multiLevelType w:val="hybridMultilevel"/>
    <w:tmpl w:val="A3F2F12C"/>
    <w:lvl w:ilvl="0" w:tplc="E2E89590">
      <w:start w:val="12"/>
      <w:numFmt w:val="decimal"/>
      <w:lvlText w:val="(%1)"/>
      <w:lvlJc w:val="left"/>
    </w:lvl>
    <w:lvl w:ilvl="1" w:tplc="30C2C980">
      <w:start w:val="1"/>
      <w:numFmt w:val="lowerLetter"/>
      <w:lvlText w:val="(%2)"/>
      <w:lvlJc w:val="left"/>
    </w:lvl>
    <w:lvl w:ilvl="2" w:tplc="CD26D368">
      <w:start w:val="1"/>
      <w:numFmt w:val="decimal"/>
      <w:lvlText w:val="%3."/>
      <w:lvlJc w:val="left"/>
    </w:lvl>
    <w:lvl w:ilvl="3" w:tplc="CB782EA8">
      <w:numFmt w:val="decimal"/>
      <w:lvlText w:val=""/>
      <w:lvlJc w:val="left"/>
    </w:lvl>
    <w:lvl w:ilvl="4" w:tplc="4B9E5AC0">
      <w:numFmt w:val="decimal"/>
      <w:lvlText w:val=""/>
      <w:lvlJc w:val="left"/>
    </w:lvl>
    <w:lvl w:ilvl="5" w:tplc="0B1EC524">
      <w:numFmt w:val="decimal"/>
      <w:lvlText w:val=""/>
      <w:lvlJc w:val="left"/>
    </w:lvl>
    <w:lvl w:ilvl="6" w:tplc="8F88E430">
      <w:numFmt w:val="decimal"/>
      <w:lvlText w:val=""/>
      <w:lvlJc w:val="left"/>
    </w:lvl>
    <w:lvl w:ilvl="7" w:tplc="CA744C88">
      <w:numFmt w:val="decimal"/>
      <w:lvlText w:val=""/>
      <w:lvlJc w:val="left"/>
    </w:lvl>
    <w:lvl w:ilvl="8" w:tplc="63D08808">
      <w:numFmt w:val="decimal"/>
      <w:lvlText w:val=""/>
      <w:lvlJc w:val="left"/>
    </w:lvl>
  </w:abstractNum>
  <w:abstractNum w:abstractNumId="892" w15:restartNumberingAfterBreak="0">
    <w:nsid w:val="00007CEE"/>
    <w:multiLevelType w:val="hybridMultilevel"/>
    <w:tmpl w:val="6686B6C0"/>
    <w:lvl w:ilvl="0" w:tplc="9030EBA2">
      <w:start w:val="1"/>
      <w:numFmt w:val="lowerLetter"/>
      <w:lvlText w:val="%1"/>
      <w:lvlJc w:val="left"/>
    </w:lvl>
    <w:lvl w:ilvl="1" w:tplc="487E8B64">
      <w:start w:val="2"/>
      <w:numFmt w:val="decimal"/>
      <w:lvlText w:val="%2."/>
      <w:lvlJc w:val="left"/>
    </w:lvl>
    <w:lvl w:ilvl="2" w:tplc="00EA88A0">
      <w:start w:val="1"/>
      <w:numFmt w:val="lowerLetter"/>
      <w:lvlText w:val="%3"/>
      <w:lvlJc w:val="left"/>
    </w:lvl>
    <w:lvl w:ilvl="3" w:tplc="E3FE0728">
      <w:numFmt w:val="decimal"/>
      <w:lvlText w:val=""/>
      <w:lvlJc w:val="left"/>
    </w:lvl>
    <w:lvl w:ilvl="4" w:tplc="CCB2435C">
      <w:numFmt w:val="decimal"/>
      <w:lvlText w:val=""/>
      <w:lvlJc w:val="left"/>
    </w:lvl>
    <w:lvl w:ilvl="5" w:tplc="B302D048">
      <w:numFmt w:val="decimal"/>
      <w:lvlText w:val=""/>
      <w:lvlJc w:val="left"/>
    </w:lvl>
    <w:lvl w:ilvl="6" w:tplc="FF22620E">
      <w:numFmt w:val="decimal"/>
      <w:lvlText w:val=""/>
      <w:lvlJc w:val="left"/>
    </w:lvl>
    <w:lvl w:ilvl="7" w:tplc="49688E84">
      <w:numFmt w:val="decimal"/>
      <w:lvlText w:val=""/>
      <w:lvlJc w:val="left"/>
    </w:lvl>
    <w:lvl w:ilvl="8" w:tplc="D6A4F03A">
      <w:numFmt w:val="decimal"/>
      <w:lvlText w:val=""/>
      <w:lvlJc w:val="left"/>
    </w:lvl>
  </w:abstractNum>
  <w:abstractNum w:abstractNumId="893" w15:restartNumberingAfterBreak="0">
    <w:nsid w:val="00007D1D"/>
    <w:multiLevelType w:val="hybridMultilevel"/>
    <w:tmpl w:val="4D868180"/>
    <w:lvl w:ilvl="0" w:tplc="76867074">
      <w:start w:val="1"/>
      <w:numFmt w:val="decimal"/>
      <w:lvlText w:val="%1"/>
      <w:lvlJc w:val="left"/>
    </w:lvl>
    <w:lvl w:ilvl="1" w:tplc="9D427330">
      <w:start w:val="1"/>
      <w:numFmt w:val="lowerLetter"/>
      <w:lvlText w:val="%2"/>
      <w:lvlJc w:val="left"/>
    </w:lvl>
    <w:lvl w:ilvl="2" w:tplc="90B4ECB2">
      <w:start w:val="6"/>
      <w:numFmt w:val="decimal"/>
      <w:lvlText w:val="%3."/>
      <w:lvlJc w:val="left"/>
    </w:lvl>
    <w:lvl w:ilvl="3" w:tplc="13C4874C">
      <w:start w:val="1"/>
      <w:numFmt w:val="lowerLetter"/>
      <w:lvlText w:val="%4"/>
      <w:lvlJc w:val="left"/>
    </w:lvl>
    <w:lvl w:ilvl="4" w:tplc="F9DAED94">
      <w:numFmt w:val="decimal"/>
      <w:lvlText w:val=""/>
      <w:lvlJc w:val="left"/>
    </w:lvl>
    <w:lvl w:ilvl="5" w:tplc="FE56AE26">
      <w:numFmt w:val="decimal"/>
      <w:lvlText w:val=""/>
      <w:lvlJc w:val="left"/>
    </w:lvl>
    <w:lvl w:ilvl="6" w:tplc="9C2CD2EA">
      <w:numFmt w:val="decimal"/>
      <w:lvlText w:val=""/>
      <w:lvlJc w:val="left"/>
    </w:lvl>
    <w:lvl w:ilvl="7" w:tplc="E3D2B046">
      <w:numFmt w:val="decimal"/>
      <w:lvlText w:val=""/>
      <w:lvlJc w:val="left"/>
    </w:lvl>
    <w:lvl w:ilvl="8" w:tplc="F9EC5784">
      <w:numFmt w:val="decimal"/>
      <w:lvlText w:val=""/>
      <w:lvlJc w:val="left"/>
    </w:lvl>
  </w:abstractNum>
  <w:abstractNum w:abstractNumId="894" w15:restartNumberingAfterBreak="0">
    <w:nsid w:val="00007D4B"/>
    <w:multiLevelType w:val="hybridMultilevel"/>
    <w:tmpl w:val="74FAF76E"/>
    <w:lvl w:ilvl="0" w:tplc="C8B68D54">
      <w:start w:val="1"/>
      <w:numFmt w:val="decimal"/>
      <w:lvlText w:val="%1"/>
      <w:lvlJc w:val="left"/>
    </w:lvl>
    <w:lvl w:ilvl="1" w:tplc="7690D126">
      <w:numFmt w:val="decimal"/>
      <w:lvlText w:val=""/>
      <w:lvlJc w:val="left"/>
    </w:lvl>
    <w:lvl w:ilvl="2" w:tplc="50322424">
      <w:numFmt w:val="decimal"/>
      <w:lvlText w:val=""/>
      <w:lvlJc w:val="left"/>
    </w:lvl>
    <w:lvl w:ilvl="3" w:tplc="F424972A">
      <w:numFmt w:val="decimal"/>
      <w:lvlText w:val=""/>
      <w:lvlJc w:val="left"/>
    </w:lvl>
    <w:lvl w:ilvl="4" w:tplc="C798AB66">
      <w:numFmt w:val="decimal"/>
      <w:lvlText w:val=""/>
      <w:lvlJc w:val="left"/>
    </w:lvl>
    <w:lvl w:ilvl="5" w:tplc="F440BC6A">
      <w:numFmt w:val="decimal"/>
      <w:lvlText w:val=""/>
      <w:lvlJc w:val="left"/>
    </w:lvl>
    <w:lvl w:ilvl="6" w:tplc="ADF03DF8">
      <w:numFmt w:val="decimal"/>
      <w:lvlText w:val=""/>
      <w:lvlJc w:val="left"/>
    </w:lvl>
    <w:lvl w:ilvl="7" w:tplc="E2D0CC74">
      <w:numFmt w:val="decimal"/>
      <w:lvlText w:val=""/>
      <w:lvlJc w:val="left"/>
    </w:lvl>
    <w:lvl w:ilvl="8" w:tplc="33105246">
      <w:numFmt w:val="decimal"/>
      <w:lvlText w:val=""/>
      <w:lvlJc w:val="left"/>
    </w:lvl>
  </w:abstractNum>
  <w:abstractNum w:abstractNumId="895" w15:restartNumberingAfterBreak="0">
    <w:nsid w:val="00007D77"/>
    <w:multiLevelType w:val="hybridMultilevel"/>
    <w:tmpl w:val="508ED5C4"/>
    <w:lvl w:ilvl="0" w:tplc="5D608936">
      <w:start w:val="2"/>
      <w:numFmt w:val="lowerLetter"/>
      <w:lvlText w:val="(%1)"/>
      <w:lvlJc w:val="left"/>
    </w:lvl>
    <w:lvl w:ilvl="1" w:tplc="3CD64AD6">
      <w:start w:val="1"/>
      <w:numFmt w:val="decimal"/>
      <w:lvlText w:val="%2."/>
      <w:lvlJc w:val="left"/>
    </w:lvl>
    <w:lvl w:ilvl="2" w:tplc="82D487F8">
      <w:start w:val="1"/>
      <w:numFmt w:val="lowerLetter"/>
      <w:lvlText w:val="%3"/>
      <w:lvlJc w:val="left"/>
    </w:lvl>
    <w:lvl w:ilvl="3" w:tplc="BAC6CBA8">
      <w:start w:val="1"/>
      <w:numFmt w:val="lowerRoman"/>
      <w:lvlText w:val="%4"/>
      <w:lvlJc w:val="left"/>
    </w:lvl>
    <w:lvl w:ilvl="4" w:tplc="AA8E8EBC">
      <w:numFmt w:val="decimal"/>
      <w:lvlText w:val=""/>
      <w:lvlJc w:val="left"/>
    </w:lvl>
    <w:lvl w:ilvl="5" w:tplc="62386360">
      <w:numFmt w:val="decimal"/>
      <w:lvlText w:val=""/>
      <w:lvlJc w:val="left"/>
    </w:lvl>
    <w:lvl w:ilvl="6" w:tplc="BC20B2AA">
      <w:numFmt w:val="decimal"/>
      <w:lvlText w:val=""/>
      <w:lvlJc w:val="left"/>
    </w:lvl>
    <w:lvl w:ilvl="7" w:tplc="AF98F5F0">
      <w:numFmt w:val="decimal"/>
      <w:lvlText w:val=""/>
      <w:lvlJc w:val="left"/>
    </w:lvl>
    <w:lvl w:ilvl="8" w:tplc="981876F2">
      <w:numFmt w:val="decimal"/>
      <w:lvlText w:val=""/>
      <w:lvlJc w:val="left"/>
    </w:lvl>
  </w:abstractNum>
  <w:abstractNum w:abstractNumId="896" w15:restartNumberingAfterBreak="0">
    <w:nsid w:val="00007DB3"/>
    <w:multiLevelType w:val="hybridMultilevel"/>
    <w:tmpl w:val="A3A204EA"/>
    <w:lvl w:ilvl="0" w:tplc="BD760672">
      <w:start w:val="1"/>
      <w:numFmt w:val="lowerLetter"/>
      <w:lvlText w:val="(%1)"/>
      <w:lvlJc w:val="left"/>
    </w:lvl>
    <w:lvl w:ilvl="1" w:tplc="A01AAF74">
      <w:numFmt w:val="decimal"/>
      <w:lvlText w:val=""/>
      <w:lvlJc w:val="left"/>
    </w:lvl>
    <w:lvl w:ilvl="2" w:tplc="69BCB200">
      <w:numFmt w:val="decimal"/>
      <w:lvlText w:val=""/>
      <w:lvlJc w:val="left"/>
    </w:lvl>
    <w:lvl w:ilvl="3" w:tplc="434ACC92">
      <w:numFmt w:val="decimal"/>
      <w:lvlText w:val=""/>
      <w:lvlJc w:val="left"/>
    </w:lvl>
    <w:lvl w:ilvl="4" w:tplc="86A02646">
      <w:numFmt w:val="decimal"/>
      <w:lvlText w:val=""/>
      <w:lvlJc w:val="left"/>
    </w:lvl>
    <w:lvl w:ilvl="5" w:tplc="9EC4610E">
      <w:numFmt w:val="decimal"/>
      <w:lvlText w:val=""/>
      <w:lvlJc w:val="left"/>
    </w:lvl>
    <w:lvl w:ilvl="6" w:tplc="C798A192">
      <w:numFmt w:val="decimal"/>
      <w:lvlText w:val=""/>
      <w:lvlJc w:val="left"/>
    </w:lvl>
    <w:lvl w:ilvl="7" w:tplc="E1C00CF8">
      <w:numFmt w:val="decimal"/>
      <w:lvlText w:val=""/>
      <w:lvlJc w:val="left"/>
    </w:lvl>
    <w:lvl w:ilvl="8" w:tplc="D3D4F1E2">
      <w:numFmt w:val="decimal"/>
      <w:lvlText w:val=""/>
      <w:lvlJc w:val="left"/>
    </w:lvl>
  </w:abstractNum>
  <w:abstractNum w:abstractNumId="897" w15:restartNumberingAfterBreak="0">
    <w:nsid w:val="00007DB6"/>
    <w:multiLevelType w:val="hybridMultilevel"/>
    <w:tmpl w:val="EC2CDF56"/>
    <w:lvl w:ilvl="0" w:tplc="9F065AFC">
      <w:start w:val="1"/>
      <w:numFmt w:val="lowerLetter"/>
      <w:lvlText w:val="%1"/>
      <w:lvlJc w:val="left"/>
    </w:lvl>
    <w:lvl w:ilvl="1" w:tplc="DA30F238">
      <w:start w:val="2"/>
      <w:numFmt w:val="decimal"/>
      <w:lvlText w:val="%2."/>
      <w:lvlJc w:val="left"/>
    </w:lvl>
    <w:lvl w:ilvl="2" w:tplc="F6A80F76">
      <w:start w:val="1"/>
      <w:numFmt w:val="lowerLetter"/>
      <w:lvlText w:val="%3"/>
      <w:lvlJc w:val="left"/>
    </w:lvl>
    <w:lvl w:ilvl="3" w:tplc="9376A7B2">
      <w:numFmt w:val="decimal"/>
      <w:lvlText w:val=""/>
      <w:lvlJc w:val="left"/>
    </w:lvl>
    <w:lvl w:ilvl="4" w:tplc="F4F27E58">
      <w:numFmt w:val="decimal"/>
      <w:lvlText w:val=""/>
      <w:lvlJc w:val="left"/>
    </w:lvl>
    <w:lvl w:ilvl="5" w:tplc="8A1A6BA4">
      <w:numFmt w:val="decimal"/>
      <w:lvlText w:val=""/>
      <w:lvlJc w:val="left"/>
    </w:lvl>
    <w:lvl w:ilvl="6" w:tplc="F51A9AD6">
      <w:numFmt w:val="decimal"/>
      <w:lvlText w:val=""/>
      <w:lvlJc w:val="left"/>
    </w:lvl>
    <w:lvl w:ilvl="7" w:tplc="A04E771A">
      <w:numFmt w:val="decimal"/>
      <w:lvlText w:val=""/>
      <w:lvlJc w:val="left"/>
    </w:lvl>
    <w:lvl w:ilvl="8" w:tplc="8866106C">
      <w:numFmt w:val="decimal"/>
      <w:lvlText w:val=""/>
      <w:lvlJc w:val="left"/>
    </w:lvl>
  </w:abstractNum>
  <w:abstractNum w:abstractNumId="898" w15:restartNumberingAfterBreak="0">
    <w:nsid w:val="00007DC4"/>
    <w:multiLevelType w:val="hybridMultilevel"/>
    <w:tmpl w:val="5E2C57CE"/>
    <w:lvl w:ilvl="0" w:tplc="CEF05E4A">
      <w:start w:val="1"/>
      <w:numFmt w:val="lowerLetter"/>
      <w:lvlText w:val="%1"/>
      <w:lvlJc w:val="left"/>
    </w:lvl>
    <w:lvl w:ilvl="1" w:tplc="B19A0532">
      <w:start w:val="1"/>
      <w:numFmt w:val="decimal"/>
      <w:lvlText w:val="%2."/>
      <w:lvlJc w:val="left"/>
    </w:lvl>
    <w:lvl w:ilvl="2" w:tplc="87C2A9C8">
      <w:start w:val="1"/>
      <w:numFmt w:val="lowerLetter"/>
      <w:lvlText w:val="%3"/>
      <w:lvlJc w:val="left"/>
    </w:lvl>
    <w:lvl w:ilvl="3" w:tplc="0D0E2BFE">
      <w:numFmt w:val="decimal"/>
      <w:lvlText w:val=""/>
      <w:lvlJc w:val="left"/>
    </w:lvl>
    <w:lvl w:ilvl="4" w:tplc="28D02B94">
      <w:numFmt w:val="decimal"/>
      <w:lvlText w:val=""/>
      <w:lvlJc w:val="left"/>
    </w:lvl>
    <w:lvl w:ilvl="5" w:tplc="4CC8EF64">
      <w:numFmt w:val="decimal"/>
      <w:lvlText w:val=""/>
      <w:lvlJc w:val="left"/>
    </w:lvl>
    <w:lvl w:ilvl="6" w:tplc="7A301CD4">
      <w:numFmt w:val="decimal"/>
      <w:lvlText w:val=""/>
      <w:lvlJc w:val="left"/>
    </w:lvl>
    <w:lvl w:ilvl="7" w:tplc="4DD8DF6E">
      <w:numFmt w:val="decimal"/>
      <w:lvlText w:val=""/>
      <w:lvlJc w:val="left"/>
    </w:lvl>
    <w:lvl w:ilvl="8" w:tplc="32B0EAD6">
      <w:numFmt w:val="decimal"/>
      <w:lvlText w:val=""/>
      <w:lvlJc w:val="left"/>
    </w:lvl>
  </w:abstractNum>
  <w:abstractNum w:abstractNumId="899" w15:restartNumberingAfterBreak="0">
    <w:nsid w:val="00007DD1"/>
    <w:multiLevelType w:val="hybridMultilevel"/>
    <w:tmpl w:val="E98097E8"/>
    <w:lvl w:ilvl="0" w:tplc="22D21AE4">
      <w:start w:val="1"/>
      <w:numFmt w:val="decimal"/>
      <w:lvlText w:val="%1"/>
      <w:lvlJc w:val="left"/>
    </w:lvl>
    <w:lvl w:ilvl="1" w:tplc="0358A2CC">
      <w:start w:val="3"/>
      <w:numFmt w:val="lowerLetter"/>
      <w:lvlText w:val="(%2)"/>
      <w:lvlJc w:val="left"/>
    </w:lvl>
    <w:lvl w:ilvl="2" w:tplc="F08AA58E">
      <w:start w:val="1"/>
      <w:numFmt w:val="decimal"/>
      <w:lvlText w:val="%3"/>
      <w:lvlJc w:val="left"/>
    </w:lvl>
    <w:lvl w:ilvl="3" w:tplc="E9C6155E">
      <w:start w:val="1"/>
      <w:numFmt w:val="lowerLetter"/>
      <w:lvlText w:val="%4"/>
      <w:lvlJc w:val="left"/>
    </w:lvl>
    <w:lvl w:ilvl="4" w:tplc="F546462E">
      <w:numFmt w:val="decimal"/>
      <w:lvlText w:val=""/>
      <w:lvlJc w:val="left"/>
    </w:lvl>
    <w:lvl w:ilvl="5" w:tplc="E7DEF528">
      <w:numFmt w:val="decimal"/>
      <w:lvlText w:val=""/>
      <w:lvlJc w:val="left"/>
    </w:lvl>
    <w:lvl w:ilvl="6" w:tplc="91D4E50E">
      <w:numFmt w:val="decimal"/>
      <w:lvlText w:val=""/>
      <w:lvlJc w:val="left"/>
    </w:lvl>
    <w:lvl w:ilvl="7" w:tplc="E1BA51A6">
      <w:numFmt w:val="decimal"/>
      <w:lvlText w:val=""/>
      <w:lvlJc w:val="left"/>
    </w:lvl>
    <w:lvl w:ilvl="8" w:tplc="9CC23CC2">
      <w:numFmt w:val="decimal"/>
      <w:lvlText w:val=""/>
      <w:lvlJc w:val="left"/>
    </w:lvl>
  </w:abstractNum>
  <w:abstractNum w:abstractNumId="900" w15:restartNumberingAfterBreak="0">
    <w:nsid w:val="00007E74"/>
    <w:multiLevelType w:val="hybridMultilevel"/>
    <w:tmpl w:val="DD2808A0"/>
    <w:lvl w:ilvl="0" w:tplc="303A7EBE">
      <w:start w:val="1"/>
      <w:numFmt w:val="lowerLetter"/>
      <w:lvlText w:val="%1"/>
      <w:lvlJc w:val="left"/>
    </w:lvl>
    <w:lvl w:ilvl="1" w:tplc="BF28DD24">
      <w:start w:val="6"/>
      <w:numFmt w:val="decimal"/>
      <w:lvlText w:val="%2."/>
      <w:lvlJc w:val="left"/>
    </w:lvl>
    <w:lvl w:ilvl="2" w:tplc="6BC6217A">
      <w:numFmt w:val="decimal"/>
      <w:lvlText w:val=""/>
      <w:lvlJc w:val="left"/>
    </w:lvl>
    <w:lvl w:ilvl="3" w:tplc="CD6AD34A">
      <w:numFmt w:val="decimal"/>
      <w:lvlText w:val=""/>
      <w:lvlJc w:val="left"/>
    </w:lvl>
    <w:lvl w:ilvl="4" w:tplc="3C0E587A">
      <w:numFmt w:val="decimal"/>
      <w:lvlText w:val=""/>
      <w:lvlJc w:val="left"/>
    </w:lvl>
    <w:lvl w:ilvl="5" w:tplc="B3F8A42E">
      <w:numFmt w:val="decimal"/>
      <w:lvlText w:val=""/>
      <w:lvlJc w:val="left"/>
    </w:lvl>
    <w:lvl w:ilvl="6" w:tplc="1FF43F4E">
      <w:numFmt w:val="decimal"/>
      <w:lvlText w:val=""/>
      <w:lvlJc w:val="left"/>
    </w:lvl>
    <w:lvl w:ilvl="7" w:tplc="0FEC0EC4">
      <w:numFmt w:val="decimal"/>
      <w:lvlText w:val=""/>
      <w:lvlJc w:val="left"/>
    </w:lvl>
    <w:lvl w:ilvl="8" w:tplc="DB9C6A1E">
      <w:numFmt w:val="decimal"/>
      <w:lvlText w:val=""/>
      <w:lvlJc w:val="left"/>
    </w:lvl>
  </w:abstractNum>
  <w:abstractNum w:abstractNumId="901" w15:restartNumberingAfterBreak="0">
    <w:nsid w:val="00007EF2"/>
    <w:multiLevelType w:val="hybridMultilevel"/>
    <w:tmpl w:val="9522BA68"/>
    <w:lvl w:ilvl="0" w:tplc="CF022870">
      <w:start w:val="310"/>
      <w:numFmt w:val="decimal"/>
      <w:lvlText w:val="%1"/>
      <w:lvlJc w:val="left"/>
    </w:lvl>
    <w:lvl w:ilvl="1" w:tplc="A35C82C2">
      <w:start w:val="1"/>
      <w:numFmt w:val="lowerLetter"/>
      <w:lvlText w:val="%2."/>
      <w:lvlJc w:val="left"/>
    </w:lvl>
    <w:lvl w:ilvl="2" w:tplc="F0822E3E">
      <w:numFmt w:val="decimal"/>
      <w:lvlText w:val=""/>
      <w:lvlJc w:val="left"/>
    </w:lvl>
    <w:lvl w:ilvl="3" w:tplc="68AE5944">
      <w:numFmt w:val="decimal"/>
      <w:lvlText w:val=""/>
      <w:lvlJc w:val="left"/>
    </w:lvl>
    <w:lvl w:ilvl="4" w:tplc="E564F410">
      <w:numFmt w:val="decimal"/>
      <w:lvlText w:val=""/>
      <w:lvlJc w:val="left"/>
    </w:lvl>
    <w:lvl w:ilvl="5" w:tplc="BD6E996E">
      <w:numFmt w:val="decimal"/>
      <w:lvlText w:val=""/>
      <w:lvlJc w:val="left"/>
    </w:lvl>
    <w:lvl w:ilvl="6" w:tplc="89C03350">
      <w:numFmt w:val="decimal"/>
      <w:lvlText w:val=""/>
      <w:lvlJc w:val="left"/>
    </w:lvl>
    <w:lvl w:ilvl="7" w:tplc="E5A6D394">
      <w:numFmt w:val="decimal"/>
      <w:lvlText w:val=""/>
      <w:lvlJc w:val="left"/>
    </w:lvl>
    <w:lvl w:ilvl="8" w:tplc="5356741E">
      <w:numFmt w:val="decimal"/>
      <w:lvlText w:val=""/>
      <w:lvlJc w:val="left"/>
    </w:lvl>
  </w:abstractNum>
  <w:abstractNum w:abstractNumId="902" w15:restartNumberingAfterBreak="0">
    <w:nsid w:val="00007F10"/>
    <w:multiLevelType w:val="hybridMultilevel"/>
    <w:tmpl w:val="6EE84218"/>
    <w:lvl w:ilvl="0" w:tplc="F43C340C">
      <w:start w:val="1"/>
      <w:numFmt w:val="decimal"/>
      <w:lvlText w:val="%1"/>
      <w:lvlJc w:val="left"/>
      <w:rPr>
        <w:vertAlign w:val="superscript"/>
      </w:rPr>
    </w:lvl>
    <w:lvl w:ilvl="1" w:tplc="E9DC4D50">
      <w:numFmt w:val="decimal"/>
      <w:lvlText w:val=""/>
      <w:lvlJc w:val="left"/>
    </w:lvl>
    <w:lvl w:ilvl="2" w:tplc="45182694">
      <w:numFmt w:val="decimal"/>
      <w:lvlText w:val=""/>
      <w:lvlJc w:val="left"/>
    </w:lvl>
    <w:lvl w:ilvl="3" w:tplc="4E4083FE">
      <w:numFmt w:val="decimal"/>
      <w:lvlText w:val=""/>
      <w:lvlJc w:val="left"/>
    </w:lvl>
    <w:lvl w:ilvl="4" w:tplc="0F14BFF8">
      <w:numFmt w:val="decimal"/>
      <w:lvlText w:val=""/>
      <w:lvlJc w:val="left"/>
    </w:lvl>
    <w:lvl w:ilvl="5" w:tplc="008C3A9E">
      <w:numFmt w:val="decimal"/>
      <w:lvlText w:val=""/>
      <w:lvlJc w:val="left"/>
    </w:lvl>
    <w:lvl w:ilvl="6" w:tplc="1486B20C">
      <w:numFmt w:val="decimal"/>
      <w:lvlText w:val=""/>
      <w:lvlJc w:val="left"/>
    </w:lvl>
    <w:lvl w:ilvl="7" w:tplc="F53471E2">
      <w:numFmt w:val="decimal"/>
      <w:lvlText w:val=""/>
      <w:lvlJc w:val="left"/>
    </w:lvl>
    <w:lvl w:ilvl="8" w:tplc="75D87F58">
      <w:numFmt w:val="decimal"/>
      <w:lvlText w:val=""/>
      <w:lvlJc w:val="left"/>
    </w:lvl>
  </w:abstractNum>
  <w:abstractNum w:abstractNumId="903" w15:restartNumberingAfterBreak="0">
    <w:nsid w:val="00007F20"/>
    <w:multiLevelType w:val="hybridMultilevel"/>
    <w:tmpl w:val="F7DC35FC"/>
    <w:lvl w:ilvl="0" w:tplc="75026100">
      <w:start w:val="1"/>
      <w:numFmt w:val="decimal"/>
      <w:lvlText w:val="%1"/>
      <w:lvlJc w:val="left"/>
    </w:lvl>
    <w:lvl w:ilvl="1" w:tplc="D774F726">
      <w:start w:val="1"/>
      <w:numFmt w:val="lowerLetter"/>
      <w:lvlText w:val="%2"/>
      <w:lvlJc w:val="left"/>
    </w:lvl>
    <w:lvl w:ilvl="2" w:tplc="DEBA3C6A">
      <w:start w:val="1"/>
      <w:numFmt w:val="decimal"/>
      <w:lvlText w:val="%3."/>
      <w:lvlJc w:val="left"/>
      <w:rPr>
        <w:rFonts w:hint="default"/>
      </w:rPr>
    </w:lvl>
    <w:lvl w:ilvl="3" w:tplc="16BEFA7C">
      <w:numFmt w:val="decimal"/>
      <w:lvlText w:val=""/>
      <w:lvlJc w:val="left"/>
    </w:lvl>
    <w:lvl w:ilvl="4" w:tplc="04347DBC">
      <w:numFmt w:val="decimal"/>
      <w:lvlText w:val=""/>
      <w:lvlJc w:val="left"/>
    </w:lvl>
    <w:lvl w:ilvl="5" w:tplc="F6861C28">
      <w:numFmt w:val="decimal"/>
      <w:lvlText w:val=""/>
      <w:lvlJc w:val="left"/>
    </w:lvl>
    <w:lvl w:ilvl="6" w:tplc="86142832">
      <w:numFmt w:val="decimal"/>
      <w:lvlText w:val=""/>
      <w:lvlJc w:val="left"/>
    </w:lvl>
    <w:lvl w:ilvl="7" w:tplc="7EECB764">
      <w:numFmt w:val="decimal"/>
      <w:lvlText w:val=""/>
      <w:lvlJc w:val="left"/>
    </w:lvl>
    <w:lvl w:ilvl="8" w:tplc="259420E6">
      <w:numFmt w:val="decimal"/>
      <w:lvlText w:val=""/>
      <w:lvlJc w:val="left"/>
    </w:lvl>
  </w:abstractNum>
  <w:abstractNum w:abstractNumId="904" w15:restartNumberingAfterBreak="0">
    <w:nsid w:val="00007F48"/>
    <w:multiLevelType w:val="hybridMultilevel"/>
    <w:tmpl w:val="E66A22AA"/>
    <w:lvl w:ilvl="0" w:tplc="C902D98E">
      <w:start w:val="1"/>
      <w:numFmt w:val="bullet"/>
      <w:lvlText w:val="•"/>
      <w:lvlJc w:val="left"/>
    </w:lvl>
    <w:lvl w:ilvl="1" w:tplc="A2922ECE">
      <w:numFmt w:val="decimal"/>
      <w:lvlText w:val=""/>
      <w:lvlJc w:val="left"/>
    </w:lvl>
    <w:lvl w:ilvl="2" w:tplc="FEA0E314">
      <w:numFmt w:val="decimal"/>
      <w:lvlText w:val=""/>
      <w:lvlJc w:val="left"/>
    </w:lvl>
    <w:lvl w:ilvl="3" w:tplc="3A9AB206">
      <w:numFmt w:val="decimal"/>
      <w:lvlText w:val=""/>
      <w:lvlJc w:val="left"/>
    </w:lvl>
    <w:lvl w:ilvl="4" w:tplc="FC9CADCA">
      <w:numFmt w:val="decimal"/>
      <w:lvlText w:val=""/>
      <w:lvlJc w:val="left"/>
    </w:lvl>
    <w:lvl w:ilvl="5" w:tplc="CA8E46FA">
      <w:numFmt w:val="decimal"/>
      <w:lvlText w:val=""/>
      <w:lvlJc w:val="left"/>
    </w:lvl>
    <w:lvl w:ilvl="6" w:tplc="46CED896">
      <w:numFmt w:val="decimal"/>
      <w:lvlText w:val=""/>
      <w:lvlJc w:val="left"/>
    </w:lvl>
    <w:lvl w:ilvl="7" w:tplc="B0680FF6">
      <w:numFmt w:val="decimal"/>
      <w:lvlText w:val=""/>
      <w:lvlJc w:val="left"/>
    </w:lvl>
    <w:lvl w:ilvl="8" w:tplc="C178B818">
      <w:numFmt w:val="decimal"/>
      <w:lvlText w:val=""/>
      <w:lvlJc w:val="left"/>
    </w:lvl>
  </w:abstractNum>
  <w:abstractNum w:abstractNumId="905" w15:restartNumberingAfterBreak="0">
    <w:nsid w:val="00007F4C"/>
    <w:multiLevelType w:val="hybridMultilevel"/>
    <w:tmpl w:val="7278EF92"/>
    <w:lvl w:ilvl="0" w:tplc="5B30CF74">
      <w:start w:val="2"/>
      <w:numFmt w:val="lowerLetter"/>
      <w:lvlText w:val="%1."/>
      <w:lvlJc w:val="left"/>
    </w:lvl>
    <w:lvl w:ilvl="1" w:tplc="14F2DCDC">
      <w:numFmt w:val="decimal"/>
      <w:lvlText w:val=""/>
      <w:lvlJc w:val="left"/>
    </w:lvl>
    <w:lvl w:ilvl="2" w:tplc="8D687AD8">
      <w:numFmt w:val="decimal"/>
      <w:lvlText w:val=""/>
      <w:lvlJc w:val="left"/>
    </w:lvl>
    <w:lvl w:ilvl="3" w:tplc="3BAED69C">
      <w:numFmt w:val="decimal"/>
      <w:lvlText w:val=""/>
      <w:lvlJc w:val="left"/>
    </w:lvl>
    <w:lvl w:ilvl="4" w:tplc="A656E37A">
      <w:numFmt w:val="decimal"/>
      <w:lvlText w:val=""/>
      <w:lvlJc w:val="left"/>
    </w:lvl>
    <w:lvl w:ilvl="5" w:tplc="597A21DC">
      <w:numFmt w:val="decimal"/>
      <w:lvlText w:val=""/>
      <w:lvlJc w:val="left"/>
    </w:lvl>
    <w:lvl w:ilvl="6" w:tplc="5D087E54">
      <w:numFmt w:val="decimal"/>
      <w:lvlText w:val=""/>
      <w:lvlJc w:val="left"/>
    </w:lvl>
    <w:lvl w:ilvl="7" w:tplc="D9923A46">
      <w:numFmt w:val="decimal"/>
      <w:lvlText w:val=""/>
      <w:lvlJc w:val="left"/>
    </w:lvl>
    <w:lvl w:ilvl="8" w:tplc="D7FED5E0">
      <w:numFmt w:val="decimal"/>
      <w:lvlText w:val=""/>
      <w:lvlJc w:val="left"/>
    </w:lvl>
  </w:abstractNum>
  <w:abstractNum w:abstractNumId="906" w15:restartNumberingAfterBreak="0">
    <w:nsid w:val="00007F5F"/>
    <w:multiLevelType w:val="hybridMultilevel"/>
    <w:tmpl w:val="90326386"/>
    <w:lvl w:ilvl="0" w:tplc="68F4D55E">
      <w:start w:val="1"/>
      <w:numFmt w:val="lowerLetter"/>
      <w:lvlText w:val="%1"/>
      <w:lvlJc w:val="left"/>
    </w:lvl>
    <w:lvl w:ilvl="1" w:tplc="34284528">
      <w:numFmt w:val="decimal"/>
      <w:lvlText w:val=""/>
      <w:lvlJc w:val="left"/>
    </w:lvl>
    <w:lvl w:ilvl="2" w:tplc="7F1A6E52">
      <w:numFmt w:val="decimal"/>
      <w:lvlText w:val=""/>
      <w:lvlJc w:val="left"/>
    </w:lvl>
    <w:lvl w:ilvl="3" w:tplc="9B9AD6A8">
      <w:numFmt w:val="decimal"/>
      <w:lvlText w:val=""/>
      <w:lvlJc w:val="left"/>
    </w:lvl>
    <w:lvl w:ilvl="4" w:tplc="6BBC8D00">
      <w:numFmt w:val="decimal"/>
      <w:lvlText w:val=""/>
      <w:lvlJc w:val="left"/>
    </w:lvl>
    <w:lvl w:ilvl="5" w:tplc="CF987BEC">
      <w:numFmt w:val="decimal"/>
      <w:lvlText w:val=""/>
      <w:lvlJc w:val="left"/>
    </w:lvl>
    <w:lvl w:ilvl="6" w:tplc="7DD4908A">
      <w:numFmt w:val="decimal"/>
      <w:lvlText w:val=""/>
      <w:lvlJc w:val="left"/>
    </w:lvl>
    <w:lvl w:ilvl="7" w:tplc="80C818BC">
      <w:numFmt w:val="decimal"/>
      <w:lvlText w:val=""/>
      <w:lvlJc w:val="left"/>
    </w:lvl>
    <w:lvl w:ilvl="8" w:tplc="6B145B0E">
      <w:numFmt w:val="decimal"/>
      <w:lvlText w:val=""/>
      <w:lvlJc w:val="left"/>
    </w:lvl>
  </w:abstractNum>
  <w:abstractNum w:abstractNumId="907" w15:restartNumberingAfterBreak="0">
    <w:nsid w:val="00007F63"/>
    <w:multiLevelType w:val="hybridMultilevel"/>
    <w:tmpl w:val="0EF4F602"/>
    <w:lvl w:ilvl="0" w:tplc="5BF05E00">
      <w:start w:val="7"/>
      <w:numFmt w:val="decimal"/>
      <w:lvlText w:val="%1"/>
      <w:lvlJc w:val="left"/>
      <w:rPr>
        <w:vertAlign w:val="superscript"/>
      </w:rPr>
    </w:lvl>
    <w:lvl w:ilvl="1" w:tplc="67B87B6C">
      <w:numFmt w:val="decimal"/>
      <w:lvlText w:val=""/>
      <w:lvlJc w:val="left"/>
    </w:lvl>
    <w:lvl w:ilvl="2" w:tplc="737CB5EA">
      <w:numFmt w:val="decimal"/>
      <w:lvlText w:val=""/>
      <w:lvlJc w:val="left"/>
    </w:lvl>
    <w:lvl w:ilvl="3" w:tplc="61323490">
      <w:numFmt w:val="decimal"/>
      <w:lvlText w:val=""/>
      <w:lvlJc w:val="left"/>
    </w:lvl>
    <w:lvl w:ilvl="4" w:tplc="DA78D88A">
      <w:numFmt w:val="decimal"/>
      <w:lvlText w:val=""/>
      <w:lvlJc w:val="left"/>
    </w:lvl>
    <w:lvl w:ilvl="5" w:tplc="9D30E6BA">
      <w:numFmt w:val="decimal"/>
      <w:lvlText w:val=""/>
      <w:lvlJc w:val="left"/>
    </w:lvl>
    <w:lvl w:ilvl="6" w:tplc="19005406">
      <w:numFmt w:val="decimal"/>
      <w:lvlText w:val=""/>
      <w:lvlJc w:val="left"/>
    </w:lvl>
    <w:lvl w:ilvl="7" w:tplc="F0102A62">
      <w:numFmt w:val="decimal"/>
      <w:lvlText w:val=""/>
      <w:lvlJc w:val="left"/>
    </w:lvl>
    <w:lvl w:ilvl="8" w:tplc="61207EDC">
      <w:numFmt w:val="decimal"/>
      <w:lvlText w:val=""/>
      <w:lvlJc w:val="left"/>
    </w:lvl>
  </w:abstractNum>
  <w:abstractNum w:abstractNumId="908" w15:restartNumberingAfterBreak="0">
    <w:nsid w:val="00007F9F"/>
    <w:multiLevelType w:val="hybridMultilevel"/>
    <w:tmpl w:val="F7586CD8"/>
    <w:lvl w:ilvl="0" w:tplc="1DF45E9C">
      <w:start w:val="1"/>
      <w:numFmt w:val="decimal"/>
      <w:lvlText w:val="%1"/>
      <w:lvlJc w:val="left"/>
    </w:lvl>
    <w:lvl w:ilvl="1" w:tplc="E690A37C">
      <w:start w:val="2"/>
      <w:numFmt w:val="lowerLetter"/>
      <w:lvlText w:val="%2."/>
      <w:lvlJc w:val="left"/>
    </w:lvl>
    <w:lvl w:ilvl="2" w:tplc="7AFA6CB8">
      <w:numFmt w:val="decimal"/>
      <w:lvlText w:val=""/>
      <w:lvlJc w:val="left"/>
    </w:lvl>
    <w:lvl w:ilvl="3" w:tplc="704A57E2">
      <w:numFmt w:val="decimal"/>
      <w:lvlText w:val=""/>
      <w:lvlJc w:val="left"/>
    </w:lvl>
    <w:lvl w:ilvl="4" w:tplc="E07A4BA8">
      <w:numFmt w:val="decimal"/>
      <w:lvlText w:val=""/>
      <w:lvlJc w:val="left"/>
    </w:lvl>
    <w:lvl w:ilvl="5" w:tplc="B9625BD2">
      <w:numFmt w:val="decimal"/>
      <w:lvlText w:val=""/>
      <w:lvlJc w:val="left"/>
    </w:lvl>
    <w:lvl w:ilvl="6" w:tplc="10B2E7EA">
      <w:numFmt w:val="decimal"/>
      <w:lvlText w:val=""/>
      <w:lvlJc w:val="left"/>
    </w:lvl>
    <w:lvl w:ilvl="7" w:tplc="9BE8A280">
      <w:numFmt w:val="decimal"/>
      <w:lvlText w:val=""/>
      <w:lvlJc w:val="left"/>
    </w:lvl>
    <w:lvl w:ilvl="8" w:tplc="991C2F00">
      <w:numFmt w:val="decimal"/>
      <w:lvlText w:val=""/>
      <w:lvlJc w:val="left"/>
    </w:lvl>
  </w:abstractNum>
  <w:abstractNum w:abstractNumId="909" w15:restartNumberingAfterBreak="0">
    <w:nsid w:val="00007FC3"/>
    <w:multiLevelType w:val="hybridMultilevel"/>
    <w:tmpl w:val="12CEC232"/>
    <w:lvl w:ilvl="0" w:tplc="AC280FAE">
      <w:start w:val="8"/>
      <w:numFmt w:val="decimal"/>
      <w:lvlText w:val="(%1)"/>
      <w:lvlJc w:val="left"/>
    </w:lvl>
    <w:lvl w:ilvl="1" w:tplc="F89E689A">
      <w:start w:val="1"/>
      <w:numFmt w:val="lowerLetter"/>
      <w:lvlText w:val="(%2)"/>
      <w:lvlJc w:val="left"/>
    </w:lvl>
    <w:lvl w:ilvl="2" w:tplc="5AFA9E06">
      <w:start w:val="1"/>
      <w:numFmt w:val="decimal"/>
      <w:lvlText w:val="%3."/>
      <w:lvlJc w:val="left"/>
    </w:lvl>
    <w:lvl w:ilvl="3" w:tplc="F76C7F58">
      <w:start w:val="1"/>
      <w:numFmt w:val="lowerLetter"/>
      <w:lvlText w:val="%4."/>
      <w:lvlJc w:val="left"/>
    </w:lvl>
    <w:lvl w:ilvl="4" w:tplc="E16CA28A">
      <w:numFmt w:val="decimal"/>
      <w:lvlText w:val=""/>
      <w:lvlJc w:val="left"/>
    </w:lvl>
    <w:lvl w:ilvl="5" w:tplc="2D4C4B76">
      <w:numFmt w:val="decimal"/>
      <w:lvlText w:val=""/>
      <w:lvlJc w:val="left"/>
    </w:lvl>
    <w:lvl w:ilvl="6" w:tplc="401E3234">
      <w:numFmt w:val="decimal"/>
      <w:lvlText w:val=""/>
      <w:lvlJc w:val="left"/>
    </w:lvl>
    <w:lvl w:ilvl="7" w:tplc="629A209E">
      <w:numFmt w:val="decimal"/>
      <w:lvlText w:val=""/>
      <w:lvlJc w:val="left"/>
    </w:lvl>
    <w:lvl w:ilvl="8" w:tplc="B2B8E89C">
      <w:numFmt w:val="decimal"/>
      <w:lvlText w:val=""/>
      <w:lvlJc w:val="left"/>
    </w:lvl>
  </w:abstractNum>
  <w:abstractNum w:abstractNumId="910" w15:restartNumberingAfterBreak="0">
    <w:nsid w:val="00007FCE"/>
    <w:multiLevelType w:val="hybridMultilevel"/>
    <w:tmpl w:val="ED6E342C"/>
    <w:lvl w:ilvl="0" w:tplc="EA240B60">
      <w:start w:val="2"/>
      <w:numFmt w:val="lowerLetter"/>
      <w:lvlText w:val="(%1)"/>
      <w:lvlJc w:val="left"/>
    </w:lvl>
    <w:lvl w:ilvl="1" w:tplc="C75824D4">
      <w:start w:val="1"/>
      <w:numFmt w:val="decimal"/>
      <w:lvlText w:val="%2"/>
      <w:lvlJc w:val="left"/>
    </w:lvl>
    <w:lvl w:ilvl="2" w:tplc="2612E86A">
      <w:start w:val="1"/>
      <w:numFmt w:val="lowerLetter"/>
      <w:lvlText w:val="%3"/>
      <w:lvlJc w:val="left"/>
    </w:lvl>
    <w:lvl w:ilvl="3" w:tplc="C1F208B6">
      <w:numFmt w:val="decimal"/>
      <w:lvlText w:val=""/>
      <w:lvlJc w:val="left"/>
    </w:lvl>
    <w:lvl w:ilvl="4" w:tplc="815C0686">
      <w:numFmt w:val="decimal"/>
      <w:lvlText w:val=""/>
      <w:lvlJc w:val="left"/>
    </w:lvl>
    <w:lvl w:ilvl="5" w:tplc="92229906">
      <w:numFmt w:val="decimal"/>
      <w:lvlText w:val=""/>
      <w:lvlJc w:val="left"/>
    </w:lvl>
    <w:lvl w:ilvl="6" w:tplc="E57A3016">
      <w:numFmt w:val="decimal"/>
      <w:lvlText w:val=""/>
      <w:lvlJc w:val="left"/>
    </w:lvl>
    <w:lvl w:ilvl="7" w:tplc="4600D886">
      <w:numFmt w:val="decimal"/>
      <w:lvlText w:val=""/>
      <w:lvlJc w:val="left"/>
    </w:lvl>
    <w:lvl w:ilvl="8" w:tplc="4890096A">
      <w:numFmt w:val="decimal"/>
      <w:lvlText w:val=""/>
      <w:lvlJc w:val="left"/>
    </w:lvl>
  </w:abstractNum>
  <w:abstractNum w:abstractNumId="911" w15:restartNumberingAfterBreak="0">
    <w:nsid w:val="00007FF4"/>
    <w:multiLevelType w:val="hybridMultilevel"/>
    <w:tmpl w:val="C9DED134"/>
    <w:lvl w:ilvl="0" w:tplc="74C2C144">
      <w:start w:val="1"/>
      <w:numFmt w:val="decimal"/>
      <w:lvlText w:val="%1"/>
      <w:lvlJc w:val="left"/>
    </w:lvl>
    <w:lvl w:ilvl="1" w:tplc="036C9F12">
      <w:start w:val="1"/>
      <w:numFmt w:val="lowerLetter"/>
      <w:lvlText w:val="%2"/>
      <w:lvlJc w:val="left"/>
    </w:lvl>
    <w:lvl w:ilvl="2" w:tplc="EAC4173C">
      <w:start w:val="4"/>
      <w:numFmt w:val="decimal"/>
      <w:lvlText w:val="%3."/>
      <w:lvlJc w:val="left"/>
    </w:lvl>
    <w:lvl w:ilvl="3" w:tplc="C15A1726">
      <w:start w:val="1"/>
      <w:numFmt w:val="lowerLetter"/>
      <w:lvlText w:val="%4"/>
      <w:lvlJc w:val="left"/>
    </w:lvl>
    <w:lvl w:ilvl="4" w:tplc="91EA62FA">
      <w:numFmt w:val="decimal"/>
      <w:lvlText w:val=""/>
      <w:lvlJc w:val="left"/>
    </w:lvl>
    <w:lvl w:ilvl="5" w:tplc="B0A42D86">
      <w:numFmt w:val="decimal"/>
      <w:lvlText w:val=""/>
      <w:lvlJc w:val="left"/>
    </w:lvl>
    <w:lvl w:ilvl="6" w:tplc="E4148E4C">
      <w:numFmt w:val="decimal"/>
      <w:lvlText w:val=""/>
      <w:lvlJc w:val="left"/>
    </w:lvl>
    <w:lvl w:ilvl="7" w:tplc="9D7E572E">
      <w:numFmt w:val="decimal"/>
      <w:lvlText w:val=""/>
      <w:lvlJc w:val="left"/>
    </w:lvl>
    <w:lvl w:ilvl="8" w:tplc="1242B862">
      <w:numFmt w:val="decimal"/>
      <w:lvlText w:val=""/>
      <w:lvlJc w:val="left"/>
    </w:lvl>
  </w:abstractNum>
  <w:abstractNum w:abstractNumId="912" w15:restartNumberingAfterBreak="0">
    <w:nsid w:val="000F76AA"/>
    <w:multiLevelType w:val="hybridMultilevel"/>
    <w:tmpl w:val="5F8E4912"/>
    <w:lvl w:ilvl="0" w:tplc="0C0810AC">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3" w15:restartNumberingAfterBreak="0">
    <w:nsid w:val="002B180A"/>
    <w:multiLevelType w:val="hybridMultilevel"/>
    <w:tmpl w:val="CDA480DA"/>
    <w:lvl w:ilvl="0" w:tplc="36F00812">
      <w:start w:val="13"/>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4" w15:restartNumberingAfterBreak="0">
    <w:nsid w:val="005B5564"/>
    <w:multiLevelType w:val="hybridMultilevel"/>
    <w:tmpl w:val="36688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5" w15:restartNumberingAfterBreak="0">
    <w:nsid w:val="008E035A"/>
    <w:multiLevelType w:val="hybridMultilevel"/>
    <w:tmpl w:val="8B8C0ECE"/>
    <w:lvl w:ilvl="0" w:tplc="BC7ED580">
      <w:start w:val="1"/>
      <w:numFmt w:val="decimal"/>
      <w:lvlText w:val="%1."/>
      <w:lvlJc w:val="left"/>
      <w:pPr>
        <w:ind w:left="0" w:firstLine="0"/>
      </w:pPr>
      <w:rPr>
        <w:rFonts w:hint="default"/>
        <w:strike w:val="0"/>
        <w:dstrike w:val="0"/>
        <w:sz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6" w15:restartNumberingAfterBreak="0">
    <w:nsid w:val="012105C8"/>
    <w:multiLevelType w:val="hybridMultilevel"/>
    <w:tmpl w:val="DF02E470"/>
    <w:lvl w:ilvl="0" w:tplc="0409000F">
      <w:start w:val="1"/>
      <w:numFmt w:val="decimal"/>
      <w:lvlText w:val="%1."/>
      <w:lvlJc w:val="left"/>
      <w:pPr>
        <w:ind w:left="2635" w:hanging="360"/>
      </w:pPr>
    </w:lvl>
    <w:lvl w:ilvl="1" w:tplc="04090019" w:tentative="1">
      <w:start w:val="1"/>
      <w:numFmt w:val="lowerLetter"/>
      <w:lvlText w:val="%2."/>
      <w:lvlJc w:val="left"/>
      <w:pPr>
        <w:ind w:left="3355" w:hanging="360"/>
      </w:pPr>
    </w:lvl>
    <w:lvl w:ilvl="2" w:tplc="0409001B" w:tentative="1">
      <w:start w:val="1"/>
      <w:numFmt w:val="lowerRoman"/>
      <w:lvlText w:val="%3."/>
      <w:lvlJc w:val="right"/>
      <w:pPr>
        <w:ind w:left="4075" w:hanging="180"/>
      </w:pPr>
    </w:lvl>
    <w:lvl w:ilvl="3" w:tplc="0409000F" w:tentative="1">
      <w:start w:val="1"/>
      <w:numFmt w:val="decimal"/>
      <w:lvlText w:val="%4."/>
      <w:lvlJc w:val="left"/>
      <w:pPr>
        <w:ind w:left="4795" w:hanging="360"/>
      </w:pPr>
    </w:lvl>
    <w:lvl w:ilvl="4" w:tplc="04090019" w:tentative="1">
      <w:start w:val="1"/>
      <w:numFmt w:val="lowerLetter"/>
      <w:lvlText w:val="%5."/>
      <w:lvlJc w:val="left"/>
      <w:pPr>
        <w:ind w:left="5515" w:hanging="360"/>
      </w:pPr>
    </w:lvl>
    <w:lvl w:ilvl="5" w:tplc="0409001B" w:tentative="1">
      <w:start w:val="1"/>
      <w:numFmt w:val="lowerRoman"/>
      <w:lvlText w:val="%6."/>
      <w:lvlJc w:val="right"/>
      <w:pPr>
        <w:ind w:left="6235" w:hanging="180"/>
      </w:pPr>
    </w:lvl>
    <w:lvl w:ilvl="6" w:tplc="0409000F" w:tentative="1">
      <w:start w:val="1"/>
      <w:numFmt w:val="decimal"/>
      <w:lvlText w:val="%7."/>
      <w:lvlJc w:val="left"/>
      <w:pPr>
        <w:ind w:left="6955" w:hanging="360"/>
      </w:pPr>
    </w:lvl>
    <w:lvl w:ilvl="7" w:tplc="04090019" w:tentative="1">
      <w:start w:val="1"/>
      <w:numFmt w:val="lowerLetter"/>
      <w:lvlText w:val="%8."/>
      <w:lvlJc w:val="left"/>
      <w:pPr>
        <w:ind w:left="7675" w:hanging="360"/>
      </w:pPr>
    </w:lvl>
    <w:lvl w:ilvl="8" w:tplc="0409001B" w:tentative="1">
      <w:start w:val="1"/>
      <w:numFmt w:val="lowerRoman"/>
      <w:lvlText w:val="%9."/>
      <w:lvlJc w:val="right"/>
      <w:pPr>
        <w:ind w:left="8395" w:hanging="180"/>
      </w:pPr>
    </w:lvl>
  </w:abstractNum>
  <w:abstractNum w:abstractNumId="917" w15:restartNumberingAfterBreak="0">
    <w:nsid w:val="015542C7"/>
    <w:multiLevelType w:val="hybridMultilevel"/>
    <w:tmpl w:val="D660A718"/>
    <w:lvl w:ilvl="0" w:tplc="04090019">
      <w:start w:val="1"/>
      <w:numFmt w:val="lowerLetter"/>
      <w:lvlText w:val="%1."/>
      <w:lvlJc w:val="left"/>
      <w:pPr>
        <w:ind w:left="2640" w:hanging="360"/>
      </w:pPr>
    </w:lvl>
    <w:lvl w:ilvl="1" w:tplc="04090019">
      <w:start w:val="1"/>
      <w:numFmt w:val="lowerLetter"/>
      <w:lvlText w:val="%2."/>
      <w:lvlJc w:val="left"/>
      <w:pPr>
        <w:ind w:left="3360" w:hanging="360"/>
      </w:pPr>
    </w:lvl>
    <w:lvl w:ilvl="2" w:tplc="0409001B">
      <w:start w:val="1"/>
      <w:numFmt w:val="lowerRoman"/>
      <w:lvlText w:val="%3."/>
      <w:lvlJc w:val="right"/>
      <w:pPr>
        <w:ind w:left="4080" w:hanging="180"/>
      </w:pPr>
    </w:lvl>
    <w:lvl w:ilvl="3" w:tplc="0409000F">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918" w15:restartNumberingAfterBreak="0">
    <w:nsid w:val="01BC4B04"/>
    <w:multiLevelType w:val="hybridMultilevel"/>
    <w:tmpl w:val="BEB0EEE0"/>
    <w:lvl w:ilvl="0" w:tplc="A13CFEA0">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9" w15:restartNumberingAfterBreak="0">
    <w:nsid w:val="02332064"/>
    <w:multiLevelType w:val="multilevel"/>
    <w:tmpl w:val="B0DA3B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0" w15:restartNumberingAfterBreak="0">
    <w:nsid w:val="026C2883"/>
    <w:multiLevelType w:val="hybridMultilevel"/>
    <w:tmpl w:val="392A6C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1" w15:restartNumberingAfterBreak="0">
    <w:nsid w:val="03806EA3"/>
    <w:multiLevelType w:val="hybridMultilevel"/>
    <w:tmpl w:val="A9B4020A"/>
    <w:lvl w:ilvl="0" w:tplc="45D68E8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2" w15:restartNumberingAfterBreak="0">
    <w:nsid w:val="0391048D"/>
    <w:multiLevelType w:val="hybridMultilevel"/>
    <w:tmpl w:val="8BE2EC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3" w15:restartNumberingAfterBreak="0">
    <w:nsid w:val="040570BE"/>
    <w:multiLevelType w:val="hybridMultilevel"/>
    <w:tmpl w:val="D0C6DD40"/>
    <w:lvl w:ilvl="0" w:tplc="04090019">
      <w:start w:val="1"/>
      <w:numFmt w:val="lowerLetter"/>
      <w:lvlText w:val="%1."/>
      <w:lvlJc w:val="left"/>
      <w:pPr>
        <w:ind w:left="3715" w:hanging="360"/>
      </w:pPr>
    </w:lvl>
    <w:lvl w:ilvl="1" w:tplc="04090019" w:tentative="1">
      <w:start w:val="1"/>
      <w:numFmt w:val="lowerLetter"/>
      <w:lvlText w:val="%2."/>
      <w:lvlJc w:val="left"/>
      <w:pPr>
        <w:ind w:left="4435" w:hanging="360"/>
      </w:pPr>
    </w:lvl>
    <w:lvl w:ilvl="2" w:tplc="0409001B" w:tentative="1">
      <w:start w:val="1"/>
      <w:numFmt w:val="lowerRoman"/>
      <w:lvlText w:val="%3."/>
      <w:lvlJc w:val="right"/>
      <w:pPr>
        <w:ind w:left="5155" w:hanging="180"/>
      </w:pPr>
    </w:lvl>
    <w:lvl w:ilvl="3" w:tplc="0409000F" w:tentative="1">
      <w:start w:val="1"/>
      <w:numFmt w:val="decimal"/>
      <w:lvlText w:val="%4."/>
      <w:lvlJc w:val="left"/>
      <w:pPr>
        <w:ind w:left="5875" w:hanging="360"/>
      </w:pPr>
    </w:lvl>
    <w:lvl w:ilvl="4" w:tplc="04090019" w:tentative="1">
      <w:start w:val="1"/>
      <w:numFmt w:val="lowerLetter"/>
      <w:lvlText w:val="%5."/>
      <w:lvlJc w:val="left"/>
      <w:pPr>
        <w:ind w:left="6595" w:hanging="360"/>
      </w:pPr>
    </w:lvl>
    <w:lvl w:ilvl="5" w:tplc="0409001B" w:tentative="1">
      <w:start w:val="1"/>
      <w:numFmt w:val="lowerRoman"/>
      <w:lvlText w:val="%6."/>
      <w:lvlJc w:val="right"/>
      <w:pPr>
        <w:ind w:left="7315" w:hanging="180"/>
      </w:pPr>
    </w:lvl>
    <w:lvl w:ilvl="6" w:tplc="0409000F" w:tentative="1">
      <w:start w:val="1"/>
      <w:numFmt w:val="decimal"/>
      <w:lvlText w:val="%7."/>
      <w:lvlJc w:val="left"/>
      <w:pPr>
        <w:ind w:left="8035" w:hanging="360"/>
      </w:pPr>
    </w:lvl>
    <w:lvl w:ilvl="7" w:tplc="04090019" w:tentative="1">
      <w:start w:val="1"/>
      <w:numFmt w:val="lowerLetter"/>
      <w:lvlText w:val="%8."/>
      <w:lvlJc w:val="left"/>
      <w:pPr>
        <w:ind w:left="8755" w:hanging="360"/>
      </w:pPr>
    </w:lvl>
    <w:lvl w:ilvl="8" w:tplc="0409001B" w:tentative="1">
      <w:start w:val="1"/>
      <w:numFmt w:val="lowerRoman"/>
      <w:lvlText w:val="%9."/>
      <w:lvlJc w:val="right"/>
      <w:pPr>
        <w:ind w:left="9475" w:hanging="180"/>
      </w:pPr>
    </w:lvl>
  </w:abstractNum>
  <w:abstractNum w:abstractNumId="924" w15:restartNumberingAfterBreak="0">
    <w:nsid w:val="0488129D"/>
    <w:multiLevelType w:val="hybridMultilevel"/>
    <w:tmpl w:val="8B48CAD2"/>
    <w:lvl w:ilvl="0" w:tplc="A7D05FEC">
      <w:start w:val="1"/>
      <w:numFmt w:val="lowerLetter"/>
      <w:lvlText w:val="(%1)"/>
      <w:lvlJc w:val="left"/>
      <w:pPr>
        <w:ind w:left="2335" w:hanging="360"/>
      </w:pPr>
    </w:lvl>
    <w:lvl w:ilvl="1" w:tplc="04090019">
      <w:start w:val="1"/>
      <w:numFmt w:val="lowerLetter"/>
      <w:lvlText w:val="%2."/>
      <w:lvlJc w:val="left"/>
      <w:pPr>
        <w:ind w:left="3055" w:hanging="360"/>
      </w:pPr>
    </w:lvl>
    <w:lvl w:ilvl="2" w:tplc="0409001B" w:tentative="1">
      <w:start w:val="1"/>
      <w:numFmt w:val="lowerRoman"/>
      <w:lvlText w:val="%3."/>
      <w:lvlJc w:val="right"/>
      <w:pPr>
        <w:ind w:left="3775" w:hanging="180"/>
      </w:pPr>
    </w:lvl>
    <w:lvl w:ilvl="3" w:tplc="0409000F" w:tentative="1">
      <w:start w:val="1"/>
      <w:numFmt w:val="decimal"/>
      <w:lvlText w:val="%4."/>
      <w:lvlJc w:val="left"/>
      <w:pPr>
        <w:ind w:left="4495" w:hanging="360"/>
      </w:pPr>
    </w:lvl>
    <w:lvl w:ilvl="4" w:tplc="04090019" w:tentative="1">
      <w:start w:val="1"/>
      <w:numFmt w:val="lowerLetter"/>
      <w:lvlText w:val="%5."/>
      <w:lvlJc w:val="left"/>
      <w:pPr>
        <w:ind w:left="5215" w:hanging="360"/>
      </w:pPr>
    </w:lvl>
    <w:lvl w:ilvl="5" w:tplc="0409001B" w:tentative="1">
      <w:start w:val="1"/>
      <w:numFmt w:val="lowerRoman"/>
      <w:lvlText w:val="%6."/>
      <w:lvlJc w:val="right"/>
      <w:pPr>
        <w:ind w:left="5935" w:hanging="180"/>
      </w:pPr>
    </w:lvl>
    <w:lvl w:ilvl="6" w:tplc="0409000F" w:tentative="1">
      <w:start w:val="1"/>
      <w:numFmt w:val="decimal"/>
      <w:lvlText w:val="%7."/>
      <w:lvlJc w:val="left"/>
      <w:pPr>
        <w:ind w:left="6655" w:hanging="360"/>
      </w:pPr>
    </w:lvl>
    <w:lvl w:ilvl="7" w:tplc="04090019" w:tentative="1">
      <w:start w:val="1"/>
      <w:numFmt w:val="lowerLetter"/>
      <w:lvlText w:val="%8."/>
      <w:lvlJc w:val="left"/>
      <w:pPr>
        <w:ind w:left="7375" w:hanging="360"/>
      </w:pPr>
    </w:lvl>
    <w:lvl w:ilvl="8" w:tplc="0409001B" w:tentative="1">
      <w:start w:val="1"/>
      <w:numFmt w:val="lowerRoman"/>
      <w:lvlText w:val="%9."/>
      <w:lvlJc w:val="right"/>
      <w:pPr>
        <w:ind w:left="8095" w:hanging="180"/>
      </w:pPr>
    </w:lvl>
  </w:abstractNum>
  <w:abstractNum w:abstractNumId="925" w15:restartNumberingAfterBreak="0">
    <w:nsid w:val="05A06844"/>
    <w:multiLevelType w:val="multilevel"/>
    <w:tmpl w:val="AC582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6" w15:restartNumberingAfterBreak="0">
    <w:nsid w:val="0796276B"/>
    <w:multiLevelType w:val="hybridMultilevel"/>
    <w:tmpl w:val="3650FBC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7" w15:restartNumberingAfterBreak="0">
    <w:nsid w:val="081C5661"/>
    <w:multiLevelType w:val="hybridMultilevel"/>
    <w:tmpl w:val="19425258"/>
    <w:lvl w:ilvl="0" w:tplc="4328B226">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8" w15:restartNumberingAfterBreak="0">
    <w:nsid w:val="08D216BF"/>
    <w:multiLevelType w:val="hybridMultilevel"/>
    <w:tmpl w:val="8FCE5180"/>
    <w:lvl w:ilvl="0" w:tplc="72BC0AC2">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9" w15:restartNumberingAfterBreak="0">
    <w:nsid w:val="09DD072F"/>
    <w:multiLevelType w:val="hybridMultilevel"/>
    <w:tmpl w:val="9B50CB8A"/>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0F">
      <w:start w:val="1"/>
      <w:numFmt w:val="decimal"/>
      <w:lvlText w:val="%3."/>
      <w:lvlJc w:val="left"/>
      <w:pPr>
        <w:ind w:left="1890" w:hanging="180"/>
      </w:pPr>
    </w:lvl>
    <w:lvl w:ilvl="3" w:tplc="04090019">
      <w:start w:val="1"/>
      <w:numFmt w:val="lowerLetter"/>
      <w:lvlText w:val="%4."/>
      <w:lvlJc w:val="left"/>
      <w:pPr>
        <w:ind w:left="1440" w:hanging="360"/>
      </w:pPr>
    </w:lvl>
    <w:lvl w:ilvl="4" w:tplc="04090019">
      <w:start w:val="1"/>
      <w:numFmt w:val="lowerLetter"/>
      <w:lvlText w:val="%5."/>
      <w:lvlJc w:val="left"/>
      <w:pPr>
        <w:ind w:left="117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0" w15:restartNumberingAfterBreak="0">
    <w:nsid w:val="0A021637"/>
    <w:multiLevelType w:val="hybridMultilevel"/>
    <w:tmpl w:val="DB38784C"/>
    <w:lvl w:ilvl="0" w:tplc="531E26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1" w15:restartNumberingAfterBreak="0">
    <w:nsid w:val="0A6E4B90"/>
    <w:multiLevelType w:val="hybridMultilevel"/>
    <w:tmpl w:val="8FF4E802"/>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2" w15:restartNumberingAfterBreak="0">
    <w:nsid w:val="0A9114BF"/>
    <w:multiLevelType w:val="hybridMultilevel"/>
    <w:tmpl w:val="7422CB46"/>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3" w15:restartNumberingAfterBreak="0">
    <w:nsid w:val="0B1306CF"/>
    <w:multiLevelType w:val="hybridMultilevel"/>
    <w:tmpl w:val="D99E35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4" w15:restartNumberingAfterBreak="0">
    <w:nsid w:val="0C3504AC"/>
    <w:multiLevelType w:val="hybridMultilevel"/>
    <w:tmpl w:val="1924E40C"/>
    <w:lvl w:ilvl="0" w:tplc="FDAE9CB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5" w15:restartNumberingAfterBreak="0">
    <w:nsid w:val="0C3C0017"/>
    <w:multiLevelType w:val="hybridMultilevel"/>
    <w:tmpl w:val="2A2AFB32"/>
    <w:lvl w:ilvl="0" w:tplc="BF0268F0">
      <w:start w:val="1"/>
      <w:numFmt w:val="lowerLetter"/>
      <w:lvlText w:val="%1."/>
      <w:lvlJc w:val="left"/>
      <w:pPr>
        <w:ind w:left="2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6" w15:restartNumberingAfterBreak="0">
    <w:nsid w:val="0D215437"/>
    <w:multiLevelType w:val="hybridMultilevel"/>
    <w:tmpl w:val="22D82C80"/>
    <w:lvl w:ilvl="0" w:tplc="04090019">
      <w:start w:val="1"/>
      <w:numFmt w:val="lowerLetter"/>
      <w:lvlText w:val="%1."/>
      <w:lvlJc w:val="left"/>
      <w:pPr>
        <w:ind w:left="-7920" w:hanging="360"/>
      </w:pPr>
    </w:lvl>
    <w:lvl w:ilvl="1" w:tplc="04090019">
      <w:start w:val="1"/>
      <w:numFmt w:val="lowerLetter"/>
      <w:lvlText w:val="%2."/>
      <w:lvlJc w:val="left"/>
      <w:pPr>
        <w:ind w:left="-720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2160" w:hanging="180"/>
      </w:pPr>
    </w:lvl>
  </w:abstractNum>
  <w:abstractNum w:abstractNumId="937" w15:restartNumberingAfterBreak="0">
    <w:nsid w:val="0E741DCF"/>
    <w:multiLevelType w:val="hybridMultilevel"/>
    <w:tmpl w:val="C94C21D8"/>
    <w:lvl w:ilvl="0" w:tplc="535A04E2">
      <w:start w:val="1"/>
      <w:numFmt w:val="decimal"/>
      <w:lvlText w:val="%1"/>
      <w:lvlJc w:val="left"/>
      <w:rPr>
        <w:rFonts w:hint="default"/>
      </w:rPr>
    </w:lvl>
    <w:lvl w:ilvl="1" w:tplc="04090019" w:tentative="1">
      <w:start w:val="1"/>
      <w:numFmt w:val="lowerLetter"/>
      <w:lvlText w:val="%2."/>
      <w:lvlJc w:val="left"/>
      <w:pPr>
        <w:ind w:left="80" w:hanging="360"/>
      </w:pPr>
    </w:lvl>
    <w:lvl w:ilvl="2" w:tplc="0409001B" w:tentative="1">
      <w:start w:val="1"/>
      <w:numFmt w:val="lowerRoman"/>
      <w:lvlText w:val="%3."/>
      <w:lvlJc w:val="right"/>
      <w:pPr>
        <w:ind w:left="800" w:hanging="180"/>
      </w:pPr>
    </w:lvl>
    <w:lvl w:ilvl="3" w:tplc="0409000F" w:tentative="1">
      <w:start w:val="1"/>
      <w:numFmt w:val="decimal"/>
      <w:lvlText w:val="%4."/>
      <w:lvlJc w:val="left"/>
      <w:pPr>
        <w:ind w:left="1520" w:hanging="360"/>
      </w:pPr>
    </w:lvl>
    <w:lvl w:ilvl="4" w:tplc="04090019" w:tentative="1">
      <w:start w:val="1"/>
      <w:numFmt w:val="lowerLetter"/>
      <w:lvlText w:val="%5."/>
      <w:lvlJc w:val="left"/>
      <w:pPr>
        <w:ind w:left="2240" w:hanging="360"/>
      </w:pPr>
    </w:lvl>
    <w:lvl w:ilvl="5" w:tplc="0409001B" w:tentative="1">
      <w:start w:val="1"/>
      <w:numFmt w:val="lowerRoman"/>
      <w:lvlText w:val="%6."/>
      <w:lvlJc w:val="right"/>
      <w:pPr>
        <w:ind w:left="2960" w:hanging="180"/>
      </w:pPr>
    </w:lvl>
    <w:lvl w:ilvl="6" w:tplc="0409000F" w:tentative="1">
      <w:start w:val="1"/>
      <w:numFmt w:val="decimal"/>
      <w:lvlText w:val="%7."/>
      <w:lvlJc w:val="left"/>
      <w:pPr>
        <w:ind w:left="3680" w:hanging="360"/>
      </w:pPr>
    </w:lvl>
    <w:lvl w:ilvl="7" w:tplc="04090019" w:tentative="1">
      <w:start w:val="1"/>
      <w:numFmt w:val="lowerLetter"/>
      <w:lvlText w:val="%8."/>
      <w:lvlJc w:val="left"/>
      <w:pPr>
        <w:ind w:left="4400" w:hanging="360"/>
      </w:pPr>
    </w:lvl>
    <w:lvl w:ilvl="8" w:tplc="0409001B" w:tentative="1">
      <w:start w:val="1"/>
      <w:numFmt w:val="lowerRoman"/>
      <w:lvlText w:val="%9."/>
      <w:lvlJc w:val="right"/>
      <w:pPr>
        <w:ind w:left="5120" w:hanging="180"/>
      </w:pPr>
    </w:lvl>
  </w:abstractNum>
  <w:abstractNum w:abstractNumId="938" w15:restartNumberingAfterBreak="0">
    <w:nsid w:val="0F0B514C"/>
    <w:multiLevelType w:val="hybridMultilevel"/>
    <w:tmpl w:val="80969134"/>
    <w:lvl w:ilvl="0" w:tplc="FFFFFFFF">
      <w:start w:val="6"/>
      <w:numFmt w:val="decimal"/>
      <w:lvlText w:val="(%1)"/>
      <w:lvlJc w:val="left"/>
    </w:lvl>
    <w:lvl w:ilvl="1" w:tplc="FFFFFFFF">
      <w:start w:val="1"/>
      <w:numFmt w:val="lowerLetter"/>
      <w:lvlText w:val="(%2)"/>
      <w:lvlJc w:val="left"/>
    </w:lvl>
    <w:lvl w:ilvl="2" w:tplc="FFFFFFFF">
      <w:start w:val="1"/>
      <w:numFmt w:val="decimal"/>
      <w:lvlText w:val="%3."/>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9" w15:restartNumberingAfterBreak="0">
    <w:nsid w:val="0F1D6B42"/>
    <w:multiLevelType w:val="hybridMultilevel"/>
    <w:tmpl w:val="1E004202"/>
    <w:lvl w:ilvl="0" w:tplc="98F809E6">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0" w15:restartNumberingAfterBreak="0">
    <w:nsid w:val="0FED2762"/>
    <w:multiLevelType w:val="hybridMultilevel"/>
    <w:tmpl w:val="4EE645C6"/>
    <w:lvl w:ilvl="0" w:tplc="4B56AE9C">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1" w15:restartNumberingAfterBreak="0">
    <w:nsid w:val="102B71BD"/>
    <w:multiLevelType w:val="hybridMultilevel"/>
    <w:tmpl w:val="495EFA2C"/>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2" w15:restartNumberingAfterBreak="0">
    <w:nsid w:val="11FB1086"/>
    <w:multiLevelType w:val="hybridMultilevel"/>
    <w:tmpl w:val="1D907FF4"/>
    <w:lvl w:ilvl="0" w:tplc="5D249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3" w15:restartNumberingAfterBreak="0">
    <w:nsid w:val="126F5039"/>
    <w:multiLevelType w:val="hybridMultilevel"/>
    <w:tmpl w:val="E36C4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4" w15:restartNumberingAfterBreak="0">
    <w:nsid w:val="12767220"/>
    <w:multiLevelType w:val="hybridMultilevel"/>
    <w:tmpl w:val="CFF6A682"/>
    <w:lvl w:ilvl="0" w:tplc="905ED7EE">
      <w:start w:val="1"/>
      <w:numFmt w:val="lowerLetter"/>
      <w:lvlText w:val="(%1)"/>
      <w:lvlJc w:val="left"/>
      <w:pPr>
        <w:ind w:left="900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5" w15:restartNumberingAfterBreak="0">
    <w:nsid w:val="13BB2DFC"/>
    <w:multiLevelType w:val="hybridMultilevel"/>
    <w:tmpl w:val="50C89EEA"/>
    <w:lvl w:ilvl="0" w:tplc="7166DC3A">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6" w15:restartNumberingAfterBreak="0">
    <w:nsid w:val="1424662F"/>
    <w:multiLevelType w:val="hybridMultilevel"/>
    <w:tmpl w:val="D7A09856"/>
    <w:lvl w:ilvl="0" w:tplc="EEAE1648">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7" w15:restartNumberingAfterBreak="0">
    <w:nsid w:val="14262EA9"/>
    <w:multiLevelType w:val="hybridMultilevel"/>
    <w:tmpl w:val="81B80EAC"/>
    <w:lvl w:ilvl="0" w:tplc="F2A8D51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8" w15:restartNumberingAfterBreak="0">
    <w:nsid w:val="14B35328"/>
    <w:multiLevelType w:val="hybridMultilevel"/>
    <w:tmpl w:val="C9A44BA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49" w15:restartNumberingAfterBreak="0">
    <w:nsid w:val="15410383"/>
    <w:multiLevelType w:val="hybridMultilevel"/>
    <w:tmpl w:val="AA26184E"/>
    <w:lvl w:ilvl="0" w:tplc="45D68E8C">
      <w:start w:val="1"/>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0" w15:restartNumberingAfterBreak="0">
    <w:nsid w:val="156D2046"/>
    <w:multiLevelType w:val="hybridMultilevel"/>
    <w:tmpl w:val="C6125402"/>
    <w:lvl w:ilvl="0" w:tplc="019C3846">
      <w:start w:val="2"/>
      <w:numFmt w:val="lowerLetter"/>
      <w:lvlText w:val="%1."/>
      <w:lvlJc w:val="left"/>
      <w:pPr>
        <w:ind w:left="2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1" w15:restartNumberingAfterBreak="0">
    <w:nsid w:val="18A410F4"/>
    <w:multiLevelType w:val="hybridMultilevel"/>
    <w:tmpl w:val="41B635B6"/>
    <w:lvl w:ilvl="0" w:tplc="5136046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2" w15:restartNumberingAfterBreak="0">
    <w:nsid w:val="1B8F78F1"/>
    <w:multiLevelType w:val="hybridMultilevel"/>
    <w:tmpl w:val="04546374"/>
    <w:lvl w:ilvl="0" w:tplc="26282024">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3" w15:restartNumberingAfterBreak="0">
    <w:nsid w:val="1C0650FB"/>
    <w:multiLevelType w:val="hybridMultilevel"/>
    <w:tmpl w:val="07E06240"/>
    <w:lvl w:ilvl="0" w:tplc="0409000F">
      <w:start w:val="1"/>
      <w:numFmt w:val="decimal"/>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54" w15:restartNumberingAfterBreak="0">
    <w:nsid w:val="1C2857D0"/>
    <w:multiLevelType w:val="hybridMultilevel"/>
    <w:tmpl w:val="898651D2"/>
    <w:lvl w:ilvl="0" w:tplc="FFFFFFFF">
      <w:start w:val="1"/>
      <w:numFmt w:val="lowerLetter"/>
      <w:lvlText w:val="%1."/>
      <w:lvlJc w:val="left"/>
      <w:pPr>
        <w:ind w:left="261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5" w15:restartNumberingAfterBreak="0">
    <w:nsid w:val="1C727D43"/>
    <w:multiLevelType w:val="hybridMultilevel"/>
    <w:tmpl w:val="FFEE186E"/>
    <w:lvl w:ilvl="0" w:tplc="AB603732">
      <w:start w:val="1"/>
      <w:numFmt w:val="lowerLetter"/>
      <w:lvlText w:val="(%1)"/>
      <w:lvlJc w:val="left"/>
      <w:pPr>
        <w:ind w:left="1800" w:hanging="360"/>
      </w:pPr>
      <w:rPr>
        <w:rFonts w:eastAsiaTheme="minorEastAsia"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6" w15:restartNumberingAfterBreak="0">
    <w:nsid w:val="1DBF54FF"/>
    <w:multiLevelType w:val="hybridMultilevel"/>
    <w:tmpl w:val="23D402FE"/>
    <w:lvl w:ilvl="0" w:tplc="8D1A9470">
      <w:start w:val="9"/>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7" w15:restartNumberingAfterBreak="0">
    <w:nsid w:val="1E0C72D6"/>
    <w:multiLevelType w:val="hybridMultilevel"/>
    <w:tmpl w:val="4208A24A"/>
    <w:lvl w:ilvl="0" w:tplc="F3F0F62C">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8" w15:restartNumberingAfterBreak="0">
    <w:nsid w:val="1F996205"/>
    <w:multiLevelType w:val="hybridMultilevel"/>
    <w:tmpl w:val="2FFAFC9A"/>
    <w:lvl w:ilvl="0" w:tplc="FFFFFFFF">
      <w:start w:val="1"/>
      <w:numFmt w:val="lowerRoman"/>
      <w:lvlText w:val="%1."/>
      <w:lvlJc w:val="left"/>
      <w:pPr>
        <w:ind w:left="2664" w:hanging="360"/>
      </w:pPr>
      <w:rPr>
        <w:rFonts w:hint="default"/>
        <w:color w:val="auto"/>
      </w:r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959" w15:restartNumberingAfterBreak="0">
    <w:nsid w:val="1FD43272"/>
    <w:multiLevelType w:val="hybridMultilevel"/>
    <w:tmpl w:val="14BA9A0E"/>
    <w:lvl w:ilvl="0" w:tplc="E8548B44">
      <w:start w:val="1"/>
      <w:numFmt w:val="lowerLetter"/>
      <w:lvlText w:val="%1."/>
      <w:lvlJc w:val="left"/>
      <w:pPr>
        <w:ind w:left="2635" w:hanging="360"/>
      </w:pPr>
      <w:rPr>
        <w:rFonts w:hint="default"/>
      </w:rPr>
    </w:lvl>
    <w:lvl w:ilvl="1" w:tplc="04090019" w:tentative="1">
      <w:start w:val="1"/>
      <w:numFmt w:val="lowerLetter"/>
      <w:lvlText w:val="%2."/>
      <w:lvlJc w:val="left"/>
      <w:pPr>
        <w:ind w:left="3355" w:hanging="360"/>
      </w:pPr>
    </w:lvl>
    <w:lvl w:ilvl="2" w:tplc="0409001B" w:tentative="1">
      <w:start w:val="1"/>
      <w:numFmt w:val="lowerRoman"/>
      <w:lvlText w:val="%3."/>
      <w:lvlJc w:val="right"/>
      <w:pPr>
        <w:ind w:left="4075" w:hanging="180"/>
      </w:pPr>
    </w:lvl>
    <w:lvl w:ilvl="3" w:tplc="0409000F" w:tentative="1">
      <w:start w:val="1"/>
      <w:numFmt w:val="decimal"/>
      <w:lvlText w:val="%4."/>
      <w:lvlJc w:val="left"/>
      <w:pPr>
        <w:ind w:left="4795" w:hanging="360"/>
      </w:pPr>
    </w:lvl>
    <w:lvl w:ilvl="4" w:tplc="04090019" w:tentative="1">
      <w:start w:val="1"/>
      <w:numFmt w:val="lowerLetter"/>
      <w:lvlText w:val="%5."/>
      <w:lvlJc w:val="left"/>
      <w:pPr>
        <w:ind w:left="5515" w:hanging="360"/>
      </w:pPr>
    </w:lvl>
    <w:lvl w:ilvl="5" w:tplc="0409001B" w:tentative="1">
      <w:start w:val="1"/>
      <w:numFmt w:val="lowerRoman"/>
      <w:lvlText w:val="%6."/>
      <w:lvlJc w:val="right"/>
      <w:pPr>
        <w:ind w:left="6235" w:hanging="180"/>
      </w:pPr>
    </w:lvl>
    <w:lvl w:ilvl="6" w:tplc="0409000F" w:tentative="1">
      <w:start w:val="1"/>
      <w:numFmt w:val="decimal"/>
      <w:lvlText w:val="%7."/>
      <w:lvlJc w:val="left"/>
      <w:pPr>
        <w:ind w:left="6955" w:hanging="360"/>
      </w:pPr>
    </w:lvl>
    <w:lvl w:ilvl="7" w:tplc="04090019" w:tentative="1">
      <w:start w:val="1"/>
      <w:numFmt w:val="lowerLetter"/>
      <w:lvlText w:val="%8."/>
      <w:lvlJc w:val="left"/>
      <w:pPr>
        <w:ind w:left="7675" w:hanging="360"/>
      </w:pPr>
    </w:lvl>
    <w:lvl w:ilvl="8" w:tplc="0409001B" w:tentative="1">
      <w:start w:val="1"/>
      <w:numFmt w:val="lowerRoman"/>
      <w:lvlText w:val="%9."/>
      <w:lvlJc w:val="right"/>
      <w:pPr>
        <w:ind w:left="8395" w:hanging="180"/>
      </w:pPr>
    </w:lvl>
  </w:abstractNum>
  <w:abstractNum w:abstractNumId="960" w15:restartNumberingAfterBreak="0">
    <w:nsid w:val="21882484"/>
    <w:multiLevelType w:val="hybridMultilevel"/>
    <w:tmpl w:val="9408682E"/>
    <w:lvl w:ilvl="0" w:tplc="3964325A">
      <w:start w:val="2"/>
      <w:numFmt w:val="lowerLetter"/>
      <w:lvlText w:val="%1."/>
      <w:lvlJc w:val="left"/>
      <w:pPr>
        <w:ind w:left="2880" w:hanging="360"/>
      </w:pPr>
      <w:rPr>
        <w:rFonts w:hint="default"/>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1" w15:restartNumberingAfterBreak="0">
    <w:nsid w:val="21D771E9"/>
    <w:multiLevelType w:val="hybridMultilevel"/>
    <w:tmpl w:val="8AD6A70A"/>
    <w:lvl w:ilvl="0" w:tplc="FFFFFFFF">
      <w:start w:val="1"/>
      <w:numFmt w:val="lowerLetter"/>
      <w:lvlText w:val="(%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2" w15:restartNumberingAfterBreak="0">
    <w:nsid w:val="2230498B"/>
    <w:multiLevelType w:val="hybridMultilevel"/>
    <w:tmpl w:val="399A2316"/>
    <w:lvl w:ilvl="0" w:tplc="C5FA9114">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3" w15:restartNumberingAfterBreak="0">
    <w:nsid w:val="23257858"/>
    <w:multiLevelType w:val="hybridMultilevel"/>
    <w:tmpl w:val="793689C4"/>
    <w:lvl w:ilvl="0" w:tplc="04090019">
      <w:start w:val="1"/>
      <w:numFmt w:val="lowerLetter"/>
      <w:lvlText w:val="%1."/>
      <w:lvlJc w:val="left"/>
      <w:pPr>
        <w:ind w:left="2980" w:hanging="360"/>
      </w:pPr>
    </w:lvl>
    <w:lvl w:ilvl="1" w:tplc="04090019" w:tentative="1">
      <w:start w:val="1"/>
      <w:numFmt w:val="lowerLetter"/>
      <w:lvlText w:val="%2."/>
      <w:lvlJc w:val="left"/>
      <w:pPr>
        <w:ind w:left="3700" w:hanging="360"/>
      </w:pPr>
    </w:lvl>
    <w:lvl w:ilvl="2" w:tplc="0409001B" w:tentative="1">
      <w:start w:val="1"/>
      <w:numFmt w:val="lowerRoman"/>
      <w:lvlText w:val="%3."/>
      <w:lvlJc w:val="right"/>
      <w:pPr>
        <w:ind w:left="4420" w:hanging="180"/>
      </w:pPr>
    </w:lvl>
    <w:lvl w:ilvl="3" w:tplc="0409000F" w:tentative="1">
      <w:start w:val="1"/>
      <w:numFmt w:val="decimal"/>
      <w:lvlText w:val="%4."/>
      <w:lvlJc w:val="left"/>
      <w:pPr>
        <w:ind w:left="5140" w:hanging="360"/>
      </w:pPr>
    </w:lvl>
    <w:lvl w:ilvl="4" w:tplc="04090019" w:tentative="1">
      <w:start w:val="1"/>
      <w:numFmt w:val="lowerLetter"/>
      <w:lvlText w:val="%5."/>
      <w:lvlJc w:val="left"/>
      <w:pPr>
        <w:ind w:left="5860" w:hanging="360"/>
      </w:pPr>
    </w:lvl>
    <w:lvl w:ilvl="5" w:tplc="0409001B" w:tentative="1">
      <w:start w:val="1"/>
      <w:numFmt w:val="lowerRoman"/>
      <w:lvlText w:val="%6."/>
      <w:lvlJc w:val="right"/>
      <w:pPr>
        <w:ind w:left="6580" w:hanging="180"/>
      </w:pPr>
    </w:lvl>
    <w:lvl w:ilvl="6" w:tplc="0409000F" w:tentative="1">
      <w:start w:val="1"/>
      <w:numFmt w:val="decimal"/>
      <w:lvlText w:val="%7."/>
      <w:lvlJc w:val="left"/>
      <w:pPr>
        <w:ind w:left="7300" w:hanging="360"/>
      </w:pPr>
    </w:lvl>
    <w:lvl w:ilvl="7" w:tplc="04090019" w:tentative="1">
      <w:start w:val="1"/>
      <w:numFmt w:val="lowerLetter"/>
      <w:lvlText w:val="%8."/>
      <w:lvlJc w:val="left"/>
      <w:pPr>
        <w:ind w:left="8020" w:hanging="360"/>
      </w:pPr>
    </w:lvl>
    <w:lvl w:ilvl="8" w:tplc="0409001B" w:tentative="1">
      <w:start w:val="1"/>
      <w:numFmt w:val="lowerRoman"/>
      <w:lvlText w:val="%9."/>
      <w:lvlJc w:val="right"/>
      <w:pPr>
        <w:ind w:left="8740" w:hanging="180"/>
      </w:pPr>
    </w:lvl>
  </w:abstractNum>
  <w:abstractNum w:abstractNumId="964" w15:restartNumberingAfterBreak="0">
    <w:nsid w:val="233974C6"/>
    <w:multiLevelType w:val="hybridMultilevel"/>
    <w:tmpl w:val="392A6CFA"/>
    <w:lvl w:ilvl="0" w:tplc="0409000F">
      <w:start w:val="1"/>
      <w:numFmt w:val="decimal"/>
      <w:lvlText w:val="%1."/>
      <w:lvlJc w:val="left"/>
      <w:pPr>
        <w:ind w:left="30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5" w15:restartNumberingAfterBreak="0">
    <w:nsid w:val="23621A18"/>
    <w:multiLevelType w:val="hybridMultilevel"/>
    <w:tmpl w:val="9E165792"/>
    <w:lvl w:ilvl="0" w:tplc="B1C2D044">
      <w:start w:val="2"/>
      <w:numFmt w:val="decimal"/>
      <w:lvlText w:val="%1."/>
      <w:lvlJc w:val="left"/>
      <w:pPr>
        <w:ind w:left="26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6" w15:restartNumberingAfterBreak="0">
    <w:nsid w:val="24B97BF4"/>
    <w:multiLevelType w:val="hybridMultilevel"/>
    <w:tmpl w:val="334AF584"/>
    <w:lvl w:ilvl="0" w:tplc="905ED7EE">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7" w15:restartNumberingAfterBreak="0">
    <w:nsid w:val="25696EC3"/>
    <w:multiLevelType w:val="hybridMultilevel"/>
    <w:tmpl w:val="04520D2A"/>
    <w:lvl w:ilvl="0" w:tplc="CA00D6A6">
      <w:start w:val="88"/>
      <w:numFmt w:val="decimal"/>
      <w:lvlText w:val="%1."/>
      <w:lvlJc w:val="left"/>
      <w:pPr>
        <w:ind w:left="0" w:firstLine="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8" w15:restartNumberingAfterBreak="0">
    <w:nsid w:val="268A2F02"/>
    <w:multiLevelType w:val="hybridMultilevel"/>
    <w:tmpl w:val="249A8142"/>
    <w:lvl w:ilvl="0" w:tplc="5622CB92">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9" w15:restartNumberingAfterBreak="0">
    <w:nsid w:val="27814A4C"/>
    <w:multiLevelType w:val="hybridMultilevel"/>
    <w:tmpl w:val="0DF484C8"/>
    <w:lvl w:ilvl="0" w:tplc="646AD4E0">
      <w:start w:val="5"/>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0" w15:restartNumberingAfterBreak="0">
    <w:nsid w:val="279D69FC"/>
    <w:multiLevelType w:val="hybridMultilevel"/>
    <w:tmpl w:val="7B7A76F6"/>
    <w:lvl w:ilvl="0" w:tplc="2A42AC10">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1" w15:restartNumberingAfterBreak="0">
    <w:nsid w:val="27BF12DE"/>
    <w:multiLevelType w:val="hybridMultilevel"/>
    <w:tmpl w:val="26D0625C"/>
    <w:lvl w:ilvl="0" w:tplc="925C8008">
      <w:start w:val="5"/>
      <w:numFmt w:val="lowerRoman"/>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2" w15:restartNumberingAfterBreak="0">
    <w:nsid w:val="28FF045A"/>
    <w:multiLevelType w:val="hybridMultilevel"/>
    <w:tmpl w:val="79DA3FF4"/>
    <w:lvl w:ilvl="0" w:tplc="E2FC972C">
      <w:start w:val="1"/>
      <w:numFmt w:val="decimal"/>
      <w:lvlText w:val="%1"/>
      <w:lvlJc w:val="left"/>
      <w:pPr>
        <w:ind w:left="0" w:firstLine="0"/>
      </w:pPr>
      <w:rPr>
        <w:rFonts w:hint="default"/>
        <w:caps w:val="0"/>
        <w:strike w:val="0"/>
        <w:dstrike w:val="0"/>
        <w:vanish w:val="0"/>
        <w:sz w:val="20"/>
        <w:szCs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3" w15:restartNumberingAfterBreak="0">
    <w:nsid w:val="29CE07A7"/>
    <w:multiLevelType w:val="hybridMultilevel"/>
    <w:tmpl w:val="E36C48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4" w15:restartNumberingAfterBreak="0">
    <w:nsid w:val="2A123620"/>
    <w:multiLevelType w:val="hybridMultilevel"/>
    <w:tmpl w:val="365AA988"/>
    <w:lvl w:ilvl="0" w:tplc="0D76E518">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5" w15:restartNumberingAfterBreak="0">
    <w:nsid w:val="2C6B4955"/>
    <w:multiLevelType w:val="hybridMultilevel"/>
    <w:tmpl w:val="165877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6" w15:restartNumberingAfterBreak="0">
    <w:nsid w:val="2CEE58CA"/>
    <w:multiLevelType w:val="hybridMultilevel"/>
    <w:tmpl w:val="226870E0"/>
    <w:lvl w:ilvl="0" w:tplc="0409000F">
      <w:start w:val="1"/>
      <w:numFmt w:val="decimal"/>
      <w:lvlText w:val="%1."/>
      <w:lvlJc w:val="left"/>
      <w:pPr>
        <w:ind w:left="216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77" w15:restartNumberingAfterBreak="0">
    <w:nsid w:val="2D444858"/>
    <w:multiLevelType w:val="hybridMultilevel"/>
    <w:tmpl w:val="3224E09A"/>
    <w:lvl w:ilvl="0" w:tplc="0598EFC8">
      <w:start w:val="1"/>
      <w:numFmt w:val="lowerLetter"/>
      <w:lvlText w:val="%1."/>
      <w:lvlJc w:val="left"/>
      <w:pPr>
        <w:ind w:left="26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8" w15:restartNumberingAfterBreak="0">
    <w:nsid w:val="2F65636D"/>
    <w:multiLevelType w:val="hybridMultilevel"/>
    <w:tmpl w:val="385A2C78"/>
    <w:lvl w:ilvl="0" w:tplc="763441BC">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9" w15:restartNumberingAfterBreak="0">
    <w:nsid w:val="2F9C3FB7"/>
    <w:multiLevelType w:val="hybridMultilevel"/>
    <w:tmpl w:val="1D76A1D2"/>
    <w:lvl w:ilvl="0" w:tplc="37FC4D4A">
      <w:start w:val="1"/>
      <w:numFmt w:val="lowerRoman"/>
      <w:lvlText w:val="%1."/>
      <w:lvlJc w:val="left"/>
      <w:pPr>
        <w:ind w:left="2664" w:hanging="360"/>
      </w:pPr>
      <w:rPr>
        <w:rFonts w:hint="default"/>
        <w:color w:val="auto"/>
      </w:r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980" w15:restartNumberingAfterBreak="0">
    <w:nsid w:val="2F9F2800"/>
    <w:multiLevelType w:val="hybridMultilevel"/>
    <w:tmpl w:val="C9A44BA6"/>
    <w:lvl w:ilvl="0" w:tplc="FFFFFFFF">
      <w:start w:val="1"/>
      <w:numFmt w:val="decimal"/>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81" w15:restartNumberingAfterBreak="0">
    <w:nsid w:val="2FE5168A"/>
    <w:multiLevelType w:val="hybridMultilevel"/>
    <w:tmpl w:val="212845F4"/>
    <w:lvl w:ilvl="0" w:tplc="26282024">
      <w:start w:val="1"/>
      <w:numFmt w:val="decimal"/>
      <w:lvlText w:val="%1"/>
      <w:lvlJc w:val="left"/>
      <w:pPr>
        <w:ind w:left="360" w:hanging="360"/>
      </w:pPr>
      <w:rPr>
        <w:rFonts w:hint="default"/>
        <w:color w:val="auto"/>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2" w15:restartNumberingAfterBreak="0">
    <w:nsid w:val="30A310D3"/>
    <w:multiLevelType w:val="hybridMultilevel"/>
    <w:tmpl w:val="2A8A4D5A"/>
    <w:lvl w:ilvl="0" w:tplc="D0B67EB4">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3" w15:restartNumberingAfterBreak="0">
    <w:nsid w:val="31030BA8"/>
    <w:multiLevelType w:val="hybridMultilevel"/>
    <w:tmpl w:val="35BA7FE2"/>
    <w:lvl w:ilvl="0" w:tplc="FFFFFFFF">
      <w:start w:val="1"/>
      <w:numFmt w:val="decimal"/>
      <w:lvlText w:val="%1."/>
      <w:lvlJc w:val="left"/>
      <w:pPr>
        <w:ind w:left="106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4" w15:restartNumberingAfterBreak="0">
    <w:nsid w:val="336E467B"/>
    <w:multiLevelType w:val="hybridMultilevel"/>
    <w:tmpl w:val="140207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5" w15:restartNumberingAfterBreak="0">
    <w:nsid w:val="33754C9A"/>
    <w:multiLevelType w:val="hybridMultilevel"/>
    <w:tmpl w:val="34ACF81E"/>
    <w:lvl w:ilvl="0" w:tplc="8E3ADBC0">
      <w:start w:val="1"/>
      <w:numFmt w:val="decimal"/>
      <w:lvlText w:val="%1."/>
      <w:lvlJc w:val="left"/>
      <w:pPr>
        <w:ind w:left="0" w:firstLine="0"/>
      </w:pPr>
      <w:rPr>
        <w:rFonts w:hint="default"/>
        <w:strike w:val="0"/>
        <w:dstrike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6" w15:restartNumberingAfterBreak="0">
    <w:nsid w:val="34EC7146"/>
    <w:multiLevelType w:val="hybridMultilevel"/>
    <w:tmpl w:val="8F0417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7" w15:restartNumberingAfterBreak="0">
    <w:nsid w:val="35E0129C"/>
    <w:multiLevelType w:val="hybridMultilevel"/>
    <w:tmpl w:val="35BA7FE2"/>
    <w:lvl w:ilvl="0" w:tplc="0409000F">
      <w:start w:val="1"/>
      <w:numFmt w:val="decimal"/>
      <w:lvlText w:val="%1."/>
      <w:lvlJc w:val="left"/>
      <w:pPr>
        <w:ind w:left="10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8" w15:restartNumberingAfterBreak="0">
    <w:nsid w:val="37B60442"/>
    <w:multiLevelType w:val="hybridMultilevel"/>
    <w:tmpl w:val="12AEF74A"/>
    <w:lvl w:ilvl="0" w:tplc="27DC9F4A">
      <w:start w:val="1"/>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9" w15:restartNumberingAfterBreak="0">
    <w:nsid w:val="388A5427"/>
    <w:multiLevelType w:val="hybridMultilevel"/>
    <w:tmpl w:val="2A0A39BE"/>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90" w15:restartNumberingAfterBreak="0">
    <w:nsid w:val="38CA5BB6"/>
    <w:multiLevelType w:val="hybridMultilevel"/>
    <w:tmpl w:val="841C9AEA"/>
    <w:lvl w:ilvl="0" w:tplc="905ED7EE">
      <w:start w:val="1"/>
      <w:numFmt w:val="lowerLetter"/>
      <w:lvlText w:val="(%1)"/>
      <w:lvlJc w:val="left"/>
      <w:pPr>
        <w:ind w:left="720" w:hanging="360"/>
      </w:pPr>
    </w:lvl>
    <w:lvl w:ilvl="1" w:tplc="967CB5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1" w15:restartNumberingAfterBreak="0">
    <w:nsid w:val="39DB463D"/>
    <w:multiLevelType w:val="multilevel"/>
    <w:tmpl w:val="A9E432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2" w15:restartNumberingAfterBreak="0">
    <w:nsid w:val="3A91050E"/>
    <w:multiLevelType w:val="hybridMultilevel"/>
    <w:tmpl w:val="E2E026CA"/>
    <w:lvl w:ilvl="0" w:tplc="04090019">
      <w:start w:val="1"/>
      <w:numFmt w:val="lowerLetter"/>
      <w:lvlText w:val="%1."/>
      <w:lvlJc w:val="left"/>
      <w:pPr>
        <w:ind w:left="2808" w:hanging="360"/>
      </w:pPr>
    </w:lvl>
    <w:lvl w:ilvl="1" w:tplc="04090019" w:tentative="1">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993" w15:restartNumberingAfterBreak="0">
    <w:nsid w:val="3AB32D5D"/>
    <w:multiLevelType w:val="hybridMultilevel"/>
    <w:tmpl w:val="03B2FD82"/>
    <w:lvl w:ilvl="0" w:tplc="044A063E">
      <w:start w:val="3"/>
      <w:numFmt w:val="lowerLetter"/>
      <w:lvlText w:val="(%1)"/>
      <w:lvlJc w:val="left"/>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994" w15:restartNumberingAfterBreak="0">
    <w:nsid w:val="3B561795"/>
    <w:multiLevelType w:val="hybridMultilevel"/>
    <w:tmpl w:val="4912A8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5" w15:restartNumberingAfterBreak="0">
    <w:nsid w:val="3BFF66C1"/>
    <w:multiLevelType w:val="hybridMultilevel"/>
    <w:tmpl w:val="A508A8E2"/>
    <w:lvl w:ilvl="0" w:tplc="04090001">
      <w:start w:val="1"/>
      <w:numFmt w:val="bullet"/>
      <w:lvlText w:val=""/>
      <w:lvlJc w:val="left"/>
      <w:rPr>
        <w:rFonts w:ascii="Symbol" w:hAnsi="Symbol" w:hint="default"/>
      </w:rPr>
    </w:lvl>
    <w:lvl w:ilvl="1" w:tplc="49CA2830">
      <w:start w:val="1"/>
      <w:numFmt w:val="bullet"/>
      <w:lvlText w:val="&quot;"/>
      <w:lvlJc w:val="left"/>
    </w:lvl>
    <w:lvl w:ilvl="2" w:tplc="067E5B08">
      <w:start w:val="1"/>
      <w:numFmt w:val="bullet"/>
      <w:lvlText w:val="•"/>
      <w:lvlJc w:val="left"/>
    </w:lvl>
    <w:lvl w:ilvl="3" w:tplc="AFA273F6">
      <w:numFmt w:val="decimal"/>
      <w:lvlText w:val=""/>
      <w:lvlJc w:val="left"/>
    </w:lvl>
    <w:lvl w:ilvl="4" w:tplc="34E6D8A0">
      <w:numFmt w:val="decimal"/>
      <w:lvlText w:val=""/>
      <w:lvlJc w:val="left"/>
    </w:lvl>
    <w:lvl w:ilvl="5" w:tplc="07C8CE9C">
      <w:numFmt w:val="decimal"/>
      <w:lvlText w:val=""/>
      <w:lvlJc w:val="left"/>
    </w:lvl>
    <w:lvl w:ilvl="6" w:tplc="AF84D864">
      <w:numFmt w:val="decimal"/>
      <w:lvlText w:val=""/>
      <w:lvlJc w:val="left"/>
    </w:lvl>
    <w:lvl w:ilvl="7" w:tplc="F3B28218">
      <w:numFmt w:val="decimal"/>
      <w:lvlText w:val=""/>
      <w:lvlJc w:val="left"/>
    </w:lvl>
    <w:lvl w:ilvl="8" w:tplc="5E7E6A96">
      <w:numFmt w:val="decimal"/>
      <w:lvlText w:val=""/>
      <w:lvlJc w:val="left"/>
    </w:lvl>
  </w:abstractNum>
  <w:abstractNum w:abstractNumId="996" w15:restartNumberingAfterBreak="0">
    <w:nsid w:val="3C140653"/>
    <w:multiLevelType w:val="hybridMultilevel"/>
    <w:tmpl w:val="9856ADB4"/>
    <w:lvl w:ilvl="0" w:tplc="39643780">
      <w:start w:val="2"/>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7" w15:restartNumberingAfterBreak="0">
    <w:nsid w:val="3C887E0C"/>
    <w:multiLevelType w:val="hybridMultilevel"/>
    <w:tmpl w:val="AACAB140"/>
    <w:lvl w:ilvl="0" w:tplc="13FC0C4E">
      <w:start w:val="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8" w15:restartNumberingAfterBreak="0">
    <w:nsid w:val="3DA5299E"/>
    <w:multiLevelType w:val="hybridMultilevel"/>
    <w:tmpl w:val="7946FFE4"/>
    <w:lvl w:ilvl="0" w:tplc="CB3EACF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9" w15:restartNumberingAfterBreak="0">
    <w:nsid w:val="3E712636"/>
    <w:multiLevelType w:val="hybridMultilevel"/>
    <w:tmpl w:val="35FC77A2"/>
    <w:lvl w:ilvl="0" w:tplc="A830AA8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0" w15:restartNumberingAfterBreak="0">
    <w:nsid w:val="3F4F79ED"/>
    <w:multiLevelType w:val="multilevel"/>
    <w:tmpl w:val="CE7E58C8"/>
    <w:lvl w:ilvl="0">
      <w:start w:val="1"/>
      <w:numFmt w:val="decimal"/>
      <w:lvlText w:val="%1."/>
      <w:lvlJc w:val="left"/>
      <w:pPr>
        <w:ind w:left="1915" w:firstLine="0"/>
      </w:pPr>
      <w:rPr>
        <w:rFonts w:hint="default"/>
      </w:rPr>
    </w:lvl>
    <w:lvl w:ilvl="1">
      <w:start w:val="1"/>
      <w:numFmt w:val="decimal"/>
      <w:isLgl/>
      <w:lvlText w:val="%1.%2."/>
      <w:lvlJc w:val="left"/>
      <w:pPr>
        <w:ind w:left="2335" w:hanging="420"/>
      </w:pPr>
      <w:rPr>
        <w:rFonts w:hint="default"/>
        <w:i/>
      </w:rPr>
    </w:lvl>
    <w:lvl w:ilvl="2">
      <w:start w:val="1"/>
      <w:numFmt w:val="decimal"/>
      <w:isLgl/>
      <w:lvlText w:val="%1.%2.%3."/>
      <w:lvlJc w:val="left"/>
      <w:pPr>
        <w:ind w:left="2635" w:hanging="720"/>
      </w:pPr>
      <w:rPr>
        <w:rFonts w:hint="default"/>
        <w:i/>
      </w:rPr>
    </w:lvl>
    <w:lvl w:ilvl="3">
      <w:start w:val="1"/>
      <w:numFmt w:val="decimal"/>
      <w:isLgl/>
      <w:lvlText w:val="%1.%2.%3.%4."/>
      <w:lvlJc w:val="left"/>
      <w:pPr>
        <w:ind w:left="2635" w:hanging="720"/>
      </w:pPr>
      <w:rPr>
        <w:rFonts w:hint="default"/>
        <w:i/>
      </w:rPr>
    </w:lvl>
    <w:lvl w:ilvl="4">
      <w:start w:val="1"/>
      <w:numFmt w:val="decimal"/>
      <w:isLgl/>
      <w:lvlText w:val="%1.%2.%3.%4.%5."/>
      <w:lvlJc w:val="left"/>
      <w:pPr>
        <w:ind w:left="2995" w:hanging="1080"/>
      </w:pPr>
      <w:rPr>
        <w:rFonts w:hint="default"/>
        <w:i/>
      </w:rPr>
    </w:lvl>
    <w:lvl w:ilvl="5">
      <w:start w:val="1"/>
      <w:numFmt w:val="decimal"/>
      <w:isLgl/>
      <w:lvlText w:val="%1.%2.%3.%4.%5.%6."/>
      <w:lvlJc w:val="left"/>
      <w:pPr>
        <w:ind w:left="2995" w:hanging="1080"/>
      </w:pPr>
      <w:rPr>
        <w:rFonts w:hint="default"/>
        <w:i/>
      </w:rPr>
    </w:lvl>
    <w:lvl w:ilvl="6">
      <w:start w:val="1"/>
      <w:numFmt w:val="decimal"/>
      <w:isLgl/>
      <w:lvlText w:val="%1.%2.%3.%4.%5.%6.%7."/>
      <w:lvlJc w:val="left"/>
      <w:pPr>
        <w:ind w:left="3355" w:hanging="1440"/>
      </w:pPr>
      <w:rPr>
        <w:rFonts w:hint="default"/>
        <w:i/>
      </w:rPr>
    </w:lvl>
    <w:lvl w:ilvl="7">
      <w:start w:val="1"/>
      <w:numFmt w:val="decimal"/>
      <w:isLgl/>
      <w:lvlText w:val="%1.%2.%3.%4.%5.%6.%7.%8."/>
      <w:lvlJc w:val="left"/>
      <w:pPr>
        <w:ind w:left="3355" w:hanging="1440"/>
      </w:pPr>
      <w:rPr>
        <w:rFonts w:hint="default"/>
        <w:i/>
      </w:rPr>
    </w:lvl>
    <w:lvl w:ilvl="8">
      <w:start w:val="1"/>
      <w:numFmt w:val="decimal"/>
      <w:isLgl/>
      <w:lvlText w:val="%1.%2.%3.%4.%5.%6.%7.%8.%9."/>
      <w:lvlJc w:val="left"/>
      <w:pPr>
        <w:ind w:left="3715" w:hanging="1800"/>
      </w:pPr>
      <w:rPr>
        <w:rFonts w:hint="default"/>
        <w:i/>
      </w:rPr>
    </w:lvl>
  </w:abstractNum>
  <w:abstractNum w:abstractNumId="1001" w15:restartNumberingAfterBreak="0">
    <w:nsid w:val="3F822A06"/>
    <w:multiLevelType w:val="hybridMultilevel"/>
    <w:tmpl w:val="C9A44BA6"/>
    <w:lvl w:ilvl="0" w:tplc="FFFFFFFF">
      <w:start w:val="1"/>
      <w:numFmt w:val="decimal"/>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02" w15:restartNumberingAfterBreak="0">
    <w:nsid w:val="3FE752A5"/>
    <w:multiLevelType w:val="hybridMultilevel"/>
    <w:tmpl w:val="7CAA2AD0"/>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03" w15:restartNumberingAfterBreak="0">
    <w:nsid w:val="4065341B"/>
    <w:multiLevelType w:val="hybridMultilevel"/>
    <w:tmpl w:val="8B801EFE"/>
    <w:lvl w:ilvl="0" w:tplc="4C62996E">
      <w:start w:val="1"/>
      <w:numFmt w:val="decimal"/>
      <w:lvlText w:val="(%1)"/>
      <w:lvlJc w:val="left"/>
      <w:pPr>
        <w:ind w:left="0" w:firstLine="0"/>
      </w:pPr>
      <w:rPr>
        <w:rFonts w:hint="default"/>
        <w:strike w:val="0"/>
        <w:dstrike w:val="0"/>
        <w:sz w:val="24"/>
        <w:vertAlign w:val="baseline"/>
      </w:rPr>
    </w:lvl>
    <w:lvl w:ilvl="1" w:tplc="04090019" w:tentative="1">
      <w:start w:val="1"/>
      <w:numFmt w:val="lowerLetter"/>
      <w:lvlText w:val="%2."/>
      <w:lvlJc w:val="left"/>
      <w:pPr>
        <w:ind w:left="1440" w:hanging="360"/>
      </w:pPr>
    </w:lvl>
    <w:lvl w:ilvl="2" w:tplc="07D83F76">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4" w15:restartNumberingAfterBreak="0">
    <w:nsid w:val="406949CB"/>
    <w:multiLevelType w:val="hybridMultilevel"/>
    <w:tmpl w:val="E2E026CA"/>
    <w:lvl w:ilvl="0" w:tplc="FFFFFFFF">
      <w:start w:val="1"/>
      <w:numFmt w:val="lowerLetter"/>
      <w:lvlText w:val="%1."/>
      <w:lvlJc w:val="left"/>
      <w:pPr>
        <w:ind w:left="2808" w:hanging="360"/>
      </w:pPr>
    </w:lvl>
    <w:lvl w:ilvl="1" w:tplc="FFFFFFFF" w:tentative="1">
      <w:start w:val="1"/>
      <w:numFmt w:val="lowerLetter"/>
      <w:lvlText w:val="%2."/>
      <w:lvlJc w:val="left"/>
      <w:pPr>
        <w:ind w:left="3528" w:hanging="360"/>
      </w:pPr>
    </w:lvl>
    <w:lvl w:ilvl="2" w:tplc="FFFFFFFF" w:tentative="1">
      <w:start w:val="1"/>
      <w:numFmt w:val="lowerRoman"/>
      <w:lvlText w:val="%3."/>
      <w:lvlJc w:val="right"/>
      <w:pPr>
        <w:ind w:left="4248" w:hanging="180"/>
      </w:pPr>
    </w:lvl>
    <w:lvl w:ilvl="3" w:tplc="FFFFFFFF" w:tentative="1">
      <w:start w:val="1"/>
      <w:numFmt w:val="decimal"/>
      <w:lvlText w:val="%4."/>
      <w:lvlJc w:val="left"/>
      <w:pPr>
        <w:ind w:left="4968" w:hanging="360"/>
      </w:pPr>
    </w:lvl>
    <w:lvl w:ilvl="4" w:tplc="FFFFFFFF" w:tentative="1">
      <w:start w:val="1"/>
      <w:numFmt w:val="lowerLetter"/>
      <w:lvlText w:val="%5."/>
      <w:lvlJc w:val="left"/>
      <w:pPr>
        <w:ind w:left="5688" w:hanging="360"/>
      </w:pPr>
    </w:lvl>
    <w:lvl w:ilvl="5" w:tplc="FFFFFFFF" w:tentative="1">
      <w:start w:val="1"/>
      <w:numFmt w:val="lowerRoman"/>
      <w:lvlText w:val="%6."/>
      <w:lvlJc w:val="right"/>
      <w:pPr>
        <w:ind w:left="6408" w:hanging="180"/>
      </w:pPr>
    </w:lvl>
    <w:lvl w:ilvl="6" w:tplc="FFFFFFFF" w:tentative="1">
      <w:start w:val="1"/>
      <w:numFmt w:val="decimal"/>
      <w:lvlText w:val="%7."/>
      <w:lvlJc w:val="left"/>
      <w:pPr>
        <w:ind w:left="7128" w:hanging="360"/>
      </w:pPr>
    </w:lvl>
    <w:lvl w:ilvl="7" w:tplc="FFFFFFFF" w:tentative="1">
      <w:start w:val="1"/>
      <w:numFmt w:val="lowerLetter"/>
      <w:lvlText w:val="%8."/>
      <w:lvlJc w:val="left"/>
      <w:pPr>
        <w:ind w:left="7848" w:hanging="360"/>
      </w:pPr>
    </w:lvl>
    <w:lvl w:ilvl="8" w:tplc="FFFFFFFF" w:tentative="1">
      <w:start w:val="1"/>
      <w:numFmt w:val="lowerRoman"/>
      <w:lvlText w:val="%9."/>
      <w:lvlJc w:val="right"/>
      <w:pPr>
        <w:ind w:left="8568" w:hanging="180"/>
      </w:pPr>
    </w:lvl>
  </w:abstractNum>
  <w:abstractNum w:abstractNumId="1005" w15:restartNumberingAfterBreak="0">
    <w:nsid w:val="412A315D"/>
    <w:multiLevelType w:val="hybridMultilevel"/>
    <w:tmpl w:val="0AF2481C"/>
    <w:lvl w:ilvl="0" w:tplc="5DEEFBAC">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6" w15:restartNumberingAfterBreak="0">
    <w:nsid w:val="426735A3"/>
    <w:multiLevelType w:val="hybridMultilevel"/>
    <w:tmpl w:val="BA4C77AC"/>
    <w:lvl w:ilvl="0" w:tplc="133E9548">
      <w:start w:val="1"/>
      <w:numFmt w:val="upperLetter"/>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7" w15:restartNumberingAfterBreak="0">
    <w:nsid w:val="433D347E"/>
    <w:multiLevelType w:val="hybridMultilevel"/>
    <w:tmpl w:val="FAA08B92"/>
    <w:lvl w:ilvl="0" w:tplc="85BAB27A">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8" w15:restartNumberingAfterBreak="0">
    <w:nsid w:val="44715B4D"/>
    <w:multiLevelType w:val="hybridMultilevel"/>
    <w:tmpl w:val="21C00C4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9" w15:restartNumberingAfterBreak="0">
    <w:nsid w:val="449251B2"/>
    <w:multiLevelType w:val="hybridMultilevel"/>
    <w:tmpl w:val="E1786F2C"/>
    <w:lvl w:ilvl="0" w:tplc="3670CAB2">
      <w:start w:val="4"/>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0" w15:restartNumberingAfterBreak="0">
    <w:nsid w:val="46B260E8"/>
    <w:multiLevelType w:val="hybridMultilevel"/>
    <w:tmpl w:val="BECE81B6"/>
    <w:lvl w:ilvl="0" w:tplc="A54CF3E8">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1" w15:restartNumberingAfterBreak="0">
    <w:nsid w:val="46B854CB"/>
    <w:multiLevelType w:val="hybridMultilevel"/>
    <w:tmpl w:val="A3B86C0C"/>
    <w:lvl w:ilvl="0" w:tplc="0409000F">
      <w:start w:val="1"/>
      <w:numFmt w:val="decimal"/>
      <w:lvlText w:val="%1."/>
      <w:lvlJc w:val="left"/>
      <w:pPr>
        <w:ind w:left="1980" w:hanging="360"/>
      </w:pPr>
    </w:lvl>
    <w:lvl w:ilvl="1" w:tplc="0409000F">
      <w:start w:val="1"/>
      <w:numFmt w:val="decimal"/>
      <w:lvlText w:val="%2."/>
      <w:lvlJc w:val="left"/>
      <w:pPr>
        <w:ind w:left="2790" w:hanging="360"/>
      </w:pPr>
    </w:lvl>
    <w:lvl w:ilvl="2" w:tplc="E0802690">
      <w:start w:val="1"/>
      <w:numFmt w:val="decimal"/>
      <w:lvlText w:val="%3."/>
      <w:lvlJc w:val="left"/>
      <w:pPr>
        <w:ind w:left="3510" w:hanging="180"/>
      </w:pPr>
      <w:rPr>
        <w:rFonts w:hint="default"/>
      </w:rPr>
    </w:lvl>
    <w:lvl w:ilvl="3" w:tplc="04090019">
      <w:start w:val="1"/>
      <w:numFmt w:val="lowerLetter"/>
      <w:lvlText w:val="%4."/>
      <w:lvlJc w:val="left"/>
      <w:pPr>
        <w:ind w:left="1620" w:hanging="360"/>
      </w:pPr>
    </w:lvl>
    <w:lvl w:ilvl="4" w:tplc="04090019">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12" w15:restartNumberingAfterBreak="0">
    <w:nsid w:val="46DB7CDB"/>
    <w:multiLevelType w:val="hybridMultilevel"/>
    <w:tmpl w:val="7248921A"/>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720" w:hanging="36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3" w15:restartNumberingAfterBreak="0">
    <w:nsid w:val="474737B8"/>
    <w:multiLevelType w:val="hybridMultilevel"/>
    <w:tmpl w:val="BAEC9C44"/>
    <w:lvl w:ilvl="0" w:tplc="507280F6">
      <w:start w:val="5"/>
      <w:numFmt w:val="decimal"/>
      <w:lvlText w:val="%1."/>
      <w:lvlJc w:val="left"/>
      <w:pPr>
        <w:ind w:left="360" w:hanging="360"/>
      </w:pPr>
      <w:rPr>
        <w:rFonts w:hint="default"/>
        <w:color w:val="auto"/>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4" w15:restartNumberingAfterBreak="0">
    <w:nsid w:val="476E7A11"/>
    <w:multiLevelType w:val="hybridMultilevel"/>
    <w:tmpl w:val="7B46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5" w15:restartNumberingAfterBreak="0">
    <w:nsid w:val="478B71A2"/>
    <w:multiLevelType w:val="hybridMultilevel"/>
    <w:tmpl w:val="24E493D4"/>
    <w:lvl w:ilvl="0" w:tplc="B9CC393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6" w15:restartNumberingAfterBreak="0">
    <w:nsid w:val="480B7EA5"/>
    <w:multiLevelType w:val="hybridMultilevel"/>
    <w:tmpl w:val="ADDC54BE"/>
    <w:lvl w:ilvl="0" w:tplc="0CDCC790">
      <w:start w:val="9"/>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7" w15:restartNumberingAfterBreak="0">
    <w:nsid w:val="48110B19"/>
    <w:multiLevelType w:val="hybridMultilevel"/>
    <w:tmpl w:val="24CAB84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8" w15:restartNumberingAfterBreak="0">
    <w:nsid w:val="483D0924"/>
    <w:multiLevelType w:val="hybridMultilevel"/>
    <w:tmpl w:val="898651D2"/>
    <w:lvl w:ilvl="0" w:tplc="3DF8AF48">
      <w:start w:val="1"/>
      <w:numFmt w:val="lowerLetter"/>
      <w:lvlText w:val="%1."/>
      <w:lvlJc w:val="left"/>
      <w:pPr>
        <w:ind w:left="2340" w:hanging="360"/>
      </w:pPr>
      <w:rPr>
        <w:color w:val="auto"/>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19" w15:restartNumberingAfterBreak="0">
    <w:nsid w:val="48494DDF"/>
    <w:multiLevelType w:val="hybridMultilevel"/>
    <w:tmpl w:val="5394D2E6"/>
    <w:lvl w:ilvl="0" w:tplc="90463F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0" w15:restartNumberingAfterBreak="0">
    <w:nsid w:val="49627115"/>
    <w:multiLevelType w:val="hybridMultilevel"/>
    <w:tmpl w:val="1F100B94"/>
    <w:lvl w:ilvl="0" w:tplc="7D48B956">
      <w:start w:val="4"/>
      <w:numFmt w:val="lowerLetter"/>
      <w:lvlText w:val="(%1)"/>
      <w:lvlJc w:val="left"/>
      <w:pPr>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1" w15:restartNumberingAfterBreak="0">
    <w:nsid w:val="4A0A3615"/>
    <w:multiLevelType w:val="hybridMultilevel"/>
    <w:tmpl w:val="F1FE3576"/>
    <w:lvl w:ilvl="0" w:tplc="0409001B">
      <w:start w:val="1"/>
      <w:numFmt w:val="lowerRoman"/>
      <w:lvlText w:val="%1."/>
      <w:lvlJc w:val="right"/>
      <w:pPr>
        <w:ind w:left="4718" w:hanging="360"/>
      </w:pPr>
    </w:lvl>
    <w:lvl w:ilvl="1" w:tplc="04090019">
      <w:start w:val="1"/>
      <w:numFmt w:val="lowerLetter"/>
      <w:lvlText w:val="%2."/>
      <w:lvlJc w:val="left"/>
      <w:pPr>
        <w:ind w:left="5438" w:hanging="360"/>
      </w:pPr>
    </w:lvl>
    <w:lvl w:ilvl="2" w:tplc="0409001B">
      <w:start w:val="1"/>
      <w:numFmt w:val="lowerRoman"/>
      <w:lvlText w:val="%3."/>
      <w:lvlJc w:val="right"/>
      <w:pPr>
        <w:ind w:left="6158" w:hanging="180"/>
      </w:pPr>
    </w:lvl>
    <w:lvl w:ilvl="3" w:tplc="0409000F" w:tentative="1">
      <w:start w:val="1"/>
      <w:numFmt w:val="decimal"/>
      <w:lvlText w:val="%4."/>
      <w:lvlJc w:val="left"/>
      <w:pPr>
        <w:ind w:left="6878" w:hanging="360"/>
      </w:pPr>
    </w:lvl>
    <w:lvl w:ilvl="4" w:tplc="04090019" w:tentative="1">
      <w:start w:val="1"/>
      <w:numFmt w:val="lowerLetter"/>
      <w:lvlText w:val="%5."/>
      <w:lvlJc w:val="left"/>
      <w:pPr>
        <w:ind w:left="7598" w:hanging="360"/>
      </w:pPr>
    </w:lvl>
    <w:lvl w:ilvl="5" w:tplc="0409001B" w:tentative="1">
      <w:start w:val="1"/>
      <w:numFmt w:val="lowerRoman"/>
      <w:lvlText w:val="%6."/>
      <w:lvlJc w:val="right"/>
      <w:pPr>
        <w:ind w:left="8318" w:hanging="180"/>
      </w:pPr>
    </w:lvl>
    <w:lvl w:ilvl="6" w:tplc="0409000F" w:tentative="1">
      <w:start w:val="1"/>
      <w:numFmt w:val="decimal"/>
      <w:lvlText w:val="%7."/>
      <w:lvlJc w:val="left"/>
      <w:pPr>
        <w:ind w:left="9038" w:hanging="360"/>
      </w:pPr>
    </w:lvl>
    <w:lvl w:ilvl="7" w:tplc="04090019" w:tentative="1">
      <w:start w:val="1"/>
      <w:numFmt w:val="lowerLetter"/>
      <w:lvlText w:val="%8."/>
      <w:lvlJc w:val="left"/>
      <w:pPr>
        <w:ind w:left="9758" w:hanging="360"/>
      </w:pPr>
    </w:lvl>
    <w:lvl w:ilvl="8" w:tplc="0409001B" w:tentative="1">
      <w:start w:val="1"/>
      <w:numFmt w:val="lowerRoman"/>
      <w:lvlText w:val="%9."/>
      <w:lvlJc w:val="right"/>
      <w:pPr>
        <w:ind w:left="10478" w:hanging="180"/>
      </w:pPr>
    </w:lvl>
  </w:abstractNum>
  <w:abstractNum w:abstractNumId="1022" w15:restartNumberingAfterBreak="0">
    <w:nsid w:val="4A81021E"/>
    <w:multiLevelType w:val="hybridMultilevel"/>
    <w:tmpl w:val="D4B26904"/>
    <w:lvl w:ilvl="0" w:tplc="04090001">
      <w:start w:val="1"/>
      <w:numFmt w:val="bullet"/>
      <w:lvlText w:val=""/>
      <w:lvlJc w:val="left"/>
      <w:rPr>
        <w:rFonts w:ascii="Symbol" w:hAnsi="Symbol" w:hint="default"/>
      </w:rPr>
    </w:lvl>
    <w:lvl w:ilvl="1" w:tplc="49CA2830">
      <w:start w:val="1"/>
      <w:numFmt w:val="bullet"/>
      <w:lvlText w:val="&quot;"/>
      <w:lvlJc w:val="left"/>
    </w:lvl>
    <w:lvl w:ilvl="2" w:tplc="067E5B08">
      <w:start w:val="1"/>
      <w:numFmt w:val="bullet"/>
      <w:lvlText w:val="•"/>
      <w:lvlJc w:val="left"/>
    </w:lvl>
    <w:lvl w:ilvl="3" w:tplc="AFA273F6">
      <w:numFmt w:val="decimal"/>
      <w:lvlText w:val=""/>
      <w:lvlJc w:val="left"/>
    </w:lvl>
    <w:lvl w:ilvl="4" w:tplc="34E6D8A0">
      <w:numFmt w:val="decimal"/>
      <w:lvlText w:val=""/>
      <w:lvlJc w:val="left"/>
    </w:lvl>
    <w:lvl w:ilvl="5" w:tplc="07C8CE9C">
      <w:numFmt w:val="decimal"/>
      <w:lvlText w:val=""/>
      <w:lvlJc w:val="left"/>
    </w:lvl>
    <w:lvl w:ilvl="6" w:tplc="AF84D864">
      <w:numFmt w:val="decimal"/>
      <w:lvlText w:val=""/>
      <w:lvlJc w:val="left"/>
    </w:lvl>
    <w:lvl w:ilvl="7" w:tplc="F3B28218">
      <w:numFmt w:val="decimal"/>
      <w:lvlText w:val=""/>
      <w:lvlJc w:val="left"/>
    </w:lvl>
    <w:lvl w:ilvl="8" w:tplc="5E7E6A96">
      <w:numFmt w:val="decimal"/>
      <w:lvlText w:val=""/>
      <w:lvlJc w:val="left"/>
    </w:lvl>
  </w:abstractNum>
  <w:abstractNum w:abstractNumId="1023" w15:restartNumberingAfterBreak="0">
    <w:nsid w:val="4AC933B7"/>
    <w:multiLevelType w:val="hybridMultilevel"/>
    <w:tmpl w:val="3F82BBE6"/>
    <w:lvl w:ilvl="0" w:tplc="017C35D6">
      <w:start w:val="1"/>
      <w:numFmt w:val="decimal"/>
      <w:lvlText w:val="%1"/>
      <w:lvlJc w:val="left"/>
      <w:pPr>
        <w:ind w:left="0" w:firstLine="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4" w15:restartNumberingAfterBreak="0">
    <w:nsid w:val="4AD51480"/>
    <w:multiLevelType w:val="hybridMultilevel"/>
    <w:tmpl w:val="65FAB42C"/>
    <w:lvl w:ilvl="0" w:tplc="7950873C">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5" w15:restartNumberingAfterBreak="0">
    <w:nsid w:val="4B63555C"/>
    <w:multiLevelType w:val="hybridMultilevel"/>
    <w:tmpl w:val="E0361B62"/>
    <w:lvl w:ilvl="0" w:tplc="04090019">
      <w:start w:val="1"/>
      <w:numFmt w:val="lowerLetter"/>
      <w:lvlText w:val="%1."/>
      <w:lvlJc w:val="left"/>
      <w:pPr>
        <w:ind w:left="2635" w:hanging="360"/>
      </w:pPr>
    </w:lvl>
    <w:lvl w:ilvl="1" w:tplc="04090019" w:tentative="1">
      <w:start w:val="1"/>
      <w:numFmt w:val="lowerLetter"/>
      <w:lvlText w:val="%2."/>
      <w:lvlJc w:val="left"/>
      <w:pPr>
        <w:ind w:left="3355" w:hanging="360"/>
      </w:pPr>
    </w:lvl>
    <w:lvl w:ilvl="2" w:tplc="0409001B" w:tentative="1">
      <w:start w:val="1"/>
      <w:numFmt w:val="lowerRoman"/>
      <w:lvlText w:val="%3."/>
      <w:lvlJc w:val="right"/>
      <w:pPr>
        <w:ind w:left="4075" w:hanging="180"/>
      </w:pPr>
    </w:lvl>
    <w:lvl w:ilvl="3" w:tplc="0409000F" w:tentative="1">
      <w:start w:val="1"/>
      <w:numFmt w:val="decimal"/>
      <w:lvlText w:val="%4."/>
      <w:lvlJc w:val="left"/>
      <w:pPr>
        <w:ind w:left="4795" w:hanging="360"/>
      </w:pPr>
    </w:lvl>
    <w:lvl w:ilvl="4" w:tplc="04090019" w:tentative="1">
      <w:start w:val="1"/>
      <w:numFmt w:val="lowerLetter"/>
      <w:lvlText w:val="%5."/>
      <w:lvlJc w:val="left"/>
      <w:pPr>
        <w:ind w:left="5515" w:hanging="360"/>
      </w:pPr>
    </w:lvl>
    <w:lvl w:ilvl="5" w:tplc="0409001B" w:tentative="1">
      <w:start w:val="1"/>
      <w:numFmt w:val="lowerRoman"/>
      <w:lvlText w:val="%6."/>
      <w:lvlJc w:val="right"/>
      <w:pPr>
        <w:ind w:left="6235" w:hanging="180"/>
      </w:pPr>
    </w:lvl>
    <w:lvl w:ilvl="6" w:tplc="0409000F" w:tentative="1">
      <w:start w:val="1"/>
      <w:numFmt w:val="decimal"/>
      <w:lvlText w:val="%7."/>
      <w:lvlJc w:val="left"/>
      <w:pPr>
        <w:ind w:left="6955" w:hanging="360"/>
      </w:pPr>
    </w:lvl>
    <w:lvl w:ilvl="7" w:tplc="04090019" w:tentative="1">
      <w:start w:val="1"/>
      <w:numFmt w:val="lowerLetter"/>
      <w:lvlText w:val="%8."/>
      <w:lvlJc w:val="left"/>
      <w:pPr>
        <w:ind w:left="7675" w:hanging="360"/>
      </w:pPr>
    </w:lvl>
    <w:lvl w:ilvl="8" w:tplc="0409001B" w:tentative="1">
      <w:start w:val="1"/>
      <w:numFmt w:val="lowerRoman"/>
      <w:lvlText w:val="%9."/>
      <w:lvlJc w:val="right"/>
      <w:pPr>
        <w:ind w:left="8395" w:hanging="180"/>
      </w:pPr>
    </w:lvl>
  </w:abstractNum>
  <w:abstractNum w:abstractNumId="1026" w15:restartNumberingAfterBreak="0">
    <w:nsid w:val="4C1201DB"/>
    <w:multiLevelType w:val="hybridMultilevel"/>
    <w:tmpl w:val="893E7B60"/>
    <w:lvl w:ilvl="0" w:tplc="7646F174">
      <w:start w:val="2"/>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6A89DAC">
      <w:start w:val="1"/>
      <w:numFmt w:val="lowerRoman"/>
      <w:lvlText w:val="%3."/>
      <w:lvlJc w:val="left"/>
      <w:pPr>
        <w:ind w:left="279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7" w15:restartNumberingAfterBreak="0">
    <w:nsid w:val="4D324D7A"/>
    <w:multiLevelType w:val="hybridMultilevel"/>
    <w:tmpl w:val="10469266"/>
    <w:lvl w:ilvl="0" w:tplc="87C89F6C">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8" w15:restartNumberingAfterBreak="0">
    <w:nsid w:val="4D962FF3"/>
    <w:multiLevelType w:val="hybridMultilevel"/>
    <w:tmpl w:val="7C7ABFC2"/>
    <w:lvl w:ilvl="0" w:tplc="3F6A5880">
      <w:start w:val="9"/>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9" w15:restartNumberingAfterBreak="0">
    <w:nsid w:val="4D987C22"/>
    <w:multiLevelType w:val="hybridMultilevel"/>
    <w:tmpl w:val="600298A6"/>
    <w:lvl w:ilvl="0" w:tplc="49ACC5D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0" w15:restartNumberingAfterBreak="0">
    <w:nsid w:val="4E7641BA"/>
    <w:multiLevelType w:val="hybridMultilevel"/>
    <w:tmpl w:val="4912A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1" w15:restartNumberingAfterBreak="0">
    <w:nsid w:val="4FDA262B"/>
    <w:multiLevelType w:val="hybridMultilevel"/>
    <w:tmpl w:val="0634367E"/>
    <w:lvl w:ilvl="0" w:tplc="CE8A2EB2">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2" w15:restartNumberingAfterBreak="0">
    <w:nsid w:val="51921D10"/>
    <w:multiLevelType w:val="hybridMultilevel"/>
    <w:tmpl w:val="35BA7FE2"/>
    <w:lvl w:ilvl="0" w:tplc="FFFFFFFF">
      <w:start w:val="1"/>
      <w:numFmt w:val="decimal"/>
      <w:lvlText w:val="%1."/>
      <w:lvlJc w:val="left"/>
      <w:pPr>
        <w:ind w:left="10620" w:hanging="360"/>
      </w:pPr>
    </w:lvl>
    <w:lvl w:ilvl="1" w:tplc="FFFFFFFF">
      <w:start w:val="1"/>
      <w:numFmt w:val="lowerLetter"/>
      <w:lvlText w:val="%2."/>
      <w:lvlJc w:val="left"/>
      <w:pPr>
        <w:ind w:left="1440" w:hanging="360"/>
      </w:pPr>
    </w:lvl>
    <w:lvl w:ilvl="2" w:tplc="FFFFFFFF">
      <w:start w:val="1"/>
      <w:numFmt w:val="lowerRoman"/>
      <w:lvlText w:val="%3."/>
      <w:lvlJc w:val="right"/>
      <w:pPr>
        <w:ind w:left="162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3" w15:restartNumberingAfterBreak="0">
    <w:nsid w:val="52177EDB"/>
    <w:multiLevelType w:val="hybridMultilevel"/>
    <w:tmpl w:val="BECA0418"/>
    <w:lvl w:ilvl="0" w:tplc="F2A8D51C">
      <w:start w:val="1"/>
      <w:numFmt w:val="lowerLetter"/>
      <w:lvlText w:val="(%1)"/>
      <w:lvlJc w:val="left"/>
      <w:pPr>
        <w:ind w:left="180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34" w15:restartNumberingAfterBreak="0">
    <w:nsid w:val="52387B68"/>
    <w:multiLevelType w:val="hybridMultilevel"/>
    <w:tmpl w:val="26D4189C"/>
    <w:lvl w:ilvl="0" w:tplc="186A0ECC">
      <w:start w:val="1"/>
      <w:numFmt w:val="decimal"/>
      <w:lvlText w:val="%1"/>
      <w:lvlJc w:val="left"/>
      <w:pPr>
        <w:ind w:left="0" w:firstLine="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5" w15:restartNumberingAfterBreak="0">
    <w:nsid w:val="52820A42"/>
    <w:multiLevelType w:val="hybridMultilevel"/>
    <w:tmpl w:val="F4982DAA"/>
    <w:lvl w:ilvl="0" w:tplc="347E0D3E">
      <w:start w:val="1"/>
      <w:numFmt w:val="decimal"/>
      <w:lvlText w:val="%1"/>
      <w:lvlJc w:val="left"/>
      <w:pPr>
        <w:ind w:left="0" w:firstLine="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6" w15:restartNumberingAfterBreak="0">
    <w:nsid w:val="52FE2EC4"/>
    <w:multiLevelType w:val="hybridMultilevel"/>
    <w:tmpl w:val="AC027DA8"/>
    <w:lvl w:ilvl="0" w:tplc="9F786F06">
      <w:start w:val="3"/>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7" w15:restartNumberingAfterBreak="0">
    <w:nsid w:val="53180673"/>
    <w:multiLevelType w:val="hybridMultilevel"/>
    <w:tmpl w:val="380A334E"/>
    <w:lvl w:ilvl="0" w:tplc="6480E4EA">
      <w:start w:val="1"/>
      <w:numFmt w:val="lowerRoman"/>
      <w:lvlText w:val="(%1)"/>
      <w:lvlJc w:val="left"/>
      <w:pPr>
        <w:ind w:left="360" w:hanging="360"/>
      </w:pPr>
      <w:rPr>
        <w:rFonts w:hint="default"/>
      </w:rPr>
    </w:lvl>
    <w:lvl w:ilvl="1" w:tplc="04090019" w:tentative="1">
      <w:start w:val="1"/>
      <w:numFmt w:val="lowerLetter"/>
      <w:lvlText w:val="%2."/>
      <w:lvlJc w:val="left"/>
      <w:pPr>
        <w:ind w:left="980" w:hanging="360"/>
      </w:pPr>
    </w:lvl>
    <w:lvl w:ilvl="2" w:tplc="0409001B" w:tentative="1">
      <w:start w:val="1"/>
      <w:numFmt w:val="lowerRoman"/>
      <w:lvlText w:val="%3."/>
      <w:lvlJc w:val="right"/>
      <w:pPr>
        <w:ind w:left="1700" w:hanging="180"/>
      </w:pPr>
    </w:lvl>
    <w:lvl w:ilvl="3" w:tplc="0409000F" w:tentative="1">
      <w:start w:val="1"/>
      <w:numFmt w:val="decimal"/>
      <w:lvlText w:val="%4."/>
      <w:lvlJc w:val="left"/>
      <w:pPr>
        <w:ind w:left="2420" w:hanging="360"/>
      </w:pPr>
    </w:lvl>
    <w:lvl w:ilvl="4" w:tplc="04090019" w:tentative="1">
      <w:start w:val="1"/>
      <w:numFmt w:val="lowerLetter"/>
      <w:lvlText w:val="%5."/>
      <w:lvlJc w:val="left"/>
      <w:pPr>
        <w:ind w:left="3140" w:hanging="360"/>
      </w:pPr>
    </w:lvl>
    <w:lvl w:ilvl="5" w:tplc="0409001B" w:tentative="1">
      <w:start w:val="1"/>
      <w:numFmt w:val="lowerRoman"/>
      <w:lvlText w:val="%6."/>
      <w:lvlJc w:val="right"/>
      <w:pPr>
        <w:ind w:left="3860" w:hanging="180"/>
      </w:pPr>
    </w:lvl>
    <w:lvl w:ilvl="6" w:tplc="0409000F" w:tentative="1">
      <w:start w:val="1"/>
      <w:numFmt w:val="decimal"/>
      <w:lvlText w:val="%7."/>
      <w:lvlJc w:val="left"/>
      <w:pPr>
        <w:ind w:left="4580" w:hanging="360"/>
      </w:pPr>
    </w:lvl>
    <w:lvl w:ilvl="7" w:tplc="04090019" w:tentative="1">
      <w:start w:val="1"/>
      <w:numFmt w:val="lowerLetter"/>
      <w:lvlText w:val="%8."/>
      <w:lvlJc w:val="left"/>
      <w:pPr>
        <w:ind w:left="5300" w:hanging="360"/>
      </w:pPr>
    </w:lvl>
    <w:lvl w:ilvl="8" w:tplc="0409001B" w:tentative="1">
      <w:start w:val="1"/>
      <w:numFmt w:val="lowerRoman"/>
      <w:lvlText w:val="%9."/>
      <w:lvlJc w:val="right"/>
      <w:pPr>
        <w:ind w:left="6020" w:hanging="180"/>
      </w:pPr>
    </w:lvl>
  </w:abstractNum>
  <w:abstractNum w:abstractNumId="1038" w15:restartNumberingAfterBreak="0">
    <w:nsid w:val="54D372BB"/>
    <w:multiLevelType w:val="hybridMultilevel"/>
    <w:tmpl w:val="8E20F96A"/>
    <w:lvl w:ilvl="0" w:tplc="5AD0460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9" w15:restartNumberingAfterBreak="0">
    <w:nsid w:val="59456862"/>
    <w:multiLevelType w:val="hybridMultilevel"/>
    <w:tmpl w:val="7B1672D6"/>
    <w:lvl w:ilvl="0" w:tplc="F3F0F62C">
      <w:start w:val="1"/>
      <w:numFmt w:val="decimal"/>
      <w:lvlText w:val="%1"/>
      <w:lvlJc w:val="left"/>
      <w:pPr>
        <w:ind w:left="0" w:firstLine="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0" w15:restartNumberingAfterBreak="0">
    <w:nsid w:val="59A13AA2"/>
    <w:multiLevelType w:val="hybridMultilevel"/>
    <w:tmpl w:val="3DD0E8D4"/>
    <w:lvl w:ilvl="0" w:tplc="D1D0D09E">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1" w15:restartNumberingAfterBreak="0">
    <w:nsid w:val="59DF0D62"/>
    <w:multiLevelType w:val="hybridMultilevel"/>
    <w:tmpl w:val="E36C48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2" w15:restartNumberingAfterBreak="0">
    <w:nsid w:val="59E622B7"/>
    <w:multiLevelType w:val="hybridMultilevel"/>
    <w:tmpl w:val="E0E6982A"/>
    <w:lvl w:ilvl="0" w:tplc="4A6EB1C8">
      <w:start w:val="1"/>
      <w:numFmt w:val="upperLetter"/>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3" w15:restartNumberingAfterBreak="0">
    <w:nsid w:val="59EC7948"/>
    <w:multiLevelType w:val="hybridMultilevel"/>
    <w:tmpl w:val="AA364590"/>
    <w:lvl w:ilvl="0" w:tplc="0409001B">
      <w:start w:val="1"/>
      <w:numFmt w:val="lowerRoman"/>
      <w:lvlText w:val="%1."/>
      <w:lvlJc w:val="right"/>
      <w:pPr>
        <w:ind w:left="2808" w:hanging="360"/>
      </w:pPr>
    </w:lvl>
    <w:lvl w:ilvl="1" w:tplc="04090019" w:tentative="1">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1044" w15:restartNumberingAfterBreak="0">
    <w:nsid w:val="5A5A06A4"/>
    <w:multiLevelType w:val="hybridMultilevel"/>
    <w:tmpl w:val="D808546E"/>
    <w:lvl w:ilvl="0" w:tplc="1FDA5970">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5" w15:restartNumberingAfterBreak="0">
    <w:nsid w:val="5B2E3190"/>
    <w:multiLevelType w:val="hybridMultilevel"/>
    <w:tmpl w:val="5E3A6840"/>
    <w:lvl w:ilvl="0" w:tplc="6EB211E4">
      <w:start w:val="1"/>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6" w15:restartNumberingAfterBreak="0">
    <w:nsid w:val="5B5F0B10"/>
    <w:multiLevelType w:val="hybridMultilevel"/>
    <w:tmpl w:val="4588C792"/>
    <w:lvl w:ilvl="0" w:tplc="905ED7E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7" w15:restartNumberingAfterBreak="0">
    <w:nsid w:val="5D763FBF"/>
    <w:multiLevelType w:val="hybridMultilevel"/>
    <w:tmpl w:val="84926F76"/>
    <w:lvl w:ilvl="0" w:tplc="7C5A176A">
      <w:start w:val="2"/>
      <w:numFmt w:val="lowerRoman"/>
      <w:lvlText w:val="%1."/>
      <w:lvlJc w:val="left"/>
      <w:pPr>
        <w:ind w:left="266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8" w15:restartNumberingAfterBreak="0">
    <w:nsid w:val="5DFC49EE"/>
    <w:multiLevelType w:val="hybridMultilevel"/>
    <w:tmpl w:val="898651D2"/>
    <w:lvl w:ilvl="0" w:tplc="FFFFFFFF">
      <w:start w:val="1"/>
      <w:numFmt w:val="lowerLetter"/>
      <w:lvlText w:val="%1."/>
      <w:lvlJc w:val="left"/>
      <w:pPr>
        <w:ind w:left="261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9" w15:restartNumberingAfterBreak="0">
    <w:nsid w:val="5E0C442E"/>
    <w:multiLevelType w:val="hybridMultilevel"/>
    <w:tmpl w:val="AB3CA070"/>
    <w:lvl w:ilvl="0" w:tplc="FDAE9CBC">
      <w:start w:val="1"/>
      <w:numFmt w:val="upperLetter"/>
      <w:lvlText w:val="(%1)"/>
      <w:lvlJc w:val="left"/>
      <w:pPr>
        <w:ind w:left="726" w:hanging="360"/>
      </w:pPr>
    </w:lvl>
    <w:lvl w:ilvl="1" w:tplc="04090019">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050" w15:restartNumberingAfterBreak="0">
    <w:nsid w:val="62373088"/>
    <w:multiLevelType w:val="hybridMultilevel"/>
    <w:tmpl w:val="BB265A44"/>
    <w:lvl w:ilvl="0" w:tplc="F3F0F62C">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1" w15:restartNumberingAfterBreak="0">
    <w:nsid w:val="65192ABA"/>
    <w:multiLevelType w:val="hybridMultilevel"/>
    <w:tmpl w:val="CEF40C74"/>
    <w:lvl w:ilvl="0" w:tplc="F3F0F62C">
      <w:start w:val="1"/>
      <w:numFmt w:val="decimal"/>
      <w:lvlText w:val="%1"/>
      <w:lvlJc w:val="left"/>
      <w:pPr>
        <w:ind w:left="0" w:firstLine="0"/>
      </w:pPr>
      <w:rPr>
        <w:rFonts w:hint="default"/>
        <w:strike w:val="0"/>
        <w:dstrike w:val="0"/>
        <w:sz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2" w15:restartNumberingAfterBreak="0">
    <w:nsid w:val="65AA0A30"/>
    <w:multiLevelType w:val="hybridMultilevel"/>
    <w:tmpl w:val="6DA0FEA4"/>
    <w:lvl w:ilvl="0" w:tplc="4C62996E">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53" w15:restartNumberingAfterBreak="0">
    <w:nsid w:val="6687057D"/>
    <w:multiLevelType w:val="hybridMultilevel"/>
    <w:tmpl w:val="489AC52C"/>
    <w:lvl w:ilvl="0" w:tplc="D4426BB2">
      <w:start w:val="1"/>
      <w:numFmt w:val="upperLetter"/>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4" w15:restartNumberingAfterBreak="0">
    <w:nsid w:val="66D70B8F"/>
    <w:multiLevelType w:val="hybridMultilevel"/>
    <w:tmpl w:val="279863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5" w15:restartNumberingAfterBreak="0">
    <w:nsid w:val="66E777C7"/>
    <w:multiLevelType w:val="hybridMultilevel"/>
    <w:tmpl w:val="C7B0241E"/>
    <w:lvl w:ilvl="0" w:tplc="D47EA540">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56" w15:restartNumberingAfterBreak="0">
    <w:nsid w:val="671F6B87"/>
    <w:multiLevelType w:val="hybridMultilevel"/>
    <w:tmpl w:val="CAAA7F9A"/>
    <w:lvl w:ilvl="0" w:tplc="E0802690">
      <w:start w:val="1"/>
      <w:numFmt w:val="decimal"/>
      <w:lvlText w:val="%1."/>
      <w:lvlJc w:val="left"/>
      <w:pPr>
        <w:ind w:left="225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7" w15:restartNumberingAfterBreak="0">
    <w:nsid w:val="68041E36"/>
    <w:multiLevelType w:val="hybridMultilevel"/>
    <w:tmpl w:val="8F845AF8"/>
    <w:lvl w:ilvl="0" w:tplc="49B8B094">
      <w:start w:val="7"/>
      <w:numFmt w:val="decimal"/>
      <w:lvlText w:val="(%1)"/>
      <w:lvlJc w:val="left"/>
      <w:pPr>
        <w:ind w:left="12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8" w15:restartNumberingAfterBreak="0">
    <w:nsid w:val="68A6799F"/>
    <w:multiLevelType w:val="hybridMultilevel"/>
    <w:tmpl w:val="B28E7926"/>
    <w:lvl w:ilvl="0" w:tplc="F3F0F62C">
      <w:start w:val="1"/>
      <w:numFmt w:val="decimal"/>
      <w:lvlText w:val="%1"/>
      <w:lvlJc w:val="left"/>
      <w:pPr>
        <w:ind w:left="0" w:firstLine="0"/>
      </w:pPr>
      <w:rPr>
        <w:rFonts w:hint="default"/>
        <w:strike w:val="0"/>
        <w:dstrike w:val="0"/>
        <w:sz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9" w15:restartNumberingAfterBreak="0">
    <w:nsid w:val="68BB08F7"/>
    <w:multiLevelType w:val="hybridMultilevel"/>
    <w:tmpl w:val="3D5C5D60"/>
    <w:lvl w:ilvl="0" w:tplc="0BE2517C">
      <w:start w:val="1"/>
      <w:numFmt w:val="lowerRoman"/>
      <w:lvlText w:val="%1."/>
      <w:lvlJc w:val="left"/>
      <w:pPr>
        <w:ind w:left="261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0" w15:restartNumberingAfterBreak="0">
    <w:nsid w:val="692D2A51"/>
    <w:multiLevelType w:val="hybridMultilevel"/>
    <w:tmpl w:val="8AD6A70A"/>
    <w:lvl w:ilvl="0" w:tplc="FFFFFFFF">
      <w:start w:val="1"/>
      <w:numFmt w:val="lowerLetter"/>
      <w:lvlText w:val="(%1)"/>
      <w:lvlJc w:val="left"/>
      <w:pPr>
        <w:ind w:left="16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1" w15:restartNumberingAfterBreak="0">
    <w:nsid w:val="6BDA4A68"/>
    <w:multiLevelType w:val="hybridMultilevel"/>
    <w:tmpl w:val="566CF978"/>
    <w:lvl w:ilvl="0" w:tplc="FFFFFFFF">
      <w:start w:val="1"/>
      <w:numFmt w:val="decimal"/>
      <w:lvlText w:val="%1."/>
      <w:lvlJc w:val="left"/>
      <w:pPr>
        <w:ind w:left="720" w:hanging="360"/>
      </w:pPr>
    </w:lvl>
    <w:lvl w:ilvl="1" w:tplc="FFFFFFFF">
      <w:start w:val="1"/>
      <w:numFmt w:val="lowerLetter"/>
      <w:lvlText w:val="%2."/>
      <w:lvlJc w:val="left"/>
      <w:pPr>
        <w:ind w:left="2070" w:hanging="360"/>
      </w:pPr>
    </w:lvl>
    <w:lvl w:ilvl="2" w:tplc="04090019">
      <w:start w:val="1"/>
      <w:numFmt w:val="lowerLetter"/>
      <w:lvlText w:val="%3."/>
      <w:lvlJc w:val="left"/>
      <w:pPr>
        <w:ind w:left="2070" w:hanging="360"/>
      </w:pPr>
    </w:lvl>
    <w:lvl w:ilvl="3" w:tplc="FFFFFFFF">
      <w:start w:val="1"/>
      <w:numFmt w:val="lowerLetter"/>
      <w:lvlText w:val="%4."/>
      <w:lvlJc w:val="left"/>
      <w:pPr>
        <w:ind w:left="1440" w:hanging="360"/>
      </w:pPr>
    </w:lvl>
    <w:lvl w:ilvl="4" w:tplc="FFFFFFFF">
      <w:start w:val="1"/>
      <w:numFmt w:val="lowerLetter"/>
      <w:lvlText w:val="%5."/>
      <w:lvlJc w:val="left"/>
      <w:pPr>
        <w:ind w:left="117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2" w15:restartNumberingAfterBreak="0">
    <w:nsid w:val="70D20A82"/>
    <w:multiLevelType w:val="hybridMultilevel"/>
    <w:tmpl w:val="7794C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3" w15:restartNumberingAfterBreak="0">
    <w:nsid w:val="70EF404C"/>
    <w:multiLevelType w:val="hybridMultilevel"/>
    <w:tmpl w:val="D3B4163E"/>
    <w:lvl w:ilvl="0" w:tplc="905ED7EE">
      <w:start w:val="1"/>
      <w:numFmt w:val="lowerLetter"/>
      <w:lvlText w:val="(%1)"/>
      <w:lvlJc w:val="left"/>
      <w:pPr>
        <w:ind w:left="2160" w:hanging="360"/>
      </w:pPr>
    </w:lvl>
    <w:lvl w:ilvl="1" w:tplc="905ED7EE">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4" w15:restartNumberingAfterBreak="0">
    <w:nsid w:val="71546FD4"/>
    <w:multiLevelType w:val="hybridMultilevel"/>
    <w:tmpl w:val="EDAA3ECC"/>
    <w:lvl w:ilvl="0" w:tplc="CAB88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5" w15:restartNumberingAfterBreak="0">
    <w:nsid w:val="719F3D14"/>
    <w:multiLevelType w:val="hybridMultilevel"/>
    <w:tmpl w:val="D890A896"/>
    <w:lvl w:ilvl="0" w:tplc="DB3298C2">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6" w15:restartNumberingAfterBreak="0">
    <w:nsid w:val="71AE0287"/>
    <w:multiLevelType w:val="hybridMultilevel"/>
    <w:tmpl w:val="C4D25848"/>
    <w:lvl w:ilvl="0" w:tplc="C074CB04">
      <w:start w:val="1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7" w15:restartNumberingAfterBreak="0">
    <w:nsid w:val="71C560F2"/>
    <w:multiLevelType w:val="hybridMultilevel"/>
    <w:tmpl w:val="14B47CA4"/>
    <w:lvl w:ilvl="0" w:tplc="FB08EED8">
      <w:start w:val="1"/>
      <w:numFmt w:val="decimal"/>
      <w:lvlText w:val="%1"/>
      <w:lvlJc w:val="left"/>
      <w:pPr>
        <w:ind w:left="0" w:firstLine="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8" w15:restartNumberingAfterBreak="0">
    <w:nsid w:val="722547F1"/>
    <w:multiLevelType w:val="hybridMultilevel"/>
    <w:tmpl w:val="489613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9" w15:restartNumberingAfterBreak="0">
    <w:nsid w:val="722E242D"/>
    <w:multiLevelType w:val="hybridMultilevel"/>
    <w:tmpl w:val="1164A5FC"/>
    <w:lvl w:ilvl="0" w:tplc="D854BE6C">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0" w15:restartNumberingAfterBreak="0">
    <w:nsid w:val="72A3150F"/>
    <w:multiLevelType w:val="hybridMultilevel"/>
    <w:tmpl w:val="898651D2"/>
    <w:lvl w:ilvl="0" w:tplc="FFFFFFFF">
      <w:start w:val="1"/>
      <w:numFmt w:val="lowerLetter"/>
      <w:lvlText w:val="%1."/>
      <w:lvlJc w:val="left"/>
      <w:pPr>
        <w:ind w:left="261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1" w15:restartNumberingAfterBreak="0">
    <w:nsid w:val="72CD72F4"/>
    <w:multiLevelType w:val="hybridMultilevel"/>
    <w:tmpl w:val="392A6C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2" w15:restartNumberingAfterBreak="0">
    <w:nsid w:val="73514B20"/>
    <w:multiLevelType w:val="hybridMultilevel"/>
    <w:tmpl w:val="9A6CC794"/>
    <w:lvl w:ilvl="0" w:tplc="F0685AC6">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3" w15:restartNumberingAfterBreak="0">
    <w:nsid w:val="7426141C"/>
    <w:multiLevelType w:val="hybridMultilevel"/>
    <w:tmpl w:val="76C0421A"/>
    <w:lvl w:ilvl="0" w:tplc="B55E4BFE">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4" w15:restartNumberingAfterBreak="0">
    <w:nsid w:val="74291AE0"/>
    <w:multiLevelType w:val="hybridMultilevel"/>
    <w:tmpl w:val="79B8E7F6"/>
    <w:lvl w:ilvl="0" w:tplc="D23A7084">
      <w:start w:val="2"/>
      <w:numFmt w:val="lowerLetter"/>
      <w:lvlText w:val="(%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5" w15:restartNumberingAfterBreak="0">
    <w:nsid w:val="74A07B3A"/>
    <w:multiLevelType w:val="hybridMultilevel"/>
    <w:tmpl w:val="767E5F38"/>
    <w:lvl w:ilvl="0" w:tplc="04090019">
      <w:start w:val="1"/>
      <w:numFmt w:val="lowerLetter"/>
      <w:lvlText w:val="%1."/>
      <w:lvlJc w:val="left"/>
      <w:pPr>
        <w:ind w:left="2995" w:hanging="360"/>
      </w:pPr>
    </w:lvl>
    <w:lvl w:ilvl="1" w:tplc="04090019">
      <w:start w:val="1"/>
      <w:numFmt w:val="lowerLetter"/>
      <w:lvlText w:val="%2."/>
      <w:lvlJc w:val="left"/>
      <w:pPr>
        <w:ind w:left="3715" w:hanging="360"/>
      </w:pPr>
    </w:lvl>
    <w:lvl w:ilvl="2" w:tplc="0409001B" w:tentative="1">
      <w:start w:val="1"/>
      <w:numFmt w:val="lowerRoman"/>
      <w:lvlText w:val="%3."/>
      <w:lvlJc w:val="right"/>
      <w:pPr>
        <w:ind w:left="4435" w:hanging="180"/>
      </w:pPr>
    </w:lvl>
    <w:lvl w:ilvl="3" w:tplc="0409000F" w:tentative="1">
      <w:start w:val="1"/>
      <w:numFmt w:val="decimal"/>
      <w:lvlText w:val="%4."/>
      <w:lvlJc w:val="left"/>
      <w:pPr>
        <w:ind w:left="5155" w:hanging="360"/>
      </w:pPr>
    </w:lvl>
    <w:lvl w:ilvl="4" w:tplc="04090019" w:tentative="1">
      <w:start w:val="1"/>
      <w:numFmt w:val="lowerLetter"/>
      <w:lvlText w:val="%5."/>
      <w:lvlJc w:val="left"/>
      <w:pPr>
        <w:ind w:left="5875" w:hanging="360"/>
      </w:pPr>
    </w:lvl>
    <w:lvl w:ilvl="5" w:tplc="0409001B" w:tentative="1">
      <w:start w:val="1"/>
      <w:numFmt w:val="lowerRoman"/>
      <w:lvlText w:val="%6."/>
      <w:lvlJc w:val="right"/>
      <w:pPr>
        <w:ind w:left="6595" w:hanging="180"/>
      </w:pPr>
    </w:lvl>
    <w:lvl w:ilvl="6" w:tplc="0409000F" w:tentative="1">
      <w:start w:val="1"/>
      <w:numFmt w:val="decimal"/>
      <w:lvlText w:val="%7."/>
      <w:lvlJc w:val="left"/>
      <w:pPr>
        <w:ind w:left="7315" w:hanging="360"/>
      </w:pPr>
    </w:lvl>
    <w:lvl w:ilvl="7" w:tplc="04090019" w:tentative="1">
      <w:start w:val="1"/>
      <w:numFmt w:val="lowerLetter"/>
      <w:lvlText w:val="%8."/>
      <w:lvlJc w:val="left"/>
      <w:pPr>
        <w:ind w:left="8035" w:hanging="360"/>
      </w:pPr>
    </w:lvl>
    <w:lvl w:ilvl="8" w:tplc="0409001B" w:tentative="1">
      <w:start w:val="1"/>
      <w:numFmt w:val="lowerRoman"/>
      <w:lvlText w:val="%9."/>
      <w:lvlJc w:val="right"/>
      <w:pPr>
        <w:ind w:left="8755" w:hanging="180"/>
      </w:pPr>
    </w:lvl>
  </w:abstractNum>
  <w:abstractNum w:abstractNumId="1076" w15:restartNumberingAfterBreak="0">
    <w:nsid w:val="74AA7621"/>
    <w:multiLevelType w:val="hybridMultilevel"/>
    <w:tmpl w:val="2FFAFC9A"/>
    <w:lvl w:ilvl="0" w:tplc="0BE2517C">
      <w:start w:val="1"/>
      <w:numFmt w:val="lowerRoman"/>
      <w:lvlText w:val="%1."/>
      <w:lvlJc w:val="left"/>
      <w:pPr>
        <w:ind w:left="2664" w:hanging="360"/>
      </w:pPr>
      <w:rPr>
        <w:rFonts w:hint="default"/>
        <w:color w:val="auto"/>
      </w:r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1077" w15:restartNumberingAfterBreak="0">
    <w:nsid w:val="75867945"/>
    <w:multiLevelType w:val="hybridMultilevel"/>
    <w:tmpl w:val="898651D2"/>
    <w:lvl w:ilvl="0" w:tplc="FFFFFFFF">
      <w:start w:val="1"/>
      <w:numFmt w:val="lowerLetter"/>
      <w:lvlText w:val="%1."/>
      <w:lvlJc w:val="left"/>
      <w:pPr>
        <w:ind w:left="261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8" w15:restartNumberingAfterBreak="0">
    <w:nsid w:val="76637A7D"/>
    <w:multiLevelType w:val="hybridMultilevel"/>
    <w:tmpl w:val="E64ED648"/>
    <w:lvl w:ilvl="0" w:tplc="04090019">
      <w:start w:val="1"/>
      <w:numFmt w:val="lowerLetter"/>
      <w:lvlText w:val="%1."/>
      <w:lvlJc w:val="left"/>
      <w:pPr>
        <w:ind w:left="3715" w:hanging="360"/>
      </w:pPr>
    </w:lvl>
    <w:lvl w:ilvl="1" w:tplc="04090019" w:tentative="1">
      <w:start w:val="1"/>
      <w:numFmt w:val="lowerLetter"/>
      <w:lvlText w:val="%2."/>
      <w:lvlJc w:val="left"/>
      <w:pPr>
        <w:ind w:left="4435" w:hanging="360"/>
      </w:pPr>
    </w:lvl>
    <w:lvl w:ilvl="2" w:tplc="0409001B" w:tentative="1">
      <w:start w:val="1"/>
      <w:numFmt w:val="lowerRoman"/>
      <w:lvlText w:val="%3."/>
      <w:lvlJc w:val="right"/>
      <w:pPr>
        <w:ind w:left="5155" w:hanging="180"/>
      </w:pPr>
    </w:lvl>
    <w:lvl w:ilvl="3" w:tplc="0409000F" w:tentative="1">
      <w:start w:val="1"/>
      <w:numFmt w:val="decimal"/>
      <w:lvlText w:val="%4."/>
      <w:lvlJc w:val="left"/>
      <w:pPr>
        <w:ind w:left="5875" w:hanging="360"/>
      </w:pPr>
    </w:lvl>
    <w:lvl w:ilvl="4" w:tplc="04090019" w:tentative="1">
      <w:start w:val="1"/>
      <w:numFmt w:val="lowerLetter"/>
      <w:lvlText w:val="%5."/>
      <w:lvlJc w:val="left"/>
      <w:pPr>
        <w:ind w:left="6595" w:hanging="360"/>
      </w:pPr>
    </w:lvl>
    <w:lvl w:ilvl="5" w:tplc="0409001B" w:tentative="1">
      <w:start w:val="1"/>
      <w:numFmt w:val="lowerRoman"/>
      <w:lvlText w:val="%6."/>
      <w:lvlJc w:val="right"/>
      <w:pPr>
        <w:ind w:left="7315" w:hanging="180"/>
      </w:pPr>
    </w:lvl>
    <w:lvl w:ilvl="6" w:tplc="0409000F" w:tentative="1">
      <w:start w:val="1"/>
      <w:numFmt w:val="decimal"/>
      <w:lvlText w:val="%7."/>
      <w:lvlJc w:val="left"/>
      <w:pPr>
        <w:ind w:left="8035" w:hanging="360"/>
      </w:pPr>
    </w:lvl>
    <w:lvl w:ilvl="7" w:tplc="04090019" w:tentative="1">
      <w:start w:val="1"/>
      <w:numFmt w:val="lowerLetter"/>
      <w:lvlText w:val="%8."/>
      <w:lvlJc w:val="left"/>
      <w:pPr>
        <w:ind w:left="8755" w:hanging="360"/>
      </w:pPr>
    </w:lvl>
    <w:lvl w:ilvl="8" w:tplc="0409001B" w:tentative="1">
      <w:start w:val="1"/>
      <w:numFmt w:val="lowerRoman"/>
      <w:lvlText w:val="%9."/>
      <w:lvlJc w:val="right"/>
      <w:pPr>
        <w:ind w:left="9475" w:hanging="180"/>
      </w:pPr>
    </w:lvl>
  </w:abstractNum>
  <w:abstractNum w:abstractNumId="1079" w15:restartNumberingAfterBreak="0">
    <w:nsid w:val="775D0051"/>
    <w:multiLevelType w:val="hybridMultilevel"/>
    <w:tmpl w:val="62CE0C74"/>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0" w15:restartNumberingAfterBreak="0">
    <w:nsid w:val="779B5891"/>
    <w:multiLevelType w:val="hybridMultilevel"/>
    <w:tmpl w:val="CAC6AC86"/>
    <w:lvl w:ilvl="0" w:tplc="281AF8C8">
      <w:start w:val="10"/>
      <w:numFmt w:val="decimal"/>
      <w:lvlText w:val="%1."/>
      <w:lvlJc w:val="left"/>
      <w:pPr>
        <w:ind w:left="0" w:firstLine="0"/>
      </w:pPr>
      <w:rPr>
        <w:rFonts w:hint="default"/>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1" w15:restartNumberingAfterBreak="0">
    <w:nsid w:val="77AB30F3"/>
    <w:multiLevelType w:val="hybridMultilevel"/>
    <w:tmpl w:val="2F486AF4"/>
    <w:lvl w:ilvl="0" w:tplc="6CDA7E86">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2" w15:restartNumberingAfterBreak="0">
    <w:nsid w:val="784B3829"/>
    <w:multiLevelType w:val="hybridMultilevel"/>
    <w:tmpl w:val="C2108632"/>
    <w:lvl w:ilvl="0" w:tplc="AB463964">
      <w:start w:val="9"/>
      <w:numFmt w:val="decimal"/>
      <w:lvlText w:val="(%1)"/>
      <w:lvlJc w:val="left"/>
    </w:lvl>
    <w:lvl w:ilvl="1" w:tplc="0406C164">
      <w:start w:val="1"/>
      <w:numFmt w:val="lowerLetter"/>
      <w:lvlText w:val="(%2)"/>
      <w:lvlJc w:val="left"/>
    </w:lvl>
    <w:lvl w:ilvl="2" w:tplc="CB562C44">
      <w:start w:val="1"/>
      <w:numFmt w:val="decimal"/>
      <w:lvlText w:val="%3."/>
      <w:lvlJc w:val="left"/>
    </w:lvl>
    <w:lvl w:ilvl="3" w:tplc="8B6415C8">
      <w:numFmt w:val="decimal"/>
      <w:lvlText w:val=""/>
      <w:lvlJc w:val="left"/>
    </w:lvl>
    <w:lvl w:ilvl="4" w:tplc="044AC29C">
      <w:numFmt w:val="decimal"/>
      <w:lvlText w:val=""/>
      <w:lvlJc w:val="left"/>
    </w:lvl>
    <w:lvl w:ilvl="5" w:tplc="8C307000">
      <w:numFmt w:val="decimal"/>
      <w:lvlText w:val=""/>
      <w:lvlJc w:val="left"/>
    </w:lvl>
    <w:lvl w:ilvl="6" w:tplc="0EBA39D6">
      <w:numFmt w:val="decimal"/>
      <w:lvlText w:val=""/>
      <w:lvlJc w:val="left"/>
    </w:lvl>
    <w:lvl w:ilvl="7" w:tplc="191EF9BC">
      <w:numFmt w:val="decimal"/>
      <w:lvlText w:val=""/>
      <w:lvlJc w:val="left"/>
    </w:lvl>
    <w:lvl w:ilvl="8" w:tplc="308A7302">
      <w:numFmt w:val="decimal"/>
      <w:lvlText w:val=""/>
      <w:lvlJc w:val="left"/>
    </w:lvl>
  </w:abstractNum>
  <w:abstractNum w:abstractNumId="1083" w15:restartNumberingAfterBreak="0">
    <w:nsid w:val="789F3A1C"/>
    <w:multiLevelType w:val="hybridMultilevel"/>
    <w:tmpl w:val="23E69942"/>
    <w:lvl w:ilvl="0" w:tplc="E43C7C96">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4" w15:restartNumberingAfterBreak="0">
    <w:nsid w:val="79D1107E"/>
    <w:multiLevelType w:val="hybridMultilevel"/>
    <w:tmpl w:val="DB62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5" w15:restartNumberingAfterBreak="0">
    <w:nsid w:val="7AF60AAE"/>
    <w:multiLevelType w:val="hybridMultilevel"/>
    <w:tmpl w:val="DBB2D616"/>
    <w:lvl w:ilvl="0" w:tplc="172C7048">
      <w:start w:val="1"/>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6" w15:restartNumberingAfterBreak="0">
    <w:nsid w:val="7BC32990"/>
    <w:multiLevelType w:val="hybridMultilevel"/>
    <w:tmpl w:val="84926F76"/>
    <w:lvl w:ilvl="0" w:tplc="FFFFFFFF">
      <w:start w:val="2"/>
      <w:numFmt w:val="lowerRoman"/>
      <w:lvlText w:val="%1."/>
      <w:lvlJc w:val="left"/>
      <w:pPr>
        <w:ind w:left="2664"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7" w15:restartNumberingAfterBreak="0">
    <w:nsid w:val="7C4C54C8"/>
    <w:multiLevelType w:val="hybridMultilevel"/>
    <w:tmpl w:val="13E0EE4E"/>
    <w:lvl w:ilvl="0" w:tplc="FC46C33A">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8" w15:restartNumberingAfterBreak="0">
    <w:nsid w:val="7C5E7F84"/>
    <w:multiLevelType w:val="hybridMultilevel"/>
    <w:tmpl w:val="451CBDB2"/>
    <w:lvl w:ilvl="0" w:tplc="37BED75A">
      <w:start w:val="1"/>
      <w:numFmt w:val="decimal"/>
      <w:lvlText w:val="(%1)"/>
      <w:lvlJc w:val="left"/>
      <w:pPr>
        <w:ind w:left="1118" w:hanging="360"/>
      </w:pPr>
      <w:rPr>
        <w:rFonts w:hint="default"/>
      </w:r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1089" w15:restartNumberingAfterBreak="0">
    <w:nsid w:val="7CC901C6"/>
    <w:multiLevelType w:val="hybridMultilevel"/>
    <w:tmpl w:val="17CC5372"/>
    <w:lvl w:ilvl="0" w:tplc="A5A2CE9E">
      <w:start w:val="2"/>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0" w15:restartNumberingAfterBreak="0">
    <w:nsid w:val="7E2109D3"/>
    <w:multiLevelType w:val="hybridMultilevel"/>
    <w:tmpl w:val="B9CA0E62"/>
    <w:lvl w:ilvl="0" w:tplc="A912BD02">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A912BD02">
      <w:start w:val="1"/>
      <w:numFmt w:val="lowerLetter"/>
      <w:lvlText w:val="%6."/>
      <w:lvlJc w:val="lef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1" w15:restartNumberingAfterBreak="0">
    <w:nsid w:val="7E611D4F"/>
    <w:multiLevelType w:val="hybridMultilevel"/>
    <w:tmpl w:val="12745AC6"/>
    <w:lvl w:ilvl="0" w:tplc="FFFFFFFF">
      <w:start w:val="1"/>
      <w:numFmt w:val="decimal"/>
      <w:lvlText w:val="%1."/>
      <w:lvlJc w:val="left"/>
      <w:pPr>
        <w:ind w:left="720" w:hanging="360"/>
      </w:pPr>
    </w:lvl>
    <w:lvl w:ilvl="1" w:tplc="FFFFFFFF">
      <w:start w:val="1"/>
      <w:numFmt w:val="lowerLetter"/>
      <w:lvlText w:val="%2."/>
      <w:lvlJc w:val="left"/>
      <w:pPr>
        <w:ind w:left="2070" w:hanging="360"/>
      </w:pPr>
    </w:lvl>
    <w:lvl w:ilvl="2" w:tplc="04090019">
      <w:start w:val="1"/>
      <w:numFmt w:val="lowerLetter"/>
      <w:lvlText w:val="%3."/>
      <w:lvlJc w:val="left"/>
      <w:pPr>
        <w:ind w:left="2070" w:hanging="360"/>
      </w:pPr>
    </w:lvl>
    <w:lvl w:ilvl="3" w:tplc="FFFFFFFF">
      <w:start w:val="1"/>
      <w:numFmt w:val="lowerLetter"/>
      <w:lvlText w:val="%4."/>
      <w:lvlJc w:val="left"/>
      <w:pPr>
        <w:ind w:left="1440" w:hanging="360"/>
      </w:pPr>
    </w:lvl>
    <w:lvl w:ilvl="4" w:tplc="FFFFFFFF">
      <w:start w:val="1"/>
      <w:numFmt w:val="lowerLetter"/>
      <w:lvlText w:val="%5."/>
      <w:lvlJc w:val="left"/>
      <w:pPr>
        <w:ind w:left="117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2" w15:restartNumberingAfterBreak="0">
    <w:nsid w:val="7E7B1724"/>
    <w:multiLevelType w:val="hybridMultilevel"/>
    <w:tmpl w:val="1034E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3" w15:restartNumberingAfterBreak="0">
    <w:nsid w:val="7EC94A5E"/>
    <w:multiLevelType w:val="hybridMultilevel"/>
    <w:tmpl w:val="21C00C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4" w15:restartNumberingAfterBreak="0">
    <w:nsid w:val="7EE906E8"/>
    <w:multiLevelType w:val="hybridMultilevel"/>
    <w:tmpl w:val="4D44A9B0"/>
    <w:lvl w:ilvl="0" w:tplc="BF664172">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5" w15:restartNumberingAfterBreak="0">
    <w:nsid w:val="7F1F2A93"/>
    <w:multiLevelType w:val="hybridMultilevel"/>
    <w:tmpl w:val="140207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6" w15:restartNumberingAfterBreak="0">
    <w:nsid w:val="7F65226C"/>
    <w:multiLevelType w:val="hybridMultilevel"/>
    <w:tmpl w:val="69622CEC"/>
    <w:lvl w:ilvl="0" w:tplc="FDAE9CB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9001021">
    <w:abstractNumId w:val="888"/>
  </w:num>
  <w:num w:numId="2" w16cid:durableId="510069559">
    <w:abstractNumId w:val="670"/>
  </w:num>
  <w:num w:numId="3" w16cid:durableId="1854301666">
    <w:abstractNumId w:val="644"/>
  </w:num>
  <w:num w:numId="4" w16cid:durableId="1705985633">
    <w:abstractNumId w:val="29"/>
  </w:num>
  <w:num w:numId="5" w16cid:durableId="983513063">
    <w:abstractNumId w:val="587"/>
  </w:num>
  <w:num w:numId="6" w16cid:durableId="1712456179">
    <w:abstractNumId w:val="732"/>
  </w:num>
  <w:num w:numId="7" w16cid:durableId="1852599027">
    <w:abstractNumId w:val="662"/>
  </w:num>
  <w:num w:numId="8" w16cid:durableId="1070271163">
    <w:abstractNumId w:val="737"/>
  </w:num>
  <w:num w:numId="9" w16cid:durableId="682974032">
    <w:abstractNumId w:val="111"/>
  </w:num>
  <w:num w:numId="10" w16cid:durableId="272442649">
    <w:abstractNumId w:val="647"/>
  </w:num>
  <w:num w:numId="11" w16cid:durableId="1188331052">
    <w:abstractNumId w:val="351"/>
  </w:num>
  <w:num w:numId="12" w16cid:durableId="392389219">
    <w:abstractNumId w:val="591"/>
  </w:num>
  <w:num w:numId="13" w16cid:durableId="797139613">
    <w:abstractNumId w:val="834"/>
  </w:num>
  <w:num w:numId="14" w16cid:durableId="128596958">
    <w:abstractNumId w:val="809"/>
  </w:num>
  <w:num w:numId="15" w16cid:durableId="103501335">
    <w:abstractNumId w:val="31"/>
  </w:num>
  <w:num w:numId="16" w16cid:durableId="1877498098">
    <w:abstractNumId w:val="700"/>
  </w:num>
  <w:num w:numId="17" w16cid:durableId="34161555">
    <w:abstractNumId w:val="415"/>
  </w:num>
  <w:num w:numId="18" w16cid:durableId="914630721">
    <w:abstractNumId w:val="8"/>
  </w:num>
  <w:num w:numId="19" w16cid:durableId="907881974">
    <w:abstractNumId w:val="199"/>
  </w:num>
  <w:num w:numId="20" w16cid:durableId="1551258894">
    <w:abstractNumId w:val="393"/>
  </w:num>
  <w:num w:numId="21" w16cid:durableId="1936591868">
    <w:abstractNumId w:val="140"/>
  </w:num>
  <w:num w:numId="22" w16cid:durableId="2031174926">
    <w:abstractNumId w:val="838"/>
  </w:num>
  <w:num w:numId="23" w16cid:durableId="243880475">
    <w:abstractNumId w:val="458"/>
  </w:num>
  <w:num w:numId="24" w16cid:durableId="1854684699">
    <w:abstractNumId w:val="218"/>
  </w:num>
  <w:num w:numId="25" w16cid:durableId="850604481">
    <w:abstractNumId w:val="683"/>
  </w:num>
  <w:num w:numId="26" w16cid:durableId="445544117">
    <w:abstractNumId w:val="827"/>
  </w:num>
  <w:num w:numId="27" w16cid:durableId="1426001250">
    <w:abstractNumId w:val="179"/>
  </w:num>
  <w:num w:numId="28" w16cid:durableId="1550192868">
    <w:abstractNumId w:val="30"/>
  </w:num>
  <w:num w:numId="29" w16cid:durableId="2125466751">
    <w:abstractNumId w:val="699"/>
  </w:num>
  <w:num w:numId="30" w16cid:durableId="289701356">
    <w:abstractNumId w:val="198"/>
  </w:num>
  <w:num w:numId="31" w16cid:durableId="1440494220">
    <w:abstractNumId w:val="500"/>
  </w:num>
  <w:num w:numId="32" w16cid:durableId="1700661396">
    <w:abstractNumId w:val="725"/>
  </w:num>
  <w:num w:numId="33" w16cid:durableId="330068892">
    <w:abstractNumId w:val="770"/>
  </w:num>
  <w:num w:numId="34" w16cid:durableId="459106714">
    <w:abstractNumId w:val="306"/>
  </w:num>
  <w:num w:numId="35" w16cid:durableId="364798228">
    <w:abstractNumId w:val="487"/>
  </w:num>
  <w:num w:numId="36" w16cid:durableId="1606883598">
    <w:abstractNumId w:val="901"/>
  </w:num>
  <w:num w:numId="37" w16cid:durableId="125468127">
    <w:abstractNumId w:val="589"/>
  </w:num>
  <w:num w:numId="38" w16cid:durableId="1723093603">
    <w:abstractNumId w:val="197"/>
  </w:num>
  <w:num w:numId="39" w16cid:durableId="140082278">
    <w:abstractNumId w:val="733"/>
  </w:num>
  <w:num w:numId="40" w16cid:durableId="1655715654">
    <w:abstractNumId w:val="348"/>
  </w:num>
  <w:num w:numId="41" w16cid:durableId="1609117701">
    <w:abstractNumId w:val="341"/>
  </w:num>
  <w:num w:numId="42" w16cid:durableId="1559627530">
    <w:abstractNumId w:val="32"/>
  </w:num>
  <w:num w:numId="43" w16cid:durableId="157431128">
    <w:abstractNumId w:val="505"/>
  </w:num>
  <w:num w:numId="44" w16cid:durableId="1032153565">
    <w:abstractNumId w:val="372"/>
  </w:num>
  <w:num w:numId="45" w16cid:durableId="1234394662">
    <w:abstractNumId w:val="106"/>
  </w:num>
  <w:num w:numId="46" w16cid:durableId="427236101">
    <w:abstractNumId w:val="299"/>
  </w:num>
  <w:num w:numId="47" w16cid:durableId="73355178">
    <w:abstractNumId w:val="821"/>
  </w:num>
  <w:num w:numId="48" w16cid:durableId="685790049">
    <w:abstractNumId w:val="171"/>
  </w:num>
  <w:num w:numId="49" w16cid:durableId="16781278">
    <w:abstractNumId w:val="855"/>
  </w:num>
  <w:num w:numId="50" w16cid:durableId="1069772129">
    <w:abstractNumId w:val="112"/>
  </w:num>
  <w:num w:numId="51" w16cid:durableId="113790890">
    <w:abstractNumId w:val="815"/>
  </w:num>
  <w:num w:numId="52" w16cid:durableId="1188058519">
    <w:abstractNumId w:val="191"/>
  </w:num>
  <w:num w:numId="53" w16cid:durableId="1938711322">
    <w:abstractNumId w:val="577"/>
  </w:num>
  <w:num w:numId="54" w16cid:durableId="301272424">
    <w:abstractNumId w:val="503"/>
  </w:num>
  <w:num w:numId="55" w16cid:durableId="1022704814">
    <w:abstractNumId w:val="562"/>
  </w:num>
  <w:num w:numId="56" w16cid:durableId="1314482676">
    <w:abstractNumId w:val="401"/>
  </w:num>
  <w:num w:numId="57" w16cid:durableId="2069526498">
    <w:abstractNumId w:val="16"/>
  </w:num>
  <w:num w:numId="58" w16cid:durableId="1087112409">
    <w:abstractNumId w:val="784"/>
  </w:num>
  <w:num w:numId="59" w16cid:durableId="165051556">
    <w:abstractNumId w:val="122"/>
  </w:num>
  <w:num w:numId="60" w16cid:durableId="1465385510">
    <w:abstractNumId w:val="244"/>
  </w:num>
  <w:num w:numId="61" w16cid:durableId="1862431315">
    <w:abstractNumId w:val="617"/>
  </w:num>
  <w:num w:numId="62" w16cid:durableId="418328271">
    <w:abstractNumId w:val="549"/>
  </w:num>
  <w:num w:numId="63" w16cid:durableId="1477838950">
    <w:abstractNumId w:val="713"/>
  </w:num>
  <w:num w:numId="64" w16cid:durableId="2091001736">
    <w:abstractNumId w:val="398"/>
  </w:num>
  <w:num w:numId="65" w16cid:durableId="1184050435">
    <w:abstractNumId w:val="738"/>
  </w:num>
  <w:num w:numId="66" w16cid:durableId="1822383048">
    <w:abstractNumId w:val="469"/>
  </w:num>
  <w:num w:numId="67" w16cid:durableId="1284337948">
    <w:abstractNumId w:val="5"/>
  </w:num>
  <w:num w:numId="68" w16cid:durableId="38408290">
    <w:abstractNumId w:val="678"/>
  </w:num>
  <w:num w:numId="69" w16cid:durableId="248731754">
    <w:abstractNumId w:val="310"/>
  </w:num>
  <w:num w:numId="70" w16cid:durableId="977104772">
    <w:abstractNumId w:val="824"/>
  </w:num>
  <w:num w:numId="71" w16cid:durableId="1225333073">
    <w:abstractNumId w:val="428"/>
  </w:num>
  <w:num w:numId="72" w16cid:durableId="1785148384">
    <w:abstractNumId w:val="697"/>
  </w:num>
  <w:num w:numId="73" w16cid:durableId="44913973">
    <w:abstractNumId w:val="46"/>
  </w:num>
  <w:num w:numId="74" w16cid:durableId="1026713983">
    <w:abstractNumId w:val="575"/>
  </w:num>
  <w:num w:numId="75" w16cid:durableId="562520068">
    <w:abstractNumId w:val="22"/>
  </w:num>
  <w:num w:numId="76" w16cid:durableId="1839417592">
    <w:abstractNumId w:val="618"/>
  </w:num>
  <w:num w:numId="77" w16cid:durableId="649017833">
    <w:abstractNumId w:val="884"/>
  </w:num>
  <w:num w:numId="78" w16cid:durableId="1400832474">
    <w:abstractNumId w:val="457"/>
  </w:num>
  <w:num w:numId="79" w16cid:durableId="1530950875">
    <w:abstractNumId w:val="632"/>
  </w:num>
  <w:num w:numId="80" w16cid:durableId="928078737">
    <w:abstractNumId w:val="240"/>
  </w:num>
  <w:num w:numId="81" w16cid:durableId="1370227465">
    <w:abstractNumId w:val="744"/>
  </w:num>
  <w:num w:numId="82" w16cid:durableId="433785258">
    <w:abstractNumId w:val="588"/>
  </w:num>
  <w:num w:numId="83" w16cid:durableId="905535793">
    <w:abstractNumId w:val="536"/>
  </w:num>
  <w:num w:numId="84" w16cid:durableId="1516461284">
    <w:abstractNumId w:val="237"/>
  </w:num>
  <w:num w:numId="85" w16cid:durableId="823740334">
    <w:abstractNumId w:val="767"/>
  </w:num>
  <w:num w:numId="86" w16cid:durableId="1832408474">
    <w:abstractNumId w:val="426"/>
  </w:num>
  <w:num w:numId="87" w16cid:durableId="401374800">
    <w:abstractNumId w:val="677"/>
  </w:num>
  <w:num w:numId="88" w16cid:durableId="1853912073">
    <w:abstractNumId w:val="329"/>
  </w:num>
  <w:num w:numId="89" w16cid:durableId="1273050850">
    <w:abstractNumId w:val="14"/>
  </w:num>
  <w:num w:numId="90" w16cid:durableId="2114085542">
    <w:abstractNumId w:val="566"/>
  </w:num>
  <w:num w:numId="91" w16cid:durableId="602299327">
    <w:abstractNumId w:val="375"/>
  </w:num>
  <w:num w:numId="92" w16cid:durableId="235094560">
    <w:abstractNumId w:val="358"/>
  </w:num>
  <w:num w:numId="93" w16cid:durableId="812795376">
    <w:abstractNumId w:val="25"/>
  </w:num>
  <w:num w:numId="94" w16cid:durableId="937255982">
    <w:abstractNumId w:val="272"/>
  </w:num>
  <w:num w:numId="95" w16cid:durableId="1021978907">
    <w:abstractNumId w:val="535"/>
  </w:num>
  <w:num w:numId="96" w16cid:durableId="616059359">
    <w:abstractNumId w:val="801"/>
  </w:num>
  <w:num w:numId="97" w16cid:durableId="49354580">
    <w:abstractNumId w:val="405"/>
  </w:num>
  <w:num w:numId="98" w16cid:durableId="23865458">
    <w:abstractNumId w:val="848"/>
  </w:num>
  <w:num w:numId="99" w16cid:durableId="51732890">
    <w:abstractNumId w:val="357"/>
  </w:num>
  <w:num w:numId="100" w16cid:durableId="696856001">
    <w:abstractNumId w:val="481"/>
  </w:num>
  <w:num w:numId="101" w16cid:durableId="364209194">
    <w:abstractNumId w:val="10"/>
  </w:num>
  <w:num w:numId="102" w16cid:durableId="2119834114">
    <w:abstractNumId w:val="785"/>
  </w:num>
  <w:num w:numId="103" w16cid:durableId="1386368434">
    <w:abstractNumId w:val="408"/>
  </w:num>
  <w:num w:numId="104" w16cid:durableId="1624271258">
    <w:abstractNumId w:val="630"/>
  </w:num>
  <w:num w:numId="105" w16cid:durableId="1684359154">
    <w:abstractNumId w:val="308"/>
  </w:num>
  <w:num w:numId="106" w16cid:durableId="110367022">
    <w:abstractNumId w:val="539"/>
  </w:num>
  <w:num w:numId="107" w16cid:durableId="888417254">
    <w:abstractNumId w:val="454"/>
  </w:num>
  <w:num w:numId="108" w16cid:durableId="673071363">
    <w:abstractNumId w:val="34"/>
  </w:num>
  <w:num w:numId="109" w16cid:durableId="871377187">
    <w:abstractNumId w:val="207"/>
  </w:num>
  <w:num w:numId="110" w16cid:durableId="956109390">
    <w:abstractNumId w:val="853"/>
  </w:num>
  <w:num w:numId="111" w16cid:durableId="1601989738">
    <w:abstractNumId w:val="778"/>
  </w:num>
  <w:num w:numId="112" w16cid:durableId="175463115">
    <w:abstractNumId w:val="881"/>
  </w:num>
  <w:num w:numId="113" w16cid:durableId="363947261">
    <w:abstractNumId w:val="525"/>
  </w:num>
  <w:num w:numId="114" w16cid:durableId="1565605479">
    <w:abstractNumId w:val="68"/>
  </w:num>
  <w:num w:numId="115" w16cid:durableId="145824658">
    <w:abstractNumId w:val="379"/>
  </w:num>
  <w:num w:numId="116" w16cid:durableId="1789465256">
    <w:abstractNumId w:val="288"/>
  </w:num>
  <w:num w:numId="117" w16cid:durableId="581570494">
    <w:abstractNumId w:val="455"/>
  </w:num>
  <w:num w:numId="118" w16cid:durableId="903680908">
    <w:abstractNumId w:val="73"/>
  </w:num>
  <w:num w:numId="119" w16cid:durableId="189073345">
    <w:abstractNumId w:val="796"/>
  </w:num>
  <w:num w:numId="120" w16cid:durableId="1492329573">
    <w:abstractNumId w:val="706"/>
  </w:num>
  <w:num w:numId="121" w16cid:durableId="2072579175">
    <w:abstractNumId w:val="850"/>
  </w:num>
  <w:num w:numId="122" w16cid:durableId="1882327871">
    <w:abstractNumId w:val="527"/>
  </w:num>
  <w:num w:numId="123" w16cid:durableId="1251501779">
    <w:abstractNumId w:val="181"/>
  </w:num>
  <w:num w:numId="124" w16cid:durableId="1273709902">
    <w:abstractNumId w:val="260"/>
  </w:num>
  <w:num w:numId="125" w16cid:durableId="1764571082">
    <w:abstractNumId w:val="504"/>
  </w:num>
  <w:num w:numId="126" w16cid:durableId="2103260285">
    <w:abstractNumId w:val="795"/>
  </w:num>
  <w:num w:numId="127" w16cid:durableId="1664506900">
    <w:abstractNumId w:val="225"/>
  </w:num>
  <w:num w:numId="128" w16cid:durableId="969898231">
    <w:abstractNumId w:val="655"/>
  </w:num>
  <w:num w:numId="129" w16cid:durableId="66223860">
    <w:abstractNumId w:val="786"/>
  </w:num>
  <w:num w:numId="130" w16cid:durableId="125588539">
    <w:abstractNumId w:val="203"/>
  </w:num>
  <w:num w:numId="131" w16cid:durableId="1287538782">
    <w:abstractNumId w:val="161"/>
  </w:num>
  <w:num w:numId="132" w16cid:durableId="499778933">
    <w:abstractNumId w:val="413"/>
  </w:num>
  <w:num w:numId="133" w16cid:durableId="854490983">
    <w:abstractNumId w:val="810"/>
  </w:num>
  <w:num w:numId="134" w16cid:durableId="1026299044">
    <w:abstractNumId w:val="517"/>
  </w:num>
  <w:num w:numId="135" w16cid:durableId="1778450799">
    <w:abstractNumId w:val="26"/>
  </w:num>
  <w:num w:numId="136" w16cid:durableId="1678651452">
    <w:abstractNumId w:val="907"/>
  </w:num>
  <w:num w:numId="137" w16cid:durableId="899246509">
    <w:abstractNumId w:val="52"/>
  </w:num>
  <w:num w:numId="138" w16cid:durableId="1714650372">
    <w:abstractNumId w:val="559"/>
  </w:num>
  <w:num w:numId="139" w16cid:durableId="1486319812">
    <w:abstractNumId w:val="229"/>
  </w:num>
  <w:num w:numId="140" w16cid:durableId="970331380">
    <w:abstractNumId w:val="147"/>
  </w:num>
  <w:num w:numId="141" w16cid:durableId="744761609">
    <w:abstractNumId w:val="204"/>
  </w:num>
  <w:num w:numId="142" w16cid:durableId="714697508">
    <w:abstractNumId w:val="452"/>
  </w:num>
  <w:num w:numId="143" w16cid:durableId="519322087">
    <w:abstractNumId w:val="874"/>
  </w:num>
  <w:num w:numId="144" w16cid:durableId="536233793">
    <w:abstractNumId w:val="44"/>
  </w:num>
  <w:num w:numId="145" w16cid:durableId="983924605">
    <w:abstractNumId w:val="72"/>
  </w:num>
  <w:num w:numId="146" w16cid:durableId="799417758">
    <w:abstractNumId w:val="317"/>
  </w:num>
  <w:num w:numId="147" w16cid:durableId="254479163">
    <w:abstractNumId w:val="262"/>
  </w:num>
  <w:num w:numId="148" w16cid:durableId="799497628">
    <w:abstractNumId w:val="448"/>
  </w:num>
  <w:num w:numId="149" w16cid:durableId="809321633">
    <w:abstractNumId w:val="386"/>
  </w:num>
  <w:num w:numId="150" w16cid:durableId="305474087">
    <w:abstractNumId w:val="845"/>
  </w:num>
  <w:num w:numId="151" w16cid:durableId="1673021313">
    <w:abstractNumId w:val="538"/>
  </w:num>
  <w:num w:numId="152" w16cid:durableId="1788742881">
    <w:abstractNumId w:val="279"/>
  </w:num>
  <w:num w:numId="153" w16cid:durableId="74666512">
    <w:abstractNumId w:val="865"/>
  </w:num>
  <w:num w:numId="154" w16cid:durableId="38943378">
    <w:abstractNumId w:val="495"/>
  </w:num>
  <w:num w:numId="155" w16cid:durableId="342517021">
    <w:abstractNumId w:val="758"/>
  </w:num>
  <w:num w:numId="156" w16cid:durableId="1860391227">
    <w:abstractNumId w:val="716"/>
  </w:num>
  <w:num w:numId="157" w16cid:durableId="1437481342">
    <w:abstractNumId w:val="723"/>
  </w:num>
  <w:num w:numId="158" w16cid:durableId="1000430890">
    <w:abstractNumId w:val="530"/>
  </w:num>
  <w:num w:numId="159" w16cid:durableId="1703894068">
    <w:abstractNumId w:val="789"/>
  </w:num>
  <w:num w:numId="160" w16cid:durableId="417873914">
    <w:abstractNumId w:val="854"/>
  </w:num>
  <w:num w:numId="161" w16cid:durableId="949707058">
    <w:abstractNumId w:val="245"/>
  </w:num>
  <w:num w:numId="162" w16cid:durableId="228267052">
    <w:abstractNumId w:val="856"/>
  </w:num>
  <w:num w:numId="163" w16cid:durableId="411002467">
    <w:abstractNumId w:val="646"/>
  </w:num>
  <w:num w:numId="164" w16cid:durableId="2070035196">
    <w:abstractNumId w:val="113"/>
  </w:num>
  <w:num w:numId="165" w16cid:durableId="1062754432">
    <w:abstractNumId w:val="701"/>
  </w:num>
  <w:num w:numId="166" w16cid:durableId="1050688019">
    <w:abstractNumId w:val="433"/>
  </w:num>
  <w:num w:numId="167" w16cid:durableId="1417283482">
    <w:abstractNumId w:val="152"/>
  </w:num>
  <w:num w:numId="168" w16cid:durableId="689186990">
    <w:abstractNumId w:val="23"/>
  </w:num>
  <w:num w:numId="169" w16cid:durableId="806893963">
    <w:abstractNumId w:val="37"/>
  </w:num>
  <w:num w:numId="170" w16cid:durableId="1313873399">
    <w:abstractNumId w:val="423"/>
  </w:num>
  <w:num w:numId="171" w16cid:durableId="1228222434">
    <w:abstractNumId w:val="782"/>
  </w:num>
  <w:num w:numId="172" w16cid:durableId="132984146">
    <w:abstractNumId w:val="120"/>
  </w:num>
  <w:num w:numId="173" w16cid:durableId="540439397">
    <w:abstractNumId w:val="13"/>
  </w:num>
  <w:num w:numId="174" w16cid:durableId="1892615358">
    <w:abstractNumId w:val="178"/>
  </w:num>
  <w:num w:numId="175" w16cid:durableId="636178767">
    <w:abstractNumId w:val="739"/>
  </w:num>
  <w:num w:numId="176" w16cid:durableId="772819486">
    <w:abstractNumId w:val="720"/>
  </w:num>
  <w:num w:numId="177" w16cid:durableId="157963724">
    <w:abstractNumId w:val="704"/>
  </w:num>
  <w:num w:numId="178" w16cid:durableId="112942911">
    <w:abstractNumId w:val="597"/>
  </w:num>
  <w:num w:numId="179" w16cid:durableId="1153833711">
    <w:abstractNumId w:val="282"/>
  </w:num>
  <w:num w:numId="180" w16cid:durableId="645234359">
    <w:abstractNumId w:val="705"/>
  </w:num>
  <w:num w:numId="181" w16cid:durableId="1082023882">
    <w:abstractNumId w:val="841"/>
  </w:num>
  <w:num w:numId="182" w16cid:durableId="1532454605">
    <w:abstractNumId w:val="764"/>
  </w:num>
  <w:num w:numId="183" w16cid:durableId="1307734280">
    <w:abstractNumId w:val="217"/>
  </w:num>
  <w:num w:numId="184" w16cid:durableId="2080901773">
    <w:abstractNumId w:val="21"/>
  </w:num>
  <w:num w:numId="185" w16cid:durableId="1350720835">
    <w:abstractNumId w:val="67"/>
  </w:num>
  <w:num w:numId="186" w16cid:durableId="1763836962">
    <w:abstractNumId w:val="642"/>
  </w:num>
  <w:num w:numId="187" w16cid:durableId="1391726724">
    <w:abstractNumId w:val="381"/>
  </w:num>
  <w:num w:numId="188" w16cid:durableId="842814173">
    <w:abstractNumId w:val="155"/>
  </w:num>
  <w:num w:numId="189" w16cid:durableId="660503511">
    <w:abstractNumId w:val="674"/>
  </w:num>
  <w:num w:numId="190" w16cid:durableId="374089140">
    <w:abstractNumId w:val="119"/>
  </w:num>
  <w:num w:numId="191" w16cid:durableId="49576964">
    <w:abstractNumId w:val="477"/>
  </w:num>
  <w:num w:numId="192" w16cid:durableId="2120559042">
    <w:abstractNumId w:val="333"/>
  </w:num>
  <w:num w:numId="193" w16cid:durableId="347953902">
    <w:abstractNumId w:val="727"/>
  </w:num>
  <w:num w:numId="194" w16cid:durableId="568657888">
    <w:abstractNumId w:val="142"/>
  </w:num>
  <w:num w:numId="195" w16cid:durableId="1696349058">
    <w:abstractNumId w:val="822"/>
  </w:num>
  <w:num w:numId="196" w16cid:durableId="1660889493">
    <w:abstractNumId w:val="115"/>
  </w:num>
  <w:num w:numId="197" w16cid:durableId="1914049432">
    <w:abstractNumId w:val="27"/>
  </w:num>
  <w:num w:numId="198" w16cid:durableId="1501314604">
    <w:abstractNumId w:val="154"/>
  </w:num>
  <w:num w:numId="199" w16cid:durableId="1431898430">
    <w:abstractNumId w:val="736"/>
  </w:num>
  <w:num w:numId="200" w16cid:durableId="1405638301">
    <w:abstractNumId w:val="223"/>
  </w:num>
  <w:num w:numId="201" w16cid:durableId="138352460">
    <w:abstractNumId w:val="515"/>
  </w:num>
  <w:num w:numId="202" w16cid:durableId="201403866">
    <w:abstractNumId w:val="325"/>
  </w:num>
  <w:num w:numId="203" w16cid:durableId="1617709666">
    <w:abstractNumId w:val="488"/>
  </w:num>
  <w:num w:numId="204" w16cid:durableId="9306628">
    <w:abstractNumId w:val="603"/>
  </w:num>
  <w:num w:numId="205" w16cid:durableId="514803700">
    <w:abstractNumId w:val="791"/>
  </w:num>
  <w:num w:numId="206" w16cid:durableId="1343626909">
    <w:abstractNumId w:val="849"/>
  </w:num>
  <w:num w:numId="207" w16cid:durableId="121582769">
    <w:abstractNumId w:val="858"/>
  </w:num>
  <w:num w:numId="208" w16cid:durableId="1945377139">
    <w:abstractNumId w:val="94"/>
  </w:num>
  <w:num w:numId="209" w16cid:durableId="1666476065">
    <w:abstractNumId w:val="138"/>
  </w:num>
  <w:num w:numId="210" w16cid:durableId="1380863313">
    <w:abstractNumId w:val="721"/>
  </w:num>
  <w:num w:numId="211" w16cid:durableId="2054425744">
    <w:abstractNumId w:val="817"/>
  </w:num>
  <w:num w:numId="212" w16cid:durableId="1542941909">
    <w:abstractNumId w:val="65"/>
  </w:num>
  <w:num w:numId="213" w16cid:durableId="1882328813">
    <w:abstractNumId w:val="792"/>
  </w:num>
  <w:num w:numId="214" w16cid:durableId="1918588207">
    <w:abstractNumId w:val="745"/>
  </w:num>
  <w:num w:numId="215" w16cid:durableId="246809699">
    <w:abstractNumId w:val="363"/>
  </w:num>
  <w:num w:numId="216" w16cid:durableId="874002207">
    <w:abstractNumId w:val="613"/>
  </w:num>
  <w:num w:numId="217" w16cid:durableId="1914655680">
    <w:abstractNumId w:val="417"/>
  </w:num>
  <w:num w:numId="218" w16cid:durableId="1247762066">
    <w:abstractNumId w:val="265"/>
  </w:num>
  <w:num w:numId="219" w16cid:durableId="407272170">
    <w:abstractNumId w:val="863"/>
  </w:num>
  <w:num w:numId="220" w16cid:durableId="67263999">
    <w:abstractNumId w:val="897"/>
  </w:num>
  <w:num w:numId="221" w16cid:durableId="969045302">
    <w:abstractNumId w:val="657"/>
  </w:num>
  <w:num w:numId="222" w16cid:durableId="2070958681">
    <w:abstractNumId w:val="534"/>
  </w:num>
  <w:num w:numId="223" w16cid:durableId="2092463854">
    <w:abstractNumId w:val="254"/>
  </w:num>
  <w:num w:numId="224" w16cid:durableId="2041515657">
    <w:abstractNumId w:val="116"/>
  </w:num>
  <w:num w:numId="225" w16cid:durableId="2125802514">
    <w:abstractNumId w:val="168"/>
  </w:num>
  <w:num w:numId="226" w16cid:durableId="610283370">
    <w:abstractNumId w:val="537"/>
  </w:num>
  <w:num w:numId="227" w16cid:durableId="1824811223">
    <w:abstractNumId w:val="444"/>
  </w:num>
  <w:num w:numId="228" w16cid:durableId="993266108">
    <w:abstractNumId w:val="331"/>
  </w:num>
  <w:num w:numId="229" w16cid:durableId="1957053489">
    <w:abstractNumId w:val="202"/>
  </w:num>
  <w:num w:numId="230" w16cid:durableId="1065300715">
    <w:abstractNumId w:val="625"/>
  </w:num>
  <w:num w:numId="231" w16cid:durableId="1280264259">
    <w:abstractNumId w:val="862"/>
  </w:num>
  <w:num w:numId="232" w16cid:durableId="1776561108">
    <w:abstractNumId w:val="610"/>
  </w:num>
  <w:num w:numId="233" w16cid:durableId="43675758">
    <w:abstractNumId w:val="898"/>
  </w:num>
  <w:num w:numId="234" w16cid:durableId="861475876">
    <w:abstractNumId w:val="214"/>
  </w:num>
  <w:num w:numId="235" w16cid:durableId="1561362313">
    <w:abstractNumId w:val="211"/>
  </w:num>
  <w:num w:numId="236" w16cid:durableId="977540115">
    <w:abstractNumId w:val="819"/>
  </w:num>
  <w:num w:numId="237" w16cid:durableId="684210818">
    <w:abstractNumId w:val="442"/>
  </w:num>
  <w:num w:numId="238" w16cid:durableId="267466204">
    <w:abstractNumId w:val="300"/>
  </w:num>
  <w:num w:numId="239" w16cid:durableId="1897889669">
    <w:abstractNumId w:val="485"/>
  </w:num>
  <w:num w:numId="240" w16cid:durableId="686103794">
    <w:abstractNumId w:val="516"/>
  </w:num>
  <w:num w:numId="241" w16cid:durableId="917403120">
    <w:abstractNumId w:val="314"/>
  </w:num>
  <w:num w:numId="242" w16cid:durableId="423769943">
    <w:abstractNumId w:val="327"/>
  </w:num>
  <w:num w:numId="243" w16cid:durableId="786235481">
    <w:abstractNumId w:val="146"/>
  </w:num>
  <w:num w:numId="244" w16cid:durableId="1037466880">
    <w:abstractNumId w:val="275"/>
  </w:num>
  <w:num w:numId="245" w16cid:durableId="405149112">
    <w:abstractNumId w:val="185"/>
  </w:num>
  <w:num w:numId="246" w16cid:durableId="145049014">
    <w:abstractNumId w:val="843"/>
  </w:num>
  <w:num w:numId="247" w16cid:durableId="648554708">
    <w:abstractNumId w:val="668"/>
  </w:num>
  <w:num w:numId="248" w16cid:durableId="1713309068">
    <w:abstractNumId w:val="728"/>
  </w:num>
  <w:num w:numId="249" w16cid:durableId="631178655">
    <w:abstractNumId w:val="592"/>
  </w:num>
  <w:num w:numId="250" w16cid:durableId="1584799323">
    <w:abstractNumId w:val="621"/>
  </w:num>
  <w:num w:numId="251" w16cid:durableId="150684899">
    <w:abstractNumId w:val="250"/>
  </w:num>
  <w:num w:numId="252" w16cid:durableId="639531936">
    <w:abstractNumId w:val="696"/>
  </w:num>
  <w:num w:numId="253" w16cid:durableId="627859362">
    <w:abstractNumId w:val="56"/>
  </w:num>
  <w:num w:numId="254" w16cid:durableId="1137067497">
    <w:abstractNumId w:val="650"/>
  </w:num>
  <w:num w:numId="255" w16cid:durableId="44304823">
    <w:abstractNumId w:val="776"/>
  </w:num>
  <w:num w:numId="256" w16cid:durableId="820197567">
    <w:abstractNumId w:val="321"/>
  </w:num>
  <w:num w:numId="257" w16cid:durableId="825710954">
    <w:abstractNumId w:val="40"/>
  </w:num>
  <w:num w:numId="258" w16cid:durableId="1319382537">
    <w:abstractNumId w:val="18"/>
  </w:num>
  <w:num w:numId="259" w16cid:durableId="240214515">
    <w:abstractNumId w:val="762"/>
  </w:num>
  <w:num w:numId="260" w16cid:durableId="1816096703">
    <w:abstractNumId w:val="557"/>
  </w:num>
  <w:num w:numId="261" w16cid:durableId="1387492150">
    <w:abstractNumId w:val="489"/>
  </w:num>
  <w:num w:numId="262" w16cid:durableId="1885021072">
    <w:abstractNumId w:val="542"/>
  </w:num>
  <w:num w:numId="263" w16cid:durableId="1236010161">
    <w:abstractNumId w:val="512"/>
  </w:num>
  <w:num w:numId="264" w16cid:durableId="916136851">
    <w:abstractNumId w:val="703"/>
  </w:num>
  <w:num w:numId="265" w16cid:durableId="1189031492">
    <w:abstractNumId w:val="582"/>
  </w:num>
  <w:num w:numId="266" w16cid:durableId="578751982">
    <w:abstractNumId w:val="627"/>
  </w:num>
  <w:num w:numId="267" w16cid:durableId="924875387">
    <w:abstractNumId w:val="690"/>
  </w:num>
  <w:num w:numId="268" w16cid:durableId="1924559228">
    <w:abstractNumId w:val="787"/>
  </w:num>
  <w:num w:numId="269" w16cid:durableId="1300915400">
    <w:abstractNumId w:val="141"/>
  </w:num>
  <w:num w:numId="270" w16cid:durableId="991912163">
    <w:abstractNumId w:val="400"/>
  </w:num>
  <w:num w:numId="271" w16cid:durableId="1314869601">
    <w:abstractNumId w:val="711"/>
  </w:num>
  <w:num w:numId="272" w16cid:durableId="1154562980">
    <w:abstractNumId w:val="19"/>
  </w:num>
  <w:num w:numId="273" w16cid:durableId="1863283811">
    <w:abstractNumId w:val="409"/>
  </w:num>
  <w:num w:numId="274" w16cid:durableId="442186094">
    <w:abstractNumId w:val="38"/>
  </w:num>
  <w:num w:numId="275" w16cid:durableId="1825049058">
    <w:abstractNumId w:val="461"/>
  </w:num>
  <w:num w:numId="276" w16cid:durableId="2014333849">
    <w:abstractNumId w:val="248"/>
  </w:num>
  <w:num w:numId="277" w16cid:durableId="280889980">
    <w:abstractNumId w:val="61"/>
  </w:num>
  <w:num w:numId="278" w16cid:durableId="2024554910">
    <w:abstractNumId w:val="219"/>
  </w:num>
  <w:num w:numId="279" w16cid:durableId="1801529606">
    <w:abstractNumId w:val="896"/>
  </w:num>
  <w:num w:numId="280" w16cid:durableId="1633553427">
    <w:abstractNumId w:val="462"/>
  </w:num>
  <w:num w:numId="281" w16cid:durableId="207184273">
    <w:abstractNumId w:val="555"/>
  </w:num>
  <w:num w:numId="282" w16cid:durableId="216087112">
    <w:abstractNumId w:val="63"/>
  </w:num>
  <w:num w:numId="283" w16cid:durableId="359360715">
    <w:abstractNumId w:val="342"/>
  </w:num>
  <w:num w:numId="284" w16cid:durableId="2005545517">
    <w:abstractNumId w:val="870"/>
  </w:num>
  <w:num w:numId="285" w16cid:durableId="1828663016">
    <w:abstractNumId w:val="779"/>
  </w:num>
  <w:num w:numId="286" w16cid:durableId="2046782613">
    <w:abstractNumId w:val="316"/>
  </w:num>
  <w:num w:numId="287" w16cid:durableId="536352864">
    <w:abstractNumId w:val="216"/>
  </w:num>
  <w:num w:numId="288" w16cid:durableId="708451279">
    <w:abstractNumId w:val="273"/>
  </w:num>
  <w:num w:numId="289" w16cid:durableId="1240097203">
    <w:abstractNumId w:val="902"/>
  </w:num>
  <w:num w:numId="290" w16cid:durableId="554045143">
    <w:abstractNumId w:val="149"/>
  </w:num>
  <w:num w:numId="291" w16cid:durableId="1885829805">
    <w:abstractNumId w:val="62"/>
  </w:num>
  <w:num w:numId="292" w16cid:durableId="359627265">
    <w:abstractNumId w:val="284"/>
  </w:num>
  <w:num w:numId="293" w16cid:durableId="1542092939">
    <w:abstractNumId w:val="712"/>
  </w:num>
  <w:num w:numId="294" w16cid:durableId="1620602868">
    <w:abstractNumId w:val="590"/>
  </w:num>
  <w:num w:numId="295" w16cid:durableId="898175907">
    <w:abstractNumId w:val="79"/>
  </w:num>
  <w:num w:numId="296" w16cid:durableId="822819611">
    <w:abstractNumId w:val="235"/>
  </w:num>
  <w:num w:numId="297" w16cid:durableId="1094324968">
    <w:abstractNumId w:val="121"/>
  </w:num>
  <w:num w:numId="298" w16cid:durableId="1168448322">
    <w:abstractNumId w:val="182"/>
  </w:num>
  <w:num w:numId="299" w16cid:durableId="1369259099">
    <w:abstractNumId w:val="506"/>
  </w:num>
  <w:num w:numId="300" w16cid:durableId="1283074122">
    <w:abstractNumId w:val="576"/>
  </w:num>
  <w:num w:numId="301" w16cid:durableId="1165978184">
    <w:abstractNumId w:val="98"/>
  </w:num>
  <w:num w:numId="302" w16cid:durableId="2089882483">
    <w:abstractNumId w:val="422"/>
  </w:num>
  <w:num w:numId="303" w16cid:durableId="1585651631">
    <w:abstractNumId w:val="689"/>
  </w:num>
  <w:num w:numId="304" w16cid:durableId="1629629249">
    <w:abstractNumId w:val="309"/>
  </w:num>
  <w:num w:numId="305" w16cid:durableId="1721635301">
    <w:abstractNumId w:val="51"/>
  </w:num>
  <w:num w:numId="306" w16cid:durableId="572739306">
    <w:abstractNumId w:val="793"/>
  </w:num>
  <w:num w:numId="307" w16cid:durableId="1570773745">
    <w:abstractNumId w:val="510"/>
  </w:num>
  <w:num w:numId="308" w16cid:durableId="1701737574">
    <w:abstractNumId w:val="74"/>
  </w:num>
  <w:num w:numId="309" w16cid:durableId="397829197">
    <w:abstractNumId w:val="719"/>
  </w:num>
  <w:num w:numId="310" w16cid:durableId="1011491550">
    <w:abstractNumId w:val="911"/>
  </w:num>
  <w:num w:numId="311" w16cid:durableId="1525095451">
    <w:abstractNumId w:val="578"/>
  </w:num>
  <w:num w:numId="312" w16cid:durableId="2146460803">
    <w:abstractNumId w:val="558"/>
  </w:num>
  <w:num w:numId="313" w16cid:durableId="151214221">
    <w:abstractNumId w:val="533"/>
  </w:num>
  <w:num w:numId="314" w16cid:durableId="1431437652">
    <w:abstractNumId w:val="531"/>
  </w:num>
  <w:num w:numId="315" w16cid:durableId="2141066368">
    <w:abstractNumId w:val="163"/>
  </w:num>
  <w:num w:numId="316" w16cid:durableId="1655527893">
    <w:abstractNumId w:val="894"/>
  </w:num>
  <w:num w:numId="317" w16cid:durableId="1170607402">
    <w:abstractNumId w:val="205"/>
  </w:num>
  <w:num w:numId="318" w16cid:durableId="306863563">
    <w:abstractNumId w:val="39"/>
  </w:num>
  <w:num w:numId="319" w16cid:durableId="734938088">
    <w:abstractNumId w:val="215"/>
  </w:num>
  <w:num w:numId="320" w16cid:durableId="356262">
    <w:abstractNumId w:val="378"/>
  </w:num>
  <w:num w:numId="321" w16cid:durableId="73750132">
    <w:abstractNumId w:val="717"/>
  </w:num>
  <w:num w:numId="322" w16cid:durableId="1649435598">
    <w:abstractNumId w:val="823"/>
  </w:num>
  <w:num w:numId="323" w16cid:durableId="2132434736">
    <w:abstractNumId w:val="353"/>
  </w:num>
  <w:num w:numId="324" w16cid:durableId="1949696061">
    <w:abstractNumId w:val="656"/>
  </w:num>
  <w:num w:numId="325" w16cid:durableId="1937597356">
    <w:abstractNumId w:val="175"/>
  </w:num>
  <w:num w:numId="326" w16cid:durableId="559243064">
    <w:abstractNumId w:val="47"/>
  </w:num>
  <w:num w:numId="327" w16cid:durableId="168105908">
    <w:abstractNumId w:val="543"/>
  </w:num>
  <w:num w:numId="328" w16cid:durableId="1658652470">
    <w:abstractNumId w:val="330"/>
  </w:num>
  <w:num w:numId="329" w16cid:durableId="723257118">
    <w:abstractNumId w:val="338"/>
  </w:num>
  <w:num w:numId="330" w16cid:durableId="723139544">
    <w:abstractNumId w:val="604"/>
  </w:num>
  <w:num w:numId="331" w16cid:durableId="953560927">
    <w:abstractNumId w:val="892"/>
  </w:num>
  <w:num w:numId="332" w16cid:durableId="818305079">
    <w:abstractNumId w:val="193"/>
  </w:num>
  <w:num w:numId="333" w16cid:durableId="1042438684">
    <w:abstractNumId w:val="818"/>
  </w:num>
  <w:num w:numId="334" w16cid:durableId="1260531189">
    <w:abstractNumId w:val="868"/>
  </w:num>
  <w:num w:numId="335" w16cid:durableId="1301500357">
    <w:abstractNumId w:val="172"/>
  </w:num>
  <w:num w:numId="336" w16cid:durableId="361175321">
    <w:abstractNumId w:val="267"/>
  </w:num>
  <w:num w:numId="337" w16cid:durableId="1240746820">
    <w:abstractNumId w:val="332"/>
  </w:num>
  <w:num w:numId="338" w16cid:durableId="261954151">
    <w:abstractNumId w:val="277"/>
  </w:num>
  <w:num w:numId="339" w16cid:durableId="502551684">
    <w:abstractNumId w:val="186"/>
  </w:num>
  <w:num w:numId="340" w16cid:durableId="1479567580">
    <w:abstractNumId w:val="88"/>
  </w:num>
  <w:num w:numId="341" w16cid:durableId="635599808">
    <w:abstractNumId w:val="97"/>
  </w:num>
  <w:num w:numId="342" w16cid:durableId="1087650587">
    <w:abstractNumId w:val="638"/>
  </w:num>
  <w:num w:numId="343" w16cid:durableId="975720545">
    <w:abstractNumId w:val="766"/>
  </w:num>
  <w:num w:numId="344" w16cid:durableId="782770070">
    <w:abstractNumId w:val="612"/>
  </w:num>
  <w:num w:numId="345" w16cid:durableId="1271350955">
    <w:abstractNumId w:val="741"/>
  </w:num>
  <w:num w:numId="346" w16cid:durableId="2037924928">
    <w:abstractNumId w:val="4"/>
  </w:num>
  <w:num w:numId="347" w16cid:durableId="1266770399">
    <w:abstractNumId w:val="451"/>
  </w:num>
  <w:num w:numId="348" w16cid:durableId="358549555">
    <w:abstractNumId w:val="544"/>
  </w:num>
  <w:num w:numId="349" w16cid:durableId="1200775503">
    <w:abstractNumId w:val="851"/>
  </w:num>
  <w:num w:numId="350" w16cid:durableId="587808934">
    <w:abstractNumId w:val="276"/>
  </w:num>
  <w:num w:numId="351" w16cid:durableId="557588679">
    <w:abstractNumId w:val="545"/>
  </w:num>
  <w:num w:numId="352" w16cid:durableId="201214520">
    <w:abstractNumId w:val="676"/>
  </w:num>
  <w:num w:numId="353" w16cid:durableId="1928346350">
    <w:abstractNumId w:val="794"/>
  </w:num>
  <w:num w:numId="354" w16cid:durableId="591746462">
    <w:abstractNumId w:val="830"/>
  </w:num>
  <w:num w:numId="355" w16cid:durableId="1127579125">
    <w:abstractNumId w:val="756"/>
  </w:num>
  <w:num w:numId="356" w16cid:durableId="1553230305">
    <w:abstractNumId w:val="546"/>
  </w:num>
  <w:num w:numId="357" w16cid:durableId="346174673">
    <w:abstractNumId w:val="287"/>
  </w:num>
  <w:num w:numId="358" w16cid:durableId="2007783149">
    <w:abstractNumId w:val="709"/>
  </w:num>
  <w:num w:numId="359" w16cid:durableId="1953199652">
    <w:abstractNumId w:val="132"/>
  </w:num>
  <w:num w:numId="360" w16cid:durableId="1471092714">
    <w:abstractNumId w:val="490"/>
  </w:num>
  <w:num w:numId="361" w16cid:durableId="1938557361">
    <w:abstractNumId w:val="622"/>
  </w:num>
  <w:num w:numId="362" w16cid:durableId="619534176">
    <w:abstractNumId w:val="903"/>
  </w:num>
  <w:num w:numId="363" w16cid:durableId="2020310169">
    <w:abstractNumId w:val="90"/>
  </w:num>
  <w:num w:numId="364" w16cid:durableId="573785349">
    <w:abstractNumId w:val="384"/>
  </w:num>
  <w:num w:numId="365" w16cid:durableId="1343359189">
    <w:abstractNumId w:val="24"/>
  </w:num>
  <w:num w:numId="366" w16cid:durableId="1600214442">
    <w:abstractNumId w:val="230"/>
  </w:num>
  <w:num w:numId="367" w16cid:durableId="543754175">
    <w:abstractNumId w:val="145"/>
  </w:num>
  <w:num w:numId="368" w16cid:durableId="1858736810">
    <w:abstractNumId w:val="200"/>
  </w:num>
  <w:num w:numId="369" w16cid:durableId="1036659872">
    <w:abstractNumId w:val="160"/>
  </w:num>
  <w:num w:numId="370" w16cid:durableId="1082797573">
    <w:abstractNumId w:val="781"/>
  </w:num>
  <w:num w:numId="371" w16cid:durableId="1811167891">
    <w:abstractNumId w:val="694"/>
  </w:num>
  <w:num w:numId="372" w16cid:durableId="1990160986">
    <w:abstractNumId w:val="441"/>
  </w:num>
  <w:num w:numId="373" w16cid:durableId="1223786431">
    <w:abstractNumId w:val="50"/>
  </w:num>
  <w:num w:numId="374" w16cid:durableId="700283703">
    <w:abstractNumId w:val="876"/>
  </w:num>
  <w:num w:numId="375" w16cid:durableId="1960605276">
    <w:abstractNumId w:val="80"/>
  </w:num>
  <w:num w:numId="376" w16cid:durableId="1539663288">
    <w:abstractNumId w:val="509"/>
  </w:num>
  <w:num w:numId="377" w16cid:durableId="401488389">
    <w:abstractNumId w:val="878"/>
  </w:num>
  <w:num w:numId="378" w16cid:durableId="447503746">
    <w:abstractNumId w:val="799"/>
  </w:num>
  <w:num w:numId="379" w16cid:durableId="830871020">
    <w:abstractNumId w:val="380"/>
  </w:num>
  <w:num w:numId="380" w16cid:durableId="476849270">
    <w:abstractNumId w:val="374"/>
  </w:num>
  <w:num w:numId="381" w16cid:durableId="115367736">
    <w:abstractNumId w:val="598"/>
  </w:num>
  <w:num w:numId="382" w16cid:durableId="192424750">
    <w:abstractNumId w:val="747"/>
  </w:num>
  <w:num w:numId="383" w16cid:durableId="546720762">
    <w:abstractNumId w:val="857"/>
  </w:num>
  <w:num w:numId="384" w16cid:durableId="1559899370">
    <w:abstractNumId w:val="270"/>
  </w:num>
  <w:num w:numId="385" w16cid:durableId="450974800">
    <w:abstractNumId w:val="0"/>
  </w:num>
  <w:num w:numId="386" w16cid:durableId="198132371">
    <w:abstractNumId w:val="397"/>
  </w:num>
  <w:num w:numId="387" w16cid:durableId="1021931033">
    <w:abstractNumId w:val="869"/>
  </w:num>
  <w:num w:numId="388" w16cid:durableId="1891530719">
    <w:abstractNumId w:val="389"/>
  </w:num>
  <w:num w:numId="389" w16cid:durableId="141312891">
    <w:abstractNumId w:val="319"/>
  </w:num>
  <w:num w:numId="390" w16cid:durableId="247271468">
    <w:abstractNumId w:val="561"/>
  </w:num>
  <w:num w:numId="391" w16cid:durableId="1287614672">
    <w:abstractNumId w:val="729"/>
  </w:num>
  <w:num w:numId="392" w16cid:durableId="336004977">
    <w:abstractNumId w:val="2"/>
  </w:num>
  <w:num w:numId="393" w16cid:durableId="1218976773">
    <w:abstractNumId w:val="95"/>
  </w:num>
  <w:num w:numId="394" w16cid:durableId="564606350">
    <w:abstractNumId w:val="368"/>
  </w:num>
  <w:num w:numId="395" w16cid:durableId="549077154">
    <w:abstractNumId w:val="257"/>
  </w:num>
  <w:num w:numId="396" w16cid:durableId="1086150156">
    <w:abstractNumId w:val="293"/>
  </w:num>
  <w:num w:numId="397" w16cid:durableId="1869440479">
    <w:abstractNumId w:val="749"/>
  </w:num>
  <w:num w:numId="398" w16cid:durableId="1619944093">
    <w:abstractNumId w:val="772"/>
  </w:num>
  <w:num w:numId="399" w16cid:durableId="1896626277">
    <w:abstractNumId w:val="292"/>
  </w:num>
  <w:num w:numId="400" w16cid:durableId="1400127825">
    <w:abstractNumId w:val="166"/>
  </w:num>
  <w:num w:numId="401" w16cid:durableId="1172405469">
    <w:abstractNumId w:val="508"/>
  </w:num>
  <w:num w:numId="402" w16cid:durableId="1027414678">
    <w:abstractNumId w:val="429"/>
  </w:num>
  <w:num w:numId="403" w16cid:durableId="1531215580">
    <w:abstractNumId w:val="906"/>
  </w:num>
  <w:num w:numId="404" w16cid:durableId="1765612144">
    <w:abstractNumId w:val="406"/>
  </w:num>
  <w:num w:numId="405" w16cid:durableId="1456680417">
    <w:abstractNumId w:val="343"/>
  </w:num>
  <w:num w:numId="406" w16cid:durableId="389613833">
    <w:abstractNumId w:val="396"/>
  </w:num>
  <w:num w:numId="407" w16cid:durableId="1037196937">
    <w:abstractNumId w:val="360"/>
  </w:num>
  <w:num w:numId="408" w16cid:durableId="998267420">
    <w:abstractNumId w:val="522"/>
  </w:num>
  <w:num w:numId="409" w16cid:durableId="952520548">
    <w:abstractNumId w:val="315"/>
  </w:num>
  <w:num w:numId="410" w16cid:durableId="1122966541">
    <w:abstractNumId w:val="367"/>
  </w:num>
  <w:num w:numId="411" w16cid:durableId="1160122408">
    <w:abstractNumId w:val="864"/>
  </w:num>
  <w:num w:numId="412" w16cid:durableId="97406915">
    <w:abstractNumId w:val="465"/>
  </w:num>
  <w:num w:numId="413" w16cid:durableId="1045179601">
    <w:abstractNumId w:val="395"/>
  </w:num>
  <w:num w:numId="414" w16cid:durableId="162284916">
    <w:abstractNumId w:val="551"/>
  </w:num>
  <w:num w:numId="415" w16cid:durableId="333414154">
    <w:abstractNumId w:val="702"/>
  </w:num>
  <w:num w:numId="416" w16cid:durableId="206112693">
    <w:abstractNumId w:val="78"/>
  </w:num>
  <w:num w:numId="417" w16cid:durableId="1530297027">
    <w:abstractNumId w:val="133"/>
  </w:num>
  <w:num w:numId="418" w16cid:durableId="162744490">
    <w:abstractNumId w:val="176"/>
  </w:num>
  <w:num w:numId="419" w16cid:durableId="421683144">
    <w:abstractNumId w:val="81"/>
  </w:num>
  <w:num w:numId="420" w16cid:durableId="44374792">
    <w:abstractNumId w:val="294"/>
  </w:num>
  <w:num w:numId="421" w16cid:durableId="1118255734">
    <w:abstractNumId w:val="431"/>
  </w:num>
  <w:num w:numId="422" w16cid:durableId="1394691674">
    <w:abstractNumId w:val="307"/>
  </w:num>
  <w:num w:numId="423" w16cid:durableId="629089519">
    <w:abstractNumId w:val="71"/>
  </w:num>
  <w:num w:numId="424" w16cid:durableId="797071943">
    <w:abstractNumId w:val="554"/>
  </w:num>
  <w:num w:numId="425" w16cid:durableId="715274167">
    <w:abstractNumId w:val="125"/>
  </w:num>
  <w:num w:numId="426" w16cid:durableId="1653409658">
    <w:abstractNumId w:val="264"/>
  </w:num>
  <w:num w:numId="427" w16cid:durableId="610085965">
    <w:abstractNumId w:val="750"/>
  </w:num>
  <w:num w:numId="428" w16cid:durableId="1365129643">
    <w:abstractNumId w:val="904"/>
  </w:num>
  <w:num w:numId="429" w16cid:durableId="1609121179">
    <w:abstractNumId w:val="189"/>
  </w:num>
  <w:num w:numId="430" w16cid:durableId="521557946">
    <w:abstractNumId w:val="472"/>
  </w:num>
  <w:num w:numId="431" w16cid:durableId="291713291">
    <w:abstractNumId w:val="238"/>
  </w:num>
  <w:num w:numId="432" w16cid:durableId="2025667357">
    <w:abstractNumId w:val="7"/>
  </w:num>
  <w:num w:numId="433" w16cid:durableId="300548198">
    <w:abstractNumId w:val="520"/>
  </w:num>
  <w:num w:numId="434" w16cid:durableId="1001854635">
    <w:abstractNumId w:val="698"/>
  </w:num>
  <w:num w:numId="435" w16cid:durableId="1845783239">
    <w:abstractNumId w:val="99"/>
  </w:num>
  <w:num w:numId="436" w16cid:durableId="1574196926">
    <w:abstractNumId w:val="885"/>
  </w:num>
  <w:num w:numId="437" w16cid:durableId="1796365138">
    <w:abstractNumId w:val="347"/>
  </w:num>
  <w:num w:numId="438" w16cid:durableId="437213006">
    <w:abstractNumId w:val="826"/>
  </w:num>
  <w:num w:numId="439" w16cid:durableId="1494486857">
    <w:abstractNumId w:val="474"/>
  </w:num>
  <w:num w:numId="440" w16cid:durableId="1184902244">
    <w:abstractNumId w:val="192"/>
  </w:num>
  <w:num w:numId="441" w16cid:durableId="565796426">
    <w:abstractNumId w:val="285"/>
  </w:num>
  <w:num w:numId="442" w16cid:durableId="180514030">
    <w:abstractNumId w:val="437"/>
  </w:num>
  <w:num w:numId="443" w16cid:durableId="1127505238">
    <w:abstractNumId w:val="291"/>
  </w:num>
  <w:num w:numId="444" w16cid:durableId="424769852">
    <w:abstractNumId w:val="390"/>
  </w:num>
  <w:num w:numId="445" w16cid:durableId="2083984976">
    <w:abstractNumId w:val="695"/>
  </w:num>
  <w:num w:numId="446" w16cid:durableId="1825315283">
    <w:abstractNumId w:val="763"/>
  </w:num>
  <w:num w:numId="447" w16cid:durableId="1632201923">
    <w:abstractNumId w:val="365"/>
  </w:num>
  <w:num w:numId="448" w16cid:durableId="727727416">
    <w:abstractNumId w:val="402"/>
  </w:num>
  <w:num w:numId="449" w16cid:durableId="1632132611">
    <w:abstractNumId w:val="661"/>
  </w:num>
  <w:num w:numId="450" w16cid:durableId="1478953111">
    <w:abstractNumId w:val="82"/>
  </w:num>
  <w:num w:numId="451" w16cid:durableId="239100898">
    <w:abstractNumId w:val="76"/>
  </w:num>
  <w:num w:numId="452" w16cid:durableId="1423989764">
    <w:abstractNumId w:val="680"/>
  </w:num>
  <w:num w:numId="453" w16cid:durableId="1254049823">
    <w:abstractNumId w:val="769"/>
  </w:num>
  <w:num w:numId="454" w16cid:durableId="1445223862">
    <w:abstractNumId w:val="580"/>
  </w:num>
  <w:num w:numId="455" w16cid:durableId="995039396">
    <w:abstractNumId w:val="335"/>
  </w:num>
  <w:num w:numId="456" w16cid:durableId="1666085930">
    <w:abstractNumId w:val="435"/>
  </w:num>
  <w:num w:numId="457" w16cid:durableId="2005891652">
    <w:abstractNumId w:val="84"/>
  </w:num>
  <w:num w:numId="458" w16cid:durableId="310796738">
    <w:abstractNumId w:val="392"/>
  </w:num>
  <w:num w:numId="459" w16cid:durableId="667830827">
    <w:abstractNumId w:val="159"/>
  </w:num>
  <w:num w:numId="460" w16cid:durableId="1945460582">
    <w:abstractNumId w:val="323"/>
  </w:num>
  <w:num w:numId="461" w16cid:durableId="1071387606">
    <w:abstractNumId w:val="832"/>
  </w:num>
  <w:num w:numId="462" w16cid:durableId="1948610948">
    <w:abstractNumId w:val="201"/>
  </w:num>
  <w:num w:numId="463" w16cid:durableId="813840951">
    <w:abstractNumId w:val="290"/>
  </w:num>
  <w:num w:numId="464" w16cid:durableId="1775898346">
    <w:abstractNumId w:val="139"/>
  </w:num>
  <w:num w:numId="465" w16cid:durableId="443504481">
    <w:abstractNumId w:val="320"/>
  </w:num>
  <w:num w:numId="466" w16cid:durableId="1402749440">
    <w:abstractNumId w:val="156"/>
  </w:num>
  <w:num w:numId="467" w16cid:durableId="1001276185">
    <w:abstractNumId w:val="253"/>
  </w:num>
  <w:num w:numId="468" w16cid:durableId="1923875843">
    <w:abstractNumId w:val="174"/>
  </w:num>
  <w:num w:numId="469" w16cid:durableId="957296989">
    <w:abstractNumId w:val="311"/>
  </w:num>
  <w:num w:numId="470" w16cid:durableId="618688625">
    <w:abstractNumId w:val="58"/>
  </w:num>
  <w:num w:numId="471" w16cid:durableId="1068917356">
    <w:abstractNumId w:val="459"/>
  </w:num>
  <w:num w:numId="472" w16cid:durableId="1194687120">
    <w:abstractNumId w:val="880"/>
  </w:num>
  <w:num w:numId="473" w16cid:durableId="952175555">
    <w:abstractNumId w:val="730"/>
  </w:num>
  <w:num w:numId="474" w16cid:durableId="1427338729">
    <w:abstractNumId w:val="412"/>
  </w:num>
  <w:num w:numId="475" w16cid:durableId="782849553">
    <w:abstractNumId w:val="831"/>
  </w:num>
  <w:num w:numId="476" w16cid:durableId="656879625">
    <w:abstractNumId w:val="153"/>
  </w:num>
  <w:num w:numId="477" w16cid:durableId="852961526">
    <w:abstractNumId w:val="438"/>
  </w:num>
  <w:num w:numId="478" w16cid:durableId="576666666">
    <w:abstractNumId w:val="432"/>
  </w:num>
  <w:num w:numId="479" w16cid:durableId="243802364">
    <w:abstractNumId w:val="629"/>
  </w:num>
  <w:num w:numId="480" w16cid:durableId="279848551">
    <w:abstractNumId w:val="222"/>
  </w:num>
  <w:num w:numId="481" w16cid:durableId="1130856059">
    <w:abstractNumId w:val="852"/>
  </w:num>
  <w:num w:numId="482" w16cid:durableId="1464620108">
    <w:abstractNumId w:val="258"/>
  </w:num>
  <w:num w:numId="483" w16cid:durableId="741218232">
    <w:abstractNumId w:val="283"/>
  </w:num>
  <w:num w:numId="484" w16cid:durableId="1929267432">
    <w:abstractNumId w:val="746"/>
  </w:num>
  <w:num w:numId="485" w16cid:durableId="302076233">
    <w:abstractNumId w:val="742"/>
  </w:num>
  <w:num w:numId="486" w16cid:durableId="559437669">
    <w:abstractNumId w:val="570"/>
  </w:num>
  <w:num w:numId="487" w16cid:durableId="1146777341">
    <w:abstractNumId w:val="718"/>
  </w:num>
  <w:num w:numId="488" w16cid:durableId="1341812818">
    <w:abstractNumId w:val="6"/>
  </w:num>
  <w:num w:numId="489" w16cid:durableId="1263803444">
    <w:abstractNumId w:val="233"/>
  </w:num>
  <w:num w:numId="490" w16cid:durableId="475806265">
    <w:abstractNumId w:val="867"/>
  </w:num>
  <w:num w:numId="491" w16cid:durableId="677121081">
    <w:abstractNumId w:val="777"/>
  </w:num>
  <w:num w:numId="492" w16cid:durableId="400182519">
    <w:abstractNumId w:val="471"/>
  </w:num>
  <w:num w:numId="493" w16cid:durableId="1612392745">
    <w:abstractNumId w:val="635"/>
  </w:num>
  <w:num w:numId="494" w16cid:durableId="1026639744">
    <w:abstractNumId w:val="228"/>
  </w:num>
  <w:num w:numId="495" w16cid:durableId="196629215">
    <w:abstractNumId w:val="839"/>
  </w:num>
  <w:num w:numId="496" w16cid:durableId="974605745">
    <w:abstractNumId w:val="450"/>
  </w:num>
  <w:num w:numId="497" w16cid:durableId="25445534">
    <w:abstractNumId w:val="83"/>
  </w:num>
  <w:num w:numId="498" w16cid:durableId="900679449">
    <w:abstractNumId w:val="751"/>
  </w:num>
  <w:num w:numId="499" w16cid:durableId="1666130863">
    <w:abstractNumId w:val="69"/>
  </w:num>
  <w:num w:numId="500" w16cid:durableId="1438596196">
    <w:abstractNumId w:val="269"/>
  </w:num>
  <w:num w:numId="501" w16cid:durableId="773482204">
    <w:abstractNumId w:val="359"/>
  </w:num>
  <w:num w:numId="502" w16cid:durableId="1066877552">
    <w:abstractNumId w:val="585"/>
  </w:num>
  <w:num w:numId="503" w16cid:durableId="569074136">
    <w:abstractNumId w:val="468"/>
  </w:num>
  <w:num w:numId="504" w16cid:durableId="1794589228">
    <w:abstractNumId w:val="404"/>
  </w:num>
  <w:num w:numId="505" w16cid:durableId="441649219">
    <w:abstractNumId w:val="123"/>
  </w:num>
  <w:num w:numId="506" w16cid:durableId="1254434922">
    <w:abstractNumId w:val="890"/>
  </w:num>
  <w:num w:numId="507" w16cid:durableId="2125926675">
    <w:abstractNumId w:val="66"/>
  </w:num>
  <w:num w:numId="508" w16cid:durableId="119810873">
    <w:abstractNumId w:val="3"/>
  </w:num>
  <w:num w:numId="509" w16cid:durableId="1033924992">
    <w:abstractNumId w:val="833"/>
  </w:num>
  <w:num w:numId="510" w16cid:durableId="11498625">
    <w:abstractNumId w:val="385"/>
  </w:num>
  <w:num w:numId="511" w16cid:durableId="1498888670">
    <w:abstractNumId w:val="684"/>
  </w:num>
  <w:num w:numId="512" w16cid:durableId="633757800">
    <w:abstractNumId w:val="158"/>
  </w:num>
  <w:num w:numId="513" w16cid:durableId="668562731">
    <w:abstractNumId w:val="89"/>
  </w:num>
  <w:num w:numId="514" w16cid:durableId="822047927">
    <w:abstractNumId w:val="399"/>
  </w:num>
  <w:num w:numId="515" w16cid:durableId="282468057">
    <w:abstractNumId w:val="615"/>
  </w:num>
  <w:num w:numId="516" w16cid:durableId="109904855">
    <w:abstractNumId w:val="478"/>
  </w:num>
  <w:num w:numId="517" w16cid:durableId="1457674250">
    <w:abstractNumId w:val="748"/>
  </w:num>
  <w:num w:numId="518" w16cid:durableId="473765183">
    <w:abstractNumId w:val="761"/>
  </w:num>
  <w:num w:numId="519" w16cid:durableId="1569072897">
    <w:abstractNumId w:val="252"/>
  </w:num>
  <w:num w:numId="520" w16cid:durableId="852690045">
    <w:abstractNumId w:val="456"/>
  </w:num>
  <w:num w:numId="521" w16cid:durableId="927233839">
    <w:abstractNumId w:val="790"/>
  </w:num>
  <w:num w:numId="522" w16cid:durableId="1090391327">
    <w:abstractNumId w:val="131"/>
  </w:num>
  <w:num w:numId="523" w16cid:durableId="673190527">
    <w:abstractNumId w:val="886"/>
  </w:num>
  <w:num w:numId="524" w16cid:durableId="2111003297">
    <w:abstractNumId w:val="486"/>
  </w:num>
  <w:num w:numId="525" w16cid:durableId="1603107812">
    <w:abstractNumId w:val="188"/>
  </w:num>
  <w:num w:numId="526" w16cid:durableId="1129512971">
    <w:abstractNumId w:val="59"/>
  </w:num>
  <w:num w:numId="527" w16cid:durableId="1748115820">
    <w:abstractNumId w:val="167"/>
  </w:num>
  <w:num w:numId="528" w16cid:durableId="599487956">
    <w:abstractNumId w:val="162"/>
  </w:num>
  <w:num w:numId="529" w16cid:durableId="1711221392">
    <w:abstractNumId w:val="169"/>
  </w:num>
  <w:num w:numId="530" w16cid:durableId="1253053962">
    <w:abstractNumId w:val="873"/>
  </w:num>
  <w:num w:numId="531" w16cid:durableId="56367576">
    <w:abstractNumId w:val="532"/>
  </w:num>
  <w:num w:numId="532" w16cid:durableId="1591739319">
    <w:abstractNumId w:val="666"/>
  </w:num>
  <w:num w:numId="533" w16cid:durableId="21368683">
    <w:abstractNumId w:val="280"/>
  </w:num>
  <w:num w:numId="534" w16cid:durableId="1960138917">
    <w:abstractNumId w:val="710"/>
  </w:num>
  <w:num w:numId="535" w16cid:durableId="1244291172">
    <w:abstractNumId w:val="840"/>
  </w:num>
  <w:num w:numId="536" w16cid:durableId="2003270639">
    <w:abstractNumId w:val="846"/>
  </w:num>
  <w:num w:numId="537" w16cid:durableId="2124230214">
    <w:abstractNumId w:val="768"/>
  </w:num>
  <w:num w:numId="538" w16cid:durableId="1056901938">
    <w:abstractNumId w:val="231"/>
  </w:num>
  <w:num w:numId="539" w16cid:durableId="2126190535">
    <w:abstractNumId w:val="96"/>
  </w:num>
  <w:num w:numId="540" w16cid:durableId="2115131746">
    <w:abstractNumId w:val="53"/>
  </w:num>
  <w:num w:numId="541" w16cid:durableId="1467629275">
    <w:abstractNumId w:val="825"/>
  </w:num>
  <w:num w:numId="542" w16cid:durableId="1102991307">
    <w:abstractNumId w:val="129"/>
  </w:num>
  <w:num w:numId="543" w16cid:durableId="1303460413">
    <w:abstractNumId w:val="812"/>
  </w:num>
  <w:num w:numId="544" w16cid:durableId="341783968">
    <w:abstractNumId w:val="334"/>
  </w:num>
  <w:num w:numId="545" w16cid:durableId="2022924264">
    <w:abstractNumId w:val="872"/>
  </w:num>
  <w:num w:numId="546" w16cid:durableId="887181990">
    <w:abstractNumId w:val="356"/>
  </w:num>
  <w:num w:numId="547" w16cid:durableId="133254412">
    <w:abstractNumId w:val="305"/>
  </w:num>
  <w:num w:numId="548" w16cid:durableId="730202508">
    <w:abstractNumId w:val="620"/>
  </w:num>
  <w:num w:numId="549" w16cid:durableId="1557814086">
    <w:abstractNumId w:val="805"/>
  </w:num>
  <w:num w:numId="550" w16cid:durableId="902790588">
    <w:abstractNumId w:val="354"/>
  </w:num>
  <w:num w:numId="551" w16cid:durableId="101149001">
    <w:abstractNumId w:val="407"/>
  </w:num>
  <w:num w:numId="552" w16cid:durableId="161287141">
    <w:abstractNumId w:val="614"/>
  </w:num>
  <w:num w:numId="553" w16cid:durableId="1508517351">
    <w:abstractNumId w:val="242"/>
  </w:num>
  <w:num w:numId="554" w16cid:durableId="515967964">
    <w:abstractNumId w:val="715"/>
  </w:num>
  <w:num w:numId="555" w16cid:durableId="226108782">
    <w:abstractNumId w:val="675"/>
  </w:num>
  <w:num w:numId="556" w16cid:durableId="603881039">
    <w:abstractNumId w:val="443"/>
  </w:num>
  <w:num w:numId="557" w16cid:durableId="981076565">
    <w:abstractNumId w:val="753"/>
  </w:num>
  <w:num w:numId="558" w16cid:durableId="1668433819">
    <w:abstractNumId w:val="502"/>
  </w:num>
  <w:num w:numId="559" w16cid:durableId="1553420318">
    <w:abstractNumId w:val="259"/>
  </w:num>
  <w:num w:numId="560" w16cid:durableId="1931431737">
    <w:abstractNumId w:val="326"/>
  </w:num>
  <w:num w:numId="561" w16cid:durableId="542523003">
    <w:abstractNumId w:val="48"/>
  </w:num>
  <w:num w:numId="562" w16cid:durableId="1577861620">
    <w:abstractNumId w:val="829"/>
  </w:num>
  <w:num w:numId="563" w16cid:durableId="921261143">
    <w:abstractNumId w:val="693"/>
  </w:num>
  <w:num w:numId="564" w16cid:durableId="451755361">
    <w:abstractNumId w:val="268"/>
  </w:num>
  <w:num w:numId="565" w16cid:durableId="748042245">
    <w:abstractNumId w:val="177"/>
  </w:num>
  <w:num w:numId="566" w16cid:durableId="1254820528">
    <w:abstractNumId w:val="298"/>
  </w:num>
  <w:num w:numId="567" w16cid:durableId="1165051315">
    <w:abstractNumId w:val="45"/>
  </w:num>
  <w:num w:numId="568" w16cid:durableId="1680738065">
    <w:abstractNumId w:val="800"/>
  </w:num>
  <w:num w:numId="569" w16cid:durableId="766776064">
    <w:abstractNumId w:val="127"/>
  </w:num>
  <w:num w:numId="570" w16cid:durableId="164906423">
    <w:abstractNumId w:val="797"/>
  </w:num>
  <w:num w:numId="571" w16cid:durableId="1495143053">
    <w:abstractNumId w:val="550"/>
  </w:num>
  <w:num w:numId="572" w16cid:durableId="1975064441">
    <w:abstractNumId w:val="707"/>
  </w:num>
  <w:num w:numId="573" w16cid:durableId="569274022">
    <w:abstractNumId w:val="164"/>
  </w:num>
  <w:num w:numId="574" w16cid:durableId="79956236">
    <w:abstractNumId w:val="420"/>
  </w:num>
  <w:num w:numId="575" w16cid:durableId="1323048350">
    <w:abstractNumId w:val="691"/>
  </w:num>
  <w:num w:numId="576" w16cid:durableId="1217817602">
    <w:abstractNumId w:val="579"/>
  </w:num>
  <w:num w:numId="577" w16cid:durableId="1724478699">
    <w:abstractNumId w:val="724"/>
  </w:num>
  <w:num w:numId="578" w16cid:durableId="909970601">
    <w:abstractNumId w:val="297"/>
  </w:num>
  <w:num w:numId="579" w16cid:durableId="1720787608">
    <w:abstractNumId w:val="879"/>
  </w:num>
  <w:num w:numId="580" w16cid:durableId="1981423073">
    <w:abstractNumId w:val="639"/>
  </w:num>
  <w:num w:numId="581" w16cid:durableId="1874730839">
    <w:abstractNumId w:val="165"/>
  </w:num>
  <w:num w:numId="582" w16cid:durableId="1911385080">
    <w:abstractNumId w:val="783"/>
  </w:num>
  <w:num w:numId="583" w16cid:durableId="1799760302">
    <w:abstractNumId w:val="42"/>
  </w:num>
  <w:num w:numId="584" w16cid:durableId="1150710909">
    <w:abstractNumId w:val="672"/>
  </w:num>
  <w:num w:numId="585" w16cid:durableId="529801776">
    <w:abstractNumId w:val="33"/>
  </w:num>
  <w:num w:numId="586" w16cid:durableId="2116515917">
    <w:abstractNumId w:val="114"/>
  </w:num>
  <w:num w:numId="587" w16cid:durableId="96171436">
    <w:abstractNumId w:val="77"/>
  </w:num>
  <w:num w:numId="588" w16cid:durableId="58479971">
    <w:abstractNumId w:val="498"/>
  </w:num>
  <w:num w:numId="589" w16cid:durableId="1741781730">
    <w:abstractNumId w:val="513"/>
  </w:num>
  <w:num w:numId="590" w16cid:durableId="1313827069">
    <w:abstractNumId w:val="480"/>
  </w:num>
  <w:num w:numId="591" w16cid:durableId="1371495990">
    <w:abstractNumId w:val="184"/>
  </w:num>
  <w:num w:numId="592" w16cid:durableId="1967658890">
    <w:abstractNumId w:val="70"/>
  </w:num>
  <w:num w:numId="593" w16cid:durableId="45572122">
    <w:abstractNumId w:val="286"/>
  </w:num>
  <w:num w:numId="594" w16cid:durableId="409695465">
    <w:abstractNumId w:val="57"/>
  </w:num>
  <w:num w:numId="595" w16cid:durableId="301350965">
    <w:abstractNumId w:val="383"/>
  </w:num>
  <w:num w:numId="596" w16cid:durableId="2132623849">
    <w:abstractNumId w:val="118"/>
  </w:num>
  <w:num w:numId="597" w16cid:durableId="1179126341">
    <w:abstractNumId w:val="226"/>
  </w:num>
  <w:num w:numId="598" w16cid:durableId="1997491934">
    <w:abstractNumId w:val="743"/>
  </w:num>
  <w:num w:numId="599" w16cid:durableId="1910460776">
    <w:abstractNumId w:val="464"/>
  </w:num>
  <w:num w:numId="600" w16cid:durableId="1337071339">
    <w:abstractNumId w:val="247"/>
  </w:num>
  <w:num w:numId="601" w16cid:durableId="1787503322">
    <w:abstractNumId w:val="900"/>
  </w:num>
  <w:num w:numId="602" w16cid:durableId="386953937">
    <w:abstractNumId w:val="835"/>
  </w:num>
  <w:num w:numId="603" w16cid:durableId="358553444">
    <w:abstractNumId w:val="108"/>
  </w:num>
  <w:num w:numId="604" w16cid:durableId="1110007039">
    <w:abstractNumId w:val="271"/>
  </w:num>
  <w:num w:numId="605" w16cid:durableId="277614578">
    <w:abstractNumId w:val="634"/>
  </w:num>
  <w:num w:numId="606" w16cid:durableId="526524772">
    <w:abstractNumId w:val="430"/>
  </w:num>
  <w:num w:numId="607" w16cid:durableId="102265511">
    <w:abstractNumId w:val="281"/>
  </w:num>
  <w:num w:numId="608" w16cid:durableId="1013651973">
    <w:abstractNumId w:val="324"/>
  </w:num>
  <w:num w:numId="609" w16cid:durableId="139083156">
    <w:abstractNumId w:val="476"/>
  </w:num>
  <w:num w:numId="610" w16cid:durableId="1632205111">
    <w:abstractNumId w:val="731"/>
  </w:num>
  <w:num w:numId="611" w16cid:durableId="1985550520">
    <w:abstractNumId w:val="470"/>
  </w:num>
  <w:num w:numId="612" w16cid:durableId="567692733">
    <w:abstractNumId w:val="60"/>
  </w:num>
  <w:num w:numId="613" w16cid:durableId="1253588076">
    <w:abstractNumId w:val="754"/>
  </w:num>
  <w:num w:numId="614" w16cid:durableId="954407668">
    <w:abstractNumId w:val="499"/>
  </w:num>
  <w:num w:numId="615" w16cid:durableId="1044450496">
    <w:abstractNumId w:val="93"/>
  </w:num>
  <w:num w:numId="616" w16cid:durableId="1462767880">
    <w:abstractNumId w:val="466"/>
  </w:num>
  <w:num w:numId="617" w16cid:durableId="120271186">
    <w:abstractNumId w:val="859"/>
  </w:num>
  <w:num w:numId="618" w16cid:durableId="1480196247">
    <w:abstractNumId w:val="652"/>
  </w:num>
  <w:num w:numId="619" w16cid:durableId="1780487070">
    <w:abstractNumId w:val="434"/>
  </w:num>
  <w:num w:numId="620" w16cid:durableId="770005668">
    <w:abstractNumId w:val="418"/>
  </w:num>
  <w:num w:numId="621" w16cid:durableId="1571387417">
    <w:abstractNumId w:val="837"/>
  </w:num>
  <w:num w:numId="622" w16cid:durableId="269314932">
    <w:abstractNumId w:val="496"/>
  </w:num>
  <w:num w:numId="623" w16cid:durableId="1096512960">
    <w:abstractNumId w:val="340"/>
  </w:num>
  <w:num w:numId="624" w16cid:durableId="1707752503">
    <w:abstractNumId w:val="802"/>
  </w:num>
  <w:num w:numId="625" w16cid:durableId="1333877476">
    <w:abstractNumId w:val="599"/>
  </w:num>
  <w:num w:numId="626" w16cid:durableId="1362704250">
    <w:abstractNumId w:val="109"/>
  </w:num>
  <w:num w:numId="627" w16cid:durableId="3021434">
    <w:abstractNumId w:val="463"/>
  </w:num>
  <w:num w:numId="628" w16cid:durableId="1933732145">
    <w:abstractNumId w:val="104"/>
  </w:num>
  <w:num w:numId="629" w16cid:durableId="1588268430">
    <w:abstractNumId w:val="263"/>
  </w:num>
  <w:num w:numId="630" w16cid:durableId="183136817">
    <w:abstractNumId w:val="493"/>
  </w:num>
  <w:num w:numId="631" w16cid:durableId="943461515">
    <w:abstractNumId w:val="714"/>
  </w:num>
  <w:num w:numId="632" w16cid:durableId="1184202252">
    <w:abstractNumId w:val="346"/>
  </w:num>
  <w:num w:numId="633" w16cid:durableId="1710837288">
    <w:abstractNumId w:val="774"/>
  </w:num>
  <w:num w:numId="634" w16cid:durableId="1484737209">
    <w:abstractNumId w:val="673"/>
  </w:num>
  <w:num w:numId="635" w16cid:durableId="1542355821">
    <w:abstractNumId w:val="336"/>
  </w:num>
  <w:num w:numId="636" w16cid:durableId="532232980">
    <w:abstractNumId w:val="410"/>
  </w:num>
  <w:num w:numId="637" w16cid:durableId="1109274168">
    <w:abstractNumId w:val="526"/>
  </w:num>
  <w:num w:numId="638" w16cid:durableId="310062309">
    <w:abstractNumId w:val="352"/>
  </w:num>
  <w:num w:numId="639" w16cid:durableId="1189949168">
    <w:abstractNumId w:val="501"/>
  </w:num>
  <w:num w:numId="640" w16cid:durableId="1299991839">
    <w:abstractNumId w:val="439"/>
  </w:num>
  <w:num w:numId="641" w16cid:durableId="1524779310">
    <w:abstractNumId w:val="760"/>
  </w:num>
  <w:num w:numId="642" w16cid:durableId="1759985011">
    <w:abstractNumId w:val="157"/>
  </w:num>
  <w:num w:numId="643" w16cid:durableId="1664237376">
    <w:abstractNumId w:val="9"/>
  </w:num>
  <w:num w:numId="644" w16cid:durableId="1006977543">
    <w:abstractNumId w:val="102"/>
  </w:num>
  <w:num w:numId="645" w16cid:durableId="2075883519">
    <w:abstractNumId w:val="35"/>
  </w:num>
  <w:num w:numId="646" w16cid:durableId="1831015313">
    <w:abstractNumId w:val="190"/>
  </w:num>
  <w:num w:numId="647" w16cid:durableId="620772241">
    <w:abstractNumId w:val="227"/>
  </w:num>
  <w:num w:numId="648" w16cid:durableId="636420115">
    <w:abstractNumId w:val="382"/>
  </w:num>
  <w:num w:numId="649" w16cid:durableId="1497960512">
    <w:abstractNumId w:val="636"/>
  </w:num>
  <w:num w:numId="650" w16cid:durableId="1454523188">
    <w:abstractNumId w:val="411"/>
  </w:num>
  <w:num w:numId="651" w16cid:durableId="1646886474">
    <w:abstractNumId w:val="117"/>
  </w:num>
  <w:num w:numId="652" w16cid:durableId="918632871">
    <w:abstractNumId w:val="491"/>
  </w:num>
  <w:num w:numId="653" w16cid:durableId="1079641336">
    <w:abstractNumId w:val="773"/>
  </w:num>
  <w:num w:numId="654" w16cid:durableId="1196037196">
    <w:abstractNumId w:val="726"/>
  </w:num>
  <w:num w:numId="655" w16cid:durableId="713165254">
    <w:abstractNumId w:val="183"/>
  </w:num>
  <w:num w:numId="656" w16cid:durableId="648288675">
    <w:abstractNumId w:val="844"/>
  </w:num>
  <w:num w:numId="657" w16cid:durableId="2008824289">
    <w:abstractNumId w:val="126"/>
  </w:num>
  <w:num w:numId="658" w16cid:durableId="1232082393">
    <w:abstractNumId w:val="548"/>
  </w:num>
  <w:num w:numId="659" w16cid:durableId="1282956206">
    <w:abstractNumId w:val="11"/>
  </w:num>
  <w:num w:numId="660" w16cid:durableId="994409353">
    <w:abstractNumId w:val="871"/>
  </w:num>
  <w:num w:numId="661" w16cid:durableId="1752582025">
    <w:abstractNumId w:val="484"/>
  </w:num>
  <w:num w:numId="662" w16cid:durableId="1220171468">
    <w:abstractNumId w:val="362"/>
  </w:num>
  <w:num w:numId="663" w16cid:durableId="1662463296">
    <w:abstractNumId w:val="12"/>
  </w:num>
  <w:num w:numId="664" w16cid:durableId="238903763">
    <w:abstractNumId w:val="213"/>
  </w:num>
  <w:num w:numId="665" w16cid:durableId="1176850388">
    <w:abstractNumId w:val="803"/>
  </w:num>
  <w:num w:numId="666" w16cid:durableId="635916463">
    <w:abstractNumId w:val="529"/>
  </w:num>
  <w:num w:numId="667" w16cid:durableId="988090500">
    <w:abstractNumId w:val="136"/>
  </w:num>
  <w:num w:numId="668" w16cid:durableId="1397122178">
    <w:abstractNumId w:val="17"/>
  </w:num>
  <w:num w:numId="669" w16cid:durableId="546452172">
    <w:abstractNumId w:val="483"/>
  </w:num>
  <w:num w:numId="670" w16cid:durableId="1182282583">
    <w:abstractNumId w:val="836"/>
  </w:num>
  <w:num w:numId="671" w16cid:durableId="2061708486">
    <w:abstractNumId w:val="594"/>
  </w:num>
  <w:num w:numId="672" w16cid:durableId="1961840892">
    <w:abstractNumId w:val="194"/>
  </w:num>
  <w:num w:numId="673" w16cid:durableId="1960410420">
    <w:abstractNumId w:val="377"/>
  </w:num>
  <w:num w:numId="674" w16cid:durableId="1760364660">
    <w:abstractNumId w:val="883"/>
  </w:num>
  <w:num w:numId="675" w16cid:durableId="1080448436">
    <w:abstractNumId w:val="86"/>
  </w:num>
  <w:num w:numId="676" w16cid:durableId="1613316121">
    <w:abstractNumId w:val="373"/>
  </w:num>
  <w:num w:numId="677" w16cid:durableId="470052343">
    <w:abstractNumId w:val="460"/>
  </w:num>
  <w:num w:numId="678" w16cid:durableId="1419980691">
    <w:abstractNumId w:val="312"/>
  </w:num>
  <w:num w:numId="679" w16cid:durableId="1753816493">
    <w:abstractNumId w:val="303"/>
  </w:num>
  <w:num w:numId="680" w16cid:durableId="897280573">
    <w:abstractNumId w:val="565"/>
  </w:num>
  <w:num w:numId="681" w16cid:durableId="1745686763">
    <w:abstractNumId w:val="274"/>
  </w:num>
  <w:num w:numId="682" w16cid:durableId="2021853183">
    <w:abstractNumId w:val="482"/>
  </w:num>
  <w:num w:numId="683" w16cid:durableId="2134473954">
    <w:abstractNumId w:val="436"/>
  </w:num>
  <w:num w:numId="684" w16cid:durableId="2102678471">
    <w:abstractNumId w:val="302"/>
  </w:num>
  <w:num w:numId="685" w16cid:durableId="1720737920">
    <w:abstractNumId w:val="427"/>
  </w:num>
  <w:num w:numId="686" w16cid:durableId="384178740">
    <w:abstractNumId w:val="387"/>
  </w:num>
  <w:num w:numId="687" w16cid:durableId="584218640">
    <w:abstractNumId w:val="842"/>
  </w:num>
  <w:num w:numId="688" w16cid:durableId="2072146593">
    <w:abstractNumId w:val="107"/>
  </w:num>
  <w:num w:numId="689" w16cid:durableId="773940679">
    <w:abstractNumId w:val="602"/>
  </w:num>
  <w:num w:numId="690" w16cid:durableId="1090126048">
    <w:abstractNumId w:val="130"/>
  </w:num>
  <w:num w:numId="691" w16cid:durableId="792165796">
    <w:abstractNumId w:val="221"/>
  </w:num>
  <w:num w:numId="692" w16cid:durableId="232935018">
    <w:abstractNumId w:val="91"/>
  </w:num>
  <w:num w:numId="693" w16cid:durableId="2063171444">
    <w:abstractNumId w:val="623"/>
  </w:num>
  <w:num w:numId="694" w16cid:durableId="270624186">
    <w:abstractNumId w:val="752"/>
  </w:num>
  <w:num w:numId="695" w16cid:durableId="1737630458">
    <w:abstractNumId w:val="449"/>
  </w:num>
  <w:num w:numId="696" w16cid:durableId="997658910">
    <w:abstractNumId w:val="394"/>
  </w:num>
  <w:num w:numId="697" w16cid:durableId="1307902048">
    <w:abstractNumId w:val="581"/>
  </w:num>
  <w:num w:numId="698" w16cid:durableId="1574926534">
    <w:abstractNumId w:val="87"/>
  </w:num>
  <w:num w:numId="699" w16cid:durableId="1124075240">
    <w:abstractNumId w:val="345"/>
  </w:num>
  <w:num w:numId="700" w16cid:durableId="1432119333">
    <w:abstractNumId w:val="798"/>
  </w:num>
  <w:num w:numId="701" w16cid:durableId="1218055508">
    <w:abstractNumId w:val="473"/>
  </w:num>
  <w:num w:numId="702" w16cid:durableId="542064692">
    <w:abstractNumId w:val="877"/>
  </w:num>
  <w:num w:numId="703" w16cid:durableId="1638073204">
    <w:abstractNumId w:val="369"/>
  </w:num>
  <w:num w:numId="704" w16cid:durableId="1494754416">
    <w:abstractNumId w:val="654"/>
  </w:num>
  <w:num w:numId="705" w16cid:durableId="67465765">
    <w:abstractNumId w:val="572"/>
  </w:num>
  <w:num w:numId="706" w16cid:durableId="682978581">
    <w:abstractNumId w:val="734"/>
  </w:num>
  <w:num w:numId="707" w16cid:durableId="987788501">
    <w:abstractNumId w:val="771"/>
  </w:num>
  <w:num w:numId="708" w16cid:durableId="1570578519">
    <w:abstractNumId w:val="55"/>
  </w:num>
  <w:num w:numId="709" w16cid:durableId="1666589321">
    <w:abstractNumId w:val="339"/>
  </w:num>
  <w:num w:numId="710" w16cid:durableId="1025671039">
    <w:abstractNumId w:val="209"/>
  </w:num>
  <w:num w:numId="711" w16cid:durableId="1002974642">
    <w:abstractNumId w:val="740"/>
  </w:num>
  <w:num w:numId="712" w16cid:durableId="2070152923">
    <w:abstractNumId w:val="708"/>
  </w:num>
  <w:num w:numId="713" w16cid:durableId="997344628">
    <w:abstractNumId w:val="255"/>
  </w:num>
  <w:num w:numId="714" w16cid:durableId="1339775391">
    <w:abstractNumId w:val="507"/>
  </w:num>
  <w:num w:numId="715" w16cid:durableId="825708053">
    <w:abstractNumId w:val="150"/>
  </w:num>
  <w:num w:numId="716" w16cid:durableId="1451630657">
    <w:abstractNumId w:val="110"/>
  </w:num>
  <w:num w:numId="717" w16cid:durableId="1034774752">
    <w:abstractNumId w:val="688"/>
  </w:num>
  <w:num w:numId="718" w16cid:durableId="2129422912">
    <w:abstractNumId w:val="388"/>
  </w:num>
  <w:num w:numId="719" w16cid:durableId="1092123955">
    <w:abstractNumId w:val="261"/>
  </w:num>
  <w:num w:numId="720" w16cid:durableId="166794975">
    <w:abstractNumId w:val="148"/>
  </w:num>
  <w:num w:numId="721" w16cid:durableId="738751432">
    <w:abstractNumId w:val="492"/>
  </w:num>
  <w:num w:numId="722" w16cid:durableId="883712091">
    <w:abstractNumId w:val="295"/>
  </w:num>
  <w:num w:numId="723" w16cid:durableId="1908491694">
    <w:abstractNumId w:val="196"/>
  </w:num>
  <w:num w:numId="724" w16cid:durableId="1620065266">
    <w:abstractNumId w:val="596"/>
  </w:num>
  <w:num w:numId="725" w16cid:durableId="643434868">
    <w:abstractNumId w:val="628"/>
  </w:num>
  <w:num w:numId="726" w16cid:durableId="1593852158">
    <w:abstractNumId w:val="607"/>
  </w:num>
  <w:num w:numId="727" w16cid:durableId="1331375056">
    <w:abstractNumId w:val="586"/>
  </w:num>
  <w:num w:numId="728" w16cid:durableId="834685421">
    <w:abstractNumId w:val="49"/>
  </w:num>
  <w:num w:numId="729" w16cid:durableId="841166119">
    <w:abstractNumId w:val="304"/>
  </w:num>
  <w:num w:numId="730" w16cid:durableId="1893350508">
    <w:abstractNumId w:val="866"/>
  </w:num>
  <w:num w:numId="731" w16cid:durableId="779759985">
    <w:abstractNumId w:val="296"/>
  </w:num>
  <w:num w:numId="732" w16cid:durableId="974675131">
    <w:abstractNumId w:val="289"/>
  </w:num>
  <w:num w:numId="733" w16cid:durableId="864757110">
    <w:abstractNumId w:val="144"/>
  </w:num>
  <w:num w:numId="734" w16cid:durableId="1387145583">
    <w:abstractNumId w:val="344"/>
  </w:num>
  <w:num w:numId="735" w16cid:durableId="1891840328">
    <w:abstractNumId w:val="256"/>
  </w:num>
  <w:num w:numId="736" w16cid:durableId="869338317">
    <w:abstractNumId w:val="875"/>
  </w:num>
  <w:num w:numId="737" w16cid:durableId="1242638285">
    <w:abstractNumId w:val="212"/>
  </w:num>
  <w:num w:numId="738" w16cid:durableId="1837842708">
    <w:abstractNumId w:val="232"/>
  </w:num>
  <w:num w:numId="739" w16cid:durableId="1143159703">
    <w:abstractNumId w:val="563"/>
  </w:num>
  <w:num w:numId="740" w16cid:durableId="458426432">
    <w:abstractNumId w:val="685"/>
  </w:num>
  <w:num w:numId="741" w16cid:durableId="1041130159">
    <w:abstractNumId w:val="523"/>
  </w:num>
  <w:num w:numId="742" w16cid:durableId="881095743">
    <w:abstractNumId w:val="251"/>
  </w:num>
  <w:num w:numId="743" w16cid:durableId="1629362150">
    <w:abstractNumId w:val="640"/>
  </w:num>
  <w:num w:numId="744" w16cid:durableId="752817581">
    <w:abstractNumId w:val="318"/>
  </w:num>
  <w:num w:numId="745" w16cid:durableId="2138061649">
    <w:abstractNumId w:val="641"/>
  </w:num>
  <w:num w:numId="746" w16cid:durableId="1260140848">
    <w:abstractNumId w:val="20"/>
  </w:num>
  <w:num w:numId="747" w16cid:durableId="173615335">
    <w:abstractNumId w:val="573"/>
  </w:num>
  <w:num w:numId="748" w16cid:durableId="2118913106">
    <w:abstractNumId w:val="648"/>
  </w:num>
  <w:num w:numId="749" w16cid:durableId="957369272">
    <w:abstractNumId w:val="355"/>
  </w:num>
  <w:num w:numId="750" w16cid:durableId="911083879">
    <w:abstractNumId w:val="475"/>
  </w:num>
  <w:num w:numId="751" w16cid:durableId="2063554049">
    <w:abstractNumId w:val="528"/>
  </w:num>
  <w:num w:numId="752" w16cid:durableId="225730124">
    <w:abstractNumId w:val="453"/>
  </w:num>
  <w:num w:numId="753" w16cid:durableId="273172585">
    <w:abstractNumId w:val="28"/>
  </w:num>
  <w:num w:numId="754" w16cid:durableId="1010720967">
    <w:abstractNumId w:val="611"/>
  </w:num>
  <w:num w:numId="755" w16cid:durableId="839926139">
    <w:abstractNumId w:val="266"/>
  </w:num>
  <w:num w:numId="756" w16cid:durableId="1221284078">
    <w:abstractNumId w:val="653"/>
  </w:num>
  <w:num w:numId="757" w16cid:durableId="1089153975">
    <w:abstractNumId w:val="605"/>
  </w:num>
  <w:num w:numId="758" w16cid:durableId="1417507878">
    <w:abstractNumId w:val="143"/>
  </w:num>
  <w:num w:numId="759" w16cid:durableId="1333143348">
    <w:abstractNumId w:val="624"/>
  </w:num>
  <w:num w:numId="760" w16cid:durableId="149372122">
    <w:abstractNumId w:val="609"/>
  </w:num>
  <w:num w:numId="761" w16cid:durableId="2059356153">
    <w:abstractNumId w:val="665"/>
  </w:num>
  <w:num w:numId="762" w16cid:durableId="1258101614">
    <w:abstractNumId w:val="806"/>
  </w:num>
  <w:num w:numId="763" w16cid:durableId="1942839198">
    <w:abstractNumId w:val="687"/>
  </w:num>
  <w:num w:numId="764" w16cid:durableId="496917945">
    <w:abstractNumId w:val="514"/>
  </w:num>
  <w:num w:numId="765" w16cid:durableId="1338264950">
    <w:abstractNumId w:val="239"/>
  </w:num>
  <w:num w:numId="766" w16cid:durableId="178786949">
    <w:abstractNumId w:val="103"/>
  </w:num>
  <w:num w:numId="767" w16cid:durableId="2087605059">
    <w:abstractNumId w:val="243"/>
  </w:num>
  <w:num w:numId="768" w16cid:durableId="1372657535">
    <w:abstractNumId w:val="660"/>
  </w:num>
  <w:num w:numId="769" w16cid:durableId="301349124">
    <w:abstractNumId w:val="893"/>
  </w:num>
  <w:num w:numId="770" w16cid:durableId="2020546826">
    <w:abstractNumId w:val="445"/>
  </w:num>
  <w:num w:numId="771" w16cid:durableId="800074720">
    <w:abstractNumId w:val="180"/>
  </w:num>
  <w:num w:numId="772" w16cid:durableId="538275896">
    <w:abstractNumId w:val="722"/>
  </w:num>
  <w:num w:numId="773" w16cid:durableId="465243118">
    <w:abstractNumId w:val="328"/>
  </w:num>
  <w:num w:numId="774" w16cid:durableId="85854831">
    <w:abstractNumId w:val="440"/>
  </w:num>
  <w:num w:numId="775" w16cid:durableId="1111167103">
    <w:abstractNumId w:val="910"/>
  </w:num>
  <w:num w:numId="776" w16cid:durableId="1742945337">
    <w:abstractNumId w:val="349"/>
  </w:num>
  <w:num w:numId="777" w16cid:durableId="324473395">
    <w:abstractNumId w:val="861"/>
  </w:num>
  <w:num w:numId="778" w16cid:durableId="1194461077">
    <w:abstractNumId w:val="187"/>
  </w:num>
  <w:num w:numId="779" w16cid:durableId="1938708458">
    <w:abstractNumId w:val="571"/>
  </w:num>
  <w:num w:numId="780" w16cid:durableId="2093968680">
    <w:abstractNumId w:val="519"/>
  </w:num>
  <w:num w:numId="781" w16cid:durableId="157111493">
    <w:abstractNumId w:val="128"/>
  </w:num>
  <w:num w:numId="782" w16cid:durableId="2139685702">
    <w:abstractNumId w:val="847"/>
  </w:num>
  <w:num w:numId="783" w16cid:durableId="1632438584">
    <w:abstractNumId w:val="424"/>
  </w:num>
  <w:num w:numId="784" w16cid:durableId="1830635784">
    <w:abstractNumId w:val="584"/>
  </w:num>
  <w:num w:numId="785" w16cid:durableId="1135178864">
    <w:abstractNumId w:val="43"/>
  </w:num>
  <w:num w:numId="786" w16cid:durableId="502202668">
    <w:abstractNumId w:val="595"/>
  </w:num>
  <w:num w:numId="787" w16cid:durableId="2118135912">
    <w:abstractNumId w:val="671"/>
  </w:num>
  <w:num w:numId="788" w16cid:durableId="242839169">
    <w:abstractNumId w:val="593"/>
  </w:num>
  <w:num w:numId="789" w16cid:durableId="1168252204">
    <w:abstractNumId w:val="170"/>
  </w:num>
  <w:num w:numId="790" w16cid:durableId="189609260">
    <w:abstractNumId w:val="208"/>
  </w:num>
  <w:num w:numId="791" w16cid:durableId="778843139">
    <w:abstractNumId w:val="659"/>
  </w:num>
  <w:num w:numId="792" w16cid:durableId="1535772016">
    <w:abstractNumId w:val="905"/>
  </w:num>
  <w:num w:numId="793" w16cid:durableId="1021977257">
    <w:abstractNumId w:val="682"/>
  </w:num>
  <w:num w:numId="794" w16cid:durableId="2127305822">
    <w:abstractNumId w:val="814"/>
  </w:num>
  <w:num w:numId="795" w16cid:durableId="1543439662">
    <w:abstractNumId w:val="494"/>
  </w:num>
  <w:num w:numId="796" w16cid:durableId="1287545481">
    <w:abstractNumId w:val="811"/>
  </w:num>
  <w:num w:numId="797" w16cid:durableId="1979993691">
    <w:abstractNumId w:val="788"/>
  </w:num>
  <w:num w:numId="798" w16cid:durableId="119419866">
    <w:abstractNumId w:val="556"/>
  </w:num>
  <w:num w:numId="799" w16cid:durableId="1209952735">
    <w:abstractNumId w:val="649"/>
  </w:num>
  <w:num w:numId="800" w16cid:durableId="506142724">
    <w:abstractNumId w:val="658"/>
  </w:num>
  <w:num w:numId="801" w16cid:durableId="1126394491">
    <w:abstractNumId w:val="134"/>
  </w:num>
  <w:num w:numId="802" w16cid:durableId="247156029">
    <w:abstractNumId w:val="686"/>
  </w:num>
  <w:num w:numId="803" w16cid:durableId="1286817561">
    <w:abstractNumId w:val="137"/>
  </w:num>
  <w:num w:numId="804" w16cid:durableId="1700887996">
    <w:abstractNumId w:val="376"/>
  </w:num>
  <w:num w:numId="805" w16cid:durableId="353654704">
    <w:abstractNumId w:val="553"/>
  </w:num>
  <w:num w:numId="806" w16cid:durableId="513881554">
    <w:abstractNumId w:val="645"/>
  </w:num>
  <w:num w:numId="807" w16cid:durableId="770861683">
    <w:abstractNumId w:val="755"/>
  </w:num>
  <w:num w:numId="808" w16cid:durableId="694769098">
    <w:abstractNumId w:val="804"/>
  </w:num>
  <w:num w:numId="809" w16cid:durableId="896551721">
    <w:abstractNumId w:val="54"/>
  </w:num>
  <w:num w:numId="810" w16cid:durableId="1223950443">
    <w:abstractNumId w:val="370"/>
  </w:num>
  <w:num w:numId="811" w16cid:durableId="819998931">
    <w:abstractNumId w:val="541"/>
  </w:num>
  <w:num w:numId="812" w16cid:durableId="2027487836">
    <w:abstractNumId w:val="446"/>
  </w:num>
  <w:num w:numId="813" w16cid:durableId="1089429996">
    <w:abstractNumId w:val="419"/>
  </w:num>
  <w:num w:numId="814" w16cid:durableId="1904220077">
    <w:abstractNumId w:val="692"/>
  </w:num>
  <w:num w:numId="815" w16cid:durableId="1427112279">
    <w:abstractNumId w:val="521"/>
  </w:num>
  <w:num w:numId="816" w16cid:durableId="1340811187">
    <w:abstractNumId w:val="313"/>
  </w:num>
  <w:num w:numId="817" w16cid:durableId="231352494">
    <w:abstractNumId w:val="524"/>
  </w:num>
  <w:num w:numId="818" w16cid:durableId="1845893866">
    <w:abstractNumId w:val="337"/>
  </w:num>
  <w:num w:numId="819" w16cid:durableId="298341930">
    <w:abstractNumId w:val="75"/>
  </w:num>
  <w:num w:numId="820" w16cid:durableId="1834447369">
    <w:abstractNumId w:val="85"/>
  </w:num>
  <w:num w:numId="821" w16cid:durableId="71782608">
    <w:abstractNumId w:val="908"/>
  </w:num>
  <w:num w:numId="822" w16cid:durableId="1756631567">
    <w:abstractNumId w:val="41"/>
  </w:num>
  <w:num w:numId="823" w16cid:durableId="794300204">
    <w:abstractNumId w:val="371"/>
  </w:num>
  <w:num w:numId="824" w16cid:durableId="1825004333">
    <w:abstractNumId w:val="100"/>
  </w:num>
  <w:num w:numId="825" w16cid:durableId="1798134599">
    <w:abstractNumId w:val="391"/>
  </w:num>
  <w:num w:numId="826" w16cid:durableId="926842579">
    <w:abstractNumId w:val="249"/>
  </w:num>
  <w:num w:numId="827" w16cid:durableId="262568164">
    <w:abstractNumId w:val="421"/>
  </w:num>
  <w:num w:numId="828" w16cid:durableId="158692424">
    <w:abstractNumId w:val="195"/>
  </w:num>
  <w:num w:numId="829" w16cid:durableId="1227648330">
    <w:abstractNumId w:val="234"/>
  </w:num>
  <w:num w:numId="830" w16cid:durableId="1575823115">
    <w:abstractNumId w:val="583"/>
  </w:num>
  <w:num w:numId="831" w16cid:durableId="124663886">
    <w:abstractNumId w:val="813"/>
  </w:num>
  <w:num w:numId="832" w16cid:durableId="378287483">
    <w:abstractNumId w:val="416"/>
  </w:num>
  <w:num w:numId="833" w16cid:durableId="468743937">
    <w:abstractNumId w:val="206"/>
  </w:num>
  <w:num w:numId="834" w16cid:durableId="872107970">
    <w:abstractNumId w:val="882"/>
  </w:num>
  <w:num w:numId="835" w16cid:durableId="558175165">
    <w:abstractNumId w:val="667"/>
  </w:num>
  <w:num w:numId="836" w16cid:durableId="1552376100">
    <w:abstractNumId w:val="322"/>
  </w:num>
  <w:num w:numId="837" w16cid:durableId="1283223334">
    <w:abstractNumId w:val="651"/>
  </w:num>
  <w:num w:numId="838" w16cid:durableId="66193110">
    <w:abstractNumId w:val="540"/>
  </w:num>
  <w:num w:numId="839" w16cid:durableId="384060974">
    <w:abstractNumId w:val="560"/>
  </w:num>
  <w:num w:numId="840" w16cid:durableId="1987318916">
    <w:abstractNumId w:val="816"/>
  </w:num>
  <w:num w:numId="841" w16cid:durableId="1798914164">
    <w:abstractNumId w:val="619"/>
  </w:num>
  <w:num w:numId="842" w16cid:durableId="617570262">
    <w:abstractNumId w:val="210"/>
  </w:num>
  <w:num w:numId="843" w16cid:durableId="1970895047">
    <w:abstractNumId w:val="101"/>
  </w:num>
  <w:num w:numId="844" w16cid:durableId="2120948503">
    <w:abstractNumId w:val="479"/>
  </w:num>
  <w:num w:numId="845" w16cid:durableId="849415523">
    <w:abstractNumId w:val="643"/>
  </w:num>
  <w:num w:numId="846" w16cid:durableId="933517435">
    <w:abstractNumId w:val="511"/>
  </w:num>
  <w:num w:numId="847" w16cid:durableId="1788233574">
    <w:abstractNumId w:val="15"/>
  </w:num>
  <w:num w:numId="848" w16cid:durableId="1725644459">
    <w:abstractNumId w:val="467"/>
  </w:num>
  <w:num w:numId="849" w16cid:durableId="327908482">
    <w:abstractNumId w:val="425"/>
  </w:num>
  <w:num w:numId="850" w16cid:durableId="628246146">
    <w:abstractNumId w:val="887"/>
  </w:num>
  <w:num w:numId="851" w16cid:durableId="844829722">
    <w:abstractNumId w:val="808"/>
  </w:num>
  <w:num w:numId="852" w16cid:durableId="136800070">
    <w:abstractNumId w:val="631"/>
  </w:num>
  <w:num w:numId="853" w16cid:durableId="403726409">
    <w:abstractNumId w:val="220"/>
  </w:num>
  <w:num w:numId="854" w16cid:durableId="1634095960">
    <w:abstractNumId w:val="92"/>
  </w:num>
  <w:num w:numId="855" w16cid:durableId="175386289">
    <w:abstractNumId w:val="241"/>
  </w:num>
  <w:num w:numId="856" w16cid:durableId="1815367271">
    <w:abstractNumId w:val="547"/>
  </w:num>
  <w:num w:numId="857" w16cid:durableId="347953583">
    <w:abstractNumId w:val="361"/>
  </w:num>
  <w:num w:numId="858" w16cid:durableId="2118019389">
    <w:abstractNumId w:val="105"/>
  </w:num>
  <w:num w:numId="859" w16cid:durableId="495221859">
    <w:abstractNumId w:val="909"/>
  </w:num>
  <w:num w:numId="860" w16cid:durableId="1588927439">
    <w:abstractNumId w:val="669"/>
  </w:num>
  <w:num w:numId="861" w16cid:durableId="136919867">
    <w:abstractNumId w:val="36"/>
  </w:num>
  <w:num w:numId="862" w16cid:durableId="282276451">
    <w:abstractNumId w:val="1"/>
  </w:num>
  <w:num w:numId="863" w16cid:durableId="1995908824">
    <w:abstractNumId w:val="633"/>
  </w:num>
  <w:num w:numId="864" w16cid:durableId="1592397043">
    <w:abstractNumId w:val="679"/>
  </w:num>
  <w:num w:numId="865" w16cid:durableId="83965369">
    <w:abstractNumId w:val="124"/>
  </w:num>
  <w:num w:numId="866" w16cid:durableId="495270445">
    <w:abstractNumId w:val="616"/>
  </w:num>
  <w:num w:numId="867" w16cid:durableId="125782883">
    <w:abstractNumId w:val="552"/>
  </w:num>
  <w:num w:numId="868" w16cid:durableId="2086679961">
    <w:abstractNumId w:val="601"/>
  </w:num>
  <w:num w:numId="869" w16cid:durableId="1090347210">
    <w:abstractNumId w:val="891"/>
  </w:num>
  <w:num w:numId="870" w16cid:durableId="1918326234">
    <w:abstractNumId w:val="64"/>
  </w:num>
  <w:num w:numId="871" w16cid:durableId="1748964673">
    <w:abstractNumId w:val="828"/>
  </w:num>
  <w:num w:numId="872" w16cid:durableId="1977829961">
    <w:abstractNumId w:val="780"/>
  </w:num>
  <w:num w:numId="873" w16cid:durableId="1207329407">
    <w:abstractNumId w:val="569"/>
  </w:num>
  <w:num w:numId="874" w16cid:durableId="1183930930">
    <w:abstractNumId w:val="807"/>
  </w:num>
  <w:num w:numId="875" w16cid:durableId="443112423">
    <w:abstractNumId w:val="518"/>
  </w:num>
  <w:num w:numId="876" w16cid:durableId="713234050">
    <w:abstractNumId w:val="135"/>
  </w:num>
  <w:num w:numId="877" w16cid:durableId="1603607649">
    <w:abstractNumId w:val="820"/>
  </w:num>
  <w:num w:numId="878" w16cid:durableId="826825643">
    <w:abstractNumId w:val="236"/>
  </w:num>
  <w:num w:numId="879" w16cid:durableId="604965813">
    <w:abstractNumId w:val="151"/>
  </w:num>
  <w:num w:numId="880" w16cid:durableId="931233372">
    <w:abstractNumId w:val="564"/>
  </w:num>
  <w:num w:numId="881" w16cid:durableId="1251082254">
    <w:abstractNumId w:val="757"/>
  </w:num>
  <w:num w:numId="882" w16cid:durableId="728306517">
    <w:abstractNumId w:val="608"/>
  </w:num>
  <w:num w:numId="883" w16cid:durableId="915935586">
    <w:abstractNumId w:val="775"/>
  </w:num>
  <w:num w:numId="884" w16cid:durableId="1837646050">
    <w:abstractNumId w:val="414"/>
  </w:num>
  <w:num w:numId="885" w16cid:durableId="309218396">
    <w:abstractNumId w:val="899"/>
  </w:num>
  <w:num w:numId="886" w16cid:durableId="845706798">
    <w:abstractNumId w:val="600"/>
  </w:num>
  <w:num w:numId="887" w16cid:durableId="1956012203">
    <w:abstractNumId w:val="637"/>
  </w:num>
  <w:num w:numId="888" w16cid:durableId="724110333">
    <w:abstractNumId w:val="735"/>
  </w:num>
  <w:num w:numId="889" w16cid:durableId="26106303">
    <w:abstractNumId w:val="889"/>
  </w:num>
  <w:num w:numId="890" w16cid:durableId="62994189">
    <w:abstractNumId w:val="759"/>
  </w:num>
  <w:num w:numId="891" w16cid:durableId="1349795913">
    <w:abstractNumId w:val="173"/>
  </w:num>
  <w:num w:numId="892" w16cid:durableId="1715350021">
    <w:abstractNumId w:val="278"/>
  </w:num>
  <w:num w:numId="893" w16cid:durableId="1831486529">
    <w:abstractNumId w:val="860"/>
  </w:num>
  <w:num w:numId="894" w16cid:durableId="162554739">
    <w:abstractNumId w:val="765"/>
  </w:num>
  <w:num w:numId="895" w16cid:durableId="1367633219">
    <w:abstractNumId w:val="224"/>
  </w:num>
  <w:num w:numId="896" w16cid:durableId="1819612596">
    <w:abstractNumId w:val="681"/>
  </w:num>
  <w:num w:numId="897" w16cid:durableId="1274898745">
    <w:abstractNumId w:val="366"/>
  </w:num>
  <w:num w:numId="898" w16cid:durableId="1681198676">
    <w:abstractNumId w:val="350"/>
  </w:num>
  <w:num w:numId="899" w16cid:durableId="363288463">
    <w:abstractNumId w:val="574"/>
  </w:num>
  <w:num w:numId="900" w16cid:durableId="1444307742">
    <w:abstractNumId w:val="664"/>
  </w:num>
  <w:num w:numId="901" w16cid:durableId="271254152">
    <w:abstractNumId w:val="663"/>
  </w:num>
  <w:num w:numId="902" w16cid:durableId="1304968926">
    <w:abstractNumId w:val="364"/>
  </w:num>
  <w:num w:numId="903" w16cid:durableId="1610428226">
    <w:abstractNumId w:val="497"/>
  </w:num>
  <w:num w:numId="904" w16cid:durableId="579143065">
    <w:abstractNumId w:val="895"/>
  </w:num>
  <w:num w:numId="905" w16cid:durableId="532882838">
    <w:abstractNumId w:val="568"/>
  </w:num>
  <w:num w:numId="906" w16cid:durableId="603418075">
    <w:abstractNumId w:val="301"/>
  </w:num>
  <w:num w:numId="907" w16cid:durableId="1007244621">
    <w:abstractNumId w:val="403"/>
  </w:num>
  <w:num w:numId="908" w16cid:durableId="1350830974">
    <w:abstractNumId w:val="567"/>
  </w:num>
  <w:num w:numId="909" w16cid:durableId="232325728">
    <w:abstractNumId w:val="626"/>
  </w:num>
  <w:num w:numId="910" w16cid:durableId="2094351107">
    <w:abstractNumId w:val="447"/>
  </w:num>
  <w:num w:numId="911" w16cid:durableId="457650453">
    <w:abstractNumId w:val="606"/>
  </w:num>
  <w:num w:numId="912" w16cid:durableId="1809979780">
    <w:abstractNumId w:val="246"/>
  </w:num>
  <w:num w:numId="913" w16cid:durableId="203450119">
    <w:abstractNumId w:val="972"/>
  </w:num>
  <w:num w:numId="914" w16cid:durableId="104810704">
    <w:abstractNumId w:val="1000"/>
  </w:num>
  <w:num w:numId="915" w16cid:durableId="1114404471">
    <w:abstractNumId w:val="1034"/>
  </w:num>
  <w:num w:numId="916" w16cid:durableId="791481673">
    <w:abstractNumId w:val="1067"/>
  </w:num>
  <w:num w:numId="917" w16cid:durableId="1846245130">
    <w:abstractNumId w:val="957"/>
  </w:num>
  <w:num w:numId="918" w16cid:durableId="1874877928">
    <w:abstractNumId w:val="985"/>
  </w:num>
  <w:num w:numId="919" w16cid:durableId="358967698">
    <w:abstractNumId w:val="1051"/>
  </w:num>
  <w:num w:numId="920" w16cid:durableId="2128185">
    <w:abstractNumId w:val="915"/>
  </w:num>
  <w:num w:numId="921" w16cid:durableId="1036542718">
    <w:abstractNumId w:val="1058"/>
  </w:num>
  <w:num w:numId="922" w16cid:durableId="1032421074">
    <w:abstractNumId w:val="986"/>
  </w:num>
  <w:num w:numId="923" w16cid:durableId="361978910">
    <w:abstractNumId w:val="933"/>
  </w:num>
  <w:num w:numId="924" w16cid:durableId="1168793358">
    <w:abstractNumId w:val="1022"/>
  </w:num>
  <w:num w:numId="925" w16cid:durableId="1261715049">
    <w:abstractNumId w:val="995"/>
  </w:num>
  <w:num w:numId="926" w16cid:durableId="1343970596">
    <w:abstractNumId w:val="1014"/>
  </w:num>
  <w:num w:numId="927" w16cid:durableId="1786650309">
    <w:abstractNumId w:val="1084"/>
  </w:num>
  <w:num w:numId="928" w16cid:durableId="1265306669">
    <w:abstractNumId w:val="1010"/>
  </w:num>
  <w:num w:numId="929" w16cid:durableId="1489052055">
    <w:abstractNumId w:val="1065"/>
  </w:num>
  <w:num w:numId="930" w16cid:durableId="1036585865">
    <w:abstractNumId w:val="918"/>
  </w:num>
  <w:num w:numId="931" w16cid:durableId="534122432">
    <w:abstractNumId w:val="962"/>
  </w:num>
  <w:num w:numId="932" w16cid:durableId="2009137216">
    <w:abstractNumId w:val="946"/>
  </w:num>
  <w:num w:numId="933" w16cid:durableId="436294325">
    <w:abstractNumId w:val="982"/>
  </w:num>
  <w:num w:numId="934" w16cid:durableId="2085636477">
    <w:abstractNumId w:val="1053"/>
  </w:num>
  <w:num w:numId="935" w16cid:durableId="1166820173">
    <w:abstractNumId w:val="1042"/>
  </w:num>
  <w:num w:numId="936" w16cid:durableId="1431507135">
    <w:abstractNumId w:val="1006"/>
  </w:num>
  <w:num w:numId="937" w16cid:durableId="1560625105">
    <w:abstractNumId w:val="967"/>
  </w:num>
  <w:num w:numId="938" w16cid:durableId="479738243">
    <w:abstractNumId w:val="969"/>
  </w:num>
  <w:num w:numId="939" w16cid:durableId="336855633">
    <w:abstractNumId w:val="1080"/>
  </w:num>
  <w:num w:numId="940" w16cid:durableId="1486900708">
    <w:abstractNumId w:val="1069"/>
  </w:num>
  <w:num w:numId="941" w16cid:durableId="505440865">
    <w:abstractNumId w:val="1050"/>
  </w:num>
  <w:num w:numId="942" w16cid:durableId="855579909">
    <w:abstractNumId w:val="1052"/>
  </w:num>
  <w:num w:numId="943" w16cid:durableId="1921018294">
    <w:abstractNumId w:val="1089"/>
  </w:num>
  <w:num w:numId="944" w16cid:durableId="1322930609">
    <w:abstractNumId w:val="1072"/>
  </w:num>
  <w:num w:numId="945" w16cid:durableId="2122648200">
    <w:abstractNumId w:val="945"/>
  </w:num>
  <w:num w:numId="946" w16cid:durableId="473648173">
    <w:abstractNumId w:val="970"/>
  </w:num>
  <w:num w:numId="947" w16cid:durableId="2027830832">
    <w:abstractNumId w:val="1085"/>
  </w:num>
  <w:num w:numId="948" w16cid:durableId="1687099243">
    <w:abstractNumId w:val="1096"/>
  </w:num>
  <w:num w:numId="949" w16cid:durableId="1647970236">
    <w:abstractNumId w:val="996"/>
  </w:num>
  <w:num w:numId="950" w16cid:durableId="518929342">
    <w:abstractNumId w:val="1013"/>
  </w:num>
  <w:num w:numId="951" w16cid:durableId="2010131259">
    <w:abstractNumId w:val="981"/>
  </w:num>
  <w:num w:numId="952" w16cid:durableId="1054691914">
    <w:abstractNumId w:val="1007"/>
  </w:num>
  <w:num w:numId="953" w16cid:durableId="2067020400">
    <w:abstractNumId w:val="952"/>
  </w:num>
  <w:num w:numId="954" w16cid:durableId="45572153">
    <w:abstractNumId w:val="949"/>
  </w:num>
  <w:num w:numId="955" w16cid:durableId="1733507516">
    <w:abstractNumId w:val="988"/>
  </w:num>
  <w:num w:numId="956" w16cid:durableId="1257054226">
    <w:abstractNumId w:val="1049"/>
  </w:num>
  <w:num w:numId="957" w16cid:durableId="649749180">
    <w:abstractNumId w:val="1037"/>
  </w:num>
  <w:num w:numId="958" w16cid:durableId="440303111">
    <w:abstractNumId w:val="934"/>
  </w:num>
  <w:num w:numId="959" w16cid:durableId="1675254658">
    <w:abstractNumId w:val="930"/>
  </w:num>
  <w:num w:numId="960" w16cid:durableId="15431815">
    <w:abstractNumId w:val="921"/>
  </w:num>
  <w:num w:numId="961" w16cid:durableId="1147669626">
    <w:abstractNumId w:val="937"/>
  </w:num>
  <w:num w:numId="962" w16cid:durableId="1091508403">
    <w:abstractNumId w:val="1035"/>
  </w:num>
  <w:num w:numId="963" w16cid:durableId="284194352">
    <w:abstractNumId w:val="963"/>
  </w:num>
  <w:num w:numId="964" w16cid:durableId="436825949">
    <w:abstractNumId w:val="935"/>
  </w:num>
  <w:num w:numId="965" w16cid:durableId="715081616">
    <w:abstractNumId w:val="1023"/>
  </w:num>
  <w:num w:numId="966" w16cid:durableId="691879803">
    <w:abstractNumId w:val="914"/>
  </w:num>
  <w:num w:numId="967" w16cid:durableId="1113549223">
    <w:abstractNumId w:val="1029"/>
  </w:num>
  <w:num w:numId="968" w16cid:durableId="707726345">
    <w:abstractNumId w:val="1003"/>
  </w:num>
  <w:num w:numId="969" w16cid:durableId="1780448429">
    <w:abstractNumId w:val="1094"/>
  </w:num>
  <w:num w:numId="970" w16cid:durableId="1759057079">
    <w:abstractNumId w:val="1063"/>
  </w:num>
  <w:num w:numId="971" w16cid:durableId="276450541">
    <w:abstractNumId w:val="1087"/>
  </w:num>
  <w:num w:numId="972" w16cid:durableId="1556962499">
    <w:abstractNumId w:val="947"/>
  </w:num>
  <w:num w:numId="973" w16cid:durableId="980888796">
    <w:abstractNumId w:val="1011"/>
  </w:num>
  <w:num w:numId="974" w16cid:durableId="1246840444">
    <w:abstractNumId w:val="948"/>
  </w:num>
  <w:num w:numId="975" w16cid:durableId="863591172">
    <w:abstractNumId w:val="1075"/>
  </w:num>
  <w:num w:numId="976" w16cid:durableId="1819880841">
    <w:abstractNumId w:val="1015"/>
  </w:num>
  <w:num w:numId="977" w16cid:durableId="1447700749">
    <w:abstractNumId w:val="940"/>
  </w:num>
  <w:num w:numId="978" w16cid:durableId="727845561">
    <w:abstractNumId w:val="1074"/>
  </w:num>
  <w:num w:numId="979" w16cid:durableId="442193203">
    <w:abstractNumId w:val="1030"/>
  </w:num>
  <w:num w:numId="980" w16cid:durableId="1767651118">
    <w:abstractNumId w:val="1024"/>
  </w:num>
  <w:num w:numId="981" w16cid:durableId="486097355">
    <w:abstractNumId w:val="929"/>
  </w:num>
  <w:num w:numId="982" w16cid:durableId="1460804285">
    <w:abstractNumId w:val="1068"/>
  </w:num>
  <w:num w:numId="983" w16cid:durableId="1403218639">
    <w:abstractNumId w:val="1083"/>
  </w:num>
  <w:num w:numId="984" w16cid:durableId="1209563479">
    <w:abstractNumId w:val="990"/>
  </w:num>
  <w:num w:numId="985" w16cid:durableId="298730723">
    <w:abstractNumId w:val="1062"/>
  </w:num>
  <w:num w:numId="986" w16cid:durableId="851069039">
    <w:abstractNumId w:val="1036"/>
  </w:num>
  <w:num w:numId="987" w16cid:durableId="2020965317">
    <w:abstractNumId w:val="1017"/>
  </w:num>
  <w:num w:numId="988" w16cid:durableId="1375541676">
    <w:abstractNumId w:val="1054"/>
  </w:num>
  <w:num w:numId="989" w16cid:durableId="1750535635">
    <w:abstractNumId w:val="1021"/>
  </w:num>
  <w:num w:numId="990" w16cid:durableId="1327128115">
    <w:abstractNumId w:val="959"/>
  </w:num>
  <w:num w:numId="991" w16cid:durableId="201872083">
    <w:abstractNumId w:val="1027"/>
  </w:num>
  <w:num w:numId="992" w16cid:durableId="1312834298">
    <w:abstractNumId w:val="944"/>
  </w:num>
  <w:num w:numId="993" w16cid:durableId="2090804525">
    <w:abstractNumId w:val="964"/>
  </w:num>
  <w:num w:numId="994" w16cid:durableId="525489834">
    <w:abstractNumId w:val="1095"/>
  </w:num>
  <w:num w:numId="995" w16cid:durableId="2117363014">
    <w:abstractNumId w:val="1018"/>
  </w:num>
  <w:num w:numId="996" w16cid:durableId="1582330967">
    <w:abstractNumId w:val="987"/>
  </w:num>
  <w:num w:numId="997" w16cid:durableId="1506094951">
    <w:abstractNumId w:val="936"/>
  </w:num>
  <w:num w:numId="998" w16cid:durableId="358315833">
    <w:abstractNumId w:val="1019"/>
  </w:num>
  <w:num w:numId="999" w16cid:durableId="1087504804">
    <w:abstractNumId w:val="978"/>
  </w:num>
  <w:num w:numId="1000" w16cid:durableId="1411779882">
    <w:abstractNumId w:val="1040"/>
  </w:num>
  <w:num w:numId="1001" w16cid:durableId="749934957">
    <w:abstractNumId w:val="966"/>
  </w:num>
  <w:num w:numId="1002" w16cid:durableId="1162966260">
    <w:abstractNumId w:val="922"/>
  </w:num>
  <w:num w:numId="1003" w16cid:durableId="1892879830">
    <w:abstractNumId w:val="1064"/>
  </w:num>
  <w:num w:numId="1004" w16cid:durableId="2020112883">
    <w:abstractNumId w:val="942"/>
  </w:num>
  <w:num w:numId="1005" w16cid:durableId="1292856818">
    <w:abstractNumId w:val="1066"/>
  </w:num>
  <w:num w:numId="1006" w16cid:durableId="1705131257">
    <w:abstractNumId w:val="999"/>
  </w:num>
  <w:num w:numId="1007" w16cid:durableId="1517577460">
    <w:abstractNumId w:val="1038"/>
  </w:num>
  <w:num w:numId="1008" w16cid:durableId="1548641807">
    <w:abstractNumId w:val="943"/>
  </w:num>
  <w:num w:numId="1009" w16cid:durableId="780875640">
    <w:abstractNumId w:val="998"/>
  </w:num>
  <w:num w:numId="1010" w16cid:durableId="1757246293">
    <w:abstractNumId w:val="1043"/>
  </w:num>
  <w:num w:numId="1011" w16cid:durableId="1091782175">
    <w:abstractNumId w:val="992"/>
  </w:num>
  <w:num w:numId="1012" w16cid:durableId="1725252869">
    <w:abstractNumId w:val="1082"/>
  </w:num>
  <w:num w:numId="1013" w16cid:durableId="1506091445">
    <w:abstractNumId w:val="1092"/>
  </w:num>
  <w:num w:numId="1014" w16cid:durableId="98527196">
    <w:abstractNumId w:val="1005"/>
  </w:num>
  <w:num w:numId="1015" w16cid:durableId="121198017">
    <w:abstractNumId w:val="917"/>
  </w:num>
  <w:num w:numId="1016" w16cid:durableId="893269823">
    <w:abstractNumId w:val="1073"/>
  </w:num>
  <w:num w:numId="1017" w16cid:durableId="576013575">
    <w:abstractNumId w:val="916"/>
  </w:num>
  <w:num w:numId="1018" w16cid:durableId="279655473">
    <w:abstractNumId w:val="1046"/>
  </w:num>
  <w:num w:numId="1019" w16cid:durableId="765539803">
    <w:abstractNumId w:val="927"/>
  </w:num>
  <w:num w:numId="1020" w16cid:durableId="791245718">
    <w:abstractNumId w:val="956"/>
  </w:num>
  <w:num w:numId="1021" w16cid:durableId="1558395004">
    <w:abstractNumId w:val="1025"/>
  </w:num>
  <w:num w:numId="1022" w16cid:durableId="113330074">
    <w:abstractNumId w:val="1026"/>
  </w:num>
  <w:num w:numId="1023" w16cid:durableId="1475833864">
    <w:abstractNumId w:val="1055"/>
  </w:num>
  <w:num w:numId="1024" w16cid:durableId="1439108271">
    <w:abstractNumId w:val="913"/>
  </w:num>
  <w:num w:numId="1025" w16cid:durableId="1349988464">
    <w:abstractNumId w:val="1016"/>
  </w:num>
  <w:num w:numId="1026" w16cid:durableId="1883783696">
    <w:abstractNumId w:val="1093"/>
  </w:num>
  <w:num w:numId="1027" w16cid:durableId="554245810">
    <w:abstractNumId w:val="1008"/>
  </w:num>
  <w:num w:numId="1028" w16cid:durableId="113641976">
    <w:abstractNumId w:val="10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16cid:durableId="2093694462">
    <w:abstractNumId w:val="977"/>
  </w:num>
  <w:num w:numId="1030" w16cid:durableId="730150429">
    <w:abstractNumId w:val="1045"/>
  </w:num>
  <w:num w:numId="1031" w16cid:durableId="1200582433">
    <w:abstractNumId w:val="971"/>
  </w:num>
  <w:num w:numId="1032" w16cid:durableId="982655941">
    <w:abstractNumId w:val="1088"/>
  </w:num>
  <w:num w:numId="1033" w16cid:durableId="1875001340">
    <w:abstractNumId w:val="1009"/>
  </w:num>
  <w:num w:numId="1034" w16cid:durableId="1531530339">
    <w:abstractNumId w:val="1028"/>
  </w:num>
  <w:num w:numId="1035" w16cid:durableId="582302046">
    <w:abstractNumId w:val="757"/>
    <w:lvlOverride w:ilvl="0">
      <w:startOverride w:val="3"/>
    </w:lvlOverride>
    <w:lvlOverride w:ilvl="1">
      <w:startOverride w:val="1"/>
    </w:lvlOverride>
    <w:lvlOverride w:ilvl="2"/>
    <w:lvlOverride w:ilvl="3"/>
    <w:lvlOverride w:ilvl="4"/>
    <w:lvlOverride w:ilvl="5"/>
    <w:lvlOverride w:ilvl="6"/>
    <w:lvlOverride w:ilvl="7"/>
    <w:lvlOverride w:ilvl="8"/>
  </w:num>
  <w:num w:numId="1036" w16cid:durableId="1157770470">
    <w:abstractNumId w:val="1070"/>
  </w:num>
  <w:num w:numId="1037" w16cid:durableId="2012246740">
    <w:abstractNumId w:val="920"/>
  </w:num>
  <w:num w:numId="1038" w16cid:durableId="1906991377">
    <w:abstractNumId w:val="984"/>
  </w:num>
  <w:num w:numId="1039" w16cid:durableId="146483958">
    <w:abstractNumId w:val="975"/>
  </w:num>
  <w:num w:numId="1040" w16cid:durableId="936793787">
    <w:abstractNumId w:val="980"/>
  </w:num>
  <w:num w:numId="1041" w16cid:durableId="1607226133">
    <w:abstractNumId w:val="1078"/>
  </w:num>
  <w:num w:numId="1042" w16cid:durableId="1567228808">
    <w:abstractNumId w:val="923"/>
  </w:num>
  <w:num w:numId="1043" w16cid:durableId="1944529370">
    <w:abstractNumId w:val="1001"/>
  </w:num>
  <w:num w:numId="1044" w16cid:durableId="231619614">
    <w:abstractNumId w:val="1056"/>
  </w:num>
  <w:num w:numId="1045" w16cid:durableId="1402872316">
    <w:abstractNumId w:val="993"/>
  </w:num>
  <w:num w:numId="1046" w16cid:durableId="817455364">
    <w:abstractNumId w:val="951"/>
  </w:num>
  <w:num w:numId="1047" w16cid:durableId="1697658116">
    <w:abstractNumId w:val="961"/>
  </w:num>
  <w:num w:numId="1048" w16cid:durableId="1065563190">
    <w:abstractNumId w:val="973"/>
  </w:num>
  <w:num w:numId="1049" w16cid:durableId="1939942894">
    <w:abstractNumId w:val="1041"/>
  </w:num>
  <w:num w:numId="1050" w16cid:durableId="41834467">
    <w:abstractNumId w:val="1004"/>
  </w:num>
  <w:num w:numId="1051" w16cid:durableId="236862847">
    <w:abstractNumId w:val="953"/>
  </w:num>
  <w:num w:numId="1052" w16cid:durableId="967708275">
    <w:abstractNumId w:val="1060"/>
  </w:num>
  <w:num w:numId="1053" w16cid:durableId="1516579990">
    <w:abstractNumId w:val="928"/>
  </w:num>
  <w:num w:numId="1054" w16cid:durableId="1299723788">
    <w:abstractNumId w:val="976"/>
  </w:num>
  <w:num w:numId="1055" w16cid:durableId="1683505282">
    <w:abstractNumId w:val="1071"/>
  </w:num>
  <w:num w:numId="1056" w16cid:durableId="1970745642">
    <w:abstractNumId w:val="1048"/>
  </w:num>
  <w:num w:numId="1057" w16cid:durableId="416708422">
    <w:abstractNumId w:val="1002"/>
  </w:num>
  <w:num w:numId="1058" w16cid:durableId="2016223898">
    <w:abstractNumId w:val="1077"/>
  </w:num>
  <w:num w:numId="1059" w16cid:durableId="1407604317">
    <w:abstractNumId w:val="954"/>
  </w:num>
  <w:num w:numId="1060" w16cid:durableId="1996452369">
    <w:abstractNumId w:val="1020"/>
  </w:num>
  <w:num w:numId="1061" w16cid:durableId="638606938">
    <w:abstractNumId w:val="1076"/>
  </w:num>
  <w:num w:numId="1062" w16cid:durableId="1607620676">
    <w:abstractNumId w:val="1059"/>
  </w:num>
  <w:num w:numId="1063" w16cid:durableId="754011610">
    <w:abstractNumId w:val="1061"/>
  </w:num>
  <w:num w:numId="1064" w16cid:durableId="1250238421">
    <w:abstractNumId w:val="1091"/>
  </w:num>
  <w:num w:numId="1065" w16cid:durableId="995230415">
    <w:abstractNumId w:val="950"/>
  </w:num>
  <w:num w:numId="1066" w16cid:durableId="791871624">
    <w:abstractNumId w:val="979"/>
  </w:num>
  <w:num w:numId="1067" w16cid:durableId="1815641834">
    <w:abstractNumId w:val="1047"/>
  </w:num>
  <w:num w:numId="1068" w16cid:durableId="1236278783">
    <w:abstractNumId w:val="926"/>
  </w:num>
  <w:num w:numId="1069" w16cid:durableId="1754355133">
    <w:abstractNumId w:val="983"/>
  </w:num>
  <w:num w:numId="1070" w16cid:durableId="1331829733">
    <w:abstractNumId w:val="1032"/>
  </w:num>
  <w:num w:numId="1071" w16cid:durableId="2045523025">
    <w:abstractNumId w:val="925"/>
  </w:num>
  <w:num w:numId="1072" w16cid:durableId="1362124138">
    <w:abstractNumId w:val="991"/>
  </w:num>
  <w:num w:numId="1073" w16cid:durableId="1844739976">
    <w:abstractNumId w:val="919"/>
  </w:num>
  <w:num w:numId="1074" w16cid:durableId="466827050">
    <w:abstractNumId w:val="958"/>
  </w:num>
  <w:num w:numId="1075" w16cid:durableId="495148383">
    <w:abstractNumId w:val="965"/>
  </w:num>
  <w:num w:numId="1076" w16cid:durableId="1092436677">
    <w:abstractNumId w:val="994"/>
  </w:num>
  <w:num w:numId="1077" w16cid:durableId="628241339">
    <w:abstractNumId w:val="1086"/>
  </w:num>
  <w:num w:numId="1078" w16cid:durableId="447704199">
    <w:abstractNumId w:val="974"/>
  </w:num>
  <w:num w:numId="1079" w16cid:durableId="1078942781">
    <w:abstractNumId w:val="1090"/>
  </w:num>
  <w:num w:numId="1080" w16cid:durableId="1789930614">
    <w:abstractNumId w:val="989"/>
  </w:num>
  <w:num w:numId="1081" w16cid:durableId="1311401922">
    <w:abstractNumId w:val="997"/>
  </w:num>
  <w:num w:numId="1082" w16cid:durableId="288706562">
    <w:abstractNumId w:val="1033"/>
  </w:num>
  <w:num w:numId="1083" w16cid:durableId="1176462268">
    <w:abstractNumId w:val="1081"/>
  </w:num>
  <w:num w:numId="1084" w16cid:durableId="342166845">
    <w:abstractNumId w:val="968"/>
  </w:num>
  <w:num w:numId="1085" w16cid:durableId="973750605">
    <w:abstractNumId w:val="1031"/>
  </w:num>
  <w:num w:numId="1086" w16cid:durableId="1718236176">
    <w:abstractNumId w:val="939"/>
  </w:num>
  <w:num w:numId="1087" w16cid:durableId="1248270294">
    <w:abstractNumId w:val="938"/>
  </w:num>
  <w:num w:numId="1088" w16cid:durableId="1444229236">
    <w:abstractNumId w:val="1057"/>
  </w:num>
  <w:num w:numId="1089" w16cid:durableId="1628586548">
    <w:abstractNumId w:val="1044"/>
  </w:num>
  <w:num w:numId="1090" w16cid:durableId="925501348">
    <w:abstractNumId w:val="955"/>
  </w:num>
  <w:num w:numId="1091" w16cid:durableId="1902672673">
    <w:abstractNumId w:val="912"/>
  </w:num>
  <w:num w:numId="1092" w16cid:durableId="356975886">
    <w:abstractNumId w:val="924"/>
  </w:num>
  <w:num w:numId="1093" w16cid:durableId="723143165">
    <w:abstractNumId w:val="941"/>
  </w:num>
  <w:num w:numId="1094" w16cid:durableId="470489688">
    <w:abstractNumId w:val="931"/>
  </w:num>
  <w:num w:numId="1095" w16cid:durableId="781193441">
    <w:abstractNumId w:val="1012"/>
  </w:num>
  <w:num w:numId="1096" w16cid:durableId="555750382">
    <w:abstractNumId w:val="932"/>
  </w:num>
  <w:num w:numId="1097" w16cid:durableId="1830360859">
    <w:abstractNumId w:val="960"/>
  </w:num>
  <w:num w:numId="1098" w16cid:durableId="1671254108">
    <w:abstractNumId w:val="1079"/>
  </w:num>
  <w:num w:numId="1099" w16cid:durableId="1593053540">
    <w:abstractNumId w:val="1039"/>
  </w:num>
  <w:numIdMacAtCleanup w:val="10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B9"/>
    <w:rsid w:val="000006C6"/>
    <w:rsid w:val="000010AB"/>
    <w:rsid w:val="00001195"/>
    <w:rsid w:val="00001878"/>
    <w:rsid w:val="00001C31"/>
    <w:rsid w:val="00002AC1"/>
    <w:rsid w:val="00002EB7"/>
    <w:rsid w:val="00002F1F"/>
    <w:rsid w:val="00002F67"/>
    <w:rsid w:val="00003176"/>
    <w:rsid w:val="00003301"/>
    <w:rsid w:val="00003827"/>
    <w:rsid w:val="00003BAC"/>
    <w:rsid w:val="00005494"/>
    <w:rsid w:val="0000551C"/>
    <w:rsid w:val="00006031"/>
    <w:rsid w:val="00006B50"/>
    <w:rsid w:val="00007350"/>
    <w:rsid w:val="0000791C"/>
    <w:rsid w:val="00007F2A"/>
    <w:rsid w:val="00010608"/>
    <w:rsid w:val="00010A14"/>
    <w:rsid w:val="00010E3B"/>
    <w:rsid w:val="000112F7"/>
    <w:rsid w:val="0001137A"/>
    <w:rsid w:val="000114C5"/>
    <w:rsid w:val="00011B2B"/>
    <w:rsid w:val="00012347"/>
    <w:rsid w:val="00012384"/>
    <w:rsid w:val="00012524"/>
    <w:rsid w:val="0001256A"/>
    <w:rsid w:val="00012C37"/>
    <w:rsid w:val="00012FCA"/>
    <w:rsid w:val="0001334A"/>
    <w:rsid w:val="0001334F"/>
    <w:rsid w:val="000144E0"/>
    <w:rsid w:val="00014BE0"/>
    <w:rsid w:val="00014BE7"/>
    <w:rsid w:val="00014E23"/>
    <w:rsid w:val="000157C3"/>
    <w:rsid w:val="00015E25"/>
    <w:rsid w:val="00015FCE"/>
    <w:rsid w:val="0001655A"/>
    <w:rsid w:val="00016A09"/>
    <w:rsid w:val="000173D1"/>
    <w:rsid w:val="00017B17"/>
    <w:rsid w:val="0002044B"/>
    <w:rsid w:val="0002096C"/>
    <w:rsid w:val="00020C41"/>
    <w:rsid w:val="00020C74"/>
    <w:rsid w:val="0002247A"/>
    <w:rsid w:val="00022591"/>
    <w:rsid w:val="0002269F"/>
    <w:rsid w:val="00022757"/>
    <w:rsid w:val="00023F39"/>
    <w:rsid w:val="0002478E"/>
    <w:rsid w:val="00024A8D"/>
    <w:rsid w:val="0002507B"/>
    <w:rsid w:val="000255ED"/>
    <w:rsid w:val="00025635"/>
    <w:rsid w:val="000257E9"/>
    <w:rsid w:val="00025925"/>
    <w:rsid w:val="00025AFB"/>
    <w:rsid w:val="00026022"/>
    <w:rsid w:val="00026283"/>
    <w:rsid w:val="0002655A"/>
    <w:rsid w:val="000275B4"/>
    <w:rsid w:val="000277C5"/>
    <w:rsid w:val="000278DB"/>
    <w:rsid w:val="0002792E"/>
    <w:rsid w:val="00027D07"/>
    <w:rsid w:val="000303A2"/>
    <w:rsid w:val="00030576"/>
    <w:rsid w:val="000306FB"/>
    <w:rsid w:val="0003147B"/>
    <w:rsid w:val="00031507"/>
    <w:rsid w:val="00031948"/>
    <w:rsid w:val="000319F8"/>
    <w:rsid w:val="00032BA2"/>
    <w:rsid w:val="00033CA8"/>
    <w:rsid w:val="00033EA3"/>
    <w:rsid w:val="000344C4"/>
    <w:rsid w:val="00034686"/>
    <w:rsid w:val="00035188"/>
    <w:rsid w:val="00035220"/>
    <w:rsid w:val="0003585E"/>
    <w:rsid w:val="00035ECD"/>
    <w:rsid w:val="0003657F"/>
    <w:rsid w:val="00036CA7"/>
    <w:rsid w:val="00036E59"/>
    <w:rsid w:val="00037600"/>
    <w:rsid w:val="0003768B"/>
    <w:rsid w:val="000376E7"/>
    <w:rsid w:val="000379BD"/>
    <w:rsid w:val="00037E70"/>
    <w:rsid w:val="000404E3"/>
    <w:rsid w:val="00040FE0"/>
    <w:rsid w:val="0004120D"/>
    <w:rsid w:val="0004140D"/>
    <w:rsid w:val="00041432"/>
    <w:rsid w:val="000415A1"/>
    <w:rsid w:val="0004224B"/>
    <w:rsid w:val="00042402"/>
    <w:rsid w:val="000427E8"/>
    <w:rsid w:val="000429F7"/>
    <w:rsid w:val="00042D9E"/>
    <w:rsid w:val="000433C1"/>
    <w:rsid w:val="00045210"/>
    <w:rsid w:val="000455D1"/>
    <w:rsid w:val="00045C63"/>
    <w:rsid w:val="00046EED"/>
    <w:rsid w:val="00046F96"/>
    <w:rsid w:val="000471F4"/>
    <w:rsid w:val="0004744B"/>
    <w:rsid w:val="0004770A"/>
    <w:rsid w:val="00047D48"/>
    <w:rsid w:val="00047E9A"/>
    <w:rsid w:val="0005087E"/>
    <w:rsid w:val="00050C67"/>
    <w:rsid w:val="00050DDC"/>
    <w:rsid w:val="00050E50"/>
    <w:rsid w:val="00050F3D"/>
    <w:rsid w:val="00050F8B"/>
    <w:rsid w:val="0005124F"/>
    <w:rsid w:val="00051A3A"/>
    <w:rsid w:val="000520E7"/>
    <w:rsid w:val="00052143"/>
    <w:rsid w:val="00052647"/>
    <w:rsid w:val="00052857"/>
    <w:rsid w:val="00052B17"/>
    <w:rsid w:val="00053082"/>
    <w:rsid w:val="00053316"/>
    <w:rsid w:val="00053A58"/>
    <w:rsid w:val="00054A4F"/>
    <w:rsid w:val="00054ACC"/>
    <w:rsid w:val="00054CC8"/>
    <w:rsid w:val="00054F1A"/>
    <w:rsid w:val="00054F1D"/>
    <w:rsid w:val="0005503A"/>
    <w:rsid w:val="00055ED3"/>
    <w:rsid w:val="00055FF9"/>
    <w:rsid w:val="00056F73"/>
    <w:rsid w:val="0005741A"/>
    <w:rsid w:val="0005777C"/>
    <w:rsid w:val="000602CB"/>
    <w:rsid w:val="00060B6E"/>
    <w:rsid w:val="00060C5A"/>
    <w:rsid w:val="00060F9E"/>
    <w:rsid w:val="00061171"/>
    <w:rsid w:val="000612BF"/>
    <w:rsid w:val="000617C5"/>
    <w:rsid w:val="00062B43"/>
    <w:rsid w:val="000631CA"/>
    <w:rsid w:val="00063C8D"/>
    <w:rsid w:val="00064392"/>
    <w:rsid w:val="00064901"/>
    <w:rsid w:val="00064B3A"/>
    <w:rsid w:val="00064BA9"/>
    <w:rsid w:val="00064BE0"/>
    <w:rsid w:val="000651E5"/>
    <w:rsid w:val="000654D6"/>
    <w:rsid w:val="00065896"/>
    <w:rsid w:val="000659AB"/>
    <w:rsid w:val="00065A26"/>
    <w:rsid w:val="00065B6E"/>
    <w:rsid w:val="000665C2"/>
    <w:rsid w:val="000671F5"/>
    <w:rsid w:val="000672FF"/>
    <w:rsid w:val="00067E18"/>
    <w:rsid w:val="00070053"/>
    <w:rsid w:val="00070475"/>
    <w:rsid w:val="00070A7A"/>
    <w:rsid w:val="000711BB"/>
    <w:rsid w:val="0007218B"/>
    <w:rsid w:val="00072891"/>
    <w:rsid w:val="00072EE4"/>
    <w:rsid w:val="00073454"/>
    <w:rsid w:val="00073E29"/>
    <w:rsid w:val="0007550C"/>
    <w:rsid w:val="00076399"/>
    <w:rsid w:val="00076D09"/>
    <w:rsid w:val="000772F7"/>
    <w:rsid w:val="000774E6"/>
    <w:rsid w:val="00077A70"/>
    <w:rsid w:val="00077B05"/>
    <w:rsid w:val="00080C0D"/>
    <w:rsid w:val="00080D37"/>
    <w:rsid w:val="00081404"/>
    <w:rsid w:val="000814F0"/>
    <w:rsid w:val="000817A6"/>
    <w:rsid w:val="00081E1F"/>
    <w:rsid w:val="00081FBC"/>
    <w:rsid w:val="00082445"/>
    <w:rsid w:val="0008260B"/>
    <w:rsid w:val="00082F1B"/>
    <w:rsid w:val="00082FF6"/>
    <w:rsid w:val="00083FFA"/>
    <w:rsid w:val="00084431"/>
    <w:rsid w:val="000844A0"/>
    <w:rsid w:val="000845C6"/>
    <w:rsid w:val="000846F3"/>
    <w:rsid w:val="000847D6"/>
    <w:rsid w:val="00084BB5"/>
    <w:rsid w:val="00085F8E"/>
    <w:rsid w:val="00086E40"/>
    <w:rsid w:val="000874D0"/>
    <w:rsid w:val="00087FE8"/>
    <w:rsid w:val="00090240"/>
    <w:rsid w:val="00091045"/>
    <w:rsid w:val="000919BB"/>
    <w:rsid w:val="00091C58"/>
    <w:rsid w:val="000920A7"/>
    <w:rsid w:val="00092638"/>
    <w:rsid w:val="00092683"/>
    <w:rsid w:val="000926A6"/>
    <w:rsid w:val="00092779"/>
    <w:rsid w:val="00092F0C"/>
    <w:rsid w:val="00093379"/>
    <w:rsid w:val="0009395C"/>
    <w:rsid w:val="00093AC1"/>
    <w:rsid w:val="0009421C"/>
    <w:rsid w:val="0009464A"/>
    <w:rsid w:val="000949F1"/>
    <w:rsid w:val="00094E48"/>
    <w:rsid w:val="00094E84"/>
    <w:rsid w:val="0009502B"/>
    <w:rsid w:val="0009580E"/>
    <w:rsid w:val="00095846"/>
    <w:rsid w:val="00095B64"/>
    <w:rsid w:val="00095D8F"/>
    <w:rsid w:val="00095DAA"/>
    <w:rsid w:val="00095FA8"/>
    <w:rsid w:val="00096116"/>
    <w:rsid w:val="000961DC"/>
    <w:rsid w:val="0009669A"/>
    <w:rsid w:val="0009679C"/>
    <w:rsid w:val="0009684F"/>
    <w:rsid w:val="000971B3"/>
    <w:rsid w:val="0009738B"/>
    <w:rsid w:val="0009765C"/>
    <w:rsid w:val="00097762"/>
    <w:rsid w:val="00097E48"/>
    <w:rsid w:val="000A04A2"/>
    <w:rsid w:val="000A0C60"/>
    <w:rsid w:val="000A0E94"/>
    <w:rsid w:val="000A15D2"/>
    <w:rsid w:val="000A1D51"/>
    <w:rsid w:val="000A1D9E"/>
    <w:rsid w:val="000A1F24"/>
    <w:rsid w:val="000A202A"/>
    <w:rsid w:val="000A2E29"/>
    <w:rsid w:val="000A33F7"/>
    <w:rsid w:val="000A37BC"/>
    <w:rsid w:val="000A3E7B"/>
    <w:rsid w:val="000A628F"/>
    <w:rsid w:val="000A7292"/>
    <w:rsid w:val="000A7360"/>
    <w:rsid w:val="000B0315"/>
    <w:rsid w:val="000B0408"/>
    <w:rsid w:val="000B048D"/>
    <w:rsid w:val="000B07CB"/>
    <w:rsid w:val="000B0DEC"/>
    <w:rsid w:val="000B144A"/>
    <w:rsid w:val="000B17CA"/>
    <w:rsid w:val="000B2364"/>
    <w:rsid w:val="000B2810"/>
    <w:rsid w:val="000B29BD"/>
    <w:rsid w:val="000B2C77"/>
    <w:rsid w:val="000B313F"/>
    <w:rsid w:val="000B3164"/>
    <w:rsid w:val="000B3E23"/>
    <w:rsid w:val="000B4173"/>
    <w:rsid w:val="000B44F6"/>
    <w:rsid w:val="000B4921"/>
    <w:rsid w:val="000B4D1E"/>
    <w:rsid w:val="000B4D9B"/>
    <w:rsid w:val="000B4EBB"/>
    <w:rsid w:val="000B4FBA"/>
    <w:rsid w:val="000B583E"/>
    <w:rsid w:val="000B5C48"/>
    <w:rsid w:val="000B66BD"/>
    <w:rsid w:val="000B740E"/>
    <w:rsid w:val="000B7A36"/>
    <w:rsid w:val="000C01F3"/>
    <w:rsid w:val="000C0427"/>
    <w:rsid w:val="000C06C7"/>
    <w:rsid w:val="000C12D2"/>
    <w:rsid w:val="000C135B"/>
    <w:rsid w:val="000C1527"/>
    <w:rsid w:val="000C1B8F"/>
    <w:rsid w:val="000C22FF"/>
    <w:rsid w:val="000C2613"/>
    <w:rsid w:val="000C282D"/>
    <w:rsid w:val="000C28F1"/>
    <w:rsid w:val="000C2AAB"/>
    <w:rsid w:val="000C2B77"/>
    <w:rsid w:val="000C2DCA"/>
    <w:rsid w:val="000C2E69"/>
    <w:rsid w:val="000C2EE3"/>
    <w:rsid w:val="000C326D"/>
    <w:rsid w:val="000C35B5"/>
    <w:rsid w:val="000C362B"/>
    <w:rsid w:val="000C3835"/>
    <w:rsid w:val="000C3880"/>
    <w:rsid w:val="000C3EEB"/>
    <w:rsid w:val="000C3FAD"/>
    <w:rsid w:val="000C4124"/>
    <w:rsid w:val="000C46FB"/>
    <w:rsid w:val="000C4E8A"/>
    <w:rsid w:val="000C5537"/>
    <w:rsid w:val="000C559A"/>
    <w:rsid w:val="000C5A59"/>
    <w:rsid w:val="000C5D3E"/>
    <w:rsid w:val="000C5F8E"/>
    <w:rsid w:val="000C6C1E"/>
    <w:rsid w:val="000C71DC"/>
    <w:rsid w:val="000C7375"/>
    <w:rsid w:val="000C7540"/>
    <w:rsid w:val="000C7B8C"/>
    <w:rsid w:val="000C7C7E"/>
    <w:rsid w:val="000D0048"/>
    <w:rsid w:val="000D0BA4"/>
    <w:rsid w:val="000D185A"/>
    <w:rsid w:val="000D1D7C"/>
    <w:rsid w:val="000D1E89"/>
    <w:rsid w:val="000D37FE"/>
    <w:rsid w:val="000D3BF1"/>
    <w:rsid w:val="000D3C44"/>
    <w:rsid w:val="000D40D6"/>
    <w:rsid w:val="000D44C6"/>
    <w:rsid w:val="000D5293"/>
    <w:rsid w:val="000D564B"/>
    <w:rsid w:val="000D592E"/>
    <w:rsid w:val="000D5942"/>
    <w:rsid w:val="000D6003"/>
    <w:rsid w:val="000D631A"/>
    <w:rsid w:val="000D6365"/>
    <w:rsid w:val="000D6676"/>
    <w:rsid w:val="000D6B5A"/>
    <w:rsid w:val="000D6CB3"/>
    <w:rsid w:val="000D7E34"/>
    <w:rsid w:val="000E064B"/>
    <w:rsid w:val="000E0727"/>
    <w:rsid w:val="000E0800"/>
    <w:rsid w:val="000E0D5E"/>
    <w:rsid w:val="000E129F"/>
    <w:rsid w:val="000E173A"/>
    <w:rsid w:val="000E1BD8"/>
    <w:rsid w:val="000E2023"/>
    <w:rsid w:val="000E20AE"/>
    <w:rsid w:val="000E23B5"/>
    <w:rsid w:val="000E354A"/>
    <w:rsid w:val="000E36EB"/>
    <w:rsid w:val="000E4570"/>
    <w:rsid w:val="000E50FE"/>
    <w:rsid w:val="000E519E"/>
    <w:rsid w:val="000E557D"/>
    <w:rsid w:val="000E5685"/>
    <w:rsid w:val="000E59F8"/>
    <w:rsid w:val="000E5A39"/>
    <w:rsid w:val="000E5BA5"/>
    <w:rsid w:val="000E651B"/>
    <w:rsid w:val="000E6A93"/>
    <w:rsid w:val="000E7BC8"/>
    <w:rsid w:val="000E7DBC"/>
    <w:rsid w:val="000F0730"/>
    <w:rsid w:val="000F0C1F"/>
    <w:rsid w:val="000F0F54"/>
    <w:rsid w:val="000F0FAA"/>
    <w:rsid w:val="000F0FE8"/>
    <w:rsid w:val="000F1AD4"/>
    <w:rsid w:val="000F1E64"/>
    <w:rsid w:val="000F1F37"/>
    <w:rsid w:val="000F26B7"/>
    <w:rsid w:val="000F2ABA"/>
    <w:rsid w:val="000F2E7E"/>
    <w:rsid w:val="000F30DC"/>
    <w:rsid w:val="000F33B1"/>
    <w:rsid w:val="000F3C3B"/>
    <w:rsid w:val="000F4AF5"/>
    <w:rsid w:val="000F64B9"/>
    <w:rsid w:val="000F67C2"/>
    <w:rsid w:val="000F6F5B"/>
    <w:rsid w:val="000F7456"/>
    <w:rsid w:val="001009E3"/>
    <w:rsid w:val="00100D5A"/>
    <w:rsid w:val="001017AD"/>
    <w:rsid w:val="00101D6E"/>
    <w:rsid w:val="00102D04"/>
    <w:rsid w:val="0010303E"/>
    <w:rsid w:val="001032DD"/>
    <w:rsid w:val="001036B4"/>
    <w:rsid w:val="001036DF"/>
    <w:rsid w:val="001048AF"/>
    <w:rsid w:val="00104939"/>
    <w:rsid w:val="0010526F"/>
    <w:rsid w:val="00105EDF"/>
    <w:rsid w:val="001064EE"/>
    <w:rsid w:val="00106519"/>
    <w:rsid w:val="001065AE"/>
    <w:rsid w:val="001065B5"/>
    <w:rsid w:val="001071C5"/>
    <w:rsid w:val="0010774A"/>
    <w:rsid w:val="00107A2C"/>
    <w:rsid w:val="00107CB0"/>
    <w:rsid w:val="00110175"/>
    <w:rsid w:val="00110EFA"/>
    <w:rsid w:val="0011103A"/>
    <w:rsid w:val="00111839"/>
    <w:rsid w:val="00111A55"/>
    <w:rsid w:val="0011234D"/>
    <w:rsid w:val="001144A8"/>
    <w:rsid w:val="00115AB7"/>
    <w:rsid w:val="00115F0B"/>
    <w:rsid w:val="00116696"/>
    <w:rsid w:val="001167C2"/>
    <w:rsid w:val="001170E9"/>
    <w:rsid w:val="001175EF"/>
    <w:rsid w:val="00117773"/>
    <w:rsid w:val="00117AC9"/>
    <w:rsid w:val="0012032B"/>
    <w:rsid w:val="001208EE"/>
    <w:rsid w:val="00120E29"/>
    <w:rsid w:val="00121D27"/>
    <w:rsid w:val="00121E1C"/>
    <w:rsid w:val="00122293"/>
    <w:rsid w:val="001224CF"/>
    <w:rsid w:val="001231EA"/>
    <w:rsid w:val="00123524"/>
    <w:rsid w:val="00123FA3"/>
    <w:rsid w:val="0012429C"/>
    <w:rsid w:val="001242BD"/>
    <w:rsid w:val="00124FCA"/>
    <w:rsid w:val="00125F88"/>
    <w:rsid w:val="00126594"/>
    <w:rsid w:val="0012663E"/>
    <w:rsid w:val="00126F8B"/>
    <w:rsid w:val="0012720F"/>
    <w:rsid w:val="0012724F"/>
    <w:rsid w:val="00127524"/>
    <w:rsid w:val="001275D0"/>
    <w:rsid w:val="00127BE0"/>
    <w:rsid w:val="0013060E"/>
    <w:rsid w:val="00130B6E"/>
    <w:rsid w:val="00130EC6"/>
    <w:rsid w:val="001310F7"/>
    <w:rsid w:val="00131D3C"/>
    <w:rsid w:val="0013270A"/>
    <w:rsid w:val="00132A04"/>
    <w:rsid w:val="00133D51"/>
    <w:rsid w:val="00134681"/>
    <w:rsid w:val="00134BE9"/>
    <w:rsid w:val="00134F21"/>
    <w:rsid w:val="0013506E"/>
    <w:rsid w:val="00135D59"/>
    <w:rsid w:val="00135EF5"/>
    <w:rsid w:val="001366A2"/>
    <w:rsid w:val="001371E6"/>
    <w:rsid w:val="00137620"/>
    <w:rsid w:val="00137763"/>
    <w:rsid w:val="00137781"/>
    <w:rsid w:val="001378A6"/>
    <w:rsid w:val="00137A6E"/>
    <w:rsid w:val="00140520"/>
    <w:rsid w:val="00140549"/>
    <w:rsid w:val="00141198"/>
    <w:rsid w:val="001411F7"/>
    <w:rsid w:val="00141411"/>
    <w:rsid w:val="00141C28"/>
    <w:rsid w:val="0014267D"/>
    <w:rsid w:val="001426D9"/>
    <w:rsid w:val="001429B4"/>
    <w:rsid w:val="00142FB3"/>
    <w:rsid w:val="001430BE"/>
    <w:rsid w:val="00143EDF"/>
    <w:rsid w:val="00143F2B"/>
    <w:rsid w:val="00143FA8"/>
    <w:rsid w:val="00144730"/>
    <w:rsid w:val="00144972"/>
    <w:rsid w:val="00144AA4"/>
    <w:rsid w:val="00144C69"/>
    <w:rsid w:val="00144D4E"/>
    <w:rsid w:val="00145315"/>
    <w:rsid w:val="0014580A"/>
    <w:rsid w:val="00145814"/>
    <w:rsid w:val="001459AB"/>
    <w:rsid w:val="00145E98"/>
    <w:rsid w:val="00146668"/>
    <w:rsid w:val="001466E6"/>
    <w:rsid w:val="001472BB"/>
    <w:rsid w:val="0014753F"/>
    <w:rsid w:val="001476EF"/>
    <w:rsid w:val="00150201"/>
    <w:rsid w:val="0015051A"/>
    <w:rsid w:val="001506E8"/>
    <w:rsid w:val="001508A5"/>
    <w:rsid w:val="00151574"/>
    <w:rsid w:val="00152C55"/>
    <w:rsid w:val="00152D8B"/>
    <w:rsid w:val="00153080"/>
    <w:rsid w:val="00153587"/>
    <w:rsid w:val="00153FB7"/>
    <w:rsid w:val="001542D1"/>
    <w:rsid w:val="0015496D"/>
    <w:rsid w:val="00154B33"/>
    <w:rsid w:val="00154C7A"/>
    <w:rsid w:val="00154CC6"/>
    <w:rsid w:val="00154E6C"/>
    <w:rsid w:val="00155E35"/>
    <w:rsid w:val="001560E4"/>
    <w:rsid w:val="0015630D"/>
    <w:rsid w:val="00156753"/>
    <w:rsid w:val="00156E14"/>
    <w:rsid w:val="00156F05"/>
    <w:rsid w:val="00157472"/>
    <w:rsid w:val="001579DD"/>
    <w:rsid w:val="00157A55"/>
    <w:rsid w:val="001600A6"/>
    <w:rsid w:val="00160438"/>
    <w:rsid w:val="00160927"/>
    <w:rsid w:val="00161C8C"/>
    <w:rsid w:val="00161F8D"/>
    <w:rsid w:val="00162144"/>
    <w:rsid w:val="00162184"/>
    <w:rsid w:val="001621FF"/>
    <w:rsid w:val="00162676"/>
    <w:rsid w:val="00162AD8"/>
    <w:rsid w:val="00164649"/>
    <w:rsid w:val="00164DED"/>
    <w:rsid w:val="00165199"/>
    <w:rsid w:val="001651C0"/>
    <w:rsid w:val="001653D8"/>
    <w:rsid w:val="00165E5B"/>
    <w:rsid w:val="00165FDA"/>
    <w:rsid w:val="001661D5"/>
    <w:rsid w:val="00166364"/>
    <w:rsid w:val="00166EE7"/>
    <w:rsid w:val="00167858"/>
    <w:rsid w:val="00167CD0"/>
    <w:rsid w:val="001707F8"/>
    <w:rsid w:val="001709C5"/>
    <w:rsid w:val="0017104E"/>
    <w:rsid w:val="00171987"/>
    <w:rsid w:val="00171E7B"/>
    <w:rsid w:val="00171FFC"/>
    <w:rsid w:val="0017245F"/>
    <w:rsid w:val="001726C3"/>
    <w:rsid w:val="00172759"/>
    <w:rsid w:val="001729B1"/>
    <w:rsid w:val="00172D86"/>
    <w:rsid w:val="00172E20"/>
    <w:rsid w:val="00173C96"/>
    <w:rsid w:val="00173D04"/>
    <w:rsid w:val="001744F3"/>
    <w:rsid w:val="001744F7"/>
    <w:rsid w:val="001747C6"/>
    <w:rsid w:val="001751E8"/>
    <w:rsid w:val="0017549F"/>
    <w:rsid w:val="00176A90"/>
    <w:rsid w:val="00177062"/>
    <w:rsid w:val="00177892"/>
    <w:rsid w:val="001778AA"/>
    <w:rsid w:val="00177BFA"/>
    <w:rsid w:val="00180772"/>
    <w:rsid w:val="00180971"/>
    <w:rsid w:val="00180DEE"/>
    <w:rsid w:val="001812DF"/>
    <w:rsid w:val="001813BA"/>
    <w:rsid w:val="00181461"/>
    <w:rsid w:val="00181B36"/>
    <w:rsid w:val="001820DA"/>
    <w:rsid w:val="0018233E"/>
    <w:rsid w:val="0018270D"/>
    <w:rsid w:val="0018296D"/>
    <w:rsid w:val="00182B6D"/>
    <w:rsid w:val="00183214"/>
    <w:rsid w:val="0018322E"/>
    <w:rsid w:val="001835E5"/>
    <w:rsid w:val="001838D6"/>
    <w:rsid w:val="00183AC8"/>
    <w:rsid w:val="00183BE4"/>
    <w:rsid w:val="00183E73"/>
    <w:rsid w:val="0018451C"/>
    <w:rsid w:val="00184FDB"/>
    <w:rsid w:val="001854B1"/>
    <w:rsid w:val="0018552E"/>
    <w:rsid w:val="00185ADD"/>
    <w:rsid w:val="00185E0C"/>
    <w:rsid w:val="00186016"/>
    <w:rsid w:val="00186550"/>
    <w:rsid w:val="00187534"/>
    <w:rsid w:val="001907D7"/>
    <w:rsid w:val="00192866"/>
    <w:rsid w:val="00192AD9"/>
    <w:rsid w:val="00192D65"/>
    <w:rsid w:val="001930DB"/>
    <w:rsid w:val="00193353"/>
    <w:rsid w:val="00193484"/>
    <w:rsid w:val="001936BD"/>
    <w:rsid w:val="00194110"/>
    <w:rsid w:val="0019411C"/>
    <w:rsid w:val="00194C4B"/>
    <w:rsid w:val="00194D32"/>
    <w:rsid w:val="00194F2A"/>
    <w:rsid w:val="001951BF"/>
    <w:rsid w:val="00195679"/>
    <w:rsid w:val="00195766"/>
    <w:rsid w:val="00195AEC"/>
    <w:rsid w:val="00195EA5"/>
    <w:rsid w:val="00196909"/>
    <w:rsid w:val="001973CE"/>
    <w:rsid w:val="00197416"/>
    <w:rsid w:val="00197657"/>
    <w:rsid w:val="001A06B6"/>
    <w:rsid w:val="001A0829"/>
    <w:rsid w:val="001A0E99"/>
    <w:rsid w:val="001A0FB1"/>
    <w:rsid w:val="001A1092"/>
    <w:rsid w:val="001A16A9"/>
    <w:rsid w:val="001A1823"/>
    <w:rsid w:val="001A24EF"/>
    <w:rsid w:val="001A2A48"/>
    <w:rsid w:val="001A2D25"/>
    <w:rsid w:val="001A3814"/>
    <w:rsid w:val="001A38F6"/>
    <w:rsid w:val="001A393C"/>
    <w:rsid w:val="001A4ED7"/>
    <w:rsid w:val="001A51BD"/>
    <w:rsid w:val="001A52A2"/>
    <w:rsid w:val="001A5815"/>
    <w:rsid w:val="001A617D"/>
    <w:rsid w:val="001A65B5"/>
    <w:rsid w:val="001A6DBB"/>
    <w:rsid w:val="001A733A"/>
    <w:rsid w:val="001B0A21"/>
    <w:rsid w:val="001B14A3"/>
    <w:rsid w:val="001B159A"/>
    <w:rsid w:val="001B2A95"/>
    <w:rsid w:val="001B3525"/>
    <w:rsid w:val="001B3B7A"/>
    <w:rsid w:val="001B3C33"/>
    <w:rsid w:val="001B4061"/>
    <w:rsid w:val="001B4448"/>
    <w:rsid w:val="001B490D"/>
    <w:rsid w:val="001B5171"/>
    <w:rsid w:val="001B644C"/>
    <w:rsid w:val="001B6E01"/>
    <w:rsid w:val="001B71A4"/>
    <w:rsid w:val="001B7926"/>
    <w:rsid w:val="001C070E"/>
    <w:rsid w:val="001C1651"/>
    <w:rsid w:val="001C1729"/>
    <w:rsid w:val="001C1746"/>
    <w:rsid w:val="001C181D"/>
    <w:rsid w:val="001C1BCE"/>
    <w:rsid w:val="001C2938"/>
    <w:rsid w:val="001C2CA1"/>
    <w:rsid w:val="001C30A5"/>
    <w:rsid w:val="001C3959"/>
    <w:rsid w:val="001C39A9"/>
    <w:rsid w:val="001C3D0A"/>
    <w:rsid w:val="001C3FC6"/>
    <w:rsid w:val="001C4F4D"/>
    <w:rsid w:val="001C5641"/>
    <w:rsid w:val="001C66AA"/>
    <w:rsid w:val="001C6A87"/>
    <w:rsid w:val="001C6B80"/>
    <w:rsid w:val="001C7C89"/>
    <w:rsid w:val="001C7DDB"/>
    <w:rsid w:val="001D07E8"/>
    <w:rsid w:val="001D0858"/>
    <w:rsid w:val="001D1117"/>
    <w:rsid w:val="001D11AE"/>
    <w:rsid w:val="001D1287"/>
    <w:rsid w:val="001D14F7"/>
    <w:rsid w:val="001D172E"/>
    <w:rsid w:val="001D1C49"/>
    <w:rsid w:val="001D1E2A"/>
    <w:rsid w:val="001D22F0"/>
    <w:rsid w:val="001D26CC"/>
    <w:rsid w:val="001D2702"/>
    <w:rsid w:val="001D2C43"/>
    <w:rsid w:val="001D3053"/>
    <w:rsid w:val="001D3161"/>
    <w:rsid w:val="001D326A"/>
    <w:rsid w:val="001D36F4"/>
    <w:rsid w:val="001D5529"/>
    <w:rsid w:val="001D597F"/>
    <w:rsid w:val="001D6657"/>
    <w:rsid w:val="001D67A6"/>
    <w:rsid w:val="001D6AB8"/>
    <w:rsid w:val="001D7636"/>
    <w:rsid w:val="001D7A0D"/>
    <w:rsid w:val="001D7AE3"/>
    <w:rsid w:val="001E06AE"/>
    <w:rsid w:val="001E09E6"/>
    <w:rsid w:val="001E0DAC"/>
    <w:rsid w:val="001E0F62"/>
    <w:rsid w:val="001E12E9"/>
    <w:rsid w:val="001E1473"/>
    <w:rsid w:val="001E2100"/>
    <w:rsid w:val="001E2346"/>
    <w:rsid w:val="001E242E"/>
    <w:rsid w:val="001E3538"/>
    <w:rsid w:val="001E363A"/>
    <w:rsid w:val="001E383C"/>
    <w:rsid w:val="001E3BB3"/>
    <w:rsid w:val="001E3E2E"/>
    <w:rsid w:val="001E3FFC"/>
    <w:rsid w:val="001E48C9"/>
    <w:rsid w:val="001E49F5"/>
    <w:rsid w:val="001E4B3D"/>
    <w:rsid w:val="001E4C17"/>
    <w:rsid w:val="001E4F1F"/>
    <w:rsid w:val="001E4F39"/>
    <w:rsid w:val="001E4F65"/>
    <w:rsid w:val="001E52DA"/>
    <w:rsid w:val="001E573C"/>
    <w:rsid w:val="001E5901"/>
    <w:rsid w:val="001E5992"/>
    <w:rsid w:val="001E5B25"/>
    <w:rsid w:val="001E5C84"/>
    <w:rsid w:val="001E6173"/>
    <w:rsid w:val="001E6615"/>
    <w:rsid w:val="001E6A9F"/>
    <w:rsid w:val="001E7433"/>
    <w:rsid w:val="001E753C"/>
    <w:rsid w:val="001E76FD"/>
    <w:rsid w:val="001F05ED"/>
    <w:rsid w:val="001F0968"/>
    <w:rsid w:val="001F0992"/>
    <w:rsid w:val="001F0BDB"/>
    <w:rsid w:val="001F0F97"/>
    <w:rsid w:val="001F1186"/>
    <w:rsid w:val="001F1722"/>
    <w:rsid w:val="001F1ECC"/>
    <w:rsid w:val="001F1EE1"/>
    <w:rsid w:val="001F24F5"/>
    <w:rsid w:val="001F260F"/>
    <w:rsid w:val="001F2743"/>
    <w:rsid w:val="001F314D"/>
    <w:rsid w:val="001F3ADC"/>
    <w:rsid w:val="001F475A"/>
    <w:rsid w:val="001F526F"/>
    <w:rsid w:val="001F642F"/>
    <w:rsid w:val="001F6747"/>
    <w:rsid w:val="001F682C"/>
    <w:rsid w:val="001F7021"/>
    <w:rsid w:val="001F70DA"/>
    <w:rsid w:val="001F7429"/>
    <w:rsid w:val="001F7705"/>
    <w:rsid w:val="001F780D"/>
    <w:rsid w:val="001F7F29"/>
    <w:rsid w:val="00200E6C"/>
    <w:rsid w:val="00201277"/>
    <w:rsid w:val="002015CE"/>
    <w:rsid w:val="00202020"/>
    <w:rsid w:val="00202D3D"/>
    <w:rsid w:val="00203CD0"/>
    <w:rsid w:val="00203FEC"/>
    <w:rsid w:val="00203FFD"/>
    <w:rsid w:val="002043B1"/>
    <w:rsid w:val="00204963"/>
    <w:rsid w:val="00204A77"/>
    <w:rsid w:val="00204CB3"/>
    <w:rsid w:val="00205096"/>
    <w:rsid w:val="0020549D"/>
    <w:rsid w:val="00205D09"/>
    <w:rsid w:val="002064ED"/>
    <w:rsid w:val="00206700"/>
    <w:rsid w:val="0020679D"/>
    <w:rsid w:val="00206C82"/>
    <w:rsid w:val="00206D57"/>
    <w:rsid w:val="00207D8F"/>
    <w:rsid w:val="00207EB4"/>
    <w:rsid w:val="0021034C"/>
    <w:rsid w:val="00210444"/>
    <w:rsid w:val="002106EB"/>
    <w:rsid w:val="00210B4D"/>
    <w:rsid w:val="00211004"/>
    <w:rsid w:val="00211322"/>
    <w:rsid w:val="002118DA"/>
    <w:rsid w:val="0021225A"/>
    <w:rsid w:val="00213A25"/>
    <w:rsid w:val="0021416C"/>
    <w:rsid w:val="00214350"/>
    <w:rsid w:val="0021444D"/>
    <w:rsid w:val="002149AA"/>
    <w:rsid w:val="002149FE"/>
    <w:rsid w:val="00214E93"/>
    <w:rsid w:val="0021524D"/>
    <w:rsid w:val="0021547E"/>
    <w:rsid w:val="0021563A"/>
    <w:rsid w:val="00215A39"/>
    <w:rsid w:val="0021669C"/>
    <w:rsid w:val="00217205"/>
    <w:rsid w:val="002179D8"/>
    <w:rsid w:val="00217B9E"/>
    <w:rsid w:val="002200D2"/>
    <w:rsid w:val="00220F67"/>
    <w:rsid w:val="002219B5"/>
    <w:rsid w:val="00221E07"/>
    <w:rsid w:val="00221E1B"/>
    <w:rsid w:val="00222078"/>
    <w:rsid w:val="002225A6"/>
    <w:rsid w:val="00222746"/>
    <w:rsid w:val="002228E4"/>
    <w:rsid w:val="00222B8F"/>
    <w:rsid w:val="002231B1"/>
    <w:rsid w:val="0022437A"/>
    <w:rsid w:val="00224E6C"/>
    <w:rsid w:val="00225229"/>
    <w:rsid w:val="0022526E"/>
    <w:rsid w:val="002256DE"/>
    <w:rsid w:val="002256FB"/>
    <w:rsid w:val="00226611"/>
    <w:rsid w:val="00226A2A"/>
    <w:rsid w:val="00226AD9"/>
    <w:rsid w:val="00227F31"/>
    <w:rsid w:val="00230601"/>
    <w:rsid w:val="00230AC9"/>
    <w:rsid w:val="00230D9F"/>
    <w:rsid w:val="00231507"/>
    <w:rsid w:val="002317DA"/>
    <w:rsid w:val="00231923"/>
    <w:rsid w:val="00231A81"/>
    <w:rsid w:val="00231F75"/>
    <w:rsid w:val="00233266"/>
    <w:rsid w:val="002335E0"/>
    <w:rsid w:val="00233696"/>
    <w:rsid w:val="002337B0"/>
    <w:rsid w:val="00233815"/>
    <w:rsid w:val="00233C49"/>
    <w:rsid w:val="00233E74"/>
    <w:rsid w:val="002341A2"/>
    <w:rsid w:val="00234CF7"/>
    <w:rsid w:val="00234D1A"/>
    <w:rsid w:val="00235065"/>
    <w:rsid w:val="00235BAE"/>
    <w:rsid w:val="00236570"/>
    <w:rsid w:val="00236A0E"/>
    <w:rsid w:val="00236A8F"/>
    <w:rsid w:val="00237195"/>
    <w:rsid w:val="00237746"/>
    <w:rsid w:val="00237879"/>
    <w:rsid w:val="00237904"/>
    <w:rsid w:val="00240BAE"/>
    <w:rsid w:val="00240C44"/>
    <w:rsid w:val="00241011"/>
    <w:rsid w:val="00242401"/>
    <w:rsid w:val="00242CB1"/>
    <w:rsid w:val="00243988"/>
    <w:rsid w:val="0024405E"/>
    <w:rsid w:val="0024454F"/>
    <w:rsid w:val="002445CF"/>
    <w:rsid w:val="00244A42"/>
    <w:rsid w:val="002457DA"/>
    <w:rsid w:val="00246355"/>
    <w:rsid w:val="00246F89"/>
    <w:rsid w:val="00247072"/>
    <w:rsid w:val="002474E6"/>
    <w:rsid w:val="00247796"/>
    <w:rsid w:val="002477EE"/>
    <w:rsid w:val="0025016C"/>
    <w:rsid w:val="002504B8"/>
    <w:rsid w:val="00250DE8"/>
    <w:rsid w:val="00251045"/>
    <w:rsid w:val="00251C59"/>
    <w:rsid w:val="00252371"/>
    <w:rsid w:val="002523F0"/>
    <w:rsid w:val="00252704"/>
    <w:rsid w:val="00252741"/>
    <w:rsid w:val="00252899"/>
    <w:rsid w:val="0025291E"/>
    <w:rsid w:val="00252AD4"/>
    <w:rsid w:val="00252BFE"/>
    <w:rsid w:val="00253A37"/>
    <w:rsid w:val="0025425B"/>
    <w:rsid w:val="002542BF"/>
    <w:rsid w:val="002544FE"/>
    <w:rsid w:val="00254565"/>
    <w:rsid w:val="00254860"/>
    <w:rsid w:val="00254C9A"/>
    <w:rsid w:val="00254CA1"/>
    <w:rsid w:val="00254E6E"/>
    <w:rsid w:val="00254ED0"/>
    <w:rsid w:val="002563CE"/>
    <w:rsid w:val="002564A7"/>
    <w:rsid w:val="0025699D"/>
    <w:rsid w:val="00256AAE"/>
    <w:rsid w:val="00257A90"/>
    <w:rsid w:val="00257ABC"/>
    <w:rsid w:val="00257C79"/>
    <w:rsid w:val="0026065C"/>
    <w:rsid w:val="00260B46"/>
    <w:rsid w:val="002614FD"/>
    <w:rsid w:val="00261585"/>
    <w:rsid w:val="002618EB"/>
    <w:rsid w:val="00262AC3"/>
    <w:rsid w:val="002642CC"/>
    <w:rsid w:val="0026432D"/>
    <w:rsid w:val="00264607"/>
    <w:rsid w:val="0026461B"/>
    <w:rsid w:val="002653E1"/>
    <w:rsid w:val="002656F6"/>
    <w:rsid w:val="00265AC7"/>
    <w:rsid w:val="002661CD"/>
    <w:rsid w:val="002664CE"/>
    <w:rsid w:val="00266638"/>
    <w:rsid w:val="002668F3"/>
    <w:rsid w:val="00266949"/>
    <w:rsid w:val="00267943"/>
    <w:rsid w:val="00267A35"/>
    <w:rsid w:val="00267A71"/>
    <w:rsid w:val="00267C10"/>
    <w:rsid w:val="00267F8E"/>
    <w:rsid w:val="00270209"/>
    <w:rsid w:val="002702F9"/>
    <w:rsid w:val="0027031C"/>
    <w:rsid w:val="00271E80"/>
    <w:rsid w:val="0027204C"/>
    <w:rsid w:val="00272671"/>
    <w:rsid w:val="0027320D"/>
    <w:rsid w:val="002733B1"/>
    <w:rsid w:val="00273F62"/>
    <w:rsid w:val="0027490F"/>
    <w:rsid w:val="002750DF"/>
    <w:rsid w:val="002752E7"/>
    <w:rsid w:val="0027587E"/>
    <w:rsid w:val="00275972"/>
    <w:rsid w:val="00275EB6"/>
    <w:rsid w:val="00276216"/>
    <w:rsid w:val="00276863"/>
    <w:rsid w:val="0027742F"/>
    <w:rsid w:val="002774FF"/>
    <w:rsid w:val="00277797"/>
    <w:rsid w:val="002777D4"/>
    <w:rsid w:val="00277893"/>
    <w:rsid w:val="00277A5A"/>
    <w:rsid w:val="00277FC5"/>
    <w:rsid w:val="002801D1"/>
    <w:rsid w:val="002808F8"/>
    <w:rsid w:val="00280EB4"/>
    <w:rsid w:val="00280ECD"/>
    <w:rsid w:val="0028127B"/>
    <w:rsid w:val="002813E3"/>
    <w:rsid w:val="00281CE3"/>
    <w:rsid w:val="00282ED1"/>
    <w:rsid w:val="00283322"/>
    <w:rsid w:val="00283479"/>
    <w:rsid w:val="00283F3E"/>
    <w:rsid w:val="0028463E"/>
    <w:rsid w:val="002847B6"/>
    <w:rsid w:val="0028483F"/>
    <w:rsid w:val="00284E38"/>
    <w:rsid w:val="00284F1E"/>
    <w:rsid w:val="00284FA9"/>
    <w:rsid w:val="0028512F"/>
    <w:rsid w:val="0028514B"/>
    <w:rsid w:val="0028574F"/>
    <w:rsid w:val="00285790"/>
    <w:rsid w:val="00286283"/>
    <w:rsid w:val="002867E4"/>
    <w:rsid w:val="00286A9F"/>
    <w:rsid w:val="00286BC2"/>
    <w:rsid w:val="002870E6"/>
    <w:rsid w:val="002871F0"/>
    <w:rsid w:val="0028735F"/>
    <w:rsid w:val="0028755E"/>
    <w:rsid w:val="002876DA"/>
    <w:rsid w:val="00287CB4"/>
    <w:rsid w:val="00287DA4"/>
    <w:rsid w:val="0029007B"/>
    <w:rsid w:val="00290FD8"/>
    <w:rsid w:val="002911F4"/>
    <w:rsid w:val="00292E2D"/>
    <w:rsid w:val="00293126"/>
    <w:rsid w:val="00293261"/>
    <w:rsid w:val="00293560"/>
    <w:rsid w:val="0029384E"/>
    <w:rsid w:val="0029392B"/>
    <w:rsid w:val="00293A0B"/>
    <w:rsid w:val="00294055"/>
    <w:rsid w:val="002940F2"/>
    <w:rsid w:val="00294345"/>
    <w:rsid w:val="00294AA7"/>
    <w:rsid w:val="00294DCC"/>
    <w:rsid w:val="0029531A"/>
    <w:rsid w:val="00295E98"/>
    <w:rsid w:val="002965E0"/>
    <w:rsid w:val="0029660A"/>
    <w:rsid w:val="0029730F"/>
    <w:rsid w:val="00297358"/>
    <w:rsid w:val="00297364"/>
    <w:rsid w:val="002974A4"/>
    <w:rsid w:val="00297A6C"/>
    <w:rsid w:val="00297C25"/>
    <w:rsid w:val="00297C77"/>
    <w:rsid w:val="00297D96"/>
    <w:rsid w:val="002A0388"/>
    <w:rsid w:val="002A0615"/>
    <w:rsid w:val="002A0ABA"/>
    <w:rsid w:val="002A1F84"/>
    <w:rsid w:val="002A3499"/>
    <w:rsid w:val="002A357C"/>
    <w:rsid w:val="002A367B"/>
    <w:rsid w:val="002A3DA7"/>
    <w:rsid w:val="002A43B8"/>
    <w:rsid w:val="002A485F"/>
    <w:rsid w:val="002A48FB"/>
    <w:rsid w:val="002A4958"/>
    <w:rsid w:val="002A4BA3"/>
    <w:rsid w:val="002A4DED"/>
    <w:rsid w:val="002A4E81"/>
    <w:rsid w:val="002A5B44"/>
    <w:rsid w:val="002A62E9"/>
    <w:rsid w:val="002A6351"/>
    <w:rsid w:val="002A654C"/>
    <w:rsid w:val="002A6A04"/>
    <w:rsid w:val="002A6F3E"/>
    <w:rsid w:val="002A7D0F"/>
    <w:rsid w:val="002B0533"/>
    <w:rsid w:val="002B0F6F"/>
    <w:rsid w:val="002B0F7E"/>
    <w:rsid w:val="002B244C"/>
    <w:rsid w:val="002B25DE"/>
    <w:rsid w:val="002B2ABD"/>
    <w:rsid w:val="002B2AC7"/>
    <w:rsid w:val="002B2B2D"/>
    <w:rsid w:val="002B2B45"/>
    <w:rsid w:val="002B2E11"/>
    <w:rsid w:val="002B3725"/>
    <w:rsid w:val="002B3749"/>
    <w:rsid w:val="002B400C"/>
    <w:rsid w:val="002B44B6"/>
    <w:rsid w:val="002B44C5"/>
    <w:rsid w:val="002B4E50"/>
    <w:rsid w:val="002B4F82"/>
    <w:rsid w:val="002B5CF0"/>
    <w:rsid w:val="002B7078"/>
    <w:rsid w:val="002B71DC"/>
    <w:rsid w:val="002B7211"/>
    <w:rsid w:val="002B7576"/>
    <w:rsid w:val="002B7D46"/>
    <w:rsid w:val="002B7DCF"/>
    <w:rsid w:val="002C1BD5"/>
    <w:rsid w:val="002C21A1"/>
    <w:rsid w:val="002C21B9"/>
    <w:rsid w:val="002C2DAB"/>
    <w:rsid w:val="002C31EB"/>
    <w:rsid w:val="002C368C"/>
    <w:rsid w:val="002C45AA"/>
    <w:rsid w:val="002C6157"/>
    <w:rsid w:val="002C6E40"/>
    <w:rsid w:val="002C6E86"/>
    <w:rsid w:val="002C6F0C"/>
    <w:rsid w:val="002C6FDB"/>
    <w:rsid w:val="002C7401"/>
    <w:rsid w:val="002C772F"/>
    <w:rsid w:val="002C7EA9"/>
    <w:rsid w:val="002D03E1"/>
    <w:rsid w:val="002D062B"/>
    <w:rsid w:val="002D0788"/>
    <w:rsid w:val="002D0B48"/>
    <w:rsid w:val="002D1404"/>
    <w:rsid w:val="002D1FF2"/>
    <w:rsid w:val="002D21A7"/>
    <w:rsid w:val="002D2C60"/>
    <w:rsid w:val="002D31DE"/>
    <w:rsid w:val="002D35B6"/>
    <w:rsid w:val="002D3AD3"/>
    <w:rsid w:val="002D4166"/>
    <w:rsid w:val="002D432B"/>
    <w:rsid w:val="002D45ED"/>
    <w:rsid w:val="002D4954"/>
    <w:rsid w:val="002D4AC7"/>
    <w:rsid w:val="002D4AF2"/>
    <w:rsid w:val="002D4F70"/>
    <w:rsid w:val="002D545A"/>
    <w:rsid w:val="002D5791"/>
    <w:rsid w:val="002D612E"/>
    <w:rsid w:val="002D61E3"/>
    <w:rsid w:val="002D62C9"/>
    <w:rsid w:val="002D6674"/>
    <w:rsid w:val="002D67AE"/>
    <w:rsid w:val="002D6B73"/>
    <w:rsid w:val="002D6E00"/>
    <w:rsid w:val="002D6E65"/>
    <w:rsid w:val="002D6EA5"/>
    <w:rsid w:val="002D71C8"/>
    <w:rsid w:val="002D73AF"/>
    <w:rsid w:val="002D7991"/>
    <w:rsid w:val="002E034E"/>
    <w:rsid w:val="002E0DE5"/>
    <w:rsid w:val="002E0FDC"/>
    <w:rsid w:val="002E15BB"/>
    <w:rsid w:val="002E1889"/>
    <w:rsid w:val="002E1B0C"/>
    <w:rsid w:val="002E1EEE"/>
    <w:rsid w:val="002E21A2"/>
    <w:rsid w:val="002E260D"/>
    <w:rsid w:val="002E2D2D"/>
    <w:rsid w:val="002E3377"/>
    <w:rsid w:val="002E337E"/>
    <w:rsid w:val="002E34DB"/>
    <w:rsid w:val="002E3556"/>
    <w:rsid w:val="002E362A"/>
    <w:rsid w:val="002E39DD"/>
    <w:rsid w:val="002E3D2F"/>
    <w:rsid w:val="002E3D91"/>
    <w:rsid w:val="002E3E42"/>
    <w:rsid w:val="002E4089"/>
    <w:rsid w:val="002E48D1"/>
    <w:rsid w:val="002E4E22"/>
    <w:rsid w:val="002E516B"/>
    <w:rsid w:val="002E547E"/>
    <w:rsid w:val="002E5926"/>
    <w:rsid w:val="002E5F81"/>
    <w:rsid w:val="002E6399"/>
    <w:rsid w:val="002E67F9"/>
    <w:rsid w:val="002E6FCA"/>
    <w:rsid w:val="002E7143"/>
    <w:rsid w:val="002E7C9E"/>
    <w:rsid w:val="002E7D9F"/>
    <w:rsid w:val="002E7F6C"/>
    <w:rsid w:val="002F08BF"/>
    <w:rsid w:val="002F08E9"/>
    <w:rsid w:val="002F0D13"/>
    <w:rsid w:val="002F0E94"/>
    <w:rsid w:val="002F21A4"/>
    <w:rsid w:val="002F2A2E"/>
    <w:rsid w:val="002F358A"/>
    <w:rsid w:val="002F3A0E"/>
    <w:rsid w:val="002F3EE0"/>
    <w:rsid w:val="002F4911"/>
    <w:rsid w:val="002F4AC5"/>
    <w:rsid w:val="002F4FA5"/>
    <w:rsid w:val="002F5E4F"/>
    <w:rsid w:val="002F5F8C"/>
    <w:rsid w:val="002F6C82"/>
    <w:rsid w:val="002F6F1A"/>
    <w:rsid w:val="002F7283"/>
    <w:rsid w:val="002F7A93"/>
    <w:rsid w:val="003001FF"/>
    <w:rsid w:val="003003CF"/>
    <w:rsid w:val="003004A5"/>
    <w:rsid w:val="00300820"/>
    <w:rsid w:val="00300939"/>
    <w:rsid w:val="00300C5D"/>
    <w:rsid w:val="00300CA9"/>
    <w:rsid w:val="00301EAA"/>
    <w:rsid w:val="003021D7"/>
    <w:rsid w:val="0030234A"/>
    <w:rsid w:val="00302B35"/>
    <w:rsid w:val="00302D2C"/>
    <w:rsid w:val="00303046"/>
    <w:rsid w:val="00303089"/>
    <w:rsid w:val="00303159"/>
    <w:rsid w:val="00303334"/>
    <w:rsid w:val="00303359"/>
    <w:rsid w:val="00303637"/>
    <w:rsid w:val="00304461"/>
    <w:rsid w:val="003044B2"/>
    <w:rsid w:val="003057C6"/>
    <w:rsid w:val="00305E25"/>
    <w:rsid w:val="003065ED"/>
    <w:rsid w:val="003067A1"/>
    <w:rsid w:val="003069E7"/>
    <w:rsid w:val="003070AF"/>
    <w:rsid w:val="00310795"/>
    <w:rsid w:val="00310872"/>
    <w:rsid w:val="00310B72"/>
    <w:rsid w:val="003110DE"/>
    <w:rsid w:val="00311330"/>
    <w:rsid w:val="003114A4"/>
    <w:rsid w:val="00311532"/>
    <w:rsid w:val="00311EFA"/>
    <w:rsid w:val="00311F2B"/>
    <w:rsid w:val="0031266E"/>
    <w:rsid w:val="00312B9C"/>
    <w:rsid w:val="00312DE8"/>
    <w:rsid w:val="003130EB"/>
    <w:rsid w:val="00313322"/>
    <w:rsid w:val="00313C58"/>
    <w:rsid w:val="003143DA"/>
    <w:rsid w:val="003148CE"/>
    <w:rsid w:val="00314DA0"/>
    <w:rsid w:val="00314DAE"/>
    <w:rsid w:val="00315073"/>
    <w:rsid w:val="00315579"/>
    <w:rsid w:val="00315FD0"/>
    <w:rsid w:val="003160E0"/>
    <w:rsid w:val="003169A9"/>
    <w:rsid w:val="00316F3C"/>
    <w:rsid w:val="00317481"/>
    <w:rsid w:val="00320398"/>
    <w:rsid w:val="003208C4"/>
    <w:rsid w:val="00322411"/>
    <w:rsid w:val="003227BA"/>
    <w:rsid w:val="00322844"/>
    <w:rsid w:val="00322D5A"/>
    <w:rsid w:val="00323363"/>
    <w:rsid w:val="003235BD"/>
    <w:rsid w:val="00323E41"/>
    <w:rsid w:val="00323EE5"/>
    <w:rsid w:val="00324347"/>
    <w:rsid w:val="00324CB4"/>
    <w:rsid w:val="00324F76"/>
    <w:rsid w:val="003252A9"/>
    <w:rsid w:val="00325877"/>
    <w:rsid w:val="00325E58"/>
    <w:rsid w:val="0032688F"/>
    <w:rsid w:val="00326978"/>
    <w:rsid w:val="00327B73"/>
    <w:rsid w:val="00327F57"/>
    <w:rsid w:val="00330A8E"/>
    <w:rsid w:val="00330B62"/>
    <w:rsid w:val="00330D7F"/>
    <w:rsid w:val="003316DB"/>
    <w:rsid w:val="003317C7"/>
    <w:rsid w:val="00331D7D"/>
    <w:rsid w:val="00331FEE"/>
    <w:rsid w:val="00332239"/>
    <w:rsid w:val="00332274"/>
    <w:rsid w:val="003329DF"/>
    <w:rsid w:val="00333B8E"/>
    <w:rsid w:val="00334E26"/>
    <w:rsid w:val="00334EED"/>
    <w:rsid w:val="00335C6A"/>
    <w:rsid w:val="00336461"/>
    <w:rsid w:val="00336595"/>
    <w:rsid w:val="003369B4"/>
    <w:rsid w:val="003369D0"/>
    <w:rsid w:val="003370F9"/>
    <w:rsid w:val="00337981"/>
    <w:rsid w:val="0034080C"/>
    <w:rsid w:val="003410BB"/>
    <w:rsid w:val="0034166B"/>
    <w:rsid w:val="003416D5"/>
    <w:rsid w:val="00341A20"/>
    <w:rsid w:val="00341B19"/>
    <w:rsid w:val="00341FA1"/>
    <w:rsid w:val="003429AE"/>
    <w:rsid w:val="00342E28"/>
    <w:rsid w:val="00342E76"/>
    <w:rsid w:val="0034313B"/>
    <w:rsid w:val="0034371D"/>
    <w:rsid w:val="00343BB7"/>
    <w:rsid w:val="00343F4E"/>
    <w:rsid w:val="003440A1"/>
    <w:rsid w:val="003441E2"/>
    <w:rsid w:val="00344284"/>
    <w:rsid w:val="00344313"/>
    <w:rsid w:val="003446AC"/>
    <w:rsid w:val="0034478F"/>
    <w:rsid w:val="0034487F"/>
    <w:rsid w:val="00344913"/>
    <w:rsid w:val="00344BE1"/>
    <w:rsid w:val="003460CE"/>
    <w:rsid w:val="00346179"/>
    <w:rsid w:val="00346420"/>
    <w:rsid w:val="00346E17"/>
    <w:rsid w:val="00347FE4"/>
    <w:rsid w:val="00350012"/>
    <w:rsid w:val="00350174"/>
    <w:rsid w:val="00350241"/>
    <w:rsid w:val="00350980"/>
    <w:rsid w:val="00350DF6"/>
    <w:rsid w:val="00350EF3"/>
    <w:rsid w:val="0035101A"/>
    <w:rsid w:val="003510BC"/>
    <w:rsid w:val="003512F7"/>
    <w:rsid w:val="00351771"/>
    <w:rsid w:val="00351A37"/>
    <w:rsid w:val="00352134"/>
    <w:rsid w:val="003521AE"/>
    <w:rsid w:val="003529FD"/>
    <w:rsid w:val="00352E17"/>
    <w:rsid w:val="00352ECE"/>
    <w:rsid w:val="00352ED9"/>
    <w:rsid w:val="003533FB"/>
    <w:rsid w:val="00353671"/>
    <w:rsid w:val="0035400B"/>
    <w:rsid w:val="003548C2"/>
    <w:rsid w:val="0035496F"/>
    <w:rsid w:val="00354DE0"/>
    <w:rsid w:val="00355116"/>
    <w:rsid w:val="00355208"/>
    <w:rsid w:val="0035523B"/>
    <w:rsid w:val="0035553B"/>
    <w:rsid w:val="0035587D"/>
    <w:rsid w:val="0035595E"/>
    <w:rsid w:val="00356153"/>
    <w:rsid w:val="0035619D"/>
    <w:rsid w:val="00357648"/>
    <w:rsid w:val="003576F4"/>
    <w:rsid w:val="00357D61"/>
    <w:rsid w:val="00361FCF"/>
    <w:rsid w:val="0036234F"/>
    <w:rsid w:val="003626EF"/>
    <w:rsid w:val="00362DDC"/>
    <w:rsid w:val="00363ABD"/>
    <w:rsid w:val="003640E3"/>
    <w:rsid w:val="00364C1A"/>
    <w:rsid w:val="0036574B"/>
    <w:rsid w:val="00365E75"/>
    <w:rsid w:val="003668D5"/>
    <w:rsid w:val="00366928"/>
    <w:rsid w:val="00366B33"/>
    <w:rsid w:val="00366DD1"/>
    <w:rsid w:val="0036732D"/>
    <w:rsid w:val="00367662"/>
    <w:rsid w:val="00367D72"/>
    <w:rsid w:val="00370360"/>
    <w:rsid w:val="003707FD"/>
    <w:rsid w:val="00370DEF"/>
    <w:rsid w:val="0037177B"/>
    <w:rsid w:val="00371844"/>
    <w:rsid w:val="00373B3E"/>
    <w:rsid w:val="00374821"/>
    <w:rsid w:val="00374D02"/>
    <w:rsid w:val="00374E73"/>
    <w:rsid w:val="003751A1"/>
    <w:rsid w:val="00375749"/>
    <w:rsid w:val="00375954"/>
    <w:rsid w:val="00375AF7"/>
    <w:rsid w:val="00375F9B"/>
    <w:rsid w:val="0037606F"/>
    <w:rsid w:val="0037652B"/>
    <w:rsid w:val="00377020"/>
    <w:rsid w:val="00380241"/>
    <w:rsid w:val="00381095"/>
    <w:rsid w:val="003826E3"/>
    <w:rsid w:val="00382CDD"/>
    <w:rsid w:val="00382CF0"/>
    <w:rsid w:val="00382E13"/>
    <w:rsid w:val="00383774"/>
    <w:rsid w:val="00383ADD"/>
    <w:rsid w:val="0038411A"/>
    <w:rsid w:val="00384190"/>
    <w:rsid w:val="00384224"/>
    <w:rsid w:val="003844B9"/>
    <w:rsid w:val="00384ABF"/>
    <w:rsid w:val="00384AEB"/>
    <w:rsid w:val="0038500A"/>
    <w:rsid w:val="003851A7"/>
    <w:rsid w:val="00385355"/>
    <w:rsid w:val="00385508"/>
    <w:rsid w:val="003855B8"/>
    <w:rsid w:val="0038590A"/>
    <w:rsid w:val="00385E85"/>
    <w:rsid w:val="00385ED9"/>
    <w:rsid w:val="003904CE"/>
    <w:rsid w:val="00390BA3"/>
    <w:rsid w:val="003916EC"/>
    <w:rsid w:val="00391B68"/>
    <w:rsid w:val="0039279B"/>
    <w:rsid w:val="003927D0"/>
    <w:rsid w:val="00392B0C"/>
    <w:rsid w:val="00392E70"/>
    <w:rsid w:val="00393092"/>
    <w:rsid w:val="003933B3"/>
    <w:rsid w:val="0039352B"/>
    <w:rsid w:val="00393662"/>
    <w:rsid w:val="00393E2A"/>
    <w:rsid w:val="0039403B"/>
    <w:rsid w:val="003949EB"/>
    <w:rsid w:val="00394C1A"/>
    <w:rsid w:val="003950A2"/>
    <w:rsid w:val="0039530B"/>
    <w:rsid w:val="00395F9E"/>
    <w:rsid w:val="003969C6"/>
    <w:rsid w:val="00396C4D"/>
    <w:rsid w:val="00396CF7"/>
    <w:rsid w:val="003972B3"/>
    <w:rsid w:val="00397472"/>
    <w:rsid w:val="00397AF7"/>
    <w:rsid w:val="00397BB9"/>
    <w:rsid w:val="00397C3D"/>
    <w:rsid w:val="00397EAE"/>
    <w:rsid w:val="003A01F7"/>
    <w:rsid w:val="003A04A0"/>
    <w:rsid w:val="003A054A"/>
    <w:rsid w:val="003A055E"/>
    <w:rsid w:val="003A0C5D"/>
    <w:rsid w:val="003A1085"/>
    <w:rsid w:val="003A12DE"/>
    <w:rsid w:val="003A24F1"/>
    <w:rsid w:val="003A29B5"/>
    <w:rsid w:val="003A359A"/>
    <w:rsid w:val="003A3CFF"/>
    <w:rsid w:val="003A4665"/>
    <w:rsid w:val="003A4D43"/>
    <w:rsid w:val="003A5424"/>
    <w:rsid w:val="003A6656"/>
    <w:rsid w:val="003A68B5"/>
    <w:rsid w:val="003A6B02"/>
    <w:rsid w:val="003A7043"/>
    <w:rsid w:val="003B0F12"/>
    <w:rsid w:val="003B138B"/>
    <w:rsid w:val="003B141C"/>
    <w:rsid w:val="003B1979"/>
    <w:rsid w:val="003B1BCC"/>
    <w:rsid w:val="003B22D1"/>
    <w:rsid w:val="003B22DC"/>
    <w:rsid w:val="003B248D"/>
    <w:rsid w:val="003B2A27"/>
    <w:rsid w:val="003B2ACF"/>
    <w:rsid w:val="003B2E63"/>
    <w:rsid w:val="003B32DC"/>
    <w:rsid w:val="003B34EA"/>
    <w:rsid w:val="003B3A58"/>
    <w:rsid w:val="003B3B82"/>
    <w:rsid w:val="003B3E66"/>
    <w:rsid w:val="003B4234"/>
    <w:rsid w:val="003B423E"/>
    <w:rsid w:val="003B43A6"/>
    <w:rsid w:val="003B54C1"/>
    <w:rsid w:val="003B5545"/>
    <w:rsid w:val="003B5610"/>
    <w:rsid w:val="003B5ADB"/>
    <w:rsid w:val="003B781F"/>
    <w:rsid w:val="003B7E3C"/>
    <w:rsid w:val="003B7EBD"/>
    <w:rsid w:val="003B7F09"/>
    <w:rsid w:val="003C0404"/>
    <w:rsid w:val="003C0684"/>
    <w:rsid w:val="003C0793"/>
    <w:rsid w:val="003C0A41"/>
    <w:rsid w:val="003C0CF7"/>
    <w:rsid w:val="003C0D0C"/>
    <w:rsid w:val="003C16F4"/>
    <w:rsid w:val="003C18ED"/>
    <w:rsid w:val="003C21F7"/>
    <w:rsid w:val="003C28DC"/>
    <w:rsid w:val="003C2BD9"/>
    <w:rsid w:val="003C2F39"/>
    <w:rsid w:val="003C304F"/>
    <w:rsid w:val="003C33DE"/>
    <w:rsid w:val="003C3847"/>
    <w:rsid w:val="003C38C8"/>
    <w:rsid w:val="003C40D0"/>
    <w:rsid w:val="003C48F2"/>
    <w:rsid w:val="003C4980"/>
    <w:rsid w:val="003C4998"/>
    <w:rsid w:val="003C58F2"/>
    <w:rsid w:val="003C5DFC"/>
    <w:rsid w:val="003C5FE2"/>
    <w:rsid w:val="003C6221"/>
    <w:rsid w:val="003C6513"/>
    <w:rsid w:val="003C65E6"/>
    <w:rsid w:val="003C68BD"/>
    <w:rsid w:val="003C6B49"/>
    <w:rsid w:val="003C76D0"/>
    <w:rsid w:val="003D0322"/>
    <w:rsid w:val="003D0747"/>
    <w:rsid w:val="003D10BA"/>
    <w:rsid w:val="003D12DE"/>
    <w:rsid w:val="003D131B"/>
    <w:rsid w:val="003D13F9"/>
    <w:rsid w:val="003D1D34"/>
    <w:rsid w:val="003D2114"/>
    <w:rsid w:val="003D2324"/>
    <w:rsid w:val="003D23D7"/>
    <w:rsid w:val="003D2BBD"/>
    <w:rsid w:val="003D2EE8"/>
    <w:rsid w:val="003D2EF9"/>
    <w:rsid w:val="003D32CB"/>
    <w:rsid w:val="003D3C77"/>
    <w:rsid w:val="003D3FD1"/>
    <w:rsid w:val="003D4153"/>
    <w:rsid w:val="003D4388"/>
    <w:rsid w:val="003D473F"/>
    <w:rsid w:val="003D4E46"/>
    <w:rsid w:val="003D5828"/>
    <w:rsid w:val="003D5ACD"/>
    <w:rsid w:val="003D6050"/>
    <w:rsid w:val="003D6548"/>
    <w:rsid w:val="003D6697"/>
    <w:rsid w:val="003D6859"/>
    <w:rsid w:val="003D6946"/>
    <w:rsid w:val="003D6BE7"/>
    <w:rsid w:val="003D6F78"/>
    <w:rsid w:val="003D7473"/>
    <w:rsid w:val="003D7A9B"/>
    <w:rsid w:val="003D7BDA"/>
    <w:rsid w:val="003E0149"/>
    <w:rsid w:val="003E04BB"/>
    <w:rsid w:val="003E0958"/>
    <w:rsid w:val="003E0FF7"/>
    <w:rsid w:val="003E1B17"/>
    <w:rsid w:val="003E1C01"/>
    <w:rsid w:val="003E1C2B"/>
    <w:rsid w:val="003E26CC"/>
    <w:rsid w:val="003E2F35"/>
    <w:rsid w:val="003E3497"/>
    <w:rsid w:val="003E3834"/>
    <w:rsid w:val="003E3FD2"/>
    <w:rsid w:val="003E40F7"/>
    <w:rsid w:val="003E47A9"/>
    <w:rsid w:val="003E4C69"/>
    <w:rsid w:val="003E57F1"/>
    <w:rsid w:val="003E581F"/>
    <w:rsid w:val="003E5A90"/>
    <w:rsid w:val="003E5D0A"/>
    <w:rsid w:val="003E7412"/>
    <w:rsid w:val="003E75C3"/>
    <w:rsid w:val="003E7ECD"/>
    <w:rsid w:val="003F0F60"/>
    <w:rsid w:val="003F12D0"/>
    <w:rsid w:val="003F1388"/>
    <w:rsid w:val="003F15B9"/>
    <w:rsid w:val="003F1D5E"/>
    <w:rsid w:val="003F1F0C"/>
    <w:rsid w:val="003F200F"/>
    <w:rsid w:val="003F351C"/>
    <w:rsid w:val="003F3659"/>
    <w:rsid w:val="003F3782"/>
    <w:rsid w:val="003F3BE8"/>
    <w:rsid w:val="003F3E21"/>
    <w:rsid w:val="003F4D63"/>
    <w:rsid w:val="003F5E46"/>
    <w:rsid w:val="003F5E75"/>
    <w:rsid w:val="003F5E88"/>
    <w:rsid w:val="003F5F83"/>
    <w:rsid w:val="003F6332"/>
    <w:rsid w:val="003F66A2"/>
    <w:rsid w:val="003F6C3D"/>
    <w:rsid w:val="003F6DEC"/>
    <w:rsid w:val="003F6F90"/>
    <w:rsid w:val="003F74FF"/>
    <w:rsid w:val="003F7A2D"/>
    <w:rsid w:val="004001D5"/>
    <w:rsid w:val="004002AE"/>
    <w:rsid w:val="00400385"/>
    <w:rsid w:val="0040064B"/>
    <w:rsid w:val="00400995"/>
    <w:rsid w:val="00400DCA"/>
    <w:rsid w:val="0040195C"/>
    <w:rsid w:val="00402118"/>
    <w:rsid w:val="00402352"/>
    <w:rsid w:val="00402A87"/>
    <w:rsid w:val="00402E91"/>
    <w:rsid w:val="00402F65"/>
    <w:rsid w:val="00403134"/>
    <w:rsid w:val="004038B4"/>
    <w:rsid w:val="00403F20"/>
    <w:rsid w:val="00404452"/>
    <w:rsid w:val="00404E86"/>
    <w:rsid w:val="004051CE"/>
    <w:rsid w:val="004053FA"/>
    <w:rsid w:val="004057ED"/>
    <w:rsid w:val="00405EB4"/>
    <w:rsid w:val="0040640B"/>
    <w:rsid w:val="0040645A"/>
    <w:rsid w:val="00407AB5"/>
    <w:rsid w:val="00407BB4"/>
    <w:rsid w:val="0041088B"/>
    <w:rsid w:val="004116B4"/>
    <w:rsid w:val="004120B2"/>
    <w:rsid w:val="004124FB"/>
    <w:rsid w:val="00412895"/>
    <w:rsid w:val="00412AF9"/>
    <w:rsid w:val="00412DB2"/>
    <w:rsid w:val="00413A8E"/>
    <w:rsid w:val="00413F85"/>
    <w:rsid w:val="00414044"/>
    <w:rsid w:val="00414490"/>
    <w:rsid w:val="0041458F"/>
    <w:rsid w:val="00414E27"/>
    <w:rsid w:val="00414FE3"/>
    <w:rsid w:val="0041564B"/>
    <w:rsid w:val="00415B74"/>
    <w:rsid w:val="00415E0C"/>
    <w:rsid w:val="00415EBC"/>
    <w:rsid w:val="00416274"/>
    <w:rsid w:val="00416818"/>
    <w:rsid w:val="00416888"/>
    <w:rsid w:val="004169B9"/>
    <w:rsid w:val="00416B46"/>
    <w:rsid w:val="00417A0D"/>
    <w:rsid w:val="00417BB1"/>
    <w:rsid w:val="00420052"/>
    <w:rsid w:val="004211E0"/>
    <w:rsid w:val="00421DE4"/>
    <w:rsid w:val="00422166"/>
    <w:rsid w:val="004223DB"/>
    <w:rsid w:val="00422812"/>
    <w:rsid w:val="00422CA4"/>
    <w:rsid w:val="004235E4"/>
    <w:rsid w:val="00423768"/>
    <w:rsid w:val="00423C37"/>
    <w:rsid w:val="00423CF8"/>
    <w:rsid w:val="00423D65"/>
    <w:rsid w:val="004246AB"/>
    <w:rsid w:val="00424771"/>
    <w:rsid w:val="004247D2"/>
    <w:rsid w:val="00424D30"/>
    <w:rsid w:val="0042507F"/>
    <w:rsid w:val="00425898"/>
    <w:rsid w:val="00425AA8"/>
    <w:rsid w:val="00425F38"/>
    <w:rsid w:val="00426176"/>
    <w:rsid w:val="004262ED"/>
    <w:rsid w:val="004276F3"/>
    <w:rsid w:val="00427D7B"/>
    <w:rsid w:val="00430561"/>
    <w:rsid w:val="00430933"/>
    <w:rsid w:val="00430D3B"/>
    <w:rsid w:val="00430D72"/>
    <w:rsid w:val="00431480"/>
    <w:rsid w:val="004314E1"/>
    <w:rsid w:val="00431C60"/>
    <w:rsid w:val="00431F97"/>
    <w:rsid w:val="00432560"/>
    <w:rsid w:val="0043261C"/>
    <w:rsid w:val="00432623"/>
    <w:rsid w:val="004329F4"/>
    <w:rsid w:val="00432F32"/>
    <w:rsid w:val="00433123"/>
    <w:rsid w:val="0043392B"/>
    <w:rsid w:val="00434003"/>
    <w:rsid w:val="00434062"/>
    <w:rsid w:val="0043419B"/>
    <w:rsid w:val="0043458F"/>
    <w:rsid w:val="004352EC"/>
    <w:rsid w:val="00435386"/>
    <w:rsid w:val="00435955"/>
    <w:rsid w:val="00435E52"/>
    <w:rsid w:val="00435EB6"/>
    <w:rsid w:val="00436424"/>
    <w:rsid w:val="0043690A"/>
    <w:rsid w:val="00437714"/>
    <w:rsid w:val="00440056"/>
    <w:rsid w:val="004405FD"/>
    <w:rsid w:val="00440C54"/>
    <w:rsid w:val="00441901"/>
    <w:rsid w:val="0044211A"/>
    <w:rsid w:val="0044218B"/>
    <w:rsid w:val="00442242"/>
    <w:rsid w:val="00442D4C"/>
    <w:rsid w:val="0044367F"/>
    <w:rsid w:val="0044413A"/>
    <w:rsid w:val="0044461E"/>
    <w:rsid w:val="00444AB9"/>
    <w:rsid w:val="00444B49"/>
    <w:rsid w:val="0044500B"/>
    <w:rsid w:val="0044513B"/>
    <w:rsid w:val="0044568F"/>
    <w:rsid w:val="00445711"/>
    <w:rsid w:val="00445938"/>
    <w:rsid w:val="00445FDA"/>
    <w:rsid w:val="004461BD"/>
    <w:rsid w:val="004467A9"/>
    <w:rsid w:val="00447121"/>
    <w:rsid w:val="004476D7"/>
    <w:rsid w:val="0045116F"/>
    <w:rsid w:val="00451282"/>
    <w:rsid w:val="004513AF"/>
    <w:rsid w:val="0045181A"/>
    <w:rsid w:val="00452067"/>
    <w:rsid w:val="004522AF"/>
    <w:rsid w:val="004523BA"/>
    <w:rsid w:val="00452475"/>
    <w:rsid w:val="00452541"/>
    <w:rsid w:val="00452CD5"/>
    <w:rsid w:val="00452F41"/>
    <w:rsid w:val="00453184"/>
    <w:rsid w:val="0045399D"/>
    <w:rsid w:val="00453EB0"/>
    <w:rsid w:val="0045414A"/>
    <w:rsid w:val="0045414D"/>
    <w:rsid w:val="004542A9"/>
    <w:rsid w:val="00454E25"/>
    <w:rsid w:val="004551F7"/>
    <w:rsid w:val="00455217"/>
    <w:rsid w:val="0045538F"/>
    <w:rsid w:val="0045561A"/>
    <w:rsid w:val="00455D9E"/>
    <w:rsid w:val="00455DAB"/>
    <w:rsid w:val="004568AD"/>
    <w:rsid w:val="00456CC6"/>
    <w:rsid w:val="0045730D"/>
    <w:rsid w:val="004574F4"/>
    <w:rsid w:val="0045784F"/>
    <w:rsid w:val="00457C24"/>
    <w:rsid w:val="00457DA6"/>
    <w:rsid w:val="00457EE5"/>
    <w:rsid w:val="004606FC"/>
    <w:rsid w:val="00460B58"/>
    <w:rsid w:val="00460C13"/>
    <w:rsid w:val="00460F10"/>
    <w:rsid w:val="00461514"/>
    <w:rsid w:val="00461BB1"/>
    <w:rsid w:val="0046319B"/>
    <w:rsid w:val="004632A9"/>
    <w:rsid w:val="0046396E"/>
    <w:rsid w:val="00463C8E"/>
    <w:rsid w:val="00463EE4"/>
    <w:rsid w:val="004641C2"/>
    <w:rsid w:val="004643CC"/>
    <w:rsid w:val="00464462"/>
    <w:rsid w:val="004645EA"/>
    <w:rsid w:val="004647B9"/>
    <w:rsid w:val="004649A2"/>
    <w:rsid w:val="00464D85"/>
    <w:rsid w:val="00464EA9"/>
    <w:rsid w:val="004651DA"/>
    <w:rsid w:val="00465A31"/>
    <w:rsid w:val="00465C8F"/>
    <w:rsid w:val="00465DBF"/>
    <w:rsid w:val="00465E8E"/>
    <w:rsid w:val="00465EA2"/>
    <w:rsid w:val="00465F7A"/>
    <w:rsid w:val="0046608F"/>
    <w:rsid w:val="004661DE"/>
    <w:rsid w:val="00466451"/>
    <w:rsid w:val="004666DC"/>
    <w:rsid w:val="00466765"/>
    <w:rsid w:val="004667AE"/>
    <w:rsid w:val="00466A93"/>
    <w:rsid w:val="00466EE5"/>
    <w:rsid w:val="0046708E"/>
    <w:rsid w:val="00467801"/>
    <w:rsid w:val="00467AB1"/>
    <w:rsid w:val="00467BDE"/>
    <w:rsid w:val="00467F15"/>
    <w:rsid w:val="00467F23"/>
    <w:rsid w:val="00470678"/>
    <w:rsid w:val="00470B29"/>
    <w:rsid w:val="00470F73"/>
    <w:rsid w:val="00471007"/>
    <w:rsid w:val="00471044"/>
    <w:rsid w:val="00471392"/>
    <w:rsid w:val="00472334"/>
    <w:rsid w:val="00472AE6"/>
    <w:rsid w:val="00472CFD"/>
    <w:rsid w:val="00472E3A"/>
    <w:rsid w:val="00473C2F"/>
    <w:rsid w:val="0047417B"/>
    <w:rsid w:val="0047461D"/>
    <w:rsid w:val="0047491C"/>
    <w:rsid w:val="004753F9"/>
    <w:rsid w:val="00475BF7"/>
    <w:rsid w:val="00475C04"/>
    <w:rsid w:val="00475EC1"/>
    <w:rsid w:val="00476857"/>
    <w:rsid w:val="00476878"/>
    <w:rsid w:val="00476C23"/>
    <w:rsid w:val="004771A4"/>
    <w:rsid w:val="00477628"/>
    <w:rsid w:val="00477832"/>
    <w:rsid w:val="00477E19"/>
    <w:rsid w:val="004807D8"/>
    <w:rsid w:val="0048088A"/>
    <w:rsid w:val="00480A2F"/>
    <w:rsid w:val="004816A1"/>
    <w:rsid w:val="004822DD"/>
    <w:rsid w:val="004823F2"/>
    <w:rsid w:val="00482558"/>
    <w:rsid w:val="004826BB"/>
    <w:rsid w:val="00482C20"/>
    <w:rsid w:val="004832D6"/>
    <w:rsid w:val="004837BF"/>
    <w:rsid w:val="00483A10"/>
    <w:rsid w:val="0048425F"/>
    <w:rsid w:val="00484437"/>
    <w:rsid w:val="00485494"/>
    <w:rsid w:val="00485B7E"/>
    <w:rsid w:val="00485EB6"/>
    <w:rsid w:val="00486080"/>
    <w:rsid w:val="00486397"/>
    <w:rsid w:val="00487177"/>
    <w:rsid w:val="0048742B"/>
    <w:rsid w:val="004878F8"/>
    <w:rsid w:val="00487B08"/>
    <w:rsid w:val="00487E19"/>
    <w:rsid w:val="00487F00"/>
    <w:rsid w:val="00490103"/>
    <w:rsid w:val="00490366"/>
    <w:rsid w:val="004908F8"/>
    <w:rsid w:val="0049109B"/>
    <w:rsid w:val="004913DB"/>
    <w:rsid w:val="004921B3"/>
    <w:rsid w:val="0049330A"/>
    <w:rsid w:val="00493636"/>
    <w:rsid w:val="004937DB"/>
    <w:rsid w:val="00493ABE"/>
    <w:rsid w:val="00493B94"/>
    <w:rsid w:val="00493FD2"/>
    <w:rsid w:val="00494118"/>
    <w:rsid w:val="00494405"/>
    <w:rsid w:val="004944D2"/>
    <w:rsid w:val="004945B8"/>
    <w:rsid w:val="00494E1C"/>
    <w:rsid w:val="00494FFA"/>
    <w:rsid w:val="004955CB"/>
    <w:rsid w:val="004956B3"/>
    <w:rsid w:val="0049580A"/>
    <w:rsid w:val="00495AA6"/>
    <w:rsid w:val="00496014"/>
    <w:rsid w:val="0049630F"/>
    <w:rsid w:val="00496350"/>
    <w:rsid w:val="00496417"/>
    <w:rsid w:val="0049642F"/>
    <w:rsid w:val="004965BB"/>
    <w:rsid w:val="0049733D"/>
    <w:rsid w:val="00497370"/>
    <w:rsid w:val="00497544"/>
    <w:rsid w:val="004975B6"/>
    <w:rsid w:val="00497761"/>
    <w:rsid w:val="00497B9E"/>
    <w:rsid w:val="00497DA0"/>
    <w:rsid w:val="004A0416"/>
    <w:rsid w:val="004A04A2"/>
    <w:rsid w:val="004A0DCA"/>
    <w:rsid w:val="004A129A"/>
    <w:rsid w:val="004A1CF0"/>
    <w:rsid w:val="004A1E1F"/>
    <w:rsid w:val="004A1E36"/>
    <w:rsid w:val="004A1F55"/>
    <w:rsid w:val="004A1F8A"/>
    <w:rsid w:val="004A27ED"/>
    <w:rsid w:val="004A280E"/>
    <w:rsid w:val="004A2930"/>
    <w:rsid w:val="004A2AD3"/>
    <w:rsid w:val="004A358B"/>
    <w:rsid w:val="004A3A2C"/>
    <w:rsid w:val="004A468A"/>
    <w:rsid w:val="004A46E5"/>
    <w:rsid w:val="004A49AD"/>
    <w:rsid w:val="004A677B"/>
    <w:rsid w:val="004A67E7"/>
    <w:rsid w:val="004A6C86"/>
    <w:rsid w:val="004A7230"/>
    <w:rsid w:val="004A7441"/>
    <w:rsid w:val="004A78C5"/>
    <w:rsid w:val="004A7FCB"/>
    <w:rsid w:val="004B02C1"/>
    <w:rsid w:val="004B082F"/>
    <w:rsid w:val="004B0A3D"/>
    <w:rsid w:val="004B0B5C"/>
    <w:rsid w:val="004B1216"/>
    <w:rsid w:val="004B1E13"/>
    <w:rsid w:val="004B274B"/>
    <w:rsid w:val="004B35B5"/>
    <w:rsid w:val="004B37BA"/>
    <w:rsid w:val="004B3A9B"/>
    <w:rsid w:val="004B3CB2"/>
    <w:rsid w:val="004B3EF4"/>
    <w:rsid w:val="004B41FA"/>
    <w:rsid w:val="004B447C"/>
    <w:rsid w:val="004B4910"/>
    <w:rsid w:val="004B4B1F"/>
    <w:rsid w:val="004B5844"/>
    <w:rsid w:val="004B5AA9"/>
    <w:rsid w:val="004B67EB"/>
    <w:rsid w:val="004B6953"/>
    <w:rsid w:val="004B69DA"/>
    <w:rsid w:val="004B6C6D"/>
    <w:rsid w:val="004B7322"/>
    <w:rsid w:val="004B7732"/>
    <w:rsid w:val="004C0268"/>
    <w:rsid w:val="004C0B82"/>
    <w:rsid w:val="004C0E3A"/>
    <w:rsid w:val="004C15B8"/>
    <w:rsid w:val="004C1CEA"/>
    <w:rsid w:val="004C2FB9"/>
    <w:rsid w:val="004C3436"/>
    <w:rsid w:val="004C3A7A"/>
    <w:rsid w:val="004C3BF7"/>
    <w:rsid w:val="004C44DC"/>
    <w:rsid w:val="004C4686"/>
    <w:rsid w:val="004C49EB"/>
    <w:rsid w:val="004C4A65"/>
    <w:rsid w:val="004C4AC0"/>
    <w:rsid w:val="004C4D88"/>
    <w:rsid w:val="004C5393"/>
    <w:rsid w:val="004C5CCE"/>
    <w:rsid w:val="004C65E6"/>
    <w:rsid w:val="004C69F2"/>
    <w:rsid w:val="004D032A"/>
    <w:rsid w:val="004D0777"/>
    <w:rsid w:val="004D07F5"/>
    <w:rsid w:val="004D090B"/>
    <w:rsid w:val="004D092B"/>
    <w:rsid w:val="004D0AA3"/>
    <w:rsid w:val="004D0E53"/>
    <w:rsid w:val="004D1E7B"/>
    <w:rsid w:val="004D2439"/>
    <w:rsid w:val="004D259E"/>
    <w:rsid w:val="004D29D4"/>
    <w:rsid w:val="004D2DB0"/>
    <w:rsid w:val="004D387C"/>
    <w:rsid w:val="004D3CD0"/>
    <w:rsid w:val="004D3FD4"/>
    <w:rsid w:val="004D42AE"/>
    <w:rsid w:val="004D4396"/>
    <w:rsid w:val="004D45B1"/>
    <w:rsid w:val="004D4C1D"/>
    <w:rsid w:val="004D4ED0"/>
    <w:rsid w:val="004D4EF1"/>
    <w:rsid w:val="004D4F7A"/>
    <w:rsid w:val="004D501E"/>
    <w:rsid w:val="004D5306"/>
    <w:rsid w:val="004D53FC"/>
    <w:rsid w:val="004D5510"/>
    <w:rsid w:val="004D59BC"/>
    <w:rsid w:val="004D59E2"/>
    <w:rsid w:val="004D60D7"/>
    <w:rsid w:val="004D6431"/>
    <w:rsid w:val="004D684F"/>
    <w:rsid w:val="004D69EF"/>
    <w:rsid w:val="004D6AC7"/>
    <w:rsid w:val="004D7B4A"/>
    <w:rsid w:val="004E05A8"/>
    <w:rsid w:val="004E1EDA"/>
    <w:rsid w:val="004E2072"/>
    <w:rsid w:val="004E23F0"/>
    <w:rsid w:val="004E23F5"/>
    <w:rsid w:val="004E2A28"/>
    <w:rsid w:val="004E2BF8"/>
    <w:rsid w:val="004E301D"/>
    <w:rsid w:val="004E3140"/>
    <w:rsid w:val="004E3F4E"/>
    <w:rsid w:val="004E442D"/>
    <w:rsid w:val="004E4C51"/>
    <w:rsid w:val="004E5104"/>
    <w:rsid w:val="004E5789"/>
    <w:rsid w:val="004E59AD"/>
    <w:rsid w:val="004E5CEC"/>
    <w:rsid w:val="004E6A00"/>
    <w:rsid w:val="004E75AE"/>
    <w:rsid w:val="004E772B"/>
    <w:rsid w:val="004E7FE6"/>
    <w:rsid w:val="004F01AB"/>
    <w:rsid w:val="004F025C"/>
    <w:rsid w:val="004F06B5"/>
    <w:rsid w:val="004F0A88"/>
    <w:rsid w:val="004F0E0D"/>
    <w:rsid w:val="004F146F"/>
    <w:rsid w:val="004F14C1"/>
    <w:rsid w:val="004F1E01"/>
    <w:rsid w:val="004F1FD3"/>
    <w:rsid w:val="004F24D3"/>
    <w:rsid w:val="004F25FC"/>
    <w:rsid w:val="004F2A0E"/>
    <w:rsid w:val="004F2BF6"/>
    <w:rsid w:val="004F3C31"/>
    <w:rsid w:val="004F4BD9"/>
    <w:rsid w:val="004F4BEA"/>
    <w:rsid w:val="004F4CCE"/>
    <w:rsid w:val="004F501A"/>
    <w:rsid w:val="004F5AD4"/>
    <w:rsid w:val="004F7085"/>
    <w:rsid w:val="005002AE"/>
    <w:rsid w:val="00500725"/>
    <w:rsid w:val="00500A61"/>
    <w:rsid w:val="00500D9A"/>
    <w:rsid w:val="00500F63"/>
    <w:rsid w:val="005013C1"/>
    <w:rsid w:val="00501978"/>
    <w:rsid w:val="00501BDD"/>
    <w:rsid w:val="00501DCB"/>
    <w:rsid w:val="005022AE"/>
    <w:rsid w:val="00502B21"/>
    <w:rsid w:val="0050310A"/>
    <w:rsid w:val="0050324E"/>
    <w:rsid w:val="00503405"/>
    <w:rsid w:val="0050372C"/>
    <w:rsid w:val="00503E80"/>
    <w:rsid w:val="00504819"/>
    <w:rsid w:val="00504936"/>
    <w:rsid w:val="00504A70"/>
    <w:rsid w:val="00504F78"/>
    <w:rsid w:val="0050527E"/>
    <w:rsid w:val="005058AF"/>
    <w:rsid w:val="00505ABF"/>
    <w:rsid w:val="00505E06"/>
    <w:rsid w:val="0050626F"/>
    <w:rsid w:val="0050742D"/>
    <w:rsid w:val="00510284"/>
    <w:rsid w:val="00510964"/>
    <w:rsid w:val="00510C8D"/>
    <w:rsid w:val="0051172F"/>
    <w:rsid w:val="00511CC9"/>
    <w:rsid w:val="0051201A"/>
    <w:rsid w:val="0051231A"/>
    <w:rsid w:val="00512CA0"/>
    <w:rsid w:val="00512D77"/>
    <w:rsid w:val="005130AE"/>
    <w:rsid w:val="005132C6"/>
    <w:rsid w:val="005135B2"/>
    <w:rsid w:val="0051368D"/>
    <w:rsid w:val="00513704"/>
    <w:rsid w:val="00513969"/>
    <w:rsid w:val="00513D19"/>
    <w:rsid w:val="00513E58"/>
    <w:rsid w:val="005141D8"/>
    <w:rsid w:val="00515078"/>
    <w:rsid w:val="00515CC4"/>
    <w:rsid w:val="00515DE9"/>
    <w:rsid w:val="005165FE"/>
    <w:rsid w:val="00516754"/>
    <w:rsid w:val="005168DF"/>
    <w:rsid w:val="00516C4C"/>
    <w:rsid w:val="00516F1A"/>
    <w:rsid w:val="005179D8"/>
    <w:rsid w:val="00517A52"/>
    <w:rsid w:val="00520AC7"/>
    <w:rsid w:val="00520B78"/>
    <w:rsid w:val="00520DEB"/>
    <w:rsid w:val="00521382"/>
    <w:rsid w:val="00521443"/>
    <w:rsid w:val="00521613"/>
    <w:rsid w:val="00521B24"/>
    <w:rsid w:val="00521BDA"/>
    <w:rsid w:val="00522177"/>
    <w:rsid w:val="005224D1"/>
    <w:rsid w:val="00522AC3"/>
    <w:rsid w:val="00523073"/>
    <w:rsid w:val="005230EF"/>
    <w:rsid w:val="0052395D"/>
    <w:rsid w:val="005239A3"/>
    <w:rsid w:val="00523EC6"/>
    <w:rsid w:val="0052406B"/>
    <w:rsid w:val="00524075"/>
    <w:rsid w:val="00524103"/>
    <w:rsid w:val="00524271"/>
    <w:rsid w:val="00524844"/>
    <w:rsid w:val="00524F9D"/>
    <w:rsid w:val="0052505B"/>
    <w:rsid w:val="005253C2"/>
    <w:rsid w:val="0052671C"/>
    <w:rsid w:val="00527014"/>
    <w:rsid w:val="0052734F"/>
    <w:rsid w:val="005273A3"/>
    <w:rsid w:val="005301DA"/>
    <w:rsid w:val="00531150"/>
    <w:rsid w:val="00532712"/>
    <w:rsid w:val="00532A9E"/>
    <w:rsid w:val="005332F1"/>
    <w:rsid w:val="0053371E"/>
    <w:rsid w:val="00533D53"/>
    <w:rsid w:val="0053415B"/>
    <w:rsid w:val="00534BE3"/>
    <w:rsid w:val="00534F62"/>
    <w:rsid w:val="005350BC"/>
    <w:rsid w:val="00535A0F"/>
    <w:rsid w:val="00536924"/>
    <w:rsid w:val="00536BD3"/>
    <w:rsid w:val="00536D85"/>
    <w:rsid w:val="005374F5"/>
    <w:rsid w:val="0054050C"/>
    <w:rsid w:val="00540661"/>
    <w:rsid w:val="00540867"/>
    <w:rsid w:val="00541289"/>
    <w:rsid w:val="00541572"/>
    <w:rsid w:val="00541C65"/>
    <w:rsid w:val="00542222"/>
    <w:rsid w:val="0054224C"/>
    <w:rsid w:val="005427C0"/>
    <w:rsid w:val="005429E9"/>
    <w:rsid w:val="00543694"/>
    <w:rsid w:val="005437DD"/>
    <w:rsid w:val="00543FEF"/>
    <w:rsid w:val="0054452F"/>
    <w:rsid w:val="00544721"/>
    <w:rsid w:val="005448A1"/>
    <w:rsid w:val="00544C9C"/>
    <w:rsid w:val="00544DE9"/>
    <w:rsid w:val="00545144"/>
    <w:rsid w:val="00545471"/>
    <w:rsid w:val="005454EA"/>
    <w:rsid w:val="005455D4"/>
    <w:rsid w:val="00545753"/>
    <w:rsid w:val="00545AF2"/>
    <w:rsid w:val="00545BE1"/>
    <w:rsid w:val="005461A5"/>
    <w:rsid w:val="0054689B"/>
    <w:rsid w:val="005468DD"/>
    <w:rsid w:val="0055023C"/>
    <w:rsid w:val="00550350"/>
    <w:rsid w:val="00550618"/>
    <w:rsid w:val="00550E83"/>
    <w:rsid w:val="00550FA4"/>
    <w:rsid w:val="005515A0"/>
    <w:rsid w:val="00551621"/>
    <w:rsid w:val="00551AFE"/>
    <w:rsid w:val="00551CD7"/>
    <w:rsid w:val="00551F9C"/>
    <w:rsid w:val="00551FC9"/>
    <w:rsid w:val="0055218F"/>
    <w:rsid w:val="005525B1"/>
    <w:rsid w:val="00552E3E"/>
    <w:rsid w:val="0055312D"/>
    <w:rsid w:val="005532EC"/>
    <w:rsid w:val="00553616"/>
    <w:rsid w:val="005537D3"/>
    <w:rsid w:val="00553A60"/>
    <w:rsid w:val="00553AFD"/>
    <w:rsid w:val="005543C0"/>
    <w:rsid w:val="0055465B"/>
    <w:rsid w:val="00554691"/>
    <w:rsid w:val="00554861"/>
    <w:rsid w:val="005548AD"/>
    <w:rsid w:val="00554DE3"/>
    <w:rsid w:val="00555E64"/>
    <w:rsid w:val="00556008"/>
    <w:rsid w:val="0055613D"/>
    <w:rsid w:val="005561E3"/>
    <w:rsid w:val="005562E5"/>
    <w:rsid w:val="0055722B"/>
    <w:rsid w:val="00557266"/>
    <w:rsid w:val="0055760C"/>
    <w:rsid w:val="00557DDF"/>
    <w:rsid w:val="00560137"/>
    <w:rsid w:val="00560C11"/>
    <w:rsid w:val="005611C3"/>
    <w:rsid w:val="0056150B"/>
    <w:rsid w:val="00561B6B"/>
    <w:rsid w:val="005622B6"/>
    <w:rsid w:val="00562BC5"/>
    <w:rsid w:val="00562C66"/>
    <w:rsid w:val="00563013"/>
    <w:rsid w:val="00563A54"/>
    <w:rsid w:val="00563AB6"/>
    <w:rsid w:val="00563BA5"/>
    <w:rsid w:val="00564094"/>
    <w:rsid w:val="005642A6"/>
    <w:rsid w:val="00564828"/>
    <w:rsid w:val="00565AC7"/>
    <w:rsid w:val="00565D42"/>
    <w:rsid w:val="00565DE4"/>
    <w:rsid w:val="00565FBD"/>
    <w:rsid w:val="005661BF"/>
    <w:rsid w:val="00566487"/>
    <w:rsid w:val="0056673B"/>
    <w:rsid w:val="00566955"/>
    <w:rsid w:val="00566E18"/>
    <w:rsid w:val="005671B5"/>
    <w:rsid w:val="005674FE"/>
    <w:rsid w:val="00567D29"/>
    <w:rsid w:val="00570788"/>
    <w:rsid w:val="00570F60"/>
    <w:rsid w:val="00571A6C"/>
    <w:rsid w:val="0057218D"/>
    <w:rsid w:val="00572EAE"/>
    <w:rsid w:val="00573056"/>
    <w:rsid w:val="00574B30"/>
    <w:rsid w:val="00574FE7"/>
    <w:rsid w:val="00575110"/>
    <w:rsid w:val="0057540C"/>
    <w:rsid w:val="005757BF"/>
    <w:rsid w:val="00575A35"/>
    <w:rsid w:val="00576EEB"/>
    <w:rsid w:val="00577194"/>
    <w:rsid w:val="005776E1"/>
    <w:rsid w:val="00577CA6"/>
    <w:rsid w:val="00577CB7"/>
    <w:rsid w:val="00577DCE"/>
    <w:rsid w:val="00577FC9"/>
    <w:rsid w:val="005800EF"/>
    <w:rsid w:val="00580665"/>
    <w:rsid w:val="005806C5"/>
    <w:rsid w:val="005806FB"/>
    <w:rsid w:val="00580975"/>
    <w:rsid w:val="00580AE3"/>
    <w:rsid w:val="00580AF8"/>
    <w:rsid w:val="00580CD4"/>
    <w:rsid w:val="00581078"/>
    <w:rsid w:val="0058132B"/>
    <w:rsid w:val="0058145B"/>
    <w:rsid w:val="00581D61"/>
    <w:rsid w:val="005823FD"/>
    <w:rsid w:val="0058242F"/>
    <w:rsid w:val="005825F5"/>
    <w:rsid w:val="0058274D"/>
    <w:rsid w:val="00582AE3"/>
    <w:rsid w:val="00582EF9"/>
    <w:rsid w:val="00583405"/>
    <w:rsid w:val="005835B9"/>
    <w:rsid w:val="005839C2"/>
    <w:rsid w:val="0058464A"/>
    <w:rsid w:val="00584957"/>
    <w:rsid w:val="00584FA1"/>
    <w:rsid w:val="00585992"/>
    <w:rsid w:val="00585ADD"/>
    <w:rsid w:val="00585E14"/>
    <w:rsid w:val="0058607E"/>
    <w:rsid w:val="00586C1D"/>
    <w:rsid w:val="00587613"/>
    <w:rsid w:val="00587A8F"/>
    <w:rsid w:val="005901FE"/>
    <w:rsid w:val="00590258"/>
    <w:rsid w:val="00590E68"/>
    <w:rsid w:val="00591908"/>
    <w:rsid w:val="00591BA2"/>
    <w:rsid w:val="00591DD4"/>
    <w:rsid w:val="005932F9"/>
    <w:rsid w:val="0059347E"/>
    <w:rsid w:val="005942CD"/>
    <w:rsid w:val="0059489A"/>
    <w:rsid w:val="00594D42"/>
    <w:rsid w:val="00595591"/>
    <w:rsid w:val="0059577A"/>
    <w:rsid w:val="00595E27"/>
    <w:rsid w:val="00595FD8"/>
    <w:rsid w:val="00596EDC"/>
    <w:rsid w:val="0059720F"/>
    <w:rsid w:val="00597389"/>
    <w:rsid w:val="00597779"/>
    <w:rsid w:val="0059784E"/>
    <w:rsid w:val="00597B84"/>
    <w:rsid w:val="00597CE5"/>
    <w:rsid w:val="005A004C"/>
    <w:rsid w:val="005A00FA"/>
    <w:rsid w:val="005A09CA"/>
    <w:rsid w:val="005A17EA"/>
    <w:rsid w:val="005A1AAB"/>
    <w:rsid w:val="005A2A7E"/>
    <w:rsid w:val="005A2AD9"/>
    <w:rsid w:val="005A2C1E"/>
    <w:rsid w:val="005A3567"/>
    <w:rsid w:val="005A37D0"/>
    <w:rsid w:val="005A3B49"/>
    <w:rsid w:val="005A4829"/>
    <w:rsid w:val="005A48DE"/>
    <w:rsid w:val="005A4A66"/>
    <w:rsid w:val="005A4BC3"/>
    <w:rsid w:val="005A4BEA"/>
    <w:rsid w:val="005A4D34"/>
    <w:rsid w:val="005A550C"/>
    <w:rsid w:val="005A559C"/>
    <w:rsid w:val="005A5B74"/>
    <w:rsid w:val="005A5D2B"/>
    <w:rsid w:val="005A5D42"/>
    <w:rsid w:val="005A5D4B"/>
    <w:rsid w:val="005A5DB5"/>
    <w:rsid w:val="005A6981"/>
    <w:rsid w:val="005A6FAD"/>
    <w:rsid w:val="005A70C9"/>
    <w:rsid w:val="005A7216"/>
    <w:rsid w:val="005A75F5"/>
    <w:rsid w:val="005A7955"/>
    <w:rsid w:val="005A7BD2"/>
    <w:rsid w:val="005B0452"/>
    <w:rsid w:val="005B0C68"/>
    <w:rsid w:val="005B0EDE"/>
    <w:rsid w:val="005B0F6A"/>
    <w:rsid w:val="005B112E"/>
    <w:rsid w:val="005B173D"/>
    <w:rsid w:val="005B18E3"/>
    <w:rsid w:val="005B1BAA"/>
    <w:rsid w:val="005B1FEB"/>
    <w:rsid w:val="005B20CB"/>
    <w:rsid w:val="005B239F"/>
    <w:rsid w:val="005B2493"/>
    <w:rsid w:val="005B2976"/>
    <w:rsid w:val="005B29E4"/>
    <w:rsid w:val="005B2D7F"/>
    <w:rsid w:val="005B3058"/>
    <w:rsid w:val="005B3123"/>
    <w:rsid w:val="005B3491"/>
    <w:rsid w:val="005B34FA"/>
    <w:rsid w:val="005B3AAB"/>
    <w:rsid w:val="005B3F07"/>
    <w:rsid w:val="005B4079"/>
    <w:rsid w:val="005B4644"/>
    <w:rsid w:val="005B5A6B"/>
    <w:rsid w:val="005B625D"/>
    <w:rsid w:val="005B62D7"/>
    <w:rsid w:val="005B6725"/>
    <w:rsid w:val="005B6B85"/>
    <w:rsid w:val="005B6D0C"/>
    <w:rsid w:val="005C01AC"/>
    <w:rsid w:val="005C055C"/>
    <w:rsid w:val="005C0844"/>
    <w:rsid w:val="005C0A5B"/>
    <w:rsid w:val="005C0C02"/>
    <w:rsid w:val="005C0C98"/>
    <w:rsid w:val="005C13C3"/>
    <w:rsid w:val="005C18B0"/>
    <w:rsid w:val="005C1BBC"/>
    <w:rsid w:val="005C23F8"/>
    <w:rsid w:val="005C275D"/>
    <w:rsid w:val="005C291C"/>
    <w:rsid w:val="005C2F7D"/>
    <w:rsid w:val="005C3082"/>
    <w:rsid w:val="005C3690"/>
    <w:rsid w:val="005C39E3"/>
    <w:rsid w:val="005C3EA2"/>
    <w:rsid w:val="005C408E"/>
    <w:rsid w:val="005C4739"/>
    <w:rsid w:val="005C4741"/>
    <w:rsid w:val="005C4919"/>
    <w:rsid w:val="005C4A53"/>
    <w:rsid w:val="005C4E8B"/>
    <w:rsid w:val="005C5526"/>
    <w:rsid w:val="005C5B33"/>
    <w:rsid w:val="005C61FF"/>
    <w:rsid w:val="005C6950"/>
    <w:rsid w:val="005C6A1E"/>
    <w:rsid w:val="005C75D7"/>
    <w:rsid w:val="005C78AE"/>
    <w:rsid w:val="005D03E6"/>
    <w:rsid w:val="005D077C"/>
    <w:rsid w:val="005D07E7"/>
    <w:rsid w:val="005D0894"/>
    <w:rsid w:val="005D08CE"/>
    <w:rsid w:val="005D0F9B"/>
    <w:rsid w:val="005D12F7"/>
    <w:rsid w:val="005D13A9"/>
    <w:rsid w:val="005D1C86"/>
    <w:rsid w:val="005D1CBC"/>
    <w:rsid w:val="005D2D23"/>
    <w:rsid w:val="005D3790"/>
    <w:rsid w:val="005D39DF"/>
    <w:rsid w:val="005D3E88"/>
    <w:rsid w:val="005D4291"/>
    <w:rsid w:val="005D42C5"/>
    <w:rsid w:val="005D4865"/>
    <w:rsid w:val="005D4B59"/>
    <w:rsid w:val="005D4E38"/>
    <w:rsid w:val="005D505E"/>
    <w:rsid w:val="005D6587"/>
    <w:rsid w:val="005D7111"/>
    <w:rsid w:val="005D7494"/>
    <w:rsid w:val="005D77CF"/>
    <w:rsid w:val="005E0245"/>
    <w:rsid w:val="005E03E1"/>
    <w:rsid w:val="005E0BFA"/>
    <w:rsid w:val="005E1391"/>
    <w:rsid w:val="005E1B10"/>
    <w:rsid w:val="005E1C0C"/>
    <w:rsid w:val="005E332F"/>
    <w:rsid w:val="005E51B8"/>
    <w:rsid w:val="005E51EB"/>
    <w:rsid w:val="005E534F"/>
    <w:rsid w:val="005E55C4"/>
    <w:rsid w:val="005E5962"/>
    <w:rsid w:val="005E64FD"/>
    <w:rsid w:val="005E6A39"/>
    <w:rsid w:val="005E6C87"/>
    <w:rsid w:val="005E79D9"/>
    <w:rsid w:val="005F0921"/>
    <w:rsid w:val="005F0A60"/>
    <w:rsid w:val="005F0BB1"/>
    <w:rsid w:val="005F0D8F"/>
    <w:rsid w:val="005F14BC"/>
    <w:rsid w:val="005F1563"/>
    <w:rsid w:val="005F15B9"/>
    <w:rsid w:val="005F20E7"/>
    <w:rsid w:val="005F2420"/>
    <w:rsid w:val="005F25C6"/>
    <w:rsid w:val="005F2772"/>
    <w:rsid w:val="005F30BF"/>
    <w:rsid w:val="005F3C38"/>
    <w:rsid w:val="005F4310"/>
    <w:rsid w:val="005F4C53"/>
    <w:rsid w:val="005F4CFA"/>
    <w:rsid w:val="005F5013"/>
    <w:rsid w:val="005F5299"/>
    <w:rsid w:val="005F556F"/>
    <w:rsid w:val="005F56E0"/>
    <w:rsid w:val="005F5770"/>
    <w:rsid w:val="005F57DC"/>
    <w:rsid w:val="005F5811"/>
    <w:rsid w:val="005F5A12"/>
    <w:rsid w:val="005F6035"/>
    <w:rsid w:val="005F6833"/>
    <w:rsid w:val="005F6CBC"/>
    <w:rsid w:val="005F711D"/>
    <w:rsid w:val="005F7F77"/>
    <w:rsid w:val="0060064F"/>
    <w:rsid w:val="0060072F"/>
    <w:rsid w:val="00601593"/>
    <w:rsid w:val="00601AE0"/>
    <w:rsid w:val="00601AEA"/>
    <w:rsid w:val="00601B24"/>
    <w:rsid w:val="00601F6B"/>
    <w:rsid w:val="006022A6"/>
    <w:rsid w:val="006024CB"/>
    <w:rsid w:val="006026DF"/>
    <w:rsid w:val="00602798"/>
    <w:rsid w:val="006027A2"/>
    <w:rsid w:val="006029DD"/>
    <w:rsid w:val="006032E2"/>
    <w:rsid w:val="00603377"/>
    <w:rsid w:val="0060360F"/>
    <w:rsid w:val="0060366F"/>
    <w:rsid w:val="0060396A"/>
    <w:rsid w:val="00603F0D"/>
    <w:rsid w:val="00604084"/>
    <w:rsid w:val="00604AB1"/>
    <w:rsid w:val="00604AB2"/>
    <w:rsid w:val="00605170"/>
    <w:rsid w:val="00605392"/>
    <w:rsid w:val="00605FD6"/>
    <w:rsid w:val="00606157"/>
    <w:rsid w:val="006063DD"/>
    <w:rsid w:val="0060674B"/>
    <w:rsid w:val="00606C69"/>
    <w:rsid w:val="00606D2B"/>
    <w:rsid w:val="00607271"/>
    <w:rsid w:val="006074FA"/>
    <w:rsid w:val="00607542"/>
    <w:rsid w:val="00607567"/>
    <w:rsid w:val="006076B6"/>
    <w:rsid w:val="00607D4F"/>
    <w:rsid w:val="00607DA3"/>
    <w:rsid w:val="00610253"/>
    <w:rsid w:val="0061172F"/>
    <w:rsid w:val="00611BE5"/>
    <w:rsid w:val="0061258E"/>
    <w:rsid w:val="006125D4"/>
    <w:rsid w:val="006129BE"/>
    <w:rsid w:val="006133E3"/>
    <w:rsid w:val="006156F2"/>
    <w:rsid w:val="0061597B"/>
    <w:rsid w:val="00615D9D"/>
    <w:rsid w:val="006172AE"/>
    <w:rsid w:val="00620043"/>
    <w:rsid w:val="00620069"/>
    <w:rsid w:val="00620A64"/>
    <w:rsid w:val="00620D9C"/>
    <w:rsid w:val="00620E18"/>
    <w:rsid w:val="00621636"/>
    <w:rsid w:val="00621856"/>
    <w:rsid w:val="00622193"/>
    <w:rsid w:val="00622DE7"/>
    <w:rsid w:val="00623CBE"/>
    <w:rsid w:val="0062458C"/>
    <w:rsid w:val="00624A8D"/>
    <w:rsid w:val="00624A97"/>
    <w:rsid w:val="00624C7F"/>
    <w:rsid w:val="00624F5B"/>
    <w:rsid w:val="00625C7C"/>
    <w:rsid w:val="006264EF"/>
    <w:rsid w:val="00626AEA"/>
    <w:rsid w:val="006270DC"/>
    <w:rsid w:val="0062724D"/>
    <w:rsid w:val="00627339"/>
    <w:rsid w:val="00627857"/>
    <w:rsid w:val="00627A30"/>
    <w:rsid w:val="00627C0C"/>
    <w:rsid w:val="006301A7"/>
    <w:rsid w:val="00630313"/>
    <w:rsid w:val="006307A6"/>
    <w:rsid w:val="00630B20"/>
    <w:rsid w:val="00630EFC"/>
    <w:rsid w:val="00630F8D"/>
    <w:rsid w:val="00630FED"/>
    <w:rsid w:val="0063122D"/>
    <w:rsid w:val="006317B5"/>
    <w:rsid w:val="00631D0A"/>
    <w:rsid w:val="00631F01"/>
    <w:rsid w:val="006323DB"/>
    <w:rsid w:val="0063295F"/>
    <w:rsid w:val="00632A83"/>
    <w:rsid w:val="006330D1"/>
    <w:rsid w:val="00633D45"/>
    <w:rsid w:val="0063562A"/>
    <w:rsid w:val="00635AB5"/>
    <w:rsid w:val="00636DD2"/>
    <w:rsid w:val="006370F6"/>
    <w:rsid w:val="00637420"/>
    <w:rsid w:val="0063797E"/>
    <w:rsid w:val="00637B04"/>
    <w:rsid w:val="00641B8A"/>
    <w:rsid w:val="00641DFC"/>
    <w:rsid w:val="00641E89"/>
    <w:rsid w:val="006420F5"/>
    <w:rsid w:val="00642428"/>
    <w:rsid w:val="00642BDA"/>
    <w:rsid w:val="006431C8"/>
    <w:rsid w:val="00643480"/>
    <w:rsid w:val="00644143"/>
    <w:rsid w:val="00644719"/>
    <w:rsid w:val="00644AF3"/>
    <w:rsid w:val="00644EF3"/>
    <w:rsid w:val="006452BD"/>
    <w:rsid w:val="0064629A"/>
    <w:rsid w:val="00647429"/>
    <w:rsid w:val="006479E2"/>
    <w:rsid w:val="0065007B"/>
    <w:rsid w:val="00650239"/>
    <w:rsid w:val="0065024A"/>
    <w:rsid w:val="0065073B"/>
    <w:rsid w:val="00650955"/>
    <w:rsid w:val="00650DDB"/>
    <w:rsid w:val="00650F19"/>
    <w:rsid w:val="00651086"/>
    <w:rsid w:val="006520DC"/>
    <w:rsid w:val="006523BA"/>
    <w:rsid w:val="00652690"/>
    <w:rsid w:val="00652716"/>
    <w:rsid w:val="00652DF0"/>
    <w:rsid w:val="0065332C"/>
    <w:rsid w:val="00653EFB"/>
    <w:rsid w:val="00654281"/>
    <w:rsid w:val="00654485"/>
    <w:rsid w:val="0065453E"/>
    <w:rsid w:val="00654C66"/>
    <w:rsid w:val="00654E77"/>
    <w:rsid w:val="006551AE"/>
    <w:rsid w:val="00655651"/>
    <w:rsid w:val="00655D92"/>
    <w:rsid w:val="00655E3E"/>
    <w:rsid w:val="00656139"/>
    <w:rsid w:val="00656142"/>
    <w:rsid w:val="0065622F"/>
    <w:rsid w:val="006568FC"/>
    <w:rsid w:val="00656BB5"/>
    <w:rsid w:val="00656F6F"/>
    <w:rsid w:val="00657147"/>
    <w:rsid w:val="006576EE"/>
    <w:rsid w:val="00657A4B"/>
    <w:rsid w:val="00657D19"/>
    <w:rsid w:val="00657DA2"/>
    <w:rsid w:val="00660047"/>
    <w:rsid w:val="00660C19"/>
    <w:rsid w:val="00661018"/>
    <w:rsid w:val="006610EF"/>
    <w:rsid w:val="0066142F"/>
    <w:rsid w:val="00661682"/>
    <w:rsid w:val="0066210A"/>
    <w:rsid w:val="00662353"/>
    <w:rsid w:val="00662454"/>
    <w:rsid w:val="0066257B"/>
    <w:rsid w:val="00662A66"/>
    <w:rsid w:val="006631C2"/>
    <w:rsid w:val="00663269"/>
    <w:rsid w:val="00663620"/>
    <w:rsid w:val="00664052"/>
    <w:rsid w:val="0066546F"/>
    <w:rsid w:val="0066603A"/>
    <w:rsid w:val="00666CBE"/>
    <w:rsid w:val="00666ECD"/>
    <w:rsid w:val="00667504"/>
    <w:rsid w:val="006675CB"/>
    <w:rsid w:val="00670548"/>
    <w:rsid w:val="00671D84"/>
    <w:rsid w:val="006723CA"/>
    <w:rsid w:val="00672480"/>
    <w:rsid w:val="00672489"/>
    <w:rsid w:val="00672768"/>
    <w:rsid w:val="00673323"/>
    <w:rsid w:val="00673CC7"/>
    <w:rsid w:val="00673EE0"/>
    <w:rsid w:val="00673FB7"/>
    <w:rsid w:val="0067483E"/>
    <w:rsid w:val="00675AFC"/>
    <w:rsid w:val="00675B3D"/>
    <w:rsid w:val="006764D3"/>
    <w:rsid w:val="00676558"/>
    <w:rsid w:val="0067671E"/>
    <w:rsid w:val="00676DD8"/>
    <w:rsid w:val="00676FAF"/>
    <w:rsid w:val="00677463"/>
    <w:rsid w:val="00677736"/>
    <w:rsid w:val="00677A83"/>
    <w:rsid w:val="006804E8"/>
    <w:rsid w:val="006809B8"/>
    <w:rsid w:val="00680B1E"/>
    <w:rsid w:val="00680EF6"/>
    <w:rsid w:val="00681E89"/>
    <w:rsid w:val="00681FBF"/>
    <w:rsid w:val="0068233A"/>
    <w:rsid w:val="00682595"/>
    <w:rsid w:val="006827BD"/>
    <w:rsid w:val="00682EFA"/>
    <w:rsid w:val="006832F8"/>
    <w:rsid w:val="00683480"/>
    <w:rsid w:val="0068348A"/>
    <w:rsid w:val="00683B24"/>
    <w:rsid w:val="00683DC7"/>
    <w:rsid w:val="006844A0"/>
    <w:rsid w:val="0068472C"/>
    <w:rsid w:val="006847B5"/>
    <w:rsid w:val="00684874"/>
    <w:rsid w:val="00684AEB"/>
    <w:rsid w:val="00685152"/>
    <w:rsid w:val="0068519B"/>
    <w:rsid w:val="006851C5"/>
    <w:rsid w:val="006852EA"/>
    <w:rsid w:val="006868FD"/>
    <w:rsid w:val="00686AD0"/>
    <w:rsid w:val="0068753A"/>
    <w:rsid w:val="00687F54"/>
    <w:rsid w:val="00687FD5"/>
    <w:rsid w:val="00690747"/>
    <w:rsid w:val="006907EB"/>
    <w:rsid w:val="006907F1"/>
    <w:rsid w:val="006909EE"/>
    <w:rsid w:val="00690FFF"/>
    <w:rsid w:val="00691154"/>
    <w:rsid w:val="00691F8F"/>
    <w:rsid w:val="00692514"/>
    <w:rsid w:val="0069297D"/>
    <w:rsid w:val="006929B3"/>
    <w:rsid w:val="00692BAF"/>
    <w:rsid w:val="00693783"/>
    <w:rsid w:val="0069555D"/>
    <w:rsid w:val="006956D6"/>
    <w:rsid w:val="00695FC0"/>
    <w:rsid w:val="00696245"/>
    <w:rsid w:val="00696494"/>
    <w:rsid w:val="00696597"/>
    <w:rsid w:val="00696F9F"/>
    <w:rsid w:val="00697D98"/>
    <w:rsid w:val="006A0065"/>
    <w:rsid w:val="006A008F"/>
    <w:rsid w:val="006A06E3"/>
    <w:rsid w:val="006A0760"/>
    <w:rsid w:val="006A1799"/>
    <w:rsid w:val="006A1D10"/>
    <w:rsid w:val="006A1DD1"/>
    <w:rsid w:val="006A2B8F"/>
    <w:rsid w:val="006A2E50"/>
    <w:rsid w:val="006A3526"/>
    <w:rsid w:val="006A371B"/>
    <w:rsid w:val="006A3C73"/>
    <w:rsid w:val="006A3D27"/>
    <w:rsid w:val="006A3D71"/>
    <w:rsid w:val="006A4C25"/>
    <w:rsid w:val="006A4F12"/>
    <w:rsid w:val="006A517D"/>
    <w:rsid w:val="006A540E"/>
    <w:rsid w:val="006A61DE"/>
    <w:rsid w:val="006A64F4"/>
    <w:rsid w:val="006A6860"/>
    <w:rsid w:val="006A6ABC"/>
    <w:rsid w:val="006A75AE"/>
    <w:rsid w:val="006A7AE4"/>
    <w:rsid w:val="006A7BBA"/>
    <w:rsid w:val="006B0165"/>
    <w:rsid w:val="006B0230"/>
    <w:rsid w:val="006B02D5"/>
    <w:rsid w:val="006B0361"/>
    <w:rsid w:val="006B056E"/>
    <w:rsid w:val="006B0CB8"/>
    <w:rsid w:val="006B0F99"/>
    <w:rsid w:val="006B1799"/>
    <w:rsid w:val="006B1C84"/>
    <w:rsid w:val="006B1D99"/>
    <w:rsid w:val="006B2187"/>
    <w:rsid w:val="006B2987"/>
    <w:rsid w:val="006B2A98"/>
    <w:rsid w:val="006B2BC4"/>
    <w:rsid w:val="006B2CFC"/>
    <w:rsid w:val="006B2E3D"/>
    <w:rsid w:val="006B318D"/>
    <w:rsid w:val="006B37B5"/>
    <w:rsid w:val="006B3A99"/>
    <w:rsid w:val="006B3B3D"/>
    <w:rsid w:val="006B5973"/>
    <w:rsid w:val="006B63DC"/>
    <w:rsid w:val="006B63F7"/>
    <w:rsid w:val="006B643D"/>
    <w:rsid w:val="006B6C9A"/>
    <w:rsid w:val="006B73E8"/>
    <w:rsid w:val="006B7492"/>
    <w:rsid w:val="006B77D0"/>
    <w:rsid w:val="006B799C"/>
    <w:rsid w:val="006B7F12"/>
    <w:rsid w:val="006C04A5"/>
    <w:rsid w:val="006C0508"/>
    <w:rsid w:val="006C06B4"/>
    <w:rsid w:val="006C09C0"/>
    <w:rsid w:val="006C1523"/>
    <w:rsid w:val="006C1A01"/>
    <w:rsid w:val="006C1AF4"/>
    <w:rsid w:val="006C1F79"/>
    <w:rsid w:val="006C2828"/>
    <w:rsid w:val="006C29F5"/>
    <w:rsid w:val="006C29F9"/>
    <w:rsid w:val="006C2A94"/>
    <w:rsid w:val="006C2DC8"/>
    <w:rsid w:val="006C2FD7"/>
    <w:rsid w:val="006C3B2C"/>
    <w:rsid w:val="006C3E5E"/>
    <w:rsid w:val="006C41E5"/>
    <w:rsid w:val="006C4266"/>
    <w:rsid w:val="006C4908"/>
    <w:rsid w:val="006C4C4B"/>
    <w:rsid w:val="006C4D7E"/>
    <w:rsid w:val="006C54F1"/>
    <w:rsid w:val="006C5568"/>
    <w:rsid w:val="006C5698"/>
    <w:rsid w:val="006C5B78"/>
    <w:rsid w:val="006C5C03"/>
    <w:rsid w:val="006C5F31"/>
    <w:rsid w:val="006C62FC"/>
    <w:rsid w:val="006C6A60"/>
    <w:rsid w:val="006C6C17"/>
    <w:rsid w:val="006C6D61"/>
    <w:rsid w:val="006C7246"/>
    <w:rsid w:val="006C73EA"/>
    <w:rsid w:val="006C7BAA"/>
    <w:rsid w:val="006D0170"/>
    <w:rsid w:val="006D0285"/>
    <w:rsid w:val="006D0E6C"/>
    <w:rsid w:val="006D1667"/>
    <w:rsid w:val="006D1A0E"/>
    <w:rsid w:val="006D1CBC"/>
    <w:rsid w:val="006D2724"/>
    <w:rsid w:val="006D2794"/>
    <w:rsid w:val="006D29C5"/>
    <w:rsid w:val="006D2B94"/>
    <w:rsid w:val="006D2ECA"/>
    <w:rsid w:val="006D30E7"/>
    <w:rsid w:val="006D3187"/>
    <w:rsid w:val="006D343C"/>
    <w:rsid w:val="006D381A"/>
    <w:rsid w:val="006D3942"/>
    <w:rsid w:val="006D41E3"/>
    <w:rsid w:val="006D4257"/>
    <w:rsid w:val="006D4494"/>
    <w:rsid w:val="006D4681"/>
    <w:rsid w:val="006D4B21"/>
    <w:rsid w:val="006D51C8"/>
    <w:rsid w:val="006D5371"/>
    <w:rsid w:val="006D6352"/>
    <w:rsid w:val="006D66A1"/>
    <w:rsid w:val="006D68B8"/>
    <w:rsid w:val="006D7046"/>
    <w:rsid w:val="006D70F2"/>
    <w:rsid w:val="006D7248"/>
    <w:rsid w:val="006D75B8"/>
    <w:rsid w:val="006D780A"/>
    <w:rsid w:val="006E0D69"/>
    <w:rsid w:val="006E126C"/>
    <w:rsid w:val="006E172E"/>
    <w:rsid w:val="006E1D3E"/>
    <w:rsid w:val="006E2471"/>
    <w:rsid w:val="006E30F6"/>
    <w:rsid w:val="006E38CF"/>
    <w:rsid w:val="006E3BFE"/>
    <w:rsid w:val="006E4B00"/>
    <w:rsid w:val="006E4B89"/>
    <w:rsid w:val="006E4DFA"/>
    <w:rsid w:val="006E628A"/>
    <w:rsid w:val="006E6A9E"/>
    <w:rsid w:val="006E76D7"/>
    <w:rsid w:val="006E7797"/>
    <w:rsid w:val="006E7E0F"/>
    <w:rsid w:val="006F003F"/>
    <w:rsid w:val="006F086E"/>
    <w:rsid w:val="006F11A0"/>
    <w:rsid w:val="006F16BF"/>
    <w:rsid w:val="006F16CD"/>
    <w:rsid w:val="006F1AD7"/>
    <w:rsid w:val="006F1E45"/>
    <w:rsid w:val="006F1ED4"/>
    <w:rsid w:val="006F2255"/>
    <w:rsid w:val="006F295D"/>
    <w:rsid w:val="006F29E6"/>
    <w:rsid w:val="006F3627"/>
    <w:rsid w:val="006F3790"/>
    <w:rsid w:val="006F3944"/>
    <w:rsid w:val="006F3C34"/>
    <w:rsid w:val="006F448E"/>
    <w:rsid w:val="006F49C4"/>
    <w:rsid w:val="006F4F96"/>
    <w:rsid w:val="006F507F"/>
    <w:rsid w:val="006F5392"/>
    <w:rsid w:val="006F53E1"/>
    <w:rsid w:val="006F5580"/>
    <w:rsid w:val="006F5779"/>
    <w:rsid w:val="006F6109"/>
    <w:rsid w:val="006F6793"/>
    <w:rsid w:val="006F72C4"/>
    <w:rsid w:val="006F747B"/>
    <w:rsid w:val="00700054"/>
    <w:rsid w:val="00700501"/>
    <w:rsid w:val="00700CF7"/>
    <w:rsid w:val="00700D3C"/>
    <w:rsid w:val="00701594"/>
    <w:rsid w:val="007024E9"/>
    <w:rsid w:val="0070264D"/>
    <w:rsid w:val="007026AB"/>
    <w:rsid w:val="00702C58"/>
    <w:rsid w:val="00703360"/>
    <w:rsid w:val="007038A0"/>
    <w:rsid w:val="00703B76"/>
    <w:rsid w:val="00703CD5"/>
    <w:rsid w:val="007046C2"/>
    <w:rsid w:val="00704765"/>
    <w:rsid w:val="00704C7C"/>
    <w:rsid w:val="0070525A"/>
    <w:rsid w:val="00705598"/>
    <w:rsid w:val="00706DA2"/>
    <w:rsid w:val="00706E56"/>
    <w:rsid w:val="007071CD"/>
    <w:rsid w:val="007073E2"/>
    <w:rsid w:val="007074E0"/>
    <w:rsid w:val="007075F2"/>
    <w:rsid w:val="00707AE9"/>
    <w:rsid w:val="00707E6D"/>
    <w:rsid w:val="007109E0"/>
    <w:rsid w:val="00710EA6"/>
    <w:rsid w:val="007110F3"/>
    <w:rsid w:val="007113C0"/>
    <w:rsid w:val="00711D3A"/>
    <w:rsid w:val="00712C56"/>
    <w:rsid w:val="00712E8E"/>
    <w:rsid w:val="0071311A"/>
    <w:rsid w:val="0071346A"/>
    <w:rsid w:val="007135A0"/>
    <w:rsid w:val="0071387D"/>
    <w:rsid w:val="00714243"/>
    <w:rsid w:val="00714658"/>
    <w:rsid w:val="00715020"/>
    <w:rsid w:val="00715086"/>
    <w:rsid w:val="007154EE"/>
    <w:rsid w:val="007159A3"/>
    <w:rsid w:val="00715A4F"/>
    <w:rsid w:val="00715B04"/>
    <w:rsid w:val="00715E5C"/>
    <w:rsid w:val="007165CB"/>
    <w:rsid w:val="00717017"/>
    <w:rsid w:val="00717270"/>
    <w:rsid w:val="007172E6"/>
    <w:rsid w:val="0071749E"/>
    <w:rsid w:val="0071794B"/>
    <w:rsid w:val="00717BCC"/>
    <w:rsid w:val="00717E07"/>
    <w:rsid w:val="0072026F"/>
    <w:rsid w:val="00720F52"/>
    <w:rsid w:val="00721317"/>
    <w:rsid w:val="00721392"/>
    <w:rsid w:val="007214B2"/>
    <w:rsid w:val="007217BA"/>
    <w:rsid w:val="00721957"/>
    <w:rsid w:val="007220D6"/>
    <w:rsid w:val="0072272D"/>
    <w:rsid w:val="00722D33"/>
    <w:rsid w:val="00723153"/>
    <w:rsid w:val="00723176"/>
    <w:rsid w:val="007237EF"/>
    <w:rsid w:val="00723AA7"/>
    <w:rsid w:val="00723BD0"/>
    <w:rsid w:val="00724135"/>
    <w:rsid w:val="00724AEA"/>
    <w:rsid w:val="00725838"/>
    <w:rsid w:val="00726220"/>
    <w:rsid w:val="00726234"/>
    <w:rsid w:val="00726435"/>
    <w:rsid w:val="0072649B"/>
    <w:rsid w:val="00726709"/>
    <w:rsid w:val="00727555"/>
    <w:rsid w:val="00727A9B"/>
    <w:rsid w:val="00727B70"/>
    <w:rsid w:val="00727BE0"/>
    <w:rsid w:val="00730E2D"/>
    <w:rsid w:val="00731128"/>
    <w:rsid w:val="007311CB"/>
    <w:rsid w:val="007314A3"/>
    <w:rsid w:val="00731B7E"/>
    <w:rsid w:val="00732107"/>
    <w:rsid w:val="007324EF"/>
    <w:rsid w:val="00732891"/>
    <w:rsid w:val="007338E2"/>
    <w:rsid w:val="00733DB1"/>
    <w:rsid w:val="00733E62"/>
    <w:rsid w:val="007345FE"/>
    <w:rsid w:val="00734FE8"/>
    <w:rsid w:val="007350F3"/>
    <w:rsid w:val="00735126"/>
    <w:rsid w:val="00735190"/>
    <w:rsid w:val="007351D9"/>
    <w:rsid w:val="007351E7"/>
    <w:rsid w:val="0073550D"/>
    <w:rsid w:val="0073670B"/>
    <w:rsid w:val="00736874"/>
    <w:rsid w:val="007368DA"/>
    <w:rsid w:val="007374D9"/>
    <w:rsid w:val="00740499"/>
    <w:rsid w:val="00740872"/>
    <w:rsid w:val="00740E03"/>
    <w:rsid w:val="007415D1"/>
    <w:rsid w:val="007417D0"/>
    <w:rsid w:val="007420E6"/>
    <w:rsid w:val="00742333"/>
    <w:rsid w:val="00742F99"/>
    <w:rsid w:val="00743786"/>
    <w:rsid w:val="007437A2"/>
    <w:rsid w:val="00744091"/>
    <w:rsid w:val="0074417C"/>
    <w:rsid w:val="007442BF"/>
    <w:rsid w:val="00744400"/>
    <w:rsid w:val="00744CC4"/>
    <w:rsid w:val="007455C9"/>
    <w:rsid w:val="007458D3"/>
    <w:rsid w:val="007459BF"/>
    <w:rsid w:val="00745D9A"/>
    <w:rsid w:val="0074602E"/>
    <w:rsid w:val="00746590"/>
    <w:rsid w:val="007466DB"/>
    <w:rsid w:val="00746839"/>
    <w:rsid w:val="0074721C"/>
    <w:rsid w:val="0074743E"/>
    <w:rsid w:val="007474F4"/>
    <w:rsid w:val="00747BE7"/>
    <w:rsid w:val="007500C7"/>
    <w:rsid w:val="007505BC"/>
    <w:rsid w:val="00750AED"/>
    <w:rsid w:val="00750D9C"/>
    <w:rsid w:val="007525A6"/>
    <w:rsid w:val="00752A80"/>
    <w:rsid w:val="00752C15"/>
    <w:rsid w:val="00752E72"/>
    <w:rsid w:val="0075351E"/>
    <w:rsid w:val="00754058"/>
    <w:rsid w:val="007540A9"/>
    <w:rsid w:val="00754414"/>
    <w:rsid w:val="007546F9"/>
    <w:rsid w:val="00755006"/>
    <w:rsid w:val="007554D7"/>
    <w:rsid w:val="0075558B"/>
    <w:rsid w:val="00755AAC"/>
    <w:rsid w:val="00756078"/>
    <w:rsid w:val="00756A6D"/>
    <w:rsid w:val="00756C95"/>
    <w:rsid w:val="00756EFC"/>
    <w:rsid w:val="0075786F"/>
    <w:rsid w:val="007601B0"/>
    <w:rsid w:val="00760342"/>
    <w:rsid w:val="00760406"/>
    <w:rsid w:val="0076152C"/>
    <w:rsid w:val="0076153A"/>
    <w:rsid w:val="00761588"/>
    <w:rsid w:val="007617EE"/>
    <w:rsid w:val="007624C1"/>
    <w:rsid w:val="0076263E"/>
    <w:rsid w:val="007628F7"/>
    <w:rsid w:val="00762A5B"/>
    <w:rsid w:val="00762D7F"/>
    <w:rsid w:val="00762FF0"/>
    <w:rsid w:val="00764311"/>
    <w:rsid w:val="007644D2"/>
    <w:rsid w:val="007644EE"/>
    <w:rsid w:val="0076484F"/>
    <w:rsid w:val="00764A64"/>
    <w:rsid w:val="007656CB"/>
    <w:rsid w:val="00765735"/>
    <w:rsid w:val="0076578E"/>
    <w:rsid w:val="00765839"/>
    <w:rsid w:val="00765B58"/>
    <w:rsid w:val="00765E1E"/>
    <w:rsid w:val="00765FC4"/>
    <w:rsid w:val="00766223"/>
    <w:rsid w:val="0076631C"/>
    <w:rsid w:val="00766385"/>
    <w:rsid w:val="00766749"/>
    <w:rsid w:val="00766C74"/>
    <w:rsid w:val="0077002C"/>
    <w:rsid w:val="007702E6"/>
    <w:rsid w:val="007709D2"/>
    <w:rsid w:val="00770B5B"/>
    <w:rsid w:val="00771B48"/>
    <w:rsid w:val="007720F0"/>
    <w:rsid w:val="00772BC6"/>
    <w:rsid w:val="00772C2D"/>
    <w:rsid w:val="00773284"/>
    <w:rsid w:val="007737DA"/>
    <w:rsid w:val="007737E1"/>
    <w:rsid w:val="00773B2B"/>
    <w:rsid w:val="00774584"/>
    <w:rsid w:val="00774B7F"/>
    <w:rsid w:val="00774CA9"/>
    <w:rsid w:val="00776362"/>
    <w:rsid w:val="0077660F"/>
    <w:rsid w:val="00777439"/>
    <w:rsid w:val="00777C19"/>
    <w:rsid w:val="00780092"/>
    <w:rsid w:val="0078105C"/>
    <w:rsid w:val="0078158D"/>
    <w:rsid w:val="00781703"/>
    <w:rsid w:val="00782302"/>
    <w:rsid w:val="00782562"/>
    <w:rsid w:val="00782FA4"/>
    <w:rsid w:val="007832E7"/>
    <w:rsid w:val="00783F2F"/>
    <w:rsid w:val="0078435D"/>
    <w:rsid w:val="00784813"/>
    <w:rsid w:val="00785369"/>
    <w:rsid w:val="00785475"/>
    <w:rsid w:val="00785572"/>
    <w:rsid w:val="00785FAC"/>
    <w:rsid w:val="00786135"/>
    <w:rsid w:val="0078674C"/>
    <w:rsid w:val="00787206"/>
    <w:rsid w:val="007872EE"/>
    <w:rsid w:val="007877CC"/>
    <w:rsid w:val="00787A92"/>
    <w:rsid w:val="00787D7D"/>
    <w:rsid w:val="00790877"/>
    <w:rsid w:val="0079094D"/>
    <w:rsid w:val="00790AE8"/>
    <w:rsid w:val="00791455"/>
    <w:rsid w:val="0079145D"/>
    <w:rsid w:val="00791845"/>
    <w:rsid w:val="00791C03"/>
    <w:rsid w:val="007920A9"/>
    <w:rsid w:val="007924A2"/>
    <w:rsid w:val="0079262A"/>
    <w:rsid w:val="00792D3A"/>
    <w:rsid w:val="00792F59"/>
    <w:rsid w:val="00793298"/>
    <w:rsid w:val="0079373D"/>
    <w:rsid w:val="0079378F"/>
    <w:rsid w:val="007938E6"/>
    <w:rsid w:val="00794068"/>
    <w:rsid w:val="00794FAB"/>
    <w:rsid w:val="007957CE"/>
    <w:rsid w:val="007958B0"/>
    <w:rsid w:val="007965C4"/>
    <w:rsid w:val="00796DAB"/>
    <w:rsid w:val="0079791F"/>
    <w:rsid w:val="007A00F7"/>
    <w:rsid w:val="007A0BA5"/>
    <w:rsid w:val="007A0F3A"/>
    <w:rsid w:val="007A1091"/>
    <w:rsid w:val="007A170B"/>
    <w:rsid w:val="007A19DA"/>
    <w:rsid w:val="007A1CA7"/>
    <w:rsid w:val="007A23E5"/>
    <w:rsid w:val="007A286C"/>
    <w:rsid w:val="007A2989"/>
    <w:rsid w:val="007A2CA6"/>
    <w:rsid w:val="007A2DC1"/>
    <w:rsid w:val="007A332F"/>
    <w:rsid w:val="007A36EA"/>
    <w:rsid w:val="007A38D8"/>
    <w:rsid w:val="007A3BF3"/>
    <w:rsid w:val="007A4B3F"/>
    <w:rsid w:val="007A5801"/>
    <w:rsid w:val="007A5868"/>
    <w:rsid w:val="007A63AC"/>
    <w:rsid w:val="007A676A"/>
    <w:rsid w:val="007A6AFA"/>
    <w:rsid w:val="007A6E73"/>
    <w:rsid w:val="007A71D3"/>
    <w:rsid w:val="007A7819"/>
    <w:rsid w:val="007A7BE7"/>
    <w:rsid w:val="007A7FBE"/>
    <w:rsid w:val="007B07B6"/>
    <w:rsid w:val="007B0B68"/>
    <w:rsid w:val="007B11A1"/>
    <w:rsid w:val="007B14F5"/>
    <w:rsid w:val="007B16E7"/>
    <w:rsid w:val="007B1914"/>
    <w:rsid w:val="007B1F7D"/>
    <w:rsid w:val="007B206E"/>
    <w:rsid w:val="007B2419"/>
    <w:rsid w:val="007B241D"/>
    <w:rsid w:val="007B29D6"/>
    <w:rsid w:val="007B2CB9"/>
    <w:rsid w:val="007B3079"/>
    <w:rsid w:val="007B31BC"/>
    <w:rsid w:val="007B38EE"/>
    <w:rsid w:val="007B4367"/>
    <w:rsid w:val="007B455C"/>
    <w:rsid w:val="007B487A"/>
    <w:rsid w:val="007B4A11"/>
    <w:rsid w:val="007B4EAF"/>
    <w:rsid w:val="007B597C"/>
    <w:rsid w:val="007B5B1F"/>
    <w:rsid w:val="007B6E37"/>
    <w:rsid w:val="007B7633"/>
    <w:rsid w:val="007B7727"/>
    <w:rsid w:val="007B7FEC"/>
    <w:rsid w:val="007C0112"/>
    <w:rsid w:val="007C0187"/>
    <w:rsid w:val="007C0489"/>
    <w:rsid w:val="007C061F"/>
    <w:rsid w:val="007C173D"/>
    <w:rsid w:val="007C1A7A"/>
    <w:rsid w:val="007C1E7A"/>
    <w:rsid w:val="007C23CE"/>
    <w:rsid w:val="007C2815"/>
    <w:rsid w:val="007C2842"/>
    <w:rsid w:val="007C29CC"/>
    <w:rsid w:val="007C3EA3"/>
    <w:rsid w:val="007C410B"/>
    <w:rsid w:val="007C4767"/>
    <w:rsid w:val="007C57C0"/>
    <w:rsid w:val="007C6072"/>
    <w:rsid w:val="007C6346"/>
    <w:rsid w:val="007C69B4"/>
    <w:rsid w:val="007C6A14"/>
    <w:rsid w:val="007C7401"/>
    <w:rsid w:val="007D0AAB"/>
    <w:rsid w:val="007D0D44"/>
    <w:rsid w:val="007D1622"/>
    <w:rsid w:val="007D19E3"/>
    <w:rsid w:val="007D234C"/>
    <w:rsid w:val="007D2499"/>
    <w:rsid w:val="007D25C6"/>
    <w:rsid w:val="007D25EF"/>
    <w:rsid w:val="007D2783"/>
    <w:rsid w:val="007D2B09"/>
    <w:rsid w:val="007D2CBD"/>
    <w:rsid w:val="007D2CD1"/>
    <w:rsid w:val="007D3647"/>
    <w:rsid w:val="007D3673"/>
    <w:rsid w:val="007D39CD"/>
    <w:rsid w:val="007D41F7"/>
    <w:rsid w:val="007D45CC"/>
    <w:rsid w:val="007D4D1E"/>
    <w:rsid w:val="007D5030"/>
    <w:rsid w:val="007D52C8"/>
    <w:rsid w:val="007D5417"/>
    <w:rsid w:val="007D554F"/>
    <w:rsid w:val="007D57C0"/>
    <w:rsid w:val="007D5DD2"/>
    <w:rsid w:val="007D6061"/>
    <w:rsid w:val="007D618C"/>
    <w:rsid w:val="007D61F9"/>
    <w:rsid w:val="007D64FD"/>
    <w:rsid w:val="007D6679"/>
    <w:rsid w:val="007D66EE"/>
    <w:rsid w:val="007D6AE8"/>
    <w:rsid w:val="007D6DA9"/>
    <w:rsid w:val="007D78EF"/>
    <w:rsid w:val="007D7F29"/>
    <w:rsid w:val="007D7F94"/>
    <w:rsid w:val="007E0068"/>
    <w:rsid w:val="007E0297"/>
    <w:rsid w:val="007E0459"/>
    <w:rsid w:val="007E04EC"/>
    <w:rsid w:val="007E0F45"/>
    <w:rsid w:val="007E31FB"/>
    <w:rsid w:val="007E3B3E"/>
    <w:rsid w:val="007E40A3"/>
    <w:rsid w:val="007E479A"/>
    <w:rsid w:val="007E47BA"/>
    <w:rsid w:val="007E4A64"/>
    <w:rsid w:val="007E4F42"/>
    <w:rsid w:val="007E52A4"/>
    <w:rsid w:val="007E5D25"/>
    <w:rsid w:val="007E6445"/>
    <w:rsid w:val="007E65BD"/>
    <w:rsid w:val="007E6EEC"/>
    <w:rsid w:val="007E74D6"/>
    <w:rsid w:val="007F0092"/>
    <w:rsid w:val="007F0155"/>
    <w:rsid w:val="007F1331"/>
    <w:rsid w:val="007F1581"/>
    <w:rsid w:val="007F15BA"/>
    <w:rsid w:val="007F2263"/>
    <w:rsid w:val="007F265F"/>
    <w:rsid w:val="007F2FDF"/>
    <w:rsid w:val="007F3416"/>
    <w:rsid w:val="007F3594"/>
    <w:rsid w:val="007F3AC1"/>
    <w:rsid w:val="007F3CE0"/>
    <w:rsid w:val="007F4854"/>
    <w:rsid w:val="007F4B34"/>
    <w:rsid w:val="007F4BA9"/>
    <w:rsid w:val="007F4D84"/>
    <w:rsid w:val="007F4EC8"/>
    <w:rsid w:val="007F4F2B"/>
    <w:rsid w:val="007F4F3A"/>
    <w:rsid w:val="007F50F9"/>
    <w:rsid w:val="007F5512"/>
    <w:rsid w:val="007F5D21"/>
    <w:rsid w:val="007F5F36"/>
    <w:rsid w:val="007F6E90"/>
    <w:rsid w:val="007F7266"/>
    <w:rsid w:val="007F7286"/>
    <w:rsid w:val="007F72EE"/>
    <w:rsid w:val="007F7B78"/>
    <w:rsid w:val="00800021"/>
    <w:rsid w:val="008006F7"/>
    <w:rsid w:val="00800DC6"/>
    <w:rsid w:val="00801060"/>
    <w:rsid w:val="0080186E"/>
    <w:rsid w:val="0080192E"/>
    <w:rsid w:val="00801DD0"/>
    <w:rsid w:val="0080212D"/>
    <w:rsid w:val="008029ED"/>
    <w:rsid w:val="00803396"/>
    <w:rsid w:val="00803C34"/>
    <w:rsid w:val="0080432E"/>
    <w:rsid w:val="0080500F"/>
    <w:rsid w:val="00805475"/>
    <w:rsid w:val="00805ACA"/>
    <w:rsid w:val="0080600E"/>
    <w:rsid w:val="0080634F"/>
    <w:rsid w:val="008063EB"/>
    <w:rsid w:val="00806CD1"/>
    <w:rsid w:val="00807236"/>
    <w:rsid w:val="00807E92"/>
    <w:rsid w:val="00810960"/>
    <w:rsid w:val="00810C3F"/>
    <w:rsid w:val="00811402"/>
    <w:rsid w:val="008114BD"/>
    <w:rsid w:val="008117A9"/>
    <w:rsid w:val="00811E4D"/>
    <w:rsid w:val="00812285"/>
    <w:rsid w:val="008122BE"/>
    <w:rsid w:val="008122F6"/>
    <w:rsid w:val="008123E1"/>
    <w:rsid w:val="00812499"/>
    <w:rsid w:val="00812BE5"/>
    <w:rsid w:val="0081338D"/>
    <w:rsid w:val="00813FB0"/>
    <w:rsid w:val="008149AB"/>
    <w:rsid w:val="008149F5"/>
    <w:rsid w:val="00814B1C"/>
    <w:rsid w:val="00814D75"/>
    <w:rsid w:val="00815053"/>
    <w:rsid w:val="0081507D"/>
    <w:rsid w:val="00815303"/>
    <w:rsid w:val="00816BE6"/>
    <w:rsid w:val="00817637"/>
    <w:rsid w:val="0081782B"/>
    <w:rsid w:val="00817881"/>
    <w:rsid w:val="00817B07"/>
    <w:rsid w:val="008200D8"/>
    <w:rsid w:val="008200E5"/>
    <w:rsid w:val="0082065C"/>
    <w:rsid w:val="008212AC"/>
    <w:rsid w:val="00821969"/>
    <w:rsid w:val="00821F82"/>
    <w:rsid w:val="00823C86"/>
    <w:rsid w:val="00823F9B"/>
    <w:rsid w:val="0082467D"/>
    <w:rsid w:val="00824768"/>
    <w:rsid w:val="00824E2B"/>
    <w:rsid w:val="008250C3"/>
    <w:rsid w:val="00825D59"/>
    <w:rsid w:val="00825D7A"/>
    <w:rsid w:val="00825DA2"/>
    <w:rsid w:val="00825F06"/>
    <w:rsid w:val="008264D5"/>
    <w:rsid w:val="008267AF"/>
    <w:rsid w:val="008277D6"/>
    <w:rsid w:val="00827853"/>
    <w:rsid w:val="00827F27"/>
    <w:rsid w:val="00827FCC"/>
    <w:rsid w:val="00830805"/>
    <w:rsid w:val="00830886"/>
    <w:rsid w:val="00830D46"/>
    <w:rsid w:val="00830ECE"/>
    <w:rsid w:val="008313B2"/>
    <w:rsid w:val="00832AA1"/>
    <w:rsid w:val="00832BE9"/>
    <w:rsid w:val="00833130"/>
    <w:rsid w:val="00833232"/>
    <w:rsid w:val="00833FF2"/>
    <w:rsid w:val="0083418C"/>
    <w:rsid w:val="00834777"/>
    <w:rsid w:val="008348DF"/>
    <w:rsid w:val="0083574A"/>
    <w:rsid w:val="008358AA"/>
    <w:rsid w:val="00835BBE"/>
    <w:rsid w:val="00836969"/>
    <w:rsid w:val="00836E36"/>
    <w:rsid w:val="00837105"/>
    <w:rsid w:val="00837687"/>
    <w:rsid w:val="00837708"/>
    <w:rsid w:val="0083795C"/>
    <w:rsid w:val="00837B12"/>
    <w:rsid w:val="008402DC"/>
    <w:rsid w:val="008406C5"/>
    <w:rsid w:val="00840D9F"/>
    <w:rsid w:val="00841092"/>
    <w:rsid w:val="00841171"/>
    <w:rsid w:val="008416E4"/>
    <w:rsid w:val="00842132"/>
    <w:rsid w:val="0084329D"/>
    <w:rsid w:val="00843B80"/>
    <w:rsid w:val="00843C1C"/>
    <w:rsid w:val="008441AE"/>
    <w:rsid w:val="00844303"/>
    <w:rsid w:val="008443B7"/>
    <w:rsid w:val="00844CD6"/>
    <w:rsid w:val="00844E3B"/>
    <w:rsid w:val="00846636"/>
    <w:rsid w:val="00846CFF"/>
    <w:rsid w:val="0084717D"/>
    <w:rsid w:val="00847A37"/>
    <w:rsid w:val="00847FE6"/>
    <w:rsid w:val="0085015D"/>
    <w:rsid w:val="008511F1"/>
    <w:rsid w:val="008511F8"/>
    <w:rsid w:val="00852424"/>
    <w:rsid w:val="0085268F"/>
    <w:rsid w:val="00852C50"/>
    <w:rsid w:val="00852DD1"/>
    <w:rsid w:val="00852E50"/>
    <w:rsid w:val="008530E7"/>
    <w:rsid w:val="00853890"/>
    <w:rsid w:val="00853AA3"/>
    <w:rsid w:val="00853E34"/>
    <w:rsid w:val="00854012"/>
    <w:rsid w:val="00854233"/>
    <w:rsid w:val="00854DBA"/>
    <w:rsid w:val="0085543F"/>
    <w:rsid w:val="008555C4"/>
    <w:rsid w:val="008564B0"/>
    <w:rsid w:val="00856C36"/>
    <w:rsid w:val="008578F5"/>
    <w:rsid w:val="00857B2C"/>
    <w:rsid w:val="00857B2D"/>
    <w:rsid w:val="00860C09"/>
    <w:rsid w:val="00860E03"/>
    <w:rsid w:val="00861C3D"/>
    <w:rsid w:val="00861E7E"/>
    <w:rsid w:val="0086212C"/>
    <w:rsid w:val="00862444"/>
    <w:rsid w:val="00862FA9"/>
    <w:rsid w:val="008631B7"/>
    <w:rsid w:val="00863C00"/>
    <w:rsid w:val="00863F91"/>
    <w:rsid w:val="008640FA"/>
    <w:rsid w:val="00864168"/>
    <w:rsid w:val="00864BA6"/>
    <w:rsid w:val="00864F1D"/>
    <w:rsid w:val="0086502A"/>
    <w:rsid w:val="00866917"/>
    <w:rsid w:val="00867475"/>
    <w:rsid w:val="00867E50"/>
    <w:rsid w:val="00870042"/>
    <w:rsid w:val="008701E3"/>
    <w:rsid w:val="0087045E"/>
    <w:rsid w:val="00870751"/>
    <w:rsid w:val="00870B78"/>
    <w:rsid w:val="00870F1A"/>
    <w:rsid w:val="0087122F"/>
    <w:rsid w:val="00871676"/>
    <w:rsid w:val="00871BC1"/>
    <w:rsid w:val="00871D16"/>
    <w:rsid w:val="00872DAD"/>
    <w:rsid w:val="0087351B"/>
    <w:rsid w:val="008737AC"/>
    <w:rsid w:val="0087395E"/>
    <w:rsid w:val="00873991"/>
    <w:rsid w:val="00873C85"/>
    <w:rsid w:val="00873ED4"/>
    <w:rsid w:val="00874426"/>
    <w:rsid w:val="008745E2"/>
    <w:rsid w:val="0087484A"/>
    <w:rsid w:val="00874C43"/>
    <w:rsid w:val="00875754"/>
    <w:rsid w:val="00875947"/>
    <w:rsid w:val="00875EFA"/>
    <w:rsid w:val="00875F94"/>
    <w:rsid w:val="00876605"/>
    <w:rsid w:val="008769C6"/>
    <w:rsid w:val="00876F1A"/>
    <w:rsid w:val="00876FDD"/>
    <w:rsid w:val="00880AAE"/>
    <w:rsid w:val="00880B84"/>
    <w:rsid w:val="00880F0C"/>
    <w:rsid w:val="008810A7"/>
    <w:rsid w:val="0088143C"/>
    <w:rsid w:val="0088183E"/>
    <w:rsid w:val="00881895"/>
    <w:rsid w:val="00881A11"/>
    <w:rsid w:val="00882279"/>
    <w:rsid w:val="00882307"/>
    <w:rsid w:val="0088276E"/>
    <w:rsid w:val="00883280"/>
    <w:rsid w:val="008837A8"/>
    <w:rsid w:val="00883A30"/>
    <w:rsid w:val="00883DEB"/>
    <w:rsid w:val="008848C9"/>
    <w:rsid w:val="00884CED"/>
    <w:rsid w:val="00884F81"/>
    <w:rsid w:val="0088567A"/>
    <w:rsid w:val="00885687"/>
    <w:rsid w:val="00885A0B"/>
    <w:rsid w:val="00885DC8"/>
    <w:rsid w:val="00885F6B"/>
    <w:rsid w:val="00885FC9"/>
    <w:rsid w:val="00886027"/>
    <w:rsid w:val="008861F7"/>
    <w:rsid w:val="00886ED5"/>
    <w:rsid w:val="00887943"/>
    <w:rsid w:val="008879BB"/>
    <w:rsid w:val="008879E8"/>
    <w:rsid w:val="00887C89"/>
    <w:rsid w:val="0089090A"/>
    <w:rsid w:val="00890BEB"/>
    <w:rsid w:val="00890C0D"/>
    <w:rsid w:val="00891BF6"/>
    <w:rsid w:val="00892503"/>
    <w:rsid w:val="00892BF1"/>
    <w:rsid w:val="00892D0C"/>
    <w:rsid w:val="008933F3"/>
    <w:rsid w:val="00894080"/>
    <w:rsid w:val="00894908"/>
    <w:rsid w:val="00894968"/>
    <w:rsid w:val="00894B1D"/>
    <w:rsid w:val="00895239"/>
    <w:rsid w:val="00895F3A"/>
    <w:rsid w:val="008961BF"/>
    <w:rsid w:val="00896745"/>
    <w:rsid w:val="00896FD6"/>
    <w:rsid w:val="008971C5"/>
    <w:rsid w:val="00897798"/>
    <w:rsid w:val="008979B4"/>
    <w:rsid w:val="00897D68"/>
    <w:rsid w:val="008A02DE"/>
    <w:rsid w:val="008A0429"/>
    <w:rsid w:val="008A1339"/>
    <w:rsid w:val="008A16E4"/>
    <w:rsid w:val="008A1A76"/>
    <w:rsid w:val="008A1E9F"/>
    <w:rsid w:val="008A270F"/>
    <w:rsid w:val="008A2789"/>
    <w:rsid w:val="008A29E1"/>
    <w:rsid w:val="008A3BB6"/>
    <w:rsid w:val="008A3C19"/>
    <w:rsid w:val="008A3F92"/>
    <w:rsid w:val="008A4859"/>
    <w:rsid w:val="008A4880"/>
    <w:rsid w:val="008A579D"/>
    <w:rsid w:val="008A58D5"/>
    <w:rsid w:val="008A5BCA"/>
    <w:rsid w:val="008A5E5B"/>
    <w:rsid w:val="008A6CA6"/>
    <w:rsid w:val="008A764C"/>
    <w:rsid w:val="008A7E4F"/>
    <w:rsid w:val="008B004C"/>
    <w:rsid w:val="008B0101"/>
    <w:rsid w:val="008B03E9"/>
    <w:rsid w:val="008B045C"/>
    <w:rsid w:val="008B0CEC"/>
    <w:rsid w:val="008B177F"/>
    <w:rsid w:val="008B2069"/>
    <w:rsid w:val="008B2B18"/>
    <w:rsid w:val="008B2CE2"/>
    <w:rsid w:val="008B2F67"/>
    <w:rsid w:val="008B34D0"/>
    <w:rsid w:val="008B3509"/>
    <w:rsid w:val="008B3623"/>
    <w:rsid w:val="008B3BA7"/>
    <w:rsid w:val="008B3F43"/>
    <w:rsid w:val="008B495F"/>
    <w:rsid w:val="008B4B43"/>
    <w:rsid w:val="008B5014"/>
    <w:rsid w:val="008B529C"/>
    <w:rsid w:val="008B562F"/>
    <w:rsid w:val="008B5D6E"/>
    <w:rsid w:val="008B5F22"/>
    <w:rsid w:val="008B6B88"/>
    <w:rsid w:val="008B7424"/>
    <w:rsid w:val="008B795D"/>
    <w:rsid w:val="008B7CD7"/>
    <w:rsid w:val="008C06D6"/>
    <w:rsid w:val="008C0811"/>
    <w:rsid w:val="008C0A41"/>
    <w:rsid w:val="008C0CA8"/>
    <w:rsid w:val="008C0CBC"/>
    <w:rsid w:val="008C1164"/>
    <w:rsid w:val="008C17E3"/>
    <w:rsid w:val="008C1B44"/>
    <w:rsid w:val="008C1B77"/>
    <w:rsid w:val="008C2304"/>
    <w:rsid w:val="008C2773"/>
    <w:rsid w:val="008C359C"/>
    <w:rsid w:val="008C4788"/>
    <w:rsid w:val="008C5296"/>
    <w:rsid w:val="008C599F"/>
    <w:rsid w:val="008C5F50"/>
    <w:rsid w:val="008C61CA"/>
    <w:rsid w:val="008C6935"/>
    <w:rsid w:val="008C6A3C"/>
    <w:rsid w:val="008C6C47"/>
    <w:rsid w:val="008C7130"/>
    <w:rsid w:val="008C7492"/>
    <w:rsid w:val="008C79E8"/>
    <w:rsid w:val="008C7CE8"/>
    <w:rsid w:val="008C7E2D"/>
    <w:rsid w:val="008C7F02"/>
    <w:rsid w:val="008D0127"/>
    <w:rsid w:val="008D1208"/>
    <w:rsid w:val="008D16C5"/>
    <w:rsid w:val="008D1D24"/>
    <w:rsid w:val="008D2641"/>
    <w:rsid w:val="008D2BAC"/>
    <w:rsid w:val="008D2CCB"/>
    <w:rsid w:val="008D3589"/>
    <w:rsid w:val="008D3778"/>
    <w:rsid w:val="008D378B"/>
    <w:rsid w:val="008D381D"/>
    <w:rsid w:val="008D41B1"/>
    <w:rsid w:val="008D4A69"/>
    <w:rsid w:val="008D4E05"/>
    <w:rsid w:val="008D4F18"/>
    <w:rsid w:val="008D5646"/>
    <w:rsid w:val="008D5E07"/>
    <w:rsid w:val="008D5FCD"/>
    <w:rsid w:val="008D6283"/>
    <w:rsid w:val="008D6A06"/>
    <w:rsid w:val="008D6AAC"/>
    <w:rsid w:val="008D6D4B"/>
    <w:rsid w:val="008D735D"/>
    <w:rsid w:val="008D7DF4"/>
    <w:rsid w:val="008E007D"/>
    <w:rsid w:val="008E031C"/>
    <w:rsid w:val="008E0BB2"/>
    <w:rsid w:val="008E0C11"/>
    <w:rsid w:val="008E0C5A"/>
    <w:rsid w:val="008E0D56"/>
    <w:rsid w:val="008E0E16"/>
    <w:rsid w:val="008E16EF"/>
    <w:rsid w:val="008E1A36"/>
    <w:rsid w:val="008E24D7"/>
    <w:rsid w:val="008E259F"/>
    <w:rsid w:val="008E3A05"/>
    <w:rsid w:val="008E5164"/>
    <w:rsid w:val="008E538B"/>
    <w:rsid w:val="008E56A2"/>
    <w:rsid w:val="008E5E3F"/>
    <w:rsid w:val="008E614B"/>
    <w:rsid w:val="008E6160"/>
    <w:rsid w:val="008E648A"/>
    <w:rsid w:val="008E724B"/>
    <w:rsid w:val="008E76C4"/>
    <w:rsid w:val="008E7954"/>
    <w:rsid w:val="008E7D57"/>
    <w:rsid w:val="008F0499"/>
    <w:rsid w:val="008F073D"/>
    <w:rsid w:val="008F0BFE"/>
    <w:rsid w:val="008F0D81"/>
    <w:rsid w:val="008F0E79"/>
    <w:rsid w:val="008F139C"/>
    <w:rsid w:val="008F1DDB"/>
    <w:rsid w:val="008F2063"/>
    <w:rsid w:val="008F216B"/>
    <w:rsid w:val="008F271B"/>
    <w:rsid w:val="008F2B2F"/>
    <w:rsid w:val="008F2DB9"/>
    <w:rsid w:val="008F2E10"/>
    <w:rsid w:val="008F3373"/>
    <w:rsid w:val="008F35B2"/>
    <w:rsid w:val="008F35CE"/>
    <w:rsid w:val="008F376E"/>
    <w:rsid w:val="008F3D04"/>
    <w:rsid w:val="008F40A2"/>
    <w:rsid w:val="008F46AC"/>
    <w:rsid w:val="008F4712"/>
    <w:rsid w:val="008F4A39"/>
    <w:rsid w:val="008F4DB6"/>
    <w:rsid w:val="008F5895"/>
    <w:rsid w:val="008F58A7"/>
    <w:rsid w:val="008F6952"/>
    <w:rsid w:val="008F75BA"/>
    <w:rsid w:val="008F786C"/>
    <w:rsid w:val="008F7B8F"/>
    <w:rsid w:val="00900253"/>
    <w:rsid w:val="00900606"/>
    <w:rsid w:val="00900A20"/>
    <w:rsid w:val="00900E9F"/>
    <w:rsid w:val="00900F28"/>
    <w:rsid w:val="009013F0"/>
    <w:rsid w:val="009014F2"/>
    <w:rsid w:val="0090184D"/>
    <w:rsid w:val="00901C10"/>
    <w:rsid w:val="00901E73"/>
    <w:rsid w:val="009022E3"/>
    <w:rsid w:val="00902576"/>
    <w:rsid w:val="00902B7F"/>
    <w:rsid w:val="00902CE0"/>
    <w:rsid w:val="00903CE2"/>
    <w:rsid w:val="00903E01"/>
    <w:rsid w:val="009044F0"/>
    <w:rsid w:val="00904FCB"/>
    <w:rsid w:val="0090533B"/>
    <w:rsid w:val="0090546E"/>
    <w:rsid w:val="00905A99"/>
    <w:rsid w:val="00905F85"/>
    <w:rsid w:val="00906B14"/>
    <w:rsid w:val="00906BEF"/>
    <w:rsid w:val="00906F3D"/>
    <w:rsid w:val="00907BD3"/>
    <w:rsid w:val="00907C0A"/>
    <w:rsid w:val="00907C8A"/>
    <w:rsid w:val="00907D36"/>
    <w:rsid w:val="009100D8"/>
    <w:rsid w:val="009105E3"/>
    <w:rsid w:val="009106B2"/>
    <w:rsid w:val="00910AAE"/>
    <w:rsid w:val="00910B36"/>
    <w:rsid w:val="00910C4A"/>
    <w:rsid w:val="00910E8C"/>
    <w:rsid w:val="00910FBA"/>
    <w:rsid w:val="00911070"/>
    <w:rsid w:val="009111C2"/>
    <w:rsid w:val="009118C6"/>
    <w:rsid w:val="00911C2A"/>
    <w:rsid w:val="00912179"/>
    <w:rsid w:val="0091233F"/>
    <w:rsid w:val="00912BE7"/>
    <w:rsid w:val="00912EBA"/>
    <w:rsid w:val="009139DA"/>
    <w:rsid w:val="00913CE1"/>
    <w:rsid w:val="00914CD4"/>
    <w:rsid w:val="00915403"/>
    <w:rsid w:val="00915735"/>
    <w:rsid w:val="00915876"/>
    <w:rsid w:val="0091690C"/>
    <w:rsid w:val="00916F1C"/>
    <w:rsid w:val="0091745C"/>
    <w:rsid w:val="009176AC"/>
    <w:rsid w:val="00917A96"/>
    <w:rsid w:val="00917BC6"/>
    <w:rsid w:val="00917CD2"/>
    <w:rsid w:val="00917DFD"/>
    <w:rsid w:val="009209C5"/>
    <w:rsid w:val="00920A8C"/>
    <w:rsid w:val="00920C8C"/>
    <w:rsid w:val="009211AD"/>
    <w:rsid w:val="00921314"/>
    <w:rsid w:val="00921884"/>
    <w:rsid w:val="00921BC4"/>
    <w:rsid w:val="009220C4"/>
    <w:rsid w:val="00922231"/>
    <w:rsid w:val="00922AA0"/>
    <w:rsid w:val="00922D05"/>
    <w:rsid w:val="009235FE"/>
    <w:rsid w:val="00923637"/>
    <w:rsid w:val="00923DB3"/>
    <w:rsid w:val="00924208"/>
    <w:rsid w:val="00924B41"/>
    <w:rsid w:val="009250BF"/>
    <w:rsid w:val="009250E1"/>
    <w:rsid w:val="009254BB"/>
    <w:rsid w:val="009257A6"/>
    <w:rsid w:val="00925CB7"/>
    <w:rsid w:val="00925CF9"/>
    <w:rsid w:val="0092609C"/>
    <w:rsid w:val="009269B7"/>
    <w:rsid w:val="00927A1C"/>
    <w:rsid w:val="00927B50"/>
    <w:rsid w:val="00927E76"/>
    <w:rsid w:val="009300E1"/>
    <w:rsid w:val="009301D1"/>
    <w:rsid w:val="00930248"/>
    <w:rsid w:val="0093030A"/>
    <w:rsid w:val="009304FA"/>
    <w:rsid w:val="00931040"/>
    <w:rsid w:val="00931BAB"/>
    <w:rsid w:val="00931F8F"/>
    <w:rsid w:val="009324A2"/>
    <w:rsid w:val="00932647"/>
    <w:rsid w:val="00933BCF"/>
    <w:rsid w:val="00933BEF"/>
    <w:rsid w:val="00933C81"/>
    <w:rsid w:val="00933D47"/>
    <w:rsid w:val="00934200"/>
    <w:rsid w:val="0093424A"/>
    <w:rsid w:val="00934E90"/>
    <w:rsid w:val="00934FC4"/>
    <w:rsid w:val="00935100"/>
    <w:rsid w:val="00935214"/>
    <w:rsid w:val="00935348"/>
    <w:rsid w:val="009358B5"/>
    <w:rsid w:val="009359D3"/>
    <w:rsid w:val="00935A29"/>
    <w:rsid w:val="00935E31"/>
    <w:rsid w:val="00936877"/>
    <w:rsid w:val="00936903"/>
    <w:rsid w:val="00936C4C"/>
    <w:rsid w:val="00936CC2"/>
    <w:rsid w:val="00936D82"/>
    <w:rsid w:val="00936E2B"/>
    <w:rsid w:val="0093735A"/>
    <w:rsid w:val="009374FC"/>
    <w:rsid w:val="009377DD"/>
    <w:rsid w:val="00937DA0"/>
    <w:rsid w:val="00940B8F"/>
    <w:rsid w:val="00940C08"/>
    <w:rsid w:val="00941381"/>
    <w:rsid w:val="0094160A"/>
    <w:rsid w:val="009416FC"/>
    <w:rsid w:val="00941E76"/>
    <w:rsid w:val="00942858"/>
    <w:rsid w:val="009428D7"/>
    <w:rsid w:val="00942B1A"/>
    <w:rsid w:val="00942C61"/>
    <w:rsid w:val="0094373D"/>
    <w:rsid w:val="0094378D"/>
    <w:rsid w:val="009440B0"/>
    <w:rsid w:val="00944309"/>
    <w:rsid w:val="00944337"/>
    <w:rsid w:val="009443BF"/>
    <w:rsid w:val="009447BE"/>
    <w:rsid w:val="00944B20"/>
    <w:rsid w:val="00945AC3"/>
    <w:rsid w:val="00945E49"/>
    <w:rsid w:val="00946048"/>
    <w:rsid w:val="009462D6"/>
    <w:rsid w:val="00946760"/>
    <w:rsid w:val="00946D41"/>
    <w:rsid w:val="00947B70"/>
    <w:rsid w:val="009501AD"/>
    <w:rsid w:val="00950AAB"/>
    <w:rsid w:val="0095172A"/>
    <w:rsid w:val="00952509"/>
    <w:rsid w:val="00952766"/>
    <w:rsid w:val="00952886"/>
    <w:rsid w:val="00953109"/>
    <w:rsid w:val="00953459"/>
    <w:rsid w:val="0095350C"/>
    <w:rsid w:val="00953BF1"/>
    <w:rsid w:val="00954369"/>
    <w:rsid w:val="00954939"/>
    <w:rsid w:val="009549C6"/>
    <w:rsid w:val="0095527F"/>
    <w:rsid w:val="0095594A"/>
    <w:rsid w:val="00955C44"/>
    <w:rsid w:val="00955C87"/>
    <w:rsid w:val="009562D8"/>
    <w:rsid w:val="00956310"/>
    <w:rsid w:val="00956643"/>
    <w:rsid w:val="009568D8"/>
    <w:rsid w:val="0095733A"/>
    <w:rsid w:val="0096039D"/>
    <w:rsid w:val="009608A8"/>
    <w:rsid w:val="00960A8F"/>
    <w:rsid w:val="00960E8E"/>
    <w:rsid w:val="009610D7"/>
    <w:rsid w:val="00961318"/>
    <w:rsid w:val="0096166D"/>
    <w:rsid w:val="0096166E"/>
    <w:rsid w:val="0096174B"/>
    <w:rsid w:val="00961E70"/>
    <w:rsid w:val="00961EE7"/>
    <w:rsid w:val="0096280A"/>
    <w:rsid w:val="009629EC"/>
    <w:rsid w:val="00962EAC"/>
    <w:rsid w:val="009639FD"/>
    <w:rsid w:val="00963C33"/>
    <w:rsid w:val="00963FA3"/>
    <w:rsid w:val="009643B5"/>
    <w:rsid w:val="00964934"/>
    <w:rsid w:val="009649C6"/>
    <w:rsid w:val="00964A47"/>
    <w:rsid w:val="00964E49"/>
    <w:rsid w:val="009651B1"/>
    <w:rsid w:val="00966025"/>
    <w:rsid w:val="009662C4"/>
    <w:rsid w:val="00966348"/>
    <w:rsid w:val="009664B1"/>
    <w:rsid w:val="0096681C"/>
    <w:rsid w:val="00966852"/>
    <w:rsid w:val="00966DAB"/>
    <w:rsid w:val="0096788E"/>
    <w:rsid w:val="00967A66"/>
    <w:rsid w:val="00967ED0"/>
    <w:rsid w:val="009705DA"/>
    <w:rsid w:val="009716D2"/>
    <w:rsid w:val="009719CE"/>
    <w:rsid w:val="00971CD2"/>
    <w:rsid w:val="0097243B"/>
    <w:rsid w:val="00972BC7"/>
    <w:rsid w:val="00973040"/>
    <w:rsid w:val="0097366E"/>
    <w:rsid w:val="00973796"/>
    <w:rsid w:val="009749E9"/>
    <w:rsid w:val="00974BE6"/>
    <w:rsid w:val="00974DDF"/>
    <w:rsid w:val="00974ECA"/>
    <w:rsid w:val="0097530C"/>
    <w:rsid w:val="009754EC"/>
    <w:rsid w:val="00975836"/>
    <w:rsid w:val="00976222"/>
    <w:rsid w:val="00976641"/>
    <w:rsid w:val="0097666B"/>
    <w:rsid w:val="00976B67"/>
    <w:rsid w:val="0098075D"/>
    <w:rsid w:val="00980892"/>
    <w:rsid w:val="00980A66"/>
    <w:rsid w:val="0098103D"/>
    <w:rsid w:val="0098214F"/>
    <w:rsid w:val="0098245B"/>
    <w:rsid w:val="009824B7"/>
    <w:rsid w:val="00982C0F"/>
    <w:rsid w:val="00982C56"/>
    <w:rsid w:val="00982F58"/>
    <w:rsid w:val="00982FBE"/>
    <w:rsid w:val="009830C8"/>
    <w:rsid w:val="00984108"/>
    <w:rsid w:val="00984544"/>
    <w:rsid w:val="00984C75"/>
    <w:rsid w:val="00984D82"/>
    <w:rsid w:val="00985439"/>
    <w:rsid w:val="00985500"/>
    <w:rsid w:val="009855F4"/>
    <w:rsid w:val="00986A3D"/>
    <w:rsid w:val="00986AA7"/>
    <w:rsid w:val="0098722B"/>
    <w:rsid w:val="009872B4"/>
    <w:rsid w:val="009876A7"/>
    <w:rsid w:val="00987E57"/>
    <w:rsid w:val="00990518"/>
    <w:rsid w:val="00990800"/>
    <w:rsid w:val="00990920"/>
    <w:rsid w:val="00991384"/>
    <w:rsid w:val="00991A15"/>
    <w:rsid w:val="00991ABB"/>
    <w:rsid w:val="00991D48"/>
    <w:rsid w:val="00992130"/>
    <w:rsid w:val="0099230C"/>
    <w:rsid w:val="00992517"/>
    <w:rsid w:val="009929C0"/>
    <w:rsid w:val="009937AA"/>
    <w:rsid w:val="00993B42"/>
    <w:rsid w:val="009941EE"/>
    <w:rsid w:val="00994656"/>
    <w:rsid w:val="009949A2"/>
    <w:rsid w:val="009949D2"/>
    <w:rsid w:val="00995760"/>
    <w:rsid w:val="00995C47"/>
    <w:rsid w:val="00995DB2"/>
    <w:rsid w:val="00995F52"/>
    <w:rsid w:val="009963EB"/>
    <w:rsid w:val="009964BA"/>
    <w:rsid w:val="009975C2"/>
    <w:rsid w:val="00997693"/>
    <w:rsid w:val="00997A81"/>
    <w:rsid w:val="00997A8E"/>
    <w:rsid w:val="00997AB8"/>
    <w:rsid w:val="00997B86"/>
    <w:rsid w:val="009A0BA9"/>
    <w:rsid w:val="009A0E88"/>
    <w:rsid w:val="009A1906"/>
    <w:rsid w:val="009A1D27"/>
    <w:rsid w:val="009A244E"/>
    <w:rsid w:val="009A246F"/>
    <w:rsid w:val="009A2D60"/>
    <w:rsid w:val="009A3190"/>
    <w:rsid w:val="009A45CE"/>
    <w:rsid w:val="009A5408"/>
    <w:rsid w:val="009A5C4D"/>
    <w:rsid w:val="009A5FE2"/>
    <w:rsid w:val="009A60B3"/>
    <w:rsid w:val="009A6133"/>
    <w:rsid w:val="009A6CFF"/>
    <w:rsid w:val="009A6FDB"/>
    <w:rsid w:val="009A7000"/>
    <w:rsid w:val="009A749B"/>
    <w:rsid w:val="009A7DDB"/>
    <w:rsid w:val="009B05AB"/>
    <w:rsid w:val="009B08BA"/>
    <w:rsid w:val="009B1176"/>
    <w:rsid w:val="009B12DF"/>
    <w:rsid w:val="009B18BE"/>
    <w:rsid w:val="009B2C7E"/>
    <w:rsid w:val="009B3AAE"/>
    <w:rsid w:val="009B3E7E"/>
    <w:rsid w:val="009B41B0"/>
    <w:rsid w:val="009B4344"/>
    <w:rsid w:val="009B57C0"/>
    <w:rsid w:val="009B5A59"/>
    <w:rsid w:val="009B5CF5"/>
    <w:rsid w:val="009B5DF8"/>
    <w:rsid w:val="009B656B"/>
    <w:rsid w:val="009B674A"/>
    <w:rsid w:val="009B6788"/>
    <w:rsid w:val="009B75E9"/>
    <w:rsid w:val="009B7822"/>
    <w:rsid w:val="009B7F79"/>
    <w:rsid w:val="009C0400"/>
    <w:rsid w:val="009C06DD"/>
    <w:rsid w:val="009C1542"/>
    <w:rsid w:val="009C1D40"/>
    <w:rsid w:val="009C1FF9"/>
    <w:rsid w:val="009C23E0"/>
    <w:rsid w:val="009C2A4E"/>
    <w:rsid w:val="009C2B44"/>
    <w:rsid w:val="009C3816"/>
    <w:rsid w:val="009C3CBF"/>
    <w:rsid w:val="009C467D"/>
    <w:rsid w:val="009C470C"/>
    <w:rsid w:val="009C48EC"/>
    <w:rsid w:val="009C4A30"/>
    <w:rsid w:val="009C4BBD"/>
    <w:rsid w:val="009C4BCF"/>
    <w:rsid w:val="009C4CA6"/>
    <w:rsid w:val="009C4F0B"/>
    <w:rsid w:val="009C4FD8"/>
    <w:rsid w:val="009C535D"/>
    <w:rsid w:val="009C5989"/>
    <w:rsid w:val="009C64B5"/>
    <w:rsid w:val="009C6650"/>
    <w:rsid w:val="009C680A"/>
    <w:rsid w:val="009C6B8A"/>
    <w:rsid w:val="009C6BAE"/>
    <w:rsid w:val="009C6E2B"/>
    <w:rsid w:val="009C6F8E"/>
    <w:rsid w:val="009C7205"/>
    <w:rsid w:val="009C7547"/>
    <w:rsid w:val="009C7A7D"/>
    <w:rsid w:val="009D0DE9"/>
    <w:rsid w:val="009D0F3F"/>
    <w:rsid w:val="009D1441"/>
    <w:rsid w:val="009D173B"/>
    <w:rsid w:val="009D186E"/>
    <w:rsid w:val="009D195F"/>
    <w:rsid w:val="009D1AAF"/>
    <w:rsid w:val="009D1E86"/>
    <w:rsid w:val="009D2042"/>
    <w:rsid w:val="009D2B8C"/>
    <w:rsid w:val="009D316F"/>
    <w:rsid w:val="009D3754"/>
    <w:rsid w:val="009D4120"/>
    <w:rsid w:val="009D42E8"/>
    <w:rsid w:val="009D54BB"/>
    <w:rsid w:val="009D5DE7"/>
    <w:rsid w:val="009D5F76"/>
    <w:rsid w:val="009D61F3"/>
    <w:rsid w:val="009D6792"/>
    <w:rsid w:val="009D6D6B"/>
    <w:rsid w:val="009D6E79"/>
    <w:rsid w:val="009D6F8D"/>
    <w:rsid w:val="009D7099"/>
    <w:rsid w:val="009D71A5"/>
    <w:rsid w:val="009D7485"/>
    <w:rsid w:val="009D78E2"/>
    <w:rsid w:val="009D7C36"/>
    <w:rsid w:val="009E01DC"/>
    <w:rsid w:val="009E1252"/>
    <w:rsid w:val="009E13F8"/>
    <w:rsid w:val="009E1476"/>
    <w:rsid w:val="009E1715"/>
    <w:rsid w:val="009E188C"/>
    <w:rsid w:val="009E3660"/>
    <w:rsid w:val="009E3C83"/>
    <w:rsid w:val="009E4196"/>
    <w:rsid w:val="009E4814"/>
    <w:rsid w:val="009E4A9A"/>
    <w:rsid w:val="009E5398"/>
    <w:rsid w:val="009E53CD"/>
    <w:rsid w:val="009E56F9"/>
    <w:rsid w:val="009E5A4E"/>
    <w:rsid w:val="009E5D55"/>
    <w:rsid w:val="009E6E8F"/>
    <w:rsid w:val="009E6F66"/>
    <w:rsid w:val="009E7237"/>
    <w:rsid w:val="009E72B9"/>
    <w:rsid w:val="009E77F2"/>
    <w:rsid w:val="009E7C6D"/>
    <w:rsid w:val="009E7FDD"/>
    <w:rsid w:val="009F0852"/>
    <w:rsid w:val="009F09D6"/>
    <w:rsid w:val="009F0E3D"/>
    <w:rsid w:val="009F1916"/>
    <w:rsid w:val="009F1AD1"/>
    <w:rsid w:val="009F28D2"/>
    <w:rsid w:val="009F2B5B"/>
    <w:rsid w:val="009F2C28"/>
    <w:rsid w:val="009F2D2F"/>
    <w:rsid w:val="009F31F1"/>
    <w:rsid w:val="009F3376"/>
    <w:rsid w:val="009F3418"/>
    <w:rsid w:val="009F45E4"/>
    <w:rsid w:val="009F521E"/>
    <w:rsid w:val="009F5B16"/>
    <w:rsid w:val="009F602E"/>
    <w:rsid w:val="009F66FE"/>
    <w:rsid w:val="009F6F92"/>
    <w:rsid w:val="009F75A2"/>
    <w:rsid w:val="009F7AED"/>
    <w:rsid w:val="009F7DBD"/>
    <w:rsid w:val="009F7FBB"/>
    <w:rsid w:val="00A00189"/>
    <w:rsid w:val="00A005CE"/>
    <w:rsid w:val="00A005EE"/>
    <w:rsid w:val="00A00C7B"/>
    <w:rsid w:val="00A00CEB"/>
    <w:rsid w:val="00A012EF"/>
    <w:rsid w:val="00A01AAC"/>
    <w:rsid w:val="00A02361"/>
    <w:rsid w:val="00A0280A"/>
    <w:rsid w:val="00A02842"/>
    <w:rsid w:val="00A0298E"/>
    <w:rsid w:val="00A032FD"/>
    <w:rsid w:val="00A03D36"/>
    <w:rsid w:val="00A03D7D"/>
    <w:rsid w:val="00A050E4"/>
    <w:rsid w:val="00A05208"/>
    <w:rsid w:val="00A054EC"/>
    <w:rsid w:val="00A06759"/>
    <w:rsid w:val="00A06B93"/>
    <w:rsid w:val="00A06BD4"/>
    <w:rsid w:val="00A06F5A"/>
    <w:rsid w:val="00A078C2"/>
    <w:rsid w:val="00A0793F"/>
    <w:rsid w:val="00A07940"/>
    <w:rsid w:val="00A07AD4"/>
    <w:rsid w:val="00A07B0E"/>
    <w:rsid w:val="00A07DBF"/>
    <w:rsid w:val="00A104F3"/>
    <w:rsid w:val="00A105FC"/>
    <w:rsid w:val="00A10C98"/>
    <w:rsid w:val="00A10EA6"/>
    <w:rsid w:val="00A11009"/>
    <w:rsid w:val="00A11917"/>
    <w:rsid w:val="00A11E9C"/>
    <w:rsid w:val="00A1204C"/>
    <w:rsid w:val="00A12648"/>
    <w:rsid w:val="00A12A63"/>
    <w:rsid w:val="00A12C94"/>
    <w:rsid w:val="00A1331B"/>
    <w:rsid w:val="00A134D0"/>
    <w:rsid w:val="00A13894"/>
    <w:rsid w:val="00A13A4F"/>
    <w:rsid w:val="00A13DCC"/>
    <w:rsid w:val="00A140FA"/>
    <w:rsid w:val="00A141DE"/>
    <w:rsid w:val="00A1429E"/>
    <w:rsid w:val="00A143B6"/>
    <w:rsid w:val="00A153DE"/>
    <w:rsid w:val="00A1557D"/>
    <w:rsid w:val="00A162A9"/>
    <w:rsid w:val="00A1685E"/>
    <w:rsid w:val="00A16F31"/>
    <w:rsid w:val="00A174E7"/>
    <w:rsid w:val="00A175F1"/>
    <w:rsid w:val="00A201A8"/>
    <w:rsid w:val="00A2020D"/>
    <w:rsid w:val="00A20D13"/>
    <w:rsid w:val="00A20D44"/>
    <w:rsid w:val="00A212C6"/>
    <w:rsid w:val="00A2140B"/>
    <w:rsid w:val="00A21E94"/>
    <w:rsid w:val="00A21F3B"/>
    <w:rsid w:val="00A22424"/>
    <w:rsid w:val="00A229D9"/>
    <w:rsid w:val="00A22A80"/>
    <w:rsid w:val="00A22CC5"/>
    <w:rsid w:val="00A22DFB"/>
    <w:rsid w:val="00A236E3"/>
    <w:rsid w:val="00A2374B"/>
    <w:rsid w:val="00A23772"/>
    <w:rsid w:val="00A23D1E"/>
    <w:rsid w:val="00A23DA3"/>
    <w:rsid w:val="00A24405"/>
    <w:rsid w:val="00A24A74"/>
    <w:rsid w:val="00A24AD7"/>
    <w:rsid w:val="00A24B3A"/>
    <w:rsid w:val="00A24C19"/>
    <w:rsid w:val="00A25174"/>
    <w:rsid w:val="00A25175"/>
    <w:rsid w:val="00A253D8"/>
    <w:rsid w:val="00A256B3"/>
    <w:rsid w:val="00A25822"/>
    <w:rsid w:val="00A259CD"/>
    <w:rsid w:val="00A25BA7"/>
    <w:rsid w:val="00A26645"/>
    <w:rsid w:val="00A269A0"/>
    <w:rsid w:val="00A26BCE"/>
    <w:rsid w:val="00A26E54"/>
    <w:rsid w:val="00A26F5C"/>
    <w:rsid w:val="00A27033"/>
    <w:rsid w:val="00A27D36"/>
    <w:rsid w:val="00A30025"/>
    <w:rsid w:val="00A30195"/>
    <w:rsid w:val="00A30460"/>
    <w:rsid w:val="00A3078C"/>
    <w:rsid w:val="00A30BBD"/>
    <w:rsid w:val="00A30BF1"/>
    <w:rsid w:val="00A30D08"/>
    <w:rsid w:val="00A31051"/>
    <w:rsid w:val="00A313B4"/>
    <w:rsid w:val="00A31791"/>
    <w:rsid w:val="00A31C79"/>
    <w:rsid w:val="00A32198"/>
    <w:rsid w:val="00A329F4"/>
    <w:rsid w:val="00A33E1A"/>
    <w:rsid w:val="00A341B2"/>
    <w:rsid w:val="00A3465E"/>
    <w:rsid w:val="00A34888"/>
    <w:rsid w:val="00A34B18"/>
    <w:rsid w:val="00A34B5B"/>
    <w:rsid w:val="00A34D0D"/>
    <w:rsid w:val="00A3517D"/>
    <w:rsid w:val="00A35BAA"/>
    <w:rsid w:val="00A35BB7"/>
    <w:rsid w:val="00A35C9A"/>
    <w:rsid w:val="00A36002"/>
    <w:rsid w:val="00A36383"/>
    <w:rsid w:val="00A369B2"/>
    <w:rsid w:val="00A36F92"/>
    <w:rsid w:val="00A3745B"/>
    <w:rsid w:val="00A37EC7"/>
    <w:rsid w:val="00A4005B"/>
    <w:rsid w:val="00A40582"/>
    <w:rsid w:val="00A406D3"/>
    <w:rsid w:val="00A408EA"/>
    <w:rsid w:val="00A41400"/>
    <w:rsid w:val="00A41584"/>
    <w:rsid w:val="00A41585"/>
    <w:rsid w:val="00A41882"/>
    <w:rsid w:val="00A41B73"/>
    <w:rsid w:val="00A42014"/>
    <w:rsid w:val="00A4205D"/>
    <w:rsid w:val="00A42460"/>
    <w:rsid w:val="00A428AF"/>
    <w:rsid w:val="00A42901"/>
    <w:rsid w:val="00A430EC"/>
    <w:rsid w:val="00A43152"/>
    <w:rsid w:val="00A43221"/>
    <w:rsid w:val="00A43C33"/>
    <w:rsid w:val="00A43F0B"/>
    <w:rsid w:val="00A44609"/>
    <w:rsid w:val="00A45387"/>
    <w:rsid w:val="00A458C6"/>
    <w:rsid w:val="00A459F8"/>
    <w:rsid w:val="00A45A18"/>
    <w:rsid w:val="00A4685E"/>
    <w:rsid w:val="00A4688C"/>
    <w:rsid w:val="00A46976"/>
    <w:rsid w:val="00A47108"/>
    <w:rsid w:val="00A4720B"/>
    <w:rsid w:val="00A474E0"/>
    <w:rsid w:val="00A4761D"/>
    <w:rsid w:val="00A47821"/>
    <w:rsid w:val="00A479E6"/>
    <w:rsid w:val="00A47CE9"/>
    <w:rsid w:val="00A47DF9"/>
    <w:rsid w:val="00A50163"/>
    <w:rsid w:val="00A50754"/>
    <w:rsid w:val="00A5087F"/>
    <w:rsid w:val="00A511A9"/>
    <w:rsid w:val="00A52A43"/>
    <w:rsid w:val="00A52A66"/>
    <w:rsid w:val="00A52DE9"/>
    <w:rsid w:val="00A52EC2"/>
    <w:rsid w:val="00A53560"/>
    <w:rsid w:val="00A53595"/>
    <w:rsid w:val="00A54435"/>
    <w:rsid w:val="00A54613"/>
    <w:rsid w:val="00A54681"/>
    <w:rsid w:val="00A54B59"/>
    <w:rsid w:val="00A54D72"/>
    <w:rsid w:val="00A552F2"/>
    <w:rsid w:val="00A55478"/>
    <w:rsid w:val="00A55680"/>
    <w:rsid w:val="00A559D2"/>
    <w:rsid w:val="00A55A74"/>
    <w:rsid w:val="00A55F1E"/>
    <w:rsid w:val="00A565BC"/>
    <w:rsid w:val="00A568B9"/>
    <w:rsid w:val="00A56CCF"/>
    <w:rsid w:val="00A56D56"/>
    <w:rsid w:val="00A56E40"/>
    <w:rsid w:val="00A5701F"/>
    <w:rsid w:val="00A5725A"/>
    <w:rsid w:val="00A57391"/>
    <w:rsid w:val="00A579A8"/>
    <w:rsid w:val="00A57AE6"/>
    <w:rsid w:val="00A57D9F"/>
    <w:rsid w:val="00A60BDB"/>
    <w:rsid w:val="00A616CC"/>
    <w:rsid w:val="00A61925"/>
    <w:rsid w:val="00A61DF6"/>
    <w:rsid w:val="00A62EF5"/>
    <w:rsid w:val="00A6336A"/>
    <w:rsid w:val="00A637BF"/>
    <w:rsid w:val="00A63E62"/>
    <w:rsid w:val="00A65682"/>
    <w:rsid w:val="00A65749"/>
    <w:rsid w:val="00A65D9F"/>
    <w:rsid w:val="00A66419"/>
    <w:rsid w:val="00A66C17"/>
    <w:rsid w:val="00A66D63"/>
    <w:rsid w:val="00A673A1"/>
    <w:rsid w:val="00A67807"/>
    <w:rsid w:val="00A67A4E"/>
    <w:rsid w:val="00A67F41"/>
    <w:rsid w:val="00A67F58"/>
    <w:rsid w:val="00A7038E"/>
    <w:rsid w:val="00A70455"/>
    <w:rsid w:val="00A70B66"/>
    <w:rsid w:val="00A70D17"/>
    <w:rsid w:val="00A70F5A"/>
    <w:rsid w:val="00A71D90"/>
    <w:rsid w:val="00A71E70"/>
    <w:rsid w:val="00A725FB"/>
    <w:rsid w:val="00A729EA"/>
    <w:rsid w:val="00A72A3B"/>
    <w:rsid w:val="00A72B6D"/>
    <w:rsid w:val="00A733C2"/>
    <w:rsid w:val="00A73522"/>
    <w:rsid w:val="00A73CF8"/>
    <w:rsid w:val="00A742F3"/>
    <w:rsid w:val="00A743A1"/>
    <w:rsid w:val="00A747A5"/>
    <w:rsid w:val="00A74A46"/>
    <w:rsid w:val="00A74AB4"/>
    <w:rsid w:val="00A75266"/>
    <w:rsid w:val="00A7588F"/>
    <w:rsid w:val="00A75C16"/>
    <w:rsid w:val="00A75D73"/>
    <w:rsid w:val="00A762A4"/>
    <w:rsid w:val="00A76F7A"/>
    <w:rsid w:val="00A774F3"/>
    <w:rsid w:val="00A77BEE"/>
    <w:rsid w:val="00A77F58"/>
    <w:rsid w:val="00A80275"/>
    <w:rsid w:val="00A80408"/>
    <w:rsid w:val="00A80864"/>
    <w:rsid w:val="00A809CA"/>
    <w:rsid w:val="00A818F7"/>
    <w:rsid w:val="00A819C5"/>
    <w:rsid w:val="00A8227D"/>
    <w:rsid w:val="00A82D5A"/>
    <w:rsid w:val="00A830FC"/>
    <w:rsid w:val="00A8319F"/>
    <w:rsid w:val="00A83584"/>
    <w:rsid w:val="00A83BD2"/>
    <w:rsid w:val="00A83CA4"/>
    <w:rsid w:val="00A83EA4"/>
    <w:rsid w:val="00A84005"/>
    <w:rsid w:val="00A8459E"/>
    <w:rsid w:val="00A84802"/>
    <w:rsid w:val="00A848FF"/>
    <w:rsid w:val="00A84CA7"/>
    <w:rsid w:val="00A852BA"/>
    <w:rsid w:val="00A85993"/>
    <w:rsid w:val="00A85BC1"/>
    <w:rsid w:val="00A86388"/>
    <w:rsid w:val="00A86728"/>
    <w:rsid w:val="00A86986"/>
    <w:rsid w:val="00A86B38"/>
    <w:rsid w:val="00A87997"/>
    <w:rsid w:val="00A87AF3"/>
    <w:rsid w:val="00A90175"/>
    <w:rsid w:val="00A90AF5"/>
    <w:rsid w:val="00A914E7"/>
    <w:rsid w:val="00A91553"/>
    <w:rsid w:val="00A91A78"/>
    <w:rsid w:val="00A91F07"/>
    <w:rsid w:val="00A928A7"/>
    <w:rsid w:val="00A939C4"/>
    <w:rsid w:val="00A94055"/>
    <w:rsid w:val="00A942A9"/>
    <w:rsid w:val="00A9495C"/>
    <w:rsid w:val="00A949B2"/>
    <w:rsid w:val="00A94BF4"/>
    <w:rsid w:val="00A94C46"/>
    <w:rsid w:val="00A94D2B"/>
    <w:rsid w:val="00A94F02"/>
    <w:rsid w:val="00A957E7"/>
    <w:rsid w:val="00A95976"/>
    <w:rsid w:val="00A95C36"/>
    <w:rsid w:val="00A9628A"/>
    <w:rsid w:val="00A97427"/>
    <w:rsid w:val="00A979E0"/>
    <w:rsid w:val="00A97B59"/>
    <w:rsid w:val="00AA0073"/>
    <w:rsid w:val="00AA0426"/>
    <w:rsid w:val="00AA1080"/>
    <w:rsid w:val="00AA12E2"/>
    <w:rsid w:val="00AA1850"/>
    <w:rsid w:val="00AA1DD1"/>
    <w:rsid w:val="00AA1E02"/>
    <w:rsid w:val="00AA2CA4"/>
    <w:rsid w:val="00AA440B"/>
    <w:rsid w:val="00AA4BC7"/>
    <w:rsid w:val="00AA4D58"/>
    <w:rsid w:val="00AA4F17"/>
    <w:rsid w:val="00AA5265"/>
    <w:rsid w:val="00AA5325"/>
    <w:rsid w:val="00AA6196"/>
    <w:rsid w:val="00AA6720"/>
    <w:rsid w:val="00AA6EBF"/>
    <w:rsid w:val="00AA754D"/>
    <w:rsid w:val="00AA7661"/>
    <w:rsid w:val="00AA78C5"/>
    <w:rsid w:val="00AA7D14"/>
    <w:rsid w:val="00AB01E6"/>
    <w:rsid w:val="00AB0BAC"/>
    <w:rsid w:val="00AB0CCD"/>
    <w:rsid w:val="00AB0D40"/>
    <w:rsid w:val="00AB0E9E"/>
    <w:rsid w:val="00AB11EA"/>
    <w:rsid w:val="00AB1667"/>
    <w:rsid w:val="00AB1A2C"/>
    <w:rsid w:val="00AB211F"/>
    <w:rsid w:val="00AB2316"/>
    <w:rsid w:val="00AB25CF"/>
    <w:rsid w:val="00AB31D2"/>
    <w:rsid w:val="00AB35FB"/>
    <w:rsid w:val="00AB3696"/>
    <w:rsid w:val="00AB41DA"/>
    <w:rsid w:val="00AB44AE"/>
    <w:rsid w:val="00AB44F5"/>
    <w:rsid w:val="00AB48B8"/>
    <w:rsid w:val="00AB5111"/>
    <w:rsid w:val="00AB5197"/>
    <w:rsid w:val="00AB5B97"/>
    <w:rsid w:val="00AB5F3B"/>
    <w:rsid w:val="00AB665E"/>
    <w:rsid w:val="00AB6E51"/>
    <w:rsid w:val="00AB6E6E"/>
    <w:rsid w:val="00AB7160"/>
    <w:rsid w:val="00AB71D1"/>
    <w:rsid w:val="00AB74D4"/>
    <w:rsid w:val="00AB750C"/>
    <w:rsid w:val="00AB76AA"/>
    <w:rsid w:val="00AB7FA5"/>
    <w:rsid w:val="00AC07D0"/>
    <w:rsid w:val="00AC0C49"/>
    <w:rsid w:val="00AC10E3"/>
    <w:rsid w:val="00AC12AC"/>
    <w:rsid w:val="00AC1655"/>
    <w:rsid w:val="00AC1A3E"/>
    <w:rsid w:val="00AC1A8F"/>
    <w:rsid w:val="00AC1C7E"/>
    <w:rsid w:val="00AC37EB"/>
    <w:rsid w:val="00AC3ECF"/>
    <w:rsid w:val="00AC3EF4"/>
    <w:rsid w:val="00AC535E"/>
    <w:rsid w:val="00AC56A5"/>
    <w:rsid w:val="00AC5945"/>
    <w:rsid w:val="00AC618E"/>
    <w:rsid w:val="00AC6607"/>
    <w:rsid w:val="00AC6688"/>
    <w:rsid w:val="00AC6996"/>
    <w:rsid w:val="00AC6BA6"/>
    <w:rsid w:val="00AC72A0"/>
    <w:rsid w:val="00AC7706"/>
    <w:rsid w:val="00AC7971"/>
    <w:rsid w:val="00AC7C32"/>
    <w:rsid w:val="00AC7D6E"/>
    <w:rsid w:val="00AD065B"/>
    <w:rsid w:val="00AD07CC"/>
    <w:rsid w:val="00AD088A"/>
    <w:rsid w:val="00AD09BB"/>
    <w:rsid w:val="00AD0F7C"/>
    <w:rsid w:val="00AD1010"/>
    <w:rsid w:val="00AD1704"/>
    <w:rsid w:val="00AD1D6F"/>
    <w:rsid w:val="00AD1EA8"/>
    <w:rsid w:val="00AD2196"/>
    <w:rsid w:val="00AD2671"/>
    <w:rsid w:val="00AD2885"/>
    <w:rsid w:val="00AD2C4A"/>
    <w:rsid w:val="00AD39BF"/>
    <w:rsid w:val="00AD43D0"/>
    <w:rsid w:val="00AD4B27"/>
    <w:rsid w:val="00AD4C87"/>
    <w:rsid w:val="00AD4EE3"/>
    <w:rsid w:val="00AD51BD"/>
    <w:rsid w:val="00AD51CA"/>
    <w:rsid w:val="00AD542F"/>
    <w:rsid w:val="00AD5473"/>
    <w:rsid w:val="00AD5542"/>
    <w:rsid w:val="00AD55CD"/>
    <w:rsid w:val="00AD5DD4"/>
    <w:rsid w:val="00AD62BF"/>
    <w:rsid w:val="00AD660A"/>
    <w:rsid w:val="00AD6624"/>
    <w:rsid w:val="00AD662F"/>
    <w:rsid w:val="00AD7213"/>
    <w:rsid w:val="00AD772F"/>
    <w:rsid w:val="00AD7876"/>
    <w:rsid w:val="00AE0040"/>
    <w:rsid w:val="00AE0A85"/>
    <w:rsid w:val="00AE178C"/>
    <w:rsid w:val="00AE184C"/>
    <w:rsid w:val="00AE191E"/>
    <w:rsid w:val="00AE1DD1"/>
    <w:rsid w:val="00AE212D"/>
    <w:rsid w:val="00AE2733"/>
    <w:rsid w:val="00AE2888"/>
    <w:rsid w:val="00AE28F6"/>
    <w:rsid w:val="00AE2D9C"/>
    <w:rsid w:val="00AE3179"/>
    <w:rsid w:val="00AE33A9"/>
    <w:rsid w:val="00AE43F6"/>
    <w:rsid w:val="00AE45DE"/>
    <w:rsid w:val="00AE45E3"/>
    <w:rsid w:val="00AE46A7"/>
    <w:rsid w:val="00AE4BAE"/>
    <w:rsid w:val="00AE4ECF"/>
    <w:rsid w:val="00AE4F4D"/>
    <w:rsid w:val="00AE50F2"/>
    <w:rsid w:val="00AE599B"/>
    <w:rsid w:val="00AE62F9"/>
    <w:rsid w:val="00AE6656"/>
    <w:rsid w:val="00AE6BC9"/>
    <w:rsid w:val="00AE6CEF"/>
    <w:rsid w:val="00AE6F65"/>
    <w:rsid w:val="00AE7563"/>
    <w:rsid w:val="00AE78BE"/>
    <w:rsid w:val="00AE7F2D"/>
    <w:rsid w:val="00AF0058"/>
    <w:rsid w:val="00AF1683"/>
    <w:rsid w:val="00AF25E2"/>
    <w:rsid w:val="00AF27BB"/>
    <w:rsid w:val="00AF2C49"/>
    <w:rsid w:val="00AF30A5"/>
    <w:rsid w:val="00AF34F3"/>
    <w:rsid w:val="00AF3ABB"/>
    <w:rsid w:val="00AF5594"/>
    <w:rsid w:val="00AF56D0"/>
    <w:rsid w:val="00AF570A"/>
    <w:rsid w:val="00AF58DC"/>
    <w:rsid w:val="00AF5A17"/>
    <w:rsid w:val="00AF63EB"/>
    <w:rsid w:val="00AF6A44"/>
    <w:rsid w:val="00AF72A9"/>
    <w:rsid w:val="00AF7473"/>
    <w:rsid w:val="00B00047"/>
    <w:rsid w:val="00B000C5"/>
    <w:rsid w:val="00B0064F"/>
    <w:rsid w:val="00B010EE"/>
    <w:rsid w:val="00B0175F"/>
    <w:rsid w:val="00B0207D"/>
    <w:rsid w:val="00B02780"/>
    <w:rsid w:val="00B03492"/>
    <w:rsid w:val="00B03840"/>
    <w:rsid w:val="00B0419A"/>
    <w:rsid w:val="00B047AC"/>
    <w:rsid w:val="00B04A78"/>
    <w:rsid w:val="00B0603D"/>
    <w:rsid w:val="00B06988"/>
    <w:rsid w:val="00B06B94"/>
    <w:rsid w:val="00B06F28"/>
    <w:rsid w:val="00B07086"/>
    <w:rsid w:val="00B07172"/>
    <w:rsid w:val="00B0737F"/>
    <w:rsid w:val="00B0763A"/>
    <w:rsid w:val="00B07760"/>
    <w:rsid w:val="00B07AFD"/>
    <w:rsid w:val="00B07FBF"/>
    <w:rsid w:val="00B101F5"/>
    <w:rsid w:val="00B1021D"/>
    <w:rsid w:val="00B103D9"/>
    <w:rsid w:val="00B10720"/>
    <w:rsid w:val="00B107E6"/>
    <w:rsid w:val="00B10AF6"/>
    <w:rsid w:val="00B10C88"/>
    <w:rsid w:val="00B110F1"/>
    <w:rsid w:val="00B112E2"/>
    <w:rsid w:val="00B1155B"/>
    <w:rsid w:val="00B115E0"/>
    <w:rsid w:val="00B11CEE"/>
    <w:rsid w:val="00B1203A"/>
    <w:rsid w:val="00B1250F"/>
    <w:rsid w:val="00B127F2"/>
    <w:rsid w:val="00B129E7"/>
    <w:rsid w:val="00B12E7C"/>
    <w:rsid w:val="00B1348E"/>
    <w:rsid w:val="00B13A4A"/>
    <w:rsid w:val="00B13A8F"/>
    <w:rsid w:val="00B1444C"/>
    <w:rsid w:val="00B14B24"/>
    <w:rsid w:val="00B15133"/>
    <w:rsid w:val="00B15245"/>
    <w:rsid w:val="00B154E7"/>
    <w:rsid w:val="00B154E9"/>
    <w:rsid w:val="00B15C7D"/>
    <w:rsid w:val="00B16C7D"/>
    <w:rsid w:val="00B16FB3"/>
    <w:rsid w:val="00B17462"/>
    <w:rsid w:val="00B17644"/>
    <w:rsid w:val="00B20328"/>
    <w:rsid w:val="00B20352"/>
    <w:rsid w:val="00B20A84"/>
    <w:rsid w:val="00B20CEA"/>
    <w:rsid w:val="00B214D1"/>
    <w:rsid w:val="00B2155C"/>
    <w:rsid w:val="00B22062"/>
    <w:rsid w:val="00B22411"/>
    <w:rsid w:val="00B22A3A"/>
    <w:rsid w:val="00B22E00"/>
    <w:rsid w:val="00B234BB"/>
    <w:rsid w:val="00B23D4E"/>
    <w:rsid w:val="00B25F03"/>
    <w:rsid w:val="00B25F0A"/>
    <w:rsid w:val="00B2609A"/>
    <w:rsid w:val="00B2681E"/>
    <w:rsid w:val="00B26B50"/>
    <w:rsid w:val="00B27477"/>
    <w:rsid w:val="00B276F4"/>
    <w:rsid w:val="00B3074D"/>
    <w:rsid w:val="00B31101"/>
    <w:rsid w:val="00B3113E"/>
    <w:rsid w:val="00B3132A"/>
    <w:rsid w:val="00B319FD"/>
    <w:rsid w:val="00B31D4A"/>
    <w:rsid w:val="00B32033"/>
    <w:rsid w:val="00B32085"/>
    <w:rsid w:val="00B3211C"/>
    <w:rsid w:val="00B32162"/>
    <w:rsid w:val="00B324C0"/>
    <w:rsid w:val="00B324DD"/>
    <w:rsid w:val="00B3266B"/>
    <w:rsid w:val="00B32864"/>
    <w:rsid w:val="00B33231"/>
    <w:rsid w:val="00B33B08"/>
    <w:rsid w:val="00B33D31"/>
    <w:rsid w:val="00B34550"/>
    <w:rsid w:val="00B34BD1"/>
    <w:rsid w:val="00B34ED3"/>
    <w:rsid w:val="00B35228"/>
    <w:rsid w:val="00B352C5"/>
    <w:rsid w:val="00B364BB"/>
    <w:rsid w:val="00B368CD"/>
    <w:rsid w:val="00B37220"/>
    <w:rsid w:val="00B37825"/>
    <w:rsid w:val="00B37BC3"/>
    <w:rsid w:val="00B37F5B"/>
    <w:rsid w:val="00B404B2"/>
    <w:rsid w:val="00B40687"/>
    <w:rsid w:val="00B40D17"/>
    <w:rsid w:val="00B40F1C"/>
    <w:rsid w:val="00B40F8A"/>
    <w:rsid w:val="00B41665"/>
    <w:rsid w:val="00B41D21"/>
    <w:rsid w:val="00B42778"/>
    <w:rsid w:val="00B42784"/>
    <w:rsid w:val="00B42C14"/>
    <w:rsid w:val="00B42CDF"/>
    <w:rsid w:val="00B4315D"/>
    <w:rsid w:val="00B43285"/>
    <w:rsid w:val="00B438DA"/>
    <w:rsid w:val="00B438E0"/>
    <w:rsid w:val="00B43E22"/>
    <w:rsid w:val="00B445B0"/>
    <w:rsid w:val="00B44C4F"/>
    <w:rsid w:val="00B44DC4"/>
    <w:rsid w:val="00B44EE7"/>
    <w:rsid w:val="00B44FEB"/>
    <w:rsid w:val="00B4547C"/>
    <w:rsid w:val="00B458FE"/>
    <w:rsid w:val="00B45CFC"/>
    <w:rsid w:val="00B45F8C"/>
    <w:rsid w:val="00B46CA0"/>
    <w:rsid w:val="00B46E04"/>
    <w:rsid w:val="00B47789"/>
    <w:rsid w:val="00B47A70"/>
    <w:rsid w:val="00B50156"/>
    <w:rsid w:val="00B511C2"/>
    <w:rsid w:val="00B51735"/>
    <w:rsid w:val="00B517DE"/>
    <w:rsid w:val="00B51B0D"/>
    <w:rsid w:val="00B51FE1"/>
    <w:rsid w:val="00B52000"/>
    <w:rsid w:val="00B523C9"/>
    <w:rsid w:val="00B528E9"/>
    <w:rsid w:val="00B52A91"/>
    <w:rsid w:val="00B52BFA"/>
    <w:rsid w:val="00B52CB3"/>
    <w:rsid w:val="00B52EAF"/>
    <w:rsid w:val="00B53083"/>
    <w:rsid w:val="00B534F3"/>
    <w:rsid w:val="00B536D4"/>
    <w:rsid w:val="00B53D30"/>
    <w:rsid w:val="00B53DD1"/>
    <w:rsid w:val="00B54F46"/>
    <w:rsid w:val="00B54FF7"/>
    <w:rsid w:val="00B55198"/>
    <w:rsid w:val="00B55AC6"/>
    <w:rsid w:val="00B55C84"/>
    <w:rsid w:val="00B55E95"/>
    <w:rsid w:val="00B55F07"/>
    <w:rsid w:val="00B56771"/>
    <w:rsid w:val="00B567CB"/>
    <w:rsid w:val="00B5698B"/>
    <w:rsid w:val="00B56E9B"/>
    <w:rsid w:val="00B5716E"/>
    <w:rsid w:val="00B57BF2"/>
    <w:rsid w:val="00B57D4B"/>
    <w:rsid w:val="00B57FEE"/>
    <w:rsid w:val="00B60836"/>
    <w:rsid w:val="00B60D12"/>
    <w:rsid w:val="00B60E2F"/>
    <w:rsid w:val="00B611F4"/>
    <w:rsid w:val="00B61233"/>
    <w:rsid w:val="00B61480"/>
    <w:rsid w:val="00B61595"/>
    <w:rsid w:val="00B618D4"/>
    <w:rsid w:val="00B61B21"/>
    <w:rsid w:val="00B6208D"/>
    <w:rsid w:val="00B62395"/>
    <w:rsid w:val="00B62AF9"/>
    <w:rsid w:val="00B62C7A"/>
    <w:rsid w:val="00B64391"/>
    <w:rsid w:val="00B650EE"/>
    <w:rsid w:val="00B6527A"/>
    <w:rsid w:val="00B657A7"/>
    <w:rsid w:val="00B657AB"/>
    <w:rsid w:val="00B65853"/>
    <w:rsid w:val="00B658BF"/>
    <w:rsid w:val="00B663D9"/>
    <w:rsid w:val="00B6685C"/>
    <w:rsid w:val="00B66BA5"/>
    <w:rsid w:val="00B67579"/>
    <w:rsid w:val="00B677CA"/>
    <w:rsid w:val="00B67837"/>
    <w:rsid w:val="00B67F17"/>
    <w:rsid w:val="00B67F9A"/>
    <w:rsid w:val="00B7014C"/>
    <w:rsid w:val="00B716BA"/>
    <w:rsid w:val="00B72CE8"/>
    <w:rsid w:val="00B7346C"/>
    <w:rsid w:val="00B739F2"/>
    <w:rsid w:val="00B73F98"/>
    <w:rsid w:val="00B74171"/>
    <w:rsid w:val="00B742A1"/>
    <w:rsid w:val="00B7435C"/>
    <w:rsid w:val="00B7492E"/>
    <w:rsid w:val="00B74A87"/>
    <w:rsid w:val="00B7539D"/>
    <w:rsid w:val="00B75505"/>
    <w:rsid w:val="00B75F4C"/>
    <w:rsid w:val="00B75F8D"/>
    <w:rsid w:val="00B761FA"/>
    <w:rsid w:val="00B76288"/>
    <w:rsid w:val="00B7676D"/>
    <w:rsid w:val="00B769AE"/>
    <w:rsid w:val="00B76AB8"/>
    <w:rsid w:val="00B76CF5"/>
    <w:rsid w:val="00B77B20"/>
    <w:rsid w:val="00B77BDD"/>
    <w:rsid w:val="00B80061"/>
    <w:rsid w:val="00B8022F"/>
    <w:rsid w:val="00B80287"/>
    <w:rsid w:val="00B8088B"/>
    <w:rsid w:val="00B80C70"/>
    <w:rsid w:val="00B810E3"/>
    <w:rsid w:val="00B81854"/>
    <w:rsid w:val="00B81925"/>
    <w:rsid w:val="00B81A73"/>
    <w:rsid w:val="00B81F02"/>
    <w:rsid w:val="00B81F95"/>
    <w:rsid w:val="00B81FCF"/>
    <w:rsid w:val="00B820E2"/>
    <w:rsid w:val="00B824A4"/>
    <w:rsid w:val="00B82C06"/>
    <w:rsid w:val="00B82D1C"/>
    <w:rsid w:val="00B8317D"/>
    <w:rsid w:val="00B83F56"/>
    <w:rsid w:val="00B84B2C"/>
    <w:rsid w:val="00B84DA1"/>
    <w:rsid w:val="00B857E7"/>
    <w:rsid w:val="00B8595D"/>
    <w:rsid w:val="00B859FC"/>
    <w:rsid w:val="00B85E87"/>
    <w:rsid w:val="00B86401"/>
    <w:rsid w:val="00B8643D"/>
    <w:rsid w:val="00B86686"/>
    <w:rsid w:val="00B866EF"/>
    <w:rsid w:val="00B86D28"/>
    <w:rsid w:val="00B87572"/>
    <w:rsid w:val="00B87E66"/>
    <w:rsid w:val="00B87EDF"/>
    <w:rsid w:val="00B87F76"/>
    <w:rsid w:val="00B915D6"/>
    <w:rsid w:val="00B91836"/>
    <w:rsid w:val="00B91965"/>
    <w:rsid w:val="00B91EA5"/>
    <w:rsid w:val="00B91F3E"/>
    <w:rsid w:val="00B92ECD"/>
    <w:rsid w:val="00B93125"/>
    <w:rsid w:val="00B93323"/>
    <w:rsid w:val="00B934E2"/>
    <w:rsid w:val="00B937F8"/>
    <w:rsid w:val="00B9435B"/>
    <w:rsid w:val="00B943F5"/>
    <w:rsid w:val="00B94672"/>
    <w:rsid w:val="00B94E1B"/>
    <w:rsid w:val="00B9522A"/>
    <w:rsid w:val="00B95234"/>
    <w:rsid w:val="00B952C5"/>
    <w:rsid w:val="00B95660"/>
    <w:rsid w:val="00B95905"/>
    <w:rsid w:val="00B95A11"/>
    <w:rsid w:val="00B95E91"/>
    <w:rsid w:val="00B96155"/>
    <w:rsid w:val="00B964D6"/>
    <w:rsid w:val="00B96B04"/>
    <w:rsid w:val="00B96D12"/>
    <w:rsid w:val="00B96FEE"/>
    <w:rsid w:val="00B97CF2"/>
    <w:rsid w:val="00BA1163"/>
    <w:rsid w:val="00BA134F"/>
    <w:rsid w:val="00BA1444"/>
    <w:rsid w:val="00BA14AF"/>
    <w:rsid w:val="00BA1B8C"/>
    <w:rsid w:val="00BA2F46"/>
    <w:rsid w:val="00BA3C2F"/>
    <w:rsid w:val="00BA3F48"/>
    <w:rsid w:val="00BA46F6"/>
    <w:rsid w:val="00BA47C3"/>
    <w:rsid w:val="00BA4BF8"/>
    <w:rsid w:val="00BA70C9"/>
    <w:rsid w:val="00BA7159"/>
    <w:rsid w:val="00BA7655"/>
    <w:rsid w:val="00BA7E89"/>
    <w:rsid w:val="00BA7F22"/>
    <w:rsid w:val="00BA7F46"/>
    <w:rsid w:val="00BB01C5"/>
    <w:rsid w:val="00BB1423"/>
    <w:rsid w:val="00BB2002"/>
    <w:rsid w:val="00BB2056"/>
    <w:rsid w:val="00BB248E"/>
    <w:rsid w:val="00BB2649"/>
    <w:rsid w:val="00BB2C77"/>
    <w:rsid w:val="00BB2D0B"/>
    <w:rsid w:val="00BB2D74"/>
    <w:rsid w:val="00BB2E7E"/>
    <w:rsid w:val="00BB3240"/>
    <w:rsid w:val="00BB3CC1"/>
    <w:rsid w:val="00BB3CCA"/>
    <w:rsid w:val="00BB3D6B"/>
    <w:rsid w:val="00BB4945"/>
    <w:rsid w:val="00BB4E54"/>
    <w:rsid w:val="00BB5619"/>
    <w:rsid w:val="00BB56DC"/>
    <w:rsid w:val="00BB61AF"/>
    <w:rsid w:val="00BB668F"/>
    <w:rsid w:val="00BB695D"/>
    <w:rsid w:val="00BB6B89"/>
    <w:rsid w:val="00BB750B"/>
    <w:rsid w:val="00BB760B"/>
    <w:rsid w:val="00BB7724"/>
    <w:rsid w:val="00BB78D5"/>
    <w:rsid w:val="00BB7BD4"/>
    <w:rsid w:val="00BC045A"/>
    <w:rsid w:val="00BC0691"/>
    <w:rsid w:val="00BC1BF2"/>
    <w:rsid w:val="00BC1C94"/>
    <w:rsid w:val="00BC1EB1"/>
    <w:rsid w:val="00BC2210"/>
    <w:rsid w:val="00BC2680"/>
    <w:rsid w:val="00BC26DA"/>
    <w:rsid w:val="00BC2BA7"/>
    <w:rsid w:val="00BC2FC1"/>
    <w:rsid w:val="00BC3359"/>
    <w:rsid w:val="00BC4114"/>
    <w:rsid w:val="00BC4172"/>
    <w:rsid w:val="00BC46E6"/>
    <w:rsid w:val="00BC48A5"/>
    <w:rsid w:val="00BC4A1E"/>
    <w:rsid w:val="00BC4A76"/>
    <w:rsid w:val="00BC4CD1"/>
    <w:rsid w:val="00BC5450"/>
    <w:rsid w:val="00BC5458"/>
    <w:rsid w:val="00BC54A4"/>
    <w:rsid w:val="00BC5BB3"/>
    <w:rsid w:val="00BC5D96"/>
    <w:rsid w:val="00BC63E5"/>
    <w:rsid w:val="00BC6588"/>
    <w:rsid w:val="00BC6742"/>
    <w:rsid w:val="00BC678A"/>
    <w:rsid w:val="00BC69E5"/>
    <w:rsid w:val="00BC7A96"/>
    <w:rsid w:val="00BC7E1C"/>
    <w:rsid w:val="00BD060B"/>
    <w:rsid w:val="00BD0EBB"/>
    <w:rsid w:val="00BD14D5"/>
    <w:rsid w:val="00BD1A10"/>
    <w:rsid w:val="00BD1CE7"/>
    <w:rsid w:val="00BD1E31"/>
    <w:rsid w:val="00BD24FE"/>
    <w:rsid w:val="00BD2676"/>
    <w:rsid w:val="00BD2C79"/>
    <w:rsid w:val="00BD3F0C"/>
    <w:rsid w:val="00BD4A3A"/>
    <w:rsid w:val="00BD4BC1"/>
    <w:rsid w:val="00BD53B9"/>
    <w:rsid w:val="00BD5A10"/>
    <w:rsid w:val="00BD5CC0"/>
    <w:rsid w:val="00BD5DD8"/>
    <w:rsid w:val="00BD6242"/>
    <w:rsid w:val="00BD65A8"/>
    <w:rsid w:val="00BD6BBF"/>
    <w:rsid w:val="00BD7104"/>
    <w:rsid w:val="00BD7B39"/>
    <w:rsid w:val="00BD7E4D"/>
    <w:rsid w:val="00BE03F6"/>
    <w:rsid w:val="00BE051F"/>
    <w:rsid w:val="00BE074F"/>
    <w:rsid w:val="00BE08A2"/>
    <w:rsid w:val="00BE0C5A"/>
    <w:rsid w:val="00BE0F7D"/>
    <w:rsid w:val="00BE145B"/>
    <w:rsid w:val="00BE1625"/>
    <w:rsid w:val="00BE189E"/>
    <w:rsid w:val="00BE18E6"/>
    <w:rsid w:val="00BE1AB8"/>
    <w:rsid w:val="00BE1E6C"/>
    <w:rsid w:val="00BE248A"/>
    <w:rsid w:val="00BE2C05"/>
    <w:rsid w:val="00BE3196"/>
    <w:rsid w:val="00BE3D78"/>
    <w:rsid w:val="00BE44E1"/>
    <w:rsid w:val="00BE516E"/>
    <w:rsid w:val="00BE58AD"/>
    <w:rsid w:val="00BE6393"/>
    <w:rsid w:val="00BE669D"/>
    <w:rsid w:val="00BE66FD"/>
    <w:rsid w:val="00BE6834"/>
    <w:rsid w:val="00BE77C3"/>
    <w:rsid w:val="00BE77C7"/>
    <w:rsid w:val="00BE781A"/>
    <w:rsid w:val="00BF0210"/>
    <w:rsid w:val="00BF098D"/>
    <w:rsid w:val="00BF0D39"/>
    <w:rsid w:val="00BF0DC7"/>
    <w:rsid w:val="00BF1F8F"/>
    <w:rsid w:val="00BF2325"/>
    <w:rsid w:val="00BF3080"/>
    <w:rsid w:val="00BF3350"/>
    <w:rsid w:val="00BF36EC"/>
    <w:rsid w:val="00BF3848"/>
    <w:rsid w:val="00BF481A"/>
    <w:rsid w:val="00BF494F"/>
    <w:rsid w:val="00BF4B81"/>
    <w:rsid w:val="00BF5093"/>
    <w:rsid w:val="00BF5822"/>
    <w:rsid w:val="00BF64D1"/>
    <w:rsid w:val="00BF67BC"/>
    <w:rsid w:val="00BF6F3C"/>
    <w:rsid w:val="00BF6FF5"/>
    <w:rsid w:val="00BF73AF"/>
    <w:rsid w:val="00BF7930"/>
    <w:rsid w:val="00C010D8"/>
    <w:rsid w:val="00C0163E"/>
    <w:rsid w:val="00C0179F"/>
    <w:rsid w:val="00C01BD7"/>
    <w:rsid w:val="00C01D07"/>
    <w:rsid w:val="00C01E5B"/>
    <w:rsid w:val="00C026D6"/>
    <w:rsid w:val="00C0284D"/>
    <w:rsid w:val="00C02972"/>
    <w:rsid w:val="00C02A16"/>
    <w:rsid w:val="00C02EA0"/>
    <w:rsid w:val="00C02F9B"/>
    <w:rsid w:val="00C0308F"/>
    <w:rsid w:val="00C032A0"/>
    <w:rsid w:val="00C040D1"/>
    <w:rsid w:val="00C050A7"/>
    <w:rsid w:val="00C05F50"/>
    <w:rsid w:val="00C06E60"/>
    <w:rsid w:val="00C07341"/>
    <w:rsid w:val="00C077E2"/>
    <w:rsid w:val="00C105D6"/>
    <w:rsid w:val="00C1076E"/>
    <w:rsid w:val="00C10A8D"/>
    <w:rsid w:val="00C10FA6"/>
    <w:rsid w:val="00C11342"/>
    <w:rsid w:val="00C118D3"/>
    <w:rsid w:val="00C11A4A"/>
    <w:rsid w:val="00C121AA"/>
    <w:rsid w:val="00C13169"/>
    <w:rsid w:val="00C1351F"/>
    <w:rsid w:val="00C13CB9"/>
    <w:rsid w:val="00C13E3C"/>
    <w:rsid w:val="00C1475B"/>
    <w:rsid w:val="00C1504C"/>
    <w:rsid w:val="00C156FA"/>
    <w:rsid w:val="00C1578F"/>
    <w:rsid w:val="00C16931"/>
    <w:rsid w:val="00C16C81"/>
    <w:rsid w:val="00C17088"/>
    <w:rsid w:val="00C178B9"/>
    <w:rsid w:val="00C1795C"/>
    <w:rsid w:val="00C17BFE"/>
    <w:rsid w:val="00C17E97"/>
    <w:rsid w:val="00C17FAC"/>
    <w:rsid w:val="00C202C4"/>
    <w:rsid w:val="00C202E1"/>
    <w:rsid w:val="00C20B98"/>
    <w:rsid w:val="00C21004"/>
    <w:rsid w:val="00C21851"/>
    <w:rsid w:val="00C21ED6"/>
    <w:rsid w:val="00C2287D"/>
    <w:rsid w:val="00C22A98"/>
    <w:rsid w:val="00C22BA0"/>
    <w:rsid w:val="00C230AA"/>
    <w:rsid w:val="00C2315C"/>
    <w:rsid w:val="00C23196"/>
    <w:rsid w:val="00C2392F"/>
    <w:rsid w:val="00C245FD"/>
    <w:rsid w:val="00C2505C"/>
    <w:rsid w:val="00C2505E"/>
    <w:rsid w:val="00C25D72"/>
    <w:rsid w:val="00C25EC1"/>
    <w:rsid w:val="00C2687D"/>
    <w:rsid w:val="00C26EF4"/>
    <w:rsid w:val="00C27031"/>
    <w:rsid w:val="00C27EF9"/>
    <w:rsid w:val="00C301B2"/>
    <w:rsid w:val="00C30951"/>
    <w:rsid w:val="00C310ED"/>
    <w:rsid w:val="00C314F2"/>
    <w:rsid w:val="00C31551"/>
    <w:rsid w:val="00C31CB7"/>
    <w:rsid w:val="00C31D64"/>
    <w:rsid w:val="00C322BE"/>
    <w:rsid w:val="00C350D1"/>
    <w:rsid w:val="00C35247"/>
    <w:rsid w:val="00C355D6"/>
    <w:rsid w:val="00C35789"/>
    <w:rsid w:val="00C35BD8"/>
    <w:rsid w:val="00C35BFA"/>
    <w:rsid w:val="00C363C0"/>
    <w:rsid w:val="00C37DED"/>
    <w:rsid w:val="00C37F9F"/>
    <w:rsid w:val="00C40643"/>
    <w:rsid w:val="00C40D85"/>
    <w:rsid w:val="00C40F4C"/>
    <w:rsid w:val="00C4180C"/>
    <w:rsid w:val="00C43034"/>
    <w:rsid w:val="00C43124"/>
    <w:rsid w:val="00C43333"/>
    <w:rsid w:val="00C43F37"/>
    <w:rsid w:val="00C44408"/>
    <w:rsid w:val="00C458A5"/>
    <w:rsid w:val="00C45E0D"/>
    <w:rsid w:val="00C4603C"/>
    <w:rsid w:val="00C4618C"/>
    <w:rsid w:val="00C46563"/>
    <w:rsid w:val="00C46EBD"/>
    <w:rsid w:val="00C470B4"/>
    <w:rsid w:val="00C471AD"/>
    <w:rsid w:val="00C471EC"/>
    <w:rsid w:val="00C474AA"/>
    <w:rsid w:val="00C505A0"/>
    <w:rsid w:val="00C5100A"/>
    <w:rsid w:val="00C511BF"/>
    <w:rsid w:val="00C51301"/>
    <w:rsid w:val="00C514C8"/>
    <w:rsid w:val="00C5160A"/>
    <w:rsid w:val="00C51699"/>
    <w:rsid w:val="00C51882"/>
    <w:rsid w:val="00C51B79"/>
    <w:rsid w:val="00C51DAC"/>
    <w:rsid w:val="00C52987"/>
    <w:rsid w:val="00C52FE9"/>
    <w:rsid w:val="00C5339E"/>
    <w:rsid w:val="00C537D9"/>
    <w:rsid w:val="00C53801"/>
    <w:rsid w:val="00C5390B"/>
    <w:rsid w:val="00C5425B"/>
    <w:rsid w:val="00C5435C"/>
    <w:rsid w:val="00C5456C"/>
    <w:rsid w:val="00C54792"/>
    <w:rsid w:val="00C54A90"/>
    <w:rsid w:val="00C54EF9"/>
    <w:rsid w:val="00C54F6C"/>
    <w:rsid w:val="00C555FC"/>
    <w:rsid w:val="00C55AE0"/>
    <w:rsid w:val="00C55B81"/>
    <w:rsid w:val="00C55D9B"/>
    <w:rsid w:val="00C56096"/>
    <w:rsid w:val="00C56481"/>
    <w:rsid w:val="00C56879"/>
    <w:rsid w:val="00C570C6"/>
    <w:rsid w:val="00C57A49"/>
    <w:rsid w:val="00C57A4E"/>
    <w:rsid w:val="00C57D34"/>
    <w:rsid w:val="00C601A3"/>
    <w:rsid w:val="00C60D2A"/>
    <w:rsid w:val="00C61030"/>
    <w:rsid w:val="00C6160C"/>
    <w:rsid w:val="00C61AD5"/>
    <w:rsid w:val="00C61CA8"/>
    <w:rsid w:val="00C62057"/>
    <w:rsid w:val="00C620C9"/>
    <w:rsid w:val="00C630FB"/>
    <w:rsid w:val="00C635B8"/>
    <w:rsid w:val="00C63864"/>
    <w:rsid w:val="00C63A0F"/>
    <w:rsid w:val="00C64AB2"/>
    <w:rsid w:val="00C64D10"/>
    <w:rsid w:val="00C64FF9"/>
    <w:rsid w:val="00C650FA"/>
    <w:rsid w:val="00C6575B"/>
    <w:rsid w:val="00C6618A"/>
    <w:rsid w:val="00C666DF"/>
    <w:rsid w:val="00C66976"/>
    <w:rsid w:val="00C66C53"/>
    <w:rsid w:val="00C671CC"/>
    <w:rsid w:val="00C6748D"/>
    <w:rsid w:val="00C67BEE"/>
    <w:rsid w:val="00C70359"/>
    <w:rsid w:val="00C71037"/>
    <w:rsid w:val="00C7106F"/>
    <w:rsid w:val="00C71297"/>
    <w:rsid w:val="00C713F0"/>
    <w:rsid w:val="00C71DD6"/>
    <w:rsid w:val="00C720D3"/>
    <w:rsid w:val="00C72686"/>
    <w:rsid w:val="00C72841"/>
    <w:rsid w:val="00C72B94"/>
    <w:rsid w:val="00C73685"/>
    <w:rsid w:val="00C73841"/>
    <w:rsid w:val="00C73878"/>
    <w:rsid w:val="00C743B2"/>
    <w:rsid w:val="00C75015"/>
    <w:rsid w:val="00C75218"/>
    <w:rsid w:val="00C75A4A"/>
    <w:rsid w:val="00C76592"/>
    <w:rsid w:val="00C7669D"/>
    <w:rsid w:val="00C76DF0"/>
    <w:rsid w:val="00C77038"/>
    <w:rsid w:val="00C771B5"/>
    <w:rsid w:val="00C77212"/>
    <w:rsid w:val="00C77B5E"/>
    <w:rsid w:val="00C8011E"/>
    <w:rsid w:val="00C804FC"/>
    <w:rsid w:val="00C80747"/>
    <w:rsid w:val="00C80905"/>
    <w:rsid w:val="00C811FE"/>
    <w:rsid w:val="00C81D34"/>
    <w:rsid w:val="00C829E9"/>
    <w:rsid w:val="00C82E3D"/>
    <w:rsid w:val="00C832EA"/>
    <w:rsid w:val="00C83519"/>
    <w:rsid w:val="00C83A74"/>
    <w:rsid w:val="00C840EB"/>
    <w:rsid w:val="00C844F6"/>
    <w:rsid w:val="00C845D1"/>
    <w:rsid w:val="00C84A81"/>
    <w:rsid w:val="00C84B07"/>
    <w:rsid w:val="00C8526E"/>
    <w:rsid w:val="00C85605"/>
    <w:rsid w:val="00C858AA"/>
    <w:rsid w:val="00C85BB0"/>
    <w:rsid w:val="00C85D24"/>
    <w:rsid w:val="00C85DB5"/>
    <w:rsid w:val="00C85DFA"/>
    <w:rsid w:val="00C86268"/>
    <w:rsid w:val="00C86279"/>
    <w:rsid w:val="00C86696"/>
    <w:rsid w:val="00C8691E"/>
    <w:rsid w:val="00C879E0"/>
    <w:rsid w:val="00C87F13"/>
    <w:rsid w:val="00C903EF"/>
    <w:rsid w:val="00C9090F"/>
    <w:rsid w:val="00C90ABC"/>
    <w:rsid w:val="00C90C81"/>
    <w:rsid w:val="00C90DF1"/>
    <w:rsid w:val="00C918B7"/>
    <w:rsid w:val="00C91E60"/>
    <w:rsid w:val="00C9261B"/>
    <w:rsid w:val="00C92A7D"/>
    <w:rsid w:val="00C931C9"/>
    <w:rsid w:val="00C935D0"/>
    <w:rsid w:val="00C93609"/>
    <w:rsid w:val="00C93666"/>
    <w:rsid w:val="00C937B9"/>
    <w:rsid w:val="00C93AD1"/>
    <w:rsid w:val="00C93CE9"/>
    <w:rsid w:val="00C93EAD"/>
    <w:rsid w:val="00C941E5"/>
    <w:rsid w:val="00C945FF"/>
    <w:rsid w:val="00C94ADB"/>
    <w:rsid w:val="00C95ACF"/>
    <w:rsid w:val="00C96322"/>
    <w:rsid w:val="00C96347"/>
    <w:rsid w:val="00C96A64"/>
    <w:rsid w:val="00C96B68"/>
    <w:rsid w:val="00C96DB4"/>
    <w:rsid w:val="00C96FBD"/>
    <w:rsid w:val="00C971D4"/>
    <w:rsid w:val="00C974B6"/>
    <w:rsid w:val="00C974CD"/>
    <w:rsid w:val="00C97DE1"/>
    <w:rsid w:val="00CA06FB"/>
    <w:rsid w:val="00CA0985"/>
    <w:rsid w:val="00CA0A38"/>
    <w:rsid w:val="00CA0E0B"/>
    <w:rsid w:val="00CA13CB"/>
    <w:rsid w:val="00CA28B2"/>
    <w:rsid w:val="00CA2BAE"/>
    <w:rsid w:val="00CA3A43"/>
    <w:rsid w:val="00CA3A7C"/>
    <w:rsid w:val="00CA3B83"/>
    <w:rsid w:val="00CA3DE6"/>
    <w:rsid w:val="00CA45F6"/>
    <w:rsid w:val="00CA48A8"/>
    <w:rsid w:val="00CA4AB1"/>
    <w:rsid w:val="00CA5181"/>
    <w:rsid w:val="00CA52CC"/>
    <w:rsid w:val="00CA5B4D"/>
    <w:rsid w:val="00CA6089"/>
    <w:rsid w:val="00CA60B5"/>
    <w:rsid w:val="00CA6132"/>
    <w:rsid w:val="00CA6C19"/>
    <w:rsid w:val="00CA6DAD"/>
    <w:rsid w:val="00CA6E91"/>
    <w:rsid w:val="00CA6EE0"/>
    <w:rsid w:val="00CA7199"/>
    <w:rsid w:val="00CA7212"/>
    <w:rsid w:val="00CA7ADC"/>
    <w:rsid w:val="00CA7F90"/>
    <w:rsid w:val="00CB09F3"/>
    <w:rsid w:val="00CB1A49"/>
    <w:rsid w:val="00CB1BF7"/>
    <w:rsid w:val="00CB281D"/>
    <w:rsid w:val="00CB28F0"/>
    <w:rsid w:val="00CB2C90"/>
    <w:rsid w:val="00CB2D35"/>
    <w:rsid w:val="00CB2FEB"/>
    <w:rsid w:val="00CB3238"/>
    <w:rsid w:val="00CB341A"/>
    <w:rsid w:val="00CB3D9A"/>
    <w:rsid w:val="00CB4478"/>
    <w:rsid w:val="00CB44AC"/>
    <w:rsid w:val="00CB4DE6"/>
    <w:rsid w:val="00CB4E97"/>
    <w:rsid w:val="00CB5580"/>
    <w:rsid w:val="00CB5598"/>
    <w:rsid w:val="00CB5DAC"/>
    <w:rsid w:val="00CB6147"/>
    <w:rsid w:val="00CB64C8"/>
    <w:rsid w:val="00CB67D6"/>
    <w:rsid w:val="00CB68FE"/>
    <w:rsid w:val="00CB6A4C"/>
    <w:rsid w:val="00CB6FA4"/>
    <w:rsid w:val="00CB7B1C"/>
    <w:rsid w:val="00CC0060"/>
    <w:rsid w:val="00CC0067"/>
    <w:rsid w:val="00CC050C"/>
    <w:rsid w:val="00CC0F28"/>
    <w:rsid w:val="00CC1794"/>
    <w:rsid w:val="00CC1D2C"/>
    <w:rsid w:val="00CC22B0"/>
    <w:rsid w:val="00CC3173"/>
    <w:rsid w:val="00CC37FD"/>
    <w:rsid w:val="00CC39D9"/>
    <w:rsid w:val="00CC3E1A"/>
    <w:rsid w:val="00CC411E"/>
    <w:rsid w:val="00CC4BB9"/>
    <w:rsid w:val="00CC4F8E"/>
    <w:rsid w:val="00CC523F"/>
    <w:rsid w:val="00CC590C"/>
    <w:rsid w:val="00CC5B2D"/>
    <w:rsid w:val="00CC6824"/>
    <w:rsid w:val="00CC6975"/>
    <w:rsid w:val="00CC706E"/>
    <w:rsid w:val="00CC7462"/>
    <w:rsid w:val="00CC76B2"/>
    <w:rsid w:val="00CC7A54"/>
    <w:rsid w:val="00CC7A93"/>
    <w:rsid w:val="00CD0206"/>
    <w:rsid w:val="00CD0365"/>
    <w:rsid w:val="00CD07A8"/>
    <w:rsid w:val="00CD129B"/>
    <w:rsid w:val="00CD1D56"/>
    <w:rsid w:val="00CD233A"/>
    <w:rsid w:val="00CD2BE3"/>
    <w:rsid w:val="00CD2F9A"/>
    <w:rsid w:val="00CD3743"/>
    <w:rsid w:val="00CD3E61"/>
    <w:rsid w:val="00CD3F97"/>
    <w:rsid w:val="00CD43FA"/>
    <w:rsid w:val="00CD443B"/>
    <w:rsid w:val="00CD44D8"/>
    <w:rsid w:val="00CD44E5"/>
    <w:rsid w:val="00CD4BAB"/>
    <w:rsid w:val="00CD4C11"/>
    <w:rsid w:val="00CD531B"/>
    <w:rsid w:val="00CD550B"/>
    <w:rsid w:val="00CD5DDF"/>
    <w:rsid w:val="00CD5E9C"/>
    <w:rsid w:val="00CD64BB"/>
    <w:rsid w:val="00CD6AC1"/>
    <w:rsid w:val="00CD7D3C"/>
    <w:rsid w:val="00CE0B37"/>
    <w:rsid w:val="00CE11F3"/>
    <w:rsid w:val="00CE1779"/>
    <w:rsid w:val="00CE20DD"/>
    <w:rsid w:val="00CE2480"/>
    <w:rsid w:val="00CE2663"/>
    <w:rsid w:val="00CE2673"/>
    <w:rsid w:val="00CE2766"/>
    <w:rsid w:val="00CE294D"/>
    <w:rsid w:val="00CE31C4"/>
    <w:rsid w:val="00CE3736"/>
    <w:rsid w:val="00CE3746"/>
    <w:rsid w:val="00CE3F9F"/>
    <w:rsid w:val="00CE4252"/>
    <w:rsid w:val="00CE4948"/>
    <w:rsid w:val="00CE4ED7"/>
    <w:rsid w:val="00CE5A2A"/>
    <w:rsid w:val="00CE5AE3"/>
    <w:rsid w:val="00CE6298"/>
    <w:rsid w:val="00CE63B4"/>
    <w:rsid w:val="00CE7749"/>
    <w:rsid w:val="00CE7750"/>
    <w:rsid w:val="00CE7C60"/>
    <w:rsid w:val="00CF035E"/>
    <w:rsid w:val="00CF0AB6"/>
    <w:rsid w:val="00CF0BE9"/>
    <w:rsid w:val="00CF0C71"/>
    <w:rsid w:val="00CF195B"/>
    <w:rsid w:val="00CF1AB5"/>
    <w:rsid w:val="00CF1C2C"/>
    <w:rsid w:val="00CF2370"/>
    <w:rsid w:val="00CF2AF2"/>
    <w:rsid w:val="00CF31C4"/>
    <w:rsid w:val="00CF32A3"/>
    <w:rsid w:val="00CF37F7"/>
    <w:rsid w:val="00CF3A37"/>
    <w:rsid w:val="00CF3D7A"/>
    <w:rsid w:val="00CF4833"/>
    <w:rsid w:val="00CF54B2"/>
    <w:rsid w:val="00CF65CB"/>
    <w:rsid w:val="00CF69D8"/>
    <w:rsid w:val="00CF7182"/>
    <w:rsid w:val="00D0037D"/>
    <w:rsid w:val="00D003FB"/>
    <w:rsid w:val="00D006F1"/>
    <w:rsid w:val="00D009FD"/>
    <w:rsid w:val="00D00C63"/>
    <w:rsid w:val="00D00DBF"/>
    <w:rsid w:val="00D0118E"/>
    <w:rsid w:val="00D01AAF"/>
    <w:rsid w:val="00D01B5B"/>
    <w:rsid w:val="00D01C13"/>
    <w:rsid w:val="00D01E51"/>
    <w:rsid w:val="00D0246B"/>
    <w:rsid w:val="00D0294A"/>
    <w:rsid w:val="00D02954"/>
    <w:rsid w:val="00D02A02"/>
    <w:rsid w:val="00D02EC0"/>
    <w:rsid w:val="00D036AB"/>
    <w:rsid w:val="00D038C9"/>
    <w:rsid w:val="00D039D1"/>
    <w:rsid w:val="00D03C38"/>
    <w:rsid w:val="00D040B1"/>
    <w:rsid w:val="00D04C4C"/>
    <w:rsid w:val="00D050E9"/>
    <w:rsid w:val="00D0537B"/>
    <w:rsid w:val="00D05523"/>
    <w:rsid w:val="00D0597E"/>
    <w:rsid w:val="00D060CB"/>
    <w:rsid w:val="00D06A92"/>
    <w:rsid w:val="00D070E6"/>
    <w:rsid w:val="00D077E3"/>
    <w:rsid w:val="00D0799C"/>
    <w:rsid w:val="00D101A0"/>
    <w:rsid w:val="00D103F5"/>
    <w:rsid w:val="00D106F3"/>
    <w:rsid w:val="00D11105"/>
    <w:rsid w:val="00D115ED"/>
    <w:rsid w:val="00D11A70"/>
    <w:rsid w:val="00D12312"/>
    <w:rsid w:val="00D1259D"/>
    <w:rsid w:val="00D1374B"/>
    <w:rsid w:val="00D13B58"/>
    <w:rsid w:val="00D13CC1"/>
    <w:rsid w:val="00D14034"/>
    <w:rsid w:val="00D14259"/>
    <w:rsid w:val="00D1459F"/>
    <w:rsid w:val="00D148B7"/>
    <w:rsid w:val="00D15449"/>
    <w:rsid w:val="00D1573C"/>
    <w:rsid w:val="00D1574D"/>
    <w:rsid w:val="00D1589E"/>
    <w:rsid w:val="00D15B67"/>
    <w:rsid w:val="00D16825"/>
    <w:rsid w:val="00D169C5"/>
    <w:rsid w:val="00D170AC"/>
    <w:rsid w:val="00D1734D"/>
    <w:rsid w:val="00D17999"/>
    <w:rsid w:val="00D2017A"/>
    <w:rsid w:val="00D20205"/>
    <w:rsid w:val="00D20737"/>
    <w:rsid w:val="00D20974"/>
    <w:rsid w:val="00D2146F"/>
    <w:rsid w:val="00D215AB"/>
    <w:rsid w:val="00D21E3C"/>
    <w:rsid w:val="00D226D5"/>
    <w:rsid w:val="00D232A9"/>
    <w:rsid w:val="00D2359D"/>
    <w:rsid w:val="00D23D83"/>
    <w:rsid w:val="00D23DFF"/>
    <w:rsid w:val="00D23E88"/>
    <w:rsid w:val="00D24784"/>
    <w:rsid w:val="00D24A68"/>
    <w:rsid w:val="00D24D33"/>
    <w:rsid w:val="00D25A4C"/>
    <w:rsid w:val="00D25BAC"/>
    <w:rsid w:val="00D263E7"/>
    <w:rsid w:val="00D2692E"/>
    <w:rsid w:val="00D26F4E"/>
    <w:rsid w:val="00D27125"/>
    <w:rsid w:val="00D27703"/>
    <w:rsid w:val="00D30800"/>
    <w:rsid w:val="00D308CA"/>
    <w:rsid w:val="00D309B4"/>
    <w:rsid w:val="00D30E8D"/>
    <w:rsid w:val="00D30EF0"/>
    <w:rsid w:val="00D30F3C"/>
    <w:rsid w:val="00D32124"/>
    <w:rsid w:val="00D327E9"/>
    <w:rsid w:val="00D3480F"/>
    <w:rsid w:val="00D3488D"/>
    <w:rsid w:val="00D35275"/>
    <w:rsid w:val="00D354FA"/>
    <w:rsid w:val="00D356E2"/>
    <w:rsid w:val="00D35C66"/>
    <w:rsid w:val="00D36240"/>
    <w:rsid w:val="00D36326"/>
    <w:rsid w:val="00D3658A"/>
    <w:rsid w:val="00D37152"/>
    <w:rsid w:val="00D37AF8"/>
    <w:rsid w:val="00D37C89"/>
    <w:rsid w:val="00D37F1A"/>
    <w:rsid w:val="00D40DD3"/>
    <w:rsid w:val="00D41005"/>
    <w:rsid w:val="00D41BA4"/>
    <w:rsid w:val="00D41C19"/>
    <w:rsid w:val="00D4210D"/>
    <w:rsid w:val="00D42308"/>
    <w:rsid w:val="00D42423"/>
    <w:rsid w:val="00D42552"/>
    <w:rsid w:val="00D42AEF"/>
    <w:rsid w:val="00D4326A"/>
    <w:rsid w:val="00D43311"/>
    <w:rsid w:val="00D43974"/>
    <w:rsid w:val="00D43DA6"/>
    <w:rsid w:val="00D43F7F"/>
    <w:rsid w:val="00D440C5"/>
    <w:rsid w:val="00D4428D"/>
    <w:rsid w:val="00D44953"/>
    <w:rsid w:val="00D44D30"/>
    <w:rsid w:val="00D4534D"/>
    <w:rsid w:val="00D45890"/>
    <w:rsid w:val="00D462EB"/>
    <w:rsid w:val="00D4635C"/>
    <w:rsid w:val="00D46670"/>
    <w:rsid w:val="00D468BF"/>
    <w:rsid w:val="00D46D7E"/>
    <w:rsid w:val="00D473ED"/>
    <w:rsid w:val="00D47965"/>
    <w:rsid w:val="00D506CD"/>
    <w:rsid w:val="00D50904"/>
    <w:rsid w:val="00D5148A"/>
    <w:rsid w:val="00D51708"/>
    <w:rsid w:val="00D51ADD"/>
    <w:rsid w:val="00D52017"/>
    <w:rsid w:val="00D52224"/>
    <w:rsid w:val="00D524AA"/>
    <w:rsid w:val="00D52522"/>
    <w:rsid w:val="00D53243"/>
    <w:rsid w:val="00D532EF"/>
    <w:rsid w:val="00D53470"/>
    <w:rsid w:val="00D53883"/>
    <w:rsid w:val="00D54637"/>
    <w:rsid w:val="00D54B65"/>
    <w:rsid w:val="00D55AD6"/>
    <w:rsid w:val="00D56E4A"/>
    <w:rsid w:val="00D56FEB"/>
    <w:rsid w:val="00D57387"/>
    <w:rsid w:val="00D5764B"/>
    <w:rsid w:val="00D5765E"/>
    <w:rsid w:val="00D576B0"/>
    <w:rsid w:val="00D57D69"/>
    <w:rsid w:val="00D57EE0"/>
    <w:rsid w:val="00D60959"/>
    <w:rsid w:val="00D6098A"/>
    <w:rsid w:val="00D612B0"/>
    <w:rsid w:val="00D61556"/>
    <w:rsid w:val="00D61588"/>
    <w:rsid w:val="00D61A1D"/>
    <w:rsid w:val="00D61FE8"/>
    <w:rsid w:val="00D6201B"/>
    <w:rsid w:val="00D6306E"/>
    <w:rsid w:val="00D6348B"/>
    <w:rsid w:val="00D634BB"/>
    <w:rsid w:val="00D6355C"/>
    <w:rsid w:val="00D63855"/>
    <w:rsid w:val="00D638F0"/>
    <w:rsid w:val="00D64662"/>
    <w:rsid w:val="00D647A5"/>
    <w:rsid w:val="00D648ED"/>
    <w:rsid w:val="00D65720"/>
    <w:rsid w:val="00D66352"/>
    <w:rsid w:val="00D66567"/>
    <w:rsid w:val="00D66E4B"/>
    <w:rsid w:val="00D67477"/>
    <w:rsid w:val="00D6758D"/>
    <w:rsid w:val="00D70299"/>
    <w:rsid w:val="00D71AC0"/>
    <w:rsid w:val="00D71FB6"/>
    <w:rsid w:val="00D724F1"/>
    <w:rsid w:val="00D72611"/>
    <w:rsid w:val="00D72622"/>
    <w:rsid w:val="00D728C3"/>
    <w:rsid w:val="00D72AA5"/>
    <w:rsid w:val="00D7443B"/>
    <w:rsid w:val="00D76130"/>
    <w:rsid w:val="00D7651D"/>
    <w:rsid w:val="00D77026"/>
    <w:rsid w:val="00D77774"/>
    <w:rsid w:val="00D8042E"/>
    <w:rsid w:val="00D805C7"/>
    <w:rsid w:val="00D80AF5"/>
    <w:rsid w:val="00D81D58"/>
    <w:rsid w:val="00D82D70"/>
    <w:rsid w:val="00D82E84"/>
    <w:rsid w:val="00D82E8F"/>
    <w:rsid w:val="00D8316E"/>
    <w:rsid w:val="00D833EA"/>
    <w:rsid w:val="00D83553"/>
    <w:rsid w:val="00D8378F"/>
    <w:rsid w:val="00D8391C"/>
    <w:rsid w:val="00D83B0B"/>
    <w:rsid w:val="00D8403F"/>
    <w:rsid w:val="00D8452E"/>
    <w:rsid w:val="00D84CCC"/>
    <w:rsid w:val="00D85114"/>
    <w:rsid w:val="00D85829"/>
    <w:rsid w:val="00D85DE8"/>
    <w:rsid w:val="00D86AD6"/>
    <w:rsid w:val="00D87411"/>
    <w:rsid w:val="00D874BF"/>
    <w:rsid w:val="00D87BAE"/>
    <w:rsid w:val="00D9085A"/>
    <w:rsid w:val="00D90F35"/>
    <w:rsid w:val="00D91172"/>
    <w:rsid w:val="00D91731"/>
    <w:rsid w:val="00D91A06"/>
    <w:rsid w:val="00D92753"/>
    <w:rsid w:val="00D92DBF"/>
    <w:rsid w:val="00D931E7"/>
    <w:rsid w:val="00D9362E"/>
    <w:rsid w:val="00D93DB2"/>
    <w:rsid w:val="00D940E2"/>
    <w:rsid w:val="00D94284"/>
    <w:rsid w:val="00D94781"/>
    <w:rsid w:val="00D9481A"/>
    <w:rsid w:val="00D94966"/>
    <w:rsid w:val="00D94A9F"/>
    <w:rsid w:val="00D94ACC"/>
    <w:rsid w:val="00D94F4A"/>
    <w:rsid w:val="00D94FAE"/>
    <w:rsid w:val="00D9539A"/>
    <w:rsid w:val="00D95C37"/>
    <w:rsid w:val="00D95CB9"/>
    <w:rsid w:val="00D965B4"/>
    <w:rsid w:val="00D96EBC"/>
    <w:rsid w:val="00D97030"/>
    <w:rsid w:val="00D972DF"/>
    <w:rsid w:val="00D975D8"/>
    <w:rsid w:val="00D978E2"/>
    <w:rsid w:val="00D97C5A"/>
    <w:rsid w:val="00DA0086"/>
    <w:rsid w:val="00DA074C"/>
    <w:rsid w:val="00DA0CFB"/>
    <w:rsid w:val="00DA0F03"/>
    <w:rsid w:val="00DA0FE8"/>
    <w:rsid w:val="00DA109C"/>
    <w:rsid w:val="00DA141E"/>
    <w:rsid w:val="00DA19B8"/>
    <w:rsid w:val="00DA1A61"/>
    <w:rsid w:val="00DA2653"/>
    <w:rsid w:val="00DA2E32"/>
    <w:rsid w:val="00DA3517"/>
    <w:rsid w:val="00DA56D7"/>
    <w:rsid w:val="00DA69B9"/>
    <w:rsid w:val="00DA69BF"/>
    <w:rsid w:val="00DA6B87"/>
    <w:rsid w:val="00DA6E1B"/>
    <w:rsid w:val="00DA7DDF"/>
    <w:rsid w:val="00DB020A"/>
    <w:rsid w:val="00DB0823"/>
    <w:rsid w:val="00DB1A6B"/>
    <w:rsid w:val="00DB1B78"/>
    <w:rsid w:val="00DB2245"/>
    <w:rsid w:val="00DB2259"/>
    <w:rsid w:val="00DB28FD"/>
    <w:rsid w:val="00DB2D4E"/>
    <w:rsid w:val="00DB3294"/>
    <w:rsid w:val="00DB39D0"/>
    <w:rsid w:val="00DB4728"/>
    <w:rsid w:val="00DB5B98"/>
    <w:rsid w:val="00DB5E0F"/>
    <w:rsid w:val="00DB6708"/>
    <w:rsid w:val="00DB6C0E"/>
    <w:rsid w:val="00DB73AE"/>
    <w:rsid w:val="00DB7614"/>
    <w:rsid w:val="00DB7AF7"/>
    <w:rsid w:val="00DC01E0"/>
    <w:rsid w:val="00DC0A7A"/>
    <w:rsid w:val="00DC0F22"/>
    <w:rsid w:val="00DC10BA"/>
    <w:rsid w:val="00DC1517"/>
    <w:rsid w:val="00DC15C7"/>
    <w:rsid w:val="00DC184A"/>
    <w:rsid w:val="00DC246C"/>
    <w:rsid w:val="00DC27A8"/>
    <w:rsid w:val="00DC2A32"/>
    <w:rsid w:val="00DC34F0"/>
    <w:rsid w:val="00DC3948"/>
    <w:rsid w:val="00DC3B19"/>
    <w:rsid w:val="00DC45DC"/>
    <w:rsid w:val="00DC465B"/>
    <w:rsid w:val="00DC471A"/>
    <w:rsid w:val="00DC4C87"/>
    <w:rsid w:val="00DC4D74"/>
    <w:rsid w:val="00DC50A2"/>
    <w:rsid w:val="00DC553B"/>
    <w:rsid w:val="00DC594A"/>
    <w:rsid w:val="00DC5C0E"/>
    <w:rsid w:val="00DC5CA0"/>
    <w:rsid w:val="00DC62E1"/>
    <w:rsid w:val="00DC679C"/>
    <w:rsid w:val="00DC68CB"/>
    <w:rsid w:val="00DC6932"/>
    <w:rsid w:val="00DC6A82"/>
    <w:rsid w:val="00DC760C"/>
    <w:rsid w:val="00DC7792"/>
    <w:rsid w:val="00DC77B5"/>
    <w:rsid w:val="00DC7B27"/>
    <w:rsid w:val="00DD005F"/>
    <w:rsid w:val="00DD0166"/>
    <w:rsid w:val="00DD02EF"/>
    <w:rsid w:val="00DD0C46"/>
    <w:rsid w:val="00DD0CF3"/>
    <w:rsid w:val="00DD0DBA"/>
    <w:rsid w:val="00DD10A0"/>
    <w:rsid w:val="00DD1241"/>
    <w:rsid w:val="00DD1551"/>
    <w:rsid w:val="00DD1723"/>
    <w:rsid w:val="00DD1823"/>
    <w:rsid w:val="00DD1BB7"/>
    <w:rsid w:val="00DD1E78"/>
    <w:rsid w:val="00DD2619"/>
    <w:rsid w:val="00DD2EB1"/>
    <w:rsid w:val="00DD373C"/>
    <w:rsid w:val="00DD3ED6"/>
    <w:rsid w:val="00DD4416"/>
    <w:rsid w:val="00DD5010"/>
    <w:rsid w:val="00DD5332"/>
    <w:rsid w:val="00DD5548"/>
    <w:rsid w:val="00DD5CF7"/>
    <w:rsid w:val="00DD5ED4"/>
    <w:rsid w:val="00DD6552"/>
    <w:rsid w:val="00DD690E"/>
    <w:rsid w:val="00DE03ED"/>
    <w:rsid w:val="00DE054C"/>
    <w:rsid w:val="00DE05A7"/>
    <w:rsid w:val="00DE0D7E"/>
    <w:rsid w:val="00DE1119"/>
    <w:rsid w:val="00DE2718"/>
    <w:rsid w:val="00DE2C37"/>
    <w:rsid w:val="00DE3A83"/>
    <w:rsid w:val="00DE3F3C"/>
    <w:rsid w:val="00DE439C"/>
    <w:rsid w:val="00DE465B"/>
    <w:rsid w:val="00DE4741"/>
    <w:rsid w:val="00DE49B9"/>
    <w:rsid w:val="00DE4B4E"/>
    <w:rsid w:val="00DE4C30"/>
    <w:rsid w:val="00DE4DA7"/>
    <w:rsid w:val="00DE5A60"/>
    <w:rsid w:val="00DE5C3D"/>
    <w:rsid w:val="00DE5EA3"/>
    <w:rsid w:val="00DE618E"/>
    <w:rsid w:val="00DE687A"/>
    <w:rsid w:val="00DE6919"/>
    <w:rsid w:val="00DE6B16"/>
    <w:rsid w:val="00DE7961"/>
    <w:rsid w:val="00DE7978"/>
    <w:rsid w:val="00DE7AF8"/>
    <w:rsid w:val="00DF04B3"/>
    <w:rsid w:val="00DF04C4"/>
    <w:rsid w:val="00DF07DD"/>
    <w:rsid w:val="00DF09C6"/>
    <w:rsid w:val="00DF0CF9"/>
    <w:rsid w:val="00DF0E65"/>
    <w:rsid w:val="00DF1042"/>
    <w:rsid w:val="00DF112A"/>
    <w:rsid w:val="00DF1319"/>
    <w:rsid w:val="00DF15B5"/>
    <w:rsid w:val="00DF1750"/>
    <w:rsid w:val="00DF181B"/>
    <w:rsid w:val="00DF1D56"/>
    <w:rsid w:val="00DF1EBC"/>
    <w:rsid w:val="00DF28AE"/>
    <w:rsid w:val="00DF2B23"/>
    <w:rsid w:val="00DF3093"/>
    <w:rsid w:val="00DF3851"/>
    <w:rsid w:val="00DF437E"/>
    <w:rsid w:val="00DF4666"/>
    <w:rsid w:val="00DF4A0D"/>
    <w:rsid w:val="00DF4A99"/>
    <w:rsid w:val="00DF4F42"/>
    <w:rsid w:val="00DF4F63"/>
    <w:rsid w:val="00DF53CB"/>
    <w:rsid w:val="00DF5433"/>
    <w:rsid w:val="00DF5D23"/>
    <w:rsid w:val="00DF5E3C"/>
    <w:rsid w:val="00DF629A"/>
    <w:rsid w:val="00DF6443"/>
    <w:rsid w:val="00DF64F0"/>
    <w:rsid w:val="00DF66FE"/>
    <w:rsid w:val="00DF6FFC"/>
    <w:rsid w:val="00DF7002"/>
    <w:rsid w:val="00DF7B78"/>
    <w:rsid w:val="00E008D0"/>
    <w:rsid w:val="00E00952"/>
    <w:rsid w:val="00E00B73"/>
    <w:rsid w:val="00E01081"/>
    <w:rsid w:val="00E01C97"/>
    <w:rsid w:val="00E01E77"/>
    <w:rsid w:val="00E02391"/>
    <w:rsid w:val="00E023ED"/>
    <w:rsid w:val="00E02791"/>
    <w:rsid w:val="00E02997"/>
    <w:rsid w:val="00E02A67"/>
    <w:rsid w:val="00E02CB1"/>
    <w:rsid w:val="00E02CF0"/>
    <w:rsid w:val="00E03E57"/>
    <w:rsid w:val="00E03FF4"/>
    <w:rsid w:val="00E0404D"/>
    <w:rsid w:val="00E04178"/>
    <w:rsid w:val="00E05574"/>
    <w:rsid w:val="00E05A6A"/>
    <w:rsid w:val="00E05D18"/>
    <w:rsid w:val="00E05F6B"/>
    <w:rsid w:val="00E060B3"/>
    <w:rsid w:val="00E06784"/>
    <w:rsid w:val="00E06F70"/>
    <w:rsid w:val="00E0722A"/>
    <w:rsid w:val="00E07273"/>
    <w:rsid w:val="00E073B6"/>
    <w:rsid w:val="00E07899"/>
    <w:rsid w:val="00E104F1"/>
    <w:rsid w:val="00E10531"/>
    <w:rsid w:val="00E1053B"/>
    <w:rsid w:val="00E10630"/>
    <w:rsid w:val="00E10C12"/>
    <w:rsid w:val="00E10D73"/>
    <w:rsid w:val="00E10F15"/>
    <w:rsid w:val="00E1121A"/>
    <w:rsid w:val="00E1128B"/>
    <w:rsid w:val="00E125A7"/>
    <w:rsid w:val="00E126AB"/>
    <w:rsid w:val="00E127B0"/>
    <w:rsid w:val="00E13823"/>
    <w:rsid w:val="00E13979"/>
    <w:rsid w:val="00E14468"/>
    <w:rsid w:val="00E14638"/>
    <w:rsid w:val="00E15399"/>
    <w:rsid w:val="00E1570E"/>
    <w:rsid w:val="00E159C3"/>
    <w:rsid w:val="00E1638E"/>
    <w:rsid w:val="00E16545"/>
    <w:rsid w:val="00E16FD6"/>
    <w:rsid w:val="00E17090"/>
    <w:rsid w:val="00E17636"/>
    <w:rsid w:val="00E179F6"/>
    <w:rsid w:val="00E17B35"/>
    <w:rsid w:val="00E17B62"/>
    <w:rsid w:val="00E20542"/>
    <w:rsid w:val="00E20638"/>
    <w:rsid w:val="00E2066D"/>
    <w:rsid w:val="00E2081A"/>
    <w:rsid w:val="00E20EE9"/>
    <w:rsid w:val="00E213EE"/>
    <w:rsid w:val="00E22102"/>
    <w:rsid w:val="00E2214E"/>
    <w:rsid w:val="00E22973"/>
    <w:rsid w:val="00E22B04"/>
    <w:rsid w:val="00E22D4C"/>
    <w:rsid w:val="00E23440"/>
    <w:rsid w:val="00E23CC1"/>
    <w:rsid w:val="00E23DEB"/>
    <w:rsid w:val="00E2436F"/>
    <w:rsid w:val="00E24564"/>
    <w:rsid w:val="00E24B13"/>
    <w:rsid w:val="00E24D10"/>
    <w:rsid w:val="00E24D49"/>
    <w:rsid w:val="00E24E40"/>
    <w:rsid w:val="00E25186"/>
    <w:rsid w:val="00E25473"/>
    <w:rsid w:val="00E2593B"/>
    <w:rsid w:val="00E25CB1"/>
    <w:rsid w:val="00E25CD4"/>
    <w:rsid w:val="00E25D33"/>
    <w:rsid w:val="00E267DB"/>
    <w:rsid w:val="00E26BE2"/>
    <w:rsid w:val="00E279F8"/>
    <w:rsid w:val="00E27B30"/>
    <w:rsid w:val="00E304A0"/>
    <w:rsid w:val="00E30BB0"/>
    <w:rsid w:val="00E310DE"/>
    <w:rsid w:val="00E31DD9"/>
    <w:rsid w:val="00E3226C"/>
    <w:rsid w:val="00E33010"/>
    <w:rsid w:val="00E33030"/>
    <w:rsid w:val="00E33B9D"/>
    <w:rsid w:val="00E3438F"/>
    <w:rsid w:val="00E34DB3"/>
    <w:rsid w:val="00E35317"/>
    <w:rsid w:val="00E3580F"/>
    <w:rsid w:val="00E359B8"/>
    <w:rsid w:val="00E35D23"/>
    <w:rsid w:val="00E362FC"/>
    <w:rsid w:val="00E36C44"/>
    <w:rsid w:val="00E37A47"/>
    <w:rsid w:val="00E37F68"/>
    <w:rsid w:val="00E400F0"/>
    <w:rsid w:val="00E410BA"/>
    <w:rsid w:val="00E418AF"/>
    <w:rsid w:val="00E42508"/>
    <w:rsid w:val="00E4264F"/>
    <w:rsid w:val="00E42868"/>
    <w:rsid w:val="00E42C29"/>
    <w:rsid w:val="00E4315E"/>
    <w:rsid w:val="00E43242"/>
    <w:rsid w:val="00E435ED"/>
    <w:rsid w:val="00E436BF"/>
    <w:rsid w:val="00E439C6"/>
    <w:rsid w:val="00E43A8A"/>
    <w:rsid w:val="00E43B8A"/>
    <w:rsid w:val="00E43C14"/>
    <w:rsid w:val="00E43C20"/>
    <w:rsid w:val="00E43F4C"/>
    <w:rsid w:val="00E43FA7"/>
    <w:rsid w:val="00E45502"/>
    <w:rsid w:val="00E46045"/>
    <w:rsid w:val="00E46441"/>
    <w:rsid w:val="00E46817"/>
    <w:rsid w:val="00E46D13"/>
    <w:rsid w:val="00E46F93"/>
    <w:rsid w:val="00E47135"/>
    <w:rsid w:val="00E47A90"/>
    <w:rsid w:val="00E47FB4"/>
    <w:rsid w:val="00E5028A"/>
    <w:rsid w:val="00E5028D"/>
    <w:rsid w:val="00E507BC"/>
    <w:rsid w:val="00E50825"/>
    <w:rsid w:val="00E508D3"/>
    <w:rsid w:val="00E5158D"/>
    <w:rsid w:val="00E520A6"/>
    <w:rsid w:val="00E52169"/>
    <w:rsid w:val="00E52B56"/>
    <w:rsid w:val="00E53274"/>
    <w:rsid w:val="00E5339A"/>
    <w:rsid w:val="00E5423D"/>
    <w:rsid w:val="00E54581"/>
    <w:rsid w:val="00E549EB"/>
    <w:rsid w:val="00E54B21"/>
    <w:rsid w:val="00E55071"/>
    <w:rsid w:val="00E55BB8"/>
    <w:rsid w:val="00E5622B"/>
    <w:rsid w:val="00E563A5"/>
    <w:rsid w:val="00E56590"/>
    <w:rsid w:val="00E56DE9"/>
    <w:rsid w:val="00E56F02"/>
    <w:rsid w:val="00E57506"/>
    <w:rsid w:val="00E57BC8"/>
    <w:rsid w:val="00E57D53"/>
    <w:rsid w:val="00E601EF"/>
    <w:rsid w:val="00E60761"/>
    <w:rsid w:val="00E60BBD"/>
    <w:rsid w:val="00E611D8"/>
    <w:rsid w:val="00E6288A"/>
    <w:rsid w:val="00E62A46"/>
    <w:rsid w:val="00E62EAC"/>
    <w:rsid w:val="00E6316F"/>
    <w:rsid w:val="00E641A6"/>
    <w:rsid w:val="00E643FB"/>
    <w:rsid w:val="00E645C9"/>
    <w:rsid w:val="00E64703"/>
    <w:rsid w:val="00E64819"/>
    <w:rsid w:val="00E6483D"/>
    <w:rsid w:val="00E64E6C"/>
    <w:rsid w:val="00E64F12"/>
    <w:rsid w:val="00E65718"/>
    <w:rsid w:val="00E65DD9"/>
    <w:rsid w:val="00E663CC"/>
    <w:rsid w:val="00E676DC"/>
    <w:rsid w:val="00E67F57"/>
    <w:rsid w:val="00E704B7"/>
    <w:rsid w:val="00E7134D"/>
    <w:rsid w:val="00E71716"/>
    <w:rsid w:val="00E71775"/>
    <w:rsid w:val="00E71B29"/>
    <w:rsid w:val="00E71D75"/>
    <w:rsid w:val="00E72650"/>
    <w:rsid w:val="00E7293A"/>
    <w:rsid w:val="00E72BAE"/>
    <w:rsid w:val="00E72C35"/>
    <w:rsid w:val="00E731E9"/>
    <w:rsid w:val="00E7320F"/>
    <w:rsid w:val="00E73261"/>
    <w:rsid w:val="00E734B3"/>
    <w:rsid w:val="00E736C1"/>
    <w:rsid w:val="00E7383A"/>
    <w:rsid w:val="00E73CB6"/>
    <w:rsid w:val="00E740D0"/>
    <w:rsid w:val="00E745C0"/>
    <w:rsid w:val="00E74883"/>
    <w:rsid w:val="00E74D9C"/>
    <w:rsid w:val="00E751F3"/>
    <w:rsid w:val="00E7598B"/>
    <w:rsid w:val="00E76D57"/>
    <w:rsid w:val="00E77397"/>
    <w:rsid w:val="00E77497"/>
    <w:rsid w:val="00E77F5D"/>
    <w:rsid w:val="00E801CC"/>
    <w:rsid w:val="00E8068F"/>
    <w:rsid w:val="00E80A4D"/>
    <w:rsid w:val="00E80B69"/>
    <w:rsid w:val="00E80E8D"/>
    <w:rsid w:val="00E811E9"/>
    <w:rsid w:val="00E819F5"/>
    <w:rsid w:val="00E82315"/>
    <w:rsid w:val="00E82726"/>
    <w:rsid w:val="00E82A9C"/>
    <w:rsid w:val="00E83114"/>
    <w:rsid w:val="00E845BF"/>
    <w:rsid w:val="00E845C5"/>
    <w:rsid w:val="00E846E1"/>
    <w:rsid w:val="00E85788"/>
    <w:rsid w:val="00E85927"/>
    <w:rsid w:val="00E85EA6"/>
    <w:rsid w:val="00E876E4"/>
    <w:rsid w:val="00E87BB7"/>
    <w:rsid w:val="00E87C31"/>
    <w:rsid w:val="00E9012F"/>
    <w:rsid w:val="00E908E8"/>
    <w:rsid w:val="00E90AC4"/>
    <w:rsid w:val="00E90C06"/>
    <w:rsid w:val="00E91366"/>
    <w:rsid w:val="00E91440"/>
    <w:rsid w:val="00E9169E"/>
    <w:rsid w:val="00E9184E"/>
    <w:rsid w:val="00E91A21"/>
    <w:rsid w:val="00E91ED3"/>
    <w:rsid w:val="00E9262A"/>
    <w:rsid w:val="00E931FC"/>
    <w:rsid w:val="00E93461"/>
    <w:rsid w:val="00E93583"/>
    <w:rsid w:val="00E94344"/>
    <w:rsid w:val="00E944A1"/>
    <w:rsid w:val="00E94DEF"/>
    <w:rsid w:val="00E95A66"/>
    <w:rsid w:val="00E95BDD"/>
    <w:rsid w:val="00E96A74"/>
    <w:rsid w:val="00E96E93"/>
    <w:rsid w:val="00E972F9"/>
    <w:rsid w:val="00E973E2"/>
    <w:rsid w:val="00E9740F"/>
    <w:rsid w:val="00E976F3"/>
    <w:rsid w:val="00E97A5E"/>
    <w:rsid w:val="00EA02D8"/>
    <w:rsid w:val="00EA0817"/>
    <w:rsid w:val="00EA0975"/>
    <w:rsid w:val="00EA097B"/>
    <w:rsid w:val="00EA0C09"/>
    <w:rsid w:val="00EA1361"/>
    <w:rsid w:val="00EA1429"/>
    <w:rsid w:val="00EA1D41"/>
    <w:rsid w:val="00EA2187"/>
    <w:rsid w:val="00EA2222"/>
    <w:rsid w:val="00EA4217"/>
    <w:rsid w:val="00EA484A"/>
    <w:rsid w:val="00EA5CEA"/>
    <w:rsid w:val="00EA6342"/>
    <w:rsid w:val="00EA754D"/>
    <w:rsid w:val="00EA7AA6"/>
    <w:rsid w:val="00EA7C8B"/>
    <w:rsid w:val="00EA7C92"/>
    <w:rsid w:val="00EA7CC1"/>
    <w:rsid w:val="00EB01BB"/>
    <w:rsid w:val="00EB0A53"/>
    <w:rsid w:val="00EB1A5C"/>
    <w:rsid w:val="00EB23B4"/>
    <w:rsid w:val="00EB4521"/>
    <w:rsid w:val="00EB47AB"/>
    <w:rsid w:val="00EB4938"/>
    <w:rsid w:val="00EB499F"/>
    <w:rsid w:val="00EB55CE"/>
    <w:rsid w:val="00EB5605"/>
    <w:rsid w:val="00EB5C2A"/>
    <w:rsid w:val="00EB5F89"/>
    <w:rsid w:val="00EB654A"/>
    <w:rsid w:val="00EB6771"/>
    <w:rsid w:val="00EB7D52"/>
    <w:rsid w:val="00EB7DF0"/>
    <w:rsid w:val="00EB7FEF"/>
    <w:rsid w:val="00EC01CE"/>
    <w:rsid w:val="00EC03A5"/>
    <w:rsid w:val="00EC0A23"/>
    <w:rsid w:val="00EC0AFD"/>
    <w:rsid w:val="00EC1EC0"/>
    <w:rsid w:val="00EC1F94"/>
    <w:rsid w:val="00EC2127"/>
    <w:rsid w:val="00EC2B61"/>
    <w:rsid w:val="00EC2D8D"/>
    <w:rsid w:val="00EC2EE2"/>
    <w:rsid w:val="00EC3988"/>
    <w:rsid w:val="00EC39B3"/>
    <w:rsid w:val="00EC3B33"/>
    <w:rsid w:val="00EC3D9B"/>
    <w:rsid w:val="00EC3DF4"/>
    <w:rsid w:val="00EC4518"/>
    <w:rsid w:val="00EC49E6"/>
    <w:rsid w:val="00EC4F00"/>
    <w:rsid w:val="00EC5685"/>
    <w:rsid w:val="00EC5B1E"/>
    <w:rsid w:val="00EC5BD4"/>
    <w:rsid w:val="00EC66D4"/>
    <w:rsid w:val="00EC7080"/>
    <w:rsid w:val="00EC7A40"/>
    <w:rsid w:val="00EC7E92"/>
    <w:rsid w:val="00ED111E"/>
    <w:rsid w:val="00ED16AF"/>
    <w:rsid w:val="00ED26F4"/>
    <w:rsid w:val="00ED302C"/>
    <w:rsid w:val="00ED3039"/>
    <w:rsid w:val="00ED371B"/>
    <w:rsid w:val="00ED3E16"/>
    <w:rsid w:val="00ED447A"/>
    <w:rsid w:val="00ED4CC8"/>
    <w:rsid w:val="00ED5609"/>
    <w:rsid w:val="00ED5F59"/>
    <w:rsid w:val="00ED62D7"/>
    <w:rsid w:val="00ED6B1A"/>
    <w:rsid w:val="00ED6D25"/>
    <w:rsid w:val="00ED6F82"/>
    <w:rsid w:val="00ED750E"/>
    <w:rsid w:val="00ED7804"/>
    <w:rsid w:val="00ED7CBB"/>
    <w:rsid w:val="00EE017C"/>
    <w:rsid w:val="00EE07E5"/>
    <w:rsid w:val="00EE088E"/>
    <w:rsid w:val="00EE0BA1"/>
    <w:rsid w:val="00EE1112"/>
    <w:rsid w:val="00EE140A"/>
    <w:rsid w:val="00EE195C"/>
    <w:rsid w:val="00EE20C3"/>
    <w:rsid w:val="00EE2949"/>
    <w:rsid w:val="00EE3EEE"/>
    <w:rsid w:val="00EE4000"/>
    <w:rsid w:val="00EE44B3"/>
    <w:rsid w:val="00EE4A07"/>
    <w:rsid w:val="00EE4D88"/>
    <w:rsid w:val="00EE504D"/>
    <w:rsid w:val="00EE5B68"/>
    <w:rsid w:val="00EE5D7B"/>
    <w:rsid w:val="00EE6AB1"/>
    <w:rsid w:val="00EE6CF6"/>
    <w:rsid w:val="00EE703C"/>
    <w:rsid w:val="00EE7146"/>
    <w:rsid w:val="00EE7774"/>
    <w:rsid w:val="00EE78CC"/>
    <w:rsid w:val="00EE7B94"/>
    <w:rsid w:val="00EF01F4"/>
    <w:rsid w:val="00EF09D9"/>
    <w:rsid w:val="00EF0AB6"/>
    <w:rsid w:val="00EF1770"/>
    <w:rsid w:val="00EF1AF7"/>
    <w:rsid w:val="00EF1CD6"/>
    <w:rsid w:val="00EF208F"/>
    <w:rsid w:val="00EF241A"/>
    <w:rsid w:val="00EF2641"/>
    <w:rsid w:val="00EF2670"/>
    <w:rsid w:val="00EF28DE"/>
    <w:rsid w:val="00EF2BD2"/>
    <w:rsid w:val="00EF3C2C"/>
    <w:rsid w:val="00EF46EB"/>
    <w:rsid w:val="00EF5169"/>
    <w:rsid w:val="00EF5769"/>
    <w:rsid w:val="00EF58BA"/>
    <w:rsid w:val="00EF5C72"/>
    <w:rsid w:val="00EF5FE5"/>
    <w:rsid w:val="00EF61E7"/>
    <w:rsid w:val="00EF630C"/>
    <w:rsid w:val="00EF6F6D"/>
    <w:rsid w:val="00EF711C"/>
    <w:rsid w:val="00EF76B8"/>
    <w:rsid w:val="00EF7BA4"/>
    <w:rsid w:val="00F00081"/>
    <w:rsid w:val="00F008AF"/>
    <w:rsid w:val="00F00F6F"/>
    <w:rsid w:val="00F01593"/>
    <w:rsid w:val="00F0198F"/>
    <w:rsid w:val="00F01AFC"/>
    <w:rsid w:val="00F0223B"/>
    <w:rsid w:val="00F0341B"/>
    <w:rsid w:val="00F03424"/>
    <w:rsid w:val="00F03F20"/>
    <w:rsid w:val="00F04824"/>
    <w:rsid w:val="00F04C25"/>
    <w:rsid w:val="00F04D7B"/>
    <w:rsid w:val="00F04F73"/>
    <w:rsid w:val="00F056DF"/>
    <w:rsid w:val="00F05E95"/>
    <w:rsid w:val="00F06313"/>
    <w:rsid w:val="00F06B53"/>
    <w:rsid w:val="00F07298"/>
    <w:rsid w:val="00F07959"/>
    <w:rsid w:val="00F0795B"/>
    <w:rsid w:val="00F07D25"/>
    <w:rsid w:val="00F07D3D"/>
    <w:rsid w:val="00F104D4"/>
    <w:rsid w:val="00F10FE4"/>
    <w:rsid w:val="00F11697"/>
    <w:rsid w:val="00F11B65"/>
    <w:rsid w:val="00F11EFE"/>
    <w:rsid w:val="00F1221D"/>
    <w:rsid w:val="00F12649"/>
    <w:rsid w:val="00F12994"/>
    <w:rsid w:val="00F12DB5"/>
    <w:rsid w:val="00F13359"/>
    <w:rsid w:val="00F13A1B"/>
    <w:rsid w:val="00F13FA2"/>
    <w:rsid w:val="00F14029"/>
    <w:rsid w:val="00F14488"/>
    <w:rsid w:val="00F14F9F"/>
    <w:rsid w:val="00F15399"/>
    <w:rsid w:val="00F15A67"/>
    <w:rsid w:val="00F15E5B"/>
    <w:rsid w:val="00F16708"/>
    <w:rsid w:val="00F17206"/>
    <w:rsid w:val="00F17A48"/>
    <w:rsid w:val="00F17E68"/>
    <w:rsid w:val="00F17ED9"/>
    <w:rsid w:val="00F17FB2"/>
    <w:rsid w:val="00F20370"/>
    <w:rsid w:val="00F20555"/>
    <w:rsid w:val="00F2055F"/>
    <w:rsid w:val="00F206D1"/>
    <w:rsid w:val="00F20A71"/>
    <w:rsid w:val="00F2158C"/>
    <w:rsid w:val="00F21664"/>
    <w:rsid w:val="00F218FF"/>
    <w:rsid w:val="00F22FBE"/>
    <w:rsid w:val="00F2391F"/>
    <w:rsid w:val="00F23AD0"/>
    <w:rsid w:val="00F23B7E"/>
    <w:rsid w:val="00F24514"/>
    <w:rsid w:val="00F2472C"/>
    <w:rsid w:val="00F24B12"/>
    <w:rsid w:val="00F24E7B"/>
    <w:rsid w:val="00F24FC6"/>
    <w:rsid w:val="00F25F84"/>
    <w:rsid w:val="00F25FCC"/>
    <w:rsid w:val="00F2626C"/>
    <w:rsid w:val="00F2637B"/>
    <w:rsid w:val="00F26570"/>
    <w:rsid w:val="00F26761"/>
    <w:rsid w:val="00F27028"/>
    <w:rsid w:val="00F2724B"/>
    <w:rsid w:val="00F2778F"/>
    <w:rsid w:val="00F27A80"/>
    <w:rsid w:val="00F27E02"/>
    <w:rsid w:val="00F30855"/>
    <w:rsid w:val="00F30D8F"/>
    <w:rsid w:val="00F30DBA"/>
    <w:rsid w:val="00F30DD4"/>
    <w:rsid w:val="00F324B8"/>
    <w:rsid w:val="00F32728"/>
    <w:rsid w:val="00F32959"/>
    <w:rsid w:val="00F3376D"/>
    <w:rsid w:val="00F33FDD"/>
    <w:rsid w:val="00F35C98"/>
    <w:rsid w:val="00F35E9E"/>
    <w:rsid w:val="00F35EAE"/>
    <w:rsid w:val="00F37581"/>
    <w:rsid w:val="00F400AB"/>
    <w:rsid w:val="00F40914"/>
    <w:rsid w:val="00F40C06"/>
    <w:rsid w:val="00F40D8F"/>
    <w:rsid w:val="00F41692"/>
    <w:rsid w:val="00F4188D"/>
    <w:rsid w:val="00F41C87"/>
    <w:rsid w:val="00F41D30"/>
    <w:rsid w:val="00F4206F"/>
    <w:rsid w:val="00F430E4"/>
    <w:rsid w:val="00F43589"/>
    <w:rsid w:val="00F43697"/>
    <w:rsid w:val="00F436CA"/>
    <w:rsid w:val="00F43861"/>
    <w:rsid w:val="00F44326"/>
    <w:rsid w:val="00F449E9"/>
    <w:rsid w:val="00F44CEF"/>
    <w:rsid w:val="00F45013"/>
    <w:rsid w:val="00F4517A"/>
    <w:rsid w:val="00F458BC"/>
    <w:rsid w:val="00F45A95"/>
    <w:rsid w:val="00F462E8"/>
    <w:rsid w:val="00F474D8"/>
    <w:rsid w:val="00F50090"/>
    <w:rsid w:val="00F5009D"/>
    <w:rsid w:val="00F5015D"/>
    <w:rsid w:val="00F50462"/>
    <w:rsid w:val="00F5064C"/>
    <w:rsid w:val="00F5066B"/>
    <w:rsid w:val="00F50AC3"/>
    <w:rsid w:val="00F50E44"/>
    <w:rsid w:val="00F517C4"/>
    <w:rsid w:val="00F51ABF"/>
    <w:rsid w:val="00F51DC5"/>
    <w:rsid w:val="00F524A0"/>
    <w:rsid w:val="00F524F7"/>
    <w:rsid w:val="00F52595"/>
    <w:rsid w:val="00F52A68"/>
    <w:rsid w:val="00F52ED5"/>
    <w:rsid w:val="00F537DF"/>
    <w:rsid w:val="00F53D78"/>
    <w:rsid w:val="00F53F2F"/>
    <w:rsid w:val="00F5404F"/>
    <w:rsid w:val="00F54247"/>
    <w:rsid w:val="00F54C6E"/>
    <w:rsid w:val="00F55F8E"/>
    <w:rsid w:val="00F5751F"/>
    <w:rsid w:val="00F5757E"/>
    <w:rsid w:val="00F577B0"/>
    <w:rsid w:val="00F57A8F"/>
    <w:rsid w:val="00F60637"/>
    <w:rsid w:val="00F6099B"/>
    <w:rsid w:val="00F610D7"/>
    <w:rsid w:val="00F61319"/>
    <w:rsid w:val="00F61578"/>
    <w:rsid w:val="00F61785"/>
    <w:rsid w:val="00F61E1D"/>
    <w:rsid w:val="00F61E34"/>
    <w:rsid w:val="00F620A0"/>
    <w:rsid w:val="00F62F26"/>
    <w:rsid w:val="00F62F49"/>
    <w:rsid w:val="00F63AFF"/>
    <w:rsid w:val="00F64D59"/>
    <w:rsid w:val="00F6507B"/>
    <w:rsid w:val="00F65750"/>
    <w:rsid w:val="00F65BC3"/>
    <w:rsid w:val="00F65C7A"/>
    <w:rsid w:val="00F662CA"/>
    <w:rsid w:val="00F66554"/>
    <w:rsid w:val="00F667F7"/>
    <w:rsid w:val="00F668AD"/>
    <w:rsid w:val="00F6701D"/>
    <w:rsid w:val="00F67228"/>
    <w:rsid w:val="00F67C83"/>
    <w:rsid w:val="00F70659"/>
    <w:rsid w:val="00F70ED5"/>
    <w:rsid w:val="00F710F2"/>
    <w:rsid w:val="00F7155E"/>
    <w:rsid w:val="00F71A7F"/>
    <w:rsid w:val="00F71A9C"/>
    <w:rsid w:val="00F71E55"/>
    <w:rsid w:val="00F735C6"/>
    <w:rsid w:val="00F737E4"/>
    <w:rsid w:val="00F73C5E"/>
    <w:rsid w:val="00F73D7B"/>
    <w:rsid w:val="00F73EEF"/>
    <w:rsid w:val="00F742AE"/>
    <w:rsid w:val="00F7435C"/>
    <w:rsid w:val="00F75786"/>
    <w:rsid w:val="00F75DF7"/>
    <w:rsid w:val="00F76540"/>
    <w:rsid w:val="00F768EC"/>
    <w:rsid w:val="00F7752C"/>
    <w:rsid w:val="00F77B24"/>
    <w:rsid w:val="00F807E0"/>
    <w:rsid w:val="00F809F3"/>
    <w:rsid w:val="00F80A4F"/>
    <w:rsid w:val="00F818D5"/>
    <w:rsid w:val="00F81AB2"/>
    <w:rsid w:val="00F81CA4"/>
    <w:rsid w:val="00F82001"/>
    <w:rsid w:val="00F82321"/>
    <w:rsid w:val="00F82AF1"/>
    <w:rsid w:val="00F83176"/>
    <w:rsid w:val="00F83256"/>
    <w:rsid w:val="00F8362A"/>
    <w:rsid w:val="00F83812"/>
    <w:rsid w:val="00F83B65"/>
    <w:rsid w:val="00F83F3F"/>
    <w:rsid w:val="00F84E75"/>
    <w:rsid w:val="00F8546C"/>
    <w:rsid w:val="00F86DA5"/>
    <w:rsid w:val="00F8738C"/>
    <w:rsid w:val="00F87853"/>
    <w:rsid w:val="00F87F8E"/>
    <w:rsid w:val="00F906F1"/>
    <w:rsid w:val="00F910EA"/>
    <w:rsid w:val="00F91118"/>
    <w:rsid w:val="00F91287"/>
    <w:rsid w:val="00F912B4"/>
    <w:rsid w:val="00F914B4"/>
    <w:rsid w:val="00F91868"/>
    <w:rsid w:val="00F923A9"/>
    <w:rsid w:val="00F9273D"/>
    <w:rsid w:val="00F92850"/>
    <w:rsid w:val="00F930E2"/>
    <w:rsid w:val="00F93308"/>
    <w:rsid w:val="00F93804"/>
    <w:rsid w:val="00F93A8C"/>
    <w:rsid w:val="00F93CA0"/>
    <w:rsid w:val="00F94AD3"/>
    <w:rsid w:val="00F94E56"/>
    <w:rsid w:val="00F9573F"/>
    <w:rsid w:val="00F95B2E"/>
    <w:rsid w:val="00F96022"/>
    <w:rsid w:val="00F960BA"/>
    <w:rsid w:val="00F96543"/>
    <w:rsid w:val="00F9694E"/>
    <w:rsid w:val="00F96D4E"/>
    <w:rsid w:val="00F97302"/>
    <w:rsid w:val="00F97FB2"/>
    <w:rsid w:val="00FA0FD6"/>
    <w:rsid w:val="00FA13C8"/>
    <w:rsid w:val="00FA1FF5"/>
    <w:rsid w:val="00FA241B"/>
    <w:rsid w:val="00FA28D6"/>
    <w:rsid w:val="00FA3442"/>
    <w:rsid w:val="00FA3B23"/>
    <w:rsid w:val="00FA46BD"/>
    <w:rsid w:val="00FA4906"/>
    <w:rsid w:val="00FA4F9A"/>
    <w:rsid w:val="00FA51F5"/>
    <w:rsid w:val="00FA53EB"/>
    <w:rsid w:val="00FA5936"/>
    <w:rsid w:val="00FA6198"/>
    <w:rsid w:val="00FA6224"/>
    <w:rsid w:val="00FA629A"/>
    <w:rsid w:val="00FA6559"/>
    <w:rsid w:val="00FA65A8"/>
    <w:rsid w:val="00FA65F5"/>
    <w:rsid w:val="00FA6E42"/>
    <w:rsid w:val="00FA73ED"/>
    <w:rsid w:val="00FA7D7A"/>
    <w:rsid w:val="00FA7E13"/>
    <w:rsid w:val="00FB04A1"/>
    <w:rsid w:val="00FB0CD9"/>
    <w:rsid w:val="00FB0DD9"/>
    <w:rsid w:val="00FB105B"/>
    <w:rsid w:val="00FB138C"/>
    <w:rsid w:val="00FB1E59"/>
    <w:rsid w:val="00FB2E00"/>
    <w:rsid w:val="00FB325C"/>
    <w:rsid w:val="00FB35EC"/>
    <w:rsid w:val="00FB38D6"/>
    <w:rsid w:val="00FB53A0"/>
    <w:rsid w:val="00FB5849"/>
    <w:rsid w:val="00FB5888"/>
    <w:rsid w:val="00FB5A98"/>
    <w:rsid w:val="00FB6757"/>
    <w:rsid w:val="00FB68C0"/>
    <w:rsid w:val="00FB6C60"/>
    <w:rsid w:val="00FB6C6B"/>
    <w:rsid w:val="00FB70C5"/>
    <w:rsid w:val="00FB77A1"/>
    <w:rsid w:val="00FB7852"/>
    <w:rsid w:val="00FB7A6F"/>
    <w:rsid w:val="00FB7D03"/>
    <w:rsid w:val="00FB7D2B"/>
    <w:rsid w:val="00FB7F5C"/>
    <w:rsid w:val="00FC08AE"/>
    <w:rsid w:val="00FC0A2D"/>
    <w:rsid w:val="00FC1AC7"/>
    <w:rsid w:val="00FC1D98"/>
    <w:rsid w:val="00FC2056"/>
    <w:rsid w:val="00FC25E1"/>
    <w:rsid w:val="00FC3611"/>
    <w:rsid w:val="00FC3EE7"/>
    <w:rsid w:val="00FC4716"/>
    <w:rsid w:val="00FC4734"/>
    <w:rsid w:val="00FC4BCC"/>
    <w:rsid w:val="00FC4F8A"/>
    <w:rsid w:val="00FC56FB"/>
    <w:rsid w:val="00FC5AEE"/>
    <w:rsid w:val="00FC5F27"/>
    <w:rsid w:val="00FC7489"/>
    <w:rsid w:val="00FC74E5"/>
    <w:rsid w:val="00FC76E9"/>
    <w:rsid w:val="00FC7C91"/>
    <w:rsid w:val="00FC7E17"/>
    <w:rsid w:val="00FC7F77"/>
    <w:rsid w:val="00FD05F8"/>
    <w:rsid w:val="00FD122C"/>
    <w:rsid w:val="00FD1663"/>
    <w:rsid w:val="00FD1D6B"/>
    <w:rsid w:val="00FD1DC3"/>
    <w:rsid w:val="00FD235B"/>
    <w:rsid w:val="00FD2580"/>
    <w:rsid w:val="00FD25EA"/>
    <w:rsid w:val="00FD2828"/>
    <w:rsid w:val="00FD28FD"/>
    <w:rsid w:val="00FD3267"/>
    <w:rsid w:val="00FD384A"/>
    <w:rsid w:val="00FD3A01"/>
    <w:rsid w:val="00FD3B2A"/>
    <w:rsid w:val="00FD4579"/>
    <w:rsid w:val="00FD45D8"/>
    <w:rsid w:val="00FD4DD2"/>
    <w:rsid w:val="00FD55C9"/>
    <w:rsid w:val="00FD5A27"/>
    <w:rsid w:val="00FD5B07"/>
    <w:rsid w:val="00FD5C78"/>
    <w:rsid w:val="00FD5CCD"/>
    <w:rsid w:val="00FD5F5D"/>
    <w:rsid w:val="00FD68A8"/>
    <w:rsid w:val="00FD6B7B"/>
    <w:rsid w:val="00FD6DDF"/>
    <w:rsid w:val="00FD6E68"/>
    <w:rsid w:val="00FD6EB0"/>
    <w:rsid w:val="00FD7BC4"/>
    <w:rsid w:val="00FE0231"/>
    <w:rsid w:val="00FE1309"/>
    <w:rsid w:val="00FE1D3D"/>
    <w:rsid w:val="00FE1E98"/>
    <w:rsid w:val="00FE1F02"/>
    <w:rsid w:val="00FE24E2"/>
    <w:rsid w:val="00FE2BA4"/>
    <w:rsid w:val="00FE2C63"/>
    <w:rsid w:val="00FE3360"/>
    <w:rsid w:val="00FE3A07"/>
    <w:rsid w:val="00FE4523"/>
    <w:rsid w:val="00FE4CE0"/>
    <w:rsid w:val="00FE5279"/>
    <w:rsid w:val="00FE5D5E"/>
    <w:rsid w:val="00FE5D99"/>
    <w:rsid w:val="00FE6548"/>
    <w:rsid w:val="00FE66B2"/>
    <w:rsid w:val="00FE6728"/>
    <w:rsid w:val="00FE6834"/>
    <w:rsid w:val="00FE69B9"/>
    <w:rsid w:val="00FE6E0D"/>
    <w:rsid w:val="00FE7A83"/>
    <w:rsid w:val="00FF0026"/>
    <w:rsid w:val="00FF0240"/>
    <w:rsid w:val="00FF03DA"/>
    <w:rsid w:val="00FF04A2"/>
    <w:rsid w:val="00FF090A"/>
    <w:rsid w:val="00FF0B5A"/>
    <w:rsid w:val="00FF0E1B"/>
    <w:rsid w:val="00FF13C0"/>
    <w:rsid w:val="00FF1C5E"/>
    <w:rsid w:val="00FF2D38"/>
    <w:rsid w:val="00FF2D3F"/>
    <w:rsid w:val="00FF32B0"/>
    <w:rsid w:val="00FF35A3"/>
    <w:rsid w:val="00FF3BD4"/>
    <w:rsid w:val="00FF41BD"/>
    <w:rsid w:val="00FF4540"/>
    <w:rsid w:val="00FF49E6"/>
    <w:rsid w:val="00FF56D9"/>
    <w:rsid w:val="00FF59A4"/>
    <w:rsid w:val="00FF59EB"/>
    <w:rsid w:val="00FF5B4B"/>
    <w:rsid w:val="00FF5FC2"/>
    <w:rsid w:val="00FF6A37"/>
    <w:rsid w:val="00FF6BBF"/>
    <w:rsid w:val="00FF7591"/>
    <w:rsid w:val="00FF7719"/>
    <w:rsid w:val="00FF7D89"/>
    <w:rsid w:val="01906D67"/>
    <w:rsid w:val="059A33D5"/>
    <w:rsid w:val="071BC988"/>
    <w:rsid w:val="090552D7"/>
    <w:rsid w:val="0E4B6F78"/>
    <w:rsid w:val="121EFC3B"/>
    <w:rsid w:val="12DC2378"/>
    <w:rsid w:val="13BAF652"/>
    <w:rsid w:val="159150DD"/>
    <w:rsid w:val="17A48FEF"/>
    <w:rsid w:val="17C22BF2"/>
    <w:rsid w:val="18E0DEDF"/>
    <w:rsid w:val="195C240F"/>
    <w:rsid w:val="1C1EA663"/>
    <w:rsid w:val="1C69F646"/>
    <w:rsid w:val="1E377FC2"/>
    <w:rsid w:val="1ECB344C"/>
    <w:rsid w:val="1F92B972"/>
    <w:rsid w:val="20812261"/>
    <w:rsid w:val="20DE89EF"/>
    <w:rsid w:val="22A8F829"/>
    <w:rsid w:val="238236BC"/>
    <w:rsid w:val="2491F9F3"/>
    <w:rsid w:val="28199730"/>
    <w:rsid w:val="28F7F6D3"/>
    <w:rsid w:val="2962040E"/>
    <w:rsid w:val="2B05C9DA"/>
    <w:rsid w:val="30FE3C47"/>
    <w:rsid w:val="314ACBEA"/>
    <w:rsid w:val="3228F452"/>
    <w:rsid w:val="35FF7CE8"/>
    <w:rsid w:val="362DE872"/>
    <w:rsid w:val="3634C1DD"/>
    <w:rsid w:val="36BAC8D7"/>
    <w:rsid w:val="37768BFB"/>
    <w:rsid w:val="38C18255"/>
    <w:rsid w:val="39197453"/>
    <w:rsid w:val="393BA87B"/>
    <w:rsid w:val="39EEA64F"/>
    <w:rsid w:val="44089D05"/>
    <w:rsid w:val="4480B91C"/>
    <w:rsid w:val="453F48C0"/>
    <w:rsid w:val="4E18A1A7"/>
    <w:rsid w:val="4FEF7CFA"/>
    <w:rsid w:val="51DFF816"/>
    <w:rsid w:val="51E7AF9E"/>
    <w:rsid w:val="564C5CE4"/>
    <w:rsid w:val="57455C9A"/>
    <w:rsid w:val="57CABB92"/>
    <w:rsid w:val="5C641C89"/>
    <w:rsid w:val="5D09C49D"/>
    <w:rsid w:val="6078ED3A"/>
    <w:rsid w:val="656E6773"/>
    <w:rsid w:val="6AE29501"/>
    <w:rsid w:val="6DBBAD7E"/>
    <w:rsid w:val="71024C90"/>
    <w:rsid w:val="7622602F"/>
    <w:rsid w:val="77C873A5"/>
    <w:rsid w:val="7A49DEB7"/>
    <w:rsid w:val="7D5B174F"/>
    <w:rsid w:val="7DF78C42"/>
    <w:rsid w:val="7E4A1009"/>
    <w:rsid w:val="7F78F9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CBE0"/>
  <w15:docId w15:val="{944BEBC6-DA78-4193-99AA-4F1BA1F0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65"/>
  </w:style>
  <w:style w:type="paragraph" w:styleId="Heading2">
    <w:name w:val="heading 2"/>
    <w:basedOn w:val="Normal"/>
    <w:link w:val="Heading2Char"/>
    <w:uiPriority w:val="9"/>
    <w:qFormat/>
    <w:rsid w:val="00D86AD6"/>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7BC3"/>
    <w:rPr>
      <w:rFonts w:ascii="Tahoma" w:hAnsi="Tahoma" w:cs="Tahoma"/>
      <w:sz w:val="16"/>
      <w:szCs w:val="16"/>
    </w:rPr>
  </w:style>
  <w:style w:type="character" w:customStyle="1" w:styleId="BalloonTextChar">
    <w:name w:val="Balloon Text Char"/>
    <w:basedOn w:val="DefaultParagraphFont"/>
    <w:link w:val="BalloonText"/>
    <w:uiPriority w:val="99"/>
    <w:semiHidden/>
    <w:rsid w:val="00B37BC3"/>
    <w:rPr>
      <w:rFonts w:ascii="Tahoma" w:hAnsi="Tahoma" w:cs="Tahoma"/>
      <w:sz w:val="16"/>
      <w:szCs w:val="16"/>
    </w:rPr>
  </w:style>
  <w:style w:type="paragraph" w:styleId="ListParagraph">
    <w:name w:val="List Paragraph"/>
    <w:basedOn w:val="Normal"/>
    <w:uiPriority w:val="34"/>
    <w:qFormat/>
    <w:rsid w:val="00F63AFF"/>
    <w:pPr>
      <w:ind w:left="720"/>
      <w:contextualSpacing/>
    </w:pPr>
  </w:style>
  <w:style w:type="table" w:styleId="TableGrid">
    <w:name w:val="Table Grid"/>
    <w:basedOn w:val="TableNormal"/>
    <w:uiPriority w:val="59"/>
    <w:rsid w:val="00701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44C"/>
    <w:rPr>
      <w:sz w:val="16"/>
      <w:szCs w:val="16"/>
    </w:rPr>
  </w:style>
  <w:style w:type="paragraph" w:styleId="CommentText">
    <w:name w:val="annotation text"/>
    <w:basedOn w:val="Normal"/>
    <w:link w:val="CommentTextChar"/>
    <w:uiPriority w:val="99"/>
    <w:unhideWhenUsed/>
    <w:rsid w:val="002B244C"/>
    <w:rPr>
      <w:sz w:val="20"/>
      <w:szCs w:val="20"/>
    </w:rPr>
  </w:style>
  <w:style w:type="character" w:customStyle="1" w:styleId="CommentTextChar">
    <w:name w:val="Comment Text Char"/>
    <w:basedOn w:val="DefaultParagraphFont"/>
    <w:link w:val="CommentText"/>
    <w:uiPriority w:val="99"/>
    <w:rsid w:val="002B244C"/>
    <w:rPr>
      <w:sz w:val="20"/>
      <w:szCs w:val="20"/>
    </w:rPr>
  </w:style>
  <w:style w:type="paragraph" w:styleId="CommentSubject">
    <w:name w:val="annotation subject"/>
    <w:basedOn w:val="CommentText"/>
    <w:next w:val="CommentText"/>
    <w:link w:val="CommentSubjectChar"/>
    <w:uiPriority w:val="99"/>
    <w:semiHidden/>
    <w:unhideWhenUsed/>
    <w:rsid w:val="002B244C"/>
    <w:rPr>
      <w:b/>
      <w:bCs/>
    </w:rPr>
  </w:style>
  <w:style w:type="character" w:customStyle="1" w:styleId="CommentSubjectChar">
    <w:name w:val="Comment Subject Char"/>
    <w:basedOn w:val="CommentTextChar"/>
    <w:link w:val="CommentSubject"/>
    <w:uiPriority w:val="99"/>
    <w:semiHidden/>
    <w:rsid w:val="002B244C"/>
    <w:rPr>
      <w:b/>
      <w:bCs/>
      <w:sz w:val="20"/>
      <w:szCs w:val="20"/>
    </w:rPr>
  </w:style>
  <w:style w:type="character" w:styleId="Hyperlink">
    <w:name w:val="Hyperlink"/>
    <w:basedOn w:val="DefaultParagraphFont"/>
    <w:uiPriority w:val="99"/>
    <w:unhideWhenUsed/>
    <w:rsid w:val="00252704"/>
    <w:rPr>
      <w:color w:val="0000FF" w:themeColor="hyperlink"/>
      <w:u w:val="single"/>
    </w:rPr>
  </w:style>
  <w:style w:type="character" w:styleId="UnresolvedMention">
    <w:name w:val="Unresolved Mention"/>
    <w:basedOn w:val="DefaultParagraphFont"/>
    <w:uiPriority w:val="99"/>
    <w:semiHidden/>
    <w:unhideWhenUsed/>
    <w:rsid w:val="00252704"/>
    <w:rPr>
      <w:color w:val="605E5C"/>
      <w:shd w:val="clear" w:color="auto" w:fill="E1DFDD"/>
    </w:rPr>
  </w:style>
  <w:style w:type="character" w:customStyle="1" w:styleId="Heading2Char">
    <w:name w:val="Heading 2 Char"/>
    <w:basedOn w:val="DefaultParagraphFont"/>
    <w:link w:val="Heading2"/>
    <w:uiPriority w:val="9"/>
    <w:rsid w:val="00D86AD6"/>
    <w:rPr>
      <w:rFonts w:eastAsia="Times New Roman"/>
      <w:b/>
      <w:bCs/>
      <w:sz w:val="36"/>
      <w:szCs w:val="36"/>
    </w:rPr>
  </w:style>
  <w:style w:type="paragraph" w:styleId="Revision">
    <w:name w:val="Revision"/>
    <w:hidden/>
    <w:uiPriority w:val="99"/>
    <w:semiHidden/>
    <w:rsid w:val="007368DA"/>
  </w:style>
  <w:style w:type="paragraph" w:styleId="Header">
    <w:name w:val="header"/>
    <w:basedOn w:val="Normal"/>
    <w:link w:val="HeaderChar"/>
    <w:uiPriority w:val="99"/>
    <w:unhideWhenUsed/>
    <w:rsid w:val="00FC4716"/>
    <w:pPr>
      <w:tabs>
        <w:tab w:val="center" w:pos="4680"/>
        <w:tab w:val="right" w:pos="9360"/>
      </w:tabs>
    </w:pPr>
  </w:style>
  <w:style w:type="character" w:customStyle="1" w:styleId="HeaderChar">
    <w:name w:val="Header Char"/>
    <w:basedOn w:val="DefaultParagraphFont"/>
    <w:link w:val="Header"/>
    <w:uiPriority w:val="99"/>
    <w:rsid w:val="00FC4716"/>
  </w:style>
  <w:style w:type="paragraph" w:styleId="Footer">
    <w:name w:val="footer"/>
    <w:basedOn w:val="Normal"/>
    <w:link w:val="FooterChar"/>
    <w:uiPriority w:val="99"/>
    <w:unhideWhenUsed/>
    <w:rsid w:val="00FC4716"/>
    <w:pPr>
      <w:tabs>
        <w:tab w:val="center" w:pos="4680"/>
        <w:tab w:val="right" w:pos="9360"/>
      </w:tabs>
    </w:pPr>
  </w:style>
  <w:style w:type="character" w:customStyle="1" w:styleId="FooterChar">
    <w:name w:val="Footer Char"/>
    <w:basedOn w:val="DefaultParagraphFont"/>
    <w:link w:val="Footer"/>
    <w:uiPriority w:val="99"/>
    <w:rsid w:val="00FC4716"/>
  </w:style>
  <w:style w:type="paragraph" w:customStyle="1" w:styleId="indent-1">
    <w:name w:val="indent-1"/>
    <w:basedOn w:val="Normal"/>
    <w:rsid w:val="00DC3948"/>
    <w:pPr>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DC3948"/>
    <w:rPr>
      <w:i/>
      <w:iCs/>
    </w:rPr>
  </w:style>
  <w:style w:type="paragraph" w:customStyle="1" w:styleId="indent-2">
    <w:name w:val="indent-2"/>
    <w:basedOn w:val="Normal"/>
    <w:rsid w:val="00DC3948"/>
    <w:pPr>
      <w:spacing w:before="100" w:beforeAutospacing="1" w:after="100" w:afterAutospacing="1"/>
    </w:pPr>
    <w:rPr>
      <w:rFonts w:eastAsia="Times New Roman"/>
      <w:sz w:val="24"/>
      <w:szCs w:val="24"/>
    </w:rPr>
  </w:style>
  <w:style w:type="character" w:customStyle="1" w:styleId="paragraph-hierarchy">
    <w:name w:val="paragraph-hierarchy"/>
    <w:basedOn w:val="DefaultParagraphFont"/>
    <w:rsid w:val="00DC3948"/>
  </w:style>
  <w:style w:type="character" w:customStyle="1" w:styleId="paren">
    <w:name w:val="paren"/>
    <w:basedOn w:val="DefaultParagraphFont"/>
    <w:rsid w:val="00DC3948"/>
  </w:style>
  <w:style w:type="paragraph" w:customStyle="1" w:styleId="indent-3">
    <w:name w:val="indent-3"/>
    <w:basedOn w:val="Normal"/>
    <w:rsid w:val="00DC3948"/>
    <w:pPr>
      <w:spacing w:before="100" w:beforeAutospacing="1" w:after="100" w:afterAutospacing="1"/>
    </w:pPr>
    <w:rPr>
      <w:rFonts w:eastAsia="Times New Roman"/>
      <w:sz w:val="24"/>
      <w:szCs w:val="24"/>
    </w:rPr>
  </w:style>
  <w:style w:type="character" w:customStyle="1" w:styleId="cf01">
    <w:name w:val="cf01"/>
    <w:basedOn w:val="DefaultParagraphFont"/>
    <w:rsid w:val="00FC08AE"/>
    <w:rPr>
      <w:rFonts w:ascii="Segoe UI" w:hAnsi="Segoe UI" w:cs="Segoe UI" w:hint="default"/>
      <w:sz w:val="18"/>
      <w:szCs w:val="18"/>
      <w:u w:val="single"/>
    </w:rPr>
  </w:style>
  <w:style w:type="character" w:styleId="FollowedHyperlink">
    <w:name w:val="FollowedHyperlink"/>
    <w:basedOn w:val="DefaultParagraphFont"/>
    <w:uiPriority w:val="99"/>
    <w:semiHidden/>
    <w:unhideWhenUsed/>
    <w:rsid w:val="00815053"/>
    <w:rPr>
      <w:color w:val="800080" w:themeColor="followedHyperlink"/>
      <w:u w:val="single"/>
    </w:rPr>
  </w:style>
  <w:style w:type="paragraph" w:customStyle="1" w:styleId="pf0">
    <w:name w:val="pf0"/>
    <w:basedOn w:val="Normal"/>
    <w:rsid w:val="00BD24FE"/>
    <w:pPr>
      <w:spacing w:before="100" w:beforeAutospacing="1" w:after="100" w:afterAutospacing="1"/>
    </w:pPr>
    <w:rPr>
      <w:rFonts w:eastAsia="Times New Roman"/>
      <w:sz w:val="24"/>
      <w:szCs w:val="24"/>
    </w:rPr>
  </w:style>
  <w:style w:type="paragraph" w:customStyle="1" w:styleId="paragraph">
    <w:name w:val="paragraph"/>
    <w:basedOn w:val="Normal"/>
    <w:rsid w:val="00904FCB"/>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904FCB"/>
  </w:style>
  <w:style w:type="character" w:customStyle="1" w:styleId="eop">
    <w:name w:val="eop"/>
    <w:basedOn w:val="DefaultParagraphFont"/>
    <w:rsid w:val="00904FCB"/>
  </w:style>
  <w:style w:type="character" w:customStyle="1" w:styleId="advancedproofingissue">
    <w:name w:val="advancedproofingissue"/>
    <w:basedOn w:val="DefaultParagraphFont"/>
    <w:rsid w:val="00904FCB"/>
  </w:style>
  <w:style w:type="character" w:customStyle="1" w:styleId="contextualspellingandgrammarerror">
    <w:name w:val="contextualspellingandgrammarerror"/>
    <w:basedOn w:val="DefaultParagraphFont"/>
    <w:rsid w:val="0090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0975">
      <w:bodyDiv w:val="1"/>
      <w:marLeft w:val="0"/>
      <w:marRight w:val="0"/>
      <w:marTop w:val="0"/>
      <w:marBottom w:val="0"/>
      <w:divBdr>
        <w:top w:val="none" w:sz="0" w:space="0" w:color="auto"/>
        <w:left w:val="none" w:sz="0" w:space="0" w:color="auto"/>
        <w:bottom w:val="none" w:sz="0" w:space="0" w:color="auto"/>
        <w:right w:val="none" w:sz="0" w:space="0" w:color="auto"/>
      </w:divBdr>
    </w:div>
    <w:div w:id="82188078">
      <w:bodyDiv w:val="1"/>
      <w:marLeft w:val="0"/>
      <w:marRight w:val="0"/>
      <w:marTop w:val="0"/>
      <w:marBottom w:val="0"/>
      <w:divBdr>
        <w:top w:val="none" w:sz="0" w:space="0" w:color="auto"/>
        <w:left w:val="none" w:sz="0" w:space="0" w:color="auto"/>
        <w:bottom w:val="none" w:sz="0" w:space="0" w:color="auto"/>
        <w:right w:val="none" w:sz="0" w:space="0" w:color="auto"/>
      </w:divBdr>
    </w:div>
    <w:div w:id="308487590">
      <w:bodyDiv w:val="1"/>
      <w:marLeft w:val="0"/>
      <w:marRight w:val="0"/>
      <w:marTop w:val="0"/>
      <w:marBottom w:val="0"/>
      <w:divBdr>
        <w:top w:val="none" w:sz="0" w:space="0" w:color="auto"/>
        <w:left w:val="none" w:sz="0" w:space="0" w:color="auto"/>
        <w:bottom w:val="none" w:sz="0" w:space="0" w:color="auto"/>
        <w:right w:val="none" w:sz="0" w:space="0" w:color="auto"/>
      </w:divBdr>
    </w:div>
    <w:div w:id="678193482">
      <w:bodyDiv w:val="1"/>
      <w:marLeft w:val="0"/>
      <w:marRight w:val="0"/>
      <w:marTop w:val="0"/>
      <w:marBottom w:val="0"/>
      <w:divBdr>
        <w:top w:val="none" w:sz="0" w:space="0" w:color="auto"/>
        <w:left w:val="none" w:sz="0" w:space="0" w:color="auto"/>
        <w:bottom w:val="none" w:sz="0" w:space="0" w:color="auto"/>
        <w:right w:val="none" w:sz="0" w:space="0" w:color="auto"/>
      </w:divBdr>
    </w:div>
    <w:div w:id="750856506">
      <w:bodyDiv w:val="1"/>
      <w:marLeft w:val="0"/>
      <w:marRight w:val="0"/>
      <w:marTop w:val="0"/>
      <w:marBottom w:val="0"/>
      <w:divBdr>
        <w:top w:val="none" w:sz="0" w:space="0" w:color="auto"/>
        <w:left w:val="none" w:sz="0" w:space="0" w:color="auto"/>
        <w:bottom w:val="none" w:sz="0" w:space="0" w:color="auto"/>
        <w:right w:val="none" w:sz="0" w:space="0" w:color="auto"/>
      </w:divBdr>
    </w:div>
    <w:div w:id="782962524">
      <w:bodyDiv w:val="1"/>
      <w:marLeft w:val="0"/>
      <w:marRight w:val="0"/>
      <w:marTop w:val="0"/>
      <w:marBottom w:val="0"/>
      <w:divBdr>
        <w:top w:val="none" w:sz="0" w:space="0" w:color="auto"/>
        <w:left w:val="none" w:sz="0" w:space="0" w:color="auto"/>
        <w:bottom w:val="none" w:sz="0" w:space="0" w:color="auto"/>
        <w:right w:val="none" w:sz="0" w:space="0" w:color="auto"/>
      </w:divBdr>
    </w:div>
    <w:div w:id="1110392908">
      <w:bodyDiv w:val="1"/>
      <w:marLeft w:val="0"/>
      <w:marRight w:val="0"/>
      <w:marTop w:val="0"/>
      <w:marBottom w:val="0"/>
      <w:divBdr>
        <w:top w:val="none" w:sz="0" w:space="0" w:color="auto"/>
        <w:left w:val="none" w:sz="0" w:space="0" w:color="auto"/>
        <w:bottom w:val="none" w:sz="0" w:space="0" w:color="auto"/>
        <w:right w:val="none" w:sz="0" w:space="0" w:color="auto"/>
      </w:divBdr>
    </w:div>
    <w:div w:id="1344472523">
      <w:bodyDiv w:val="1"/>
      <w:marLeft w:val="0"/>
      <w:marRight w:val="0"/>
      <w:marTop w:val="0"/>
      <w:marBottom w:val="0"/>
      <w:divBdr>
        <w:top w:val="none" w:sz="0" w:space="0" w:color="auto"/>
        <w:left w:val="none" w:sz="0" w:space="0" w:color="auto"/>
        <w:bottom w:val="none" w:sz="0" w:space="0" w:color="auto"/>
        <w:right w:val="none" w:sz="0" w:space="0" w:color="auto"/>
      </w:divBdr>
    </w:div>
    <w:div w:id="1516991536">
      <w:bodyDiv w:val="1"/>
      <w:marLeft w:val="0"/>
      <w:marRight w:val="0"/>
      <w:marTop w:val="0"/>
      <w:marBottom w:val="0"/>
      <w:divBdr>
        <w:top w:val="none" w:sz="0" w:space="0" w:color="auto"/>
        <w:left w:val="none" w:sz="0" w:space="0" w:color="auto"/>
        <w:bottom w:val="none" w:sz="0" w:space="0" w:color="auto"/>
        <w:right w:val="none" w:sz="0" w:space="0" w:color="auto"/>
      </w:divBdr>
      <w:divsChild>
        <w:div w:id="1255745281">
          <w:marLeft w:val="0"/>
          <w:marRight w:val="0"/>
          <w:marTop w:val="0"/>
          <w:marBottom w:val="0"/>
          <w:divBdr>
            <w:top w:val="none" w:sz="0" w:space="0" w:color="auto"/>
            <w:left w:val="none" w:sz="0" w:space="0" w:color="auto"/>
            <w:bottom w:val="none" w:sz="0" w:space="0" w:color="auto"/>
            <w:right w:val="none" w:sz="0" w:space="0" w:color="auto"/>
          </w:divBdr>
        </w:div>
      </w:divsChild>
    </w:div>
    <w:div w:id="1691566764">
      <w:bodyDiv w:val="1"/>
      <w:marLeft w:val="0"/>
      <w:marRight w:val="0"/>
      <w:marTop w:val="0"/>
      <w:marBottom w:val="0"/>
      <w:divBdr>
        <w:top w:val="none" w:sz="0" w:space="0" w:color="auto"/>
        <w:left w:val="none" w:sz="0" w:space="0" w:color="auto"/>
        <w:bottom w:val="none" w:sz="0" w:space="0" w:color="auto"/>
        <w:right w:val="none" w:sz="0" w:space="0" w:color="auto"/>
      </w:divBdr>
      <w:divsChild>
        <w:div w:id="920913613">
          <w:marLeft w:val="0"/>
          <w:marRight w:val="0"/>
          <w:marTop w:val="0"/>
          <w:marBottom w:val="0"/>
          <w:divBdr>
            <w:top w:val="none" w:sz="0" w:space="0" w:color="auto"/>
            <w:left w:val="none" w:sz="0" w:space="0" w:color="auto"/>
            <w:bottom w:val="none" w:sz="0" w:space="0" w:color="auto"/>
            <w:right w:val="none" w:sz="0" w:space="0" w:color="auto"/>
          </w:divBdr>
          <w:divsChild>
            <w:div w:id="980309059">
              <w:marLeft w:val="0"/>
              <w:marRight w:val="0"/>
              <w:marTop w:val="0"/>
              <w:marBottom w:val="0"/>
              <w:divBdr>
                <w:top w:val="none" w:sz="0" w:space="0" w:color="auto"/>
                <w:left w:val="none" w:sz="0" w:space="0" w:color="auto"/>
                <w:bottom w:val="none" w:sz="0" w:space="0" w:color="auto"/>
                <w:right w:val="none" w:sz="0" w:space="0" w:color="auto"/>
              </w:divBdr>
            </w:div>
            <w:div w:id="18547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yperlink" Target="http://www.epa.gov/safewater/lead" TargetMode="External"/><Relationship Id="rId23" Type="http://schemas.openxmlformats.org/officeDocument/2006/relationships/image" Target="media/image11.png"/><Relationship Id="rId28" Type="http://schemas.openxmlformats.org/officeDocument/2006/relationships/hyperlink" Target="https://intranet.epa.gov/lt2/"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lead" TargetMode="External"/><Relationship Id="rId22" Type="http://schemas.openxmlformats.org/officeDocument/2006/relationships/image" Target="media/image10.png"/><Relationship Id="rId27" Type="http://schemas.openxmlformats.org/officeDocument/2006/relationships/hyperlink" Target="https://intranet.epa.gov/lt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SharedWithUsers xmlns="7cef7679-e05e-4e72-91ff-595def4f520d">
      <UserInfo>
        <DisplayName>Guterman, Damon (DEP)</DisplayName>
        <AccountId>574</AccountId>
        <AccountType/>
      </UserInfo>
    </SharedWithUsers>
    <lcf76f155ced4ddcb4097134ff3c332f xmlns="b10cd5b1-c92a-41ad-a6c4-eddf4319b3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8C6E06935EE49A67353CFE6F59DD2" ma:contentTypeVersion="16" ma:contentTypeDescription="Create a new document." ma:contentTypeScope="" ma:versionID="57da47383cf8d7a6fa3b23706c6601ca">
  <xsd:schema xmlns:xsd="http://www.w3.org/2001/XMLSchema" xmlns:xs="http://www.w3.org/2001/XMLSchema" xmlns:p="http://schemas.microsoft.com/office/2006/metadata/properties" xmlns:ns2="b10cd5b1-c92a-41ad-a6c4-eddf4319b341" xmlns:ns3="7cef7679-e05e-4e72-91ff-595def4f520d" xmlns:ns4="1da56e6b-ac0e-4ffc-8b40-9e4a1d231754" targetNamespace="http://schemas.microsoft.com/office/2006/metadata/properties" ma:root="true" ma:fieldsID="593bbb787d62e010318cdb917f841faf" ns2:_="" ns3:_="" ns4:_="">
    <xsd:import namespace="b10cd5b1-c92a-41ad-a6c4-eddf4319b341"/>
    <xsd:import namespace="7cef7679-e05e-4e72-91ff-595def4f520d"/>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d5b1-c92a-41ad-a6c4-eddf4319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1C72C6-110A-4F88-AA63-4F2B363A49EE}">
  <ds:schemaRefs>
    <ds:schemaRef ds:uri="http://schemas.openxmlformats.org/officeDocument/2006/bibliography"/>
  </ds:schemaRefs>
</ds:datastoreItem>
</file>

<file path=customXml/itemProps2.xml><?xml version="1.0" encoding="utf-8"?>
<ds:datastoreItem xmlns:ds="http://schemas.openxmlformats.org/officeDocument/2006/customXml" ds:itemID="{4A869A09-4EB6-4B70-8AB1-3FED5ECEE3FE}">
  <ds:schemaRefs>
    <ds:schemaRef ds:uri="http://schemas.microsoft.com/office/2006/metadata/properties"/>
    <ds:schemaRef ds:uri="http://schemas.microsoft.com/office/infopath/2007/PartnerControls"/>
    <ds:schemaRef ds:uri="1da56e6b-ac0e-4ffc-8b40-9e4a1d231754"/>
    <ds:schemaRef ds:uri="7cef7679-e05e-4e72-91ff-595def4f520d"/>
    <ds:schemaRef ds:uri="b10cd5b1-c92a-41ad-a6c4-eddf4319b341"/>
  </ds:schemaRefs>
</ds:datastoreItem>
</file>

<file path=customXml/itemProps3.xml><?xml version="1.0" encoding="utf-8"?>
<ds:datastoreItem xmlns:ds="http://schemas.openxmlformats.org/officeDocument/2006/customXml" ds:itemID="{DED22918-31FC-4B07-8647-F14D0D07D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d5b1-c92a-41ad-a6c4-eddf4319b341"/>
    <ds:schemaRef ds:uri="7cef7679-e05e-4e72-91ff-595def4f520d"/>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942B7-722D-4D62-B9C6-8D89C514F23A}">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392</Pages>
  <Words>191302</Words>
  <Characters>1090427</Characters>
  <Application>Microsoft Office Word</Application>
  <DocSecurity>0</DocSecurity>
  <Lines>9086</Lines>
  <Paragraphs>2558</Paragraphs>
  <ScaleCrop>false</ScaleCrop>
  <Company>EOEEA</Company>
  <LinksUpToDate>false</LinksUpToDate>
  <CharactersWithSpaces>1279171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Guterman, Damon (DEP)</cp:lastModifiedBy>
  <cp:revision>5</cp:revision>
  <cp:lastPrinted>2023-01-19T15:45:00Z</cp:lastPrinted>
  <dcterms:created xsi:type="dcterms:W3CDTF">2026-01-27T21:47:00Z</dcterms:created>
  <dcterms:modified xsi:type="dcterms:W3CDTF">2026-01-27T21:50:00Z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0x01010006F8C6E06935EE49A67353CFE6F59DD2</vt:lpwstr>
  </property>
  <property fmtid="{D5CDD505-2E9C-101B-9397-08002B2CF9AE}" pid="3" name="MediaServiceImageTags">
    <vt:lpwstr/>
  </property>
</Properties>
</file>